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6.xml" ContentType="application/vnd.openxmlformats-officedocument.wordprocessingml.header+xml"/>
  <Override PartName="/word/header17.xml" ContentType="application/vnd.openxmlformats-officedocument.wordprocessingml.head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047" w:rsidRDefault="00B72047">
      <w:pPr>
        <w:pStyle w:val="HeadingBase"/>
        <w:rPr>
          <w:rFonts w:ascii="Academy Italic" w:hAnsi="Academy Italic" w:cs="Academy Italic"/>
          <w:sz w:val="72"/>
          <w:szCs w:val="72"/>
        </w:rPr>
      </w:pPr>
    </w:p>
    <w:p w:rsidR="00B72047" w:rsidRDefault="00B72047">
      <w:pPr>
        <w:pStyle w:val="HeadingBase"/>
        <w:rPr>
          <w:rFonts w:ascii="Academy Italic" w:hAnsi="Academy Italic" w:cs="Academy Italic"/>
          <w:sz w:val="72"/>
          <w:szCs w:val="72"/>
        </w:rPr>
      </w:pPr>
    </w:p>
    <w:p w:rsidR="00B72047" w:rsidRDefault="00B72047">
      <w:pPr>
        <w:pStyle w:val="HeadingBase"/>
        <w:rPr>
          <w:rFonts w:ascii="Academy Italic" w:hAnsi="Academy Italic" w:cs="Academy Italic"/>
          <w:sz w:val="96"/>
          <w:szCs w:val="96"/>
        </w:rPr>
      </w:pPr>
      <w:bookmarkStart w:id="0" w:name="_Toc395684165"/>
      <w:bookmarkStart w:id="1" w:name="_Toc398970417"/>
      <w:r>
        <w:rPr>
          <w:rFonts w:ascii="Academy Italic" w:hAnsi="Academy Italic" w:cs="Academy Italic"/>
          <w:sz w:val="72"/>
          <w:szCs w:val="72"/>
        </w:rPr>
        <w:t xml:space="preserve">The </w:t>
      </w:r>
      <w:r>
        <w:rPr>
          <w:rFonts w:ascii="Academy" w:hAnsi="Academy" w:cs="Academy"/>
          <w:sz w:val="96"/>
          <w:szCs w:val="96"/>
        </w:rPr>
        <w:t xml:space="preserve">COMPLETE </w:t>
      </w:r>
      <w:r>
        <w:rPr>
          <w:rFonts w:ascii="Academy Italic" w:hAnsi="Academy Italic" w:cs="Academy Italic"/>
          <w:sz w:val="96"/>
          <w:szCs w:val="96"/>
        </w:rPr>
        <w:t>Lojban Language</w:t>
      </w:r>
      <w:bookmarkEnd w:id="0"/>
      <w:bookmarkEnd w:id="1"/>
    </w:p>
    <w:p w:rsidR="00B72047" w:rsidRDefault="00B72047">
      <w:pPr>
        <w:pStyle w:val="HeadingBase"/>
        <w:rPr>
          <w:rFonts w:ascii="Academy Italic" w:hAnsi="Academy Italic" w:cs="Academy Italic"/>
          <w:sz w:val="96"/>
          <w:szCs w:val="96"/>
        </w:rPr>
      </w:pPr>
    </w:p>
    <w:p w:rsidR="00B72047" w:rsidRDefault="00B72047">
      <w:pPr>
        <w:pStyle w:val="HeadingBase"/>
        <w:rPr>
          <w:rFonts w:ascii="Academy Italic" w:hAnsi="Academy Italic" w:cs="Academy Italic"/>
          <w:sz w:val="96"/>
          <w:szCs w:val="96"/>
        </w:rPr>
      </w:pPr>
    </w:p>
    <w:p w:rsidR="00B72047" w:rsidRDefault="00B72047">
      <w:pPr>
        <w:pStyle w:val="HeadingBase"/>
        <w:rPr>
          <w:rFonts w:ascii="Academy Italic" w:hAnsi="Academy Italic" w:cs="Academy Italic"/>
          <w:sz w:val="72"/>
          <w:szCs w:val="72"/>
        </w:rPr>
      </w:pPr>
      <w:r>
        <w:rPr>
          <w:rFonts w:ascii="Academy Italic" w:hAnsi="Academy Italic" w:cs="Academy Italic"/>
          <w:sz w:val="96"/>
          <w:szCs w:val="96"/>
        </w:rPr>
        <w:br w:type="page"/>
        <w:t xml:space="preserve">  </w:t>
      </w:r>
      <w:r>
        <w:rPr>
          <w:rFonts w:ascii="Academy Italic" w:hAnsi="Academy Italic" w:cs="Academy Italic"/>
          <w:sz w:val="96"/>
          <w:szCs w:val="96"/>
        </w:rPr>
        <w:br w:type="page"/>
      </w:r>
    </w:p>
    <w:p w:rsidR="00B72047" w:rsidRDefault="00B72047">
      <w:pPr>
        <w:pStyle w:val="HeadingBase"/>
        <w:rPr>
          <w:rFonts w:ascii="Academy Italic" w:hAnsi="Academy Italic" w:cs="Academy Italic"/>
          <w:sz w:val="72"/>
          <w:szCs w:val="72"/>
        </w:rPr>
      </w:pPr>
    </w:p>
    <w:p w:rsidR="00B72047" w:rsidRDefault="00B72047">
      <w:pPr>
        <w:pStyle w:val="HeadingBase"/>
        <w:rPr>
          <w:rFonts w:ascii="Academy Italic" w:hAnsi="Academy Italic" w:cs="Academy Italic"/>
          <w:sz w:val="96"/>
          <w:szCs w:val="96"/>
        </w:rPr>
      </w:pPr>
      <w:bookmarkStart w:id="2" w:name="_Toc395684166"/>
      <w:bookmarkStart w:id="3" w:name="_Toc398970418"/>
      <w:r>
        <w:rPr>
          <w:rFonts w:ascii="Academy Italic" w:hAnsi="Academy Italic" w:cs="Academy Italic"/>
          <w:sz w:val="72"/>
          <w:szCs w:val="72"/>
        </w:rPr>
        <w:t xml:space="preserve">The </w:t>
      </w:r>
      <w:r>
        <w:rPr>
          <w:rFonts w:ascii="Academy" w:hAnsi="Academy" w:cs="Academy"/>
          <w:sz w:val="96"/>
          <w:szCs w:val="96"/>
        </w:rPr>
        <w:t xml:space="preserve">COMPLETE </w:t>
      </w:r>
      <w:r>
        <w:rPr>
          <w:rFonts w:ascii="Academy Italic" w:hAnsi="Academy Italic" w:cs="Academy Italic"/>
          <w:sz w:val="96"/>
          <w:szCs w:val="96"/>
        </w:rPr>
        <w:t>Lojban Language</w:t>
      </w:r>
      <w:bookmarkEnd w:id="2"/>
      <w:bookmarkEnd w:id="3"/>
    </w:p>
    <w:p w:rsidR="00B72047" w:rsidRDefault="00B72047">
      <w:pPr>
        <w:pStyle w:val="HeadingBase"/>
        <w:jc w:val="center"/>
        <w:rPr>
          <w:rFonts w:ascii="Academy" w:hAnsi="Academy" w:cs="Academy"/>
          <w:sz w:val="48"/>
          <w:szCs w:val="48"/>
        </w:rPr>
      </w:pPr>
      <w:bookmarkStart w:id="4" w:name="_Toc395684167"/>
      <w:bookmarkStart w:id="5" w:name="_Toc398970419"/>
      <w:r>
        <w:rPr>
          <w:rFonts w:ascii="Academy" w:hAnsi="Academy" w:cs="Academy"/>
          <w:sz w:val="48"/>
          <w:szCs w:val="48"/>
        </w:rPr>
        <w:t>by John Woldemar Cowan</w:t>
      </w:r>
      <w:bookmarkEnd w:id="4"/>
      <w:bookmarkEnd w:id="5"/>
    </w:p>
    <w:p w:rsidR="00B72047" w:rsidRDefault="00B72047">
      <w:pPr>
        <w:pStyle w:val="HeadingBase"/>
        <w:jc w:val="center"/>
        <w:rPr>
          <w:rFonts w:ascii="Academy" w:hAnsi="Academy" w:cs="Academy"/>
          <w:sz w:val="48"/>
          <w:szCs w:val="48"/>
        </w:rPr>
      </w:pPr>
    </w:p>
    <w:p w:rsidR="00B72047" w:rsidRDefault="00B72047">
      <w:pPr>
        <w:pStyle w:val="HeadingBase"/>
        <w:spacing w:before="0"/>
        <w:jc w:val="center"/>
        <w:rPr>
          <w:rFonts w:ascii="Academy" w:hAnsi="Academy" w:cs="Academy"/>
          <w:sz w:val="48"/>
          <w:szCs w:val="48"/>
        </w:rPr>
      </w:pPr>
    </w:p>
    <w:p w:rsidR="00B72047" w:rsidRDefault="00B72047"/>
    <w:p w:rsidR="00B72047" w:rsidRDefault="00B72047"/>
    <w:p w:rsidR="00B72047" w:rsidRDefault="00B72047"/>
    <w:p w:rsidR="00B72047" w:rsidRDefault="00B72047"/>
    <w:p w:rsidR="00B72047" w:rsidRDefault="00B72047"/>
    <w:p w:rsidR="00B72047" w:rsidRDefault="00B72047"/>
    <w:p w:rsidR="00B72047" w:rsidRDefault="00B72047"/>
    <w:p w:rsidR="00B72047" w:rsidRDefault="00B72047">
      <w:pPr>
        <w:pStyle w:val="HeadingBase"/>
        <w:spacing w:before="0"/>
        <w:jc w:val="center"/>
        <w:rPr>
          <w:rFonts w:ascii="Academy" w:hAnsi="Academy" w:cs="Academy"/>
          <w:sz w:val="48"/>
          <w:szCs w:val="48"/>
        </w:rPr>
      </w:pPr>
      <w:bookmarkStart w:id="6" w:name="_Toc395684168"/>
      <w:bookmarkStart w:id="7" w:name="_Toc398970420"/>
      <w:r>
        <w:t>The Logical Language Group, Inc.</w:t>
      </w:r>
      <w:bookmarkEnd w:id="6"/>
      <w:bookmarkEnd w:id="7"/>
    </w:p>
    <w:p w:rsidR="00B72047" w:rsidRDefault="00B72047">
      <w:pPr>
        <w:pStyle w:val="HeadingBase"/>
        <w:spacing w:before="0" w:after="0"/>
        <w:jc w:val="center"/>
        <w:rPr>
          <w:sz w:val="24"/>
          <w:szCs w:val="24"/>
        </w:rPr>
      </w:pPr>
      <w:bookmarkStart w:id="8" w:name="_Toc395684169"/>
      <w:bookmarkStart w:id="9" w:name="_Toc398970421"/>
      <w:r>
        <w:rPr>
          <w:sz w:val="24"/>
          <w:szCs w:val="24"/>
        </w:rPr>
        <w:t>2904 Beau Lane</w:t>
      </w:r>
      <w:bookmarkEnd w:id="8"/>
      <w:bookmarkEnd w:id="9"/>
      <w:r>
        <w:rPr>
          <w:sz w:val="24"/>
          <w:szCs w:val="24"/>
        </w:rPr>
        <w:t xml:space="preserve"> </w:t>
      </w:r>
    </w:p>
    <w:p w:rsidR="00B72047" w:rsidRDefault="00B72047">
      <w:pPr>
        <w:pStyle w:val="HeadingBase"/>
        <w:spacing w:before="0" w:after="0"/>
        <w:jc w:val="center"/>
        <w:rPr>
          <w:sz w:val="24"/>
          <w:szCs w:val="24"/>
        </w:rPr>
      </w:pPr>
      <w:bookmarkStart w:id="10" w:name="_Toc395684170"/>
      <w:bookmarkStart w:id="11" w:name="_Toc398970422"/>
      <w:r>
        <w:rPr>
          <w:sz w:val="24"/>
          <w:szCs w:val="24"/>
        </w:rPr>
        <w:t>Fairfax Virginia 22031-1303 USA</w:t>
      </w:r>
      <w:bookmarkEnd w:id="10"/>
      <w:bookmarkEnd w:id="11"/>
    </w:p>
    <w:p w:rsidR="00B72047" w:rsidRDefault="00B72047">
      <w:pPr>
        <w:pStyle w:val="HeadingBase"/>
        <w:spacing w:before="0" w:after="0"/>
        <w:jc w:val="center"/>
        <w:rPr>
          <w:sz w:val="24"/>
          <w:szCs w:val="24"/>
        </w:rPr>
      </w:pPr>
      <w:bookmarkStart w:id="12" w:name="_Toc395684171"/>
      <w:bookmarkStart w:id="13" w:name="_Toc398970423"/>
      <w:r>
        <w:rPr>
          <w:sz w:val="24"/>
          <w:szCs w:val="24"/>
        </w:rPr>
        <w:t>703-385-0273</w:t>
      </w:r>
      <w:bookmarkEnd w:id="12"/>
      <w:bookmarkEnd w:id="13"/>
    </w:p>
    <w:p w:rsidR="00B72047" w:rsidRDefault="00B72047">
      <w:pPr>
        <w:pStyle w:val="resumedafterexample"/>
        <w:spacing w:before="0"/>
        <w:rPr>
          <w:sz w:val="24"/>
          <w:szCs w:val="24"/>
        </w:rPr>
      </w:pPr>
      <w:r>
        <w:rPr>
          <w:sz w:val="24"/>
          <w:szCs w:val="24"/>
        </w:rPr>
        <w:br w:type="page"/>
      </w:r>
    </w:p>
    <w:p w:rsidR="00B72047" w:rsidRDefault="00B72047">
      <w:pPr>
        <w:pStyle w:val="resumedafterexample"/>
        <w:spacing w:before="0"/>
        <w:rPr>
          <w:sz w:val="24"/>
          <w:szCs w:val="24"/>
        </w:rPr>
      </w:pPr>
    </w:p>
    <w:p w:rsidR="00B72047" w:rsidRDefault="00B72047">
      <w:pPr>
        <w:pStyle w:val="resumedafterexample"/>
        <w:spacing w:before="0"/>
        <w:rPr>
          <w:sz w:val="24"/>
          <w:szCs w:val="24"/>
        </w:rPr>
      </w:pPr>
    </w:p>
    <w:p w:rsidR="00B72047" w:rsidRDefault="00B72047">
      <w:pPr>
        <w:pStyle w:val="resumedafterexample"/>
        <w:spacing w:before="0"/>
        <w:rPr>
          <w:sz w:val="24"/>
          <w:szCs w:val="24"/>
        </w:rPr>
      </w:pPr>
    </w:p>
    <w:p w:rsidR="00B72047" w:rsidRDefault="00B72047">
      <w:pPr>
        <w:pStyle w:val="resumedafterexample"/>
        <w:spacing w:before="0"/>
        <w:rPr>
          <w:sz w:val="24"/>
          <w:szCs w:val="24"/>
        </w:rPr>
      </w:pPr>
    </w:p>
    <w:p w:rsidR="00B72047" w:rsidRDefault="00B72047">
      <w:pPr>
        <w:pStyle w:val="resumedafterexample"/>
      </w:pPr>
      <w:r>
        <w:t xml:space="preserve">Copyright </w:t>
      </w:r>
      <w:r>
        <w:sym w:font="Symbol" w:char="F0E3"/>
      </w:r>
      <w:r>
        <w:t xml:space="preserve"> 1997 by The Logical Language Group, Inc.  All Rights Reserved.</w:t>
      </w:r>
    </w:p>
    <w:p w:rsidR="00B72047" w:rsidRDefault="00B72047">
      <w:pPr>
        <w:pStyle w:val="resumedafterexample"/>
      </w:pPr>
      <w:r>
        <w:t>Permission is granted to make and distribute verbatim</w:t>
      </w:r>
      <w:r>
        <w:rPr>
          <w:rStyle w:val="deletedparamark"/>
        </w:rPr>
        <w:t xml:space="preserve"> </w:t>
      </w:r>
      <w:r>
        <w:t>copies of this book, ei</w:t>
      </w:r>
      <w:r>
        <w:softHyphen/>
        <w:t>ther in elec</w:t>
      </w:r>
      <w:r>
        <w:softHyphen/>
        <w:t>tronic or in printed form,</w:t>
      </w:r>
      <w:r>
        <w:rPr>
          <w:rStyle w:val="deletedparamark"/>
        </w:rPr>
        <w:t xml:space="preserve"> </w:t>
      </w:r>
      <w:r>
        <w:t>pro</w:t>
      </w:r>
      <w:r>
        <w:softHyphen/>
        <w:t>vided the copyright notice and</w:t>
      </w:r>
      <w:r>
        <w:rPr>
          <w:rStyle w:val="deletedparamark"/>
        </w:rPr>
        <w:t xml:space="preserve"> </w:t>
      </w:r>
      <w:r>
        <w:t>this permission notice are pre</w:t>
      </w:r>
      <w:r>
        <w:softHyphen/>
        <w:t>served on all copies.</w:t>
      </w:r>
    </w:p>
    <w:p w:rsidR="00B72047" w:rsidRDefault="00B72047">
      <w:pPr>
        <w:pStyle w:val="normalparagraph"/>
        <w:rPr>
          <w:rStyle w:val="htmlparacode"/>
        </w:rPr>
      </w:pPr>
      <w:r>
        <w:rPr>
          <w:rStyle w:val="htmlparacode"/>
        </w:rPr>
        <w:t>&lt;p&gt;</w:t>
      </w:r>
    </w:p>
    <w:p w:rsidR="00B72047" w:rsidRDefault="00B72047">
      <w:pPr>
        <w:pStyle w:val="resumedafterexample"/>
      </w:pPr>
      <w:r>
        <w:t>Permission is granted to copy and distribute modified</w:t>
      </w:r>
      <w:r>
        <w:rPr>
          <w:rStyle w:val="deletedparamark"/>
        </w:rPr>
        <w:t xml:space="preserve"> </w:t>
      </w:r>
      <w:r>
        <w:t>ver</w:t>
      </w:r>
      <w:r>
        <w:softHyphen/>
        <w:t>sions of this book, pro</w:t>
      </w:r>
      <w:r>
        <w:softHyphen/>
        <w:t>vided that the modifications</w:t>
      </w:r>
      <w:r>
        <w:rPr>
          <w:rStyle w:val="deletedparamark"/>
        </w:rPr>
        <w:t xml:space="preserve"> </w:t>
      </w:r>
      <w:r>
        <w:t>are clearly marked as such, and provided</w:t>
      </w:r>
      <w:r>
        <w:rPr>
          <w:rStyle w:val="deletedparamark"/>
        </w:rPr>
        <w:t xml:space="preserve"> </w:t>
      </w:r>
      <w:r>
        <w:t>that the entire resulting de</w:t>
      </w:r>
      <w:r>
        <w:softHyphen/>
        <w:t>rived work is distributed</w:t>
      </w:r>
      <w:r>
        <w:rPr>
          <w:rStyle w:val="deletedparamark"/>
        </w:rPr>
        <w:t xml:space="preserve"> </w:t>
      </w:r>
      <w:r>
        <w:t>under the terms of a permission notice identi</w:t>
      </w:r>
      <w:r>
        <w:softHyphen/>
        <w:t>cal to this</w:t>
      </w:r>
      <w:r>
        <w:rPr>
          <w:rStyle w:val="deletedparamark"/>
        </w:rPr>
        <w:t xml:space="preserve"> </w:t>
      </w:r>
      <w:r>
        <w:t>one.</w:t>
      </w:r>
    </w:p>
    <w:p w:rsidR="00B72047" w:rsidRDefault="00B72047">
      <w:pPr>
        <w:pStyle w:val="resumedafterexample"/>
        <w:rPr>
          <w:rStyle w:val="htmlparacode"/>
        </w:rPr>
      </w:pPr>
      <w:r>
        <w:rPr>
          <w:rStyle w:val="htmlparacode"/>
        </w:rPr>
        <w:t>&lt;p&gt;</w:t>
      </w:r>
    </w:p>
    <w:p w:rsidR="00B72047" w:rsidRDefault="00B72047">
      <w:pPr>
        <w:pStyle w:val="resumedafterexample"/>
      </w:pPr>
      <w:r>
        <w:t>Permission is granted to copy and distribute</w:t>
      </w:r>
      <w:r>
        <w:rPr>
          <w:rStyle w:val="deletedparamark"/>
        </w:rPr>
        <w:t xml:space="preserve"> </w:t>
      </w:r>
      <w:r>
        <w:t>translations of this book into another lan</w:t>
      </w:r>
      <w:r>
        <w:softHyphen/>
        <w:t>guage,</w:t>
      </w:r>
      <w:r>
        <w:rPr>
          <w:rStyle w:val="deletedparamark"/>
        </w:rPr>
        <w:t xml:space="preserve"> </w:t>
      </w:r>
      <w:r>
        <w:t>under the above conditions for modified versions,</w:t>
      </w:r>
      <w:r>
        <w:rPr>
          <w:rStyle w:val="deletedparamark"/>
        </w:rPr>
        <w:t xml:space="preserve"> </w:t>
      </w:r>
      <w:r>
        <w:t>except that this permission no</w:t>
      </w:r>
      <w:r>
        <w:softHyphen/>
        <w:t>tice may be stated in a</w:t>
      </w:r>
      <w:r>
        <w:rPr>
          <w:rStyle w:val="deletedparamark"/>
        </w:rPr>
        <w:t xml:space="preserve"> </w:t>
      </w:r>
      <w:r>
        <w:t>translation that has been approved by the Logical Lan</w:t>
      </w:r>
      <w:r>
        <w:softHyphen/>
        <w:t>guage Group,</w:t>
      </w:r>
      <w:r>
        <w:rPr>
          <w:rStyle w:val="deletedparamark"/>
        </w:rPr>
        <w:t xml:space="preserve"> </w:t>
      </w:r>
      <w:r>
        <w:t>rather than in English.</w:t>
      </w:r>
    </w:p>
    <w:p w:rsidR="00B72047" w:rsidRDefault="00B72047">
      <w:pPr>
        <w:pStyle w:val="resumedafterexample"/>
        <w:rPr>
          <w:rStyle w:val="htmlparacode"/>
        </w:rPr>
      </w:pPr>
      <w:r>
        <w:rPr>
          <w:rStyle w:val="htmlparacode"/>
        </w:rPr>
        <w:t>&lt;p&gt;</w:t>
      </w:r>
    </w:p>
    <w:p w:rsidR="00B72047" w:rsidRDefault="00B72047">
      <w:pPr>
        <w:pStyle w:val="resumedafterexample"/>
      </w:pPr>
      <w:r>
        <w:t xml:space="preserve">The contents of </w:t>
      </w:r>
      <w:r>
        <w:rPr>
          <w:rStyle w:val="htmlcodes"/>
        </w:rPr>
        <w:t>&lt;a href=chap21.html&gt;</w:t>
      </w:r>
      <w:r>
        <w:t xml:space="preserve">Chapter 21 </w:t>
      </w:r>
      <w:r>
        <w:rPr>
          <w:rStyle w:val="htmlcodes"/>
        </w:rPr>
        <w:t>&lt;/a&gt;</w:t>
      </w:r>
      <w:r>
        <w:t>are in the public domain.</w:t>
      </w:r>
    </w:p>
    <w:p w:rsidR="00B72047" w:rsidRDefault="00B72047">
      <w:pPr>
        <w:pStyle w:val="resumedafterexample"/>
      </w:pPr>
      <w:r>
        <w:t>For information, contact:</w:t>
      </w:r>
    </w:p>
    <w:p w:rsidR="00B72047" w:rsidRDefault="00B72047">
      <w:pPr>
        <w:pStyle w:val="resumedafterexample"/>
      </w:pPr>
      <w:r>
        <w:t>The Logical Language Group, 2904 Beau Lane, Fairfax VA 22031-1303 USA</w:t>
      </w:r>
    </w:p>
    <w:p w:rsidR="00B72047" w:rsidRDefault="00B72047">
      <w:pPr>
        <w:pStyle w:val="resumedafterexample"/>
        <w:spacing w:before="0"/>
      </w:pPr>
      <w:r>
        <w:t xml:space="preserve">Telephone 703-385-0273.  </w:t>
      </w:r>
    </w:p>
    <w:p w:rsidR="00B72047" w:rsidRDefault="00B72047">
      <w:pPr>
        <w:pStyle w:val="resumedafterexample"/>
        <w:spacing w:before="0"/>
      </w:pPr>
      <w:r>
        <w:t>Electronic address: lojbab@access.digex.net</w:t>
      </w:r>
    </w:p>
    <w:p w:rsidR="00B72047" w:rsidRDefault="00B72047">
      <w:pPr>
        <w:pStyle w:val="resumedafterexample"/>
        <w:spacing w:before="0"/>
      </w:pPr>
      <w:r>
        <w:t>World Wide Web: http://xiron.pc.helsinki.fi/lojban/</w:t>
      </w:r>
    </w:p>
    <w:p w:rsidR="00B72047" w:rsidRDefault="00B72047">
      <w:pPr>
        <w:pStyle w:val="resumedafterexample"/>
      </w:pPr>
      <w:r>
        <w:t>Printed in the United States of America.</w:t>
      </w:r>
    </w:p>
    <w:p w:rsidR="00B72047" w:rsidRDefault="00B72047">
      <w:pPr>
        <w:pStyle w:val="resumedafterexample"/>
        <w:spacing w:before="0"/>
      </w:pPr>
      <w:r>
        <w:t>ISBN 0-9660283-0-9</w:t>
      </w:r>
    </w:p>
    <w:p w:rsidR="00B72047" w:rsidRDefault="00B72047">
      <w:pPr>
        <w:pStyle w:val="resumedafterexample"/>
        <w:rPr>
          <w:sz w:val="24"/>
          <w:szCs w:val="24"/>
        </w:rPr>
        <w:sectPr w:rsidR="00B72047">
          <w:headerReference w:type="default" r:id="rId7"/>
          <w:type w:val="nextColumn"/>
          <w:pgSz w:w="9504" w:h="13824" w:code="1"/>
          <w:pgMar w:top="1296" w:right="1296" w:bottom="720" w:left="1008" w:header="480" w:footer="720" w:gutter="0"/>
          <w:paperSrc w:first="1706" w:other="1706"/>
          <w:pgNumType w:fmt="lowerRoman" w:start="1"/>
          <w:cols w:space="720"/>
          <w:titlePg/>
        </w:sectPr>
      </w:pPr>
      <w:r>
        <w:rPr>
          <w:sz w:val="24"/>
          <w:szCs w:val="24"/>
        </w:rPr>
        <w:t xml:space="preserve"> </w:t>
      </w:r>
    </w:p>
    <w:p w:rsidR="00B72047" w:rsidRDefault="00B72047">
      <w:pPr>
        <w:pStyle w:val="HeadingBase"/>
      </w:pPr>
      <w:bookmarkStart w:id="14" w:name="_Toc398970424"/>
      <w:r>
        <w:t>Table of Contents</w:t>
      </w:r>
      <w:bookmarkEnd w:id="14"/>
    </w:p>
    <w:p w:rsidR="00B72047" w:rsidRDefault="00B72047">
      <w:pPr>
        <w:pStyle w:val="TOC1"/>
        <w:rPr>
          <w:noProof/>
        </w:rPr>
      </w:pPr>
      <w:r>
        <w:rPr>
          <w:rStyle w:val="htmlcodes"/>
          <w:rFonts w:ascii="Times Roman" w:hAnsi="Times Roman" w:cs="Times Roman"/>
          <w:b w:val="0"/>
          <w:bCs w:val="0"/>
          <w:i w:val="0"/>
          <w:iCs w:val="0"/>
          <w:vanish w:val="0"/>
          <w:sz w:val="20"/>
          <w:szCs w:val="20"/>
        </w:rPr>
        <w:fldChar w:fldCharType="begin"/>
      </w:r>
      <w:r>
        <w:rPr>
          <w:rStyle w:val="htmlcodes"/>
          <w:rFonts w:ascii="Times Roman" w:hAnsi="Times Roman" w:cs="Times Roman"/>
          <w:b w:val="0"/>
          <w:bCs w:val="0"/>
          <w:i w:val="0"/>
          <w:iCs w:val="0"/>
          <w:vanish w:val="0"/>
          <w:sz w:val="20"/>
          <w:szCs w:val="20"/>
        </w:rPr>
        <w:instrText xml:space="preserve"> TOC \t "Heading 2,1,Heading 3,2,Heading Base,1" </w:instrText>
      </w:r>
      <w:r>
        <w:rPr>
          <w:rStyle w:val="htmlcodes"/>
          <w:rFonts w:ascii="Times Roman" w:hAnsi="Times Roman" w:cs="Times Roman"/>
          <w:b w:val="0"/>
          <w:bCs w:val="0"/>
          <w:i w:val="0"/>
          <w:iCs w:val="0"/>
          <w:vanish w:val="0"/>
          <w:sz w:val="20"/>
          <w:szCs w:val="20"/>
        </w:rPr>
        <w:fldChar w:fldCharType="separate"/>
      </w:r>
      <w:r>
        <w:rPr>
          <w:noProof/>
        </w:rPr>
        <w:t>Chapter 1  Lojban As We Mangle It In Lojbanistan: About This Book</w:t>
      </w:r>
      <w:r>
        <w:rPr>
          <w:noProof/>
        </w:rPr>
        <w:tab/>
      </w:r>
      <w:r>
        <w:rPr>
          <w:noProof/>
        </w:rPr>
        <w:fldChar w:fldCharType="begin"/>
      </w:r>
      <w:r>
        <w:rPr>
          <w:noProof/>
        </w:rPr>
        <w:instrText xml:space="preserve"> GOTOBUTTON _Toc398970426  </w:instrText>
      </w:r>
      <w:r>
        <w:rPr>
          <w:noProof/>
        </w:rPr>
        <w:fldChar w:fldCharType="begin"/>
      </w:r>
      <w:r>
        <w:rPr>
          <w:noProof/>
        </w:rPr>
        <w:instrText xml:space="preserve"> PAGEREF _Toc398970426 </w:instrText>
      </w:r>
      <w:r>
        <w:rPr>
          <w:noProof/>
        </w:rPr>
        <w:fldChar w:fldCharType="separate"/>
      </w:r>
      <w:r>
        <w:rPr>
          <w:noProof/>
        </w:rPr>
        <w:instrText>3</w:instrText>
      </w:r>
      <w:r>
        <w:rPr>
          <w:noProof/>
        </w:rPr>
        <w:fldChar w:fldCharType="end"/>
      </w:r>
      <w:r>
        <w:rPr>
          <w:noProof/>
        </w:rPr>
        <w:fldChar w:fldCharType="end"/>
      </w:r>
    </w:p>
    <w:p w:rsidR="00B72047" w:rsidRDefault="00B72047">
      <w:pPr>
        <w:pStyle w:val="TOC2"/>
        <w:rPr>
          <w:noProof/>
        </w:rPr>
      </w:pPr>
      <w:r>
        <w:rPr>
          <w:noProof/>
        </w:rPr>
        <w:t>1. What is Lojban?</w:t>
      </w:r>
      <w:r>
        <w:rPr>
          <w:noProof/>
        </w:rPr>
        <w:tab/>
      </w:r>
      <w:r>
        <w:rPr>
          <w:noProof/>
        </w:rPr>
        <w:fldChar w:fldCharType="begin"/>
      </w:r>
      <w:r>
        <w:rPr>
          <w:noProof/>
        </w:rPr>
        <w:instrText xml:space="preserve"> GOTOBUTTON _Toc398970427  </w:instrText>
      </w:r>
      <w:r>
        <w:rPr>
          <w:noProof/>
        </w:rPr>
        <w:fldChar w:fldCharType="begin"/>
      </w:r>
      <w:r>
        <w:rPr>
          <w:noProof/>
        </w:rPr>
        <w:instrText xml:space="preserve"> PAGEREF _Toc398970427 </w:instrText>
      </w:r>
      <w:r>
        <w:rPr>
          <w:noProof/>
        </w:rPr>
        <w:fldChar w:fldCharType="separate"/>
      </w:r>
      <w:r>
        <w:rPr>
          <w:noProof/>
        </w:rPr>
        <w:instrText>3</w:instrText>
      </w:r>
      <w:r>
        <w:rPr>
          <w:noProof/>
        </w:rPr>
        <w:fldChar w:fldCharType="end"/>
      </w:r>
      <w:r>
        <w:rPr>
          <w:noProof/>
        </w:rPr>
        <w:fldChar w:fldCharType="end"/>
      </w:r>
    </w:p>
    <w:p w:rsidR="00B72047" w:rsidRDefault="00B72047">
      <w:pPr>
        <w:pStyle w:val="TOC2"/>
        <w:rPr>
          <w:noProof/>
        </w:rPr>
      </w:pPr>
      <w:r>
        <w:rPr>
          <w:noProof/>
        </w:rPr>
        <w:t>2. What is this book?</w:t>
      </w:r>
      <w:r>
        <w:rPr>
          <w:noProof/>
        </w:rPr>
        <w:tab/>
      </w:r>
      <w:r>
        <w:rPr>
          <w:noProof/>
        </w:rPr>
        <w:fldChar w:fldCharType="begin"/>
      </w:r>
      <w:r>
        <w:rPr>
          <w:noProof/>
        </w:rPr>
        <w:instrText xml:space="preserve"> GOTOBUTTON _Toc398970428  </w:instrText>
      </w:r>
      <w:r>
        <w:rPr>
          <w:noProof/>
        </w:rPr>
        <w:fldChar w:fldCharType="begin"/>
      </w:r>
      <w:r>
        <w:rPr>
          <w:noProof/>
        </w:rPr>
        <w:instrText xml:space="preserve"> PAGEREF _Toc398970428 </w:instrText>
      </w:r>
      <w:r>
        <w:rPr>
          <w:noProof/>
        </w:rPr>
        <w:fldChar w:fldCharType="separate"/>
      </w:r>
      <w:r>
        <w:rPr>
          <w:noProof/>
        </w:rPr>
        <w:instrText>3</w:instrText>
      </w:r>
      <w:r>
        <w:rPr>
          <w:noProof/>
        </w:rPr>
        <w:fldChar w:fldCharType="end"/>
      </w:r>
      <w:r>
        <w:rPr>
          <w:noProof/>
        </w:rPr>
        <w:fldChar w:fldCharType="end"/>
      </w:r>
    </w:p>
    <w:p w:rsidR="00B72047" w:rsidRDefault="00B72047">
      <w:pPr>
        <w:pStyle w:val="TOC2"/>
        <w:rPr>
          <w:noProof/>
        </w:rPr>
      </w:pPr>
      <w:r>
        <w:rPr>
          <w:noProof/>
        </w:rPr>
        <w:t>3. What are the typographical conventions of this book?</w:t>
      </w:r>
      <w:r>
        <w:rPr>
          <w:noProof/>
        </w:rPr>
        <w:tab/>
      </w:r>
      <w:r>
        <w:rPr>
          <w:noProof/>
        </w:rPr>
        <w:fldChar w:fldCharType="begin"/>
      </w:r>
      <w:r>
        <w:rPr>
          <w:noProof/>
        </w:rPr>
        <w:instrText xml:space="preserve"> GOTOBUTTON _Toc398970429  </w:instrText>
      </w:r>
      <w:r>
        <w:rPr>
          <w:noProof/>
        </w:rPr>
        <w:fldChar w:fldCharType="begin"/>
      </w:r>
      <w:r>
        <w:rPr>
          <w:noProof/>
        </w:rPr>
        <w:instrText xml:space="preserve"> PAGEREF _Toc398970429 </w:instrText>
      </w:r>
      <w:r>
        <w:rPr>
          <w:noProof/>
        </w:rPr>
        <w:fldChar w:fldCharType="separate"/>
      </w:r>
      <w:r>
        <w:rPr>
          <w:noProof/>
        </w:rPr>
        <w:instrText>4</w:instrText>
      </w:r>
      <w:r>
        <w:rPr>
          <w:noProof/>
        </w:rPr>
        <w:fldChar w:fldCharType="end"/>
      </w:r>
      <w:r>
        <w:rPr>
          <w:noProof/>
        </w:rPr>
        <w:fldChar w:fldCharType="end"/>
      </w:r>
    </w:p>
    <w:p w:rsidR="00B72047" w:rsidRDefault="00B72047">
      <w:pPr>
        <w:pStyle w:val="TOC2"/>
        <w:rPr>
          <w:noProof/>
        </w:rPr>
      </w:pPr>
      <w:r>
        <w:rPr>
          <w:noProof/>
        </w:rPr>
        <w:t>4. Disclaimers</w:t>
      </w:r>
      <w:r>
        <w:rPr>
          <w:noProof/>
        </w:rPr>
        <w:tab/>
      </w:r>
      <w:r>
        <w:rPr>
          <w:noProof/>
        </w:rPr>
        <w:fldChar w:fldCharType="begin"/>
      </w:r>
      <w:r>
        <w:rPr>
          <w:noProof/>
        </w:rPr>
        <w:instrText xml:space="preserve"> GOTOBUTTON _Toc398970430  </w:instrText>
      </w:r>
      <w:r>
        <w:rPr>
          <w:noProof/>
        </w:rPr>
        <w:fldChar w:fldCharType="begin"/>
      </w:r>
      <w:r>
        <w:rPr>
          <w:noProof/>
        </w:rPr>
        <w:instrText xml:space="preserve"> PAGEREF _Toc398970430 </w:instrText>
      </w:r>
      <w:r>
        <w:rPr>
          <w:noProof/>
        </w:rPr>
        <w:fldChar w:fldCharType="separate"/>
      </w:r>
      <w:r>
        <w:rPr>
          <w:noProof/>
        </w:rPr>
        <w:instrText>5</w:instrText>
      </w:r>
      <w:r>
        <w:rPr>
          <w:noProof/>
        </w:rPr>
        <w:fldChar w:fldCharType="end"/>
      </w:r>
      <w:r>
        <w:rPr>
          <w:noProof/>
        </w:rPr>
        <w:fldChar w:fldCharType="end"/>
      </w:r>
    </w:p>
    <w:p w:rsidR="00B72047" w:rsidRDefault="00B72047">
      <w:pPr>
        <w:pStyle w:val="TOC2"/>
        <w:rPr>
          <w:noProof/>
        </w:rPr>
      </w:pPr>
      <w:r>
        <w:rPr>
          <w:noProof/>
        </w:rPr>
        <w:t>5. Acknowledgements and Credits</w:t>
      </w:r>
      <w:r>
        <w:rPr>
          <w:noProof/>
        </w:rPr>
        <w:tab/>
      </w:r>
      <w:r>
        <w:rPr>
          <w:noProof/>
        </w:rPr>
        <w:fldChar w:fldCharType="begin"/>
      </w:r>
      <w:r>
        <w:rPr>
          <w:noProof/>
        </w:rPr>
        <w:instrText xml:space="preserve"> GOTOBUTTON _Toc398970431  </w:instrText>
      </w:r>
      <w:r>
        <w:rPr>
          <w:noProof/>
        </w:rPr>
        <w:fldChar w:fldCharType="begin"/>
      </w:r>
      <w:r>
        <w:rPr>
          <w:noProof/>
        </w:rPr>
        <w:instrText xml:space="preserve"> PAGEREF _Toc398970431 </w:instrText>
      </w:r>
      <w:r>
        <w:rPr>
          <w:noProof/>
        </w:rPr>
        <w:fldChar w:fldCharType="separate"/>
      </w:r>
      <w:r>
        <w:rPr>
          <w:noProof/>
        </w:rPr>
        <w:instrText>5</w:instrText>
      </w:r>
      <w:r>
        <w:rPr>
          <w:noProof/>
        </w:rPr>
        <w:fldChar w:fldCharType="end"/>
      </w:r>
      <w:r>
        <w:rPr>
          <w:noProof/>
        </w:rPr>
        <w:fldChar w:fldCharType="end"/>
      </w:r>
    </w:p>
    <w:p w:rsidR="00B72047" w:rsidRDefault="00B72047">
      <w:pPr>
        <w:pStyle w:val="TOC2"/>
        <w:rPr>
          <w:noProof/>
        </w:rPr>
      </w:pPr>
      <w:r>
        <w:rPr>
          <w:noProof/>
        </w:rPr>
        <w:t>6. Informal Bibliography</w:t>
      </w:r>
      <w:r>
        <w:rPr>
          <w:noProof/>
        </w:rPr>
        <w:tab/>
      </w:r>
      <w:r>
        <w:rPr>
          <w:noProof/>
        </w:rPr>
        <w:fldChar w:fldCharType="begin"/>
      </w:r>
      <w:r>
        <w:rPr>
          <w:noProof/>
        </w:rPr>
        <w:instrText xml:space="preserve"> GOTOBUTTON _Toc398970432  </w:instrText>
      </w:r>
      <w:r>
        <w:rPr>
          <w:noProof/>
        </w:rPr>
        <w:fldChar w:fldCharType="begin"/>
      </w:r>
      <w:r>
        <w:rPr>
          <w:noProof/>
        </w:rPr>
        <w:instrText xml:space="preserve"> PAGEREF _Toc398970432 </w:instrText>
      </w:r>
      <w:r>
        <w:rPr>
          <w:noProof/>
        </w:rPr>
        <w:fldChar w:fldCharType="separate"/>
      </w:r>
      <w:r>
        <w:rPr>
          <w:noProof/>
        </w:rPr>
        <w:instrText>6</w:instrText>
      </w:r>
      <w:r>
        <w:rPr>
          <w:noProof/>
        </w:rPr>
        <w:fldChar w:fldCharType="end"/>
      </w:r>
      <w:r>
        <w:rPr>
          <w:noProof/>
        </w:rPr>
        <w:fldChar w:fldCharType="end"/>
      </w:r>
    </w:p>
    <w:p w:rsidR="00B72047" w:rsidRDefault="00B72047">
      <w:pPr>
        <w:pStyle w:val="TOC2"/>
        <w:rPr>
          <w:noProof/>
        </w:rPr>
      </w:pPr>
      <w:r>
        <w:rPr>
          <w:noProof/>
        </w:rPr>
        <w:t>7. Captions to Pictures</w:t>
      </w:r>
      <w:r>
        <w:rPr>
          <w:noProof/>
        </w:rPr>
        <w:tab/>
      </w:r>
      <w:r>
        <w:rPr>
          <w:noProof/>
        </w:rPr>
        <w:fldChar w:fldCharType="begin"/>
      </w:r>
      <w:r>
        <w:rPr>
          <w:noProof/>
        </w:rPr>
        <w:instrText xml:space="preserve"> GOTOBUTTON _Toc398970433  </w:instrText>
      </w:r>
      <w:r>
        <w:rPr>
          <w:noProof/>
        </w:rPr>
        <w:fldChar w:fldCharType="begin"/>
      </w:r>
      <w:r>
        <w:rPr>
          <w:noProof/>
        </w:rPr>
        <w:instrText xml:space="preserve"> PAGEREF _Toc398970433 </w:instrText>
      </w:r>
      <w:r>
        <w:rPr>
          <w:noProof/>
        </w:rPr>
        <w:fldChar w:fldCharType="separate"/>
      </w:r>
      <w:r>
        <w:rPr>
          <w:noProof/>
        </w:rPr>
        <w:instrText>7</w:instrText>
      </w:r>
      <w:r>
        <w:rPr>
          <w:noProof/>
        </w:rPr>
        <w:fldChar w:fldCharType="end"/>
      </w:r>
      <w:r>
        <w:rPr>
          <w:noProof/>
        </w:rPr>
        <w:fldChar w:fldCharType="end"/>
      </w:r>
    </w:p>
    <w:p w:rsidR="00B72047" w:rsidRDefault="00B72047">
      <w:pPr>
        <w:pStyle w:val="TOC1"/>
        <w:rPr>
          <w:noProof/>
        </w:rPr>
      </w:pPr>
      <w:r>
        <w:rPr>
          <w:noProof/>
        </w:rPr>
        <w:t>Chapter 2  A Quick Tour of Lojban Grammar, With Diagrams</w:t>
      </w:r>
      <w:r>
        <w:rPr>
          <w:noProof/>
        </w:rPr>
        <w:tab/>
      </w:r>
      <w:r>
        <w:rPr>
          <w:noProof/>
        </w:rPr>
        <w:fldChar w:fldCharType="begin"/>
      </w:r>
      <w:r>
        <w:rPr>
          <w:noProof/>
        </w:rPr>
        <w:instrText xml:space="preserve"> GOTOBUTTON _Toc398970435  </w:instrText>
      </w:r>
      <w:r>
        <w:rPr>
          <w:noProof/>
        </w:rPr>
        <w:fldChar w:fldCharType="begin"/>
      </w:r>
      <w:r>
        <w:rPr>
          <w:noProof/>
        </w:rPr>
        <w:instrText xml:space="preserve"> PAGEREF _Toc398970435 </w:instrText>
      </w:r>
      <w:r>
        <w:rPr>
          <w:noProof/>
        </w:rPr>
        <w:fldChar w:fldCharType="separate"/>
      </w:r>
      <w:r>
        <w:rPr>
          <w:noProof/>
        </w:rPr>
        <w:instrText>11</w:instrText>
      </w:r>
      <w:r>
        <w:rPr>
          <w:noProof/>
        </w:rPr>
        <w:fldChar w:fldCharType="end"/>
      </w:r>
      <w:r>
        <w:rPr>
          <w:noProof/>
        </w:rPr>
        <w:fldChar w:fldCharType="end"/>
      </w:r>
    </w:p>
    <w:p w:rsidR="00B72047" w:rsidRDefault="00B72047">
      <w:pPr>
        <w:pStyle w:val="TOC2"/>
        <w:rPr>
          <w:noProof/>
        </w:rPr>
      </w:pPr>
      <w:r>
        <w:rPr>
          <w:noProof/>
        </w:rPr>
        <w:t>1. The concept of the bridi</w:t>
      </w:r>
      <w:r>
        <w:rPr>
          <w:noProof/>
        </w:rPr>
        <w:tab/>
      </w:r>
      <w:r>
        <w:rPr>
          <w:noProof/>
        </w:rPr>
        <w:fldChar w:fldCharType="begin"/>
      </w:r>
      <w:r>
        <w:rPr>
          <w:noProof/>
        </w:rPr>
        <w:instrText xml:space="preserve"> GOTOBUTTON _Toc398970436  </w:instrText>
      </w:r>
      <w:r>
        <w:rPr>
          <w:noProof/>
        </w:rPr>
        <w:fldChar w:fldCharType="begin"/>
      </w:r>
      <w:r>
        <w:rPr>
          <w:noProof/>
        </w:rPr>
        <w:instrText xml:space="preserve"> PAGEREF _Toc398970436 </w:instrText>
      </w:r>
      <w:r>
        <w:rPr>
          <w:noProof/>
        </w:rPr>
        <w:fldChar w:fldCharType="separate"/>
      </w:r>
      <w:r>
        <w:rPr>
          <w:noProof/>
        </w:rPr>
        <w:instrText>11</w:instrText>
      </w:r>
      <w:r>
        <w:rPr>
          <w:noProof/>
        </w:rPr>
        <w:fldChar w:fldCharType="end"/>
      </w:r>
      <w:r>
        <w:rPr>
          <w:noProof/>
        </w:rPr>
        <w:fldChar w:fldCharType="end"/>
      </w:r>
    </w:p>
    <w:p w:rsidR="00B72047" w:rsidRDefault="00B72047">
      <w:pPr>
        <w:pStyle w:val="TOC2"/>
        <w:rPr>
          <w:noProof/>
        </w:rPr>
      </w:pPr>
      <w:r>
        <w:rPr>
          <w:noProof/>
        </w:rPr>
        <w:t>2. Pronunciation</w:t>
      </w:r>
      <w:r>
        <w:rPr>
          <w:noProof/>
        </w:rPr>
        <w:tab/>
      </w:r>
      <w:r>
        <w:rPr>
          <w:noProof/>
        </w:rPr>
        <w:fldChar w:fldCharType="begin"/>
      </w:r>
      <w:r>
        <w:rPr>
          <w:noProof/>
        </w:rPr>
        <w:instrText xml:space="preserve"> GOTOBUTTON _Toc398970437  </w:instrText>
      </w:r>
      <w:r>
        <w:rPr>
          <w:noProof/>
        </w:rPr>
        <w:fldChar w:fldCharType="begin"/>
      </w:r>
      <w:r>
        <w:rPr>
          <w:noProof/>
        </w:rPr>
        <w:instrText xml:space="preserve"> PAGEREF _Toc398970437 </w:instrText>
      </w:r>
      <w:r>
        <w:rPr>
          <w:noProof/>
        </w:rPr>
        <w:fldChar w:fldCharType="separate"/>
      </w:r>
      <w:r>
        <w:rPr>
          <w:noProof/>
        </w:rPr>
        <w:instrText>12</w:instrText>
      </w:r>
      <w:r>
        <w:rPr>
          <w:noProof/>
        </w:rPr>
        <w:fldChar w:fldCharType="end"/>
      </w:r>
      <w:r>
        <w:rPr>
          <w:noProof/>
        </w:rPr>
        <w:fldChar w:fldCharType="end"/>
      </w:r>
    </w:p>
    <w:p w:rsidR="00B72047" w:rsidRDefault="00B72047">
      <w:pPr>
        <w:pStyle w:val="TOC2"/>
        <w:rPr>
          <w:noProof/>
        </w:rPr>
      </w:pPr>
      <w:r>
        <w:rPr>
          <w:noProof/>
        </w:rPr>
        <w:t>3. Words that can act as sumti</w:t>
      </w:r>
      <w:r>
        <w:rPr>
          <w:noProof/>
        </w:rPr>
        <w:tab/>
      </w:r>
      <w:r>
        <w:rPr>
          <w:noProof/>
        </w:rPr>
        <w:fldChar w:fldCharType="begin"/>
      </w:r>
      <w:r>
        <w:rPr>
          <w:noProof/>
        </w:rPr>
        <w:instrText xml:space="preserve"> GOTOBUTTON _Toc398970438  </w:instrText>
      </w:r>
      <w:r>
        <w:rPr>
          <w:noProof/>
        </w:rPr>
        <w:fldChar w:fldCharType="begin"/>
      </w:r>
      <w:r>
        <w:rPr>
          <w:noProof/>
        </w:rPr>
        <w:instrText xml:space="preserve"> PAGEREF _Toc398970438 </w:instrText>
      </w:r>
      <w:r>
        <w:rPr>
          <w:noProof/>
        </w:rPr>
        <w:fldChar w:fldCharType="separate"/>
      </w:r>
      <w:r>
        <w:rPr>
          <w:noProof/>
        </w:rPr>
        <w:instrText>13</w:instrText>
      </w:r>
      <w:r>
        <w:rPr>
          <w:noProof/>
        </w:rPr>
        <w:fldChar w:fldCharType="end"/>
      </w:r>
      <w:r>
        <w:rPr>
          <w:noProof/>
        </w:rPr>
        <w:fldChar w:fldCharType="end"/>
      </w:r>
    </w:p>
    <w:p w:rsidR="00B72047" w:rsidRDefault="00B72047">
      <w:pPr>
        <w:pStyle w:val="TOC2"/>
        <w:rPr>
          <w:noProof/>
        </w:rPr>
      </w:pPr>
      <w:r>
        <w:rPr>
          <w:noProof/>
        </w:rPr>
        <w:t>4. Some words used to indicate selbri relations</w:t>
      </w:r>
      <w:r>
        <w:rPr>
          <w:noProof/>
        </w:rPr>
        <w:tab/>
      </w:r>
      <w:r>
        <w:rPr>
          <w:noProof/>
        </w:rPr>
        <w:fldChar w:fldCharType="begin"/>
      </w:r>
      <w:r>
        <w:rPr>
          <w:noProof/>
        </w:rPr>
        <w:instrText xml:space="preserve"> GOTOBUTTON _Toc398970439  </w:instrText>
      </w:r>
      <w:r>
        <w:rPr>
          <w:noProof/>
        </w:rPr>
        <w:fldChar w:fldCharType="begin"/>
      </w:r>
      <w:r>
        <w:rPr>
          <w:noProof/>
        </w:rPr>
        <w:instrText xml:space="preserve"> PAGEREF _Toc398970439 </w:instrText>
      </w:r>
      <w:r>
        <w:rPr>
          <w:noProof/>
        </w:rPr>
        <w:fldChar w:fldCharType="separate"/>
      </w:r>
      <w:r>
        <w:rPr>
          <w:noProof/>
        </w:rPr>
        <w:instrText>13</w:instrText>
      </w:r>
      <w:r>
        <w:rPr>
          <w:noProof/>
        </w:rPr>
        <w:fldChar w:fldCharType="end"/>
      </w:r>
      <w:r>
        <w:rPr>
          <w:noProof/>
        </w:rPr>
        <w:fldChar w:fldCharType="end"/>
      </w:r>
    </w:p>
    <w:p w:rsidR="00B72047" w:rsidRDefault="00B72047">
      <w:pPr>
        <w:pStyle w:val="TOC2"/>
        <w:rPr>
          <w:noProof/>
        </w:rPr>
      </w:pPr>
      <w:r>
        <w:rPr>
          <w:noProof/>
        </w:rPr>
        <w:t>5. Some simple Lojban bridi</w:t>
      </w:r>
      <w:r>
        <w:rPr>
          <w:noProof/>
        </w:rPr>
        <w:tab/>
      </w:r>
      <w:r>
        <w:rPr>
          <w:noProof/>
        </w:rPr>
        <w:fldChar w:fldCharType="begin"/>
      </w:r>
      <w:r>
        <w:rPr>
          <w:noProof/>
        </w:rPr>
        <w:instrText xml:space="preserve"> GOTOBUTTON _Toc398970440  </w:instrText>
      </w:r>
      <w:r>
        <w:rPr>
          <w:noProof/>
        </w:rPr>
        <w:fldChar w:fldCharType="begin"/>
      </w:r>
      <w:r>
        <w:rPr>
          <w:noProof/>
        </w:rPr>
        <w:instrText xml:space="preserve"> PAGEREF _Toc398970440 </w:instrText>
      </w:r>
      <w:r>
        <w:rPr>
          <w:noProof/>
        </w:rPr>
        <w:fldChar w:fldCharType="separate"/>
      </w:r>
      <w:r>
        <w:rPr>
          <w:noProof/>
        </w:rPr>
        <w:instrText>14</w:instrText>
      </w:r>
      <w:r>
        <w:rPr>
          <w:noProof/>
        </w:rPr>
        <w:fldChar w:fldCharType="end"/>
      </w:r>
      <w:r>
        <w:rPr>
          <w:noProof/>
        </w:rPr>
        <w:fldChar w:fldCharType="end"/>
      </w:r>
    </w:p>
    <w:p w:rsidR="00B72047" w:rsidRDefault="00B72047">
      <w:pPr>
        <w:pStyle w:val="TOC2"/>
        <w:rPr>
          <w:noProof/>
        </w:rPr>
      </w:pPr>
      <w:r>
        <w:rPr>
          <w:noProof/>
        </w:rPr>
        <w:t>6. Variant bridi structure</w:t>
      </w:r>
      <w:r>
        <w:rPr>
          <w:noProof/>
        </w:rPr>
        <w:tab/>
      </w:r>
      <w:r>
        <w:rPr>
          <w:noProof/>
        </w:rPr>
        <w:fldChar w:fldCharType="begin"/>
      </w:r>
      <w:r>
        <w:rPr>
          <w:noProof/>
        </w:rPr>
        <w:instrText xml:space="preserve"> GOTOBUTTON _Toc398970441  </w:instrText>
      </w:r>
      <w:r>
        <w:rPr>
          <w:noProof/>
        </w:rPr>
        <w:fldChar w:fldCharType="begin"/>
      </w:r>
      <w:r>
        <w:rPr>
          <w:noProof/>
        </w:rPr>
        <w:instrText xml:space="preserve"> PAGEREF _Toc398970441 </w:instrText>
      </w:r>
      <w:r>
        <w:rPr>
          <w:noProof/>
        </w:rPr>
        <w:fldChar w:fldCharType="separate"/>
      </w:r>
      <w:r>
        <w:rPr>
          <w:noProof/>
        </w:rPr>
        <w:instrText>15</w:instrText>
      </w:r>
      <w:r>
        <w:rPr>
          <w:noProof/>
        </w:rPr>
        <w:fldChar w:fldCharType="end"/>
      </w:r>
      <w:r>
        <w:rPr>
          <w:noProof/>
        </w:rPr>
        <w:fldChar w:fldCharType="end"/>
      </w:r>
    </w:p>
    <w:p w:rsidR="00B72047" w:rsidRDefault="00B72047">
      <w:pPr>
        <w:pStyle w:val="TOC2"/>
        <w:rPr>
          <w:noProof/>
        </w:rPr>
      </w:pPr>
      <w:r>
        <w:rPr>
          <w:noProof/>
        </w:rPr>
        <w:t>7. Varying the order of sumti</w:t>
      </w:r>
      <w:r>
        <w:rPr>
          <w:noProof/>
        </w:rPr>
        <w:tab/>
      </w:r>
      <w:r>
        <w:rPr>
          <w:noProof/>
        </w:rPr>
        <w:fldChar w:fldCharType="begin"/>
      </w:r>
      <w:r>
        <w:rPr>
          <w:noProof/>
        </w:rPr>
        <w:instrText xml:space="preserve"> GOTOBUTTON _Toc398970442  </w:instrText>
      </w:r>
      <w:r>
        <w:rPr>
          <w:noProof/>
        </w:rPr>
        <w:fldChar w:fldCharType="begin"/>
      </w:r>
      <w:r>
        <w:rPr>
          <w:noProof/>
        </w:rPr>
        <w:instrText xml:space="preserve"> PAGEREF _Toc398970442 </w:instrText>
      </w:r>
      <w:r>
        <w:rPr>
          <w:noProof/>
        </w:rPr>
        <w:fldChar w:fldCharType="separate"/>
      </w:r>
      <w:r>
        <w:rPr>
          <w:noProof/>
        </w:rPr>
        <w:instrText>16</w:instrText>
      </w:r>
      <w:r>
        <w:rPr>
          <w:noProof/>
        </w:rPr>
        <w:fldChar w:fldCharType="end"/>
      </w:r>
      <w:r>
        <w:rPr>
          <w:noProof/>
        </w:rPr>
        <w:fldChar w:fldCharType="end"/>
      </w:r>
    </w:p>
    <w:p w:rsidR="00B72047" w:rsidRDefault="00B72047">
      <w:pPr>
        <w:pStyle w:val="TOC2"/>
        <w:rPr>
          <w:noProof/>
        </w:rPr>
      </w:pPr>
      <w:r>
        <w:rPr>
          <w:noProof/>
        </w:rPr>
        <w:t>8. The basic structure of longer utterances</w:t>
      </w:r>
      <w:r>
        <w:rPr>
          <w:noProof/>
        </w:rPr>
        <w:tab/>
      </w:r>
      <w:r>
        <w:rPr>
          <w:noProof/>
        </w:rPr>
        <w:fldChar w:fldCharType="begin"/>
      </w:r>
      <w:r>
        <w:rPr>
          <w:noProof/>
        </w:rPr>
        <w:instrText xml:space="preserve"> GOTOBUTTON _Toc398970443  </w:instrText>
      </w:r>
      <w:r>
        <w:rPr>
          <w:noProof/>
        </w:rPr>
        <w:fldChar w:fldCharType="begin"/>
      </w:r>
      <w:r>
        <w:rPr>
          <w:noProof/>
        </w:rPr>
        <w:instrText xml:space="preserve"> PAGEREF _Toc398970443 </w:instrText>
      </w:r>
      <w:r>
        <w:rPr>
          <w:noProof/>
        </w:rPr>
        <w:fldChar w:fldCharType="separate"/>
      </w:r>
      <w:r>
        <w:rPr>
          <w:noProof/>
        </w:rPr>
        <w:instrText>16</w:instrText>
      </w:r>
      <w:r>
        <w:rPr>
          <w:noProof/>
        </w:rPr>
        <w:fldChar w:fldCharType="end"/>
      </w:r>
      <w:r>
        <w:rPr>
          <w:noProof/>
        </w:rPr>
        <w:fldChar w:fldCharType="end"/>
      </w:r>
    </w:p>
    <w:p w:rsidR="00B72047" w:rsidRDefault="00B72047">
      <w:pPr>
        <w:pStyle w:val="TOC2"/>
        <w:rPr>
          <w:noProof/>
        </w:rPr>
      </w:pPr>
      <w:r>
        <w:rPr>
          <w:noProof/>
        </w:rPr>
        <w:t>9. tanru</w:t>
      </w:r>
      <w:r>
        <w:rPr>
          <w:noProof/>
        </w:rPr>
        <w:tab/>
      </w:r>
      <w:r>
        <w:rPr>
          <w:noProof/>
        </w:rPr>
        <w:fldChar w:fldCharType="begin"/>
      </w:r>
      <w:r>
        <w:rPr>
          <w:noProof/>
        </w:rPr>
        <w:instrText xml:space="preserve"> GOTOBUTTON _Toc398970444  </w:instrText>
      </w:r>
      <w:r>
        <w:rPr>
          <w:noProof/>
        </w:rPr>
        <w:fldChar w:fldCharType="begin"/>
      </w:r>
      <w:r>
        <w:rPr>
          <w:noProof/>
        </w:rPr>
        <w:instrText xml:space="preserve"> PAGEREF _Toc398970444 </w:instrText>
      </w:r>
      <w:r>
        <w:rPr>
          <w:noProof/>
        </w:rPr>
        <w:fldChar w:fldCharType="separate"/>
      </w:r>
      <w:r>
        <w:rPr>
          <w:noProof/>
        </w:rPr>
        <w:instrText>17</w:instrText>
      </w:r>
      <w:r>
        <w:rPr>
          <w:noProof/>
        </w:rPr>
        <w:fldChar w:fldCharType="end"/>
      </w:r>
      <w:r>
        <w:rPr>
          <w:noProof/>
        </w:rPr>
        <w:fldChar w:fldCharType="end"/>
      </w:r>
    </w:p>
    <w:p w:rsidR="00B72047" w:rsidRDefault="00B72047">
      <w:pPr>
        <w:pStyle w:val="TOC2"/>
        <w:rPr>
          <w:noProof/>
        </w:rPr>
      </w:pPr>
      <w:r>
        <w:rPr>
          <w:noProof/>
        </w:rPr>
        <w:t>10. Description sumti</w:t>
      </w:r>
      <w:r>
        <w:rPr>
          <w:noProof/>
        </w:rPr>
        <w:tab/>
      </w:r>
      <w:r>
        <w:rPr>
          <w:noProof/>
        </w:rPr>
        <w:fldChar w:fldCharType="begin"/>
      </w:r>
      <w:r>
        <w:rPr>
          <w:noProof/>
        </w:rPr>
        <w:instrText xml:space="preserve"> GOTOBUTTON _Toc398970445  </w:instrText>
      </w:r>
      <w:r>
        <w:rPr>
          <w:noProof/>
        </w:rPr>
        <w:fldChar w:fldCharType="begin"/>
      </w:r>
      <w:r>
        <w:rPr>
          <w:noProof/>
        </w:rPr>
        <w:instrText xml:space="preserve"> PAGEREF _Toc398970445 </w:instrText>
      </w:r>
      <w:r>
        <w:rPr>
          <w:noProof/>
        </w:rPr>
        <w:fldChar w:fldCharType="separate"/>
      </w:r>
      <w:r>
        <w:rPr>
          <w:noProof/>
        </w:rPr>
        <w:instrText>19</w:instrText>
      </w:r>
      <w:r>
        <w:rPr>
          <w:noProof/>
        </w:rPr>
        <w:fldChar w:fldCharType="end"/>
      </w:r>
      <w:r>
        <w:rPr>
          <w:noProof/>
        </w:rPr>
        <w:fldChar w:fldCharType="end"/>
      </w:r>
    </w:p>
    <w:p w:rsidR="00B72047" w:rsidRDefault="00B72047">
      <w:pPr>
        <w:pStyle w:val="TOC2"/>
        <w:rPr>
          <w:noProof/>
        </w:rPr>
      </w:pPr>
      <w:r>
        <w:rPr>
          <w:noProof/>
        </w:rPr>
        <w:t>11. Examples of brivla</w:t>
      </w:r>
      <w:r>
        <w:rPr>
          <w:noProof/>
        </w:rPr>
        <w:tab/>
      </w:r>
      <w:r>
        <w:rPr>
          <w:noProof/>
        </w:rPr>
        <w:fldChar w:fldCharType="begin"/>
      </w:r>
      <w:r>
        <w:rPr>
          <w:noProof/>
        </w:rPr>
        <w:instrText xml:space="preserve"> GOTOBUTTON _Toc398970446  </w:instrText>
      </w:r>
      <w:r>
        <w:rPr>
          <w:noProof/>
        </w:rPr>
        <w:fldChar w:fldCharType="begin"/>
      </w:r>
      <w:r>
        <w:rPr>
          <w:noProof/>
        </w:rPr>
        <w:instrText xml:space="preserve"> PAGEREF _Toc398970446 </w:instrText>
      </w:r>
      <w:r>
        <w:rPr>
          <w:noProof/>
        </w:rPr>
        <w:fldChar w:fldCharType="separate"/>
      </w:r>
      <w:r>
        <w:rPr>
          <w:noProof/>
        </w:rPr>
        <w:instrText>20</w:instrText>
      </w:r>
      <w:r>
        <w:rPr>
          <w:noProof/>
        </w:rPr>
        <w:fldChar w:fldCharType="end"/>
      </w:r>
      <w:r>
        <w:rPr>
          <w:noProof/>
        </w:rPr>
        <w:fldChar w:fldCharType="end"/>
      </w:r>
    </w:p>
    <w:p w:rsidR="00B72047" w:rsidRDefault="00B72047">
      <w:pPr>
        <w:pStyle w:val="TOC2"/>
        <w:rPr>
          <w:noProof/>
        </w:rPr>
      </w:pPr>
      <w:r>
        <w:rPr>
          <w:noProof/>
        </w:rPr>
        <w:t>12. The sumti “di'u” and “la'e di'u”</w:t>
      </w:r>
      <w:r>
        <w:rPr>
          <w:noProof/>
        </w:rPr>
        <w:tab/>
      </w:r>
      <w:r>
        <w:rPr>
          <w:noProof/>
        </w:rPr>
        <w:fldChar w:fldCharType="begin"/>
      </w:r>
      <w:r>
        <w:rPr>
          <w:noProof/>
        </w:rPr>
        <w:instrText xml:space="preserve"> GOTOBUTTON _Toc398970447  </w:instrText>
      </w:r>
      <w:r>
        <w:rPr>
          <w:noProof/>
        </w:rPr>
        <w:fldChar w:fldCharType="begin"/>
      </w:r>
      <w:r>
        <w:rPr>
          <w:noProof/>
        </w:rPr>
        <w:instrText xml:space="preserve"> PAGEREF _Toc398970447 </w:instrText>
      </w:r>
      <w:r>
        <w:rPr>
          <w:noProof/>
        </w:rPr>
        <w:fldChar w:fldCharType="separate"/>
      </w:r>
      <w:r>
        <w:rPr>
          <w:noProof/>
        </w:rPr>
        <w:instrText>20</w:instrText>
      </w:r>
      <w:r>
        <w:rPr>
          <w:noProof/>
        </w:rPr>
        <w:fldChar w:fldCharType="end"/>
      </w:r>
      <w:r>
        <w:rPr>
          <w:noProof/>
        </w:rPr>
        <w:fldChar w:fldCharType="end"/>
      </w:r>
    </w:p>
    <w:p w:rsidR="00B72047" w:rsidRDefault="00B72047">
      <w:pPr>
        <w:pStyle w:val="TOC2"/>
        <w:rPr>
          <w:noProof/>
        </w:rPr>
      </w:pPr>
      <w:r>
        <w:rPr>
          <w:noProof/>
        </w:rPr>
        <w:t>13. Possession</w:t>
      </w:r>
      <w:r>
        <w:rPr>
          <w:noProof/>
        </w:rPr>
        <w:tab/>
      </w:r>
      <w:r>
        <w:rPr>
          <w:noProof/>
        </w:rPr>
        <w:fldChar w:fldCharType="begin"/>
      </w:r>
      <w:r>
        <w:rPr>
          <w:noProof/>
        </w:rPr>
        <w:instrText xml:space="preserve"> GOTOBUTTON _Toc398970448  </w:instrText>
      </w:r>
      <w:r>
        <w:rPr>
          <w:noProof/>
        </w:rPr>
        <w:fldChar w:fldCharType="begin"/>
      </w:r>
      <w:r>
        <w:rPr>
          <w:noProof/>
        </w:rPr>
        <w:instrText xml:space="preserve"> PAGEREF _Toc398970448 </w:instrText>
      </w:r>
      <w:r>
        <w:rPr>
          <w:noProof/>
        </w:rPr>
        <w:fldChar w:fldCharType="separate"/>
      </w:r>
      <w:r>
        <w:rPr>
          <w:noProof/>
        </w:rPr>
        <w:instrText>21</w:instrText>
      </w:r>
      <w:r>
        <w:rPr>
          <w:noProof/>
        </w:rPr>
        <w:fldChar w:fldCharType="end"/>
      </w:r>
      <w:r>
        <w:rPr>
          <w:noProof/>
        </w:rPr>
        <w:fldChar w:fldCharType="end"/>
      </w:r>
    </w:p>
    <w:p w:rsidR="00B72047" w:rsidRDefault="00B72047">
      <w:pPr>
        <w:pStyle w:val="TOC2"/>
        <w:rPr>
          <w:noProof/>
        </w:rPr>
      </w:pPr>
      <w:r>
        <w:rPr>
          <w:noProof/>
        </w:rPr>
        <w:t>14. Vocatives and commands</w:t>
      </w:r>
      <w:r>
        <w:rPr>
          <w:noProof/>
        </w:rPr>
        <w:tab/>
      </w:r>
      <w:r>
        <w:rPr>
          <w:noProof/>
        </w:rPr>
        <w:fldChar w:fldCharType="begin"/>
      </w:r>
      <w:r>
        <w:rPr>
          <w:noProof/>
        </w:rPr>
        <w:instrText xml:space="preserve"> GOTOBUTTON _Toc398970449  </w:instrText>
      </w:r>
      <w:r>
        <w:rPr>
          <w:noProof/>
        </w:rPr>
        <w:fldChar w:fldCharType="begin"/>
      </w:r>
      <w:r>
        <w:rPr>
          <w:noProof/>
        </w:rPr>
        <w:instrText xml:space="preserve"> PAGEREF _Toc398970449 </w:instrText>
      </w:r>
      <w:r>
        <w:rPr>
          <w:noProof/>
        </w:rPr>
        <w:fldChar w:fldCharType="separate"/>
      </w:r>
      <w:r>
        <w:rPr>
          <w:noProof/>
        </w:rPr>
        <w:instrText>21</w:instrText>
      </w:r>
      <w:r>
        <w:rPr>
          <w:noProof/>
        </w:rPr>
        <w:fldChar w:fldCharType="end"/>
      </w:r>
      <w:r>
        <w:rPr>
          <w:noProof/>
        </w:rPr>
        <w:fldChar w:fldCharType="end"/>
      </w:r>
    </w:p>
    <w:p w:rsidR="00B72047" w:rsidRDefault="00B72047">
      <w:pPr>
        <w:pStyle w:val="TOC2"/>
        <w:rPr>
          <w:noProof/>
        </w:rPr>
      </w:pPr>
      <w:r>
        <w:rPr>
          <w:noProof/>
        </w:rPr>
        <w:t>15. Questions</w:t>
      </w:r>
      <w:r>
        <w:rPr>
          <w:noProof/>
        </w:rPr>
        <w:tab/>
      </w:r>
      <w:r>
        <w:rPr>
          <w:noProof/>
        </w:rPr>
        <w:fldChar w:fldCharType="begin"/>
      </w:r>
      <w:r>
        <w:rPr>
          <w:noProof/>
        </w:rPr>
        <w:instrText xml:space="preserve"> GOTOBUTTON _Toc398970450  </w:instrText>
      </w:r>
      <w:r>
        <w:rPr>
          <w:noProof/>
        </w:rPr>
        <w:fldChar w:fldCharType="begin"/>
      </w:r>
      <w:r>
        <w:rPr>
          <w:noProof/>
        </w:rPr>
        <w:instrText xml:space="preserve"> PAGEREF _Toc398970450 </w:instrText>
      </w:r>
      <w:r>
        <w:rPr>
          <w:noProof/>
        </w:rPr>
        <w:fldChar w:fldCharType="separate"/>
      </w:r>
      <w:r>
        <w:rPr>
          <w:noProof/>
        </w:rPr>
        <w:instrText>22</w:instrText>
      </w:r>
      <w:r>
        <w:rPr>
          <w:noProof/>
        </w:rPr>
        <w:fldChar w:fldCharType="end"/>
      </w:r>
      <w:r>
        <w:rPr>
          <w:noProof/>
        </w:rPr>
        <w:fldChar w:fldCharType="end"/>
      </w:r>
    </w:p>
    <w:p w:rsidR="00B72047" w:rsidRDefault="00B72047">
      <w:pPr>
        <w:pStyle w:val="TOC2"/>
        <w:rPr>
          <w:noProof/>
        </w:rPr>
      </w:pPr>
      <w:r>
        <w:rPr>
          <w:noProof/>
        </w:rPr>
        <w:t>16. Indicators</w:t>
      </w:r>
      <w:r>
        <w:rPr>
          <w:noProof/>
        </w:rPr>
        <w:tab/>
      </w:r>
      <w:r>
        <w:rPr>
          <w:noProof/>
        </w:rPr>
        <w:fldChar w:fldCharType="begin"/>
      </w:r>
      <w:r>
        <w:rPr>
          <w:noProof/>
        </w:rPr>
        <w:instrText xml:space="preserve"> GOTOBUTTON _Toc398970451  </w:instrText>
      </w:r>
      <w:r>
        <w:rPr>
          <w:noProof/>
        </w:rPr>
        <w:fldChar w:fldCharType="begin"/>
      </w:r>
      <w:r>
        <w:rPr>
          <w:noProof/>
        </w:rPr>
        <w:instrText xml:space="preserve"> PAGEREF _Toc398970451 </w:instrText>
      </w:r>
      <w:r>
        <w:rPr>
          <w:noProof/>
        </w:rPr>
        <w:fldChar w:fldCharType="separate"/>
      </w:r>
      <w:r>
        <w:rPr>
          <w:noProof/>
        </w:rPr>
        <w:instrText>24</w:instrText>
      </w:r>
      <w:r>
        <w:rPr>
          <w:noProof/>
        </w:rPr>
        <w:fldChar w:fldCharType="end"/>
      </w:r>
      <w:r>
        <w:rPr>
          <w:noProof/>
        </w:rPr>
        <w:fldChar w:fldCharType="end"/>
      </w:r>
    </w:p>
    <w:p w:rsidR="00B72047" w:rsidRDefault="00B72047">
      <w:pPr>
        <w:pStyle w:val="TOC2"/>
        <w:rPr>
          <w:noProof/>
        </w:rPr>
      </w:pPr>
      <w:r>
        <w:rPr>
          <w:noProof/>
        </w:rPr>
        <w:t>17. Tenses</w:t>
      </w:r>
      <w:r>
        <w:rPr>
          <w:noProof/>
        </w:rPr>
        <w:tab/>
      </w:r>
      <w:r>
        <w:rPr>
          <w:noProof/>
        </w:rPr>
        <w:fldChar w:fldCharType="begin"/>
      </w:r>
      <w:r>
        <w:rPr>
          <w:noProof/>
        </w:rPr>
        <w:instrText xml:space="preserve"> GOTOBUTTON _Toc398970452  </w:instrText>
      </w:r>
      <w:r>
        <w:rPr>
          <w:noProof/>
        </w:rPr>
        <w:fldChar w:fldCharType="begin"/>
      </w:r>
      <w:r>
        <w:rPr>
          <w:noProof/>
        </w:rPr>
        <w:instrText xml:space="preserve"> PAGEREF _Toc398970452 </w:instrText>
      </w:r>
      <w:r>
        <w:rPr>
          <w:noProof/>
        </w:rPr>
        <w:fldChar w:fldCharType="separate"/>
      </w:r>
      <w:r>
        <w:rPr>
          <w:noProof/>
        </w:rPr>
        <w:instrText>25</w:instrText>
      </w:r>
      <w:r>
        <w:rPr>
          <w:noProof/>
        </w:rPr>
        <w:fldChar w:fldCharType="end"/>
      </w:r>
      <w:r>
        <w:rPr>
          <w:noProof/>
        </w:rPr>
        <w:fldChar w:fldCharType="end"/>
      </w:r>
    </w:p>
    <w:p w:rsidR="00B72047" w:rsidRDefault="00B72047">
      <w:pPr>
        <w:pStyle w:val="TOC2"/>
        <w:rPr>
          <w:noProof/>
        </w:rPr>
      </w:pPr>
      <w:r>
        <w:rPr>
          <w:noProof/>
        </w:rPr>
        <w:t>18. Lojban grammatical terms</w:t>
      </w:r>
      <w:r>
        <w:rPr>
          <w:noProof/>
        </w:rPr>
        <w:tab/>
      </w:r>
      <w:r>
        <w:rPr>
          <w:noProof/>
        </w:rPr>
        <w:fldChar w:fldCharType="begin"/>
      </w:r>
      <w:r>
        <w:rPr>
          <w:noProof/>
        </w:rPr>
        <w:instrText xml:space="preserve"> GOTOBUTTON _Toc398970453  </w:instrText>
      </w:r>
      <w:r>
        <w:rPr>
          <w:noProof/>
        </w:rPr>
        <w:fldChar w:fldCharType="begin"/>
      </w:r>
      <w:r>
        <w:rPr>
          <w:noProof/>
        </w:rPr>
        <w:instrText xml:space="preserve"> PAGEREF _Toc398970453 </w:instrText>
      </w:r>
      <w:r>
        <w:rPr>
          <w:noProof/>
        </w:rPr>
        <w:fldChar w:fldCharType="separate"/>
      </w:r>
      <w:r>
        <w:rPr>
          <w:noProof/>
        </w:rPr>
        <w:instrText>26</w:instrText>
      </w:r>
      <w:r>
        <w:rPr>
          <w:noProof/>
        </w:rPr>
        <w:fldChar w:fldCharType="end"/>
      </w:r>
      <w:r>
        <w:rPr>
          <w:noProof/>
        </w:rPr>
        <w:fldChar w:fldCharType="end"/>
      </w:r>
    </w:p>
    <w:p w:rsidR="00B72047" w:rsidRDefault="00B72047">
      <w:pPr>
        <w:pStyle w:val="TOC1"/>
        <w:rPr>
          <w:noProof/>
        </w:rPr>
      </w:pPr>
      <w:r>
        <w:rPr>
          <w:noProof/>
        </w:rPr>
        <w:t>Chapter 3  The Hills Are Alive With The Sounds Of Lojban</w:t>
      </w:r>
      <w:r>
        <w:rPr>
          <w:noProof/>
        </w:rPr>
        <w:tab/>
      </w:r>
      <w:r>
        <w:rPr>
          <w:noProof/>
        </w:rPr>
        <w:fldChar w:fldCharType="begin"/>
      </w:r>
      <w:r>
        <w:rPr>
          <w:noProof/>
        </w:rPr>
        <w:instrText xml:space="preserve"> GOTOBUTTON _Toc398970455  </w:instrText>
      </w:r>
      <w:r>
        <w:rPr>
          <w:noProof/>
        </w:rPr>
        <w:fldChar w:fldCharType="begin"/>
      </w:r>
      <w:r>
        <w:rPr>
          <w:noProof/>
        </w:rPr>
        <w:instrText xml:space="preserve"> PAGEREF _Toc398970455 </w:instrText>
      </w:r>
      <w:r>
        <w:rPr>
          <w:noProof/>
        </w:rPr>
        <w:fldChar w:fldCharType="separate"/>
      </w:r>
      <w:r>
        <w:rPr>
          <w:noProof/>
        </w:rPr>
        <w:instrText>29</w:instrText>
      </w:r>
      <w:r>
        <w:rPr>
          <w:noProof/>
        </w:rPr>
        <w:fldChar w:fldCharType="end"/>
      </w:r>
      <w:r>
        <w:rPr>
          <w:noProof/>
        </w:rPr>
        <w:fldChar w:fldCharType="end"/>
      </w:r>
    </w:p>
    <w:p w:rsidR="00B72047" w:rsidRDefault="00B72047">
      <w:pPr>
        <w:pStyle w:val="TOC2"/>
        <w:rPr>
          <w:noProof/>
        </w:rPr>
      </w:pPr>
      <w:r>
        <w:rPr>
          <w:noProof/>
        </w:rPr>
        <w:t>1. Orthography</w:t>
      </w:r>
      <w:r>
        <w:rPr>
          <w:noProof/>
        </w:rPr>
        <w:tab/>
      </w:r>
      <w:r>
        <w:rPr>
          <w:noProof/>
        </w:rPr>
        <w:fldChar w:fldCharType="begin"/>
      </w:r>
      <w:r>
        <w:rPr>
          <w:noProof/>
        </w:rPr>
        <w:instrText xml:space="preserve"> GOTOBUTTON _Toc398970456  </w:instrText>
      </w:r>
      <w:r>
        <w:rPr>
          <w:noProof/>
        </w:rPr>
        <w:fldChar w:fldCharType="begin"/>
      </w:r>
      <w:r>
        <w:rPr>
          <w:noProof/>
        </w:rPr>
        <w:instrText xml:space="preserve"> PAGEREF _Toc398970456 </w:instrText>
      </w:r>
      <w:r>
        <w:rPr>
          <w:noProof/>
        </w:rPr>
        <w:fldChar w:fldCharType="separate"/>
      </w:r>
      <w:r>
        <w:rPr>
          <w:noProof/>
        </w:rPr>
        <w:instrText>29</w:instrText>
      </w:r>
      <w:r>
        <w:rPr>
          <w:noProof/>
        </w:rPr>
        <w:fldChar w:fldCharType="end"/>
      </w:r>
      <w:r>
        <w:rPr>
          <w:noProof/>
        </w:rPr>
        <w:fldChar w:fldCharType="end"/>
      </w:r>
    </w:p>
    <w:p w:rsidR="00B72047" w:rsidRDefault="00B72047">
      <w:pPr>
        <w:pStyle w:val="TOC2"/>
        <w:rPr>
          <w:noProof/>
        </w:rPr>
      </w:pPr>
      <w:r>
        <w:rPr>
          <w:noProof/>
        </w:rPr>
        <w:t>2. Basic phonetics</w:t>
      </w:r>
      <w:r>
        <w:rPr>
          <w:noProof/>
        </w:rPr>
        <w:tab/>
      </w:r>
      <w:r>
        <w:rPr>
          <w:noProof/>
        </w:rPr>
        <w:fldChar w:fldCharType="begin"/>
      </w:r>
      <w:r>
        <w:rPr>
          <w:noProof/>
        </w:rPr>
        <w:instrText xml:space="preserve"> GOTOBUTTON _Toc398970457  </w:instrText>
      </w:r>
      <w:r>
        <w:rPr>
          <w:noProof/>
        </w:rPr>
        <w:fldChar w:fldCharType="begin"/>
      </w:r>
      <w:r>
        <w:rPr>
          <w:noProof/>
        </w:rPr>
        <w:instrText xml:space="preserve"> PAGEREF _Toc398970457 </w:instrText>
      </w:r>
      <w:r>
        <w:rPr>
          <w:noProof/>
        </w:rPr>
        <w:fldChar w:fldCharType="separate"/>
      </w:r>
      <w:r>
        <w:rPr>
          <w:noProof/>
        </w:rPr>
        <w:instrText>29</w:instrText>
      </w:r>
      <w:r>
        <w:rPr>
          <w:noProof/>
        </w:rPr>
        <w:fldChar w:fldCharType="end"/>
      </w:r>
      <w:r>
        <w:rPr>
          <w:noProof/>
        </w:rPr>
        <w:fldChar w:fldCharType="end"/>
      </w:r>
    </w:p>
    <w:p w:rsidR="00B72047" w:rsidRDefault="00B72047">
      <w:pPr>
        <w:pStyle w:val="TOC2"/>
        <w:rPr>
          <w:noProof/>
        </w:rPr>
      </w:pPr>
      <w:r>
        <w:rPr>
          <w:noProof/>
        </w:rPr>
        <w:t>3. The special Lojban characters</w:t>
      </w:r>
      <w:r>
        <w:rPr>
          <w:noProof/>
        </w:rPr>
        <w:tab/>
      </w:r>
      <w:r>
        <w:rPr>
          <w:noProof/>
        </w:rPr>
        <w:fldChar w:fldCharType="begin"/>
      </w:r>
      <w:r>
        <w:rPr>
          <w:noProof/>
        </w:rPr>
        <w:instrText xml:space="preserve"> GOTOBUTTON _Toc398970458  </w:instrText>
      </w:r>
      <w:r>
        <w:rPr>
          <w:noProof/>
        </w:rPr>
        <w:fldChar w:fldCharType="begin"/>
      </w:r>
      <w:r>
        <w:rPr>
          <w:noProof/>
        </w:rPr>
        <w:instrText xml:space="preserve"> PAGEREF _Toc398970458 </w:instrText>
      </w:r>
      <w:r>
        <w:rPr>
          <w:noProof/>
        </w:rPr>
        <w:fldChar w:fldCharType="separate"/>
      </w:r>
      <w:r>
        <w:rPr>
          <w:noProof/>
        </w:rPr>
        <w:instrText>31</w:instrText>
      </w:r>
      <w:r>
        <w:rPr>
          <w:noProof/>
        </w:rPr>
        <w:fldChar w:fldCharType="end"/>
      </w:r>
      <w:r>
        <w:rPr>
          <w:noProof/>
        </w:rPr>
        <w:fldChar w:fldCharType="end"/>
      </w:r>
    </w:p>
    <w:p w:rsidR="00B72047" w:rsidRDefault="00B72047">
      <w:pPr>
        <w:pStyle w:val="TOC2"/>
        <w:rPr>
          <w:noProof/>
        </w:rPr>
      </w:pPr>
      <w:r>
        <w:rPr>
          <w:noProof/>
        </w:rPr>
        <w:t>4. Diphthongs and syllabic consonants</w:t>
      </w:r>
      <w:r>
        <w:rPr>
          <w:noProof/>
        </w:rPr>
        <w:tab/>
      </w:r>
      <w:r>
        <w:rPr>
          <w:noProof/>
        </w:rPr>
        <w:fldChar w:fldCharType="begin"/>
      </w:r>
      <w:r>
        <w:rPr>
          <w:noProof/>
        </w:rPr>
        <w:instrText xml:space="preserve"> GOTOBUTTON _Toc398970459  </w:instrText>
      </w:r>
      <w:r>
        <w:rPr>
          <w:noProof/>
        </w:rPr>
        <w:fldChar w:fldCharType="begin"/>
      </w:r>
      <w:r>
        <w:rPr>
          <w:noProof/>
        </w:rPr>
        <w:instrText xml:space="preserve"> PAGEREF _Toc398970459 </w:instrText>
      </w:r>
      <w:r>
        <w:rPr>
          <w:noProof/>
        </w:rPr>
        <w:fldChar w:fldCharType="separate"/>
      </w:r>
      <w:r>
        <w:rPr>
          <w:noProof/>
        </w:rPr>
        <w:instrText>33</w:instrText>
      </w:r>
      <w:r>
        <w:rPr>
          <w:noProof/>
        </w:rPr>
        <w:fldChar w:fldCharType="end"/>
      </w:r>
      <w:r>
        <w:rPr>
          <w:noProof/>
        </w:rPr>
        <w:fldChar w:fldCharType="end"/>
      </w:r>
    </w:p>
    <w:p w:rsidR="00B72047" w:rsidRDefault="00B72047">
      <w:pPr>
        <w:pStyle w:val="TOC2"/>
        <w:rPr>
          <w:noProof/>
        </w:rPr>
      </w:pPr>
      <w:r>
        <w:rPr>
          <w:noProof/>
        </w:rPr>
        <w:t>5. Vowel pairs</w:t>
      </w:r>
      <w:r>
        <w:rPr>
          <w:noProof/>
        </w:rPr>
        <w:tab/>
      </w:r>
      <w:r>
        <w:rPr>
          <w:noProof/>
        </w:rPr>
        <w:fldChar w:fldCharType="begin"/>
      </w:r>
      <w:r>
        <w:rPr>
          <w:noProof/>
        </w:rPr>
        <w:instrText xml:space="preserve"> GOTOBUTTON _Toc398970460  </w:instrText>
      </w:r>
      <w:r>
        <w:rPr>
          <w:noProof/>
        </w:rPr>
        <w:fldChar w:fldCharType="begin"/>
      </w:r>
      <w:r>
        <w:rPr>
          <w:noProof/>
        </w:rPr>
        <w:instrText xml:space="preserve"> PAGEREF _Toc398970460 </w:instrText>
      </w:r>
      <w:r>
        <w:rPr>
          <w:noProof/>
        </w:rPr>
        <w:fldChar w:fldCharType="separate"/>
      </w:r>
      <w:r>
        <w:rPr>
          <w:noProof/>
        </w:rPr>
        <w:instrText>34</w:instrText>
      </w:r>
      <w:r>
        <w:rPr>
          <w:noProof/>
        </w:rPr>
        <w:fldChar w:fldCharType="end"/>
      </w:r>
      <w:r>
        <w:rPr>
          <w:noProof/>
        </w:rPr>
        <w:fldChar w:fldCharType="end"/>
      </w:r>
    </w:p>
    <w:p w:rsidR="00B72047" w:rsidRDefault="00B72047">
      <w:pPr>
        <w:pStyle w:val="TOC2"/>
        <w:rPr>
          <w:noProof/>
        </w:rPr>
      </w:pPr>
      <w:r>
        <w:rPr>
          <w:noProof/>
        </w:rPr>
        <w:t>6. Consonant clusters</w:t>
      </w:r>
      <w:r>
        <w:rPr>
          <w:noProof/>
        </w:rPr>
        <w:tab/>
      </w:r>
      <w:r>
        <w:rPr>
          <w:noProof/>
        </w:rPr>
        <w:fldChar w:fldCharType="begin"/>
      </w:r>
      <w:r>
        <w:rPr>
          <w:noProof/>
        </w:rPr>
        <w:instrText xml:space="preserve"> GOTOBUTTON _Toc398970461  </w:instrText>
      </w:r>
      <w:r>
        <w:rPr>
          <w:noProof/>
        </w:rPr>
        <w:fldChar w:fldCharType="begin"/>
      </w:r>
      <w:r>
        <w:rPr>
          <w:noProof/>
        </w:rPr>
        <w:instrText xml:space="preserve"> PAGEREF _Toc398970461 </w:instrText>
      </w:r>
      <w:r>
        <w:rPr>
          <w:noProof/>
        </w:rPr>
        <w:fldChar w:fldCharType="separate"/>
      </w:r>
      <w:r>
        <w:rPr>
          <w:noProof/>
        </w:rPr>
        <w:instrText>35</w:instrText>
      </w:r>
      <w:r>
        <w:rPr>
          <w:noProof/>
        </w:rPr>
        <w:fldChar w:fldCharType="end"/>
      </w:r>
      <w:r>
        <w:rPr>
          <w:noProof/>
        </w:rPr>
        <w:fldChar w:fldCharType="end"/>
      </w:r>
    </w:p>
    <w:p w:rsidR="00B72047" w:rsidRDefault="00B72047">
      <w:pPr>
        <w:pStyle w:val="TOC2"/>
        <w:rPr>
          <w:noProof/>
        </w:rPr>
      </w:pPr>
      <w:r>
        <w:rPr>
          <w:noProof/>
        </w:rPr>
        <w:t>7. Initial consonant pairs</w:t>
      </w:r>
      <w:r>
        <w:rPr>
          <w:noProof/>
        </w:rPr>
        <w:tab/>
      </w:r>
      <w:r>
        <w:rPr>
          <w:noProof/>
        </w:rPr>
        <w:fldChar w:fldCharType="begin"/>
      </w:r>
      <w:r>
        <w:rPr>
          <w:noProof/>
        </w:rPr>
        <w:instrText xml:space="preserve"> GOTOBUTTON _Toc398970462  </w:instrText>
      </w:r>
      <w:r>
        <w:rPr>
          <w:noProof/>
        </w:rPr>
        <w:fldChar w:fldCharType="begin"/>
      </w:r>
      <w:r>
        <w:rPr>
          <w:noProof/>
        </w:rPr>
        <w:instrText xml:space="preserve"> PAGEREF _Toc398970462 </w:instrText>
      </w:r>
      <w:r>
        <w:rPr>
          <w:noProof/>
        </w:rPr>
        <w:fldChar w:fldCharType="separate"/>
      </w:r>
      <w:r>
        <w:rPr>
          <w:noProof/>
        </w:rPr>
        <w:instrText>36</w:instrText>
      </w:r>
      <w:r>
        <w:rPr>
          <w:noProof/>
        </w:rPr>
        <w:fldChar w:fldCharType="end"/>
      </w:r>
      <w:r>
        <w:rPr>
          <w:noProof/>
        </w:rPr>
        <w:fldChar w:fldCharType="end"/>
      </w:r>
    </w:p>
    <w:p w:rsidR="00B72047" w:rsidRDefault="00B72047">
      <w:pPr>
        <w:pStyle w:val="TOC2"/>
        <w:rPr>
          <w:noProof/>
        </w:rPr>
      </w:pPr>
      <w:r>
        <w:rPr>
          <w:noProof/>
        </w:rPr>
        <w:t>8. Buffering of consonant clusters</w:t>
      </w:r>
      <w:r>
        <w:rPr>
          <w:noProof/>
        </w:rPr>
        <w:tab/>
      </w:r>
      <w:r>
        <w:rPr>
          <w:noProof/>
        </w:rPr>
        <w:fldChar w:fldCharType="begin"/>
      </w:r>
      <w:r>
        <w:rPr>
          <w:noProof/>
        </w:rPr>
        <w:instrText xml:space="preserve"> GOTOBUTTON _Toc398970463  </w:instrText>
      </w:r>
      <w:r>
        <w:rPr>
          <w:noProof/>
        </w:rPr>
        <w:fldChar w:fldCharType="begin"/>
      </w:r>
      <w:r>
        <w:rPr>
          <w:noProof/>
        </w:rPr>
        <w:instrText xml:space="preserve"> PAGEREF _Toc398970463 </w:instrText>
      </w:r>
      <w:r>
        <w:rPr>
          <w:noProof/>
        </w:rPr>
        <w:fldChar w:fldCharType="separate"/>
      </w:r>
      <w:r>
        <w:rPr>
          <w:noProof/>
        </w:rPr>
        <w:instrText>38</w:instrText>
      </w:r>
      <w:r>
        <w:rPr>
          <w:noProof/>
        </w:rPr>
        <w:fldChar w:fldCharType="end"/>
      </w:r>
      <w:r>
        <w:rPr>
          <w:noProof/>
        </w:rPr>
        <w:fldChar w:fldCharType="end"/>
      </w:r>
    </w:p>
    <w:p w:rsidR="00B72047" w:rsidRDefault="00B72047">
      <w:pPr>
        <w:pStyle w:val="TOC2"/>
        <w:rPr>
          <w:noProof/>
        </w:rPr>
      </w:pPr>
      <w:r>
        <w:rPr>
          <w:noProof/>
        </w:rPr>
        <w:t>9. Syllabication and stress</w:t>
      </w:r>
      <w:r>
        <w:rPr>
          <w:noProof/>
        </w:rPr>
        <w:tab/>
      </w:r>
      <w:r>
        <w:rPr>
          <w:noProof/>
        </w:rPr>
        <w:fldChar w:fldCharType="begin"/>
      </w:r>
      <w:r>
        <w:rPr>
          <w:noProof/>
        </w:rPr>
        <w:instrText xml:space="preserve"> GOTOBUTTON _Toc398970464  </w:instrText>
      </w:r>
      <w:r>
        <w:rPr>
          <w:noProof/>
        </w:rPr>
        <w:fldChar w:fldCharType="begin"/>
      </w:r>
      <w:r>
        <w:rPr>
          <w:noProof/>
        </w:rPr>
        <w:instrText xml:space="preserve"> PAGEREF _Toc398970464 </w:instrText>
      </w:r>
      <w:r>
        <w:rPr>
          <w:noProof/>
        </w:rPr>
        <w:fldChar w:fldCharType="separate"/>
      </w:r>
      <w:r>
        <w:rPr>
          <w:noProof/>
        </w:rPr>
        <w:instrText>39</w:instrText>
      </w:r>
      <w:r>
        <w:rPr>
          <w:noProof/>
        </w:rPr>
        <w:fldChar w:fldCharType="end"/>
      </w:r>
      <w:r>
        <w:rPr>
          <w:noProof/>
        </w:rPr>
        <w:fldChar w:fldCharType="end"/>
      </w:r>
    </w:p>
    <w:p w:rsidR="00B72047" w:rsidRDefault="00B72047">
      <w:pPr>
        <w:pStyle w:val="TOC2"/>
        <w:rPr>
          <w:noProof/>
        </w:rPr>
      </w:pPr>
      <w:r>
        <w:rPr>
          <w:noProof/>
        </w:rPr>
        <w:t>10. IPA for English-speakers</w:t>
      </w:r>
      <w:r>
        <w:rPr>
          <w:noProof/>
        </w:rPr>
        <w:tab/>
      </w:r>
      <w:r>
        <w:rPr>
          <w:noProof/>
        </w:rPr>
        <w:fldChar w:fldCharType="begin"/>
      </w:r>
      <w:r>
        <w:rPr>
          <w:noProof/>
        </w:rPr>
        <w:instrText xml:space="preserve"> GOTOBUTTON _Toc398970465  </w:instrText>
      </w:r>
      <w:r>
        <w:rPr>
          <w:noProof/>
        </w:rPr>
        <w:fldChar w:fldCharType="begin"/>
      </w:r>
      <w:r>
        <w:rPr>
          <w:noProof/>
        </w:rPr>
        <w:instrText xml:space="preserve"> PAGEREF _Toc398970465 </w:instrText>
      </w:r>
      <w:r>
        <w:rPr>
          <w:noProof/>
        </w:rPr>
        <w:fldChar w:fldCharType="separate"/>
      </w:r>
      <w:r>
        <w:rPr>
          <w:noProof/>
        </w:rPr>
        <w:instrText>42</w:instrText>
      </w:r>
      <w:r>
        <w:rPr>
          <w:noProof/>
        </w:rPr>
        <w:fldChar w:fldCharType="end"/>
      </w:r>
      <w:r>
        <w:rPr>
          <w:noProof/>
        </w:rPr>
        <w:fldChar w:fldCharType="end"/>
      </w:r>
    </w:p>
    <w:p w:rsidR="00B72047" w:rsidRDefault="00B72047">
      <w:pPr>
        <w:pStyle w:val="TOC2"/>
        <w:rPr>
          <w:noProof/>
        </w:rPr>
      </w:pPr>
      <w:r>
        <w:rPr>
          <w:noProof/>
        </w:rPr>
        <w:t>11. English analogues for Lojban diphthongs</w:t>
      </w:r>
      <w:r>
        <w:rPr>
          <w:noProof/>
        </w:rPr>
        <w:tab/>
      </w:r>
      <w:r>
        <w:rPr>
          <w:noProof/>
        </w:rPr>
        <w:fldChar w:fldCharType="begin"/>
      </w:r>
      <w:r>
        <w:rPr>
          <w:noProof/>
        </w:rPr>
        <w:instrText xml:space="preserve"> GOTOBUTTON _Toc398970466  </w:instrText>
      </w:r>
      <w:r>
        <w:rPr>
          <w:noProof/>
        </w:rPr>
        <w:fldChar w:fldCharType="begin"/>
      </w:r>
      <w:r>
        <w:rPr>
          <w:noProof/>
        </w:rPr>
        <w:instrText xml:space="preserve"> PAGEREF _Toc398970466 </w:instrText>
      </w:r>
      <w:r>
        <w:rPr>
          <w:noProof/>
        </w:rPr>
        <w:fldChar w:fldCharType="separate"/>
      </w:r>
      <w:r>
        <w:rPr>
          <w:noProof/>
        </w:rPr>
        <w:instrText>45</w:instrText>
      </w:r>
      <w:r>
        <w:rPr>
          <w:noProof/>
        </w:rPr>
        <w:fldChar w:fldCharType="end"/>
      </w:r>
      <w:r>
        <w:rPr>
          <w:noProof/>
        </w:rPr>
        <w:fldChar w:fldCharType="end"/>
      </w:r>
    </w:p>
    <w:p w:rsidR="00B72047" w:rsidRDefault="00B72047">
      <w:pPr>
        <w:pStyle w:val="TOC2"/>
        <w:rPr>
          <w:noProof/>
        </w:rPr>
      </w:pPr>
      <w:r>
        <w:rPr>
          <w:noProof/>
        </w:rPr>
        <w:t>12. Oddball orthographies</w:t>
      </w:r>
      <w:r>
        <w:rPr>
          <w:noProof/>
        </w:rPr>
        <w:tab/>
      </w:r>
      <w:r>
        <w:rPr>
          <w:noProof/>
        </w:rPr>
        <w:fldChar w:fldCharType="begin"/>
      </w:r>
      <w:r>
        <w:rPr>
          <w:noProof/>
        </w:rPr>
        <w:instrText xml:space="preserve"> GOTOBUTTON _Toc398970467  </w:instrText>
      </w:r>
      <w:r>
        <w:rPr>
          <w:noProof/>
        </w:rPr>
        <w:fldChar w:fldCharType="begin"/>
      </w:r>
      <w:r>
        <w:rPr>
          <w:noProof/>
        </w:rPr>
        <w:instrText xml:space="preserve"> PAGEREF _Toc398970467 </w:instrText>
      </w:r>
      <w:r>
        <w:rPr>
          <w:noProof/>
        </w:rPr>
        <w:fldChar w:fldCharType="separate"/>
      </w:r>
      <w:r>
        <w:rPr>
          <w:noProof/>
        </w:rPr>
        <w:instrText>45</w:instrText>
      </w:r>
      <w:r>
        <w:rPr>
          <w:noProof/>
        </w:rPr>
        <w:fldChar w:fldCharType="end"/>
      </w:r>
      <w:r>
        <w:rPr>
          <w:noProof/>
        </w:rPr>
        <w:fldChar w:fldCharType="end"/>
      </w:r>
    </w:p>
    <w:p w:rsidR="00B72047" w:rsidRDefault="00B72047">
      <w:pPr>
        <w:pStyle w:val="TOC1"/>
        <w:rPr>
          <w:noProof/>
        </w:rPr>
      </w:pPr>
      <w:r>
        <w:rPr>
          <w:noProof/>
        </w:rPr>
        <w:t>Chapter 4  The Shape Of Words To Come: Lojban Morphology</w:t>
      </w:r>
      <w:r>
        <w:rPr>
          <w:noProof/>
        </w:rPr>
        <w:tab/>
      </w:r>
      <w:r>
        <w:rPr>
          <w:noProof/>
        </w:rPr>
        <w:fldChar w:fldCharType="begin"/>
      </w:r>
      <w:r>
        <w:rPr>
          <w:noProof/>
        </w:rPr>
        <w:instrText xml:space="preserve"> GOTOBUTTON _Toc398970469  </w:instrText>
      </w:r>
      <w:r>
        <w:rPr>
          <w:noProof/>
        </w:rPr>
        <w:fldChar w:fldCharType="begin"/>
      </w:r>
      <w:r>
        <w:rPr>
          <w:noProof/>
        </w:rPr>
        <w:instrText xml:space="preserve"> PAGEREF _Toc398970469 </w:instrText>
      </w:r>
      <w:r>
        <w:rPr>
          <w:noProof/>
        </w:rPr>
        <w:fldChar w:fldCharType="separate"/>
      </w:r>
      <w:r>
        <w:rPr>
          <w:noProof/>
        </w:rPr>
        <w:instrText>49</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_Toc398970470  </w:instrText>
      </w:r>
      <w:r>
        <w:rPr>
          <w:noProof/>
        </w:rPr>
        <w:fldChar w:fldCharType="begin"/>
      </w:r>
      <w:r>
        <w:rPr>
          <w:noProof/>
        </w:rPr>
        <w:instrText xml:space="preserve"> PAGEREF _Toc398970470 </w:instrText>
      </w:r>
      <w:r>
        <w:rPr>
          <w:noProof/>
        </w:rPr>
        <w:fldChar w:fldCharType="separate"/>
      </w:r>
      <w:r>
        <w:rPr>
          <w:noProof/>
        </w:rPr>
        <w:instrText>49</w:instrText>
      </w:r>
      <w:r>
        <w:rPr>
          <w:noProof/>
        </w:rPr>
        <w:fldChar w:fldCharType="end"/>
      </w:r>
      <w:r>
        <w:rPr>
          <w:noProof/>
        </w:rPr>
        <w:fldChar w:fldCharType="end"/>
      </w:r>
    </w:p>
    <w:p w:rsidR="00B72047" w:rsidRDefault="00B72047">
      <w:pPr>
        <w:pStyle w:val="TOC2"/>
        <w:rPr>
          <w:noProof/>
        </w:rPr>
      </w:pPr>
      <w:r>
        <w:rPr>
          <w:noProof/>
        </w:rPr>
        <w:t>2. cmavo</w:t>
      </w:r>
      <w:r>
        <w:rPr>
          <w:noProof/>
        </w:rPr>
        <w:tab/>
      </w:r>
      <w:r>
        <w:rPr>
          <w:noProof/>
        </w:rPr>
        <w:fldChar w:fldCharType="begin"/>
      </w:r>
      <w:r>
        <w:rPr>
          <w:noProof/>
        </w:rPr>
        <w:instrText xml:space="preserve"> GOTOBUTTON _Toc398970471  </w:instrText>
      </w:r>
      <w:r>
        <w:rPr>
          <w:noProof/>
        </w:rPr>
        <w:fldChar w:fldCharType="begin"/>
      </w:r>
      <w:r>
        <w:rPr>
          <w:noProof/>
        </w:rPr>
        <w:instrText xml:space="preserve"> PAGEREF _Toc398970471 </w:instrText>
      </w:r>
      <w:r>
        <w:rPr>
          <w:noProof/>
        </w:rPr>
        <w:fldChar w:fldCharType="separate"/>
      </w:r>
      <w:r>
        <w:rPr>
          <w:noProof/>
        </w:rPr>
        <w:instrText>50</w:instrText>
      </w:r>
      <w:r>
        <w:rPr>
          <w:noProof/>
        </w:rPr>
        <w:fldChar w:fldCharType="end"/>
      </w:r>
      <w:r>
        <w:rPr>
          <w:noProof/>
        </w:rPr>
        <w:fldChar w:fldCharType="end"/>
      </w:r>
    </w:p>
    <w:p w:rsidR="00B72047" w:rsidRDefault="00B72047">
      <w:pPr>
        <w:pStyle w:val="TOC2"/>
        <w:rPr>
          <w:noProof/>
        </w:rPr>
      </w:pPr>
      <w:r>
        <w:rPr>
          <w:noProof/>
        </w:rPr>
        <w:t>3. brivla</w:t>
      </w:r>
      <w:r>
        <w:rPr>
          <w:noProof/>
        </w:rPr>
        <w:tab/>
      </w:r>
      <w:r>
        <w:rPr>
          <w:noProof/>
        </w:rPr>
        <w:fldChar w:fldCharType="begin"/>
      </w:r>
      <w:r>
        <w:rPr>
          <w:noProof/>
        </w:rPr>
        <w:instrText xml:space="preserve"> GOTOBUTTON _Toc398970472  </w:instrText>
      </w:r>
      <w:r>
        <w:rPr>
          <w:noProof/>
        </w:rPr>
        <w:fldChar w:fldCharType="begin"/>
      </w:r>
      <w:r>
        <w:rPr>
          <w:noProof/>
        </w:rPr>
        <w:instrText xml:space="preserve"> PAGEREF _Toc398970472 </w:instrText>
      </w:r>
      <w:r>
        <w:rPr>
          <w:noProof/>
        </w:rPr>
        <w:fldChar w:fldCharType="separate"/>
      </w:r>
      <w:r>
        <w:rPr>
          <w:noProof/>
        </w:rPr>
        <w:instrText>52</w:instrText>
      </w:r>
      <w:r>
        <w:rPr>
          <w:noProof/>
        </w:rPr>
        <w:fldChar w:fldCharType="end"/>
      </w:r>
      <w:r>
        <w:rPr>
          <w:noProof/>
        </w:rPr>
        <w:fldChar w:fldCharType="end"/>
      </w:r>
    </w:p>
    <w:p w:rsidR="00B72047" w:rsidRDefault="00B72047">
      <w:pPr>
        <w:pStyle w:val="TOC2"/>
        <w:rPr>
          <w:noProof/>
        </w:rPr>
      </w:pPr>
      <w:r>
        <w:rPr>
          <w:noProof/>
        </w:rPr>
        <w:t>4. gismu</w:t>
      </w:r>
      <w:r>
        <w:rPr>
          <w:noProof/>
        </w:rPr>
        <w:tab/>
      </w:r>
      <w:r>
        <w:rPr>
          <w:noProof/>
        </w:rPr>
        <w:fldChar w:fldCharType="begin"/>
      </w:r>
      <w:r>
        <w:rPr>
          <w:noProof/>
        </w:rPr>
        <w:instrText xml:space="preserve"> GOTOBUTTON _Toc398970473  </w:instrText>
      </w:r>
      <w:r>
        <w:rPr>
          <w:noProof/>
        </w:rPr>
        <w:fldChar w:fldCharType="begin"/>
      </w:r>
      <w:r>
        <w:rPr>
          <w:noProof/>
        </w:rPr>
        <w:instrText xml:space="preserve"> PAGEREF _Toc398970473 </w:instrText>
      </w:r>
      <w:r>
        <w:rPr>
          <w:noProof/>
        </w:rPr>
        <w:fldChar w:fldCharType="separate"/>
      </w:r>
      <w:r>
        <w:rPr>
          <w:noProof/>
        </w:rPr>
        <w:instrText>53</w:instrText>
      </w:r>
      <w:r>
        <w:rPr>
          <w:noProof/>
        </w:rPr>
        <w:fldChar w:fldCharType="end"/>
      </w:r>
      <w:r>
        <w:rPr>
          <w:noProof/>
        </w:rPr>
        <w:fldChar w:fldCharType="end"/>
      </w:r>
    </w:p>
    <w:p w:rsidR="00B72047" w:rsidRDefault="00B72047">
      <w:pPr>
        <w:pStyle w:val="TOC2"/>
        <w:rPr>
          <w:noProof/>
        </w:rPr>
      </w:pPr>
      <w:r>
        <w:rPr>
          <w:noProof/>
        </w:rPr>
        <w:t>5. lujvo</w:t>
      </w:r>
      <w:r>
        <w:rPr>
          <w:noProof/>
        </w:rPr>
        <w:tab/>
      </w:r>
      <w:r>
        <w:rPr>
          <w:noProof/>
        </w:rPr>
        <w:fldChar w:fldCharType="begin"/>
      </w:r>
      <w:r>
        <w:rPr>
          <w:noProof/>
        </w:rPr>
        <w:instrText xml:space="preserve"> GOTOBUTTON _Toc398970474  </w:instrText>
      </w:r>
      <w:r>
        <w:rPr>
          <w:noProof/>
        </w:rPr>
        <w:fldChar w:fldCharType="begin"/>
      </w:r>
      <w:r>
        <w:rPr>
          <w:noProof/>
        </w:rPr>
        <w:instrText xml:space="preserve"> PAGEREF _Toc398970474 </w:instrText>
      </w:r>
      <w:r>
        <w:rPr>
          <w:noProof/>
        </w:rPr>
        <w:fldChar w:fldCharType="separate"/>
      </w:r>
      <w:r>
        <w:rPr>
          <w:noProof/>
        </w:rPr>
        <w:instrText>55</w:instrText>
      </w:r>
      <w:r>
        <w:rPr>
          <w:noProof/>
        </w:rPr>
        <w:fldChar w:fldCharType="end"/>
      </w:r>
      <w:r>
        <w:rPr>
          <w:noProof/>
        </w:rPr>
        <w:fldChar w:fldCharType="end"/>
      </w:r>
    </w:p>
    <w:p w:rsidR="00B72047" w:rsidRDefault="00B72047">
      <w:pPr>
        <w:pStyle w:val="TOC2"/>
        <w:rPr>
          <w:noProof/>
        </w:rPr>
      </w:pPr>
      <w:r>
        <w:rPr>
          <w:noProof/>
        </w:rPr>
        <w:t>6. rafsi</w:t>
      </w:r>
      <w:r>
        <w:rPr>
          <w:noProof/>
        </w:rPr>
        <w:tab/>
      </w:r>
      <w:r>
        <w:rPr>
          <w:noProof/>
        </w:rPr>
        <w:fldChar w:fldCharType="begin"/>
      </w:r>
      <w:r>
        <w:rPr>
          <w:noProof/>
        </w:rPr>
        <w:instrText xml:space="preserve"> GOTOBUTTON _Toc398970475  </w:instrText>
      </w:r>
      <w:r>
        <w:rPr>
          <w:noProof/>
        </w:rPr>
        <w:fldChar w:fldCharType="begin"/>
      </w:r>
      <w:r>
        <w:rPr>
          <w:noProof/>
        </w:rPr>
        <w:instrText xml:space="preserve"> PAGEREF _Toc398970475 </w:instrText>
      </w:r>
      <w:r>
        <w:rPr>
          <w:noProof/>
        </w:rPr>
        <w:fldChar w:fldCharType="separate"/>
      </w:r>
      <w:r>
        <w:rPr>
          <w:noProof/>
        </w:rPr>
        <w:instrText>57</w:instrText>
      </w:r>
      <w:r>
        <w:rPr>
          <w:noProof/>
        </w:rPr>
        <w:fldChar w:fldCharType="end"/>
      </w:r>
      <w:r>
        <w:rPr>
          <w:noProof/>
        </w:rPr>
        <w:fldChar w:fldCharType="end"/>
      </w:r>
    </w:p>
    <w:p w:rsidR="00B72047" w:rsidRDefault="00B72047">
      <w:pPr>
        <w:pStyle w:val="TOC2"/>
        <w:rPr>
          <w:noProof/>
        </w:rPr>
      </w:pPr>
      <w:r>
        <w:rPr>
          <w:noProof/>
        </w:rPr>
        <w:t>7. fu'ivla</w:t>
      </w:r>
      <w:r>
        <w:rPr>
          <w:noProof/>
        </w:rPr>
        <w:tab/>
      </w:r>
      <w:r>
        <w:rPr>
          <w:noProof/>
        </w:rPr>
        <w:fldChar w:fldCharType="begin"/>
      </w:r>
      <w:r>
        <w:rPr>
          <w:noProof/>
        </w:rPr>
        <w:instrText xml:space="preserve"> GOTOBUTTON _Toc398970476  </w:instrText>
      </w:r>
      <w:r>
        <w:rPr>
          <w:noProof/>
        </w:rPr>
        <w:fldChar w:fldCharType="begin"/>
      </w:r>
      <w:r>
        <w:rPr>
          <w:noProof/>
        </w:rPr>
        <w:instrText xml:space="preserve"> PAGEREF _Toc398970476 </w:instrText>
      </w:r>
      <w:r>
        <w:rPr>
          <w:noProof/>
        </w:rPr>
        <w:fldChar w:fldCharType="separate"/>
      </w:r>
      <w:r>
        <w:rPr>
          <w:noProof/>
        </w:rPr>
        <w:instrText>61</w:instrText>
      </w:r>
      <w:r>
        <w:rPr>
          <w:noProof/>
        </w:rPr>
        <w:fldChar w:fldCharType="end"/>
      </w:r>
      <w:r>
        <w:rPr>
          <w:noProof/>
        </w:rPr>
        <w:fldChar w:fldCharType="end"/>
      </w:r>
    </w:p>
    <w:p w:rsidR="00B72047" w:rsidRDefault="00B72047">
      <w:pPr>
        <w:pStyle w:val="TOC2"/>
        <w:rPr>
          <w:noProof/>
        </w:rPr>
      </w:pPr>
      <w:r>
        <w:rPr>
          <w:noProof/>
        </w:rPr>
        <w:t>8. cmene</w:t>
      </w:r>
      <w:r>
        <w:rPr>
          <w:noProof/>
        </w:rPr>
        <w:tab/>
      </w:r>
      <w:r>
        <w:rPr>
          <w:noProof/>
        </w:rPr>
        <w:fldChar w:fldCharType="begin"/>
      </w:r>
      <w:r>
        <w:rPr>
          <w:noProof/>
        </w:rPr>
        <w:instrText xml:space="preserve"> GOTOBUTTON _Toc398970477  </w:instrText>
      </w:r>
      <w:r>
        <w:rPr>
          <w:noProof/>
        </w:rPr>
        <w:fldChar w:fldCharType="begin"/>
      </w:r>
      <w:r>
        <w:rPr>
          <w:noProof/>
        </w:rPr>
        <w:instrText xml:space="preserve"> PAGEREF _Toc398970477 </w:instrText>
      </w:r>
      <w:r>
        <w:rPr>
          <w:noProof/>
        </w:rPr>
        <w:fldChar w:fldCharType="separate"/>
      </w:r>
      <w:r>
        <w:rPr>
          <w:noProof/>
        </w:rPr>
        <w:instrText>64</w:instrText>
      </w:r>
      <w:r>
        <w:rPr>
          <w:noProof/>
        </w:rPr>
        <w:fldChar w:fldCharType="end"/>
      </w:r>
      <w:r>
        <w:rPr>
          <w:noProof/>
        </w:rPr>
        <w:fldChar w:fldCharType="end"/>
      </w:r>
    </w:p>
    <w:p w:rsidR="00B72047" w:rsidRDefault="00B72047">
      <w:pPr>
        <w:pStyle w:val="TOC2"/>
        <w:rPr>
          <w:noProof/>
        </w:rPr>
      </w:pPr>
      <w:r>
        <w:rPr>
          <w:noProof/>
        </w:rPr>
        <w:t>9. Rules for inserting pauses</w:t>
      </w:r>
      <w:r>
        <w:rPr>
          <w:noProof/>
        </w:rPr>
        <w:tab/>
      </w:r>
      <w:r>
        <w:rPr>
          <w:noProof/>
        </w:rPr>
        <w:fldChar w:fldCharType="begin"/>
      </w:r>
      <w:r>
        <w:rPr>
          <w:noProof/>
        </w:rPr>
        <w:instrText xml:space="preserve"> GOTOBUTTON _Toc398970478  </w:instrText>
      </w:r>
      <w:r>
        <w:rPr>
          <w:noProof/>
        </w:rPr>
        <w:fldChar w:fldCharType="begin"/>
      </w:r>
      <w:r>
        <w:rPr>
          <w:noProof/>
        </w:rPr>
        <w:instrText xml:space="preserve"> PAGEREF _Toc398970478 </w:instrText>
      </w:r>
      <w:r>
        <w:rPr>
          <w:noProof/>
        </w:rPr>
        <w:fldChar w:fldCharType="separate"/>
      </w:r>
      <w:r>
        <w:rPr>
          <w:noProof/>
        </w:rPr>
        <w:instrText>68</w:instrText>
      </w:r>
      <w:r>
        <w:rPr>
          <w:noProof/>
        </w:rPr>
        <w:fldChar w:fldCharType="end"/>
      </w:r>
      <w:r>
        <w:rPr>
          <w:noProof/>
        </w:rPr>
        <w:fldChar w:fldCharType="end"/>
      </w:r>
    </w:p>
    <w:p w:rsidR="00B72047" w:rsidRDefault="00B72047">
      <w:pPr>
        <w:pStyle w:val="TOC2"/>
        <w:rPr>
          <w:noProof/>
        </w:rPr>
      </w:pPr>
      <w:r>
        <w:rPr>
          <w:noProof/>
        </w:rPr>
        <w:t>10. Considerations for making lujvo</w:t>
      </w:r>
      <w:r>
        <w:rPr>
          <w:noProof/>
        </w:rPr>
        <w:tab/>
      </w:r>
      <w:r>
        <w:rPr>
          <w:noProof/>
        </w:rPr>
        <w:fldChar w:fldCharType="begin"/>
      </w:r>
      <w:r>
        <w:rPr>
          <w:noProof/>
        </w:rPr>
        <w:instrText xml:space="preserve"> GOTOBUTTON _Toc398970479  </w:instrText>
      </w:r>
      <w:r>
        <w:rPr>
          <w:noProof/>
        </w:rPr>
        <w:fldChar w:fldCharType="begin"/>
      </w:r>
      <w:r>
        <w:rPr>
          <w:noProof/>
        </w:rPr>
        <w:instrText xml:space="preserve"> PAGEREF _Toc398970479 </w:instrText>
      </w:r>
      <w:r>
        <w:rPr>
          <w:noProof/>
        </w:rPr>
        <w:fldChar w:fldCharType="separate"/>
      </w:r>
      <w:r>
        <w:rPr>
          <w:noProof/>
        </w:rPr>
        <w:instrText>69</w:instrText>
      </w:r>
      <w:r>
        <w:rPr>
          <w:noProof/>
        </w:rPr>
        <w:fldChar w:fldCharType="end"/>
      </w:r>
      <w:r>
        <w:rPr>
          <w:noProof/>
        </w:rPr>
        <w:fldChar w:fldCharType="end"/>
      </w:r>
    </w:p>
    <w:p w:rsidR="00B72047" w:rsidRDefault="00B72047">
      <w:pPr>
        <w:pStyle w:val="TOC2"/>
        <w:rPr>
          <w:noProof/>
        </w:rPr>
      </w:pPr>
      <w:r>
        <w:rPr>
          <w:noProof/>
        </w:rPr>
        <w:t>11. The lujvo-making algorithm</w:t>
      </w:r>
      <w:r>
        <w:rPr>
          <w:noProof/>
        </w:rPr>
        <w:tab/>
      </w:r>
      <w:r>
        <w:rPr>
          <w:noProof/>
        </w:rPr>
        <w:fldChar w:fldCharType="begin"/>
      </w:r>
      <w:r>
        <w:rPr>
          <w:noProof/>
        </w:rPr>
        <w:instrText xml:space="preserve"> GOTOBUTTON _Toc398970480  </w:instrText>
      </w:r>
      <w:r>
        <w:rPr>
          <w:noProof/>
        </w:rPr>
        <w:fldChar w:fldCharType="begin"/>
      </w:r>
      <w:r>
        <w:rPr>
          <w:noProof/>
        </w:rPr>
        <w:instrText xml:space="preserve"> PAGEREF _Toc398970480 </w:instrText>
      </w:r>
      <w:r>
        <w:rPr>
          <w:noProof/>
        </w:rPr>
        <w:fldChar w:fldCharType="separate"/>
      </w:r>
      <w:r>
        <w:rPr>
          <w:noProof/>
        </w:rPr>
        <w:instrText>70</w:instrText>
      </w:r>
      <w:r>
        <w:rPr>
          <w:noProof/>
        </w:rPr>
        <w:fldChar w:fldCharType="end"/>
      </w:r>
      <w:r>
        <w:rPr>
          <w:noProof/>
        </w:rPr>
        <w:fldChar w:fldCharType="end"/>
      </w:r>
    </w:p>
    <w:p w:rsidR="00B72047" w:rsidRDefault="00B72047">
      <w:pPr>
        <w:pStyle w:val="TOC2"/>
        <w:rPr>
          <w:noProof/>
        </w:rPr>
      </w:pPr>
      <w:r>
        <w:rPr>
          <w:noProof/>
        </w:rPr>
        <w:t>12. The lujvo scoring algorithm</w:t>
      </w:r>
      <w:r>
        <w:rPr>
          <w:noProof/>
        </w:rPr>
        <w:tab/>
      </w:r>
      <w:r>
        <w:rPr>
          <w:noProof/>
        </w:rPr>
        <w:fldChar w:fldCharType="begin"/>
      </w:r>
      <w:r>
        <w:rPr>
          <w:noProof/>
        </w:rPr>
        <w:instrText xml:space="preserve"> GOTOBUTTON _Toc398970481  </w:instrText>
      </w:r>
      <w:r>
        <w:rPr>
          <w:noProof/>
        </w:rPr>
        <w:fldChar w:fldCharType="begin"/>
      </w:r>
      <w:r>
        <w:rPr>
          <w:noProof/>
        </w:rPr>
        <w:instrText xml:space="preserve"> PAGEREF _Toc398970481 </w:instrText>
      </w:r>
      <w:r>
        <w:rPr>
          <w:noProof/>
        </w:rPr>
        <w:fldChar w:fldCharType="separate"/>
      </w:r>
      <w:r>
        <w:rPr>
          <w:noProof/>
        </w:rPr>
        <w:instrText>71</w:instrText>
      </w:r>
      <w:r>
        <w:rPr>
          <w:noProof/>
        </w:rPr>
        <w:fldChar w:fldCharType="end"/>
      </w:r>
      <w:r>
        <w:rPr>
          <w:noProof/>
        </w:rPr>
        <w:fldChar w:fldCharType="end"/>
      </w:r>
    </w:p>
    <w:p w:rsidR="00B72047" w:rsidRDefault="00B72047">
      <w:pPr>
        <w:pStyle w:val="TOC2"/>
        <w:rPr>
          <w:noProof/>
        </w:rPr>
      </w:pPr>
      <w:r>
        <w:rPr>
          <w:noProof/>
        </w:rPr>
        <w:t>13. lujvo-making examples</w:t>
      </w:r>
      <w:r>
        <w:rPr>
          <w:noProof/>
        </w:rPr>
        <w:tab/>
      </w:r>
      <w:r>
        <w:rPr>
          <w:noProof/>
        </w:rPr>
        <w:fldChar w:fldCharType="begin"/>
      </w:r>
      <w:r>
        <w:rPr>
          <w:noProof/>
        </w:rPr>
        <w:instrText xml:space="preserve"> GOTOBUTTON _Toc398970482  </w:instrText>
      </w:r>
      <w:r>
        <w:rPr>
          <w:noProof/>
        </w:rPr>
        <w:fldChar w:fldCharType="begin"/>
      </w:r>
      <w:r>
        <w:rPr>
          <w:noProof/>
        </w:rPr>
        <w:instrText xml:space="preserve"> PAGEREF _Toc398970482 </w:instrText>
      </w:r>
      <w:r>
        <w:rPr>
          <w:noProof/>
        </w:rPr>
        <w:fldChar w:fldCharType="separate"/>
      </w:r>
      <w:r>
        <w:rPr>
          <w:noProof/>
        </w:rPr>
        <w:instrText>72</w:instrText>
      </w:r>
      <w:r>
        <w:rPr>
          <w:noProof/>
        </w:rPr>
        <w:fldChar w:fldCharType="end"/>
      </w:r>
      <w:r>
        <w:rPr>
          <w:noProof/>
        </w:rPr>
        <w:fldChar w:fldCharType="end"/>
      </w:r>
    </w:p>
    <w:p w:rsidR="00B72047" w:rsidRDefault="00B72047">
      <w:pPr>
        <w:pStyle w:val="TOC2"/>
        <w:rPr>
          <w:noProof/>
        </w:rPr>
      </w:pPr>
      <w:r>
        <w:rPr>
          <w:noProof/>
        </w:rPr>
        <w:t>14. The gismu creation algorithm</w:t>
      </w:r>
      <w:r>
        <w:rPr>
          <w:noProof/>
        </w:rPr>
        <w:tab/>
      </w:r>
      <w:r>
        <w:rPr>
          <w:noProof/>
        </w:rPr>
        <w:fldChar w:fldCharType="begin"/>
      </w:r>
      <w:r>
        <w:rPr>
          <w:noProof/>
        </w:rPr>
        <w:instrText xml:space="preserve"> GOTOBUTTON _Toc398970483  </w:instrText>
      </w:r>
      <w:r>
        <w:rPr>
          <w:noProof/>
        </w:rPr>
        <w:fldChar w:fldCharType="begin"/>
      </w:r>
      <w:r>
        <w:rPr>
          <w:noProof/>
        </w:rPr>
        <w:instrText xml:space="preserve"> PAGEREF _Toc398970483 </w:instrText>
      </w:r>
      <w:r>
        <w:rPr>
          <w:noProof/>
        </w:rPr>
        <w:fldChar w:fldCharType="separate"/>
      </w:r>
      <w:r>
        <w:rPr>
          <w:noProof/>
        </w:rPr>
        <w:instrText>75</w:instrText>
      </w:r>
      <w:r>
        <w:rPr>
          <w:noProof/>
        </w:rPr>
        <w:fldChar w:fldCharType="end"/>
      </w:r>
      <w:r>
        <w:rPr>
          <w:noProof/>
        </w:rPr>
        <w:fldChar w:fldCharType="end"/>
      </w:r>
    </w:p>
    <w:p w:rsidR="00B72047" w:rsidRDefault="00B72047">
      <w:pPr>
        <w:pStyle w:val="TOC2"/>
        <w:rPr>
          <w:noProof/>
        </w:rPr>
      </w:pPr>
      <w:r>
        <w:rPr>
          <w:noProof/>
        </w:rPr>
        <w:t>15. Cultural and other non-algorithmic gismu</w:t>
      </w:r>
      <w:r>
        <w:rPr>
          <w:noProof/>
        </w:rPr>
        <w:tab/>
      </w:r>
      <w:r>
        <w:rPr>
          <w:noProof/>
        </w:rPr>
        <w:fldChar w:fldCharType="begin"/>
      </w:r>
      <w:r>
        <w:rPr>
          <w:noProof/>
        </w:rPr>
        <w:instrText xml:space="preserve"> GOTOBUTTON _Toc398970484  </w:instrText>
      </w:r>
      <w:r>
        <w:rPr>
          <w:noProof/>
        </w:rPr>
        <w:fldChar w:fldCharType="begin"/>
      </w:r>
      <w:r>
        <w:rPr>
          <w:noProof/>
        </w:rPr>
        <w:instrText xml:space="preserve"> PAGEREF _Toc398970484 </w:instrText>
      </w:r>
      <w:r>
        <w:rPr>
          <w:noProof/>
        </w:rPr>
        <w:fldChar w:fldCharType="separate"/>
      </w:r>
      <w:r>
        <w:rPr>
          <w:noProof/>
        </w:rPr>
        <w:instrText>77</w:instrText>
      </w:r>
      <w:r>
        <w:rPr>
          <w:noProof/>
        </w:rPr>
        <w:fldChar w:fldCharType="end"/>
      </w:r>
      <w:r>
        <w:rPr>
          <w:noProof/>
        </w:rPr>
        <w:fldChar w:fldCharType="end"/>
      </w:r>
    </w:p>
    <w:p w:rsidR="00B72047" w:rsidRDefault="00B72047">
      <w:pPr>
        <w:pStyle w:val="TOC2"/>
        <w:rPr>
          <w:noProof/>
        </w:rPr>
      </w:pPr>
      <w:r>
        <w:rPr>
          <w:noProof/>
        </w:rPr>
        <w:t>16. rafsi fu'ivla: a proposal</w:t>
      </w:r>
      <w:r>
        <w:rPr>
          <w:noProof/>
        </w:rPr>
        <w:tab/>
      </w:r>
      <w:r>
        <w:rPr>
          <w:noProof/>
        </w:rPr>
        <w:fldChar w:fldCharType="begin"/>
      </w:r>
      <w:r>
        <w:rPr>
          <w:noProof/>
        </w:rPr>
        <w:instrText xml:space="preserve"> GOTOBUTTON _Toc398970485  </w:instrText>
      </w:r>
      <w:r>
        <w:rPr>
          <w:noProof/>
        </w:rPr>
        <w:fldChar w:fldCharType="begin"/>
      </w:r>
      <w:r>
        <w:rPr>
          <w:noProof/>
        </w:rPr>
        <w:instrText xml:space="preserve"> PAGEREF _Toc398970485 </w:instrText>
      </w:r>
      <w:r>
        <w:rPr>
          <w:noProof/>
        </w:rPr>
        <w:fldChar w:fldCharType="separate"/>
      </w:r>
      <w:r>
        <w:rPr>
          <w:noProof/>
        </w:rPr>
        <w:instrText>80</w:instrText>
      </w:r>
      <w:r>
        <w:rPr>
          <w:noProof/>
        </w:rPr>
        <w:fldChar w:fldCharType="end"/>
      </w:r>
      <w:r>
        <w:rPr>
          <w:noProof/>
        </w:rPr>
        <w:fldChar w:fldCharType="end"/>
      </w:r>
    </w:p>
    <w:p w:rsidR="00B72047" w:rsidRDefault="00B72047">
      <w:pPr>
        <w:pStyle w:val="TOC1"/>
        <w:rPr>
          <w:noProof/>
        </w:rPr>
      </w:pPr>
      <w:r>
        <w:rPr>
          <w:noProof/>
        </w:rPr>
        <w:t>Chapter 5  “Pretty Little Girls' School”:  The Structure Of Lojban selbri</w:t>
      </w:r>
      <w:r>
        <w:rPr>
          <w:noProof/>
        </w:rPr>
        <w:tab/>
      </w:r>
      <w:r>
        <w:rPr>
          <w:noProof/>
        </w:rPr>
        <w:fldChar w:fldCharType="begin"/>
      </w:r>
      <w:r>
        <w:rPr>
          <w:noProof/>
        </w:rPr>
        <w:instrText xml:space="preserve"> GOTOBUTTON _Toc398970487  </w:instrText>
      </w:r>
      <w:r>
        <w:rPr>
          <w:noProof/>
        </w:rPr>
        <w:fldChar w:fldCharType="begin"/>
      </w:r>
      <w:r>
        <w:rPr>
          <w:noProof/>
        </w:rPr>
        <w:instrText xml:space="preserve"> PAGEREF _Toc398970487 </w:instrText>
      </w:r>
      <w:r>
        <w:rPr>
          <w:noProof/>
        </w:rPr>
        <w:fldChar w:fldCharType="separate"/>
      </w:r>
      <w:r>
        <w:rPr>
          <w:noProof/>
        </w:rPr>
        <w:instrText>83</w:instrText>
      </w:r>
      <w:r>
        <w:rPr>
          <w:noProof/>
        </w:rPr>
        <w:fldChar w:fldCharType="end"/>
      </w:r>
      <w:r>
        <w:rPr>
          <w:noProof/>
        </w:rPr>
        <w:fldChar w:fldCharType="end"/>
      </w:r>
    </w:p>
    <w:p w:rsidR="00B72047" w:rsidRDefault="00B72047">
      <w:pPr>
        <w:pStyle w:val="TOC2"/>
        <w:rPr>
          <w:noProof/>
        </w:rPr>
      </w:pPr>
      <w:r>
        <w:rPr>
          <w:noProof/>
        </w:rPr>
        <w:t>1. Lojban content words:  brivla</w:t>
      </w:r>
      <w:r>
        <w:rPr>
          <w:noProof/>
        </w:rPr>
        <w:tab/>
      </w:r>
      <w:r>
        <w:rPr>
          <w:noProof/>
        </w:rPr>
        <w:fldChar w:fldCharType="begin"/>
      </w:r>
      <w:r>
        <w:rPr>
          <w:noProof/>
        </w:rPr>
        <w:instrText xml:space="preserve"> GOTOBUTTON _Toc398970488  </w:instrText>
      </w:r>
      <w:r>
        <w:rPr>
          <w:noProof/>
        </w:rPr>
        <w:fldChar w:fldCharType="begin"/>
      </w:r>
      <w:r>
        <w:rPr>
          <w:noProof/>
        </w:rPr>
        <w:instrText xml:space="preserve"> PAGEREF _Toc398970488 </w:instrText>
      </w:r>
      <w:r>
        <w:rPr>
          <w:noProof/>
        </w:rPr>
        <w:fldChar w:fldCharType="separate"/>
      </w:r>
      <w:r>
        <w:rPr>
          <w:noProof/>
        </w:rPr>
        <w:instrText>83</w:instrText>
      </w:r>
      <w:r>
        <w:rPr>
          <w:noProof/>
        </w:rPr>
        <w:fldChar w:fldCharType="end"/>
      </w:r>
      <w:r>
        <w:rPr>
          <w:noProof/>
        </w:rPr>
        <w:fldChar w:fldCharType="end"/>
      </w:r>
    </w:p>
    <w:p w:rsidR="00B72047" w:rsidRDefault="00B72047">
      <w:pPr>
        <w:pStyle w:val="TOC2"/>
        <w:rPr>
          <w:noProof/>
        </w:rPr>
      </w:pPr>
      <w:r>
        <w:rPr>
          <w:noProof/>
        </w:rPr>
        <w:t>2. Simple tanru</w:t>
      </w:r>
      <w:r>
        <w:rPr>
          <w:noProof/>
        </w:rPr>
        <w:tab/>
      </w:r>
      <w:r>
        <w:rPr>
          <w:noProof/>
        </w:rPr>
        <w:fldChar w:fldCharType="begin"/>
      </w:r>
      <w:r>
        <w:rPr>
          <w:noProof/>
        </w:rPr>
        <w:instrText xml:space="preserve"> GOTOBUTTON _Toc398970489  </w:instrText>
      </w:r>
      <w:r>
        <w:rPr>
          <w:noProof/>
        </w:rPr>
        <w:fldChar w:fldCharType="begin"/>
      </w:r>
      <w:r>
        <w:rPr>
          <w:noProof/>
        </w:rPr>
        <w:instrText xml:space="preserve"> PAGEREF _Toc398970489 </w:instrText>
      </w:r>
      <w:r>
        <w:rPr>
          <w:noProof/>
        </w:rPr>
        <w:fldChar w:fldCharType="separate"/>
      </w:r>
      <w:r>
        <w:rPr>
          <w:noProof/>
        </w:rPr>
        <w:instrText>83</w:instrText>
      </w:r>
      <w:r>
        <w:rPr>
          <w:noProof/>
        </w:rPr>
        <w:fldChar w:fldCharType="end"/>
      </w:r>
      <w:r>
        <w:rPr>
          <w:noProof/>
        </w:rPr>
        <w:fldChar w:fldCharType="end"/>
      </w:r>
    </w:p>
    <w:p w:rsidR="00B72047" w:rsidRDefault="00B72047">
      <w:pPr>
        <w:pStyle w:val="TOC2"/>
        <w:rPr>
          <w:noProof/>
        </w:rPr>
      </w:pPr>
      <w:r>
        <w:rPr>
          <w:noProof/>
        </w:rPr>
        <w:t>3. Three-part tanru grouping with “bo”</w:t>
      </w:r>
      <w:r>
        <w:rPr>
          <w:noProof/>
        </w:rPr>
        <w:tab/>
      </w:r>
      <w:r>
        <w:rPr>
          <w:noProof/>
        </w:rPr>
        <w:fldChar w:fldCharType="begin"/>
      </w:r>
      <w:r>
        <w:rPr>
          <w:noProof/>
        </w:rPr>
        <w:instrText xml:space="preserve"> GOTOBUTTON _Toc398970490  </w:instrText>
      </w:r>
      <w:r>
        <w:rPr>
          <w:noProof/>
        </w:rPr>
        <w:fldChar w:fldCharType="begin"/>
      </w:r>
      <w:r>
        <w:rPr>
          <w:noProof/>
        </w:rPr>
        <w:instrText xml:space="preserve"> PAGEREF _Toc398970490 </w:instrText>
      </w:r>
      <w:r>
        <w:rPr>
          <w:noProof/>
        </w:rPr>
        <w:fldChar w:fldCharType="separate"/>
      </w:r>
      <w:r>
        <w:rPr>
          <w:noProof/>
        </w:rPr>
        <w:instrText>85</w:instrText>
      </w:r>
      <w:r>
        <w:rPr>
          <w:noProof/>
        </w:rPr>
        <w:fldChar w:fldCharType="end"/>
      </w:r>
      <w:r>
        <w:rPr>
          <w:noProof/>
        </w:rPr>
        <w:fldChar w:fldCharType="end"/>
      </w:r>
    </w:p>
    <w:p w:rsidR="00B72047" w:rsidRDefault="00B72047">
      <w:pPr>
        <w:pStyle w:val="TOC2"/>
        <w:rPr>
          <w:noProof/>
        </w:rPr>
      </w:pPr>
      <w:r>
        <w:rPr>
          <w:noProof/>
        </w:rPr>
        <w:t>4. Complex tanru grouping</w:t>
      </w:r>
      <w:r>
        <w:rPr>
          <w:noProof/>
        </w:rPr>
        <w:tab/>
      </w:r>
      <w:r>
        <w:rPr>
          <w:noProof/>
        </w:rPr>
        <w:fldChar w:fldCharType="begin"/>
      </w:r>
      <w:r>
        <w:rPr>
          <w:noProof/>
        </w:rPr>
        <w:instrText xml:space="preserve"> GOTOBUTTON _Toc398970491  </w:instrText>
      </w:r>
      <w:r>
        <w:rPr>
          <w:noProof/>
        </w:rPr>
        <w:fldChar w:fldCharType="begin"/>
      </w:r>
      <w:r>
        <w:rPr>
          <w:noProof/>
        </w:rPr>
        <w:instrText xml:space="preserve"> PAGEREF _Toc398970491 </w:instrText>
      </w:r>
      <w:r>
        <w:rPr>
          <w:noProof/>
        </w:rPr>
        <w:fldChar w:fldCharType="separate"/>
      </w:r>
      <w:r>
        <w:rPr>
          <w:noProof/>
        </w:rPr>
        <w:instrText>87</w:instrText>
      </w:r>
      <w:r>
        <w:rPr>
          <w:noProof/>
        </w:rPr>
        <w:fldChar w:fldCharType="end"/>
      </w:r>
      <w:r>
        <w:rPr>
          <w:noProof/>
        </w:rPr>
        <w:fldChar w:fldCharType="end"/>
      </w:r>
    </w:p>
    <w:p w:rsidR="00B72047" w:rsidRDefault="00B72047">
      <w:pPr>
        <w:pStyle w:val="TOC2"/>
        <w:rPr>
          <w:noProof/>
        </w:rPr>
      </w:pPr>
      <w:r>
        <w:rPr>
          <w:noProof/>
        </w:rPr>
        <w:t>5. Complex tanru with “ke” and “ke'e”</w:t>
      </w:r>
      <w:r>
        <w:rPr>
          <w:noProof/>
        </w:rPr>
        <w:tab/>
      </w:r>
      <w:r>
        <w:rPr>
          <w:noProof/>
        </w:rPr>
        <w:fldChar w:fldCharType="begin"/>
      </w:r>
      <w:r>
        <w:rPr>
          <w:noProof/>
        </w:rPr>
        <w:instrText xml:space="preserve"> GOTOBUTTON _Toc398970492  </w:instrText>
      </w:r>
      <w:r>
        <w:rPr>
          <w:noProof/>
        </w:rPr>
        <w:fldChar w:fldCharType="begin"/>
      </w:r>
      <w:r>
        <w:rPr>
          <w:noProof/>
        </w:rPr>
        <w:instrText xml:space="preserve"> PAGEREF _Toc398970492 </w:instrText>
      </w:r>
      <w:r>
        <w:rPr>
          <w:noProof/>
        </w:rPr>
        <w:fldChar w:fldCharType="separate"/>
      </w:r>
      <w:r>
        <w:rPr>
          <w:noProof/>
        </w:rPr>
        <w:instrText>88</w:instrText>
      </w:r>
      <w:r>
        <w:rPr>
          <w:noProof/>
        </w:rPr>
        <w:fldChar w:fldCharType="end"/>
      </w:r>
      <w:r>
        <w:rPr>
          <w:noProof/>
        </w:rPr>
        <w:fldChar w:fldCharType="end"/>
      </w:r>
    </w:p>
    <w:p w:rsidR="00B72047" w:rsidRDefault="00B72047">
      <w:pPr>
        <w:pStyle w:val="TOC2"/>
        <w:rPr>
          <w:noProof/>
        </w:rPr>
      </w:pPr>
      <w:r>
        <w:rPr>
          <w:noProof/>
        </w:rPr>
        <w:t>6. Logical connection within tanru</w:t>
      </w:r>
      <w:r>
        <w:rPr>
          <w:noProof/>
        </w:rPr>
        <w:tab/>
      </w:r>
      <w:r>
        <w:rPr>
          <w:noProof/>
        </w:rPr>
        <w:fldChar w:fldCharType="begin"/>
      </w:r>
      <w:r>
        <w:rPr>
          <w:noProof/>
        </w:rPr>
        <w:instrText xml:space="preserve"> GOTOBUTTON _Toc398970493  </w:instrText>
      </w:r>
      <w:r>
        <w:rPr>
          <w:noProof/>
        </w:rPr>
        <w:fldChar w:fldCharType="begin"/>
      </w:r>
      <w:r>
        <w:rPr>
          <w:noProof/>
        </w:rPr>
        <w:instrText xml:space="preserve"> PAGEREF _Toc398970493 </w:instrText>
      </w:r>
      <w:r>
        <w:rPr>
          <w:noProof/>
        </w:rPr>
        <w:fldChar w:fldCharType="separate"/>
      </w:r>
      <w:r>
        <w:rPr>
          <w:noProof/>
        </w:rPr>
        <w:instrText>89</w:instrText>
      </w:r>
      <w:r>
        <w:rPr>
          <w:noProof/>
        </w:rPr>
        <w:fldChar w:fldCharType="end"/>
      </w:r>
      <w:r>
        <w:rPr>
          <w:noProof/>
        </w:rPr>
        <w:fldChar w:fldCharType="end"/>
      </w:r>
    </w:p>
    <w:p w:rsidR="00B72047" w:rsidRDefault="00B72047">
      <w:pPr>
        <w:pStyle w:val="TOC2"/>
        <w:rPr>
          <w:noProof/>
        </w:rPr>
      </w:pPr>
      <w:r>
        <w:rPr>
          <w:noProof/>
        </w:rPr>
        <w:t>7. Linked sumti: “be–bei–be'o”</w:t>
      </w:r>
      <w:r>
        <w:rPr>
          <w:noProof/>
        </w:rPr>
        <w:tab/>
      </w:r>
      <w:r>
        <w:rPr>
          <w:noProof/>
        </w:rPr>
        <w:fldChar w:fldCharType="begin"/>
      </w:r>
      <w:r>
        <w:rPr>
          <w:noProof/>
        </w:rPr>
        <w:instrText xml:space="preserve"> GOTOBUTTON _Toc398970494  </w:instrText>
      </w:r>
      <w:r>
        <w:rPr>
          <w:noProof/>
        </w:rPr>
        <w:fldChar w:fldCharType="begin"/>
      </w:r>
      <w:r>
        <w:rPr>
          <w:noProof/>
        </w:rPr>
        <w:instrText xml:space="preserve"> PAGEREF _Toc398970494 </w:instrText>
      </w:r>
      <w:r>
        <w:rPr>
          <w:noProof/>
        </w:rPr>
        <w:fldChar w:fldCharType="separate"/>
      </w:r>
      <w:r>
        <w:rPr>
          <w:noProof/>
        </w:rPr>
        <w:instrText>92</w:instrText>
      </w:r>
      <w:r>
        <w:rPr>
          <w:noProof/>
        </w:rPr>
        <w:fldChar w:fldCharType="end"/>
      </w:r>
      <w:r>
        <w:rPr>
          <w:noProof/>
        </w:rPr>
        <w:fldChar w:fldCharType="end"/>
      </w:r>
    </w:p>
    <w:p w:rsidR="00B72047" w:rsidRDefault="00B72047">
      <w:pPr>
        <w:pStyle w:val="TOC2"/>
        <w:rPr>
          <w:noProof/>
        </w:rPr>
      </w:pPr>
      <w:r>
        <w:rPr>
          <w:noProof/>
        </w:rPr>
        <w:t>8. Inversion of tanru: “co”</w:t>
      </w:r>
      <w:r>
        <w:rPr>
          <w:noProof/>
        </w:rPr>
        <w:tab/>
      </w:r>
      <w:r>
        <w:rPr>
          <w:noProof/>
        </w:rPr>
        <w:fldChar w:fldCharType="begin"/>
      </w:r>
      <w:r>
        <w:rPr>
          <w:noProof/>
        </w:rPr>
        <w:instrText xml:space="preserve"> GOTOBUTTON _Toc398970495  </w:instrText>
      </w:r>
      <w:r>
        <w:rPr>
          <w:noProof/>
        </w:rPr>
        <w:fldChar w:fldCharType="begin"/>
      </w:r>
      <w:r>
        <w:rPr>
          <w:noProof/>
        </w:rPr>
        <w:instrText xml:space="preserve"> PAGEREF _Toc398970495 </w:instrText>
      </w:r>
      <w:r>
        <w:rPr>
          <w:noProof/>
        </w:rPr>
        <w:fldChar w:fldCharType="separate"/>
      </w:r>
      <w:r>
        <w:rPr>
          <w:noProof/>
        </w:rPr>
        <w:instrText>95</w:instrText>
      </w:r>
      <w:r>
        <w:rPr>
          <w:noProof/>
        </w:rPr>
        <w:fldChar w:fldCharType="end"/>
      </w:r>
      <w:r>
        <w:rPr>
          <w:noProof/>
        </w:rPr>
        <w:fldChar w:fldCharType="end"/>
      </w:r>
    </w:p>
    <w:p w:rsidR="00B72047" w:rsidRDefault="00B72047">
      <w:pPr>
        <w:pStyle w:val="TOC2"/>
        <w:rPr>
          <w:noProof/>
        </w:rPr>
      </w:pPr>
      <w:r>
        <w:rPr>
          <w:noProof/>
        </w:rPr>
        <w:t>9. Other kinds of simple selbri</w:t>
      </w:r>
      <w:r>
        <w:rPr>
          <w:noProof/>
        </w:rPr>
        <w:tab/>
      </w:r>
      <w:r>
        <w:rPr>
          <w:noProof/>
        </w:rPr>
        <w:fldChar w:fldCharType="begin"/>
      </w:r>
      <w:r>
        <w:rPr>
          <w:noProof/>
        </w:rPr>
        <w:instrText xml:space="preserve"> GOTOBUTTON _Toc398970496  </w:instrText>
      </w:r>
      <w:r>
        <w:rPr>
          <w:noProof/>
        </w:rPr>
        <w:fldChar w:fldCharType="begin"/>
      </w:r>
      <w:r>
        <w:rPr>
          <w:noProof/>
        </w:rPr>
        <w:instrText xml:space="preserve"> PAGEREF _Toc398970496 </w:instrText>
      </w:r>
      <w:r>
        <w:rPr>
          <w:noProof/>
        </w:rPr>
        <w:fldChar w:fldCharType="separate"/>
      </w:r>
      <w:r>
        <w:rPr>
          <w:noProof/>
        </w:rPr>
        <w:instrText>97</w:instrText>
      </w:r>
      <w:r>
        <w:rPr>
          <w:noProof/>
        </w:rPr>
        <w:fldChar w:fldCharType="end"/>
      </w:r>
      <w:r>
        <w:rPr>
          <w:noProof/>
        </w:rPr>
        <w:fldChar w:fldCharType="end"/>
      </w:r>
    </w:p>
    <w:p w:rsidR="00B72047" w:rsidRDefault="00B72047">
      <w:pPr>
        <w:pStyle w:val="TOC2"/>
        <w:rPr>
          <w:noProof/>
        </w:rPr>
      </w:pPr>
      <w:r>
        <w:rPr>
          <w:noProof/>
        </w:rPr>
        <w:t>10. selbri based on sumti: “me”</w:t>
      </w:r>
      <w:r>
        <w:rPr>
          <w:noProof/>
        </w:rPr>
        <w:tab/>
      </w:r>
      <w:r>
        <w:rPr>
          <w:noProof/>
        </w:rPr>
        <w:fldChar w:fldCharType="begin"/>
      </w:r>
      <w:r>
        <w:rPr>
          <w:noProof/>
        </w:rPr>
        <w:instrText xml:space="preserve"> GOTOBUTTON _Toc398970497  </w:instrText>
      </w:r>
      <w:r>
        <w:rPr>
          <w:noProof/>
        </w:rPr>
        <w:fldChar w:fldCharType="begin"/>
      </w:r>
      <w:r>
        <w:rPr>
          <w:noProof/>
        </w:rPr>
        <w:instrText xml:space="preserve"> PAGEREF _Toc398970497 </w:instrText>
      </w:r>
      <w:r>
        <w:rPr>
          <w:noProof/>
        </w:rPr>
        <w:fldChar w:fldCharType="separate"/>
      </w:r>
      <w:r>
        <w:rPr>
          <w:noProof/>
        </w:rPr>
        <w:instrText>98</w:instrText>
      </w:r>
      <w:r>
        <w:rPr>
          <w:noProof/>
        </w:rPr>
        <w:fldChar w:fldCharType="end"/>
      </w:r>
      <w:r>
        <w:rPr>
          <w:noProof/>
        </w:rPr>
        <w:fldChar w:fldCharType="end"/>
      </w:r>
    </w:p>
    <w:p w:rsidR="00B72047" w:rsidRDefault="00B72047">
      <w:pPr>
        <w:pStyle w:val="TOC2"/>
        <w:rPr>
          <w:noProof/>
        </w:rPr>
      </w:pPr>
      <w:r>
        <w:rPr>
          <w:noProof/>
        </w:rPr>
        <w:t>11. Conversion of simple selbri</w:t>
      </w:r>
      <w:r>
        <w:rPr>
          <w:noProof/>
        </w:rPr>
        <w:tab/>
      </w:r>
      <w:r>
        <w:rPr>
          <w:noProof/>
        </w:rPr>
        <w:fldChar w:fldCharType="begin"/>
      </w:r>
      <w:r>
        <w:rPr>
          <w:noProof/>
        </w:rPr>
        <w:instrText xml:space="preserve"> GOTOBUTTON _Toc398970498  </w:instrText>
      </w:r>
      <w:r>
        <w:rPr>
          <w:noProof/>
        </w:rPr>
        <w:fldChar w:fldCharType="begin"/>
      </w:r>
      <w:r>
        <w:rPr>
          <w:noProof/>
        </w:rPr>
        <w:instrText xml:space="preserve"> PAGEREF _Toc398970498 </w:instrText>
      </w:r>
      <w:r>
        <w:rPr>
          <w:noProof/>
        </w:rPr>
        <w:fldChar w:fldCharType="separate"/>
      </w:r>
      <w:r>
        <w:rPr>
          <w:noProof/>
        </w:rPr>
        <w:instrText>100</w:instrText>
      </w:r>
      <w:r>
        <w:rPr>
          <w:noProof/>
        </w:rPr>
        <w:fldChar w:fldCharType="end"/>
      </w:r>
      <w:r>
        <w:rPr>
          <w:noProof/>
        </w:rPr>
        <w:fldChar w:fldCharType="end"/>
      </w:r>
    </w:p>
    <w:p w:rsidR="00B72047" w:rsidRDefault="00B72047">
      <w:pPr>
        <w:pStyle w:val="TOC2"/>
        <w:rPr>
          <w:noProof/>
        </w:rPr>
      </w:pPr>
      <w:r>
        <w:rPr>
          <w:noProof/>
        </w:rPr>
        <w:t>12. Scalar negation of selbri</w:t>
      </w:r>
      <w:r>
        <w:rPr>
          <w:noProof/>
        </w:rPr>
        <w:tab/>
      </w:r>
      <w:r>
        <w:rPr>
          <w:noProof/>
        </w:rPr>
        <w:fldChar w:fldCharType="begin"/>
      </w:r>
      <w:r>
        <w:rPr>
          <w:noProof/>
        </w:rPr>
        <w:instrText xml:space="preserve"> GOTOBUTTON _Toc398970499  </w:instrText>
      </w:r>
      <w:r>
        <w:rPr>
          <w:noProof/>
        </w:rPr>
        <w:fldChar w:fldCharType="begin"/>
      </w:r>
      <w:r>
        <w:rPr>
          <w:noProof/>
        </w:rPr>
        <w:instrText xml:space="preserve"> PAGEREF _Toc398970499 </w:instrText>
      </w:r>
      <w:r>
        <w:rPr>
          <w:noProof/>
        </w:rPr>
        <w:fldChar w:fldCharType="separate"/>
      </w:r>
      <w:r>
        <w:rPr>
          <w:noProof/>
        </w:rPr>
        <w:instrText>101</w:instrText>
      </w:r>
      <w:r>
        <w:rPr>
          <w:noProof/>
        </w:rPr>
        <w:fldChar w:fldCharType="end"/>
      </w:r>
      <w:r>
        <w:rPr>
          <w:noProof/>
        </w:rPr>
        <w:fldChar w:fldCharType="end"/>
      </w:r>
    </w:p>
    <w:p w:rsidR="00B72047" w:rsidRDefault="00B72047">
      <w:pPr>
        <w:pStyle w:val="TOC2"/>
        <w:rPr>
          <w:noProof/>
        </w:rPr>
      </w:pPr>
      <w:r>
        <w:rPr>
          <w:noProof/>
        </w:rPr>
        <w:t>13. Tenses and bridi negation</w:t>
      </w:r>
      <w:r>
        <w:rPr>
          <w:noProof/>
        </w:rPr>
        <w:tab/>
      </w:r>
      <w:r>
        <w:rPr>
          <w:noProof/>
        </w:rPr>
        <w:fldChar w:fldCharType="begin"/>
      </w:r>
      <w:r>
        <w:rPr>
          <w:noProof/>
        </w:rPr>
        <w:instrText xml:space="preserve"> GOTOBUTTON _Toc398970500  </w:instrText>
      </w:r>
      <w:r>
        <w:rPr>
          <w:noProof/>
        </w:rPr>
        <w:fldChar w:fldCharType="begin"/>
      </w:r>
      <w:r>
        <w:rPr>
          <w:noProof/>
        </w:rPr>
        <w:instrText xml:space="preserve"> PAGEREF _Toc398970500 </w:instrText>
      </w:r>
      <w:r>
        <w:rPr>
          <w:noProof/>
        </w:rPr>
        <w:fldChar w:fldCharType="separate"/>
      </w:r>
      <w:r>
        <w:rPr>
          <w:noProof/>
        </w:rPr>
        <w:instrText>103</w:instrText>
      </w:r>
      <w:r>
        <w:rPr>
          <w:noProof/>
        </w:rPr>
        <w:fldChar w:fldCharType="end"/>
      </w:r>
      <w:r>
        <w:rPr>
          <w:noProof/>
        </w:rPr>
        <w:fldChar w:fldCharType="end"/>
      </w:r>
    </w:p>
    <w:p w:rsidR="00B72047" w:rsidRDefault="00B72047">
      <w:pPr>
        <w:pStyle w:val="TOC2"/>
        <w:rPr>
          <w:noProof/>
        </w:rPr>
      </w:pPr>
      <w:r>
        <w:rPr>
          <w:noProof/>
        </w:rPr>
        <w:t>14. Some types of asymmetrical tanru</w:t>
      </w:r>
      <w:r>
        <w:rPr>
          <w:noProof/>
        </w:rPr>
        <w:tab/>
      </w:r>
      <w:r>
        <w:rPr>
          <w:noProof/>
        </w:rPr>
        <w:fldChar w:fldCharType="begin"/>
      </w:r>
      <w:r>
        <w:rPr>
          <w:noProof/>
        </w:rPr>
        <w:instrText xml:space="preserve"> GOTOBUTTON _Toc398970501  </w:instrText>
      </w:r>
      <w:r>
        <w:rPr>
          <w:noProof/>
        </w:rPr>
        <w:fldChar w:fldCharType="begin"/>
      </w:r>
      <w:r>
        <w:rPr>
          <w:noProof/>
        </w:rPr>
        <w:instrText xml:space="preserve"> PAGEREF _Toc398970501 </w:instrText>
      </w:r>
      <w:r>
        <w:rPr>
          <w:noProof/>
        </w:rPr>
        <w:fldChar w:fldCharType="separate"/>
      </w:r>
      <w:r>
        <w:rPr>
          <w:noProof/>
        </w:rPr>
        <w:instrText>104</w:instrText>
      </w:r>
      <w:r>
        <w:rPr>
          <w:noProof/>
        </w:rPr>
        <w:fldChar w:fldCharType="end"/>
      </w:r>
      <w:r>
        <w:rPr>
          <w:noProof/>
        </w:rPr>
        <w:fldChar w:fldCharType="end"/>
      </w:r>
    </w:p>
    <w:p w:rsidR="00B72047" w:rsidRDefault="00B72047">
      <w:pPr>
        <w:pStyle w:val="TOC2"/>
        <w:rPr>
          <w:noProof/>
        </w:rPr>
      </w:pPr>
      <w:r>
        <w:rPr>
          <w:noProof/>
        </w:rPr>
        <w:t>15. Some types of symmetrical tanru</w:t>
      </w:r>
      <w:r>
        <w:rPr>
          <w:noProof/>
        </w:rPr>
        <w:tab/>
      </w:r>
      <w:r>
        <w:rPr>
          <w:noProof/>
        </w:rPr>
        <w:fldChar w:fldCharType="begin"/>
      </w:r>
      <w:r>
        <w:rPr>
          <w:noProof/>
        </w:rPr>
        <w:instrText xml:space="preserve"> GOTOBUTTON _Toc398970502  </w:instrText>
      </w:r>
      <w:r>
        <w:rPr>
          <w:noProof/>
        </w:rPr>
        <w:fldChar w:fldCharType="begin"/>
      </w:r>
      <w:r>
        <w:rPr>
          <w:noProof/>
        </w:rPr>
        <w:instrText xml:space="preserve"> PAGEREF _Toc398970502 </w:instrText>
      </w:r>
      <w:r>
        <w:rPr>
          <w:noProof/>
        </w:rPr>
        <w:fldChar w:fldCharType="separate"/>
      </w:r>
      <w:r>
        <w:rPr>
          <w:noProof/>
        </w:rPr>
        <w:instrText>111</w:instrText>
      </w:r>
      <w:r>
        <w:rPr>
          <w:noProof/>
        </w:rPr>
        <w:fldChar w:fldCharType="end"/>
      </w:r>
      <w:r>
        <w:rPr>
          <w:noProof/>
        </w:rPr>
        <w:fldChar w:fldCharType="end"/>
      </w:r>
    </w:p>
    <w:p w:rsidR="00B72047" w:rsidRDefault="00B72047">
      <w:pPr>
        <w:pStyle w:val="TOC2"/>
        <w:rPr>
          <w:noProof/>
        </w:rPr>
      </w:pPr>
      <w:r>
        <w:rPr>
          <w:noProof/>
        </w:rPr>
        <w:t>16. “Pretty little girls' school”: forty ways to say it</w:t>
      </w:r>
      <w:r>
        <w:rPr>
          <w:noProof/>
        </w:rPr>
        <w:tab/>
      </w:r>
      <w:r>
        <w:rPr>
          <w:noProof/>
        </w:rPr>
        <w:fldChar w:fldCharType="begin"/>
      </w:r>
      <w:r>
        <w:rPr>
          <w:noProof/>
        </w:rPr>
        <w:instrText xml:space="preserve"> GOTOBUTTON _Toc398970503  </w:instrText>
      </w:r>
      <w:r>
        <w:rPr>
          <w:noProof/>
        </w:rPr>
        <w:fldChar w:fldCharType="begin"/>
      </w:r>
      <w:r>
        <w:rPr>
          <w:noProof/>
        </w:rPr>
        <w:instrText xml:space="preserve"> PAGEREF _Toc398970503 </w:instrText>
      </w:r>
      <w:r>
        <w:rPr>
          <w:noProof/>
        </w:rPr>
        <w:fldChar w:fldCharType="separate"/>
      </w:r>
      <w:r>
        <w:rPr>
          <w:noProof/>
        </w:rPr>
        <w:instrText>112</w:instrText>
      </w:r>
      <w:r>
        <w:rPr>
          <w:noProof/>
        </w:rPr>
        <w:fldChar w:fldCharType="end"/>
      </w:r>
      <w:r>
        <w:rPr>
          <w:noProof/>
        </w:rPr>
        <w:fldChar w:fldCharType="end"/>
      </w:r>
    </w:p>
    <w:p w:rsidR="00B72047" w:rsidRDefault="00B72047">
      <w:pPr>
        <w:pStyle w:val="TOC1"/>
        <w:rPr>
          <w:noProof/>
        </w:rPr>
      </w:pPr>
      <w:r>
        <w:rPr>
          <w:noProof/>
        </w:rPr>
        <w:t>Chapter 6  To Speak Of Many Things: The Lojban sumti</w:t>
      </w:r>
      <w:r>
        <w:rPr>
          <w:noProof/>
        </w:rPr>
        <w:tab/>
      </w:r>
      <w:r>
        <w:rPr>
          <w:noProof/>
        </w:rPr>
        <w:fldChar w:fldCharType="begin"/>
      </w:r>
      <w:r>
        <w:rPr>
          <w:noProof/>
        </w:rPr>
        <w:instrText xml:space="preserve"> GOTOBUTTON _Toc398970505  </w:instrText>
      </w:r>
      <w:r>
        <w:rPr>
          <w:noProof/>
        </w:rPr>
        <w:fldChar w:fldCharType="begin"/>
      </w:r>
      <w:r>
        <w:rPr>
          <w:noProof/>
        </w:rPr>
        <w:instrText xml:space="preserve"> PAGEREF _Toc398970505 </w:instrText>
      </w:r>
      <w:r>
        <w:rPr>
          <w:noProof/>
        </w:rPr>
        <w:fldChar w:fldCharType="separate"/>
      </w:r>
      <w:r>
        <w:rPr>
          <w:noProof/>
        </w:rPr>
        <w:instrText>119</w:instrText>
      </w:r>
      <w:r>
        <w:rPr>
          <w:noProof/>
        </w:rPr>
        <w:fldChar w:fldCharType="end"/>
      </w:r>
      <w:r>
        <w:rPr>
          <w:noProof/>
        </w:rPr>
        <w:fldChar w:fldCharType="end"/>
      </w:r>
    </w:p>
    <w:p w:rsidR="00B72047" w:rsidRDefault="00B72047">
      <w:pPr>
        <w:pStyle w:val="TOC2"/>
        <w:rPr>
          <w:noProof/>
        </w:rPr>
      </w:pPr>
      <w:r>
        <w:rPr>
          <w:noProof/>
        </w:rPr>
        <w:t>1. The five kinds of simple sumti</w:t>
      </w:r>
      <w:r>
        <w:rPr>
          <w:noProof/>
        </w:rPr>
        <w:tab/>
      </w:r>
      <w:r>
        <w:rPr>
          <w:noProof/>
        </w:rPr>
        <w:fldChar w:fldCharType="begin"/>
      </w:r>
      <w:r>
        <w:rPr>
          <w:noProof/>
        </w:rPr>
        <w:instrText xml:space="preserve"> GOTOBUTTON _Toc398970506  </w:instrText>
      </w:r>
      <w:r>
        <w:rPr>
          <w:noProof/>
        </w:rPr>
        <w:fldChar w:fldCharType="begin"/>
      </w:r>
      <w:r>
        <w:rPr>
          <w:noProof/>
        </w:rPr>
        <w:instrText xml:space="preserve"> PAGEREF _Toc398970506 </w:instrText>
      </w:r>
      <w:r>
        <w:rPr>
          <w:noProof/>
        </w:rPr>
        <w:fldChar w:fldCharType="separate"/>
      </w:r>
      <w:r>
        <w:rPr>
          <w:noProof/>
        </w:rPr>
        <w:instrText>119</w:instrText>
      </w:r>
      <w:r>
        <w:rPr>
          <w:noProof/>
        </w:rPr>
        <w:fldChar w:fldCharType="end"/>
      </w:r>
      <w:r>
        <w:rPr>
          <w:noProof/>
        </w:rPr>
        <w:fldChar w:fldCharType="end"/>
      </w:r>
    </w:p>
    <w:p w:rsidR="00B72047" w:rsidRDefault="00B72047">
      <w:pPr>
        <w:pStyle w:val="TOC2"/>
        <w:rPr>
          <w:noProof/>
        </w:rPr>
      </w:pPr>
      <w:r>
        <w:rPr>
          <w:noProof/>
        </w:rPr>
        <w:t>2. The three basic description types</w:t>
      </w:r>
      <w:r>
        <w:rPr>
          <w:noProof/>
        </w:rPr>
        <w:tab/>
      </w:r>
      <w:r>
        <w:rPr>
          <w:noProof/>
        </w:rPr>
        <w:fldChar w:fldCharType="begin"/>
      </w:r>
      <w:r>
        <w:rPr>
          <w:noProof/>
        </w:rPr>
        <w:instrText xml:space="preserve"> GOTOBUTTON _Toc398970507  </w:instrText>
      </w:r>
      <w:r>
        <w:rPr>
          <w:noProof/>
        </w:rPr>
        <w:fldChar w:fldCharType="begin"/>
      </w:r>
      <w:r>
        <w:rPr>
          <w:noProof/>
        </w:rPr>
        <w:instrText xml:space="preserve"> PAGEREF _Toc398970507 </w:instrText>
      </w:r>
      <w:r>
        <w:rPr>
          <w:noProof/>
        </w:rPr>
        <w:fldChar w:fldCharType="separate"/>
      </w:r>
      <w:r>
        <w:rPr>
          <w:noProof/>
        </w:rPr>
        <w:instrText>120</w:instrText>
      </w:r>
      <w:r>
        <w:rPr>
          <w:noProof/>
        </w:rPr>
        <w:fldChar w:fldCharType="end"/>
      </w:r>
      <w:r>
        <w:rPr>
          <w:noProof/>
        </w:rPr>
        <w:fldChar w:fldCharType="end"/>
      </w:r>
    </w:p>
    <w:p w:rsidR="00B72047" w:rsidRDefault="00B72047">
      <w:pPr>
        <w:pStyle w:val="TOC2"/>
        <w:rPr>
          <w:noProof/>
        </w:rPr>
      </w:pPr>
      <w:r>
        <w:rPr>
          <w:noProof/>
        </w:rPr>
        <w:t>3. Individuals and masses</w:t>
      </w:r>
      <w:r>
        <w:rPr>
          <w:noProof/>
        </w:rPr>
        <w:tab/>
      </w:r>
      <w:r>
        <w:rPr>
          <w:noProof/>
        </w:rPr>
        <w:fldChar w:fldCharType="begin"/>
      </w:r>
      <w:r>
        <w:rPr>
          <w:noProof/>
        </w:rPr>
        <w:instrText xml:space="preserve"> GOTOBUTTON _Toc398970508  </w:instrText>
      </w:r>
      <w:r>
        <w:rPr>
          <w:noProof/>
        </w:rPr>
        <w:fldChar w:fldCharType="begin"/>
      </w:r>
      <w:r>
        <w:rPr>
          <w:noProof/>
        </w:rPr>
        <w:instrText xml:space="preserve"> PAGEREF _Toc398970508 </w:instrText>
      </w:r>
      <w:r>
        <w:rPr>
          <w:noProof/>
        </w:rPr>
        <w:fldChar w:fldCharType="separate"/>
      </w:r>
      <w:r>
        <w:rPr>
          <w:noProof/>
        </w:rPr>
        <w:instrText>123</w:instrText>
      </w:r>
      <w:r>
        <w:rPr>
          <w:noProof/>
        </w:rPr>
        <w:fldChar w:fldCharType="end"/>
      </w:r>
      <w:r>
        <w:rPr>
          <w:noProof/>
        </w:rPr>
        <w:fldChar w:fldCharType="end"/>
      </w:r>
    </w:p>
    <w:p w:rsidR="00B72047" w:rsidRDefault="00B72047">
      <w:pPr>
        <w:pStyle w:val="TOC2"/>
        <w:rPr>
          <w:noProof/>
        </w:rPr>
      </w:pPr>
      <w:r>
        <w:rPr>
          <w:noProof/>
        </w:rPr>
        <w:t>4. Masses and sets</w:t>
      </w:r>
      <w:r>
        <w:rPr>
          <w:noProof/>
        </w:rPr>
        <w:tab/>
      </w:r>
      <w:r>
        <w:rPr>
          <w:noProof/>
        </w:rPr>
        <w:fldChar w:fldCharType="begin"/>
      </w:r>
      <w:r>
        <w:rPr>
          <w:noProof/>
        </w:rPr>
        <w:instrText xml:space="preserve"> GOTOBUTTON _Toc398970509  </w:instrText>
      </w:r>
      <w:r>
        <w:rPr>
          <w:noProof/>
        </w:rPr>
        <w:fldChar w:fldCharType="begin"/>
      </w:r>
      <w:r>
        <w:rPr>
          <w:noProof/>
        </w:rPr>
        <w:instrText xml:space="preserve"> PAGEREF _Toc398970509 </w:instrText>
      </w:r>
      <w:r>
        <w:rPr>
          <w:noProof/>
        </w:rPr>
        <w:fldChar w:fldCharType="separate"/>
      </w:r>
      <w:r>
        <w:rPr>
          <w:noProof/>
        </w:rPr>
        <w:instrText>125</w:instrText>
      </w:r>
      <w:r>
        <w:rPr>
          <w:noProof/>
        </w:rPr>
        <w:fldChar w:fldCharType="end"/>
      </w:r>
      <w:r>
        <w:rPr>
          <w:noProof/>
        </w:rPr>
        <w:fldChar w:fldCharType="end"/>
      </w:r>
    </w:p>
    <w:p w:rsidR="00B72047" w:rsidRDefault="00B72047">
      <w:pPr>
        <w:pStyle w:val="TOC2"/>
        <w:rPr>
          <w:noProof/>
        </w:rPr>
      </w:pPr>
      <w:r>
        <w:rPr>
          <w:noProof/>
        </w:rPr>
        <w:t>5. Descriptors for typical objects</w:t>
      </w:r>
      <w:r>
        <w:rPr>
          <w:noProof/>
        </w:rPr>
        <w:tab/>
      </w:r>
      <w:r>
        <w:rPr>
          <w:noProof/>
        </w:rPr>
        <w:fldChar w:fldCharType="begin"/>
      </w:r>
      <w:r>
        <w:rPr>
          <w:noProof/>
        </w:rPr>
        <w:instrText xml:space="preserve"> GOTOBUTTON _Toc398970510  </w:instrText>
      </w:r>
      <w:r>
        <w:rPr>
          <w:noProof/>
        </w:rPr>
        <w:fldChar w:fldCharType="begin"/>
      </w:r>
      <w:r>
        <w:rPr>
          <w:noProof/>
        </w:rPr>
        <w:instrText xml:space="preserve"> PAGEREF _Toc398970510 </w:instrText>
      </w:r>
      <w:r>
        <w:rPr>
          <w:noProof/>
        </w:rPr>
        <w:fldChar w:fldCharType="separate"/>
      </w:r>
      <w:r>
        <w:rPr>
          <w:noProof/>
        </w:rPr>
        <w:instrText>126</w:instrText>
      </w:r>
      <w:r>
        <w:rPr>
          <w:noProof/>
        </w:rPr>
        <w:fldChar w:fldCharType="end"/>
      </w:r>
      <w:r>
        <w:rPr>
          <w:noProof/>
        </w:rPr>
        <w:fldChar w:fldCharType="end"/>
      </w:r>
    </w:p>
    <w:p w:rsidR="00B72047" w:rsidRDefault="00B72047">
      <w:pPr>
        <w:pStyle w:val="TOC2"/>
        <w:rPr>
          <w:noProof/>
        </w:rPr>
      </w:pPr>
      <w:r>
        <w:rPr>
          <w:noProof/>
        </w:rPr>
        <w:t>6. Quantified sumti</w:t>
      </w:r>
      <w:r>
        <w:rPr>
          <w:noProof/>
        </w:rPr>
        <w:tab/>
      </w:r>
      <w:r>
        <w:rPr>
          <w:noProof/>
        </w:rPr>
        <w:fldChar w:fldCharType="begin"/>
      </w:r>
      <w:r>
        <w:rPr>
          <w:noProof/>
        </w:rPr>
        <w:instrText xml:space="preserve"> GOTOBUTTON _Toc398970511  </w:instrText>
      </w:r>
      <w:r>
        <w:rPr>
          <w:noProof/>
        </w:rPr>
        <w:fldChar w:fldCharType="begin"/>
      </w:r>
      <w:r>
        <w:rPr>
          <w:noProof/>
        </w:rPr>
        <w:instrText xml:space="preserve"> PAGEREF _Toc398970511 </w:instrText>
      </w:r>
      <w:r>
        <w:rPr>
          <w:noProof/>
        </w:rPr>
        <w:fldChar w:fldCharType="separate"/>
      </w:r>
      <w:r>
        <w:rPr>
          <w:noProof/>
        </w:rPr>
        <w:instrText>127</w:instrText>
      </w:r>
      <w:r>
        <w:rPr>
          <w:noProof/>
        </w:rPr>
        <w:fldChar w:fldCharType="end"/>
      </w:r>
      <w:r>
        <w:rPr>
          <w:noProof/>
        </w:rPr>
        <w:fldChar w:fldCharType="end"/>
      </w:r>
    </w:p>
    <w:p w:rsidR="00B72047" w:rsidRDefault="00B72047">
      <w:pPr>
        <w:pStyle w:val="TOC2"/>
        <w:rPr>
          <w:noProof/>
        </w:rPr>
      </w:pPr>
      <w:r>
        <w:rPr>
          <w:noProof/>
        </w:rPr>
        <w:t>7. Quantified descriptions</w:t>
      </w:r>
      <w:r>
        <w:rPr>
          <w:noProof/>
        </w:rPr>
        <w:tab/>
      </w:r>
      <w:r>
        <w:rPr>
          <w:noProof/>
        </w:rPr>
        <w:fldChar w:fldCharType="begin"/>
      </w:r>
      <w:r>
        <w:rPr>
          <w:noProof/>
        </w:rPr>
        <w:instrText xml:space="preserve"> GOTOBUTTON _Toc398970512  </w:instrText>
      </w:r>
      <w:r>
        <w:rPr>
          <w:noProof/>
        </w:rPr>
        <w:fldChar w:fldCharType="begin"/>
      </w:r>
      <w:r>
        <w:rPr>
          <w:noProof/>
        </w:rPr>
        <w:instrText xml:space="preserve"> PAGEREF _Toc398970512 </w:instrText>
      </w:r>
      <w:r>
        <w:rPr>
          <w:noProof/>
        </w:rPr>
        <w:fldChar w:fldCharType="separate"/>
      </w:r>
      <w:r>
        <w:rPr>
          <w:noProof/>
        </w:rPr>
        <w:instrText>129</w:instrText>
      </w:r>
      <w:r>
        <w:rPr>
          <w:noProof/>
        </w:rPr>
        <w:fldChar w:fldCharType="end"/>
      </w:r>
      <w:r>
        <w:rPr>
          <w:noProof/>
        </w:rPr>
        <w:fldChar w:fldCharType="end"/>
      </w:r>
    </w:p>
    <w:p w:rsidR="00B72047" w:rsidRDefault="00B72047">
      <w:pPr>
        <w:pStyle w:val="TOC2"/>
        <w:rPr>
          <w:noProof/>
        </w:rPr>
      </w:pPr>
      <w:r>
        <w:rPr>
          <w:noProof/>
        </w:rPr>
        <w:t>8. Indefinite descriptions</w:t>
      </w:r>
      <w:r>
        <w:rPr>
          <w:noProof/>
        </w:rPr>
        <w:tab/>
      </w:r>
      <w:r>
        <w:rPr>
          <w:noProof/>
        </w:rPr>
        <w:fldChar w:fldCharType="begin"/>
      </w:r>
      <w:r>
        <w:rPr>
          <w:noProof/>
        </w:rPr>
        <w:instrText xml:space="preserve"> GOTOBUTTON _Toc398970513  </w:instrText>
      </w:r>
      <w:r>
        <w:rPr>
          <w:noProof/>
        </w:rPr>
        <w:fldChar w:fldCharType="begin"/>
      </w:r>
      <w:r>
        <w:rPr>
          <w:noProof/>
        </w:rPr>
        <w:instrText xml:space="preserve"> PAGEREF _Toc398970513 </w:instrText>
      </w:r>
      <w:r>
        <w:rPr>
          <w:noProof/>
        </w:rPr>
        <w:fldChar w:fldCharType="separate"/>
      </w:r>
      <w:r>
        <w:rPr>
          <w:noProof/>
        </w:rPr>
        <w:instrText>132</w:instrText>
      </w:r>
      <w:r>
        <w:rPr>
          <w:noProof/>
        </w:rPr>
        <w:fldChar w:fldCharType="end"/>
      </w:r>
      <w:r>
        <w:rPr>
          <w:noProof/>
        </w:rPr>
        <w:fldChar w:fldCharType="end"/>
      </w:r>
    </w:p>
    <w:p w:rsidR="00B72047" w:rsidRDefault="00B72047">
      <w:pPr>
        <w:pStyle w:val="TOC2"/>
        <w:rPr>
          <w:noProof/>
        </w:rPr>
      </w:pPr>
      <w:r>
        <w:rPr>
          <w:noProof/>
        </w:rPr>
        <w:t>9. sumti-based descriptions</w:t>
      </w:r>
      <w:r>
        <w:rPr>
          <w:noProof/>
        </w:rPr>
        <w:tab/>
      </w:r>
      <w:r>
        <w:rPr>
          <w:noProof/>
        </w:rPr>
        <w:fldChar w:fldCharType="begin"/>
      </w:r>
      <w:r>
        <w:rPr>
          <w:noProof/>
        </w:rPr>
        <w:instrText xml:space="preserve"> GOTOBUTTON _Toc398970514  </w:instrText>
      </w:r>
      <w:r>
        <w:rPr>
          <w:noProof/>
        </w:rPr>
        <w:fldChar w:fldCharType="begin"/>
      </w:r>
      <w:r>
        <w:rPr>
          <w:noProof/>
        </w:rPr>
        <w:instrText xml:space="preserve"> PAGEREF _Toc398970514 </w:instrText>
      </w:r>
      <w:r>
        <w:rPr>
          <w:noProof/>
        </w:rPr>
        <w:fldChar w:fldCharType="separate"/>
      </w:r>
      <w:r>
        <w:rPr>
          <w:noProof/>
        </w:rPr>
        <w:instrText>132</w:instrText>
      </w:r>
      <w:r>
        <w:rPr>
          <w:noProof/>
        </w:rPr>
        <w:fldChar w:fldCharType="end"/>
      </w:r>
      <w:r>
        <w:rPr>
          <w:noProof/>
        </w:rPr>
        <w:fldChar w:fldCharType="end"/>
      </w:r>
    </w:p>
    <w:p w:rsidR="00B72047" w:rsidRDefault="00B72047">
      <w:pPr>
        <w:pStyle w:val="TOC2"/>
        <w:rPr>
          <w:noProof/>
        </w:rPr>
      </w:pPr>
      <w:r>
        <w:rPr>
          <w:noProof/>
        </w:rPr>
        <w:t>10. sumti qualifiers</w:t>
      </w:r>
      <w:r>
        <w:rPr>
          <w:noProof/>
        </w:rPr>
        <w:tab/>
      </w:r>
      <w:r>
        <w:rPr>
          <w:noProof/>
        </w:rPr>
        <w:fldChar w:fldCharType="begin"/>
      </w:r>
      <w:r>
        <w:rPr>
          <w:noProof/>
        </w:rPr>
        <w:instrText xml:space="preserve"> GOTOBUTTON _Toc398970515  </w:instrText>
      </w:r>
      <w:r>
        <w:rPr>
          <w:noProof/>
        </w:rPr>
        <w:fldChar w:fldCharType="begin"/>
      </w:r>
      <w:r>
        <w:rPr>
          <w:noProof/>
        </w:rPr>
        <w:instrText xml:space="preserve"> PAGEREF _Toc398970515 </w:instrText>
      </w:r>
      <w:r>
        <w:rPr>
          <w:noProof/>
        </w:rPr>
        <w:fldChar w:fldCharType="separate"/>
      </w:r>
      <w:r>
        <w:rPr>
          <w:noProof/>
        </w:rPr>
        <w:instrText>133</w:instrText>
      </w:r>
      <w:r>
        <w:rPr>
          <w:noProof/>
        </w:rPr>
        <w:fldChar w:fldCharType="end"/>
      </w:r>
      <w:r>
        <w:rPr>
          <w:noProof/>
        </w:rPr>
        <w:fldChar w:fldCharType="end"/>
      </w:r>
    </w:p>
    <w:p w:rsidR="00B72047" w:rsidRDefault="00B72047">
      <w:pPr>
        <w:pStyle w:val="TOC2"/>
        <w:rPr>
          <w:noProof/>
        </w:rPr>
      </w:pPr>
      <w:r>
        <w:rPr>
          <w:noProof/>
        </w:rPr>
        <w:t>11. The syntax of vocative phrases</w:t>
      </w:r>
      <w:r>
        <w:rPr>
          <w:noProof/>
        </w:rPr>
        <w:tab/>
      </w:r>
      <w:r>
        <w:rPr>
          <w:noProof/>
        </w:rPr>
        <w:fldChar w:fldCharType="begin"/>
      </w:r>
      <w:r>
        <w:rPr>
          <w:noProof/>
        </w:rPr>
        <w:instrText xml:space="preserve"> GOTOBUTTON _Toc398970516  </w:instrText>
      </w:r>
      <w:r>
        <w:rPr>
          <w:noProof/>
        </w:rPr>
        <w:fldChar w:fldCharType="begin"/>
      </w:r>
      <w:r>
        <w:rPr>
          <w:noProof/>
        </w:rPr>
        <w:instrText xml:space="preserve"> PAGEREF _Toc398970516 </w:instrText>
      </w:r>
      <w:r>
        <w:rPr>
          <w:noProof/>
        </w:rPr>
        <w:fldChar w:fldCharType="separate"/>
      </w:r>
      <w:r>
        <w:rPr>
          <w:noProof/>
        </w:rPr>
        <w:instrText>135</w:instrText>
      </w:r>
      <w:r>
        <w:rPr>
          <w:noProof/>
        </w:rPr>
        <w:fldChar w:fldCharType="end"/>
      </w:r>
      <w:r>
        <w:rPr>
          <w:noProof/>
        </w:rPr>
        <w:fldChar w:fldCharType="end"/>
      </w:r>
    </w:p>
    <w:p w:rsidR="00B72047" w:rsidRDefault="00B72047">
      <w:pPr>
        <w:pStyle w:val="TOC2"/>
        <w:rPr>
          <w:noProof/>
        </w:rPr>
      </w:pPr>
      <w:r>
        <w:rPr>
          <w:noProof/>
        </w:rPr>
        <w:t>12. Lojban names</w:t>
      </w:r>
      <w:r>
        <w:rPr>
          <w:noProof/>
        </w:rPr>
        <w:tab/>
      </w:r>
      <w:r>
        <w:rPr>
          <w:noProof/>
        </w:rPr>
        <w:fldChar w:fldCharType="begin"/>
      </w:r>
      <w:r>
        <w:rPr>
          <w:noProof/>
        </w:rPr>
        <w:instrText xml:space="preserve"> GOTOBUTTON _Toc398970517  </w:instrText>
      </w:r>
      <w:r>
        <w:rPr>
          <w:noProof/>
        </w:rPr>
        <w:fldChar w:fldCharType="begin"/>
      </w:r>
      <w:r>
        <w:rPr>
          <w:noProof/>
        </w:rPr>
        <w:instrText xml:space="preserve"> PAGEREF _Toc398970517 </w:instrText>
      </w:r>
      <w:r>
        <w:rPr>
          <w:noProof/>
        </w:rPr>
        <w:fldChar w:fldCharType="separate"/>
      </w:r>
      <w:r>
        <w:rPr>
          <w:noProof/>
        </w:rPr>
        <w:instrText>137</w:instrText>
      </w:r>
      <w:r>
        <w:rPr>
          <w:noProof/>
        </w:rPr>
        <w:fldChar w:fldCharType="end"/>
      </w:r>
      <w:r>
        <w:rPr>
          <w:noProof/>
        </w:rPr>
        <w:fldChar w:fldCharType="end"/>
      </w:r>
    </w:p>
    <w:p w:rsidR="00B72047" w:rsidRDefault="00B72047">
      <w:pPr>
        <w:pStyle w:val="TOC2"/>
        <w:rPr>
          <w:noProof/>
        </w:rPr>
      </w:pPr>
      <w:r>
        <w:rPr>
          <w:noProof/>
        </w:rPr>
        <w:t>13. Pro-sumti summary</w:t>
      </w:r>
      <w:r>
        <w:rPr>
          <w:noProof/>
        </w:rPr>
        <w:tab/>
      </w:r>
      <w:r>
        <w:rPr>
          <w:noProof/>
        </w:rPr>
        <w:fldChar w:fldCharType="begin"/>
      </w:r>
      <w:r>
        <w:rPr>
          <w:noProof/>
        </w:rPr>
        <w:instrText xml:space="preserve"> GOTOBUTTON _Toc398970518  </w:instrText>
      </w:r>
      <w:r>
        <w:rPr>
          <w:noProof/>
        </w:rPr>
        <w:fldChar w:fldCharType="begin"/>
      </w:r>
      <w:r>
        <w:rPr>
          <w:noProof/>
        </w:rPr>
        <w:instrText xml:space="preserve"> PAGEREF _Toc398970518 </w:instrText>
      </w:r>
      <w:r>
        <w:rPr>
          <w:noProof/>
        </w:rPr>
        <w:fldChar w:fldCharType="separate"/>
      </w:r>
      <w:r>
        <w:rPr>
          <w:noProof/>
        </w:rPr>
        <w:instrText>139</w:instrText>
      </w:r>
      <w:r>
        <w:rPr>
          <w:noProof/>
        </w:rPr>
        <w:fldChar w:fldCharType="end"/>
      </w:r>
      <w:r>
        <w:rPr>
          <w:noProof/>
        </w:rPr>
        <w:fldChar w:fldCharType="end"/>
      </w:r>
    </w:p>
    <w:p w:rsidR="00B72047" w:rsidRDefault="00B72047">
      <w:pPr>
        <w:pStyle w:val="TOC2"/>
        <w:rPr>
          <w:noProof/>
        </w:rPr>
      </w:pPr>
      <w:r>
        <w:rPr>
          <w:noProof/>
        </w:rPr>
        <w:t>14. Quotation summary</w:t>
      </w:r>
      <w:r>
        <w:rPr>
          <w:noProof/>
        </w:rPr>
        <w:tab/>
      </w:r>
      <w:r>
        <w:rPr>
          <w:noProof/>
        </w:rPr>
        <w:fldChar w:fldCharType="begin"/>
      </w:r>
      <w:r>
        <w:rPr>
          <w:noProof/>
        </w:rPr>
        <w:instrText xml:space="preserve"> GOTOBUTTON _Toc398970519  </w:instrText>
      </w:r>
      <w:r>
        <w:rPr>
          <w:noProof/>
        </w:rPr>
        <w:fldChar w:fldCharType="begin"/>
      </w:r>
      <w:r>
        <w:rPr>
          <w:noProof/>
        </w:rPr>
        <w:instrText xml:space="preserve"> PAGEREF _Toc398970519 </w:instrText>
      </w:r>
      <w:r>
        <w:rPr>
          <w:noProof/>
        </w:rPr>
        <w:fldChar w:fldCharType="separate"/>
      </w:r>
      <w:r>
        <w:rPr>
          <w:noProof/>
        </w:rPr>
        <w:instrText>141</w:instrText>
      </w:r>
      <w:r>
        <w:rPr>
          <w:noProof/>
        </w:rPr>
        <w:fldChar w:fldCharType="end"/>
      </w:r>
      <w:r>
        <w:rPr>
          <w:noProof/>
        </w:rPr>
        <w:fldChar w:fldCharType="end"/>
      </w:r>
    </w:p>
    <w:p w:rsidR="00B72047" w:rsidRDefault="00B72047">
      <w:pPr>
        <w:pStyle w:val="TOC2"/>
        <w:rPr>
          <w:noProof/>
        </w:rPr>
      </w:pPr>
      <w:r>
        <w:rPr>
          <w:noProof/>
        </w:rPr>
        <w:t>15. Number summary</w:t>
      </w:r>
      <w:r>
        <w:rPr>
          <w:noProof/>
        </w:rPr>
        <w:tab/>
      </w:r>
      <w:r>
        <w:rPr>
          <w:noProof/>
        </w:rPr>
        <w:fldChar w:fldCharType="begin"/>
      </w:r>
      <w:r>
        <w:rPr>
          <w:noProof/>
        </w:rPr>
        <w:instrText xml:space="preserve"> GOTOBUTTON _Toc398970520  </w:instrText>
      </w:r>
      <w:r>
        <w:rPr>
          <w:noProof/>
        </w:rPr>
        <w:fldChar w:fldCharType="begin"/>
      </w:r>
      <w:r>
        <w:rPr>
          <w:noProof/>
        </w:rPr>
        <w:instrText xml:space="preserve"> PAGEREF _Toc398970520 </w:instrText>
      </w:r>
      <w:r>
        <w:rPr>
          <w:noProof/>
        </w:rPr>
        <w:fldChar w:fldCharType="separate"/>
      </w:r>
      <w:r>
        <w:rPr>
          <w:noProof/>
        </w:rPr>
        <w:instrText>141</w:instrText>
      </w:r>
      <w:r>
        <w:rPr>
          <w:noProof/>
        </w:rPr>
        <w:fldChar w:fldCharType="end"/>
      </w:r>
      <w:r>
        <w:rPr>
          <w:noProof/>
        </w:rPr>
        <w:fldChar w:fldCharType="end"/>
      </w:r>
    </w:p>
    <w:p w:rsidR="00B72047" w:rsidRDefault="00B72047">
      <w:pPr>
        <w:pStyle w:val="TOC1"/>
        <w:rPr>
          <w:noProof/>
        </w:rPr>
      </w:pPr>
      <w:r>
        <w:rPr>
          <w:noProof/>
        </w:rPr>
        <w:t>Chapter 7  Brevity Is The Soul Of Language: Pro-sumti And Pro-bridi</w:t>
      </w:r>
      <w:r>
        <w:rPr>
          <w:noProof/>
        </w:rPr>
        <w:tab/>
      </w:r>
      <w:r>
        <w:rPr>
          <w:noProof/>
        </w:rPr>
        <w:fldChar w:fldCharType="begin"/>
      </w:r>
      <w:r>
        <w:rPr>
          <w:noProof/>
        </w:rPr>
        <w:instrText xml:space="preserve"> GOTOBUTTON _Toc398970522  </w:instrText>
      </w:r>
      <w:r>
        <w:rPr>
          <w:noProof/>
        </w:rPr>
        <w:fldChar w:fldCharType="begin"/>
      </w:r>
      <w:r>
        <w:rPr>
          <w:noProof/>
        </w:rPr>
        <w:instrText xml:space="preserve"> PAGEREF _Toc398970522 </w:instrText>
      </w:r>
      <w:r>
        <w:rPr>
          <w:noProof/>
        </w:rPr>
        <w:fldChar w:fldCharType="separate"/>
      </w:r>
      <w:r>
        <w:rPr>
          <w:noProof/>
        </w:rPr>
        <w:instrText>145</w:instrText>
      </w:r>
      <w:r>
        <w:rPr>
          <w:noProof/>
        </w:rPr>
        <w:fldChar w:fldCharType="end"/>
      </w:r>
      <w:r>
        <w:rPr>
          <w:noProof/>
        </w:rPr>
        <w:fldChar w:fldCharType="end"/>
      </w:r>
    </w:p>
    <w:p w:rsidR="00B72047" w:rsidRDefault="00B72047">
      <w:pPr>
        <w:pStyle w:val="TOC2"/>
        <w:rPr>
          <w:noProof/>
        </w:rPr>
      </w:pPr>
      <w:r>
        <w:rPr>
          <w:noProof/>
        </w:rPr>
        <w:t>1. What are pro-sumti and pro-bridi? What are they for?</w:t>
      </w:r>
      <w:r>
        <w:rPr>
          <w:noProof/>
        </w:rPr>
        <w:tab/>
      </w:r>
      <w:r>
        <w:rPr>
          <w:noProof/>
        </w:rPr>
        <w:fldChar w:fldCharType="begin"/>
      </w:r>
      <w:r>
        <w:rPr>
          <w:noProof/>
        </w:rPr>
        <w:instrText xml:space="preserve"> GOTOBUTTON _Toc398970523  </w:instrText>
      </w:r>
      <w:r>
        <w:rPr>
          <w:noProof/>
        </w:rPr>
        <w:fldChar w:fldCharType="begin"/>
      </w:r>
      <w:r>
        <w:rPr>
          <w:noProof/>
        </w:rPr>
        <w:instrText xml:space="preserve"> PAGEREF _Toc398970523 </w:instrText>
      </w:r>
      <w:r>
        <w:rPr>
          <w:noProof/>
        </w:rPr>
        <w:fldChar w:fldCharType="separate"/>
      </w:r>
      <w:r>
        <w:rPr>
          <w:noProof/>
        </w:rPr>
        <w:instrText>145</w:instrText>
      </w:r>
      <w:r>
        <w:rPr>
          <w:noProof/>
        </w:rPr>
        <w:fldChar w:fldCharType="end"/>
      </w:r>
      <w:r>
        <w:rPr>
          <w:noProof/>
        </w:rPr>
        <w:fldChar w:fldCharType="end"/>
      </w:r>
    </w:p>
    <w:p w:rsidR="00B72047" w:rsidRDefault="00B72047">
      <w:pPr>
        <w:pStyle w:val="TOC2"/>
        <w:rPr>
          <w:noProof/>
        </w:rPr>
      </w:pPr>
      <w:r>
        <w:rPr>
          <w:noProof/>
        </w:rPr>
        <w:t>2. Personal pro-sumti: the mi-series</w:t>
      </w:r>
      <w:r>
        <w:rPr>
          <w:noProof/>
        </w:rPr>
        <w:tab/>
      </w:r>
      <w:r>
        <w:rPr>
          <w:noProof/>
        </w:rPr>
        <w:fldChar w:fldCharType="begin"/>
      </w:r>
      <w:r>
        <w:rPr>
          <w:noProof/>
        </w:rPr>
        <w:instrText xml:space="preserve"> GOTOBUTTON _Toc398970524  </w:instrText>
      </w:r>
      <w:r>
        <w:rPr>
          <w:noProof/>
        </w:rPr>
        <w:fldChar w:fldCharType="begin"/>
      </w:r>
      <w:r>
        <w:rPr>
          <w:noProof/>
        </w:rPr>
        <w:instrText xml:space="preserve"> PAGEREF _Toc398970524 </w:instrText>
      </w:r>
      <w:r>
        <w:rPr>
          <w:noProof/>
        </w:rPr>
        <w:fldChar w:fldCharType="separate"/>
      </w:r>
      <w:r>
        <w:rPr>
          <w:noProof/>
        </w:rPr>
        <w:instrText>146</w:instrText>
      </w:r>
      <w:r>
        <w:rPr>
          <w:noProof/>
        </w:rPr>
        <w:fldChar w:fldCharType="end"/>
      </w:r>
      <w:r>
        <w:rPr>
          <w:noProof/>
        </w:rPr>
        <w:fldChar w:fldCharType="end"/>
      </w:r>
    </w:p>
    <w:p w:rsidR="00B72047" w:rsidRDefault="00B72047">
      <w:pPr>
        <w:pStyle w:val="TOC2"/>
        <w:rPr>
          <w:noProof/>
        </w:rPr>
      </w:pPr>
      <w:r>
        <w:rPr>
          <w:noProof/>
        </w:rPr>
        <w:t>3. Demonstrative pro-sumti: the ti-series</w:t>
      </w:r>
      <w:r>
        <w:rPr>
          <w:noProof/>
        </w:rPr>
        <w:tab/>
      </w:r>
      <w:r>
        <w:rPr>
          <w:noProof/>
        </w:rPr>
        <w:fldChar w:fldCharType="begin"/>
      </w:r>
      <w:r>
        <w:rPr>
          <w:noProof/>
        </w:rPr>
        <w:instrText xml:space="preserve"> GOTOBUTTON _Toc398970525  </w:instrText>
      </w:r>
      <w:r>
        <w:rPr>
          <w:noProof/>
        </w:rPr>
        <w:fldChar w:fldCharType="begin"/>
      </w:r>
      <w:r>
        <w:rPr>
          <w:noProof/>
        </w:rPr>
        <w:instrText xml:space="preserve"> PAGEREF _Toc398970525 </w:instrText>
      </w:r>
      <w:r>
        <w:rPr>
          <w:noProof/>
        </w:rPr>
        <w:fldChar w:fldCharType="separate"/>
      </w:r>
      <w:r>
        <w:rPr>
          <w:noProof/>
        </w:rPr>
        <w:instrText>147</w:instrText>
      </w:r>
      <w:r>
        <w:rPr>
          <w:noProof/>
        </w:rPr>
        <w:fldChar w:fldCharType="end"/>
      </w:r>
      <w:r>
        <w:rPr>
          <w:noProof/>
        </w:rPr>
        <w:fldChar w:fldCharType="end"/>
      </w:r>
    </w:p>
    <w:p w:rsidR="00B72047" w:rsidRDefault="00B72047">
      <w:pPr>
        <w:pStyle w:val="TOC2"/>
        <w:rPr>
          <w:noProof/>
        </w:rPr>
      </w:pPr>
      <w:r>
        <w:rPr>
          <w:noProof/>
        </w:rPr>
        <w:t>4. Utterance pro-sumti: the di'u-series</w:t>
      </w:r>
      <w:r>
        <w:rPr>
          <w:noProof/>
        </w:rPr>
        <w:tab/>
      </w:r>
      <w:r>
        <w:rPr>
          <w:noProof/>
        </w:rPr>
        <w:fldChar w:fldCharType="begin"/>
      </w:r>
      <w:r>
        <w:rPr>
          <w:noProof/>
        </w:rPr>
        <w:instrText xml:space="preserve"> GOTOBUTTON _Toc398970526  </w:instrText>
      </w:r>
      <w:r>
        <w:rPr>
          <w:noProof/>
        </w:rPr>
        <w:fldChar w:fldCharType="begin"/>
      </w:r>
      <w:r>
        <w:rPr>
          <w:noProof/>
        </w:rPr>
        <w:instrText xml:space="preserve"> PAGEREF _Toc398970526 </w:instrText>
      </w:r>
      <w:r>
        <w:rPr>
          <w:noProof/>
        </w:rPr>
        <w:fldChar w:fldCharType="separate"/>
      </w:r>
      <w:r>
        <w:rPr>
          <w:noProof/>
        </w:rPr>
        <w:instrText>148</w:instrText>
      </w:r>
      <w:r>
        <w:rPr>
          <w:noProof/>
        </w:rPr>
        <w:fldChar w:fldCharType="end"/>
      </w:r>
      <w:r>
        <w:rPr>
          <w:noProof/>
        </w:rPr>
        <w:fldChar w:fldCharType="end"/>
      </w:r>
    </w:p>
    <w:p w:rsidR="00B72047" w:rsidRDefault="00B72047">
      <w:pPr>
        <w:pStyle w:val="TOC2"/>
        <w:rPr>
          <w:noProof/>
        </w:rPr>
      </w:pPr>
      <w:r>
        <w:rPr>
          <w:noProof/>
        </w:rPr>
        <w:t>5. Assignable pro-sumti and pro-bridi: the ko'a-series and the broda-series</w:t>
      </w:r>
      <w:r>
        <w:rPr>
          <w:noProof/>
        </w:rPr>
        <w:tab/>
      </w:r>
      <w:r>
        <w:rPr>
          <w:noProof/>
        </w:rPr>
        <w:fldChar w:fldCharType="begin"/>
      </w:r>
      <w:r>
        <w:rPr>
          <w:noProof/>
        </w:rPr>
        <w:instrText xml:space="preserve"> GOTOBUTTON _Toc398970527  </w:instrText>
      </w:r>
      <w:r>
        <w:rPr>
          <w:noProof/>
        </w:rPr>
        <w:fldChar w:fldCharType="begin"/>
      </w:r>
      <w:r>
        <w:rPr>
          <w:noProof/>
        </w:rPr>
        <w:instrText xml:space="preserve"> PAGEREF _Toc398970527 </w:instrText>
      </w:r>
      <w:r>
        <w:rPr>
          <w:noProof/>
        </w:rPr>
        <w:fldChar w:fldCharType="separate"/>
      </w:r>
      <w:r>
        <w:rPr>
          <w:noProof/>
        </w:rPr>
        <w:instrText>150</w:instrText>
      </w:r>
      <w:r>
        <w:rPr>
          <w:noProof/>
        </w:rPr>
        <w:fldChar w:fldCharType="end"/>
      </w:r>
      <w:r>
        <w:rPr>
          <w:noProof/>
        </w:rPr>
        <w:fldChar w:fldCharType="end"/>
      </w:r>
    </w:p>
    <w:p w:rsidR="00B72047" w:rsidRDefault="00B72047">
      <w:pPr>
        <w:pStyle w:val="TOC2"/>
        <w:rPr>
          <w:noProof/>
        </w:rPr>
      </w:pPr>
      <w:r>
        <w:rPr>
          <w:noProof/>
        </w:rPr>
        <w:t>6. Anaphoric pro-sumti and pro-bridi: the ri-series and the go'i-series</w:t>
      </w:r>
      <w:r>
        <w:rPr>
          <w:noProof/>
        </w:rPr>
        <w:tab/>
      </w:r>
      <w:r>
        <w:rPr>
          <w:noProof/>
        </w:rPr>
        <w:fldChar w:fldCharType="begin"/>
      </w:r>
      <w:r>
        <w:rPr>
          <w:noProof/>
        </w:rPr>
        <w:instrText xml:space="preserve"> GOTOBUTTON _Toc398970528  </w:instrText>
      </w:r>
      <w:r>
        <w:rPr>
          <w:noProof/>
        </w:rPr>
        <w:fldChar w:fldCharType="begin"/>
      </w:r>
      <w:r>
        <w:rPr>
          <w:noProof/>
        </w:rPr>
        <w:instrText xml:space="preserve"> PAGEREF _Toc398970528 </w:instrText>
      </w:r>
      <w:r>
        <w:rPr>
          <w:noProof/>
        </w:rPr>
        <w:fldChar w:fldCharType="separate"/>
      </w:r>
      <w:r>
        <w:rPr>
          <w:noProof/>
        </w:rPr>
        <w:instrText>152</w:instrText>
      </w:r>
      <w:r>
        <w:rPr>
          <w:noProof/>
        </w:rPr>
        <w:fldChar w:fldCharType="end"/>
      </w:r>
      <w:r>
        <w:rPr>
          <w:noProof/>
        </w:rPr>
        <w:fldChar w:fldCharType="end"/>
      </w:r>
    </w:p>
    <w:p w:rsidR="00B72047" w:rsidRDefault="00B72047">
      <w:pPr>
        <w:pStyle w:val="TOC2"/>
        <w:rPr>
          <w:noProof/>
        </w:rPr>
      </w:pPr>
      <w:r>
        <w:rPr>
          <w:noProof/>
        </w:rPr>
        <w:t>7. Indefinite pro-sumti and pro-bridi: the zo'e-series and the co'e-series</w:t>
      </w:r>
      <w:r>
        <w:rPr>
          <w:noProof/>
        </w:rPr>
        <w:tab/>
      </w:r>
      <w:r>
        <w:rPr>
          <w:noProof/>
        </w:rPr>
        <w:fldChar w:fldCharType="begin"/>
      </w:r>
      <w:r>
        <w:rPr>
          <w:noProof/>
        </w:rPr>
        <w:instrText xml:space="preserve"> GOTOBUTTON _Toc398970529  </w:instrText>
      </w:r>
      <w:r>
        <w:rPr>
          <w:noProof/>
        </w:rPr>
        <w:fldChar w:fldCharType="begin"/>
      </w:r>
      <w:r>
        <w:rPr>
          <w:noProof/>
        </w:rPr>
        <w:instrText xml:space="preserve"> PAGEREF _Toc398970529 </w:instrText>
      </w:r>
      <w:r>
        <w:rPr>
          <w:noProof/>
        </w:rPr>
        <w:fldChar w:fldCharType="separate"/>
      </w:r>
      <w:r>
        <w:rPr>
          <w:noProof/>
        </w:rPr>
        <w:instrText>156</w:instrText>
      </w:r>
      <w:r>
        <w:rPr>
          <w:noProof/>
        </w:rPr>
        <w:fldChar w:fldCharType="end"/>
      </w:r>
      <w:r>
        <w:rPr>
          <w:noProof/>
        </w:rPr>
        <w:fldChar w:fldCharType="end"/>
      </w:r>
    </w:p>
    <w:p w:rsidR="00B72047" w:rsidRDefault="00B72047">
      <w:pPr>
        <w:pStyle w:val="TOC2"/>
        <w:rPr>
          <w:noProof/>
        </w:rPr>
      </w:pPr>
      <w:r>
        <w:rPr>
          <w:noProof/>
        </w:rPr>
        <w:t>8. Reflexive and reciprocal pro-sumti: the vo'a-series</w:t>
      </w:r>
      <w:r>
        <w:rPr>
          <w:noProof/>
        </w:rPr>
        <w:tab/>
      </w:r>
      <w:r>
        <w:rPr>
          <w:noProof/>
        </w:rPr>
        <w:fldChar w:fldCharType="begin"/>
      </w:r>
      <w:r>
        <w:rPr>
          <w:noProof/>
        </w:rPr>
        <w:instrText xml:space="preserve"> GOTOBUTTON _Toc398970530  </w:instrText>
      </w:r>
      <w:r>
        <w:rPr>
          <w:noProof/>
        </w:rPr>
        <w:fldChar w:fldCharType="begin"/>
      </w:r>
      <w:r>
        <w:rPr>
          <w:noProof/>
        </w:rPr>
        <w:instrText xml:space="preserve"> PAGEREF _Toc398970530 </w:instrText>
      </w:r>
      <w:r>
        <w:rPr>
          <w:noProof/>
        </w:rPr>
        <w:fldChar w:fldCharType="separate"/>
      </w:r>
      <w:r>
        <w:rPr>
          <w:noProof/>
        </w:rPr>
        <w:instrText>158</w:instrText>
      </w:r>
      <w:r>
        <w:rPr>
          <w:noProof/>
        </w:rPr>
        <w:fldChar w:fldCharType="end"/>
      </w:r>
      <w:r>
        <w:rPr>
          <w:noProof/>
        </w:rPr>
        <w:fldChar w:fldCharType="end"/>
      </w:r>
    </w:p>
    <w:p w:rsidR="00B72047" w:rsidRDefault="00B72047">
      <w:pPr>
        <w:pStyle w:val="TOC2"/>
        <w:rPr>
          <w:noProof/>
        </w:rPr>
      </w:pPr>
      <w:r>
        <w:rPr>
          <w:noProof/>
        </w:rPr>
        <w:t>9. sumti and bridi questions: “ma” and “mo”</w:t>
      </w:r>
      <w:r>
        <w:rPr>
          <w:noProof/>
        </w:rPr>
        <w:tab/>
      </w:r>
      <w:r>
        <w:rPr>
          <w:noProof/>
        </w:rPr>
        <w:fldChar w:fldCharType="begin"/>
      </w:r>
      <w:r>
        <w:rPr>
          <w:noProof/>
        </w:rPr>
        <w:instrText xml:space="preserve"> GOTOBUTTON _Toc398970531  </w:instrText>
      </w:r>
      <w:r>
        <w:rPr>
          <w:noProof/>
        </w:rPr>
        <w:fldChar w:fldCharType="begin"/>
      </w:r>
      <w:r>
        <w:rPr>
          <w:noProof/>
        </w:rPr>
        <w:instrText xml:space="preserve"> PAGEREF _Toc398970531 </w:instrText>
      </w:r>
      <w:r>
        <w:rPr>
          <w:noProof/>
        </w:rPr>
        <w:fldChar w:fldCharType="separate"/>
      </w:r>
      <w:r>
        <w:rPr>
          <w:noProof/>
        </w:rPr>
        <w:instrText>159</w:instrText>
      </w:r>
      <w:r>
        <w:rPr>
          <w:noProof/>
        </w:rPr>
        <w:fldChar w:fldCharType="end"/>
      </w:r>
      <w:r>
        <w:rPr>
          <w:noProof/>
        </w:rPr>
        <w:fldChar w:fldCharType="end"/>
      </w:r>
    </w:p>
    <w:p w:rsidR="00B72047" w:rsidRDefault="00B72047">
      <w:pPr>
        <w:pStyle w:val="TOC2"/>
        <w:rPr>
          <w:noProof/>
        </w:rPr>
      </w:pPr>
      <w:r>
        <w:rPr>
          <w:noProof/>
        </w:rPr>
        <w:t>10. Relativized pro-sumti: “ke'a”</w:t>
      </w:r>
      <w:r>
        <w:rPr>
          <w:noProof/>
        </w:rPr>
        <w:tab/>
      </w:r>
      <w:r>
        <w:rPr>
          <w:noProof/>
        </w:rPr>
        <w:fldChar w:fldCharType="begin"/>
      </w:r>
      <w:r>
        <w:rPr>
          <w:noProof/>
        </w:rPr>
        <w:instrText xml:space="preserve"> GOTOBUTTON _Toc398970532  </w:instrText>
      </w:r>
      <w:r>
        <w:rPr>
          <w:noProof/>
        </w:rPr>
        <w:fldChar w:fldCharType="begin"/>
      </w:r>
      <w:r>
        <w:rPr>
          <w:noProof/>
        </w:rPr>
        <w:instrText xml:space="preserve"> PAGEREF _Toc398970532 </w:instrText>
      </w:r>
      <w:r>
        <w:rPr>
          <w:noProof/>
        </w:rPr>
        <w:fldChar w:fldCharType="separate"/>
      </w:r>
      <w:r>
        <w:rPr>
          <w:noProof/>
        </w:rPr>
        <w:instrText>160</w:instrText>
      </w:r>
      <w:r>
        <w:rPr>
          <w:noProof/>
        </w:rPr>
        <w:fldChar w:fldCharType="end"/>
      </w:r>
      <w:r>
        <w:rPr>
          <w:noProof/>
        </w:rPr>
        <w:fldChar w:fldCharType="end"/>
      </w:r>
    </w:p>
    <w:p w:rsidR="00B72047" w:rsidRDefault="00B72047">
      <w:pPr>
        <w:pStyle w:val="TOC2"/>
        <w:rPr>
          <w:noProof/>
        </w:rPr>
      </w:pPr>
      <w:r>
        <w:rPr>
          <w:noProof/>
        </w:rPr>
        <w:t>11. Abstraction focus pro-sumti: “ce'u”</w:t>
      </w:r>
      <w:r>
        <w:rPr>
          <w:noProof/>
        </w:rPr>
        <w:tab/>
      </w:r>
      <w:r>
        <w:rPr>
          <w:noProof/>
        </w:rPr>
        <w:fldChar w:fldCharType="begin"/>
      </w:r>
      <w:r>
        <w:rPr>
          <w:noProof/>
        </w:rPr>
        <w:instrText xml:space="preserve"> GOTOBUTTON _Toc398970533  </w:instrText>
      </w:r>
      <w:r>
        <w:rPr>
          <w:noProof/>
        </w:rPr>
        <w:fldChar w:fldCharType="begin"/>
      </w:r>
      <w:r>
        <w:rPr>
          <w:noProof/>
        </w:rPr>
        <w:instrText xml:space="preserve"> PAGEREF _Toc398970533 </w:instrText>
      </w:r>
      <w:r>
        <w:rPr>
          <w:noProof/>
        </w:rPr>
        <w:fldChar w:fldCharType="separate"/>
      </w:r>
      <w:r>
        <w:rPr>
          <w:noProof/>
        </w:rPr>
        <w:instrText>161</w:instrText>
      </w:r>
      <w:r>
        <w:rPr>
          <w:noProof/>
        </w:rPr>
        <w:fldChar w:fldCharType="end"/>
      </w:r>
      <w:r>
        <w:rPr>
          <w:noProof/>
        </w:rPr>
        <w:fldChar w:fldCharType="end"/>
      </w:r>
    </w:p>
    <w:p w:rsidR="00B72047" w:rsidRDefault="00B72047">
      <w:pPr>
        <w:pStyle w:val="TOC2"/>
        <w:rPr>
          <w:noProof/>
        </w:rPr>
      </w:pPr>
      <w:r>
        <w:rPr>
          <w:noProof/>
        </w:rPr>
        <w:t>12. Bound variable pro-sumti and pro-bridi: the da-series and the bu'a-series</w:t>
      </w:r>
      <w:r>
        <w:rPr>
          <w:noProof/>
        </w:rPr>
        <w:tab/>
      </w:r>
      <w:r>
        <w:rPr>
          <w:noProof/>
        </w:rPr>
        <w:fldChar w:fldCharType="begin"/>
      </w:r>
      <w:r>
        <w:rPr>
          <w:noProof/>
        </w:rPr>
        <w:instrText xml:space="preserve"> GOTOBUTTON _Toc398970534  </w:instrText>
      </w:r>
      <w:r>
        <w:rPr>
          <w:noProof/>
        </w:rPr>
        <w:fldChar w:fldCharType="begin"/>
      </w:r>
      <w:r>
        <w:rPr>
          <w:noProof/>
        </w:rPr>
        <w:instrText xml:space="preserve"> PAGEREF _Toc398970534 </w:instrText>
      </w:r>
      <w:r>
        <w:rPr>
          <w:noProof/>
        </w:rPr>
        <w:fldChar w:fldCharType="separate"/>
      </w:r>
      <w:r>
        <w:rPr>
          <w:noProof/>
        </w:rPr>
        <w:instrText>161</w:instrText>
      </w:r>
      <w:r>
        <w:rPr>
          <w:noProof/>
        </w:rPr>
        <w:fldChar w:fldCharType="end"/>
      </w:r>
      <w:r>
        <w:rPr>
          <w:noProof/>
        </w:rPr>
        <w:fldChar w:fldCharType="end"/>
      </w:r>
    </w:p>
    <w:p w:rsidR="00B72047" w:rsidRDefault="00B72047">
      <w:pPr>
        <w:pStyle w:val="TOC2"/>
        <w:rPr>
          <w:noProof/>
        </w:rPr>
      </w:pPr>
      <w:r>
        <w:rPr>
          <w:noProof/>
        </w:rPr>
        <w:t>13. Pro-sumti and pro-bridi cancelling</w:t>
      </w:r>
      <w:r>
        <w:rPr>
          <w:noProof/>
        </w:rPr>
        <w:tab/>
      </w:r>
      <w:r>
        <w:rPr>
          <w:noProof/>
        </w:rPr>
        <w:fldChar w:fldCharType="begin"/>
      </w:r>
      <w:r>
        <w:rPr>
          <w:noProof/>
        </w:rPr>
        <w:instrText xml:space="preserve"> GOTOBUTTON _Toc398970535  </w:instrText>
      </w:r>
      <w:r>
        <w:rPr>
          <w:noProof/>
        </w:rPr>
        <w:fldChar w:fldCharType="begin"/>
      </w:r>
      <w:r>
        <w:rPr>
          <w:noProof/>
        </w:rPr>
        <w:instrText xml:space="preserve"> PAGEREF _Toc398970535 </w:instrText>
      </w:r>
      <w:r>
        <w:rPr>
          <w:noProof/>
        </w:rPr>
        <w:fldChar w:fldCharType="separate"/>
      </w:r>
      <w:r>
        <w:rPr>
          <w:noProof/>
        </w:rPr>
        <w:instrText>162</w:instrText>
      </w:r>
      <w:r>
        <w:rPr>
          <w:noProof/>
        </w:rPr>
        <w:fldChar w:fldCharType="end"/>
      </w:r>
      <w:r>
        <w:rPr>
          <w:noProof/>
        </w:rPr>
        <w:fldChar w:fldCharType="end"/>
      </w:r>
    </w:p>
    <w:p w:rsidR="00B72047" w:rsidRDefault="00B72047">
      <w:pPr>
        <w:pStyle w:val="TOC2"/>
        <w:rPr>
          <w:noProof/>
        </w:rPr>
      </w:pPr>
      <w:r>
        <w:rPr>
          <w:noProof/>
        </w:rPr>
        <w:t>14. The identity predicate: du</w:t>
      </w:r>
      <w:r>
        <w:rPr>
          <w:noProof/>
        </w:rPr>
        <w:tab/>
      </w:r>
      <w:r>
        <w:rPr>
          <w:noProof/>
        </w:rPr>
        <w:fldChar w:fldCharType="begin"/>
      </w:r>
      <w:r>
        <w:rPr>
          <w:noProof/>
        </w:rPr>
        <w:instrText xml:space="preserve"> GOTOBUTTON _Toc398970536  </w:instrText>
      </w:r>
      <w:r>
        <w:rPr>
          <w:noProof/>
        </w:rPr>
        <w:fldChar w:fldCharType="begin"/>
      </w:r>
      <w:r>
        <w:rPr>
          <w:noProof/>
        </w:rPr>
        <w:instrText xml:space="preserve"> PAGEREF _Toc398970536 </w:instrText>
      </w:r>
      <w:r>
        <w:rPr>
          <w:noProof/>
        </w:rPr>
        <w:fldChar w:fldCharType="separate"/>
      </w:r>
      <w:r>
        <w:rPr>
          <w:noProof/>
        </w:rPr>
        <w:instrText>162</w:instrText>
      </w:r>
      <w:r>
        <w:rPr>
          <w:noProof/>
        </w:rPr>
        <w:fldChar w:fldCharType="end"/>
      </w:r>
      <w:r>
        <w:rPr>
          <w:noProof/>
        </w:rPr>
        <w:fldChar w:fldCharType="end"/>
      </w:r>
    </w:p>
    <w:p w:rsidR="00B72047" w:rsidRDefault="00B72047">
      <w:pPr>
        <w:pStyle w:val="TOC2"/>
        <w:rPr>
          <w:noProof/>
        </w:rPr>
      </w:pPr>
      <w:r>
        <w:rPr>
          <w:noProof/>
        </w:rPr>
        <w:t>15. lujvo based on pro-sumti</w:t>
      </w:r>
      <w:r>
        <w:rPr>
          <w:noProof/>
        </w:rPr>
        <w:tab/>
      </w:r>
      <w:r>
        <w:rPr>
          <w:noProof/>
        </w:rPr>
        <w:fldChar w:fldCharType="begin"/>
      </w:r>
      <w:r>
        <w:rPr>
          <w:noProof/>
        </w:rPr>
        <w:instrText xml:space="preserve"> GOTOBUTTON _Toc398970537  </w:instrText>
      </w:r>
      <w:r>
        <w:rPr>
          <w:noProof/>
        </w:rPr>
        <w:fldChar w:fldCharType="begin"/>
      </w:r>
      <w:r>
        <w:rPr>
          <w:noProof/>
        </w:rPr>
        <w:instrText xml:space="preserve"> PAGEREF _Toc398970537 </w:instrText>
      </w:r>
      <w:r>
        <w:rPr>
          <w:noProof/>
        </w:rPr>
        <w:fldChar w:fldCharType="separate"/>
      </w:r>
      <w:r>
        <w:rPr>
          <w:noProof/>
        </w:rPr>
        <w:instrText>163</w:instrText>
      </w:r>
      <w:r>
        <w:rPr>
          <w:noProof/>
        </w:rPr>
        <w:fldChar w:fldCharType="end"/>
      </w:r>
      <w:r>
        <w:rPr>
          <w:noProof/>
        </w:rPr>
        <w:fldChar w:fldCharType="end"/>
      </w:r>
    </w:p>
    <w:p w:rsidR="00B72047" w:rsidRDefault="00B72047">
      <w:pPr>
        <w:pStyle w:val="TOC2"/>
        <w:rPr>
          <w:noProof/>
        </w:rPr>
      </w:pPr>
      <w:r>
        <w:rPr>
          <w:noProof/>
        </w:rPr>
        <w:t>16. KOhA cmavo by series</w:t>
      </w:r>
      <w:r>
        <w:rPr>
          <w:noProof/>
        </w:rPr>
        <w:tab/>
      </w:r>
      <w:r>
        <w:rPr>
          <w:noProof/>
        </w:rPr>
        <w:fldChar w:fldCharType="begin"/>
      </w:r>
      <w:r>
        <w:rPr>
          <w:noProof/>
        </w:rPr>
        <w:instrText xml:space="preserve"> GOTOBUTTON _Toc398970538  </w:instrText>
      </w:r>
      <w:r>
        <w:rPr>
          <w:noProof/>
        </w:rPr>
        <w:fldChar w:fldCharType="begin"/>
      </w:r>
      <w:r>
        <w:rPr>
          <w:noProof/>
        </w:rPr>
        <w:instrText xml:space="preserve"> PAGEREF _Toc398970538 </w:instrText>
      </w:r>
      <w:r>
        <w:rPr>
          <w:noProof/>
        </w:rPr>
        <w:fldChar w:fldCharType="separate"/>
      </w:r>
      <w:r>
        <w:rPr>
          <w:noProof/>
        </w:rPr>
        <w:instrText>164</w:instrText>
      </w:r>
      <w:r>
        <w:rPr>
          <w:noProof/>
        </w:rPr>
        <w:fldChar w:fldCharType="end"/>
      </w:r>
      <w:r>
        <w:rPr>
          <w:noProof/>
        </w:rPr>
        <w:fldChar w:fldCharType="end"/>
      </w:r>
    </w:p>
    <w:p w:rsidR="00B72047" w:rsidRDefault="00B72047">
      <w:pPr>
        <w:pStyle w:val="TOC2"/>
        <w:rPr>
          <w:noProof/>
        </w:rPr>
      </w:pPr>
      <w:r>
        <w:rPr>
          <w:noProof/>
        </w:rPr>
        <w:t>17. GOhA and other pro-bridi by series</w:t>
      </w:r>
      <w:r>
        <w:rPr>
          <w:noProof/>
        </w:rPr>
        <w:tab/>
      </w:r>
      <w:r>
        <w:rPr>
          <w:noProof/>
        </w:rPr>
        <w:fldChar w:fldCharType="begin"/>
      </w:r>
      <w:r>
        <w:rPr>
          <w:noProof/>
        </w:rPr>
        <w:instrText xml:space="preserve"> GOTOBUTTON _Toc398970539  </w:instrText>
      </w:r>
      <w:r>
        <w:rPr>
          <w:noProof/>
        </w:rPr>
        <w:fldChar w:fldCharType="begin"/>
      </w:r>
      <w:r>
        <w:rPr>
          <w:noProof/>
        </w:rPr>
        <w:instrText xml:space="preserve"> PAGEREF _Toc398970539 </w:instrText>
      </w:r>
      <w:r>
        <w:rPr>
          <w:noProof/>
        </w:rPr>
        <w:fldChar w:fldCharType="separate"/>
      </w:r>
      <w:r>
        <w:rPr>
          <w:noProof/>
        </w:rPr>
        <w:instrText>165</w:instrText>
      </w:r>
      <w:r>
        <w:rPr>
          <w:noProof/>
        </w:rPr>
        <w:fldChar w:fldCharType="end"/>
      </w:r>
      <w:r>
        <w:rPr>
          <w:noProof/>
        </w:rPr>
        <w:fldChar w:fldCharType="end"/>
      </w:r>
    </w:p>
    <w:p w:rsidR="00B72047" w:rsidRDefault="00B72047">
      <w:pPr>
        <w:pStyle w:val="TOC2"/>
        <w:rPr>
          <w:noProof/>
        </w:rPr>
      </w:pPr>
      <w:r>
        <w:rPr>
          <w:noProof/>
        </w:rPr>
        <w:t>18. Other cmavo discussed in this chapter</w:t>
      </w:r>
      <w:r>
        <w:rPr>
          <w:noProof/>
        </w:rPr>
        <w:tab/>
      </w:r>
      <w:r>
        <w:rPr>
          <w:noProof/>
        </w:rPr>
        <w:fldChar w:fldCharType="begin"/>
      </w:r>
      <w:r>
        <w:rPr>
          <w:noProof/>
        </w:rPr>
        <w:instrText xml:space="preserve"> GOTOBUTTON _Toc398970540  </w:instrText>
      </w:r>
      <w:r>
        <w:rPr>
          <w:noProof/>
        </w:rPr>
        <w:fldChar w:fldCharType="begin"/>
      </w:r>
      <w:r>
        <w:rPr>
          <w:noProof/>
        </w:rPr>
        <w:instrText xml:space="preserve"> PAGEREF _Toc398970540 </w:instrText>
      </w:r>
      <w:r>
        <w:rPr>
          <w:noProof/>
        </w:rPr>
        <w:fldChar w:fldCharType="separate"/>
      </w:r>
      <w:r>
        <w:rPr>
          <w:noProof/>
        </w:rPr>
        <w:instrText>166</w:instrText>
      </w:r>
      <w:r>
        <w:rPr>
          <w:noProof/>
        </w:rPr>
        <w:fldChar w:fldCharType="end"/>
      </w:r>
      <w:r>
        <w:rPr>
          <w:noProof/>
        </w:rPr>
        <w:fldChar w:fldCharType="end"/>
      </w:r>
    </w:p>
    <w:p w:rsidR="00B72047" w:rsidRDefault="00B72047">
      <w:pPr>
        <w:pStyle w:val="TOC1"/>
        <w:rPr>
          <w:noProof/>
        </w:rPr>
      </w:pPr>
      <w:r>
        <w:rPr>
          <w:noProof/>
        </w:rPr>
        <w:t>Chapter 8  Relative Clauses, Which Make sumti Even More Complicated</w:t>
      </w:r>
      <w:r>
        <w:rPr>
          <w:noProof/>
        </w:rPr>
        <w:tab/>
      </w:r>
      <w:r>
        <w:rPr>
          <w:noProof/>
        </w:rPr>
        <w:fldChar w:fldCharType="begin"/>
      </w:r>
      <w:r>
        <w:rPr>
          <w:noProof/>
        </w:rPr>
        <w:instrText xml:space="preserve"> GOTOBUTTON _Toc398970542  </w:instrText>
      </w:r>
      <w:r>
        <w:rPr>
          <w:noProof/>
        </w:rPr>
        <w:fldChar w:fldCharType="begin"/>
      </w:r>
      <w:r>
        <w:rPr>
          <w:noProof/>
        </w:rPr>
        <w:instrText xml:space="preserve"> PAGEREF _Toc398970542 </w:instrText>
      </w:r>
      <w:r>
        <w:rPr>
          <w:noProof/>
        </w:rPr>
        <w:fldChar w:fldCharType="separate"/>
      </w:r>
      <w:r>
        <w:rPr>
          <w:noProof/>
        </w:rPr>
        <w:instrText>169</w:instrText>
      </w:r>
      <w:r>
        <w:rPr>
          <w:noProof/>
        </w:rPr>
        <w:fldChar w:fldCharType="end"/>
      </w:r>
      <w:r>
        <w:rPr>
          <w:noProof/>
        </w:rPr>
        <w:fldChar w:fldCharType="end"/>
      </w:r>
    </w:p>
    <w:p w:rsidR="00B72047" w:rsidRDefault="00B72047">
      <w:pPr>
        <w:pStyle w:val="TOC2"/>
        <w:rPr>
          <w:noProof/>
        </w:rPr>
      </w:pPr>
      <w:r>
        <w:rPr>
          <w:noProof/>
        </w:rPr>
        <w:t>1. What are you pointing at?</w:t>
      </w:r>
      <w:r>
        <w:rPr>
          <w:noProof/>
        </w:rPr>
        <w:tab/>
      </w:r>
      <w:r>
        <w:rPr>
          <w:noProof/>
        </w:rPr>
        <w:fldChar w:fldCharType="begin"/>
      </w:r>
      <w:r>
        <w:rPr>
          <w:noProof/>
        </w:rPr>
        <w:instrText xml:space="preserve"> GOTOBUTTON _Toc398970543  </w:instrText>
      </w:r>
      <w:r>
        <w:rPr>
          <w:noProof/>
        </w:rPr>
        <w:fldChar w:fldCharType="begin"/>
      </w:r>
      <w:r>
        <w:rPr>
          <w:noProof/>
        </w:rPr>
        <w:instrText xml:space="preserve"> PAGEREF _Toc398970543 </w:instrText>
      </w:r>
      <w:r>
        <w:rPr>
          <w:noProof/>
        </w:rPr>
        <w:fldChar w:fldCharType="separate"/>
      </w:r>
      <w:r>
        <w:rPr>
          <w:noProof/>
        </w:rPr>
        <w:instrText>169</w:instrText>
      </w:r>
      <w:r>
        <w:rPr>
          <w:noProof/>
        </w:rPr>
        <w:fldChar w:fldCharType="end"/>
      </w:r>
      <w:r>
        <w:rPr>
          <w:noProof/>
        </w:rPr>
        <w:fldChar w:fldCharType="end"/>
      </w:r>
    </w:p>
    <w:p w:rsidR="00B72047" w:rsidRDefault="00B72047">
      <w:pPr>
        <w:pStyle w:val="TOC2"/>
        <w:rPr>
          <w:noProof/>
        </w:rPr>
      </w:pPr>
      <w:r>
        <w:rPr>
          <w:noProof/>
        </w:rPr>
        <w:t>2. Incidental relative clauses</w:t>
      </w:r>
      <w:r>
        <w:rPr>
          <w:noProof/>
        </w:rPr>
        <w:tab/>
      </w:r>
      <w:r>
        <w:rPr>
          <w:noProof/>
        </w:rPr>
        <w:fldChar w:fldCharType="begin"/>
      </w:r>
      <w:r>
        <w:rPr>
          <w:noProof/>
        </w:rPr>
        <w:instrText xml:space="preserve"> GOTOBUTTON _Toc398970544  </w:instrText>
      </w:r>
      <w:r>
        <w:rPr>
          <w:noProof/>
        </w:rPr>
        <w:fldChar w:fldCharType="begin"/>
      </w:r>
      <w:r>
        <w:rPr>
          <w:noProof/>
        </w:rPr>
        <w:instrText xml:space="preserve"> PAGEREF _Toc398970544 </w:instrText>
      </w:r>
      <w:r>
        <w:rPr>
          <w:noProof/>
        </w:rPr>
        <w:fldChar w:fldCharType="separate"/>
      </w:r>
      <w:r>
        <w:rPr>
          <w:noProof/>
        </w:rPr>
        <w:instrText>171</w:instrText>
      </w:r>
      <w:r>
        <w:rPr>
          <w:noProof/>
        </w:rPr>
        <w:fldChar w:fldCharType="end"/>
      </w:r>
      <w:r>
        <w:rPr>
          <w:noProof/>
        </w:rPr>
        <w:fldChar w:fldCharType="end"/>
      </w:r>
    </w:p>
    <w:p w:rsidR="00B72047" w:rsidRDefault="00B72047">
      <w:pPr>
        <w:pStyle w:val="TOC2"/>
        <w:rPr>
          <w:noProof/>
        </w:rPr>
      </w:pPr>
      <w:r>
        <w:rPr>
          <w:noProof/>
        </w:rPr>
        <w:t>3. Relative phrases</w:t>
      </w:r>
      <w:r>
        <w:rPr>
          <w:noProof/>
        </w:rPr>
        <w:tab/>
      </w:r>
      <w:r>
        <w:rPr>
          <w:noProof/>
        </w:rPr>
        <w:fldChar w:fldCharType="begin"/>
      </w:r>
      <w:r>
        <w:rPr>
          <w:noProof/>
        </w:rPr>
        <w:instrText xml:space="preserve"> GOTOBUTTON _Toc398970545  </w:instrText>
      </w:r>
      <w:r>
        <w:rPr>
          <w:noProof/>
        </w:rPr>
        <w:fldChar w:fldCharType="begin"/>
      </w:r>
      <w:r>
        <w:rPr>
          <w:noProof/>
        </w:rPr>
        <w:instrText xml:space="preserve"> PAGEREF _Toc398970545 </w:instrText>
      </w:r>
      <w:r>
        <w:rPr>
          <w:noProof/>
        </w:rPr>
        <w:fldChar w:fldCharType="separate"/>
      </w:r>
      <w:r>
        <w:rPr>
          <w:noProof/>
        </w:rPr>
        <w:instrText>172</w:instrText>
      </w:r>
      <w:r>
        <w:rPr>
          <w:noProof/>
        </w:rPr>
        <w:fldChar w:fldCharType="end"/>
      </w:r>
      <w:r>
        <w:rPr>
          <w:noProof/>
        </w:rPr>
        <w:fldChar w:fldCharType="end"/>
      </w:r>
    </w:p>
    <w:p w:rsidR="00B72047" w:rsidRDefault="00B72047">
      <w:pPr>
        <w:pStyle w:val="TOC2"/>
        <w:rPr>
          <w:noProof/>
        </w:rPr>
      </w:pPr>
      <w:r>
        <w:rPr>
          <w:noProof/>
        </w:rPr>
        <w:t>4. Multiple relative clauses: “zi'e”</w:t>
      </w:r>
      <w:r>
        <w:rPr>
          <w:noProof/>
        </w:rPr>
        <w:tab/>
      </w:r>
      <w:r>
        <w:rPr>
          <w:noProof/>
        </w:rPr>
        <w:fldChar w:fldCharType="begin"/>
      </w:r>
      <w:r>
        <w:rPr>
          <w:noProof/>
        </w:rPr>
        <w:instrText xml:space="preserve"> GOTOBUTTON _Toc398970546  </w:instrText>
      </w:r>
      <w:r>
        <w:rPr>
          <w:noProof/>
        </w:rPr>
        <w:fldChar w:fldCharType="begin"/>
      </w:r>
      <w:r>
        <w:rPr>
          <w:noProof/>
        </w:rPr>
        <w:instrText xml:space="preserve"> PAGEREF _Toc398970546 </w:instrText>
      </w:r>
      <w:r>
        <w:rPr>
          <w:noProof/>
        </w:rPr>
        <w:fldChar w:fldCharType="separate"/>
      </w:r>
      <w:r>
        <w:rPr>
          <w:noProof/>
        </w:rPr>
        <w:instrText>175</w:instrText>
      </w:r>
      <w:r>
        <w:rPr>
          <w:noProof/>
        </w:rPr>
        <w:fldChar w:fldCharType="end"/>
      </w:r>
      <w:r>
        <w:rPr>
          <w:noProof/>
        </w:rPr>
        <w:fldChar w:fldCharType="end"/>
      </w:r>
    </w:p>
    <w:p w:rsidR="00B72047" w:rsidRDefault="00B72047">
      <w:pPr>
        <w:pStyle w:val="TOC2"/>
        <w:rPr>
          <w:noProof/>
        </w:rPr>
      </w:pPr>
      <w:r>
        <w:rPr>
          <w:noProof/>
        </w:rPr>
        <w:t>5. Non-veridical relative clauses: “voi”</w:t>
      </w:r>
      <w:r>
        <w:rPr>
          <w:noProof/>
        </w:rPr>
        <w:tab/>
      </w:r>
      <w:r>
        <w:rPr>
          <w:noProof/>
        </w:rPr>
        <w:fldChar w:fldCharType="begin"/>
      </w:r>
      <w:r>
        <w:rPr>
          <w:noProof/>
        </w:rPr>
        <w:instrText xml:space="preserve"> GOTOBUTTON _Toc398970547  </w:instrText>
      </w:r>
      <w:r>
        <w:rPr>
          <w:noProof/>
        </w:rPr>
        <w:fldChar w:fldCharType="begin"/>
      </w:r>
      <w:r>
        <w:rPr>
          <w:noProof/>
        </w:rPr>
        <w:instrText xml:space="preserve"> PAGEREF _Toc398970547 </w:instrText>
      </w:r>
      <w:r>
        <w:rPr>
          <w:noProof/>
        </w:rPr>
        <w:fldChar w:fldCharType="separate"/>
      </w:r>
      <w:r>
        <w:rPr>
          <w:noProof/>
        </w:rPr>
        <w:instrText>177</w:instrText>
      </w:r>
      <w:r>
        <w:rPr>
          <w:noProof/>
        </w:rPr>
        <w:fldChar w:fldCharType="end"/>
      </w:r>
      <w:r>
        <w:rPr>
          <w:noProof/>
        </w:rPr>
        <w:fldChar w:fldCharType="end"/>
      </w:r>
    </w:p>
    <w:p w:rsidR="00B72047" w:rsidRDefault="00B72047">
      <w:pPr>
        <w:pStyle w:val="TOC2"/>
        <w:rPr>
          <w:noProof/>
        </w:rPr>
      </w:pPr>
      <w:r>
        <w:rPr>
          <w:noProof/>
        </w:rPr>
        <w:t>6. Relative clauses and descriptors</w:t>
      </w:r>
      <w:r>
        <w:rPr>
          <w:noProof/>
        </w:rPr>
        <w:tab/>
      </w:r>
      <w:r>
        <w:rPr>
          <w:noProof/>
        </w:rPr>
        <w:fldChar w:fldCharType="begin"/>
      </w:r>
      <w:r>
        <w:rPr>
          <w:noProof/>
        </w:rPr>
        <w:instrText xml:space="preserve"> GOTOBUTTON _Toc398970548  </w:instrText>
      </w:r>
      <w:r>
        <w:rPr>
          <w:noProof/>
        </w:rPr>
        <w:fldChar w:fldCharType="begin"/>
      </w:r>
      <w:r>
        <w:rPr>
          <w:noProof/>
        </w:rPr>
        <w:instrText xml:space="preserve"> PAGEREF _Toc398970548 </w:instrText>
      </w:r>
      <w:r>
        <w:rPr>
          <w:noProof/>
        </w:rPr>
        <w:fldChar w:fldCharType="separate"/>
      </w:r>
      <w:r>
        <w:rPr>
          <w:noProof/>
        </w:rPr>
        <w:instrText>177</w:instrText>
      </w:r>
      <w:r>
        <w:rPr>
          <w:noProof/>
        </w:rPr>
        <w:fldChar w:fldCharType="end"/>
      </w:r>
      <w:r>
        <w:rPr>
          <w:noProof/>
        </w:rPr>
        <w:fldChar w:fldCharType="end"/>
      </w:r>
    </w:p>
    <w:p w:rsidR="00B72047" w:rsidRDefault="00B72047">
      <w:pPr>
        <w:pStyle w:val="TOC2"/>
        <w:rPr>
          <w:noProof/>
        </w:rPr>
      </w:pPr>
      <w:r>
        <w:rPr>
          <w:noProof/>
        </w:rPr>
        <w:t>7. Possessive sumti</w:t>
      </w:r>
      <w:r>
        <w:rPr>
          <w:noProof/>
        </w:rPr>
        <w:tab/>
      </w:r>
      <w:r>
        <w:rPr>
          <w:noProof/>
        </w:rPr>
        <w:fldChar w:fldCharType="begin"/>
      </w:r>
      <w:r>
        <w:rPr>
          <w:noProof/>
        </w:rPr>
        <w:instrText xml:space="preserve"> GOTOBUTTON _Toc398970549  </w:instrText>
      </w:r>
      <w:r>
        <w:rPr>
          <w:noProof/>
        </w:rPr>
        <w:fldChar w:fldCharType="begin"/>
      </w:r>
      <w:r>
        <w:rPr>
          <w:noProof/>
        </w:rPr>
        <w:instrText xml:space="preserve"> PAGEREF _Toc398970549 </w:instrText>
      </w:r>
      <w:r>
        <w:rPr>
          <w:noProof/>
        </w:rPr>
        <w:fldChar w:fldCharType="separate"/>
      </w:r>
      <w:r>
        <w:rPr>
          <w:noProof/>
        </w:rPr>
        <w:instrText>180</w:instrText>
      </w:r>
      <w:r>
        <w:rPr>
          <w:noProof/>
        </w:rPr>
        <w:fldChar w:fldCharType="end"/>
      </w:r>
      <w:r>
        <w:rPr>
          <w:noProof/>
        </w:rPr>
        <w:fldChar w:fldCharType="end"/>
      </w:r>
    </w:p>
    <w:p w:rsidR="00B72047" w:rsidRDefault="00B72047">
      <w:pPr>
        <w:pStyle w:val="TOC2"/>
        <w:rPr>
          <w:noProof/>
        </w:rPr>
      </w:pPr>
      <w:r>
        <w:rPr>
          <w:noProof/>
        </w:rPr>
        <w:t>8. Relative clauses and complex sumti: “vu'o”</w:t>
      </w:r>
      <w:r>
        <w:rPr>
          <w:noProof/>
        </w:rPr>
        <w:tab/>
      </w:r>
      <w:r>
        <w:rPr>
          <w:noProof/>
        </w:rPr>
        <w:fldChar w:fldCharType="begin"/>
      </w:r>
      <w:r>
        <w:rPr>
          <w:noProof/>
        </w:rPr>
        <w:instrText xml:space="preserve"> GOTOBUTTON _Toc398970550  </w:instrText>
      </w:r>
      <w:r>
        <w:rPr>
          <w:noProof/>
        </w:rPr>
        <w:fldChar w:fldCharType="begin"/>
      </w:r>
      <w:r>
        <w:rPr>
          <w:noProof/>
        </w:rPr>
        <w:instrText xml:space="preserve"> PAGEREF _Toc398970550 </w:instrText>
      </w:r>
      <w:r>
        <w:rPr>
          <w:noProof/>
        </w:rPr>
        <w:fldChar w:fldCharType="separate"/>
      </w:r>
      <w:r>
        <w:rPr>
          <w:noProof/>
        </w:rPr>
        <w:instrText>181</w:instrText>
      </w:r>
      <w:r>
        <w:rPr>
          <w:noProof/>
        </w:rPr>
        <w:fldChar w:fldCharType="end"/>
      </w:r>
      <w:r>
        <w:rPr>
          <w:noProof/>
        </w:rPr>
        <w:fldChar w:fldCharType="end"/>
      </w:r>
    </w:p>
    <w:p w:rsidR="00B72047" w:rsidRDefault="00B72047">
      <w:pPr>
        <w:pStyle w:val="TOC2"/>
        <w:rPr>
          <w:noProof/>
        </w:rPr>
      </w:pPr>
      <w:r>
        <w:rPr>
          <w:noProof/>
        </w:rPr>
        <w:br w:type="page"/>
        <w:t>9. Relative clauses in vocative phrases</w:t>
      </w:r>
      <w:r>
        <w:rPr>
          <w:noProof/>
        </w:rPr>
        <w:tab/>
      </w:r>
      <w:r>
        <w:rPr>
          <w:noProof/>
        </w:rPr>
        <w:fldChar w:fldCharType="begin"/>
      </w:r>
      <w:r>
        <w:rPr>
          <w:noProof/>
        </w:rPr>
        <w:instrText xml:space="preserve"> GOTOBUTTON _Toc398970551  </w:instrText>
      </w:r>
      <w:r>
        <w:rPr>
          <w:noProof/>
        </w:rPr>
        <w:fldChar w:fldCharType="begin"/>
      </w:r>
      <w:r>
        <w:rPr>
          <w:noProof/>
        </w:rPr>
        <w:instrText xml:space="preserve"> PAGEREF _Toc398970551 </w:instrText>
      </w:r>
      <w:r>
        <w:rPr>
          <w:noProof/>
        </w:rPr>
        <w:fldChar w:fldCharType="separate"/>
      </w:r>
      <w:r>
        <w:rPr>
          <w:noProof/>
        </w:rPr>
        <w:instrText>183</w:instrText>
      </w:r>
      <w:r>
        <w:rPr>
          <w:noProof/>
        </w:rPr>
        <w:fldChar w:fldCharType="end"/>
      </w:r>
      <w:r>
        <w:rPr>
          <w:noProof/>
        </w:rPr>
        <w:fldChar w:fldCharType="end"/>
      </w:r>
    </w:p>
    <w:p w:rsidR="00B72047" w:rsidRDefault="00B72047">
      <w:pPr>
        <w:pStyle w:val="TOC2"/>
        <w:rPr>
          <w:noProof/>
        </w:rPr>
      </w:pPr>
      <w:r>
        <w:rPr>
          <w:noProof/>
        </w:rPr>
        <w:t>10. Relative clauses within relative clauses</w:t>
      </w:r>
      <w:r>
        <w:rPr>
          <w:noProof/>
        </w:rPr>
        <w:tab/>
      </w:r>
      <w:r>
        <w:rPr>
          <w:noProof/>
        </w:rPr>
        <w:fldChar w:fldCharType="begin"/>
      </w:r>
      <w:r>
        <w:rPr>
          <w:noProof/>
        </w:rPr>
        <w:instrText xml:space="preserve"> GOTOBUTTON _Toc398970552  </w:instrText>
      </w:r>
      <w:r>
        <w:rPr>
          <w:noProof/>
        </w:rPr>
        <w:fldChar w:fldCharType="begin"/>
      </w:r>
      <w:r>
        <w:rPr>
          <w:noProof/>
        </w:rPr>
        <w:instrText xml:space="preserve"> PAGEREF _Toc398970552 </w:instrText>
      </w:r>
      <w:r>
        <w:rPr>
          <w:noProof/>
        </w:rPr>
        <w:fldChar w:fldCharType="separate"/>
      </w:r>
      <w:r>
        <w:rPr>
          <w:noProof/>
        </w:rPr>
        <w:instrText>184</w:instrText>
      </w:r>
      <w:r>
        <w:rPr>
          <w:noProof/>
        </w:rPr>
        <w:fldChar w:fldCharType="end"/>
      </w:r>
      <w:r>
        <w:rPr>
          <w:noProof/>
        </w:rPr>
        <w:fldChar w:fldCharType="end"/>
      </w:r>
    </w:p>
    <w:p w:rsidR="00B72047" w:rsidRDefault="00B72047">
      <w:pPr>
        <w:pStyle w:val="TOC2"/>
        <w:rPr>
          <w:noProof/>
        </w:rPr>
      </w:pPr>
      <w:r>
        <w:rPr>
          <w:noProof/>
        </w:rPr>
        <w:t>11. Index of relative clause cmavo</w:t>
      </w:r>
      <w:r>
        <w:rPr>
          <w:noProof/>
        </w:rPr>
        <w:tab/>
      </w:r>
      <w:r>
        <w:rPr>
          <w:noProof/>
        </w:rPr>
        <w:fldChar w:fldCharType="begin"/>
      </w:r>
      <w:r>
        <w:rPr>
          <w:noProof/>
        </w:rPr>
        <w:instrText xml:space="preserve"> GOTOBUTTON _Toc398970553  </w:instrText>
      </w:r>
      <w:r>
        <w:rPr>
          <w:noProof/>
        </w:rPr>
        <w:fldChar w:fldCharType="begin"/>
      </w:r>
      <w:r>
        <w:rPr>
          <w:noProof/>
        </w:rPr>
        <w:instrText xml:space="preserve"> PAGEREF _Toc398970553 </w:instrText>
      </w:r>
      <w:r>
        <w:rPr>
          <w:noProof/>
        </w:rPr>
        <w:fldChar w:fldCharType="separate"/>
      </w:r>
      <w:r>
        <w:rPr>
          <w:noProof/>
        </w:rPr>
        <w:instrText>185</w:instrText>
      </w:r>
      <w:r>
        <w:rPr>
          <w:noProof/>
        </w:rPr>
        <w:fldChar w:fldCharType="end"/>
      </w:r>
      <w:r>
        <w:rPr>
          <w:noProof/>
        </w:rPr>
        <w:fldChar w:fldCharType="end"/>
      </w:r>
    </w:p>
    <w:p w:rsidR="00B72047" w:rsidRDefault="00B72047">
      <w:pPr>
        <w:pStyle w:val="TOC1"/>
        <w:rPr>
          <w:noProof/>
        </w:rPr>
      </w:pPr>
      <w:r>
        <w:rPr>
          <w:noProof/>
        </w:rPr>
        <w:t>Chapter 9  To Boston Via The Road Go I, With An Excursion Into The Land Of Modals</w:t>
      </w:r>
      <w:r>
        <w:rPr>
          <w:noProof/>
        </w:rPr>
        <w:tab/>
      </w:r>
      <w:r>
        <w:rPr>
          <w:noProof/>
        </w:rPr>
        <w:fldChar w:fldCharType="begin"/>
      </w:r>
      <w:r>
        <w:rPr>
          <w:noProof/>
        </w:rPr>
        <w:instrText xml:space="preserve"> GOTOBUTTON _Toc398970555  </w:instrText>
      </w:r>
      <w:r>
        <w:rPr>
          <w:noProof/>
        </w:rPr>
        <w:fldChar w:fldCharType="begin"/>
      </w:r>
      <w:r>
        <w:rPr>
          <w:noProof/>
        </w:rPr>
        <w:instrText xml:space="preserve"> PAGEREF _Toc398970555 </w:instrText>
      </w:r>
      <w:r>
        <w:rPr>
          <w:noProof/>
        </w:rPr>
        <w:fldChar w:fldCharType="separate"/>
      </w:r>
      <w:r>
        <w:rPr>
          <w:noProof/>
        </w:rPr>
        <w:instrText>187</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_Toc398970556  </w:instrText>
      </w:r>
      <w:r>
        <w:rPr>
          <w:noProof/>
        </w:rPr>
        <w:fldChar w:fldCharType="begin"/>
      </w:r>
      <w:r>
        <w:rPr>
          <w:noProof/>
        </w:rPr>
        <w:instrText xml:space="preserve"> PAGEREF _Toc398970556 </w:instrText>
      </w:r>
      <w:r>
        <w:rPr>
          <w:noProof/>
        </w:rPr>
        <w:fldChar w:fldCharType="separate"/>
      </w:r>
      <w:r>
        <w:rPr>
          <w:noProof/>
        </w:rPr>
        <w:instrText>187</w:instrText>
      </w:r>
      <w:r>
        <w:rPr>
          <w:noProof/>
        </w:rPr>
        <w:fldChar w:fldCharType="end"/>
      </w:r>
      <w:r>
        <w:rPr>
          <w:noProof/>
        </w:rPr>
        <w:fldChar w:fldCharType="end"/>
      </w:r>
    </w:p>
    <w:p w:rsidR="00B72047" w:rsidRDefault="00B72047">
      <w:pPr>
        <w:pStyle w:val="TOC2"/>
        <w:rPr>
          <w:noProof/>
        </w:rPr>
      </w:pPr>
      <w:r>
        <w:rPr>
          <w:noProof/>
        </w:rPr>
        <w:t>2. Standard bridi form: “cu”</w:t>
      </w:r>
      <w:r>
        <w:rPr>
          <w:noProof/>
        </w:rPr>
        <w:tab/>
      </w:r>
      <w:r>
        <w:rPr>
          <w:noProof/>
        </w:rPr>
        <w:fldChar w:fldCharType="begin"/>
      </w:r>
      <w:r>
        <w:rPr>
          <w:noProof/>
        </w:rPr>
        <w:instrText xml:space="preserve"> GOTOBUTTON _Toc398970557  </w:instrText>
      </w:r>
      <w:r>
        <w:rPr>
          <w:noProof/>
        </w:rPr>
        <w:fldChar w:fldCharType="begin"/>
      </w:r>
      <w:r>
        <w:rPr>
          <w:noProof/>
        </w:rPr>
        <w:instrText xml:space="preserve"> PAGEREF _Toc398970557 </w:instrText>
      </w:r>
      <w:r>
        <w:rPr>
          <w:noProof/>
        </w:rPr>
        <w:fldChar w:fldCharType="separate"/>
      </w:r>
      <w:r>
        <w:rPr>
          <w:noProof/>
        </w:rPr>
        <w:instrText>187</w:instrText>
      </w:r>
      <w:r>
        <w:rPr>
          <w:noProof/>
        </w:rPr>
        <w:fldChar w:fldCharType="end"/>
      </w:r>
      <w:r>
        <w:rPr>
          <w:noProof/>
        </w:rPr>
        <w:fldChar w:fldCharType="end"/>
      </w:r>
    </w:p>
    <w:p w:rsidR="00B72047" w:rsidRDefault="00B72047">
      <w:pPr>
        <w:pStyle w:val="TOC2"/>
        <w:rPr>
          <w:noProof/>
        </w:rPr>
      </w:pPr>
      <w:r>
        <w:rPr>
          <w:noProof/>
        </w:rPr>
        <w:t>3. Tagging places: FA</w:t>
      </w:r>
      <w:r>
        <w:rPr>
          <w:noProof/>
        </w:rPr>
        <w:tab/>
      </w:r>
      <w:r>
        <w:rPr>
          <w:noProof/>
        </w:rPr>
        <w:fldChar w:fldCharType="begin"/>
      </w:r>
      <w:r>
        <w:rPr>
          <w:noProof/>
        </w:rPr>
        <w:instrText xml:space="preserve"> GOTOBUTTON _Toc398970558  </w:instrText>
      </w:r>
      <w:r>
        <w:rPr>
          <w:noProof/>
        </w:rPr>
        <w:fldChar w:fldCharType="begin"/>
      </w:r>
      <w:r>
        <w:rPr>
          <w:noProof/>
        </w:rPr>
        <w:instrText xml:space="preserve"> PAGEREF _Toc398970558 </w:instrText>
      </w:r>
      <w:r>
        <w:rPr>
          <w:noProof/>
        </w:rPr>
        <w:fldChar w:fldCharType="separate"/>
      </w:r>
      <w:r>
        <w:rPr>
          <w:noProof/>
        </w:rPr>
        <w:instrText>189</w:instrText>
      </w:r>
      <w:r>
        <w:rPr>
          <w:noProof/>
        </w:rPr>
        <w:fldChar w:fldCharType="end"/>
      </w:r>
      <w:r>
        <w:rPr>
          <w:noProof/>
        </w:rPr>
        <w:fldChar w:fldCharType="end"/>
      </w:r>
    </w:p>
    <w:p w:rsidR="00B72047" w:rsidRDefault="00B72047">
      <w:pPr>
        <w:pStyle w:val="TOC2"/>
        <w:rPr>
          <w:noProof/>
        </w:rPr>
      </w:pPr>
      <w:r>
        <w:rPr>
          <w:noProof/>
        </w:rPr>
        <w:t>4. Conversion: SE</w:t>
      </w:r>
      <w:r>
        <w:rPr>
          <w:noProof/>
        </w:rPr>
        <w:tab/>
      </w:r>
      <w:r>
        <w:rPr>
          <w:noProof/>
        </w:rPr>
        <w:fldChar w:fldCharType="begin"/>
      </w:r>
      <w:r>
        <w:rPr>
          <w:noProof/>
        </w:rPr>
        <w:instrText xml:space="preserve"> GOTOBUTTON _Toc398970559  </w:instrText>
      </w:r>
      <w:r>
        <w:rPr>
          <w:noProof/>
        </w:rPr>
        <w:fldChar w:fldCharType="begin"/>
      </w:r>
      <w:r>
        <w:rPr>
          <w:noProof/>
        </w:rPr>
        <w:instrText xml:space="preserve"> PAGEREF _Toc398970559 </w:instrText>
      </w:r>
      <w:r>
        <w:rPr>
          <w:noProof/>
        </w:rPr>
        <w:fldChar w:fldCharType="separate"/>
      </w:r>
      <w:r>
        <w:rPr>
          <w:noProof/>
        </w:rPr>
        <w:instrText>192</w:instrText>
      </w:r>
      <w:r>
        <w:rPr>
          <w:noProof/>
        </w:rPr>
        <w:fldChar w:fldCharType="end"/>
      </w:r>
      <w:r>
        <w:rPr>
          <w:noProof/>
        </w:rPr>
        <w:fldChar w:fldCharType="end"/>
      </w:r>
    </w:p>
    <w:p w:rsidR="00B72047" w:rsidRDefault="00B72047">
      <w:pPr>
        <w:pStyle w:val="TOC2"/>
        <w:rPr>
          <w:noProof/>
        </w:rPr>
      </w:pPr>
      <w:r>
        <w:rPr>
          <w:noProof/>
        </w:rPr>
        <w:t>5. Modal places: FIhO, FEhU</w:t>
      </w:r>
      <w:r>
        <w:rPr>
          <w:noProof/>
        </w:rPr>
        <w:tab/>
      </w:r>
      <w:r>
        <w:rPr>
          <w:noProof/>
        </w:rPr>
        <w:fldChar w:fldCharType="begin"/>
      </w:r>
      <w:r>
        <w:rPr>
          <w:noProof/>
        </w:rPr>
        <w:instrText xml:space="preserve"> GOTOBUTTON _Toc398970560  </w:instrText>
      </w:r>
      <w:r>
        <w:rPr>
          <w:noProof/>
        </w:rPr>
        <w:fldChar w:fldCharType="begin"/>
      </w:r>
      <w:r>
        <w:rPr>
          <w:noProof/>
        </w:rPr>
        <w:instrText xml:space="preserve"> PAGEREF _Toc398970560 </w:instrText>
      </w:r>
      <w:r>
        <w:rPr>
          <w:noProof/>
        </w:rPr>
        <w:fldChar w:fldCharType="separate"/>
      </w:r>
      <w:r>
        <w:rPr>
          <w:noProof/>
        </w:rPr>
        <w:instrText>194</w:instrText>
      </w:r>
      <w:r>
        <w:rPr>
          <w:noProof/>
        </w:rPr>
        <w:fldChar w:fldCharType="end"/>
      </w:r>
      <w:r>
        <w:rPr>
          <w:noProof/>
        </w:rPr>
        <w:fldChar w:fldCharType="end"/>
      </w:r>
    </w:p>
    <w:p w:rsidR="00B72047" w:rsidRDefault="00B72047">
      <w:pPr>
        <w:pStyle w:val="TOC2"/>
        <w:rPr>
          <w:noProof/>
        </w:rPr>
      </w:pPr>
      <w:r>
        <w:rPr>
          <w:noProof/>
        </w:rPr>
        <w:t>6. Modal tags: BAI</w:t>
      </w:r>
      <w:r>
        <w:rPr>
          <w:noProof/>
        </w:rPr>
        <w:tab/>
      </w:r>
      <w:r>
        <w:rPr>
          <w:noProof/>
        </w:rPr>
        <w:fldChar w:fldCharType="begin"/>
      </w:r>
      <w:r>
        <w:rPr>
          <w:noProof/>
        </w:rPr>
        <w:instrText xml:space="preserve"> GOTOBUTTON _Toc398970561  </w:instrText>
      </w:r>
      <w:r>
        <w:rPr>
          <w:noProof/>
        </w:rPr>
        <w:fldChar w:fldCharType="begin"/>
      </w:r>
      <w:r>
        <w:rPr>
          <w:noProof/>
        </w:rPr>
        <w:instrText xml:space="preserve"> PAGEREF _Toc398970561 </w:instrText>
      </w:r>
      <w:r>
        <w:rPr>
          <w:noProof/>
        </w:rPr>
        <w:fldChar w:fldCharType="separate"/>
      </w:r>
      <w:r>
        <w:rPr>
          <w:noProof/>
        </w:rPr>
        <w:instrText>195</w:instrText>
      </w:r>
      <w:r>
        <w:rPr>
          <w:noProof/>
        </w:rPr>
        <w:fldChar w:fldCharType="end"/>
      </w:r>
      <w:r>
        <w:rPr>
          <w:noProof/>
        </w:rPr>
        <w:fldChar w:fldCharType="end"/>
      </w:r>
    </w:p>
    <w:p w:rsidR="00B72047" w:rsidRDefault="00B72047">
      <w:pPr>
        <w:pStyle w:val="TOC2"/>
        <w:rPr>
          <w:noProof/>
        </w:rPr>
      </w:pPr>
      <w:r>
        <w:rPr>
          <w:noProof/>
        </w:rPr>
        <w:t>7. Modal sentence connection: the causals</w:t>
      </w:r>
      <w:r>
        <w:rPr>
          <w:noProof/>
        </w:rPr>
        <w:tab/>
      </w:r>
      <w:r>
        <w:rPr>
          <w:noProof/>
        </w:rPr>
        <w:fldChar w:fldCharType="begin"/>
      </w:r>
      <w:r>
        <w:rPr>
          <w:noProof/>
        </w:rPr>
        <w:instrText xml:space="preserve"> GOTOBUTTON _Toc398970562  </w:instrText>
      </w:r>
      <w:r>
        <w:rPr>
          <w:noProof/>
        </w:rPr>
        <w:fldChar w:fldCharType="begin"/>
      </w:r>
      <w:r>
        <w:rPr>
          <w:noProof/>
        </w:rPr>
        <w:instrText xml:space="preserve"> PAGEREF _Toc398970562 </w:instrText>
      </w:r>
      <w:r>
        <w:rPr>
          <w:noProof/>
        </w:rPr>
        <w:fldChar w:fldCharType="separate"/>
      </w:r>
      <w:r>
        <w:rPr>
          <w:noProof/>
        </w:rPr>
        <w:instrText>197</w:instrText>
      </w:r>
      <w:r>
        <w:rPr>
          <w:noProof/>
        </w:rPr>
        <w:fldChar w:fldCharType="end"/>
      </w:r>
      <w:r>
        <w:rPr>
          <w:noProof/>
        </w:rPr>
        <w:fldChar w:fldCharType="end"/>
      </w:r>
    </w:p>
    <w:p w:rsidR="00B72047" w:rsidRDefault="00B72047">
      <w:pPr>
        <w:pStyle w:val="TOC2"/>
        <w:rPr>
          <w:noProof/>
        </w:rPr>
      </w:pPr>
      <w:r>
        <w:rPr>
          <w:noProof/>
        </w:rPr>
        <w:t>8. Other modal connections</w:t>
      </w:r>
      <w:r>
        <w:rPr>
          <w:noProof/>
        </w:rPr>
        <w:tab/>
      </w:r>
      <w:r>
        <w:rPr>
          <w:noProof/>
        </w:rPr>
        <w:fldChar w:fldCharType="begin"/>
      </w:r>
      <w:r>
        <w:rPr>
          <w:noProof/>
        </w:rPr>
        <w:instrText xml:space="preserve"> GOTOBUTTON _Toc398970563  </w:instrText>
      </w:r>
      <w:r>
        <w:rPr>
          <w:noProof/>
        </w:rPr>
        <w:fldChar w:fldCharType="begin"/>
      </w:r>
      <w:r>
        <w:rPr>
          <w:noProof/>
        </w:rPr>
        <w:instrText xml:space="preserve"> PAGEREF _Toc398970563 </w:instrText>
      </w:r>
      <w:r>
        <w:rPr>
          <w:noProof/>
        </w:rPr>
        <w:fldChar w:fldCharType="separate"/>
      </w:r>
      <w:r>
        <w:rPr>
          <w:noProof/>
        </w:rPr>
        <w:instrText>199</w:instrText>
      </w:r>
      <w:r>
        <w:rPr>
          <w:noProof/>
        </w:rPr>
        <w:fldChar w:fldCharType="end"/>
      </w:r>
      <w:r>
        <w:rPr>
          <w:noProof/>
        </w:rPr>
        <w:fldChar w:fldCharType="end"/>
      </w:r>
    </w:p>
    <w:p w:rsidR="00B72047" w:rsidRDefault="00B72047">
      <w:pPr>
        <w:pStyle w:val="TOC2"/>
        <w:rPr>
          <w:noProof/>
        </w:rPr>
      </w:pPr>
      <w:r>
        <w:rPr>
          <w:noProof/>
        </w:rPr>
        <w:t>9. Modal selbri</w:t>
      </w:r>
      <w:r>
        <w:rPr>
          <w:noProof/>
        </w:rPr>
        <w:tab/>
      </w:r>
      <w:r>
        <w:rPr>
          <w:noProof/>
        </w:rPr>
        <w:fldChar w:fldCharType="begin"/>
      </w:r>
      <w:r>
        <w:rPr>
          <w:noProof/>
        </w:rPr>
        <w:instrText xml:space="preserve"> GOTOBUTTON _Toc398970564  </w:instrText>
      </w:r>
      <w:r>
        <w:rPr>
          <w:noProof/>
        </w:rPr>
        <w:fldChar w:fldCharType="begin"/>
      </w:r>
      <w:r>
        <w:rPr>
          <w:noProof/>
        </w:rPr>
        <w:instrText xml:space="preserve"> PAGEREF _Toc398970564 </w:instrText>
      </w:r>
      <w:r>
        <w:rPr>
          <w:noProof/>
        </w:rPr>
        <w:fldChar w:fldCharType="separate"/>
      </w:r>
      <w:r>
        <w:rPr>
          <w:noProof/>
        </w:rPr>
        <w:instrText>201</w:instrText>
      </w:r>
      <w:r>
        <w:rPr>
          <w:noProof/>
        </w:rPr>
        <w:fldChar w:fldCharType="end"/>
      </w:r>
      <w:r>
        <w:rPr>
          <w:noProof/>
        </w:rPr>
        <w:fldChar w:fldCharType="end"/>
      </w:r>
    </w:p>
    <w:p w:rsidR="00B72047" w:rsidRDefault="00B72047">
      <w:pPr>
        <w:pStyle w:val="TOC2"/>
        <w:rPr>
          <w:noProof/>
        </w:rPr>
      </w:pPr>
      <w:r>
        <w:rPr>
          <w:noProof/>
        </w:rPr>
        <w:t>10. Modal relative phrases; Comparison</w:t>
      </w:r>
      <w:r>
        <w:rPr>
          <w:noProof/>
        </w:rPr>
        <w:tab/>
      </w:r>
      <w:r>
        <w:rPr>
          <w:noProof/>
        </w:rPr>
        <w:fldChar w:fldCharType="begin"/>
      </w:r>
      <w:r>
        <w:rPr>
          <w:noProof/>
        </w:rPr>
        <w:instrText xml:space="preserve"> GOTOBUTTON _Toc398970565  </w:instrText>
      </w:r>
      <w:r>
        <w:rPr>
          <w:noProof/>
        </w:rPr>
        <w:fldChar w:fldCharType="begin"/>
      </w:r>
      <w:r>
        <w:rPr>
          <w:noProof/>
        </w:rPr>
        <w:instrText xml:space="preserve"> PAGEREF _Toc398970565 </w:instrText>
      </w:r>
      <w:r>
        <w:rPr>
          <w:noProof/>
        </w:rPr>
        <w:fldChar w:fldCharType="separate"/>
      </w:r>
      <w:r>
        <w:rPr>
          <w:noProof/>
        </w:rPr>
        <w:instrText>202</w:instrText>
      </w:r>
      <w:r>
        <w:rPr>
          <w:noProof/>
        </w:rPr>
        <w:fldChar w:fldCharType="end"/>
      </w:r>
      <w:r>
        <w:rPr>
          <w:noProof/>
        </w:rPr>
        <w:fldChar w:fldCharType="end"/>
      </w:r>
    </w:p>
    <w:p w:rsidR="00B72047" w:rsidRDefault="00B72047">
      <w:pPr>
        <w:pStyle w:val="TOC2"/>
        <w:rPr>
          <w:noProof/>
        </w:rPr>
      </w:pPr>
      <w:r>
        <w:rPr>
          <w:noProof/>
        </w:rPr>
        <w:t>11. Mixed modal connection</w:t>
      </w:r>
      <w:r>
        <w:rPr>
          <w:noProof/>
        </w:rPr>
        <w:tab/>
      </w:r>
      <w:r>
        <w:rPr>
          <w:noProof/>
        </w:rPr>
        <w:fldChar w:fldCharType="begin"/>
      </w:r>
      <w:r>
        <w:rPr>
          <w:noProof/>
        </w:rPr>
        <w:instrText xml:space="preserve"> GOTOBUTTON _Toc398970566  </w:instrText>
      </w:r>
      <w:r>
        <w:rPr>
          <w:noProof/>
        </w:rPr>
        <w:fldChar w:fldCharType="begin"/>
      </w:r>
      <w:r>
        <w:rPr>
          <w:noProof/>
        </w:rPr>
        <w:instrText xml:space="preserve"> PAGEREF _Toc398970566 </w:instrText>
      </w:r>
      <w:r>
        <w:rPr>
          <w:noProof/>
        </w:rPr>
        <w:fldChar w:fldCharType="separate"/>
      </w:r>
      <w:r>
        <w:rPr>
          <w:noProof/>
        </w:rPr>
        <w:instrText>204</w:instrText>
      </w:r>
      <w:r>
        <w:rPr>
          <w:noProof/>
        </w:rPr>
        <w:fldChar w:fldCharType="end"/>
      </w:r>
      <w:r>
        <w:rPr>
          <w:noProof/>
        </w:rPr>
        <w:fldChar w:fldCharType="end"/>
      </w:r>
    </w:p>
    <w:p w:rsidR="00B72047" w:rsidRDefault="00B72047">
      <w:pPr>
        <w:pStyle w:val="TOC2"/>
        <w:rPr>
          <w:noProof/>
        </w:rPr>
      </w:pPr>
      <w:r>
        <w:rPr>
          <w:noProof/>
        </w:rPr>
        <w:t>12. Modal conversion: JAI</w:t>
      </w:r>
      <w:r>
        <w:rPr>
          <w:noProof/>
        </w:rPr>
        <w:tab/>
      </w:r>
      <w:r>
        <w:rPr>
          <w:noProof/>
        </w:rPr>
        <w:fldChar w:fldCharType="begin"/>
      </w:r>
      <w:r>
        <w:rPr>
          <w:noProof/>
        </w:rPr>
        <w:instrText xml:space="preserve"> GOTOBUTTON _Toc398970567  </w:instrText>
      </w:r>
      <w:r>
        <w:rPr>
          <w:noProof/>
        </w:rPr>
        <w:fldChar w:fldCharType="begin"/>
      </w:r>
      <w:r>
        <w:rPr>
          <w:noProof/>
        </w:rPr>
        <w:instrText xml:space="preserve"> PAGEREF _Toc398970567 </w:instrText>
      </w:r>
      <w:r>
        <w:rPr>
          <w:noProof/>
        </w:rPr>
        <w:fldChar w:fldCharType="separate"/>
      </w:r>
      <w:r>
        <w:rPr>
          <w:noProof/>
        </w:rPr>
        <w:instrText>205</w:instrText>
      </w:r>
      <w:r>
        <w:rPr>
          <w:noProof/>
        </w:rPr>
        <w:fldChar w:fldCharType="end"/>
      </w:r>
      <w:r>
        <w:rPr>
          <w:noProof/>
        </w:rPr>
        <w:fldChar w:fldCharType="end"/>
      </w:r>
    </w:p>
    <w:p w:rsidR="00B72047" w:rsidRDefault="00B72047">
      <w:pPr>
        <w:pStyle w:val="TOC2"/>
        <w:rPr>
          <w:noProof/>
        </w:rPr>
      </w:pPr>
      <w:r>
        <w:rPr>
          <w:noProof/>
        </w:rPr>
        <w:t>13. Modal negation</w:t>
      </w:r>
      <w:r>
        <w:rPr>
          <w:noProof/>
        </w:rPr>
        <w:tab/>
      </w:r>
      <w:r>
        <w:rPr>
          <w:noProof/>
        </w:rPr>
        <w:fldChar w:fldCharType="begin"/>
      </w:r>
      <w:r>
        <w:rPr>
          <w:noProof/>
        </w:rPr>
        <w:instrText xml:space="preserve"> GOTOBUTTON _Toc398970568  </w:instrText>
      </w:r>
      <w:r>
        <w:rPr>
          <w:noProof/>
        </w:rPr>
        <w:fldChar w:fldCharType="begin"/>
      </w:r>
      <w:r>
        <w:rPr>
          <w:noProof/>
        </w:rPr>
        <w:instrText xml:space="preserve"> PAGEREF _Toc398970568 </w:instrText>
      </w:r>
      <w:r>
        <w:rPr>
          <w:noProof/>
        </w:rPr>
        <w:fldChar w:fldCharType="separate"/>
      </w:r>
      <w:r>
        <w:rPr>
          <w:noProof/>
        </w:rPr>
        <w:instrText>206</w:instrText>
      </w:r>
      <w:r>
        <w:rPr>
          <w:noProof/>
        </w:rPr>
        <w:fldChar w:fldCharType="end"/>
      </w:r>
      <w:r>
        <w:rPr>
          <w:noProof/>
        </w:rPr>
        <w:fldChar w:fldCharType="end"/>
      </w:r>
    </w:p>
    <w:p w:rsidR="00B72047" w:rsidRDefault="00B72047">
      <w:pPr>
        <w:pStyle w:val="TOC2"/>
        <w:rPr>
          <w:noProof/>
        </w:rPr>
      </w:pPr>
      <w:r>
        <w:rPr>
          <w:noProof/>
        </w:rPr>
        <w:t>14. Sticky modals</w:t>
      </w:r>
      <w:r>
        <w:rPr>
          <w:noProof/>
        </w:rPr>
        <w:tab/>
      </w:r>
      <w:r>
        <w:rPr>
          <w:noProof/>
        </w:rPr>
        <w:fldChar w:fldCharType="begin"/>
      </w:r>
      <w:r>
        <w:rPr>
          <w:noProof/>
        </w:rPr>
        <w:instrText xml:space="preserve"> GOTOBUTTON _Toc398970569  </w:instrText>
      </w:r>
      <w:r>
        <w:rPr>
          <w:noProof/>
        </w:rPr>
        <w:fldChar w:fldCharType="begin"/>
      </w:r>
      <w:r>
        <w:rPr>
          <w:noProof/>
        </w:rPr>
        <w:instrText xml:space="preserve"> PAGEREF _Toc398970569 </w:instrText>
      </w:r>
      <w:r>
        <w:rPr>
          <w:noProof/>
        </w:rPr>
        <w:fldChar w:fldCharType="separate"/>
      </w:r>
      <w:r>
        <w:rPr>
          <w:noProof/>
        </w:rPr>
        <w:instrText>207</w:instrText>
      </w:r>
      <w:r>
        <w:rPr>
          <w:noProof/>
        </w:rPr>
        <w:fldChar w:fldCharType="end"/>
      </w:r>
      <w:r>
        <w:rPr>
          <w:noProof/>
        </w:rPr>
        <w:fldChar w:fldCharType="end"/>
      </w:r>
    </w:p>
    <w:p w:rsidR="00B72047" w:rsidRDefault="00B72047">
      <w:pPr>
        <w:pStyle w:val="TOC2"/>
        <w:rPr>
          <w:noProof/>
        </w:rPr>
      </w:pPr>
      <w:r>
        <w:rPr>
          <w:noProof/>
        </w:rPr>
        <w:t>15. Logical and non-logical connection of modals</w:t>
      </w:r>
      <w:r>
        <w:rPr>
          <w:noProof/>
        </w:rPr>
        <w:tab/>
      </w:r>
      <w:r>
        <w:rPr>
          <w:noProof/>
        </w:rPr>
        <w:fldChar w:fldCharType="begin"/>
      </w:r>
      <w:r>
        <w:rPr>
          <w:noProof/>
        </w:rPr>
        <w:instrText xml:space="preserve"> GOTOBUTTON _Toc398970570  </w:instrText>
      </w:r>
      <w:r>
        <w:rPr>
          <w:noProof/>
        </w:rPr>
        <w:fldChar w:fldCharType="begin"/>
      </w:r>
      <w:r>
        <w:rPr>
          <w:noProof/>
        </w:rPr>
        <w:instrText xml:space="preserve"> PAGEREF _Toc398970570 </w:instrText>
      </w:r>
      <w:r>
        <w:rPr>
          <w:noProof/>
        </w:rPr>
        <w:fldChar w:fldCharType="separate"/>
      </w:r>
      <w:r>
        <w:rPr>
          <w:noProof/>
        </w:rPr>
        <w:instrText>208</w:instrText>
      </w:r>
      <w:r>
        <w:rPr>
          <w:noProof/>
        </w:rPr>
        <w:fldChar w:fldCharType="end"/>
      </w:r>
      <w:r>
        <w:rPr>
          <w:noProof/>
        </w:rPr>
        <w:fldChar w:fldCharType="end"/>
      </w:r>
    </w:p>
    <w:p w:rsidR="00B72047" w:rsidRDefault="00B72047">
      <w:pPr>
        <w:pStyle w:val="TOC2"/>
        <w:rPr>
          <w:noProof/>
        </w:rPr>
      </w:pPr>
      <w:r>
        <w:rPr>
          <w:noProof/>
        </w:rPr>
        <w:t>16. CV'V cmavo of selma'o BAI with irregular forms</w:t>
      </w:r>
      <w:r>
        <w:rPr>
          <w:noProof/>
        </w:rPr>
        <w:tab/>
      </w:r>
      <w:r>
        <w:rPr>
          <w:noProof/>
        </w:rPr>
        <w:fldChar w:fldCharType="begin"/>
      </w:r>
      <w:r>
        <w:rPr>
          <w:noProof/>
        </w:rPr>
        <w:instrText xml:space="preserve"> GOTOBUTTON _Toc398970571  </w:instrText>
      </w:r>
      <w:r>
        <w:rPr>
          <w:noProof/>
        </w:rPr>
        <w:fldChar w:fldCharType="begin"/>
      </w:r>
      <w:r>
        <w:rPr>
          <w:noProof/>
        </w:rPr>
        <w:instrText xml:space="preserve"> PAGEREF _Toc398970571 </w:instrText>
      </w:r>
      <w:r>
        <w:rPr>
          <w:noProof/>
        </w:rPr>
        <w:fldChar w:fldCharType="separate"/>
      </w:r>
      <w:r>
        <w:rPr>
          <w:noProof/>
        </w:rPr>
        <w:instrText>208</w:instrText>
      </w:r>
      <w:r>
        <w:rPr>
          <w:noProof/>
        </w:rPr>
        <w:fldChar w:fldCharType="end"/>
      </w:r>
      <w:r>
        <w:rPr>
          <w:noProof/>
        </w:rPr>
        <w:fldChar w:fldCharType="end"/>
      </w:r>
    </w:p>
    <w:p w:rsidR="00B72047" w:rsidRDefault="00B72047">
      <w:pPr>
        <w:pStyle w:val="TOC2"/>
        <w:rPr>
          <w:noProof/>
        </w:rPr>
      </w:pPr>
      <w:r>
        <w:rPr>
          <w:noProof/>
        </w:rPr>
        <w:t>17. Complete table of BAI cmavo with rough English equivalents</w:t>
      </w:r>
      <w:r>
        <w:rPr>
          <w:noProof/>
        </w:rPr>
        <w:tab/>
      </w:r>
      <w:r>
        <w:rPr>
          <w:noProof/>
        </w:rPr>
        <w:fldChar w:fldCharType="begin"/>
      </w:r>
      <w:r>
        <w:rPr>
          <w:noProof/>
        </w:rPr>
        <w:instrText xml:space="preserve"> GOTOBUTTON _Toc398970572  </w:instrText>
      </w:r>
      <w:r>
        <w:rPr>
          <w:noProof/>
        </w:rPr>
        <w:fldChar w:fldCharType="begin"/>
      </w:r>
      <w:r>
        <w:rPr>
          <w:noProof/>
        </w:rPr>
        <w:instrText xml:space="preserve"> PAGEREF _Toc398970572 </w:instrText>
      </w:r>
      <w:r>
        <w:rPr>
          <w:noProof/>
        </w:rPr>
        <w:fldChar w:fldCharType="separate"/>
      </w:r>
      <w:r>
        <w:rPr>
          <w:noProof/>
        </w:rPr>
        <w:instrText>210</w:instrText>
      </w:r>
      <w:r>
        <w:rPr>
          <w:noProof/>
        </w:rPr>
        <w:fldChar w:fldCharType="end"/>
      </w:r>
      <w:r>
        <w:rPr>
          <w:noProof/>
        </w:rPr>
        <w:fldChar w:fldCharType="end"/>
      </w:r>
    </w:p>
    <w:p w:rsidR="00B72047" w:rsidRDefault="00B72047">
      <w:pPr>
        <w:pStyle w:val="TOC1"/>
        <w:rPr>
          <w:noProof/>
        </w:rPr>
      </w:pPr>
      <w:r>
        <w:rPr>
          <w:noProof/>
        </w:rPr>
        <w:t>Chapter 10  Imaginary Journeys: The Lojban Space/Time Tense System</w:t>
      </w:r>
      <w:r>
        <w:rPr>
          <w:noProof/>
        </w:rPr>
        <w:tab/>
      </w:r>
      <w:r>
        <w:rPr>
          <w:noProof/>
        </w:rPr>
        <w:fldChar w:fldCharType="begin"/>
      </w:r>
      <w:r>
        <w:rPr>
          <w:noProof/>
        </w:rPr>
        <w:instrText xml:space="preserve"> GOTOBUTTON _Toc398970574  </w:instrText>
      </w:r>
      <w:r>
        <w:rPr>
          <w:noProof/>
        </w:rPr>
        <w:fldChar w:fldCharType="begin"/>
      </w:r>
      <w:r>
        <w:rPr>
          <w:noProof/>
        </w:rPr>
        <w:instrText xml:space="preserve"> PAGEREF _Toc398970574 </w:instrText>
      </w:r>
      <w:r>
        <w:rPr>
          <w:noProof/>
        </w:rPr>
        <w:fldChar w:fldCharType="separate"/>
      </w:r>
      <w:r>
        <w:rPr>
          <w:noProof/>
        </w:rPr>
        <w:instrText>215</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_Toc398970575  </w:instrText>
      </w:r>
      <w:r>
        <w:rPr>
          <w:noProof/>
        </w:rPr>
        <w:fldChar w:fldCharType="begin"/>
      </w:r>
      <w:r>
        <w:rPr>
          <w:noProof/>
        </w:rPr>
        <w:instrText xml:space="preserve"> PAGEREF _Toc398970575 </w:instrText>
      </w:r>
      <w:r>
        <w:rPr>
          <w:noProof/>
        </w:rPr>
        <w:fldChar w:fldCharType="separate"/>
      </w:r>
      <w:r>
        <w:rPr>
          <w:noProof/>
        </w:rPr>
        <w:instrText>215</w:instrText>
      </w:r>
      <w:r>
        <w:rPr>
          <w:noProof/>
        </w:rPr>
        <w:fldChar w:fldCharType="end"/>
      </w:r>
      <w:r>
        <w:rPr>
          <w:noProof/>
        </w:rPr>
        <w:fldChar w:fldCharType="end"/>
      </w:r>
    </w:p>
    <w:p w:rsidR="00B72047" w:rsidRDefault="00B72047">
      <w:pPr>
        <w:pStyle w:val="TOC2"/>
        <w:rPr>
          <w:noProof/>
        </w:rPr>
      </w:pPr>
      <w:r>
        <w:rPr>
          <w:noProof/>
        </w:rPr>
        <w:t>2. Spatial tenses: FAhA and VA</w:t>
      </w:r>
      <w:r>
        <w:rPr>
          <w:noProof/>
        </w:rPr>
        <w:tab/>
      </w:r>
      <w:r>
        <w:rPr>
          <w:noProof/>
        </w:rPr>
        <w:fldChar w:fldCharType="begin"/>
      </w:r>
      <w:r>
        <w:rPr>
          <w:noProof/>
        </w:rPr>
        <w:instrText xml:space="preserve"> GOTOBUTTON _Toc398970576  </w:instrText>
      </w:r>
      <w:r>
        <w:rPr>
          <w:noProof/>
        </w:rPr>
        <w:fldChar w:fldCharType="begin"/>
      </w:r>
      <w:r>
        <w:rPr>
          <w:noProof/>
        </w:rPr>
        <w:instrText xml:space="preserve"> PAGEREF _Toc398970576 </w:instrText>
      </w:r>
      <w:r>
        <w:rPr>
          <w:noProof/>
        </w:rPr>
        <w:fldChar w:fldCharType="separate"/>
      </w:r>
      <w:r>
        <w:rPr>
          <w:noProof/>
        </w:rPr>
        <w:instrText>216</w:instrText>
      </w:r>
      <w:r>
        <w:rPr>
          <w:noProof/>
        </w:rPr>
        <w:fldChar w:fldCharType="end"/>
      </w:r>
      <w:r>
        <w:rPr>
          <w:noProof/>
        </w:rPr>
        <w:fldChar w:fldCharType="end"/>
      </w:r>
    </w:p>
    <w:p w:rsidR="00B72047" w:rsidRDefault="00B72047">
      <w:pPr>
        <w:pStyle w:val="TOC2"/>
        <w:rPr>
          <w:noProof/>
        </w:rPr>
      </w:pPr>
      <w:r>
        <w:rPr>
          <w:noProof/>
        </w:rPr>
        <w:t>3. Compound spatial tenses</w:t>
      </w:r>
      <w:r>
        <w:rPr>
          <w:noProof/>
        </w:rPr>
        <w:tab/>
      </w:r>
      <w:r>
        <w:rPr>
          <w:noProof/>
        </w:rPr>
        <w:fldChar w:fldCharType="begin"/>
      </w:r>
      <w:r>
        <w:rPr>
          <w:noProof/>
        </w:rPr>
        <w:instrText xml:space="preserve"> GOTOBUTTON _Toc398970577  </w:instrText>
      </w:r>
      <w:r>
        <w:rPr>
          <w:noProof/>
        </w:rPr>
        <w:fldChar w:fldCharType="begin"/>
      </w:r>
      <w:r>
        <w:rPr>
          <w:noProof/>
        </w:rPr>
        <w:instrText xml:space="preserve"> PAGEREF _Toc398970577 </w:instrText>
      </w:r>
      <w:r>
        <w:rPr>
          <w:noProof/>
        </w:rPr>
        <w:fldChar w:fldCharType="separate"/>
      </w:r>
      <w:r>
        <w:rPr>
          <w:noProof/>
        </w:rPr>
        <w:instrText>218</w:instrText>
      </w:r>
      <w:r>
        <w:rPr>
          <w:noProof/>
        </w:rPr>
        <w:fldChar w:fldCharType="end"/>
      </w:r>
      <w:r>
        <w:rPr>
          <w:noProof/>
        </w:rPr>
        <w:fldChar w:fldCharType="end"/>
      </w:r>
    </w:p>
    <w:p w:rsidR="00B72047" w:rsidRDefault="00B72047">
      <w:pPr>
        <w:pStyle w:val="TOC2"/>
        <w:rPr>
          <w:noProof/>
        </w:rPr>
      </w:pPr>
      <w:r>
        <w:rPr>
          <w:noProof/>
        </w:rPr>
        <w:t>4. Temporal tenses: PU and ZI</w:t>
      </w:r>
      <w:r>
        <w:rPr>
          <w:noProof/>
        </w:rPr>
        <w:tab/>
      </w:r>
      <w:r>
        <w:rPr>
          <w:noProof/>
        </w:rPr>
        <w:fldChar w:fldCharType="begin"/>
      </w:r>
      <w:r>
        <w:rPr>
          <w:noProof/>
        </w:rPr>
        <w:instrText xml:space="preserve"> GOTOBUTTON _Toc398970578  </w:instrText>
      </w:r>
      <w:r>
        <w:rPr>
          <w:noProof/>
        </w:rPr>
        <w:fldChar w:fldCharType="begin"/>
      </w:r>
      <w:r>
        <w:rPr>
          <w:noProof/>
        </w:rPr>
        <w:instrText xml:space="preserve"> PAGEREF _Toc398970578 </w:instrText>
      </w:r>
      <w:r>
        <w:rPr>
          <w:noProof/>
        </w:rPr>
        <w:fldChar w:fldCharType="separate"/>
      </w:r>
      <w:r>
        <w:rPr>
          <w:noProof/>
        </w:rPr>
        <w:instrText>219</w:instrText>
      </w:r>
      <w:r>
        <w:rPr>
          <w:noProof/>
        </w:rPr>
        <w:fldChar w:fldCharType="end"/>
      </w:r>
      <w:r>
        <w:rPr>
          <w:noProof/>
        </w:rPr>
        <w:fldChar w:fldCharType="end"/>
      </w:r>
    </w:p>
    <w:p w:rsidR="00B72047" w:rsidRDefault="00B72047">
      <w:pPr>
        <w:pStyle w:val="TOC2"/>
        <w:rPr>
          <w:noProof/>
        </w:rPr>
      </w:pPr>
      <w:r>
        <w:rPr>
          <w:noProof/>
        </w:rPr>
        <w:t>5. Interval sizes: VEhA and ZEhA</w:t>
      </w:r>
      <w:r>
        <w:rPr>
          <w:noProof/>
        </w:rPr>
        <w:tab/>
      </w:r>
      <w:r>
        <w:rPr>
          <w:noProof/>
        </w:rPr>
        <w:fldChar w:fldCharType="begin"/>
      </w:r>
      <w:r>
        <w:rPr>
          <w:noProof/>
        </w:rPr>
        <w:instrText xml:space="preserve"> GOTOBUTTON _Toc398970579  </w:instrText>
      </w:r>
      <w:r>
        <w:rPr>
          <w:noProof/>
        </w:rPr>
        <w:fldChar w:fldCharType="begin"/>
      </w:r>
      <w:r>
        <w:rPr>
          <w:noProof/>
        </w:rPr>
        <w:instrText xml:space="preserve"> PAGEREF _Toc398970579 </w:instrText>
      </w:r>
      <w:r>
        <w:rPr>
          <w:noProof/>
        </w:rPr>
        <w:fldChar w:fldCharType="separate"/>
      </w:r>
      <w:r>
        <w:rPr>
          <w:noProof/>
        </w:rPr>
        <w:instrText>221</w:instrText>
      </w:r>
      <w:r>
        <w:rPr>
          <w:noProof/>
        </w:rPr>
        <w:fldChar w:fldCharType="end"/>
      </w:r>
      <w:r>
        <w:rPr>
          <w:noProof/>
        </w:rPr>
        <w:fldChar w:fldCharType="end"/>
      </w:r>
    </w:p>
    <w:p w:rsidR="00B72047" w:rsidRDefault="00B72047">
      <w:pPr>
        <w:pStyle w:val="TOC2"/>
        <w:rPr>
          <w:noProof/>
        </w:rPr>
      </w:pPr>
      <w:r>
        <w:rPr>
          <w:noProof/>
        </w:rPr>
        <w:t>6. Vague intervals and non-specific tenses</w:t>
      </w:r>
      <w:r>
        <w:rPr>
          <w:noProof/>
        </w:rPr>
        <w:tab/>
      </w:r>
      <w:r>
        <w:rPr>
          <w:noProof/>
        </w:rPr>
        <w:fldChar w:fldCharType="begin"/>
      </w:r>
      <w:r>
        <w:rPr>
          <w:noProof/>
        </w:rPr>
        <w:instrText xml:space="preserve"> GOTOBUTTON _Toc398970580  </w:instrText>
      </w:r>
      <w:r>
        <w:rPr>
          <w:noProof/>
        </w:rPr>
        <w:fldChar w:fldCharType="begin"/>
      </w:r>
      <w:r>
        <w:rPr>
          <w:noProof/>
        </w:rPr>
        <w:instrText xml:space="preserve"> PAGEREF _Toc398970580 </w:instrText>
      </w:r>
      <w:r>
        <w:rPr>
          <w:noProof/>
        </w:rPr>
        <w:fldChar w:fldCharType="separate"/>
      </w:r>
      <w:r>
        <w:rPr>
          <w:noProof/>
        </w:rPr>
        <w:instrText>223</w:instrText>
      </w:r>
      <w:r>
        <w:rPr>
          <w:noProof/>
        </w:rPr>
        <w:fldChar w:fldCharType="end"/>
      </w:r>
      <w:r>
        <w:rPr>
          <w:noProof/>
        </w:rPr>
        <w:fldChar w:fldCharType="end"/>
      </w:r>
    </w:p>
    <w:p w:rsidR="00B72047" w:rsidRDefault="00B72047">
      <w:pPr>
        <w:pStyle w:val="TOC2"/>
        <w:rPr>
          <w:noProof/>
        </w:rPr>
      </w:pPr>
      <w:r>
        <w:rPr>
          <w:noProof/>
        </w:rPr>
        <w:t>7. Dimensionality: VIhA</w:t>
      </w:r>
      <w:r>
        <w:rPr>
          <w:noProof/>
        </w:rPr>
        <w:tab/>
      </w:r>
      <w:r>
        <w:rPr>
          <w:noProof/>
        </w:rPr>
        <w:fldChar w:fldCharType="begin"/>
      </w:r>
      <w:r>
        <w:rPr>
          <w:noProof/>
        </w:rPr>
        <w:instrText xml:space="preserve"> GOTOBUTTON _Toc398970581  </w:instrText>
      </w:r>
      <w:r>
        <w:rPr>
          <w:noProof/>
        </w:rPr>
        <w:fldChar w:fldCharType="begin"/>
      </w:r>
      <w:r>
        <w:rPr>
          <w:noProof/>
        </w:rPr>
        <w:instrText xml:space="preserve"> PAGEREF _Toc398970581 </w:instrText>
      </w:r>
      <w:r>
        <w:rPr>
          <w:noProof/>
        </w:rPr>
        <w:fldChar w:fldCharType="separate"/>
      </w:r>
      <w:r>
        <w:rPr>
          <w:noProof/>
        </w:rPr>
        <w:instrText>223</w:instrText>
      </w:r>
      <w:r>
        <w:rPr>
          <w:noProof/>
        </w:rPr>
        <w:fldChar w:fldCharType="end"/>
      </w:r>
      <w:r>
        <w:rPr>
          <w:noProof/>
        </w:rPr>
        <w:fldChar w:fldCharType="end"/>
      </w:r>
    </w:p>
    <w:p w:rsidR="00B72047" w:rsidRDefault="00B72047">
      <w:pPr>
        <w:pStyle w:val="TOC2"/>
        <w:rPr>
          <w:noProof/>
        </w:rPr>
      </w:pPr>
      <w:r>
        <w:rPr>
          <w:noProof/>
        </w:rPr>
        <w:t>8. Movement in space: MOhI</w:t>
      </w:r>
      <w:r>
        <w:rPr>
          <w:noProof/>
        </w:rPr>
        <w:tab/>
      </w:r>
      <w:r>
        <w:rPr>
          <w:noProof/>
        </w:rPr>
        <w:fldChar w:fldCharType="begin"/>
      </w:r>
      <w:r>
        <w:rPr>
          <w:noProof/>
        </w:rPr>
        <w:instrText xml:space="preserve"> GOTOBUTTON _Toc398970582  </w:instrText>
      </w:r>
      <w:r>
        <w:rPr>
          <w:noProof/>
        </w:rPr>
        <w:fldChar w:fldCharType="begin"/>
      </w:r>
      <w:r>
        <w:rPr>
          <w:noProof/>
        </w:rPr>
        <w:instrText xml:space="preserve"> PAGEREF _Toc398970582 </w:instrText>
      </w:r>
      <w:r>
        <w:rPr>
          <w:noProof/>
        </w:rPr>
        <w:fldChar w:fldCharType="separate"/>
      </w:r>
      <w:r>
        <w:rPr>
          <w:noProof/>
        </w:rPr>
        <w:instrText>224</w:instrText>
      </w:r>
      <w:r>
        <w:rPr>
          <w:noProof/>
        </w:rPr>
        <w:fldChar w:fldCharType="end"/>
      </w:r>
      <w:r>
        <w:rPr>
          <w:noProof/>
        </w:rPr>
        <w:fldChar w:fldCharType="end"/>
      </w:r>
    </w:p>
    <w:p w:rsidR="00B72047" w:rsidRDefault="00B72047">
      <w:pPr>
        <w:pStyle w:val="TOC2"/>
        <w:rPr>
          <w:noProof/>
        </w:rPr>
      </w:pPr>
      <w:r>
        <w:rPr>
          <w:noProof/>
        </w:rPr>
        <w:t>9. Interval properties: TAhE and “roi”</w:t>
      </w:r>
      <w:r>
        <w:rPr>
          <w:noProof/>
        </w:rPr>
        <w:tab/>
      </w:r>
      <w:r>
        <w:rPr>
          <w:noProof/>
        </w:rPr>
        <w:fldChar w:fldCharType="begin"/>
      </w:r>
      <w:r>
        <w:rPr>
          <w:noProof/>
        </w:rPr>
        <w:instrText xml:space="preserve"> GOTOBUTTON _Toc398970583  </w:instrText>
      </w:r>
      <w:r>
        <w:rPr>
          <w:noProof/>
        </w:rPr>
        <w:fldChar w:fldCharType="begin"/>
      </w:r>
      <w:r>
        <w:rPr>
          <w:noProof/>
        </w:rPr>
        <w:instrText xml:space="preserve"> PAGEREF _Toc398970583 </w:instrText>
      </w:r>
      <w:r>
        <w:rPr>
          <w:noProof/>
        </w:rPr>
        <w:fldChar w:fldCharType="separate"/>
      </w:r>
      <w:r>
        <w:rPr>
          <w:noProof/>
        </w:rPr>
        <w:instrText>225</w:instrText>
      </w:r>
      <w:r>
        <w:rPr>
          <w:noProof/>
        </w:rPr>
        <w:fldChar w:fldCharType="end"/>
      </w:r>
      <w:r>
        <w:rPr>
          <w:noProof/>
        </w:rPr>
        <w:fldChar w:fldCharType="end"/>
      </w:r>
    </w:p>
    <w:p w:rsidR="00B72047" w:rsidRDefault="00B72047">
      <w:pPr>
        <w:pStyle w:val="TOC2"/>
        <w:rPr>
          <w:noProof/>
        </w:rPr>
      </w:pPr>
      <w:r>
        <w:rPr>
          <w:noProof/>
        </w:rPr>
        <w:t>10. Event contours: ZAhO and “re'u”</w:t>
      </w:r>
      <w:r>
        <w:rPr>
          <w:noProof/>
        </w:rPr>
        <w:tab/>
      </w:r>
      <w:r>
        <w:rPr>
          <w:noProof/>
        </w:rPr>
        <w:fldChar w:fldCharType="begin"/>
      </w:r>
      <w:r>
        <w:rPr>
          <w:noProof/>
        </w:rPr>
        <w:instrText xml:space="preserve"> GOTOBUTTON _Toc398970584  </w:instrText>
      </w:r>
      <w:r>
        <w:rPr>
          <w:noProof/>
        </w:rPr>
        <w:fldChar w:fldCharType="begin"/>
      </w:r>
      <w:r>
        <w:rPr>
          <w:noProof/>
        </w:rPr>
        <w:instrText xml:space="preserve"> PAGEREF _Toc398970584 </w:instrText>
      </w:r>
      <w:r>
        <w:rPr>
          <w:noProof/>
        </w:rPr>
        <w:fldChar w:fldCharType="separate"/>
      </w:r>
      <w:r>
        <w:rPr>
          <w:noProof/>
        </w:rPr>
        <w:instrText>228</w:instrText>
      </w:r>
      <w:r>
        <w:rPr>
          <w:noProof/>
        </w:rPr>
        <w:fldChar w:fldCharType="end"/>
      </w:r>
      <w:r>
        <w:rPr>
          <w:noProof/>
        </w:rPr>
        <w:fldChar w:fldCharType="end"/>
      </w:r>
    </w:p>
    <w:p w:rsidR="00B72047" w:rsidRDefault="00B72047">
      <w:pPr>
        <w:pStyle w:val="TOC2"/>
        <w:rPr>
          <w:noProof/>
        </w:rPr>
      </w:pPr>
      <w:r>
        <w:rPr>
          <w:noProof/>
        </w:rPr>
        <w:t>11. Space interval modifiers: FEhE</w:t>
      </w:r>
      <w:r>
        <w:rPr>
          <w:noProof/>
        </w:rPr>
        <w:tab/>
      </w:r>
      <w:r>
        <w:rPr>
          <w:noProof/>
        </w:rPr>
        <w:fldChar w:fldCharType="begin"/>
      </w:r>
      <w:r>
        <w:rPr>
          <w:noProof/>
        </w:rPr>
        <w:instrText xml:space="preserve"> GOTOBUTTON _Toc398970585  </w:instrText>
      </w:r>
      <w:r>
        <w:rPr>
          <w:noProof/>
        </w:rPr>
        <w:fldChar w:fldCharType="begin"/>
      </w:r>
      <w:r>
        <w:rPr>
          <w:noProof/>
        </w:rPr>
        <w:instrText xml:space="preserve"> PAGEREF _Toc398970585 </w:instrText>
      </w:r>
      <w:r>
        <w:rPr>
          <w:noProof/>
        </w:rPr>
        <w:fldChar w:fldCharType="separate"/>
      </w:r>
      <w:r>
        <w:rPr>
          <w:noProof/>
        </w:rPr>
        <w:instrText>230</w:instrText>
      </w:r>
      <w:r>
        <w:rPr>
          <w:noProof/>
        </w:rPr>
        <w:fldChar w:fldCharType="end"/>
      </w:r>
      <w:r>
        <w:rPr>
          <w:noProof/>
        </w:rPr>
        <w:fldChar w:fldCharType="end"/>
      </w:r>
    </w:p>
    <w:p w:rsidR="00B72047" w:rsidRDefault="00B72047">
      <w:pPr>
        <w:pStyle w:val="TOC2"/>
        <w:rPr>
          <w:noProof/>
        </w:rPr>
      </w:pPr>
      <w:r>
        <w:rPr>
          <w:noProof/>
        </w:rPr>
        <w:t>12. Tenses as sumti tcita</w:t>
      </w:r>
      <w:r>
        <w:rPr>
          <w:noProof/>
        </w:rPr>
        <w:tab/>
      </w:r>
      <w:r>
        <w:rPr>
          <w:noProof/>
        </w:rPr>
        <w:fldChar w:fldCharType="begin"/>
      </w:r>
      <w:r>
        <w:rPr>
          <w:noProof/>
        </w:rPr>
        <w:instrText xml:space="preserve"> GOTOBUTTON _Toc398970586  </w:instrText>
      </w:r>
      <w:r>
        <w:rPr>
          <w:noProof/>
        </w:rPr>
        <w:fldChar w:fldCharType="begin"/>
      </w:r>
      <w:r>
        <w:rPr>
          <w:noProof/>
        </w:rPr>
        <w:instrText xml:space="preserve"> PAGEREF _Toc398970586 </w:instrText>
      </w:r>
      <w:r>
        <w:rPr>
          <w:noProof/>
        </w:rPr>
        <w:fldChar w:fldCharType="separate"/>
      </w:r>
      <w:r>
        <w:rPr>
          <w:noProof/>
        </w:rPr>
        <w:instrText>231</w:instrText>
      </w:r>
      <w:r>
        <w:rPr>
          <w:noProof/>
        </w:rPr>
        <w:fldChar w:fldCharType="end"/>
      </w:r>
      <w:r>
        <w:rPr>
          <w:noProof/>
        </w:rPr>
        <w:fldChar w:fldCharType="end"/>
      </w:r>
    </w:p>
    <w:p w:rsidR="00B72047" w:rsidRDefault="00B72047">
      <w:pPr>
        <w:pStyle w:val="TOC2"/>
        <w:rPr>
          <w:noProof/>
        </w:rPr>
      </w:pPr>
      <w:r>
        <w:rPr>
          <w:noProof/>
        </w:rPr>
        <w:t>13. Sticky and multiple tenses: KI</w:t>
      </w:r>
      <w:r>
        <w:rPr>
          <w:noProof/>
        </w:rPr>
        <w:tab/>
      </w:r>
      <w:r>
        <w:rPr>
          <w:noProof/>
        </w:rPr>
        <w:fldChar w:fldCharType="begin"/>
      </w:r>
      <w:r>
        <w:rPr>
          <w:noProof/>
        </w:rPr>
        <w:instrText xml:space="preserve"> GOTOBUTTON _Toc398970587  </w:instrText>
      </w:r>
      <w:r>
        <w:rPr>
          <w:noProof/>
        </w:rPr>
        <w:fldChar w:fldCharType="begin"/>
      </w:r>
      <w:r>
        <w:rPr>
          <w:noProof/>
        </w:rPr>
        <w:instrText xml:space="preserve"> PAGEREF _Toc398970587 </w:instrText>
      </w:r>
      <w:r>
        <w:rPr>
          <w:noProof/>
        </w:rPr>
        <w:fldChar w:fldCharType="separate"/>
      </w:r>
      <w:r>
        <w:rPr>
          <w:noProof/>
        </w:rPr>
        <w:instrText>234</w:instrText>
      </w:r>
      <w:r>
        <w:rPr>
          <w:noProof/>
        </w:rPr>
        <w:fldChar w:fldCharType="end"/>
      </w:r>
      <w:r>
        <w:rPr>
          <w:noProof/>
        </w:rPr>
        <w:fldChar w:fldCharType="end"/>
      </w:r>
    </w:p>
    <w:p w:rsidR="00B72047" w:rsidRDefault="00B72047">
      <w:pPr>
        <w:pStyle w:val="TOC2"/>
        <w:rPr>
          <w:noProof/>
        </w:rPr>
      </w:pPr>
      <w:r>
        <w:rPr>
          <w:noProof/>
        </w:rPr>
        <w:t>14. Story time</w:t>
      </w:r>
      <w:r>
        <w:rPr>
          <w:noProof/>
        </w:rPr>
        <w:tab/>
      </w:r>
      <w:r>
        <w:rPr>
          <w:noProof/>
        </w:rPr>
        <w:fldChar w:fldCharType="begin"/>
      </w:r>
      <w:r>
        <w:rPr>
          <w:noProof/>
        </w:rPr>
        <w:instrText xml:space="preserve"> GOTOBUTTON _Toc398970588  </w:instrText>
      </w:r>
      <w:r>
        <w:rPr>
          <w:noProof/>
        </w:rPr>
        <w:fldChar w:fldCharType="begin"/>
      </w:r>
      <w:r>
        <w:rPr>
          <w:noProof/>
        </w:rPr>
        <w:instrText xml:space="preserve"> PAGEREF _Toc398970588 </w:instrText>
      </w:r>
      <w:r>
        <w:rPr>
          <w:noProof/>
        </w:rPr>
        <w:fldChar w:fldCharType="separate"/>
      </w:r>
      <w:r>
        <w:rPr>
          <w:noProof/>
        </w:rPr>
        <w:instrText>236</w:instrText>
      </w:r>
      <w:r>
        <w:rPr>
          <w:noProof/>
        </w:rPr>
        <w:fldChar w:fldCharType="end"/>
      </w:r>
      <w:r>
        <w:rPr>
          <w:noProof/>
        </w:rPr>
        <w:fldChar w:fldCharType="end"/>
      </w:r>
    </w:p>
    <w:p w:rsidR="00B72047" w:rsidRDefault="00B72047">
      <w:pPr>
        <w:pStyle w:val="TOC2"/>
        <w:rPr>
          <w:noProof/>
        </w:rPr>
      </w:pPr>
      <w:r>
        <w:rPr>
          <w:noProof/>
        </w:rPr>
        <w:t>15. Tenses in subordinate bridi</w:t>
      </w:r>
      <w:r>
        <w:rPr>
          <w:noProof/>
        </w:rPr>
        <w:tab/>
      </w:r>
      <w:r>
        <w:rPr>
          <w:noProof/>
        </w:rPr>
        <w:fldChar w:fldCharType="begin"/>
      </w:r>
      <w:r>
        <w:rPr>
          <w:noProof/>
        </w:rPr>
        <w:instrText xml:space="preserve"> GOTOBUTTON _Toc398970589  </w:instrText>
      </w:r>
      <w:r>
        <w:rPr>
          <w:noProof/>
        </w:rPr>
        <w:fldChar w:fldCharType="begin"/>
      </w:r>
      <w:r>
        <w:rPr>
          <w:noProof/>
        </w:rPr>
        <w:instrText xml:space="preserve"> PAGEREF _Toc398970589 </w:instrText>
      </w:r>
      <w:r>
        <w:rPr>
          <w:noProof/>
        </w:rPr>
        <w:fldChar w:fldCharType="separate"/>
      </w:r>
      <w:r>
        <w:rPr>
          <w:noProof/>
        </w:rPr>
        <w:instrText>237</w:instrText>
      </w:r>
      <w:r>
        <w:rPr>
          <w:noProof/>
        </w:rPr>
        <w:fldChar w:fldCharType="end"/>
      </w:r>
      <w:r>
        <w:rPr>
          <w:noProof/>
        </w:rPr>
        <w:fldChar w:fldCharType="end"/>
      </w:r>
    </w:p>
    <w:p w:rsidR="00B72047" w:rsidRDefault="00B72047">
      <w:pPr>
        <w:pStyle w:val="TOC2"/>
        <w:rPr>
          <w:noProof/>
        </w:rPr>
      </w:pPr>
      <w:r>
        <w:rPr>
          <w:noProof/>
        </w:rPr>
        <w:t>16. Tense relations between sentences</w:t>
      </w:r>
      <w:r>
        <w:rPr>
          <w:noProof/>
        </w:rPr>
        <w:tab/>
      </w:r>
      <w:r>
        <w:rPr>
          <w:noProof/>
        </w:rPr>
        <w:fldChar w:fldCharType="begin"/>
      </w:r>
      <w:r>
        <w:rPr>
          <w:noProof/>
        </w:rPr>
        <w:instrText xml:space="preserve"> GOTOBUTTON _Toc398970590  </w:instrText>
      </w:r>
      <w:r>
        <w:rPr>
          <w:noProof/>
        </w:rPr>
        <w:fldChar w:fldCharType="begin"/>
      </w:r>
      <w:r>
        <w:rPr>
          <w:noProof/>
        </w:rPr>
        <w:instrText xml:space="preserve"> PAGEREF _Toc398970590 </w:instrText>
      </w:r>
      <w:r>
        <w:rPr>
          <w:noProof/>
        </w:rPr>
        <w:fldChar w:fldCharType="separate"/>
      </w:r>
      <w:r>
        <w:rPr>
          <w:noProof/>
        </w:rPr>
        <w:instrText>238</w:instrText>
      </w:r>
      <w:r>
        <w:rPr>
          <w:noProof/>
        </w:rPr>
        <w:fldChar w:fldCharType="end"/>
      </w:r>
      <w:r>
        <w:rPr>
          <w:noProof/>
        </w:rPr>
        <w:fldChar w:fldCharType="end"/>
      </w:r>
    </w:p>
    <w:p w:rsidR="00B72047" w:rsidRDefault="00B72047">
      <w:pPr>
        <w:pStyle w:val="TOC2"/>
        <w:rPr>
          <w:noProof/>
        </w:rPr>
      </w:pPr>
      <w:r>
        <w:rPr>
          <w:noProof/>
        </w:rPr>
        <w:t>17. Tensed logical connectives</w:t>
      </w:r>
      <w:r>
        <w:rPr>
          <w:noProof/>
        </w:rPr>
        <w:tab/>
      </w:r>
      <w:r>
        <w:rPr>
          <w:noProof/>
        </w:rPr>
        <w:fldChar w:fldCharType="begin"/>
      </w:r>
      <w:r>
        <w:rPr>
          <w:noProof/>
        </w:rPr>
        <w:instrText xml:space="preserve"> GOTOBUTTON _Toc398970591  </w:instrText>
      </w:r>
      <w:r>
        <w:rPr>
          <w:noProof/>
        </w:rPr>
        <w:fldChar w:fldCharType="begin"/>
      </w:r>
      <w:r>
        <w:rPr>
          <w:noProof/>
        </w:rPr>
        <w:instrText xml:space="preserve"> PAGEREF _Toc398970591 </w:instrText>
      </w:r>
      <w:r>
        <w:rPr>
          <w:noProof/>
        </w:rPr>
        <w:fldChar w:fldCharType="separate"/>
      </w:r>
      <w:r>
        <w:rPr>
          <w:noProof/>
        </w:rPr>
        <w:instrText>240</w:instrText>
      </w:r>
      <w:r>
        <w:rPr>
          <w:noProof/>
        </w:rPr>
        <w:fldChar w:fldCharType="end"/>
      </w:r>
      <w:r>
        <w:rPr>
          <w:noProof/>
        </w:rPr>
        <w:fldChar w:fldCharType="end"/>
      </w:r>
    </w:p>
    <w:p w:rsidR="00B72047" w:rsidRDefault="00B72047">
      <w:pPr>
        <w:pStyle w:val="TOC2"/>
        <w:rPr>
          <w:noProof/>
        </w:rPr>
      </w:pPr>
      <w:r>
        <w:rPr>
          <w:noProof/>
        </w:rPr>
        <w:t>18. Tense negation</w:t>
      </w:r>
      <w:r>
        <w:rPr>
          <w:noProof/>
        </w:rPr>
        <w:tab/>
      </w:r>
      <w:r>
        <w:rPr>
          <w:noProof/>
        </w:rPr>
        <w:fldChar w:fldCharType="begin"/>
      </w:r>
      <w:r>
        <w:rPr>
          <w:noProof/>
        </w:rPr>
        <w:instrText xml:space="preserve"> GOTOBUTTON _Toc398970592  </w:instrText>
      </w:r>
      <w:r>
        <w:rPr>
          <w:noProof/>
        </w:rPr>
        <w:fldChar w:fldCharType="begin"/>
      </w:r>
      <w:r>
        <w:rPr>
          <w:noProof/>
        </w:rPr>
        <w:instrText xml:space="preserve"> PAGEREF _Toc398970592 </w:instrText>
      </w:r>
      <w:r>
        <w:rPr>
          <w:noProof/>
        </w:rPr>
        <w:fldChar w:fldCharType="separate"/>
      </w:r>
      <w:r>
        <w:rPr>
          <w:noProof/>
        </w:rPr>
        <w:instrText>241</w:instrText>
      </w:r>
      <w:r>
        <w:rPr>
          <w:noProof/>
        </w:rPr>
        <w:fldChar w:fldCharType="end"/>
      </w:r>
      <w:r>
        <w:rPr>
          <w:noProof/>
        </w:rPr>
        <w:fldChar w:fldCharType="end"/>
      </w:r>
    </w:p>
    <w:p w:rsidR="00B72047" w:rsidRDefault="00B72047">
      <w:pPr>
        <w:pStyle w:val="TOC2"/>
        <w:rPr>
          <w:noProof/>
        </w:rPr>
      </w:pPr>
      <w:r>
        <w:rPr>
          <w:noProof/>
        </w:rPr>
        <w:t>19. Actuality, potentiality, capability: CAhA</w:t>
      </w:r>
      <w:r>
        <w:rPr>
          <w:noProof/>
        </w:rPr>
        <w:tab/>
      </w:r>
      <w:r>
        <w:rPr>
          <w:noProof/>
        </w:rPr>
        <w:fldChar w:fldCharType="begin"/>
      </w:r>
      <w:r>
        <w:rPr>
          <w:noProof/>
        </w:rPr>
        <w:instrText xml:space="preserve"> GOTOBUTTON _Toc398970593  </w:instrText>
      </w:r>
      <w:r>
        <w:rPr>
          <w:noProof/>
        </w:rPr>
        <w:fldChar w:fldCharType="begin"/>
      </w:r>
      <w:r>
        <w:rPr>
          <w:noProof/>
        </w:rPr>
        <w:instrText xml:space="preserve"> PAGEREF _Toc398970593 </w:instrText>
      </w:r>
      <w:r>
        <w:rPr>
          <w:noProof/>
        </w:rPr>
        <w:fldChar w:fldCharType="separate"/>
      </w:r>
      <w:r>
        <w:rPr>
          <w:noProof/>
        </w:rPr>
        <w:instrText>243</w:instrText>
      </w:r>
      <w:r>
        <w:rPr>
          <w:noProof/>
        </w:rPr>
        <w:fldChar w:fldCharType="end"/>
      </w:r>
      <w:r>
        <w:rPr>
          <w:noProof/>
        </w:rPr>
        <w:fldChar w:fldCharType="end"/>
      </w:r>
    </w:p>
    <w:p w:rsidR="00B72047" w:rsidRDefault="00B72047">
      <w:pPr>
        <w:pStyle w:val="TOC2"/>
        <w:rPr>
          <w:noProof/>
        </w:rPr>
      </w:pPr>
      <w:r>
        <w:rPr>
          <w:noProof/>
        </w:rPr>
        <w:t>20. Logical and non-logical connections between tenses</w:t>
      </w:r>
      <w:r>
        <w:rPr>
          <w:noProof/>
        </w:rPr>
        <w:tab/>
      </w:r>
      <w:r>
        <w:rPr>
          <w:noProof/>
        </w:rPr>
        <w:fldChar w:fldCharType="begin"/>
      </w:r>
      <w:r>
        <w:rPr>
          <w:noProof/>
        </w:rPr>
        <w:instrText xml:space="preserve"> GOTOBUTTON _Toc398970594  </w:instrText>
      </w:r>
      <w:r>
        <w:rPr>
          <w:noProof/>
        </w:rPr>
        <w:fldChar w:fldCharType="begin"/>
      </w:r>
      <w:r>
        <w:rPr>
          <w:noProof/>
        </w:rPr>
        <w:instrText xml:space="preserve"> PAGEREF _Toc398970594 </w:instrText>
      </w:r>
      <w:r>
        <w:rPr>
          <w:noProof/>
        </w:rPr>
        <w:fldChar w:fldCharType="separate"/>
      </w:r>
      <w:r>
        <w:rPr>
          <w:noProof/>
        </w:rPr>
        <w:instrText>245</w:instrText>
      </w:r>
      <w:r>
        <w:rPr>
          <w:noProof/>
        </w:rPr>
        <w:fldChar w:fldCharType="end"/>
      </w:r>
      <w:r>
        <w:rPr>
          <w:noProof/>
        </w:rPr>
        <w:fldChar w:fldCharType="end"/>
      </w:r>
    </w:p>
    <w:p w:rsidR="00B72047" w:rsidRDefault="00B72047">
      <w:pPr>
        <w:pStyle w:val="TOC2"/>
        <w:rPr>
          <w:noProof/>
        </w:rPr>
      </w:pPr>
      <w:r>
        <w:rPr>
          <w:noProof/>
        </w:rPr>
        <w:t>21. Sub-events</w:t>
      </w:r>
      <w:r>
        <w:rPr>
          <w:noProof/>
        </w:rPr>
        <w:tab/>
      </w:r>
      <w:r>
        <w:rPr>
          <w:noProof/>
        </w:rPr>
        <w:fldChar w:fldCharType="begin"/>
      </w:r>
      <w:r>
        <w:rPr>
          <w:noProof/>
        </w:rPr>
        <w:instrText xml:space="preserve"> GOTOBUTTON _Toc398970595  </w:instrText>
      </w:r>
      <w:r>
        <w:rPr>
          <w:noProof/>
        </w:rPr>
        <w:fldChar w:fldCharType="begin"/>
      </w:r>
      <w:r>
        <w:rPr>
          <w:noProof/>
        </w:rPr>
        <w:instrText xml:space="preserve"> PAGEREF _Toc398970595 </w:instrText>
      </w:r>
      <w:r>
        <w:rPr>
          <w:noProof/>
        </w:rPr>
        <w:fldChar w:fldCharType="separate"/>
      </w:r>
      <w:r>
        <w:rPr>
          <w:noProof/>
        </w:rPr>
        <w:instrText>246</w:instrText>
      </w:r>
      <w:r>
        <w:rPr>
          <w:noProof/>
        </w:rPr>
        <w:fldChar w:fldCharType="end"/>
      </w:r>
      <w:r>
        <w:rPr>
          <w:noProof/>
        </w:rPr>
        <w:fldChar w:fldCharType="end"/>
      </w:r>
    </w:p>
    <w:p w:rsidR="00B72047" w:rsidRDefault="00B72047">
      <w:pPr>
        <w:pStyle w:val="TOC2"/>
        <w:rPr>
          <w:noProof/>
        </w:rPr>
      </w:pPr>
      <w:r>
        <w:rPr>
          <w:noProof/>
        </w:rPr>
        <w:t>22. Conversion of sumti tcita: JAI</w:t>
      </w:r>
      <w:r>
        <w:rPr>
          <w:noProof/>
        </w:rPr>
        <w:tab/>
      </w:r>
      <w:r>
        <w:rPr>
          <w:noProof/>
        </w:rPr>
        <w:fldChar w:fldCharType="begin"/>
      </w:r>
      <w:r>
        <w:rPr>
          <w:noProof/>
        </w:rPr>
        <w:instrText xml:space="preserve"> GOTOBUTTON _Toc398970596  </w:instrText>
      </w:r>
      <w:r>
        <w:rPr>
          <w:noProof/>
        </w:rPr>
        <w:fldChar w:fldCharType="begin"/>
      </w:r>
      <w:r>
        <w:rPr>
          <w:noProof/>
        </w:rPr>
        <w:instrText xml:space="preserve"> PAGEREF _Toc398970596 </w:instrText>
      </w:r>
      <w:r>
        <w:rPr>
          <w:noProof/>
        </w:rPr>
        <w:fldChar w:fldCharType="separate"/>
      </w:r>
      <w:r>
        <w:rPr>
          <w:noProof/>
        </w:rPr>
        <w:instrText>247</w:instrText>
      </w:r>
      <w:r>
        <w:rPr>
          <w:noProof/>
        </w:rPr>
        <w:fldChar w:fldCharType="end"/>
      </w:r>
      <w:r>
        <w:rPr>
          <w:noProof/>
        </w:rPr>
        <w:fldChar w:fldCharType="end"/>
      </w:r>
    </w:p>
    <w:p w:rsidR="00B72047" w:rsidRDefault="00B72047">
      <w:pPr>
        <w:pStyle w:val="TOC2"/>
        <w:rPr>
          <w:noProof/>
        </w:rPr>
      </w:pPr>
      <w:r>
        <w:rPr>
          <w:noProof/>
        </w:rPr>
        <w:t>23. Tenses versus modals</w:t>
      </w:r>
      <w:r>
        <w:rPr>
          <w:noProof/>
        </w:rPr>
        <w:tab/>
      </w:r>
      <w:r>
        <w:rPr>
          <w:noProof/>
        </w:rPr>
        <w:fldChar w:fldCharType="begin"/>
      </w:r>
      <w:r>
        <w:rPr>
          <w:noProof/>
        </w:rPr>
        <w:instrText xml:space="preserve"> GOTOBUTTON _Toc398970597  </w:instrText>
      </w:r>
      <w:r>
        <w:rPr>
          <w:noProof/>
        </w:rPr>
        <w:fldChar w:fldCharType="begin"/>
      </w:r>
      <w:r>
        <w:rPr>
          <w:noProof/>
        </w:rPr>
        <w:instrText xml:space="preserve"> PAGEREF _Toc398970597 </w:instrText>
      </w:r>
      <w:r>
        <w:rPr>
          <w:noProof/>
        </w:rPr>
        <w:fldChar w:fldCharType="separate"/>
      </w:r>
      <w:r>
        <w:rPr>
          <w:noProof/>
        </w:rPr>
        <w:instrText>248</w:instrText>
      </w:r>
      <w:r>
        <w:rPr>
          <w:noProof/>
        </w:rPr>
        <w:fldChar w:fldCharType="end"/>
      </w:r>
      <w:r>
        <w:rPr>
          <w:noProof/>
        </w:rPr>
        <w:fldChar w:fldCharType="end"/>
      </w:r>
    </w:p>
    <w:p w:rsidR="00B72047" w:rsidRDefault="00B72047">
      <w:pPr>
        <w:pStyle w:val="TOC2"/>
        <w:rPr>
          <w:noProof/>
        </w:rPr>
      </w:pPr>
      <w:r>
        <w:rPr>
          <w:noProof/>
        </w:rPr>
        <w:t>24. Tense questions: “cu'e”</w:t>
      </w:r>
      <w:r>
        <w:rPr>
          <w:noProof/>
        </w:rPr>
        <w:tab/>
      </w:r>
      <w:r>
        <w:rPr>
          <w:noProof/>
        </w:rPr>
        <w:fldChar w:fldCharType="begin"/>
      </w:r>
      <w:r>
        <w:rPr>
          <w:noProof/>
        </w:rPr>
        <w:instrText xml:space="preserve"> GOTOBUTTON _Toc398970598  </w:instrText>
      </w:r>
      <w:r>
        <w:rPr>
          <w:noProof/>
        </w:rPr>
        <w:fldChar w:fldCharType="begin"/>
      </w:r>
      <w:r>
        <w:rPr>
          <w:noProof/>
        </w:rPr>
        <w:instrText xml:space="preserve"> PAGEREF _Toc398970598 </w:instrText>
      </w:r>
      <w:r>
        <w:rPr>
          <w:noProof/>
        </w:rPr>
        <w:fldChar w:fldCharType="separate"/>
      </w:r>
      <w:r>
        <w:rPr>
          <w:noProof/>
        </w:rPr>
        <w:instrText>249</w:instrText>
      </w:r>
      <w:r>
        <w:rPr>
          <w:noProof/>
        </w:rPr>
        <w:fldChar w:fldCharType="end"/>
      </w:r>
      <w:r>
        <w:rPr>
          <w:noProof/>
        </w:rPr>
        <w:fldChar w:fldCharType="end"/>
      </w:r>
    </w:p>
    <w:p w:rsidR="00B72047" w:rsidRDefault="00B72047">
      <w:pPr>
        <w:pStyle w:val="TOC2"/>
        <w:rPr>
          <w:noProof/>
        </w:rPr>
      </w:pPr>
      <w:r>
        <w:rPr>
          <w:noProof/>
        </w:rPr>
        <w:t>25. Explicit magnitudes</w:t>
      </w:r>
      <w:r>
        <w:rPr>
          <w:noProof/>
        </w:rPr>
        <w:tab/>
      </w:r>
      <w:r>
        <w:rPr>
          <w:noProof/>
        </w:rPr>
        <w:fldChar w:fldCharType="begin"/>
      </w:r>
      <w:r>
        <w:rPr>
          <w:noProof/>
        </w:rPr>
        <w:instrText xml:space="preserve"> GOTOBUTTON _Toc398970599  </w:instrText>
      </w:r>
      <w:r>
        <w:rPr>
          <w:noProof/>
        </w:rPr>
        <w:fldChar w:fldCharType="begin"/>
      </w:r>
      <w:r>
        <w:rPr>
          <w:noProof/>
        </w:rPr>
        <w:instrText xml:space="preserve"> PAGEREF _Toc398970599 </w:instrText>
      </w:r>
      <w:r>
        <w:rPr>
          <w:noProof/>
        </w:rPr>
        <w:fldChar w:fldCharType="separate"/>
      </w:r>
      <w:r>
        <w:rPr>
          <w:noProof/>
        </w:rPr>
        <w:instrText>250</w:instrText>
      </w:r>
      <w:r>
        <w:rPr>
          <w:noProof/>
        </w:rPr>
        <w:fldChar w:fldCharType="end"/>
      </w:r>
      <w:r>
        <w:rPr>
          <w:noProof/>
        </w:rPr>
        <w:fldChar w:fldCharType="end"/>
      </w:r>
    </w:p>
    <w:p w:rsidR="00B72047" w:rsidRDefault="00B72047">
      <w:pPr>
        <w:pStyle w:val="TOC2"/>
        <w:rPr>
          <w:noProof/>
        </w:rPr>
      </w:pPr>
      <w:r>
        <w:rPr>
          <w:noProof/>
        </w:rPr>
        <w:t>26. Finally (an exercise for the much-tried reader)</w:t>
      </w:r>
      <w:r>
        <w:rPr>
          <w:noProof/>
        </w:rPr>
        <w:tab/>
      </w:r>
      <w:r>
        <w:rPr>
          <w:noProof/>
        </w:rPr>
        <w:fldChar w:fldCharType="begin"/>
      </w:r>
      <w:r>
        <w:rPr>
          <w:noProof/>
        </w:rPr>
        <w:instrText xml:space="preserve"> GOTOBUTTON _Toc398970600  </w:instrText>
      </w:r>
      <w:r>
        <w:rPr>
          <w:noProof/>
        </w:rPr>
        <w:fldChar w:fldCharType="begin"/>
      </w:r>
      <w:r>
        <w:rPr>
          <w:noProof/>
        </w:rPr>
        <w:instrText xml:space="preserve"> PAGEREF _Toc398970600 </w:instrText>
      </w:r>
      <w:r>
        <w:rPr>
          <w:noProof/>
        </w:rPr>
        <w:fldChar w:fldCharType="separate"/>
      </w:r>
      <w:r>
        <w:rPr>
          <w:noProof/>
        </w:rPr>
        <w:instrText>251</w:instrText>
      </w:r>
      <w:r>
        <w:rPr>
          <w:noProof/>
        </w:rPr>
        <w:fldChar w:fldCharType="end"/>
      </w:r>
      <w:r>
        <w:rPr>
          <w:noProof/>
        </w:rPr>
        <w:fldChar w:fldCharType="end"/>
      </w:r>
    </w:p>
    <w:p w:rsidR="00B72047" w:rsidRDefault="00B72047">
      <w:pPr>
        <w:pStyle w:val="TOC2"/>
        <w:rPr>
          <w:noProof/>
        </w:rPr>
      </w:pPr>
      <w:r>
        <w:rPr>
          <w:noProof/>
        </w:rPr>
        <w:t>27. Summary of tense selma'o</w:t>
      </w:r>
      <w:r>
        <w:rPr>
          <w:noProof/>
        </w:rPr>
        <w:tab/>
      </w:r>
      <w:r>
        <w:rPr>
          <w:noProof/>
        </w:rPr>
        <w:fldChar w:fldCharType="begin"/>
      </w:r>
      <w:r>
        <w:rPr>
          <w:noProof/>
        </w:rPr>
        <w:instrText xml:space="preserve"> GOTOBUTTON _Toc398970601  </w:instrText>
      </w:r>
      <w:r>
        <w:rPr>
          <w:noProof/>
        </w:rPr>
        <w:fldChar w:fldCharType="begin"/>
      </w:r>
      <w:r>
        <w:rPr>
          <w:noProof/>
        </w:rPr>
        <w:instrText xml:space="preserve"> PAGEREF _Toc398970601 </w:instrText>
      </w:r>
      <w:r>
        <w:rPr>
          <w:noProof/>
        </w:rPr>
        <w:fldChar w:fldCharType="separate"/>
      </w:r>
      <w:r>
        <w:rPr>
          <w:noProof/>
        </w:rPr>
        <w:instrText>252</w:instrText>
      </w:r>
      <w:r>
        <w:rPr>
          <w:noProof/>
        </w:rPr>
        <w:fldChar w:fldCharType="end"/>
      </w:r>
      <w:r>
        <w:rPr>
          <w:noProof/>
        </w:rPr>
        <w:fldChar w:fldCharType="end"/>
      </w:r>
    </w:p>
    <w:p w:rsidR="00B72047" w:rsidRDefault="00B72047">
      <w:pPr>
        <w:pStyle w:val="TOC2"/>
        <w:rPr>
          <w:noProof/>
        </w:rPr>
      </w:pPr>
      <w:r>
        <w:rPr>
          <w:noProof/>
        </w:rPr>
        <w:t>28. List of spatial directions and direction-like relations</w:t>
      </w:r>
      <w:r>
        <w:rPr>
          <w:noProof/>
        </w:rPr>
        <w:tab/>
      </w:r>
      <w:r>
        <w:rPr>
          <w:noProof/>
        </w:rPr>
        <w:fldChar w:fldCharType="begin"/>
      </w:r>
      <w:r>
        <w:rPr>
          <w:noProof/>
        </w:rPr>
        <w:instrText xml:space="preserve"> GOTOBUTTON _Toc398970602  </w:instrText>
      </w:r>
      <w:r>
        <w:rPr>
          <w:noProof/>
        </w:rPr>
        <w:fldChar w:fldCharType="begin"/>
      </w:r>
      <w:r>
        <w:rPr>
          <w:noProof/>
        </w:rPr>
        <w:instrText xml:space="preserve"> PAGEREF _Toc398970602 </w:instrText>
      </w:r>
      <w:r>
        <w:rPr>
          <w:noProof/>
        </w:rPr>
        <w:fldChar w:fldCharType="separate"/>
      </w:r>
      <w:r>
        <w:rPr>
          <w:noProof/>
        </w:rPr>
        <w:instrText>253</w:instrText>
      </w:r>
      <w:r>
        <w:rPr>
          <w:noProof/>
        </w:rPr>
        <w:fldChar w:fldCharType="end"/>
      </w:r>
      <w:r>
        <w:rPr>
          <w:noProof/>
        </w:rPr>
        <w:fldChar w:fldCharType="end"/>
      </w:r>
    </w:p>
    <w:p w:rsidR="00B72047" w:rsidRDefault="00B72047">
      <w:pPr>
        <w:pStyle w:val="TOC1"/>
        <w:rPr>
          <w:noProof/>
        </w:rPr>
      </w:pPr>
      <w:r>
        <w:rPr>
          <w:noProof/>
        </w:rPr>
        <w:t>Chapter 11  Events, Qualities, Quantities, And Other Vague Words:  On Lojban Abstraction</w:t>
      </w:r>
      <w:r>
        <w:rPr>
          <w:noProof/>
        </w:rPr>
        <w:tab/>
      </w:r>
      <w:r>
        <w:rPr>
          <w:noProof/>
        </w:rPr>
        <w:fldChar w:fldCharType="begin"/>
      </w:r>
      <w:r>
        <w:rPr>
          <w:noProof/>
        </w:rPr>
        <w:instrText xml:space="preserve"> GOTOBUTTON _Toc398970604  </w:instrText>
      </w:r>
      <w:r>
        <w:rPr>
          <w:noProof/>
        </w:rPr>
        <w:fldChar w:fldCharType="begin"/>
      </w:r>
      <w:r>
        <w:rPr>
          <w:noProof/>
        </w:rPr>
        <w:instrText xml:space="preserve"> PAGEREF _Toc398970604 </w:instrText>
      </w:r>
      <w:r>
        <w:rPr>
          <w:noProof/>
        </w:rPr>
        <w:fldChar w:fldCharType="separate"/>
      </w:r>
      <w:r>
        <w:rPr>
          <w:noProof/>
        </w:rPr>
        <w:instrText>255</w:instrText>
      </w:r>
      <w:r>
        <w:rPr>
          <w:noProof/>
        </w:rPr>
        <w:fldChar w:fldCharType="end"/>
      </w:r>
      <w:r>
        <w:rPr>
          <w:noProof/>
        </w:rPr>
        <w:fldChar w:fldCharType="end"/>
      </w:r>
    </w:p>
    <w:p w:rsidR="00B72047" w:rsidRDefault="00B72047">
      <w:pPr>
        <w:pStyle w:val="TOC2"/>
        <w:rPr>
          <w:noProof/>
        </w:rPr>
      </w:pPr>
      <w:r>
        <w:rPr>
          <w:noProof/>
        </w:rPr>
        <w:t>1. The syntax of abstraction</w:t>
      </w:r>
      <w:r>
        <w:rPr>
          <w:noProof/>
        </w:rPr>
        <w:tab/>
      </w:r>
      <w:r>
        <w:rPr>
          <w:noProof/>
        </w:rPr>
        <w:fldChar w:fldCharType="begin"/>
      </w:r>
      <w:r>
        <w:rPr>
          <w:noProof/>
        </w:rPr>
        <w:instrText xml:space="preserve"> GOTOBUTTON _Toc398970605  </w:instrText>
      </w:r>
      <w:r>
        <w:rPr>
          <w:noProof/>
        </w:rPr>
        <w:fldChar w:fldCharType="begin"/>
      </w:r>
      <w:r>
        <w:rPr>
          <w:noProof/>
        </w:rPr>
        <w:instrText xml:space="preserve"> PAGEREF _Toc398970605 </w:instrText>
      </w:r>
      <w:r>
        <w:rPr>
          <w:noProof/>
        </w:rPr>
        <w:fldChar w:fldCharType="separate"/>
      </w:r>
      <w:r>
        <w:rPr>
          <w:noProof/>
        </w:rPr>
        <w:instrText>255</w:instrText>
      </w:r>
      <w:r>
        <w:rPr>
          <w:noProof/>
        </w:rPr>
        <w:fldChar w:fldCharType="end"/>
      </w:r>
      <w:r>
        <w:rPr>
          <w:noProof/>
        </w:rPr>
        <w:fldChar w:fldCharType="end"/>
      </w:r>
    </w:p>
    <w:p w:rsidR="00B72047" w:rsidRDefault="00B72047">
      <w:pPr>
        <w:pStyle w:val="TOC2"/>
        <w:rPr>
          <w:noProof/>
        </w:rPr>
      </w:pPr>
      <w:r>
        <w:rPr>
          <w:noProof/>
        </w:rPr>
        <w:t>2. Event abstraction</w:t>
      </w:r>
      <w:r>
        <w:rPr>
          <w:noProof/>
        </w:rPr>
        <w:tab/>
      </w:r>
      <w:r>
        <w:rPr>
          <w:noProof/>
        </w:rPr>
        <w:fldChar w:fldCharType="begin"/>
      </w:r>
      <w:r>
        <w:rPr>
          <w:noProof/>
        </w:rPr>
        <w:instrText xml:space="preserve"> GOTOBUTTON _Toc398970606  </w:instrText>
      </w:r>
      <w:r>
        <w:rPr>
          <w:noProof/>
        </w:rPr>
        <w:fldChar w:fldCharType="begin"/>
      </w:r>
      <w:r>
        <w:rPr>
          <w:noProof/>
        </w:rPr>
        <w:instrText xml:space="preserve"> PAGEREF _Toc398970606 </w:instrText>
      </w:r>
      <w:r>
        <w:rPr>
          <w:noProof/>
        </w:rPr>
        <w:fldChar w:fldCharType="separate"/>
      </w:r>
      <w:r>
        <w:rPr>
          <w:noProof/>
        </w:rPr>
        <w:instrText>256</w:instrText>
      </w:r>
      <w:r>
        <w:rPr>
          <w:noProof/>
        </w:rPr>
        <w:fldChar w:fldCharType="end"/>
      </w:r>
      <w:r>
        <w:rPr>
          <w:noProof/>
        </w:rPr>
        <w:fldChar w:fldCharType="end"/>
      </w:r>
    </w:p>
    <w:p w:rsidR="00B72047" w:rsidRDefault="00B72047">
      <w:pPr>
        <w:pStyle w:val="TOC2"/>
        <w:rPr>
          <w:noProof/>
        </w:rPr>
      </w:pPr>
      <w:r>
        <w:rPr>
          <w:noProof/>
        </w:rPr>
        <w:t>3. Types of event abstractions</w:t>
      </w:r>
      <w:r>
        <w:rPr>
          <w:noProof/>
        </w:rPr>
        <w:tab/>
      </w:r>
      <w:r>
        <w:rPr>
          <w:noProof/>
        </w:rPr>
        <w:fldChar w:fldCharType="begin"/>
      </w:r>
      <w:r>
        <w:rPr>
          <w:noProof/>
        </w:rPr>
        <w:instrText xml:space="preserve"> GOTOBUTTON _Toc398970607  </w:instrText>
      </w:r>
      <w:r>
        <w:rPr>
          <w:noProof/>
        </w:rPr>
        <w:fldChar w:fldCharType="begin"/>
      </w:r>
      <w:r>
        <w:rPr>
          <w:noProof/>
        </w:rPr>
        <w:instrText xml:space="preserve"> PAGEREF _Toc398970607 </w:instrText>
      </w:r>
      <w:r>
        <w:rPr>
          <w:noProof/>
        </w:rPr>
        <w:fldChar w:fldCharType="separate"/>
      </w:r>
      <w:r>
        <w:rPr>
          <w:noProof/>
        </w:rPr>
        <w:instrText>257</w:instrText>
      </w:r>
      <w:r>
        <w:rPr>
          <w:noProof/>
        </w:rPr>
        <w:fldChar w:fldCharType="end"/>
      </w:r>
      <w:r>
        <w:rPr>
          <w:noProof/>
        </w:rPr>
        <w:fldChar w:fldCharType="end"/>
      </w:r>
    </w:p>
    <w:p w:rsidR="00B72047" w:rsidRDefault="00B72047">
      <w:pPr>
        <w:pStyle w:val="TOC2"/>
        <w:rPr>
          <w:noProof/>
        </w:rPr>
      </w:pPr>
      <w:r>
        <w:rPr>
          <w:noProof/>
        </w:rPr>
        <w:t>4. Property abstractions</w:t>
      </w:r>
      <w:r>
        <w:rPr>
          <w:noProof/>
        </w:rPr>
        <w:tab/>
      </w:r>
      <w:r>
        <w:rPr>
          <w:noProof/>
        </w:rPr>
        <w:fldChar w:fldCharType="begin"/>
      </w:r>
      <w:r>
        <w:rPr>
          <w:noProof/>
        </w:rPr>
        <w:instrText xml:space="preserve"> GOTOBUTTON _Toc398970608  </w:instrText>
      </w:r>
      <w:r>
        <w:rPr>
          <w:noProof/>
        </w:rPr>
        <w:fldChar w:fldCharType="begin"/>
      </w:r>
      <w:r>
        <w:rPr>
          <w:noProof/>
        </w:rPr>
        <w:instrText xml:space="preserve"> PAGEREF _Toc398970608 </w:instrText>
      </w:r>
      <w:r>
        <w:rPr>
          <w:noProof/>
        </w:rPr>
        <w:fldChar w:fldCharType="separate"/>
      </w:r>
      <w:r>
        <w:rPr>
          <w:noProof/>
        </w:rPr>
        <w:instrText>259</w:instrText>
      </w:r>
      <w:r>
        <w:rPr>
          <w:noProof/>
        </w:rPr>
        <w:fldChar w:fldCharType="end"/>
      </w:r>
      <w:r>
        <w:rPr>
          <w:noProof/>
        </w:rPr>
        <w:fldChar w:fldCharType="end"/>
      </w:r>
    </w:p>
    <w:p w:rsidR="00B72047" w:rsidRDefault="00B72047">
      <w:pPr>
        <w:pStyle w:val="TOC2"/>
        <w:rPr>
          <w:noProof/>
        </w:rPr>
      </w:pPr>
      <w:r>
        <w:rPr>
          <w:noProof/>
        </w:rPr>
        <w:t>5. Amount abstractions</w:t>
      </w:r>
      <w:r>
        <w:rPr>
          <w:noProof/>
        </w:rPr>
        <w:tab/>
      </w:r>
      <w:r>
        <w:rPr>
          <w:noProof/>
        </w:rPr>
        <w:fldChar w:fldCharType="begin"/>
      </w:r>
      <w:r>
        <w:rPr>
          <w:noProof/>
        </w:rPr>
        <w:instrText xml:space="preserve"> GOTOBUTTON _Toc398970609  </w:instrText>
      </w:r>
      <w:r>
        <w:rPr>
          <w:noProof/>
        </w:rPr>
        <w:fldChar w:fldCharType="begin"/>
      </w:r>
      <w:r>
        <w:rPr>
          <w:noProof/>
        </w:rPr>
        <w:instrText xml:space="preserve"> PAGEREF _Toc398970609 </w:instrText>
      </w:r>
      <w:r>
        <w:rPr>
          <w:noProof/>
        </w:rPr>
        <w:fldChar w:fldCharType="separate"/>
      </w:r>
      <w:r>
        <w:rPr>
          <w:noProof/>
        </w:rPr>
        <w:instrText>261</w:instrText>
      </w:r>
      <w:r>
        <w:rPr>
          <w:noProof/>
        </w:rPr>
        <w:fldChar w:fldCharType="end"/>
      </w:r>
      <w:r>
        <w:rPr>
          <w:noProof/>
        </w:rPr>
        <w:fldChar w:fldCharType="end"/>
      </w:r>
    </w:p>
    <w:p w:rsidR="00B72047" w:rsidRDefault="00B72047">
      <w:pPr>
        <w:pStyle w:val="TOC2"/>
        <w:rPr>
          <w:noProof/>
        </w:rPr>
      </w:pPr>
      <w:r>
        <w:rPr>
          <w:noProof/>
        </w:rPr>
        <w:t>6. Truth-value abstraction: “jei”</w:t>
      </w:r>
      <w:r>
        <w:rPr>
          <w:noProof/>
        </w:rPr>
        <w:tab/>
      </w:r>
      <w:r>
        <w:rPr>
          <w:noProof/>
        </w:rPr>
        <w:fldChar w:fldCharType="begin"/>
      </w:r>
      <w:r>
        <w:rPr>
          <w:noProof/>
        </w:rPr>
        <w:instrText xml:space="preserve"> GOTOBUTTON _Toc398970610  </w:instrText>
      </w:r>
      <w:r>
        <w:rPr>
          <w:noProof/>
        </w:rPr>
        <w:fldChar w:fldCharType="begin"/>
      </w:r>
      <w:r>
        <w:rPr>
          <w:noProof/>
        </w:rPr>
        <w:instrText xml:space="preserve"> PAGEREF _Toc398970610 </w:instrText>
      </w:r>
      <w:r>
        <w:rPr>
          <w:noProof/>
        </w:rPr>
        <w:fldChar w:fldCharType="separate"/>
      </w:r>
      <w:r>
        <w:rPr>
          <w:noProof/>
        </w:rPr>
        <w:instrText>262</w:instrText>
      </w:r>
      <w:r>
        <w:rPr>
          <w:noProof/>
        </w:rPr>
        <w:fldChar w:fldCharType="end"/>
      </w:r>
      <w:r>
        <w:rPr>
          <w:noProof/>
        </w:rPr>
        <w:fldChar w:fldCharType="end"/>
      </w:r>
    </w:p>
    <w:p w:rsidR="00B72047" w:rsidRDefault="00B72047">
      <w:pPr>
        <w:pStyle w:val="TOC2"/>
        <w:rPr>
          <w:noProof/>
        </w:rPr>
      </w:pPr>
      <w:r>
        <w:rPr>
          <w:noProof/>
        </w:rPr>
        <w:t>7. Predication/sentence abstraction</w:t>
      </w:r>
      <w:r>
        <w:rPr>
          <w:noProof/>
        </w:rPr>
        <w:tab/>
      </w:r>
      <w:r>
        <w:rPr>
          <w:noProof/>
        </w:rPr>
        <w:fldChar w:fldCharType="begin"/>
      </w:r>
      <w:r>
        <w:rPr>
          <w:noProof/>
        </w:rPr>
        <w:instrText xml:space="preserve"> GOTOBUTTON _Toc398970611  </w:instrText>
      </w:r>
      <w:r>
        <w:rPr>
          <w:noProof/>
        </w:rPr>
        <w:fldChar w:fldCharType="begin"/>
      </w:r>
      <w:r>
        <w:rPr>
          <w:noProof/>
        </w:rPr>
        <w:instrText xml:space="preserve"> PAGEREF _Toc398970611 </w:instrText>
      </w:r>
      <w:r>
        <w:rPr>
          <w:noProof/>
        </w:rPr>
        <w:fldChar w:fldCharType="separate"/>
      </w:r>
      <w:r>
        <w:rPr>
          <w:noProof/>
        </w:rPr>
        <w:instrText>262</w:instrText>
      </w:r>
      <w:r>
        <w:rPr>
          <w:noProof/>
        </w:rPr>
        <w:fldChar w:fldCharType="end"/>
      </w:r>
      <w:r>
        <w:rPr>
          <w:noProof/>
        </w:rPr>
        <w:fldChar w:fldCharType="end"/>
      </w:r>
    </w:p>
    <w:p w:rsidR="00B72047" w:rsidRDefault="00B72047">
      <w:pPr>
        <w:pStyle w:val="TOC2"/>
        <w:rPr>
          <w:noProof/>
        </w:rPr>
      </w:pPr>
      <w:r>
        <w:rPr>
          <w:noProof/>
        </w:rPr>
        <w:t>8. Indirect questions</w:t>
      </w:r>
      <w:r>
        <w:rPr>
          <w:noProof/>
        </w:rPr>
        <w:tab/>
      </w:r>
      <w:r>
        <w:rPr>
          <w:noProof/>
        </w:rPr>
        <w:fldChar w:fldCharType="begin"/>
      </w:r>
      <w:r>
        <w:rPr>
          <w:noProof/>
        </w:rPr>
        <w:instrText xml:space="preserve"> GOTOBUTTON _Toc398970612  </w:instrText>
      </w:r>
      <w:r>
        <w:rPr>
          <w:noProof/>
        </w:rPr>
        <w:fldChar w:fldCharType="begin"/>
      </w:r>
      <w:r>
        <w:rPr>
          <w:noProof/>
        </w:rPr>
        <w:instrText xml:space="preserve"> PAGEREF _Toc398970612 </w:instrText>
      </w:r>
      <w:r>
        <w:rPr>
          <w:noProof/>
        </w:rPr>
        <w:fldChar w:fldCharType="separate"/>
      </w:r>
      <w:r>
        <w:rPr>
          <w:noProof/>
        </w:rPr>
        <w:instrText>264</w:instrText>
      </w:r>
      <w:r>
        <w:rPr>
          <w:noProof/>
        </w:rPr>
        <w:fldChar w:fldCharType="end"/>
      </w:r>
      <w:r>
        <w:rPr>
          <w:noProof/>
        </w:rPr>
        <w:fldChar w:fldCharType="end"/>
      </w:r>
    </w:p>
    <w:p w:rsidR="00B72047" w:rsidRDefault="00B72047">
      <w:pPr>
        <w:pStyle w:val="TOC2"/>
        <w:rPr>
          <w:noProof/>
        </w:rPr>
      </w:pPr>
      <w:r>
        <w:rPr>
          <w:noProof/>
        </w:rPr>
        <w:t>9. Minor abstraction types</w:t>
      </w:r>
      <w:r>
        <w:rPr>
          <w:noProof/>
        </w:rPr>
        <w:tab/>
      </w:r>
      <w:r>
        <w:rPr>
          <w:noProof/>
        </w:rPr>
        <w:fldChar w:fldCharType="begin"/>
      </w:r>
      <w:r>
        <w:rPr>
          <w:noProof/>
        </w:rPr>
        <w:instrText xml:space="preserve"> GOTOBUTTON _Toc398970613  </w:instrText>
      </w:r>
      <w:r>
        <w:rPr>
          <w:noProof/>
        </w:rPr>
        <w:fldChar w:fldCharType="begin"/>
      </w:r>
      <w:r>
        <w:rPr>
          <w:noProof/>
        </w:rPr>
        <w:instrText xml:space="preserve"> PAGEREF _Toc398970613 </w:instrText>
      </w:r>
      <w:r>
        <w:rPr>
          <w:noProof/>
        </w:rPr>
        <w:fldChar w:fldCharType="separate"/>
      </w:r>
      <w:r>
        <w:rPr>
          <w:noProof/>
        </w:rPr>
        <w:instrText>265</w:instrText>
      </w:r>
      <w:r>
        <w:rPr>
          <w:noProof/>
        </w:rPr>
        <w:fldChar w:fldCharType="end"/>
      </w:r>
      <w:r>
        <w:rPr>
          <w:noProof/>
        </w:rPr>
        <w:fldChar w:fldCharType="end"/>
      </w:r>
    </w:p>
    <w:p w:rsidR="00B72047" w:rsidRDefault="00B72047">
      <w:pPr>
        <w:pStyle w:val="TOC2"/>
        <w:rPr>
          <w:noProof/>
        </w:rPr>
      </w:pPr>
      <w:r>
        <w:rPr>
          <w:noProof/>
        </w:rPr>
        <w:t>10. Lojban sumti raising</w:t>
      </w:r>
      <w:r>
        <w:rPr>
          <w:noProof/>
        </w:rPr>
        <w:tab/>
      </w:r>
      <w:r>
        <w:rPr>
          <w:noProof/>
        </w:rPr>
        <w:fldChar w:fldCharType="begin"/>
      </w:r>
      <w:r>
        <w:rPr>
          <w:noProof/>
        </w:rPr>
        <w:instrText xml:space="preserve"> GOTOBUTTON _Toc398970614  </w:instrText>
      </w:r>
      <w:r>
        <w:rPr>
          <w:noProof/>
        </w:rPr>
        <w:fldChar w:fldCharType="begin"/>
      </w:r>
      <w:r>
        <w:rPr>
          <w:noProof/>
        </w:rPr>
        <w:instrText xml:space="preserve"> PAGEREF _Toc398970614 </w:instrText>
      </w:r>
      <w:r>
        <w:rPr>
          <w:noProof/>
        </w:rPr>
        <w:fldChar w:fldCharType="separate"/>
      </w:r>
      <w:r>
        <w:rPr>
          <w:noProof/>
        </w:rPr>
        <w:instrText>266</w:instrText>
      </w:r>
      <w:r>
        <w:rPr>
          <w:noProof/>
        </w:rPr>
        <w:fldChar w:fldCharType="end"/>
      </w:r>
      <w:r>
        <w:rPr>
          <w:noProof/>
        </w:rPr>
        <w:fldChar w:fldCharType="end"/>
      </w:r>
    </w:p>
    <w:p w:rsidR="00B72047" w:rsidRDefault="00B72047">
      <w:pPr>
        <w:pStyle w:val="TOC2"/>
        <w:rPr>
          <w:noProof/>
        </w:rPr>
      </w:pPr>
      <w:r>
        <w:rPr>
          <w:noProof/>
        </w:rPr>
        <w:t>11. Event-type abstractors and event contour tenses</w:t>
      </w:r>
      <w:r>
        <w:rPr>
          <w:noProof/>
        </w:rPr>
        <w:tab/>
      </w:r>
      <w:r>
        <w:rPr>
          <w:noProof/>
        </w:rPr>
        <w:fldChar w:fldCharType="begin"/>
      </w:r>
      <w:r>
        <w:rPr>
          <w:noProof/>
        </w:rPr>
        <w:instrText xml:space="preserve"> GOTOBUTTON _Toc398970615  </w:instrText>
      </w:r>
      <w:r>
        <w:rPr>
          <w:noProof/>
        </w:rPr>
        <w:fldChar w:fldCharType="begin"/>
      </w:r>
      <w:r>
        <w:rPr>
          <w:noProof/>
        </w:rPr>
        <w:instrText xml:space="preserve"> PAGEREF _Toc398970615 </w:instrText>
      </w:r>
      <w:r>
        <w:rPr>
          <w:noProof/>
        </w:rPr>
        <w:fldChar w:fldCharType="separate"/>
      </w:r>
      <w:r>
        <w:rPr>
          <w:noProof/>
        </w:rPr>
        <w:instrText>268</w:instrText>
      </w:r>
      <w:r>
        <w:rPr>
          <w:noProof/>
        </w:rPr>
        <w:fldChar w:fldCharType="end"/>
      </w:r>
      <w:r>
        <w:rPr>
          <w:noProof/>
        </w:rPr>
        <w:fldChar w:fldCharType="end"/>
      </w:r>
    </w:p>
    <w:p w:rsidR="00B72047" w:rsidRDefault="00B72047">
      <w:pPr>
        <w:pStyle w:val="TOC2"/>
        <w:rPr>
          <w:noProof/>
        </w:rPr>
      </w:pPr>
      <w:r>
        <w:rPr>
          <w:noProof/>
        </w:rPr>
        <w:t>12. Abstractor connection</w:t>
      </w:r>
      <w:r>
        <w:rPr>
          <w:noProof/>
        </w:rPr>
        <w:tab/>
      </w:r>
      <w:r>
        <w:rPr>
          <w:noProof/>
        </w:rPr>
        <w:fldChar w:fldCharType="begin"/>
      </w:r>
      <w:r>
        <w:rPr>
          <w:noProof/>
        </w:rPr>
        <w:instrText xml:space="preserve"> GOTOBUTTON _Toc398970616  </w:instrText>
      </w:r>
      <w:r>
        <w:rPr>
          <w:noProof/>
        </w:rPr>
        <w:fldChar w:fldCharType="begin"/>
      </w:r>
      <w:r>
        <w:rPr>
          <w:noProof/>
        </w:rPr>
        <w:instrText xml:space="preserve"> PAGEREF _Toc398970616 </w:instrText>
      </w:r>
      <w:r>
        <w:rPr>
          <w:noProof/>
        </w:rPr>
        <w:fldChar w:fldCharType="separate"/>
      </w:r>
      <w:r>
        <w:rPr>
          <w:noProof/>
        </w:rPr>
        <w:instrText>269</w:instrText>
      </w:r>
      <w:r>
        <w:rPr>
          <w:noProof/>
        </w:rPr>
        <w:fldChar w:fldCharType="end"/>
      </w:r>
      <w:r>
        <w:rPr>
          <w:noProof/>
        </w:rPr>
        <w:fldChar w:fldCharType="end"/>
      </w:r>
    </w:p>
    <w:p w:rsidR="00B72047" w:rsidRDefault="00B72047">
      <w:pPr>
        <w:pStyle w:val="TOC2"/>
        <w:rPr>
          <w:noProof/>
        </w:rPr>
      </w:pPr>
      <w:r>
        <w:rPr>
          <w:noProof/>
        </w:rPr>
        <w:t>13. Table of abstractors</w:t>
      </w:r>
      <w:r>
        <w:rPr>
          <w:noProof/>
        </w:rPr>
        <w:tab/>
      </w:r>
      <w:r>
        <w:rPr>
          <w:noProof/>
        </w:rPr>
        <w:fldChar w:fldCharType="begin"/>
      </w:r>
      <w:r>
        <w:rPr>
          <w:noProof/>
        </w:rPr>
        <w:instrText xml:space="preserve"> GOTOBUTTON _Toc398970617  </w:instrText>
      </w:r>
      <w:r>
        <w:rPr>
          <w:noProof/>
        </w:rPr>
        <w:fldChar w:fldCharType="begin"/>
      </w:r>
      <w:r>
        <w:rPr>
          <w:noProof/>
        </w:rPr>
        <w:instrText xml:space="preserve"> PAGEREF _Toc398970617 </w:instrText>
      </w:r>
      <w:r>
        <w:rPr>
          <w:noProof/>
        </w:rPr>
        <w:fldChar w:fldCharType="separate"/>
      </w:r>
      <w:r>
        <w:rPr>
          <w:noProof/>
        </w:rPr>
        <w:instrText>269</w:instrText>
      </w:r>
      <w:r>
        <w:rPr>
          <w:noProof/>
        </w:rPr>
        <w:fldChar w:fldCharType="end"/>
      </w:r>
      <w:r>
        <w:rPr>
          <w:noProof/>
        </w:rPr>
        <w:fldChar w:fldCharType="end"/>
      </w:r>
    </w:p>
    <w:p w:rsidR="00B72047" w:rsidRDefault="00B72047">
      <w:pPr>
        <w:pStyle w:val="TOC1"/>
        <w:rPr>
          <w:noProof/>
        </w:rPr>
      </w:pPr>
      <w:r>
        <w:rPr>
          <w:noProof/>
        </w:rPr>
        <w:t>Chapter 12  Dog House And White House: Determining lujvo Place Structures</w:t>
      </w:r>
      <w:r>
        <w:rPr>
          <w:noProof/>
        </w:rPr>
        <w:tab/>
      </w:r>
      <w:r>
        <w:rPr>
          <w:noProof/>
        </w:rPr>
        <w:fldChar w:fldCharType="begin"/>
      </w:r>
      <w:r>
        <w:rPr>
          <w:noProof/>
        </w:rPr>
        <w:instrText xml:space="preserve"> GOTOBUTTON _Toc398970619  </w:instrText>
      </w:r>
      <w:r>
        <w:rPr>
          <w:noProof/>
        </w:rPr>
        <w:fldChar w:fldCharType="begin"/>
      </w:r>
      <w:r>
        <w:rPr>
          <w:noProof/>
        </w:rPr>
        <w:instrText xml:space="preserve"> PAGEREF _Toc398970619 </w:instrText>
      </w:r>
      <w:r>
        <w:rPr>
          <w:noProof/>
        </w:rPr>
        <w:fldChar w:fldCharType="separate"/>
      </w:r>
      <w:r>
        <w:rPr>
          <w:noProof/>
        </w:rPr>
        <w:instrText>273</w:instrText>
      </w:r>
      <w:r>
        <w:rPr>
          <w:noProof/>
        </w:rPr>
        <w:fldChar w:fldCharType="end"/>
      </w:r>
      <w:r>
        <w:rPr>
          <w:noProof/>
        </w:rPr>
        <w:fldChar w:fldCharType="end"/>
      </w:r>
    </w:p>
    <w:p w:rsidR="00B72047" w:rsidRDefault="00B72047">
      <w:pPr>
        <w:pStyle w:val="TOC2"/>
        <w:rPr>
          <w:noProof/>
        </w:rPr>
      </w:pPr>
      <w:r>
        <w:rPr>
          <w:noProof/>
        </w:rPr>
        <w:t>1. Why have lujvo?</w:t>
      </w:r>
      <w:r>
        <w:rPr>
          <w:noProof/>
        </w:rPr>
        <w:tab/>
      </w:r>
      <w:r>
        <w:rPr>
          <w:noProof/>
        </w:rPr>
        <w:fldChar w:fldCharType="begin"/>
      </w:r>
      <w:r>
        <w:rPr>
          <w:noProof/>
        </w:rPr>
        <w:instrText xml:space="preserve"> GOTOBUTTON _Toc398970620  </w:instrText>
      </w:r>
      <w:r>
        <w:rPr>
          <w:noProof/>
        </w:rPr>
        <w:fldChar w:fldCharType="begin"/>
      </w:r>
      <w:r>
        <w:rPr>
          <w:noProof/>
        </w:rPr>
        <w:instrText xml:space="preserve"> PAGEREF _Toc398970620 </w:instrText>
      </w:r>
      <w:r>
        <w:rPr>
          <w:noProof/>
        </w:rPr>
        <w:fldChar w:fldCharType="separate"/>
      </w:r>
      <w:r>
        <w:rPr>
          <w:noProof/>
        </w:rPr>
        <w:instrText>273</w:instrText>
      </w:r>
      <w:r>
        <w:rPr>
          <w:noProof/>
        </w:rPr>
        <w:fldChar w:fldCharType="end"/>
      </w:r>
      <w:r>
        <w:rPr>
          <w:noProof/>
        </w:rPr>
        <w:fldChar w:fldCharType="end"/>
      </w:r>
    </w:p>
    <w:p w:rsidR="00B72047" w:rsidRDefault="00B72047">
      <w:pPr>
        <w:pStyle w:val="TOC2"/>
        <w:rPr>
          <w:noProof/>
        </w:rPr>
      </w:pPr>
      <w:r>
        <w:rPr>
          <w:noProof/>
        </w:rPr>
        <w:t>2. The meaning of tanru: a necessary detour</w:t>
      </w:r>
      <w:r>
        <w:rPr>
          <w:noProof/>
        </w:rPr>
        <w:tab/>
      </w:r>
      <w:r>
        <w:rPr>
          <w:noProof/>
        </w:rPr>
        <w:fldChar w:fldCharType="begin"/>
      </w:r>
      <w:r>
        <w:rPr>
          <w:noProof/>
        </w:rPr>
        <w:instrText xml:space="preserve"> GOTOBUTTON _Toc398970621  </w:instrText>
      </w:r>
      <w:r>
        <w:rPr>
          <w:noProof/>
        </w:rPr>
        <w:fldChar w:fldCharType="begin"/>
      </w:r>
      <w:r>
        <w:rPr>
          <w:noProof/>
        </w:rPr>
        <w:instrText xml:space="preserve"> PAGEREF _Toc398970621 </w:instrText>
      </w:r>
      <w:r>
        <w:rPr>
          <w:noProof/>
        </w:rPr>
        <w:fldChar w:fldCharType="separate"/>
      </w:r>
      <w:r>
        <w:rPr>
          <w:noProof/>
        </w:rPr>
        <w:instrText>274</w:instrText>
      </w:r>
      <w:r>
        <w:rPr>
          <w:noProof/>
        </w:rPr>
        <w:fldChar w:fldCharType="end"/>
      </w:r>
      <w:r>
        <w:rPr>
          <w:noProof/>
        </w:rPr>
        <w:fldChar w:fldCharType="end"/>
      </w:r>
    </w:p>
    <w:p w:rsidR="00B72047" w:rsidRDefault="00B72047">
      <w:pPr>
        <w:pStyle w:val="TOC2"/>
        <w:rPr>
          <w:noProof/>
        </w:rPr>
      </w:pPr>
      <w:r>
        <w:rPr>
          <w:noProof/>
        </w:rPr>
        <w:t>3. The meaning of lujvo</w:t>
      </w:r>
      <w:r>
        <w:rPr>
          <w:noProof/>
        </w:rPr>
        <w:tab/>
      </w:r>
      <w:r>
        <w:rPr>
          <w:noProof/>
        </w:rPr>
        <w:fldChar w:fldCharType="begin"/>
      </w:r>
      <w:r>
        <w:rPr>
          <w:noProof/>
        </w:rPr>
        <w:instrText xml:space="preserve"> GOTOBUTTON _Toc398970622  </w:instrText>
      </w:r>
      <w:r>
        <w:rPr>
          <w:noProof/>
        </w:rPr>
        <w:fldChar w:fldCharType="begin"/>
      </w:r>
      <w:r>
        <w:rPr>
          <w:noProof/>
        </w:rPr>
        <w:instrText xml:space="preserve"> PAGEREF _Toc398970622 </w:instrText>
      </w:r>
      <w:r>
        <w:rPr>
          <w:noProof/>
        </w:rPr>
        <w:fldChar w:fldCharType="separate"/>
      </w:r>
      <w:r>
        <w:rPr>
          <w:noProof/>
        </w:rPr>
        <w:instrText>276</w:instrText>
      </w:r>
      <w:r>
        <w:rPr>
          <w:noProof/>
        </w:rPr>
        <w:fldChar w:fldCharType="end"/>
      </w:r>
      <w:r>
        <w:rPr>
          <w:noProof/>
        </w:rPr>
        <w:fldChar w:fldCharType="end"/>
      </w:r>
    </w:p>
    <w:p w:rsidR="00B72047" w:rsidRDefault="00B72047">
      <w:pPr>
        <w:pStyle w:val="TOC2"/>
        <w:rPr>
          <w:noProof/>
        </w:rPr>
      </w:pPr>
      <w:r>
        <w:rPr>
          <w:noProof/>
        </w:rPr>
        <w:t>4. Selecting places</w:t>
      </w:r>
      <w:r>
        <w:rPr>
          <w:noProof/>
        </w:rPr>
        <w:tab/>
      </w:r>
      <w:r>
        <w:rPr>
          <w:noProof/>
        </w:rPr>
        <w:fldChar w:fldCharType="begin"/>
      </w:r>
      <w:r>
        <w:rPr>
          <w:noProof/>
        </w:rPr>
        <w:instrText xml:space="preserve"> GOTOBUTTON _Toc398970623  </w:instrText>
      </w:r>
      <w:r>
        <w:rPr>
          <w:noProof/>
        </w:rPr>
        <w:fldChar w:fldCharType="begin"/>
      </w:r>
      <w:r>
        <w:rPr>
          <w:noProof/>
        </w:rPr>
        <w:instrText xml:space="preserve"> PAGEREF _Toc398970623 </w:instrText>
      </w:r>
      <w:r>
        <w:rPr>
          <w:noProof/>
        </w:rPr>
        <w:fldChar w:fldCharType="separate"/>
      </w:r>
      <w:r>
        <w:rPr>
          <w:noProof/>
        </w:rPr>
        <w:instrText>277</w:instrText>
      </w:r>
      <w:r>
        <w:rPr>
          <w:noProof/>
        </w:rPr>
        <w:fldChar w:fldCharType="end"/>
      </w:r>
      <w:r>
        <w:rPr>
          <w:noProof/>
        </w:rPr>
        <w:fldChar w:fldCharType="end"/>
      </w:r>
    </w:p>
    <w:p w:rsidR="00B72047" w:rsidRDefault="00B72047">
      <w:pPr>
        <w:pStyle w:val="TOC2"/>
        <w:rPr>
          <w:noProof/>
        </w:rPr>
      </w:pPr>
      <w:r>
        <w:rPr>
          <w:noProof/>
        </w:rPr>
        <w:t>5. Symmetrical and asymmetrical lujvo</w:t>
      </w:r>
      <w:r>
        <w:rPr>
          <w:noProof/>
        </w:rPr>
        <w:tab/>
      </w:r>
      <w:r>
        <w:rPr>
          <w:noProof/>
        </w:rPr>
        <w:fldChar w:fldCharType="begin"/>
      </w:r>
      <w:r>
        <w:rPr>
          <w:noProof/>
        </w:rPr>
        <w:instrText xml:space="preserve"> GOTOBUTTON _Toc398970624  </w:instrText>
      </w:r>
      <w:r>
        <w:rPr>
          <w:noProof/>
        </w:rPr>
        <w:fldChar w:fldCharType="begin"/>
      </w:r>
      <w:r>
        <w:rPr>
          <w:noProof/>
        </w:rPr>
        <w:instrText xml:space="preserve"> PAGEREF _Toc398970624 </w:instrText>
      </w:r>
      <w:r>
        <w:rPr>
          <w:noProof/>
        </w:rPr>
        <w:fldChar w:fldCharType="separate"/>
      </w:r>
      <w:r>
        <w:rPr>
          <w:noProof/>
        </w:rPr>
        <w:instrText>278</w:instrText>
      </w:r>
      <w:r>
        <w:rPr>
          <w:noProof/>
        </w:rPr>
        <w:fldChar w:fldCharType="end"/>
      </w:r>
      <w:r>
        <w:rPr>
          <w:noProof/>
        </w:rPr>
        <w:fldChar w:fldCharType="end"/>
      </w:r>
    </w:p>
    <w:p w:rsidR="00B72047" w:rsidRDefault="00B72047">
      <w:pPr>
        <w:pStyle w:val="TOC2"/>
        <w:rPr>
          <w:noProof/>
        </w:rPr>
      </w:pPr>
      <w:r>
        <w:rPr>
          <w:noProof/>
        </w:rPr>
        <w:t>6. Dependent places</w:t>
      </w:r>
      <w:r>
        <w:rPr>
          <w:noProof/>
        </w:rPr>
        <w:tab/>
      </w:r>
      <w:r>
        <w:rPr>
          <w:noProof/>
        </w:rPr>
        <w:fldChar w:fldCharType="begin"/>
      </w:r>
      <w:r>
        <w:rPr>
          <w:noProof/>
        </w:rPr>
        <w:instrText xml:space="preserve"> GOTOBUTTON _Toc398970625  </w:instrText>
      </w:r>
      <w:r>
        <w:rPr>
          <w:noProof/>
        </w:rPr>
        <w:fldChar w:fldCharType="begin"/>
      </w:r>
      <w:r>
        <w:rPr>
          <w:noProof/>
        </w:rPr>
        <w:instrText xml:space="preserve"> PAGEREF _Toc398970625 </w:instrText>
      </w:r>
      <w:r>
        <w:rPr>
          <w:noProof/>
        </w:rPr>
        <w:fldChar w:fldCharType="separate"/>
      </w:r>
      <w:r>
        <w:rPr>
          <w:noProof/>
        </w:rPr>
        <w:instrText>279</w:instrText>
      </w:r>
      <w:r>
        <w:rPr>
          <w:noProof/>
        </w:rPr>
        <w:fldChar w:fldCharType="end"/>
      </w:r>
      <w:r>
        <w:rPr>
          <w:noProof/>
        </w:rPr>
        <w:fldChar w:fldCharType="end"/>
      </w:r>
    </w:p>
    <w:p w:rsidR="00B72047" w:rsidRDefault="00B72047">
      <w:pPr>
        <w:pStyle w:val="TOC2"/>
        <w:rPr>
          <w:noProof/>
        </w:rPr>
      </w:pPr>
      <w:r>
        <w:rPr>
          <w:noProof/>
        </w:rPr>
        <w:t>7. Ordering lujvo places.</w:t>
      </w:r>
      <w:r>
        <w:rPr>
          <w:noProof/>
        </w:rPr>
        <w:tab/>
      </w:r>
      <w:r>
        <w:rPr>
          <w:noProof/>
        </w:rPr>
        <w:fldChar w:fldCharType="begin"/>
      </w:r>
      <w:r>
        <w:rPr>
          <w:noProof/>
        </w:rPr>
        <w:instrText xml:space="preserve"> GOTOBUTTON _Toc398970626  </w:instrText>
      </w:r>
      <w:r>
        <w:rPr>
          <w:noProof/>
        </w:rPr>
        <w:fldChar w:fldCharType="begin"/>
      </w:r>
      <w:r>
        <w:rPr>
          <w:noProof/>
        </w:rPr>
        <w:instrText xml:space="preserve"> PAGEREF _Toc398970626 </w:instrText>
      </w:r>
      <w:r>
        <w:rPr>
          <w:noProof/>
        </w:rPr>
        <w:fldChar w:fldCharType="separate"/>
      </w:r>
      <w:r>
        <w:rPr>
          <w:noProof/>
        </w:rPr>
        <w:instrText>281</w:instrText>
      </w:r>
      <w:r>
        <w:rPr>
          <w:noProof/>
        </w:rPr>
        <w:fldChar w:fldCharType="end"/>
      </w:r>
      <w:r>
        <w:rPr>
          <w:noProof/>
        </w:rPr>
        <w:fldChar w:fldCharType="end"/>
      </w:r>
    </w:p>
    <w:p w:rsidR="00B72047" w:rsidRDefault="00B72047">
      <w:pPr>
        <w:pStyle w:val="TOC2"/>
        <w:rPr>
          <w:noProof/>
        </w:rPr>
      </w:pPr>
      <w:r>
        <w:rPr>
          <w:noProof/>
        </w:rPr>
        <w:t>8. lujvo with more than two parts.</w:t>
      </w:r>
      <w:r>
        <w:rPr>
          <w:noProof/>
        </w:rPr>
        <w:tab/>
      </w:r>
      <w:r>
        <w:rPr>
          <w:noProof/>
        </w:rPr>
        <w:fldChar w:fldCharType="begin"/>
      </w:r>
      <w:r>
        <w:rPr>
          <w:noProof/>
        </w:rPr>
        <w:instrText xml:space="preserve"> GOTOBUTTON _Toc398970627  </w:instrText>
      </w:r>
      <w:r>
        <w:rPr>
          <w:noProof/>
        </w:rPr>
        <w:fldChar w:fldCharType="begin"/>
      </w:r>
      <w:r>
        <w:rPr>
          <w:noProof/>
        </w:rPr>
        <w:instrText xml:space="preserve"> PAGEREF _Toc398970627 </w:instrText>
      </w:r>
      <w:r>
        <w:rPr>
          <w:noProof/>
        </w:rPr>
        <w:fldChar w:fldCharType="separate"/>
      </w:r>
      <w:r>
        <w:rPr>
          <w:noProof/>
        </w:rPr>
        <w:instrText>282</w:instrText>
      </w:r>
      <w:r>
        <w:rPr>
          <w:noProof/>
        </w:rPr>
        <w:fldChar w:fldCharType="end"/>
      </w:r>
      <w:r>
        <w:rPr>
          <w:noProof/>
        </w:rPr>
        <w:fldChar w:fldCharType="end"/>
      </w:r>
    </w:p>
    <w:p w:rsidR="00B72047" w:rsidRDefault="00B72047">
      <w:pPr>
        <w:pStyle w:val="TOC2"/>
        <w:rPr>
          <w:noProof/>
        </w:rPr>
      </w:pPr>
      <w:r>
        <w:rPr>
          <w:noProof/>
        </w:rPr>
        <w:t>9. Eliding SE rafsi from seltau</w:t>
      </w:r>
      <w:r>
        <w:rPr>
          <w:noProof/>
        </w:rPr>
        <w:tab/>
      </w:r>
      <w:r>
        <w:rPr>
          <w:noProof/>
        </w:rPr>
        <w:fldChar w:fldCharType="begin"/>
      </w:r>
      <w:r>
        <w:rPr>
          <w:noProof/>
        </w:rPr>
        <w:instrText xml:space="preserve"> GOTOBUTTON _Toc398970628  </w:instrText>
      </w:r>
      <w:r>
        <w:rPr>
          <w:noProof/>
        </w:rPr>
        <w:fldChar w:fldCharType="begin"/>
      </w:r>
      <w:r>
        <w:rPr>
          <w:noProof/>
        </w:rPr>
        <w:instrText xml:space="preserve"> PAGEREF _Toc398970628 </w:instrText>
      </w:r>
      <w:r>
        <w:rPr>
          <w:noProof/>
        </w:rPr>
        <w:fldChar w:fldCharType="separate"/>
      </w:r>
      <w:r>
        <w:rPr>
          <w:noProof/>
        </w:rPr>
        <w:instrText>283</w:instrText>
      </w:r>
      <w:r>
        <w:rPr>
          <w:noProof/>
        </w:rPr>
        <w:fldChar w:fldCharType="end"/>
      </w:r>
      <w:r>
        <w:rPr>
          <w:noProof/>
        </w:rPr>
        <w:fldChar w:fldCharType="end"/>
      </w:r>
    </w:p>
    <w:p w:rsidR="00B72047" w:rsidRDefault="00B72047">
      <w:pPr>
        <w:pStyle w:val="TOC2"/>
        <w:rPr>
          <w:noProof/>
        </w:rPr>
      </w:pPr>
      <w:r>
        <w:rPr>
          <w:noProof/>
        </w:rPr>
        <w:t>10. Eliding SE rafsi from tertau</w:t>
      </w:r>
      <w:r>
        <w:rPr>
          <w:noProof/>
        </w:rPr>
        <w:tab/>
      </w:r>
      <w:r>
        <w:rPr>
          <w:noProof/>
        </w:rPr>
        <w:fldChar w:fldCharType="begin"/>
      </w:r>
      <w:r>
        <w:rPr>
          <w:noProof/>
        </w:rPr>
        <w:instrText xml:space="preserve"> GOTOBUTTON _Toc398970629  </w:instrText>
      </w:r>
      <w:r>
        <w:rPr>
          <w:noProof/>
        </w:rPr>
        <w:fldChar w:fldCharType="begin"/>
      </w:r>
      <w:r>
        <w:rPr>
          <w:noProof/>
        </w:rPr>
        <w:instrText xml:space="preserve"> PAGEREF _Toc398970629 </w:instrText>
      </w:r>
      <w:r>
        <w:rPr>
          <w:noProof/>
        </w:rPr>
        <w:fldChar w:fldCharType="separate"/>
      </w:r>
      <w:r>
        <w:rPr>
          <w:noProof/>
        </w:rPr>
        <w:instrText>284</w:instrText>
      </w:r>
      <w:r>
        <w:rPr>
          <w:noProof/>
        </w:rPr>
        <w:fldChar w:fldCharType="end"/>
      </w:r>
      <w:r>
        <w:rPr>
          <w:noProof/>
        </w:rPr>
        <w:fldChar w:fldCharType="end"/>
      </w:r>
    </w:p>
    <w:p w:rsidR="00B72047" w:rsidRDefault="00B72047">
      <w:pPr>
        <w:pStyle w:val="TOC2"/>
        <w:rPr>
          <w:noProof/>
        </w:rPr>
      </w:pPr>
      <w:r>
        <w:rPr>
          <w:noProof/>
        </w:rPr>
        <w:t>11. Eliding KE and KEhE rafsi from lujvo</w:t>
      </w:r>
      <w:r>
        <w:rPr>
          <w:noProof/>
        </w:rPr>
        <w:tab/>
      </w:r>
      <w:r>
        <w:rPr>
          <w:noProof/>
        </w:rPr>
        <w:fldChar w:fldCharType="begin"/>
      </w:r>
      <w:r>
        <w:rPr>
          <w:noProof/>
        </w:rPr>
        <w:instrText xml:space="preserve"> GOTOBUTTON _Toc398970630  </w:instrText>
      </w:r>
      <w:r>
        <w:rPr>
          <w:noProof/>
        </w:rPr>
        <w:fldChar w:fldCharType="begin"/>
      </w:r>
      <w:r>
        <w:rPr>
          <w:noProof/>
        </w:rPr>
        <w:instrText xml:space="preserve"> PAGEREF _Toc398970630 </w:instrText>
      </w:r>
      <w:r>
        <w:rPr>
          <w:noProof/>
        </w:rPr>
        <w:fldChar w:fldCharType="separate"/>
      </w:r>
      <w:r>
        <w:rPr>
          <w:noProof/>
        </w:rPr>
        <w:instrText>285</w:instrText>
      </w:r>
      <w:r>
        <w:rPr>
          <w:noProof/>
        </w:rPr>
        <w:fldChar w:fldCharType="end"/>
      </w:r>
      <w:r>
        <w:rPr>
          <w:noProof/>
        </w:rPr>
        <w:fldChar w:fldCharType="end"/>
      </w:r>
    </w:p>
    <w:p w:rsidR="00B72047" w:rsidRDefault="00B72047">
      <w:pPr>
        <w:pStyle w:val="TOC2"/>
        <w:rPr>
          <w:noProof/>
        </w:rPr>
      </w:pPr>
      <w:r>
        <w:rPr>
          <w:noProof/>
        </w:rPr>
        <w:t>12. Abstract lujvo</w:t>
      </w:r>
      <w:r>
        <w:rPr>
          <w:noProof/>
        </w:rPr>
        <w:tab/>
      </w:r>
      <w:r>
        <w:rPr>
          <w:noProof/>
        </w:rPr>
        <w:fldChar w:fldCharType="begin"/>
      </w:r>
      <w:r>
        <w:rPr>
          <w:noProof/>
        </w:rPr>
        <w:instrText xml:space="preserve"> GOTOBUTTON _Toc398970631  </w:instrText>
      </w:r>
      <w:r>
        <w:rPr>
          <w:noProof/>
        </w:rPr>
        <w:fldChar w:fldCharType="begin"/>
      </w:r>
      <w:r>
        <w:rPr>
          <w:noProof/>
        </w:rPr>
        <w:instrText xml:space="preserve"> PAGEREF _Toc398970631 </w:instrText>
      </w:r>
      <w:r>
        <w:rPr>
          <w:noProof/>
        </w:rPr>
        <w:fldChar w:fldCharType="separate"/>
      </w:r>
      <w:r>
        <w:rPr>
          <w:noProof/>
        </w:rPr>
        <w:instrText>286</w:instrText>
      </w:r>
      <w:r>
        <w:rPr>
          <w:noProof/>
        </w:rPr>
        <w:fldChar w:fldCharType="end"/>
      </w:r>
      <w:r>
        <w:rPr>
          <w:noProof/>
        </w:rPr>
        <w:fldChar w:fldCharType="end"/>
      </w:r>
    </w:p>
    <w:p w:rsidR="00B72047" w:rsidRDefault="00B72047">
      <w:pPr>
        <w:pStyle w:val="TOC2"/>
        <w:rPr>
          <w:noProof/>
        </w:rPr>
      </w:pPr>
      <w:r>
        <w:rPr>
          <w:noProof/>
        </w:rPr>
        <w:t>13. Implicit-abstraction lujvo</w:t>
      </w:r>
      <w:r>
        <w:rPr>
          <w:noProof/>
        </w:rPr>
        <w:tab/>
      </w:r>
      <w:r>
        <w:rPr>
          <w:noProof/>
        </w:rPr>
        <w:fldChar w:fldCharType="begin"/>
      </w:r>
      <w:r>
        <w:rPr>
          <w:noProof/>
        </w:rPr>
        <w:instrText xml:space="preserve"> GOTOBUTTON _Toc398970632  </w:instrText>
      </w:r>
      <w:r>
        <w:rPr>
          <w:noProof/>
        </w:rPr>
        <w:fldChar w:fldCharType="begin"/>
      </w:r>
      <w:r>
        <w:rPr>
          <w:noProof/>
        </w:rPr>
        <w:instrText xml:space="preserve"> PAGEREF _Toc398970632 </w:instrText>
      </w:r>
      <w:r>
        <w:rPr>
          <w:noProof/>
        </w:rPr>
        <w:fldChar w:fldCharType="separate"/>
      </w:r>
      <w:r>
        <w:rPr>
          <w:noProof/>
        </w:rPr>
        <w:instrText>288</w:instrText>
      </w:r>
      <w:r>
        <w:rPr>
          <w:noProof/>
        </w:rPr>
        <w:fldChar w:fldCharType="end"/>
      </w:r>
      <w:r>
        <w:rPr>
          <w:noProof/>
        </w:rPr>
        <w:fldChar w:fldCharType="end"/>
      </w:r>
    </w:p>
    <w:p w:rsidR="00B72047" w:rsidRDefault="00B72047">
      <w:pPr>
        <w:pStyle w:val="TOC2"/>
        <w:rPr>
          <w:noProof/>
        </w:rPr>
      </w:pPr>
      <w:r>
        <w:rPr>
          <w:noProof/>
        </w:rPr>
        <w:t>14. Anomalous lujvo</w:t>
      </w:r>
      <w:r>
        <w:rPr>
          <w:noProof/>
        </w:rPr>
        <w:tab/>
      </w:r>
      <w:r>
        <w:rPr>
          <w:noProof/>
        </w:rPr>
        <w:fldChar w:fldCharType="begin"/>
      </w:r>
      <w:r>
        <w:rPr>
          <w:noProof/>
        </w:rPr>
        <w:instrText xml:space="preserve"> GOTOBUTTON _Toc398970633  </w:instrText>
      </w:r>
      <w:r>
        <w:rPr>
          <w:noProof/>
        </w:rPr>
        <w:fldChar w:fldCharType="begin"/>
      </w:r>
      <w:r>
        <w:rPr>
          <w:noProof/>
        </w:rPr>
        <w:instrText xml:space="preserve"> PAGEREF _Toc398970633 </w:instrText>
      </w:r>
      <w:r>
        <w:rPr>
          <w:noProof/>
        </w:rPr>
        <w:fldChar w:fldCharType="separate"/>
      </w:r>
      <w:r>
        <w:rPr>
          <w:noProof/>
        </w:rPr>
        <w:instrText>290</w:instrText>
      </w:r>
      <w:r>
        <w:rPr>
          <w:noProof/>
        </w:rPr>
        <w:fldChar w:fldCharType="end"/>
      </w:r>
      <w:r>
        <w:rPr>
          <w:noProof/>
        </w:rPr>
        <w:fldChar w:fldCharType="end"/>
      </w:r>
    </w:p>
    <w:p w:rsidR="00B72047" w:rsidRDefault="00B72047">
      <w:pPr>
        <w:pStyle w:val="TOC2"/>
        <w:rPr>
          <w:noProof/>
        </w:rPr>
      </w:pPr>
      <w:r>
        <w:rPr>
          <w:noProof/>
        </w:rPr>
        <w:t>15. Comparatives and superlatives</w:t>
      </w:r>
      <w:r>
        <w:rPr>
          <w:noProof/>
        </w:rPr>
        <w:tab/>
      </w:r>
      <w:r>
        <w:rPr>
          <w:noProof/>
        </w:rPr>
        <w:fldChar w:fldCharType="begin"/>
      </w:r>
      <w:r>
        <w:rPr>
          <w:noProof/>
        </w:rPr>
        <w:instrText xml:space="preserve"> GOTOBUTTON _Toc398970634  </w:instrText>
      </w:r>
      <w:r>
        <w:rPr>
          <w:noProof/>
        </w:rPr>
        <w:fldChar w:fldCharType="begin"/>
      </w:r>
      <w:r>
        <w:rPr>
          <w:noProof/>
        </w:rPr>
        <w:instrText xml:space="preserve"> PAGEREF _Toc398970634 </w:instrText>
      </w:r>
      <w:r>
        <w:rPr>
          <w:noProof/>
        </w:rPr>
        <w:fldChar w:fldCharType="separate"/>
      </w:r>
      <w:r>
        <w:rPr>
          <w:noProof/>
        </w:rPr>
        <w:instrText>292</w:instrText>
      </w:r>
      <w:r>
        <w:rPr>
          <w:noProof/>
        </w:rPr>
        <w:fldChar w:fldCharType="end"/>
      </w:r>
      <w:r>
        <w:rPr>
          <w:noProof/>
        </w:rPr>
        <w:fldChar w:fldCharType="end"/>
      </w:r>
    </w:p>
    <w:p w:rsidR="00B72047" w:rsidRDefault="00B72047">
      <w:pPr>
        <w:pStyle w:val="TOC2"/>
        <w:rPr>
          <w:noProof/>
        </w:rPr>
      </w:pPr>
      <w:r>
        <w:rPr>
          <w:noProof/>
        </w:rPr>
        <w:t>16. Notes on gismu place structures</w:t>
      </w:r>
      <w:r>
        <w:rPr>
          <w:noProof/>
        </w:rPr>
        <w:tab/>
      </w:r>
      <w:r>
        <w:rPr>
          <w:noProof/>
        </w:rPr>
        <w:fldChar w:fldCharType="begin"/>
      </w:r>
      <w:r>
        <w:rPr>
          <w:noProof/>
        </w:rPr>
        <w:instrText xml:space="preserve"> GOTOBUTTON _Toc398970635  </w:instrText>
      </w:r>
      <w:r>
        <w:rPr>
          <w:noProof/>
        </w:rPr>
        <w:fldChar w:fldCharType="begin"/>
      </w:r>
      <w:r>
        <w:rPr>
          <w:noProof/>
        </w:rPr>
        <w:instrText xml:space="preserve"> PAGEREF _Toc398970635 </w:instrText>
      </w:r>
      <w:r>
        <w:rPr>
          <w:noProof/>
        </w:rPr>
        <w:fldChar w:fldCharType="separate"/>
      </w:r>
      <w:r>
        <w:rPr>
          <w:noProof/>
        </w:rPr>
        <w:instrText>294</w:instrText>
      </w:r>
      <w:r>
        <w:rPr>
          <w:noProof/>
        </w:rPr>
        <w:fldChar w:fldCharType="end"/>
      </w:r>
      <w:r>
        <w:rPr>
          <w:noProof/>
        </w:rPr>
        <w:fldChar w:fldCharType="end"/>
      </w:r>
    </w:p>
    <w:p w:rsidR="00B72047" w:rsidRDefault="00B72047">
      <w:pPr>
        <w:pStyle w:val="TOC1"/>
        <w:rPr>
          <w:noProof/>
        </w:rPr>
      </w:pPr>
      <w:r>
        <w:rPr>
          <w:noProof/>
        </w:rPr>
        <w:t>Chapter 13  Oooh! Arrgh! Ugh! Yecch! Attitudinal and Emotional Indicators</w:t>
      </w:r>
      <w:r>
        <w:rPr>
          <w:noProof/>
        </w:rPr>
        <w:tab/>
      </w:r>
      <w:r>
        <w:rPr>
          <w:noProof/>
        </w:rPr>
        <w:fldChar w:fldCharType="begin"/>
      </w:r>
      <w:r>
        <w:rPr>
          <w:noProof/>
        </w:rPr>
        <w:instrText xml:space="preserve"> GOTOBUTTON _Toc398970637  </w:instrText>
      </w:r>
      <w:r>
        <w:rPr>
          <w:noProof/>
        </w:rPr>
        <w:fldChar w:fldCharType="begin"/>
      </w:r>
      <w:r>
        <w:rPr>
          <w:noProof/>
        </w:rPr>
        <w:instrText xml:space="preserve"> PAGEREF _Toc398970637 </w:instrText>
      </w:r>
      <w:r>
        <w:rPr>
          <w:noProof/>
        </w:rPr>
        <w:fldChar w:fldCharType="separate"/>
      </w:r>
      <w:r>
        <w:rPr>
          <w:noProof/>
        </w:rPr>
        <w:instrText>297</w:instrText>
      </w:r>
      <w:r>
        <w:rPr>
          <w:noProof/>
        </w:rPr>
        <w:fldChar w:fldCharType="end"/>
      </w:r>
      <w:r>
        <w:rPr>
          <w:noProof/>
        </w:rPr>
        <w:fldChar w:fldCharType="end"/>
      </w:r>
    </w:p>
    <w:p w:rsidR="00B72047" w:rsidRDefault="00B72047">
      <w:pPr>
        <w:pStyle w:val="TOC2"/>
        <w:rPr>
          <w:noProof/>
        </w:rPr>
      </w:pPr>
      <w:r>
        <w:rPr>
          <w:noProof/>
        </w:rPr>
        <w:t>1. What are attitudinal indicators?</w:t>
      </w:r>
      <w:r>
        <w:rPr>
          <w:noProof/>
        </w:rPr>
        <w:tab/>
      </w:r>
      <w:r>
        <w:rPr>
          <w:noProof/>
        </w:rPr>
        <w:fldChar w:fldCharType="begin"/>
      </w:r>
      <w:r>
        <w:rPr>
          <w:noProof/>
        </w:rPr>
        <w:instrText xml:space="preserve"> GOTOBUTTON _Toc398970638  </w:instrText>
      </w:r>
      <w:r>
        <w:rPr>
          <w:noProof/>
        </w:rPr>
        <w:fldChar w:fldCharType="begin"/>
      </w:r>
      <w:r>
        <w:rPr>
          <w:noProof/>
        </w:rPr>
        <w:instrText xml:space="preserve"> PAGEREF _Toc398970638 </w:instrText>
      </w:r>
      <w:r>
        <w:rPr>
          <w:noProof/>
        </w:rPr>
        <w:fldChar w:fldCharType="separate"/>
      </w:r>
      <w:r>
        <w:rPr>
          <w:noProof/>
        </w:rPr>
        <w:instrText>297</w:instrText>
      </w:r>
      <w:r>
        <w:rPr>
          <w:noProof/>
        </w:rPr>
        <w:fldChar w:fldCharType="end"/>
      </w:r>
      <w:r>
        <w:rPr>
          <w:noProof/>
        </w:rPr>
        <w:fldChar w:fldCharType="end"/>
      </w:r>
    </w:p>
    <w:p w:rsidR="00B72047" w:rsidRDefault="00B72047">
      <w:pPr>
        <w:pStyle w:val="TOC2"/>
        <w:rPr>
          <w:noProof/>
        </w:rPr>
      </w:pPr>
      <w:r>
        <w:rPr>
          <w:noProof/>
        </w:rPr>
        <w:t>2. Pure emotion indicators</w:t>
      </w:r>
      <w:r>
        <w:rPr>
          <w:noProof/>
        </w:rPr>
        <w:tab/>
      </w:r>
      <w:r>
        <w:rPr>
          <w:noProof/>
        </w:rPr>
        <w:fldChar w:fldCharType="begin"/>
      </w:r>
      <w:r>
        <w:rPr>
          <w:noProof/>
        </w:rPr>
        <w:instrText xml:space="preserve"> GOTOBUTTON _Toc398970639  </w:instrText>
      </w:r>
      <w:r>
        <w:rPr>
          <w:noProof/>
        </w:rPr>
        <w:fldChar w:fldCharType="begin"/>
      </w:r>
      <w:r>
        <w:rPr>
          <w:noProof/>
        </w:rPr>
        <w:instrText xml:space="preserve"> PAGEREF _Toc398970639 </w:instrText>
      </w:r>
      <w:r>
        <w:rPr>
          <w:noProof/>
        </w:rPr>
        <w:fldChar w:fldCharType="separate"/>
      </w:r>
      <w:r>
        <w:rPr>
          <w:noProof/>
        </w:rPr>
        <w:instrText>298</w:instrText>
      </w:r>
      <w:r>
        <w:rPr>
          <w:noProof/>
        </w:rPr>
        <w:fldChar w:fldCharType="end"/>
      </w:r>
      <w:r>
        <w:rPr>
          <w:noProof/>
        </w:rPr>
        <w:fldChar w:fldCharType="end"/>
      </w:r>
    </w:p>
    <w:p w:rsidR="00B72047" w:rsidRDefault="00B72047">
      <w:pPr>
        <w:pStyle w:val="TOC2"/>
        <w:rPr>
          <w:noProof/>
        </w:rPr>
      </w:pPr>
      <w:r>
        <w:rPr>
          <w:noProof/>
        </w:rPr>
        <w:t>3. Propositional attitude indicators</w:t>
      </w:r>
      <w:r>
        <w:rPr>
          <w:noProof/>
        </w:rPr>
        <w:tab/>
      </w:r>
      <w:r>
        <w:rPr>
          <w:noProof/>
        </w:rPr>
        <w:fldChar w:fldCharType="begin"/>
      </w:r>
      <w:r>
        <w:rPr>
          <w:noProof/>
        </w:rPr>
        <w:instrText xml:space="preserve"> GOTOBUTTON _Toc398970640  </w:instrText>
      </w:r>
      <w:r>
        <w:rPr>
          <w:noProof/>
        </w:rPr>
        <w:fldChar w:fldCharType="begin"/>
      </w:r>
      <w:r>
        <w:rPr>
          <w:noProof/>
        </w:rPr>
        <w:instrText xml:space="preserve"> PAGEREF _Toc398970640 </w:instrText>
      </w:r>
      <w:r>
        <w:rPr>
          <w:noProof/>
        </w:rPr>
        <w:fldChar w:fldCharType="separate"/>
      </w:r>
      <w:r>
        <w:rPr>
          <w:noProof/>
        </w:rPr>
        <w:instrText>301</w:instrText>
      </w:r>
      <w:r>
        <w:rPr>
          <w:noProof/>
        </w:rPr>
        <w:fldChar w:fldCharType="end"/>
      </w:r>
      <w:r>
        <w:rPr>
          <w:noProof/>
        </w:rPr>
        <w:fldChar w:fldCharType="end"/>
      </w:r>
    </w:p>
    <w:p w:rsidR="00B72047" w:rsidRDefault="00B72047">
      <w:pPr>
        <w:pStyle w:val="TOC2"/>
        <w:rPr>
          <w:noProof/>
        </w:rPr>
      </w:pPr>
      <w:r>
        <w:rPr>
          <w:noProof/>
        </w:rPr>
        <w:t>4. Attitudes as scales</w:t>
      </w:r>
      <w:r>
        <w:rPr>
          <w:noProof/>
        </w:rPr>
        <w:tab/>
      </w:r>
      <w:r>
        <w:rPr>
          <w:noProof/>
        </w:rPr>
        <w:fldChar w:fldCharType="begin"/>
      </w:r>
      <w:r>
        <w:rPr>
          <w:noProof/>
        </w:rPr>
        <w:instrText xml:space="preserve"> GOTOBUTTON _Toc398970641  </w:instrText>
      </w:r>
      <w:r>
        <w:rPr>
          <w:noProof/>
        </w:rPr>
        <w:fldChar w:fldCharType="begin"/>
      </w:r>
      <w:r>
        <w:rPr>
          <w:noProof/>
        </w:rPr>
        <w:instrText xml:space="preserve"> PAGEREF _Toc398970641 </w:instrText>
      </w:r>
      <w:r>
        <w:rPr>
          <w:noProof/>
        </w:rPr>
        <w:fldChar w:fldCharType="separate"/>
      </w:r>
      <w:r>
        <w:rPr>
          <w:noProof/>
        </w:rPr>
        <w:instrText>304</w:instrText>
      </w:r>
      <w:r>
        <w:rPr>
          <w:noProof/>
        </w:rPr>
        <w:fldChar w:fldCharType="end"/>
      </w:r>
      <w:r>
        <w:rPr>
          <w:noProof/>
        </w:rPr>
        <w:fldChar w:fldCharType="end"/>
      </w:r>
    </w:p>
    <w:p w:rsidR="00B72047" w:rsidRDefault="00B72047">
      <w:pPr>
        <w:pStyle w:val="TOC2"/>
        <w:rPr>
          <w:noProof/>
        </w:rPr>
      </w:pPr>
      <w:r>
        <w:rPr>
          <w:noProof/>
        </w:rPr>
        <w:t>5. The space of emotions</w:t>
      </w:r>
      <w:r>
        <w:rPr>
          <w:noProof/>
        </w:rPr>
        <w:tab/>
      </w:r>
      <w:r>
        <w:rPr>
          <w:noProof/>
        </w:rPr>
        <w:fldChar w:fldCharType="begin"/>
      </w:r>
      <w:r>
        <w:rPr>
          <w:noProof/>
        </w:rPr>
        <w:instrText xml:space="preserve"> GOTOBUTTON _Toc398970642  </w:instrText>
      </w:r>
      <w:r>
        <w:rPr>
          <w:noProof/>
        </w:rPr>
        <w:fldChar w:fldCharType="begin"/>
      </w:r>
      <w:r>
        <w:rPr>
          <w:noProof/>
        </w:rPr>
        <w:instrText xml:space="preserve"> PAGEREF _Toc398970642 </w:instrText>
      </w:r>
      <w:r>
        <w:rPr>
          <w:noProof/>
        </w:rPr>
        <w:fldChar w:fldCharType="separate"/>
      </w:r>
      <w:r>
        <w:rPr>
          <w:noProof/>
        </w:rPr>
        <w:instrText>306</w:instrText>
      </w:r>
      <w:r>
        <w:rPr>
          <w:noProof/>
        </w:rPr>
        <w:fldChar w:fldCharType="end"/>
      </w:r>
      <w:r>
        <w:rPr>
          <w:noProof/>
        </w:rPr>
        <w:fldChar w:fldCharType="end"/>
      </w:r>
    </w:p>
    <w:p w:rsidR="00B72047" w:rsidRDefault="00B72047">
      <w:pPr>
        <w:pStyle w:val="TOC2"/>
        <w:rPr>
          <w:noProof/>
        </w:rPr>
      </w:pPr>
      <w:r>
        <w:rPr>
          <w:noProof/>
        </w:rPr>
        <w:t>6. Emotional categories</w:t>
      </w:r>
      <w:r>
        <w:rPr>
          <w:noProof/>
        </w:rPr>
        <w:tab/>
      </w:r>
      <w:r>
        <w:rPr>
          <w:noProof/>
        </w:rPr>
        <w:fldChar w:fldCharType="begin"/>
      </w:r>
      <w:r>
        <w:rPr>
          <w:noProof/>
        </w:rPr>
        <w:instrText xml:space="preserve"> GOTOBUTTON _Toc398970643  </w:instrText>
      </w:r>
      <w:r>
        <w:rPr>
          <w:noProof/>
        </w:rPr>
        <w:fldChar w:fldCharType="begin"/>
      </w:r>
      <w:r>
        <w:rPr>
          <w:noProof/>
        </w:rPr>
        <w:instrText xml:space="preserve"> PAGEREF _Toc398970643 </w:instrText>
      </w:r>
      <w:r>
        <w:rPr>
          <w:noProof/>
        </w:rPr>
        <w:fldChar w:fldCharType="separate"/>
      </w:r>
      <w:r>
        <w:rPr>
          <w:noProof/>
        </w:rPr>
        <w:instrText>306</w:instrText>
      </w:r>
      <w:r>
        <w:rPr>
          <w:noProof/>
        </w:rPr>
        <w:fldChar w:fldCharType="end"/>
      </w:r>
      <w:r>
        <w:rPr>
          <w:noProof/>
        </w:rPr>
        <w:fldChar w:fldCharType="end"/>
      </w:r>
    </w:p>
    <w:p w:rsidR="00B72047" w:rsidRDefault="00B72047">
      <w:pPr>
        <w:pStyle w:val="TOC2"/>
        <w:rPr>
          <w:noProof/>
        </w:rPr>
      </w:pPr>
      <w:r>
        <w:rPr>
          <w:noProof/>
        </w:rPr>
        <w:t>7. Attitudinal modifiers</w:t>
      </w:r>
      <w:r>
        <w:rPr>
          <w:noProof/>
        </w:rPr>
        <w:tab/>
      </w:r>
      <w:r>
        <w:rPr>
          <w:noProof/>
        </w:rPr>
        <w:fldChar w:fldCharType="begin"/>
      </w:r>
      <w:r>
        <w:rPr>
          <w:noProof/>
        </w:rPr>
        <w:instrText xml:space="preserve"> GOTOBUTTON _Toc398970644  </w:instrText>
      </w:r>
      <w:r>
        <w:rPr>
          <w:noProof/>
        </w:rPr>
        <w:fldChar w:fldCharType="begin"/>
      </w:r>
      <w:r>
        <w:rPr>
          <w:noProof/>
        </w:rPr>
        <w:instrText xml:space="preserve"> PAGEREF _Toc398970644 </w:instrText>
      </w:r>
      <w:r>
        <w:rPr>
          <w:noProof/>
        </w:rPr>
        <w:fldChar w:fldCharType="separate"/>
      </w:r>
      <w:r>
        <w:rPr>
          <w:noProof/>
        </w:rPr>
        <w:instrText>308</w:instrText>
      </w:r>
      <w:r>
        <w:rPr>
          <w:noProof/>
        </w:rPr>
        <w:fldChar w:fldCharType="end"/>
      </w:r>
      <w:r>
        <w:rPr>
          <w:noProof/>
        </w:rPr>
        <w:fldChar w:fldCharType="end"/>
      </w:r>
    </w:p>
    <w:p w:rsidR="00B72047" w:rsidRDefault="00B72047">
      <w:pPr>
        <w:pStyle w:val="TOC2"/>
        <w:rPr>
          <w:noProof/>
        </w:rPr>
      </w:pPr>
      <w:r>
        <w:rPr>
          <w:noProof/>
        </w:rPr>
        <w:t>8. Compound indicators</w:t>
      </w:r>
      <w:r>
        <w:rPr>
          <w:noProof/>
        </w:rPr>
        <w:tab/>
      </w:r>
      <w:r>
        <w:rPr>
          <w:noProof/>
        </w:rPr>
        <w:fldChar w:fldCharType="begin"/>
      </w:r>
      <w:r>
        <w:rPr>
          <w:noProof/>
        </w:rPr>
        <w:instrText xml:space="preserve"> GOTOBUTTON _Toc398970645  </w:instrText>
      </w:r>
      <w:r>
        <w:rPr>
          <w:noProof/>
        </w:rPr>
        <w:fldChar w:fldCharType="begin"/>
      </w:r>
      <w:r>
        <w:rPr>
          <w:noProof/>
        </w:rPr>
        <w:instrText xml:space="preserve"> PAGEREF _Toc398970645 </w:instrText>
      </w:r>
      <w:r>
        <w:rPr>
          <w:noProof/>
        </w:rPr>
        <w:fldChar w:fldCharType="separate"/>
      </w:r>
      <w:r>
        <w:rPr>
          <w:noProof/>
        </w:rPr>
        <w:instrText>310</w:instrText>
      </w:r>
      <w:r>
        <w:rPr>
          <w:noProof/>
        </w:rPr>
        <w:fldChar w:fldCharType="end"/>
      </w:r>
      <w:r>
        <w:rPr>
          <w:noProof/>
        </w:rPr>
        <w:fldChar w:fldCharType="end"/>
      </w:r>
    </w:p>
    <w:p w:rsidR="00B72047" w:rsidRDefault="00B72047">
      <w:pPr>
        <w:pStyle w:val="TOC2"/>
        <w:rPr>
          <w:noProof/>
        </w:rPr>
      </w:pPr>
      <w:r>
        <w:rPr>
          <w:noProof/>
        </w:rPr>
        <w:t>9. The uses of indicators</w:t>
      </w:r>
      <w:r>
        <w:rPr>
          <w:noProof/>
        </w:rPr>
        <w:tab/>
      </w:r>
      <w:r>
        <w:rPr>
          <w:noProof/>
        </w:rPr>
        <w:fldChar w:fldCharType="begin"/>
      </w:r>
      <w:r>
        <w:rPr>
          <w:noProof/>
        </w:rPr>
        <w:instrText xml:space="preserve"> GOTOBUTTON _Toc398970646  </w:instrText>
      </w:r>
      <w:r>
        <w:rPr>
          <w:noProof/>
        </w:rPr>
        <w:fldChar w:fldCharType="begin"/>
      </w:r>
      <w:r>
        <w:rPr>
          <w:noProof/>
        </w:rPr>
        <w:instrText xml:space="preserve"> PAGEREF _Toc398970646 </w:instrText>
      </w:r>
      <w:r>
        <w:rPr>
          <w:noProof/>
        </w:rPr>
        <w:fldChar w:fldCharType="separate"/>
      </w:r>
      <w:r>
        <w:rPr>
          <w:noProof/>
        </w:rPr>
        <w:instrText>312</w:instrText>
      </w:r>
      <w:r>
        <w:rPr>
          <w:noProof/>
        </w:rPr>
        <w:fldChar w:fldCharType="end"/>
      </w:r>
      <w:r>
        <w:rPr>
          <w:noProof/>
        </w:rPr>
        <w:fldChar w:fldCharType="end"/>
      </w:r>
    </w:p>
    <w:p w:rsidR="00B72047" w:rsidRDefault="00B72047">
      <w:pPr>
        <w:pStyle w:val="TOC2"/>
        <w:rPr>
          <w:noProof/>
        </w:rPr>
      </w:pPr>
      <w:r>
        <w:rPr>
          <w:noProof/>
        </w:rPr>
        <w:t>10. Attitude questions; empathy; attitude contours</w:t>
      </w:r>
      <w:r>
        <w:rPr>
          <w:noProof/>
        </w:rPr>
        <w:tab/>
      </w:r>
      <w:r>
        <w:rPr>
          <w:noProof/>
        </w:rPr>
        <w:fldChar w:fldCharType="begin"/>
      </w:r>
      <w:r>
        <w:rPr>
          <w:noProof/>
        </w:rPr>
        <w:instrText xml:space="preserve"> GOTOBUTTON _Toc398970647  </w:instrText>
      </w:r>
      <w:r>
        <w:rPr>
          <w:noProof/>
        </w:rPr>
        <w:fldChar w:fldCharType="begin"/>
      </w:r>
      <w:r>
        <w:rPr>
          <w:noProof/>
        </w:rPr>
        <w:instrText xml:space="preserve"> PAGEREF _Toc398970647 </w:instrText>
      </w:r>
      <w:r>
        <w:rPr>
          <w:noProof/>
        </w:rPr>
        <w:fldChar w:fldCharType="separate"/>
      </w:r>
      <w:r>
        <w:rPr>
          <w:noProof/>
        </w:rPr>
        <w:instrText>313</w:instrText>
      </w:r>
      <w:r>
        <w:rPr>
          <w:noProof/>
        </w:rPr>
        <w:fldChar w:fldCharType="end"/>
      </w:r>
      <w:r>
        <w:rPr>
          <w:noProof/>
        </w:rPr>
        <w:fldChar w:fldCharType="end"/>
      </w:r>
    </w:p>
    <w:p w:rsidR="00B72047" w:rsidRDefault="00B72047">
      <w:pPr>
        <w:pStyle w:val="TOC2"/>
        <w:rPr>
          <w:noProof/>
        </w:rPr>
      </w:pPr>
      <w:r>
        <w:rPr>
          <w:noProof/>
        </w:rPr>
        <w:t>11. Evidentials</w:t>
      </w:r>
      <w:r>
        <w:rPr>
          <w:noProof/>
        </w:rPr>
        <w:tab/>
      </w:r>
      <w:r>
        <w:rPr>
          <w:noProof/>
        </w:rPr>
        <w:fldChar w:fldCharType="begin"/>
      </w:r>
      <w:r>
        <w:rPr>
          <w:noProof/>
        </w:rPr>
        <w:instrText xml:space="preserve"> GOTOBUTTON _Toc398970648  </w:instrText>
      </w:r>
      <w:r>
        <w:rPr>
          <w:noProof/>
        </w:rPr>
        <w:fldChar w:fldCharType="begin"/>
      </w:r>
      <w:r>
        <w:rPr>
          <w:noProof/>
        </w:rPr>
        <w:instrText xml:space="preserve"> PAGEREF _Toc398970648 </w:instrText>
      </w:r>
      <w:r>
        <w:rPr>
          <w:noProof/>
        </w:rPr>
        <w:fldChar w:fldCharType="separate"/>
      </w:r>
      <w:r>
        <w:rPr>
          <w:noProof/>
        </w:rPr>
        <w:instrText>315</w:instrText>
      </w:r>
      <w:r>
        <w:rPr>
          <w:noProof/>
        </w:rPr>
        <w:fldChar w:fldCharType="end"/>
      </w:r>
      <w:r>
        <w:rPr>
          <w:noProof/>
        </w:rPr>
        <w:fldChar w:fldCharType="end"/>
      </w:r>
    </w:p>
    <w:p w:rsidR="00B72047" w:rsidRDefault="00B72047">
      <w:pPr>
        <w:pStyle w:val="TOC2"/>
        <w:rPr>
          <w:noProof/>
        </w:rPr>
      </w:pPr>
      <w:r>
        <w:rPr>
          <w:noProof/>
        </w:rPr>
        <w:t>12. Discursives</w:t>
      </w:r>
      <w:r>
        <w:rPr>
          <w:noProof/>
        </w:rPr>
        <w:tab/>
      </w:r>
      <w:r>
        <w:rPr>
          <w:noProof/>
        </w:rPr>
        <w:fldChar w:fldCharType="begin"/>
      </w:r>
      <w:r>
        <w:rPr>
          <w:noProof/>
        </w:rPr>
        <w:instrText xml:space="preserve"> GOTOBUTTON _Toc398970649  </w:instrText>
      </w:r>
      <w:r>
        <w:rPr>
          <w:noProof/>
        </w:rPr>
        <w:fldChar w:fldCharType="begin"/>
      </w:r>
      <w:r>
        <w:rPr>
          <w:noProof/>
        </w:rPr>
        <w:instrText xml:space="preserve"> PAGEREF _Toc398970649 </w:instrText>
      </w:r>
      <w:r>
        <w:rPr>
          <w:noProof/>
        </w:rPr>
        <w:fldChar w:fldCharType="separate"/>
      </w:r>
      <w:r>
        <w:rPr>
          <w:noProof/>
        </w:rPr>
        <w:instrText>317</w:instrText>
      </w:r>
      <w:r>
        <w:rPr>
          <w:noProof/>
        </w:rPr>
        <w:fldChar w:fldCharType="end"/>
      </w:r>
      <w:r>
        <w:rPr>
          <w:noProof/>
        </w:rPr>
        <w:fldChar w:fldCharType="end"/>
      </w:r>
    </w:p>
    <w:p w:rsidR="00B72047" w:rsidRDefault="00B72047">
      <w:pPr>
        <w:pStyle w:val="TOC2"/>
        <w:rPr>
          <w:noProof/>
        </w:rPr>
      </w:pPr>
      <w:r>
        <w:rPr>
          <w:noProof/>
        </w:rPr>
        <w:t>13. Miscellaneous indicators</w:t>
      </w:r>
      <w:r>
        <w:rPr>
          <w:noProof/>
        </w:rPr>
        <w:tab/>
      </w:r>
      <w:r>
        <w:rPr>
          <w:noProof/>
        </w:rPr>
        <w:fldChar w:fldCharType="begin"/>
      </w:r>
      <w:r>
        <w:rPr>
          <w:noProof/>
        </w:rPr>
        <w:instrText xml:space="preserve"> GOTOBUTTON _Toc398970650  </w:instrText>
      </w:r>
      <w:r>
        <w:rPr>
          <w:noProof/>
        </w:rPr>
        <w:fldChar w:fldCharType="begin"/>
      </w:r>
      <w:r>
        <w:rPr>
          <w:noProof/>
        </w:rPr>
        <w:instrText xml:space="preserve"> PAGEREF _Toc398970650 </w:instrText>
      </w:r>
      <w:r>
        <w:rPr>
          <w:noProof/>
        </w:rPr>
        <w:fldChar w:fldCharType="separate"/>
      </w:r>
      <w:r>
        <w:rPr>
          <w:noProof/>
        </w:rPr>
        <w:instrText>320</w:instrText>
      </w:r>
      <w:r>
        <w:rPr>
          <w:noProof/>
        </w:rPr>
        <w:fldChar w:fldCharType="end"/>
      </w:r>
      <w:r>
        <w:rPr>
          <w:noProof/>
        </w:rPr>
        <w:fldChar w:fldCharType="end"/>
      </w:r>
    </w:p>
    <w:p w:rsidR="00B72047" w:rsidRDefault="00B72047">
      <w:pPr>
        <w:pStyle w:val="TOC2"/>
        <w:rPr>
          <w:noProof/>
        </w:rPr>
      </w:pPr>
      <w:r>
        <w:rPr>
          <w:noProof/>
        </w:rPr>
        <w:t>14. Vocative scales</w:t>
      </w:r>
      <w:r>
        <w:rPr>
          <w:noProof/>
        </w:rPr>
        <w:tab/>
      </w:r>
      <w:r>
        <w:rPr>
          <w:noProof/>
        </w:rPr>
        <w:fldChar w:fldCharType="begin"/>
      </w:r>
      <w:r>
        <w:rPr>
          <w:noProof/>
        </w:rPr>
        <w:instrText xml:space="preserve"> GOTOBUTTON _Toc398970651  </w:instrText>
      </w:r>
      <w:r>
        <w:rPr>
          <w:noProof/>
        </w:rPr>
        <w:fldChar w:fldCharType="begin"/>
      </w:r>
      <w:r>
        <w:rPr>
          <w:noProof/>
        </w:rPr>
        <w:instrText xml:space="preserve"> PAGEREF _Toc398970651 </w:instrText>
      </w:r>
      <w:r>
        <w:rPr>
          <w:noProof/>
        </w:rPr>
        <w:fldChar w:fldCharType="separate"/>
      </w:r>
      <w:r>
        <w:rPr>
          <w:noProof/>
        </w:rPr>
        <w:instrText>323</w:instrText>
      </w:r>
      <w:r>
        <w:rPr>
          <w:noProof/>
        </w:rPr>
        <w:fldChar w:fldCharType="end"/>
      </w:r>
      <w:r>
        <w:rPr>
          <w:noProof/>
        </w:rPr>
        <w:fldChar w:fldCharType="end"/>
      </w:r>
    </w:p>
    <w:p w:rsidR="00B72047" w:rsidRDefault="00B72047">
      <w:pPr>
        <w:pStyle w:val="TOC2"/>
        <w:rPr>
          <w:noProof/>
        </w:rPr>
      </w:pPr>
      <w:r>
        <w:rPr>
          <w:noProof/>
        </w:rPr>
        <w:t>15. A sample dialogue</w:t>
      </w:r>
      <w:r>
        <w:rPr>
          <w:noProof/>
        </w:rPr>
        <w:tab/>
      </w:r>
      <w:r>
        <w:rPr>
          <w:noProof/>
        </w:rPr>
        <w:fldChar w:fldCharType="begin"/>
      </w:r>
      <w:r>
        <w:rPr>
          <w:noProof/>
        </w:rPr>
        <w:instrText xml:space="preserve"> GOTOBUTTON _Toc398970652  </w:instrText>
      </w:r>
      <w:r>
        <w:rPr>
          <w:noProof/>
        </w:rPr>
        <w:fldChar w:fldCharType="begin"/>
      </w:r>
      <w:r>
        <w:rPr>
          <w:noProof/>
        </w:rPr>
        <w:instrText xml:space="preserve"> PAGEREF _Toc398970652 </w:instrText>
      </w:r>
      <w:r>
        <w:rPr>
          <w:noProof/>
        </w:rPr>
        <w:fldChar w:fldCharType="separate"/>
      </w:r>
      <w:r>
        <w:rPr>
          <w:noProof/>
        </w:rPr>
        <w:instrText>326</w:instrText>
      </w:r>
      <w:r>
        <w:rPr>
          <w:noProof/>
        </w:rPr>
        <w:fldChar w:fldCharType="end"/>
      </w:r>
      <w:r>
        <w:rPr>
          <w:noProof/>
        </w:rPr>
        <w:fldChar w:fldCharType="end"/>
      </w:r>
    </w:p>
    <w:p w:rsidR="00B72047" w:rsidRDefault="00B72047">
      <w:pPr>
        <w:pStyle w:val="TOC2"/>
        <w:rPr>
          <w:noProof/>
        </w:rPr>
      </w:pPr>
      <w:r>
        <w:rPr>
          <w:noProof/>
        </w:rPr>
        <w:t>16. Tentative conclusion</w:t>
      </w:r>
      <w:r>
        <w:rPr>
          <w:noProof/>
        </w:rPr>
        <w:tab/>
      </w:r>
      <w:r>
        <w:rPr>
          <w:noProof/>
        </w:rPr>
        <w:fldChar w:fldCharType="begin"/>
      </w:r>
      <w:r>
        <w:rPr>
          <w:noProof/>
        </w:rPr>
        <w:instrText xml:space="preserve"> GOTOBUTTON _Toc398970653  </w:instrText>
      </w:r>
      <w:r>
        <w:rPr>
          <w:noProof/>
        </w:rPr>
        <w:fldChar w:fldCharType="begin"/>
      </w:r>
      <w:r>
        <w:rPr>
          <w:noProof/>
        </w:rPr>
        <w:instrText xml:space="preserve"> PAGEREF _Toc398970653 </w:instrText>
      </w:r>
      <w:r>
        <w:rPr>
          <w:noProof/>
        </w:rPr>
        <w:fldChar w:fldCharType="separate"/>
      </w:r>
      <w:r>
        <w:rPr>
          <w:noProof/>
        </w:rPr>
        <w:instrText>329</w:instrText>
      </w:r>
      <w:r>
        <w:rPr>
          <w:noProof/>
        </w:rPr>
        <w:fldChar w:fldCharType="end"/>
      </w:r>
      <w:r>
        <w:rPr>
          <w:noProof/>
        </w:rPr>
        <w:fldChar w:fldCharType="end"/>
      </w:r>
    </w:p>
    <w:p w:rsidR="00B72047" w:rsidRDefault="00B72047">
      <w:pPr>
        <w:pStyle w:val="TOC1"/>
        <w:rPr>
          <w:noProof/>
        </w:rPr>
      </w:pPr>
      <w:r>
        <w:rPr>
          <w:noProof/>
        </w:rPr>
        <w:t>Chapter 14  If Wishes Were Horses: The Lojban Connective System</w:t>
      </w:r>
      <w:r>
        <w:rPr>
          <w:noProof/>
        </w:rPr>
        <w:tab/>
      </w:r>
      <w:r>
        <w:rPr>
          <w:noProof/>
        </w:rPr>
        <w:fldChar w:fldCharType="begin"/>
      </w:r>
      <w:r>
        <w:rPr>
          <w:noProof/>
        </w:rPr>
        <w:instrText xml:space="preserve"> GOTOBUTTON _Toc398970655  </w:instrText>
      </w:r>
      <w:r>
        <w:rPr>
          <w:noProof/>
        </w:rPr>
        <w:fldChar w:fldCharType="begin"/>
      </w:r>
      <w:r>
        <w:rPr>
          <w:noProof/>
        </w:rPr>
        <w:instrText xml:space="preserve"> PAGEREF _Toc398970655 </w:instrText>
      </w:r>
      <w:r>
        <w:rPr>
          <w:noProof/>
        </w:rPr>
        <w:fldChar w:fldCharType="separate"/>
      </w:r>
      <w:r>
        <w:rPr>
          <w:noProof/>
        </w:rPr>
        <w:instrText>333</w:instrText>
      </w:r>
      <w:r>
        <w:rPr>
          <w:noProof/>
        </w:rPr>
        <w:fldChar w:fldCharType="end"/>
      </w:r>
      <w:r>
        <w:rPr>
          <w:noProof/>
        </w:rPr>
        <w:fldChar w:fldCharType="end"/>
      </w:r>
    </w:p>
    <w:p w:rsidR="00B72047" w:rsidRDefault="00B72047">
      <w:pPr>
        <w:pStyle w:val="TOC2"/>
        <w:rPr>
          <w:noProof/>
        </w:rPr>
      </w:pPr>
      <w:r>
        <w:rPr>
          <w:noProof/>
        </w:rPr>
        <w:t>1. Logical connection and truth tables</w:t>
      </w:r>
      <w:r>
        <w:rPr>
          <w:noProof/>
        </w:rPr>
        <w:tab/>
      </w:r>
      <w:r>
        <w:rPr>
          <w:noProof/>
        </w:rPr>
        <w:fldChar w:fldCharType="begin"/>
      </w:r>
      <w:r>
        <w:rPr>
          <w:noProof/>
        </w:rPr>
        <w:instrText xml:space="preserve"> GOTOBUTTON _Toc398970656  </w:instrText>
      </w:r>
      <w:r>
        <w:rPr>
          <w:noProof/>
        </w:rPr>
        <w:fldChar w:fldCharType="begin"/>
      </w:r>
      <w:r>
        <w:rPr>
          <w:noProof/>
        </w:rPr>
        <w:instrText xml:space="preserve"> PAGEREF _Toc398970656 </w:instrText>
      </w:r>
      <w:r>
        <w:rPr>
          <w:noProof/>
        </w:rPr>
        <w:fldChar w:fldCharType="separate"/>
      </w:r>
      <w:r>
        <w:rPr>
          <w:noProof/>
        </w:rPr>
        <w:instrText>333</w:instrText>
      </w:r>
      <w:r>
        <w:rPr>
          <w:noProof/>
        </w:rPr>
        <w:fldChar w:fldCharType="end"/>
      </w:r>
      <w:r>
        <w:rPr>
          <w:noProof/>
        </w:rPr>
        <w:fldChar w:fldCharType="end"/>
      </w:r>
    </w:p>
    <w:p w:rsidR="00B72047" w:rsidRDefault="00B72047">
      <w:pPr>
        <w:pStyle w:val="TOC2"/>
        <w:rPr>
          <w:noProof/>
        </w:rPr>
      </w:pPr>
      <w:r>
        <w:rPr>
          <w:noProof/>
        </w:rPr>
        <w:t>2. The four basic vowels</w:t>
      </w:r>
      <w:r>
        <w:rPr>
          <w:noProof/>
        </w:rPr>
        <w:tab/>
      </w:r>
      <w:r>
        <w:rPr>
          <w:noProof/>
        </w:rPr>
        <w:fldChar w:fldCharType="begin"/>
      </w:r>
      <w:r>
        <w:rPr>
          <w:noProof/>
        </w:rPr>
        <w:instrText xml:space="preserve"> GOTOBUTTON _Toc398970657  </w:instrText>
      </w:r>
      <w:r>
        <w:rPr>
          <w:noProof/>
        </w:rPr>
        <w:fldChar w:fldCharType="begin"/>
      </w:r>
      <w:r>
        <w:rPr>
          <w:noProof/>
        </w:rPr>
        <w:instrText xml:space="preserve"> PAGEREF _Toc398970657 </w:instrText>
      </w:r>
      <w:r>
        <w:rPr>
          <w:noProof/>
        </w:rPr>
        <w:fldChar w:fldCharType="separate"/>
      </w:r>
      <w:r>
        <w:rPr>
          <w:noProof/>
        </w:rPr>
        <w:instrText>334</w:instrText>
      </w:r>
      <w:r>
        <w:rPr>
          <w:noProof/>
        </w:rPr>
        <w:fldChar w:fldCharType="end"/>
      </w:r>
      <w:r>
        <w:rPr>
          <w:noProof/>
        </w:rPr>
        <w:fldChar w:fldCharType="end"/>
      </w:r>
    </w:p>
    <w:p w:rsidR="00B72047" w:rsidRDefault="00B72047">
      <w:pPr>
        <w:pStyle w:val="TOC2"/>
        <w:rPr>
          <w:noProof/>
        </w:rPr>
      </w:pPr>
      <w:r>
        <w:rPr>
          <w:noProof/>
        </w:rPr>
        <w:t>3. The six types of logical connectives</w:t>
      </w:r>
      <w:r>
        <w:rPr>
          <w:noProof/>
        </w:rPr>
        <w:tab/>
      </w:r>
      <w:r>
        <w:rPr>
          <w:noProof/>
        </w:rPr>
        <w:fldChar w:fldCharType="begin"/>
      </w:r>
      <w:r>
        <w:rPr>
          <w:noProof/>
        </w:rPr>
        <w:instrText xml:space="preserve"> GOTOBUTTON _Toc398970658  </w:instrText>
      </w:r>
      <w:r>
        <w:rPr>
          <w:noProof/>
        </w:rPr>
        <w:fldChar w:fldCharType="begin"/>
      </w:r>
      <w:r>
        <w:rPr>
          <w:noProof/>
        </w:rPr>
        <w:instrText xml:space="preserve"> PAGEREF _Toc398970658 </w:instrText>
      </w:r>
      <w:r>
        <w:rPr>
          <w:noProof/>
        </w:rPr>
        <w:fldChar w:fldCharType="separate"/>
      </w:r>
      <w:r>
        <w:rPr>
          <w:noProof/>
        </w:rPr>
        <w:instrText>335</w:instrText>
      </w:r>
      <w:r>
        <w:rPr>
          <w:noProof/>
        </w:rPr>
        <w:fldChar w:fldCharType="end"/>
      </w:r>
      <w:r>
        <w:rPr>
          <w:noProof/>
        </w:rPr>
        <w:fldChar w:fldCharType="end"/>
      </w:r>
    </w:p>
    <w:p w:rsidR="00B72047" w:rsidRDefault="00B72047">
      <w:pPr>
        <w:pStyle w:val="TOC2"/>
        <w:rPr>
          <w:noProof/>
        </w:rPr>
      </w:pPr>
      <w:r>
        <w:rPr>
          <w:noProof/>
        </w:rPr>
        <w:t>4. Logical connection of bridi</w:t>
      </w:r>
      <w:r>
        <w:rPr>
          <w:noProof/>
        </w:rPr>
        <w:tab/>
      </w:r>
      <w:r>
        <w:rPr>
          <w:noProof/>
        </w:rPr>
        <w:fldChar w:fldCharType="begin"/>
      </w:r>
      <w:r>
        <w:rPr>
          <w:noProof/>
        </w:rPr>
        <w:instrText xml:space="preserve"> GOTOBUTTON _Toc398970659  </w:instrText>
      </w:r>
      <w:r>
        <w:rPr>
          <w:noProof/>
        </w:rPr>
        <w:fldChar w:fldCharType="begin"/>
      </w:r>
      <w:r>
        <w:rPr>
          <w:noProof/>
        </w:rPr>
        <w:instrText xml:space="preserve"> PAGEREF _Toc398970659 </w:instrText>
      </w:r>
      <w:r>
        <w:rPr>
          <w:noProof/>
        </w:rPr>
        <w:fldChar w:fldCharType="separate"/>
      </w:r>
      <w:r>
        <w:rPr>
          <w:noProof/>
        </w:rPr>
        <w:instrText>336</w:instrText>
      </w:r>
      <w:r>
        <w:rPr>
          <w:noProof/>
        </w:rPr>
        <w:fldChar w:fldCharType="end"/>
      </w:r>
      <w:r>
        <w:rPr>
          <w:noProof/>
        </w:rPr>
        <w:fldChar w:fldCharType="end"/>
      </w:r>
    </w:p>
    <w:p w:rsidR="00B72047" w:rsidRDefault="00B72047">
      <w:pPr>
        <w:pStyle w:val="TOC2"/>
        <w:rPr>
          <w:noProof/>
        </w:rPr>
      </w:pPr>
      <w:r>
        <w:rPr>
          <w:noProof/>
        </w:rPr>
        <w:t>5. Forethought bridi connection</w:t>
      </w:r>
      <w:r>
        <w:rPr>
          <w:noProof/>
        </w:rPr>
        <w:tab/>
      </w:r>
      <w:r>
        <w:rPr>
          <w:noProof/>
        </w:rPr>
        <w:fldChar w:fldCharType="begin"/>
      </w:r>
      <w:r>
        <w:rPr>
          <w:noProof/>
        </w:rPr>
        <w:instrText xml:space="preserve"> GOTOBUTTON _Toc398970660  </w:instrText>
      </w:r>
      <w:r>
        <w:rPr>
          <w:noProof/>
        </w:rPr>
        <w:fldChar w:fldCharType="begin"/>
      </w:r>
      <w:r>
        <w:rPr>
          <w:noProof/>
        </w:rPr>
        <w:instrText xml:space="preserve"> PAGEREF _Toc398970660 </w:instrText>
      </w:r>
      <w:r>
        <w:rPr>
          <w:noProof/>
        </w:rPr>
        <w:fldChar w:fldCharType="separate"/>
      </w:r>
      <w:r>
        <w:rPr>
          <w:noProof/>
        </w:rPr>
        <w:instrText>338</w:instrText>
      </w:r>
      <w:r>
        <w:rPr>
          <w:noProof/>
        </w:rPr>
        <w:fldChar w:fldCharType="end"/>
      </w:r>
      <w:r>
        <w:rPr>
          <w:noProof/>
        </w:rPr>
        <w:fldChar w:fldCharType="end"/>
      </w:r>
    </w:p>
    <w:p w:rsidR="00B72047" w:rsidRDefault="00B72047">
      <w:pPr>
        <w:pStyle w:val="TOC2"/>
        <w:rPr>
          <w:noProof/>
        </w:rPr>
      </w:pPr>
      <w:r>
        <w:rPr>
          <w:noProof/>
        </w:rPr>
        <w:t>6. sumti connection</w:t>
      </w:r>
      <w:r>
        <w:rPr>
          <w:noProof/>
        </w:rPr>
        <w:tab/>
      </w:r>
      <w:r>
        <w:rPr>
          <w:noProof/>
        </w:rPr>
        <w:fldChar w:fldCharType="begin"/>
      </w:r>
      <w:r>
        <w:rPr>
          <w:noProof/>
        </w:rPr>
        <w:instrText xml:space="preserve"> GOTOBUTTON _Toc398970661  </w:instrText>
      </w:r>
      <w:r>
        <w:rPr>
          <w:noProof/>
        </w:rPr>
        <w:fldChar w:fldCharType="begin"/>
      </w:r>
      <w:r>
        <w:rPr>
          <w:noProof/>
        </w:rPr>
        <w:instrText xml:space="preserve"> PAGEREF _Toc398970661 </w:instrText>
      </w:r>
      <w:r>
        <w:rPr>
          <w:noProof/>
        </w:rPr>
        <w:fldChar w:fldCharType="separate"/>
      </w:r>
      <w:r>
        <w:rPr>
          <w:noProof/>
        </w:rPr>
        <w:instrText>340</w:instrText>
      </w:r>
      <w:r>
        <w:rPr>
          <w:noProof/>
        </w:rPr>
        <w:fldChar w:fldCharType="end"/>
      </w:r>
      <w:r>
        <w:rPr>
          <w:noProof/>
        </w:rPr>
        <w:fldChar w:fldCharType="end"/>
      </w:r>
    </w:p>
    <w:p w:rsidR="00B72047" w:rsidRDefault="00B72047">
      <w:pPr>
        <w:pStyle w:val="TOC2"/>
        <w:rPr>
          <w:noProof/>
        </w:rPr>
      </w:pPr>
      <w:r>
        <w:rPr>
          <w:noProof/>
        </w:rPr>
        <w:t>7. More than two propositions</w:t>
      </w:r>
      <w:r>
        <w:rPr>
          <w:noProof/>
        </w:rPr>
        <w:tab/>
      </w:r>
      <w:r>
        <w:rPr>
          <w:noProof/>
        </w:rPr>
        <w:fldChar w:fldCharType="begin"/>
      </w:r>
      <w:r>
        <w:rPr>
          <w:noProof/>
        </w:rPr>
        <w:instrText xml:space="preserve"> GOTOBUTTON _Toc398970662  </w:instrText>
      </w:r>
      <w:r>
        <w:rPr>
          <w:noProof/>
        </w:rPr>
        <w:fldChar w:fldCharType="begin"/>
      </w:r>
      <w:r>
        <w:rPr>
          <w:noProof/>
        </w:rPr>
        <w:instrText xml:space="preserve"> PAGEREF _Toc398970662 </w:instrText>
      </w:r>
      <w:r>
        <w:rPr>
          <w:noProof/>
        </w:rPr>
        <w:fldChar w:fldCharType="separate"/>
      </w:r>
      <w:r>
        <w:rPr>
          <w:noProof/>
        </w:rPr>
        <w:instrText>341</w:instrText>
      </w:r>
      <w:r>
        <w:rPr>
          <w:noProof/>
        </w:rPr>
        <w:fldChar w:fldCharType="end"/>
      </w:r>
      <w:r>
        <w:rPr>
          <w:noProof/>
        </w:rPr>
        <w:fldChar w:fldCharType="end"/>
      </w:r>
    </w:p>
    <w:p w:rsidR="00B72047" w:rsidRDefault="00B72047">
      <w:pPr>
        <w:pStyle w:val="TOC2"/>
        <w:rPr>
          <w:noProof/>
        </w:rPr>
      </w:pPr>
      <w:r>
        <w:rPr>
          <w:noProof/>
        </w:rPr>
        <w:t>8. Grouping of afterthought connectives</w:t>
      </w:r>
      <w:r>
        <w:rPr>
          <w:noProof/>
        </w:rPr>
        <w:tab/>
      </w:r>
      <w:r>
        <w:rPr>
          <w:noProof/>
        </w:rPr>
        <w:fldChar w:fldCharType="begin"/>
      </w:r>
      <w:r>
        <w:rPr>
          <w:noProof/>
        </w:rPr>
        <w:instrText xml:space="preserve"> GOTOBUTTON _Toc398970663  </w:instrText>
      </w:r>
      <w:r>
        <w:rPr>
          <w:noProof/>
        </w:rPr>
        <w:fldChar w:fldCharType="begin"/>
      </w:r>
      <w:r>
        <w:rPr>
          <w:noProof/>
        </w:rPr>
        <w:instrText xml:space="preserve"> PAGEREF _Toc398970663 </w:instrText>
      </w:r>
      <w:r>
        <w:rPr>
          <w:noProof/>
        </w:rPr>
        <w:fldChar w:fldCharType="separate"/>
      </w:r>
      <w:r>
        <w:rPr>
          <w:noProof/>
        </w:rPr>
        <w:instrText>342</w:instrText>
      </w:r>
      <w:r>
        <w:rPr>
          <w:noProof/>
        </w:rPr>
        <w:fldChar w:fldCharType="end"/>
      </w:r>
      <w:r>
        <w:rPr>
          <w:noProof/>
        </w:rPr>
        <w:fldChar w:fldCharType="end"/>
      </w:r>
    </w:p>
    <w:p w:rsidR="00B72047" w:rsidRDefault="00B72047">
      <w:pPr>
        <w:pStyle w:val="TOC2"/>
        <w:rPr>
          <w:noProof/>
        </w:rPr>
      </w:pPr>
      <w:r>
        <w:rPr>
          <w:noProof/>
        </w:rPr>
        <w:t>9. Compound bridi</w:t>
      </w:r>
      <w:r>
        <w:rPr>
          <w:noProof/>
        </w:rPr>
        <w:tab/>
      </w:r>
      <w:r>
        <w:rPr>
          <w:noProof/>
        </w:rPr>
        <w:fldChar w:fldCharType="begin"/>
      </w:r>
      <w:r>
        <w:rPr>
          <w:noProof/>
        </w:rPr>
        <w:instrText xml:space="preserve"> GOTOBUTTON _Toc398970664  </w:instrText>
      </w:r>
      <w:r>
        <w:rPr>
          <w:noProof/>
        </w:rPr>
        <w:fldChar w:fldCharType="begin"/>
      </w:r>
      <w:r>
        <w:rPr>
          <w:noProof/>
        </w:rPr>
        <w:instrText xml:space="preserve"> PAGEREF _Toc398970664 </w:instrText>
      </w:r>
      <w:r>
        <w:rPr>
          <w:noProof/>
        </w:rPr>
        <w:fldChar w:fldCharType="separate"/>
      </w:r>
      <w:r>
        <w:rPr>
          <w:noProof/>
        </w:rPr>
        <w:instrText>344</w:instrText>
      </w:r>
      <w:r>
        <w:rPr>
          <w:noProof/>
        </w:rPr>
        <w:fldChar w:fldCharType="end"/>
      </w:r>
      <w:r>
        <w:rPr>
          <w:noProof/>
        </w:rPr>
        <w:fldChar w:fldCharType="end"/>
      </w:r>
    </w:p>
    <w:p w:rsidR="00B72047" w:rsidRDefault="00B72047">
      <w:pPr>
        <w:pStyle w:val="TOC2"/>
        <w:rPr>
          <w:noProof/>
        </w:rPr>
      </w:pPr>
      <w:r>
        <w:rPr>
          <w:noProof/>
        </w:rPr>
        <w:t>10. Multiple compound bridi</w:t>
      </w:r>
      <w:r>
        <w:rPr>
          <w:noProof/>
        </w:rPr>
        <w:tab/>
      </w:r>
      <w:r>
        <w:rPr>
          <w:noProof/>
        </w:rPr>
        <w:fldChar w:fldCharType="begin"/>
      </w:r>
      <w:r>
        <w:rPr>
          <w:noProof/>
        </w:rPr>
        <w:instrText xml:space="preserve"> GOTOBUTTON _Toc398970665  </w:instrText>
      </w:r>
      <w:r>
        <w:rPr>
          <w:noProof/>
        </w:rPr>
        <w:fldChar w:fldCharType="begin"/>
      </w:r>
      <w:r>
        <w:rPr>
          <w:noProof/>
        </w:rPr>
        <w:instrText xml:space="preserve"> PAGEREF _Toc398970665 </w:instrText>
      </w:r>
      <w:r>
        <w:rPr>
          <w:noProof/>
        </w:rPr>
        <w:fldChar w:fldCharType="separate"/>
      </w:r>
      <w:r>
        <w:rPr>
          <w:noProof/>
        </w:rPr>
        <w:instrText>346</w:instrText>
      </w:r>
      <w:r>
        <w:rPr>
          <w:noProof/>
        </w:rPr>
        <w:fldChar w:fldCharType="end"/>
      </w:r>
      <w:r>
        <w:rPr>
          <w:noProof/>
        </w:rPr>
        <w:fldChar w:fldCharType="end"/>
      </w:r>
    </w:p>
    <w:p w:rsidR="00B72047" w:rsidRDefault="00B72047">
      <w:pPr>
        <w:pStyle w:val="TOC2"/>
        <w:rPr>
          <w:noProof/>
        </w:rPr>
      </w:pPr>
      <w:r>
        <w:rPr>
          <w:noProof/>
        </w:rPr>
        <w:t>11. Termset logical connection</w:t>
      </w:r>
      <w:r>
        <w:rPr>
          <w:noProof/>
        </w:rPr>
        <w:tab/>
      </w:r>
      <w:r>
        <w:rPr>
          <w:noProof/>
        </w:rPr>
        <w:fldChar w:fldCharType="begin"/>
      </w:r>
      <w:r>
        <w:rPr>
          <w:noProof/>
        </w:rPr>
        <w:instrText xml:space="preserve"> GOTOBUTTON _Toc398970666  </w:instrText>
      </w:r>
      <w:r>
        <w:rPr>
          <w:noProof/>
        </w:rPr>
        <w:fldChar w:fldCharType="begin"/>
      </w:r>
      <w:r>
        <w:rPr>
          <w:noProof/>
        </w:rPr>
        <w:instrText xml:space="preserve"> PAGEREF _Toc398970666 </w:instrText>
      </w:r>
      <w:r>
        <w:rPr>
          <w:noProof/>
        </w:rPr>
        <w:fldChar w:fldCharType="separate"/>
      </w:r>
      <w:r>
        <w:rPr>
          <w:noProof/>
        </w:rPr>
        <w:instrText>347</w:instrText>
      </w:r>
      <w:r>
        <w:rPr>
          <w:noProof/>
        </w:rPr>
        <w:fldChar w:fldCharType="end"/>
      </w:r>
      <w:r>
        <w:rPr>
          <w:noProof/>
        </w:rPr>
        <w:fldChar w:fldCharType="end"/>
      </w:r>
    </w:p>
    <w:p w:rsidR="00B72047" w:rsidRDefault="00B72047">
      <w:pPr>
        <w:pStyle w:val="TOC2"/>
        <w:rPr>
          <w:noProof/>
        </w:rPr>
      </w:pPr>
      <w:r>
        <w:rPr>
          <w:noProof/>
        </w:rPr>
        <w:t>12. Logical connection within tanru</w:t>
      </w:r>
      <w:r>
        <w:rPr>
          <w:noProof/>
        </w:rPr>
        <w:tab/>
      </w:r>
      <w:r>
        <w:rPr>
          <w:noProof/>
        </w:rPr>
        <w:fldChar w:fldCharType="begin"/>
      </w:r>
      <w:r>
        <w:rPr>
          <w:noProof/>
        </w:rPr>
        <w:instrText xml:space="preserve"> GOTOBUTTON _Toc398970667  </w:instrText>
      </w:r>
      <w:r>
        <w:rPr>
          <w:noProof/>
        </w:rPr>
        <w:fldChar w:fldCharType="begin"/>
      </w:r>
      <w:r>
        <w:rPr>
          <w:noProof/>
        </w:rPr>
        <w:instrText xml:space="preserve"> PAGEREF _Toc398970667 </w:instrText>
      </w:r>
      <w:r>
        <w:rPr>
          <w:noProof/>
        </w:rPr>
        <w:fldChar w:fldCharType="separate"/>
      </w:r>
      <w:r>
        <w:rPr>
          <w:noProof/>
        </w:rPr>
        <w:instrText>349</w:instrText>
      </w:r>
      <w:r>
        <w:rPr>
          <w:noProof/>
        </w:rPr>
        <w:fldChar w:fldCharType="end"/>
      </w:r>
      <w:r>
        <w:rPr>
          <w:noProof/>
        </w:rPr>
        <w:fldChar w:fldCharType="end"/>
      </w:r>
    </w:p>
    <w:p w:rsidR="00B72047" w:rsidRDefault="00B72047">
      <w:pPr>
        <w:pStyle w:val="TOC2"/>
        <w:rPr>
          <w:noProof/>
        </w:rPr>
      </w:pPr>
      <w:r>
        <w:rPr>
          <w:noProof/>
        </w:rPr>
        <w:t>13. Truth questions and connective questions</w:t>
      </w:r>
      <w:r>
        <w:rPr>
          <w:noProof/>
        </w:rPr>
        <w:tab/>
      </w:r>
      <w:r>
        <w:rPr>
          <w:noProof/>
        </w:rPr>
        <w:fldChar w:fldCharType="begin"/>
      </w:r>
      <w:r>
        <w:rPr>
          <w:noProof/>
        </w:rPr>
        <w:instrText xml:space="preserve"> GOTOBUTTON _Toc398970668  </w:instrText>
      </w:r>
      <w:r>
        <w:rPr>
          <w:noProof/>
        </w:rPr>
        <w:fldChar w:fldCharType="begin"/>
      </w:r>
      <w:r>
        <w:rPr>
          <w:noProof/>
        </w:rPr>
        <w:instrText xml:space="preserve"> PAGEREF _Toc398970668 </w:instrText>
      </w:r>
      <w:r>
        <w:rPr>
          <w:noProof/>
        </w:rPr>
        <w:fldChar w:fldCharType="separate"/>
      </w:r>
      <w:r>
        <w:rPr>
          <w:noProof/>
        </w:rPr>
        <w:instrText>350</w:instrText>
      </w:r>
      <w:r>
        <w:rPr>
          <w:noProof/>
        </w:rPr>
        <w:fldChar w:fldCharType="end"/>
      </w:r>
      <w:r>
        <w:rPr>
          <w:noProof/>
        </w:rPr>
        <w:fldChar w:fldCharType="end"/>
      </w:r>
    </w:p>
    <w:p w:rsidR="00B72047" w:rsidRDefault="00B72047">
      <w:pPr>
        <w:pStyle w:val="TOC2"/>
        <w:rPr>
          <w:noProof/>
        </w:rPr>
      </w:pPr>
      <w:r>
        <w:rPr>
          <w:noProof/>
        </w:rPr>
        <w:t>14. Non-logical connectives</w:t>
      </w:r>
      <w:r>
        <w:rPr>
          <w:noProof/>
        </w:rPr>
        <w:tab/>
      </w:r>
      <w:r>
        <w:rPr>
          <w:noProof/>
        </w:rPr>
        <w:fldChar w:fldCharType="begin"/>
      </w:r>
      <w:r>
        <w:rPr>
          <w:noProof/>
        </w:rPr>
        <w:instrText xml:space="preserve"> GOTOBUTTON _Toc398970669  </w:instrText>
      </w:r>
      <w:r>
        <w:rPr>
          <w:noProof/>
        </w:rPr>
        <w:fldChar w:fldCharType="begin"/>
      </w:r>
      <w:r>
        <w:rPr>
          <w:noProof/>
        </w:rPr>
        <w:instrText xml:space="preserve"> PAGEREF _Toc398970669 </w:instrText>
      </w:r>
      <w:r>
        <w:rPr>
          <w:noProof/>
        </w:rPr>
        <w:fldChar w:fldCharType="separate"/>
      </w:r>
      <w:r>
        <w:rPr>
          <w:noProof/>
        </w:rPr>
        <w:instrText>353</w:instrText>
      </w:r>
      <w:r>
        <w:rPr>
          <w:noProof/>
        </w:rPr>
        <w:fldChar w:fldCharType="end"/>
      </w:r>
      <w:r>
        <w:rPr>
          <w:noProof/>
        </w:rPr>
        <w:fldChar w:fldCharType="end"/>
      </w:r>
    </w:p>
    <w:p w:rsidR="00B72047" w:rsidRDefault="00B72047">
      <w:pPr>
        <w:pStyle w:val="TOC2"/>
        <w:rPr>
          <w:noProof/>
        </w:rPr>
      </w:pPr>
      <w:r>
        <w:rPr>
          <w:noProof/>
        </w:rPr>
        <w:t>15. More about non-logical connectives</w:t>
      </w:r>
      <w:r>
        <w:rPr>
          <w:noProof/>
        </w:rPr>
        <w:tab/>
      </w:r>
      <w:r>
        <w:rPr>
          <w:noProof/>
        </w:rPr>
        <w:fldChar w:fldCharType="begin"/>
      </w:r>
      <w:r>
        <w:rPr>
          <w:noProof/>
        </w:rPr>
        <w:instrText xml:space="preserve"> GOTOBUTTON _Toc398970670  </w:instrText>
      </w:r>
      <w:r>
        <w:rPr>
          <w:noProof/>
        </w:rPr>
        <w:fldChar w:fldCharType="begin"/>
      </w:r>
      <w:r>
        <w:rPr>
          <w:noProof/>
        </w:rPr>
        <w:instrText xml:space="preserve"> PAGEREF _Toc398970670 </w:instrText>
      </w:r>
      <w:r>
        <w:rPr>
          <w:noProof/>
        </w:rPr>
        <w:fldChar w:fldCharType="separate"/>
      </w:r>
      <w:r>
        <w:rPr>
          <w:noProof/>
        </w:rPr>
        <w:instrText>356</w:instrText>
      </w:r>
      <w:r>
        <w:rPr>
          <w:noProof/>
        </w:rPr>
        <w:fldChar w:fldCharType="end"/>
      </w:r>
      <w:r>
        <w:rPr>
          <w:noProof/>
        </w:rPr>
        <w:fldChar w:fldCharType="end"/>
      </w:r>
    </w:p>
    <w:p w:rsidR="00B72047" w:rsidRDefault="00B72047">
      <w:pPr>
        <w:pStyle w:val="TOC2"/>
        <w:rPr>
          <w:noProof/>
        </w:rPr>
      </w:pPr>
      <w:r>
        <w:rPr>
          <w:noProof/>
        </w:rPr>
        <w:t>16. Interval connectives and forethought non-logical connection</w:t>
      </w:r>
      <w:r>
        <w:rPr>
          <w:noProof/>
        </w:rPr>
        <w:tab/>
      </w:r>
      <w:r>
        <w:rPr>
          <w:noProof/>
        </w:rPr>
        <w:fldChar w:fldCharType="begin"/>
      </w:r>
      <w:r>
        <w:rPr>
          <w:noProof/>
        </w:rPr>
        <w:instrText xml:space="preserve"> GOTOBUTTON _Toc398970671  </w:instrText>
      </w:r>
      <w:r>
        <w:rPr>
          <w:noProof/>
        </w:rPr>
        <w:fldChar w:fldCharType="begin"/>
      </w:r>
      <w:r>
        <w:rPr>
          <w:noProof/>
        </w:rPr>
        <w:instrText xml:space="preserve"> PAGEREF _Toc398970671 </w:instrText>
      </w:r>
      <w:r>
        <w:rPr>
          <w:noProof/>
        </w:rPr>
        <w:fldChar w:fldCharType="separate"/>
      </w:r>
      <w:r>
        <w:rPr>
          <w:noProof/>
        </w:rPr>
        <w:instrText>359</w:instrText>
      </w:r>
      <w:r>
        <w:rPr>
          <w:noProof/>
        </w:rPr>
        <w:fldChar w:fldCharType="end"/>
      </w:r>
      <w:r>
        <w:rPr>
          <w:noProof/>
        </w:rPr>
        <w:fldChar w:fldCharType="end"/>
      </w:r>
    </w:p>
    <w:p w:rsidR="00B72047" w:rsidRDefault="00B72047">
      <w:pPr>
        <w:pStyle w:val="TOC2"/>
        <w:rPr>
          <w:noProof/>
        </w:rPr>
      </w:pPr>
      <w:r>
        <w:rPr>
          <w:noProof/>
        </w:rPr>
        <w:t>17. Logical and non-logical connectives within mekso</w:t>
      </w:r>
      <w:r>
        <w:rPr>
          <w:noProof/>
        </w:rPr>
        <w:tab/>
      </w:r>
      <w:r>
        <w:rPr>
          <w:noProof/>
        </w:rPr>
        <w:fldChar w:fldCharType="begin"/>
      </w:r>
      <w:r>
        <w:rPr>
          <w:noProof/>
        </w:rPr>
        <w:instrText xml:space="preserve"> GOTOBUTTON _Toc398970672  </w:instrText>
      </w:r>
      <w:r>
        <w:rPr>
          <w:noProof/>
        </w:rPr>
        <w:fldChar w:fldCharType="begin"/>
      </w:r>
      <w:r>
        <w:rPr>
          <w:noProof/>
        </w:rPr>
        <w:instrText xml:space="preserve"> PAGEREF _Toc398970672 </w:instrText>
      </w:r>
      <w:r>
        <w:rPr>
          <w:noProof/>
        </w:rPr>
        <w:fldChar w:fldCharType="separate"/>
      </w:r>
      <w:r>
        <w:rPr>
          <w:noProof/>
        </w:rPr>
        <w:instrText>361</w:instrText>
      </w:r>
      <w:r>
        <w:rPr>
          <w:noProof/>
        </w:rPr>
        <w:fldChar w:fldCharType="end"/>
      </w:r>
      <w:r>
        <w:rPr>
          <w:noProof/>
        </w:rPr>
        <w:fldChar w:fldCharType="end"/>
      </w:r>
    </w:p>
    <w:p w:rsidR="00B72047" w:rsidRDefault="00B72047">
      <w:pPr>
        <w:pStyle w:val="TOC2"/>
        <w:rPr>
          <w:noProof/>
        </w:rPr>
      </w:pPr>
      <w:r>
        <w:rPr>
          <w:noProof/>
        </w:rPr>
        <w:t>18. Tenses, modals, and logical connection</w:t>
      </w:r>
      <w:r>
        <w:rPr>
          <w:noProof/>
        </w:rPr>
        <w:tab/>
      </w:r>
      <w:r>
        <w:rPr>
          <w:noProof/>
        </w:rPr>
        <w:fldChar w:fldCharType="begin"/>
      </w:r>
      <w:r>
        <w:rPr>
          <w:noProof/>
        </w:rPr>
        <w:instrText xml:space="preserve"> GOTOBUTTON _Toc398970673  </w:instrText>
      </w:r>
      <w:r>
        <w:rPr>
          <w:noProof/>
        </w:rPr>
        <w:fldChar w:fldCharType="begin"/>
      </w:r>
      <w:r>
        <w:rPr>
          <w:noProof/>
        </w:rPr>
        <w:instrText xml:space="preserve"> PAGEREF _Toc398970673 </w:instrText>
      </w:r>
      <w:r>
        <w:rPr>
          <w:noProof/>
        </w:rPr>
        <w:fldChar w:fldCharType="separate"/>
      </w:r>
      <w:r>
        <w:rPr>
          <w:noProof/>
        </w:rPr>
        <w:instrText>362</w:instrText>
      </w:r>
      <w:r>
        <w:rPr>
          <w:noProof/>
        </w:rPr>
        <w:fldChar w:fldCharType="end"/>
      </w:r>
      <w:r>
        <w:rPr>
          <w:noProof/>
        </w:rPr>
        <w:fldChar w:fldCharType="end"/>
      </w:r>
    </w:p>
    <w:p w:rsidR="00B72047" w:rsidRDefault="00B72047">
      <w:pPr>
        <w:pStyle w:val="TOC2"/>
        <w:rPr>
          <w:noProof/>
        </w:rPr>
      </w:pPr>
      <w:r>
        <w:rPr>
          <w:noProof/>
        </w:rPr>
        <w:t>19. Abstractor connection and connection within abstractions</w:t>
      </w:r>
      <w:r>
        <w:rPr>
          <w:noProof/>
        </w:rPr>
        <w:tab/>
      </w:r>
      <w:r>
        <w:rPr>
          <w:noProof/>
        </w:rPr>
        <w:fldChar w:fldCharType="begin"/>
      </w:r>
      <w:r>
        <w:rPr>
          <w:noProof/>
        </w:rPr>
        <w:instrText xml:space="preserve"> GOTOBUTTON _Toc398970674  </w:instrText>
      </w:r>
      <w:r>
        <w:rPr>
          <w:noProof/>
        </w:rPr>
        <w:fldChar w:fldCharType="begin"/>
      </w:r>
      <w:r>
        <w:rPr>
          <w:noProof/>
        </w:rPr>
        <w:instrText xml:space="preserve"> PAGEREF _Toc398970674 </w:instrText>
      </w:r>
      <w:r>
        <w:rPr>
          <w:noProof/>
        </w:rPr>
        <w:fldChar w:fldCharType="separate"/>
      </w:r>
      <w:r>
        <w:rPr>
          <w:noProof/>
        </w:rPr>
        <w:instrText>365</w:instrText>
      </w:r>
      <w:r>
        <w:rPr>
          <w:noProof/>
        </w:rPr>
        <w:fldChar w:fldCharType="end"/>
      </w:r>
      <w:r>
        <w:rPr>
          <w:noProof/>
        </w:rPr>
        <w:fldChar w:fldCharType="end"/>
      </w:r>
    </w:p>
    <w:p w:rsidR="00B72047" w:rsidRDefault="00B72047">
      <w:pPr>
        <w:pStyle w:val="TOC2"/>
        <w:rPr>
          <w:noProof/>
        </w:rPr>
      </w:pPr>
      <w:r>
        <w:rPr>
          <w:noProof/>
        </w:rPr>
        <w:t>20. Constructs and appropriate connectives</w:t>
      </w:r>
      <w:r>
        <w:rPr>
          <w:noProof/>
        </w:rPr>
        <w:tab/>
      </w:r>
      <w:r>
        <w:rPr>
          <w:noProof/>
        </w:rPr>
        <w:fldChar w:fldCharType="begin"/>
      </w:r>
      <w:r>
        <w:rPr>
          <w:noProof/>
        </w:rPr>
        <w:instrText xml:space="preserve"> GOTOBUTTON _Toc398970675  </w:instrText>
      </w:r>
      <w:r>
        <w:rPr>
          <w:noProof/>
        </w:rPr>
        <w:fldChar w:fldCharType="begin"/>
      </w:r>
      <w:r>
        <w:rPr>
          <w:noProof/>
        </w:rPr>
        <w:instrText xml:space="preserve"> PAGEREF _Toc398970675 </w:instrText>
      </w:r>
      <w:r>
        <w:rPr>
          <w:noProof/>
        </w:rPr>
        <w:fldChar w:fldCharType="separate"/>
      </w:r>
      <w:r>
        <w:rPr>
          <w:noProof/>
        </w:rPr>
        <w:instrText>366</w:instrText>
      </w:r>
      <w:r>
        <w:rPr>
          <w:noProof/>
        </w:rPr>
        <w:fldChar w:fldCharType="end"/>
      </w:r>
      <w:r>
        <w:rPr>
          <w:noProof/>
        </w:rPr>
        <w:fldChar w:fldCharType="end"/>
      </w:r>
    </w:p>
    <w:p w:rsidR="00B72047" w:rsidRDefault="00B72047">
      <w:pPr>
        <w:pStyle w:val="TOC2"/>
        <w:rPr>
          <w:noProof/>
        </w:rPr>
      </w:pPr>
      <w:r>
        <w:rPr>
          <w:noProof/>
        </w:rPr>
        <w:t>21. Truth functions and corresponding logical connectives</w:t>
      </w:r>
      <w:r>
        <w:rPr>
          <w:noProof/>
        </w:rPr>
        <w:tab/>
      </w:r>
      <w:r>
        <w:rPr>
          <w:noProof/>
        </w:rPr>
        <w:fldChar w:fldCharType="begin"/>
      </w:r>
      <w:r>
        <w:rPr>
          <w:noProof/>
        </w:rPr>
        <w:instrText xml:space="preserve"> GOTOBUTTON _Toc398970676  </w:instrText>
      </w:r>
      <w:r>
        <w:rPr>
          <w:noProof/>
        </w:rPr>
        <w:fldChar w:fldCharType="begin"/>
      </w:r>
      <w:r>
        <w:rPr>
          <w:noProof/>
        </w:rPr>
        <w:instrText xml:space="preserve"> PAGEREF _Toc398970676 </w:instrText>
      </w:r>
      <w:r>
        <w:rPr>
          <w:noProof/>
        </w:rPr>
        <w:fldChar w:fldCharType="separate"/>
      </w:r>
      <w:r>
        <w:rPr>
          <w:noProof/>
        </w:rPr>
        <w:instrText>366</w:instrText>
      </w:r>
      <w:r>
        <w:rPr>
          <w:noProof/>
        </w:rPr>
        <w:fldChar w:fldCharType="end"/>
      </w:r>
      <w:r>
        <w:rPr>
          <w:noProof/>
        </w:rPr>
        <w:fldChar w:fldCharType="end"/>
      </w:r>
    </w:p>
    <w:p w:rsidR="00B72047" w:rsidRDefault="00B72047">
      <w:pPr>
        <w:pStyle w:val="TOC2"/>
        <w:rPr>
          <w:noProof/>
        </w:rPr>
      </w:pPr>
      <w:r>
        <w:rPr>
          <w:noProof/>
        </w:rPr>
        <w:t>22. Rules for making logical and non-logical connectives</w:t>
      </w:r>
      <w:r>
        <w:rPr>
          <w:noProof/>
        </w:rPr>
        <w:tab/>
      </w:r>
      <w:r>
        <w:rPr>
          <w:noProof/>
        </w:rPr>
        <w:fldChar w:fldCharType="begin"/>
      </w:r>
      <w:r>
        <w:rPr>
          <w:noProof/>
        </w:rPr>
        <w:instrText xml:space="preserve"> GOTOBUTTON _Toc398970677  </w:instrText>
      </w:r>
      <w:r>
        <w:rPr>
          <w:noProof/>
        </w:rPr>
        <w:fldChar w:fldCharType="begin"/>
      </w:r>
      <w:r>
        <w:rPr>
          <w:noProof/>
        </w:rPr>
        <w:instrText xml:space="preserve"> PAGEREF _Toc398970677 </w:instrText>
      </w:r>
      <w:r>
        <w:rPr>
          <w:noProof/>
        </w:rPr>
        <w:fldChar w:fldCharType="separate"/>
      </w:r>
      <w:r>
        <w:rPr>
          <w:noProof/>
        </w:rPr>
        <w:instrText>366</w:instrText>
      </w:r>
      <w:r>
        <w:rPr>
          <w:noProof/>
        </w:rPr>
        <w:fldChar w:fldCharType="end"/>
      </w:r>
      <w:r>
        <w:rPr>
          <w:noProof/>
        </w:rPr>
        <w:fldChar w:fldCharType="end"/>
      </w:r>
    </w:p>
    <w:p w:rsidR="00B72047" w:rsidRDefault="00B72047">
      <w:pPr>
        <w:pStyle w:val="TOC2"/>
        <w:rPr>
          <w:noProof/>
        </w:rPr>
      </w:pPr>
      <w:r>
        <w:rPr>
          <w:noProof/>
        </w:rPr>
        <w:t>23. Locations of other tables</w:t>
      </w:r>
      <w:r>
        <w:rPr>
          <w:noProof/>
        </w:rPr>
        <w:tab/>
      </w:r>
      <w:r>
        <w:rPr>
          <w:noProof/>
        </w:rPr>
        <w:fldChar w:fldCharType="begin"/>
      </w:r>
      <w:r>
        <w:rPr>
          <w:noProof/>
        </w:rPr>
        <w:instrText xml:space="preserve"> GOTOBUTTON _Toc398970678  </w:instrText>
      </w:r>
      <w:r>
        <w:rPr>
          <w:noProof/>
        </w:rPr>
        <w:fldChar w:fldCharType="begin"/>
      </w:r>
      <w:r>
        <w:rPr>
          <w:noProof/>
        </w:rPr>
        <w:instrText xml:space="preserve"> PAGEREF _Toc398970678 </w:instrText>
      </w:r>
      <w:r>
        <w:rPr>
          <w:noProof/>
        </w:rPr>
        <w:fldChar w:fldCharType="separate"/>
      </w:r>
      <w:r>
        <w:rPr>
          <w:noProof/>
        </w:rPr>
        <w:instrText>367</w:instrText>
      </w:r>
      <w:r>
        <w:rPr>
          <w:noProof/>
        </w:rPr>
        <w:fldChar w:fldCharType="end"/>
      </w:r>
      <w:r>
        <w:rPr>
          <w:noProof/>
        </w:rPr>
        <w:fldChar w:fldCharType="end"/>
      </w:r>
    </w:p>
    <w:p w:rsidR="00B72047" w:rsidRDefault="00B72047">
      <w:pPr>
        <w:pStyle w:val="TOC1"/>
        <w:rPr>
          <w:noProof/>
        </w:rPr>
      </w:pPr>
      <w:r>
        <w:rPr>
          <w:noProof/>
        </w:rPr>
        <w:t>Chapter 15  “No” Problems: On Lojban Negation</w:t>
      </w:r>
      <w:r>
        <w:rPr>
          <w:noProof/>
        </w:rPr>
        <w:tab/>
      </w:r>
      <w:r>
        <w:rPr>
          <w:noProof/>
        </w:rPr>
        <w:fldChar w:fldCharType="begin"/>
      </w:r>
      <w:r>
        <w:rPr>
          <w:noProof/>
        </w:rPr>
        <w:instrText xml:space="preserve"> GOTOBUTTON _Toc398970680  </w:instrText>
      </w:r>
      <w:r>
        <w:rPr>
          <w:noProof/>
        </w:rPr>
        <w:fldChar w:fldCharType="begin"/>
      </w:r>
      <w:r>
        <w:rPr>
          <w:noProof/>
        </w:rPr>
        <w:instrText xml:space="preserve"> PAGEREF _Toc398970680 </w:instrText>
      </w:r>
      <w:r>
        <w:rPr>
          <w:noProof/>
        </w:rPr>
        <w:fldChar w:fldCharType="separate"/>
      </w:r>
      <w:r>
        <w:rPr>
          <w:noProof/>
        </w:rPr>
        <w:instrText>369</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_Toc398970681  </w:instrText>
      </w:r>
      <w:r>
        <w:rPr>
          <w:noProof/>
        </w:rPr>
        <w:fldChar w:fldCharType="begin"/>
      </w:r>
      <w:r>
        <w:rPr>
          <w:noProof/>
        </w:rPr>
        <w:instrText xml:space="preserve"> PAGEREF _Toc398970681 </w:instrText>
      </w:r>
      <w:r>
        <w:rPr>
          <w:noProof/>
        </w:rPr>
        <w:fldChar w:fldCharType="separate"/>
      </w:r>
      <w:r>
        <w:rPr>
          <w:noProof/>
        </w:rPr>
        <w:instrText>369</w:instrText>
      </w:r>
      <w:r>
        <w:rPr>
          <w:noProof/>
        </w:rPr>
        <w:fldChar w:fldCharType="end"/>
      </w:r>
      <w:r>
        <w:rPr>
          <w:noProof/>
        </w:rPr>
        <w:fldChar w:fldCharType="end"/>
      </w:r>
    </w:p>
    <w:p w:rsidR="00B72047" w:rsidRDefault="00B72047">
      <w:pPr>
        <w:pStyle w:val="TOC2"/>
        <w:rPr>
          <w:noProof/>
        </w:rPr>
      </w:pPr>
      <w:r>
        <w:rPr>
          <w:noProof/>
        </w:rPr>
        <w:t>2. bridi negation</w:t>
      </w:r>
      <w:r>
        <w:rPr>
          <w:noProof/>
        </w:rPr>
        <w:tab/>
      </w:r>
      <w:r>
        <w:rPr>
          <w:noProof/>
        </w:rPr>
        <w:fldChar w:fldCharType="begin"/>
      </w:r>
      <w:r>
        <w:rPr>
          <w:noProof/>
        </w:rPr>
        <w:instrText xml:space="preserve"> GOTOBUTTON _Toc398970682  </w:instrText>
      </w:r>
      <w:r>
        <w:rPr>
          <w:noProof/>
        </w:rPr>
        <w:fldChar w:fldCharType="begin"/>
      </w:r>
      <w:r>
        <w:rPr>
          <w:noProof/>
        </w:rPr>
        <w:instrText xml:space="preserve"> PAGEREF _Toc398970682 </w:instrText>
      </w:r>
      <w:r>
        <w:rPr>
          <w:noProof/>
        </w:rPr>
        <w:fldChar w:fldCharType="separate"/>
      </w:r>
      <w:r>
        <w:rPr>
          <w:noProof/>
        </w:rPr>
        <w:instrText>370</w:instrText>
      </w:r>
      <w:r>
        <w:rPr>
          <w:noProof/>
        </w:rPr>
        <w:fldChar w:fldCharType="end"/>
      </w:r>
      <w:r>
        <w:rPr>
          <w:noProof/>
        </w:rPr>
        <w:fldChar w:fldCharType="end"/>
      </w:r>
    </w:p>
    <w:p w:rsidR="00B72047" w:rsidRDefault="00B72047">
      <w:pPr>
        <w:pStyle w:val="TOC2"/>
        <w:rPr>
          <w:noProof/>
        </w:rPr>
      </w:pPr>
      <w:r>
        <w:rPr>
          <w:noProof/>
        </w:rPr>
        <w:t>3. Scalar negation</w:t>
      </w:r>
      <w:r>
        <w:rPr>
          <w:noProof/>
        </w:rPr>
        <w:tab/>
      </w:r>
      <w:r>
        <w:rPr>
          <w:noProof/>
        </w:rPr>
        <w:fldChar w:fldCharType="begin"/>
      </w:r>
      <w:r>
        <w:rPr>
          <w:noProof/>
        </w:rPr>
        <w:instrText xml:space="preserve"> GOTOBUTTON _Toc398970683  </w:instrText>
      </w:r>
      <w:r>
        <w:rPr>
          <w:noProof/>
        </w:rPr>
        <w:fldChar w:fldCharType="begin"/>
      </w:r>
      <w:r>
        <w:rPr>
          <w:noProof/>
        </w:rPr>
        <w:instrText xml:space="preserve"> PAGEREF _Toc398970683 </w:instrText>
      </w:r>
      <w:r>
        <w:rPr>
          <w:noProof/>
        </w:rPr>
        <w:fldChar w:fldCharType="separate"/>
      </w:r>
      <w:r>
        <w:rPr>
          <w:noProof/>
        </w:rPr>
        <w:instrText>373</w:instrText>
      </w:r>
      <w:r>
        <w:rPr>
          <w:noProof/>
        </w:rPr>
        <w:fldChar w:fldCharType="end"/>
      </w:r>
      <w:r>
        <w:rPr>
          <w:noProof/>
        </w:rPr>
        <w:fldChar w:fldCharType="end"/>
      </w:r>
    </w:p>
    <w:p w:rsidR="00B72047" w:rsidRDefault="00B72047">
      <w:pPr>
        <w:pStyle w:val="TOC2"/>
        <w:rPr>
          <w:noProof/>
        </w:rPr>
      </w:pPr>
      <w:r>
        <w:rPr>
          <w:noProof/>
        </w:rPr>
        <w:t>4. selbri and tanru negation</w:t>
      </w:r>
      <w:r>
        <w:rPr>
          <w:noProof/>
        </w:rPr>
        <w:tab/>
      </w:r>
      <w:r>
        <w:rPr>
          <w:noProof/>
        </w:rPr>
        <w:fldChar w:fldCharType="begin"/>
      </w:r>
      <w:r>
        <w:rPr>
          <w:noProof/>
        </w:rPr>
        <w:instrText xml:space="preserve"> GOTOBUTTON _Toc398970684  </w:instrText>
      </w:r>
      <w:r>
        <w:rPr>
          <w:noProof/>
        </w:rPr>
        <w:fldChar w:fldCharType="begin"/>
      </w:r>
      <w:r>
        <w:rPr>
          <w:noProof/>
        </w:rPr>
        <w:instrText xml:space="preserve"> PAGEREF _Toc398970684 </w:instrText>
      </w:r>
      <w:r>
        <w:rPr>
          <w:noProof/>
        </w:rPr>
        <w:fldChar w:fldCharType="separate"/>
      </w:r>
      <w:r>
        <w:rPr>
          <w:noProof/>
        </w:rPr>
        <w:instrText>376</w:instrText>
      </w:r>
      <w:r>
        <w:rPr>
          <w:noProof/>
        </w:rPr>
        <w:fldChar w:fldCharType="end"/>
      </w:r>
      <w:r>
        <w:rPr>
          <w:noProof/>
        </w:rPr>
        <w:fldChar w:fldCharType="end"/>
      </w:r>
    </w:p>
    <w:p w:rsidR="00B72047" w:rsidRDefault="00B72047">
      <w:pPr>
        <w:pStyle w:val="TOC2"/>
        <w:rPr>
          <w:noProof/>
        </w:rPr>
      </w:pPr>
      <w:r>
        <w:rPr>
          <w:noProof/>
        </w:rPr>
        <w:t>5. Expressing scales in selbri negation</w:t>
      </w:r>
      <w:r>
        <w:rPr>
          <w:noProof/>
        </w:rPr>
        <w:tab/>
      </w:r>
      <w:r>
        <w:rPr>
          <w:noProof/>
        </w:rPr>
        <w:fldChar w:fldCharType="begin"/>
      </w:r>
      <w:r>
        <w:rPr>
          <w:noProof/>
        </w:rPr>
        <w:instrText xml:space="preserve"> GOTOBUTTON _Toc398970685  </w:instrText>
      </w:r>
      <w:r>
        <w:rPr>
          <w:noProof/>
        </w:rPr>
        <w:fldChar w:fldCharType="begin"/>
      </w:r>
      <w:r>
        <w:rPr>
          <w:noProof/>
        </w:rPr>
        <w:instrText xml:space="preserve"> PAGEREF _Toc398970685 </w:instrText>
      </w:r>
      <w:r>
        <w:rPr>
          <w:noProof/>
        </w:rPr>
        <w:fldChar w:fldCharType="separate"/>
      </w:r>
      <w:r>
        <w:rPr>
          <w:noProof/>
        </w:rPr>
        <w:instrText>379</w:instrText>
      </w:r>
      <w:r>
        <w:rPr>
          <w:noProof/>
        </w:rPr>
        <w:fldChar w:fldCharType="end"/>
      </w:r>
      <w:r>
        <w:rPr>
          <w:noProof/>
        </w:rPr>
        <w:fldChar w:fldCharType="end"/>
      </w:r>
    </w:p>
    <w:p w:rsidR="00B72047" w:rsidRDefault="00B72047">
      <w:pPr>
        <w:pStyle w:val="TOC2"/>
        <w:rPr>
          <w:noProof/>
        </w:rPr>
      </w:pPr>
      <w:r>
        <w:rPr>
          <w:noProof/>
        </w:rPr>
        <w:t>6. sumti negation</w:t>
      </w:r>
      <w:r>
        <w:rPr>
          <w:noProof/>
        </w:rPr>
        <w:tab/>
      </w:r>
      <w:r>
        <w:rPr>
          <w:noProof/>
        </w:rPr>
        <w:fldChar w:fldCharType="begin"/>
      </w:r>
      <w:r>
        <w:rPr>
          <w:noProof/>
        </w:rPr>
        <w:instrText xml:space="preserve"> GOTOBUTTON _Toc398970686  </w:instrText>
      </w:r>
      <w:r>
        <w:rPr>
          <w:noProof/>
        </w:rPr>
        <w:fldChar w:fldCharType="begin"/>
      </w:r>
      <w:r>
        <w:rPr>
          <w:noProof/>
        </w:rPr>
        <w:instrText xml:space="preserve"> PAGEREF _Toc398970686 </w:instrText>
      </w:r>
      <w:r>
        <w:rPr>
          <w:noProof/>
        </w:rPr>
        <w:fldChar w:fldCharType="separate"/>
      </w:r>
      <w:r>
        <w:rPr>
          <w:noProof/>
        </w:rPr>
        <w:instrText>381</w:instrText>
      </w:r>
      <w:r>
        <w:rPr>
          <w:noProof/>
        </w:rPr>
        <w:fldChar w:fldCharType="end"/>
      </w:r>
      <w:r>
        <w:rPr>
          <w:noProof/>
        </w:rPr>
        <w:fldChar w:fldCharType="end"/>
      </w:r>
    </w:p>
    <w:p w:rsidR="00B72047" w:rsidRDefault="00B72047">
      <w:pPr>
        <w:pStyle w:val="TOC2"/>
        <w:rPr>
          <w:noProof/>
        </w:rPr>
      </w:pPr>
      <w:r>
        <w:rPr>
          <w:noProof/>
        </w:rPr>
        <w:t>7. Negation of minor grammatical constructs</w:t>
      </w:r>
      <w:r>
        <w:rPr>
          <w:noProof/>
        </w:rPr>
        <w:tab/>
      </w:r>
      <w:r>
        <w:rPr>
          <w:noProof/>
        </w:rPr>
        <w:fldChar w:fldCharType="begin"/>
      </w:r>
      <w:r>
        <w:rPr>
          <w:noProof/>
        </w:rPr>
        <w:instrText xml:space="preserve"> GOTOBUTTON _Toc398970687  </w:instrText>
      </w:r>
      <w:r>
        <w:rPr>
          <w:noProof/>
        </w:rPr>
        <w:fldChar w:fldCharType="begin"/>
      </w:r>
      <w:r>
        <w:rPr>
          <w:noProof/>
        </w:rPr>
        <w:instrText xml:space="preserve"> PAGEREF _Toc398970687 </w:instrText>
      </w:r>
      <w:r>
        <w:rPr>
          <w:noProof/>
        </w:rPr>
        <w:fldChar w:fldCharType="separate"/>
      </w:r>
      <w:r>
        <w:rPr>
          <w:noProof/>
        </w:rPr>
        <w:instrText>382</w:instrText>
      </w:r>
      <w:r>
        <w:rPr>
          <w:noProof/>
        </w:rPr>
        <w:fldChar w:fldCharType="end"/>
      </w:r>
      <w:r>
        <w:rPr>
          <w:noProof/>
        </w:rPr>
        <w:fldChar w:fldCharType="end"/>
      </w:r>
    </w:p>
    <w:p w:rsidR="00B72047" w:rsidRDefault="00B72047">
      <w:pPr>
        <w:pStyle w:val="TOC2"/>
        <w:rPr>
          <w:noProof/>
        </w:rPr>
      </w:pPr>
      <w:r>
        <w:rPr>
          <w:noProof/>
        </w:rPr>
        <w:t>8. Truth questions</w:t>
      </w:r>
      <w:r>
        <w:rPr>
          <w:noProof/>
        </w:rPr>
        <w:tab/>
      </w:r>
      <w:r>
        <w:rPr>
          <w:noProof/>
        </w:rPr>
        <w:fldChar w:fldCharType="begin"/>
      </w:r>
      <w:r>
        <w:rPr>
          <w:noProof/>
        </w:rPr>
        <w:instrText xml:space="preserve"> GOTOBUTTON _Toc398970688  </w:instrText>
      </w:r>
      <w:r>
        <w:rPr>
          <w:noProof/>
        </w:rPr>
        <w:fldChar w:fldCharType="begin"/>
      </w:r>
      <w:r>
        <w:rPr>
          <w:noProof/>
        </w:rPr>
        <w:instrText xml:space="preserve"> PAGEREF _Toc398970688 </w:instrText>
      </w:r>
      <w:r>
        <w:rPr>
          <w:noProof/>
        </w:rPr>
        <w:fldChar w:fldCharType="separate"/>
      </w:r>
      <w:r>
        <w:rPr>
          <w:noProof/>
        </w:rPr>
        <w:instrText>383</w:instrText>
      </w:r>
      <w:r>
        <w:rPr>
          <w:noProof/>
        </w:rPr>
        <w:fldChar w:fldCharType="end"/>
      </w:r>
      <w:r>
        <w:rPr>
          <w:noProof/>
        </w:rPr>
        <w:fldChar w:fldCharType="end"/>
      </w:r>
    </w:p>
    <w:p w:rsidR="00B72047" w:rsidRDefault="00B72047">
      <w:pPr>
        <w:pStyle w:val="TOC2"/>
        <w:rPr>
          <w:noProof/>
        </w:rPr>
      </w:pPr>
      <w:r>
        <w:rPr>
          <w:noProof/>
        </w:rPr>
        <w:t>9. Affirmations</w:t>
      </w:r>
      <w:r>
        <w:rPr>
          <w:noProof/>
        </w:rPr>
        <w:tab/>
      </w:r>
      <w:r>
        <w:rPr>
          <w:noProof/>
        </w:rPr>
        <w:fldChar w:fldCharType="begin"/>
      </w:r>
      <w:r>
        <w:rPr>
          <w:noProof/>
        </w:rPr>
        <w:instrText xml:space="preserve"> GOTOBUTTON _Toc398970689  </w:instrText>
      </w:r>
      <w:r>
        <w:rPr>
          <w:noProof/>
        </w:rPr>
        <w:fldChar w:fldCharType="begin"/>
      </w:r>
      <w:r>
        <w:rPr>
          <w:noProof/>
        </w:rPr>
        <w:instrText xml:space="preserve"> PAGEREF _Toc398970689 </w:instrText>
      </w:r>
      <w:r>
        <w:rPr>
          <w:noProof/>
        </w:rPr>
        <w:fldChar w:fldCharType="separate"/>
      </w:r>
      <w:r>
        <w:rPr>
          <w:noProof/>
        </w:rPr>
        <w:instrText>384</w:instrText>
      </w:r>
      <w:r>
        <w:rPr>
          <w:noProof/>
        </w:rPr>
        <w:fldChar w:fldCharType="end"/>
      </w:r>
      <w:r>
        <w:rPr>
          <w:noProof/>
        </w:rPr>
        <w:fldChar w:fldCharType="end"/>
      </w:r>
    </w:p>
    <w:p w:rsidR="00B72047" w:rsidRDefault="00B72047">
      <w:pPr>
        <w:pStyle w:val="TOC2"/>
        <w:rPr>
          <w:noProof/>
        </w:rPr>
      </w:pPr>
      <w:r>
        <w:rPr>
          <w:noProof/>
        </w:rPr>
        <w:t>10. Metalinguistic negation forms</w:t>
      </w:r>
      <w:r>
        <w:rPr>
          <w:noProof/>
        </w:rPr>
        <w:tab/>
      </w:r>
      <w:r>
        <w:rPr>
          <w:noProof/>
        </w:rPr>
        <w:fldChar w:fldCharType="begin"/>
      </w:r>
      <w:r>
        <w:rPr>
          <w:noProof/>
        </w:rPr>
        <w:instrText xml:space="preserve"> GOTOBUTTON _Toc398970690  </w:instrText>
      </w:r>
      <w:r>
        <w:rPr>
          <w:noProof/>
        </w:rPr>
        <w:fldChar w:fldCharType="begin"/>
      </w:r>
      <w:r>
        <w:rPr>
          <w:noProof/>
        </w:rPr>
        <w:instrText xml:space="preserve"> PAGEREF _Toc398970690 </w:instrText>
      </w:r>
      <w:r>
        <w:rPr>
          <w:noProof/>
        </w:rPr>
        <w:fldChar w:fldCharType="separate"/>
      </w:r>
      <w:r>
        <w:rPr>
          <w:noProof/>
        </w:rPr>
        <w:instrText>385</w:instrText>
      </w:r>
      <w:r>
        <w:rPr>
          <w:noProof/>
        </w:rPr>
        <w:fldChar w:fldCharType="end"/>
      </w:r>
      <w:r>
        <w:rPr>
          <w:noProof/>
        </w:rPr>
        <w:fldChar w:fldCharType="end"/>
      </w:r>
    </w:p>
    <w:p w:rsidR="00B72047" w:rsidRDefault="00B72047">
      <w:pPr>
        <w:pStyle w:val="TOC2"/>
        <w:rPr>
          <w:noProof/>
        </w:rPr>
      </w:pPr>
      <w:r>
        <w:rPr>
          <w:noProof/>
        </w:rPr>
        <w:t>11. Summary — Are All Possible Questions About Negation Now Answered?</w:t>
      </w:r>
      <w:r>
        <w:rPr>
          <w:noProof/>
        </w:rPr>
        <w:tab/>
      </w:r>
      <w:r>
        <w:rPr>
          <w:noProof/>
        </w:rPr>
        <w:fldChar w:fldCharType="begin"/>
      </w:r>
      <w:r>
        <w:rPr>
          <w:noProof/>
        </w:rPr>
        <w:instrText xml:space="preserve"> GOTOBUTTON _Toc398970691  </w:instrText>
      </w:r>
      <w:r>
        <w:rPr>
          <w:noProof/>
        </w:rPr>
        <w:fldChar w:fldCharType="begin"/>
      </w:r>
      <w:r>
        <w:rPr>
          <w:noProof/>
        </w:rPr>
        <w:instrText xml:space="preserve"> PAGEREF _Toc398970691 </w:instrText>
      </w:r>
      <w:r>
        <w:rPr>
          <w:noProof/>
        </w:rPr>
        <w:fldChar w:fldCharType="separate"/>
      </w:r>
      <w:r>
        <w:rPr>
          <w:noProof/>
        </w:rPr>
        <w:instrText>388</w:instrText>
      </w:r>
      <w:r>
        <w:rPr>
          <w:noProof/>
        </w:rPr>
        <w:fldChar w:fldCharType="end"/>
      </w:r>
      <w:r>
        <w:rPr>
          <w:noProof/>
        </w:rPr>
        <w:fldChar w:fldCharType="end"/>
      </w:r>
    </w:p>
    <w:p w:rsidR="00B72047" w:rsidRDefault="00B72047">
      <w:pPr>
        <w:pStyle w:val="TOC1"/>
        <w:rPr>
          <w:noProof/>
        </w:rPr>
      </w:pPr>
      <w:r>
        <w:rPr>
          <w:noProof/>
        </w:rPr>
        <w:t>Chapter 16  “Who Did You Pass On The Road? Nobody”: Lojban And Logic</w:t>
      </w:r>
      <w:r>
        <w:rPr>
          <w:noProof/>
        </w:rPr>
        <w:tab/>
      </w:r>
      <w:r>
        <w:rPr>
          <w:noProof/>
        </w:rPr>
        <w:fldChar w:fldCharType="begin"/>
      </w:r>
      <w:r>
        <w:rPr>
          <w:noProof/>
        </w:rPr>
        <w:instrText xml:space="preserve"> GOTOBUTTON _Toc398970693  </w:instrText>
      </w:r>
      <w:r>
        <w:rPr>
          <w:noProof/>
        </w:rPr>
        <w:fldChar w:fldCharType="begin"/>
      </w:r>
      <w:r>
        <w:rPr>
          <w:noProof/>
        </w:rPr>
        <w:instrText xml:space="preserve"> PAGEREF _Toc398970693 </w:instrText>
      </w:r>
      <w:r>
        <w:rPr>
          <w:noProof/>
        </w:rPr>
        <w:fldChar w:fldCharType="separate"/>
      </w:r>
      <w:r>
        <w:rPr>
          <w:noProof/>
        </w:rPr>
        <w:instrText>391</w:instrText>
      </w:r>
      <w:r>
        <w:rPr>
          <w:noProof/>
        </w:rPr>
        <w:fldChar w:fldCharType="end"/>
      </w:r>
      <w:r>
        <w:rPr>
          <w:noProof/>
        </w:rPr>
        <w:fldChar w:fldCharType="end"/>
      </w:r>
    </w:p>
    <w:p w:rsidR="00B72047" w:rsidRDefault="00B72047">
      <w:pPr>
        <w:pStyle w:val="TOC2"/>
        <w:rPr>
          <w:noProof/>
        </w:rPr>
      </w:pPr>
      <w:r>
        <w:rPr>
          <w:noProof/>
        </w:rPr>
        <w:t>1. What's wrong with this picture?</w:t>
      </w:r>
      <w:r>
        <w:rPr>
          <w:noProof/>
        </w:rPr>
        <w:tab/>
      </w:r>
      <w:r>
        <w:rPr>
          <w:noProof/>
        </w:rPr>
        <w:fldChar w:fldCharType="begin"/>
      </w:r>
      <w:r>
        <w:rPr>
          <w:noProof/>
        </w:rPr>
        <w:instrText xml:space="preserve"> GOTOBUTTON _Toc398970694  </w:instrText>
      </w:r>
      <w:r>
        <w:rPr>
          <w:noProof/>
        </w:rPr>
        <w:fldChar w:fldCharType="begin"/>
      </w:r>
      <w:r>
        <w:rPr>
          <w:noProof/>
        </w:rPr>
        <w:instrText xml:space="preserve"> PAGEREF _Toc398970694 </w:instrText>
      </w:r>
      <w:r>
        <w:rPr>
          <w:noProof/>
        </w:rPr>
        <w:fldChar w:fldCharType="separate"/>
      </w:r>
      <w:r>
        <w:rPr>
          <w:noProof/>
        </w:rPr>
        <w:instrText>391</w:instrText>
      </w:r>
      <w:r>
        <w:rPr>
          <w:noProof/>
        </w:rPr>
        <w:fldChar w:fldCharType="end"/>
      </w:r>
      <w:r>
        <w:rPr>
          <w:noProof/>
        </w:rPr>
        <w:fldChar w:fldCharType="end"/>
      </w:r>
    </w:p>
    <w:p w:rsidR="00B72047" w:rsidRDefault="00B72047">
      <w:pPr>
        <w:pStyle w:val="TOC2"/>
        <w:rPr>
          <w:noProof/>
        </w:rPr>
      </w:pPr>
      <w:r>
        <w:rPr>
          <w:noProof/>
        </w:rPr>
        <w:t>2. Existential claims, prenexes, and variables</w:t>
      </w:r>
      <w:r>
        <w:rPr>
          <w:noProof/>
        </w:rPr>
        <w:tab/>
      </w:r>
      <w:r>
        <w:rPr>
          <w:noProof/>
        </w:rPr>
        <w:fldChar w:fldCharType="begin"/>
      </w:r>
      <w:r>
        <w:rPr>
          <w:noProof/>
        </w:rPr>
        <w:instrText xml:space="preserve"> GOTOBUTTON _Toc398970695  </w:instrText>
      </w:r>
      <w:r>
        <w:rPr>
          <w:noProof/>
        </w:rPr>
        <w:fldChar w:fldCharType="begin"/>
      </w:r>
      <w:r>
        <w:rPr>
          <w:noProof/>
        </w:rPr>
        <w:instrText xml:space="preserve"> PAGEREF _Toc398970695 </w:instrText>
      </w:r>
      <w:r>
        <w:rPr>
          <w:noProof/>
        </w:rPr>
        <w:fldChar w:fldCharType="separate"/>
      </w:r>
      <w:r>
        <w:rPr>
          <w:noProof/>
        </w:rPr>
        <w:instrText>392</w:instrText>
      </w:r>
      <w:r>
        <w:rPr>
          <w:noProof/>
        </w:rPr>
        <w:fldChar w:fldCharType="end"/>
      </w:r>
      <w:r>
        <w:rPr>
          <w:noProof/>
        </w:rPr>
        <w:fldChar w:fldCharType="end"/>
      </w:r>
    </w:p>
    <w:p w:rsidR="00B72047" w:rsidRDefault="00B72047">
      <w:pPr>
        <w:pStyle w:val="TOC2"/>
        <w:rPr>
          <w:noProof/>
        </w:rPr>
      </w:pPr>
      <w:r>
        <w:rPr>
          <w:noProof/>
        </w:rPr>
        <w:t>3. Universal claims</w:t>
      </w:r>
      <w:r>
        <w:rPr>
          <w:noProof/>
        </w:rPr>
        <w:tab/>
      </w:r>
      <w:r>
        <w:rPr>
          <w:noProof/>
        </w:rPr>
        <w:fldChar w:fldCharType="begin"/>
      </w:r>
      <w:r>
        <w:rPr>
          <w:noProof/>
        </w:rPr>
        <w:instrText xml:space="preserve"> GOTOBUTTON _Toc398970696  </w:instrText>
      </w:r>
      <w:r>
        <w:rPr>
          <w:noProof/>
        </w:rPr>
        <w:fldChar w:fldCharType="begin"/>
      </w:r>
      <w:r>
        <w:rPr>
          <w:noProof/>
        </w:rPr>
        <w:instrText xml:space="preserve"> PAGEREF _Toc398970696 </w:instrText>
      </w:r>
      <w:r>
        <w:rPr>
          <w:noProof/>
        </w:rPr>
        <w:fldChar w:fldCharType="separate"/>
      </w:r>
      <w:r>
        <w:rPr>
          <w:noProof/>
        </w:rPr>
        <w:instrText>393</w:instrText>
      </w:r>
      <w:r>
        <w:rPr>
          <w:noProof/>
        </w:rPr>
        <w:fldChar w:fldCharType="end"/>
      </w:r>
      <w:r>
        <w:rPr>
          <w:noProof/>
        </w:rPr>
        <w:fldChar w:fldCharType="end"/>
      </w:r>
    </w:p>
    <w:p w:rsidR="00B72047" w:rsidRDefault="00B72047">
      <w:pPr>
        <w:pStyle w:val="TOC2"/>
        <w:rPr>
          <w:noProof/>
        </w:rPr>
      </w:pPr>
      <w:r>
        <w:rPr>
          <w:noProof/>
        </w:rPr>
        <w:t>4. Restricted claims: “da poi”</w:t>
      </w:r>
      <w:r>
        <w:rPr>
          <w:noProof/>
        </w:rPr>
        <w:tab/>
      </w:r>
      <w:r>
        <w:rPr>
          <w:noProof/>
        </w:rPr>
        <w:fldChar w:fldCharType="begin"/>
      </w:r>
      <w:r>
        <w:rPr>
          <w:noProof/>
        </w:rPr>
        <w:instrText xml:space="preserve"> GOTOBUTTON _Toc398970697  </w:instrText>
      </w:r>
      <w:r>
        <w:rPr>
          <w:noProof/>
        </w:rPr>
        <w:fldChar w:fldCharType="begin"/>
      </w:r>
      <w:r>
        <w:rPr>
          <w:noProof/>
        </w:rPr>
        <w:instrText xml:space="preserve"> PAGEREF _Toc398970697 </w:instrText>
      </w:r>
      <w:r>
        <w:rPr>
          <w:noProof/>
        </w:rPr>
        <w:fldChar w:fldCharType="separate"/>
      </w:r>
      <w:r>
        <w:rPr>
          <w:noProof/>
        </w:rPr>
        <w:instrText>394</w:instrText>
      </w:r>
      <w:r>
        <w:rPr>
          <w:noProof/>
        </w:rPr>
        <w:fldChar w:fldCharType="end"/>
      </w:r>
      <w:r>
        <w:rPr>
          <w:noProof/>
        </w:rPr>
        <w:fldChar w:fldCharType="end"/>
      </w:r>
    </w:p>
    <w:p w:rsidR="00B72047" w:rsidRDefault="00B72047">
      <w:pPr>
        <w:pStyle w:val="TOC2"/>
        <w:rPr>
          <w:noProof/>
        </w:rPr>
      </w:pPr>
      <w:r>
        <w:rPr>
          <w:noProof/>
        </w:rPr>
        <w:t>5. Dropping the prenex</w:t>
      </w:r>
      <w:r>
        <w:rPr>
          <w:noProof/>
        </w:rPr>
        <w:tab/>
      </w:r>
      <w:r>
        <w:rPr>
          <w:noProof/>
        </w:rPr>
        <w:fldChar w:fldCharType="begin"/>
      </w:r>
      <w:r>
        <w:rPr>
          <w:noProof/>
        </w:rPr>
        <w:instrText xml:space="preserve"> GOTOBUTTON _Toc398970698  </w:instrText>
      </w:r>
      <w:r>
        <w:rPr>
          <w:noProof/>
        </w:rPr>
        <w:fldChar w:fldCharType="begin"/>
      </w:r>
      <w:r>
        <w:rPr>
          <w:noProof/>
        </w:rPr>
        <w:instrText xml:space="preserve"> PAGEREF _Toc398970698 </w:instrText>
      </w:r>
      <w:r>
        <w:rPr>
          <w:noProof/>
        </w:rPr>
        <w:fldChar w:fldCharType="separate"/>
      </w:r>
      <w:r>
        <w:rPr>
          <w:noProof/>
        </w:rPr>
        <w:instrText>395</w:instrText>
      </w:r>
      <w:r>
        <w:rPr>
          <w:noProof/>
        </w:rPr>
        <w:fldChar w:fldCharType="end"/>
      </w:r>
      <w:r>
        <w:rPr>
          <w:noProof/>
        </w:rPr>
        <w:fldChar w:fldCharType="end"/>
      </w:r>
    </w:p>
    <w:p w:rsidR="00B72047" w:rsidRDefault="00B72047">
      <w:pPr>
        <w:pStyle w:val="TOC2"/>
        <w:rPr>
          <w:noProof/>
        </w:rPr>
      </w:pPr>
      <w:r>
        <w:rPr>
          <w:noProof/>
        </w:rPr>
        <w:t>6. Variables with generalized quantifiers</w:t>
      </w:r>
      <w:r>
        <w:rPr>
          <w:noProof/>
        </w:rPr>
        <w:tab/>
      </w:r>
      <w:r>
        <w:rPr>
          <w:noProof/>
        </w:rPr>
        <w:fldChar w:fldCharType="begin"/>
      </w:r>
      <w:r>
        <w:rPr>
          <w:noProof/>
        </w:rPr>
        <w:instrText xml:space="preserve"> GOTOBUTTON _Toc398970699  </w:instrText>
      </w:r>
      <w:r>
        <w:rPr>
          <w:noProof/>
        </w:rPr>
        <w:fldChar w:fldCharType="begin"/>
      </w:r>
      <w:r>
        <w:rPr>
          <w:noProof/>
        </w:rPr>
        <w:instrText xml:space="preserve"> PAGEREF _Toc398970699 </w:instrText>
      </w:r>
      <w:r>
        <w:rPr>
          <w:noProof/>
        </w:rPr>
        <w:fldChar w:fldCharType="separate"/>
      </w:r>
      <w:r>
        <w:rPr>
          <w:noProof/>
        </w:rPr>
        <w:instrText>397</w:instrText>
      </w:r>
      <w:r>
        <w:rPr>
          <w:noProof/>
        </w:rPr>
        <w:fldChar w:fldCharType="end"/>
      </w:r>
      <w:r>
        <w:rPr>
          <w:noProof/>
        </w:rPr>
        <w:fldChar w:fldCharType="end"/>
      </w:r>
    </w:p>
    <w:p w:rsidR="00B72047" w:rsidRDefault="00B72047">
      <w:pPr>
        <w:pStyle w:val="TOC2"/>
        <w:rPr>
          <w:noProof/>
        </w:rPr>
      </w:pPr>
      <w:r>
        <w:rPr>
          <w:noProof/>
        </w:rPr>
        <w:t>7. Grouping of quantifiers</w:t>
      </w:r>
      <w:r>
        <w:rPr>
          <w:noProof/>
        </w:rPr>
        <w:tab/>
      </w:r>
      <w:r>
        <w:rPr>
          <w:noProof/>
        </w:rPr>
        <w:fldChar w:fldCharType="begin"/>
      </w:r>
      <w:r>
        <w:rPr>
          <w:noProof/>
        </w:rPr>
        <w:instrText xml:space="preserve"> GOTOBUTTON _Toc398970700  </w:instrText>
      </w:r>
      <w:r>
        <w:rPr>
          <w:noProof/>
        </w:rPr>
        <w:fldChar w:fldCharType="begin"/>
      </w:r>
      <w:r>
        <w:rPr>
          <w:noProof/>
        </w:rPr>
        <w:instrText xml:space="preserve"> PAGEREF _Toc398970700 </w:instrText>
      </w:r>
      <w:r>
        <w:rPr>
          <w:noProof/>
        </w:rPr>
        <w:fldChar w:fldCharType="separate"/>
      </w:r>
      <w:r>
        <w:rPr>
          <w:noProof/>
        </w:rPr>
        <w:instrText>398</w:instrText>
      </w:r>
      <w:r>
        <w:rPr>
          <w:noProof/>
        </w:rPr>
        <w:fldChar w:fldCharType="end"/>
      </w:r>
      <w:r>
        <w:rPr>
          <w:noProof/>
        </w:rPr>
        <w:fldChar w:fldCharType="end"/>
      </w:r>
    </w:p>
    <w:p w:rsidR="00B72047" w:rsidRDefault="00B72047">
      <w:pPr>
        <w:pStyle w:val="TOC2"/>
        <w:rPr>
          <w:noProof/>
        </w:rPr>
      </w:pPr>
      <w:r>
        <w:rPr>
          <w:noProof/>
        </w:rPr>
        <w:t>8. The problem of “any”</w:t>
      </w:r>
      <w:r>
        <w:rPr>
          <w:noProof/>
        </w:rPr>
        <w:tab/>
      </w:r>
      <w:r>
        <w:rPr>
          <w:noProof/>
        </w:rPr>
        <w:fldChar w:fldCharType="begin"/>
      </w:r>
      <w:r>
        <w:rPr>
          <w:noProof/>
        </w:rPr>
        <w:instrText xml:space="preserve"> GOTOBUTTON _Toc398970701  </w:instrText>
      </w:r>
      <w:r>
        <w:rPr>
          <w:noProof/>
        </w:rPr>
        <w:fldChar w:fldCharType="begin"/>
      </w:r>
      <w:r>
        <w:rPr>
          <w:noProof/>
        </w:rPr>
        <w:instrText xml:space="preserve"> PAGEREF _Toc398970701 </w:instrText>
      </w:r>
      <w:r>
        <w:rPr>
          <w:noProof/>
        </w:rPr>
        <w:fldChar w:fldCharType="separate"/>
      </w:r>
      <w:r>
        <w:rPr>
          <w:noProof/>
        </w:rPr>
        <w:instrText>399</w:instrText>
      </w:r>
      <w:r>
        <w:rPr>
          <w:noProof/>
        </w:rPr>
        <w:fldChar w:fldCharType="end"/>
      </w:r>
      <w:r>
        <w:rPr>
          <w:noProof/>
        </w:rPr>
        <w:fldChar w:fldCharType="end"/>
      </w:r>
    </w:p>
    <w:p w:rsidR="00B72047" w:rsidRDefault="00B72047">
      <w:pPr>
        <w:pStyle w:val="TOC2"/>
        <w:rPr>
          <w:noProof/>
        </w:rPr>
      </w:pPr>
      <w:r>
        <w:rPr>
          <w:noProof/>
        </w:rPr>
        <w:t>9. Negation boundaries</w:t>
      </w:r>
      <w:r>
        <w:rPr>
          <w:noProof/>
        </w:rPr>
        <w:tab/>
      </w:r>
      <w:r>
        <w:rPr>
          <w:noProof/>
        </w:rPr>
        <w:fldChar w:fldCharType="begin"/>
      </w:r>
      <w:r>
        <w:rPr>
          <w:noProof/>
        </w:rPr>
        <w:instrText xml:space="preserve"> GOTOBUTTON _Toc398970702  </w:instrText>
      </w:r>
      <w:r>
        <w:rPr>
          <w:noProof/>
        </w:rPr>
        <w:fldChar w:fldCharType="begin"/>
      </w:r>
      <w:r>
        <w:rPr>
          <w:noProof/>
        </w:rPr>
        <w:instrText xml:space="preserve"> PAGEREF _Toc398970702 </w:instrText>
      </w:r>
      <w:r>
        <w:rPr>
          <w:noProof/>
        </w:rPr>
        <w:fldChar w:fldCharType="separate"/>
      </w:r>
      <w:r>
        <w:rPr>
          <w:noProof/>
        </w:rPr>
        <w:instrText>401</w:instrText>
      </w:r>
      <w:r>
        <w:rPr>
          <w:noProof/>
        </w:rPr>
        <w:fldChar w:fldCharType="end"/>
      </w:r>
      <w:r>
        <w:rPr>
          <w:noProof/>
        </w:rPr>
        <w:fldChar w:fldCharType="end"/>
      </w:r>
    </w:p>
    <w:p w:rsidR="00B72047" w:rsidRDefault="00B72047">
      <w:pPr>
        <w:pStyle w:val="TOC2"/>
        <w:rPr>
          <w:noProof/>
        </w:rPr>
      </w:pPr>
      <w:r>
        <w:rPr>
          <w:noProof/>
        </w:rPr>
        <w:t>10. bridi negation and logical connectives</w:t>
      </w:r>
      <w:r>
        <w:rPr>
          <w:noProof/>
        </w:rPr>
        <w:tab/>
      </w:r>
      <w:r>
        <w:rPr>
          <w:noProof/>
        </w:rPr>
        <w:fldChar w:fldCharType="begin"/>
      </w:r>
      <w:r>
        <w:rPr>
          <w:noProof/>
        </w:rPr>
        <w:instrText xml:space="preserve"> GOTOBUTTON _Toc398970703  </w:instrText>
      </w:r>
      <w:r>
        <w:rPr>
          <w:noProof/>
        </w:rPr>
        <w:fldChar w:fldCharType="begin"/>
      </w:r>
      <w:r>
        <w:rPr>
          <w:noProof/>
        </w:rPr>
        <w:instrText xml:space="preserve"> PAGEREF _Toc398970703 </w:instrText>
      </w:r>
      <w:r>
        <w:rPr>
          <w:noProof/>
        </w:rPr>
        <w:fldChar w:fldCharType="separate"/>
      </w:r>
      <w:r>
        <w:rPr>
          <w:noProof/>
        </w:rPr>
        <w:instrText>403</w:instrText>
      </w:r>
      <w:r>
        <w:rPr>
          <w:noProof/>
        </w:rPr>
        <w:fldChar w:fldCharType="end"/>
      </w:r>
      <w:r>
        <w:rPr>
          <w:noProof/>
        </w:rPr>
        <w:fldChar w:fldCharType="end"/>
      </w:r>
    </w:p>
    <w:p w:rsidR="00B72047" w:rsidRDefault="00B72047">
      <w:pPr>
        <w:pStyle w:val="TOC2"/>
        <w:rPr>
          <w:noProof/>
        </w:rPr>
      </w:pPr>
      <w:r>
        <w:rPr>
          <w:noProof/>
        </w:rPr>
        <w:t>11. Using “naku” outside a prenex</w:t>
      </w:r>
      <w:r>
        <w:rPr>
          <w:noProof/>
        </w:rPr>
        <w:tab/>
      </w:r>
      <w:r>
        <w:rPr>
          <w:noProof/>
        </w:rPr>
        <w:fldChar w:fldCharType="begin"/>
      </w:r>
      <w:r>
        <w:rPr>
          <w:noProof/>
        </w:rPr>
        <w:instrText xml:space="preserve"> GOTOBUTTON _Toc398970704  </w:instrText>
      </w:r>
      <w:r>
        <w:rPr>
          <w:noProof/>
        </w:rPr>
        <w:fldChar w:fldCharType="begin"/>
      </w:r>
      <w:r>
        <w:rPr>
          <w:noProof/>
        </w:rPr>
        <w:instrText xml:space="preserve"> PAGEREF _Toc398970704 </w:instrText>
      </w:r>
      <w:r>
        <w:rPr>
          <w:noProof/>
        </w:rPr>
        <w:fldChar w:fldCharType="separate"/>
      </w:r>
      <w:r>
        <w:rPr>
          <w:noProof/>
        </w:rPr>
        <w:instrText>405</w:instrText>
      </w:r>
      <w:r>
        <w:rPr>
          <w:noProof/>
        </w:rPr>
        <w:fldChar w:fldCharType="end"/>
      </w:r>
      <w:r>
        <w:rPr>
          <w:noProof/>
        </w:rPr>
        <w:fldChar w:fldCharType="end"/>
      </w:r>
    </w:p>
    <w:p w:rsidR="00B72047" w:rsidRDefault="00B72047">
      <w:pPr>
        <w:pStyle w:val="TOC2"/>
        <w:rPr>
          <w:noProof/>
        </w:rPr>
      </w:pPr>
      <w:r>
        <w:rPr>
          <w:noProof/>
        </w:rPr>
        <w:t>12. Logical Connectives and DeMorgan's Law</w:t>
      </w:r>
      <w:r>
        <w:rPr>
          <w:noProof/>
        </w:rPr>
        <w:tab/>
      </w:r>
      <w:r>
        <w:rPr>
          <w:noProof/>
        </w:rPr>
        <w:fldChar w:fldCharType="begin"/>
      </w:r>
      <w:r>
        <w:rPr>
          <w:noProof/>
        </w:rPr>
        <w:instrText xml:space="preserve"> GOTOBUTTON _Toc398970705  </w:instrText>
      </w:r>
      <w:r>
        <w:rPr>
          <w:noProof/>
        </w:rPr>
        <w:fldChar w:fldCharType="begin"/>
      </w:r>
      <w:r>
        <w:rPr>
          <w:noProof/>
        </w:rPr>
        <w:instrText xml:space="preserve"> PAGEREF _Toc398970705 </w:instrText>
      </w:r>
      <w:r>
        <w:rPr>
          <w:noProof/>
        </w:rPr>
        <w:fldChar w:fldCharType="separate"/>
      </w:r>
      <w:r>
        <w:rPr>
          <w:noProof/>
        </w:rPr>
        <w:instrText>407</w:instrText>
      </w:r>
      <w:r>
        <w:rPr>
          <w:noProof/>
        </w:rPr>
        <w:fldChar w:fldCharType="end"/>
      </w:r>
      <w:r>
        <w:rPr>
          <w:noProof/>
        </w:rPr>
        <w:fldChar w:fldCharType="end"/>
      </w:r>
    </w:p>
    <w:p w:rsidR="00B72047" w:rsidRDefault="00B72047">
      <w:pPr>
        <w:pStyle w:val="TOC2"/>
        <w:rPr>
          <w:noProof/>
        </w:rPr>
      </w:pPr>
      <w:r>
        <w:rPr>
          <w:noProof/>
        </w:rPr>
        <w:t>13. selbri variables</w:t>
      </w:r>
      <w:r>
        <w:rPr>
          <w:noProof/>
        </w:rPr>
        <w:tab/>
      </w:r>
      <w:r>
        <w:rPr>
          <w:noProof/>
        </w:rPr>
        <w:fldChar w:fldCharType="begin"/>
      </w:r>
      <w:r>
        <w:rPr>
          <w:noProof/>
        </w:rPr>
        <w:instrText xml:space="preserve"> GOTOBUTTON _Toc398970706  </w:instrText>
      </w:r>
      <w:r>
        <w:rPr>
          <w:noProof/>
        </w:rPr>
        <w:fldChar w:fldCharType="begin"/>
      </w:r>
      <w:r>
        <w:rPr>
          <w:noProof/>
        </w:rPr>
        <w:instrText xml:space="preserve"> PAGEREF _Toc398970706 </w:instrText>
      </w:r>
      <w:r>
        <w:rPr>
          <w:noProof/>
        </w:rPr>
        <w:fldChar w:fldCharType="separate"/>
      </w:r>
      <w:r>
        <w:rPr>
          <w:noProof/>
        </w:rPr>
        <w:instrText>409</w:instrText>
      </w:r>
      <w:r>
        <w:rPr>
          <w:noProof/>
        </w:rPr>
        <w:fldChar w:fldCharType="end"/>
      </w:r>
      <w:r>
        <w:rPr>
          <w:noProof/>
        </w:rPr>
        <w:fldChar w:fldCharType="end"/>
      </w:r>
    </w:p>
    <w:p w:rsidR="00B72047" w:rsidRDefault="00B72047">
      <w:pPr>
        <w:pStyle w:val="TOC2"/>
        <w:rPr>
          <w:noProof/>
        </w:rPr>
      </w:pPr>
      <w:r>
        <w:rPr>
          <w:noProof/>
        </w:rPr>
        <w:t>14. A few notes on variables</w:t>
      </w:r>
      <w:r>
        <w:rPr>
          <w:noProof/>
        </w:rPr>
        <w:tab/>
      </w:r>
      <w:r>
        <w:rPr>
          <w:noProof/>
        </w:rPr>
        <w:fldChar w:fldCharType="begin"/>
      </w:r>
      <w:r>
        <w:rPr>
          <w:noProof/>
        </w:rPr>
        <w:instrText xml:space="preserve"> GOTOBUTTON _Toc398970707  </w:instrText>
      </w:r>
      <w:r>
        <w:rPr>
          <w:noProof/>
        </w:rPr>
        <w:fldChar w:fldCharType="begin"/>
      </w:r>
      <w:r>
        <w:rPr>
          <w:noProof/>
        </w:rPr>
        <w:instrText xml:space="preserve"> PAGEREF _Toc398970707 </w:instrText>
      </w:r>
      <w:r>
        <w:rPr>
          <w:noProof/>
        </w:rPr>
        <w:fldChar w:fldCharType="separate"/>
      </w:r>
      <w:r>
        <w:rPr>
          <w:noProof/>
        </w:rPr>
        <w:instrText>410</w:instrText>
      </w:r>
      <w:r>
        <w:rPr>
          <w:noProof/>
        </w:rPr>
        <w:fldChar w:fldCharType="end"/>
      </w:r>
      <w:r>
        <w:rPr>
          <w:noProof/>
        </w:rPr>
        <w:fldChar w:fldCharType="end"/>
      </w:r>
    </w:p>
    <w:p w:rsidR="00B72047" w:rsidRDefault="00B72047">
      <w:pPr>
        <w:pStyle w:val="TOC2"/>
        <w:rPr>
          <w:noProof/>
        </w:rPr>
      </w:pPr>
      <w:r>
        <w:rPr>
          <w:noProof/>
        </w:rPr>
        <w:t>15. Conclusion</w:t>
      </w:r>
      <w:r>
        <w:rPr>
          <w:noProof/>
        </w:rPr>
        <w:tab/>
      </w:r>
      <w:r>
        <w:rPr>
          <w:noProof/>
        </w:rPr>
        <w:fldChar w:fldCharType="begin"/>
      </w:r>
      <w:r>
        <w:rPr>
          <w:noProof/>
        </w:rPr>
        <w:instrText xml:space="preserve"> GOTOBUTTON _Toc398970708  </w:instrText>
      </w:r>
      <w:r>
        <w:rPr>
          <w:noProof/>
        </w:rPr>
        <w:fldChar w:fldCharType="begin"/>
      </w:r>
      <w:r>
        <w:rPr>
          <w:noProof/>
        </w:rPr>
        <w:instrText xml:space="preserve"> PAGEREF _Toc398970708 </w:instrText>
      </w:r>
      <w:r>
        <w:rPr>
          <w:noProof/>
        </w:rPr>
        <w:fldChar w:fldCharType="separate"/>
      </w:r>
      <w:r>
        <w:rPr>
          <w:noProof/>
        </w:rPr>
        <w:instrText>411</w:instrText>
      </w:r>
      <w:r>
        <w:rPr>
          <w:noProof/>
        </w:rPr>
        <w:fldChar w:fldCharType="end"/>
      </w:r>
      <w:r>
        <w:rPr>
          <w:noProof/>
        </w:rPr>
        <w:fldChar w:fldCharType="end"/>
      </w:r>
    </w:p>
    <w:p w:rsidR="00B72047" w:rsidRDefault="00B72047">
      <w:pPr>
        <w:pStyle w:val="TOC1"/>
        <w:rPr>
          <w:noProof/>
        </w:rPr>
      </w:pPr>
      <w:r>
        <w:rPr>
          <w:noProof/>
        </w:rPr>
        <w:t>Chapter 17  As Easy As A-B-C? The Lojban Letteral System And Its Uses</w:t>
      </w:r>
      <w:r>
        <w:rPr>
          <w:noProof/>
        </w:rPr>
        <w:tab/>
      </w:r>
      <w:r>
        <w:rPr>
          <w:noProof/>
        </w:rPr>
        <w:fldChar w:fldCharType="begin"/>
      </w:r>
      <w:r>
        <w:rPr>
          <w:noProof/>
        </w:rPr>
        <w:instrText xml:space="preserve"> GOTOBUTTON _Toc398970710  </w:instrText>
      </w:r>
      <w:r>
        <w:rPr>
          <w:noProof/>
        </w:rPr>
        <w:fldChar w:fldCharType="begin"/>
      </w:r>
      <w:r>
        <w:rPr>
          <w:noProof/>
        </w:rPr>
        <w:instrText xml:space="preserve"> PAGEREF _Toc398970710 </w:instrText>
      </w:r>
      <w:r>
        <w:rPr>
          <w:noProof/>
        </w:rPr>
        <w:fldChar w:fldCharType="separate"/>
      </w:r>
      <w:r>
        <w:rPr>
          <w:noProof/>
        </w:rPr>
        <w:instrText>413</w:instrText>
      </w:r>
      <w:r>
        <w:rPr>
          <w:noProof/>
        </w:rPr>
        <w:fldChar w:fldCharType="end"/>
      </w:r>
      <w:r>
        <w:rPr>
          <w:noProof/>
        </w:rPr>
        <w:fldChar w:fldCharType="end"/>
      </w:r>
    </w:p>
    <w:p w:rsidR="00B72047" w:rsidRDefault="00B72047">
      <w:pPr>
        <w:pStyle w:val="TOC2"/>
        <w:rPr>
          <w:noProof/>
        </w:rPr>
      </w:pPr>
      <w:r>
        <w:rPr>
          <w:noProof/>
        </w:rPr>
        <w:t>1. What's a letteral, anyway?</w:t>
      </w:r>
      <w:r>
        <w:rPr>
          <w:noProof/>
        </w:rPr>
        <w:tab/>
      </w:r>
      <w:r>
        <w:rPr>
          <w:noProof/>
        </w:rPr>
        <w:fldChar w:fldCharType="begin"/>
      </w:r>
      <w:r>
        <w:rPr>
          <w:noProof/>
        </w:rPr>
        <w:instrText xml:space="preserve"> GOTOBUTTON _Toc398970711  </w:instrText>
      </w:r>
      <w:r>
        <w:rPr>
          <w:noProof/>
        </w:rPr>
        <w:fldChar w:fldCharType="begin"/>
      </w:r>
      <w:r>
        <w:rPr>
          <w:noProof/>
        </w:rPr>
        <w:instrText xml:space="preserve"> PAGEREF _Toc398970711 </w:instrText>
      </w:r>
      <w:r>
        <w:rPr>
          <w:noProof/>
        </w:rPr>
        <w:fldChar w:fldCharType="separate"/>
      </w:r>
      <w:r>
        <w:rPr>
          <w:noProof/>
        </w:rPr>
        <w:instrText>413</w:instrText>
      </w:r>
      <w:r>
        <w:rPr>
          <w:noProof/>
        </w:rPr>
        <w:fldChar w:fldCharType="end"/>
      </w:r>
      <w:r>
        <w:rPr>
          <w:noProof/>
        </w:rPr>
        <w:fldChar w:fldCharType="end"/>
      </w:r>
    </w:p>
    <w:p w:rsidR="00B72047" w:rsidRDefault="00B72047">
      <w:pPr>
        <w:pStyle w:val="TOC2"/>
        <w:rPr>
          <w:noProof/>
        </w:rPr>
      </w:pPr>
      <w:r>
        <w:rPr>
          <w:noProof/>
        </w:rPr>
        <w:t>2. A to Z in Lojban, plus one</w:t>
      </w:r>
      <w:r>
        <w:rPr>
          <w:noProof/>
        </w:rPr>
        <w:tab/>
      </w:r>
      <w:r>
        <w:rPr>
          <w:noProof/>
        </w:rPr>
        <w:fldChar w:fldCharType="begin"/>
      </w:r>
      <w:r>
        <w:rPr>
          <w:noProof/>
        </w:rPr>
        <w:instrText xml:space="preserve"> GOTOBUTTON _Toc398970712  </w:instrText>
      </w:r>
      <w:r>
        <w:rPr>
          <w:noProof/>
        </w:rPr>
        <w:fldChar w:fldCharType="begin"/>
      </w:r>
      <w:r>
        <w:rPr>
          <w:noProof/>
        </w:rPr>
        <w:instrText xml:space="preserve"> PAGEREF _Toc398970712 </w:instrText>
      </w:r>
      <w:r>
        <w:rPr>
          <w:noProof/>
        </w:rPr>
        <w:fldChar w:fldCharType="separate"/>
      </w:r>
      <w:r>
        <w:rPr>
          <w:noProof/>
        </w:rPr>
        <w:instrText>413</w:instrText>
      </w:r>
      <w:r>
        <w:rPr>
          <w:noProof/>
        </w:rPr>
        <w:fldChar w:fldCharType="end"/>
      </w:r>
      <w:r>
        <w:rPr>
          <w:noProof/>
        </w:rPr>
        <w:fldChar w:fldCharType="end"/>
      </w:r>
    </w:p>
    <w:p w:rsidR="00B72047" w:rsidRDefault="00B72047">
      <w:pPr>
        <w:pStyle w:val="TOC2"/>
        <w:rPr>
          <w:noProof/>
        </w:rPr>
      </w:pPr>
      <w:r>
        <w:rPr>
          <w:noProof/>
        </w:rPr>
        <w:t>3. Upper and lower cases</w:t>
      </w:r>
      <w:r>
        <w:rPr>
          <w:noProof/>
        </w:rPr>
        <w:tab/>
      </w:r>
      <w:r>
        <w:rPr>
          <w:noProof/>
        </w:rPr>
        <w:fldChar w:fldCharType="begin"/>
      </w:r>
      <w:r>
        <w:rPr>
          <w:noProof/>
        </w:rPr>
        <w:instrText xml:space="preserve"> GOTOBUTTON _Toc398970713  </w:instrText>
      </w:r>
      <w:r>
        <w:rPr>
          <w:noProof/>
        </w:rPr>
        <w:fldChar w:fldCharType="begin"/>
      </w:r>
      <w:r>
        <w:rPr>
          <w:noProof/>
        </w:rPr>
        <w:instrText xml:space="preserve"> PAGEREF _Toc398970713 </w:instrText>
      </w:r>
      <w:r>
        <w:rPr>
          <w:noProof/>
        </w:rPr>
        <w:fldChar w:fldCharType="separate"/>
      </w:r>
      <w:r>
        <w:rPr>
          <w:noProof/>
        </w:rPr>
        <w:instrText>415</w:instrText>
      </w:r>
      <w:r>
        <w:rPr>
          <w:noProof/>
        </w:rPr>
        <w:fldChar w:fldCharType="end"/>
      </w:r>
      <w:r>
        <w:rPr>
          <w:noProof/>
        </w:rPr>
        <w:fldChar w:fldCharType="end"/>
      </w:r>
    </w:p>
    <w:p w:rsidR="00B72047" w:rsidRDefault="00B72047">
      <w:pPr>
        <w:pStyle w:val="TOC2"/>
        <w:rPr>
          <w:noProof/>
        </w:rPr>
      </w:pPr>
      <w:r>
        <w:rPr>
          <w:noProof/>
        </w:rPr>
        <w:t>4. The universal “bu”</w:t>
      </w:r>
      <w:r>
        <w:rPr>
          <w:noProof/>
        </w:rPr>
        <w:tab/>
      </w:r>
      <w:r>
        <w:rPr>
          <w:noProof/>
        </w:rPr>
        <w:fldChar w:fldCharType="begin"/>
      </w:r>
      <w:r>
        <w:rPr>
          <w:noProof/>
        </w:rPr>
        <w:instrText xml:space="preserve"> GOTOBUTTON _Toc398970714  </w:instrText>
      </w:r>
      <w:r>
        <w:rPr>
          <w:noProof/>
        </w:rPr>
        <w:fldChar w:fldCharType="begin"/>
      </w:r>
      <w:r>
        <w:rPr>
          <w:noProof/>
        </w:rPr>
        <w:instrText xml:space="preserve"> PAGEREF _Toc398970714 </w:instrText>
      </w:r>
      <w:r>
        <w:rPr>
          <w:noProof/>
        </w:rPr>
        <w:fldChar w:fldCharType="separate"/>
      </w:r>
      <w:r>
        <w:rPr>
          <w:noProof/>
        </w:rPr>
        <w:instrText>416</w:instrText>
      </w:r>
      <w:r>
        <w:rPr>
          <w:noProof/>
        </w:rPr>
        <w:fldChar w:fldCharType="end"/>
      </w:r>
      <w:r>
        <w:rPr>
          <w:noProof/>
        </w:rPr>
        <w:fldChar w:fldCharType="end"/>
      </w:r>
    </w:p>
    <w:p w:rsidR="00B72047" w:rsidRDefault="00B72047">
      <w:pPr>
        <w:pStyle w:val="TOC2"/>
        <w:rPr>
          <w:noProof/>
        </w:rPr>
      </w:pPr>
      <w:r>
        <w:rPr>
          <w:noProof/>
        </w:rPr>
        <w:t>5. Alien alphabets</w:t>
      </w:r>
      <w:r>
        <w:rPr>
          <w:noProof/>
        </w:rPr>
        <w:tab/>
      </w:r>
      <w:r>
        <w:rPr>
          <w:noProof/>
        </w:rPr>
        <w:fldChar w:fldCharType="begin"/>
      </w:r>
      <w:r>
        <w:rPr>
          <w:noProof/>
        </w:rPr>
        <w:instrText xml:space="preserve"> GOTOBUTTON _Toc398970715  </w:instrText>
      </w:r>
      <w:r>
        <w:rPr>
          <w:noProof/>
        </w:rPr>
        <w:fldChar w:fldCharType="begin"/>
      </w:r>
      <w:r>
        <w:rPr>
          <w:noProof/>
        </w:rPr>
        <w:instrText xml:space="preserve"> PAGEREF _Toc398970715 </w:instrText>
      </w:r>
      <w:r>
        <w:rPr>
          <w:noProof/>
        </w:rPr>
        <w:fldChar w:fldCharType="separate"/>
      </w:r>
      <w:r>
        <w:rPr>
          <w:noProof/>
        </w:rPr>
        <w:instrText>416</w:instrText>
      </w:r>
      <w:r>
        <w:rPr>
          <w:noProof/>
        </w:rPr>
        <w:fldChar w:fldCharType="end"/>
      </w:r>
      <w:r>
        <w:rPr>
          <w:noProof/>
        </w:rPr>
        <w:fldChar w:fldCharType="end"/>
      </w:r>
    </w:p>
    <w:p w:rsidR="00B72047" w:rsidRDefault="00B72047">
      <w:pPr>
        <w:pStyle w:val="TOC2"/>
        <w:rPr>
          <w:noProof/>
        </w:rPr>
      </w:pPr>
      <w:r>
        <w:rPr>
          <w:noProof/>
        </w:rPr>
        <w:t>6. Accent marks and compound lerfu words</w:t>
      </w:r>
      <w:r>
        <w:rPr>
          <w:noProof/>
        </w:rPr>
        <w:tab/>
      </w:r>
      <w:r>
        <w:rPr>
          <w:noProof/>
        </w:rPr>
        <w:fldChar w:fldCharType="begin"/>
      </w:r>
      <w:r>
        <w:rPr>
          <w:noProof/>
        </w:rPr>
        <w:instrText xml:space="preserve"> GOTOBUTTON _Toc398970716  </w:instrText>
      </w:r>
      <w:r>
        <w:rPr>
          <w:noProof/>
        </w:rPr>
        <w:fldChar w:fldCharType="begin"/>
      </w:r>
      <w:r>
        <w:rPr>
          <w:noProof/>
        </w:rPr>
        <w:instrText xml:space="preserve"> PAGEREF _Toc398970716 </w:instrText>
      </w:r>
      <w:r>
        <w:rPr>
          <w:noProof/>
        </w:rPr>
        <w:fldChar w:fldCharType="separate"/>
      </w:r>
      <w:r>
        <w:rPr>
          <w:noProof/>
        </w:rPr>
        <w:instrText>418</w:instrText>
      </w:r>
      <w:r>
        <w:rPr>
          <w:noProof/>
        </w:rPr>
        <w:fldChar w:fldCharType="end"/>
      </w:r>
      <w:r>
        <w:rPr>
          <w:noProof/>
        </w:rPr>
        <w:fldChar w:fldCharType="end"/>
      </w:r>
    </w:p>
    <w:p w:rsidR="00B72047" w:rsidRDefault="00B72047">
      <w:pPr>
        <w:pStyle w:val="TOC2"/>
        <w:rPr>
          <w:noProof/>
        </w:rPr>
      </w:pPr>
      <w:r>
        <w:rPr>
          <w:noProof/>
        </w:rPr>
        <w:t>7. Punctuation marks</w:t>
      </w:r>
      <w:r>
        <w:rPr>
          <w:noProof/>
        </w:rPr>
        <w:tab/>
      </w:r>
      <w:r>
        <w:rPr>
          <w:noProof/>
        </w:rPr>
        <w:fldChar w:fldCharType="begin"/>
      </w:r>
      <w:r>
        <w:rPr>
          <w:noProof/>
        </w:rPr>
        <w:instrText xml:space="preserve"> GOTOBUTTON _Toc398970717  </w:instrText>
      </w:r>
      <w:r>
        <w:rPr>
          <w:noProof/>
        </w:rPr>
        <w:fldChar w:fldCharType="begin"/>
      </w:r>
      <w:r>
        <w:rPr>
          <w:noProof/>
        </w:rPr>
        <w:instrText xml:space="preserve"> PAGEREF _Toc398970717 </w:instrText>
      </w:r>
      <w:r>
        <w:rPr>
          <w:noProof/>
        </w:rPr>
        <w:fldChar w:fldCharType="separate"/>
      </w:r>
      <w:r>
        <w:rPr>
          <w:noProof/>
        </w:rPr>
        <w:instrText>419</w:instrText>
      </w:r>
      <w:r>
        <w:rPr>
          <w:noProof/>
        </w:rPr>
        <w:fldChar w:fldCharType="end"/>
      </w:r>
      <w:r>
        <w:rPr>
          <w:noProof/>
        </w:rPr>
        <w:fldChar w:fldCharType="end"/>
      </w:r>
    </w:p>
    <w:p w:rsidR="00B72047" w:rsidRDefault="00B72047">
      <w:pPr>
        <w:pStyle w:val="TOC2"/>
        <w:rPr>
          <w:noProof/>
        </w:rPr>
      </w:pPr>
      <w:r>
        <w:rPr>
          <w:noProof/>
        </w:rPr>
        <w:t>8. What about Chinese characters?</w:t>
      </w:r>
      <w:r>
        <w:rPr>
          <w:noProof/>
        </w:rPr>
        <w:tab/>
      </w:r>
      <w:r>
        <w:rPr>
          <w:noProof/>
        </w:rPr>
        <w:fldChar w:fldCharType="begin"/>
      </w:r>
      <w:r>
        <w:rPr>
          <w:noProof/>
        </w:rPr>
        <w:instrText xml:space="preserve"> GOTOBUTTON _Toc398970718  </w:instrText>
      </w:r>
      <w:r>
        <w:rPr>
          <w:noProof/>
        </w:rPr>
        <w:fldChar w:fldCharType="begin"/>
      </w:r>
      <w:r>
        <w:rPr>
          <w:noProof/>
        </w:rPr>
        <w:instrText xml:space="preserve"> PAGEREF _Toc398970718 </w:instrText>
      </w:r>
      <w:r>
        <w:rPr>
          <w:noProof/>
        </w:rPr>
        <w:fldChar w:fldCharType="separate"/>
      </w:r>
      <w:r>
        <w:rPr>
          <w:noProof/>
        </w:rPr>
        <w:instrText>420</w:instrText>
      </w:r>
      <w:r>
        <w:rPr>
          <w:noProof/>
        </w:rPr>
        <w:fldChar w:fldCharType="end"/>
      </w:r>
      <w:r>
        <w:rPr>
          <w:noProof/>
        </w:rPr>
        <w:fldChar w:fldCharType="end"/>
      </w:r>
    </w:p>
    <w:p w:rsidR="00B72047" w:rsidRDefault="00B72047">
      <w:pPr>
        <w:pStyle w:val="TOC2"/>
        <w:rPr>
          <w:noProof/>
        </w:rPr>
      </w:pPr>
      <w:r>
        <w:rPr>
          <w:noProof/>
        </w:rPr>
        <w:t>9. lerfu words as pro-sumti</w:t>
      </w:r>
      <w:r>
        <w:rPr>
          <w:noProof/>
        </w:rPr>
        <w:tab/>
      </w:r>
      <w:r>
        <w:rPr>
          <w:noProof/>
        </w:rPr>
        <w:fldChar w:fldCharType="begin"/>
      </w:r>
      <w:r>
        <w:rPr>
          <w:noProof/>
        </w:rPr>
        <w:instrText xml:space="preserve"> GOTOBUTTON _Toc398970719  </w:instrText>
      </w:r>
      <w:r>
        <w:rPr>
          <w:noProof/>
        </w:rPr>
        <w:fldChar w:fldCharType="begin"/>
      </w:r>
      <w:r>
        <w:rPr>
          <w:noProof/>
        </w:rPr>
        <w:instrText xml:space="preserve"> PAGEREF _Toc398970719 </w:instrText>
      </w:r>
      <w:r>
        <w:rPr>
          <w:noProof/>
        </w:rPr>
        <w:fldChar w:fldCharType="separate"/>
      </w:r>
      <w:r>
        <w:rPr>
          <w:noProof/>
        </w:rPr>
        <w:instrText>420</w:instrText>
      </w:r>
      <w:r>
        <w:rPr>
          <w:noProof/>
        </w:rPr>
        <w:fldChar w:fldCharType="end"/>
      </w:r>
      <w:r>
        <w:rPr>
          <w:noProof/>
        </w:rPr>
        <w:fldChar w:fldCharType="end"/>
      </w:r>
    </w:p>
    <w:p w:rsidR="00B72047" w:rsidRDefault="00B72047">
      <w:pPr>
        <w:pStyle w:val="TOC2"/>
        <w:rPr>
          <w:noProof/>
        </w:rPr>
      </w:pPr>
      <w:r>
        <w:rPr>
          <w:noProof/>
        </w:rPr>
        <w:t>10. References to lerfu</w:t>
      </w:r>
      <w:r>
        <w:rPr>
          <w:noProof/>
        </w:rPr>
        <w:tab/>
      </w:r>
      <w:r>
        <w:rPr>
          <w:noProof/>
        </w:rPr>
        <w:fldChar w:fldCharType="begin"/>
      </w:r>
      <w:r>
        <w:rPr>
          <w:noProof/>
        </w:rPr>
        <w:instrText xml:space="preserve"> GOTOBUTTON _Toc398970720  </w:instrText>
      </w:r>
      <w:r>
        <w:rPr>
          <w:noProof/>
        </w:rPr>
        <w:fldChar w:fldCharType="begin"/>
      </w:r>
      <w:r>
        <w:rPr>
          <w:noProof/>
        </w:rPr>
        <w:instrText xml:space="preserve"> PAGEREF _Toc398970720 </w:instrText>
      </w:r>
      <w:r>
        <w:rPr>
          <w:noProof/>
        </w:rPr>
        <w:fldChar w:fldCharType="separate"/>
      </w:r>
      <w:r>
        <w:rPr>
          <w:noProof/>
        </w:rPr>
        <w:instrText>422</w:instrText>
      </w:r>
      <w:r>
        <w:rPr>
          <w:noProof/>
        </w:rPr>
        <w:fldChar w:fldCharType="end"/>
      </w:r>
      <w:r>
        <w:rPr>
          <w:noProof/>
        </w:rPr>
        <w:fldChar w:fldCharType="end"/>
      </w:r>
    </w:p>
    <w:p w:rsidR="00B72047" w:rsidRDefault="00B72047">
      <w:pPr>
        <w:pStyle w:val="TOC2"/>
        <w:rPr>
          <w:noProof/>
        </w:rPr>
      </w:pPr>
      <w:r>
        <w:rPr>
          <w:noProof/>
        </w:rPr>
        <w:t>11. Mathematical uses of lerfu strings</w:t>
      </w:r>
      <w:r>
        <w:rPr>
          <w:noProof/>
        </w:rPr>
        <w:tab/>
      </w:r>
      <w:r>
        <w:rPr>
          <w:noProof/>
        </w:rPr>
        <w:fldChar w:fldCharType="begin"/>
      </w:r>
      <w:r>
        <w:rPr>
          <w:noProof/>
        </w:rPr>
        <w:instrText xml:space="preserve"> GOTOBUTTON _Toc398970721  </w:instrText>
      </w:r>
      <w:r>
        <w:rPr>
          <w:noProof/>
        </w:rPr>
        <w:fldChar w:fldCharType="begin"/>
      </w:r>
      <w:r>
        <w:rPr>
          <w:noProof/>
        </w:rPr>
        <w:instrText xml:space="preserve"> PAGEREF _Toc398970721 </w:instrText>
      </w:r>
      <w:r>
        <w:rPr>
          <w:noProof/>
        </w:rPr>
        <w:fldChar w:fldCharType="separate"/>
      </w:r>
      <w:r>
        <w:rPr>
          <w:noProof/>
        </w:rPr>
        <w:instrText>422</w:instrText>
      </w:r>
      <w:r>
        <w:rPr>
          <w:noProof/>
        </w:rPr>
        <w:fldChar w:fldCharType="end"/>
      </w:r>
      <w:r>
        <w:rPr>
          <w:noProof/>
        </w:rPr>
        <w:fldChar w:fldCharType="end"/>
      </w:r>
    </w:p>
    <w:p w:rsidR="00B72047" w:rsidRDefault="00B72047">
      <w:pPr>
        <w:pStyle w:val="TOC2"/>
        <w:rPr>
          <w:noProof/>
        </w:rPr>
      </w:pPr>
      <w:r>
        <w:rPr>
          <w:noProof/>
        </w:rPr>
        <w:t>12. Acronyms</w:t>
      </w:r>
      <w:r>
        <w:rPr>
          <w:noProof/>
        </w:rPr>
        <w:tab/>
      </w:r>
      <w:r>
        <w:rPr>
          <w:noProof/>
        </w:rPr>
        <w:fldChar w:fldCharType="begin"/>
      </w:r>
      <w:r>
        <w:rPr>
          <w:noProof/>
        </w:rPr>
        <w:instrText xml:space="preserve"> GOTOBUTTON _Toc398970722  </w:instrText>
      </w:r>
      <w:r>
        <w:rPr>
          <w:noProof/>
        </w:rPr>
        <w:fldChar w:fldCharType="begin"/>
      </w:r>
      <w:r>
        <w:rPr>
          <w:noProof/>
        </w:rPr>
        <w:instrText xml:space="preserve"> PAGEREF _Toc398970722 </w:instrText>
      </w:r>
      <w:r>
        <w:rPr>
          <w:noProof/>
        </w:rPr>
        <w:fldChar w:fldCharType="separate"/>
      </w:r>
      <w:r>
        <w:rPr>
          <w:noProof/>
        </w:rPr>
        <w:instrText>423</w:instrText>
      </w:r>
      <w:r>
        <w:rPr>
          <w:noProof/>
        </w:rPr>
        <w:fldChar w:fldCharType="end"/>
      </w:r>
      <w:r>
        <w:rPr>
          <w:noProof/>
        </w:rPr>
        <w:fldChar w:fldCharType="end"/>
      </w:r>
    </w:p>
    <w:p w:rsidR="00B72047" w:rsidRDefault="00B72047">
      <w:pPr>
        <w:pStyle w:val="TOC2"/>
        <w:rPr>
          <w:noProof/>
        </w:rPr>
      </w:pPr>
      <w:r>
        <w:rPr>
          <w:noProof/>
        </w:rPr>
        <w:t>13. Computerized character codes</w:t>
      </w:r>
      <w:r>
        <w:rPr>
          <w:noProof/>
        </w:rPr>
        <w:tab/>
      </w:r>
      <w:r>
        <w:rPr>
          <w:noProof/>
        </w:rPr>
        <w:fldChar w:fldCharType="begin"/>
      </w:r>
      <w:r>
        <w:rPr>
          <w:noProof/>
        </w:rPr>
        <w:instrText xml:space="preserve"> GOTOBUTTON _Toc398970723  </w:instrText>
      </w:r>
      <w:r>
        <w:rPr>
          <w:noProof/>
        </w:rPr>
        <w:fldChar w:fldCharType="begin"/>
      </w:r>
      <w:r>
        <w:rPr>
          <w:noProof/>
        </w:rPr>
        <w:instrText xml:space="preserve"> PAGEREF _Toc398970723 </w:instrText>
      </w:r>
      <w:r>
        <w:rPr>
          <w:noProof/>
        </w:rPr>
        <w:fldChar w:fldCharType="separate"/>
      </w:r>
      <w:r>
        <w:rPr>
          <w:noProof/>
        </w:rPr>
        <w:instrText>425</w:instrText>
      </w:r>
      <w:r>
        <w:rPr>
          <w:noProof/>
        </w:rPr>
        <w:fldChar w:fldCharType="end"/>
      </w:r>
      <w:r>
        <w:rPr>
          <w:noProof/>
        </w:rPr>
        <w:fldChar w:fldCharType="end"/>
      </w:r>
    </w:p>
    <w:p w:rsidR="00B72047" w:rsidRDefault="00B72047">
      <w:pPr>
        <w:pStyle w:val="TOC2"/>
        <w:rPr>
          <w:noProof/>
        </w:rPr>
      </w:pPr>
      <w:r>
        <w:rPr>
          <w:noProof/>
        </w:rPr>
        <w:t>14. List of all auxiliary lerfu-word cmavo</w:t>
      </w:r>
      <w:r>
        <w:rPr>
          <w:noProof/>
        </w:rPr>
        <w:tab/>
      </w:r>
      <w:r>
        <w:rPr>
          <w:noProof/>
        </w:rPr>
        <w:fldChar w:fldCharType="begin"/>
      </w:r>
      <w:r>
        <w:rPr>
          <w:noProof/>
        </w:rPr>
        <w:instrText xml:space="preserve"> GOTOBUTTON _Toc398970724  </w:instrText>
      </w:r>
      <w:r>
        <w:rPr>
          <w:noProof/>
        </w:rPr>
        <w:fldChar w:fldCharType="begin"/>
      </w:r>
      <w:r>
        <w:rPr>
          <w:noProof/>
        </w:rPr>
        <w:instrText xml:space="preserve"> PAGEREF _Toc398970724 </w:instrText>
      </w:r>
      <w:r>
        <w:rPr>
          <w:noProof/>
        </w:rPr>
        <w:fldChar w:fldCharType="separate"/>
      </w:r>
      <w:r>
        <w:rPr>
          <w:noProof/>
        </w:rPr>
        <w:instrText>425</w:instrText>
      </w:r>
      <w:r>
        <w:rPr>
          <w:noProof/>
        </w:rPr>
        <w:fldChar w:fldCharType="end"/>
      </w:r>
      <w:r>
        <w:rPr>
          <w:noProof/>
        </w:rPr>
        <w:fldChar w:fldCharType="end"/>
      </w:r>
    </w:p>
    <w:p w:rsidR="00B72047" w:rsidRDefault="00B72047">
      <w:pPr>
        <w:pStyle w:val="TOC2"/>
        <w:rPr>
          <w:noProof/>
        </w:rPr>
      </w:pPr>
      <w:r>
        <w:rPr>
          <w:noProof/>
        </w:rPr>
        <w:t>15. Proposed lerfu words — introduction</w:t>
      </w:r>
      <w:r>
        <w:rPr>
          <w:noProof/>
        </w:rPr>
        <w:tab/>
      </w:r>
      <w:r>
        <w:rPr>
          <w:noProof/>
        </w:rPr>
        <w:fldChar w:fldCharType="begin"/>
      </w:r>
      <w:r>
        <w:rPr>
          <w:noProof/>
        </w:rPr>
        <w:instrText xml:space="preserve"> GOTOBUTTON _Toc398970725  </w:instrText>
      </w:r>
      <w:r>
        <w:rPr>
          <w:noProof/>
        </w:rPr>
        <w:fldChar w:fldCharType="begin"/>
      </w:r>
      <w:r>
        <w:rPr>
          <w:noProof/>
        </w:rPr>
        <w:instrText xml:space="preserve"> PAGEREF _Toc398970725 </w:instrText>
      </w:r>
      <w:r>
        <w:rPr>
          <w:noProof/>
        </w:rPr>
        <w:fldChar w:fldCharType="separate"/>
      </w:r>
      <w:r>
        <w:rPr>
          <w:noProof/>
        </w:rPr>
        <w:instrText>426</w:instrText>
      </w:r>
      <w:r>
        <w:rPr>
          <w:noProof/>
        </w:rPr>
        <w:fldChar w:fldCharType="end"/>
      </w:r>
      <w:r>
        <w:rPr>
          <w:noProof/>
        </w:rPr>
        <w:fldChar w:fldCharType="end"/>
      </w:r>
    </w:p>
    <w:p w:rsidR="00B72047" w:rsidRDefault="00B72047">
      <w:pPr>
        <w:pStyle w:val="TOC2"/>
        <w:rPr>
          <w:noProof/>
        </w:rPr>
      </w:pPr>
      <w:r>
        <w:rPr>
          <w:noProof/>
        </w:rPr>
        <w:t>16. Proposed lerfu words for the Greek alphabet</w:t>
      </w:r>
      <w:r>
        <w:rPr>
          <w:noProof/>
        </w:rPr>
        <w:tab/>
      </w:r>
      <w:r>
        <w:rPr>
          <w:noProof/>
        </w:rPr>
        <w:fldChar w:fldCharType="begin"/>
      </w:r>
      <w:r>
        <w:rPr>
          <w:noProof/>
        </w:rPr>
        <w:instrText xml:space="preserve"> GOTOBUTTON _Toc398970726  </w:instrText>
      </w:r>
      <w:r>
        <w:rPr>
          <w:noProof/>
        </w:rPr>
        <w:fldChar w:fldCharType="begin"/>
      </w:r>
      <w:r>
        <w:rPr>
          <w:noProof/>
        </w:rPr>
        <w:instrText xml:space="preserve"> PAGEREF _Toc398970726 </w:instrText>
      </w:r>
      <w:r>
        <w:rPr>
          <w:noProof/>
        </w:rPr>
        <w:fldChar w:fldCharType="separate"/>
      </w:r>
      <w:r>
        <w:rPr>
          <w:noProof/>
        </w:rPr>
        <w:instrText>426</w:instrText>
      </w:r>
      <w:r>
        <w:rPr>
          <w:noProof/>
        </w:rPr>
        <w:fldChar w:fldCharType="end"/>
      </w:r>
      <w:r>
        <w:rPr>
          <w:noProof/>
        </w:rPr>
        <w:fldChar w:fldCharType="end"/>
      </w:r>
    </w:p>
    <w:p w:rsidR="00B72047" w:rsidRDefault="00B72047">
      <w:pPr>
        <w:pStyle w:val="TOC2"/>
        <w:rPr>
          <w:noProof/>
        </w:rPr>
      </w:pPr>
      <w:r>
        <w:rPr>
          <w:noProof/>
        </w:rPr>
        <w:t>17. Proposed lerfu words for the Cyrillic alphabet</w:t>
      </w:r>
      <w:r>
        <w:rPr>
          <w:noProof/>
        </w:rPr>
        <w:tab/>
      </w:r>
      <w:r>
        <w:rPr>
          <w:noProof/>
        </w:rPr>
        <w:fldChar w:fldCharType="begin"/>
      </w:r>
      <w:r>
        <w:rPr>
          <w:noProof/>
        </w:rPr>
        <w:instrText xml:space="preserve"> GOTOBUTTON _Toc398970727  </w:instrText>
      </w:r>
      <w:r>
        <w:rPr>
          <w:noProof/>
        </w:rPr>
        <w:fldChar w:fldCharType="begin"/>
      </w:r>
      <w:r>
        <w:rPr>
          <w:noProof/>
        </w:rPr>
        <w:instrText xml:space="preserve"> PAGEREF _Toc398970727 </w:instrText>
      </w:r>
      <w:r>
        <w:rPr>
          <w:noProof/>
        </w:rPr>
        <w:fldChar w:fldCharType="separate"/>
      </w:r>
      <w:r>
        <w:rPr>
          <w:noProof/>
        </w:rPr>
        <w:instrText>427</w:instrText>
      </w:r>
      <w:r>
        <w:rPr>
          <w:noProof/>
        </w:rPr>
        <w:fldChar w:fldCharType="end"/>
      </w:r>
      <w:r>
        <w:rPr>
          <w:noProof/>
        </w:rPr>
        <w:fldChar w:fldCharType="end"/>
      </w:r>
    </w:p>
    <w:p w:rsidR="00B72047" w:rsidRDefault="00B72047">
      <w:pPr>
        <w:pStyle w:val="TOC2"/>
        <w:rPr>
          <w:noProof/>
        </w:rPr>
      </w:pPr>
      <w:r>
        <w:rPr>
          <w:noProof/>
        </w:rPr>
        <w:t>18. Proposed lerfu words for the Hebrew alphabet</w:t>
      </w:r>
      <w:r>
        <w:rPr>
          <w:noProof/>
        </w:rPr>
        <w:tab/>
      </w:r>
      <w:r>
        <w:rPr>
          <w:noProof/>
        </w:rPr>
        <w:fldChar w:fldCharType="begin"/>
      </w:r>
      <w:r>
        <w:rPr>
          <w:noProof/>
        </w:rPr>
        <w:instrText xml:space="preserve"> GOTOBUTTON _Toc398970728  </w:instrText>
      </w:r>
      <w:r>
        <w:rPr>
          <w:noProof/>
        </w:rPr>
        <w:fldChar w:fldCharType="begin"/>
      </w:r>
      <w:r>
        <w:rPr>
          <w:noProof/>
        </w:rPr>
        <w:instrText xml:space="preserve"> PAGEREF _Toc398970728 </w:instrText>
      </w:r>
      <w:r>
        <w:rPr>
          <w:noProof/>
        </w:rPr>
        <w:fldChar w:fldCharType="separate"/>
      </w:r>
      <w:r>
        <w:rPr>
          <w:noProof/>
        </w:rPr>
        <w:instrText>428</w:instrText>
      </w:r>
      <w:r>
        <w:rPr>
          <w:noProof/>
        </w:rPr>
        <w:fldChar w:fldCharType="end"/>
      </w:r>
      <w:r>
        <w:rPr>
          <w:noProof/>
        </w:rPr>
        <w:fldChar w:fldCharType="end"/>
      </w:r>
    </w:p>
    <w:p w:rsidR="00B72047" w:rsidRDefault="00B72047">
      <w:pPr>
        <w:pStyle w:val="TOC2"/>
        <w:rPr>
          <w:noProof/>
        </w:rPr>
      </w:pPr>
      <w:r>
        <w:rPr>
          <w:noProof/>
        </w:rPr>
        <w:t>19. Proposed lerfu words for some accent marks and multiple letters</w:t>
      </w:r>
      <w:r>
        <w:rPr>
          <w:noProof/>
        </w:rPr>
        <w:tab/>
      </w:r>
      <w:r>
        <w:rPr>
          <w:noProof/>
        </w:rPr>
        <w:fldChar w:fldCharType="begin"/>
      </w:r>
      <w:r>
        <w:rPr>
          <w:noProof/>
        </w:rPr>
        <w:instrText xml:space="preserve"> GOTOBUTTON _Toc398970729  </w:instrText>
      </w:r>
      <w:r>
        <w:rPr>
          <w:noProof/>
        </w:rPr>
        <w:fldChar w:fldCharType="begin"/>
      </w:r>
      <w:r>
        <w:rPr>
          <w:noProof/>
        </w:rPr>
        <w:instrText xml:space="preserve"> PAGEREF _Toc398970729 </w:instrText>
      </w:r>
      <w:r>
        <w:rPr>
          <w:noProof/>
        </w:rPr>
        <w:fldChar w:fldCharType="separate"/>
      </w:r>
      <w:r>
        <w:rPr>
          <w:noProof/>
        </w:rPr>
        <w:instrText>429</w:instrText>
      </w:r>
      <w:r>
        <w:rPr>
          <w:noProof/>
        </w:rPr>
        <w:fldChar w:fldCharType="end"/>
      </w:r>
      <w:r>
        <w:rPr>
          <w:noProof/>
        </w:rPr>
        <w:fldChar w:fldCharType="end"/>
      </w:r>
    </w:p>
    <w:p w:rsidR="00B72047" w:rsidRDefault="00B72047">
      <w:pPr>
        <w:pStyle w:val="TOC2"/>
        <w:rPr>
          <w:noProof/>
        </w:rPr>
      </w:pPr>
      <w:r>
        <w:rPr>
          <w:noProof/>
        </w:rPr>
        <w:t>20. Proposed lerfu words for radio communication</w:t>
      </w:r>
      <w:r>
        <w:rPr>
          <w:noProof/>
        </w:rPr>
        <w:tab/>
      </w:r>
      <w:r>
        <w:rPr>
          <w:noProof/>
        </w:rPr>
        <w:fldChar w:fldCharType="begin"/>
      </w:r>
      <w:r>
        <w:rPr>
          <w:noProof/>
        </w:rPr>
        <w:instrText xml:space="preserve"> GOTOBUTTON _Toc398970730  </w:instrText>
      </w:r>
      <w:r>
        <w:rPr>
          <w:noProof/>
        </w:rPr>
        <w:fldChar w:fldCharType="begin"/>
      </w:r>
      <w:r>
        <w:rPr>
          <w:noProof/>
        </w:rPr>
        <w:instrText xml:space="preserve"> PAGEREF _Toc398970730 </w:instrText>
      </w:r>
      <w:r>
        <w:rPr>
          <w:noProof/>
        </w:rPr>
        <w:fldChar w:fldCharType="separate"/>
      </w:r>
      <w:r>
        <w:rPr>
          <w:noProof/>
        </w:rPr>
        <w:instrText>429</w:instrText>
      </w:r>
      <w:r>
        <w:rPr>
          <w:noProof/>
        </w:rPr>
        <w:fldChar w:fldCharType="end"/>
      </w:r>
      <w:r>
        <w:rPr>
          <w:noProof/>
        </w:rPr>
        <w:fldChar w:fldCharType="end"/>
      </w:r>
    </w:p>
    <w:p w:rsidR="00B72047" w:rsidRDefault="00B72047">
      <w:pPr>
        <w:pStyle w:val="TOC1"/>
        <w:rPr>
          <w:noProof/>
        </w:rPr>
      </w:pPr>
      <w:r>
        <w:rPr>
          <w:noProof/>
        </w:rPr>
        <w:t>Chapter 18  lojbau mekso: Mathematical Expressions in Lojban</w:t>
      </w:r>
      <w:r>
        <w:rPr>
          <w:noProof/>
        </w:rPr>
        <w:tab/>
      </w:r>
      <w:r>
        <w:rPr>
          <w:noProof/>
        </w:rPr>
        <w:fldChar w:fldCharType="begin"/>
      </w:r>
      <w:r>
        <w:rPr>
          <w:noProof/>
        </w:rPr>
        <w:instrText xml:space="preserve"> GOTOBUTTON _Toc398970732  </w:instrText>
      </w:r>
      <w:r>
        <w:rPr>
          <w:noProof/>
        </w:rPr>
        <w:fldChar w:fldCharType="begin"/>
      </w:r>
      <w:r>
        <w:rPr>
          <w:noProof/>
        </w:rPr>
        <w:instrText xml:space="preserve"> PAGEREF _Toc398970732 </w:instrText>
      </w:r>
      <w:r>
        <w:rPr>
          <w:noProof/>
        </w:rPr>
        <w:fldChar w:fldCharType="separate"/>
      </w:r>
      <w:r>
        <w:rPr>
          <w:noProof/>
        </w:rPr>
        <w:instrText>431</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_Toc398970733  </w:instrText>
      </w:r>
      <w:r>
        <w:rPr>
          <w:noProof/>
        </w:rPr>
        <w:fldChar w:fldCharType="begin"/>
      </w:r>
      <w:r>
        <w:rPr>
          <w:noProof/>
        </w:rPr>
        <w:instrText xml:space="preserve"> PAGEREF _Toc398970733 </w:instrText>
      </w:r>
      <w:r>
        <w:rPr>
          <w:noProof/>
        </w:rPr>
        <w:fldChar w:fldCharType="separate"/>
      </w:r>
      <w:r>
        <w:rPr>
          <w:noProof/>
        </w:rPr>
        <w:instrText>431</w:instrText>
      </w:r>
      <w:r>
        <w:rPr>
          <w:noProof/>
        </w:rPr>
        <w:fldChar w:fldCharType="end"/>
      </w:r>
      <w:r>
        <w:rPr>
          <w:noProof/>
        </w:rPr>
        <w:fldChar w:fldCharType="end"/>
      </w:r>
    </w:p>
    <w:p w:rsidR="00B72047" w:rsidRDefault="00B72047">
      <w:pPr>
        <w:pStyle w:val="TOC2"/>
        <w:rPr>
          <w:noProof/>
        </w:rPr>
      </w:pPr>
      <w:r>
        <w:rPr>
          <w:noProof/>
        </w:rPr>
        <w:t>2. Lojban numbers</w:t>
      </w:r>
      <w:r>
        <w:rPr>
          <w:noProof/>
        </w:rPr>
        <w:tab/>
      </w:r>
      <w:r>
        <w:rPr>
          <w:noProof/>
        </w:rPr>
        <w:fldChar w:fldCharType="begin"/>
      </w:r>
      <w:r>
        <w:rPr>
          <w:noProof/>
        </w:rPr>
        <w:instrText xml:space="preserve"> GOTOBUTTON _Toc398970734  </w:instrText>
      </w:r>
      <w:r>
        <w:rPr>
          <w:noProof/>
        </w:rPr>
        <w:fldChar w:fldCharType="begin"/>
      </w:r>
      <w:r>
        <w:rPr>
          <w:noProof/>
        </w:rPr>
        <w:instrText xml:space="preserve"> PAGEREF _Toc398970734 </w:instrText>
      </w:r>
      <w:r>
        <w:rPr>
          <w:noProof/>
        </w:rPr>
        <w:fldChar w:fldCharType="separate"/>
      </w:r>
      <w:r>
        <w:rPr>
          <w:noProof/>
        </w:rPr>
        <w:instrText>432</w:instrText>
      </w:r>
      <w:r>
        <w:rPr>
          <w:noProof/>
        </w:rPr>
        <w:fldChar w:fldCharType="end"/>
      </w:r>
      <w:r>
        <w:rPr>
          <w:noProof/>
        </w:rPr>
        <w:fldChar w:fldCharType="end"/>
      </w:r>
    </w:p>
    <w:p w:rsidR="00B72047" w:rsidRDefault="00B72047">
      <w:pPr>
        <w:pStyle w:val="TOC2"/>
        <w:rPr>
          <w:noProof/>
        </w:rPr>
      </w:pPr>
      <w:r>
        <w:rPr>
          <w:noProof/>
        </w:rPr>
        <w:t>3. Signs and numerical punctuation</w:t>
      </w:r>
      <w:r>
        <w:rPr>
          <w:noProof/>
        </w:rPr>
        <w:tab/>
      </w:r>
      <w:r>
        <w:rPr>
          <w:noProof/>
        </w:rPr>
        <w:fldChar w:fldCharType="begin"/>
      </w:r>
      <w:r>
        <w:rPr>
          <w:noProof/>
        </w:rPr>
        <w:instrText xml:space="preserve"> GOTOBUTTON _Toc398970735  </w:instrText>
      </w:r>
      <w:r>
        <w:rPr>
          <w:noProof/>
        </w:rPr>
        <w:fldChar w:fldCharType="begin"/>
      </w:r>
      <w:r>
        <w:rPr>
          <w:noProof/>
        </w:rPr>
        <w:instrText xml:space="preserve"> PAGEREF _Toc398970735 </w:instrText>
      </w:r>
      <w:r>
        <w:rPr>
          <w:noProof/>
        </w:rPr>
        <w:fldChar w:fldCharType="separate"/>
      </w:r>
      <w:r>
        <w:rPr>
          <w:noProof/>
        </w:rPr>
        <w:instrText>432</w:instrText>
      </w:r>
      <w:r>
        <w:rPr>
          <w:noProof/>
        </w:rPr>
        <w:fldChar w:fldCharType="end"/>
      </w:r>
      <w:r>
        <w:rPr>
          <w:noProof/>
        </w:rPr>
        <w:fldChar w:fldCharType="end"/>
      </w:r>
    </w:p>
    <w:p w:rsidR="00B72047" w:rsidRDefault="00B72047">
      <w:pPr>
        <w:pStyle w:val="TOC2"/>
        <w:rPr>
          <w:noProof/>
        </w:rPr>
      </w:pPr>
      <w:r>
        <w:rPr>
          <w:noProof/>
        </w:rPr>
        <w:t>4. Special numbers</w:t>
      </w:r>
      <w:r>
        <w:rPr>
          <w:noProof/>
        </w:rPr>
        <w:tab/>
      </w:r>
      <w:r>
        <w:rPr>
          <w:noProof/>
        </w:rPr>
        <w:fldChar w:fldCharType="begin"/>
      </w:r>
      <w:r>
        <w:rPr>
          <w:noProof/>
        </w:rPr>
        <w:instrText xml:space="preserve"> GOTOBUTTON _Toc398970736  </w:instrText>
      </w:r>
      <w:r>
        <w:rPr>
          <w:noProof/>
        </w:rPr>
        <w:fldChar w:fldCharType="begin"/>
      </w:r>
      <w:r>
        <w:rPr>
          <w:noProof/>
        </w:rPr>
        <w:instrText xml:space="preserve"> PAGEREF _Toc398970736 </w:instrText>
      </w:r>
      <w:r>
        <w:rPr>
          <w:noProof/>
        </w:rPr>
        <w:fldChar w:fldCharType="separate"/>
      </w:r>
      <w:r>
        <w:rPr>
          <w:noProof/>
        </w:rPr>
        <w:instrText>434</w:instrText>
      </w:r>
      <w:r>
        <w:rPr>
          <w:noProof/>
        </w:rPr>
        <w:fldChar w:fldCharType="end"/>
      </w:r>
      <w:r>
        <w:rPr>
          <w:noProof/>
        </w:rPr>
        <w:fldChar w:fldCharType="end"/>
      </w:r>
    </w:p>
    <w:p w:rsidR="00B72047" w:rsidRDefault="00B72047">
      <w:pPr>
        <w:pStyle w:val="TOC2"/>
        <w:rPr>
          <w:noProof/>
        </w:rPr>
      </w:pPr>
      <w:r>
        <w:rPr>
          <w:noProof/>
        </w:rPr>
        <w:t>5. Simple infix expressions and equations</w:t>
      </w:r>
      <w:r>
        <w:rPr>
          <w:noProof/>
        </w:rPr>
        <w:tab/>
      </w:r>
      <w:r>
        <w:rPr>
          <w:noProof/>
        </w:rPr>
        <w:fldChar w:fldCharType="begin"/>
      </w:r>
      <w:r>
        <w:rPr>
          <w:noProof/>
        </w:rPr>
        <w:instrText xml:space="preserve"> GOTOBUTTON _Toc398970737  </w:instrText>
      </w:r>
      <w:r>
        <w:rPr>
          <w:noProof/>
        </w:rPr>
        <w:fldChar w:fldCharType="begin"/>
      </w:r>
      <w:r>
        <w:rPr>
          <w:noProof/>
        </w:rPr>
        <w:instrText xml:space="preserve"> PAGEREF _Toc398970737 </w:instrText>
      </w:r>
      <w:r>
        <w:rPr>
          <w:noProof/>
        </w:rPr>
        <w:fldChar w:fldCharType="separate"/>
      </w:r>
      <w:r>
        <w:rPr>
          <w:noProof/>
        </w:rPr>
        <w:instrText>435</w:instrText>
      </w:r>
      <w:r>
        <w:rPr>
          <w:noProof/>
        </w:rPr>
        <w:fldChar w:fldCharType="end"/>
      </w:r>
      <w:r>
        <w:rPr>
          <w:noProof/>
        </w:rPr>
        <w:fldChar w:fldCharType="end"/>
      </w:r>
    </w:p>
    <w:p w:rsidR="00B72047" w:rsidRDefault="00B72047">
      <w:pPr>
        <w:pStyle w:val="TOC2"/>
        <w:rPr>
          <w:noProof/>
        </w:rPr>
      </w:pPr>
      <w:r>
        <w:rPr>
          <w:noProof/>
        </w:rPr>
        <w:t>6. Forethought operators (Polish notation, functions)</w:t>
      </w:r>
      <w:r>
        <w:rPr>
          <w:noProof/>
        </w:rPr>
        <w:tab/>
      </w:r>
      <w:r>
        <w:rPr>
          <w:noProof/>
        </w:rPr>
        <w:fldChar w:fldCharType="begin"/>
      </w:r>
      <w:r>
        <w:rPr>
          <w:noProof/>
        </w:rPr>
        <w:instrText xml:space="preserve"> GOTOBUTTON _Toc398970738  </w:instrText>
      </w:r>
      <w:r>
        <w:rPr>
          <w:noProof/>
        </w:rPr>
        <w:fldChar w:fldCharType="begin"/>
      </w:r>
      <w:r>
        <w:rPr>
          <w:noProof/>
        </w:rPr>
        <w:instrText xml:space="preserve"> PAGEREF _Toc398970738 </w:instrText>
      </w:r>
      <w:r>
        <w:rPr>
          <w:noProof/>
        </w:rPr>
        <w:fldChar w:fldCharType="separate"/>
      </w:r>
      <w:r>
        <w:rPr>
          <w:noProof/>
        </w:rPr>
        <w:instrText>437</w:instrText>
      </w:r>
      <w:r>
        <w:rPr>
          <w:noProof/>
        </w:rPr>
        <w:fldChar w:fldCharType="end"/>
      </w:r>
      <w:r>
        <w:rPr>
          <w:noProof/>
        </w:rPr>
        <w:fldChar w:fldCharType="end"/>
      </w:r>
    </w:p>
    <w:p w:rsidR="00B72047" w:rsidRDefault="00B72047">
      <w:pPr>
        <w:pStyle w:val="TOC2"/>
        <w:rPr>
          <w:noProof/>
        </w:rPr>
      </w:pPr>
      <w:r>
        <w:rPr>
          <w:noProof/>
        </w:rPr>
        <w:t>7. Other useful selbri for mekso bridi</w:t>
      </w:r>
      <w:r>
        <w:rPr>
          <w:noProof/>
        </w:rPr>
        <w:tab/>
      </w:r>
      <w:r>
        <w:rPr>
          <w:noProof/>
        </w:rPr>
        <w:fldChar w:fldCharType="begin"/>
      </w:r>
      <w:r>
        <w:rPr>
          <w:noProof/>
        </w:rPr>
        <w:instrText xml:space="preserve"> GOTOBUTTON _Toc398970739  </w:instrText>
      </w:r>
      <w:r>
        <w:rPr>
          <w:noProof/>
        </w:rPr>
        <w:fldChar w:fldCharType="begin"/>
      </w:r>
      <w:r>
        <w:rPr>
          <w:noProof/>
        </w:rPr>
        <w:instrText xml:space="preserve"> PAGEREF _Toc398970739 </w:instrText>
      </w:r>
      <w:r>
        <w:rPr>
          <w:noProof/>
        </w:rPr>
        <w:fldChar w:fldCharType="separate"/>
      </w:r>
      <w:r>
        <w:rPr>
          <w:noProof/>
        </w:rPr>
        <w:instrText>439</w:instrText>
      </w:r>
      <w:r>
        <w:rPr>
          <w:noProof/>
        </w:rPr>
        <w:fldChar w:fldCharType="end"/>
      </w:r>
      <w:r>
        <w:rPr>
          <w:noProof/>
        </w:rPr>
        <w:fldChar w:fldCharType="end"/>
      </w:r>
    </w:p>
    <w:p w:rsidR="00B72047" w:rsidRDefault="00B72047">
      <w:pPr>
        <w:pStyle w:val="TOC2"/>
        <w:rPr>
          <w:noProof/>
        </w:rPr>
      </w:pPr>
      <w:r>
        <w:rPr>
          <w:noProof/>
        </w:rPr>
        <w:t>8. Indefinite numbers</w:t>
      </w:r>
      <w:r>
        <w:rPr>
          <w:noProof/>
        </w:rPr>
        <w:tab/>
      </w:r>
      <w:r>
        <w:rPr>
          <w:noProof/>
        </w:rPr>
        <w:fldChar w:fldCharType="begin"/>
      </w:r>
      <w:r>
        <w:rPr>
          <w:noProof/>
        </w:rPr>
        <w:instrText xml:space="preserve"> GOTOBUTTON _Toc398970740  </w:instrText>
      </w:r>
      <w:r>
        <w:rPr>
          <w:noProof/>
        </w:rPr>
        <w:fldChar w:fldCharType="begin"/>
      </w:r>
      <w:r>
        <w:rPr>
          <w:noProof/>
        </w:rPr>
        <w:instrText xml:space="preserve"> PAGEREF _Toc398970740 </w:instrText>
      </w:r>
      <w:r>
        <w:rPr>
          <w:noProof/>
        </w:rPr>
        <w:fldChar w:fldCharType="separate"/>
      </w:r>
      <w:r>
        <w:rPr>
          <w:noProof/>
        </w:rPr>
        <w:instrText>440</w:instrText>
      </w:r>
      <w:r>
        <w:rPr>
          <w:noProof/>
        </w:rPr>
        <w:fldChar w:fldCharType="end"/>
      </w:r>
      <w:r>
        <w:rPr>
          <w:noProof/>
        </w:rPr>
        <w:fldChar w:fldCharType="end"/>
      </w:r>
    </w:p>
    <w:p w:rsidR="00B72047" w:rsidRDefault="00B72047">
      <w:pPr>
        <w:pStyle w:val="TOC2"/>
        <w:rPr>
          <w:noProof/>
        </w:rPr>
      </w:pPr>
      <w:r>
        <w:rPr>
          <w:noProof/>
        </w:rPr>
        <w:t>9. Approximation and inexact numbers</w:t>
      </w:r>
      <w:r>
        <w:rPr>
          <w:noProof/>
        </w:rPr>
        <w:tab/>
      </w:r>
      <w:r>
        <w:rPr>
          <w:noProof/>
        </w:rPr>
        <w:fldChar w:fldCharType="begin"/>
      </w:r>
      <w:r>
        <w:rPr>
          <w:noProof/>
        </w:rPr>
        <w:instrText xml:space="preserve"> GOTOBUTTON _Toc398970741  </w:instrText>
      </w:r>
      <w:r>
        <w:rPr>
          <w:noProof/>
        </w:rPr>
        <w:fldChar w:fldCharType="begin"/>
      </w:r>
      <w:r>
        <w:rPr>
          <w:noProof/>
        </w:rPr>
        <w:instrText xml:space="preserve"> PAGEREF _Toc398970741 </w:instrText>
      </w:r>
      <w:r>
        <w:rPr>
          <w:noProof/>
        </w:rPr>
        <w:fldChar w:fldCharType="separate"/>
      </w:r>
      <w:r>
        <w:rPr>
          <w:noProof/>
        </w:rPr>
        <w:instrText>442</w:instrText>
      </w:r>
      <w:r>
        <w:rPr>
          <w:noProof/>
        </w:rPr>
        <w:fldChar w:fldCharType="end"/>
      </w:r>
      <w:r>
        <w:rPr>
          <w:noProof/>
        </w:rPr>
        <w:fldChar w:fldCharType="end"/>
      </w:r>
    </w:p>
    <w:p w:rsidR="00B72047" w:rsidRDefault="00B72047">
      <w:pPr>
        <w:pStyle w:val="TOC2"/>
        <w:rPr>
          <w:noProof/>
        </w:rPr>
      </w:pPr>
      <w:r>
        <w:rPr>
          <w:noProof/>
        </w:rPr>
        <w:t>10. Non-decimal and compound bases</w:t>
      </w:r>
      <w:r>
        <w:rPr>
          <w:noProof/>
        </w:rPr>
        <w:tab/>
      </w:r>
      <w:r>
        <w:rPr>
          <w:noProof/>
        </w:rPr>
        <w:fldChar w:fldCharType="begin"/>
      </w:r>
      <w:r>
        <w:rPr>
          <w:noProof/>
        </w:rPr>
        <w:instrText xml:space="preserve"> GOTOBUTTON _Toc398970742  </w:instrText>
      </w:r>
      <w:r>
        <w:rPr>
          <w:noProof/>
        </w:rPr>
        <w:fldChar w:fldCharType="begin"/>
      </w:r>
      <w:r>
        <w:rPr>
          <w:noProof/>
        </w:rPr>
        <w:instrText xml:space="preserve"> PAGEREF _Toc398970742 </w:instrText>
      </w:r>
      <w:r>
        <w:rPr>
          <w:noProof/>
        </w:rPr>
        <w:fldChar w:fldCharType="separate"/>
      </w:r>
      <w:r>
        <w:rPr>
          <w:noProof/>
        </w:rPr>
        <w:instrText>444</w:instrText>
      </w:r>
      <w:r>
        <w:rPr>
          <w:noProof/>
        </w:rPr>
        <w:fldChar w:fldCharType="end"/>
      </w:r>
      <w:r>
        <w:rPr>
          <w:noProof/>
        </w:rPr>
        <w:fldChar w:fldCharType="end"/>
      </w:r>
    </w:p>
    <w:p w:rsidR="00B72047" w:rsidRDefault="00B72047">
      <w:pPr>
        <w:pStyle w:val="TOC2"/>
        <w:rPr>
          <w:noProof/>
        </w:rPr>
      </w:pPr>
      <w:r>
        <w:rPr>
          <w:noProof/>
        </w:rPr>
        <w:t>11. Special mekso selbri</w:t>
      </w:r>
      <w:r>
        <w:rPr>
          <w:noProof/>
        </w:rPr>
        <w:tab/>
      </w:r>
      <w:r>
        <w:rPr>
          <w:noProof/>
        </w:rPr>
        <w:fldChar w:fldCharType="begin"/>
      </w:r>
      <w:r>
        <w:rPr>
          <w:noProof/>
        </w:rPr>
        <w:instrText xml:space="preserve"> GOTOBUTTON _Toc398970743  </w:instrText>
      </w:r>
      <w:r>
        <w:rPr>
          <w:noProof/>
        </w:rPr>
        <w:fldChar w:fldCharType="begin"/>
      </w:r>
      <w:r>
        <w:rPr>
          <w:noProof/>
        </w:rPr>
        <w:instrText xml:space="preserve"> PAGEREF _Toc398970743 </w:instrText>
      </w:r>
      <w:r>
        <w:rPr>
          <w:noProof/>
        </w:rPr>
        <w:fldChar w:fldCharType="separate"/>
      </w:r>
      <w:r>
        <w:rPr>
          <w:noProof/>
        </w:rPr>
        <w:instrText>446</w:instrText>
      </w:r>
      <w:r>
        <w:rPr>
          <w:noProof/>
        </w:rPr>
        <w:fldChar w:fldCharType="end"/>
      </w:r>
      <w:r>
        <w:rPr>
          <w:noProof/>
        </w:rPr>
        <w:fldChar w:fldCharType="end"/>
      </w:r>
    </w:p>
    <w:p w:rsidR="00B72047" w:rsidRDefault="00B72047">
      <w:pPr>
        <w:pStyle w:val="TOC2"/>
        <w:rPr>
          <w:noProof/>
        </w:rPr>
      </w:pPr>
      <w:r>
        <w:rPr>
          <w:noProof/>
        </w:rPr>
        <w:t>12. Number questions</w:t>
      </w:r>
      <w:r>
        <w:rPr>
          <w:noProof/>
        </w:rPr>
        <w:tab/>
      </w:r>
      <w:r>
        <w:rPr>
          <w:noProof/>
        </w:rPr>
        <w:fldChar w:fldCharType="begin"/>
      </w:r>
      <w:r>
        <w:rPr>
          <w:noProof/>
        </w:rPr>
        <w:instrText xml:space="preserve"> GOTOBUTTON _Toc398970744  </w:instrText>
      </w:r>
      <w:r>
        <w:rPr>
          <w:noProof/>
        </w:rPr>
        <w:fldChar w:fldCharType="begin"/>
      </w:r>
      <w:r>
        <w:rPr>
          <w:noProof/>
        </w:rPr>
        <w:instrText xml:space="preserve"> PAGEREF _Toc398970744 </w:instrText>
      </w:r>
      <w:r>
        <w:rPr>
          <w:noProof/>
        </w:rPr>
        <w:fldChar w:fldCharType="separate"/>
      </w:r>
      <w:r>
        <w:rPr>
          <w:noProof/>
        </w:rPr>
        <w:instrText>449</w:instrText>
      </w:r>
      <w:r>
        <w:rPr>
          <w:noProof/>
        </w:rPr>
        <w:fldChar w:fldCharType="end"/>
      </w:r>
      <w:r>
        <w:rPr>
          <w:noProof/>
        </w:rPr>
        <w:fldChar w:fldCharType="end"/>
      </w:r>
    </w:p>
    <w:p w:rsidR="00B72047" w:rsidRDefault="00B72047">
      <w:pPr>
        <w:pStyle w:val="TOC2"/>
        <w:rPr>
          <w:noProof/>
        </w:rPr>
      </w:pPr>
      <w:r>
        <w:rPr>
          <w:noProof/>
        </w:rPr>
        <w:t>13. Subscripts</w:t>
      </w:r>
      <w:r>
        <w:rPr>
          <w:noProof/>
        </w:rPr>
        <w:tab/>
      </w:r>
      <w:r>
        <w:rPr>
          <w:noProof/>
        </w:rPr>
        <w:fldChar w:fldCharType="begin"/>
      </w:r>
      <w:r>
        <w:rPr>
          <w:noProof/>
        </w:rPr>
        <w:instrText xml:space="preserve"> GOTOBUTTON _Toc398970745  </w:instrText>
      </w:r>
      <w:r>
        <w:rPr>
          <w:noProof/>
        </w:rPr>
        <w:fldChar w:fldCharType="begin"/>
      </w:r>
      <w:r>
        <w:rPr>
          <w:noProof/>
        </w:rPr>
        <w:instrText xml:space="preserve"> PAGEREF _Toc398970745 </w:instrText>
      </w:r>
      <w:r>
        <w:rPr>
          <w:noProof/>
        </w:rPr>
        <w:fldChar w:fldCharType="separate"/>
      </w:r>
      <w:r>
        <w:rPr>
          <w:noProof/>
        </w:rPr>
        <w:instrText>449</w:instrText>
      </w:r>
      <w:r>
        <w:rPr>
          <w:noProof/>
        </w:rPr>
        <w:fldChar w:fldCharType="end"/>
      </w:r>
      <w:r>
        <w:rPr>
          <w:noProof/>
        </w:rPr>
        <w:fldChar w:fldCharType="end"/>
      </w:r>
    </w:p>
    <w:p w:rsidR="00B72047" w:rsidRDefault="00B72047">
      <w:pPr>
        <w:pStyle w:val="TOC2"/>
        <w:rPr>
          <w:noProof/>
        </w:rPr>
      </w:pPr>
      <w:r>
        <w:rPr>
          <w:noProof/>
        </w:rPr>
        <w:t>14. Infix operators revisited</w:t>
      </w:r>
      <w:r>
        <w:rPr>
          <w:noProof/>
        </w:rPr>
        <w:tab/>
      </w:r>
      <w:r>
        <w:rPr>
          <w:noProof/>
        </w:rPr>
        <w:fldChar w:fldCharType="begin"/>
      </w:r>
      <w:r>
        <w:rPr>
          <w:noProof/>
        </w:rPr>
        <w:instrText xml:space="preserve"> GOTOBUTTON _Toc398970746  </w:instrText>
      </w:r>
      <w:r>
        <w:rPr>
          <w:noProof/>
        </w:rPr>
        <w:fldChar w:fldCharType="begin"/>
      </w:r>
      <w:r>
        <w:rPr>
          <w:noProof/>
        </w:rPr>
        <w:instrText xml:space="preserve"> PAGEREF _Toc398970746 </w:instrText>
      </w:r>
      <w:r>
        <w:rPr>
          <w:noProof/>
        </w:rPr>
        <w:fldChar w:fldCharType="separate"/>
      </w:r>
      <w:r>
        <w:rPr>
          <w:noProof/>
        </w:rPr>
        <w:instrText>450</w:instrText>
      </w:r>
      <w:r>
        <w:rPr>
          <w:noProof/>
        </w:rPr>
        <w:fldChar w:fldCharType="end"/>
      </w:r>
      <w:r>
        <w:rPr>
          <w:noProof/>
        </w:rPr>
        <w:fldChar w:fldCharType="end"/>
      </w:r>
    </w:p>
    <w:p w:rsidR="00B72047" w:rsidRDefault="00B72047">
      <w:pPr>
        <w:pStyle w:val="TOC2"/>
        <w:rPr>
          <w:noProof/>
        </w:rPr>
      </w:pPr>
      <w:r>
        <w:rPr>
          <w:noProof/>
        </w:rPr>
        <w:t>15. Vectors and matrices</w:t>
      </w:r>
      <w:r>
        <w:rPr>
          <w:noProof/>
        </w:rPr>
        <w:tab/>
      </w:r>
      <w:r>
        <w:rPr>
          <w:noProof/>
        </w:rPr>
        <w:fldChar w:fldCharType="begin"/>
      </w:r>
      <w:r>
        <w:rPr>
          <w:noProof/>
        </w:rPr>
        <w:instrText xml:space="preserve"> GOTOBUTTON _Toc398970747  </w:instrText>
      </w:r>
      <w:r>
        <w:rPr>
          <w:noProof/>
        </w:rPr>
        <w:fldChar w:fldCharType="begin"/>
      </w:r>
      <w:r>
        <w:rPr>
          <w:noProof/>
        </w:rPr>
        <w:instrText xml:space="preserve"> PAGEREF _Toc398970747 </w:instrText>
      </w:r>
      <w:r>
        <w:rPr>
          <w:noProof/>
        </w:rPr>
        <w:fldChar w:fldCharType="separate"/>
      </w:r>
      <w:r>
        <w:rPr>
          <w:noProof/>
        </w:rPr>
        <w:instrText>451</w:instrText>
      </w:r>
      <w:r>
        <w:rPr>
          <w:noProof/>
        </w:rPr>
        <w:fldChar w:fldCharType="end"/>
      </w:r>
      <w:r>
        <w:rPr>
          <w:noProof/>
        </w:rPr>
        <w:fldChar w:fldCharType="end"/>
      </w:r>
    </w:p>
    <w:p w:rsidR="00B72047" w:rsidRDefault="00B72047">
      <w:pPr>
        <w:pStyle w:val="TOC2"/>
        <w:rPr>
          <w:noProof/>
        </w:rPr>
      </w:pPr>
      <w:r>
        <w:rPr>
          <w:noProof/>
        </w:rPr>
        <w:t>16. Reverse Polish notation</w:t>
      </w:r>
      <w:r>
        <w:rPr>
          <w:noProof/>
        </w:rPr>
        <w:tab/>
      </w:r>
      <w:r>
        <w:rPr>
          <w:noProof/>
        </w:rPr>
        <w:fldChar w:fldCharType="begin"/>
      </w:r>
      <w:r>
        <w:rPr>
          <w:noProof/>
        </w:rPr>
        <w:instrText xml:space="preserve"> GOTOBUTTON _Toc398970748  </w:instrText>
      </w:r>
      <w:r>
        <w:rPr>
          <w:noProof/>
        </w:rPr>
        <w:fldChar w:fldCharType="begin"/>
      </w:r>
      <w:r>
        <w:rPr>
          <w:noProof/>
        </w:rPr>
        <w:instrText xml:space="preserve"> PAGEREF _Toc398970748 </w:instrText>
      </w:r>
      <w:r>
        <w:rPr>
          <w:noProof/>
        </w:rPr>
        <w:fldChar w:fldCharType="separate"/>
      </w:r>
      <w:r>
        <w:rPr>
          <w:noProof/>
        </w:rPr>
        <w:instrText>452</w:instrText>
      </w:r>
      <w:r>
        <w:rPr>
          <w:noProof/>
        </w:rPr>
        <w:fldChar w:fldCharType="end"/>
      </w:r>
      <w:r>
        <w:rPr>
          <w:noProof/>
        </w:rPr>
        <w:fldChar w:fldCharType="end"/>
      </w:r>
    </w:p>
    <w:p w:rsidR="00B72047" w:rsidRDefault="00B72047">
      <w:pPr>
        <w:pStyle w:val="TOC2"/>
        <w:rPr>
          <w:noProof/>
        </w:rPr>
      </w:pPr>
      <w:r>
        <w:rPr>
          <w:noProof/>
        </w:rPr>
        <w:t>17. Logical and non-logical connectives within mekso</w:t>
      </w:r>
      <w:r>
        <w:rPr>
          <w:noProof/>
        </w:rPr>
        <w:tab/>
      </w:r>
      <w:r>
        <w:rPr>
          <w:noProof/>
        </w:rPr>
        <w:fldChar w:fldCharType="begin"/>
      </w:r>
      <w:r>
        <w:rPr>
          <w:noProof/>
        </w:rPr>
        <w:instrText xml:space="preserve"> GOTOBUTTON _Toc398970749  </w:instrText>
      </w:r>
      <w:r>
        <w:rPr>
          <w:noProof/>
        </w:rPr>
        <w:fldChar w:fldCharType="begin"/>
      </w:r>
      <w:r>
        <w:rPr>
          <w:noProof/>
        </w:rPr>
        <w:instrText xml:space="preserve"> PAGEREF _Toc398970749 </w:instrText>
      </w:r>
      <w:r>
        <w:rPr>
          <w:noProof/>
        </w:rPr>
        <w:fldChar w:fldCharType="separate"/>
      </w:r>
      <w:r>
        <w:rPr>
          <w:noProof/>
        </w:rPr>
        <w:instrText>453</w:instrText>
      </w:r>
      <w:r>
        <w:rPr>
          <w:noProof/>
        </w:rPr>
        <w:fldChar w:fldCharType="end"/>
      </w:r>
      <w:r>
        <w:rPr>
          <w:noProof/>
        </w:rPr>
        <w:fldChar w:fldCharType="end"/>
      </w:r>
    </w:p>
    <w:p w:rsidR="00B72047" w:rsidRDefault="00B72047">
      <w:pPr>
        <w:pStyle w:val="TOC2"/>
        <w:rPr>
          <w:noProof/>
        </w:rPr>
      </w:pPr>
      <w:r>
        <w:rPr>
          <w:noProof/>
        </w:rPr>
        <w:t>18. Using Lojban resources within mekso</w:t>
      </w:r>
      <w:r>
        <w:rPr>
          <w:noProof/>
        </w:rPr>
        <w:tab/>
      </w:r>
      <w:r>
        <w:rPr>
          <w:noProof/>
        </w:rPr>
        <w:fldChar w:fldCharType="begin"/>
      </w:r>
      <w:r>
        <w:rPr>
          <w:noProof/>
        </w:rPr>
        <w:instrText xml:space="preserve"> GOTOBUTTON _Toc398970750  </w:instrText>
      </w:r>
      <w:r>
        <w:rPr>
          <w:noProof/>
        </w:rPr>
        <w:fldChar w:fldCharType="begin"/>
      </w:r>
      <w:r>
        <w:rPr>
          <w:noProof/>
        </w:rPr>
        <w:instrText xml:space="preserve"> PAGEREF _Toc398970750 </w:instrText>
      </w:r>
      <w:r>
        <w:rPr>
          <w:noProof/>
        </w:rPr>
        <w:fldChar w:fldCharType="separate"/>
      </w:r>
      <w:r>
        <w:rPr>
          <w:noProof/>
        </w:rPr>
        <w:instrText>456</w:instrText>
      </w:r>
      <w:r>
        <w:rPr>
          <w:noProof/>
        </w:rPr>
        <w:fldChar w:fldCharType="end"/>
      </w:r>
      <w:r>
        <w:rPr>
          <w:noProof/>
        </w:rPr>
        <w:fldChar w:fldCharType="end"/>
      </w:r>
    </w:p>
    <w:p w:rsidR="00B72047" w:rsidRDefault="00B72047">
      <w:pPr>
        <w:pStyle w:val="TOC2"/>
        <w:rPr>
          <w:noProof/>
        </w:rPr>
      </w:pPr>
      <w:r>
        <w:rPr>
          <w:noProof/>
        </w:rPr>
        <w:t>19. Other uses of mekso</w:t>
      </w:r>
      <w:r>
        <w:rPr>
          <w:noProof/>
        </w:rPr>
        <w:tab/>
      </w:r>
      <w:r>
        <w:rPr>
          <w:noProof/>
        </w:rPr>
        <w:fldChar w:fldCharType="begin"/>
      </w:r>
      <w:r>
        <w:rPr>
          <w:noProof/>
        </w:rPr>
        <w:instrText xml:space="preserve"> GOTOBUTTON _Toc398970751  </w:instrText>
      </w:r>
      <w:r>
        <w:rPr>
          <w:noProof/>
        </w:rPr>
        <w:fldChar w:fldCharType="begin"/>
      </w:r>
      <w:r>
        <w:rPr>
          <w:noProof/>
        </w:rPr>
        <w:instrText xml:space="preserve"> PAGEREF _Toc398970751 </w:instrText>
      </w:r>
      <w:r>
        <w:rPr>
          <w:noProof/>
        </w:rPr>
        <w:fldChar w:fldCharType="separate"/>
      </w:r>
      <w:r>
        <w:rPr>
          <w:noProof/>
        </w:rPr>
        <w:instrText>457</w:instrText>
      </w:r>
      <w:r>
        <w:rPr>
          <w:noProof/>
        </w:rPr>
        <w:fldChar w:fldCharType="end"/>
      </w:r>
      <w:r>
        <w:rPr>
          <w:noProof/>
        </w:rPr>
        <w:fldChar w:fldCharType="end"/>
      </w:r>
    </w:p>
    <w:p w:rsidR="00B72047" w:rsidRDefault="00B72047">
      <w:pPr>
        <w:pStyle w:val="TOC2"/>
        <w:rPr>
          <w:noProof/>
        </w:rPr>
      </w:pPr>
      <w:r>
        <w:rPr>
          <w:noProof/>
        </w:rPr>
        <w:t>20. Explicit operator precedence</w:t>
      </w:r>
      <w:r>
        <w:rPr>
          <w:noProof/>
        </w:rPr>
        <w:tab/>
      </w:r>
      <w:r>
        <w:rPr>
          <w:noProof/>
        </w:rPr>
        <w:fldChar w:fldCharType="begin"/>
      </w:r>
      <w:r>
        <w:rPr>
          <w:noProof/>
        </w:rPr>
        <w:instrText xml:space="preserve"> GOTOBUTTON _Toc398970752  </w:instrText>
      </w:r>
      <w:r>
        <w:rPr>
          <w:noProof/>
        </w:rPr>
        <w:fldChar w:fldCharType="begin"/>
      </w:r>
      <w:r>
        <w:rPr>
          <w:noProof/>
        </w:rPr>
        <w:instrText xml:space="preserve"> PAGEREF _Toc398970752 </w:instrText>
      </w:r>
      <w:r>
        <w:rPr>
          <w:noProof/>
        </w:rPr>
        <w:fldChar w:fldCharType="separate"/>
      </w:r>
      <w:r>
        <w:rPr>
          <w:noProof/>
        </w:rPr>
        <w:instrText>458</w:instrText>
      </w:r>
      <w:r>
        <w:rPr>
          <w:noProof/>
        </w:rPr>
        <w:fldChar w:fldCharType="end"/>
      </w:r>
      <w:r>
        <w:rPr>
          <w:noProof/>
        </w:rPr>
        <w:fldChar w:fldCharType="end"/>
      </w:r>
    </w:p>
    <w:p w:rsidR="00B72047" w:rsidRDefault="00B72047">
      <w:pPr>
        <w:pStyle w:val="TOC2"/>
        <w:rPr>
          <w:noProof/>
        </w:rPr>
      </w:pPr>
      <w:r>
        <w:rPr>
          <w:noProof/>
        </w:rPr>
        <w:t>21. Miscellany</w:t>
      </w:r>
      <w:r>
        <w:rPr>
          <w:noProof/>
        </w:rPr>
        <w:tab/>
      </w:r>
      <w:r>
        <w:rPr>
          <w:noProof/>
        </w:rPr>
        <w:fldChar w:fldCharType="begin"/>
      </w:r>
      <w:r>
        <w:rPr>
          <w:noProof/>
        </w:rPr>
        <w:instrText xml:space="preserve"> GOTOBUTTON _Toc398970753  </w:instrText>
      </w:r>
      <w:r>
        <w:rPr>
          <w:noProof/>
        </w:rPr>
        <w:fldChar w:fldCharType="begin"/>
      </w:r>
      <w:r>
        <w:rPr>
          <w:noProof/>
        </w:rPr>
        <w:instrText xml:space="preserve"> PAGEREF _Toc398970753 </w:instrText>
      </w:r>
      <w:r>
        <w:rPr>
          <w:noProof/>
        </w:rPr>
        <w:fldChar w:fldCharType="separate"/>
      </w:r>
      <w:r>
        <w:rPr>
          <w:noProof/>
        </w:rPr>
        <w:instrText>459</w:instrText>
      </w:r>
      <w:r>
        <w:rPr>
          <w:noProof/>
        </w:rPr>
        <w:fldChar w:fldCharType="end"/>
      </w:r>
      <w:r>
        <w:rPr>
          <w:noProof/>
        </w:rPr>
        <w:fldChar w:fldCharType="end"/>
      </w:r>
    </w:p>
    <w:p w:rsidR="00B72047" w:rsidRDefault="00B72047">
      <w:pPr>
        <w:pStyle w:val="TOC2"/>
        <w:rPr>
          <w:noProof/>
        </w:rPr>
      </w:pPr>
      <w:r>
        <w:rPr>
          <w:noProof/>
        </w:rPr>
        <w:t>22. Four score and seven: a mekso problem</w:t>
      </w:r>
      <w:r>
        <w:rPr>
          <w:noProof/>
        </w:rPr>
        <w:tab/>
      </w:r>
      <w:r>
        <w:rPr>
          <w:noProof/>
        </w:rPr>
        <w:fldChar w:fldCharType="begin"/>
      </w:r>
      <w:r>
        <w:rPr>
          <w:noProof/>
        </w:rPr>
        <w:instrText xml:space="preserve"> GOTOBUTTON _Toc398970754  </w:instrText>
      </w:r>
      <w:r>
        <w:rPr>
          <w:noProof/>
        </w:rPr>
        <w:fldChar w:fldCharType="begin"/>
      </w:r>
      <w:r>
        <w:rPr>
          <w:noProof/>
        </w:rPr>
        <w:instrText xml:space="preserve"> PAGEREF _Toc398970754 </w:instrText>
      </w:r>
      <w:r>
        <w:rPr>
          <w:noProof/>
        </w:rPr>
        <w:fldChar w:fldCharType="separate"/>
      </w:r>
      <w:r>
        <w:rPr>
          <w:noProof/>
        </w:rPr>
        <w:instrText>460</w:instrText>
      </w:r>
      <w:r>
        <w:rPr>
          <w:noProof/>
        </w:rPr>
        <w:fldChar w:fldCharType="end"/>
      </w:r>
      <w:r>
        <w:rPr>
          <w:noProof/>
        </w:rPr>
        <w:fldChar w:fldCharType="end"/>
      </w:r>
    </w:p>
    <w:p w:rsidR="00B72047" w:rsidRDefault="00B72047">
      <w:pPr>
        <w:pStyle w:val="TOC2"/>
        <w:rPr>
          <w:noProof/>
        </w:rPr>
      </w:pPr>
      <w:r>
        <w:rPr>
          <w:noProof/>
        </w:rPr>
        <w:t>23. mekso selma'o summary</w:t>
      </w:r>
      <w:r>
        <w:rPr>
          <w:noProof/>
        </w:rPr>
        <w:tab/>
      </w:r>
      <w:r>
        <w:rPr>
          <w:noProof/>
        </w:rPr>
        <w:fldChar w:fldCharType="begin"/>
      </w:r>
      <w:r>
        <w:rPr>
          <w:noProof/>
        </w:rPr>
        <w:instrText xml:space="preserve"> GOTOBUTTON _Toc398970755  </w:instrText>
      </w:r>
      <w:r>
        <w:rPr>
          <w:noProof/>
        </w:rPr>
        <w:fldChar w:fldCharType="begin"/>
      </w:r>
      <w:r>
        <w:rPr>
          <w:noProof/>
        </w:rPr>
        <w:instrText xml:space="preserve"> PAGEREF _Toc398970755 </w:instrText>
      </w:r>
      <w:r>
        <w:rPr>
          <w:noProof/>
        </w:rPr>
        <w:fldChar w:fldCharType="separate"/>
      </w:r>
      <w:r>
        <w:rPr>
          <w:noProof/>
        </w:rPr>
        <w:instrText>461</w:instrText>
      </w:r>
      <w:r>
        <w:rPr>
          <w:noProof/>
        </w:rPr>
        <w:fldChar w:fldCharType="end"/>
      </w:r>
      <w:r>
        <w:rPr>
          <w:noProof/>
        </w:rPr>
        <w:fldChar w:fldCharType="end"/>
      </w:r>
    </w:p>
    <w:p w:rsidR="00B72047" w:rsidRDefault="00B72047">
      <w:pPr>
        <w:pStyle w:val="TOC2"/>
        <w:rPr>
          <w:noProof/>
        </w:rPr>
      </w:pPr>
      <w:r>
        <w:rPr>
          <w:noProof/>
        </w:rPr>
        <w:t>24. Complete table of VUhU cmavo, with operand structures</w:t>
      </w:r>
      <w:r>
        <w:rPr>
          <w:noProof/>
        </w:rPr>
        <w:tab/>
      </w:r>
      <w:r>
        <w:rPr>
          <w:noProof/>
        </w:rPr>
        <w:fldChar w:fldCharType="begin"/>
      </w:r>
      <w:r>
        <w:rPr>
          <w:noProof/>
        </w:rPr>
        <w:instrText xml:space="preserve"> GOTOBUTTON _Toc398970756  </w:instrText>
      </w:r>
      <w:r>
        <w:rPr>
          <w:noProof/>
        </w:rPr>
        <w:fldChar w:fldCharType="begin"/>
      </w:r>
      <w:r>
        <w:rPr>
          <w:noProof/>
        </w:rPr>
        <w:instrText xml:space="preserve"> PAGEREF _Toc398970756 </w:instrText>
      </w:r>
      <w:r>
        <w:rPr>
          <w:noProof/>
        </w:rPr>
        <w:fldChar w:fldCharType="separate"/>
      </w:r>
      <w:r>
        <w:rPr>
          <w:noProof/>
        </w:rPr>
        <w:instrText>461</w:instrText>
      </w:r>
      <w:r>
        <w:rPr>
          <w:noProof/>
        </w:rPr>
        <w:fldChar w:fldCharType="end"/>
      </w:r>
      <w:r>
        <w:rPr>
          <w:noProof/>
        </w:rPr>
        <w:fldChar w:fldCharType="end"/>
      </w:r>
    </w:p>
    <w:p w:rsidR="00B72047" w:rsidRDefault="00B72047">
      <w:pPr>
        <w:pStyle w:val="TOC2"/>
        <w:rPr>
          <w:noProof/>
        </w:rPr>
      </w:pPr>
      <w:r>
        <w:rPr>
          <w:noProof/>
        </w:rPr>
        <w:t>25. Complete table of PA cmavo: digits, punctuation, and other numbers.</w:t>
      </w:r>
      <w:r>
        <w:rPr>
          <w:noProof/>
        </w:rPr>
        <w:tab/>
      </w:r>
      <w:r>
        <w:rPr>
          <w:noProof/>
        </w:rPr>
        <w:fldChar w:fldCharType="begin"/>
      </w:r>
      <w:r>
        <w:rPr>
          <w:noProof/>
        </w:rPr>
        <w:instrText xml:space="preserve"> GOTOBUTTON _Toc398970757  </w:instrText>
      </w:r>
      <w:r>
        <w:rPr>
          <w:noProof/>
        </w:rPr>
        <w:fldChar w:fldCharType="begin"/>
      </w:r>
      <w:r>
        <w:rPr>
          <w:noProof/>
        </w:rPr>
        <w:instrText xml:space="preserve"> PAGEREF _Toc398970757 </w:instrText>
      </w:r>
      <w:r>
        <w:rPr>
          <w:noProof/>
        </w:rPr>
        <w:fldChar w:fldCharType="separate"/>
      </w:r>
      <w:r>
        <w:rPr>
          <w:noProof/>
        </w:rPr>
        <w:instrText>462</w:instrText>
      </w:r>
      <w:r>
        <w:rPr>
          <w:noProof/>
        </w:rPr>
        <w:fldChar w:fldCharType="end"/>
      </w:r>
      <w:r>
        <w:rPr>
          <w:noProof/>
        </w:rPr>
        <w:fldChar w:fldCharType="end"/>
      </w:r>
    </w:p>
    <w:p w:rsidR="00B72047" w:rsidRDefault="00B72047">
      <w:pPr>
        <w:pStyle w:val="TOC2"/>
        <w:rPr>
          <w:noProof/>
        </w:rPr>
      </w:pPr>
      <w:r>
        <w:rPr>
          <w:noProof/>
        </w:rPr>
        <w:t>26. Table of MOI cmavo, with associated rafsi and place structures</w:t>
      </w:r>
      <w:r>
        <w:rPr>
          <w:noProof/>
        </w:rPr>
        <w:tab/>
      </w:r>
      <w:r>
        <w:rPr>
          <w:noProof/>
        </w:rPr>
        <w:fldChar w:fldCharType="begin"/>
      </w:r>
      <w:r>
        <w:rPr>
          <w:noProof/>
        </w:rPr>
        <w:instrText xml:space="preserve"> GOTOBUTTON _Toc398970758  </w:instrText>
      </w:r>
      <w:r>
        <w:rPr>
          <w:noProof/>
        </w:rPr>
        <w:fldChar w:fldCharType="begin"/>
      </w:r>
      <w:r>
        <w:rPr>
          <w:noProof/>
        </w:rPr>
        <w:instrText xml:space="preserve"> PAGEREF _Toc398970758 </w:instrText>
      </w:r>
      <w:r>
        <w:rPr>
          <w:noProof/>
        </w:rPr>
        <w:fldChar w:fldCharType="separate"/>
      </w:r>
      <w:r>
        <w:rPr>
          <w:noProof/>
        </w:rPr>
        <w:instrText>463</w:instrText>
      </w:r>
      <w:r>
        <w:rPr>
          <w:noProof/>
        </w:rPr>
        <w:fldChar w:fldCharType="end"/>
      </w:r>
      <w:r>
        <w:rPr>
          <w:noProof/>
        </w:rPr>
        <w:fldChar w:fldCharType="end"/>
      </w:r>
    </w:p>
    <w:p w:rsidR="00B72047" w:rsidRDefault="00B72047">
      <w:pPr>
        <w:pStyle w:val="TOC1"/>
        <w:rPr>
          <w:noProof/>
        </w:rPr>
      </w:pPr>
      <w:r>
        <w:rPr>
          <w:noProof/>
        </w:rPr>
        <w:t>Chapter 19  Putting It All Together: Notes on the Structure of Lojban Texts</w:t>
      </w:r>
      <w:r>
        <w:rPr>
          <w:noProof/>
        </w:rPr>
        <w:tab/>
      </w:r>
      <w:r>
        <w:rPr>
          <w:noProof/>
        </w:rPr>
        <w:fldChar w:fldCharType="begin"/>
      </w:r>
      <w:r>
        <w:rPr>
          <w:noProof/>
        </w:rPr>
        <w:instrText xml:space="preserve"> GOTOBUTTON _Toc398970760  </w:instrText>
      </w:r>
      <w:r>
        <w:rPr>
          <w:noProof/>
        </w:rPr>
        <w:fldChar w:fldCharType="begin"/>
      </w:r>
      <w:r>
        <w:rPr>
          <w:noProof/>
        </w:rPr>
        <w:instrText xml:space="preserve"> PAGEREF _Toc398970760 </w:instrText>
      </w:r>
      <w:r>
        <w:rPr>
          <w:noProof/>
        </w:rPr>
        <w:fldChar w:fldCharType="separate"/>
      </w:r>
      <w:r>
        <w:rPr>
          <w:noProof/>
        </w:rPr>
        <w:instrText>465</w:instrText>
      </w:r>
      <w:r>
        <w:rPr>
          <w:noProof/>
        </w:rPr>
        <w:fldChar w:fldCharType="end"/>
      </w:r>
      <w:r>
        <w:rPr>
          <w:noProof/>
        </w:rPr>
        <w:fldChar w:fldCharType="end"/>
      </w:r>
    </w:p>
    <w:p w:rsidR="00B72047" w:rsidRDefault="00B72047">
      <w:pPr>
        <w:pStyle w:val="TOC2"/>
        <w:rPr>
          <w:noProof/>
        </w:rPr>
      </w:pPr>
      <w:r>
        <w:rPr>
          <w:noProof/>
        </w:rPr>
        <w:t>1. Introductory</w:t>
      </w:r>
      <w:r>
        <w:rPr>
          <w:noProof/>
        </w:rPr>
        <w:tab/>
      </w:r>
      <w:r>
        <w:rPr>
          <w:noProof/>
        </w:rPr>
        <w:fldChar w:fldCharType="begin"/>
      </w:r>
      <w:r>
        <w:rPr>
          <w:noProof/>
        </w:rPr>
        <w:instrText xml:space="preserve"> GOTOBUTTON _Toc398970761  </w:instrText>
      </w:r>
      <w:r>
        <w:rPr>
          <w:noProof/>
        </w:rPr>
        <w:fldChar w:fldCharType="begin"/>
      </w:r>
      <w:r>
        <w:rPr>
          <w:noProof/>
        </w:rPr>
        <w:instrText xml:space="preserve"> PAGEREF _Toc398970761 </w:instrText>
      </w:r>
      <w:r>
        <w:rPr>
          <w:noProof/>
        </w:rPr>
        <w:fldChar w:fldCharType="separate"/>
      </w:r>
      <w:r>
        <w:rPr>
          <w:noProof/>
        </w:rPr>
        <w:instrText>465</w:instrText>
      </w:r>
      <w:r>
        <w:rPr>
          <w:noProof/>
        </w:rPr>
        <w:fldChar w:fldCharType="end"/>
      </w:r>
      <w:r>
        <w:rPr>
          <w:noProof/>
        </w:rPr>
        <w:fldChar w:fldCharType="end"/>
      </w:r>
    </w:p>
    <w:p w:rsidR="00B72047" w:rsidRDefault="00B72047">
      <w:pPr>
        <w:pStyle w:val="TOC2"/>
        <w:rPr>
          <w:noProof/>
        </w:rPr>
      </w:pPr>
      <w:r>
        <w:rPr>
          <w:noProof/>
        </w:rPr>
        <w:t>2. Sentences: I</w:t>
      </w:r>
      <w:r>
        <w:rPr>
          <w:noProof/>
        </w:rPr>
        <w:tab/>
      </w:r>
      <w:r>
        <w:rPr>
          <w:noProof/>
        </w:rPr>
        <w:fldChar w:fldCharType="begin"/>
      </w:r>
      <w:r>
        <w:rPr>
          <w:noProof/>
        </w:rPr>
        <w:instrText xml:space="preserve"> GOTOBUTTON _Toc398970762  </w:instrText>
      </w:r>
      <w:r>
        <w:rPr>
          <w:noProof/>
        </w:rPr>
        <w:fldChar w:fldCharType="begin"/>
      </w:r>
      <w:r>
        <w:rPr>
          <w:noProof/>
        </w:rPr>
        <w:instrText xml:space="preserve"> PAGEREF _Toc398970762 </w:instrText>
      </w:r>
      <w:r>
        <w:rPr>
          <w:noProof/>
        </w:rPr>
        <w:fldChar w:fldCharType="separate"/>
      </w:r>
      <w:r>
        <w:rPr>
          <w:noProof/>
        </w:rPr>
        <w:instrText>465</w:instrText>
      </w:r>
      <w:r>
        <w:rPr>
          <w:noProof/>
        </w:rPr>
        <w:fldChar w:fldCharType="end"/>
      </w:r>
      <w:r>
        <w:rPr>
          <w:noProof/>
        </w:rPr>
        <w:fldChar w:fldCharType="end"/>
      </w:r>
    </w:p>
    <w:p w:rsidR="00B72047" w:rsidRDefault="00B72047">
      <w:pPr>
        <w:pStyle w:val="TOC2"/>
        <w:rPr>
          <w:noProof/>
        </w:rPr>
      </w:pPr>
      <w:r>
        <w:rPr>
          <w:noProof/>
        </w:rPr>
        <w:t>3. Paragraphs: NIhO</w:t>
      </w:r>
      <w:r>
        <w:rPr>
          <w:noProof/>
        </w:rPr>
        <w:tab/>
      </w:r>
      <w:r>
        <w:rPr>
          <w:noProof/>
        </w:rPr>
        <w:fldChar w:fldCharType="begin"/>
      </w:r>
      <w:r>
        <w:rPr>
          <w:noProof/>
        </w:rPr>
        <w:instrText xml:space="preserve"> GOTOBUTTON _Toc398970763  </w:instrText>
      </w:r>
      <w:r>
        <w:rPr>
          <w:noProof/>
        </w:rPr>
        <w:fldChar w:fldCharType="begin"/>
      </w:r>
      <w:r>
        <w:rPr>
          <w:noProof/>
        </w:rPr>
        <w:instrText xml:space="preserve"> PAGEREF _Toc398970763 </w:instrText>
      </w:r>
      <w:r>
        <w:rPr>
          <w:noProof/>
        </w:rPr>
        <w:fldChar w:fldCharType="separate"/>
      </w:r>
      <w:r>
        <w:rPr>
          <w:noProof/>
        </w:rPr>
        <w:instrText>466</w:instrText>
      </w:r>
      <w:r>
        <w:rPr>
          <w:noProof/>
        </w:rPr>
        <w:fldChar w:fldCharType="end"/>
      </w:r>
      <w:r>
        <w:rPr>
          <w:noProof/>
        </w:rPr>
        <w:fldChar w:fldCharType="end"/>
      </w:r>
    </w:p>
    <w:p w:rsidR="00B72047" w:rsidRDefault="00B72047">
      <w:pPr>
        <w:pStyle w:val="TOC2"/>
        <w:rPr>
          <w:noProof/>
        </w:rPr>
      </w:pPr>
      <w:r>
        <w:rPr>
          <w:noProof/>
        </w:rPr>
        <w:t>4. Topic-comment sentences: ZOhU</w:t>
      </w:r>
      <w:r>
        <w:rPr>
          <w:noProof/>
        </w:rPr>
        <w:tab/>
      </w:r>
      <w:r>
        <w:rPr>
          <w:noProof/>
        </w:rPr>
        <w:fldChar w:fldCharType="begin"/>
      </w:r>
      <w:r>
        <w:rPr>
          <w:noProof/>
        </w:rPr>
        <w:instrText xml:space="preserve"> GOTOBUTTON _Toc398970764  </w:instrText>
      </w:r>
      <w:r>
        <w:rPr>
          <w:noProof/>
        </w:rPr>
        <w:fldChar w:fldCharType="begin"/>
      </w:r>
      <w:r>
        <w:rPr>
          <w:noProof/>
        </w:rPr>
        <w:instrText xml:space="preserve"> PAGEREF _Toc398970764 </w:instrText>
      </w:r>
      <w:r>
        <w:rPr>
          <w:noProof/>
        </w:rPr>
        <w:fldChar w:fldCharType="separate"/>
      </w:r>
      <w:r>
        <w:rPr>
          <w:noProof/>
        </w:rPr>
        <w:instrText>467</w:instrText>
      </w:r>
      <w:r>
        <w:rPr>
          <w:noProof/>
        </w:rPr>
        <w:fldChar w:fldCharType="end"/>
      </w:r>
      <w:r>
        <w:rPr>
          <w:noProof/>
        </w:rPr>
        <w:fldChar w:fldCharType="end"/>
      </w:r>
    </w:p>
    <w:p w:rsidR="00B72047" w:rsidRDefault="00B72047">
      <w:pPr>
        <w:pStyle w:val="TOC2"/>
        <w:rPr>
          <w:noProof/>
        </w:rPr>
      </w:pPr>
      <w:r>
        <w:rPr>
          <w:noProof/>
        </w:rPr>
        <w:t>5. Questions and answers</w:t>
      </w:r>
      <w:r>
        <w:rPr>
          <w:noProof/>
        </w:rPr>
        <w:tab/>
      </w:r>
      <w:r>
        <w:rPr>
          <w:noProof/>
        </w:rPr>
        <w:fldChar w:fldCharType="begin"/>
      </w:r>
      <w:r>
        <w:rPr>
          <w:noProof/>
        </w:rPr>
        <w:instrText xml:space="preserve"> GOTOBUTTON _Toc398970765  </w:instrText>
      </w:r>
      <w:r>
        <w:rPr>
          <w:noProof/>
        </w:rPr>
        <w:fldChar w:fldCharType="begin"/>
      </w:r>
      <w:r>
        <w:rPr>
          <w:noProof/>
        </w:rPr>
        <w:instrText xml:space="preserve"> PAGEREF _Toc398970765 </w:instrText>
      </w:r>
      <w:r>
        <w:rPr>
          <w:noProof/>
        </w:rPr>
        <w:fldChar w:fldCharType="separate"/>
      </w:r>
      <w:r>
        <w:rPr>
          <w:noProof/>
        </w:rPr>
        <w:instrText>469</w:instrText>
      </w:r>
      <w:r>
        <w:rPr>
          <w:noProof/>
        </w:rPr>
        <w:fldChar w:fldCharType="end"/>
      </w:r>
      <w:r>
        <w:rPr>
          <w:noProof/>
        </w:rPr>
        <w:fldChar w:fldCharType="end"/>
      </w:r>
    </w:p>
    <w:p w:rsidR="00B72047" w:rsidRDefault="00B72047">
      <w:pPr>
        <w:pStyle w:val="TOC2"/>
        <w:rPr>
          <w:noProof/>
        </w:rPr>
      </w:pPr>
      <w:r>
        <w:rPr>
          <w:noProof/>
        </w:rPr>
        <w:t>6. Subscripts: XI</w:t>
      </w:r>
      <w:r>
        <w:rPr>
          <w:noProof/>
        </w:rPr>
        <w:tab/>
      </w:r>
      <w:r>
        <w:rPr>
          <w:noProof/>
        </w:rPr>
        <w:fldChar w:fldCharType="begin"/>
      </w:r>
      <w:r>
        <w:rPr>
          <w:noProof/>
        </w:rPr>
        <w:instrText xml:space="preserve"> GOTOBUTTON _Toc398970766  </w:instrText>
      </w:r>
      <w:r>
        <w:rPr>
          <w:noProof/>
        </w:rPr>
        <w:fldChar w:fldCharType="begin"/>
      </w:r>
      <w:r>
        <w:rPr>
          <w:noProof/>
        </w:rPr>
        <w:instrText xml:space="preserve"> PAGEREF _Toc398970766 </w:instrText>
      </w:r>
      <w:r>
        <w:rPr>
          <w:noProof/>
        </w:rPr>
        <w:fldChar w:fldCharType="separate"/>
      </w:r>
      <w:r>
        <w:rPr>
          <w:noProof/>
        </w:rPr>
        <w:instrText>471</w:instrText>
      </w:r>
      <w:r>
        <w:rPr>
          <w:noProof/>
        </w:rPr>
        <w:fldChar w:fldCharType="end"/>
      </w:r>
      <w:r>
        <w:rPr>
          <w:noProof/>
        </w:rPr>
        <w:fldChar w:fldCharType="end"/>
      </w:r>
    </w:p>
    <w:p w:rsidR="00B72047" w:rsidRDefault="00B72047">
      <w:pPr>
        <w:pStyle w:val="TOC2"/>
        <w:rPr>
          <w:noProof/>
        </w:rPr>
      </w:pPr>
      <w:r>
        <w:rPr>
          <w:noProof/>
        </w:rPr>
        <w:t>7. Utterance ordinals: MAI</w:t>
      </w:r>
      <w:r>
        <w:rPr>
          <w:noProof/>
        </w:rPr>
        <w:tab/>
      </w:r>
      <w:r>
        <w:rPr>
          <w:noProof/>
        </w:rPr>
        <w:fldChar w:fldCharType="begin"/>
      </w:r>
      <w:r>
        <w:rPr>
          <w:noProof/>
        </w:rPr>
        <w:instrText xml:space="preserve"> GOTOBUTTON _Toc398970767  </w:instrText>
      </w:r>
      <w:r>
        <w:rPr>
          <w:noProof/>
        </w:rPr>
        <w:fldChar w:fldCharType="begin"/>
      </w:r>
      <w:r>
        <w:rPr>
          <w:noProof/>
        </w:rPr>
        <w:instrText xml:space="preserve"> PAGEREF _Toc398970767 </w:instrText>
      </w:r>
      <w:r>
        <w:rPr>
          <w:noProof/>
        </w:rPr>
        <w:fldChar w:fldCharType="separate"/>
      </w:r>
      <w:r>
        <w:rPr>
          <w:noProof/>
        </w:rPr>
        <w:instrText>474</w:instrText>
      </w:r>
      <w:r>
        <w:rPr>
          <w:noProof/>
        </w:rPr>
        <w:fldChar w:fldCharType="end"/>
      </w:r>
      <w:r>
        <w:rPr>
          <w:noProof/>
        </w:rPr>
        <w:fldChar w:fldCharType="end"/>
      </w:r>
    </w:p>
    <w:p w:rsidR="00B72047" w:rsidRDefault="00B72047">
      <w:pPr>
        <w:pStyle w:val="TOC2"/>
        <w:rPr>
          <w:noProof/>
        </w:rPr>
      </w:pPr>
      <w:r>
        <w:rPr>
          <w:noProof/>
        </w:rPr>
        <w:t>8. Attitude scope markers: FUhE/FUhO</w:t>
      </w:r>
      <w:r>
        <w:rPr>
          <w:noProof/>
        </w:rPr>
        <w:tab/>
      </w:r>
      <w:r>
        <w:rPr>
          <w:noProof/>
        </w:rPr>
        <w:fldChar w:fldCharType="begin"/>
      </w:r>
      <w:r>
        <w:rPr>
          <w:noProof/>
        </w:rPr>
        <w:instrText xml:space="preserve"> GOTOBUTTON _Toc398970768  </w:instrText>
      </w:r>
      <w:r>
        <w:rPr>
          <w:noProof/>
        </w:rPr>
        <w:fldChar w:fldCharType="begin"/>
      </w:r>
      <w:r>
        <w:rPr>
          <w:noProof/>
        </w:rPr>
        <w:instrText xml:space="preserve"> PAGEREF _Toc398970768 </w:instrText>
      </w:r>
      <w:r>
        <w:rPr>
          <w:noProof/>
        </w:rPr>
        <w:fldChar w:fldCharType="separate"/>
      </w:r>
      <w:r>
        <w:rPr>
          <w:noProof/>
        </w:rPr>
        <w:instrText>474</w:instrText>
      </w:r>
      <w:r>
        <w:rPr>
          <w:noProof/>
        </w:rPr>
        <w:fldChar w:fldCharType="end"/>
      </w:r>
      <w:r>
        <w:rPr>
          <w:noProof/>
        </w:rPr>
        <w:fldChar w:fldCharType="end"/>
      </w:r>
    </w:p>
    <w:p w:rsidR="00B72047" w:rsidRDefault="00B72047">
      <w:pPr>
        <w:pStyle w:val="TOC2"/>
        <w:rPr>
          <w:noProof/>
        </w:rPr>
      </w:pPr>
      <w:r>
        <w:rPr>
          <w:noProof/>
        </w:rPr>
        <w:t>9. Quotations: LU, LIhU, LOhU, LEhU</w:t>
      </w:r>
      <w:r>
        <w:rPr>
          <w:noProof/>
        </w:rPr>
        <w:tab/>
      </w:r>
      <w:r>
        <w:rPr>
          <w:noProof/>
        </w:rPr>
        <w:fldChar w:fldCharType="begin"/>
      </w:r>
      <w:r>
        <w:rPr>
          <w:noProof/>
        </w:rPr>
        <w:instrText xml:space="preserve"> GOTOBUTTON _Toc398970769  </w:instrText>
      </w:r>
      <w:r>
        <w:rPr>
          <w:noProof/>
        </w:rPr>
        <w:fldChar w:fldCharType="begin"/>
      </w:r>
      <w:r>
        <w:rPr>
          <w:noProof/>
        </w:rPr>
        <w:instrText xml:space="preserve"> PAGEREF _Toc398970769 </w:instrText>
      </w:r>
      <w:r>
        <w:rPr>
          <w:noProof/>
        </w:rPr>
        <w:fldChar w:fldCharType="separate"/>
      </w:r>
      <w:r>
        <w:rPr>
          <w:noProof/>
        </w:rPr>
        <w:instrText>475</w:instrText>
      </w:r>
      <w:r>
        <w:rPr>
          <w:noProof/>
        </w:rPr>
        <w:fldChar w:fldCharType="end"/>
      </w:r>
      <w:r>
        <w:rPr>
          <w:noProof/>
        </w:rPr>
        <w:fldChar w:fldCharType="end"/>
      </w:r>
    </w:p>
    <w:p w:rsidR="00B72047" w:rsidRDefault="00B72047">
      <w:pPr>
        <w:pStyle w:val="TOC2"/>
        <w:rPr>
          <w:noProof/>
        </w:rPr>
      </w:pPr>
      <w:r>
        <w:rPr>
          <w:noProof/>
        </w:rPr>
        <w:t>10. More on quotations: ZO, ZOI</w:t>
      </w:r>
      <w:r>
        <w:rPr>
          <w:noProof/>
        </w:rPr>
        <w:tab/>
      </w:r>
      <w:r>
        <w:rPr>
          <w:noProof/>
        </w:rPr>
        <w:fldChar w:fldCharType="begin"/>
      </w:r>
      <w:r>
        <w:rPr>
          <w:noProof/>
        </w:rPr>
        <w:instrText xml:space="preserve"> GOTOBUTTON _Toc398970770  </w:instrText>
      </w:r>
      <w:r>
        <w:rPr>
          <w:noProof/>
        </w:rPr>
        <w:fldChar w:fldCharType="begin"/>
      </w:r>
      <w:r>
        <w:rPr>
          <w:noProof/>
        </w:rPr>
        <w:instrText xml:space="preserve"> PAGEREF _Toc398970770 </w:instrText>
      </w:r>
      <w:r>
        <w:rPr>
          <w:noProof/>
        </w:rPr>
        <w:fldChar w:fldCharType="separate"/>
      </w:r>
      <w:r>
        <w:rPr>
          <w:noProof/>
        </w:rPr>
        <w:instrText>477</w:instrText>
      </w:r>
      <w:r>
        <w:rPr>
          <w:noProof/>
        </w:rPr>
        <w:fldChar w:fldCharType="end"/>
      </w:r>
      <w:r>
        <w:rPr>
          <w:noProof/>
        </w:rPr>
        <w:fldChar w:fldCharType="end"/>
      </w:r>
    </w:p>
    <w:p w:rsidR="00B72047" w:rsidRDefault="00B72047">
      <w:pPr>
        <w:pStyle w:val="TOC2"/>
        <w:rPr>
          <w:noProof/>
        </w:rPr>
      </w:pPr>
      <w:r>
        <w:rPr>
          <w:noProof/>
        </w:rPr>
        <w:t>11. Contrastive emphasis: BAhE</w:t>
      </w:r>
      <w:r>
        <w:rPr>
          <w:noProof/>
        </w:rPr>
        <w:tab/>
      </w:r>
      <w:r>
        <w:rPr>
          <w:noProof/>
        </w:rPr>
        <w:fldChar w:fldCharType="begin"/>
      </w:r>
      <w:r>
        <w:rPr>
          <w:noProof/>
        </w:rPr>
        <w:instrText xml:space="preserve"> GOTOBUTTON _Toc398970771  </w:instrText>
      </w:r>
      <w:r>
        <w:rPr>
          <w:noProof/>
        </w:rPr>
        <w:fldChar w:fldCharType="begin"/>
      </w:r>
      <w:r>
        <w:rPr>
          <w:noProof/>
        </w:rPr>
        <w:instrText xml:space="preserve"> PAGEREF _Toc398970771 </w:instrText>
      </w:r>
      <w:r>
        <w:rPr>
          <w:noProof/>
        </w:rPr>
        <w:fldChar w:fldCharType="separate"/>
      </w:r>
      <w:r>
        <w:rPr>
          <w:noProof/>
        </w:rPr>
        <w:instrText>479</w:instrText>
      </w:r>
      <w:r>
        <w:rPr>
          <w:noProof/>
        </w:rPr>
        <w:fldChar w:fldCharType="end"/>
      </w:r>
      <w:r>
        <w:rPr>
          <w:noProof/>
        </w:rPr>
        <w:fldChar w:fldCharType="end"/>
      </w:r>
    </w:p>
    <w:p w:rsidR="00B72047" w:rsidRDefault="00B72047">
      <w:pPr>
        <w:pStyle w:val="TOC2"/>
        <w:rPr>
          <w:noProof/>
        </w:rPr>
      </w:pPr>
      <w:r>
        <w:rPr>
          <w:noProof/>
        </w:rPr>
        <w:t>12. Parenthesis and metalinguistic commentary: TO, TOI, SEI</w:t>
      </w:r>
      <w:r>
        <w:rPr>
          <w:noProof/>
        </w:rPr>
        <w:tab/>
      </w:r>
      <w:r>
        <w:rPr>
          <w:noProof/>
        </w:rPr>
        <w:fldChar w:fldCharType="begin"/>
      </w:r>
      <w:r>
        <w:rPr>
          <w:noProof/>
        </w:rPr>
        <w:instrText xml:space="preserve"> GOTOBUTTON _Toc398970772  </w:instrText>
      </w:r>
      <w:r>
        <w:rPr>
          <w:noProof/>
        </w:rPr>
        <w:fldChar w:fldCharType="begin"/>
      </w:r>
      <w:r>
        <w:rPr>
          <w:noProof/>
        </w:rPr>
        <w:instrText xml:space="preserve"> PAGEREF _Toc398970772 </w:instrText>
      </w:r>
      <w:r>
        <w:rPr>
          <w:noProof/>
        </w:rPr>
        <w:fldChar w:fldCharType="separate"/>
      </w:r>
      <w:r>
        <w:rPr>
          <w:noProof/>
        </w:rPr>
        <w:instrText>480</w:instrText>
      </w:r>
      <w:r>
        <w:rPr>
          <w:noProof/>
        </w:rPr>
        <w:fldChar w:fldCharType="end"/>
      </w:r>
      <w:r>
        <w:rPr>
          <w:noProof/>
        </w:rPr>
        <w:fldChar w:fldCharType="end"/>
      </w:r>
    </w:p>
    <w:p w:rsidR="00B72047" w:rsidRDefault="00B72047">
      <w:pPr>
        <w:pStyle w:val="TOC2"/>
        <w:rPr>
          <w:noProof/>
        </w:rPr>
      </w:pPr>
      <w:r>
        <w:rPr>
          <w:noProof/>
        </w:rPr>
        <w:t>13. Erasure: SI, SA, SU</w:t>
      </w:r>
      <w:r>
        <w:rPr>
          <w:noProof/>
        </w:rPr>
        <w:tab/>
      </w:r>
      <w:r>
        <w:rPr>
          <w:noProof/>
        </w:rPr>
        <w:fldChar w:fldCharType="begin"/>
      </w:r>
      <w:r>
        <w:rPr>
          <w:noProof/>
        </w:rPr>
        <w:instrText xml:space="preserve"> GOTOBUTTON _Toc398970773  </w:instrText>
      </w:r>
      <w:r>
        <w:rPr>
          <w:noProof/>
        </w:rPr>
        <w:fldChar w:fldCharType="begin"/>
      </w:r>
      <w:r>
        <w:rPr>
          <w:noProof/>
        </w:rPr>
        <w:instrText xml:space="preserve"> PAGEREF _Toc398970773 </w:instrText>
      </w:r>
      <w:r>
        <w:rPr>
          <w:noProof/>
        </w:rPr>
        <w:fldChar w:fldCharType="separate"/>
      </w:r>
      <w:r>
        <w:rPr>
          <w:noProof/>
        </w:rPr>
        <w:instrText>482</w:instrText>
      </w:r>
      <w:r>
        <w:rPr>
          <w:noProof/>
        </w:rPr>
        <w:fldChar w:fldCharType="end"/>
      </w:r>
      <w:r>
        <w:rPr>
          <w:noProof/>
        </w:rPr>
        <w:fldChar w:fldCharType="end"/>
      </w:r>
    </w:p>
    <w:p w:rsidR="00B72047" w:rsidRDefault="00B72047">
      <w:pPr>
        <w:pStyle w:val="TOC2"/>
        <w:rPr>
          <w:noProof/>
        </w:rPr>
      </w:pPr>
      <w:r>
        <w:rPr>
          <w:noProof/>
        </w:rPr>
        <w:t>14. Hesitation: Y</w:t>
      </w:r>
      <w:r>
        <w:rPr>
          <w:noProof/>
        </w:rPr>
        <w:tab/>
      </w:r>
      <w:r>
        <w:rPr>
          <w:noProof/>
        </w:rPr>
        <w:fldChar w:fldCharType="begin"/>
      </w:r>
      <w:r>
        <w:rPr>
          <w:noProof/>
        </w:rPr>
        <w:instrText xml:space="preserve"> GOTOBUTTON _Toc398970774  </w:instrText>
      </w:r>
      <w:r>
        <w:rPr>
          <w:noProof/>
        </w:rPr>
        <w:fldChar w:fldCharType="begin"/>
      </w:r>
      <w:r>
        <w:rPr>
          <w:noProof/>
        </w:rPr>
        <w:instrText xml:space="preserve"> PAGEREF _Toc398970774 </w:instrText>
      </w:r>
      <w:r>
        <w:rPr>
          <w:noProof/>
        </w:rPr>
        <w:fldChar w:fldCharType="separate"/>
      </w:r>
      <w:r>
        <w:rPr>
          <w:noProof/>
        </w:rPr>
        <w:instrText>484</w:instrText>
      </w:r>
      <w:r>
        <w:rPr>
          <w:noProof/>
        </w:rPr>
        <w:fldChar w:fldCharType="end"/>
      </w:r>
      <w:r>
        <w:rPr>
          <w:noProof/>
        </w:rPr>
        <w:fldChar w:fldCharType="end"/>
      </w:r>
    </w:p>
    <w:p w:rsidR="00B72047" w:rsidRDefault="00B72047">
      <w:pPr>
        <w:pStyle w:val="TOC2"/>
        <w:rPr>
          <w:noProof/>
        </w:rPr>
      </w:pPr>
      <w:r>
        <w:rPr>
          <w:noProof/>
        </w:rPr>
        <w:t>15. No more to say: FAhO</w:t>
      </w:r>
      <w:r>
        <w:rPr>
          <w:noProof/>
        </w:rPr>
        <w:tab/>
      </w:r>
      <w:r>
        <w:rPr>
          <w:noProof/>
        </w:rPr>
        <w:fldChar w:fldCharType="begin"/>
      </w:r>
      <w:r>
        <w:rPr>
          <w:noProof/>
        </w:rPr>
        <w:instrText xml:space="preserve"> GOTOBUTTON _Toc398970775  </w:instrText>
      </w:r>
      <w:r>
        <w:rPr>
          <w:noProof/>
        </w:rPr>
        <w:fldChar w:fldCharType="begin"/>
      </w:r>
      <w:r>
        <w:rPr>
          <w:noProof/>
        </w:rPr>
        <w:instrText xml:space="preserve"> PAGEREF _Toc398970775 </w:instrText>
      </w:r>
      <w:r>
        <w:rPr>
          <w:noProof/>
        </w:rPr>
        <w:fldChar w:fldCharType="separate"/>
      </w:r>
      <w:r>
        <w:rPr>
          <w:noProof/>
        </w:rPr>
        <w:instrText>484</w:instrText>
      </w:r>
      <w:r>
        <w:rPr>
          <w:noProof/>
        </w:rPr>
        <w:fldChar w:fldCharType="end"/>
      </w:r>
      <w:r>
        <w:rPr>
          <w:noProof/>
        </w:rPr>
        <w:fldChar w:fldCharType="end"/>
      </w:r>
    </w:p>
    <w:p w:rsidR="00B72047" w:rsidRDefault="00B72047">
      <w:pPr>
        <w:pStyle w:val="TOC2"/>
        <w:rPr>
          <w:noProof/>
        </w:rPr>
      </w:pPr>
      <w:r>
        <w:rPr>
          <w:noProof/>
        </w:rPr>
        <w:t>16. List of cmavo interactions</w:t>
      </w:r>
      <w:r>
        <w:rPr>
          <w:noProof/>
        </w:rPr>
        <w:tab/>
      </w:r>
      <w:r>
        <w:rPr>
          <w:noProof/>
        </w:rPr>
        <w:fldChar w:fldCharType="begin"/>
      </w:r>
      <w:r>
        <w:rPr>
          <w:noProof/>
        </w:rPr>
        <w:instrText xml:space="preserve"> GOTOBUTTON _Toc398970776  </w:instrText>
      </w:r>
      <w:r>
        <w:rPr>
          <w:noProof/>
        </w:rPr>
        <w:fldChar w:fldCharType="begin"/>
      </w:r>
      <w:r>
        <w:rPr>
          <w:noProof/>
        </w:rPr>
        <w:instrText xml:space="preserve"> PAGEREF _Toc398970776 </w:instrText>
      </w:r>
      <w:r>
        <w:rPr>
          <w:noProof/>
        </w:rPr>
        <w:fldChar w:fldCharType="separate"/>
      </w:r>
      <w:r>
        <w:rPr>
          <w:noProof/>
        </w:rPr>
        <w:instrText>485</w:instrText>
      </w:r>
      <w:r>
        <w:rPr>
          <w:noProof/>
        </w:rPr>
        <w:fldChar w:fldCharType="end"/>
      </w:r>
      <w:r>
        <w:rPr>
          <w:noProof/>
        </w:rPr>
        <w:fldChar w:fldCharType="end"/>
      </w:r>
    </w:p>
    <w:p w:rsidR="00B72047" w:rsidRDefault="00B72047">
      <w:pPr>
        <w:pStyle w:val="TOC2"/>
        <w:rPr>
          <w:noProof/>
        </w:rPr>
      </w:pPr>
      <w:r>
        <w:rPr>
          <w:noProof/>
        </w:rPr>
        <w:t>17. List of Elidable Terminators</w:t>
      </w:r>
      <w:r>
        <w:rPr>
          <w:noProof/>
        </w:rPr>
        <w:tab/>
      </w:r>
      <w:r>
        <w:rPr>
          <w:noProof/>
        </w:rPr>
        <w:fldChar w:fldCharType="begin"/>
      </w:r>
      <w:r>
        <w:rPr>
          <w:noProof/>
        </w:rPr>
        <w:instrText xml:space="preserve"> GOTOBUTTON _Toc398970777  </w:instrText>
      </w:r>
      <w:r>
        <w:rPr>
          <w:noProof/>
        </w:rPr>
        <w:fldChar w:fldCharType="begin"/>
      </w:r>
      <w:r>
        <w:rPr>
          <w:noProof/>
        </w:rPr>
        <w:instrText xml:space="preserve"> PAGEREF _Toc398970777 </w:instrText>
      </w:r>
      <w:r>
        <w:rPr>
          <w:noProof/>
        </w:rPr>
        <w:fldChar w:fldCharType="separate"/>
      </w:r>
      <w:r>
        <w:rPr>
          <w:noProof/>
        </w:rPr>
        <w:instrText>486</w:instrText>
      </w:r>
      <w:r>
        <w:rPr>
          <w:noProof/>
        </w:rPr>
        <w:fldChar w:fldCharType="end"/>
      </w:r>
      <w:r>
        <w:rPr>
          <w:noProof/>
        </w:rPr>
        <w:fldChar w:fldCharType="end"/>
      </w:r>
    </w:p>
    <w:p w:rsidR="00B72047" w:rsidRDefault="00B72047">
      <w:pPr>
        <w:pStyle w:val="TOC1"/>
        <w:rPr>
          <w:noProof/>
        </w:rPr>
      </w:pPr>
      <w:r>
        <w:rPr>
          <w:noProof/>
        </w:rPr>
        <w:t>Chapter 20  A Catalogue of selma'o</w:t>
      </w:r>
      <w:r>
        <w:rPr>
          <w:noProof/>
        </w:rPr>
        <w:tab/>
      </w:r>
      <w:r>
        <w:rPr>
          <w:noProof/>
        </w:rPr>
        <w:fldChar w:fldCharType="begin"/>
      </w:r>
      <w:r>
        <w:rPr>
          <w:noProof/>
        </w:rPr>
        <w:instrText xml:space="preserve"> GOTOBUTTON _Toc398970779  </w:instrText>
      </w:r>
      <w:r>
        <w:rPr>
          <w:noProof/>
        </w:rPr>
        <w:fldChar w:fldCharType="begin"/>
      </w:r>
      <w:r>
        <w:rPr>
          <w:noProof/>
        </w:rPr>
        <w:instrText xml:space="preserve"> PAGEREF _Toc398970779 </w:instrText>
      </w:r>
      <w:r>
        <w:rPr>
          <w:noProof/>
        </w:rPr>
        <w:fldChar w:fldCharType="separate"/>
      </w:r>
      <w:r>
        <w:rPr>
          <w:noProof/>
        </w:rPr>
        <w:instrText>489</w:instrText>
      </w:r>
      <w:r>
        <w:rPr>
          <w:noProof/>
        </w:rPr>
        <w:fldChar w:fldCharType="end"/>
      </w:r>
      <w:r>
        <w:rPr>
          <w:noProof/>
        </w:rPr>
        <w:fldChar w:fldCharType="end"/>
      </w:r>
    </w:p>
    <w:p w:rsidR="00B72047" w:rsidRDefault="00B72047">
      <w:pPr>
        <w:pStyle w:val="TOC1"/>
        <w:rPr>
          <w:noProof/>
        </w:rPr>
      </w:pPr>
      <w:r>
        <w:rPr>
          <w:noProof/>
        </w:rPr>
        <w:t>Chapter 21  Formal Grammars</w:t>
      </w:r>
      <w:r>
        <w:rPr>
          <w:noProof/>
        </w:rPr>
        <w:tab/>
      </w:r>
      <w:r>
        <w:rPr>
          <w:noProof/>
        </w:rPr>
        <w:fldChar w:fldCharType="begin"/>
      </w:r>
      <w:r>
        <w:rPr>
          <w:noProof/>
        </w:rPr>
        <w:instrText xml:space="preserve"> GOTOBUTTON _Toc398970781  </w:instrText>
      </w:r>
      <w:r>
        <w:rPr>
          <w:noProof/>
        </w:rPr>
        <w:fldChar w:fldCharType="begin"/>
      </w:r>
      <w:r>
        <w:rPr>
          <w:noProof/>
        </w:rPr>
        <w:instrText xml:space="preserve"> PAGEREF _Toc398970781 </w:instrText>
      </w:r>
      <w:r>
        <w:rPr>
          <w:noProof/>
        </w:rPr>
        <w:fldChar w:fldCharType="separate"/>
      </w:r>
      <w:r>
        <w:rPr>
          <w:noProof/>
        </w:rPr>
        <w:instrText>511</w:instrText>
      </w:r>
      <w:r>
        <w:rPr>
          <w:noProof/>
        </w:rPr>
        <w:fldChar w:fldCharType="end"/>
      </w:r>
      <w:r>
        <w:rPr>
          <w:noProof/>
        </w:rPr>
        <w:fldChar w:fldCharType="end"/>
      </w:r>
    </w:p>
    <w:p w:rsidR="00B72047" w:rsidRDefault="00B72047">
      <w:pPr>
        <w:pStyle w:val="TOC2"/>
        <w:rPr>
          <w:noProof/>
        </w:rPr>
      </w:pPr>
      <w:r>
        <w:rPr>
          <w:noProof/>
        </w:rPr>
        <w:t>1. YACC Grammar of Lojban</w:t>
      </w:r>
      <w:r>
        <w:rPr>
          <w:noProof/>
        </w:rPr>
        <w:tab/>
      </w:r>
      <w:r>
        <w:rPr>
          <w:noProof/>
        </w:rPr>
        <w:fldChar w:fldCharType="begin"/>
      </w:r>
      <w:r>
        <w:rPr>
          <w:noProof/>
        </w:rPr>
        <w:instrText xml:space="preserve"> GOTOBUTTON _Toc398970782  </w:instrText>
      </w:r>
      <w:r>
        <w:rPr>
          <w:noProof/>
        </w:rPr>
        <w:fldChar w:fldCharType="begin"/>
      </w:r>
      <w:r>
        <w:rPr>
          <w:noProof/>
        </w:rPr>
        <w:instrText xml:space="preserve"> PAGEREF _Toc398970782 </w:instrText>
      </w:r>
      <w:r>
        <w:rPr>
          <w:noProof/>
        </w:rPr>
        <w:fldChar w:fldCharType="separate"/>
      </w:r>
      <w:r>
        <w:rPr>
          <w:noProof/>
        </w:rPr>
        <w:instrText>511</w:instrText>
      </w:r>
      <w:r>
        <w:rPr>
          <w:noProof/>
        </w:rPr>
        <w:fldChar w:fldCharType="end"/>
      </w:r>
      <w:r>
        <w:rPr>
          <w:noProof/>
        </w:rPr>
        <w:fldChar w:fldCharType="end"/>
      </w:r>
    </w:p>
    <w:p w:rsidR="00B72047" w:rsidRDefault="00B72047">
      <w:pPr>
        <w:pStyle w:val="TOC2"/>
        <w:rPr>
          <w:noProof/>
        </w:rPr>
      </w:pPr>
      <w:r>
        <w:rPr>
          <w:noProof/>
        </w:rPr>
        <w:t>2. YACC Grammar Cross-Reference</w:t>
      </w:r>
      <w:r>
        <w:rPr>
          <w:noProof/>
        </w:rPr>
        <w:tab/>
      </w:r>
      <w:r>
        <w:rPr>
          <w:noProof/>
        </w:rPr>
        <w:fldChar w:fldCharType="begin"/>
      </w:r>
      <w:r>
        <w:rPr>
          <w:noProof/>
        </w:rPr>
        <w:instrText xml:space="preserve"> GOTOBUTTON _Toc398970783  </w:instrText>
      </w:r>
      <w:r>
        <w:rPr>
          <w:noProof/>
        </w:rPr>
        <w:fldChar w:fldCharType="begin"/>
      </w:r>
      <w:r>
        <w:rPr>
          <w:noProof/>
        </w:rPr>
        <w:instrText xml:space="preserve"> PAGEREF _Toc398970783 </w:instrText>
      </w:r>
      <w:r>
        <w:rPr>
          <w:noProof/>
        </w:rPr>
        <w:fldChar w:fldCharType="separate"/>
      </w:r>
      <w:r>
        <w:rPr>
          <w:noProof/>
        </w:rPr>
        <w:instrText>543</w:instrText>
      </w:r>
      <w:r>
        <w:rPr>
          <w:noProof/>
        </w:rPr>
        <w:fldChar w:fldCharType="end"/>
      </w:r>
      <w:r>
        <w:rPr>
          <w:noProof/>
        </w:rPr>
        <w:fldChar w:fldCharType="end"/>
      </w:r>
    </w:p>
    <w:p w:rsidR="00B72047" w:rsidRDefault="00B72047">
      <w:pPr>
        <w:pStyle w:val="TOC2"/>
        <w:rPr>
          <w:noProof/>
        </w:rPr>
      </w:pPr>
      <w:r>
        <w:rPr>
          <w:noProof/>
        </w:rPr>
        <w:t>3. EBNF Grammar of Lojban</w:t>
      </w:r>
      <w:r>
        <w:rPr>
          <w:noProof/>
        </w:rPr>
        <w:tab/>
      </w:r>
      <w:r>
        <w:rPr>
          <w:noProof/>
        </w:rPr>
        <w:fldChar w:fldCharType="begin"/>
      </w:r>
      <w:r>
        <w:rPr>
          <w:noProof/>
        </w:rPr>
        <w:instrText xml:space="preserve"> GOTOBUTTON _Toc398970784  </w:instrText>
      </w:r>
      <w:r>
        <w:rPr>
          <w:noProof/>
        </w:rPr>
        <w:fldChar w:fldCharType="begin"/>
      </w:r>
      <w:r>
        <w:rPr>
          <w:noProof/>
        </w:rPr>
        <w:instrText xml:space="preserve"> PAGEREF _Toc398970784 </w:instrText>
      </w:r>
      <w:r>
        <w:rPr>
          <w:noProof/>
        </w:rPr>
        <w:fldChar w:fldCharType="separate"/>
      </w:r>
      <w:r>
        <w:rPr>
          <w:noProof/>
        </w:rPr>
        <w:instrText>552</w:instrText>
      </w:r>
      <w:r>
        <w:rPr>
          <w:noProof/>
        </w:rPr>
        <w:fldChar w:fldCharType="end"/>
      </w:r>
      <w:r>
        <w:rPr>
          <w:noProof/>
        </w:rPr>
        <w:fldChar w:fldCharType="end"/>
      </w:r>
    </w:p>
    <w:p w:rsidR="00B72047" w:rsidRDefault="00B72047">
      <w:pPr>
        <w:pStyle w:val="TOC2"/>
        <w:rPr>
          <w:noProof/>
        </w:rPr>
      </w:pPr>
      <w:r>
        <w:rPr>
          <w:noProof/>
        </w:rPr>
        <w:t>4. EBNF Grammar Cross</w:t>
      </w:r>
      <w:r>
        <w:rPr>
          <w:noProof/>
        </w:rPr>
        <w:noBreakHyphen/>
        <w:t>Reference</w:t>
      </w:r>
      <w:r>
        <w:rPr>
          <w:noProof/>
        </w:rPr>
        <w:tab/>
      </w:r>
      <w:r>
        <w:rPr>
          <w:noProof/>
        </w:rPr>
        <w:fldChar w:fldCharType="begin"/>
      </w:r>
      <w:r>
        <w:rPr>
          <w:noProof/>
        </w:rPr>
        <w:instrText xml:space="preserve"> GOTOBUTTON _Toc398970785  </w:instrText>
      </w:r>
      <w:r>
        <w:rPr>
          <w:noProof/>
        </w:rPr>
        <w:fldChar w:fldCharType="begin"/>
      </w:r>
      <w:r>
        <w:rPr>
          <w:noProof/>
        </w:rPr>
        <w:instrText xml:space="preserve"> PAGEREF _Toc398970785 </w:instrText>
      </w:r>
      <w:r>
        <w:rPr>
          <w:noProof/>
        </w:rPr>
        <w:fldChar w:fldCharType="separate"/>
      </w:r>
      <w:r>
        <w:rPr>
          <w:noProof/>
        </w:rPr>
        <w:instrText>557</w:instrText>
      </w:r>
      <w:r>
        <w:rPr>
          <w:noProof/>
        </w:rPr>
        <w:fldChar w:fldCharType="end"/>
      </w:r>
      <w:r>
        <w:rPr>
          <w:noProof/>
        </w:rPr>
        <w:fldChar w:fldCharType="end"/>
      </w:r>
    </w:p>
    <w:p w:rsidR="00B72047" w:rsidRDefault="00B72047">
      <w:pPr>
        <w:pStyle w:val="TOC1"/>
        <w:rPr>
          <w:noProof/>
        </w:rPr>
      </w:pPr>
      <w:r>
        <w:rPr>
          <w:noProof/>
        </w:rPr>
        <w:t>Index</w:t>
      </w:r>
      <w:r>
        <w:rPr>
          <w:noProof/>
        </w:rPr>
        <w:tab/>
      </w:r>
      <w:r>
        <w:rPr>
          <w:noProof/>
        </w:rPr>
        <w:fldChar w:fldCharType="begin"/>
      </w:r>
      <w:r>
        <w:rPr>
          <w:noProof/>
        </w:rPr>
        <w:instrText xml:space="preserve"> GOTOBUTTON _Toc398970786  </w:instrText>
      </w:r>
      <w:r>
        <w:rPr>
          <w:noProof/>
        </w:rPr>
        <w:fldChar w:fldCharType="begin"/>
      </w:r>
      <w:r>
        <w:rPr>
          <w:noProof/>
        </w:rPr>
        <w:instrText xml:space="preserve"> PAGEREF _Toc398970786 </w:instrText>
      </w:r>
      <w:r>
        <w:rPr>
          <w:noProof/>
        </w:rPr>
        <w:fldChar w:fldCharType="separate"/>
      </w:r>
      <w:r>
        <w:rPr>
          <w:noProof/>
        </w:rPr>
        <w:instrText>563</w:instrText>
      </w:r>
      <w:r>
        <w:rPr>
          <w:noProof/>
        </w:rPr>
        <w:fldChar w:fldCharType="end"/>
      </w:r>
      <w:r>
        <w:rPr>
          <w:noProof/>
        </w:rPr>
        <w:fldChar w:fldCharType="end"/>
      </w:r>
    </w:p>
    <w:p w:rsidR="00B72047" w:rsidRDefault="00B72047">
      <w:pPr>
        <w:pStyle w:val="normalparagraph"/>
        <w:rPr>
          <w:rStyle w:val="htmlcodes"/>
          <w:rFonts w:ascii="Times Roman" w:hAnsi="Times Roman" w:cs="Times Roman"/>
          <w:b/>
          <w:bCs/>
          <w:i/>
          <w:iCs/>
          <w:vanish w:val="0"/>
          <w:sz w:val="20"/>
          <w:szCs w:val="20"/>
        </w:rPr>
      </w:pPr>
      <w:r>
        <w:rPr>
          <w:rStyle w:val="htmlcodes"/>
          <w:rFonts w:ascii="Times Roman" w:hAnsi="Times Roman" w:cs="Times Roman"/>
          <w:b/>
          <w:bCs/>
          <w:i/>
          <w:iCs/>
          <w:vanish w:val="0"/>
          <w:sz w:val="20"/>
          <w:szCs w:val="20"/>
        </w:rPr>
        <w:fldChar w:fldCharType="end"/>
      </w:r>
    </w:p>
    <w:p w:rsidR="00B72047" w:rsidRDefault="00B72047">
      <w:pPr>
        <w:pStyle w:val="normalparagraph"/>
        <w:rPr>
          <w:rStyle w:val="htmlcodes"/>
          <w:rFonts w:ascii="Times Roman" w:hAnsi="Times Roman" w:cs="Times Roman"/>
          <w:vanish w:val="0"/>
          <w:sz w:val="20"/>
          <w:szCs w:val="20"/>
        </w:rPr>
        <w:sectPr w:rsidR="00B72047">
          <w:headerReference w:type="even" r:id="rId8"/>
          <w:headerReference w:type="default" r:id="rId9"/>
          <w:headerReference w:type="first" r:id="rId10"/>
          <w:pgSz w:w="9504" w:h="13824" w:code="1"/>
          <w:pgMar w:top="1296" w:right="1296" w:bottom="720" w:left="1008" w:header="480" w:footer="720" w:gutter="0"/>
          <w:paperSrc w:first="1706" w:other="1706"/>
          <w:pgNumType w:fmt="lowerRoman" w:start="1"/>
          <w:cols w:space="720"/>
          <w:titlePg/>
        </w:sectPr>
      </w:pPr>
    </w:p>
    <w:p w:rsidR="00B72047" w:rsidRDefault="00B72047">
      <w:pPr>
        <w:rPr>
          <w:rStyle w:val="htmlcodes"/>
        </w:rPr>
      </w:pPr>
      <w:r>
        <w:rPr>
          <w:rStyle w:val="htmlcodes"/>
        </w:rPr>
        <w:t>&lt;body&gt;</w:t>
      </w:r>
    </w:p>
    <w:p w:rsidR="00B72047" w:rsidRDefault="00B72047">
      <w:pPr>
        <w:rPr>
          <w:rStyle w:val="htmlcodes"/>
        </w:rPr>
      </w:pPr>
      <w:r>
        <w:rPr>
          <w:rStyle w:val="htmlcodes"/>
        </w:rPr>
        <w:t>&lt;center&gt;&lt;p align=center&gt;</w:t>
      </w:r>
    </w:p>
    <w:p w:rsidR="00B72047" w:rsidRDefault="00B72047">
      <w:pPr>
        <w:pStyle w:val="resumedafterexample"/>
      </w:pPr>
      <w:r>
        <w:rPr>
          <w:rStyle w:val="htmlcodes"/>
        </w:rPr>
        <w:t>&lt;img src=chap1.gif alt=[Cartoon] align=center width=405 height=405&gt;</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547.5pt">
            <v:imagedata r:id="rId11" o:title="" croptop="-26474f" cropbottom="-26474f" cropleft="-6323f" cropright="-6323f"/>
          </v:shape>
        </w:pict>
      </w:r>
    </w:p>
    <w:p w:rsidR="00B72047" w:rsidRDefault="00B72047">
      <w:pPr>
        <w:pStyle w:val="normalparagraph"/>
        <w:sectPr w:rsidR="00B72047">
          <w:headerReference w:type="first" r:id="rId12"/>
          <w:footerReference w:type="first" r:id="rId13"/>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15" w:name="_Toc395684172"/>
      <w:bookmarkStart w:id="16" w:name="_Toc395691453"/>
      <w:bookmarkStart w:id="17" w:name="_Toc395691647"/>
      <w:bookmarkStart w:id="18" w:name="_Toc395691774"/>
      <w:bookmarkStart w:id="19" w:name="_Toc398970425"/>
      <w:r>
        <w:t>Chapter 1</w:t>
      </w:r>
      <w:bookmarkEnd w:id="15"/>
      <w:bookmarkEnd w:id="16"/>
      <w:bookmarkEnd w:id="17"/>
      <w:bookmarkEnd w:id="18"/>
      <w:bookmarkEnd w:id="19"/>
      <w:r>
        <w:rPr>
          <w:rStyle w:val="htmlcodes"/>
        </w:rPr>
        <w:t>&lt;br&gt;</w:t>
      </w:r>
    </w:p>
    <w:p w:rsidR="00B72047" w:rsidRDefault="00B72047">
      <w:pPr>
        <w:pStyle w:val="Heading2"/>
      </w:pPr>
      <w:bookmarkStart w:id="20" w:name="_Toc395691454"/>
      <w:bookmarkStart w:id="21" w:name="_Toc395691648"/>
      <w:bookmarkStart w:id="22" w:name="_Toc395691775"/>
      <w:bookmarkStart w:id="23" w:name="_Toc398970426"/>
      <w:r>
        <w:t>Lojban As We Mangle It In Lojbanistan: About This Book</w:t>
      </w:r>
      <w:bookmarkEnd w:id="20"/>
      <w:bookmarkEnd w:id="21"/>
      <w:bookmarkEnd w:id="22"/>
      <w:bookmarkEnd w:id="23"/>
      <w:r>
        <w:rPr>
          <w:rStyle w:val="htmlcodes"/>
        </w:rPr>
        <w:t>&lt;/h2&gt;</w:t>
      </w:r>
    </w:p>
    <w:p w:rsidR="00B72047" w:rsidRDefault="00B72047">
      <w:pPr>
        <w:pStyle w:val="Heading6"/>
        <w:rPr>
          <w:rStyle w:val="htmlcodes"/>
        </w:rPr>
      </w:pPr>
      <w:r>
        <w:rPr>
          <w:rStyle w:val="htmlcodes"/>
        </w:rPr>
        <w:t>&lt;h6&gt;$Revision: 4.3 $&lt;br&gt;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24" w:name="_Toc395691455"/>
      <w:bookmarkStart w:id="25" w:name="_Toc395691649"/>
      <w:bookmarkStart w:id="26" w:name="_Toc398970427"/>
      <w:r>
        <w:rPr>
          <w:rStyle w:val="Heading3Text"/>
        </w:rPr>
        <w:t>What is Lojban?</w:t>
      </w:r>
      <w:bookmarkEnd w:id="24"/>
      <w:bookmarkEnd w:id="25"/>
      <w:bookmarkEnd w:id="2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"Lojban, history of"&gt;</w:t>
      </w:r>
      <w:r>
        <w:rPr>
          <w:rStyle w:val="indexentry"/>
        </w:rPr>
        <w:fldChar w:fldCharType="begin"/>
      </w:r>
      <w:r>
        <w:instrText>xe "</w:instrText>
      </w:r>
      <w:r>
        <w:rPr>
          <w:rStyle w:val="xeentry"/>
        </w:rPr>
        <w:instrText>Lojban: history of</w:instrText>
      </w:r>
      <w:r>
        <w:instrText>"</w:instrText>
      </w:r>
      <w:r>
        <w:rPr>
          <w:rStyle w:val="indexentry"/>
        </w:rPr>
        <w:fldChar w:fldCharType="end"/>
      </w:r>
      <w:r>
        <w:rPr>
          <w:rStyle w:val="indexentry"/>
        </w:rPr>
        <w:t>&lt;cx "Logical Language Group, relation to Lojban"&gt;</w:t>
      </w:r>
      <w:r>
        <w:rPr>
          <w:rStyle w:val="indexentry"/>
        </w:rPr>
        <w:fldChar w:fldCharType="begin"/>
      </w:r>
      <w:r>
        <w:instrText>xe "</w:instrText>
      </w:r>
      <w:r>
        <w:rPr>
          <w:rStyle w:val="xeentry"/>
        </w:rPr>
        <w:instrText>Logical Language Group: relation to Lojban</w:instrText>
      </w:r>
      <w:r>
        <w:instrText>"</w:instrText>
      </w:r>
      <w:r>
        <w:rPr>
          <w:rStyle w:val="indexentry"/>
        </w:rPr>
        <w:fldChar w:fldCharType="end"/>
      </w:r>
      <w:r>
        <w:t>Lojban (pronounced “LOZH-bahn”) is a constructed lan</w:t>
      </w:r>
      <w:r>
        <w:softHyphen/>
        <w:t>guage. Previous</w:t>
      </w:r>
      <w:r>
        <w:rPr>
          <w:rStyle w:val="deletedparamark"/>
        </w:rPr>
        <w:t xml:space="preserve"> </w:t>
      </w:r>
      <w:r>
        <w:t>ver</w:t>
      </w:r>
      <w:r>
        <w:softHyphen/>
        <w:t>sions of the language were called “Loglan” by Dr. James Cooke Brown, who</w:t>
      </w:r>
      <w:r>
        <w:rPr>
          <w:rStyle w:val="deletedparamark"/>
        </w:rPr>
        <w:t xml:space="preserve"> </w:t>
      </w:r>
      <w:r>
        <w:t>founded the Log</w:t>
      </w:r>
      <w:r>
        <w:softHyphen/>
        <w:t>lan Project and started the development of the language</w:t>
      </w:r>
      <w:r>
        <w:rPr>
          <w:rStyle w:val="deletedparamark"/>
        </w:rPr>
        <w:t xml:space="preserve"> </w:t>
      </w:r>
      <w:r>
        <w:t>in 1955. The goals for the lan</w:t>
      </w:r>
      <w:r>
        <w:softHyphen/>
        <w:t>guage were first described in the open</w:t>
      </w:r>
      <w:r>
        <w:rPr>
          <w:rStyle w:val="deletedparamark"/>
        </w:rPr>
        <w:t xml:space="preserve"> </w:t>
      </w:r>
      <w:r>
        <w:t>literature in the arti</w:t>
      </w:r>
      <w:r>
        <w:softHyphen/>
        <w:t>cle “Loglan”, pub</w:t>
      </w:r>
      <w:r>
        <w:softHyphen/>
        <w:t xml:space="preserve">lished in </w:t>
      </w:r>
      <w:r>
        <w:rPr>
          <w:rStyle w:val="htmlcodes"/>
        </w:rPr>
        <w:t>&lt;cite&gt;</w:t>
      </w:r>
      <w:r>
        <w:rPr>
          <w:rStyle w:val="cite"/>
        </w:rPr>
        <w:t>Scientific American</w:t>
      </w:r>
      <w:r>
        <w:rPr>
          <w:rStyle w:val="htmlcodes"/>
        </w:rPr>
        <w:t>&lt;/cite&gt;</w:t>
      </w:r>
      <w:r>
        <w:t>,</w:t>
      </w:r>
      <w:r>
        <w:rPr>
          <w:rStyle w:val="deletedparamark"/>
        </w:rPr>
        <w:t xml:space="preserve"> </w:t>
      </w:r>
      <w:r>
        <w:t>June, 1960. Made well-known by</w:t>
      </w:r>
      <w:r>
        <w:rPr>
          <w:rStyle w:val="deletedparamark"/>
        </w:rPr>
        <w:t xml:space="preserve"> </w:t>
      </w:r>
      <w:r>
        <w:t>that article and by oc</w:t>
      </w:r>
      <w:r>
        <w:softHyphen/>
        <w:t>casional references in science fiction (most notably</w:t>
      </w:r>
      <w:r>
        <w:rPr>
          <w:rStyle w:val="deletedparamark"/>
        </w:rPr>
        <w:t xml:space="preserve"> </w:t>
      </w:r>
      <w:r>
        <w:t xml:space="preserve">in Robert Heinlein's novel </w:t>
      </w:r>
      <w:r>
        <w:rPr>
          <w:rStyle w:val="htmlcodes"/>
        </w:rPr>
        <w:t>&lt;cite&gt;</w:t>
      </w:r>
      <w:r>
        <w:rPr>
          <w:rStyle w:val="cite"/>
        </w:rPr>
        <w:t xml:space="preserve">The Moon Is A Harsh Mistress) </w:t>
      </w:r>
      <w:r>
        <w:rPr>
          <w:rStyle w:val="htmlcodes"/>
        </w:rPr>
        <w:t>&lt;/cite&gt;</w:t>
      </w:r>
      <w:r>
        <w:t>and computer</w:t>
      </w:r>
      <w:r>
        <w:rPr>
          <w:rStyle w:val="deletedparamark"/>
        </w:rPr>
        <w:t xml:space="preserve"> </w:t>
      </w:r>
      <w:r>
        <w:t>publications, Loglan and Lojban have been built over four decades by doz</w:t>
      </w:r>
      <w:r>
        <w:softHyphen/>
        <w:t>ens</w:t>
      </w:r>
      <w:r>
        <w:rPr>
          <w:rStyle w:val="deletedparamark"/>
        </w:rPr>
        <w:t xml:space="preserve"> </w:t>
      </w:r>
      <w:r>
        <w:t>of workers and hun</w:t>
      </w:r>
      <w:r>
        <w:softHyphen/>
        <w:t>dreds of supporters, led since 1987 by The Logical</w:t>
      </w:r>
      <w:r>
        <w:rPr>
          <w:rStyle w:val="deletedparamark"/>
        </w:rPr>
        <w:t xml:space="preserve"> </w:t>
      </w:r>
      <w:r>
        <w:t>Language Group (who are the publishers of this book).</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"Lojban, features of"&gt;</w:t>
      </w:r>
      <w:r>
        <w:rPr>
          <w:rStyle w:val="indexentry"/>
        </w:rPr>
        <w:fldChar w:fldCharType="begin"/>
      </w:r>
      <w:r>
        <w:instrText>xe "</w:instrText>
      </w:r>
      <w:r>
        <w:rPr>
          <w:rStyle w:val="xeentry"/>
        </w:rPr>
        <w:instrText>Lojban: features of</w:instrText>
      </w:r>
      <w:r>
        <w:instrText>"</w:instrText>
      </w:r>
      <w:r>
        <w:rPr>
          <w:rStyle w:val="indexentry"/>
        </w:rPr>
        <w:fldChar w:fldCharType="end"/>
      </w:r>
      <w:r>
        <w:t>There are thousands of artificial languages (of which Es</w:t>
      </w:r>
      <w:r>
        <w:softHyphen/>
        <w:t>peranto is the</w:t>
      </w:r>
      <w:r>
        <w:rPr>
          <w:rStyle w:val="deletedparamark"/>
        </w:rPr>
        <w:t xml:space="preserve"> </w:t>
      </w:r>
      <w:r>
        <w:t>best-known), but Loglan/Lojban has been engi</w:t>
      </w:r>
      <w:r>
        <w:softHyphen/>
        <w:t>neered to make it unique in</w:t>
      </w:r>
      <w:r>
        <w:rPr>
          <w:rStyle w:val="deletedparamark"/>
        </w:rPr>
        <w:t xml:space="preserve"> </w:t>
      </w:r>
      <w:r>
        <w:t>several ways. The follow</w:t>
      </w:r>
      <w:r>
        <w:softHyphen/>
        <w:t>ing are the main features of Lojban:</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Lojban is designed to be used by people in communi</w:t>
      </w:r>
      <w:r>
        <w:softHyphen/>
        <w:t>cation with each other, and possibly in the future with computers.</w:t>
      </w:r>
    </w:p>
    <w:p w:rsidR="00B72047" w:rsidRDefault="00B72047" w:rsidP="007E67C1">
      <w:pPr>
        <w:pStyle w:val="Listjustified"/>
        <w:numPr>
          <w:ilvl w:val="0"/>
          <w:numId w:val="2"/>
        </w:numPr>
        <w:ind w:left="792" w:hanging="432"/>
      </w:pPr>
      <w:r>
        <w:rPr>
          <w:rStyle w:val="htmlcodes"/>
        </w:rPr>
        <w:t>&lt;p&gt;&lt;dt&gt;&lt;dd&gt;</w:t>
      </w:r>
      <w:r>
        <w:t>Lojban is designed to be neutral between cultures.</w:t>
      </w:r>
    </w:p>
    <w:p w:rsidR="00B72047" w:rsidRDefault="00B72047" w:rsidP="007E67C1">
      <w:pPr>
        <w:pStyle w:val="Listjustified"/>
        <w:numPr>
          <w:ilvl w:val="0"/>
          <w:numId w:val="2"/>
        </w:numPr>
        <w:ind w:left="792" w:hanging="432"/>
      </w:pPr>
      <w:r>
        <w:rPr>
          <w:rStyle w:val="htmlcodes"/>
        </w:rPr>
        <w:t>&lt;p&gt;&lt;dt&gt;&lt;dd&gt;</w:t>
      </w:r>
      <w:r>
        <w:t>Lojban grammar is based on the principles of predi</w:t>
      </w:r>
      <w:r>
        <w:softHyphen/>
        <w:t>cate logic.</w:t>
      </w:r>
    </w:p>
    <w:p w:rsidR="00B72047" w:rsidRDefault="00B72047" w:rsidP="007E67C1">
      <w:pPr>
        <w:pStyle w:val="Listjustified"/>
        <w:numPr>
          <w:ilvl w:val="0"/>
          <w:numId w:val="2"/>
        </w:numPr>
        <w:ind w:left="792" w:hanging="432"/>
      </w:pPr>
      <w:r>
        <w:rPr>
          <w:rStyle w:val="htmlcodes"/>
        </w:rPr>
        <w:t>&lt;p&gt;&lt;dt&gt;&lt;dd&gt;</w:t>
      </w:r>
      <w:r>
        <w:t>Lojban has an unambiguous yet flexible grammar.</w:t>
      </w:r>
    </w:p>
    <w:p w:rsidR="00B72047" w:rsidRDefault="00B72047" w:rsidP="007E67C1">
      <w:pPr>
        <w:pStyle w:val="Listjustified"/>
        <w:numPr>
          <w:ilvl w:val="0"/>
          <w:numId w:val="2"/>
        </w:numPr>
        <w:ind w:left="792" w:hanging="432"/>
      </w:pPr>
      <w:r>
        <w:rPr>
          <w:rStyle w:val="htmlcodes"/>
        </w:rPr>
        <w:t>&lt;p&gt;&lt;dt&gt;&lt;dd&gt;</w:t>
      </w:r>
      <w:r>
        <w:t>Lojban has phonetic spelling, and unambiguously re</w:t>
      </w:r>
      <w:r>
        <w:softHyphen/>
        <w:t>solves its sounds into words.</w:t>
      </w:r>
    </w:p>
    <w:p w:rsidR="00B72047" w:rsidRDefault="00B72047" w:rsidP="007E67C1">
      <w:pPr>
        <w:pStyle w:val="Listjustified"/>
        <w:numPr>
          <w:ilvl w:val="0"/>
          <w:numId w:val="2"/>
        </w:numPr>
        <w:ind w:left="792" w:hanging="432"/>
      </w:pPr>
      <w:r>
        <w:rPr>
          <w:rStyle w:val="htmlcodes"/>
        </w:rPr>
        <w:t>&lt;p&gt;&lt;dt&gt;&lt;dd&gt;</w:t>
      </w:r>
      <w:r>
        <w:t>Lojban is simple compared to natural languages; it is easy to learn.</w:t>
      </w:r>
    </w:p>
    <w:p w:rsidR="00B72047" w:rsidRDefault="00B72047" w:rsidP="007E67C1">
      <w:pPr>
        <w:pStyle w:val="Listjustified"/>
        <w:numPr>
          <w:ilvl w:val="0"/>
          <w:numId w:val="2"/>
        </w:numPr>
        <w:ind w:left="792" w:hanging="432"/>
      </w:pPr>
      <w:r>
        <w:rPr>
          <w:rStyle w:val="htmlcodes"/>
        </w:rPr>
        <w:t>&lt;p&gt;&lt;dt&gt;&lt;dd&gt;</w:t>
      </w:r>
      <w:r>
        <w:t>Lojban's 1300 root words can be easily combined to form a vocabulary of millions of words.</w:t>
      </w:r>
    </w:p>
    <w:p w:rsidR="00B72047" w:rsidRDefault="00B72047" w:rsidP="007E67C1">
      <w:pPr>
        <w:pStyle w:val="Listjustified"/>
        <w:numPr>
          <w:ilvl w:val="0"/>
          <w:numId w:val="2"/>
        </w:numPr>
        <w:ind w:left="792" w:hanging="432"/>
      </w:pPr>
      <w:r>
        <w:rPr>
          <w:rStyle w:val="htmlcodes"/>
        </w:rPr>
        <w:t>&lt;p&gt;&lt;dt&gt;&lt;dd&gt;</w:t>
      </w:r>
      <w:r>
        <w:t>Lojban is regular; the rules of the language are with</w:t>
      </w:r>
      <w:r>
        <w:softHyphen/>
        <w:t>out exceptions.</w:t>
      </w:r>
    </w:p>
    <w:p w:rsidR="00B72047" w:rsidRDefault="00B72047" w:rsidP="007E67C1">
      <w:pPr>
        <w:pStyle w:val="Listjustified"/>
        <w:numPr>
          <w:ilvl w:val="0"/>
          <w:numId w:val="2"/>
        </w:numPr>
        <w:ind w:left="792" w:hanging="432"/>
      </w:pPr>
      <w:r>
        <w:rPr>
          <w:rStyle w:val="htmlcodes"/>
        </w:rPr>
        <w:t>&lt;p&gt;&lt;dt&gt;&lt;dd&gt;</w:t>
      </w:r>
      <w:r>
        <w:t>Lojban attempts to remove restrictions on creative and clear thought and communication.</w:t>
      </w:r>
    </w:p>
    <w:p w:rsidR="00B72047" w:rsidRDefault="00B72047" w:rsidP="007E67C1">
      <w:pPr>
        <w:pStyle w:val="Listjustified"/>
        <w:numPr>
          <w:ilvl w:val="0"/>
          <w:numId w:val="2"/>
        </w:numPr>
        <w:ind w:left="792" w:hanging="432"/>
      </w:pPr>
      <w:r>
        <w:rPr>
          <w:rStyle w:val="htmlcodes"/>
        </w:rPr>
        <w:t>&lt;p&gt;&lt;dt&gt;&lt;dd&gt;</w:t>
      </w:r>
      <w:r>
        <w:t>Lojban has a variety of uses, ranging from the crea</w:t>
      </w:r>
      <w:r>
        <w:softHyphen/>
        <w:t>tive to the scientific, from the theoretical to the practi</w:t>
      </w:r>
      <w:r>
        <w:softHyphen/>
        <w:t>cal.</w:t>
      </w:r>
    </w:p>
    <w:p w:rsidR="00B72047" w:rsidRDefault="00B72047" w:rsidP="007E67C1">
      <w:pPr>
        <w:pStyle w:val="Listjustified"/>
        <w:numPr>
          <w:ilvl w:val="0"/>
          <w:numId w:val="2"/>
        </w:numPr>
        <w:ind w:left="792" w:hanging="432"/>
      </w:pPr>
      <w:r>
        <w:rPr>
          <w:rStyle w:val="htmlcodes"/>
        </w:rPr>
        <w:t>&lt;p&gt;&lt;dt&gt;&lt;dd&gt;</w:t>
      </w:r>
      <w:r>
        <w:t>Lojban has been demonstrated in translation and in original works of prose and poetry.</w:t>
      </w:r>
    </w:p>
    <w:p w:rsidR="00B72047" w:rsidRDefault="00B72047">
      <w:pPr>
        <w:pStyle w:val="Heading3"/>
        <w:rPr>
          <w:rStyle w:val="Heading3Text"/>
        </w:rPr>
      </w:pPr>
      <w:r>
        <w:rPr>
          <w:rStyle w:val="htmlcodes"/>
        </w:rPr>
        <w:t>&lt;/dl&gt;&lt;a name=s2&gt;&lt;h3&gt;</w:t>
      </w:r>
      <w:bookmarkStart w:id="27" w:name="_Toc395691456"/>
      <w:bookmarkStart w:id="28" w:name="_Toc395691650"/>
      <w:bookmarkStart w:id="29" w:name="_Toc398970428"/>
      <w:r>
        <w:rPr>
          <w:rStyle w:val="Heading3Text"/>
        </w:rPr>
        <w:t>What is this book?</w:t>
      </w:r>
      <w:bookmarkEnd w:id="27"/>
      <w:bookmarkEnd w:id="28"/>
      <w:bookmarkEnd w:id="2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"reference grammar"&gt;</w:t>
      </w:r>
      <w:r>
        <w:rPr>
          <w:rStyle w:val="indexentry"/>
        </w:rPr>
        <w:fldChar w:fldCharType="begin"/>
      </w:r>
      <w:r>
        <w:instrText>xe "</w:instrText>
      </w:r>
      <w:r>
        <w:rPr>
          <w:rStyle w:val="xeentry"/>
        </w:rPr>
        <w:instrText>reference grammar</w:instrText>
      </w:r>
      <w:r>
        <w:instrText>"</w:instrText>
      </w:r>
      <w:r>
        <w:rPr>
          <w:rStyle w:val="indexentry"/>
        </w:rPr>
        <w:fldChar w:fldCharType="end"/>
      </w:r>
      <w:r>
        <w:rPr>
          <w:rStyle w:val="indexentry"/>
        </w:rPr>
        <w:t>&lt;cx "this book, goal of"&gt;</w:t>
      </w:r>
      <w:r>
        <w:rPr>
          <w:rStyle w:val="indexentry"/>
        </w:rPr>
        <w:fldChar w:fldCharType="begin"/>
      </w:r>
      <w:r>
        <w:instrText>xe "</w:instrText>
      </w:r>
      <w:r>
        <w:rPr>
          <w:rStyle w:val="xeentry"/>
        </w:rPr>
        <w:instrText>this book: goal of</w:instrText>
      </w:r>
      <w:r>
        <w:instrText>"</w:instrText>
      </w:r>
      <w:r>
        <w:rPr>
          <w:rStyle w:val="indexentry"/>
        </w:rPr>
        <w:fldChar w:fldCharType="end"/>
      </w:r>
      <w:r>
        <w:rPr>
          <w:rStyle w:val="indexentry"/>
        </w:rPr>
        <w:t>&lt;cx "goal of this book"&gt;</w:t>
      </w:r>
      <w:r>
        <w:rPr>
          <w:rStyle w:val="indexentry"/>
        </w:rPr>
        <w:fldChar w:fldCharType="begin"/>
      </w:r>
      <w:r>
        <w:instrText>xe "</w:instrText>
      </w:r>
      <w:r>
        <w:rPr>
          <w:rStyle w:val="xeentry"/>
        </w:rPr>
        <w:instrText>goal of this book</w:instrText>
      </w:r>
      <w:r>
        <w:instrText>"</w:instrText>
      </w:r>
      <w:r>
        <w:rPr>
          <w:rStyle w:val="indexentry"/>
        </w:rPr>
        <w:fldChar w:fldCharType="end"/>
      </w:r>
      <w:r>
        <w:t>This book is what is called a “reference grammar”. It at</w:t>
      </w:r>
      <w:r>
        <w:softHyphen/>
        <w:t>tempts to expound</w:t>
      </w:r>
      <w:r>
        <w:rPr>
          <w:rStyle w:val="deletedparamark"/>
        </w:rPr>
        <w:t xml:space="preserve"> </w:t>
      </w:r>
      <w:r>
        <w:t>the whole Lojban language, or at least as much of it as is understood at</w:t>
      </w:r>
      <w:r>
        <w:rPr>
          <w:rStyle w:val="deletedparamark"/>
        </w:rPr>
        <w:t xml:space="preserve"> </w:t>
      </w:r>
      <w:r>
        <w:t>present. Lojban is a rich lan</w:t>
      </w:r>
      <w:r>
        <w:softHyphen/>
        <w:t>guage with many features, and an attempt</w:t>
      </w:r>
      <w:r>
        <w:rPr>
          <w:rStyle w:val="deletedparamark"/>
        </w:rPr>
        <w:t xml:space="preserve"> </w:t>
      </w:r>
      <w:r>
        <w:t>has been made to discover the func</w:t>
      </w:r>
      <w:r>
        <w:softHyphen/>
        <w:t>tions of those features. The word</w:t>
      </w:r>
      <w:r>
        <w:rPr>
          <w:rStyle w:val="deletedparamark"/>
        </w:rPr>
        <w:t xml:space="preserve"> “</w:t>
      </w:r>
      <w:r>
        <w:t>discover” is used ad</w:t>
      </w:r>
      <w:r>
        <w:softHyphen/>
        <w:t>visedly; Lojban was not “invented” by any one person</w:t>
      </w:r>
      <w:r>
        <w:rPr>
          <w:rStyle w:val="deletedparamark"/>
        </w:rPr>
        <w:t xml:space="preserve"> </w:t>
      </w:r>
      <w:r>
        <w:t>or commit</w:t>
      </w:r>
      <w:r>
        <w:softHyphen/>
        <w:t>tee. Often, grammatical features were intro</w:t>
      </w:r>
      <w:r>
        <w:softHyphen/>
        <w:t>duced into the</w:t>
      </w:r>
      <w:r>
        <w:rPr>
          <w:rStyle w:val="deletedparamark"/>
        </w:rPr>
        <w:t xml:space="preserve"> </w:t>
      </w:r>
      <w:r>
        <w:t>lan</w:t>
      </w:r>
      <w:r>
        <w:softHyphen/>
        <w:t>guage long be</w:t>
      </w:r>
      <w:r>
        <w:softHyphen/>
        <w:t>fore their usage was fully understood. Sometimes they</w:t>
      </w:r>
      <w:r>
        <w:rPr>
          <w:rStyle w:val="deletedparamark"/>
        </w:rPr>
        <w:t xml:space="preserve"> </w:t>
      </w:r>
      <w:r>
        <w:t>were intro</w:t>
      </w:r>
      <w:r>
        <w:softHyphen/>
        <w:t>duced for one reason, only to prove more useful for other reasons</w:t>
      </w:r>
      <w:r>
        <w:rPr>
          <w:rStyle w:val="deletedparamark"/>
        </w:rPr>
        <w:t xml:space="preserve"> </w:t>
      </w:r>
      <w:r>
        <w:t>not recog</w:t>
      </w:r>
      <w:r>
        <w:softHyphen/>
        <w:t>nized at the time.</w:t>
      </w:r>
    </w:p>
    <w:p w:rsidR="00B72047" w:rsidRDefault="00B72047">
      <w:pPr>
        <w:pStyle w:val="normalparagraph"/>
        <w:rPr>
          <w:rStyle w:val="htmlparacode"/>
        </w:rPr>
      </w:pPr>
      <w:r>
        <w:rPr>
          <w:rStyle w:val="htmlparacode"/>
        </w:rPr>
        <w:t>&lt;p&gt;</w:t>
      </w:r>
    </w:p>
    <w:p w:rsidR="00B72047" w:rsidRDefault="00B72047">
      <w:pPr>
        <w:pStyle w:val="normalparagraph"/>
      </w:pPr>
      <w:r>
        <w:t>By intention, this book is complete in description but not in explanation.</w:t>
      </w:r>
      <w:r>
        <w:rPr>
          <w:rStyle w:val="deletedparamark"/>
        </w:rPr>
        <w:t xml:space="preserve"> </w:t>
      </w:r>
      <w:r>
        <w:t xml:space="preserve">For every rule in the formal Lojban grammar (given in </w:t>
      </w:r>
      <w:r>
        <w:rPr>
          <w:rStyle w:val="htmlcodes"/>
        </w:rPr>
        <w:t>&lt;a href=chap21.html&gt;</w:t>
      </w:r>
      <w:r>
        <w:t>Chapter 21</w:t>
      </w:r>
      <w:r>
        <w:rPr>
          <w:rStyle w:val="htmlcodes"/>
        </w:rPr>
        <w:t>&lt;/a&gt;</w:t>
      </w:r>
      <w:r>
        <w:t>), there</w:t>
      </w:r>
      <w:r>
        <w:rPr>
          <w:rStyle w:val="deletedparamark"/>
        </w:rPr>
        <w:t xml:space="preserve"> </w:t>
      </w:r>
      <w:r>
        <w:t>is a bit of expla</w:t>
      </w:r>
      <w:r>
        <w:softHyphen/>
        <w:t>nation and an example some</w:t>
      </w:r>
      <w:r>
        <w:softHyphen/>
        <w:t>where in the book, and often a</w:t>
      </w:r>
      <w:r>
        <w:rPr>
          <w:rStyle w:val="deletedparamark"/>
        </w:rPr>
        <w:t xml:space="preserve"> </w:t>
      </w:r>
      <w:r>
        <w:t>great deal more than a bit. In es</w:t>
      </w:r>
      <w:r>
        <w:softHyphen/>
        <w:t xml:space="preserve">sence, </w:t>
      </w:r>
      <w:r>
        <w:rPr>
          <w:rStyle w:val="htmlcodes"/>
        </w:rPr>
        <w:t>&lt;a href=chap2.html&gt;</w:t>
      </w:r>
      <w:r>
        <w:t xml:space="preserve">Chapter 2 </w:t>
      </w:r>
      <w:r>
        <w:rPr>
          <w:rStyle w:val="htmlcodes"/>
        </w:rPr>
        <w:t>&lt;/a&gt;</w:t>
      </w:r>
      <w:r>
        <w:t>gives a brief overview of</w:t>
      </w:r>
      <w:r>
        <w:rPr>
          <w:rStyle w:val="deletedparamark"/>
        </w:rPr>
        <w:t xml:space="preserve"> </w:t>
      </w:r>
      <w:r>
        <w:t xml:space="preserve">the language, </w:t>
      </w:r>
      <w:r>
        <w:rPr>
          <w:rStyle w:val="htmlcodes"/>
        </w:rPr>
        <w:t>&lt;a href=chap21.html&gt;</w:t>
      </w:r>
      <w:r>
        <w:t>Chap</w:t>
      </w:r>
      <w:r>
        <w:softHyphen/>
        <w:t xml:space="preserve">ter 21 </w:t>
      </w:r>
      <w:r>
        <w:rPr>
          <w:rStyle w:val="htmlcodes"/>
        </w:rPr>
        <w:t>&lt;/a&gt;</w:t>
      </w:r>
      <w:r>
        <w:t>gives the for</w:t>
      </w:r>
      <w:r>
        <w:softHyphen/>
        <w:t>mal structure of the language, and the</w:t>
      </w:r>
      <w:r>
        <w:rPr>
          <w:rStyle w:val="deletedparamark"/>
        </w:rPr>
        <w:t xml:space="preserve"> </w:t>
      </w:r>
      <w:r>
        <w:t>chap</w:t>
      </w:r>
      <w:r>
        <w:softHyphen/>
        <w:t>ters in between put semantic bones on that for</w:t>
      </w:r>
      <w:r>
        <w:softHyphen/>
        <w:t>mal flesh. I hope that</w:t>
      </w:r>
      <w:r>
        <w:rPr>
          <w:rStyle w:val="deletedparamark"/>
        </w:rPr>
        <w:t xml:space="preserve"> </w:t>
      </w:r>
      <w:r>
        <w:t>eventually more grammatical material founded on (or even cor</w:t>
      </w:r>
      <w:r>
        <w:softHyphen/>
        <w:t>recting)</w:t>
      </w:r>
      <w:r>
        <w:rPr>
          <w:rStyle w:val="deletedparamark"/>
        </w:rPr>
        <w:t xml:space="preserve"> </w:t>
      </w:r>
      <w:r>
        <w:t>the explana</w:t>
      </w:r>
      <w:r>
        <w:softHyphen/>
        <w:t>tions in this book will become available.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"Lojban, stability of"&gt;</w:t>
      </w:r>
      <w:r>
        <w:rPr>
          <w:rStyle w:val="indexentry"/>
        </w:rPr>
        <w:fldChar w:fldCharType="begin"/>
      </w:r>
      <w:r>
        <w:instrText>xe "</w:instrText>
      </w:r>
      <w:r>
        <w:rPr>
          <w:rStyle w:val="xeentry"/>
        </w:rPr>
        <w:instrText>Lojban: stability of</w:instrText>
      </w:r>
      <w:r>
        <w:instrText>"</w:instrText>
      </w:r>
      <w:r>
        <w:rPr>
          <w:rStyle w:val="indexentry"/>
        </w:rPr>
        <w:fldChar w:fldCharType="end"/>
      </w:r>
      <w:r>
        <w:rPr>
          <w:rStyle w:val="indexentry"/>
        </w:rPr>
        <w:t>&lt;cx "linguistic drift"&gt;</w:t>
      </w:r>
      <w:r>
        <w:rPr>
          <w:rStyle w:val="indexentry"/>
        </w:rPr>
        <w:fldChar w:fldCharType="begin"/>
      </w:r>
      <w:r>
        <w:instrText>xe "</w:instrText>
      </w:r>
      <w:r>
        <w:rPr>
          <w:rStyle w:val="xeentry"/>
        </w:rPr>
        <w:instrText>linguistic drift</w:instrText>
      </w:r>
      <w:r>
        <w:instrText>"</w:instrText>
      </w:r>
      <w:r>
        <w:rPr>
          <w:rStyle w:val="indexentry"/>
        </w:rPr>
        <w:fldChar w:fldCharType="end"/>
      </w:r>
      <w:r>
        <w:t>Nevertheless, the publication of this book is, in one sense, the completion of</w:t>
      </w:r>
      <w:r>
        <w:rPr>
          <w:rStyle w:val="deletedparamark"/>
        </w:rPr>
        <w:t xml:space="preserve"> </w:t>
      </w:r>
      <w:r>
        <w:t>a long period of language evolution. With the exception of a possible</w:t>
      </w:r>
      <w:r>
        <w:rPr>
          <w:rStyle w:val="deletedparamark"/>
        </w:rPr>
        <w:t xml:space="preserve"> </w:t>
      </w:r>
      <w:r>
        <w:t>revision of the lan</w:t>
      </w:r>
      <w:r>
        <w:softHyphen/>
        <w:t>guage that will not even be considered until</w:t>
      </w:r>
      <w:r>
        <w:rPr>
          <w:rStyle w:val="deletedparamark"/>
        </w:rPr>
        <w:t xml:space="preserve"> </w:t>
      </w:r>
      <w:r>
        <w:t>five years from publication date, and any revi</w:t>
      </w:r>
      <w:r>
        <w:softHyphen/>
        <w:t>sions</w:t>
      </w:r>
      <w:r>
        <w:rPr>
          <w:rStyle w:val="deletedparamark"/>
        </w:rPr>
        <w:t xml:space="preserve"> </w:t>
      </w:r>
      <w:r>
        <w:t>of this book needed to correct outright errors, the language described in</w:t>
      </w:r>
      <w:r>
        <w:rPr>
          <w:rStyle w:val="deletedparamark"/>
        </w:rPr>
        <w:t xml:space="preserve"> </w:t>
      </w:r>
      <w:r>
        <w:t>this book will not be changing by deliberate act of its creators any more.</w:t>
      </w:r>
      <w:r>
        <w:rPr>
          <w:rStyle w:val="deletedparamark"/>
        </w:rPr>
        <w:t xml:space="preserve"> </w:t>
      </w:r>
      <w:r>
        <w:t>Instead, language change will take place in the form of new vocabulary —</w:t>
      </w:r>
      <w:r>
        <w:rPr>
          <w:rStyle w:val="deletedparamark"/>
        </w:rPr>
        <w:t xml:space="preserve"> </w:t>
      </w:r>
      <w:r>
        <w:t>Lojban does not yet have nearly the vocabulary it needs to be a fully</w:t>
      </w:r>
      <w:r>
        <w:rPr>
          <w:rStyle w:val="deletedparamark"/>
        </w:rPr>
        <w:t xml:space="preserve"> </w:t>
      </w:r>
      <w:r>
        <w:t xml:space="preserve">usable language of the modern world, as </w:t>
      </w:r>
      <w:r>
        <w:rPr>
          <w:rStyle w:val="htmlcodes"/>
        </w:rPr>
        <w:t>&lt;a href=chap12.html&gt;</w:t>
      </w:r>
      <w:r>
        <w:t xml:space="preserve">Chapter 12 </w:t>
      </w:r>
      <w:r>
        <w:rPr>
          <w:rStyle w:val="htmlcodes"/>
        </w:rPr>
        <w:t>&lt;/a&gt;</w:t>
      </w:r>
      <w:r>
        <w:t>explains — and through</w:t>
      </w:r>
      <w:r>
        <w:rPr>
          <w:rStyle w:val="deletedparamark"/>
        </w:rPr>
        <w:t xml:space="preserve"> </w:t>
      </w:r>
      <w:r>
        <w:t>the irregular natural processes of drift and (who knows?) native-speaker</w:t>
      </w:r>
      <w:r>
        <w:rPr>
          <w:rStyle w:val="deletedparamark"/>
        </w:rPr>
        <w:t xml:space="preserve"> </w:t>
      </w:r>
      <w:r>
        <w:t>evolu</w:t>
      </w:r>
      <w:r>
        <w:softHyphen/>
        <w:t>tion. (Teach your children Lojban!) You can learn the language</w:t>
      </w:r>
      <w:r>
        <w:rPr>
          <w:rStyle w:val="deletedparamark"/>
        </w:rPr>
        <w:t xml:space="preserve"> </w:t>
      </w:r>
      <w:r>
        <w:t>de</w:t>
      </w:r>
      <w:r>
        <w:softHyphen/>
        <w:t>scribed here with as</w:t>
      </w:r>
      <w:r>
        <w:softHyphen/>
        <w:t>surance that (unlike previous versions of Loj</w:t>
      </w:r>
      <w:r>
        <w:softHyphen/>
        <w:t>ban</w:t>
      </w:r>
      <w:r>
        <w:rPr>
          <w:rStyle w:val="deletedparamark"/>
        </w:rPr>
        <w:t xml:space="preserve"> </w:t>
      </w:r>
      <w:r>
        <w:t>and Loglan, as well as most other artifi</w:t>
      </w:r>
      <w:r>
        <w:softHyphen/>
        <w:t>cial languages) it will not be</w:t>
      </w:r>
      <w:r>
        <w:rPr>
          <w:rStyle w:val="deletedparamark"/>
        </w:rPr>
        <w:t xml:space="preserve"> </w:t>
      </w:r>
      <w:r>
        <w:t>subject to further fid</w:t>
      </w:r>
      <w:r>
        <w:softHyphen/>
        <w:t>dling by language-meisters.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"structure of this book"&gt;</w:t>
      </w:r>
      <w:r>
        <w:rPr>
          <w:rStyle w:val="indexentry"/>
        </w:rPr>
        <w:fldChar w:fldCharType="begin"/>
      </w:r>
      <w:r>
        <w:instrText>xe "</w:instrText>
      </w:r>
      <w:r>
        <w:rPr>
          <w:rStyle w:val="xeentry"/>
        </w:rPr>
        <w:instrText>structure of this book</w:instrText>
      </w:r>
      <w:r>
        <w:instrText>"</w:instrText>
      </w:r>
      <w:r>
        <w:rPr>
          <w:rStyle w:val="indexentry"/>
        </w:rPr>
        <w:fldChar w:fldCharType="end"/>
      </w:r>
      <w:r>
        <w:rPr>
          <w:rStyle w:val="indexentry"/>
        </w:rPr>
        <w:t>&lt;cx "this book, structure of"&gt;</w:t>
      </w:r>
      <w:r>
        <w:rPr>
          <w:rStyle w:val="indexentry"/>
        </w:rPr>
        <w:fldChar w:fldCharType="begin"/>
      </w:r>
      <w:r>
        <w:instrText>xe "</w:instrText>
      </w:r>
      <w:r>
        <w:rPr>
          <w:rStyle w:val="xeentry"/>
        </w:rPr>
        <w:instrText>this book: structure of</w:instrText>
      </w:r>
      <w:r>
        <w:instrText>"</w:instrText>
      </w:r>
      <w:r>
        <w:rPr>
          <w:rStyle w:val="indexentry"/>
        </w:rPr>
        <w:fldChar w:fldCharType="end"/>
      </w:r>
      <w:r>
        <w:t>It is probably worth mentioning that this book was written somewhat</w:t>
      </w:r>
      <w:r>
        <w:rPr>
          <w:rStyle w:val="deletedparamark"/>
        </w:rPr>
        <w:t xml:space="preserve"> </w:t>
      </w:r>
      <w:r>
        <w:t>piece</w:t>
      </w:r>
      <w:r>
        <w:softHyphen/>
        <w:t>meal. Each chapter began life as an explication of a specific</w:t>
      </w:r>
      <w:r>
        <w:rPr>
          <w:rStyle w:val="deletedparamark"/>
        </w:rPr>
        <w:t xml:space="preserve"> </w:t>
      </w:r>
      <w:r>
        <w:t>Lojban topic; only later did these begin to clump to</w:t>
      </w:r>
      <w:r>
        <w:softHyphen/>
        <w:t>gether into a</w:t>
      </w:r>
      <w:r>
        <w:rPr>
          <w:rStyle w:val="deletedparamark"/>
        </w:rPr>
        <w:t xml:space="preserve"> </w:t>
      </w:r>
      <w:r>
        <w:t>larger structure of words and ideas. Therefore, there are perhaps not</w:t>
      </w:r>
      <w:r>
        <w:rPr>
          <w:rStyle w:val="deletedparamark"/>
        </w:rPr>
        <w:t xml:space="preserve"> </w:t>
      </w:r>
      <w:r>
        <w:t>as many cross-references as there should be. However, I have at</w:t>
      </w:r>
      <w:r>
        <w:softHyphen/>
        <w:t>tempted</w:t>
      </w:r>
      <w:r>
        <w:rPr>
          <w:rStyle w:val="deletedparamark"/>
        </w:rPr>
        <w:t xml:space="preserve"> </w:t>
      </w:r>
      <w:r>
        <w:t>to make the index as comprehensive as possible.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"Lojbanistan"&gt;</w:t>
      </w:r>
      <w:r>
        <w:rPr>
          <w:rStyle w:val="indexentry"/>
        </w:rPr>
        <w:fldChar w:fldCharType="begin"/>
      </w:r>
      <w:r>
        <w:instrText>xe "</w:instrText>
      </w:r>
      <w:r>
        <w:rPr>
          <w:rStyle w:val="xeentry"/>
        </w:rPr>
        <w:instrText>Lojbanistan</w:instrText>
      </w:r>
      <w:r>
        <w:instrText>"</w:instrText>
      </w:r>
      <w:r>
        <w:rPr>
          <w:rStyle w:val="indexentry"/>
        </w:rPr>
        <w:fldChar w:fldCharType="end"/>
      </w:r>
      <w:r>
        <w:rPr>
          <w:rStyle w:val="indexentry"/>
        </w:rPr>
        <w:t>&lt;cx "jokes"&gt;</w:t>
      </w:r>
      <w:r>
        <w:rPr>
          <w:rStyle w:val="indexentry"/>
        </w:rPr>
        <w:fldChar w:fldCharType="begin"/>
      </w:r>
      <w:r>
        <w:instrText>xe "</w:instrText>
      </w:r>
      <w:r>
        <w:rPr>
          <w:rStyle w:val="xeentry"/>
        </w:rPr>
        <w:instrText>jokes</w:instrText>
      </w:r>
      <w:r>
        <w:instrText>"</w:instrText>
      </w:r>
      <w:r>
        <w:rPr>
          <w:rStyle w:val="indexentry"/>
        </w:rPr>
        <w:fldChar w:fldCharType="end"/>
      </w:r>
      <w:r>
        <w:rPr>
          <w:rStyle w:val="indexentry"/>
        </w:rPr>
        <w:t>&lt;cx "chapter titles, intent of"&gt;</w:t>
      </w:r>
      <w:r>
        <w:rPr>
          <w:rStyle w:val="indexentry"/>
        </w:rPr>
        <w:fldChar w:fldCharType="begin"/>
      </w:r>
      <w:r>
        <w:instrText>xe "</w:instrText>
      </w:r>
      <w:r>
        <w:rPr>
          <w:rStyle w:val="xeentry"/>
        </w:rPr>
        <w:instrText>chapter titles: intent of</w:instrText>
      </w:r>
      <w:r>
        <w:instrText>"</w:instrText>
      </w:r>
      <w:r>
        <w:rPr>
          <w:rStyle w:val="indexentry"/>
        </w:rPr>
        <w:fldChar w:fldCharType="end"/>
      </w:r>
      <w:r>
        <w:t>Each chapter has a descriptive title, often involving some play on words;</w:t>
      </w:r>
      <w:r>
        <w:rPr>
          <w:rStyle w:val="deletedparamark"/>
        </w:rPr>
        <w:t xml:space="preserve"> </w:t>
      </w:r>
      <w:r>
        <w:t xml:space="preserve">this is an attempt to make the chapters more memorable. The title of </w:t>
      </w:r>
      <w:r>
        <w:rPr>
          <w:rStyle w:val="htmlcodes"/>
        </w:rPr>
        <w:t>&lt;a href=chap1.html&gt;</w:t>
      </w:r>
      <w:r>
        <w:t xml:space="preserve">Chapter 1 </w:t>
      </w:r>
      <w:r>
        <w:rPr>
          <w:rStyle w:val="htmlcodes"/>
        </w:rPr>
        <w:t>&lt;/a&gt;</w:t>
      </w:r>
      <w:r>
        <w:t>(which you are now reading), for example, is an allusion to the book</w:t>
      </w:r>
      <w:r>
        <w:rPr>
          <w:rStyle w:val="deletedparamark"/>
        </w:rPr>
        <w:t xml:space="preserve"> </w:t>
      </w:r>
      <w:r>
        <w:rPr>
          <w:rStyle w:val="htmlcodes"/>
        </w:rPr>
        <w:t>&lt;cite&gt;</w:t>
      </w:r>
      <w:r>
        <w:rPr>
          <w:rStyle w:val="cite"/>
        </w:rPr>
        <w:t>English As We Speak It In Ire</w:t>
      </w:r>
      <w:r>
        <w:rPr>
          <w:rStyle w:val="cite"/>
        </w:rPr>
        <w:softHyphen/>
        <w:t>land</w:t>
      </w:r>
      <w:r>
        <w:rPr>
          <w:rStyle w:val="htmlcodes"/>
        </w:rPr>
        <w:t>&lt;/cite&gt;</w:t>
      </w:r>
      <w:r>
        <w:t>, by P. W. Joyce, which</w:t>
      </w:r>
      <w:r>
        <w:rPr>
          <w:rStyle w:val="deletedparamark"/>
        </w:rPr>
        <w:t xml:space="preserve"> </w:t>
      </w:r>
      <w:r>
        <w:t>is a sort of informal reference grammar of Hiberno-English. “Lojbanistan” is</w:t>
      </w:r>
      <w:r>
        <w:rPr>
          <w:rStyle w:val="deletedparamark"/>
        </w:rPr>
        <w:t xml:space="preserve"> </w:t>
      </w:r>
      <w:r>
        <w:t>both an imaginary country where Lojban is the native language, and a term</w:t>
      </w:r>
      <w:r>
        <w:rPr>
          <w:rStyle w:val="deletedparamark"/>
        </w:rPr>
        <w:t xml:space="preserve"> </w:t>
      </w:r>
      <w:r>
        <w:t>for the actual community of Lojban-speakers, scattered over the world. Why</w:t>
      </w:r>
      <w:r>
        <w:rPr>
          <w:rStyle w:val="deletedparamark"/>
        </w:rPr>
        <w:t xml:space="preserve"> “</w:t>
      </w:r>
      <w:r>
        <w:t>mangle”? As yet, nobody in the real Lojbanistan speaks the lan</w:t>
      </w:r>
      <w:r>
        <w:softHyphen/>
        <w:t>guage at</w:t>
      </w:r>
      <w:r>
        <w:rPr>
          <w:rStyle w:val="deletedparamark"/>
        </w:rPr>
        <w:t xml:space="preserve"> </w:t>
      </w:r>
      <w:r>
        <w:t>all well, by the standards of the imaginary Lojbanistan; that is one of</w:t>
      </w:r>
      <w:r>
        <w:rPr>
          <w:rStyle w:val="deletedparamark"/>
        </w:rPr>
        <w:t xml:space="preserve"> </w:t>
      </w:r>
      <w:r>
        <w:t>the circumstances this book is meant to help rem</w:t>
      </w:r>
      <w:r>
        <w:softHyphen/>
        <w:t>edy.</w:t>
      </w:r>
    </w:p>
    <w:p w:rsidR="00B72047" w:rsidRDefault="00B72047">
      <w:pPr>
        <w:rPr>
          <w:rStyle w:val="htmlparacode"/>
        </w:rPr>
      </w:pPr>
      <w:r>
        <w:rPr>
          <w:rStyle w:val="htmlparacode"/>
        </w:rPr>
        <w:t>&lt;p&gt;</w:t>
      </w:r>
    </w:p>
    <w:p w:rsidR="00B72047" w:rsidRDefault="00B72047">
      <w:pPr>
        <w:pStyle w:val="Heading3"/>
        <w:rPr>
          <w:rStyle w:val="Heading3Text"/>
        </w:rPr>
      </w:pPr>
      <w:bookmarkStart w:id="30" w:name="_Toc395691457"/>
      <w:bookmarkStart w:id="31" w:name="_Toc395691651"/>
      <w:bookmarkStart w:id="32" w:name="_Toc398970429"/>
      <w:r>
        <w:rPr>
          <w:rStyle w:val="Heading3Text"/>
        </w:rPr>
        <w:t>What are the typographical conventions of this book?</w:t>
      </w:r>
      <w:bookmarkEnd w:id="30"/>
      <w:bookmarkEnd w:id="31"/>
      <w:bookmarkEnd w:id="32"/>
      <w:r>
        <w:rPr>
          <w:rStyle w:val="htmlcodes"/>
        </w:rPr>
        <w:t>&lt;/h3&gt;</w:t>
      </w:r>
    </w:p>
    <w:p w:rsidR="00B72047" w:rsidRDefault="00B72047">
      <w:pPr>
        <w:rPr>
          <w:rStyle w:val="htmlparacode"/>
        </w:rPr>
      </w:pPr>
      <w:r>
        <w:rPr>
          <w:rStyle w:val="htmlparacode"/>
        </w:rPr>
        <w:t>&lt;p&gt;</w:t>
      </w:r>
      <w:r>
        <w:rPr>
          <w:rStyle w:val="indexentry"/>
        </w:rPr>
        <w:t>&lt;cx "typographical conventions"&gt;</w:t>
      </w:r>
      <w:r>
        <w:rPr>
          <w:rStyle w:val="indexentry"/>
        </w:rPr>
        <w:fldChar w:fldCharType="begin"/>
      </w:r>
      <w:r>
        <w:instrText>xe "</w:instrText>
      </w:r>
      <w:r>
        <w:rPr>
          <w:rStyle w:val="xeentry"/>
        </w:rPr>
        <w:instrText>typographical conventions</w:instrText>
      </w:r>
      <w:r>
        <w:instrText>"</w:instrText>
      </w:r>
      <w:r>
        <w:rPr>
          <w:rStyle w:val="indexentry"/>
        </w:rPr>
        <w:fldChar w:fldCharType="end"/>
      </w:r>
      <w:r>
        <w:rPr>
          <w:rStyle w:val="htmlcodes"/>
        </w:rPr>
        <w:t>&lt;a name=s3&gt;&lt;h3&gt;</w:t>
      </w:r>
    </w:p>
    <w:p w:rsidR="00B72047" w:rsidRDefault="00B72047">
      <w:pPr>
        <w:pStyle w:val="normalparagraph"/>
      </w:pPr>
      <w:r>
        <w:rPr>
          <w:rStyle w:val="indexentry"/>
        </w:rPr>
        <w:t>&lt;cx "sections of this book"&gt;</w:t>
      </w:r>
      <w:r>
        <w:rPr>
          <w:rStyle w:val="indexentry"/>
        </w:rPr>
        <w:fldChar w:fldCharType="begin"/>
      </w:r>
      <w:r>
        <w:instrText>xe "</w:instrText>
      </w:r>
      <w:r>
        <w:rPr>
          <w:rStyle w:val="xeentry"/>
        </w:rPr>
        <w:instrText>sections of this book</w:instrText>
      </w:r>
      <w:r>
        <w:instrText>"</w:instrText>
      </w:r>
      <w:r>
        <w:rPr>
          <w:rStyle w:val="indexentry"/>
        </w:rPr>
        <w:fldChar w:fldCharType="end"/>
      </w:r>
      <w:r>
        <w:rPr>
          <w:rStyle w:val="indexentry"/>
        </w:rPr>
        <w:t>&lt;cx "this book, sections of"&gt;</w:t>
      </w:r>
      <w:r>
        <w:rPr>
          <w:rStyle w:val="indexentry"/>
        </w:rPr>
        <w:fldChar w:fldCharType="begin"/>
      </w:r>
      <w:r>
        <w:instrText>xe "</w:instrText>
      </w:r>
      <w:r>
        <w:rPr>
          <w:rStyle w:val="xeentry"/>
        </w:rPr>
        <w:instrText>this book: sections of</w:instrText>
      </w:r>
      <w:r>
        <w:instrText>"</w:instrText>
      </w:r>
      <w:r>
        <w:rPr>
          <w:rStyle w:val="indexentry"/>
        </w:rPr>
        <w:fldChar w:fldCharType="end"/>
      </w:r>
      <w:r>
        <w:t>Each chapter is broken into numbered sections; each sec</w:t>
      </w:r>
      <w:r>
        <w:softHyphen/>
        <w:t>tion contains a</w:t>
      </w:r>
      <w:r>
        <w:rPr>
          <w:rStyle w:val="deletedparamark"/>
        </w:rPr>
        <w:t xml:space="preserve"> </w:t>
      </w:r>
      <w:r>
        <w:t>mixture of expository text, numbered examples, and possibly tables.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"examples in this book"&gt;</w:t>
      </w:r>
      <w:r>
        <w:rPr>
          <w:rStyle w:val="indexentry"/>
        </w:rPr>
        <w:fldChar w:fldCharType="begin"/>
      </w:r>
      <w:r>
        <w:instrText>xe "</w:instrText>
      </w:r>
      <w:r>
        <w:rPr>
          <w:rStyle w:val="xeentry"/>
        </w:rPr>
        <w:instrText>examples in this book</w:instrText>
      </w:r>
      <w:r>
        <w:instrText>"</w:instrText>
      </w:r>
      <w:r>
        <w:rPr>
          <w:rStyle w:val="indexentry"/>
        </w:rPr>
        <w:fldChar w:fldCharType="end"/>
      </w:r>
      <w:r>
        <w:rPr>
          <w:rStyle w:val="indexentry"/>
        </w:rPr>
        <w:t>&lt;cx "this book, examples of"&gt;</w:t>
      </w:r>
      <w:r>
        <w:rPr>
          <w:rStyle w:val="indexentry"/>
        </w:rPr>
        <w:fldChar w:fldCharType="begin"/>
      </w:r>
      <w:r>
        <w:instrText>xe "</w:instrText>
      </w:r>
      <w:r>
        <w:rPr>
          <w:rStyle w:val="xeentry"/>
        </w:rPr>
        <w:instrText>this book: examples of</w:instrText>
      </w:r>
      <w:r>
        <w:instrText>"</w:instrText>
      </w:r>
      <w:r>
        <w:rPr>
          <w:rStyle w:val="indexentry"/>
        </w:rPr>
        <w:fldChar w:fldCharType="end"/>
      </w:r>
      <w:r>
        <w:t>The reader will notice a certain similarity in the examples used throughout</w:t>
      </w:r>
      <w:r>
        <w:rPr>
          <w:rStyle w:val="deletedparamark"/>
        </w:rPr>
        <w:t xml:space="preserve"> </w:t>
      </w:r>
      <w:r>
        <w:t>the book. One chapter after another rings the changes on the self-same</w:t>
      </w:r>
      <w:r>
        <w:rPr>
          <w:rStyle w:val="deletedparamark"/>
        </w:rPr>
        <w:t xml:space="preserve"> </w:t>
      </w:r>
      <w:r>
        <w:t>sentences:</w:t>
      </w:r>
    </w:p>
    <w:p w:rsidR="00B72047" w:rsidRDefault="00B72047">
      <w:pPr>
        <w:pStyle w:val="examplescaled"/>
        <w:rPr>
          <w:rStyle w:val="htmlparacode"/>
        </w:rPr>
      </w:pPr>
      <w:r>
        <w:rPr>
          <w:rStyle w:val="htmlparacode"/>
        </w:rPr>
        <w:t>&lt;p&gt;</w:t>
      </w:r>
    </w:p>
    <w:p w:rsidR="00B72047" w:rsidRDefault="00B72047">
      <w:pPr>
        <w:pStyle w:val="examplescaledpre"/>
      </w:pPr>
      <w:r>
        <w:rPr>
          <w:rStyle w:val="indexentry"/>
        </w:rPr>
        <w:t>&lt;ex "go to the store"&gt;</w:t>
      </w:r>
      <w:r>
        <w:rPr>
          <w:rStyle w:val="indexentry"/>
        </w:rPr>
        <w:fldChar w:fldCharType="begin"/>
      </w:r>
      <w:r>
        <w:instrText>xe "</w:instrText>
      </w:r>
      <w:r>
        <w:rPr>
          <w:rStyle w:val="xeentry"/>
        </w:rPr>
        <w:instrText>go to the store: example</w:instrText>
      </w:r>
      <w:r>
        <w:instrText>"</w:instrText>
      </w:r>
      <w:r>
        <w:rPr>
          <w:rStyle w:val="indexentry"/>
        </w:rPr>
        <w:fldChar w:fldCharType="end"/>
      </w:r>
      <w:r>
        <w:rPr>
          <w:rStyle w:val="htmlcodes"/>
        </w:rPr>
        <w:t>&lt;pre&gt;&lt;a name=e1d1&gt;</w:t>
      </w:r>
      <w:r>
        <w:t>1.1)</w:t>
      </w:r>
      <w:r>
        <w:tab/>
        <w:t>mi klama le zarci</w:t>
      </w:r>
    </w:p>
    <w:p w:rsidR="00B72047" w:rsidRDefault="00B72047">
      <w:pPr>
        <w:pStyle w:val="examplescaled"/>
      </w:pPr>
      <w:r>
        <w:tab/>
        <w:t>I go-to that-which-I-describe-as-a store.</w:t>
      </w:r>
    </w:p>
    <w:p w:rsidR="00B72047" w:rsidRDefault="00B72047">
      <w:pPr>
        <w:pStyle w:val="examplescaled"/>
      </w:pPr>
      <w:r>
        <w:tab/>
        <w:t>I go to the store.</w:t>
      </w:r>
    </w:p>
    <w:p w:rsidR="00B72047" w:rsidRDefault="00B72047">
      <w:pPr>
        <w:pStyle w:val="resumedafterexample"/>
      </w:pPr>
      <w:r>
        <w:rPr>
          <w:rStyle w:val="htmlcodes"/>
        </w:rPr>
        <w:t>&lt;/pre&gt;</w:t>
      </w:r>
      <w:r>
        <w:t xml:space="preserve">will become wearisomely familiar before </w:t>
      </w:r>
      <w:r>
        <w:rPr>
          <w:rStyle w:val="htmlcodes"/>
        </w:rPr>
        <w:t>&lt;a href=chap21.html&gt;</w:t>
      </w:r>
      <w:r>
        <w:t xml:space="preserve">Chapter 21 </w:t>
      </w:r>
      <w:r>
        <w:rPr>
          <w:rStyle w:val="htmlcodes"/>
        </w:rPr>
        <w:t>&lt;/a&gt;</w:t>
      </w:r>
      <w:r>
        <w:t>is reached. This method</w:t>
      </w:r>
      <w:r>
        <w:rPr>
          <w:rStyle w:val="deletedparamark"/>
        </w:rPr>
        <w:t xml:space="preserve"> </w:t>
      </w:r>
      <w:r>
        <w:t>is delib</w:t>
      </w:r>
      <w:r>
        <w:softHyphen/>
        <w:t>erate; I have tried to use simple and (eventually) familiar</w:t>
      </w:r>
      <w:r>
        <w:rPr>
          <w:rStyle w:val="deletedparamark"/>
        </w:rPr>
        <w:t xml:space="preserve"> </w:t>
      </w:r>
      <w:r>
        <w:t>examples wherever possible, to avoid obscur</w:t>
      </w:r>
      <w:r>
        <w:softHyphen/>
        <w:t>ing new grammatical points</w:t>
      </w:r>
      <w:r>
        <w:rPr>
          <w:rStyle w:val="deletedparamark"/>
        </w:rPr>
        <w:t xml:space="preserve"> </w:t>
      </w:r>
      <w:r>
        <w:t>with new vocabulary. Of course, this is not the method of a textbook,</w:t>
      </w:r>
      <w:r>
        <w:rPr>
          <w:rStyle w:val="deletedparamark"/>
        </w:rPr>
        <w:t xml:space="preserve"> </w:t>
      </w:r>
      <w:r>
        <w:t>but this book is not a textbook (although people have learned Loj</w:t>
      </w:r>
      <w:r>
        <w:softHyphen/>
        <w:t>ban</w:t>
      </w:r>
      <w:r>
        <w:rPr>
          <w:rStyle w:val="deletedparamark"/>
        </w:rPr>
        <w:t xml:space="preserve"> </w:t>
      </w:r>
      <w:r>
        <w:t>from it and its predeces</w:t>
      </w:r>
      <w:r>
        <w:softHyphen/>
        <w:t>sors). Rather, it is intended both for self-learning</w:t>
      </w:r>
      <w:r>
        <w:rPr>
          <w:rStyle w:val="deletedparamark"/>
        </w:rPr>
        <w:t xml:space="preserve"> </w:t>
      </w:r>
      <w:r>
        <w:t>(of course, at present would-be Lojban teachers must be self-learners)</w:t>
      </w:r>
      <w:r>
        <w:rPr>
          <w:rStyle w:val="deletedparamark"/>
        </w:rPr>
        <w:t xml:space="preserve"> </w:t>
      </w:r>
      <w:r>
        <w:t>and to serve as a reference in the usual sense, for looking up obscure</w:t>
      </w:r>
      <w:r>
        <w:rPr>
          <w:rStyle w:val="deletedparamark"/>
        </w:rPr>
        <w:t xml:space="preserve"> </w:t>
      </w:r>
      <w:r>
        <w:t>points about the language.</w:t>
      </w:r>
    </w:p>
    <w:p w:rsidR="00B72047" w:rsidRDefault="00B72047">
      <w:pPr>
        <w:rPr>
          <w:rStyle w:val="htmlparacode"/>
        </w:rPr>
      </w:pPr>
      <w:r>
        <w:rPr>
          <w:rStyle w:val="htmlparacode"/>
        </w:rPr>
        <w:t>&lt;p&gt;</w:t>
      </w:r>
    </w:p>
    <w:p w:rsidR="00B72047" w:rsidRDefault="00B72047">
      <w:pPr>
        <w:pStyle w:val="normalparagraph"/>
      </w:pPr>
      <w:r>
        <w:rPr>
          <w:rStyle w:val="indexentry"/>
        </w:rPr>
        <w:t>&lt;cx "example of examples"&gt;</w:t>
      </w:r>
      <w:r>
        <w:rPr>
          <w:rStyle w:val="indexentry"/>
        </w:rPr>
        <w:fldChar w:fldCharType="begin"/>
      </w:r>
      <w:r>
        <w:instrText>xe "</w:instrText>
      </w:r>
      <w:r>
        <w:rPr>
          <w:rStyle w:val="xeentry"/>
        </w:rPr>
        <w:instrText>example of examples</w:instrText>
      </w:r>
      <w:r>
        <w:instrText>"</w:instrText>
      </w:r>
      <w:r>
        <w:rPr>
          <w:rStyle w:val="indexentry"/>
        </w:rPr>
        <w:fldChar w:fldCharType="end"/>
      </w:r>
      <w:r>
        <w:rPr>
          <w:rStyle w:val="indexentry"/>
        </w:rPr>
        <w:t>&lt;cx "structure of examples"&gt;</w:t>
      </w:r>
      <w:r>
        <w:rPr>
          <w:rStyle w:val="indexentry"/>
        </w:rPr>
        <w:fldChar w:fldCharType="begin"/>
      </w:r>
      <w:r>
        <w:instrText>xe "</w:instrText>
      </w:r>
      <w:r>
        <w:rPr>
          <w:rStyle w:val="xeentry"/>
        </w:rPr>
        <w:instrText>structure of examples</w:instrText>
      </w:r>
      <w:r>
        <w:instrText>"</w:instrText>
      </w:r>
      <w:r>
        <w:rPr>
          <w:rStyle w:val="indexentry"/>
        </w:rPr>
        <w:fldChar w:fldCharType="end"/>
      </w:r>
      <w:r>
        <w:rPr>
          <w:rStyle w:val="indexentry"/>
        </w:rPr>
        <w:t>&lt;cx "examples, structure of"&gt;</w:t>
      </w:r>
      <w:r>
        <w:rPr>
          <w:rStyle w:val="indexentry"/>
        </w:rPr>
        <w:fldChar w:fldCharType="begin"/>
      </w:r>
      <w:r>
        <w:instrText>xe "</w:instrText>
      </w:r>
      <w:r>
        <w:rPr>
          <w:rStyle w:val="xeentry"/>
        </w:rPr>
        <w:instrText>examples: structure of</w:instrText>
      </w:r>
      <w:r>
        <w:instrText>"</w:instrText>
      </w:r>
      <w:r>
        <w:rPr>
          <w:rStyle w:val="indexentry"/>
        </w:rPr>
        <w:fldChar w:fldCharType="end"/>
      </w:r>
      <w:r>
        <w:t xml:space="preserve">It is useful to talk further about </w:t>
      </w:r>
      <w:r>
        <w:rPr>
          <w:rStyle w:val="htmlcodes"/>
        </w:rPr>
        <w:t>&lt;a href=#e1d1&gt;</w:t>
      </w:r>
      <w:r>
        <w:t xml:space="preserve">Example 1.1 </w:t>
      </w:r>
      <w:r>
        <w:rPr>
          <w:rStyle w:val="htmlcodes"/>
        </w:rPr>
        <w:t>&lt;/a&gt;</w:t>
      </w:r>
      <w:r>
        <w:t>for what it il</w:t>
      </w:r>
      <w:r>
        <w:softHyphen/>
        <w:t>lustrates</w:t>
      </w:r>
      <w:r>
        <w:rPr>
          <w:rStyle w:val="deletedparamark"/>
        </w:rPr>
        <w:t xml:space="preserve"> </w:t>
      </w:r>
      <w:r>
        <w:t>about exam</w:t>
      </w:r>
      <w:r>
        <w:softHyphen/>
        <w:t>ples in this book. Examples usually occupy three lines. The</w:t>
      </w:r>
      <w:r>
        <w:rPr>
          <w:rStyle w:val="deletedparamark"/>
        </w:rPr>
        <w:t xml:space="preserve"> </w:t>
      </w:r>
      <w:r>
        <w:t>first of these is in Lojban, the second in a word-by-word literal</w:t>
      </w:r>
      <w:r>
        <w:rPr>
          <w:rStyle w:val="deletedparamark"/>
        </w:rPr>
        <w:t xml:space="preserve"> </w:t>
      </w:r>
      <w:r>
        <w:t>translation of the Lojban into English, and the third in collo</w:t>
      </w:r>
      <w:r>
        <w:softHyphen/>
        <w:t>quial</w:t>
      </w:r>
      <w:r>
        <w:rPr>
          <w:rStyle w:val="deletedparamark"/>
        </w:rPr>
        <w:t xml:space="preserve"> </w:t>
      </w:r>
      <w:r>
        <w:t>English. The second and third lines are sometimes called the “literal</w:t>
      </w:r>
      <w:r>
        <w:rPr>
          <w:rStyle w:val="deletedparamark"/>
        </w:rPr>
        <w:t xml:space="preserve"> </w:t>
      </w:r>
      <w:r>
        <w:t>transla</w:t>
      </w:r>
      <w:r>
        <w:softHyphen/>
        <w:t>tion” and the “colloquial translation” re</w:t>
      </w:r>
      <w:r>
        <w:softHyphen/>
        <w:t>spectively. Sometimes,</w:t>
      </w:r>
      <w:r>
        <w:rPr>
          <w:rStyle w:val="deletedparamark"/>
        </w:rPr>
        <w:t xml:space="preserve"> </w:t>
      </w:r>
      <w:r>
        <w:t>when clarity is not sacri</w:t>
      </w:r>
      <w:r>
        <w:softHyphen/>
        <w:t>ficed thereby, one or both are omitted. If there</w:t>
      </w:r>
      <w:r>
        <w:rPr>
          <w:rStyle w:val="deletedparamark"/>
        </w:rPr>
        <w:t xml:space="preserve"> </w:t>
      </w:r>
      <w:r>
        <w:t>is more than one Lojban sen</w:t>
      </w:r>
      <w:r>
        <w:softHyphen/>
        <w:t>tence, it generally means that they have the</w:t>
      </w:r>
      <w:r>
        <w:rPr>
          <w:rStyle w:val="deletedparamark"/>
        </w:rPr>
        <w:t xml:space="preserve"> </w:t>
      </w:r>
      <w:r>
        <w:t>same meaning.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"square brackets, use of in notation"&gt;</w:t>
      </w:r>
      <w:r>
        <w:rPr>
          <w:rStyle w:val="indexentry"/>
        </w:rPr>
        <w:fldChar w:fldCharType="begin"/>
      </w:r>
      <w:r>
        <w:instrText>xe "</w:instrText>
      </w:r>
      <w:r>
        <w:rPr>
          <w:rStyle w:val="xeentry"/>
        </w:rPr>
        <w:instrText>square brackets: use of in notation</w:instrText>
      </w:r>
      <w:r>
        <w:instrText>"</w:instrText>
      </w:r>
      <w:r>
        <w:rPr>
          <w:rStyle w:val="indexentry"/>
        </w:rPr>
        <w:fldChar w:fldCharType="end"/>
      </w:r>
      <w:r>
        <w:t>Words are sometimes surrounded by square brackets. In Lojban texts, these</w:t>
      </w:r>
      <w:r>
        <w:rPr>
          <w:rStyle w:val="deletedparamark"/>
        </w:rPr>
        <w:t xml:space="preserve"> </w:t>
      </w:r>
      <w:r>
        <w:t>enclose optional grammatical particles that may (in the context of the</w:t>
      </w:r>
      <w:r>
        <w:rPr>
          <w:rStyle w:val="deletedparamark"/>
        </w:rPr>
        <w:t xml:space="preserve"> </w:t>
      </w:r>
      <w:r>
        <w:t>particular exam</w:t>
      </w:r>
      <w:r>
        <w:softHyphen/>
        <w:t>ple) be ei</w:t>
      </w:r>
      <w:r>
        <w:softHyphen/>
        <w:t>ther omitted or included. In literal translations,</w:t>
      </w:r>
      <w:r>
        <w:rPr>
          <w:rStyle w:val="deletedparamark"/>
        </w:rPr>
        <w:t xml:space="preserve"> </w:t>
      </w:r>
      <w:r>
        <w:t>they enclose words that are used as co</w:t>
      </w:r>
      <w:r>
        <w:t>n</w:t>
      </w:r>
      <w:r>
        <w:softHyphen/>
        <w:t>ventional translations of specific</w:t>
      </w:r>
      <w:r>
        <w:rPr>
          <w:rStyle w:val="deletedparamark"/>
        </w:rPr>
        <w:t xml:space="preserve"> </w:t>
      </w:r>
      <w:r>
        <w:t>Lojban words, but don't have exactly the meanings or uses that the</w:t>
      </w:r>
      <w:r>
        <w:rPr>
          <w:rStyle w:val="deletedparamark"/>
        </w:rPr>
        <w:t xml:space="preserve"> </w:t>
      </w:r>
      <w:r>
        <w:t xml:space="preserve">English word would suggest. In </w:t>
      </w:r>
      <w:r>
        <w:rPr>
          <w:rStyle w:val="htmlcodes"/>
        </w:rPr>
        <w:t>&lt;a href=chap3.html&gt;</w:t>
      </w:r>
      <w:r>
        <w:t>Chapter 3</w:t>
      </w:r>
      <w:r>
        <w:rPr>
          <w:rStyle w:val="htmlcodes"/>
        </w:rPr>
        <w:t>&lt;/a&gt;</w:t>
      </w:r>
      <w:r>
        <w:t>, square brackets surround</w:t>
      </w:r>
      <w:r>
        <w:rPr>
          <w:rStyle w:val="deletedparamark"/>
        </w:rPr>
        <w:t xml:space="preserve"> </w:t>
      </w:r>
      <w:r>
        <w:t>pho</w:t>
      </w:r>
      <w:r>
        <w:softHyphen/>
        <w:t>netic repre</w:t>
      </w:r>
      <w:r>
        <w:softHyphen/>
        <w:t>sentations in the International Phonetic Alphabet.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"tables, format of"&gt;</w:t>
      </w:r>
      <w:r>
        <w:rPr>
          <w:rStyle w:val="indexentry"/>
        </w:rPr>
        <w:fldChar w:fldCharType="begin"/>
      </w:r>
      <w:r>
        <w:instrText>xe "</w:instrText>
      </w:r>
      <w:r>
        <w:rPr>
          <w:rStyle w:val="xeentry"/>
        </w:rPr>
        <w:instrText>tables: format of</w:instrText>
      </w:r>
      <w:r>
        <w:instrText>"</w:instrText>
      </w:r>
      <w:r>
        <w:rPr>
          <w:rStyle w:val="indexentry"/>
        </w:rPr>
        <w:fldChar w:fldCharType="end"/>
      </w:r>
      <w:r>
        <w:rPr>
          <w:rStyle w:val="indexentry"/>
        </w:rPr>
        <w:t>&lt;cx "grammatical categories, use of upper case for"&gt;</w:t>
      </w:r>
      <w:r>
        <w:rPr>
          <w:rStyle w:val="indexentry"/>
        </w:rPr>
        <w:fldChar w:fldCharType="begin"/>
      </w:r>
      <w:r>
        <w:instrText>xe "</w:instrText>
      </w:r>
      <w:r>
        <w:rPr>
          <w:rStyle w:val="xeentry"/>
        </w:rPr>
        <w:instrText>grammatical categories: use of upper case for</w:instrText>
      </w:r>
      <w:r>
        <w:instrText>"</w:instrText>
      </w:r>
      <w:r>
        <w:rPr>
          <w:rStyle w:val="indexentry"/>
        </w:rPr>
        <w:fldChar w:fldCharType="end"/>
      </w:r>
      <w:r>
        <w:t>Many of the tables, especially those placed at the head of various sections,</w:t>
      </w:r>
      <w:r>
        <w:rPr>
          <w:rStyle w:val="deletedparamark"/>
        </w:rPr>
        <w:t xml:space="preserve"> </w:t>
      </w:r>
      <w:r>
        <w:t>are in three columns. The first column contains Lojban words discussed</w:t>
      </w:r>
      <w:r>
        <w:rPr>
          <w:rStyle w:val="deletedparamark"/>
        </w:rPr>
        <w:t xml:space="preserve"> </w:t>
      </w:r>
      <w:r>
        <w:t>in that section; the sec</w:t>
      </w:r>
      <w:r>
        <w:softHyphen/>
        <w:t>ond column con</w:t>
      </w:r>
      <w:r>
        <w:softHyphen/>
        <w:t>tains the grammatical category</w:t>
      </w:r>
      <w:r>
        <w:rPr>
          <w:rStyle w:val="deletedparamark"/>
        </w:rPr>
        <w:t xml:space="preserve"> </w:t>
      </w:r>
      <w:r>
        <w:t>(represented by an UPPER CASE Lojban word) to which the word belongs,</w:t>
      </w:r>
      <w:r>
        <w:rPr>
          <w:rStyle w:val="deletedparamark"/>
        </w:rPr>
        <w:t xml:space="preserve"> </w:t>
      </w:r>
      <w:r>
        <w:t>and the third column contains a brief English gloss, not necessarily or</w:t>
      </w:r>
      <w:r>
        <w:rPr>
          <w:rStyle w:val="deletedparamark"/>
        </w:rPr>
        <w:t xml:space="preserve"> </w:t>
      </w:r>
      <w:r>
        <w:t>typically a full explanation. Other tables are explained in con</w:t>
      </w:r>
      <w:r>
        <w:softHyphen/>
        <w:t>text.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"technical terms"&gt;</w:t>
      </w:r>
      <w:r>
        <w:rPr>
          <w:rStyle w:val="indexentry"/>
        </w:rPr>
        <w:fldChar w:fldCharType="begin"/>
      </w:r>
      <w:r>
        <w:instrText>xe "</w:instrText>
      </w:r>
      <w:r>
        <w:rPr>
          <w:rStyle w:val="xeentry"/>
        </w:rPr>
        <w:instrText>technical terms</w:instrText>
      </w:r>
      <w:r>
        <w:instrText>"</w:instrText>
      </w:r>
      <w:r>
        <w:rPr>
          <w:rStyle w:val="indexentry"/>
        </w:rPr>
        <w:fldChar w:fldCharType="end"/>
      </w:r>
      <w:r>
        <w:t>A few Lojban words are used in this book as technical terms. All of these</w:t>
      </w:r>
      <w:r>
        <w:rPr>
          <w:rStyle w:val="deletedparamark"/>
        </w:rPr>
        <w:t xml:space="preserve"> </w:t>
      </w:r>
      <w:r>
        <w:t>are ex</w:t>
      </w:r>
      <w:r>
        <w:softHyphen/>
        <w:t xml:space="preserve">plained in </w:t>
      </w:r>
      <w:r>
        <w:rPr>
          <w:rStyle w:val="htmlcodes"/>
        </w:rPr>
        <w:t>&lt;a href=chap2.html&gt;</w:t>
      </w:r>
      <w:r>
        <w:t>Chapter 2</w:t>
      </w:r>
      <w:r>
        <w:rPr>
          <w:rStyle w:val="htmlcodes"/>
        </w:rPr>
        <w:t>&lt;/a&gt;</w:t>
      </w:r>
      <w:r>
        <w:t>, except for a few used only in single chapters,</w:t>
      </w:r>
      <w:r>
        <w:rPr>
          <w:rStyle w:val="deletedparamark"/>
        </w:rPr>
        <w:t xml:space="preserve"> </w:t>
      </w:r>
      <w:r>
        <w:t>which are ex</w:t>
      </w:r>
      <w:r>
        <w:softHyphen/>
        <w:t>plained in the introduc</w:t>
      </w:r>
      <w:r>
        <w:softHyphen/>
        <w:t>tory sections of those chapters.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33" w:name="_Toc395691458"/>
      <w:bookmarkStart w:id="34" w:name="_Toc395691652"/>
      <w:bookmarkStart w:id="35" w:name="_Toc398970430"/>
      <w:r>
        <w:rPr>
          <w:rStyle w:val="Heading3Text"/>
        </w:rPr>
        <w:t>Disclaimers</w:t>
      </w:r>
      <w:bookmarkEnd w:id="33"/>
      <w:bookmarkEnd w:id="34"/>
      <w:bookmarkEnd w:id="3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"disclaimers"&gt;</w:t>
      </w:r>
      <w:r>
        <w:rPr>
          <w:rStyle w:val="indexentry"/>
        </w:rPr>
        <w:fldChar w:fldCharType="begin"/>
      </w:r>
      <w:r>
        <w:instrText>xe "</w:instrText>
      </w:r>
      <w:r>
        <w:rPr>
          <w:rStyle w:val="xeentry"/>
        </w:rPr>
        <w:instrText>disclaimers</w:instrText>
      </w:r>
      <w:r>
        <w:instrText>"</w:instrText>
      </w:r>
      <w:r>
        <w:rPr>
          <w:rStyle w:val="indexentry"/>
        </w:rPr>
        <w:fldChar w:fldCharType="end"/>
      </w:r>
      <w:r>
        <w:t>It is necessary to add, alas, that the examples used in this book do not</w:t>
      </w:r>
      <w:r>
        <w:rPr>
          <w:rStyle w:val="deletedparamark"/>
        </w:rPr>
        <w:t xml:space="preserve"> </w:t>
      </w:r>
      <w:r>
        <w:t>refer to any existing person, place, or institution, and that any such</w:t>
      </w:r>
      <w:r>
        <w:rPr>
          <w:rStyle w:val="deletedparamark"/>
        </w:rPr>
        <w:t xml:space="preserve"> </w:t>
      </w:r>
      <w:r>
        <w:t>resemblance is entirely co</w:t>
      </w:r>
      <w:r>
        <w:softHyphen/>
        <w:t>inci</w:t>
      </w:r>
      <w:r>
        <w:softHyphen/>
        <w:t>dental and uninten</w:t>
      </w:r>
      <w:r>
        <w:softHyphen/>
        <w:t>tional, and not intended</w:t>
      </w:r>
      <w:r>
        <w:rPr>
          <w:rStyle w:val="deletedparamark"/>
        </w:rPr>
        <w:t xml:space="preserve"> </w:t>
      </w:r>
      <w:r>
        <w:t>to give offense.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"dictionary, superior authority of"&gt;</w:t>
      </w:r>
      <w:r>
        <w:rPr>
          <w:rStyle w:val="indexentry"/>
        </w:rPr>
        <w:fldChar w:fldCharType="begin"/>
      </w:r>
      <w:r>
        <w:instrText>xe "</w:instrText>
      </w:r>
      <w:r>
        <w:rPr>
          <w:rStyle w:val="xeentry"/>
        </w:rPr>
        <w:instrText>dictionary: superior authority of</w:instrText>
      </w:r>
      <w:r>
        <w:instrText>"</w:instrText>
      </w:r>
      <w:r>
        <w:rPr>
          <w:rStyle w:val="indexentry"/>
        </w:rPr>
        <w:fldChar w:fldCharType="end"/>
      </w:r>
      <w:r>
        <w:t>When definitions and place structures of gismu, and espe</w:t>
      </w:r>
      <w:r>
        <w:softHyphen/>
        <w:t>cially of lujvo,</w:t>
      </w:r>
      <w:r>
        <w:rPr>
          <w:rStyle w:val="deletedparamark"/>
        </w:rPr>
        <w:t xml:space="preserve"> </w:t>
      </w:r>
      <w:r>
        <w:t>are given in this book, they may differ from those given in the</w:t>
      </w:r>
      <w:r>
        <w:rPr>
          <w:rStyle w:val="deletedparamark"/>
        </w:rPr>
        <w:t xml:space="preserve"> Lojban/English</w:t>
      </w:r>
      <w:r>
        <w:t xml:space="preserve"> dictionary (which, as of this writing, is not yet published).</w:t>
      </w:r>
      <w:r>
        <w:rPr>
          <w:rStyle w:val="deletedparamark"/>
        </w:rPr>
        <w:t xml:space="preserve"> </w:t>
      </w:r>
      <w:r>
        <w:t>If so, the information given in the dic</w:t>
      </w:r>
      <w:r>
        <w:softHyphen/>
        <w:t>tionary super</w:t>
      </w:r>
      <w:r>
        <w:softHyphen/>
        <w:t>sedes whatever is</w:t>
      </w:r>
      <w:r>
        <w:rPr>
          <w:rStyle w:val="deletedparamark"/>
        </w:rPr>
        <w:t xml:space="preserve"> </w:t>
      </w:r>
      <w:r>
        <w:t>given here.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36" w:name="_Toc395691459"/>
      <w:bookmarkStart w:id="37" w:name="_Toc395691653"/>
      <w:bookmarkStart w:id="38" w:name="_Toc398970431"/>
      <w:r>
        <w:rPr>
          <w:rStyle w:val="Heading3Text"/>
        </w:rPr>
        <w:t>Acknowledgements and Credits</w:t>
      </w:r>
      <w:bookmarkEnd w:id="36"/>
      <w:bookmarkEnd w:id="37"/>
      <w:bookmarkEnd w:id="3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"author of this book"&gt;</w:t>
      </w:r>
      <w:r>
        <w:rPr>
          <w:rStyle w:val="indexentry"/>
        </w:rPr>
        <w:fldChar w:fldCharType="begin"/>
      </w:r>
      <w:r>
        <w:instrText>xe "</w:instrText>
      </w:r>
      <w:r>
        <w:rPr>
          <w:rStyle w:val="xeentry"/>
        </w:rPr>
        <w:instrText>author of this book</w:instrText>
      </w:r>
      <w:r>
        <w:instrText>"</w:instrText>
      </w:r>
      <w:r>
        <w:rPr>
          <w:rStyle w:val="indexentry"/>
        </w:rPr>
        <w:fldChar w:fldCharType="end"/>
      </w:r>
      <w:r>
        <w:rPr>
          <w:rStyle w:val="indexentry"/>
        </w:rPr>
        <w:t>&lt;cx "this book, author of"&gt;</w:t>
      </w:r>
      <w:r>
        <w:rPr>
          <w:rStyle w:val="indexentry"/>
        </w:rPr>
        <w:fldChar w:fldCharType="begin"/>
      </w:r>
      <w:r>
        <w:instrText>xe "</w:instrText>
      </w:r>
      <w:r>
        <w:rPr>
          <w:rStyle w:val="xeentry"/>
        </w:rPr>
        <w:instrText>this book: author of</w:instrText>
      </w:r>
      <w:r>
        <w:instrText>"</w:instrText>
      </w:r>
      <w:r>
        <w:rPr>
          <w:rStyle w:val="indexentry"/>
        </w:rPr>
        <w:fldChar w:fldCharType="end"/>
      </w:r>
      <w:r>
        <w:rPr>
          <w:rStyle w:val="indexentry"/>
        </w:rPr>
        <w:t>&lt;cx "LLG"&gt;</w:t>
      </w:r>
      <w:r>
        <w:rPr>
          <w:rStyle w:val="indexentry"/>
        </w:rPr>
        <w:fldChar w:fldCharType="begin"/>
      </w:r>
      <w:r>
        <w:instrText>xe "</w:instrText>
      </w:r>
      <w:r>
        <w:rPr>
          <w:rStyle w:val="xeentry"/>
        </w:rPr>
        <w:instrText>LLG</w:instrText>
      </w:r>
      <w:r>
        <w:instrText>"</w:instrText>
      </w:r>
      <w:r>
        <w:rPr>
          <w:rStyle w:val="indexentry"/>
        </w:rPr>
        <w:fldChar w:fldCharType="end"/>
      </w:r>
      <w:r>
        <w:t>Although the bulk of this book was written for the Logical Language Group</w:t>
      </w:r>
      <w:r>
        <w:rPr>
          <w:rStyle w:val="deletedparamark"/>
        </w:rPr>
        <w:t xml:space="preserve"> </w:t>
      </w:r>
      <w:r>
        <w:t>(LLG) by John Cowan, who is represented by the occasional authorial “I”,</w:t>
      </w:r>
      <w:r>
        <w:rPr>
          <w:rStyle w:val="deletedparamark"/>
        </w:rPr>
        <w:t xml:space="preserve"> </w:t>
      </w:r>
      <w:r>
        <w:t>certain chapters were first written by others and then heavily edited by</w:t>
      </w:r>
      <w:r>
        <w:rPr>
          <w:rStyle w:val="deletedparamark"/>
        </w:rPr>
        <w:t xml:space="preserve"> </w:t>
      </w:r>
      <w:r>
        <w:t>me to fit into this book.</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"contributors to this book"&gt;</w:t>
      </w:r>
      <w:r>
        <w:rPr>
          <w:rStyle w:val="indexentry"/>
        </w:rPr>
        <w:fldChar w:fldCharType="begin"/>
      </w:r>
      <w:r>
        <w:instrText>xe "</w:instrText>
      </w:r>
      <w:r>
        <w:rPr>
          <w:rStyle w:val="xeentry"/>
        </w:rPr>
        <w:instrText>contributors to this book</w:instrText>
      </w:r>
      <w:r>
        <w:instrText>"</w:instrText>
      </w:r>
      <w:r>
        <w:rPr>
          <w:rStyle w:val="indexentry"/>
        </w:rPr>
        <w:fldChar w:fldCharType="end"/>
      </w:r>
      <w:r>
        <w:rPr>
          <w:rStyle w:val="indexentry"/>
        </w:rPr>
        <w:t>&lt;cx "this book, contributors to"&gt;</w:t>
      </w:r>
      <w:r>
        <w:rPr>
          <w:rStyle w:val="indexentry"/>
        </w:rPr>
        <w:fldChar w:fldCharType="begin"/>
      </w:r>
      <w:r>
        <w:instrText>xe "</w:instrText>
      </w:r>
      <w:r>
        <w:rPr>
          <w:rStyle w:val="xeentry"/>
        </w:rPr>
        <w:instrText>this book: contributors to</w:instrText>
      </w:r>
      <w:r>
        <w:instrText>"</w:instrText>
      </w:r>
      <w:r>
        <w:rPr>
          <w:rStyle w:val="indexentry"/>
        </w:rPr>
        <w:fldChar w:fldCharType="end"/>
      </w:r>
      <w:r>
        <w:t xml:space="preserve">In particular: </w:t>
      </w:r>
      <w:r>
        <w:rPr>
          <w:rStyle w:val="htmlcodes"/>
        </w:rPr>
        <w:t>&lt;a href=chap2.html&gt;</w:t>
      </w:r>
      <w:r>
        <w:t xml:space="preserve">Chapter 2 </w:t>
      </w:r>
      <w:r>
        <w:rPr>
          <w:rStyle w:val="htmlcodes"/>
        </w:rPr>
        <w:t>&lt;/a&gt;</w:t>
      </w:r>
      <w:r>
        <w:t>is a fusion of originally separate documents,</w:t>
      </w:r>
      <w:r>
        <w:rPr>
          <w:rStyle w:val="deletedparamark"/>
        </w:rPr>
        <w:t xml:space="preserve"> </w:t>
      </w:r>
      <w:r>
        <w:t>one by Athel</w:t>
      </w:r>
      <w:r>
        <w:softHyphen/>
        <w:t>stan, and one by Nora Tansky LeCheva</w:t>
      </w:r>
      <w:r>
        <w:softHyphen/>
        <w:t>lier and Bob LeChevalier;</w:t>
      </w:r>
      <w:r>
        <w:rPr>
          <w:rStyle w:val="deletedparamark"/>
        </w:rPr>
        <w:t xml:space="preserve"> </w:t>
      </w:r>
      <w:r>
        <w:rPr>
          <w:rStyle w:val="htmlcodes"/>
        </w:rPr>
        <w:t>&lt;a href=chap3.html&gt;</w:t>
      </w:r>
      <w:r>
        <w:t xml:space="preserve">Chapters 3 </w:t>
      </w:r>
      <w:r>
        <w:rPr>
          <w:rStyle w:val="htmlcodes"/>
        </w:rPr>
        <w:t>&lt;/a&gt;</w:t>
      </w:r>
      <w:r>
        <w:t xml:space="preserve">and </w:t>
      </w:r>
      <w:r>
        <w:rPr>
          <w:rStyle w:val="htmlcodes"/>
        </w:rPr>
        <w:t>&lt;a href=chap4.html&gt;</w:t>
      </w:r>
      <w:r>
        <w:t xml:space="preserve">4 </w:t>
      </w:r>
      <w:r>
        <w:rPr>
          <w:rStyle w:val="htmlcodes"/>
        </w:rPr>
        <w:t>&lt;/a&gt;</w:t>
      </w:r>
      <w:r>
        <w:t>were originally written by Bob LeChevalier with contributions</w:t>
      </w:r>
      <w:r>
        <w:rPr>
          <w:rStyle w:val="deletedparamark"/>
        </w:rPr>
        <w:t xml:space="preserve"> </w:t>
      </w:r>
      <w:r>
        <w:t xml:space="preserve">by Chuck Barton; </w:t>
      </w:r>
      <w:r>
        <w:rPr>
          <w:rStyle w:val="htmlcodes"/>
        </w:rPr>
        <w:t>&lt;a href=chap12.html&gt;</w:t>
      </w:r>
      <w:r>
        <w:t xml:space="preserve">Chapter 12 </w:t>
      </w:r>
      <w:r>
        <w:rPr>
          <w:rStyle w:val="htmlcodes"/>
        </w:rPr>
        <w:t>&lt;/a&gt;</w:t>
      </w:r>
      <w:r>
        <w:t>was originally written (in much longer form) by</w:t>
      </w:r>
      <w:r>
        <w:rPr>
          <w:rStyle w:val="deletedparamark"/>
        </w:rPr>
        <w:t xml:space="preserve"> </w:t>
      </w:r>
      <w:r>
        <w:t xml:space="preserve">Nick Nicholas; the dialogue near the end of </w:t>
      </w:r>
      <w:r>
        <w:rPr>
          <w:rStyle w:val="htmlcodes"/>
        </w:rPr>
        <w:t>&lt;a href=chap13.html&gt;</w:t>
      </w:r>
      <w:r>
        <w:t xml:space="preserve">Chapter 13 </w:t>
      </w:r>
      <w:r>
        <w:rPr>
          <w:rStyle w:val="htmlcodes"/>
        </w:rPr>
        <w:t>&lt;/a&gt;</w:t>
      </w:r>
      <w:r>
        <w:t>was contributed by</w:t>
      </w:r>
      <w:r>
        <w:rPr>
          <w:rStyle w:val="deletedparamark"/>
        </w:rPr>
        <w:t xml:space="preserve"> </w:t>
      </w:r>
      <w:r>
        <w:t xml:space="preserve">Nora Tansky LeChevalier; </w:t>
      </w:r>
      <w:r>
        <w:rPr>
          <w:rStyle w:val="htmlcodes"/>
        </w:rPr>
        <w:t>&lt;a href=chap15.html&gt;</w:t>
      </w:r>
      <w:r>
        <w:t xml:space="preserve">Chapter 15 </w:t>
      </w:r>
      <w:r>
        <w:rPr>
          <w:rStyle w:val="htmlcodes"/>
        </w:rPr>
        <w:t>&lt;/a&gt;</w:t>
      </w:r>
      <w:r>
        <w:t xml:space="preserve">and parts of </w:t>
      </w:r>
      <w:r>
        <w:rPr>
          <w:rStyle w:val="htmlcodes"/>
        </w:rPr>
        <w:t>&lt;a href=chap16.html&gt;</w:t>
      </w:r>
      <w:r>
        <w:t xml:space="preserve">Chapter 16 </w:t>
      </w:r>
      <w:r>
        <w:rPr>
          <w:rStyle w:val="htmlcodes"/>
        </w:rPr>
        <w:t>&lt;/a&gt;</w:t>
      </w:r>
      <w:r>
        <w:t>were originally</w:t>
      </w:r>
      <w:r>
        <w:rPr>
          <w:rStyle w:val="deletedparamark"/>
        </w:rPr>
        <w:t xml:space="preserve"> </w:t>
      </w:r>
      <w:r>
        <w:t xml:space="preserve">by Bob LeChevalier; and the YACC grammar in </w:t>
      </w:r>
      <w:r>
        <w:rPr>
          <w:rStyle w:val="htmlcodes"/>
        </w:rPr>
        <w:t>&lt;a href=chap21.html&gt;</w:t>
      </w:r>
      <w:r>
        <w:t xml:space="preserve">Chapter 21 </w:t>
      </w:r>
      <w:r>
        <w:rPr>
          <w:rStyle w:val="htmlcodes"/>
        </w:rPr>
        <w:t>&lt;/a&gt;</w:t>
      </w:r>
      <w:r>
        <w:t>is the work of several</w:t>
      </w:r>
      <w:r>
        <w:rPr>
          <w:rStyle w:val="deletedparamark"/>
        </w:rPr>
        <w:t xml:space="preserve"> </w:t>
      </w:r>
      <w:r>
        <w:t>hands, but is primarily by Bob LeCheva</w:t>
      </w:r>
      <w:r>
        <w:softHyphen/>
        <w:t>lier and Jeff Taylor. The BNF grammar,</w:t>
      </w:r>
      <w:r>
        <w:rPr>
          <w:rStyle w:val="deletedparamark"/>
        </w:rPr>
        <w:t xml:space="preserve"> </w:t>
      </w:r>
      <w:r>
        <w:t xml:space="preserve">which is also in </w:t>
      </w:r>
      <w:r>
        <w:rPr>
          <w:rStyle w:val="htmlcodes"/>
        </w:rPr>
        <w:t>&lt;a href=chap21.html&gt;</w:t>
      </w:r>
      <w:r>
        <w:t>Chapter 21</w:t>
      </w:r>
      <w:r>
        <w:rPr>
          <w:rStyle w:val="htmlcodes"/>
        </w:rPr>
        <w:t>&lt;/a&gt;</w:t>
      </w:r>
      <w:r>
        <w:t>, was originally written by me, then rewritten by</w:t>
      </w:r>
      <w:r>
        <w:rPr>
          <w:rStyle w:val="deletedparamark"/>
        </w:rPr>
        <w:t xml:space="preserve"> </w:t>
      </w:r>
      <w:r>
        <w:t>Clark Nelson, and finally touched up by me again.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"credits for this book"&gt;</w:t>
      </w:r>
      <w:r>
        <w:rPr>
          <w:rStyle w:val="indexentry"/>
        </w:rPr>
        <w:fldChar w:fldCharType="begin"/>
      </w:r>
      <w:r>
        <w:instrText>xe "</w:instrText>
      </w:r>
      <w:r>
        <w:rPr>
          <w:rStyle w:val="xeentry"/>
        </w:rPr>
        <w:instrText>credits for this book</w:instrText>
      </w:r>
      <w:r>
        <w:instrText>"</w:instrText>
      </w:r>
      <w:r>
        <w:rPr>
          <w:rStyle w:val="indexentry"/>
        </w:rPr>
        <w:fldChar w:fldCharType="end"/>
      </w:r>
      <w:r>
        <w:rPr>
          <w:rStyle w:val="indexentry"/>
        </w:rPr>
        <w:t>&lt;cx "this book, credits for"&gt;</w:t>
      </w:r>
      <w:r>
        <w:rPr>
          <w:rStyle w:val="indexentry"/>
        </w:rPr>
        <w:fldChar w:fldCharType="begin"/>
      </w:r>
      <w:r>
        <w:instrText>xe "</w:instrText>
      </w:r>
      <w:r>
        <w:rPr>
          <w:rStyle w:val="xeentry"/>
        </w:rPr>
        <w:instrText>this book: credits for</w:instrText>
      </w:r>
      <w:r>
        <w:instrText>"</w:instrText>
      </w:r>
      <w:r>
        <w:rPr>
          <w:rStyle w:val="indexentry"/>
        </w:rPr>
        <w:fldChar w:fldCharType="end"/>
      </w:r>
      <w:r>
        <w:t>The research into natural languages from which parts</w:t>
      </w:r>
      <w:r>
        <w:rPr>
          <w:rStyle w:val="deletedparamark"/>
        </w:rPr>
        <w:t xml:space="preserve"> </w:t>
      </w:r>
      <w:r>
        <w:t xml:space="preserve">of </w:t>
      </w:r>
      <w:r>
        <w:rPr>
          <w:rStyle w:val="htmlcodes"/>
        </w:rPr>
        <w:t>&lt;a href=chap5.html&gt;</w:t>
      </w:r>
      <w:r>
        <w:t xml:space="preserve">Chapter 5 </w:t>
      </w:r>
      <w:r>
        <w:rPr>
          <w:rStyle w:val="htmlcodes"/>
        </w:rPr>
        <w:t>&lt;/a&gt;</w:t>
      </w:r>
      <w:r>
        <w:t>draw their mate</w:t>
      </w:r>
      <w:r>
        <w:softHyphen/>
        <w:t>rial was performed by Ivan Derzhanski.</w:t>
      </w:r>
      <w:r>
        <w:rPr>
          <w:rStyle w:val="deletedparamark"/>
        </w:rPr>
        <w:t xml:space="preserve"> </w:t>
      </w:r>
      <w:r>
        <w:t>LLG acknowledges his kind permission to use the fruits of his re</w:t>
      </w:r>
      <w:r>
        <w:softHyphen/>
        <w:t>search.</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"credits for pictures"&gt;</w:t>
      </w:r>
      <w:r>
        <w:rPr>
          <w:rStyle w:val="indexentry"/>
        </w:rPr>
        <w:fldChar w:fldCharType="begin"/>
      </w:r>
      <w:r>
        <w:instrText>xe "</w:instrText>
      </w:r>
      <w:r>
        <w:rPr>
          <w:rStyle w:val="xeentry"/>
        </w:rPr>
        <w:instrText>credits for pictures</w:instrText>
      </w:r>
      <w:r>
        <w:instrText>"</w:instrText>
      </w:r>
      <w:r>
        <w:rPr>
          <w:rStyle w:val="indexentry"/>
        </w:rPr>
        <w:fldChar w:fldCharType="end"/>
      </w:r>
      <w:r>
        <w:rPr>
          <w:rStyle w:val="indexentry"/>
        </w:rPr>
        <w:t>&lt;cx "pictures, credits for"&gt;</w:t>
      </w:r>
      <w:r>
        <w:rPr>
          <w:rStyle w:val="indexentry"/>
        </w:rPr>
        <w:fldChar w:fldCharType="begin"/>
      </w:r>
      <w:r>
        <w:instrText>xe "</w:instrText>
      </w:r>
      <w:r>
        <w:rPr>
          <w:rStyle w:val="xeentry"/>
        </w:rPr>
        <w:instrText>pictures: credits for</w:instrText>
      </w:r>
      <w:r>
        <w:instrText>"</w:instrText>
      </w:r>
      <w:r>
        <w:rPr>
          <w:rStyle w:val="indexentry"/>
        </w:rPr>
        <w:fldChar w:fldCharType="end"/>
      </w:r>
      <w:r>
        <w:t>The pictures in this book were drawn by Nora Tansky LeChevalier, except</w:t>
      </w:r>
      <w:r>
        <w:rPr>
          <w:rStyle w:val="deletedparamark"/>
        </w:rPr>
        <w:t xml:space="preserve"> </w:t>
      </w:r>
      <w:r>
        <w:t xml:space="preserve">for the picture appearing in </w:t>
      </w:r>
      <w:r>
        <w:rPr>
          <w:rStyle w:val="htmlcodes"/>
        </w:rPr>
        <w:t>&lt;a href=chap4.html&gt;</w:t>
      </w:r>
      <w:r>
        <w:t>Chapter 4</w:t>
      </w:r>
      <w:r>
        <w:rPr>
          <w:rStyle w:val="htmlcodes"/>
        </w:rPr>
        <w:t>&lt;/a&gt;</w:t>
      </w:r>
      <w:r>
        <w:t>, which is by Sylvia Rutiser Rissell.</w:t>
      </w:r>
    </w:p>
    <w:p w:rsidR="00B72047" w:rsidRDefault="00B72047">
      <w:pPr>
        <w:pStyle w:val="normalparagraph"/>
      </w:pPr>
      <w:r>
        <w:t>The index was made by Nora Tansky LeChevalier.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"reviewers of this book"&gt;</w:t>
      </w:r>
      <w:r>
        <w:rPr>
          <w:rStyle w:val="indexentry"/>
        </w:rPr>
        <w:fldChar w:fldCharType="begin"/>
      </w:r>
      <w:r>
        <w:instrText>xe "</w:instrText>
      </w:r>
      <w:r>
        <w:rPr>
          <w:rStyle w:val="xeentry"/>
        </w:rPr>
        <w:instrText>reviewers of this book</w:instrText>
      </w:r>
      <w:r>
        <w:instrText>"</w:instrText>
      </w:r>
      <w:r>
        <w:rPr>
          <w:rStyle w:val="indexentry"/>
        </w:rPr>
        <w:fldChar w:fldCharType="end"/>
      </w:r>
      <w:r>
        <w:rPr>
          <w:rStyle w:val="indexentry"/>
        </w:rPr>
        <w:t>&lt;cx "this book, reviewers of"&gt;</w:t>
      </w:r>
      <w:r>
        <w:rPr>
          <w:rStyle w:val="indexentry"/>
        </w:rPr>
        <w:fldChar w:fldCharType="begin"/>
      </w:r>
      <w:r>
        <w:instrText>xe "</w:instrText>
      </w:r>
      <w:r>
        <w:rPr>
          <w:rStyle w:val="xeentry"/>
        </w:rPr>
        <w:instrText>this book: reviewers of</w:instrText>
      </w:r>
      <w:r>
        <w:instrText>"</w:instrText>
      </w:r>
      <w:r>
        <w:rPr>
          <w:rStyle w:val="indexentry"/>
        </w:rPr>
        <w:fldChar w:fldCharType="end"/>
      </w:r>
      <w:r>
        <w:t>I would like to thank the following people for their de</w:t>
      </w:r>
      <w:r>
        <w:softHyphen/>
        <w:t>tailed reviews,</w:t>
      </w:r>
      <w:r>
        <w:rPr>
          <w:rStyle w:val="deletedparamark"/>
        </w:rPr>
        <w:t xml:space="preserve"> </w:t>
      </w:r>
      <w:r>
        <w:t>sugges</w:t>
      </w:r>
      <w:r>
        <w:softHyphen/>
        <w:t>tions, comments, and early detection of my em</w:t>
      </w:r>
      <w:r>
        <w:softHyphen/>
        <w:t>barrassing errors in</w:t>
      </w:r>
      <w:r>
        <w:rPr>
          <w:rStyle w:val="deletedparamark"/>
        </w:rPr>
        <w:t xml:space="preserve"> </w:t>
      </w:r>
      <w:r>
        <w:t>Lojban, logic, Eng</w:t>
      </w:r>
      <w:r>
        <w:softHyphen/>
        <w:t>lish, and cross-refer</w:t>
      </w:r>
      <w:r>
        <w:softHyphen/>
        <w:t>ences: Nick Nicholas, Mark Shoulson,</w:t>
      </w:r>
      <w:r>
        <w:rPr>
          <w:rStyle w:val="deletedparamark"/>
        </w:rPr>
        <w:t xml:space="preserve"> </w:t>
      </w:r>
      <w:r>
        <w:t>Veijo Vilva, Colin Fine, And Rosta, Jorge Llambias, Iain Alexander,</w:t>
      </w:r>
      <w:r>
        <w:rPr>
          <w:rStyle w:val="deletedparamark"/>
        </w:rPr>
        <w:t xml:space="preserve"> </w:t>
      </w:r>
      <w:r>
        <w:t>Paulo S. L. M. Barreto, Robert J. Chassell, Gale Cowan, Karen Stein, Ivan Derzhanski, Jim Carter,</w:t>
      </w:r>
      <w:r>
        <w:rPr>
          <w:rStyle w:val="deletedparamark"/>
        </w:rPr>
        <w:t xml:space="preserve"> </w:t>
      </w:r>
      <w:r>
        <w:t>Irene Gates, Bob LeChevalier, John Parks-Clif</w:t>
      </w:r>
      <w:r>
        <w:softHyphen/>
        <w:t>ford (also known as “pc”),</w:t>
      </w:r>
      <w:r>
        <w:rPr>
          <w:rStyle w:val="deletedparamark"/>
        </w:rPr>
        <w:t xml:space="preserve"> </w:t>
      </w:r>
      <w:r>
        <w:t>and Nora Tansky LeChevalier.</w:t>
      </w:r>
    </w:p>
    <w:p w:rsidR="00B72047" w:rsidRDefault="00B72047">
      <w:pPr>
        <w:pStyle w:val="normalparagraph"/>
        <w:rPr>
          <w:rStyle w:val="htmlparacode"/>
        </w:rPr>
      </w:pPr>
      <w:r>
        <w:rPr>
          <w:rStyle w:val="htmlparacode"/>
        </w:rPr>
        <w:t>&lt;p&gt;</w:t>
      </w:r>
    </w:p>
    <w:p w:rsidR="00B72047" w:rsidRDefault="00B72047">
      <w:pPr>
        <w:pStyle w:val="normalparagraph"/>
      </w:pPr>
      <w:r>
        <w:t>Nick Nicholas (NSN) would like to thank the following Loj</w:t>
      </w:r>
      <w:r>
        <w:softHyphen/>
        <w:t>banists:</w:t>
      </w:r>
      <w:r>
        <w:rPr>
          <w:rStyle w:val="deletedparamark"/>
        </w:rPr>
        <w:t xml:space="preserve"> </w:t>
      </w:r>
      <w:r>
        <w:t>Mark Shoulson, Veijo Vilva, Colin Fine, And Rosta, and Iain Alexander for</w:t>
      </w:r>
      <w:r>
        <w:rPr>
          <w:rStyle w:val="deletedparamark"/>
        </w:rPr>
        <w:t xml:space="preserve"> </w:t>
      </w:r>
      <w:r>
        <w:t>their suggestions and com</w:t>
      </w:r>
      <w:r>
        <w:softHyphen/>
        <w:t>ments; John Cowan, for his extensive comments, his</w:t>
      </w:r>
      <w:r>
        <w:rPr>
          <w:rStyle w:val="deletedparamark"/>
        </w:rPr>
        <w:t xml:space="preserve"> </w:t>
      </w:r>
      <w:r>
        <w:t>exemplary trailblazing of Lojban grammar, and for solving the “manskapi”</w:t>
      </w:r>
      <w:r>
        <w:rPr>
          <w:rStyle w:val="deletedparamark"/>
        </w:rPr>
        <w:t xml:space="preserve"> </w:t>
      </w:r>
      <w:r>
        <w:t>dilemma for NSN; Jorge Llambias, for his even more extensive comments, and</w:t>
      </w:r>
      <w:r>
        <w:rPr>
          <w:rStyle w:val="deletedparamark"/>
        </w:rPr>
        <w:t xml:space="preserve"> </w:t>
      </w:r>
      <w:r>
        <w:t>for forcing NSN to think more than he was in</w:t>
      </w:r>
      <w:r>
        <w:softHyphen/>
        <w:t>clined to; Bob LeChevalier, for</w:t>
      </w:r>
      <w:r>
        <w:rPr>
          <w:rStyle w:val="deletedparamark"/>
        </w:rPr>
        <w:t xml:space="preserve"> </w:t>
      </w:r>
      <w:r>
        <w:t>his skeptical overview of the issue, his encourage</w:t>
      </w:r>
      <w:r>
        <w:softHyphen/>
        <w:t>ment, and for scouring all</w:t>
      </w:r>
      <w:r>
        <w:rPr>
          <w:rStyle w:val="deletedparamark"/>
        </w:rPr>
        <w:t xml:space="preserve"> </w:t>
      </w:r>
      <w:r>
        <w:t>Lojban text his computer has been burdened with for lujvo; Nora Tansky</w:t>
      </w:r>
      <w:r>
        <w:rPr>
          <w:rStyle w:val="deletedparamark"/>
        </w:rPr>
        <w:t xml:space="preserve"> </w:t>
      </w:r>
      <w:r>
        <w:t>LeChevalier, for writing the program converting old rafsi text to new rafsi</w:t>
      </w:r>
      <w:r>
        <w:rPr>
          <w:rStyle w:val="deletedparamark"/>
        </w:rPr>
        <w:t xml:space="preserve"> </w:t>
      </w:r>
      <w:r>
        <w:t>text, and spar</w:t>
      </w:r>
      <w:r>
        <w:softHyphen/>
        <w:t>ing NSN from embar</w:t>
      </w:r>
      <w:r>
        <w:softHyphen/>
        <w:t>rass</w:t>
      </w:r>
      <w:r>
        <w:softHyphen/>
        <w:t>ing errors; and Jim Carter, for his</w:t>
      </w:r>
      <w:r>
        <w:rPr>
          <w:rStyle w:val="deletedparamark"/>
        </w:rPr>
        <w:t xml:space="preserve"> </w:t>
      </w:r>
      <w:r>
        <w:t>dogged persis</w:t>
      </w:r>
      <w:r>
        <w:softHyphen/>
        <w:t>tence in ana</w:t>
      </w:r>
      <w:r>
        <w:softHyphen/>
        <w:t>lyz</w:t>
      </w:r>
      <w:r>
        <w:softHyphen/>
        <w:t>ing lujvo algorithmically, which inspired this</w:t>
      </w:r>
      <w:r>
        <w:rPr>
          <w:rStyle w:val="deletedparamark"/>
        </w:rPr>
        <w:t xml:space="preserve"> </w:t>
      </w:r>
      <w:r>
        <w:t>research, and for first identifying the three lujvo classes.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"Brown, James Cooke"&gt;</w:t>
      </w:r>
      <w:r>
        <w:rPr>
          <w:rStyle w:val="indexentry"/>
        </w:rPr>
        <w:fldChar w:fldCharType="begin"/>
      </w:r>
      <w:r>
        <w:instrText>xe "</w:instrText>
      </w:r>
      <w:r>
        <w:rPr>
          <w:rStyle w:val="xeentry"/>
        </w:rPr>
        <w:instrText>Brown: James Cooke</w:instrText>
      </w:r>
      <w:r>
        <w:instrText>"</w:instrText>
      </w:r>
      <w:r>
        <w:rPr>
          <w:rStyle w:val="indexentry"/>
        </w:rPr>
        <w:fldChar w:fldCharType="end"/>
      </w:r>
      <w:r>
        <w:t>Of course, the entire Loglan Project owes a considerable debt to James</w:t>
      </w:r>
      <w:r>
        <w:rPr>
          <w:rStyle w:val="deletedparamark"/>
        </w:rPr>
        <w:t xml:space="preserve"> </w:t>
      </w:r>
      <w:r>
        <w:t>Cooke Brown as the language inventor, and also to several earlier</w:t>
      </w:r>
      <w:r>
        <w:rPr>
          <w:rStyle w:val="deletedparamark"/>
        </w:rPr>
        <w:t xml:space="preserve"> </w:t>
      </w:r>
      <w:r>
        <w:t>contributors to the develop</w:t>
      </w:r>
      <w:r>
        <w:softHyphen/>
        <w:t>ment of the language. Especially noteworthy</w:t>
      </w:r>
      <w:r>
        <w:rPr>
          <w:rStyle w:val="deletedparamark"/>
        </w:rPr>
        <w:t xml:space="preserve"> </w:t>
      </w:r>
      <w:r>
        <w:t>are Doug Landauer, Jeff Prothero, Scott Layson, Jeff Taylor, and Bob McIvor.</w:t>
      </w:r>
      <w:r>
        <w:rPr>
          <w:rStyle w:val="deletedparamark"/>
        </w:rPr>
        <w:t xml:space="preserve"> </w:t>
      </w:r>
      <w:r>
        <w:t>Final responsibility for the remaining errors and infelicities is</w:t>
      </w:r>
      <w:r>
        <w:rPr>
          <w:rStyle w:val="deletedparamark"/>
        </w:rPr>
        <w:t xml:space="preserve"> </w:t>
      </w:r>
      <w:r>
        <w:t>solely mine.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39" w:name="_Toc395691460"/>
      <w:bookmarkStart w:id="40" w:name="_Toc395691654"/>
      <w:bookmarkStart w:id="41" w:name="_Toc398970432"/>
      <w:r>
        <w:rPr>
          <w:rStyle w:val="Heading3Text"/>
        </w:rPr>
        <w:t>Informal Bibliography</w:t>
      </w:r>
      <w:bookmarkEnd w:id="39"/>
      <w:bookmarkEnd w:id="40"/>
      <w:bookmarkEnd w:id="4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"bibliography"&gt;</w:t>
      </w:r>
      <w:r>
        <w:rPr>
          <w:rStyle w:val="indexentry"/>
        </w:rPr>
        <w:fldChar w:fldCharType="begin"/>
      </w:r>
      <w:r>
        <w:instrText>xe "</w:instrText>
      </w:r>
      <w:r>
        <w:rPr>
          <w:rStyle w:val="xeentry"/>
        </w:rPr>
        <w:instrText>bibliography</w:instrText>
      </w:r>
      <w:r>
        <w:instrText>"</w:instrText>
      </w:r>
      <w:r>
        <w:rPr>
          <w:rStyle w:val="indexentry"/>
        </w:rPr>
        <w:fldChar w:fldCharType="end"/>
      </w:r>
      <w:r>
        <w:rPr>
          <w:rStyle w:val="indexentry"/>
        </w:rPr>
        <w:t>&lt;cx "Loglan"&gt;</w:t>
      </w:r>
      <w:r>
        <w:rPr>
          <w:rStyle w:val="indexentry"/>
        </w:rPr>
        <w:fldChar w:fldCharType="begin"/>
      </w:r>
      <w:r>
        <w:instrText>xe "</w:instrText>
      </w:r>
      <w:r>
        <w:rPr>
          <w:rStyle w:val="xeentry"/>
        </w:rPr>
        <w:instrText>Loglan</w:instrText>
      </w:r>
      <w:r>
        <w:instrText>"</w:instrText>
      </w:r>
      <w:r>
        <w:rPr>
          <w:rStyle w:val="indexentry"/>
        </w:rPr>
        <w:fldChar w:fldCharType="end"/>
      </w:r>
      <w:r>
        <w:t>The founding document for the Loglan Project, of which this book is one</w:t>
      </w:r>
      <w:r>
        <w:rPr>
          <w:rStyle w:val="deletedparamark"/>
        </w:rPr>
        <w:t xml:space="preserve"> </w:t>
      </w:r>
      <w:r>
        <w:t xml:space="preserve">of the products, is </w:t>
      </w:r>
      <w:r>
        <w:rPr>
          <w:rStyle w:val="htmlcodes"/>
        </w:rPr>
        <w:t>&lt;cite&gt;</w:t>
      </w:r>
      <w:r>
        <w:rPr>
          <w:rStyle w:val="cite"/>
        </w:rPr>
        <w:t xml:space="preserve">Loglan 1: A Logical Language </w:t>
      </w:r>
      <w:r>
        <w:rPr>
          <w:rStyle w:val="htmlcodes"/>
        </w:rPr>
        <w:t>&lt;/cite&gt;</w:t>
      </w:r>
      <w:r>
        <w:t>by James Cooke</w:t>
      </w:r>
      <w:r>
        <w:rPr>
          <w:rStyle w:val="deletedparamark"/>
        </w:rPr>
        <w:t xml:space="preserve"> </w:t>
      </w:r>
      <w:r>
        <w:t>Brown (4th ed. 1989, The Loglan Institute, Gainesville, Florida, U.S.A.)</w:t>
      </w:r>
      <w:r>
        <w:rPr>
          <w:rStyle w:val="deletedparamark"/>
        </w:rPr>
        <w:t xml:space="preserve"> </w:t>
      </w:r>
      <w:r>
        <w:t>The language described therein is not Loj</w:t>
      </w:r>
      <w:r>
        <w:softHyphen/>
        <w:t>ban, but is very close to it and</w:t>
      </w:r>
      <w:r>
        <w:rPr>
          <w:rStyle w:val="deletedparamark"/>
        </w:rPr>
        <w:t xml:space="preserve"> </w:t>
      </w:r>
      <w:r>
        <w:t>may be considered an ancestral version. It is regretta</w:t>
      </w:r>
      <w:r>
        <w:softHyphen/>
        <w:t>bly necessary to state</w:t>
      </w:r>
      <w:r>
        <w:rPr>
          <w:rStyle w:val="deletedparamark"/>
        </w:rPr>
        <w:t xml:space="preserve"> </w:t>
      </w:r>
      <w:r>
        <w:t>that nothing in this book has been approved by Dr. Brown, and that the very</w:t>
      </w:r>
      <w:r>
        <w:rPr>
          <w:rStyle w:val="deletedparamark"/>
        </w:rPr>
        <w:t xml:space="preserve"> </w:t>
      </w:r>
      <w:r>
        <w:t>exis</w:t>
      </w:r>
      <w:r>
        <w:softHyphen/>
        <w:t>tence of Lojban is disapproved of by him.</w:t>
      </w:r>
    </w:p>
    <w:p w:rsidR="00B72047" w:rsidRDefault="00B72047">
      <w:pPr>
        <w:pStyle w:val="normalparagraph"/>
        <w:rPr>
          <w:rStyle w:val="htmlparacode"/>
        </w:rPr>
      </w:pPr>
      <w:r>
        <w:rPr>
          <w:rStyle w:val="htmlparacode"/>
        </w:rPr>
        <w:t>&lt;p&gt;</w:t>
      </w:r>
    </w:p>
    <w:p w:rsidR="00B72047" w:rsidRDefault="00B72047">
      <w:pPr>
        <w:pStyle w:val="normalparagraph"/>
      </w:pPr>
      <w:r>
        <w:t>The logic of Lojban, such as it is, owes a good deal to the American</w:t>
      </w:r>
      <w:r>
        <w:rPr>
          <w:rStyle w:val="deletedparamark"/>
        </w:rPr>
        <w:t xml:space="preserve"> </w:t>
      </w:r>
      <w:r>
        <w:t>philoso</w:t>
      </w:r>
      <w:r>
        <w:softHyphen/>
        <w:t xml:space="preserve">pher W. v.O. Quine, especially </w:t>
      </w:r>
      <w:r>
        <w:rPr>
          <w:rStyle w:val="htmlcodes"/>
        </w:rPr>
        <w:t>&lt;cite&gt;</w:t>
      </w:r>
      <w:r>
        <w:rPr>
          <w:rStyle w:val="cite"/>
        </w:rPr>
        <w:t xml:space="preserve">Word and Object </w:t>
      </w:r>
      <w:r>
        <w:rPr>
          <w:rStyle w:val="htmlcodes"/>
        </w:rPr>
        <w:t>&lt;/cite&gt;</w:t>
      </w:r>
      <w:r>
        <w:t>(1960, M.I.T.</w:t>
      </w:r>
      <w:r>
        <w:rPr>
          <w:rStyle w:val="deletedparamark"/>
        </w:rPr>
        <w:t xml:space="preserve"> </w:t>
      </w:r>
      <w:r>
        <w:t>Press). Much of Quine's philo</w:t>
      </w:r>
      <w:r>
        <w:softHyphen/>
        <w:t>sophical writ</w:t>
      </w:r>
      <w:r>
        <w:softHyphen/>
        <w:t>ings, es</w:t>
      </w:r>
      <w:r>
        <w:softHyphen/>
        <w:t>pecially on observation</w:t>
      </w:r>
      <w:r>
        <w:rPr>
          <w:rStyle w:val="deletedparamark"/>
        </w:rPr>
        <w:t xml:space="preserve"> </w:t>
      </w:r>
      <w:r>
        <w:t>sentences, reads like a literal transla</w:t>
      </w:r>
      <w:r>
        <w:softHyphen/>
        <w:t>tion from Lojban.</w:t>
      </w:r>
    </w:p>
    <w:p w:rsidR="00B72047" w:rsidRDefault="00B72047">
      <w:pPr>
        <w:pStyle w:val="normalparagraph"/>
        <w:rPr>
          <w:rStyle w:val="htmlparacode"/>
        </w:rPr>
      </w:pPr>
      <w:r>
        <w:rPr>
          <w:rStyle w:val="htmlparacode"/>
        </w:rPr>
        <w:t>&lt;p&gt;</w:t>
      </w:r>
    </w:p>
    <w:p w:rsidR="00B72047" w:rsidRDefault="00B72047">
      <w:pPr>
        <w:pStyle w:val="normalparagraph"/>
      </w:pPr>
      <w:r>
        <w:t xml:space="preserve">The theory of negation expounded in </w:t>
      </w:r>
      <w:r>
        <w:rPr>
          <w:rStyle w:val="htmlcodes"/>
        </w:rPr>
        <w:t>&lt;a href=chap15.html&gt;</w:t>
      </w:r>
      <w:r>
        <w:t xml:space="preserve">Chapter 15 </w:t>
      </w:r>
      <w:r>
        <w:rPr>
          <w:rStyle w:val="htmlcodes"/>
        </w:rPr>
        <w:t>&lt;/a&gt;</w:t>
      </w:r>
      <w:r>
        <w:t>is de</w:t>
      </w:r>
      <w:r>
        <w:softHyphen/>
        <w:t>rived from a reading of</w:t>
      </w:r>
      <w:r>
        <w:rPr>
          <w:rStyle w:val="deletedparamark"/>
        </w:rPr>
        <w:t xml:space="preserve"> </w:t>
      </w:r>
      <w:r>
        <w:t xml:space="preserve">Larry Horn's work </w:t>
      </w:r>
      <w:r>
        <w:rPr>
          <w:rStyle w:val="htmlcodes"/>
        </w:rPr>
        <w:t>&lt;cite&gt;</w:t>
      </w:r>
      <w:r>
        <w:rPr>
          <w:rStyle w:val="cite"/>
        </w:rPr>
        <w:t>The Natural History of Negation</w:t>
      </w:r>
      <w:r>
        <w:rPr>
          <w:rStyle w:val="htmlcodes"/>
        </w:rPr>
        <w:t>&lt;/cite&gt;</w:t>
      </w:r>
      <w:r>
        <w:t>.</w:t>
      </w:r>
    </w:p>
    <w:p w:rsidR="00B72047" w:rsidRDefault="00B72047">
      <w:pPr>
        <w:pStyle w:val="normalparagraph"/>
        <w:rPr>
          <w:rStyle w:val="htmlparacode"/>
        </w:rPr>
      </w:pPr>
      <w:r>
        <w:rPr>
          <w:rStyle w:val="htmlparacode"/>
        </w:rPr>
        <w:t>&lt;p&gt;</w:t>
      </w:r>
    </w:p>
    <w:p w:rsidR="00B72047" w:rsidRDefault="00B72047">
      <w:pPr>
        <w:pStyle w:val="normalparagraph"/>
      </w:pPr>
      <w:r>
        <w:t>Of course, neither Brown nor Quine nor Horn is in any way responsible for</w:t>
      </w:r>
      <w:r>
        <w:rPr>
          <w:rStyle w:val="deletedparamark"/>
        </w:rPr>
        <w:t xml:space="preserve"> </w:t>
      </w:r>
      <w:r>
        <w:t>the uses or misuses I have made of their works.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"books about Lojban"&gt;</w:t>
      </w:r>
      <w:r>
        <w:rPr>
          <w:rStyle w:val="indexentry"/>
        </w:rPr>
        <w:fldChar w:fldCharType="begin"/>
      </w:r>
      <w:r>
        <w:instrText>xe "</w:instrText>
      </w:r>
      <w:r>
        <w:rPr>
          <w:rStyle w:val="xeentry"/>
        </w:rPr>
        <w:instrText>books about Lojban</w:instrText>
      </w:r>
      <w:r>
        <w:instrText>"</w:instrText>
      </w:r>
      <w:r>
        <w:rPr>
          <w:rStyle w:val="indexentry"/>
        </w:rPr>
        <w:fldChar w:fldCharType="end"/>
      </w:r>
      <w:r>
        <w:t>Depending on just when you are reading this book, there may be three</w:t>
      </w:r>
      <w:r>
        <w:rPr>
          <w:rStyle w:val="deletedparamark"/>
        </w:rPr>
        <w:t xml:space="preserve"> </w:t>
      </w:r>
      <w:r>
        <w:t>other books about Lojban available: a textbook, a Lojban/English dictionary,</w:t>
      </w:r>
      <w:r>
        <w:rPr>
          <w:rStyle w:val="deletedparamark"/>
        </w:rPr>
        <w:t xml:space="preserve"> </w:t>
      </w:r>
      <w:r>
        <w:t>and a book containing general informa</w:t>
      </w:r>
      <w:r>
        <w:softHyphen/>
        <w:t>tion about Lojban. You can probably</w:t>
      </w:r>
      <w:r>
        <w:rPr>
          <w:rStyle w:val="deletedparamark"/>
        </w:rPr>
        <w:t xml:space="preserve"> </w:t>
      </w:r>
      <w:r>
        <w:t>get these books, if they have been published, from the same place where</w:t>
      </w:r>
      <w:r>
        <w:rPr>
          <w:rStyle w:val="deletedparamark"/>
        </w:rPr>
        <w:t xml:space="preserve"> </w:t>
      </w:r>
      <w:r>
        <w:t>you got this book. In addition, other books not yet foreseen may also</w:t>
      </w:r>
      <w:r>
        <w:rPr>
          <w:rStyle w:val="deletedparamark"/>
        </w:rPr>
        <w:t xml:space="preserve"> </w:t>
      </w:r>
      <w:r>
        <w:t>exist.</w:t>
      </w:r>
    </w:p>
    <w:p w:rsidR="00B72047" w:rsidRDefault="00B72047">
      <w:pPr>
        <w:rPr>
          <w:rStyle w:val="htmlparacode"/>
        </w:rPr>
      </w:pPr>
      <w:r>
        <w:rPr>
          <w:rStyle w:val="htmlparacode"/>
        </w:rPr>
        <w:t>&lt;p&gt;</w:t>
      </w:r>
    </w:p>
    <w:p w:rsidR="00B72047" w:rsidRDefault="00B72047">
      <w:pPr>
        <w:pStyle w:val="Heading3"/>
        <w:rPr>
          <w:rStyle w:val="Heading3Text"/>
        </w:rPr>
      </w:pPr>
      <w:bookmarkStart w:id="42" w:name="_Toc395691461"/>
      <w:bookmarkStart w:id="43" w:name="_Toc395691655"/>
      <w:bookmarkStart w:id="44" w:name="_Toc398970433"/>
      <w:r>
        <w:rPr>
          <w:rStyle w:val="Heading3Text"/>
        </w:rPr>
        <w:t>Captions to Pictures</w:t>
      </w:r>
      <w:bookmarkEnd w:id="42"/>
      <w:bookmarkEnd w:id="43"/>
      <w:bookmarkEnd w:id="44"/>
      <w:r>
        <w:rPr>
          <w:rStyle w:val="htmlcodes"/>
        </w:rPr>
        <w:t>&lt;/h3&gt;</w:t>
      </w:r>
    </w:p>
    <w:p w:rsidR="00B72047" w:rsidRDefault="00B72047">
      <w:pPr>
        <w:rPr>
          <w:rStyle w:val="htmlparacode"/>
        </w:rPr>
      </w:pPr>
      <w:r>
        <w:rPr>
          <w:rStyle w:val="htmlparacode"/>
        </w:rPr>
        <w:t>&lt;p&gt;</w:t>
      </w:r>
      <w:r>
        <w:rPr>
          <w:rStyle w:val="indexentry"/>
        </w:rPr>
        <w:t>&lt;cx "captions to pictures"&gt;</w:t>
      </w:r>
      <w:r>
        <w:rPr>
          <w:rStyle w:val="indexentry"/>
        </w:rPr>
        <w:fldChar w:fldCharType="begin"/>
      </w:r>
      <w:r>
        <w:instrText>xe "</w:instrText>
      </w:r>
      <w:r>
        <w:rPr>
          <w:rStyle w:val="xeentry"/>
        </w:rPr>
        <w:instrText>captions to pictures</w:instrText>
      </w:r>
      <w:r>
        <w:instrText>"</w:instrText>
      </w:r>
      <w:r>
        <w:rPr>
          <w:rStyle w:val="indexentry"/>
        </w:rPr>
        <w:fldChar w:fldCharType="end"/>
      </w:r>
      <w:r>
        <w:rPr>
          <w:rStyle w:val="indexentry"/>
        </w:rPr>
        <w:t>&lt;cx "pictures, captions to"&gt;</w:t>
      </w:r>
      <w:r>
        <w:rPr>
          <w:rStyle w:val="indexentry"/>
        </w:rPr>
        <w:fldChar w:fldCharType="begin"/>
      </w:r>
      <w:r>
        <w:instrText>xe "</w:instrText>
      </w:r>
      <w:r>
        <w:rPr>
          <w:rStyle w:val="xeentry"/>
        </w:rPr>
        <w:instrText>pictures: captions to</w:instrText>
      </w:r>
      <w:r>
        <w:instrText>"</w:instrText>
      </w:r>
      <w:r>
        <w:rPr>
          <w:rStyle w:val="indexentry"/>
        </w:rPr>
        <w:fldChar w:fldCharType="end"/>
      </w:r>
      <w:r>
        <w:rPr>
          <w:rStyle w:val="htmlcodes"/>
        </w:rPr>
        <w:t>&lt;a name=s7&gt;&lt;h3&gt;</w:t>
      </w:r>
    </w:p>
    <w:p w:rsidR="00B72047" w:rsidRDefault="00B72047">
      <w:pPr>
        <w:pStyle w:val="normalparagraph"/>
      </w:pPr>
      <w:r>
        <w:t>The following examples list the Lojban caption, with a translation, for</w:t>
      </w:r>
      <w:r>
        <w:rPr>
          <w:rStyle w:val="deletedparamark"/>
        </w:rPr>
        <w:t xml:space="preserve"> </w:t>
      </w:r>
      <w:r>
        <w:t>the picture at the head of each chapter. If a chap</w:t>
      </w:r>
      <w:r>
        <w:softHyphen/>
        <w:t>ter's picture has</w:t>
      </w:r>
      <w:r>
        <w:rPr>
          <w:rStyle w:val="deletedparamark"/>
        </w:rPr>
        <w:t xml:space="preserve"> </w:t>
      </w:r>
      <w:r>
        <w:t>no caption, “(none)” is specified in</w:t>
      </w:r>
      <w:r>
        <w:softHyphen/>
        <w:t>stead.</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&lt;pre&gt;&lt;a name=e7d1&gt;</w:t>
      </w:r>
      <w:r>
        <w:t>7.1)</w:t>
      </w:r>
      <w:r>
        <w:tab/>
      </w:r>
      <w:r>
        <w:rPr>
          <w:rStyle w:val="htmlcodes"/>
        </w:rPr>
        <w:t>&lt;a href=chap1.gif&gt;</w:t>
      </w:r>
      <w:r>
        <w:t>coi lojban.</w:t>
      </w:r>
      <w:r>
        <w:tab/>
      </w:r>
      <w:r>
        <w:tab/>
        <w:t xml:space="preserve">coi rodo </w:t>
      </w:r>
      <w:r>
        <w:rPr>
          <w:rStyle w:val="htmlcodes"/>
        </w:rPr>
        <w:t>&lt;/a&gt;</w:t>
      </w:r>
    </w:p>
    <w:p w:rsidR="00B72047" w:rsidRDefault="00B72047">
      <w:pPr>
        <w:pStyle w:val="examplescaled"/>
      </w:pPr>
      <w:r>
        <w:tab/>
        <w:t>Greetings, O Lojban!</w:t>
      </w:r>
      <w:r>
        <w:tab/>
        <w:t>Greetings, all-of you</w:t>
      </w:r>
    </w:p>
    <w:p w:rsidR="00B72047" w:rsidRDefault="00B72047">
      <w:pPr>
        <w:pStyle w:val="examplescaledpre"/>
      </w:pPr>
      <w:r>
        <w:rPr>
          <w:rStyle w:val="htmlcodes"/>
        </w:rPr>
        <w:t>&lt;a name=e7d2&gt;</w:t>
      </w:r>
      <w:r>
        <w:t>7.2)</w:t>
      </w:r>
      <w:r>
        <w:tab/>
        <w:t>(none)</w:t>
      </w:r>
    </w:p>
    <w:p w:rsidR="00B72047" w:rsidRDefault="00B72047">
      <w:pPr>
        <w:pStyle w:val="examplescaledpre"/>
      </w:pPr>
      <w:r>
        <w:rPr>
          <w:rStyle w:val="htmlcodes"/>
        </w:rPr>
        <w:t>&lt;a name=e7d3&gt;</w:t>
      </w:r>
      <w:r>
        <w:t>7.3)</w:t>
      </w:r>
      <w:r>
        <w:tab/>
      </w:r>
      <w:r>
        <w:rPr>
          <w:rStyle w:val="htmlcodes"/>
        </w:rPr>
        <w:t>&lt;a href=chap3.gif&gt;</w:t>
      </w:r>
      <w:r>
        <w:t xml:space="preserve">.i .ai .i .ai .o </w:t>
      </w:r>
      <w:r>
        <w:rPr>
          <w:rStyle w:val="htmlcodes"/>
        </w:rPr>
        <w:t>&lt;/a&gt;</w:t>
      </w:r>
    </w:p>
    <w:p w:rsidR="00B72047" w:rsidRDefault="00B72047">
      <w:pPr>
        <w:pStyle w:val="examplescaled"/>
      </w:pPr>
      <w:r>
        <w:tab/>
        <w:t>[untranslatable]</w:t>
      </w:r>
    </w:p>
    <w:p w:rsidR="00B72047" w:rsidRDefault="00B72047">
      <w:pPr>
        <w:pStyle w:val="examplescaledpre"/>
      </w:pPr>
      <w:r>
        <w:rPr>
          <w:rStyle w:val="htmlcodes"/>
        </w:rPr>
        <w:t>&lt;a name=e7d4&gt;</w:t>
      </w:r>
      <w:r>
        <w:t>7.4)</w:t>
      </w:r>
      <w:r>
        <w:tab/>
      </w:r>
      <w:r>
        <w:rPr>
          <w:rStyle w:val="htmlcodes"/>
        </w:rPr>
        <w:t>&lt;a href=chap4.gif&gt;</w:t>
      </w:r>
      <w:r>
        <w:t xml:space="preserve">jbobliku </w:t>
      </w:r>
      <w:r>
        <w:rPr>
          <w:rStyle w:val="htmlcodes"/>
        </w:rPr>
        <w:t>&lt;/a&gt;</w:t>
      </w:r>
    </w:p>
    <w:p w:rsidR="00B72047" w:rsidRDefault="00B72047">
      <w:pPr>
        <w:pStyle w:val="examplescaled"/>
      </w:pPr>
      <w:r>
        <w:tab/>
        <w:t>Lojbanic-blocks</w:t>
      </w:r>
    </w:p>
    <w:p w:rsidR="00B72047" w:rsidRDefault="00B72047">
      <w:pPr>
        <w:pStyle w:val="examplescaledpre"/>
      </w:pPr>
      <w:r>
        <w:rPr>
          <w:rStyle w:val="htmlcodes"/>
        </w:rPr>
        <w:t>&lt;a name=e7d5&gt;</w:t>
      </w:r>
      <w:r>
        <w:t>7.5)</w:t>
      </w:r>
      <w:r>
        <w:tab/>
        <w:t>(none)</w:t>
      </w:r>
    </w:p>
    <w:p w:rsidR="00B72047" w:rsidRDefault="00B72047">
      <w:pPr>
        <w:pStyle w:val="examplescaledpre"/>
      </w:pPr>
      <w:r>
        <w:rPr>
          <w:rStyle w:val="htmlcodes"/>
        </w:rPr>
        <w:t>&lt;a name=e7d6&gt;</w:t>
      </w:r>
      <w:r>
        <w:t>7.6)</w:t>
      </w:r>
      <w:r>
        <w:tab/>
      </w:r>
      <w:r>
        <w:rPr>
          <w:rStyle w:val="htmlcodes"/>
        </w:rPr>
        <w:t>&lt;a href=chap6.gif&gt;</w:t>
      </w:r>
      <w:r>
        <w:t xml:space="preserve">lei re nanmu cu bevri le re nanmu </w:t>
      </w:r>
      <w:r>
        <w:rPr>
          <w:rStyle w:val="htmlcodes"/>
        </w:rPr>
        <w:t>&lt;/a&gt;</w:t>
      </w:r>
    </w:p>
    <w:p w:rsidR="00B72047" w:rsidRDefault="00B72047">
      <w:pPr>
        <w:pStyle w:val="examplescaled"/>
      </w:pPr>
      <w:r>
        <w:tab/>
        <w:t>The-mass-of two men carry the two men</w:t>
      </w:r>
    </w:p>
    <w:p w:rsidR="00B72047" w:rsidRDefault="00B72047">
      <w:pPr>
        <w:pStyle w:val="examplescaled"/>
      </w:pPr>
      <w:r>
        <w:tab/>
        <w:t>Two men (jointly) carry two men (both of them).</w:t>
      </w:r>
    </w:p>
    <w:p w:rsidR="00B72047" w:rsidRDefault="00B72047">
      <w:pPr>
        <w:pStyle w:val="examplescaledpre"/>
      </w:pPr>
      <w:r>
        <w:rPr>
          <w:rStyle w:val="htmlcodes"/>
        </w:rPr>
        <w:t>&lt;a name=e7d7&gt;</w:t>
      </w:r>
      <w:r>
        <w:t>7.7)</w:t>
      </w:r>
      <w:r>
        <w:tab/>
      </w:r>
      <w:r>
        <w:rPr>
          <w:rStyle w:val="htmlcodes"/>
        </w:rPr>
        <w:t>&lt;a href=chap7.gif&gt;</w:t>
      </w:r>
      <w:r>
        <w:t xml:space="preserve">ma drani danfu </w:t>
      </w:r>
      <w:r>
        <w:rPr>
          <w:rStyle w:val="htmlcodes"/>
        </w:rPr>
        <w:t>&lt;/a&gt;</w:t>
      </w:r>
    </w:p>
    <w:p w:rsidR="00B72047" w:rsidRDefault="00B72047">
      <w:pPr>
        <w:pStyle w:val="examplescaled"/>
      </w:pPr>
      <w:r>
        <w:tab/>
      </w:r>
      <w:r>
        <w:tab/>
        <w:t>.i di'e</w:t>
      </w:r>
    </w:p>
    <w:p w:rsidR="00B72047" w:rsidRDefault="00B72047">
      <w:pPr>
        <w:pStyle w:val="examplescaled"/>
      </w:pPr>
      <w:r>
        <w:tab/>
      </w:r>
      <w:r>
        <w:tab/>
        <w:t>.i di'u</w:t>
      </w:r>
    </w:p>
    <w:p w:rsidR="00B72047" w:rsidRDefault="00B72047">
      <w:pPr>
        <w:pStyle w:val="examplescaled"/>
      </w:pPr>
      <w:r>
        <w:tab/>
      </w:r>
      <w:r>
        <w:tab/>
        <w:t>.i dei</w:t>
      </w:r>
    </w:p>
    <w:p w:rsidR="00B72047" w:rsidRDefault="00B72047">
      <w:pPr>
        <w:pStyle w:val="examplescaled"/>
      </w:pPr>
      <w:r>
        <w:tab/>
      </w:r>
      <w:r>
        <w:tab/>
        <w:t>.i ri</w:t>
      </w:r>
    </w:p>
    <w:p w:rsidR="00B72047" w:rsidRDefault="00B72047">
      <w:pPr>
        <w:pStyle w:val="examplescaled"/>
      </w:pPr>
      <w:r>
        <w:tab/>
      </w:r>
      <w:r>
        <w:tab/>
        <w:t>.i do'i</w:t>
      </w:r>
    </w:p>
    <w:p w:rsidR="00B72047" w:rsidRDefault="00B72047">
      <w:pPr>
        <w:pStyle w:val="examplescaled"/>
      </w:pPr>
      <w:r>
        <w:tab/>
        <w:t>[What sumti] is-the-correct type-of-answer?</w:t>
      </w:r>
    </w:p>
    <w:p w:rsidR="00B72047" w:rsidRDefault="00B72047">
      <w:pPr>
        <w:pStyle w:val="examplescaled"/>
      </w:pPr>
      <w:r>
        <w:tab/>
      </w:r>
      <w:r>
        <w:tab/>
        <w:t>The-next-sentence.</w:t>
      </w:r>
    </w:p>
    <w:p w:rsidR="00B72047" w:rsidRDefault="00B72047">
      <w:pPr>
        <w:pStyle w:val="examplescaled"/>
      </w:pPr>
      <w:r>
        <w:tab/>
      </w:r>
      <w:r>
        <w:tab/>
        <w:t>The-previous-sentence.</w:t>
      </w:r>
    </w:p>
    <w:p w:rsidR="00B72047" w:rsidRDefault="00B72047">
      <w:pPr>
        <w:pStyle w:val="examplescaled"/>
      </w:pPr>
      <w:r>
        <w:tab/>
      </w:r>
      <w:r>
        <w:tab/>
        <w:t>This-sentence.</w:t>
      </w:r>
    </w:p>
    <w:p w:rsidR="00B72047" w:rsidRDefault="00B72047">
      <w:pPr>
        <w:pStyle w:val="examplescaled"/>
      </w:pPr>
      <w:r>
        <w:tab/>
      </w:r>
      <w:r>
        <w:tab/>
        <w:t>The-previous-sentence.</w:t>
      </w:r>
    </w:p>
    <w:p w:rsidR="00B72047" w:rsidRDefault="00B72047">
      <w:pPr>
        <w:pStyle w:val="examplescaled"/>
      </w:pPr>
      <w:r>
        <w:tab/>
      </w:r>
      <w:r>
        <w:tab/>
        <w:t>An-unspecified-utterance.</w:t>
      </w:r>
    </w:p>
    <w:p w:rsidR="00B72047" w:rsidRDefault="00B72047">
      <w:pPr>
        <w:pStyle w:val="examplescaledpre"/>
      </w:pPr>
      <w:r>
        <w:rPr>
          <w:rStyle w:val="htmlcodes"/>
        </w:rPr>
        <w:t>&lt;a name=e7d8&gt;</w:t>
      </w:r>
      <w:r>
        <w:t>7.8)</w:t>
      </w:r>
      <w:r>
        <w:tab/>
      </w:r>
      <w:r>
        <w:rPr>
          <w:rStyle w:val="htmlcodes"/>
        </w:rPr>
        <w:t>&lt;a href=chap8.gif&gt;</w:t>
      </w:r>
      <w:r>
        <w:t xml:space="preserve">ko viska re prenu poi bruna la santas. </w:t>
      </w:r>
      <w:r>
        <w:rPr>
          <w:rStyle w:val="htmlcodes"/>
        </w:rPr>
        <w:t>&lt;/a&gt;</w:t>
      </w:r>
    </w:p>
    <w:p w:rsidR="00B72047" w:rsidRDefault="00B72047">
      <w:pPr>
        <w:pStyle w:val="examplescaled"/>
      </w:pPr>
      <w:r>
        <w:tab/>
        <w:t>[You!] see two persons who-are brothers-of Santa.</w:t>
      </w:r>
    </w:p>
    <w:p w:rsidR="00B72047" w:rsidRDefault="00B72047">
      <w:pPr>
        <w:pStyle w:val="examplescaledpre"/>
      </w:pPr>
      <w:r>
        <w:rPr>
          <w:rStyle w:val="htmlcodes"/>
        </w:rPr>
        <w:t>&lt;a name=e7d9&gt;</w:t>
      </w:r>
      <w:r>
        <w:t>7.9)</w:t>
      </w:r>
      <w:r>
        <w:tab/>
        <w:t>(none)</w:t>
      </w:r>
    </w:p>
    <w:p w:rsidR="00B72047" w:rsidRDefault="00B72047">
      <w:pPr>
        <w:pStyle w:val="examplescaledpre"/>
      </w:pPr>
      <w:r>
        <w:rPr>
          <w:rStyle w:val="htmlcodes"/>
        </w:rPr>
        <w:t>&lt;a name=e7d10&gt;</w:t>
      </w:r>
      <w:r>
        <w:t>7.10)</w:t>
      </w:r>
      <w:r>
        <w:tab/>
      </w:r>
      <w:r>
        <w:rPr>
          <w:rStyle w:val="htmlcodes"/>
        </w:rPr>
        <w:t>&lt;a href=chap10.gif&gt;</w:t>
      </w:r>
      <w:r>
        <w:t xml:space="preserve">za'o klama </w:t>
      </w:r>
      <w:r>
        <w:rPr>
          <w:rStyle w:val="htmlcodes"/>
        </w:rPr>
        <w:t>&lt;/a&gt;</w:t>
      </w:r>
    </w:p>
    <w:p w:rsidR="00B72047" w:rsidRDefault="00B72047">
      <w:pPr>
        <w:pStyle w:val="examplescaled"/>
      </w:pPr>
      <w:r>
        <w:tab/>
        <w:t>[superfective] come/go</w:t>
      </w:r>
    </w:p>
    <w:p w:rsidR="00B72047" w:rsidRDefault="00B72047">
      <w:pPr>
        <w:pStyle w:val="examplescaled"/>
      </w:pPr>
      <w:r>
        <w:tab/>
        <w:t>Something goes (or comes) for too long.</w:t>
      </w:r>
    </w:p>
    <w:p w:rsidR="00B72047" w:rsidRDefault="00B72047">
      <w:pPr>
        <w:pStyle w:val="examplescaledpre"/>
      </w:pPr>
      <w:r>
        <w:rPr>
          <w:rStyle w:val="htmlcodes"/>
        </w:rPr>
        <w:t>&lt;a name=e7d11&gt;</w:t>
      </w:r>
      <w:r>
        <w:t>7.11)</w:t>
      </w:r>
      <w:r>
        <w:tab/>
      </w:r>
      <w:r>
        <w:rPr>
          <w:rStyle w:val="htmlcodes"/>
        </w:rPr>
        <w:t>&lt;a href=chap11.gif&gt;</w:t>
      </w:r>
      <w:r>
        <w:t xml:space="preserve">le si'o kunti </w:t>
      </w:r>
      <w:r>
        <w:rPr>
          <w:rStyle w:val="htmlcodes"/>
        </w:rPr>
        <w:t>&lt;/a&gt;</w:t>
      </w:r>
    </w:p>
    <w:p w:rsidR="00B72047" w:rsidRDefault="00B72047">
      <w:pPr>
        <w:pStyle w:val="examplescaled"/>
      </w:pPr>
      <w:r>
        <w:tab/>
        <w:t>The concept-of emptiness</w:t>
      </w:r>
    </w:p>
    <w:p w:rsidR="00B72047" w:rsidRDefault="00B72047">
      <w:pPr>
        <w:pStyle w:val="examplescaledpre"/>
      </w:pPr>
      <w:r>
        <w:rPr>
          <w:rStyle w:val="htmlcodes"/>
        </w:rPr>
        <w:t>&lt;a name=e7d12&gt;</w:t>
      </w:r>
      <w:r>
        <w:t>7.12)</w:t>
      </w:r>
      <w:r>
        <w:tab/>
        <w:t>(none)</w:t>
      </w:r>
    </w:p>
    <w:p w:rsidR="00B72047" w:rsidRDefault="00B72047">
      <w:pPr>
        <w:pStyle w:val="examplescaledpre"/>
      </w:pPr>
      <w:r>
        <w:rPr>
          <w:rStyle w:val="htmlcodes"/>
        </w:rPr>
        <w:t>&lt;a name=e7d13&gt;</w:t>
      </w:r>
      <w:r>
        <w:t>7.13)</w:t>
      </w:r>
      <w:r>
        <w:tab/>
      </w:r>
      <w:r>
        <w:rPr>
          <w:rStyle w:val="htmlcodes"/>
        </w:rPr>
        <w:t>&lt;a href=chap13.gif&gt;</w:t>
      </w:r>
      <w:r>
        <w:t xml:space="preserve">.oi ro'i ro'a ro'o </w:t>
      </w:r>
      <w:r>
        <w:rPr>
          <w:rStyle w:val="htmlcodes"/>
        </w:rPr>
        <w:t>&lt;/a&gt;</w:t>
      </w:r>
    </w:p>
    <w:p w:rsidR="00B72047" w:rsidRDefault="00B72047">
      <w:pPr>
        <w:pStyle w:val="examplescaled"/>
      </w:pPr>
      <w:r>
        <w:tab/>
        <w:t>[Pain!] [emotional] [social] [physical]</w:t>
      </w:r>
    </w:p>
    <w:p w:rsidR="00B72047" w:rsidRDefault="00B72047">
      <w:pPr>
        <w:pStyle w:val="examplescaledpre"/>
      </w:pPr>
      <w:r>
        <w:rPr>
          <w:rStyle w:val="htmlcodes"/>
        </w:rPr>
        <w:t>&lt;a name=e7d14&gt;</w:t>
      </w:r>
      <w:r>
        <w:t>7.14)</w:t>
      </w:r>
      <w:r>
        <w:tab/>
        <w:t>(none)</w:t>
      </w:r>
    </w:p>
    <w:p w:rsidR="00B72047" w:rsidRDefault="00B72047">
      <w:pPr>
        <w:pStyle w:val="examplescaledpre"/>
      </w:pPr>
      <w:r>
        <w:rPr>
          <w:rStyle w:val="htmlcodes"/>
        </w:rPr>
        <w:t>&lt;a name=e7d15&gt;</w:t>
      </w:r>
      <w:r>
        <w:t>7.15)</w:t>
      </w:r>
      <w:r>
        <w:tab/>
      </w:r>
      <w:r>
        <w:rPr>
          <w:rStyle w:val="htmlcodes"/>
        </w:rPr>
        <w:t>&lt;a href=chap15.gif&gt;</w:t>
      </w:r>
      <w:r>
        <w:t xml:space="preserve">mi na'e lumci le karce </w:t>
      </w:r>
      <w:r>
        <w:rPr>
          <w:rStyle w:val="htmlcodes"/>
        </w:rPr>
        <w:t>&lt;/a&gt;</w:t>
      </w:r>
    </w:p>
    <w:p w:rsidR="00B72047" w:rsidRDefault="00B72047">
      <w:pPr>
        <w:pStyle w:val="examplescaled"/>
      </w:pPr>
      <w:r>
        <w:tab/>
        <w:t>I other-than wash the car.</w:t>
      </w:r>
    </w:p>
    <w:p w:rsidR="00B72047" w:rsidRDefault="00B72047">
      <w:pPr>
        <w:pStyle w:val="examplescaled"/>
      </w:pPr>
      <w:r>
        <w:tab/>
        <w:t>I didn't wash the car.</w:t>
      </w:r>
    </w:p>
    <w:p w:rsidR="00B72047" w:rsidRDefault="00B72047">
      <w:pPr>
        <w:pStyle w:val="examplescaledpre"/>
      </w:pPr>
      <w:r>
        <w:rPr>
          <w:rStyle w:val="htmlcodes"/>
        </w:rPr>
        <w:t>&lt;a name=e7d16&gt;</w:t>
      </w:r>
      <w:r>
        <w:t>7.16)</w:t>
      </w:r>
      <w:r>
        <w:tab/>
      </w:r>
      <w:r>
        <w:rPr>
          <w:rStyle w:val="htmlcodes"/>
        </w:rPr>
        <w:t>&lt;a href=chap16.gif&gt;</w:t>
      </w:r>
      <w:r>
        <w:t xml:space="preserve">drata mupli pe'u .djan. </w:t>
      </w:r>
      <w:r>
        <w:rPr>
          <w:rStyle w:val="htmlcodes"/>
        </w:rPr>
        <w:t>&lt;/a&gt;</w:t>
      </w:r>
    </w:p>
    <w:p w:rsidR="00B72047" w:rsidRDefault="00B72047">
      <w:pPr>
        <w:pStyle w:val="examplescaled"/>
      </w:pPr>
      <w:r>
        <w:tab/>
        <w:t>Another example [please] John.</w:t>
      </w:r>
    </w:p>
    <w:p w:rsidR="00B72047" w:rsidRDefault="00B72047">
      <w:pPr>
        <w:pStyle w:val="examplescaled"/>
      </w:pPr>
      <w:r>
        <w:tab/>
        <w:t>Another example, John, please!</w:t>
      </w:r>
    </w:p>
    <w:p w:rsidR="00B72047" w:rsidRDefault="00B72047">
      <w:pPr>
        <w:pStyle w:val="examplescaledpre"/>
      </w:pPr>
      <w:r>
        <w:rPr>
          <w:rStyle w:val="htmlcodes"/>
        </w:rPr>
        <w:t>&lt;a name=e7d17&gt;</w:t>
      </w:r>
      <w:r>
        <w:t>7.17)</w:t>
      </w:r>
      <w:r>
        <w:tab/>
      </w:r>
      <w:r>
        <w:rPr>
          <w:rStyle w:val="htmlcodes"/>
        </w:rPr>
        <w:t>&lt;a href=chap17.gif&gt;</w:t>
      </w:r>
      <w:r>
        <w:t xml:space="preserve">zai xanlerfu by. ly. .obu .jy by. .abu ny. </w:t>
      </w:r>
      <w:r>
        <w:rPr>
          <w:rStyle w:val="htmlcodes"/>
        </w:rPr>
        <w:t>&lt;/a&gt;</w:t>
      </w:r>
    </w:p>
    <w:p w:rsidR="00B72047" w:rsidRDefault="00B72047">
      <w:pPr>
        <w:pStyle w:val="examplescaled"/>
      </w:pPr>
      <w:r>
        <w:tab/>
        <w:t>[Shift] hand-letters l o j b a n</w:t>
      </w:r>
    </w:p>
    <w:p w:rsidR="00B72047" w:rsidRDefault="00B72047">
      <w:pPr>
        <w:pStyle w:val="examplescaled"/>
      </w:pPr>
      <w:r>
        <w:tab/>
        <w:t>"Lojban" in the U.S. manual alphabet</w:t>
      </w:r>
    </w:p>
    <w:p w:rsidR="00B72047" w:rsidRDefault="00B72047">
      <w:pPr>
        <w:pStyle w:val="examplescaledpre"/>
      </w:pPr>
      <w:r>
        <w:rPr>
          <w:rStyle w:val="htmlcodes"/>
        </w:rPr>
        <w:t>&lt;a name=e7d18&gt;</w:t>
      </w:r>
      <w:r>
        <w:t>7.18)</w:t>
      </w:r>
      <w:r>
        <w:tab/>
      </w:r>
      <w:r>
        <w:rPr>
          <w:rStyle w:val="htmlcodes"/>
        </w:rPr>
        <w:t>&lt;a href=chap18.gif&gt;</w:t>
      </w:r>
      <w:r>
        <w:t>no</w:t>
      </w:r>
      <w:r>
        <w:tab/>
        <w:t xml:space="preserve">no </w:t>
      </w:r>
      <w:r>
        <w:rPr>
          <w:rStyle w:val="htmlcodes"/>
        </w:rPr>
        <w:t>&lt;/a&gt;</w:t>
      </w:r>
    </w:p>
    <w:p w:rsidR="00B72047" w:rsidRDefault="00B72047">
      <w:pPr>
        <w:pStyle w:val="examplescaled"/>
      </w:pPr>
      <w:r>
        <w:tab/>
        <w:t>0</w:t>
      </w:r>
      <w:r>
        <w:tab/>
        <w:t>0</w:t>
      </w:r>
    </w:p>
    <w:p w:rsidR="00B72047" w:rsidRDefault="00B72047">
      <w:pPr>
        <w:pStyle w:val="examplescaledpre"/>
      </w:pPr>
      <w:r>
        <w:rPr>
          <w:rStyle w:val="htmlcodes"/>
        </w:rPr>
        <w:t>&lt;a name=e7d19&gt;</w:t>
      </w:r>
      <w:r>
        <w:t>7.19)</w:t>
      </w:r>
      <w:r>
        <w:tab/>
        <w:t>(none)</w:t>
      </w:r>
    </w:p>
    <w:p w:rsidR="00B72047" w:rsidRDefault="00B72047">
      <w:pPr>
        <w:pStyle w:val="examplescaledpre"/>
      </w:pPr>
      <w:r>
        <w:rPr>
          <w:rStyle w:val="htmlcodes"/>
        </w:rPr>
        <w:t>&lt;a name=e7d20&gt;</w:t>
      </w:r>
      <w:r>
        <w:t>7.20)</w:t>
      </w:r>
      <w:r>
        <w:tab/>
        <w:t>(none)</w:t>
      </w:r>
    </w:p>
    <w:p w:rsidR="00B72047" w:rsidRDefault="00B72047">
      <w:pPr>
        <w:pStyle w:val="examplescaled"/>
      </w:pPr>
    </w:p>
    <w:p w:rsidR="00B72047" w:rsidRDefault="00B72047">
      <w:pPr>
        <w:pStyle w:val="examplescaled"/>
      </w:pPr>
      <w:r>
        <w:rPr>
          <w:rStyle w:val="htmlcodes"/>
        </w:rPr>
        <w:t>&lt;a name=e7d21&gt;</w:t>
      </w:r>
      <w:r>
        <w:t>7.21)</w:t>
      </w:r>
      <w:r>
        <w:tab/>
        <w:t>(none)</w:t>
      </w:r>
    </w:p>
    <w:p w:rsidR="00B72047" w:rsidRDefault="00B72047">
      <w:pPr>
        <w:rPr>
          <w:rStyle w:val="htmlparacode"/>
        </w:rPr>
      </w:pPr>
      <w:r>
        <w:rPr>
          <w:rStyle w:val="htmlparacode"/>
        </w:rPr>
        <w:t>&lt;p&gt;</w:t>
      </w:r>
      <w:r>
        <w:rPr>
          <w:rStyle w:val="htmlcodes"/>
        </w:rPr>
        <w:t>&lt;/pre&gt;</w:t>
      </w:r>
      <w:r>
        <w:rPr>
          <w:rStyle w:val="indexentry"/>
        </w:rPr>
        <w:t>&lt;cx "boring legalities"&gt;</w:t>
      </w:r>
      <w:r>
        <w:rPr>
          <w:rStyle w:val="indexentry"/>
        </w:rPr>
        <w:fldChar w:fldCharType="begin"/>
      </w:r>
      <w:r>
        <w:instrText>xe "</w:instrText>
      </w:r>
      <w:r>
        <w:rPr>
          <w:rStyle w:val="xeentry"/>
        </w:rPr>
        <w:instrText>boring legalities</w:instrText>
      </w:r>
      <w:r>
        <w:instrText>"</w:instrText>
      </w:r>
      <w:r>
        <w:rPr>
          <w:rStyle w:val="indexentry"/>
        </w:rPr>
        <w:fldChar w:fldCharType="end"/>
      </w:r>
      <w:r>
        <w:rPr>
          <w:rStyle w:val="indexentry"/>
        </w:rPr>
        <w:t>&lt;cx "legalities, boring"&gt;</w:t>
      </w:r>
      <w:r>
        <w:rPr>
          <w:rStyle w:val="indexentry"/>
        </w:rPr>
        <w:fldChar w:fldCharType="begin"/>
      </w:r>
      <w:r>
        <w:instrText>xe "</w:instrText>
      </w:r>
      <w:r>
        <w:rPr>
          <w:rStyle w:val="xeentry"/>
        </w:rPr>
        <w:instrText>legalities: boring</w:instrText>
      </w:r>
      <w:r>
        <w:instrText>"</w:instrText>
      </w:r>
      <w:r>
        <w:rPr>
          <w:rStyle w:val="indexentry"/>
        </w:rPr>
        <w:fldChar w:fldCharType="end"/>
      </w:r>
      <w:r>
        <w:rPr>
          <w:rStyle w:val="indexentry"/>
        </w:rPr>
        <w:t>&lt;cx "permissions notice"&gt;</w:t>
      </w:r>
      <w:r>
        <w:rPr>
          <w:rStyle w:val="indexentry"/>
        </w:rPr>
        <w:fldChar w:fldCharType="begin"/>
      </w:r>
      <w:r>
        <w:instrText>xe "</w:instrText>
      </w:r>
      <w:r>
        <w:rPr>
          <w:rStyle w:val="xeentry"/>
        </w:rPr>
        <w:instrText>permissions notice</w:instrText>
      </w:r>
      <w:r>
        <w:instrText>"</w:instrText>
      </w:r>
      <w:r>
        <w:rPr>
          <w:rStyle w:val="indexentry"/>
        </w:rPr>
        <w:fldChar w:fldCharType="end"/>
      </w:r>
      <w:r>
        <w:rPr>
          <w:rStyle w:val="htmlcodes"/>
        </w:rPr>
        <w:t>&lt;a name=s8&gt;&lt;h3&gt;</w:t>
      </w:r>
    </w:p>
    <w:p w:rsidR="00B72047" w:rsidRDefault="00B72047">
      <w:pPr>
        <w:pStyle w:val="normalparagraph"/>
        <w:rPr>
          <w:rStyle w:val="htmlparacode"/>
        </w:rPr>
      </w:pPr>
      <w:r>
        <w:rPr>
          <w:rStyle w:val="htmlparacode"/>
        </w:rPr>
        <w:t>&lt;p&gt;</w:t>
      </w:r>
    </w:p>
    <w:p w:rsidR="00B72047" w:rsidRDefault="00B72047">
      <w:pPr>
        <w:pStyle w:val="resumedafterexample"/>
        <w:sectPr w:rsidR="00B72047">
          <w:headerReference w:type="even" r:id="rId14"/>
          <w:headerReference w:type="default" r:id="rId15"/>
          <w:footerReference w:type="even" r:id="rId16"/>
          <w:footerReference w:type="default" r:id="rId17"/>
          <w:headerReference w:type="first" r:id="rId18"/>
          <w:footerReference w:type="first" r:id="rId19"/>
          <w:type w:val="oddPage"/>
          <w:pgSz w:w="9504" w:h="13824" w:code="1"/>
          <w:pgMar w:top="1296" w:right="1296" w:bottom="720" w:left="1008" w:header="480" w:footer="576" w:gutter="0"/>
          <w:paperSrc w:first="1706" w:other="1706"/>
          <w:pgNumType w:start="3"/>
          <w:cols w:space="720"/>
          <w:titlePg/>
        </w:sectPr>
      </w:pPr>
      <w:r>
        <w:rPr>
          <w:rStyle w:val="htmlcodes"/>
        </w:rPr>
        <w:t>&lt;/body&gt;&lt;/html&gt;</w:t>
      </w:r>
    </w:p>
    <w:p w:rsidR="00B72047" w:rsidRDefault="00B72047">
      <w:pPr>
        <w:rPr>
          <w:rStyle w:val="htmlcodes"/>
        </w:rPr>
      </w:pPr>
      <w:r>
        <w:rPr>
          <w:rStyle w:val="htmlcodes"/>
        </w:rPr>
        <w:t>&lt;img src=chap2.gif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26" type="#_x0000_t75" style="width:348.75pt;height:537pt">
            <v:imagedata r:id="rId20" o:title="" croptop="-26474f" cropbottom="-26474f" cropleft="-6323f" cropright="-6323f"/>
          </v:shape>
        </w:pict>
      </w:r>
    </w:p>
    <w:p w:rsidR="00B72047" w:rsidRDefault="00B72047">
      <w:pPr>
        <w:pStyle w:val="Heading2"/>
      </w:pPr>
      <w:r>
        <w:rPr>
          <w:rStyle w:val="htmlcodes"/>
        </w:rPr>
        <w:t>&lt;h2&gt;</w:t>
      </w:r>
      <w:bookmarkStart w:id="45" w:name="_Toc395684182"/>
      <w:bookmarkStart w:id="46" w:name="_Toc395691463"/>
      <w:bookmarkStart w:id="47" w:name="_Toc395691657"/>
      <w:bookmarkStart w:id="48" w:name="_Toc395691776"/>
      <w:bookmarkStart w:id="49" w:name="_Toc398970434"/>
      <w:r>
        <w:t>Chapter 2</w:t>
      </w:r>
      <w:bookmarkEnd w:id="45"/>
      <w:bookmarkEnd w:id="46"/>
      <w:bookmarkEnd w:id="47"/>
      <w:bookmarkEnd w:id="48"/>
      <w:bookmarkEnd w:id="49"/>
    </w:p>
    <w:p w:rsidR="00B72047" w:rsidRDefault="00B72047">
      <w:pPr>
        <w:pStyle w:val="Heading2"/>
        <w:rPr>
          <w:rStyle w:val="htmlcodes"/>
        </w:rPr>
      </w:pPr>
      <w:r>
        <w:rPr>
          <w:rStyle w:val="htmlcodes"/>
        </w:rPr>
        <w:t>&lt;br&gt;</w:t>
      </w:r>
    </w:p>
    <w:p w:rsidR="00B72047" w:rsidRDefault="00B72047">
      <w:pPr>
        <w:pStyle w:val="Heading2"/>
      </w:pPr>
      <w:bookmarkStart w:id="50" w:name="_Toc395691464"/>
      <w:bookmarkStart w:id="51" w:name="_Toc395691658"/>
      <w:bookmarkStart w:id="52" w:name="_Toc395691777"/>
      <w:bookmarkStart w:id="53" w:name="_Toc398970435"/>
      <w:r>
        <w:t>A Quick Tour of Lojban Grammar, With Diagrams</w:t>
      </w:r>
      <w:bookmarkEnd w:id="50"/>
      <w:bookmarkEnd w:id="51"/>
      <w:bookmarkEnd w:id="52"/>
      <w:bookmarkEnd w:id="53"/>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54" w:name="_Toc395691465"/>
      <w:bookmarkStart w:id="55" w:name="_Toc395691659"/>
      <w:bookmarkStart w:id="56" w:name="_Toc398970436"/>
      <w:r>
        <w:rPr>
          <w:rStyle w:val="Heading3Text"/>
        </w:rPr>
        <w:t>The concept of the bridi</w:t>
      </w:r>
      <w:bookmarkEnd w:id="54"/>
      <w:bookmarkEnd w:id="55"/>
      <w:bookmarkEnd w:id="5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"bridi, concept of"&gt;</w:t>
      </w:r>
      <w:r>
        <w:rPr>
          <w:rStyle w:val="indexentry"/>
        </w:rPr>
        <w:fldChar w:fldCharType="begin"/>
      </w:r>
      <w:r>
        <w:instrText>xe "</w:instrText>
      </w:r>
      <w:r>
        <w:rPr>
          <w:rStyle w:val="xeentry"/>
        </w:rPr>
        <w:instrText>bridi: concept of</w:instrText>
      </w:r>
      <w:r>
        <w:instrText>"</w:instrText>
      </w:r>
      <w:r>
        <w:rPr>
          <w:rStyle w:val="indexentry"/>
        </w:rPr>
        <w:fldChar w:fldCharType="end"/>
      </w:r>
      <w:r>
        <w:t>This chapter gives diagrammed examples of basic Lojban sentence structures.</w:t>
      </w:r>
      <w:r>
        <w:rPr>
          <w:rStyle w:val="deletedparamark"/>
        </w:rPr>
        <w:t xml:space="preserve"> </w:t>
      </w:r>
      <w:r>
        <w:t>The most general pattern is covered first, fol</w:t>
      </w:r>
      <w:r>
        <w:softHyphen/>
        <w:t>lowed by successive variations</w:t>
      </w:r>
      <w:r>
        <w:rPr>
          <w:rStyle w:val="deletedparamark"/>
        </w:rPr>
        <w:t xml:space="preserve"> </w:t>
      </w:r>
      <w:r>
        <w:t>on the basic com</w:t>
      </w:r>
      <w:r>
        <w:softHyphen/>
        <w:t>ponents of the Loj</w:t>
      </w:r>
      <w:r>
        <w:softHyphen/>
        <w:t>ban sen</w:t>
      </w:r>
      <w:r>
        <w:softHyphen/>
        <w:t>tence. There are many more</w:t>
      </w:r>
      <w:r>
        <w:rPr>
          <w:rStyle w:val="deletedparamark"/>
        </w:rPr>
        <w:t xml:space="preserve"> </w:t>
      </w:r>
      <w:r>
        <w:t>capabilities not covered in this chapter, but covered in detail in later</w:t>
      </w:r>
      <w:r>
        <w:rPr>
          <w:rStyle w:val="deletedparamark"/>
        </w:rPr>
        <w:t xml:space="preserve"> </w:t>
      </w:r>
      <w:r>
        <w:t>chapters, so this chapter is a “quick tour” of the material later covered</w:t>
      </w:r>
      <w:r>
        <w:rPr>
          <w:rStyle w:val="deletedparamark"/>
        </w:rPr>
        <w:t xml:space="preserve"> </w:t>
      </w:r>
      <w:r>
        <w:t>more slowly throughout the book. It also introduces most of the Lojban</w:t>
      </w:r>
      <w:r>
        <w:rPr>
          <w:rStyle w:val="deletedparamark"/>
        </w:rPr>
        <w:t xml:space="preserve"> </w:t>
      </w:r>
      <w:r>
        <w:t>words used to discuss Lojban grammar.</w:t>
      </w:r>
    </w:p>
    <w:p w:rsidR="00B72047" w:rsidRDefault="00B72047">
      <w:pPr>
        <w:rPr>
          <w:rStyle w:val="htmlparacode"/>
        </w:rPr>
      </w:pPr>
      <w:r>
        <w:rPr>
          <w:rStyle w:val="htmlparacode"/>
        </w:rPr>
        <w:t>&lt;p&gt;</w:t>
      </w:r>
    </w:p>
    <w:p w:rsidR="00B72047" w:rsidRDefault="00B72047">
      <w:pPr>
        <w:pStyle w:val="normalparagraph"/>
      </w:pPr>
      <w:r>
        <w:rPr>
          <w:rStyle w:val="indexentry"/>
        </w:rPr>
        <w:t>&lt;ex "John and Sam"&gt;</w:t>
      </w:r>
      <w:r>
        <w:rPr>
          <w:rStyle w:val="indexentry"/>
        </w:rPr>
        <w:fldChar w:fldCharType="begin"/>
      </w:r>
      <w:r>
        <w:instrText>xe "</w:instrText>
      </w:r>
      <w:r>
        <w:rPr>
          <w:rStyle w:val="xeentry"/>
        </w:rPr>
        <w:instrText>John and Sam: example</w:instrText>
      </w:r>
      <w:r>
        <w:instrText>"</w:instrText>
      </w:r>
      <w:r>
        <w:rPr>
          <w:rStyle w:val="indexentry"/>
        </w:rPr>
        <w:fldChar w:fldCharType="end"/>
      </w:r>
      <w:r>
        <w:rPr>
          <w:rStyle w:val="indexentry"/>
        </w:rPr>
        <w:t>&lt;ex "father"&gt;</w:t>
      </w:r>
      <w:r>
        <w:rPr>
          <w:rStyle w:val="indexentry"/>
        </w:rPr>
        <w:fldChar w:fldCharType="begin"/>
      </w:r>
      <w:r>
        <w:instrText>xe "</w:instrText>
      </w:r>
      <w:r>
        <w:rPr>
          <w:rStyle w:val="xeentry"/>
        </w:rPr>
        <w:instrText>father: example</w:instrText>
      </w:r>
      <w:r>
        <w:instrText>"</w:instrText>
      </w:r>
      <w:r>
        <w:rPr>
          <w:rStyle w:val="indexentry"/>
        </w:rPr>
        <w:fldChar w:fldCharType="end"/>
      </w:r>
      <w:r>
        <w:rPr>
          <w:rStyle w:val="indexentry"/>
        </w:rPr>
        <w:t>&lt;ex "hits"&gt;</w:t>
      </w:r>
      <w:r>
        <w:rPr>
          <w:rStyle w:val="indexentry"/>
        </w:rPr>
        <w:fldChar w:fldCharType="begin"/>
      </w:r>
      <w:r>
        <w:instrText>xe "</w:instrText>
      </w:r>
      <w:r>
        <w:rPr>
          <w:rStyle w:val="xeentry"/>
        </w:rPr>
        <w:instrText>hits: example</w:instrText>
      </w:r>
      <w:r>
        <w:instrText>"</w:instrText>
      </w:r>
      <w:r>
        <w:rPr>
          <w:rStyle w:val="indexentry"/>
        </w:rPr>
        <w:fldChar w:fldCharType="end"/>
      </w:r>
      <w:r>
        <w:rPr>
          <w:rStyle w:val="indexentry"/>
        </w:rPr>
        <w:t>&lt;ex "taller"&gt;</w:t>
      </w:r>
      <w:r>
        <w:rPr>
          <w:rStyle w:val="indexentry"/>
        </w:rPr>
        <w:fldChar w:fldCharType="begin"/>
      </w:r>
      <w:r>
        <w:instrText>xe "</w:instrText>
      </w:r>
      <w:r>
        <w:rPr>
          <w:rStyle w:val="xeentry"/>
        </w:rPr>
        <w:instrText>taller: example</w:instrText>
      </w:r>
      <w:r>
        <w:instrText>"</w:instrText>
      </w:r>
      <w:r>
        <w:rPr>
          <w:rStyle w:val="indexentry"/>
        </w:rPr>
        <w:fldChar w:fldCharType="end"/>
      </w:r>
      <w:r>
        <w:t>Let us consider John and Sam and three statements about them:</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name=e1d1&gt;</w:t>
      </w:r>
      <w:r>
        <w:t>1.1)</w:t>
      </w:r>
      <w:r>
        <w:tab/>
        <w:t>John is the father of Sam.</w:t>
      </w:r>
    </w:p>
    <w:p w:rsidR="00B72047" w:rsidRDefault="00B72047">
      <w:pPr>
        <w:pStyle w:val="examplescaledpre"/>
      </w:pPr>
      <w:r>
        <w:rPr>
          <w:rStyle w:val="htmlcodes"/>
        </w:rPr>
        <w:t>&lt;a name=e1d2&gt;</w:t>
      </w:r>
      <w:r>
        <w:t>1.2)</w:t>
      </w:r>
      <w:r>
        <w:tab/>
        <w:t>John hits Sam.</w:t>
      </w:r>
    </w:p>
    <w:p w:rsidR="00B72047" w:rsidRDefault="00B72047">
      <w:pPr>
        <w:pStyle w:val="examplescaledpre"/>
      </w:pPr>
      <w:r>
        <w:rPr>
          <w:rStyle w:val="htmlcodes"/>
        </w:rPr>
        <w:t>&lt;a name=e1d3&gt;</w:t>
      </w:r>
      <w:r>
        <w:t>1.3)</w:t>
      </w:r>
      <w:r>
        <w:tab/>
        <w:t>John is taller than Sam.</w:t>
      </w:r>
    </w:p>
    <w:p w:rsidR="00B72047" w:rsidRDefault="00B72047">
      <w:pPr>
        <w:pStyle w:val="resumedafterexample"/>
      </w:pPr>
      <w:r>
        <w:rPr>
          <w:rStyle w:val="htmlcodes"/>
        </w:rPr>
        <w:t>&lt;/pre&gt;</w:t>
      </w:r>
      <w:r>
        <w:rPr>
          <w:rStyle w:val="indexentry"/>
        </w:rPr>
        <w:t>&lt;cx "relationship, active/static/attributive compared"&gt;</w:t>
      </w:r>
      <w:r>
        <w:rPr>
          <w:rStyle w:val="indexentry"/>
        </w:rPr>
        <w:fldChar w:fldCharType="begin"/>
      </w:r>
      <w:r>
        <w:instrText>xe "</w:instrText>
      </w:r>
      <w:r>
        <w:rPr>
          <w:rStyle w:val="xeentry"/>
        </w:rPr>
        <w:instrText>relationship: active/static/attributive compared</w:instrText>
      </w:r>
      <w:r>
        <w:instrText>"</w:instrText>
      </w:r>
      <w:r>
        <w:rPr>
          <w:rStyle w:val="indexentry"/>
        </w:rPr>
        <w:fldChar w:fldCharType="end"/>
      </w:r>
      <w:r>
        <w:rPr>
          <w:rStyle w:val="indexentry"/>
        </w:rPr>
        <w:t>&lt;cx "predication, as a relationship"&gt;</w:t>
      </w:r>
      <w:r>
        <w:rPr>
          <w:rStyle w:val="indexentry"/>
        </w:rPr>
        <w:fldChar w:fldCharType="begin"/>
      </w:r>
      <w:r>
        <w:instrText>xe "</w:instrText>
      </w:r>
      <w:r>
        <w:rPr>
          <w:rStyle w:val="xeentry"/>
        </w:rPr>
        <w:instrText>predication: as a relationship</w:instrText>
      </w:r>
      <w:r>
        <w:instrText>"</w:instrText>
      </w:r>
      <w:r>
        <w:rPr>
          <w:rStyle w:val="indexentry"/>
        </w:rPr>
        <w:fldChar w:fldCharType="end"/>
      </w:r>
      <w:r>
        <w:rPr>
          <w:rStyle w:val="indexentry"/>
        </w:rPr>
        <w:t>&lt;cx "bridi, compared with predication"&gt;</w:t>
      </w:r>
      <w:r>
        <w:rPr>
          <w:rStyle w:val="indexentry"/>
        </w:rPr>
        <w:fldChar w:fldCharType="begin"/>
      </w:r>
      <w:r>
        <w:instrText>xe "</w:instrText>
      </w:r>
      <w:r>
        <w:rPr>
          <w:rStyle w:val="xeentry"/>
        </w:rPr>
        <w:instrText>bridi: compared with predication</w:instrText>
      </w:r>
      <w:r>
        <w:instrText>"</w:instrText>
      </w:r>
      <w:r>
        <w:rPr>
          <w:rStyle w:val="indexentry"/>
        </w:rPr>
        <w:fldChar w:fldCharType="end"/>
      </w:r>
      <w:r>
        <w:rPr>
          <w:rStyle w:val="indexentry"/>
        </w:rPr>
        <w:t>&lt;cx "predication, compared with bridi"&gt;</w:t>
      </w:r>
      <w:r>
        <w:rPr>
          <w:rStyle w:val="indexentry"/>
        </w:rPr>
        <w:fldChar w:fldCharType="begin"/>
      </w:r>
      <w:r>
        <w:instrText>xe "</w:instrText>
      </w:r>
      <w:r>
        <w:rPr>
          <w:rStyle w:val="xeentry"/>
        </w:rPr>
        <w:instrText>predication: compared with bridi</w:instrText>
      </w:r>
      <w:r>
        <w:instrText>"</w:instrText>
      </w:r>
      <w:r>
        <w:rPr>
          <w:rStyle w:val="indexentry"/>
        </w:rPr>
        <w:fldChar w:fldCharType="end"/>
      </w:r>
      <w:r>
        <w:rPr>
          <w:rStyle w:val="indexentry"/>
        </w:rPr>
        <w:t>&lt;cx "brivla, relation to bridi"&gt;</w:t>
      </w:r>
      <w:r>
        <w:rPr>
          <w:rStyle w:val="indexentry"/>
        </w:rPr>
        <w:fldChar w:fldCharType="begin"/>
      </w:r>
      <w:r>
        <w:instrText>xe "</w:instrText>
      </w:r>
      <w:r>
        <w:rPr>
          <w:rStyle w:val="xeentry"/>
        </w:rPr>
        <w:instrText>brivla: relation to bridi</w:instrText>
      </w:r>
      <w:r>
        <w:instrText>"</w:instrText>
      </w:r>
      <w:r>
        <w:rPr>
          <w:rStyle w:val="indexentry"/>
        </w:rPr>
        <w:fldChar w:fldCharType="end"/>
      </w:r>
      <w:r>
        <w:rPr>
          <w:rStyle w:val="indexentry"/>
        </w:rPr>
        <w:t>&lt;cx "sumti, relation with bridi"&gt;</w:t>
      </w:r>
      <w:r>
        <w:rPr>
          <w:rStyle w:val="indexentry"/>
        </w:rPr>
        <w:fldChar w:fldCharType="begin"/>
      </w:r>
      <w:r>
        <w:instrText>xe "</w:instrText>
      </w:r>
      <w:r>
        <w:rPr>
          <w:rStyle w:val="xeentry"/>
        </w:rPr>
        <w:instrText>sumti: relation with bridi</w:instrText>
      </w:r>
      <w:r>
        <w:instrText>"</w:instrText>
      </w:r>
      <w:r>
        <w:rPr>
          <w:rStyle w:val="indexentry"/>
        </w:rPr>
        <w:fldChar w:fldCharType="end"/>
      </w:r>
      <w:r>
        <w:t>These examples all describe relationships between John and Sam. However, in</w:t>
      </w:r>
      <w:r>
        <w:rPr>
          <w:rStyle w:val="deletedparamark"/>
        </w:rPr>
        <w:t xml:space="preserve"> </w:t>
      </w:r>
      <w:r>
        <w:t>English, we use the noun “father” to describe a static relationship</w:t>
      </w:r>
      <w:r>
        <w:rPr>
          <w:rStyle w:val="deletedparamark"/>
        </w:rPr>
        <w:t xml:space="preserve"> </w:t>
      </w:r>
      <w:r>
        <w:t xml:space="preserve">in </w:t>
      </w:r>
      <w:r>
        <w:rPr>
          <w:rStyle w:val="htmlcodes"/>
        </w:rPr>
        <w:t>&lt;a href=#e1d1&gt;</w:t>
      </w:r>
      <w:r>
        <w:t>Example 1.1</w:t>
      </w:r>
      <w:r>
        <w:rPr>
          <w:rStyle w:val="htmlcodes"/>
        </w:rPr>
        <w:t>&lt;/a&gt;</w:t>
      </w:r>
      <w:r>
        <w:t>, the verb “hits” to describe an active rela</w:t>
      </w:r>
      <w:r>
        <w:softHyphen/>
        <w:t>tionship</w:t>
      </w:r>
      <w:r>
        <w:rPr>
          <w:rStyle w:val="deletedparamark"/>
        </w:rPr>
        <w:t xml:space="preserve"> </w:t>
      </w:r>
      <w:r>
        <w:t xml:space="preserve">in </w:t>
      </w:r>
      <w:r>
        <w:rPr>
          <w:rStyle w:val="htmlcodes"/>
        </w:rPr>
        <w:t>&lt;a href=#e1d2&gt;</w:t>
      </w:r>
      <w:r>
        <w:t>Example 1.2</w:t>
      </w:r>
      <w:r>
        <w:rPr>
          <w:rStyle w:val="htmlcodes"/>
        </w:rPr>
        <w:t>&lt;/a&gt;</w:t>
      </w:r>
      <w:r>
        <w:t>, and the adjective “taller” to describe an at</w:t>
      </w:r>
      <w:r>
        <w:softHyphen/>
        <w:t>tributive</w:t>
      </w:r>
      <w:r>
        <w:rPr>
          <w:rStyle w:val="deletedparamark"/>
        </w:rPr>
        <w:t xml:space="preserve"> </w:t>
      </w:r>
      <w:r>
        <w:t xml:space="preserve">relationship in </w:t>
      </w:r>
      <w:r>
        <w:rPr>
          <w:rStyle w:val="htmlcodes"/>
        </w:rPr>
        <w:t>&lt;a href=#e1d3&gt;</w:t>
      </w:r>
      <w:r>
        <w:t>Example 1.3</w:t>
      </w:r>
      <w:r>
        <w:rPr>
          <w:rStyle w:val="htmlcodes"/>
        </w:rPr>
        <w:t>&lt;/a&gt;</w:t>
      </w:r>
      <w:r>
        <w:t>. In Lojban we make no such grammatical</w:t>
      </w:r>
      <w:r>
        <w:rPr>
          <w:rStyle w:val="deletedparamark"/>
        </w:rPr>
        <w:t xml:space="preserve"> </w:t>
      </w:r>
      <w:r>
        <w:t>distinc</w:t>
      </w:r>
      <w:r>
        <w:softHyphen/>
        <w:t>tions; these three sentences, when expressed in Lojban, are</w:t>
      </w:r>
      <w:r>
        <w:rPr>
          <w:rStyle w:val="deletedparamark"/>
        </w:rPr>
        <w:t xml:space="preserve"> </w:t>
      </w:r>
      <w:r>
        <w:t>structurally identical. The same part of speech is used to represent the</w:t>
      </w:r>
      <w:r>
        <w:rPr>
          <w:rStyle w:val="deletedparamark"/>
        </w:rPr>
        <w:t xml:space="preserve"> </w:t>
      </w:r>
      <w:r>
        <w:t>relationship. In formal logic this whole structure is called a “predication”;</w:t>
      </w:r>
      <w:r>
        <w:rPr>
          <w:rStyle w:val="deletedparamark"/>
        </w:rPr>
        <w:t xml:space="preserve"> </w:t>
      </w:r>
      <w:r>
        <w:t>in Lojban it is called a “bridi”, and the central part of speech is the</w:t>
      </w:r>
      <w:r>
        <w:rPr>
          <w:rStyle w:val="deletedparamark"/>
        </w:rPr>
        <w:t xml:space="preserve"> “</w:t>
      </w:r>
      <w:r>
        <w:t>selbri”. Logicians refer to the things thus re</w:t>
      </w:r>
      <w:r>
        <w:softHyphen/>
        <w:t>lated as “arguments”, while</w:t>
      </w:r>
      <w:r>
        <w:rPr>
          <w:rStyle w:val="deletedparamark"/>
        </w:rPr>
        <w:t xml:space="preserve"> </w:t>
      </w:r>
      <w:r>
        <w:t>Lojbanists call them “sumti”. These Lojban terms will be used for the rest</w:t>
      </w:r>
      <w:r>
        <w:rPr>
          <w:rStyle w:val="deletedparamark"/>
        </w:rPr>
        <w:t xml:space="preserve"> </w:t>
      </w:r>
      <w:r>
        <w:t>of the book.</w:t>
      </w:r>
    </w:p>
    <w:p w:rsidR="00B72047" w:rsidRDefault="00B72047">
      <w:pPr>
        <w:pStyle w:val="examplefixed"/>
        <w:rPr>
          <w:rStyle w:val="htmlcodes"/>
        </w:rPr>
      </w:pPr>
      <w:r>
        <w:rPr>
          <w:rStyle w:val="htmlcodes"/>
        </w:rPr>
        <w:t>&lt;p&gt;</w:t>
      </w:r>
    </w:p>
    <w:tbl>
      <w:tblPr>
        <w:tblW w:w="0" w:type="auto"/>
        <w:tblInd w:w="1440" w:type="dxa"/>
        <w:tblLayout w:type="fixed"/>
        <w:tblCellMar>
          <w:left w:w="0" w:type="dxa"/>
          <w:right w:w="0" w:type="dxa"/>
        </w:tblCellMar>
        <w:tblLook w:val="0000"/>
      </w:tblPr>
      <w:tblGrid>
        <w:gridCol w:w="405"/>
        <w:gridCol w:w="173"/>
        <w:gridCol w:w="1245"/>
        <w:gridCol w:w="190"/>
        <w:gridCol w:w="1227"/>
      </w:tblGrid>
      <w:tr w:rsidR="00B72047">
        <w:tblPrEx>
          <w:tblCellMar>
            <w:top w:w="0" w:type="dxa"/>
            <w:left w:w="0" w:type="dxa"/>
            <w:bottom w:w="0" w:type="dxa"/>
            <w:right w:w="0" w:type="dxa"/>
          </w:tblCellMar>
        </w:tblPrEx>
        <w:trPr>
          <w:cantSplit/>
          <w:hidden w:val="0"/>
        </w:trPr>
        <w:tc>
          <w:tcPr>
            <w:tcW w:w="3240" w:type="dxa"/>
            <w:gridSpan w:val="5"/>
          </w:tcPr>
          <w:p w:rsidR="00B72047" w:rsidRDefault="00B72047">
            <w:pPr>
              <w:pStyle w:val="normalafterexample"/>
              <w:spacing w:before="120"/>
              <w:ind w:firstLine="0"/>
              <w:jc w:val="center"/>
              <w:rPr>
                <w:rStyle w:val="htmlcodes"/>
              </w:rPr>
            </w:pPr>
            <w:r>
              <w:rPr>
                <w:rStyle w:val="htmlcodes"/>
                <w:vanish w:val="0"/>
              </w:rPr>
              <w:t>bridi (predicate)</w:t>
            </w:r>
            <w:r>
              <w:rPr>
                <w:rStyle w:val="htmlcodes"/>
                <w:vanish w:val="0"/>
              </w:rPr>
              <w:br/>
            </w:r>
            <w:r>
              <w:rPr>
                <w:rStyle w:val="htmlcodes"/>
                <w:vanish w:val="0"/>
                <w:sz w:val="8"/>
                <w:szCs w:val="8"/>
              </w:rPr>
              <w:t>|</w:t>
            </w:r>
          </w:p>
          <w:p w:rsidR="00B72047" w:rsidRDefault="00B72047">
            <w:pPr>
              <w:pStyle w:val="normalafterexample"/>
              <w:ind w:firstLine="0"/>
              <w:rPr>
                <w:rStyle w:val="htmlcodes"/>
              </w:rPr>
            </w:pPr>
          </w:p>
        </w:tc>
      </w:tr>
      <w:tr w:rsidR="00B72047">
        <w:tblPrEx>
          <w:tblCellMar>
            <w:top w:w="0" w:type="dxa"/>
            <w:left w:w="0" w:type="dxa"/>
            <w:bottom w:w="0" w:type="dxa"/>
            <w:right w:w="0" w:type="dxa"/>
          </w:tblCellMar>
        </w:tblPrEx>
        <w:trPr>
          <w:cantSplit/>
          <w:trHeight w:hRule="exact" w:val="80"/>
          <w:hidden w:val="0"/>
        </w:trPr>
        <w:tc>
          <w:tcPr>
            <w:tcW w:w="405" w:type="dxa"/>
            <w:tcBorders>
              <w:top w:val="single" w:sz="6" w:space="0" w:color="auto"/>
              <w:left w:val="single" w:sz="6" w:space="0" w:color="auto"/>
            </w:tcBorders>
          </w:tcPr>
          <w:p w:rsidR="00B72047" w:rsidRDefault="00B72047">
            <w:pPr>
              <w:pStyle w:val="normalafterexample"/>
              <w:ind w:firstLine="0"/>
              <w:jc w:val="center"/>
              <w:rPr>
                <w:rStyle w:val="htmlcodes"/>
                <w:vanish w:val="0"/>
              </w:rPr>
            </w:pPr>
          </w:p>
        </w:tc>
        <w:tc>
          <w:tcPr>
            <w:tcW w:w="173" w:type="dxa"/>
            <w:tcBorders>
              <w:top w:val="single" w:sz="6" w:space="0" w:color="auto"/>
            </w:tcBorders>
          </w:tcPr>
          <w:p w:rsidR="00B72047" w:rsidRDefault="00B72047">
            <w:pPr>
              <w:pStyle w:val="normalafterexample"/>
              <w:ind w:firstLine="0"/>
              <w:rPr>
                <w:rStyle w:val="htmlcodes"/>
              </w:rPr>
            </w:pPr>
          </w:p>
        </w:tc>
        <w:tc>
          <w:tcPr>
            <w:tcW w:w="1245" w:type="dxa"/>
            <w:tcBorders>
              <w:top w:val="single" w:sz="6" w:space="0" w:color="auto"/>
            </w:tcBorders>
          </w:tcPr>
          <w:p w:rsidR="00B72047" w:rsidRDefault="00B72047">
            <w:pPr>
              <w:pStyle w:val="normalafterexample"/>
              <w:ind w:firstLine="0"/>
              <w:jc w:val="center"/>
              <w:rPr>
                <w:rStyle w:val="htmlcodes"/>
              </w:rPr>
            </w:pPr>
          </w:p>
        </w:tc>
        <w:tc>
          <w:tcPr>
            <w:tcW w:w="190" w:type="dxa"/>
            <w:tcBorders>
              <w:top w:val="single" w:sz="6" w:space="0" w:color="auto"/>
            </w:tcBorders>
          </w:tcPr>
          <w:p w:rsidR="00B72047" w:rsidRDefault="00B72047">
            <w:pPr>
              <w:pStyle w:val="normalafterexample"/>
              <w:ind w:firstLine="0"/>
              <w:rPr>
                <w:rStyle w:val="htmlcodes"/>
              </w:rPr>
            </w:pPr>
          </w:p>
        </w:tc>
        <w:tc>
          <w:tcPr>
            <w:tcW w:w="1227" w:type="dxa"/>
            <w:tcBorders>
              <w:top w:val="single" w:sz="6" w:space="0" w:color="auto"/>
              <w:right w:val="single" w:sz="6" w:space="0" w:color="auto"/>
            </w:tcBorders>
          </w:tcPr>
          <w:p w:rsidR="00B72047" w:rsidRDefault="00B72047">
            <w:pPr>
              <w:pStyle w:val="normalafterexample"/>
              <w:ind w:firstLine="0"/>
              <w:rPr>
                <w:rStyle w:val="htmlcodes"/>
              </w:rPr>
            </w:pPr>
          </w:p>
        </w:tc>
      </w:tr>
      <w:tr w:rsidR="00B72047">
        <w:tblPrEx>
          <w:tblCellMar>
            <w:top w:w="0" w:type="dxa"/>
            <w:left w:w="0" w:type="dxa"/>
            <w:bottom w:w="0" w:type="dxa"/>
            <w:right w:w="0" w:type="dxa"/>
          </w:tblCellMar>
        </w:tblPrEx>
        <w:trPr>
          <w:cantSplit/>
          <w:hidden w:val="0"/>
        </w:trPr>
        <w:tc>
          <w:tcPr>
            <w:tcW w:w="405" w:type="dxa"/>
          </w:tcPr>
          <w:p w:rsidR="00B72047" w:rsidRDefault="00B72047">
            <w:pPr>
              <w:pStyle w:val="normalafterexample"/>
              <w:spacing w:before="100" w:after="100"/>
              <w:ind w:firstLine="0"/>
              <w:jc w:val="center"/>
              <w:rPr>
                <w:rStyle w:val="htmlcodes"/>
              </w:rPr>
            </w:pPr>
            <w:r>
              <w:rPr>
                <w:rStyle w:val="htmlcodes"/>
                <w:vanish w:val="0"/>
              </w:rPr>
              <w:t>John</w:t>
            </w:r>
          </w:p>
        </w:tc>
        <w:tc>
          <w:tcPr>
            <w:tcW w:w="173" w:type="dxa"/>
          </w:tcPr>
          <w:p w:rsidR="00B72047" w:rsidRDefault="00B72047">
            <w:pPr>
              <w:pStyle w:val="normalafterexample"/>
              <w:spacing w:before="100" w:after="100"/>
              <w:ind w:firstLine="0"/>
              <w:rPr>
                <w:rStyle w:val="htmlcodes"/>
              </w:rPr>
            </w:pPr>
          </w:p>
        </w:tc>
        <w:tc>
          <w:tcPr>
            <w:tcW w:w="1245" w:type="dxa"/>
          </w:tcPr>
          <w:p w:rsidR="00B72047" w:rsidRDefault="00B72047">
            <w:pPr>
              <w:pStyle w:val="normalafterexample"/>
              <w:spacing w:before="100" w:after="100"/>
              <w:ind w:firstLine="0"/>
              <w:jc w:val="center"/>
              <w:rPr>
                <w:rStyle w:val="htmlcodes"/>
              </w:rPr>
            </w:pPr>
            <w:r>
              <w:rPr>
                <w:rStyle w:val="htmlcodes"/>
                <w:vanish w:val="0"/>
              </w:rPr>
              <w:t>is the father of</w:t>
            </w:r>
          </w:p>
        </w:tc>
        <w:tc>
          <w:tcPr>
            <w:tcW w:w="190" w:type="dxa"/>
          </w:tcPr>
          <w:p w:rsidR="00B72047" w:rsidRDefault="00B72047">
            <w:pPr>
              <w:pStyle w:val="normalafterexample"/>
              <w:spacing w:before="100" w:after="100"/>
              <w:ind w:firstLine="0"/>
              <w:rPr>
                <w:rStyle w:val="htmlcodes"/>
              </w:rPr>
            </w:pPr>
          </w:p>
        </w:tc>
        <w:tc>
          <w:tcPr>
            <w:tcW w:w="1227" w:type="dxa"/>
          </w:tcPr>
          <w:p w:rsidR="00B72047" w:rsidRDefault="00B72047">
            <w:pPr>
              <w:pStyle w:val="normalafterexample"/>
              <w:spacing w:before="100" w:after="100"/>
              <w:ind w:firstLine="0"/>
              <w:jc w:val="center"/>
              <w:rPr>
                <w:rStyle w:val="htmlcodes"/>
              </w:rPr>
            </w:pPr>
            <w:r>
              <w:rPr>
                <w:rStyle w:val="htmlcodes"/>
                <w:vanish w:val="0"/>
              </w:rPr>
              <w:t>Sam</w:t>
            </w:r>
          </w:p>
        </w:tc>
      </w:tr>
      <w:tr w:rsidR="00B72047">
        <w:tblPrEx>
          <w:tblCellMar>
            <w:top w:w="0" w:type="dxa"/>
            <w:left w:w="0" w:type="dxa"/>
            <w:bottom w:w="0" w:type="dxa"/>
            <w:right w:w="0" w:type="dxa"/>
          </w:tblCellMar>
        </w:tblPrEx>
        <w:trPr>
          <w:cantSplit/>
          <w:trHeight w:hRule="exact" w:val="80"/>
        </w:trPr>
        <w:tc>
          <w:tcPr>
            <w:tcW w:w="405" w:type="dxa"/>
            <w:tcBorders>
              <w:left w:val="single" w:sz="6" w:space="0" w:color="auto"/>
              <w:bottom w:val="single" w:sz="6" w:space="0" w:color="auto"/>
              <w:right w:val="single" w:sz="6" w:space="0" w:color="auto"/>
            </w:tcBorders>
          </w:tcPr>
          <w:p w:rsidR="00B72047" w:rsidRDefault="00B72047">
            <w:pPr>
              <w:pStyle w:val="normalafterexample"/>
              <w:ind w:firstLine="0"/>
              <w:rPr>
                <w:rStyle w:val="htmlcodes"/>
              </w:rPr>
            </w:pPr>
          </w:p>
        </w:tc>
        <w:tc>
          <w:tcPr>
            <w:tcW w:w="173" w:type="dxa"/>
            <w:tcBorders>
              <w:left w:val="nil"/>
            </w:tcBorders>
          </w:tcPr>
          <w:p w:rsidR="00B72047" w:rsidRDefault="00B72047">
            <w:pPr>
              <w:pStyle w:val="normalafterexample"/>
              <w:ind w:firstLine="0"/>
              <w:rPr>
                <w:rStyle w:val="htmlcodes"/>
              </w:rPr>
            </w:pPr>
          </w:p>
        </w:tc>
        <w:tc>
          <w:tcPr>
            <w:tcW w:w="1245" w:type="dxa"/>
            <w:tcBorders>
              <w:left w:val="single" w:sz="6" w:space="0" w:color="auto"/>
              <w:bottom w:val="single" w:sz="6" w:space="0" w:color="auto"/>
              <w:right w:val="single" w:sz="6" w:space="0" w:color="auto"/>
            </w:tcBorders>
          </w:tcPr>
          <w:p w:rsidR="00B72047" w:rsidRDefault="00B72047">
            <w:pPr>
              <w:pStyle w:val="normalafterexample"/>
              <w:ind w:firstLine="0"/>
              <w:rPr>
                <w:rStyle w:val="htmlcodes"/>
              </w:rPr>
            </w:pPr>
          </w:p>
        </w:tc>
        <w:tc>
          <w:tcPr>
            <w:tcW w:w="190" w:type="dxa"/>
            <w:tcBorders>
              <w:left w:val="nil"/>
            </w:tcBorders>
          </w:tcPr>
          <w:p w:rsidR="00B72047" w:rsidRDefault="00B72047">
            <w:pPr>
              <w:pStyle w:val="normalafterexample"/>
              <w:ind w:firstLine="0"/>
              <w:rPr>
                <w:rStyle w:val="htmlcodes"/>
              </w:rPr>
            </w:pPr>
          </w:p>
        </w:tc>
        <w:tc>
          <w:tcPr>
            <w:tcW w:w="1227" w:type="dxa"/>
            <w:tcBorders>
              <w:left w:val="single" w:sz="6" w:space="0" w:color="auto"/>
              <w:bottom w:val="single" w:sz="6" w:space="0" w:color="auto"/>
              <w:right w:val="single" w:sz="6" w:space="0" w:color="auto"/>
            </w:tcBorders>
          </w:tcPr>
          <w:p w:rsidR="00B72047" w:rsidRDefault="00B72047">
            <w:pPr>
              <w:pStyle w:val="normalafterexample"/>
              <w:ind w:firstLine="0"/>
              <w:rPr>
                <w:rStyle w:val="htmlcodes"/>
              </w:rPr>
            </w:pPr>
          </w:p>
        </w:tc>
      </w:tr>
      <w:tr w:rsidR="00B72047">
        <w:tblPrEx>
          <w:tblCellMar>
            <w:top w:w="0" w:type="dxa"/>
            <w:left w:w="0" w:type="dxa"/>
            <w:bottom w:w="0" w:type="dxa"/>
            <w:right w:w="0" w:type="dxa"/>
          </w:tblCellMar>
        </w:tblPrEx>
        <w:trPr>
          <w:cantSplit/>
          <w:hidden w:val="0"/>
        </w:trPr>
        <w:tc>
          <w:tcPr>
            <w:tcW w:w="405" w:type="dxa"/>
          </w:tcPr>
          <w:p w:rsidR="00B72047" w:rsidRDefault="00B72047">
            <w:pPr>
              <w:pStyle w:val="normalafterexample"/>
              <w:spacing w:before="0"/>
              <w:ind w:firstLine="0"/>
              <w:jc w:val="center"/>
              <w:rPr>
                <w:rStyle w:val="htmlcodes"/>
              </w:rPr>
            </w:pPr>
            <w:r>
              <w:rPr>
                <w:rStyle w:val="htmlcodes"/>
                <w:vanish w:val="0"/>
                <w:sz w:val="8"/>
                <w:szCs w:val="8"/>
              </w:rPr>
              <w:t>|</w:t>
            </w:r>
            <w:r>
              <w:rPr>
                <w:rStyle w:val="htmlcodes"/>
                <w:vanish w:val="0"/>
              </w:rPr>
              <w:br/>
              <w:t>sumti</w:t>
            </w:r>
          </w:p>
        </w:tc>
        <w:tc>
          <w:tcPr>
            <w:tcW w:w="173" w:type="dxa"/>
          </w:tcPr>
          <w:p w:rsidR="00B72047" w:rsidRDefault="00B72047">
            <w:pPr>
              <w:pStyle w:val="normalafterexample"/>
              <w:spacing w:before="0"/>
              <w:ind w:firstLine="0"/>
              <w:rPr>
                <w:rStyle w:val="htmlcodes"/>
              </w:rPr>
            </w:pPr>
          </w:p>
        </w:tc>
        <w:tc>
          <w:tcPr>
            <w:tcW w:w="1245" w:type="dxa"/>
          </w:tcPr>
          <w:p w:rsidR="00B72047" w:rsidRDefault="00B72047">
            <w:pPr>
              <w:pStyle w:val="normalafterexample"/>
              <w:spacing w:before="0"/>
              <w:ind w:firstLine="0"/>
              <w:jc w:val="center"/>
              <w:rPr>
                <w:rStyle w:val="htmlcodes"/>
              </w:rPr>
            </w:pPr>
            <w:r>
              <w:rPr>
                <w:rStyle w:val="htmlcodes"/>
                <w:vanish w:val="0"/>
                <w:sz w:val="8"/>
                <w:szCs w:val="8"/>
              </w:rPr>
              <w:t>|</w:t>
            </w:r>
            <w:r>
              <w:rPr>
                <w:rStyle w:val="htmlcodes"/>
                <w:vanish w:val="0"/>
              </w:rPr>
              <w:br/>
              <w:t>selbri</w:t>
            </w:r>
          </w:p>
        </w:tc>
        <w:tc>
          <w:tcPr>
            <w:tcW w:w="190" w:type="dxa"/>
          </w:tcPr>
          <w:p w:rsidR="00B72047" w:rsidRDefault="00B72047">
            <w:pPr>
              <w:pStyle w:val="normalafterexample"/>
              <w:spacing w:before="0"/>
              <w:ind w:firstLine="0"/>
              <w:rPr>
                <w:rStyle w:val="htmlcodes"/>
              </w:rPr>
            </w:pPr>
          </w:p>
        </w:tc>
        <w:tc>
          <w:tcPr>
            <w:tcW w:w="1227" w:type="dxa"/>
          </w:tcPr>
          <w:p w:rsidR="00B72047" w:rsidRDefault="00B72047">
            <w:pPr>
              <w:pStyle w:val="normalafterexample"/>
              <w:spacing w:before="0"/>
              <w:ind w:firstLine="0"/>
              <w:jc w:val="center"/>
              <w:rPr>
                <w:rStyle w:val="htmlcodes"/>
              </w:rPr>
            </w:pPr>
            <w:r>
              <w:rPr>
                <w:rStyle w:val="htmlcodes"/>
                <w:vanish w:val="0"/>
                <w:sz w:val="8"/>
                <w:szCs w:val="8"/>
              </w:rPr>
              <w:t>|</w:t>
            </w:r>
            <w:r>
              <w:rPr>
                <w:rStyle w:val="htmlcodes"/>
                <w:vanish w:val="0"/>
              </w:rPr>
              <w:br/>
              <w:t>sumti (argument)</w:t>
            </w:r>
          </w:p>
        </w:tc>
      </w:tr>
    </w:tbl>
    <w:p w:rsidR="00B72047" w:rsidRDefault="00B72047">
      <w:pPr>
        <w:pStyle w:val="normalafterexample"/>
      </w:pPr>
      <w:r>
        <w:rPr>
          <w:rStyle w:val="htmlcodes"/>
        </w:rPr>
        <w:t>&lt;/pre&gt;</w:t>
      </w:r>
      <w:r>
        <w:rPr>
          <w:rStyle w:val="indexentry"/>
        </w:rPr>
        <w:t>&lt;ex "give"&gt;</w:t>
      </w:r>
      <w:r>
        <w:rPr>
          <w:rStyle w:val="indexentry"/>
        </w:rPr>
        <w:fldChar w:fldCharType="begin"/>
      </w:r>
      <w:r>
        <w:instrText>xe "</w:instrText>
      </w:r>
      <w:r>
        <w:rPr>
          <w:rStyle w:val="xeentry"/>
        </w:rPr>
        <w:instrText>give: example</w:instrText>
      </w:r>
      <w:r>
        <w:instrText>"</w:instrText>
      </w:r>
      <w:r>
        <w:rPr>
          <w:rStyle w:val="indexentry"/>
        </w:rPr>
        <w:fldChar w:fldCharType="end"/>
      </w:r>
      <w:r>
        <w:t>In a relationship, there are a definite number of things being</w:t>
      </w:r>
      <w:r>
        <w:rPr>
          <w:rStyle w:val="deletedparamark"/>
        </w:rPr>
        <w:t xml:space="preserve"> </w:t>
      </w:r>
      <w:r>
        <w:t>related. In Eng</w:t>
      </w:r>
      <w:r>
        <w:softHyphen/>
        <w:t>lish, for example, “give” has three places: the donor, the</w:t>
      </w:r>
      <w:r>
        <w:rPr>
          <w:rStyle w:val="deletedparamark"/>
        </w:rPr>
        <w:t xml:space="preserve"> </w:t>
      </w:r>
      <w:r>
        <w:t>recipient and the gift. For ex</w:t>
      </w:r>
      <w:r>
        <w:softHyphen/>
        <w:t>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name=e1d4&gt;</w:t>
      </w:r>
      <w:r>
        <w:t>1.4)</w:t>
      </w:r>
      <w:r>
        <w:tab/>
        <w:t>John gives Sam the book.</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name=e1d5&gt;</w:t>
      </w:r>
      <w:r>
        <w:t>1.5)</w:t>
      </w:r>
      <w:r>
        <w:tab/>
        <w:t>Sam gives John the book.</w:t>
      </w:r>
    </w:p>
    <w:p w:rsidR="00B72047" w:rsidRDefault="00B72047">
      <w:pPr>
        <w:pStyle w:val="resumedafterexample"/>
        <w:rPr>
          <w:rStyle w:val="htmlparacode"/>
        </w:rPr>
      </w:pPr>
      <w:r>
        <w:rPr>
          <w:rStyle w:val="htmlcodes"/>
        </w:rPr>
        <w:t>&lt;/pre&gt;</w:t>
      </w:r>
      <w:r>
        <w:t>mean two different things because the relative positions of “John” and</w:t>
      </w:r>
      <w:r>
        <w:rPr>
          <w:rStyle w:val="deletedparamark"/>
        </w:rPr>
        <w:t xml:space="preserve"> “</w:t>
      </w:r>
      <w:r>
        <w:t>Sam” have been switched.</w:t>
      </w:r>
      <w:r>
        <w:rPr>
          <w:rStyle w:val="htmlparacode"/>
          <w:vanish w:val="0"/>
        </w:rPr>
        <w:t xml:space="preserve">  </w:t>
      </w:r>
      <w:r>
        <w:rPr>
          <w:rStyle w:val="htmlparacode"/>
        </w:rPr>
        <w:t>&lt;p&gt;</w:t>
      </w:r>
    </w:p>
    <w:p w:rsidR="00B72047" w:rsidRDefault="00B72047">
      <w:pPr>
        <w:pStyle w:val="normalparagraph"/>
      </w:pPr>
      <w:r>
        <w:t>Further,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name=e1d6&gt;</w:t>
      </w:r>
      <w:r>
        <w:t>1.6)</w:t>
      </w:r>
      <w:r>
        <w:tab/>
        <w:t>The book gives John Sam.</w:t>
      </w:r>
    </w:p>
    <w:p w:rsidR="00B72047" w:rsidRDefault="00B72047">
      <w:pPr>
        <w:pStyle w:val="resumedafterexample"/>
      </w:pPr>
      <w:r>
        <w:rPr>
          <w:rStyle w:val="htmlcodes"/>
        </w:rPr>
        <w:t>&lt;/pre&gt;</w:t>
      </w:r>
      <w:r>
        <w:t>seems strange to us merely because the places are being filled by</w:t>
      </w:r>
      <w:r>
        <w:rPr>
          <w:rStyle w:val="deletedparamark"/>
        </w:rPr>
        <w:t xml:space="preserve"> </w:t>
      </w:r>
      <w:r>
        <w:t>unorthodox argu</w:t>
      </w:r>
      <w:r>
        <w:softHyphen/>
        <w:t>ments. The relationship expressed by “give” has not</w:t>
      </w:r>
      <w:r>
        <w:rPr>
          <w:rStyle w:val="deletedparamark"/>
        </w:rPr>
        <w:t xml:space="preserve"> </w:t>
      </w:r>
      <w:r>
        <w:t>changed.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"place structure, definition of"&gt;</w:t>
      </w:r>
      <w:r>
        <w:rPr>
          <w:rStyle w:val="indexentry"/>
        </w:rPr>
        <w:fldChar w:fldCharType="begin"/>
      </w:r>
      <w:r>
        <w:instrText>xe "</w:instrText>
      </w:r>
      <w:r>
        <w:rPr>
          <w:rStyle w:val="xeentry"/>
        </w:rPr>
        <w:instrText>place structure: definition</w:instrText>
      </w:r>
      <w:r>
        <w:instrText>"</w:instrText>
      </w:r>
      <w:r>
        <w:rPr>
          <w:rStyle w:val="indexentry"/>
        </w:rPr>
        <w:fldChar w:fldCharType="end"/>
      </w:r>
      <w:r>
        <w:t>In Lojban, each selbri has a specified number and type of ar</w:t>
      </w:r>
      <w:r>
        <w:softHyphen/>
        <w:t>guments,</w:t>
      </w:r>
      <w:r>
        <w:rPr>
          <w:rStyle w:val="deletedparamark"/>
        </w:rPr>
        <w:t xml:space="preserve"> </w:t>
      </w:r>
      <w:r>
        <w:t>known col</w:t>
      </w:r>
      <w:r>
        <w:softHyphen/>
        <w:t>lec</w:t>
      </w:r>
      <w:r>
        <w:softHyphen/>
        <w:t>tively as its “place structure”. The simplest kind of selbri</w:t>
      </w:r>
      <w:r>
        <w:rPr>
          <w:rStyle w:val="deletedparamark"/>
        </w:rPr>
        <w:t xml:space="preserve"> </w:t>
      </w:r>
      <w:r>
        <w:t>consists of a single root word, called a “gismu”, and</w:t>
      </w:r>
      <w:r>
        <w:rPr>
          <w:rStyle w:val="deletedparamark"/>
        </w:rPr>
        <w:t xml:space="preserve"> </w:t>
      </w:r>
      <w:r>
        <w:t>the defi</w:t>
      </w:r>
      <w:r>
        <w:softHyphen/>
        <w:t>nition in a dictionary gives the place structure ex</w:t>
      </w:r>
      <w:r>
        <w:softHyphen/>
        <w:t>plicitly. The</w:t>
      </w:r>
      <w:r>
        <w:rPr>
          <w:rStyle w:val="deletedparamark"/>
        </w:rPr>
        <w:t xml:space="preserve"> </w:t>
      </w:r>
      <w:r>
        <w:t>primary task of constructing a Lojban sentence, after choosing the</w:t>
      </w:r>
      <w:r>
        <w:rPr>
          <w:rStyle w:val="deletedparamark"/>
        </w:rPr>
        <w:t xml:space="preserve"> </w:t>
      </w:r>
      <w:r>
        <w:t>relation</w:t>
      </w:r>
      <w:r>
        <w:softHyphen/>
        <w:t>ship itself, is deciding what you will use to fill in the sumti</w:t>
      </w:r>
      <w:r>
        <w:rPr>
          <w:rStyle w:val="deletedparamark"/>
        </w:rPr>
        <w:t xml:space="preserve"> </w:t>
      </w:r>
      <w:r>
        <w:t>places.</w:t>
      </w:r>
    </w:p>
    <w:p w:rsidR="00B72047" w:rsidRDefault="00B72047">
      <w:pPr>
        <w:pStyle w:val="normalparagraph"/>
        <w:rPr>
          <w:rStyle w:val="htmlparacode"/>
        </w:rPr>
      </w:pPr>
      <w:r>
        <w:rPr>
          <w:rStyle w:val="htmlparacode"/>
        </w:rPr>
        <w:t>&lt;p&gt;</w:t>
      </w:r>
    </w:p>
    <w:p w:rsidR="00B72047" w:rsidRDefault="00B72047">
      <w:pPr>
        <w:pStyle w:val="normalparagraph"/>
      </w:pPr>
      <w:r>
        <w:t>This book uses the Lojban terms “bridi”, “sumti”, and</w:t>
      </w:r>
      <w:r>
        <w:rPr>
          <w:rStyle w:val="deletedparamark"/>
        </w:rPr>
        <w:t xml:space="preserve"> “</w:t>
      </w:r>
      <w:r>
        <w:t>selbri”, because it is best to come to understand them independently</w:t>
      </w:r>
      <w:r>
        <w:rPr>
          <w:rStyle w:val="deletedparamark"/>
        </w:rPr>
        <w:t xml:space="preserve"> </w:t>
      </w:r>
      <w:r>
        <w:t>of the English associations of the corre</w:t>
      </w:r>
      <w:r>
        <w:softHyphen/>
        <w:t>spond</w:t>
      </w:r>
      <w:r>
        <w:softHyphen/>
        <w:t>ing words, which are only</w:t>
      </w:r>
      <w:r>
        <w:rPr>
          <w:rStyle w:val="deletedparamark"/>
        </w:rPr>
        <w:t xml:space="preserve"> </w:t>
      </w:r>
      <w:r>
        <w:t>roughly similar in meaning anyhow.</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"underlines"&gt;</w:t>
      </w:r>
      <w:r>
        <w:rPr>
          <w:rStyle w:val="indexentry"/>
        </w:rPr>
        <w:fldChar w:fldCharType="begin"/>
      </w:r>
      <w:r>
        <w:instrText>xe "</w:instrText>
      </w:r>
      <w:r>
        <w:rPr>
          <w:rStyle w:val="xeentry"/>
        </w:rPr>
        <w:instrText>underlines: example</w:instrText>
      </w:r>
      <w:r>
        <w:instrText>"</w:instrText>
      </w:r>
      <w:r>
        <w:rPr>
          <w:rStyle w:val="indexentry"/>
        </w:rPr>
        <w:fldChar w:fldCharType="end"/>
      </w:r>
      <w:r>
        <w:rPr>
          <w:rStyle w:val="indexentry"/>
        </w:rPr>
        <w:t>&lt;cx "notation conventions, for Quick Tour chapter"&gt;</w:t>
      </w:r>
      <w:r>
        <w:rPr>
          <w:rStyle w:val="indexentry"/>
        </w:rPr>
        <w:fldChar w:fldCharType="begin"/>
      </w:r>
      <w:r>
        <w:instrText>xe "</w:instrText>
      </w:r>
      <w:r>
        <w:rPr>
          <w:rStyle w:val="xeentry"/>
        </w:rPr>
        <w:instrText>notation conventions: for Quick Tour chapter</w:instrText>
      </w:r>
      <w:r>
        <w:instrText>"</w:instrText>
      </w:r>
      <w:r>
        <w:rPr>
          <w:rStyle w:val="indexentry"/>
        </w:rPr>
        <w:fldChar w:fldCharType="end"/>
      </w:r>
      <w:r>
        <w:rPr>
          <w:rStyle w:val="indexentry"/>
        </w:rPr>
        <w:t>&lt;cx "</w:t>
      </w:r>
      <w:r>
        <w:rPr>
          <w:rStyle w:val="indexentry"/>
          <w:u w:val="single"/>
        </w:rPr>
        <w:t xml:space="preserve">     </w:t>
      </w:r>
      <w:r>
        <w:rPr>
          <w:rStyle w:val="indexentry"/>
        </w:rPr>
        <w:t xml:space="preserve"> notation convention for Quick Tour chapter"&gt;</w:t>
      </w:r>
      <w:r>
        <w:rPr>
          <w:rStyle w:val="indexentry"/>
        </w:rPr>
        <w:fldChar w:fldCharType="begin"/>
      </w:r>
      <w:r>
        <w:rPr>
          <w:rStyle w:val="xeentry"/>
        </w:rPr>
        <w:instrText>xe "selma’ounderscore notation for Quick Tour chapter"</w:instrText>
      </w:r>
      <w:r>
        <w:rPr>
          <w:rStyle w:val="indexentry"/>
        </w:rPr>
        <w:fldChar w:fldCharType="end"/>
      </w:r>
      <w:r>
        <w:rPr>
          <w:rStyle w:val="indexentry"/>
        </w:rPr>
        <w:t>cx "= notation convention for Quick Tour chapter"&gt;</w:t>
      </w:r>
      <w:r>
        <w:rPr>
          <w:rStyle w:val="indexentry"/>
        </w:rPr>
        <w:fldChar w:fldCharType="begin"/>
      </w:r>
      <w:r>
        <w:rPr>
          <w:rStyle w:val="xeentry"/>
        </w:rPr>
        <w:instrText>xe "selma’odouble underscore notation convention for Quick Tour chapter"</w:instrText>
      </w:r>
      <w:r>
        <w:rPr>
          <w:rStyle w:val="indexentry"/>
        </w:rPr>
        <w:fldChar w:fldCharType="end"/>
      </w:r>
      <w:r>
        <w:t>The Lojban examples in this chapter (but not in the rest of the book)</w:t>
      </w:r>
      <w:r>
        <w:rPr>
          <w:rStyle w:val="deletedparamark"/>
        </w:rPr>
        <w:t xml:space="preserve"> </w:t>
      </w:r>
      <w:r>
        <w:t>use a sin</w:t>
      </w:r>
      <w:r>
        <w:softHyphen/>
        <w:t>gle un</w:t>
      </w:r>
      <w:r>
        <w:softHyphen/>
        <w:t>derline (</w:t>
      </w:r>
      <w:r>
        <w:rPr>
          <w:u w:val="single"/>
        </w:rPr>
        <w:t xml:space="preserve">     </w:t>
      </w:r>
      <w:r>
        <w:t>) under each sumti, and a double un</w:t>
      </w:r>
      <w:r>
        <w:softHyphen/>
        <w:t>derline</w:t>
      </w:r>
      <w:r>
        <w:rPr>
          <w:rStyle w:val="deletedparamark"/>
        </w:rPr>
        <w:t xml:space="preserve"> </w:t>
      </w:r>
      <w:r>
        <w:t>(</w:t>
      </w:r>
      <w:r>
        <w:rPr>
          <w:u w:val="double"/>
        </w:rPr>
        <w:t xml:space="preserve">     </w:t>
      </w:r>
      <w:r>
        <w:t>) under each selbri, to help you to tell them apart.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57" w:name="_Toc395691466"/>
      <w:bookmarkStart w:id="58" w:name="_Toc395691660"/>
      <w:bookmarkStart w:id="59" w:name="_Toc398970437"/>
      <w:r>
        <w:rPr>
          <w:rStyle w:val="Heading3Text"/>
        </w:rPr>
        <w:t>Pronunciation</w:t>
      </w:r>
      <w:bookmarkEnd w:id="57"/>
      <w:bookmarkEnd w:id="58"/>
      <w:bookmarkEnd w:id="5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"pronunciation (quick-tour version)"&gt;</w:t>
      </w:r>
      <w:r>
        <w:rPr>
          <w:rStyle w:val="indexentry"/>
        </w:rPr>
        <w:fldChar w:fldCharType="begin"/>
      </w:r>
      <w:r>
        <w:instrText>xe "</w:instrText>
      </w:r>
      <w:r>
        <w:rPr>
          <w:rStyle w:val="xeentry"/>
        </w:rPr>
        <w:instrText>pronunciation: quick-tour version</w:instrText>
      </w:r>
      <w:r>
        <w:instrText>"</w:instrText>
      </w:r>
      <w:r>
        <w:rPr>
          <w:rStyle w:val="indexentry"/>
        </w:rPr>
        <w:fldChar w:fldCharType="end"/>
      </w:r>
      <w:r>
        <w:t xml:space="preserve">Detailed pronunciation and spelling rules are given in </w:t>
      </w:r>
      <w:r>
        <w:rPr>
          <w:rStyle w:val="htmlcodes"/>
        </w:rPr>
        <w:t>&lt;a href=chap3.html&gt;</w:t>
      </w:r>
      <w:r>
        <w:t>Chapter 3</w:t>
      </w:r>
      <w:r>
        <w:rPr>
          <w:rStyle w:val="htmlcodes"/>
        </w:rPr>
        <w:t>&lt;/a&gt;</w:t>
      </w:r>
      <w:r>
        <w:t>,</w:t>
      </w:r>
      <w:r>
        <w:rPr>
          <w:rStyle w:val="deletedparamark"/>
        </w:rPr>
        <w:t xml:space="preserve"> </w:t>
      </w:r>
      <w:r>
        <w:t>but what fol</w:t>
      </w:r>
      <w:r>
        <w:softHyphen/>
        <w:t>lows will keep the reader from going too far astray</w:t>
      </w:r>
      <w:r>
        <w:rPr>
          <w:rStyle w:val="deletedparamark"/>
        </w:rPr>
        <w:t xml:space="preserve"> </w:t>
      </w:r>
      <w:r>
        <w:t>while digesting this chapter.</w:t>
      </w:r>
    </w:p>
    <w:p w:rsidR="00B72047" w:rsidRDefault="00B72047">
      <w:pPr>
        <w:rPr>
          <w:rStyle w:val="htmlparacode"/>
        </w:rPr>
      </w:pPr>
      <w:r>
        <w:rPr>
          <w:rStyle w:val="htmlparacode"/>
        </w:rPr>
        <w:t>&lt;p&gt;</w:t>
      </w:r>
    </w:p>
    <w:p w:rsidR="00B72047" w:rsidRDefault="00B72047">
      <w:pPr>
        <w:pStyle w:val="normalparagraph"/>
      </w:pPr>
      <w:r>
        <w:rPr>
          <w:rStyle w:val="indexentry"/>
        </w:rPr>
        <w:t>&lt;cx "vowels, pronunciation of (quick-tour version)"&gt;</w:t>
      </w:r>
      <w:r>
        <w:rPr>
          <w:rStyle w:val="indexentry"/>
        </w:rPr>
        <w:fldChar w:fldCharType="begin"/>
      </w:r>
      <w:r>
        <w:instrText>xe "</w:instrText>
      </w:r>
      <w:r>
        <w:rPr>
          <w:rStyle w:val="xeentry"/>
        </w:rPr>
        <w:instrText>vowels: pronunciation of, quick-tour version</w:instrText>
      </w:r>
      <w:r>
        <w:instrText>"</w:instrText>
      </w:r>
      <w:r>
        <w:rPr>
          <w:rStyle w:val="indexentry"/>
        </w:rPr>
        <w:fldChar w:fldCharType="end"/>
      </w:r>
      <w:r>
        <w:t>Lojban has six recognized vowels: “a”, “e”, “i”, “o”, “u” and “y”.</w:t>
      </w:r>
      <w:r>
        <w:rPr>
          <w:rStyle w:val="deletedparamark"/>
        </w:rPr>
        <w:t xml:space="preserve"> </w:t>
      </w:r>
      <w:r>
        <w:t>The first five are roughly pronounced as “a” as in “father”, “e” as in</w:t>
      </w:r>
      <w:r>
        <w:rPr>
          <w:rStyle w:val="deletedparamark"/>
        </w:rPr>
        <w:t xml:space="preserve"> “</w:t>
      </w:r>
      <w:r>
        <w:t>let”, “i” as in “machine”, “o” as in “dome” and “u” as in “flute”. “y” is</w:t>
      </w:r>
      <w:r>
        <w:rPr>
          <w:rStyle w:val="deletedparamark"/>
        </w:rPr>
        <w:t xml:space="preserve"> </w:t>
      </w:r>
      <w:r>
        <w:t>pronounced as the sound called “schwa”, that is, as the unstressed “a” as</w:t>
      </w:r>
      <w:r>
        <w:rPr>
          <w:rStyle w:val="deletedparamark"/>
        </w:rPr>
        <w:t xml:space="preserve"> </w:t>
      </w:r>
      <w:r>
        <w:t>in “about” or “around”.</w:t>
      </w:r>
    </w:p>
    <w:p w:rsidR="00B72047" w:rsidRDefault="00B72047">
      <w:pPr>
        <w:rPr>
          <w:rStyle w:val="htmlparacode"/>
        </w:rPr>
      </w:pPr>
      <w:r>
        <w:rPr>
          <w:rStyle w:val="htmlparacode"/>
        </w:rPr>
        <w:t>&lt;p&gt;</w:t>
      </w:r>
    </w:p>
    <w:p w:rsidR="00B72047" w:rsidRDefault="00B72047">
      <w:pPr>
        <w:pStyle w:val="normalparagraph"/>
      </w:pPr>
      <w:r>
        <w:rPr>
          <w:rStyle w:val="indexentry"/>
        </w:rPr>
        <w:t>&lt;cx "consonants, pronunciation of (quick-tour version)"&gt;</w:t>
      </w:r>
      <w:r>
        <w:rPr>
          <w:rStyle w:val="indexentry"/>
        </w:rPr>
        <w:fldChar w:fldCharType="begin"/>
      </w:r>
      <w:r>
        <w:instrText>xe "</w:instrText>
      </w:r>
      <w:r>
        <w:rPr>
          <w:rStyle w:val="xeentry"/>
        </w:rPr>
        <w:instrText>consonants: pronunciation of, quick-tour version</w:instrText>
      </w:r>
      <w:r>
        <w:instrText>"</w:instrText>
      </w:r>
      <w:r>
        <w:rPr>
          <w:rStyle w:val="indexentry"/>
        </w:rPr>
        <w:fldChar w:fldCharType="end"/>
      </w:r>
      <w:r>
        <w:t>Twelve consonants in Lojban are pronounced more or less as their</w:t>
      </w:r>
      <w:r>
        <w:rPr>
          <w:rStyle w:val="deletedparamark"/>
        </w:rPr>
        <w:t xml:space="preserve"> </w:t>
      </w:r>
      <w:r>
        <w:t>counterparts are in English: “b”, “d”, “f”, “k”, “l”, “m”, “n”, “p”, “r”,</w:t>
      </w:r>
      <w:r>
        <w:rPr>
          <w:rStyle w:val="deletedparamark"/>
        </w:rPr>
        <w:t xml:space="preserve"> “</w:t>
      </w:r>
      <w:r>
        <w:t>t”, “v” and “z”. The letter “c”, on the other hand is pro</w:t>
      </w:r>
      <w:r>
        <w:softHyphen/>
        <w:t>nounced as the</w:t>
      </w:r>
      <w:r>
        <w:rPr>
          <w:rStyle w:val="deletedparamark"/>
        </w:rPr>
        <w:t xml:space="preserve"> “</w:t>
      </w:r>
      <w:r>
        <w:t>sh” in “hush”, while “j” is its voiced counter</w:t>
      </w:r>
      <w:r>
        <w:softHyphen/>
        <w:t>part, the sound of the “s” in</w:t>
      </w:r>
      <w:r>
        <w:rPr>
          <w:rStyle w:val="deletedparamark"/>
        </w:rPr>
        <w:t xml:space="preserve"> “</w:t>
      </w:r>
      <w:r>
        <w:t>pleasure”. “g” is always pronounced as it is in “gift”, never as in “giant”.</w:t>
      </w:r>
      <w:r>
        <w:rPr>
          <w:rStyle w:val="deletedparamark"/>
        </w:rPr>
        <w:t xml:space="preserve"> “</w:t>
      </w:r>
      <w:r>
        <w:t>s” is as in “sell”, never as in “rose”. The sound of “x” is not found in</w:t>
      </w:r>
      <w:r>
        <w:rPr>
          <w:rStyle w:val="deletedparamark"/>
        </w:rPr>
        <w:t xml:space="preserve"> </w:t>
      </w:r>
      <w:r>
        <w:t>English in normal words. It is found as “ch” in Scottish “loch”, as “j” in</w:t>
      </w:r>
      <w:r>
        <w:rPr>
          <w:rStyle w:val="deletedparamark"/>
        </w:rPr>
        <w:t xml:space="preserve"> </w:t>
      </w:r>
      <w:r>
        <w:t>Span</w:t>
      </w:r>
      <w:r>
        <w:softHyphen/>
        <w:t>ish “junta”, and as “ch” in German “Bach”; it also ap</w:t>
      </w:r>
      <w:r>
        <w:softHyphen/>
        <w:t>pears in the English</w:t>
      </w:r>
      <w:r>
        <w:rPr>
          <w:rStyle w:val="deletedparamark"/>
        </w:rPr>
        <w:t xml:space="preserve"> </w:t>
      </w:r>
      <w:r>
        <w:t>interjection “yecchh!”. It gets eas</w:t>
      </w:r>
      <w:r>
        <w:softHyphen/>
        <w:t>ier to say as you practice it. The</w:t>
      </w:r>
      <w:r>
        <w:rPr>
          <w:rStyle w:val="deletedparamark"/>
        </w:rPr>
        <w:t xml:space="preserve"> </w:t>
      </w:r>
      <w:r>
        <w:t>letter “r” can be trilled, but does</w:t>
      </w:r>
      <w:r>
        <w:softHyphen/>
        <w:t>n't have to be.</w:t>
      </w:r>
    </w:p>
    <w:p w:rsidR="00B72047" w:rsidRDefault="00B72047">
      <w:pPr>
        <w:rPr>
          <w:rStyle w:val="htmlparacode"/>
        </w:rPr>
      </w:pPr>
      <w:r>
        <w:rPr>
          <w:rStyle w:val="htmlparacode"/>
        </w:rPr>
        <w:t>&lt;p&gt;</w:t>
      </w:r>
    </w:p>
    <w:p w:rsidR="00B72047" w:rsidRDefault="00B72047">
      <w:pPr>
        <w:pStyle w:val="normalparagraph"/>
      </w:pPr>
      <w:r>
        <w:rPr>
          <w:rStyle w:val="indexentry"/>
        </w:rPr>
        <w:t>&lt;cx "diphthongs, pronunciation of (quick-tour version)"&gt;</w:t>
      </w:r>
      <w:r>
        <w:rPr>
          <w:rStyle w:val="indexentry"/>
        </w:rPr>
        <w:fldChar w:fldCharType="begin"/>
      </w:r>
      <w:r>
        <w:instrText>xe "</w:instrText>
      </w:r>
      <w:r>
        <w:rPr>
          <w:rStyle w:val="xeentry"/>
        </w:rPr>
        <w:instrText>diphthongs: pronunciation of, quick-tour version</w:instrText>
      </w:r>
      <w:r>
        <w:instrText>"</w:instrText>
      </w:r>
      <w:r>
        <w:rPr>
          <w:rStyle w:val="indexentry"/>
        </w:rPr>
        <w:fldChar w:fldCharType="end"/>
      </w:r>
      <w:r>
        <w:t>The Lojban diphthongs “ai”, “ei”, “oi”, and “au” are pro</w:t>
      </w:r>
      <w:r>
        <w:softHyphen/>
        <w:t>nounced much</w:t>
      </w:r>
      <w:r>
        <w:rPr>
          <w:rStyle w:val="deletedparamark"/>
        </w:rPr>
        <w:t xml:space="preserve"> </w:t>
      </w:r>
      <w:r>
        <w:t>as in the English words “sigh”, “say”, “boy”, and “how”. Other Lojban</w:t>
      </w:r>
      <w:r>
        <w:rPr>
          <w:rStyle w:val="deletedparamark"/>
        </w:rPr>
        <w:t xml:space="preserve"> </w:t>
      </w:r>
      <w:r>
        <w:t>diphthongs begin with an “i” pronounced like English “y” (for example,</w:t>
      </w:r>
      <w:r>
        <w:rPr>
          <w:rStyle w:val="deletedparamark"/>
        </w:rPr>
        <w:t xml:space="preserve"> “</w:t>
      </w:r>
      <w:r>
        <w:t>io” is pronounced “yo”) or else with a “u” pronounced like English</w:t>
      </w:r>
      <w:r>
        <w:rPr>
          <w:rStyle w:val="deletedparamark"/>
        </w:rPr>
        <w:t xml:space="preserve"> “</w:t>
      </w:r>
      <w:r>
        <w:t>w” (for example, “ua” is pronounced “wa”).</w:t>
      </w:r>
    </w:p>
    <w:p w:rsidR="00B72047" w:rsidRDefault="00B72047">
      <w:pPr>
        <w:rPr>
          <w:rStyle w:val="htmlparacode"/>
        </w:rPr>
      </w:pPr>
      <w:r>
        <w:rPr>
          <w:rStyle w:val="htmlparacode"/>
        </w:rPr>
        <w:t>&lt;p&gt;</w:t>
      </w:r>
    </w:p>
    <w:p w:rsidR="00B72047" w:rsidRDefault="00B72047">
      <w:pPr>
        <w:pStyle w:val="normalparagraph"/>
      </w:pPr>
      <w:r>
        <w:rPr>
          <w:rStyle w:val="indexentry"/>
        </w:rPr>
        <w:t>&lt;cx "apostrophe (quick-tour version)"&gt;</w:t>
      </w:r>
      <w:r>
        <w:rPr>
          <w:rStyle w:val="indexentry"/>
        </w:rPr>
        <w:fldChar w:fldCharType="begin"/>
      </w:r>
      <w:r>
        <w:instrText>xe "</w:instrText>
      </w:r>
      <w:r>
        <w:rPr>
          <w:rStyle w:val="xeentry"/>
        </w:rPr>
        <w:instrText>apostrophe: quick-tour version</w:instrText>
      </w:r>
      <w:r>
        <w:instrText>"</w:instrText>
      </w:r>
      <w:r>
        <w:rPr>
          <w:rStyle w:val="indexentry"/>
        </w:rPr>
        <w:fldChar w:fldCharType="end"/>
      </w:r>
      <w:r>
        <w:rPr>
          <w:rStyle w:val="indexentry"/>
        </w:rPr>
        <w:t>&lt;cx "comma (quick-tour version)"&gt;</w:t>
      </w:r>
      <w:r>
        <w:rPr>
          <w:rStyle w:val="indexentry"/>
        </w:rPr>
        <w:fldChar w:fldCharType="begin"/>
      </w:r>
      <w:r>
        <w:instrText>xe "</w:instrText>
      </w:r>
      <w:r>
        <w:rPr>
          <w:rStyle w:val="xeentry"/>
        </w:rPr>
        <w:instrText>comma: quick-tour version</w:instrText>
      </w:r>
      <w:r>
        <w:instrText>"</w:instrText>
      </w:r>
      <w:r>
        <w:rPr>
          <w:rStyle w:val="indexentry"/>
        </w:rPr>
        <w:fldChar w:fldCharType="end"/>
      </w:r>
      <w:r>
        <w:rPr>
          <w:rStyle w:val="indexentry"/>
        </w:rPr>
        <w:t>&lt;cx "period (quick-tour version)"&gt;</w:t>
      </w:r>
      <w:r>
        <w:rPr>
          <w:rStyle w:val="indexentry"/>
        </w:rPr>
        <w:fldChar w:fldCharType="begin"/>
      </w:r>
      <w:r>
        <w:instrText>xe "</w:instrText>
      </w:r>
      <w:r>
        <w:rPr>
          <w:rStyle w:val="xeentry"/>
        </w:rPr>
        <w:instrText>period: quick-tour version</w:instrText>
      </w:r>
      <w:r>
        <w:instrText>"</w:instrText>
      </w:r>
      <w:r>
        <w:rPr>
          <w:rStyle w:val="indexentry"/>
        </w:rPr>
        <w:fldChar w:fldCharType="end"/>
      </w:r>
      <w:r>
        <w:t>Lojban also has three “semi-letters”: the period, the comma and the</w:t>
      </w:r>
      <w:r>
        <w:rPr>
          <w:rStyle w:val="deletedparamark"/>
        </w:rPr>
        <w:t xml:space="preserve"> </w:t>
      </w:r>
      <w:r>
        <w:t>apostro</w:t>
      </w:r>
      <w:r>
        <w:softHyphen/>
        <w:t>phe. The period represents a glottal stop or a pause; it is a</w:t>
      </w:r>
      <w:r>
        <w:rPr>
          <w:rStyle w:val="deletedparamark"/>
        </w:rPr>
        <w:t xml:space="preserve"> </w:t>
      </w:r>
      <w:r>
        <w:t>required stoppage of the flow of air in the speech stream. The apostrophe</w:t>
      </w:r>
      <w:r>
        <w:rPr>
          <w:rStyle w:val="deletedparamark"/>
        </w:rPr>
        <w:t xml:space="preserve"> </w:t>
      </w:r>
      <w:r>
        <w:t>sounds just like the English letter “h”. Un</w:t>
      </w:r>
      <w:r>
        <w:softHyphen/>
        <w:t>like a regular consonant, it is</w:t>
      </w:r>
      <w:r>
        <w:rPr>
          <w:rStyle w:val="deletedparamark"/>
        </w:rPr>
        <w:t xml:space="preserve"> </w:t>
      </w:r>
      <w:r>
        <w:t>not found at the beginning or end of a word, nor is it found adja</w:t>
      </w:r>
      <w:r>
        <w:softHyphen/>
        <w:t>cent to a</w:t>
      </w:r>
      <w:r>
        <w:rPr>
          <w:rStyle w:val="deletedparamark"/>
        </w:rPr>
        <w:t xml:space="preserve"> </w:t>
      </w:r>
      <w:r>
        <w:t>consonant; it is only found between two vowels. The comma has no sound</w:t>
      </w:r>
      <w:r>
        <w:rPr>
          <w:rStyle w:val="deletedparamark"/>
        </w:rPr>
        <w:t xml:space="preserve"> </w:t>
      </w:r>
      <w:r>
        <w:t>associated with it, and is used to separate syllables that might ordinarily</w:t>
      </w:r>
      <w:r>
        <w:rPr>
          <w:rStyle w:val="deletedparamark"/>
        </w:rPr>
        <w:t xml:space="preserve"> </w:t>
      </w:r>
      <w:r>
        <w:t>run to</w:t>
      </w:r>
      <w:r>
        <w:softHyphen/>
        <w:t>gether. It is not used in this chapter.</w:t>
      </w:r>
    </w:p>
    <w:p w:rsidR="00B72047" w:rsidRDefault="00B72047">
      <w:pPr>
        <w:rPr>
          <w:rStyle w:val="htmlparacode"/>
        </w:rPr>
      </w:pPr>
      <w:r>
        <w:rPr>
          <w:rStyle w:val="htmlparacode"/>
        </w:rPr>
        <w:t>&lt;p&gt;</w:t>
      </w:r>
    </w:p>
    <w:p w:rsidR="00B72047" w:rsidRDefault="00B72047">
      <w:pPr>
        <w:pStyle w:val="normalparagraph"/>
      </w:pPr>
      <w:r>
        <w:rPr>
          <w:rStyle w:val="indexentry"/>
        </w:rPr>
        <w:t>&lt;cx "stress (quick-tour version)"&gt;</w:t>
      </w:r>
      <w:r>
        <w:rPr>
          <w:rStyle w:val="indexentry"/>
        </w:rPr>
        <w:fldChar w:fldCharType="begin"/>
      </w:r>
      <w:r>
        <w:instrText>xe "</w:instrText>
      </w:r>
      <w:r>
        <w:rPr>
          <w:rStyle w:val="xeentry"/>
        </w:rPr>
        <w:instrText>stress: quick-tour version</w:instrText>
      </w:r>
      <w:r>
        <w:instrText>"</w:instrText>
      </w:r>
      <w:r>
        <w:rPr>
          <w:rStyle w:val="indexentry"/>
        </w:rPr>
        <w:fldChar w:fldCharType="end"/>
      </w:r>
      <w:r>
        <w:t>Stress falls on the next to the last syllable of all words, un</w:t>
      </w:r>
      <w:r>
        <w:softHyphen/>
        <w:t>less</w:t>
      </w:r>
      <w:r>
        <w:rPr>
          <w:rStyle w:val="deletedparamark"/>
        </w:rPr>
        <w:t xml:space="preserve"> </w:t>
      </w:r>
      <w:r>
        <w:t>that vowel is “y”, which is never stressed; in such words the third-to-last</w:t>
      </w:r>
      <w:r>
        <w:rPr>
          <w:rStyle w:val="deletedparamark"/>
        </w:rPr>
        <w:t xml:space="preserve"> </w:t>
      </w:r>
      <w:r>
        <w:t>syllable is stressed. If a word only has one syllable, then that syllable</w:t>
      </w:r>
      <w:r>
        <w:rPr>
          <w:rStyle w:val="deletedparamark"/>
        </w:rPr>
        <w:t xml:space="preserve"> </w:t>
      </w:r>
      <w:r>
        <w:t>is not stressed.</w:t>
      </w:r>
    </w:p>
    <w:p w:rsidR="00B72047" w:rsidRDefault="00B72047">
      <w:pPr>
        <w:rPr>
          <w:rStyle w:val="htmlparacode"/>
        </w:rPr>
      </w:pPr>
      <w:r>
        <w:rPr>
          <w:rStyle w:val="htmlparacode"/>
        </w:rPr>
        <w:t>&lt;p&gt;</w:t>
      </w:r>
    </w:p>
    <w:p w:rsidR="00B72047" w:rsidRDefault="00B72047">
      <w:pPr>
        <w:pStyle w:val="normalparagraph"/>
      </w:pPr>
      <w:r>
        <w:t>All Lojban words are pronounced as they are spelled: there are no silent</w:t>
      </w:r>
      <w:r>
        <w:rPr>
          <w:rStyle w:val="deletedparamark"/>
        </w:rPr>
        <w:t xml:space="preserve"> </w:t>
      </w:r>
      <w:r>
        <w:t>letters.</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name=s3&gt;&lt;h3&gt;</w:t>
      </w:r>
      <w:bookmarkStart w:id="60" w:name="_Toc395691467"/>
      <w:bookmarkStart w:id="61" w:name="_Toc395691661"/>
      <w:bookmarkStart w:id="62" w:name="_Toc398970438"/>
      <w:r>
        <w:rPr>
          <w:rStyle w:val="Heading3Text"/>
        </w:rPr>
        <w:t>Words that can act as sumti</w:t>
      </w:r>
      <w:bookmarkEnd w:id="60"/>
      <w:bookmarkEnd w:id="61"/>
      <w:bookmarkEnd w:id="6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"pro-sumti (quick-tour version)"&gt;</w:t>
      </w:r>
      <w:r>
        <w:rPr>
          <w:rStyle w:val="indexentry"/>
        </w:rPr>
        <w:fldChar w:fldCharType="begin"/>
      </w:r>
      <w:r>
        <w:instrText>xe "</w:instrText>
      </w:r>
      <w:r>
        <w:rPr>
          <w:rStyle w:val="xeentry"/>
        </w:rPr>
        <w:instrText>pro-sumti: quick-tour version</w:instrText>
      </w:r>
      <w:r>
        <w:instrText>"</w:instrText>
      </w:r>
      <w:r>
        <w:rPr>
          <w:rStyle w:val="indexentry"/>
        </w:rPr>
        <w:fldChar w:fldCharType="end"/>
      </w:r>
      <w:r>
        <w:t>Here is a short table of single words used as sumti. This ta</w:t>
      </w:r>
      <w:r>
        <w:softHyphen/>
        <w:t>ble provides</w:t>
      </w:r>
      <w:r>
        <w:rPr>
          <w:rStyle w:val="deletedparamark"/>
        </w:rPr>
        <w:t xml:space="preserve"> </w:t>
      </w:r>
      <w:r>
        <w:t>exam</w:t>
      </w:r>
      <w:r>
        <w:softHyphen/>
        <w:t>ples only, not the entire set of such words, which may be found in</w:t>
      </w:r>
      <w:r>
        <w:rPr>
          <w:rStyle w:val="deletedparamark"/>
        </w:rPr>
        <w:t xml:space="preserve"> </w:t>
      </w:r>
      <w:r>
        <w:rPr>
          <w:rStyle w:val="htmlcodes"/>
        </w:rPr>
        <w:t>&lt;a href=chap7.html&gt;</w:t>
      </w:r>
      <w:r>
        <w:t xml:space="preserve">Chapter 7 </w:t>
      </w:r>
      <w:r>
        <w:rPr>
          <w:rStyle w:val="htmlcodes"/>
        </w:rPr>
        <w:t>&lt;/a&gt;</w:t>
      </w:r>
      <w:r>
        <w:t>.</w:t>
      </w:r>
    </w:p>
    <w:p w:rsidR="00B72047" w:rsidRDefault="00B72047">
      <w:pPr>
        <w:pStyle w:val="examplescaledpre"/>
        <w:rPr>
          <w:rStyle w:val="htmlcodes"/>
        </w:rPr>
      </w:pPr>
      <w:r>
        <w:rPr>
          <w:rStyle w:val="htmlcodes"/>
        </w:rPr>
        <w:t>&lt;p&gt;</w:t>
      </w:r>
    </w:p>
    <w:p w:rsidR="00B72047" w:rsidRDefault="00B72047">
      <w:pPr>
        <w:pStyle w:val="examplescaledpre"/>
      </w:pPr>
      <w:r>
        <w:rPr>
          <w:rStyle w:val="htmlcodes"/>
        </w:rPr>
        <w:t>&lt;pre&gt;</w:t>
      </w:r>
      <w:r>
        <w:t>mi</w:t>
      </w:r>
      <w:r>
        <w:tab/>
        <w:t>I/me, we/us</w:t>
      </w:r>
    </w:p>
    <w:p w:rsidR="00B72047" w:rsidRDefault="00B72047">
      <w:pPr>
        <w:pStyle w:val="examplescaled"/>
      </w:pPr>
      <w:r>
        <w:t>do</w:t>
      </w:r>
      <w:r>
        <w:tab/>
        <w:t>you</w:t>
      </w:r>
    </w:p>
    <w:p w:rsidR="00B72047" w:rsidRDefault="00B72047">
      <w:pPr>
        <w:pStyle w:val="examplescaled"/>
      </w:pPr>
      <w:r>
        <w:t>ti</w:t>
      </w:r>
      <w:r>
        <w:tab/>
        <w:t>this, these</w:t>
      </w:r>
    </w:p>
    <w:p w:rsidR="00B72047" w:rsidRDefault="00B72047">
      <w:pPr>
        <w:pStyle w:val="examplescaled"/>
      </w:pPr>
      <w:r>
        <w:t>ta</w:t>
      </w:r>
      <w:r>
        <w:tab/>
        <w:t>that, those</w:t>
      </w:r>
    </w:p>
    <w:p w:rsidR="00B72047" w:rsidRDefault="00B72047">
      <w:pPr>
        <w:pStyle w:val="examplescaled"/>
      </w:pPr>
      <w:r>
        <w:t>tu</w:t>
      </w:r>
      <w:r>
        <w:tab/>
        <w:t>that far away, those far away</w:t>
      </w:r>
    </w:p>
    <w:p w:rsidR="00B72047" w:rsidRDefault="00B72047">
      <w:pPr>
        <w:pStyle w:val="examplescaled"/>
      </w:pPr>
      <w:r>
        <w:t>zo'e</w:t>
      </w:r>
      <w:r>
        <w:tab/>
        <w:t>unspecified value (used when a sumti is unimportant or ob</w:t>
      </w:r>
      <w:r>
        <w:softHyphen/>
        <w:t>vious)</w:t>
      </w:r>
    </w:p>
    <w:p w:rsidR="00B72047" w:rsidRDefault="00B72047">
      <w:pPr>
        <w:pStyle w:val="normalafterexample"/>
      </w:pPr>
      <w:r>
        <w:rPr>
          <w:rStyle w:val="htmlcodes"/>
        </w:rPr>
        <w:t>&lt;/pre&gt;&lt;p&gt;</w:t>
      </w:r>
      <w:r>
        <w:t>Lojban sumti are not specific as to number (singular or plu</w:t>
      </w:r>
      <w:r>
        <w:softHyphen/>
        <w:t>ral), nor gender</w:t>
      </w:r>
      <w:r>
        <w:rPr>
          <w:rStyle w:val="deletedparamark"/>
        </w:rPr>
        <w:t xml:space="preserve"> </w:t>
      </w:r>
      <w:r>
        <w:t>(masculine/feminine/neutral). Such distinctions can be optionally added</w:t>
      </w:r>
      <w:r>
        <w:rPr>
          <w:rStyle w:val="deletedparamark"/>
        </w:rPr>
        <w:t xml:space="preserve"> </w:t>
      </w:r>
      <w:r>
        <w:t>by methods that are beyond the scope of this chapter.</w:t>
      </w:r>
    </w:p>
    <w:p w:rsidR="00B72047" w:rsidRDefault="00B72047">
      <w:pPr>
        <w:rPr>
          <w:rStyle w:val="htmlparacode"/>
        </w:rPr>
      </w:pPr>
      <w:r>
        <w:rPr>
          <w:rStyle w:val="htmlparacode"/>
        </w:rPr>
        <w:t>&lt;p&gt;</w:t>
      </w:r>
    </w:p>
    <w:p w:rsidR="00B72047" w:rsidRDefault="00B72047">
      <w:pPr>
        <w:pStyle w:val="normalparagraph"/>
      </w:pPr>
      <w:r>
        <w:rPr>
          <w:rStyle w:val="indexentry"/>
        </w:rPr>
        <w:t>&lt;cx "pointing cmavo (quick-tour version)"&gt;</w:t>
      </w:r>
      <w:r>
        <w:rPr>
          <w:rStyle w:val="indexentry"/>
        </w:rPr>
        <w:fldChar w:fldCharType="begin"/>
      </w:r>
      <w:r>
        <w:instrText>xe "</w:instrText>
      </w:r>
      <w:r>
        <w:rPr>
          <w:rStyle w:val="xeentry"/>
        </w:rPr>
        <w:instrText>pointing cmavo: quick-tour version</w:instrText>
      </w:r>
      <w:r>
        <w:instrText>"</w:instrText>
      </w:r>
      <w:r>
        <w:rPr>
          <w:rStyle w:val="indexentry"/>
        </w:rPr>
        <w:fldChar w:fldCharType="end"/>
      </w:r>
      <w:r>
        <w:t>The cmavo “ti”, “ta”, and “tu” refer to whatever the speaker is pointing</w:t>
      </w:r>
      <w:r>
        <w:rPr>
          <w:rStyle w:val="deletedparamark"/>
        </w:rPr>
        <w:t xml:space="preserve"> </w:t>
      </w:r>
      <w:r>
        <w:t>at, and should not be used to refer to things that cannot in principle</w:t>
      </w:r>
      <w:r>
        <w:rPr>
          <w:rStyle w:val="deletedparamark"/>
        </w:rPr>
        <w:t xml:space="preserve"> </w:t>
      </w:r>
      <w:r>
        <w:t>be pointed at.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"names (quick-tour version)"&gt;</w:t>
      </w:r>
      <w:r>
        <w:rPr>
          <w:rStyle w:val="indexentry"/>
        </w:rPr>
        <w:fldChar w:fldCharType="begin"/>
      </w:r>
      <w:r>
        <w:instrText>xe "</w:instrText>
      </w:r>
      <w:r>
        <w:rPr>
          <w:rStyle w:val="xeentry"/>
        </w:rPr>
        <w:instrText>names: quick-tour version</w:instrText>
      </w:r>
      <w:r>
        <w:instrText>"</w:instrText>
      </w:r>
      <w:r>
        <w:rPr>
          <w:rStyle w:val="indexentry"/>
        </w:rPr>
        <w:fldChar w:fldCharType="end"/>
      </w:r>
      <w:r>
        <w:t>Names may also be used as sumti, provided they are pre</w:t>
      </w:r>
      <w:r>
        <w:softHyphen/>
        <w:t>ceded with the word</w:t>
      </w:r>
      <w:r>
        <w:rPr>
          <w:rStyle w:val="deletedparamark"/>
        </w:rPr>
        <w:t xml:space="preserve"> “</w:t>
      </w:r>
      <w:r>
        <w:t>la”:</w:t>
      </w:r>
    </w:p>
    <w:p w:rsidR="00B72047" w:rsidRDefault="00B72047">
      <w:pPr>
        <w:pStyle w:val="exscdoubpre"/>
        <w:rPr>
          <w:rStyle w:val="htmlparacode"/>
        </w:rPr>
      </w:pPr>
      <w:r>
        <w:rPr>
          <w:rStyle w:val="htmlparacode"/>
        </w:rPr>
        <w:t>&lt;p&gt;</w:t>
      </w:r>
    </w:p>
    <w:p w:rsidR="00B72047" w:rsidRDefault="00B72047">
      <w:pPr>
        <w:pStyle w:val="exscdoubpre"/>
      </w:pPr>
      <w:r>
        <w:rPr>
          <w:rStyle w:val="htmlcodes"/>
        </w:rPr>
        <w:t>&lt;pre&gt;</w:t>
      </w:r>
      <w:r>
        <w:t>la meris.</w:t>
      </w:r>
      <w:r>
        <w:tab/>
        <w:t>the one/ones named Mary</w:t>
      </w:r>
    </w:p>
    <w:p w:rsidR="00B72047" w:rsidRDefault="00B72047">
      <w:pPr>
        <w:pStyle w:val="exscdouble"/>
      </w:pPr>
      <w:r>
        <w:t>la djan.</w:t>
      </w:r>
      <w:r>
        <w:tab/>
        <w:t>the one/ones named John</w:t>
      </w:r>
    </w:p>
    <w:p w:rsidR="00B72047" w:rsidRDefault="00B72047">
      <w:pPr>
        <w:pStyle w:val="resumedafterexample"/>
      </w:pPr>
      <w:r>
        <w:rPr>
          <w:rStyle w:val="htmlcodes"/>
        </w:rPr>
        <w:t>&lt;/pre&gt;&lt;p&gt;</w:t>
      </w:r>
      <w:r>
        <w:t>Other Lojban spelling versions are possible for names from other lan</w:t>
      </w:r>
      <w:r>
        <w:softHyphen/>
        <w:t>guages,</w:t>
      </w:r>
      <w:r>
        <w:rPr>
          <w:rStyle w:val="deletedparamark"/>
        </w:rPr>
        <w:t xml:space="preserve"> </w:t>
      </w:r>
      <w:r>
        <w:t>and there are restrictions on which letters may appear in Loj</w:t>
      </w:r>
      <w:r>
        <w:softHyphen/>
        <w:t>ban names:</w:t>
      </w:r>
      <w:r>
        <w:rPr>
          <w:rStyle w:val="deletedparamark"/>
        </w:rPr>
        <w:t xml:space="preserve"> </w:t>
      </w:r>
      <w:r>
        <w:t xml:space="preserve">see </w:t>
      </w:r>
      <w:r>
        <w:rPr>
          <w:rStyle w:val="htmlcodes"/>
        </w:rPr>
        <w:t>&lt;a href=chap6.html&gt;</w:t>
      </w:r>
      <w:r>
        <w:t xml:space="preserve">Chapter 6 </w:t>
      </w:r>
      <w:r>
        <w:rPr>
          <w:rStyle w:val="htmlcodes"/>
        </w:rPr>
        <w:t>&lt;/a&gt;</w:t>
      </w:r>
      <w:r>
        <w:t>for more infor</w:t>
      </w:r>
      <w:r>
        <w:softHyphen/>
        <w:t>mation.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63" w:name="_Toc395691468"/>
      <w:bookmarkStart w:id="64" w:name="_Toc395691662"/>
      <w:bookmarkStart w:id="65" w:name="_Toc398970439"/>
      <w:r>
        <w:rPr>
          <w:rStyle w:val="Heading3Text"/>
        </w:rPr>
        <w:t>Some words used to indicate selbri relations</w:t>
      </w:r>
      <w:bookmarkEnd w:id="63"/>
      <w:bookmarkEnd w:id="64"/>
      <w:bookmarkEnd w:id="6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"selbri list for quick tour"&gt;</w:t>
      </w:r>
      <w:r>
        <w:rPr>
          <w:rStyle w:val="indexentry"/>
        </w:rPr>
        <w:fldChar w:fldCharType="begin"/>
      </w:r>
      <w:r>
        <w:instrText>xe "</w:instrText>
      </w:r>
      <w:r>
        <w:rPr>
          <w:rStyle w:val="xeentry"/>
        </w:rPr>
        <w:instrText>selbri list for quick tour</w:instrText>
      </w:r>
      <w:r>
        <w:instrText>"</w:instrText>
      </w:r>
      <w:r>
        <w:rPr>
          <w:rStyle w:val="indexentry"/>
        </w:rPr>
        <w:fldChar w:fldCharType="end"/>
      </w:r>
      <w:r>
        <w:t>Here is a short table of some words used as Lojban selbri in this chapter:</w:t>
      </w:r>
    </w:p>
    <w:p w:rsidR="00B72047" w:rsidRDefault="00B72047">
      <w:pPr>
        <w:pStyle w:val="examplescaled"/>
        <w:ind w:left="720"/>
        <w:rPr>
          <w:rStyle w:val="htmlparacode"/>
        </w:rPr>
      </w:pPr>
      <w:r>
        <w:rPr>
          <w:rStyle w:val="htmlparacode"/>
        </w:rPr>
        <w:t>&lt;p&gt;</w:t>
      </w:r>
    </w:p>
    <w:p w:rsidR="00B72047" w:rsidRDefault="00B72047">
      <w:pPr>
        <w:pStyle w:val="examplescaledpre"/>
      </w:pPr>
      <w:r>
        <w:rPr>
          <w:rStyle w:val="htmlcodes"/>
        </w:rPr>
        <w:t>&lt;pre&gt;</w:t>
      </w:r>
      <w:r>
        <w:t>vecnu</w:t>
      </w:r>
      <w:r>
        <w:tab/>
        <w:t>x1 (seller) sells x2 (goods) to x3 (buyer) for x4 (price)</w:t>
      </w:r>
    </w:p>
    <w:p w:rsidR="00B72047" w:rsidRDefault="00B72047">
      <w:pPr>
        <w:pStyle w:val="examplescaled"/>
      </w:pPr>
      <w:r>
        <w:t>tavla</w:t>
      </w:r>
      <w:r>
        <w:tab/>
        <w:t>x1 (talker) talks to x2 (audience) about x3 (topic) in lan</w:t>
      </w:r>
      <w:r>
        <w:softHyphen/>
        <w:t>guage x4</w:t>
      </w:r>
    </w:p>
    <w:p w:rsidR="00B72047" w:rsidRDefault="00B72047">
      <w:pPr>
        <w:pStyle w:val="examplescaled"/>
      </w:pPr>
      <w:r>
        <w:t>sutra</w:t>
      </w:r>
      <w:r>
        <w:tab/>
        <w:t>x1 (agent) is fast at doing x2 (action)</w:t>
      </w:r>
    </w:p>
    <w:p w:rsidR="00B72047" w:rsidRDefault="00B72047">
      <w:pPr>
        <w:pStyle w:val="examplescaled"/>
      </w:pPr>
      <w:r>
        <w:t>blari'o</w:t>
      </w:r>
      <w:r>
        <w:tab/>
        <w:t>x1 (object/light source) is blue-green</w:t>
      </w:r>
    </w:p>
    <w:p w:rsidR="00B72047" w:rsidRDefault="00B72047">
      <w:pPr>
        <w:pStyle w:val="examplescaled"/>
      </w:pPr>
      <w:r>
        <w:t>melbi</w:t>
      </w:r>
      <w:r>
        <w:tab/>
        <w:t>x1 (object/idea) is beautiful to x2 (observer) by standard x3</w:t>
      </w:r>
    </w:p>
    <w:p w:rsidR="00B72047" w:rsidRDefault="00B72047">
      <w:pPr>
        <w:pStyle w:val="examplescaled"/>
      </w:pPr>
      <w:r>
        <w:t>cutci</w:t>
      </w:r>
      <w:r>
        <w:tab/>
        <w:t>x1 is a shoe/boot for x2 (foot) made of x3 (material)</w:t>
      </w:r>
    </w:p>
    <w:p w:rsidR="00B72047" w:rsidRDefault="00B72047">
      <w:pPr>
        <w:pStyle w:val="examplescaled"/>
      </w:pPr>
      <w:r>
        <w:t>bajra</w:t>
      </w:r>
      <w:r>
        <w:tab/>
        <w:t>x1 runs on x2 (surface) using x3 (limbs) in manner x4 (gait)</w:t>
      </w:r>
    </w:p>
    <w:p w:rsidR="00B72047" w:rsidRDefault="00B72047">
      <w:pPr>
        <w:pStyle w:val="examplescaled"/>
      </w:pPr>
      <w:r>
        <w:t>klama</w:t>
      </w:r>
      <w:r>
        <w:tab/>
        <w:t>x1 goes/comes to x2 (destination) from x3 (origin point) via x4 (route) us</w:t>
      </w:r>
      <w:r>
        <w:softHyphen/>
        <w:t>ing x5 (means of transportation)</w:t>
      </w:r>
    </w:p>
    <w:p w:rsidR="00B72047" w:rsidRDefault="00B72047">
      <w:pPr>
        <w:pStyle w:val="examplescaled"/>
      </w:pPr>
      <w:r>
        <w:t>pluka</w:t>
      </w:r>
      <w:r>
        <w:tab/>
        <w:t>x1 pleases/is pleasing to x2 (experiencer) under conditions x3</w:t>
      </w:r>
    </w:p>
    <w:p w:rsidR="00B72047" w:rsidRDefault="00B72047">
      <w:pPr>
        <w:pStyle w:val="examplescaled"/>
      </w:pPr>
      <w:r>
        <w:t>gerku</w:t>
      </w:r>
      <w:r>
        <w:tab/>
        <w:t>x1 is a dog of breed x2</w:t>
      </w:r>
    </w:p>
    <w:p w:rsidR="00B72047" w:rsidRDefault="00B72047">
      <w:pPr>
        <w:pStyle w:val="examplescaled"/>
      </w:pPr>
      <w:r>
        <w:t>kurji</w:t>
      </w:r>
      <w:r>
        <w:tab/>
        <w:t>x1 takes care of x2</w:t>
      </w:r>
    </w:p>
    <w:p w:rsidR="00B72047" w:rsidRDefault="00B72047">
      <w:pPr>
        <w:pStyle w:val="examplescaled"/>
      </w:pPr>
      <w:r>
        <w:t>kanro</w:t>
      </w:r>
      <w:r>
        <w:tab/>
        <w:t>x1 is healthy by standard x2</w:t>
      </w:r>
    </w:p>
    <w:p w:rsidR="00B72047" w:rsidRDefault="00B72047">
      <w:pPr>
        <w:pStyle w:val="examplescaled"/>
      </w:pPr>
      <w:r>
        <w:t>stali</w:t>
      </w:r>
      <w:r>
        <w:tab/>
        <w:t>x1 stays/remains with x2</w:t>
      </w:r>
    </w:p>
    <w:p w:rsidR="00B72047" w:rsidRDefault="00B72047">
      <w:pPr>
        <w:pStyle w:val="examplescaled"/>
      </w:pPr>
      <w:r>
        <w:t>zarci</w:t>
      </w:r>
      <w:r>
        <w:tab/>
        <w:t>x1 is a market/store/shop selling x2 (products) operated by x3 (storekeeper)</w:t>
      </w:r>
    </w:p>
    <w:p w:rsidR="00B72047" w:rsidRDefault="00B72047">
      <w:pPr>
        <w:pStyle w:val="normalafterexample"/>
      </w:pPr>
      <w:r>
        <w:rPr>
          <w:rStyle w:val="htmlcodes"/>
        </w:rPr>
        <w:t>&lt;/pre&gt;</w:t>
      </w:r>
      <w:r>
        <w:rPr>
          <w:rStyle w:val="indexentry"/>
        </w:rPr>
        <w:t>&lt;cx "x1, notation convention (quick-tour version)"&gt;</w:t>
      </w:r>
      <w:r>
        <w:rPr>
          <w:rStyle w:val="indexentry"/>
        </w:rPr>
        <w:fldChar w:fldCharType="begin"/>
      </w:r>
      <w:r>
        <w:instrText>xe "</w:instrText>
      </w:r>
      <w:r>
        <w:rPr>
          <w:rStyle w:val="xeentry"/>
        </w:rPr>
        <w:instrText>x1: notation convention, quick-tour version</w:instrText>
      </w:r>
      <w:r>
        <w:instrText>"</w:instrText>
      </w:r>
      <w:r>
        <w:rPr>
          <w:rStyle w:val="indexentry"/>
        </w:rPr>
        <w:fldChar w:fldCharType="end"/>
      </w:r>
      <w:r>
        <w:t>Each selbri (relation) has a specific rule that defines the role of each sumti</w:t>
      </w:r>
      <w:r>
        <w:rPr>
          <w:rStyle w:val="deletedparamark"/>
        </w:rPr>
        <w:t xml:space="preserve"> </w:t>
      </w:r>
      <w:r>
        <w:t>in the bridi, based on its position. In the table above, that order was</w:t>
      </w:r>
      <w:r>
        <w:rPr>
          <w:rStyle w:val="deletedparamark"/>
        </w:rPr>
        <w:t xml:space="preserve"> </w:t>
      </w:r>
      <w:r>
        <w:t>expressed by labeling the sumti positions as x1, x2, x3, x4, and x5.</w:t>
      </w:r>
    </w:p>
    <w:p w:rsidR="00B72047" w:rsidRDefault="00B72047">
      <w:pPr>
        <w:rPr>
          <w:rStyle w:val="htmlparacode"/>
        </w:rPr>
      </w:pPr>
      <w:r>
        <w:rPr>
          <w:rStyle w:val="htmlparacode"/>
        </w:rPr>
        <w:t>&lt;p&gt;</w:t>
      </w:r>
    </w:p>
    <w:p w:rsidR="00B72047" w:rsidRDefault="00B72047">
      <w:pPr>
        <w:pStyle w:val="normalparagraph"/>
      </w:pPr>
      <w:r>
        <w:rPr>
          <w:rStyle w:val="indexentry"/>
        </w:rPr>
        <w:t>&lt;cx "words not in the dictionary"&gt;</w:t>
      </w:r>
      <w:r>
        <w:rPr>
          <w:rStyle w:val="indexentry"/>
        </w:rPr>
        <w:fldChar w:fldCharType="begin"/>
      </w:r>
      <w:r>
        <w:instrText>xe "</w:instrText>
      </w:r>
      <w:r>
        <w:rPr>
          <w:rStyle w:val="xeentry"/>
        </w:rPr>
        <w:instrText>words not in the dictionary</w:instrText>
      </w:r>
      <w:r>
        <w:instrText>"</w:instrText>
      </w:r>
      <w:r>
        <w:rPr>
          <w:rStyle w:val="indexentry"/>
        </w:rPr>
        <w:fldChar w:fldCharType="end"/>
      </w:r>
      <w:r>
        <w:t xml:space="preserve">Like the table in </w:t>
      </w:r>
      <w:r>
        <w:rPr>
          <w:rStyle w:val="htmlcodes"/>
        </w:rPr>
        <w:t>&lt;a href=#s3&gt;</w:t>
      </w:r>
      <w:r>
        <w:t>Section 3</w:t>
      </w:r>
      <w:r>
        <w:rPr>
          <w:rStyle w:val="htmlcodes"/>
        </w:rPr>
        <w:t>&lt;/a&gt;</w:t>
      </w:r>
      <w:r>
        <w:t>, this table is far from complete: in fact, no</w:t>
      </w:r>
      <w:r>
        <w:rPr>
          <w:rStyle w:val="deletedparamark"/>
        </w:rPr>
        <w:t xml:space="preserve"> </w:t>
      </w:r>
      <w:r>
        <w:t>complete ta</w:t>
      </w:r>
      <w:r>
        <w:softHyphen/>
        <w:t>ble can exist, because Lojban allows new words to be created</w:t>
      </w:r>
      <w:r>
        <w:rPr>
          <w:rStyle w:val="deletedparamark"/>
        </w:rPr>
        <w:t xml:space="preserve"> </w:t>
      </w:r>
      <w:r>
        <w:t>(in specified ways) when</w:t>
      </w:r>
      <w:r>
        <w:softHyphen/>
        <w:t>ever a speaker or writer finds the existing supply</w:t>
      </w:r>
      <w:r>
        <w:rPr>
          <w:rStyle w:val="deletedparamark"/>
        </w:rPr>
        <w:t xml:space="preserve"> </w:t>
      </w:r>
      <w:r>
        <w:t>of words inadequate. This notion is a basic dif</w:t>
      </w:r>
      <w:r>
        <w:softHyphen/>
        <w:t>fer</w:t>
      </w:r>
      <w:r>
        <w:softHyphen/>
        <w:t>ence between Lojban (and</w:t>
      </w:r>
      <w:r>
        <w:rPr>
          <w:rStyle w:val="deletedparamark"/>
        </w:rPr>
        <w:t xml:space="preserve"> </w:t>
      </w:r>
      <w:r>
        <w:t>some other languages such as German and Chi</w:t>
      </w:r>
      <w:r>
        <w:softHyphen/>
        <w:t>nese) and English; in English,</w:t>
      </w:r>
      <w:r>
        <w:rPr>
          <w:rStyle w:val="deletedparamark"/>
        </w:rPr>
        <w:t xml:space="preserve"> </w:t>
      </w:r>
      <w:r>
        <w:t>most people are very leery of using words that “aren't in the diction</w:t>
      </w:r>
      <w:r>
        <w:softHyphen/>
        <w:t>ary”.</w:t>
      </w:r>
      <w:r>
        <w:rPr>
          <w:rStyle w:val="deletedparamark"/>
        </w:rPr>
        <w:t xml:space="preserve"> </w:t>
      </w:r>
      <w:r>
        <w:t>Lojbanists are encouraged to invent new words; doing so is a major way of</w:t>
      </w:r>
      <w:r>
        <w:rPr>
          <w:rStyle w:val="deletedparamark"/>
        </w:rPr>
        <w:t xml:space="preserve"> </w:t>
      </w:r>
      <w:r>
        <w:t>partici</w:t>
      </w:r>
      <w:r>
        <w:softHyphen/>
        <w:t xml:space="preserve">pating in the development of the language. </w:t>
      </w:r>
      <w:r>
        <w:rPr>
          <w:rStyle w:val="htmlcodes"/>
        </w:rPr>
        <w:t>&lt;a href=chap4.html&gt;</w:t>
      </w:r>
      <w:r>
        <w:t xml:space="preserve">Chapter 4 </w:t>
      </w:r>
      <w:r>
        <w:rPr>
          <w:rStyle w:val="htmlcodes"/>
        </w:rPr>
        <w:t>&lt;/a&gt;</w:t>
      </w:r>
      <w:r>
        <w:t>explains</w:t>
      </w:r>
      <w:r>
        <w:rPr>
          <w:rStyle w:val="deletedparamark"/>
        </w:rPr>
        <w:t xml:space="preserve"> </w:t>
      </w:r>
      <w:r>
        <w:t xml:space="preserve">how to make new words, and </w:t>
      </w:r>
      <w:r>
        <w:rPr>
          <w:rStyle w:val="htmlcodes"/>
        </w:rPr>
        <w:t>&lt;a href=chap12.html&gt;</w:t>
      </w:r>
      <w:r>
        <w:t xml:space="preserve">Chapter 12 </w:t>
      </w:r>
      <w:r>
        <w:rPr>
          <w:rStyle w:val="htmlcodes"/>
        </w:rPr>
        <w:t>&lt;/a&gt;</w:t>
      </w:r>
      <w:r>
        <w:t>explains how to give them</w:t>
      </w:r>
      <w:r>
        <w:rPr>
          <w:rStyle w:val="deletedparamark"/>
        </w:rPr>
        <w:t xml:space="preserve"> </w:t>
      </w:r>
      <w:r>
        <w:t>appropriate mean</w:t>
      </w:r>
      <w:r>
        <w:softHyphen/>
        <w:t>ings.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66" w:name="_Toc395691469"/>
      <w:bookmarkStart w:id="67" w:name="_Toc395691663"/>
      <w:bookmarkStart w:id="68" w:name="_Toc398970440"/>
      <w:r>
        <w:rPr>
          <w:rStyle w:val="Heading3Text"/>
        </w:rPr>
        <w:t>Some simple Lojban bridi</w:t>
      </w:r>
      <w:bookmarkEnd w:id="66"/>
      <w:bookmarkEnd w:id="67"/>
      <w:bookmarkEnd w:id="6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"bridi (quick-tour version)"&gt;</w:t>
      </w:r>
      <w:r>
        <w:rPr>
          <w:rStyle w:val="indexentry"/>
        </w:rPr>
        <w:fldChar w:fldCharType="begin"/>
      </w:r>
      <w:r>
        <w:instrText>xe "</w:instrText>
      </w:r>
      <w:r>
        <w:rPr>
          <w:rStyle w:val="xeentry"/>
        </w:rPr>
        <w:instrText>bridi: quick-tour version</w:instrText>
      </w:r>
      <w:r>
        <w:instrText>"</w:instrText>
      </w:r>
      <w:r>
        <w:rPr>
          <w:rStyle w:val="indexentry"/>
        </w:rPr>
        <w:fldChar w:fldCharType="end"/>
      </w:r>
      <w:r>
        <w:t>Let's look at a simple Lojban bridi. The place structure of the gismu</w:t>
      </w:r>
      <w:r>
        <w:rPr>
          <w:rStyle w:val="deletedparamark"/>
        </w:rPr>
        <w:t xml:space="preserve"> “</w:t>
      </w:r>
      <w:r>
        <w:t>tavla”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x1 talks to x2 about x3 in language x4</w:t>
      </w:r>
    </w:p>
    <w:p w:rsidR="00B72047" w:rsidRDefault="00B72047">
      <w:pPr>
        <w:pStyle w:val="resumedafterexample"/>
      </w:pPr>
      <w:r>
        <w:rPr>
          <w:rStyle w:val="htmlcodes"/>
        </w:rPr>
        <w:t>&lt;/pre&gt;</w:t>
      </w:r>
      <w:r>
        <w:t>where the “x”es with following numbers represent the various argu</w:t>
      </w:r>
      <w:r>
        <w:softHyphen/>
        <w:t>ments</w:t>
      </w:r>
      <w:r>
        <w:rPr>
          <w:rStyle w:val="deletedparamark"/>
        </w:rPr>
        <w:t xml:space="preserve"> </w:t>
      </w:r>
      <w:r>
        <w:t>that could be inserted at the given positions in the English sentence.</w:t>
      </w:r>
      <w:r>
        <w:rPr>
          <w:rStyle w:val="deletedparamark"/>
        </w:rPr>
        <w:t xml:space="preserve"> </w:t>
      </w:r>
      <w:r>
        <w:t>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"engineering"&gt;</w:t>
      </w:r>
      <w:r>
        <w:rPr>
          <w:rStyle w:val="indexentry"/>
        </w:rPr>
        <w:fldChar w:fldCharType="begin"/>
      </w:r>
      <w:r>
        <w:instrText>xe "</w:instrText>
      </w:r>
      <w:r>
        <w:rPr>
          <w:rStyle w:val="xeentry"/>
        </w:rPr>
        <w:instrText>engineering: example</w:instrText>
      </w:r>
      <w:r>
        <w:instrText>"</w:instrText>
      </w:r>
      <w:r>
        <w:rPr>
          <w:rStyle w:val="indexentry"/>
        </w:rPr>
        <w:fldChar w:fldCharType="end"/>
      </w:r>
      <w:r>
        <w:rPr>
          <w:rStyle w:val="htmlcodes"/>
        </w:rPr>
        <w:t>&lt;pre&gt;&lt;a name=e5d2&gt;</w:t>
      </w:r>
      <w:r>
        <w:t>5.2)</w:t>
      </w:r>
      <w:r>
        <w:tab/>
        <w:t>John talks to Sam about engineering in Lojban.</w:t>
      </w:r>
    </w:p>
    <w:p w:rsidR="00B72047" w:rsidRDefault="00B72047">
      <w:pPr>
        <w:pStyle w:val="resumedafterexample"/>
      </w:pPr>
      <w:r>
        <w:rPr>
          <w:rStyle w:val="htmlcodes"/>
        </w:rPr>
        <w:t>&lt;/pre&gt;</w:t>
      </w:r>
      <w:r>
        <w:t>has “John” in the x1 place, “Sam” in the x2 place, “engineering” in</w:t>
      </w:r>
      <w:r>
        <w:rPr>
          <w:rStyle w:val="deletedparamark"/>
        </w:rPr>
        <w:t xml:space="preserve"> </w:t>
      </w:r>
      <w:r>
        <w:t>the x3 place, and “Lojban” in the x4 place, and could be paraphrased: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Talking is going on,</w:t>
      </w:r>
    </w:p>
    <w:p w:rsidR="00B72047" w:rsidRDefault="00B72047">
      <w:pPr>
        <w:pStyle w:val="examplescaled"/>
      </w:pPr>
      <w:r>
        <w:tab/>
      </w:r>
      <w:r>
        <w:tab/>
        <w:t>with speaker John</w:t>
      </w:r>
    </w:p>
    <w:p w:rsidR="00B72047" w:rsidRDefault="00B72047">
      <w:pPr>
        <w:pStyle w:val="examplescaled"/>
      </w:pPr>
      <w:r>
        <w:tab/>
      </w:r>
      <w:r>
        <w:tab/>
        <w:t>and listener Sam</w:t>
      </w:r>
    </w:p>
    <w:p w:rsidR="00B72047" w:rsidRDefault="00B72047">
      <w:pPr>
        <w:pStyle w:val="examplescaled"/>
      </w:pPr>
      <w:r>
        <w:tab/>
      </w:r>
      <w:r>
        <w:tab/>
        <w:t>and subject matter engineering</w:t>
      </w:r>
    </w:p>
    <w:p w:rsidR="00B72047" w:rsidRDefault="00B72047">
      <w:pPr>
        <w:pStyle w:val="examplescaled"/>
      </w:pPr>
      <w:r>
        <w:tab/>
      </w:r>
      <w:r>
        <w:tab/>
        <w:t>and language Lojban.</w:t>
      </w:r>
    </w:p>
    <w:p w:rsidR="00B72047" w:rsidRDefault="00B72047">
      <w:pPr>
        <w:pStyle w:val="normalafterexample"/>
      </w:pPr>
      <w:r>
        <w:rPr>
          <w:rStyle w:val="htmlcodes"/>
        </w:rPr>
        <w:t>&lt;/pre&gt;&lt;p&gt;</w:t>
      </w:r>
      <w:r>
        <w:t xml:space="preserve">The Lojban bridi corresponding to </w:t>
      </w:r>
      <w:r>
        <w:rPr>
          <w:rStyle w:val="htmlcodes"/>
        </w:rPr>
        <w:t>&lt;a href=#e5d1&gt;</w:t>
      </w:r>
      <w:r>
        <w:t xml:space="preserve">Example 5.1 </w:t>
      </w:r>
      <w:r>
        <w:rPr>
          <w:rStyle w:val="htmlcodes"/>
        </w:rPr>
        <w:t>&lt;/a&gt;</w:t>
      </w:r>
      <w:r>
        <w:t>will have the form</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&lt;lx "tavla"&gt;</w:t>
      </w:r>
      <w:r>
        <w:rPr>
          <w:rStyle w:val="indexentry"/>
        </w:rPr>
        <w:fldChar w:fldCharType="begin"/>
      </w:r>
      <w:r>
        <w:instrText>xe "</w:instrText>
      </w:r>
      <w:r>
        <w:rPr>
          <w:rStyle w:val="xeentry"/>
        </w:rPr>
        <w:instrText>tavla</w:instrText>
      </w:r>
      <w:r>
        <w:instrText>"</w:instrText>
      </w:r>
      <w:r>
        <w:rPr>
          <w:rStyle w:val="indexentry"/>
        </w:rPr>
        <w:fldChar w:fldCharType="end"/>
      </w:r>
      <w:r>
        <w:rPr>
          <w:rStyle w:val="htmlcodes"/>
        </w:rPr>
        <w:t>&lt;pre&gt;&lt;a name=e5d4&gt;</w:t>
      </w:r>
      <w:r>
        <w:t>5.4)</w:t>
      </w:r>
      <w:r>
        <w:tab/>
      </w:r>
      <w:r>
        <w:rPr>
          <w:u w:val="single"/>
        </w:rPr>
        <w:t>x1</w:t>
      </w:r>
      <w:r>
        <w:t xml:space="preserve"> [cu] </w:t>
      </w:r>
      <w:r>
        <w:rPr>
          <w:u w:val="double"/>
        </w:rPr>
        <w:t>tavla</w:t>
      </w:r>
      <w:r>
        <w:t xml:space="preserve"> </w:t>
      </w:r>
      <w:r>
        <w:rPr>
          <w:u w:val="single"/>
        </w:rPr>
        <w:t>x2</w:t>
      </w:r>
      <w:r>
        <w:t xml:space="preserve"> </w:t>
      </w:r>
      <w:r>
        <w:rPr>
          <w:u w:val="single"/>
        </w:rPr>
        <w:t>x3</w:t>
      </w:r>
      <w:r>
        <w:t xml:space="preserve"> </w:t>
      </w:r>
      <w:r>
        <w:rPr>
          <w:u w:val="single"/>
        </w:rPr>
        <w:t>x4</w:t>
      </w:r>
    </w:p>
    <w:p w:rsidR="00B72047" w:rsidRDefault="00B72047">
      <w:pPr>
        <w:pStyle w:val="normalafterexample"/>
      </w:pPr>
      <w:r>
        <w:rPr>
          <w:rStyle w:val="htmlcodes"/>
        </w:rPr>
        <w:t>&lt;/pre&gt;</w:t>
      </w:r>
      <w:r>
        <w:rPr>
          <w:rStyle w:val="indexentry"/>
        </w:rPr>
        <w:t>&lt;cx "cu, omission of (quick-tour version)"&gt;</w:t>
      </w:r>
      <w:r>
        <w:rPr>
          <w:rStyle w:val="indexentry"/>
        </w:rPr>
        <w:fldChar w:fldCharType="begin"/>
      </w:r>
      <w:r>
        <w:instrText>xe "</w:instrText>
      </w:r>
      <w:r>
        <w:rPr>
          <w:rStyle w:val="xeentry"/>
        </w:rPr>
        <w:instrText>cu: omission of, quick-tour version</w:instrText>
      </w:r>
      <w:r>
        <w:instrText>"</w:instrText>
      </w:r>
      <w:r>
        <w:rPr>
          <w:rStyle w:val="indexentry"/>
        </w:rPr>
        <w:fldChar w:fldCharType="end"/>
      </w:r>
      <w:r>
        <w:rPr>
          <w:rStyle w:val="indexentry"/>
        </w:rPr>
        <w:t>&lt;cx "cu, use of (quick-tour version)"&gt;</w:t>
      </w:r>
      <w:r>
        <w:rPr>
          <w:rStyle w:val="indexentry"/>
        </w:rPr>
        <w:fldChar w:fldCharType="begin"/>
      </w:r>
      <w:r>
        <w:instrText>xe "</w:instrText>
      </w:r>
      <w:r>
        <w:rPr>
          <w:rStyle w:val="xeentry"/>
        </w:rPr>
        <w:instrText>cu: use of, quick-tour version</w:instrText>
      </w:r>
      <w:r>
        <w:instrText>"</w:instrText>
      </w:r>
      <w:r>
        <w:rPr>
          <w:rStyle w:val="indexentry"/>
        </w:rPr>
        <w:fldChar w:fldCharType="end"/>
      </w:r>
      <w:r>
        <w:rPr>
          <w:rStyle w:val="indexentry"/>
        </w:rPr>
        <w:t>&lt;lx "cu (quick-tour version)"&gt;</w:t>
      </w:r>
      <w:r>
        <w:rPr>
          <w:rStyle w:val="indexentry"/>
        </w:rPr>
        <w:fldChar w:fldCharType="begin"/>
      </w:r>
      <w:r>
        <w:instrText>xe "</w:instrText>
      </w:r>
      <w:r>
        <w:rPr>
          <w:rStyle w:val="xeentry"/>
        </w:rPr>
        <w:instrText>cu: quick-tour version</w:instrText>
      </w:r>
      <w:r>
        <w:instrText>"</w:instrText>
      </w:r>
      <w:r>
        <w:rPr>
          <w:rStyle w:val="indexentry"/>
        </w:rPr>
        <w:fldChar w:fldCharType="end"/>
      </w:r>
      <w:r>
        <w:t>The word “cu” serves as a separator between any preceding sumti and</w:t>
      </w:r>
      <w:r>
        <w:rPr>
          <w:rStyle w:val="deletedparamark"/>
        </w:rPr>
        <w:t xml:space="preserve"> </w:t>
      </w:r>
      <w:r>
        <w:t>the sel</w:t>
      </w:r>
      <w:r>
        <w:softHyphen/>
        <w:t>bri. It can often be omitted, as in the following ex</w:t>
      </w:r>
      <w:r>
        <w:softHyphen/>
        <w:t>amples.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name=e5d5&gt;</w:t>
      </w:r>
      <w:r>
        <w:t>5.5)</w:t>
      </w:r>
      <w:r>
        <w:tab/>
      </w:r>
      <w:r>
        <w:rPr>
          <w:u w:val="single"/>
        </w:rPr>
        <w:t>mi</w:t>
      </w:r>
      <w:r>
        <w:t xml:space="preserve"> </w:t>
      </w:r>
      <w:r>
        <w:rPr>
          <w:u w:val="double"/>
        </w:rPr>
        <w:t>tavla</w:t>
      </w:r>
      <w:r>
        <w:t xml:space="preserve"> </w:t>
      </w:r>
      <w:r>
        <w:rPr>
          <w:u w:val="single"/>
        </w:rPr>
        <w:t>do</w:t>
      </w:r>
      <w:r>
        <w:t xml:space="preserve"> </w:t>
      </w:r>
      <w:r>
        <w:rPr>
          <w:u w:val="single"/>
        </w:rPr>
        <w:t>zo'e</w:t>
      </w:r>
      <w:r>
        <w:t xml:space="preserve"> </w:t>
      </w:r>
      <w:r>
        <w:rPr>
          <w:u w:val="single"/>
        </w:rPr>
        <w:t>zo'e</w:t>
      </w:r>
    </w:p>
    <w:p w:rsidR="00B72047" w:rsidRDefault="00B72047">
      <w:pPr>
        <w:pStyle w:val="examplescaled"/>
      </w:pPr>
      <w:r>
        <w:tab/>
        <w:t>I talk to you about something in some language.</w:t>
      </w:r>
    </w:p>
    <w:p w:rsidR="00B72047" w:rsidRDefault="00B72047">
      <w:pPr>
        <w:pStyle w:val="examplescaledpre"/>
      </w:pPr>
      <w:r>
        <w:rPr>
          <w:rStyle w:val="htmlcodes"/>
        </w:rPr>
        <w:t>&lt;a name=e5d6&gt;</w:t>
      </w:r>
      <w:r>
        <w:t>5.6)</w:t>
      </w:r>
      <w:r>
        <w:tab/>
      </w:r>
      <w:r>
        <w:rPr>
          <w:u w:val="single"/>
        </w:rPr>
        <w:t>do</w:t>
      </w:r>
      <w:r>
        <w:t xml:space="preserve"> </w:t>
      </w:r>
      <w:r>
        <w:rPr>
          <w:u w:val="double"/>
        </w:rPr>
        <w:t>tavla</w:t>
      </w:r>
      <w:r>
        <w:t xml:space="preserve"> </w:t>
      </w:r>
      <w:r>
        <w:rPr>
          <w:u w:val="single"/>
        </w:rPr>
        <w:t>mi</w:t>
      </w:r>
      <w:r>
        <w:t xml:space="preserve"> </w:t>
      </w:r>
      <w:r>
        <w:rPr>
          <w:u w:val="single"/>
        </w:rPr>
        <w:t>ta</w:t>
      </w:r>
      <w:r>
        <w:t xml:space="preserve"> </w:t>
      </w:r>
      <w:r>
        <w:rPr>
          <w:u w:val="single"/>
        </w:rPr>
        <w:t>zo'e</w:t>
      </w:r>
    </w:p>
    <w:p w:rsidR="00B72047" w:rsidRDefault="00B72047">
      <w:pPr>
        <w:pStyle w:val="examplescaled"/>
      </w:pPr>
      <w:r>
        <w:tab/>
        <w:t>You talk to me about that thing in a language.</w:t>
      </w:r>
    </w:p>
    <w:p w:rsidR="00B72047" w:rsidRDefault="00B72047">
      <w:pPr>
        <w:pStyle w:val="examplescaledpre"/>
      </w:pPr>
      <w:r>
        <w:rPr>
          <w:rStyle w:val="htmlcodes"/>
        </w:rPr>
        <w:t>&lt;a name=e5d7&gt;</w:t>
      </w:r>
      <w:r>
        <w:t>5.7)</w:t>
      </w:r>
      <w:r>
        <w:tab/>
      </w:r>
      <w:r>
        <w:rPr>
          <w:u w:val="single"/>
        </w:rPr>
        <w:t>mi</w:t>
      </w:r>
      <w:r>
        <w:t xml:space="preserve"> </w:t>
      </w:r>
      <w:r>
        <w:rPr>
          <w:u w:val="double"/>
        </w:rPr>
        <w:t>tavla</w:t>
      </w:r>
      <w:r>
        <w:t xml:space="preserve"> </w:t>
      </w:r>
      <w:r>
        <w:rPr>
          <w:u w:val="single"/>
        </w:rPr>
        <w:t>zo'e</w:t>
      </w:r>
      <w:r>
        <w:t xml:space="preserve"> </w:t>
      </w:r>
      <w:r>
        <w:rPr>
          <w:u w:val="single"/>
        </w:rPr>
        <w:t>tu</w:t>
      </w:r>
      <w:r>
        <w:t xml:space="preserve"> </w:t>
      </w:r>
      <w:r>
        <w:rPr>
          <w:u w:val="single"/>
        </w:rPr>
        <w:t>ti</w:t>
      </w:r>
    </w:p>
    <w:p w:rsidR="00B72047" w:rsidRDefault="00B72047">
      <w:pPr>
        <w:pStyle w:val="examplescaled"/>
      </w:pPr>
      <w:r>
        <w:tab/>
        <w:t>I talk to someone about that thing yonder in this lan</w:t>
      </w:r>
      <w:r>
        <w:softHyphen/>
        <w:t>guage.</w:t>
      </w:r>
    </w:p>
    <w:p w:rsidR="00B72047" w:rsidRDefault="00B72047">
      <w:pPr>
        <w:pStyle w:val="resumedafterexample"/>
      </w:pPr>
      <w:r>
        <w:rPr>
          <w:rStyle w:val="htmlcodes"/>
        </w:rPr>
        <w:t>&lt;/pre&gt;</w:t>
      </w:r>
      <w:r>
        <w:t>(</w:t>
      </w:r>
      <w:r>
        <w:rPr>
          <w:rStyle w:val="htmlcodes"/>
        </w:rPr>
        <w:t>&lt;a href=#e5d7&gt;</w:t>
      </w:r>
      <w:r>
        <w:t xml:space="preserve">Example 5.7 </w:t>
      </w:r>
      <w:r>
        <w:rPr>
          <w:rStyle w:val="htmlcodes"/>
        </w:rPr>
        <w:t>&lt;/a&gt;</w:t>
      </w:r>
      <w:r>
        <w:t>is a bit unusual, as there is no easy way to point to a</w:t>
      </w:r>
      <w:r>
        <w:rPr>
          <w:rStyle w:val="deletedparamark"/>
        </w:rPr>
        <w:t xml:space="preserve"> </w:t>
      </w:r>
      <w:r>
        <w:t>language; one might point to a copy of this book, and hope the</w:t>
      </w:r>
      <w:r>
        <w:rPr>
          <w:rStyle w:val="deletedparamark"/>
        </w:rPr>
        <w:t xml:space="preserve"> </w:t>
      </w:r>
      <w:r>
        <w:t>meaning gets across!)</w:t>
      </w:r>
    </w:p>
    <w:p w:rsidR="00B72047" w:rsidRDefault="00B72047">
      <w:pPr>
        <w:rPr>
          <w:rStyle w:val="htmlparacode"/>
        </w:rPr>
      </w:pPr>
      <w:r>
        <w:rPr>
          <w:rStyle w:val="htmlparacode"/>
        </w:rPr>
        <w:t>&lt;p&gt;</w:t>
      </w:r>
    </w:p>
    <w:p w:rsidR="00B72047" w:rsidRDefault="00B72047">
      <w:pPr>
        <w:pStyle w:val="normalparagraph"/>
      </w:pPr>
      <w:r>
        <w:rPr>
          <w:rStyle w:val="indexentry"/>
        </w:rPr>
        <w:t>&lt;cx "ellipsis (quick-tour version)"&gt;</w:t>
      </w:r>
      <w:r>
        <w:rPr>
          <w:rStyle w:val="indexentry"/>
        </w:rPr>
        <w:fldChar w:fldCharType="begin"/>
      </w:r>
      <w:r>
        <w:instrText>xe "</w:instrText>
      </w:r>
      <w:r>
        <w:rPr>
          <w:rStyle w:val="xeentry"/>
        </w:rPr>
        <w:instrText>ellipsis: quick-tour version</w:instrText>
      </w:r>
      <w:r>
        <w:instrText>"</w:instrText>
      </w:r>
      <w:r>
        <w:rPr>
          <w:rStyle w:val="indexentry"/>
        </w:rPr>
        <w:fldChar w:fldCharType="end"/>
      </w:r>
      <w:r>
        <w:rPr>
          <w:rStyle w:val="indexentry"/>
        </w:rPr>
        <w:t>&lt;lx "zo'e (quick-tour version)"&gt;</w:t>
      </w:r>
      <w:r>
        <w:rPr>
          <w:rStyle w:val="indexentry"/>
        </w:rPr>
        <w:fldChar w:fldCharType="begin"/>
      </w:r>
      <w:r>
        <w:instrText>xe "</w:instrText>
      </w:r>
      <w:r>
        <w:rPr>
          <w:rStyle w:val="xeentry"/>
        </w:rPr>
        <w:instrText>zo'e: quick-tour version</w:instrText>
      </w:r>
      <w:r>
        <w:instrText>"</w:instrText>
      </w:r>
      <w:r>
        <w:rPr>
          <w:rStyle w:val="indexentry"/>
        </w:rPr>
        <w:fldChar w:fldCharType="end"/>
      </w:r>
      <w:r>
        <w:t>When there are one or more occurrences of the cmavo “zo'e” at the end</w:t>
      </w:r>
      <w:r>
        <w:rPr>
          <w:rStyle w:val="deletedparamark"/>
        </w:rPr>
        <w:t xml:space="preserve"> </w:t>
      </w:r>
      <w:r>
        <w:t>of a bridi, they may be omitted, a process called “ellipsis”.</w:t>
      </w:r>
      <w:r>
        <w:rPr>
          <w:rStyle w:val="deletedparamark"/>
        </w:rPr>
        <w:t xml:space="preserve"> </w:t>
      </w:r>
      <w:r>
        <w:rPr>
          <w:rStyle w:val="htmlcodes"/>
        </w:rPr>
        <w:t>&lt;a href=#e5d5&gt;</w:t>
      </w:r>
      <w:r>
        <w:t xml:space="preserve">Example 5.5 </w:t>
      </w:r>
      <w:r>
        <w:rPr>
          <w:rStyle w:val="htmlcodes"/>
        </w:rPr>
        <w:t>&lt;/a&gt;</w:t>
      </w:r>
      <w:r>
        <w:t xml:space="preserve">and </w:t>
      </w:r>
      <w:r>
        <w:rPr>
          <w:rStyle w:val="htmlcodes"/>
        </w:rPr>
        <w:t>&lt;a href=#e5d6&gt;</w:t>
      </w:r>
      <w:r>
        <w:t xml:space="preserve">Example 5.6 </w:t>
      </w:r>
      <w:r>
        <w:rPr>
          <w:rStyle w:val="htmlcodes"/>
        </w:rPr>
        <w:t>&lt;/a&gt;</w:t>
      </w:r>
      <w:r>
        <w:t>may be expressed thus: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name=e5d8&gt;</w:t>
      </w:r>
      <w:r>
        <w:t>5.8)</w:t>
      </w:r>
      <w:r>
        <w:tab/>
      </w:r>
      <w:r>
        <w:rPr>
          <w:u w:val="single"/>
        </w:rPr>
        <w:t>mi</w:t>
      </w:r>
      <w:r>
        <w:t xml:space="preserve"> </w:t>
      </w:r>
      <w:r>
        <w:rPr>
          <w:u w:val="double"/>
        </w:rPr>
        <w:t>tavla</w:t>
      </w:r>
      <w:r>
        <w:t xml:space="preserve"> </w:t>
      </w:r>
      <w:r>
        <w:rPr>
          <w:u w:val="single"/>
        </w:rPr>
        <w:t>do</w:t>
      </w:r>
    </w:p>
    <w:p w:rsidR="00B72047" w:rsidRDefault="00B72047">
      <w:pPr>
        <w:pStyle w:val="examplescaled"/>
      </w:pPr>
      <w:r>
        <w:tab/>
        <w:t>I talk to you (about something in some language).</w:t>
      </w:r>
    </w:p>
    <w:p w:rsidR="00B72047" w:rsidRDefault="00B72047">
      <w:pPr>
        <w:pStyle w:val="examplescaledpre"/>
      </w:pPr>
      <w:r>
        <w:rPr>
          <w:rStyle w:val="htmlcodes"/>
        </w:rPr>
        <w:t>&lt;a name=e5d9&gt;</w:t>
      </w:r>
      <w:r>
        <w:t>5.9)</w:t>
      </w:r>
      <w:r>
        <w:tab/>
      </w:r>
      <w:r>
        <w:rPr>
          <w:u w:val="single"/>
        </w:rPr>
        <w:t>do</w:t>
      </w:r>
      <w:r>
        <w:t xml:space="preserve"> </w:t>
      </w:r>
      <w:r>
        <w:rPr>
          <w:u w:val="double"/>
        </w:rPr>
        <w:t>tavla</w:t>
      </w:r>
      <w:r>
        <w:t xml:space="preserve"> </w:t>
      </w:r>
      <w:r>
        <w:rPr>
          <w:u w:val="single"/>
        </w:rPr>
        <w:t>mi</w:t>
      </w:r>
      <w:r>
        <w:t xml:space="preserve"> </w:t>
      </w:r>
      <w:r>
        <w:rPr>
          <w:u w:val="single"/>
        </w:rPr>
        <w:t>ta</w:t>
      </w:r>
    </w:p>
    <w:p w:rsidR="00B72047" w:rsidRDefault="00B72047">
      <w:pPr>
        <w:pStyle w:val="examplescaled"/>
      </w:pPr>
      <w:r>
        <w:tab/>
        <w:t>You talk to me about that thing (in some language).</w:t>
      </w:r>
    </w:p>
    <w:p w:rsidR="00B72047" w:rsidRDefault="00B72047">
      <w:pPr>
        <w:pStyle w:val="resumedafterexample"/>
      </w:pPr>
      <w:r>
        <w:rPr>
          <w:rStyle w:val="htmlcodes"/>
        </w:rPr>
        <w:t>&lt;/pre&gt;&lt;p&gt;</w:t>
      </w:r>
      <w:r>
        <w:t xml:space="preserve">Note that </w:t>
      </w:r>
      <w:r>
        <w:rPr>
          <w:rStyle w:val="htmlcodes"/>
        </w:rPr>
        <w:t>&lt;a href=#e5d7&gt;</w:t>
      </w:r>
      <w:r>
        <w:t xml:space="preserve">Example 5.7 </w:t>
      </w:r>
      <w:r>
        <w:rPr>
          <w:rStyle w:val="htmlcodes"/>
        </w:rPr>
        <w:t>&lt;/a&gt;</w:t>
      </w:r>
      <w:r>
        <w:t>is not subject to ellipsis by this direct method,</w:t>
      </w:r>
      <w:r>
        <w:rPr>
          <w:rStyle w:val="deletedparamark"/>
        </w:rPr>
        <w:t xml:space="preserve"> </w:t>
      </w:r>
      <w:r>
        <w:t>as the “zo'e” in it is not at the end of the bridi.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69" w:name="_Toc395691470"/>
      <w:bookmarkStart w:id="70" w:name="_Toc395691664"/>
      <w:bookmarkStart w:id="71" w:name="_Toc398970441"/>
      <w:r>
        <w:rPr>
          <w:rStyle w:val="Heading3Text"/>
        </w:rPr>
        <w:t>Variant bridi structure</w:t>
      </w:r>
      <w:bookmarkEnd w:id="69"/>
      <w:bookmarkEnd w:id="70"/>
      <w:bookmarkEnd w:id="7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"sumti placement, variant (quick-tour version)"&gt;</w:t>
      </w:r>
      <w:r>
        <w:rPr>
          <w:rStyle w:val="indexentry"/>
        </w:rPr>
        <w:fldChar w:fldCharType="begin"/>
      </w:r>
      <w:r>
        <w:instrText>xe "</w:instrText>
      </w:r>
      <w:r>
        <w:rPr>
          <w:rStyle w:val="xeentry"/>
        </w:rPr>
        <w:instrText>sumti placement: variant, quick-tour version</w:instrText>
      </w:r>
      <w:r>
        <w:instrText>"</w:instrText>
      </w:r>
      <w:r>
        <w:rPr>
          <w:rStyle w:val="indexentry"/>
        </w:rPr>
        <w:fldChar w:fldCharType="end"/>
      </w:r>
      <w:r>
        <w:t>Consider the sentence</w:t>
      </w:r>
    </w:p>
    <w:p w:rsidR="00B72047" w:rsidRDefault="00B72047">
      <w:pPr>
        <w:rPr>
          <w:rStyle w:val="htmlparacode"/>
        </w:rPr>
      </w:pPr>
      <w:r>
        <w:rPr>
          <w:rStyle w:val="htmlparacode"/>
        </w:rPr>
        <w:t>&lt;p&gt;</w:t>
      </w:r>
    </w:p>
    <w:tbl>
      <w:tblPr>
        <w:tblW w:w="0" w:type="auto"/>
        <w:tblInd w:w="144" w:type="dxa"/>
        <w:tblLayout w:type="fixed"/>
        <w:tblCellMar>
          <w:left w:w="0" w:type="dxa"/>
          <w:right w:w="0" w:type="dxa"/>
        </w:tblCellMar>
        <w:tblLook w:val="0000"/>
      </w:tblPr>
      <w:tblGrid>
        <w:gridCol w:w="720"/>
        <w:gridCol w:w="765"/>
        <w:gridCol w:w="420"/>
        <w:gridCol w:w="555"/>
        <w:gridCol w:w="1215"/>
        <w:gridCol w:w="780"/>
        <w:gridCol w:w="1664"/>
      </w:tblGrid>
      <w:tr w:rsidR="00B72047">
        <w:tblPrEx>
          <w:tblCellMar>
            <w:top w:w="0" w:type="dxa"/>
            <w:left w:w="0" w:type="dxa"/>
            <w:bottom w:w="0" w:type="dxa"/>
            <w:right w:w="0" w:type="dxa"/>
          </w:tblCellMar>
        </w:tblPrEx>
        <w:trPr>
          <w:cantSplit/>
        </w:trPr>
        <w:tc>
          <w:tcPr>
            <w:tcW w:w="720"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6.1)</w:t>
            </w:r>
          </w:p>
        </w:tc>
        <w:tc>
          <w:tcPr>
            <w:tcW w:w="76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mi</w:t>
            </w:r>
          </w:p>
        </w:tc>
        <w:tc>
          <w:tcPr>
            <w:tcW w:w="420"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[cu]</w:t>
            </w:r>
          </w:p>
        </w:tc>
        <w:tc>
          <w:tcPr>
            <w:tcW w:w="55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double"/>
              </w:rPr>
              <w:t>vecnu</w:t>
            </w:r>
          </w:p>
        </w:tc>
        <w:tc>
          <w:tcPr>
            <w:tcW w:w="121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ti</w:t>
            </w:r>
          </w:p>
        </w:tc>
        <w:tc>
          <w:tcPr>
            <w:tcW w:w="780"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ta</w:t>
            </w:r>
          </w:p>
        </w:tc>
        <w:tc>
          <w:tcPr>
            <w:tcW w:w="1664"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zo’e</w:t>
            </w: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seller-x1</w:t>
            </w:r>
          </w:p>
        </w:tc>
        <w:tc>
          <w:tcPr>
            <w:tcW w:w="420" w:type="dxa"/>
          </w:tcPr>
          <w:p w:rsidR="00B72047" w:rsidRDefault="00B72047">
            <w:pPr>
              <w:pStyle w:val="examplefixed"/>
              <w:ind w:left="0" w:firstLine="0"/>
              <w:rPr>
                <w:rFonts w:ascii="ITC Officina Sans Book" w:hAnsi="ITC Officina Sans Book" w:cs="ITC Officina Sans Book"/>
                <w:sz w:val="20"/>
                <w:szCs w:val="20"/>
              </w:rPr>
            </w:pPr>
          </w:p>
        </w:tc>
        <w:tc>
          <w:tcPr>
            <w:tcW w:w="55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sells</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goods-sold-x2</w:t>
            </w:r>
          </w:p>
        </w:tc>
        <w:tc>
          <w:tcPr>
            <w:tcW w:w="780"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buyer-x3</w:t>
            </w:r>
          </w:p>
        </w:tc>
        <w:tc>
          <w:tcPr>
            <w:tcW w:w="1664"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price-x4</w:t>
            </w: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I</w:t>
            </w:r>
          </w:p>
        </w:tc>
        <w:tc>
          <w:tcPr>
            <w:tcW w:w="420" w:type="dxa"/>
          </w:tcPr>
          <w:p w:rsidR="00B72047" w:rsidRDefault="00B72047">
            <w:pPr>
              <w:pStyle w:val="examplefixed"/>
              <w:ind w:left="0" w:firstLine="0"/>
              <w:rPr>
                <w:rFonts w:ascii="ITC Officina Sans Book" w:hAnsi="ITC Officina Sans Book" w:cs="ITC Officina Sans Book"/>
                <w:sz w:val="20"/>
                <w:szCs w:val="20"/>
              </w:rPr>
            </w:pPr>
          </w:p>
        </w:tc>
        <w:tc>
          <w:tcPr>
            <w:tcW w:w="55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this</w:t>
            </w:r>
          </w:p>
        </w:tc>
        <w:tc>
          <w:tcPr>
            <w:tcW w:w="780"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to that</w:t>
            </w:r>
          </w:p>
        </w:tc>
        <w:tc>
          <w:tcPr>
            <w:tcW w:w="1664"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for some price.</w:t>
            </w: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5399" w:type="dxa"/>
            <w:gridSpan w:val="6"/>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I sell this-thing/these-things to that-buyer/those-buyers.</w:t>
            </w:r>
            <w:r>
              <w:rPr>
                <w:rFonts w:ascii="ITC Officina Sans Book" w:hAnsi="ITC Officina Sans Book" w:cs="ITC Officina Sans Book"/>
                <w:sz w:val="20"/>
                <w:szCs w:val="20"/>
              </w:rPr>
              <w:br/>
              <w:t>(The price is obvious or unimportant.)</w:t>
            </w:r>
          </w:p>
        </w:tc>
      </w:tr>
    </w:tbl>
    <w:p w:rsidR="00B72047" w:rsidRDefault="00B72047">
      <w:pPr>
        <w:pStyle w:val="resumedafterexample"/>
      </w:pPr>
      <w:r>
        <w:rPr>
          <w:rStyle w:val="htmlcodes"/>
        </w:rPr>
        <w:t>&lt;/pre&gt;&lt;a href=#e6d1&gt;</w:t>
      </w:r>
      <w:r>
        <w:t xml:space="preserve">Example 6.1 </w:t>
      </w:r>
      <w:r>
        <w:rPr>
          <w:rStyle w:val="htmlcodes"/>
        </w:rPr>
        <w:t>&lt;/a&gt;</w:t>
      </w:r>
      <w:r>
        <w:t>has one sumti (the x1) before the selbri. It is also possi</w:t>
      </w:r>
      <w:r>
        <w:softHyphen/>
        <w:t>ble</w:t>
      </w:r>
      <w:r>
        <w:rPr>
          <w:rStyle w:val="deletedparamark"/>
        </w:rPr>
        <w:t xml:space="preserve"> </w:t>
      </w:r>
      <w:r>
        <w:t>to put more than one sumti before the selbri, without changing the order</w:t>
      </w:r>
      <w:r>
        <w:rPr>
          <w:rStyle w:val="deletedparamark"/>
        </w:rPr>
        <w:t xml:space="preserve"> </w:t>
      </w:r>
      <w:r>
        <w:t>of sumti:</w:t>
      </w:r>
    </w:p>
    <w:tbl>
      <w:tblPr>
        <w:tblW w:w="0" w:type="auto"/>
        <w:tblInd w:w="144" w:type="dxa"/>
        <w:tblLayout w:type="fixed"/>
        <w:tblCellMar>
          <w:left w:w="0" w:type="dxa"/>
          <w:right w:w="0" w:type="dxa"/>
        </w:tblCellMar>
        <w:tblLook w:val="0000"/>
      </w:tblPr>
      <w:tblGrid>
        <w:gridCol w:w="720"/>
        <w:gridCol w:w="765"/>
        <w:gridCol w:w="1215"/>
        <w:gridCol w:w="356"/>
        <w:gridCol w:w="392"/>
        <w:gridCol w:w="246"/>
        <w:gridCol w:w="371"/>
        <w:gridCol w:w="114"/>
        <w:gridCol w:w="418"/>
        <w:gridCol w:w="732"/>
        <w:gridCol w:w="973"/>
      </w:tblGrid>
      <w:tr w:rsidR="00B72047">
        <w:tblPrEx>
          <w:tblCellMar>
            <w:top w:w="0" w:type="dxa"/>
            <w:left w:w="0" w:type="dxa"/>
            <w:bottom w:w="0" w:type="dxa"/>
            <w:right w:w="0" w:type="dxa"/>
          </w:tblCellMar>
        </w:tblPrEx>
        <w:trPr>
          <w:gridAfter w:val="1"/>
          <w:wAfter w:w="973" w:type="dxa"/>
          <w:cantSplit/>
        </w:trPr>
        <w:tc>
          <w:tcPr>
            <w:tcW w:w="720"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6.2)</w:t>
            </w:r>
          </w:p>
        </w:tc>
        <w:tc>
          <w:tcPr>
            <w:tcW w:w="76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mi</w:t>
            </w:r>
          </w:p>
        </w:tc>
        <w:tc>
          <w:tcPr>
            <w:tcW w:w="121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ti</w:t>
            </w:r>
          </w:p>
        </w:tc>
        <w:tc>
          <w:tcPr>
            <w:tcW w:w="356"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[cu]</w:t>
            </w:r>
          </w:p>
        </w:tc>
        <w:tc>
          <w:tcPr>
            <w:tcW w:w="638" w:type="dxa"/>
            <w:gridSpan w:val="2"/>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double"/>
              </w:rPr>
              <w:t>vecnu</w:t>
            </w:r>
          </w:p>
        </w:tc>
        <w:tc>
          <w:tcPr>
            <w:tcW w:w="1635" w:type="dxa"/>
            <w:gridSpan w:val="4"/>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ta</w:t>
            </w:r>
          </w:p>
        </w:tc>
      </w:tr>
      <w:tr w:rsidR="00B72047">
        <w:tblPrEx>
          <w:tblCellMar>
            <w:top w:w="0" w:type="dxa"/>
            <w:left w:w="0" w:type="dxa"/>
            <w:bottom w:w="0" w:type="dxa"/>
            <w:right w:w="0" w:type="dxa"/>
          </w:tblCellMar>
        </w:tblPrEx>
        <w:trPr>
          <w:gridAfter w:val="1"/>
          <w:wAfter w:w="973" w:type="dxa"/>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seller-x1</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goods-sold-x2</w:t>
            </w:r>
          </w:p>
        </w:tc>
        <w:tc>
          <w:tcPr>
            <w:tcW w:w="356" w:type="dxa"/>
          </w:tcPr>
          <w:p w:rsidR="00B72047" w:rsidRDefault="00B72047">
            <w:pPr>
              <w:pStyle w:val="examplefixed"/>
              <w:ind w:left="0" w:firstLine="0"/>
              <w:rPr>
                <w:rFonts w:ascii="ITC Officina Sans Book" w:hAnsi="ITC Officina Sans Book" w:cs="ITC Officina Sans Book"/>
                <w:sz w:val="20"/>
                <w:szCs w:val="20"/>
              </w:rPr>
            </w:pPr>
          </w:p>
        </w:tc>
        <w:tc>
          <w:tcPr>
            <w:tcW w:w="638"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sells</w:t>
            </w:r>
          </w:p>
        </w:tc>
        <w:tc>
          <w:tcPr>
            <w:tcW w:w="1635" w:type="dxa"/>
            <w:gridSpan w:val="4"/>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buyer-x3</w:t>
            </w:r>
          </w:p>
        </w:tc>
      </w:tr>
      <w:tr w:rsidR="00B72047">
        <w:tblPrEx>
          <w:tblCellMar>
            <w:top w:w="0" w:type="dxa"/>
            <w:left w:w="0" w:type="dxa"/>
            <w:bottom w:w="0" w:type="dxa"/>
            <w:right w:w="0" w:type="dxa"/>
          </w:tblCellMar>
        </w:tblPrEx>
        <w:trPr>
          <w:gridAfter w:val="1"/>
          <w:wAfter w:w="973" w:type="dxa"/>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I</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this</w:t>
            </w:r>
          </w:p>
        </w:tc>
        <w:tc>
          <w:tcPr>
            <w:tcW w:w="356" w:type="dxa"/>
          </w:tcPr>
          <w:p w:rsidR="00B72047" w:rsidRDefault="00B72047">
            <w:pPr>
              <w:pStyle w:val="examplefixed"/>
              <w:ind w:left="0" w:firstLine="0"/>
              <w:rPr>
                <w:rFonts w:ascii="ITC Officina Sans Book" w:hAnsi="ITC Officina Sans Book" w:cs="ITC Officina Sans Book"/>
                <w:sz w:val="20"/>
                <w:szCs w:val="20"/>
              </w:rPr>
            </w:pPr>
          </w:p>
        </w:tc>
        <w:tc>
          <w:tcPr>
            <w:tcW w:w="638"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w:t>
            </w:r>
          </w:p>
        </w:tc>
        <w:tc>
          <w:tcPr>
            <w:tcW w:w="1635" w:type="dxa"/>
            <w:gridSpan w:val="4"/>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to that.</w:t>
            </w:r>
          </w:p>
        </w:tc>
      </w:tr>
      <w:tr w:rsidR="00B72047">
        <w:tblPrEx>
          <w:tblCellMar>
            <w:top w:w="0" w:type="dxa"/>
            <w:left w:w="0" w:type="dxa"/>
            <w:bottom w:w="0" w:type="dxa"/>
            <w:right w:w="0" w:type="dxa"/>
          </w:tblCellMar>
        </w:tblPrEx>
        <w:trPr>
          <w:gridAfter w:val="4"/>
          <w:wAfter w:w="2237" w:type="dxa"/>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3345" w:type="dxa"/>
            <w:gridSpan w:val="6"/>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(translates as stilted or poetic English)</w:t>
            </w:r>
            <w:r>
              <w:rPr>
                <w:rFonts w:ascii="ITC Officina Sans Book" w:hAnsi="ITC Officina Sans Book" w:cs="ITC Officina Sans Book"/>
                <w:sz w:val="20"/>
                <w:szCs w:val="20"/>
              </w:rPr>
              <w:br/>
              <w:t>I this thing do sell to that buyer.</w:t>
            </w: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6.3)</w:t>
            </w:r>
          </w:p>
        </w:tc>
        <w:tc>
          <w:tcPr>
            <w:tcW w:w="76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mi</w:t>
            </w:r>
          </w:p>
        </w:tc>
        <w:tc>
          <w:tcPr>
            <w:tcW w:w="1215" w:type="dxa"/>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ti</w:t>
            </w:r>
          </w:p>
        </w:tc>
        <w:tc>
          <w:tcPr>
            <w:tcW w:w="748" w:type="dxa"/>
            <w:gridSpan w:val="2"/>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single"/>
              </w:rPr>
              <w:t>ta</w:t>
            </w:r>
          </w:p>
        </w:tc>
        <w:tc>
          <w:tcPr>
            <w:tcW w:w="617" w:type="dxa"/>
            <w:gridSpan w:val="2"/>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[cu]</w:t>
            </w:r>
          </w:p>
        </w:tc>
        <w:tc>
          <w:tcPr>
            <w:tcW w:w="532" w:type="dxa"/>
            <w:gridSpan w:val="2"/>
          </w:tcPr>
          <w:p w:rsidR="00B72047" w:rsidRDefault="00B72047">
            <w:pPr>
              <w:pStyle w:val="examplefixed"/>
              <w:spacing w:before="120"/>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u w:val="double"/>
              </w:rPr>
              <w:t>vecnu</w:t>
            </w:r>
          </w:p>
        </w:tc>
        <w:tc>
          <w:tcPr>
            <w:tcW w:w="1705" w:type="dxa"/>
            <w:gridSpan w:val="2"/>
          </w:tcPr>
          <w:p w:rsidR="00B72047" w:rsidRDefault="00B72047">
            <w:pPr>
              <w:pStyle w:val="examplefixed"/>
              <w:spacing w:before="120"/>
              <w:ind w:left="0" w:firstLine="0"/>
              <w:rPr>
                <w:rFonts w:ascii="ITC Officina Sans Book" w:hAnsi="ITC Officina Sans Book" w:cs="ITC Officina Sans Book"/>
                <w:sz w:val="20"/>
                <w:szCs w:val="20"/>
              </w:rPr>
            </w:pP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seller-x1</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goods-sold-x2</w:t>
            </w:r>
          </w:p>
        </w:tc>
        <w:tc>
          <w:tcPr>
            <w:tcW w:w="748"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buyer-x3</w:t>
            </w:r>
          </w:p>
        </w:tc>
        <w:tc>
          <w:tcPr>
            <w:tcW w:w="617" w:type="dxa"/>
            <w:gridSpan w:val="2"/>
          </w:tcPr>
          <w:p w:rsidR="00B72047" w:rsidRDefault="00B72047">
            <w:pPr>
              <w:pStyle w:val="examplefixed"/>
              <w:ind w:left="0" w:firstLine="0"/>
              <w:rPr>
                <w:rFonts w:ascii="ITC Officina Sans Book" w:hAnsi="ITC Officina Sans Book" w:cs="ITC Officina Sans Book"/>
                <w:sz w:val="20"/>
                <w:szCs w:val="20"/>
              </w:rPr>
            </w:pPr>
          </w:p>
        </w:tc>
        <w:tc>
          <w:tcPr>
            <w:tcW w:w="532"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sells</w:t>
            </w:r>
          </w:p>
        </w:tc>
        <w:tc>
          <w:tcPr>
            <w:tcW w:w="1705" w:type="dxa"/>
            <w:gridSpan w:val="2"/>
          </w:tcPr>
          <w:p w:rsidR="00B72047" w:rsidRDefault="00B72047">
            <w:pPr>
              <w:pStyle w:val="examplefixed"/>
              <w:ind w:left="0" w:firstLine="0"/>
              <w:rPr>
                <w:rFonts w:ascii="ITC Officina Sans Book" w:hAnsi="ITC Officina Sans Book" w:cs="ITC Officina Sans Book"/>
                <w:sz w:val="20"/>
                <w:szCs w:val="20"/>
              </w:rPr>
            </w:pPr>
          </w:p>
        </w:tc>
      </w:tr>
      <w:tr w:rsidR="00B72047">
        <w:tblPrEx>
          <w:tblCellMar>
            <w:top w:w="0" w:type="dxa"/>
            <w:left w:w="0" w:type="dxa"/>
            <w:bottom w:w="0" w:type="dxa"/>
            <w:right w:w="0" w:type="dxa"/>
          </w:tblCellMar>
        </w:tblPrEx>
        <w:trPr>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76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I</w:t>
            </w:r>
          </w:p>
        </w:tc>
        <w:tc>
          <w:tcPr>
            <w:tcW w:w="1215" w:type="dxa"/>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this</w:t>
            </w:r>
          </w:p>
        </w:tc>
        <w:tc>
          <w:tcPr>
            <w:tcW w:w="748"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to that</w:t>
            </w:r>
          </w:p>
        </w:tc>
        <w:tc>
          <w:tcPr>
            <w:tcW w:w="617" w:type="dxa"/>
            <w:gridSpan w:val="2"/>
          </w:tcPr>
          <w:p w:rsidR="00B72047" w:rsidRDefault="00B72047">
            <w:pPr>
              <w:pStyle w:val="examplefixed"/>
              <w:ind w:left="0" w:firstLine="0"/>
              <w:rPr>
                <w:rFonts w:ascii="ITC Officina Sans Book" w:hAnsi="ITC Officina Sans Book" w:cs="ITC Officina Sans Book"/>
                <w:sz w:val="20"/>
                <w:szCs w:val="20"/>
              </w:rPr>
            </w:pPr>
          </w:p>
        </w:tc>
        <w:tc>
          <w:tcPr>
            <w:tcW w:w="532" w:type="dxa"/>
            <w:gridSpan w:val="2"/>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sell.</w:t>
            </w:r>
          </w:p>
        </w:tc>
        <w:tc>
          <w:tcPr>
            <w:tcW w:w="1705" w:type="dxa"/>
            <w:gridSpan w:val="2"/>
          </w:tcPr>
          <w:p w:rsidR="00B72047" w:rsidRDefault="00B72047">
            <w:pPr>
              <w:pStyle w:val="examplefixed"/>
              <w:ind w:left="0" w:firstLine="0"/>
              <w:rPr>
                <w:rFonts w:ascii="ITC Officina Sans Book" w:hAnsi="ITC Officina Sans Book" w:cs="ITC Officina Sans Book"/>
                <w:sz w:val="20"/>
                <w:szCs w:val="20"/>
              </w:rPr>
            </w:pPr>
          </w:p>
        </w:tc>
      </w:tr>
      <w:tr w:rsidR="00B72047">
        <w:tblPrEx>
          <w:tblCellMar>
            <w:top w:w="0" w:type="dxa"/>
            <w:left w:w="0" w:type="dxa"/>
            <w:bottom w:w="0" w:type="dxa"/>
            <w:right w:w="0" w:type="dxa"/>
          </w:tblCellMar>
        </w:tblPrEx>
        <w:trPr>
          <w:gridAfter w:val="3"/>
          <w:wAfter w:w="2123" w:type="dxa"/>
          <w:cantSplit/>
        </w:trPr>
        <w:tc>
          <w:tcPr>
            <w:tcW w:w="720" w:type="dxa"/>
          </w:tcPr>
          <w:p w:rsidR="00B72047" w:rsidRDefault="00B72047">
            <w:pPr>
              <w:pStyle w:val="examplefixed"/>
              <w:ind w:left="0" w:firstLine="0"/>
              <w:rPr>
                <w:rFonts w:ascii="ITC Officina Sans Book" w:hAnsi="ITC Officina Sans Book" w:cs="ITC Officina Sans Book"/>
                <w:sz w:val="20"/>
                <w:szCs w:val="20"/>
              </w:rPr>
            </w:pPr>
          </w:p>
        </w:tc>
        <w:tc>
          <w:tcPr>
            <w:tcW w:w="3459" w:type="dxa"/>
            <w:gridSpan w:val="7"/>
          </w:tcPr>
          <w:p w:rsidR="00B72047" w:rsidRDefault="00B72047">
            <w:pPr>
              <w:pStyle w:val="examplefixed"/>
              <w:ind w:left="0" w:firstLine="0"/>
              <w:rPr>
                <w:rFonts w:ascii="ITC Officina Sans Book" w:hAnsi="ITC Officina Sans Book" w:cs="ITC Officina Sans Book"/>
                <w:sz w:val="20"/>
                <w:szCs w:val="20"/>
              </w:rPr>
            </w:pPr>
            <w:r>
              <w:rPr>
                <w:rFonts w:ascii="ITC Officina Sans Book" w:hAnsi="ITC Officina Sans Book" w:cs="ITC Officina Sans Book"/>
                <w:sz w:val="20"/>
                <w:szCs w:val="20"/>
              </w:rPr>
              <w:t>(translates as stilted or poetic English)</w:t>
            </w:r>
            <w:r>
              <w:rPr>
                <w:rFonts w:ascii="ITC Officina Sans Book" w:hAnsi="ITC Officina Sans Book" w:cs="ITC Officina Sans Book"/>
                <w:sz w:val="20"/>
                <w:szCs w:val="20"/>
              </w:rPr>
              <w:br/>
              <w:t>I this thing to that buyer do sell.</w:t>
            </w:r>
          </w:p>
        </w:tc>
      </w:tr>
    </w:tbl>
    <w:p w:rsidR="00B72047" w:rsidRDefault="00B72047">
      <w:pPr>
        <w:rPr>
          <w:rStyle w:val="htmlparacode"/>
        </w:rPr>
      </w:pPr>
      <w:r>
        <w:rPr>
          <w:rStyle w:val="htmlparacode"/>
        </w:rPr>
        <w:t>&lt;p&gt;</w:t>
      </w:r>
    </w:p>
    <w:p w:rsidR="00B72047" w:rsidRDefault="00B72047">
      <w:pPr>
        <w:rPr>
          <w:rStyle w:val="htmlcodes"/>
        </w:rPr>
      </w:pPr>
    </w:p>
    <w:p w:rsidR="00B72047" w:rsidRDefault="00B72047">
      <w:pPr>
        <w:pStyle w:val="resumedafterexample"/>
      </w:pPr>
      <w:r>
        <w:rPr>
          <w:rStyle w:val="htmlcodes"/>
        </w:rPr>
        <w:t>&lt;/pre&gt;&lt;a href=#e6d{1}&gt;</w:t>
      </w:r>
      <w:r>
        <w:t xml:space="preserve">Examples 6.1 </w:t>
      </w:r>
      <w:r>
        <w:rPr>
          <w:rStyle w:val="htmlcodes"/>
        </w:rPr>
        <w:t>&lt;/a&gt;</w:t>
      </w:r>
      <w:r>
        <w:t xml:space="preserve">through </w:t>
      </w:r>
      <w:r>
        <w:rPr>
          <w:rStyle w:val="htmlcodes"/>
        </w:rPr>
        <w:t>&lt;a href=#e6d3&gt;</w:t>
      </w:r>
      <w:r>
        <w:t xml:space="preserve">6.3 </w:t>
      </w:r>
      <w:r>
        <w:rPr>
          <w:rStyle w:val="htmlcodes"/>
        </w:rPr>
        <w:t>&lt;/a&gt;</w:t>
      </w:r>
      <w:r>
        <w:t>mean the same thing. Usually, placing more than</w:t>
      </w:r>
      <w:r>
        <w:rPr>
          <w:rStyle w:val="deletedparamark"/>
        </w:rPr>
        <w:t xml:space="preserve"> </w:t>
      </w:r>
      <w:r>
        <w:t>one sumti before the selbri is done for style or for empha</w:t>
      </w:r>
      <w:r>
        <w:softHyphen/>
        <w:t>sis on the sumti</w:t>
      </w:r>
      <w:r>
        <w:rPr>
          <w:rStyle w:val="deletedparamark"/>
        </w:rPr>
        <w:t xml:space="preserve"> </w:t>
      </w:r>
      <w:r>
        <w:t>that are out-of-place from their normal position. (Native speakers of</w:t>
      </w:r>
      <w:r>
        <w:rPr>
          <w:rStyle w:val="deletedparamark"/>
        </w:rPr>
        <w:t xml:space="preserve"> </w:t>
      </w:r>
      <w:r>
        <w:t>languages other than English may prefer such orders.)</w:t>
      </w:r>
    </w:p>
    <w:p w:rsidR="00B72047" w:rsidRDefault="00B72047">
      <w:pPr>
        <w:rPr>
          <w:rStyle w:val="htmlparacode"/>
        </w:rPr>
      </w:pPr>
      <w:r>
        <w:rPr>
          <w:rStyle w:val="htmlparacode"/>
        </w:rPr>
        <w:t>&lt;p&gt;</w:t>
      </w:r>
    </w:p>
    <w:p w:rsidR="00B72047" w:rsidRDefault="00B72047">
      <w:pPr>
        <w:pStyle w:val="normalparagraph"/>
      </w:pPr>
      <w:r>
        <w:rPr>
          <w:rStyle w:val="indexentry"/>
        </w:rPr>
        <w:t>&lt;cx "observatives (quick-tour version)"&gt;</w:t>
      </w:r>
      <w:r>
        <w:rPr>
          <w:rStyle w:val="indexentry"/>
        </w:rPr>
        <w:fldChar w:fldCharType="begin"/>
      </w:r>
      <w:r>
        <w:instrText>xe "</w:instrText>
      </w:r>
      <w:r>
        <w:rPr>
          <w:rStyle w:val="xeentry"/>
        </w:rPr>
        <w:instrText>observatives: quick-tour version</w:instrText>
      </w:r>
      <w:r>
        <w:instrText>"</w:instrText>
      </w:r>
      <w:r>
        <w:rPr>
          <w:rStyle w:val="indexentry"/>
        </w:rPr>
        <w:fldChar w:fldCharType="end"/>
      </w:r>
      <w:r>
        <w:t>If there are no sumti before the selbri, then it is understood that the x1</w:t>
      </w:r>
      <w:r>
        <w:rPr>
          <w:rStyle w:val="deletedparamark"/>
        </w:rPr>
        <w:t xml:space="preserve"> </w:t>
      </w:r>
      <w:r>
        <w:t>sumti value is equivalent to “zo'e”; i.e. unimportant or ob</w:t>
      </w:r>
      <w:r>
        <w:softHyphen/>
        <w:t>vious, and</w:t>
      </w:r>
      <w:r>
        <w:rPr>
          <w:rStyle w:val="deletedparamark"/>
        </w:rPr>
        <w:t xml:space="preserve"> </w:t>
      </w:r>
      <w:r>
        <w:t>therefore not given. Any sumti after the selbri start count</w:t>
      </w:r>
      <w:r>
        <w:softHyphen/>
        <w:t>ing from x2.</w:t>
      </w:r>
    </w:p>
    <w:tbl>
      <w:tblPr>
        <w:tblW w:w="0" w:type="auto"/>
        <w:tblInd w:w="144" w:type="dxa"/>
        <w:tblLayout w:type="fixed"/>
        <w:tblCellMar>
          <w:left w:w="0" w:type="dxa"/>
          <w:right w:w="0" w:type="dxa"/>
        </w:tblCellMar>
        <w:tblLook w:val="0000"/>
      </w:tblPr>
      <w:tblGrid>
        <w:gridCol w:w="720"/>
        <w:gridCol w:w="1275"/>
        <w:gridCol w:w="420"/>
        <w:gridCol w:w="3645"/>
      </w:tblGrid>
      <w:tr w:rsidR="00B72047">
        <w:tblPrEx>
          <w:tblCellMar>
            <w:top w:w="0" w:type="dxa"/>
            <w:left w:w="0" w:type="dxa"/>
            <w:bottom w:w="0" w:type="dxa"/>
            <w:right w:w="0" w:type="dxa"/>
          </w:tblCellMar>
        </w:tblPrEx>
        <w:trPr>
          <w:cantSplit/>
          <w:hidden w:val="0"/>
        </w:trPr>
        <w:tc>
          <w:tcPr>
            <w:tcW w:w="7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6.4)</w:t>
            </w:r>
          </w:p>
        </w:tc>
        <w:tc>
          <w:tcPr>
            <w:tcW w:w="127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ta</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364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melbi</w:t>
            </w: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12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object/idea-x1</w:t>
            </w:r>
          </w:p>
        </w:tc>
        <w:tc>
          <w:tcPr>
            <w:tcW w:w="420" w:type="dxa"/>
          </w:tcPr>
          <w:p w:rsidR="00B72047" w:rsidRDefault="00B72047">
            <w:pPr>
              <w:rPr>
                <w:rStyle w:val="htmlparacode"/>
                <w:rFonts w:ascii="ITC Officina Sans Book" w:hAnsi="ITC Officina Sans Book" w:cs="ITC Officina Sans Book"/>
              </w:rPr>
            </w:pPr>
          </w:p>
        </w:tc>
        <w:tc>
          <w:tcPr>
            <w:tcW w:w="36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is-beautiful (to someone by some standard)</w:t>
            </w: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12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That/Those</w:t>
            </w:r>
          </w:p>
        </w:tc>
        <w:tc>
          <w:tcPr>
            <w:tcW w:w="420" w:type="dxa"/>
          </w:tcPr>
          <w:p w:rsidR="00B72047" w:rsidRDefault="00B72047">
            <w:pPr>
              <w:rPr>
                <w:rStyle w:val="htmlparacode"/>
                <w:rFonts w:ascii="ITC Officina Sans Book" w:hAnsi="ITC Officina Sans Book" w:cs="ITC Officina Sans Book"/>
              </w:rPr>
            </w:pPr>
          </w:p>
        </w:tc>
        <w:tc>
          <w:tcPr>
            <w:tcW w:w="36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is/are beautiful.</w:t>
            </w: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5340" w:type="dxa"/>
            <w:gridSpan w:val="3"/>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That is beautiful.</w:t>
            </w:r>
          </w:p>
          <w:p w:rsidR="00B72047" w:rsidRDefault="00B72047">
            <w:pPr>
              <w:rPr>
                <w:rStyle w:val="htmlparacode"/>
                <w:rFonts w:ascii="ITC Officina Sans Book" w:hAnsi="ITC Officina Sans Book" w:cs="ITC Officina Sans Book"/>
              </w:rPr>
            </w:pP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5340" w:type="dxa"/>
            <w:gridSpan w:val="3"/>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Those are beautiful.</w:t>
            </w:r>
          </w:p>
          <w:p w:rsidR="00B72047" w:rsidRDefault="00B72047">
            <w:pPr>
              <w:rPr>
                <w:rStyle w:val="htmlparacode"/>
                <w:rFonts w:ascii="ITC Officina Sans Book" w:hAnsi="ITC Officina Sans Book" w:cs="ITC Officina Sans Book"/>
              </w:rPr>
            </w:pP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when the x1 is omitted, becomes:</w:t>
      </w:r>
    </w:p>
    <w:tbl>
      <w:tblPr>
        <w:tblW w:w="0" w:type="auto"/>
        <w:tblInd w:w="144" w:type="dxa"/>
        <w:tblLayout w:type="fixed"/>
        <w:tblCellMar>
          <w:left w:w="0" w:type="dxa"/>
          <w:right w:w="0" w:type="dxa"/>
        </w:tblCellMar>
        <w:tblLook w:val="0000"/>
      </w:tblPr>
      <w:tblGrid>
        <w:gridCol w:w="720"/>
        <w:gridCol w:w="1275"/>
        <w:gridCol w:w="420"/>
        <w:gridCol w:w="3645"/>
      </w:tblGrid>
      <w:tr w:rsidR="00B72047">
        <w:tblPrEx>
          <w:tblCellMar>
            <w:top w:w="0" w:type="dxa"/>
            <w:left w:w="0" w:type="dxa"/>
            <w:bottom w:w="0" w:type="dxa"/>
            <w:right w:w="0" w:type="dxa"/>
          </w:tblCellMar>
        </w:tblPrEx>
        <w:trPr>
          <w:cantSplit/>
          <w:hidden w:val="0"/>
        </w:trPr>
        <w:tc>
          <w:tcPr>
            <w:tcW w:w="7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6.5)</w:t>
            </w:r>
          </w:p>
        </w:tc>
        <w:tc>
          <w:tcPr>
            <w:tcW w:w="127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 xml:space="preserve"> _                _</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364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melbi</w:t>
            </w: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12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unspecified-x1</w:t>
            </w:r>
          </w:p>
        </w:tc>
        <w:tc>
          <w:tcPr>
            <w:tcW w:w="420" w:type="dxa"/>
          </w:tcPr>
          <w:p w:rsidR="00B72047" w:rsidRDefault="00B72047">
            <w:pPr>
              <w:rPr>
                <w:rStyle w:val="htmlparacode"/>
                <w:rFonts w:ascii="ITC Officina Sans Book" w:hAnsi="ITC Officina Sans Book" w:cs="ITC Officina Sans Book"/>
              </w:rPr>
            </w:pPr>
          </w:p>
        </w:tc>
        <w:tc>
          <w:tcPr>
            <w:tcW w:w="36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is-beautiful (to someone by some standard)</w:t>
            </w: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5340" w:type="dxa"/>
            <w:gridSpan w:val="3"/>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Beautiful!</w:t>
            </w:r>
          </w:p>
          <w:p w:rsidR="00B72047" w:rsidRDefault="00B72047">
            <w:pPr>
              <w:rPr>
                <w:rStyle w:val="htmlparacode"/>
                <w:rFonts w:ascii="ITC Officina Sans Book" w:hAnsi="ITC Officina Sans Book" w:cs="ITC Officina Sans Book"/>
              </w:rPr>
            </w:pPr>
          </w:p>
        </w:tc>
      </w:tr>
      <w:tr w:rsidR="00B72047">
        <w:tblPrEx>
          <w:tblCellMar>
            <w:top w:w="0" w:type="dxa"/>
            <w:left w:w="0" w:type="dxa"/>
            <w:bottom w:w="0" w:type="dxa"/>
            <w:right w:w="0" w:type="dxa"/>
          </w:tblCellMar>
        </w:tblPrEx>
        <w:trPr>
          <w:cantSplit/>
        </w:trPr>
        <w:tc>
          <w:tcPr>
            <w:tcW w:w="720" w:type="dxa"/>
          </w:tcPr>
          <w:p w:rsidR="00B72047" w:rsidRDefault="00B72047">
            <w:pPr>
              <w:rPr>
                <w:rStyle w:val="htmlparacode"/>
                <w:rFonts w:ascii="ITC Officina Sans Book" w:hAnsi="ITC Officina Sans Book" w:cs="ITC Officina Sans Book"/>
              </w:rPr>
            </w:pPr>
          </w:p>
        </w:tc>
        <w:tc>
          <w:tcPr>
            <w:tcW w:w="5340" w:type="dxa"/>
            <w:gridSpan w:val="3"/>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It’s beautiful!</w:t>
            </w:r>
          </w:p>
          <w:p w:rsidR="00B72047" w:rsidRDefault="00B72047">
            <w:pPr>
              <w:rPr>
                <w:rStyle w:val="htmlparacode"/>
                <w:rFonts w:ascii="ITC Officina Sans Book" w:hAnsi="ITC Officina Sans Book" w:cs="ITC Officina Sans Book"/>
              </w:rPr>
            </w:pPr>
          </w:p>
        </w:tc>
      </w:tr>
    </w:tbl>
    <w:p w:rsidR="00B72047" w:rsidRDefault="00B72047">
      <w:pPr>
        <w:rPr>
          <w:rStyle w:val="htmlparacode"/>
        </w:rPr>
      </w:pPr>
      <w:r>
        <w:rPr>
          <w:rStyle w:val="htmlparacode"/>
        </w:rPr>
        <w:t>&lt;p&gt;</w:t>
      </w:r>
    </w:p>
    <w:p w:rsidR="00B72047" w:rsidRDefault="00B72047">
      <w:pPr>
        <w:pStyle w:val="normalafterexample"/>
      </w:pPr>
      <w:r>
        <w:rPr>
          <w:rStyle w:val="htmlcodes"/>
        </w:rPr>
        <w:t>&lt;/pre&gt;&lt;p&gt;</w:t>
      </w:r>
      <w:r>
        <w:t>Omitting the x1 adds emphasis to the selbri relation, which has become</w:t>
      </w:r>
      <w:r>
        <w:rPr>
          <w:rStyle w:val="deletedparamark"/>
        </w:rPr>
        <w:t xml:space="preserve"> </w:t>
      </w:r>
      <w:r>
        <w:t>first in the sentence. This kind of sentence is termed an observative,</w:t>
      </w:r>
      <w:r>
        <w:rPr>
          <w:rStyle w:val="deletedparamark"/>
        </w:rPr>
        <w:t xml:space="preserve"> </w:t>
      </w:r>
      <w:r>
        <w:t>because it is often used when someone first observes or takes note of the</w:t>
      </w:r>
      <w:r>
        <w:rPr>
          <w:rStyle w:val="deletedparamark"/>
        </w:rPr>
        <w:t xml:space="preserve"> </w:t>
      </w:r>
      <w:r>
        <w:t>relationship, and wishes to quickly commu</w:t>
      </w:r>
      <w:r>
        <w:softHyphen/>
        <w:t>nicate it to someone</w:t>
      </w:r>
      <w:r>
        <w:rPr>
          <w:rStyle w:val="deletedparamark"/>
        </w:rPr>
        <w:t xml:space="preserve"> </w:t>
      </w:r>
      <w:r>
        <w:t>else. Commonly understood English observatives include “Smoke!” upon seeing</w:t>
      </w:r>
      <w:r>
        <w:rPr>
          <w:rStyle w:val="deletedparamark"/>
        </w:rPr>
        <w:t xml:space="preserve"> </w:t>
      </w:r>
      <w:r>
        <w:t>smoke or smelling the odor, or “Car!” to a per</w:t>
      </w:r>
      <w:r>
        <w:softHyphen/>
        <w:t>son crossing the street</w:t>
      </w:r>
      <w:r>
        <w:rPr>
          <w:rStyle w:val="deletedparamark"/>
        </w:rPr>
        <w:t xml:space="preserve"> </w:t>
      </w:r>
      <w:r>
        <w:t>who might be in danger. Any Lojban selbri can be used as an observative if no</w:t>
      </w:r>
      <w:r>
        <w:rPr>
          <w:rStyle w:val="deletedparamark"/>
        </w:rPr>
        <w:t xml:space="preserve"> </w:t>
      </w:r>
      <w:r>
        <w:t>sumti appear before the selbri.</w:t>
      </w:r>
    </w:p>
    <w:p w:rsidR="00B72047" w:rsidRDefault="00B72047">
      <w:pPr>
        <w:rPr>
          <w:rStyle w:val="htmlparacode"/>
        </w:rPr>
      </w:pPr>
      <w:r>
        <w:rPr>
          <w:rStyle w:val="htmlparacode"/>
        </w:rPr>
        <w:t>&lt;p&gt;</w:t>
      </w:r>
    </w:p>
    <w:p w:rsidR="00B72047" w:rsidRDefault="00B72047">
      <w:pPr>
        <w:pStyle w:val="normalparagraph"/>
      </w:pPr>
      <w:r>
        <w:t>The word “cu” does not occur in an observative; “cu” is a separator, and</w:t>
      </w:r>
      <w:r>
        <w:rPr>
          <w:rStyle w:val="deletedparamark"/>
        </w:rPr>
        <w:t xml:space="preserve"> </w:t>
      </w:r>
      <w:r>
        <w:t>there must be a sumti before the selbri that needs to be kept separate for</w:t>
      </w:r>
      <w:r>
        <w:rPr>
          <w:rStyle w:val="deletedparamark"/>
        </w:rPr>
        <w:t xml:space="preserve"> “</w:t>
      </w:r>
      <w:r>
        <w:t>cu” to be used. With no sumti preceding the selbri, “cu” is not permitted.</w:t>
      </w:r>
      <w:r>
        <w:rPr>
          <w:rStyle w:val="deletedparamark"/>
        </w:rPr>
        <w:t xml:space="preserve"> </w:t>
      </w:r>
      <w:r>
        <w:t>Short words like “cu” which serve gram</w:t>
      </w:r>
      <w:r>
        <w:softHyphen/>
        <w:t>matical functions are called “cmavo”</w:t>
      </w:r>
      <w:r>
        <w:rPr>
          <w:rStyle w:val="deletedparamark"/>
        </w:rPr>
        <w:t xml:space="preserve"> </w:t>
      </w:r>
      <w:r>
        <w:t>in Lojban.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72" w:name="_Toc395691471"/>
      <w:bookmarkStart w:id="73" w:name="_Toc395691665"/>
      <w:bookmarkStart w:id="74" w:name="_Toc398970442"/>
      <w:r>
        <w:rPr>
          <w:rStyle w:val="Heading3Text"/>
        </w:rPr>
        <w:t>Varying the order of sumti</w:t>
      </w:r>
      <w:bookmarkEnd w:id="72"/>
      <w:bookmarkEnd w:id="73"/>
      <w:bookmarkEnd w:id="7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"sumti reordering (quick-tour version)"&gt;</w:t>
      </w:r>
      <w:r>
        <w:rPr>
          <w:rStyle w:val="indexentry"/>
        </w:rPr>
        <w:fldChar w:fldCharType="begin"/>
      </w:r>
      <w:r>
        <w:instrText>xe "</w:instrText>
      </w:r>
      <w:r>
        <w:rPr>
          <w:rStyle w:val="xeentry"/>
        </w:rPr>
        <w:instrText>sumti reordering: quick-tour version</w:instrText>
      </w:r>
      <w:r>
        <w:instrText>"</w:instrText>
      </w:r>
      <w:r>
        <w:rPr>
          <w:rStyle w:val="indexentry"/>
        </w:rPr>
        <w:fldChar w:fldCharType="end"/>
      </w:r>
      <w:r>
        <w:rPr>
          <w:rStyle w:val="indexentry"/>
        </w:rPr>
        <w:t>&lt;lx "se (quick-tour version)"&gt;</w:t>
      </w:r>
      <w:r>
        <w:rPr>
          <w:rStyle w:val="indexentry"/>
        </w:rPr>
        <w:fldChar w:fldCharType="begin"/>
      </w:r>
      <w:r>
        <w:instrText>xe "</w:instrText>
      </w:r>
      <w:r>
        <w:rPr>
          <w:rStyle w:val="xeentry"/>
        </w:rPr>
        <w:instrText>se: quick-tour version</w:instrText>
      </w:r>
      <w:r>
        <w:instrText>"</w:instrText>
      </w:r>
      <w:r>
        <w:rPr>
          <w:rStyle w:val="indexentry"/>
        </w:rPr>
        <w:fldChar w:fldCharType="end"/>
      </w:r>
      <w:r>
        <w:rPr>
          <w:rStyle w:val="indexentry"/>
        </w:rPr>
        <w:t>&lt;lx "SE (quick-tour version)"&gt;</w:t>
      </w:r>
      <w:r>
        <w:rPr>
          <w:rStyle w:val="indexentry"/>
        </w:rPr>
        <w:fldChar w:fldCharType="begin"/>
      </w:r>
      <w:r>
        <w:instrText>xe "</w:instrText>
      </w:r>
      <w:r>
        <w:rPr>
          <w:rStyle w:val="xeentry"/>
        </w:rPr>
        <w:instrText>SE selma’o: quick-tour version</w:instrText>
      </w:r>
      <w:r>
        <w:instrText>"</w:instrText>
      </w:r>
      <w:r>
        <w:rPr>
          <w:rStyle w:val="indexentry"/>
        </w:rPr>
        <w:fldChar w:fldCharType="end"/>
      </w:r>
      <w:r>
        <w:t>For one reason or another you may want to change the or</w:t>
      </w:r>
      <w:r>
        <w:softHyphen/>
        <w:t>der, placing</w:t>
      </w:r>
      <w:r>
        <w:rPr>
          <w:rStyle w:val="deletedparamark"/>
        </w:rPr>
        <w:t xml:space="preserve"> </w:t>
      </w:r>
      <w:r>
        <w:t>one par</w:t>
      </w:r>
      <w:r>
        <w:softHyphen/>
        <w:t>ticular sumti at the front of the bridi. The cmavo “se”, when placed</w:t>
      </w:r>
      <w:r>
        <w:rPr>
          <w:rStyle w:val="deletedparamark"/>
        </w:rPr>
        <w:t xml:space="preserve"> </w:t>
      </w:r>
      <w:r>
        <w:t>before the last word of the selbri, will switch the meanings of the first</w:t>
      </w:r>
      <w:r>
        <w:rPr>
          <w:rStyle w:val="deletedparamark"/>
        </w:rPr>
        <w:t xml:space="preserve"> </w:t>
      </w:r>
      <w:r>
        <w:t>and second sumti places.  So</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name=e7d1&gt;</w:t>
      </w:r>
      <w:r>
        <w:t>7.1)</w:t>
      </w:r>
      <w:r>
        <w:tab/>
      </w:r>
      <w:r>
        <w:rPr>
          <w:u w:val="single"/>
        </w:rPr>
        <w:t>mi</w:t>
      </w:r>
      <w:r>
        <w:t xml:space="preserve"> </w:t>
      </w:r>
      <w:r>
        <w:rPr>
          <w:u w:val="double"/>
        </w:rPr>
        <w:t>tavla</w:t>
      </w:r>
      <w:r>
        <w:t xml:space="preserve"> </w:t>
      </w:r>
      <w:r>
        <w:rPr>
          <w:u w:val="single"/>
        </w:rPr>
        <w:t>do</w:t>
      </w:r>
      <w:r>
        <w:t xml:space="preserve"> </w:t>
      </w:r>
      <w:r>
        <w:rPr>
          <w:u w:val="single"/>
        </w:rPr>
        <w:t>ti</w:t>
      </w:r>
    </w:p>
    <w:p w:rsidR="00B72047" w:rsidRDefault="00B72047">
      <w:pPr>
        <w:pStyle w:val="examplescaled"/>
      </w:pPr>
      <w:r>
        <w:tab/>
        <w:t>I talk to you about this.</w:t>
      </w:r>
    </w:p>
    <w:p w:rsidR="00B72047" w:rsidRDefault="00B72047">
      <w:pPr>
        <w:pStyle w:val="resumedafterexample"/>
      </w:pPr>
      <w:r>
        <w:rPr>
          <w:rStyle w:val="htmlcodes"/>
        </w:rPr>
        <w:t>&lt;/pre&gt;</w:t>
      </w:r>
      <w:r>
        <w:t>has the same meaning as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name=e7d2&gt;</w:t>
      </w:r>
      <w:r>
        <w:t>7.2)</w:t>
      </w:r>
      <w:r>
        <w:tab/>
      </w:r>
      <w:r>
        <w:rPr>
          <w:u w:val="single"/>
        </w:rPr>
        <w:t>do</w:t>
      </w:r>
      <w:r>
        <w:t xml:space="preserve"> </w:t>
      </w:r>
      <w:r>
        <w:rPr>
          <w:u w:val="double"/>
        </w:rPr>
        <w:t>se tavla</w:t>
      </w:r>
      <w:r>
        <w:t xml:space="preserve"> </w:t>
      </w:r>
      <w:r>
        <w:rPr>
          <w:u w:val="single"/>
        </w:rPr>
        <w:t>mi</w:t>
      </w:r>
      <w:r>
        <w:t xml:space="preserve"> </w:t>
      </w:r>
      <w:r>
        <w:rPr>
          <w:u w:val="single"/>
        </w:rPr>
        <w:t>ti</w:t>
      </w:r>
    </w:p>
    <w:p w:rsidR="00B72047" w:rsidRDefault="00B72047">
      <w:pPr>
        <w:pStyle w:val="examplescaled"/>
      </w:pPr>
      <w:r>
        <w:tab/>
        <w:t>You are talked to by me about this.</w:t>
      </w:r>
    </w:p>
    <w:p w:rsidR="00B72047" w:rsidRDefault="00B72047">
      <w:pPr>
        <w:pStyle w:val="normalafterexample"/>
      </w:pPr>
      <w:r>
        <w:rPr>
          <w:rStyle w:val="htmlcodes"/>
        </w:rPr>
        <w:t>&lt;/pre&gt;&lt;p&gt;</w:t>
      </w:r>
      <w:r>
        <w:rPr>
          <w:rStyle w:val="indexentry"/>
        </w:rPr>
        <w:t>&lt;lx "te (quick-tour version)"&gt;</w:t>
      </w:r>
      <w:r>
        <w:rPr>
          <w:rStyle w:val="indexentry"/>
        </w:rPr>
        <w:fldChar w:fldCharType="begin"/>
      </w:r>
      <w:r>
        <w:instrText>xe "</w:instrText>
      </w:r>
      <w:r>
        <w:rPr>
          <w:rStyle w:val="xeentry"/>
        </w:rPr>
        <w:instrText>te: quick-tour version</w:instrText>
      </w:r>
      <w:r>
        <w:instrText>"</w:instrText>
      </w:r>
      <w:r>
        <w:rPr>
          <w:rStyle w:val="indexentry"/>
        </w:rPr>
        <w:fldChar w:fldCharType="end"/>
      </w:r>
      <w:r>
        <w:t>The cmavo “te”, when used in the same location, switches the meanings of</w:t>
      </w:r>
      <w:r>
        <w:rPr>
          <w:rStyle w:val="deletedparamark"/>
        </w:rPr>
        <w:t xml:space="preserve"> </w:t>
      </w:r>
      <w:r>
        <w:t>the first and the third sumti places.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name=e7d3&gt;</w:t>
      </w:r>
      <w:r>
        <w:t>7.3)</w:t>
      </w:r>
      <w:r>
        <w:tab/>
      </w:r>
      <w:r>
        <w:rPr>
          <w:u w:val="single"/>
        </w:rPr>
        <w:t>mi</w:t>
      </w:r>
      <w:r>
        <w:t xml:space="preserve"> </w:t>
      </w:r>
      <w:r>
        <w:rPr>
          <w:u w:val="double"/>
        </w:rPr>
        <w:t>tavla</w:t>
      </w:r>
      <w:r>
        <w:t xml:space="preserve"> </w:t>
      </w:r>
      <w:r>
        <w:rPr>
          <w:u w:val="single"/>
        </w:rPr>
        <w:t>do</w:t>
      </w:r>
      <w:r>
        <w:t xml:space="preserve"> </w:t>
      </w:r>
      <w:r>
        <w:rPr>
          <w:u w:val="single"/>
        </w:rPr>
        <w:t>ti</w:t>
      </w:r>
    </w:p>
    <w:p w:rsidR="00B72047" w:rsidRDefault="00B72047">
      <w:pPr>
        <w:pStyle w:val="examplescaled"/>
      </w:pPr>
      <w:r>
        <w:tab/>
        <w:t>I talk to you about this.</w:t>
      </w:r>
    </w:p>
    <w:p w:rsidR="00B72047" w:rsidRDefault="00B72047">
      <w:pPr>
        <w:pStyle w:val="resumedafterexample"/>
      </w:pPr>
      <w:r>
        <w:rPr>
          <w:rStyle w:val="htmlcodes"/>
        </w:rPr>
        <w:t>&lt;/pre&gt;</w:t>
      </w:r>
      <w:r>
        <w:t>has the same meaning as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name=e7d4&gt;</w:t>
      </w:r>
      <w:r>
        <w:t>7.4)</w:t>
      </w:r>
      <w:r>
        <w:tab/>
      </w:r>
      <w:r>
        <w:rPr>
          <w:u w:val="single"/>
        </w:rPr>
        <w:t>ti</w:t>
      </w:r>
      <w:r>
        <w:t xml:space="preserve"> </w:t>
      </w:r>
      <w:r>
        <w:rPr>
          <w:u w:val="double"/>
        </w:rPr>
        <w:t>te tavla</w:t>
      </w:r>
      <w:r>
        <w:t xml:space="preserve"> </w:t>
      </w:r>
      <w:r>
        <w:rPr>
          <w:u w:val="single"/>
        </w:rPr>
        <w:t>do</w:t>
      </w:r>
      <w:r>
        <w:t xml:space="preserve"> </w:t>
      </w:r>
      <w:r>
        <w:rPr>
          <w:u w:val="single"/>
        </w:rPr>
        <w:t>mi</w:t>
      </w:r>
    </w:p>
    <w:p w:rsidR="00B72047" w:rsidRDefault="00B72047">
      <w:pPr>
        <w:pStyle w:val="examplescaled"/>
      </w:pPr>
      <w:r>
        <w:tab/>
        <w:t>This is talked about to you by me.</w:t>
      </w:r>
    </w:p>
    <w:p w:rsidR="00B72047" w:rsidRDefault="00B72047">
      <w:pPr>
        <w:pStyle w:val="resumedafterexample"/>
      </w:pPr>
      <w:r>
        <w:rPr>
          <w:rStyle w:val="htmlcodes"/>
        </w:rPr>
        <w:t>&lt;/pre&gt;&lt;p&gt;</w:t>
      </w:r>
      <w:r>
        <w:t>Note that only the first and third sumti have switched places; the</w:t>
      </w:r>
      <w:r>
        <w:rPr>
          <w:rStyle w:val="deletedparamark"/>
        </w:rPr>
        <w:t xml:space="preserve"> </w:t>
      </w:r>
      <w:r>
        <w:t>sec</w:t>
      </w:r>
      <w:r>
        <w:softHyphen/>
        <w:t>ond sumti has re</w:t>
      </w:r>
      <w:r>
        <w:softHyphen/>
        <w:t>mained in the second place.</w:t>
      </w:r>
    </w:p>
    <w:p w:rsidR="00B72047" w:rsidRDefault="00B72047">
      <w:pPr>
        <w:rPr>
          <w:rStyle w:val="htmlparacode"/>
        </w:rPr>
      </w:pPr>
      <w:r>
        <w:rPr>
          <w:rStyle w:val="htmlparacode"/>
        </w:rPr>
        <w:t>&lt;p&gt;</w:t>
      </w:r>
    </w:p>
    <w:p w:rsidR="00B72047" w:rsidRDefault="00B72047">
      <w:pPr>
        <w:pStyle w:val="normalparagraph"/>
      </w:pPr>
      <w:r>
        <w:rPr>
          <w:rStyle w:val="indexentry"/>
        </w:rPr>
        <w:t>&lt;lx "ve (quick-tour version)"&gt;</w:t>
      </w:r>
      <w:r>
        <w:rPr>
          <w:rStyle w:val="indexentry"/>
        </w:rPr>
        <w:fldChar w:fldCharType="begin"/>
      </w:r>
      <w:r>
        <w:instrText>xe "</w:instrText>
      </w:r>
      <w:r>
        <w:rPr>
          <w:rStyle w:val="xeentry"/>
        </w:rPr>
        <w:instrText>ve: quick-tour version</w:instrText>
      </w:r>
      <w:r>
        <w:instrText>"</w:instrText>
      </w:r>
      <w:r>
        <w:rPr>
          <w:rStyle w:val="indexentry"/>
        </w:rPr>
        <w:fldChar w:fldCharType="end"/>
      </w:r>
      <w:r>
        <w:rPr>
          <w:rStyle w:val="indexentry"/>
        </w:rPr>
        <w:t>&lt;lx "xe (quick-tour version)"&gt;</w:t>
      </w:r>
      <w:r>
        <w:rPr>
          <w:rStyle w:val="indexentry"/>
        </w:rPr>
        <w:fldChar w:fldCharType="begin"/>
      </w:r>
      <w:r>
        <w:instrText>xe "</w:instrText>
      </w:r>
      <w:r>
        <w:rPr>
          <w:rStyle w:val="xeentry"/>
        </w:rPr>
        <w:instrText>xe: quick-tour version</w:instrText>
      </w:r>
      <w:r>
        <w:instrText>"</w:instrText>
      </w:r>
      <w:r>
        <w:rPr>
          <w:rStyle w:val="indexentry"/>
        </w:rPr>
        <w:fldChar w:fldCharType="end"/>
      </w:r>
      <w:r>
        <w:t>The cmavo “ve” and “xe” switch the first and fourth sumti places,</w:t>
      </w:r>
      <w:r>
        <w:rPr>
          <w:rStyle w:val="deletedparamark"/>
        </w:rPr>
        <w:t xml:space="preserve"> </w:t>
      </w:r>
      <w:r>
        <w:t>and the first and fifth sumti places, respectively. These changes in</w:t>
      </w:r>
      <w:r>
        <w:rPr>
          <w:rStyle w:val="deletedparamark"/>
        </w:rPr>
        <w:t xml:space="preserve"> </w:t>
      </w:r>
      <w:r>
        <w:t>the order of places are known as “conversions”, and the “se”, “te”,</w:t>
      </w:r>
      <w:r>
        <w:rPr>
          <w:rStyle w:val="deletedparamark"/>
        </w:rPr>
        <w:t xml:space="preserve"> “</w:t>
      </w:r>
      <w:r>
        <w:t>ve”, and “xe” cmavo are said to convert the selbri.</w:t>
      </w:r>
    </w:p>
    <w:p w:rsidR="00B72047" w:rsidRDefault="00B72047">
      <w:pPr>
        <w:rPr>
          <w:rStyle w:val="htmlparacode"/>
        </w:rPr>
      </w:pPr>
      <w:r>
        <w:rPr>
          <w:rStyle w:val="htmlparacode"/>
        </w:rPr>
        <w:t>&lt;p&gt;</w:t>
      </w:r>
    </w:p>
    <w:p w:rsidR="00B72047" w:rsidRDefault="00B72047">
      <w:pPr>
        <w:pStyle w:val="normalparagraph"/>
      </w:pPr>
      <w:r>
        <w:t>More than one of these operators may be used on a given selbri at one</w:t>
      </w:r>
      <w:r>
        <w:rPr>
          <w:rStyle w:val="deletedparamark"/>
        </w:rPr>
        <w:t xml:space="preserve"> </w:t>
      </w:r>
      <w:r>
        <w:t>time, and in such a case they are evaluated from left to right. However, in</w:t>
      </w:r>
      <w:r>
        <w:rPr>
          <w:rStyle w:val="deletedparamark"/>
        </w:rPr>
        <w:t xml:space="preserve"> </w:t>
      </w:r>
      <w:r>
        <w:t>practice they are used one at a time, as there are better tools for complex</w:t>
      </w:r>
      <w:r>
        <w:rPr>
          <w:rStyle w:val="deletedparamark"/>
        </w:rPr>
        <w:t xml:space="preserve"> </w:t>
      </w:r>
      <w:r>
        <w:t xml:space="preserve">manipulation of the sumti places. See </w:t>
      </w:r>
      <w:r>
        <w:rPr>
          <w:rStyle w:val="htmlcodes"/>
        </w:rPr>
        <w:t>&lt;a href=chap5.html&gt;</w:t>
      </w:r>
      <w:r>
        <w:t>Chap</w:t>
      </w:r>
      <w:r>
        <w:softHyphen/>
        <w:t xml:space="preserve">ter 5 </w:t>
      </w:r>
      <w:r>
        <w:rPr>
          <w:rStyle w:val="htmlcodes"/>
        </w:rPr>
        <w:t>&lt;/a&gt;</w:t>
      </w:r>
      <w:r>
        <w:t>for details.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"passive voice"&gt;</w:t>
      </w:r>
      <w:r>
        <w:rPr>
          <w:rStyle w:val="indexentry"/>
        </w:rPr>
        <w:fldChar w:fldCharType="begin"/>
      </w:r>
      <w:r>
        <w:instrText>xe "</w:instrText>
      </w:r>
      <w:r>
        <w:rPr>
          <w:rStyle w:val="xeentry"/>
        </w:rPr>
        <w:instrText>passive voice</w:instrText>
      </w:r>
      <w:r>
        <w:instrText>"</w:instrText>
      </w:r>
      <w:r>
        <w:rPr>
          <w:rStyle w:val="indexentry"/>
        </w:rPr>
        <w:fldChar w:fldCharType="end"/>
      </w:r>
      <w:r>
        <w:t>The effect is similar to what in English is called the “passive voice”. In</w:t>
      </w:r>
      <w:r>
        <w:rPr>
          <w:rStyle w:val="deletedparamark"/>
        </w:rPr>
        <w:t xml:space="preserve"> </w:t>
      </w:r>
      <w:r>
        <w:t>Loj</w:t>
      </w:r>
      <w:r>
        <w:softHyphen/>
        <w:t>ban, the converted selbri has a new place structure that is renumbered to</w:t>
      </w:r>
      <w:r>
        <w:rPr>
          <w:rStyle w:val="deletedparamark"/>
        </w:rPr>
        <w:t xml:space="preserve"> </w:t>
      </w:r>
      <w:r>
        <w:t>reflect the place rever</w:t>
      </w:r>
      <w:r>
        <w:softHyphen/>
        <w:t>sal, thus having effects when such a conversion is used</w:t>
      </w:r>
      <w:r>
        <w:rPr>
          <w:rStyle w:val="deletedparamark"/>
        </w:rPr>
        <w:t xml:space="preserve"> </w:t>
      </w:r>
      <w:r>
        <w:t>in combination with other con</w:t>
      </w:r>
      <w:r>
        <w:softHyphen/>
        <w:t xml:space="preserve">structs such as “le selbri [ku]” (see </w:t>
      </w:r>
      <w:r>
        <w:rPr>
          <w:rStyle w:val="htmlcodes"/>
        </w:rPr>
        <w:t>&lt;a href=#s10&gt;</w:t>
      </w:r>
      <w:r>
        <w:t>Section 10</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75" w:name="_Toc395691472"/>
      <w:bookmarkStart w:id="76" w:name="_Toc395691666"/>
      <w:bookmarkStart w:id="77" w:name="_Toc398970443"/>
      <w:r>
        <w:rPr>
          <w:rStyle w:val="Heading3Text"/>
        </w:rPr>
        <w:t>The basic structure of longer utterances</w:t>
      </w:r>
      <w:bookmarkEnd w:id="75"/>
      <w:bookmarkEnd w:id="76"/>
      <w:bookmarkEnd w:id="7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".i (quick-tour version)"&gt;</w:t>
      </w:r>
      <w:r>
        <w:rPr>
          <w:rStyle w:val="indexentry"/>
        </w:rPr>
        <w:fldChar w:fldCharType="begin"/>
      </w:r>
      <w:r>
        <w:instrText>xe "</w:instrText>
      </w:r>
      <w:r>
        <w:rPr>
          <w:rStyle w:val="xeentry"/>
        </w:rPr>
        <w:instrText>i: quick-tour version</w:instrText>
      </w:r>
      <w:r>
        <w:instrText>"</w:instrText>
      </w:r>
      <w:r>
        <w:rPr>
          <w:rStyle w:val="indexentry"/>
        </w:rPr>
        <w:fldChar w:fldCharType="end"/>
      </w:r>
      <w:r>
        <w:rPr>
          <w:rStyle w:val="indexentry"/>
        </w:rPr>
        <w:t>&lt;lx "I (quick-tour version)"&gt;</w:t>
      </w:r>
      <w:r>
        <w:rPr>
          <w:rStyle w:val="indexentry"/>
        </w:rPr>
        <w:fldChar w:fldCharType="begin"/>
      </w:r>
      <w:r>
        <w:instrText>xe "</w:instrText>
      </w:r>
      <w:r>
        <w:rPr>
          <w:rStyle w:val="xeentry"/>
        </w:rPr>
        <w:instrText>I: quick-tour version</w:instrText>
      </w:r>
      <w:r>
        <w:instrText>"</w:instrText>
      </w:r>
      <w:r>
        <w:rPr>
          <w:rStyle w:val="indexentry"/>
        </w:rPr>
        <w:fldChar w:fldCharType="end"/>
      </w:r>
      <w:r>
        <w:rPr>
          <w:rStyle w:val="indexentry"/>
        </w:rPr>
        <w:t>&lt;lx "ni'o (quick-tour version)"&gt;</w:t>
      </w:r>
      <w:r>
        <w:rPr>
          <w:rStyle w:val="indexentry"/>
        </w:rPr>
        <w:fldChar w:fldCharType="begin"/>
      </w:r>
      <w:r>
        <w:instrText>xe "</w:instrText>
      </w:r>
      <w:r>
        <w:rPr>
          <w:rStyle w:val="xeentry"/>
        </w:rPr>
        <w:instrText>ni'o: quick-tour version</w:instrText>
      </w:r>
      <w:r>
        <w:instrText>"</w:instrText>
      </w:r>
      <w:r>
        <w:rPr>
          <w:rStyle w:val="indexentry"/>
        </w:rPr>
        <w:fldChar w:fldCharType="end"/>
      </w:r>
      <w:r>
        <w:rPr>
          <w:rStyle w:val="indexentry"/>
        </w:rPr>
        <w:t>&lt;lx "NIhO (quick-tour version)"&gt;</w:t>
      </w:r>
      <w:r>
        <w:rPr>
          <w:rStyle w:val="indexentry"/>
        </w:rPr>
        <w:fldChar w:fldCharType="begin"/>
      </w:r>
      <w:r>
        <w:instrText>xe "</w:instrText>
      </w:r>
      <w:r>
        <w:rPr>
          <w:rStyle w:val="xeentry"/>
        </w:rPr>
        <w:instrText>NIhO selma’o: quick-tour version</w:instrText>
      </w:r>
      <w:r>
        <w:instrText>"</w:instrText>
      </w:r>
      <w:r>
        <w:rPr>
          <w:rStyle w:val="indexentry"/>
        </w:rPr>
        <w:fldChar w:fldCharType="end"/>
      </w:r>
      <w:r>
        <w:t>People don't always say just one sentence. Lojban has a specific structure</w:t>
      </w:r>
      <w:r>
        <w:rPr>
          <w:rStyle w:val="deletedparamark"/>
        </w:rPr>
        <w:t xml:space="preserve"> </w:t>
      </w:r>
      <w:r>
        <w:t>for talk or writing that is longer than one sentence. The entirety of a</w:t>
      </w:r>
      <w:r>
        <w:rPr>
          <w:rStyle w:val="deletedparamark"/>
        </w:rPr>
        <w:t xml:space="preserve"> </w:t>
      </w:r>
      <w:r>
        <w:t>given speech event or written text is called an ut</w:t>
      </w:r>
      <w:r>
        <w:softHyphen/>
        <w:t>ter</w:t>
      </w:r>
      <w:r>
        <w:softHyphen/>
        <w:t>ance. The sentences</w:t>
      </w:r>
      <w:r>
        <w:rPr>
          <w:rStyle w:val="deletedparamark"/>
        </w:rPr>
        <w:t xml:space="preserve"> </w:t>
      </w:r>
      <w:r>
        <w:t>(usually, but not always, bridi) in an utter</w:t>
      </w:r>
      <w:r>
        <w:softHyphen/>
        <w:t>ance are separated by the</w:t>
      </w:r>
      <w:r>
        <w:rPr>
          <w:rStyle w:val="deletedparamark"/>
        </w:rPr>
        <w:t xml:space="preserve"> </w:t>
      </w:r>
      <w:r>
        <w:t>cmavo “ni'o” and “.i”. These correspond to a brief pause (or nothing</w:t>
      </w:r>
      <w:r>
        <w:rPr>
          <w:rStyle w:val="deletedparamark"/>
        </w:rPr>
        <w:t xml:space="preserve"> </w:t>
      </w:r>
      <w:r>
        <w:t>at all) in spoken English, and the various punctuation marks like</w:t>
      </w:r>
      <w:r>
        <w:rPr>
          <w:rStyle w:val="deletedparamark"/>
        </w:rPr>
        <w:t xml:space="preserve"> </w:t>
      </w:r>
      <w:r>
        <w:t>period, question mark, and exclamation mark in written English.</w:t>
      </w:r>
      <w:r>
        <w:rPr>
          <w:rStyle w:val="deletedparamark"/>
        </w:rPr>
        <w:t xml:space="preserve"> </w:t>
      </w:r>
      <w:r>
        <w:t>These separators prevent the sumti at the begin</w:t>
      </w:r>
      <w:r>
        <w:softHyphen/>
        <w:t>ning of the next sentence</w:t>
      </w:r>
      <w:r>
        <w:rPr>
          <w:rStyle w:val="deletedparamark"/>
        </w:rPr>
        <w:t xml:space="preserve"> </w:t>
      </w:r>
      <w:r>
        <w:t>from being mistaken for a trailing sumti of the previous sen</w:t>
      </w:r>
      <w:r>
        <w:softHyphen/>
        <w:t>tence.</w:t>
      </w:r>
    </w:p>
    <w:p w:rsidR="00B72047" w:rsidRDefault="00B72047">
      <w:pPr>
        <w:pStyle w:val="normalparagraph"/>
        <w:rPr>
          <w:rStyle w:val="htmlparacode"/>
        </w:rPr>
      </w:pPr>
      <w:r>
        <w:rPr>
          <w:rStyle w:val="htmlparacode"/>
        </w:rPr>
        <w:t>&lt;p&gt;</w:t>
      </w:r>
    </w:p>
    <w:p w:rsidR="00B72047" w:rsidRDefault="00B72047">
      <w:pPr>
        <w:pStyle w:val="normalparagraph"/>
      </w:pPr>
      <w:r>
        <w:t>The cmavo “ni'o” separates paragraphs (covering different topics of</w:t>
      </w:r>
      <w:r>
        <w:rPr>
          <w:rStyle w:val="deletedparamark"/>
        </w:rPr>
        <w:t xml:space="preserve"> </w:t>
      </w:r>
      <w:r>
        <w:t>discus</w:t>
      </w:r>
      <w:r>
        <w:softHyphen/>
        <w:t>sion). In a long text or utterance, the topical struc</w:t>
      </w:r>
      <w:r>
        <w:softHyphen/>
        <w:t>ture of the</w:t>
      </w:r>
      <w:r>
        <w:rPr>
          <w:rStyle w:val="deletedparamark"/>
        </w:rPr>
        <w:t xml:space="preserve"> </w:t>
      </w:r>
      <w:r>
        <w:t>text may be indicated by multiple “ni'o”s, with perhaps “ni'oni'oni'o” used</w:t>
      </w:r>
      <w:r>
        <w:rPr>
          <w:rStyle w:val="deletedparamark"/>
        </w:rPr>
        <w:t xml:space="preserve"> </w:t>
      </w:r>
      <w:r>
        <w:t>to indicate a chapter, “ni'oni'o” to in</w:t>
      </w:r>
      <w:r>
        <w:softHyphen/>
        <w:t>dicate a sec</w:t>
      </w:r>
      <w:r>
        <w:softHyphen/>
        <w:t>tion, and a single “ni'o”</w:t>
      </w:r>
      <w:r>
        <w:rPr>
          <w:rStyle w:val="deletedparamark"/>
        </w:rPr>
        <w:t xml:space="preserve"> </w:t>
      </w:r>
      <w:r>
        <w:t>to indicate a subtopic corresponding to a single English para</w:t>
      </w:r>
      <w:r>
        <w:softHyphen/>
        <w:t>graph.</w:t>
      </w:r>
    </w:p>
    <w:p w:rsidR="00B72047" w:rsidRDefault="00B72047">
      <w:pPr>
        <w:pStyle w:val="normalparagraph"/>
        <w:rPr>
          <w:rStyle w:val="htmlparacode"/>
        </w:rPr>
      </w:pPr>
      <w:r>
        <w:rPr>
          <w:rStyle w:val="htmlparacode"/>
        </w:rPr>
        <w:t>&lt;p&gt;</w:t>
      </w:r>
    </w:p>
    <w:p w:rsidR="00B72047" w:rsidRDefault="00B72047">
      <w:pPr>
        <w:pStyle w:val="normalparagraph"/>
      </w:pPr>
      <w:r>
        <w:t>The cmavo “.i” separates sentences. It is sometimes com</w:t>
      </w:r>
      <w:r>
        <w:softHyphen/>
        <w:t>pounded with words</w:t>
      </w:r>
      <w:r>
        <w:rPr>
          <w:rStyle w:val="deletedparamark"/>
        </w:rPr>
        <w:t xml:space="preserve"> </w:t>
      </w:r>
      <w:r>
        <w:t>that modify the exact meaning (the semantics) of the sentence in the context</w:t>
      </w:r>
      <w:r>
        <w:rPr>
          <w:rStyle w:val="deletedparamark"/>
        </w:rPr>
        <w:t xml:space="preserve"> </w:t>
      </w:r>
      <w:r>
        <w:t>of the ut</w:t>
      </w:r>
      <w:r>
        <w:softHyphen/>
        <w:t>ter</w:t>
      </w:r>
      <w:r>
        <w:softHyphen/>
        <w:t>ance. (The cmavo “xu”, dis</w:t>
      </w:r>
      <w:r>
        <w:softHyphen/>
        <w:t xml:space="preserve">cussed in </w:t>
      </w:r>
      <w:r>
        <w:rPr>
          <w:rStyle w:val="htmlcodes"/>
        </w:rPr>
        <w:t>&lt;a href=#s1&gt;</w:t>
      </w:r>
      <w:r>
        <w:t>Section 1</w:t>
      </w:r>
      <w:r>
        <w:rPr>
          <w:rStyle w:val="htmlcodes"/>
        </w:rPr>
        <w:t>&lt;/a&gt;</w:t>
      </w:r>
      <w:r>
        <w:t>.7, is one such</w:t>
      </w:r>
      <w:r>
        <w:rPr>
          <w:rStyle w:val="deletedparamark"/>
        </w:rPr>
        <w:t xml:space="preserve"> </w:t>
      </w:r>
      <w:r>
        <w:t>word — it turns the sen</w:t>
      </w:r>
      <w:r>
        <w:softHyphen/>
        <w:t>tence from a statement to a question about truth.)</w:t>
      </w:r>
      <w:r>
        <w:rPr>
          <w:rStyle w:val="deletedparamark"/>
        </w:rPr>
        <w:t xml:space="preserve"> </w:t>
      </w:r>
      <w:r>
        <w:t>When more than one person is talk</w:t>
      </w:r>
      <w:r>
        <w:softHyphen/>
        <w:t>ing, a new speaker will usually omit the “.i” even though she/he may be continuing on the same topic.</w:t>
      </w:r>
    </w:p>
    <w:p w:rsidR="00B72047" w:rsidRDefault="00B72047">
      <w:pPr>
        <w:pStyle w:val="normalparagraph"/>
        <w:rPr>
          <w:rStyle w:val="htmlparacode"/>
        </w:rPr>
      </w:pPr>
      <w:r>
        <w:rPr>
          <w:rStyle w:val="htmlparacode"/>
        </w:rPr>
        <w:t>&lt;p&gt;</w:t>
      </w:r>
    </w:p>
    <w:p w:rsidR="00B72047" w:rsidRDefault="00B72047">
      <w:pPr>
        <w:pStyle w:val="normalparagraph"/>
      </w:pPr>
      <w:r>
        <w:t>It is still O.K. for a new speaker to say the “.i” before con</w:t>
      </w:r>
      <w:r>
        <w:softHyphen/>
        <w:t>tinuing; indeed,</w:t>
      </w:r>
      <w:r>
        <w:rPr>
          <w:rStyle w:val="deletedparamark"/>
        </w:rPr>
        <w:t xml:space="preserve"> </w:t>
      </w:r>
      <w:r>
        <w:t>it is en</w:t>
      </w:r>
      <w:r>
        <w:softHyphen/>
        <w:t>couraged for maximum clarity (since it is pos</w:t>
      </w:r>
      <w:r>
        <w:softHyphen/>
        <w:t>sible that the second</w:t>
      </w:r>
      <w:r>
        <w:rPr>
          <w:rStyle w:val="deletedparamark"/>
        </w:rPr>
        <w:t xml:space="preserve"> </w:t>
      </w:r>
      <w:r>
        <w:t>speaker might merely be adding words onto the end of the first speaker's</w:t>
      </w:r>
      <w:r>
        <w:rPr>
          <w:rStyle w:val="deletedparamark"/>
        </w:rPr>
        <w:t xml:space="preserve"> </w:t>
      </w:r>
      <w:r>
        <w:t>sentence). A good translation for “.i” is the “and” used in run-on</w:t>
      </w:r>
      <w:r>
        <w:rPr>
          <w:rStyle w:val="deletedparamark"/>
        </w:rPr>
        <w:t xml:space="preserve"> </w:t>
      </w:r>
      <w:r>
        <w:t>sentences when people are talking infor</w:t>
      </w:r>
      <w:r>
        <w:softHyphen/>
        <w:t>mally: “I did this, and then I did</w:t>
      </w:r>
      <w:r>
        <w:rPr>
          <w:rStyle w:val="deletedparamark"/>
        </w:rPr>
        <w:t xml:space="preserve"> </w:t>
      </w:r>
      <w:r>
        <w:t>that, and </w:t>
      </w:r>
      <w:r>
        <w:rPr>
          <w:rStyle w:val="htmlcodes"/>
        </w:rPr>
        <w:t>&lt;dots&gt;</w:t>
      </w:r>
      <w:r>
        <w:t>…</w:t>
      </w:r>
      <w:r>
        <w:rPr>
          <w:rStyle w:val="htmlcodes"/>
        </w:rPr>
        <w:t>&lt;/dots&gt;</w:t>
      </w:r>
      <w:r>
        <w:t>, and </w:t>
      </w:r>
      <w:r>
        <w:rPr>
          <w:rStyle w:val="htmlcodes"/>
        </w:rPr>
        <w:t>&lt;dots&gt;</w:t>
      </w:r>
      <w:r>
        <w:t>…</w:t>
      </w:r>
      <w:r>
        <w:rPr>
          <w:rStyle w:val="htmlcodes"/>
        </w:rPr>
        <w:t>&lt;/dots&gt;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78" w:name="_Toc395691473"/>
      <w:bookmarkStart w:id="79" w:name="_Toc395691667"/>
      <w:bookmarkStart w:id="80" w:name="_Toc398970444"/>
      <w:r>
        <w:rPr>
          <w:rStyle w:val="Heading3Text"/>
        </w:rPr>
        <w:t>tanru</w:t>
      </w:r>
      <w:bookmarkEnd w:id="78"/>
      <w:bookmarkEnd w:id="79"/>
      <w:bookmarkEnd w:id="8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"tanru (quick-tour version)"&gt;</w:t>
      </w:r>
      <w:r>
        <w:rPr>
          <w:rStyle w:val="indexentry"/>
        </w:rPr>
        <w:fldChar w:fldCharType="begin"/>
      </w:r>
      <w:r>
        <w:instrText>xe "</w:instrText>
      </w:r>
      <w:r>
        <w:rPr>
          <w:rStyle w:val="xeentry"/>
        </w:rPr>
        <w:instrText>tanru: quick-tour version</w:instrText>
      </w:r>
      <w:r>
        <w:instrText>"</w:instrText>
      </w:r>
      <w:r>
        <w:rPr>
          <w:rStyle w:val="indexentry"/>
        </w:rPr>
        <w:fldChar w:fldCharType="end"/>
      </w:r>
      <w:r>
        <w:t>When two gismu are adjacent, the first one modifies the sec</w:t>
      </w:r>
      <w:r>
        <w:softHyphen/>
        <w:t>ond, and the</w:t>
      </w:r>
      <w:r>
        <w:rPr>
          <w:rStyle w:val="deletedparamark"/>
        </w:rPr>
        <w:t xml:space="preserve"> </w:t>
      </w:r>
      <w:r>
        <w:t>selbri takes its place structure from the rightmost word. Such combinations</w:t>
      </w:r>
      <w:r>
        <w:rPr>
          <w:rStyle w:val="deletedparamark"/>
        </w:rPr>
        <w:t xml:space="preserve"> </w:t>
      </w:r>
      <w:r>
        <w:t>of gismu are called “tanru”.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sutra tavla</w:t>
      </w:r>
    </w:p>
    <w:p w:rsidR="00B72047" w:rsidRDefault="00B72047">
      <w:pPr>
        <w:pStyle w:val="resumedafterexample"/>
      </w:pPr>
      <w:r>
        <w:rPr>
          <w:rStyle w:val="htmlcodes"/>
        </w:rPr>
        <w:t>&lt;/pre&gt;</w:t>
      </w:r>
      <w:r>
        <w:t>has the place structure</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&lt;ex "fast talker"&gt;</w:t>
      </w:r>
      <w:r>
        <w:rPr>
          <w:rStyle w:val="indexentry"/>
        </w:rPr>
        <w:fldChar w:fldCharType="begin"/>
      </w:r>
      <w:r>
        <w:instrText>xe "</w:instrText>
      </w:r>
      <w:r>
        <w:rPr>
          <w:rStyle w:val="xeentry"/>
        </w:rPr>
        <w:instrText>fast talker: example</w:instrText>
      </w:r>
      <w:r>
        <w:instrText>"</w:instrText>
      </w:r>
      <w:r>
        <w:rPr>
          <w:rStyle w:val="indexentry"/>
        </w:rPr>
        <w:fldChar w:fldCharType="end"/>
      </w:r>
      <w:r>
        <w:rPr>
          <w:rStyle w:val="htmlcodes"/>
        </w:rPr>
        <w:t>&lt;pre&gt;&lt;a name=e9d2&gt;</w:t>
      </w:r>
      <w:r>
        <w:t>9.2)</w:t>
      </w:r>
      <w:r>
        <w:tab/>
        <w:t>x1 is a fast type-of talker to x2 about x3 in language x4</w:t>
      </w:r>
    </w:p>
    <w:p w:rsidR="00B72047" w:rsidRDefault="00B72047">
      <w:pPr>
        <w:pStyle w:val="examplescaled"/>
      </w:pPr>
      <w:r>
        <w:tab/>
        <w:t>x1 talks fast to x2 about x3 in language x4</w:t>
      </w:r>
    </w:p>
    <w:p w:rsidR="00B72047" w:rsidRDefault="00B72047">
      <w:pPr>
        <w:pStyle w:val="normalafterexample"/>
      </w:pPr>
      <w:r>
        <w:rPr>
          <w:rStyle w:val="htmlcodes"/>
        </w:rPr>
        <w:t>&lt;/pre&gt;</w:t>
      </w:r>
      <w:r>
        <w:rPr>
          <w:rStyle w:val="indexentry"/>
        </w:rPr>
        <w:t>&lt;cx "tanru default grouping (quick-tour version)"&gt;</w:t>
      </w:r>
      <w:r>
        <w:rPr>
          <w:rStyle w:val="indexentry"/>
        </w:rPr>
        <w:fldChar w:fldCharType="begin"/>
      </w:r>
      <w:r>
        <w:instrText>xe "</w:instrText>
      </w:r>
      <w:r>
        <w:rPr>
          <w:rStyle w:val="xeentry"/>
        </w:rPr>
        <w:instrText>tanru default grouping: quick-tour version</w:instrText>
      </w:r>
      <w:r>
        <w:instrText>"</w:instrText>
      </w:r>
      <w:r>
        <w:rPr>
          <w:rStyle w:val="indexentry"/>
        </w:rPr>
        <w:fldChar w:fldCharType="end"/>
      </w:r>
      <w:r>
        <w:t>When three or more gismu are in a row, the first modifies the second,</w:t>
      </w:r>
      <w:r>
        <w:rPr>
          <w:rStyle w:val="deletedparamark"/>
        </w:rPr>
        <w:t xml:space="preserve"> </w:t>
      </w:r>
      <w:r>
        <w:t>and that com</w:t>
      </w:r>
      <w:r>
        <w:softHyphen/>
        <w:t>bined meaning modifies the third, and that com</w:t>
      </w:r>
      <w:r>
        <w:softHyphen/>
        <w:t>bined meaning</w:t>
      </w:r>
      <w:r>
        <w:rPr>
          <w:rStyle w:val="deletedparamark"/>
        </w:rPr>
        <w:t xml:space="preserve"> </w:t>
      </w:r>
      <w:r>
        <w:t>modifies the fourth, and so on.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"fast-talker shoe"&gt;</w:t>
      </w:r>
      <w:r>
        <w:rPr>
          <w:rStyle w:val="indexentry"/>
        </w:rPr>
        <w:fldChar w:fldCharType="begin"/>
      </w:r>
      <w:r>
        <w:instrText>xe "</w:instrText>
      </w:r>
      <w:r>
        <w:rPr>
          <w:rStyle w:val="xeentry"/>
        </w:rPr>
        <w:instrText>fast-talker shoe: example</w:instrText>
      </w:r>
      <w:r>
        <w:instrText>"</w:instrText>
      </w:r>
      <w:r>
        <w:rPr>
          <w:rStyle w:val="indexentry"/>
        </w:rPr>
        <w:fldChar w:fldCharType="end"/>
      </w:r>
      <w:r>
        <w:rPr>
          <w:rStyle w:val="htmlcodes"/>
        </w:rPr>
        <w:t>&lt;pre&gt;&lt;a name=e9d3&gt;</w:t>
      </w:r>
      <w:r>
        <w:t>9.3)</w:t>
      </w:r>
      <w:r>
        <w:tab/>
        <w:t>sutra tavla cutci</w:t>
      </w:r>
    </w:p>
    <w:p w:rsidR="00B72047" w:rsidRDefault="00B72047">
      <w:pPr>
        <w:pStyle w:val="resumedafterexample"/>
      </w:pPr>
      <w:r>
        <w:rPr>
          <w:rStyle w:val="htmlcodes"/>
        </w:rPr>
        <w:t>&lt;/pre&gt;</w:t>
      </w:r>
      <w:r>
        <w:t>has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s1 is a fast-talker type of shoe worn by s2 of material s3</w:t>
      </w:r>
    </w:p>
    <w:p w:rsidR="00B72047" w:rsidRDefault="00B72047">
      <w:pPr>
        <w:pStyle w:val="resumedafterexample"/>
      </w:pPr>
      <w:r>
        <w:rPr>
          <w:rStyle w:val="htmlcodes"/>
        </w:rPr>
        <w:t>&lt;/pre&gt;&lt;p&gt;</w:t>
      </w:r>
      <w:r>
        <w:t>That is, it is a shoe that is worn by a fast talker rather than a shoe that</w:t>
      </w:r>
      <w:r>
        <w:rPr>
          <w:rStyle w:val="deletedparamark"/>
        </w:rPr>
        <w:t xml:space="preserve"> </w:t>
      </w:r>
      <w:r>
        <w:t>is fast and is also worn by a talker.</w:t>
      </w:r>
    </w:p>
    <w:p w:rsidR="00B72047" w:rsidRDefault="00B72047">
      <w:pPr>
        <w:rPr>
          <w:rStyle w:val="htmlparacode"/>
        </w:rPr>
      </w:pPr>
      <w:r>
        <w:rPr>
          <w:rStyle w:val="htmlparacode"/>
        </w:rPr>
        <w:t>&lt;p&gt;</w:t>
      </w:r>
    </w:p>
    <w:p w:rsidR="00B72047" w:rsidRDefault="00B72047">
      <w:pPr>
        <w:pStyle w:val="normalparagraph"/>
      </w:pPr>
      <w:r>
        <w:t>Note especially the use of “type-of” as a mechanism for con</w:t>
      </w:r>
      <w:r>
        <w:softHyphen/>
        <w:t>necting the</w:t>
      </w:r>
      <w:r>
        <w:rPr>
          <w:rStyle w:val="deletedparamark"/>
        </w:rPr>
        <w:t xml:space="preserve"> </w:t>
      </w:r>
      <w:r>
        <w:t>English translations of the two or more gismu; this con</w:t>
      </w:r>
      <w:r>
        <w:softHyphen/>
        <w:t>vention helps the</w:t>
      </w:r>
      <w:r>
        <w:rPr>
          <w:rStyle w:val="deletedparamark"/>
        </w:rPr>
        <w:t xml:space="preserve"> </w:t>
      </w:r>
      <w:r>
        <w:t>learner understand each tanru in its context. Crea</w:t>
      </w:r>
      <w:r>
        <w:softHyphen/>
        <w:t>tive interpretations are</w:t>
      </w:r>
      <w:r>
        <w:rPr>
          <w:rStyle w:val="deletedparamark"/>
        </w:rPr>
        <w:t xml:space="preserve"> </w:t>
      </w:r>
      <w:r>
        <w:t>also possible, however:</w:t>
      </w:r>
    </w:p>
    <w:p w:rsidR="00B72047" w:rsidRDefault="00B72047">
      <w:pPr>
        <w:rPr>
          <w:rStyle w:val="htmlparacode"/>
        </w:rPr>
      </w:pPr>
      <w:r>
        <w:rPr>
          <w:rStyle w:val="htmlparacode"/>
        </w:rPr>
        <w:t>&lt;p&gt;</w:t>
      </w:r>
    </w:p>
    <w:p w:rsidR="00B72047" w:rsidRDefault="00B72047">
      <w:pPr>
        <w:pStyle w:val="examplescaledpre"/>
      </w:pPr>
      <w:r>
        <w:rPr>
          <w:rStyle w:val="indexentry"/>
        </w:rPr>
        <w:t>&lt;ex "runner shoe"&gt;</w:t>
      </w:r>
      <w:r>
        <w:rPr>
          <w:rStyle w:val="indexentry"/>
        </w:rPr>
        <w:fldChar w:fldCharType="begin"/>
      </w:r>
      <w:r>
        <w:instrText>xe "</w:instrText>
      </w:r>
      <w:r>
        <w:rPr>
          <w:rStyle w:val="xeentry"/>
        </w:rPr>
        <w:instrText>runner shoe: example</w:instrText>
      </w:r>
      <w:r>
        <w:instrText>"</w:instrText>
      </w:r>
      <w:r>
        <w:rPr>
          <w:rStyle w:val="indexentry"/>
        </w:rPr>
        <w:fldChar w:fldCharType="end"/>
      </w:r>
      <w:r>
        <w:rPr>
          <w:rStyle w:val="htmlcodes"/>
        </w:rPr>
        <w:t>&lt;pre&gt;&lt;a name=e9d5&gt;</w:t>
      </w:r>
      <w:r>
        <w:t>9.5)</w:t>
      </w:r>
      <w:r>
        <w:tab/>
        <w:t>bajra cutci</w:t>
      </w:r>
    </w:p>
    <w:p w:rsidR="00B72047" w:rsidRDefault="00B72047">
      <w:pPr>
        <w:pStyle w:val="examplescaled"/>
      </w:pPr>
      <w:r>
        <w:tab/>
        <w:t>runner shoe</w:t>
      </w:r>
    </w:p>
    <w:p w:rsidR="00B72047" w:rsidRDefault="00B72047">
      <w:pPr>
        <w:pStyle w:val="resumedafterexample"/>
      </w:pPr>
      <w:r>
        <w:rPr>
          <w:rStyle w:val="htmlcodes"/>
        </w:rPr>
        <w:t>&lt;/pre&gt;</w:t>
      </w:r>
      <w:r>
        <w:t>most probably refers to shoes suitable for runners, but might be in</w:t>
      </w:r>
      <w:r>
        <w:softHyphen/>
        <w:t>terpreted</w:t>
      </w:r>
      <w:r>
        <w:rPr>
          <w:rStyle w:val="deletedparamark"/>
        </w:rPr>
        <w:t xml:space="preserve"> </w:t>
      </w:r>
      <w:r>
        <w:t>in some imaginative instances as “shoes that run (by them</w:t>
      </w:r>
      <w:r>
        <w:softHyphen/>
        <w:t>selves?)”. In</w:t>
      </w:r>
      <w:r>
        <w:rPr>
          <w:rStyle w:val="deletedparamark"/>
        </w:rPr>
        <w:t xml:space="preserve"> </w:t>
      </w:r>
      <w:r>
        <w:t>general, however, the meaning of a tanru is determined by the literal meaning</w:t>
      </w:r>
      <w:r>
        <w:rPr>
          <w:rStyle w:val="deletedparamark"/>
        </w:rPr>
        <w:t xml:space="preserve"> </w:t>
      </w:r>
      <w:r>
        <w:t>of its components, and not by any connotations or figurative meanings.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name=e9d6&gt;</w:t>
      </w:r>
      <w:r>
        <w:t>9.6)</w:t>
      </w:r>
      <w:r>
        <w:tab/>
        <w:t>sutra tavla</w:t>
      </w:r>
    </w:p>
    <w:p w:rsidR="00B72047" w:rsidRDefault="00B72047">
      <w:pPr>
        <w:pStyle w:val="examplescaled"/>
      </w:pPr>
      <w:r>
        <w:tab/>
        <w:t>fast-talker</w:t>
      </w:r>
    </w:p>
    <w:p w:rsidR="00B72047" w:rsidRDefault="00B72047">
      <w:pPr>
        <w:pStyle w:val="resumedafterexample"/>
      </w:pPr>
      <w:r>
        <w:rPr>
          <w:rStyle w:val="htmlcodes"/>
        </w:rPr>
        <w:t>&lt;/pre&gt;</w:t>
      </w:r>
      <w:r>
        <w:t>would not necessarily imply any trickery or deception, unlike the</w:t>
      </w:r>
      <w:r>
        <w:rPr>
          <w:rStyle w:val="deletedparamark"/>
        </w:rPr>
        <w:t xml:space="preserve"> </w:t>
      </w:r>
      <w:r>
        <w:t>Eng</w:t>
      </w:r>
      <w:r>
        <w:softHyphen/>
        <w:t>lish idiom, and a</w:t>
      </w:r>
    </w:p>
    <w:p w:rsidR="00B72047" w:rsidRDefault="00B72047">
      <w:pPr>
        <w:rPr>
          <w:rStyle w:val="htmlparacode"/>
        </w:rPr>
      </w:pPr>
      <w:r>
        <w:rPr>
          <w:rStyle w:val="htmlparacode"/>
        </w:rPr>
        <w:t>&lt;p&gt;</w:t>
      </w:r>
    </w:p>
    <w:p w:rsidR="00B72047" w:rsidRDefault="00B72047">
      <w:pPr>
        <w:pStyle w:val="examplescaledpre"/>
      </w:pPr>
      <w:r>
        <w:rPr>
          <w:rStyle w:val="indexentry"/>
        </w:rPr>
        <w:t>&lt;ex "social butterfly"&gt;</w:t>
      </w:r>
      <w:r>
        <w:rPr>
          <w:rStyle w:val="indexentry"/>
        </w:rPr>
        <w:fldChar w:fldCharType="begin"/>
      </w:r>
      <w:r>
        <w:instrText>xe "</w:instrText>
      </w:r>
      <w:r>
        <w:rPr>
          <w:rStyle w:val="xeentry"/>
        </w:rPr>
        <w:instrText>social butterfly: example</w:instrText>
      </w:r>
      <w:r>
        <w:instrText>"</w:instrText>
      </w:r>
      <w:r>
        <w:rPr>
          <w:rStyle w:val="indexentry"/>
        </w:rPr>
        <w:fldChar w:fldCharType="end"/>
      </w:r>
      <w:r>
        <w:rPr>
          <w:rStyle w:val="indexentry"/>
        </w:rPr>
        <w:t>&lt;ex "butterfly, social"&gt;</w:t>
      </w:r>
      <w:r>
        <w:rPr>
          <w:rStyle w:val="indexentry"/>
        </w:rPr>
        <w:fldChar w:fldCharType="begin"/>
      </w:r>
      <w:r>
        <w:instrText>xe "</w:instrText>
      </w:r>
      <w:r>
        <w:rPr>
          <w:rStyle w:val="xeentry"/>
        </w:rPr>
        <w:instrText>butterfly: social, example</w:instrText>
      </w:r>
      <w:r>
        <w:instrText>"</w:instrText>
      </w:r>
      <w:r>
        <w:rPr>
          <w:rStyle w:val="indexentry"/>
        </w:rPr>
        <w:fldChar w:fldCharType="end"/>
      </w:r>
      <w:r>
        <w:rPr>
          <w:rStyle w:val="htmlcodes"/>
        </w:rPr>
        <w:t>&lt;pre&gt;&lt;a name=e9d7&gt;</w:t>
      </w:r>
      <w:r>
        <w:t>9.7)</w:t>
      </w:r>
      <w:r>
        <w:tab/>
        <w:t>jikca toldi</w:t>
      </w:r>
    </w:p>
    <w:p w:rsidR="00B72047" w:rsidRDefault="00B72047">
      <w:pPr>
        <w:pStyle w:val="examplescaled"/>
      </w:pPr>
      <w:r>
        <w:tab/>
        <w:t>social butterfly</w:t>
      </w:r>
    </w:p>
    <w:p w:rsidR="00B72047" w:rsidRDefault="00B72047">
      <w:pPr>
        <w:pStyle w:val="resumedafterexample"/>
      </w:pPr>
      <w:r>
        <w:rPr>
          <w:rStyle w:val="htmlcodes"/>
        </w:rPr>
        <w:t>&lt;/pre&gt;</w:t>
      </w:r>
      <w:r>
        <w:rPr>
          <w:rStyle w:val="indexentry"/>
        </w:rPr>
        <w:t>&lt;ex "Lepidoptera"&gt;</w:t>
      </w:r>
      <w:r>
        <w:rPr>
          <w:rStyle w:val="indexentry"/>
        </w:rPr>
        <w:fldChar w:fldCharType="begin"/>
      </w:r>
      <w:r>
        <w:instrText>xe "</w:instrText>
      </w:r>
      <w:r>
        <w:rPr>
          <w:rStyle w:val="xeentry"/>
        </w:rPr>
        <w:instrText>Lepidoptera: example</w:instrText>
      </w:r>
      <w:r>
        <w:instrText>"</w:instrText>
      </w:r>
      <w:r>
        <w:rPr>
          <w:rStyle w:val="indexentry"/>
        </w:rPr>
        <w:fldChar w:fldCharType="end"/>
      </w:r>
      <w:r>
        <w:t>must always be an insect with large brightly-colored wings, of the family</w:t>
      </w:r>
      <w:r>
        <w:rPr>
          <w:rStyle w:val="deletedparamark"/>
        </w:rPr>
        <w:t xml:space="preserve"> </w:t>
      </w:r>
      <w:r>
        <w:rPr>
          <w:rStyle w:val="htmlcodes"/>
        </w:rPr>
        <w:t>&lt;i&gt;</w:t>
      </w:r>
      <w:r>
        <w:rPr>
          <w:i/>
          <w:iCs/>
        </w:rPr>
        <w:t>Lepidoptera</w:t>
      </w:r>
      <w:r>
        <w:rPr>
          <w:rStyle w:val="htmlcodes"/>
        </w:rPr>
        <w:t>&lt;/i&gt;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"tanru, place structure of (quick-tour version)"&gt;</w:t>
      </w:r>
      <w:r>
        <w:rPr>
          <w:rStyle w:val="indexentry"/>
        </w:rPr>
        <w:fldChar w:fldCharType="begin"/>
      </w:r>
      <w:r>
        <w:instrText>xe "</w:instrText>
      </w:r>
      <w:r>
        <w:rPr>
          <w:rStyle w:val="xeentry"/>
        </w:rPr>
        <w:instrText>tanru: place structure of, quick-tour version</w:instrText>
      </w:r>
      <w:r>
        <w:instrText>"</w:instrText>
      </w:r>
      <w:r>
        <w:rPr>
          <w:rStyle w:val="indexentry"/>
        </w:rPr>
        <w:fldChar w:fldCharType="end"/>
      </w:r>
      <w:r>
        <w:t>The place structure of a tanru is always that of the final com</w:t>
      </w:r>
      <w:r>
        <w:softHyphen/>
        <w:t>ponent</w:t>
      </w:r>
      <w:r>
        <w:rPr>
          <w:rStyle w:val="deletedparamark"/>
        </w:rPr>
        <w:t xml:space="preserve"> </w:t>
      </w:r>
      <w:r>
        <w:t>of the tanru. Thus, the following has the place structure of “klama”:</w:t>
      </w:r>
    </w:p>
    <w:tbl>
      <w:tblPr>
        <w:tblW w:w="0" w:type="auto"/>
        <w:tblLayout w:type="fixed"/>
        <w:tblCellMar>
          <w:left w:w="0" w:type="dxa"/>
          <w:right w:w="0" w:type="dxa"/>
        </w:tblCellMar>
        <w:tblLook w:val="0000"/>
      </w:tblPr>
      <w:tblGrid>
        <w:gridCol w:w="864"/>
        <w:gridCol w:w="360"/>
        <w:gridCol w:w="420"/>
        <w:gridCol w:w="1005"/>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9.8)</w:t>
            </w:r>
          </w:p>
        </w:tc>
        <w:tc>
          <w:tcPr>
            <w:tcW w:w="360" w:type="dxa"/>
          </w:tcPr>
          <w:p w:rsidR="00B72047" w:rsidRDefault="00B72047">
            <w:pPr>
              <w:pStyle w:val="examplescaledpre"/>
              <w:ind w:left="0" w:firstLine="0"/>
              <w:rPr>
                <w:rStyle w:val="htmlparacode"/>
              </w:rPr>
            </w:pPr>
            <w:r>
              <w:rPr>
                <w:rStyle w:val="htmlparacode"/>
                <w:vanish w:val="0"/>
                <w:u w:val="words"/>
              </w:rPr>
              <w:t>mi</w:t>
            </w:r>
          </w:p>
        </w:tc>
        <w:tc>
          <w:tcPr>
            <w:tcW w:w="420" w:type="dxa"/>
          </w:tcPr>
          <w:p w:rsidR="00B72047" w:rsidRDefault="00B72047">
            <w:pPr>
              <w:pStyle w:val="examplescaledpre"/>
              <w:ind w:left="0" w:firstLine="0"/>
              <w:rPr>
                <w:rStyle w:val="htmlparacode"/>
              </w:rPr>
            </w:pPr>
            <w:r>
              <w:rPr>
                <w:rStyle w:val="htmlparacode"/>
                <w:vanish w:val="0"/>
              </w:rPr>
              <w:t>[cu]</w:t>
            </w:r>
          </w:p>
        </w:tc>
        <w:tc>
          <w:tcPr>
            <w:tcW w:w="1005" w:type="dxa"/>
          </w:tcPr>
          <w:p w:rsidR="00B72047" w:rsidRDefault="00B72047">
            <w:pPr>
              <w:pStyle w:val="examplescaledpre"/>
              <w:ind w:left="0" w:firstLine="0"/>
              <w:rPr>
                <w:rStyle w:val="htmlparacode"/>
              </w:rPr>
            </w:pPr>
            <w:r>
              <w:rPr>
                <w:rStyle w:val="htmlparacode"/>
                <w:vanish w:val="0"/>
                <w:u w:val="double"/>
              </w:rPr>
              <w:t>sutra klama</w:t>
            </w:r>
          </w:p>
        </w:tc>
        <w:tc>
          <w:tcPr>
            <w:tcW w:w="765" w:type="dxa"/>
          </w:tcPr>
          <w:p w:rsidR="00B72047" w:rsidRDefault="00B72047">
            <w:pPr>
              <w:pStyle w:val="examplescaledpre"/>
              <w:ind w:left="0" w:firstLine="0"/>
              <w:rPr>
                <w:rStyle w:val="htmlparacode"/>
              </w:rPr>
            </w:pPr>
            <w:r>
              <w:rPr>
                <w:rStyle w:val="htmlparacode"/>
                <w:vanish w:val="0"/>
                <w:u w:val="single"/>
              </w:rPr>
              <w:t>la meris.</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360" w:type="dxa"/>
          </w:tcPr>
          <w:p w:rsidR="00B72047" w:rsidRDefault="00B72047">
            <w:pPr>
              <w:pStyle w:val="examplescaledpre"/>
              <w:spacing w:before="0"/>
              <w:ind w:left="0" w:firstLine="0"/>
              <w:rPr>
                <w:rStyle w:val="htmlparacode"/>
              </w:rPr>
            </w:pPr>
            <w:r>
              <w:rPr>
                <w:rStyle w:val="htmlparacode"/>
                <w:vanish w:val="0"/>
              </w:rPr>
              <w:t>I</w:t>
            </w:r>
          </w:p>
        </w:tc>
        <w:tc>
          <w:tcPr>
            <w:tcW w:w="420" w:type="dxa"/>
          </w:tcPr>
          <w:p w:rsidR="00B72047" w:rsidRDefault="00B72047">
            <w:pPr>
              <w:pStyle w:val="examplescaledpre"/>
              <w:spacing w:before="0"/>
              <w:ind w:left="0" w:firstLine="0"/>
              <w:rPr>
                <w:rStyle w:val="htmlparacode"/>
              </w:rPr>
            </w:pPr>
          </w:p>
        </w:tc>
        <w:tc>
          <w:tcPr>
            <w:tcW w:w="1005" w:type="dxa"/>
          </w:tcPr>
          <w:p w:rsidR="00B72047" w:rsidRDefault="00B72047">
            <w:pPr>
              <w:pStyle w:val="examplescaledpre"/>
              <w:spacing w:before="0"/>
              <w:ind w:left="0" w:firstLine="0"/>
              <w:rPr>
                <w:rStyle w:val="htmlparacode"/>
              </w:rPr>
            </w:pPr>
            <w:r>
              <w:rPr>
                <w:rStyle w:val="htmlparacode"/>
                <w:vanish w:val="0"/>
              </w:rPr>
              <w:t>quickly-go</w:t>
            </w:r>
          </w:p>
        </w:tc>
        <w:tc>
          <w:tcPr>
            <w:tcW w:w="765" w:type="dxa"/>
          </w:tcPr>
          <w:p w:rsidR="00B72047" w:rsidRDefault="00B72047">
            <w:pPr>
              <w:pStyle w:val="examplescaledpre"/>
              <w:spacing w:before="0"/>
              <w:ind w:left="0" w:firstLine="0"/>
              <w:rPr>
                <w:rStyle w:val="htmlparacode"/>
              </w:rPr>
            </w:pPr>
            <w:r>
              <w:rPr>
                <w:rStyle w:val="htmlparacode"/>
                <w:vanish w:val="0"/>
              </w:rPr>
              <w:t>to Mary.</w:t>
            </w:r>
          </w:p>
        </w:tc>
      </w:tr>
    </w:tbl>
    <w:p w:rsidR="00B72047" w:rsidRDefault="00B72047">
      <w:pPr>
        <w:pStyle w:val="examplescaledpre"/>
        <w:rPr>
          <w:rStyle w:val="htmlparacode"/>
        </w:rPr>
      </w:pPr>
      <w:r>
        <w:rPr>
          <w:rStyle w:val="htmlparacode"/>
        </w:rPr>
        <w:t>&lt;p&gt;</w:t>
      </w:r>
    </w:p>
    <w:p w:rsidR="00B72047" w:rsidRDefault="00B72047">
      <w:pPr>
        <w:pStyle w:val="normalafterexample"/>
      </w:pPr>
      <w:r>
        <w:rPr>
          <w:rStyle w:val="htmlcodes"/>
        </w:rPr>
        <w:t>&lt;/pre&gt;</w:t>
      </w:r>
      <w:r>
        <w:rPr>
          <w:rStyle w:val="indexentry"/>
        </w:rPr>
        <w:t>&lt;cx "tanru conversion, effect on place structure (quick-tour version)"&gt;</w:t>
      </w:r>
      <w:r>
        <w:rPr>
          <w:rStyle w:val="indexentry"/>
        </w:rPr>
        <w:fldChar w:fldCharType="begin"/>
      </w:r>
      <w:r>
        <w:instrText>xe "</w:instrText>
      </w:r>
      <w:r>
        <w:rPr>
          <w:rStyle w:val="xeentry"/>
        </w:rPr>
        <w:instrText>tanru conversion: effect on place structure, quick-tour version</w:instrText>
      </w:r>
      <w:r>
        <w:instrText>"</w:instrText>
      </w:r>
      <w:r>
        <w:rPr>
          <w:rStyle w:val="indexentry"/>
        </w:rPr>
        <w:fldChar w:fldCharType="end"/>
      </w:r>
      <w:r>
        <w:t>With the conversion “se klama” as the final component of the tanru, the</w:t>
      </w:r>
      <w:r>
        <w:rPr>
          <w:rStyle w:val="deletedparamark"/>
        </w:rPr>
        <w:t xml:space="preserve"> </w:t>
      </w:r>
      <w:r>
        <w:t>place struc</w:t>
      </w:r>
      <w:r>
        <w:softHyphen/>
        <w:t>ture of the entire selbri is that of “se klama”: the x1 place</w:t>
      </w:r>
      <w:r>
        <w:rPr>
          <w:rStyle w:val="deletedparamark"/>
        </w:rPr>
        <w:t xml:space="preserve"> </w:t>
      </w:r>
      <w:r>
        <w:t>is the destination, and the x2 place is the one who goes:</w:t>
      </w:r>
    </w:p>
    <w:tbl>
      <w:tblPr>
        <w:tblW w:w="0" w:type="auto"/>
        <w:tblLayout w:type="fixed"/>
        <w:tblCellMar>
          <w:left w:w="0" w:type="dxa"/>
          <w:right w:w="0" w:type="dxa"/>
        </w:tblCellMar>
        <w:tblLook w:val="0000"/>
      </w:tblPr>
      <w:tblGrid>
        <w:gridCol w:w="864"/>
        <w:gridCol w:w="360"/>
        <w:gridCol w:w="420"/>
        <w:gridCol w:w="1665"/>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9.9)</w:t>
            </w:r>
          </w:p>
        </w:tc>
        <w:tc>
          <w:tcPr>
            <w:tcW w:w="360" w:type="dxa"/>
          </w:tcPr>
          <w:p w:rsidR="00B72047" w:rsidRDefault="00B72047">
            <w:pPr>
              <w:pStyle w:val="examplescaledpre"/>
              <w:ind w:left="0" w:firstLine="0"/>
              <w:rPr>
                <w:rStyle w:val="htmlparacode"/>
              </w:rPr>
            </w:pPr>
            <w:r>
              <w:rPr>
                <w:rStyle w:val="htmlparacode"/>
                <w:vanish w:val="0"/>
                <w:u w:val="words"/>
              </w:rPr>
              <w:t>mi</w:t>
            </w:r>
          </w:p>
        </w:tc>
        <w:tc>
          <w:tcPr>
            <w:tcW w:w="420" w:type="dxa"/>
          </w:tcPr>
          <w:p w:rsidR="00B72047" w:rsidRDefault="00B72047">
            <w:pPr>
              <w:pStyle w:val="examplescaledpre"/>
              <w:ind w:left="0" w:firstLine="0"/>
              <w:rPr>
                <w:rStyle w:val="htmlparacode"/>
              </w:rPr>
            </w:pPr>
            <w:r>
              <w:rPr>
                <w:rStyle w:val="htmlparacode"/>
                <w:vanish w:val="0"/>
              </w:rPr>
              <w:t>[cu]</w:t>
            </w:r>
          </w:p>
        </w:tc>
        <w:tc>
          <w:tcPr>
            <w:tcW w:w="1665" w:type="dxa"/>
          </w:tcPr>
          <w:p w:rsidR="00B72047" w:rsidRDefault="00B72047">
            <w:pPr>
              <w:pStyle w:val="examplescaledpre"/>
              <w:ind w:left="0" w:firstLine="0"/>
              <w:rPr>
                <w:rStyle w:val="htmlparacode"/>
              </w:rPr>
            </w:pPr>
            <w:r>
              <w:rPr>
                <w:rStyle w:val="htmlparacode"/>
                <w:vanish w:val="0"/>
                <w:u w:val="double"/>
              </w:rPr>
              <w:t>sutra se klama</w:t>
            </w:r>
          </w:p>
        </w:tc>
        <w:tc>
          <w:tcPr>
            <w:tcW w:w="765" w:type="dxa"/>
          </w:tcPr>
          <w:p w:rsidR="00B72047" w:rsidRDefault="00B72047">
            <w:pPr>
              <w:pStyle w:val="examplescaledpre"/>
              <w:ind w:left="0" w:firstLine="0"/>
              <w:rPr>
                <w:rStyle w:val="htmlparacode"/>
              </w:rPr>
            </w:pPr>
            <w:r>
              <w:rPr>
                <w:rStyle w:val="htmlparacode"/>
                <w:vanish w:val="0"/>
                <w:u w:val="single"/>
              </w:rPr>
              <w:t>la meris.</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360" w:type="dxa"/>
          </w:tcPr>
          <w:p w:rsidR="00B72047" w:rsidRDefault="00B72047">
            <w:pPr>
              <w:pStyle w:val="examplescaledpre"/>
              <w:spacing w:before="0"/>
              <w:ind w:left="0" w:firstLine="0"/>
              <w:rPr>
                <w:rStyle w:val="htmlparacode"/>
              </w:rPr>
            </w:pPr>
            <w:r>
              <w:rPr>
                <w:rStyle w:val="htmlparacode"/>
                <w:vanish w:val="0"/>
              </w:rPr>
              <w:t>I</w:t>
            </w:r>
          </w:p>
        </w:tc>
        <w:tc>
          <w:tcPr>
            <w:tcW w:w="420" w:type="dxa"/>
          </w:tcPr>
          <w:p w:rsidR="00B72047" w:rsidRDefault="00B72047">
            <w:pPr>
              <w:pStyle w:val="examplescaledpre"/>
              <w:spacing w:before="0"/>
              <w:ind w:left="0" w:firstLine="0"/>
              <w:rPr>
                <w:rStyle w:val="htmlparacode"/>
              </w:rPr>
            </w:pPr>
          </w:p>
        </w:tc>
        <w:tc>
          <w:tcPr>
            <w:tcW w:w="1665" w:type="dxa"/>
          </w:tcPr>
          <w:p w:rsidR="00B72047" w:rsidRDefault="00B72047">
            <w:pPr>
              <w:pStyle w:val="examplescaledpre"/>
              <w:spacing w:before="0"/>
              <w:ind w:left="0" w:firstLine="0"/>
              <w:rPr>
                <w:rStyle w:val="htmlparacode"/>
              </w:rPr>
            </w:pPr>
            <w:r>
              <w:rPr>
                <w:rStyle w:val="htmlparacode"/>
                <w:vanish w:val="0"/>
              </w:rPr>
              <w:t>quickly am-gone-to</w:t>
            </w:r>
          </w:p>
        </w:tc>
        <w:tc>
          <w:tcPr>
            <w:tcW w:w="765" w:type="dxa"/>
          </w:tcPr>
          <w:p w:rsidR="00B72047" w:rsidRDefault="00B72047">
            <w:pPr>
              <w:pStyle w:val="examplescaledpre"/>
              <w:spacing w:before="0"/>
              <w:ind w:left="0" w:firstLine="0"/>
              <w:rPr>
                <w:rStyle w:val="htmlparacode"/>
              </w:rPr>
            </w:pPr>
            <w:r>
              <w:rPr>
                <w:rStyle w:val="htmlparacode"/>
                <w:vanish w:val="0"/>
              </w:rPr>
              <w:t>by Mary.</w:t>
            </w:r>
          </w:p>
        </w:tc>
      </w:tr>
    </w:tbl>
    <w:p w:rsidR="00B72047" w:rsidRDefault="00B72047">
      <w:pPr>
        <w:pStyle w:val="examplescaledpre"/>
        <w:rPr>
          <w:rStyle w:val="htmlparacode"/>
        </w:rPr>
      </w:pPr>
      <w:r>
        <w:rPr>
          <w:rStyle w:val="htmlparacode"/>
        </w:rPr>
        <w:t>&lt;p&gt;</w:t>
      </w:r>
    </w:p>
    <w:p w:rsidR="00B72047" w:rsidRDefault="00B72047">
      <w:pPr>
        <w:pStyle w:val="normalafterexample"/>
      </w:pPr>
      <w:r>
        <w:rPr>
          <w:rStyle w:val="htmlcodes"/>
        </w:rPr>
        <w:t>&lt;/pre&gt;</w:t>
      </w:r>
      <w:r>
        <w:rPr>
          <w:rStyle w:val="indexentry"/>
        </w:rPr>
        <w:t>&lt;cx "tanru, and conversion (quick-tour version)"&gt;</w:t>
      </w:r>
      <w:r>
        <w:rPr>
          <w:rStyle w:val="indexentry"/>
        </w:rPr>
        <w:fldChar w:fldCharType="begin"/>
      </w:r>
      <w:r>
        <w:instrText>xe "</w:instrText>
      </w:r>
      <w:r>
        <w:rPr>
          <w:rStyle w:val="xeentry"/>
        </w:rPr>
        <w:instrText>tanru: and conversion, quick-tour version</w:instrText>
      </w:r>
      <w:r>
        <w:instrText>"</w:instrText>
      </w:r>
      <w:r>
        <w:rPr>
          <w:rStyle w:val="indexentry"/>
        </w:rPr>
        <w:fldChar w:fldCharType="end"/>
      </w:r>
      <w:r>
        <w:t>The following example shows that there is more to conver</w:t>
      </w:r>
      <w:r>
        <w:softHyphen/>
        <w:t>sion than merely</w:t>
      </w:r>
      <w:r>
        <w:rPr>
          <w:rStyle w:val="deletedparamark"/>
        </w:rPr>
        <w:t xml:space="preserve"> </w:t>
      </w:r>
      <w:r>
        <w:t>switching places, though:</w:t>
      </w:r>
    </w:p>
    <w:tbl>
      <w:tblPr>
        <w:tblW w:w="0" w:type="auto"/>
        <w:tblLayout w:type="fixed"/>
        <w:tblCellMar>
          <w:left w:w="0" w:type="dxa"/>
          <w:right w:w="0" w:type="dxa"/>
        </w:tblCellMar>
        <w:tblLook w:val="0000"/>
      </w:tblPr>
      <w:tblGrid>
        <w:gridCol w:w="864"/>
        <w:gridCol w:w="645"/>
        <w:gridCol w:w="420"/>
        <w:gridCol w:w="1410"/>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9.10)</w:t>
            </w:r>
          </w:p>
        </w:tc>
        <w:tc>
          <w:tcPr>
            <w:tcW w:w="645" w:type="dxa"/>
          </w:tcPr>
          <w:p w:rsidR="00B72047" w:rsidRDefault="00B72047">
            <w:pPr>
              <w:pStyle w:val="examplescaledpre"/>
              <w:ind w:left="0" w:firstLine="0"/>
              <w:rPr>
                <w:rStyle w:val="htmlparacode"/>
              </w:rPr>
            </w:pPr>
            <w:r>
              <w:rPr>
                <w:rStyle w:val="htmlparacode"/>
                <w:vanish w:val="0"/>
                <w:u w:val="words"/>
              </w:rPr>
              <w:t>la tam.</w:t>
            </w:r>
          </w:p>
        </w:tc>
        <w:tc>
          <w:tcPr>
            <w:tcW w:w="420" w:type="dxa"/>
          </w:tcPr>
          <w:p w:rsidR="00B72047" w:rsidRDefault="00B72047">
            <w:pPr>
              <w:pStyle w:val="examplescaledpre"/>
              <w:ind w:left="0" w:firstLine="0"/>
              <w:rPr>
                <w:rStyle w:val="htmlparacode"/>
              </w:rPr>
            </w:pPr>
            <w:r>
              <w:rPr>
                <w:rStyle w:val="htmlparacode"/>
                <w:vanish w:val="0"/>
              </w:rPr>
              <w:t>[cu]</w:t>
            </w:r>
          </w:p>
        </w:tc>
        <w:tc>
          <w:tcPr>
            <w:tcW w:w="1410" w:type="dxa"/>
          </w:tcPr>
          <w:p w:rsidR="00B72047" w:rsidRDefault="00B72047">
            <w:pPr>
              <w:pStyle w:val="examplescaledpre"/>
              <w:ind w:left="0" w:firstLine="0"/>
              <w:rPr>
                <w:rStyle w:val="htmlparacode"/>
              </w:rPr>
            </w:pPr>
            <w:r>
              <w:rPr>
                <w:rStyle w:val="htmlparacode"/>
                <w:vanish w:val="0"/>
                <w:u w:val="double"/>
              </w:rPr>
              <w:t>melbi tavla</w:t>
            </w:r>
          </w:p>
        </w:tc>
        <w:tc>
          <w:tcPr>
            <w:tcW w:w="765" w:type="dxa"/>
          </w:tcPr>
          <w:p w:rsidR="00B72047" w:rsidRDefault="00B72047">
            <w:pPr>
              <w:pStyle w:val="examplescaledpre"/>
              <w:ind w:left="0" w:firstLine="0"/>
              <w:rPr>
                <w:rStyle w:val="htmlparacode"/>
              </w:rPr>
            </w:pPr>
            <w:r>
              <w:rPr>
                <w:rStyle w:val="htmlparacode"/>
                <w:vanish w:val="0"/>
                <w:u w:val="single"/>
              </w:rPr>
              <w:t>la meris.</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645" w:type="dxa"/>
          </w:tcPr>
          <w:p w:rsidR="00B72047" w:rsidRDefault="00B72047">
            <w:pPr>
              <w:pStyle w:val="examplescaledpre"/>
              <w:spacing w:before="0"/>
              <w:ind w:left="0" w:firstLine="0"/>
              <w:rPr>
                <w:rStyle w:val="htmlparacode"/>
              </w:rPr>
            </w:pPr>
            <w:r>
              <w:rPr>
                <w:rStyle w:val="htmlparacode"/>
                <w:vanish w:val="0"/>
              </w:rPr>
              <w:t>Tom</w:t>
            </w:r>
          </w:p>
        </w:tc>
        <w:tc>
          <w:tcPr>
            <w:tcW w:w="420" w:type="dxa"/>
          </w:tcPr>
          <w:p w:rsidR="00B72047" w:rsidRDefault="00B72047">
            <w:pPr>
              <w:pStyle w:val="examplescaledpre"/>
              <w:spacing w:before="0"/>
              <w:ind w:left="0" w:firstLine="0"/>
              <w:rPr>
                <w:rStyle w:val="htmlparacode"/>
              </w:rPr>
            </w:pPr>
          </w:p>
        </w:tc>
        <w:tc>
          <w:tcPr>
            <w:tcW w:w="1410" w:type="dxa"/>
          </w:tcPr>
          <w:p w:rsidR="00B72047" w:rsidRDefault="00B72047">
            <w:pPr>
              <w:pStyle w:val="examplescaledpre"/>
              <w:spacing w:before="0"/>
              <w:ind w:left="0" w:firstLine="0"/>
              <w:rPr>
                <w:rStyle w:val="htmlparacode"/>
              </w:rPr>
            </w:pPr>
            <w:r>
              <w:rPr>
                <w:rStyle w:val="htmlparacode"/>
                <w:vanish w:val="0"/>
              </w:rPr>
              <w:t>beautifully-talks</w:t>
            </w:r>
          </w:p>
        </w:tc>
        <w:tc>
          <w:tcPr>
            <w:tcW w:w="765" w:type="dxa"/>
          </w:tcPr>
          <w:p w:rsidR="00B72047" w:rsidRDefault="00B72047">
            <w:pPr>
              <w:pStyle w:val="examplescaledpre"/>
              <w:spacing w:before="0"/>
              <w:ind w:left="0" w:firstLine="0"/>
              <w:rPr>
                <w:rStyle w:val="htmlparacode"/>
              </w:rPr>
            </w:pPr>
            <w:r>
              <w:rPr>
                <w:rStyle w:val="htmlparacode"/>
                <w:vanish w:val="0"/>
              </w:rPr>
              <w:t>to Mary.</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3240" w:type="dxa"/>
            <w:gridSpan w:val="4"/>
          </w:tcPr>
          <w:p w:rsidR="00B72047" w:rsidRDefault="00B72047">
            <w:pPr>
              <w:pStyle w:val="examplescaledpre"/>
              <w:spacing w:before="0"/>
              <w:ind w:left="0" w:firstLine="0"/>
              <w:rPr>
                <w:rStyle w:val="htmlparacode"/>
                <w:vanish w:val="0"/>
              </w:rPr>
            </w:pPr>
            <w:r>
              <w:rPr>
                <w:rStyle w:val="htmlparacode"/>
                <w:vanish w:val="0"/>
              </w:rPr>
              <w:t>Tom is a beautiful-talker to Mary.</w:t>
            </w:r>
          </w:p>
        </w:tc>
      </w:tr>
    </w:tbl>
    <w:p w:rsidR="00B72047" w:rsidRDefault="00B72047">
      <w:pPr>
        <w:pStyle w:val="examplescaledpre"/>
        <w:rPr>
          <w:rStyle w:val="htmlparacode"/>
        </w:rPr>
      </w:pPr>
      <w:r>
        <w:rPr>
          <w:rStyle w:val="htmlparacode"/>
        </w:rPr>
        <w:t>&lt;p&gt;</w:t>
      </w:r>
    </w:p>
    <w:p w:rsidR="00B72047" w:rsidRDefault="00B72047">
      <w:pPr>
        <w:pStyle w:val="resumedafterexample"/>
      </w:pPr>
      <w:r>
        <w:rPr>
          <w:rStyle w:val="htmlcodes"/>
        </w:rPr>
        <w:t>&lt;/pre&gt;</w:t>
      </w:r>
      <w:r>
        <w:t>has the place structure of “tavla”, but note the two distinct interpre</w:t>
      </w:r>
      <w:r>
        <w:softHyphen/>
        <w:t>tations.</w:t>
      </w:r>
    </w:p>
    <w:p w:rsidR="00B72047" w:rsidRDefault="00B72047">
      <w:pPr>
        <w:rPr>
          <w:rStyle w:val="htmlparacode"/>
        </w:rPr>
      </w:pPr>
      <w:r>
        <w:rPr>
          <w:rStyle w:val="htmlparacode"/>
        </w:rPr>
        <w:t>&lt;p&gt;</w:t>
      </w:r>
    </w:p>
    <w:p w:rsidR="00B72047" w:rsidRDefault="00B72047">
      <w:pPr>
        <w:pStyle w:val="normalparagraph"/>
      </w:pPr>
      <w:r>
        <w:t>Now, using conversion, we can modify the place structure or</w:t>
      </w:r>
      <w:r>
        <w:softHyphen/>
        <w:t>der:</w:t>
      </w:r>
    </w:p>
    <w:tbl>
      <w:tblPr>
        <w:tblW w:w="0" w:type="auto"/>
        <w:tblLayout w:type="fixed"/>
        <w:tblCellMar>
          <w:left w:w="0" w:type="dxa"/>
          <w:right w:w="0" w:type="dxa"/>
        </w:tblCellMar>
        <w:tblLook w:val="0000"/>
      </w:tblPr>
      <w:tblGrid>
        <w:gridCol w:w="864"/>
        <w:gridCol w:w="765"/>
        <w:gridCol w:w="420"/>
        <w:gridCol w:w="1950"/>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9.11)</w:t>
            </w:r>
          </w:p>
        </w:tc>
        <w:tc>
          <w:tcPr>
            <w:tcW w:w="765" w:type="dxa"/>
          </w:tcPr>
          <w:p w:rsidR="00B72047" w:rsidRDefault="00B72047">
            <w:pPr>
              <w:pStyle w:val="examplescaledpre"/>
              <w:ind w:left="0" w:firstLine="0"/>
              <w:rPr>
                <w:rStyle w:val="htmlparacode"/>
              </w:rPr>
            </w:pPr>
            <w:r>
              <w:rPr>
                <w:rStyle w:val="htmlparacode"/>
                <w:vanish w:val="0"/>
                <w:u w:val="words"/>
              </w:rPr>
              <w:t>la meris.</w:t>
            </w:r>
          </w:p>
        </w:tc>
        <w:tc>
          <w:tcPr>
            <w:tcW w:w="420" w:type="dxa"/>
          </w:tcPr>
          <w:p w:rsidR="00B72047" w:rsidRDefault="00B72047">
            <w:pPr>
              <w:pStyle w:val="examplescaledpre"/>
              <w:ind w:left="0" w:firstLine="0"/>
              <w:rPr>
                <w:rStyle w:val="htmlparacode"/>
              </w:rPr>
            </w:pPr>
            <w:r>
              <w:rPr>
                <w:rStyle w:val="htmlparacode"/>
                <w:vanish w:val="0"/>
              </w:rPr>
              <w:t>[cu]</w:t>
            </w:r>
          </w:p>
        </w:tc>
        <w:tc>
          <w:tcPr>
            <w:tcW w:w="1950" w:type="dxa"/>
          </w:tcPr>
          <w:p w:rsidR="00B72047" w:rsidRDefault="00B72047">
            <w:pPr>
              <w:pStyle w:val="examplescaledpre"/>
              <w:ind w:left="0" w:firstLine="0"/>
              <w:rPr>
                <w:rStyle w:val="htmlparacode"/>
              </w:rPr>
            </w:pPr>
            <w:r>
              <w:rPr>
                <w:rStyle w:val="htmlparacode"/>
                <w:vanish w:val="0"/>
                <w:u w:val="double"/>
              </w:rPr>
              <w:t>melbi se tavla</w:t>
            </w:r>
          </w:p>
        </w:tc>
        <w:tc>
          <w:tcPr>
            <w:tcW w:w="765" w:type="dxa"/>
          </w:tcPr>
          <w:p w:rsidR="00B72047" w:rsidRDefault="00B72047">
            <w:pPr>
              <w:pStyle w:val="examplescaledpre"/>
              <w:ind w:left="0" w:firstLine="0"/>
              <w:rPr>
                <w:rStyle w:val="htmlparacode"/>
              </w:rPr>
            </w:pPr>
            <w:r>
              <w:rPr>
                <w:rStyle w:val="htmlparacode"/>
                <w:vanish w:val="0"/>
                <w:u w:val="words"/>
              </w:rPr>
              <w:t>la tam.</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765" w:type="dxa"/>
          </w:tcPr>
          <w:p w:rsidR="00B72047" w:rsidRDefault="00B72047">
            <w:pPr>
              <w:pStyle w:val="examplescaledpre"/>
              <w:spacing w:before="0"/>
              <w:ind w:left="0" w:firstLine="0"/>
              <w:rPr>
                <w:rStyle w:val="htmlparacode"/>
              </w:rPr>
            </w:pPr>
            <w:r>
              <w:rPr>
                <w:rStyle w:val="htmlparacode"/>
                <w:vanish w:val="0"/>
              </w:rPr>
              <w:t>Mary</w:t>
            </w:r>
          </w:p>
        </w:tc>
        <w:tc>
          <w:tcPr>
            <w:tcW w:w="420" w:type="dxa"/>
          </w:tcPr>
          <w:p w:rsidR="00B72047" w:rsidRDefault="00B72047">
            <w:pPr>
              <w:pStyle w:val="examplescaledpre"/>
              <w:spacing w:before="0"/>
              <w:ind w:left="0" w:firstLine="0"/>
              <w:rPr>
                <w:rStyle w:val="htmlparacode"/>
              </w:rPr>
            </w:pPr>
          </w:p>
        </w:tc>
        <w:tc>
          <w:tcPr>
            <w:tcW w:w="1950" w:type="dxa"/>
          </w:tcPr>
          <w:p w:rsidR="00B72047" w:rsidRDefault="00B72047">
            <w:pPr>
              <w:pStyle w:val="examplescaledpre"/>
              <w:spacing w:before="0"/>
              <w:ind w:left="0" w:firstLine="0"/>
              <w:rPr>
                <w:rStyle w:val="htmlparacode"/>
              </w:rPr>
            </w:pPr>
            <w:r>
              <w:rPr>
                <w:rStyle w:val="htmlparacode"/>
                <w:vanish w:val="0"/>
              </w:rPr>
              <w:t>is beautifully-talked-to</w:t>
            </w:r>
          </w:p>
        </w:tc>
        <w:tc>
          <w:tcPr>
            <w:tcW w:w="765" w:type="dxa"/>
          </w:tcPr>
          <w:p w:rsidR="00B72047" w:rsidRDefault="00B72047">
            <w:pPr>
              <w:pStyle w:val="examplescaledpre"/>
              <w:spacing w:before="0"/>
              <w:ind w:left="0" w:firstLine="0"/>
              <w:rPr>
                <w:rStyle w:val="htmlparacode"/>
              </w:rPr>
            </w:pPr>
            <w:r>
              <w:rPr>
                <w:rStyle w:val="htmlparacode"/>
                <w:vanish w:val="0"/>
              </w:rPr>
              <w:t>by Tom.</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3900" w:type="dxa"/>
            <w:gridSpan w:val="4"/>
          </w:tcPr>
          <w:p w:rsidR="00B72047" w:rsidRDefault="00B72047">
            <w:pPr>
              <w:pStyle w:val="examplescaledpre"/>
              <w:spacing w:before="0"/>
              <w:ind w:left="0" w:firstLine="0"/>
              <w:rPr>
                <w:rStyle w:val="htmlparacode"/>
                <w:vanish w:val="0"/>
              </w:rPr>
            </w:pPr>
            <w:r>
              <w:rPr>
                <w:rStyle w:val="htmlparacode"/>
                <w:vanish w:val="0"/>
              </w:rPr>
              <w:t>Mary is a beautiful-audience for Tom.</w:t>
            </w:r>
          </w:p>
        </w:tc>
      </w:tr>
    </w:tbl>
    <w:p w:rsidR="00B72047" w:rsidRDefault="00B72047">
      <w:pPr>
        <w:pStyle w:val="examplescaledpre"/>
        <w:rPr>
          <w:rStyle w:val="htmlparacode"/>
        </w:rPr>
      </w:pPr>
      <w:r>
        <w:rPr>
          <w:rStyle w:val="htmlparacode"/>
        </w:rPr>
        <w:t>&lt;p&gt;</w:t>
      </w:r>
    </w:p>
    <w:p w:rsidR="00B72047" w:rsidRDefault="00B72047">
      <w:pPr>
        <w:pStyle w:val="resumedafterexample"/>
      </w:pPr>
      <w:r>
        <w:rPr>
          <w:rStyle w:val="htmlcodes"/>
        </w:rPr>
        <w:t>&lt;/pre&gt;</w:t>
      </w:r>
      <w:r>
        <w:t>and we see that the modification has been changed so as to focus on Mary's</w:t>
      </w:r>
      <w:r>
        <w:rPr>
          <w:rStyle w:val="deletedparamark"/>
        </w:rPr>
        <w:t xml:space="preserve"> </w:t>
      </w:r>
      <w:r>
        <w:t>role in the bridi relationship, leading to a different set of pos</w:t>
      </w:r>
      <w:r>
        <w:softHyphen/>
        <w:t>sible</w:t>
      </w:r>
      <w:r>
        <w:rPr>
          <w:rStyle w:val="deletedparamark"/>
        </w:rPr>
        <w:t xml:space="preserve"> </w:t>
      </w:r>
      <w:r>
        <w:t>interpretations.</w:t>
      </w:r>
    </w:p>
    <w:p w:rsidR="00B72047" w:rsidRDefault="00B72047">
      <w:pPr>
        <w:rPr>
          <w:rStyle w:val="htmlparacode"/>
        </w:rPr>
      </w:pPr>
      <w:r>
        <w:rPr>
          <w:rStyle w:val="htmlparacode"/>
        </w:rPr>
        <w:t>&lt;p&gt;</w:t>
      </w:r>
    </w:p>
    <w:p w:rsidR="00B72047" w:rsidRDefault="00B72047">
      <w:pPr>
        <w:pStyle w:val="normalparagraph"/>
      </w:pPr>
      <w:r>
        <w:t>Note that there is no place structure change if the modifying term is</w:t>
      </w:r>
      <w:r>
        <w:rPr>
          <w:rStyle w:val="deletedparamark"/>
        </w:rPr>
        <w:t xml:space="preserve"> </w:t>
      </w:r>
      <w:r>
        <w:t>converted, and so less drastic variation in possible meanings:</w:t>
      </w:r>
    </w:p>
    <w:tbl>
      <w:tblPr>
        <w:tblW w:w="0" w:type="auto"/>
        <w:tblLayout w:type="fixed"/>
        <w:tblCellMar>
          <w:left w:w="0" w:type="dxa"/>
          <w:right w:w="0" w:type="dxa"/>
        </w:tblCellMar>
        <w:tblLook w:val="0000"/>
      </w:tblPr>
      <w:tblGrid>
        <w:gridCol w:w="864"/>
        <w:gridCol w:w="645"/>
        <w:gridCol w:w="420"/>
        <w:gridCol w:w="1680"/>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9.12)</w:t>
            </w:r>
          </w:p>
        </w:tc>
        <w:tc>
          <w:tcPr>
            <w:tcW w:w="645" w:type="dxa"/>
          </w:tcPr>
          <w:p w:rsidR="00B72047" w:rsidRDefault="00B72047">
            <w:pPr>
              <w:pStyle w:val="examplescaledpre"/>
              <w:ind w:left="0" w:firstLine="0"/>
              <w:rPr>
                <w:rStyle w:val="htmlparacode"/>
              </w:rPr>
            </w:pPr>
            <w:r>
              <w:rPr>
                <w:rStyle w:val="htmlparacode"/>
                <w:vanish w:val="0"/>
                <w:u w:val="words"/>
              </w:rPr>
              <w:t>la tam.</w:t>
            </w:r>
          </w:p>
        </w:tc>
        <w:tc>
          <w:tcPr>
            <w:tcW w:w="420" w:type="dxa"/>
          </w:tcPr>
          <w:p w:rsidR="00B72047" w:rsidRDefault="00B72047">
            <w:pPr>
              <w:pStyle w:val="examplescaledpre"/>
              <w:ind w:left="0" w:firstLine="0"/>
              <w:rPr>
                <w:rStyle w:val="htmlparacode"/>
              </w:rPr>
            </w:pPr>
            <w:r>
              <w:rPr>
                <w:rStyle w:val="htmlparacode"/>
                <w:vanish w:val="0"/>
              </w:rPr>
              <w:t>[cu]</w:t>
            </w:r>
          </w:p>
        </w:tc>
        <w:tc>
          <w:tcPr>
            <w:tcW w:w="1680" w:type="dxa"/>
          </w:tcPr>
          <w:p w:rsidR="00B72047" w:rsidRDefault="00B72047">
            <w:pPr>
              <w:pStyle w:val="examplescaledpre"/>
              <w:ind w:left="0" w:firstLine="0"/>
              <w:rPr>
                <w:rStyle w:val="htmlparacode"/>
              </w:rPr>
            </w:pPr>
            <w:r>
              <w:rPr>
                <w:rStyle w:val="htmlparacode"/>
                <w:vanish w:val="0"/>
                <w:u w:val="double"/>
              </w:rPr>
              <w:t xml:space="preserve">tavla melbi </w:t>
            </w:r>
          </w:p>
        </w:tc>
        <w:tc>
          <w:tcPr>
            <w:tcW w:w="765" w:type="dxa"/>
          </w:tcPr>
          <w:p w:rsidR="00B72047" w:rsidRDefault="00B72047">
            <w:pPr>
              <w:pStyle w:val="examplescaledpre"/>
              <w:ind w:left="0" w:firstLine="0"/>
              <w:rPr>
                <w:rStyle w:val="htmlparacode"/>
              </w:rPr>
            </w:pPr>
            <w:r>
              <w:rPr>
                <w:rStyle w:val="htmlparacode"/>
                <w:vanish w:val="0"/>
                <w:u w:val="single"/>
              </w:rPr>
              <w:t>la meris.</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645" w:type="dxa"/>
          </w:tcPr>
          <w:p w:rsidR="00B72047" w:rsidRDefault="00B72047">
            <w:pPr>
              <w:pStyle w:val="examplescaledpre"/>
              <w:spacing w:before="0"/>
              <w:ind w:left="0" w:firstLine="0"/>
              <w:rPr>
                <w:rStyle w:val="htmlparacode"/>
              </w:rPr>
            </w:pPr>
            <w:r>
              <w:rPr>
                <w:rStyle w:val="htmlparacode"/>
                <w:vanish w:val="0"/>
              </w:rPr>
              <w:t>Tom</w:t>
            </w:r>
          </w:p>
        </w:tc>
        <w:tc>
          <w:tcPr>
            <w:tcW w:w="420" w:type="dxa"/>
          </w:tcPr>
          <w:p w:rsidR="00B72047" w:rsidRDefault="00B72047">
            <w:pPr>
              <w:pStyle w:val="examplescaledpre"/>
              <w:spacing w:before="0"/>
              <w:ind w:left="0" w:firstLine="0"/>
              <w:rPr>
                <w:rStyle w:val="htmlparacode"/>
              </w:rPr>
            </w:pPr>
          </w:p>
        </w:tc>
        <w:tc>
          <w:tcPr>
            <w:tcW w:w="1680" w:type="dxa"/>
          </w:tcPr>
          <w:p w:rsidR="00B72047" w:rsidRDefault="00B72047">
            <w:pPr>
              <w:pStyle w:val="examplescaledpre"/>
              <w:spacing w:before="0"/>
              <w:ind w:left="0" w:firstLine="0"/>
              <w:rPr>
                <w:rStyle w:val="htmlparacode"/>
              </w:rPr>
            </w:pPr>
            <w:r>
              <w:rPr>
                <w:rStyle w:val="htmlparacode"/>
                <w:vanish w:val="0"/>
              </w:rPr>
              <w:t>is talkerly-beautiful</w:t>
            </w:r>
          </w:p>
        </w:tc>
        <w:tc>
          <w:tcPr>
            <w:tcW w:w="765" w:type="dxa"/>
          </w:tcPr>
          <w:p w:rsidR="00B72047" w:rsidRDefault="00B72047">
            <w:pPr>
              <w:pStyle w:val="examplescaledpre"/>
              <w:spacing w:before="0"/>
              <w:ind w:left="0" w:firstLine="0"/>
              <w:rPr>
                <w:rStyle w:val="htmlparacode"/>
              </w:rPr>
            </w:pPr>
            <w:r>
              <w:rPr>
                <w:rStyle w:val="htmlparacode"/>
                <w:vanish w:val="0"/>
              </w:rPr>
              <w:t>to Mary.</w:t>
            </w:r>
          </w:p>
        </w:tc>
      </w:tr>
    </w:tbl>
    <w:p w:rsidR="00B72047" w:rsidRDefault="00B72047">
      <w:pPr>
        <w:pStyle w:val="examplescaledpre"/>
        <w:rPr>
          <w:rStyle w:val="htmlparacode"/>
        </w:rPr>
      </w:pPr>
      <w:r>
        <w:rPr>
          <w:rStyle w:val="htmlparacode"/>
        </w:rPr>
        <w:t>&lt;p&gt;</w:t>
      </w:r>
    </w:p>
    <w:tbl>
      <w:tblPr>
        <w:tblW w:w="0" w:type="auto"/>
        <w:tblLayout w:type="fixed"/>
        <w:tblCellMar>
          <w:left w:w="0" w:type="dxa"/>
          <w:right w:w="0" w:type="dxa"/>
        </w:tblCellMar>
        <w:tblLook w:val="0000"/>
      </w:tblPr>
      <w:tblGrid>
        <w:gridCol w:w="864"/>
        <w:gridCol w:w="645"/>
        <w:gridCol w:w="420"/>
        <w:gridCol w:w="1935"/>
        <w:gridCol w:w="76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9.13)</w:t>
            </w:r>
          </w:p>
        </w:tc>
        <w:tc>
          <w:tcPr>
            <w:tcW w:w="645" w:type="dxa"/>
          </w:tcPr>
          <w:p w:rsidR="00B72047" w:rsidRDefault="00B72047">
            <w:pPr>
              <w:pStyle w:val="examplescaledpre"/>
              <w:ind w:left="0" w:firstLine="0"/>
              <w:rPr>
                <w:rStyle w:val="htmlparacode"/>
              </w:rPr>
            </w:pPr>
            <w:r>
              <w:rPr>
                <w:rStyle w:val="htmlparacode"/>
                <w:vanish w:val="0"/>
                <w:u w:val="words"/>
              </w:rPr>
              <w:t>la tam.</w:t>
            </w:r>
          </w:p>
        </w:tc>
        <w:tc>
          <w:tcPr>
            <w:tcW w:w="420" w:type="dxa"/>
          </w:tcPr>
          <w:p w:rsidR="00B72047" w:rsidRDefault="00B72047">
            <w:pPr>
              <w:pStyle w:val="examplescaledpre"/>
              <w:ind w:left="0" w:firstLine="0"/>
              <w:rPr>
                <w:rStyle w:val="htmlparacode"/>
              </w:rPr>
            </w:pPr>
            <w:r>
              <w:rPr>
                <w:rStyle w:val="htmlparacode"/>
                <w:vanish w:val="0"/>
              </w:rPr>
              <w:t>[cu]</w:t>
            </w:r>
          </w:p>
        </w:tc>
        <w:tc>
          <w:tcPr>
            <w:tcW w:w="1935" w:type="dxa"/>
          </w:tcPr>
          <w:p w:rsidR="00B72047" w:rsidRDefault="00B72047">
            <w:pPr>
              <w:pStyle w:val="examplescaledpre"/>
              <w:ind w:left="0" w:firstLine="0"/>
              <w:rPr>
                <w:rStyle w:val="htmlparacode"/>
              </w:rPr>
            </w:pPr>
            <w:r>
              <w:rPr>
                <w:rStyle w:val="htmlparacode"/>
                <w:vanish w:val="0"/>
                <w:u w:val="double"/>
              </w:rPr>
              <w:t xml:space="preserve">se tavla melbi </w:t>
            </w:r>
          </w:p>
        </w:tc>
        <w:tc>
          <w:tcPr>
            <w:tcW w:w="765" w:type="dxa"/>
          </w:tcPr>
          <w:p w:rsidR="00B72047" w:rsidRDefault="00B72047">
            <w:pPr>
              <w:pStyle w:val="examplescaledpre"/>
              <w:ind w:left="0" w:firstLine="0"/>
              <w:rPr>
                <w:rStyle w:val="htmlparacode"/>
              </w:rPr>
            </w:pPr>
            <w:r>
              <w:rPr>
                <w:rStyle w:val="htmlparacode"/>
                <w:vanish w:val="0"/>
                <w:u w:val="single"/>
              </w:rPr>
              <w:t>la meris.</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645" w:type="dxa"/>
          </w:tcPr>
          <w:p w:rsidR="00B72047" w:rsidRDefault="00B72047">
            <w:pPr>
              <w:pStyle w:val="examplescaledpre"/>
              <w:spacing w:before="0"/>
              <w:ind w:left="0" w:firstLine="0"/>
              <w:rPr>
                <w:rStyle w:val="htmlparacode"/>
              </w:rPr>
            </w:pPr>
            <w:r>
              <w:rPr>
                <w:rStyle w:val="htmlparacode"/>
                <w:vanish w:val="0"/>
              </w:rPr>
              <w:t>Tom</w:t>
            </w:r>
          </w:p>
        </w:tc>
        <w:tc>
          <w:tcPr>
            <w:tcW w:w="420" w:type="dxa"/>
          </w:tcPr>
          <w:p w:rsidR="00B72047" w:rsidRDefault="00B72047">
            <w:pPr>
              <w:pStyle w:val="examplescaledpre"/>
              <w:spacing w:before="0"/>
              <w:ind w:left="0" w:firstLine="0"/>
              <w:rPr>
                <w:rStyle w:val="htmlparacode"/>
              </w:rPr>
            </w:pPr>
          </w:p>
        </w:tc>
        <w:tc>
          <w:tcPr>
            <w:tcW w:w="1935" w:type="dxa"/>
          </w:tcPr>
          <w:p w:rsidR="00B72047" w:rsidRDefault="00B72047">
            <w:pPr>
              <w:pStyle w:val="examplescaledpre"/>
              <w:spacing w:before="0"/>
              <w:ind w:left="0" w:firstLine="0"/>
              <w:rPr>
                <w:rStyle w:val="htmlparacode"/>
              </w:rPr>
            </w:pPr>
            <w:r>
              <w:t>is audiencely-beautiful</w:t>
            </w:r>
          </w:p>
        </w:tc>
        <w:tc>
          <w:tcPr>
            <w:tcW w:w="765" w:type="dxa"/>
          </w:tcPr>
          <w:p w:rsidR="00B72047" w:rsidRDefault="00B72047">
            <w:pPr>
              <w:pStyle w:val="examplescaledpre"/>
              <w:spacing w:before="0"/>
              <w:ind w:left="0" w:firstLine="0"/>
              <w:rPr>
                <w:rStyle w:val="htmlparacode"/>
              </w:rPr>
            </w:pPr>
            <w:r>
              <w:rPr>
                <w:rStyle w:val="htmlparacode"/>
                <w:vanish w:val="0"/>
              </w:rPr>
              <w:t>to Mary.</w:t>
            </w:r>
          </w:p>
        </w:tc>
      </w:tr>
    </w:tbl>
    <w:p w:rsidR="00B72047" w:rsidRDefault="00B72047">
      <w:pPr>
        <w:pStyle w:val="examplescaledpre"/>
        <w:rPr>
          <w:rStyle w:val="htmlcodes"/>
        </w:rPr>
      </w:pPr>
    </w:p>
    <w:p w:rsidR="00B72047" w:rsidRDefault="00B72047">
      <w:pPr>
        <w:pStyle w:val="resumedafterexample"/>
      </w:pPr>
      <w:r>
        <w:rPr>
          <w:rStyle w:val="htmlcodes"/>
        </w:rPr>
        <w:t>&lt;/pre&gt;</w:t>
      </w:r>
      <w:r>
        <w:t>and we see that the manner in which Tom is seen as beautiful by Mary</w:t>
      </w:r>
      <w:r>
        <w:rPr>
          <w:rStyle w:val="deletedparamark"/>
        </w:rPr>
        <w:t xml:space="preserve"> </w:t>
      </w:r>
      <w:r>
        <w:t>changes, but Tom is still the one perceived as beautiful, and Mary, the</w:t>
      </w:r>
      <w:r>
        <w:rPr>
          <w:rStyle w:val="deletedparamark"/>
        </w:rPr>
        <w:t xml:space="preserve"> </w:t>
      </w:r>
      <w:r>
        <w:t>observer of beauty.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81" w:name="_Toc395691474"/>
      <w:bookmarkStart w:id="82" w:name="_Toc395691668"/>
      <w:bookmarkStart w:id="83" w:name="_Toc398970445"/>
      <w:r>
        <w:rPr>
          <w:rStyle w:val="Heading3Text"/>
        </w:rPr>
        <w:t>Description sumti</w:t>
      </w:r>
      <w:bookmarkEnd w:id="81"/>
      <w:bookmarkEnd w:id="82"/>
      <w:bookmarkEnd w:id="8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"descriptions (quick-tour version)"&gt;</w:t>
      </w:r>
      <w:r>
        <w:rPr>
          <w:rStyle w:val="indexentry"/>
        </w:rPr>
        <w:fldChar w:fldCharType="begin"/>
      </w:r>
      <w:r>
        <w:instrText>xe "</w:instrText>
      </w:r>
      <w:r>
        <w:rPr>
          <w:rStyle w:val="xeentry"/>
        </w:rPr>
        <w:instrText>descriptions: quick-tour version</w:instrText>
      </w:r>
      <w:r>
        <w:instrText>"</w:instrText>
      </w:r>
      <w:r>
        <w:rPr>
          <w:rStyle w:val="indexentry"/>
        </w:rPr>
        <w:fldChar w:fldCharType="end"/>
      </w:r>
      <w:r>
        <w:rPr>
          <w:rStyle w:val="indexentry"/>
        </w:rPr>
        <w:t>&lt;ex "talker"&gt;</w:t>
      </w:r>
      <w:r>
        <w:rPr>
          <w:rStyle w:val="indexentry"/>
        </w:rPr>
        <w:fldChar w:fldCharType="begin"/>
      </w:r>
      <w:r>
        <w:instrText>xe "</w:instrText>
      </w:r>
      <w:r>
        <w:rPr>
          <w:rStyle w:val="xeentry"/>
        </w:rPr>
        <w:instrText>talker: example</w:instrText>
      </w:r>
      <w:r>
        <w:instrText>"</w:instrText>
      </w:r>
      <w:r>
        <w:rPr>
          <w:rStyle w:val="indexentry"/>
        </w:rPr>
        <w:fldChar w:fldCharType="end"/>
      </w:r>
      <w:r>
        <w:t>Often we wish to talk about things other than the speaker, the</w:t>
      </w:r>
      <w:r>
        <w:rPr>
          <w:rStyle w:val="deletedparamark"/>
        </w:rPr>
        <w:t xml:space="preserve"> </w:t>
      </w:r>
      <w:r>
        <w:t>listener and things we can point to. Let's say I want to talk about a</w:t>
      </w:r>
      <w:r>
        <w:rPr>
          <w:rStyle w:val="deletedparamark"/>
        </w:rPr>
        <w:t xml:space="preserve"> </w:t>
      </w:r>
      <w:r>
        <w:t>talker other than “mi”. What I want to talk about would naturally fit into</w:t>
      </w:r>
      <w:r>
        <w:rPr>
          <w:rStyle w:val="deletedparamark"/>
        </w:rPr>
        <w:t xml:space="preserve"> </w:t>
      </w:r>
      <w:r>
        <w:t>the first place of “tavla”. Lojban, it turns out, has an op</w:t>
      </w:r>
      <w:r>
        <w:softHyphen/>
        <w:t>era</w:t>
      </w:r>
      <w:r>
        <w:softHyphen/>
        <w:t>tor that</w:t>
      </w:r>
      <w:r>
        <w:rPr>
          <w:rStyle w:val="deletedparamark"/>
        </w:rPr>
        <w:t xml:space="preserve"> </w:t>
      </w:r>
      <w:r>
        <w:t>pulls this first place out of a selbri and converts it to a sumti</w:t>
      </w:r>
      <w:r>
        <w:rPr>
          <w:rStyle w:val="deletedparamark"/>
        </w:rPr>
        <w:t xml:space="preserve"> </w:t>
      </w:r>
      <w:r>
        <w:t>called a “description sumti”. The description sumti “le tavla ku” means</w:t>
      </w:r>
      <w:r>
        <w:rPr>
          <w:rStyle w:val="deletedparamark"/>
        </w:rPr>
        <w:t xml:space="preserve"> “</w:t>
      </w:r>
      <w:r>
        <w:t>the talker”, and may be used wherever any sumti may be used.</w:t>
      </w:r>
    </w:p>
    <w:p w:rsidR="00B72047" w:rsidRDefault="00B72047">
      <w:pPr>
        <w:rPr>
          <w:rStyle w:val="htmlparacode"/>
        </w:rPr>
      </w:pPr>
      <w:r>
        <w:rPr>
          <w:rStyle w:val="htmlparacode"/>
        </w:rPr>
        <w:t>&lt;p&gt;</w:t>
      </w:r>
    </w:p>
    <w:p w:rsidR="00B72047" w:rsidRDefault="00B72047">
      <w:pPr>
        <w:pStyle w:val="normalparagraph"/>
      </w:pPr>
      <w:r>
        <w:t>For example,</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name=e10d1&gt;</w:t>
      </w:r>
      <w:r>
        <w:t>10.1)</w:t>
      </w:r>
      <w:r>
        <w:tab/>
      </w:r>
      <w:r>
        <w:rPr>
          <w:u w:val="single"/>
        </w:rPr>
        <w:t>mi</w:t>
      </w:r>
      <w:r>
        <w:t xml:space="preserve"> </w:t>
      </w:r>
      <w:r>
        <w:rPr>
          <w:u w:val="double"/>
        </w:rPr>
        <w:t>tavla</w:t>
      </w:r>
      <w:r>
        <w:t xml:space="preserve"> </w:t>
      </w:r>
      <w:r>
        <w:rPr>
          <w:u w:val="single"/>
        </w:rPr>
        <w:t>do</w:t>
      </w:r>
      <w:r>
        <w:t xml:space="preserve"> </w:t>
      </w:r>
      <w:r>
        <w:rPr>
          <w:u w:val="single"/>
        </w:rPr>
        <w:t>le tavla ku</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I talk to you about the talker</w:t>
      </w:r>
    </w:p>
    <w:p w:rsidR="00B72047" w:rsidRDefault="00B72047">
      <w:pPr>
        <w:pStyle w:val="resumedafterexample"/>
      </w:pPr>
      <w:r>
        <w:rPr>
          <w:rStyle w:val="htmlcodes"/>
        </w:rPr>
        <w:t>&lt;/pre&gt;</w:t>
      </w:r>
      <w:r>
        <w:t>where “the talker” is presumably someone other than me, though not</w:t>
      </w:r>
      <w:r>
        <w:rPr>
          <w:rStyle w:val="deletedparamark"/>
        </w:rPr>
        <w:t xml:space="preserve"> </w:t>
      </w:r>
      <w:r>
        <w:t>necessarily.</w:t>
      </w:r>
    </w:p>
    <w:p w:rsidR="00B72047" w:rsidRDefault="00B72047">
      <w:pPr>
        <w:rPr>
          <w:rStyle w:val="htmlparacode"/>
        </w:rPr>
      </w:pPr>
      <w:r>
        <w:rPr>
          <w:rStyle w:val="htmlparacode"/>
        </w:rPr>
        <w:t>&lt;p&gt;</w:t>
      </w:r>
    </w:p>
    <w:p w:rsidR="00B72047" w:rsidRDefault="00B72047">
      <w:pPr>
        <w:pStyle w:val="normalparagraph"/>
      </w:pPr>
      <w:r>
        <w:t>Similarly “le sutra tavla ku” is “the fast talker”, and “le sutra te</w:t>
      </w:r>
      <w:r>
        <w:rPr>
          <w:rStyle w:val="deletedparamark"/>
        </w:rPr>
        <w:t xml:space="preserve"> </w:t>
      </w:r>
      <w:r>
        <w:t>tavla ku” is “the fast subject of talk” or “the subject of fast talk”. Which</w:t>
      </w:r>
      <w:r>
        <w:rPr>
          <w:rStyle w:val="deletedparamark"/>
        </w:rPr>
        <w:t xml:space="preserve"> </w:t>
      </w:r>
      <w:r>
        <w:t>of these related meanings is under</w:t>
      </w:r>
      <w:r>
        <w:softHyphen/>
        <w:t>stood will depend on the context in which</w:t>
      </w:r>
      <w:r>
        <w:rPr>
          <w:rStyle w:val="deletedparamark"/>
        </w:rPr>
        <w:t xml:space="preserve"> </w:t>
      </w:r>
      <w:r>
        <w:t>the expression is used. The most plau</w:t>
      </w:r>
      <w:r>
        <w:softHyphen/>
        <w:t>sible in</w:t>
      </w:r>
      <w:r>
        <w:softHyphen/>
        <w:t>terpre</w:t>
      </w:r>
      <w:r>
        <w:softHyphen/>
        <w:t>tation within the</w:t>
      </w:r>
      <w:r>
        <w:rPr>
          <w:rStyle w:val="deletedparamark"/>
        </w:rPr>
        <w:t xml:space="preserve"> </w:t>
      </w:r>
      <w:r>
        <w:t>context will generally be assumed by a listener to be the intended one.</w:t>
      </w:r>
    </w:p>
    <w:p w:rsidR="00B72047" w:rsidRDefault="00B72047">
      <w:pPr>
        <w:rPr>
          <w:rStyle w:val="htmlparacode"/>
        </w:rPr>
      </w:pPr>
      <w:r>
        <w:rPr>
          <w:rStyle w:val="htmlparacode"/>
        </w:rPr>
        <w:t>&lt;p&gt;</w:t>
      </w:r>
    </w:p>
    <w:p w:rsidR="00B72047" w:rsidRDefault="00B72047">
      <w:pPr>
        <w:pStyle w:val="normalparagraph"/>
      </w:pPr>
      <w:r>
        <w:t>In many cases the word “ku” may be omitted. In particular, it is never</w:t>
      </w:r>
      <w:r>
        <w:rPr>
          <w:rStyle w:val="deletedparamark"/>
        </w:rPr>
        <w:t xml:space="preserve"> </w:t>
      </w:r>
      <w:r>
        <w:t>neces</w:t>
      </w:r>
      <w:r>
        <w:softHyphen/>
        <w:t>sary in a description at the end of a sentence, so:</w:t>
      </w:r>
    </w:p>
    <w:tbl>
      <w:tblPr>
        <w:tblW w:w="0" w:type="auto"/>
        <w:tblLayout w:type="fixed"/>
        <w:tblCellMar>
          <w:left w:w="0" w:type="dxa"/>
          <w:right w:w="0" w:type="dxa"/>
        </w:tblCellMar>
        <w:tblLook w:val="0000"/>
      </w:tblPr>
      <w:tblGrid>
        <w:gridCol w:w="864"/>
        <w:gridCol w:w="360"/>
        <w:gridCol w:w="630"/>
        <w:gridCol w:w="375"/>
        <w:gridCol w:w="1455"/>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10.3)</w:t>
            </w:r>
          </w:p>
        </w:tc>
        <w:tc>
          <w:tcPr>
            <w:tcW w:w="36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mi</w:t>
            </w:r>
          </w:p>
        </w:tc>
        <w:tc>
          <w:tcPr>
            <w:tcW w:w="63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tavla</w:t>
            </w:r>
          </w:p>
        </w:tc>
        <w:tc>
          <w:tcPr>
            <w:tcW w:w="37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do</w:t>
            </w:r>
          </w:p>
        </w:tc>
        <w:tc>
          <w:tcPr>
            <w:tcW w:w="145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le tavla</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36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w:t>
            </w:r>
          </w:p>
        </w:tc>
        <w:tc>
          <w:tcPr>
            <w:tcW w:w="63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talk-to</w:t>
            </w:r>
          </w:p>
        </w:tc>
        <w:tc>
          <w:tcPr>
            <w:tcW w:w="3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you</w:t>
            </w:r>
          </w:p>
        </w:tc>
        <w:tc>
          <w:tcPr>
            <w:tcW w:w="145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about-the talker.</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 xml:space="preserve">means exactly the same thing as </w:t>
      </w:r>
      <w:r>
        <w:rPr>
          <w:rStyle w:val="htmlcodes"/>
        </w:rPr>
        <w:t>&lt;a href=#e10d1&gt;</w:t>
      </w:r>
      <w:r>
        <w:t>Example 10.1</w:t>
      </w:r>
      <w:r>
        <w:rPr>
          <w:rStyle w:val="htmlcodes"/>
        </w:rPr>
        <w:t>&lt;/a&gt;</w:t>
      </w:r>
      <w:r>
        <w:t xml:space="preserve">. </w:t>
      </w:r>
    </w:p>
    <w:p w:rsidR="00B72047" w:rsidRDefault="00B72047">
      <w:pPr>
        <w:rPr>
          <w:rStyle w:val="htmlparacode"/>
        </w:rPr>
      </w:pPr>
      <w:r>
        <w:rPr>
          <w:rStyle w:val="htmlparacode"/>
        </w:rPr>
        <w:t>&lt;p&gt;</w:t>
      </w:r>
    </w:p>
    <w:p w:rsidR="00B72047" w:rsidRDefault="00B72047">
      <w:pPr>
        <w:pStyle w:val="normalparagraph"/>
      </w:pPr>
      <w:r>
        <w:rPr>
          <w:rStyle w:val="indexentry"/>
        </w:rPr>
        <w:t>&lt;cx "cu, need for (quick-tour version)"&gt;</w:t>
      </w:r>
      <w:r>
        <w:rPr>
          <w:rStyle w:val="indexentry"/>
        </w:rPr>
        <w:fldChar w:fldCharType="begin"/>
      </w:r>
      <w:r>
        <w:instrText>xe "</w:instrText>
      </w:r>
      <w:r>
        <w:rPr>
          <w:rStyle w:val="xeentry"/>
        </w:rPr>
        <w:instrText>cu: need for, quick-tour version</w:instrText>
      </w:r>
      <w:r>
        <w:instrText>"</w:instrText>
      </w:r>
      <w:r>
        <w:rPr>
          <w:rStyle w:val="indexentry"/>
        </w:rPr>
        <w:fldChar w:fldCharType="end"/>
      </w:r>
      <w:r>
        <w:t>There is a problem when we want to say “The fast one is talking.”</w:t>
      </w:r>
      <w:r>
        <w:rPr>
          <w:rStyle w:val="deletedparamark"/>
        </w:rPr>
        <w:t xml:space="preserve"> </w:t>
      </w:r>
      <w:r>
        <w:t>The “obvious” translation “le sutra tavla” turns out to mean “the fast</w:t>
      </w:r>
      <w:r>
        <w:rPr>
          <w:rStyle w:val="deletedparamark"/>
        </w:rPr>
        <w:t xml:space="preserve"> </w:t>
      </w:r>
      <w:r>
        <w:t>talker”, and has no selbri at all. To solve this problem we can use the</w:t>
      </w:r>
      <w:r>
        <w:rPr>
          <w:rStyle w:val="deletedparamark"/>
        </w:rPr>
        <w:t xml:space="preserve"> </w:t>
      </w:r>
      <w:r>
        <w:t>word “cu”, which so far has always been optional, in front of the selbri.</w:t>
      </w:r>
    </w:p>
    <w:p w:rsidR="00B72047" w:rsidRDefault="00B72047">
      <w:pPr>
        <w:rPr>
          <w:rStyle w:val="htmlparacode"/>
        </w:rPr>
      </w:pPr>
      <w:r>
        <w:rPr>
          <w:rStyle w:val="htmlparacode"/>
        </w:rPr>
        <w:t>&lt;p&gt;</w:t>
      </w:r>
    </w:p>
    <w:p w:rsidR="00B72047" w:rsidRDefault="00B72047">
      <w:pPr>
        <w:pStyle w:val="normalparagraph"/>
      </w:pPr>
      <w:r>
        <w:t>The word “cu” has no meaning, and exists only to mark the beginning of the</w:t>
      </w:r>
      <w:r>
        <w:rPr>
          <w:rStyle w:val="deletedparamark"/>
        </w:rPr>
        <w:t xml:space="preserve"> </w:t>
      </w:r>
      <w:r>
        <w:t>selbri within the bridi, separating it from a previous sumti. It comes</w:t>
      </w:r>
      <w:r>
        <w:rPr>
          <w:rStyle w:val="deletedparamark"/>
        </w:rPr>
        <w:t xml:space="preserve"> </w:t>
      </w:r>
      <w:r>
        <w:t>before any other part of the selbri, including other cmavo like “se” or “te”.</w:t>
      </w:r>
      <w:r>
        <w:rPr>
          <w:rStyle w:val="deletedparamark"/>
        </w:rPr>
        <w:t xml:space="preserve"> </w:t>
      </w:r>
      <w:r>
        <w:t>Thus: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name=e10d4&gt;</w:t>
      </w:r>
      <w:r>
        <w:t>10.4)</w:t>
      </w:r>
      <w:r>
        <w:tab/>
      </w:r>
      <w:r>
        <w:rPr>
          <w:u w:val="single"/>
        </w:rPr>
        <w:t>le sutra tavla</w:t>
      </w:r>
    </w:p>
    <w:p w:rsidR="00B72047" w:rsidRDefault="00B72047">
      <w:pPr>
        <w:pStyle w:val="examplescaled"/>
      </w:pPr>
      <w:r>
        <w:tab/>
        <w:t>The fast talker</w:t>
      </w:r>
    </w:p>
    <w:p w:rsidR="00B72047" w:rsidRDefault="00B72047">
      <w:pPr>
        <w:pStyle w:val="examplescaledpre"/>
        <w:rPr>
          <w:rStyle w:val="htmlcodes"/>
        </w:rPr>
      </w:pPr>
    </w:p>
    <w:p w:rsidR="00B72047" w:rsidRDefault="00B72047">
      <w:pPr>
        <w:pStyle w:val="examplescaledpre"/>
      </w:pPr>
      <w:r>
        <w:rPr>
          <w:rStyle w:val="htmlcodes"/>
        </w:rPr>
        <w:t>&lt;a name=e10d5&gt;</w:t>
      </w:r>
      <w:r>
        <w:t>10.5)</w:t>
      </w:r>
      <w:r>
        <w:tab/>
      </w:r>
      <w:r>
        <w:rPr>
          <w:u w:val="single"/>
        </w:rPr>
        <w:t>le sutra</w:t>
      </w:r>
      <w:r>
        <w:t xml:space="preserve"> cu </w:t>
      </w:r>
      <w:r>
        <w:rPr>
          <w:u w:val="double"/>
        </w:rPr>
        <w:t>tavla</w:t>
      </w:r>
    </w:p>
    <w:p w:rsidR="00B72047" w:rsidRDefault="00B72047">
      <w:pPr>
        <w:pStyle w:val="examplescaled"/>
      </w:pPr>
      <w:r>
        <w:tab/>
        <w:t>The fast one is talking.</w:t>
      </w:r>
    </w:p>
    <w:p w:rsidR="00B72047" w:rsidRDefault="00B72047">
      <w:pPr>
        <w:pStyle w:val="examplescaledpre"/>
        <w:rPr>
          <w:rStyle w:val="htmlcodes"/>
        </w:rPr>
      </w:pPr>
    </w:p>
    <w:p w:rsidR="00B72047" w:rsidRDefault="00B72047">
      <w:pPr>
        <w:pStyle w:val="examplescaledpre"/>
      </w:pPr>
      <w:r>
        <w:rPr>
          <w:rStyle w:val="htmlcodes"/>
        </w:rPr>
        <w:t>&lt;a name=e10d6&gt;</w:t>
      </w:r>
      <w:r>
        <w:t>10.6)</w:t>
      </w:r>
      <w:r>
        <w:tab/>
      </w:r>
      <w:r>
        <w:rPr>
          <w:u w:val="single"/>
        </w:rPr>
        <w:t>le sutra se tavla</w:t>
      </w:r>
    </w:p>
    <w:p w:rsidR="00B72047" w:rsidRDefault="00B72047">
      <w:pPr>
        <w:pStyle w:val="examplescaled"/>
      </w:pPr>
      <w:r>
        <w:tab/>
        <w:t>The fast talked-to one</w:t>
      </w:r>
    </w:p>
    <w:p w:rsidR="00B72047" w:rsidRDefault="00B72047">
      <w:pPr>
        <w:pStyle w:val="examplescaledpre"/>
        <w:rPr>
          <w:rStyle w:val="htmlcodes"/>
        </w:rPr>
      </w:pPr>
    </w:p>
    <w:p w:rsidR="00B72047" w:rsidRDefault="00B72047">
      <w:pPr>
        <w:pStyle w:val="examplescaledpre"/>
      </w:pPr>
      <w:r>
        <w:rPr>
          <w:rStyle w:val="htmlcodes"/>
        </w:rPr>
        <w:t>&lt;a name=e10d7&gt;</w:t>
      </w:r>
      <w:r>
        <w:t>10.7)</w:t>
      </w:r>
      <w:r>
        <w:tab/>
      </w:r>
      <w:r>
        <w:rPr>
          <w:u w:val="single"/>
        </w:rPr>
        <w:t>le sutra</w:t>
      </w:r>
      <w:r>
        <w:t xml:space="preserve"> cu </w:t>
      </w:r>
      <w:r>
        <w:rPr>
          <w:u w:val="double"/>
        </w:rPr>
        <w:t>se tavla</w:t>
      </w:r>
    </w:p>
    <w:p w:rsidR="00B72047" w:rsidRDefault="00B72047">
      <w:pPr>
        <w:pStyle w:val="examplescaled"/>
      </w:pPr>
      <w:r>
        <w:tab/>
        <w:t>The fast one is talked to.</w:t>
      </w:r>
    </w:p>
    <w:p w:rsidR="00B72047" w:rsidRDefault="00B72047">
      <w:pPr>
        <w:pStyle w:val="normalafterexample"/>
      </w:pPr>
      <w:r>
        <w:rPr>
          <w:rStyle w:val="htmlcodes"/>
        </w:rPr>
        <w:t>&lt;/pre&gt;</w:t>
      </w:r>
      <w:r>
        <w:rPr>
          <w:rStyle w:val="indexentry"/>
        </w:rPr>
        <w:t>&lt;cx "ku (quick-tour version)"&gt;</w:t>
      </w:r>
      <w:r>
        <w:rPr>
          <w:rStyle w:val="indexentry"/>
        </w:rPr>
        <w:fldChar w:fldCharType="begin"/>
      </w:r>
      <w:r>
        <w:instrText>xe "</w:instrText>
      </w:r>
      <w:r>
        <w:rPr>
          <w:rStyle w:val="xeentry"/>
        </w:rPr>
        <w:instrText>ku: quick-tour version</w:instrText>
      </w:r>
      <w:r>
        <w:instrText>"</w:instrText>
      </w:r>
      <w:r>
        <w:rPr>
          <w:rStyle w:val="indexentry"/>
        </w:rPr>
        <w:fldChar w:fldCharType="end"/>
      </w:r>
      <w:r>
        <w:rPr>
          <w:rStyle w:val="indexentry"/>
        </w:rPr>
        <w:t>&lt;cx "KU (quick-tour version)"&gt;</w:t>
      </w:r>
      <w:r>
        <w:rPr>
          <w:rStyle w:val="indexentry"/>
        </w:rPr>
        <w:fldChar w:fldCharType="begin"/>
      </w:r>
      <w:r>
        <w:instrText>xe "</w:instrText>
      </w:r>
      <w:r>
        <w:rPr>
          <w:rStyle w:val="xeentry"/>
        </w:rPr>
        <w:instrText>KU selma’o: quick-tour version</w:instrText>
      </w:r>
      <w:r>
        <w:instrText>"</w:instrText>
      </w:r>
      <w:r>
        <w:rPr>
          <w:rStyle w:val="indexentry"/>
        </w:rPr>
        <w:fldChar w:fldCharType="end"/>
      </w:r>
      <w:r>
        <w:t>Consider the following more complex example, with two de</w:t>
      </w:r>
      <w:r>
        <w:softHyphen/>
        <w:t>scription sumti.</w:t>
      </w:r>
    </w:p>
    <w:tbl>
      <w:tblPr>
        <w:tblW w:w="0" w:type="auto"/>
        <w:tblLayout w:type="fixed"/>
        <w:tblCellMar>
          <w:left w:w="0" w:type="dxa"/>
          <w:right w:w="0" w:type="dxa"/>
        </w:tblCellMar>
        <w:tblLook w:val="0000"/>
      </w:tblPr>
      <w:tblGrid>
        <w:gridCol w:w="864"/>
        <w:gridCol w:w="360"/>
        <w:gridCol w:w="420"/>
        <w:gridCol w:w="630"/>
        <w:gridCol w:w="1155"/>
        <w:gridCol w:w="2370"/>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10.8)</w:t>
            </w:r>
          </w:p>
        </w:tc>
        <w:tc>
          <w:tcPr>
            <w:tcW w:w="36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mi</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63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tavla</w:t>
            </w:r>
          </w:p>
        </w:tc>
        <w:tc>
          <w:tcPr>
            <w:tcW w:w="115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le vecnu [ku]</w:t>
            </w:r>
          </w:p>
        </w:tc>
        <w:tc>
          <w:tcPr>
            <w:tcW w:w="237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le blari’o [ku]</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36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w:t>
            </w:r>
          </w:p>
        </w:tc>
        <w:tc>
          <w:tcPr>
            <w:tcW w:w="420" w:type="dxa"/>
          </w:tcPr>
          <w:p w:rsidR="00B72047" w:rsidRDefault="00B72047">
            <w:pPr>
              <w:rPr>
                <w:rStyle w:val="htmlparacode"/>
                <w:rFonts w:ascii="ITC Officina Sans Book" w:hAnsi="ITC Officina Sans Book" w:cs="ITC Officina Sans Book"/>
              </w:rPr>
            </w:pPr>
          </w:p>
        </w:tc>
        <w:tc>
          <w:tcPr>
            <w:tcW w:w="63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talk-to</w:t>
            </w:r>
          </w:p>
        </w:tc>
        <w:tc>
          <w:tcPr>
            <w:tcW w:w="115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the seller</w:t>
            </w:r>
          </w:p>
        </w:tc>
        <w:tc>
          <w:tcPr>
            <w:tcW w:w="237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about the blue-green-thing.</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&lt;/pre&gt;&lt;p&gt;</w:t>
      </w:r>
      <w:r>
        <w:t>The sumti “le vecnu” contains the selbri “vecnu”, which has the “seller” in</w:t>
      </w:r>
      <w:r>
        <w:rPr>
          <w:rStyle w:val="deletedparamark"/>
        </w:rPr>
        <w:t xml:space="preserve"> </w:t>
      </w:r>
      <w:r>
        <w:t>the x1 place, and uses it in this sentence to describe a par</w:t>
      </w:r>
      <w:r>
        <w:softHyphen/>
        <w:t>ticular “seller”</w:t>
      </w:r>
      <w:r>
        <w:rPr>
          <w:rStyle w:val="deletedparamark"/>
        </w:rPr>
        <w:t xml:space="preserve"> </w:t>
      </w:r>
      <w:r>
        <w:t>that the speaker has in mind (one that he or she probably expects the listener</w:t>
      </w:r>
      <w:r>
        <w:rPr>
          <w:rStyle w:val="deletedparamark"/>
        </w:rPr>
        <w:t xml:space="preserve"> </w:t>
      </w:r>
      <w:r>
        <w:t>will also know about). Similarly, the speaker has a particular blue-green thing</w:t>
      </w:r>
      <w:r>
        <w:rPr>
          <w:rStyle w:val="deletedparamark"/>
        </w:rPr>
        <w:t xml:space="preserve"> </w:t>
      </w:r>
      <w:r>
        <w:t>in mind, which is described using “le” to mark “blari'o”, a selbri whose</w:t>
      </w:r>
      <w:r>
        <w:rPr>
          <w:rStyle w:val="deletedparamark"/>
        </w:rPr>
        <w:t xml:space="preserve"> </w:t>
      </w:r>
      <w:r>
        <w:t>first sumti is something blue-green.</w:t>
      </w:r>
    </w:p>
    <w:p w:rsidR="00B72047" w:rsidRDefault="00B72047">
      <w:pPr>
        <w:rPr>
          <w:rStyle w:val="htmlparacode"/>
        </w:rPr>
      </w:pPr>
      <w:r>
        <w:rPr>
          <w:rStyle w:val="htmlparacode"/>
        </w:rPr>
        <w:t>&lt;p&gt;</w:t>
      </w:r>
    </w:p>
    <w:p w:rsidR="00B72047" w:rsidRDefault="00B72047">
      <w:pPr>
        <w:pStyle w:val="normalparagraph"/>
      </w:pPr>
      <w:r>
        <w:t xml:space="preserve">It is safe to omit both occurrences of “ku” in </w:t>
      </w:r>
      <w:r>
        <w:rPr>
          <w:rStyle w:val="htmlcodes"/>
        </w:rPr>
        <w:t>&lt;a href=#e10d8&gt;</w:t>
      </w:r>
      <w:r>
        <w:t xml:space="preserve">Example 10.8 </w:t>
      </w:r>
      <w:r>
        <w:rPr>
          <w:rStyle w:val="htmlcodes"/>
        </w:rPr>
        <w:t>&lt;/a&gt;</w:t>
      </w:r>
      <w:r>
        <w:t>, and it is</w:t>
      </w:r>
      <w:r>
        <w:rPr>
          <w:rStyle w:val="deletedparamark"/>
        </w:rPr>
        <w:t xml:space="preserve"> </w:t>
      </w:r>
      <w:r>
        <w:t>also safe to omit the “cu”.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84" w:name="_Toc395691475"/>
      <w:bookmarkStart w:id="85" w:name="_Toc395691669"/>
      <w:bookmarkStart w:id="86" w:name="_Toc398970446"/>
      <w:r>
        <w:rPr>
          <w:rStyle w:val="Heading3Text"/>
        </w:rPr>
        <w:t>Examples of brivla</w:t>
      </w:r>
      <w:bookmarkEnd w:id="84"/>
      <w:bookmarkEnd w:id="85"/>
      <w:bookmarkEnd w:id="8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"brivla, types of (quick-tour version)"&gt;</w:t>
      </w:r>
      <w:r>
        <w:rPr>
          <w:rStyle w:val="indexentry"/>
        </w:rPr>
        <w:fldChar w:fldCharType="begin"/>
      </w:r>
      <w:r>
        <w:instrText>xe "</w:instrText>
      </w:r>
      <w:r>
        <w:rPr>
          <w:rStyle w:val="xeentry"/>
        </w:rPr>
        <w:instrText>brivla: types of, quick-tour version</w:instrText>
      </w:r>
      <w:r>
        <w:instrText>"</w:instrText>
      </w:r>
      <w:r>
        <w:rPr>
          <w:rStyle w:val="indexentry"/>
        </w:rPr>
        <w:fldChar w:fldCharType="end"/>
      </w:r>
      <w:r>
        <w:t>The simplest form of selbri is an individual word. A word which may by</w:t>
      </w:r>
      <w:r>
        <w:rPr>
          <w:rStyle w:val="deletedparamark"/>
        </w:rPr>
        <w:t xml:space="preserve"> </w:t>
      </w:r>
      <w:r>
        <w:t>itself ex</w:t>
      </w:r>
      <w:r>
        <w:softHyphen/>
        <w:t>press a selbri relation is called a “brivla”. The three types of</w:t>
      </w:r>
      <w:r>
        <w:rPr>
          <w:rStyle w:val="deletedparamark"/>
        </w:rPr>
        <w:t xml:space="preserve"> </w:t>
      </w:r>
      <w:r>
        <w:t>brivla are gismu (root words), lujvo (compounds), and fu'ivla (borrowings</w:t>
      </w:r>
      <w:r>
        <w:rPr>
          <w:rStyle w:val="deletedparamark"/>
        </w:rPr>
        <w:t xml:space="preserve"> </w:t>
      </w:r>
      <w:r>
        <w:t>from other languages). All have identical gram</w:t>
      </w:r>
      <w:r>
        <w:softHyphen/>
        <w:t>matical uses.</w:t>
      </w:r>
      <w:r>
        <w:rPr>
          <w:rStyle w:val="deletedparamark"/>
        </w:rPr>
        <w:t xml:space="preserve"> </w:t>
      </w:r>
      <w:r>
        <w:t>So far, most of our selbri have been gismu or tanru built from gismu.</w:t>
      </w:r>
    </w:p>
    <w:p w:rsidR="00B72047" w:rsidRDefault="00B72047">
      <w:pPr>
        <w:rPr>
          <w:rStyle w:val="htmlparacode"/>
        </w:rPr>
      </w:pPr>
      <w:r>
        <w:rPr>
          <w:rStyle w:val="htmlparacode"/>
        </w:rPr>
        <w:t>&lt;p&gt;</w:t>
      </w:r>
    </w:p>
    <w:p w:rsidR="00B72047" w:rsidRDefault="00B72047">
      <w:pPr>
        <w:pStyle w:val="resumedafterexample"/>
      </w:pPr>
      <w:r>
        <w:rPr>
          <w:rStyle w:val="indexentry"/>
        </w:rPr>
        <w:t>&lt;cx "gismu (quick-tour version)"&gt;</w:t>
      </w:r>
      <w:r>
        <w:rPr>
          <w:rStyle w:val="indexentry"/>
        </w:rPr>
        <w:fldChar w:fldCharType="begin"/>
      </w:r>
      <w:r>
        <w:instrText>xe "</w:instrText>
      </w:r>
      <w:r>
        <w:rPr>
          <w:rStyle w:val="xeentry"/>
        </w:rPr>
        <w:instrText>gismu: quick-tour version</w:instrText>
      </w:r>
      <w:r>
        <w:instrText>"</w:instrText>
      </w:r>
      <w:r>
        <w:rPr>
          <w:rStyle w:val="indexentry"/>
        </w:rPr>
        <w:fldChar w:fldCharType="end"/>
      </w:r>
      <w:r>
        <w:t>gismu:</w:t>
      </w:r>
    </w:p>
    <w:tbl>
      <w:tblPr>
        <w:tblW w:w="0" w:type="auto"/>
        <w:tblLayout w:type="fixed"/>
        <w:tblCellMar>
          <w:left w:w="0" w:type="dxa"/>
          <w:right w:w="0" w:type="dxa"/>
        </w:tblCellMar>
        <w:tblLook w:val="0000"/>
      </w:tblPr>
      <w:tblGrid>
        <w:gridCol w:w="864"/>
        <w:gridCol w:w="510"/>
        <w:gridCol w:w="420"/>
        <w:gridCol w:w="540"/>
        <w:gridCol w:w="1005"/>
        <w:gridCol w:w="555"/>
        <w:gridCol w:w="495"/>
        <w:gridCol w:w="2355"/>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11.1)</w:t>
            </w:r>
          </w:p>
        </w:tc>
        <w:tc>
          <w:tcPr>
            <w:tcW w:w="51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mi</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54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klama</w:t>
            </w:r>
          </w:p>
        </w:tc>
        <w:tc>
          <w:tcPr>
            <w:tcW w:w="100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ti</w:t>
            </w:r>
          </w:p>
        </w:tc>
        <w:tc>
          <w:tcPr>
            <w:tcW w:w="55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zo’e</w:t>
            </w:r>
          </w:p>
        </w:tc>
        <w:tc>
          <w:tcPr>
            <w:tcW w:w="49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zo’e</w:t>
            </w:r>
          </w:p>
        </w:tc>
        <w:tc>
          <w:tcPr>
            <w:tcW w:w="235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ta</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51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Go-er</w:t>
            </w:r>
          </w:p>
        </w:tc>
        <w:tc>
          <w:tcPr>
            <w:tcW w:w="420" w:type="dxa"/>
          </w:tcPr>
          <w:p w:rsidR="00B72047" w:rsidRDefault="00B72047">
            <w:pPr>
              <w:rPr>
                <w:rStyle w:val="htmlparacode"/>
                <w:rFonts w:ascii="ITC Officina Sans Book" w:hAnsi="ITC Officina Sans Book" w:cs="ITC Officina Sans Book"/>
              </w:rPr>
            </w:pPr>
          </w:p>
        </w:tc>
        <w:tc>
          <w:tcPr>
            <w:tcW w:w="54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goes</w:t>
            </w:r>
          </w:p>
        </w:tc>
        <w:tc>
          <w:tcPr>
            <w:tcW w:w="100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destination</w:t>
            </w:r>
          </w:p>
        </w:tc>
        <w:tc>
          <w:tcPr>
            <w:tcW w:w="55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origin</w:t>
            </w:r>
          </w:p>
        </w:tc>
        <w:tc>
          <w:tcPr>
            <w:tcW w:w="49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route</w:t>
            </w:r>
          </w:p>
        </w:tc>
        <w:tc>
          <w:tcPr>
            <w:tcW w:w="235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means.</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5880" w:type="dxa"/>
            <w:gridSpan w:val="7"/>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 go here (to this) using that means (from somewhere via some route).</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rPr>
          <w:rStyle w:val="indexentry"/>
        </w:rPr>
        <w:t>&lt;cx "lujvo (quick-tour version)"&gt;</w:t>
      </w:r>
      <w:r>
        <w:rPr>
          <w:rStyle w:val="indexentry"/>
        </w:rPr>
        <w:fldChar w:fldCharType="begin"/>
      </w:r>
      <w:r>
        <w:instrText>xe "</w:instrText>
      </w:r>
      <w:r>
        <w:rPr>
          <w:rStyle w:val="xeentry"/>
        </w:rPr>
        <w:instrText>lujvo: quick-tour version</w:instrText>
      </w:r>
      <w:r>
        <w:instrText>"</w:instrText>
      </w:r>
      <w:r>
        <w:rPr>
          <w:rStyle w:val="indexentry"/>
        </w:rPr>
        <w:fldChar w:fldCharType="end"/>
      </w:r>
      <w:r>
        <w:t>lujvo:</w:t>
      </w:r>
    </w:p>
    <w:tbl>
      <w:tblPr>
        <w:tblW w:w="0" w:type="auto"/>
        <w:tblLayout w:type="fixed"/>
        <w:tblCellMar>
          <w:left w:w="0" w:type="dxa"/>
          <w:right w:w="0" w:type="dxa"/>
        </w:tblCellMar>
        <w:tblLook w:val="0000"/>
      </w:tblPr>
      <w:tblGrid>
        <w:gridCol w:w="864"/>
        <w:gridCol w:w="435"/>
        <w:gridCol w:w="420"/>
        <w:gridCol w:w="1215"/>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11.2)</w:t>
            </w:r>
          </w:p>
        </w:tc>
        <w:tc>
          <w:tcPr>
            <w:tcW w:w="43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ta</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121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blari’o</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43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That</w:t>
            </w:r>
          </w:p>
        </w:tc>
        <w:tc>
          <w:tcPr>
            <w:tcW w:w="420" w:type="dxa"/>
          </w:tcPr>
          <w:p w:rsidR="00B72047" w:rsidRDefault="00B72047">
            <w:pPr>
              <w:rPr>
                <w:rStyle w:val="htmlparacode"/>
                <w:rFonts w:ascii="ITC Officina Sans Book" w:hAnsi="ITC Officina Sans Book" w:cs="ITC Officina Sans Book"/>
              </w:rPr>
            </w:pPr>
          </w:p>
        </w:tc>
        <w:tc>
          <w:tcPr>
            <w:tcW w:w="121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is-blue-green.</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rPr>
          <w:rStyle w:val="indexentry"/>
        </w:rPr>
        <w:t>&lt;cx "fu'ivla (quick-tour version)"&gt;</w:t>
      </w:r>
      <w:r>
        <w:rPr>
          <w:rStyle w:val="indexentry"/>
        </w:rPr>
        <w:fldChar w:fldCharType="begin"/>
      </w:r>
      <w:r>
        <w:instrText>xe "</w:instrText>
      </w:r>
      <w:r>
        <w:rPr>
          <w:rStyle w:val="xeentry"/>
        </w:rPr>
        <w:instrText>fu'ivla: quick-tour version</w:instrText>
      </w:r>
      <w:r>
        <w:instrText>"</w:instrText>
      </w:r>
      <w:r>
        <w:rPr>
          <w:rStyle w:val="indexentry"/>
        </w:rPr>
        <w:fldChar w:fldCharType="end"/>
      </w:r>
      <w:r>
        <w:t>fu'ivla:</w:t>
      </w:r>
    </w:p>
    <w:tbl>
      <w:tblPr>
        <w:tblW w:w="0" w:type="auto"/>
        <w:tblLayout w:type="fixed"/>
        <w:tblCellMar>
          <w:left w:w="0" w:type="dxa"/>
          <w:right w:w="0" w:type="dxa"/>
        </w:tblCellMar>
        <w:tblLook w:val="0000"/>
      </w:tblPr>
      <w:tblGrid>
        <w:gridCol w:w="864"/>
        <w:gridCol w:w="420"/>
        <w:gridCol w:w="420"/>
        <w:gridCol w:w="1110"/>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11.3)</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ti</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111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djarspageti</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42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This</w:t>
            </w:r>
          </w:p>
        </w:tc>
        <w:tc>
          <w:tcPr>
            <w:tcW w:w="420" w:type="dxa"/>
          </w:tcPr>
          <w:p w:rsidR="00B72047" w:rsidRDefault="00B72047">
            <w:pPr>
              <w:rPr>
                <w:rStyle w:val="htmlparacode"/>
                <w:rFonts w:ascii="ITC Officina Sans Book" w:hAnsi="ITC Officina Sans Book" w:cs="ITC Officina Sans Book"/>
              </w:rPr>
            </w:pPr>
          </w:p>
        </w:tc>
        <w:tc>
          <w:tcPr>
            <w:tcW w:w="111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is-spaghetti.</w:t>
            </w:r>
          </w:p>
        </w:tc>
      </w:tr>
    </w:tbl>
    <w:p w:rsidR="00B72047" w:rsidRDefault="00B72047">
      <w:pPr>
        <w:rPr>
          <w:rStyle w:val="htmlparacode"/>
        </w:rPr>
      </w:pPr>
      <w:r>
        <w:rPr>
          <w:rStyle w:val="htmlparacode"/>
        </w:rPr>
        <w:t>&lt;p&gt;</w:t>
      </w:r>
    </w:p>
    <w:p w:rsidR="00B72047" w:rsidRDefault="00B72047">
      <w:pPr>
        <w:pStyle w:val="normalafterexample"/>
      </w:pPr>
      <w:r>
        <w:rPr>
          <w:rStyle w:val="htmlcodes"/>
        </w:rPr>
        <w:t>&lt;/pre&gt;</w:t>
      </w:r>
      <w:r>
        <w:rPr>
          <w:rStyle w:val="indexentry"/>
        </w:rPr>
        <w:t>&lt;cx "cmavo as selbri (quick-tour version)"&gt;</w:t>
      </w:r>
      <w:r>
        <w:rPr>
          <w:rStyle w:val="indexentry"/>
        </w:rPr>
        <w:fldChar w:fldCharType="begin"/>
      </w:r>
      <w:r>
        <w:instrText>xe "</w:instrText>
      </w:r>
      <w:r>
        <w:rPr>
          <w:rStyle w:val="xeentry"/>
        </w:rPr>
        <w:instrText>cmavo as selbri: quick-tour version</w:instrText>
      </w:r>
      <w:r>
        <w:instrText>"</w:instrText>
      </w:r>
      <w:r>
        <w:rPr>
          <w:rStyle w:val="indexentry"/>
        </w:rPr>
        <w:fldChar w:fldCharType="end"/>
      </w:r>
      <w:r>
        <w:t>Some cmavo may also serve as selbri, acting as variables that stand for</w:t>
      </w:r>
      <w:r>
        <w:rPr>
          <w:rStyle w:val="deletedparamark"/>
        </w:rPr>
        <w:t xml:space="preserve"> </w:t>
      </w:r>
      <w:r>
        <w:t>another sel</w:t>
      </w:r>
      <w:r>
        <w:softHyphen/>
        <w:t>bri. The most commonly used of these is “go'i”, which represents</w:t>
      </w:r>
      <w:r>
        <w:rPr>
          <w:rStyle w:val="deletedparamark"/>
        </w:rPr>
        <w:t xml:space="preserve"> </w:t>
      </w:r>
      <w:r>
        <w:t>the main bridi of the previous Lojban sen</w:t>
      </w:r>
      <w:r>
        <w:softHyphen/>
        <w:t>tence, with any new sumti or other</w:t>
      </w:r>
      <w:r>
        <w:rPr>
          <w:rStyle w:val="deletedparamark"/>
        </w:rPr>
        <w:t xml:space="preserve"> </w:t>
      </w:r>
      <w:r>
        <w:t>sentence features being ex</w:t>
      </w:r>
      <w:r>
        <w:softHyphen/>
        <w:t>pressed replacing the previously expressed ones.</w:t>
      </w:r>
      <w:r>
        <w:rPr>
          <w:rStyle w:val="deletedparamark"/>
        </w:rPr>
        <w:t xml:space="preserve"> </w:t>
      </w:r>
      <w:r>
        <w:t>Thus, in this con</w:t>
      </w:r>
      <w:r>
        <w:softHyphen/>
        <w:t>text:</w:t>
      </w:r>
    </w:p>
    <w:tbl>
      <w:tblPr>
        <w:tblW w:w="0" w:type="auto"/>
        <w:tblLayout w:type="fixed"/>
        <w:tblCellMar>
          <w:left w:w="0" w:type="dxa"/>
          <w:right w:w="0" w:type="dxa"/>
        </w:tblCellMar>
        <w:tblLook w:val="0000"/>
      </w:tblPr>
      <w:tblGrid>
        <w:gridCol w:w="864"/>
        <w:gridCol w:w="435"/>
        <w:gridCol w:w="420"/>
        <w:gridCol w:w="2010"/>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11.4)</w:t>
            </w:r>
          </w:p>
        </w:tc>
        <w:tc>
          <w:tcPr>
            <w:tcW w:w="43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ta</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201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go’i</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43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That</w:t>
            </w:r>
          </w:p>
        </w:tc>
        <w:tc>
          <w:tcPr>
            <w:tcW w:w="420" w:type="dxa"/>
          </w:tcPr>
          <w:p w:rsidR="00B72047" w:rsidRDefault="00B72047">
            <w:pPr>
              <w:rPr>
                <w:rStyle w:val="htmlparacode"/>
                <w:rFonts w:ascii="ITC Officina Sans Book" w:hAnsi="ITC Officina Sans Book" w:cs="ITC Officina Sans Book"/>
              </w:rPr>
            </w:pPr>
          </w:p>
        </w:tc>
        <w:tc>
          <w:tcPr>
            <w:tcW w:w="201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too/same-as-last selbri.</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2865" w:type="dxa"/>
            <w:gridSpan w:val="3"/>
          </w:tcPr>
          <w:p w:rsidR="00B72047" w:rsidRDefault="00B72047">
            <w:pPr>
              <w:rPr>
                <w:rStyle w:val="htmlparacode"/>
                <w:rFonts w:ascii="ITC Officina Sans Book" w:hAnsi="ITC Officina Sans Book" w:cs="ITC Officina Sans Book"/>
                <w:vanish w:val="0"/>
              </w:rPr>
            </w:pPr>
            <w:r>
              <w:rPr>
                <w:rStyle w:val="htmlparacode"/>
                <w:rFonts w:ascii="ITC Officina Sans Book" w:hAnsi="ITC Officina Sans Book" w:cs="ITC Officina Sans Book"/>
                <w:vanish w:val="0"/>
              </w:rPr>
              <w:t>That (is spaghetti), too.</w:t>
            </w:r>
          </w:p>
        </w:tc>
      </w:tr>
    </w:tbl>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&lt;/pre&gt;&lt;a name=s12&gt;&lt;h3&gt;</w:t>
      </w:r>
      <w:bookmarkStart w:id="87" w:name="_Toc395691476"/>
      <w:bookmarkStart w:id="88" w:name="_Toc395691670"/>
      <w:bookmarkStart w:id="89" w:name="_Toc398970447"/>
      <w:r>
        <w:rPr>
          <w:rStyle w:val="Heading3Text"/>
        </w:rPr>
        <w:t>The sumti “di'u” and “la'e di'u”</w:t>
      </w:r>
      <w:bookmarkEnd w:id="87"/>
      <w:bookmarkEnd w:id="88"/>
      <w:bookmarkEnd w:id="8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"reference (quick-tour version)"&gt;</w:t>
      </w:r>
      <w:r>
        <w:rPr>
          <w:rStyle w:val="indexentry"/>
        </w:rPr>
        <w:fldChar w:fldCharType="begin"/>
      </w:r>
      <w:r>
        <w:instrText>xe "</w:instrText>
      </w:r>
      <w:r>
        <w:rPr>
          <w:rStyle w:val="xeentry"/>
        </w:rPr>
        <w:instrText>reference: quick-tour version</w:instrText>
      </w:r>
      <w:r>
        <w:instrText>"</w:instrText>
      </w:r>
      <w:r>
        <w:rPr>
          <w:rStyle w:val="indexentry"/>
        </w:rPr>
        <w:fldChar w:fldCharType="end"/>
      </w:r>
      <w:r>
        <w:t>In English, I might say “The dog is beautiful”, and you might reply</w:t>
      </w:r>
      <w:r>
        <w:rPr>
          <w:rStyle w:val="deletedparamark"/>
        </w:rPr>
        <w:t xml:space="preserve"> “</w:t>
      </w:r>
      <w:r>
        <w:t>This pleases me.” How do you know what “this” refers to? Loj</w:t>
      </w:r>
      <w:r>
        <w:softHyphen/>
        <w:t>ban uses</w:t>
      </w:r>
      <w:r>
        <w:rPr>
          <w:rStyle w:val="deletedparamark"/>
        </w:rPr>
        <w:t xml:space="preserve"> </w:t>
      </w:r>
      <w:r>
        <w:t>different expressions to con</w:t>
      </w:r>
      <w:r>
        <w:softHyphen/>
        <w:t>vey the possible meanings of the English:</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&lt;ex "beautiful dog"&gt;</w:t>
      </w:r>
      <w:r>
        <w:rPr>
          <w:rStyle w:val="indexentry"/>
        </w:rPr>
        <w:fldChar w:fldCharType="begin"/>
      </w:r>
      <w:r>
        <w:instrText>xe "</w:instrText>
      </w:r>
      <w:r>
        <w:rPr>
          <w:rStyle w:val="xeentry"/>
        </w:rPr>
        <w:instrText>beautiful dog: example</w:instrText>
      </w:r>
      <w:r>
        <w:instrText>"</w:instrText>
      </w:r>
      <w:r>
        <w:rPr>
          <w:rStyle w:val="indexentry"/>
        </w:rPr>
        <w:fldChar w:fldCharType="end"/>
      </w:r>
      <w:r>
        <w:rPr>
          <w:rStyle w:val="htmlcodes"/>
        </w:rPr>
        <w:t>&lt;pre&gt;&lt;a name=e12d1&gt;</w:t>
      </w:r>
      <w:r>
        <w:t>12.1)</w:t>
      </w:r>
      <w:r>
        <w:tab/>
      </w:r>
      <w:r>
        <w:rPr>
          <w:u w:val="single"/>
        </w:rPr>
        <w:t>le gerku [ku]</w:t>
      </w:r>
      <w:r>
        <w:t xml:space="preserve"> cu </w:t>
      </w:r>
      <w:r>
        <w:rPr>
          <w:u w:val="double"/>
        </w:rPr>
        <w:t>melbi</w:t>
      </w:r>
    </w:p>
    <w:p w:rsidR="00B72047" w:rsidRDefault="00B72047">
      <w:pPr>
        <w:pStyle w:val="examplescaled"/>
      </w:pPr>
      <w:r>
        <w:tab/>
        <w:t>The dog is beautiful.</w:t>
      </w:r>
    </w:p>
    <w:p w:rsidR="00B72047" w:rsidRDefault="00B72047">
      <w:pPr>
        <w:pStyle w:val="normalafterexample"/>
      </w:pPr>
      <w:r>
        <w:rPr>
          <w:rStyle w:val="htmlcodes"/>
        </w:rPr>
        <w:t>&lt;/pre&gt;&lt;p&gt;</w:t>
      </w:r>
      <w:r>
        <w:t>The following three sentences all might translate as “This pleases me.”</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&lt;cx "pleases"&gt;</w:t>
      </w:r>
      <w:r>
        <w:rPr>
          <w:rStyle w:val="indexentry"/>
        </w:rPr>
        <w:fldChar w:fldCharType="begin"/>
      </w:r>
      <w:r>
        <w:instrText>xe "</w:instrText>
      </w:r>
      <w:r>
        <w:rPr>
          <w:rStyle w:val="xeentry"/>
        </w:rPr>
        <w:instrText>pleases</w:instrText>
      </w:r>
      <w:r>
        <w:instrText>"</w:instrText>
      </w:r>
      <w:r>
        <w:rPr>
          <w:rStyle w:val="indexentry"/>
        </w:rPr>
        <w:fldChar w:fldCharType="end"/>
      </w:r>
      <w:r>
        <w:rPr>
          <w:rStyle w:val="htmlcodes"/>
        </w:rPr>
        <w:t>&lt;pre&gt;&lt;a name=e12d2&gt;</w:t>
      </w:r>
      <w:r>
        <w:t>12.2)</w:t>
      </w:r>
      <w:r>
        <w:tab/>
      </w:r>
      <w:r>
        <w:rPr>
          <w:u w:val="single"/>
        </w:rPr>
        <w:t>ti</w:t>
      </w:r>
      <w:r>
        <w:t xml:space="preserve"> [cu] </w:t>
      </w:r>
      <w:r>
        <w:rPr>
          <w:u w:val="double"/>
        </w:rPr>
        <w:t>pluka</w:t>
      </w:r>
      <w:r>
        <w:t xml:space="preserve"> </w:t>
      </w:r>
      <w:r>
        <w:rPr>
          <w:u w:val="single"/>
        </w:rPr>
        <w:t>mi</w:t>
      </w:r>
    </w:p>
    <w:p w:rsidR="00B72047" w:rsidRDefault="00B72047">
      <w:pPr>
        <w:pStyle w:val="examplescaled"/>
      </w:pPr>
      <w:r>
        <w:tab/>
        <w:t>This (the dog) pleases me.</w:t>
      </w:r>
    </w:p>
    <w:p w:rsidR="00B72047" w:rsidRDefault="00B72047">
      <w:pPr>
        <w:pStyle w:val="examplescaledpre"/>
      </w:pPr>
      <w:r>
        <w:rPr>
          <w:rStyle w:val="htmlcodes"/>
        </w:rPr>
        <w:t>&lt;/pre&gt;</w:t>
      </w:r>
      <w:r>
        <w:rPr>
          <w:rStyle w:val="indexentry"/>
        </w:rPr>
        <w:t>&lt;lx "di'u (quick-tour version)"&gt;</w:t>
      </w:r>
      <w:r>
        <w:rPr>
          <w:rStyle w:val="indexentry"/>
        </w:rPr>
        <w:fldChar w:fldCharType="begin"/>
      </w:r>
      <w:r>
        <w:instrText>xe "</w:instrText>
      </w:r>
      <w:r>
        <w:rPr>
          <w:rStyle w:val="xeentry"/>
        </w:rPr>
        <w:instrText>di'u: quick-tour version</w:instrText>
      </w:r>
      <w:r>
        <w:instrText>"</w:instrText>
      </w:r>
      <w:r>
        <w:rPr>
          <w:rStyle w:val="indexentry"/>
        </w:rPr>
        <w:fldChar w:fldCharType="end"/>
      </w:r>
      <w:r>
        <w:rPr>
          <w:rStyle w:val="htmlcodes"/>
        </w:rPr>
        <w:t>&lt;pre&gt;&lt;a name=e12d3&gt;</w:t>
      </w:r>
      <w:r>
        <w:t>12.3)</w:t>
      </w:r>
      <w:r>
        <w:tab/>
      </w:r>
      <w:r>
        <w:rPr>
          <w:u w:val="single"/>
        </w:rPr>
        <w:t>di'u</w:t>
      </w:r>
      <w:r>
        <w:t xml:space="preserve"> [cu] </w:t>
      </w:r>
      <w:r>
        <w:rPr>
          <w:u w:val="double"/>
        </w:rPr>
        <w:t>pluka</w:t>
      </w:r>
      <w:r>
        <w:t xml:space="preserve"> </w:t>
      </w:r>
      <w:r>
        <w:rPr>
          <w:u w:val="single"/>
        </w:rPr>
        <w:t>mi</w:t>
      </w:r>
    </w:p>
    <w:p w:rsidR="00B72047" w:rsidRDefault="00B72047">
      <w:pPr>
        <w:pStyle w:val="examplescaled"/>
      </w:pPr>
      <w:r>
        <w:tab/>
        <w:t>This (the last sentence) pleases me (perhaps because it is grammatical</w:t>
      </w:r>
    </w:p>
    <w:p w:rsidR="00B72047" w:rsidRDefault="00B72047">
      <w:pPr>
        <w:pStyle w:val="examplescaled"/>
        <w:ind w:firstLine="576"/>
      </w:pPr>
      <w:r>
        <w:t>or sounds nice).</w:t>
      </w:r>
    </w:p>
    <w:p w:rsidR="00B72047" w:rsidRDefault="00B72047">
      <w:pPr>
        <w:pStyle w:val="examplescaledpre"/>
      </w:pPr>
      <w:r>
        <w:rPr>
          <w:rStyle w:val="htmlcodes"/>
        </w:rPr>
        <w:t>&lt;/pre&gt;</w:t>
      </w:r>
      <w:r>
        <w:rPr>
          <w:rStyle w:val="indexentry"/>
        </w:rPr>
        <w:t>&lt;lx "la'edi'u (quick-tour version)"&gt;</w:t>
      </w:r>
      <w:r>
        <w:rPr>
          <w:rStyle w:val="indexentry"/>
        </w:rPr>
        <w:fldChar w:fldCharType="begin"/>
      </w:r>
      <w:r>
        <w:instrText>xe "</w:instrText>
      </w:r>
      <w:r>
        <w:rPr>
          <w:rStyle w:val="xeentry"/>
        </w:rPr>
        <w:instrText>la'edi'u: quick-tour version</w:instrText>
      </w:r>
      <w:r>
        <w:instrText>"</w:instrText>
      </w:r>
      <w:r>
        <w:rPr>
          <w:rStyle w:val="indexentry"/>
        </w:rPr>
        <w:fldChar w:fldCharType="end"/>
      </w:r>
      <w:r>
        <w:rPr>
          <w:rStyle w:val="htmlcodes"/>
        </w:rPr>
        <w:t>&lt;pre&gt;&lt;a name=e12d4&gt;</w:t>
      </w:r>
      <w:r>
        <w:t>12.4)</w:t>
      </w:r>
      <w:r>
        <w:tab/>
      </w:r>
      <w:r>
        <w:rPr>
          <w:u w:val="single"/>
        </w:rPr>
        <w:t>la'e di'u</w:t>
      </w:r>
      <w:r>
        <w:t xml:space="preserve"> [cu] </w:t>
      </w:r>
      <w:r>
        <w:rPr>
          <w:u w:val="double"/>
        </w:rPr>
        <w:t>pluka</w:t>
      </w:r>
      <w:r>
        <w:t xml:space="preserve"> </w:t>
      </w:r>
      <w:r>
        <w:rPr>
          <w:u w:val="single"/>
        </w:rPr>
        <w:t>mi</w:t>
      </w:r>
    </w:p>
    <w:p w:rsidR="00B72047" w:rsidRDefault="00B72047">
      <w:pPr>
        <w:pStyle w:val="examplescaled"/>
      </w:pPr>
      <w:r>
        <w:tab/>
        <w:t xml:space="preserve">This (the meaning of the last sentence; i.e. that the dog is beautiful) </w:t>
      </w:r>
    </w:p>
    <w:p w:rsidR="00B72047" w:rsidRDefault="00B72047">
      <w:pPr>
        <w:pStyle w:val="examplescaled"/>
        <w:ind w:firstLine="576"/>
      </w:pPr>
      <w:r>
        <w:t>pleases me.</w:t>
      </w:r>
    </w:p>
    <w:p w:rsidR="00B72047" w:rsidRDefault="00B72047">
      <w:pPr>
        <w:pStyle w:val="resumedafterexample"/>
      </w:pPr>
      <w:r>
        <w:rPr>
          <w:rStyle w:val="htmlcodes"/>
        </w:rPr>
        <w:t>&lt;/pre&gt;&lt;a href=#e12d4&gt;</w:t>
      </w:r>
      <w:r>
        <w:t xml:space="preserve">Example 12.4 </w:t>
      </w:r>
      <w:r>
        <w:rPr>
          <w:rStyle w:val="htmlcodes"/>
        </w:rPr>
        <w:t>&lt;/a&gt;</w:t>
      </w:r>
      <w:r>
        <w:t>uses one sumti to point to or refer to another by infer</w:t>
      </w:r>
      <w:r>
        <w:softHyphen/>
        <w:t>ence.</w:t>
      </w:r>
      <w:r>
        <w:rPr>
          <w:rStyle w:val="deletedparamark"/>
        </w:rPr>
        <w:t xml:space="preserve"> </w:t>
      </w:r>
      <w:r>
        <w:t>It is common to write “la'edi'u” as a single word; it is used more often</w:t>
      </w:r>
      <w:r>
        <w:rPr>
          <w:rStyle w:val="deletedparamark"/>
        </w:rPr>
        <w:t xml:space="preserve"> </w:t>
      </w:r>
      <w:r>
        <w:t>than “di'u” by itself.</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90" w:name="_Toc395691477"/>
      <w:bookmarkStart w:id="91" w:name="_Toc395691671"/>
      <w:bookmarkStart w:id="92" w:name="_Toc398970448"/>
      <w:r>
        <w:rPr>
          <w:rStyle w:val="Heading3Text"/>
        </w:rPr>
        <w:t>Possession</w:t>
      </w:r>
      <w:bookmarkEnd w:id="90"/>
      <w:bookmarkEnd w:id="91"/>
      <w:bookmarkEnd w:id="9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"possession (quick-tour version)"&gt;</w:t>
      </w:r>
      <w:r>
        <w:rPr>
          <w:rStyle w:val="indexentry"/>
        </w:rPr>
        <w:fldChar w:fldCharType="begin"/>
      </w:r>
      <w:r>
        <w:instrText>xe "</w:instrText>
      </w:r>
      <w:r>
        <w:rPr>
          <w:rStyle w:val="xeentry"/>
        </w:rPr>
        <w:instrText>possession: quick-tour version</w:instrText>
      </w:r>
      <w:r>
        <w:instrText>"</w:instrText>
      </w:r>
      <w:r>
        <w:rPr>
          <w:rStyle w:val="indexentry"/>
        </w:rPr>
        <w:fldChar w:fldCharType="end"/>
      </w:r>
      <w:r>
        <w:t>“Possession” refers to the concept of specifying an object by saying</w:t>
      </w:r>
      <w:r>
        <w:rPr>
          <w:rStyle w:val="deletedparamark"/>
        </w:rPr>
        <w:t xml:space="preserve"> </w:t>
      </w:r>
      <w:r>
        <w:t>who it be</w:t>
      </w:r>
      <w:r>
        <w:softHyphen/>
        <w:t>longs to (or with). A full explanation of Lojban pos</w:t>
      </w:r>
      <w:r>
        <w:softHyphen/>
        <w:t>session</w:t>
      </w:r>
      <w:r>
        <w:rPr>
          <w:rStyle w:val="deletedparamark"/>
        </w:rPr>
        <w:t xml:space="preserve"> </w:t>
      </w:r>
      <w:r>
        <w:t xml:space="preserve">is given in </w:t>
      </w:r>
      <w:r>
        <w:rPr>
          <w:rStyle w:val="htmlcodes"/>
        </w:rPr>
        <w:t>&lt;a href=chap8.html&gt;</w:t>
      </w:r>
      <w:r>
        <w:t>Chapter 8</w:t>
      </w:r>
      <w:r>
        <w:rPr>
          <w:rStyle w:val="htmlcodes"/>
        </w:rPr>
        <w:t>&lt;/a&gt;</w:t>
      </w:r>
      <w:r>
        <w:t>. A simple means of expressing posses</w:t>
      </w:r>
      <w:r>
        <w:softHyphen/>
        <w:t>sion, however,</w:t>
      </w:r>
      <w:r>
        <w:rPr>
          <w:rStyle w:val="deletedparamark"/>
        </w:rPr>
        <w:t xml:space="preserve"> </w:t>
      </w:r>
      <w:r>
        <w:t>is to place a sumti representing the possessor of an object within the</w:t>
      </w:r>
      <w:r>
        <w:rPr>
          <w:rStyle w:val="deletedparamark"/>
        </w:rPr>
        <w:t xml:space="preserve"> </w:t>
      </w:r>
      <w:r>
        <w:t>description sumti that refers to the object: specifi</w:t>
      </w:r>
      <w:r>
        <w:softHyphen/>
        <w:t>cally, between the</w:t>
      </w:r>
      <w:r>
        <w:rPr>
          <w:rStyle w:val="deletedparamark"/>
        </w:rPr>
        <w:t xml:space="preserve"> “</w:t>
      </w:r>
      <w:r>
        <w:t>le” and the selbri of the description:</w:t>
      </w:r>
    </w:p>
    <w:tbl>
      <w:tblPr>
        <w:tblW w:w="0" w:type="auto"/>
        <w:tblLayout w:type="fixed"/>
        <w:tblCellMar>
          <w:left w:w="0" w:type="dxa"/>
          <w:right w:w="0" w:type="dxa"/>
        </w:tblCellMar>
        <w:tblLook w:val="0000"/>
      </w:tblPr>
      <w:tblGrid>
        <w:gridCol w:w="864"/>
        <w:gridCol w:w="1245"/>
        <w:gridCol w:w="360"/>
        <w:gridCol w:w="846"/>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13.1)</w:t>
            </w:r>
          </w:p>
        </w:tc>
        <w:tc>
          <w:tcPr>
            <w:tcW w:w="124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le mi gerku</w:t>
            </w:r>
          </w:p>
        </w:tc>
        <w:tc>
          <w:tcPr>
            <w:tcW w:w="36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846"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sutra</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12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The of-me dog</w:t>
            </w:r>
          </w:p>
        </w:tc>
        <w:tc>
          <w:tcPr>
            <w:tcW w:w="360" w:type="dxa"/>
          </w:tcPr>
          <w:p w:rsidR="00B72047" w:rsidRDefault="00B72047">
            <w:pPr>
              <w:rPr>
                <w:rStyle w:val="htmlparacode"/>
                <w:rFonts w:ascii="ITC Officina Sans Book" w:hAnsi="ITC Officina Sans Book" w:cs="ITC Officina Sans Book"/>
              </w:rPr>
            </w:pPr>
          </w:p>
        </w:tc>
        <w:tc>
          <w:tcPr>
            <w:tcW w:w="846"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 fast.</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2451" w:type="dxa"/>
            <w:gridSpan w:val="3"/>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My dog is fast.</w:t>
            </w:r>
          </w:p>
          <w:p w:rsidR="00B72047" w:rsidRDefault="00B72047">
            <w:pPr>
              <w:rPr>
                <w:rStyle w:val="htmlparacode"/>
                <w:rFonts w:ascii="ITC Officina Sans Book" w:hAnsi="ITC Officina Sans Book" w:cs="ITC Officina Sans Book"/>
              </w:rPr>
            </w:pPr>
          </w:p>
        </w:tc>
      </w:tr>
    </w:tbl>
    <w:p w:rsidR="00B72047" w:rsidRDefault="00B72047">
      <w:pPr>
        <w:rPr>
          <w:rStyle w:val="htmlparacode"/>
        </w:rPr>
      </w:pPr>
      <w:r>
        <w:rPr>
          <w:rStyle w:val="htmlparacode"/>
        </w:rPr>
        <w:t>&lt;p&gt;</w:t>
      </w:r>
    </w:p>
    <w:p w:rsidR="00B72047" w:rsidRDefault="00B72047">
      <w:pPr>
        <w:pStyle w:val="normalafterexample"/>
      </w:pPr>
      <w:r>
        <w:rPr>
          <w:rStyle w:val="htmlcodes"/>
        </w:rPr>
        <w:t>&lt;/pre&gt;</w:t>
      </w:r>
      <w:r>
        <w:rPr>
          <w:rStyle w:val="indexentry"/>
        </w:rPr>
        <w:t>&lt;cx "possession not ownership (quick-tour version)"&gt;</w:t>
      </w:r>
      <w:r>
        <w:rPr>
          <w:rStyle w:val="indexentry"/>
        </w:rPr>
        <w:fldChar w:fldCharType="begin"/>
      </w:r>
      <w:r>
        <w:instrText>xe "</w:instrText>
      </w:r>
      <w:r>
        <w:rPr>
          <w:rStyle w:val="xeentry"/>
        </w:rPr>
        <w:instrText>possession not ownership: quick-tour version</w:instrText>
      </w:r>
      <w:r>
        <w:instrText>"</w:instrText>
      </w:r>
      <w:r>
        <w:rPr>
          <w:rStyle w:val="indexentry"/>
        </w:rPr>
        <w:fldChar w:fldCharType="end"/>
      </w:r>
      <w:r>
        <w:t>In Lojban, possession doesn't necessarily mean ownership: one may</w:t>
      </w:r>
      <w:r>
        <w:rPr>
          <w:rStyle w:val="deletedparamark"/>
        </w:rPr>
        <w:t xml:space="preserve"> “</w:t>
      </w:r>
      <w:r>
        <w:t>possess” a chair simply by sitting on it, even though it ac</w:t>
      </w:r>
      <w:r>
        <w:softHyphen/>
        <w:t>tually</w:t>
      </w:r>
      <w:r>
        <w:rPr>
          <w:rStyle w:val="deletedparamark"/>
        </w:rPr>
        <w:t xml:space="preserve"> </w:t>
      </w:r>
      <w:r>
        <w:t>belongs to someone else. English uses pos</w:t>
      </w:r>
      <w:r>
        <w:softHyphen/>
        <w:t>session casually in the</w:t>
      </w:r>
      <w:r>
        <w:rPr>
          <w:rStyle w:val="deletedparamark"/>
        </w:rPr>
        <w:t xml:space="preserve"> </w:t>
      </w:r>
      <w:r>
        <w:t>same way, but also uses it to refer to actual ownership or even</w:t>
      </w:r>
      <w:r>
        <w:rPr>
          <w:rStyle w:val="deletedparamark"/>
        </w:rPr>
        <w:t xml:space="preserve"> </w:t>
      </w:r>
      <w:r>
        <w:t>more intimate relationships: “my arm” doesn't mean “some arm I own”</w:t>
      </w:r>
      <w:r>
        <w:rPr>
          <w:rStyle w:val="deletedparamark"/>
        </w:rPr>
        <w:t xml:space="preserve"> </w:t>
      </w:r>
      <w:r>
        <w:t>but rather “the arm that is part of my body”. Lojban has meth</w:t>
      </w:r>
      <w:r>
        <w:softHyphen/>
        <w:t>ods</w:t>
      </w:r>
      <w:r>
        <w:rPr>
          <w:rStyle w:val="deletedparamark"/>
        </w:rPr>
        <w:t xml:space="preserve"> </w:t>
      </w:r>
      <w:r>
        <w:t>of specifying all these different kinds of possession precisely and</w:t>
      </w:r>
      <w:r>
        <w:rPr>
          <w:rStyle w:val="deletedparamark"/>
        </w:rPr>
        <w:t xml:space="preserve"> </w:t>
      </w:r>
      <w:r>
        <w:t>easily.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93" w:name="_Toc395691478"/>
      <w:bookmarkStart w:id="94" w:name="_Toc395691672"/>
      <w:bookmarkStart w:id="95" w:name="_Toc398970449"/>
      <w:r>
        <w:rPr>
          <w:rStyle w:val="Heading3Text"/>
        </w:rPr>
        <w:t>Vocatives and commands</w:t>
      </w:r>
      <w:bookmarkEnd w:id="93"/>
      <w:bookmarkEnd w:id="94"/>
      <w:bookmarkEnd w:id="95"/>
      <w:r>
        <w:rPr>
          <w:rStyle w:val="htmlcodes"/>
        </w:rPr>
        <w:t>&lt;/h3&gt;</w:t>
      </w:r>
    </w:p>
    <w:p w:rsidR="00B72047" w:rsidRDefault="00B72047">
      <w:pPr>
        <w:rPr>
          <w:rStyle w:val="htmlparacode"/>
        </w:rPr>
      </w:pPr>
      <w:r>
        <w:rPr>
          <w:rStyle w:val="htmlparacode"/>
        </w:rPr>
        <w:t>&lt;p&gt;</w:t>
      </w:r>
    </w:p>
    <w:p w:rsidR="00B72047" w:rsidRDefault="00B72047">
      <w:pPr>
        <w:pStyle w:val="normalafterexample"/>
      </w:pPr>
      <w:r>
        <w:rPr>
          <w:rStyle w:val="indexentry"/>
        </w:rPr>
        <w:t>&lt;cx "vocatives (quick-tour version)"&gt;</w:t>
      </w:r>
      <w:r>
        <w:rPr>
          <w:rStyle w:val="indexentry"/>
        </w:rPr>
        <w:fldChar w:fldCharType="begin"/>
      </w:r>
      <w:r>
        <w:instrText>xe "</w:instrText>
      </w:r>
      <w:r>
        <w:rPr>
          <w:rStyle w:val="xeentry"/>
        </w:rPr>
        <w:instrText>vocatives: quick-tour version</w:instrText>
      </w:r>
      <w:r>
        <w:instrText>"</w:instrText>
      </w:r>
      <w:r>
        <w:rPr>
          <w:rStyle w:val="indexentry"/>
        </w:rPr>
        <w:fldChar w:fldCharType="end"/>
      </w:r>
      <w:r>
        <w:rPr>
          <w:rStyle w:val="indexentry"/>
        </w:rPr>
        <w:t>&lt;lx "doi (quick-tour version)"&gt;</w:t>
      </w:r>
      <w:r>
        <w:rPr>
          <w:rStyle w:val="indexentry"/>
        </w:rPr>
        <w:fldChar w:fldCharType="begin"/>
      </w:r>
      <w:r>
        <w:instrText>xe "</w:instrText>
      </w:r>
      <w:r>
        <w:rPr>
          <w:rStyle w:val="xeentry"/>
        </w:rPr>
        <w:instrText>doi: quick-tour version</w:instrText>
      </w:r>
      <w:r>
        <w:instrText>"</w:instrText>
      </w:r>
      <w:r>
        <w:rPr>
          <w:rStyle w:val="indexentry"/>
        </w:rPr>
        <w:fldChar w:fldCharType="end"/>
      </w:r>
      <w:r>
        <w:rPr>
          <w:rStyle w:val="indexentry"/>
        </w:rPr>
        <w:t>&lt;lx "DOI (quick-tour version)"&gt;</w:t>
      </w:r>
      <w:r>
        <w:rPr>
          <w:rStyle w:val="indexentry"/>
        </w:rPr>
        <w:fldChar w:fldCharType="begin"/>
      </w:r>
      <w:r>
        <w:instrText>xe "</w:instrText>
      </w:r>
      <w:r>
        <w:rPr>
          <w:rStyle w:val="xeentry"/>
        </w:rPr>
        <w:instrText>DOI selma’o: quick-tour version</w:instrText>
      </w:r>
      <w:r>
        <w:instrText>"</w:instrText>
      </w:r>
      <w:r>
        <w:rPr>
          <w:rStyle w:val="indexentry"/>
        </w:rPr>
        <w:fldChar w:fldCharType="end"/>
      </w:r>
      <w:r>
        <w:t>You may call someone's attention to the fact that you are ad</w:t>
      </w:r>
      <w:r>
        <w:softHyphen/>
        <w:t>dressing</w:t>
      </w:r>
      <w:r>
        <w:rPr>
          <w:rStyle w:val="deletedparamark"/>
        </w:rPr>
        <w:t xml:space="preserve"> </w:t>
      </w:r>
      <w:r>
        <w:t>them by using “doi” followed by their name. The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name=e14d1&gt;</w:t>
      </w:r>
      <w:r>
        <w:t>14.1)</w:t>
      </w:r>
      <w:r>
        <w:tab/>
        <w:t>doi djan.</w:t>
      </w:r>
    </w:p>
    <w:p w:rsidR="00B72047" w:rsidRDefault="00B72047">
      <w:pPr>
        <w:pStyle w:val="resumedafterexample"/>
      </w:pPr>
      <w:r>
        <w:rPr>
          <w:rStyle w:val="htmlcodes"/>
        </w:rPr>
        <w:t>&lt;/pre&gt;</w:t>
      </w:r>
      <w:r>
        <w:t>means “Oh, John, I'm talking to you”. It also has the effect of setting the</w:t>
      </w:r>
      <w:r>
        <w:rPr>
          <w:rStyle w:val="deletedparamark"/>
        </w:rPr>
        <w:t xml:space="preserve"> </w:t>
      </w:r>
      <w:r>
        <w:t>value of “do”; “do” now refers to “John” until it is changed in some way in</w:t>
      </w:r>
      <w:r>
        <w:rPr>
          <w:rStyle w:val="deletedparamark"/>
        </w:rPr>
        <w:t xml:space="preserve"> </w:t>
      </w:r>
      <w:r>
        <w:t xml:space="preserve">the conversation. Note that </w:t>
      </w:r>
      <w:r>
        <w:rPr>
          <w:rStyle w:val="htmlcodes"/>
        </w:rPr>
        <w:t>&lt;a href=#e14d1&gt;</w:t>
      </w:r>
      <w:r>
        <w:t xml:space="preserve">Example 14.1 </w:t>
      </w:r>
      <w:r>
        <w:rPr>
          <w:rStyle w:val="htmlcodes"/>
        </w:rPr>
        <w:t>&lt;/a&gt;</w:t>
      </w:r>
      <w:r>
        <w:t>is not a bridi, but it is a</w:t>
      </w:r>
      <w:r>
        <w:rPr>
          <w:rStyle w:val="deletedparamark"/>
        </w:rPr>
        <w:t xml:space="preserve"> </w:t>
      </w:r>
      <w:r>
        <w:t>legitimate Lojban sentence nevertheless; it is known as a “vocative phrase”.</w:t>
      </w:r>
    </w:p>
    <w:p w:rsidR="00B72047" w:rsidRDefault="00B72047">
      <w:pPr>
        <w:rPr>
          <w:rStyle w:val="htmlparacode"/>
        </w:rPr>
      </w:pPr>
      <w:r>
        <w:rPr>
          <w:rStyle w:val="htmlparacode"/>
        </w:rPr>
        <w:t>&lt;p&gt;</w:t>
      </w:r>
    </w:p>
    <w:p w:rsidR="00B72047" w:rsidRDefault="00B72047">
      <w:pPr>
        <w:pStyle w:val="normalparagraph"/>
      </w:pPr>
      <w:r>
        <w:rPr>
          <w:rStyle w:val="indexentry"/>
        </w:rPr>
        <w:t>&lt;lx "coi (quick-tour version)"&gt;</w:t>
      </w:r>
      <w:r>
        <w:rPr>
          <w:rStyle w:val="indexentry"/>
        </w:rPr>
        <w:fldChar w:fldCharType="begin"/>
      </w:r>
      <w:r>
        <w:instrText>xe "</w:instrText>
      </w:r>
      <w:r>
        <w:rPr>
          <w:rStyle w:val="xeentry"/>
        </w:rPr>
        <w:instrText>coi: quick-tour version</w:instrText>
      </w:r>
      <w:r>
        <w:instrText>"</w:instrText>
      </w:r>
      <w:r>
        <w:rPr>
          <w:rStyle w:val="indexentry"/>
        </w:rPr>
        <w:fldChar w:fldCharType="end"/>
      </w:r>
      <w:r>
        <w:rPr>
          <w:rStyle w:val="indexentry"/>
        </w:rPr>
        <w:t>&lt;lx "co'o (quick-tour version)"&gt;</w:t>
      </w:r>
      <w:r>
        <w:rPr>
          <w:rStyle w:val="indexentry"/>
        </w:rPr>
        <w:fldChar w:fldCharType="begin"/>
      </w:r>
      <w:r>
        <w:instrText>xe "</w:instrText>
      </w:r>
      <w:r>
        <w:rPr>
          <w:rStyle w:val="xeentry"/>
        </w:rPr>
        <w:instrText>co'o: quick-tour version</w:instrText>
      </w:r>
      <w:r>
        <w:instrText>"</w:instrText>
      </w:r>
      <w:r>
        <w:rPr>
          <w:rStyle w:val="indexentry"/>
        </w:rPr>
        <w:fldChar w:fldCharType="end"/>
      </w:r>
      <w:r>
        <w:t>Other cmavo can be used instead of “doi” in a vocative phrase, with a</w:t>
      </w:r>
      <w:r>
        <w:rPr>
          <w:rStyle w:val="deletedparamark"/>
        </w:rPr>
        <w:t xml:space="preserve"> </w:t>
      </w:r>
      <w:r>
        <w:t>different sig</w:t>
      </w:r>
      <w:r>
        <w:softHyphen/>
        <w:t>nificance. For example, the cmavo “coi” means “hello” and</w:t>
      </w:r>
      <w:r>
        <w:rPr>
          <w:rStyle w:val="deletedparamark"/>
        </w:rPr>
        <w:t xml:space="preserve"> “</w:t>
      </w:r>
      <w:r>
        <w:t>co'o” means “good-bye”. Either word may stand alone, they may follow one</w:t>
      </w:r>
      <w:r>
        <w:rPr>
          <w:rStyle w:val="deletedparamark"/>
        </w:rPr>
        <w:t xml:space="preserve"> </w:t>
      </w:r>
      <w:r>
        <w:t>another, or either may be fol</w:t>
      </w:r>
      <w:r>
        <w:softHyphen/>
        <w:t>lowed by a pause and a name. (Vocative</w:t>
      </w:r>
      <w:r>
        <w:rPr>
          <w:rStyle w:val="deletedparamark"/>
        </w:rPr>
        <w:t xml:space="preserve"> </w:t>
      </w:r>
      <w:r>
        <w:t>phrases with “doi” do not need a pause before the name.)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name=e14d2&gt;</w:t>
      </w:r>
      <w:r>
        <w:t>14.2)</w:t>
      </w:r>
      <w:r>
        <w:tab/>
        <w:t>coi. djan.</w:t>
      </w:r>
    </w:p>
    <w:p w:rsidR="00B72047" w:rsidRDefault="00B72047">
      <w:pPr>
        <w:pStyle w:val="examplescaled"/>
      </w:pPr>
      <w:r>
        <w:tab/>
        <w:t>Hello, John.</w:t>
      </w:r>
    </w:p>
    <w:p w:rsidR="00B72047" w:rsidRDefault="00B72047">
      <w:pPr>
        <w:pStyle w:val="examplescaledpre"/>
      </w:pPr>
      <w:r>
        <w:rPr>
          <w:rStyle w:val="htmlcodes"/>
        </w:rPr>
        <w:t>&lt;a name=e14d3&gt;</w:t>
      </w:r>
      <w:r>
        <w:t>14.3)</w:t>
      </w:r>
      <w:r>
        <w:tab/>
        <w:t>co'o. djan.</w:t>
      </w:r>
    </w:p>
    <w:p w:rsidR="00B72047" w:rsidRDefault="00B72047">
      <w:pPr>
        <w:pStyle w:val="examplescaled"/>
      </w:pPr>
      <w:r>
        <w:tab/>
        <w:t>Good-bye, John.</w:t>
      </w:r>
    </w:p>
    <w:p w:rsidR="00B72047" w:rsidRDefault="00B72047">
      <w:pPr>
        <w:pStyle w:val="normalafterexample"/>
      </w:pPr>
      <w:r>
        <w:rPr>
          <w:rStyle w:val="htmlcodes"/>
        </w:rPr>
        <w:t>&lt;/pre&gt;</w:t>
      </w:r>
      <w:r>
        <w:rPr>
          <w:rStyle w:val="indexentry"/>
        </w:rPr>
        <w:t>&lt;cx "commands (quick-tour version)"&gt;</w:t>
      </w:r>
      <w:r>
        <w:rPr>
          <w:rStyle w:val="indexentry"/>
        </w:rPr>
        <w:fldChar w:fldCharType="begin"/>
      </w:r>
      <w:r>
        <w:instrText>xe "</w:instrText>
      </w:r>
      <w:r>
        <w:rPr>
          <w:rStyle w:val="xeentry"/>
        </w:rPr>
        <w:instrText>commands: quick-tour version</w:instrText>
      </w:r>
      <w:r>
        <w:instrText>"</w:instrText>
      </w:r>
      <w:r>
        <w:rPr>
          <w:rStyle w:val="indexentry"/>
        </w:rPr>
        <w:fldChar w:fldCharType="end"/>
      </w:r>
      <w:r>
        <w:rPr>
          <w:rStyle w:val="indexentry"/>
        </w:rPr>
        <w:t>&lt;cx "imperatives (quick-tour version)"&gt;</w:t>
      </w:r>
      <w:r>
        <w:rPr>
          <w:rStyle w:val="indexentry"/>
        </w:rPr>
        <w:fldChar w:fldCharType="begin"/>
      </w:r>
      <w:r>
        <w:instrText>xe "</w:instrText>
      </w:r>
      <w:r>
        <w:rPr>
          <w:rStyle w:val="xeentry"/>
        </w:rPr>
        <w:instrText>imperatives: quick-tour version</w:instrText>
      </w:r>
      <w:r>
        <w:instrText>"</w:instrText>
      </w:r>
      <w:r>
        <w:rPr>
          <w:rStyle w:val="indexentry"/>
        </w:rPr>
        <w:fldChar w:fldCharType="end"/>
      </w:r>
      <w:r>
        <w:t>Commands are expressed in Lojban by a simple variation of the main</w:t>
      </w:r>
      <w:r>
        <w:rPr>
          <w:rStyle w:val="deletedparamark"/>
        </w:rPr>
        <w:t xml:space="preserve"> </w:t>
      </w:r>
      <w:r>
        <w:t>bridi struc</w:t>
      </w:r>
      <w:r>
        <w:softHyphen/>
        <w:t>ture. If you say</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name=e14d4&gt;</w:t>
      </w:r>
      <w:r>
        <w:t>14.4)</w:t>
      </w:r>
      <w:r>
        <w:tab/>
      </w:r>
      <w:r>
        <w:rPr>
          <w:u w:val="single"/>
        </w:rPr>
        <w:t>do</w:t>
      </w:r>
      <w:r>
        <w:t xml:space="preserve"> </w:t>
      </w:r>
      <w:r>
        <w:rPr>
          <w:u w:val="double"/>
        </w:rPr>
        <w:t>tavla</w:t>
      </w:r>
    </w:p>
    <w:p w:rsidR="00B72047" w:rsidRDefault="00B72047">
      <w:pPr>
        <w:pStyle w:val="examplescaled"/>
      </w:pPr>
      <w:r>
        <w:tab/>
        <w:t>You are-talking.</w:t>
      </w:r>
    </w:p>
    <w:p w:rsidR="00B72047" w:rsidRDefault="00B72047">
      <w:pPr>
        <w:pStyle w:val="resumedafterexample"/>
      </w:pPr>
      <w:r>
        <w:rPr>
          <w:rStyle w:val="htmlcodes"/>
        </w:rPr>
        <w:t>&lt;/pre&gt;</w:t>
      </w:r>
      <w:r>
        <w:t>you are simply making a statement of fact. In order to issue a com</w:t>
      </w:r>
      <w:r>
        <w:softHyphen/>
        <w:t>mand</w:t>
      </w:r>
      <w:r>
        <w:rPr>
          <w:rStyle w:val="deletedparamark"/>
        </w:rPr>
        <w:t xml:space="preserve"> </w:t>
      </w:r>
      <w:r>
        <w:t>in Lojban, sub</w:t>
      </w:r>
      <w:r>
        <w:softHyphen/>
        <w:t>stitute the word “ko” for “do”. The bridi</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&lt;ex "Talk!"&gt;</w:t>
      </w:r>
      <w:r>
        <w:rPr>
          <w:rStyle w:val="indexentry"/>
        </w:rPr>
        <w:fldChar w:fldCharType="begin"/>
      </w:r>
      <w:r>
        <w:instrText>xe "</w:instrText>
      </w:r>
      <w:r>
        <w:rPr>
          <w:rStyle w:val="xeentry"/>
        </w:rPr>
        <w:instrText>Talk!: example</w:instrText>
      </w:r>
      <w:r>
        <w:instrText>"</w:instrText>
      </w:r>
      <w:r>
        <w:rPr>
          <w:rStyle w:val="indexentry"/>
        </w:rPr>
        <w:fldChar w:fldCharType="end"/>
      </w:r>
      <w:r>
        <w:rPr>
          <w:rStyle w:val="indexentry"/>
        </w:rPr>
        <w:t>&lt;lx "ko (quick-tour version)"&gt;</w:t>
      </w:r>
      <w:r>
        <w:rPr>
          <w:rStyle w:val="indexentry"/>
        </w:rPr>
        <w:fldChar w:fldCharType="begin"/>
      </w:r>
      <w:r>
        <w:instrText>xe "</w:instrText>
      </w:r>
      <w:r>
        <w:rPr>
          <w:rStyle w:val="xeentry"/>
        </w:rPr>
        <w:instrText>ko: quick-tour version</w:instrText>
      </w:r>
      <w:r>
        <w:instrText>"</w:instrText>
      </w:r>
      <w:r>
        <w:rPr>
          <w:rStyle w:val="indexentry"/>
        </w:rPr>
        <w:fldChar w:fldCharType="end"/>
      </w:r>
      <w:r>
        <w:rPr>
          <w:rStyle w:val="htmlcodes"/>
        </w:rPr>
        <w:t>&lt;pre&gt;&lt;a name=e14d5&gt;</w:t>
      </w:r>
      <w:r>
        <w:t>14.5)</w:t>
      </w:r>
      <w:r>
        <w:tab/>
      </w:r>
      <w:r>
        <w:rPr>
          <w:u w:val="single"/>
        </w:rPr>
        <w:t>ko</w:t>
      </w:r>
      <w:r>
        <w:t xml:space="preserve"> </w:t>
      </w:r>
      <w:r>
        <w:rPr>
          <w:u w:val="double"/>
        </w:rPr>
        <w:t>tavla</w:t>
      </w:r>
    </w:p>
    <w:p w:rsidR="00B72047" w:rsidRDefault="00B72047">
      <w:pPr>
        <w:pStyle w:val="resumedafterexample"/>
      </w:pPr>
      <w:r>
        <w:rPr>
          <w:rStyle w:val="htmlcodes"/>
        </w:rPr>
        <w:t>&lt;/pre&gt;</w:t>
      </w:r>
      <w:r>
        <w:t xml:space="preserve">instructs the listener to do whatever is necessary to make </w:t>
      </w:r>
      <w:r>
        <w:rPr>
          <w:rStyle w:val="htmlcodes"/>
        </w:rPr>
        <w:t>&lt;a href=#e14d4&gt;</w:t>
      </w:r>
      <w:r>
        <w:t>Example 14.4 true;</w:t>
      </w:r>
      <w:r>
        <w:rPr>
          <w:rStyle w:val="deletedparamark"/>
        </w:rPr>
        <w:t xml:space="preserve"> </w:t>
      </w:r>
      <w:r>
        <w:t>it means “Talk!”  Other examples: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name=e14d6&gt;</w:t>
      </w:r>
      <w:r>
        <w:t>14.6)</w:t>
      </w:r>
      <w:r>
        <w:tab/>
      </w:r>
      <w:r>
        <w:rPr>
          <w:u w:val="single"/>
        </w:rPr>
        <w:t>ko</w:t>
      </w:r>
      <w:r>
        <w:t xml:space="preserve"> </w:t>
      </w:r>
      <w:r>
        <w:rPr>
          <w:u w:val="double"/>
        </w:rPr>
        <w:t>sutra</w:t>
      </w:r>
    </w:p>
    <w:p w:rsidR="00B72047" w:rsidRDefault="00B72047">
      <w:pPr>
        <w:pStyle w:val="examplescaled"/>
      </w:pPr>
      <w:r>
        <w:tab/>
        <w:t>Be fast!</w:t>
      </w:r>
    </w:p>
    <w:p w:rsidR="00B72047" w:rsidRDefault="00B72047">
      <w:pPr>
        <w:pStyle w:val="resumedafterexample"/>
      </w:pPr>
      <w:r>
        <w:rPr>
          <w:rStyle w:val="htmlcodes"/>
        </w:rPr>
        <w:t>&lt;/pre&gt;&lt;p&gt;</w:t>
      </w:r>
      <w:r>
        <w:t>The “ko” need not be in the x1 place, but rather can occur anywhere a</w:t>
      </w:r>
      <w:r>
        <w:rPr>
          <w:rStyle w:val="deletedparamark"/>
        </w:rPr>
        <w:t xml:space="preserve"> </w:t>
      </w:r>
      <w:r>
        <w:t>sumti is allowed, leading to possible Lojban commands that are very unlike</w:t>
      </w:r>
      <w:r>
        <w:rPr>
          <w:rStyle w:val="deletedparamark"/>
        </w:rPr>
        <w:t xml:space="preserve"> </w:t>
      </w:r>
      <w:r>
        <w:t>English commands: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name=e14d7&gt;</w:t>
      </w:r>
      <w:r>
        <w:t>14.7)</w:t>
      </w:r>
      <w:r>
        <w:tab/>
      </w:r>
      <w:r>
        <w:rPr>
          <w:u w:val="single"/>
        </w:rPr>
        <w:t>mi</w:t>
      </w:r>
      <w:r>
        <w:t xml:space="preserve"> </w:t>
      </w:r>
      <w:r>
        <w:rPr>
          <w:u w:val="double"/>
        </w:rPr>
        <w:t>tavla</w:t>
      </w:r>
      <w:r>
        <w:t xml:space="preserve"> </w:t>
      </w:r>
      <w:r>
        <w:rPr>
          <w:u w:val="single"/>
        </w:rPr>
        <w:t>ko</w:t>
      </w:r>
    </w:p>
    <w:p w:rsidR="00B72047" w:rsidRDefault="00B72047">
      <w:pPr>
        <w:pStyle w:val="examplescaled"/>
      </w:pPr>
      <w:r>
        <w:tab/>
        <w:t>Be talked to by me.</w:t>
      </w:r>
    </w:p>
    <w:p w:rsidR="00B72047" w:rsidRDefault="00B72047">
      <w:pPr>
        <w:pStyle w:val="examplescaled"/>
      </w:pPr>
      <w:r>
        <w:tab/>
        <w:t>Let me talk to you.</w:t>
      </w:r>
    </w:p>
    <w:p w:rsidR="00B72047" w:rsidRDefault="00B72047">
      <w:pPr>
        <w:pStyle w:val="resumedafterexample"/>
      </w:pPr>
      <w:r>
        <w:rPr>
          <w:rStyle w:val="htmlcodes"/>
        </w:rPr>
        <w:t>&lt;/pre&gt;&lt;p&gt;</w:t>
      </w:r>
      <w:r>
        <w:t>The cmavo “ko” can fill any appropriate sumti place, and can be used as often</w:t>
      </w:r>
      <w:r>
        <w:rPr>
          <w:rStyle w:val="deletedparamark"/>
        </w:rPr>
        <w:t xml:space="preserve"> </w:t>
      </w:r>
      <w:r>
        <w:t>as is ap</w:t>
      </w:r>
      <w:r>
        <w:softHyphen/>
        <w:t>propriate for the selbri:</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name=e14d8&gt;</w:t>
      </w:r>
      <w:r>
        <w:t>14.8)</w:t>
      </w:r>
      <w:r>
        <w:tab/>
      </w:r>
      <w:r>
        <w:rPr>
          <w:u w:val="single"/>
        </w:rPr>
        <w:t>ko</w:t>
      </w:r>
      <w:r>
        <w:t xml:space="preserve"> </w:t>
      </w:r>
      <w:r>
        <w:rPr>
          <w:u w:val="double"/>
        </w:rPr>
        <w:t>kurji</w:t>
      </w:r>
      <w:r>
        <w:t xml:space="preserve"> </w:t>
      </w:r>
      <w:r>
        <w:rPr>
          <w:u w:val="single"/>
        </w:rPr>
        <w:t>ko</w:t>
      </w:r>
    </w:p>
    <w:p w:rsidR="00B72047" w:rsidRDefault="00B72047">
      <w:pPr>
        <w:pStyle w:val="resumedafterexample"/>
      </w:pPr>
      <w:r>
        <w:rPr>
          <w:rStyle w:val="htmlcodes"/>
        </w:rPr>
        <w:t>&lt;/pre&gt;</w:t>
      </w:r>
      <w:r>
        <w:t>and</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&lt;ex "Take care!"&gt;</w:t>
      </w:r>
      <w:r>
        <w:rPr>
          <w:rStyle w:val="indexentry"/>
        </w:rPr>
        <w:fldChar w:fldCharType="begin"/>
      </w:r>
      <w:r>
        <w:instrText>xe "</w:instrText>
      </w:r>
      <w:r>
        <w:rPr>
          <w:rStyle w:val="xeentry"/>
        </w:rPr>
        <w:instrText>Take care!: example</w:instrText>
      </w:r>
      <w:r>
        <w:instrText>"</w:instrText>
      </w:r>
      <w:r>
        <w:rPr>
          <w:rStyle w:val="indexentry"/>
        </w:rPr>
        <w:fldChar w:fldCharType="end"/>
      </w:r>
      <w:r>
        <w:rPr>
          <w:rStyle w:val="htmlcodes"/>
        </w:rPr>
        <w:t>&lt;pre&gt;&lt;a name=e14d9&gt;</w:t>
      </w:r>
      <w:r>
        <w:t>14.9)</w:t>
      </w:r>
      <w:r>
        <w:tab/>
      </w:r>
      <w:r>
        <w:rPr>
          <w:u w:val="single"/>
        </w:rPr>
        <w:t>ko</w:t>
      </w:r>
      <w:r>
        <w:t xml:space="preserve"> </w:t>
      </w:r>
      <w:r>
        <w:rPr>
          <w:u w:val="single"/>
        </w:rPr>
        <w:t>ko</w:t>
      </w:r>
      <w:r>
        <w:t xml:space="preserve"> </w:t>
      </w:r>
      <w:r>
        <w:rPr>
          <w:u w:val="double"/>
        </w:rPr>
        <w:t>kurji</w:t>
      </w:r>
    </w:p>
    <w:p w:rsidR="00B72047" w:rsidRDefault="00B72047">
      <w:pPr>
        <w:pStyle w:val="resumedafterexample"/>
      </w:pPr>
      <w:r>
        <w:rPr>
          <w:rStyle w:val="htmlcodes"/>
        </w:rPr>
        <w:t>&lt;/pre&gt;</w:t>
      </w:r>
      <w:r>
        <w:t>both mean “You take care of you” and “Be taken care of by you”, or to put it</w:t>
      </w:r>
      <w:r>
        <w:rPr>
          <w:rStyle w:val="deletedparamark"/>
        </w:rPr>
        <w:t xml:space="preserve"> </w:t>
      </w:r>
      <w:r>
        <w:t>colloqui</w:t>
      </w:r>
      <w:r>
        <w:softHyphen/>
        <w:t>ally, “Take care of yourself”.</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96" w:name="_Toc395691479"/>
      <w:bookmarkStart w:id="97" w:name="_Toc395691673"/>
      <w:bookmarkStart w:id="98" w:name="_Toc398970450"/>
      <w:r>
        <w:rPr>
          <w:rStyle w:val="Heading3Text"/>
        </w:rPr>
        <w:t>Questions</w:t>
      </w:r>
      <w:bookmarkEnd w:id="96"/>
      <w:bookmarkEnd w:id="97"/>
      <w:bookmarkEnd w:id="9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"questions (quick-tour version)"&gt;</w:t>
      </w:r>
      <w:r>
        <w:rPr>
          <w:rStyle w:val="indexentry"/>
        </w:rPr>
        <w:fldChar w:fldCharType="begin"/>
      </w:r>
      <w:r>
        <w:instrText>xe "</w:instrText>
      </w:r>
      <w:r>
        <w:rPr>
          <w:rStyle w:val="xeentry"/>
        </w:rPr>
        <w:instrText>questions: quick-tour version</w:instrText>
      </w:r>
      <w:r>
        <w:instrText>"</w:instrText>
      </w:r>
      <w:r>
        <w:rPr>
          <w:rStyle w:val="indexentry"/>
        </w:rPr>
        <w:fldChar w:fldCharType="end"/>
      </w:r>
      <w:r>
        <w:t>There are many kinds of questions in Lojban: full explana</w:t>
      </w:r>
      <w:r>
        <w:softHyphen/>
        <w:t>tions appear in</w:t>
      </w:r>
      <w:r>
        <w:rPr>
          <w:rStyle w:val="deletedparamark"/>
        </w:rPr>
        <w:t xml:space="preserve"> </w:t>
      </w:r>
      <w:r>
        <w:rPr>
          <w:rStyle w:val="htmlcodes"/>
        </w:rPr>
        <w:t>&lt;a href=chap19.html&gt;</w:t>
      </w:r>
      <w:r>
        <w:t xml:space="preserve">Chapter 19 </w:t>
      </w:r>
      <w:r>
        <w:rPr>
          <w:rStyle w:val="htmlcodes"/>
        </w:rPr>
        <w:t>&lt;/a&gt;</w:t>
      </w:r>
      <w:r>
        <w:t>and in various other chapters throughout the book. In this</w:t>
      </w:r>
      <w:r>
        <w:rPr>
          <w:rStyle w:val="deletedparamark"/>
        </w:rPr>
        <w:t xml:space="preserve"> </w:t>
      </w:r>
      <w:r>
        <w:t>chapter, we will introduce three kinds: sumti ques</w:t>
      </w:r>
      <w:r>
        <w:softHyphen/>
        <w:t>tions, selbri questions,</w:t>
      </w:r>
      <w:r>
        <w:rPr>
          <w:rStyle w:val="deletedparamark"/>
        </w:rPr>
        <w:t xml:space="preserve"> </w:t>
      </w:r>
      <w:r>
        <w:t>and yes/no questions.</w:t>
      </w:r>
    </w:p>
    <w:p w:rsidR="00B72047" w:rsidRDefault="00B72047">
      <w:pPr>
        <w:rPr>
          <w:rStyle w:val="htmlparacode"/>
        </w:rPr>
      </w:pPr>
      <w:r>
        <w:rPr>
          <w:rStyle w:val="htmlparacode"/>
        </w:rPr>
        <w:t>&lt;p&gt;</w:t>
      </w:r>
    </w:p>
    <w:p w:rsidR="00B72047" w:rsidRDefault="00B72047">
      <w:pPr>
        <w:pStyle w:val="normalparagraph"/>
      </w:pPr>
      <w:r>
        <w:rPr>
          <w:rStyle w:val="indexentry"/>
        </w:rPr>
        <w:t>&lt;cx "questions (quick-tour version)"&gt;</w:t>
      </w:r>
      <w:r>
        <w:rPr>
          <w:rStyle w:val="indexentry"/>
        </w:rPr>
        <w:fldChar w:fldCharType="begin"/>
      </w:r>
      <w:r>
        <w:instrText>xe "</w:instrText>
      </w:r>
      <w:r>
        <w:rPr>
          <w:rStyle w:val="xeentry"/>
        </w:rPr>
        <w:instrText>questions: quick-tour version</w:instrText>
      </w:r>
      <w:r>
        <w:instrText>"</w:instrText>
      </w:r>
      <w:r>
        <w:rPr>
          <w:rStyle w:val="indexentry"/>
        </w:rPr>
        <w:fldChar w:fldCharType="end"/>
      </w:r>
      <w:r>
        <w:rPr>
          <w:rStyle w:val="indexentry"/>
        </w:rPr>
        <w:t>&lt;cx "sumti questions (quick-tour version)"&gt;</w:t>
      </w:r>
      <w:r>
        <w:rPr>
          <w:rStyle w:val="indexentry"/>
        </w:rPr>
        <w:fldChar w:fldCharType="begin"/>
      </w:r>
      <w:r>
        <w:instrText>xe "</w:instrText>
      </w:r>
      <w:r>
        <w:rPr>
          <w:rStyle w:val="xeentry"/>
        </w:rPr>
        <w:instrText>sumti questions: quick-tour version</w:instrText>
      </w:r>
      <w:r>
        <w:instrText>"</w:instrText>
      </w:r>
      <w:r>
        <w:rPr>
          <w:rStyle w:val="indexentry"/>
        </w:rPr>
        <w:fldChar w:fldCharType="end"/>
      </w:r>
      <w:r>
        <w:rPr>
          <w:rStyle w:val="indexentry"/>
        </w:rPr>
        <w:t>&lt;lx "ma (quick-tour version)"&gt;</w:t>
      </w:r>
      <w:r>
        <w:rPr>
          <w:rStyle w:val="indexentry"/>
        </w:rPr>
        <w:fldChar w:fldCharType="begin"/>
      </w:r>
      <w:r>
        <w:instrText>xe "</w:instrText>
      </w:r>
      <w:r>
        <w:rPr>
          <w:rStyle w:val="xeentry"/>
        </w:rPr>
        <w:instrText>ma: quick-tour version</w:instrText>
      </w:r>
      <w:r>
        <w:instrText>"</w:instrText>
      </w:r>
      <w:r>
        <w:rPr>
          <w:rStyle w:val="indexentry"/>
        </w:rPr>
        <w:fldChar w:fldCharType="end"/>
      </w:r>
      <w:r>
        <w:t>The cmavo “ma” is used to create a sumti question: it indi</w:t>
      </w:r>
      <w:r>
        <w:softHyphen/>
        <w:t>cates that the</w:t>
      </w:r>
      <w:r>
        <w:rPr>
          <w:rStyle w:val="deletedparamark"/>
        </w:rPr>
        <w:t xml:space="preserve"> </w:t>
      </w:r>
      <w:r>
        <w:t>speaker wishes to know the sumti which should be placed at the location</w:t>
      </w:r>
      <w:r>
        <w:rPr>
          <w:rStyle w:val="deletedparamark"/>
        </w:rPr>
        <w:t xml:space="preserve"> </w:t>
      </w:r>
      <w:r>
        <w:t>of the “ma” to make the bridi true. It can be translated as “Who?” or “What?”</w:t>
      </w:r>
      <w:r>
        <w:rPr>
          <w:rStyle w:val="deletedparamark"/>
        </w:rPr>
        <w:t xml:space="preserve"> </w:t>
      </w:r>
      <w:r>
        <w:t>in most cases, but also serves for “When?”, “Where?”, and “Why?” when used</w:t>
      </w:r>
      <w:r>
        <w:rPr>
          <w:rStyle w:val="deletedparamark"/>
        </w:rPr>
        <w:t xml:space="preserve"> </w:t>
      </w:r>
      <w:r>
        <w:t>in sumti places that ex</w:t>
      </w:r>
      <w:r>
        <w:softHyphen/>
        <w:t>press time, lo</w:t>
      </w:r>
      <w:r>
        <w:softHyphen/>
        <w:t>cation, or cause. For example:</w:t>
      </w:r>
    </w:p>
    <w:tbl>
      <w:tblPr>
        <w:tblW w:w="0" w:type="auto"/>
        <w:tblLayout w:type="fixed"/>
        <w:tblCellMar>
          <w:left w:w="0" w:type="dxa"/>
          <w:right w:w="0" w:type="dxa"/>
        </w:tblCellMar>
        <w:tblLook w:val="0000"/>
      </w:tblPr>
      <w:tblGrid>
        <w:gridCol w:w="864"/>
        <w:gridCol w:w="510"/>
        <w:gridCol w:w="480"/>
        <w:gridCol w:w="615"/>
        <w:gridCol w:w="112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15.1)</w:t>
            </w:r>
          </w:p>
        </w:tc>
        <w:tc>
          <w:tcPr>
            <w:tcW w:w="510" w:type="dxa"/>
          </w:tcPr>
          <w:p w:rsidR="00B72047" w:rsidRDefault="00B72047">
            <w:pPr>
              <w:pStyle w:val="examplescaledpre"/>
              <w:ind w:left="0" w:firstLine="0"/>
              <w:rPr>
                <w:rStyle w:val="htmlparacode"/>
              </w:rPr>
            </w:pPr>
            <w:r>
              <w:rPr>
                <w:rStyle w:val="htmlparacode"/>
                <w:vanish w:val="0"/>
                <w:u w:val="words"/>
              </w:rPr>
              <w:t>ma</w:t>
            </w:r>
          </w:p>
        </w:tc>
        <w:tc>
          <w:tcPr>
            <w:tcW w:w="480" w:type="dxa"/>
          </w:tcPr>
          <w:p w:rsidR="00B72047" w:rsidRDefault="00B72047">
            <w:pPr>
              <w:pStyle w:val="examplescaledpre"/>
              <w:ind w:left="0" w:firstLine="0"/>
              <w:rPr>
                <w:rStyle w:val="htmlparacode"/>
              </w:rPr>
            </w:pPr>
            <w:r>
              <w:rPr>
                <w:rStyle w:val="htmlparacode"/>
                <w:vanish w:val="0"/>
                <w:u w:val="double"/>
              </w:rPr>
              <w:t>tavla</w:t>
            </w:r>
          </w:p>
        </w:tc>
        <w:tc>
          <w:tcPr>
            <w:tcW w:w="615" w:type="dxa"/>
          </w:tcPr>
          <w:p w:rsidR="00B72047" w:rsidRDefault="00B72047">
            <w:pPr>
              <w:pStyle w:val="examplescaledpre"/>
              <w:ind w:left="0" w:firstLine="0"/>
              <w:rPr>
                <w:rStyle w:val="htmlparacode"/>
              </w:rPr>
            </w:pPr>
            <w:r>
              <w:rPr>
                <w:rStyle w:val="htmlparacode"/>
                <w:vanish w:val="0"/>
                <w:u w:val="words"/>
              </w:rPr>
              <w:t>do</w:t>
            </w:r>
          </w:p>
        </w:tc>
        <w:tc>
          <w:tcPr>
            <w:tcW w:w="1125" w:type="dxa"/>
          </w:tcPr>
          <w:p w:rsidR="00B72047" w:rsidRDefault="00B72047">
            <w:pPr>
              <w:pStyle w:val="examplescaledpre"/>
              <w:tabs>
                <w:tab w:val="left" w:pos="1386"/>
              </w:tabs>
              <w:ind w:left="0" w:firstLine="0"/>
              <w:rPr>
                <w:rStyle w:val="htmlparacode"/>
              </w:rPr>
            </w:pPr>
            <w:r>
              <w:rPr>
                <w:rStyle w:val="htmlparacode"/>
                <w:vanish w:val="0"/>
                <w:u w:val="words"/>
              </w:rPr>
              <w:t>mi</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510" w:type="dxa"/>
          </w:tcPr>
          <w:p w:rsidR="00B72047" w:rsidRDefault="00B72047">
            <w:pPr>
              <w:pStyle w:val="examplescaledpre"/>
              <w:spacing w:before="0"/>
              <w:ind w:left="0" w:firstLine="0"/>
              <w:rPr>
                <w:rStyle w:val="htmlparacode"/>
              </w:rPr>
            </w:pPr>
            <w:r>
              <w:rPr>
                <w:rStyle w:val="htmlparacode"/>
                <w:vanish w:val="0"/>
              </w:rPr>
              <w:t>Who?</w:t>
            </w:r>
          </w:p>
        </w:tc>
        <w:tc>
          <w:tcPr>
            <w:tcW w:w="480" w:type="dxa"/>
          </w:tcPr>
          <w:p w:rsidR="00B72047" w:rsidRDefault="00B72047">
            <w:pPr>
              <w:pStyle w:val="examplescaledpre"/>
              <w:spacing w:before="0"/>
              <w:ind w:left="0" w:firstLine="0"/>
              <w:rPr>
                <w:rStyle w:val="htmlparacode"/>
              </w:rPr>
            </w:pPr>
            <w:r>
              <w:rPr>
                <w:rStyle w:val="htmlparacode"/>
                <w:vanish w:val="0"/>
              </w:rPr>
              <w:t>talks</w:t>
            </w:r>
          </w:p>
        </w:tc>
        <w:tc>
          <w:tcPr>
            <w:tcW w:w="615" w:type="dxa"/>
          </w:tcPr>
          <w:p w:rsidR="00B72047" w:rsidRDefault="00B72047">
            <w:pPr>
              <w:pStyle w:val="examplescaledpre"/>
              <w:spacing w:before="0"/>
              <w:ind w:left="0" w:firstLine="0"/>
              <w:rPr>
                <w:rStyle w:val="htmlparacode"/>
              </w:rPr>
            </w:pPr>
            <w:r>
              <w:rPr>
                <w:rStyle w:val="htmlparacode"/>
                <w:vanish w:val="0"/>
              </w:rPr>
              <w:t>to-you</w:t>
            </w:r>
          </w:p>
        </w:tc>
        <w:tc>
          <w:tcPr>
            <w:tcW w:w="1125" w:type="dxa"/>
          </w:tcPr>
          <w:p w:rsidR="00B72047" w:rsidRDefault="00B72047">
            <w:pPr>
              <w:pStyle w:val="examplescaledpre"/>
              <w:spacing w:before="0"/>
              <w:ind w:left="0" w:firstLine="0"/>
              <w:rPr>
                <w:rStyle w:val="htmlparacode"/>
              </w:rPr>
            </w:pPr>
            <w:r>
              <w:rPr>
                <w:rStyle w:val="htmlparacode"/>
                <w:vanish w:val="0"/>
              </w:rPr>
              <w:t>about-me.</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2730" w:type="dxa"/>
            <w:gridSpan w:val="4"/>
          </w:tcPr>
          <w:p w:rsidR="00B72047" w:rsidRDefault="00B72047">
            <w:pPr>
              <w:pStyle w:val="examplescaledpre"/>
              <w:spacing w:before="0"/>
              <w:ind w:left="0" w:firstLine="0"/>
              <w:rPr>
                <w:rStyle w:val="htmlparacode"/>
              </w:rPr>
            </w:pPr>
            <w:r>
              <w:rPr>
                <w:rStyle w:val="htmlparacode"/>
                <w:vanish w:val="0"/>
              </w:rPr>
              <w:t>Who is talking to you about me?</w:t>
            </w:r>
          </w:p>
          <w:p w:rsidR="00B72047" w:rsidRDefault="00B72047">
            <w:pPr>
              <w:pStyle w:val="examplescaledpre"/>
              <w:spacing w:before="0"/>
              <w:ind w:left="0" w:firstLine="0"/>
              <w:rPr>
                <w:rStyle w:val="htmlparacode"/>
              </w:rPr>
            </w:pPr>
          </w:p>
        </w:tc>
      </w:tr>
    </w:tbl>
    <w:p w:rsidR="00B72047" w:rsidRDefault="00B72047">
      <w:pPr>
        <w:pStyle w:val="examplescaledpre"/>
        <w:rPr>
          <w:rStyle w:val="htmlparacode"/>
        </w:rPr>
      </w:pPr>
      <w:r>
        <w:rPr>
          <w:rStyle w:val="htmlparacode"/>
        </w:rPr>
        <w:t>&lt;p&gt;</w:t>
      </w:r>
    </w:p>
    <w:p w:rsidR="00B72047" w:rsidRDefault="00B72047">
      <w:pPr>
        <w:pStyle w:val="resumedafterexample"/>
      </w:pPr>
      <w:r>
        <w:rPr>
          <w:rStyle w:val="htmlcodes"/>
        </w:rPr>
        <w:t>&lt;/pre&gt;&lt;p&gt;</w:t>
      </w:r>
      <w:r>
        <w:t>The listener can reply by simply stating a sumti:</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name=e15d2&gt;</w:t>
      </w:r>
      <w:r>
        <w:t>15.2)</w:t>
      </w:r>
      <w:r>
        <w:tab/>
      </w:r>
      <w:r>
        <w:rPr>
          <w:u w:val="single"/>
        </w:rPr>
        <w:t>la djan.</w:t>
      </w:r>
    </w:p>
    <w:p w:rsidR="00B72047" w:rsidRDefault="00B72047">
      <w:pPr>
        <w:pStyle w:val="examplescaled"/>
      </w:pPr>
      <w:r>
        <w:tab/>
        <w:t>John (is talking to you about me).</w:t>
      </w:r>
    </w:p>
    <w:p w:rsidR="00B72047" w:rsidRDefault="00B72047">
      <w:pPr>
        <w:pStyle w:val="normalafterexample"/>
        <w:spacing w:before="0"/>
      </w:pPr>
      <w:r>
        <w:rPr>
          <w:rStyle w:val="htmlcodes"/>
          <w:vanish w:val="0"/>
        </w:rPr>
        <w:br w:type="page"/>
      </w:r>
      <w:r>
        <w:rPr>
          <w:rStyle w:val="htmlcodes"/>
        </w:rPr>
        <w:t>&lt;/pre&gt;&lt;p&gt;</w:t>
      </w:r>
      <w:r>
        <w:t>Like “ko”, “ma” can occur in any position where a sumti is al</w:t>
      </w:r>
      <w:r>
        <w:softHyphen/>
        <w:t>lowed, not</w:t>
      </w:r>
      <w:r>
        <w:rPr>
          <w:rStyle w:val="deletedparamark"/>
        </w:rPr>
        <w:t xml:space="preserve"> </w:t>
      </w:r>
      <w:r>
        <w:t>just in the first position:</w:t>
      </w:r>
    </w:p>
    <w:tbl>
      <w:tblPr>
        <w:tblW w:w="0" w:type="auto"/>
        <w:tblLayout w:type="fixed"/>
        <w:tblCellMar>
          <w:left w:w="0" w:type="dxa"/>
          <w:right w:w="0" w:type="dxa"/>
        </w:tblCellMar>
        <w:tblLook w:val="0000"/>
      </w:tblPr>
      <w:tblGrid>
        <w:gridCol w:w="864"/>
        <w:gridCol w:w="375"/>
        <w:gridCol w:w="420"/>
        <w:gridCol w:w="480"/>
        <w:gridCol w:w="1566"/>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15.3)</w:t>
            </w:r>
          </w:p>
        </w:tc>
        <w:tc>
          <w:tcPr>
            <w:tcW w:w="37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do</w:t>
            </w:r>
          </w:p>
        </w:tc>
        <w:tc>
          <w:tcPr>
            <w:tcW w:w="42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[cu]</w:t>
            </w:r>
          </w:p>
        </w:tc>
        <w:tc>
          <w:tcPr>
            <w:tcW w:w="48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tavla</w:t>
            </w:r>
          </w:p>
        </w:tc>
        <w:tc>
          <w:tcPr>
            <w:tcW w:w="1566"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ma</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3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You</w:t>
            </w:r>
          </w:p>
        </w:tc>
        <w:tc>
          <w:tcPr>
            <w:tcW w:w="420" w:type="dxa"/>
          </w:tcPr>
          <w:p w:rsidR="00B72047" w:rsidRDefault="00B72047">
            <w:pPr>
              <w:rPr>
                <w:rStyle w:val="htmlparacode"/>
                <w:rFonts w:ascii="ITC Officina Sans Book" w:hAnsi="ITC Officina Sans Book" w:cs="ITC Officina Sans Book"/>
              </w:rPr>
            </w:pPr>
          </w:p>
        </w:tc>
        <w:tc>
          <w:tcPr>
            <w:tcW w:w="48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talk</w:t>
            </w:r>
          </w:p>
        </w:tc>
        <w:tc>
          <w:tcPr>
            <w:tcW w:w="1566"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to what/whom?</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&lt;/pre&gt;&lt;p&gt;</w:t>
      </w:r>
      <w:r>
        <w:t>A “ma” can also appear in multiple sumti positions in one sentence, in effect</w:t>
      </w:r>
      <w:r>
        <w:rPr>
          <w:rStyle w:val="deletedparamark"/>
        </w:rPr>
        <w:t xml:space="preserve"> </w:t>
      </w:r>
      <w:r>
        <w:t>asking sev</w:t>
      </w:r>
      <w:r>
        <w:softHyphen/>
        <w:t>eral questions at once.</w:t>
      </w:r>
    </w:p>
    <w:tbl>
      <w:tblPr>
        <w:tblW w:w="0" w:type="auto"/>
        <w:tblLayout w:type="fixed"/>
        <w:tblCellMar>
          <w:left w:w="0" w:type="dxa"/>
          <w:right w:w="0" w:type="dxa"/>
        </w:tblCellMar>
        <w:tblLook w:val="0000"/>
      </w:tblPr>
      <w:tblGrid>
        <w:gridCol w:w="864"/>
        <w:gridCol w:w="930"/>
        <w:gridCol w:w="420"/>
        <w:gridCol w:w="480"/>
        <w:gridCol w:w="1350"/>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15.4)</w:t>
            </w:r>
          </w:p>
        </w:tc>
        <w:tc>
          <w:tcPr>
            <w:tcW w:w="930" w:type="dxa"/>
          </w:tcPr>
          <w:p w:rsidR="00B72047" w:rsidRDefault="00B72047">
            <w:pPr>
              <w:pStyle w:val="examplescaledpre"/>
              <w:ind w:left="0" w:firstLine="0"/>
              <w:rPr>
                <w:rStyle w:val="htmlparacode"/>
              </w:rPr>
            </w:pPr>
            <w:r>
              <w:rPr>
                <w:rStyle w:val="htmlparacode"/>
                <w:vanish w:val="0"/>
                <w:u w:val="words"/>
              </w:rPr>
              <w:t>ma</w:t>
            </w:r>
          </w:p>
        </w:tc>
        <w:tc>
          <w:tcPr>
            <w:tcW w:w="420" w:type="dxa"/>
          </w:tcPr>
          <w:p w:rsidR="00B72047" w:rsidRDefault="00B72047">
            <w:pPr>
              <w:pStyle w:val="examplescaledpre"/>
              <w:ind w:left="0" w:firstLine="0"/>
              <w:rPr>
                <w:rStyle w:val="htmlparacode"/>
              </w:rPr>
            </w:pPr>
            <w:r>
              <w:rPr>
                <w:rStyle w:val="htmlparacode"/>
                <w:vanish w:val="0"/>
              </w:rPr>
              <w:t>[cu]</w:t>
            </w:r>
          </w:p>
        </w:tc>
        <w:tc>
          <w:tcPr>
            <w:tcW w:w="480" w:type="dxa"/>
          </w:tcPr>
          <w:p w:rsidR="00B72047" w:rsidRDefault="00B72047">
            <w:pPr>
              <w:pStyle w:val="examplescaledpre"/>
              <w:ind w:left="0" w:firstLine="0"/>
              <w:rPr>
                <w:rStyle w:val="htmlparacode"/>
              </w:rPr>
            </w:pPr>
            <w:r>
              <w:rPr>
                <w:rStyle w:val="htmlparacode"/>
                <w:vanish w:val="0"/>
                <w:u w:val="double"/>
              </w:rPr>
              <w:t>tavla</w:t>
            </w:r>
          </w:p>
        </w:tc>
        <w:tc>
          <w:tcPr>
            <w:tcW w:w="1350" w:type="dxa"/>
          </w:tcPr>
          <w:p w:rsidR="00B72047" w:rsidRDefault="00B72047">
            <w:pPr>
              <w:pStyle w:val="examplescaledpre"/>
              <w:tabs>
                <w:tab w:val="left" w:pos="1386"/>
              </w:tabs>
              <w:ind w:left="0" w:firstLine="0"/>
              <w:rPr>
                <w:rStyle w:val="htmlparacode"/>
              </w:rPr>
            </w:pPr>
            <w:r>
              <w:rPr>
                <w:rStyle w:val="htmlparacode"/>
                <w:vanish w:val="0"/>
                <w:u w:val="words"/>
              </w:rPr>
              <w:t>ma</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930" w:type="dxa"/>
          </w:tcPr>
          <w:p w:rsidR="00B72047" w:rsidRDefault="00B72047">
            <w:pPr>
              <w:pStyle w:val="examplescaledpre"/>
              <w:spacing w:before="0"/>
              <w:ind w:left="0" w:firstLine="0"/>
              <w:rPr>
                <w:rStyle w:val="htmlparacode"/>
              </w:rPr>
            </w:pPr>
            <w:r>
              <w:rPr>
                <w:rStyle w:val="htmlparacode"/>
                <w:vanish w:val="0"/>
              </w:rPr>
              <w:t>What/Who</w:t>
            </w:r>
          </w:p>
        </w:tc>
        <w:tc>
          <w:tcPr>
            <w:tcW w:w="420" w:type="dxa"/>
          </w:tcPr>
          <w:p w:rsidR="00B72047" w:rsidRDefault="00B72047">
            <w:pPr>
              <w:pStyle w:val="examplescaledpre"/>
              <w:spacing w:before="0"/>
              <w:ind w:left="0" w:firstLine="0"/>
              <w:rPr>
                <w:rStyle w:val="htmlparacode"/>
              </w:rPr>
            </w:pPr>
          </w:p>
        </w:tc>
        <w:tc>
          <w:tcPr>
            <w:tcW w:w="480" w:type="dxa"/>
          </w:tcPr>
          <w:p w:rsidR="00B72047" w:rsidRDefault="00B72047">
            <w:pPr>
              <w:pStyle w:val="examplescaledpre"/>
              <w:spacing w:before="0"/>
              <w:ind w:left="0" w:firstLine="0"/>
              <w:rPr>
                <w:rStyle w:val="htmlparacode"/>
              </w:rPr>
            </w:pPr>
            <w:r>
              <w:rPr>
                <w:rStyle w:val="htmlparacode"/>
                <w:vanish w:val="0"/>
              </w:rPr>
              <w:t>talks</w:t>
            </w:r>
          </w:p>
        </w:tc>
        <w:tc>
          <w:tcPr>
            <w:tcW w:w="1350" w:type="dxa"/>
          </w:tcPr>
          <w:p w:rsidR="00B72047" w:rsidRDefault="00B72047">
            <w:pPr>
              <w:pStyle w:val="examplescaledpre"/>
              <w:spacing w:before="0"/>
              <w:ind w:left="0" w:firstLine="0"/>
              <w:rPr>
                <w:rStyle w:val="htmlparacode"/>
              </w:rPr>
            </w:pPr>
            <w:r>
              <w:rPr>
                <w:rStyle w:val="htmlparacode"/>
                <w:vanish w:val="0"/>
              </w:rPr>
              <w:t>to what/whom?</w:t>
            </w:r>
          </w:p>
        </w:tc>
      </w:tr>
    </w:tbl>
    <w:p w:rsidR="00B72047" w:rsidRDefault="00B72047">
      <w:pPr>
        <w:pStyle w:val="examplescaledpre"/>
        <w:rPr>
          <w:rStyle w:val="htmlparacode"/>
        </w:rPr>
      </w:pPr>
      <w:r>
        <w:rPr>
          <w:rStyle w:val="htmlparacode"/>
        </w:rPr>
        <w:t>&lt;p&gt;</w:t>
      </w:r>
    </w:p>
    <w:p w:rsidR="00B72047" w:rsidRDefault="00B72047">
      <w:pPr>
        <w:pStyle w:val="resumedafterexample"/>
      </w:pPr>
      <w:r>
        <w:rPr>
          <w:rStyle w:val="htmlcodes"/>
        </w:rPr>
        <w:t>&lt;/pre&gt;</w:t>
      </w:r>
      <w:r>
        <w:rPr>
          <w:rStyle w:val="indexentry"/>
        </w:rPr>
        <w:t>&lt;cx "separate questions (quick-tour version)"&gt;</w:t>
      </w:r>
      <w:r>
        <w:rPr>
          <w:rStyle w:val="indexentry"/>
        </w:rPr>
        <w:fldChar w:fldCharType="begin"/>
      </w:r>
      <w:r>
        <w:instrText>xe "</w:instrText>
      </w:r>
      <w:r>
        <w:rPr>
          <w:rStyle w:val="xeentry"/>
        </w:rPr>
        <w:instrText>separate questions: quick-tour version</w:instrText>
      </w:r>
      <w:r>
        <w:instrText>"</w:instrText>
      </w:r>
      <w:r>
        <w:rPr>
          <w:rStyle w:val="indexentry"/>
        </w:rPr>
        <w:fldChar w:fldCharType="end"/>
      </w:r>
      <w:r>
        <w:t>The two separate “ma” positions ask two separate questions, and can</w:t>
      </w:r>
      <w:r>
        <w:rPr>
          <w:rStyle w:val="deletedparamark"/>
        </w:rPr>
        <w:t xml:space="preserve"> </w:t>
      </w:r>
      <w:r>
        <w:t>therefore be an</w:t>
      </w:r>
      <w:r>
        <w:softHyphen/>
        <w:t>swered with different values in each sumti place.</w:t>
      </w:r>
    </w:p>
    <w:p w:rsidR="00B72047" w:rsidRDefault="00B72047">
      <w:pPr>
        <w:rPr>
          <w:rStyle w:val="htmlparacode"/>
        </w:rPr>
      </w:pPr>
      <w:r>
        <w:rPr>
          <w:rStyle w:val="htmlparacode"/>
        </w:rPr>
        <w:t>&lt;p&gt;</w:t>
      </w:r>
    </w:p>
    <w:p w:rsidR="00B72047" w:rsidRDefault="00B72047">
      <w:pPr>
        <w:pStyle w:val="normalparagraph"/>
      </w:pPr>
      <w:r>
        <w:rPr>
          <w:rStyle w:val="indexentry"/>
        </w:rPr>
        <w:t>&lt;cx "selbri questions (quick-tour version)"&gt;</w:t>
      </w:r>
      <w:r>
        <w:rPr>
          <w:rStyle w:val="indexentry"/>
        </w:rPr>
        <w:fldChar w:fldCharType="begin"/>
      </w:r>
      <w:r>
        <w:instrText>xe "</w:instrText>
      </w:r>
      <w:r>
        <w:rPr>
          <w:rStyle w:val="xeentry"/>
        </w:rPr>
        <w:instrText>selbri questions: quick-tour version</w:instrText>
      </w:r>
      <w:r>
        <w:instrText>"</w:instrText>
      </w:r>
      <w:r>
        <w:rPr>
          <w:rStyle w:val="indexentry"/>
        </w:rPr>
        <w:fldChar w:fldCharType="end"/>
      </w:r>
      <w:r>
        <w:rPr>
          <w:rStyle w:val="indexentry"/>
        </w:rPr>
        <w:t>&lt;cx "bridi questions (quick-tour version)"&gt;</w:t>
      </w:r>
      <w:r>
        <w:rPr>
          <w:rStyle w:val="indexentry"/>
        </w:rPr>
        <w:fldChar w:fldCharType="begin"/>
      </w:r>
      <w:r>
        <w:instrText>xe "</w:instrText>
      </w:r>
      <w:r>
        <w:rPr>
          <w:rStyle w:val="xeentry"/>
        </w:rPr>
        <w:instrText>bridi questions: quick-tour version</w:instrText>
      </w:r>
      <w:r>
        <w:instrText>"</w:instrText>
      </w:r>
      <w:r>
        <w:rPr>
          <w:rStyle w:val="indexentry"/>
        </w:rPr>
        <w:fldChar w:fldCharType="end"/>
      </w:r>
      <w:r>
        <w:rPr>
          <w:rStyle w:val="indexentry"/>
        </w:rPr>
        <w:t>&lt;lx "mo (quick-tour version)"&gt;</w:t>
      </w:r>
      <w:r>
        <w:rPr>
          <w:rStyle w:val="indexentry"/>
        </w:rPr>
        <w:fldChar w:fldCharType="begin"/>
      </w:r>
      <w:r>
        <w:instrText>xe "</w:instrText>
      </w:r>
      <w:r>
        <w:rPr>
          <w:rStyle w:val="xeentry"/>
        </w:rPr>
        <w:instrText>mo: quick-tour version</w:instrText>
      </w:r>
      <w:r>
        <w:instrText>"</w:instrText>
      </w:r>
      <w:r>
        <w:rPr>
          <w:rStyle w:val="indexentry"/>
        </w:rPr>
        <w:fldChar w:fldCharType="end"/>
      </w:r>
      <w:r>
        <w:t>The cmavo “mo” is the selbri analogue of “ma”. It asks the respondent</w:t>
      </w:r>
      <w:r>
        <w:rPr>
          <w:rStyle w:val="deletedparamark"/>
        </w:rPr>
        <w:t xml:space="preserve"> </w:t>
      </w:r>
      <w:r>
        <w:t>to pro</w:t>
      </w:r>
      <w:r>
        <w:softHyphen/>
        <w:t>vide a selbri that would be a true relation if in</w:t>
      </w:r>
      <w:r>
        <w:softHyphen/>
        <w:t>serted in place of</w:t>
      </w:r>
      <w:r>
        <w:rPr>
          <w:rStyle w:val="deletedparamark"/>
        </w:rPr>
        <w:t xml:space="preserve"> </w:t>
      </w:r>
      <w:r>
        <w:t>the “mo”:</w:t>
      </w:r>
    </w:p>
    <w:tbl>
      <w:tblPr>
        <w:tblW w:w="0" w:type="auto"/>
        <w:tblLayout w:type="fixed"/>
        <w:tblCellMar>
          <w:left w:w="0" w:type="dxa"/>
          <w:right w:w="0" w:type="dxa"/>
        </w:tblCellMar>
        <w:tblLook w:val="0000"/>
      </w:tblPr>
      <w:tblGrid>
        <w:gridCol w:w="864"/>
        <w:gridCol w:w="375"/>
        <w:gridCol w:w="420"/>
        <w:gridCol w:w="1635"/>
      </w:tblGrid>
      <w:tr w:rsidR="00B72047">
        <w:tblPrEx>
          <w:tblCellMar>
            <w:top w:w="0" w:type="dxa"/>
            <w:left w:w="0" w:type="dxa"/>
            <w:bottom w:w="0" w:type="dxa"/>
            <w:right w:w="0" w:type="dxa"/>
          </w:tblCellMar>
        </w:tblPrEx>
        <w:trPr>
          <w:hidden w:val="0"/>
        </w:trPr>
        <w:tc>
          <w:tcPr>
            <w:tcW w:w="864" w:type="dxa"/>
          </w:tcPr>
          <w:p w:rsidR="00B72047" w:rsidRDefault="00B72047">
            <w:pPr>
              <w:pStyle w:val="examplescaledpre"/>
              <w:ind w:left="144" w:firstLine="0"/>
              <w:rPr>
                <w:rStyle w:val="htmlparacode"/>
              </w:rPr>
            </w:pPr>
            <w:r>
              <w:rPr>
                <w:rStyle w:val="htmlparacode"/>
                <w:vanish w:val="0"/>
              </w:rPr>
              <w:t>15.5)</w:t>
            </w:r>
          </w:p>
        </w:tc>
        <w:tc>
          <w:tcPr>
            <w:tcW w:w="375" w:type="dxa"/>
          </w:tcPr>
          <w:p w:rsidR="00B72047" w:rsidRDefault="00B72047">
            <w:pPr>
              <w:pStyle w:val="examplescaledpre"/>
              <w:ind w:left="0" w:firstLine="0"/>
              <w:rPr>
                <w:rStyle w:val="htmlparacode"/>
              </w:rPr>
            </w:pPr>
            <w:r>
              <w:rPr>
                <w:rStyle w:val="htmlparacode"/>
                <w:vanish w:val="0"/>
                <w:u w:val="words"/>
              </w:rPr>
              <w:t>do</w:t>
            </w:r>
          </w:p>
        </w:tc>
        <w:tc>
          <w:tcPr>
            <w:tcW w:w="420" w:type="dxa"/>
          </w:tcPr>
          <w:p w:rsidR="00B72047" w:rsidRDefault="00B72047">
            <w:pPr>
              <w:pStyle w:val="examplescaledpre"/>
              <w:ind w:left="0" w:firstLine="0"/>
              <w:rPr>
                <w:rStyle w:val="htmlparacode"/>
              </w:rPr>
            </w:pPr>
            <w:r>
              <w:rPr>
                <w:rStyle w:val="htmlparacode"/>
                <w:vanish w:val="0"/>
              </w:rPr>
              <w:t>[cu]</w:t>
            </w:r>
          </w:p>
        </w:tc>
        <w:tc>
          <w:tcPr>
            <w:tcW w:w="1635" w:type="dxa"/>
          </w:tcPr>
          <w:p w:rsidR="00B72047" w:rsidRDefault="00B72047">
            <w:pPr>
              <w:pStyle w:val="examplescaledpre"/>
              <w:ind w:left="0" w:firstLine="0"/>
              <w:rPr>
                <w:rStyle w:val="htmlparacode"/>
              </w:rPr>
            </w:pPr>
            <w:r>
              <w:rPr>
                <w:rStyle w:val="htmlparacode"/>
                <w:vanish w:val="0"/>
                <w:u w:val="double"/>
              </w:rPr>
              <w:t>mo</w:t>
            </w:r>
          </w:p>
        </w:tc>
      </w:tr>
      <w:tr w:rsidR="00B72047">
        <w:tblPrEx>
          <w:tblCellMar>
            <w:top w:w="0" w:type="dxa"/>
            <w:left w:w="0" w:type="dxa"/>
            <w:bottom w:w="0" w:type="dxa"/>
            <w:right w:w="0" w:type="dxa"/>
          </w:tblCellMar>
        </w:tblPrEx>
        <w:tc>
          <w:tcPr>
            <w:tcW w:w="864" w:type="dxa"/>
          </w:tcPr>
          <w:p w:rsidR="00B72047" w:rsidRDefault="00B72047">
            <w:pPr>
              <w:pStyle w:val="examplescaledpre"/>
              <w:spacing w:before="0"/>
              <w:ind w:left="144" w:firstLine="0"/>
              <w:rPr>
                <w:rStyle w:val="htmlparacode"/>
              </w:rPr>
            </w:pPr>
          </w:p>
        </w:tc>
        <w:tc>
          <w:tcPr>
            <w:tcW w:w="375" w:type="dxa"/>
          </w:tcPr>
          <w:p w:rsidR="00B72047" w:rsidRDefault="00B72047">
            <w:pPr>
              <w:pStyle w:val="examplescaledpre"/>
              <w:spacing w:before="0"/>
              <w:ind w:left="0" w:firstLine="0"/>
              <w:rPr>
                <w:rStyle w:val="htmlparacode"/>
              </w:rPr>
            </w:pPr>
            <w:r>
              <w:rPr>
                <w:rStyle w:val="htmlparacode"/>
                <w:vanish w:val="0"/>
              </w:rPr>
              <w:t>You</w:t>
            </w:r>
          </w:p>
        </w:tc>
        <w:tc>
          <w:tcPr>
            <w:tcW w:w="420" w:type="dxa"/>
          </w:tcPr>
          <w:p w:rsidR="00B72047" w:rsidRDefault="00B72047">
            <w:pPr>
              <w:pStyle w:val="examplescaledpre"/>
              <w:spacing w:before="0"/>
              <w:ind w:left="0" w:firstLine="0"/>
              <w:rPr>
                <w:rStyle w:val="htmlparacode"/>
              </w:rPr>
            </w:pPr>
          </w:p>
        </w:tc>
        <w:tc>
          <w:tcPr>
            <w:tcW w:w="1635" w:type="dxa"/>
          </w:tcPr>
          <w:p w:rsidR="00B72047" w:rsidRDefault="00B72047">
            <w:pPr>
              <w:pStyle w:val="examplescaledpre"/>
              <w:spacing w:before="0"/>
              <w:ind w:left="0" w:firstLine="0"/>
              <w:rPr>
                <w:rStyle w:val="htmlparacode"/>
              </w:rPr>
            </w:pPr>
            <w:r>
              <w:rPr>
                <w:rStyle w:val="htmlparacode"/>
                <w:vanish w:val="0"/>
              </w:rPr>
              <w:t>are-what/do-what?</w:t>
            </w:r>
          </w:p>
        </w:tc>
      </w:tr>
    </w:tbl>
    <w:p w:rsidR="00B72047" w:rsidRDefault="00B72047">
      <w:pPr>
        <w:pStyle w:val="examplescaledpre"/>
        <w:rPr>
          <w:rStyle w:val="htmlparacode"/>
        </w:rPr>
      </w:pPr>
      <w:r>
        <w:rPr>
          <w:rStyle w:val="htmlparacode"/>
        </w:rPr>
        <w:t>&lt;p&gt;</w:t>
      </w:r>
    </w:p>
    <w:p w:rsidR="00B72047" w:rsidRDefault="00B72047">
      <w:pPr>
        <w:pStyle w:val="normalafterexample"/>
      </w:pPr>
      <w:r>
        <w:rPr>
          <w:rStyle w:val="htmlcodes"/>
        </w:rPr>
        <w:t>&lt;/pre&gt;&lt;p&gt;</w:t>
      </w:r>
      <w:r>
        <w:t>A “mo” may be used anywhere a brivla or other selbri might. Keep this in</w:t>
      </w:r>
      <w:r>
        <w:rPr>
          <w:rStyle w:val="deletedparamark"/>
        </w:rPr>
        <w:t xml:space="preserve"> </w:t>
      </w:r>
      <w:r>
        <w:t>mind for later examples. Unfortunately, by itself, “mo” is a very</w:t>
      </w:r>
      <w:r>
        <w:rPr>
          <w:rStyle w:val="deletedparamark"/>
        </w:rPr>
        <w:t xml:space="preserve"> </w:t>
      </w:r>
      <w:r>
        <w:t>non-specific question. The re</w:t>
      </w:r>
      <w:r>
        <w:softHyphen/>
        <w:t xml:space="preserve">sponse to the question in </w:t>
      </w:r>
      <w:r>
        <w:rPr>
          <w:rStyle w:val="htmlcodes"/>
        </w:rPr>
        <w:t>&lt;a href=#e15d5&gt;</w:t>
      </w:r>
      <w:r>
        <w:t xml:space="preserve">Example 15.5 </w:t>
      </w:r>
      <w:r>
        <w:rPr>
          <w:rStyle w:val="htmlcodes"/>
        </w:rPr>
        <w:t>&lt;/a&gt;</w:t>
      </w:r>
      <w:r>
        <w:t>could be:</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name=e15d6&gt;</w:t>
      </w:r>
      <w:r>
        <w:t>15.6)</w:t>
      </w:r>
      <w:r>
        <w:tab/>
      </w:r>
      <w:r>
        <w:rPr>
          <w:u w:val="single"/>
        </w:rPr>
        <w:t>mi</w:t>
      </w:r>
      <w:r>
        <w:t xml:space="preserve"> [cu] </w:t>
      </w:r>
      <w:r>
        <w:rPr>
          <w:u w:val="double"/>
        </w:rPr>
        <w:t>melbi</w:t>
      </w:r>
    </w:p>
    <w:p w:rsidR="00B72047" w:rsidRDefault="00B72047">
      <w:pPr>
        <w:pStyle w:val="examplescaled"/>
      </w:pPr>
      <w:r>
        <w:tab/>
        <w:t>I am beautiful.</w:t>
      </w:r>
    </w:p>
    <w:p w:rsidR="00B72047" w:rsidRDefault="00B72047">
      <w:pPr>
        <w:pStyle w:val="resumedafterexample"/>
      </w:pPr>
      <w:r>
        <w:rPr>
          <w:rStyle w:val="htmlcodes"/>
        </w:rPr>
        <w:t>&lt;/pre&gt;</w:t>
      </w:r>
      <w:r>
        <w:t>or:</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name=e15d7&gt;</w:t>
      </w:r>
      <w:r>
        <w:t>15.7)</w:t>
      </w:r>
      <w:r>
        <w:tab/>
      </w:r>
      <w:r>
        <w:rPr>
          <w:u w:val="single"/>
        </w:rPr>
        <w:t>mi</w:t>
      </w:r>
      <w:r>
        <w:t xml:space="preserve"> [cu] </w:t>
      </w:r>
      <w:r>
        <w:rPr>
          <w:u w:val="double"/>
        </w:rPr>
        <w:t>tavla</w:t>
      </w:r>
    </w:p>
    <w:p w:rsidR="00B72047" w:rsidRDefault="00B72047">
      <w:pPr>
        <w:pStyle w:val="examplescaled"/>
      </w:pPr>
      <w:r>
        <w:tab/>
        <w:t>I talk.</w:t>
      </w:r>
    </w:p>
    <w:p w:rsidR="00B72047" w:rsidRDefault="00B72047">
      <w:pPr>
        <w:pStyle w:val="normalafterexample"/>
      </w:pPr>
      <w:r>
        <w:rPr>
          <w:rStyle w:val="htmlcodes"/>
        </w:rPr>
        <w:t>&lt;/pre&gt;</w:t>
      </w:r>
      <w:r>
        <w:rPr>
          <w:rStyle w:val="indexentry"/>
        </w:rPr>
        <w:t>&lt;cx "speaker-listener cooperation"&gt;</w:t>
      </w:r>
      <w:r>
        <w:rPr>
          <w:rStyle w:val="indexentry"/>
        </w:rPr>
        <w:fldChar w:fldCharType="begin"/>
      </w:r>
      <w:r>
        <w:instrText>xe "</w:instrText>
      </w:r>
      <w:r>
        <w:rPr>
          <w:rStyle w:val="xeentry"/>
        </w:rPr>
        <w:instrText>speaker-listener cooperation</w:instrText>
      </w:r>
      <w:r>
        <w:instrText>"</w:instrText>
      </w:r>
      <w:r>
        <w:rPr>
          <w:rStyle w:val="indexentry"/>
        </w:rPr>
        <w:fldChar w:fldCharType="end"/>
      </w:r>
      <w:r>
        <w:t>Clearly, “mo” requires some cooperation between the speaker and the</w:t>
      </w:r>
      <w:r>
        <w:rPr>
          <w:rStyle w:val="deletedparamark"/>
        </w:rPr>
        <w:t xml:space="preserve"> </w:t>
      </w:r>
      <w:r>
        <w:t>respon</w:t>
      </w:r>
      <w:r>
        <w:softHyphen/>
        <w:t>dent to ensure that the right question is being answered. If context</w:t>
      </w:r>
      <w:r>
        <w:rPr>
          <w:rStyle w:val="deletedparamark"/>
        </w:rPr>
        <w:t xml:space="preserve"> </w:t>
      </w:r>
      <w:r>
        <w:t>doesn't make the question spe</w:t>
      </w:r>
      <w:r>
        <w:softHyphen/>
        <w:t>cific enough, the speaker must ask the</w:t>
      </w:r>
      <w:r>
        <w:rPr>
          <w:rStyle w:val="deletedparamark"/>
        </w:rPr>
        <w:t xml:space="preserve"> </w:t>
      </w:r>
      <w:r>
        <w:t>question more specifically using a more com</w:t>
      </w:r>
      <w:r>
        <w:softHyphen/>
        <w:t>plex construction such as a tanru</w:t>
      </w:r>
      <w:r>
        <w:rPr>
          <w:rStyle w:val="deletedparamark"/>
        </w:rPr>
        <w:t xml:space="preserve"> </w:t>
      </w:r>
      <w:r>
        <w:t xml:space="preserve">(see </w:t>
      </w:r>
      <w:r>
        <w:rPr>
          <w:rStyle w:val="htmlcodes"/>
        </w:rPr>
        <w:t>&lt;a href=#s9&gt;</w:t>
      </w:r>
      <w:r>
        <w:t>Section 9</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It is perfectly permissible for the respondent to fill in other un</w:t>
      </w:r>
      <w:r>
        <w:softHyphen/>
        <w:t>specified</w:t>
      </w:r>
      <w:r>
        <w:rPr>
          <w:rStyle w:val="deletedparamark"/>
        </w:rPr>
        <w:t xml:space="preserve"> </w:t>
      </w:r>
      <w:r>
        <w:t>places in re</w:t>
      </w:r>
      <w:r>
        <w:softHyphen/>
        <w:t>sponding to a “mo” question. Thus, the re</w:t>
      </w:r>
      <w:r>
        <w:softHyphen/>
        <w:t>spon</w:t>
      </w:r>
      <w:r>
        <w:softHyphen/>
        <w:t>dent in</w:t>
      </w:r>
      <w:r>
        <w:rPr>
          <w:rStyle w:val="deletedparamark"/>
        </w:rPr>
        <w:t xml:space="preserve"> </w:t>
      </w:r>
      <w:r>
        <w:rPr>
          <w:rStyle w:val="htmlcodes"/>
        </w:rPr>
        <w:t>&lt;a href=#e15d7&gt;</w:t>
      </w:r>
      <w:r>
        <w:t xml:space="preserve">Example 15.7 </w:t>
      </w:r>
      <w:r>
        <w:rPr>
          <w:rStyle w:val="htmlcodes"/>
        </w:rPr>
        <w:t>&lt;/a&gt;</w:t>
      </w:r>
      <w:r>
        <w:t>could have also specified an audience, a topic, and/or a</w:t>
      </w:r>
      <w:r>
        <w:rPr>
          <w:rStyle w:val="deletedparamark"/>
        </w:rPr>
        <w:t xml:space="preserve"> </w:t>
      </w:r>
      <w:r>
        <w:t>language in the response.</w:t>
      </w:r>
    </w:p>
    <w:p w:rsidR="00B72047" w:rsidRDefault="00B72047">
      <w:pPr>
        <w:rPr>
          <w:rStyle w:val="htmlparacode"/>
        </w:rPr>
      </w:pPr>
      <w:r>
        <w:rPr>
          <w:rStyle w:val="htmlparacode"/>
        </w:rPr>
        <w:t>&lt;p&gt;</w:t>
      </w:r>
    </w:p>
    <w:p w:rsidR="00B72047" w:rsidRDefault="00B72047">
      <w:pPr>
        <w:pStyle w:val="normalparagraph"/>
      </w:pPr>
      <w:r>
        <w:rPr>
          <w:rStyle w:val="indexentry"/>
        </w:rPr>
        <w:t>&lt;cx "yes/no questions (quick-tour version)"&gt;</w:t>
      </w:r>
      <w:r>
        <w:rPr>
          <w:rStyle w:val="indexentry"/>
        </w:rPr>
        <w:fldChar w:fldCharType="begin"/>
      </w:r>
      <w:r>
        <w:instrText>xe "</w:instrText>
      </w:r>
      <w:r>
        <w:rPr>
          <w:rStyle w:val="xeentry"/>
        </w:rPr>
        <w:instrText>yes/no questions: quick-tour version</w:instrText>
      </w:r>
      <w:r>
        <w:instrText>"</w:instrText>
      </w:r>
      <w:r>
        <w:rPr>
          <w:rStyle w:val="indexentry"/>
        </w:rPr>
        <w:fldChar w:fldCharType="end"/>
      </w:r>
      <w:r>
        <w:t>Finally, we must consider questions that can be answered “Yes” or “No”,</w:t>
      </w:r>
      <w:r>
        <w:rPr>
          <w:rStyle w:val="deletedparamark"/>
        </w:rPr>
        <w:t xml:space="preserve"> </w:t>
      </w:r>
      <w:r>
        <w:t>such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name=e15d8&gt;</w:t>
      </w:r>
      <w:r>
        <w:t>15.8)</w:t>
      </w:r>
      <w:r>
        <w:tab/>
        <w:t>Are you talking to me?</w:t>
      </w:r>
    </w:p>
    <w:p w:rsidR="00B72047" w:rsidRDefault="00B72047">
      <w:pPr>
        <w:pStyle w:val="resumedafterexample"/>
      </w:pPr>
      <w:r>
        <w:rPr>
          <w:rStyle w:val="htmlcodes"/>
        </w:rPr>
        <w:t>&lt;/pre&gt;&lt;p&gt;</w:t>
      </w:r>
      <w:r>
        <w:t xml:space="preserve">Like all yes-or-no questions in English, </w:t>
      </w:r>
      <w:r>
        <w:rPr>
          <w:rStyle w:val="htmlcodes"/>
        </w:rPr>
        <w:t>&lt;a href=#e15d8&gt;</w:t>
      </w:r>
      <w:r>
        <w:t xml:space="preserve">Example 15.8 </w:t>
      </w:r>
      <w:r>
        <w:rPr>
          <w:rStyle w:val="htmlcodes"/>
        </w:rPr>
        <w:t>&lt;/a&gt;</w:t>
      </w:r>
      <w:r>
        <w:t>may be refor</w:t>
      </w:r>
      <w:r>
        <w:softHyphen/>
        <w:t>mulated</w:t>
      </w:r>
      <w:r>
        <w:rPr>
          <w:rStyle w:val="deletedparamark"/>
        </w:rPr>
        <w:t xml:space="preserve"> </w:t>
      </w:r>
      <w:r>
        <w:t>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name=e15d9&gt;</w:t>
      </w:r>
      <w:r>
        <w:t>15.9)</w:t>
      </w:r>
      <w:r>
        <w:tab/>
        <w:t>Is it true that you are talking to me?</w:t>
      </w:r>
    </w:p>
    <w:p w:rsidR="00B72047" w:rsidRDefault="00B72047">
      <w:pPr>
        <w:pStyle w:val="resumedafterexample"/>
      </w:pPr>
      <w:r>
        <w:rPr>
          <w:rStyle w:val="htmlcodes"/>
        </w:rPr>
        <w:t>&lt;/pre&gt;</w:t>
      </w:r>
      <w:r>
        <w:rPr>
          <w:rStyle w:val="indexentry"/>
        </w:rPr>
        <w:t>&lt;lx "xu (quick-tour version)"&gt;</w:t>
      </w:r>
      <w:r>
        <w:rPr>
          <w:rStyle w:val="indexentry"/>
        </w:rPr>
        <w:fldChar w:fldCharType="begin"/>
      </w:r>
      <w:r>
        <w:instrText>xe "</w:instrText>
      </w:r>
      <w:r>
        <w:rPr>
          <w:rStyle w:val="xeentry"/>
        </w:rPr>
        <w:instrText>xu: quick-tour version</w:instrText>
      </w:r>
      <w:r>
        <w:instrText>"</w:instrText>
      </w:r>
      <w:r>
        <w:rPr>
          <w:rStyle w:val="indexentry"/>
        </w:rPr>
        <w:fldChar w:fldCharType="end"/>
      </w:r>
      <w:r>
        <w:t>In Lojban we have a word that asks precisely that question</w:t>
      </w:r>
      <w:r>
        <w:rPr>
          <w:rStyle w:val="deletedparamark"/>
        </w:rPr>
        <w:t xml:space="preserve"> </w:t>
      </w:r>
      <w:r>
        <w:t>in pre</w:t>
      </w:r>
      <w:r>
        <w:softHyphen/>
        <w:t>cisely the same way. The cmavo “xu”, when placed in front of a bridi,</w:t>
      </w:r>
      <w:r>
        <w:rPr>
          <w:rStyle w:val="deletedparamark"/>
        </w:rPr>
        <w:t xml:space="preserve"> </w:t>
      </w:r>
      <w:r>
        <w:t>asks whether that bridi is true as stated. So</w:t>
      </w:r>
    </w:p>
    <w:tbl>
      <w:tblPr>
        <w:tblW w:w="0" w:type="auto"/>
        <w:tblLayout w:type="fixed"/>
        <w:tblCellMar>
          <w:left w:w="0" w:type="dxa"/>
          <w:right w:w="0" w:type="dxa"/>
        </w:tblCellMar>
        <w:tblLook w:val="0000"/>
      </w:tblPr>
      <w:tblGrid>
        <w:gridCol w:w="864"/>
        <w:gridCol w:w="1245"/>
        <w:gridCol w:w="375"/>
        <w:gridCol w:w="960"/>
        <w:gridCol w:w="645"/>
      </w:tblGrid>
      <w:tr w:rsidR="00B72047">
        <w:tblPrEx>
          <w:tblCellMar>
            <w:top w:w="0" w:type="dxa"/>
            <w:left w:w="0" w:type="dxa"/>
            <w:bottom w:w="0" w:type="dxa"/>
            <w:right w:w="0" w:type="dxa"/>
          </w:tblCellMar>
        </w:tblPrEx>
        <w:trPr>
          <w:cantSplit/>
          <w:hidden w:val="0"/>
        </w:trPr>
        <w:tc>
          <w:tcPr>
            <w:tcW w:w="864" w:type="dxa"/>
          </w:tcPr>
          <w:p w:rsidR="00B72047" w:rsidRDefault="00B72047">
            <w:pPr>
              <w:spacing w:before="120"/>
              <w:ind w:left="144"/>
              <w:rPr>
                <w:rStyle w:val="htmlparacode"/>
                <w:rFonts w:ascii="ITC Officina Sans Book" w:hAnsi="ITC Officina Sans Book" w:cs="ITC Officina Sans Book"/>
              </w:rPr>
            </w:pPr>
            <w:r>
              <w:rPr>
                <w:rStyle w:val="htmlparacode"/>
                <w:rFonts w:ascii="ITC Officina Sans Book" w:hAnsi="ITC Officina Sans Book" w:cs="ITC Officina Sans Book"/>
                <w:vanish w:val="0"/>
              </w:rPr>
              <w:t>15.10)</w:t>
            </w:r>
          </w:p>
        </w:tc>
        <w:tc>
          <w:tcPr>
            <w:tcW w:w="124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rPr>
              <w:t>xu</w:t>
            </w:r>
          </w:p>
        </w:tc>
        <w:tc>
          <w:tcPr>
            <w:tcW w:w="37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do</w:t>
            </w:r>
          </w:p>
        </w:tc>
        <w:tc>
          <w:tcPr>
            <w:tcW w:w="960"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double"/>
              </w:rPr>
              <w:t>tavla</w:t>
            </w:r>
          </w:p>
        </w:tc>
        <w:tc>
          <w:tcPr>
            <w:tcW w:w="645" w:type="dxa"/>
          </w:tcPr>
          <w:p w:rsidR="00B72047" w:rsidRDefault="00B72047">
            <w:pPr>
              <w:spacing w:before="120"/>
              <w:rPr>
                <w:rStyle w:val="htmlparacode"/>
                <w:rFonts w:ascii="ITC Officina Sans Book" w:hAnsi="ITC Officina Sans Book" w:cs="ITC Officina Sans Book"/>
              </w:rPr>
            </w:pPr>
            <w:r>
              <w:rPr>
                <w:rStyle w:val="htmlparacode"/>
                <w:rFonts w:ascii="ITC Officina Sans Book" w:hAnsi="ITC Officina Sans Book" w:cs="ITC Officina Sans Book"/>
                <w:vanish w:val="0"/>
                <w:u w:val="single"/>
              </w:rPr>
              <w:t>mi</w:t>
            </w:r>
          </w:p>
        </w:tc>
      </w:tr>
      <w:tr w:rsidR="00B72047">
        <w:tblPrEx>
          <w:tblCellMar>
            <w:top w:w="0" w:type="dxa"/>
            <w:left w:w="0" w:type="dxa"/>
            <w:bottom w:w="0" w:type="dxa"/>
            <w:right w:w="0" w:type="dxa"/>
          </w:tblCellMar>
        </w:tblPrEx>
        <w:trPr>
          <w:cantSplit/>
        </w:trPr>
        <w:tc>
          <w:tcPr>
            <w:tcW w:w="864" w:type="dxa"/>
          </w:tcPr>
          <w:p w:rsidR="00B72047" w:rsidRDefault="00B72047">
            <w:pPr>
              <w:ind w:left="144"/>
              <w:rPr>
                <w:rStyle w:val="htmlparacode"/>
                <w:rFonts w:ascii="ITC Officina Sans Book" w:hAnsi="ITC Officina Sans Book" w:cs="ITC Officina Sans Book"/>
              </w:rPr>
            </w:pPr>
          </w:p>
        </w:tc>
        <w:tc>
          <w:tcPr>
            <w:tcW w:w="12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Is-it-true-that</w:t>
            </w:r>
          </w:p>
        </w:tc>
        <w:tc>
          <w:tcPr>
            <w:tcW w:w="37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you</w:t>
            </w:r>
          </w:p>
        </w:tc>
        <w:tc>
          <w:tcPr>
            <w:tcW w:w="960"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are-talking</w:t>
            </w:r>
          </w:p>
        </w:tc>
        <w:tc>
          <w:tcPr>
            <w:tcW w:w="645" w:type="dxa"/>
          </w:tcPr>
          <w:p w:rsidR="00B72047" w:rsidRDefault="00B72047">
            <w:pPr>
              <w:rPr>
                <w:rStyle w:val="htmlparacode"/>
                <w:rFonts w:ascii="ITC Officina Sans Book" w:hAnsi="ITC Officina Sans Book" w:cs="ITC Officina Sans Book"/>
              </w:rPr>
            </w:pPr>
            <w:r>
              <w:rPr>
                <w:rStyle w:val="htmlparacode"/>
                <w:rFonts w:ascii="ITC Officina Sans Book" w:hAnsi="ITC Officina Sans Book" w:cs="ITC Officina Sans Book"/>
                <w:vanish w:val="0"/>
              </w:rPr>
              <w:t>to-me?</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 xml:space="preserve">is the Lojban translation of </w:t>
      </w:r>
      <w:r>
        <w:rPr>
          <w:rStyle w:val="htmlcodes"/>
        </w:rPr>
        <w:t>&lt;a href=#e15d8&gt;</w:t>
      </w:r>
      <w:r>
        <w:t>Example 15.8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"go'i with xu (quick-tour version)"&gt;</w:t>
      </w:r>
      <w:r>
        <w:rPr>
          <w:rStyle w:val="indexentry"/>
        </w:rPr>
        <w:fldChar w:fldCharType="begin"/>
      </w:r>
      <w:r>
        <w:instrText>xe "</w:instrText>
      </w:r>
      <w:r>
        <w:rPr>
          <w:rStyle w:val="xeentry"/>
        </w:rPr>
        <w:instrText>go'i with xu: quick-tour version</w:instrText>
      </w:r>
      <w:r>
        <w:instrText>"</w:instrText>
      </w:r>
      <w:r>
        <w:rPr>
          <w:rStyle w:val="indexentry"/>
        </w:rPr>
        <w:fldChar w:fldCharType="end"/>
      </w:r>
      <w:r>
        <w:rPr>
          <w:rStyle w:val="indexentry"/>
        </w:rPr>
        <w:t>&lt;cx "affirmative answer (quick-tour version)"&gt;</w:t>
      </w:r>
      <w:r>
        <w:rPr>
          <w:rStyle w:val="indexentry"/>
        </w:rPr>
        <w:fldChar w:fldCharType="begin"/>
      </w:r>
      <w:r>
        <w:instrText>xe "</w:instrText>
      </w:r>
      <w:r>
        <w:rPr>
          <w:rStyle w:val="xeentry"/>
        </w:rPr>
        <w:instrText>affirmative answer: quick-tour version</w:instrText>
      </w:r>
      <w:r>
        <w:instrText>"</w:instrText>
      </w:r>
      <w:r>
        <w:rPr>
          <w:rStyle w:val="indexentry"/>
        </w:rPr>
        <w:fldChar w:fldCharType="end"/>
      </w:r>
      <w:r>
        <w:t>The answer “Yes” may be given by simply restating the bridi without the</w:t>
      </w:r>
      <w:r>
        <w:rPr>
          <w:rStyle w:val="deletedparamark"/>
        </w:rPr>
        <w:t xml:space="preserve"> “</w:t>
      </w:r>
      <w:r>
        <w:t>xu” ques</w:t>
      </w:r>
      <w:r>
        <w:softHyphen/>
        <w:t>tion word. Lojban has a shorthand for doing this with the word</w:t>
      </w:r>
      <w:r>
        <w:rPr>
          <w:rStyle w:val="deletedparamark"/>
        </w:rPr>
        <w:t xml:space="preserve"> “</w:t>
      </w:r>
      <w:r>
        <w:t xml:space="preserve">go'i”, mentioned in </w:t>
      </w:r>
      <w:r>
        <w:rPr>
          <w:rStyle w:val="htmlcodes"/>
        </w:rPr>
        <w:t>&lt;a href=#s11&gt;</w:t>
      </w:r>
      <w:r>
        <w:t>Sec</w:t>
      </w:r>
      <w:r>
        <w:softHyphen/>
        <w:t>tion 11</w:t>
      </w:r>
      <w:r>
        <w:rPr>
          <w:rStyle w:val="htmlcodes"/>
        </w:rPr>
        <w:t>&lt;/a&gt;</w:t>
      </w:r>
      <w:r>
        <w:t>. Instead of a negative</w:t>
      </w:r>
      <w:r>
        <w:rPr>
          <w:rStyle w:val="deletedparamark"/>
        </w:rPr>
        <w:t xml:space="preserve"> </w:t>
      </w:r>
      <w:r>
        <w:t>answer, the bridi may be restated in such a way as to make it true. If</w:t>
      </w:r>
      <w:r>
        <w:rPr>
          <w:rStyle w:val="deletedparamark"/>
        </w:rPr>
        <w:t xml:space="preserve"> </w:t>
      </w:r>
      <w:r>
        <w:t>this can be done by substituting sumti, it may be done with “go'i” as well.</w:t>
      </w:r>
      <w:r>
        <w:rPr>
          <w:rStyle w:val="deletedparamark"/>
        </w:rPr>
        <w:t xml:space="preserve"> </w:t>
      </w:r>
      <w:r>
        <w:t>For example:</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&lt;ex "healthy"&gt;</w:t>
      </w:r>
      <w:r>
        <w:rPr>
          <w:rStyle w:val="indexentry"/>
        </w:rPr>
        <w:fldChar w:fldCharType="begin"/>
      </w:r>
      <w:r>
        <w:instrText>xe "</w:instrText>
      </w:r>
      <w:r>
        <w:rPr>
          <w:rStyle w:val="xeentry"/>
        </w:rPr>
        <w:instrText>healthy: example</w:instrText>
      </w:r>
      <w:r>
        <w:instrText>"</w:instrText>
      </w:r>
      <w:r>
        <w:rPr>
          <w:rStyle w:val="indexentry"/>
        </w:rPr>
        <w:fldChar w:fldCharType="end"/>
      </w:r>
      <w:r>
        <w:rPr>
          <w:rStyle w:val="htmlcodes"/>
        </w:rPr>
        <w:t>&lt;pre&gt;&lt;a name=e15d11&gt;</w:t>
      </w:r>
      <w:r>
        <w:t>15.11)</w:t>
      </w:r>
      <w:r>
        <w:tab/>
        <w:t xml:space="preserve">xu </w:t>
      </w:r>
      <w:r>
        <w:rPr>
          <w:u w:val="single"/>
        </w:rPr>
        <w:t>do</w:t>
      </w:r>
      <w:r>
        <w:t xml:space="preserve"> </w:t>
      </w:r>
      <w:r>
        <w:rPr>
          <w:u w:val="double"/>
        </w:rPr>
        <w:t>kanro</w:t>
      </w:r>
    </w:p>
    <w:p w:rsidR="00B72047" w:rsidRDefault="00B72047">
      <w:pPr>
        <w:pStyle w:val="examplescaled"/>
      </w:pPr>
      <w:r>
        <w:tab/>
        <w:t>Are you healthy?</w:t>
      </w:r>
    </w:p>
    <w:p w:rsidR="00B72047" w:rsidRDefault="00B72047">
      <w:pPr>
        <w:pStyle w:val="resumedafterexample"/>
      </w:pPr>
      <w:r>
        <w:rPr>
          <w:rStyle w:val="htmlcodes"/>
        </w:rPr>
        <w:t>&lt;/pre&gt;</w:t>
      </w:r>
      <w:r>
        <w:t>can be answered with</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name=e15d12&gt;</w:t>
      </w:r>
      <w:r>
        <w:t>15.12)</w:t>
      </w:r>
      <w:r>
        <w:tab/>
      </w:r>
      <w:r>
        <w:rPr>
          <w:u w:val="single"/>
        </w:rPr>
        <w:t>mi</w:t>
      </w:r>
      <w:r>
        <w:t xml:space="preserve"> </w:t>
      </w:r>
      <w:r>
        <w:rPr>
          <w:u w:val="double"/>
        </w:rPr>
        <w:t>kanro</w:t>
      </w:r>
    </w:p>
    <w:p w:rsidR="00B72047" w:rsidRDefault="00B72047">
      <w:pPr>
        <w:pStyle w:val="examplescaled"/>
      </w:pPr>
      <w:r>
        <w:tab/>
        <w:t>I am healthy.</w:t>
      </w:r>
    </w:p>
    <w:p w:rsidR="00B72047" w:rsidRDefault="00B72047">
      <w:pPr>
        <w:pStyle w:val="resumedafterexample"/>
      </w:pPr>
      <w:r>
        <w:rPr>
          <w:rStyle w:val="htmlcodes"/>
        </w:rPr>
        <w:t>&lt;/pre&gt;</w:t>
      </w:r>
      <w:r>
        <w:t>or</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name=e15d13&gt;</w:t>
      </w:r>
      <w:r>
        <w:t>15.13)</w:t>
      </w:r>
      <w:r>
        <w:tab/>
      </w:r>
      <w:r>
        <w:rPr>
          <w:u w:val="double"/>
        </w:rPr>
        <w:t>go'i</w:t>
      </w:r>
    </w:p>
    <w:p w:rsidR="00B72047" w:rsidRDefault="00B72047">
      <w:pPr>
        <w:pStyle w:val="examplescaled"/>
      </w:pPr>
      <w:r>
        <w:tab/>
        <w:t>I am healthy.</w:t>
      </w:r>
    </w:p>
    <w:p w:rsidR="00B72047" w:rsidRDefault="00B72047">
      <w:pPr>
        <w:pStyle w:val="resumedafterexample"/>
      </w:pPr>
      <w:r>
        <w:rPr>
          <w:rStyle w:val="htmlcodes"/>
        </w:rPr>
        <w:t>&lt;/pre&gt;</w:t>
      </w:r>
      <w:r>
        <w:t>(Note that “do” to the questioner is “mi” to the respondent.)</w:t>
      </w:r>
    </w:p>
    <w:p w:rsidR="00B72047" w:rsidRDefault="00B72047">
      <w:pPr>
        <w:rPr>
          <w:rStyle w:val="htmlparacode"/>
        </w:rPr>
      </w:pPr>
      <w:r>
        <w:rPr>
          <w:rStyle w:val="htmlparacode"/>
        </w:rPr>
        <w:t>&lt;p&gt;</w:t>
      </w:r>
    </w:p>
    <w:p w:rsidR="00B72047" w:rsidRDefault="00B72047">
      <w:pPr>
        <w:pStyle w:val="resumedafterexample"/>
      </w:pPr>
      <w:r>
        <w:t>or</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name=e15d14&gt;</w:t>
      </w:r>
      <w:r>
        <w:t>15.14)</w:t>
      </w:r>
      <w:r>
        <w:tab/>
      </w:r>
      <w:r>
        <w:rPr>
          <w:u w:val="single"/>
        </w:rPr>
        <w:t>le tavla</w:t>
      </w:r>
      <w:r>
        <w:t xml:space="preserve"> cu </w:t>
      </w:r>
      <w:r>
        <w:rPr>
          <w:u w:val="double"/>
        </w:rPr>
        <w:t>kanro</w:t>
      </w:r>
    </w:p>
    <w:p w:rsidR="00B72047" w:rsidRDefault="00B72047">
      <w:pPr>
        <w:pStyle w:val="examplescaled"/>
      </w:pPr>
      <w:r>
        <w:tab/>
        <w:t>The talker is healthy.</w:t>
      </w:r>
    </w:p>
    <w:p w:rsidR="00B72047" w:rsidRDefault="00B72047">
      <w:pPr>
        <w:pStyle w:val="resumedafterexample"/>
      </w:pPr>
      <w:r>
        <w:rPr>
          <w:rStyle w:val="htmlcodes"/>
        </w:rPr>
        <w:t>&lt;/pre&gt;</w:t>
      </w:r>
      <w:r>
        <w:t>or</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name=e15d15&gt;</w:t>
      </w:r>
      <w:r>
        <w:t>15.15)</w:t>
      </w:r>
      <w:r>
        <w:tab/>
      </w:r>
      <w:r>
        <w:rPr>
          <w:u w:val="single"/>
        </w:rPr>
        <w:t>le tavla</w:t>
      </w:r>
      <w:r>
        <w:t xml:space="preserve"> cu </w:t>
      </w:r>
      <w:r>
        <w:rPr>
          <w:u w:val="double"/>
        </w:rPr>
        <w:t>go'i</w:t>
      </w:r>
    </w:p>
    <w:p w:rsidR="00B72047" w:rsidRDefault="00B72047">
      <w:pPr>
        <w:pStyle w:val="examplescaled"/>
      </w:pPr>
      <w:r>
        <w:tab/>
        <w:t>The talker is healthy.</w:t>
      </w:r>
    </w:p>
    <w:p w:rsidR="00B72047" w:rsidRDefault="00B72047">
      <w:pPr>
        <w:pStyle w:val="normalafterexample"/>
      </w:pPr>
      <w:r>
        <w:rPr>
          <w:rStyle w:val="htmlcodes"/>
        </w:rPr>
        <w:t>&lt;/pre&gt;</w:t>
      </w:r>
      <w:r>
        <w:rPr>
          <w:rStyle w:val="indexentry"/>
        </w:rPr>
        <w:t>&lt;lx "nago'i (quick-tour version)"&gt;</w:t>
      </w:r>
      <w:r>
        <w:rPr>
          <w:rStyle w:val="indexentry"/>
        </w:rPr>
        <w:fldChar w:fldCharType="begin"/>
      </w:r>
      <w:r>
        <w:instrText>xe "</w:instrText>
      </w:r>
      <w:r>
        <w:rPr>
          <w:rStyle w:val="xeentry"/>
        </w:rPr>
        <w:instrText>nago'i: quick-tour version</w:instrText>
      </w:r>
      <w:r>
        <w:instrText>"</w:instrText>
      </w:r>
      <w:r>
        <w:rPr>
          <w:rStyle w:val="indexentry"/>
        </w:rPr>
        <w:fldChar w:fldCharType="end"/>
      </w:r>
      <w:r>
        <w:rPr>
          <w:rStyle w:val="indexentry"/>
        </w:rPr>
        <w:t>&lt;cx "negative answer (quick-tour version)"&gt;</w:t>
      </w:r>
      <w:r>
        <w:rPr>
          <w:rStyle w:val="indexentry"/>
        </w:rPr>
        <w:fldChar w:fldCharType="begin"/>
      </w:r>
      <w:r>
        <w:instrText>xe "</w:instrText>
      </w:r>
      <w:r>
        <w:rPr>
          <w:rStyle w:val="xeentry"/>
        </w:rPr>
        <w:instrText>negative answer: quick-tour version</w:instrText>
      </w:r>
      <w:r>
        <w:instrText>"</w:instrText>
      </w:r>
      <w:r>
        <w:rPr>
          <w:rStyle w:val="indexentry"/>
        </w:rPr>
        <w:fldChar w:fldCharType="end"/>
      </w:r>
      <w:r>
        <w:t>A general negative answer may be given by “na go'i”. “na” may be</w:t>
      </w:r>
      <w:r>
        <w:rPr>
          <w:rStyle w:val="deletedparamark"/>
        </w:rPr>
        <w:t xml:space="preserve"> </w:t>
      </w:r>
      <w:r>
        <w:t>placed be</w:t>
      </w:r>
      <w:r>
        <w:softHyphen/>
        <w:t>fore any selbri (but after the “cu”). It is equivalent to stating</w:t>
      </w:r>
      <w:r>
        <w:rPr>
          <w:rStyle w:val="deletedparamark"/>
        </w:rPr>
        <w:t xml:space="preserve"> “</w:t>
      </w:r>
      <w:r>
        <w:t>It is not true that </w:t>
      </w:r>
      <w:r>
        <w:rPr>
          <w:rStyle w:val="htmlcodes"/>
        </w:rPr>
        <w:t>&lt;dots&gt;</w:t>
      </w:r>
      <w:r>
        <w:t>…</w:t>
      </w:r>
      <w:r>
        <w:rPr>
          <w:rStyle w:val="htmlcodes"/>
        </w:rPr>
        <w:t>&lt;/dots&gt;</w:t>
      </w:r>
      <w:r>
        <w:t>” be</w:t>
      </w:r>
      <w:r>
        <w:softHyphen/>
        <w:t>fore the bridi. It does not imply that</w:t>
      </w:r>
      <w:r>
        <w:rPr>
          <w:rStyle w:val="deletedparamark"/>
        </w:rPr>
        <w:t xml:space="preserve"> </w:t>
      </w:r>
      <w:r>
        <w:t>anything else is true or untrue, only that that spe</w:t>
      </w:r>
      <w:r>
        <w:softHyphen/>
        <w:t>cific bridi is not true.</w:t>
      </w:r>
      <w:r>
        <w:rPr>
          <w:rStyle w:val="deletedparamark"/>
        </w:rPr>
        <w:t xml:space="preserve"> </w:t>
      </w:r>
      <w:r>
        <w:t xml:space="preserve">More details on negative statements are available in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99" w:name="_Toc395691480"/>
      <w:bookmarkStart w:id="100" w:name="_Toc395691674"/>
      <w:bookmarkStart w:id="101" w:name="_Toc398970451"/>
      <w:r>
        <w:rPr>
          <w:rStyle w:val="Heading3Text"/>
        </w:rPr>
        <w:t>Indicators</w:t>
      </w:r>
      <w:bookmarkEnd w:id="99"/>
      <w:bookmarkEnd w:id="100"/>
      <w:bookmarkEnd w:id="10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"indicators (quick-tour version)"&gt;</w:t>
      </w:r>
      <w:r>
        <w:rPr>
          <w:rStyle w:val="indexentry"/>
        </w:rPr>
        <w:fldChar w:fldCharType="begin"/>
      </w:r>
      <w:r>
        <w:instrText>xe "</w:instrText>
      </w:r>
      <w:r>
        <w:rPr>
          <w:rStyle w:val="xeentry"/>
        </w:rPr>
        <w:instrText>indicators: quick-tour version</w:instrText>
      </w:r>
      <w:r>
        <w:instrText>"</w:instrText>
      </w:r>
      <w:r>
        <w:rPr>
          <w:rStyle w:val="indexentry"/>
        </w:rPr>
        <w:fldChar w:fldCharType="end"/>
      </w:r>
      <w:r>
        <w:rPr>
          <w:rStyle w:val="indexentry"/>
        </w:rPr>
        <w:t>&lt;cx "attitudinal indicators (quick-tour version)"&gt;</w:t>
      </w:r>
      <w:r>
        <w:rPr>
          <w:rStyle w:val="indexentry"/>
        </w:rPr>
        <w:fldChar w:fldCharType="begin"/>
      </w:r>
      <w:r>
        <w:instrText>xe "</w:instrText>
      </w:r>
      <w:r>
        <w:rPr>
          <w:rStyle w:val="xeentry"/>
        </w:rPr>
        <w:instrText>attitudinal indicators: quick-tour version</w:instrText>
      </w:r>
      <w:r>
        <w:instrText>"</w:instrText>
      </w:r>
      <w:r>
        <w:rPr>
          <w:rStyle w:val="indexentry"/>
        </w:rPr>
        <w:fldChar w:fldCharType="end"/>
      </w:r>
      <w:r>
        <w:rPr>
          <w:rStyle w:val="indexentry"/>
        </w:rPr>
        <w:t>&lt;cx "interjections (quick-tour version)"&gt;</w:t>
      </w:r>
      <w:r>
        <w:rPr>
          <w:rStyle w:val="indexentry"/>
        </w:rPr>
        <w:fldChar w:fldCharType="begin"/>
      </w:r>
      <w:r>
        <w:instrText>xe "</w:instrText>
      </w:r>
      <w:r>
        <w:rPr>
          <w:rStyle w:val="xeentry"/>
        </w:rPr>
        <w:instrText>interjections: quick-tour version</w:instrText>
      </w:r>
      <w:r>
        <w:instrText>"</w:instrText>
      </w:r>
      <w:r>
        <w:rPr>
          <w:rStyle w:val="indexentry"/>
        </w:rPr>
        <w:fldChar w:fldCharType="end"/>
      </w:r>
      <w:r>
        <w:t>Different cultures express emotions and attitudes with a vari</w:t>
      </w:r>
      <w:r>
        <w:softHyphen/>
        <w:t>ety of</w:t>
      </w:r>
      <w:r>
        <w:rPr>
          <w:rStyle w:val="deletedparamark"/>
        </w:rPr>
        <w:t xml:space="preserve"> </w:t>
      </w:r>
      <w:r>
        <w:t>intonations and gestures that are not usually included in written lan</w:t>
      </w:r>
      <w:r>
        <w:softHyphen/>
        <w:t>guage.</w:t>
      </w:r>
      <w:r>
        <w:rPr>
          <w:rStyle w:val="deletedparamark"/>
        </w:rPr>
        <w:t xml:space="preserve"> </w:t>
      </w:r>
      <w:r>
        <w:t>Some of these are avail</w:t>
      </w:r>
      <w:r>
        <w:softHyphen/>
        <w:t>able in some languages as interjec</w:t>
      </w:r>
      <w:r>
        <w:softHyphen/>
        <w:t>tions (i.e. Aha!,</w:t>
      </w:r>
      <w:r>
        <w:rPr>
          <w:rStyle w:val="deletedparamark"/>
        </w:rPr>
        <w:t xml:space="preserve"> </w:t>
      </w:r>
      <w:r>
        <w:t>Oh no!, Ouch!, Aahh!, etc.), but they vary greatly from culture to culture.</w:t>
      </w:r>
    </w:p>
    <w:p w:rsidR="00B72047" w:rsidRDefault="00B72047">
      <w:pPr>
        <w:pStyle w:val="normalparagraph"/>
        <w:rPr>
          <w:rStyle w:val="htmlparacode"/>
        </w:rPr>
      </w:pPr>
      <w:r>
        <w:rPr>
          <w:rStyle w:val="htmlparacode"/>
        </w:rPr>
        <w:t>&lt;p&gt;</w:t>
      </w:r>
    </w:p>
    <w:p w:rsidR="00B72047" w:rsidRDefault="00B72047">
      <w:pPr>
        <w:pStyle w:val="normalparagraph"/>
      </w:pPr>
      <w:r>
        <w:t>Lojban has a group of cmavo known as “attitudinal indicators” which specifi</w:t>
      </w:r>
      <w:r>
        <w:softHyphen/>
        <w:t>cally</w:t>
      </w:r>
      <w:r>
        <w:rPr>
          <w:rStyle w:val="deletedparamark"/>
        </w:rPr>
        <w:t xml:space="preserve"> </w:t>
      </w:r>
      <w:r>
        <w:t>covers this type of commentary on spoken state</w:t>
      </w:r>
      <w:r>
        <w:softHyphen/>
        <w:t>ments. They are both written</w:t>
      </w:r>
      <w:r>
        <w:rPr>
          <w:rStyle w:val="deletedparamark"/>
        </w:rPr>
        <w:t xml:space="preserve"> </w:t>
      </w:r>
      <w:r>
        <w:t>and spo</w:t>
      </w:r>
      <w:r>
        <w:softHyphen/>
        <w:t>ken, but require no specific in</w:t>
      </w:r>
      <w:r>
        <w:softHyphen/>
        <w:t>tonation or gestures. Grammatically</w:t>
      </w:r>
      <w:r>
        <w:rPr>
          <w:rStyle w:val="deletedparamark"/>
        </w:rPr>
        <w:t xml:space="preserve"> </w:t>
      </w:r>
      <w:r>
        <w:t>they are very simple: one or more attitu</w:t>
      </w:r>
      <w:r>
        <w:softHyphen/>
        <w:t>dinals at the beginning of a bridi</w:t>
      </w:r>
      <w:r>
        <w:rPr>
          <w:rStyle w:val="deletedparamark"/>
        </w:rPr>
        <w:t xml:space="preserve"> </w:t>
      </w:r>
      <w:r>
        <w:t>apply to the entire bridi; anywhere else in the bridi they apply to the</w:t>
      </w:r>
      <w:r>
        <w:rPr>
          <w:rStyle w:val="deletedparamark"/>
        </w:rPr>
        <w:t xml:space="preserve"> </w:t>
      </w:r>
      <w:r>
        <w:t>word immediately to the left. For example:</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&lt;lx "UI (quick-tour version)"&gt;</w:t>
      </w:r>
      <w:r>
        <w:rPr>
          <w:rStyle w:val="indexentry"/>
        </w:rPr>
        <w:fldChar w:fldCharType="begin"/>
      </w:r>
      <w:r>
        <w:instrText>xe "</w:instrText>
      </w:r>
      <w:r>
        <w:rPr>
          <w:rStyle w:val="xeentry"/>
        </w:rPr>
        <w:instrText>UI selma’o: quick-tour version</w:instrText>
      </w:r>
      <w:r>
        <w:instrText>"</w:instrText>
      </w:r>
      <w:r>
        <w:rPr>
          <w:rStyle w:val="indexentry"/>
        </w:rPr>
        <w:fldChar w:fldCharType="end"/>
      </w:r>
      <w:r>
        <w:rPr>
          <w:rStyle w:val="htmlcodes"/>
        </w:rPr>
        <w:t>&lt;pre&gt;&lt;a name=e16d1&gt;</w:t>
      </w:r>
      <w:r>
        <w:t>16.1)</w:t>
      </w:r>
      <w:r>
        <w:tab/>
        <w:t xml:space="preserve">.ie </w:t>
      </w:r>
      <w:r>
        <w:rPr>
          <w:u w:val="single"/>
        </w:rPr>
        <w:t>mi</w:t>
      </w:r>
      <w:r>
        <w:t xml:space="preserve"> [cu] </w:t>
      </w:r>
      <w:r>
        <w:rPr>
          <w:u w:val="double"/>
        </w:rPr>
        <w:t>klama</w:t>
      </w:r>
    </w:p>
    <w:p w:rsidR="00B72047" w:rsidRDefault="00B72047">
      <w:pPr>
        <w:pStyle w:val="examplescaled"/>
      </w:pPr>
      <w:r>
        <w:tab/>
        <w:t>Agreement! I go.</w:t>
      </w:r>
    </w:p>
    <w:p w:rsidR="00B72047" w:rsidRDefault="00B72047">
      <w:pPr>
        <w:pStyle w:val="examplescaled"/>
      </w:pPr>
      <w:r>
        <w:tab/>
        <w:t>Yep! I'll go.</w:t>
      </w:r>
    </w:p>
    <w:p w:rsidR="00B72047" w:rsidRDefault="00B72047">
      <w:pPr>
        <w:pStyle w:val="examplescaledpre"/>
        <w:rPr>
          <w:rStyle w:val="htmlcodes"/>
        </w:rPr>
      </w:pPr>
    </w:p>
    <w:p w:rsidR="00B72047" w:rsidRDefault="00B72047">
      <w:pPr>
        <w:pStyle w:val="examplescaledpre"/>
      </w:pPr>
      <w:r>
        <w:rPr>
          <w:rStyle w:val="htmlcodes"/>
        </w:rPr>
        <w:t>&lt;a name=e16d2&gt;</w:t>
      </w:r>
      <w:r>
        <w:t>16.2)</w:t>
      </w:r>
      <w:r>
        <w:tab/>
        <w:t xml:space="preserve">.ei </w:t>
      </w:r>
      <w:r>
        <w:rPr>
          <w:u w:val="single"/>
        </w:rPr>
        <w:t>mi</w:t>
      </w:r>
      <w:r>
        <w:t xml:space="preserve"> [cu] </w:t>
      </w:r>
      <w:r>
        <w:rPr>
          <w:u w:val="double"/>
        </w:rPr>
        <w:t>klama</w:t>
      </w:r>
    </w:p>
    <w:p w:rsidR="00B72047" w:rsidRDefault="00B72047">
      <w:pPr>
        <w:pStyle w:val="examplescaled"/>
      </w:pPr>
      <w:r>
        <w:tab/>
        <w:t>Obligation! I go.</w:t>
      </w:r>
    </w:p>
    <w:p w:rsidR="00B72047" w:rsidRDefault="00B72047">
      <w:pPr>
        <w:pStyle w:val="examplescaled"/>
      </w:pPr>
      <w:r>
        <w:tab/>
        <w:t>I should go.</w:t>
      </w:r>
    </w:p>
    <w:p w:rsidR="00B72047" w:rsidRDefault="00B72047">
      <w:pPr>
        <w:pStyle w:val="examplescaledpre"/>
        <w:spacing w:before="0"/>
        <w:rPr>
          <w:rStyle w:val="htmlcodes"/>
        </w:rPr>
      </w:pPr>
      <w:r>
        <w:rPr>
          <w:rStyle w:val="htmlcodes"/>
          <w:vanish w:val="0"/>
        </w:rPr>
        <w:br w:type="page"/>
      </w:r>
    </w:p>
    <w:p w:rsidR="00B72047" w:rsidRDefault="00B72047">
      <w:pPr>
        <w:pStyle w:val="examplescaledpre"/>
      </w:pPr>
      <w:r>
        <w:rPr>
          <w:rStyle w:val="htmlcodes"/>
        </w:rPr>
        <w:t>&lt;a name=e16d3&gt;</w:t>
      </w:r>
      <w:r>
        <w:t>16.3)</w:t>
      </w:r>
      <w:r>
        <w:tab/>
      </w:r>
      <w:r>
        <w:rPr>
          <w:u w:val="single"/>
        </w:rPr>
        <w:t>mi</w:t>
      </w:r>
      <w:r>
        <w:t xml:space="preserve"> [cu] </w:t>
      </w:r>
      <w:r>
        <w:rPr>
          <w:u w:val="double"/>
        </w:rPr>
        <w:t>klama</w:t>
      </w:r>
      <w:r>
        <w:t xml:space="preserve"> </w:t>
      </w:r>
      <w:r>
        <w:rPr>
          <w:u w:val="single"/>
        </w:rPr>
        <w:t>le melbi .ui [ku]</w:t>
      </w:r>
    </w:p>
    <w:p w:rsidR="00B72047" w:rsidRDefault="00B72047">
      <w:pPr>
        <w:pStyle w:val="examplescaled"/>
      </w:pPr>
      <w:r>
        <w:tab/>
        <w:t>I go to the beautiful-thing (and I am happy because it is the beautiful</w:t>
      </w:r>
    </w:p>
    <w:p w:rsidR="00B72047" w:rsidRDefault="00B72047">
      <w:pPr>
        <w:pStyle w:val="examplescaled"/>
        <w:ind w:left="2880" w:firstLine="576"/>
      </w:pPr>
      <w:r>
        <w:t>thing I'm going to).</w:t>
      </w:r>
    </w:p>
    <w:p w:rsidR="00B72047" w:rsidRDefault="00B72047">
      <w:pPr>
        <w:pStyle w:val="normalafterexample"/>
      </w:pPr>
      <w:r>
        <w:rPr>
          <w:rStyle w:val="htmlcodes"/>
        </w:rPr>
        <w:t>&lt;/pre&gt;</w:t>
      </w:r>
      <w:r>
        <w:rPr>
          <w:rStyle w:val="indexentry"/>
        </w:rPr>
        <w:t>&lt;cx "discursives (quick-tour version)"&gt;</w:t>
      </w:r>
      <w:r>
        <w:rPr>
          <w:rStyle w:val="indexentry"/>
        </w:rPr>
        <w:fldChar w:fldCharType="begin"/>
      </w:r>
      <w:r>
        <w:instrText>xe "</w:instrText>
      </w:r>
      <w:r>
        <w:rPr>
          <w:rStyle w:val="xeentry"/>
        </w:rPr>
        <w:instrText>discursives: quick-tour version</w:instrText>
      </w:r>
      <w:r>
        <w:instrText>"</w:instrText>
      </w:r>
      <w:r>
        <w:rPr>
          <w:rStyle w:val="indexentry"/>
        </w:rPr>
        <w:fldChar w:fldCharType="end"/>
      </w:r>
      <w:r>
        <w:rPr>
          <w:rStyle w:val="indexentry"/>
        </w:rPr>
        <w:t>&lt;cx "metalinguistic words (quick-tour version)"&gt;</w:t>
      </w:r>
      <w:r>
        <w:rPr>
          <w:rStyle w:val="indexentry"/>
        </w:rPr>
        <w:fldChar w:fldCharType="begin"/>
      </w:r>
      <w:r>
        <w:instrText>xe "</w:instrText>
      </w:r>
      <w:r>
        <w:rPr>
          <w:rStyle w:val="xeentry"/>
        </w:rPr>
        <w:instrText>metalinguistic words: quick-tour version</w:instrText>
      </w:r>
      <w:r>
        <w:instrText>"</w:instrText>
      </w:r>
      <w:r>
        <w:rPr>
          <w:rStyle w:val="indexentry"/>
        </w:rPr>
        <w:fldChar w:fldCharType="end"/>
      </w:r>
      <w:r>
        <w:rPr>
          <w:rStyle w:val="indexentry"/>
        </w:rPr>
        <w:t>&lt;cx "but/and equivalence"&gt;</w:t>
      </w:r>
      <w:r>
        <w:rPr>
          <w:rStyle w:val="indexentry"/>
        </w:rPr>
        <w:fldChar w:fldCharType="begin"/>
      </w:r>
      <w:r>
        <w:instrText>xe "</w:instrText>
      </w:r>
      <w:r>
        <w:rPr>
          <w:rStyle w:val="xeentry"/>
        </w:rPr>
        <w:instrText>but/and equivalence</w:instrText>
      </w:r>
      <w:r>
        <w:instrText>"</w:instrText>
      </w:r>
      <w:r>
        <w:rPr>
          <w:rStyle w:val="indexentry"/>
        </w:rPr>
        <w:fldChar w:fldCharType="end"/>
      </w:r>
      <w:r>
        <w:t>Not all indicators indicate attitudes. Discursives, another group of</w:t>
      </w:r>
      <w:r>
        <w:rPr>
          <w:rStyle w:val="deletedparamark"/>
        </w:rPr>
        <w:t xml:space="preserve"> </w:t>
      </w:r>
      <w:r>
        <w:t>cmavo with the same grammatical rules as attitudinal indi</w:t>
      </w:r>
      <w:r>
        <w:softHyphen/>
        <w:t>cators, allow free</w:t>
      </w:r>
      <w:r>
        <w:rPr>
          <w:rStyle w:val="deletedparamark"/>
        </w:rPr>
        <w:t xml:space="preserve"> </w:t>
      </w:r>
      <w:r>
        <w:t>expression of certain kinds of commentary about the main utter</w:t>
      </w:r>
      <w:r>
        <w:softHyphen/>
        <w:t>ances. Using</w:t>
      </w:r>
      <w:r>
        <w:rPr>
          <w:rStyle w:val="deletedparamark"/>
        </w:rPr>
        <w:t xml:space="preserve"> </w:t>
      </w:r>
      <w:r>
        <w:t>discursives allows a clear sepa</w:t>
      </w:r>
      <w:r>
        <w:softHyphen/>
        <w:t>ration of these so-called “metalinguistic”</w:t>
      </w:r>
      <w:r>
        <w:rPr>
          <w:rStyle w:val="deletedparamark"/>
        </w:rPr>
        <w:t xml:space="preserve"> </w:t>
      </w:r>
      <w:r>
        <w:t>features from the underlying state</w:t>
      </w:r>
      <w:r>
        <w:softHyphen/>
        <w:t>ments and logical structure. By comparison,</w:t>
      </w:r>
      <w:r>
        <w:rPr>
          <w:rStyle w:val="deletedparamark"/>
        </w:rPr>
        <w:t xml:space="preserve"> </w:t>
      </w:r>
      <w:r>
        <w:t>the English words “but” and “also”, which discur</w:t>
      </w:r>
      <w:r>
        <w:softHyphen/>
        <w:t>sively indi</w:t>
      </w:r>
      <w:r>
        <w:softHyphen/>
        <w:t>cate contrast</w:t>
      </w:r>
      <w:r>
        <w:rPr>
          <w:rStyle w:val="deletedparamark"/>
        </w:rPr>
        <w:t xml:space="preserve"> </w:t>
      </w:r>
      <w:r>
        <w:t>or an added weight of example, are logically equivalent to “and”, which does</w:t>
      </w:r>
      <w:r>
        <w:rPr>
          <w:rStyle w:val="deletedparamark"/>
        </w:rPr>
        <w:t xml:space="preserve"> </w:t>
      </w:r>
      <w:r>
        <w:t>not have a dis</w:t>
      </w:r>
      <w:r>
        <w:softHyphen/>
        <w:t>cursive con</w:t>
      </w:r>
      <w:r>
        <w:softHyphen/>
        <w:t>tent. The average English-speaker does not think</w:t>
      </w:r>
      <w:r>
        <w:rPr>
          <w:rStyle w:val="deletedparamark"/>
        </w:rPr>
        <w:t xml:space="preserve"> </w:t>
      </w:r>
      <w:r>
        <w:t>about, and may not even realize, the paradoxical idea that “but” basically</w:t>
      </w:r>
      <w:r>
        <w:rPr>
          <w:rStyle w:val="deletedparamark"/>
        </w:rPr>
        <w:t xml:space="preserve"> </w:t>
      </w:r>
      <w:r>
        <w:t>means “and”.</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name=e16d4&gt;</w:t>
      </w:r>
      <w:r>
        <w:t>16.4)</w:t>
      </w:r>
      <w:r>
        <w:tab/>
      </w:r>
      <w:r>
        <w:rPr>
          <w:u w:val="single"/>
        </w:rPr>
        <w:t>mi</w:t>
      </w:r>
      <w:r>
        <w:t xml:space="preserve"> [cu] </w:t>
      </w:r>
      <w:r>
        <w:rPr>
          <w:u w:val="double"/>
        </w:rPr>
        <w:t>klama</w:t>
      </w:r>
      <w:r>
        <w:t xml:space="preserve">  .i </w:t>
      </w:r>
      <w:r>
        <w:rPr>
          <w:u w:val="single"/>
        </w:rPr>
        <w:t>do</w:t>
      </w:r>
      <w:r>
        <w:t xml:space="preserve"> [cu] </w:t>
      </w:r>
      <w:r>
        <w:rPr>
          <w:u w:val="double"/>
        </w:rPr>
        <w:t>stali</w:t>
      </w:r>
    </w:p>
    <w:p w:rsidR="00B72047" w:rsidRDefault="00B72047">
      <w:pPr>
        <w:pStyle w:val="examplescaled"/>
      </w:pPr>
      <w:r>
        <w:tab/>
        <w:t>I go.  You stay.</w:t>
      </w:r>
    </w:p>
    <w:p w:rsidR="00B72047" w:rsidRDefault="00B72047">
      <w:pPr>
        <w:pStyle w:val="examplescaledpre"/>
        <w:rPr>
          <w:rStyle w:val="htmlcodes"/>
        </w:rPr>
      </w:pPr>
    </w:p>
    <w:p w:rsidR="00B72047" w:rsidRDefault="00B72047">
      <w:pPr>
        <w:pStyle w:val="examplescaledpre"/>
      </w:pPr>
      <w:r>
        <w:rPr>
          <w:rStyle w:val="htmlcodes"/>
        </w:rPr>
        <w:t>&lt;a name=e16d5&gt;</w:t>
      </w:r>
      <w:r>
        <w:t>16.5)</w:t>
      </w:r>
      <w:r>
        <w:tab/>
      </w:r>
      <w:r>
        <w:rPr>
          <w:u w:val="words"/>
        </w:rPr>
        <w:t>mi</w:t>
      </w:r>
      <w:r>
        <w:t xml:space="preserve"> [cu] </w:t>
      </w:r>
      <w:r>
        <w:rPr>
          <w:u w:val="double"/>
        </w:rPr>
        <w:t>klama</w:t>
      </w:r>
      <w:r>
        <w:t xml:space="preserve">  .i ji'a </w:t>
      </w:r>
      <w:r>
        <w:rPr>
          <w:u w:val="words"/>
        </w:rPr>
        <w:t>do</w:t>
      </w:r>
      <w:r>
        <w:t xml:space="preserve"> [cu] </w:t>
      </w:r>
      <w:r>
        <w:rPr>
          <w:u w:val="double"/>
        </w:rPr>
        <w:t>stali</w:t>
      </w:r>
    </w:p>
    <w:p w:rsidR="00B72047" w:rsidRDefault="00B72047">
      <w:pPr>
        <w:pStyle w:val="examplescaled"/>
      </w:pPr>
      <w:r>
        <w:tab/>
        <w:t>I go.  In addition, you stay.  (added weight)</w:t>
      </w:r>
    </w:p>
    <w:p w:rsidR="00B72047" w:rsidRDefault="00B72047">
      <w:pPr>
        <w:pStyle w:val="examplescaledpre"/>
        <w:rPr>
          <w:rStyle w:val="htmlcodes"/>
        </w:rPr>
      </w:pPr>
    </w:p>
    <w:p w:rsidR="00B72047" w:rsidRDefault="00B72047">
      <w:pPr>
        <w:pStyle w:val="examplescaledpre"/>
      </w:pPr>
      <w:r>
        <w:rPr>
          <w:rStyle w:val="htmlcodes"/>
        </w:rPr>
        <w:t>&lt;a name=e16d6&gt;</w:t>
      </w:r>
      <w:r>
        <w:t>16.6)</w:t>
      </w:r>
      <w:r>
        <w:tab/>
      </w:r>
      <w:r>
        <w:rPr>
          <w:u w:val="words"/>
        </w:rPr>
        <w:t>mi</w:t>
      </w:r>
      <w:r>
        <w:t xml:space="preserve"> [cu] </w:t>
      </w:r>
      <w:r>
        <w:rPr>
          <w:u w:val="double"/>
        </w:rPr>
        <w:t>klama</w:t>
      </w:r>
      <w:r>
        <w:t xml:space="preserve">  .i ku'i </w:t>
      </w:r>
      <w:r>
        <w:rPr>
          <w:u w:val="words"/>
        </w:rPr>
        <w:t>do</w:t>
      </w:r>
      <w:r>
        <w:t xml:space="preserve"> [cu] </w:t>
      </w:r>
      <w:r>
        <w:rPr>
          <w:u w:val="double"/>
        </w:rPr>
        <w:t>stali</w:t>
      </w:r>
    </w:p>
    <w:p w:rsidR="00B72047" w:rsidRDefault="00B72047">
      <w:pPr>
        <w:pStyle w:val="examplescaled"/>
      </w:pPr>
      <w:r>
        <w:tab/>
        <w:t>I go.  However, you stay.  (contrast)</w:t>
      </w:r>
    </w:p>
    <w:p w:rsidR="00B72047" w:rsidRDefault="00B72047">
      <w:pPr>
        <w:pStyle w:val="resumedafterexample"/>
      </w:pPr>
      <w:r>
        <w:rPr>
          <w:rStyle w:val="htmlcodes"/>
        </w:rPr>
        <w:t>&lt;/pre&gt;</w:t>
      </w:r>
      <w:r>
        <w:rPr>
          <w:rStyle w:val="indexentry"/>
        </w:rPr>
        <w:t>&lt;cx "evidentials (quick-tour version)"&gt;</w:t>
      </w:r>
      <w:r>
        <w:rPr>
          <w:rStyle w:val="indexentry"/>
        </w:rPr>
        <w:fldChar w:fldCharType="begin"/>
      </w:r>
      <w:r>
        <w:instrText>xe "</w:instrText>
      </w:r>
      <w:r>
        <w:rPr>
          <w:rStyle w:val="xeentry"/>
        </w:rPr>
        <w:instrText>evidentials: quick-tour version</w:instrText>
      </w:r>
      <w:r>
        <w:instrText>"</w:instrText>
      </w:r>
      <w:r>
        <w:rPr>
          <w:rStyle w:val="indexentry"/>
        </w:rPr>
        <w:fldChar w:fldCharType="end"/>
      </w:r>
      <w:r>
        <w:t>Another group of indicators are called “evidentials”. Evidentials show the</w:t>
      </w:r>
      <w:r>
        <w:rPr>
          <w:rStyle w:val="deletedparamark"/>
        </w:rPr>
        <w:t xml:space="preserve"> </w:t>
      </w:r>
      <w:r>
        <w:t>speaker's rela</w:t>
      </w:r>
      <w:r>
        <w:softHyphen/>
        <w:t>tionship to the statement, specifically how the speaker came</w:t>
      </w:r>
      <w:r>
        <w:rPr>
          <w:rStyle w:val="deletedparamark"/>
        </w:rPr>
        <w:t xml:space="preserve"> </w:t>
      </w:r>
      <w:r>
        <w:t>to make the statement. These include “za'a” (I directly observe the</w:t>
      </w:r>
      <w:r>
        <w:rPr>
          <w:rStyle w:val="deletedparamark"/>
        </w:rPr>
        <w:t xml:space="preserve"> </w:t>
      </w:r>
      <w:r>
        <w:t>relationship), “pe'i” (I believe that the rela</w:t>
      </w:r>
      <w:r>
        <w:softHyphen/>
        <w:t>tionship holds), “ru'a”</w:t>
      </w:r>
      <w:r>
        <w:rPr>
          <w:rStyle w:val="deletedparamark"/>
        </w:rPr>
        <w:t xml:space="preserve"> </w:t>
      </w:r>
      <w:r>
        <w:t>(I postulate the relationship), and others. Many American Indian languages</w:t>
      </w:r>
      <w:r>
        <w:rPr>
          <w:rStyle w:val="deletedparamark"/>
        </w:rPr>
        <w:t xml:space="preserve"> </w:t>
      </w:r>
      <w:r>
        <w:t>use this kind of words.</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name=e16d7&gt;</w:t>
      </w:r>
      <w:r>
        <w:t>16.7)</w:t>
      </w:r>
      <w:r>
        <w:tab/>
        <w:t xml:space="preserve">pe'i </w:t>
      </w:r>
      <w:r>
        <w:rPr>
          <w:u w:val="words"/>
        </w:rPr>
        <w:t>do</w:t>
      </w:r>
      <w:r>
        <w:t xml:space="preserve"> [cu] </w:t>
      </w:r>
      <w:r>
        <w:rPr>
          <w:u w:val="double"/>
        </w:rPr>
        <w:t>melbi</w:t>
      </w:r>
    </w:p>
    <w:p w:rsidR="00B72047" w:rsidRDefault="00B72047">
      <w:pPr>
        <w:pStyle w:val="examplescaled"/>
      </w:pPr>
      <w:r>
        <w:tab/>
        <w:t>I opine!  You are beautiful.</w:t>
      </w:r>
    </w:p>
    <w:p w:rsidR="00B72047" w:rsidRDefault="00B72047">
      <w:pPr>
        <w:pStyle w:val="examplescaledpre"/>
        <w:rPr>
          <w:rStyle w:val="htmlcodes"/>
        </w:rPr>
      </w:pPr>
    </w:p>
    <w:p w:rsidR="00B72047" w:rsidRDefault="00B72047">
      <w:pPr>
        <w:pStyle w:val="examplescaledpre"/>
      </w:pPr>
      <w:r>
        <w:rPr>
          <w:rStyle w:val="htmlcodes"/>
        </w:rPr>
        <w:t>&lt;a name=e16d8&gt;</w:t>
      </w:r>
      <w:r>
        <w:t>16.8)</w:t>
      </w:r>
      <w:r>
        <w:tab/>
        <w:t xml:space="preserve">za'a </w:t>
      </w:r>
      <w:r>
        <w:rPr>
          <w:u w:val="words"/>
        </w:rPr>
        <w:t>do</w:t>
      </w:r>
      <w:r>
        <w:t xml:space="preserve"> [cu] </w:t>
      </w:r>
      <w:r>
        <w:rPr>
          <w:u w:val="double"/>
        </w:rPr>
        <w:t>melbi</w:t>
      </w:r>
    </w:p>
    <w:p w:rsidR="00B72047" w:rsidRDefault="00B72047">
      <w:pPr>
        <w:pStyle w:val="examplescaled"/>
      </w:pPr>
      <w:r>
        <w:tab/>
        <w:t>I directly observe!  You are beautiful.</w:t>
      </w:r>
    </w:p>
    <w:p w:rsidR="00B72047" w:rsidRDefault="00B72047">
      <w:pPr>
        <w:pStyle w:val="Heading3"/>
        <w:rPr>
          <w:rStyle w:val="Heading3Text"/>
        </w:rPr>
      </w:pPr>
      <w:r>
        <w:rPr>
          <w:rStyle w:val="htmlcodes"/>
        </w:rPr>
        <w:t>&lt;/pre&gt;&lt;a name=s17&gt;&lt;h3&gt;</w:t>
      </w:r>
      <w:bookmarkStart w:id="102" w:name="_Toc395691481"/>
      <w:bookmarkStart w:id="103" w:name="_Toc395691675"/>
      <w:bookmarkStart w:id="104" w:name="_Toc398970452"/>
      <w:r>
        <w:rPr>
          <w:rStyle w:val="Heading3Text"/>
        </w:rPr>
        <w:t>Tenses</w:t>
      </w:r>
      <w:bookmarkEnd w:id="102"/>
      <w:bookmarkEnd w:id="103"/>
      <w:bookmarkEnd w:id="10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"tenses (quick-tour version)"&gt;</w:t>
      </w:r>
      <w:r>
        <w:rPr>
          <w:rStyle w:val="indexentry"/>
        </w:rPr>
        <w:fldChar w:fldCharType="begin"/>
      </w:r>
      <w:r>
        <w:instrText>xe "</w:instrText>
      </w:r>
      <w:r>
        <w:rPr>
          <w:rStyle w:val="xeentry"/>
        </w:rPr>
        <w:instrText>tense: quick-tour version</w:instrText>
      </w:r>
      <w:r>
        <w:instrText>"</w:instrText>
      </w:r>
      <w:r>
        <w:rPr>
          <w:rStyle w:val="indexentry"/>
        </w:rPr>
        <w:fldChar w:fldCharType="end"/>
      </w:r>
      <w:r>
        <w:rPr>
          <w:rStyle w:val="indexentry"/>
        </w:rPr>
        <w:t>&lt;cx "time tenses (quick-tour version)"&gt;</w:t>
      </w:r>
      <w:r>
        <w:rPr>
          <w:rStyle w:val="indexentry"/>
        </w:rPr>
        <w:fldChar w:fldCharType="begin"/>
      </w:r>
      <w:r>
        <w:instrText>xe "</w:instrText>
      </w:r>
      <w:r>
        <w:rPr>
          <w:rStyle w:val="xeentry"/>
        </w:rPr>
        <w:instrText>time tenses: quick-tour version</w:instrText>
      </w:r>
      <w:r>
        <w:instrText>"</w:instrText>
      </w:r>
      <w:r>
        <w:rPr>
          <w:rStyle w:val="indexentry"/>
        </w:rPr>
        <w:fldChar w:fldCharType="end"/>
      </w:r>
      <w:r>
        <w:t>In English, every verb is tagged for the grammatical category called</w:t>
      </w:r>
      <w:r>
        <w:rPr>
          <w:rStyle w:val="deletedparamark"/>
        </w:rPr>
        <w:t xml:space="preserve"> </w:t>
      </w:r>
      <w:r>
        <w:t>tense: past, pres</w:t>
      </w:r>
      <w:r>
        <w:softHyphen/>
      </w:r>
      <w:r>
        <w:t>ent, or future. The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name=e17d1&gt;</w:t>
      </w:r>
      <w:r>
        <w:t>17.1)</w:t>
      </w:r>
      <w:r>
        <w:tab/>
        <w:t>John went to the store</w:t>
      </w:r>
    </w:p>
    <w:p w:rsidR="00B72047" w:rsidRDefault="00B72047">
      <w:pPr>
        <w:pStyle w:val="resumedafterexample"/>
      </w:pPr>
      <w:r>
        <w:rPr>
          <w:rStyle w:val="htmlcodes"/>
        </w:rPr>
        <w:t>&lt;/pre&gt;</w:t>
      </w:r>
      <w:r>
        <w:t>necessarily happens at some time in the past,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name=e17d2&gt;</w:t>
      </w:r>
      <w:r>
        <w:t>17.2)</w:t>
      </w:r>
      <w:r>
        <w:tab/>
        <w:t>John is going to the store</w:t>
      </w:r>
    </w:p>
    <w:p w:rsidR="00B72047" w:rsidRDefault="00B72047">
      <w:pPr>
        <w:pStyle w:val="resumedafterexample"/>
      </w:pPr>
      <w:r>
        <w:rPr>
          <w:rStyle w:val="htmlcodes"/>
        </w:rPr>
        <w:t>&lt;/pre&gt;</w:t>
      </w:r>
      <w:r>
        <w:t>is necessarily happening right now.</w:t>
      </w:r>
    </w:p>
    <w:p w:rsidR="00B72047" w:rsidRDefault="00B72047">
      <w:pPr>
        <w:rPr>
          <w:rStyle w:val="htmlparacode"/>
        </w:rPr>
      </w:pPr>
      <w:r>
        <w:rPr>
          <w:rStyle w:val="htmlparacode"/>
        </w:rPr>
        <w:t>&lt;p&gt;</w:t>
      </w:r>
    </w:p>
    <w:p w:rsidR="00B72047" w:rsidRDefault="00B72047">
      <w:pPr>
        <w:pStyle w:val="normalparagraph"/>
      </w:pPr>
      <w:r>
        <w:rPr>
          <w:rStyle w:val="indexentry"/>
        </w:rPr>
        <w:t>&lt;cx "sentences, tenseless (quick-tour version)"&gt;</w:t>
      </w:r>
      <w:r>
        <w:rPr>
          <w:rStyle w:val="indexentry"/>
        </w:rPr>
        <w:fldChar w:fldCharType="begin"/>
      </w:r>
      <w:r>
        <w:instrText>xe "</w:instrText>
      </w:r>
      <w:r>
        <w:rPr>
          <w:rStyle w:val="xeentry"/>
        </w:rPr>
        <w:instrText>sentences: tenseless, quick-tour version</w:instrText>
      </w:r>
      <w:r>
        <w:instrText>"</w:instrText>
      </w:r>
      <w:r>
        <w:rPr>
          <w:rStyle w:val="indexentry"/>
        </w:rPr>
        <w:fldChar w:fldCharType="end"/>
      </w:r>
      <w:r>
        <w:t>The Lojban sentence</w:t>
      </w:r>
    </w:p>
    <w:p w:rsidR="00B72047" w:rsidRDefault="00B72047">
      <w:pPr>
        <w:pStyle w:val="examplescaledpre"/>
        <w:rPr>
          <w:rStyle w:val="htmlparacode"/>
        </w:rPr>
      </w:pPr>
      <w:r>
        <w:rPr>
          <w:rStyle w:val="htmlparacode"/>
        </w:rPr>
        <w:t>&lt;p&gt;</w:t>
      </w:r>
    </w:p>
    <w:tbl>
      <w:tblPr>
        <w:tblW w:w="0" w:type="auto"/>
        <w:tblLayout w:type="fixed"/>
        <w:tblCellMar>
          <w:left w:w="0" w:type="dxa"/>
          <w:right w:w="0" w:type="dxa"/>
        </w:tblCellMar>
        <w:tblLook w:val="0000"/>
      </w:tblPr>
      <w:tblGrid>
        <w:gridCol w:w="864"/>
        <w:gridCol w:w="690"/>
        <w:gridCol w:w="420"/>
        <w:gridCol w:w="1575"/>
        <w:gridCol w:w="1110"/>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17.3)</w:t>
            </w:r>
          </w:p>
        </w:tc>
        <w:tc>
          <w:tcPr>
            <w:tcW w:w="690" w:type="dxa"/>
          </w:tcPr>
          <w:p w:rsidR="00B72047" w:rsidRDefault="00B72047">
            <w:pPr>
              <w:pStyle w:val="resumedafterexample"/>
              <w:rPr>
                <w:rStyle w:val="htmlcodes"/>
                <w:sz w:val="20"/>
                <w:szCs w:val="20"/>
              </w:rPr>
            </w:pPr>
            <w:r>
              <w:rPr>
                <w:rStyle w:val="htmlcodes"/>
                <w:vanish w:val="0"/>
                <w:sz w:val="20"/>
                <w:szCs w:val="20"/>
                <w:u w:val="single"/>
              </w:rPr>
              <w:t>la djan.</w:t>
            </w:r>
          </w:p>
        </w:tc>
        <w:tc>
          <w:tcPr>
            <w:tcW w:w="420" w:type="dxa"/>
          </w:tcPr>
          <w:p w:rsidR="00B72047" w:rsidRDefault="00B72047">
            <w:pPr>
              <w:pStyle w:val="resumedafterexample"/>
              <w:rPr>
                <w:rStyle w:val="htmlcodes"/>
                <w:sz w:val="20"/>
                <w:szCs w:val="20"/>
              </w:rPr>
            </w:pPr>
            <w:r>
              <w:rPr>
                <w:rStyle w:val="htmlcodes"/>
                <w:vanish w:val="0"/>
                <w:sz w:val="20"/>
                <w:szCs w:val="20"/>
              </w:rPr>
              <w:t>[cu]</w:t>
            </w:r>
          </w:p>
        </w:tc>
        <w:tc>
          <w:tcPr>
            <w:tcW w:w="1575" w:type="dxa"/>
          </w:tcPr>
          <w:p w:rsidR="00B72047" w:rsidRDefault="00B72047">
            <w:pPr>
              <w:pStyle w:val="resumedafterexample"/>
              <w:rPr>
                <w:rStyle w:val="htmlcodes"/>
                <w:sz w:val="20"/>
                <w:szCs w:val="20"/>
              </w:rPr>
            </w:pPr>
            <w:r>
              <w:rPr>
                <w:rStyle w:val="htmlcodes"/>
                <w:vanish w:val="0"/>
                <w:sz w:val="20"/>
                <w:szCs w:val="20"/>
                <w:u w:val="double"/>
              </w:rPr>
              <w:t>klama</w:t>
            </w:r>
          </w:p>
        </w:tc>
        <w:tc>
          <w:tcPr>
            <w:tcW w:w="1110" w:type="dxa"/>
          </w:tcPr>
          <w:p w:rsidR="00B72047" w:rsidRDefault="00B72047">
            <w:pPr>
              <w:pStyle w:val="resumedafterexample"/>
              <w:rPr>
                <w:rStyle w:val="htmlcodes"/>
                <w:sz w:val="20"/>
                <w:szCs w:val="20"/>
              </w:rPr>
            </w:pPr>
            <w:r>
              <w:rPr>
                <w:rStyle w:val="htmlcodes"/>
                <w:vanish w:val="0"/>
                <w:sz w:val="20"/>
                <w:szCs w:val="20"/>
                <w:u w:val="single"/>
              </w:rPr>
              <w:t>le zarci</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690" w:type="dxa"/>
          </w:tcPr>
          <w:p w:rsidR="00B72047" w:rsidRDefault="00B72047">
            <w:pPr>
              <w:pStyle w:val="resumedafterexample"/>
              <w:spacing w:before="0"/>
              <w:rPr>
                <w:rStyle w:val="htmlcodes"/>
                <w:sz w:val="20"/>
                <w:szCs w:val="20"/>
              </w:rPr>
            </w:pPr>
            <w:r>
              <w:rPr>
                <w:rStyle w:val="htmlcodes"/>
                <w:vanish w:val="0"/>
                <w:sz w:val="20"/>
                <w:szCs w:val="20"/>
              </w:rPr>
              <w:t>John</w:t>
            </w:r>
          </w:p>
        </w:tc>
        <w:tc>
          <w:tcPr>
            <w:tcW w:w="420" w:type="dxa"/>
          </w:tcPr>
          <w:p w:rsidR="00B72047" w:rsidRDefault="00B72047">
            <w:pPr>
              <w:pStyle w:val="resumedafterexample"/>
              <w:spacing w:before="0"/>
              <w:rPr>
                <w:rStyle w:val="htmlcodes"/>
                <w:sz w:val="20"/>
                <w:szCs w:val="20"/>
              </w:rPr>
            </w:pPr>
          </w:p>
        </w:tc>
        <w:tc>
          <w:tcPr>
            <w:tcW w:w="1575" w:type="dxa"/>
          </w:tcPr>
          <w:p w:rsidR="00B72047" w:rsidRDefault="00B72047">
            <w:pPr>
              <w:pStyle w:val="resumedafterexample"/>
              <w:spacing w:before="0"/>
              <w:rPr>
                <w:rStyle w:val="htmlcodes"/>
                <w:sz w:val="20"/>
                <w:szCs w:val="20"/>
              </w:rPr>
            </w:pPr>
            <w:r>
              <w:rPr>
                <w:rStyle w:val="htmlcodes"/>
                <w:vanish w:val="0"/>
                <w:sz w:val="20"/>
                <w:szCs w:val="20"/>
              </w:rPr>
              <w:t>goes/went/will-go</w:t>
            </w:r>
          </w:p>
        </w:tc>
        <w:tc>
          <w:tcPr>
            <w:tcW w:w="1110" w:type="dxa"/>
          </w:tcPr>
          <w:p w:rsidR="00B72047" w:rsidRDefault="00B72047">
            <w:pPr>
              <w:pStyle w:val="resumedafterexample"/>
              <w:spacing w:before="0"/>
              <w:rPr>
                <w:rStyle w:val="htmlcodes"/>
                <w:sz w:val="20"/>
                <w:szCs w:val="20"/>
              </w:rPr>
            </w:pPr>
            <w:r>
              <w:rPr>
                <w:rStyle w:val="htmlcodes"/>
                <w:vanish w:val="0"/>
                <w:sz w:val="20"/>
                <w:szCs w:val="20"/>
              </w:rPr>
              <w:t>to-the store.</w:t>
            </w:r>
          </w:p>
        </w:tc>
      </w:tr>
    </w:tbl>
    <w:p w:rsidR="00B72047" w:rsidRDefault="00B72047">
      <w:pPr>
        <w:pStyle w:val="resumedafterexample"/>
      </w:pPr>
      <w:r>
        <w:rPr>
          <w:rStyle w:val="htmlcodes"/>
        </w:rPr>
        <w:t>&lt;/pre&gt;</w:t>
      </w:r>
      <w:r>
        <w:t xml:space="preserve">serves as a translation of either </w:t>
      </w:r>
      <w:r>
        <w:rPr>
          <w:rStyle w:val="htmlcodes"/>
        </w:rPr>
        <w:t>&lt;a href=#e17d1&gt;</w:t>
      </w:r>
      <w:r>
        <w:t xml:space="preserve">Example 17.1 </w:t>
      </w:r>
      <w:r>
        <w:rPr>
          <w:rStyle w:val="htmlcodes"/>
        </w:rPr>
        <w:t>&lt;/a&gt;</w:t>
      </w:r>
      <w:r>
        <w:t xml:space="preserve">or </w:t>
      </w:r>
      <w:r>
        <w:rPr>
          <w:rStyle w:val="htmlcodes"/>
        </w:rPr>
        <w:t>&lt;a href=#e17d2&gt;</w:t>
      </w:r>
      <w:r>
        <w:t>Example 17.2</w:t>
      </w:r>
      <w:r>
        <w:rPr>
          <w:rStyle w:val="htmlcodes"/>
        </w:rPr>
        <w:t>&lt;/a&gt;</w:t>
      </w:r>
      <w:r>
        <w:t>, and of</w:t>
      </w:r>
      <w:r>
        <w:rPr>
          <w:rStyle w:val="deletedparamark"/>
        </w:rPr>
        <w:t xml:space="preserve"> </w:t>
      </w:r>
      <w:r>
        <w:t>many other pos</w:t>
      </w:r>
      <w:r>
        <w:softHyphen/>
        <w:t>sible English sentences as well. It is not marked for</w:t>
      </w:r>
      <w:r>
        <w:rPr>
          <w:rStyle w:val="deletedparamark"/>
        </w:rPr>
        <w:t xml:space="preserve"> </w:t>
      </w:r>
      <w:r>
        <w:t>tense, and can refer to an event in the past, the present or the fu</w:t>
      </w:r>
      <w:r>
        <w:softHyphen/>
        <w:t>ture.</w:t>
      </w:r>
      <w:r>
        <w:rPr>
          <w:rStyle w:val="deletedparamark"/>
        </w:rPr>
        <w:t xml:space="preserve"> </w:t>
      </w:r>
      <w:r>
        <w:t>This rule does not mean that Lojban has no way of repre</w:t>
      </w:r>
      <w:r>
        <w:softHyphen/>
        <w:t>senting the time</w:t>
      </w:r>
      <w:r>
        <w:rPr>
          <w:rStyle w:val="deletedparamark"/>
        </w:rPr>
        <w:t xml:space="preserve"> </w:t>
      </w:r>
      <w:r>
        <w:t xml:space="preserve">of an event. A close translation of </w:t>
      </w:r>
      <w:r>
        <w:rPr>
          <w:rStyle w:val="htmlcodes"/>
        </w:rPr>
        <w:t>&lt;a href=#e17d1&gt;</w:t>
      </w:r>
      <w:r>
        <w:t xml:space="preserve">Example 17.1 </w:t>
      </w:r>
      <w:r>
        <w:rPr>
          <w:rStyle w:val="htmlcodes"/>
        </w:rPr>
        <w:t>&lt;/a&gt;</w:t>
      </w:r>
      <w:r>
        <w:t>would be:</w:t>
      </w:r>
    </w:p>
    <w:tbl>
      <w:tblPr>
        <w:tblW w:w="0" w:type="auto"/>
        <w:tblLayout w:type="fixed"/>
        <w:tblCellMar>
          <w:left w:w="0" w:type="dxa"/>
          <w:right w:w="0" w:type="dxa"/>
        </w:tblCellMar>
        <w:tblLook w:val="0000"/>
      </w:tblPr>
      <w:tblGrid>
        <w:gridCol w:w="864"/>
        <w:gridCol w:w="690"/>
        <w:gridCol w:w="990"/>
        <w:gridCol w:w="1326"/>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17.4)</w:t>
            </w:r>
          </w:p>
        </w:tc>
        <w:tc>
          <w:tcPr>
            <w:tcW w:w="690" w:type="dxa"/>
          </w:tcPr>
          <w:p w:rsidR="00B72047" w:rsidRDefault="00B72047">
            <w:pPr>
              <w:pStyle w:val="resumedafterexample"/>
              <w:rPr>
                <w:rStyle w:val="htmlcodes"/>
                <w:sz w:val="20"/>
                <w:szCs w:val="20"/>
              </w:rPr>
            </w:pPr>
            <w:r>
              <w:rPr>
                <w:rStyle w:val="htmlcodes"/>
                <w:vanish w:val="0"/>
                <w:sz w:val="20"/>
                <w:szCs w:val="20"/>
                <w:u w:val="single"/>
              </w:rPr>
              <w:t>la djan.</w:t>
            </w:r>
          </w:p>
        </w:tc>
        <w:tc>
          <w:tcPr>
            <w:tcW w:w="990" w:type="dxa"/>
          </w:tcPr>
          <w:p w:rsidR="00B72047" w:rsidRDefault="00B72047">
            <w:pPr>
              <w:pStyle w:val="resumedafterexample"/>
              <w:rPr>
                <w:rStyle w:val="htmlcodes"/>
                <w:sz w:val="20"/>
                <w:szCs w:val="20"/>
              </w:rPr>
            </w:pPr>
            <w:r>
              <w:rPr>
                <w:rStyle w:val="htmlcodes"/>
                <w:vanish w:val="0"/>
                <w:sz w:val="20"/>
                <w:szCs w:val="20"/>
                <w:u w:val="double"/>
              </w:rPr>
              <w:t>pu klama</w:t>
            </w:r>
          </w:p>
        </w:tc>
        <w:tc>
          <w:tcPr>
            <w:tcW w:w="1326" w:type="dxa"/>
          </w:tcPr>
          <w:p w:rsidR="00B72047" w:rsidRDefault="00B72047">
            <w:pPr>
              <w:pStyle w:val="resumedafterexample"/>
              <w:rPr>
                <w:rStyle w:val="htmlcodes"/>
                <w:sz w:val="20"/>
                <w:szCs w:val="20"/>
              </w:rPr>
            </w:pPr>
            <w:r>
              <w:rPr>
                <w:rStyle w:val="htmlcodes"/>
                <w:vanish w:val="0"/>
                <w:sz w:val="20"/>
                <w:szCs w:val="20"/>
                <w:u w:val="single"/>
              </w:rPr>
              <w:t>le zarci</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690" w:type="dxa"/>
          </w:tcPr>
          <w:p w:rsidR="00B72047" w:rsidRDefault="00B72047">
            <w:pPr>
              <w:pStyle w:val="resumedafterexample"/>
              <w:spacing w:before="0"/>
              <w:rPr>
                <w:rStyle w:val="htmlcodes"/>
                <w:sz w:val="20"/>
                <w:szCs w:val="20"/>
              </w:rPr>
            </w:pPr>
            <w:r>
              <w:rPr>
                <w:rStyle w:val="htmlcodes"/>
                <w:vanish w:val="0"/>
                <w:sz w:val="20"/>
                <w:szCs w:val="20"/>
              </w:rPr>
              <w:t>John</w:t>
            </w:r>
          </w:p>
        </w:tc>
        <w:tc>
          <w:tcPr>
            <w:tcW w:w="990" w:type="dxa"/>
          </w:tcPr>
          <w:p w:rsidR="00B72047" w:rsidRDefault="00B72047">
            <w:pPr>
              <w:pStyle w:val="resumedafterexample"/>
              <w:spacing w:before="0"/>
              <w:rPr>
                <w:rStyle w:val="htmlcodes"/>
                <w:sz w:val="20"/>
                <w:szCs w:val="20"/>
              </w:rPr>
            </w:pPr>
            <w:r>
              <w:rPr>
                <w:rStyle w:val="htmlcodes"/>
                <w:vanish w:val="0"/>
                <w:sz w:val="20"/>
                <w:szCs w:val="20"/>
              </w:rPr>
              <w:t>[past] goes</w:t>
            </w:r>
          </w:p>
        </w:tc>
        <w:tc>
          <w:tcPr>
            <w:tcW w:w="1326" w:type="dxa"/>
          </w:tcPr>
          <w:p w:rsidR="00B72047" w:rsidRDefault="00B72047">
            <w:pPr>
              <w:pStyle w:val="resumedafterexample"/>
              <w:spacing w:before="0"/>
              <w:rPr>
                <w:rStyle w:val="htmlcodes"/>
                <w:sz w:val="20"/>
                <w:szCs w:val="20"/>
              </w:rPr>
            </w:pPr>
            <w:r>
              <w:rPr>
                <w:rStyle w:val="htmlcodes"/>
                <w:vanish w:val="0"/>
                <w:sz w:val="20"/>
                <w:szCs w:val="20"/>
              </w:rPr>
              <w:t>to-the store.</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where the tag “pu” forces the sentence to refer to a time in the past.</w:t>
      </w:r>
      <w:r>
        <w:rPr>
          <w:rStyle w:val="deletedparamark"/>
        </w:rPr>
        <w:t xml:space="preserve"> </w:t>
      </w:r>
      <w:r>
        <w:t>Similarly,</w:t>
      </w:r>
    </w:p>
    <w:tbl>
      <w:tblPr>
        <w:tblW w:w="0" w:type="auto"/>
        <w:tblLayout w:type="fixed"/>
        <w:tblCellMar>
          <w:left w:w="0" w:type="dxa"/>
          <w:right w:w="0" w:type="dxa"/>
        </w:tblCellMar>
        <w:tblLook w:val="0000"/>
      </w:tblPr>
      <w:tblGrid>
        <w:gridCol w:w="864"/>
        <w:gridCol w:w="690"/>
        <w:gridCol w:w="1260"/>
        <w:gridCol w:w="1110"/>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17.5)</w:t>
            </w:r>
          </w:p>
        </w:tc>
        <w:tc>
          <w:tcPr>
            <w:tcW w:w="690" w:type="dxa"/>
          </w:tcPr>
          <w:p w:rsidR="00B72047" w:rsidRDefault="00B72047">
            <w:pPr>
              <w:pStyle w:val="resumedafterexample"/>
              <w:rPr>
                <w:rStyle w:val="htmlcodes"/>
                <w:sz w:val="20"/>
                <w:szCs w:val="20"/>
              </w:rPr>
            </w:pPr>
            <w:r>
              <w:rPr>
                <w:rStyle w:val="htmlcodes"/>
                <w:vanish w:val="0"/>
                <w:sz w:val="20"/>
                <w:szCs w:val="20"/>
                <w:u w:val="single"/>
              </w:rPr>
              <w:t>la djan.</w:t>
            </w:r>
          </w:p>
        </w:tc>
        <w:tc>
          <w:tcPr>
            <w:tcW w:w="1260" w:type="dxa"/>
          </w:tcPr>
          <w:p w:rsidR="00B72047" w:rsidRDefault="00B72047">
            <w:pPr>
              <w:pStyle w:val="resumedafterexample"/>
              <w:rPr>
                <w:rStyle w:val="htmlcodes"/>
                <w:sz w:val="20"/>
                <w:szCs w:val="20"/>
              </w:rPr>
            </w:pPr>
            <w:r>
              <w:rPr>
                <w:rStyle w:val="htmlcodes"/>
                <w:vanish w:val="0"/>
                <w:sz w:val="20"/>
                <w:szCs w:val="20"/>
                <w:u w:val="double"/>
              </w:rPr>
              <w:t>ca klama</w:t>
            </w:r>
          </w:p>
        </w:tc>
        <w:tc>
          <w:tcPr>
            <w:tcW w:w="1110" w:type="dxa"/>
          </w:tcPr>
          <w:p w:rsidR="00B72047" w:rsidRDefault="00B72047">
            <w:pPr>
              <w:pStyle w:val="resumedafterexample"/>
              <w:rPr>
                <w:rStyle w:val="htmlcodes"/>
                <w:sz w:val="20"/>
                <w:szCs w:val="20"/>
              </w:rPr>
            </w:pPr>
            <w:r>
              <w:rPr>
                <w:rStyle w:val="htmlcodes"/>
                <w:vanish w:val="0"/>
                <w:sz w:val="20"/>
                <w:szCs w:val="20"/>
                <w:u w:val="single"/>
              </w:rPr>
              <w:t>le zarci</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690" w:type="dxa"/>
          </w:tcPr>
          <w:p w:rsidR="00B72047" w:rsidRDefault="00B72047">
            <w:pPr>
              <w:pStyle w:val="resumedafterexample"/>
              <w:spacing w:before="0"/>
              <w:rPr>
                <w:rStyle w:val="htmlcodes"/>
                <w:sz w:val="20"/>
                <w:szCs w:val="20"/>
              </w:rPr>
            </w:pPr>
            <w:r>
              <w:rPr>
                <w:rStyle w:val="htmlcodes"/>
                <w:vanish w:val="0"/>
                <w:sz w:val="20"/>
                <w:szCs w:val="20"/>
              </w:rPr>
              <w:t>John</w:t>
            </w:r>
          </w:p>
        </w:tc>
        <w:tc>
          <w:tcPr>
            <w:tcW w:w="1260" w:type="dxa"/>
          </w:tcPr>
          <w:p w:rsidR="00B72047" w:rsidRDefault="00B72047">
            <w:pPr>
              <w:pStyle w:val="resumedafterexample"/>
              <w:spacing w:before="0"/>
              <w:rPr>
                <w:rStyle w:val="htmlcodes"/>
                <w:sz w:val="20"/>
                <w:szCs w:val="20"/>
              </w:rPr>
            </w:pPr>
            <w:r>
              <w:rPr>
                <w:rStyle w:val="htmlcodes"/>
                <w:vanish w:val="0"/>
                <w:sz w:val="20"/>
                <w:szCs w:val="20"/>
              </w:rPr>
              <w:t>[present] goes</w:t>
            </w:r>
          </w:p>
        </w:tc>
        <w:tc>
          <w:tcPr>
            <w:tcW w:w="1110" w:type="dxa"/>
          </w:tcPr>
          <w:p w:rsidR="00B72047" w:rsidRDefault="00B72047">
            <w:pPr>
              <w:pStyle w:val="resumedafterexample"/>
              <w:spacing w:before="0"/>
              <w:rPr>
                <w:rStyle w:val="htmlcodes"/>
                <w:sz w:val="20"/>
                <w:szCs w:val="20"/>
              </w:rPr>
            </w:pPr>
            <w:r>
              <w:rPr>
                <w:rStyle w:val="htmlcodes"/>
                <w:vanish w:val="0"/>
                <w:sz w:val="20"/>
                <w:szCs w:val="20"/>
              </w:rPr>
              <w:t>to-the store.</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necessarily refers to the present, because of the tag “ca”. Tags</w:t>
      </w:r>
      <w:r>
        <w:rPr>
          <w:rStyle w:val="deletedparamark"/>
        </w:rPr>
        <w:t xml:space="preserve"> </w:t>
      </w:r>
      <w:r>
        <w:t>used in this way always appear at the very beginning of the selbri,</w:t>
      </w:r>
      <w:r>
        <w:rPr>
          <w:rStyle w:val="deletedparamark"/>
        </w:rPr>
        <w:t xml:space="preserve"> </w:t>
      </w:r>
      <w:r>
        <w:t>just after the “cu”, and they may make a “cu” unnecessary, since tags</w:t>
      </w:r>
      <w:r>
        <w:rPr>
          <w:rStyle w:val="deletedparamark"/>
        </w:rPr>
        <w:t xml:space="preserve"> </w:t>
      </w:r>
      <w:r>
        <w:t>cannot be absorbed into tanru. Such tags serve as an equivalent to Eng</w:t>
      </w:r>
      <w:r>
        <w:softHyphen/>
        <w:t>lish tenses and adverbs. In Lojban,</w:t>
      </w:r>
      <w:r>
        <w:rPr>
          <w:rStyle w:val="deletedparamark"/>
        </w:rPr>
        <w:t xml:space="preserve"> </w:t>
      </w:r>
      <w:r>
        <w:t>tense in</w:t>
      </w:r>
      <w:r>
        <w:softHyphen/>
        <w:t>formation is completely optional. If un</w:t>
      </w:r>
      <w:r>
        <w:softHyphen/>
        <w:t>speci</w:t>
      </w:r>
      <w:r>
        <w:softHyphen/>
        <w:t>fied, the appropri</w:t>
      </w:r>
      <w:r>
        <w:softHyphen/>
        <w:t>ate</w:t>
      </w:r>
      <w:r>
        <w:rPr>
          <w:rStyle w:val="deletedparamark"/>
        </w:rPr>
        <w:t xml:space="preserve"> </w:t>
      </w:r>
      <w:r>
        <w:t>tense is picked up from context.</w:t>
      </w:r>
    </w:p>
    <w:p w:rsidR="00B72047" w:rsidRDefault="00B72047">
      <w:pPr>
        <w:rPr>
          <w:rStyle w:val="htmlparacode"/>
        </w:rPr>
      </w:pPr>
      <w:r>
        <w:rPr>
          <w:rStyle w:val="htmlparacode"/>
        </w:rPr>
        <w:t>&lt;p&gt;</w:t>
      </w:r>
    </w:p>
    <w:p w:rsidR="00B72047" w:rsidRDefault="00B72047">
      <w:pPr>
        <w:pStyle w:val="normalparagraph"/>
      </w:pPr>
      <w:r>
        <w:rPr>
          <w:rStyle w:val="indexentry"/>
        </w:rPr>
        <w:t>&lt;cx "space tenses (quick-tour version)"&gt;</w:t>
      </w:r>
      <w:r>
        <w:rPr>
          <w:rStyle w:val="indexentry"/>
        </w:rPr>
        <w:fldChar w:fldCharType="begin"/>
      </w:r>
      <w:r>
        <w:instrText>xe "</w:instrText>
      </w:r>
      <w:r>
        <w:rPr>
          <w:rStyle w:val="xeentry"/>
        </w:rPr>
        <w:instrText>space tenses: quick-tour version</w:instrText>
      </w:r>
      <w:r>
        <w:instrText>"</w:instrText>
      </w:r>
      <w:r>
        <w:rPr>
          <w:rStyle w:val="indexentry"/>
        </w:rPr>
        <w:fldChar w:fldCharType="end"/>
      </w:r>
      <w:r>
        <w:t>Lojban also extends the notion of “tense” to refer not only to</w:t>
      </w:r>
      <w:r>
        <w:rPr>
          <w:rStyle w:val="deletedparamark"/>
        </w:rPr>
        <w:t xml:space="preserve"> </w:t>
      </w:r>
      <w:r>
        <w:t>time but to space. The following example uses the tag “vu” to</w:t>
      </w:r>
      <w:r>
        <w:rPr>
          <w:rStyle w:val="deletedparamark"/>
        </w:rPr>
        <w:t xml:space="preserve"> </w:t>
      </w:r>
      <w:r>
        <w:t>specify that the event it describes happens far away from the</w:t>
      </w:r>
      <w:r>
        <w:rPr>
          <w:rStyle w:val="deletedparamark"/>
        </w:rPr>
        <w:t xml:space="preserve"> </w:t>
      </w:r>
      <w:r>
        <w:t>speaker:</w:t>
      </w:r>
    </w:p>
    <w:tbl>
      <w:tblPr>
        <w:tblW w:w="0" w:type="auto"/>
        <w:tblLayout w:type="fixed"/>
        <w:tblCellMar>
          <w:left w:w="0" w:type="dxa"/>
          <w:right w:w="0" w:type="dxa"/>
        </w:tblCellMar>
        <w:tblLook w:val="0000"/>
      </w:tblPr>
      <w:tblGrid>
        <w:gridCol w:w="864"/>
        <w:gridCol w:w="375"/>
        <w:gridCol w:w="960"/>
        <w:gridCol w:w="1995"/>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17.6)</w:t>
            </w:r>
          </w:p>
        </w:tc>
        <w:tc>
          <w:tcPr>
            <w:tcW w:w="375" w:type="dxa"/>
          </w:tcPr>
          <w:p w:rsidR="00B72047" w:rsidRDefault="00B72047">
            <w:pPr>
              <w:pStyle w:val="resumedafterexample"/>
              <w:rPr>
                <w:rStyle w:val="htmlcodes"/>
                <w:sz w:val="20"/>
                <w:szCs w:val="20"/>
              </w:rPr>
            </w:pPr>
            <w:r>
              <w:rPr>
                <w:rStyle w:val="htmlcodes"/>
                <w:vanish w:val="0"/>
                <w:sz w:val="20"/>
                <w:szCs w:val="20"/>
                <w:u w:val="single"/>
              </w:rPr>
              <w:t>do</w:t>
            </w:r>
          </w:p>
        </w:tc>
        <w:tc>
          <w:tcPr>
            <w:tcW w:w="960" w:type="dxa"/>
          </w:tcPr>
          <w:p w:rsidR="00B72047" w:rsidRDefault="00B72047">
            <w:pPr>
              <w:pStyle w:val="resumedafterexample"/>
              <w:rPr>
                <w:rStyle w:val="htmlcodes"/>
                <w:sz w:val="20"/>
                <w:szCs w:val="20"/>
              </w:rPr>
            </w:pPr>
            <w:r>
              <w:rPr>
                <w:rStyle w:val="htmlcodes"/>
                <w:vanish w:val="0"/>
                <w:sz w:val="20"/>
                <w:szCs w:val="20"/>
                <w:u w:val="double"/>
              </w:rPr>
              <w:t>vu vecnu</w:t>
            </w:r>
          </w:p>
        </w:tc>
        <w:tc>
          <w:tcPr>
            <w:tcW w:w="1995" w:type="dxa"/>
          </w:tcPr>
          <w:p w:rsidR="00B72047" w:rsidRDefault="00B72047">
            <w:pPr>
              <w:pStyle w:val="resumedafterexample"/>
              <w:rPr>
                <w:rStyle w:val="htmlcodes"/>
                <w:sz w:val="20"/>
                <w:szCs w:val="20"/>
              </w:rPr>
            </w:pPr>
            <w:r>
              <w:rPr>
                <w:rStyle w:val="htmlcodes"/>
                <w:vanish w:val="0"/>
                <w:sz w:val="20"/>
                <w:szCs w:val="20"/>
                <w:u w:val="single"/>
              </w:rPr>
              <w:t>zo’e</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375" w:type="dxa"/>
          </w:tcPr>
          <w:p w:rsidR="00B72047" w:rsidRDefault="00B72047">
            <w:pPr>
              <w:pStyle w:val="resumedafterexample"/>
              <w:spacing w:before="0"/>
              <w:rPr>
                <w:rStyle w:val="htmlcodes"/>
                <w:sz w:val="20"/>
                <w:szCs w:val="20"/>
              </w:rPr>
            </w:pPr>
            <w:r>
              <w:rPr>
                <w:rStyle w:val="htmlcodes"/>
                <w:vanish w:val="0"/>
                <w:sz w:val="20"/>
                <w:szCs w:val="20"/>
              </w:rPr>
              <w:t>You</w:t>
            </w:r>
          </w:p>
        </w:tc>
        <w:tc>
          <w:tcPr>
            <w:tcW w:w="960" w:type="dxa"/>
          </w:tcPr>
          <w:p w:rsidR="00B72047" w:rsidRDefault="00B72047">
            <w:pPr>
              <w:pStyle w:val="resumedafterexample"/>
              <w:spacing w:before="0"/>
              <w:rPr>
                <w:rStyle w:val="htmlcodes"/>
                <w:sz w:val="20"/>
                <w:szCs w:val="20"/>
              </w:rPr>
            </w:pPr>
            <w:r>
              <w:rPr>
                <w:rStyle w:val="htmlcodes"/>
                <w:vanish w:val="0"/>
                <w:sz w:val="20"/>
                <w:szCs w:val="20"/>
              </w:rPr>
              <w:t>yonder sell</w:t>
            </w:r>
          </w:p>
        </w:tc>
        <w:tc>
          <w:tcPr>
            <w:tcW w:w="1995" w:type="dxa"/>
          </w:tcPr>
          <w:p w:rsidR="00B72047" w:rsidRDefault="00B72047">
            <w:pPr>
              <w:pStyle w:val="resumedafterexample"/>
              <w:spacing w:before="0"/>
              <w:rPr>
                <w:rStyle w:val="htmlcodes"/>
                <w:sz w:val="20"/>
                <w:szCs w:val="20"/>
              </w:rPr>
            </w:pPr>
            <w:r>
              <w:rPr>
                <w:rStyle w:val="htmlcodes"/>
                <w:vanish w:val="0"/>
                <w:sz w:val="20"/>
                <w:szCs w:val="20"/>
              </w:rPr>
              <w:t>something-unspecified.</w:t>
            </w:r>
          </w:p>
        </w:tc>
      </w:tr>
    </w:tbl>
    <w:p w:rsidR="00B72047" w:rsidRDefault="00B72047">
      <w:pPr>
        <w:rPr>
          <w:rStyle w:val="htmlparacode"/>
        </w:rPr>
      </w:pPr>
      <w:r>
        <w:rPr>
          <w:rStyle w:val="htmlparacode"/>
        </w:rPr>
        <w:t>&lt;p&gt;</w:t>
      </w:r>
    </w:p>
    <w:p w:rsidR="00B72047" w:rsidRDefault="00B72047">
      <w:pPr>
        <w:pStyle w:val="normalafterexample"/>
      </w:pPr>
      <w:r>
        <w:rPr>
          <w:rStyle w:val="htmlcodes"/>
        </w:rPr>
        <w:t>&lt;/pre&gt;&lt;p&gt;</w:t>
      </w:r>
      <w:r>
        <w:t>In addition, tense tags (either for time or space) can be pre</w:t>
      </w:r>
      <w:r>
        <w:softHyphen/>
        <w:t>fixed to</w:t>
      </w:r>
      <w:r>
        <w:rPr>
          <w:rStyle w:val="deletedparamark"/>
        </w:rPr>
        <w:t xml:space="preserve"> </w:t>
      </w:r>
      <w:r>
        <w:t>the selbri of a de</w:t>
      </w:r>
      <w:r>
        <w:softHyphen/>
        <w:t>scription, producing a tensed sumti:</w:t>
      </w:r>
    </w:p>
    <w:tbl>
      <w:tblPr>
        <w:tblW w:w="0" w:type="auto"/>
        <w:tblLayout w:type="fixed"/>
        <w:tblCellMar>
          <w:left w:w="0" w:type="dxa"/>
          <w:right w:w="0" w:type="dxa"/>
        </w:tblCellMar>
        <w:tblLook w:val="0000"/>
      </w:tblPr>
      <w:tblGrid>
        <w:gridCol w:w="864"/>
        <w:gridCol w:w="2565"/>
        <w:gridCol w:w="261"/>
        <w:gridCol w:w="1209"/>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17.7)</w:t>
            </w:r>
          </w:p>
        </w:tc>
        <w:tc>
          <w:tcPr>
            <w:tcW w:w="2565" w:type="dxa"/>
          </w:tcPr>
          <w:p w:rsidR="00B72047" w:rsidRDefault="00B72047">
            <w:pPr>
              <w:pStyle w:val="resumedafterexample"/>
              <w:rPr>
                <w:rStyle w:val="htmlcodes"/>
                <w:sz w:val="20"/>
                <w:szCs w:val="20"/>
              </w:rPr>
            </w:pPr>
            <w:r>
              <w:rPr>
                <w:rStyle w:val="htmlcodes"/>
                <w:vanish w:val="0"/>
                <w:sz w:val="20"/>
                <w:szCs w:val="20"/>
                <w:u w:val="single"/>
              </w:rPr>
              <w:t>le pu bajra [ku]</w:t>
            </w:r>
          </w:p>
        </w:tc>
        <w:tc>
          <w:tcPr>
            <w:tcW w:w="261" w:type="dxa"/>
          </w:tcPr>
          <w:p w:rsidR="00B72047" w:rsidRDefault="00B72047">
            <w:pPr>
              <w:pStyle w:val="resumedafterexample"/>
              <w:rPr>
                <w:rStyle w:val="htmlcodes"/>
                <w:sz w:val="20"/>
                <w:szCs w:val="20"/>
              </w:rPr>
            </w:pPr>
            <w:r>
              <w:rPr>
                <w:rStyle w:val="htmlcodes"/>
                <w:vanish w:val="0"/>
                <w:sz w:val="20"/>
                <w:szCs w:val="20"/>
              </w:rPr>
              <w:t>cu</w:t>
            </w:r>
          </w:p>
        </w:tc>
        <w:tc>
          <w:tcPr>
            <w:tcW w:w="1209" w:type="dxa"/>
          </w:tcPr>
          <w:p w:rsidR="00B72047" w:rsidRDefault="00B72047">
            <w:pPr>
              <w:pStyle w:val="resumedafterexample"/>
              <w:rPr>
                <w:rStyle w:val="htmlcodes"/>
                <w:sz w:val="20"/>
                <w:szCs w:val="20"/>
              </w:rPr>
            </w:pPr>
            <w:r>
              <w:rPr>
                <w:rStyle w:val="htmlcodes"/>
                <w:vanish w:val="0"/>
                <w:sz w:val="20"/>
                <w:szCs w:val="20"/>
                <w:u w:val="double"/>
              </w:rPr>
              <w:t>tavla</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2565" w:type="dxa"/>
          </w:tcPr>
          <w:p w:rsidR="00B72047" w:rsidRDefault="00B72047">
            <w:pPr>
              <w:pStyle w:val="resumedafterexample"/>
              <w:spacing w:before="0"/>
              <w:rPr>
                <w:rStyle w:val="htmlcodes"/>
                <w:sz w:val="20"/>
                <w:szCs w:val="20"/>
              </w:rPr>
            </w:pPr>
            <w:r>
              <w:rPr>
                <w:rStyle w:val="htmlcodes"/>
                <w:vanish w:val="0"/>
                <w:sz w:val="20"/>
                <w:szCs w:val="20"/>
              </w:rPr>
              <w:t>The earlier/former/past runner</w:t>
            </w:r>
          </w:p>
        </w:tc>
        <w:tc>
          <w:tcPr>
            <w:tcW w:w="261" w:type="dxa"/>
          </w:tcPr>
          <w:p w:rsidR="00B72047" w:rsidRDefault="00B72047">
            <w:pPr>
              <w:pStyle w:val="resumedafterexample"/>
              <w:spacing w:before="0"/>
              <w:rPr>
                <w:rStyle w:val="htmlcodes"/>
                <w:sz w:val="20"/>
                <w:szCs w:val="20"/>
              </w:rPr>
            </w:pPr>
          </w:p>
        </w:tc>
        <w:tc>
          <w:tcPr>
            <w:tcW w:w="1209" w:type="dxa"/>
          </w:tcPr>
          <w:p w:rsidR="00B72047" w:rsidRDefault="00B72047">
            <w:pPr>
              <w:pStyle w:val="resumedafterexample"/>
              <w:spacing w:before="0"/>
              <w:rPr>
                <w:rStyle w:val="htmlcodes"/>
                <w:sz w:val="20"/>
                <w:szCs w:val="20"/>
              </w:rPr>
            </w:pPr>
            <w:r>
              <w:rPr>
                <w:rStyle w:val="htmlcodes"/>
                <w:vanish w:val="0"/>
                <w:sz w:val="20"/>
                <w:szCs w:val="20"/>
              </w:rPr>
              <w:t>talked/talks.</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w:t>
      </w:r>
      <w:r>
        <w:t>(Since Lojban tense is optional, we don't know when he or she talks.)</w:t>
      </w:r>
    </w:p>
    <w:p w:rsidR="00B72047" w:rsidRDefault="00B72047">
      <w:pPr>
        <w:rPr>
          <w:rStyle w:val="htmlparacode"/>
        </w:rPr>
      </w:pPr>
      <w:r>
        <w:rPr>
          <w:rStyle w:val="htmlparacode"/>
        </w:rPr>
        <w:t>&lt;p&gt;</w:t>
      </w:r>
    </w:p>
    <w:p w:rsidR="00B72047" w:rsidRDefault="00B72047">
      <w:pPr>
        <w:pStyle w:val="normalparagraph"/>
      </w:pPr>
      <w:r>
        <w:t>Tensed sumti with space tags correspond roughly to the Eng</w:t>
      </w:r>
      <w:r>
        <w:softHyphen/>
        <w:t>lish use of</w:t>
      </w:r>
      <w:r>
        <w:rPr>
          <w:rStyle w:val="deletedparamark"/>
        </w:rPr>
        <w:t xml:space="preserve"> “</w:t>
      </w:r>
      <w:r>
        <w:t>this” or “that” as adjectives, as in the following example, which uses</w:t>
      </w:r>
      <w:r>
        <w:rPr>
          <w:rStyle w:val="deletedparamark"/>
        </w:rPr>
        <w:t xml:space="preserve"> </w:t>
      </w:r>
      <w:r>
        <w:t>the tag “vi” meaning “nearby”:</w:t>
      </w:r>
    </w:p>
    <w:tbl>
      <w:tblPr>
        <w:tblW w:w="0" w:type="auto"/>
        <w:tblLayout w:type="fixed"/>
        <w:tblCellMar>
          <w:left w:w="0" w:type="dxa"/>
          <w:right w:w="0" w:type="dxa"/>
        </w:tblCellMar>
        <w:tblLook w:val="0000"/>
      </w:tblPr>
      <w:tblGrid>
        <w:gridCol w:w="864"/>
        <w:gridCol w:w="1545"/>
        <w:gridCol w:w="291"/>
        <w:gridCol w:w="912"/>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17.8)</w:t>
            </w:r>
          </w:p>
        </w:tc>
        <w:tc>
          <w:tcPr>
            <w:tcW w:w="1545" w:type="dxa"/>
          </w:tcPr>
          <w:p w:rsidR="00B72047" w:rsidRDefault="00B72047">
            <w:pPr>
              <w:pStyle w:val="resumedafterexample"/>
              <w:rPr>
                <w:rStyle w:val="htmlcodes"/>
                <w:sz w:val="20"/>
                <w:szCs w:val="20"/>
              </w:rPr>
            </w:pPr>
            <w:r>
              <w:rPr>
                <w:rStyle w:val="htmlcodes"/>
                <w:vanish w:val="0"/>
                <w:sz w:val="20"/>
                <w:szCs w:val="20"/>
                <w:u w:val="single"/>
              </w:rPr>
              <w:t>le vi bajra [ku]</w:t>
            </w:r>
          </w:p>
        </w:tc>
        <w:tc>
          <w:tcPr>
            <w:tcW w:w="291" w:type="dxa"/>
          </w:tcPr>
          <w:p w:rsidR="00B72047" w:rsidRDefault="00B72047">
            <w:pPr>
              <w:pStyle w:val="resumedafterexample"/>
              <w:rPr>
                <w:rStyle w:val="htmlcodes"/>
                <w:sz w:val="20"/>
                <w:szCs w:val="20"/>
              </w:rPr>
            </w:pPr>
            <w:r>
              <w:rPr>
                <w:rStyle w:val="htmlcodes"/>
                <w:vanish w:val="0"/>
                <w:sz w:val="20"/>
                <w:szCs w:val="20"/>
              </w:rPr>
              <w:t>cu</w:t>
            </w:r>
          </w:p>
        </w:tc>
        <w:tc>
          <w:tcPr>
            <w:tcW w:w="912" w:type="dxa"/>
          </w:tcPr>
          <w:p w:rsidR="00B72047" w:rsidRDefault="00B72047">
            <w:pPr>
              <w:pStyle w:val="resumedafterexample"/>
              <w:rPr>
                <w:rStyle w:val="htmlcodes"/>
                <w:sz w:val="20"/>
                <w:szCs w:val="20"/>
              </w:rPr>
            </w:pPr>
            <w:r>
              <w:rPr>
                <w:rStyle w:val="htmlcodes"/>
                <w:vanish w:val="0"/>
                <w:sz w:val="20"/>
                <w:szCs w:val="20"/>
                <w:u w:val="double"/>
              </w:rPr>
              <w:t>tavla</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1545" w:type="dxa"/>
          </w:tcPr>
          <w:p w:rsidR="00B72047" w:rsidRDefault="00B72047">
            <w:pPr>
              <w:pStyle w:val="resumedafterexample"/>
              <w:spacing w:before="0"/>
              <w:rPr>
                <w:rStyle w:val="htmlcodes"/>
                <w:sz w:val="20"/>
                <w:szCs w:val="20"/>
              </w:rPr>
            </w:pPr>
            <w:r>
              <w:rPr>
                <w:rStyle w:val="htmlcodes"/>
                <w:vanish w:val="0"/>
                <w:sz w:val="20"/>
                <w:szCs w:val="20"/>
              </w:rPr>
              <w:t>The nearby runner</w:t>
            </w:r>
          </w:p>
        </w:tc>
        <w:tc>
          <w:tcPr>
            <w:tcW w:w="291" w:type="dxa"/>
          </w:tcPr>
          <w:p w:rsidR="00B72047" w:rsidRDefault="00B72047">
            <w:pPr>
              <w:pStyle w:val="resumedafterexample"/>
              <w:spacing w:before="0"/>
              <w:rPr>
                <w:rStyle w:val="htmlcodes"/>
                <w:sz w:val="20"/>
                <w:szCs w:val="20"/>
              </w:rPr>
            </w:pPr>
          </w:p>
        </w:tc>
        <w:tc>
          <w:tcPr>
            <w:tcW w:w="912" w:type="dxa"/>
          </w:tcPr>
          <w:p w:rsidR="00B72047" w:rsidRDefault="00B72047">
            <w:pPr>
              <w:pStyle w:val="resumedafterexample"/>
              <w:spacing w:before="0"/>
              <w:rPr>
                <w:rStyle w:val="htmlcodes"/>
                <w:sz w:val="20"/>
                <w:szCs w:val="20"/>
              </w:rPr>
            </w:pPr>
            <w:r>
              <w:rPr>
                <w:rStyle w:val="htmlcodes"/>
                <w:vanish w:val="0"/>
                <w:sz w:val="20"/>
                <w:szCs w:val="20"/>
              </w:rPr>
              <w:t>talks.</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2748" w:type="dxa"/>
            <w:gridSpan w:val="3"/>
          </w:tcPr>
          <w:p w:rsidR="00B72047" w:rsidRDefault="00B72047">
            <w:pPr>
              <w:pStyle w:val="resumedafterexample"/>
              <w:spacing w:before="0"/>
              <w:rPr>
                <w:rStyle w:val="htmlcodes"/>
                <w:vanish w:val="0"/>
                <w:sz w:val="20"/>
                <w:szCs w:val="20"/>
              </w:rPr>
            </w:pPr>
            <w:r>
              <w:rPr>
                <w:rStyle w:val="htmlcodes"/>
                <w:vanish w:val="0"/>
                <w:sz w:val="20"/>
                <w:szCs w:val="20"/>
              </w:rPr>
              <w:t>This runner talks.</w:t>
            </w:r>
          </w:p>
        </w:tc>
      </w:tr>
    </w:tbl>
    <w:p w:rsidR="00B72047" w:rsidRDefault="00B72047">
      <w:pPr>
        <w:rPr>
          <w:rStyle w:val="htmlparacode"/>
        </w:rPr>
      </w:pPr>
      <w:r>
        <w:rPr>
          <w:rStyle w:val="htmlparacode"/>
        </w:rPr>
        <w:t>&lt;p&gt;</w:t>
      </w:r>
    </w:p>
    <w:p w:rsidR="00B72047" w:rsidRDefault="00B72047">
      <w:pPr>
        <w:pStyle w:val="resumedafterexample"/>
      </w:pPr>
      <w:r>
        <w:rPr>
          <w:rStyle w:val="htmlcodes"/>
        </w:rPr>
        <w:t>&lt;/pre&gt;&lt;p&gt;</w:t>
      </w:r>
      <w:r>
        <w:t xml:space="preserve">Do not confuse the use of “vi” in </w:t>
      </w:r>
      <w:r>
        <w:rPr>
          <w:rStyle w:val="htmlcodes"/>
        </w:rPr>
        <w:t>&lt;a href=#e17d8&gt;</w:t>
      </w:r>
      <w:r>
        <w:t xml:space="preserve">Example 17.8 </w:t>
      </w:r>
      <w:r>
        <w:rPr>
          <w:rStyle w:val="htmlcodes"/>
        </w:rPr>
        <w:t>&lt;/a&gt;</w:t>
      </w:r>
      <w:r>
        <w:t>with the cmavo “ti”,</w:t>
      </w:r>
      <w:r>
        <w:rPr>
          <w:rStyle w:val="deletedparamark"/>
        </w:rPr>
        <w:t xml:space="preserve"> </w:t>
      </w:r>
      <w:r>
        <w:t>which also means “this”, but in the sense of “this thing”.</w:t>
      </w:r>
    </w:p>
    <w:p w:rsidR="00B72047" w:rsidRDefault="00B72047">
      <w:pPr>
        <w:rPr>
          <w:rStyle w:val="htmlparacode"/>
        </w:rPr>
      </w:pPr>
      <w:r>
        <w:rPr>
          <w:rStyle w:val="htmlparacode"/>
        </w:rPr>
        <w:t>&lt;p&gt;</w:t>
      </w:r>
    </w:p>
    <w:p w:rsidR="00B72047" w:rsidRDefault="00B72047">
      <w:pPr>
        <w:pStyle w:val="normalparagraph"/>
      </w:pPr>
      <w:r>
        <w:rPr>
          <w:rStyle w:val="indexentry"/>
        </w:rPr>
        <w:t>&lt;cx "sumti with tenses (quick-tour version)"&gt;</w:t>
      </w:r>
      <w:r>
        <w:rPr>
          <w:rStyle w:val="indexentry"/>
        </w:rPr>
        <w:fldChar w:fldCharType="begin"/>
      </w:r>
      <w:r>
        <w:instrText>xe "</w:instrText>
      </w:r>
      <w:r>
        <w:rPr>
          <w:rStyle w:val="xeentry"/>
        </w:rPr>
        <w:instrText>sumti with tenses: quick-tour version</w:instrText>
      </w:r>
      <w:r>
        <w:instrText>"</w:instrText>
      </w:r>
      <w:r>
        <w:rPr>
          <w:rStyle w:val="indexentry"/>
        </w:rPr>
        <w:fldChar w:fldCharType="end"/>
      </w:r>
      <w:r>
        <w:t>Furthermore, a tense tag can appear both on the selbri and within a</w:t>
      </w:r>
      <w:r>
        <w:rPr>
          <w:rStyle w:val="deletedparamark"/>
        </w:rPr>
        <w:t xml:space="preserve"> </w:t>
      </w:r>
      <w:r>
        <w:t>description, as in the following example (where “ba” is the tag for</w:t>
      </w:r>
      <w:r>
        <w:rPr>
          <w:rStyle w:val="deletedparamark"/>
        </w:rPr>
        <w:t xml:space="preserve"> </w:t>
      </w:r>
      <w:r>
        <w:t>future time):</w:t>
      </w:r>
    </w:p>
    <w:tbl>
      <w:tblPr>
        <w:tblW w:w="0" w:type="auto"/>
        <w:tblLayout w:type="fixed"/>
        <w:tblCellMar>
          <w:left w:w="0" w:type="dxa"/>
          <w:right w:w="0" w:type="dxa"/>
        </w:tblCellMar>
        <w:tblLook w:val="0000"/>
      </w:tblPr>
      <w:tblGrid>
        <w:gridCol w:w="864"/>
        <w:gridCol w:w="1350"/>
        <w:gridCol w:w="306"/>
        <w:gridCol w:w="1254"/>
      </w:tblGrid>
      <w:tr w:rsidR="00B72047">
        <w:tblPrEx>
          <w:tblCellMar>
            <w:top w:w="0" w:type="dxa"/>
            <w:left w:w="0" w:type="dxa"/>
            <w:bottom w:w="0" w:type="dxa"/>
            <w:right w:w="0" w:type="dxa"/>
          </w:tblCellMar>
        </w:tblPrEx>
        <w:trPr>
          <w:hidden w:val="0"/>
        </w:trPr>
        <w:tc>
          <w:tcPr>
            <w:tcW w:w="864" w:type="dxa"/>
          </w:tcPr>
          <w:p w:rsidR="00B72047" w:rsidRDefault="00B72047">
            <w:pPr>
              <w:pStyle w:val="resumedafterexample"/>
              <w:ind w:left="144"/>
              <w:rPr>
                <w:rStyle w:val="htmlcodes"/>
                <w:sz w:val="20"/>
                <w:szCs w:val="20"/>
              </w:rPr>
            </w:pPr>
            <w:r>
              <w:rPr>
                <w:rStyle w:val="htmlcodes"/>
                <w:vanish w:val="0"/>
                <w:sz w:val="20"/>
                <w:szCs w:val="20"/>
              </w:rPr>
              <w:t>17.9)</w:t>
            </w:r>
          </w:p>
        </w:tc>
        <w:tc>
          <w:tcPr>
            <w:tcW w:w="1350" w:type="dxa"/>
          </w:tcPr>
          <w:p w:rsidR="00B72047" w:rsidRDefault="00B72047">
            <w:pPr>
              <w:pStyle w:val="resumedafterexample"/>
              <w:rPr>
                <w:rStyle w:val="htmlcodes"/>
                <w:sz w:val="20"/>
                <w:szCs w:val="20"/>
              </w:rPr>
            </w:pPr>
            <w:r>
              <w:rPr>
                <w:rStyle w:val="htmlcodes"/>
                <w:vanish w:val="0"/>
                <w:sz w:val="20"/>
                <w:szCs w:val="20"/>
                <w:u w:val="single"/>
              </w:rPr>
              <w:t>le vi bajra [ku]</w:t>
            </w:r>
          </w:p>
        </w:tc>
        <w:tc>
          <w:tcPr>
            <w:tcW w:w="306" w:type="dxa"/>
          </w:tcPr>
          <w:p w:rsidR="00B72047" w:rsidRDefault="00B72047">
            <w:pPr>
              <w:pStyle w:val="resumedafterexample"/>
              <w:rPr>
                <w:rStyle w:val="htmlcodes"/>
                <w:sz w:val="20"/>
                <w:szCs w:val="20"/>
              </w:rPr>
            </w:pPr>
            <w:r>
              <w:rPr>
                <w:rStyle w:val="htmlcodes"/>
                <w:vanish w:val="0"/>
                <w:sz w:val="20"/>
                <w:szCs w:val="20"/>
              </w:rPr>
              <w:t>cu</w:t>
            </w:r>
          </w:p>
        </w:tc>
        <w:tc>
          <w:tcPr>
            <w:tcW w:w="1254" w:type="dxa"/>
          </w:tcPr>
          <w:p w:rsidR="00B72047" w:rsidRDefault="00B72047">
            <w:pPr>
              <w:pStyle w:val="resumedafterexample"/>
              <w:rPr>
                <w:rStyle w:val="htmlcodes"/>
                <w:sz w:val="20"/>
                <w:szCs w:val="20"/>
              </w:rPr>
            </w:pPr>
            <w:r>
              <w:rPr>
                <w:rStyle w:val="htmlcodes"/>
                <w:vanish w:val="0"/>
                <w:sz w:val="20"/>
                <w:szCs w:val="20"/>
                <w:u w:val="double"/>
              </w:rPr>
              <w:t>ba klama</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1350" w:type="dxa"/>
          </w:tcPr>
          <w:p w:rsidR="00B72047" w:rsidRDefault="00B72047">
            <w:pPr>
              <w:pStyle w:val="resumedafterexample"/>
              <w:spacing w:before="0"/>
              <w:rPr>
                <w:rStyle w:val="htmlcodes"/>
                <w:sz w:val="20"/>
                <w:szCs w:val="20"/>
              </w:rPr>
            </w:pPr>
            <w:r>
              <w:rPr>
                <w:rStyle w:val="htmlcodes"/>
                <w:vanish w:val="0"/>
                <w:sz w:val="20"/>
                <w:szCs w:val="20"/>
              </w:rPr>
              <w:t>The here runner</w:t>
            </w:r>
          </w:p>
        </w:tc>
        <w:tc>
          <w:tcPr>
            <w:tcW w:w="306" w:type="dxa"/>
          </w:tcPr>
          <w:p w:rsidR="00B72047" w:rsidRDefault="00B72047">
            <w:pPr>
              <w:pStyle w:val="resumedafterexample"/>
              <w:spacing w:before="0"/>
              <w:rPr>
                <w:rStyle w:val="htmlcodes"/>
                <w:sz w:val="20"/>
                <w:szCs w:val="20"/>
              </w:rPr>
            </w:pPr>
          </w:p>
        </w:tc>
        <w:tc>
          <w:tcPr>
            <w:tcW w:w="1254" w:type="dxa"/>
          </w:tcPr>
          <w:p w:rsidR="00B72047" w:rsidRDefault="00B72047">
            <w:pPr>
              <w:pStyle w:val="resumedafterexample"/>
              <w:spacing w:before="0"/>
              <w:rPr>
                <w:rStyle w:val="htmlcodes"/>
                <w:sz w:val="20"/>
                <w:szCs w:val="20"/>
              </w:rPr>
            </w:pPr>
            <w:r>
              <w:rPr>
                <w:rStyle w:val="htmlcodes"/>
                <w:vanish w:val="0"/>
                <w:sz w:val="20"/>
                <w:szCs w:val="20"/>
              </w:rPr>
              <w:t>[future] goes.</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2910" w:type="dxa"/>
            <w:gridSpan w:val="3"/>
          </w:tcPr>
          <w:p w:rsidR="00B72047" w:rsidRDefault="00B72047">
            <w:pPr>
              <w:pStyle w:val="resumedafterexample"/>
              <w:spacing w:before="0"/>
              <w:rPr>
                <w:rStyle w:val="htmlcodes"/>
                <w:vanish w:val="0"/>
                <w:sz w:val="20"/>
                <w:szCs w:val="20"/>
              </w:rPr>
            </w:pPr>
            <w:r>
              <w:rPr>
                <w:rStyle w:val="htmlcodes"/>
                <w:vanish w:val="0"/>
                <w:sz w:val="20"/>
                <w:szCs w:val="20"/>
              </w:rPr>
              <w:t>The talker who is here will go.</w:t>
            </w:r>
          </w:p>
        </w:tc>
      </w:tr>
      <w:tr w:rsidR="00B72047">
        <w:tblPrEx>
          <w:tblCellMar>
            <w:top w:w="0" w:type="dxa"/>
            <w:left w:w="0" w:type="dxa"/>
            <w:bottom w:w="0" w:type="dxa"/>
            <w:right w:w="0" w:type="dxa"/>
          </w:tblCellMar>
        </w:tblPrEx>
        <w:tc>
          <w:tcPr>
            <w:tcW w:w="864" w:type="dxa"/>
          </w:tcPr>
          <w:p w:rsidR="00B72047" w:rsidRDefault="00B72047">
            <w:pPr>
              <w:pStyle w:val="resumedafterexample"/>
              <w:spacing w:before="0"/>
              <w:ind w:left="144"/>
              <w:rPr>
                <w:rStyle w:val="htmlcodes"/>
                <w:sz w:val="20"/>
                <w:szCs w:val="20"/>
              </w:rPr>
            </w:pPr>
          </w:p>
        </w:tc>
        <w:tc>
          <w:tcPr>
            <w:tcW w:w="2910" w:type="dxa"/>
            <w:gridSpan w:val="3"/>
          </w:tcPr>
          <w:p w:rsidR="00B72047" w:rsidRDefault="00B72047">
            <w:pPr>
              <w:pStyle w:val="resumedafterexample"/>
              <w:spacing w:before="0"/>
              <w:rPr>
                <w:rStyle w:val="htmlcodes"/>
                <w:vanish w:val="0"/>
                <w:sz w:val="20"/>
                <w:szCs w:val="20"/>
              </w:rPr>
            </w:pPr>
            <w:r>
              <w:rPr>
                <w:rStyle w:val="htmlcodes"/>
                <w:vanish w:val="0"/>
                <w:sz w:val="20"/>
                <w:szCs w:val="20"/>
              </w:rPr>
              <w:t>This talker will go.</w:t>
            </w:r>
          </w:p>
        </w:tc>
      </w:tr>
    </w:tbl>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&lt;/pre&gt;&lt;a name=s18&gt;&lt;h3&gt;</w:t>
      </w:r>
      <w:bookmarkStart w:id="105" w:name="_Toc395691482"/>
      <w:bookmarkStart w:id="106" w:name="_Toc395691676"/>
      <w:bookmarkStart w:id="107" w:name="_Toc398970453"/>
      <w:r>
        <w:rPr>
          <w:rStyle w:val="Heading3Text"/>
        </w:rPr>
        <w:t>Lojban grammatical terms</w:t>
      </w:r>
      <w:bookmarkEnd w:id="105"/>
      <w:bookmarkEnd w:id="106"/>
      <w:bookmarkEnd w:id="10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"grammatical terms (quick-tour version)"&gt;</w:t>
      </w:r>
      <w:r>
        <w:rPr>
          <w:rStyle w:val="indexentry"/>
        </w:rPr>
        <w:fldChar w:fldCharType="begin"/>
      </w:r>
      <w:r>
        <w:instrText>xe "</w:instrText>
      </w:r>
      <w:r>
        <w:rPr>
          <w:rStyle w:val="xeentry"/>
        </w:rPr>
        <w:instrText>grammatical terms: quick-tour version</w:instrText>
      </w:r>
      <w:r>
        <w:instrText>"</w:instrText>
      </w:r>
      <w:r>
        <w:rPr>
          <w:rStyle w:val="indexentry"/>
        </w:rPr>
        <w:fldChar w:fldCharType="end"/>
      </w:r>
      <w:r>
        <w:t>Here is a review of the Lojban grammatical terms used in this chap</w:t>
      </w:r>
      <w:r>
        <w:softHyphen/>
        <w:t>ter,</w:t>
      </w:r>
      <w:r>
        <w:rPr>
          <w:rStyle w:val="deletedparamark"/>
        </w:rPr>
        <w:t xml:space="preserve"> </w:t>
      </w:r>
      <w:r>
        <w:t>plus some others used throughout this book. Only terms that are themselves</w:t>
      </w:r>
      <w:r>
        <w:rPr>
          <w:rStyle w:val="deletedparamark"/>
        </w:rPr>
        <w:t xml:space="preserve"> </w:t>
      </w:r>
      <w:r>
        <w:t>Lojban words are in</w:t>
      </w:r>
      <w:r>
        <w:softHyphen/>
        <w:t>cluded: there are of course many ex</w:t>
      </w:r>
      <w:r>
        <w:softHyphen/>
        <w:t>pressions like</w:t>
      </w:r>
      <w:r>
        <w:rPr>
          <w:rStyle w:val="deletedparamark"/>
        </w:rPr>
        <w:t xml:space="preserve"> “</w:t>
      </w:r>
      <w:r>
        <w:t xml:space="preserve">indicator” in </w:t>
      </w:r>
      <w:r>
        <w:rPr>
          <w:rStyle w:val="htmlcodes"/>
        </w:rPr>
        <w:t>&lt;a href=chap16.html&gt;</w:t>
      </w:r>
      <w:r>
        <w:t xml:space="preserve">Chapter 16 </w:t>
      </w:r>
      <w:r>
        <w:rPr>
          <w:rStyle w:val="htmlcodes"/>
        </w:rPr>
        <w:t>&lt;/a&gt;</w:t>
      </w:r>
      <w:r>
        <w:t>that are not explained here. See the Index</w:t>
      </w:r>
      <w:r>
        <w:rPr>
          <w:rStyle w:val="deletedparamark"/>
        </w:rPr>
        <w:t xml:space="preserve"> </w:t>
      </w:r>
      <w:r>
        <w:t>for further help with these.</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"bridi, definition (quick-tour version)"&gt;</w:t>
      </w:r>
      <w:r>
        <w:rPr>
          <w:rStyle w:val="indexentry"/>
        </w:rPr>
        <w:fldChar w:fldCharType="begin"/>
      </w:r>
      <w:r>
        <w:instrText>xe "</w:instrText>
      </w:r>
      <w:r>
        <w:rPr>
          <w:rStyle w:val="xeentry"/>
        </w:rPr>
        <w:instrText>bridi: definition, quick-tour version</w:instrText>
      </w:r>
      <w:r>
        <w:instrText>"</w:instrText>
      </w:r>
      <w:r>
        <w:rPr>
          <w:rStyle w:val="indexentry"/>
        </w:rPr>
        <w:fldChar w:fldCharType="end"/>
      </w:r>
      <w:r>
        <w:rPr>
          <w:rStyle w:val="htmlcodes"/>
        </w:rPr>
        <w:t>&lt;dl compact&gt;&lt;dt&gt;</w:t>
      </w:r>
      <w:r>
        <w:t xml:space="preserve">bridi:  </w:t>
      </w:r>
      <w:r>
        <w:rPr>
          <w:rStyle w:val="htmlcodes"/>
        </w:rPr>
        <w:t>&lt;dd&gt;</w:t>
      </w:r>
      <w:r>
        <w:t>predication; the basic unit of Lojban expression; the main kind of Lojban sentence; a claim that some objects stand in some relationship, or that some single object has some property.</w:t>
      </w:r>
    </w:p>
    <w:p w:rsidR="00B72047" w:rsidRDefault="00B72047" w:rsidP="007E67C1">
      <w:pPr>
        <w:pStyle w:val="Listjustified"/>
        <w:numPr>
          <w:ilvl w:val="0"/>
          <w:numId w:val="2"/>
        </w:numPr>
        <w:ind w:left="792" w:hanging="432"/>
      </w:pPr>
      <w:r>
        <w:rPr>
          <w:rStyle w:val="htmlcodes"/>
        </w:rPr>
        <w:t>&lt;/dl&gt;</w:t>
      </w:r>
      <w:r>
        <w:rPr>
          <w:rStyle w:val="indexentry"/>
        </w:rPr>
        <w:t>&lt;cx "sumti, definition (quick-tour version)"&gt;</w:t>
      </w:r>
      <w:r>
        <w:rPr>
          <w:rStyle w:val="indexentry"/>
        </w:rPr>
        <w:fldChar w:fldCharType="begin"/>
      </w:r>
      <w:r>
        <w:instrText>xe "</w:instrText>
      </w:r>
      <w:r>
        <w:rPr>
          <w:rStyle w:val="xeentry"/>
        </w:rPr>
        <w:instrText>sumti: definition, quick-tour version</w:instrText>
      </w:r>
      <w:r>
        <w:instrText>"</w:instrText>
      </w:r>
      <w:r>
        <w:rPr>
          <w:rStyle w:val="indexentry"/>
        </w:rPr>
        <w:fldChar w:fldCharType="end"/>
      </w:r>
      <w:r>
        <w:rPr>
          <w:rStyle w:val="htmlcodes"/>
        </w:rPr>
        <w:t>&lt;dl compact&gt;&lt;dt&gt;</w:t>
      </w:r>
      <w:r>
        <w:t xml:space="preserve">sumti:  </w:t>
      </w:r>
      <w:r>
        <w:rPr>
          <w:rStyle w:val="htmlcodes"/>
        </w:rPr>
        <w:t>&lt;dd&gt;</w:t>
      </w:r>
      <w:r>
        <w:t xml:space="preserve">argument; words identifying something which stands in a specified relationship to something else, or which has a specified property. See </w:t>
      </w:r>
      <w:r>
        <w:rPr>
          <w:rStyle w:val="htmlcodes"/>
        </w:rPr>
        <w:t>&lt;a href=chap6.html&gt;</w:t>
      </w:r>
      <w:r>
        <w:t>Chapter 6</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"selbri, definition (quick-tour version)"&gt;</w:t>
      </w:r>
      <w:r>
        <w:rPr>
          <w:rStyle w:val="indexentry"/>
        </w:rPr>
        <w:fldChar w:fldCharType="begin"/>
      </w:r>
      <w:r>
        <w:instrText>xe "</w:instrText>
      </w:r>
      <w:r>
        <w:rPr>
          <w:rStyle w:val="xeentry"/>
        </w:rPr>
        <w:instrText>selbri: definition, quick-tour version</w:instrText>
      </w:r>
      <w:r>
        <w:instrText>"</w:instrText>
      </w:r>
      <w:r>
        <w:rPr>
          <w:rStyle w:val="indexentry"/>
        </w:rPr>
        <w:fldChar w:fldCharType="end"/>
      </w:r>
      <w:r>
        <w:rPr>
          <w:rStyle w:val="htmlcodes"/>
        </w:rPr>
        <w:t>&lt;dl compact&gt;&lt;dt&gt;</w:t>
      </w:r>
      <w:r>
        <w:t xml:space="preserve">selbri:  </w:t>
      </w:r>
      <w:r>
        <w:rPr>
          <w:rStyle w:val="htmlcodes"/>
        </w:rPr>
        <w:t>&lt;dd&gt;</w:t>
      </w:r>
      <w:r>
        <w:t xml:space="preserve">logical predicate; the core of a bridi; the word or words specifying the relationship between the objects referred to by the sumti. See </w:t>
      </w:r>
      <w:r>
        <w:rPr>
          <w:rStyle w:val="htmlcodes"/>
        </w:rPr>
        <w:t>&lt;a href=chap5.html&gt;</w:t>
      </w:r>
      <w:r>
        <w:t>Chapter 5</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"cmavo, definition (quick-tour version)"&gt;</w:t>
      </w:r>
      <w:r>
        <w:rPr>
          <w:rStyle w:val="indexentry"/>
        </w:rPr>
        <w:fldChar w:fldCharType="begin"/>
      </w:r>
      <w:r>
        <w:instrText>xe "</w:instrText>
      </w:r>
      <w:r>
        <w:rPr>
          <w:rStyle w:val="xeentry"/>
        </w:rPr>
        <w:instrText>cmavo: definition, quick-tour version</w:instrText>
      </w:r>
      <w:r>
        <w:instrText>"</w:instrText>
      </w:r>
      <w:r>
        <w:rPr>
          <w:rStyle w:val="indexentry"/>
        </w:rPr>
        <w:fldChar w:fldCharType="end"/>
      </w:r>
      <w:r>
        <w:rPr>
          <w:rStyle w:val="htmlcodes"/>
        </w:rPr>
        <w:t>&lt;dl compact&gt;&lt;dt&gt;</w:t>
      </w:r>
      <w:r>
        <w:t xml:space="preserve">cmavo:  </w:t>
      </w:r>
      <w:r>
        <w:rPr>
          <w:rStyle w:val="htmlcodes"/>
        </w:rPr>
        <w:t>&lt;dd&gt;</w:t>
      </w:r>
      <w:r>
        <w:t>one of the Lojban parts of speech; a short word; a structural word; a word used for its grammatical func</w:t>
      </w:r>
      <w:r>
        <w:softHyphen/>
        <w:t>tion.</w:t>
      </w:r>
    </w:p>
    <w:p w:rsidR="00B72047" w:rsidRDefault="00B72047" w:rsidP="007E67C1">
      <w:pPr>
        <w:pStyle w:val="Listjustified"/>
        <w:numPr>
          <w:ilvl w:val="0"/>
          <w:numId w:val="2"/>
        </w:numPr>
        <w:ind w:left="792" w:hanging="432"/>
      </w:pPr>
      <w:r>
        <w:rPr>
          <w:rStyle w:val="htmlcodes"/>
        </w:rPr>
        <w:t>&lt;/dl&gt;</w:t>
      </w:r>
      <w:r>
        <w:rPr>
          <w:rStyle w:val="indexentry"/>
        </w:rPr>
        <w:t>&lt;cx "brivla, definition (quick-tour version)"&gt;</w:t>
      </w:r>
      <w:r>
        <w:rPr>
          <w:rStyle w:val="indexentry"/>
        </w:rPr>
        <w:fldChar w:fldCharType="begin"/>
      </w:r>
      <w:r>
        <w:instrText>xe "</w:instrText>
      </w:r>
      <w:r>
        <w:rPr>
          <w:rStyle w:val="xeentry"/>
        </w:rPr>
        <w:instrText>brivla: definition, quick-tour version</w:instrText>
      </w:r>
      <w:r>
        <w:instrText>"</w:instrText>
      </w:r>
      <w:r>
        <w:rPr>
          <w:rStyle w:val="indexentry"/>
        </w:rPr>
        <w:fldChar w:fldCharType="end"/>
      </w:r>
      <w:r>
        <w:rPr>
          <w:rStyle w:val="htmlcodes"/>
        </w:rPr>
        <w:t>&lt;dl compact&gt;&lt;dt&gt;</w:t>
      </w:r>
      <w:r>
        <w:t xml:space="preserve">brivla:  </w:t>
      </w:r>
      <w:r>
        <w:rPr>
          <w:rStyle w:val="htmlcodes"/>
        </w:rPr>
        <w:t>&lt;dd&gt;</w:t>
      </w:r>
      <w:r>
        <w:t xml:space="preserve">one of the Lojban parts of speech; a content word; a predicate word; can function as a selbri; is a gismu, a lujvo, or a fu'ivla. See </w:t>
      </w:r>
      <w:r>
        <w:rPr>
          <w:rStyle w:val="htmlcodes"/>
        </w:rPr>
        <w:t>&lt;a href=chap4.html&gt;</w:t>
      </w:r>
      <w:r>
        <w:t>Chapter 4</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"gismu, definition (quick-tour version)"&gt;</w:t>
      </w:r>
      <w:r>
        <w:rPr>
          <w:rStyle w:val="indexentry"/>
        </w:rPr>
        <w:fldChar w:fldCharType="begin"/>
      </w:r>
      <w:r>
        <w:instrText>xe "</w:instrText>
      </w:r>
      <w:r>
        <w:rPr>
          <w:rStyle w:val="xeentry"/>
        </w:rPr>
        <w:instrText>gismu: definition, quick-tour version</w:instrText>
      </w:r>
      <w:r>
        <w:instrText>"</w:instrText>
      </w:r>
      <w:r>
        <w:rPr>
          <w:rStyle w:val="indexentry"/>
        </w:rPr>
        <w:fldChar w:fldCharType="end"/>
      </w:r>
      <w:r>
        <w:rPr>
          <w:rStyle w:val="htmlcodes"/>
        </w:rPr>
        <w:t>&lt;dl compact&gt;&lt;dt&gt;</w:t>
      </w:r>
      <w:r>
        <w:t xml:space="preserve">gismu:  </w:t>
      </w:r>
      <w:r>
        <w:rPr>
          <w:rStyle w:val="htmlcodes"/>
        </w:rPr>
        <w:t>&lt;dd&gt;</w:t>
      </w:r>
      <w:r>
        <w:t xml:space="preserve">a root word; a kind of brivla; has associated rafsi. See </w:t>
      </w:r>
      <w:r>
        <w:rPr>
          <w:rStyle w:val="htmlcodes"/>
        </w:rPr>
        <w:t>&lt;a href=chap4.html&gt;</w:t>
      </w:r>
      <w:r>
        <w:t>Chapter 4</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"lujvo, definition (quick-tour version)"&gt;</w:t>
      </w:r>
      <w:r>
        <w:rPr>
          <w:rStyle w:val="indexentry"/>
        </w:rPr>
        <w:fldChar w:fldCharType="begin"/>
      </w:r>
      <w:r>
        <w:instrText>xe "</w:instrText>
      </w:r>
      <w:r>
        <w:rPr>
          <w:rStyle w:val="xeentry"/>
        </w:rPr>
        <w:instrText>lujvo: definition, quick-tour version</w:instrText>
      </w:r>
      <w:r>
        <w:instrText>"</w:instrText>
      </w:r>
      <w:r>
        <w:rPr>
          <w:rStyle w:val="indexentry"/>
        </w:rPr>
        <w:fldChar w:fldCharType="end"/>
      </w:r>
      <w:r>
        <w:rPr>
          <w:rStyle w:val="htmlcodes"/>
        </w:rPr>
        <w:t>&lt;dl compact&gt;&lt;dt&gt;</w:t>
      </w:r>
      <w:r>
        <w:t xml:space="preserve">lujvo:  </w:t>
      </w:r>
      <w:r>
        <w:rPr>
          <w:rStyle w:val="htmlcodes"/>
        </w:rPr>
        <w:t>&lt;dd&gt;</w:t>
      </w:r>
      <w:r>
        <w:t>a compound word; a kind of brivla; may or may not appear in a dic</w:t>
      </w:r>
      <w:r>
        <w:softHyphen/>
        <w:t xml:space="preserve">tionary; does not have associated rafsi. See </w:t>
      </w:r>
      <w:r>
        <w:rPr>
          <w:rStyle w:val="htmlcodes"/>
        </w:rPr>
        <w:t>&lt;a href=chap4.html&gt;</w:t>
      </w:r>
      <w:r>
        <w:t xml:space="preserve">Chapter 4 </w:t>
      </w:r>
      <w:r>
        <w:rPr>
          <w:rStyle w:val="htmlcodes"/>
        </w:rPr>
        <w:t>&lt;/a&gt;</w:t>
      </w:r>
      <w:r>
        <w:t xml:space="preserve">and </w:t>
      </w:r>
      <w:r>
        <w:rPr>
          <w:rStyle w:val="htmlcodes"/>
        </w:rPr>
        <w:t>&lt;a href=chap12.html&gt;</w:t>
      </w:r>
      <w:r>
        <w:t>Chapter 12</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"fu'ivla, definition (quick-tour version)"&gt;</w:t>
      </w:r>
      <w:r>
        <w:rPr>
          <w:rStyle w:val="indexentry"/>
        </w:rPr>
        <w:fldChar w:fldCharType="begin"/>
      </w:r>
      <w:r>
        <w:instrText>xe "</w:instrText>
      </w:r>
      <w:r>
        <w:rPr>
          <w:rStyle w:val="xeentry"/>
        </w:rPr>
        <w:instrText>fu'ivla: definition, quick-tour version</w:instrText>
      </w:r>
      <w:r>
        <w:instrText>"</w:instrText>
      </w:r>
      <w:r>
        <w:rPr>
          <w:rStyle w:val="indexentry"/>
        </w:rPr>
        <w:fldChar w:fldCharType="end"/>
      </w:r>
      <w:r>
        <w:rPr>
          <w:rStyle w:val="htmlcodes"/>
        </w:rPr>
        <w:t>&lt;dl compact&gt;&lt;dt&gt;</w:t>
      </w:r>
      <w:r>
        <w:t xml:space="preserve">fu'ivla:  </w:t>
      </w:r>
      <w:r>
        <w:rPr>
          <w:rStyle w:val="htmlcodes"/>
        </w:rPr>
        <w:t>&lt;dd&gt;</w:t>
      </w:r>
      <w:r>
        <w:t>a borrowed word; a kind of brivla; may or may not appear in a dic</w:t>
      </w:r>
      <w:r>
        <w:softHyphen/>
        <w:t>tionary; copied in a modified form from some non-Lojban language; usu</w:t>
      </w:r>
      <w:r>
        <w:softHyphen/>
        <w:t>ally refers to some aspect of culture or the natural world; does not have as</w:t>
      </w:r>
      <w:r>
        <w:softHyphen/>
        <w:t xml:space="preserve">sociated rafsi. See </w:t>
      </w:r>
      <w:r>
        <w:rPr>
          <w:rStyle w:val="htmlcodes"/>
        </w:rPr>
        <w:t>&lt;a href=chap4.html&gt;</w:t>
      </w:r>
      <w:r>
        <w:t>Chapter 4</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"rafsi, definition (quick-tour version)"&gt;</w:t>
      </w:r>
      <w:r>
        <w:rPr>
          <w:rStyle w:val="indexentry"/>
        </w:rPr>
        <w:fldChar w:fldCharType="begin"/>
      </w:r>
      <w:r>
        <w:instrText>xe "</w:instrText>
      </w:r>
      <w:r>
        <w:rPr>
          <w:rStyle w:val="xeentry"/>
        </w:rPr>
        <w:instrText>rafsi: definition, quick-tour version</w:instrText>
      </w:r>
      <w:r>
        <w:instrText>"</w:instrText>
      </w:r>
      <w:r>
        <w:rPr>
          <w:rStyle w:val="indexentry"/>
        </w:rPr>
        <w:fldChar w:fldCharType="end"/>
      </w:r>
      <w:r>
        <w:rPr>
          <w:rStyle w:val="htmlcodes"/>
        </w:rPr>
        <w:t>&lt;dl compact&gt;&lt;dt&gt;</w:t>
      </w:r>
      <w:r>
        <w:t xml:space="preserve">rafsi:  </w:t>
      </w:r>
      <w:r>
        <w:rPr>
          <w:rStyle w:val="htmlcodes"/>
        </w:rPr>
        <w:t>&lt;dd&gt;</w:t>
      </w:r>
      <w:r>
        <w:t>a word fragment; one or more is associated with each gismu; can be assembled according to rules in or</w:t>
      </w:r>
      <w:r>
        <w:softHyphen/>
        <w:t xml:space="preserve">der to make lujvo; not a valid word by itself. See </w:t>
      </w:r>
      <w:r>
        <w:rPr>
          <w:rStyle w:val="htmlcodes"/>
        </w:rPr>
        <w:t>&lt;a href=chap4.html&gt;</w:t>
      </w:r>
      <w:r>
        <w:t>Chapter 4</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"tanru, definition (quick-tour version)"&gt;</w:t>
      </w:r>
      <w:r>
        <w:rPr>
          <w:rStyle w:val="indexentry"/>
        </w:rPr>
        <w:fldChar w:fldCharType="begin"/>
      </w:r>
      <w:r>
        <w:instrText>xe "</w:instrText>
      </w:r>
      <w:r>
        <w:rPr>
          <w:rStyle w:val="xeentry"/>
        </w:rPr>
        <w:instrText>tanru: definition, quick-tour version</w:instrText>
      </w:r>
      <w:r>
        <w:instrText>"</w:instrText>
      </w:r>
      <w:r>
        <w:rPr>
          <w:rStyle w:val="indexentry"/>
        </w:rPr>
        <w:fldChar w:fldCharType="end"/>
      </w:r>
      <w:r>
        <w:rPr>
          <w:rStyle w:val="htmlcodes"/>
        </w:rPr>
        <w:t>&lt;dl compact&gt;&lt;dt&gt;</w:t>
      </w:r>
      <w:r>
        <w:t xml:space="preserve">tanru:  </w:t>
      </w:r>
      <w:r>
        <w:rPr>
          <w:rStyle w:val="htmlcodes"/>
        </w:rPr>
        <w:t>&lt;dd&gt;</w:t>
      </w:r>
      <w:r>
        <w:t>a group of two or more brivla, possibly with asso</w:t>
      </w:r>
      <w:r>
        <w:softHyphen/>
        <w:t xml:space="preserve">ciated cmavo, that form a selbri; always divisible into two parts, with the first part modifying the meaning of the second part (which is taken to be basic). See </w:t>
      </w:r>
      <w:r>
        <w:rPr>
          <w:rStyle w:val="htmlcodes"/>
        </w:rPr>
        <w:t>&lt;a href=chap5.html&gt;</w:t>
      </w:r>
      <w:r>
        <w:t>Chapter 5</w:t>
      </w:r>
      <w:r>
        <w:rPr>
          <w:rStyle w:val="htmlcodes"/>
        </w:rPr>
        <w:t>&lt;/a&gt;</w:t>
      </w:r>
      <w:r>
        <w:t>.</w:t>
      </w:r>
    </w:p>
    <w:p w:rsidR="00B72047" w:rsidRDefault="00B72047" w:rsidP="007E67C1">
      <w:pPr>
        <w:pStyle w:val="Listjustified"/>
        <w:numPr>
          <w:ilvl w:val="0"/>
          <w:numId w:val="2"/>
        </w:numPr>
        <w:ind w:left="792" w:hanging="432"/>
      </w:pPr>
      <w:r>
        <w:rPr>
          <w:rStyle w:val="htmlcodes"/>
        </w:rPr>
        <w:t>&lt;/dl&gt;</w:t>
      </w:r>
      <w:r>
        <w:rPr>
          <w:rStyle w:val="indexentry"/>
        </w:rPr>
        <w:t>&lt;cx "selma'o, definition (quick-tour version)"&gt;</w:t>
      </w:r>
      <w:r>
        <w:rPr>
          <w:rStyle w:val="indexentry"/>
        </w:rPr>
        <w:fldChar w:fldCharType="begin"/>
      </w:r>
      <w:r>
        <w:instrText>xe "</w:instrText>
      </w:r>
      <w:r>
        <w:rPr>
          <w:rStyle w:val="xeentry"/>
        </w:rPr>
        <w:instrText>selma'o: definition, quick-tour version</w:instrText>
      </w:r>
      <w:r>
        <w:instrText>"</w:instrText>
      </w:r>
      <w:r>
        <w:rPr>
          <w:rStyle w:val="indexentry"/>
        </w:rPr>
        <w:fldChar w:fldCharType="end"/>
      </w:r>
      <w:r>
        <w:rPr>
          <w:rStyle w:val="htmlcodes"/>
        </w:rPr>
        <w:t>&lt;dl compact&gt;&lt;dt&gt;</w:t>
      </w:r>
      <w:r>
        <w:t xml:space="preserve">selma'o:  </w:t>
      </w:r>
      <w:r>
        <w:rPr>
          <w:rStyle w:val="htmlcodes"/>
        </w:rPr>
        <w:t>&lt;dd&gt;</w:t>
      </w:r>
      <w:r>
        <w:t>a group of cmavo that have the same gram</w:t>
      </w:r>
      <w:r>
        <w:softHyphen/>
        <w:t>matical use (can ap</w:t>
      </w:r>
      <w:r>
        <w:softHyphen/>
        <w:t>pear interchangeably in sentences, as far as the grammar is concerned) but differ in mean</w:t>
      </w:r>
      <w:r>
        <w:softHyphen/>
        <w:t xml:space="preserve">ing or other usage. See </w:t>
      </w:r>
      <w:r>
        <w:rPr>
          <w:rStyle w:val="htmlcodes"/>
        </w:rPr>
        <w:t>&lt;a</w:t>
      </w:r>
      <w:r>
        <w:t xml:space="preserve"> </w:t>
      </w:r>
      <w:r>
        <w:rPr>
          <w:rStyle w:val="htmlcodes"/>
        </w:rPr>
        <w:t>&lt;/a&gt;href=chap20.html&gt;</w:t>
      </w:r>
      <w:r>
        <w:t>Chapter 20</w:t>
      </w:r>
      <w:r>
        <w:rPr>
          <w:rStyle w:val="htmlcodes"/>
        </w:rPr>
        <w:t>&lt;/a&gt;</w:t>
      </w:r>
      <w:r>
        <w:t>.</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rPr>
          <w:rStyle w:val="htmlcodes"/>
        </w:rPr>
      </w:pPr>
      <w:r>
        <w:rPr>
          <w:rStyle w:val="htmlcodes"/>
        </w:rPr>
        <w:t>&lt;img src=chap3.gif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27" type="#_x0000_t75" style="width:348.75pt;height:547.5pt">
            <v:imagedata r:id="rId21" o:title="" croptop="-26474f" cropbottom="-26474f" cropleft="-4742f" cropright="-6323f"/>
          </v:shape>
        </w:pict>
      </w:r>
    </w:p>
    <w:p w:rsidR="00B72047" w:rsidRDefault="00B72047">
      <w:pPr>
        <w:pStyle w:val="Heading2"/>
      </w:pPr>
      <w:r>
        <w:rPr>
          <w:rStyle w:val="htmlcodes"/>
        </w:rPr>
        <w:t>&lt;h2&gt;</w:t>
      </w:r>
      <w:bookmarkStart w:id="108" w:name="_Toc395684202"/>
      <w:bookmarkStart w:id="109" w:name="_Toc395691483"/>
      <w:bookmarkStart w:id="110" w:name="_Toc395691677"/>
      <w:bookmarkStart w:id="111" w:name="_Toc395691778"/>
      <w:bookmarkStart w:id="112" w:name="_Toc398970454"/>
      <w:r>
        <w:t>Chapter 3</w:t>
      </w:r>
      <w:bookmarkEnd w:id="108"/>
      <w:bookmarkEnd w:id="109"/>
      <w:bookmarkEnd w:id="110"/>
      <w:bookmarkEnd w:id="111"/>
      <w:bookmarkEnd w:id="112"/>
    </w:p>
    <w:p w:rsidR="00B72047" w:rsidRDefault="00B72047">
      <w:pPr>
        <w:pStyle w:val="Heading2"/>
        <w:rPr>
          <w:rStyle w:val="htmlcodes"/>
        </w:rPr>
      </w:pPr>
      <w:r>
        <w:rPr>
          <w:rStyle w:val="htmlcodes"/>
        </w:rPr>
        <w:t>&lt;br&gt;</w:t>
      </w:r>
    </w:p>
    <w:p w:rsidR="00B72047" w:rsidRDefault="00B72047">
      <w:pPr>
        <w:pStyle w:val="Heading2"/>
      </w:pPr>
      <w:bookmarkStart w:id="113" w:name="_Toc395691484"/>
      <w:bookmarkStart w:id="114" w:name="_Toc395691678"/>
      <w:bookmarkStart w:id="115" w:name="_Toc395691779"/>
      <w:bookmarkStart w:id="116" w:name="_Toc398970455"/>
      <w:r>
        <w:t>The Hills Are Alive With The Sounds Of Lojban</w:t>
      </w:r>
      <w:bookmarkEnd w:id="113"/>
      <w:bookmarkEnd w:id="114"/>
      <w:bookmarkEnd w:id="115"/>
      <w:bookmarkEnd w:id="116"/>
      <w:r>
        <w:rPr>
          <w:rStyle w:val="htmlcodes"/>
        </w:rPr>
        <w:t>&lt;/h2&gt;</w:t>
      </w:r>
    </w:p>
    <w:p w:rsidR="00B72047" w:rsidRDefault="00B72047">
      <w:pPr>
        <w:pStyle w:val="Heading6"/>
        <w:rPr>
          <w:rStyle w:val="htmlcodes"/>
        </w:rPr>
      </w:pPr>
      <w:r>
        <w:rPr>
          <w:rStyle w:val="htmlcodes"/>
        </w:rPr>
        <w:t>&lt;h6&gt;$Revision: 4.2 $&lt;br&gt;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117" w:name="_Toc395691485"/>
      <w:bookmarkStart w:id="118" w:name="_Toc395691679"/>
      <w:bookmarkStart w:id="119" w:name="_Toc398970456"/>
      <w:r>
        <w:rPr>
          <w:rStyle w:val="Heading3Text"/>
        </w:rPr>
        <w:t>Orthography</w:t>
      </w:r>
      <w:bookmarkEnd w:id="117"/>
      <w:bookmarkEnd w:id="118"/>
      <w:bookmarkEnd w:id="11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"isomorphism, audio-visual"&gt;</w:t>
      </w:r>
      <w:r>
        <w:rPr>
          <w:rStyle w:val="indexentry"/>
        </w:rPr>
        <w:fldChar w:fldCharType="begin"/>
      </w:r>
      <w:r>
        <w:instrText>xe "</w:instrText>
      </w:r>
      <w:r>
        <w:rPr>
          <w:rStyle w:val="xeentry"/>
        </w:rPr>
        <w:instrText>isomorphism: audio-visual</w:instrText>
      </w:r>
      <w:r>
        <w:instrText>"</w:instrText>
      </w:r>
      <w:r>
        <w:rPr>
          <w:rStyle w:val="indexentry"/>
        </w:rPr>
        <w:fldChar w:fldCharType="end"/>
      </w:r>
      <w:r>
        <w:rPr>
          <w:rStyle w:val="indexentry"/>
        </w:rPr>
        <w:t>&lt;cx "audio-visual isomorphism"&gt;</w:t>
      </w:r>
      <w:r>
        <w:rPr>
          <w:rStyle w:val="indexentry"/>
        </w:rPr>
        <w:fldChar w:fldCharType="begin"/>
      </w:r>
      <w:r>
        <w:instrText>xe "</w:instrText>
      </w:r>
      <w:r>
        <w:rPr>
          <w:rStyle w:val="xeentry"/>
        </w:rPr>
        <w:instrText>audio-visual isomorphism</w:instrText>
      </w:r>
      <w:r>
        <w:instrText>"</w:instrText>
      </w:r>
      <w:r>
        <w:rPr>
          <w:rStyle w:val="indexentry"/>
        </w:rPr>
        <w:fldChar w:fldCharType="end"/>
      </w:r>
      <w:r>
        <w:rPr>
          <w:rStyle w:val="indexentry"/>
        </w:rPr>
        <w:t>&lt;cx "pronunciation, relation to orthography"&gt;</w:t>
      </w:r>
      <w:r>
        <w:rPr>
          <w:rStyle w:val="indexentry"/>
        </w:rPr>
        <w:fldChar w:fldCharType="begin"/>
      </w:r>
      <w:r>
        <w:instrText>xe "</w:instrText>
      </w:r>
      <w:r>
        <w:rPr>
          <w:rStyle w:val="xeentry"/>
        </w:rPr>
        <w:instrText>pronunciation: relation to orthography</w:instrText>
      </w:r>
      <w:r>
        <w:instrText>"</w:instrText>
      </w:r>
      <w:r>
        <w:rPr>
          <w:rStyle w:val="indexentry"/>
        </w:rPr>
        <w:fldChar w:fldCharType="end"/>
      </w:r>
      <w:r>
        <w:rPr>
          <w:rStyle w:val="indexentry"/>
        </w:rPr>
        <w:t>&lt;cx "orthography, relation to pronunciation"&gt;</w:t>
      </w:r>
      <w:r>
        <w:rPr>
          <w:rStyle w:val="indexentry"/>
        </w:rPr>
        <w:fldChar w:fldCharType="begin"/>
      </w:r>
      <w:r>
        <w:instrText>xe "</w:instrText>
      </w:r>
      <w:r>
        <w:rPr>
          <w:rStyle w:val="xeentry"/>
        </w:rPr>
        <w:instrText>orthography: relation to pronunciation</w:instrText>
      </w:r>
      <w:r>
        <w:instrText>"</w:instrText>
      </w:r>
      <w:r>
        <w:rPr>
          <w:rStyle w:val="indexentry"/>
        </w:rPr>
        <w:fldChar w:fldCharType="end"/>
      </w:r>
      <w:r>
        <w:t>Lojban is designed so that any properly spoken Lojban utter</w:t>
      </w:r>
      <w:r>
        <w:softHyphen/>
        <w:t>ance can be</w:t>
      </w:r>
      <w:r>
        <w:rPr>
          <w:rStyle w:val="deletedparamark"/>
        </w:rPr>
        <w:t xml:space="preserve"> </w:t>
      </w:r>
      <w:r>
        <w:t>uniquely transcribed in writing, and any properly written Lojban can be</w:t>
      </w:r>
      <w:r>
        <w:rPr>
          <w:rStyle w:val="deletedparamark"/>
        </w:rPr>
        <w:t xml:space="preserve"> </w:t>
      </w:r>
      <w:r>
        <w:t>spoken so as to be uniquely reproduced by another person. As a consequence,</w:t>
      </w:r>
      <w:r>
        <w:rPr>
          <w:rStyle w:val="deletedparamark"/>
        </w:rPr>
        <w:t xml:space="preserve"> </w:t>
      </w:r>
      <w:r>
        <w:t>the standard Lojban or</w:t>
      </w:r>
      <w:r>
        <w:softHyphen/>
        <w:t>thog</w:t>
      </w:r>
      <w:r>
        <w:softHyphen/>
        <w:t>raphy must assign to each distinct sound, or</w:t>
      </w:r>
      <w:r>
        <w:rPr>
          <w:rStyle w:val="deletedparamark"/>
        </w:rPr>
        <w:t xml:space="preserve"> </w:t>
      </w:r>
      <w:r>
        <w:t>phoneme, a unique letter or symbol. Each letter or symbol has only one</w:t>
      </w:r>
      <w:r>
        <w:rPr>
          <w:rStyle w:val="deletedparamark"/>
        </w:rPr>
        <w:t xml:space="preserve"> </w:t>
      </w:r>
      <w:r>
        <w:t>sound or, more accurately, a lim</w:t>
      </w:r>
      <w:r>
        <w:softHyphen/>
        <w:t>ited range of sounds that are permitted</w:t>
      </w:r>
      <w:r>
        <w:rPr>
          <w:rStyle w:val="deletedparamark"/>
        </w:rPr>
        <w:t xml:space="preserve"> </w:t>
      </w:r>
      <w:r>
        <w:t>pronunciations for that pho</w:t>
      </w:r>
      <w:r>
        <w:softHyphen/>
        <w:t>neme. Some symbols indicate stress (speech</w:t>
      </w:r>
      <w:r>
        <w:rPr>
          <w:rStyle w:val="deletedparamark"/>
        </w:rPr>
        <w:t xml:space="preserve"> </w:t>
      </w:r>
      <w:r>
        <w:t>emphasis) and pause, which are also essential to Lojban word recognition.</w:t>
      </w:r>
      <w:r>
        <w:rPr>
          <w:rStyle w:val="deletedparamark"/>
        </w:rPr>
        <w:t xml:space="preserve"> </w:t>
      </w:r>
      <w:r>
        <w:t>In addition, eve</w:t>
      </w:r>
      <w:r>
        <w:softHyphen/>
        <w:t>rything that is represented in other languages by</w:t>
      </w:r>
      <w:r>
        <w:rPr>
          <w:rStyle w:val="deletedparamark"/>
        </w:rPr>
        <w:t xml:space="preserve"> </w:t>
      </w:r>
      <w:r>
        <w:t>punctuation (when writ</w:t>
      </w:r>
      <w:r>
        <w:softHyphen/>
        <w:t>ten) or by tone of voice (when spoken) is represented</w:t>
      </w:r>
      <w:r>
        <w:rPr>
          <w:rStyle w:val="deletedparamark"/>
        </w:rPr>
        <w:t xml:space="preserve"> </w:t>
      </w:r>
      <w:r>
        <w:t>in Lojban by words. These two properties together are known technically</w:t>
      </w:r>
      <w:r>
        <w:rPr>
          <w:rStyle w:val="deletedparamark"/>
        </w:rPr>
        <w:t xml:space="preserve"> </w:t>
      </w:r>
      <w:r>
        <w:t>as “audio-visual isomorphism”.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"Latin alphabet"&gt;</w:t>
      </w:r>
      <w:r>
        <w:rPr>
          <w:rStyle w:val="indexentry"/>
        </w:rPr>
        <w:fldChar w:fldCharType="begin"/>
      </w:r>
      <w:r>
        <w:instrText>xe "</w:instrText>
      </w:r>
      <w:r>
        <w:rPr>
          <w:rStyle w:val="xeentry"/>
        </w:rPr>
        <w:instrText>Latin alphabet</w:instrText>
      </w:r>
      <w:r>
        <w:instrText>"</w:instrText>
      </w:r>
      <w:r>
        <w:rPr>
          <w:rStyle w:val="indexentry"/>
        </w:rPr>
        <w:fldChar w:fldCharType="end"/>
      </w:r>
      <w:r>
        <w:rPr>
          <w:rStyle w:val="indexentry"/>
        </w:rPr>
        <w:t>&lt;cx "Lojban alphabet"&gt;</w:t>
      </w:r>
      <w:r>
        <w:rPr>
          <w:rStyle w:val="indexentry"/>
        </w:rPr>
        <w:fldChar w:fldCharType="begin"/>
      </w:r>
      <w:r>
        <w:instrText>xe "</w:instrText>
      </w:r>
      <w:r>
        <w:rPr>
          <w:rStyle w:val="xeentry"/>
        </w:rPr>
        <w:instrText>Lojban alphabet</w:instrText>
      </w:r>
      <w:r>
        <w:instrText>"</w:instrText>
      </w:r>
      <w:r>
        <w:rPr>
          <w:rStyle w:val="indexentry"/>
        </w:rPr>
        <w:fldChar w:fldCharType="end"/>
      </w:r>
      <w:r>
        <w:rPr>
          <w:rStyle w:val="indexentry"/>
        </w:rPr>
        <w:t>&lt;cx "alphabet, Lojban"&gt;</w:t>
      </w:r>
      <w:r>
        <w:rPr>
          <w:rStyle w:val="indexentry"/>
        </w:rPr>
        <w:fldChar w:fldCharType="begin"/>
      </w:r>
      <w:r>
        <w:instrText>xe "</w:instrText>
      </w:r>
      <w:r>
        <w:rPr>
          <w:rStyle w:val="xeentry"/>
        </w:rPr>
        <w:instrText>alphabet: Lojban</w:instrText>
      </w:r>
      <w:r>
        <w:instrText>"</w:instrText>
      </w:r>
      <w:r>
        <w:rPr>
          <w:rStyle w:val="indexentry"/>
        </w:rPr>
        <w:fldChar w:fldCharType="end"/>
      </w:r>
      <w:r>
        <w:t>Lojban uses a variant of the Latin (Roman) alphabet, con</w:t>
      </w:r>
      <w:r>
        <w:softHyphen/>
        <w:t>sisting of the</w:t>
      </w:r>
      <w:r>
        <w:rPr>
          <w:rStyle w:val="deletedparamark"/>
        </w:rPr>
        <w:t xml:space="preserve"> </w:t>
      </w:r>
      <w:r>
        <w:t>follow</w:t>
      </w:r>
      <w:r>
        <w:softHyphen/>
        <w:t>ing let</w:t>
      </w:r>
      <w:r>
        <w:softHyphen/>
        <w:t>ters and symbols: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compact&gt;&lt;dt&gt;&lt;dd&gt;</w:t>
      </w:r>
      <w:r>
        <w:tab/>
        <w:t>' , . a b c d e f g i j k l m n o p r s t u v x y z</w:t>
      </w:r>
    </w:p>
    <w:p w:rsidR="00B72047" w:rsidRDefault="00B72047">
      <w:pPr>
        <w:pStyle w:val="resumedafterexample"/>
      </w:pPr>
      <w:r>
        <w:rPr>
          <w:rStyle w:val="htmlcodes"/>
        </w:rPr>
        <w:t>&lt;/dl&gt;</w:t>
      </w:r>
      <w:r>
        <w:t>omitting the letters “h”, “q”, and “w”.</w:t>
      </w:r>
    </w:p>
    <w:p w:rsidR="00B72047" w:rsidRDefault="00B72047">
      <w:pPr>
        <w:rPr>
          <w:rStyle w:val="htmlparacode"/>
        </w:rPr>
      </w:pPr>
      <w:r>
        <w:rPr>
          <w:rStyle w:val="htmlparacode"/>
        </w:rPr>
        <w:t>&lt;p&gt;</w:t>
      </w:r>
    </w:p>
    <w:p w:rsidR="00B72047" w:rsidRDefault="00B72047">
      <w:pPr>
        <w:pStyle w:val="normalparagraph"/>
      </w:pPr>
      <w:r>
        <w:rPr>
          <w:rStyle w:val="indexentry"/>
        </w:rPr>
        <w:t>&lt;cx "alphabetic order"&gt;</w:t>
      </w:r>
      <w:r>
        <w:rPr>
          <w:rStyle w:val="indexentry"/>
        </w:rPr>
        <w:fldChar w:fldCharType="begin"/>
      </w:r>
      <w:r>
        <w:instrText>xe "</w:instrText>
      </w:r>
      <w:r>
        <w:rPr>
          <w:rStyle w:val="xeentry"/>
        </w:rPr>
        <w:instrText>alphabetic order</w:instrText>
      </w:r>
      <w:r>
        <w:instrText>"</w:instrText>
      </w:r>
      <w:r>
        <w:rPr>
          <w:rStyle w:val="indexentry"/>
        </w:rPr>
        <w:fldChar w:fldCharType="end"/>
      </w:r>
      <w:r>
        <w:t>The alphabetic order given above is that of the ASCII coded character set,</w:t>
      </w:r>
      <w:r>
        <w:rPr>
          <w:rStyle w:val="deletedparamark"/>
        </w:rPr>
        <w:t xml:space="preserve"> </w:t>
      </w:r>
      <w:r>
        <w:t>widely used in computers. By making Lojban alphabeti</w:t>
      </w:r>
      <w:r>
        <w:softHyphen/>
        <w:t>cal order the same</w:t>
      </w:r>
      <w:r>
        <w:rPr>
          <w:rStyle w:val="deletedparamark"/>
        </w:rPr>
        <w:t xml:space="preserve"> </w:t>
      </w:r>
      <w:r>
        <w:t>as ASCII, compu</w:t>
      </w:r>
      <w:r>
        <w:t>t</w:t>
      </w:r>
      <w:r>
        <w:t>er</w:t>
      </w:r>
      <w:r>
        <w:softHyphen/>
        <w:t>ized sorting and searching of Lojban text is facilitated.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"capital letters, use of"&gt;</w:t>
      </w:r>
      <w:r>
        <w:rPr>
          <w:rStyle w:val="indexentry"/>
        </w:rPr>
        <w:fldChar w:fldCharType="begin"/>
      </w:r>
      <w:r>
        <w:instrText>xe "</w:instrText>
      </w:r>
      <w:r>
        <w:rPr>
          <w:rStyle w:val="xeentry"/>
        </w:rPr>
        <w:instrText>capital letters: use of</w:instrText>
      </w:r>
      <w:r>
        <w:instrText>"</w:instrText>
      </w:r>
      <w:r>
        <w:rPr>
          <w:rStyle w:val="indexentry"/>
        </w:rPr>
        <w:fldChar w:fldCharType="end"/>
      </w:r>
      <w:r>
        <w:rPr>
          <w:rStyle w:val="indexentry"/>
        </w:rPr>
        <w:t>&lt;cx "stress, showing non-standard"&gt;</w:t>
      </w:r>
      <w:r>
        <w:rPr>
          <w:rStyle w:val="indexentry"/>
        </w:rPr>
        <w:fldChar w:fldCharType="begin"/>
      </w:r>
      <w:r>
        <w:instrText>xe "</w:instrText>
      </w:r>
      <w:r>
        <w:rPr>
          <w:rStyle w:val="xeentry"/>
        </w:rPr>
        <w:instrText>stress: showing non-standard</w:instrText>
      </w:r>
      <w:r>
        <w:instrText>"</w:instrText>
      </w:r>
      <w:r>
        <w:rPr>
          <w:rStyle w:val="indexentry"/>
        </w:rPr>
        <w:fldChar w:fldCharType="end"/>
      </w:r>
      <w:r>
        <w:t>Capital letters are used only to represent non-standard stress, which can</w:t>
      </w:r>
      <w:r>
        <w:rPr>
          <w:rStyle w:val="deletedparamark"/>
        </w:rPr>
        <w:t xml:space="preserve"> </w:t>
      </w:r>
      <w:r>
        <w:t>appear only in the representation of Lojbanized names. Thus the</w:t>
      </w:r>
      <w:r>
        <w:rPr>
          <w:rStyle w:val="deletedparamark"/>
        </w:rPr>
        <w:t xml:space="preserve"> </w:t>
      </w:r>
      <w:r>
        <w:t>English name “Josephine”, as no</w:t>
      </w:r>
      <w:r>
        <w:t>r</w:t>
      </w:r>
      <w:r>
        <w:softHyphen/>
        <w:t>mally pronounced, is Lojbanized as</w:t>
      </w:r>
      <w:r>
        <w:rPr>
          <w:rStyle w:val="deletedparamark"/>
        </w:rPr>
        <w:t xml:space="preserve"> “</w:t>
      </w:r>
      <w:r>
        <w:t xml:space="preserve">DJOsefin.”, pronounced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r>
        <w:t xml:space="preserve">. (See </w:t>
      </w:r>
      <w:r>
        <w:rPr>
          <w:rStyle w:val="htmlcodes"/>
        </w:rPr>
        <w:t>&lt;a href=#s2&gt;</w:t>
      </w:r>
      <w:r>
        <w:t>Se</w:t>
      </w:r>
      <w:r>
        <w:t>c</w:t>
      </w:r>
      <w:r>
        <w:softHyphen/>
        <w:t xml:space="preserve">tion 2 </w:t>
      </w:r>
      <w:r>
        <w:rPr>
          <w:rStyle w:val="htmlcodes"/>
        </w:rPr>
        <w:t>&lt;/a&gt;</w:t>
      </w:r>
      <w:r>
        <w:t>for an explanation</w:t>
      </w:r>
      <w:r>
        <w:rPr>
          <w:rStyle w:val="deletedparamark"/>
        </w:rPr>
        <w:t xml:space="preserve"> </w:t>
      </w:r>
      <w:r>
        <w:t>of the symbols within square brackets.) Techni</w:t>
      </w:r>
      <w:r>
        <w:softHyphen/>
        <w:t>cally, it is suff</w:t>
      </w:r>
      <w:r>
        <w:t>i</w:t>
      </w:r>
      <w:r>
        <w:softHyphen/>
        <w:t>cient to</w:t>
      </w:r>
      <w:r>
        <w:rPr>
          <w:rStyle w:val="deletedparamark"/>
        </w:rPr>
        <w:t xml:space="preserve"> </w:t>
      </w:r>
      <w:r>
        <w:t>capitalize the vowel letter, in this case “O”, but it is easier on the</w:t>
      </w:r>
      <w:r>
        <w:rPr>
          <w:rStyle w:val="deletedparamark"/>
        </w:rPr>
        <w:t xml:space="preserve"> </w:t>
      </w:r>
      <w:r>
        <w:t>reader to capi</w:t>
      </w:r>
      <w:r>
        <w:softHyphen/>
        <w:t>talize the whole syllable.</w:t>
      </w:r>
    </w:p>
    <w:p w:rsidR="00B72047" w:rsidRDefault="00B72047">
      <w:pPr>
        <w:pStyle w:val="normalparagraph"/>
        <w:rPr>
          <w:rStyle w:val="htmlparacode"/>
        </w:rPr>
      </w:pPr>
      <w:r>
        <w:rPr>
          <w:rStyle w:val="htmlparacode"/>
        </w:rPr>
        <w:t>&lt;p&gt;</w:t>
      </w:r>
    </w:p>
    <w:p w:rsidR="00B72047" w:rsidRDefault="00B72047">
      <w:pPr>
        <w:pStyle w:val="normalparagraph"/>
      </w:pPr>
      <w:r>
        <w:t>Without the capitalization, the ordinary rules of Lojban stress would cause</w:t>
      </w:r>
      <w:r>
        <w:rPr>
          <w:rStyle w:val="deletedparamark"/>
        </w:rPr>
        <w:t xml:space="preserve"> </w:t>
      </w:r>
      <w:r>
        <w:t>the “se” syllable to be stressed. Lojbanized names are meant to represent</w:t>
      </w:r>
      <w:r>
        <w:rPr>
          <w:rStyle w:val="deletedparamark"/>
        </w:rPr>
        <w:t xml:space="preserve"> </w:t>
      </w:r>
      <w:r>
        <w:t>the pronunciation of names from other languages with as little distortion as</w:t>
      </w:r>
      <w:r>
        <w:rPr>
          <w:rStyle w:val="deletedparamark"/>
        </w:rPr>
        <w:t xml:space="preserve"> </w:t>
      </w:r>
      <w:r>
        <w:t>may be; as such, they are ex</w:t>
      </w:r>
      <w:r>
        <w:softHyphen/>
        <w:t>empt from many of the regular rules of Lojban</w:t>
      </w:r>
      <w:r>
        <w:rPr>
          <w:rStyle w:val="deletedparamark"/>
        </w:rPr>
        <w:t xml:space="preserve"> </w:t>
      </w:r>
      <w:r>
        <w:t>phonology, as will appear in the rest of this chapter.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120" w:name="_Toc395691486"/>
      <w:bookmarkStart w:id="121" w:name="_Toc395691680"/>
      <w:bookmarkStart w:id="122" w:name="_Toc398970457"/>
      <w:r>
        <w:rPr>
          <w:rStyle w:val="Heading3Text"/>
        </w:rPr>
        <w:t>Basic phonetics</w:t>
      </w:r>
      <w:bookmarkEnd w:id="120"/>
      <w:bookmarkEnd w:id="121"/>
      <w:bookmarkEnd w:id="12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"International Phonetic Alphabet (see also IPA)"&gt;</w:t>
      </w:r>
      <w:r>
        <w:rPr>
          <w:rStyle w:val="indexentry"/>
        </w:rPr>
        <w:fldChar w:fldCharType="begin"/>
      </w:r>
      <w:r>
        <w:instrText>xe "</w:instrText>
      </w:r>
      <w:r>
        <w:rPr>
          <w:rStyle w:val="xeentry"/>
        </w:rPr>
        <w:instrText>International Phonetic Alphabet (see also IPA)</w:instrText>
      </w:r>
      <w:r>
        <w:instrText>"</w:instrText>
      </w:r>
      <w:r>
        <w:rPr>
          <w:rStyle w:val="indexentry"/>
        </w:rPr>
        <w:fldChar w:fldCharType="end"/>
      </w:r>
      <w:r>
        <w:rPr>
          <w:rStyle w:val="indexentry"/>
        </w:rPr>
        <w:t>&lt;cx "IPA"&gt;</w:t>
      </w:r>
      <w:r>
        <w:rPr>
          <w:rStyle w:val="indexentry"/>
        </w:rPr>
        <w:fldChar w:fldCharType="begin"/>
      </w:r>
      <w:r>
        <w:instrText>xe "</w:instrText>
      </w:r>
      <w:r>
        <w:rPr>
          <w:rStyle w:val="xeentry"/>
        </w:rPr>
        <w:instrText>IPA</w:instrText>
      </w:r>
      <w:r>
        <w:instrText>"</w:instrText>
      </w:r>
      <w:r>
        <w:rPr>
          <w:rStyle w:val="indexentry"/>
        </w:rPr>
        <w:fldChar w:fldCharType="end"/>
      </w:r>
      <w:r>
        <w:rPr>
          <w:rStyle w:val="indexentry"/>
        </w:rPr>
        <w:t>&lt;cx "phonetic alphabet"&gt;</w:t>
      </w:r>
      <w:r>
        <w:rPr>
          <w:rStyle w:val="indexentry"/>
        </w:rPr>
        <w:fldChar w:fldCharType="begin"/>
      </w:r>
      <w:r>
        <w:instrText>xe "</w:instrText>
      </w:r>
      <w:r>
        <w:rPr>
          <w:rStyle w:val="xeentry"/>
        </w:rPr>
        <w:instrText>phonetic alphabet</w:instrText>
      </w:r>
      <w:r>
        <w:instrText>"</w:instrText>
      </w:r>
      <w:r>
        <w:rPr>
          <w:rStyle w:val="indexentry"/>
        </w:rPr>
        <w:fldChar w:fldCharType="end"/>
      </w:r>
      <w:r>
        <w:rPr>
          <w:rStyle w:val="indexentry"/>
        </w:rPr>
        <w:t>&lt;cx "brackets, use in IPA notation"&gt;</w:t>
      </w:r>
      <w:r>
        <w:rPr>
          <w:rStyle w:val="indexentry"/>
        </w:rPr>
        <w:fldChar w:fldCharType="begin"/>
      </w:r>
      <w:r>
        <w:instrText>xe "</w:instrText>
      </w:r>
      <w:r>
        <w:rPr>
          <w:rStyle w:val="xeentry"/>
        </w:rPr>
        <w:instrText>brackets: use in IPA notation</w:instrText>
      </w:r>
      <w:r>
        <w:instrText>"</w:instrText>
      </w:r>
      <w:r>
        <w:rPr>
          <w:rStyle w:val="indexentry"/>
        </w:rPr>
        <w:fldChar w:fldCharType="end"/>
      </w:r>
      <w:r>
        <w:t>Lojban pronunciations are defined using the International Phonetic Alphabet,</w:t>
      </w:r>
      <w:r>
        <w:rPr>
          <w:rStyle w:val="deletedparamark"/>
        </w:rPr>
        <w:t xml:space="preserve"> </w:t>
      </w:r>
      <w:r>
        <w:t>or IPA, a standard method of transcribing pronun</w:t>
      </w:r>
      <w:r>
        <w:softHyphen/>
        <w:t>ciations. By convention,</w:t>
      </w:r>
      <w:r>
        <w:rPr>
          <w:rStyle w:val="deletedparamark"/>
        </w:rPr>
        <w:t xml:space="preserve"> </w:t>
      </w:r>
      <w:r>
        <w:t>IPA tran</w:t>
      </w:r>
      <w:r>
        <w:softHyphen/>
        <w:t>scriptions are always within square brackets: for example,</w:t>
      </w:r>
      <w:r>
        <w:rPr>
          <w:rStyle w:val="deletedparamark"/>
        </w:rPr>
        <w:t xml:space="preserve"> </w:t>
      </w:r>
      <w:r>
        <w:t xml:space="preserve">the word “cat” is pronounced (in General American pronunciation) </w:t>
      </w:r>
      <w:r>
        <w:rPr>
          <w:rStyle w:val="htmlcodes"/>
        </w:rPr>
        <w:t>&lt;font face="SILDoulosIPA"&gt;</w:t>
      </w:r>
      <w:r>
        <w:t>[</w:t>
      </w:r>
      <w:r>
        <w:rPr>
          <w:rStyle w:val="IPA"/>
        </w:rPr>
        <w:t></w:t>
      </w:r>
      <w:r>
        <w:rPr>
          <w:rStyle w:val="IPA"/>
        </w:rPr>
        <w:t></w:t>
      </w:r>
      <w:r>
        <w:rPr>
          <w:rStyle w:val="IPA"/>
        </w:rPr>
        <w:t></w:t>
      </w:r>
      <w:r>
        <w:t>]</w:t>
      </w:r>
      <w:r>
        <w:rPr>
          <w:rStyle w:val="htmlcodes"/>
        </w:rPr>
        <w:t>&lt;/font&gt;</w:t>
      </w:r>
      <w:r>
        <w:t>.</w:t>
      </w:r>
      <w:r>
        <w:rPr>
          <w:rStyle w:val="deletedparamark"/>
        </w:rPr>
        <w:t xml:space="preserve"> </w:t>
      </w:r>
      <w:r>
        <w:rPr>
          <w:rStyle w:val="htmlcodes"/>
        </w:rPr>
        <w:t>&lt;a href=#s10&gt;</w:t>
      </w:r>
      <w:r>
        <w:t xml:space="preserve">Section 10 </w:t>
      </w:r>
      <w:r>
        <w:rPr>
          <w:rStyle w:val="htmlcodes"/>
        </w:rPr>
        <w:t>&lt;/a&gt;</w:t>
      </w:r>
      <w:r>
        <w:t>contains a brief explana</w:t>
      </w:r>
      <w:r>
        <w:softHyphen/>
        <w:t>tion of the IPA char</w:t>
      </w:r>
      <w:r>
        <w:softHyphen/>
        <w:t>acters used in</w:t>
      </w:r>
      <w:r>
        <w:rPr>
          <w:rStyle w:val="deletedparamark"/>
        </w:rPr>
        <w:t xml:space="preserve"> </w:t>
      </w:r>
      <w:r>
        <w:t>this chapter, with their nearest analogues in English, and will be</w:t>
      </w:r>
      <w:r>
        <w:rPr>
          <w:rStyle w:val="deletedparamark"/>
        </w:rPr>
        <w:t xml:space="preserve"> </w:t>
      </w:r>
      <w:r>
        <w:t>especially useful to those not famil</w:t>
      </w:r>
      <w:r>
        <w:softHyphen/>
        <w:t>iar with the technical terms used</w:t>
      </w:r>
      <w:r>
        <w:rPr>
          <w:rStyle w:val="deletedparamark"/>
        </w:rPr>
        <w:t xml:space="preserve"> </w:t>
      </w:r>
      <w:r>
        <w:t>in describing speech sounds.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"pronunciation, standard"&gt;</w:t>
      </w:r>
      <w:r>
        <w:rPr>
          <w:rStyle w:val="indexentry"/>
        </w:rPr>
        <w:fldChar w:fldCharType="begin"/>
      </w:r>
      <w:r>
        <w:instrText>xe "</w:instrText>
      </w:r>
      <w:r>
        <w:rPr>
          <w:rStyle w:val="xeentry"/>
        </w:rPr>
        <w:instrText>pronunciation: standard</w:instrText>
      </w:r>
      <w:r>
        <w:instrText>"</w:instrText>
      </w:r>
      <w:r>
        <w:rPr>
          <w:rStyle w:val="indexentry"/>
        </w:rPr>
        <w:fldChar w:fldCharType="end"/>
      </w:r>
      <w:r>
        <w:rPr>
          <w:rStyle w:val="indexentry"/>
        </w:rPr>
        <w:t>&lt;cx "standard pronunciation"&gt;</w:t>
      </w:r>
      <w:r>
        <w:rPr>
          <w:rStyle w:val="indexentry"/>
        </w:rPr>
        <w:fldChar w:fldCharType="begin"/>
      </w:r>
      <w:r>
        <w:instrText>xe "</w:instrText>
      </w:r>
      <w:r>
        <w:rPr>
          <w:rStyle w:val="xeentry"/>
        </w:rPr>
        <w:instrText>standard pronunciation</w:instrText>
      </w:r>
      <w:r>
        <w:instrText>"</w:instrText>
      </w:r>
      <w:r>
        <w:rPr>
          <w:rStyle w:val="indexentry"/>
        </w:rPr>
        <w:fldChar w:fldCharType="end"/>
      </w:r>
      <w:r>
        <w:t>The standard pronunciations and permitted variants of the Lojban letters</w:t>
      </w:r>
      <w:r>
        <w:rPr>
          <w:rStyle w:val="deletedparamark"/>
        </w:rPr>
        <w:t xml:space="preserve"> </w:t>
      </w:r>
      <w:r>
        <w:t>are listed in the table below. The descriptions have de</w:t>
      </w:r>
      <w:r>
        <w:softHyphen/>
        <w:t>liberately been made</w:t>
      </w:r>
      <w:r>
        <w:rPr>
          <w:rStyle w:val="deletedparamark"/>
        </w:rPr>
        <w:t xml:space="preserve"> </w:t>
      </w:r>
      <w:r>
        <w:t>a bit ambiguous to cover variations in pronun</w:t>
      </w:r>
      <w:r>
        <w:softHyphen/>
        <w:t>ciation by speakers of different</w:t>
      </w:r>
      <w:r>
        <w:rPr>
          <w:rStyle w:val="deletedparamark"/>
        </w:rPr>
        <w:t xml:space="preserve"> </w:t>
      </w:r>
      <w:r>
        <w:t>native languages and dia</w:t>
      </w:r>
      <w:r>
        <w:softHyphen/>
        <w:t>lects. In all cases except “r” the first IPA</w:t>
      </w:r>
      <w:r>
        <w:rPr>
          <w:rStyle w:val="deletedparamark"/>
        </w:rPr>
        <w:t xml:space="preserve"> </w:t>
      </w:r>
      <w:r>
        <w:t>symbol shown represents the preferred pro</w:t>
      </w:r>
      <w:r>
        <w:softHyphen/>
        <w:t>nun</w:t>
      </w:r>
      <w:r>
        <w:softHyphen/>
        <w:t>ciation; for “r”, all of the</w:t>
      </w:r>
      <w:r>
        <w:rPr>
          <w:rStyle w:val="deletedparamark"/>
        </w:rPr>
        <w:t xml:space="preserve"> </w:t>
      </w:r>
      <w:r>
        <w:t>variations (and any other rhotic sound) are equally accept</w:t>
      </w:r>
      <w:r>
        <w:softHyphen/>
        <w:t>able.</w:t>
      </w:r>
    </w:p>
    <w:p w:rsidR="00B72047" w:rsidRDefault="00B72047">
      <w:pPr>
        <w:pStyle w:val="examplewtabspre"/>
        <w:rPr>
          <w:rStyle w:val="htmlparacode"/>
        </w:rPr>
      </w:pPr>
      <w:r>
        <w:rPr>
          <w:rStyle w:val="htmlparacode"/>
        </w:rPr>
        <w:t>&lt;p&gt;</w:t>
      </w:r>
    </w:p>
    <w:p w:rsidR="00B72047" w:rsidRDefault="00B72047">
      <w:pPr>
        <w:pStyle w:val="examplewtabspre"/>
        <w:spacing w:before="80"/>
      </w:pPr>
      <w:r>
        <w:rPr>
          <w:rStyle w:val="indexentry"/>
        </w:rPr>
        <w:t>&lt;cx "pronunciation, IPA for Lojban"&gt;</w:t>
      </w:r>
      <w:r>
        <w:rPr>
          <w:rStyle w:val="indexentry"/>
        </w:rPr>
        <w:fldChar w:fldCharType="begin"/>
      </w:r>
      <w:r>
        <w:instrText>xe "</w:instrText>
      </w:r>
      <w:r>
        <w:rPr>
          <w:rStyle w:val="xeentry"/>
        </w:rPr>
        <w:instrText>pronunciation: IPA for Lojban</w:instrText>
      </w:r>
      <w:r>
        <w:instrText>"</w:instrText>
      </w:r>
      <w:r>
        <w:rPr>
          <w:rStyle w:val="indexentry"/>
        </w:rPr>
        <w:fldChar w:fldCharType="end"/>
      </w:r>
      <w:r>
        <w:rPr>
          <w:rStyle w:val="indexentry"/>
        </w:rPr>
        <w:t>&lt;cx "Lojban letters, IPA for pronouncing"&gt;</w:t>
      </w:r>
      <w:r>
        <w:rPr>
          <w:rStyle w:val="indexentry"/>
        </w:rPr>
        <w:fldChar w:fldCharType="begin"/>
      </w:r>
      <w:r>
        <w:instrText>xe "</w:instrText>
      </w:r>
      <w:r>
        <w:rPr>
          <w:rStyle w:val="xeentry"/>
        </w:rPr>
        <w:instrText>Lojban letters: IPA for pronouncing</w:instrText>
      </w:r>
      <w:r>
        <w:instrText>"</w:instrText>
      </w:r>
      <w:r>
        <w:rPr>
          <w:rStyle w:val="indexentry"/>
        </w:rPr>
        <w:fldChar w:fldCharType="end"/>
      </w:r>
      <w:r>
        <w:rPr>
          <w:rStyle w:val="indexentry"/>
        </w:rPr>
        <w:t>&lt;cx "Lojban letters, list with IPA pronunciation"&gt;</w:t>
      </w:r>
      <w:r>
        <w:rPr>
          <w:rStyle w:val="indexentry"/>
        </w:rPr>
        <w:fldChar w:fldCharType="begin"/>
      </w:r>
      <w:r>
        <w:instrText>xe "</w:instrText>
      </w:r>
      <w:r>
        <w:rPr>
          <w:rStyle w:val="xeentry"/>
        </w:rPr>
        <w:instrText>Lojban letters: list with IPA pronunciation</w:instrText>
      </w:r>
      <w:r>
        <w:instrText>"</w:instrText>
      </w:r>
      <w:r>
        <w:rPr>
          <w:rStyle w:val="indexentry"/>
        </w:rPr>
        <w:fldChar w:fldCharType="end"/>
      </w:r>
      <w:r>
        <w:rPr>
          <w:rStyle w:val="htmlcodes"/>
        </w:rPr>
        <w:t>&lt;pre&gt;</w:t>
      </w:r>
      <w:r>
        <w:tab/>
        <w:t>Letter</w:t>
      </w:r>
      <w:r>
        <w:tab/>
        <w:t>IPA</w:t>
      </w:r>
      <w:r>
        <w:tab/>
        <w:t>Description</w:t>
      </w:r>
    </w:p>
    <w:p w:rsidR="00B72047" w:rsidRDefault="00B72047">
      <w:pPr>
        <w:pStyle w:val="examplewtabspre"/>
        <w:rPr>
          <w:rStyle w:val="htmlcodes"/>
        </w:rPr>
      </w:pPr>
    </w:p>
    <w:p w:rsidR="00B72047" w:rsidRDefault="00B72047">
      <w:pPr>
        <w:pStyle w:val="examplewtabspre"/>
        <w:spacing w:before="80"/>
      </w:pPr>
      <w:r>
        <w:tab/>
        <w:t>'</w:t>
      </w:r>
      <w:r>
        <w:tab/>
      </w:r>
      <w:r>
        <w:rPr>
          <w:rStyle w:val="htmlcodes"/>
        </w:rPr>
        <w:t>&lt;font face="SILDoulosIPA"&gt;</w:t>
      </w:r>
      <w:r>
        <w:t>[</w:t>
      </w:r>
      <w:r>
        <w:rPr>
          <w:rStyle w:val="IPA"/>
        </w:rPr>
        <w:t></w:t>
      </w:r>
      <w:r>
        <w:t>]</w:t>
      </w:r>
      <w:r>
        <w:rPr>
          <w:rStyle w:val="htmlcodes"/>
        </w:rPr>
        <w:t>&lt;/font&gt;</w:t>
      </w:r>
      <w:r>
        <w:tab/>
        <w:t>a unvoiced glottal spirant</w:t>
      </w:r>
    </w:p>
    <w:p w:rsidR="00B72047" w:rsidRDefault="00B72047">
      <w:pPr>
        <w:pStyle w:val="examplewtabspre"/>
        <w:spacing w:before="80"/>
      </w:pPr>
      <w:r>
        <w:tab/>
        <w:t>,</w:t>
      </w:r>
      <w:r>
        <w:tab/>
        <w:t>—</w:t>
      </w:r>
      <w:r>
        <w:tab/>
        <w:t>the syllable separator</w:t>
      </w:r>
    </w:p>
    <w:p w:rsidR="00B72047" w:rsidRDefault="00B72047">
      <w:pPr>
        <w:pStyle w:val="examplewtabspre"/>
        <w:spacing w:before="80"/>
      </w:pPr>
      <w:r>
        <w:tab/>
        <w:t>.</w:t>
      </w:r>
      <w:r>
        <w:tab/>
      </w:r>
      <w:r>
        <w:rPr>
          <w:rStyle w:val="htmlcodes"/>
        </w:rPr>
        <w:t>&lt;font face="SILDoulosIPA"&gt;</w:t>
      </w:r>
      <w:r>
        <w:t>[</w:t>
      </w:r>
      <w:r>
        <w:rPr>
          <w:rStyle w:val="IPA"/>
        </w:rPr>
        <w:t></w:t>
      </w:r>
      <w:r>
        <w:t>]</w:t>
      </w:r>
      <w:r>
        <w:rPr>
          <w:rStyle w:val="htmlcodes"/>
        </w:rPr>
        <w:t>&lt;/font&gt;</w:t>
      </w:r>
      <w:r>
        <w:tab/>
        <w:t>a glottal stop or a pause</w:t>
      </w:r>
    </w:p>
    <w:p w:rsidR="00B72047" w:rsidRDefault="00B72047">
      <w:pPr>
        <w:pStyle w:val="examplewtabspre"/>
        <w:spacing w:before="80"/>
      </w:pPr>
      <w:r>
        <w:tab/>
        <w:t>a</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an open vowel</w:t>
      </w:r>
    </w:p>
    <w:p w:rsidR="00B72047" w:rsidRDefault="00B72047">
      <w:pPr>
        <w:pStyle w:val="examplewtabspre"/>
        <w:spacing w:before="80"/>
      </w:pPr>
      <w:r>
        <w:tab/>
        <w:t>b</w:t>
      </w:r>
      <w:r>
        <w:tab/>
      </w:r>
      <w:r>
        <w:rPr>
          <w:rStyle w:val="htmlcodes"/>
        </w:rPr>
        <w:t>&lt;font face="SILDoulosIPA"&gt;</w:t>
      </w:r>
      <w:r>
        <w:t>[</w:t>
      </w:r>
      <w:r>
        <w:rPr>
          <w:rStyle w:val="IPA"/>
        </w:rPr>
        <w:t></w:t>
      </w:r>
      <w:r>
        <w:t>]</w:t>
      </w:r>
      <w:r>
        <w:rPr>
          <w:rStyle w:val="htmlcodes"/>
        </w:rPr>
        <w:t>&lt;/font&gt;</w:t>
      </w:r>
      <w:r>
        <w:tab/>
        <w:t>a voiced bilabial stop</w:t>
      </w:r>
    </w:p>
    <w:p w:rsidR="00B72047" w:rsidRDefault="00B72047">
      <w:pPr>
        <w:pStyle w:val="examplewtabspre"/>
        <w:spacing w:before="80"/>
      </w:pPr>
      <w:r>
        <w:tab/>
        <w:t>c</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an unvoiced coronal sibilant</w:t>
      </w:r>
    </w:p>
    <w:p w:rsidR="00B72047" w:rsidRDefault="00B72047">
      <w:pPr>
        <w:pStyle w:val="examplewtabspre"/>
        <w:spacing w:before="80"/>
      </w:pPr>
      <w:r>
        <w:tab/>
        <w:t>d</w:t>
      </w:r>
      <w:r>
        <w:tab/>
      </w:r>
      <w:r>
        <w:rPr>
          <w:rStyle w:val="htmlcodes"/>
        </w:rPr>
        <w:t>&lt;font face="SILDoulosIPA"&gt;</w:t>
      </w:r>
      <w:r>
        <w:t>[</w:t>
      </w:r>
      <w:r>
        <w:rPr>
          <w:rStyle w:val="IPA"/>
        </w:rPr>
        <w:t></w:t>
      </w:r>
      <w:r>
        <w:t>]</w:t>
      </w:r>
      <w:r>
        <w:rPr>
          <w:rStyle w:val="htmlcodes"/>
        </w:rPr>
        <w:t>&lt;/font&gt;</w:t>
      </w:r>
      <w:r>
        <w:tab/>
        <w:t>a voiced dental/alveolar stop</w:t>
      </w:r>
    </w:p>
    <w:p w:rsidR="00B72047" w:rsidRDefault="00B72047">
      <w:pPr>
        <w:pStyle w:val="examplewtabspre"/>
        <w:spacing w:before="80"/>
      </w:pPr>
      <w:r>
        <w:tab/>
        <w:t>e</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 front mid vowel</w:t>
      </w:r>
    </w:p>
    <w:p w:rsidR="00B72047" w:rsidRDefault="00B72047">
      <w:pPr>
        <w:pStyle w:val="examplewtabspre"/>
        <w:spacing w:before="80"/>
      </w:pPr>
      <w:r>
        <w:tab/>
        <w:t>f</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an unvoiced labial fricative</w:t>
      </w:r>
    </w:p>
    <w:p w:rsidR="00B72047" w:rsidRDefault="00B72047">
      <w:pPr>
        <w:pStyle w:val="examplewtabspre"/>
        <w:spacing w:before="80"/>
      </w:pPr>
      <w:r>
        <w:tab/>
        <w:t>g</w:t>
      </w:r>
      <w:r>
        <w:tab/>
      </w:r>
      <w:r>
        <w:rPr>
          <w:rStyle w:val="htmlcodes"/>
        </w:rPr>
        <w:t>&lt;font face="SILDoulosIPA"&gt;</w:t>
      </w:r>
      <w:r>
        <w:t>[</w:t>
      </w:r>
      <w:r>
        <w:rPr>
          <w:rStyle w:val="IPA"/>
        </w:rPr>
        <w:t></w:t>
      </w:r>
      <w:r>
        <w:t>]</w:t>
      </w:r>
      <w:r>
        <w:rPr>
          <w:rStyle w:val="htmlcodes"/>
        </w:rPr>
        <w:t>&lt;/font&gt;</w:t>
      </w:r>
      <w:r>
        <w:tab/>
        <w:t>a voiced velar stop</w:t>
      </w:r>
    </w:p>
    <w:p w:rsidR="00B72047" w:rsidRDefault="00B72047">
      <w:pPr>
        <w:pStyle w:val="examplewtabspre"/>
        <w:spacing w:before="80"/>
      </w:pPr>
      <w:r>
        <w:tab/>
        <w:t>i</w:t>
      </w:r>
      <w:r>
        <w:tab/>
      </w:r>
      <w:r>
        <w:rPr>
          <w:rStyle w:val="htmlcodes"/>
        </w:rPr>
        <w:t>&lt;font face="SILDoulosIPA"&gt;</w:t>
      </w:r>
      <w:r>
        <w:t>[</w:t>
      </w:r>
      <w:r>
        <w:rPr>
          <w:rStyle w:val="IPA"/>
        </w:rPr>
        <w:t></w:t>
      </w:r>
      <w:r>
        <w:t>]</w:t>
      </w:r>
      <w:r>
        <w:rPr>
          <w:rStyle w:val="htmlcodes"/>
        </w:rPr>
        <w:t>&lt;/font&gt;</w:t>
      </w:r>
      <w:r>
        <w:tab/>
        <w:t>a front close vowel</w:t>
      </w:r>
    </w:p>
    <w:p w:rsidR="00B72047" w:rsidRDefault="00B72047">
      <w:pPr>
        <w:pStyle w:val="examplewtabspre"/>
        <w:spacing w:before="80"/>
      </w:pPr>
      <w:r>
        <w:tab/>
        <w:t>j</w:t>
      </w:r>
      <w:r>
        <w:tab/>
      </w:r>
      <w:r>
        <w:rPr>
          <w:rStyle w:val="htmlcodes"/>
        </w:rPr>
        <w:t>&lt;font face="SILDoulosIPA"&gt;</w:t>
      </w:r>
      <w:r>
        <w:t>[</w:t>
      </w:r>
      <w:r>
        <w:rPr>
          <w:rStyle w:val="IPA"/>
        </w:rPr>
        <w:t></w:t>
      </w:r>
      <w:r>
        <w:t>]</w:t>
      </w:r>
      <w:r>
        <w:rPr>
          <w:rStyle w:val="htmlcodes"/>
        </w:rPr>
        <w:t>&lt;/font&gt;</w:t>
      </w:r>
      <w:r>
        <w:t>,</w:t>
      </w:r>
      <w:r>
        <w:rPr>
          <w:rStyle w:val="htmlcodes"/>
        </w:rPr>
        <w:t>&lt;font face="SILDoulosIPA"&gt;</w:t>
      </w:r>
      <w:r>
        <w:t>[</w:t>
      </w:r>
      <w:r>
        <w:rPr>
          <w:rStyle w:val="IPA"/>
        </w:rPr>
        <w:t></w:t>
      </w:r>
      <w:r>
        <w:t>]</w:t>
      </w:r>
      <w:r>
        <w:rPr>
          <w:rStyle w:val="htmlcodes"/>
        </w:rPr>
        <w:t>&lt;/font&gt;</w:t>
      </w:r>
      <w:r>
        <w:tab/>
        <w:t>a voiced coronal sibilant</w:t>
      </w:r>
    </w:p>
    <w:p w:rsidR="00B72047" w:rsidRDefault="00B72047">
      <w:pPr>
        <w:pStyle w:val="examplewtabspre"/>
        <w:spacing w:before="80"/>
      </w:pPr>
      <w:r>
        <w:tab/>
        <w:t>k</w:t>
      </w:r>
      <w:r>
        <w:tab/>
      </w:r>
      <w:r>
        <w:rPr>
          <w:rStyle w:val="htmlcodes"/>
        </w:rPr>
        <w:t>&lt;font face="SILDoulosIPA"&gt;</w:t>
      </w:r>
      <w:r>
        <w:t>[</w:t>
      </w:r>
      <w:r>
        <w:rPr>
          <w:rStyle w:val="IPA"/>
        </w:rPr>
        <w:t></w:t>
      </w:r>
      <w:r>
        <w:t>]</w:t>
      </w:r>
      <w:r>
        <w:rPr>
          <w:rStyle w:val="htmlcodes"/>
        </w:rPr>
        <w:t>&lt;/font&gt;</w:t>
      </w:r>
      <w:r>
        <w:tab/>
        <w:t>an unvoiced velar stop</w:t>
      </w:r>
    </w:p>
    <w:p w:rsidR="00B72047" w:rsidRDefault="00B72047">
      <w:pPr>
        <w:pStyle w:val="examplewtabspre"/>
        <w:spacing w:before="80"/>
      </w:pPr>
      <w:r>
        <w:tab/>
        <w:t>l</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ab/>
        <w:t>a voiced lateral approximant</w:t>
      </w:r>
    </w:p>
    <w:p w:rsidR="00B72047" w:rsidRDefault="00B72047">
      <w:pPr>
        <w:pStyle w:val="exampwidetabs"/>
      </w:pPr>
      <w:r>
        <w:tab/>
      </w:r>
      <w:r>
        <w:tab/>
      </w:r>
      <w:r>
        <w:tab/>
        <w:t>(may be syllabic)</w:t>
      </w:r>
    </w:p>
    <w:p w:rsidR="00B72047" w:rsidRDefault="00B72047">
      <w:pPr>
        <w:pStyle w:val="examplewtabspre"/>
        <w:spacing w:before="80"/>
      </w:pPr>
      <w:r>
        <w:tab/>
        <w:t>m</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ab/>
        <w:t>a voiced bilabial nasal</w:t>
      </w:r>
    </w:p>
    <w:p w:rsidR="00B72047" w:rsidRDefault="00B72047">
      <w:pPr>
        <w:pStyle w:val="exampwidetabs"/>
      </w:pPr>
      <w:r>
        <w:tab/>
      </w:r>
      <w:r>
        <w:tab/>
      </w:r>
      <w:r>
        <w:tab/>
        <w:t>(may be syllabic)</w:t>
      </w:r>
    </w:p>
    <w:p w:rsidR="00B72047" w:rsidRDefault="00B72047">
      <w:pPr>
        <w:pStyle w:val="examplewtabspre"/>
        <w:spacing w:before="80"/>
      </w:pPr>
      <w:r>
        <w:tab/>
        <w:t>n</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w:t>
      </w:r>
      <w:r>
        <w:tab/>
        <w:t>a voiced dental or velar nasal</w:t>
      </w:r>
    </w:p>
    <w:p w:rsidR="00B72047" w:rsidRDefault="00B72047">
      <w:pPr>
        <w:pStyle w:val="exampwidetabs"/>
      </w:pPr>
      <w:r>
        <w:tab/>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ab/>
        <w:t>(may be syllabic)</w:t>
      </w:r>
    </w:p>
    <w:p w:rsidR="00B72047" w:rsidRDefault="00B72047">
      <w:pPr>
        <w:pStyle w:val="examplewtabspre"/>
        <w:spacing w:before="80"/>
      </w:pPr>
      <w:r>
        <w:tab/>
        <w:t>o</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 back mid vowel</w:t>
      </w:r>
    </w:p>
    <w:p w:rsidR="00B72047" w:rsidRDefault="00B72047">
      <w:pPr>
        <w:pStyle w:val="examplewtabspre"/>
        <w:spacing w:before="80"/>
      </w:pPr>
      <w:r>
        <w:tab/>
        <w:t>p</w:t>
      </w:r>
      <w:r>
        <w:tab/>
      </w:r>
      <w:r>
        <w:rPr>
          <w:rStyle w:val="htmlcodes"/>
        </w:rPr>
        <w:t>&lt;font face="SILDoulosIPA"&gt;</w:t>
      </w:r>
      <w:r>
        <w:t>[</w:t>
      </w:r>
      <w:r>
        <w:rPr>
          <w:rStyle w:val="IPA"/>
        </w:rPr>
        <w:t></w:t>
      </w:r>
      <w:r>
        <w:t>]</w:t>
      </w:r>
      <w:r>
        <w:rPr>
          <w:rStyle w:val="htmlcodes"/>
        </w:rPr>
        <w:t>&lt;/font&gt;</w:t>
      </w:r>
      <w:r>
        <w:tab/>
        <w:t>an unvoiced bilabial stop</w:t>
      </w:r>
    </w:p>
    <w:p w:rsidR="00B72047" w:rsidRDefault="00B72047">
      <w:pPr>
        <w:pStyle w:val="examplewtabspre"/>
        <w:spacing w:before="80"/>
      </w:pPr>
      <w:r>
        <w:tab/>
        <w:t>r</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w:t>
      </w:r>
      <w:r>
        <w:tab/>
        <w:t>a rhotic sound</w:t>
      </w:r>
    </w:p>
    <w:p w:rsidR="00B72047" w:rsidRDefault="00B72047">
      <w:pPr>
        <w:pStyle w:val="exampwidetabs"/>
      </w:pPr>
      <w:r>
        <w:tab/>
      </w:r>
      <w:r>
        <w:tab/>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p>
    <w:p w:rsidR="00B72047" w:rsidRDefault="00B72047">
      <w:pPr>
        <w:pStyle w:val="examplewtabspre"/>
        <w:spacing w:before="80"/>
      </w:pPr>
      <w:r>
        <w:tab/>
        <w:t>s</w:t>
      </w:r>
      <w:r>
        <w:tab/>
      </w:r>
      <w:r>
        <w:rPr>
          <w:rStyle w:val="htmlcodes"/>
        </w:rPr>
        <w:t>&lt;font face="SILDoulosIPA"&gt;</w:t>
      </w:r>
      <w:r>
        <w:t>[</w:t>
      </w:r>
      <w:r>
        <w:rPr>
          <w:rStyle w:val="IPA"/>
        </w:rPr>
        <w:t></w:t>
      </w:r>
      <w:r>
        <w:t>]</w:t>
      </w:r>
      <w:r>
        <w:rPr>
          <w:rStyle w:val="htmlcodes"/>
        </w:rPr>
        <w:t>&lt;/font&gt;</w:t>
      </w:r>
      <w:r>
        <w:tab/>
        <w:t>an unvoiced alveolar sibilant</w:t>
      </w:r>
    </w:p>
    <w:p w:rsidR="00B72047" w:rsidRDefault="00B72047">
      <w:pPr>
        <w:pStyle w:val="examplewtabspre"/>
        <w:spacing w:before="80"/>
      </w:pPr>
      <w:r>
        <w:tab/>
        <w:t>t</w:t>
      </w:r>
      <w:r>
        <w:tab/>
      </w:r>
      <w:r>
        <w:rPr>
          <w:rStyle w:val="htmlcodes"/>
        </w:rPr>
        <w:t>&lt;font face="SILDoulosIPA"&gt;</w:t>
      </w:r>
      <w:r>
        <w:t>[</w:t>
      </w:r>
      <w:r>
        <w:rPr>
          <w:rStyle w:val="IPA"/>
        </w:rPr>
        <w:t></w:t>
      </w:r>
      <w:r>
        <w:t>]</w:t>
      </w:r>
      <w:r>
        <w:rPr>
          <w:rStyle w:val="htmlcodes"/>
        </w:rPr>
        <w:t>&lt;/font&gt;</w:t>
      </w:r>
      <w:r>
        <w:tab/>
        <w:t>an unvoiced dental/alveolar stop</w:t>
      </w:r>
    </w:p>
    <w:p w:rsidR="00B72047" w:rsidRDefault="00B72047">
      <w:pPr>
        <w:pStyle w:val="examplewtabspre"/>
        <w:spacing w:before="80"/>
      </w:pPr>
      <w:r>
        <w:tab/>
        <w:t>u</w:t>
      </w:r>
      <w:r>
        <w:tab/>
      </w:r>
      <w:r>
        <w:rPr>
          <w:rStyle w:val="htmlcodes"/>
        </w:rPr>
        <w:t>&lt;font face="SILDoulosIPA"&gt;</w:t>
      </w:r>
      <w:r>
        <w:t>[</w:t>
      </w:r>
      <w:r>
        <w:rPr>
          <w:rStyle w:val="IPA"/>
        </w:rPr>
        <w:t></w:t>
      </w:r>
      <w:r>
        <w:t>]</w:t>
      </w:r>
      <w:r>
        <w:rPr>
          <w:rStyle w:val="htmlcodes"/>
        </w:rPr>
        <w:t>&lt;/font&gt;</w:t>
      </w:r>
      <w:r>
        <w:tab/>
        <w:t>a back close vowel</w:t>
      </w:r>
    </w:p>
    <w:p w:rsidR="00B72047" w:rsidRDefault="00B72047">
      <w:pPr>
        <w:pStyle w:val="examplewtabspre"/>
        <w:spacing w:before="80"/>
      </w:pPr>
      <w:r>
        <w:tab/>
        <w:t>v</w:t>
      </w:r>
      <w:r>
        <w:tab/>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ab/>
        <w:t>a voiced labial fricative</w:t>
      </w:r>
    </w:p>
    <w:p w:rsidR="00B72047" w:rsidRDefault="00B72047">
      <w:pPr>
        <w:pStyle w:val="examplewtabspre"/>
        <w:spacing w:before="80"/>
      </w:pPr>
      <w:r>
        <w:tab/>
        <w:t>x</w:t>
      </w:r>
      <w:r>
        <w:tab/>
      </w:r>
      <w:r>
        <w:rPr>
          <w:rStyle w:val="htmlcodes"/>
        </w:rPr>
        <w:t>&lt;font face="SILDoulosIPA"&gt;</w:t>
      </w:r>
      <w:r>
        <w:t>[</w:t>
      </w:r>
      <w:r>
        <w:rPr>
          <w:rStyle w:val="IPA"/>
        </w:rPr>
        <w:t></w:t>
      </w:r>
      <w:r>
        <w:t>]</w:t>
      </w:r>
      <w:r>
        <w:rPr>
          <w:rStyle w:val="htmlcodes"/>
        </w:rPr>
        <w:t>&lt;/font&gt;</w:t>
      </w:r>
      <w:r>
        <w:tab/>
        <w:t>an unvoiced velar fricative</w:t>
      </w:r>
    </w:p>
    <w:p w:rsidR="00B72047" w:rsidRDefault="00B72047">
      <w:pPr>
        <w:pStyle w:val="examplewtabspre"/>
        <w:spacing w:before="80"/>
      </w:pPr>
      <w:r>
        <w:tab/>
        <w:t>y</w:t>
      </w:r>
      <w:r>
        <w:tab/>
      </w:r>
      <w:r>
        <w:rPr>
          <w:rStyle w:val="htmlcodes"/>
        </w:rPr>
        <w:t>&lt;font face="SILDoulosIPA"&gt;</w:t>
      </w:r>
      <w:r>
        <w:t>[</w:t>
      </w:r>
      <w:r>
        <w:rPr>
          <w:rStyle w:val="IPA"/>
        </w:rPr>
        <w:t></w:t>
      </w:r>
      <w:r>
        <w:t>]</w:t>
      </w:r>
      <w:r>
        <w:rPr>
          <w:rStyle w:val="htmlcodes"/>
        </w:rPr>
        <w:t>&lt;/font&gt;</w:t>
      </w:r>
      <w:r>
        <w:tab/>
        <w:t>a central mid vowel</w:t>
      </w:r>
    </w:p>
    <w:p w:rsidR="00B72047" w:rsidRDefault="00B72047">
      <w:pPr>
        <w:pStyle w:val="examplewtabspre"/>
        <w:spacing w:before="80"/>
      </w:pPr>
      <w:r>
        <w:tab/>
        <w:t>z</w:t>
      </w:r>
      <w:r>
        <w:tab/>
      </w:r>
      <w:r>
        <w:rPr>
          <w:rStyle w:val="htmlcodes"/>
        </w:rPr>
        <w:t>&lt;font face="SILDoulosIPA"&gt;</w:t>
      </w:r>
      <w:r>
        <w:t>[</w:t>
      </w:r>
      <w:r>
        <w:rPr>
          <w:rStyle w:val="IPA"/>
        </w:rPr>
        <w:t></w:t>
      </w:r>
      <w:r>
        <w:t>]</w:t>
      </w:r>
      <w:r>
        <w:rPr>
          <w:rStyle w:val="htmlcodes"/>
        </w:rPr>
        <w:t>&lt;/font&gt;</w:t>
      </w:r>
      <w:r>
        <w:tab/>
        <w:t>a voiced alveolar sibilant</w:t>
      </w:r>
    </w:p>
    <w:p w:rsidR="00B72047" w:rsidRDefault="00B72047">
      <w:pPr>
        <w:pStyle w:val="normalafterexample"/>
      </w:pPr>
      <w:r>
        <w:rPr>
          <w:rStyle w:val="htmlcodes"/>
        </w:rPr>
        <w:t>&lt;/pre&gt;</w:t>
      </w:r>
      <w:r>
        <w:rPr>
          <w:rStyle w:val="indexentry"/>
        </w:rPr>
        <w:t>&lt;cx "clarity of sounds"&gt;</w:t>
      </w:r>
      <w:r>
        <w:rPr>
          <w:rStyle w:val="indexentry"/>
        </w:rPr>
        <w:fldChar w:fldCharType="begin"/>
      </w:r>
      <w:r>
        <w:instrText>xe "</w:instrText>
      </w:r>
      <w:r>
        <w:rPr>
          <w:rStyle w:val="xeentry"/>
        </w:rPr>
        <w:instrText>clarity of sounds</w:instrText>
      </w:r>
      <w:r>
        <w:instrText>"</w:instrText>
      </w:r>
      <w:r>
        <w:rPr>
          <w:rStyle w:val="indexentry"/>
        </w:rPr>
        <w:fldChar w:fldCharType="end"/>
      </w:r>
      <w:r>
        <w:rPr>
          <w:rStyle w:val="indexentry"/>
        </w:rPr>
        <w:t>&lt;cx "sounds, clarity of"&gt;</w:t>
      </w:r>
      <w:r>
        <w:rPr>
          <w:rStyle w:val="indexentry"/>
        </w:rPr>
        <w:fldChar w:fldCharType="begin"/>
      </w:r>
      <w:r>
        <w:instrText>xe "</w:instrText>
      </w:r>
      <w:r>
        <w:rPr>
          <w:rStyle w:val="xeentry"/>
        </w:rPr>
        <w:instrText>sounds: clarity of</w:instrText>
      </w:r>
      <w:r>
        <w:instrText>"</w:instrText>
      </w:r>
      <w:r>
        <w:rPr>
          <w:rStyle w:val="indexentry"/>
        </w:rPr>
        <w:fldChar w:fldCharType="end"/>
      </w:r>
      <w:r>
        <w:t>The Lojban sounds must be clearly pronounced so that they are not mistaken for each other. Voicing and placement of the tongue are the key factors in correct pro</w:t>
      </w:r>
      <w:r>
        <w:softHyphen/>
        <w:t>nunciation, but other subtle differ</w:t>
      </w:r>
      <w:r>
        <w:softHyphen/>
        <w:t>ences will develop between consonants in a Lojban-speaking com</w:t>
      </w:r>
      <w:r>
        <w:softHyphen/>
        <w:t>munity. At this point these are the only mandatory rules on the range of sounds.</w:t>
      </w:r>
    </w:p>
    <w:p w:rsidR="00B72047" w:rsidRDefault="00B72047">
      <w:pPr>
        <w:rPr>
          <w:rStyle w:val="htmlcodes"/>
        </w:rPr>
      </w:pPr>
      <w:r>
        <w:rPr>
          <w:rStyle w:val="htmlcodes"/>
        </w:rPr>
        <w:t>&lt;p&gt;</w:t>
      </w:r>
    </w:p>
    <w:p w:rsidR="00B72047" w:rsidRDefault="00B72047">
      <w:pPr>
        <w:pStyle w:val="normalparagraph"/>
      </w:pPr>
      <w:r>
        <w:rPr>
          <w:rStyle w:val="indexentry"/>
        </w:rPr>
        <w:t>&lt;cx "rounded/unrounded vowels"&gt;</w:t>
      </w:r>
      <w:r>
        <w:rPr>
          <w:rStyle w:val="indexentry"/>
        </w:rPr>
        <w:fldChar w:fldCharType="begin"/>
      </w:r>
      <w:r>
        <w:instrText>xe "</w:instrText>
      </w:r>
      <w:r>
        <w:rPr>
          <w:rStyle w:val="xeentry"/>
        </w:rPr>
        <w:instrText>rounded/unrounded vowels</w:instrText>
      </w:r>
      <w:r>
        <w:instrText>"</w:instrText>
      </w:r>
      <w:r>
        <w:rPr>
          <w:rStyle w:val="indexentry"/>
        </w:rPr>
        <w:fldChar w:fldCharType="end"/>
      </w:r>
      <w:r>
        <w:t>Note in particular that Lojban vowels can be pronounced with either rounded or u</w:t>
      </w:r>
      <w:r>
        <w:t>n</w:t>
      </w:r>
      <w:r>
        <w:softHyphen/>
        <w:t>rounded lips; typically “o” and “u” are rounded and the others are not, as in Eng</w:t>
      </w:r>
      <w:r>
        <w:softHyphen/>
        <w:t>lish, but this is not a requirement; some people round “y” as well. Lojban consonants can be aspi</w:t>
      </w:r>
      <w:r>
        <w:softHyphen/>
        <w:t>rated or unaspirated. Palatalizing of consonants, as found in Russian and other languages, is not generally acceptable in pronunciation, though a following “i” may cause it.</w:t>
      </w:r>
    </w:p>
    <w:p w:rsidR="00B72047" w:rsidRDefault="00B72047">
      <w:pPr>
        <w:rPr>
          <w:rStyle w:val="htmlcodes"/>
        </w:rPr>
      </w:pPr>
      <w:r>
        <w:rPr>
          <w:rStyle w:val="htmlcodes"/>
        </w:rPr>
        <w:t>&lt;p&gt;</w:t>
      </w:r>
    </w:p>
    <w:p w:rsidR="00B72047" w:rsidRDefault="00B72047">
      <w:pPr>
        <w:pStyle w:val="normalparagraph"/>
      </w:pPr>
      <w:r>
        <w:rPr>
          <w:rStyle w:val="indexentry"/>
        </w:rPr>
        <w:t>&lt;cx "sounds, difficult"&gt;</w:t>
      </w:r>
      <w:r>
        <w:rPr>
          <w:rStyle w:val="indexentry"/>
        </w:rPr>
        <w:fldChar w:fldCharType="begin"/>
      </w:r>
      <w:r>
        <w:instrText>xe "</w:instrText>
      </w:r>
      <w:r>
        <w:rPr>
          <w:rStyle w:val="xeentry"/>
        </w:rPr>
        <w:instrText>sounds: difficult</w:instrText>
      </w:r>
      <w:r>
        <w:instrText>"</w:instrText>
      </w:r>
      <w:r>
        <w:rPr>
          <w:rStyle w:val="indexentry"/>
        </w:rPr>
        <w:fldChar w:fldCharType="end"/>
      </w:r>
      <w:r>
        <w:rPr>
          <w:rStyle w:val="indexentry"/>
        </w:rPr>
        <w:t>&lt;cx "sounds for letters, Lojban contrasted with English"&gt;</w:t>
      </w:r>
      <w:r>
        <w:rPr>
          <w:rStyle w:val="indexentry"/>
        </w:rPr>
        <w:fldChar w:fldCharType="begin"/>
      </w:r>
      <w:r>
        <w:instrText>xe "</w:instrText>
      </w:r>
      <w:r>
        <w:rPr>
          <w:rStyle w:val="xeentry"/>
        </w:rPr>
        <w:instrText>sounds for letters: Lojban contrasted with English</w:instrText>
      </w:r>
      <w:r>
        <w:instrText>"</w:instrText>
      </w:r>
      <w:r>
        <w:rPr>
          <w:rStyle w:val="indexentry"/>
        </w:rPr>
        <w:fldChar w:fldCharType="end"/>
      </w:r>
      <w:r>
        <w:t>The sounds represented by the letters “c”, “g”, “j”, “s”, and “x” require special a</w:t>
      </w:r>
      <w:r>
        <w:t>t</w:t>
      </w:r>
      <w:r>
        <w:t>ten</w:t>
      </w:r>
      <w:r>
        <w:softHyphen/>
        <w:t>tion for speakers of English, either because they are ambiguous in the orthography of English (“c”, “g”, “s”), or because they are strikingly different in Lojban (“c”, “j”, “x”). The English “c” rep</w:t>
      </w:r>
      <w:r>
        <w:softHyphen/>
        <w:t xml:space="preserve">resents three different sounds, </w:t>
      </w:r>
      <w:r>
        <w:rPr>
          <w:rStyle w:val="htmlcodes"/>
        </w:rPr>
        <w:t>&lt;font face="SILDoulosIPA"&gt;</w:t>
      </w:r>
      <w:r>
        <w:t>[</w:t>
      </w:r>
      <w:r>
        <w:rPr>
          <w:rStyle w:val="IPA"/>
        </w:rPr>
        <w:t></w:t>
      </w:r>
      <w:r>
        <w:t xml:space="preserve">] </w:t>
      </w:r>
      <w:r>
        <w:rPr>
          <w:rStyle w:val="htmlcodes"/>
        </w:rPr>
        <w:t>&lt;/font&gt;</w:t>
      </w:r>
      <w:r>
        <w:t xml:space="preserve">in “cat” and </w:t>
      </w:r>
      <w:r>
        <w:rPr>
          <w:rStyle w:val="htmlcodes"/>
        </w:rPr>
        <w:t>&lt;font face="SILDoulosIPA"&gt;</w:t>
      </w:r>
      <w:r>
        <w:t>[</w:t>
      </w:r>
      <w:r>
        <w:rPr>
          <w:rStyle w:val="IPA"/>
        </w:rPr>
        <w:t></w:t>
      </w:r>
      <w:r>
        <w:t xml:space="preserve">] </w:t>
      </w:r>
      <w:r>
        <w:rPr>
          <w:rStyle w:val="htmlcodes"/>
        </w:rPr>
        <w:t>&lt;/font&gt;</w:t>
      </w:r>
      <w:r>
        <w:t xml:space="preserve">in “cent”, as well as the </w:t>
      </w:r>
      <w:r>
        <w:rPr>
          <w:rStyle w:val="htmlcodes"/>
        </w:rPr>
        <w:t>&lt;font face="SILDoulosIPA"&gt;</w:t>
      </w:r>
      <w:r>
        <w:t>[</w:t>
      </w:r>
      <w:r>
        <w:rPr>
          <w:rStyle w:val="IPA"/>
        </w:rPr>
        <w:t></w:t>
      </w:r>
      <w:r>
        <w:t xml:space="preserve">] </w:t>
      </w:r>
      <w:r>
        <w:rPr>
          <w:rStyle w:val="htmlcodes"/>
        </w:rPr>
        <w:t>&lt;/font&gt;</w:t>
      </w:r>
      <w:r>
        <w:t xml:space="preserve">of “ocean”. Similarly, English “g” can represent </w:t>
      </w:r>
      <w:r>
        <w:rPr>
          <w:rStyle w:val="htmlcodes"/>
        </w:rPr>
        <w:t>&lt;font face="SILDoulosIPA"&gt;</w:t>
      </w:r>
      <w:r>
        <w:t>[</w:t>
      </w:r>
      <w:r>
        <w:rPr>
          <w:rStyle w:val="IPA"/>
        </w:rPr>
        <w:t></w:t>
      </w:r>
      <w:r>
        <w:t xml:space="preserve">] </w:t>
      </w:r>
      <w:r>
        <w:rPr>
          <w:rStyle w:val="htmlcodes"/>
        </w:rPr>
        <w:t>&lt;/font&gt;</w:t>
      </w:r>
      <w:r>
        <w:t xml:space="preserve">as in “go”, </w:t>
      </w:r>
      <w:r>
        <w:rPr>
          <w:rStyle w:val="htmlcodes"/>
        </w:rPr>
        <w:t>&lt;font face="SILDoulosIPA"&gt;</w:t>
      </w:r>
      <w:r>
        <w:t>[</w:t>
      </w:r>
      <w:r>
        <w:rPr>
          <w:rStyle w:val="IPA"/>
        </w:rPr>
        <w:t></w:t>
      </w:r>
      <w:r>
        <w:rPr>
          <w:rStyle w:val="IPA"/>
        </w:rPr>
        <w:t></w:t>
      </w:r>
      <w:r>
        <w:t xml:space="preserve">] </w:t>
      </w:r>
      <w:r>
        <w:rPr>
          <w:rStyle w:val="htmlcodes"/>
        </w:rPr>
        <w:t>&lt;/font&gt;</w:t>
      </w:r>
      <w:r>
        <w:t xml:space="preserve">as in “gentle”, and </w:t>
      </w:r>
      <w:r>
        <w:rPr>
          <w:rStyle w:val="htmlcodes"/>
        </w:rPr>
        <w:t>&lt;font face="SILDoulosIPA"&gt;</w:t>
      </w:r>
      <w:r>
        <w:t>[</w:t>
      </w:r>
      <w:r>
        <w:rPr>
          <w:rStyle w:val="IPA"/>
        </w:rPr>
        <w:t></w:t>
      </w:r>
      <w:r>
        <w:t xml:space="preserve">] </w:t>
      </w:r>
      <w:r>
        <w:rPr>
          <w:rStyle w:val="htmlcodes"/>
        </w:rPr>
        <w:t>&lt;/font&gt;</w:t>
      </w:r>
      <w:r>
        <w:t xml:space="preserve">as in the second “g” in “garage” (in some pronunciations). English “s” can be either </w:t>
      </w:r>
      <w:r>
        <w:rPr>
          <w:rStyle w:val="htmlcodes"/>
        </w:rPr>
        <w:t>&lt;font face="SILDoulosIPA"&gt;</w:t>
      </w:r>
      <w:r>
        <w:t>[</w:t>
      </w:r>
      <w:r>
        <w:rPr>
          <w:rStyle w:val="IPA"/>
        </w:rPr>
        <w:t></w:t>
      </w:r>
      <w:r>
        <w:t xml:space="preserve">] </w:t>
      </w:r>
      <w:r>
        <w:rPr>
          <w:rStyle w:val="htmlcodes"/>
        </w:rPr>
        <w:t>&lt;/font&gt;</w:t>
      </w:r>
      <w:r>
        <w:t xml:space="preserve">as in “cats”, </w:t>
      </w:r>
      <w:r>
        <w:rPr>
          <w:rStyle w:val="htmlcodes"/>
        </w:rPr>
        <w:t>&lt;font face="SILDoulosIPA"&gt;</w:t>
      </w:r>
      <w:r>
        <w:t>[</w:t>
      </w:r>
      <w:r>
        <w:rPr>
          <w:rStyle w:val="IPA"/>
        </w:rPr>
        <w:t></w:t>
      </w:r>
      <w:r>
        <w:t xml:space="preserve">] </w:t>
      </w:r>
      <w:r>
        <w:rPr>
          <w:rStyle w:val="htmlcodes"/>
        </w:rPr>
        <w:t>&lt;/font&gt;</w:t>
      </w:r>
      <w:r>
        <w:t xml:space="preserve">as in “cards”, </w:t>
      </w:r>
      <w:r>
        <w:rPr>
          <w:rStyle w:val="htmlcodes"/>
        </w:rPr>
        <w:t>&lt;font face="SILDoulosIPA"&gt;</w:t>
      </w:r>
      <w:r>
        <w:t>[</w:t>
      </w:r>
      <w:r>
        <w:rPr>
          <w:rStyle w:val="IPA"/>
        </w:rPr>
        <w:t></w:t>
      </w:r>
      <w:r>
        <w:t xml:space="preserve">] </w:t>
      </w:r>
      <w:r>
        <w:rPr>
          <w:rStyle w:val="htmlcodes"/>
        </w:rPr>
        <w:t>&lt;/font&gt;</w:t>
      </w:r>
      <w:r>
        <w:t xml:space="preserve">as in “tension”, or </w:t>
      </w:r>
      <w:r>
        <w:rPr>
          <w:rStyle w:val="htmlcodes"/>
        </w:rPr>
        <w:t>&lt;font face="SILDoulosIPA"&gt;</w:t>
      </w:r>
      <w:r>
        <w:t>[</w:t>
      </w:r>
      <w:r>
        <w:rPr>
          <w:rStyle w:val="IPA"/>
        </w:rPr>
        <w:t></w:t>
      </w:r>
      <w:r>
        <w:t xml:space="preserve">] </w:t>
      </w:r>
      <w:r>
        <w:rPr>
          <w:rStyle w:val="htmlcodes"/>
        </w:rPr>
        <w:t>&lt;/font&gt;</w:t>
      </w:r>
      <w:r>
        <w:t>as in “measure”. The sound of Lojban “x” doesn't ap</w:t>
      </w:r>
      <w:r>
        <w:softHyphen/>
        <w:t>pear in most English dialects at all.</w:t>
      </w:r>
    </w:p>
    <w:p w:rsidR="00B72047" w:rsidRDefault="00B72047">
      <w:pPr>
        <w:rPr>
          <w:rStyle w:val="htmlcodes"/>
        </w:rPr>
      </w:pPr>
      <w:r>
        <w:rPr>
          <w:rStyle w:val="htmlcodes"/>
        </w:rPr>
        <w:t>&lt;p&gt;</w:t>
      </w:r>
    </w:p>
    <w:p w:rsidR="00B72047" w:rsidRDefault="00B72047">
      <w:pPr>
        <w:pStyle w:val="normalparagraph"/>
      </w:pPr>
      <w:r>
        <w:rPr>
          <w:rStyle w:val="indexentry"/>
        </w:rPr>
        <w:t>&lt;cx "sounds, complex"&gt;</w:t>
      </w:r>
      <w:r>
        <w:rPr>
          <w:rStyle w:val="indexentry"/>
        </w:rPr>
        <w:fldChar w:fldCharType="begin"/>
      </w:r>
      <w:r>
        <w:instrText>xe "</w:instrText>
      </w:r>
      <w:r>
        <w:rPr>
          <w:rStyle w:val="xeentry"/>
        </w:rPr>
        <w:instrText>sounds: complex</w:instrText>
      </w:r>
      <w:r>
        <w:instrText>"</w:instrText>
      </w:r>
      <w:r>
        <w:rPr>
          <w:rStyle w:val="indexentry"/>
        </w:rPr>
        <w:fldChar w:fldCharType="end"/>
      </w:r>
      <w:r>
        <w:rPr>
          <w:rStyle w:val="indexentry"/>
        </w:rPr>
        <w:t>&lt;cx "“ts”-sound in Russian, representation in Lojban"&gt;</w:t>
      </w:r>
      <w:r>
        <w:rPr>
          <w:rStyle w:val="indexentry"/>
        </w:rPr>
        <w:fldChar w:fldCharType="begin"/>
      </w:r>
      <w:r>
        <w:instrText>xe "</w:instrText>
      </w:r>
      <w:r>
        <w:rPr>
          <w:rStyle w:val="xeentry"/>
        </w:rPr>
        <w:instrText>ts-sound in Russian: representation in Lojban</w:instrText>
      </w:r>
      <w:r>
        <w:instrText>"</w:instrText>
      </w:r>
      <w:r>
        <w:rPr>
          <w:rStyle w:val="indexentry"/>
        </w:rPr>
        <w:fldChar w:fldCharType="end"/>
      </w:r>
      <w:r>
        <w:rPr>
          <w:rStyle w:val="indexentry"/>
        </w:rPr>
        <w:t>&lt;cx "“ch”-sound in English, representation in Lojban"&gt;</w:t>
      </w:r>
      <w:r>
        <w:rPr>
          <w:rStyle w:val="indexentry"/>
        </w:rPr>
        <w:fldChar w:fldCharType="begin"/>
      </w:r>
      <w:r>
        <w:instrText>xe "</w:instrText>
      </w:r>
      <w:r>
        <w:rPr>
          <w:rStyle w:val="xeentry"/>
        </w:rPr>
        <w:instrText>ch-sound in English: representation in Lojban</w:instrText>
      </w:r>
      <w:r>
        <w:instrText>"</w:instrText>
      </w:r>
      <w:r>
        <w:rPr>
          <w:rStyle w:val="indexentry"/>
        </w:rPr>
        <w:fldChar w:fldCharType="end"/>
      </w:r>
      <w:r>
        <w:rPr>
          <w:rStyle w:val="indexentry"/>
        </w:rPr>
        <w:t>&lt;cx "“j”-sound in English, representation in Lojban"&gt;</w:t>
      </w:r>
      <w:r>
        <w:rPr>
          <w:rStyle w:val="indexentry"/>
        </w:rPr>
        <w:fldChar w:fldCharType="begin"/>
      </w:r>
      <w:r>
        <w:instrText>xe "</w:instrText>
      </w:r>
      <w:r>
        <w:rPr>
          <w:rStyle w:val="xeentry"/>
        </w:rPr>
        <w:instrText>j-sound in English: representation in Lojban</w:instrText>
      </w:r>
      <w:r>
        <w:instrText>"</w:instrText>
      </w:r>
      <w:r>
        <w:rPr>
          <w:rStyle w:val="indexentry"/>
        </w:rPr>
        <w:fldChar w:fldCharType="end"/>
      </w:r>
      <w:r>
        <w:t>There are two common English sounds that are found in Loj</w:t>
      </w:r>
      <w:r>
        <w:softHyphen/>
        <w:t>ban but are not Lojban consonants: the “ch” of “church” and the “j” of “judge”. In Lojban, these are considered two consonant sounds spoken together without an intervening vowel sound, and so are rep</w:t>
      </w:r>
      <w:r>
        <w:softHyphen/>
        <w:t xml:space="preserve">resented in Lojban by the two separate consonants: “tc” (IPA </w:t>
      </w:r>
      <w:r>
        <w:rPr>
          <w:rStyle w:val="htmlcodes"/>
        </w:rPr>
        <w:t>&lt;font face="SILDoulosIPA"&gt;</w:t>
      </w:r>
      <w:r>
        <w:t>[</w:t>
      </w:r>
      <w:r>
        <w:rPr>
          <w:rStyle w:val="IPA"/>
        </w:rPr>
        <w:t></w:t>
      </w:r>
      <w:r>
        <w:rPr>
          <w:rStyle w:val="IPA"/>
        </w:rPr>
        <w:t></w:t>
      </w:r>
      <w:r>
        <w:t>]</w:t>
      </w:r>
      <w:r>
        <w:rPr>
          <w:rStyle w:val="htmlcodes"/>
        </w:rPr>
        <w:t>&lt;/font&gt;</w:t>
      </w:r>
      <w:r>
        <w:t xml:space="preserve">) and “dj” (IPA </w:t>
      </w:r>
      <w:r>
        <w:rPr>
          <w:rStyle w:val="htmlcodes"/>
        </w:rPr>
        <w:t>&lt;font face="SILDoulosIPA"&gt;</w:t>
      </w:r>
      <w:r>
        <w:t>[</w:t>
      </w:r>
      <w:r>
        <w:rPr>
          <w:rStyle w:val="IPA"/>
        </w:rPr>
        <w:t></w:t>
      </w:r>
      <w:r>
        <w:rPr>
          <w:rStyle w:val="IPA"/>
        </w:rPr>
        <w:t></w:t>
      </w:r>
      <w:r>
        <w:t>]</w:t>
      </w:r>
      <w:r>
        <w:rPr>
          <w:rStyle w:val="htmlcodes"/>
        </w:rPr>
        <w:t>&lt;/font&gt;</w:t>
      </w:r>
      <w:r>
        <w:t>). In general, whether a complex sound is considered one sound or two depends on the lan</w:t>
      </w:r>
      <w:r>
        <w:softHyphen/>
        <w:t>guage: Russian views “ts” as a single sound, whereas English, French, and Lojban con</w:t>
      </w:r>
      <w:r>
        <w:softHyphen/>
        <w:t>sider it to be a consonant cluster.</w:t>
      </w:r>
    </w:p>
    <w:p w:rsidR="00B72047" w:rsidRDefault="00B72047">
      <w:pPr>
        <w:rPr>
          <w:rStyle w:val="htmlcodes"/>
        </w:rPr>
      </w:pPr>
      <w:r>
        <w:rPr>
          <w:rStyle w:val="htmlcodes"/>
        </w:rPr>
        <w:t>&lt;p&gt;</w:t>
      </w:r>
    </w:p>
    <w:p w:rsidR="00B72047" w:rsidRDefault="00B72047">
      <w:pPr>
        <w:pStyle w:val="Heading3"/>
        <w:rPr>
          <w:rStyle w:val="Heading3Text"/>
        </w:rPr>
      </w:pPr>
      <w:r>
        <w:rPr>
          <w:rStyle w:val="htmlcodes"/>
        </w:rPr>
        <w:t>&lt;a name=s3&gt;&lt;h3&gt;</w:t>
      </w:r>
      <w:bookmarkStart w:id="123" w:name="_Toc395691487"/>
      <w:bookmarkStart w:id="124" w:name="_Toc395691681"/>
      <w:bookmarkStart w:id="125" w:name="_Toc398970458"/>
      <w:r>
        <w:rPr>
          <w:rStyle w:val="Heading3Text"/>
        </w:rPr>
        <w:t>The special Lojban characters</w:t>
      </w:r>
      <w:bookmarkEnd w:id="123"/>
      <w:bookmarkEnd w:id="124"/>
      <w:bookmarkEnd w:id="125"/>
      <w:r>
        <w:rPr>
          <w:rStyle w:val="htmlcodes"/>
        </w:rPr>
        <w:t>&lt;/h3&gt;</w:t>
      </w:r>
    </w:p>
    <w:p w:rsidR="00B72047" w:rsidRDefault="00B72047">
      <w:pPr>
        <w:rPr>
          <w:rStyle w:val="htmlcodes"/>
        </w:rPr>
      </w:pPr>
      <w:r>
        <w:rPr>
          <w:rStyle w:val="htmlcodes"/>
        </w:rPr>
        <w:t>&lt;p&gt;</w:t>
      </w:r>
    </w:p>
    <w:p w:rsidR="00B72047" w:rsidRDefault="00B72047">
      <w:pPr>
        <w:pStyle w:val="normalparagraph"/>
      </w:pPr>
      <w:r>
        <w:rPr>
          <w:rStyle w:val="indexentry"/>
        </w:rPr>
        <w:t>&lt;cx "characters, special"&gt;</w:t>
      </w:r>
      <w:r>
        <w:rPr>
          <w:rStyle w:val="indexentry"/>
        </w:rPr>
        <w:fldChar w:fldCharType="begin"/>
      </w:r>
      <w:r>
        <w:instrText>xe "</w:instrText>
      </w:r>
      <w:r>
        <w:rPr>
          <w:rStyle w:val="xeentry"/>
        </w:rPr>
        <w:instrText>characters: special</w:instrText>
      </w:r>
      <w:r>
        <w:instrText>"</w:instrText>
      </w:r>
      <w:r>
        <w:rPr>
          <w:rStyle w:val="indexentry"/>
        </w:rPr>
        <w:fldChar w:fldCharType="end"/>
      </w:r>
      <w:r>
        <w:t>The apostrophe, period, and comma need special attention. They are all used as i</w:t>
      </w:r>
      <w:r>
        <w:t>n</w:t>
      </w:r>
      <w:r>
        <w:t>di</w:t>
      </w:r>
      <w:r>
        <w:softHyphen/>
        <w:t>cators of a division between syllables, but each has a different pronunciation, and each is used for different rea</w:t>
      </w:r>
      <w:r>
        <w:softHyphen/>
        <w:t>sons:</w:t>
      </w:r>
    </w:p>
    <w:p w:rsidR="00B72047" w:rsidRDefault="00B72047">
      <w:pPr>
        <w:rPr>
          <w:rStyle w:val="htmlparacode"/>
        </w:rPr>
      </w:pPr>
      <w:r>
        <w:rPr>
          <w:rStyle w:val="htmlparacode"/>
        </w:rPr>
        <w:t>&lt;p&gt;</w:t>
      </w:r>
    </w:p>
    <w:p w:rsidR="00B72047" w:rsidRDefault="00B72047">
      <w:pPr>
        <w:pStyle w:val="normalparagraph"/>
      </w:pPr>
      <w:r>
        <w:rPr>
          <w:rStyle w:val="indexentry"/>
        </w:rPr>
        <w:t>&lt;cx "apostrophe, definition of"&gt;</w:t>
      </w:r>
      <w:r>
        <w:rPr>
          <w:rStyle w:val="indexentry"/>
        </w:rPr>
        <w:fldChar w:fldCharType="begin"/>
      </w:r>
      <w:r>
        <w:instrText>xe "</w:instrText>
      </w:r>
      <w:r>
        <w:rPr>
          <w:rStyle w:val="xeentry"/>
        </w:rPr>
        <w:instrText>apostrophe: definition of</w:instrText>
      </w:r>
      <w:r>
        <w:instrText>"</w:instrText>
      </w:r>
      <w:r>
        <w:rPr>
          <w:rStyle w:val="indexentry"/>
        </w:rPr>
        <w:fldChar w:fldCharType="end"/>
      </w:r>
      <w:r>
        <w:rPr>
          <w:rStyle w:val="indexentry"/>
        </w:rPr>
        <w:t>&lt;cx "“ ' ”, definition (see also apostrophe)"&gt;</w:t>
      </w:r>
      <w:r>
        <w:rPr>
          <w:rStyle w:val="indexentry"/>
        </w:rPr>
        <w:fldChar w:fldCharType="begin"/>
      </w:r>
      <w:r>
        <w:instrText>xe "</w:instrText>
      </w:r>
      <w:r>
        <w:rPr>
          <w:rStyle w:val="xeentry"/>
        </w:rPr>
        <w:instrText xml:space="preserve"> ' symbol: definition (see also apostrophe)</w:instrText>
      </w:r>
      <w:r>
        <w:instrText>"</w:instrText>
      </w:r>
      <w:r>
        <w:rPr>
          <w:rStyle w:val="indexentry"/>
        </w:rPr>
        <w:fldChar w:fldCharType="end"/>
      </w:r>
      <w:r>
        <w:rPr>
          <w:rStyle w:val="indexentry"/>
        </w:rPr>
        <w:t>&lt;cx "apostrophe, type of letter in word-formation"&gt;</w:t>
      </w:r>
      <w:r>
        <w:rPr>
          <w:rStyle w:val="indexentry"/>
        </w:rPr>
        <w:fldChar w:fldCharType="begin"/>
      </w:r>
      <w:r>
        <w:instrText>xe "</w:instrText>
      </w:r>
      <w:r>
        <w:rPr>
          <w:rStyle w:val="xeentry"/>
        </w:rPr>
        <w:instrText>apostrophe: type of letter in word-formation</w:instrText>
      </w:r>
      <w:r>
        <w:instrText>"</w:instrText>
      </w:r>
      <w:r>
        <w:rPr>
          <w:rStyle w:val="indexentry"/>
        </w:rPr>
        <w:fldChar w:fldCharType="end"/>
      </w:r>
      <w:r>
        <w:t xml:space="preserve">The apostrophe represents a phoneme similar to a short, breathy English “h”, (IPA </w:t>
      </w:r>
      <w:r>
        <w:rPr>
          <w:rStyle w:val="htmlcodes"/>
        </w:rPr>
        <w:t>&lt;font face="SILDoulosIPA"&gt;</w:t>
      </w:r>
      <w:r>
        <w:t>[</w:t>
      </w:r>
      <w:r>
        <w:rPr>
          <w:rStyle w:val="IPA"/>
        </w:rPr>
        <w:t></w:t>
      </w:r>
      <w:r>
        <w:t>]</w:t>
      </w:r>
      <w:r>
        <w:rPr>
          <w:rStyle w:val="htmlcodes"/>
        </w:rPr>
        <w:t>&lt;/font&gt;</w:t>
      </w:r>
      <w:r>
        <w:t>). The letter “h” is not used to represent this sound for two reasons: primarily in order to simplify explanations of the morphology, but also because the sound is very common, and the apostrophe is a visually lightweight representation of it. The apostro</w:t>
      </w:r>
      <w:r>
        <w:softHyphen/>
        <w:t>phe sound is a consonant in nature, but is not treated as ei</w:t>
      </w:r>
      <w:r>
        <w:softHyphen/>
        <w:t xml:space="preserve">ther a consonant or a vowel for purposes of Lojban morphology (word-formation), which is explained in </w:t>
      </w:r>
      <w:r>
        <w:rPr>
          <w:rStyle w:val="htmlcodes"/>
        </w:rPr>
        <w:t>&lt;a href=chap4.html&gt;</w:t>
      </w:r>
      <w:r>
        <w:t>Chapter 4</w:t>
      </w:r>
      <w:r>
        <w:rPr>
          <w:rStyle w:val="htmlcodes"/>
        </w:rPr>
        <w:t>&lt;/a&gt;</w:t>
      </w:r>
      <w:r>
        <w:t>. In addition, the apostrophe visually parallels the comma and the period, which are also used (in different ways) to separate syllables.</w:t>
      </w:r>
    </w:p>
    <w:p w:rsidR="00B72047" w:rsidRDefault="00B72047">
      <w:pPr>
        <w:rPr>
          <w:rStyle w:val="htmlcodes"/>
        </w:rPr>
      </w:pPr>
      <w:r>
        <w:rPr>
          <w:rStyle w:val="htmlcodes"/>
        </w:rPr>
        <w:t>&lt;p&gt;</w:t>
      </w:r>
    </w:p>
    <w:p w:rsidR="00B72047" w:rsidRDefault="00B72047">
      <w:pPr>
        <w:pStyle w:val="normalparagraph"/>
      </w:pPr>
      <w:r>
        <w:rPr>
          <w:rStyle w:val="indexentry"/>
        </w:rPr>
        <w:t>&lt;cx "apostrophe, purpose of"&gt;</w:t>
      </w:r>
      <w:r>
        <w:rPr>
          <w:rStyle w:val="indexentry"/>
        </w:rPr>
        <w:fldChar w:fldCharType="begin"/>
      </w:r>
      <w:r>
        <w:instrText>xe "</w:instrText>
      </w:r>
      <w:r>
        <w:rPr>
          <w:rStyle w:val="xeentry"/>
        </w:rPr>
        <w:instrText>apostrophe: purpose of</w:instrText>
      </w:r>
      <w:r>
        <w:instrText>"</w:instrText>
      </w:r>
      <w:r>
        <w:rPr>
          <w:rStyle w:val="indexentry"/>
        </w:rPr>
        <w:fldChar w:fldCharType="end"/>
      </w:r>
      <w:r>
        <w:rPr>
          <w:rStyle w:val="indexentry"/>
        </w:rPr>
        <w:t>&lt;cx "unvoiced vowel glide, apostrophe as"&gt;</w:t>
      </w:r>
      <w:r>
        <w:rPr>
          <w:rStyle w:val="indexentry"/>
        </w:rPr>
        <w:fldChar w:fldCharType="begin"/>
      </w:r>
      <w:r>
        <w:instrText>xe "</w:instrText>
      </w:r>
      <w:r>
        <w:rPr>
          <w:rStyle w:val="xeentry"/>
        </w:rPr>
        <w:instrText>unvoiced vowel glide: apostrophe as</w:instrText>
      </w:r>
      <w:r>
        <w:instrText>"</w:instrText>
      </w:r>
      <w:r>
        <w:rPr>
          <w:rStyle w:val="indexentry"/>
        </w:rPr>
        <w:fldChar w:fldCharType="end"/>
      </w:r>
      <w:r>
        <w:t>The apostrophe is included in Lojban only to enable a smooth transition</w:t>
      </w:r>
      <w:r>
        <w:rPr>
          <w:rStyle w:val="htmlparacode"/>
        </w:rPr>
        <w:t>separation</w:t>
      </w:r>
      <w:r>
        <w:t xml:space="preserve"> between vow</w:t>
      </w:r>
      <w:r>
        <w:softHyphen/>
        <w:t>els, while joining the vowels within a single word. In fact, one way to think of the apostrophe is as representing a unvoiced vowel glide.</w:t>
      </w:r>
    </w:p>
    <w:p w:rsidR="00B72047" w:rsidRDefault="00B72047">
      <w:pPr>
        <w:rPr>
          <w:rStyle w:val="htmlparacode"/>
        </w:rPr>
      </w:pPr>
      <w:r>
        <w:rPr>
          <w:rStyle w:val="htmlparacode"/>
        </w:rPr>
        <w:t>&lt;p&gt;</w:t>
      </w:r>
    </w:p>
    <w:p w:rsidR="00B72047" w:rsidRDefault="00B72047">
      <w:pPr>
        <w:pStyle w:val="normalparagraph"/>
      </w:pPr>
      <w:r>
        <w:rPr>
          <w:rStyle w:val="indexentry"/>
        </w:rPr>
        <w:t>&lt;cx "apostrophe, variant of"&gt;</w:t>
      </w:r>
      <w:r>
        <w:rPr>
          <w:rStyle w:val="indexentry"/>
        </w:rPr>
        <w:fldChar w:fldCharType="begin"/>
      </w:r>
      <w:r>
        <w:instrText>xe "</w:instrText>
      </w:r>
      <w:r>
        <w:rPr>
          <w:rStyle w:val="xeentry"/>
        </w:rPr>
        <w:instrText>apostrophe: variant of</w:instrText>
      </w:r>
      <w:r>
        <w:instrText>"</w:instrText>
      </w:r>
      <w:r>
        <w:rPr>
          <w:rStyle w:val="indexentry"/>
        </w:rPr>
        <w:fldChar w:fldCharType="end"/>
      </w:r>
      <w:r>
        <w:t>As a permitted variant, any unvoiced fricative other than those already used in L</w:t>
      </w:r>
      <w:r>
        <w:t>o</w:t>
      </w:r>
      <w:r>
        <w:t>j</w:t>
      </w:r>
      <w:r>
        <w:softHyphen/>
        <w:t xml:space="preserve">ban may be used to render the apostrophe: IPA </w:t>
      </w:r>
      <w:r>
        <w:rPr>
          <w:rStyle w:val="htmlcodes"/>
        </w:rPr>
        <w:t>&lt;font face="SILDoulosIPA"&gt;</w:t>
      </w:r>
      <w:r>
        <w:t>[</w:t>
      </w:r>
      <w:r>
        <w:rPr>
          <w:rStyle w:val="IPA"/>
        </w:rPr>
        <w:t></w:t>
      </w:r>
      <w:r>
        <w:t xml:space="preserve">] </w:t>
      </w:r>
      <w:r>
        <w:rPr>
          <w:rStyle w:val="htmlcodes"/>
        </w:rPr>
        <w:t>&lt;/font&gt;</w:t>
      </w:r>
      <w:r>
        <w:t>is one possibility. The conven</w:t>
      </w:r>
      <w:r>
        <w:softHyphen/>
        <w:t xml:space="preserve">ience of the listener should be regarded as paramount in deciding to use a substitute for </w:t>
      </w:r>
      <w:r>
        <w:rPr>
          <w:rStyle w:val="htmlcodes"/>
        </w:rPr>
        <w:t>&lt;font face="SILDoulosIPA"&gt;</w:t>
      </w:r>
      <w:r>
        <w:t>[</w:t>
      </w:r>
      <w:r>
        <w:rPr>
          <w:rStyle w:val="IPA"/>
        </w:rPr>
        <w:t></w:t>
      </w:r>
      <w:r>
        <w:t>]</w:t>
      </w:r>
      <w:r>
        <w:rPr>
          <w:rStyle w:val="htmlcodes"/>
        </w:rPr>
        <w:t>&lt;/font&gt;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"period, definition of"&gt;</w:t>
      </w:r>
      <w:r>
        <w:rPr>
          <w:rStyle w:val="indexentry"/>
        </w:rPr>
        <w:fldChar w:fldCharType="begin"/>
      </w:r>
      <w:r>
        <w:instrText>xe "</w:instrText>
      </w:r>
      <w:r>
        <w:rPr>
          <w:rStyle w:val="xeentry"/>
        </w:rPr>
        <w:instrText>period: definition of</w:instrText>
      </w:r>
      <w:r>
        <w:instrText>"</w:instrText>
      </w:r>
      <w:r>
        <w:rPr>
          <w:rStyle w:val="indexentry"/>
        </w:rPr>
        <w:fldChar w:fldCharType="end"/>
      </w:r>
      <w:r>
        <w:rPr>
          <w:rStyle w:val="indexentry"/>
        </w:rPr>
        <w:t>&lt;cx "glottal stop, as pause in Lojban"&gt;</w:t>
      </w:r>
      <w:r>
        <w:rPr>
          <w:rStyle w:val="indexentry"/>
        </w:rPr>
        <w:fldChar w:fldCharType="begin"/>
      </w:r>
      <w:r>
        <w:instrText>xe "</w:instrText>
      </w:r>
      <w:r>
        <w:rPr>
          <w:rStyle w:val="xeentry"/>
        </w:rPr>
        <w:instrText>glottal stop: as pause in Lojban</w:instrText>
      </w:r>
      <w:r>
        <w:instrText>"</w:instrText>
      </w:r>
      <w:r>
        <w:rPr>
          <w:rStyle w:val="indexentry"/>
        </w:rPr>
        <w:fldChar w:fldCharType="end"/>
      </w:r>
      <w:r>
        <w:rPr>
          <w:rStyle w:val="indexentry"/>
        </w:rPr>
        <w:t>&lt;cx "pause, representation of in Lojban"&gt;</w:t>
      </w:r>
      <w:r>
        <w:rPr>
          <w:rStyle w:val="indexentry"/>
        </w:rPr>
        <w:fldChar w:fldCharType="begin"/>
      </w:r>
      <w:r>
        <w:instrText>xe "</w:instrText>
      </w:r>
      <w:r>
        <w:rPr>
          <w:rStyle w:val="xeentry"/>
        </w:rPr>
        <w:instrText>pause: representation of in Lojban</w:instrText>
      </w:r>
      <w:r>
        <w:instrText>"</w:instrText>
      </w:r>
      <w:r>
        <w:rPr>
          <w:rStyle w:val="indexentry"/>
        </w:rPr>
        <w:fldChar w:fldCharType="end"/>
      </w:r>
      <w:r>
        <w:t xml:space="preserve">The period represents a mandatory pause, with no specified length; a glottal stop (IPA </w:t>
      </w:r>
      <w:r>
        <w:rPr>
          <w:rStyle w:val="htmlcodes"/>
        </w:rPr>
        <w:t>&lt;font face="SILDoulosIPA"&gt;</w:t>
      </w:r>
      <w:r>
        <w:t>[</w:t>
      </w:r>
      <w:r>
        <w:rPr>
          <w:rStyle w:val="IPA"/>
        </w:rPr>
        <w:t></w:t>
      </w:r>
      <w:r>
        <w:t>]</w:t>
      </w:r>
      <w:r>
        <w:rPr>
          <w:rStyle w:val="htmlcodes"/>
        </w:rPr>
        <w:t>&lt;/font&gt;</w:t>
      </w:r>
      <w:r>
        <w:t xml:space="preserve">) is considered a pause of shortest length. A pause (or glottal stop) may appear between any two words, and in certain cases – explained in detail in </w:t>
      </w:r>
      <w:r>
        <w:rPr>
          <w:rStyle w:val="htmlcodes"/>
        </w:rPr>
        <w:t>&lt;a href=chap4.html&gt;</w:t>
      </w:r>
      <w:r>
        <w:t xml:space="preserve">Chapter 4 </w:t>
      </w:r>
      <w:r>
        <w:rPr>
          <w:rStyle w:val="htmlcodes"/>
        </w:rPr>
        <w:t>&lt;/a&gt;</w:t>
      </w:r>
      <w:r>
        <w:t>— must occur. In particular, a word beginning with a vowel is always preceded by a pause, and a word ending in a consonant is always followed by a pause.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"period, optional"&gt;</w:t>
      </w:r>
      <w:r>
        <w:rPr>
          <w:rStyle w:val="indexentry"/>
        </w:rPr>
        <w:fldChar w:fldCharType="begin"/>
      </w:r>
      <w:r>
        <w:instrText>xe "</w:instrText>
      </w:r>
      <w:r>
        <w:rPr>
          <w:rStyle w:val="xeentry"/>
        </w:rPr>
        <w:instrText>period: optional</w:instrText>
      </w:r>
      <w:r>
        <w:instrText>"</w:instrText>
      </w:r>
      <w:r>
        <w:rPr>
          <w:rStyle w:val="indexentry"/>
        </w:rPr>
        <w:fldChar w:fldCharType="end"/>
      </w:r>
      <w:r>
        <w:t>Technically, the period is an optional reminder to the reader of a mandatory pause that is dictated by the rules of the language; because these rules are unambiguous, a missing period can be in</w:t>
      </w:r>
      <w:r>
        <w:softHyphen/>
        <w:t>ferred from otherwise correct text. Periods are included only as an aid to the reader.</w:t>
      </w:r>
    </w:p>
    <w:p w:rsidR="00B72047" w:rsidRDefault="00B72047">
      <w:pPr>
        <w:rPr>
          <w:rStyle w:val="htmlparacode"/>
        </w:rPr>
      </w:pPr>
      <w:r>
        <w:rPr>
          <w:rStyle w:val="htmlparacode"/>
        </w:rPr>
        <w:t>&lt;p&gt;</w:t>
      </w:r>
    </w:p>
    <w:p w:rsidR="00B72047" w:rsidRDefault="00B72047">
      <w:pPr>
        <w:pStyle w:val="normalparagraph"/>
      </w:pPr>
      <w:r>
        <w:rPr>
          <w:rStyle w:val="indexentry"/>
        </w:rPr>
        <w:t>&lt;cx "period, within a word"&gt;</w:t>
      </w:r>
      <w:r>
        <w:rPr>
          <w:rStyle w:val="indexentry"/>
        </w:rPr>
        <w:fldChar w:fldCharType="begin"/>
      </w:r>
      <w:r>
        <w:instrText>xe "</w:instrText>
      </w:r>
      <w:r>
        <w:rPr>
          <w:rStyle w:val="xeentry"/>
        </w:rPr>
        <w:instrText>period: within a word</w:instrText>
      </w:r>
      <w:r>
        <w:instrText>"</w:instrText>
      </w:r>
      <w:r>
        <w:rPr>
          <w:rStyle w:val="indexentry"/>
        </w:rPr>
        <w:fldChar w:fldCharType="end"/>
      </w:r>
      <w:r>
        <w:t>A period also may be found apparently embedded in a word. When this occurs, such a written string is not one word but two, writ</w:t>
      </w:r>
      <w:r>
        <w:softHyphen/>
        <w:t>ten together to indicate that the writer in</w:t>
      </w:r>
      <w:r>
        <w:softHyphen/>
        <w:t>tends a unitary meaning for the compound. It is not really necessary to use a space be</w:t>
      </w:r>
      <w:r>
        <w:softHyphen/>
        <w:t>tween words if a period appears.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"comma, definition of"&gt;</w:t>
      </w:r>
      <w:r>
        <w:rPr>
          <w:rStyle w:val="indexentry"/>
        </w:rPr>
        <w:fldChar w:fldCharType="begin"/>
      </w:r>
      <w:r>
        <w:instrText>xe "</w:instrText>
      </w:r>
      <w:r>
        <w:rPr>
          <w:rStyle w:val="xeentry"/>
        </w:rPr>
        <w:instrText>comma: definition of</w:instrText>
      </w:r>
      <w:r>
        <w:instrText>"</w:instrText>
      </w:r>
      <w:r>
        <w:rPr>
          <w:rStyle w:val="indexentry"/>
        </w:rPr>
        <w:fldChar w:fldCharType="end"/>
      </w:r>
      <w:r>
        <w:rPr>
          <w:rStyle w:val="indexentry"/>
        </w:rPr>
        <w:t>&lt;cx "syllable break, representation in Lojban"&gt;</w:t>
      </w:r>
      <w:r>
        <w:rPr>
          <w:rStyle w:val="indexentry"/>
        </w:rPr>
        <w:fldChar w:fldCharType="begin"/>
      </w:r>
      <w:r>
        <w:instrText>xe "</w:instrText>
      </w:r>
      <w:r>
        <w:rPr>
          <w:rStyle w:val="xeentry"/>
        </w:rPr>
        <w:instrText>syllable break: representation in Lojban</w:instrText>
      </w:r>
      <w:r>
        <w:instrText>"</w:instrText>
      </w:r>
      <w:r>
        <w:rPr>
          <w:rStyle w:val="indexentry"/>
        </w:rPr>
        <w:fldChar w:fldCharType="end"/>
      </w:r>
      <w:r>
        <w:rPr>
          <w:rStyle w:val="indexentry"/>
        </w:rPr>
        <w:t>&lt;cx "syllable break, contrasted with pause"&gt;</w:t>
      </w:r>
      <w:r>
        <w:rPr>
          <w:rStyle w:val="indexentry"/>
        </w:rPr>
        <w:fldChar w:fldCharType="begin"/>
      </w:r>
      <w:r>
        <w:instrText>xe "</w:instrText>
      </w:r>
      <w:r>
        <w:rPr>
          <w:rStyle w:val="xeentry"/>
        </w:rPr>
        <w:instrText>syllable break: contrasted with pause</w:instrText>
      </w:r>
      <w:r>
        <w:instrText>"</w:instrText>
      </w:r>
      <w:r>
        <w:rPr>
          <w:rStyle w:val="indexentry"/>
        </w:rPr>
        <w:fldChar w:fldCharType="end"/>
      </w:r>
      <w:r>
        <w:rPr>
          <w:rStyle w:val="indexentry"/>
        </w:rPr>
        <w:t>&lt;cx "pause, contrasted with syllable break"&gt;</w:t>
      </w:r>
      <w:r>
        <w:rPr>
          <w:rStyle w:val="indexentry"/>
        </w:rPr>
        <w:fldChar w:fldCharType="begin"/>
      </w:r>
      <w:r>
        <w:instrText>xe "</w:instrText>
      </w:r>
      <w:r>
        <w:rPr>
          <w:rStyle w:val="xeentry"/>
        </w:rPr>
        <w:instrText>pause: contrasted with syllable break</w:instrText>
      </w:r>
      <w:r>
        <w:instrText>"</w:instrText>
      </w:r>
      <w:r>
        <w:rPr>
          <w:rStyle w:val="indexentry"/>
        </w:rPr>
        <w:fldChar w:fldCharType="end"/>
      </w:r>
      <w:r>
        <w:t>The comma is used to indicate a syllable break within a word, generally one that is not obvious to the reader. Such a comma is written to separate syllables, but in</w:t>
      </w:r>
      <w:r>
        <w:softHyphen/>
        <w:t xml:space="preserve">dicates that there must be no pause between them, in contrast to the period. Between two vowels, a comma indicates that some type of glide may be necessary to avoid a pause that would split the two syllables into separate words. It is always legal to use the apostrophe (IPA </w:t>
      </w:r>
      <w:r>
        <w:rPr>
          <w:rStyle w:val="htmlcodes"/>
        </w:rPr>
        <w:t>&lt;font face="SILDoulosIPA"&gt;</w:t>
      </w:r>
      <w:r>
        <w:t>[</w:t>
      </w:r>
      <w:r>
        <w:rPr>
          <w:rStyle w:val="IPA"/>
        </w:rPr>
        <w:t></w:t>
      </w:r>
      <w:r>
        <w:t>]</w:t>
      </w:r>
      <w:r>
        <w:rPr>
          <w:rStyle w:val="htmlcodes"/>
        </w:rPr>
        <w:t>&lt;/font&gt;</w:t>
      </w:r>
      <w:r>
        <w:t>) sound in pronouncing a comma. However, a comma cannot be pronounced as a pause or glottal stop between the two letters separated by the comma, be</w:t>
      </w:r>
      <w:r>
        <w:softHyphen/>
        <w:t>cause that pro</w:t>
      </w:r>
      <w:r>
        <w:softHyphen/>
        <w:t>nuncia</w:t>
      </w:r>
      <w:r>
        <w:softHyphen/>
        <w:t>tion would split the word into two words.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"comma, main use of"&gt;</w:t>
      </w:r>
      <w:r>
        <w:rPr>
          <w:rStyle w:val="indexentry"/>
        </w:rPr>
        <w:fldChar w:fldCharType="begin"/>
      </w:r>
      <w:r>
        <w:instrText>xe "</w:instrText>
      </w:r>
      <w:r>
        <w:rPr>
          <w:rStyle w:val="xeentry"/>
        </w:rPr>
        <w:instrText>comma: main use of</w:instrText>
      </w:r>
      <w:r>
        <w:instrText>"</w:instrText>
      </w:r>
      <w:r>
        <w:rPr>
          <w:rStyle w:val="indexentry"/>
        </w:rPr>
        <w:fldChar w:fldCharType="end"/>
      </w:r>
      <w:r>
        <w:rPr>
          <w:rStyle w:val="indexentry"/>
        </w:rPr>
        <w:t>&lt;cx "comma, optional"&gt;</w:t>
      </w:r>
      <w:r>
        <w:rPr>
          <w:rStyle w:val="indexentry"/>
        </w:rPr>
        <w:fldChar w:fldCharType="begin"/>
      </w:r>
      <w:r>
        <w:instrText>xe "</w:instrText>
      </w:r>
      <w:r>
        <w:rPr>
          <w:rStyle w:val="xeentry"/>
        </w:rPr>
        <w:instrText>comma: optional</w:instrText>
      </w:r>
      <w:r>
        <w:instrText>"</w:instrText>
      </w:r>
      <w:r>
        <w:rPr>
          <w:rStyle w:val="indexentry"/>
        </w:rPr>
        <w:fldChar w:fldCharType="end"/>
      </w:r>
      <w:r>
        <w:t>Otherwise, a comma is usually only used to clarify the pres</w:t>
      </w:r>
      <w:r>
        <w:softHyphen/>
        <w:t>ence of syllabic “l”, “m”, “n”, or “r” (discussed later). Commas are never required: no two Lojban words differ solely because of the presence or placement of a comma.</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"Old McDonald"&gt;</w:t>
      </w:r>
      <w:r>
        <w:rPr>
          <w:rStyle w:val="indexentry"/>
        </w:rPr>
        <w:fldChar w:fldCharType="begin"/>
      </w:r>
      <w:r>
        <w:instrText>xe "</w:instrText>
      </w:r>
      <w:r>
        <w:rPr>
          <w:rStyle w:val="xeentry"/>
        </w:rPr>
        <w:instrText>Old McDonald: example</w:instrText>
      </w:r>
      <w:r>
        <w:instrText>"</w:instrText>
      </w:r>
      <w:r>
        <w:rPr>
          <w:rStyle w:val="indexentry"/>
        </w:rPr>
        <w:fldChar w:fldCharType="end"/>
      </w:r>
      <w:r>
        <w:t>Here is a somewhat artificial example of the difference in pronunciation be</w:t>
      </w:r>
      <w:r>
        <w:softHyphen/>
        <w:t>tween pe</w:t>
      </w:r>
      <w:r>
        <w:softHyphen/>
        <w:t>riods, commas and apostrophes. In the English song about Old MacDonald's Farm, the vowel string written “ee-i-ee-i-o” in English could be Lojban</w:t>
      </w:r>
      <w:r>
        <w:softHyphen/>
        <w:t>ized with periods as:</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&lt;cx "period, example of"&gt;</w:t>
      </w:r>
      <w:r>
        <w:rPr>
          <w:rStyle w:val="indexentry"/>
        </w:rPr>
        <w:fldChar w:fldCharType="begin"/>
      </w:r>
      <w:r>
        <w:instrText>xe "</w:instrText>
      </w:r>
      <w:r>
        <w:rPr>
          <w:rStyle w:val="xeentry"/>
        </w:rPr>
        <w:instrText>period: example of</w:instrText>
      </w:r>
      <w:r>
        <w:instrText>"</w:instrText>
      </w:r>
      <w:r>
        <w:rPr>
          <w:rStyle w:val="indexentry"/>
        </w:rPr>
        <w:fldChar w:fldCharType="end"/>
      </w:r>
      <w:r>
        <w:rPr>
          <w:rStyle w:val="htmlcodes"/>
        </w:rPr>
        <w:t>&lt;pre&gt;&lt;a name=e3d1&gt;</w:t>
      </w:r>
      <w:r>
        <w:t>3.1)</w:t>
      </w:r>
      <w:r>
        <w:tab/>
        <w:t>.i.ai.i.ai.o</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Ee! Eye! Ee! Eye! Oh!</w:t>
      </w:r>
    </w:p>
    <w:p w:rsidR="00B72047" w:rsidRDefault="00B72047">
      <w:pPr>
        <w:pStyle w:val="resumedafterexample"/>
      </w:pPr>
      <w:r>
        <w:rPr>
          <w:rStyle w:val="htmlcodes"/>
        </w:rPr>
        <w:t>&lt;/pre&gt;&lt;p&gt;</w:t>
      </w:r>
      <w:r>
        <w:t>However, this would sound clipped, staccato, and unmusical com</w:t>
      </w:r>
      <w:r>
        <w:softHyphen/>
        <w:t xml:space="preserve">pared to the English. Furthermore, although </w:t>
      </w:r>
      <w:r>
        <w:rPr>
          <w:rStyle w:val="htmlcodes"/>
        </w:rPr>
        <w:t>&lt;a href=#e3d1&gt;</w:t>
      </w:r>
      <w:r>
        <w:t xml:space="preserve">Example 3.1 </w:t>
      </w:r>
      <w:r>
        <w:rPr>
          <w:rStyle w:val="htmlcodes"/>
        </w:rPr>
        <w:t>&lt;/a&gt;</w:t>
      </w:r>
      <w:r>
        <w:t>is a string of meaningful Lojban words, as a sen</w:t>
      </w:r>
      <w:r>
        <w:softHyphen/>
        <w:t>tence it makes very little sense. (Note the use of periods embedded within the written word.)</w:t>
      </w:r>
    </w:p>
    <w:p w:rsidR="00B72047" w:rsidRDefault="00B72047">
      <w:pPr>
        <w:rPr>
          <w:rStyle w:val="htmlparacode"/>
        </w:rPr>
      </w:pPr>
      <w:r>
        <w:rPr>
          <w:rStyle w:val="htmlparacode"/>
        </w:rPr>
        <w:t>&lt;p&gt;</w:t>
      </w:r>
    </w:p>
    <w:p w:rsidR="00B72047" w:rsidRDefault="00B72047">
      <w:pPr>
        <w:pStyle w:val="normalparagraph"/>
      </w:pPr>
      <w:r>
        <w:t>If commas were used instead of periods, we could represent the English string as a Lojbanized name, ending in a consonant:</w:t>
      </w:r>
    </w:p>
    <w:p w:rsidR="00B72047" w:rsidRDefault="00B72047">
      <w:pPr>
        <w:pStyle w:val="examplescaledpre"/>
        <w:rPr>
          <w:rStyle w:val="htmlparacode"/>
        </w:rPr>
      </w:pPr>
      <w:r>
        <w:rPr>
          <w:rStyle w:val="htmlparacode"/>
        </w:rPr>
        <w:t>&lt;p&gt;</w:t>
      </w:r>
    </w:p>
    <w:p w:rsidR="00B72047" w:rsidRDefault="00B72047">
      <w:pPr>
        <w:pStyle w:val="examplescaledpre"/>
      </w:pPr>
      <w:r>
        <w:rPr>
          <w:rStyle w:val="indexentry"/>
        </w:rPr>
        <w:t>&lt;cx "comma, example of"&gt;</w:t>
      </w:r>
      <w:r>
        <w:rPr>
          <w:rStyle w:val="indexentry"/>
        </w:rPr>
        <w:fldChar w:fldCharType="begin"/>
      </w:r>
      <w:r>
        <w:instrText>xe "</w:instrText>
      </w:r>
      <w:r>
        <w:rPr>
          <w:rStyle w:val="xeentry"/>
        </w:rPr>
        <w:instrText>comma: example of</w:instrText>
      </w:r>
      <w:r>
        <w:instrText>"</w:instrText>
      </w:r>
      <w:r>
        <w:rPr>
          <w:rStyle w:val="indexentry"/>
        </w:rPr>
        <w:fldChar w:fldCharType="end"/>
      </w:r>
      <w:r>
        <w:rPr>
          <w:rStyle w:val="htmlcodes"/>
        </w:rPr>
        <w:t>&lt;pre&gt;&lt;a name=e3d2&gt;</w:t>
      </w:r>
      <w:r>
        <w:t>3.2)</w:t>
      </w:r>
      <w:r>
        <w:tab/>
        <w:t>.i,ai,i,ai,on.</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&lt;/pre&gt;&lt;p&gt;</w:t>
      </w:r>
      <w:r>
        <w:t>The commas represent new syllable breaks, but prohibit the use of pauses or glottal stop. The pronunciation shown is just one possibility, but closely parallels the intended English pronunciation.</w:t>
      </w:r>
    </w:p>
    <w:p w:rsidR="00B72047" w:rsidRDefault="00B72047">
      <w:pPr>
        <w:rPr>
          <w:rStyle w:val="htmlparacode"/>
        </w:rPr>
      </w:pPr>
      <w:r>
        <w:rPr>
          <w:rStyle w:val="htmlparacode"/>
        </w:rPr>
        <w:t>&lt;p&gt;</w:t>
      </w:r>
    </w:p>
    <w:p w:rsidR="00B72047" w:rsidRDefault="00B72047">
      <w:pPr>
        <w:pStyle w:val="normalparagraph"/>
      </w:pPr>
      <w:r>
        <w:rPr>
          <w:rStyle w:val="indexentry"/>
        </w:rPr>
        <w:t>&lt;cx "comma, variant of"&gt;</w:t>
      </w:r>
      <w:r>
        <w:rPr>
          <w:rStyle w:val="indexentry"/>
        </w:rPr>
        <w:fldChar w:fldCharType="begin"/>
      </w:r>
      <w:r>
        <w:instrText>xe "</w:instrText>
      </w:r>
      <w:r>
        <w:rPr>
          <w:rStyle w:val="xeentry"/>
        </w:rPr>
        <w:instrText>comma: variant of</w:instrText>
      </w:r>
      <w:r>
        <w:instrText>"</w:instrText>
      </w:r>
      <w:r>
        <w:rPr>
          <w:rStyle w:val="indexentry"/>
        </w:rPr>
        <w:fldChar w:fldCharType="end"/>
      </w:r>
      <w:r>
        <w:t>However, the use of commas in this way is risky to unambi</w:t>
      </w:r>
      <w:r>
        <w:softHyphen/>
        <w:t>guous interpreta</w:t>
      </w:r>
      <w:r>
        <w:softHyphen/>
        <w:t>tion, since the glides might be heard by some listen</w:t>
      </w:r>
      <w:r>
        <w:softHyphen/>
        <w:t>ers as diphthongs, producing some</w:t>
      </w:r>
      <w:r>
        <w:softHyphen/>
        <w:t>thing like</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name=e3d3&gt;</w:t>
      </w:r>
      <w:r>
        <w:t>3.3)</w:t>
      </w:r>
      <w:r>
        <w:tab/>
        <w:t>.i,iai,ii,iai,ion.</w:t>
      </w:r>
    </w:p>
    <w:p w:rsidR="00B72047" w:rsidRDefault="00B72047">
      <w:pPr>
        <w:pStyle w:val="resumedafterexample"/>
      </w:pPr>
      <w:r>
        <w:rPr>
          <w:rStyle w:val="htmlcodes"/>
        </w:rPr>
        <w:t>&lt;/pre&gt;</w:t>
      </w:r>
      <w:r>
        <w:t>which is technically a different Lojban name. Since the intent with Lojbanized names is to allow them to be pronounced more like their native counterparts, the comma is al</w:t>
      </w:r>
      <w:r>
        <w:softHyphen/>
        <w:t>lowed to represent vowel glides or some non-Lojbanic sound. Such an exception affects only spelling accuracy and the ability of a reader to replicate the desired pronun</w:t>
      </w:r>
      <w:r>
        <w:softHyphen/>
        <w:t>ciation exactly; it will not affect the recognition of word boundaries.</w:t>
      </w:r>
    </w:p>
    <w:p w:rsidR="00B72047" w:rsidRDefault="00B72047">
      <w:pPr>
        <w:rPr>
          <w:rStyle w:val="htmlparacode"/>
        </w:rPr>
      </w:pPr>
      <w:r>
        <w:rPr>
          <w:rStyle w:val="htmlparacode"/>
        </w:rPr>
        <w:t>&lt;p&gt;</w:t>
      </w:r>
    </w:p>
    <w:p w:rsidR="00B72047" w:rsidRDefault="00B72047">
      <w:pPr>
        <w:pStyle w:val="normalparagraph"/>
      </w:pPr>
      <w:r>
        <w:rPr>
          <w:rStyle w:val="indexentry"/>
        </w:rPr>
        <w:t>&lt;cx "apostrophe, as preferable over comma in names"&gt;</w:t>
      </w:r>
      <w:r>
        <w:rPr>
          <w:rStyle w:val="indexentry"/>
        </w:rPr>
        <w:fldChar w:fldCharType="begin"/>
      </w:r>
      <w:r>
        <w:instrText>xe "</w:instrText>
      </w:r>
      <w:r>
        <w:rPr>
          <w:rStyle w:val="xeentry"/>
        </w:rPr>
        <w:instrText>apostrophe: as preferable over comma in names</w:instrText>
      </w:r>
      <w:r>
        <w:instrText>"</w:instrText>
      </w:r>
      <w:r>
        <w:rPr>
          <w:rStyle w:val="indexentry"/>
        </w:rPr>
        <w:fldChar w:fldCharType="end"/>
      </w:r>
      <w:r>
        <w:t>Still, it is better if Lojbanized names are always distinct. Therefore, the apos</w:t>
      </w:r>
      <w:r>
        <w:softHyphen/>
        <w:t>trophe is preferred in regular Lojbanized names that are not attempting to simulate a non-Lojban pronunciation per</w:t>
      </w:r>
      <w:r>
        <w:softHyphen/>
        <w:t>fectly. (Perfection, in any event, is not really achievable, because some sounds simply lack reasonable Lojbanic counterparts.)</w:t>
      </w:r>
    </w:p>
    <w:p w:rsidR="00B72047" w:rsidRDefault="00B72047">
      <w:pPr>
        <w:rPr>
          <w:rStyle w:val="htmlparacode"/>
        </w:rPr>
      </w:pPr>
      <w:r>
        <w:rPr>
          <w:rStyle w:val="htmlparacode"/>
        </w:rPr>
        <w:t>&lt;p&gt;</w:t>
      </w:r>
    </w:p>
    <w:p w:rsidR="00B72047" w:rsidRDefault="00B72047">
      <w:pPr>
        <w:pStyle w:val="normalparagraph"/>
      </w:pPr>
      <w:r>
        <w:t xml:space="preserve">If apostrophes were used instead of commas in </w:t>
      </w:r>
      <w:r>
        <w:rPr>
          <w:rStyle w:val="htmlcodes"/>
        </w:rPr>
        <w:t>&lt;a href=#e3d2&gt;</w:t>
      </w:r>
      <w:r>
        <w:t>Example 3.2</w:t>
      </w:r>
      <w:r>
        <w:rPr>
          <w:rStyle w:val="htmlcodes"/>
        </w:rPr>
        <w:t>&lt;/a&gt;</w:t>
      </w:r>
      <w:r>
        <w:t>, it would appear as:</w:t>
      </w:r>
    </w:p>
    <w:p w:rsidR="00B72047" w:rsidRDefault="00B72047">
      <w:pPr>
        <w:rPr>
          <w:rStyle w:val="htmlparacode"/>
        </w:rPr>
      </w:pPr>
      <w:r>
        <w:rPr>
          <w:rStyle w:val="htmlparacode"/>
        </w:rPr>
        <w:t>&lt;p&gt;</w:t>
      </w:r>
    </w:p>
    <w:p w:rsidR="00B72047" w:rsidRDefault="00B72047">
      <w:pPr>
        <w:pStyle w:val="examplescaledpre"/>
      </w:pPr>
      <w:r>
        <w:rPr>
          <w:rStyle w:val="indexentry"/>
        </w:rPr>
        <w:t>&lt;cx "apostrophe, example of"&gt;</w:t>
      </w:r>
      <w:r>
        <w:rPr>
          <w:rStyle w:val="indexentry"/>
        </w:rPr>
        <w:fldChar w:fldCharType="begin"/>
      </w:r>
      <w:r>
        <w:instrText>xe "</w:instrText>
      </w:r>
      <w:r>
        <w:rPr>
          <w:rStyle w:val="xeentry"/>
        </w:rPr>
        <w:instrText>apostrophe: example of</w:instrText>
      </w:r>
      <w:r>
        <w:instrText>"</w:instrText>
      </w:r>
      <w:r>
        <w:rPr>
          <w:rStyle w:val="indexentry"/>
        </w:rPr>
        <w:fldChar w:fldCharType="end"/>
      </w:r>
      <w:r>
        <w:rPr>
          <w:rStyle w:val="htmlcodes"/>
        </w:rPr>
        <w:t>&lt;pre&gt;&lt;a name=e3d4&gt;</w:t>
      </w:r>
      <w:r>
        <w:t>3.4)</w:t>
      </w:r>
      <w:r>
        <w:tab/>
        <w:t>.i'ai'i'ai'on.</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which preserves the rhythm and length, if not the exact sounds, of the original English.</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126" w:name="_Toc395691488"/>
      <w:bookmarkStart w:id="127" w:name="_Toc395691682"/>
      <w:bookmarkStart w:id="128" w:name="_Toc398970459"/>
      <w:r>
        <w:rPr>
          <w:rStyle w:val="Heading3Text"/>
        </w:rPr>
        <w:t>Diphthongs and syllabic consonants</w:t>
      </w:r>
      <w:bookmarkEnd w:id="126"/>
      <w:bookmarkEnd w:id="127"/>
      <w:bookmarkEnd w:id="12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"diphthongs, definition of"&gt;</w:t>
      </w:r>
      <w:r>
        <w:rPr>
          <w:rStyle w:val="indexentry"/>
        </w:rPr>
        <w:fldChar w:fldCharType="begin"/>
      </w:r>
      <w:r>
        <w:instrText>xe "</w:instrText>
      </w:r>
      <w:r>
        <w:rPr>
          <w:rStyle w:val="xeentry"/>
        </w:rPr>
        <w:instrText>diphthongs: definition of</w:instrText>
      </w:r>
      <w:r>
        <w:instrText>"</w:instrText>
      </w:r>
      <w:r>
        <w:rPr>
          <w:rStyle w:val="indexentry"/>
        </w:rPr>
        <w:fldChar w:fldCharType="end"/>
      </w:r>
      <w:r>
        <w:t>There exist 16 diphthongs in the Lojban language. A diph</w:t>
      </w:r>
      <w:r>
        <w:softHyphen/>
        <w:t xml:space="preserve">thong is a vowel sound that consists of two elements, a short vowel sound and a glide, either a labial (IPA </w:t>
      </w:r>
      <w:r>
        <w:rPr>
          <w:rStyle w:val="htmlcodes"/>
        </w:rPr>
        <w:t>&lt;font face="SILDoulosIPA"&gt;</w:t>
      </w:r>
      <w:r>
        <w:t>[</w:t>
      </w:r>
      <w:r>
        <w:rPr>
          <w:rStyle w:val="IPA"/>
        </w:rPr>
        <w:t></w:t>
      </w:r>
      <w:r>
        <w:t>]</w:t>
      </w:r>
      <w:r>
        <w:rPr>
          <w:rStyle w:val="htmlcodes"/>
        </w:rPr>
        <w:t>&lt;/font&gt;</w:t>
      </w:r>
      <w:r>
        <w:t xml:space="preserve">) or palatal (IPA </w:t>
      </w:r>
      <w:r>
        <w:rPr>
          <w:rStyle w:val="htmlcodes"/>
        </w:rPr>
        <w:t>&lt;font face="SILDoulosIPA"&gt;</w:t>
      </w:r>
      <w:r>
        <w:t>[</w:t>
      </w:r>
      <w:r>
        <w:rPr>
          <w:rStyle w:val="IPA"/>
        </w:rPr>
        <w:t></w:t>
      </w:r>
      <w:r>
        <w:t>]</w:t>
      </w:r>
      <w:r>
        <w:rPr>
          <w:rStyle w:val="htmlcodes"/>
        </w:rPr>
        <w:t>&lt;/font&gt;</w:t>
      </w:r>
      <w:r>
        <w:t>) glide, that either precedes (an on-glide) or follows (an off-glide) the main vowel. Diphthongs always constitute a single syllable.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"consonants, contrasted with vowels"&gt;</w:t>
      </w:r>
      <w:r>
        <w:rPr>
          <w:rStyle w:val="indexentry"/>
        </w:rPr>
        <w:fldChar w:fldCharType="begin"/>
      </w:r>
      <w:r>
        <w:instrText>xe "</w:instrText>
      </w:r>
      <w:r>
        <w:rPr>
          <w:rStyle w:val="xeentry"/>
        </w:rPr>
        <w:instrText>consonants: contrasted with vowels</w:instrText>
      </w:r>
      <w:r>
        <w:instrText>"</w:instrText>
      </w:r>
      <w:r>
        <w:rPr>
          <w:rStyle w:val="indexentry"/>
        </w:rPr>
        <w:fldChar w:fldCharType="end"/>
      </w:r>
      <w:r>
        <w:rPr>
          <w:rStyle w:val="indexentry"/>
        </w:rPr>
        <w:t>&lt;cx "vowels, contrasted with consonants"&gt;</w:t>
      </w:r>
      <w:r>
        <w:rPr>
          <w:rStyle w:val="indexentry"/>
        </w:rPr>
        <w:fldChar w:fldCharType="begin"/>
      </w:r>
      <w:r>
        <w:instrText>xe "</w:instrText>
      </w:r>
      <w:r>
        <w:rPr>
          <w:rStyle w:val="xeentry"/>
        </w:rPr>
        <w:instrText>vowels: contrasted with consonants</w:instrText>
      </w:r>
      <w:r>
        <w:instrText>"</w:instrText>
      </w:r>
      <w:r>
        <w:rPr>
          <w:rStyle w:val="indexentry"/>
        </w:rPr>
        <w:fldChar w:fldCharType="end"/>
      </w:r>
      <w:r>
        <w:t>For Lojban purposes, a vowel sound is a relatively long speech-sound that forms the nucleus of a syllable. Consonant sounds are relatively brief and normally re</w:t>
      </w:r>
      <w:r>
        <w:softHyphen/>
        <w:t>quire an ac</w:t>
      </w:r>
      <w:r>
        <w:softHyphen/>
        <w:t>companying vowel sound in order to be audible. Consonants may occur at the beginning or end of a syllable, around the vowel, and there may be several con</w:t>
      </w:r>
      <w:r>
        <w:softHyphen/>
        <w:t>so</w:t>
      </w:r>
      <w:r>
        <w:softHyphen/>
        <w:t>nants in a cluster in either position. Each separate vowel sound constitutes a distinct syllable; consonant sounds do not affect the determination of syllables.</w:t>
      </w:r>
    </w:p>
    <w:p w:rsidR="00B72047" w:rsidRDefault="00B72047">
      <w:pPr>
        <w:rPr>
          <w:rStyle w:val="htmlparacode"/>
        </w:rPr>
      </w:pPr>
      <w:r>
        <w:rPr>
          <w:rStyle w:val="htmlparacode"/>
        </w:rPr>
        <w:t>&lt;p&gt;</w:t>
      </w:r>
    </w:p>
    <w:p w:rsidR="00B72047" w:rsidRDefault="00B72047">
      <w:pPr>
        <w:pStyle w:val="normalparagraph"/>
      </w:pPr>
      <w:r>
        <w:rPr>
          <w:rStyle w:val="indexentry"/>
        </w:rPr>
        <w:t>&lt;cx "vowels, definition of"&gt;</w:t>
      </w:r>
      <w:r>
        <w:rPr>
          <w:rStyle w:val="indexentry"/>
        </w:rPr>
        <w:fldChar w:fldCharType="begin"/>
      </w:r>
      <w:r>
        <w:instrText>xe "</w:instrText>
      </w:r>
      <w:r>
        <w:rPr>
          <w:rStyle w:val="xeentry"/>
        </w:rPr>
        <w:instrText>vowels: definition of</w:instrText>
      </w:r>
      <w:r>
        <w:instrText>"</w:instrText>
      </w:r>
      <w:r>
        <w:rPr>
          <w:rStyle w:val="indexentry"/>
        </w:rPr>
        <w:fldChar w:fldCharType="end"/>
      </w:r>
      <w:r>
        <w:t>The six Lojban vowels are “a”, “e”, “i”, “o”, “u”, and “y”. The first five vow</w:t>
      </w:r>
      <w:r>
        <w:softHyphen/>
        <w:t>els ap</w:t>
      </w:r>
      <w:r>
        <w:softHyphen/>
        <w:t>pear freely in all kinds of Lojban words. The vowel “y” has a limited distribution: it ap</w:t>
      </w:r>
      <w:r>
        <w:softHyphen/>
        <w:t>pears only in Lojbanized names, in the Lojban names of the letters of the alphabet, as a glue vowel in compound words, and standing alone as a space-filler word (like Eng</w:t>
      </w:r>
      <w:r>
        <w:softHyphen/>
        <w:t>lish “uh” or “er”).</w:t>
      </w:r>
    </w:p>
    <w:p w:rsidR="00B72047" w:rsidRDefault="00B72047">
      <w:pPr>
        <w:pStyle w:val="normalparagraph"/>
        <w:rPr>
          <w:rStyle w:val="htmlparacode"/>
        </w:rPr>
      </w:pPr>
      <w:r>
        <w:rPr>
          <w:rStyle w:val="htmlparacode"/>
        </w:rPr>
        <w:t>&lt;p&gt;</w:t>
      </w:r>
    </w:p>
    <w:p w:rsidR="00B72047" w:rsidRDefault="00B72047">
      <w:pPr>
        <w:pStyle w:val="normalparagraph"/>
      </w:pPr>
      <w:r>
        <w:t>The Lojban diphthongs are shown in the table below. (Variant pronunciations have been omitted, but are much as one would expect based on the variant pronuncia</w:t>
      </w:r>
      <w:r>
        <w:softHyphen/>
        <w:t xml:space="preserve">tions of the separate vowel letters: “ai” may be pronounced </w:t>
      </w:r>
      <w:r>
        <w:rPr>
          <w:rStyle w:val="htmlcodes"/>
        </w:rPr>
        <w:t>&lt;font face="SILDoulosIPA"&gt;</w:t>
      </w:r>
      <w:r>
        <w:t>[</w:t>
      </w:r>
      <w:r>
        <w:rPr>
          <w:rStyle w:val="IPA"/>
        </w:rPr>
        <w:t></w:t>
      </w:r>
      <w:r>
        <w:rPr>
          <w:rStyle w:val="IPA"/>
        </w:rPr>
        <w:t></w:t>
      </w:r>
      <w:r>
        <w:t>]</w:t>
      </w:r>
      <w:r>
        <w:rPr>
          <w:rStyle w:val="htmlcodes"/>
        </w:rPr>
        <w:t>&lt;/font&gt;</w:t>
      </w:r>
      <w:r>
        <w:t>, for example.)</w:t>
      </w:r>
    </w:p>
    <w:p w:rsidR="00B72047" w:rsidRDefault="00B72047">
      <w:pPr>
        <w:rPr>
          <w:rStyle w:val="htmlparacode"/>
        </w:rPr>
      </w:pPr>
      <w:r>
        <w:rPr>
          <w:rStyle w:val="htmlparacode"/>
        </w:rPr>
        <w:t>&lt;p&gt;</w:t>
      </w:r>
    </w:p>
    <w:p w:rsidR="00B72047" w:rsidRDefault="00B72047">
      <w:pPr>
        <w:pStyle w:val="examplescaledpre"/>
      </w:pPr>
      <w:r>
        <w:rPr>
          <w:rStyle w:val="indexentry"/>
        </w:rPr>
        <w:t>&lt;cx "diphthongs, IPA for"&gt;</w:t>
      </w:r>
      <w:r>
        <w:rPr>
          <w:rStyle w:val="indexentry"/>
        </w:rPr>
        <w:fldChar w:fldCharType="begin"/>
      </w:r>
      <w:r>
        <w:instrText>xe "</w:instrText>
      </w:r>
      <w:r>
        <w:rPr>
          <w:rStyle w:val="xeentry"/>
        </w:rPr>
        <w:instrText>diphthongs: IPA for</w:instrText>
      </w:r>
      <w:r>
        <w:instrText>"</w:instrText>
      </w:r>
      <w:r>
        <w:rPr>
          <w:rStyle w:val="indexentry"/>
        </w:rPr>
        <w:fldChar w:fldCharType="end"/>
      </w:r>
      <w:r>
        <w:rPr>
          <w:rStyle w:val="indexentry"/>
        </w:rPr>
        <w:t>&lt;cx "diphthongs, list of"&gt;</w:t>
      </w:r>
      <w:r>
        <w:rPr>
          <w:rStyle w:val="indexentry"/>
        </w:rPr>
        <w:fldChar w:fldCharType="begin"/>
      </w:r>
      <w:r>
        <w:instrText>xe "</w:instrText>
      </w:r>
      <w:r>
        <w:rPr>
          <w:rStyle w:val="xeentry"/>
        </w:rPr>
        <w:instrText>diphthongs: list of</w:instrText>
      </w:r>
      <w:r>
        <w:instrText>"</w:instrText>
      </w:r>
      <w:r>
        <w:rPr>
          <w:rStyle w:val="indexentry"/>
        </w:rPr>
        <w:fldChar w:fldCharType="end"/>
      </w:r>
      <w:r>
        <w:rPr>
          <w:rStyle w:val="htmlcodes"/>
        </w:rPr>
        <w:t>&lt;pre&gt;</w:t>
      </w:r>
      <w:r>
        <w:t>Letters</w:t>
      </w:r>
      <w:r>
        <w:tab/>
      </w:r>
      <w:r>
        <w:tab/>
        <w:t>IPA</w:t>
      </w:r>
      <w:r>
        <w:tab/>
        <w:t>Description</w:t>
      </w:r>
    </w:p>
    <w:p w:rsidR="00B72047" w:rsidRDefault="00B72047">
      <w:pPr>
        <w:pStyle w:val="examplescaledpre"/>
      </w:pPr>
      <w:r>
        <w:t>ai</w:t>
      </w:r>
      <w:r>
        <w:tab/>
      </w:r>
      <w:r>
        <w:tab/>
      </w:r>
      <w:r>
        <w:rPr>
          <w:rStyle w:val="htmlcodes"/>
        </w:rPr>
        <w:t>&lt;font face="SILDoulosIPA"&gt;</w:t>
      </w:r>
      <w:r>
        <w:t>[</w:t>
      </w:r>
      <w:r>
        <w:rPr>
          <w:rStyle w:val="IPA"/>
        </w:rPr>
        <w:t></w:t>
      </w:r>
      <w:r>
        <w:rPr>
          <w:rStyle w:val="IPA"/>
        </w:rPr>
        <w:t></w:t>
      </w:r>
      <w:r>
        <w:t>]</w:t>
      </w:r>
      <w:r>
        <w:tab/>
      </w:r>
      <w:r>
        <w:rPr>
          <w:rStyle w:val="htmlcodes"/>
        </w:rPr>
        <w:t>&lt;/font&gt;</w:t>
      </w:r>
      <w:r>
        <w:t xml:space="preserve"> an open vowel with palatal off-glide</w:t>
      </w:r>
    </w:p>
    <w:p w:rsidR="00B72047" w:rsidRDefault="00B72047">
      <w:pPr>
        <w:pStyle w:val="examplescaled"/>
      </w:pPr>
      <w:r>
        <w:t>ei</w:t>
      </w:r>
      <w:r>
        <w:tab/>
      </w:r>
      <w:r>
        <w:tab/>
      </w:r>
      <w:r>
        <w:rPr>
          <w:rStyle w:val="htmlcodes"/>
        </w:rPr>
        <w:t>&lt;font face="SILDoulosIPA"&gt;</w:t>
      </w:r>
      <w:r>
        <w:t>[</w:t>
      </w:r>
      <w:r>
        <w:rPr>
          <w:rStyle w:val="IPA"/>
        </w:rPr>
        <w:t></w:t>
      </w:r>
      <w:r>
        <w:rPr>
          <w:rStyle w:val="IPA"/>
        </w:rPr>
        <w:t></w:t>
      </w:r>
      <w:r>
        <w:t>]</w:t>
      </w:r>
      <w:r>
        <w:tab/>
      </w:r>
      <w:r>
        <w:rPr>
          <w:rStyle w:val="htmlcodes"/>
        </w:rPr>
        <w:t>&lt;/font&gt;</w:t>
      </w:r>
      <w:r>
        <w:t xml:space="preserve"> a front mid vowel with palatal off-glide</w:t>
      </w:r>
    </w:p>
    <w:p w:rsidR="00B72047" w:rsidRDefault="00B72047">
      <w:pPr>
        <w:pStyle w:val="examplescaled"/>
      </w:pPr>
      <w:r>
        <w:t>oi</w:t>
      </w:r>
      <w:r>
        <w:tab/>
      </w:r>
      <w:r>
        <w:tab/>
      </w:r>
      <w:r>
        <w:rPr>
          <w:rStyle w:val="htmlcodes"/>
        </w:rPr>
        <w:t>&lt;font face="SILDoulosIPA"&gt;</w:t>
      </w:r>
      <w:r>
        <w:t>[</w:t>
      </w:r>
      <w:r>
        <w:rPr>
          <w:rStyle w:val="IPA"/>
        </w:rPr>
        <w:t></w:t>
      </w:r>
      <w:r>
        <w:rPr>
          <w:rStyle w:val="IPA"/>
        </w:rPr>
        <w:t></w:t>
      </w:r>
      <w:r>
        <w:t>]</w:t>
      </w:r>
      <w:r>
        <w:tab/>
      </w:r>
      <w:r>
        <w:rPr>
          <w:rStyle w:val="htmlcodes"/>
        </w:rPr>
        <w:t>&lt;/font&gt;</w:t>
      </w:r>
      <w:r>
        <w:t xml:space="preserve"> a back mid vowel with palatal off-glide</w:t>
      </w:r>
    </w:p>
    <w:p w:rsidR="00B72047" w:rsidRDefault="00B72047">
      <w:pPr>
        <w:pStyle w:val="examplescaled"/>
      </w:pPr>
      <w:r>
        <w:t>au</w:t>
      </w:r>
      <w:r>
        <w:tab/>
      </w:r>
      <w:r>
        <w:tab/>
      </w:r>
      <w:r>
        <w:rPr>
          <w:rStyle w:val="htmlcodes"/>
        </w:rPr>
        <w:t>&lt;font face="SILDoulosIPA"&gt;</w:t>
      </w:r>
      <w:r>
        <w:t>[</w:t>
      </w:r>
      <w:r>
        <w:rPr>
          <w:rStyle w:val="IPA"/>
        </w:rPr>
        <w:t></w:t>
      </w:r>
      <w:r>
        <w:rPr>
          <w:rStyle w:val="IPA"/>
        </w:rPr>
        <w:t></w:t>
      </w:r>
      <w:r>
        <w:t>]</w:t>
      </w:r>
      <w:r>
        <w:tab/>
      </w:r>
      <w:r>
        <w:rPr>
          <w:rStyle w:val="htmlcodes"/>
        </w:rPr>
        <w:t>&lt;/font&gt;</w:t>
      </w:r>
      <w:r>
        <w:t xml:space="preserve"> an open vowel with labial off-glide</w:t>
      </w:r>
    </w:p>
    <w:p w:rsidR="00B72047" w:rsidRDefault="00B72047">
      <w:pPr>
        <w:pStyle w:val="examplescaledpre"/>
      </w:pPr>
      <w:r>
        <w:t>ia</w:t>
      </w:r>
      <w:r>
        <w:tab/>
      </w:r>
      <w:r>
        <w:tab/>
      </w:r>
      <w:r>
        <w:rPr>
          <w:rStyle w:val="htmlcodes"/>
        </w:rPr>
        <w:t>&lt;font face="SILDoulosIPA"&gt;</w:t>
      </w:r>
      <w:r>
        <w:t>[</w:t>
      </w:r>
      <w:r>
        <w:rPr>
          <w:rStyle w:val="IPA"/>
        </w:rPr>
        <w:t></w:t>
      </w:r>
      <w:r>
        <w:rPr>
          <w:rStyle w:val="IPA"/>
        </w:rPr>
        <w:t></w:t>
      </w:r>
      <w:r>
        <w:t>]</w:t>
      </w:r>
      <w:r>
        <w:tab/>
      </w:r>
      <w:r>
        <w:rPr>
          <w:rStyle w:val="htmlcodes"/>
        </w:rPr>
        <w:t>&lt;/font&gt;</w:t>
      </w:r>
      <w:r>
        <w:t xml:space="preserve"> an open vowel with palatal on-glide</w:t>
      </w:r>
    </w:p>
    <w:p w:rsidR="00B72047" w:rsidRDefault="00B72047">
      <w:pPr>
        <w:pStyle w:val="examplescaled"/>
      </w:pPr>
      <w:r>
        <w:t>ie</w:t>
      </w:r>
      <w:r>
        <w:tab/>
      </w:r>
      <w:r>
        <w:tab/>
      </w:r>
      <w:r>
        <w:rPr>
          <w:rStyle w:val="htmlcodes"/>
        </w:rPr>
        <w:t>&lt;font face="SILDoulosIPA"&gt;</w:t>
      </w:r>
      <w:r>
        <w:t>[</w:t>
      </w:r>
      <w:r>
        <w:rPr>
          <w:rStyle w:val="IPA"/>
        </w:rPr>
        <w:t></w:t>
      </w:r>
      <w:r>
        <w:rPr>
          <w:rStyle w:val="IPA"/>
        </w:rPr>
        <w:t></w:t>
      </w:r>
      <w:r>
        <w:t>]</w:t>
      </w:r>
      <w:r>
        <w:tab/>
      </w:r>
      <w:r>
        <w:rPr>
          <w:rStyle w:val="htmlcodes"/>
        </w:rPr>
        <w:t>&lt;/font&gt;</w:t>
      </w:r>
      <w:r>
        <w:t xml:space="preserve"> a front mid vowel with palatal on-glide</w:t>
      </w:r>
    </w:p>
    <w:p w:rsidR="00B72047" w:rsidRDefault="00B72047">
      <w:pPr>
        <w:pStyle w:val="examplescaled"/>
      </w:pPr>
      <w:r>
        <w:t>ii</w:t>
      </w:r>
      <w:r>
        <w:tab/>
      </w:r>
      <w:r>
        <w:tab/>
      </w:r>
      <w:r>
        <w:rPr>
          <w:rStyle w:val="htmlcodes"/>
        </w:rPr>
        <w:t>&lt;font face="SILDoulosIPA"&gt;</w:t>
      </w:r>
      <w:r>
        <w:t>[</w:t>
      </w:r>
      <w:r>
        <w:rPr>
          <w:rStyle w:val="IPA"/>
        </w:rPr>
        <w:t></w:t>
      </w:r>
      <w:r>
        <w:rPr>
          <w:rStyle w:val="IPA"/>
        </w:rPr>
        <w:t></w:t>
      </w:r>
      <w:r>
        <w:t>]</w:t>
      </w:r>
      <w:r>
        <w:tab/>
      </w:r>
      <w:r>
        <w:rPr>
          <w:rStyle w:val="htmlcodes"/>
        </w:rPr>
        <w:t>&lt;/font&gt;</w:t>
      </w:r>
      <w:r>
        <w:t xml:space="preserve"> a front close vowel with palatal on-glide</w:t>
      </w:r>
    </w:p>
    <w:p w:rsidR="00B72047" w:rsidRDefault="00B72047">
      <w:pPr>
        <w:pStyle w:val="examplescaled"/>
      </w:pPr>
      <w:r>
        <w:t>io</w:t>
      </w:r>
      <w:r>
        <w:tab/>
      </w:r>
      <w:r>
        <w:tab/>
      </w:r>
      <w:r>
        <w:rPr>
          <w:rStyle w:val="htmlcodes"/>
        </w:rPr>
        <w:t>&lt;font face="SILDoulosIPA"&gt;</w:t>
      </w:r>
      <w:r>
        <w:t>[</w:t>
      </w:r>
      <w:r>
        <w:rPr>
          <w:rStyle w:val="IPA"/>
        </w:rPr>
        <w:t></w:t>
      </w:r>
      <w:r>
        <w:rPr>
          <w:rStyle w:val="IPA"/>
        </w:rPr>
        <w:t></w:t>
      </w:r>
      <w:r>
        <w:t>]</w:t>
      </w:r>
      <w:r>
        <w:tab/>
      </w:r>
      <w:r>
        <w:rPr>
          <w:rStyle w:val="htmlcodes"/>
        </w:rPr>
        <w:t>&lt;/font&gt;</w:t>
      </w:r>
      <w:r>
        <w:t xml:space="preserve"> a back mid vowel with palatal on-glide</w:t>
      </w:r>
    </w:p>
    <w:p w:rsidR="00B72047" w:rsidRDefault="00B72047">
      <w:pPr>
        <w:pStyle w:val="examplescaled"/>
      </w:pPr>
      <w:r>
        <w:t>iu</w:t>
      </w:r>
      <w:r>
        <w:tab/>
      </w:r>
      <w:r>
        <w:tab/>
      </w:r>
      <w:r>
        <w:rPr>
          <w:rStyle w:val="htmlcodes"/>
        </w:rPr>
        <w:t>&lt;font face="SILDoulosIPA"&gt;</w:t>
      </w:r>
      <w:r>
        <w:t>[</w:t>
      </w:r>
      <w:r>
        <w:rPr>
          <w:rStyle w:val="IPA"/>
        </w:rPr>
        <w:t></w:t>
      </w:r>
      <w:r>
        <w:rPr>
          <w:rStyle w:val="IPA"/>
        </w:rPr>
        <w:t></w:t>
      </w:r>
      <w:r>
        <w:t>]</w:t>
      </w:r>
      <w:r>
        <w:tab/>
      </w:r>
      <w:r>
        <w:rPr>
          <w:rStyle w:val="htmlcodes"/>
        </w:rPr>
        <w:t>&lt;/font&gt;</w:t>
      </w:r>
      <w:r>
        <w:t xml:space="preserve"> a back close vowel with palatal on-glide</w:t>
      </w:r>
    </w:p>
    <w:p w:rsidR="00B72047" w:rsidRDefault="00B72047">
      <w:pPr>
        <w:pStyle w:val="examplescaled"/>
      </w:pPr>
      <w:r>
        <w:br w:type="page"/>
        <w:t>ua</w:t>
      </w:r>
      <w:r>
        <w:tab/>
      </w:r>
      <w:r>
        <w:tab/>
      </w:r>
      <w:r>
        <w:rPr>
          <w:rStyle w:val="htmlcodes"/>
        </w:rPr>
        <w:t>&lt;font face="SILDoulosIPA"&gt;</w:t>
      </w:r>
      <w:r>
        <w:t>[</w:t>
      </w:r>
      <w:r>
        <w:rPr>
          <w:rStyle w:val="IPA"/>
        </w:rPr>
        <w:t></w:t>
      </w:r>
      <w:r>
        <w:rPr>
          <w:rStyle w:val="IPA"/>
        </w:rPr>
        <w:t></w:t>
      </w:r>
      <w:r>
        <w:t>]</w:t>
      </w:r>
      <w:r>
        <w:tab/>
      </w:r>
      <w:r>
        <w:rPr>
          <w:rStyle w:val="htmlcodes"/>
        </w:rPr>
        <w:t>&lt;/font&gt;</w:t>
      </w:r>
      <w:r>
        <w:t xml:space="preserve"> an open vowel with labial on-glide</w:t>
      </w:r>
    </w:p>
    <w:p w:rsidR="00B72047" w:rsidRDefault="00B72047">
      <w:pPr>
        <w:pStyle w:val="examplescaled"/>
      </w:pPr>
      <w:r>
        <w:t>ue</w:t>
      </w:r>
      <w:r>
        <w:tab/>
      </w:r>
      <w:r>
        <w:tab/>
      </w:r>
      <w:r>
        <w:rPr>
          <w:rStyle w:val="htmlcodes"/>
        </w:rPr>
        <w:t>&lt;font face="SILDoulosIPA"&gt;</w:t>
      </w:r>
      <w:r>
        <w:t>[</w:t>
      </w:r>
      <w:r>
        <w:rPr>
          <w:rStyle w:val="IPA"/>
        </w:rPr>
        <w:t></w:t>
      </w:r>
      <w:r>
        <w:rPr>
          <w:rStyle w:val="IPA"/>
        </w:rPr>
        <w:t></w:t>
      </w:r>
      <w:r>
        <w:t>]</w:t>
      </w:r>
      <w:r>
        <w:tab/>
      </w:r>
      <w:r>
        <w:rPr>
          <w:rStyle w:val="htmlcodes"/>
        </w:rPr>
        <w:t>&lt;/font&gt;</w:t>
      </w:r>
      <w:r>
        <w:t xml:space="preserve"> a front mid vowel with labial on-glide</w:t>
      </w:r>
    </w:p>
    <w:p w:rsidR="00B72047" w:rsidRDefault="00B72047">
      <w:pPr>
        <w:pStyle w:val="examplescaled"/>
      </w:pPr>
      <w:r>
        <w:t>ui</w:t>
      </w:r>
      <w:r>
        <w:tab/>
      </w:r>
      <w:r>
        <w:tab/>
      </w:r>
      <w:r>
        <w:rPr>
          <w:rStyle w:val="htmlcodes"/>
        </w:rPr>
        <w:t>&lt;font face="SILDoulosIPA"&gt;</w:t>
      </w:r>
      <w:r>
        <w:t>[</w:t>
      </w:r>
      <w:r>
        <w:rPr>
          <w:rStyle w:val="IPA"/>
        </w:rPr>
        <w:t></w:t>
      </w:r>
      <w:r>
        <w:rPr>
          <w:rStyle w:val="IPA"/>
        </w:rPr>
        <w:t></w:t>
      </w:r>
      <w:r>
        <w:t>]</w:t>
      </w:r>
      <w:r>
        <w:tab/>
      </w:r>
      <w:r>
        <w:rPr>
          <w:rStyle w:val="htmlcodes"/>
        </w:rPr>
        <w:t>&lt;/font&gt;</w:t>
      </w:r>
      <w:r>
        <w:t xml:space="preserve"> a front close vowel with labial on-glide</w:t>
      </w:r>
    </w:p>
    <w:p w:rsidR="00B72047" w:rsidRDefault="00B72047">
      <w:pPr>
        <w:pStyle w:val="examplescaled"/>
      </w:pPr>
      <w:r>
        <w:t>uo</w:t>
      </w:r>
      <w:r>
        <w:tab/>
      </w:r>
      <w:r>
        <w:tab/>
      </w:r>
      <w:r>
        <w:rPr>
          <w:rStyle w:val="htmlcodes"/>
        </w:rPr>
        <w:t>&lt;font face="SILDoulosIPA"&gt;</w:t>
      </w:r>
      <w:r>
        <w:t>[</w:t>
      </w:r>
      <w:r>
        <w:rPr>
          <w:rStyle w:val="IPA"/>
        </w:rPr>
        <w:t></w:t>
      </w:r>
      <w:r>
        <w:rPr>
          <w:rStyle w:val="IPA"/>
        </w:rPr>
        <w:t></w:t>
      </w:r>
      <w:r>
        <w:t>]</w:t>
      </w:r>
      <w:r>
        <w:tab/>
      </w:r>
      <w:r>
        <w:rPr>
          <w:rStyle w:val="htmlcodes"/>
        </w:rPr>
        <w:t>&lt;/font&gt;</w:t>
      </w:r>
      <w:r>
        <w:t xml:space="preserve"> a back mid vowel with labial on-glide</w:t>
      </w:r>
    </w:p>
    <w:p w:rsidR="00B72047" w:rsidRDefault="00B72047">
      <w:pPr>
        <w:pStyle w:val="examplescaled"/>
      </w:pPr>
      <w:r>
        <w:t>uu</w:t>
      </w:r>
      <w:r>
        <w:tab/>
      </w:r>
      <w:r>
        <w:tab/>
      </w:r>
      <w:r>
        <w:rPr>
          <w:rStyle w:val="htmlcodes"/>
        </w:rPr>
        <w:t>&lt;font face="SILDoulosIPA"&gt;</w:t>
      </w:r>
      <w:r>
        <w:t>[</w:t>
      </w:r>
      <w:r>
        <w:rPr>
          <w:rStyle w:val="IPA"/>
        </w:rPr>
        <w:t></w:t>
      </w:r>
      <w:r>
        <w:rPr>
          <w:rStyle w:val="IPA"/>
        </w:rPr>
        <w:t></w:t>
      </w:r>
      <w:r>
        <w:t>]</w:t>
      </w:r>
      <w:r>
        <w:tab/>
      </w:r>
      <w:r>
        <w:rPr>
          <w:rStyle w:val="htmlcodes"/>
        </w:rPr>
        <w:t>&lt;/font&gt;</w:t>
      </w:r>
      <w:r>
        <w:t xml:space="preserve"> a back close vowel with labial on-glide</w:t>
      </w:r>
    </w:p>
    <w:p w:rsidR="00B72047" w:rsidRDefault="00B72047">
      <w:pPr>
        <w:pStyle w:val="examplescaledpre"/>
      </w:pPr>
      <w:r>
        <w:t>iy</w:t>
      </w:r>
      <w:r>
        <w:tab/>
      </w:r>
      <w:r>
        <w:tab/>
      </w:r>
      <w:r>
        <w:rPr>
          <w:rStyle w:val="htmlcodes"/>
        </w:rPr>
        <w:t>&lt;font face="SILDoulosIPA"&gt;</w:t>
      </w:r>
      <w:r>
        <w:t>[</w:t>
      </w:r>
      <w:r>
        <w:rPr>
          <w:rStyle w:val="IPA"/>
        </w:rPr>
        <w:t></w:t>
      </w:r>
      <w:r>
        <w:rPr>
          <w:rStyle w:val="IPA"/>
        </w:rPr>
        <w:t></w:t>
      </w:r>
      <w:r>
        <w:t>]</w:t>
      </w:r>
      <w:r>
        <w:tab/>
      </w:r>
      <w:r>
        <w:rPr>
          <w:rStyle w:val="htmlcodes"/>
        </w:rPr>
        <w:t>&lt;/font&gt;</w:t>
      </w:r>
      <w:r>
        <w:t xml:space="preserve"> a central mid vowel with palatal on-glide</w:t>
      </w:r>
    </w:p>
    <w:p w:rsidR="00B72047" w:rsidRDefault="00B72047">
      <w:pPr>
        <w:pStyle w:val="examplescaled"/>
      </w:pPr>
      <w:r>
        <w:t>uy</w:t>
      </w:r>
      <w:r>
        <w:tab/>
      </w:r>
      <w:r>
        <w:tab/>
      </w:r>
      <w:r>
        <w:rPr>
          <w:rStyle w:val="htmlcodes"/>
        </w:rPr>
        <w:t>&lt;font face="SILDoulosIPA"&gt;</w:t>
      </w:r>
      <w:r>
        <w:t>[</w:t>
      </w:r>
      <w:r>
        <w:rPr>
          <w:rStyle w:val="IPA"/>
        </w:rPr>
        <w:t></w:t>
      </w:r>
      <w:r>
        <w:rPr>
          <w:rStyle w:val="IPA"/>
        </w:rPr>
        <w:t></w:t>
      </w:r>
      <w:r>
        <w:t>]</w:t>
      </w:r>
      <w:r>
        <w:tab/>
      </w:r>
      <w:r>
        <w:rPr>
          <w:rStyle w:val="htmlcodes"/>
        </w:rPr>
        <w:t>&lt;/font&gt;</w:t>
      </w:r>
      <w:r>
        <w:t xml:space="preserve"> a central mid vowel with labial on-glide</w:t>
      </w:r>
    </w:p>
    <w:p w:rsidR="00B72047" w:rsidRDefault="00B72047">
      <w:pPr>
        <w:pStyle w:val="resumedafterexample"/>
      </w:pPr>
      <w:r>
        <w:rPr>
          <w:rStyle w:val="htmlcodes"/>
        </w:rPr>
        <w:t>&lt;/pre&gt;</w:t>
      </w:r>
      <w:r>
        <w:t xml:space="preserve">(Approximate English equivalents of most of these diphthongs exist: see </w:t>
      </w:r>
      <w:r>
        <w:rPr>
          <w:rStyle w:val="htmlcodes"/>
        </w:rPr>
        <w:t>&lt;a href=#s11&gt;</w:t>
      </w:r>
      <w:r>
        <w:t>Section 11 for examples.)</w:t>
      </w:r>
    </w:p>
    <w:p w:rsidR="00B72047" w:rsidRDefault="00B72047">
      <w:pPr>
        <w:rPr>
          <w:rStyle w:val="htmlparacode"/>
        </w:rPr>
      </w:pPr>
      <w:r>
        <w:rPr>
          <w:rStyle w:val="htmlparacode"/>
        </w:rPr>
        <w:t>&lt;p&gt;</w:t>
      </w:r>
    </w:p>
    <w:p w:rsidR="00B72047" w:rsidRDefault="00B72047">
      <w:pPr>
        <w:pStyle w:val="normalparagraph"/>
      </w:pPr>
      <w:r>
        <w:rPr>
          <w:rStyle w:val="indexentry"/>
        </w:rPr>
        <w:t>&lt;cx "diphthongs, classification of"&gt;</w:t>
      </w:r>
      <w:r>
        <w:rPr>
          <w:rStyle w:val="indexentry"/>
        </w:rPr>
        <w:fldChar w:fldCharType="begin"/>
      </w:r>
      <w:r>
        <w:instrText>xe "</w:instrText>
      </w:r>
      <w:r>
        <w:rPr>
          <w:rStyle w:val="xeentry"/>
        </w:rPr>
        <w:instrText>diphthongs: classification of</w:instrText>
      </w:r>
      <w:r>
        <w:instrText>"</w:instrText>
      </w:r>
      <w:r>
        <w:rPr>
          <w:rStyle w:val="indexentry"/>
        </w:rPr>
        <w:fldChar w:fldCharType="end"/>
      </w:r>
      <w:r>
        <w:t>The first four diphthongs above (“ai”, “ei”, “oi”, and “au”, the ones with off-glides) are freely used in most types of Lojban words; the ten following ones are used only as stand-alone words and in Loj</w:t>
      </w:r>
      <w:r>
        <w:softHyphen/>
        <w:t>banized names and borrowings; and the last two (“iy” and “uy”) are used only in Lojbanized names.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"consonants, syllabic"&gt;</w:t>
      </w:r>
      <w:r>
        <w:rPr>
          <w:rStyle w:val="indexentry"/>
        </w:rPr>
        <w:fldChar w:fldCharType="begin"/>
      </w:r>
      <w:r>
        <w:instrText>xe "</w:instrText>
      </w:r>
      <w:r>
        <w:rPr>
          <w:rStyle w:val="xeentry"/>
        </w:rPr>
        <w:instrText>consonants: syllabic</w:instrText>
      </w:r>
      <w:r>
        <w:instrText>"</w:instrText>
      </w:r>
      <w:r>
        <w:rPr>
          <w:rStyle w:val="indexentry"/>
        </w:rPr>
        <w:fldChar w:fldCharType="end"/>
      </w:r>
      <w:r>
        <w:rPr>
          <w:rStyle w:val="indexentry"/>
        </w:rPr>
        <w:t>&lt;cx "syllabic consonants"&gt;</w:t>
      </w:r>
      <w:r>
        <w:rPr>
          <w:rStyle w:val="indexentry"/>
        </w:rPr>
        <w:fldChar w:fldCharType="begin"/>
      </w:r>
      <w:r>
        <w:instrText>xe "</w:instrText>
      </w:r>
      <w:r>
        <w:rPr>
          <w:rStyle w:val="xeentry"/>
        </w:rPr>
        <w:instrText>syllabic consonants</w:instrText>
      </w:r>
      <w:r>
        <w:instrText>"</w:instrText>
      </w:r>
      <w:r>
        <w:rPr>
          <w:rStyle w:val="indexentry"/>
        </w:rPr>
        <w:fldChar w:fldCharType="end"/>
      </w:r>
      <w:r>
        <w:t xml:space="preserve">The syllabic consonants of Lojban,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and </w:t>
      </w:r>
      <w:r>
        <w:rPr>
          <w:rStyle w:val="htmlcodes"/>
        </w:rPr>
        <w:t>&lt;font face="SILDoulosIPA"&gt;</w:t>
      </w:r>
      <w:r>
        <w:t>[</w:t>
      </w:r>
      <w:r>
        <w:rPr>
          <w:rStyle w:val="IPA"/>
        </w:rPr>
        <w:t></w:t>
      </w:r>
      <w:r>
        <w:rPr>
          <w:rStyle w:val="IPA"/>
        </w:rPr>
        <w:t></w:t>
      </w:r>
      <w:r>
        <w:t>]</w:t>
      </w:r>
      <w:r>
        <w:rPr>
          <w:rStyle w:val="htmlcodes"/>
        </w:rPr>
        <w:t>&lt;/font&gt;</w:t>
      </w:r>
      <w:r>
        <w:t>, are variants of the non-syl</w:t>
      </w:r>
      <w:r>
        <w:softHyphen/>
        <w:t xml:space="preserve">labic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and </w:t>
      </w:r>
      <w:r>
        <w:rPr>
          <w:rStyle w:val="htmlcodes"/>
        </w:rPr>
        <w:t>&lt;font face="SILDoulosIPA"&gt;</w:t>
      </w:r>
      <w:r>
        <w:t>[</w:t>
      </w:r>
      <w:r>
        <w:rPr>
          <w:rStyle w:val="IPA"/>
        </w:rPr>
        <w:t></w:t>
      </w:r>
      <w:r>
        <w:t xml:space="preserve">] </w:t>
      </w:r>
      <w:r>
        <w:rPr>
          <w:rStyle w:val="htmlcodes"/>
        </w:rPr>
        <w:t>&lt;/font&gt;</w:t>
      </w:r>
      <w:r>
        <w:t>respectively. They normally have only a limited distri</w:t>
      </w:r>
      <w:r>
        <w:softHyphen/>
        <w:t>bution, appearing in Lojban names and borrowings, although in principle any “l”, “m”, “n”, or “r” may be pronounced syllabically. If a syllabic consonant appears next to a “l”, “m”, “n”, or “r” that is not syllabic, it may not be clear which is which: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brlgan.</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 xml:space="preserve">or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is a hypothetical Lojbanized name with more than one valid pronun</w:t>
      </w:r>
      <w:r>
        <w:softHyphen/>
        <w:t>ciation; however it is pronounced, it remains the same word.</w:t>
      </w:r>
    </w:p>
    <w:p w:rsidR="00B72047" w:rsidRDefault="00B72047">
      <w:pPr>
        <w:rPr>
          <w:rStyle w:val="htmlparacode"/>
        </w:rPr>
      </w:pPr>
      <w:r>
        <w:rPr>
          <w:rStyle w:val="htmlparacode"/>
        </w:rPr>
        <w:t>&lt;p&gt;</w:t>
      </w:r>
    </w:p>
    <w:p w:rsidR="00B72047" w:rsidRDefault="00B72047">
      <w:pPr>
        <w:pStyle w:val="normalparagraph"/>
      </w:pPr>
      <w:r>
        <w:rPr>
          <w:rStyle w:val="indexentry"/>
        </w:rPr>
        <w:t>&lt;ex "Earl"&gt;</w:t>
      </w:r>
      <w:r>
        <w:rPr>
          <w:rStyle w:val="indexentry"/>
        </w:rPr>
        <w:fldChar w:fldCharType="begin"/>
      </w:r>
      <w:r>
        <w:instrText>xe "</w:instrText>
      </w:r>
      <w:r>
        <w:rPr>
          <w:rStyle w:val="xeentry"/>
        </w:rPr>
        <w:instrText>Earl: example</w:instrText>
      </w:r>
      <w:r>
        <w:instrText>"</w:instrText>
      </w:r>
      <w:r>
        <w:rPr>
          <w:rStyle w:val="indexentry"/>
        </w:rPr>
        <w:fldChar w:fldCharType="end"/>
      </w:r>
      <w:r>
        <w:rPr>
          <w:rStyle w:val="indexentry"/>
        </w:rPr>
        <w:t>&lt;cx "syllabic consonants, final in word"&gt;</w:t>
      </w:r>
      <w:r>
        <w:rPr>
          <w:rStyle w:val="indexentry"/>
        </w:rPr>
        <w:fldChar w:fldCharType="begin"/>
      </w:r>
      <w:r>
        <w:instrText>xe "</w:instrText>
      </w:r>
      <w:r>
        <w:rPr>
          <w:rStyle w:val="xeentry"/>
        </w:rPr>
        <w:instrText>syllabic consonants: final in word</w:instrText>
      </w:r>
      <w:r>
        <w:instrText>"</w:instrText>
      </w:r>
      <w:r>
        <w:rPr>
          <w:rStyle w:val="indexentry"/>
        </w:rPr>
        <w:fldChar w:fldCharType="end"/>
      </w:r>
      <w:r>
        <w:t>Syllabic consonants are treated as consonants rather than vowels from the standpoint of Lojban morphology. Thus Lojbanized names, which are generally re</w:t>
      </w:r>
      <w:r>
        <w:softHyphen/>
        <w:t>quired to end in a consonant, are al</w:t>
      </w:r>
      <w:r>
        <w:softHyphen/>
        <w:t>lowed to end with a syllabic consonant. An example is “rl.”, which is an approximation of the English name “Earl”, and has two syllabic consonants.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"stress, effect of syllabic consonants on"&gt;</w:t>
      </w:r>
      <w:r>
        <w:rPr>
          <w:rStyle w:val="indexentry"/>
        </w:rPr>
        <w:fldChar w:fldCharType="begin"/>
      </w:r>
      <w:r>
        <w:instrText>xe "</w:instrText>
      </w:r>
      <w:r>
        <w:rPr>
          <w:rStyle w:val="xeentry"/>
        </w:rPr>
        <w:instrText>stress: effect of syllabic consonants on</w:instrText>
      </w:r>
      <w:r>
        <w:instrText>"</w:instrText>
      </w:r>
      <w:r>
        <w:rPr>
          <w:rStyle w:val="indexentry"/>
        </w:rPr>
        <w:fldChar w:fldCharType="end"/>
      </w:r>
      <w:r>
        <w:rPr>
          <w:rStyle w:val="indexentry"/>
        </w:rPr>
        <w:t>&lt;cx "syllabic consonants, effect on stress"&gt;</w:t>
      </w:r>
      <w:r>
        <w:rPr>
          <w:rStyle w:val="indexentry"/>
        </w:rPr>
        <w:fldChar w:fldCharType="begin"/>
      </w:r>
      <w:r>
        <w:instrText>xe "</w:instrText>
      </w:r>
      <w:r>
        <w:rPr>
          <w:rStyle w:val="xeentry"/>
        </w:rPr>
        <w:instrText>syllabic consonants: effect on stress</w:instrText>
      </w:r>
      <w:r>
        <w:instrText>"</w:instrText>
      </w:r>
      <w:r>
        <w:rPr>
          <w:rStyle w:val="indexentry"/>
        </w:rPr>
        <w:fldChar w:fldCharType="end"/>
      </w:r>
      <w:r>
        <w:t xml:space="preserve">Syllables with syllabic consonants and no vowel are never stressed or counted when determining which syllables to stress (see </w:t>
      </w:r>
      <w:r>
        <w:rPr>
          <w:rStyle w:val="htmlcodes"/>
        </w:rPr>
        <w:t>&lt;a href=#s9&gt;</w:t>
      </w:r>
      <w:r>
        <w:t>Section 9</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129" w:name="_Toc395691489"/>
      <w:bookmarkStart w:id="130" w:name="_Toc395691683"/>
      <w:bookmarkStart w:id="131" w:name="_Toc398970460"/>
      <w:r>
        <w:rPr>
          <w:rStyle w:val="Heading3Text"/>
        </w:rPr>
        <w:t>Vowel pairs</w:t>
      </w:r>
      <w:bookmarkEnd w:id="129"/>
      <w:bookmarkEnd w:id="130"/>
      <w:bookmarkEnd w:id="13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"vowel pairs, definition of"&gt;</w:t>
      </w:r>
      <w:r>
        <w:rPr>
          <w:rStyle w:val="indexentry"/>
        </w:rPr>
        <w:fldChar w:fldCharType="begin"/>
      </w:r>
      <w:r>
        <w:instrText>xe "</w:instrText>
      </w:r>
      <w:r>
        <w:rPr>
          <w:rStyle w:val="xeentry"/>
        </w:rPr>
        <w:instrText>vowel pairs: definition of</w:instrText>
      </w:r>
      <w:r>
        <w:instrText>"</w:instrText>
      </w:r>
      <w:r>
        <w:rPr>
          <w:rStyle w:val="indexentry"/>
        </w:rPr>
        <w:fldChar w:fldCharType="end"/>
      </w:r>
      <w:r>
        <w:rPr>
          <w:rStyle w:val="indexentry"/>
        </w:rPr>
        <w:t>&lt;cx "apostrophe, use in vowel pairs"&gt;</w:t>
      </w:r>
      <w:r>
        <w:rPr>
          <w:rStyle w:val="indexentry"/>
        </w:rPr>
        <w:fldChar w:fldCharType="begin"/>
      </w:r>
      <w:r>
        <w:instrText>xe "</w:instrText>
      </w:r>
      <w:r>
        <w:rPr>
          <w:rStyle w:val="xeentry"/>
        </w:rPr>
        <w:instrText>apostrophe: use in vowel pairs</w:instrText>
      </w:r>
      <w:r>
        <w:instrText>"</w:instrText>
      </w:r>
      <w:r>
        <w:rPr>
          <w:rStyle w:val="indexentry"/>
        </w:rPr>
        <w:fldChar w:fldCharType="end"/>
      </w:r>
      <w:r>
        <w:rPr>
          <w:rStyle w:val="indexentry"/>
        </w:rPr>
        <w:t>&lt;cx "vowel pairs, use of apostrophe in"&gt;</w:t>
      </w:r>
      <w:r>
        <w:rPr>
          <w:rStyle w:val="indexentry"/>
        </w:rPr>
        <w:fldChar w:fldCharType="begin"/>
      </w:r>
      <w:r>
        <w:instrText>xe "</w:instrText>
      </w:r>
      <w:r>
        <w:rPr>
          <w:rStyle w:val="xeentry"/>
        </w:rPr>
        <w:instrText>vowel pairs: use of apostrophe in</w:instrText>
      </w:r>
      <w:r>
        <w:instrText>"</w:instrText>
      </w:r>
      <w:r>
        <w:rPr>
          <w:rStyle w:val="indexentry"/>
        </w:rPr>
        <w:fldChar w:fldCharType="end"/>
      </w:r>
      <w:r>
        <w:t>Lojban vowels also occur in pairs, where each vowel sound is in a separate syllable. These two vowel sounds are connected (and separated) by an apostrophe. Loj</w:t>
      </w:r>
      <w:r>
        <w:softHyphen/>
        <w:t>ban vowel pairs should be pro</w:t>
      </w:r>
      <w:r>
        <w:softHyphen/>
        <w:t xml:space="preserve">nounced continuously with the </w:t>
      </w:r>
      <w:r>
        <w:rPr>
          <w:rStyle w:val="htmlcodes"/>
        </w:rPr>
        <w:t>&lt;font face="SILDoulosIPA"&gt;</w:t>
      </w:r>
      <w:r>
        <w:t>[</w:t>
      </w:r>
      <w:r>
        <w:rPr>
          <w:rStyle w:val="IPA"/>
        </w:rPr>
        <w:t></w:t>
      </w:r>
      <w:r>
        <w:t xml:space="preserve">] </w:t>
      </w:r>
      <w:r>
        <w:rPr>
          <w:rStyle w:val="htmlcodes"/>
        </w:rPr>
        <w:t>&lt;/font&gt;</w:t>
      </w:r>
      <w:r>
        <w:t>sound between (and not by a glottal stop or pause, which would split the two vowels into separate words).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"vowel pairs, contrasted with diphthongs"&gt;</w:t>
      </w:r>
      <w:r>
        <w:rPr>
          <w:rStyle w:val="indexentry"/>
        </w:rPr>
        <w:fldChar w:fldCharType="begin"/>
      </w:r>
      <w:r>
        <w:instrText>xe "</w:instrText>
      </w:r>
      <w:r>
        <w:rPr>
          <w:rStyle w:val="xeentry"/>
        </w:rPr>
        <w:instrText>vowel pairs: contrasted with diphthongs</w:instrText>
      </w:r>
      <w:r>
        <w:instrText>"</w:instrText>
      </w:r>
      <w:r>
        <w:rPr>
          <w:rStyle w:val="indexentry"/>
        </w:rPr>
        <w:fldChar w:fldCharType="end"/>
      </w:r>
      <w:r>
        <w:rPr>
          <w:rStyle w:val="indexentry"/>
        </w:rPr>
        <w:t>&lt;cx "diphthongs, contrasted with vowel pairs"&gt;</w:t>
      </w:r>
      <w:r>
        <w:rPr>
          <w:rStyle w:val="indexentry"/>
        </w:rPr>
        <w:fldChar w:fldCharType="begin"/>
      </w:r>
      <w:r>
        <w:instrText>xe "</w:instrText>
      </w:r>
      <w:r>
        <w:rPr>
          <w:rStyle w:val="xeentry"/>
        </w:rPr>
        <w:instrText>diphthongs: contrasted with vowel pairs</w:instrText>
      </w:r>
      <w:r>
        <w:instrText>"</w:instrText>
      </w:r>
      <w:r>
        <w:rPr>
          <w:rStyle w:val="indexentry"/>
        </w:rPr>
        <w:fldChar w:fldCharType="end"/>
      </w:r>
      <w:r>
        <w:t>All vowel combinations are permitted in two-syllable pairs with the apostrophe sepa</w:t>
      </w:r>
      <w:r>
        <w:softHyphen/>
        <w:t>rating them; this includes those which constitute diphthongs when the apostrophe is not included.</w:t>
      </w:r>
    </w:p>
    <w:p w:rsidR="00B72047" w:rsidRDefault="00B72047">
      <w:pPr>
        <w:pStyle w:val="normalparagraph"/>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"vowel pairs, list of"&gt;</w:t>
      </w:r>
      <w:r>
        <w:rPr>
          <w:rStyle w:val="indexentry"/>
        </w:rPr>
        <w:fldChar w:fldCharType="begin"/>
      </w:r>
      <w:r>
        <w:instrText>xe "</w:instrText>
      </w:r>
      <w:r>
        <w:rPr>
          <w:rStyle w:val="xeentry"/>
        </w:rPr>
        <w:instrText>vowel pairs: list of</w:instrText>
      </w:r>
      <w:r>
        <w:instrText>"</w:instrText>
      </w:r>
      <w:r>
        <w:rPr>
          <w:rStyle w:val="indexentry"/>
        </w:rPr>
        <w:fldChar w:fldCharType="end"/>
      </w:r>
      <w:r>
        <w:t>The Lojban vowel pairs are:</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w:t>
      </w:r>
      <w:r>
        <w:t xml:space="preserve"> </w:t>
      </w:r>
      <w:r>
        <w:tab/>
        <w:t>a'a</w:t>
      </w:r>
      <w:r>
        <w:tab/>
        <w:t>a'e</w:t>
      </w:r>
      <w:r>
        <w:tab/>
        <w:t>a'i</w:t>
      </w:r>
      <w:r>
        <w:tab/>
        <w:t>a'o</w:t>
      </w:r>
      <w:r>
        <w:tab/>
        <w:t>a'u</w:t>
      </w:r>
      <w:r>
        <w:tab/>
        <w:t>a'y</w:t>
      </w:r>
    </w:p>
    <w:p w:rsidR="00B72047" w:rsidRDefault="00B72047">
      <w:pPr>
        <w:pStyle w:val="examplescaled"/>
      </w:pPr>
      <w:r>
        <w:tab/>
        <w:t>e'a</w:t>
      </w:r>
      <w:r>
        <w:tab/>
        <w:t>e'e</w:t>
      </w:r>
      <w:r>
        <w:tab/>
        <w:t>e'i</w:t>
      </w:r>
      <w:r>
        <w:tab/>
        <w:t>e'o</w:t>
      </w:r>
      <w:r>
        <w:tab/>
        <w:t>e'u</w:t>
      </w:r>
      <w:r>
        <w:tab/>
        <w:t>e'y</w:t>
      </w:r>
    </w:p>
    <w:p w:rsidR="00B72047" w:rsidRDefault="00B72047">
      <w:pPr>
        <w:pStyle w:val="examplescaled"/>
      </w:pPr>
      <w:r>
        <w:tab/>
        <w:t>i'a</w:t>
      </w:r>
      <w:r>
        <w:tab/>
        <w:t>i'e</w:t>
      </w:r>
      <w:r>
        <w:tab/>
        <w:t>i'i</w:t>
      </w:r>
      <w:r>
        <w:tab/>
        <w:t>i'o</w:t>
      </w:r>
      <w:r>
        <w:tab/>
        <w:t>i'u</w:t>
      </w:r>
      <w:r>
        <w:tab/>
        <w:t>i'y</w:t>
      </w:r>
    </w:p>
    <w:p w:rsidR="00B72047" w:rsidRDefault="00B72047">
      <w:pPr>
        <w:pStyle w:val="examplescaled"/>
      </w:pPr>
      <w:r>
        <w:tab/>
        <w:t>o'a</w:t>
      </w:r>
      <w:r>
        <w:tab/>
        <w:t>o'e</w:t>
      </w:r>
      <w:r>
        <w:tab/>
        <w:t>o'i</w:t>
      </w:r>
      <w:r>
        <w:tab/>
        <w:t>o'o</w:t>
      </w:r>
      <w:r>
        <w:tab/>
        <w:t>o'u</w:t>
      </w:r>
      <w:r>
        <w:tab/>
        <w:t>o'y</w:t>
      </w:r>
    </w:p>
    <w:p w:rsidR="00B72047" w:rsidRDefault="00B72047">
      <w:pPr>
        <w:pStyle w:val="examplescaled"/>
      </w:pPr>
      <w:r>
        <w:tab/>
        <w:t>u'a</w:t>
      </w:r>
      <w:r>
        <w:tab/>
        <w:t>u'e</w:t>
      </w:r>
      <w:r>
        <w:tab/>
        <w:t>u'i</w:t>
      </w:r>
      <w:r>
        <w:tab/>
        <w:t>u'o</w:t>
      </w:r>
      <w:r>
        <w:tab/>
        <w:t>u'u</w:t>
      </w:r>
      <w:r>
        <w:tab/>
        <w:t>u'y</w:t>
      </w:r>
    </w:p>
    <w:p w:rsidR="00B72047" w:rsidRDefault="00B72047">
      <w:pPr>
        <w:pStyle w:val="examplescaled"/>
      </w:pPr>
      <w:r>
        <w:tab/>
        <w:t>y'a</w:t>
      </w:r>
      <w:r>
        <w:tab/>
        <w:t>y'e</w:t>
      </w:r>
      <w:r>
        <w:tab/>
        <w:t>y'i</w:t>
      </w:r>
      <w:r>
        <w:tab/>
        <w:t>y'o</w:t>
      </w:r>
      <w:r>
        <w:tab/>
        <w:t>y'u</w:t>
      </w:r>
      <w:r>
        <w:tab/>
        <w:t>y'y</w:t>
      </w:r>
    </w:p>
    <w:p w:rsidR="00B72047" w:rsidRDefault="00B72047">
      <w:pPr>
        <w:pStyle w:val="normalafterexample"/>
      </w:pPr>
      <w:r>
        <w:rPr>
          <w:rStyle w:val="htmlcodes"/>
        </w:rPr>
        <w:t>&lt;/pre&gt;</w:t>
      </w:r>
      <w:r>
        <w:rPr>
          <w:rStyle w:val="indexentry"/>
        </w:rPr>
        <w:t>&lt;cx "vowel pairs, involving “y”"&gt;</w:t>
      </w:r>
      <w:r>
        <w:rPr>
          <w:rStyle w:val="indexentry"/>
        </w:rPr>
        <w:fldChar w:fldCharType="begin"/>
      </w:r>
      <w:r>
        <w:instrText>xe "</w:instrText>
      </w:r>
      <w:r>
        <w:rPr>
          <w:rStyle w:val="xeentry"/>
        </w:rPr>
        <w:instrText>vowel pairs: involving y</w:instrText>
      </w:r>
      <w:r>
        <w:instrText>"</w:instrText>
      </w:r>
      <w:r>
        <w:rPr>
          <w:rStyle w:val="indexentry"/>
        </w:rPr>
        <w:fldChar w:fldCharType="end"/>
      </w:r>
      <w:r>
        <w:t>Vowel pairs involving “y” appear only in Lojbanized names. They could ap</w:t>
      </w:r>
      <w:r>
        <w:softHyphen/>
        <w:t>pear in cmavo (structure words), but only “.y'y.” is so used — it is the Lojban name of the apos</w:t>
      </w:r>
      <w:r>
        <w:softHyphen/>
        <w:t xml:space="preserve">trophe letter (see </w:t>
      </w:r>
      <w:r>
        <w:rPr>
          <w:rStyle w:val="htmlcodes"/>
        </w:rPr>
        <w:t>&lt;a href=chap17.html&gt;</w:t>
      </w:r>
      <w:r>
        <w:t>Chapter 17</w:t>
      </w:r>
      <w:r>
        <w:rPr>
          <w:rStyle w:val="htmlcodes"/>
        </w:rPr>
        <w:t>&lt;/a&gt;</w:t>
      </w:r>
      <w:r>
        <w:t>).</w:t>
      </w:r>
    </w:p>
    <w:p w:rsidR="00B72047" w:rsidRDefault="00B72047">
      <w:pPr>
        <w:pStyle w:val="normalafterexample"/>
        <w:rPr>
          <w:rStyle w:val="htmlparacode"/>
        </w:rPr>
      </w:pPr>
      <w:r>
        <w:rPr>
          <w:rStyle w:val="htmlparacode"/>
        </w:rPr>
        <w:t>&lt;p&gt;</w:t>
      </w:r>
    </w:p>
    <w:p w:rsidR="00B72047" w:rsidRDefault="00B72047">
      <w:pPr>
        <w:pStyle w:val="normalparagraph"/>
      </w:pPr>
      <w:r>
        <w:rPr>
          <w:rStyle w:val="indexentry"/>
        </w:rPr>
        <w:t>&lt;cx "vowel pairs, grouping of"&gt;</w:t>
      </w:r>
      <w:r>
        <w:rPr>
          <w:rStyle w:val="indexentry"/>
        </w:rPr>
        <w:fldChar w:fldCharType="begin"/>
      </w:r>
      <w:r>
        <w:instrText>xe "</w:instrText>
      </w:r>
      <w:r>
        <w:rPr>
          <w:rStyle w:val="xeentry"/>
        </w:rPr>
        <w:instrText>vowel pairs: grouping of</w:instrText>
      </w:r>
      <w:r>
        <w:instrText>"</w:instrText>
      </w:r>
      <w:r>
        <w:rPr>
          <w:rStyle w:val="indexentry"/>
        </w:rPr>
        <w:fldChar w:fldCharType="end"/>
      </w:r>
      <w:r>
        <w:t>When more than two vowels occur together in Lojban, the normal pronuncia</w:t>
      </w:r>
      <w:r>
        <w:softHyphen/>
        <w:t>tion pairs vowels from the left into syllables, as in the Lojbanized name: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meiin.</w:t>
      </w:r>
    </w:p>
    <w:p w:rsidR="00B72047" w:rsidRDefault="00B72047">
      <w:pPr>
        <w:pStyle w:val="examplescaled"/>
      </w:pPr>
      <w:r>
        <w:tab/>
        <w:t>mei,in.</w:t>
      </w:r>
    </w:p>
    <w:p w:rsidR="00B72047" w:rsidRDefault="00B72047">
      <w:pPr>
        <w:pStyle w:val="resumedafterexample"/>
      </w:pPr>
      <w:r>
        <w:rPr>
          <w:rStyle w:val="htmlcodes"/>
        </w:rPr>
        <w:t>&lt;/pre&gt;&lt;a href=#e5d1&gt;</w:t>
      </w:r>
      <w:r>
        <w:t>Example 5.1 contains the diphthong “ei” followed by the vowel “i”. In order to indicate a different grouping, the comma must always be used, leading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me,iin.</w:t>
      </w:r>
    </w:p>
    <w:p w:rsidR="00B72047" w:rsidRDefault="00B72047">
      <w:pPr>
        <w:pStyle w:val="resumedafterexample"/>
      </w:pPr>
      <w:r>
        <w:rPr>
          <w:rStyle w:val="htmlcodes"/>
        </w:rPr>
        <w:t>&lt;/pre&gt;</w:t>
      </w:r>
      <w:r>
        <w:t>which contains the vowel “e” followed by the diphthong “ii”. In rough English repre</w:t>
      </w:r>
      <w:r>
        <w:softHyphen/>
        <w:t>sen</w:t>
      </w:r>
      <w:r>
        <w:softHyphen/>
        <w:t xml:space="preserve">tation, </w:t>
      </w:r>
      <w:r>
        <w:rPr>
          <w:rStyle w:val="htmlcodes"/>
        </w:rPr>
        <w:t>&lt;a href=#e5d1&gt;</w:t>
      </w:r>
      <w:r>
        <w:t xml:space="preserve">Example 5.1 </w:t>
      </w:r>
      <w:r>
        <w:rPr>
          <w:rStyle w:val="htmlcodes"/>
        </w:rPr>
        <w:t>&lt;/a&gt;</w:t>
      </w:r>
      <w:r>
        <w:t xml:space="preserve">is “May Een”, whereas </w:t>
      </w:r>
      <w:r>
        <w:rPr>
          <w:rStyle w:val="htmlcodes"/>
        </w:rPr>
        <w:t>&lt;a href=#e5d2&gt;</w:t>
      </w:r>
      <w:r>
        <w:t xml:space="preserve">Example 5.2 </w:t>
      </w:r>
      <w:r>
        <w:rPr>
          <w:rStyle w:val="htmlcodes"/>
        </w:rPr>
        <w:t>&lt;/a&gt;</w:t>
      </w:r>
      <w:r>
        <w:t>is “Meh Yeen”.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132" w:name="_Toc395691490"/>
      <w:bookmarkStart w:id="133" w:name="_Toc395691684"/>
      <w:bookmarkStart w:id="134" w:name="_Toc398970461"/>
      <w:r>
        <w:rPr>
          <w:rStyle w:val="Heading3Text"/>
        </w:rPr>
        <w:t>Consonant clusters</w:t>
      </w:r>
      <w:bookmarkEnd w:id="132"/>
      <w:bookmarkEnd w:id="133"/>
      <w:bookmarkEnd w:id="13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"consonant, definition"&gt;</w:t>
      </w:r>
      <w:r>
        <w:rPr>
          <w:rStyle w:val="indexentry"/>
        </w:rPr>
        <w:fldChar w:fldCharType="begin"/>
      </w:r>
      <w:r>
        <w:instrText>xe "</w:instrText>
      </w:r>
      <w:r>
        <w:rPr>
          <w:rStyle w:val="xeentry"/>
        </w:rPr>
        <w:instrText>consonant: definition</w:instrText>
      </w:r>
      <w:r>
        <w:instrText>"</w:instrText>
      </w:r>
      <w:r>
        <w:rPr>
          <w:rStyle w:val="indexentry"/>
        </w:rPr>
        <w:fldChar w:fldCharType="end"/>
      </w:r>
      <w:r>
        <w:rPr>
          <w:rStyle w:val="indexentry"/>
        </w:rPr>
        <w:t>&lt;cx "consonant, effect on syllable count"&gt;</w:t>
      </w:r>
      <w:r>
        <w:rPr>
          <w:rStyle w:val="indexentry"/>
        </w:rPr>
        <w:fldChar w:fldCharType="begin"/>
      </w:r>
      <w:r>
        <w:instrText>xe "</w:instrText>
      </w:r>
      <w:r>
        <w:rPr>
          <w:rStyle w:val="xeentry"/>
        </w:rPr>
        <w:instrText>consonant: effect on syllable count</w:instrText>
      </w:r>
      <w:r>
        <w:instrText>"</w:instrText>
      </w:r>
      <w:r>
        <w:rPr>
          <w:rStyle w:val="indexentry"/>
        </w:rPr>
        <w:fldChar w:fldCharType="end"/>
      </w:r>
      <w:r>
        <w:t>A consonant sound is a relatively brief speech-sound that precedes or follows a vowel sound in a syllable; its presence either preceding or following does not add to the count of syllables, nor is a consonant required in either position for any syllable. Lojban has sev</w:t>
      </w:r>
      <w:r>
        <w:softHyphen/>
        <w:t>enteen consonants: for the purposes of this section, the apostrophe is not counted as a consonant.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"consonants, voicing of"&gt;</w:t>
      </w:r>
      <w:r>
        <w:rPr>
          <w:rStyle w:val="indexentry"/>
        </w:rPr>
        <w:fldChar w:fldCharType="begin"/>
      </w:r>
      <w:r>
        <w:instrText>xe "</w:instrText>
      </w:r>
      <w:r>
        <w:rPr>
          <w:rStyle w:val="xeentry"/>
        </w:rPr>
        <w:instrText>consonants: voicing of</w:instrText>
      </w:r>
      <w:r>
        <w:instrText>"</w:instrText>
      </w:r>
      <w:r>
        <w:rPr>
          <w:rStyle w:val="indexentry"/>
        </w:rPr>
        <w:fldChar w:fldCharType="end"/>
      </w:r>
      <w:r>
        <w:t>An important distinction dividing Lojban consonants is that of voicing. The fo</w:t>
      </w:r>
      <w:r>
        <w:t>l</w:t>
      </w:r>
      <w:r>
        <w:t>low</w:t>
      </w:r>
      <w:r>
        <w:softHyphen/>
        <w:t>ing table shows the unvoiced consonants and the corresponding voiced ones:</w:t>
      </w:r>
    </w:p>
    <w:p w:rsidR="00B72047" w:rsidRDefault="00B72047">
      <w:pPr>
        <w:pStyle w:val="examplegtabspre"/>
        <w:rPr>
          <w:rStyle w:val="htmlparacode"/>
        </w:rPr>
      </w:pPr>
      <w:r>
        <w:rPr>
          <w:rStyle w:val="htmlparacode"/>
          <w:vanish w:val="0"/>
        </w:rPr>
        <w:tab/>
        <w:t xml:space="preserve">  </w:t>
      </w:r>
      <w:r>
        <w:rPr>
          <w:rStyle w:val="htmlparacode"/>
        </w:rPr>
        <w:t>&lt;p&gt;</w:t>
      </w:r>
    </w:p>
    <w:p w:rsidR="00B72047" w:rsidRDefault="00B72047">
      <w:pPr>
        <w:pStyle w:val="examplegtabspre"/>
      </w:pPr>
      <w:r>
        <w:rPr>
          <w:rStyle w:val="indexentry"/>
        </w:rPr>
        <w:t>&lt;cx "consonants, voiced/unvoiced equivalents"&gt;</w:t>
      </w:r>
      <w:r>
        <w:rPr>
          <w:rStyle w:val="indexentry"/>
        </w:rPr>
        <w:fldChar w:fldCharType="begin"/>
      </w:r>
      <w:r>
        <w:instrText>xe "</w:instrText>
      </w:r>
      <w:r>
        <w:rPr>
          <w:rStyle w:val="xeentry"/>
        </w:rPr>
        <w:instrText>consonants: voiced/unvoiced equivalents</w:instrText>
      </w:r>
      <w:r>
        <w:instrText>"</w:instrText>
      </w:r>
      <w:r>
        <w:rPr>
          <w:rStyle w:val="indexentry"/>
        </w:rPr>
        <w:fldChar w:fldCharType="end"/>
      </w:r>
      <w:r>
        <w:rPr>
          <w:rStyle w:val="htmlcodes"/>
        </w:rPr>
        <w:t>&lt;pre&gt;</w:t>
      </w:r>
      <w:r>
        <w:t>UNVOICED</w:t>
      </w:r>
      <w:r>
        <w:tab/>
      </w:r>
      <w:r>
        <w:tab/>
        <w:t xml:space="preserve">    VOICED</w:t>
      </w:r>
    </w:p>
    <w:p w:rsidR="00B72047" w:rsidRDefault="00B72047">
      <w:pPr>
        <w:pStyle w:val="examplegrouptabs"/>
        <w:rPr>
          <w:rStyle w:val="htmlparacode"/>
        </w:rPr>
      </w:pPr>
    </w:p>
    <w:p w:rsidR="00B72047" w:rsidRDefault="00B72047">
      <w:pPr>
        <w:pStyle w:val="examplegrouptabs"/>
      </w:pPr>
      <w:r>
        <w:tab/>
      </w:r>
      <w:r>
        <w:tab/>
        <w:t>p</w:t>
      </w:r>
      <w:r>
        <w:tab/>
      </w:r>
      <w:r>
        <w:tab/>
      </w:r>
      <w:r>
        <w:tab/>
        <w:t>b</w:t>
      </w:r>
    </w:p>
    <w:p w:rsidR="00B72047" w:rsidRDefault="00B72047">
      <w:pPr>
        <w:pStyle w:val="examplegrouptabs"/>
      </w:pPr>
      <w:r>
        <w:tab/>
      </w:r>
      <w:r>
        <w:tab/>
        <w:t>t</w:t>
      </w:r>
      <w:r>
        <w:tab/>
      </w:r>
      <w:r>
        <w:tab/>
      </w:r>
      <w:r>
        <w:tab/>
        <w:t>d</w:t>
      </w:r>
    </w:p>
    <w:p w:rsidR="00B72047" w:rsidRDefault="00B72047">
      <w:pPr>
        <w:pStyle w:val="examplegrouptabs"/>
      </w:pPr>
      <w:r>
        <w:tab/>
      </w:r>
      <w:r>
        <w:tab/>
        <w:t>k</w:t>
      </w:r>
      <w:r>
        <w:tab/>
      </w:r>
      <w:r>
        <w:tab/>
      </w:r>
      <w:r>
        <w:tab/>
        <w:t>g</w:t>
      </w:r>
    </w:p>
    <w:p w:rsidR="00B72047" w:rsidRDefault="00B72047">
      <w:pPr>
        <w:pStyle w:val="examplegrouptabs"/>
      </w:pPr>
      <w:r>
        <w:tab/>
      </w:r>
      <w:r>
        <w:tab/>
        <w:t>f</w:t>
      </w:r>
      <w:r>
        <w:tab/>
      </w:r>
      <w:r>
        <w:tab/>
      </w:r>
      <w:r>
        <w:tab/>
        <w:t>v</w:t>
      </w:r>
    </w:p>
    <w:p w:rsidR="00B72047" w:rsidRDefault="00B72047">
      <w:pPr>
        <w:pStyle w:val="examplegrouptabs"/>
      </w:pPr>
      <w:r>
        <w:tab/>
      </w:r>
      <w:r>
        <w:tab/>
        <w:t>c</w:t>
      </w:r>
      <w:r>
        <w:tab/>
      </w:r>
      <w:r>
        <w:tab/>
      </w:r>
      <w:r>
        <w:tab/>
        <w:t>j</w:t>
      </w:r>
    </w:p>
    <w:p w:rsidR="00B72047" w:rsidRDefault="00B72047">
      <w:pPr>
        <w:pStyle w:val="examplegrouptabs"/>
      </w:pPr>
      <w:r>
        <w:tab/>
      </w:r>
      <w:r>
        <w:tab/>
        <w:t>s</w:t>
      </w:r>
      <w:r>
        <w:tab/>
      </w:r>
      <w:r>
        <w:tab/>
      </w:r>
      <w:r>
        <w:tab/>
        <w:t>z</w:t>
      </w:r>
    </w:p>
    <w:p w:rsidR="00B72047" w:rsidRDefault="00B72047">
      <w:pPr>
        <w:pStyle w:val="examplegrouptabs"/>
      </w:pPr>
      <w:r>
        <w:tab/>
      </w:r>
      <w:r>
        <w:tab/>
        <w:t>x</w:t>
      </w:r>
      <w:r>
        <w:tab/>
      </w:r>
      <w:r>
        <w:tab/>
      </w:r>
      <w:r>
        <w:tab/>
        <w:t>-</w:t>
      </w:r>
    </w:p>
    <w:p w:rsidR="00B72047" w:rsidRDefault="00B72047">
      <w:pPr>
        <w:pStyle w:val="resumedafterexample"/>
      </w:pPr>
      <w:r>
        <w:rPr>
          <w:rStyle w:val="htmlcodes"/>
        </w:rPr>
        <w:t>&lt;/pre&gt;&lt;p&gt;</w:t>
      </w:r>
      <w:r>
        <w:t>The consonant “x” has no voiced counterpart in Lojban. The remain</w:t>
      </w:r>
      <w:r>
        <w:softHyphen/>
        <w:t>ing consonants, “l”, “m”, “n”, and “r”, are typically pronounced with voice, but can be pronounced un</w:t>
      </w:r>
      <w:r>
        <w:softHyphen/>
        <w:t>voiced.</w:t>
      </w:r>
    </w:p>
    <w:p w:rsidR="00B72047" w:rsidRDefault="00B72047">
      <w:pPr>
        <w:rPr>
          <w:rStyle w:val="htmlparacode"/>
        </w:rPr>
      </w:pPr>
      <w:r>
        <w:rPr>
          <w:rStyle w:val="htmlparacode"/>
        </w:rPr>
        <w:t>&lt;p&gt;</w:t>
      </w:r>
    </w:p>
    <w:p w:rsidR="00B72047" w:rsidRDefault="00B72047">
      <w:pPr>
        <w:pStyle w:val="normalparagraph"/>
      </w:pPr>
      <w:r>
        <w:rPr>
          <w:rStyle w:val="indexentry"/>
        </w:rPr>
        <w:t>&lt;cx "consonant clusters, definition of"&gt;</w:t>
      </w:r>
      <w:r>
        <w:rPr>
          <w:rStyle w:val="indexentry"/>
        </w:rPr>
        <w:fldChar w:fldCharType="begin"/>
      </w:r>
      <w:r>
        <w:instrText>xe "</w:instrText>
      </w:r>
      <w:r>
        <w:rPr>
          <w:rStyle w:val="xeentry"/>
        </w:rPr>
        <w:instrText>consonant clusters: definition of</w:instrText>
      </w:r>
      <w:r>
        <w:instrText>"</w:instrText>
      </w:r>
      <w:r>
        <w:rPr>
          <w:rStyle w:val="indexentry"/>
        </w:rPr>
        <w:fldChar w:fldCharType="end"/>
      </w:r>
      <w:r>
        <w:rPr>
          <w:rStyle w:val="indexentry"/>
        </w:rPr>
        <w:t>&lt;cx "single consonants, contrasted with doubled consonants"&gt;</w:t>
      </w:r>
      <w:r>
        <w:rPr>
          <w:rStyle w:val="indexentry"/>
        </w:rPr>
        <w:fldChar w:fldCharType="begin"/>
      </w:r>
      <w:r>
        <w:instrText>xe "</w:instrText>
      </w:r>
      <w:r>
        <w:rPr>
          <w:rStyle w:val="xeentry"/>
        </w:rPr>
        <w:instrText>single consonants: contrasted with doubled consonants</w:instrText>
      </w:r>
      <w:r>
        <w:instrText>"</w:instrText>
      </w:r>
      <w:r>
        <w:rPr>
          <w:rStyle w:val="indexentry"/>
        </w:rPr>
        <w:fldChar w:fldCharType="end"/>
      </w:r>
      <w:r>
        <w:rPr>
          <w:rStyle w:val="indexentry"/>
        </w:rPr>
        <w:t>&lt;cx "single consonants, contrasted with consonant clusters"&gt;</w:t>
      </w:r>
      <w:r>
        <w:rPr>
          <w:rStyle w:val="indexentry"/>
        </w:rPr>
        <w:fldChar w:fldCharType="begin"/>
      </w:r>
      <w:r>
        <w:instrText>xe "</w:instrText>
      </w:r>
      <w:r>
        <w:rPr>
          <w:rStyle w:val="xeentry"/>
        </w:rPr>
        <w:instrText>single consonants: contrasted with consonant clusters</w:instrText>
      </w:r>
      <w:r>
        <w:instrText>"</w:instrText>
      </w:r>
      <w:r>
        <w:rPr>
          <w:rStyle w:val="indexentry"/>
        </w:rPr>
        <w:fldChar w:fldCharType="end"/>
      </w:r>
      <w:r>
        <w:rPr>
          <w:rStyle w:val="indexentry"/>
        </w:rPr>
        <w:t>&lt;cx "doubled consonants, contrasted with single consonants"&gt;</w:t>
      </w:r>
      <w:r>
        <w:rPr>
          <w:rStyle w:val="indexentry"/>
        </w:rPr>
        <w:fldChar w:fldCharType="begin"/>
      </w:r>
      <w:r>
        <w:instrText>xe "</w:instrText>
      </w:r>
      <w:r>
        <w:rPr>
          <w:rStyle w:val="xeentry"/>
        </w:rPr>
        <w:instrText>doubled consonants: contrasted with single consonants</w:instrText>
      </w:r>
      <w:r>
        <w:instrText>"</w:instrText>
      </w:r>
      <w:r>
        <w:rPr>
          <w:rStyle w:val="indexentry"/>
        </w:rPr>
        <w:fldChar w:fldCharType="end"/>
      </w:r>
      <w:r>
        <w:rPr>
          <w:rStyle w:val="indexentry"/>
        </w:rPr>
        <w:t>&lt;cx "doubled consonants, contrasted with consonant clusters"&gt;</w:t>
      </w:r>
      <w:r>
        <w:rPr>
          <w:rStyle w:val="indexentry"/>
        </w:rPr>
        <w:fldChar w:fldCharType="begin"/>
      </w:r>
      <w:r>
        <w:instrText>xe "</w:instrText>
      </w:r>
      <w:r>
        <w:rPr>
          <w:rStyle w:val="xeentry"/>
        </w:rPr>
        <w:instrText>doubled consonants: contrasted with consonant clusters</w:instrText>
      </w:r>
      <w:r>
        <w:instrText>"</w:instrText>
      </w:r>
      <w:r>
        <w:rPr>
          <w:rStyle w:val="indexentry"/>
        </w:rPr>
        <w:fldChar w:fldCharType="end"/>
      </w:r>
      <w:r>
        <w:rPr>
          <w:rStyle w:val="indexentry"/>
        </w:rPr>
        <w:t>&lt;cx "consonant clusters, contrasted with doubled consonants"&gt;</w:t>
      </w:r>
      <w:r>
        <w:rPr>
          <w:rStyle w:val="indexentry"/>
        </w:rPr>
        <w:fldChar w:fldCharType="begin"/>
      </w:r>
      <w:r>
        <w:instrText>xe "</w:instrText>
      </w:r>
      <w:r>
        <w:rPr>
          <w:rStyle w:val="xeentry"/>
        </w:rPr>
        <w:instrText>consonant clusters: contrasted with doubled consonants</w:instrText>
      </w:r>
      <w:r>
        <w:instrText>"</w:instrText>
      </w:r>
      <w:r>
        <w:rPr>
          <w:rStyle w:val="indexentry"/>
        </w:rPr>
        <w:fldChar w:fldCharType="end"/>
      </w:r>
      <w:r>
        <w:rPr>
          <w:rStyle w:val="indexentry"/>
        </w:rPr>
        <w:t>&lt;cx "consonant clusters, contrasted with single consonants"&gt;</w:t>
      </w:r>
      <w:r>
        <w:rPr>
          <w:rStyle w:val="indexentry"/>
        </w:rPr>
        <w:fldChar w:fldCharType="begin"/>
      </w:r>
      <w:r>
        <w:instrText>xe "</w:instrText>
      </w:r>
      <w:r>
        <w:rPr>
          <w:rStyle w:val="xeentry"/>
        </w:rPr>
        <w:instrText>consonant clusters: contrasted with single consonants</w:instrText>
      </w:r>
      <w:r>
        <w:instrText>"</w:instrText>
      </w:r>
      <w:r>
        <w:rPr>
          <w:rStyle w:val="indexentry"/>
        </w:rPr>
        <w:fldChar w:fldCharType="end"/>
      </w:r>
      <w:r>
        <w:t xml:space="preserve">Consonant sounds occur in languages as single consonants, or as doubled, or as clustered combinations. Single consonant sounds are isolated by word boundaries or by intervening vowel sounds from other consonant sounds. Doubled consonant sounds are either lengthened like </w:t>
      </w:r>
      <w:r>
        <w:rPr>
          <w:rStyle w:val="htmlcodes"/>
        </w:rPr>
        <w:t>&lt;font face="SILDoulosIPA"&gt;</w:t>
      </w:r>
      <w:r>
        <w:t>[</w:t>
      </w:r>
      <w:r>
        <w:rPr>
          <w:rStyle w:val="IPA"/>
        </w:rPr>
        <w:t></w:t>
      </w:r>
      <w:r>
        <w:t xml:space="preserve">] </w:t>
      </w:r>
      <w:r>
        <w:rPr>
          <w:rStyle w:val="htmlcodes"/>
        </w:rPr>
        <w:t>&lt;/font&gt;</w:t>
      </w:r>
      <w:r>
        <w:t xml:space="preserve">in English “hiss”, or repeated like </w:t>
      </w:r>
      <w:r>
        <w:rPr>
          <w:rStyle w:val="htmlcodes"/>
        </w:rPr>
        <w:t>&lt;font face="SILDoulosIPA"&gt;</w:t>
      </w:r>
      <w:r>
        <w:t>[</w:t>
      </w:r>
      <w:r>
        <w:rPr>
          <w:rStyle w:val="IPA"/>
        </w:rPr>
        <w:t></w:t>
      </w:r>
      <w:r>
        <w:t xml:space="preserve">] </w:t>
      </w:r>
      <w:r>
        <w:rPr>
          <w:rStyle w:val="htmlcodes"/>
        </w:rPr>
        <w:t>&lt;/font&gt;</w:t>
      </w:r>
      <w:r>
        <w:t>in Eng</w:t>
      </w:r>
      <w:r>
        <w:softHyphen/>
        <w:t>lish “backcourt”. Consonant clusters consist of two or more single or doubled consonant sounds in a group, each of which is different from its immediate neighbor. In Lojban, doubled con</w:t>
      </w:r>
      <w:r>
        <w:softHyphen/>
        <w:t>sonants are excluded altogether, and clusters are limited to two or three members, ex</w:t>
      </w:r>
      <w:r>
        <w:softHyphen/>
        <w:t>cept in Loj</w:t>
      </w:r>
      <w:r>
        <w:softHyphen/>
        <w:t>banized names.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"consonants, position of"&gt;</w:t>
      </w:r>
      <w:r>
        <w:rPr>
          <w:rStyle w:val="indexentry"/>
        </w:rPr>
        <w:fldChar w:fldCharType="begin"/>
      </w:r>
      <w:r>
        <w:instrText>xe "</w:instrText>
      </w:r>
      <w:r>
        <w:rPr>
          <w:rStyle w:val="xeentry"/>
        </w:rPr>
        <w:instrText>consonants: position of</w:instrText>
      </w:r>
      <w:r>
        <w:instrText>"</w:instrText>
      </w:r>
      <w:r>
        <w:rPr>
          <w:rStyle w:val="indexentry"/>
        </w:rPr>
        <w:fldChar w:fldCharType="end"/>
      </w:r>
      <w:r>
        <w:t>Consonants can occur in three positions in words: initial (at the beginning), medial (in the middle), and final (at the end). In many languages, the sound of a conso</w:t>
      </w:r>
      <w:r>
        <w:softHyphen/>
        <w:t>nant varies depending upon its posi</w:t>
      </w:r>
      <w:r>
        <w:softHyphen/>
        <w:t>tion in the word. In Lojban, as much as possible, the sound of a con</w:t>
      </w:r>
      <w:r>
        <w:softHyphen/>
        <w:t>sonant is unrelated to its position. In particular, the common Ameri</w:t>
      </w:r>
      <w:r>
        <w:softHyphen/>
        <w:t xml:space="preserve">can English trait of changing a “t” between vowels into a “d” or even a flap (IPA </w:t>
      </w:r>
      <w:r>
        <w:rPr>
          <w:rStyle w:val="htmlcodes"/>
        </w:rPr>
        <w:t>&lt;font face="SILDoulosIPA"&gt;</w:t>
      </w:r>
      <w:r>
        <w:t>[</w:t>
      </w:r>
      <w:r>
        <w:rPr>
          <w:rStyle w:val="IPA"/>
        </w:rPr>
        <w:t></w:t>
      </w:r>
      <w:r>
        <w:t>]</w:t>
      </w:r>
      <w:r>
        <w:rPr>
          <w:rStyle w:val="htmlcodes"/>
        </w:rPr>
        <w:t>&lt;/font&gt;</w:t>
      </w:r>
      <w:r>
        <w:t>) is un</w:t>
      </w:r>
      <w:r>
        <w:softHyphen/>
        <w:t>acceptable in Loj</w:t>
      </w:r>
      <w:r>
        <w:softHyphen/>
        <w:t>ban.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"consonants, restrictions on"&gt;</w:t>
      </w:r>
      <w:r>
        <w:rPr>
          <w:rStyle w:val="indexentry"/>
        </w:rPr>
        <w:fldChar w:fldCharType="begin"/>
      </w:r>
      <w:r>
        <w:instrText>xe "</w:instrText>
      </w:r>
      <w:r>
        <w:rPr>
          <w:rStyle w:val="xeentry"/>
        </w:rPr>
        <w:instrText>consonants: restrictions on</w:instrText>
      </w:r>
      <w:r>
        <w:instrText>"</w:instrText>
      </w:r>
      <w:r>
        <w:rPr>
          <w:rStyle w:val="indexentry"/>
        </w:rPr>
        <w:fldChar w:fldCharType="end"/>
      </w:r>
      <w:r>
        <w:rPr>
          <w:rStyle w:val="indexentry"/>
        </w:rPr>
        <w:t>&lt;cx "consonants, final"&gt;</w:t>
      </w:r>
      <w:r>
        <w:rPr>
          <w:rStyle w:val="indexentry"/>
        </w:rPr>
        <w:fldChar w:fldCharType="begin"/>
      </w:r>
      <w:r>
        <w:instrText>xe "</w:instrText>
      </w:r>
      <w:r>
        <w:rPr>
          <w:rStyle w:val="xeentry"/>
        </w:rPr>
        <w:instrText>consonants: final</w:instrText>
      </w:r>
      <w:r>
        <w:instrText>"</w:instrText>
      </w:r>
      <w:r>
        <w:rPr>
          <w:rStyle w:val="indexentry"/>
        </w:rPr>
        <w:fldChar w:fldCharType="end"/>
      </w:r>
      <w:r>
        <w:t>Lojban imposes no restrictions on the appearance of single consonants in any valid consonant position; however, no consonant (including syllabic consonants) occurs final in a word except in Loj</w:t>
      </w:r>
      <w:r>
        <w:softHyphen/>
        <w:t>banized names.</w:t>
      </w:r>
    </w:p>
    <w:p w:rsidR="00B72047" w:rsidRDefault="00B72047">
      <w:pPr>
        <w:rPr>
          <w:rStyle w:val="htmlparacode"/>
        </w:rPr>
      </w:pPr>
      <w:r>
        <w:rPr>
          <w:rStyle w:val="htmlparacode"/>
        </w:rPr>
        <w:t>&lt;p&gt;</w:t>
      </w:r>
    </w:p>
    <w:p w:rsidR="00B72047" w:rsidRDefault="00B72047">
      <w:pPr>
        <w:pStyle w:val="normalparagraph"/>
      </w:pPr>
      <w:r>
        <w:rPr>
          <w:rStyle w:val="indexentry"/>
        </w:rPr>
        <w:t>&lt;cx "consonant pairs, restrictions on"&gt;</w:t>
      </w:r>
      <w:r>
        <w:rPr>
          <w:rStyle w:val="indexentry"/>
        </w:rPr>
        <w:fldChar w:fldCharType="begin"/>
      </w:r>
      <w:r>
        <w:instrText>xe "</w:instrText>
      </w:r>
      <w:r>
        <w:rPr>
          <w:rStyle w:val="xeentry"/>
        </w:rPr>
        <w:instrText>consonant pairs: restrictions on</w:instrText>
      </w:r>
      <w:r>
        <w:instrText>"</w:instrText>
      </w:r>
      <w:r>
        <w:rPr>
          <w:rStyle w:val="indexentry"/>
        </w:rPr>
        <w:fldChar w:fldCharType="end"/>
      </w:r>
      <w:r>
        <w:t>Pairs of consonants can also appear freely, with the following restrictions: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It is forbidden for both consonants to be the same, as this would violate the rule against double consonants.</w:t>
      </w:r>
    </w:p>
    <w:p w:rsidR="00B72047" w:rsidRDefault="00B72047" w:rsidP="007E67C1">
      <w:pPr>
        <w:pStyle w:val="Listnobullets"/>
        <w:numPr>
          <w:ilvl w:val="0"/>
          <w:numId w:val="0"/>
        </w:numPr>
        <w:ind w:left="864" w:hanging="504"/>
      </w:pPr>
      <w:r>
        <w:rPr>
          <w:rStyle w:val="htmlcodes"/>
        </w:rPr>
        <w:t>&lt;/dl&gt;</w:t>
      </w:r>
      <w:r>
        <w:rPr>
          <w:rStyle w:val="indexentry"/>
        </w:rPr>
        <w:t>&lt;cx "voiced/unvoiced consonants, restrictions on"&gt;</w:t>
      </w:r>
      <w:r>
        <w:rPr>
          <w:rStyle w:val="indexentry"/>
        </w:rPr>
        <w:fldChar w:fldCharType="begin"/>
      </w:r>
      <w:r>
        <w:instrText>xe "</w:instrText>
      </w:r>
      <w:r>
        <w:rPr>
          <w:rStyle w:val="xeentry"/>
        </w:rPr>
        <w:instrText>voiced/unvoiced consonants: restrictions on</w:instrText>
      </w:r>
      <w:r>
        <w:instrText>"</w:instrText>
      </w:r>
      <w:r>
        <w:rPr>
          <w:rStyle w:val="indexentry"/>
        </w:rPr>
        <w:fldChar w:fldCharType="end"/>
      </w:r>
      <w:r>
        <w:rPr>
          <w:rStyle w:val="htmlcodes"/>
        </w:rPr>
        <w:t>&lt;dl compact&gt;&lt;dt&gt;</w:t>
      </w:r>
      <w:r>
        <w:t>2)</w:t>
      </w:r>
      <w:r>
        <w:tab/>
      </w:r>
      <w:r>
        <w:rPr>
          <w:rStyle w:val="htmlcodes"/>
        </w:rPr>
        <w:t>&lt;dd&gt;</w:t>
      </w:r>
      <w:r>
        <w:t>It is forbidden for one consonant to be voiced and the other unvoiced. The consonants “l”, “m”, “n”, and “r” are exempt from this restriction. As a re</w:t>
      </w:r>
      <w:r>
        <w:softHyphen/>
        <w:t>sult, “bf” is forbid</w:t>
      </w:r>
      <w:r>
        <w:softHyphen/>
        <w:t>den, and so is “sd”, but both “fl” and “vl”, and both “ls” and “lz”, are permitted.</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It is forbidden for both consonants to be drawn from the set “c”, “j”, “s”, “z”.</w:t>
      </w:r>
    </w:p>
    <w:p w:rsidR="00B72047" w:rsidRDefault="00B72047" w:rsidP="007E67C1">
      <w:pPr>
        <w:pStyle w:val="Listnobullets"/>
        <w:numPr>
          <w:ilvl w:val="0"/>
          <w:numId w:val="0"/>
        </w:numPr>
        <w:ind w:left="864" w:hanging="504"/>
      </w:pPr>
      <w:r>
        <w:rPr>
          <w:rStyle w:val="htmlcodes"/>
        </w:rPr>
        <w:t>&lt;p&gt;&lt;dt&gt;</w:t>
      </w:r>
      <w:r>
        <w:t>4)</w:t>
      </w:r>
      <w:r>
        <w:tab/>
      </w:r>
      <w:r>
        <w:rPr>
          <w:rStyle w:val="htmlcodes"/>
        </w:rPr>
        <w:t>&lt;dd&gt;</w:t>
      </w:r>
      <w:r>
        <w:t>The specific pairs “cx”, “kx”, “xc”, “xk”, and “mz” are forbid</w:t>
      </w:r>
      <w:r>
        <w:softHyphen/>
        <w:t>den.</w:t>
      </w:r>
    </w:p>
    <w:p w:rsidR="00B72047" w:rsidRDefault="00B72047">
      <w:pPr>
        <w:pStyle w:val="normalafterexample"/>
      </w:pPr>
      <w:r>
        <w:rPr>
          <w:rStyle w:val="htmlparacode"/>
        </w:rPr>
        <w:t>&lt;/dl&gt;</w:t>
      </w:r>
      <w:r>
        <w:rPr>
          <w:rStyle w:val="indexentry"/>
        </w:rPr>
        <w:t>&lt;ex "James"&gt;</w:t>
      </w:r>
      <w:r>
        <w:rPr>
          <w:rStyle w:val="indexentry"/>
        </w:rPr>
        <w:fldChar w:fldCharType="begin"/>
      </w:r>
      <w:r>
        <w:instrText>xe "</w:instrText>
      </w:r>
      <w:r>
        <w:rPr>
          <w:rStyle w:val="xeentry"/>
        </w:rPr>
        <w:instrText>James: example</w:instrText>
      </w:r>
      <w:r>
        <w:instrText>"</w:instrText>
      </w:r>
      <w:r>
        <w:rPr>
          <w:rStyle w:val="indexentry"/>
        </w:rPr>
        <w:fldChar w:fldCharType="end"/>
      </w:r>
      <w:r>
        <w:rPr>
          <w:rStyle w:val="indexentry"/>
        </w:rPr>
        <w:t>&lt;cx "“y”, use in avoiding forbidden consonant pairs"&gt;</w:t>
      </w:r>
      <w:r>
        <w:rPr>
          <w:rStyle w:val="indexentry"/>
        </w:rPr>
        <w:fldChar w:fldCharType="begin"/>
      </w:r>
      <w:r>
        <w:instrText>xe "</w:instrText>
      </w:r>
      <w:r>
        <w:rPr>
          <w:rStyle w:val="xeentry"/>
        </w:rPr>
        <w:instrText>y: use in avoiding forbidden consonant pairs</w:instrText>
      </w:r>
      <w:r>
        <w:instrText>"</w:instrText>
      </w:r>
      <w:r>
        <w:rPr>
          <w:rStyle w:val="indexentry"/>
        </w:rPr>
        <w:fldChar w:fldCharType="end"/>
      </w:r>
      <w:r>
        <w:t>These rules apply to all kinds of words, even Lojbanized names. If a name would normally contain a forbidden consonant pair, a “y” can be inserted to break up the pair: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djeimyz.</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James</w:t>
      </w:r>
    </w:p>
    <w:p w:rsidR="00B72047" w:rsidRDefault="00B72047">
      <w:pPr>
        <w:pStyle w:val="resumedafterexample"/>
      </w:pPr>
      <w:r>
        <w:rPr>
          <w:rStyle w:val="htmlcodes"/>
        </w:rPr>
        <w:t>&lt;/pre&gt;&lt;p&gt;</w:t>
      </w:r>
      <w:r>
        <w:t xml:space="preserve">The regular English pronunciation of “James”, which is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r>
        <w:t>, would Lojbanize as “djeimz.”, which contains a forbidden consonant pair.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135" w:name="_Toc395691491"/>
      <w:bookmarkStart w:id="136" w:name="_Toc395691685"/>
      <w:bookmarkStart w:id="137" w:name="_Toc398970462"/>
      <w:r>
        <w:rPr>
          <w:rStyle w:val="Heading3Text"/>
        </w:rPr>
        <w:t>Initial consonant pairs</w:t>
      </w:r>
      <w:bookmarkEnd w:id="135"/>
      <w:bookmarkEnd w:id="136"/>
      <w:bookmarkEnd w:id="13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"consonant pairs, initial"&gt;</w:t>
      </w:r>
      <w:r>
        <w:rPr>
          <w:rStyle w:val="indexentry"/>
        </w:rPr>
        <w:fldChar w:fldCharType="begin"/>
      </w:r>
      <w:r>
        <w:instrText>xe "</w:instrText>
      </w:r>
      <w:r>
        <w:rPr>
          <w:rStyle w:val="xeentry"/>
        </w:rPr>
        <w:instrText>consonant pairs: initial</w:instrText>
      </w:r>
      <w:r>
        <w:instrText>"</w:instrText>
      </w:r>
      <w:r>
        <w:rPr>
          <w:rStyle w:val="indexentry"/>
        </w:rPr>
        <w:fldChar w:fldCharType="end"/>
      </w:r>
      <w:r>
        <w:t>The set of consonant pairs that may appear at the beginning of a word (excluding Lojbanized names) is far more restricted than the fairly large group of per</w:t>
      </w:r>
      <w:r>
        <w:softHyphen/>
        <w:t>missible co</w:t>
      </w:r>
      <w:r>
        <w:t>n</w:t>
      </w:r>
      <w:r>
        <w:t>so</w:t>
      </w:r>
      <w:r>
        <w:softHyphen/>
        <w:t xml:space="preserve">nant pairs described in </w:t>
      </w:r>
      <w:r>
        <w:rPr>
          <w:rStyle w:val="htmlcodes"/>
        </w:rPr>
        <w:t>&lt;a href=#s6&gt;</w:t>
      </w:r>
      <w:r>
        <w:t>Section 6</w:t>
      </w:r>
      <w:r>
        <w:rPr>
          <w:rStyle w:val="htmlcodes"/>
        </w:rPr>
        <w:t>&lt;/a&gt;</w:t>
      </w:r>
      <w:r>
        <w:t>. Even so, it is more than English allows, although hope</w:t>
      </w:r>
      <w:r>
        <w:softHyphen/>
        <w:t>fully not more than English-speakers (and others) can learn to pronounce.</w:t>
      </w:r>
    </w:p>
    <w:p w:rsidR="00B72047" w:rsidRDefault="00B72047">
      <w:pPr>
        <w:pStyle w:val="normalparagraph"/>
        <w:spacing w:before="0"/>
        <w:rPr>
          <w:rStyle w:val="htmlparacode"/>
        </w:rPr>
      </w:pPr>
      <w:r>
        <w:rPr>
          <w:rStyle w:val="htmlparacode"/>
          <w:vanish w:val="0"/>
        </w:rPr>
        <w:br w:type="page"/>
      </w:r>
      <w:r>
        <w:rPr>
          <w:rStyle w:val="htmlparacode"/>
        </w:rPr>
        <w:t>&lt;p&gt;</w:t>
      </w:r>
    </w:p>
    <w:p w:rsidR="00B72047" w:rsidRDefault="00B72047">
      <w:pPr>
        <w:pStyle w:val="normalparagraph"/>
      </w:pPr>
      <w:r>
        <w:rPr>
          <w:rStyle w:val="indexentry"/>
        </w:rPr>
        <w:t>&lt;cx "initial consonant pairs, list of"&gt;</w:t>
      </w:r>
      <w:r>
        <w:rPr>
          <w:rStyle w:val="indexentry"/>
        </w:rPr>
        <w:fldChar w:fldCharType="begin"/>
      </w:r>
      <w:r>
        <w:instrText>xe "</w:instrText>
      </w:r>
      <w:r>
        <w:rPr>
          <w:rStyle w:val="xeentry"/>
        </w:rPr>
        <w:instrText>initial consonant pairs: list of</w:instrText>
      </w:r>
      <w:r>
        <w:instrText>"</w:instrText>
      </w:r>
      <w:r>
        <w:rPr>
          <w:rStyle w:val="indexentry"/>
        </w:rPr>
        <w:fldChar w:fldCharType="end"/>
      </w:r>
      <w:r>
        <w:t>There are just 48 such permissible initial consonant pairs, as follows:</w:t>
      </w:r>
    </w:p>
    <w:p w:rsidR="00B72047" w:rsidRDefault="00B72047">
      <w:pPr>
        <w:pStyle w:val="examplescaledpre"/>
        <w:ind w:firstLine="0"/>
        <w:rPr>
          <w:rStyle w:val="htmlparacode"/>
        </w:rPr>
      </w:pPr>
      <w:r>
        <w:rPr>
          <w:rStyle w:val="htmlparacode"/>
        </w:rPr>
        <w:t>&lt;p&gt;</w:t>
      </w:r>
    </w:p>
    <w:p w:rsidR="00B72047" w:rsidRDefault="00B72047">
      <w:pPr>
        <w:pStyle w:val="examplecomptabspre"/>
      </w:pPr>
      <w:r>
        <w:rPr>
          <w:rStyle w:val="htmlcodes"/>
        </w:rPr>
        <w:t>&lt;dl compact&gt;&lt;dt&gt;</w:t>
      </w:r>
      <w:r>
        <w:tab/>
      </w:r>
      <w:r>
        <w:tab/>
      </w:r>
      <w:r>
        <w:tab/>
      </w:r>
      <w:r>
        <w:rPr>
          <w:rStyle w:val="htmlcodes"/>
        </w:rPr>
        <w:t>&lt;dd&gt;</w:t>
      </w:r>
      <w:r>
        <w:t>bl br</w:t>
      </w:r>
    </w:p>
    <w:p w:rsidR="00B72047" w:rsidRDefault="00B72047">
      <w:pPr>
        <w:pStyle w:val="examplecomptabs"/>
      </w:pPr>
      <w:r>
        <w:tab/>
      </w:r>
      <w:r>
        <w:tab/>
      </w:r>
      <w:r>
        <w:tab/>
        <w:t>cf ck cl cm cn cp cr ct</w:t>
      </w:r>
    </w:p>
    <w:p w:rsidR="00B72047" w:rsidRDefault="00B72047">
      <w:pPr>
        <w:pStyle w:val="examplecomptabs"/>
      </w:pPr>
      <w:r>
        <w:tab/>
      </w:r>
      <w:r>
        <w:tab/>
      </w:r>
      <w:r>
        <w:tab/>
        <w:t>dj dr dz</w:t>
      </w:r>
    </w:p>
    <w:p w:rsidR="00B72047" w:rsidRDefault="00B72047">
      <w:pPr>
        <w:pStyle w:val="examplecomptabs"/>
      </w:pPr>
      <w:r>
        <w:tab/>
      </w:r>
      <w:r>
        <w:tab/>
      </w:r>
      <w:r>
        <w:tab/>
        <w:t>fl fr</w:t>
      </w:r>
    </w:p>
    <w:p w:rsidR="00B72047" w:rsidRDefault="00B72047">
      <w:pPr>
        <w:pStyle w:val="examplecomptabs"/>
      </w:pPr>
      <w:r>
        <w:tab/>
      </w:r>
      <w:r>
        <w:tab/>
      </w:r>
      <w:r>
        <w:tab/>
        <w:t>gl gr</w:t>
      </w:r>
    </w:p>
    <w:p w:rsidR="00B72047" w:rsidRDefault="00B72047">
      <w:pPr>
        <w:pStyle w:val="examplecomptabs"/>
      </w:pPr>
      <w:r>
        <w:tab/>
      </w:r>
      <w:r>
        <w:tab/>
      </w:r>
      <w:r>
        <w:tab/>
        <w:t>jb jd jg jm jv</w:t>
      </w:r>
    </w:p>
    <w:p w:rsidR="00B72047" w:rsidRDefault="00B72047">
      <w:pPr>
        <w:pStyle w:val="examplecomptabs"/>
      </w:pPr>
      <w:r>
        <w:tab/>
      </w:r>
      <w:r>
        <w:tab/>
      </w:r>
      <w:r>
        <w:tab/>
        <w:t>kl kr</w:t>
      </w:r>
    </w:p>
    <w:p w:rsidR="00B72047" w:rsidRDefault="00B72047">
      <w:pPr>
        <w:pStyle w:val="examplecomptabs"/>
      </w:pPr>
      <w:r>
        <w:tab/>
      </w:r>
      <w:r>
        <w:tab/>
      </w:r>
      <w:r>
        <w:tab/>
        <w:t>ml mr</w:t>
      </w:r>
    </w:p>
    <w:p w:rsidR="00B72047" w:rsidRDefault="00B72047">
      <w:pPr>
        <w:pStyle w:val="examplecomptabs"/>
      </w:pPr>
      <w:r>
        <w:tab/>
      </w:r>
      <w:r>
        <w:tab/>
      </w:r>
      <w:r>
        <w:tab/>
        <w:t>pl pr</w:t>
      </w:r>
    </w:p>
    <w:p w:rsidR="00B72047" w:rsidRDefault="00B72047">
      <w:pPr>
        <w:pStyle w:val="examplecomptabs"/>
      </w:pPr>
      <w:r>
        <w:tab/>
      </w:r>
      <w:r>
        <w:tab/>
      </w:r>
      <w:r>
        <w:tab/>
        <w:t>sf sk sl sm sn sp sr st</w:t>
      </w:r>
    </w:p>
    <w:p w:rsidR="00B72047" w:rsidRDefault="00B72047">
      <w:pPr>
        <w:pStyle w:val="examplecomptabs"/>
      </w:pPr>
      <w:r>
        <w:tab/>
      </w:r>
      <w:r>
        <w:tab/>
      </w:r>
      <w:r>
        <w:tab/>
        <w:t>tc tr ts</w:t>
      </w:r>
    </w:p>
    <w:p w:rsidR="00B72047" w:rsidRDefault="00B72047">
      <w:pPr>
        <w:pStyle w:val="examplecomptabs"/>
      </w:pPr>
      <w:r>
        <w:tab/>
      </w:r>
      <w:r>
        <w:tab/>
      </w:r>
      <w:r>
        <w:tab/>
        <w:t>vl vr</w:t>
      </w:r>
    </w:p>
    <w:p w:rsidR="00B72047" w:rsidRDefault="00B72047">
      <w:pPr>
        <w:pStyle w:val="examplecomptabs"/>
      </w:pPr>
      <w:r>
        <w:tab/>
      </w:r>
      <w:r>
        <w:tab/>
      </w:r>
      <w:r>
        <w:tab/>
        <w:t>xl xr</w:t>
      </w:r>
    </w:p>
    <w:p w:rsidR="00B72047" w:rsidRDefault="00B72047">
      <w:pPr>
        <w:pStyle w:val="examplecomptabs"/>
      </w:pPr>
      <w:r>
        <w:tab/>
      </w:r>
      <w:r>
        <w:tab/>
      </w:r>
      <w:r>
        <w:tab/>
        <w:t>zb zd zg zm zv</w:t>
      </w:r>
    </w:p>
    <w:p w:rsidR="00B72047" w:rsidRDefault="00B72047">
      <w:pPr>
        <w:pStyle w:val="normalafterexample"/>
      </w:pPr>
      <w:r>
        <w:rPr>
          <w:rStyle w:val="htmlcodes"/>
        </w:rPr>
        <w:t>&lt;/dl&gt;&lt;p&gt;</w:t>
      </w:r>
      <w:r>
        <w:t>Lest this list seem almost random, a pairing of voiced and unvoiced equivalent vow</w:t>
      </w:r>
      <w:r>
        <w:softHyphen/>
        <w:t>els will show significant patterns which may help in learning:</w:t>
      </w:r>
    </w:p>
    <w:p w:rsidR="00B72047" w:rsidRDefault="00B72047">
      <w:pPr>
        <w:pStyle w:val="exampwidetabs"/>
        <w:rPr>
          <w:rStyle w:val="htmlparacode"/>
        </w:rPr>
      </w:pPr>
      <w:r>
        <w:rPr>
          <w:rStyle w:val="htmlparacode"/>
        </w:rPr>
        <w:t>&lt;p&gt;</w:t>
      </w:r>
    </w:p>
    <w:p w:rsidR="00B72047" w:rsidRDefault="00B72047">
      <w:pPr>
        <w:pStyle w:val="examplecomptabspre"/>
      </w:pPr>
      <w:r>
        <w:rPr>
          <w:rStyle w:val="htmlcodes"/>
        </w:rPr>
        <w:t>&lt;pre&gt;</w:t>
      </w:r>
      <w:r>
        <w:tab/>
      </w:r>
      <w:r>
        <w:tab/>
      </w:r>
      <w:r>
        <w:tab/>
        <w:t>pl pr</w:t>
      </w:r>
      <w:r>
        <w:tab/>
      </w:r>
      <w:r>
        <w:tab/>
      </w:r>
      <w:r>
        <w:tab/>
        <w:t>fl fr</w:t>
      </w:r>
    </w:p>
    <w:p w:rsidR="00B72047" w:rsidRDefault="00B72047">
      <w:pPr>
        <w:pStyle w:val="examplecomptabs"/>
      </w:pPr>
      <w:r>
        <w:tab/>
      </w:r>
      <w:r>
        <w:tab/>
      </w:r>
      <w:r>
        <w:tab/>
        <w:t>bl br</w:t>
      </w:r>
      <w:r>
        <w:tab/>
      </w:r>
      <w:r>
        <w:tab/>
      </w:r>
      <w:r>
        <w:tab/>
        <w:t>vl vr</w:t>
      </w:r>
    </w:p>
    <w:p w:rsidR="00B72047" w:rsidRDefault="00B72047">
      <w:pPr>
        <w:pStyle w:val="examplecomptabspre"/>
      </w:pPr>
      <w:r>
        <w:tab/>
      </w:r>
      <w:r>
        <w:tab/>
      </w:r>
      <w:r>
        <w:tab/>
        <w:t>cp cf</w:t>
      </w:r>
      <w:r>
        <w:tab/>
        <w:t>ct ck cm cn</w:t>
      </w:r>
      <w:r>
        <w:tab/>
        <w:t>cl cr</w:t>
      </w:r>
    </w:p>
    <w:p w:rsidR="00B72047" w:rsidRDefault="00B72047">
      <w:pPr>
        <w:pStyle w:val="examplecomptabs"/>
      </w:pPr>
      <w:r>
        <w:tab/>
      </w:r>
      <w:r>
        <w:tab/>
      </w:r>
      <w:r>
        <w:tab/>
        <w:t>jb jv</w:t>
      </w:r>
      <w:r>
        <w:tab/>
        <w:t>jd jg jm</w:t>
      </w:r>
    </w:p>
    <w:p w:rsidR="00B72047" w:rsidRDefault="00B72047">
      <w:pPr>
        <w:pStyle w:val="examplecomptabs"/>
      </w:pPr>
      <w:r>
        <w:tab/>
      </w:r>
      <w:r>
        <w:tab/>
      </w:r>
      <w:r>
        <w:tab/>
        <w:t>sp sf</w:t>
      </w:r>
      <w:r>
        <w:tab/>
        <w:t>st sk sm sn</w:t>
      </w:r>
      <w:r>
        <w:tab/>
        <w:t>sl sr</w:t>
      </w:r>
    </w:p>
    <w:p w:rsidR="00B72047" w:rsidRDefault="00B72047">
      <w:pPr>
        <w:pStyle w:val="examplecomptabs"/>
      </w:pPr>
      <w:r>
        <w:tab/>
      </w:r>
      <w:r>
        <w:tab/>
      </w:r>
      <w:r>
        <w:tab/>
        <w:t>zb zv</w:t>
      </w:r>
      <w:r>
        <w:tab/>
        <w:t>zd zg zm</w:t>
      </w:r>
    </w:p>
    <w:p w:rsidR="00B72047" w:rsidRDefault="00B72047">
      <w:pPr>
        <w:pStyle w:val="examplecomptabspre"/>
      </w:pPr>
      <w:r>
        <w:tab/>
      </w:r>
      <w:r>
        <w:tab/>
      </w:r>
      <w:r>
        <w:tab/>
        <w:t>tc tr</w:t>
      </w:r>
      <w:r>
        <w:tab/>
        <w:t>ts</w:t>
      </w:r>
      <w:r>
        <w:tab/>
      </w:r>
      <w:r>
        <w:tab/>
        <w:t>kl kr</w:t>
      </w:r>
    </w:p>
    <w:p w:rsidR="00B72047" w:rsidRDefault="00B72047">
      <w:pPr>
        <w:pStyle w:val="examplecomptabs"/>
      </w:pPr>
      <w:r>
        <w:tab/>
      </w:r>
      <w:r>
        <w:tab/>
      </w:r>
      <w:r>
        <w:tab/>
        <w:t>dj dr</w:t>
      </w:r>
      <w:r>
        <w:tab/>
        <w:t>dz</w:t>
      </w:r>
      <w:r>
        <w:tab/>
      </w:r>
      <w:r>
        <w:tab/>
        <w:t>gl gr</w:t>
      </w:r>
    </w:p>
    <w:p w:rsidR="00B72047" w:rsidRDefault="00B72047">
      <w:pPr>
        <w:pStyle w:val="examplecomptabspre"/>
      </w:pPr>
      <w:r>
        <w:tab/>
      </w:r>
      <w:r>
        <w:tab/>
      </w:r>
      <w:r>
        <w:tab/>
        <w:t>ml mr</w:t>
      </w:r>
      <w:r>
        <w:tab/>
      </w:r>
      <w:r>
        <w:tab/>
      </w:r>
      <w:r>
        <w:tab/>
        <w:t>xl xr</w:t>
      </w:r>
    </w:p>
    <w:p w:rsidR="00B72047" w:rsidRDefault="00B72047">
      <w:pPr>
        <w:pStyle w:val="resumedafterexample"/>
      </w:pPr>
      <w:r>
        <w:rPr>
          <w:rStyle w:val="htmlcodes"/>
        </w:rPr>
        <w:t>&lt;/pre&gt;</w:t>
      </w:r>
      <w:r>
        <w:rPr>
          <w:rStyle w:val="indexentry"/>
        </w:rPr>
        <w:t>&lt;cx "voiced consonants, contrasted with unvoiced in allowable consonant pairs"&gt;</w:t>
      </w:r>
      <w:r>
        <w:rPr>
          <w:rStyle w:val="indexentry"/>
        </w:rPr>
        <w:fldChar w:fldCharType="begin"/>
      </w:r>
      <w:r>
        <w:instrText>xe "</w:instrText>
      </w:r>
      <w:r>
        <w:rPr>
          <w:rStyle w:val="xeentry"/>
        </w:rPr>
        <w:instrText>voiced consonants: contrasted with unvoiced in allowable consonant pairs</w:instrText>
      </w:r>
      <w:r>
        <w:instrText>"</w:instrText>
      </w:r>
      <w:r>
        <w:rPr>
          <w:rStyle w:val="indexentry"/>
        </w:rPr>
        <w:fldChar w:fldCharType="end"/>
      </w:r>
      <w:r>
        <w:rPr>
          <w:rStyle w:val="indexentry"/>
        </w:rPr>
        <w:t>&lt;cx "unvoiced consonants, contrasted with voiced in allowable consonant pairs"&gt;</w:t>
      </w:r>
      <w:r>
        <w:rPr>
          <w:rStyle w:val="indexentry"/>
        </w:rPr>
        <w:fldChar w:fldCharType="begin"/>
      </w:r>
      <w:r>
        <w:instrText>xe "</w:instrText>
      </w:r>
      <w:r>
        <w:rPr>
          <w:rStyle w:val="xeentry"/>
        </w:rPr>
        <w:instrText>unvoiced consonants: contrasted with voiced in allowable consonant pairs</w:instrText>
      </w:r>
      <w:r>
        <w:instrText>"</w:instrText>
      </w:r>
      <w:r>
        <w:rPr>
          <w:rStyle w:val="indexentry"/>
        </w:rPr>
        <w:fldChar w:fldCharType="end"/>
      </w:r>
      <w:r>
        <w:t>Note that if both consonants of an initial pair are voiced, the unvoiced equivalent is also permissible, and the voiced pair can be pronounced simply by voicing the unvoiced pair. (The converse is not true: “cn” is a permissible initial pair, but “jn” is not.)</w:t>
      </w:r>
    </w:p>
    <w:p w:rsidR="00B72047" w:rsidRDefault="00B72047">
      <w:pPr>
        <w:rPr>
          <w:rStyle w:val="htmlparacode"/>
        </w:rPr>
      </w:pPr>
      <w:r>
        <w:rPr>
          <w:rStyle w:val="htmlparacode"/>
        </w:rPr>
        <w:t>&lt;p&gt;</w:t>
      </w:r>
    </w:p>
    <w:p w:rsidR="00B72047" w:rsidRDefault="00B72047">
      <w:pPr>
        <w:pStyle w:val="normalparagraph"/>
      </w:pPr>
      <w:r>
        <w:rPr>
          <w:rStyle w:val="indexentry"/>
        </w:rPr>
        <w:t>&lt;cx "consonant triples"&gt;</w:t>
      </w:r>
      <w:r>
        <w:rPr>
          <w:rStyle w:val="indexentry"/>
        </w:rPr>
        <w:fldChar w:fldCharType="begin"/>
      </w:r>
      <w:r>
        <w:instrText>xe "</w:instrText>
      </w:r>
      <w:r>
        <w:rPr>
          <w:rStyle w:val="xeentry"/>
        </w:rPr>
        <w:instrText>consonant triples</w:instrText>
      </w:r>
      <w:r>
        <w:instrText>"</w:instrText>
      </w:r>
      <w:r>
        <w:rPr>
          <w:rStyle w:val="indexentry"/>
        </w:rPr>
        <w:fldChar w:fldCharType="end"/>
      </w:r>
      <w:r>
        <w:t>Consonant triples can occur medially in Lojban words. They are subject to the fo</w:t>
      </w:r>
      <w:r>
        <w:t>l</w:t>
      </w:r>
      <w:r>
        <w:softHyphen/>
        <w:t>lowing rules: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"consonant triples, restrictions on"&gt;</w:t>
      </w:r>
      <w:r>
        <w:rPr>
          <w:rStyle w:val="indexentry"/>
        </w:rPr>
        <w:fldChar w:fldCharType="begin"/>
      </w:r>
      <w:r>
        <w:instrText>xe "</w:instrText>
      </w:r>
      <w:r>
        <w:rPr>
          <w:rStyle w:val="xeentry"/>
        </w:rPr>
        <w:instrText>consonant triples: restrictions on</w:instrText>
      </w:r>
      <w:r>
        <w:instrText>"</w:instrText>
      </w:r>
      <w:r>
        <w:rPr>
          <w:rStyle w:val="indexentry"/>
        </w:rPr>
        <w:fldChar w:fldCharType="end"/>
      </w:r>
      <w:r>
        <w:rPr>
          <w:rStyle w:val="htmlcodes"/>
        </w:rPr>
        <w:t>&lt;dl compact&gt;&lt;dt&gt;</w:t>
      </w:r>
      <w:r>
        <w:t>1)</w:t>
      </w:r>
      <w:r>
        <w:tab/>
      </w:r>
      <w:r>
        <w:rPr>
          <w:rStyle w:val="htmlcodes"/>
        </w:rPr>
        <w:t>&lt;dd&gt;</w:t>
      </w:r>
      <w:r>
        <w:rPr>
          <w:rStyle w:val="htmlcodes"/>
        </w:rPr>
        <w:tab/>
      </w:r>
      <w:r>
        <w:t>The first two consonants must constitute a permissi</w:t>
      </w:r>
      <w:r>
        <w:softHyphen/>
        <w:t>ble con</w:t>
      </w:r>
      <w:r>
        <w:softHyphen/>
        <w:t>sonant pair;</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The last two consonants must constitute a permissi</w:t>
      </w:r>
      <w:r>
        <w:softHyphen/>
        <w:t>ble initial consonant pair;</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The triples “ndj”, “ndz”, “ntc”, and “nts” are forbidden.</w:t>
      </w:r>
    </w:p>
    <w:p w:rsidR="00B72047" w:rsidRDefault="00B72047">
      <w:pPr>
        <w:pStyle w:val="normalafterexample"/>
      </w:pPr>
      <w:r>
        <w:rPr>
          <w:rStyle w:val="htmlcodes"/>
        </w:rPr>
        <w:t>&lt;/dl&gt;</w:t>
      </w:r>
      <w:r>
        <w:rPr>
          <w:rStyle w:val="indexentry"/>
        </w:rPr>
        <w:t>&lt;cx "consonant clusters, more than three consonants in"&gt;</w:t>
      </w:r>
      <w:r>
        <w:rPr>
          <w:rStyle w:val="indexentry"/>
        </w:rPr>
        <w:fldChar w:fldCharType="begin"/>
      </w:r>
      <w:r>
        <w:instrText>xe "</w:instrText>
      </w:r>
      <w:r>
        <w:rPr>
          <w:rStyle w:val="xeentry"/>
        </w:rPr>
        <w:instrText>consonant clusters: more than three consonants in</w:instrText>
      </w:r>
      <w:r>
        <w:instrText>"</w:instrText>
      </w:r>
      <w:r>
        <w:rPr>
          <w:rStyle w:val="indexentry"/>
        </w:rPr>
        <w:fldChar w:fldCharType="end"/>
      </w:r>
      <w:r>
        <w:t>Lojbanized names can begin or end with any permissible consonant pair, not just the 48 initial consonant pairs listed above, and can have consonant triples in any location, as long as the pairs making up those triples are permissible. In addition, names can con</w:t>
      </w:r>
      <w:r>
        <w:softHyphen/>
        <w:t>tain consonant clusters with more than three consonants, again re</w:t>
      </w:r>
      <w:r>
        <w:softHyphen/>
        <w:t>quiring that each pair within the cluster is valid.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138" w:name="_Toc395691492"/>
      <w:bookmarkStart w:id="139" w:name="_Toc398970463"/>
      <w:r>
        <w:rPr>
          <w:rStyle w:val="Heading3Text"/>
        </w:rPr>
        <w:t>Buffering of consonant clusters</w:t>
      </w:r>
      <w:bookmarkEnd w:id="138"/>
      <w:bookmarkEnd w:id="13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"consonant clusters, buffering of"&gt;</w:t>
      </w:r>
      <w:r>
        <w:rPr>
          <w:rStyle w:val="indexentry"/>
        </w:rPr>
        <w:fldChar w:fldCharType="begin"/>
      </w:r>
      <w:r>
        <w:instrText>xe "</w:instrText>
      </w:r>
      <w:r>
        <w:rPr>
          <w:rStyle w:val="xeentry"/>
        </w:rPr>
        <w:instrText>consonant clusters: buffering of</w:instrText>
      </w:r>
      <w:r>
        <w:instrText>"</w:instrText>
      </w:r>
      <w:r>
        <w:rPr>
          <w:rStyle w:val="indexentry"/>
        </w:rPr>
        <w:fldChar w:fldCharType="end"/>
      </w:r>
      <w:r>
        <w:rPr>
          <w:rStyle w:val="indexentry"/>
        </w:rPr>
        <w:t>&lt;cx "buffer vowel"&gt;</w:t>
      </w:r>
      <w:r>
        <w:rPr>
          <w:rStyle w:val="indexentry"/>
        </w:rPr>
        <w:fldChar w:fldCharType="begin"/>
      </w:r>
      <w:r>
        <w:instrText>xe "</w:instrText>
      </w:r>
      <w:r>
        <w:rPr>
          <w:rStyle w:val="xeentry"/>
        </w:rPr>
        <w:instrText>buffer vowel</w:instrText>
      </w:r>
      <w:r>
        <w:instrText>"</w:instrText>
      </w:r>
      <w:r>
        <w:rPr>
          <w:rStyle w:val="indexentry"/>
        </w:rPr>
        <w:fldChar w:fldCharType="end"/>
      </w:r>
      <w:r>
        <w:rPr>
          <w:rStyle w:val="indexentry"/>
        </w:rPr>
        <w:t>&lt;cx "vowel, buffer"&gt;</w:t>
      </w:r>
      <w:r>
        <w:rPr>
          <w:rStyle w:val="indexentry"/>
        </w:rPr>
        <w:fldChar w:fldCharType="begin"/>
      </w:r>
      <w:r>
        <w:instrText>xe "</w:instrText>
      </w:r>
      <w:r>
        <w:rPr>
          <w:rStyle w:val="xeentry"/>
        </w:rPr>
        <w:instrText>vowel: buffer</w:instrText>
      </w:r>
      <w:r>
        <w:instrText>"</w:instrText>
      </w:r>
      <w:r>
        <w:rPr>
          <w:rStyle w:val="indexentry"/>
        </w:rPr>
        <w:fldChar w:fldCharType="end"/>
      </w:r>
      <w:r>
        <w:t>Many languages do not have consonant clusters at all, and even those lan</w:t>
      </w:r>
      <w:r>
        <w:softHyphen/>
        <w:t>guages that do have them often allow only a subset of the full Lojban set. As a result, the L</w:t>
      </w:r>
      <w:r>
        <w:t>o</w:t>
      </w:r>
      <w:r>
        <w:t>jban de</w:t>
      </w:r>
      <w:r>
        <w:softHyphen/>
        <w:t xml:space="preserve">sign allows the use of a buffer sound between consonant combinations which a speaker finds unpronounceable. This sound may be any non-Lojbanic vowel which is clearly separable by the listener from the Lojban vowels. Some possibilities are IPA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w:t>
      </w:r>
      <w:r>
        <w:rPr>
          <w:rStyle w:val="htmlcodes"/>
        </w:rPr>
        <w:t>&lt;font face="SILDoulosIPA"&gt;</w:t>
      </w:r>
      <w:r>
        <w:t>[</w:t>
      </w:r>
      <w:r>
        <w:rPr>
          <w:rStyle w:val="IPA"/>
        </w:rPr>
        <w:t></w:t>
      </w:r>
      <w:r>
        <w:t>]</w:t>
      </w:r>
      <w:r>
        <w:rPr>
          <w:rStyle w:val="htmlcodes"/>
        </w:rPr>
        <w:t>&lt;/font&gt;</w:t>
      </w:r>
      <w:r>
        <w:t xml:space="preserve">, or even </w:t>
      </w:r>
      <w:r>
        <w:rPr>
          <w:rStyle w:val="htmlcodes"/>
        </w:rPr>
        <w:t>&lt;font face="SILDoulosIPA"&gt;</w:t>
      </w:r>
      <w:r>
        <w:t>[</w:t>
      </w:r>
      <w:r>
        <w:rPr>
          <w:rStyle w:val="IPA"/>
        </w:rPr>
        <w:t></w:t>
      </w:r>
      <w:r>
        <w:t>]</w:t>
      </w:r>
      <w:r>
        <w:rPr>
          <w:rStyle w:val="htmlcodes"/>
        </w:rPr>
        <w:t>&lt;/font&gt;</w:t>
      </w:r>
      <w:r>
        <w:t xml:space="preserve">, but there probably is no universally acceptable buffer sound. When using a consonant buffer, the sound should be made as short as possible. Two examples showing such buffering (we will use </w:t>
      </w:r>
      <w:r>
        <w:rPr>
          <w:rStyle w:val="htmlcodes"/>
        </w:rPr>
        <w:t>&lt;font face="SILDoulosIPA"&gt;</w:t>
      </w:r>
      <w:r>
        <w:t>[</w:t>
      </w:r>
      <w:r>
        <w:rPr>
          <w:rStyle w:val="IPA"/>
        </w:rPr>
        <w:t></w:t>
      </w:r>
      <w:r>
        <w:t xml:space="preserve">] </w:t>
      </w:r>
      <w:r>
        <w:rPr>
          <w:rStyle w:val="htmlcodes"/>
        </w:rPr>
        <w:t>&lt;/font&gt;</w:t>
      </w:r>
      <w:r>
        <w:t>in this chapter)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vrusi</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 xml:space="preserve">or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pre"/>
      </w:pPr>
      <w:r>
        <w:rPr>
          <w:rStyle w:val="htmlparacode"/>
        </w:rPr>
        <w:t>&lt;/</w:t>
      </w:r>
      <w:r>
        <w:rPr>
          <w:rStyle w:val="htmlcodes"/>
        </w:rPr>
        <w:t>pre</w:t>
      </w:r>
      <w:r>
        <w:rPr>
          <w:rStyle w:val="htmlparacode"/>
        </w:rPr>
        <w:t>&gt;</w:t>
      </w:r>
      <w:r>
        <w:rPr>
          <w:rStyle w:val="indexentry"/>
        </w:rPr>
        <w:t>&lt;ex "Amsterdam"&gt;</w:t>
      </w:r>
      <w:r>
        <w:rPr>
          <w:rStyle w:val="indexentry"/>
        </w:rPr>
        <w:fldChar w:fldCharType="begin"/>
      </w:r>
      <w:r>
        <w:instrText>xe "</w:instrText>
      </w:r>
      <w:r>
        <w:rPr>
          <w:rStyle w:val="xeentry"/>
        </w:rPr>
        <w:instrText>Amsterdam: example</w:instrText>
      </w:r>
      <w:r>
        <w:instrText>"</w:instrText>
      </w:r>
      <w:r>
        <w:rPr>
          <w:rStyle w:val="indexentry"/>
        </w:rPr>
        <w:fldChar w:fldCharType="end"/>
      </w:r>
      <w:r>
        <w:rPr>
          <w:rStyle w:val="htmlcodes"/>
        </w:rPr>
        <w:t>&lt;pre&gt;&lt;a name=e8d2&gt;</w:t>
      </w:r>
      <w:r>
        <w:t>8.2)</w:t>
      </w:r>
      <w:r>
        <w:tab/>
        <w:t>.AMsterdam.</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 xml:space="preserve">or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normalafterexample"/>
      </w:pPr>
      <w:r>
        <w:rPr>
          <w:rStyle w:val="htmlcodes"/>
        </w:rPr>
        <w:t>&lt;/pre&gt;</w:t>
      </w:r>
      <w:r>
        <w:rPr>
          <w:rStyle w:val="indexentry"/>
        </w:rPr>
        <w:t>&lt;cx "buffer vowel, and stress"&gt;</w:t>
      </w:r>
      <w:r>
        <w:rPr>
          <w:rStyle w:val="indexentry"/>
        </w:rPr>
        <w:fldChar w:fldCharType="begin"/>
      </w:r>
      <w:r>
        <w:instrText>xe "</w:instrText>
      </w:r>
      <w:r>
        <w:rPr>
          <w:rStyle w:val="xeentry"/>
        </w:rPr>
        <w:instrText>buffer vowel: and stress</w:instrText>
      </w:r>
      <w:r>
        <w:instrText>"</w:instrText>
      </w:r>
      <w:r>
        <w:rPr>
          <w:rStyle w:val="indexentry"/>
        </w:rPr>
        <w:fldChar w:fldCharType="end"/>
      </w:r>
      <w:r>
        <w:rPr>
          <w:rStyle w:val="indexentry"/>
        </w:rPr>
        <w:t>&lt;cx "stress, effect of buffer vowel on"&gt;</w:t>
      </w:r>
      <w:r>
        <w:rPr>
          <w:rStyle w:val="indexentry"/>
        </w:rPr>
        <w:fldChar w:fldCharType="begin"/>
      </w:r>
      <w:r>
        <w:instrText>xe "</w:instrText>
      </w:r>
      <w:r>
        <w:rPr>
          <w:rStyle w:val="xeentry"/>
        </w:rPr>
        <w:instrText>stress: effect of buffer vowel on</w:instrText>
      </w:r>
      <w:r>
        <w:instrText>"</w:instrText>
      </w:r>
      <w:r>
        <w:rPr>
          <w:rStyle w:val="indexentry"/>
        </w:rPr>
        <w:fldChar w:fldCharType="end"/>
      </w:r>
      <w:r>
        <w:t>When a buffer vowel is used, it splits each buffered conso</w:t>
      </w:r>
      <w:r>
        <w:softHyphen/>
        <w:t>nant into its own syllable. However, the buffering syllables are never stressed, and are not counted in determining stress. They are, in ef</w:t>
      </w:r>
      <w:r>
        <w:softHyphen/>
        <w:t>fect, not really syllables to a Lojban listener, and thus their impact is ignored.</w:t>
      </w:r>
    </w:p>
    <w:p w:rsidR="00B72047" w:rsidRDefault="00B72047">
      <w:pPr>
        <w:rPr>
          <w:rStyle w:val="htmlparacode"/>
        </w:rPr>
      </w:pPr>
      <w:r>
        <w:rPr>
          <w:rStyle w:val="htmlparacode"/>
        </w:rPr>
        <w:t>&lt;p&gt;</w:t>
      </w:r>
    </w:p>
    <w:p w:rsidR="00B72047" w:rsidRDefault="00B72047">
      <w:pPr>
        <w:pStyle w:val="normalparagraph"/>
      </w:pPr>
      <w:r>
        <w:t>Here are more examples of unbuffered and buffered pronun</w:t>
      </w:r>
      <w:r>
        <w:softHyphen/>
        <w:t>ciations: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klama</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pre"/>
        <w:rPr>
          <w:rStyle w:val="htmlparacode"/>
        </w:rPr>
      </w:pPr>
    </w:p>
    <w:p w:rsidR="00B72047" w:rsidRDefault="00B72047">
      <w:pPr>
        <w:pStyle w:val="examplescaledpre"/>
      </w:pPr>
      <w:r>
        <w:rPr>
          <w:rStyle w:val="htmlcodes"/>
        </w:rPr>
        <w:t>&lt;a name=e8d4&gt;</w:t>
      </w:r>
      <w:r>
        <w:t>8.4)</w:t>
      </w:r>
      <w:r>
        <w:tab/>
        <w:t>xapcke</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&lt;/pre&gt;&lt;p&gt;</w:t>
      </w:r>
      <w:r>
        <w:t xml:space="preserve">In </w:t>
      </w:r>
      <w:r>
        <w:rPr>
          <w:rStyle w:val="htmlcodes"/>
        </w:rPr>
        <w:t>&lt;a href=#e8d4&gt;</w:t>
      </w:r>
      <w:r>
        <w:t>Example 8.4</w:t>
      </w:r>
      <w:r>
        <w:rPr>
          <w:rStyle w:val="htmlcodes"/>
        </w:rPr>
        <w:t>&lt;/a&gt;</w:t>
      </w:r>
      <w:r>
        <w:t>, we see that buffering vowels can be used in just some, rather than all, of the possible places: the second pronuncia</w:t>
      </w:r>
      <w:r>
        <w:softHyphen/>
        <w:t>tion buffers the “pc” consonant pair but not the “ck”. The third pronun</w:t>
      </w:r>
      <w:r>
        <w:softHyphen/>
        <w:t>ciation buffers both.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ponyni'u</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paracode"/>
        </w:rPr>
        <w:t>&lt;/</w:t>
      </w:r>
      <w:r>
        <w:rPr>
          <w:rStyle w:val="htmlcodes"/>
        </w:rPr>
        <w:t>pre</w:t>
      </w:r>
      <w:r>
        <w:rPr>
          <w:rStyle w:val="htmlparacode"/>
        </w:rPr>
        <w:t>&gt;</w:t>
      </w:r>
      <w:r>
        <w:rPr>
          <w:rStyle w:val="indexentry"/>
        </w:rPr>
        <w:t>&lt;cx "vowel buffer, contrasted with “y”"&gt;</w:t>
      </w:r>
      <w:r>
        <w:rPr>
          <w:rStyle w:val="indexentry"/>
        </w:rPr>
        <w:fldChar w:fldCharType="begin"/>
      </w:r>
      <w:r>
        <w:instrText>xe "</w:instrText>
      </w:r>
      <w:r>
        <w:rPr>
          <w:rStyle w:val="xeentry"/>
        </w:rPr>
        <w:instrText>vowel buffer: contrasted with y sound</w:instrText>
      </w:r>
      <w:r>
        <w:instrText>"</w:instrText>
      </w:r>
      <w:r>
        <w:rPr>
          <w:rStyle w:val="indexentry"/>
        </w:rPr>
        <w:fldChar w:fldCharType="end"/>
      </w:r>
      <w:r>
        <w:rPr>
          <w:rStyle w:val="indexentry"/>
        </w:rPr>
        <w:t>&lt;cx "“y”, contrasted with vowel buffer"&gt;</w:t>
      </w:r>
      <w:r>
        <w:rPr>
          <w:rStyle w:val="indexentry"/>
        </w:rPr>
        <w:fldChar w:fldCharType="begin"/>
      </w:r>
      <w:r>
        <w:instrText>xe "</w:instrText>
      </w:r>
      <w:r>
        <w:rPr>
          <w:rStyle w:val="xeentry"/>
        </w:rPr>
        <w:instrText>y sound: contrasted with vowel buffer</w:instrText>
      </w:r>
      <w:r>
        <w:instrText>"</w:instrText>
      </w:r>
      <w:r>
        <w:rPr>
          <w:rStyle w:val="indexentry"/>
        </w:rPr>
        <w:fldChar w:fldCharType="end"/>
      </w:r>
      <w:r>
        <w:rPr>
          <w:rStyle w:val="indexentry"/>
        </w:rPr>
        <w:t>&lt;ex "bone bread"&gt;</w:t>
      </w:r>
      <w:r>
        <w:rPr>
          <w:rStyle w:val="indexentry"/>
        </w:rPr>
        <w:fldChar w:fldCharType="begin"/>
      </w:r>
      <w:r>
        <w:instrText>xe "</w:instrText>
      </w:r>
      <w:r>
        <w:rPr>
          <w:rStyle w:val="xeentry"/>
        </w:rPr>
        <w:instrText>bone bread: example</w:instrText>
      </w:r>
      <w:r>
        <w:instrText>"</w:instrText>
      </w:r>
      <w:r>
        <w:rPr>
          <w:rStyle w:val="indexentry"/>
        </w:rPr>
        <w:fldChar w:fldCharType="end"/>
      </w:r>
      <w:r>
        <w:rPr>
          <w:rStyle w:val="htmlcodes"/>
        </w:rPr>
        <w:t>&lt;a href=#e8d5&gt;</w:t>
      </w:r>
      <w:r>
        <w:t xml:space="preserve">Example 8.5 cannot contain any buffering vowel. It is important not to confuse the vowel “y”, which is pronounced </w:t>
      </w:r>
      <w:r>
        <w:rPr>
          <w:rStyle w:val="htmlcodes"/>
        </w:rPr>
        <w:t>&lt;font face="SILDoulosIPA"&gt;</w:t>
      </w:r>
      <w:r>
        <w:t>[</w:t>
      </w:r>
      <w:r>
        <w:rPr>
          <w:rStyle w:val="IPA"/>
        </w:rPr>
        <w:t></w:t>
      </w:r>
      <w:r>
        <w:t>]</w:t>
      </w:r>
      <w:r>
        <w:rPr>
          <w:rStyle w:val="htmlcodes"/>
        </w:rPr>
        <w:t>&lt;/font&gt;</w:t>
      </w:r>
      <w:r>
        <w:t>, with the buffer, which has a variety of possible pronuncia</w:t>
      </w:r>
      <w:r>
        <w:softHyphen/>
        <w:t>tions and is never written. Con</w:t>
      </w:r>
      <w:r>
        <w:softHyphen/>
        <w:t>sider the contrast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bongynanba</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 xml:space="preserve">an unlikely Lojban compound word meaning “bone bread” (note the use of </w:t>
      </w:r>
      <w:r>
        <w:rPr>
          <w:rStyle w:val="htmlcodes"/>
        </w:rPr>
        <w:t>&lt;font face="SILDoulosIPA"&gt;</w:t>
      </w:r>
      <w:r>
        <w:t>[</w:t>
      </w:r>
      <w:r>
        <w:rPr>
          <w:rStyle w:val="IPA"/>
        </w:rPr>
        <w:t></w:t>
      </w:r>
      <w:r>
        <w:t xml:space="preserve">] </w:t>
      </w:r>
      <w:r>
        <w:rPr>
          <w:rStyle w:val="htmlcodes"/>
        </w:rPr>
        <w:t>&lt;/font&gt;</w:t>
      </w:r>
      <w:r>
        <w:t>as a rep</w:t>
      </w:r>
      <w:r>
        <w:softHyphen/>
        <w:t>resentative of “n” before “g”) and</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name=e8d7&gt;</w:t>
      </w:r>
      <w:r>
        <w:t>8.7)</w:t>
      </w:r>
      <w:r>
        <w:tab/>
        <w:t>bongnanba</w:t>
      </w:r>
    </w:p>
    <w:p w:rsidR="00B72047" w:rsidRDefault="00B72047">
      <w:pPr>
        <w:pStyle w:val="examplescaled"/>
      </w:pP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 xml:space="preserve">a possible borrowing from another language (Lojban borrowings can only take a limited form). If </w:t>
      </w:r>
      <w:r>
        <w:rPr>
          <w:rStyle w:val="htmlcodes"/>
        </w:rPr>
        <w:t>&lt;a href=#e8d7&gt;</w:t>
      </w:r>
      <w:r>
        <w:t xml:space="preserve">Example 8.7 </w:t>
      </w:r>
      <w:r>
        <w:rPr>
          <w:rStyle w:val="htmlcodes"/>
        </w:rPr>
        <w:t>&lt;/a&gt;</w:t>
      </w:r>
      <w:r>
        <w:t>were pronounced with buff</w:t>
      </w:r>
      <w:r>
        <w:softHyphen/>
        <w:t>ering,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 xml:space="preserve">it would be very similar to </w:t>
      </w:r>
      <w:r>
        <w:rPr>
          <w:rStyle w:val="htmlcodes"/>
        </w:rPr>
        <w:t>&lt;a href=#e8d6&gt;</w:t>
      </w:r>
      <w:r>
        <w:t>Example 8.6</w:t>
      </w:r>
      <w:r>
        <w:rPr>
          <w:rStyle w:val="htmlcodes"/>
        </w:rPr>
        <w:t>&lt;/a&gt;</w:t>
      </w:r>
      <w:r>
        <w:t>. Only a clear distinction be</w:t>
      </w:r>
      <w:r>
        <w:softHyphen/>
        <w:t>tween “y” and any buffering vowel would keep the two words distinct.</w:t>
      </w:r>
    </w:p>
    <w:p w:rsidR="00B72047" w:rsidRDefault="00B72047">
      <w:pPr>
        <w:rPr>
          <w:rStyle w:val="htmlparacode"/>
        </w:rPr>
      </w:pPr>
      <w:r>
        <w:rPr>
          <w:rStyle w:val="htmlparacode"/>
        </w:rPr>
        <w:t>&lt;p&gt;</w:t>
      </w:r>
    </w:p>
    <w:p w:rsidR="00B72047" w:rsidRDefault="00B72047">
      <w:pPr>
        <w:pStyle w:val="normalparagraph"/>
      </w:pPr>
      <w:r>
        <w:rPr>
          <w:rStyle w:val="indexentry"/>
        </w:rPr>
        <w:t>&lt;cx "vowels, length of"&gt;</w:t>
      </w:r>
      <w:r>
        <w:rPr>
          <w:rStyle w:val="indexentry"/>
        </w:rPr>
        <w:fldChar w:fldCharType="begin"/>
      </w:r>
      <w:r>
        <w:instrText>xe "</w:instrText>
      </w:r>
      <w:r>
        <w:rPr>
          <w:rStyle w:val="xeentry"/>
        </w:rPr>
        <w:instrText>vowels: length of</w:instrText>
      </w:r>
      <w:r>
        <w:instrText>"</w:instrText>
      </w:r>
      <w:r>
        <w:rPr>
          <w:rStyle w:val="indexentry"/>
        </w:rPr>
        <w:fldChar w:fldCharType="end"/>
      </w:r>
      <w:r>
        <w:rPr>
          <w:rStyle w:val="indexentry"/>
        </w:rPr>
        <w:t>&lt;cx "buffer vowel, shortening of"&gt;</w:t>
      </w:r>
      <w:r>
        <w:rPr>
          <w:rStyle w:val="indexentry"/>
        </w:rPr>
        <w:fldChar w:fldCharType="begin"/>
      </w:r>
      <w:r>
        <w:instrText>xe "</w:instrText>
      </w:r>
      <w:r>
        <w:rPr>
          <w:rStyle w:val="xeentry"/>
        </w:rPr>
        <w:instrText>buffer vowel: shortening of</w:instrText>
      </w:r>
      <w:r>
        <w:instrText>"</w:instrText>
      </w:r>
      <w:r>
        <w:rPr>
          <w:rStyle w:val="indexentry"/>
        </w:rPr>
        <w:fldChar w:fldCharType="end"/>
      </w:r>
      <w:r>
        <w:t>Since buffering is done for the benefit of the speaker in order to aid pro</w:t>
      </w:r>
      <w:r>
        <w:softHyphen/>
        <w:t>nounceability, there is no guarantee that the listener will not mistake a buffer vowel for one of the six regular Lojban vowels. The buffer vowel should be as laxly pronounced as possible, as central as possible, and as short as possible. Furthermore, it is worth</w:t>
      </w:r>
      <w:r>
        <w:softHyphen/>
        <w:t>while for speakers who use buffers to pronounce their regular vowels a bit longer than usual, to avoid confu</w:t>
      </w:r>
      <w:r>
        <w:softHyphen/>
        <w:t>sion with buffer vowels. The speak</w:t>
      </w:r>
      <w:r>
        <w:softHyphen/>
        <w:t>ers of many languages will have trouble correctly hearing any of the suggested buffer vowels otherwise. By this guide</w:t>
      </w:r>
      <w:r>
        <w:softHyphen/>
        <w:t xml:space="preserve">line, </w:t>
      </w:r>
      <w:r>
        <w:rPr>
          <w:rStyle w:val="htmlcodes"/>
        </w:rPr>
        <w:t>&lt;a href=#e8d8&gt;</w:t>
      </w:r>
      <w:r>
        <w:t>Example 8.8 would be pronounced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w:t>
      </w:r>
      <w:r>
        <w:t>with lengthened vowels.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140" w:name="_Toc395691493"/>
      <w:bookmarkStart w:id="141" w:name="_Toc398970464"/>
      <w:r>
        <w:rPr>
          <w:rStyle w:val="Heading3Text"/>
        </w:rPr>
        <w:t>Syllabication and stress</w:t>
      </w:r>
      <w:bookmarkEnd w:id="140"/>
      <w:bookmarkEnd w:id="14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"syllabication, definition of"&gt;</w:t>
      </w:r>
      <w:r>
        <w:rPr>
          <w:rStyle w:val="indexentry"/>
        </w:rPr>
        <w:fldChar w:fldCharType="begin"/>
      </w:r>
      <w:r>
        <w:instrText>xe "</w:instrText>
      </w:r>
      <w:r>
        <w:rPr>
          <w:rStyle w:val="xeentry"/>
        </w:rPr>
        <w:instrText>syllabication: definition of</w:instrText>
      </w:r>
      <w:r>
        <w:instrText>"</w:instrText>
      </w:r>
      <w:r>
        <w:rPr>
          <w:rStyle w:val="indexentry"/>
        </w:rPr>
        <w:fldChar w:fldCharType="end"/>
      </w:r>
      <w:r>
        <w:t>A Lojban word has one syllable for each of its vowels, diph</w:t>
      </w:r>
      <w:r>
        <w:softHyphen/>
        <w:t>thongs, and syl</w:t>
      </w:r>
      <w:r>
        <w:softHyphen/>
        <w:t>labic con</w:t>
      </w:r>
      <w:r>
        <w:softHyphen/>
        <w:t>sonants (referred to simply as “vowels” for the purposes of this section.) Syl</w:t>
      </w:r>
      <w:r>
        <w:softHyphen/>
        <w:t>labication rules determine which of the consonants separating two vowels belong to the preceding vowel and which to the following vowel. These rules are conventional only; the phonetic facts of the matter about how utterances are syllabified in any language are always very complex.</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"syllabication, rules for"&gt;</w:t>
      </w:r>
      <w:r>
        <w:rPr>
          <w:rStyle w:val="indexentry"/>
        </w:rPr>
        <w:fldChar w:fldCharType="begin"/>
      </w:r>
      <w:r>
        <w:instrText>xe "</w:instrText>
      </w:r>
      <w:r>
        <w:rPr>
          <w:rStyle w:val="xeentry"/>
        </w:rPr>
        <w:instrText>syllabication: rules for</w:instrText>
      </w:r>
      <w:r>
        <w:instrText>"</w:instrText>
      </w:r>
      <w:r>
        <w:rPr>
          <w:rStyle w:val="indexentry"/>
        </w:rPr>
        <w:fldChar w:fldCharType="end"/>
      </w:r>
      <w:r>
        <w:t>A single consonant always belongs to the following vowel. A consonant pair is nor</w:t>
      </w:r>
      <w:r>
        <w:softHyphen/>
        <w:t>mally divided between the two vowels; however, if the pair constitute a valid initial con</w:t>
      </w:r>
      <w:r>
        <w:softHyphen/>
        <w:t>sonant pair, they are normally both assigned to the following vowel. A consonant triple is divided between the first and second consonants. Apostrophes and commas, of course, also represent syllable breaks. Syllabic consonants usually appear alone in their syllables.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"syllabication, and names"&gt;</w:t>
      </w:r>
      <w:r>
        <w:rPr>
          <w:rStyle w:val="indexentry"/>
        </w:rPr>
        <w:fldChar w:fldCharType="begin"/>
      </w:r>
      <w:r>
        <w:instrText>xe "</w:instrText>
      </w:r>
      <w:r>
        <w:rPr>
          <w:rStyle w:val="xeentry"/>
        </w:rPr>
        <w:instrText>syllabication: and names</w:instrText>
      </w:r>
      <w:r>
        <w:instrText>"</w:instrText>
      </w:r>
      <w:r>
        <w:rPr>
          <w:rStyle w:val="indexentry"/>
        </w:rPr>
        <w:fldChar w:fldCharType="end"/>
      </w:r>
      <w:r>
        <w:t>It is permissible to vary from these rules in Lojbanized names. For example, there are no definitive rules for the syllabication of names with consonant clusters longer than three consonants. The comma is used to indicate variant syllabication or to explicitly mark normal syllabication.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"syllabication, examples of"&gt;</w:t>
      </w:r>
      <w:r>
        <w:rPr>
          <w:rStyle w:val="indexentry"/>
        </w:rPr>
        <w:fldChar w:fldCharType="begin"/>
      </w:r>
      <w:r>
        <w:instrText>xe "</w:instrText>
      </w:r>
      <w:r>
        <w:rPr>
          <w:rStyle w:val="xeentry"/>
        </w:rPr>
        <w:instrText>syllabication: examples of</w:instrText>
      </w:r>
      <w:r>
        <w:instrText>"</w:instrText>
      </w:r>
      <w:r>
        <w:rPr>
          <w:rStyle w:val="indexentry"/>
        </w:rPr>
        <w:fldChar w:fldCharType="end"/>
      </w:r>
      <w:r>
        <w:t>Here are some examples of Lojban syllabication: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pujenaicajeba</w:t>
      </w:r>
    </w:p>
    <w:p w:rsidR="00B72047" w:rsidRDefault="00B72047">
      <w:pPr>
        <w:pStyle w:val="examplescaled"/>
      </w:pPr>
      <w:r>
        <w:tab/>
        <w:t>pu,je,nai,ca,je,ba</w:t>
      </w:r>
    </w:p>
    <w:p w:rsidR="00B72047" w:rsidRDefault="00B72047">
      <w:pPr>
        <w:pStyle w:val="resumedafterexample"/>
      </w:pPr>
      <w:r>
        <w:rPr>
          <w:rStyle w:val="htmlcodes"/>
        </w:rPr>
        <w:t>&lt;/pre&gt;&lt;p&gt;</w:t>
      </w:r>
      <w:r>
        <w:t>This word has no consonant pairs and is therefore syllabified before each medial conso</w:t>
      </w:r>
      <w:r>
        <w:softHyphen/>
        <w:t>nant.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ninmu</w:t>
      </w:r>
    </w:p>
    <w:p w:rsidR="00B72047" w:rsidRDefault="00B72047">
      <w:pPr>
        <w:pStyle w:val="examplescaled"/>
      </w:pPr>
      <w:r>
        <w:tab/>
        <w:t>nin,mu</w:t>
      </w:r>
    </w:p>
    <w:p w:rsidR="00B72047" w:rsidRDefault="00B72047">
      <w:pPr>
        <w:pStyle w:val="resumedafterexample"/>
        <w:spacing w:before="0"/>
      </w:pPr>
      <w:r>
        <w:rPr>
          <w:rStyle w:val="htmlcodes"/>
          <w:vanish w:val="0"/>
        </w:rPr>
        <w:br w:type="page"/>
      </w:r>
      <w:r>
        <w:rPr>
          <w:rStyle w:val="htmlcodes"/>
        </w:rPr>
        <w:t>&lt;/pre&gt;&lt;p&gt;</w:t>
      </w:r>
      <w:r>
        <w:t>This word is split at a consonant pair.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fitpri</w:t>
      </w:r>
    </w:p>
    <w:p w:rsidR="00B72047" w:rsidRDefault="00B72047">
      <w:pPr>
        <w:pStyle w:val="examplescaled"/>
      </w:pPr>
      <w:r>
        <w:tab/>
        <w:t>fit,pri</w:t>
      </w:r>
    </w:p>
    <w:p w:rsidR="00B72047" w:rsidRDefault="00B72047">
      <w:pPr>
        <w:pStyle w:val="resumedafterexample"/>
      </w:pPr>
      <w:r>
        <w:rPr>
          <w:rStyle w:val="htmlcodes"/>
        </w:rPr>
        <w:t>&lt;/pre&gt;&lt;p&gt;</w:t>
      </w:r>
      <w:r>
        <w:t>This word is split at a consonant triple, between the first two conso</w:t>
      </w:r>
      <w:r>
        <w:softHyphen/>
        <w:t>nants of the triple.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sairgoi</w:t>
      </w:r>
    </w:p>
    <w:p w:rsidR="00B72047" w:rsidRDefault="00B72047">
      <w:pPr>
        <w:pStyle w:val="examplescaled"/>
      </w:pPr>
      <w:r>
        <w:tab/>
        <w:t>sair,goi</w:t>
      </w:r>
    </w:p>
    <w:p w:rsidR="00B72047" w:rsidRDefault="00B72047">
      <w:pPr>
        <w:pStyle w:val="examplescaled"/>
      </w:pPr>
      <w:r>
        <w:tab/>
        <w:t>sai,r,goi</w:t>
      </w:r>
    </w:p>
    <w:p w:rsidR="00B72047" w:rsidRDefault="00B72047">
      <w:pPr>
        <w:pStyle w:val="resumedafterexample"/>
      </w:pPr>
      <w:r>
        <w:rPr>
          <w:rStyle w:val="htmlcodes"/>
        </w:rPr>
        <w:t>&lt;/pre&gt;&lt;p&gt;</w:t>
      </w:r>
      <w:r>
        <w:t>This word contains the consonant pair “rg”; the “r” may be pro</w:t>
      </w:r>
      <w:r>
        <w:softHyphen/>
        <w:t>nounced syllabically or not.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klezba</w:t>
      </w:r>
    </w:p>
    <w:p w:rsidR="00B72047" w:rsidRDefault="00B72047">
      <w:pPr>
        <w:pStyle w:val="examplescaled"/>
      </w:pPr>
      <w:r>
        <w:tab/>
        <w:t>klez,ba</w:t>
      </w:r>
    </w:p>
    <w:p w:rsidR="00B72047" w:rsidRDefault="00B72047">
      <w:pPr>
        <w:pStyle w:val="examplescaled"/>
      </w:pPr>
      <w:r>
        <w:tab/>
        <w:t>kle,zba</w:t>
      </w:r>
    </w:p>
    <w:p w:rsidR="00B72047" w:rsidRDefault="00B72047">
      <w:pPr>
        <w:pStyle w:val="resumedafterexample"/>
      </w:pPr>
      <w:r>
        <w:rPr>
          <w:rStyle w:val="htmlcodes"/>
        </w:rPr>
        <w:t>&lt;/pre&gt;&lt;p&gt;</w:t>
      </w:r>
      <w:r>
        <w:t>This word contains the permissible initial pair “zb”, and so may be syllabicated either between “z” and “b” or before “zb”.</w:t>
      </w:r>
    </w:p>
    <w:p w:rsidR="00B72047" w:rsidRDefault="00B72047">
      <w:pPr>
        <w:rPr>
          <w:rStyle w:val="htmlparacode"/>
        </w:rPr>
      </w:pPr>
      <w:r>
        <w:rPr>
          <w:rStyle w:val="htmlparacode"/>
        </w:rPr>
        <w:t>&lt;p&gt;</w:t>
      </w:r>
    </w:p>
    <w:p w:rsidR="00B72047" w:rsidRDefault="00B72047">
      <w:pPr>
        <w:pStyle w:val="normalparagraph"/>
      </w:pPr>
      <w:r>
        <w:rPr>
          <w:rStyle w:val="indexentry"/>
        </w:rPr>
        <w:t>&lt;cx "stress, definition of"&gt;</w:t>
      </w:r>
      <w:r>
        <w:rPr>
          <w:rStyle w:val="indexentry"/>
        </w:rPr>
        <w:fldChar w:fldCharType="begin"/>
      </w:r>
      <w:r>
        <w:instrText>xe "</w:instrText>
      </w:r>
      <w:r>
        <w:rPr>
          <w:rStyle w:val="xeentry"/>
        </w:rPr>
        <w:instrText>stress: definition of</w:instrText>
      </w:r>
      <w:r>
        <w:instrText>"</w:instrText>
      </w:r>
      <w:r>
        <w:rPr>
          <w:rStyle w:val="indexentry"/>
        </w:rPr>
        <w:fldChar w:fldCharType="end"/>
      </w:r>
      <w:r>
        <w:rPr>
          <w:rStyle w:val="indexentry"/>
        </w:rPr>
        <w:t>&lt;cx "stressed syllable, compared with stressed vowel"&gt;</w:t>
      </w:r>
      <w:r>
        <w:rPr>
          <w:rStyle w:val="indexentry"/>
        </w:rPr>
        <w:fldChar w:fldCharType="begin"/>
      </w:r>
      <w:r>
        <w:instrText>xe "</w:instrText>
      </w:r>
      <w:r>
        <w:rPr>
          <w:rStyle w:val="xeentry"/>
        </w:rPr>
        <w:instrText>stressed syllable: compared with stressed vowel</w:instrText>
      </w:r>
      <w:r>
        <w:instrText>"</w:instrText>
      </w:r>
      <w:r>
        <w:rPr>
          <w:rStyle w:val="indexentry"/>
        </w:rPr>
        <w:fldChar w:fldCharType="end"/>
      </w:r>
      <w:r>
        <w:rPr>
          <w:rStyle w:val="indexentry"/>
        </w:rPr>
        <w:t>&lt;cx "stressed vowel, compared with stressed syllable"&gt;</w:t>
      </w:r>
      <w:r>
        <w:rPr>
          <w:rStyle w:val="indexentry"/>
        </w:rPr>
        <w:fldChar w:fldCharType="begin"/>
      </w:r>
      <w:r>
        <w:instrText>xe "</w:instrText>
      </w:r>
      <w:r>
        <w:rPr>
          <w:rStyle w:val="xeentry"/>
        </w:rPr>
        <w:instrText>stressed vowel: compared with stressed syllable</w:instrText>
      </w:r>
      <w:r>
        <w:instrText>"</w:instrText>
      </w:r>
      <w:r>
        <w:rPr>
          <w:rStyle w:val="indexentry"/>
        </w:rPr>
        <w:fldChar w:fldCharType="end"/>
      </w:r>
      <w:r>
        <w:t>Stress is a relatively louder pronunciation of one syllable in a word or group of words. Since every syllable has a vowel sound (or diphthong or syllabic consonant) as its nucleus, and the stress is on the vowel sound itself, the terms “stressed syllable” and “stressed vowel” are largely interchangeable concepts.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"stress, rules for"&gt;</w:t>
      </w:r>
      <w:r>
        <w:rPr>
          <w:rStyle w:val="indexentry"/>
        </w:rPr>
        <w:fldChar w:fldCharType="begin"/>
      </w:r>
      <w:r>
        <w:instrText>xe "</w:instrText>
      </w:r>
      <w:r>
        <w:rPr>
          <w:rStyle w:val="xeentry"/>
        </w:rPr>
        <w:instrText>stress: rules for</w:instrText>
      </w:r>
      <w:r>
        <w:instrText>"</w:instrText>
      </w:r>
      <w:r>
        <w:rPr>
          <w:rStyle w:val="indexentry"/>
        </w:rPr>
        <w:fldChar w:fldCharType="end"/>
      </w:r>
      <w:r>
        <w:t>Most Lojban words are stressed on the next-to-the-last, or penultimate, sylla</w:t>
      </w:r>
      <w:r>
        <w:softHyphen/>
        <w:t>ble. In counting syllables, however, syllables whose vowel is “y” or which contain a syllabic consonant (“l”, “m”, “n”, or “r”) are never counted. (The Lojban term for pe</w:t>
      </w:r>
      <w:r>
        <w:softHyphen/>
        <w:t xml:space="preserve">nultimate stress is “da'amoi terbasna”.) Similarly, syllables created solely by adding a buffer vowel, such as </w:t>
      </w:r>
      <w:r>
        <w:rPr>
          <w:rStyle w:val="htmlcodes"/>
        </w:rPr>
        <w:t>&lt;font face="SILDoulosIPA"&gt;</w:t>
      </w:r>
      <w:r>
        <w:t>[</w:t>
      </w:r>
      <w:r>
        <w:rPr>
          <w:rStyle w:val="IPA"/>
        </w:rPr>
        <w:t></w:t>
      </w:r>
      <w:r>
        <w:t>]</w:t>
      </w:r>
      <w:r>
        <w:rPr>
          <w:rStyle w:val="htmlcodes"/>
        </w:rPr>
        <w:t>&lt;/font&gt;</w:t>
      </w:r>
      <w:r>
        <w:t>, are not counted.</w:t>
      </w:r>
    </w:p>
    <w:p w:rsidR="00B72047" w:rsidRDefault="00B72047">
      <w:pPr>
        <w:rPr>
          <w:rStyle w:val="htmlparacode"/>
        </w:rPr>
      </w:pPr>
      <w:r>
        <w:rPr>
          <w:rStyle w:val="htmlparacode"/>
        </w:rPr>
        <w:t>&lt;p&gt;</w:t>
      </w:r>
    </w:p>
    <w:p w:rsidR="00B72047" w:rsidRDefault="00B72047">
      <w:pPr>
        <w:pStyle w:val="normalparagraph"/>
      </w:pPr>
      <w:r>
        <w:rPr>
          <w:rStyle w:val="indexentry"/>
        </w:rPr>
        <w:t>&lt;cx "stress, levels of"&gt;</w:t>
      </w:r>
      <w:r>
        <w:rPr>
          <w:rStyle w:val="indexentry"/>
        </w:rPr>
        <w:fldChar w:fldCharType="begin"/>
      </w:r>
      <w:r>
        <w:instrText>xe "</w:instrText>
      </w:r>
      <w:r>
        <w:rPr>
          <w:rStyle w:val="xeentry"/>
        </w:rPr>
        <w:instrText>stress: levels of</w:instrText>
      </w:r>
      <w:r>
        <w:instrText>"</w:instrText>
      </w:r>
      <w:r>
        <w:rPr>
          <w:rStyle w:val="indexentry"/>
        </w:rPr>
        <w:fldChar w:fldCharType="end"/>
      </w:r>
      <w:r>
        <w:t>There are actually three levels of stress — primary, secon</w:t>
      </w:r>
      <w:r>
        <w:softHyphen/>
        <w:t>dary, and weak. Weak stress is the lowest level, so it really means no stress at all. Weak stress is re</w:t>
      </w:r>
      <w:r>
        <w:softHyphen/>
        <w:t>quired for syllables containing “y”, a syllabic consonant, or a buffer vowel.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"stress, primary"&gt;</w:t>
      </w:r>
      <w:r>
        <w:rPr>
          <w:rStyle w:val="indexentry"/>
        </w:rPr>
        <w:fldChar w:fldCharType="begin"/>
      </w:r>
      <w:r>
        <w:instrText>xe "</w:instrText>
      </w:r>
      <w:r>
        <w:rPr>
          <w:rStyle w:val="xeentry"/>
        </w:rPr>
        <w:instrText>stress: primary</w:instrText>
      </w:r>
      <w:r>
        <w:instrText>"</w:instrText>
      </w:r>
      <w:r>
        <w:rPr>
          <w:rStyle w:val="indexentry"/>
        </w:rPr>
        <w:fldChar w:fldCharType="end"/>
      </w:r>
      <w:r>
        <w:rPr>
          <w:rStyle w:val="indexentry"/>
        </w:rPr>
        <w:t>&lt;cx "cmavo, stress on"&gt;</w:t>
      </w:r>
      <w:r>
        <w:rPr>
          <w:rStyle w:val="indexentry"/>
        </w:rPr>
        <w:fldChar w:fldCharType="begin"/>
      </w:r>
      <w:r>
        <w:instrText>xe "</w:instrText>
      </w:r>
      <w:r>
        <w:rPr>
          <w:rStyle w:val="xeentry"/>
        </w:rPr>
        <w:instrText>cmavo: stress on</w:instrText>
      </w:r>
      <w:r>
        <w:instrText>"</w:instrText>
      </w:r>
      <w:r>
        <w:rPr>
          <w:rStyle w:val="indexentry"/>
        </w:rPr>
        <w:fldChar w:fldCharType="end"/>
      </w:r>
      <w:r>
        <w:rPr>
          <w:rStyle w:val="indexentry"/>
        </w:rPr>
        <w:t>&lt;cx "brivla, stress on"&gt;</w:t>
      </w:r>
      <w:r>
        <w:rPr>
          <w:rStyle w:val="indexentry"/>
        </w:rPr>
        <w:fldChar w:fldCharType="begin"/>
      </w:r>
      <w:r>
        <w:instrText>xe "</w:instrText>
      </w:r>
      <w:r>
        <w:rPr>
          <w:rStyle w:val="xeentry"/>
        </w:rPr>
        <w:instrText>brivla: stress on</w:instrText>
      </w:r>
      <w:r>
        <w:instrText>"</w:instrText>
      </w:r>
      <w:r>
        <w:rPr>
          <w:rStyle w:val="indexentry"/>
        </w:rPr>
        <w:fldChar w:fldCharType="end"/>
      </w:r>
      <w:r>
        <w:rPr>
          <w:rStyle w:val="indexentry"/>
        </w:rPr>
        <w:t>&lt;cx "names, stress on"&gt;</w:t>
      </w:r>
      <w:r>
        <w:rPr>
          <w:rStyle w:val="indexentry"/>
        </w:rPr>
        <w:fldChar w:fldCharType="begin"/>
      </w:r>
      <w:r>
        <w:instrText>xe "</w:instrText>
      </w:r>
      <w:r>
        <w:rPr>
          <w:rStyle w:val="xeentry"/>
        </w:rPr>
        <w:instrText>names: stress on</w:instrText>
      </w:r>
      <w:r>
        <w:instrText>"</w:instrText>
      </w:r>
      <w:r>
        <w:rPr>
          <w:rStyle w:val="indexentry"/>
        </w:rPr>
        <w:fldChar w:fldCharType="end"/>
      </w:r>
      <w:r>
        <w:t>Primary stress is required on the penultimate syllable of Lojban content words (called “brivla”). Lojbanized names may be stressed on any syllable, but if a syllable other than the penultimate is stressed, the syllable (or at least its vowel) must be capi</w:t>
      </w:r>
      <w:r>
        <w:softHyphen/>
        <w:t>talized in writ</w:t>
      </w:r>
      <w:r>
        <w:softHyphen/>
        <w:t>ing. Lojban structural words (called “cmavo”) may be stressed on any syllable or none at all. However, primary stress may not be used in a syllable just pre</w:t>
      </w:r>
      <w:r>
        <w:softHyphen/>
        <w:t>ceding a brivla, unless a pause divides them; oth</w:t>
      </w:r>
      <w:r>
        <w:softHyphen/>
        <w:t>erwise, the two words may run to</w:t>
      </w:r>
      <w:r>
        <w:softHyphen/>
        <w:t>gether.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"stress, secondary"&gt;</w:t>
      </w:r>
      <w:r>
        <w:rPr>
          <w:rStyle w:val="indexentry"/>
        </w:rPr>
        <w:fldChar w:fldCharType="begin"/>
      </w:r>
      <w:r>
        <w:instrText>xe "</w:instrText>
      </w:r>
      <w:r>
        <w:rPr>
          <w:rStyle w:val="xeentry"/>
        </w:rPr>
        <w:instrText>stress: secondary</w:instrText>
      </w:r>
      <w:r>
        <w:instrText>"</w:instrText>
      </w:r>
      <w:r>
        <w:rPr>
          <w:rStyle w:val="indexentry"/>
        </w:rPr>
        <w:fldChar w:fldCharType="end"/>
      </w:r>
      <w:r>
        <w:t>Secondary stress is the optional and non-distinctive empha</w:t>
      </w:r>
      <w:r>
        <w:softHyphen/>
        <w:t>sis used for other syllables besides those required to have either weak or primary stress. There are few rules govern</w:t>
      </w:r>
      <w:r>
        <w:softHyphen/>
        <w:t>ing secondary stress, which typically will follow a speaker's native lan</w:t>
      </w:r>
      <w:r>
        <w:softHyphen/>
        <w:t>guage habits or preferences. Secondary stress can be used for contrast, or for em</w:t>
      </w:r>
      <w:r>
        <w:softHyphen/>
        <w:t>phasis of a point. Secon</w:t>
      </w:r>
      <w:r>
        <w:softHyphen/>
        <w:t>dary stress can be emphasized at any level up to primary stress, al</w:t>
      </w:r>
      <w:r>
        <w:softHyphen/>
        <w:t>though the speaker must not allow a false pri</w:t>
      </w:r>
      <w:r>
        <w:softHyphen/>
        <w:t>mary stress in brivla, since errors in word resol</w:t>
      </w:r>
      <w:r>
        <w:t>u</w:t>
      </w:r>
      <w:r>
        <w:t>tion could result.</w:t>
      </w:r>
    </w:p>
    <w:p w:rsidR="00B72047" w:rsidRDefault="00B72047">
      <w:pPr>
        <w:rPr>
          <w:rStyle w:val="htmlparacode"/>
        </w:rPr>
      </w:pPr>
      <w:r>
        <w:rPr>
          <w:rStyle w:val="htmlparacode"/>
        </w:rPr>
        <w:t>&lt;p&gt;</w:t>
      </w:r>
    </w:p>
    <w:p w:rsidR="00B72047" w:rsidRDefault="00B72047">
      <w:pPr>
        <w:pStyle w:val="normalparagraph"/>
      </w:pPr>
      <w:r>
        <w:rPr>
          <w:rStyle w:val="indexentry"/>
        </w:rPr>
        <w:t>&lt;ex "Armstrong"&gt;</w:t>
      </w:r>
      <w:r>
        <w:rPr>
          <w:rStyle w:val="indexentry"/>
        </w:rPr>
        <w:fldChar w:fldCharType="begin"/>
      </w:r>
      <w:r>
        <w:instrText>xe "</w:instrText>
      </w:r>
      <w:r>
        <w:rPr>
          <w:rStyle w:val="xeentry"/>
        </w:rPr>
        <w:instrText>Armstrong: example</w:instrText>
      </w:r>
      <w:r>
        <w:instrText>"</w:instrText>
      </w:r>
      <w:r>
        <w:rPr>
          <w:rStyle w:val="indexentry"/>
        </w:rPr>
        <w:fldChar w:fldCharType="end"/>
      </w:r>
      <w:r>
        <w:t>The following are Lojban words with stress explicitly shown: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name=e9d6&gt;</w:t>
      </w:r>
      <w:r>
        <w:t>9.6)</w:t>
      </w:r>
      <w:r>
        <w:tab/>
        <w:t>dikyjvo</w:t>
      </w:r>
    </w:p>
    <w:p w:rsidR="00B72047" w:rsidRDefault="00B72047">
      <w:pPr>
        <w:pStyle w:val="examplescaled"/>
      </w:pPr>
      <w:r>
        <w:tab/>
        <w:t>DI,ky,jvo</w:t>
      </w:r>
    </w:p>
    <w:p w:rsidR="00B72047" w:rsidRDefault="00B72047">
      <w:pPr>
        <w:pStyle w:val="resumedafterexample"/>
      </w:pPr>
      <w:r>
        <w:rPr>
          <w:rStyle w:val="htmlcodes"/>
        </w:rPr>
        <w:t>&lt;/pre&gt;</w:t>
      </w:r>
      <w:r>
        <w:t xml:space="preserve">(In a fully-buffered dialect, the pronunciation would be: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r>
        <w:t>.) Note that the syl</w:t>
      </w:r>
      <w:r>
        <w:softHyphen/>
        <w:t>lable “ky” is not counted in determining stress. The vowel “y” is never stressed in a nor</w:t>
      </w:r>
      <w:r>
        <w:softHyphen/>
        <w:t>mal Lojban context.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name=e9d7&gt;</w:t>
      </w:r>
      <w:r>
        <w:t>9.7)</w:t>
      </w:r>
      <w:r>
        <w:tab/>
        <w:t>.armstrong.</w:t>
      </w:r>
    </w:p>
    <w:p w:rsidR="00B72047" w:rsidRDefault="00B72047">
      <w:pPr>
        <w:pStyle w:val="examplescaled"/>
      </w:pPr>
      <w:r>
        <w:tab/>
        <w:t>.ARM,strong.</w:t>
      </w:r>
    </w:p>
    <w:p w:rsidR="00B72047" w:rsidRDefault="00B72047">
      <w:pPr>
        <w:pStyle w:val="resumedafterexample"/>
      </w:pPr>
      <w:r>
        <w:rPr>
          <w:rStyle w:val="htmlcodes"/>
        </w:rPr>
        <w:t>&lt;/pre&gt;&lt;p&gt;</w:t>
      </w:r>
      <w:r>
        <w:t>This is a Lojbanized version of the name “Armstrong”. The final “g” must be explicitly pronounced. With full buffering, the name would be pronounced: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name=e9d8&gt;</w:t>
      </w:r>
      <w:r>
        <w:t>9.8)</w:t>
      </w: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&lt;/pre&gt;&lt;p&gt;</w:t>
      </w:r>
      <w:r>
        <w:t>However, there is no need to insert a buffer in every possible place just because it is in</w:t>
      </w:r>
      <w:r>
        <w:softHyphen/>
        <w:t>serted in one place: partial buffering is also ac</w:t>
      </w:r>
      <w:r>
        <w:softHyphen/>
        <w:t>ceptable. In every case, however, the stress remains in the same place: on the first syllable.</w:t>
      </w:r>
    </w:p>
    <w:p w:rsidR="00B72047" w:rsidRDefault="00B72047">
      <w:pPr>
        <w:rPr>
          <w:rStyle w:val="htmlparacode"/>
        </w:rPr>
      </w:pPr>
      <w:r>
        <w:rPr>
          <w:rStyle w:val="htmlparacode"/>
        </w:rPr>
        <w:t>&lt;p&gt;</w:t>
      </w:r>
    </w:p>
    <w:p w:rsidR="00B72047" w:rsidRDefault="00B72047">
      <w:pPr>
        <w:pStyle w:val="normalparagraph"/>
      </w:pPr>
      <w:r>
        <w:rPr>
          <w:rStyle w:val="indexentry"/>
        </w:rPr>
        <w:t>&lt;cx "-ng, Lojban contrasted with English"&gt;</w:t>
      </w:r>
      <w:r>
        <w:rPr>
          <w:rStyle w:val="indexentry"/>
        </w:rPr>
        <w:fldChar w:fldCharType="begin"/>
      </w:r>
      <w:r>
        <w:instrText>xe "</w:instrText>
      </w:r>
      <w:r>
        <w:rPr>
          <w:rStyle w:val="xeentry"/>
        </w:rPr>
        <w:instrText>-ng: Lojban contrasted with English</w:instrText>
      </w:r>
      <w:r>
        <w:instrText>"</w:instrText>
      </w:r>
      <w:r>
        <w:rPr>
          <w:rStyle w:val="indexentry"/>
        </w:rPr>
        <w:fldChar w:fldCharType="end"/>
      </w:r>
      <w:r>
        <w:t>The English pronunciation of “Armstrong”, as spelled in Eng</w:t>
      </w:r>
      <w:r>
        <w:softHyphen/>
        <w:t>lish, is not correct by Lojban standards; the letters “ng” in English rep</w:t>
      </w:r>
      <w:r>
        <w:softHyphen/>
        <w:t xml:space="preserve">resent a velar nasal (IPA </w:t>
      </w:r>
      <w:r>
        <w:rPr>
          <w:rStyle w:val="htmlcodes"/>
        </w:rPr>
        <w:t>&lt;font face="SILDoulosIPA"&gt;</w:t>
      </w:r>
      <w:r>
        <w:t>[</w:t>
      </w:r>
      <w:r>
        <w:rPr>
          <w:rStyle w:val="IPA"/>
        </w:rPr>
        <w:t></w:t>
      </w:r>
      <w:r>
        <w:t>]</w:t>
      </w:r>
      <w:r>
        <w:rPr>
          <w:rStyle w:val="htmlcodes"/>
        </w:rPr>
        <w:t>&lt;/font&gt;</w:t>
      </w:r>
      <w:r>
        <w:t>) which is a single consonant. In Lojban, “ng” represents two separate consonants that must both be pro</w:t>
      </w:r>
      <w:r>
        <w:softHyphen/>
        <w:t xml:space="preserve">nounced; you may not use </w:t>
      </w:r>
      <w:r>
        <w:rPr>
          <w:rStyle w:val="htmlcodes"/>
        </w:rPr>
        <w:t>&lt;font face="SILDoulosIPA"&gt;</w:t>
      </w:r>
      <w:r>
        <w:t>[</w:t>
      </w:r>
      <w:r>
        <w:rPr>
          <w:rStyle w:val="IPA"/>
        </w:rPr>
        <w:t></w:t>
      </w:r>
      <w:r>
        <w:t xml:space="preserve">] </w:t>
      </w:r>
      <w:r>
        <w:rPr>
          <w:rStyle w:val="htmlcodes"/>
        </w:rPr>
        <w:t>&lt;/font&gt;</w:t>
      </w:r>
      <w:r>
        <w:t xml:space="preserve">to pronounce Lojban “ng”, although </w:t>
      </w:r>
      <w:r>
        <w:rPr>
          <w:rStyle w:val="htmlcodes"/>
        </w:rPr>
        <w:t>&lt;font face="SILDoulosIPA"&gt;</w:t>
      </w:r>
      <w:r>
        <w:t>[</w:t>
      </w:r>
      <w:r>
        <w:rPr>
          <w:rStyle w:val="IPA"/>
        </w:rPr>
        <w:t></w:t>
      </w:r>
      <w:r>
        <w:rPr>
          <w:rStyle w:val="IPA"/>
        </w:rPr>
        <w:t></w:t>
      </w:r>
      <w:r>
        <w:t xml:space="preserve">] </w:t>
      </w:r>
      <w:r>
        <w:rPr>
          <w:rStyle w:val="htmlcodes"/>
        </w:rPr>
        <w:t>&lt;/font&gt;</w:t>
      </w:r>
      <w:r>
        <w:t>is accept</w:t>
      </w:r>
      <w:r>
        <w:softHyphen/>
        <w:t>able. English speakers are likely to have to pronounce the ending with a buffer, as one of the following: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name=e9d9&gt;</w:t>
      </w:r>
      <w:r>
        <w:t>9.9)</w:t>
      </w:r>
      <w:r>
        <w:tab/>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 xml:space="preserve">or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examplescaled"/>
      </w:pPr>
      <w:r>
        <w:tab/>
        <w:t xml:space="preserve">or even </w:t>
      </w:r>
      <w:r>
        <w:rPr>
          <w:rStyle w:val="htmlcodes"/>
        </w:rPr>
        <w:t>&lt;font face="SILDoulosIPA"&gt;</w:t>
      </w:r>
      <w: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rPr>
          <w:rStyle w:val="IPA"/>
        </w:rPr>
        <w:t></w:t>
      </w:r>
      <w:r>
        <w:t>]</w:t>
      </w:r>
      <w:r>
        <w:rPr>
          <w:rStyle w:val="htmlcodes"/>
        </w:rPr>
        <w:t>&lt;/font&gt;</w:t>
      </w:r>
    </w:p>
    <w:p w:rsidR="00B72047" w:rsidRDefault="00B72047">
      <w:pPr>
        <w:pStyle w:val="resumedafterexample"/>
      </w:pPr>
      <w:r>
        <w:rPr>
          <w:rStyle w:val="htmlcodes"/>
        </w:rPr>
        <w:t>&lt;/pre&gt;&lt;p&gt;</w:t>
      </w:r>
      <w:r>
        <w:t>The normal English pronunciation of the name “Armstrong” could be Lojbanized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name=e9d10&gt;</w:t>
      </w:r>
      <w:r>
        <w:t>9.10)</w:t>
      </w:r>
      <w:r>
        <w:tab/>
        <w:t>.ARMstron.</w:t>
      </w:r>
    </w:p>
    <w:p w:rsidR="00B72047" w:rsidRDefault="00B72047">
      <w:pPr>
        <w:pStyle w:val="resumedafterexample"/>
      </w:pPr>
      <w:r>
        <w:rPr>
          <w:rStyle w:val="htmlcodes"/>
        </w:rPr>
        <w:t>&lt;/pre&gt;</w:t>
      </w:r>
      <w:r>
        <w:t xml:space="preserve">since Lojban “n” is allowed to be pronounced as the velar nasal </w:t>
      </w:r>
      <w:r>
        <w:rPr>
          <w:rStyle w:val="htmlcodes"/>
        </w:rPr>
        <w:t>&lt;font face="SILDoulosIPA"&gt;</w:t>
      </w:r>
      <w:r>
        <w:t>[</w:t>
      </w:r>
      <w:r>
        <w:rPr>
          <w:rStyle w:val="IPA"/>
        </w:rPr>
        <w:t></w:t>
      </w:r>
      <w:r>
        <w:t>]</w:t>
      </w:r>
      <w:r>
        <w:rPr>
          <w:rStyle w:val="htmlcodes"/>
        </w:rPr>
        <w:t>&lt;/font&gt;</w:t>
      </w:r>
      <w:r>
        <w:t>.</w:t>
      </w:r>
    </w:p>
    <w:p w:rsidR="00B72047" w:rsidRDefault="00B72047">
      <w:pPr>
        <w:rPr>
          <w:rStyle w:val="htmlparacode"/>
        </w:rPr>
      </w:pPr>
      <w:r>
        <w:rPr>
          <w:rStyle w:val="htmlparacode"/>
        </w:rPr>
        <w:t>&lt;p&gt;</w:t>
      </w:r>
    </w:p>
    <w:p w:rsidR="00B72047" w:rsidRDefault="00B72047">
      <w:pPr>
        <w:pStyle w:val="normalparagraph"/>
      </w:pPr>
      <w:r>
        <w:t>Here is another example showing the use of “y”: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name=e9d11&gt;</w:t>
      </w:r>
      <w:r>
        <w:t>9.11)</w:t>
      </w:r>
      <w:r>
        <w:tab/>
        <w:t>bisydja</w:t>
      </w:r>
    </w:p>
    <w:p w:rsidR="00B72047" w:rsidRDefault="00B72047">
      <w:pPr>
        <w:pStyle w:val="examplescaled"/>
      </w:pPr>
      <w:r>
        <w:tab/>
        <w:t>BI,sy,dja</w:t>
      </w:r>
    </w:p>
    <w:p w:rsidR="00B72047" w:rsidRDefault="00B72047">
      <w:pPr>
        <w:pStyle w:val="examplescaled"/>
      </w:pPr>
      <w:r>
        <w:tab/>
        <w:t>BI,syd,ja</w:t>
      </w:r>
    </w:p>
    <w:p w:rsidR="00B72047" w:rsidRDefault="00B72047">
      <w:pPr>
        <w:pStyle w:val="resumedafterexample"/>
      </w:pPr>
      <w:r>
        <w:rPr>
          <w:rStyle w:val="htmlcodes"/>
        </w:rPr>
        <w:t>&lt;/pre&gt;&lt;p&gt;</w:t>
      </w:r>
      <w:r>
        <w:t xml:space="preserve">This word is a compound word, or lujvo, built from the two affixes “bis” and “dja”. When they are joined, an impermissible consonant pair results: “sd”. In accordance with the algorithm for making lujvo, explained in </w:t>
      </w:r>
      <w:r>
        <w:rPr>
          <w:rStyle w:val="htmlcodes"/>
        </w:rPr>
        <w:t>&lt;a href=chap4.html&gt;</w:t>
      </w:r>
      <w:r>
        <w:t>Chapter 4</w:t>
      </w:r>
      <w:r>
        <w:rPr>
          <w:rStyle w:val="htmlcodes"/>
        </w:rPr>
        <w:t>&lt;/a&gt;</w:t>
      </w:r>
      <w:r>
        <w:t>, a “y” is inserted to sepa</w:t>
      </w:r>
      <w:r>
        <w:softHyphen/>
        <w:t>rate the im</w:t>
      </w:r>
      <w:r>
        <w:softHyphen/>
        <w:t>permissible consonant pair; the “y” is not counted as a syllable for purposes of stress de</w:t>
      </w:r>
      <w:r>
        <w:softHyphen/>
        <w:t>termination.</w:t>
      </w:r>
    </w:p>
    <w:p w:rsidR="00B72047" w:rsidRDefault="00B72047">
      <w:pPr>
        <w:rPr>
          <w:rStyle w:val="htmlparacode"/>
        </w:rPr>
      </w:pPr>
      <w:r>
        <w:rPr>
          <w:rStyle w:val="htmlparacode"/>
        </w:rPr>
        <w:t>&lt;p&gt;</w:t>
      </w:r>
    </w:p>
    <w:p w:rsidR="00B72047" w:rsidRDefault="00B72047">
      <w:pPr>
        <w:pStyle w:val="examplescaledpre"/>
      </w:pPr>
      <w:r>
        <w:rPr>
          <w:rStyle w:val="indexentry"/>
        </w:rPr>
        <w:t>&lt;ex "syllabication, variants of"&gt;</w:t>
      </w:r>
      <w:r>
        <w:rPr>
          <w:rStyle w:val="indexentry"/>
        </w:rPr>
        <w:fldChar w:fldCharType="begin"/>
      </w:r>
      <w:r>
        <w:instrText>xe "</w:instrText>
      </w:r>
      <w:r>
        <w:rPr>
          <w:rStyle w:val="xeentry"/>
        </w:rPr>
        <w:instrText>syllabication: variants of</w:instrText>
      </w:r>
      <w:r>
        <w:instrText>"</w:instrText>
      </w:r>
      <w:r>
        <w:rPr>
          <w:rStyle w:val="indexentry"/>
        </w:rPr>
        <w:fldChar w:fldCharType="end"/>
      </w:r>
      <w:r>
        <w:rPr>
          <w:rStyle w:val="htmlcodes"/>
        </w:rPr>
        <w:t>&lt;pre&gt;&lt;a name=e9d12&gt;</w:t>
      </w:r>
      <w:r>
        <w:t>9.12)</w:t>
      </w:r>
      <w:r>
        <w:tab/>
        <w:t>da'udja</w:t>
      </w:r>
    </w:p>
    <w:p w:rsidR="00B72047" w:rsidRDefault="00B72047">
      <w:pPr>
        <w:pStyle w:val="examplescaled"/>
      </w:pPr>
      <w:r>
        <w:tab/>
        <w:t>da'UD,ja</w:t>
      </w:r>
    </w:p>
    <w:p w:rsidR="00B72047" w:rsidRDefault="00B72047">
      <w:pPr>
        <w:pStyle w:val="examplescaled"/>
      </w:pPr>
      <w:r>
        <w:tab/>
        <w:t>da'U,dja</w:t>
      </w:r>
    </w:p>
    <w:p w:rsidR="00B72047" w:rsidRDefault="00B72047">
      <w:pPr>
        <w:pStyle w:val="resumedafterexample"/>
      </w:pPr>
      <w:r>
        <w:rPr>
          <w:rStyle w:val="htmlcodes"/>
        </w:rPr>
        <w:t>&lt;/pre&gt;&lt;p&gt;</w:t>
      </w:r>
      <w:r>
        <w:t>These two syllabications sound the same to a Lojban listener — the association of un</w:t>
      </w:r>
      <w:r>
        <w:softHyphen/>
        <w:t>buffered consonants in syllables is of no import in recognizing the word.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name=e9d13&gt;</w:t>
      </w:r>
      <w:r>
        <w:t>9.13)</w:t>
      </w:r>
      <w:r>
        <w:tab/>
        <w:t>e'u bridi</w:t>
      </w:r>
    </w:p>
    <w:p w:rsidR="00B72047" w:rsidRDefault="00B72047">
      <w:pPr>
        <w:pStyle w:val="examplescaled"/>
      </w:pPr>
      <w:r>
        <w:tab/>
        <w:t>e'u BRI,di</w:t>
      </w:r>
    </w:p>
    <w:p w:rsidR="00B72047" w:rsidRDefault="00B72047">
      <w:pPr>
        <w:pStyle w:val="examplescaled"/>
      </w:pPr>
      <w:r>
        <w:tab/>
        <w:t>E'u BRI,di</w:t>
      </w:r>
    </w:p>
    <w:p w:rsidR="00B72047" w:rsidRDefault="00B72047">
      <w:pPr>
        <w:pStyle w:val="examplescaled"/>
      </w:pPr>
      <w:r>
        <w:tab/>
        <w:t>e'U.BRI,di</w:t>
      </w:r>
    </w:p>
    <w:p w:rsidR="00B72047" w:rsidRDefault="00B72047">
      <w:pPr>
        <w:pStyle w:val="resumedafterexample"/>
      </w:pPr>
      <w:r>
        <w:rPr>
          <w:rStyle w:val="htmlcodes"/>
        </w:rPr>
        <w:t>&lt;/pre&gt;&lt;p&gt;</w:t>
      </w:r>
      <w:r>
        <w:t xml:space="preserve">In </w:t>
      </w:r>
      <w:r>
        <w:rPr>
          <w:rStyle w:val="htmlcodes"/>
        </w:rPr>
        <w:t>&lt;a href=#e9d13&gt;</w:t>
      </w:r>
      <w:r>
        <w:t>Example 9.13</w:t>
      </w:r>
      <w:r>
        <w:rPr>
          <w:rStyle w:val="htmlcodes"/>
        </w:rPr>
        <w:t>&lt;/a&gt;</w:t>
      </w:r>
      <w:r>
        <w:t>, “e'u” is a cmavo and “bridi” is a brivla. Either of the first two pronun</w:t>
      </w:r>
      <w:r>
        <w:softHyphen/>
        <w:t>ciations is permitted: no primary stress on either syl</w:t>
      </w:r>
      <w:r>
        <w:softHyphen/>
        <w:t>lable of “e'u”, or primary stress on the first syllable. The third pronun</w:t>
      </w:r>
      <w:r>
        <w:softHyphen/>
        <w:t>ciation, which places primary stress on the second syllable of the cmavo, requires that — since the following word is a brivla — the two words must be separated by a pause. Consider the following two cases: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name=e9d14&gt;</w:t>
      </w:r>
      <w:r>
        <w:t>9.14)</w:t>
      </w:r>
      <w:r>
        <w:tab/>
        <w:t>le re nobli prenu</w:t>
      </w:r>
    </w:p>
    <w:p w:rsidR="00B72047" w:rsidRDefault="00B72047">
      <w:pPr>
        <w:pStyle w:val="examplescaled"/>
      </w:pPr>
      <w:r>
        <w:tab/>
        <w:t>le re NObli PREnu</w:t>
      </w:r>
    </w:p>
    <w:p w:rsidR="00B72047" w:rsidRDefault="00B72047">
      <w:pPr>
        <w:pStyle w:val="examplescaledpre"/>
      </w:pPr>
      <w:r>
        <w:rPr>
          <w:rStyle w:val="htmlcodes"/>
        </w:rPr>
        <w:t>&lt;a name=e9d15&gt;</w:t>
      </w:r>
      <w:r>
        <w:t>9.15)</w:t>
      </w:r>
      <w:r>
        <w:tab/>
        <w:t>le re no bliprenu</w:t>
      </w:r>
    </w:p>
    <w:p w:rsidR="00B72047" w:rsidRDefault="00B72047">
      <w:pPr>
        <w:pStyle w:val="examplescaled"/>
      </w:pPr>
      <w:r>
        <w:tab/>
        <w:t>le re no bliPREnu</w:t>
      </w:r>
    </w:p>
    <w:p w:rsidR="00B72047" w:rsidRDefault="00B72047">
      <w:pPr>
        <w:pStyle w:val="resumedafterexample"/>
      </w:pPr>
      <w:r>
        <w:rPr>
          <w:rStyle w:val="htmlcodes"/>
        </w:rPr>
        <w:t>&lt;/pre&gt;&lt;p&gt;</w:t>
      </w:r>
      <w:r>
        <w:t xml:space="preserve">If the cmavo “no” in </w:t>
      </w:r>
      <w:r>
        <w:rPr>
          <w:rStyle w:val="htmlcodes"/>
        </w:rPr>
        <w:t>&lt;a href=#e9d15&gt;</w:t>
      </w:r>
      <w:r>
        <w:t xml:space="preserve">Example 9.15 </w:t>
      </w:r>
      <w:r>
        <w:rPr>
          <w:rStyle w:val="htmlcodes"/>
        </w:rPr>
        <w:t>&lt;/a&gt;</w:t>
      </w:r>
      <w:r>
        <w:t xml:space="preserve">were to be stressed, the phrase would sound exactly like the given pronunciation of </w:t>
      </w:r>
      <w:r>
        <w:rPr>
          <w:rStyle w:val="htmlcodes"/>
        </w:rPr>
        <w:t>&lt;a href=#e9d14&gt;</w:t>
      </w:r>
      <w:r>
        <w:t>Example 9.14</w:t>
      </w:r>
      <w:r>
        <w:rPr>
          <w:rStyle w:val="htmlcodes"/>
        </w:rPr>
        <w:t>&lt;/a&gt;</w:t>
      </w:r>
      <w:r>
        <w:t>, which is unacceptable in Lojban: a single pronunciation cannot repre</w:t>
      </w:r>
      <w:r>
        <w:softHyphen/>
        <w:t>sent both.</w:t>
      </w:r>
    </w:p>
    <w:p w:rsidR="00B72047" w:rsidRDefault="00B72047">
      <w:pPr>
        <w:pStyle w:val="Heading3"/>
        <w:rPr>
          <w:rStyle w:val="Heading3Text"/>
        </w:rPr>
      </w:pPr>
      <w:r>
        <w:rPr>
          <w:rStyle w:val="htmlcodes"/>
        </w:rPr>
        <w:t>&lt;p&gt;</w:t>
      </w:r>
      <w:r>
        <w:rPr>
          <w:rStyle w:val="htmlparacode"/>
        </w:rPr>
        <w:t xml:space="preserve"> </w:t>
      </w:r>
      <w:r>
        <w:rPr>
          <w:rStyle w:val="htmlcodes"/>
        </w:rPr>
        <w:t>&lt;a name=s10&gt;&lt;h3&gt;</w:t>
      </w:r>
      <w:bookmarkStart w:id="142" w:name="_Toc395691494"/>
      <w:bookmarkStart w:id="143" w:name="_Toc398970465"/>
      <w:r>
        <w:rPr>
          <w:rStyle w:val="Heading3Text"/>
        </w:rPr>
        <w:t>IPA for English-speakers</w:t>
      </w:r>
      <w:bookmarkEnd w:id="142"/>
      <w:bookmarkEnd w:id="143"/>
      <w:r>
        <w:rPr>
          <w:rStyle w:val="htmlcodes"/>
        </w:rPr>
        <w:t>&lt;/h3&gt;</w:t>
      </w:r>
    </w:p>
    <w:p w:rsidR="00B72047" w:rsidRDefault="00B72047">
      <w:pPr>
        <w:pStyle w:val="normalparagraph"/>
      </w:pPr>
      <w:r>
        <w:rPr>
          <w:rStyle w:val="htmlcodes"/>
        </w:rPr>
        <w:t>&lt;p&gt;</w:t>
      </w:r>
      <w:r>
        <w:rPr>
          <w:rStyle w:val="htmlparacode"/>
        </w:rPr>
        <w:t xml:space="preserve"> </w:t>
      </w:r>
      <w:r>
        <w:rPr>
          <w:rStyle w:val="indexentry"/>
        </w:rPr>
        <w:t>&lt;cx "General American"&gt;</w:t>
      </w:r>
      <w:r>
        <w:rPr>
          <w:rStyle w:val="indexentry"/>
        </w:rPr>
        <w:fldChar w:fldCharType="begin"/>
      </w:r>
      <w:r>
        <w:instrText>xe "</w:instrText>
      </w:r>
      <w:r>
        <w:rPr>
          <w:rStyle w:val="xeentry"/>
        </w:rPr>
        <w:instrText>General American</w:instrText>
      </w:r>
      <w:r>
        <w:instrText>"</w:instrText>
      </w:r>
      <w:r>
        <w:rPr>
          <w:rStyle w:val="indexentry"/>
        </w:rPr>
        <w:fldChar w:fldCharType="end"/>
      </w:r>
      <w:r>
        <w:rPr>
          <w:rStyle w:val="indexentry"/>
        </w:rPr>
        <w:t>&lt;cx "Received Pronunciation"&gt;</w:t>
      </w:r>
      <w:r>
        <w:rPr>
          <w:rStyle w:val="indexentry"/>
        </w:rPr>
        <w:fldChar w:fldCharType="begin"/>
      </w:r>
      <w:r>
        <w:instrText>xe "</w:instrText>
      </w:r>
      <w:r>
        <w:rPr>
          <w:rStyle w:val="xeentry"/>
        </w:rPr>
        <w:instrText>Received Pronunciation</w:instrText>
      </w:r>
      <w:r>
        <w:instrText>"</w:instrText>
      </w:r>
      <w:r>
        <w:rPr>
          <w:rStyle w:val="indexentry"/>
        </w:rPr>
        <w:fldChar w:fldCharType="end"/>
      </w:r>
      <w:r>
        <w:rPr>
          <w:rStyle w:val="indexentry"/>
        </w:rPr>
        <w:t>&lt;cx "television"&gt;</w:t>
      </w:r>
      <w:r>
        <w:rPr>
          <w:rStyle w:val="indexentry"/>
        </w:rPr>
        <w:fldChar w:fldCharType="begin"/>
      </w:r>
      <w:r>
        <w:instrText>xe "</w:instrText>
      </w:r>
      <w:r>
        <w:rPr>
          <w:rStyle w:val="xeentry"/>
        </w:rPr>
        <w:instrText>television</w:instrText>
      </w:r>
      <w:r>
        <w:instrText>"</w:instrText>
      </w:r>
      <w:r>
        <w:rPr>
          <w:rStyle w:val="indexentry"/>
        </w:rPr>
        <w:fldChar w:fldCharType="end"/>
      </w:r>
      <w:r>
        <w:rPr>
          <w:rStyle w:val="indexentry"/>
        </w:rPr>
        <w:t>&lt;cx "IPA pronunciation, description"&gt;</w:t>
      </w:r>
      <w:r>
        <w:rPr>
          <w:rStyle w:val="indexentry"/>
        </w:rPr>
        <w:fldChar w:fldCharType="begin"/>
      </w:r>
      <w:r>
        <w:instrText>xe "</w:instrText>
      </w:r>
      <w:r>
        <w:rPr>
          <w:rStyle w:val="xeentry"/>
        </w:rPr>
        <w:instrText>IPA pronunciation: description</w:instrText>
      </w:r>
      <w:r>
        <w:instrText>"</w:instrText>
      </w:r>
      <w:r>
        <w:rPr>
          <w:rStyle w:val="indexentry"/>
        </w:rPr>
        <w:fldChar w:fldCharType="end"/>
      </w:r>
      <w:r>
        <w:t>There are many dialects of English, thus making it difficult to define the stan</w:t>
      </w:r>
      <w:r>
        <w:softHyphen/>
        <w:t>dardized symbols of the IPA in terms useful to every reader. All the symbols used in this chapter are repeated here, in more or less alphabetical order, with examples drawn from General American. In addition, some attention is given to the Received Pro</w:t>
      </w:r>
      <w:r>
        <w:softHyphen/>
        <w:t>nun</w:t>
      </w:r>
      <w:r>
        <w:softHyphen/>
        <w:t>ciation of (British) English. These two dialects are referred to as GA and RP respec</w:t>
      </w:r>
      <w:r>
        <w:softHyphen/>
        <w:t>tively. Speakers of other dialects should consult a book on phonetics or their local tele</w:t>
      </w:r>
      <w:r>
        <w:softHyphen/>
        <w:t>vision sets.</w:t>
      </w:r>
    </w:p>
    <w:p w:rsidR="00B72047" w:rsidRDefault="00B72047" w:rsidP="007E67C1">
      <w:pPr>
        <w:pStyle w:val="Listnobullets"/>
        <w:numPr>
          <w:ilvl w:val="0"/>
          <w:numId w:val="0"/>
        </w:numPr>
        <w:ind w:left="864" w:hanging="504"/>
      </w:pPr>
      <w:r>
        <w:rPr>
          <w:rStyle w:val="htmlcodes"/>
        </w:rPr>
        <w:t>&lt;p&gt;</w:t>
      </w:r>
      <w:r>
        <w:rPr>
          <w:rStyle w:val="htmlparacode"/>
        </w:rPr>
        <w:t xml:space="preserve"> </w:t>
      </w:r>
      <w:r>
        <w:rPr>
          <w:rStyle w:val="htmlcodes"/>
        </w:rPr>
        <w:t>&lt;dl compact&gt;&lt;dt&gt;&lt;font face="SILDoulosIPA"&gt;</w:t>
      </w:r>
      <w:r>
        <w:t>[</w:t>
      </w:r>
      <w:r>
        <w:rPr>
          <w:rStyle w:val="IPA"/>
        </w:rPr>
        <w:t></w:t>
      </w:r>
      <w:r>
        <w:t>]</w:t>
      </w:r>
      <w:r>
        <w:rPr>
          <w:rStyle w:val="htmlcodes"/>
        </w:rPr>
        <w:t>&lt;/font&gt;</w:t>
      </w:r>
      <w:r>
        <w:tab/>
      </w:r>
      <w:r>
        <w:rPr>
          <w:rStyle w:val="htmlcodes"/>
        </w:rPr>
        <w:t>&lt;dd&gt;</w:t>
      </w:r>
      <w:r>
        <w:t>An IPA indicator of primary stress; the syllable which fol</w:t>
      </w:r>
      <w:r>
        <w:softHyphen/>
        <w:t xml:space="preserve">lows </w:t>
      </w:r>
      <w:r>
        <w:rPr>
          <w:rStyle w:val="htmlcodes"/>
        </w:rPr>
        <w:t>&lt;font face="SILDoulosIPA"&gt;</w:t>
      </w:r>
      <w:r>
        <w:t>[</w:t>
      </w:r>
      <w:r>
        <w:rPr>
          <w:rStyle w:val="IPA"/>
        </w:rPr>
        <w:t></w:t>
      </w:r>
      <w:r>
        <w:t xml:space="preserve">] </w:t>
      </w:r>
      <w:r>
        <w:rPr>
          <w:rStyle w:val="htmlcodes"/>
        </w:rPr>
        <w:t>&lt;/font&gt;</w:t>
      </w:r>
      <w:r>
        <w:t>receives pri</w:t>
      </w:r>
      <w:r>
        <w:softHyphen/>
        <w:t>mary stress.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 This sound is not usually considered part of English. It is the catch in your throat that sometimes occurs prior to the be</w:t>
      </w:r>
      <w:r>
        <w:softHyphen/>
        <w:t>ginning of a word (and some</w:t>
      </w:r>
      <w:r>
        <w:softHyphen/>
        <w:t xml:space="preserve">times a syllable) which starts with a vowel. In some dialects, like Cockney and some kinds of American English, it is used between vowels instead of “t”: “bottle” </w:t>
      </w:r>
      <w:r>
        <w:rPr>
          <w:rStyle w:val="htmlcodes"/>
        </w:rPr>
        <w:t>&lt;font face="SILDoulosIPA"&gt;</w:t>
      </w:r>
      <w:r>
        <w:t>[</w:t>
      </w:r>
      <w:r>
        <w:rPr>
          <w:rStyle w:val="IPA"/>
        </w:rPr>
        <w:t></w:t>
      </w:r>
      <w:r>
        <w:rPr>
          <w:rStyle w:val="IPA"/>
        </w:rPr>
        <w:t></w:t>
      </w:r>
      <w:r>
        <w:rPr>
          <w:rStyle w:val="IPA"/>
        </w:rPr>
        <w:t></w:t>
      </w:r>
      <w:r>
        <w:rPr>
          <w:rStyle w:val="IPA"/>
        </w:rPr>
        <w:t></w:t>
      </w:r>
      <w:r>
        <w:rPr>
          <w:rStyle w:val="IPA"/>
        </w:rPr>
        <w:t></w:t>
      </w:r>
      <w:r>
        <w:t>]</w:t>
      </w:r>
      <w:r>
        <w:rPr>
          <w:rStyle w:val="htmlcodes"/>
        </w:rPr>
        <w:t>&lt;/font&gt;</w:t>
      </w:r>
      <w:r>
        <w:t>. The English interjection “uh-oh!” almost always has it between the syllables.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 symbol indicating that the previous vowel is to be spoken for a longer time than usual. Lojban vowels can be pronounced long in order to make a greater contrast with buffer vowels.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“a”. This sound doesn't occur in GA, but sounds somewhat like the “ar” of “park”, as spo</w:t>
      </w:r>
      <w:r>
        <w:softHyphen/>
        <w:t xml:space="preserve">ken in RP or New England American. It is pronounced further forward in the mouth than </w:t>
      </w:r>
      <w:r>
        <w:rPr>
          <w:rStyle w:val="htmlcodes"/>
        </w:rPr>
        <w:t>&lt;font face="SILDoulosIPA"&gt;</w:t>
      </w:r>
      <w:r>
        <w:t>[</w:t>
      </w:r>
      <w:r>
        <w:rPr>
          <w:rStyle w:val="IPA"/>
        </w:rPr>
        <w:t></w:t>
      </w:r>
      <w:r>
        <w:t>]</w:t>
      </w:r>
      <w:r>
        <w:rPr>
          <w:rStyle w:val="htmlcodes"/>
        </w:rPr>
        <w:t>&lt;/font&gt;</w:t>
      </w:r>
      <w:r>
        <w: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 xml:space="preserve">An allowed variant of Lojban “a”. The “a” of GA “father”. The sound </w:t>
      </w:r>
      <w:r>
        <w:rPr>
          <w:rStyle w:val="htmlcodes"/>
        </w:rPr>
        <w:t>&lt;font face="SILDoulosIPA"&gt;</w:t>
      </w:r>
      <w:r>
        <w:t>[</w:t>
      </w:r>
      <w:r>
        <w:rPr>
          <w:rStyle w:val="IPA"/>
        </w:rPr>
        <w:t></w:t>
      </w:r>
      <w:r>
        <w:t xml:space="preserve">] </w:t>
      </w:r>
      <w:r>
        <w:rPr>
          <w:rStyle w:val="htmlcodes"/>
        </w:rPr>
        <w:t>&lt;/font&gt;</w:t>
      </w:r>
      <w:r>
        <w:t>is preferred because GA speakers often relax an un</w:t>
      </w:r>
      <w:r>
        <w:softHyphen/>
        <w:t xml:space="preserve">stressed </w:t>
      </w:r>
      <w:r>
        <w:rPr>
          <w:rStyle w:val="htmlcodes"/>
        </w:rPr>
        <w:t>&lt;font face="SILDoulosIPA"&gt;</w:t>
      </w:r>
      <w:r>
        <w:t>[</w:t>
      </w:r>
      <w:r>
        <w:rPr>
          <w:rStyle w:val="IPA"/>
        </w:rPr>
        <w:t></w:t>
      </w:r>
      <w:r>
        <w:t xml:space="preserve">] </w:t>
      </w:r>
      <w:r>
        <w:rPr>
          <w:rStyle w:val="htmlcodes"/>
        </w:rPr>
        <w:t>&lt;/font&gt;</w:t>
      </w:r>
      <w:r>
        <w:t xml:space="preserve">into a schwa </w:t>
      </w:r>
      <w:r>
        <w:rPr>
          <w:rStyle w:val="htmlcodes"/>
        </w:rPr>
        <w:t>&lt;font face="SILDoulosIPA"&gt;</w:t>
      </w:r>
      <w:r>
        <w:t>[</w:t>
      </w:r>
      <w:r>
        <w:rPr>
          <w:rStyle w:val="IPA"/>
        </w:rPr>
        <w:t></w:t>
      </w:r>
      <w:r>
        <w:t>]</w:t>
      </w:r>
      <w:r>
        <w:rPr>
          <w:rStyle w:val="htmlcodes"/>
        </w:rPr>
        <w:t>&lt;/font&gt;</w:t>
      </w:r>
      <w:r>
        <w:t>, as in the usual pronunciations of “about” and “sofa”. Because schwa is a dis</w:t>
      </w:r>
      <w:r>
        <w:softHyphen/>
        <w:t xml:space="preserve">tinct vowel in Lojban, English speakers must either learn to avoid this shift or to use </w:t>
      </w:r>
      <w:r>
        <w:rPr>
          <w:rStyle w:val="htmlcodes"/>
        </w:rPr>
        <w:t>&lt;font face="SILDoulosIPA"&gt;</w:t>
      </w:r>
      <w:r>
        <w:t>[</w:t>
      </w:r>
      <w:r>
        <w:rPr>
          <w:rStyle w:val="IPA"/>
        </w:rPr>
        <w:t></w:t>
      </w:r>
      <w:r>
        <w:t xml:space="preserve">] </w:t>
      </w:r>
      <w:r>
        <w:rPr>
          <w:rStyle w:val="htmlcodes"/>
        </w:rPr>
        <w:t>&lt;/font&gt;</w:t>
      </w:r>
      <w:r>
        <w:t xml:space="preserve">instead: the Lojban word for “sofa” is “sfofa”, pronounced </w:t>
      </w:r>
      <w:r>
        <w:rPr>
          <w:rStyle w:val="htmlcodes"/>
        </w:rPr>
        <w:t>&lt;font face="SILDoulosIPA"&gt;</w:t>
      </w:r>
      <w:r>
        <w:t>[</w:t>
      </w:r>
      <w:r>
        <w:rPr>
          <w:rStyle w:val="IPA"/>
        </w:rPr>
        <w:t></w:t>
      </w:r>
      <w:r>
        <w:rPr>
          <w:rStyle w:val="IPA"/>
        </w:rPr>
        <w:t></w:t>
      </w:r>
      <w:r>
        <w:rPr>
          <w:rStyle w:val="IPA"/>
        </w:rPr>
        <w:t></w:t>
      </w:r>
      <w:r>
        <w:rPr>
          <w:rStyle w:val="IPA"/>
        </w:rPr>
        <w:t></w:t>
      </w:r>
      <w:r>
        <w:rPr>
          <w:rStyle w:val="IPA"/>
        </w:rPr>
        <w:t></w:t>
      </w:r>
      <w:r>
        <w:t xml:space="preserve">] </w:t>
      </w:r>
      <w:r>
        <w:rPr>
          <w:rStyle w:val="htmlcodes"/>
        </w:rPr>
        <w:t>&lt;/font&gt;</w:t>
      </w:r>
      <w:r>
        <w:t xml:space="preserve">or </w:t>
      </w:r>
      <w:r>
        <w:rPr>
          <w:rStyle w:val="htmlcodes"/>
        </w:rPr>
        <w:t>&lt;font face="SILDoulosIPA"&gt;</w:t>
      </w:r>
      <w:r>
        <w:t>[</w:t>
      </w:r>
      <w:r>
        <w:rPr>
          <w:rStyle w:val="IPA"/>
        </w:rPr>
        <w:t></w:t>
      </w:r>
      <w:r>
        <w:rPr>
          <w:rStyle w:val="IPA"/>
        </w:rPr>
        <w:t></w:t>
      </w:r>
      <w:r>
        <w:rPr>
          <w:rStyle w:val="IPA"/>
        </w:rPr>
        <w:t></w:t>
      </w:r>
      <w:r>
        <w:rPr>
          <w:rStyle w:val="IPA"/>
        </w:rPr>
        <w:t></w:t>
      </w:r>
      <w:r>
        <w:rPr>
          <w:rStyle w:val="IPA"/>
        </w:rPr>
        <w:t></w:t>
      </w:r>
      <w:r>
        <w:t xml:space="preserve">] </w:t>
      </w:r>
      <w:r>
        <w:rPr>
          <w:rStyle w:val="htmlcodes"/>
        </w:rPr>
        <w:t>&lt;/font&gt;</w:t>
      </w:r>
      <w:r>
        <w:t xml:space="preserve">but never </w:t>
      </w:r>
      <w:r>
        <w:rPr>
          <w:rStyle w:val="htmlcodes"/>
        </w:rPr>
        <w:t>&lt;font face="SILDoulosIPA"&gt;</w:t>
      </w:r>
      <w:r>
        <w:t>[</w:t>
      </w:r>
      <w:r>
        <w:rPr>
          <w:rStyle w:val="IPA"/>
        </w:rPr>
        <w:t></w:t>
      </w:r>
      <w:r>
        <w:rPr>
          <w:rStyle w:val="IPA"/>
        </w:rPr>
        <w:t></w:t>
      </w:r>
      <w:r>
        <w:rPr>
          <w:rStyle w:val="IPA"/>
        </w:rPr>
        <w:t></w:t>
      </w:r>
      <w:r>
        <w:rPr>
          <w:rStyle w:val="IPA"/>
        </w:rPr>
        <w:t></w:t>
      </w:r>
      <w:r>
        <w:rPr>
          <w:rStyle w:val="IPA"/>
        </w:rPr>
        <w:t></w:t>
      </w:r>
      <w:r>
        <w:t xml:space="preserve">] </w:t>
      </w:r>
      <w:r>
        <w:rPr>
          <w:rStyle w:val="htmlcodes"/>
        </w:rPr>
        <w:t>&lt;/font&gt;</w:t>
      </w:r>
      <w:r>
        <w:t>which would be the non-word “sfofy”.</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Not a Lojban sound. The “a” of English “cat”.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“b”. As in English “boy”, “sober”, or “job”.</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“v”. Not an English sound; the Spanish “b” or “v” between vowels. This sound should not be used for Lojban “b”.</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“d”. As in English “dog”, “soda”, or “mad”.</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“e”. The “e of English “met”.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“e”. This sound is not found in English, but is the Spanish “e”, or the tense “e” of Italian. The vowel of English “say” is similar except for the off-glide: you can learn to make this sound by holding your tongue steady while saying the first part of the English vowel.</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“y”. As in the “a” of English “sofa” or “about”. Schwa is generally unstressed in Loj</w:t>
      </w:r>
      <w:r>
        <w:softHyphen/>
        <w:t>ban, as it is in English. It is a totally relaxed sound made with the tongue in the middle of the mouth.</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“f”. As in “fee”, “loafer”, or “chef”.</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“f”. Not an English sound; the Japanese “f” sound.</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“g”. As in English “go”, “eagle”, or “dog”.</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the Lojban apostrophe sound. As in English “aha” or the second “h” in “oh, hello”.</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“i”. Essentially like the English vowel of “pizza” or “machine”, although the English vowel is sometimes pro</w:t>
      </w:r>
      <w:r>
        <w:softHyphen/>
        <w:t>nounced with an off-glide, which should not be present in Lojban.</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 possible Lojban buffer vowel. The “i” of English “bit”.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 possible Lojban buffer vowel. The “u” of “just” in some va</w:t>
      </w:r>
      <w:r>
        <w:softHyphen/>
        <w:t xml:space="preserve">rieties of GA, those which make the word sound more or less like “jist”. Also Russian “y” as in “byt'” (to be); like a schwa </w:t>
      </w:r>
      <w:r>
        <w:rPr>
          <w:rStyle w:val="htmlcodes"/>
        </w:rPr>
        <w:t>&lt;font face="SILDoulosIPA"&gt;</w:t>
      </w:r>
      <w:r>
        <w:t>[</w:t>
      </w:r>
      <w:r>
        <w:rPr>
          <w:rStyle w:val="IPA"/>
        </w:rPr>
        <w:t></w:t>
      </w:r>
      <w:r>
        <w:t>]</w:t>
      </w:r>
      <w:r>
        <w:rPr>
          <w:rStyle w:val="htmlcodes"/>
        </w:rPr>
        <w:t>&lt;/font&gt;</w:t>
      </w:r>
      <w:r>
        <w:t>, but higher in the mouth.</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Used in Lojban diphthongs beginning or ending with “i”. Like the “y” in Eng</w:t>
      </w:r>
      <w:r>
        <w:softHyphen/>
        <w:t>lish “yard” or “say”.</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“k”. As in English “kill”, “token”, or “flak”.</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“l”. As in English “low”, “nylon”, or “excel”.</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rPr>
          <w:rStyle w:val="IPA"/>
        </w:rPr>
        <w:t></w:t>
      </w:r>
      <w:r>
        <w:t>]</w:t>
      </w:r>
      <w:r>
        <w:rPr>
          <w:rStyle w:val="htmlcodes"/>
        </w:rPr>
        <w:t>&lt;/font&gt;</w:t>
      </w:r>
      <w:r>
        <w:tab/>
      </w:r>
      <w:r>
        <w:rPr>
          <w:rStyle w:val="htmlcodes"/>
        </w:rPr>
        <w:t>&lt;dd&gt;</w:t>
      </w:r>
      <w:r>
        <w:t>The syllabic version of Lojban “l”, as in English “bottle” or “middle”.</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“m”. As in English “me”, “humor”, or “ham”.</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rPr>
          <w:rStyle w:val="IPA"/>
        </w:rPr>
        <w:t></w:t>
      </w:r>
      <w:r>
        <w:t>]</w:t>
      </w:r>
      <w:r>
        <w:rPr>
          <w:rStyle w:val="htmlcodes"/>
        </w:rPr>
        <w:t>&lt;/font&gt;</w:t>
      </w:r>
      <w:r>
        <w:tab/>
      </w:r>
      <w:r>
        <w:rPr>
          <w:rStyle w:val="htmlcodes"/>
        </w:rPr>
        <w:t>&lt;dd&gt;</w:t>
      </w:r>
      <w:r>
        <w:t>The syllabic version of Lojban “m”. As in English “catch 'em” or “bottom”.</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“n”. As in English “no”, “honor”, or “son”.</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rPr>
          <w:rStyle w:val="IPA"/>
        </w:rPr>
        <w:t></w:t>
      </w:r>
      <w:r>
        <w:t>]</w:t>
      </w:r>
      <w:r>
        <w:rPr>
          <w:rStyle w:val="htmlcodes"/>
        </w:rPr>
        <w:t>&lt;/font&gt;</w:t>
      </w:r>
      <w:r>
        <w:tab/>
      </w:r>
      <w:r>
        <w:rPr>
          <w:rStyle w:val="htmlcodes"/>
        </w:rPr>
        <w:t>&lt;dd&gt;</w:t>
      </w:r>
      <w:r>
        <w:t>The syllabic version of Lojban “n”. As in English “button”.</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“n”, especially in Lojbanized names and before “g” or “k”. As in English “sing” or “singer” (but not “finger” or “danger”).</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rPr>
          <w:rStyle w:val="IPA"/>
        </w:rPr>
        <w:t></w:t>
      </w:r>
      <w:r>
        <w:t>]</w:t>
      </w:r>
      <w:r>
        <w:rPr>
          <w:rStyle w:val="htmlcodes"/>
        </w:rPr>
        <w:t>&lt;/font&gt;</w:t>
      </w:r>
      <w:r>
        <w:tab/>
      </w:r>
      <w:r>
        <w:rPr>
          <w:rStyle w:val="htmlcodes"/>
        </w:rPr>
        <w:t>&lt;dd&gt;</w:t>
      </w:r>
      <w:r>
        <w:t>An allowed variant of Lojban syllabic “n”, especially in Loj</w:t>
      </w:r>
      <w:r>
        <w:softHyphen/>
        <w:t>banized names.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 xml:space="preserve">The preferred pronunciation of Lojban “o”. As in the French “haute (cuisine)” or Spanish “como”. There is no exact English equivalent of this sound. The nearest GA equivalent is the “o” of “dough” or “joke”, but it is essential that the off-glide (a </w:t>
      </w:r>
      <w:r>
        <w:rPr>
          <w:rStyle w:val="htmlcodes"/>
        </w:rPr>
        <w:t>&lt;font face="SILDoulosIPA"&gt;</w:t>
      </w:r>
      <w:r>
        <w:t>[</w:t>
      </w:r>
      <w:r>
        <w:rPr>
          <w:rStyle w:val="IPA"/>
        </w:rPr>
        <w:t></w:t>
      </w:r>
      <w:r>
        <w:t>]</w:t>
      </w:r>
      <w:r>
        <w:rPr>
          <w:rStyle w:val="htmlcodes"/>
        </w:rPr>
        <w:t>&lt;/font&gt;</w:t>
      </w:r>
      <w:r>
        <w:t xml:space="preserve">-like sound) at the end of the vowel is not pronounced when speaking Lojban. The RP sound in these words is </w:t>
      </w:r>
      <w:r>
        <w:rPr>
          <w:rStyle w:val="htmlcodes"/>
        </w:rPr>
        <w:t>&lt;font face="SILDoulosIPA"&gt;</w:t>
      </w:r>
      <w:r>
        <w:t>[</w:t>
      </w:r>
      <w:r>
        <w:rPr>
          <w:rStyle w:val="IPA"/>
        </w:rPr>
        <w:t></w:t>
      </w:r>
      <w:r>
        <w:rPr>
          <w:rStyle w:val="IPA"/>
        </w:rPr>
        <w:t></w:t>
      </w:r>
      <w:r>
        <w:t xml:space="preserve">] </w:t>
      </w:r>
      <w:r>
        <w:rPr>
          <w:rStyle w:val="htmlcodes"/>
        </w:rPr>
        <w:t>&lt;/font&gt;</w:t>
      </w:r>
      <w:r>
        <w:t xml:space="preserve">in IPA terms, and has no </w:t>
      </w:r>
      <w:r>
        <w:rPr>
          <w:rStyle w:val="htmlcodes"/>
        </w:rPr>
        <w:t>&lt;font face="SILDoulosIPA"&gt;</w:t>
      </w:r>
      <w:r>
        <w:t>[</w:t>
      </w:r>
      <w:r>
        <w:rPr>
          <w:rStyle w:val="IPA"/>
        </w:rPr>
        <w:t></w:t>
      </w:r>
      <w:r>
        <w:t xml:space="preserve">] </w:t>
      </w:r>
      <w:r>
        <w:rPr>
          <w:rStyle w:val="htmlcodes"/>
        </w:rPr>
        <w:t>&lt;/font&gt;</w:t>
      </w:r>
      <w:r>
        <w:t>in it at all; unless you can speak with a Scots, Irish, or Ameri</w:t>
      </w:r>
      <w:r>
        <w:softHyphen/>
        <w:t>can accent, you may have trouble with this sound.</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“o”, especially before “r”. This sound is a short</w:t>
      </w:r>
      <w:r>
        <w:softHyphen/>
        <w:t>ened form of the “aw” in GA “dawn” (for those people who don't pronounce “dawn” and “Don” alike; if you do, you may have trouble with this sound). In RP, but not GA, it is the “o” of “hot”.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“p”. As in English “pay”, “super”, or “up”.</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One version of Lojban “r”. Not an English sound. The Spanish “rr” and the Scots “r”, a tongue-tip trill.</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One version of Lojban “r”. As in GA “right”, “baron”, or “car”. Not found in RP.</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One version of Lojban “r”. In GA, appears as a variant of “t” or “d” in the words “metal” and “medal” respectively. A tongue-tip flap.</w:t>
      </w:r>
    </w:p>
    <w:p w:rsidR="00B72047" w:rsidRDefault="00B72047" w:rsidP="007E67C1">
      <w:pPr>
        <w:pStyle w:val="Listnobullets"/>
        <w:numPr>
          <w:ilvl w:val="0"/>
          <w:numId w:val="0"/>
        </w:numPr>
        <w:ind w:left="864" w:hanging="504"/>
      </w:pPr>
      <w:r>
        <w:rPr>
          <w:rStyle w:val="htmlcodes"/>
        </w:rPr>
        <w:t>&lt;font face="SILDoulosIPA"&gt;</w:t>
      </w:r>
      <w:r>
        <w:t>[</w:t>
      </w:r>
      <w:r>
        <w:rPr>
          <w:rStyle w:val="IPA"/>
        </w:rPr>
        <w:t></w:t>
      </w:r>
      <w:r>
        <w:t>]</w:t>
      </w:r>
      <w:r>
        <w:rPr>
          <w:rStyle w:val="htmlcodes"/>
        </w:rPr>
        <w:t>&lt;/font&gt;</w:t>
      </w:r>
      <w:r>
        <w:tab/>
        <w:t>One version of Lojban “r”. Not an English sound. The French or German “r” in “reine” or “rot” respectively. A uvular trill.</w:t>
      </w:r>
    </w:p>
    <w:p w:rsidR="00B72047" w:rsidRDefault="00B72047" w:rsidP="007E67C1">
      <w:pPr>
        <w:pStyle w:val="Listnobullets"/>
        <w:numPr>
          <w:ilvl w:val="0"/>
          <w:numId w:val="0"/>
        </w:numPr>
        <w:ind w:left="864" w:hanging="504"/>
      </w:pPr>
      <w:r>
        <w:rPr>
          <w:rStyle w:val="htmlcodes"/>
        </w:rPr>
        <w:t>&lt;p&gt;&lt;dt&gt;&lt;dd&gt;&lt;font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w:t>
      </w:r>
      <w:r>
        <w:rPr>
          <w:rStyle w:val="htmlcodes"/>
        </w:rPr>
        <w:t>&lt;/font&gt;</w:t>
      </w:r>
      <w:r>
        <w:t xml:space="preserve">, </w:t>
      </w:r>
      <w:r>
        <w:rPr>
          <w:rStyle w:val="htmlcodes"/>
        </w:rPr>
        <w:t>&lt;font face="SILDoulosIPA"&gt;</w:t>
      </w:r>
      <w:r>
        <w:t>[</w:t>
      </w:r>
      <w:r>
        <w:rPr>
          <w:rStyle w:val="IPA"/>
        </w:rPr>
        <w:t></w:t>
      </w:r>
      <w:r>
        <w:rPr>
          <w:rStyle w:val="IPA"/>
        </w:rPr>
        <w:t></w:t>
      </w:r>
      <w:r>
        <w:t xml:space="preserve">] </w:t>
      </w:r>
      <w:r>
        <w:rPr>
          <w:rStyle w:val="htmlcodes"/>
        </w:rPr>
        <w:t>&lt;/font&gt;</w:t>
      </w:r>
      <w:r>
        <w:t xml:space="preserve">are syllabic versions of the above. </w:t>
      </w:r>
      <w:r>
        <w:rPr>
          <w:rStyle w:val="htmlcodes"/>
        </w:rPr>
        <w:t>&lt;font face="SILDoulosIPA"&gt;</w:t>
      </w:r>
      <w:r>
        <w:t>[</w:t>
      </w:r>
      <w:r>
        <w:rPr>
          <w:rStyle w:val="IPA"/>
        </w:rPr>
        <w:t></w:t>
      </w:r>
      <w:r>
        <w:rPr>
          <w:rStyle w:val="IPA"/>
        </w:rPr>
        <w:t></w:t>
      </w:r>
      <w:r>
        <w:t xml:space="preserve">] </w:t>
      </w:r>
      <w:r>
        <w:rPr>
          <w:rStyle w:val="htmlcodes"/>
        </w:rPr>
        <w:t>&lt;/font&gt;</w:t>
      </w:r>
      <w:r>
        <w:t>appears in the GA (but not RP) pronunciation of “bird”.</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“s”. As in English “so”, “basin”, or “yes”.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“c”. The “sh” of Eng</w:t>
      </w:r>
      <w:r>
        <w:softHyphen/>
        <w:t>lish “ship”, “ashen”, or “dish”.</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An allowed variant of Lojban “s”. Not an English sound. The Hindi retroflex “s” with dot below, or Klingon “S”.</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“t”. As in English “tea”, “later”, or “not”. It is important to avoid the GA habit of pro</w:t>
      </w:r>
      <w:r>
        <w:softHyphen/>
        <w:t>nounc</w:t>
      </w:r>
      <w:r>
        <w:softHyphen/>
        <w:t xml:space="preserve">ing the “t” between vowels as </w:t>
      </w:r>
      <w:r>
        <w:rPr>
          <w:rStyle w:val="htmlcodes"/>
        </w:rPr>
        <w:t>&lt;font face="SILDoulosIPA"&gt;</w:t>
      </w:r>
      <w:r>
        <w:t>[</w:t>
      </w:r>
      <w:r>
        <w:rPr>
          <w:rStyle w:val="IPA"/>
        </w:rPr>
        <w:t></w:t>
      </w:r>
      <w:r>
        <w:t xml:space="preserve">] </w:t>
      </w:r>
      <w:r>
        <w:rPr>
          <w:rStyle w:val="htmlcodes"/>
        </w:rPr>
        <w:t>&lt;/font&gt;</w:t>
      </w:r>
      <w:r>
        <w:t xml:space="preserve">or </w:t>
      </w:r>
      <w:r>
        <w:rPr>
          <w:rStyle w:val="htmlcodes"/>
        </w:rPr>
        <w:t>&lt;font face="SILDoulosIPA"&gt;</w:t>
      </w:r>
      <w:r>
        <w:t>[</w:t>
      </w:r>
      <w:r>
        <w:rPr>
          <w:rStyle w:val="IPA"/>
        </w:rPr>
        <w:t></w:t>
      </w:r>
      <w:r>
        <w:t>]</w:t>
      </w:r>
      <w:r>
        <w:rPr>
          <w:rStyle w:val="htmlcodes"/>
        </w:rPr>
        <w:t>&lt;/font&gt;</w:t>
      </w:r>
      <w:r>
        <w: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Not normally a Lojban sound, but a possible variant of Loj</w:t>
      </w:r>
      <w:r>
        <w:softHyphen/>
        <w:t>ban “ ' ”. The “th” of English “thin” (but not “then”).</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“v”. As in English “voice”, “savor”, or “live”.</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 xml:space="preserve">Used in Lojban diphthongs beginning or ending with “u”. Like the “w” in English “wet” </w:t>
      </w:r>
      <w:r>
        <w:rPr>
          <w:rStyle w:val="htmlcodes"/>
        </w:rPr>
        <w:t>&lt;font face="SILDoulosIPA"&gt;</w:t>
      </w:r>
      <w:r>
        <w:t>[</w:t>
      </w:r>
      <w:r>
        <w:rPr>
          <w:rStyle w:val="IPA"/>
        </w:rPr>
        <w:t></w:t>
      </w:r>
      <w:r>
        <w:rPr>
          <w:rStyle w:val="IPA"/>
        </w:rPr>
        <w:t></w:t>
      </w:r>
      <w:r>
        <w:rPr>
          <w:rStyle w:val="IPA"/>
        </w:rPr>
        <w:t></w:t>
      </w:r>
      <w:r>
        <w:t xml:space="preserve">] </w:t>
      </w:r>
      <w:r>
        <w:rPr>
          <w:rStyle w:val="htmlcodes"/>
        </w:rPr>
        <w:t>&lt;/font&gt;</w:t>
      </w:r>
      <w:r>
        <w:t xml:space="preserve">or “cow” </w:t>
      </w:r>
      <w:r>
        <w:rPr>
          <w:rStyle w:val="htmlcodes"/>
        </w:rPr>
        <w:t>&lt;font face="SILDoulosIPA"&gt;</w:t>
      </w:r>
      <w:r>
        <w:t>[</w:t>
      </w:r>
      <w:r>
        <w:rPr>
          <w:rStyle w:val="IPA"/>
        </w:rPr>
        <w:t></w:t>
      </w:r>
      <w:r>
        <w:rPr>
          <w:rStyle w:val="IPA"/>
        </w:rPr>
        <w:t></w:t>
      </w:r>
      <w:r>
        <w:rPr>
          <w:rStyle w:val="IPA"/>
        </w:rPr>
        <w:t></w:t>
      </w:r>
      <w:r>
        <w:t>]</w:t>
      </w:r>
      <w:r>
        <w:rPr>
          <w:rStyle w:val="htmlcodes"/>
        </w:rPr>
        <w:t>&lt;/font&gt;</w:t>
      </w:r>
      <w:r>
        <w:t>.</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 xml:space="preserve">The preferred pronunciation of Lojban “x”. Not normally an English sound, but used in some pronunciations of “loch” and “Bach”; “gh” in Scots “might” and “night”. The German “Ach-Laut”. To pronounce </w:t>
      </w:r>
      <w:r>
        <w:rPr>
          <w:rStyle w:val="htmlcodes"/>
        </w:rPr>
        <w:t>&lt;font face="SILDoulosIPA"&gt;</w:t>
      </w:r>
      <w:r>
        <w:t>[</w:t>
      </w:r>
      <w:r>
        <w:rPr>
          <w:rStyle w:val="IPA"/>
        </w:rPr>
        <w:t></w:t>
      </w:r>
      <w:r>
        <w:t>]</w:t>
      </w:r>
      <w:r>
        <w:rPr>
          <w:rStyle w:val="htmlcodes"/>
        </w:rPr>
        <w:t>&lt;/font&gt;</w:t>
      </w:r>
      <w:r>
        <w:t>, force air through your throat without vibrating your vocal chords; there should be lots of scrape.</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A possible Lojban buffer vowel. Not an English sound: the “ü” of German “hübsch”.</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“z”. As in English “zoo”, “hazard”, or “fizz”.</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The preferred pronunciation of Lojban “j”. The “si” of English “vision”, or the consonant at the end of GA “garage”.</w:t>
      </w:r>
    </w:p>
    <w:p w:rsidR="00B72047" w:rsidRDefault="00B72047" w:rsidP="007E67C1">
      <w:pPr>
        <w:pStyle w:val="Listnobullets"/>
        <w:numPr>
          <w:ilvl w:val="0"/>
          <w:numId w:val="0"/>
        </w:numPr>
        <w:ind w:left="864" w:hanging="504"/>
      </w:pPr>
      <w:r>
        <w:rPr>
          <w:rStyle w:val="htmlcodes"/>
        </w:rPr>
        <w:t>&lt;p&gt;&lt;dt&gt;&lt;font face="SILDoulosIPA"&gt;</w:t>
      </w:r>
      <w:r>
        <w:t>[</w:t>
      </w:r>
      <w:r>
        <w:rPr>
          <w:rStyle w:val="IPA"/>
        </w:rPr>
        <w:t></w:t>
      </w:r>
      <w:r>
        <w:t>]</w:t>
      </w:r>
      <w:r>
        <w:rPr>
          <w:rStyle w:val="htmlcodes"/>
        </w:rPr>
        <w:t>&lt;/font&gt;</w:t>
      </w:r>
      <w:r>
        <w:tab/>
      </w:r>
      <w:r>
        <w:rPr>
          <w:rStyle w:val="htmlcodes"/>
        </w:rPr>
        <w:t>&lt;dd&gt;</w:t>
      </w:r>
      <w:r>
        <w:t xml:space="preserve">An allowed variant of Lojban “z”. Not an English sound. The voiced version of </w:t>
      </w:r>
      <w:r>
        <w:rPr>
          <w:rStyle w:val="htmlcodes"/>
        </w:rPr>
        <w:t>&lt;font face="SILDoulosIPA"&gt;</w:t>
      </w:r>
      <w:r>
        <w:t>[</w:t>
      </w:r>
      <w:r>
        <w:rPr>
          <w:rStyle w:val="IPA"/>
        </w:rPr>
        <w:t></w:t>
      </w:r>
      <w:r>
        <w:rPr>
          <w:rStyle w:val="IPA"/>
        </w:rPr>
        <w:t></w:t>
      </w:r>
      <w:r>
        <w:rPr>
          <w:rStyle w:val="htmlcodes"/>
        </w:rPr>
        <w:t>&lt;/font&gt;</w:t>
      </w:r>
      <w:r>
        <w:t>.</w:t>
      </w:r>
    </w:p>
    <w:p w:rsidR="00B72047" w:rsidRDefault="00B72047">
      <w:pPr>
        <w:pStyle w:val="Heading3"/>
        <w:rPr>
          <w:rStyle w:val="Heading3Text"/>
        </w:rPr>
      </w:pPr>
      <w:r>
        <w:rPr>
          <w:rStyle w:val="htmlcodes"/>
        </w:rPr>
        <w:t>&lt;/dl&gt;&lt;a name=s11&gt;&lt;h3&gt;</w:t>
      </w:r>
      <w:bookmarkStart w:id="144" w:name="_Toc395691495"/>
      <w:bookmarkStart w:id="145" w:name="_Toc398970466"/>
      <w:r>
        <w:rPr>
          <w:rStyle w:val="Heading3Text"/>
        </w:rPr>
        <w:t>English analogues for Lojban diphthongs</w:t>
      </w:r>
      <w:bookmarkEnd w:id="144"/>
      <w:bookmarkEnd w:id="14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"diphthongs, English analogues of"&gt;</w:t>
      </w:r>
      <w:r>
        <w:rPr>
          <w:rStyle w:val="indexentry"/>
        </w:rPr>
        <w:fldChar w:fldCharType="begin"/>
      </w:r>
      <w:r>
        <w:instrText>xe "</w:instrText>
      </w:r>
      <w:r>
        <w:rPr>
          <w:rStyle w:val="xeentry"/>
        </w:rPr>
        <w:instrText>diphthongs: English analogues of</w:instrText>
      </w:r>
      <w:r>
        <w:instrText>"</w:instrText>
      </w:r>
      <w:r>
        <w:rPr>
          <w:rStyle w:val="indexentry"/>
        </w:rPr>
        <w:fldChar w:fldCharType="end"/>
      </w:r>
      <w:r>
        <w:t>Here is a list of English words that contain diphthongs that are similar</w:t>
      </w:r>
      <w:r>
        <w:rPr>
          <w:rStyle w:val="deletedparamark"/>
        </w:rPr>
        <w:t xml:space="preserve"> </w:t>
      </w:r>
      <w:r>
        <w:t>to the Lojban diphthongs. This list does not constitute an official</w:t>
      </w:r>
      <w:r>
        <w:rPr>
          <w:rStyle w:val="deletedparamark"/>
        </w:rPr>
        <w:t xml:space="preserve"> </w:t>
      </w:r>
      <w:r>
        <w:t>pronunciation guide; it is intended as a help to English-speak</w:t>
      </w:r>
      <w:r>
        <w:softHyphen/>
        <w:t>ers.</w:t>
      </w:r>
    </w:p>
    <w:p w:rsidR="00B72047" w:rsidRDefault="00B72047">
      <w:pPr>
        <w:pStyle w:val="exampwidetabs"/>
        <w:rPr>
          <w:rStyle w:val="htmlparacode"/>
        </w:rPr>
      </w:pPr>
      <w:r>
        <w:rPr>
          <w:rStyle w:val="htmlparacode"/>
        </w:rPr>
        <w:t>&lt;p&gt;</w:t>
      </w:r>
    </w:p>
    <w:p w:rsidR="00B72047" w:rsidRDefault="00B72047">
      <w:pPr>
        <w:pStyle w:val="examplewtabspre"/>
      </w:pPr>
      <w:r>
        <w:rPr>
          <w:rStyle w:val="htmlcodes"/>
        </w:rPr>
        <w:t>&lt;pre&gt;</w:t>
      </w:r>
      <w:r>
        <w:t xml:space="preserve">      Lojban</w:t>
      </w:r>
      <w:r>
        <w:tab/>
        <w:t xml:space="preserve"> English</w:t>
      </w:r>
    </w:p>
    <w:p w:rsidR="00B72047" w:rsidRDefault="00B72047">
      <w:pPr>
        <w:pStyle w:val="examplewtabspre"/>
      </w:pPr>
      <w:r>
        <w:tab/>
        <w:t>ai</w:t>
      </w:r>
      <w:r>
        <w:tab/>
        <w:t xml:space="preserve"> “pie”</w:t>
      </w:r>
    </w:p>
    <w:p w:rsidR="00B72047" w:rsidRDefault="00B72047">
      <w:pPr>
        <w:pStyle w:val="exampwidetabs"/>
      </w:pPr>
      <w:r>
        <w:tab/>
        <w:t>ei</w:t>
      </w:r>
      <w:r>
        <w:tab/>
        <w:t xml:space="preserve"> “pay”</w:t>
      </w:r>
    </w:p>
    <w:p w:rsidR="00B72047" w:rsidRDefault="00B72047">
      <w:pPr>
        <w:pStyle w:val="exampwidetabs"/>
      </w:pPr>
      <w:r>
        <w:tab/>
        <w:t>oi</w:t>
      </w:r>
      <w:r>
        <w:tab/>
        <w:t xml:space="preserve"> “boy”</w:t>
      </w:r>
    </w:p>
    <w:p w:rsidR="00B72047" w:rsidRDefault="00B72047">
      <w:pPr>
        <w:pStyle w:val="exampwidetabs"/>
      </w:pPr>
      <w:r>
        <w:tab/>
        <w:t>au</w:t>
      </w:r>
      <w:r>
        <w:tab/>
        <w:t xml:space="preserve"> “cow”</w:t>
      </w:r>
    </w:p>
    <w:p w:rsidR="00B72047" w:rsidRDefault="00B72047">
      <w:pPr>
        <w:pStyle w:val="examplewtabspre"/>
      </w:pPr>
      <w:r>
        <w:tab/>
        <w:t>ia</w:t>
      </w:r>
      <w:r>
        <w:tab/>
        <w:t xml:space="preserve"> “yard”</w:t>
      </w:r>
    </w:p>
    <w:p w:rsidR="00B72047" w:rsidRDefault="00B72047">
      <w:pPr>
        <w:pStyle w:val="exampwidetabs"/>
      </w:pPr>
      <w:r>
        <w:tab/>
        <w:t>ie</w:t>
      </w:r>
      <w:r>
        <w:tab/>
        <w:t xml:space="preserve"> “yes”</w:t>
      </w:r>
    </w:p>
    <w:p w:rsidR="00B72047" w:rsidRDefault="00B72047">
      <w:pPr>
        <w:pStyle w:val="exampwidetabs"/>
      </w:pPr>
      <w:r>
        <w:tab/>
        <w:t>ii</w:t>
      </w:r>
      <w:r>
        <w:tab/>
        <w:t xml:space="preserve"> “ye”</w:t>
      </w:r>
    </w:p>
    <w:p w:rsidR="00B72047" w:rsidRDefault="00B72047">
      <w:pPr>
        <w:pStyle w:val="exampwidetabs"/>
      </w:pPr>
      <w:r>
        <w:tab/>
        <w:t>io</w:t>
      </w:r>
      <w:r>
        <w:tab/>
        <w:t xml:space="preserve"> “yodel” (in GA only)</w:t>
      </w:r>
    </w:p>
    <w:p w:rsidR="00B72047" w:rsidRDefault="00B72047">
      <w:pPr>
        <w:pStyle w:val="exampwidetabs"/>
      </w:pPr>
      <w:r>
        <w:tab/>
        <w:t>iu</w:t>
      </w:r>
      <w:r>
        <w:tab/>
        <w:t xml:space="preserve"> “unicorn” or “few”</w:t>
      </w:r>
    </w:p>
    <w:p w:rsidR="00B72047" w:rsidRDefault="00B72047">
      <w:pPr>
        <w:pStyle w:val="examplewtabspre"/>
      </w:pPr>
      <w:r>
        <w:tab/>
        <w:t>ua</w:t>
      </w:r>
      <w:r>
        <w:tab/>
        <w:t xml:space="preserve"> “suave”</w:t>
      </w:r>
    </w:p>
    <w:p w:rsidR="00B72047" w:rsidRDefault="00B72047">
      <w:pPr>
        <w:pStyle w:val="exampwidetabs"/>
      </w:pPr>
      <w:r>
        <w:tab/>
        <w:t>ue</w:t>
      </w:r>
      <w:r>
        <w:tab/>
        <w:t xml:space="preserve"> “wet”</w:t>
      </w:r>
    </w:p>
    <w:p w:rsidR="00B72047" w:rsidRDefault="00B72047">
      <w:pPr>
        <w:pStyle w:val="exampwidetabs"/>
      </w:pPr>
      <w:r>
        <w:tab/>
        <w:t>ui</w:t>
      </w:r>
      <w:r>
        <w:tab/>
        <w:t xml:space="preserve"> “we”</w:t>
      </w:r>
    </w:p>
    <w:p w:rsidR="00B72047" w:rsidRDefault="00B72047">
      <w:pPr>
        <w:pStyle w:val="exampwidetabs"/>
      </w:pPr>
      <w:r>
        <w:tab/>
        <w:t>uo</w:t>
      </w:r>
      <w:r>
        <w:tab/>
        <w:t xml:space="preserve"> “woe” (in GA only)</w:t>
      </w:r>
    </w:p>
    <w:p w:rsidR="00B72047" w:rsidRDefault="00B72047">
      <w:pPr>
        <w:pStyle w:val="exampwidetabs"/>
      </w:pPr>
      <w:r>
        <w:tab/>
        <w:t>uu</w:t>
      </w:r>
      <w:r>
        <w:tab/>
        <w:t xml:space="preserve"> “woo”</w:t>
      </w:r>
    </w:p>
    <w:p w:rsidR="00B72047" w:rsidRDefault="00B72047">
      <w:pPr>
        <w:pStyle w:val="examplewtabspre"/>
      </w:pPr>
      <w:r>
        <w:tab/>
        <w:t>iy</w:t>
      </w:r>
      <w:r>
        <w:tab/>
        <w:t xml:space="preserve"> “million” (the “io” part, that is)</w:t>
      </w:r>
    </w:p>
    <w:p w:rsidR="00B72047" w:rsidRDefault="00B72047">
      <w:pPr>
        <w:pStyle w:val="exampwidetabs"/>
      </w:pPr>
      <w:r>
        <w:tab/>
        <w:t>uy</w:t>
      </w:r>
      <w:r>
        <w:tab/>
        <w:t xml:space="preserve"> “was” (when unstressed)</w:t>
      </w:r>
    </w:p>
    <w:p w:rsidR="00B72047" w:rsidRDefault="00B72047">
      <w:pPr>
        <w:pStyle w:val="Heading3"/>
        <w:rPr>
          <w:rStyle w:val="Heading3Text"/>
        </w:rPr>
      </w:pPr>
      <w:r>
        <w:rPr>
          <w:rStyle w:val="htmlcodes"/>
        </w:rPr>
        <w:t>&lt;/pre&gt;&lt;a name=s12&gt;&lt;h3&gt;</w:t>
      </w:r>
      <w:bookmarkStart w:id="146" w:name="_Toc395691496"/>
      <w:bookmarkStart w:id="147" w:name="_Toc398970467"/>
      <w:r>
        <w:rPr>
          <w:rStyle w:val="Heading3Text"/>
        </w:rPr>
        <w:t>Oddball orthographies</w:t>
      </w:r>
      <w:bookmarkEnd w:id="146"/>
      <w:bookmarkEnd w:id="14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"orthography, non-standard"&gt;</w:t>
      </w:r>
      <w:r>
        <w:rPr>
          <w:rStyle w:val="indexentry"/>
        </w:rPr>
        <w:fldChar w:fldCharType="begin"/>
      </w:r>
      <w:r>
        <w:instrText>xe "</w:instrText>
      </w:r>
      <w:r>
        <w:rPr>
          <w:rStyle w:val="xeentry"/>
        </w:rPr>
        <w:instrText>orthography: non-standard</w:instrText>
      </w:r>
      <w:r>
        <w:instrText>"</w:instrText>
      </w:r>
      <w:r>
        <w:rPr>
          <w:rStyle w:val="indexentry"/>
        </w:rPr>
        <w:fldChar w:fldCharType="end"/>
      </w:r>
      <w:r>
        <w:t>The following notes describe ways in which Lojban has been written</w:t>
      </w:r>
      <w:r>
        <w:rPr>
          <w:rStyle w:val="deletedparamark"/>
        </w:rPr>
        <w:t xml:space="preserve"> </w:t>
      </w:r>
      <w:r>
        <w:t>or could be written that differ from the standard orthography explained</w:t>
      </w:r>
      <w:r>
        <w:rPr>
          <w:rStyle w:val="deletedparamark"/>
        </w:rPr>
        <w:t xml:space="preserve"> </w:t>
      </w:r>
      <w:r>
        <w:t>in the rest of this chapter. No</w:t>
      </w:r>
      <w:r>
        <w:softHyphen/>
        <w:t>body needs to read this sec</w:t>
      </w:r>
      <w:r>
        <w:softHyphen/>
        <w:t>tion except</w:t>
      </w:r>
      <w:r>
        <w:rPr>
          <w:rStyle w:val="deletedparamark"/>
        </w:rPr>
        <w:t xml:space="preserve"> </w:t>
      </w:r>
      <w:r>
        <w:t>people with an interest in the obscure. Techni</w:t>
      </w:r>
      <w:r>
        <w:softHyphen/>
        <w:t>cali</w:t>
      </w:r>
      <w:r>
        <w:softHyphen/>
        <w:t>ties are used without</w:t>
      </w:r>
      <w:r>
        <w:rPr>
          <w:rStyle w:val="deletedparamark"/>
        </w:rPr>
        <w:t xml:space="preserve"> </w:t>
      </w:r>
      <w:r>
        <w:t>explanation or further apology.</w:t>
      </w:r>
    </w:p>
    <w:p w:rsidR="00B72047" w:rsidRDefault="00B72047">
      <w:pPr>
        <w:pStyle w:val="normalparagraph"/>
        <w:rPr>
          <w:rStyle w:val="htmlparacode"/>
        </w:rPr>
      </w:pPr>
      <w:r>
        <w:rPr>
          <w:rStyle w:val="htmlparacode"/>
        </w:rPr>
        <w:t>&lt;p&gt;</w:t>
      </w:r>
    </w:p>
    <w:p w:rsidR="00B72047" w:rsidRDefault="00B72047">
      <w:pPr>
        <w:pStyle w:val="normalparagraph"/>
      </w:pPr>
      <w:r>
        <w:t>There exists an alternative orthography for Lojban, which is designed to be</w:t>
      </w:r>
      <w:r>
        <w:rPr>
          <w:rStyle w:val="deletedparamark"/>
        </w:rPr>
        <w:t xml:space="preserve"> </w:t>
      </w:r>
      <w:r>
        <w:t>as com</w:t>
      </w:r>
      <w:r>
        <w:softHyphen/>
        <w:t>patible as possible (but no more so) with the orthography used in pre-Lojban versions of Loglan. The consonants un</w:t>
      </w:r>
      <w:r>
        <w:softHyphen/>
        <w:t>dergo no change, except</w:t>
      </w:r>
      <w:r>
        <w:rPr>
          <w:rStyle w:val="deletedparamark"/>
        </w:rPr>
        <w:t xml:space="preserve"> </w:t>
      </w:r>
      <w:r>
        <w:t>that “x” is replaced by “h”. The indi</w:t>
      </w:r>
      <w:r>
        <w:softHyphen/>
        <w:t>vidual vowels likewise remain</w:t>
      </w:r>
      <w:r>
        <w:rPr>
          <w:rStyle w:val="deletedparamark"/>
        </w:rPr>
        <w:t xml:space="preserve"> </w:t>
      </w:r>
      <w:r>
        <w:t>unchanged. However, the vowel pairs and diph</w:t>
      </w:r>
      <w:r>
        <w:softHyphen/>
        <w:t>thongs are changed as</w:t>
      </w:r>
      <w:r>
        <w:rPr>
          <w:rStyle w:val="deletedparamark"/>
        </w:rPr>
        <w:t xml:space="preserve"> </w:t>
      </w:r>
      <w:r>
        <w:t>follows: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“ai”, “ei”, “oi”, “au” become “ai”, “ei”, “oi”, “ao”.</w:t>
      </w:r>
    </w:p>
    <w:p w:rsidR="00B72047" w:rsidRDefault="00B72047" w:rsidP="007E67C1">
      <w:pPr>
        <w:pStyle w:val="Listjustified"/>
        <w:numPr>
          <w:ilvl w:val="0"/>
          <w:numId w:val="2"/>
        </w:numPr>
        <w:ind w:left="792" w:hanging="432"/>
      </w:pPr>
      <w:r>
        <w:rPr>
          <w:rStyle w:val="htmlcodes"/>
        </w:rPr>
        <w:t>&lt;p&gt;&lt;dt&gt;&lt;dd&gt;</w:t>
      </w:r>
      <w:r>
        <w:t>“ia” through “iu” and “ua” through “uu” remain un</w:t>
      </w:r>
      <w:r>
        <w:softHyphen/>
        <w:t>changed.</w:t>
      </w:r>
    </w:p>
    <w:p w:rsidR="00B72047" w:rsidRDefault="00B72047" w:rsidP="007E67C1">
      <w:pPr>
        <w:pStyle w:val="Listjustified"/>
        <w:numPr>
          <w:ilvl w:val="0"/>
          <w:numId w:val="2"/>
        </w:numPr>
        <w:ind w:left="792" w:hanging="432"/>
      </w:pPr>
      <w:r>
        <w:rPr>
          <w:rStyle w:val="htmlcodes"/>
        </w:rPr>
        <w:t>&lt;p&gt;&lt;dt&gt;&lt;dd&gt;</w:t>
      </w:r>
      <w:r>
        <w:t>“a'i”, “e'i”, “o'i” and “a'o” become “a,i”, “e,i”, “o,i” and “a,o”.</w:t>
      </w:r>
    </w:p>
    <w:p w:rsidR="00B72047" w:rsidRDefault="00B72047" w:rsidP="007E67C1">
      <w:pPr>
        <w:pStyle w:val="Listjustified"/>
        <w:numPr>
          <w:ilvl w:val="0"/>
          <w:numId w:val="2"/>
        </w:numPr>
        <w:ind w:left="792" w:hanging="432"/>
      </w:pPr>
      <w:r>
        <w:rPr>
          <w:rStyle w:val="htmlcodes"/>
        </w:rPr>
        <w:t>&lt;p&gt;&lt;dt&gt;&lt;dd&gt;</w:t>
      </w:r>
      <w:r>
        <w:t>“i'a” through “i'u” and “u'a” through “u'u” are changed to “ia” through “iu” and “ua” through “uu” in lujvo and cmavo other than attitudinals, but be</w:t>
      </w:r>
      <w:r>
        <w:softHyphen/>
        <w:t>come “i,a” through “i,u” and “u,a” through “u,u” in names, fu'ivla, and at</w:t>
      </w:r>
      <w:r>
        <w:softHyphen/>
        <w:t>titudinal cmavo.</w:t>
      </w:r>
    </w:p>
    <w:p w:rsidR="00B72047" w:rsidRDefault="00B72047" w:rsidP="007E67C1">
      <w:pPr>
        <w:pStyle w:val="Listjustified"/>
        <w:numPr>
          <w:ilvl w:val="0"/>
          <w:numId w:val="2"/>
        </w:numPr>
        <w:ind w:left="792" w:hanging="432"/>
      </w:pPr>
      <w:r>
        <w:rPr>
          <w:rStyle w:val="htmlcodes"/>
        </w:rPr>
        <w:t>&lt;p&gt;&lt;dt&gt;&lt;dd&gt;</w:t>
      </w:r>
      <w:r>
        <w:t>All other vowel pairs simply drop the apostrophe.</w:t>
      </w:r>
    </w:p>
    <w:p w:rsidR="00B72047" w:rsidRDefault="00B72047">
      <w:pPr>
        <w:pStyle w:val="normalafterexample"/>
      </w:pPr>
      <w:r>
        <w:rPr>
          <w:rStyle w:val="htmlcodes"/>
        </w:rPr>
        <w:t>&lt;/dl&gt;&lt;p&gt;</w:t>
      </w:r>
      <w:r>
        <w:t>The result of these rules is to eliminate the apostrophe alto</w:t>
      </w:r>
      <w:r>
        <w:softHyphen/>
        <w:t>gether,</w:t>
      </w:r>
      <w:r>
        <w:rPr>
          <w:rStyle w:val="deletedparamark"/>
        </w:rPr>
        <w:t xml:space="preserve"> </w:t>
      </w:r>
      <w:r>
        <w:t>replacing it with comma where necessary, and otherwise with nothing.</w:t>
      </w:r>
      <w:r>
        <w:rPr>
          <w:rStyle w:val="deletedparamark"/>
        </w:rPr>
        <w:t xml:space="preserve"> </w:t>
      </w:r>
      <w:r>
        <w:t>In addition, names and the cmavo “.i” are capitalized, and irregular stress</w:t>
      </w:r>
      <w:r>
        <w:rPr>
          <w:rStyle w:val="deletedparamark"/>
        </w:rPr>
        <w:t xml:space="preserve"> </w:t>
      </w:r>
      <w:r>
        <w:t>is marked with an apostrophe (now no longer used for a sound) following</w:t>
      </w:r>
      <w:r>
        <w:rPr>
          <w:rStyle w:val="deletedparamark"/>
        </w:rPr>
        <w:t xml:space="preserve"> </w:t>
      </w:r>
      <w:r>
        <w:t>the stressed syllable.</w:t>
      </w:r>
    </w:p>
    <w:p w:rsidR="00B72047" w:rsidRDefault="00B72047">
      <w:pPr>
        <w:rPr>
          <w:rStyle w:val="htmlparacode"/>
        </w:rPr>
      </w:pPr>
      <w:r>
        <w:rPr>
          <w:rStyle w:val="htmlparacode"/>
        </w:rPr>
        <w:t>&lt;p&gt;</w:t>
      </w:r>
    </w:p>
    <w:p w:rsidR="00B72047" w:rsidRDefault="00B72047">
      <w:pPr>
        <w:pStyle w:val="normalparagraph"/>
      </w:pPr>
      <w:r>
        <w:t>Three points must be emphasized about this alternative or</w:t>
      </w:r>
      <w:r>
        <w:softHyphen/>
        <w:t>thography:</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"non-standard orthographies, caveat"&gt;</w:t>
      </w:r>
      <w:r>
        <w:rPr>
          <w:rStyle w:val="indexentry"/>
        </w:rPr>
        <w:fldChar w:fldCharType="begin"/>
      </w:r>
      <w:r>
        <w:instrText>xe "</w:instrText>
      </w:r>
      <w:r>
        <w:rPr>
          <w:rStyle w:val="xeentry"/>
        </w:rPr>
        <w:instrText>non-standard orthographies: caveat</w:instrText>
      </w:r>
      <w:r>
        <w:instrText>"</w:instrText>
      </w:r>
      <w:r>
        <w:rPr>
          <w:rStyle w:val="indexentry"/>
        </w:rPr>
        <w:fldChar w:fldCharType="end"/>
      </w:r>
      <w:r>
        <w:rPr>
          <w:rStyle w:val="htmlcodes"/>
        </w:rPr>
        <w:t>&lt;dl compact&gt;&lt;dt&gt;&lt;dd&gt;</w:t>
      </w:r>
      <w:r>
        <w:t>It is not standard, and has not been used.</w:t>
      </w:r>
    </w:p>
    <w:p w:rsidR="00B72047" w:rsidRDefault="00B72047" w:rsidP="007E67C1">
      <w:pPr>
        <w:pStyle w:val="Listjustified"/>
        <w:numPr>
          <w:ilvl w:val="0"/>
          <w:numId w:val="2"/>
        </w:numPr>
        <w:ind w:left="792" w:hanging="432"/>
      </w:pPr>
      <w:r>
        <w:rPr>
          <w:rStyle w:val="htmlcodes"/>
        </w:rPr>
        <w:t>&lt;p&gt;&lt;dt&gt;&lt;dd&gt;</w:t>
      </w:r>
      <w:r>
        <w:t>It does not represent any changes to the standard Loj</w:t>
      </w:r>
      <w:r>
        <w:softHyphen/>
        <w:t>ban phonology; it is simply a representation of the same phonology using a different written form.</w:t>
      </w:r>
    </w:p>
    <w:p w:rsidR="00B72047" w:rsidRDefault="00B72047" w:rsidP="007E67C1">
      <w:pPr>
        <w:pStyle w:val="Listjustified"/>
        <w:numPr>
          <w:ilvl w:val="0"/>
          <w:numId w:val="2"/>
        </w:numPr>
        <w:ind w:left="792" w:hanging="432"/>
      </w:pPr>
      <w:r>
        <w:rPr>
          <w:rStyle w:val="htmlcodes"/>
        </w:rPr>
        <w:t>&lt;p&gt;&lt;dt&gt;&lt;dd&gt;</w:t>
      </w:r>
      <w:r>
        <w:t>It was designed to aid in a planned rapprochement be</w:t>
      </w:r>
      <w:r>
        <w:softHyphen/>
        <w:t>tween the Logical Language Group and The Loglan In</w:t>
      </w:r>
      <w:r>
        <w:softHyphen/>
        <w:t>stitute, a group headed by James Cooke Brown. The rapprochement never took place.</w:t>
      </w:r>
    </w:p>
    <w:p w:rsidR="00B72047" w:rsidRDefault="00B72047">
      <w:pPr>
        <w:pStyle w:val="normalafterexample"/>
      </w:pPr>
      <w:r>
        <w:rPr>
          <w:rStyle w:val="htmlcodes"/>
        </w:rPr>
        <w:t>&lt;/dl&gt;</w:t>
      </w:r>
      <w:r>
        <w:rPr>
          <w:rStyle w:val="indexentry"/>
        </w:rPr>
        <w:t>&lt;cx "non-standard orthographies, Cyrillic"&gt;</w:t>
      </w:r>
      <w:r>
        <w:rPr>
          <w:rStyle w:val="indexentry"/>
        </w:rPr>
        <w:fldChar w:fldCharType="begin"/>
      </w:r>
      <w:r>
        <w:instrText>xe "</w:instrText>
      </w:r>
      <w:r>
        <w:rPr>
          <w:rStyle w:val="xeentry"/>
        </w:rPr>
        <w:instrText>non-standard orthographies: Cyrillic</w:instrText>
      </w:r>
      <w:r>
        <w:instrText>"</w:instrText>
      </w:r>
      <w:r>
        <w:rPr>
          <w:rStyle w:val="indexentry"/>
        </w:rPr>
        <w:fldChar w:fldCharType="end"/>
      </w:r>
      <w:r>
        <w:t>There also exists a Cyrillic orthography for Lojban which was designed when</w:t>
      </w:r>
      <w:r>
        <w:rPr>
          <w:rStyle w:val="deletedparamark"/>
        </w:rPr>
        <w:t xml:space="preserve"> </w:t>
      </w:r>
      <w:r>
        <w:t>the in</w:t>
      </w:r>
      <w:r>
        <w:softHyphen/>
        <w:t>troductory Lojban brochure was translated into Russian. It uses</w:t>
      </w:r>
      <w:r>
        <w:rPr>
          <w:rStyle w:val="deletedparamark"/>
        </w:rPr>
        <w:t xml:space="preserve"> </w:t>
      </w:r>
      <w:r>
        <w:t xml:space="preserve">the </w:t>
      </w:r>
      <w:r>
        <w:rPr>
          <w:rFonts w:ascii="Academy" w:hAnsi="Academy" w:cs="Academy"/>
        </w:rPr>
        <w:t>“à”, “á”, “â”, “ã”, “ä”, “å”, “æ”, “ç”, “è”, “ê”, “ë”,</w:t>
      </w:r>
      <w:r>
        <w:rPr>
          <w:rStyle w:val="deletedparamark"/>
          <w:rFonts w:ascii="Academy" w:hAnsi="Academy" w:cs="Academy"/>
        </w:rPr>
        <w:t xml:space="preserve"> “ì</w:t>
      </w:r>
      <w:r>
        <w:rPr>
          <w:rFonts w:ascii="Academy" w:hAnsi="Academy" w:cs="Academy"/>
        </w:rPr>
        <w:t xml:space="preserve">”, “í”, “î”, “ï”, “ð”, “ñ”, “ò”, “ó”, “ô”, “õ”, </w:t>
      </w:r>
      <w:r>
        <w:t>and</w:t>
      </w:r>
      <w:r>
        <w:rPr>
          <w:rFonts w:ascii="Academy" w:hAnsi="Academy" w:cs="Academy"/>
        </w:rPr>
        <w:t xml:space="preserve"> “ø”</w:t>
      </w:r>
      <w:r>
        <w:rPr>
          <w:rStyle w:val="deletedparamark"/>
        </w:rPr>
        <w:t xml:space="preserve"> </w:t>
      </w:r>
      <w:r>
        <w:t>in the obvious ways. The Latin letter “y” is mapped onto the hard</w:t>
      </w:r>
      <w:r>
        <w:rPr>
          <w:rStyle w:val="deletedparamark"/>
        </w:rPr>
        <w:t xml:space="preserve"> </w:t>
      </w:r>
      <w:r>
        <w:t xml:space="preserve">sign </w:t>
      </w:r>
      <w:r>
        <w:rPr>
          <w:rFonts w:ascii="Academy" w:hAnsi="Academy" w:cs="Academy"/>
        </w:rPr>
        <w:t>“ú”</w:t>
      </w:r>
      <w:r>
        <w:t>, as in Bulgarian. The apostrophe, comma, and period are unchanged.</w:t>
      </w:r>
      <w:r>
        <w:rPr>
          <w:rStyle w:val="deletedparamark"/>
        </w:rPr>
        <w:t xml:space="preserve"> </w:t>
      </w:r>
      <w:r>
        <w:t>Diphthongs are written as vowel pairs, as in the Roman representation.</w:t>
      </w:r>
    </w:p>
    <w:p w:rsidR="00B72047" w:rsidRDefault="00B72047">
      <w:pPr>
        <w:rPr>
          <w:rStyle w:val="htmlparacode"/>
        </w:rPr>
      </w:pPr>
      <w:r>
        <w:rPr>
          <w:rStyle w:val="htmlparacode"/>
        </w:rPr>
        <w:t>&lt;p&gt;</w:t>
      </w:r>
    </w:p>
    <w:p w:rsidR="00B72047" w:rsidRDefault="00B72047">
      <w:pPr>
        <w:pStyle w:val="normalparagraph"/>
        <w:rPr>
          <w:rStyle w:val="htmlparacode"/>
        </w:rPr>
      </w:pPr>
      <w:r>
        <w:rPr>
          <w:rStyle w:val="indexentry"/>
        </w:rPr>
        <w:t>&lt;cx "non-standard orthographies, Tengwar"&gt;</w:t>
      </w:r>
      <w:r>
        <w:rPr>
          <w:rStyle w:val="indexentry"/>
        </w:rPr>
        <w:fldChar w:fldCharType="begin"/>
      </w:r>
      <w:r>
        <w:instrText>xe "</w:instrText>
      </w:r>
      <w:r>
        <w:rPr>
          <w:rStyle w:val="xeentry"/>
        </w:rPr>
        <w:instrText>non-standard orthographies: Tengwar</w:instrText>
      </w:r>
      <w:r>
        <w:instrText>"</w:instrText>
      </w:r>
      <w:r>
        <w:rPr>
          <w:rStyle w:val="indexentry"/>
        </w:rPr>
        <w:fldChar w:fldCharType="end"/>
      </w:r>
      <w:r>
        <w:rPr>
          <w:rStyle w:val="indexentry"/>
        </w:rPr>
        <w:t>&lt;cx "Tolkien, and non-standard Lojban orthography"&gt;</w:t>
      </w:r>
      <w:r>
        <w:rPr>
          <w:rStyle w:val="indexentry"/>
        </w:rPr>
        <w:fldChar w:fldCharType="begin"/>
      </w:r>
      <w:r>
        <w:instrText>xe "</w:instrText>
      </w:r>
      <w:r>
        <w:rPr>
          <w:rStyle w:val="xeentry"/>
        </w:rPr>
        <w:instrText>Tolkien: and non-standard Lojban orthography</w:instrText>
      </w:r>
      <w:r>
        <w:instrText>"</w:instrText>
      </w:r>
      <w:r>
        <w:rPr>
          <w:rStyle w:val="indexentry"/>
        </w:rPr>
        <w:fldChar w:fldCharType="end"/>
      </w:r>
      <w:r>
        <w:t>Finally, an orthography using the Tengwar of Fé</w:t>
      </w:r>
      <w:r>
        <w:rPr>
          <w:rStyle w:val="htmlcodes"/>
        </w:rPr>
        <w:t>&amp;eacute;</w:t>
      </w:r>
      <w:r>
        <w:t>anor, a fic</w:t>
      </w:r>
      <w:r>
        <w:softHyphen/>
        <w:t>tional orthography</w:t>
      </w:r>
      <w:r>
        <w:rPr>
          <w:rStyle w:val="deletedparamark"/>
        </w:rPr>
        <w:t xml:space="preserve"> </w:t>
      </w:r>
      <w:r>
        <w:t>i</w:t>
      </w:r>
      <w:r>
        <w:t>n</w:t>
      </w:r>
      <w:r>
        <w:softHyphen/>
        <w:t xml:space="preserve">vented by J. R. R. Tolkien and described in the Appendixes to </w:t>
      </w:r>
      <w:r>
        <w:rPr>
          <w:rStyle w:val="htmlcodes"/>
        </w:rPr>
        <w:t>&lt;cite&gt;</w:t>
      </w:r>
      <w:r>
        <w:rPr>
          <w:rStyle w:val="cite"/>
        </w:rPr>
        <w:t>The Lord Of The Rings</w:t>
      </w:r>
      <w:r>
        <w:rPr>
          <w:rStyle w:val="htmlcodes"/>
        </w:rPr>
        <w:t>&lt;/cite&gt;</w:t>
      </w:r>
      <w:r>
        <w:t>, has been devised for Lojban. The following</w:t>
      </w:r>
      <w:r>
        <w:rPr>
          <w:rStyle w:val="deletedparamark"/>
        </w:rPr>
        <w:t xml:space="preserve"> </w:t>
      </w:r>
      <w:r>
        <w:t>mapping, which closely resembles that used for Westron, will be meaningful</w:t>
      </w:r>
      <w:r>
        <w:rPr>
          <w:rStyle w:val="deletedparamark"/>
        </w:rPr>
        <w:t xml:space="preserve"> </w:t>
      </w:r>
      <w:r>
        <w:t>only to those who have read those ap</w:t>
      </w:r>
      <w:r>
        <w:softHyphen/>
        <w:t>pen</w:t>
      </w:r>
      <w:r>
        <w:softHyphen/>
        <w:t>dixes. In brief, the tincoté</w:t>
      </w:r>
      <w:r>
        <w:rPr>
          <w:rStyle w:val="htmlcodes"/>
        </w:rPr>
        <w:t>&amp;eacute;</w:t>
      </w:r>
      <w:r>
        <w:t>ma</w:t>
      </w:r>
      <w:r>
        <w:rPr>
          <w:rStyle w:val="deletedparamark"/>
        </w:rPr>
        <w:t xml:space="preserve"> </w:t>
      </w:r>
      <w:r>
        <w:t>and parmaté</w:t>
      </w:r>
      <w:r>
        <w:rPr>
          <w:rStyle w:val="htmlcodes"/>
        </w:rPr>
        <w:t>&amp;eacute;</w:t>
      </w:r>
      <w:r>
        <w:t>ma are used in the con</w:t>
      </w:r>
      <w:r>
        <w:softHyphen/>
        <w:t>ventional ways; the calmaté</w:t>
      </w:r>
      <w:r>
        <w:rPr>
          <w:rStyle w:val="htmlcodes"/>
        </w:rPr>
        <w:t>&amp;eacute;</w:t>
      </w:r>
      <w:r>
        <w:t>ma repr</w:t>
      </w:r>
      <w:r>
        <w:t>e</w:t>
      </w:r>
      <w:r>
        <w:softHyphen/>
        <w:t>sents</w:t>
      </w:r>
      <w:r>
        <w:rPr>
          <w:rStyle w:val="deletedparamark"/>
        </w:rPr>
        <w:t xml:space="preserve"> </w:t>
      </w:r>
      <w:r>
        <w:t>palatal consonants, and the quesseté</w:t>
      </w:r>
      <w:r>
        <w:rPr>
          <w:rStyle w:val="htmlcodes"/>
        </w:rPr>
        <w:t>&amp;eacute;</w:t>
      </w:r>
      <w:r>
        <w:t>ma represents velar conso</w:t>
      </w:r>
      <w:r>
        <w:softHyphen/>
        <w:t>nants.</w:t>
      </w:r>
      <w:r>
        <w:br w:type="page"/>
      </w:r>
      <w:r>
        <w:rPr>
          <w:rStyle w:val="htmlparacode"/>
        </w:rPr>
        <w:t>&lt;p&gt;</w:t>
      </w:r>
    </w:p>
    <w:p w:rsidR="00B72047" w:rsidRDefault="00B72047">
      <w:pPr>
        <w:pStyle w:val="examplegtabspre"/>
        <w:spacing w:before="0"/>
      </w:pPr>
      <w:r>
        <w:rPr>
          <w:rStyle w:val="htmlcodes"/>
        </w:rPr>
        <w:t>&lt;pre&gt;</w:t>
      </w:r>
      <w:r>
        <w:t xml:space="preserve"> </w:t>
      </w:r>
      <w:r>
        <w:tab/>
        <w:t>t</w:t>
      </w:r>
      <w:r>
        <w:tab/>
        <w:t>tinco</w:t>
      </w:r>
      <w:r>
        <w:tab/>
      </w:r>
      <w:r>
        <w:tab/>
        <w:t>p</w:t>
      </w:r>
      <w:r>
        <w:tab/>
        <w:t>parma</w:t>
      </w:r>
    </w:p>
    <w:p w:rsidR="00B72047" w:rsidRDefault="00B72047">
      <w:pPr>
        <w:pStyle w:val="examplegrouptabs"/>
      </w:pPr>
      <w:r>
        <w:tab/>
        <w:t>-</w:t>
      </w:r>
      <w:r>
        <w:tab/>
        <w:t>calma</w:t>
      </w:r>
      <w:r>
        <w:tab/>
      </w:r>
      <w:r>
        <w:tab/>
        <w:t>k</w:t>
      </w:r>
      <w:r>
        <w:tab/>
        <w:t>quesse</w:t>
      </w:r>
    </w:p>
    <w:p w:rsidR="00B72047" w:rsidRDefault="00B72047">
      <w:pPr>
        <w:pStyle w:val="examplegrouptabs"/>
      </w:pPr>
      <w:r>
        <w:tab/>
        <w:t>d</w:t>
      </w:r>
      <w:r>
        <w:tab/>
        <w:t>ando</w:t>
      </w:r>
      <w:r>
        <w:tab/>
      </w:r>
      <w:r>
        <w:tab/>
        <w:t>b</w:t>
      </w:r>
      <w:r>
        <w:tab/>
        <w:t>umbar</w:t>
      </w:r>
    </w:p>
    <w:p w:rsidR="00B72047" w:rsidRDefault="00B72047">
      <w:pPr>
        <w:pStyle w:val="examplegrouptabs"/>
      </w:pPr>
      <w:r>
        <w:tab/>
        <w:t>-</w:t>
      </w:r>
      <w:r>
        <w:tab/>
        <w:t>anga</w:t>
      </w:r>
      <w:r>
        <w:tab/>
      </w:r>
      <w:r>
        <w:tab/>
        <w:t>g</w:t>
      </w:r>
      <w:r>
        <w:tab/>
        <w:t>ungwe</w:t>
      </w:r>
    </w:p>
    <w:p w:rsidR="00B72047" w:rsidRDefault="00B72047">
      <w:pPr>
        <w:pStyle w:val="examplegrouptabs"/>
      </w:pPr>
      <w:r>
        <w:tab/>
        <w:t>-</w:t>
      </w:r>
      <w:r>
        <w:tab/>
        <w:t>thule</w:t>
      </w:r>
      <w:r>
        <w:tab/>
      </w:r>
      <w:r>
        <w:tab/>
        <w:t>f</w:t>
      </w:r>
      <w:r>
        <w:tab/>
        <w:t>formen</w:t>
      </w:r>
    </w:p>
    <w:p w:rsidR="00B72047" w:rsidRDefault="00B72047">
      <w:pPr>
        <w:pStyle w:val="examplegrouptabs"/>
      </w:pPr>
      <w:r>
        <w:tab/>
        <w:t>c</w:t>
      </w:r>
      <w:r>
        <w:tab/>
        <w:t>harma</w:t>
      </w:r>
      <w:r>
        <w:tab/>
      </w:r>
      <w:r>
        <w:tab/>
        <w:t>x</w:t>
      </w:r>
      <w:r>
        <w:tab/>
        <w:t>hwesta</w:t>
      </w:r>
    </w:p>
    <w:p w:rsidR="00B72047" w:rsidRDefault="00B72047">
      <w:pPr>
        <w:pStyle w:val="examplegrouptabs"/>
      </w:pPr>
      <w:r>
        <w:tab/>
        <w:t>-</w:t>
      </w:r>
      <w:r>
        <w:tab/>
        <w:t>anto</w:t>
      </w:r>
      <w:r>
        <w:tab/>
      </w:r>
      <w:r>
        <w:tab/>
        <w:t>v</w:t>
      </w:r>
      <w:r>
        <w:tab/>
        <w:t>ampa</w:t>
      </w:r>
    </w:p>
    <w:p w:rsidR="00B72047" w:rsidRDefault="00B72047">
      <w:pPr>
        <w:pStyle w:val="examplegrouptabs"/>
      </w:pPr>
      <w:r>
        <w:tab/>
        <w:t>j</w:t>
      </w:r>
      <w:r>
        <w:tab/>
        <w:t>anca</w:t>
      </w:r>
      <w:r>
        <w:tab/>
      </w:r>
      <w:r>
        <w:tab/>
        <w:t>-</w:t>
      </w:r>
      <w:r>
        <w:tab/>
        <w:t>unque</w:t>
      </w:r>
    </w:p>
    <w:p w:rsidR="00B72047" w:rsidRDefault="00B72047">
      <w:pPr>
        <w:pStyle w:val="examplegrouptabs"/>
      </w:pPr>
      <w:r>
        <w:tab/>
        <w:t>n</w:t>
      </w:r>
      <w:r>
        <w:tab/>
        <w:t>numen</w:t>
      </w:r>
      <w:r>
        <w:tab/>
      </w:r>
      <w:r>
        <w:tab/>
        <w:t>m</w:t>
      </w:r>
      <w:r>
        <w:tab/>
        <w:t>malta</w:t>
      </w:r>
    </w:p>
    <w:p w:rsidR="00B72047" w:rsidRDefault="00B72047">
      <w:pPr>
        <w:pStyle w:val="examplegrouptabs"/>
      </w:pPr>
      <w:r>
        <w:tab/>
        <w:t>-</w:t>
      </w:r>
      <w:r>
        <w:tab/>
        <w:t>noldo</w:t>
      </w:r>
      <w:r>
        <w:tab/>
      </w:r>
      <w:r>
        <w:tab/>
        <w:t>-</w:t>
      </w:r>
      <w:r>
        <w:tab/>
        <w:t>nwalme</w:t>
      </w:r>
    </w:p>
    <w:p w:rsidR="00B72047" w:rsidRDefault="00B72047">
      <w:pPr>
        <w:pStyle w:val="examplegrouptabs"/>
      </w:pPr>
      <w:r>
        <w:tab/>
        <w:t>r</w:t>
      </w:r>
      <w:r>
        <w:tab/>
        <w:t>ore</w:t>
      </w:r>
      <w:r>
        <w:tab/>
      </w:r>
      <w:r>
        <w:tab/>
        <w:t>u</w:t>
      </w:r>
      <w:r>
        <w:tab/>
        <w:t>vala</w:t>
      </w:r>
    </w:p>
    <w:p w:rsidR="00B72047" w:rsidRDefault="00B72047">
      <w:pPr>
        <w:pStyle w:val="examplegrouptabs"/>
      </w:pPr>
      <w:r>
        <w:tab/>
        <w:t>i</w:t>
      </w:r>
      <w:r>
        <w:tab/>
        <w:t>anna</w:t>
      </w:r>
      <w:r>
        <w:tab/>
      </w:r>
      <w:r>
        <w:tab/>
        <w:t>-</w:t>
      </w:r>
      <w:r>
        <w:tab/>
        <w:t>vilya</w:t>
      </w:r>
    </w:p>
    <w:p w:rsidR="00B72047" w:rsidRDefault="00B72047">
      <w:pPr>
        <w:pStyle w:val="resumedafterexample"/>
      </w:pPr>
      <w:r>
        <w:rPr>
          <w:rStyle w:val="htmlcodes"/>
        </w:rPr>
        <w:t>&lt;/pre&gt;&lt;p&gt;</w:t>
      </w:r>
      <w:r>
        <w:t>The letters “vala” and “anna” are use for “u” and “i” only when those</w:t>
      </w:r>
      <w:r>
        <w:rPr>
          <w:rStyle w:val="deletedparamark"/>
        </w:rPr>
        <w:t xml:space="preserve"> </w:t>
      </w:r>
      <w:r>
        <w:t>letters are used to represent glides. Of the additional letters, “r”, “l”,</w:t>
      </w:r>
      <w:r>
        <w:rPr>
          <w:rStyle w:val="deletedparamark"/>
        </w:rPr>
        <w:t xml:space="preserve"> “</w:t>
      </w:r>
      <w:r>
        <w:t>s”, and “z” are written with “ró</w:t>
      </w:r>
      <w:r>
        <w:rPr>
          <w:rStyle w:val="htmlcodes"/>
        </w:rPr>
        <w:t>&amp;oacute;</w:t>
      </w:r>
      <w:r>
        <w:t>men”, “lambe”, “silme”, and “á</w:t>
      </w:r>
      <w:r>
        <w:rPr>
          <w:rStyle w:val="htmlcodes"/>
        </w:rPr>
        <w:t>&amp;aacute;</w:t>
      </w:r>
      <w:r>
        <w:t>re/“esse”</w:t>
      </w:r>
      <w:r>
        <w:rPr>
          <w:rStyle w:val="deletedparamark"/>
        </w:rPr>
        <w:t xml:space="preserve"> </w:t>
      </w:r>
      <w:r>
        <w:t>respectively; the inverted forms are used as free vari</w:t>
      </w:r>
      <w:r>
        <w:softHyphen/>
        <w:t>ants.</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normalparagraph"/>
      </w:pPr>
      <w:r>
        <w:t>Lojban, like Quenya, is a vowel-last language, so tehtar are read</w:t>
      </w:r>
      <w:r>
        <w:rPr>
          <w:rStyle w:val="deletedparamark"/>
        </w:rPr>
        <w:t xml:space="preserve"> </w:t>
      </w:r>
      <w:r>
        <w:t>as following the tengwar on which they are placed. The conven</w:t>
      </w:r>
      <w:r>
        <w:softHyphen/>
        <w:t>tional</w:t>
      </w:r>
      <w:r>
        <w:rPr>
          <w:rStyle w:val="deletedparamark"/>
        </w:rPr>
        <w:t xml:space="preserve"> </w:t>
      </w:r>
      <w:r>
        <w:t>tehtar are used for the five regular vowels, and the dot below for</w:t>
      </w:r>
      <w:r>
        <w:rPr>
          <w:rStyle w:val="deletedparamark"/>
        </w:rPr>
        <w:t xml:space="preserve"> “</w:t>
      </w:r>
      <w:r>
        <w:t>y”. The Lojban apostrophe is represented by “halla”. There is no</w:t>
      </w:r>
      <w:r>
        <w:rPr>
          <w:rStyle w:val="deletedparamark"/>
        </w:rPr>
        <w:t xml:space="preserve"> </w:t>
      </w:r>
      <w:r>
        <w:t>equivalent of the Lojban comma or period.</w:t>
      </w:r>
    </w:p>
    <w:p w:rsidR="00B72047" w:rsidRDefault="00B72047">
      <w:pPr>
        <w:pStyle w:val="normalparagraph"/>
        <w:rPr>
          <w:rStyle w:val="htmlcodes"/>
        </w:rPr>
      </w:pPr>
      <w:r>
        <w:rPr>
          <w:rStyle w:val="htmlcodes"/>
        </w:rPr>
        <w:t>&lt;p&gt;</w:t>
      </w:r>
    </w:p>
    <w:p w:rsidR="00B72047" w:rsidRDefault="00B72047">
      <w:pPr>
        <w:pStyle w:val="normalparagraph"/>
        <w:rPr>
          <w:rStyle w:val="htmlcodes"/>
        </w:rPr>
      </w:pPr>
      <w:r>
        <w:rPr>
          <w:rStyle w:val="htmlcodes"/>
        </w:rPr>
        <w:t>&lt;dl compact&gt;&lt;dt&gt;&lt;dd&gt;</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rPr>
          <w:rStyle w:val="htmlcodes"/>
        </w:rPr>
        <w:t>&lt;img src=chap4.gif alt=[Cartoon] align=center width=405 height=405&gt;</w:t>
      </w:r>
      <w:r>
        <w:pict>
          <v:shape id="_x0000_i1028" type="#_x0000_t75" style="width:356.25pt;height:547.5pt">
            <v:imagedata r:id="rId22" o:title="" croptop="-26474f" cropbottom="-26474f" cropleft="-6323f" cropright="-6323f"/>
          </v:shape>
        </w:pict>
      </w:r>
    </w:p>
    <w:p w:rsidR="00B72047" w:rsidRDefault="00B72047">
      <w:pPr>
        <w:pStyle w:val="Heading2"/>
      </w:pPr>
      <w:r>
        <w:rPr>
          <w:rStyle w:val="htmlcodes"/>
        </w:rPr>
        <w:t>&lt;h2&gt;</w:t>
      </w:r>
      <w:bookmarkStart w:id="148" w:name="_Toc395684216"/>
      <w:bookmarkStart w:id="149" w:name="_Toc395691497"/>
      <w:bookmarkStart w:id="150" w:name="_Toc395691780"/>
      <w:bookmarkStart w:id="151" w:name="_Toc398970468"/>
      <w:r>
        <w:t>Chapter 4</w:t>
      </w:r>
      <w:bookmarkEnd w:id="148"/>
      <w:bookmarkEnd w:id="149"/>
      <w:bookmarkEnd w:id="150"/>
      <w:bookmarkEnd w:id="151"/>
    </w:p>
    <w:p w:rsidR="00B72047" w:rsidRDefault="00B72047">
      <w:pPr>
        <w:pStyle w:val="Heading2"/>
        <w:rPr>
          <w:rStyle w:val="htmlcodes"/>
        </w:rPr>
      </w:pPr>
      <w:r>
        <w:rPr>
          <w:rStyle w:val="htmlcodes"/>
        </w:rPr>
        <w:t>&lt;br&gt;</w:t>
      </w:r>
    </w:p>
    <w:p w:rsidR="00B72047" w:rsidRDefault="00B72047">
      <w:pPr>
        <w:pStyle w:val="Heading2"/>
      </w:pPr>
      <w:bookmarkStart w:id="152" w:name="_Toc395691498"/>
      <w:bookmarkStart w:id="153" w:name="_Toc395691781"/>
      <w:bookmarkStart w:id="154" w:name="_Toc398970469"/>
      <w:r>
        <w:t>The Shape Of Words To Come: Lojban Mor</w:t>
      </w:r>
      <w:r>
        <w:softHyphen/>
        <w:t>phology</w:t>
      </w:r>
      <w:bookmarkEnd w:id="152"/>
      <w:bookmarkEnd w:id="153"/>
      <w:bookmarkEnd w:id="154"/>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155" w:name="_Toc395691499"/>
      <w:bookmarkStart w:id="156" w:name="_Toc398970470"/>
      <w:r>
        <w:rPr>
          <w:rStyle w:val="Heading3Text"/>
        </w:rPr>
        <w:t>Introductory</w:t>
      </w:r>
      <w:bookmarkEnd w:id="155"/>
      <w:bookmarkEnd w:id="15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"morphology, simplicity of"&gt;</w:t>
      </w:r>
      <w:r>
        <w:rPr>
          <w:rStyle w:val="indexentry"/>
        </w:rPr>
        <w:fldChar w:fldCharType="begin"/>
      </w:r>
      <w:r>
        <w:instrText>xe "</w:instrText>
      </w:r>
      <w:r>
        <w:rPr>
          <w:rStyle w:val="xeentry"/>
        </w:rPr>
        <w:instrText>morphology: simplicity of</w:instrText>
      </w:r>
      <w:r>
        <w:instrText>"</w:instrText>
      </w:r>
      <w:r>
        <w:rPr>
          <w:rStyle w:val="indexentry"/>
        </w:rPr>
        <w:fldChar w:fldCharType="end"/>
      </w:r>
      <w:r>
        <w:rPr>
          <w:rStyle w:val="indexentry"/>
        </w:rPr>
        <w:t>&lt;cx "morphology, definition"&gt;</w:t>
      </w:r>
      <w:r>
        <w:rPr>
          <w:rStyle w:val="indexentry"/>
        </w:rPr>
        <w:fldChar w:fldCharType="begin"/>
      </w:r>
      <w:r>
        <w:instrText>xe "</w:instrText>
      </w:r>
      <w:r>
        <w:rPr>
          <w:rStyle w:val="xeentry"/>
        </w:rPr>
        <w:instrText>morphology: definition</w:instrText>
      </w:r>
      <w:r>
        <w:instrText>"</w:instrText>
      </w:r>
      <w:r>
        <w:rPr>
          <w:rStyle w:val="indexentry"/>
        </w:rPr>
        <w:fldChar w:fldCharType="end"/>
      </w:r>
      <w:r>
        <w:rPr>
          <w:rStyle w:val="indexentry"/>
        </w:rPr>
        <w:t>&lt;cx "word forms, in Lojban (see also morphology)"&gt;</w:t>
      </w:r>
      <w:r>
        <w:rPr>
          <w:rStyle w:val="indexentry"/>
        </w:rPr>
        <w:fldChar w:fldCharType="begin"/>
      </w:r>
      <w:r>
        <w:instrText>xe "</w:instrText>
      </w:r>
      <w:r>
        <w:rPr>
          <w:rStyle w:val="xeentry"/>
        </w:rPr>
        <w:instrText>word forms: in Lojban (see also morphology)</w:instrText>
      </w:r>
      <w:r>
        <w:instrText>"</w:instrText>
      </w:r>
      <w:r>
        <w:rPr>
          <w:rStyle w:val="indexentry"/>
        </w:rPr>
        <w:fldChar w:fldCharType="end"/>
      </w:r>
      <w:r>
        <w:t>Morphology is the part of grammar that deals with the form of words.</w:t>
      </w:r>
      <w:r>
        <w:rPr>
          <w:rStyle w:val="deletedparamark"/>
        </w:rPr>
        <w:t xml:space="preserve"> </w:t>
      </w:r>
      <w:r>
        <w:t>Lojban's mor</w:t>
      </w:r>
      <w:r>
        <w:softHyphen/>
        <w:t>phology is fairly simple compared to that of many languages,</w:t>
      </w:r>
      <w:r>
        <w:rPr>
          <w:rStyle w:val="deletedparamark"/>
        </w:rPr>
        <w:t xml:space="preserve"> </w:t>
      </w:r>
      <w:r>
        <w:t>because Lojban words don't change form depending on how they are used.</w:t>
      </w:r>
      <w:r>
        <w:rPr>
          <w:rStyle w:val="deletedparamark"/>
        </w:rPr>
        <w:t xml:space="preserve"> </w:t>
      </w:r>
      <w:r>
        <w:t>English has only a small number of such changes compared to languages</w:t>
      </w:r>
      <w:r>
        <w:rPr>
          <w:rStyle w:val="deletedparamark"/>
        </w:rPr>
        <w:t xml:space="preserve"> </w:t>
      </w:r>
      <w:r>
        <w:t>like Russian, but it does have changes like “boys” as the plural of</w:t>
      </w:r>
      <w:r>
        <w:rPr>
          <w:rStyle w:val="deletedparamark"/>
        </w:rPr>
        <w:t xml:space="preserve"> “</w:t>
      </w:r>
      <w:r>
        <w:t>boy”, or “walked” as the past-tense form of “walk”. To make plurals</w:t>
      </w:r>
      <w:r>
        <w:rPr>
          <w:rStyle w:val="deletedparamark"/>
        </w:rPr>
        <w:t xml:space="preserve"> </w:t>
      </w:r>
      <w:r>
        <w:t>or past tenses in Lojban, you add separate words to the sentence that</w:t>
      </w:r>
      <w:r>
        <w:rPr>
          <w:rStyle w:val="deletedparamark"/>
        </w:rPr>
        <w:t xml:space="preserve"> </w:t>
      </w:r>
      <w:r>
        <w:t>express the number of boys, or the time when the walking was going on.</w:t>
      </w:r>
    </w:p>
    <w:p w:rsidR="00B72047" w:rsidRDefault="00B72047">
      <w:pPr>
        <w:rPr>
          <w:rStyle w:val="htmlparacode"/>
        </w:rPr>
      </w:pPr>
      <w:r>
        <w:rPr>
          <w:rStyle w:val="htmlparacode"/>
        </w:rPr>
        <w:t>&lt;p&gt;</w:t>
      </w:r>
    </w:p>
    <w:p w:rsidR="00B72047" w:rsidRDefault="00B72047">
      <w:pPr>
        <w:pStyle w:val="normalparagraph"/>
      </w:pPr>
      <w:r>
        <w:rPr>
          <w:rStyle w:val="indexentry"/>
        </w:rPr>
        <w:t>&lt;cx "morphology, derivational"&gt;</w:t>
      </w:r>
      <w:r>
        <w:rPr>
          <w:rStyle w:val="indexentry"/>
        </w:rPr>
        <w:fldChar w:fldCharType="begin"/>
      </w:r>
      <w:r>
        <w:instrText>xe "</w:instrText>
      </w:r>
      <w:r>
        <w:rPr>
          <w:rStyle w:val="xeentry"/>
        </w:rPr>
        <w:instrText>morphology: derivational</w:instrText>
      </w:r>
      <w:r>
        <w:instrText>"</w:instrText>
      </w:r>
      <w:r>
        <w:rPr>
          <w:rStyle w:val="indexentry"/>
        </w:rPr>
        <w:fldChar w:fldCharType="end"/>
      </w:r>
      <w:r>
        <w:rPr>
          <w:rStyle w:val="indexentry"/>
        </w:rPr>
        <w:t>&lt;cx "derivational morphology, definition"&gt;</w:t>
      </w:r>
      <w:r>
        <w:rPr>
          <w:rStyle w:val="indexentry"/>
        </w:rPr>
        <w:fldChar w:fldCharType="begin"/>
      </w:r>
      <w:r>
        <w:instrText>xe "</w:instrText>
      </w:r>
      <w:r>
        <w:rPr>
          <w:rStyle w:val="xeentry"/>
        </w:rPr>
        <w:instrText>derivational morphology: definition</w:instrText>
      </w:r>
      <w:r>
        <w:instrText>"</w:instrText>
      </w:r>
      <w:r>
        <w:rPr>
          <w:rStyle w:val="indexentry"/>
        </w:rPr>
        <w:fldChar w:fldCharType="end"/>
      </w:r>
      <w:r>
        <w:rPr>
          <w:rStyle w:val="indexentry"/>
        </w:rPr>
        <w:t>&lt;cx "word forms, as related to grammatical uses"&gt;</w:t>
      </w:r>
      <w:r>
        <w:rPr>
          <w:rStyle w:val="indexentry"/>
        </w:rPr>
        <w:fldChar w:fldCharType="begin"/>
      </w:r>
      <w:r>
        <w:instrText>xe "</w:instrText>
      </w:r>
      <w:r>
        <w:rPr>
          <w:rStyle w:val="xeentry"/>
        </w:rPr>
        <w:instrText>word forms: as related to grammatical uses</w:instrText>
      </w:r>
      <w:r>
        <w:instrText>"</w:instrText>
      </w:r>
      <w:r>
        <w:rPr>
          <w:rStyle w:val="indexentry"/>
        </w:rPr>
        <w:fldChar w:fldCharType="end"/>
      </w:r>
      <w:r>
        <w:t>However, Lojban does have what is called “derivational mor</w:t>
      </w:r>
      <w:r>
        <w:softHyphen/>
        <w:t>phology”:</w:t>
      </w:r>
      <w:r>
        <w:rPr>
          <w:rStyle w:val="deletedparamark"/>
        </w:rPr>
        <w:t xml:space="preserve"> </w:t>
      </w:r>
      <w:r>
        <w:t>the ca</w:t>
      </w:r>
      <w:r>
        <w:softHyphen/>
        <w:t>pability of building new words from old words. In ad</w:t>
      </w:r>
      <w:r>
        <w:softHyphen/>
        <w:t>dition, the</w:t>
      </w:r>
      <w:r>
        <w:rPr>
          <w:rStyle w:val="deletedparamark"/>
        </w:rPr>
        <w:t xml:space="preserve"> </w:t>
      </w:r>
      <w:r>
        <w:t>form of words tells us something about their grammatical uses, and</w:t>
      </w:r>
      <w:r>
        <w:rPr>
          <w:rStyle w:val="deletedparamark"/>
        </w:rPr>
        <w:t xml:space="preserve"> </w:t>
      </w:r>
      <w:r>
        <w:t>sometimes about the means by which they entered the language.</w:t>
      </w:r>
      <w:r>
        <w:rPr>
          <w:rStyle w:val="deletedparamark"/>
        </w:rPr>
        <w:t xml:space="preserve"> </w:t>
      </w:r>
      <w:r>
        <w:t>Lojban has very orderly rules for the formation of words of vari</w:t>
      </w:r>
      <w:r>
        <w:softHyphen/>
        <w:t>ous</w:t>
      </w:r>
      <w:r>
        <w:rPr>
          <w:rStyle w:val="deletedparamark"/>
        </w:rPr>
        <w:t xml:space="preserve"> </w:t>
      </w:r>
      <w:r>
        <w:t>types, both the words that already exist and new words yet to be created</w:t>
      </w:r>
      <w:r>
        <w:rPr>
          <w:rStyle w:val="deletedparamark"/>
        </w:rPr>
        <w:t xml:space="preserve"> </w:t>
      </w:r>
      <w:r>
        <w:t>by speakers and writers.</w:t>
      </w:r>
    </w:p>
    <w:p w:rsidR="00B72047" w:rsidRDefault="00B72047">
      <w:pPr>
        <w:rPr>
          <w:rStyle w:val="htmlparacode"/>
        </w:rPr>
      </w:pPr>
      <w:r>
        <w:rPr>
          <w:rStyle w:val="htmlparacode"/>
        </w:rPr>
        <w:t>&lt;p&gt;</w:t>
      </w:r>
    </w:p>
    <w:p w:rsidR="00B72047" w:rsidRDefault="00B72047">
      <w:pPr>
        <w:pStyle w:val="normalparagraph"/>
      </w:pPr>
      <w:r>
        <w:rPr>
          <w:rStyle w:val="indexentry"/>
        </w:rPr>
        <w:t>&lt;cx "morphology, conventions for"&gt;</w:t>
      </w:r>
      <w:r>
        <w:rPr>
          <w:rStyle w:val="indexentry"/>
        </w:rPr>
        <w:fldChar w:fldCharType="begin"/>
      </w:r>
      <w:r>
        <w:instrText>xe "</w:instrText>
      </w:r>
      <w:r>
        <w:rPr>
          <w:rStyle w:val="xeentry"/>
        </w:rPr>
        <w:instrText>morphology: conventions for</w:instrText>
      </w:r>
      <w:r>
        <w:instrText>"</w:instrText>
      </w:r>
      <w:r>
        <w:rPr>
          <w:rStyle w:val="indexentry"/>
        </w:rPr>
        <w:fldChar w:fldCharType="end"/>
      </w:r>
      <w:r>
        <w:t>A stream of Lojban sounds can be uniquely broken up into its component words</w:t>
      </w:r>
      <w:r>
        <w:rPr>
          <w:rStyle w:val="deletedparamark"/>
        </w:rPr>
        <w:t xml:space="preserve"> </w:t>
      </w:r>
      <w:r>
        <w:t>ac</w:t>
      </w:r>
      <w:r>
        <w:softHyphen/>
        <w:t>cording to specific rules. These so-called “morphology rules” are</w:t>
      </w:r>
      <w:r>
        <w:rPr>
          <w:rStyle w:val="deletedparamark"/>
        </w:rPr>
        <w:t xml:space="preserve"> </w:t>
      </w:r>
      <w:r>
        <w:t>summarized in this chapter. (However, a de</w:t>
      </w:r>
      <w:r>
        <w:softHyphen/>
        <w:t>tailed algorithm for breaking</w:t>
      </w:r>
      <w:r>
        <w:rPr>
          <w:rStyle w:val="deletedparamark"/>
        </w:rPr>
        <w:t xml:space="preserve"> </w:t>
      </w:r>
      <w:r>
        <w:t>sounds into words has not yet been fully debugged, and so is not presented</w:t>
      </w:r>
      <w:r>
        <w:rPr>
          <w:rStyle w:val="deletedparamark"/>
        </w:rPr>
        <w:t xml:space="preserve"> </w:t>
      </w:r>
      <w:r>
        <w:t>in this book.) First, here are some con</w:t>
      </w:r>
      <w:r>
        <w:softHyphen/>
        <w:t>ventions used to talk about groups</w:t>
      </w:r>
      <w:r>
        <w:rPr>
          <w:rStyle w:val="deletedparamark"/>
        </w:rPr>
        <w:t xml:space="preserve"> </w:t>
      </w:r>
      <w:r>
        <w:t>of Lojban letters, including vowels and consonants.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"morphology, symbolic conventions for discussing"&gt;</w:t>
      </w:r>
      <w:r>
        <w:rPr>
          <w:rStyle w:val="indexentry"/>
        </w:rPr>
        <w:fldChar w:fldCharType="begin"/>
      </w:r>
      <w:r>
        <w:instrText>xe "</w:instrText>
      </w:r>
      <w:r>
        <w:rPr>
          <w:rStyle w:val="xeentry"/>
        </w:rPr>
        <w:instrText>morphology: symbolic conventions for discussing</w:instrText>
      </w:r>
      <w:r>
        <w:instrText>"</w:instrText>
      </w:r>
      <w:r>
        <w:rPr>
          <w:rStyle w:val="indexentry"/>
        </w:rPr>
        <w:fldChar w:fldCharType="end"/>
      </w:r>
      <w:r>
        <w:rPr>
          <w:rStyle w:val="indexentry"/>
        </w:rPr>
        <w:t>&lt;cx "“V”, as a symbol for a single vowel"&gt;</w:t>
      </w:r>
      <w:r>
        <w:rPr>
          <w:rStyle w:val="indexentry"/>
        </w:rPr>
        <w:fldChar w:fldCharType="begin"/>
      </w:r>
      <w:r>
        <w:instrText>xe "</w:instrText>
      </w:r>
      <w:r>
        <w:rPr>
          <w:rStyle w:val="xeentry"/>
        </w:rPr>
        <w:instrText>V: as a symbol for a single vowel</w:instrText>
      </w:r>
      <w:r>
        <w:instrText>"</w:instrText>
      </w:r>
      <w:r>
        <w:rPr>
          <w:rStyle w:val="indexentry"/>
        </w:rPr>
        <w:fldChar w:fldCharType="end"/>
      </w:r>
      <w:r>
        <w:rPr>
          <w:rStyle w:val="indexentry"/>
        </w:rPr>
        <w:t>&lt;cx "“y”, as not a vowel for morphological discussions"&gt;</w:t>
      </w:r>
      <w:r>
        <w:rPr>
          <w:rStyle w:val="indexentry"/>
        </w:rPr>
        <w:fldChar w:fldCharType="begin"/>
      </w:r>
      <w:r>
        <w:instrText>xe "</w:instrText>
      </w:r>
      <w:r>
        <w:rPr>
          <w:rStyle w:val="xeentry"/>
        </w:rPr>
        <w:instrText>y: considered not to be a vowel for morphological discussions</w:instrText>
      </w:r>
      <w:r>
        <w:instrText>"</w:instrText>
      </w:r>
      <w:r>
        <w:rPr>
          <w:rStyle w:val="indexentry"/>
        </w:rPr>
        <w:fldChar w:fldCharType="end"/>
      </w:r>
      <w:r>
        <w:rPr>
          <w:rStyle w:val="htmlcodes"/>
        </w:rPr>
        <w:t>&lt;dl compact&gt;&lt;dt&gt;</w:t>
      </w:r>
      <w:r>
        <w:t>1)</w:t>
      </w:r>
      <w:r>
        <w:tab/>
      </w:r>
      <w:r>
        <w:rPr>
          <w:rStyle w:val="htmlcodes"/>
        </w:rPr>
        <w:t>&lt;dd&gt;</w:t>
      </w:r>
      <w:r>
        <w:t>V represents any single Lojban vowel except “y”; that is, it represents “a”, “e”, “i”, “o”, or “u”.</w:t>
      </w:r>
    </w:p>
    <w:p w:rsidR="00B72047" w:rsidRDefault="00B72047" w:rsidP="007E67C1">
      <w:pPr>
        <w:pStyle w:val="Listnobullets"/>
        <w:numPr>
          <w:ilvl w:val="0"/>
          <w:numId w:val="0"/>
        </w:numPr>
        <w:ind w:left="864" w:hanging="504"/>
      </w:pPr>
      <w:r>
        <w:rPr>
          <w:rStyle w:val="htmlcodes"/>
        </w:rPr>
        <w:t>&lt;/dl&gt;</w:t>
      </w:r>
      <w:r>
        <w:rPr>
          <w:rStyle w:val="indexentry"/>
        </w:rPr>
        <w:t>&lt;cx "“VV”, as a symbol for a double vowel"&gt;</w:t>
      </w:r>
      <w:r>
        <w:rPr>
          <w:rStyle w:val="indexentry"/>
        </w:rPr>
        <w:fldChar w:fldCharType="begin"/>
      </w:r>
      <w:r>
        <w:instrText>xe "</w:instrText>
      </w:r>
      <w:r>
        <w:rPr>
          <w:rStyle w:val="xeentry"/>
        </w:rPr>
        <w:instrText>VV string: as a symbol for a double vowel</w:instrText>
      </w:r>
      <w:r>
        <w:instrText>"</w:instrText>
      </w:r>
      <w:r>
        <w:rPr>
          <w:rStyle w:val="indexentry"/>
        </w:rPr>
        <w:fldChar w:fldCharType="end"/>
      </w:r>
      <w:r>
        <w:rPr>
          <w:rStyle w:val="htmlcodes"/>
        </w:rPr>
        <w:t>&lt;dl compact&gt;&lt;dt&gt;</w:t>
      </w:r>
      <w:r>
        <w:t>2)</w:t>
      </w:r>
      <w:r>
        <w:tab/>
      </w:r>
      <w:r>
        <w:rPr>
          <w:rStyle w:val="htmlcodes"/>
        </w:rPr>
        <w:t>&lt;dd&gt;</w:t>
      </w:r>
      <w:r>
        <w:t>VV represents either a diphthong, one of the following:</w:t>
      </w:r>
    </w:p>
    <w:p w:rsidR="00B72047" w:rsidRDefault="00B72047">
      <w:pPr>
        <w:pStyle w:val="examplescaledpre"/>
      </w:pPr>
      <w:r>
        <w:rPr>
          <w:rStyle w:val="htmlcodes"/>
        </w:rPr>
        <w:t>&lt;p&gt;&lt;dt&gt;</w:t>
      </w:r>
      <w:r>
        <w:tab/>
      </w:r>
      <w:r>
        <w:rPr>
          <w:rStyle w:val="htmlcodes"/>
        </w:rPr>
        <w:t>&lt;dd&gt;</w:t>
      </w:r>
      <w:r>
        <w:t>ai ei oi au</w:t>
      </w:r>
    </w:p>
    <w:p w:rsidR="00B72047" w:rsidRDefault="00B72047" w:rsidP="007E67C1">
      <w:pPr>
        <w:pStyle w:val="Listnobullets"/>
        <w:numPr>
          <w:ilvl w:val="0"/>
          <w:numId w:val="0"/>
        </w:numPr>
        <w:ind w:left="864" w:hanging="504"/>
      </w:pPr>
      <w:r>
        <w:rPr>
          <w:rStyle w:val="htmlcodes"/>
          <w:vanish w:val="0"/>
        </w:rPr>
        <w:tab/>
      </w:r>
      <w:r>
        <w:rPr>
          <w:rStyle w:val="htmlcodes"/>
        </w:rPr>
        <w:t>&lt;p&gt;&lt;dt&gt;&lt;dd&gt;</w:t>
      </w:r>
      <w:r>
        <w:tab/>
        <w:t>or a two-syllable vowel pair with an apostrophe separating the vowels, one of the following:</w:t>
      </w:r>
    </w:p>
    <w:p w:rsidR="00B72047" w:rsidRDefault="00B72047">
      <w:pPr>
        <w:pStyle w:val="examplescaledpre"/>
      </w:pPr>
      <w:r>
        <w:rPr>
          <w:rStyle w:val="htmlcodes"/>
        </w:rPr>
        <w:t>&lt;p&gt;&lt;dt&gt;</w:t>
      </w:r>
      <w:r>
        <w:tab/>
      </w:r>
      <w:r>
        <w:rPr>
          <w:rStyle w:val="htmlcodes"/>
        </w:rPr>
        <w:t>&lt;dd&gt;</w:t>
      </w:r>
      <w:r>
        <w:t>a'a a'e a'i a'o a'u</w:t>
      </w:r>
    </w:p>
    <w:p w:rsidR="00B72047" w:rsidRDefault="00B72047">
      <w:pPr>
        <w:pStyle w:val="examplescaled"/>
      </w:pPr>
      <w:r>
        <w:tab/>
        <w:t>e'a e'e e'i e'o e'u</w:t>
      </w:r>
    </w:p>
    <w:p w:rsidR="00B72047" w:rsidRDefault="00B72047">
      <w:pPr>
        <w:pStyle w:val="examplescaled"/>
      </w:pPr>
      <w:r>
        <w:tab/>
        <w:t>i'a i'e i'i i'o i'u</w:t>
      </w:r>
    </w:p>
    <w:p w:rsidR="00B72047" w:rsidRDefault="00B72047">
      <w:pPr>
        <w:pStyle w:val="examplescaled"/>
      </w:pPr>
      <w:r>
        <w:tab/>
        <w:t>o'a o'e o'i o'o o'u</w:t>
      </w:r>
    </w:p>
    <w:p w:rsidR="00B72047" w:rsidRDefault="00B72047">
      <w:pPr>
        <w:pStyle w:val="examplescaled"/>
      </w:pPr>
      <w:r>
        <w:tab/>
        <w:t>u'a u'e u'i u'o u'u</w:t>
      </w:r>
    </w:p>
    <w:p w:rsidR="00B72047" w:rsidRDefault="00B72047" w:rsidP="007E67C1">
      <w:pPr>
        <w:pStyle w:val="Listnobullets"/>
        <w:numPr>
          <w:ilvl w:val="0"/>
          <w:numId w:val="0"/>
        </w:numPr>
        <w:ind w:left="864" w:hanging="504"/>
      </w:pPr>
      <w:r>
        <w:rPr>
          <w:rStyle w:val="htmlcodes"/>
        </w:rPr>
        <w:t>&lt;/dl&gt;</w:t>
      </w:r>
      <w:r>
        <w:rPr>
          <w:rStyle w:val="indexentry"/>
        </w:rPr>
        <w:t>&lt;cx "“C”, as a symbol for a single consonant"&gt;</w:t>
      </w:r>
      <w:r>
        <w:rPr>
          <w:rStyle w:val="indexentry"/>
        </w:rPr>
        <w:fldChar w:fldCharType="begin"/>
      </w:r>
      <w:r>
        <w:instrText>xe "</w:instrText>
      </w:r>
      <w:r>
        <w:rPr>
          <w:rStyle w:val="xeentry"/>
        </w:rPr>
        <w:instrText>C string: as a symbol for a single consonant</w:instrText>
      </w:r>
      <w:r>
        <w:instrText>"</w:instrText>
      </w:r>
      <w:r>
        <w:rPr>
          <w:rStyle w:val="indexentry"/>
        </w:rPr>
        <w:fldChar w:fldCharType="end"/>
      </w:r>
      <w:r>
        <w:rPr>
          <w:rStyle w:val="indexentry"/>
        </w:rPr>
        <w:t>&lt;cx "syllabic “l”, as a consonant for morphological discussions"&gt;</w:t>
      </w:r>
      <w:r>
        <w:rPr>
          <w:rStyle w:val="indexentry"/>
        </w:rPr>
        <w:fldChar w:fldCharType="begin"/>
      </w:r>
      <w:r>
        <w:instrText>xe "</w:instrText>
      </w:r>
      <w:r>
        <w:rPr>
          <w:rStyle w:val="xeentry"/>
        </w:rPr>
        <w:instrText>syllabic l: considered as a consonant for morphological discussions</w:instrText>
      </w:r>
      <w:r>
        <w:instrText>"</w:instrText>
      </w:r>
      <w:r>
        <w:rPr>
          <w:rStyle w:val="indexentry"/>
        </w:rPr>
        <w:fldChar w:fldCharType="end"/>
      </w:r>
      <w:r>
        <w:rPr>
          <w:rStyle w:val="indexentry"/>
        </w:rPr>
        <w:t>&lt;cx "syllabic “m”, as a consonant for morphological discussions"&gt;</w:t>
      </w:r>
      <w:r>
        <w:rPr>
          <w:rStyle w:val="indexentry"/>
        </w:rPr>
        <w:fldChar w:fldCharType="begin"/>
      </w:r>
      <w:r>
        <w:instrText>xe "</w:instrText>
      </w:r>
      <w:r>
        <w:rPr>
          <w:rStyle w:val="xeentry"/>
        </w:rPr>
        <w:instrText>syllabic m: as a consonant for morphological discussions</w:instrText>
      </w:r>
      <w:r>
        <w:instrText>"</w:instrText>
      </w:r>
      <w:r>
        <w:rPr>
          <w:rStyle w:val="indexentry"/>
        </w:rPr>
        <w:fldChar w:fldCharType="end"/>
      </w:r>
      <w:r>
        <w:rPr>
          <w:rStyle w:val="indexentry"/>
        </w:rPr>
        <w:t>&lt;cx "syllabic “n”, as a consonant for morphological discussions"&gt;</w:t>
      </w:r>
      <w:r>
        <w:rPr>
          <w:rStyle w:val="indexentry"/>
        </w:rPr>
        <w:fldChar w:fldCharType="begin"/>
      </w:r>
      <w:r>
        <w:instrText>xe "</w:instrText>
      </w:r>
      <w:r>
        <w:rPr>
          <w:rStyle w:val="xeentry"/>
        </w:rPr>
        <w:instrText>syllabic n: as a consonant for morphological discussions</w:instrText>
      </w:r>
      <w:r>
        <w:instrText>"</w:instrText>
      </w:r>
      <w:r>
        <w:rPr>
          <w:rStyle w:val="indexentry"/>
        </w:rPr>
        <w:fldChar w:fldCharType="end"/>
      </w:r>
      <w:r>
        <w:rPr>
          <w:rStyle w:val="indexentry"/>
        </w:rPr>
        <w:t>&lt;cx "syllabic “r”, as a consonant for morphological discussions"&gt;</w:t>
      </w:r>
      <w:r>
        <w:rPr>
          <w:rStyle w:val="indexentry"/>
        </w:rPr>
        <w:fldChar w:fldCharType="begin"/>
      </w:r>
      <w:r>
        <w:instrText>xe "</w:instrText>
      </w:r>
      <w:r>
        <w:rPr>
          <w:rStyle w:val="xeentry"/>
        </w:rPr>
        <w:instrText>syllabic r: as a consonant for morphological discussions</w:instrText>
      </w:r>
      <w:r>
        <w:instrText>"</w:instrText>
      </w:r>
      <w:r>
        <w:rPr>
          <w:rStyle w:val="indexentry"/>
        </w:rPr>
        <w:fldChar w:fldCharType="end"/>
      </w:r>
      <w:r>
        <w:rPr>
          <w:rStyle w:val="indexentry"/>
        </w:rPr>
        <w:t>&lt;cx "apostrophe, as not a consonant for morphological discussions"&gt;</w:t>
      </w:r>
      <w:r>
        <w:rPr>
          <w:rStyle w:val="indexentry"/>
        </w:rPr>
        <w:fldChar w:fldCharType="begin"/>
      </w:r>
      <w:r>
        <w:instrText>xe "</w:instrText>
      </w:r>
      <w:r>
        <w:rPr>
          <w:rStyle w:val="xeentry"/>
        </w:rPr>
        <w:instrText>apostrophe: as not a consonant for morphological discussions</w:instrText>
      </w:r>
      <w:r>
        <w:instrText>"</w:instrText>
      </w:r>
      <w:r>
        <w:rPr>
          <w:rStyle w:val="indexentry"/>
        </w:rPr>
        <w:fldChar w:fldCharType="end"/>
      </w:r>
      <w:r>
        <w:rPr>
          <w:rStyle w:val="htmlcodes"/>
        </w:rPr>
        <w:t>&lt;dl compact&gt;&lt;dt&gt;</w:t>
      </w:r>
      <w:r>
        <w:t>3)</w:t>
      </w:r>
      <w:r>
        <w:tab/>
      </w:r>
      <w:r>
        <w:rPr>
          <w:rStyle w:val="htmlcodes"/>
        </w:rPr>
        <w:t>&lt;dd&gt;</w:t>
      </w:r>
      <w:r>
        <w:t>C represents a single Lojban consonant, not including the apostrophe, one of “b”, “c”, “d”, “f”, “g”, “j”, “k”, “l”, “m”, “n”, “p”, “r”, “s”, “t”, “v”, “x”, or “z”. Syllabic “l”, “m”, “n”, and “r” always count as consonants for the pur</w:t>
      </w:r>
      <w:r>
        <w:softHyphen/>
        <w:t>poses of this chapter.</w:t>
      </w:r>
    </w:p>
    <w:p w:rsidR="00B72047" w:rsidRDefault="00B72047" w:rsidP="007E67C1">
      <w:pPr>
        <w:pStyle w:val="Listnobullets"/>
        <w:numPr>
          <w:ilvl w:val="0"/>
          <w:numId w:val="0"/>
        </w:numPr>
        <w:spacing w:before="0"/>
        <w:ind w:left="864" w:hanging="504"/>
      </w:pPr>
      <w:r>
        <w:rPr>
          <w:rStyle w:val="htmlcodes"/>
          <w:vanish w:val="0"/>
        </w:rPr>
        <w:br w:type="page"/>
      </w:r>
      <w:r>
        <w:rPr>
          <w:rStyle w:val="htmlcodes"/>
        </w:rPr>
        <w:t>&lt;/dl&gt;</w:t>
      </w:r>
      <w:r>
        <w:rPr>
          <w:rStyle w:val="indexentry"/>
        </w:rPr>
        <w:t>&lt;cx "“CC”, as a symbol for a permissible initial consonant pair"&gt;</w:t>
      </w:r>
      <w:r>
        <w:rPr>
          <w:rStyle w:val="indexentry"/>
        </w:rPr>
        <w:fldChar w:fldCharType="begin"/>
      </w:r>
      <w:r>
        <w:instrText>xe "</w:instrText>
      </w:r>
      <w:r>
        <w:rPr>
          <w:rStyle w:val="xeentry"/>
        </w:rPr>
        <w:instrText>CC string: as a symbol for a permissible initial consonant pair</w:instrText>
      </w:r>
      <w:r>
        <w:instrText>"</w:instrText>
      </w:r>
      <w:r>
        <w:rPr>
          <w:rStyle w:val="indexentry"/>
        </w:rPr>
        <w:fldChar w:fldCharType="end"/>
      </w:r>
      <w:r>
        <w:rPr>
          <w:rStyle w:val="htmlcodes"/>
        </w:rPr>
        <w:t>&lt;dl compact&gt;&lt;dt&gt;</w:t>
      </w:r>
      <w:r>
        <w:t>4)</w:t>
      </w:r>
      <w:r>
        <w:tab/>
      </w:r>
      <w:r>
        <w:rPr>
          <w:rStyle w:val="htmlcodes"/>
        </w:rPr>
        <w:t>&lt;dd&gt;</w:t>
      </w:r>
      <w:r>
        <w:t>CC represents two adjacent consonants of type C which con</w:t>
      </w:r>
      <w:r>
        <w:softHyphen/>
        <w:t>stitute one of the 48 permissible initial consonant pairs:</w:t>
      </w:r>
    </w:p>
    <w:p w:rsidR="00B72047" w:rsidRDefault="00B72047">
      <w:pPr>
        <w:pStyle w:val="examplescaledpre"/>
      </w:pPr>
      <w:r>
        <w:rPr>
          <w:rStyle w:val="htmlcodes"/>
        </w:rPr>
        <w:t>&lt;p&gt;&lt;dt&gt;</w:t>
      </w:r>
      <w:r>
        <w:tab/>
      </w:r>
      <w:r>
        <w:rPr>
          <w:rStyle w:val="htmlcodes"/>
        </w:rPr>
        <w:t>&lt;dd&gt;</w:t>
      </w:r>
      <w:r>
        <w:t>bl br</w:t>
      </w:r>
    </w:p>
    <w:p w:rsidR="00B72047" w:rsidRDefault="00B72047">
      <w:pPr>
        <w:pStyle w:val="examplescaled"/>
      </w:pPr>
      <w:r>
        <w:tab/>
        <w:t>cf ck cl cm cn cp cr ct</w:t>
      </w:r>
    </w:p>
    <w:p w:rsidR="00B72047" w:rsidRDefault="00B72047">
      <w:pPr>
        <w:pStyle w:val="examplescaled"/>
      </w:pPr>
      <w:r>
        <w:tab/>
        <w:t>dj dr dz</w:t>
      </w:r>
    </w:p>
    <w:p w:rsidR="00B72047" w:rsidRDefault="00B72047">
      <w:pPr>
        <w:pStyle w:val="examplescaled"/>
      </w:pPr>
      <w:r>
        <w:tab/>
        <w:t>fl fr</w:t>
      </w:r>
    </w:p>
    <w:p w:rsidR="00B72047" w:rsidRDefault="00B72047">
      <w:pPr>
        <w:pStyle w:val="examplescaled"/>
      </w:pPr>
      <w:r>
        <w:tab/>
        <w:t>gl gr</w:t>
      </w:r>
    </w:p>
    <w:p w:rsidR="00B72047" w:rsidRDefault="00B72047">
      <w:pPr>
        <w:pStyle w:val="examplescaled"/>
      </w:pPr>
      <w:r>
        <w:tab/>
        <w:t>jb jd jg jm jv</w:t>
      </w:r>
    </w:p>
    <w:p w:rsidR="00B72047" w:rsidRDefault="00B72047">
      <w:pPr>
        <w:pStyle w:val="examplescaled"/>
      </w:pPr>
      <w:r>
        <w:tab/>
        <w:t>kl kr</w:t>
      </w:r>
    </w:p>
    <w:p w:rsidR="00B72047" w:rsidRDefault="00B72047">
      <w:pPr>
        <w:pStyle w:val="examplescaled"/>
      </w:pPr>
      <w:r>
        <w:tab/>
        <w:t>ml mr</w:t>
      </w:r>
    </w:p>
    <w:p w:rsidR="00B72047" w:rsidRDefault="00B72047">
      <w:pPr>
        <w:pStyle w:val="examplescaled"/>
      </w:pPr>
      <w:r>
        <w:tab/>
        <w:t>pl pr</w:t>
      </w:r>
    </w:p>
    <w:p w:rsidR="00B72047" w:rsidRDefault="00B72047">
      <w:pPr>
        <w:pStyle w:val="examplescaled"/>
      </w:pPr>
      <w:r>
        <w:tab/>
        <w:t>sf sk sl sm sn sp sr st</w:t>
      </w:r>
    </w:p>
    <w:p w:rsidR="00B72047" w:rsidRDefault="00B72047">
      <w:pPr>
        <w:pStyle w:val="examplescaled"/>
      </w:pPr>
      <w:r>
        <w:tab/>
        <w:t>tc tr ts</w:t>
      </w:r>
    </w:p>
    <w:p w:rsidR="00B72047" w:rsidRDefault="00B72047">
      <w:pPr>
        <w:pStyle w:val="examplescaled"/>
      </w:pPr>
      <w:r>
        <w:tab/>
        <w:t>vl vr</w:t>
      </w:r>
    </w:p>
    <w:p w:rsidR="00B72047" w:rsidRDefault="00B72047">
      <w:pPr>
        <w:pStyle w:val="examplescaled"/>
      </w:pPr>
      <w:r>
        <w:tab/>
        <w:t>xl xr</w:t>
      </w:r>
    </w:p>
    <w:p w:rsidR="00B72047" w:rsidRDefault="00B72047">
      <w:pPr>
        <w:pStyle w:val="examplescaled"/>
      </w:pPr>
      <w:r>
        <w:tab/>
        <w:t>zb zd zg zm zv</w:t>
      </w:r>
    </w:p>
    <w:p w:rsidR="00B72047" w:rsidRDefault="00B72047" w:rsidP="007E67C1">
      <w:pPr>
        <w:pStyle w:val="Listnobullets"/>
        <w:numPr>
          <w:ilvl w:val="0"/>
          <w:numId w:val="0"/>
        </w:numPr>
        <w:ind w:left="864" w:hanging="504"/>
      </w:pPr>
      <w:r>
        <w:rPr>
          <w:rStyle w:val="htmlcodes"/>
        </w:rPr>
        <w:t>&lt;/dl&gt;</w:t>
      </w:r>
      <w:r>
        <w:rPr>
          <w:rStyle w:val="indexentry"/>
        </w:rPr>
        <w:t>&lt;cx "“C/C”, as a symbol for a permissible consonant pair"&gt;</w:t>
      </w:r>
      <w:r>
        <w:rPr>
          <w:rStyle w:val="indexentry"/>
        </w:rPr>
        <w:fldChar w:fldCharType="begin"/>
      </w:r>
      <w:r>
        <w:instrText>xe "</w:instrText>
      </w:r>
      <w:r>
        <w:rPr>
          <w:rStyle w:val="xeentry"/>
        </w:rPr>
        <w:instrText>C/C string: as a symbol for a permissible consonant pair</w:instrText>
      </w:r>
      <w:r>
        <w:instrText>"</w:instrText>
      </w:r>
      <w:r>
        <w:rPr>
          <w:rStyle w:val="indexentry"/>
        </w:rPr>
        <w:fldChar w:fldCharType="end"/>
      </w:r>
      <w:r>
        <w:rPr>
          <w:rStyle w:val="htmlcodes"/>
        </w:rPr>
        <w:t>&lt;dl compact&gt;&lt;dt&gt;</w:t>
      </w:r>
      <w:r>
        <w:t>5)</w:t>
      </w:r>
      <w:r>
        <w:tab/>
      </w:r>
      <w:r>
        <w:rPr>
          <w:rStyle w:val="htmlcodes"/>
        </w:rPr>
        <w:t>&lt;dd&gt;</w:t>
      </w:r>
      <w:r>
        <w:t>C/C represents two adjacent consonants which constitute one of the permis</w:t>
      </w:r>
      <w:r>
        <w:softHyphen/>
        <w:t>sible consonant pairs (not necessarily a permis</w:t>
      </w:r>
      <w:r>
        <w:softHyphen/>
        <w:t xml:space="preserve">sible initial consonant pair). The permissible consonant pairs are explained in </w:t>
      </w:r>
      <w:r>
        <w:rPr>
          <w:rStyle w:val="htmlcodes"/>
        </w:rPr>
        <w:t>&lt;a href=chap3.html&gt;</w:t>
      </w:r>
      <w:r>
        <w:t>Chapter 3</w:t>
      </w:r>
      <w:r>
        <w:rPr>
          <w:rStyle w:val="htmlcodes"/>
        </w:rPr>
        <w:t>&lt;/a&gt;</w:t>
      </w:r>
      <w:r>
        <w:t>. In brief, any con</w:t>
      </w:r>
      <w:r>
        <w:softHyphen/>
        <w:t>sonant pair is permissible unless it: contains two identical letters, contains both a voiced (excluding “r”, “l”, “m”, “n”) and and an unvoiced consonant, or is one of certain specified forbidden pairs.</w:t>
      </w:r>
    </w:p>
    <w:p w:rsidR="00B72047" w:rsidRDefault="00B72047" w:rsidP="007E67C1">
      <w:pPr>
        <w:pStyle w:val="Listnobullets"/>
        <w:numPr>
          <w:ilvl w:val="0"/>
          <w:numId w:val="0"/>
        </w:numPr>
        <w:ind w:left="864" w:hanging="504"/>
      </w:pPr>
      <w:r>
        <w:rPr>
          <w:rStyle w:val="htmlcodes"/>
        </w:rPr>
        <w:t>&lt;/dl&gt;</w:t>
      </w:r>
      <w:r>
        <w:rPr>
          <w:rStyle w:val="indexentry"/>
        </w:rPr>
        <w:t>&lt;cx "“C/CC”, as a symbol for a consonant triple"&gt;</w:t>
      </w:r>
      <w:r>
        <w:rPr>
          <w:rStyle w:val="indexentry"/>
        </w:rPr>
        <w:fldChar w:fldCharType="begin"/>
      </w:r>
      <w:r>
        <w:instrText>xe "</w:instrText>
      </w:r>
      <w:r>
        <w:rPr>
          <w:rStyle w:val="xeentry"/>
        </w:rPr>
        <w:instrText>C/CC string: as a symbol for a consonant triple</w:instrText>
      </w:r>
      <w:r>
        <w:instrText>"</w:instrText>
      </w:r>
      <w:r>
        <w:rPr>
          <w:rStyle w:val="indexentry"/>
        </w:rPr>
        <w:fldChar w:fldCharType="end"/>
      </w:r>
      <w:r>
        <w:rPr>
          <w:rStyle w:val="htmlcodes"/>
        </w:rPr>
        <w:t>&lt;dl compact&gt;&lt;dt&gt;</w:t>
      </w:r>
      <w:r>
        <w:t>6)</w:t>
      </w:r>
      <w:r>
        <w:tab/>
      </w:r>
      <w:r>
        <w:rPr>
          <w:rStyle w:val="htmlcodes"/>
        </w:rPr>
        <w:t>&lt;dd&gt;</w:t>
      </w:r>
      <w:r>
        <w:t>C/CC represents a consonant triple. The first two conso</w:t>
      </w:r>
      <w:r>
        <w:softHyphen/>
        <w:t>nants must constitute a permissible consonant pair; the last two conso</w:t>
      </w:r>
      <w:r>
        <w:softHyphen/>
        <w:t>nants must constitute a per</w:t>
      </w:r>
      <w:r>
        <w:softHyphen/>
        <w:t>missible initial consonant pair.</w:t>
      </w:r>
    </w:p>
    <w:p w:rsidR="00B72047" w:rsidRDefault="00B72047">
      <w:pPr>
        <w:pStyle w:val="normalafterexample"/>
      </w:pPr>
      <w:r>
        <w:rPr>
          <w:rStyle w:val="htmlcodes"/>
        </w:rPr>
        <w:t>&lt;/dl&gt;</w:t>
      </w:r>
      <w:r>
        <w:rPr>
          <w:rStyle w:val="indexentry"/>
        </w:rPr>
        <w:t>&lt;cx "word classes"&gt;</w:t>
      </w:r>
      <w:r>
        <w:rPr>
          <w:rStyle w:val="indexentry"/>
        </w:rPr>
        <w:fldChar w:fldCharType="begin"/>
      </w:r>
      <w:r>
        <w:instrText>xe "</w:instrText>
      </w:r>
      <w:r>
        <w:rPr>
          <w:rStyle w:val="xeentry"/>
        </w:rPr>
        <w:instrText>word classes</w:instrText>
      </w:r>
      <w:r>
        <w:instrText>"</w:instrText>
      </w:r>
      <w:r>
        <w:rPr>
          <w:rStyle w:val="indexentry"/>
        </w:rPr>
        <w:fldChar w:fldCharType="end"/>
      </w:r>
      <w:r>
        <w:rPr>
          <w:rStyle w:val="indexentry"/>
        </w:rPr>
        <w:t>&lt;cx "parts of speech"&gt;</w:t>
      </w:r>
      <w:r>
        <w:rPr>
          <w:rStyle w:val="indexentry"/>
        </w:rPr>
        <w:fldChar w:fldCharType="begin"/>
      </w:r>
      <w:r>
        <w:instrText>xe "</w:instrText>
      </w:r>
      <w:r>
        <w:rPr>
          <w:rStyle w:val="xeentry"/>
        </w:rPr>
        <w:instrText>parts of speech</w:instrText>
      </w:r>
      <w:r>
        <w:instrText>"</w:instrText>
      </w:r>
      <w:r>
        <w:rPr>
          <w:rStyle w:val="indexentry"/>
        </w:rPr>
        <w:fldChar w:fldCharType="end"/>
      </w:r>
      <w:r>
        <w:rPr>
          <w:rStyle w:val="indexentry"/>
        </w:rPr>
        <w:t>&lt;cx "cmavo, as one of the 3 basic word classes"&gt;</w:t>
      </w:r>
      <w:r>
        <w:rPr>
          <w:rStyle w:val="indexentry"/>
        </w:rPr>
        <w:fldChar w:fldCharType="begin"/>
      </w:r>
      <w:r>
        <w:instrText>xe "</w:instrText>
      </w:r>
      <w:r>
        <w:rPr>
          <w:rStyle w:val="xeentry"/>
        </w:rPr>
        <w:instrText>cmavo: as one of the 3 basic word classes</w:instrText>
      </w:r>
      <w:r>
        <w:instrText>"</w:instrText>
      </w:r>
      <w:r>
        <w:rPr>
          <w:rStyle w:val="indexentry"/>
        </w:rPr>
        <w:fldChar w:fldCharType="end"/>
      </w:r>
      <w:r>
        <w:rPr>
          <w:rStyle w:val="indexentry"/>
        </w:rPr>
        <w:t>&lt;cx "cmene, as one of the 3 basic word classes"&gt;</w:t>
      </w:r>
      <w:r>
        <w:rPr>
          <w:rStyle w:val="indexentry"/>
        </w:rPr>
        <w:fldChar w:fldCharType="begin"/>
      </w:r>
      <w:r>
        <w:instrText>xe "</w:instrText>
      </w:r>
      <w:r>
        <w:rPr>
          <w:rStyle w:val="xeentry"/>
        </w:rPr>
        <w:instrText>cmene: as one of the 3 basic word classes</w:instrText>
      </w:r>
      <w:r>
        <w:instrText>"</w:instrText>
      </w:r>
      <w:r>
        <w:rPr>
          <w:rStyle w:val="indexentry"/>
        </w:rPr>
        <w:fldChar w:fldCharType="end"/>
      </w:r>
      <w:r>
        <w:rPr>
          <w:rStyle w:val="indexentry"/>
        </w:rPr>
        <w:t>&lt;cx "brivla, as one of the 3 basic word classes"&gt;</w:t>
      </w:r>
      <w:r>
        <w:rPr>
          <w:rStyle w:val="indexentry"/>
        </w:rPr>
        <w:fldChar w:fldCharType="begin"/>
      </w:r>
      <w:r>
        <w:instrText>xe "</w:instrText>
      </w:r>
      <w:r>
        <w:rPr>
          <w:rStyle w:val="xeentry"/>
        </w:rPr>
        <w:instrText>brivla: as one of the 3 basic word classes</w:instrText>
      </w:r>
      <w:r>
        <w:instrText>"</w:instrText>
      </w:r>
      <w:r>
        <w:rPr>
          <w:rStyle w:val="indexentry"/>
        </w:rPr>
        <w:fldChar w:fldCharType="end"/>
      </w:r>
      <w:r>
        <w:t>Lojban has three basic word classes — parts of speech — in contrast to</w:t>
      </w:r>
      <w:r>
        <w:rPr>
          <w:rStyle w:val="deletedparamark"/>
        </w:rPr>
        <w:t xml:space="preserve"> </w:t>
      </w:r>
      <w:r>
        <w:t>the eight that are traditional in English. These three classes are called</w:t>
      </w:r>
      <w:r>
        <w:rPr>
          <w:rStyle w:val="deletedparamark"/>
        </w:rPr>
        <w:t xml:space="preserve"> </w:t>
      </w:r>
      <w:r>
        <w:t>cmavo, brivla, and cmene. Each of these classes has uniquely identifying</w:t>
      </w:r>
      <w:r>
        <w:rPr>
          <w:rStyle w:val="deletedparamark"/>
        </w:rPr>
        <w:t xml:space="preserve"> </w:t>
      </w:r>
      <w:r>
        <w:t>properties — an arrangement of letters that al</w:t>
      </w:r>
      <w:r>
        <w:softHyphen/>
        <w:t>lows the word to be uniquely</w:t>
      </w:r>
      <w:r>
        <w:rPr>
          <w:rStyle w:val="deletedparamark"/>
        </w:rPr>
        <w:t xml:space="preserve"> </w:t>
      </w:r>
      <w:r>
        <w:t>and unambiguously recognized as a separate word in a string of Lojban, upon</w:t>
      </w:r>
      <w:r>
        <w:rPr>
          <w:rStyle w:val="deletedparamark"/>
        </w:rPr>
        <w:t xml:space="preserve"> </w:t>
      </w:r>
      <w:r>
        <w:t>either reading or hearing, and as belonging to a spe</w:t>
      </w:r>
      <w:r>
        <w:softHyphen/>
        <w:t>cific word-class.</w:t>
      </w:r>
    </w:p>
    <w:p w:rsidR="00B72047" w:rsidRDefault="00B72047">
      <w:pPr>
        <w:rPr>
          <w:rStyle w:val="htmlparacode"/>
        </w:rPr>
      </w:pPr>
      <w:r>
        <w:rPr>
          <w:rStyle w:val="htmlparacode"/>
        </w:rPr>
        <w:t>&lt;p&gt;</w:t>
      </w:r>
    </w:p>
    <w:p w:rsidR="00B72047" w:rsidRDefault="00B72047">
      <w:pPr>
        <w:pStyle w:val="normalparagraph"/>
      </w:pPr>
      <w:r>
        <w:t>They are also functionally different: cmavo are the structure words,</w:t>
      </w:r>
      <w:r>
        <w:rPr>
          <w:rStyle w:val="deletedparamark"/>
        </w:rPr>
        <w:t xml:space="preserve"> </w:t>
      </w:r>
      <w:r>
        <w:t>corre</w:t>
      </w:r>
      <w:r>
        <w:softHyphen/>
        <w:t>sponding to English words like “and”, “if”, “the” and “to”; brivla are</w:t>
      </w:r>
      <w:r>
        <w:rPr>
          <w:rStyle w:val="deletedparamark"/>
        </w:rPr>
        <w:t xml:space="preserve"> </w:t>
      </w:r>
      <w:r>
        <w:t>the content words, corr</w:t>
      </w:r>
      <w:r>
        <w:t>e</w:t>
      </w:r>
      <w:r>
        <w:t>spond</w:t>
      </w:r>
      <w:r>
        <w:softHyphen/>
        <w:t>ing to English words like “come”, “red”, “doctor”,</w:t>
      </w:r>
      <w:r>
        <w:rPr>
          <w:rStyle w:val="deletedparamark"/>
        </w:rPr>
        <w:t xml:space="preserve"> </w:t>
      </w:r>
      <w:r>
        <w:t>and “freely”; cmene are proper names, corre</w:t>
      </w:r>
      <w:r>
        <w:softHyphen/>
        <w:t>sponding to English “James”,</w:t>
      </w:r>
      <w:r>
        <w:rPr>
          <w:rStyle w:val="deletedparamark"/>
        </w:rPr>
        <w:t xml:space="preserve"> “</w:t>
      </w:r>
      <w:r>
        <w:t>Afghanistan”, and “Pope John Paul II”.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157" w:name="_Toc395691500"/>
      <w:bookmarkStart w:id="158" w:name="_Toc398970471"/>
      <w:r>
        <w:rPr>
          <w:rStyle w:val="Heading3Text"/>
        </w:rPr>
        <w:t>cmavo</w:t>
      </w:r>
      <w:bookmarkEnd w:id="157"/>
      <w:bookmarkEnd w:id="15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"cmavo, definition"&gt;</w:t>
      </w:r>
      <w:r>
        <w:rPr>
          <w:rStyle w:val="indexentry"/>
        </w:rPr>
        <w:fldChar w:fldCharType="begin"/>
      </w:r>
      <w:r>
        <w:instrText>xe "</w:instrText>
      </w:r>
      <w:r>
        <w:rPr>
          <w:rStyle w:val="xeentry"/>
        </w:rPr>
        <w:instrText>cmavo: definition</w:instrText>
      </w:r>
      <w:r>
        <w:instrText>"</w:instrText>
      </w:r>
      <w:r>
        <w:rPr>
          <w:rStyle w:val="indexentry"/>
        </w:rPr>
        <w:fldChar w:fldCharType="end"/>
      </w:r>
      <w:r>
        <w:rPr>
          <w:rStyle w:val="indexentry"/>
        </w:rPr>
        <w:t>&lt;cx "selma'o, definition"&gt;</w:t>
      </w:r>
      <w:r>
        <w:rPr>
          <w:rStyle w:val="indexentry"/>
        </w:rPr>
        <w:fldChar w:fldCharType="begin"/>
      </w:r>
      <w:r>
        <w:instrText>xe "</w:instrText>
      </w:r>
      <w:r>
        <w:rPr>
          <w:rStyle w:val="xeentry"/>
        </w:rPr>
        <w:instrText>selma'o: definition</w:instrText>
      </w:r>
      <w:r>
        <w:instrText>"</w:instrText>
      </w:r>
      <w:r>
        <w:rPr>
          <w:rStyle w:val="indexentry"/>
        </w:rPr>
        <w:fldChar w:fldCharType="end"/>
      </w:r>
      <w:r>
        <w:rPr>
          <w:rStyle w:val="indexentry"/>
        </w:rPr>
        <w:t>&lt;cx "structure words"&gt;</w:t>
      </w:r>
      <w:r>
        <w:rPr>
          <w:rStyle w:val="indexentry"/>
        </w:rPr>
        <w:fldChar w:fldCharType="begin"/>
      </w:r>
      <w:r>
        <w:instrText>xe "</w:instrText>
      </w:r>
      <w:r>
        <w:rPr>
          <w:rStyle w:val="xeentry"/>
        </w:rPr>
        <w:instrText>structure words</w:instrText>
      </w:r>
      <w:r>
        <w:instrText>"</w:instrText>
      </w:r>
      <w:r>
        <w:rPr>
          <w:rStyle w:val="indexentry"/>
        </w:rPr>
        <w:fldChar w:fldCharType="end"/>
      </w:r>
      <w:r>
        <w:rPr>
          <w:rStyle w:val="indexentry"/>
        </w:rPr>
        <w:t>&lt;cx "articles, cmavo as Lojban equivalents"&gt;</w:t>
      </w:r>
      <w:r>
        <w:rPr>
          <w:rStyle w:val="indexentry"/>
        </w:rPr>
        <w:fldChar w:fldCharType="begin"/>
      </w:r>
      <w:r>
        <w:instrText>xe "</w:instrText>
      </w:r>
      <w:r>
        <w:rPr>
          <w:rStyle w:val="xeentry"/>
        </w:rPr>
        <w:instrText>articles: cmavo as Lojban equivalents</w:instrText>
      </w:r>
      <w:r>
        <w:instrText>"</w:instrText>
      </w:r>
      <w:r>
        <w:rPr>
          <w:rStyle w:val="indexentry"/>
        </w:rPr>
        <w:fldChar w:fldCharType="end"/>
      </w:r>
      <w:r>
        <w:rPr>
          <w:rStyle w:val="indexentry"/>
        </w:rPr>
        <w:t>&lt;cx "conjunctions, cmavo as Lojban equivalents"&gt;</w:t>
      </w:r>
      <w:r>
        <w:rPr>
          <w:rStyle w:val="indexentry"/>
        </w:rPr>
        <w:fldChar w:fldCharType="begin"/>
      </w:r>
      <w:r>
        <w:instrText>xe "</w:instrText>
      </w:r>
      <w:r>
        <w:rPr>
          <w:rStyle w:val="xeentry"/>
        </w:rPr>
        <w:instrText>conjunctions: cmavo as Lojban equivalents</w:instrText>
      </w:r>
      <w:r>
        <w:instrText>"</w:instrText>
      </w:r>
      <w:r>
        <w:rPr>
          <w:rStyle w:val="indexentry"/>
        </w:rPr>
        <w:fldChar w:fldCharType="end"/>
      </w:r>
      <w:r>
        <w:rPr>
          <w:rStyle w:val="indexentry"/>
        </w:rPr>
        <w:t>&lt;cx "prepositions, cmavo as Lojban equivalents"&gt;</w:t>
      </w:r>
      <w:r>
        <w:rPr>
          <w:rStyle w:val="indexentry"/>
        </w:rPr>
        <w:fldChar w:fldCharType="begin"/>
      </w:r>
      <w:r>
        <w:instrText>xe "</w:instrText>
      </w:r>
      <w:r>
        <w:rPr>
          <w:rStyle w:val="xeentry"/>
        </w:rPr>
        <w:instrText>prepositions: cmavo as Lojban equivalents</w:instrText>
      </w:r>
      <w:r>
        <w:instrText>"</w:instrText>
      </w:r>
      <w:r>
        <w:rPr>
          <w:rStyle w:val="indexentry"/>
        </w:rPr>
        <w:fldChar w:fldCharType="end"/>
      </w:r>
      <w:r>
        <w:rPr>
          <w:rStyle w:val="indexentry"/>
        </w:rPr>
        <w:t>&lt;cx "numbers, cmavo as Lojban equivalents"&gt;</w:t>
      </w:r>
      <w:r>
        <w:rPr>
          <w:rStyle w:val="indexentry"/>
        </w:rPr>
        <w:fldChar w:fldCharType="begin"/>
      </w:r>
      <w:r>
        <w:instrText>xe "</w:instrText>
      </w:r>
      <w:r>
        <w:rPr>
          <w:rStyle w:val="xeentry"/>
        </w:rPr>
        <w:instrText>numbers: cmavo as Lojban equivalents</w:instrText>
      </w:r>
      <w:r>
        <w:instrText>"</w:instrText>
      </w:r>
      <w:r>
        <w:rPr>
          <w:rStyle w:val="indexentry"/>
        </w:rPr>
        <w:fldChar w:fldCharType="end"/>
      </w:r>
      <w:r>
        <w:rPr>
          <w:rStyle w:val="indexentry"/>
        </w:rPr>
        <w:t>&lt;cx "punctuation marks, cmavo as Lojban equivalents"&gt;</w:t>
      </w:r>
      <w:r>
        <w:rPr>
          <w:rStyle w:val="indexentry"/>
        </w:rPr>
        <w:fldChar w:fldCharType="begin"/>
      </w:r>
      <w:r>
        <w:instrText>xe "</w:instrText>
      </w:r>
      <w:r>
        <w:rPr>
          <w:rStyle w:val="xeentry"/>
        </w:rPr>
        <w:instrText>punctuation marks: cmavo as Lojban equivalents</w:instrText>
      </w:r>
      <w:r>
        <w:instrText>"</w:instrText>
      </w:r>
      <w:r>
        <w:rPr>
          <w:rStyle w:val="indexentry"/>
        </w:rPr>
        <w:fldChar w:fldCharType="end"/>
      </w:r>
      <w:r>
        <w:t>The first group of Lojban words discussed in this chapter are the cmavo.</w:t>
      </w:r>
      <w:r>
        <w:rPr>
          <w:rStyle w:val="deletedparamark"/>
        </w:rPr>
        <w:t xml:space="preserve"> </w:t>
      </w:r>
      <w:r>
        <w:t>They are the structure words that hold the Lojban lan</w:t>
      </w:r>
      <w:r>
        <w:softHyphen/>
        <w:t>guage together.</w:t>
      </w:r>
      <w:r>
        <w:rPr>
          <w:rStyle w:val="deletedparamark"/>
        </w:rPr>
        <w:t xml:space="preserve"> </w:t>
      </w:r>
      <w:r>
        <w:t>They often have no se</w:t>
      </w:r>
      <w:r>
        <w:softHyphen/>
        <w:t>mantic meaning in them</w:t>
      </w:r>
      <w:r>
        <w:softHyphen/>
        <w:t>selves, though they may affect</w:t>
      </w:r>
      <w:r>
        <w:rPr>
          <w:rStyle w:val="deletedparamark"/>
        </w:rPr>
        <w:t xml:space="preserve"> </w:t>
      </w:r>
      <w:r>
        <w:t>the semantics of brivla to which they are attached. The cmavo include the</w:t>
      </w:r>
      <w:r>
        <w:rPr>
          <w:rStyle w:val="deletedparamark"/>
        </w:rPr>
        <w:t xml:space="preserve"> </w:t>
      </w:r>
      <w:r>
        <w:t>equivalent of English articles, conjunctions, preposi</w:t>
      </w:r>
      <w:r>
        <w:softHyphen/>
        <w:t>tions, numbers, and</w:t>
      </w:r>
      <w:r>
        <w:rPr>
          <w:rStyle w:val="deletedparamark"/>
        </w:rPr>
        <w:t xml:space="preserve"> </w:t>
      </w:r>
      <w:r>
        <w:t>punctuation marks. There are over a hundred subcategories of cmavo, known</w:t>
      </w:r>
      <w:r>
        <w:rPr>
          <w:rStyle w:val="deletedparamark"/>
        </w:rPr>
        <w:t xml:space="preserve"> </w:t>
      </w:r>
      <w:r>
        <w:t>as “selma'o”, each having a specifically defined grammatical usage.</w:t>
      </w:r>
      <w:r>
        <w:rPr>
          <w:rStyle w:val="deletedparamark"/>
        </w:rPr>
        <w:t xml:space="preserve"> </w:t>
      </w:r>
      <w:r>
        <w:t xml:space="preserve">The various selma'o are discussed throughout </w:t>
      </w:r>
      <w:r>
        <w:rPr>
          <w:rStyle w:val="htmlcodes"/>
        </w:rPr>
        <w:t>&lt;a href=chap5.html&gt;</w:t>
      </w:r>
      <w:r>
        <w:t xml:space="preserve">Chapters 5 </w:t>
      </w:r>
      <w:r>
        <w:rPr>
          <w:rStyle w:val="htmlcodes"/>
        </w:rPr>
        <w:t>&lt;/a&gt;</w:t>
      </w:r>
      <w:r>
        <w:t xml:space="preserve">to </w:t>
      </w:r>
      <w:r>
        <w:rPr>
          <w:rStyle w:val="htmlcodes"/>
        </w:rPr>
        <w:t>&lt;a href=chap19.html&gt;</w:t>
      </w:r>
      <w:r>
        <w:t xml:space="preserve">19 </w:t>
      </w:r>
      <w:r>
        <w:rPr>
          <w:rStyle w:val="htmlcodes"/>
        </w:rPr>
        <w:t>&lt;/a&gt;</w:t>
      </w:r>
      <w:r>
        <w:t>and</w:t>
      </w:r>
      <w:r>
        <w:rPr>
          <w:rStyle w:val="deletedparamark"/>
        </w:rPr>
        <w:t xml:space="preserve"> </w:t>
      </w:r>
      <w:r>
        <w:t xml:space="preserve">summarized in </w:t>
      </w:r>
      <w:r>
        <w:rPr>
          <w:rStyle w:val="htmlcodes"/>
        </w:rPr>
        <w:t>&lt;a href=chap20.html&gt;</w:t>
      </w:r>
      <w:r>
        <w:t>Chapter 20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"cmavo, structure of"&gt;</w:t>
      </w:r>
      <w:r>
        <w:rPr>
          <w:rStyle w:val="indexentry"/>
        </w:rPr>
        <w:fldChar w:fldCharType="begin"/>
      </w:r>
      <w:r>
        <w:instrText>xe "</w:instrText>
      </w:r>
      <w:r>
        <w:rPr>
          <w:rStyle w:val="xeentry"/>
        </w:rPr>
        <w:instrText>cmavo: structure of</w:instrText>
      </w:r>
      <w:r>
        <w:instrText>"</w:instrText>
      </w:r>
      <w:r>
        <w:rPr>
          <w:rStyle w:val="indexentry"/>
        </w:rPr>
        <w:fldChar w:fldCharType="end"/>
      </w:r>
      <w:r>
        <w:t>Standard cmavo occur in four forms defined by their word structure. Here are</w:t>
      </w:r>
      <w:r>
        <w:rPr>
          <w:rStyle w:val="deletedparamark"/>
        </w:rPr>
        <w:t xml:space="preserve"> </w:t>
      </w:r>
      <w:r>
        <w:t>some examples of the various forms:</w:t>
      </w:r>
    </w:p>
    <w:p w:rsidR="00B72047" w:rsidRDefault="00B72047">
      <w:pPr>
        <w:pStyle w:val="examplescaledpre"/>
        <w:ind w:firstLine="0"/>
        <w:rPr>
          <w:rStyle w:val="htmlparacode"/>
        </w:rPr>
      </w:pPr>
      <w:r>
        <w:rPr>
          <w:rStyle w:val="htmlparacode"/>
        </w:rPr>
        <w:t>&lt;p&gt;</w:t>
      </w:r>
    </w:p>
    <w:p w:rsidR="00B72047" w:rsidRDefault="00B72047">
      <w:pPr>
        <w:pStyle w:val="examplescaledpre"/>
      </w:pPr>
      <w:r>
        <w:rPr>
          <w:rStyle w:val="htmlcodes"/>
        </w:rPr>
        <w:t>&lt;pre&gt;</w:t>
      </w:r>
      <w:r>
        <w:t xml:space="preserve"> </w:t>
      </w:r>
      <w:r>
        <w:tab/>
        <w:t>V-form</w:t>
      </w:r>
      <w:r>
        <w:tab/>
      </w:r>
      <w:r>
        <w:tab/>
        <w:t>.a</w:t>
      </w:r>
      <w:r>
        <w:tab/>
        <w:t>.e</w:t>
      </w:r>
      <w:r>
        <w:tab/>
        <w:t>.i</w:t>
      </w:r>
      <w:r>
        <w:tab/>
        <w:t>.o</w:t>
      </w:r>
      <w:r>
        <w:tab/>
        <w:t>.u</w:t>
      </w:r>
    </w:p>
    <w:p w:rsidR="00B72047" w:rsidRDefault="00B72047">
      <w:pPr>
        <w:pStyle w:val="examplescaled"/>
      </w:pPr>
      <w:r>
        <w:tab/>
        <w:t>CV-form</w:t>
      </w:r>
      <w:r>
        <w:tab/>
        <w:t>ba</w:t>
      </w:r>
      <w:r>
        <w:tab/>
        <w:t>ce</w:t>
      </w:r>
      <w:r>
        <w:tab/>
        <w:t>di</w:t>
      </w:r>
      <w:r>
        <w:tab/>
        <w:t>fo</w:t>
      </w:r>
      <w:r>
        <w:tab/>
        <w:t>gu</w:t>
      </w:r>
    </w:p>
    <w:p w:rsidR="00B72047" w:rsidRDefault="00B72047">
      <w:pPr>
        <w:pStyle w:val="examplescaled"/>
      </w:pPr>
      <w:r>
        <w:tab/>
        <w:t>VV-form</w:t>
      </w:r>
      <w:r>
        <w:tab/>
        <w:t>.au</w:t>
      </w:r>
      <w:r>
        <w:tab/>
        <w:t>.ei</w:t>
      </w:r>
      <w:r>
        <w:tab/>
        <w:t>.ia</w:t>
      </w:r>
      <w:r>
        <w:tab/>
        <w:t>.o'u</w:t>
      </w:r>
      <w:r>
        <w:tab/>
        <w:t>.u'e</w:t>
      </w:r>
    </w:p>
    <w:p w:rsidR="00B72047" w:rsidRDefault="00B72047">
      <w:pPr>
        <w:pStyle w:val="examplescaled"/>
      </w:pPr>
      <w:r>
        <w:tab/>
        <w:t>CVV-form</w:t>
      </w:r>
      <w:r>
        <w:tab/>
        <w:t>ki'a</w:t>
      </w:r>
      <w:r>
        <w:tab/>
        <w:t>pei</w:t>
      </w:r>
      <w:r>
        <w:tab/>
        <w:t>mi'o</w:t>
      </w:r>
      <w:r>
        <w:tab/>
        <w:t>coi</w:t>
      </w:r>
      <w:r>
        <w:tab/>
        <w:t>cu'u</w:t>
      </w:r>
    </w:p>
    <w:p w:rsidR="00B72047" w:rsidRDefault="00B72047">
      <w:pPr>
        <w:pStyle w:val="resumedafterexample"/>
      </w:pPr>
      <w:r>
        <w:rPr>
          <w:rStyle w:val="htmlcodes"/>
        </w:rPr>
        <w:t>&lt;/pre&gt;&lt;p&gt;</w:t>
      </w:r>
      <w:r>
        <w:t>In addition, there is the cmavo “.y.” (remember that “y” is not a</w:t>
      </w:r>
      <w:r>
        <w:rPr>
          <w:rStyle w:val="deletedparamark"/>
        </w:rPr>
        <w:t xml:space="preserve"> </w:t>
      </w:r>
      <w:r>
        <w:t>V), which must have pauses before and after it.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"cmavo, simple"&gt;</w:t>
      </w:r>
      <w:r>
        <w:rPr>
          <w:rStyle w:val="indexentry"/>
        </w:rPr>
        <w:fldChar w:fldCharType="begin"/>
      </w:r>
      <w:r>
        <w:instrText>xe "</w:instrText>
      </w:r>
      <w:r>
        <w:rPr>
          <w:rStyle w:val="xeentry"/>
        </w:rPr>
        <w:instrText>cmavo: simple</w:instrText>
      </w:r>
      <w:r>
        <w:instrText>"</w:instrText>
      </w:r>
      <w:r>
        <w:rPr>
          <w:rStyle w:val="indexentry"/>
        </w:rPr>
        <w:fldChar w:fldCharType="end"/>
      </w:r>
      <w:r>
        <w:rPr>
          <w:rStyle w:val="indexentry"/>
        </w:rPr>
        <w:t>&lt;cx "cmavo, for experimental use"&gt;</w:t>
      </w:r>
      <w:r>
        <w:rPr>
          <w:rStyle w:val="indexentry"/>
        </w:rPr>
        <w:fldChar w:fldCharType="begin"/>
      </w:r>
      <w:r>
        <w:instrText>xe "</w:instrText>
      </w:r>
      <w:r>
        <w:rPr>
          <w:rStyle w:val="xeentry"/>
        </w:rPr>
        <w:instrText>cmavo: for experimental use</w:instrText>
      </w:r>
      <w:r>
        <w:instrText>"</w:instrText>
      </w:r>
      <w:r>
        <w:rPr>
          <w:rStyle w:val="indexentry"/>
        </w:rPr>
        <w:fldChar w:fldCharType="end"/>
      </w:r>
      <w:r>
        <w:rPr>
          <w:rStyle w:val="indexentry"/>
        </w:rPr>
        <w:t>&lt;cx "experimental cmavo, forms for"&gt;</w:t>
      </w:r>
      <w:r>
        <w:rPr>
          <w:rStyle w:val="indexentry"/>
        </w:rPr>
        <w:fldChar w:fldCharType="begin"/>
      </w:r>
      <w:r>
        <w:instrText>xe "</w:instrText>
      </w:r>
      <w:r>
        <w:rPr>
          <w:rStyle w:val="xeentry"/>
        </w:rPr>
        <w:instrText>experimental cmavo: forms for</w:instrText>
      </w:r>
      <w:r>
        <w:instrText>"</w:instrText>
      </w:r>
      <w:r>
        <w:rPr>
          <w:rStyle w:val="indexentry"/>
        </w:rPr>
        <w:fldChar w:fldCharType="end"/>
      </w:r>
      <w:r>
        <w:rPr>
          <w:rStyle w:val="indexentry"/>
        </w:rPr>
        <w:t>&lt;cx "cmavo, lack of relation of form to grammatical use"&gt;</w:t>
      </w:r>
      <w:r>
        <w:rPr>
          <w:rStyle w:val="indexentry"/>
        </w:rPr>
        <w:fldChar w:fldCharType="begin"/>
      </w:r>
      <w:r>
        <w:instrText>xe "</w:instrText>
      </w:r>
      <w:r>
        <w:rPr>
          <w:rStyle w:val="xeentry"/>
        </w:rPr>
        <w:instrText>cmavo: lack of relation of form to grammatical use</w:instrText>
      </w:r>
      <w:r>
        <w:instrText>"</w:instrText>
      </w:r>
      <w:r>
        <w:rPr>
          <w:rStyle w:val="indexentry"/>
        </w:rPr>
        <w:fldChar w:fldCharType="end"/>
      </w:r>
      <w:r>
        <w:t>A simple cmavo thus has the property of having only one or two vowels,</w:t>
      </w:r>
      <w:r>
        <w:rPr>
          <w:rStyle w:val="deletedparamark"/>
        </w:rPr>
        <w:t xml:space="preserve"> </w:t>
      </w:r>
      <w:r>
        <w:t>or of having a single consonant followed by one or two vowels. Words</w:t>
      </w:r>
      <w:r>
        <w:rPr>
          <w:rStyle w:val="deletedparamark"/>
        </w:rPr>
        <w:t xml:space="preserve"> </w:t>
      </w:r>
      <w:r>
        <w:t>consisting of three or more vowels in a row, or a sin</w:t>
      </w:r>
      <w:r>
        <w:softHyphen/>
        <w:t>gle consonant followed</w:t>
      </w:r>
      <w:r>
        <w:rPr>
          <w:rStyle w:val="deletedparamark"/>
        </w:rPr>
        <w:t xml:space="preserve"> </w:t>
      </w:r>
      <w:r>
        <w:t>by three or more vowels, are also of cmavo form, but are reserved for</w:t>
      </w:r>
      <w:r>
        <w:rPr>
          <w:rStyle w:val="deletedparamark"/>
        </w:rPr>
        <w:t xml:space="preserve"> </w:t>
      </w:r>
      <w:r>
        <w:t>experimental use: a few examples are “ku'a'e”, “sau'e”, and “bai'ai”.</w:t>
      </w:r>
      <w:r>
        <w:rPr>
          <w:rStyle w:val="deletedparamark"/>
        </w:rPr>
        <w:t xml:space="preserve"> </w:t>
      </w:r>
      <w:r>
        <w:t>All CVV cmavo beginning with the letter “x” are also reserved for</w:t>
      </w:r>
      <w:r>
        <w:rPr>
          <w:rStyle w:val="deletedparamark"/>
        </w:rPr>
        <w:t xml:space="preserve"> </w:t>
      </w:r>
      <w:r>
        <w:t>experi</w:t>
      </w:r>
      <w:r>
        <w:softHyphen/>
        <w:t>mental use. In general, though, the form of a cmavo tells you</w:t>
      </w:r>
      <w:r>
        <w:rPr>
          <w:rStyle w:val="deletedparamark"/>
        </w:rPr>
        <w:t xml:space="preserve"> </w:t>
      </w:r>
      <w:r>
        <w:t>little or nothing about its grammatical use.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"cmavo, experimental"&gt;</w:t>
      </w:r>
      <w:r>
        <w:rPr>
          <w:rStyle w:val="indexentry"/>
        </w:rPr>
        <w:fldChar w:fldCharType="begin"/>
      </w:r>
      <w:r>
        <w:instrText>xe "</w:instrText>
      </w:r>
      <w:r>
        <w:rPr>
          <w:rStyle w:val="xeentry"/>
        </w:rPr>
        <w:instrText>cmavo: experimental</w:instrText>
      </w:r>
      <w:r>
        <w:instrText>"</w:instrText>
      </w:r>
      <w:r>
        <w:rPr>
          <w:rStyle w:val="indexentry"/>
        </w:rPr>
        <w:fldChar w:fldCharType="end"/>
      </w:r>
      <w:r>
        <w:rPr>
          <w:rStyle w:val="indexentry"/>
        </w:rPr>
        <w:t>&lt;cx "experimental cmavo, definition"&gt;</w:t>
      </w:r>
      <w:r>
        <w:rPr>
          <w:rStyle w:val="indexentry"/>
        </w:rPr>
        <w:fldChar w:fldCharType="begin"/>
      </w:r>
      <w:r>
        <w:instrText>xe "</w:instrText>
      </w:r>
      <w:r>
        <w:rPr>
          <w:rStyle w:val="xeentry"/>
        </w:rPr>
        <w:instrText>experimental cmavo: definition</w:instrText>
      </w:r>
      <w:r>
        <w:instrText>"</w:instrText>
      </w:r>
      <w:r>
        <w:rPr>
          <w:rStyle w:val="indexentry"/>
        </w:rPr>
        <w:fldChar w:fldCharType="end"/>
      </w:r>
      <w:r>
        <w:t>“Experimental use” means that the language designers will not assign any</w:t>
      </w:r>
      <w:r>
        <w:rPr>
          <w:rStyle w:val="deletedparamark"/>
        </w:rPr>
        <w:t xml:space="preserve"> </w:t>
      </w:r>
      <w:r>
        <w:t>stan</w:t>
      </w:r>
      <w:r>
        <w:softHyphen/>
        <w:t>dard meaning or usage to these words, and words and usages coined</w:t>
      </w:r>
      <w:r>
        <w:rPr>
          <w:rStyle w:val="deletedparamark"/>
        </w:rPr>
        <w:t xml:space="preserve"> </w:t>
      </w:r>
      <w:r>
        <w:t>by Lojban speakers will not appear in official dic</w:t>
      </w:r>
      <w:r>
        <w:softHyphen/>
        <w:t>tionaries for the</w:t>
      </w:r>
      <w:r>
        <w:rPr>
          <w:rStyle w:val="deletedparamark"/>
        </w:rPr>
        <w:t xml:space="preserve"> </w:t>
      </w:r>
      <w:r>
        <w:t>indefinite future. Experimental-use words pr</w:t>
      </w:r>
      <w:r>
        <w:t>o</w:t>
      </w:r>
      <w:r>
        <w:softHyphen/>
        <w:t>vide an escape hatch</w:t>
      </w:r>
      <w:r>
        <w:rPr>
          <w:rStyle w:val="deletedparamark"/>
        </w:rPr>
        <w:t xml:space="preserve"> </w:t>
      </w:r>
      <w:r>
        <w:t>for adding grammatical mechanisms (as opposed to semantic co</w:t>
      </w:r>
      <w:r>
        <w:t>n</w:t>
      </w:r>
      <w:r>
        <w:softHyphen/>
        <w:t>cepts)</w:t>
      </w:r>
      <w:r>
        <w:rPr>
          <w:rStyle w:val="deletedparamark"/>
        </w:rPr>
        <w:t xml:space="preserve"> </w:t>
      </w:r>
      <w:r>
        <w:t>the need for which was not foreseen.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"cmavo, diphthongs in"&gt;</w:t>
      </w:r>
      <w:r>
        <w:rPr>
          <w:rStyle w:val="indexentry"/>
        </w:rPr>
        <w:fldChar w:fldCharType="begin"/>
      </w:r>
      <w:r>
        <w:instrText>xe "</w:instrText>
      </w:r>
      <w:r>
        <w:rPr>
          <w:rStyle w:val="xeentry"/>
        </w:rPr>
        <w:instrText>cmavo: diphthongs in</w:instrText>
      </w:r>
      <w:r>
        <w:instrText>"</w:instrText>
      </w:r>
      <w:r>
        <w:rPr>
          <w:rStyle w:val="indexentry"/>
        </w:rPr>
        <w:fldChar w:fldCharType="end"/>
      </w:r>
      <w:r>
        <w:t>The cmavo of VV-form include not only the diphthongs and vowel pairs listed</w:t>
      </w:r>
      <w:r>
        <w:rPr>
          <w:rStyle w:val="deletedparamark"/>
        </w:rPr>
        <w:t xml:space="preserve"> </w:t>
      </w:r>
      <w:r>
        <w:t xml:space="preserve">in </w:t>
      </w:r>
      <w:r>
        <w:rPr>
          <w:rStyle w:val="htmlcodes"/>
        </w:rPr>
        <w:t>&lt;a href=#s1&gt;</w:t>
      </w:r>
      <w:r>
        <w:t>Section 1</w:t>
      </w:r>
      <w:r>
        <w:rPr>
          <w:rStyle w:val="htmlcodes"/>
        </w:rPr>
        <w:t>&lt;/a&gt;</w:t>
      </w:r>
      <w:r>
        <w:t>, but also the following ten additional diphthongs:</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r>
      <w:r>
        <w:tab/>
        <w:t>.ia</w:t>
      </w:r>
      <w:r>
        <w:tab/>
        <w:t>.ie</w:t>
      </w:r>
      <w:r>
        <w:tab/>
        <w:t>.ii</w:t>
      </w:r>
      <w:r>
        <w:tab/>
        <w:t>.io</w:t>
      </w:r>
      <w:r>
        <w:tab/>
        <w:t>.iu</w:t>
      </w:r>
    </w:p>
    <w:p w:rsidR="00B72047" w:rsidRDefault="00B72047">
      <w:pPr>
        <w:pStyle w:val="examplescaled"/>
      </w:pPr>
      <w:r>
        <w:tab/>
      </w:r>
      <w:r>
        <w:tab/>
        <w:t>.ua</w:t>
      </w:r>
      <w:r>
        <w:tab/>
        <w:t>.ue</w:t>
      </w:r>
      <w:r>
        <w:tab/>
        <w:t>.ui</w:t>
      </w:r>
      <w:r>
        <w:tab/>
        <w:t>.uo</w:t>
      </w:r>
      <w:r>
        <w:tab/>
        <w:t>.uu</w:t>
      </w:r>
    </w:p>
    <w:p w:rsidR="00B72047" w:rsidRDefault="00B72047">
      <w:pPr>
        <w:pStyle w:val="resumedafterexample"/>
      </w:pPr>
      <w:r>
        <w:rPr>
          <w:rStyle w:val="htmlcodes"/>
        </w:rPr>
        <w:t>&lt;/pre&gt;&lt;p&gt;</w:t>
      </w:r>
      <w:r>
        <w:t>In addition, cmavo can have the form “Cy”, a consonant followed by the</w:t>
      </w:r>
      <w:r>
        <w:rPr>
          <w:rStyle w:val="deletedparamark"/>
        </w:rPr>
        <w:t xml:space="preserve"> </w:t>
      </w:r>
      <w:r>
        <w:t>letter “y”. These cmavo represent letters of the Lojban alphabet, and</w:t>
      </w:r>
      <w:r>
        <w:rPr>
          <w:rStyle w:val="deletedparamark"/>
        </w:rPr>
        <w:t xml:space="preserve"> </w:t>
      </w:r>
      <w:r>
        <w:t xml:space="preserve">are discussed in detail in </w:t>
      </w:r>
      <w:r>
        <w:rPr>
          <w:rStyle w:val="htmlcodes"/>
        </w:rPr>
        <w:t>&lt;a href=chap17.html&gt;</w:t>
      </w:r>
      <w:r>
        <w:t>Chapter 17</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"cmavo, compound"&gt;</w:t>
      </w:r>
      <w:r>
        <w:rPr>
          <w:rStyle w:val="indexentry"/>
        </w:rPr>
        <w:fldChar w:fldCharType="begin"/>
      </w:r>
      <w:r>
        <w:instrText>xe "</w:instrText>
      </w:r>
      <w:r>
        <w:rPr>
          <w:rStyle w:val="xeentry"/>
        </w:rPr>
        <w:instrText>cmavo: compound</w:instrText>
      </w:r>
      <w:r>
        <w:instrText>"</w:instrText>
      </w:r>
      <w:r>
        <w:rPr>
          <w:rStyle w:val="indexentry"/>
        </w:rPr>
        <w:fldChar w:fldCharType="end"/>
      </w:r>
      <w:r>
        <w:rPr>
          <w:rStyle w:val="indexentry"/>
        </w:rPr>
        <w:t>&lt;cx "compound cmavo, definition"&gt;</w:t>
      </w:r>
      <w:r>
        <w:rPr>
          <w:rStyle w:val="indexentry"/>
        </w:rPr>
        <w:fldChar w:fldCharType="begin"/>
      </w:r>
      <w:r>
        <w:instrText>xe "</w:instrText>
      </w:r>
      <w:r>
        <w:rPr>
          <w:rStyle w:val="xeentry"/>
        </w:rPr>
        <w:instrText>compound cmavo: definition</w:instrText>
      </w:r>
      <w:r>
        <w:instrText>"</w:instrText>
      </w:r>
      <w:r>
        <w:rPr>
          <w:rStyle w:val="indexentry"/>
        </w:rPr>
        <w:fldChar w:fldCharType="end"/>
      </w:r>
      <w:r>
        <w:rPr>
          <w:rStyle w:val="indexentry"/>
        </w:rPr>
        <w:t>&lt;cx "compound cmavo, compared with sequence of simple cmavo"&gt;</w:t>
      </w:r>
      <w:r>
        <w:rPr>
          <w:rStyle w:val="indexentry"/>
        </w:rPr>
        <w:fldChar w:fldCharType="begin"/>
      </w:r>
      <w:r>
        <w:instrText>xe "</w:instrText>
      </w:r>
      <w:r>
        <w:rPr>
          <w:rStyle w:val="xeentry"/>
        </w:rPr>
        <w:instrText>compound cmavo: compared with sequence of simple cmavo</w:instrText>
      </w:r>
      <w:r>
        <w:instrText>"</w:instrText>
      </w:r>
      <w:r>
        <w:rPr>
          <w:rStyle w:val="indexentry"/>
        </w:rPr>
        <w:fldChar w:fldCharType="end"/>
      </w:r>
      <w:r>
        <w:t>Compound cmavo are sequences of cmavo attached to</w:t>
      </w:r>
      <w:r>
        <w:softHyphen/>
        <w:t>gether to form a single</w:t>
      </w:r>
      <w:r>
        <w:rPr>
          <w:rStyle w:val="deletedparamark"/>
        </w:rPr>
        <w:t xml:space="preserve"> </w:t>
      </w:r>
      <w:r>
        <w:t>written word. A compound cmavo is always identical in meaning and</w:t>
      </w:r>
      <w:r>
        <w:rPr>
          <w:rStyle w:val="deletedparamark"/>
        </w:rPr>
        <w:t xml:space="preserve"> </w:t>
      </w:r>
      <w:r>
        <w:t>in grammatical use to the separated se</w:t>
      </w:r>
      <w:r>
        <w:softHyphen/>
        <w:t>quence of simple cmavo from which it</w:t>
      </w:r>
      <w:r>
        <w:rPr>
          <w:rStyle w:val="deletedparamark"/>
        </w:rPr>
        <w:t xml:space="preserve"> </w:t>
      </w:r>
      <w:r>
        <w:t>is composed. These words are written in compound form merely to save visual</w:t>
      </w:r>
      <w:r>
        <w:rPr>
          <w:rStyle w:val="deletedparamark"/>
        </w:rPr>
        <w:t xml:space="preserve"> </w:t>
      </w:r>
      <w:r>
        <w:t>space, and to ease the reader's bur</w:t>
      </w:r>
      <w:r>
        <w:softHyphen/>
        <w:t>den in identi</w:t>
      </w:r>
      <w:r>
        <w:softHyphen/>
        <w:t>fying when the component</w:t>
      </w:r>
      <w:r>
        <w:rPr>
          <w:rStyle w:val="deletedparamark"/>
        </w:rPr>
        <w:t xml:space="preserve"> </w:t>
      </w:r>
      <w:r>
        <w:t>cmavo are acting together.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cmavo, recognition of"&gt;</w:t>
      </w:r>
      <w:r>
        <w:rPr>
          <w:rStyle w:val="indexentry"/>
        </w:rPr>
        <w:fldChar w:fldCharType="begin"/>
      </w:r>
      <w:r>
        <w:instrText>xe "</w:instrText>
      </w:r>
      <w:r>
        <w:rPr>
          <w:rStyle w:val="xeentry"/>
        </w:rPr>
        <w:instrText>compound cmavo: recognition of</w:instrText>
      </w:r>
      <w:r>
        <w:instrText>"</w:instrText>
      </w:r>
      <w:r>
        <w:rPr>
          <w:rStyle w:val="indexentry"/>
        </w:rPr>
        <w:fldChar w:fldCharType="end"/>
      </w:r>
      <w:r>
        <w:t>Compound cmavo, while not visually short like their compo</w:t>
      </w:r>
      <w:r>
        <w:softHyphen/>
        <w:t>nents, can be</w:t>
      </w:r>
      <w:r>
        <w:rPr>
          <w:rStyle w:val="deletedparamark"/>
        </w:rPr>
        <w:t xml:space="preserve"> </w:t>
      </w:r>
      <w:r>
        <w:t>readily identified by two characteristics: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They have no consonant pairs or clusters, and</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They end in a vowel.</w:t>
      </w:r>
    </w:p>
    <w:p w:rsidR="00B72047" w:rsidRDefault="00B72047">
      <w:pPr>
        <w:pStyle w:val="resumedafterexample"/>
      </w:pPr>
      <w:r>
        <w:rPr>
          <w:rStyle w:val="htmlcodes"/>
        </w:rPr>
        <w:t>&lt;/dl&gt;&lt;p&gt;</w:t>
      </w:r>
      <w:r>
        <w:t>For example:</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name=e2d1&gt;</w:t>
      </w:r>
      <w:r>
        <w:t>2.1)</w:t>
      </w:r>
      <w:r>
        <w:tab/>
        <w:t>.iseci'i</w:t>
      </w:r>
    </w:p>
    <w:p w:rsidR="00B72047" w:rsidRDefault="00B72047">
      <w:pPr>
        <w:pStyle w:val="examplescaled"/>
      </w:pPr>
      <w:r>
        <w:tab/>
        <w:t>.i se ci'i</w:t>
      </w:r>
    </w:p>
    <w:p w:rsidR="00B72047" w:rsidRDefault="00B72047">
      <w:pPr>
        <w:pStyle w:val="examplescaledpre"/>
      </w:pPr>
      <w:r>
        <w:rPr>
          <w:rStyle w:val="htmlcodes"/>
        </w:rPr>
        <w:t>&lt;a name=e2d2&gt;</w:t>
      </w:r>
      <w:r>
        <w:t>2.2)</w:t>
      </w:r>
      <w:r>
        <w:tab/>
        <w:t>punaijecanai</w:t>
      </w:r>
    </w:p>
    <w:p w:rsidR="00B72047" w:rsidRDefault="00B72047">
      <w:pPr>
        <w:pStyle w:val="examplescaled"/>
      </w:pPr>
      <w:r>
        <w:tab/>
        <w:t>pu nai je ca nai</w:t>
      </w:r>
    </w:p>
    <w:p w:rsidR="00B72047" w:rsidRDefault="00B72047">
      <w:pPr>
        <w:pStyle w:val="examplescaledpre"/>
      </w:pPr>
      <w:r>
        <w:rPr>
          <w:rStyle w:val="htmlcodes"/>
        </w:rPr>
        <w:t>&lt;a name=e2d3&gt;</w:t>
      </w:r>
      <w:r>
        <w:t>2.3)</w:t>
      </w:r>
      <w:r>
        <w:tab/>
        <w:t>ki'e.u'e</w:t>
      </w:r>
    </w:p>
    <w:p w:rsidR="00B72047" w:rsidRDefault="00B72047">
      <w:pPr>
        <w:pStyle w:val="examplescaled"/>
      </w:pPr>
      <w:r>
        <w:tab/>
        <w:t>ki'e .u'e</w:t>
      </w:r>
    </w:p>
    <w:p w:rsidR="00B72047" w:rsidRDefault="00B72047">
      <w:pPr>
        <w:pStyle w:val="resumedafterexample"/>
      </w:pPr>
      <w:r>
        <w:rPr>
          <w:rStyle w:val="htmlcodes"/>
        </w:rPr>
        <w:t>&lt;/pre&gt;</w:t>
      </w:r>
      <w:r>
        <w:rPr>
          <w:rStyle w:val="indexentry"/>
        </w:rPr>
        <w:t>&lt;cx "pauses, before vowels"&gt;</w:t>
      </w:r>
      <w:r>
        <w:rPr>
          <w:rStyle w:val="indexentry"/>
        </w:rPr>
        <w:fldChar w:fldCharType="begin"/>
      </w:r>
      <w:r>
        <w:instrText>xe "</w:instrText>
      </w:r>
      <w:r>
        <w:rPr>
          <w:rStyle w:val="xeentry"/>
        </w:rPr>
        <w:instrText>pauses: before vowels</w:instrText>
      </w:r>
      <w:r>
        <w:instrText>"</w:instrText>
      </w:r>
      <w:r>
        <w:rPr>
          <w:rStyle w:val="indexentry"/>
        </w:rPr>
        <w:fldChar w:fldCharType="end"/>
      </w:r>
      <w:r>
        <w:t>The cmavo “.u'e” begins with a vowel, and like all words beginning with</w:t>
      </w:r>
      <w:r>
        <w:rPr>
          <w:rStyle w:val="deletedparamark"/>
        </w:rPr>
        <w:t xml:space="preserve"> </w:t>
      </w:r>
      <w:r>
        <w:t>a vowel, re</w:t>
      </w:r>
      <w:r>
        <w:softHyphen/>
        <w:t>quires a pause (represented by “.”) before it. This pause cannot</w:t>
      </w:r>
      <w:r>
        <w:rPr>
          <w:rStyle w:val="deletedparamark"/>
        </w:rPr>
        <w:t xml:space="preserve"> </w:t>
      </w:r>
      <w:r>
        <w:t>be omitted simply be</w:t>
      </w:r>
      <w:r>
        <w:softHyphen/>
        <w:t>cause the cmavo is incorporated into a compound cmavo.</w:t>
      </w:r>
      <w:r>
        <w:rPr>
          <w:rStyle w:val="deletedparamark"/>
        </w:rPr>
        <w:t xml:space="preserve"> </w:t>
      </w:r>
      <w:r>
        <w:t>On the other hand,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ki'e'u'e</w:t>
      </w:r>
    </w:p>
    <w:p w:rsidR="00B72047" w:rsidRDefault="00B72047">
      <w:pPr>
        <w:pStyle w:val="resumedafterexample"/>
      </w:pPr>
      <w:r>
        <w:rPr>
          <w:rStyle w:val="htmlcodes"/>
        </w:rPr>
        <w:t>&lt;/pre&gt;</w:t>
      </w:r>
      <w:r>
        <w:t>is a single cmavo reserved for experimental purposes: it has four vowels.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name=e2d5&gt;</w:t>
      </w:r>
      <w:r>
        <w:t>2.5)</w:t>
      </w:r>
      <w:r>
        <w:tab/>
        <w:t>cy.ibu.abu</w:t>
      </w:r>
    </w:p>
    <w:p w:rsidR="00B72047" w:rsidRDefault="00B72047">
      <w:pPr>
        <w:pStyle w:val="examplescaled"/>
      </w:pPr>
      <w:r>
        <w:tab/>
        <w:t>cy. .ibu .abu</w:t>
      </w:r>
    </w:p>
    <w:p w:rsidR="00B72047" w:rsidRDefault="00B72047">
      <w:pPr>
        <w:pStyle w:val="resumedafterexample"/>
      </w:pPr>
      <w:r>
        <w:rPr>
          <w:rStyle w:val="htmlcodes"/>
        </w:rPr>
        <w:t>&lt;/pre&gt;&lt;p&gt;</w:t>
      </w:r>
      <w:r>
        <w:t xml:space="preserve">Again the pauses are required (see </w:t>
      </w:r>
      <w:r>
        <w:rPr>
          <w:rStyle w:val="htmlcodes"/>
        </w:rPr>
        <w:t>&lt;a href=#s9&gt;</w:t>
      </w:r>
      <w:r>
        <w:t>Section 9</w:t>
      </w:r>
      <w:r>
        <w:rPr>
          <w:rStyle w:val="htmlcodes"/>
        </w:rPr>
        <w:t>&lt;/a&gt;</w:t>
      </w:r>
      <w:r>
        <w:t>); the pause after “cy.” merges</w:t>
      </w:r>
      <w:r>
        <w:rPr>
          <w:rStyle w:val="deletedparamark"/>
        </w:rPr>
        <w:t xml:space="preserve"> </w:t>
      </w:r>
      <w:r>
        <w:t>with the pause before “.ibu”.</w:t>
      </w:r>
    </w:p>
    <w:p w:rsidR="00B72047" w:rsidRDefault="00B72047">
      <w:pPr>
        <w:rPr>
          <w:rStyle w:val="htmlparacode"/>
        </w:rPr>
      </w:pPr>
      <w:r>
        <w:rPr>
          <w:rStyle w:val="htmlparacode"/>
        </w:rPr>
        <w:t>&lt;p&gt;</w:t>
      </w:r>
    </w:p>
    <w:p w:rsidR="00B72047" w:rsidRDefault="00B72047">
      <w:pPr>
        <w:pStyle w:val="normalparagraph"/>
      </w:pPr>
      <w:r>
        <w:rPr>
          <w:rStyle w:val="indexentry"/>
        </w:rPr>
        <w:t>&lt;cx "cmavo, stress on"&gt;</w:t>
      </w:r>
      <w:r>
        <w:rPr>
          <w:rStyle w:val="indexentry"/>
        </w:rPr>
        <w:fldChar w:fldCharType="begin"/>
      </w:r>
      <w:r>
        <w:instrText>xe "</w:instrText>
      </w:r>
      <w:r>
        <w:rPr>
          <w:rStyle w:val="xeentry"/>
        </w:rPr>
        <w:instrText>cmavo: stress on</w:instrText>
      </w:r>
      <w:r>
        <w:instrText>"</w:instrText>
      </w:r>
      <w:r>
        <w:rPr>
          <w:rStyle w:val="indexentry"/>
        </w:rPr>
        <w:fldChar w:fldCharType="end"/>
      </w:r>
      <w:r>
        <w:rPr>
          <w:rStyle w:val="indexentry"/>
        </w:rPr>
        <w:t>&lt;cx "stress, on cmavo"&gt;</w:t>
      </w:r>
      <w:r>
        <w:rPr>
          <w:rStyle w:val="indexentry"/>
        </w:rPr>
        <w:fldChar w:fldCharType="begin"/>
      </w:r>
      <w:r>
        <w:instrText>xe "</w:instrText>
      </w:r>
      <w:r>
        <w:rPr>
          <w:rStyle w:val="xeentry"/>
        </w:rPr>
        <w:instrText>stress: on cmavo</w:instrText>
      </w:r>
      <w:r>
        <w:instrText>"</w:instrText>
      </w:r>
      <w:r>
        <w:rPr>
          <w:rStyle w:val="indexentry"/>
        </w:rPr>
        <w:fldChar w:fldCharType="end"/>
      </w:r>
      <w:r>
        <w:t>There is no particular stress required in cmavo or their com</w:t>
      </w:r>
      <w:r>
        <w:softHyphen/>
        <w:t>pounds. Some</w:t>
      </w:r>
      <w:r>
        <w:rPr>
          <w:rStyle w:val="deletedparamark"/>
        </w:rPr>
        <w:t xml:space="preserve"> </w:t>
      </w:r>
      <w:r>
        <w:t>con</w:t>
      </w:r>
      <w:r>
        <w:softHyphen/>
        <w:t>ven</w:t>
      </w:r>
      <w:r>
        <w:softHyphen/>
        <w:t>tions do exist that are not mandatory. For two-syllable cmavo, for</w:t>
      </w:r>
      <w:r>
        <w:rPr>
          <w:rStyle w:val="deletedparamark"/>
        </w:rPr>
        <w:t xml:space="preserve"> </w:t>
      </w:r>
      <w:r>
        <w:t>example, stress is typi</w:t>
      </w:r>
      <w:r>
        <w:softHyphen/>
        <w:t>cally placed on the first vowel; an example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name=e2d6&gt;</w:t>
      </w:r>
      <w:r>
        <w:t>2.6)</w:t>
      </w:r>
      <w:r>
        <w:tab/>
        <w:t>.e'o ko ko kurji</w:t>
      </w:r>
    </w:p>
    <w:p w:rsidR="00B72047" w:rsidRDefault="00B72047">
      <w:pPr>
        <w:pStyle w:val="examplescaled"/>
      </w:pPr>
      <w:r>
        <w:tab/>
        <w:t>.E'o ko ko KURji</w:t>
      </w:r>
    </w:p>
    <w:p w:rsidR="00B72047" w:rsidRDefault="00B72047">
      <w:pPr>
        <w:pStyle w:val="resumedafterexample"/>
      </w:pPr>
      <w:r>
        <w:rPr>
          <w:rStyle w:val="htmlcodes"/>
        </w:rPr>
        <w:t>&lt;/pre&gt;&lt;p&gt;</w:t>
      </w:r>
      <w:r>
        <w:t>This convention results in a consistent rhythm to the language, since</w:t>
      </w:r>
      <w:r>
        <w:rPr>
          <w:rStyle w:val="deletedparamark"/>
        </w:rPr>
        <w:t xml:space="preserve"> </w:t>
      </w:r>
      <w:r>
        <w:t>brivla are required to have penultimate stress; some find this</w:t>
      </w:r>
      <w:r>
        <w:rPr>
          <w:rStyle w:val="deletedparamark"/>
        </w:rPr>
        <w:t xml:space="preserve"> </w:t>
      </w:r>
      <w:r>
        <w:t>estheti</w:t>
      </w:r>
      <w:r>
        <w:softHyphen/>
        <w:t>cally pleasing.</w:t>
      </w:r>
    </w:p>
    <w:p w:rsidR="00B72047" w:rsidRDefault="00B72047">
      <w:pPr>
        <w:rPr>
          <w:rStyle w:val="htmlparacode"/>
        </w:rPr>
      </w:pPr>
      <w:r>
        <w:rPr>
          <w:rStyle w:val="htmlparacode"/>
        </w:rPr>
        <w:t>&lt;p&gt;</w:t>
      </w:r>
    </w:p>
    <w:p w:rsidR="00B72047" w:rsidRDefault="00B72047">
      <w:pPr>
        <w:pStyle w:val="normalparagraph"/>
      </w:pPr>
      <w:r>
        <w:rPr>
          <w:rStyle w:val="indexentry"/>
        </w:rPr>
        <w:t>&lt;cx "pause, requirement between stressed syllables"&gt;</w:t>
      </w:r>
      <w:r>
        <w:rPr>
          <w:rStyle w:val="indexentry"/>
        </w:rPr>
        <w:fldChar w:fldCharType="begin"/>
      </w:r>
      <w:r>
        <w:instrText>xe "</w:instrText>
      </w:r>
      <w:r>
        <w:rPr>
          <w:rStyle w:val="xeentry"/>
        </w:rPr>
        <w:instrText>pause: requirement between stressed syllables</w:instrText>
      </w:r>
      <w:r>
        <w:instrText>"</w:instrText>
      </w:r>
      <w:r>
        <w:rPr>
          <w:rStyle w:val="indexentry"/>
        </w:rPr>
        <w:fldChar w:fldCharType="end"/>
      </w:r>
      <w:r>
        <w:t>If the final syllable of one word is stressed, and the first sylla</w:t>
      </w:r>
      <w:r>
        <w:softHyphen/>
        <w:t>ble</w:t>
      </w:r>
      <w:r>
        <w:rPr>
          <w:rStyle w:val="deletedparamark"/>
        </w:rPr>
        <w:t xml:space="preserve"> </w:t>
      </w:r>
      <w:r>
        <w:t>of the next word is stressed, you must insert a pause or glottal stop</w:t>
      </w:r>
      <w:r>
        <w:rPr>
          <w:rStyle w:val="deletedparamark"/>
        </w:rPr>
        <w:t xml:space="preserve"> </w:t>
      </w:r>
      <w:r>
        <w:t>between the two stressed sylla</w:t>
      </w:r>
      <w:r>
        <w:softHyphen/>
        <w:t>bles.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name=e2d7&gt;</w:t>
      </w:r>
      <w:r>
        <w:t>2.7)</w:t>
      </w:r>
      <w:r>
        <w:tab/>
        <w:t>le re nanmu</w:t>
      </w:r>
    </w:p>
    <w:p w:rsidR="00B72047" w:rsidRDefault="00B72047">
      <w:pPr>
        <w:pStyle w:val="resumedafterexample"/>
      </w:pPr>
      <w:r>
        <w:rPr>
          <w:rStyle w:val="htmlcodes"/>
        </w:rPr>
        <w:t>&lt;/pre&gt;</w:t>
      </w:r>
      <w:r>
        <w:t>can be optionally pronounced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name=e2d8&gt;</w:t>
      </w:r>
      <w:r>
        <w:t>2.8)</w:t>
      </w:r>
      <w:r>
        <w:tab/>
        <w:t>le RE. NANmu</w:t>
      </w:r>
    </w:p>
    <w:p w:rsidR="00B72047" w:rsidRDefault="00B72047">
      <w:pPr>
        <w:pStyle w:val="resumedafterexample"/>
      </w:pPr>
      <w:r>
        <w:rPr>
          <w:rStyle w:val="htmlcodes"/>
        </w:rPr>
        <w:t>&lt;/pre&gt;</w:t>
      </w:r>
      <w:r>
        <w:t>since there are no rules forcing stress on either of the first two words;</w:t>
      </w:r>
      <w:r>
        <w:rPr>
          <w:rStyle w:val="deletedparamark"/>
        </w:rPr>
        <w:t xml:space="preserve"> </w:t>
      </w:r>
      <w:r>
        <w:t>the stress on “re”, though, demands that a pause separate “re” from the</w:t>
      </w:r>
      <w:r>
        <w:rPr>
          <w:rStyle w:val="deletedparamark"/>
        </w:rPr>
        <w:t xml:space="preserve"> </w:t>
      </w:r>
      <w:r>
        <w:t>following syllable “nan” to ensure that the stress on “nan” is prop</w:t>
      </w:r>
      <w:r>
        <w:softHyphen/>
        <w:t>erly</w:t>
      </w:r>
      <w:r>
        <w:rPr>
          <w:rStyle w:val="deletedparamark"/>
        </w:rPr>
        <w:t xml:space="preserve"> </w:t>
      </w:r>
      <w:r>
        <w:t>heard as a stressed syllable. The alternative pronun</w:t>
      </w:r>
      <w:r>
        <w:softHyphen/>
        <w:t>ciation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name=e2d9&gt;</w:t>
      </w:r>
      <w:r>
        <w:t>2.9)</w:t>
      </w:r>
      <w:r>
        <w:tab/>
        <w:t>LE re NANmu</w:t>
      </w:r>
    </w:p>
    <w:p w:rsidR="00B72047" w:rsidRDefault="00B72047">
      <w:pPr>
        <w:pStyle w:val="resumedafterexample"/>
      </w:pPr>
      <w:r>
        <w:rPr>
          <w:rStyle w:val="htmlcodes"/>
        </w:rPr>
        <w:t>&lt;/pre&gt;</w:t>
      </w:r>
      <w:r>
        <w:t>is also valid; this would apply secondary stress (used for purposes of</w:t>
      </w:r>
      <w:r>
        <w:rPr>
          <w:rStyle w:val="deletedparamark"/>
        </w:rPr>
        <w:t xml:space="preserve"> </w:t>
      </w:r>
      <w:r>
        <w:t>emphasis, contrast or sentence rhythm) to “le”, comparable in rhyth</w:t>
      </w:r>
      <w:r>
        <w:softHyphen/>
        <w:t>mical</w:t>
      </w:r>
      <w:r>
        <w:rPr>
          <w:rStyle w:val="deletedparamark"/>
        </w:rPr>
        <w:t xml:space="preserve"> </w:t>
      </w:r>
      <w:r>
        <w:t xml:space="preserve">effect to the English phrase “THE two men”. In </w:t>
      </w:r>
      <w:r>
        <w:rPr>
          <w:rStyle w:val="htmlcodes"/>
        </w:rPr>
        <w:t>&lt;a href=#e2d8&gt;</w:t>
      </w:r>
      <w:r>
        <w:t>Example 2.8</w:t>
      </w:r>
      <w:r>
        <w:rPr>
          <w:rStyle w:val="htmlcodes"/>
        </w:rPr>
        <w:t>&lt;/a&gt;</w:t>
      </w:r>
      <w:r>
        <w:t>, the secondary</w:t>
      </w:r>
      <w:r>
        <w:rPr>
          <w:rStyle w:val="deletedparamark"/>
        </w:rPr>
        <w:t xml:space="preserve"> </w:t>
      </w:r>
      <w:r>
        <w:t>stress on “re” would be similar to that in the English phrase “the TWO men”.</w:t>
      </w:r>
    </w:p>
    <w:p w:rsidR="00B72047" w:rsidRDefault="00B72047">
      <w:pPr>
        <w:rPr>
          <w:rStyle w:val="htmlparacode"/>
        </w:rPr>
      </w:pPr>
      <w:r>
        <w:rPr>
          <w:rStyle w:val="htmlparacode"/>
        </w:rPr>
        <w:t>&lt;p&gt;</w:t>
      </w:r>
    </w:p>
    <w:p w:rsidR="00B72047" w:rsidRDefault="00B72047">
      <w:pPr>
        <w:pStyle w:val="normalparagraph"/>
      </w:pPr>
      <w:r>
        <w:t>Both cmavo may also be left unstressed,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name=e2d10&gt;</w:t>
      </w:r>
      <w:r>
        <w:t>2.10)</w:t>
      </w:r>
      <w:r>
        <w:tab/>
        <w:t>le re NANmu</w:t>
      </w:r>
    </w:p>
    <w:p w:rsidR="00B72047" w:rsidRDefault="00B72047">
      <w:pPr>
        <w:pStyle w:val="resumedafterexample"/>
      </w:pPr>
      <w:r>
        <w:rPr>
          <w:rStyle w:val="htmlcodes"/>
        </w:rPr>
        <w:t>&lt;/pre&gt;&lt;p&gt;</w:t>
      </w:r>
      <w:r>
        <w:t>This would probably be the most common usage.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159" w:name="_Toc395691501"/>
      <w:bookmarkStart w:id="160" w:name="_Toc398970472"/>
      <w:r>
        <w:rPr>
          <w:rStyle w:val="Heading3Text"/>
        </w:rPr>
        <w:t>brivla</w:t>
      </w:r>
      <w:bookmarkEnd w:id="159"/>
      <w:bookmarkEnd w:id="16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"brivla, definition"&gt;</w:t>
      </w:r>
      <w:r>
        <w:rPr>
          <w:rStyle w:val="indexentry"/>
        </w:rPr>
        <w:fldChar w:fldCharType="begin"/>
      </w:r>
      <w:r>
        <w:instrText>xe "</w:instrText>
      </w:r>
      <w:r>
        <w:rPr>
          <w:rStyle w:val="xeentry"/>
        </w:rPr>
        <w:instrText>brivla: definition</w:instrText>
      </w:r>
      <w:r>
        <w:instrText>"</w:instrText>
      </w:r>
      <w:r>
        <w:rPr>
          <w:rStyle w:val="indexentry"/>
        </w:rPr>
        <w:fldChar w:fldCharType="end"/>
      </w:r>
      <w:r>
        <w:rPr>
          <w:rStyle w:val="indexentry"/>
        </w:rPr>
        <w:t>&lt;cx "nouns, brivla as Lojban equivalents"&gt;</w:t>
      </w:r>
      <w:r>
        <w:rPr>
          <w:rStyle w:val="indexentry"/>
        </w:rPr>
        <w:fldChar w:fldCharType="begin"/>
      </w:r>
      <w:r>
        <w:instrText>xe "</w:instrText>
      </w:r>
      <w:r>
        <w:rPr>
          <w:rStyle w:val="xeentry"/>
        </w:rPr>
        <w:instrText>nouns: brivla as Lojban equivalents</w:instrText>
      </w:r>
      <w:r>
        <w:instrText>"</w:instrText>
      </w:r>
      <w:r>
        <w:rPr>
          <w:rStyle w:val="indexentry"/>
        </w:rPr>
        <w:fldChar w:fldCharType="end"/>
      </w:r>
      <w:r>
        <w:rPr>
          <w:rStyle w:val="indexentry"/>
        </w:rPr>
        <w:t>&lt;cx "adjectives, brivla as Lojban equivalents"&gt;</w:t>
      </w:r>
      <w:r>
        <w:rPr>
          <w:rStyle w:val="indexentry"/>
        </w:rPr>
        <w:fldChar w:fldCharType="begin"/>
      </w:r>
      <w:r>
        <w:instrText>xe "</w:instrText>
      </w:r>
      <w:r>
        <w:rPr>
          <w:rStyle w:val="xeentry"/>
        </w:rPr>
        <w:instrText>adjectives: brivla as Lojban equivalents</w:instrText>
      </w:r>
      <w:r>
        <w:instrText>"</w:instrText>
      </w:r>
      <w:r>
        <w:rPr>
          <w:rStyle w:val="indexentry"/>
        </w:rPr>
        <w:fldChar w:fldCharType="end"/>
      </w:r>
      <w:r>
        <w:rPr>
          <w:rStyle w:val="indexentry"/>
        </w:rPr>
        <w:t>&lt;cx "verbs, brivla as Lojban equivalents"&gt;</w:t>
      </w:r>
      <w:r>
        <w:rPr>
          <w:rStyle w:val="indexentry"/>
        </w:rPr>
        <w:fldChar w:fldCharType="begin"/>
      </w:r>
      <w:r>
        <w:instrText>xe "</w:instrText>
      </w:r>
      <w:r>
        <w:rPr>
          <w:rStyle w:val="xeentry"/>
        </w:rPr>
        <w:instrText>verbs: brivla as Lojban equivalents</w:instrText>
      </w:r>
      <w:r>
        <w:instrText>"</w:instrText>
      </w:r>
      <w:r>
        <w:rPr>
          <w:rStyle w:val="indexentry"/>
        </w:rPr>
        <w:fldChar w:fldCharType="end"/>
      </w:r>
      <w:r>
        <w:rPr>
          <w:rStyle w:val="indexentry"/>
        </w:rPr>
        <w:t>&lt;cx "adverbs, brivla as Lojban equivalents"&gt;</w:t>
      </w:r>
      <w:r>
        <w:rPr>
          <w:rStyle w:val="indexentry"/>
        </w:rPr>
        <w:fldChar w:fldCharType="begin"/>
      </w:r>
      <w:r>
        <w:instrText>xe "</w:instrText>
      </w:r>
      <w:r>
        <w:rPr>
          <w:rStyle w:val="xeentry"/>
        </w:rPr>
        <w:instrText>adverbs: brivla as Lojban equivalents</w:instrText>
      </w:r>
      <w:r>
        <w:instrText>"</w:instrText>
      </w:r>
      <w:r>
        <w:rPr>
          <w:rStyle w:val="indexentry"/>
        </w:rPr>
        <w:fldChar w:fldCharType="end"/>
      </w:r>
      <w:r>
        <w:t>Predicate words, called “brivla”, are at the core of Lojban. They carry</w:t>
      </w:r>
      <w:r>
        <w:rPr>
          <w:rStyle w:val="deletedparamark"/>
        </w:rPr>
        <w:t xml:space="preserve"> </w:t>
      </w:r>
      <w:r>
        <w:t>most of the semantic information in the language. They serve as the</w:t>
      </w:r>
      <w:r>
        <w:rPr>
          <w:rStyle w:val="deletedparamark"/>
        </w:rPr>
        <w:t xml:space="preserve"> </w:t>
      </w:r>
      <w:r>
        <w:t>equivalent of English nouns, verbs, adjectives, and ad</w:t>
      </w:r>
      <w:r>
        <w:softHyphen/>
        <w:t>verbs, all in a single</w:t>
      </w:r>
      <w:r>
        <w:rPr>
          <w:rStyle w:val="deletedparamark"/>
        </w:rPr>
        <w:t xml:space="preserve"> </w:t>
      </w:r>
      <w:r>
        <w:t>part of speech.</w:t>
      </w:r>
    </w:p>
    <w:p w:rsidR="00B72047" w:rsidRDefault="00B72047">
      <w:pPr>
        <w:rPr>
          <w:rStyle w:val="htmlparacode"/>
        </w:rPr>
      </w:pPr>
      <w:r>
        <w:rPr>
          <w:rStyle w:val="htmlparacode"/>
        </w:rPr>
        <w:t>&lt;p&gt;</w:t>
      </w:r>
    </w:p>
    <w:p w:rsidR="00B72047" w:rsidRDefault="00B72047">
      <w:pPr>
        <w:pStyle w:val="normalparagraph"/>
      </w:pPr>
      <w:r>
        <w:rPr>
          <w:rStyle w:val="indexentry"/>
        </w:rPr>
        <w:t>&lt;cx "types and subtypes of words"&gt;</w:t>
      </w:r>
      <w:r>
        <w:rPr>
          <w:rStyle w:val="indexentry"/>
        </w:rPr>
        <w:fldChar w:fldCharType="begin"/>
      </w:r>
      <w:r>
        <w:instrText>xe "</w:instrText>
      </w:r>
      <w:r>
        <w:rPr>
          <w:rStyle w:val="xeentry"/>
        </w:rPr>
        <w:instrText>types and subtypes of words</w:instrText>
      </w:r>
      <w:r>
        <w:instrText>"</w:instrText>
      </w:r>
      <w:r>
        <w:rPr>
          <w:rStyle w:val="indexentry"/>
        </w:rPr>
        <w:fldChar w:fldCharType="end"/>
      </w:r>
      <w:r>
        <w:rPr>
          <w:rStyle w:val="indexentry"/>
        </w:rPr>
        <w:t>&lt;cx "subtypes of words"&gt;</w:t>
      </w:r>
      <w:r>
        <w:rPr>
          <w:rStyle w:val="indexentry"/>
        </w:rPr>
        <w:fldChar w:fldCharType="begin"/>
      </w:r>
      <w:r>
        <w:instrText>xe "</w:instrText>
      </w:r>
      <w:r>
        <w:rPr>
          <w:rStyle w:val="xeentry"/>
        </w:rPr>
        <w:instrText>subtypes of words</w:instrText>
      </w:r>
      <w:r>
        <w:instrText>"</w:instrText>
      </w:r>
      <w:r>
        <w:rPr>
          <w:rStyle w:val="indexentry"/>
        </w:rPr>
        <w:fldChar w:fldCharType="end"/>
      </w:r>
      <w:r>
        <w:t>Every brivla belongs to one of three major subtypes. These subtypes are</w:t>
      </w:r>
      <w:r>
        <w:rPr>
          <w:rStyle w:val="deletedparamark"/>
        </w:rPr>
        <w:t xml:space="preserve"> </w:t>
      </w:r>
      <w:r>
        <w:t>de</w:t>
      </w:r>
      <w:r>
        <w:softHyphen/>
        <w:t>fined by the form, or morphology, of the word — all words of a</w:t>
      </w:r>
      <w:r>
        <w:rPr>
          <w:rStyle w:val="deletedparamark"/>
        </w:rPr>
        <w:t xml:space="preserve"> </w:t>
      </w:r>
      <w:r>
        <w:t>particular structure can be a</w:t>
      </w:r>
      <w:r>
        <w:t>s</w:t>
      </w:r>
      <w:r>
        <w:softHyphen/>
        <w:t>signed by sight or sound to a particular</w:t>
      </w:r>
      <w:r>
        <w:rPr>
          <w:rStyle w:val="deletedparamark"/>
        </w:rPr>
        <w:t xml:space="preserve"> </w:t>
      </w:r>
      <w:r>
        <w:t>type (cmavo, brivla, or cmene) and sub</w:t>
      </w:r>
      <w:r>
        <w:softHyphen/>
        <w:t>type. Knowing the type and subtype</w:t>
      </w:r>
      <w:r>
        <w:rPr>
          <w:rStyle w:val="deletedparamark"/>
        </w:rPr>
        <w:t xml:space="preserve"> </w:t>
      </w:r>
      <w:r>
        <w:t>then gives you, the reader or listener, significant clues to the meaning</w:t>
      </w:r>
      <w:r>
        <w:rPr>
          <w:rStyle w:val="deletedparamark"/>
        </w:rPr>
        <w:t xml:space="preserve"> </w:t>
      </w:r>
      <w:r>
        <w:t>and the origin of the word, even if you have never heard the word before.</w:t>
      </w:r>
    </w:p>
    <w:p w:rsidR="00B72047" w:rsidRDefault="00B72047">
      <w:pPr>
        <w:rPr>
          <w:rStyle w:val="htmlparacode"/>
        </w:rPr>
      </w:pPr>
      <w:r>
        <w:rPr>
          <w:rStyle w:val="htmlparacode"/>
        </w:rPr>
        <w:t>&lt;p&gt;</w:t>
      </w:r>
    </w:p>
    <w:p w:rsidR="00B72047" w:rsidRDefault="00B72047">
      <w:pPr>
        <w:pStyle w:val="normalparagraph"/>
      </w:pPr>
      <w:r>
        <w:rPr>
          <w:rStyle w:val="indexentry"/>
        </w:rPr>
        <w:t>&lt;cx "flexible vocabulary"&gt;</w:t>
      </w:r>
      <w:r>
        <w:rPr>
          <w:rStyle w:val="indexentry"/>
        </w:rPr>
        <w:fldChar w:fldCharType="begin"/>
      </w:r>
      <w:r>
        <w:instrText>xe "</w:instrText>
      </w:r>
      <w:r>
        <w:rPr>
          <w:rStyle w:val="xeentry"/>
        </w:rPr>
        <w:instrText>flexible vocabulary</w:instrText>
      </w:r>
      <w:r>
        <w:instrText>"</w:instrText>
      </w:r>
      <w:r>
        <w:rPr>
          <w:rStyle w:val="indexentry"/>
        </w:rPr>
        <w:fldChar w:fldCharType="end"/>
      </w:r>
      <w:r>
        <w:t>The same principle allows you, when speaking or writing, to invent new</w:t>
      </w:r>
      <w:r>
        <w:rPr>
          <w:rStyle w:val="deletedparamark"/>
        </w:rPr>
        <w:t xml:space="preserve"> </w:t>
      </w:r>
      <w:r>
        <w:t>brivla for new concepts “on the fly”; yet it offers people that you are</w:t>
      </w:r>
      <w:r>
        <w:rPr>
          <w:rStyle w:val="deletedparamark"/>
        </w:rPr>
        <w:t xml:space="preserve"> </w:t>
      </w:r>
      <w:r>
        <w:t>trying to communicate with a good chance to figure out your meaning. In this</w:t>
      </w:r>
      <w:r>
        <w:rPr>
          <w:rStyle w:val="deletedparamark"/>
        </w:rPr>
        <w:t xml:space="preserve"> </w:t>
      </w:r>
      <w:r>
        <w:t>way, Lojban has a flexible vo</w:t>
      </w:r>
      <w:r>
        <w:softHyphen/>
        <w:t>cabulary which can be expanded indefinitely.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"brivla, properties of"&gt;</w:t>
      </w:r>
      <w:r>
        <w:rPr>
          <w:rStyle w:val="indexentry"/>
        </w:rPr>
        <w:fldChar w:fldCharType="begin"/>
      </w:r>
      <w:r>
        <w:instrText>xe "</w:instrText>
      </w:r>
      <w:r>
        <w:rPr>
          <w:rStyle w:val="xeentry"/>
        </w:rPr>
        <w:instrText>brivla: properties of</w:instrText>
      </w:r>
      <w:r>
        <w:instrText>"</w:instrText>
      </w:r>
      <w:r>
        <w:rPr>
          <w:rStyle w:val="indexentry"/>
        </w:rPr>
        <w:fldChar w:fldCharType="end"/>
      </w:r>
      <w:r>
        <w:t>All brivla have the following properties: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always end in a vowel;</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always contain a consonant pair in the first five letters, where “y” and apos</w:t>
      </w:r>
      <w:r>
        <w:softHyphen/>
        <w:t>trophe are not counted as letters for this pur</w:t>
      </w:r>
      <w:r>
        <w:softHyphen/>
        <w:t xml:space="preserve">pose (See </w:t>
      </w:r>
      <w:r>
        <w:rPr>
          <w:rStyle w:val="htmlcodes"/>
        </w:rPr>
        <w:t>&lt;a href=#s6&gt;</w:t>
      </w:r>
      <w:r>
        <w:t>Section 6</w:t>
      </w:r>
      <w:r>
        <w:rPr>
          <w:rStyle w:val="htmlcodes"/>
        </w:rPr>
        <w:t>&lt;/a&gt;</w:t>
      </w:r>
      <w:r>
        <w:t>);</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always are stressed on the next-to-the-last (penultimate) syl</w:t>
      </w:r>
      <w:r>
        <w:softHyphen/>
        <w:t>lable; this im</w:t>
      </w:r>
      <w:r>
        <w:softHyphen/>
        <w:t>plies that they have two or more syllables.</w:t>
      </w:r>
    </w:p>
    <w:p w:rsidR="00B72047" w:rsidRDefault="00B72047">
      <w:pPr>
        <w:pStyle w:val="resumedafterexample"/>
      </w:pPr>
      <w:r>
        <w:rPr>
          <w:rStyle w:val="htmlcodes"/>
        </w:rPr>
        <w:t>&lt;/dl&gt;</w:t>
      </w:r>
      <w:r>
        <w:rPr>
          <w:rStyle w:val="indexentry"/>
        </w:rPr>
        <w:t>&lt;cx "brivla, recognition of"&gt;</w:t>
      </w:r>
      <w:r>
        <w:rPr>
          <w:rStyle w:val="indexentry"/>
        </w:rPr>
        <w:fldChar w:fldCharType="begin"/>
      </w:r>
      <w:r>
        <w:instrText>xe "</w:instrText>
      </w:r>
      <w:r>
        <w:rPr>
          <w:rStyle w:val="xeentry"/>
        </w:rPr>
        <w:instrText>brivla: recognition of</w:instrText>
      </w:r>
      <w:r>
        <w:instrText>"</w:instrText>
      </w:r>
      <w:r>
        <w:rPr>
          <w:rStyle w:val="indexentry"/>
        </w:rPr>
        <w:fldChar w:fldCharType="end"/>
      </w:r>
      <w:r>
        <w:rPr>
          <w:rStyle w:val="indexentry"/>
        </w:rPr>
        <w:t>&lt;cx "brivla form, contrasted with cmavo form"&gt;</w:t>
      </w:r>
      <w:r>
        <w:rPr>
          <w:rStyle w:val="indexentry"/>
        </w:rPr>
        <w:fldChar w:fldCharType="begin"/>
      </w:r>
      <w:r>
        <w:instrText>xe "</w:instrText>
      </w:r>
      <w:r>
        <w:rPr>
          <w:rStyle w:val="xeentry"/>
        </w:rPr>
        <w:instrText>brivla form: contrasted with cmavo form</w:instrText>
      </w:r>
      <w:r>
        <w:instrText>"</w:instrText>
      </w:r>
      <w:r>
        <w:rPr>
          <w:rStyle w:val="indexentry"/>
        </w:rPr>
        <w:fldChar w:fldCharType="end"/>
      </w:r>
      <w:r>
        <w:rPr>
          <w:rStyle w:val="indexentry"/>
        </w:rPr>
        <w:t>&lt;cx "brivla form, contrasted with cmene form"&gt;</w:t>
      </w:r>
      <w:r>
        <w:rPr>
          <w:rStyle w:val="indexentry"/>
        </w:rPr>
        <w:fldChar w:fldCharType="begin"/>
      </w:r>
      <w:r>
        <w:instrText>xe "</w:instrText>
      </w:r>
      <w:r>
        <w:rPr>
          <w:rStyle w:val="xeentry"/>
        </w:rPr>
        <w:instrText>brivla form: contrasted with cmene form</w:instrText>
      </w:r>
      <w:r>
        <w:instrText>"</w:instrText>
      </w:r>
      <w:r>
        <w:rPr>
          <w:rStyle w:val="indexentry"/>
        </w:rPr>
        <w:fldChar w:fldCharType="end"/>
      </w:r>
      <w:r>
        <w:rPr>
          <w:rStyle w:val="indexentry"/>
        </w:rPr>
        <w:t>&lt;cx "cmavo form, contrasted with brivla form"&gt;</w:t>
      </w:r>
      <w:r>
        <w:rPr>
          <w:rStyle w:val="indexentry"/>
        </w:rPr>
        <w:fldChar w:fldCharType="begin"/>
      </w:r>
      <w:r>
        <w:instrText>xe "</w:instrText>
      </w:r>
      <w:r>
        <w:rPr>
          <w:rStyle w:val="xeentry"/>
        </w:rPr>
        <w:instrText>cmavo form: contrasted with brivla form</w:instrText>
      </w:r>
      <w:r>
        <w:instrText>"</w:instrText>
      </w:r>
      <w:r>
        <w:rPr>
          <w:rStyle w:val="indexentry"/>
        </w:rPr>
        <w:fldChar w:fldCharType="end"/>
      </w:r>
      <w:r>
        <w:rPr>
          <w:rStyle w:val="indexentry"/>
        </w:rPr>
        <w:t>&lt;cx "cmene form, contrasted with brivla form"&gt;</w:t>
      </w:r>
      <w:r>
        <w:rPr>
          <w:rStyle w:val="indexentry"/>
        </w:rPr>
        <w:fldChar w:fldCharType="begin"/>
      </w:r>
      <w:r>
        <w:instrText>xe "</w:instrText>
      </w:r>
      <w:r>
        <w:rPr>
          <w:rStyle w:val="xeentry"/>
        </w:rPr>
        <w:instrText>cmene form: contrasted with brivla form</w:instrText>
      </w:r>
      <w:r>
        <w:instrText>"</w:instrText>
      </w:r>
      <w:r>
        <w:rPr>
          <w:rStyle w:val="indexentry"/>
        </w:rPr>
        <w:fldChar w:fldCharType="end"/>
      </w:r>
      <w:r>
        <w:t>The presence of a consonant pair distinguishes brivla from cmavo and their</w:t>
      </w:r>
      <w:r>
        <w:rPr>
          <w:rStyle w:val="deletedparamark"/>
        </w:rPr>
        <w:t xml:space="preserve"> </w:t>
      </w:r>
      <w:r>
        <w:t>compounds. The final vowel distinguishes brivla from cmene, which always</w:t>
      </w:r>
      <w:r>
        <w:rPr>
          <w:rStyle w:val="deletedparamark"/>
        </w:rPr>
        <w:t xml:space="preserve"> </w:t>
      </w:r>
      <w:r>
        <w:t>end in a consonant. Thus “da'amei” must be a compound cmavo because it</w:t>
      </w:r>
      <w:r>
        <w:rPr>
          <w:rStyle w:val="deletedparamark"/>
        </w:rPr>
        <w:t xml:space="preserve"> </w:t>
      </w:r>
      <w:r>
        <w:t>lacks a consonant pair; “lojban.” must be a name because it lacks a</w:t>
      </w:r>
      <w:r>
        <w:rPr>
          <w:rStyle w:val="deletedparamark"/>
        </w:rPr>
        <w:t xml:space="preserve"> </w:t>
      </w:r>
      <w:r>
        <w:t>final vowel.</w:t>
      </w:r>
    </w:p>
    <w:p w:rsidR="00B72047" w:rsidRDefault="00B72047">
      <w:pPr>
        <w:rPr>
          <w:rStyle w:val="htmlparacode"/>
        </w:rPr>
      </w:pPr>
      <w:r>
        <w:rPr>
          <w:rStyle w:val="htmlparacode"/>
        </w:rPr>
        <w:t>&lt;p&gt;</w:t>
      </w:r>
    </w:p>
    <w:p w:rsidR="00B72047" w:rsidRDefault="00B72047">
      <w:pPr>
        <w:pStyle w:val="normalparagraph"/>
      </w:pPr>
      <w:r>
        <w:rPr>
          <w:rStyle w:val="indexentry"/>
        </w:rPr>
        <w:t>&lt;cx "brivla, consonant pairs in"&gt;</w:t>
      </w:r>
      <w:r>
        <w:rPr>
          <w:rStyle w:val="indexentry"/>
        </w:rPr>
        <w:fldChar w:fldCharType="begin"/>
      </w:r>
      <w:r>
        <w:instrText>xe "</w:instrText>
      </w:r>
      <w:r>
        <w:rPr>
          <w:rStyle w:val="xeentry"/>
        </w:rPr>
        <w:instrText>brivla: consonant pairs in</w:instrText>
      </w:r>
      <w:r>
        <w:instrText>"</w:instrText>
      </w:r>
      <w:r>
        <w:rPr>
          <w:rStyle w:val="indexentry"/>
        </w:rPr>
        <w:fldChar w:fldCharType="end"/>
      </w:r>
      <w:r>
        <w:rPr>
          <w:rStyle w:val="indexentry"/>
        </w:rPr>
        <w:t>&lt;cx "consonant pairs, in brivla"&gt;</w:t>
      </w:r>
      <w:r>
        <w:rPr>
          <w:rStyle w:val="indexentry"/>
        </w:rPr>
        <w:fldChar w:fldCharType="begin"/>
      </w:r>
      <w:r>
        <w:instrText>xe "</w:instrText>
      </w:r>
      <w:r>
        <w:rPr>
          <w:rStyle w:val="xeentry"/>
        </w:rPr>
        <w:instrText>consonant pairs: in brivla</w:instrText>
      </w:r>
      <w:r>
        <w:instrText>"</w:instrText>
      </w:r>
      <w:r>
        <w:rPr>
          <w:rStyle w:val="indexentry"/>
        </w:rPr>
        <w:fldChar w:fldCharType="end"/>
      </w:r>
      <w:r>
        <w:rPr>
          <w:rStyle w:val="indexentry"/>
        </w:rPr>
        <w:t>&lt;cx "“y”, between letters of consonant pair"&gt;</w:t>
      </w:r>
      <w:r>
        <w:rPr>
          <w:rStyle w:val="indexentry"/>
        </w:rPr>
        <w:fldChar w:fldCharType="begin"/>
      </w:r>
      <w:r>
        <w:instrText>xe "</w:instrText>
      </w:r>
      <w:r>
        <w:rPr>
          <w:rStyle w:val="xeentry"/>
        </w:rPr>
        <w:instrText>y: letter: between letters of consonant pair</w:instrText>
      </w:r>
      <w:r>
        <w:instrText>"</w:instrText>
      </w:r>
      <w:r>
        <w:rPr>
          <w:rStyle w:val="indexentry"/>
        </w:rPr>
        <w:fldChar w:fldCharType="end"/>
      </w:r>
      <w:r>
        <w:rPr>
          <w:rStyle w:val="indexentry"/>
        </w:rPr>
        <w:t>&lt;cx "consonant pairs, “y” within"&gt;</w:t>
      </w:r>
      <w:r>
        <w:rPr>
          <w:rStyle w:val="indexentry"/>
        </w:rPr>
        <w:fldChar w:fldCharType="begin"/>
      </w:r>
      <w:r>
        <w:instrText>xe "</w:instrText>
      </w:r>
      <w:r>
        <w:rPr>
          <w:rStyle w:val="xeentry"/>
        </w:rPr>
        <w:instrText>consonant pairs: letter y within</w:instrText>
      </w:r>
      <w:r>
        <w:instrText>"</w:instrText>
      </w:r>
      <w:r>
        <w:rPr>
          <w:rStyle w:val="indexentry"/>
        </w:rPr>
        <w:fldChar w:fldCharType="end"/>
      </w:r>
      <w:r>
        <w:t>Thus, “bisycla” has the consonant pair “sc” in the first five non-“y”</w:t>
      </w:r>
      <w:r>
        <w:rPr>
          <w:rStyle w:val="deletedparamark"/>
        </w:rPr>
        <w:t xml:space="preserve"> </w:t>
      </w:r>
      <w:r>
        <w:t>letters even though the “sc” actually appears in the form of “syc”.</w:t>
      </w:r>
      <w:r>
        <w:rPr>
          <w:rStyle w:val="deletedparamark"/>
        </w:rPr>
        <w:t xml:space="preserve"> </w:t>
      </w:r>
      <w:r>
        <w:t>Similarly, the word “ro'inre'o” contains “nr” in the first five letters</w:t>
      </w:r>
      <w:r>
        <w:rPr>
          <w:rStyle w:val="deletedparamark"/>
        </w:rPr>
        <w:t xml:space="preserve"> </w:t>
      </w:r>
      <w:r>
        <w:t>because the apostrophes are not counted for this pur</w:t>
      </w:r>
      <w:r>
        <w:softHyphen/>
        <w:t>pose.</w:t>
      </w:r>
    </w:p>
    <w:p w:rsidR="00B72047" w:rsidRDefault="00B72047">
      <w:pPr>
        <w:rPr>
          <w:rStyle w:val="htmlparacode"/>
        </w:rPr>
      </w:pPr>
      <w:r>
        <w:rPr>
          <w:rStyle w:val="htmlparacode"/>
        </w:rPr>
        <w:t>&lt;p&gt;</w:t>
      </w:r>
    </w:p>
    <w:p w:rsidR="00B72047" w:rsidRDefault="00B72047">
      <w:pPr>
        <w:pStyle w:val="normalparagraph"/>
      </w:pPr>
      <w:r>
        <w:rPr>
          <w:rStyle w:val="indexentry"/>
        </w:rPr>
        <w:t>&lt;cx "brivla, subtypes of"&gt;</w:t>
      </w:r>
      <w:r>
        <w:rPr>
          <w:rStyle w:val="indexentry"/>
        </w:rPr>
        <w:fldChar w:fldCharType="begin"/>
      </w:r>
      <w:r>
        <w:instrText>xe "</w:instrText>
      </w:r>
      <w:r>
        <w:rPr>
          <w:rStyle w:val="xeentry"/>
        </w:rPr>
        <w:instrText>brivla: subtypes of</w:instrText>
      </w:r>
      <w:r>
        <w:instrText>"</w:instrText>
      </w:r>
      <w:r>
        <w:rPr>
          <w:rStyle w:val="indexentry"/>
        </w:rPr>
        <w:fldChar w:fldCharType="end"/>
      </w:r>
      <w:r>
        <w:t>The three subtypes of brivla are:</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"primitive roots, gismu as"&gt;</w:t>
      </w:r>
      <w:r>
        <w:rPr>
          <w:rStyle w:val="indexentry"/>
        </w:rPr>
        <w:fldChar w:fldCharType="begin"/>
      </w:r>
      <w:r>
        <w:instrText>xe "</w:instrText>
      </w:r>
      <w:r>
        <w:rPr>
          <w:rStyle w:val="xeentry"/>
        </w:rPr>
        <w:instrText>primitive roots: gismu as</w:instrText>
      </w:r>
      <w:r>
        <w:instrText>"</w:instrText>
      </w:r>
      <w:r>
        <w:rPr>
          <w:rStyle w:val="indexentry"/>
        </w:rPr>
        <w:fldChar w:fldCharType="end"/>
      </w:r>
      <w:r>
        <w:rPr>
          <w:rStyle w:val="indexentry"/>
        </w:rPr>
        <w:t>&lt;cx "gismu, as a subtype of brivla"&gt;</w:t>
      </w:r>
      <w:r>
        <w:rPr>
          <w:rStyle w:val="indexentry"/>
        </w:rPr>
        <w:fldChar w:fldCharType="begin"/>
      </w:r>
      <w:r>
        <w:instrText>xe "</w:instrText>
      </w:r>
      <w:r>
        <w:rPr>
          <w:rStyle w:val="xeentry"/>
        </w:rPr>
        <w:instrText>gismu: as a subtype of brivla</w:instrText>
      </w:r>
      <w:r>
        <w:instrText>"</w:instrText>
      </w:r>
      <w:r>
        <w:rPr>
          <w:rStyle w:val="indexentry"/>
        </w:rPr>
        <w:fldChar w:fldCharType="end"/>
      </w:r>
      <w:r>
        <w:rPr>
          <w:rStyle w:val="htmlcodes"/>
        </w:rPr>
        <w:t>&lt;dl compact&gt;&lt;dt&gt;</w:t>
      </w:r>
      <w:r>
        <w:t>1)</w:t>
      </w:r>
      <w:r>
        <w:tab/>
      </w:r>
      <w:r>
        <w:rPr>
          <w:rStyle w:val="htmlcodes"/>
        </w:rPr>
        <w:t>&lt;dd&gt;</w:t>
      </w:r>
      <w:r>
        <w:t>gismu, the Lojban primitive roots from which all other brivla are built;</w:t>
      </w:r>
    </w:p>
    <w:p w:rsidR="00B72047" w:rsidRDefault="00B72047" w:rsidP="007E67C1">
      <w:pPr>
        <w:pStyle w:val="Listnobullets"/>
        <w:numPr>
          <w:ilvl w:val="0"/>
          <w:numId w:val="0"/>
        </w:numPr>
        <w:ind w:left="864" w:hanging="504"/>
      </w:pPr>
      <w:r>
        <w:rPr>
          <w:rStyle w:val="htmlcodes"/>
        </w:rPr>
        <w:t>&lt;/dl&gt;</w:t>
      </w:r>
      <w:r>
        <w:rPr>
          <w:rStyle w:val="indexentry"/>
        </w:rPr>
        <w:t>&lt;cx "lujvo, as a subtype of brivla"&gt;</w:t>
      </w:r>
      <w:r>
        <w:rPr>
          <w:rStyle w:val="indexentry"/>
        </w:rPr>
        <w:fldChar w:fldCharType="begin"/>
      </w:r>
      <w:r>
        <w:instrText>xe "</w:instrText>
      </w:r>
      <w:r>
        <w:rPr>
          <w:rStyle w:val="xeentry"/>
        </w:rPr>
        <w:instrText>lujvo: as a subtype of brivla</w:instrText>
      </w:r>
      <w:r>
        <w:instrText>"</w:instrText>
      </w:r>
      <w:r>
        <w:rPr>
          <w:rStyle w:val="indexentry"/>
        </w:rPr>
        <w:fldChar w:fldCharType="end"/>
      </w:r>
      <w:r>
        <w:rPr>
          <w:rStyle w:val="indexentry"/>
        </w:rPr>
        <w:t>&lt;cx "compound of gismu, lujvo as"&gt;</w:t>
      </w:r>
      <w:r>
        <w:rPr>
          <w:rStyle w:val="indexentry"/>
        </w:rPr>
        <w:fldChar w:fldCharType="begin"/>
      </w:r>
      <w:r>
        <w:instrText>xe "</w:instrText>
      </w:r>
      <w:r>
        <w:rPr>
          <w:rStyle w:val="xeentry"/>
        </w:rPr>
        <w:instrText>compound of gismu: lujvo as</w:instrText>
      </w:r>
      <w:r>
        <w:instrText>"</w:instrText>
      </w:r>
      <w:r>
        <w:rPr>
          <w:rStyle w:val="indexentry"/>
        </w:rPr>
        <w:fldChar w:fldCharType="end"/>
      </w:r>
      <w:r>
        <w:rPr>
          <w:rStyle w:val="htmlcodes"/>
        </w:rPr>
        <w:t>&lt;dl compact&gt;&lt;dt&gt;</w:t>
      </w:r>
      <w:r>
        <w:t>2)</w:t>
      </w:r>
      <w:r>
        <w:tab/>
      </w:r>
      <w:r>
        <w:rPr>
          <w:rStyle w:val="htmlcodes"/>
        </w:rPr>
        <w:t>&lt;dd&gt;</w:t>
      </w:r>
      <w:r>
        <w:t>lujvo, the compounds of two or more gismu; and</w:t>
      </w:r>
    </w:p>
    <w:p w:rsidR="00B72047" w:rsidRDefault="00B72047" w:rsidP="007E67C1">
      <w:pPr>
        <w:pStyle w:val="Listnobullets"/>
        <w:numPr>
          <w:ilvl w:val="0"/>
          <w:numId w:val="0"/>
        </w:numPr>
        <w:ind w:left="864" w:hanging="504"/>
      </w:pPr>
      <w:r>
        <w:rPr>
          <w:rStyle w:val="htmlcodes"/>
        </w:rPr>
        <w:t>&lt;/dl&gt;</w:t>
      </w:r>
      <w:r>
        <w:rPr>
          <w:rStyle w:val="indexentry"/>
        </w:rPr>
        <w:t>&lt;cx "fu'ivla, as a subtype of brivla"&gt;</w:t>
      </w:r>
      <w:r>
        <w:rPr>
          <w:rStyle w:val="indexentry"/>
        </w:rPr>
        <w:fldChar w:fldCharType="begin"/>
      </w:r>
      <w:r>
        <w:instrText>xe "</w:instrText>
      </w:r>
      <w:r>
        <w:rPr>
          <w:rStyle w:val="xeentry"/>
        </w:rPr>
        <w:instrText>fu'ivla: as a subtype of brivla</w:instrText>
      </w:r>
      <w:r>
        <w:instrText>"</w:instrText>
      </w:r>
      <w:r>
        <w:rPr>
          <w:rStyle w:val="indexentry"/>
        </w:rPr>
        <w:fldChar w:fldCharType="end"/>
      </w:r>
      <w:r>
        <w:rPr>
          <w:rStyle w:val="indexentry"/>
        </w:rPr>
        <w:t>&lt;cx "borrowing from other language, fu'ivla as"&gt;</w:t>
      </w:r>
      <w:r>
        <w:rPr>
          <w:rStyle w:val="indexentry"/>
        </w:rPr>
        <w:fldChar w:fldCharType="begin"/>
      </w:r>
      <w:r>
        <w:instrText>xe "</w:instrText>
      </w:r>
      <w:r>
        <w:rPr>
          <w:rStyle w:val="xeentry"/>
        </w:rPr>
        <w:instrText>borrowing from other language: fu'ivla as</w:instrText>
      </w:r>
      <w:r>
        <w:instrText>"</w:instrText>
      </w:r>
      <w:r>
        <w:rPr>
          <w:rStyle w:val="indexentry"/>
        </w:rPr>
        <w:fldChar w:fldCharType="end"/>
      </w:r>
      <w:r>
        <w:rPr>
          <w:rStyle w:val="htmlcodes"/>
        </w:rPr>
        <w:t>&lt;pre&gt;</w:t>
      </w:r>
      <w:r>
        <w:t>3)</w:t>
      </w:r>
      <w:r>
        <w:tab/>
        <w:t>fu'ivla (literally “copy-word”), the specialized words that are not Lojban primitives or natural compounds, and are therefore borrowed from other lan</w:t>
      </w:r>
      <w:r>
        <w:softHyphen/>
        <w:t>guages.</w:t>
      </w:r>
    </w:p>
    <w:p w:rsidR="00B72047" w:rsidRDefault="00B72047">
      <w:pPr>
        <w:pStyle w:val="Heading3"/>
        <w:rPr>
          <w:rStyle w:val="Heading3Text"/>
        </w:rPr>
      </w:pPr>
      <w:r>
        <w:rPr>
          <w:rStyle w:val="htmlcodes"/>
        </w:rPr>
        <w:t>&lt;/pre&gt;&lt;a name=s4&gt;&lt;h3&gt;</w:t>
      </w:r>
      <w:bookmarkStart w:id="161" w:name="_Toc395691502"/>
      <w:bookmarkStart w:id="162" w:name="_Toc398970473"/>
      <w:r>
        <w:rPr>
          <w:rStyle w:val="Heading3Text"/>
        </w:rPr>
        <w:t>gismu</w:t>
      </w:r>
      <w:bookmarkEnd w:id="161"/>
      <w:bookmarkEnd w:id="16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"gismu, definition"&gt;</w:t>
      </w:r>
      <w:r>
        <w:rPr>
          <w:rStyle w:val="indexentry"/>
        </w:rPr>
        <w:fldChar w:fldCharType="begin"/>
      </w:r>
      <w:r>
        <w:instrText>xe "</w:instrText>
      </w:r>
      <w:r>
        <w:rPr>
          <w:rStyle w:val="xeentry"/>
        </w:rPr>
        <w:instrText>gismu: definition</w:instrText>
      </w:r>
      <w:r>
        <w:instrText>"</w:instrText>
      </w:r>
      <w:r>
        <w:rPr>
          <w:rStyle w:val="indexentry"/>
        </w:rPr>
        <w:fldChar w:fldCharType="end"/>
      </w:r>
      <w:r>
        <w:rPr>
          <w:rStyle w:val="indexentry"/>
        </w:rPr>
        <w:t>&lt;cx "gismu, rationale for choice of"&gt;</w:t>
      </w:r>
      <w:r>
        <w:rPr>
          <w:rStyle w:val="indexentry"/>
        </w:rPr>
        <w:fldChar w:fldCharType="begin"/>
      </w:r>
      <w:r>
        <w:instrText>xe "</w:instrText>
      </w:r>
      <w:r>
        <w:rPr>
          <w:rStyle w:val="xeentry"/>
        </w:rPr>
        <w:instrText>gismu: rationale for choice of</w:instrText>
      </w:r>
      <w:r>
        <w:instrText>"</w:instrText>
      </w:r>
      <w:r>
        <w:rPr>
          <w:rStyle w:val="indexentry"/>
        </w:rPr>
        <w:fldChar w:fldCharType="end"/>
      </w:r>
      <w:r>
        <w:t>The gismu, or Lojban root words, are those brivla represent</w:t>
      </w:r>
      <w:r>
        <w:softHyphen/>
        <w:t>ing concepts</w:t>
      </w:r>
      <w:r>
        <w:rPr>
          <w:rStyle w:val="deletedparamark"/>
        </w:rPr>
        <w:t xml:space="preserve"> </w:t>
      </w:r>
      <w:r>
        <w:t>most basic to the language. The gismu were chosen for various reasons:</w:t>
      </w:r>
      <w:r>
        <w:rPr>
          <w:rStyle w:val="deletedparamark"/>
        </w:rPr>
        <w:t xml:space="preserve"> </w:t>
      </w:r>
      <w:r>
        <w:t>some represent con</w:t>
      </w:r>
      <w:r>
        <w:softHyphen/>
        <w:t>cepts that are very familiar and basic; some represent</w:t>
      </w:r>
      <w:r>
        <w:rPr>
          <w:rStyle w:val="deletedparamark"/>
        </w:rPr>
        <w:t xml:space="preserve"> </w:t>
      </w:r>
      <w:r>
        <w:t>concepts that are frequently used in other lan</w:t>
      </w:r>
      <w:r>
        <w:softHyphen/>
        <w:t>guages; some were added because</w:t>
      </w:r>
      <w:r>
        <w:rPr>
          <w:rStyle w:val="deletedparamark"/>
        </w:rPr>
        <w:t xml:space="preserve"> </w:t>
      </w:r>
      <w:r>
        <w:t>they would be helpful in con</w:t>
      </w:r>
      <w:r>
        <w:softHyphen/>
        <w:t>structing more complex words; some because</w:t>
      </w:r>
      <w:r>
        <w:rPr>
          <w:rStyle w:val="deletedparamark"/>
        </w:rPr>
        <w:t xml:space="preserve"> </w:t>
      </w:r>
      <w:r>
        <w:t>they represent funda</w:t>
      </w:r>
      <w:r>
        <w:softHyphen/>
        <w:t>mental Lojban concepts (like “cmavo” and “gismu”</w:t>
      </w:r>
      <w:r>
        <w:rPr>
          <w:rStyle w:val="deletedparamark"/>
        </w:rPr>
        <w:t xml:space="preserve"> </w:t>
      </w:r>
      <w:r>
        <w:t>themselves).</w:t>
      </w:r>
    </w:p>
    <w:p w:rsidR="00B72047" w:rsidRDefault="00B72047">
      <w:pPr>
        <w:rPr>
          <w:rStyle w:val="htmlparacode"/>
        </w:rPr>
      </w:pPr>
      <w:r>
        <w:rPr>
          <w:rStyle w:val="htmlparacode"/>
        </w:rPr>
        <w:t>&lt;p&gt;</w:t>
      </w:r>
    </w:p>
    <w:p w:rsidR="00B72047" w:rsidRDefault="00B72047">
      <w:pPr>
        <w:pStyle w:val="normalparagraph"/>
      </w:pPr>
      <w:r>
        <w:rPr>
          <w:rStyle w:val="indexentry"/>
        </w:rPr>
        <w:t>&lt;cx "gismu, selection of"&gt;</w:t>
      </w:r>
      <w:r>
        <w:rPr>
          <w:rStyle w:val="indexentry"/>
        </w:rPr>
        <w:fldChar w:fldCharType="begin"/>
      </w:r>
      <w:r>
        <w:instrText>xe "</w:instrText>
      </w:r>
      <w:r>
        <w:rPr>
          <w:rStyle w:val="xeentry"/>
        </w:rPr>
        <w:instrText>gismu: selection of</w:instrText>
      </w:r>
      <w:r>
        <w:instrText>"</w:instrText>
      </w:r>
      <w:r>
        <w:rPr>
          <w:rStyle w:val="indexentry"/>
        </w:rPr>
        <w:fldChar w:fldCharType="end"/>
      </w:r>
      <w:r>
        <w:rPr>
          <w:rStyle w:val="indexentry"/>
        </w:rPr>
        <w:t>&lt;cx "gismu, as partitioning semantic space"&gt;</w:t>
      </w:r>
      <w:r>
        <w:rPr>
          <w:rStyle w:val="indexentry"/>
        </w:rPr>
        <w:fldChar w:fldCharType="begin"/>
      </w:r>
      <w:r>
        <w:instrText>xe "</w:instrText>
      </w:r>
      <w:r>
        <w:rPr>
          <w:rStyle w:val="xeentry"/>
        </w:rPr>
        <w:instrText>gismu: as partitioning semantic space</w:instrText>
      </w:r>
      <w:r>
        <w:instrText>"</w:instrText>
      </w:r>
      <w:r>
        <w:rPr>
          <w:rStyle w:val="indexentry"/>
        </w:rPr>
        <w:fldChar w:fldCharType="end"/>
      </w:r>
      <w:r>
        <w:t>The gismu do not represent any sort of systematic partition</w:t>
      </w:r>
      <w:r>
        <w:softHyphen/>
        <w:t>ing of semantic</w:t>
      </w:r>
      <w:r>
        <w:rPr>
          <w:rStyle w:val="deletedparamark"/>
        </w:rPr>
        <w:t xml:space="preserve"> </w:t>
      </w:r>
      <w:r>
        <w:t>space. Some gismu may be superfluous, or appear for historical reasons: the</w:t>
      </w:r>
      <w:r>
        <w:rPr>
          <w:rStyle w:val="deletedparamark"/>
        </w:rPr>
        <w:t xml:space="preserve"> </w:t>
      </w:r>
      <w:r>
        <w:t>gismu list was be</w:t>
      </w:r>
      <w:r>
        <w:softHyphen/>
        <w:t>ing collected for almost 35 years and was only weeded out</w:t>
      </w:r>
      <w:r>
        <w:rPr>
          <w:rStyle w:val="deletedparamark"/>
        </w:rPr>
        <w:t xml:space="preserve"> </w:t>
      </w:r>
      <w:r>
        <w:t>once. Instead, the intention is that the gismu blanket semantic space:</w:t>
      </w:r>
      <w:r>
        <w:rPr>
          <w:rStyle w:val="deletedparamark"/>
        </w:rPr>
        <w:t xml:space="preserve"> </w:t>
      </w:r>
      <w:r>
        <w:t>they make it possible to talk about the entire range of human concerns.</w:t>
      </w:r>
    </w:p>
    <w:p w:rsidR="00B72047" w:rsidRDefault="00B72047">
      <w:pPr>
        <w:rPr>
          <w:rStyle w:val="htmlparacode"/>
        </w:rPr>
      </w:pPr>
      <w:r>
        <w:rPr>
          <w:rStyle w:val="htmlparacode"/>
        </w:rPr>
        <w:t>&lt;p&gt;</w:t>
      </w:r>
    </w:p>
    <w:p w:rsidR="00B72047" w:rsidRDefault="00B72047">
      <w:pPr>
        <w:pStyle w:val="normalparagraph"/>
      </w:pPr>
      <w:r>
        <w:rPr>
          <w:rStyle w:val="indexentry"/>
        </w:rPr>
        <w:t>&lt;cx "gismu and cmavo, major"&gt;</w:t>
      </w:r>
      <w:r>
        <w:rPr>
          <w:rStyle w:val="indexentry"/>
        </w:rPr>
        <w:fldChar w:fldCharType="begin"/>
      </w:r>
      <w:r>
        <w:instrText>xe "</w:instrText>
      </w:r>
      <w:r>
        <w:rPr>
          <w:rStyle w:val="xeentry"/>
        </w:rPr>
        <w:instrText>gismu: and cmavo, major</w:instrText>
      </w:r>
      <w:r>
        <w:instrText>"</w:instrText>
      </w:r>
      <w:r>
        <w:rPr>
          <w:rStyle w:val="indexentry"/>
        </w:rPr>
        <w:fldChar w:fldCharType="end"/>
      </w:r>
      <w:r>
        <w:rPr>
          <w:rStyle w:val="indexentry"/>
        </w:rPr>
        <w:t>&lt;cx "cmavo and gismu, major"&gt;</w:t>
      </w:r>
      <w:r>
        <w:rPr>
          <w:rStyle w:val="indexentry"/>
        </w:rPr>
        <w:fldChar w:fldCharType="begin"/>
      </w:r>
      <w:r>
        <w:instrText>xe "</w:instrText>
      </w:r>
      <w:r>
        <w:rPr>
          <w:rStyle w:val="xeentry"/>
        </w:rPr>
        <w:instrText>cmavo and gismu: major</w:instrText>
      </w:r>
      <w:r>
        <w:instrText>"</w:instrText>
      </w:r>
      <w:r>
        <w:rPr>
          <w:rStyle w:val="indexentry"/>
        </w:rPr>
        <w:fldChar w:fldCharType="end"/>
      </w:r>
      <w:r>
        <w:rPr>
          <w:rStyle w:val="indexentry"/>
        </w:rPr>
        <w:t>&lt;cx "learning Lojban, magnitude of task"&gt;</w:t>
      </w:r>
      <w:r>
        <w:rPr>
          <w:rStyle w:val="indexentry"/>
        </w:rPr>
        <w:fldChar w:fldCharType="begin"/>
      </w:r>
      <w:r>
        <w:instrText>xe "</w:instrText>
      </w:r>
      <w:r>
        <w:rPr>
          <w:rStyle w:val="xeentry"/>
        </w:rPr>
        <w:instrText>learning Lojban: magnitude of task</w:instrText>
      </w:r>
      <w:r>
        <w:instrText>"</w:instrText>
      </w:r>
      <w:r>
        <w:rPr>
          <w:rStyle w:val="indexentry"/>
        </w:rPr>
        <w:fldChar w:fldCharType="end"/>
      </w:r>
      <w:r>
        <w:t>There are about 1350 gismu. In learning Lojban, you need only to learn most</w:t>
      </w:r>
      <w:r>
        <w:rPr>
          <w:rStyle w:val="deletedparamark"/>
        </w:rPr>
        <w:t xml:space="preserve"> </w:t>
      </w:r>
      <w:r>
        <w:t>of these gismu and their combining forms (known as “rafsi”) as well</w:t>
      </w:r>
      <w:r>
        <w:rPr>
          <w:rStyle w:val="deletedparamark"/>
        </w:rPr>
        <w:t xml:space="preserve"> </w:t>
      </w:r>
      <w:r>
        <w:t>as perhaps 200 major cmavo, and you will be able to communicate effectively</w:t>
      </w:r>
      <w:r>
        <w:rPr>
          <w:rStyle w:val="deletedparamark"/>
        </w:rPr>
        <w:t xml:space="preserve"> </w:t>
      </w:r>
      <w:r>
        <w:t>in the language. This may sound like a lot, but it is a small number</w:t>
      </w:r>
      <w:r>
        <w:rPr>
          <w:rStyle w:val="deletedparamark"/>
        </w:rPr>
        <w:t xml:space="preserve"> </w:t>
      </w:r>
      <w:r>
        <w:t>compared to the vocabulary needed for simi</w:t>
      </w:r>
      <w:r>
        <w:softHyphen/>
        <w:t>lar communica</w:t>
      </w:r>
      <w:r>
        <w:softHyphen/>
        <w:t>tions in other</w:t>
      </w:r>
      <w:r>
        <w:rPr>
          <w:rStyle w:val="deletedparamark"/>
        </w:rPr>
        <w:t xml:space="preserve"> </w:t>
      </w:r>
      <w:r>
        <w:t>languages.</w:t>
      </w:r>
    </w:p>
    <w:p w:rsidR="00B72047" w:rsidRDefault="00B72047">
      <w:pPr>
        <w:rPr>
          <w:rStyle w:val="htmlparacode"/>
        </w:rPr>
      </w:pPr>
      <w:r>
        <w:rPr>
          <w:rStyle w:val="htmlparacode"/>
        </w:rPr>
        <w:t>&lt;p&gt;</w:t>
      </w:r>
    </w:p>
    <w:p w:rsidR="00B72047" w:rsidRDefault="00B72047">
      <w:pPr>
        <w:pStyle w:val="normalparagraph"/>
      </w:pPr>
      <w:r>
        <w:rPr>
          <w:rStyle w:val="indexentry"/>
        </w:rPr>
        <w:t>&lt;cx "gismu, rules for"&gt;</w:t>
      </w:r>
      <w:r>
        <w:rPr>
          <w:rStyle w:val="indexentry"/>
        </w:rPr>
        <w:fldChar w:fldCharType="begin"/>
      </w:r>
      <w:r>
        <w:instrText>xe "</w:instrText>
      </w:r>
      <w:r>
        <w:rPr>
          <w:rStyle w:val="xeentry"/>
        </w:rPr>
        <w:instrText>gismu: rules for</w:instrText>
      </w:r>
      <w:r>
        <w:instrText>"</w:instrText>
      </w:r>
      <w:r>
        <w:rPr>
          <w:rStyle w:val="indexentry"/>
        </w:rPr>
        <w:fldChar w:fldCharType="end"/>
      </w:r>
      <w:r>
        <w:t>All gismu have very strong form restrictions. Using the con</w:t>
      </w:r>
      <w:r>
        <w:softHyphen/>
        <w:t>ventions defined</w:t>
      </w:r>
      <w:r>
        <w:rPr>
          <w:rStyle w:val="deletedparamark"/>
        </w:rPr>
        <w:t xml:space="preserve"> </w:t>
      </w:r>
      <w:r>
        <w:t xml:space="preserve">in </w:t>
      </w:r>
      <w:r>
        <w:rPr>
          <w:rStyle w:val="htmlcodes"/>
        </w:rPr>
        <w:t>&lt;a href=#s1&gt;</w:t>
      </w:r>
      <w:r>
        <w:t>Sec</w:t>
      </w:r>
      <w:r>
        <w:softHyphen/>
        <w:t>tion 1</w:t>
      </w:r>
      <w:r>
        <w:rPr>
          <w:rStyle w:val="htmlcodes"/>
        </w:rPr>
        <w:t>&lt;/a&gt;</w:t>
      </w:r>
      <w:r>
        <w:t>, all gismu are of the forms CVC/CV or CCVCV. They must meet</w:t>
      </w:r>
      <w:r>
        <w:rPr>
          <w:rStyle w:val="deletedparamark"/>
        </w:rPr>
        <w:t xml:space="preserve"> </w:t>
      </w:r>
      <w:r>
        <w:t xml:space="preserve">the rules for all brivla given in </w:t>
      </w:r>
      <w:r>
        <w:rPr>
          <w:rStyle w:val="htmlcodes"/>
        </w:rPr>
        <w:t>&lt;a href=#s3&gt;</w:t>
      </w:r>
      <w:r>
        <w:t>Section 3</w:t>
      </w:r>
      <w:r>
        <w:rPr>
          <w:rStyle w:val="htmlcodes"/>
        </w:rPr>
        <w:t>&lt;/a&gt;</w:t>
      </w:r>
      <w:r>
        <w:t>; furthermore, they:</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always have five letters;</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always start with a consonant and end with a single vowel;</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always contain exactly one consonant pair, which is a per</w:t>
      </w:r>
      <w:r>
        <w:softHyphen/>
        <w:t>missible initial pair (CC) if it's at the beginning of the gismu, but otherwise only has to be a permissible pair (C/C);</w:t>
      </w:r>
    </w:p>
    <w:p w:rsidR="00B72047" w:rsidRDefault="00B72047" w:rsidP="007E67C1">
      <w:pPr>
        <w:pStyle w:val="Listnobullets"/>
        <w:numPr>
          <w:ilvl w:val="0"/>
          <w:numId w:val="0"/>
        </w:numPr>
        <w:ind w:left="864" w:hanging="504"/>
      </w:pPr>
      <w:r>
        <w:rPr>
          <w:rStyle w:val="htmlcodes"/>
        </w:rPr>
        <w:t>&lt;p&gt;&lt;dt&gt;</w:t>
      </w:r>
      <w:r>
        <w:t>4)</w:t>
      </w:r>
      <w:r>
        <w:tab/>
      </w:r>
      <w:r>
        <w:rPr>
          <w:rStyle w:val="htmlcodes"/>
        </w:rPr>
        <w:t>&lt;dd&gt;</w:t>
      </w:r>
      <w:r>
        <w:t>are always stressed on the first syllable (since that is penul</w:t>
      </w:r>
      <w:r>
        <w:softHyphen/>
        <w:t>timate).</w:t>
      </w:r>
    </w:p>
    <w:p w:rsidR="00B72047" w:rsidRDefault="00B72047">
      <w:pPr>
        <w:pStyle w:val="resumedafterexample"/>
      </w:pPr>
      <w:r>
        <w:rPr>
          <w:rStyle w:val="htmlcodes"/>
        </w:rPr>
        <w:t>&lt;/dl&gt;</w:t>
      </w:r>
      <w:r>
        <w:rPr>
          <w:rStyle w:val="indexentry"/>
        </w:rPr>
        <w:t>&lt;cx "gismu, length of"&gt;</w:t>
      </w:r>
      <w:r>
        <w:rPr>
          <w:rStyle w:val="indexentry"/>
        </w:rPr>
        <w:fldChar w:fldCharType="begin"/>
      </w:r>
      <w:r>
        <w:instrText>xe "</w:instrText>
      </w:r>
      <w:r>
        <w:rPr>
          <w:rStyle w:val="xeentry"/>
        </w:rPr>
        <w:instrText>gismu: length of</w:instrText>
      </w:r>
      <w:r>
        <w:instrText>"</w:instrText>
      </w:r>
      <w:r>
        <w:rPr>
          <w:rStyle w:val="indexentry"/>
        </w:rPr>
        <w:fldChar w:fldCharType="end"/>
      </w:r>
      <w:r>
        <w:t>The five letter length distinguishes gismu from lujvo and fu'ivla. (It</w:t>
      </w:r>
      <w:r>
        <w:rPr>
          <w:rStyle w:val="deletedparamark"/>
        </w:rPr>
        <w:t xml:space="preserve"> </w:t>
      </w:r>
      <w:r>
        <w:t>is possible to have fu'ivla like “spa'i” that are five letters long, but</w:t>
      </w:r>
      <w:r>
        <w:rPr>
          <w:rStyle w:val="deletedparamark"/>
        </w:rPr>
        <w:t xml:space="preserve"> </w:t>
      </w:r>
      <w:r>
        <w:t>they must have “ ' ”; no gismu contains “ ' ”.)</w:t>
      </w:r>
    </w:p>
    <w:p w:rsidR="00B72047" w:rsidRDefault="00B72047">
      <w:pPr>
        <w:rPr>
          <w:rStyle w:val="htmlparacode"/>
        </w:rPr>
      </w:pPr>
      <w:r>
        <w:rPr>
          <w:rStyle w:val="htmlparacode"/>
        </w:rPr>
        <w:t>&lt;p&gt;</w:t>
      </w:r>
    </w:p>
    <w:p w:rsidR="00B72047" w:rsidRDefault="00B72047">
      <w:pPr>
        <w:pStyle w:val="normalparagraph"/>
      </w:pPr>
      <w:r>
        <w:rPr>
          <w:rStyle w:val="indexentry"/>
        </w:rPr>
        <w:t>&lt;cx "gismu, special"&gt;</w:t>
      </w:r>
      <w:r>
        <w:rPr>
          <w:rStyle w:val="indexentry"/>
        </w:rPr>
        <w:fldChar w:fldCharType="begin"/>
      </w:r>
      <w:r>
        <w:instrText>xe "</w:instrText>
      </w:r>
      <w:r>
        <w:rPr>
          <w:rStyle w:val="xeentry"/>
        </w:rPr>
        <w:instrText>gismu: special</w:instrText>
      </w:r>
      <w:r>
        <w:instrText>"</w:instrText>
      </w:r>
      <w:r>
        <w:rPr>
          <w:rStyle w:val="indexentry"/>
        </w:rPr>
        <w:fldChar w:fldCharType="end"/>
      </w:r>
      <w:r>
        <w:rPr>
          <w:rStyle w:val="indexentry"/>
        </w:rPr>
        <w:t>&lt;cx "gismu, conflicts between"&gt;</w:t>
      </w:r>
      <w:r>
        <w:rPr>
          <w:rStyle w:val="indexentry"/>
        </w:rPr>
        <w:fldChar w:fldCharType="begin"/>
      </w:r>
      <w:r>
        <w:instrText>xe "</w:instrText>
      </w:r>
      <w:r>
        <w:rPr>
          <w:rStyle w:val="xeentry"/>
        </w:rPr>
        <w:instrText>gismu: conflicts between</w:instrText>
      </w:r>
      <w:r>
        <w:instrText>"</w:instrText>
      </w:r>
      <w:r>
        <w:rPr>
          <w:rStyle w:val="indexentry"/>
        </w:rPr>
        <w:fldChar w:fldCharType="end"/>
      </w:r>
      <w:r>
        <w:t>With the exception of five special brivla variables, “broda”, “brode”,</w:t>
      </w:r>
      <w:r>
        <w:rPr>
          <w:rStyle w:val="deletedparamark"/>
        </w:rPr>
        <w:t xml:space="preserve"> “</w:t>
      </w:r>
      <w:r>
        <w:t>brodi”, “brodo”, and “brodu”, no two gismu differ only in the final vowel.</w:t>
      </w:r>
      <w:r>
        <w:rPr>
          <w:rStyle w:val="deletedparamark"/>
        </w:rPr>
        <w:t xml:space="preserve"> </w:t>
      </w:r>
      <w:r>
        <w:t>Furthermore, the set of gismu was specifically designed to reduce the</w:t>
      </w:r>
      <w:r>
        <w:rPr>
          <w:rStyle w:val="deletedparamark"/>
        </w:rPr>
        <w:t xml:space="preserve"> </w:t>
      </w:r>
      <w:r>
        <w:t>likelihood that two similar sounding gismu could be confused. For example,</w:t>
      </w:r>
      <w:r>
        <w:rPr>
          <w:rStyle w:val="deletedparamark"/>
        </w:rPr>
        <w:t xml:space="preserve"> </w:t>
      </w:r>
      <w:r>
        <w:t>because “gismu” is in the set of gismu, “kismu”, “xismu”, “gicmu”, “gizmu”,</w:t>
      </w:r>
      <w:r>
        <w:rPr>
          <w:rStyle w:val="deletedparamark"/>
        </w:rPr>
        <w:t xml:space="preserve"> </w:t>
      </w:r>
      <w:r>
        <w:t>and “gisnu” cannot be.</w:t>
      </w:r>
    </w:p>
    <w:p w:rsidR="00B72047" w:rsidRDefault="00B72047">
      <w:pPr>
        <w:rPr>
          <w:rStyle w:val="htmlparacode"/>
        </w:rPr>
      </w:pPr>
      <w:r>
        <w:rPr>
          <w:rStyle w:val="htmlparacode"/>
        </w:rPr>
        <w:t>&lt;p&gt;</w:t>
      </w:r>
    </w:p>
    <w:p w:rsidR="00B72047" w:rsidRDefault="00B72047">
      <w:pPr>
        <w:pStyle w:val="normalparagraph"/>
      </w:pPr>
      <w:r>
        <w:rPr>
          <w:rStyle w:val="indexentry"/>
        </w:rPr>
        <w:t>&lt;cx "gismu, source of"&gt;</w:t>
      </w:r>
      <w:r>
        <w:rPr>
          <w:rStyle w:val="indexentry"/>
        </w:rPr>
        <w:fldChar w:fldCharType="begin"/>
      </w:r>
      <w:r>
        <w:instrText>xe "</w:instrText>
      </w:r>
      <w:r>
        <w:rPr>
          <w:rStyle w:val="xeentry"/>
        </w:rPr>
        <w:instrText>gismu: source of</w:instrText>
      </w:r>
      <w:r>
        <w:instrText>"</w:instrText>
      </w:r>
      <w:r>
        <w:rPr>
          <w:rStyle w:val="indexentry"/>
        </w:rPr>
        <w:fldChar w:fldCharType="end"/>
      </w:r>
      <w:r>
        <w:t>Almost all Lojban gismu are constructed from pieces of words drawn from</w:t>
      </w:r>
      <w:r>
        <w:rPr>
          <w:rStyle w:val="deletedparamark"/>
        </w:rPr>
        <w:t xml:space="preserve"> </w:t>
      </w:r>
      <w:r>
        <w:t>other lan</w:t>
      </w:r>
      <w:r>
        <w:softHyphen/>
        <w:t>guages, specifically Chinese, English, Hindi, Spanish, Russian, and</w:t>
      </w:r>
      <w:r>
        <w:rPr>
          <w:rStyle w:val="deletedparamark"/>
        </w:rPr>
        <w:t xml:space="preserve"> </w:t>
      </w:r>
      <w:r>
        <w:t>Arabic, the six most widely spoken natural languages. For a given concept,</w:t>
      </w:r>
      <w:r>
        <w:rPr>
          <w:rStyle w:val="deletedparamark"/>
        </w:rPr>
        <w:t xml:space="preserve"> </w:t>
      </w:r>
      <w:r>
        <w:t>words in the six lan</w:t>
      </w:r>
      <w:r>
        <w:softHyphen/>
        <w:t>guages that rep</w:t>
      </w:r>
      <w:r>
        <w:softHyphen/>
        <w:t>resent that concept were written in</w:t>
      </w:r>
      <w:r>
        <w:rPr>
          <w:rStyle w:val="deletedparamark"/>
        </w:rPr>
        <w:t xml:space="preserve"> </w:t>
      </w:r>
      <w:r>
        <w:t>Lojban phonetics. Then a gismu was selected to maximize the recognizability</w:t>
      </w:r>
      <w:r>
        <w:rPr>
          <w:rStyle w:val="deletedparamark"/>
        </w:rPr>
        <w:t xml:space="preserve"> </w:t>
      </w:r>
      <w:r>
        <w:t>of the Lojban word for speakers of the six lan</w:t>
      </w:r>
      <w:r>
        <w:softHyphen/>
        <w:t>guages by weighting the</w:t>
      </w:r>
      <w:r>
        <w:rPr>
          <w:rStyle w:val="deletedparamark"/>
        </w:rPr>
        <w:t xml:space="preserve"> </w:t>
      </w:r>
      <w:r>
        <w:t>inclusion of the sounds drawn from each language by the num</w:t>
      </w:r>
      <w:r>
        <w:softHyphen/>
        <w:t>ber of speak</w:t>
      </w:r>
      <w:r>
        <w:softHyphen/>
        <w:t>ers</w:t>
      </w:r>
      <w:r>
        <w:rPr>
          <w:rStyle w:val="deletedparamark"/>
        </w:rPr>
        <w:t xml:space="preserve"> </w:t>
      </w:r>
      <w:r>
        <w:t xml:space="preserve">of that language. See </w:t>
      </w:r>
      <w:r>
        <w:rPr>
          <w:rStyle w:val="htmlcodes"/>
        </w:rPr>
        <w:t>&lt;a href=#s14&gt;</w:t>
      </w:r>
      <w:r>
        <w:t xml:space="preserve">Section 14 </w:t>
      </w:r>
      <w:r>
        <w:rPr>
          <w:rStyle w:val="htmlcodes"/>
        </w:rPr>
        <w:t>&lt;/a&gt;</w:t>
      </w:r>
      <w:r>
        <w:t>for a full explanation of the algorithm.</w:t>
      </w:r>
    </w:p>
    <w:p w:rsidR="00B72047" w:rsidRDefault="00B72047">
      <w:pPr>
        <w:rPr>
          <w:rStyle w:val="htmlparacode"/>
        </w:rPr>
      </w:pPr>
      <w:r>
        <w:rPr>
          <w:rStyle w:val="htmlparacode"/>
        </w:rPr>
        <w:t>&lt;p&gt;</w:t>
      </w:r>
    </w:p>
    <w:p w:rsidR="00B72047" w:rsidRDefault="00B72047">
      <w:pPr>
        <w:pStyle w:val="normalparagraph"/>
      </w:pPr>
      <w:r>
        <w:rPr>
          <w:rStyle w:val="indexentry"/>
        </w:rPr>
        <w:t>&lt;cx "gismu, examples of"&gt;</w:t>
      </w:r>
      <w:r>
        <w:rPr>
          <w:rStyle w:val="indexentry"/>
        </w:rPr>
        <w:fldChar w:fldCharType="begin"/>
      </w:r>
      <w:r>
        <w:instrText>xe "</w:instrText>
      </w:r>
      <w:r>
        <w:rPr>
          <w:rStyle w:val="xeentry"/>
        </w:rPr>
        <w:instrText>gismu: examples of</w:instrText>
      </w:r>
      <w:r>
        <w:instrText>"</w:instrText>
      </w:r>
      <w:r>
        <w:rPr>
          <w:rStyle w:val="indexentry"/>
        </w:rPr>
        <w:fldChar w:fldCharType="end"/>
      </w:r>
      <w:r>
        <w:t>Here are a few examples of gismu, with rough English equivalents (not</w:t>
      </w:r>
      <w:r>
        <w:rPr>
          <w:rStyle w:val="deletedparamark"/>
        </w:rPr>
        <w:t xml:space="preserve"> </w:t>
      </w:r>
      <w:r>
        <w:t>defini</w:t>
      </w:r>
      <w:r>
        <w:softHyphen/>
        <w:t>tions):</w:t>
      </w:r>
    </w:p>
    <w:p w:rsidR="00B72047" w:rsidRDefault="00B72047">
      <w:pPr>
        <w:pStyle w:val="examplescaledpre"/>
        <w:rPr>
          <w:rStyle w:val="htmlcodes"/>
        </w:rPr>
      </w:pPr>
      <w:r>
        <w:rPr>
          <w:rStyle w:val="htmlcodes"/>
        </w:rPr>
        <w:t>&lt;p&gt;</w:t>
      </w:r>
    </w:p>
    <w:p w:rsidR="00B72047" w:rsidRDefault="00B72047">
      <w:pPr>
        <w:pStyle w:val="examplescaledpre"/>
      </w:pPr>
      <w:r>
        <w:rPr>
          <w:rStyle w:val="htmlcodes"/>
        </w:rPr>
        <w:t>&lt;pre&gt;&lt;a name=e4d1&gt;</w:t>
      </w:r>
      <w:r>
        <w:t>4.1)</w:t>
      </w:r>
      <w:r>
        <w:tab/>
        <w:t>creka</w:t>
      </w:r>
    </w:p>
    <w:p w:rsidR="00B72047" w:rsidRDefault="00B72047">
      <w:pPr>
        <w:pStyle w:val="examplescaled"/>
      </w:pPr>
      <w:r>
        <w:tab/>
        <w:t>shirt</w:t>
      </w:r>
    </w:p>
    <w:p w:rsidR="00B72047" w:rsidRDefault="00B72047">
      <w:pPr>
        <w:pStyle w:val="examplescaledpre"/>
      </w:pPr>
      <w:r>
        <w:rPr>
          <w:rStyle w:val="htmlcodes"/>
        </w:rPr>
        <w:t>&lt;a name=e4d2&gt;</w:t>
      </w:r>
      <w:r>
        <w:t>4.2)</w:t>
      </w:r>
      <w:r>
        <w:tab/>
        <w:t>lijda</w:t>
      </w:r>
    </w:p>
    <w:p w:rsidR="00B72047" w:rsidRDefault="00B72047">
      <w:pPr>
        <w:pStyle w:val="examplescaled"/>
      </w:pPr>
      <w:r>
        <w:tab/>
        <w:t>religion</w:t>
      </w:r>
    </w:p>
    <w:p w:rsidR="00B72047" w:rsidRDefault="00B72047">
      <w:pPr>
        <w:pStyle w:val="examplescaledpre"/>
      </w:pPr>
      <w:r>
        <w:rPr>
          <w:rStyle w:val="htmlcodes"/>
        </w:rPr>
        <w:t>&lt;a name=e4d3&gt;</w:t>
      </w:r>
      <w:r>
        <w:t>4.3)</w:t>
      </w:r>
      <w:r>
        <w:tab/>
        <w:t>blanu</w:t>
      </w:r>
    </w:p>
    <w:p w:rsidR="00B72047" w:rsidRDefault="00B72047">
      <w:pPr>
        <w:pStyle w:val="examplescaled"/>
      </w:pPr>
      <w:r>
        <w:tab/>
        <w:t>blue</w:t>
      </w:r>
    </w:p>
    <w:p w:rsidR="00B72047" w:rsidRDefault="00B72047">
      <w:pPr>
        <w:pStyle w:val="examplescaledpre"/>
      </w:pPr>
      <w:r>
        <w:rPr>
          <w:rStyle w:val="htmlcodes"/>
        </w:rPr>
        <w:t>&lt;a name=e4d4&gt;</w:t>
      </w:r>
      <w:r>
        <w:t>4.4)</w:t>
      </w:r>
      <w:r>
        <w:tab/>
        <w:t>mamta</w:t>
      </w:r>
    </w:p>
    <w:p w:rsidR="00B72047" w:rsidRDefault="00B72047">
      <w:pPr>
        <w:pStyle w:val="examplescaled"/>
      </w:pPr>
      <w:r>
        <w:tab/>
        <w:t>mother</w:t>
      </w:r>
    </w:p>
    <w:p w:rsidR="00B72047" w:rsidRDefault="00B72047">
      <w:pPr>
        <w:pStyle w:val="examplescaledpre"/>
      </w:pPr>
      <w:r>
        <w:rPr>
          <w:rStyle w:val="htmlcodes"/>
        </w:rPr>
        <w:t>&lt;a name=e4d5&gt;</w:t>
      </w:r>
      <w:r>
        <w:t>4.5)</w:t>
      </w:r>
      <w:r>
        <w:tab/>
        <w:t>cukta</w:t>
      </w:r>
    </w:p>
    <w:p w:rsidR="00B72047" w:rsidRDefault="00B72047">
      <w:pPr>
        <w:pStyle w:val="examplescaled"/>
      </w:pPr>
      <w:r>
        <w:tab/>
        <w:t>book</w:t>
      </w:r>
    </w:p>
    <w:p w:rsidR="00B72047" w:rsidRDefault="00B72047">
      <w:pPr>
        <w:pStyle w:val="examplescaledpre"/>
      </w:pPr>
      <w:r>
        <w:rPr>
          <w:rStyle w:val="htmlcodes"/>
        </w:rPr>
        <w:t>&lt;a name=e4d6&gt;</w:t>
      </w:r>
      <w:r>
        <w:t>4.6)</w:t>
      </w:r>
      <w:r>
        <w:tab/>
        <w:t>patfu</w:t>
      </w:r>
    </w:p>
    <w:p w:rsidR="00B72047" w:rsidRDefault="00B72047">
      <w:pPr>
        <w:pStyle w:val="examplescaled"/>
      </w:pPr>
      <w:r>
        <w:tab/>
        <w:t>father</w:t>
      </w:r>
    </w:p>
    <w:p w:rsidR="00B72047" w:rsidRDefault="00B72047">
      <w:pPr>
        <w:pStyle w:val="examplescaledpre"/>
      </w:pPr>
      <w:r>
        <w:rPr>
          <w:rStyle w:val="htmlcodes"/>
        </w:rPr>
        <w:t>&lt;a name=e4d7&gt;</w:t>
      </w:r>
      <w:r>
        <w:t>4.7)</w:t>
      </w:r>
      <w:r>
        <w:tab/>
        <w:t>nanmu</w:t>
      </w:r>
    </w:p>
    <w:p w:rsidR="00B72047" w:rsidRDefault="00B72047">
      <w:pPr>
        <w:pStyle w:val="examplescaled"/>
      </w:pPr>
      <w:r>
        <w:tab/>
        <w:t>man</w:t>
      </w:r>
    </w:p>
    <w:p w:rsidR="00B72047" w:rsidRDefault="00B72047">
      <w:pPr>
        <w:pStyle w:val="examplescaledpre"/>
      </w:pPr>
      <w:r>
        <w:rPr>
          <w:rStyle w:val="htmlcodes"/>
        </w:rPr>
        <w:t>&lt;a name=e4d8&gt;</w:t>
      </w:r>
      <w:r>
        <w:t>4.8)</w:t>
      </w:r>
      <w:r>
        <w:tab/>
        <w:t>ninmu</w:t>
      </w:r>
    </w:p>
    <w:p w:rsidR="00B72047" w:rsidRDefault="00B72047">
      <w:pPr>
        <w:pStyle w:val="examplescaled"/>
      </w:pPr>
      <w:r>
        <w:tab/>
        <w:t>woman</w:t>
      </w:r>
    </w:p>
    <w:p w:rsidR="00B72047" w:rsidRDefault="00B72047">
      <w:pPr>
        <w:rPr>
          <w:rStyle w:val="htmlparacode"/>
        </w:rPr>
      </w:pPr>
      <w:r>
        <w:rPr>
          <w:rStyle w:val="htmlparacode"/>
        </w:rPr>
        <w:t>&lt;p&gt;</w:t>
      </w:r>
    </w:p>
    <w:p w:rsidR="00B72047" w:rsidRDefault="00B72047">
      <w:pPr>
        <w:pStyle w:val="resumedafterexample"/>
      </w:pPr>
      <w:r>
        <w:rPr>
          <w:rStyle w:val="htmlcodes"/>
        </w:rPr>
        <w:t>&lt;/pre&gt;&lt;p&gt;</w:t>
      </w:r>
      <w:r>
        <w:t xml:space="preserve">A small number of gismu were formed differently; see </w:t>
      </w:r>
      <w:r>
        <w:rPr>
          <w:rStyle w:val="htmlcodes"/>
        </w:rPr>
        <w:t>&lt;a href=#s15&gt;</w:t>
      </w:r>
      <w:r>
        <w:t xml:space="preserve">Section 15 </w:t>
      </w:r>
      <w:r>
        <w:rPr>
          <w:rStyle w:val="htmlcodes"/>
        </w:rPr>
        <w:t>&lt;/a&gt;</w:t>
      </w:r>
      <w:r>
        <w:t>for a list.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163" w:name="_Toc395691503"/>
      <w:bookmarkStart w:id="164" w:name="_Toc398970474"/>
      <w:r>
        <w:rPr>
          <w:rStyle w:val="Heading3Text"/>
        </w:rPr>
        <w:t>lujvo</w:t>
      </w:r>
      <w:bookmarkEnd w:id="163"/>
      <w:bookmarkEnd w:id="16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"tanru, explanation of"&gt;</w:t>
      </w:r>
      <w:r>
        <w:rPr>
          <w:rStyle w:val="indexentry"/>
        </w:rPr>
        <w:fldChar w:fldCharType="begin"/>
      </w:r>
      <w:r>
        <w:instrText>xe "</w:instrText>
      </w:r>
      <w:r>
        <w:rPr>
          <w:rStyle w:val="xeentry"/>
        </w:rPr>
        <w:instrText>tanru: explanation of</w:instrText>
      </w:r>
      <w:r>
        <w:instrText>"</w:instrText>
      </w:r>
      <w:r>
        <w:rPr>
          <w:rStyle w:val="indexentry"/>
        </w:rPr>
        <w:fldChar w:fldCharType="end"/>
      </w:r>
      <w:r>
        <w:rPr>
          <w:rStyle w:val="indexentry"/>
        </w:rPr>
        <w:t>&lt;cx "seltau, compared with English adjective"&gt;</w:t>
      </w:r>
      <w:r>
        <w:rPr>
          <w:rStyle w:val="indexentry"/>
        </w:rPr>
        <w:fldChar w:fldCharType="begin"/>
      </w:r>
      <w:r>
        <w:instrText>xe "</w:instrText>
      </w:r>
      <w:r>
        <w:rPr>
          <w:rStyle w:val="xeentry"/>
        </w:rPr>
        <w:instrText>seltau: compared with English adjective</w:instrText>
      </w:r>
      <w:r>
        <w:instrText>"</w:instrText>
      </w:r>
      <w:r>
        <w:rPr>
          <w:rStyle w:val="indexentry"/>
        </w:rPr>
        <w:fldChar w:fldCharType="end"/>
      </w:r>
      <w:r>
        <w:rPr>
          <w:rStyle w:val="indexentry"/>
        </w:rPr>
        <w:t>&lt;cx "seltau, compared with English adverb"&gt;</w:t>
      </w:r>
      <w:r>
        <w:rPr>
          <w:rStyle w:val="indexentry"/>
        </w:rPr>
        <w:fldChar w:fldCharType="begin"/>
      </w:r>
      <w:r>
        <w:instrText>xe "</w:instrText>
      </w:r>
      <w:r>
        <w:rPr>
          <w:rStyle w:val="xeentry"/>
        </w:rPr>
        <w:instrText>seltau: compared with English adverb</w:instrText>
      </w:r>
      <w:r>
        <w:instrText>"</w:instrText>
      </w:r>
      <w:r>
        <w:rPr>
          <w:rStyle w:val="indexentry"/>
        </w:rPr>
        <w:fldChar w:fldCharType="end"/>
      </w:r>
      <w:r>
        <w:rPr>
          <w:rStyle w:val="indexentry"/>
        </w:rPr>
        <w:t>&lt;cx "modifying brivla (see also seltau)"&gt;</w:t>
      </w:r>
      <w:r>
        <w:rPr>
          <w:rStyle w:val="indexentry"/>
        </w:rPr>
        <w:fldChar w:fldCharType="begin"/>
      </w:r>
      <w:r>
        <w:instrText>xe "</w:instrText>
      </w:r>
      <w:r>
        <w:rPr>
          <w:rStyle w:val="xeentry"/>
        </w:rPr>
        <w:instrText>modifying brivla (see also seltau)</w:instrText>
      </w:r>
      <w:r>
        <w:instrText>"</w:instrText>
      </w:r>
      <w:r>
        <w:rPr>
          <w:rStyle w:val="indexentry"/>
        </w:rPr>
        <w:fldChar w:fldCharType="end"/>
      </w:r>
      <w:r>
        <w:t>When specifying a concept that is not found among the gismu (or, more</w:t>
      </w:r>
      <w:r>
        <w:rPr>
          <w:rStyle w:val="deletedparamark"/>
        </w:rPr>
        <w:t xml:space="preserve"> </w:t>
      </w:r>
      <w:r>
        <w:t>spe</w:t>
      </w:r>
      <w:r>
        <w:softHyphen/>
        <w:t>cifically, when the relevant gismu seems too general in meaning), a Lojbanist</w:t>
      </w:r>
      <w:r>
        <w:rPr>
          <w:rStyle w:val="deletedparamark"/>
        </w:rPr>
        <w:t xml:space="preserve"> </w:t>
      </w:r>
      <w:r>
        <w:t>generally attempts to express the concept as a tanru. Lojban tanru are an</w:t>
      </w:r>
      <w:r>
        <w:rPr>
          <w:rStyle w:val="deletedparamark"/>
        </w:rPr>
        <w:t xml:space="preserve"> </w:t>
      </w:r>
      <w:r>
        <w:t>elaboration of the con</w:t>
      </w:r>
      <w:r>
        <w:softHyphen/>
        <w:t>cept of “metaphor” used in English. In Lojban,</w:t>
      </w:r>
      <w:r>
        <w:rPr>
          <w:rStyle w:val="deletedparamark"/>
        </w:rPr>
        <w:t xml:space="preserve"> </w:t>
      </w:r>
      <w:r>
        <w:t>any brivla can be used to modify an</w:t>
      </w:r>
      <w:r>
        <w:softHyphen/>
        <w:t>other brivla. The first of the pair</w:t>
      </w:r>
      <w:r>
        <w:rPr>
          <w:rStyle w:val="deletedparamark"/>
        </w:rPr>
        <w:t xml:space="preserve"> </w:t>
      </w:r>
      <w:r>
        <w:t>modifies the second. This modification is usually re</w:t>
      </w:r>
      <w:r>
        <w:softHyphen/>
        <w:t>strictive — the</w:t>
      </w:r>
      <w:r>
        <w:rPr>
          <w:rStyle w:val="deletedparamark"/>
        </w:rPr>
        <w:t xml:space="preserve"> </w:t>
      </w:r>
      <w:r>
        <w:t>modifying brivla reduces the broader sense of the modified brivla to form</w:t>
      </w:r>
      <w:r>
        <w:rPr>
          <w:rStyle w:val="deletedparamark"/>
        </w:rPr>
        <w:t xml:space="preserve"> </w:t>
      </w:r>
      <w:r>
        <w:t>a more narrow, concrete, or specific concept. Modifying brivla may thus</w:t>
      </w:r>
      <w:r>
        <w:rPr>
          <w:rStyle w:val="deletedparamark"/>
        </w:rPr>
        <w:t xml:space="preserve"> </w:t>
      </w:r>
      <w:r>
        <w:t>be seen as acting like English adverbs or adjectives.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skami pilno</w:t>
      </w:r>
    </w:p>
    <w:p w:rsidR="00B72047" w:rsidRDefault="00B72047">
      <w:pPr>
        <w:pStyle w:val="resumedafterexample"/>
      </w:pPr>
      <w:r>
        <w:rPr>
          <w:rStyle w:val="htmlcodes"/>
        </w:rPr>
        <w:t>&lt;/pre&gt;</w:t>
      </w:r>
      <w:r>
        <w:t>is the tanru which expresses the concept of “computer user”.</w:t>
      </w:r>
    </w:p>
    <w:p w:rsidR="00B72047" w:rsidRDefault="00B72047">
      <w:pPr>
        <w:rPr>
          <w:rStyle w:val="htmlparacode"/>
        </w:rPr>
      </w:pPr>
      <w:r>
        <w:rPr>
          <w:rStyle w:val="htmlparacode"/>
        </w:rPr>
        <w:t>&lt;p&gt;</w:t>
      </w:r>
    </w:p>
    <w:p w:rsidR="00B72047" w:rsidRDefault="00B72047">
      <w:pPr>
        <w:pStyle w:val="normalparagraph"/>
      </w:pPr>
      <w:r>
        <w:rPr>
          <w:rStyle w:val="indexentry"/>
        </w:rPr>
        <w:t>&lt;cx "tanru, combination of"&gt;</w:t>
      </w:r>
      <w:r>
        <w:rPr>
          <w:rStyle w:val="indexentry"/>
        </w:rPr>
        <w:fldChar w:fldCharType="begin"/>
      </w:r>
      <w:r>
        <w:instrText>xe "</w:instrText>
      </w:r>
      <w:r>
        <w:rPr>
          <w:rStyle w:val="xeentry"/>
        </w:rPr>
        <w:instrText>tanru: combination of</w:instrText>
      </w:r>
      <w:r>
        <w:instrText>"</w:instrText>
      </w:r>
      <w:r>
        <w:rPr>
          <w:rStyle w:val="indexentry"/>
        </w:rPr>
        <w:fldChar w:fldCharType="end"/>
      </w:r>
      <w:r>
        <w:t>The simplest Lojban tanru are pairings of two concepts or ideas. Such tanru</w:t>
      </w:r>
      <w:r>
        <w:rPr>
          <w:rStyle w:val="deletedparamark"/>
        </w:rPr>
        <w:t xml:space="preserve"> </w:t>
      </w:r>
      <w:r>
        <w:t>take two simpler ideas that can be represented by gismu and combine them</w:t>
      </w:r>
      <w:r>
        <w:rPr>
          <w:rStyle w:val="deletedparamark"/>
        </w:rPr>
        <w:t xml:space="preserve"> </w:t>
      </w:r>
      <w:r>
        <w:t>into a single more complex idea. Two-part tanru may then be recombined</w:t>
      </w:r>
      <w:r>
        <w:rPr>
          <w:rStyle w:val="deletedparamark"/>
        </w:rPr>
        <w:t xml:space="preserve"> </w:t>
      </w:r>
      <w:r>
        <w:t>in pairs with other tanru, or with indi</w:t>
      </w:r>
      <w:r>
        <w:softHyphen/>
        <w:t>vidual gismu, to form more complex</w:t>
      </w:r>
      <w:r>
        <w:rPr>
          <w:rStyle w:val="deletedparamark"/>
        </w:rPr>
        <w:t xml:space="preserve"> </w:t>
      </w:r>
      <w:r>
        <w:t>or more specific ideas, and so on.</w:t>
      </w:r>
    </w:p>
    <w:p w:rsidR="00B72047" w:rsidRDefault="00B72047">
      <w:pPr>
        <w:rPr>
          <w:rStyle w:val="htmlparacode"/>
        </w:rPr>
      </w:pPr>
      <w:r>
        <w:rPr>
          <w:rStyle w:val="htmlparacode"/>
        </w:rPr>
        <w:t>&lt;p&gt;</w:t>
      </w:r>
    </w:p>
    <w:p w:rsidR="00B72047" w:rsidRDefault="00B72047">
      <w:pPr>
        <w:pStyle w:val="normalparagraph"/>
      </w:pPr>
      <w:r>
        <w:rPr>
          <w:rStyle w:val="indexentry"/>
        </w:rPr>
        <w:t>&lt;cx "tanru, ambiguity of"&gt;</w:t>
      </w:r>
      <w:r>
        <w:rPr>
          <w:rStyle w:val="indexentry"/>
        </w:rPr>
        <w:fldChar w:fldCharType="begin"/>
      </w:r>
      <w:r>
        <w:instrText>xe "</w:instrText>
      </w:r>
      <w:r>
        <w:rPr>
          <w:rStyle w:val="xeentry"/>
        </w:rPr>
        <w:instrText>tanru: ambiguity of</w:instrText>
      </w:r>
      <w:r>
        <w:instrText>"</w:instrText>
      </w:r>
      <w:r>
        <w:rPr>
          <w:rStyle w:val="indexentry"/>
        </w:rPr>
        <w:fldChar w:fldCharType="end"/>
      </w:r>
      <w:r>
        <w:t>The meaning of a tanru is usually at least partly ambiguous: “skami pilno”</w:t>
      </w:r>
      <w:r>
        <w:rPr>
          <w:rStyle w:val="deletedparamark"/>
        </w:rPr>
        <w:t xml:space="preserve"> </w:t>
      </w:r>
      <w:r>
        <w:t>could re</w:t>
      </w:r>
      <w:r>
        <w:softHyphen/>
        <w:t>fer to a computer that is a user, or to a user of computers. There</w:t>
      </w:r>
      <w:r>
        <w:rPr>
          <w:rStyle w:val="deletedparamark"/>
        </w:rPr>
        <w:t xml:space="preserve"> </w:t>
      </w:r>
      <w:r>
        <w:t>are a variety of ways that the modifier component can be related to the</w:t>
      </w:r>
      <w:r>
        <w:rPr>
          <w:rStyle w:val="deletedparamark"/>
        </w:rPr>
        <w:t xml:space="preserve"> </w:t>
      </w:r>
      <w:r>
        <w:t>modified component. It is also possible to use cmavo within tanru to</w:t>
      </w:r>
      <w:r>
        <w:rPr>
          <w:rStyle w:val="deletedparamark"/>
        </w:rPr>
        <w:t xml:space="preserve"> </w:t>
      </w:r>
      <w:r>
        <w:t>provide variations (or to prevent ambiguities) of meaning.</w:t>
      </w:r>
    </w:p>
    <w:p w:rsidR="00B72047" w:rsidRDefault="00B72047">
      <w:pPr>
        <w:rPr>
          <w:rStyle w:val="htmlparacode"/>
        </w:rPr>
      </w:pPr>
      <w:r>
        <w:rPr>
          <w:rStyle w:val="htmlparacode"/>
        </w:rPr>
        <w:t>&lt;p&gt;</w:t>
      </w:r>
    </w:p>
    <w:p w:rsidR="00B72047" w:rsidRDefault="00B72047">
      <w:pPr>
        <w:pStyle w:val="normalparagraph"/>
      </w:pPr>
      <w:r>
        <w:rPr>
          <w:rStyle w:val="indexentry"/>
        </w:rPr>
        <w:t>&lt;cx "tanru, and creativity"&gt;</w:t>
      </w:r>
      <w:r>
        <w:rPr>
          <w:rStyle w:val="indexentry"/>
        </w:rPr>
        <w:fldChar w:fldCharType="begin"/>
      </w:r>
      <w:r>
        <w:instrText>xe "</w:instrText>
      </w:r>
      <w:r>
        <w:rPr>
          <w:rStyle w:val="xeentry"/>
        </w:rPr>
        <w:instrText>tanru: and creativity</w:instrText>
      </w:r>
      <w:r>
        <w:instrText>"</w:instrText>
      </w:r>
      <w:r>
        <w:rPr>
          <w:rStyle w:val="indexentry"/>
        </w:rPr>
        <w:fldChar w:fldCharType="end"/>
      </w:r>
      <w:r>
        <w:t>Making tanru is essentially a poetic or creative act, not a sci</w:t>
      </w:r>
      <w:r>
        <w:softHyphen/>
        <w:t>ence.</w:t>
      </w:r>
      <w:r>
        <w:rPr>
          <w:rStyle w:val="deletedparamark"/>
        </w:rPr>
        <w:t xml:space="preserve"> </w:t>
      </w:r>
      <w:r>
        <w:t>While the syntax expressing the grouping relationships within tanru is</w:t>
      </w:r>
      <w:r>
        <w:rPr>
          <w:rStyle w:val="deletedparamark"/>
        </w:rPr>
        <w:t xml:space="preserve"> </w:t>
      </w:r>
      <w:r>
        <w:t>unambiguous, tanru are still s</w:t>
      </w:r>
      <w:r>
        <w:t>e</w:t>
      </w:r>
      <w:r>
        <w:t>man</w:t>
      </w:r>
      <w:r>
        <w:softHyphen/>
        <w:t>tically ambiguous, since the rules</w:t>
      </w:r>
      <w:r>
        <w:rPr>
          <w:rStyle w:val="deletedparamark"/>
        </w:rPr>
        <w:t xml:space="preserve"> </w:t>
      </w:r>
      <w:r>
        <w:t>defining the relationships between the gismu are flexi</w:t>
      </w:r>
      <w:r>
        <w:softHyphen/>
        <w:t>ble. The process of</w:t>
      </w:r>
      <w:r>
        <w:rPr>
          <w:rStyle w:val="deletedparamark"/>
        </w:rPr>
        <w:t xml:space="preserve"> </w:t>
      </w:r>
      <w:r>
        <w:t xml:space="preserve">devising a new tanru is dealt with in detail in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"tanru, expression of"&gt;</w:t>
      </w:r>
      <w:r>
        <w:rPr>
          <w:rStyle w:val="indexentry"/>
        </w:rPr>
        <w:fldChar w:fldCharType="begin"/>
      </w:r>
      <w:r>
        <w:instrText>xe "</w:instrText>
      </w:r>
      <w:r>
        <w:rPr>
          <w:rStyle w:val="xeentry"/>
        </w:rPr>
        <w:instrText>tanru: expression of</w:instrText>
      </w:r>
      <w:r>
        <w:instrText>"</w:instrText>
      </w:r>
      <w:r>
        <w:rPr>
          <w:rStyle w:val="indexentry"/>
        </w:rPr>
        <w:fldChar w:fldCharType="end"/>
      </w:r>
      <w:r>
        <w:rPr>
          <w:rStyle w:val="indexentry"/>
        </w:rPr>
        <w:t>&lt;ex "big boat"&gt;</w:t>
      </w:r>
      <w:r>
        <w:rPr>
          <w:rStyle w:val="indexentry"/>
        </w:rPr>
        <w:fldChar w:fldCharType="begin"/>
      </w:r>
      <w:r>
        <w:instrText>xe "</w:instrText>
      </w:r>
      <w:r>
        <w:rPr>
          <w:rStyle w:val="xeentry"/>
        </w:rPr>
        <w:instrText>big boat: example</w:instrText>
      </w:r>
      <w:r>
        <w:instrText>"</w:instrText>
      </w:r>
      <w:r>
        <w:rPr>
          <w:rStyle w:val="indexentry"/>
        </w:rPr>
        <w:fldChar w:fldCharType="end"/>
      </w:r>
      <w:r>
        <w:rPr>
          <w:rStyle w:val="indexentry"/>
        </w:rPr>
        <w:t>&lt;ex "father mother"&gt;</w:t>
      </w:r>
      <w:r>
        <w:rPr>
          <w:rStyle w:val="indexentry"/>
        </w:rPr>
        <w:fldChar w:fldCharType="begin"/>
      </w:r>
      <w:r>
        <w:instrText>xe "</w:instrText>
      </w:r>
      <w:r>
        <w:rPr>
          <w:rStyle w:val="xeentry"/>
        </w:rPr>
        <w:instrText>father mother: example</w:instrText>
      </w:r>
      <w:r>
        <w:instrText>"</w:instrText>
      </w:r>
      <w:r>
        <w:rPr>
          <w:rStyle w:val="indexentry"/>
        </w:rPr>
        <w:fldChar w:fldCharType="end"/>
      </w:r>
      <w:r>
        <w:rPr>
          <w:rStyle w:val="indexentry"/>
        </w:rPr>
        <w:t>&lt;ex "mother father"&gt;</w:t>
      </w:r>
      <w:r>
        <w:rPr>
          <w:rStyle w:val="indexentry"/>
        </w:rPr>
        <w:fldChar w:fldCharType="begin"/>
      </w:r>
      <w:r>
        <w:instrText>xe "</w:instrText>
      </w:r>
      <w:r>
        <w:rPr>
          <w:rStyle w:val="xeentry"/>
        </w:rPr>
        <w:instrText>mother father: example</w:instrText>
      </w:r>
      <w:r>
        <w:instrText>"</w:instrText>
      </w:r>
      <w:r>
        <w:rPr>
          <w:rStyle w:val="indexentry"/>
        </w:rPr>
        <w:fldChar w:fldCharType="end"/>
      </w:r>
      <w:r>
        <w:t>To express a simple tanru, simply say the component gismu together. Thus</w:t>
      </w:r>
      <w:r>
        <w:rPr>
          <w:rStyle w:val="deletedparamark"/>
        </w:rPr>
        <w:t xml:space="preserve"> </w:t>
      </w:r>
      <w:r>
        <w:t>the binary metaphor “big boat” becomes the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barda bloti</w:t>
      </w:r>
    </w:p>
    <w:p w:rsidR="00B72047" w:rsidRDefault="00B72047">
      <w:pPr>
        <w:pStyle w:val="resumedafterexample"/>
      </w:pPr>
      <w:r>
        <w:rPr>
          <w:rStyle w:val="htmlcodes"/>
        </w:rPr>
        <w:t>&lt;/pre&gt;</w:t>
      </w:r>
      <w:r>
        <w:t>representing roughly the same concept as the English word “ship”.</w:t>
      </w:r>
    </w:p>
    <w:p w:rsidR="00B72047" w:rsidRDefault="00B72047">
      <w:pPr>
        <w:rPr>
          <w:rStyle w:val="htmlparacode"/>
        </w:rPr>
      </w:pPr>
      <w:r>
        <w:rPr>
          <w:rStyle w:val="htmlparacode"/>
        </w:rPr>
        <w:t>&lt;p&gt;</w:t>
      </w:r>
    </w:p>
    <w:p w:rsidR="00B72047" w:rsidRDefault="00B72047">
      <w:pPr>
        <w:pStyle w:val="normalparagraph"/>
      </w:pPr>
      <w:r>
        <w:rPr>
          <w:rStyle w:val="indexentry"/>
        </w:rPr>
        <w:t>&lt;ex "paternal grandmother"&gt;</w:t>
      </w:r>
      <w:r>
        <w:rPr>
          <w:rStyle w:val="indexentry"/>
        </w:rPr>
        <w:fldChar w:fldCharType="begin"/>
      </w:r>
      <w:r>
        <w:instrText>xe "</w:instrText>
      </w:r>
      <w:r>
        <w:rPr>
          <w:rStyle w:val="xeentry"/>
        </w:rPr>
        <w:instrText>paternal grandmother: example</w:instrText>
      </w:r>
      <w:r>
        <w:instrText>"</w:instrText>
      </w:r>
      <w:r>
        <w:rPr>
          <w:rStyle w:val="indexentry"/>
        </w:rPr>
        <w:fldChar w:fldCharType="end"/>
      </w:r>
      <w:r>
        <w:t>The binary metaphor “father mother” can refer to a paternal grandmother</w:t>
      </w:r>
      <w:r>
        <w:rPr>
          <w:rStyle w:val="deletedparamark"/>
        </w:rPr>
        <w:t xml:space="preserve"> </w:t>
      </w:r>
      <w:r>
        <w:t>(“a f</w:t>
      </w:r>
      <w:r>
        <w:t>a</w:t>
      </w:r>
      <w:r>
        <w:t>ther-ly type of mother”), while “mother father” can refer to a</w:t>
      </w:r>
      <w:r>
        <w:rPr>
          <w:rStyle w:val="deletedparamark"/>
        </w:rPr>
        <w:t xml:space="preserve"> </w:t>
      </w:r>
      <w:r>
        <w:t>maternal grandfather (“a mother-ly type of father”). In Loj</w:t>
      </w:r>
      <w:r>
        <w:softHyphen/>
        <w:t>ban, these</w:t>
      </w:r>
      <w:r>
        <w:rPr>
          <w:rStyle w:val="deletedparamark"/>
        </w:rPr>
        <w:t xml:space="preserve"> </w:t>
      </w:r>
      <w:r>
        <w:t>become the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patfu mamta</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mamta patfu</w:t>
      </w:r>
    </w:p>
    <w:p w:rsidR="00B72047" w:rsidRDefault="00B72047">
      <w:pPr>
        <w:pStyle w:val="resumedafterexample"/>
      </w:pPr>
      <w:r>
        <w:rPr>
          <w:rStyle w:val="htmlcodes"/>
        </w:rPr>
        <w:t>&lt;/pre&gt;</w:t>
      </w:r>
      <w:r>
        <w:t>respectively.</w:t>
      </w:r>
    </w:p>
    <w:p w:rsidR="00B72047" w:rsidRDefault="00B72047">
      <w:pPr>
        <w:rPr>
          <w:rStyle w:val="htmlparacode"/>
        </w:rPr>
      </w:pPr>
      <w:r>
        <w:rPr>
          <w:rStyle w:val="htmlparacode"/>
        </w:rPr>
        <w:t>&lt;p&gt;</w:t>
      </w:r>
    </w:p>
    <w:p w:rsidR="00B72047" w:rsidRDefault="00B72047">
      <w:pPr>
        <w:pStyle w:val="normalparagraph"/>
      </w:pPr>
      <w:r>
        <w:rPr>
          <w:rStyle w:val="indexentry"/>
        </w:rPr>
        <w:t>&lt;cx "tanru, ambiguity in"&gt;</w:t>
      </w:r>
      <w:r>
        <w:rPr>
          <w:rStyle w:val="indexentry"/>
        </w:rPr>
        <w:fldChar w:fldCharType="begin"/>
      </w:r>
      <w:r>
        <w:instrText>xe "</w:instrText>
      </w:r>
      <w:r>
        <w:rPr>
          <w:rStyle w:val="xeentry"/>
        </w:rPr>
        <w:instrText>tanru: ambiguity in</w:instrText>
      </w:r>
      <w:r>
        <w:instrText>"</w:instrText>
      </w:r>
      <w:r>
        <w:rPr>
          <w:rStyle w:val="indexentry"/>
        </w:rPr>
        <w:fldChar w:fldCharType="end"/>
      </w:r>
      <w:r>
        <w:t>The possibility of semantic ambiguity can easily be seen in the last</w:t>
      </w:r>
      <w:r>
        <w:rPr>
          <w:rStyle w:val="deletedparamark"/>
        </w:rPr>
        <w:t xml:space="preserve"> </w:t>
      </w:r>
      <w:r>
        <w:t xml:space="preserve">case. To interpret </w:t>
      </w:r>
      <w:r>
        <w:rPr>
          <w:rStyle w:val="htmlcodes"/>
        </w:rPr>
        <w:t>&lt;a href=#e5d4&gt;</w:t>
      </w:r>
      <w:r>
        <w:t>Example 5.4</w:t>
      </w:r>
      <w:r>
        <w:rPr>
          <w:rStyle w:val="htmlcodes"/>
        </w:rPr>
        <w:t>&lt;/a&gt;</w:t>
      </w:r>
      <w:r>
        <w:t>, the listener must determine what type of</w:t>
      </w:r>
      <w:r>
        <w:rPr>
          <w:rStyle w:val="deletedparamark"/>
        </w:rPr>
        <w:t xml:space="preserve"> </w:t>
      </w:r>
      <w:r>
        <w:t>motherliness pertains to the father being referred to. In an appropriate</w:t>
      </w:r>
      <w:r>
        <w:rPr>
          <w:rStyle w:val="deletedparamark"/>
        </w:rPr>
        <w:t xml:space="preserve"> </w:t>
      </w:r>
      <w:r>
        <w:t>context, “mamta patfu” could mean not “grandfather” but simply “father</w:t>
      </w:r>
      <w:r>
        <w:rPr>
          <w:rStyle w:val="deletedparamark"/>
        </w:rPr>
        <w:t xml:space="preserve"> </w:t>
      </w:r>
      <w:r>
        <w:t>with some motherly attributes”, depending on the culture. If absolute</w:t>
      </w:r>
      <w:r>
        <w:rPr>
          <w:rStyle w:val="deletedparamark"/>
        </w:rPr>
        <w:t xml:space="preserve"> </w:t>
      </w:r>
      <w:r>
        <w:t>clarity is required, there are ways to expand upon and explain the exact</w:t>
      </w:r>
      <w:r>
        <w:rPr>
          <w:rStyle w:val="deletedparamark"/>
        </w:rPr>
        <w:t xml:space="preserve"> </w:t>
      </w:r>
      <w:r>
        <w:t>interrelationship between the components; but such detail is usually</w:t>
      </w:r>
      <w:r>
        <w:rPr>
          <w:rStyle w:val="deletedparamark"/>
        </w:rPr>
        <w:t xml:space="preserve"> </w:t>
      </w:r>
      <w:r>
        <w:t>not needed.</w:t>
      </w:r>
    </w:p>
    <w:p w:rsidR="00B72047" w:rsidRDefault="00B72047">
      <w:pPr>
        <w:rPr>
          <w:rStyle w:val="htmlparacode"/>
        </w:rPr>
      </w:pPr>
      <w:r>
        <w:rPr>
          <w:rStyle w:val="htmlparacode"/>
        </w:rPr>
        <w:t>&lt;p&gt;</w:t>
      </w:r>
    </w:p>
    <w:p w:rsidR="00B72047" w:rsidRDefault="00B72047">
      <w:pPr>
        <w:pStyle w:val="normalparagraph"/>
      </w:pPr>
      <w:r>
        <w:rPr>
          <w:rStyle w:val="indexentry"/>
        </w:rPr>
        <w:t>&lt;cx "brivla, from tanru"&gt;</w:t>
      </w:r>
      <w:r>
        <w:rPr>
          <w:rStyle w:val="indexentry"/>
        </w:rPr>
        <w:fldChar w:fldCharType="begin"/>
      </w:r>
      <w:r>
        <w:instrText>xe "</w:instrText>
      </w:r>
      <w:r>
        <w:rPr>
          <w:rStyle w:val="xeentry"/>
        </w:rPr>
        <w:instrText>brivla: from tanru</w:instrText>
      </w:r>
      <w:r>
        <w:instrText>"</w:instrText>
      </w:r>
      <w:r>
        <w:rPr>
          <w:rStyle w:val="indexentry"/>
        </w:rPr>
        <w:fldChar w:fldCharType="end"/>
      </w:r>
      <w:r>
        <w:rPr>
          <w:rStyle w:val="indexentry"/>
        </w:rPr>
        <w:t>&lt;cx "lujvo, from tanru"&gt;</w:t>
      </w:r>
      <w:r>
        <w:rPr>
          <w:rStyle w:val="indexentry"/>
        </w:rPr>
        <w:fldChar w:fldCharType="begin"/>
      </w:r>
      <w:r>
        <w:instrText>xe "</w:instrText>
      </w:r>
      <w:r>
        <w:rPr>
          <w:rStyle w:val="xeentry"/>
        </w:rPr>
        <w:instrText>lujvo: from tanru</w:instrText>
      </w:r>
      <w:r>
        <w:instrText>"</w:instrText>
      </w:r>
      <w:r>
        <w:rPr>
          <w:rStyle w:val="indexentry"/>
        </w:rPr>
        <w:fldChar w:fldCharType="end"/>
      </w:r>
      <w:r>
        <w:rPr>
          <w:rStyle w:val="indexentry"/>
        </w:rPr>
        <w:t>&lt;cx "tanru, to lujvo"&gt;</w:t>
      </w:r>
      <w:r>
        <w:rPr>
          <w:rStyle w:val="indexentry"/>
        </w:rPr>
        <w:fldChar w:fldCharType="begin"/>
      </w:r>
      <w:r>
        <w:instrText>xe "</w:instrText>
      </w:r>
      <w:r>
        <w:rPr>
          <w:rStyle w:val="xeentry"/>
        </w:rPr>
        <w:instrText>tanru: to lujvo</w:instrText>
      </w:r>
      <w:r>
        <w:instrText>"</w:instrText>
      </w:r>
      <w:r>
        <w:rPr>
          <w:rStyle w:val="indexentry"/>
        </w:rPr>
        <w:fldChar w:fldCharType="end"/>
      </w:r>
      <w:r>
        <w:t>When a concept expressed in a tanru proves useful, or is fre</w:t>
      </w:r>
      <w:r>
        <w:softHyphen/>
        <w:t>quently</w:t>
      </w:r>
      <w:r>
        <w:rPr>
          <w:rStyle w:val="deletedparamark"/>
        </w:rPr>
        <w:t xml:space="preserve"> </w:t>
      </w:r>
      <w:r>
        <w:t>expressed, it is desirable to choose one of the possible meanings of the</w:t>
      </w:r>
      <w:r>
        <w:rPr>
          <w:rStyle w:val="deletedparamark"/>
        </w:rPr>
        <w:t xml:space="preserve"> </w:t>
      </w:r>
      <w:r>
        <w:t xml:space="preserve">tanru and assign it to a new brivla. For </w:t>
      </w:r>
      <w:r>
        <w:rPr>
          <w:rStyle w:val="htmlcodes"/>
        </w:rPr>
        <w:t>&lt;a href=#e5d1&gt;</w:t>
      </w:r>
      <w:r>
        <w:t>Example 5.1</w:t>
      </w:r>
      <w:r>
        <w:rPr>
          <w:rStyle w:val="htmlcodes"/>
        </w:rPr>
        <w:t>&lt;/a&gt;</w:t>
      </w:r>
      <w:r>
        <w:t>, we would probably</w:t>
      </w:r>
      <w:r>
        <w:rPr>
          <w:rStyle w:val="deletedparamark"/>
        </w:rPr>
        <w:t xml:space="preserve"> </w:t>
      </w:r>
      <w:r>
        <w:t>choose “user of computers”, and form the new word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sampli</w:t>
      </w:r>
    </w:p>
    <w:p w:rsidR="00B72047" w:rsidRDefault="00B72047">
      <w:pPr>
        <w:pStyle w:val="resumedafterexample"/>
      </w:pPr>
      <w:r>
        <w:rPr>
          <w:rStyle w:val="htmlcodes"/>
        </w:rPr>
        <w:t>&lt;/pre&gt;&lt;p&gt;</w:t>
      </w:r>
      <w:r>
        <w:t>Such a brivla, built from the rafsi which represent its component words,</w:t>
      </w:r>
      <w:r>
        <w:rPr>
          <w:rStyle w:val="deletedparamark"/>
        </w:rPr>
        <w:t xml:space="preserve"> </w:t>
      </w:r>
      <w:r>
        <w:t>is called a “lujvo”. Another example, corresponding to the tanru of</w:t>
      </w:r>
      <w:r>
        <w:rPr>
          <w:rStyle w:val="deletedparamark"/>
        </w:rPr>
        <w:t xml:space="preserve"> </w:t>
      </w:r>
      <w:r>
        <w:rPr>
          <w:rStyle w:val="htmlcodes"/>
        </w:rPr>
        <w:t>&lt;a href=#e5d2&gt;</w:t>
      </w:r>
      <w:r>
        <w:t>Example 5.2</w:t>
      </w:r>
      <w:r>
        <w:rPr>
          <w:rStyle w:val="htmlcodes"/>
        </w:rPr>
        <w:t>&lt;/a&gt;</w:t>
      </w:r>
      <w:r>
        <w:t>,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bralo'i</w:t>
      </w:r>
    </w:p>
    <w:p w:rsidR="00B72047" w:rsidRDefault="00B72047">
      <w:pPr>
        <w:pStyle w:val="examplescaled"/>
      </w:pPr>
      <w:r>
        <w:tab/>
        <w:t>big-boat</w:t>
      </w:r>
    </w:p>
    <w:p w:rsidR="00B72047" w:rsidRDefault="00B72047">
      <w:pPr>
        <w:pStyle w:val="examplescaled"/>
      </w:pPr>
      <w:r>
        <w:tab/>
        <w:t>ship</w:t>
      </w:r>
    </w:p>
    <w:p w:rsidR="00B72047" w:rsidRDefault="00B72047">
      <w:pPr>
        <w:pStyle w:val="resumedafterexample"/>
      </w:pPr>
      <w:r>
        <w:rPr>
          <w:rStyle w:val="htmlcodes"/>
        </w:rPr>
        <w:t>&lt;/pre&gt;</w:t>
      </w:r>
      <w:r>
        <w:rPr>
          <w:rStyle w:val="indexentry"/>
        </w:rPr>
        <w:t>&lt;cx "lujvo, unambiguous decomposition of"&gt;</w:t>
      </w:r>
      <w:r>
        <w:rPr>
          <w:rStyle w:val="indexentry"/>
        </w:rPr>
        <w:fldChar w:fldCharType="begin"/>
      </w:r>
      <w:r>
        <w:instrText>xe "</w:instrText>
      </w:r>
      <w:r>
        <w:rPr>
          <w:rStyle w:val="xeentry"/>
        </w:rPr>
        <w:instrText>lujvo: unambiguous decomposition of</w:instrText>
      </w:r>
      <w:r>
        <w:instrText>"</w:instrText>
      </w:r>
      <w:r>
        <w:rPr>
          <w:rStyle w:val="indexentry"/>
        </w:rPr>
        <w:fldChar w:fldCharType="end"/>
      </w:r>
      <w:r>
        <w:rPr>
          <w:rStyle w:val="indexentry"/>
        </w:rPr>
        <w:t>&lt;cx "rafsi, definition"&gt;</w:t>
      </w:r>
      <w:r>
        <w:rPr>
          <w:rStyle w:val="indexentry"/>
        </w:rPr>
        <w:fldChar w:fldCharType="begin"/>
      </w:r>
      <w:r>
        <w:instrText>xe "</w:instrText>
      </w:r>
      <w:r>
        <w:rPr>
          <w:rStyle w:val="xeentry"/>
        </w:rPr>
        <w:instrText>rafsi: definition</w:instrText>
      </w:r>
      <w:r>
        <w:instrText>"</w:instrText>
      </w:r>
      <w:r>
        <w:rPr>
          <w:rStyle w:val="indexentry"/>
        </w:rPr>
        <w:fldChar w:fldCharType="end"/>
      </w:r>
      <w:r>
        <w:rPr>
          <w:rStyle w:val="indexentry"/>
        </w:rPr>
        <w:t>&lt;cx "lujvo, construction of"&gt;</w:t>
      </w:r>
      <w:r>
        <w:rPr>
          <w:rStyle w:val="indexentry"/>
        </w:rPr>
        <w:fldChar w:fldCharType="begin"/>
      </w:r>
      <w:r>
        <w:instrText>xe "</w:instrText>
      </w:r>
      <w:r>
        <w:rPr>
          <w:rStyle w:val="xeentry"/>
        </w:rPr>
        <w:instrText>lujvo: construction of</w:instrText>
      </w:r>
      <w:r>
        <w:instrText>"</w:instrText>
      </w:r>
      <w:r>
        <w:rPr>
          <w:rStyle w:val="indexentry"/>
        </w:rPr>
        <w:fldChar w:fldCharType="end"/>
      </w:r>
      <w:r>
        <w:t>The lujvo representing a given tanru is built from units representing</w:t>
      </w:r>
      <w:r>
        <w:rPr>
          <w:rStyle w:val="deletedparamark"/>
        </w:rPr>
        <w:t xml:space="preserve"> </w:t>
      </w:r>
      <w:r>
        <w:t>the component gismu. These units are called “rafsi” in Lojban.</w:t>
      </w:r>
      <w:r>
        <w:rPr>
          <w:rStyle w:val="deletedparamark"/>
        </w:rPr>
        <w:t xml:space="preserve"> </w:t>
      </w:r>
      <w:r>
        <w:t>Each rafsi represents only one gismu. The rafsi are attached together in</w:t>
      </w:r>
      <w:r>
        <w:rPr>
          <w:rStyle w:val="deletedparamark"/>
        </w:rPr>
        <w:t xml:space="preserve"> </w:t>
      </w:r>
      <w:r>
        <w:t>the order of the words in the tanru, occasionally in</w:t>
      </w:r>
      <w:r>
        <w:softHyphen/>
        <w:t>serting so-called</w:t>
      </w:r>
      <w:r>
        <w:rPr>
          <w:rStyle w:val="deletedparamark"/>
        </w:rPr>
        <w:t xml:space="preserve"> “</w:t>
      </w:r>
      <w:r>
        <w:t>hyphen” letters to ensure that the pieces stick together as a single word</w:t>
      </w:r>
      <w:r>
        <w:rPr>
          <w:rStyle w:val="deletedparamark"/>
        </w:rPr>
        <w:t xml:space="preserve"> </w:t>
      </w:r>
      <w:r>
        <w:t>and cannot accidentally be broken apart into cmavo, gismu, or other word</w:t>
      </w:r>
      <w:r>
        <w:rPr>
          <w:rStyle w:val="deletedparamark"/>
        </w:rPr>
        <w:t xml:space="preserve"> </w:t>
      </w:r>
      <w:r>
        <w:t>forms. As a result, each lujvo can be readily and accu</w:t>
      </w:r>
      <w:r>
        <w:softHyphen/>
        <w:t>rately recognized,</w:t>
      </w:r>
      <w:r>
        <w:rPr>
          <w:rStyle w:val="deletedparamark"/>
        </w:rPr>
        <w:t xml:space="preserve"> </w:t>
      </w:r>
      <w:r>
        <w:t>allowing a listener to pick out the word from a string of spoken Lojban,</w:t>
      </w:r>
      <w:r>
        <w:rPr>
          <w:rStyle w:val="deletedparamark"/>
        </w:rPr>
        <w:t xml:space="preserve"> </w:t>
      </w:r>
      <w:r>
        <w:t>and if necessary, unambiguously de</w:t>
      </w:r>
      <w:r>
        <w:softHyphen/>
        <w:t>compose the word to a unique source</w:t>
      </w:r>
      <w:r>
        <w:rPr>
          <w:rStyle w:val="deletedparamark"/>
        </w:rPr>
        <w:t xml:space="preserve"> </w:t>
      </w:r>
      <w:r>
        <w:t>tanru, thus providing a strong clue to its meaning.</w:t>
      </w:r>
    </w:p>
    <w:p w:rsidR="00B72047" w:rsidRDefault="00B72047">
      <w:pPr>
        <w:rPr>
          <w:rStyle w:val="htmlparacode"/>
        </w:rPr>
      </w:pPr>
      <w:r>
        <w:rPr>
          <w:rStyle w:val="htmlparacode"/>
        </w:rPr>
        <w:t>&lt;p&gt;</w:t>
      </w:r>
    </w:p>
    <w:p w:rsidR="00B72047" w:rsidRDefault="00B72047">
      <w:pPr>
        <w:pStyle w:val="normalparagraph"/>
      </w:pPr>
      <w:r>
        <w:t xml:space="preserve">The lujvo that can be built from the tanru “mamta patfu” in </w:t>
      </w:r>
      <w:r>
        <w:rPr>
          <w:rStyle w:val="htmlcodes"/>
        </w:rPr>
        <w:t>&lt;a href=#e5d4&gt;</w:t>
      </w:r>
      <w:r>
        <w:t xml:space="preserve">Example 5.4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mampa'u</w:t>
      </w:r>
    </w:p>
    <w:p w:rsidR="00B72047" w:rsidRDefault="00B72047">
      <w:pPr>
        <w:pStyle w:val="resumedafterexample"/>
      </w:pPr>
      <w:r>
        <w:rPr>
          <w:rStyle w:val="htmlcodes"/>
        </w:rPr>
        <w:t>&lt;/pre&gt;</w:t>
      </w:r>
      <w:r>
        <w:t>which refers specifically to the concept “maternal grandfather”.</w:t>
      </w:r>
      <w:r>
        <w:rPr>
          <w:rStyle w:val="deletedparamark"/>
        </w:rPr>
        <w:t xml:space="preserve"> </w:t>
      </w:r>
      <w:r>
        <w:t>The two gismu that con</w:t>
      </w:r>
      <w:r>
        <w:softHyphen/>
        <w:t>stitute the tanru are represented in “mampa'u”</w:t>
      </w:r>
      <w:r>
        <w:rPr>
          <w:rStyle w:val="deletedparamark"/>
        </w:rPr>
        <w:t xml:space="preserve"> </w:t>
      </w:r>
      <w:r>
        <w:t>by the rafsi “mam-” and “-pa'u”, re</w:t>
      </w:r>
      <w:r>
        <w:softHyphen/>
        <w:t>spec</w:t>
      </w:r>
      <w:r>
        <w:softHyphen/>
        <w:t>tively; these two rafsi are then</w:t>
      </w:r>
      <w:r>
        <w:rPr>
          <w:rStyle w:val="deletedparamark"/>
        </w:rPr>
        <w:t xml:space="preserve"> </w:t>
      </w:r>
      <w:r>
        <w:t>concatenated together to form “mampa'u”.</w:t>
      </w:r>
    </w:p>
    <w:p w:rsidR="00B72047" w:rsidRDefault="00B72047">
      <w:pPr>
        <w:rPr>
          <w:rStyle w:val="htmlparacode"/>
        </w:rPr>
      </w:pPr>
      <w:r>
        <w:rPr>
          <w:rStyle w:val="htmlparacode"/>
        </w:rPr>
        <w:t>&lt;p&gt;</w:t>
      </w:r>
    </w:p>
    <w:p w:rsidR="00B72047" w:rsidRDefault="00B72047">
      <w:pPr>
        <w:pStyle w:val="normalparagraph"/>
      </w:pPr>
      <w:r>
        <w:rPr>
          <w:rStyle w:val="indexentry"/>
        </w:rPr>
        <w:t>&lt;cx "lujvo, meaning of"&gt;</w:t>
      </w:r>
      <w:r>
        <w:rPr>
          <w:rStyle w:val="indexentry"/>
        </w:rPr>
        <w:fldChar w:fldCharType="begin"/>
      </w:r>
      <w:r>
        <w:instrText>xe "</w:instrText>
      </w:r>
      <w:r>
        <w:rPr>
          <w:rStyle w:val="xeentry"/>
        </w:rPr>
        <w:instrText>lujvo: meaning of</w:instrText>
      </w:r>
      <w:r>
        <w:instrText>"</w:instrText>
      </w:r>
      <w:r>
        <w:rPr>
          <w:rStyle w:val="indexentry"/>
        </w:rPr>
        <w:fldChar w:fldCharType="end"/>
      </w:r>
      <w:r>
        <w:rPr>
          <w:rStyle w:val="indexentry"/>
        </w:rPr>
        <w:t>&lt;cx "lujvo, multiple forms of"&gt;</w:t>
      </w:r>
      <w:r>
        <w:rPr>
          <w:rStyle w:val="indexentry"/>
        </w:rPr>
        <w:fldChar w:fldCharType="begin"/>
      </w:r>
      <w:r>
        <w:instrText>xe "</w:instrText>
      </w:r>
      <w:r>
        <w:rPr>
          <w:rStyle w:val="xeentry"/>
        </w:rPr>
        <w:instrText>lujvo: multiple forms of</w:instrText>
      </w:r>
      <w:r>
        <w:instrText>"</w:instrText>
      </w:r>
      <w:r>
        <w:rPr>
          <w:rStyle w:val="indexentry"/>
        </w:rPr>
        <w:fldChar w:fldCharType="end"/>
      </w:r>
      <w:r>
        <w:rPr>
          <w:rStyle w:val="indexentry"/>
        </w:rPr>
        <w:t>&lt;cx "rafsi form, effect of choice on meaning of lujvo"&gt;</w:t>
      </w:r>
      <w:r>
        <w:rPr>
          <w:rStyle w:val="indexentry"/>
        </w:rPr>
        <w:fldChar w:fldCharType="begin"/>
      </w:r>
      <w:r>
        <w:instrText>xe "</w:instrText>
      </w:r>
      <w:r>
        <w:rPr>
          <w:rStyle w:val="xeentry"/>
        </w:rPr>
        <w:instrText>rafsi form: effect of choice on meaning of lujvo</w:instrText>
      </w:r>
      <w:r>
        <w:instrText>"</w:instrText>
      </w:r>
      <w:r>
        <w:rPr>
          <w:rStyle w:val="indexentry"/>
        </w:rPr>
        <w:fldChar w:fldCharType="end"/>
      </w:r>
      <w:r>
        <w:rPr>
          <w:rStyle w:val="indexentry"/>
        </w:rPr>
        <w:t>&lt;cx "short rafsi form, compared with long form in effect on lujvo meaning"&gt;</w:t>
      </w:r>
      <w:r>
        <w:rPr>
          <w:rStyle w:val="indexentry"/>
        </w:rPr>
        <w:fldChar w:fldCharType="begin"/>
      </w:r>
      <w:r>
        <w:instrText>xe "</w:instrText>
      </w:r>
      <w:r>
        <w:rPr>
          <w:rStyle w:val="xeentry"/>
        </w:rPr>
        <w:instrText>short rafsi form: compared with long form in effect on lujvo meaning</w:instrText>
      </w:r>
      <w:r>
        <w:instrText>"</w:instrText>
      </w:r>
      <w:r>
        <w:rPr>
          <w:rStyle w:val="indexentry"/>
        </w:rPr>
        <w:fldChar w:fldCharType="end"/>
      </w:r>
      <w:r>
        <w:rPr>
          <w:rStyle w:val="indexentry"/>
        </w:rPr>
        <w:t>&lt;cx "long rafsi form, compared with short form in effect on lujvo meaning"&gt;</w:t>
      </w:r>
      <w:r>
        <w:rPr>
          <w:rStyle w:val="indexentry"/>
        </w:rPr>
        <w:fldChar w:fldCharType="begin"/>
      </w:r>
      <w:r>
        <w:instrText>xe "</w:instrText>
      </w:r>
      <w:r>
        <w:rPr>
          <w:rStyle w:val="xeentry"/>
        </w:rPr>
        <w:instrText>long rafsi form: compared with short form in effect on lujvo meaning</w:instrText>
      </w:r>
      <w:r>
        <w:instrText>"</w:instrText>
      </w:r>
      <w:r>
        <w:rPr>
          <w:rStyle w:val="indexentry"/>
        </w:rPr>
        <w:fldChar w:fldCharType="end"/>
      </w:r>
      <w:r>
        <w:t>Like gismu, lujvo have only one meaning. When a lujvo is formally entered</w:t>
      </w:r>
      <w:r>
        <w:rPr>
          <w:rStyle w:val="deletedparamark"/>
        </w:rPr>
        <w:t xml:space="preserve"> </w:t>
      </w:r>
      <w:r>
        <w:t>into a dictionary of the language, a specific definition will be assigned</w:t>
      </w:r>
      <w:r>
        <w:rPr>
          <w:rStyle w:val="deletedparamark"/>
        </w:rPr>
        <w:t xml:space="preserve"> </w:t>
      </w:r>
      <w:r>
        <w:t>based on one particular interrelationship between the terms. (See</w:t>
      </w:r>
      <w:r>
        <w:rPr>
          <w:rStyle w:val="deletedparamark"/>
        </w:rPr>
        <w:t xml:space="preserve"> </w:t>
      </w:r>
      <w:r>
        <w:rPr>
          <w:rStyle w:val="htmlcodes"/>
        </w:rPr>
        <w:t>&lt;a href=chap12.html&gt;</w:t>
      </w:r>
      <w:r>
        <w:t xml:space="preserve">Chapter 12 </w:t>
      </w:r>
      <w:r>
        <w:rPr>
          <w:rStyle w:val="htmlcodes"/>
        </w:rPr>
        <w:t>&lt;/a&gt;</w:t>
      </w:r>
      <w:r>
        <w:t>for how this has been done.) Unlike gismu, lujvo may have more</w:t>
      </w:r>
      <w:r>
        <w:rPr>
          <w:rStyle w:val="deletedparamark"/>
        </w:rPr>
        <w:t xml:space="preserve"> </w:t>
      </w:r>
      <w:r>
        <w:t>than one form. This is because there is no dif</w:t>
      </w:r>
      <w:r>
        <w:softHyphen/>
        <w:t>ference in meaning between the</w:t>
      </w:r>
      <w:r>
        <w:rPr>
          <w:rStyle w:val="deletedparamark"/>
        </w:rPr>
        <w:t xml:space="preserve"> </w:t>
      </w:r>
      <w:r>
        <w:t>various rafsi for a gismu when they are used to build a lujvo. A long rafsi</w:t>
      </w:r>
      <w:r>
        <w:rPr>
          <w:rStyle w:val="deletedparamark"/>
        </w:rPr>
        <w:t xml:space="preserve"> </w:t>
      </w:r>
      <w:r>
        <w:t>may be used, especially in noisy environments, in place of a short rafsi;</w:t>
      </w:r>
      <w:r>
        <w:rPr>
          <w:rStyle w:val="deletedparamark"/>
        </w:rPr>
        <w:t xml:space="preserve"> </w:t>
      </w:r>
      <w:r>
        <w:t>the result is considered the same lujvo, even though the word is spelled and</w:t>
      </w:r>
      <w:r>
        <w:rPr>
          <w:rStyle w:val="deletedparamark"/>
        </w:rPr>
        <w:t xml:space="preserve"> </w:t>
      </w:r>
      <w:r>
        <w:t>pro</w:t>
      </w:r>
      <w:r>
        <w:softHyphen/>
        <w:t>nounced differ</w:t>
      </w:r>
      <w:r>
        <w:softHyphen/>
        <w:t>ently. Thus the word “brivla”, built from the tanru</w:t>
      </w:r>
      <w:r>
        <w:rPr>
          <w:rStyle w:val="deletedparamark"/>
        </w:rPr>
        <w:t xml:space="preserve"> “</w:t>
      </w:r>
      <w:r>
        <w:t>bridi valsi”, is the same lujvo as “brivalsi”, “bridyvla”, and “bridyvalsi”,</w:t>
      </w:r>
      <w:r>
        <w:rPr>
          <w:rStyle w:val="deletedparamark"/>
        </w:rPr>
        <w:t xml:space="preserve"> </w:t>
      </w:r>
      <w:r>
        <w:t>each of which uses a different combination of rafsi.</w:t>
      </w:r>
    </w:p>
    <w:p w:rsidR="00B72047" w:rsidRDefault="00B72047">
      <w:pPr>
        <w:rPr>
          <w:rStyle w:val="htmlparacode"/>
        </w:rPr>
      </w:pPr>
      <w:r>
        <w:rPr>
          <w:rStyle w:val="htmlparacode"/>
        </w:rPr>
        <w:t>&lt;p&gt;</w:t>
      </w:r>
    </w:p>
    <w:p w:rsidR="00B72047" w:rsidRDefault="00B72047">
      <w:pPr>
        <w:pStyle w:val="normalparagraph"/>
      </w:pPr>
      <w:r>
        <w:rPr>
          <w:rStyle w:val="indexentry"/>
        </w:rPr>
        <w:t>&lt;cx "lujvo, rules for formation of"&gt;</w:t>
      </w:r>
      <w:r>
        <w:rPr>
          <w:rStyle w:val="indexentry"/>
        </w:rPr>
        <w:fldChar w:fldCharType="begin"/>
      </w:r>
      <w:r>
        <w:instrText>xe "</w:instrText>
      </w:r>
      <w:r>
        <w:rPr>
          <w:rStyle w:val="xeentry"/>
        </w:rPr>
        <w:instrText>lujvo: rules for formation of</w:instrText>
      </w:r>
      <w:r>
        <w:instrText>"</w:instrText>
      </w:r>
      <w:r>
        <w:rPr>
          <w:rStyle w:val="indexentry"/>
        </w:rPr>
        <w:fldChar w:fldCharType="end"/>
      </w:r>
      <w:r>
        <w:rPr>
          <w:rStyle w:val="indexentry"/>
        </w:rPr>
        <w:t>&lt;cx "rafsi, rules for combining to form lujvo"&gt;</w:t>
      </w:r>
      <w:r>
        <w:rPr>
          <w:rStyle w:val="indexentry"/>
        </w:rPr>
        <w:fldChar w:fldCharType="begin"/>
      </w:r>
      <w:r>
        <w:instrText>xe "</w:instrText>
      </w:r>
      <w:r>
        <w:rPr>
          <w:rStyle w:val="xeentry"/>
        </w:rPr>
        <w:instrText>rafsi: rules for combining to form lujvo</w:instrText>
      </w:r>
      <w:r>
        <w:instrText>"</w:instrText>
      </w:r>
      <w:r>
        <w:rPr>
          <w:rStyle w:val="indexentry"/>
        </w:rPr>
        <w:fldChar w:fldCharType="end"/>
      </w:r>
      <w:r>
        <w:rPr>
          <w:rStyle w:val="indexentry"/>
        </w:rPr>
        <w:t>&lt;cx "“y”-hyphen, and consonant cluster determination"&gt;</w:t>
      </w:r>
      <w:r>
        <w:rPr>
          <w:rStyle w:val="indexentry"/>
        </w:rPr>
        <w:fldChar w:fldCharType="begin"/>
      </w:r>
      <w:r>
        <w:instrText>xe "</w:instrText>
      </w:r>
      <w:r>
        <w:rPr>
          <w:rStyle w:val="xeentry"/>
        </w:rPr>
        <w:instrText>y-hyphen: and consonant cluster determination</w:instrText>
      </w:r>
      <w:r>
        <w:instrText>"</w:instrText>
      </w:r>
      <w:r>
        <w:rPr>
          <w:rStyle w:val="indexentry"/>
        </w:rPr>
        <w:fldChar w:fldCharType="end"/>
      </w:r>
      <w:r>
        <w:rPr>
          <w:rStyle w:val="indexentry"/>
        </w:rPr>
        <w:t>&lt;cx "“ ' ”, and consonant cluster determination in lujvo"&gt;</w:t>
      </w:r>
      <w:r>
        <w:rPr>
          <w:rStyle w:val="indexentry"/>
        </w:rPr>
        <w:fldChar w:fldCharType="begin"/>
      </w:r>
      <w:r>
        <w:instrText>xe "</w:instrText>
      </w:r>
      <w:r>
        <w:rPr>
          <w:rStyle w:val="xeentry"/>
        </w:rPr>
        <w:instrText xml:space="preserve"> ' symbol: and consonant cluster determination in lujvo</w:instrText>
      </w:r>
      <w:r>
        <w:instrText>"</w:instrText>
      </w:r>
      <w:r>
        <w:rPr>
          <w:rStyle w:val="indexentry"/>
        </w:rPr>
        <w:fldChar w:fldCharType="end"/>
      </w:r>
      <w:r>
        <w:rPr>
          <w:rStyle w:val="indexentry"/>
        </w:rPr>
        <w:t>&lt;cx "apostrophe, and consonant cluster determination in lujvo"&gt;</w:t>
      </w:r>
      <w:r>
        <w:rPr>
          <w:rStyle w:val="indexentry"/>
        </w:rPr>
        <w:fldChar w:fldCharType="begin"/>
      </w:r>
      <w:r>
        <w:instrText>xe "</w:instrText>
      </w:r>
      <w:r>
        <w:rPr>
          <w:rStyle w:val="xeentry"/>
        </w:rPr>
        <w:instrText>apostrophe: and consonant cluster determination in lujvo</w:instrText>
      </w:r>
      <w:r>
        <w:instrText>"</w:instrText>
      </w:r>
      <w:r>
        <w:rPr>
          <w:rStyle w:val="indexentry"/>
        </w:rPr>
        <w:fldChar w:fldCharType="end"/>
      </w:r>
      <w:r>
        <w:t>When assembling rafsi together into lujvo, the rules for valid brivla</w:t>
      </w:r>
      <w:r>
        <w:rPr>
          <w:rStyle w:val="deletedparamark"/>
        </w:rPr>
        <w:t xml:space="preserve"> </w:t>
      </w:r>
      <w:r>
        <w:t>must be fo</w:t>
      </w:r>
      <w:r>
        <w:t>l</w:t>
      </w:r>
      <w:r>
        <w:softHyphen/>
        <w:t>lowed: a consonant cluster must occur in the first five</w:t>
      </w:r>
      <w:r>
        <w:rPr>
          <w:rStyle w:val="deletedparamark"/>
        </w:rPr>
        <w:t xml:space="preserve"> </w:t>
      </w:r>
      <w:r>
        <w:t>letters (excluding “y” and “ ' ”), and the lujvo must end in a vowel.</w:t>
      </w:r>
    </w:p>
    <w:p w:rsidR="00B72047" w:rsidRDefault="00B72047">
      <w:pPr>
        <w:rPr>
          <w:rStyle w:val="htmlparacode"/>
        </w:rPr>
      </w:pPr>
      <w:r>
        <w:rPr>
          <w:rStyle w:val="htmlparacode"/>
        </w:rPr>
        <w:t>&lt;p&gt;</w:t>
      </w:r>
    </w:p>
    <w:p w:rsidR="00B72047" w:rsidRDefault="00B72047">
      <w:pPr>
        <w:pStyle w:val="normalparagraph"/>
      </w:pPr>
      <w:r>
        <w:rPr>
          <w:rStyle w:val="indexentry"/>
        </w:rPr>
        <w:t>&lt;cx "“y”-hyphen, use of"&gt;</w:t>
      </w:r>
      <w:r>
        <w:rPr>
          <w:rStyle w:val="indexentry"/>
        </w:rPr>
        <w:fldChar w:fldCharType="begin"/>
      </w:r>
      <w:r>
        <w:instrText>xe "</w:instrText>
      </w:r>
      <w:r>
        <w:rPr>
          <w:rStyle w:val="xeentry"/>
        </w:rPr>
        <w:instrText>y-hyphen: use of</w:instrText>
      </w:r>
      <w:r>
        <w:instrText>"</w:instrText>
      </w:r>
      <w:r>
        <w:rPr>
          <w:rStyle w:val="indexentry"/>
        </w:rPr>
        <w:fldChar w:fldCharType="end"/>
      </w:r>
      <w:r>
        <w:rPr>
          <w:rStyle w:val="indexentry"/>
        </w:rPr>
        <w:t>&lt;cx "“y”-hyphen, and stress determination"&gt;</w:t>
      </w:r>
      <w:r>
        <w:rPr>
          <w:rStyle w:val="indexentry"/>
        </w:rPr>
        <w:fldChar w:fldCharType="begin"/>
      </w:r>
      <w:r>
        <w:instrText>xe "</w:instrText>
      </w:r>
      <w:r>
        <w:rPr>
          <w:rStyle w:val="xeentry"/>
        </w:rPr>
        <w:instrText>y-hyphen: and stress determination</w:instrText>
      </w:r>
      <w:r>
        <w:instrText>"</w:instrText>
      </w:r>
      <w:r>
        <w:rPr>
          <w:rStyle w:val="indexentry"/>
        </w:rPr>
        <w:fldChar w:fldCharType="end"/>
      </w:r>
      <w:r>
        <w:rPr>
          <w:rStyle w:val="indexentry"/>
        </w:rPr>
        <w:t>&lt;cx "glue in lujvo, “y”-hyphen as"&gt;</w:t>
      </w:r>
      <w:r>
        <w:rPr>
          <w:rStyle w:val="indexentry"/>
        </w:rPr>
        <w:fldChar w:fldCharType="begin"/>
      </w:r>
      <w:r>
        <w:instrText>xe "</w:instrText>
      </w:r>
      <w:r>
        <w:rPr>
          <w:rStyle w:val="xeentry"/>
        </w:rPr>
        <w:instrText>glue in lujvo: y-hyphen as</w:instrText>
      </w:r>
      <w:r>
        <w:instrText>"</w:instrText>
      </w:r>
      <w:r>
        <w:rPr>
          <w:rStyle w:val="indexentry"/>
        </w:rPr>
        <w:fldChar w:fldCharType="end"/>
      </w:r>
      <w:r>
        <w:t>A “y” (which is ignored in determining stress or consonant clusters) is</w:t>
      </w:r>
      <w:r>
        <w:rPr>
          <w:rStyle w:val="deletedparamark"/>
        </w:rPr>
        <w:t xml:space="preserve"> </w:t>
      </w:r>
      <w:r>
        <w:t>inserted in the middle of the consonant cluster to glue the word together</w:t>
      </w:r>
      <w:r>
        <w:rPr>
          <w:rStyle w:val="deletedparamark"/>
        </w:rPr>
        <w:t xml:space="preserve"> </w:t>
      </w:r>
      <w:r>
        <w:t>when the resulting cluster is either not permissible or the word is likely</w:t>
      </w:r>
      <w:r>
        <w:rPr>
          <w:rStyle w:val="deletedparamark"/>
        </w:rPr>
        <w:t xml:space="preserve"> </w:t>
      </w:r>
      <w:r>
        <w:t>to break up. There are specific rules describing these conditions, detailed</w:t>
      </w:r>
      <w:r>
        <w:rPr>
          <w:rStyle w:val="deletedparamark"/>
        </w:rPr>
        <w:t xml:space="preserve"> </w:t>
      </w:r>
      <w:r>
        <w:t xml:space="preserve">in </w:t>
      </w:r>
      <w:r>
        <w:rPr>
          <w:rStyle w:val="htmlcodes"/>
        </w:rPr>
        <w:t>&lt;a href=#s6&gt;</w:t>
      </w:r>
      <w:r>
        <w:t>Section 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"“r”-hyphen, use of"&gt;</w:t>
      </w:r>
      <w:r>
        <w:rPr>
          <w:rStyle w:val="indexentry"/>
        </w:rPr>
        <w:fldChar w:fldCharType="begin"/>
      </w:r>
      <w:r>
        <w:instrText>xe "</w:instrText>
      </w:r>
      <w:r>
        <w:rPr>
          <w:rStyle w:val="xeentry"/>
        </w:rPr>
        <w:instrText>r-hyphen: use of</w:instrText>
      </w:r>
      <w:r>
        <w:instrText>"</w:instrText>
      </w:r>
      <w:r>
        <w:rPr>
          <w:rStyle w:val="indexentry"/>
        </w:rPr>
        <w:fldChar w:fldCharType="end"/>
      </w:r>
      <w:r>
        <w:rPr>
          <w:rStyle w:val="indexentry"/>
        </w:rPr>
        <w:t>&lt;cx "glue in lujvo, “r”-hyphen as"&gt;</w:t>
      </w:r>
      <w:r>
        <w:rPr>
          <w:rStyle w:val="indexentry"/>
        </w:rPr>
        <w:fldChar w:fldCharType="begin"/>
      </w:r>
      <w:r>
        <w:instrText>xe "</w:instrText>
      </w:r>
      <w:r>
        <w:rPr>
          <w:rStyle w:val="xeentry"/>
        </w:rPr>
        <w:instrText>glue in lujvo: r-hyphen as</w:instrText>
      </w:r>
      <w:r>
        <w:instrText>"</w:instrText>
      </w:r>
      <w:r>
        <w:rPr>
          <w:rStyle w:val="indexentry"/>
        </w:rPr>
        <w:fldChar w:fldCharType="end"/>
      </w:r>
      <w:r>
        <w:rPr>
          <w:rStyle w:val="indexentry"/>
        </w:rPr>
        <w:t>&lt;cx "“n”-hyphen, use of"&gt;</w:t>
      </w:r>
      <w:r>
        <w:rPr>
          <w:rStyle w:val="indexentry"/>
        </w:rPr>
        <w:fldChar w:fldCharType="begin"/>
      </w:r>
      <w:r>
        <w:instrText>xe "</w:instrText>
      </w:r>
      <w:r>
        <w:rPr>
          <w:rStyle w:val="xeentry"/>
        </w:rPr>
        <w:instrText>n-hyphen: use of</w:instrText>
      </w:r>
      <w:r>
        <w:instrText>"</w:instrText>
      </w:r>
      <w:r>
        <w:rPr>
          <w:rStyle w:val="indexentry"/>
        </w:rPr>
        <w:fldChar w:fldCharType="end"/>
      </w:r>
      <w:r>
        <w:rPr>
          <w:rStyle w:val="indexentry"/>
        </w:rPr>
        <w:t>&lt;cx "glue in lujvo, “n”-hyphen as"&gt;</w:t>
      </w:r>
      <w:r>
        <w:rPr>
          <w:rStyle w:val="indexentry"/>
        </w:rPr>
        <w:fldChar w:fldCharType="begin"/>
      </w:r>
      <w:r>
        <w:instrText>xe "</w:instrText>
      </w:r>
      <w:r>
        <w:rPr>
          <w:rStyle w:val="xeentry"/>
        </w:rPr>
        <w:instrText>glue in lujvo: n-hyphen as</w:instrText>
      </w:r>
      <w:r>
        <w:instrText>"</w:instrText>
      </w:r>
      <w:r>
        <w:rPr>
          <w:rStyle w:val="indexentry"/>
        </w:rPr>
        <w:fldChar w:fldCharType="end"/>
      </w:r>
      <w:r>
        <w:t>An “r” (in some cases, an “n”) is inserted when a CVV-form rafsi attaches to</w:t>
      </w:r>
      <w:r>
        <w:rPr>
          <w:rStyle w:val="deletedparamark"/>
        </w:rPr>
        <w:t xml:space="preserve"> </w:t>
      </w:r>
      <w:r>
        <w:t>the be</w:t>
      </w:r>
      <w:r>
        <w:softHyphen/>
        <w:t>ginning of a lujvo in such a way that there is no consonant cluster.</w:t>
      </w:r>
      <w:r>
        <w:rPr>
          <w:rStyle w:val="deletedparamark"/>
        </w:rPr>
        <w:t xml:space="preserve"> </w:t>
      </w:r>
      <w:r>
        <w:t>For example, in the lujvo</w:t>
      </w:r>
    </w:p>
    <w:p w:rsidR="00B72047" w:rsidRDefault="00B72047">
      <w:pPr>
        <w:rPr>
          <w:rStyle w:val="htmlparacode"/>
        </w:rPr>
      </w:pPr>
      <w:r>
        <w:rPr>
          <w:rStyle w:val="htmlparacode"/>
        </w:rPr>
        <w:t>&lt;p&gt;</w:t>
      </w:r>
    </w:p>
    <w:p w:rsidR="00B72047" w:rsidRDefault="00B72047">
      <w:pPr>
        <w:pStyle w:val="examplescaledpre"/>
      </w:pPr>
      <w:r>
        <w:rPr>
          <w:rStyle w:val="indexentry"/>
        </w:rPr>
        <w:t>&lt;ex "field rations"&gt;</w:t>
      </w:r>
      <w:r>
        <w:rPr>
          <w:rStyle w:val="indexentry"/>
        </w:rPr>
        <w:fldChar w:fldCharType="begin"/>
      </w:r>
      <w:r>
        <w:instrText>xe "</w:instrText>
      </w:r>
      <w:r>
        <w:rPr>
          <w:rStyle w:val="xeentry"/>
        </w:rPr>
        <w:instrText>field rations: example</w:instrText>
      </w:r>
      <w:r>
        <w:instrText>"</w:instrText>
      </w:r>
      <w:r>
        <w:rPr>
          <w:rStyle w:val="indexentry"/>
        </w:rPr>
        <w:fldChar w:fldCharType="end"/>
      </w:r>
      <w:r>
        <w:rPr>
          <w:rStyle w:val="htmlcodes"/>
        </w:rPr>
        <w:t>&lt;pre&gt;&lt;a name=e5d8&gt;</w:t>
      </w:r>
      <w:r>
        <w:t>5.8)</w:t>
      </w:r>
      <w:r>
        <w:tab/>
        <w:t>soirsai</w:t>
      </w:r>
    </w:p>
    <w:p w:rsidR="00B72047" w:rsidRDefault="00B72047">
      <w:pPr>
        <w:pStyle w:val="examplescaled"/>
      </w:pPr>
      <w:r>
        <w:tab/>
        <w:t>sonci sanmi</w:t>
      </w:r>
    </w:p>
    <w:p w:rsidR="00B72047" w:rsidRDefault="00B72047">
      <w:pPr>
        <w:pStyle w:val="examplescaled"/>
      </w:pPr>
      <w:r>
        <w:tab/>
        <w:t>soldier meal</w:t>
      </w:r>
    </w:p>
    <w:p w:rsidR="00B72047" w:rsidRDefault="00B72047">
      <w:pPr>
        <w:pStyle w:val="examplescaled"/>
      </w:pPr>
      <w:r>
        <w:tab/>
        <w:t>field rations</w:t>
      </w:r>
    </w:p>
    <w:p w:rsidR="00B72047" w:rsidRDefault="00B72047">
      <w:pPr>
        <w:pStyle w:val="resumedafterexample"/>
      </w:pPr>
      <w:r>
        <w:rPr>
          <w:rStyle w:val="htmlcodes"/>
        </w:rPr>
        <w:t>&lt;/pre&gt;</w:t>
      </w:r>
      <w:r>
        <w:rPr>
          <w:rStyle w:val="indexentry"/>
        </w:rPr>
        <w:t>&lt;cx "rafsi, contrasted with same-form cmavo in meaning"&gt;</w:t>
      </w:r>
      <w:r>
        <w:rPr>
          <w:rStyle w:val="indexentry"/>
        </w:rPr>
        <w:fldChar w:fldCharType="begin"/>
      </w:r>
      <w:r>
        <w:instrText>xe "</w:instrText>
      </w:r>
      <w:r>
        <w:rPr>
          <w:rStyle w:val="xeentry"/>
        </w:rPr>
        <w:instrText>rafsi: contrasted with same-form cmavo in meaning</w:instrText>
      </w:r>
      <w:r>
        <w:instrText>"</w:instrText>
      </w:r>
      <w:r>
        <w:rPr>
          <w:rStyle w:val="indexentry"/>
        </w:rPr>
        <w:fldChar w:fldCharType="end"/>
      </w:r>
      <w:r>
        <w:rPr>
          <w:rStyle w:val="indexentry"/>
        </w:rPr>
        <w:t>&lt;cx "cmavo, contrasted with same-form rafsi in meaning"&gt;</w:t>
      </w:r>
      <w:r>
        <w:rPr>
          <w:rStyle w:val="indexentry"/>
        </w:rPr>
        <w:fldChar w:fldCharType="begin"/>
      </w:r>
      <w:r>
        <w:instrText>xe "</w:instrText>
      </w:r>
      <w:r>
        <w:rPr>
          <w:rStyle w:val="xeentry"/>
        </w:rPr>
        <w:instrText>cmavo: contrasted with same-form rafsi in meaning</w:instrText>
      </w:r>
      <w:r>
        <w:instrText>"</w:instrText>
      </w:r>
      <w:r>
        <w:rPr>
          <w:rStyle w:val="indexentry"/>
        </w:rPr>
        <w:fldChar w:fldCharType="end"/>
      </w:r>
      <w:r>
        <w:t>the rafsi “soi-” and “-sai” are joined, with the additional “r” making up the</w:t>
      </w:r>
      <w:r>
        <w:rPr>
          <w:rStyle w:val="deletedparamark"/>
        </w:rPr>
        <w:t xml:space="preserve"> “</w:t>
      </w:r>
      <w:r>
        <w:t>rs” conso</w:t>
      </w:r>
      <w:r>
        <w:softHyphen/>
        <w:t>nant pair needed to make the word a brivla. Without the “r”, the</w:t>
      </w:r>
      <w:r>
        <w:rPr>
          <w:rStyle w:val="deletedparamark"/>
        </w:rPr>
        <w:t xml:space="preserve"> </w:t>
      </w:r>
      <w:r>
        <w:t>word would break up into “soi sai”, two cmavo. The pair of cmavo have no</w:t>
      </w:r>
      <w:r>
        <w:rPr>
          <w:rStyle w:val="deletedparamark"/>
        </w:rPr>
        <w:t xml:space="preserve"> </w:t>
      </w:r>
      <w:r>
        <w:t>relation to their rafsi lookalikes; they will either be un</w:t>
      </w:r>
      <w:r>
        <w:softHyphen/>
        <w:t>grammatical (as</w:t>
      </w:r>
      <w:r>
        <w:rPr>
          <w:rStyle w:val="deletedparamark"/>
        </w:rPr>
        <w:t xml:space="preserve"> </w:t>
      </w:r>
      <w:r>
        <w:t>in this case), or will express a different meaning from what was intended.</w:t>
      </w:r>
    </w:p>
    <w:p w:rsidR="00B72047" w:rsidRDefault="00B72047">
      <w:pPr>
        <w:rPr>
          <w:rStyle w:val="htmlparacode"/>
        </w:rPr>
      </w:pPr>
      <w:r>
        <w:rPr>
          <w:rStyle w:val="htmlparacode"/>
        </w:rPr>
        <w:t>&lt;p&gt;</w:t>
      </w:r>
    </w:p>
    <w:p w:rsidR="00B72047" w:rsidRDefault="00B72047">
      <w:pPr>
        <w:pStyle w:val="normalparagraph"/>
      </w:pPr>
      <w:r>
        <w:t>Learning rafsi and the rules for assembling them into lujvo is clearly seen</w:t>
      </w:r>
      <w:r>
        <w:rPr>
          <w:rStyle w:val="deletedparamark"/>
        </w:rPr>
        <w:t xml:space="preserve"> </w:t>
      </w:r>
      <w:r>
        <w:t>to be nec</w:t>
      </w:r>
      <w:r>
        <w:softHyphen/>
        <w:t>essary for fully using the potential Lojban vo</w:t>
      </w:r>
      <w:r>
        <w:softHyphen/>
        <w:t>cabulary.</w:t>
      </w:r>
    </w:p>
    <w:p w:rsidR="00B72047" w:rsidRDefault="00B72047">
      <w:pPr>
        <w:rPr>
          <w:rStyle w:val="htmlparacode"/>
        </w:rPr>
      </w:pPr>
      <w:r>
        <w:rPr>
          <w:rStyle w:val="htmlparacode"/>
        </w:rPr>
        <w:t>&lt;p&gt;</w:t>
      </w:r>
    </w:p>
    <w:p w:rsidR="00B72047" w:rsidRDefault="00B72047">
      <w:pPr>
        <w:pStyle w:val="normalparagraph"/>
      </w:pPr>
      <w:r>
        <w:rPr>
          <w:rStyle w:val="indexentry"/>
        </w:rPr>
        <w:t>&lt;cx "lujvo, invention of"&gt;</w:t>
      </w:r>
      <w:r>
        <w:rPr>
          <w:rStyle w:val="indexentry"/>
        </w:rPr>
        <w:fldChar w:fldCharType="begin"/>
      </w:r>
      <w:r>
        <w:instrText>xe "</w:instrText>
      </w:r>
      <w:r>
        <w:rPr>
          <w:rStyle w:val="xeentry"/>
        </w:rPr>
        <w:instrText>lujvo: invention of</w:instrText>
      </w:r>
      <w:r>
        <w:instrText>"</w:instrText>
      </w:r>
      <w:r>
        <w:rPr>
          <w:rStyle w:val="indexentry"/>
        </w:rPr>
        <w:fldChar w:fldCharType="end"/>
      </w:r>
      <w:r>
        <w:t>Most important, it is possible to invent new lujvo while you speak or write</w:t>
      </w:r>
      <w:r>
        <w:rPr>
          <w:rStyle w:val="deletedparamark"/>
        </w:rPr>
        <w:t xml:space="preserve"> </w:t>
      </w:r>
      <w:r>
        <w:t>in order to represent a new or unfamiliar concept, one for which you do</w:t>
      </w:r>
      <w:r>
        <w:rPr>
          <w:rStyle w:val="deletedparamark"/>
        </w:rPr>
        <w:t xml:space="preserve"> </w:t>
      </w:r>
      <w:r>
        <w:t>not know any ex</w:t>
      </w:r>
      <w:r>
        <w:softHyphen/>
        <w:t>isting Loj</w:t>
      </w:r>
      <w:r>
        <w:softHyphen/>
        <w:t>ban word. As long as you follow the rules for</w:t>
      </w:r>
      <w:r>
        <w:rPr>
          <w:rStyle w:val="deletedparamark"/>
        </w:rPr>
        <w:t xml:space="preserve"> </w:t>
      </w:r>
      <w:r>
        <w:t>building these compounds, there is a good chance that you will be</w:t>
      </w:r>
      <w:r>
        <w:rPr>
          <w:rStyle w:val="deletedparamark"/>
        </w:rPr>
        <w:t xml:space="preserve"> </w:t>
      </w:r>
      <w:r>
        <w:t>understood without explanation.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165" w:name="_Toc395691504"/>
      <w:bookmarkStart w:id="166" w:name="_Toc398970475"/>
      <w:r>
        <w:rPr>
          <w:rStyle w:val="Heading3Text"/>
        </w:rPr>
        <w:t>rafsi</w:t>
      </w:r>
      <w:bookmarkEnd w:id="165"/>
      <w:bookmarkEnd w:id="16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"rafsi, use of"&gt;</w:t>
      </w:r>
      <w:r>
        <w:rPr>
          <w:rStyle w:val="indexentry"/>
        </w:rPr>
        <w:fldChar w:fldCharType="begin"/>
      </w:r>
      <w:r>
        <w:instrText>xe "</w:instrText>
      </w:r>
      <w:r>
        <w:rPr>
          <w:rStyle w:val="xeentry"/>
        </w:rPr>
        <w:instrText>rafsi: use of</w:instrText>
      </w:r>
      <w:r>
        <w:instrText>"</w:instrText>
      </w:r>
      <w:r>
        <w:rPr>
          <w:rStyle w:val="indexentry"/>
        </w:rPr>
        <w:fldChar w:fldCharType="end"/>
      </w:r>
      <w:r>
        <w:rPr>
          <w:rStyle w:val="indexentry"/>
        </w:rPr>
        <w:t>&lt;cx "rafsi, uniqueness in gismu referent of"&gt;</w:t>
      </w:r>
      <w:r>
        <w:rPr>
          <w:rStyle w:val="indexentry"/>
        </w:rPr>
        <w:fldChar w:fldCharType="begin"/>
      </w:r>
      <w:r>
        <w:instrText>xe "</w:instrText>
      </w:r>
      <w:r>
        <w:rPr>
          <w:rStyle w:val="xeentry"/>
        </w:rPr>
        <w:instrText>rafsi: uniqueness in gismu referent of</w:instrText>
      </w:r>
      <w:r>
        <w:instrText>"</w:instrText>
      </w:r>
      <w:r>
        <w:rPr>
          <w:rStyle w:val="indexentry"/>
        </w:rPr>
        <w:fldChar w:fldCharType="end"/>
      </w:r>
      <w:r>
        <w:rPr>
          <w:rStyle w:val="indexentry"/>
        </w:rPr>
        <w:t>&lt;cx "rafsi, multiplicity of for single gismu"&gt;</w:t>
      </w:r>
      <w:r>
        <w:rPr>
          <w:rStyle w:val="indexentry"/>
        </w:rPr>
        <w:fldChar w:fldCharType="begin"/>
      </w:r>
      <w:r>
        <w:instrText>xe "</w:instrText>
      </w:r>
      <w:r>
        <w:rPr>
          <w:rStyle w:val="xeentry"/>
        </w:rPr>
        <w:instrText>rafsi: multiplicity of for single gismu</w:instrText>
      </w:r>
      <w:r>
        <w:instrText>"</w:instrText>
      </w:r>
      <w:r>
        <w:rPr>
          <w:rStyle w:val="indexentry"/>
        </w:rPr>
        <w:fldChar w:fldCharType="end"/>
      </w:r>
      <w:r>
        <w:rPr>
          <w:rStyle w:val="indexentry"/>
        </w:rPr>
        <w:t>&lt;cx "rafsi, level of uniqueness of relation to gismu"&gt;</w:t>
      </w:r>
      <w:r>
        <w:rPr>
          <w:rStyle w:val="indexentry"/>
        </w:rPr>
        <w:fldChar w:fldCharType="begin"/>
      </w:r>
      <w:r>
        <w:instrText>xe "</w:instrText>
      </w:r>
      <w:r>
        <w:rPr>
          <w:rStyle w:val="xeentry"/>
        </w:rPr>
        <w:instrText>rafsi: level of uniqueness of relation to gismu</w:instrText>
      </w:r>
      <w:r>
        <w:instrText>"</w:instrText>
      </w:r>
      <w:r>
        <w:rPr>
          <w:rStyle w:val="indexentry"/>
        </w:rPr>
        <w:fldChar w:fldCharType="end"/>
      </w:r>
      <w:r>
        <w:rPr>
          <w:rStyle w:val="indexentry"/>
        </w:rPr>
        <w:t>&lt;cx "gismu, level of uniqueness of rafsi relating to"&gt;</w:t>
      </w:r>
      <w:r>
        <w:rPr>
          <w:rStyle w:val="indexentry"/>
        </w:rPr>
        <w:fldChar w:fldCharType="begin"/>
      </w:r>
      <w:r>
        <w:instrText>xe "</w:instrText>
      </w:r>
      <w:r>
        <w:rPr>
          <w:rStyle w:val="xeentry"/>
        </w:rPr>
        <w:instrText>gismu: level of uniqueness of rafsi relating to</w:instrText>
      </w:r>
      <w:r>
        <w:instrText>"</w:instrText>
      </w:r>
      <w:r>
        <w:rPr>
          <w:rStyle w:val="indexentry"/>
        </w:rPr>
        <w:fldChar w:fldCharType="end"/>
      </w:r>
      <w:r>
        <w:rPr>
          <w:rStyle w:val="indexentry"/>
        </w:rPr>
        <w:t>&lt;cx "rafsi, selection considerations in making lujvo"&gt;</w:t>
      </w:r>
      <w:r>
        <w:rPr>
          <w:rStyle w:val="indexentry"/>
        </w:rPr>
        <w:fldChar w:fldCharType="begin"/>
      </w:r>
      <w:r>
        <w:instrText>xe "</w:instrText>
      </w:r>
      <w:r>
        <w:rPr>
          <w:rStyle w:val="xeentry"/>
        </w:rPr>
        <w:instrText>rafsi: selection considerations in making lujvo</w:instrText>
      </w:r>
      <w:r>
        <w:instrText>"</w:instrText>
      </w:r>
      <w:r>
        <w:rPr>
          <w:rStyle w:val="indexentry"/>
        </w:rPr>
        <w:fldChar w:fldCharType="end"/>
      </w:r>
      <w:r>
        <w:t>Every gismu has from two to five rafsi, each of a different form, but each</w:t>
      </w:r>
      <w:r>
        <w:rPr>
          <w:rStyle w:val="deletedparamark"/>
        </w:rPr>
        <w:t xml:space="preserve"> </w:t>
      </w:r>
      <w:r>
        <w:t>such rafsi represents only one gismu. It is valid to use any of the rafsi</w:t>
      </w:r>
      <w:r>
        <w:rPr>
          <w:rStyle w:val="deletedparamark"/>
        </w:rPr>
        <w:t xml:space="preserve"> </w:t>
      </w:r>
      <w:r>
        <w:t>forms in building lujvo — whichever the reader or lis</w:t>
      </w:r>
      <w:r>
        <w:softHyphen/>
        <w:t>tener will most</w:t>
      </w:r>
      <w:r>
        <w:rPr>
          <w:rStyle w:val="deletedparamark"/>
        </w:rPr>
        <w:t xml:space="preserve"> </w:t>
      </w:r>
      <w:r>
        <w:t>easily understand, or whichever is most pleas</w:t>
      </w:r>
      <w:r>
        <w:softHyphen/>
        <w:t>ing — subject to the rules</w:t>
      </w:r>
      <w:r>
        <w:rPr>
          <w:rStyle w:val="deletedparamark"/>
        </w:rPr>
        <w:t xml:space="preserve"> </w:t>
      </w:r>
      <w:r>
        <w:t>of lujvo making. There is a scoring algorithm which is intended to</w:t>
      </w:r>
      <w:r>
        <w:rPr>
          <w:rStyle w:val="deletedparamark"/>
        </w:rPr>
        <w:t xml:space="preserve"> </w:t>
      </w:r>
      <w:r>
        <w:t>determine which of the possible and legal lujvo forms will be the standard</w:t>
      </w:r>
      <w:r>
        <w:rPr>
          <w:rStyle w:val="deletedparamark"/>
        </w:rPr>
        <w:t xml:space="preserve"> </w:t>
      </w:r>
      <w:r>
        <w:t xml:space="preserve">dictionary form (see </w:t>
      </w:r>
      <w:r>
        <w:rPr>
          <w:rStyle w:val="htmlcodes"/>
        </w:rPr>
        <w:t>&lt;a href=#s12&gt;</w:t>
      </w:r>
      <w:r>
        <w:t>Section 12</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"rafsi, forms of"&gt;</w:t>
      </w:r>
      <w:r>
        <w:rPr>
          <w:rStyle w:val="indexentry"/>
        </w:rPr>
        <w:fldChar w:fldCharType="begin"/>
      </w:r>
      <w:r>
        <w:instrText>xe "</w:instrText>
      </w:r>
      <w:r>
        <w:rPr>
          <w:rStyle w:val="xeentry"/>
        </w:rPr>
        <w:instrText>rafsi: forms of</w:instrText>
      </w:r>
      <w:r>
        <w:instrText>"</w:instrText>
      </w:r>
      <w:r>
        <w:rPr>
          <w:rStyle w:val="indexentry"/>
        </w:rPr>
        <w:fldChar w:fldCharType="end"/>
      </w:r>
      <w:r>
        <w:rPr>
          <w:rStyle w:val="indexentry"/>
        </w:rPr>
        <w:t>&lt;cx "rafsi, long"&gt;</w:t>
      </w:r>
      <w:r>
        <w:rPr>
          <w:rStyle w:val="indexentry"/>
        </w:rPr>
        <w:fldChar w:fldCharType="begin"/>
      </w:r>
      <w:r>
        <w:instrText>xe "</w:instrText>
      </w:r>
      <w:r>
        <w:rPr>
          <w:rStyle w:val="xeentry"/>
        </w:rPr>
        <w:instrText>rafsi: long</w:instrText>
      </w:r>
      <w:r>
        <w:instrText>"</w:instrText>
      </w:r>
      <w:r>
        <w:rPr>
          <w:rStyle w:val="indexentry"/>
        </w:rPr>
        <w:fldChar w:fldCharType="end"/>
      </w:r>
      <w:r>
        <w:rPr>
          <w:rStyle w:val="indexentry"/>
        </w:rPr>
        <w:t>&lt;cx "lujvo, unreduced"&gt;</w:t>
      </w:r>
      <w:r>
        <w:rPr>
          <w:rStyle w:val="indexentry"/>
        </w:rPr>
        <w:fldChar w:fldCharType="begin"/>
      </w:r>
      <w:r>
        <w:instrText>xe "</w:instrText>
      </w:r>
      <w:r>
        <w:rPr>
          <w:rStyle w:val="xeentry"/>
        </w:rPr>
        <w:instrText>lujvo: unreduced</w:instrText>
      </w:r>
      <w:r>
        <w:instrText>"</w:instrText>
      </w:r>
      <w:r>
        <w:rPr>
          <w:rStyle w:val="indexentry"/>
        </w:rPr>
        <w:fldChar w:fldCharType="end"/>
      </w:r>
      <w:r>
        <w:rPr>
          <w:rStyle w:val="indexentry"/>
        </w:rPr>
        <w:t>&lt;cx "gismu, basic rafsi for"&gt;</w:t>
      </w:r>
      <w:r>
        <w:rPr>
          <w:rStyle w:val="indexentry"/>
        </w:rPr>
        <w:fldChar w:fldCharType="begin"/>
      </w:r>
      <w:r>
        <w:instrText>xe "</w:instrText>
      </w:r>
      <w:r>
        <w:rPr>
          <w:rStyle w:val="xeentry"/>
        </w:rPr>
        <w:instrText>gismu: basic rafsi for</w:instrText>
      </w:r>
      <w:r>
        <w:instrText>"</w:instrText>
      </w:r>
      <w:r>
        <w:rPr>
          <w:rStyle w:val="indexentry"/>
        </w:rPr>
        <w:fldChar w:fldCharType="end"/>
      </w:r>
      <w:r>
        <w:rPr>
          <w:rStyle w:val="indexentry"/>
        </w:rPr>
        <w:t>&lt;cx "5-letter rafsi, definition"&gt;</w:t>
      </w:r>
      <w:r>
        <w:rPr>
          <w:rStyle w:val="indexentry"/>
        </w:rPr>
        <w:fldChar w:fldCharType="begin"/>
      </w:r>
      <w:r>
        <w:instrText>xe "</w:instrText>
      </w:r>
      <w:r>
        <w:rPr>
          <w:rStyle w:val="xeentry"/>
        </w:rPr>
        <w:instrText>5-letter rafsi: definition</w:instrText>
      </w:r>
      <w:r>
        <w:instrText>"</w:instrText>
      </w:r>
      <w:r>
        <w:rPr>
          <w:rStyle w:val="indexentry"/>
        </w:rPr>
        <w:fldChar w:fldCharType="end"/>
      </w:r>
      <w:r>
        <w:rPr>
          <w:rStyle w:val="indexentry"/>
        </w:rPr>
        <w:t>&lt;cx "4-letter rafsi, definition"&gt;</w:t>
      </w:r>
      <w:r>
        <w:rPr>
          <w:rStyle w:val="indexentry"/>
        </w:rPr>
        <w:fldChar w:fldCharType="begin"/>
      </w:r>
      <w:r>
        <w:instrText>xe "</w:instrText>
      </w:r>
      <w:r>
        <w:rPr>
          <w:rStyle w:val="xeentry"/>
        </w:rPr>
        <w:instrText>4-letter rafsi: definition</w:instrText>
      </w:r>
      <w:r>
        <w:instrText>"</w:instrText>
      </w:r>
      <w:r>
        <w:rPr>
          <w:rStyle w:val="indexentry"/>
        </w:rPr>
        <w:fldChar w:fldCharType="end"/>
      </w:r>
      <w:r>
        <w:rPr>
          <w:rStyle w:val="indexentry"/>
        </w:rPr>
        <w:t>&lt;cx "long rafsi, definition"&gt;</w:t>
      </w:r>
      <w:r>
        <w:rPr>
          <w:rStyle w:val="indexentry"/>
        </w:rPr>
        <w:fldChar w:fldCharType="begin"/>
      </w:r>
      <w:r>
        <w:instrText>xe "</w:instrText>
      </w:r>
      <w:r>
        <w:rPr>
          <w:rStyle w:val="xeentry"/>
        </w:rPr>
        <w:instrText>long rafsi: definition</w:instrText>
      </w:r>
      <w:r>
        <w:instrText>"</w:instrText>
      </w:r>
      <w:r>
        <w:rPr>
          <w:rStyle w:val="indexentry"/>
        </w:rPr>
        <w:fldChar w:fldCharType="end"/>
      </w:r>
      <w:r>
        <w:rPr>
          <w:rStyle w:val="indexentry"/>
        </w:rPr>
        <w:t>&lt;cx "unreduced lujvo, definition"&gt;</w:t>
      </w:r>
      <w:r>
        <w:rPr>
          <w:rStyle w:val="indexentry"/>
        </w:rPr>
        <w:fldChar w:fldCharType="begin"/>
      </w:r>
      <w:r>
        <w:instrText>xe "</w:instrText>
      </w:r>
      <w:r>
        <w:rPr>
          <w:rStyle w:val="xeentry"/>
        </w:rPr>
        <w:instrText>unreduced lujvo: definition</w:instrText>
      </w:r>
      <w:r>
        <w:instrText>"</w:instrText>
      </w:r>
      <w:r>
        <w:rPr>
          <w:rStyle w:val="indexentry"/>
        </w:rPr>
        <w:fldChar w:fldCharType="end"/>
      </w:r>
      <w:r>
        <w:t>Each gismu always has at least two rafsi forms; one is the gismu itself</w:t>
      </w:r>
      <w:r>
        <w:rPr>
          <w:rStyle w:val="deletedparamark"/>
        </w:rPr>
        <w:t xml:space="preserve"> </w:t>
      </w:r>
      <w:r>
        <w:t>(used only at the end of a lujvo), and one is the gismu without its final</w:t>
      </w:r>
      <w:r>
        <w:rPr>
          <w:rStyle w:val="deletedparamark"/>
        </w:rPr>
        <w:t xml:space="preserve"> </w:t>
      </w:r>
      <w:r>
        <w:t>vowel (used only at the begi</w:t>
      </w:r>
      <w:r>
        <w:t>n</w:t>
      </w:r>
      <w:r>
        <w:softHyphen/>
        <w:t>ning or middle of a luj</w:t>
      </w:r>
      <w:r>
        <w:softHyphen/>
        <w:t>vo). These forms are</w:t>
      </w:r>
      <w:r>
        <w:rPr>
          <w:rStyle w:val="deletedparamark"/>
        </w:rPr>
        <w:t xml:space="preserve"> </w:t>
      </w:r>
      <w:r>
        <w:t>represented as CVC/CV or CCVCV (called “the 5-letter rafsi”), and CVC/C</w:t>
      </w:r>
      <w:r>
        <w:rPr>
          <w:rStyle w:val="deletedparamark"/>
        </w:rPr>
        <w:t xml:space="preserve"> </w:t>
      </w:r>
      <w:r>
        <w:t>or CCVC (called “the 4-letter rafsi”) re</w:t>
      </w:r>
      <w:r>
        <w:softHyphen/>
        <w:t>spectively. The dashes in these</w:t>
      </w:r>
      <w:r>
        <w:rPr>
          <w:rStyle w:val="deletedparamark"/>
        </w:rPr>
        <w:t xml:space="preserve"> </w:t>
      </w:r>
      <w:r>
        <w:t>rafsi form representations show where other rafsi may be attached</w:t>
      </w:r>
      <w:r>
        <w:rPr>
          <w:rStyle w:val="deletedparamark"/>
        </w:rPr>
        <w:t xml:space="preserve"> </w:t>
      </w:r>
      <w:r>
        <w:t>to form a valid lujvo. When lujvo are formed only from 4-letter and 5-letter</w:t>
      </w:r>
      <w:r>
        <w:rPr>
          <w:rStyle w:val="deletedparamark"/>
        </w:rPr>
        <w:t xml:space="preserve"> </w:t>
      </w:r>
      <w:r>
        <w:t>rafsi, known collec</w:t>
      </w:r>
      <w:r>
        <w:softHyphen/>
        <w:t>tively as “long rafsi”, they are called “unreduced lujvo”.</w:t>
      </w:r>
    </w:p>
    <w:p w:rsidR="00B72047" w:rsidRDefault="00B72047">
      <w:pPr>
        <w:rPr>
          <w:rStyle w:val="htmlparacode"/>
        </w:rPr>
      </w:pPr>
      <w:r>
        <w:rPr>
          <w:rStyle w:val="htmlparacode"/>
        </w:rPr>
        <w:t>&lt;p&gt;</w:t>
      </w:r>
    </w:p>
    <w:p w:rsidR="00B72047" w:rsidRDefault="00B72047">
      <w:pPr>
        <w:pStyle w:val="normalparagraph"/>
      </w:pPr>
      <w:r>
        <w:t>Some examples of unreduced lujvo forms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mamtypatfu</w:t>
      </w:r>
    </w:p>
    <w:p w:rsidR="00B72047" w:rsidRDefault="00B72047">
      <w:pPr>
        <w:pStyle w:val="examplescaled"/>
      </w:pPr>
      <w:r>
        <w:tab/>
        <w:t>from “mamta patfu”</w:t>
      </w:r>
    </w:p>
    <w:p w:rsidR="00B72047" w:rsidRDefault="00B72047">
      <w:pPr>
        <w:pStyle w:val="examplescaled"/>
      </w:pPr>
      <w:r>
        <w:tab/>
        <w:t>“mother father” or “maternal grandfather”</w:t>
      </w:r>
    </w:p>
    <w:p w:rsidR="00B72047" w:rsidRDefault="00B72047">
      <w:pPr>
        <w:pStyle w:val="examplescaledpre"/>
      </w:pPr>
      <w:r>
        <w:rPr>
          <w:rStyle w:val="htmlcodes"/>
        </w:rPr>
        <w:t>&lt;a name=e6d2&gt;</w:t>
      </w:r>
      <w:r>
        <w:t>6.2)</w:t>
      </w:r>
      <w:r>
        <w:tab/>
        <w:t>lerfyliste</w:t>
      </w:r>
    </w:p>
    <w:p w:rsidR="00B72047" w:rsidRDefault="00B72047">
      <w:pPr>
        <w:pStyle w:val="examplescaled"/>
      </w:pPr>
      <w:r>
        <w:tab/>
        <w:t>from “lerfu liste”</w:t>
      </w:r>
    </w:p>
    <w:p w:rsidR="00B72047" w:rsidRDefault="00B72047">
      <w:pPr>
        <w:pStyle w:val="examplescaled"/>
      </w:pPr>
      <w:r>
        <w:tab/>
        <w:t>“letter list” or a “list of letters”</w:t>
      </w:r>
    </w:p>
    <w:p w:rsidR="00B72047" w:rsidRDefault="00B72047">
      <w:pPr>
        <w:pStyle w:val="examplescaled"/>
      </w:pPr>
      <w:r>
        <w:tab/>
        <w:t>(letters of the alphabet)</w:t>
      </w:r>
    </w:p>
    <w:p w:rsidR="00B72047" w:rsidRDefault="00B72047">
      <w:pPr>
        <w:pStyle w:val="examplescaledpre"/>
      </w:pPr>
      <w:r>
        <w:rPr>
          <w:rStyle w:val="htmlcodes"/>
        </w:rPr>
        <w:t>&lt;a name=e6d3&gt;</w:t>
      </w:r>
      <w:r>
        <w:t>6.3)</w:t>
      </w:r>
      <w:r>
        <w:tab/>
        <w:t>nancyprali</w:t>
      </w:r>
    </w:p>
    <w:p w:rsidR="00B72047" w:rsidRDefault="00B72047">
      <w:pPr>
        <w:pStyle w:val="examplescaled"/>
      </w:pPr>
      <w:r>
        <w:tab/>
        <w:t>from “nanca prali”</w:t>
      </w:r>
    </w:p>
    <w:p w:rsidR="00B72047" w:rsidRDefault="00B72047">
      <w:pPr>
        <w:pStyle w:val="examplescaled"/>
      </w:pPr>
      <w:r>
        <w:tab/>
        <w:t>“year profit” or “annual profit”</w:t>
      </w:r>
    </w:p>
    <w:p w:rsidR="00B72047" w:rsidRDefault="00B72047">
      <w:pPr>
        <w:pStyle w:val="examplescaledpre"/>
      </w:pPr>
      <w:r>
        <w:rPr>
          <w:rStyle w:val="htmlcodes"/>
        </w:rPr>
        <w:t>&lt;a name=e6d4&gt;</w:t>
      </w:r>
      <w:r>
        <w:t>6.4)</w:t>
      </w:r>
      <w:r>
        <w:tab/>
        <w:t>prunyplipe</w:t>
      </w:r>
    </w:p>
    <w:p w:rsidR="00B72047" w:rsidRDefault="00B72047">
      <w:pPr>
        <w:pStyle w:val="examplescaled"/>
      </w:pPr>
      <w:r>
        <w:tab/>
        <w:t>from “pruni plipe”</w:t>
      </w:r>
    </w:p>
    <w:p w:rsidR="00B72047" w:rsidRDefault="00B72047">
      <w:pPr>
        <w:pStyle w:val="examplescaled"/>
      </w:pPr>
      <w:r>
        <w:tab/>
        <w:t>“elastic (springy) leap” or “spring” (the verb)</w:t>
      </w:r>
    </w:p>
    <w:p w:rsidR="00B72047" w:rsidRDefault="00B72047">
      <w:pPr>
        <w:pStyle w:val="examplescaledpre"/>
      </w:pPr>
      <w:r>
        <w:rPr>
          <w:rStyle w:val="htmlcodes"/>
        </w:rPr>
        <w:t>&lt;/pre&gt;</w:t>
      </w:r>
      <w:r>
        <w:rPr>
          <w:rStyle w:val="indexentry"/>
        </w:rPr>
        <w:t>&lt;ex "supper"&gt;</w:t>
      </w:r>
      <w:r>
        <w:rPr>
          <w:rStyle w:val="indexentry"/>
        </w:rPr>
        <w:fldChar w:fldCharType="begin"/>
      </w:r>
      <w:r>
        <w:instrText>xe "</w:instrText>
      </w:r>
      <w:r>
        <w:rPr>
          <w:rStyle w:val="xeentry"/>
        </w:rPr>
        <w:instrText>supper: example</w:instrText>
      </w:r>
      <w:r>
        <w:instrText>"</w:instrText>
      </w:r>
      <w:r>
        <w:rPr>
          <w:rStyle w:val="indexentry"/>
        </w:rPr>
        <w:fldChar w:fldCharType="end"/>
      </w:r>
      <w:r>
        <w:rPr>
          <w:rStyle w:val="htmlcodes"/>
        </w:rPr>
        <w:t>&lt;pre&gt;&lt;a name=e6d5&gt;</w:t>
      </w:r>
      <w:r>
        <w:t>6.5)</w:t>
      </w:r>
      <w:r>
        <w:tab/>
        <w:t>vancysanmi</w:t>
      </w:r>
    </w:p>
    <w:p w:rsidR="00B72047" w:rsidRDefault="00B72047">
      <w:pPr>
        <w:pStyle w:val="examplescaled"/>
      </w:pPr>
      <w:r>
        <w:tab/>
        <w:t>from “vanci sanmi”</w:t>
      </w:r>
    </w:p>
    <w:p w:rsidR="00B72047" w:rsidRDefault="00B72047">
      <w:pPr>
        <w:pStyle w:val="examplescaled"/>
      </w:pPr>
      <w:r>
        <w:tab/>
        <w:t>“evening meal” or “supper”</w:t>
      </w:r>
    </w:p>
    <w:p w:rsidR="00B72047" w:rsidRDefault="00B72047">
      <w:pPr>
        <w:pStyle w:val="resumedafterexample"/>
      </w:pPr>
      <w:r>
        <w:rPr>
          <w:rStyle w:val="htmlcodes"/>
        </w:rPr>
        <w:t>&lt;/pre&gt;</w:t>
      </w:r>
      <w:r>
        <w:rPr>
          <w:rStyle w:val="indexentry"/>
        </w:rPr>
        <w:t>&lt;cx "rafsi, short"&gt;</w:t>
      </w:r>
      <w:r>
        <w:rPr>
          <w:rStyle w:val="indexentry"/>
        </w:rPr>
        <w:fldChar w:fldCharType="begin"/>
      </w:r>
      <w:r>
        <w:instrText>xe "</w:instrText>
      </w:r>
      <w:r>
        <w:rPr>
          <w:rStyle w:val="xeentry"/>
        </w:rPr>
        <w:instrText>rafsi: short</w:instrText>
      </w:r>
      <w:r>
        <w:instrText>"</w:instrText>
      </w:r>
      <w:r>
        <w:rPr>
          <w:rStyle w:val="indexentry"/>
        </w:rPr>
        <w:fldChar w:fldCharType="end"/>
      </w:r>
      <w:r>
        <w:rPr>
          <w:rStyle w:val="indexentry"/>
        </w:rPr>
        <w:t>&lt;cx "short rafsi"&gt;</w:t>
      </w:r>
      <w:r>
        <w:rPr>
          <w:rStyle w:val="indexentry"/>
        </w:rPr>
        <w:fldChar w:fldCharType="begin"/>
      </w:r>
      <w:r>
        <w:instrText>xe "</w:instrText>
      </w:r>
      <w:r>
        <w:rPr>
          <w:rStyle w:val="xeentry"/>
        </w:rPr>
        <w:instrText>short rafsi</w:instrText>
      </w:r>
      <w:r>
        <w:instrText>"</w:instrText>
      </w:r>
      <w:r>
        <w:rPr>
          <w:rStyle w:val="indexentry"/>
        </w:rPr>
        <w:fldChar w:fldCharType="end"/>
      </w:r>
      <w:r>
        <w:t>In addition to these two forms, each gismu may have up to three ad</w:t>
      </w:r>
      <w:r>
        <w:softHyphen/>
        <w:t>ditional</w:t>
      </w:r>
      <w:r>
        <w:rPr>
          <w:rStyle w:val="deletedparamark"/>
        </w:rPr>
        <w:t xml:space="preserve"> </w:t>
      </w:r>
      <w:r>
        <w:t>short rafsi, three letters long. All short rafsi have one of the forms</w:t>
      </w:r>
      <w:r>
        <w:rPr>
          <w:rStyle w:val="deletedparamark"/>
        </w:rPr>
        <w:t xml:space="preserve"> </w:t>
      </w:r>
      <w:r>
        <w:t>CVC, CCV, or CVV. The total number of rafsi forms that are</w:t>
      </w:r>
      <w:r>
        <w:rPr>
          <w:rStyle w:val="deletedparamark"/>
        </w:rPr>
        <w:t xml:space="preserve"> </w:t>
      </w:r>
      <w:r>
        <w:t>assigned to a gismu depends on how useful the gismu is, or is presumed</w:t>
      </w:r>
      <w:r>
        <w:rPr>
          <w:rStyle w:val="deletedparamark"/>
        </w:rPr>
        <w:t xml:space="preserve"> </w:t>
      </w:r>
      <w:r>
        <w:t>to be, in making lujvo, when compared to other gismu that could be</w:t>
      </w:r>
      <w:r>
        <w:rPr>
          <w:rStyle w:val="deletedparamark"/>
        </w:rPr>
        <w:t xml:space="preserve"> </w:t>
      </w:r>
      <w:r>
        <w:t>assigned the rafsi.</w:t>
      </w:r>
    </w:p>
    <w:p w:rsidR="00B72047" w:rsidRDefault="00B72047">
      <w:pPr>
        <w:rPr>
          <w:rStyle w:val="htmlparacode"/>
        </w:rPr>
      </w:pPr>
      <w:r>
        <w:rPr>
          <w:rStyle w:val="htmlparacode"/>
        </w:rPr>
        <w:t>&lt;p&gt;</w:t>
      </w:r>
    </w:p>
    <w:p w:rsidR="00B72047" w:rsidRDefault="00B72047">
      <w:pPr>
        <w:pStyle w:val="normalparagraph"/>
      </w:pPr>
      <w:r>
        <w:rPr>
          <w:rStyle w:val="indexentry"/>
        </w:rPr>
        <w:t>&lt;cx "comparatives, use of zmadu in forming"&gt;</w:t>
      </w:r>
      <w:r>
        <w:rPr>
          <w:rStyle w:val="indexentry"/>
        </w:rPr>
        <w:fldChar w:fldCharType="begin"/>
      </w:r>
      <w:r>
        <w:instrText>xe "</w:instrText>
      </w:r>
      <w:r>
        <w:rPr>
          <w:rStyle w:val="xeentry"/>
        </w:rPr>
        <w:instrText>comparatives: use of zmadu in forming</w:instrText>
      </w:r>
      <w:r>
        <w:instrText>"</w:instrText>
      </w:r>
      <w:r>
        <w:rPr>
          <w:rStyle w:val="indexentry"/>
        </w:rPr>
        <w:fldChar w:fldCharType="end"/>
      </w:r>
      <w:r>
        <w:rPr>
          <w:rStyle w:val="indexentry"/>
        </w:rPr>
        <w:t>&lt;cx "-er, use of zmadu in forming"&gt;</w:t>
      </w:r>
      <w:r>
        <w:rPr>
          <w:rStyle w:val="indexentry"/>
        </w:rPr>
        <w:fldChar w:fldCharType="begin"/>
      </w:r>
      <w:r>
        <w:instrText>xe "</w:instrText>
      </w:r>
      <w:r>
        <w:rPr>
          <w:rStyle w:val="xeentry"/>
        </w:rPr>
        <w:instrText>-er: use of zmadu in forming</w:instrText>
      </w:r>
      <w:r>
        <w:instrText>"</w:instrText>
      </w:r>
      <w:r>
        <w:rPr>
          <w:rStyle w:val="indexentry"/>
        </w:rPr>
        <w:fldChar w:fldCharType="end"/>
      </w:r>
      <w:r>
        <w:t>For example, “zmadu” (“more than”) has the two short rafsi “zma” and</w:t>
      </w:r>
      <w:r>
        <w:rPr>
          <w:rStyle w:val="deletedparamark"/>
        </w:rPr>
        <w:t xml:space="preserve"> “</w:t>
      </w:r>
      <w:r>
        <w:t>mau” (in addition to its unreduced rafsi “zmad” and “zmadu”), because</w:t>
      </w:r>
      <w:r>
        <w:rPr>
          <w:rStyle w:val="deletedparamark"/>
        </w:rPr>
        <w:t xml:space="preserve"> </w:t>
      </w:r>
      <w:r>
        <w:t>a vast num</w:t>
      </w:r>
      <w:r>
        <w:softHyphen/>
        <w:t>ber of lujvo have been created based on “zmadu”, corresponding in</w:t>
      </w:r>
      <w:r>
        <w:rPr>
          <w:rStyle w:val="deletedparamark"/>
        </w:rPr>
        <w:t xml:space="preserve"> </w:t>
      </w:r>
      <w:r>
        <w:t>general to English comparative adjec</w:t>
      </w:r>
      <w:r>
        <w:softHyphen/>
        <w:t>tives ending in “-er” such as</w:t>
      </w:r>
      <w:r>
        <w:rPr>
          <w:rStyle w:val="deletedparamark"/>
        </w:rPr>
        <w:t xml:space="preserve"> “</w:t>
      </w:r>
      <w:r>
        <w:t>whiter” (Lojban “labmau”). On the other hand, “bakri” (“chalk”) has no</w:t>
      </w:r>
      <w:r>
        <w:rPr>
          <w:rStyle w:val="deletedparamark"/>
        </w:rPr>
        <w:t xml:space="preserve"> </w:t>
      </w:r>
      <w:r>
        <w:t>short rafsi and few lujvo.</w:t>
      </w:r>
    </w:p>
    <w:p w:rsidR="00B72047" w:rsidRDefault="00B72047">
      <w:pPr>
        <w:rPr>
          <w:rStyle w:val="htmlparacode"/>
        </w:rPr>
      </w:pPr>
      <w:r>
        <w:rPr>
          <w:rStyle w:val="htmlparacode"/>
        </w:rPr>
        <w:t>&lt;p&gt;</w:t>
      </w:r>
    </w:p>
    <w:p w:rsidR="00B72047" w:rsidRDefault="00B72047">
      <w:pPr>
        <w:pStyle w:val="normalparagraph"/>
      </w:pPr>
      <w:r>
        <w:t>There are at most one CVC-form, one CCV-form, and one CVV-form rafsi per</w:t>
      </w:r>
      <w:r>
        <w:rPr>
          <w:rStyle w:val="deletedparamark"/>
        </w:rPr>
        <w:t xml:space="preserve"> </w:t>
      </w:r>
      <w:r>
        <w:t>gismu. In fact, only a tiny handful of gismu have both a CCV-form and a</w:t>
      </w:r>
      <w:r>
        <w:rPr>
          <w:rStyle w:val="deletedparamark"/>
        </w:rPr>
        <w:t xml:space="preserve"> </w:t>
      </w:r>
      <w:r>
        <w:t>CVV-form rafsi assigned, and still fewer have all three forms of short rafsi.</w:t>
      </w:r>
      <w:r>
        <w:rPr>
          <w:rStyle w:val="deletedparamark"/>
        </w:rPr>
        <w:t xml:space="preserve"> </w:t>
      </w:r>
      <w:r>
        <w:t>However, gismu with both a CVC-form and another short rafsi are fairly common, partly because more pos</w:t>
      </w:r>
      <w:r>
        <w:softHyphen/>
        <w:t>sible CVC-form rafsi exist. Yet CVC-form rafsi,</w:t>
      </w:r>
      <w:r>
        <w:rPr>
          <w:rStyle w:val="deletedparamark"/>
        </w:rPr>
        <w:t xml:space="preserve"> </w:t>
      </w:r>
      <w:r>
        <w:t>even though they are fairly easy to remember, can</w:t>
      </w:r>
      <w:r>
        <w:softHyphen/>
        <w:t>not be used at the end</w:t>
      </w:r>
      <w:r>
        <w:rPr>
          <w:rStyle w:val="deletedparamark"/>
        </w:rPr>
        <w:t xml:space="preserve"> </w:t>
      </w:r>
      <w:r>
        <w:t>of a lujvo (because lujvo must end in vowels), so justifying the as</w:t>
      </w:r>
      <w:r>
        <w:softHyphen/>
        <w:t>signment</w:t>
      </w:r>
      <w:r>
        <w:rPr>
          <w:rStyle w:val="deletedparamark"/>
        </w:rPr>
        <w:t xml:space="preserve"> </w:t>
      </w:r>
      <w:r>
        <w:t>of an additional short rafsi to many gismu.</w:t>
      </w:r>
    </w:p>
    <w:p w:rsidR="00B72047" w:rsidRDefault="00B72047">
      <w:pPr>
        <w:rPr>
          <w:rStyle w:val="htmlparacode"/>
        </w:rPr>
      </w:pPr>
      <w:r>
        <w:rPr>
          <w:rStyle w:val="htmlparacode"/>
        </w:rPr>
        <w:t>&lt;p&gt;</w:t>
      </w:r>
    </w:p>
    <w:p w:rsidR="00B72047" w:rsidRDefault="00B72047">
      <w:pPr>
        <w:pStyle w:val="normalparagraph"/>
      </w:pPr>
      <w:r>
        <w:rPr>
          <w:rStyle w:val="indexentry"/>
        </w:rPr>
        <w:t>&lt;cx "rafsi space"&gt;</w:t>
      </w:r>
      <w:r>
        <w:rPr>
          <w:rStyle w:val="indexentry"/>
        </w:rPr>
        <w:fldChar w:fldCharType="begin"/>
      </w:r>
      <w:r>
        <w:instrText>xe "</w:instrText>
      </w:r>
      <w:r>
        <w:rPr>
          <w:rStyle w:val="xeentry"/>
        </w:rPr>
        <w:instrText>rafsi space</w:instrText>
      </w:r>
      <w:r>
        <w:instrText>"</w:instrText>
      </w:r>
      <w:r>
        <w:rPr>
          <w:rStyle w:val="indexentry"/>
        </w:rPr>
        <w:fldChar w:fldCharType="end"/>
      </w:r>
      <w:r>
        <w:rPr>
          <w:rStyle w:val="indexentry"/>
        </w:rPr>
        <w:t>&lt;cx "rafsi, rationale for assignments of"&gt;</w:t>
      </w:r>
      <w:r>
        <w:rPr>
          <w:rStyle w:val="indexentry"/>
        </w:rPr>
        <w:fldChar w:fldCharType="begin"/>
      </w:r>
      <w:r>
        <w:instrText>xe "</w:instrText>
      </w:r>
      <w:r>
        <w:rPr>
          <w:rStyle w:val="xeentry"/>
        </w:rPr>
        <w:instrText>rafsi: rationale for assignments of</w:instrText>
      </w:r>
      <w:r>
        <w:instrText>"</w:instrText>
      </w:r>
      <w:r>
        <w:rPr>
          <w:rStyle w:val="indexentry"/>
        </w:rPr>
        <w:fldChar w:fldCharType="end"/>
      </w:r>
      <w:r>
        <w:t>The intention was to use the available “rafsi space” — the set of all</w:t>
      </w:r>
      <w:r>
        <w:rPr>
          <w:rStyle w:val="deletedparamark"/>
        </w:rPr>
        <w:t xml:space="preserve"> </w:t>
      </w:r>
      <w:r>
        <w:t>possible short rafsi forms — in the most efficient way possible; the</w:t>
      </w:r>
      <w:r>
        <w:rPr>
          <w:rStyle w:val="deletedparamark"/>
        </w:rPr>
        <w:t xml:space="preserve"> </w:t>
      </w:r>
      <w:r>
        <w:t>goal is to make the most-used lujvo as short as possible (thus maximizing</w:t>
      </w:r>
      <w:r>
        <w:rPr>
          <w:rStyle w:val="deletedparamark"/>
        </w:rPr>
        <w:t xml:space="preserve"> </w:t>
      </w:r>
      <w:r>
        <w:t>the use of short rafsi), while keeping the rafsi very recog</w:t>
      </w:r>
      <w:r>
        <w:softHyphen/>
        <w:t>nizable to</w:t>
      </w:r>
      <w:r>
        <w:rPr>
          <w:rStyle w:val="deletedparamark"/>
        </w:rPr>
        <w:t xml:space="preserve"> </w:t>
      </w:r>
      <w:r>
        <w:t>anyone who knows the source gismu. For this reason, the letters in a</w:t>
      </w:r>
      <w:r>
        <w:rPr>
          <w:rStyle w:val="deletedparamark"/>
        </w:rPr>
        <w:t xml:space="preserve"> </w:t>
      </w:r>
      <w:r>
        <w:t>rafsi have always been chosen from among the five letters of the</w:t>
      </w:r>
      <w:r>
        <w:rPr>
          <w:rStyle w:val="deletedparamark"/>
        </w:rPr>
        <w:t xml:space="preserve"> </w:t>
      </w:r>
      <w:r>
        <w:t>corre</w:t>
      </w:r>
      <w:r>
        <w:softHyphen/>
        <w:t>sponding gismu. As a result, there are a limited set of short rafsi</w:t>
      </w:r>
      <w:r>
        <w:rPr>
          <w:rStyle w:val="deletedparamark"/>
        </w:rPr>
        <w:t xml:space="preserve"> </w:t>
      </w:r>
      <w:r>
        <w:t>available for assign</w:t>
      </w:r>
      <w:r>
        <w:softHyphen/>
        <w:t>ment to each gismu. At most seven possible short rafsi</w:t>
      </w:r>
      <w:r>
        <w:rPr>
          <w:rStyle w:val="deletedparamark"/>
        </w:rPr>
        <w:t xml:space="preserve"> </w:t>
      </w:r>
      <w:r>
        <w:t>are available for consideration (of which at most three can be used, as</w:t>
      </w:r>
      <w:r>
        <w:rPr>
          <w:rStyle w:val="deletedparamark"/>
        </w:rPr>
        <w:t xml:space="preserve"> </w:t>
      </w:r>
      <w:r>
        <w:t>explained above).</w:t>
      </w:r>
    </w:p>
    <w:p w:rsidR="00B72047" w:rsidRDefault="00B72047">
      <w:pPr>
        <w:rPr>
          <w:rStyle w:val="htmlparacode"/>
        </w:rPr>
      </w:pPr>
      <w:r>
        <w:rPr>
          <w:rStyle w:val="htmlparacode"/>
        </w:rPr>
        <w:t>&lt;p&gt;</w:t>
      </w:r>
    </w:p>
    <w:p w:rsidR="00B72047" w:rsidRDefault="00B72047">
      <w:pPr>
        <w:pStyle w:val="normalparagraph"/>
      </w:pPr>
      <w:r>
        <w:rPr>
          <w:rStyle w:val="indexentry"/>
        </w:rPr>
        <w:t>&lt;cx "rafsi, possible forms for construction of"&gt;</w:t>
      </w:r>
      <w:r>
        <w:rPr>
          <w:rStyle w:val="indexentry"/>
        </w:rPr>
        <w:fldChar w:fldCharType="begin"/>
      </w:r>
      <w:r>
        <w:instrText>xe "</w:instrText>
      </w:r>
      <w:r>
        <w:rPr>
          <w:rStyle w:val="xeentry"/>
        </w:rPr>
        <w:instrText>rafsi: possible forms for construction of</w:instrText>
      </w:r>
      <w:r>
        <w:instrText>"</w:instrText>
      </w:r>
      <w:r>
        <w:rPr>
          <w:rStyle w:val="indexentry"/>
        </w:rPr>
        <w:fldChar w:fldCharType="end"/>
      </w:r>
      <w:r>
        <w:t>Here are the only short rafsi forms that can possibly exist for gismu of the</w:t>
      </w:r>
      <w:r>
        <w:rPr>
          <w:rStyle w:val="deletedparamark"/>
        </w:rPr>
        <w:t xml:space="preserve"> </w:t>
      </w:r>
      <w:r>
        <w:t>form CVC/CV, like “sakli”. The digits in the second col</w:t>
      </w:r>
      <w:r>
        <w:softHyphen/>
        <w:t>umn represent the</w:t>
      </w:r>
      <w:r>
        <w:rPr>
          <w:rStyle w:val="deletedparamark"/>
        </w:rPr>
        <w:t xml:space="preserve"> </w:t>
      </w:r>
      <w:r>
        <w:t>gismu letters used to form the rafsi.</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CVC</w:t>
      </w:r>
      <w:r>
        <w:tab/>
        <w:t>123</w:t>
      </w:r>
      <w:r>
        <w:tab/>
        <w:t>-sak-</w:t>
      </w:r>
    </w:p>
    <w:p w:rsidR="00B72047" w:rsidRDefault="00B72047">
      <w:pPr>
        <w:pStyle w:val="exampwidetabs"/>
        <w:spacing w:line="220" w:lineRule="exact"/>
      </w:pPr>
      <w:r>
        <w:tab/>
        <w:t>CVC</w:t>
      </w:r>
      <w:r>
        <w:tab/>
        <w:t>124</w:t>
      </w:r>
      <w:r>
        <w:tab/>
        <w:t>-sal-</w:t>
      </w:r>
    </w:p>
    <w:p w:rsidR="00B72047" w:rsidRDefault="00B72047">
      <w:pPr>
        <w:pStyle w:val="exampwidetabs"/>
        <w:spacing w:line="220" w:lineRule="exact"/>
      </w:pPr>
      <w:r>
        <w:tab/>
        <w:t>CVV</w:t>
      </w:r>
      <w:r>
        <w:tab/>
        <w:t>12'5</w:t>
      </w:r>
      <w:r>
        <w:tab/>
        <w:t>-sa'i-</w:t>
      </w:r>
    </w:p>
    <w:p w:rsidR="00B72047" w:rsidRDefault="00B72047">
      <w:pPr>
        <w:pStyle w:val="exampwidetabs"/>
        <w:spacing w:line="220" w:lineRule="exact"/>
      </w:pPr>
      <w:r>
        <w:tab/>
        <w:t>CVV</w:t>
      </w:r>
      <w:r>
        <w:tab/>
        <w:t>125</w:t>
      </w:r>
      <w:r>
        <w:tab/>
        <w:t>-sai-</w:t>
      </w:r>
    </w:p>
    <w:p w:rsidR="00B72047" w:rsidRDefault="00B72047">
      <w:pPr>
        <w:pStyle w:val="exampwidetabs"/>
        <w:spacing w:line="220" w:lineRule="exact"/>
      </w:pPr>
      <w:r>
        <w:tab/>
        <w:t>CCV</w:t>
      </w:r>
      <w:r>
        <w:tab/>
        <w:t>345</w:t>
      </w:r>
      <w:r>
        <w:tab/>
        <w:t>-kli-</w:t>
      </w:r>
    </w:p>
    <w:p w:rsidR="00B72047" w:rsidRDefault="00B72047">
      <w:pPr>
        <w:pStyle w:val="exampwidetabs"/>
        <w:spacing w:line="220" w:lineRule="exact"/>
      </w:pPr>
      <w:r>
        <w:tab/>
        <w:t>CCV</w:t>
      </w:r>
      <w:r>
        <w:tab/>
        <w:t>132</w:t>
      </w:r>
      <w:r>
        <w:tab/>
        <w:t>-ska-</w:t>
      </w:r>
    </w:p>
    <w:p w:rsidR="00B72047" w:rsidRDefault="00B72047">
      <w:pPr>
        <w:pStyle w:val="resumedafterexample"/>
      </w:pPr>
      <w:r>
        <w:rPr>
          <w:rStyle w:val="htmlcodes"/>
        </w:rPr>
        <w:t>&lt;/pre&gt;</w:t>
      </w:r>
      <w:r>
        <w:t>(The only actual short rafsi for “sakli” is “-sal-”.)</w:t>
      </w:r>
    </w:p>
    <w:p w:rsidR="00B72047" w:rsidRDefault="00B72047">
      <w:pPr>
        <w:rPr>
          <w:rStyle w:val="htmlparacode"/>
        </w:rPr>
      </w:pPr>
      <w:r>
        <w:rPr>
          <w:rStyle w:val="htmlparacode"/>
        </w:rPr>
        <w:t>&lt;p&gt;</w:t>
      </w:r>
    </w:p>
    <w:p w:rsidR="00B72047" w:rsidRDefault="00B72047">
      <w:pPr>
        <w:pStyle w:val="normalparagraph"/>
      </w:pPr>
      <w:r>
        <w:t>For gismu of the form CCVCV, like “blaci”, the only short rafsi forms that</w:t>
      </w:r>
      <w:r>
        <w:rPr>
          <w:rStyle w:val="deletedparamark"/>
        </w:rPr>
        <w:t xml:space="preserve"> </w:t>
      </w:r>
      <w:r>
        <w:t>can exist are:</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CVC</w:t>
      </w:r>
      <w:r>
        <w:tab/>
        <w:t>134</w:t>
      </w:r>
      <w:r>
        <w:tab/>
        <w:t>-bac-</w:t>
      </w:r>
    </w:p>
    <w:p w:rsidR="00B72047" w:rsidRDefault="00B72047">
      <w:pPr>
        <w:pStyle w:val="exampwidetabs"/>
        <w:spacing w:line="220" w:lineRule="exact"/>
      </w:pPr>
      <w:r>
        <w:tab/>
        <w:t>CVC</w:t>
      </w:r>
      <w:r>
        <w:tab/>
        <w:t>234</w:t>
      </w:r>
      <w:r>
        <w:tab/>
        <w:t>-lac</w:t>
      </w:r>
    </w:p>
    <w:p w:rsidR="00B72047" w:rsidRDefault="00B72047">
      <w:pPr>
        <w:pStyle w:val="exampwidetabs"/>
        <w:spacing w:line="220" w:lineRule="exact"/>
      </w:pPr>
      <w:r>
        <w:tab/>
        <w:t>CVV</w:t>
      </w:r>
      <w:r>
        <w:tab/>
        <w:t>13'5</w:t>
      </w:r>
      <w:r>
        <w:tab/>
        <w:t>-ba'i-</w:t>
      </w:r>
    </w:p>
    <w:p w:rsidR="00B72047" w:rsidRDefault="00B72047">
      <w:pPr>
        <w:pStyle w:val="exampwidetabs"/>
        <w:spacing w:line="220" w:lineRule="exact"/>
      </w:pPr>
      <w:r>
        <w:tab/>
        <w:t>CVV</w:t>
      </w:r>
      <w:r>
        <w:tab/>
        <w:t>135</w:t>
      </w:r>
      <w:r>
        <w:tab/>
        <w:t>-bai-</w:t>
      </w:r>
    </w:p>
    <w:p w:rsidR="00B72047" w:rsidRDefault="00B72047">
      <w:pPr>
        <w:pStyle w:val="exampwidetabs"/>
        <w:spacing w:line="220" w:lineRule="exact"/>
      </w:pPr>
      <w:r>
        <w:tab/>
        <w:t>CVV</w:t>
      </w:r>
      <w:r>
        <w:tab/>
        <w:t>23'5</w:t>
      </w:r>
      <w:r>
        <w:tab/>
        <w:t>-la'i-</w:t>
      </w:r>
    </w:p>
    <w:p w:rsidR="00B72047" w:rsidRDefault="00B72047">
      <w:pPr>
        <w:pStyle w:val="exampwidetabs"/>
        <w:spacing w:line="220" w:lineRule="exact"/>
      </w:pPr>
      <w:r>
        <w:tab/>
        <w:t>CVV</w:t>
      </w:r>
      <w:r>
        <w:tab/>
        <w:t>235</w:t>
      </w:r>
      <w:r>
        <w:tab/>
        <w:t>-lai-</w:t>
      </w:r>
    </w:p>
    <w:p w:rsidR="00B72047" w:rsidRDefault="00B72047">
      <w:pPr>
        <w:pStyle w:val="exampwidetabs"/>
        <w:spacing w:line="220" w:lineRule="exact"/>
      </w:pPr>
      <w:r>
        <w:tab/>
        <w:t>CCV</w:t>
      </w:r>
      <w:r>
        <w:tab/>
        <w:t>123</w:t>
      </w:r>
      <w:r>
        <w:tab/>
        <w:t>-bla-</w:t>
      </w:r>
    </w:p>
    <w:p w:rsidR="00B72047" w:rsidRDefault="00B72047">
      <w:pPr>
        <w:pStyle w:val="resumedafterexample"/>
      </w:pPr>
      <w:r>
        <w:rPr>
          <w:rStyle w:val="htmlcodes"/>
        </w:rPr>
        <w:t>&lt;/pre&gt;</w:t>
      </w:r>
      <w:r>
        <w:rPr>
          <w:rStyle w:val="indexentry"/>
        </w:rPr>
        <w:t>&lt;cx "rafsi assignments, non-reassignability of"&gt;</w:t>
      </w:r>
      <w:r>
        <w:rPr>
          <w:rStyle w:val="indexentry"/>
        </w:rPr>
        <w:fldChar w:fldCharType="begin"/>
      </w:r>
      <w:r>
        <w:instrText>xe "</w:instrText>
      </w:r>
      <w:r>
        <w:rPr>
          <w:rStyle w:val="xeentry"/>
        </w:rPr>
        <w:instrText>rafsi assignments: non-reassignability of</w:instrText>
      </w:r>
      <w:r>
        <w:instrText>"</w:instrText>
      </w:r>
      <w:r>
        <w:rPr>
          <w:rStyle w:val="indexentry"/>
        </w:rPr>
        <w:fldChar w:fldCharType="end"/>
      </w:r>
      <w:r>
        <w:t>(In fact, “blaci” has none of these short rafsi; they are all assigned to</w:t>
      </w:r>
      <w:r>
        <w:rPr>
          <w:rStyle w:val="deletedparamark"/>
        </w:rPr>
        <w:t xml:space="preserve"> </w:t>
      </w:r>
      <w:r>
        <w:t>other gismu. Loj</w:t>
      </w:r>
      <w:r>
        <w:softHyphen/>
        <w:t>ban speakers are not free to reassign any of the rafsi;</w:t>
      </w:r>
      <w:r>
        <w:rPr>
          <w:rStyle w:val="deletedparamark"/>
        </w:rPr>
        <w:t xml:space="preserve"> </w:t>
      </w:r>
      <w:r>
        <w:t>the tables shown here are to help under</w:t>
      </w:r>
      <w:r>
        <w:softHyphen/>
        <w:t>stand how the rafsi were cho</w:t>
      </w:r>
      <w:r>
        <w:softHyphen/>
        <w:t>sen</w:t>
      </w:r>
      <w:r>
        <w:rPr>
          <w:rStyle w:val="deletedparamark"/>
        </w:rPr>
        <w:t xml:space="preserve"> </w:t>
      </w:r>
      <w:r>
        <w:t>in the first place.)</w:t>
      </w:r>
    </w:p>
    <w:p w:rsidR="00B72047" w:rsidRDefault="00B72047">
      <w:pPr>
        <w:rPr>
          <w:rStyle w:val="htmlparacode"/>
        </w:rPr>
      </w:pPr>
      <w:r>
        <w:rPr>
          <w:rStyle w:val="htmlparacode"/>
        </w:rPr>
        <w:t>&lt;p&gt;</w:t>
      </w:r>
    </w:p>
    <w:p w:rsidR="00B72047" w:rsidRDefault="00B72047">
      <w:pPr>
        <w:pStyle w:val="normalparagraph"/>
      </w:pPr>
      <w:r>
        <w:rPr>
          <w:rStyle w:val="indexentry"/>
        </w:rPr>
        <w:t>&lt;cx "rafsi, considerations restricting construction of"&gt;</w:t>
      </w:r>
      <w:r>
        <w:rPr>
          <w:rStyle w:val="indexentry"/>
        </w:rPr>
        <w:fldChar w:fldCharType="begin"/>
      </w:r>
      <w:r>
        <w:instrText>xe "</w:instrText>
      </w:r>
      <w:r>
        <w:rPr>
          <w:rStyle w:val="xeentry"/>
        </w:rPr>
        <w:instrText>rafsi: considerations restricting construction of</w:instrText>
      </w:r>
      <w:r>
        <w:instrText>"</w:instrText>
      </w:r>
      <w:r>
        <w:rPr>
          <w:rStyle w:val="indexentry"/>
        </w:rPr>
        <w:fldChar w:fldCharType="end"/>
      </w:r>
      <w:r>
        <w:t>There are a few restrictions: a CVV-form rafsi without an apostrophe cannot</w:t>
      </w:r>
      <w:r>
        <w:rPr>
          <w:rStyle w:val="deletedparamark"/>
        </w:rPr>
        <w:t xml:space="preserve"> </w:t>
      </w:r>
      <w:r>
        <w:t>exist unless the vowels make up one of the four diphthongs “ai”, “ei”, “oi”,</w:t>
      </w:r>
      <w:r>
        <w:rPr>
          <w:rStyle w:val="deletedparamark"/>
        </w:rPr>
        <w:t xml:space="preserve"> </w:t>
      </w:r>
      <w:r>
        <w:t>or “au”; and a CCV-form rafsi is possible only if the two consonants form a</w:t>
      </w:r>
      <w:r>
        <w:rPr>
          <w:rStyle w:val="deletedparamark"/>
        </w:rPr>
        <w:t xml:space="preserve"> </w:t>
      </w:r>
      <w:r>
        <w:t>permissible initial con</w:t>
      </w:r>
      <w:r>
        <w:softHyphen/>
        <w:t>so</w:t>
      </w:r>
      <w:r>
        <w:softHyphen/>
        <w:t xml:space="preserve">nant pair (see </w:t>
      </w:r>
      <w:r>
        <w:rPr>
          <w:rStyle w:val="htmlcodes"/>
        </w:rPr>
        <w:t>&lt;a href=#s1&gt;</w:t>
      </w:r>
      <w:r>
        <w:t>Section 1</w:t>
      </w:r>
      <w:r>
        <w:rPr>
          <w:rStyle w:val="htmlcodes"/>
        </w:rPr>
        <w:t>&lt;/a&gt;</w:t>
      </w:r>
      <w:r>
        <w:t>). Thus “mamta”, which</w:t>
      </w:r>
      <w:r>
        <w:rPr>
          <w:rStyle w:val="deletedparamark"/>
        </w:rPr>
        <w:t xml:space="preserve"> </w:t>
      </w:r>
      <w:r>
        <w:t>has the same form as “salci”, can only have “mam”, “mat”, and “ma'a”</w:t>
      </w:r>
      <w:r>
        <w:rPr>
          <w:rStyle w:val="deletedparamark"/>
        </w:rPr>
        <w:t xml:space="preserve"> </w:t>
      </w:r>
      <w:r>
        <w:t>as possible rafsi: in fact, only “mam” is assigned to it.</w:t>
      </w:r>
    </w:p>
    <w:p w:rsidR="00B72047" w:rsidRDefault="00B72047">
      <w:pPr>
        <w:rPr>
          <w:rStyle w:val="htmlparacode"/>
        </w:rPr>
      </w:pPr>
      <w:r>
        <w:rPr>
          <w:rStyle w:val="htmlparacode"/>
        </w:rPr>
        <w:t>&lt;p&gt;</w:t>
      </w:r>
    </w:p>
    <w:p w:rsidR="00B72047" w:rsidRDefault="00B72047">
      <w:pPr>
        <w:pStyle w:val="normalparagraph"/>
      </w:pPr>
      <w:r>
        <w:rPr>
          <w:rStyle w:val="indexentry"/>
        </w:rPr>
        <w:t>&lt;cx "rafsi for numbers"&gt;</w:t>
      </w:r>
      <w:r>
        <w:rPr>
          <w:rStyle w:val="indexentry"/>
        </w:rPr>
        <w:fldChar w:fldCharType="begin"/>
      </w:r>
      <w:r>
        <w:instrText>xe "</w:instrText>
      </w:r>
      <w:r>
        <w:rPr>
          <w:rStyle w:val="xeentry"/>
        </w:rPr>
        <w:instrText>rafsi for numbers</w:instrText>
      </w:r>
      <w:r>
        <w:instrText>"</w:instrText>
      </w:r>
      <w:r>
        <w:rPr>
          <w:rStyle w:val="indexentry"/>
        </w:rPr>
        <w:fldChar w:fldCharType="end"/>
      </w:r>
      <w:r>
        <w:rPr>
          <w:rStyle w:val="indexentry"/>
        </w:rPr>
        <w:t>&lt;cx "numbers, rafsi for"&gt;</w:t>
      </w:r>
      <w:r>
        <w:rPr>
          <w:rStyle w:val="indexentry"/>
        </w:rPr>
        <w:fldChar w:fldCharType="begin"/>
      </w:r>
      <w:r>
        <w:instrText>xe "</w:instrText>
      </w:r>
      <w:r>
        <w:rPr>
          <w:rStyle w:val="xeentry"/>
        </w:rPr>
        <w:instrText>numbers: rafsi for</w:instrText>
      </w:r>
      <w:r>
        <w:instrText>"</w:instrText>
      </w:r>
      <w:r>
        <w:rPr>
          <w:rStyle w:val="indexentry"/>
        </w:rPr>
        <w:fldChar w:fldCharType="end"/>
      </w:r>
      <w:r>
        <w:t>Some cmavo also have associated rafsi, usually CVC-form. For example, the</w:t>
      </w:r>
      <w:r>
        <w:rPr>
          <w:rStyle w:val="deletedparamark"/>
        </w:rPr>
        <w:t xml:space="preserve"> </w:t>
      </w:r>
      <w:r>
        <w:t>ten common numerical digits, which are all CV form cmavo, each have a</w:t>
      </w:r>
      <w:r>
        <w:rPr>
          <w:rStyle w:val="deletedparamark"/>
        </w:rPr>
        <w:t xml:space="preserve"> </w:t>
      </w:r>
      <w:r>
        <w:t>CVC-form rafsi formed by adding a consonant to the cmavo. Most cmavo</w:t>
      </w:r>
      <w:r>
        <w:rPr>
          <w:rStyle w:val="deletedparamark"/>
        </w:rPr>
        <w:t xml:space="preserve"> </w:t>
      </w:r>
      <w:r>
        <w:t>that have rafsi are ones used in composing tanru (for a complete list,</w:t>
      </w:r>
      <w:r>
        <w:rPr>
          <w:rStyle w:val="deletedparamark"/>
        </w:rPr>
        <w:t xml:space="preserve"> </w:t>
      </w:r>
      <w:r>
        <w:t xml:space="preserve">see </w:t>
      </w:r>
      <w:r>
        <w:rPr>
          <w:rStyle w:val="htmlcodes"/>
        </w:rPr>
        <w:t>&lt;a href=chap12.html&gt;</w:t>
      </w:r>
      <w:r>
        <w:t>Chapter 12</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"lujvo, fully reduced"&gt;</w:t>
      </w:r>
      <w:r>
        <w:rPr>
          <w:rStyle w:val="indexentry"/>
        </w:rPr>
        <w:fldChar w:fldCharType="begin"/>
      </w:r>
      <w:r>
        <w:instrText>xe "</w:instrText>
      </w:r>
      <w:r>
        <w:rPr>
          <w:rStyle w:val="xeentry"/>
        </w:rPr>
        <w:instrText>lujvo: fully reduced</w:instrText>
      </w:r>
      <w:r>
        <w:instrText>"</w:instrText>
      </w:r>
      <w:r>
        <w:rPr>
          <w:rStyle w:val="indexentry"/>
        </w:rPr>
        <w:fldChar w:fldCharType="end"/>
      </w:r>
      <w:r>
        <w:rPr>
          <w:rStyle w:val="indexentry"/>
        </w:rPr>
        <w:t>&lt;cx "fully reduced lujvo, definition"&gt;</w:t>
      </w:r>
      <w:r>
        <w:rPr>
          <w:rStyle w:val="indexentry"/>
        </w:rPr>
        <w:fldChar w:fldCharType="begin"/>
      </w:r>
      <w:r>
        <w:instrText>xe "</w:instrText>
      </w:r>
      <w:r>
        <w:rPr>
          <w:rStyle w:val="xeentry"/>
        </w:rPr>
        <w:instrText>fully reduced lujvo: definition</w:instrText>
      </w:r>
      <w:r>
        <w:instrText>"</w:instrText>
      </w:r>
      <w:r>
        <w:rPr>
          <w:rStyle w:val="indexentry"/>
        </w:rPr>
        <w:fldChar w:fldCharType="end"/>
      </w:r>
      <w:r>
        <w:t>The term for a lujvo made up solely of short rafsi is “fully re</w:t>
      </w:r>
      <w:r>
        <w:softHyphen/>
        <w:t>duced</w:t>
      </w:r>
      <w:r>
        <w:rPr>
          <w:rStyle w:val="deletedparamark"/>
        </w:rPr>
        <w:t xml:space="preserve"> </w:t>
      </w:r>
      <w:r>
        <w:t>lujvo”. Here are some examples of fully reduced lujvo: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cumfri</w:t>
      </w:r>
    </w:p>
    <w:p w:rsidR="00B72047" w:rsidRDefault="00B72047">
      <w:pPr>
        <w:pStyle w:val="examplescaled"/>
      </w:pPr>
      <w:r>
        <w:tab/>
        <w:t>from “cumki lifri”</w:t>
      </w:r>
    </w:p>
    <w:p w:rsidR="00B72047" w:rsidRDefault="00B72047">
      <w:pPr>
        <w:pStyle w:val="examplescaled"/>
      </w:pPr>
      <w:r>
        <w:tab/>
        <w:t>“possible experience”</w:t>
      </w:r>
    </w:p>
    <w:p w:rsidR="00B72047" w:rsidRDefault="00B72047">
      <w:pPr>
        <w:pStyle w:val="examplescaledpre"/>
      </w:pPr>
      <w:r>
        <w:rPr>
          <w:rStyle w:val="htmlcodes"/>
        </w:rPr>
        <w:t>&lt;a name=e6d7&gt;</w:t>
      </w:r>
      <w:r>
        <w:t>6.7)</w:t>
      </w:r>
      <w:r>
        <w:tab/>
        <w:t>klezba</w:t>
      </w:r>
    </w:p>
    <w:p w:rsidR="00B72047" w:rsidRDefault="00B72047">
      <w:pPr>
        <w:pStyle w:val="examplescaled"/>
      </w:pPr>
      <w:r>
        <w:tab/>
        <w:t>from “klesi zbasu”</w:t>
      </w:r>
    </w:p>
    <w:p w:rsidR="00B72047" w:rsidRDefault="00B72047">
      <w:pPr>
        <w:pStyle w:val="examplescaled"/>
      </w:pPr>
      <w:r>
        <w:tab/>
        <w:t>“category make”</w:t>
      </w:r>
    </w:p>
    <w:p w:rsidR="00B72047" w:rsidRDefault="00B72047">
      <w:pPr>
        <w:pStyle w:val="examplescaledpre"/>
      </w:pPr>
      <w:r>
        <w:rPr>
          <w:rStyle w:val="htmlcodes"/>
        </w:rPr>
        <w:t>&lt;a name=e6d8&gt;</w:t>
      </w:r>
      <w:r>
        <w:t>6.8)</w:t>
      </w:r>
      <w:r>
        <w:tab/>
        <w:t>kixta'a</w:t>
      </w:r>
    </w:p>
    <w:p w:rsidR="00B72047" w:rsidRDefault="00B72047">
      <w:pPr>
        <w:pStyle w:val="examplescaled"/>
      </w:pPr>
      <w:r>
        <w:tab/>
        <w:t>from “krixa tavla”</w:t>
      </w:r>
    </w:p>
    <w:p w:rsidR="00B72047" w:rsidRDefault="00B72047">
      <w:pPr>
        <w:pStyle w:val="examplescaled"/>
      </w:pPr>
      <w:r>
        <w:tab/>
        <w:t>“cry-out talk”</w:t>
      </w:r>
    </w:p>
    <w:p w:rsidR="00B72047" w:rsidRDefault="00B72047">
      <w:pPr>
        <w:pStyle w:val="examplescaledpre"/>
      </w:pPr>
      <w:r>
        <w:rPr>
          <w:rStyle w:val="htmlcodes"/>
        </w:rPr>
        <w:t>&lt;a name=e6d9&gt;</w:t>
      </w:r>
      <w:r>
        <w:t>6.9)</w:t>
      </w:r>
      <w:r>
        <w:tab/>
        <w:t>sniju'o</w:t>
      </w:r>
    </w:p>
    <w:p w:rsidR="00B72047" w:rsidRDefault="00B72047">
      <w:pPr>
        <w:pStyle w:val="examplescaled"/>
      </w:pPr>
      <w:r>
        <w:tab/>
        <w:t>from “sinxa djuno”</w:t>
      </w:r>
    </w:p>
    <w:p w:rsidR="00B72047" w:rsidRDefault="00B72047">
      <w:pPr>
        <w:pStyle w:val="examplescaled"/>
      </w:pPr>
      <w:r>
        <w:tab/>
        <w:t>“sign know”</w:t>
      </w:r>
    </w:p>
    <w:p w:rsidR="00B72047" w:rsidRDefault="00B72047">
      <w:pPr>
        <w:pStyle w:val="resumedafterexample"/>
      </w:pPr>
      <w:r>
        <w:rPr>
          <w:rStyle w:val="htmlcodes"/>
        </w:rPr>
        <w:t>&lt;/pre&gt;&lt;p&gt;</w:t>
      </w:r>
      <w:r>
        <w:t>In addition, some of the unreduced forms in the previous example may be</w:t>
      </w:r>
      <w:r>
        <w:rPr>
          <w:rStyle w:val="deletedparamark"/>
        </w:rPr>
        <w:t xml:space="preserve"> </w:t>
      </w:r>
      <w:r>
        <w:t>fully reduced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name=e6d10&gt;</w:t>
      </w:r>
      <w:r>
        <w:t>6.10)</w:t>
      </w:r>
      <w:r>
        <w:tab/>
        <w:t>mampa'u</w:t>
      </w:r>
    </w:p>
    <w:p w:rsidR="00B72047" w:rsidRDefault="00B72047">
      <w:pPr>
        <w:pStyle w:val="examplescaled"/>
      </w:pPr>
      <w:r>
        <w:tab/>
        <w:t>from “mamta patfu”</w:t>
      </w:r>
    </w:p>
    <w:p w:rsidR="00B72047" w:rsidRDefault="00B72047">
      <w:pPr>
        <w:pStyle w:val="examplescaled"/>
      </w:pPr>
      <w:r>
        <w:tab/>
        <w:t>“mother father” or “maternal grandfather”</w:t>
      </w:r>
    </w:p>
    <w:p w:rsidR="00B72047" w:rsidRDefault="00B72047">
      <w:pPr>
        <w:pStyle w:val="examplescaledpre"/>
      </w:pPr>
      <w:r>
        <w:rPr>
          <w:rStyle w:val="htmlcodes"/>
        </w:rPr>
        <w:t>&lt;a name=e6d11&gt;</w:t>
      </w:r>
      <w:r>
        <w:t>6.11)</w:t>
      </w:r>
      <w:r>
        <w:tab/>
        <w:t>lerste</w:t>
      </w:r>
    </w:p>
    <w:p w:rsidR="00B72047" w:rsidRDefault="00B72047">
      <w:pPr>
        <w:pStyle w:val="examplescaled"/>
      </w:pPr>
      <w:r>
        <w:tab/>
        <w:t>from “lerfu liste”</w:t>
      </w:r>
    </w:p>
    <w:p w:rsidR="00B72047" w:rsidRDefault="00B72047">
      <w:pPr>
        <w:pStyle w:val="examplescaled"/>
      </w:pPr>
      <w:r>
        <w:tab/>
        <w:t>“letter list” or a “list of letters”</w:t>
      </w:r>
    </w:p>
    <w:p w:rsidR="00B72047" w:rsidRDefault="00B72047">
      <w:pPr>
        <w:pStyle w:val="resumedafterexample"/>
      </w:pPr>
      <w:r>
        <w:rPr>
          <w:rStyle w:val="htmlcodes"/>
        </w:rPr>
        <w:t>&lt;/pre&gt;</w:t>
      </w:r>
      <w:r>
        <w:rPr>
          <w:rStyle w:val="indexentry"/>
        </w:rPr>
        <w:t>&lt;cx "lujvo, summary of form characteristics"&gt;</w:t>
      </w:r>
      <w:r>
        <w:rPr>
          <w:rStyle w:val="indexentry"/>
        </w:rPr>
        <w:fldChar w:fldCharType="begin"/>
      </w:r>
      <w:r>
        <w:instrText>xe "</w:instrText>
      </w:r>
      <w:r>
        <w:rPr>
          <w:rStyle w:val="xeentry"/>
        </w:rPr>
        <w:instrText>lujvo: summary of form characteristics</w:instrText>
      </w:r>
      <w:r>
        <w:instrText>"</w:instrText>
      </w:r>
      <w:r>
        <w:rPr>
          <w:rStyle w:val="indexentry"/>
        </w:rPr>
        <w:fldChar w:fldCharType="end"/>
      </w:r>
      <w:r>
        <w:rPr>
          <w:rStyle w:val="indexentry"/>
        </w:rPr>
        <w:t>&lt;cx "lujvo form, final letter of"&gt;</w:t>
      </w:r>
      <w:r>
        <w:rPr>
          <w:rStyle w:val="indexentry"/>
        </w:rPr>
        <w:fldChar w:fldCharType="begin"/>
      </w:r>
      <w:r>
        <w:instrText>xe "</w:instrText>
      </w:r>
      <w:r>
        <w:rPr>
          <w:rStyle w:val="xeentry"/>
        </w:rPr>
        <w:instrText>lujvo form: final letter of</w:instrText>
      </w:r>
      <w:r>
        <w:instrText>"</w:instrText>
      </w:r>
      <w:r>
        <w:rPr>
          <w:rStyle w:val="indexentry"/>
        </w:rPr>
        <w:fldChar w:fldCharType="end"/>
      </w:r>
      <w:r>
        <w:rPr>
          <w:rStyle w:val="indexentry"/>
        </w:rPr>
        <w:t>&lt;cx "lujvo form, consonant cluster requirement in"&gt;</w:t>
      </w:r>
      <w:r>
        <w:rPr>
          <w:rStyle w:val="indexentry"/>
        </w:rPr>
        <w:fldChar w:fldCharType="begin"/>
      </w:r>
      <w:r>
        <w:instrText>xe "</w:instrText>
      </w:r>
      <w:r>
        <w:rPr>
          <w:rStyle w:val="xeentry"/>
        </w:rPr>
        <w:instrText>lujvo form: consonant cluster requirement in</w:instrText>
      </w:r>
      <w:r>
        <w:instrText>"</w:instrText>
      </w:r>
      <w:r>
        <w:rPr>
          <w:rStyle w:val="indexentry"/>
        </w:rPr>
        <w:fldChar w:fldCharType="end"/>
      </w:r>
      <w:r>
        <w:rPr>
          <w:rStyle w:val="indexentry"/>
        </w:rPr>
        <w:t>&lt;cx "lujvo form, number of letters in"&gt;</w:t>
      </w:r>
      <w:r>
        <w:rPr>
          <w:rStyle w:val="indexentry"/>
        </w:rPr>
        <w:fldChar w:fldCharType="begin"/>
      </w:r>
      <w:r>
        <w:instrText>xe "</w:instrText>
      </w:r>
      <w:r>
        <w:rPr>
          <w:rStyle w:val="xeentry"/>
        </w:rPr>
        <w:instrText>lujvo form: number of letters in</w:instrText>
      </w:r>
      <w:r>
        <w:instrText>"</w:instrText>
      </w:r>
      <w:r>
        <w:rPr>
          <w:rStyle w:val="indexentry"/>
        </w:rPr>
        <w:fldChar w:fldCharType="end"/>
      </w:r>
      <w:r>
        <w:rPr>
          <w:rStyle w:val="indexentry"/>
        </w:rPr>
        <w:t>&lt;cx "lujvo, recognizing"&gt;</w:t>
      </w:r>
      <w:r>
        <w:rPr>
          <w:rStyle w:val="indexentry"/>
        </w:rPr>
        <w:fldChar w:fldCharType="begin"/>
      </w:r>
      <w:r>
        <w:instrText>xe "</w:instrText>
      </w:r>
      <w:r>
        <w:rPr>
          <w:rStyle w:val="xeentry"/>
        </w:rPr>
        <w:instrText>lujvo: recognizing</w:instrText>
      </w:r>
      <w:r>
        <w:instrText>"</w:instrText>
      </w:r>
      <w:r>
        <w:rPr>
          <w:rStyle w:val="indexentry"/>
        </w:rPr>
        <w:fldChar w:fldCharType="end"/>
      </w:r>
      <w:r>
        <w:t>As noted above, CVC-form rafsi cannot appear as the final rafsi in a lujvo,</w:t>
      </w:r>
      <w:r>
        <w:rPr>
          <w:rStyle w:val="deletedparamark"/>
        </w:rPr>
        <w:t xml:space="preserve"> </w:t>
      </w:r>
      <w:r>
        <w:t>because all lujvo must end with one or two vowels. As a brivla, a lujvo must</w:t>
      </w:r>
      <w:r>
        <w:rPr>
          <w:rStyle w:val="deletedparamark"/>
        </w:rPr>
        <w:t xml:space="preserve"> </w:t>
      </w:r>
      <w:r>
        <w:t>also contain a conso</w:t>
      </w:r>
      <w:r>
        <w:softHyphen/>
        <w:t>nant cluster within the first five let</w:t>
      </w:r>
      <w:r>
        <w:softHyphen/>
        <w:t>ters — this</w:t>
      </w:r>
      <w:r>
        <w:rPr>
          <w:rStyle w:val="deletedparamark"/>
        </w:rPr>
        <w:t xml:space="preserve"> </w:t>
      </w:r>
      <w:r>
        <w:t>ensures that they cannot be mistaken for com</w:t>
      </w:r>
      <w:r>
        <w:softHyphen/>
        <w:t>pound cmavo. Of course, all</w:t>
      </w:r>
      <w:r>
        <w:rPr>
          <w:rStyle w:val="deletedparamark"/>
        </w:rPr>
        <w:t xml:space="preserve"> </w:t>
      </w:r>
      <w:r>
        <w:t>lujvo have at least six letters since they have two or more rafsi, each</w:t>
      </w:r>
      <w:r>
        <w:rPr>
          <w:rStyle w:val="deletedparamark"/>
        </w:rPr>
        <w:t xml:space="preserve"> </w:t>
      </w:r>
      <w:r>
        <w:t>at least three letters long; hence they cannot be confused with gismu.</w:t>
      </w:r>
    </w:p>
    <w:p w:rsidR="00B72047" w:rsidRDefault="00B72047">
      <w:pPr>
        <w:rPr>
          <w:rStyle w:val="htmlparacode"/>
        </w:rPr>
      </w:pPr>
      <w:r>
        <w:rPr>
          <w:rStyle w:val="htmlparacode"/>
        </w:rPr>
        <w:t>&lt;p&gt;</w:t>
      </w:r>
    </w:p>
    <w:p w:rsidR="00B72047" w:rsidRDefault="00B72047">
      <w:pPr>
        <w:pStyle w:val="normalparagraph"/>
      </w:pPr>
      <w:r>
        <w:rPr>
          <w:rStyle w:val="indexentry"/>
        </w:rPr>
        <w:t>&lt;cx "hyphens, use of"&gt;</w:t>
      </w:r>
      <w:r>
        <w:rPr>
          <w:rStyle w:val="indexentry"/>
        </w:rPr>
        <w:fldChar w:fldCharType="begin"/>
      </w:r>
      <w:r>
        <w:instrText>xe "</w:instrText>
      </w:r>
      <w:r>
        <w:rPr>
          <w:rStyle w:val="xeentry"/>
        </w:rPr>
        <w:instrText>hyphens: use of</w:instrText>
      </w:r>
      <w:r>
        <w:instrText>"</w:instrText>
      </w:r>
      <w:r>
        <w:rPr>
          <w:rStyle w:val="indexentry"/>
        </w:rPr>
        <w:fldChar w:fldCharType="end"/>
      </w:r>
      <w:r>
        <w:rPr>
          <w:rStyle w:val="indexentry"/>
        </w:rPr>
        <w:t>&lt;cx "hyphen letter, definition"&gt;</w:t>
      </w:r>
      <w:r>
        <w:rPr>
          <w:rStyle w:val="indexentry"/>
        </w:rPr>
        <w:fldChar w:fldCharType="begin"/>
      </w:r>
      <w:r>
        <w:instrText>xe "</w:instrText>
      </w:r>
      <w:r>
        <w:rPr>
          <w:rStyle w:val="xeentry"/>
        </w:rPr>
        <w:instrText>hyphen letter: definition</w:instrText>
      </w:r>
      <w:r>
        <w:instrText>"</w:instrText>
      </w:r>
      <w:r>
        <w:rPr>
          <w:rStyle w:val="indexentry"/>
        </w:rPr>
        <w:fldChar w:fldCharType="end"/>
      </w:r>
      <w:r>
        <w:rPr>
          <w:rStyle w:val="indexentry"/>
        </w:rPr>
        <w:t>&lt;cx "lujvo form, requirements for hyphen insertion in"&gt;</w:t>
      </w:r>
      <w:r>
        <w:rPr>
          <w:rStyle w:val="indexentry"/>
        </w:rPr>
        <w:fldChar w:fldCharType="begin"/>
      </w:r>
      <w:r>
        <w:instrText>xe "</w:instrText>
      </w:r>
      <w:r>
        <w:rPr>
          <w:rStyle w:val="xeentry"/>
        </w:rPr>
        <w:instrText>lujvo form: requirements for hyphen insertion in</w:instrText>
      </w:r>
      <w:r>
        <w:instrText>"</w:instrText>
      </w:r>
      <w:r>
        <w:rPr>
          <w:rStyle w:val="indexentry"/>
        </w:rPr>
        <w:fldChar w:fldCharType="end"/>
      </w:r>
      <w:r>
        <w:t>When attaching two rafsi together, it may be necessary to in</w:t>
      </w:r>
      <w:r>
        <w:softHyphen/>
        <w:t>sert a</w:t>
      </w:r>
      <w:r>
        <w:rPr>
          <w:rStyle w:val="deletedparamark"/>
        </w:rPr>
        <w:t xml:space="preserve"> </w:t>
      </w:r>
      <w:r>
        <w:t>hyphen let</w:t>
      </w:r>
      <w:r>
        <w:softHyphen/>
        <w:t>ter. In Lojban, the term “hyphen” always refers to a letter,</w:t>
      </w:r>
      <w:r>
        <w:rPr>
          <w:rStyle w:val="deletedparamark"/>
        </w:rPr>
        <w:t xml:space="preserve"> </w:t>
      </w:r>
      <w:r>
        <w:t>either the vowel “y” or one of the consonants “r” and “n”. (The letter</w:t>
      </w:r>
      <w:r>
        <w:rPr>
          <w:rStyle w:val="deletedparamark"/>
        </w:rPr>
        <w:t xml:space="preserve"> “</w:t>
      </w:r>
      <w:r>
        <w:t>l” can also be a hyphen, but is not used as one in luj</w:t>
      </w:r>
      <w:r>
        <w:softHyphen/>
        <w:t>vo.)</w:t>
      </w:r>
    </w:p>
    <w:p w:rsidR="00B72047" w:rsidRDefault="00B72047">
      <w:pPr>
        <w:rPr>
          <w:rStyle w:val="htmlparacode"/>
        </w:rPr>
      </w:pPr>
      <w:r>
        <w:rPr>
          <w:rStyle w:val="htmlparacode"/>
        </w:rPr>
        <w:t>&lt;p&gt;</w:t>
      </w:r>
    </w:p>
    <w:p w:rsidR="00B72047" w:rsidRDefault="00B72047">
      <w:pPr>
        <w:pStyle w:val="normalparagraph"/>
      </w:pPr>
      <w:r>
        <w:rPr>
          <w:rStyle w:val="indexentry"/>
        </w:rPr>
        <w:t>&lt;cx "lujvo form, requirements for “y”-hyphen insertion in"&gt;</w:t>
      </w:r>
      <w:r>
        <w:rPr>
          <w:rStyle w:val="indexentry"/>
        </w:rPr>
        <w:fldChar w:fldCharType="begin"/>
      </w:r>
      <w:r>
        <w:instrText>xe "</w:instrText>
      </w:r>
      <w:r>
        <w:rPr>
          <w:rStyle w:val="xeentry"/>
        </w:rPr>
        <w:instrText>lujvo form: requirements for y-hyphen insertion in</w:instrText>
      </w:r>
      <w:r>
        <w:instrText>"</w:instrText>
      </w:r>
      <w:r>
        <w:rPr>
          <w:rStyle w:val="indexentry"/>
        </w:rPr>
        <w:fldChar w:fldCharType="end"/>
      </w:r>
      <w:r>
        <w:t>The “y”-hyphen is used after a CVC-form rafsi when joining it with the</w:t>
      </w:r>
      <w:r>
        <w:rPr>
          <w:rStyle w:val="deletedparamark"/>
        </w:rPr>
        <w:t xml:space="preserve"> </w:t>
      </w:r>
      <w:r>
        <w:t>fol</w:t>
      </w:r>
      <w:r>
        <w:softHyphen/>
        <w:t>lowing rafsi could result in an impermissible consonant pair, or when</w:t>
      </w:r>
      <w:r>
        <w:rPr>
          <w:rStyle w:val="deletedparamark"/>
        </w:rPr>
        <w:t xml:space="preserve"> </w:t>
      </w:r>
      <w:r>
        <w:t>the resulting lujvo could fall apart into two or more words (either cmavo</w:t>
      </w:r>
      <w:r>
        <w:rPr>
          <w:rStyle w:val="deletedparamark"/>
        </w:rPr>
        <w:t xml:space="preserve"> </w:t>
      </w:r>
      <w:r>
        <w:t>or gismu).</w:t>
      </w:r>
    </w:p>
    <w:p w:rsidR="00B72047" w:rsidRDefault="00B72047">
      <w:pPr>
        <w:rPr>
          <w:rStyle w:val="htmlparacode"/>
        </w:rPr>
      </w:pPr>
      <w:r>
        <w:rPr>
          <w:rStyle w:val="htmlparacode"/>
        </w:rPr>
        <w:t>&lt;p&gt;</w:t>
      </w:r>
    </w:p>
    <w:p w:rsidR="00B72047" w:rsidRDefault="00B72047">
      <w:pPr>
        <w:pStyle w:val="normalparagraph"/>
      </w:pPr>
      <w:r>
        <w:rPr>
          <w:rStyle w:val="indexentry"/>
        </w:rPr>
        <w:t>&lt;cx "lujvo, and consonant pairs"&gt;</w:t>
      </w:r>
      <w:r>
        <w:rPr>
          <w:rStyle w:val="indexentry"/>
        </w:rPr>
        <w:fldChar w:fldCharType="begin"/>
      </w:r>
      <w:r>
        <w:instrText>xe "</w:instrText>
      </w:r>
      <w:r>
        <w:rPr>
          <w:rStyle w:val="xeentry"/>
        </w:rPr>
        <w:instrText>lujvo: and consonant pairs</w:instrText>
      </w:r>
      <w:r>
        <w:instrText>"</w:instrText>
      </w:r>
      <w:r>
        <w:rPr>
          <w:rStyle w:val="indexentry"/>
        </w:rPr>
        <w:fldChar w:fldCharType="end"/>
      </w:r>
      <w:r>
        <w:t>Thus, the tanru “pante tavla” (“protest talk”) cannot produce the lujvo</w:t>
      </w:r>
      <w:r>
        <w:rPr>
          <w:rStyle w:val="deletedparamark"/>
        </w:rPr>
        <w:t xml:space="preserve"> “</w:t>
      </w:r>
      <w:r>
        <w:t>patta'a”, be</w:t>
      </w:r>
      <w:r>
        <w:softHyphen/>
        <w:t>cause “tt” is not a permissible consonant pair; the lujvo</w:t>
      </w:r>
      <w:r>
        <w:rPr>
          <w:rStyle w:val="deletedparamark"/>
        </w:rPr>
        <w:t xml:space="preserve"> </w:t>
      </w:r>
      <w:r>
        <w:t>must be “patyta'a”. Similarly, the tanru “mudri siclu” (“wooden whistle”)</w:t>
      </w:r>
      <w:r>
        <w:rPr>
          <w:rStyle w:val="deletedparamark"/>
        </w:rPr>
        <w:t xml:space="preserve"> </w:t>
      </w:r>
      <w:r>
        <w:t>cannot form the lujvo “mudsiclu”; instead, “mudysiclu” must be used.</w:t>
      </w:r>
      <w:r>
        <w:rPr>
          <w:rStyle w:val="deletedparamark"/>
        </w:rPr>
        <w:t xml:space="preserve"> </w:t>
      </w:r>
      <w:r>
        <w:t>(Remember that “y” is not counted in de</w:t>
      </w:r>
      <w:r>
        <w:softHyphen/>
        <w:t>termining whether the first five</w:t>
      </w:r>
      <w:r>
        <w:rPr>
          <w:rStyle w:val="deletedparamark"/>
        </w:rPr>
        <w:t xml:space="preserve"> </w:t>
      </w:r>
      <w:r>
        <w:t>letters of a brivla contain a consonant cluster: this is why.)</w:t>
      </w:r>
    </w:p>
    <w:p w:rsidR="00B72047" w:rsidRDefault="00B72047">
      <w:pPr>
        <w:rPr>
          <w:rStyle w:val="htmlparacode"/>
        </w:rPr>
      </w:pPr>
      <w:r>
        <w:rPr>
          <w:rStyle w:val="htmlparacode"/>
        </w:rPr>
        <w:t>&lt;p&gt;</w:t>
      </w:r>
    </w:p>
    <w:p w:rsidR="00B72047" w:rsidRDefault="00B72047">
      <w:pPr>
        <w:pStyle w:val="normalparagraph"/>
      </w:pPr>
      <w:r>
        <w:rPr>
          <w:rStyle w:val="indexentry"/>
        </w:rPr>
        <w:t>&lt;cx "rafsi, four-letter, requirement for “y”-hyphen"&gt;</w:t>
      </w:r>
      <w:r>
        <w:rPr>
          <w:rStyle w:val="indexentry"/>
        </w:rPr>
        <w:fldChar w:fldCharType="begin"/>
      </w:r>
      <w:r>
        <w:instrText>xe "</w:instrText>
      </w:r>
      <w:r>
        <w:rPr>
          <w:rStyle w:val="xeentry"/>
        </w:rPr>
        <w:instrText>rafsi: four-letter, requirement for y-hyphen</w:instrText>
      </w:r>
      <w:r>
        <w:instrText>"</w:instrText>
      </w:r>
      <w:r>
        <w:rPr>
          <w:rStyle w:val="indexentry"/>
        </w:rPr>
        <w:fldChar w:fldCharType="end"/>
      </w:r>
      <w:r>
        <w:t>The “y”-hyphen is also used to attach a 4-letter rafsi, formed by dropping</w:t>
      </w:r>
      <w:r>
        <w:rPr>
          <w:rStyle w:val="deletedparamark"/>
        </w:rPr>
        <w:t xml:space="preserve"> </w:t>
      </w:r>
      <w:r>
        <w:t>the final vowel of a gismu, to the following rafsi. (This procedure was</w:t>
      </w:r>
      <w:r>
        <w:rPr>
          <w:rStyle w:val="deletedparamark"/>
        </w:rPr>
        <w:t xml:space="preserve"> </w:t>
      </w:r>
      <w:r>
        <w:t>shown, but not ex</w:t>
      </w:r>
      <w:r>
        <w:softHyphen/>
        <w:t xml:space="preserve">plained, in </w:t>
      </w:r>
      <w:r>
        <w:rPr>
          <w:rStyle w:val="htmlcodes"/>
        </w:rPr>
        <w:t>&lt;a href=#e6d{1}&gt;</w:t>
      </w:r>
      <w:r>
        <w:t xml:space="preserve">Examples 6.1 </w:t>
      </w:r>
      <w:r>
        <w:rPr>
          <w:rStyle w:val="htmlcodes"/>
        </w:rPr>
        <w:t>&lt;/a&gt;</w:t>
      </w:r>
      <w:r>
        <w:t xml:space="preserve">to </w:t>
      </w:r>
      <w:r>
        <w:rPr>
          <w:rStyle w:val="htmlcodes"/>
        </w:rPr>
        <w:t>&lt;a href=#e6d5&gt;</w:t>
      </w:r>
      <w:r>
        <w:t>6.5</w:t>
      </w:r>
      <w:r>
        <w:rPr>
          <w:rStyle w:val="htmlcodes"/>
        </w:rPr>
        <w:t>&lt;/a&gt;</w:t>
      </w:r>
      <w:r>
        <w:t>.)</w:t>
      </w:r>
    </w:p>
    <w:p w:rsidR="00B72047" w:rsidRDefault="00B72047">
      <w:pPr>
        <w:pStyle w:val="normalparagraph"/>
      </w:pPr>
      <w:r>
        <w:t>The lujvo forms</w:t>
      </w:r>
      <w:r>
        <w:rPr>
          <w:rStyle w:val="deletedparamark"/>
        </w:rPr>
        <w:t xml:space="preserve"> “</w:t>
      </w:r>
      <w:r>
        <w:t>zunlyjamfu”, “zunlyjma”, “zuljamfu”, and “zuljma” are all l</w:t>
      </w:r>
      <w:r>
        <w:t>e</w:t>
      </w:r>
      <w:r>
        <w:t>giti</w:t>
      </w:r>
      <w:r>
        <w:softHyphen/>
        <w:t>mate and</w:t>
      </w:r>
      <w:r>
        <w:rPr>
          <w:rStyle w:val="deletedparamark"/>
        </w:rPr>
        <w:t xml:space="preserve"> </w:t>
      </w:r>
      <w:r>
        <w:t>equivalent forms made from the tanru “zunle jamfu” (“left foot”). Of these,</w:t>
      </w:r>
      <w:r>
        <w:rPr>
          <w:rStyle w:val="deletedparamark"/>
        </w:rPr>
        <w:t xml:space="preserve"> “</w:t>
      </w:r>
      <w:r>
        <w:t>zuljma” is the preferred one since it is the shortest; it thus is likely</w:t>
      </w:r>
      <w:r>
        <w:rPr>
          <w:rStyle w:val="deletedparamark"/>
        </w:rPr>
        <w:t xml:space="preserve"> </w:t>
      </w:r>
      <w:r>
        <w:t>to be the form listed in a Lojban dic</w:t>
      </w:r>
      <w:r>
        <w:softHyphen/>
        <w:t>tionary.</w:t>
      </w:r>
    </w:p>
    <w:p w:rsidR="00B72047" w:rsidRDefault="00B72047">
      <w:pPr>
        <w:rPr>
          <w:rStyle w:val="htmlparacode"/>
        </w:rPr>
      </w:pPr>
      <w:r>
        <w:rPr>
          <w:rStyle w:val="htmlparacode"/>
        </w:rPr>
        <w:t>&lt;p&gt;</w:t>
      </w:r>
    </w:p>
    <w:p w:rsidR="00B72047" w:rsidRDefault="00B72047">
      <w:pPr>
        <w:pStyle w:val="normalparagraph"/>
      </w:pPr>
      <w:r>
        <w:rPr>
          <w:rStyle w:val="indexentry"/>
        </w:rPr>
        <w:t>&lt;cx "“r”-hyphen, use of"&gt;</w:t>
      </w:r>
      <w:r>
        <w:rPr>
          <w:rStyle w:val="indexentry"/>
        </w:rPr>
        <w:fldChar w:fldCharType="begin"/>
      </w:r>
      <w:r>
        <w:instrText>xe "</w:instrText>
      </w:r>
      <w:r>
        <w:rPr>
          <w:rStyle w:val="xeentry"/>
        </w:rPr>
        <w:instrText>r-hyphen: use of</w:instrText>
      </w:r>
      <w:r>
        <w:instrText>"</w:instrText>
      </w:r>
      <w:r>
        <w:rPr>
          <w:rStyle w:val="indexentry"/>
        </w:rPr>
        <w:fldChar w:fldCharType="end"/>
      </w:r>
      <w:r>
        <w:rPr>
          <w:rStyle w:val="indexentry"/>
        </w:rPr>
        <w:t>&lt;cx "lujvo form, requirements for “r”-hyphen insertion in"&gt;</w:t>
      </w:r>
      <w:r>
        <w:rPr>
          <w:rStyle w:val="indexentry"/>
        </w:rPr>
        <w:fldChar w:fldCharType="begin"/>
      </w:r>
      <w:r>
        <w:instrText>xe "</w:instrText>
      </w:r>
      <w:r>
        <w:rPr>
          <w:rStyle w:val="xeentry"/>
        </w:rPr>
        <w:instrText>lujvo form: requirements for r-hyphen insertion in</w:instrText>
      </w:r>
      <w:r>
        <w:instrText>"</w:instrText>
      </w:r>
      <w:r>
        <w:rPr>
          <w:rStyle w:val="indexentry"/>
        </w:rPr>
        <w:fldChar w:fldCharType="end"/>
      </w:r>
      <w:r>
        <w:rPr>
          <w:rStyle w:val="indexentry"/>
        </w:rPr>
        <w:t>&lt;cx "lujvo form, requirements for “n”-hyphen insertion in"&gt;</w:t>
      </w:r>
      <w:r>
        <w:rPr>
          <w:rStyle w:val="indexentry"/>
        </w:rPr>
        <w:fldChar w:fldCharType="begin"/>
      </w:r>
      <w:r>
        <w:instrText>xe "</w:instrText>
      </w:r>
      <w:r>
        <w:rPr>
          <w:rStyle w:val="xeentry"/>
        </w:rPr>
        <w:instrText>lujvo form: requirements for n-hyphen insertion in</w:instrText>
      </w:r>
      <w:r>
        <w:instrText>"</w:instrText>
      </w:r>
      <w:r>
        <w:rPr>
          <w:rStyle w:val="indexentry"/>
        </w:rPr>
        <w:fldChar w:fldCharType="end"/>
      </w:r>
      <w:r>
        <w:t>The “r”-hyphen and its close relative, the “n”-hyphen, are used in lujvo</w:t>
      </w:r>
      <w:r>
        <w:rPr>
          <w:rStyle w:val="deletedparamark"/>
        </w:rPr>
        <w:t xml:space="preserve"> </w:t>
      </w:r>
      <w:r>
        <w:t>only after CVV-form rafsi. A hyphen is always required in a two-part lujvo</w:t>
      </w:r>
      <w:r>
        <w:rPr>
          <w:rStyle w:val="deletedparamark"/>
        </w:rPr>
        <w:t xml:space="preserve"> </w:t>
      </w:r>
      <w:r>
        <w:t>of the form CVV-CVV, since otherwise there would be no consonant</w:t>
      </w:r>
      <w:r>
        <w:rPr>
          <w:rStyle w:val="deletedparamark"/>
        </w:rPr>
        <w:t xml:space="preserve"> </w:t>
      </w:r>
      <w:r>
        <w:t>cluster.</w:t>
      </w:r>
    </w:p>
    <w:p w:rsidR="00B72047" w:rsidRDefault="00B72047">
      <w:pPr>
        <w:rPr>
          <w:rStyle w:val="htmlparacode"/>
        </w:rPr>
      </w:pPr>
      <w:r>
        <w:rPr>
          <w:rStyle w:val="htmlparacode"/>
        </w:rPr>
        <w:t>&lt;p&gt;</w:t>
      </w:r>
    </w:p>
    <w:p w:rsidR="00B72047" w:rsidRDefault="00B72047">
      <w:pPr>
        <w:pStyle w:val="normalparagraph"/>
      </w:pPr>
      <w:r>
        <w:t>An “r-”hyphen or “n”-hyphen is also required after the CVV-form rafsi of any</w:t>
      </w:r>
      <w:r>
        <w:rPr>
          <w:rStyle w:val="deletedparamark"/>
        </w:rPr>
        <w:t xml:space="preserve"> </w:t>
      </w:r>
      <w:r>
        <w:t>lujvo of the form CVV-CVC/CV or CVV-CCVCV since it would otherwise fall apart</w:t>
      </w:r>
      <w:r>
        <w:rPr>
          <w:rStyle w:val="deletedparamark"/>
        </w:rPr>
        <w:t xml:space="preserve"> </w:t>
      </w:r>
      <w:r>
        <w:t>into a CVV-form cmavo and a gismu. In any lujvo with more than two parts,</w:t>
      </w:r>
      <w:r>
        <w:rPr>
          <w:rStyle w:val="deletedparamark"/>
        </w:rPr>
        <w:t xml:space="preserve"> </w:t>
      </w:r>
      <w:r>
        <w:t>a CVV-form rafsi in the initial position must always be followed by a hyphen.</w:t>
      </w:r>
      <w:r>
        <w:rPr>
          <w:rStyle w:val="deletedparamark"/>
        </w:rPr>
        <w:t xml:space="preserve"> </w:t>
      </w:r>
      <w:r>
        <w:t>If the hyphen were to be omitted, the supposed lujvo could be broken into</w:t>
      </w:r>
      <w:r>
        <w:rPr>
          <w:rStyle w:val="deletedparamark"/>
        </w:rPr>
        <w:t xml:space="preserve"> </w:t>
      </w:r>
      <w:r>
        <w:t>smaller words without the hyphen: be</w:t>
      </w:r>
      <w:r>
        <w:softHyphen/>
        <w:t>cause the CVV-form rafsi would be</w:t>
      </w:r>
      <w:r>
        <w:rPr>
          <w:rStyle w:val="deletedparamark"/>
        </w:rPr>
        <w:t xml:space="preserve"> </w:t>
      </w:r>
      <w:r>
        <w:t>in</w:t>
      </w:r>
      <w:r>
        <w:softHyphen/>
        <w:t>terpreted as a cmavo, and the remain</w:t>
      </w:r>
      <w:r>
        <w:softHyphen/>
        <w:t>der of the word as a valid lujvo that</w:t>
      </w:r>
      <w:r>
        <w:rPr>
          <w:rStyle w:val="deletedparamark"/>
        </w:rPr>
        <w:t xml:space="preserve"> </w:t>
      </w:r>
      <w:r>
        <w:t>is one rafsi shorter.</w:t>
      </w:r>
    </w:p>
    <w:p w:rsidR="00B72047" w:rsidRDefault="00B72047">
      <w:pPr>
        <w:rPr>
          <w:rStyle w:val="htmlparacode"/>
        </w:rPr>
      </w:pPr>
      <w:r>
        <w:rPr>
          <w:rStyle w:val="htmlparacode"/>
        </w:rPr>
        <w:t>&lt;p&gt;</w:t>
      </w:r>
    </w:p>
    <w:p w:rsidR="00B72047" w:rsidRDefault="00B72047">
      <w:pPr>
        <w:pStyle w:val="normalparagraph"/>
      </w:pPr>
      <w:r>
        <w:rPr>
          <w:rStyle w:val="indexentry"/>
        </w:rPr>
        <w:t>&lt;cx "“n”-hyphen, use of"&gt;</w:t>
      </w:r>
      <w:r>
        <w:rPr>
          <w:rStyle w:val="indexentry"/>
        </w:rPr>
        <w:fldChar w:fldCharType="begin"/>
      </w:r>
      <w:r>
        <w:instrText>xe "</w:instrText>
      </w:r>
      <w:r>
        <w:rPr>
          <w:rStyle w:val="xeentry"/>
        </w:rPr>
        <w:instrText>n-hyphen: use of</w:instrText>
      </w:r>
      <w:r>
        <w:instrText>"</w:instrText>
      </w:r>
      <w:r>
        <w:rPr>
          <w:rStyle w:val="indexentry"/>
        </w:rPr>
        <w:fldChar w:fldCharType="end"/>
      </w:r>
      <w:r>
        <w:rPr>
          <w:rStyle w:val="indexentry"/>
        </w:rPr>
        <w:t>&lt;cx "“n”-hyphen, contrasted with “r”-hyphen in requirements for use"&gt;</w:t>
      </w:r>
      <w:r>
        <w:rPr>
          <w:rStyle w:val="indexentry"/>
        </w:rPr>
        <w:fldChar w:fldCharType="begin"/>
      </w:r>
      <w:r>
        <w:instrText>xe "</w:instrText>
      </w:r>
      <w:r>
        <w:rPr>
          <w:rStyle w:val="xeentry"/>
        </w:rPr>
        <w:instrText>n-hyphen: contrasted with r-hyphen in requirements for use</w:instrText>
      </w:r>
      <w:r>
        <w:instrText>"</w:instrText>
      </w:r>
      <w:r>
        <w:rPr>
          <w:rStyle w:val="indexentry"/>
        </w:rPr>
        <w:fldChar w:fldCharType="end"/>
      </w:r>
      <w:r>
        <w:rPr>
          <w:rStyle w:val="indexentry"/>
        </w:rPr>
        <w:t>&lt;cx "“r”-hyphen, contrasted with “n”-hyphen in requirements for use"&gt;</w:t>
      </w:r>
      <w:r>
        <w:rPr>
          <w:rStyle w:val="indexentry"/>
        </w:rPr>
        <w:fldChar w:fldCharType="begin"/>
      </w:r>
      <w:r>
        <w:instrText>xe "</w:instrText>
      </w:r>
      <w:r>
        <w:rPr>
          <w:rStyle w:val="xeentry"/>
        </w:rPr>
        <w:instrText>r-hyphen: contrasted with n-hyphen in requirements for use</w:instrText>
      </w:r>
      <w:r>
        <w:instrText>"</w:instrText>
      </w:r>
      <w:r>
        <w:rPr>
          <w:rStyle w:val="indexentry"/>
        </w:rPr>
        <w:fldChar w:fldCharType="end"/>
      </w:r>
      <w:r>
        <w:t>An “n”-hyphen is only used in place of an “r”-hyphen when the following</w:t>
      </w:r>
      <w:r>
        <w:rPr>
          <w:rStyle w:val="deletedparamark"/>
        </w:rPr>
        <w:t xml:space="preserve"> </w:t>
      </w:r>
      <w:r>
        <w:t>rafsi b</w:t>
      </w:r>
      <w:r>
        <w:t>e</w:t>
      </w:r>
      <w:r>
        <w:softHyphen/>
        <w:t>gins with “r”. For example, the tanru “rokci renro” (“rock throw”)</w:t>
      </w:r>
      <w:r>
        <w:rPr>
          <w:rStyle w:val="deletedparamark"/>
        </w:rPr>
        <w:t xml:space="preserve"> </w:t>
      </w:r>
      <w:r>
        <w:t>cannot be ex</w:t>
      </w:r>
      <w:r>
        <w:softHyphen/>
        <w:t>pressed as “ro'ire'o” (which breaks up into two cmavo), nor can</w:t>
      </w:r>
      <w:r>
        <w:rPr>
          <w:rStyle w:val="deletedparamark"/>
        </w:rPr>
        <w:t xml:space="preserve"> </w:t>
      </w:r>
      <w:r>
        <w:t>it be “ro'irre'o” (which has an im</w:t>
      </w:r>
      <w:r>
        <w:softHyphen/>
        <w:t>permissible dou</w:t>
      </w:r>
      <w:r>
        <w:softHyphen/>
        <w:t>ble consonant); the</w:t>
      </w:r>
      <w:r>
        <w:rPr>
          <w:rStyle w:val="deletedparamark"/>
        </w:rPr>
        <w:t xml:space="preserve"> “</w:t>
      </w:r>
      <w:r>
        <w:t>n”-hyphen is required, and the correct form of the hyphenated lujvo is</w:t>
      </w:r>
      <w:r>
        <w:rPr>
          <w:rStyle w:val="deletedparamark"/>
        </w:rPr>
        <w:t xml:space="preserve"> “</w:t>
      </w:r>
      <w:r>
        <w:t>ro'inre'o”. The same lujvo could also be ex</w:t>
      </w:r>
      <w:r>
        <w:softHyphen/>
        <w:t>pressed without hy</w:t>
      </w:r>
      <w:r>
        <w:softHyphen/>
        <w:t>phenation</w:t>
      </w:r>
      <w:r>
        <w:rPr>
          <w:rStyle w:val="deletedparamark"/>
        </w:rPr>
        <w:t xml:space="preserve"> </w:t>
      </w:r>
      <w:r>
        <w:t>as “rokre'o”.</w:t>
      </w:r>
    </w:p>
    <w:p w:rsidR="00B72047" w:rsidRDefault="00B72047">
      <w:pPr>
        <w:rPr>
          <w:rStyle w:val="htmlparacode"/>
        </w:rPr>
      </w:pPr>
      <w:r>
        <w:rPr>
          <w:rStyle w:val="htmlparacode"/>
        </w:rPr>
        <w:t>&lt;p&gt;</w:t>
      </w:r>
    </w:p>
    <w:p w:rsidR="00B72047" w:rsidRDefault="00B72047">
      <w:pPr>
        <w:pStyle w:val="normalparagraph"/>
      </w:pPr>
      <w:r>
        <w:rPr>
          <w:rStyle w:val="indexentry"/>
        </w:rPr>
        <w:t>&lt;lx "zei"&gt;</w:t>
      </w:r>
      <w:r>
        <w:rPr>
          <w:rStyle w:val="indexentry"/>
        </w:rPr>
        <w:fldChar w:fldCharType="begin"/>
      </w:r>
      <w:r>
        <w:instrText>xe "</w:instrText>
      </w:r>
      <w:r>
        <w:rPr>
          <w:rStyle w:val="xeentry"/>
        </w:rPr>
        <w:instrText>zei</w:instrText>
      </w:r>
      <w:r>
        <w:instrText>"</w:instrText>
      </w:r>
      <w:r>
        <w:rPr>
          <w:rStyle w:val="indexentry"/>
        </w:rPr>
        <w:fldChar w:fldCharType="end"/>
      </w:r>
      <w:r>
        <w:rPr>
          <w:rStyle w:val="indexentry"/>
        </w:rPr>
        <w:t>&lt;lx "ZEI"&gt;</w:t>
      </w:r>
      <w:r>
        <w:rPr>
          <w:rStyle w:val="indexentry"/>
        </w:rPr>
        <w:fldChar w:fldCharType="begin"/>
      </w:r>
      <w:r>
        <w:instrText>xe "</w:instrText>
      </w:r>
      <w:r>
        <w:rPr>
          <w:rStyle w:val="xeentry"/>
        </w:rPr>
        <w:instrText>ZEI selma’o</w:instrText>
      </w:r>
      <w:r>
        <w:instrText>"</w:instrText>
      </w:r>
      <w:r>
        <w:rPr>
          <w:rStyle w:val="indexentry"/>
        </w:rPr>
        <w:fldChar w:fldCharType="end"/>
      </w:r>
      <w:r>
        <w:rPr>
          <w:rStyle w:val="indexentry"/>
        </w:rPr>
        <w:t>&lt;cx "lujvo, with zei"&gt;</w:t>
      </w:r>
      <w:r>
        <w:rPr>
          <w:rStyle w:val="indexentry"/>
        </w:rPr>
        <w:fldChar w:fldCharType="begin"/>
      </w:r>
      <w:r>
        <w:instrText>xe "</w:instrText>
      </w:r>
      <w:r>
        <w:rPr>
          <w:rStyle w:val="xeentry"/>
        </w:rPr>
        <w:instrText>lujvo: with zei</w:instrText>
      </w:r>
      <w:r>
        <w:instrText>"</w:instrText>
      </w:r>
      <w:r>
        <w:rPr>
          <w:rStyle w:val="indexentry"/>
        </w:rPr>
        <w:fldChar w:fldCharType="end"/>
      </w:r>
      <w:r>
        <w:t>There is also a different way of building lujvo, or rather phrases which</w:t>
      </w:r>
      <w:r>
        <w:rPr>
          <w:rStyle w:val="deletedparamark"/>
        </w:rPr>
        <w:t xml:space="preserve"> </w:t>
      </w:r>
      <w:r>
        <w:t>are gra</w:t>
      </w:r>
      <w:r>
        <w:t>m</w:t>
      </w:r>
      <w:r>
        <w:t>mati</w:t>
      </w:r>
      <w:r>
        <w:softHyphen/>
        <w:t>cally and semantically equivalent to lujvo. You can make a</w:t>
      </w:r>
      <w:r>
        <w:rPr>
          <w:rStyle w:val="deletedparamark"/>
        </w:rPr>
        <w:t xml:space="preserve"> </w:t>
      </w:r>
      <w:r>
        <w:t>phrase containing any desired words, joining each pair of them with the</w:t>
      </w:r>
      <w:r>
        <w:rPr>
          <w:rStyle w:val="deletedparamark"/>
        </w:rPr>
        <w:t xml:space="preserve"> </w:t>
      </w:r>
      <w:r>
        <w:t>special cmavo “zei”.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name=e6d12&gt;</w:t>
      </w:r>
      <w:r>
        <w:t>6.12)</w:t>
      </w:r>
      <w:r>
        <w:tab/>
        <w:t>bridi zei valsi</w:t>
      </w:r>
    </w:p>
    <w:p w:rsidR="00B72047" w:rsidRDefault="00B72047">
      <w:pPr>
        <w:pStyle w:val="resumedafterexample"/>
      </w:pPr>
      <w:r>
        <w:rPr>
          <w:rStyle w:val="htmlcodes"/>
        </w:rPr>
        <w:t>&lt;/pre&gt;</w:t>
      </w:r>
      <w:r>
        <w:rPr>
          <w:rStyle w:val="indexentry"/>
        </w:rPr>
        <w:t>&lt;cx "lujvo, from cmavo with no rafsi"&gt;</w:t>
      </w:r>
      <w:r>
        <w:rPr>
          <w:rStyle w:val="indexentry"/>
        </w:rPr>
        <w:fldChar w:fldCharType="begin"/>
      </w:r>
      <w:r>
        <w:instrText>xe "</w:instrText>
      </w:r>
      <w:r>
        <w:rPr>
          <w:rStyle w:val="xeentry"/>
        </w:rPr>
        <w:instrText>lujvo: from cmavo with no rafsi</w:instrText>
      </w:r>
      <w:r>
        <w:instrText>"</w:instrText>
      </w:r>
      <w:r>
        <w:rPr>
          <w:rStyle w:val="indexentry"/>
        </w:rPr>
        <w:fldChar w:fldCharType="end"/>
      </w:r>
      <w:r>
        <w:rPr>
          <w:rStyle w:val="indexentry"/>
        </w:rPr>
        <w:t>&lt;cx "rafsi, lack of, effect on forming lujvo"&gt;</w:t>
      </w:r>
      <w:r>
        <w:rPr>
          <w:rStyle w:val="indexentry"/>
        </w:rPr>
        <w:fldChar w:fldCharType="begin"/>
      </w:r>
      <w:r>
        <w:instrText>xe "</w:instrText>
      </w:r>
      <w:r>
        <w:rPr>
          <w:rStyle w:val="xeentry"/>
        </w:rPr>
        <w:instrText>rafsi: lack of, effect on forming lujvo</w:instrText>
      </w:r>
      <w:r>
        <w:instrText>"</w:instrText>
      </w:r>
      <w:r>
        <w:rPr>
          <w:rStyle w:val="indexentry"/>
        </w:rPr>
        <w:fldChar w:fldCharType="end"/>
      </w:r>
      <w:r>
        <w:rPr>
          <w:rStyle w:val="indexentry"/>
        </w:rPr>
        <w:t>&lt;cx "cmene, method of including in lujvo"&gt;</w:t>
      </w:r>
      <w:r>
        <w:rPr>
          <w:rStyle w:val="indexentry"/>
        </w:rPr>
        <w:fldChar w:fldCharType="begin"/>
      </w:r>
      <w:r>
        <w:instrText>xe "</w:instrText>
      </w:r>
      <w:r>
        <w:rPr>
          <w:rStyle w:val="xeentry"/>
        </w:rPr>
        <w:instrText>cmene: method of including in lujvo</w:instrText>
      </w:r>
      <w:r>
        <w:instrText>"</w:instrText>
      </w:r>
      <w:r>
        <w:rPr>
          <w:rStyle w:val="indexentry"/>
        </w:rPr>
        <w:fldChar w:fldCharType="end"/>
      </w:r>
      <w:r>
        <w:rPr>
          <w:rStyle w:val="indexentry"/>
        </w:rPr>
        <w:t>&lt;cx "fu'ivla, method of including in lujvo"&gt;</w:t>
      </w:r>
      <w:r>
        <w:rPr>
          <w:rStyle w:val="indexentry"/>
        </w:rPr>
        <w:fldChar w:fldCharType="begin"/>
      </w:r>
      <w:r>
        <w:instrText>xe "</w:instrText>
      </w:r>
      <w:r>
        <w:rPr>
          <w:rStyle w:val="xeentry"/>
        </w:rPr>
        <w:instrText>fu'ivla: method of including in lujvo</w:instrText>
      </w:r>
      <w:r>
        <w:instrText>"</w:instrText>
      </w:r>
      <w:r>
        <w:rPr>
          <w:rStyle w:val="indexentry"/>
        </w:rPr>
        <w:fldChar w:fldCharType="end"/>
      </w:r>
      <w:r>
        <w:rPr>
          <w:rStyle w:val="indexentry"/>
        </w:rPr>
        <w:t>&lt;cx "cmavo without rafsi, method of including in lujvo"&gt;</w:t>
      </w:r>
      <w:r>
        <w:rPr>
          <w:rStyle w:val="indexentry"/>
        </w:rPr>
        <w:fldChar w:fldCharType="begin"/>
      </w:r>
      <w:r>
        <w:instrText>xe "</w:instrText>
      </w:r>
      <w:r>
        <w:rPr>
          <w:rStyle w:val="xeentry"/>
        </w:rPr>
        <w:instrText>cmavo without rafsi: method of including in lujvo</w:instrText>
      </w:r>
      <w:r>
        <w:instrText>"</w:instrText>
      </w:r>
      <w:r>
        <w:rPr>
          <w:rStyle w:val="indexentry"/>
        </w:rPr>
        <w:fldChar w:fldCharType="end"/>
      </w:r>
      <w:r>
        <w:t>is the exact equivalent of “brivla” (but not necessarily the same as the</w:t>
      </w:r>
      <w:r>
        <w:rPr>
          <w:rStyle w:val="deletedparamark"/>
        </w:rPr>
        <w:t xml:space="preserve"> </w:t>
      </w:r>
      <w:r>
        <w:t>underlying tanru “bridi valsi”, which could have other meanings.) Us</w:t>
      </w:r>
      <w:r>
        <w:softHyphen/>
        <w:t>ing</w:t>
      </w:r>
      <w:r>
        <w:rPr>
          <w:rStyle w:val="deletedparamark"/>
        </w:rPr>
        <w:t xml:space="preserve"> “</w:t>
      </w:r>
      <w:r>
        <w:t>zei” is the only way to get a cmavo lacking a rafsi, a cmene, or a fu'ivla</w:t>
      </w:r>
      <w:r>
        <w:rPr>
          <w:rStyle w:val="deletedparamark"/>
        </w:rPr>
        <w:t xml:space="preserve"> </w:t>
      </w:r>
      <w:r>
        <w:t>into a lujvo:</w:t>
      </w:r>
    </w:p>
    <w:p w:rsidR="00B72047" w:rsidRDefault="00B72047">
      <w:pPr>
        <w:rPr>
          <w:rStyle w:val="htmlparacode"/>
        </w:rPr>
      </w:pPr>
      <w:r>
        <w:rPr>
          <w:rStyle w:val="htmlparacode"/>
        </w:rPr>
        <w:t>&lt;p&gt;</w:t>
      </w:r>
    </w:p>
    <w:p w:rsidR="00B72047" w:rsidRDefault="00B72047">
      <w:pPr>
        <w:pStyle w:val="examplescaledpre"/>
      </w:pPr>
      <w:r>
        <w:rPr>
          <w:rStyle w:val="indexentry"/>
        </w:rPr>
        <w:t>&lt;ex "X-ray"&gt;</w:t>
      </w:r>
      <w:r>
        <w:rPr>
          <w:rStyle w:val="indexentry"/>
        </w:rPr>
        <w:fldChar w:fldCharType="begin"/>
      </w:r>
      <w:r>
        <w:instrText>xe "</w:instrText>
      </w:r>
      <w:r>
        <w:rPr>
          <w:rStyle w:val="xeentry"/>
        </w:rPr>
        <w:instrText>X-ray: example</w:instrText>
      </w:r>
      <w:r>
        <w:instrText>"</w:instrText>
      </w:r>
      <w:r>
        <w:rPr>
          <w:rStyle w:val="indexentry"/>
        </w:rPr>
        <w:fldChar w:fldCharType="end"/>
      </w:r>
      <w:r>
        <w:rPr>
          <w:rStyle w:val="htmlcodes"/>
        </w:rPr>
        <w:t>&lt;pre&gt;&lt;a name=e6d13&gt;</w:t>
      </w:r>
      <w:r>
        <w:t>6.13)</w:t>
      </w:r>
      <w:r>
        <w:tab/>
        <w:t>xy. zei kantu</w:t>
      </w:r>
    </w:p>
    <w:p w:rsidR="00B72047" w:rsidRDefault="00B72047">
      <w:pPr>
        <w:pStyle w:val="examplescaled"/>
      </w:pPr>
      <w:r>
        <w:tab/>
        <w:t>X ray</w:t>
      </w:r>
    </w:p>
    <w:p w:rsidR="00B72047" w:rsidRDefault="00B72047">
      <w:pPr>
        <w:pStyle w:val="examplescaledpre"/>
        <w:spacing w:before="80"/>
      </w:pPr>
      <w:r>
        <w:rPr>
          <w:rStyle w:val="htmlcodes"/>
        </w:rPr>
        <w:t>&lt;/pre&gt;</w:t>
      </w:r>
      <w:r>
        <w:rPr>
          <w:rStyle w:val="indexentry"/>
        </w:rPr>
        <w:t>&lt;ex "Persian rug"&gt;</w:t>
      </w:r>
      <w:r>
        <w:rPr>
          <w:rStyle w:val="indexentry"/>
        </w:rPr>
        <w:fldChar w:fldCharType="begin"/>
      </w:r>
      <w:r>
        <w:instrText>xe "</w:instrText>
      </w:r>
      <w:r>
        <w:rPr>
          <w:rStyle w:val="xeentry"/>
        </w:rPr>
        <w:instrText>Persian rug: example</w:instrText>
      </w:r>
      <w:r>
        <w:instrText>"</w:instrText>
      </w:r>
      <w:r>
        <w:rPr>
          <w:rStyle w:val="indexentry"/>
        </w:rPr>
        <w:fldChar w:fldCharType="end"/>
      </w:r>
      <w:r>
        <w:rPr>
          <w:rStyle w:val="indexentry"/>
        </w:rPr>
        <w:t>&lt;ex "rug, Persian"&gt;</w:t>
      </w:r>
      <w:r>
        <w:rPr>
          <w:rStyle w:val="indexentry"/>
        </w:rPr>
        <w:fldChar w:fldCharType="begin"/>
      </w:r>
      <w:r>
        <w:instrText>xe "</w:instrText>
      </w:r>
      <w:r>
        <w:rPr>
          <w:rStyle w:val="xeentry"/>
        </w:rPr>
        <w:instrText>rug: Persian, example</w:instrText>
      </w:r>
      <w:r>
        <w:instrText>"</w:instrText>
      </w:r>
      <w:r>
        <w:rPr>
          <w:rStyle w:val="indexentry"/>
        </w:rPr>
        <w:fldChar w:fldCharType="end"/>
      </w:r>
      <w:r>
        <w:rPr>
          <w:rStyle w:val="htmlcodes"/>
        </w:rPr>
        <w:t>&lt;pre&gt;&lt;a name=e6d14&gt;</w:t>
      </w:r>
      <w:r>
        <w:t>6.14)</w:t>
      </w:r>
      <w:r>
        <w:tab/>
        <w:t>kulnr,farsi zei lolgai</w:t>
      </w:r>
    </w:p>
    <w:p w:rsidR="00B72047" w:rsidRDefault="00B72047">
      <w:pPr>
        <w:pStyle w:val="examplescaled"/>
      </w:pPr>
      <w:r>
        <w:tab/>
        <w:t>Farsi floor-cover</w:t>
      </w:r>
    </w:p>
    <w:p w:rsidR="00B72047" w:rsidRDefault="00B72047">
      <w:pPr>
        <w:pStyle w:val="examplescaled"/>
      </w:pPr>
      <w:r>
        <w:tab/>
        <w:t>Persian rug</w:t>
      </w:r>
    </w:p>
    <w:p w:rsidR="00B72047" w:rsidRDefault="00B72047">
      <w:pPr>
        <w:pStyle w:val="examplescaledpre"/>
      </w:pPr>
      <w:r>
        <w:rPr>
          <w:rStyle w:val="htmlcodes"/>
        </w:rPr>
        <w:t>&lt;/pre&gt;</w:t>
      </w:r>
      <w:r>
        <w:rPr>
          <w:rStyle w:val="indexentry"/>
        </w:rPr>
        <w:t>&lt;ex "hepatitis"&gt;</w:t>
      </w:r>
      <w:r>
        <w:rPr>
          <w:rStyle w:val="indexentry"/>
        </w:rPr>
        <w:fldChar w:fldCharType="begin"/>
      </w:r>
      <w:r>
        <w:instrText>xe "</w:instrText>
      </w:r>
      <w:r>
        <w:rPr>
          <w:rStyle w:val="xeentry"/>
        </w:rPr>
        <w:instrText>hepatitis: example</w:instrText>
      </w:r>
      <w:r>
        <w:instrText>"</w:instrText>
      </w:r>
      <w:r>
        <w:rPr>
          <w:rStyle w:val="indexentry"/>
        </w:rPr>
        <w:fldChar w:fldCharType="end"/>
      </w:r>
      <w:r>
        <w:rPr>
          <w:rStyle w:val="htmlcodes"/>
        </w:rPr>
        <w:t>&lt;pre&gt;&lt;a name=e6d15&gt;</w:t>
      </w:r>
      <w:r>
        <w:t>6.15)</w:t>
      </w:r>
      <w:r>
        <w:tab/>
        <w:t>na'e zei .a zei na'e zei by. livgyterbilma</w:t>
      </w:r>
    </w:p>
    <w:p w:rsidR="00B72047" w:rsidRDefault="00B72047">
      <w:pPr>
        <w:pStyle w:val="examplescaled"/>
      </w:pPr>
      <w:r>
        <w:tab/>
        <w:t>non-A, non-B liver-disease</w:t>
      </w:r>
    </w:p>
    <w:p w:rsidR="00B72047" w:rsidRDefault="00B72047">
      <w:pPr>
        <w:pStyle w:val="examplescaled"/>
      </w:pPr>
      <w:r>
        <w:tab/>
        <w:t>non-A, non-B hepatitis</w:t>
      </w:r>
    </w:p>
    <w:p w:rsidR="00B72047" w:rsidRDefault="00B72047">
      <w:pPr>
        <w:pStyle w:val="examplescaledpre"/>
      </w:pPr>
      <w:r>
        <w:rPr>
          <w:rStyle w:val="htmlcodes"/>
        </w:rPr>
        <w:t>&lt;/pre&gt;</w:t>
      </w:r>
      <w:r>
        <w:rPr>
          <w:rStyle w:val="indexentry"/>
        </w:rPr>
        <w:t>&lt;ex "Sherman tank"&gt;</w:t>
      </w:r>
      <w:r>
        <w:rPr>
          <w:rStyle w:val="indexentry"/>
        </w:rPr>
        <w:fldChar w:fldCharType="begin"/>
      </w:r>
      <w:r>
        <w:instrText>xe "</w:instrText>
      </w:r>
      <w:r>
        <w:rPr>
          <w:rStyle w:val="xeentry"/>
        </w:rPr>
        <w:instrText>Sherman tank: example</w:instrText>
      </w:r>
      <w:r>
        <w:instrText>"</w:instrText>
      </w:r>
      <w:r>
        <w:rPr>
          <w:rStyle w:val="indexentry"/>
        </w:rPr>
        <w:fldChar w:fldCharType="end"/>
      </w:r>
      <w:r>
        <w:rPr>
          <w:rStyle w:val="indexentry"/>
        </w:rPr>
        <w:t>&lt;ex "tank, Sherman"&gt;</w:t>
      </w:r>
      <w:r>
        <w:rPr>
          <w:rStyle w:val="indexentry"/>
        </w:rPr>
        <w:fldChar w:fldCharType="begin"/>
      </w:r>
      <w:r>
        <w:instrText>xe "</w:instrText>
      </w:r>
      <w:r>
        <w:rPr>
          <w:rStyle w:val="xeentry"/>
        </w:rPr>
        <w:instrText>tank: Sherman, example</w:instrText>
      </w:r>
      <w:r>
        <w:instrText>"</w:instrText>
      </w:r>
      <w:r>
        <w:rPr>
          <w:rStyle w:val="indexentry"/>
        </w:rPr>
        <w:fldChar w:fldCharType="end"/>
      </w:r>
      <w:r>
        <w:rPr>
          <w:rStyle w:val="htmlcodes"/>
        </w:rPr>
        <w:t>&lt;pre&gt;&lt;a name=e6d16&gt;</w:t>
      </w:r>
      <w:r>
        <w:t>6.16)</w:t>
      </w:r>
      <w:r>
        <w:tab/>
        <w:t>.cerman. zei xarnykarce</w:t>
      </w:r>
    </w:p>
    <w:p w:rsidR="00B72047" w:rsidRDefault="00B72047">
      <w:pPr>
        <w:pStyle w:val="examplescaled"/>
      </w:pPr>
      <w:r>
        <w:tab/>
        <w:t>Sherman war-car</w:t>
      </w:r>
    </w:p>
    <w:p w:rsidR="00B72047" w:rsidRDefault="00B72047">
      <w:pPr>
        <w:pStyle w:val="examplescaled"/>
      </w:pPr>
      <w:r>
        <w:tab/>
        <w:t>Sherman tank</w:t>
      </w:r>
    </w:p>
    <w:p w:rsidR="00B72047" w:rsidRDefault="00B72047">
      <w:pPr>
        <w:pStyle w:val="resumedafterexample"/>
      </w:pPr>
      <w:r>
        <w:rPr>
          <w:rStyle w:val="htmlcodes"/>
        </w:rPr>
        <w:t>&lt;/pre&gt;&lt;a href=#e6d15&gt;</w:t>
      </w:r>
      <w:r>
        <w:t xml:space="preserve">Example 6.15 </w:t>
      </w:r>
      <w:r>
        <w:rPr>
          <w:rStyle w:val="htmlcodes"/>
        </w:rPr>
        <w:t xml:space="preserve"> </w:t>
      </w:r>
      <w:r>
        <w:t>is particularly noteworthy because the phrase that would be</w:t>
      </w:r>
      <w:r>
        <w:rPr>
          <w:rStyle w:val="deletedparamark"/>
        </w:rPr>
        <w:t xml:space="preserve"> </w:t>
      </w:r>
      <w:r>
        <w:t>produced by removing the “zei”s from it doesn't end with a brivla, and in</w:t>
      </w:r>
      <w:r>
        <w:rPr>
          <w:rStyle w:val="deletedparamark"/>
        </w:rPr>
        <w:t xml:space="preserve"> </w:t>
      </w:r>
      <w:r>
        <w:t>fact is not even grammati</w:t>
      </w:r>
      <w:r>
        <w:softHyphen/>
        <w:t>cal. As written, the example is a tanru with two</w:t>
      </w:r>
      <w:r>
        <w:rPr>
          <w:rStyle w:val="deletedparamark"/>
        </w:rPr>
        <w:t xml:space="preserve"> </w:t>
      </w:r>
      <w:r>
        <w:t>components, but by adding a “zei” be</w:t>
      </w:r>
      <w:r>
        <w:softHyphen/>
        <w:t>tween “by.” and “livgyterbilma” to</w:t>
      </w:r>
      <w:r>
        <w:rPr>
          <w:rStyle w:val="deletedparamark"/>
        </w:rPr>
        <w:t xml:space="preserve"> </w:t>
      </w:r>
      <w:r>
        <w:t>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name=e6d17&gt;</w:t>
      </w:r>
      <w:r>
        <w:t>6.17)</w:t>
      </w:r>
      <w:r>
        <w:tab/>
        <w:t>na'e zei .a zei na'e zei by. zei livgyterbilma</w:t>
      </w:r>
    </w:p>
    <w:p w:rsidR="00B72047" w:rsidRDefault="00B72047">
      <w:pPr>
        <w:pStyle w:val="examplescaled"/>
      </w:pPr>
      <w:r>
        <w:tab/>
        <w:t>non-A-non-B-hepatitis</w:t>
      </w:r>
    </w:p>
    <w:p w:rsidR="00B72047" w:rsidRDefault="00B72047">
      <w:pPr>
        <w:pStyle w:val="resumedafterexample"/>
      </w:pPr>
      <w:r>
        <w:rPr>
          <w:rStyle w:val="htmlcodes"/>
        </w:rPr>
        <w:t>&lt;/pre&gt;</w:t>
      </w:r>
      <w:r>
        <w:t xml:space="preserve">the whole phrase would become a single lujvo. The longer lujvo of </w:t>
      </w:r>
      <w:r>
        <w:rPr>
          <w:rStyle w:val="htmlcodes"/>
        </w:rPr>
        <w:t>&lt;a href=#e6d17&gt;</w:t>
      </w:r>
      <w:r>
        <w:t xml:space="preserve">Example 6.17 </w:t>
      </w:r>
      <w:r>
        <w:rPr>
          <w:rStyle w:val="htmlcodes"/>
        </w:rPr>
        <w:t>&lt;/a&gt;</w:t>
      </w:r>
      <w:r>
        <w:t>may be preferable, because its place structure can be built from that of</w:t>
      </w:r>
      <w:r>
        <w:rPr>
          <w:rStyle w:val="deletedparamark"/>
        </w:rPr>
        <w:t xml:space="preserve"> “</w:t>
      </w:r>
      <w:r>
        <w:t>bilma”, whereas the place structure of a lujvo with</w:t>
      </w:r>
      <w:r>
        <w:softHyphen/>
        <w:t>out a brivla must</w:t>
      </w:r>
      <w:r>
        <w:rPr>
          <w:rStyle w:val="deletedparamark"/>
        </w:rPr>
        <w:t xml:space="preserve"> </w:t>
      </w:r>
      <w:r>
        <w:t>be constructed ad hoc.</w:t>
      </w:r>
    </w:p>
    <w:p w:rsidR="00B72047" w:rsidRDefault="00B72047">
      <w:pPr>
        <w:rPr>
          <w:rStyle w:val="htmlparacode"/>
        </w:rPr>
      </w:pPr>
      <w:r>
        <w:rPr>
          <w:rStyle w:val="htmlparacode"/>
        </w:rPr>
        <w:t>&lt;p&gt;</w:t>
      </w:r>
    </w:p>
    <w:p w:rsidR="00B72047" w:rsidRDefault="00B72047">
      <w:pPr>
        <w:pStyle w:val="normalparagraph"/>
      </w:pPr>
      <w:r>
        <w:rPr>
          <w:rStyle w:val="indexentry"/>
        </w:rPr>
        <w:t>&lt;cx "rafsi, contrasted with words"&gt;</w:t>
      </w:r>
      <w:r>
        <w:rPr>
          <w:rStyle w:val="indexentry"/>
        </w:rPr>
        <w:fldChar w:fldCharType="begin"/>
      </w:r>
      <w:r>
        <w:instrText>xe "</w:instrText>
      </w:r>
      <w:r>
        <w:rPr>
          <w:rStyle w:val="xeentry"/>
        </w:rPr>
        <w:instrText>rafsi: contrasted with words</w:instrText>
      </w:r>
      <w:r>
        <w:instrText>"</w:instrText>
      </w:r>
      <w:r>
        <w:rPr>
          <w:rStyle w:val="indexentry"/>
        </w:rPr>
        <w:fldChar w:fldCharType="end"/>
      </w:r>
      <w:r>
        <w:rPr>
          <w:rStyle w:val="indexentry"/>
        </w:rPr>
        <w:t>&lt;cx "rafsi, contrasted with cmavo in usage"&gt;</w:t>
      </w:r>
      <w:r>
        <w:rPr>
          <w:rStyle w:val="indexentry"/>
        </w:rPr>
        <w:fldChar w:fldCharType="begin"/>
      </w:r>
      <w:r>
        <w:instrText>xe "</w:instrText>
      </w:r>
      <w:r>
        <w:rPr>
          <w:rStyle w:val="xeentry"/>
        </w:rPr>
        <w:instrText>rafsi: contrasted with cmavo in usage</w:instrText>
      </w:r>
      <w:r>
        <w:instrText>"</w:instrText>
      </w:r>
      <w:r>
        <w:rPr>
          <w:rStyle w:val="indexentry"/>
        </w:rPr>
        <w:fldChar w:fldCharType="end"/>
      </w:r>
      <w:r>
        <w:rPr>
          <w:rStyle w:val="indexentry"/>
        </w:rPr>
        <w:t>&lt;cx "cmavo, contrasted with rafsi in usage"&gt;</w:t>
      </w:r>
      <w:r>
        <w:rPr>
          <w:rStyle w:val="indexentry"/>
        </w:rPr>
        <w:fldChar w:fldCharType="begin"/>
      </w:r>
      <w:r>
        <w:instrText>xe "</w:instrText>
      </w:r>
      <w:r>
        <w:rPr>
          <w:rStyle w:val="xeentry"/>
        </w:rPr>
        <w:instrText>cmavo: contrasted with rafsi in usage</w:instrText>
      </w:r>
      <w:r>
        <w:instrText>"</w:instrText>
      </w:r>
      <w:r>
        <w:rPr>
          <w:rStyle w:val="indexentry"/>
        </w:rPr>
        <w:fldChar w:fldCharType="end"/>
      </w:r>
      <w:r>
        <w:t>Note that rafsi may not be used in “zei” phrases, because they are not words.</w:t>
      </w:r>
      <w:r>
        <w:rPr>
          <w:rStyle w:val="deletedparamark"/>
        </w:rPr>
        <w:t xml:space="preserve"> </w:t>
      </w:r>
      <w:r>
        <w:t>CVV rafsi look like words (specifically cmavo) but there can be no confusion</w:t>
      </w:r>
      <w:r>
        <w:rPr>
          <w:rStyle w:val="deletedparamark"/>
        </w:rPr>
        <w:t xml:space="preserve"> </w:t>
      </w:r>
      <w:r>
        <w:t>between the two uses of the same letters, because cmavo appear only as</w:t>
      </w:r>
      <w:r>
        <w:rPr>
          <w:rStyle w:val="deletedparamark"/>
        </w:rPr>
        <w:t xml:space="preserve"> </w:t>
      </w:r>
      <w:r>
        <w:t>separate words or in compound cmavo (which are really just a notation</w:t>
      </w:r>
      <w:r>
        <w:rPr>
          <w:rStyle w:val="deletedparamark"/>
        </w:rPr>
        <w:t xml:space="preserve"> </w:t>
      </w:r>
      <w:r>
        <w:t>for writing separate but closely re</w:t>
      </w:r>
      <w:r>
        <w:softHyphen/>
        <w:t>lated words as if they were one); rafsi</w:t>
      </w:r>
      <w:r>
        <w:rPr>
          <w:rStyle w:val="deletedparamark"/>
        </w:rPr>
        <w:t xml:space="preserve"> </w:t>
      </w:r>
      <w:r>
        <w:t>appear only as parts of lujvo.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167" w:name="_Toc395691505"/>
      <w:bookmarkStart w:id="168" w:name="_Toc398970476"/>
      <w:r>
        <w:rPr>
          <w:rStyle w:val="Heading3Text"/>
        </w:rPr>
        <w:t>fu'ivla</w:t>
      </w:r>
      <w:bookmarkEnd w:id="167"/>
      <w:bookmarkEnd w:id="16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"fu'ivla, use of"&gt;</w:t>
      </w:r>
      <w:r>
        <w:rPr>
          <w:rStyle w:val="indexentry"/>
        </w:rPr>
        <w:fldChar w:fldCharType="begin"/>
      </w:r>
      <w:r>
        <w:instrText>xe "</w:instrText>
      </w:r>
      <w:r>
        <w:rPr>
          <w:rStyle w:val="xeentry"/>
        </w:rPr>
        <w:instrText>fu'ivla: use of</w:instrText>
      </w:r>
      <w:r>
        <w:instrText>"</w:instrText>
      </w:r>
      <w:r>
        <w:rPr>
          <w:rStyle w:val="indexentry"/>
        </w:rPr>
        <w:fldChar w:fldCharType="end"/>
      </w:r>
      <w:r>
        <w:rPr>
          <w:rStyle w:val="indexentry"/>
        </w:rPr>
        <w:t>&lt;cx "concrete terms, use of fu'ivla for"&gt;</w:t>
      </w:r>
      <w:r>
        <w:rPr>
          <w:rStyle w:val="indexentry"/>
        </w:rPr>
        <w:fldChar w:fldCharType="begin"/>
      </w:r>
      <w:r>
        <w:instrText>xe "</w:instrText>
      </w:r>
      <w:r>
        <w:rPr>
          <w:rStyle w:val="xeentry"/>
        </w:rPr>
        <w:instrText>concrete terms: use of fu'ivla for</w:instrText>
      </w:r>
      <w:r>
        <w:instrText>"</w:instrText>
      </w:r>
      <w:r>
        <w:rPr>
          <w:rStyle w:val="indexentry"/>
        </w:rPr>
        <w:fldChar w:fldCharType="end"/>
      </w:r>
      <w:r>
        <w:rPr>
          <w:rStyle w:val="indexentry"/>
        </w:rPr>
        <w:t>&lt;cx "specific terms, use of fu'ivla for"&gt;</w:t>
      </w:r>
      <w:r>
        <w:rPr>
          <w:rStyle w:val="indexentry"/>
        </w:rPr>
        <w:fldChar w:fldCharType="begin"/>
      </w:r>
      <w:r>
        <w:instrText>xe "</w:instrText>
      </w:r>
      <w:r>
        <w:rPr>
          <w:rStyle w:val="xeentry"/>
        </w:rPr>
        <w:instrText>specific terms: use of fu'ivla for</w:instrText>
      </w:r>
      <w:r>
        <w:instrText>"</w:instrText>
      </w:r>
      <w:r>
        <w:rPr>
          <w:rStyle w:val="indexentry"/>
        </w:rPr>
        <w:fldChar w:fldCharType="end"/>
      </w:r>
      <w:r>
        <w:rPr>
          <w:rStyle w:val="indexentry"/>
        </w:rPr>
        <w:t>&lt;cx "jargon, use of fu'ivla for"&gt;</w:t>
      </w:r>
      <w:r>
        <w:rPr>
          <w:rStyle w:val="indexentry"/>
        </w:rPr>
        <w:fldChar w:fldCharType="begin"/>
      </w:r>
      <w:r>
        <w:instrText>xe "</w:instrText>
      </w:r>
      <w:r>
        <w:rPr>
          <w:rStyle w:val="xeentry"/>
        </w:rPr>
        <w:instrText>jargon: use of fu'ivla for</w:instrText>
      </w:r>
      <w:r>
        <w:instrText>"</w:instrText>
      </w:r>
      <w:r>
        <w:rPr>
          <w:rStyle w:val="indexentry"/>
        </w:rPr>
        <w:fldChar w:fldCharType="end"/>
      </w:r>
      <w:r>
        <w:rPr>
          <w:rStyle w:val="indexentry"/>
        </w:rPr>
        <w:t>&lt;cx "plants, use of fu'ivla for specific"&gt;</w:t>
      </w:r>
      <w:r>
        <w:rPr>
          <w:rStyle w:val="indexentry"/>
        </w:rPr>
        <w:fldChar w:fldCharType="begin"/>
      </w:r>
      <w:r>
        <w:instrText>xe "</w:instrText>
      </w:r>
      <w:r>
        <w:rPr>
          <w:rStyle w:val="xeentry"/>
        </w:rPr>
        <w:instrText>plants: use of fu'ivla for specific</w:instrText>
      </w:r>
      <w:r>
        <w:instrText>"</w:instrText>
      </w:r>
      <w:r>
        <w:rPr>
          <w:rStyle w:val="indexentry"/>
        </w:rPr>
        <w:fldChar w:fldCharType="end"/>
      </w:r>
      <w:r>
        <w:rPr>
          <w:rStyle w:val="indexentry"/>
        </w:rPr>
        <w:t>&lt;cx "animals, use of fu'ivla for specific"&gt;</w:t>
      </w:r>
      <w:r>
        <w:rPr>
          <w:rStyle w:val="indexentry"/>
        </w:rPr>
        <w:fldChar w:fldCharType="begin"/>
      </w:r>
      <w:r>
        <w:instrText>xe "</w:instrText>
      </w:r>
      <w:r>
        <w:rPr>
          <w:rStyle w:val="xeentry"/>
        </w:rPr>
        <w:instrText>animals: use of fu'ivla for specific</w:instrText>
      </w:r>
      <w:r>
        <w:instrText>"</w:instrText>
      </w:r>
      <w:r>
        <w:rPr>
          <w:rStyle w:val="indexentry"/>
        </w:rPr>
        <w:fldChar w:fldCharType="end"/>
      </w:r>
      <w:r>
        <w:rPr>
          <w:rStyle w:val="indexentry"/>
        </w:rPr>
        <w:t>&lt;cx "food, use of fu'ivla for specific"&gt;</w:t>
      </w:r>
      <w:r>
        <w:rPr>
          <w:rStyle w:val="indexentry"/>
        </w:rPr>
        <w:fldChar w:fldCharType="begin"/>
      </w:r>
      <w:r>
        <w:instrText>xe "</w:instrText>
      </w:r>
      <w:r>
        <w:rPr>
          <w:rStyle w:val="xeentry"/>
        </w:rPr>
        <w:instrText>food: use of fu'ivla for specific</w:instrText>
      </w:r>
      <w:r>
        <w:instrText>"</w:instrText>
      </w:r>
      <w:r>
        <w:rPr>
          <w:rStyle w:val="indexentry"/>
        </w:rPr>
        <w:fldChar w:fldCharType="end"/>
      </w:r>
      <w:r>
        <w:rPr>
          <w:rStyle w:val="indexentry"/>
        </w:rPr>
        <w:t>&lt;cx "lujvo, unsuitability of for concrete/specific terms and jargon"&gt;</w:t>
      </w:r>
      <w:r>
        <w:rPr>
          <w:rStyle w:val="indexentry"/>
        </w:rPr>
        <w:fldChar w:fldCharType="begin"/>
      </w:r>
      <w:r>
        <w:instrText>xe "</w:instrText>
      </w:r>
      <w:r>
        <w:rPr>
          <w:rStyle w:val="xeentry"/>
        </w:rPr>
        <w:instrText>lujvo: unsuitability of for concrete/specific terms and jargon</w:instrText>
      </w:r>
      <w:r>
        <w:instrText>"</w:instrText>
      </w:r>
      <w:r>
        <w:rPr>
          <w:rStyle w:val="indexentry"/>
        </w:rPr>
        <w:fldChar w:fldCharType="end"/>
      </w:r>
      <w:r>
        <w:t>The use of tanru or lujvo is not always appropriate for very concrete or</w:t>
      </w:r>
      <w:r>
        <w:rPr>
          <w:rStyle w:val="deletedparamark"/>
        </w:rPr>
        <w:t xml:space="preserve"> </w:t>
      </w:r>
      <w:r>
        <w:t>specific terms (e.g. “brie” or “cobra”), or for jargon words</w:t>
      </w:r>
      <w:r>
        <w:rPr>
          <w:rStyle w:val="deletedparamark"/>
        </w:rPr>
        <w:t xml:space="preserve"> </w:t>
      </w:r>
      <w:r>
        <w:t>specialized to a narrow field (e.g. “quark”, “integral”, or “iambic</w:t>
      </w:r>
      <w:r>
        <w:rPr>
          <w:rStyle w:val="deletedparamark"/>
        </w:rPr>
        <w:t xml:space="preserve"> </w:t>
      </w:r>
      <w:r>
        <w:t>pen</w:t>
      </w:r>
      <w:r>
        <w:softHyphen/>
        <w:t>tameter”). These words are in effect names for con</w:t>
      </w:r>
      <w:r>
        <w:softHyphen/>
        <w:t>cepts, and the</w:t>
      </w:r>
      <w:r>
        <w:rPr>
          <w:rStyle w:val="deletedparamark"/>
        </w:rPr>
        <w:t xml:space="preserve"> </w:t>
      </w:r>
      <w:r>
        <w:t>names were invented by speakers of another language. The vast majority</w:t>
      </w:r>
      <w:r>
        <w:rPr>
          <w:rStyle w:val="deletedparamark"/>
        </w:rPr>
        <w:t xml:space="preserve"> </w:t>
      </w:r>
      <w:r>
        <w:t>of words referring to plants, animals, foods, and scientific terminology</w:t>
      </w:r>
      <w:r>
        <w:rPr>
          <w:rStyle w:val="deletedparamark"/>
        </w:rPr>
        <w:t xml:space="preserve"> </w:t>
      </w:r>
      <w:r>
        <w:t>cannot be easily expressed as tanru. They thus must be borrowed (actually</w:t>
      </w:r>
      <w:r>
        <w:rPr>
          <w:rStyle w:val="deletedparamark"/>
        </w:rPr>
        <w:t xml:space="preserve"> “</w:t>
      </w:r>
      <w:r>
        <w:t>copied”) into Lojban from the original language.</w:t>
      </w:r>
    </w:p>
    <w:p w:rsidR="00B72047" w:rsidRDefault="00B72047">
      <w:pPr>
        <w:rPr>
          <w:rStyle w:val="htmlparacode"/>
        </w:rPr>
      </w:pPr>
      <w:r>
        <w:rPr>
          <w:rStyle w:val="htmlparacode"/>
        </w:rPr>
        <w:t>&lt;p&gt;</w:t>
      </w:r>
    </w:p>
    <w:p w:rsidR="00B72047" w:rsidRDefault="00B72047">
      <w:pPr>
        <w:pStyle w:val="normalparagraph"/>
      </w:pPr>
      <w:r>
        <w:rPr>
          <w:rStyle w:val="indexentry"/>
        </w:rPr>
        <w:t>&lt;cx "borrowing, four stages of"&gt;</w:t>
      </w:r>
      <w:r>
        <w:rPr>
          <w:rStyle w:val="indexentry"/>
        </w:rPr>
        <w:fldChar w:fldCharType="begin"/>
      </w:r>
      <w:r>
        <w:instrText>xe "</w:instrText>
      </w:r>
      <w:r>
        <w:rPr>
          <w:rStyle w:val="xeentry"/>
        </w:rPr>
        <w:instrText>borrowing: four stages of</w:instrText>
      </w:r>
      <w:r>
        <w:instrText>"</w:instrText>
      </w:r>
      <w:r>
        <w:rPr>
          <w:rStyle w:val="indexentry"/>
        </w:rPr>
        <w:fldChar w:fldCharType="end"/>
      </w:r>
      <w:r>
        <w:rPr>
          <w:rStyle w:val="indexentry"/>
        </w:rPr>
        <w:t>&lt;lx "la'o"&gt;</w:t>
      </w:r>
      <w:r>
        <w:rPr>
          <w:rStyle w:val="indexentry"/>
        </w:rPr>
        <w:fldChar w:fldCharType="begin"/>
      </w:r>
      <w:r>
        <w:instrText>xe "</w:instrText>
      </w:r>
      <w:r>
        <w:rPr>
          <w:rStyle w:val="xeentry"/>
        </w:rPr>
        <w:instrText>la'o</w:instrText>
      </w:r>
      <w:r>
        <w:instrText>"</w:instrText>
      </w:r>
      <w:r>
        <w:rPr>
          <w:rStyle w:val="indexentry"/>
        </w:rPr>
        <w:fldChar w:fldCharType="end"/>
      </w:r>
      <w:r>
        <w:rPr>
          <w:rStyle w:val="indexentry"/>
        </w:rPr>
        <w:t>&lt;cx "borrowings, using foreign-language name"&gt;</w:t>
      </w:r>
      <w:r>
        <w:rPr>
          <w:rStyle w:val="indexentry"/>
        </w:rPr>
        <w:fldChar w:fldCharType="begin"/>
      </w:r>
      <w:r>
        <w:instrText>xe "</w:instrText>
      </w:r>
      <w:r>
        <w:rPr>
          <w:rStyle w:val="xeentry"/>
        </w:rPr>
        <w:instrText>borrowings: using foreign-language name</w:instrText>
      </w:r>
      <w:r>
        <w:instrText>"</w:instrText>
      </w:r>
      <w:r>
        <w:rPr>
          <w:rStyle w:val="indexentry"/>
        </w:rPr>
        <w:fldChar w:fldCharType="end"/>
      </w:r>
      <w:r>
        <w:rPr>
          <w:rStyle w:val="indexentry"/>
        </w:rPr>
        <w:t>&lt;cx "borrowings, Stage 1"&gt;</w:t>
      </w:r>
      <w:r>
        <w:rPr>
          <w:rStyle w:val="indexentry"/>
        </w:rPr>
        <w:fldChar w:fldCharType="begin"/>
      </w:r>
      <w:r>
        <w:instrText>xe "</w:instrText>
      </w:r>
      <w:r>
        <w:rPr>
          <w:rStyle w:val="xeentry"/>
        </w:rPr>
        <w:instrText>borrowings: Stage 1</w:instrText>
      </w:r>
      <w:r>
        <w:instrText>"</w:instrText>
      </w:r>
      <w:r>
        <w:rPr>
          <w:rStyle w:val="indexentry"/>
        </w:rPr>
        <w:fldChar w:fldCharType="end"/>
      </w:r>
      <w:r>
        <w:t>There are four stages of borrowing in Lojban, as words be</w:t>
      </w:r>
      <w:r>
        <w:softHyphen/>
        <w:t>come more and more</w:t>
      </w:r>
      <w:r>
        <w:rPr>
          <w:rStyle w:val="deletedparamark"/>
        </w:rPr>
        <w:t xml:space="preserve"> </w:t>
      </w:r>
      <w:r>
        <w:t>modified (but shorter and easier to use). Stage 1 is the use of a foreign</w:t>
      </w:r>
      <w:r>
        <w:rPr>
          <w:rStyle w:val="deletedparamark"/>
        </w:rPr>
        <w:t xml:space="preserve"> </w:t>
      </w:r>
      <w:r>
        <w:t xml:space="preserve">name quoted with the cmavo “la'o” (explained in full 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&lt;cx "spaghetti"&gt;</w:t>
      </w:r>
      <w:r>
        <w:rPr>
          <w:rStyle w:val="indexentry"/>
        </w:rPr>
        <w:fldChar w:fldCharType="begin"/>
      </w:r>
      <w:r>
        <w:instrText>xe "</w:instrText>
      </w:r>
      <w:r>
        <w:rPr>
          <w:rStyle w:val="xeentry"/>
        </w:rPr>
        <w:instrText>spaghetti</w:instrText>
      </w:r>
      <w:r>
        <w:instrText>"</w:instrText>
      </w:r>
      <w:r>
        <w:rPr>
          <w:rStyle w:val="indexentry"/>
        </w:rPr>
        <w:fldChar w:fldCharType="end"/>
      </w:r>
      <w:r>
        <w:rPr>
          <w:rStyle w:val="htmlcodes"/>
        </w:rPr>
        <w:t>&lt;pre&gt;&lt;a name=e7d1&gt;</w:t>
      </w:r>
      <w:r>
        <w:t>7.1)</w:t>
      </w:r>
      <w:r>
        <w:tab/>
        <w:t>me la'o ly. spaghetti .ly.</w:t>
      </w:r>
    </w:p>
    <w:p w:rsidR="00B72047" w:rsidRDefault="00B72047">
      <w:pPr>
        <w:pStyle w:val="resumedafterexample"/>
      </w:pPr>
      <w:r>
        <w:rPr>
          <w:rStyle w:val="htmlcodes"/>
        </w:rPr>
        <w:t>&lt;/pre&gt;</w:t>
      </w:r>
      <w:r>
        <w:t>is a predicate with the place structure “x1 is a quantity of spaghetti”.</w:t>
      </w:r>
    </w:p>
    <w:p w:rsidR="00B72047" w:rsidRDefault="00B72047">
      <w:pPr>
        <w:rPr>
          <w:rStyle w:val="htmlparacode"/>
        </w:rPr>
      </w:pPr>
      <w:r>
        <w:rPr>
          <w:rStyle w:val="htmlparacode"/>
        </w:rPr>
        <w:t>&lt;p&gt;</w:t>
      </w:r>
    </w:p>
    <w:p w:rsidR="00B72047" w:rsidRDefault="00B72047">
      <w:pPr>
        <w:pStyle w:val="normalparagraph"/>
      </w:pPr>
      <w:r>
        <w:rPr>
          <w:rStyle w:val="indexentry"/>
        </w:rPr>
        <w:t>&lt;cx "borrowings, using lojbanized name"&gt;</w:t>
      </w:r>
      <w:r>
        <w:rPr>
          <w:rStyle w:val="indexentry"/>
        </w:rPr>
        <w:fldChar w:fldCharType="begin"/>
      </w:r>
      <w:r>
        <w:instrText>xe "</w:instrText>
      </w:r>
      <w:r>
        <w:rPr>
          <w:rStyle w:val="xeentry"/>
        </w:rPr>
        <w:instrText>borrowings: using lojbanized name</w:instrText>
      </w:r>
      <w:r>
        <w:instrText>"</w:instrText>
      </w:r>
      <w:r>
        <w:rPr>
          <w:rStyle w:val="indexentry"/>
        </w:rPr>
        <w:fldChar w:fldCharType="end"/>
      </w:r>
      <w:r>
        <w:rPr>
          <w:rStyle w:val="indexentry"/>
        </w:rPr>
        <w:t>&lt;cx "borrowings, Stage 2"&gt;</w:t>
      </w:r>
      <w:r>
        <w:rPr>
          <w:rStyle w:val="indexentry"/>
        </w:rPr>
        <w:fldChar w:fldCharType="begin"/>
      </w:r>
      <w:r>
        <w:instrText>xe "</w:instrText>
      </w:r>
      <w:r>
        <w:rPr>
          <w:rStyle w:val="xeentry"/>
        </w:rPr>
        <w:instrText>borrowings: Stage 2</w:instrText>
      </w:r>
      <w:r>
        <w:instrText>"</w:instrText>
      </w:r>
      <w:r>
        <w:rPr>
          <w:rStyle w:val="indexentry"/>
        </w:rPr>
        <w:fldChar w:fldCharType="end"/>
      </w:r>
      <w:r>
        <w:t>Stage 2 involves changing the foreign name to a Lojbanized name, as ex</w:t>
      </w:r>
      <w:r>
        <w:softHyphen/>
        <w:t>plained</w:t>
      </w:r>
      <w:r>
        <w:rPr>
          <w:rStyle w:val="deletedparamark"/>
        </w:rPr>
        <w:t xml:space="preserve"> </w:t>
      </w:r>
      <w:r>
        <w:t xml:space="preserve">in </w:t>
      </w:r>
      <w:r>
        <w:rPr>
          <w:rStyle w:val="htmlcodes"/>
        </w:rPr>
        <w:t>&lt;a href=#s8&gt;</w:t>
      </w:r>
      <w:r>
        <w:t>Section 8</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me la spagetis.</w:t>
      </w:r>
    </w:p>
    <w:p w:rsidR="00B72047" w:rsidRDefault="00B72047">
      <w:pPr>
        <w:pStyle w:val="resumedafterexample"/>
      </w:pPr>
      <w:r>
        <w:rPr>
          <w:rStyle w:val="htmlcodes"/>
        </w:rPr>
        <w:t>&lt;/pre&gt;&lt;p&gt;</w:t>
      </w:r>
      <w:r>
        <w:t>One of these expedients is often quite sufficient when you need a word</w:t>
      </w:r>
      <w:r>
        <w:rPr>
          <w:rStyle w:val="deletedparamark"/>
        </w:rPr>
        <w:t xml:space="preserve"> </w:t>
      </w:r>
      <w:r>
        <w:t>quickly in con</w:t>
      </w:r>
      <w:r>
        <w:softHyphen/>
        <w:t>versation. (This can make it easier to get by when you</w:t>
      </w:r>
      <w:r>
        <w:rPr>
          <w:rStyle w:val="deletedparamark"/>
        </w:rPr>
        <w:t xml:space="preserve"> </w:t>
      </w:r>
      <w:r>
        <w:t>do not yet have full command of the Lojban vocabulary, provided you are</w:t>
      </w:r>
      <w:r>
        <w:rPr>
          <w:rStyle w:val="deletedparamark"/>
        </w:rPr>
        <w:t xml:space="preserve"> </w:t>
      </w:r>
      <w:r>
        <w:t>talking to someone who will recognize the bor</w:t>
      </w:r>
      <w:r>
        <w:softHyphen/>
        <w:t>rowing.)</w:t>
      </w:r>
    </w:p>
    <w:p w:rsidR="00B72047" w:rsidRDefault="00B72047">
      <w:pPr>
        <w:rPr>
          <w:rStyle w:val="htmlparacode"/>
        </w:rPr>
      </w:pPr>
      <w:r>
        <w:rPr>
          <w:rStyle w:val="htmlparacode"/>
        </w:rPr>
        <w:t>&lt;p&gt;</w:t>
      </w:r>
    </w:p>
    <w:p w:rsidR="00B72047" w:rsidRDefault="00B72047">
      <w:pPr>
        <w:pStyle w:val="normalparagraph"/>
      </w:pPr>
      <w:r>
        <w:rPr>
          <w:rStyle w:val="indexentry"/>
        </w:rPr>
        <w:t>&lt;cx "borrowings, fu'ivla form with categorizing rafsi"&gt;</w:t>
      </w:r>
      <w:r>
        <w:rPr>
          <w:rStyle w:val="indexentry"/>
        </w:rPr>
        <w:fldChar w:fldCharType="begin"/>
      </w:r>
      <w:r>
        <w:instrText>xe "</w:instrText>
      </w:r>
      <w:r>
        <w:rPr>
          <w:rStyle w:val="xeentry"/>
        </w:rPr>
        <w:instrText>borrowings: fu'ivla form with categorizing rafsi</w:instrText>
      </w:r>
      <w:r>
        <w:instrText>"</w:instrText>
      </w:r>
      <w:r>
        <w:rPr>
          <w:rStyle w:val="indexentry"/>
        </w:rPr>
        <w:fldChar w:fldCharType="end"/>
      </w:r>
      <w:r>
        <w:rPr>
          <w:rStyle w:val="indexentry"/>
        </w:rPr>
        <w:t>&lt;cx "borrowings, Stage 3"&gt;</w:t>
      </w:r>
      <w:r>
        <w:rPr>
          <w:rStyle w:val="indexentry"/>
        </w:rPr>
        <w:fldChar w:fldCharType="begin"/>
      </w:r>
      <w:r>
        <w:instrText>xe "</w:instrText>
      </w:r>
      <w:r>
        <w:rPr>
          <w:rStyle w:val="xeentry"/>
        </w:rPr>
        <w:instrText>borrowings: Stage 3</w:instrText>
      </w:r>
      <w:r>
        <w:instrText>"</w:instrText>
      </w:r>
      <w:r>
        <w:rPr>
          <w:rStyle w:val="indexentry"/>
        </w:rPr>
        <w:fldChar w:fldCharType="end"/>
      </w:r>
      <w:r>
        <w:rPr>
          <w:rStyle w:val="indexentry"/>
        </w:rPr>
        <w:t>&lt;cx "fu'ivla, as Stage 3 borrowings"&gt;</w:t>
      </w:r>
      <w:r>
        <w:rPr>
          <w:rStyle w:val="indexentry"/>
        </w:rPr>
        <w:fldChar w:fldCharType="begin"/>
      </w:r>
      <w:r>
        <w:instrText>xe "</w:instrText>
      </w:r>
      <w:r>
        <w:rPr>
          <w:rStyle w:val="xeentry"/>
        </w:rPr>
        <w:instrText>fu'ivla: as Stage 3 borrowings</w:instrText>
      </w:r>
      <w:r>
        <w:instrText>"</w:instrText>
      </w:r>
      <w:r>
        <w:rPr>
          <w:rStyle w:val="indexentry"/>
        </w:rPr>
        <w:fldChar w:fldCharType="end"/>
      </w:r>
      <w:r>
        <w:t>Where a little more universality is desired, the word to be bor</w:t>
      </w:r>
      <w:r>
        <w:softHyphen/>
        <w:t>rowed</w:t>
      </w:r>
      <w:r>
        <w:rPr>
          <w:rStyle w:val="deletedparamark"/>
        </w:rPr>
        <w:t xml:space="preserve"> </w:t>
      </w:r>
      <w:r>
        <w:t>must be L</w:t>
      </w:r>
      <w:r>
        <w:t>o</w:t>
      </w:r>
      <w:r>
        <w:t>j</w:t>
      </w:r>
      <w:r>
        <w:softHyphen/>
        <w:t>banized into one of several permitted forms. A rafsi is then</w:t>
      </w:r>
      <w:r>
        <w:rPr>
          <w:rStyle w:val="deletedparamark"/>
        </w:rPr>
        <w:t xml:space="preserve"> </w:t>
      </w:r>
      <w:r>
        <w:t>usually attached to the b</w:t>
      </w:r>
      <w:r>
        <w:t>e</w:t>
      </w:r>
      <w:r>
        <w:t>gin</w:t>
      </w:r>
      <w:r>
        <w:softHyphen/>
        <w:t>ning of the Lojbanized form, us</w:t>
      </w:r>
      <w:r>
        <w:softHyphen/>
        <w:t>ing a hyphen to</w:t>
      </w:r>
      <w:r>
        <w:rPr>
          <w:rStyle w:val="deletedparamark"/>
        </w:rPr>
        <w:t xml:space="preserve"> </w:t>
      </w:r>
      <w:r>
        <w:t>ensure that the resulting word doesn't fall apart.</w:t>
      </w:r>
    </w:p>
    <w:p w:rsidR="00B72047" w:rsidRDefault="00B72047">
      <w:pPr>
        <w:rPr>
          <w:rStyle w:val="htmlparacode"/>
        </w:rPr>
      </w:pPr>
      <w:r>
        <w:rPr>
          <w:rStyle w:val="htmlparacode"/>
        </w:rPr>
        <w:t>&lt;p&gt;</w:t>
      </w:r>
    </w:p>
    <w:p w:rsidR="00B72047" w:rsidRDefault="00B72047">
      <w:pPr>
        <w:pStyle w:val="normalparagraph"/>
      </w:pPr>
      <w:r>
        <w:rPr>
          <w:rStyle w:val="indexentry"/>
        </w:rPr>
        <w:t>&lt;cx "fu'ivla categorizer"&gt;</w:t>
      </w:r>
      <w:r>
        <w:rPr>
          <w:rStyle w:val="indexentry"/>
        </w:rPr>
        <w:fldChar w:fldCharType="begin"/>
      </w:r>
      <w:r>
        <w:instrText>xe "</w:instrText>
      </w:r>
      <w:r>
        <w:rPr>
          <w:rStyle w:val="xeentry"/>
        </w:rPr>
        <w:instrText>fu'ivla categorizer</w:instrText>
      </w:r>
      <w:r>
        <w:instrText>"</w:instrText>
      </w:r>
      <w:r>
        <w:rPr>
          <w:rStyle w:val="indexentry"/>
        </w:rPr>
        <w:fldChar w:fldCharType="end"/>
      </w:r>
      <w:r>
        <w:rPr>
          <w:rStyle w:val="indexentry"/>
        </w:rPr>
        <w:t>&lt;cx "rafsi, as fu'ivla categorizer"&gt;</w:t>
      </w:r>
      <w:r>
        <w:rPr>
          <w:rStyle w:val="indexentry"/>
        </w:rPr>
        <w:fldChar w:fldCharType="begin"/>
      </w:r>
      <w:r>
        <w:instrText>xe "</w:instrText>
      </w:r>
      <w:r>
        <w:rPr>
          <w:rStyle w:val="xeentry"/>
        </w:rPr>
        <w:instrText>rafsi: as fu'ivla categorizer</w:instrText>
      </w:r>
      <w:r>
        <w:instrText>"</w:instrText>
      </w:r>
      <w:r>
        <w:rPr>
          <w:rStyle w:val="indexentry"/>
        </w:rPr>
        <w:fldChar w:fldCharType="end"/>
      </w:r>
      <w:r>
        <w:rPr>
          <w:rStyle w:val="indexentry"/>
        </w:rPr>
        <w:t>&lt;cx "fu'ivla, uniqueness of meaning in"&gt;</w:t>
      </w:r>
      <w:r>
        <w:rPr>
          <w:rStyle w:val="indexentry"/>
        </w:rPr>
        <w:fldChar w:fldCharType="begin"/>
      </w:r>
      <w:r>
        <w:instrText>xe "</w:instrText>
      </w:r>
      <w:r>
        <w:rPr>
          <w:rStyle w:val="xeentry"/>
        </w:rPr>
        <w:instrText>fu'ivla: uniqueness of meaning in</w:instrText>
      </w:r>
      <w:r>
        <w:instrText>"</w:instrText>
      </w:r>
      <w:r>
        <w:rPr>
          <w:rStyle w:val="indexentry"/>
        </w:rPr>
        <w:fldChar w:fldCharType="end"/>
      </w:r>
      <w:r>
        <w:rPr>
          <w:rStyle w:val="indexentry"/>
        </w:rPr>
        <w:t>&lt;cx "borrowings, most common form for"&gt;</w:t>
      </w:r>
      <w:r>
        <w:rPr>
          <w:rStyle w:val="indexentry"/>
        </w:rPr>
        <w:fldChar w:fldCharType="begin"/>
      </w:r>
      <w:r>
        <w:instrText>xe "</w:instrText>
      </w:r>
      <w:r>
        <w:rPr>
          <w:rStyle w:val="xeentry"/>
        </w:rPr>
        <w:instrText>borrowings: most common form for</w:instrText>
      </w:r>
      <w:r>
        <w:instrText>"</w:instrText>
      </w:r>
      <w:r>
        <w:rPr>
          <w:rStyle w:val="indexentry"/>
        </w:rPr>
        <w:fldChar w:fldCharType="end"/>
      </w:r>
      <w:r>
        <w:t>The rafsi categorizes or limits the meaning of the fu'ivla; oth</w:t>
      </w:r>
      <w:r>
        <w:softHyphen/>
        <w:t>erwise a word</w:t>
      </w:r>
      <w:r>
        <w:rPr>
          <w:rStyle w:val="deletedparamark"/>
        </w:rPr>
        <w:t xml:space="preserve"> </w:t>
      </w:r>
      <w:r>
        <w:t>having several different jargon meanings in other lan</w:t>
      </w:r>
      <w:r>
        <w:softHyphen/>
        <w:t>guages would require</w:t>
      </w:r>
      <w:r>
        <w:rPr>
          <w:rStyle w:val="deletedparamark"/>
        </w:rPr>
        <w:t xml:space="preserve"> </w:t>
      </w:r>
      <w:r>
        <w:t>the word-inventor to choose which meaning should be assigned to the fu'ivla,</w:t>
      </w:r>
      <w:r>
        <w:rPr>
          <w:rStyle w:val="deletedparamark"/>
        </w:rPr>
        <w:t xml:space="preserve"> </w:t>
      </w:r>
      <w:r>
        <w:t>since fu'ivla (like other brivla) are not permitted to have more than one</w:t>
      </w:r>
      <w:r>
        <w:rPr>
          <w:rStyle w:val="deletedparamark"/>
        </w:rPr>
        <w:t xml:space="preserve"> </w:t>
      </w:r>
      <w:r>
        <w:t>definition. Such a Stage 3 bor</w:t>
      </w:r>
      <w:r>
        <w:softHyphen/>
        <w:t>rowing is the most common kind of fu'ivla.</w:t>
      </w:r>
    </w:p>
    <w:p w:rsidR="00B72047" w:rsidRDefault="00B72047">
      <w:pPr>
        <w:rPr>
          <w:rStyle w:val="htmlparacode"/>
        </w:rPr>
      </w:pPr>
      <w:r>
        <w:rPr>
          <w:rStyle w:val="htmlparacode"/>
        </w:rPr>
        <w:t>&lt;p&gt;</w:t>
      </w:r>
    </w:p>
    <w:p w:rsidR="00B72047" w:rsidRDefault="00B72047">
      <w:pPr>
        <w:pStyle w:val="normalparagraph"/>
      </w:pPr>
      <w:r>
        <w:rPr>
          <w:rStyle w:val="indexentry"/>
        </w:rPr>
        <w:t>&lt;cx "borrowings, fu'ivla form without categorizing rafsi"&gt;</w:t>
      </w:r>
      <w:r>
        <w:rPr>
          <w:rStyle w:val="indexentry"/>
        </w:rPr>
        <w:fldChar w:fldCharType="begin"/>
      </w:r>
      <w:r>
        <w:instrText>xe "</w:instrText>
      </w:r>
      <w:r>
        <w:rPr>
          <w:rStyle w:val="xeentry"/>
        </w:rPr>
        <w:instrText>borrowings: fu'ivla form without categorizing rafsi</w:instrText>
      </w:r>
      <w:r>
        <w:instrText>"</w:instrText>
      </w:r>
      <w:r>
        <w:rPr>
          <w:rStyle w:val="indexentry"/>
        </w:rPr>
        <w:fldChar w:fldCharType="end"/>
      </w:r>
      <w:r>
        <w:rPr>
          <w:rStyle w:val="indexentry"/>
        </w:rPr>
        <w:t>&lt;cx "borrowings, Stage 4"&gt;</w:t>
      </w:r>
      <w:r>
        <w:rPr>
          <w:rStyle w:val="indexentry"/>
        </w:rPr>
        <w:fldChar w:fldCharType="begin"/>
      </w:r>
      <w:r>
        <w:instrText>xe "</w:instrText>
      </w:r>
      <w:r>
        <w:rPr>
          <w:rStyle w:val="xeentry"/>
        </w:rPr>
        <w:instrText>borrowings: Stage 4</w:instrText>
      </w:r>
      <w:r>
        <w:instrText>"</w:instrText>
      </w:r>
      <w:r>
        <w:rPr>
          <w:rStyle w:val="indexentry"/>
        </w:rPr>
        <w:fldChar w:fldCharType="end"/>
      </w:r>
      <w:r>
        <w:rPr>
          <w:rStyle w:val="indexentry"/>
        </w:rPr>
        <w:t>&lt;cx "fu'ivla, as Stage 4 borrowings"&gt;</w:t>
      </w:r>
      <w:r>
        <w:rPr>
          <w:rStyle w:val="indexentry"/>
        </w:rPr>
        <w:fldChar w:fldCharType="begin"/>
      </w:r>
      <w:r>
        <w:instrText>xe "</w:instrText>
      </w:r>
      <w:r>
        <w:rPr>
          <w:rStyle w:val="xeentry"/>
        </w:rPr>
        <w:instrText>fu'ivla: as Stage 4 borrowings</w:instrText>
      </w:r>
      <w:r>
        <w:instrText>"</w:instrText>
      </w:r>
      <w:r>
        <w:rPr>
          <w:rStyle w:val="indexentry"/>
        </w:rPr>
        <w:fldChar w:fldCharType="end"/>
      </w:r>
      <w:r>
        <w:t>Finally, Stage 4 fu'ivla do not have any rafsi classifier, and are used</w:t>
      </w:r>
      <w:r>
        <w:rPr>
          <w:rStyle w:val="deletedparamark"/>
        </w:rPr>
        <w:t xml:space="preserve"> </w:t>
      </w:r>
      <w:r>
        <w:t>where a fu'ivla has become so common or so important that it must be made</w:t>
      </w:r>
      <w:r>
        <w:rPr>
          <w:rStyle w:val="deletedparamark"/>
        </w:rPr>
        <w:t xml:space="preserve"> </w:t>
      </w:r>
      <w:r>
        <w:t xml:space="preserve">as short as possible. (See </w:t>
      </w:r>
      <w:r>
        <w:rPr>
          <w:rStyle w:val="htmlcodes"/>
        </w:rPr>
        <w:t>&lt;a href=#s16&gt;</w:t>
      </w:r>
      <w:r>
        <w:t xml:space="preserve">Section 16 </w:t>
      </w:r>
      <w:r>
        <w:rPr>
          <w:rStyle w:val="htmlcodes"/>
        </w:rPr>
        <w:t>&lt;/a&gt;</w:t>
      </w:r>
      <w:r>
        <w:t>for a proposal concerning Stage 4</w:t>
      </w:r>
      <w:r>
        <w:rPr>
          <w:rStyle w:val="deletedparamark"/>
        </w:rPr>
        <w:t xml:space="preserve"> </w:t>
      </w:r>
      <w:r>
        <w:t>fu'ivla.)</w:t>
      </w:r>
    </w:p>
    <w:p w:rsidR="00B72047" w:rsidRDefault="00B72047">
      <w:pPr>
        <w:rPr>
          <w:rStyle w:val="htmlparacode"/>
        </w:rPr>
      </w:pPr>
      <w:r>
        <w:rPr>
          <w:rStyle w:val="htmlparacode"/>
        </w:rPr>
        <w:t>&lt;p&gt;</w:t>
      </w:r>
    </w:p>
    <w:p w:rsidR="00B72047" w:rsidRDefault="00B72047">
      <w:pPr>
        <w:pStyle w:val="normalparagraph"/>
      </w:pPr>
      <w:r>
        <w:rPr>
          <w:rStyle w:val="indexentry"/>
        </w:rPr>
        <w:t>&lt;cx "fu'ivla, construction of"&gt;</w:t>
      </w:r>
      <w:r>
        <w:rPr>
          <w:rStyle w:val="indexentry"/>
        </w:rPr>
        <w:fldChar w:fldCharType="begin"/>
      </w:r>
      <w:r>
        <w:instrText>xe "</w:instrText>
      </w:r>
      <w:r>
        <w:rPr>
          <w:rStyle w:val="xeentry"/>
        </w:rPr>
        <w:instrText>fu'ivla: construction of</w:instrText>
      </w:r>
      <w:r>
        <w:instrText>"</w:instrText>
      </w:r>
      <w:r>
        <w:rPr>
          <w:rStyle w:val="indexentry"/>
        </w:rPr>
        <w:fldChar w:fldCharType="end"/>
      </w:r>
      <w:r>
        <w:rPr>
          <w:rStyle w:val="indexentry"/>
        </w:rPr>
        <w:t>&lt;cx "fu'ivla, form of"&gt;</w:t>
      </w:r>
      <w:r>
        <w:rPr>
          <w:rStyle w:val="indexentry"/>
        </w:rPr>
        <w:fldChar w:fldCharType="begin"/>
      </w:r>
      <w:r>
        <w:instrText>xe "</w:instrText>
      </w:r>
      <w:r>
        <w:rPr>
          <w:rStyle w:val="xeentry"/>
        </w:rPr>
        <w:instrText>fu'ivla: form of</w:instrText>
      </w:r>
      <w:r>
        <w:instrText>"</w:instrText>
      </w:r>
      <w:r>
        <w:rPr>
          <w:rStyle w:val="indexentry"/>
        </w:rPr>
        <w:fldChar w:fldCharType="end"/>
      </w:r>
      <w:r>
        <w:t>The form of a fu'ivla reliably distinguishes it from both the gismu and the</w:t>
      </w:r>
      <w:r>
        <w:rPr>
          <w:rStyle w:val="deletedparamark"/>
        </w:rPr>
        <w:t xml:space="preserve"> </w:t>
      </w:r>
      <w:r>
        <w:t>cmavo. Like cultural gismu, fu'ivla are generally based on a word from a</w:t>
      </w:r>
      <w:r>
        <w:rPr>
          <w:rStyle w:val="deletedparamark"/>
        </w:rPr>
        <w:t xml:space="preserve"> </w:t>
      </w:r>
      <w:r>
        <w:t>single non-Lojban lan</w:t>
      </w:r>
      <w:r>
        <w:softHyphen/>
        <w:t>guage. The word is “borrowed” (actually “copied”, hence</w:t>
      </w:r>
      <w:r>
        <w:rPr>
          <w:rStyle w:val="deletedparamark"/>
        </w:rPr>
        <w:t xml:space="preserve"> </w:t>
      </w:r>
      <w:r>
        <w:t>the Lojban tanru “fukpi valsi”) from the other language and Lojbanized —</w:t>
      </w:r>
      <w:r>
        <w:rPr>
          <w:rStyle w:val="deletedparamark"/>
        </w:rPr>
        <w:t xml:space="preserve"> </w:t>
      </w:r>
      <w:r>
        <w:t>the phonemes are converted to their closest Lojban equivalent and</w:t>
      </w:r>
      <w:r>
        <w:rPr>
          <w:rStyle w:val="deletedparamark"/>
        </w:rPr>
        <w:t xml:space="preserve"> </w:t>
      </w:r>
      <w:r>
        <w:t>modifications are made as necessary to make the word a legitimate Lojban</w:t>
      </w:r>
      <w:r>
        <w:rPr>
          <w:rStyle w:val="deletedparamark"/>
        </w:rPr>
        <w:t xml:space="preserve"> </w:t>
      </w:r>
      <w:r>
        <w:t>fu'ivla-form word. All fu'ivla:</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"fu'ivla, rules for formation of"&gt;</w:t>
      </w:r>
      <w:r>
        <w:rPr>
          <w:rStyle w:val="indexentry"/>
        </w:rPr>
        <w:fldChar w:fldCharType="begin"/>
      </w:r>
      <w:r>
        <w:instrText>xe "</w:instrText>
      </w:r>
      <w:r>
        <w:rPr>
          <w:rStyle w:val="xeentry"/>
        </w:rPr>
        <w:instrText>fu'ivla: rules for formation of</w:instrText>
      </w:r>
      <w:r>
        <w:instrText>"</w:instrText>
      </w:r>
      <w:r>
        <w:rPr>
          <w:rStyle w:val="indexentry"/>
        </w:rPr>
        <w:fldChar w:fldCharType="end"/>
      </w:r>
      <w:r>
        <w:rPr>
          <w:rStyle w:val="indexentry"/>
        </w:rPr>
        <w:t>&lt;cx "fu'ivla, initial consonant cluster in"&gt;</w:t>
      </w:r>
      <w:r>
        <w:rPr>
          <w:rStyle w:val="indexentry"/>
        </w:rPr>
        <w:fldChar w:fldCharType="begin"/>
      </w:r>
      <w:r>
        <w:instrText>xe "</w:instrText>
      </w:r>
      <w:r>
        <w:rPr>
          <w:rStyle w:val="xeentry"/>
        </w:rPr>
        <w:instrText>fu'ivla: initial consonant cluster in</w:instrText>
      </w:r>
      <w:r>
        <w:instrText>"</w:instrText>
      </w:r>
      <w:r>
        <w:rPr>
          <w:rStyle w:val="indexentry"/>
        </w:rPr>
        <w:fldChar w:fldCharType="end"/>
      </w:r>
      <w:r>
        <w:rPr>
          <w:rStyle w:val="htmlcodes"/>
        </w:rPr>
        <w:t>&lt;dl compact&gt;&lt;dt&gt;</w:t>
      </w:r>
      <w:r>
        <w:t>1)</w:t>
      </w:r>
      <w:r>
        <w:tab/>
      </w:r>
      <w:r>
        <w:rPr>
          <w:rStyle w:val="htmlcodes"/>
        </w:rPr>
        <w:t>&lt;dd&gt;</w:t>
      </w:r>
      <w:r>
        <w:t>must contain a consonant cluster in the first five letters of the word; if this consonant cluster is at the beginning, it must ei</w:t>
      </w:r>
      <w:r>
        <w:softHyphen/>
        <w:t>ther be a permissible initial consonant pair, or a longer cluster such that each pair of adjacent conso</w:t>
      </w:r>
      <w:r>
        <w:softHyphen/>
        <w:t>nants in the cluster is a permissi</w:t>
      </w:r>
      <w:r>
        <w:softHyphen/>
        <w:t>ble initial consonant pair: “spraile” is ac</w:t>
      </w:r>
      <w:r>
        <w:softHyphen/>
        <w:t>ceptable, but not “ktraile” or “trkaile”;</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must end in one or more vowels;</w:t>
      </w:r>
    </w:p>
    <w:p w:rsidR="00B72047" w:rsidRDefault="00B72047" w:rsidP="007E67C1">
      <w:pPr>
        <w:pStyle w:val="Listnobullets"/>
        <w:numPr>
          <w:ilvl w:val="0"/>
          <w:numId w:val="0"/>
        </w:numPr>
        <w:ind w:left="864" w:hanging="504"/>
      </w:pPr>
      <w:r>
        <w:rPr>
          <w:rStyle w:val="htmlcodes"/>
        </w:rPr>
        <w:t>&lt;/dl&gt;</w:t>
      </w:r>
      <w:r>
        <w:rPr>
          <w:rStyle w:val="indexentry"/>
        </w:rPr>
        <w:t>&lt;cx "slinku'i test, definition"&gt;</w:t>
      </w:r>
      <w:r>
        <w:rPr>
          <w:rStyle w:val="indexentry"/>
        </w:rPr>
        <w:fldChar w:fldCharType="begin"/>
      </w:r>
      <w:r>
        <w:instrText>xe "</w:instrText>
      </w:r>
      <w:r>
        <w:rPr>
          <w:rStyle w:val="xeentry"/>
        </w:rPr>
        <w:instrText>slinku'i test: definition</w:instrText>
      </w:r>
      <w:r>
        <w:instrText>"</w:instrText>
      </w:r>
      <w:r>
        <w:rPr>
          <w:rStyle w:val="indexentry"/>
        </w:rPr>
        <w:fldChar w:fldCharType="end"/>
      </w:r>
      <w:r>
        <w:rPr>
          <w:rStyle w:val="htmlcodes"/>
        </w:rPr>
        <w:t>&lt;dl compact&gt;&lt;dt&gt;</w:t>
      </w:r>
      <w:r>
        <w:t>3)</w:t>
      </w:r>
      <w:r>
        <w:tab/>
      </w:r>
      <w:r>
        <w:rPr>
          <w:rStyle w:val="htmlcodes"/>
        </w:rPr>
        <w:t>&lt;dd&gt;</w:t>
      </w:r>
      <w:r>
        <w:t>must not be gismu or lujvo, or any combination of cmavo, gismu, and lujvo; furthermore, a fu'ivla with a CV cmavo joined to the front of it must not have the form of a lujvo (the so-called “slinku'i test”, not discussed further in this book);</w:t>
      </w:r>
    </w:p>
    <w:p w:rsidR="00B72047" w:rsidRDefault="00B72047" w:rsidP="007E67C1">
      <w:pPr>
        <w:pStyle w:val="Listnobullets"/>
        <w:numPr>
          <w:ilvl w:val="0"/>
          <w:numId w:val="0"/>
        </w:numPr>
        <w:ind w:left="864" w:hanging="504"/>
      </w:pPr>
      <w:r>
        <w:rPr>
          <w:rStyle w:val="htmlcodes"/>
        </w:rPr>
        <w:t>&lt;/dl&gt;</w:t>
      </w:r>
      <w:r>
        <w:rPr>
          <w:rStyle w:val="indexentry"/>
        </w:rPr>
        <w:t>&lt;ex "syllabic pronunciations of consonants, in fu'ivla"&gt;</w:t>
      </w:r>
      <w:r>
        <w:rPr>
          <w:rStyle w:val="indexentry"/>
        </w:rPr>
        <w:fldChar w:fldCharType="begin"/>
      </w:r>
      <w:r>
        <w:instrText>xe "</w:instrText>
      </w:r>
      <w:r>
        <w:rPr>
          <w:rStyle w:val="xeentry"/>
        </w:rPr>
        <w:instrText>syllabic pronunciations of consonants: in fu'ivla</w:instrText>
      </w:r>
      <w:r>
        <w:instrText>"</w:instrText>
      </w:r>
      <w:r>
        <w:rPr>
          <w:rStyle w:val="indexentry"/>
        </w:rPr>
        <w:fldChar w:fldCharType="end"/>
      </w:r>
      <w:r>
        <w:rPr>
          <w:rStyle w:val="indexentry"/>
        </w:rPr>
        <w:t>&lt;cx "“y”, prohibition from fu'ivla"&gt;</w:t>
      </w:r>
      <w:r>
        <w:rPr>
          <w:rStyle w:val="indexentry"/>
        </w:rPr>
        <w:fldChar w:fldCharType="begin"/>
      </w:r>
      <w:r>
        <w:instrText>xe "</w:instrText>
      </w:r>
      <w:r>
        <w:rPr>
          <w:rStyle w:val="xeentry"/>
        </w:rPr>
        <w:instrText>y: letter, prohibition from fu'ivla</w:instrText>
      </w:r>
      <w:r>
        <w:instrText>"</w:instrText>
      </w:r>
      <w:r>
        <w:rPr>
          <w:rStyle w:val="indexentry"/>
        </w:rPr>
        <w:fldChar w:fldCharType="end"/>
      </w:r>
      <w:r>
        <w:rPr>
          <w:rStyle w:val="htmlcodes"/>
        </w:rPr>
        <w:t>&lt;dl compact&gt;&lt;dt&gt;</w:t>
      </w:r>
      <w:r>
        <w:t>4)</w:t>
      </w:r>
      <w:r>
        <w:tab/>
      </w:r>
      <w:r>
        <w:rPr>
          <w:rStyle w:val="htmlcodes"/>
        </w:rPr>
        <w:t>&lt;dd&gt;</w:t>
      </w:r>
      <w:r>
        <w:t>cannot contain “y”, although they may contain syllabic pro</w:t>
      </w:r>
      <w:r>
        <w:softHyphen/>
        <w:t>nunciations of Lojban consonants;</w:t>
      </w:r>
    </w:p>
    <w:p w:rsidR="00B72047" w:rsidRDefault="00B72047" w:rsidP="007E67C1">
      <w:pPr>
        <w:pStyle w:val="Listnobullets"/>
        <w:numPr>
          <w:ilvl w:val="0"/>
          <w:numId w:val="0"/>
        </w:numPr>
        <w:ind w:left="864" w:hanging="504"/>
      </w:pPr>
      <w:r>
        <w:rPr>
          <w:rStyle w:val="htmlcodes"/>
        </w:rPr>
        <w:t>&lt;/dl&gt;</w:t>
      </w:r>
      <w:r>
        <w:rPr>
          <w:rStyle w:val="indexentry"/>
        </w:rPr>
        <w:t>&lt;cx "fu'ivla, stress in"&gt;</w:t>
      </w:r>
      <w:r>
        <w:rPr>
          <w:rStyle w:val="indexentry"/>
        </w:rPr>
        <w:fldChar w:fldCharType="begin"/>
      </w:r>
      <w:r>
        <w:instrText>xe "</w:instrText>
      </w:r>
      <w:r>
        <w:rPr>
          <w:rStyle w:val="xeentry"/>
        </w:rPr>
        <w:instrText>fu'ivla: stress in</w:instrText>
      </w:r>
      <w:r>
        <w:instrText>"</w:instrText>
      </w:r>
      <w:r>
        <w:rPr>
          <w:rStyle w:val="indexentry"/>
        </w:rPr>
        <w:fldChar w:fldCharType="end"/>
      </w:r>
      <w:r>
        <w:rPr>
          <w:rStyle w:val="htmlcodes"/>
        </w:rPr>
        <w:t>&lt;dl compact&gt;&lt;dt&gt;</w:t>
      </w:r>
      <w:r>
        <w:t>5)</w:t>
      </w:r>
      <w:r>
        <w:tab/>
      </w:r>
      <w:r>
        <w:rPr>
          <w:rStyle w:val="htmlcodes"/>
        </w:rPr>
        <w:t>&lt;dd&gt;</w:t>
      </w:r>
      <w:r>
        <w:t>like other brivla, are stressed on the penultimate syllable.</w:t>
      </w:r>
    </w:p>
    <w:p w:rsidR="00B72047" w:rsidRDefault="00B72047">
      <w:pPr>
        <w:pStyle w:val="resumedafterexample"/>
      </w:pPr>
      <w:r>
        <w:rPr>
          <w:rStyle w:val="htmlcodes"/>
        </w:rPr>
        <w:t>&lt;/dl&gt;</w:t>
      </w:r>
      <w:r>
        <w:rPr>
          <w:rStyle w:val="indexentry"/>
        </w:rPr>
        <w:t>&lt;cx "fu'ivla, consonant clusters in"&gt;</w:t>
      </w:r>
      <w:r>
        <w:rPr>
          <w:rStyle w:val="indexentry"/>
        </w:rPr>
        <w:fldChar w:fldCharType="begin"/>
      </w:r>
      <w:r>
        <w:instrText>xe "</w:instrText>
      </w:r>
      <w:r>
        <w:rPr>
          <w:rStyle w:val="xeentry"/>
        </w:rPr>
        <w:instrText>fu'ivla: consonant clusters in</w:instrText>
      </w:r>
      <w:r>
        <w:instrText>"</w:instrText>
      </w:r>
      <w:r>
        <w:rPr>
          <w:rStyle w:val="indexentry"/>
        </w:rPr>
        <w:fldChar w:fldCharType="end"/>
      </w:r>
      <w:r>
        <w:t>Note that consonant triples or larger clusters that are not at the be</w:t>
      </w:r>
      <w:r>
        <w:softHyphen/>
        <w:t>ginning</w:t>
      </w:r>
      <w:r>
        <w:rPr>
          <w:rStyle w:val="deletedparamark"/>
        </w:rPr>
        <w:t xml:space="preserve"> </w:t>
      </w:r>
      <w:r>
        <w:t>of a fu'ivla can be quite flexible, as long as all consonant pairs are</w:t>
      </w:r>
      <w:r>
        <w:rPr>
          <w:rStyle w:val="deletedparamark"/>
        </w:rPr>
        <w:t xml:space="preserve"> </w:t>
      </w:r>
      <w:r>
        <w:t>permissible. There is no need to re</w:t>
      </w:r>
      <w:r>
        <w:softHyphen/>
        <w:t>strict fu'ivla clusters to permis</w:t>
      </w:r>
      <w:r>
        <w:softHyphen/>
        <w:t>sible</w:t>
      </w:r>
      <w:r>
        <w:rPr>
          <w:rStyle w:val="deletedparamark"/>
        </w:rPr>
        <w:t xml:space="preserve"> </w:t>
      </w:r>
      <w:r>
        <w:t>initial pairs except at the beginning.</w:t>
      </w:r>
    </w:p>
    <w:p w:rsidR="00B72047" w:rsidRDefault="00B72047">
      <w:pPr>
        <w:rPr>
          <w:rStyle w:val="htmlparacode"/>
        </w:rPr>
      </w:pPr>
      <w:r>
        <w:rPr>
          <w:rStyle w:val="htmlparacode"/>
        </w:rPr>
        <w:t>&lt;p&gt;</w:t>
      </w:r>
    </w:p>
    <w:p w:rsidR="00B72047" w:rsidRDefault="00B72047">
      <w:pPr>
        <w:pStyle w:val="normalparagraph"/>
      </w:pPr>
      <w:r>
        <w:rPr>
          <w:rStyle w:val="indexentry"/>
        </w:rPr>
        <w:t>&lt;cx "fu'ivla, categorized contrasted with uncategorized in ease of construction"&gt;</w:t>
      </w:r>
      <w:r>
        <w:rPr>
          <w:rStyle w:val="indexentry"/>
        </w:rPr>
        <w:fldChar w:fldCharType="begin"/>
      </w:r>
      <w:r>
        <w:instrText>xe "</w:instrText>
      </w:r>
      <w:r>
        <w:rPr>
          <w:rStyle w:val="xeentry"/>
        </w:rPr>
        <w:instrText>fu'ivla: categorized contrasted with uncategorized in ease of construction</w:instrText>
      </w:r>
      <w:r>
        <w:instrText>"</w:instrText>
      </w:r>
      <w:r>
        <w:rPr>
          <w:rStyle w:val="indexentry"/>
        </w:rPr>
        <w:fldChar w:fldCharType="end"/>
      </w:r>
      <w:r>
        <w:rPr>
          <w:rStyle w:val="indexentry"/>
        </w:rPr>
        <w:t>&lt;cx "borrowings, Stage 3 contrasted with Stage 4 in ease of construction"&gt;</w:t>
      </w:r>
      <w:r>
        <w:rPr>
          <w:rStyle w:val="indexentry"/>
        </w:rPr>
        <w:fldChar w:fldCharType="begin"/>
      </w:r>
      <w:r>
        <w:instrText>xe "</w:instrText>
      </w:r>
      <w:r>
        <w:rPr>
          <w:rStyle w:val="xeentry"/>
        </w:rPr>
        <w:instrText>borrowings: Stage 3 contrasted with Stage 4 in ease of construction</w:instrText>
      </w:r>
      <w:r>
        <w:instrText>"</w:instrText>
      </w:r>
      <w:r>
        <w:rPr>
          <w:rStyle w:val="indexentry"/>
        </w:rPr>
        <w:fldChar w:fldCharType="end"/>
      </w:r>
      <w:r>
        <w:t>This is a fairly liberal definition and allows quite a lot of possi</w:t>
      </w:r>
      <w:r>
        <w:softHyphen/>
        <w:t>bilities</w:t>
      </w:r>
      <w:r>
        <w:rPr>
          <w:rStyle w:val="deletedparamark"/>
        </w:rPr>
        <w:t xml:space="preserve"> </w:t>
      </w:r>
      <w:r>
        <w:t>within “fu'ivla space”. Stage 3 fu'ivla can be made easily on the fly,</w:t>
      </w:r>
      <w:r>
        <w:rPr>
          <w:rStyle w:val="deletedparamark"/>
        </w:rPr>
        <w:t xml:space="preserve"> </w:t>
      </w:r>
      <w:r>
        <w:t>as lujvo can, because the procedure for forming them always guarantees a</w:t>
      </w:r>
      <w:r>
        <w:rPr>
          <w:rStyle w:val="deletedparamark"/>
        </w:rPr>
        <w:t xml:space="preserve"> </w:t>
      </w:r>
      <w:r>
        <w:t>word that cannot violate any of the rules. Stage 4 fu'ivla require running</w:t>
      </w:r>
      <w:r>
        <w:rPr>
          <w:rStyle w:val="deletedparamark"/>
        </w:rPr>
        <w:t xml:space="preserve"> </w:t>
      </w:r>
      <w:r>
        <w:t>tests that are not simple to characterize or perform, and should be made</w:t>
      </w:r>
      <w:r>
        <w:rPr>
          <w:rStyle w:val="deletedparamark"/>
        </w:rPr>
        <w:t xml:space="preserve"> </w:t>
      </w:r>
      <w:r>
        <w:t>only after deliberation and by someone knowl</w:t>
      </w:r>
      <w:r>
        <w:softHyphen/>
        <w:t>edgeable about all the</w:t>
      </w:r>
      <w:r>
        <w:rPr>
          <w:rStyle w:val="deletedparamark"/>
        </w:rPr>
        <w:t xml:space="preserve"> </w:t>
      </w:r>
      <w:r>
        <w:t>considerations that apply.</w:t>
      </w:r>
    </w:p>
    <w:p w:rsidR="00B72047" w:rsidRDefault="00B72047">
      <w:pPr>
        <w:rPr>
          <w:rStyle w:val="htmlparacode"/>
        </w:rPr>
      </w:pPr>
      <w:r>
        <w:rPr>
          <w:rStyle w:val="htmlparacode"/>
        </w:rPr>
        <w:t>&lt;p&gt;</w:t>
      </w:r>
    </w:p>
    <w:p w:rsidR="00B72047" w:rsidRDefault="00B72047">
      <w:pPr>
        <w:pStyle w:val="normalparagraph"/>
      </w:pPr>
      <w:r>
        <w:rPr>
          <w:rStyle w:val="indexentry"/>
        </w:rPr>
        <w:t>&lt;cx "fu'ivla, algorithm for constructing"&gt;</w:t>
      </w:r>
      <w:r>
        <w:rPr>
          <w:rStyle w:val="indexentry"/>
        </w:rPr>
        <w:fldChar w:fldCharType="begin"/>
      </w:r>
      <w:r>
        <w:instrText>xe "</w:instrText>
      </w:r>
      <w:r>
        <w:rPr>
          <w:rStyle w:val="xeentry"/>
        </w:rPr>
        <w:instrText>fu'ivla: algorithm for constructing</w:instrText>
      </w:r>
      <w:r>
        <w:instrText>"</w:instrText>
      </w:r>
      <w:r>
        <w:rPr>
          <w:rStyle w:val="indexentry"/>
        </w:rPr>
        <w:fldChar w:fldCharType="end"/>
      </w:r>
      <w:r>
        <w:t>Here is a simple and reliable procedure for making a non-Loj</w:t>
      </w:r>
      <w:r>
        <w:softHyphen/>
        <w:t>ban word into a</w:t>
      </w:r>
      <w:r>
        <w:rPr>
          <w:rStyle w:val="deletedparamark"/>
        </w:rPr>
        <w:t xml:space="preserve"> </w:t>
      </w:r>
      <w:r>
        <w:t>valid Stage 3 fu'ivla:</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Eliminate all double consonants and silent letters.</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Convert all sounds to their closest Lojban equivalents. Loj</w:t>
      </w:r>
      <w:r>
        <w:softHyphen/>
        <w:t>ban “y”, however, may not be used in any fu'ivla.</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If the last letter is not a vowel, modify the ending so that the word ends in a vowel, either by removing a final consonant or by adding a suggestively cho</w:t>
      </w:r>
      <w:r>
        <w:softHyphen/>
        <w:t>sen final vowel.</w:t>
      </w:r>
    </w:p>
    <w:p w:rsidR="00B72047" w:rsidRDefault="00B72047" w:rsidP="007E67C1">
      <w:pPr>
        <w:pStyle w:val="Listnobullets"/>
        <w:numPr>
          <w:ilvl w:val="0"/>
          <w:numId w:val="0"/>
        </w:numPr>
        <w:ind w:left="864" w:hanging="504"/>
      </w:pPr>
      <w:r>
        <w:rPr>
          <w:rStyle w:val="htmlcodes"/>
        </w:rPr>
        <w:t>&lt;p&gt;&lt;dt&gt;</w:t>
      </w:r>
      <w:r>
        <w:t>4)</w:t>
      </w:r>
      <w:r>
        <w:tab/>
      </w:r>
      <w:r>
        <w:rPr>
          <w:rStyle w:val="htmlcodes"/>
        </w:rPr>
        <w:t>&lt;dd&gt;</w:t>
      </w:r>
      <w:r>
        <w:t>If the first letter is not a consonant, modify the beginning so that the word begins with a consonant, either by removing an ini</w:t>
      </w:r>
      <w:r>
        <w:softHyphen/>
        <w:t>tial vowel or adding a suggestively chosen initial consonant.</w:t>
      </w:r>
    </w:p>
    <w:p w:rsidR="00B72047" w:rsidRDefault="00B72047" w:rsidP="007E67C1">
      <w:pPr>
        <w:pStyle w:val="Listnobullets"/>
        <w:numPr>
          <w:ilvl w:val="0"/>
          <w:numId w:val="0"/>
        </w:numPr>
        <w:ind w:left="864" w:hanging="504"/>
      </w:pPr>
      <w:r>
        <w:rPr>
          <w:rStyle w:val="htmlcodes"/>
        </w:rPr>
        <w:t>&lt;/dl&gt;</w:t>
      </w:r>
      <w:r>
        <w:rPr>
          <w:rStyle w:val="indexentry"/>
        </w:rPr>
        <w:t>&lt;cx "“l”-hyphen, use of"&gt;</w:t>
      </w:r>
      <w:r>
        <w:rPr>
          <w:rStyle w:val="indexentry"/>
        </w:rPr>
        <w:fldChar w:fldCharType="begin"/>
      </w:r>
      <w:r>
        <w:instrText>xe "</w:instrText>
      </w:r>
      <w:r>
        <w:rPr>
          <w:rStyle w:val="xeentry"/>
        </w:rPr>
        <w:instrText>l-hyphen: use of</w:instrText>
      </w:r>
      <w:r>
        <w:instrText>"</w:instrText>
      </w:r>
      <w:r>
        <w:rPr>
          <w:rStyle w:val="indexentry"/>
        </w:rPr>
        <w:fldChar w:fldCharType="end"/>
      </w:r>
      <w:r>
        <w:rPr>
          <w:rStyle w:val="indexentry"/>
        </w:rPr>
        <w:t>&lt;cx "fu'ivla categorizer, selection consideration for"&gt;</w:t>
      </w:r>
      <w:r>
        <w:rPr>
          <w:rStyle w:val="indexentry"/>
        </w:rPr>
        <w:fldChar w:fldCharType="begin"/>
      </w:r>
      <w:r>
        <w:instrText>xe "</w:instrText>
      </w:r>
      <w:r>
        <w:rPr>
          <w:rStyle w:val="xeentry"/>
        </w:rPr>
        <w:instrText>fu'ivla categorizer: selection consideration for</w:instrText>
      </w:r>
      <w:r>
        <w:instrText>"</w:instrText>
      </w:r>
      <w:r>
        <w:rPr>
          <w:rStyle w:val="indexentry"/>
        </w:rPr>
        <w:fldChar w:fldCharType="end"/>
      </w:r>
      <w:r>
        <w:rPr>
          <w:rStyle w:val="htmlcodes"/>
        </w:rPr>
        <w:t>&lt;dl compact&gt;&lt;dt&gt;</w:t>
      </w:r>
      <w:r>
        <w:t>5)</w:t>
      </w:r>
      <w:r>
        <w:tab/>
      </w:r>
      <w:r>
        <w:rPr>
          <w:rStyle w:val="htmlcodes"/>
        </w:rPr>
        <w:t>&lt;dd&gt;</w:t>
      </w:r>
      <w:r>
        <w:t>Prefix the result of steps 1-5 with a 4-letter rafsi that catego</w:t>
      </w:r>
      <w:r>
        <w:softHyphen/>
        <w:t>rizes the fu'ivla into a “topic area”. It is only safe to use a 4-letter rafsi; short rafsi some</w:t>
      </w:r>
      <w:r>
        <w:softHyphen/>
        <w:t>times produce invalid fu'ivla. Hyphenate the rafsi to the rest of the fu'ivla with an “r”-hyphen; if that would pro</w:t>
      </w:r>
      <w:r>
        <w:softHyphen/>
        <w:t>duce a double “r”, use an “n”-hyphen instead; if the rafsi ends in “r” and the rest of the fu'ivla begins with “n” (or vice versa) use an “l”-hyphen. (This is the only use of “l”-hyphen in Lojban.)</w:t>
      </w:r>
    </w:p>
    <w:p w:rsidR="00B72047" w:rsidRDefault="00B72047" w:rsidP="007E67C1">
      <w:pPr>
        <w:pStyle w:val="Listnobullets"/>
        <w:numPr>
          <w:ilvl w:val="0"/>
          <w:numId w:val="0"/>
        </w:numPr>
        <w:ind w:left="864" w:hanging="504"/>
      </w:pPr>
      <w:r>
        <w:tab/>
      </w:r>
      <w:r>
        <w:tab/>
      </w:r>
      <w:r>
        <w:rPr>
          <w:rStyle w:val="htmlcodes"/>
        </w:rPr>
        <w:t>&lt;p&gt;&lt;dt&gt;&lt;dd&gt;</w:t>
      </w:r>
      <w:r>
        <w:t xml:space="preserve">Alternatively, if a CVC-form short rafsi is available it can be used instead of the long rafsi. </w:t>
      </w:r>
    </w:p>
    <w:p w:rsidR="00B72047" w:rsidRDefault="00B72047" w:rsidP="007E67C1">
      <w:pPr>
        <w:pStyle w:val="Listnobullets"/>
        <w:numPr>
          <w:ilvl w:val="0"/>
          <w:numId w:val="0"/>
        </w:numPr>
        <w:ind w:left="864" w:hanging="504"/>
      </w:pPr>
      <w:r>
        <w:rPr>
          <w:rStyle w:val="htmlcodes"/>
        </w:rPr>
        <w:t>&lt;p&gt;&lt;dt&gt;</w:t>
      </w:r>
      <w:r>
        <w:t>6)</w:t>
      </w:r>
      <w:r>
        <w:tab/>
      </w:r>
      <w:r>
        <w:rPr>
          <w:rStyle w:val="htmlcodes"/>
        </w:rPr>
        <w:t>&lt;dd&gt;</w:t>
      </w:r>
      <w:r>
        <w:t>Remember that the stress necessarily appears on the penultimate (next-to-the-last) syllable.</w:t>
      </w:r>
    </w:p>
    <w:p w:rsidR="00B72047" w:rsidRDefault="00B72047">
      <w:pPr>
        <w:pStyle w:val="normalafterexample"/>
      </w:pPr>
      <w:r>
        <w:rPr>
          <w:rStyle w:val="htmlcodes"/>
        </w:rPr>
        <w:t>&lt;/dl&gt;</w:t>
      </w:r>
      <w:r>
        <w:rPr>
          <w:rStyle w:val="indexentry"/>
        </w:rPr>
        <w:t>&lt;ex "syllabic pronunciations of consonants, in fu'ivla category attachment"&gt;</w:t>
      </w:r>
      <w:r>
        <w:rPr>
          <w:rStyle w:val="indexentry"/>
        </w:rPr>
        <w:fldChar w:fldCharType="begin"/>
      </w:r>
      <w:r>
        <w:instrText>xe "</w:instrText>
      </w:r>
      <w:r>
        <w:rPr>
          <w:rStyle w:val="xeentry"/>
        </w:rPr>
        <w:instrText>syllabic pronunciations of consonants: in fu'ivla category attachment</w:instrText>
      </w:r>
      <w:r>
        <w:instrText>"</w:instrText>
      </w:r>
      <w:r>
        <w:rPr>
          <w:rStyle w:val="indexentry"/>
        </w:rPr>
        <w:fldChar w:fldCharType="end"/>
      </w:r>
      <w:r>
        <w:t>In this section, the hyphen is set off with commas in the ex</w:t>
      </w:r>
      <w:r>
        <w:softHyphen/>
        <w:t>amples, but</w:t>
      </w:r>
      <w:r>
        <w:rPr>
          <w:rStyle w:val="deletedparamark"/>
        </w:rPr>
        <w:t xml:space="preserve"> </w:t>
      </w:r>
      <w:r>
        <w:t>these commas are not required in writing, and the hy</w:t>
      </w:r>
      <w:r>
        <w:softHyphen/>
        <w:t>phen need not be</w:t>
      </w:r>
      <w:r>
        <w:rPr>
          <w:rStyle w:val="deletedparamark"/>
        </w:rPr>
        <w:t xml:space="preserve"> </w:t>
      </w:r>
      <w:r>
        <w:t>pronounced as a sepa</w:t>
      </w:r>
      <w:r>
        <w:softHyphen/>
        <w:t>rate syllable.</w:t>
      </w:r>
    </w:p>
    <w:p w:rsidR="00B72047" w:rsidRDefault="00B72047">
      <w:pPr>
        <w:rPr>
          <w:rStyle w:val="htmlparacode"/>
        </w:rPr>
      </w:pPr>
      <w:r>
        <w:rPr>
          <w:rStyle w:val="htmlparacode"/>
        </w:rPr>
        <w:t>&lt;p&gt;</w:t>
      </w:r>
    </w:p>
    <w:p w:rsidR="00B72047" w:rsidRDefault="00B72047">
      <w:pPr>
        <w:pStyle w:val="normalparagraph"/>
      </w:pPr>
      <w:r>
        <w:t>Here are a few examples:</w:t>
      </w:r>
    </w:p>
    <w:p w:rsidR="00B72047" w:rsidRDefault="00B72047">
      <w:pPr>
        <w:rPr>
          <w:rStyle w:val="htmlparacode"/>
        </w:rPr>
      </w:pPr>
      <w:r>
        <w:rPr>
          <w:rStyle w:val="htmlparacode"/>
        </w:rPr>
        <w:t>&lt;p&gt;</w:t>
      </w:r>
    </w:p>
    <w:p w:rsidR="00B72047" w:rsidRDefault="00B72047">
      <w:pPr>
        <w:pStyle w:val="examplescaledpre"/>
      </w:pPr>
      <w:r>
        <w:rPr>
          <w:rStyle w:val="indexentry"/>
        </w:rPr>
        <w:t>&lt;ex "spaghetti"&gt;</w:t>
      </w:r>
      <w:r>
        <w:rPr>
          <w:rStyle w:val="indexentry"/>
        </w:rPr>
        <w:fldChar w:fldCharType="begin"/>
      </w:r>
      <w:r>
        <w:instrText>xe "</w:instrText>
      </w:r>
      <w:r>
        <w:rPr>
          <w:rStyle w:val="xeentry"/>
        </w:rPr>
        <w:instrText>spaghetti: example</w:instrText>
      </w:r>
      <w:r>
        <w:instrText>"</w:instrText>
      </w:r>
      <w:r>
        <w:rPr>
          <w:rStyle w:val="indexentry"/>
        </w:rPr>
        <w:fldChar w:fldCharType="end"/>
      </w:r>
      <w:r>
        <w:rPr>
          <w:rStyle w:val="indexentry"/>
        </w:rPr>
        <w:t xml:space="preserve"> </w:t>
      </w:r>
      <w:r>
        <w:rPr>
          <w:rStyle w:val="htmlcodes"/>
        </w:rPr>
        <w:t>&lt;pre&gt;&lt;a name=e7d3&gt;</w:t>
      </w:r>
      <w:r>
        <w:t>7.3)</w:t>
      </w:r>
      <w:r>
        <w:tab/>
        <w:t>spaghetti (from English or Italian)</w:t>
      </w:r>
    </w:p>
    <w:p w:rsidR="00B72047" w:rsidRDefault="00B72047">
      <w:pPr>
        <w:pStyle w:val="examplescaled"/>
      </w:pPr>
      <w:r>
        <w:tab/>
        <w:t>spageti (Lojbanize)</w:t>
      </w:r>
    </w:p>
    <w:p w:rsidR="00B72047" w:rsidRDefault="00B72047">
      <w:pPr>
        <w:pStyle w:val="examplescaled"/>
      </w:pPr>
      <w:r>
        <w:tab/>
        <w:t>cidj,r,spageti (prefix long rafsi)</w:t>
      </w:r>
    </w:p>
    <w:p w:rsidR="00B72047" w:rsidRDefault="00B72047">
      <w:pPr>
        <w:pStyle w:val="examplescaled"/>
      </w:pPr>
      <w:r>
        <w:tab/>
        <w:t>dja,r,spageti (prefix short rafsi)</w:t>
      </w:r>
    </w:p>
    <w:p w:rsidR="00B72047" w:rsidRDefault="00B72047">
      <w:pPr>
        <w:pStyle w:val="resumedafterexample"/>
      </w:pPr>
      <w:r>
        <w:rPr>
          <w:rStyle w:val="htmlcodes"/>
        </w:rPr>
        <w:t>&lt;/pre&gt;</w:t>
      </w:r>
      <w:r>
        <w:t>where “cidj-” is the 4-letter rafsi for “cidja”, the Lojban gismu for “food”,</w:t>
      </w:r>
      <w:r>
        <w:rPr>
          <w:rStyle w:val="deletedparamark"/>
        </w:rPr>
        <w:t xml:space="preserve"> </w:t>
      </w:r>
      <w:r>
        <w:t>thus catego</w:t>
      </w:r>
      <w:r>
        <w:softHyphen/>
        <w:t>rizing “cidjrspageti” as a kind of food. The form with the</w:t>
      </w:r>
      <w:r>
        <w:rPr>
          <w:rStyle w:val="deletedparamark"/>
        </w:rPr>
        <w:t xml:space="preserve"> </w:t>
      </w:r>
      <w:r>
        <w:t>short rafsi happens to work, but such good fortune cannot be relied on:</w:t>
      </w:r>
      <w:r>
        <w:rPr>
          <w:rStyle w:val="deletedparamark"/>
        </w:rPr>
        <w:t xml:space="preserve"> </w:t>
      </w:r>
      <w:r>
        <w:t>in any event, it means the same thing.</w:t>
      </w:r>
    </w:p>
    <w:p w:rsidR="00B72047" w:rsidRDefault="00B72047">
      <w:pPr>
        <w:rPr>
          <w:rStyle w:val="htmlparacode"/>
        </w:rPr>
      </w:pPr>
      <w:r>
        <w:rPr>
          <w:rStyle w:val="htmlparacode"/>
        </w:rPr>
        <w:t>&lt;p&gt;</w:t>
      </w:r>
    </w:p>
    <w:p w:rsidR="00B72047" w:rsidRDefault="00B72047">
      <w:pPr>
        <w:pStyle w:val="examplescaledpre"/>
      </w:pPr>
      <w:r>
        <w:rPr>
          <w:rStyle w:val="indexentry"/>
        </w:rPr>
        <w:t>&lt;ex "maple trees"&gt;</w:t>
      </w:r>
      <w:r>
        <w:rPr>
          <w:rStyle w:val="indexentry"/>
        </w:rPr>
        <w:fldChar w:fldCharType="begin"/>
      </w:r>
      <w:r>
        <w:instrText>xe "</w:instrText>
      </w:r>
      <w:r>
        <w:rPr>
          <w:rStyle w:val="xeentry"/>
        </w:rPr>
        <w:instrText>maple trees: example</w:instrText>
      </w:r>
      <w:r>
        <w:instrText>"</w:instrText>
      </w:r>
      <w:r>
        <w:rPr>
          <w:rStyle w:val="indexentry"/>
        </w:rPr>
        <w:fldChar w:fldCharType="end"/>
      </w:r>
      <w:r>
        <w:rPr>
          <w:rStyle w:val="indexentry"/>
        </w:rPr>
        <w:t>&lt;ex "Acer"&gt;</w:t>
      </w:r>
      <w:r>
        <w:rPr>
          <w:rStyle w:val="indexentry"/>
        </w:rPr>
        <w:fldChar w:fldCharType="begin"/>
      </w:r>
      <w:r>
        <w:instrText>xe "</w:instrText>
      </w:r>
      <w:r>
        <w:rPr>
          <w:rStyle w:val="xeentry"/>
        </w:rPr>
        <w:instrText>Acer: example</w:instrText>
      </w:r>
      <w:r>
        <w:instrText>"</w:instrText>
      </w:r>
      <w:r>
        <w:rPr>
          <w:rStyle w:val="indexentry"/>
        </w:rPr>
        <w:fldChar w:fldCharType="end"/>
      </w:r>
      <w:r>
        <w:rPr>
          <w:rStyle w:val="htmlcodes"/>
        </w:rPr>
        <w:t>&lt;pre&gt;&lt;a name=e7d4&gt;</w:t>
      </w:r>
      <w:r>
        <w:t>7.4)</w:t>
      </w:r>
      <w:r>
        <w:tab/>
        <w:t>Acer (the scientific name of maple trees)</w:t>
      </w:r>
    </w:p>
    <w:p w:rsidR="00B72047" w:rsidRDefault="00B72047">
      <w:pPr>
        <w:pStyle w:val="examplescaled"/>
      </w:pPr>
      <w:r>
        <w:tab/>
        <w:t>acer (Lojbanize)</w:t>
      </w:r>
    </w:p>
    <w:p w:rsidR="00B72047" w:rsidRDefault="00B72047">
      <w:pPr>
        <w:pStyle w:val="examplescaled"/>
      </w:pPr>
      <w:r>
        <w:tab/>
        <w:t>xaceru (add initial consonant and final vowel)</w:t>
      </w:r>
    </w:p>
    <w:p w:rsidR="00B72047" w:rsidRDefault="00B72047">
      <w:pPr>
        <w:pStyle w:val="examplescaled"/>
      </w:pPr>
      <w:r>
        <w:tab/>
        <w:t>tric,r,xaceru (prefix rafsi)</w:t>
      </w:r>
    </w:p>
    <w:p w:rsidR="00B72047" w:rsidRDefault="00B72047">
      <w:pPr>
        <w:pStyle w:val="examplescaled"/>
      </w:pPr>
      <w:r>
        <w:tab/>
        <w:t>ric,r,xaceru (prefix short rafsi)</w:t>
      </w:r>
    </w:p>
    <w:p w:rsidR="00B72047" w:rsidRDefault="00B72047">
      <w:pPr>
        <w:pStyle w:val="resumedafterexample"/>
      </w:pPr>
      <w:r>
        <w:rPr>
          <w:rStyle w:val="htmlcodes"/>
        </w:rPr>
        <w:t>&lt;/pre&gt;</w:t>
      </w:r>
      <w:r>
        <w:rPr>
          <w:rStyle w:val="indexentry"/>
        </w:rPr>
        <w:t>&lt;ex "maple sugar"&gt;</w:t>
      </w:r>
      <w:r>
        <w:rPr>
          <w:rStyle w:val="indexentry"/>
        </w:rPr>
        <w:fldChar w:fldCharType="begin"/>
      </w:r>
      <w:r>
        <w:instrText>xe "</w:instrText>
      </w:r>
      <w:r>
        <w:rPr>
          <w:rStyle w:val="xeentry"/>
        </w:rPr>
        <w:instrText>maple sugar: example</w:instrText>
      </w:r>
      <w:r>
        <w:instrText>"</w:instrText>
      </w:r>
      <w:r>
        <w:rPr>
          <w:rStyle w:val="indexentry"/>
        </w:rPr>
        <w:fldChar w:fldCharType="end"/>
      </w:r>
      <w:r>
        <w:t>where “tric-” and “ric-” are rafsi for “tricu”, the gismu for “tree”. Note</w:t>
      </w:r>
      <w:r>
        <w:rPr>
          <w:rStyle w:val="deletedparamark"/>
        </w:rPr>
        <w:t xml:space="preserve"> </w:t>
      </w:r>
      <w:r>
        <w:t>that by the same principles, “maple sugar” could get the fu'ivla</w:t>
      </w:r>
      <w:r>
        <w:rPr>
          <w:rStyle w:val="deletedparamark"/>
        </w:rPr>
        <w:t xml:space="preserve"> “</w:t>
      </w:r>
      <w:r>
        <w:t>saktrxaceru”, or could be represented by the tanru “tricrxaceru sakta”.</w:t>
      </w:r>
      <w:r>
        <w:rPr>
          <w:rStyle w:val="deletedparamark"/>
        </w:rPr>
        <w:t xml:space="preserve"> </w:t>
      </w:r>
      <w:r>
        <w:t>Technically, “ricrxaceru” and “tricrxaceru” are distinct fu'ivla, but</w:t>
      </w:r>
      <w:r>
        <w:rPr>
          <w:rStyle w:val="deletedparamark"/>
        </w:rPr>
        <w:t xml:space="preserve"> </w:t>
      </w:r>
      <w:r>
        <w:t>they would surely be given the same meanings if both happened to be in use.</w:t>
      </w:r>
    </w:p>
    <w:p w:rsidR="00B72047" w:rsidRDefault="00B72047">
      <w:pPr>
        <w:rPr>
          <w:rStyle w:val="htmlparacode"/>
        </w:rPr>
      </w:pPr>
      <w:r>
        <w:rPr>
          <w:rStyle w:val="htmlparacode"/>
        </w:rPr>
        <w:t>&lt;p&gt;</w:t>
      </w:r>
    </w:p>
    <w:p w:rsidR="00B72047" w:rsidRDefault="00B72047">
      <w:pPr>
        <w:pStyle w:val="examplescaledpre"/>
      </w:pPr>
      <w:r>
        <w:rPr>
          <w:rStyle w:val="indexentry"/>
        </w:rPr>
        <w:t>&lt;ex "brie"&gt;</w:t>
      </w:r>
      <w:r>
        <w:rPr>
          <w:rStyle w:val="indexentry"/>
        </w:rPr>
        <w:fldChar w:fldCharType="begin"/>
      </w:r>
      <w:r>
        <w:instrText>xe "</w:instrText>
      </w:r>
      <w:r>
        <w:rPr>
          <w:rStyle w:val="xeentry"/>
        </w:rPr>
        <w:instrText>brie: example</w:instrText>
      </w:r>
      <w:r>
        <w:instrText>"</w:instrText>
      </w:r>
      <w:r>
        <w:rPr>
          <w:rStyle w:val="indexentry"/>
        </w:rPr>
        <w:fldChar w:fldCharType="end"/>
      </w:r>
      <w:r>
        <w:rPr>
          <w:rStyle w:val="htmlcodes"/>
        </w:rPr>
        <w:t>&lt;pre&gt;&lt;a name=e7d5&gt;</w:t>
      </w:r>
      <w:r>
        <w:t>7.5)</w:t>
      </w:r>
      <w:r>
        <w:tab/>
        <w:t>brie (from French)</w:t>
      </w:r>
    </w:p>
    <w:p w:rsidR="00B72047" w:rsidRDefault="00B72047">
      <w:pPr>
        <w:pStyle w:val="examplescaled"/>
      </w:pPr>
      <w:r>
        <w:tab/>
        <w:t>bri (Lojbanize)</w:t>
      </w:r>
    </w:p>
    <w:p w:rsidR="00B72047" w:rsidRDefault="00B72047">
      <w:pPr>
        <w:pStyle w:val="examplescaled"/>
      </w:pPr>
      <w:r>
        <w:tab/>
        <w:t>cirl,r,bri (prefix rafsi)</w:t>
      </w:r>
    </w:p>
    <w:p w:rsidR="00B72047" w:rsidRDefault="00B72047">
      <w:pPr>
        <w:pStyle w:val="resumedafterexample"/>
      </w:pPr>
      <w:r>
        <w:rPr>
          <w:rStyle w:val="htmlcodes"/>
        </w:rPr>
        <w:t>&lt;/pre&gt;</w:t>
      </w:r>
      <w:r>
        <w:t>where “cirl-” represents “cirla” (“cheese”).</w:t>
      </w:r>
    </w:p>
    <w:p w:rsidR="00B72047" w:rsidRDefault="00B72047">
      <w:pPr>
        <w:rPr>
          <w:rStyle w:val="htmlparacode"/>
        </w:rPr>
      </w:pPr>
      <w:r>
        <w:rPr>
          <w:rStyle w:val="htmlparacode"/>
        </w:rPr>
        <w:t>&lt;p&gt;</w:t>
      </w:r>
    </w:p>
    <w:p w:rsidR="00B72047" w:rsidRDefault="00B72047">
      <w:pPr>
        <w:pStyle w:val="examplescaledpre"/>
      </w:pPr>
      <w:r>
        <w:rPr>
          <w:rStyle w:val="indexentry"/>
        </w:rPr>
        <w:t>&lt;ex "cobra"&gt;</w:t>
      </w:r>
      <w:r>
        <w:rPr>
          <w:rStyle w:val="indexentry"/>
        </w:rPr>
        <w:fldChar w:fldCharType="begin"/>
      </w:r>
      <w:r>
        <w:instrText>xe "</w:instrText>
      </w:r>
      <w:r>
        <w:rPr>
          <w:rStyle w:val="xeentry"/>
        </w:rPr>
        <w:instrText>cobra: example</w:instrText>
      </w:r>
      <w:r>
        <w:instrText>"</w:instrText>
      </w:r>
      <w:r>
        <w:rPr>
          <w:rStyle w:val="indexentry"/>
        </w:rPr>
        <w:fldChar w:fldCharType="end"/>
      </w:r>
      <w:r>
        <w:rPr>
          <w:rStyle w:val="htmlcodes"/>
        </w:rPr>
        <w:t>&lt;pre&gt;&lt;a name=e7d6&gt;</w:t>
      </w:r>
      <w:r>
        <w:t>7.6)</w:t>
      </w:r>
      <w:r>
        <w:tab/>
        <w:t>cobra</w:t>
      </w:r>
    </w:p>
    <w:p w:rsidR="00B72047" w:rsidRDefault="00B72047">
      <w:pPr>
        <w:pStyle w:val="examplescaled"/>
      </w:pPr>
      <w:r>
        <w:tab/>
        <w:t>kobra (Lojbanize)</w:t>
      </w:r>
    </w:p>
    <w:p w:rsidR="00B72047" w:rsidRDefault="00B72047">
      <w:pPr>
        <w:pStyle w:val="examplescaled"/>
      </w:pPr>
      <w:r>
        <w:tab/>
        <w:t>sinc,r,kobra (prefix rafsi)</w:t>
      </w:r>
    </w:p>
    <w:p w:rsidR="00B72047" w:rsidRDefault="00B72047">
      <w:pPr>
        <w:pStyle w:val="resumedafterexample"/>
      </w:pPr>
      <w:r>
        <w:rPr>
          <w:rStyle w:val="htmlcodes"/>
        </w:rPr>
        <w:t>&lt;/pre&gt;</w:t>
      </w:r>
      <w:r>
        <w:t>where “sinc-” represents “since” (“snake”).</w:t>
      </w:r>
    </w:p>
    <w:p w:rsidR="00B72047" w:rsidRDefault="00B72047">
      <w:pPr>
        <w:rPr>
          <w:rStyle w:val="htmlparacode"/>
        </w:rPr>
      </w:pPr>
      <w:r>
        <w:rPr>
          <w:rStyle w:val="htmlparacode"/>
        </w:rPr>
        <w:t>&lt;p&gt;</w:t>
      </w:r>
    </w:p>
    <w:p w:rsidR="00B72047" w:rsidRDefault="00B72047">
      <w:pPr>
        <w:pStyle w:val="examplescaledpre"/>
      </w:pPr>
      <w:r>
        <w:rPr>
          <w:rStyle w:val="indexentry"/>
        </w:rPr>
        <w:t>&lt;ex "quark"&gt;</w:t>
      </w:r>
      <w:r>
        <w:rPr>
          <w:rStyle w:val="indexentry"/>
        </w:rPr>
        <w:fldChar w:fldCharType="begin"/>
      </w:r>
      <w:r>
        <w:instrText>xe "</w:instrText>
      </w:r>
      <w:r>
        <w:rPr>
          <w:rStyle w:val="xeentry"/>
        </w:rPr>
        <w:instrText>quark: example</w:instrText>
      </w:r>
      <w:r>
        <w:instrText>"</w:instrText>
      </w:r>
      <w:r>
        <w:rPr>
          <w:rStyle w:val="indexentry"/>
        </w:rPr>
        <w:fldChar w:fldCharType="end"/>
      </w:r>
      <w:r>
        <w:rPr>
          <w:rStyle w:val="htmlcodes"/>
        </w:rPr>
        <w:t>&lt;pre&gt;&lt;a name=e7d7&gt;</w:t>
      </w:r>
      <w:r>
        <w:t>7.7)</w:t>
      </w:r>
      <w:r>
        <w:tab/>
        <w:t>quark</w:t>
      </w:r>
    </w:p>
    <w:p w:rsidR="00B72047" w:rsidRDefault="00B72047">
      <w:pPr>
        <w:pStyle w:val="examplescaled"/>
      </w:pPr>
      <w:r>
        <w:tab/>
        <w:t>kuark (Lojbanize)</w:t>
      </w:r>
    </w:p>
    <w:p w:rsidR="00B72047" w:rsidRDefault="00B72047">
      <w:pPr>
        <w:pStyle w:val="examplescaled"/>
      </w:pPr>
      <w:r>
        <w:tab/>
        <w:t>kuarka (add final vowel)</w:t>
      </w:r>
    </w:p>
    <w:p w:rsidR="00B72047" w:rsidRDefault="00B72047">
      <w:pPr>
        <w:pStyle w:val="examplescaled"/>
      </w:pPr>
      <w:r>
        <w:tab/>
        <w:t>sask,r,kuarka (prefix rafsi)</w:t>
      </w:r>
    </w:p>
    <w:p w:rsidR="00B72047" w:rsidRDefault="00B72047">
      <w:pPr>
        <w:pStyle w:val="resumedafterexample"/>
      </w:pPr>
      <w:r>
        <w:rPr>
          <w:rStyle w:val="htmlcodes"/>
        </w:rPr>
        <w:t>&lt;/pre&gt;</w:t>
      </w:r>
      <w:r>
        <w:rPr>
          <w:rStyle w:val="indexentry"/>
        </w:rPr>
        <w:t>&lt;cx "fu'ivla, diphthongs in"&gt;</w:t>
      </w:r>
      <w:r>
        <w:rPr>
          <w:rStyle w:val="indexentry"/>
        </w:rPr>
        <w:fldChar w:fldCharType="begin"/>
      </w:r>
      <w:r>
        <w:instrText>xe "</w:instrText>
      </w:r>
      <w:r>
        <w:rPr>
          <w:rStyle w:val="xeentry"/>
        </w:rPr>
        <w:instrText>fu'ivla: diphthongs in</w:instrText>
      </w:r>
      <w:r>
        <w:instrText>"</w:instrText>
      </w:r>
      <w:r>
        <w:rPr>
          <w:rStyle w:val="indexentry"/>
        </w:rPr>
        <w:fldChar w:fldCharType="end"/>
      </w:r>
      <w:r>
        <w:rPr>
          <w:rStyle w:val="indexentry"/>
        </w:rPr>
        <w:t>&lt;cx "diphthongs, in fu'ivla"&gt;</w:t>
      </w:r>
      <w:r>
        <w:rPr>
          <w:rStyle w:val="indexentry"/>
        </w:rPr>
        <w:fldChar w:fldCharType="begin"/>
      </w:r>
      <w:r>
        <w:instrText>xe "</w:instrText>
      </w:r>
      <w:r>
        <w:rPr>
          <w:rStyle w:val="xeentry"/>
        </w:rPr>
        <w:instrText>diphthongs: in fu'ivla</w:instrText>
      </w:r>
      <w:r>
        <w:instrText>"</w:instrText>
      </w:r>
      <w:r>
        <w:rPr>
          <w:rStyle w:val="indexentry"/>
        </w:rPr>
        <w:fldChar w:fldCharType="end"/>
      </w:r>
      <w:r>
        <w:rPr>
          <w:rStyle w:val="indexentry"/>
        </w:rPr>
        <w:t>&lt;cx "allowable diphthongs, in fu'ivla contrasted with in gismu/lujvo"&gt;</w:t>
      </w:r>
      <w:r>
        <w:rPr>
          <w:rStyle w:val="indexentry"/>
        </w:rPr>
        <w:fldChar w:fldCharType="begin"/>
      </w:r>
      <w:r>
        <w:instrText>xe "</w:instrText>
      </w:r>
      <w:r>
        <w:rPr>
          <w:rStyle w:val="xeentry"/>
        </w:rPr>
        <w:instrText>allowable diphthongs: in fu'ivla contrasted with in gismu/lujvo</w:instrText>
      </w:r>
      <w:r>
        <w:instrText>"</w:instrText>
      </w:r>
      <w:r>
        <w:rPr>
          <w:rStyle w:val="indexentry"/>
        </w:rPr>
        <w:fldChar w:fldCharType="end"/>
      </w:r>
      <w:r>
        <w:rPr>
          <w:rStyle w:val="indexentry"/>
        </w:rPr>
        <w:t>&lt;cx "allowable diphthongs, in gismu/lujvo contrasted with in fu'ivla"&gt;</w:t>
      </w:r>
      <w:r>
        <w:t>where “sask-” represents “saske” (“science”). Note the extra vowel “a” added</w:t>
      </w:r>
      <w:r>
        <w:rPr>
          <w:rStyle w:val="deletedparamark"/>
        </w:rPr>
        <w:t xml:space="preserve"> </w:t>
      </w:r>
      <w:r>
        <w:t>to the end of the word, and the diphthong “ua”, which never appears in</w:t>
      </w:r>
      <w:r>
        <w:rPr>
          <w:rStyle w:val="deletedparamark"/>
        </w:rPr>
        <w:t xml:space="preserve"> </w:t>
      </w:r>
      <w:r>
        <w:t>gismu or lujvo, but may ap</w:t>
      </w:r>
      <w:r>
        <w:softHyphen/>
        <w:t>pear in fu'ivla.</w:t>
      </w:r>
    </w:p>
    <w:p w:rsidR="00B72047" w:rsidRDefault="00B72047">
      <w:pPr>
        <w:rPr>
          <w:rStyle w:val="htmlparacode"/>
        </w:rPr>
      </w:pPr>
      <w:r>
        <w:rPr>
          <w:rStyle w:val="htmlparacode"/>
        </w:rPr>
        <w:t>&lt;p&gt;</w:t>
      </w:r>
    </w:p>
    <w:p w:rsidR="00B72047" w:rsidRDefault="00B72047">
      <w:pPr>
        <w:pStyle w:val="normalparagraph"/>
      </w:pPr>
      <w:r>
        <w:rPr>
          <w:rStyle w:val="indexentry"/>
        </w:rPr>
        <w:t>&lt;cx "fu'ivla, disambiguation of"&gt;</w:t>
      </w:r>
      <w:r>
        <w:rPr>
          <w:rStyle w:val="indexentry"/>
        </w:rPr>
        <w:fldChar w:fldCharType="begin"/>
      </w:r>
      <w:r>
        <w:instrText>xe "</w:instrText>
      </w:r>
      <w:r>
        <w:rPr>
          <w:rStyle w:val="xeentry"/>
        </w:rPr>
        <w:instrText>fu'ivla: disambiguation of</w:instrText>
      </w:r>
      <w:r>
        <w:instrText>"</w:instrText>
      </w:r>
      <w:r>
        <w:rPr>
          <w:rStyle w:val="indexentry"/>
        </w:rPr>
        <w:fldChar w:fldCharType="end"/>
      </w:r>
      <w:r>
        <w:rPr>
          <w:rStyle w:val="indexentry"/>
        </w:rPr>
        <w:t>&lt;cx "fu'ivla categorizer, for distinguishing fu'ivla form"&gt;</w:t>
      </w:r>
      <w:r>
        <w:rPr>
          <w:rStyle w:val="indexentry"/>
        </w:rPr>
        <w:fldChar w:fldCharType="begin"/>
      </w:r>
      <w:r>
        <w:instrText>xe "</w:instrText>
      </w:r>
      <w:r>
        <w:rPr>
          <w:rStyle w:val="xeentry"/>
        </w:rPr>
        <w:instrText>fu'ivla categorizer: for distinguishing fu'ivla form</w:instrText>
      </w:r>
      <w:r>
        <w:instrText>"</w:instrText>
      </w:r>
      <w:r>
        <w:rPr>
          <w:rStyle w:val="indexentry"/>
        </w:rPr>
        <w:fldChar w:fldCharType="end"/>
      </w:r>
      <w:r>
        <w:t>The use of the prefix helps distinguish among the many pos</w:t>
      </w:r>
      <w:r>
        <w:softHyphen/>
        <w:t>sible meanings</w:t>
      </w:r>
      <w:r>
        <w:rPr>
          <w:rStyle w:val="deletedparamark"/>
        </w:rPr>
        <w:t xml:space="preserve"> </w:t>
      </w:r>
      <w:r>
        <w:t>of the borrowed word, depending on the field. As it happens,</w:t>
      </w:r>
      <w:r>
        <w:rPr>
          <w:rStyle w:val="deletedparamark"/>
        </w:rPr>
        <w:t xml:space="preserve"> “</w:t>
      </w:r>
      <w:r>
        <w:t>spageti” and “kuarka” are valid Stage 4 fu'ivla, but “xaceru” looks</w:t>
      </w:r>
      <w:r>
        <w:rPr>
          <w:rStyle w:val="deletedparamark"/>
        </w:rPr>
        <w:t xml:space="preserve"> </w:t>
      </w:r>
      <w:r>
        <w:t>like a compound cmavo, and “kobra” like a gismu.</w:t>
      </w:r>
    </w:p>
    <w:p w:rsidR="00B72047" w:rsidRDefault="00B72047">
      <w:pPr>
        <w:rPr>
          <w:rStyle w:val="htmlparacode"/>
        </w:rPr>
      </w:pPr>
      <w:r>
        <w:rPr>
          <w:rStyle w:val="htmlparacode"/>
        </w:rPr>
        <w:t>&lt;p&gt;</w:t>
      </w:r>
    </w:p>
    <w:p w:rsidR="00B72047" w:rsidRDefault="00B72047">
      <w:pPr>
        <w:pStyle w:val="normalparagraph"/>
      </w:pPr>
      <w:r>
        <w:rPr>
          <w:rStyle w:val="indexentry"/>
        </w:rPr>
        <w:t>&lt;cx "fu'ivla categorizer, for distinguishing specialized meanings"&gt;</w:t>
      </w:r>
      <w:r>
        <w:rPr>
          <w:rStyle w:val="indexentry"/>
        </w:rPr>
        <w:fldChar w:fldCharType="begin"/>
      </w:r>
      <w:r>
        <w:instrText>xe "</w:instrText>
      </w:r>
      <w:r>
        <w:rPr>
          <w:rStyle w:val="xeentry"/>
        </w:rPr>
        <w:instrText>fu'ivla categorizer: for distinguishing specialized meanings</w:instrText>
      </w:r>
      <w:r>
        <w:instrText>"</w:instrText>
      </w:r>
      <w:r>
        <w:rPr>
          <w:rStyle w:val="indexentry"/>
        </w:rPr>
        <w:fldChar w:fldCharType="end"/>
      </w:r>
      <w:r>
        <w:t>For another example, “integral” has a specific meaning to a mathematician.</w:t>
      </w:r>
      <w:r>
        <w:rPr>
          <w:rStyle w:val="deletedparamark"/>
        </w:rPr>
        <w:t xml:space="preserve"> </w:t>
      </w:r>
      <w:r>
        <w:t>But the Lojban fu'ivla “integrale”, which is a valid Stage 4 fu'ivla, does</w:t>
      </w:r>
      <w:r>
        <w:rPr>
          <w:rStyle w:val="deletedparamark"/>
        </w:rPr>
        <w:t xml:space="preserve"> </w:t>
      </w:r>
      <w:r>
        <w:t>not convey that mathe</w:t>
      </w:r>
      <w:r>
        <w:softHyphen/>
        <w:t>matical sense to a non-mathematical listener, even one</w:t>
      </w:r>
      <w:r>
        <w:rPr>
          <w:rStyle w:val="deletedparamark"/>
        </w:rPr>
        <w:t xml:space="preserve"> </w:t>
      </w:r>
      <w:r>
        <w:t>with an English-speaking back</w:t>
      </w:r>
      <w:r>
        <w:softHyphen/>
        <w:t>ground; its source — the English word</w:t>
      </w:r>
      <w:r>
        <w:rPr>
          <w:rStyle w:val="deletedparamark"/>
        </w:rPr>
        <w:t xml:space="preserve"> “</w:t>
      </w:r>
      <w:r>
        <w:t>integral” — has various other specialized mean</w:t>
      </w:r>
      <w:r>
        <w:softHyphen/>
        <w:t>ings in other fields.</w:t>
      </w:r>
    </w:p>
    <w:p w:rsidR="00B72047" w:rsidRDefault="00B72047">
      <w:pPr>
        <w:rPr>
          <w:rStyle w:val="htmlparacode"/>
        </w:rPr>
      </w:pPr>
      <w:r>
        <w:rPr>
          <w:rStyle w:val="htmlparacode"/>
        </w:rPr>
        <w:t>&lt;p&gt;</w:t>
      </w:r>
    </w:p>
    <w:p w:rsidR="00B72047" w:rsidRDefault="00B72047">
      <w:pPr>
        <w:pStyle w:val="normalparagraph"/>
      </w:pPr>
      <w:r>
        <w:t>Left uncontrolled, “integrale” almost certainly would eventually come to</w:t>
      </w:r>
      <w:r>
        <w:rPr>
          <w:rStyle w:val="deletedparamark"/>
        </w:rPr>
        <w:t xml:space="preserve"> </w:t>
      </w:r>
      <w:r>
        <w:t>mean the same collection of loosely related concepts that English associates</w:t>
      </w:r>
      <w:r>
        <w:rPr>
          <w:rStyle w:val="deletedparamark"/>
        </w:rPr>
        <w:t xml:space="preserve"> </w:t>
      </w:r>
      <w:r>
        <w:t>with “integral”, with only the context to indicate (possibly) that the</w:t>
      </w:r>
      <w:r>
        <w:rPr>
          <w:rStyle w:val="deletedparamark"/>
        </w:rPr>
        <w:t xml:space="preserve"> </w:t>
      </w:r>
      <w:r>
        <w:t>mathematical term is meant.</w:t>
      </w:r>
    </w:p>
    <w:p w:rsidR="00B72047" w:rsidRDefault="00B72047">
      <w:pPr>
        <w:rPr>
          <w:rStyle w:val="htmlparacode"/>
        </w:rPr>
      </w:pPr>
      <w:r>
        <w:rPr>
          <w:rStyle w:val="htmlparacode"/>
        </w:rPr>
        <w:t>&lt;p&gt;</w:t>
      </w:r>
    </w:p>
    <w:p w:rsidR="00B72047" w:rsidRDefault="00B72047">
      <w:pPr>
        <w:pStyle w:val="normalparagraph"/>
      </w:pPr>
      <w:r>
        <w:rPr>
          <w:rStyle w:val="indexentry"/>
        </w:rPr>
        <w:t>&lt;ex "integral, mathematical concept"&gt;</w:t>
      </w:r>
      <w:r>
        <w:rPr>
          <w:rStyle w:val="indexentry"/>
        </w:rPr>
        <w:fldChar w:fldCharType="begin"/>
      </w:r>
      <w:r>
        <w:instrText>xe "</w:instrText>
      </w:r>
      <w:r>
        <w:rPr>
          <w:rStyle w:val="xeentry"/>
        </w:rPr>
        <w:instrText>integral: mathematical concept, example</w:instrText>
      </w:r>
      <w:r>
        <w:instrText>"</w:instrText>
      </w:r>
      <w:r>
        <w:rPr>
          <w:rStyle w:val="indexentry"/>
        </w:rPr>
        <w:fldChar w:fldCharType="end"/>
      </w:r>
      <w:r>
        <w:rPr>
          <w:rStyle w:val="indexentry"/>
        </w:rPr>
        <w:t>&lt;ex "integral, architectural concept"&gt;</w:t>
      </w:r>
      <w:r>
        <w:rPr>
          <w:rStyle w:val="indexentry"/>
        </w:rPr>
        <w:fldChar w:fldCharType="begin"/>
      </w:r>
      <w:r>
        <w:instrText>xe "</w:instrText>
      </w:r>
      <w:r>
        <w:rPr>
          <w:rStyle w:val="xeentry"/>
        </w:rPr>
        <w:instrText>integral: architectural concept, example</w:instrText>
      </w:r>
      <w:r>
        <w:instrText>"</w:instrText>
      </w:r>
      <w:r>
        <w:rPr>
          <w:rStyle w:val="indexentry"/>
        </w:rPr>
        <w:fldChar w:fldCharType="end"/>
      </w:r>
      <w:r>
        <w:t>The prefix method would render the mathematical concept as “cmacrntegrale”,</w:t>
      </w:r>
      <w:r>
        <w:rPr>
          <w:rStyle w:val="deletedparamark"/>
        </w:rPr>
        <w:t xml:space="preserve"> </w:t>
      </w:r>
      <w:r>
        <w:t>if the “i” of “integrale” is removed, or something like “cmacrnintegrale”,</w:t>
      </w:r>
      <w:r>
        <w:rPr>
          <w:rStyle w:val="deletedparamark"/>
        </w:rPr>
        <w:t xml:space="preserve"> </w:t>
      </w:r>
      <w:r>
        <w:t>if a new con</w:t>
      </w:r>
      <w:r>
        <w:softHyphen/>
        <w:t>sonant is added to the beginning; “cmac-” is the rafsi for</w:t>
      </w:r>
      <w:r>
        <w:rPr>
          <w:rStyle w:val="deletedparamark"/>
        </w:rPr>
        <w:t xml:space="preserve"> “</w:t>
      </w:r>
      <w:r>
        <w:t>cmaci” (“mathematics”). The architec</w:t>
      </w:r>
      <w:r>
        <w:softHyphen/>
        <w:t>tural sense of “integral” might be</w:t>
      </w:r>
      <w:r>
        <w:rPr>
          <w:rStyle w:val="deletedparamark"/>
        </w:rPr>
        <w:t xml:space="preserve"> </w:t>
      </w:r>
      <w:r>
        <w:t>conveyed with “djinrnintegrale” or “tarmrnintegrale”, where “dinju” and</w:t>
      </w:r>
      <w:r>
        <w:rPr>
          <w:rStyle w:val="deletedparamark"/>
        </w:rPr>
        <w:t xml:space="preserve"> “</w:t>
      </w:r>
      <w:r>
        <w:t>tarmi” mean “building” and “form” respectively.</w:t>
      </w:r>
    </w:p>
    <w:p w:rsidR="00B72047" w:rsidRDefault="00B72047">
      <w:pPr>
        <w:rPr>
          <w:rStyle w:val="htmlparacode"/>
        </w:rPr>
      </w:pPr>
      <w:r>
        <w:rPr>
          <w:rStyle w:val="htmlparacode"/>
        </w:rPr>
        <w:t>&lt;p&gt;</w:t>
      </w:r>
    </w:p>
    <w:p w:rsidR="00B72047" w:rsidRDefault="00B72047">
      <w:pPr>
        <w:pStyle w:val="normalparagraph"/>
      </w:pPr>
      <w:r>
        <w:t>Here are some fu'ivla representing cultures and related things, shown with</w:t>
      </w:r>
      <w:r>
        <w:rPr>
          <w:rStyle w:val="deletedparamark"/>
        </w:rPr>
        <w:t xml:space="preserve"> </w:t>
      </w:r>
      <w:r>
        <w:t>more than one rafsi prefix:</w:t>
      </w:r>
    </w:p>
    <w:p w:rsidR="00B72047" w:rsidRDefault="00B72047">
      <w:pPr>
        <w:rPr>
          <w:rStyle w:val="htmlparacode"/>
        </w:rPr>
      </w:pPr>
      <w:r>
        <w:rPr>
          <w:rStyle w:val="htmlparacode"/>
        </w:rPr>
        <w:t>&lt;p&gt;</w:t>
      </w:r>
    </w:p>
    <w:p w:rsidR="00B72047" w:rsidRDefault="00B72047">
      <w:pPr>
        <w:pStyle w:val="examplescaledpre"/>
      </w:pPr>
      <w:r>
        <w:rPr>
          <w:rStyle w:val="indexentry"/>
        </w:rPr>
        <w:t>&lt;ex "Bulgarian"&gt;</w:t>
      </w:r>
      <w:r>
        <w:rPr>
          <w:rStyle w:val="indexentry"/>
        </w:rPr>
        <w:fldChar w:fldCharType="begin"/>
      </w:r>
      <w:r>
        <w:instrText>xe "</w:instrText>
      </w:r>
      <w:r>
        <w:rPr>
          <w:rStyle w:val="xeentry"/>
        </w:rPr>
        <w:instrText>Bulgarian: example</w:instrText>
      </w:r>
      <w:r>
        <w:instrText>"</w:instrText>
      </w:r>
      <w:r>
        <w:rPr>
          <w:rStyle w:val="indexentry"/>
        </w:rPr>
        <w:fldChar w:fldCharType="end"/>
      </w:r>
      <w:r>
        <w:rPr>
          <w:rStyle w:val="htmlcodes"/>
        </w:rPr>
        <w:t>&lt;pre&gt;&lt;a name=e7d8&gt;</w:t>
      </w:r>
      <w:r>
        <w:t>7.8)</w:t>
      </w:r>
      <w:r>
        <w:tab/>
        <w:t>bang,r,blgaria</w:t>
      </w:r>
    </w:p>
    <w:p w:rsidR="00B72047" w:rsidRDefault="00B72047">
      <w:pPr>
        <w:pStyle w:val="examplescaled"/>
      </w:pPr>
      <w:r>
        <w:tab/>
        <w:t>Bulgarian (in language)</w:t>
      </w:r>
    </w:p>
    <w:p w:rsidR="00B72047" w:rsidRDefault="00B72047">
      <w:pPr>
        <w:pStyle w:val="examplescaledpre"/>
      </w:pPr>
      <w:r>
        <w:rPr>
          <w:rStyle w:val="htmlcodes"/>
        </w:rPr>
        <w:t>&lt;a name=e7d9&gt;</w:t>
      </w:r>
      <w:r>
        <w:t>7.9)</w:t>
      </w:r>
      <w:r>
        <w:tab/>
        <w:t>kuln,r,blgaria</w:t>
      </w:r>
    </w:p>
    <w:p w:rsidR="00B72047" w:rsidRDefault="00B72047">
      <w:pPr>
        <w:pStyle w:val="examplescaled"/>
      </w:pPr>
      <w:r>
        <w:tab/>
        <w:t>Bulgarian (in culture)</w:t>
      </w:r>
    </w:p>
    <w:p w:rsidR="00B72047" w:rsidRDefault="00B72047">
      <w:pPr>
        <w:pStyle w:val="examplescaledpre"/>
      </w:pPr>
      <w:r>
        <w:rPr>
          <w:rStyle w:val="htmlcodes"/>
        </w:rPr>
        <w:t>&lt;a name=e7d10&gt;</w:t>
      </w:r>
      <w:r>
        <w:t>7.10)</w:t>
      </w:r>
      <w:r>
        <w:tab/>
        <w:t>gugd,r,blgaria</w:t>
      </w:r>
    </w:p>
    <w:p w:rsidR="00B72047" w:rsidRDefault="00B72047">
      <w:pPr>
        <w:pStyle w:val="examplescaled"/>
      </w:pPr>
      <w:r>
        <w:tab/>
        <w:t>Bulgaria (the country)</w:t>
      </w:r>
    </w:p>
    <w:p w:rsidR="00B72047" w:rsidRDefault="00B72047">
      <w:pPr>
        <w:pStyle w:val="examplescaledpre"/>
      </w:pPr>
      <w:r>
        <w:rPr>
          <w:rStyle w:val="htmlcodes"/>
        </w:rPr>
        <w:t>&lt;/pre&gt;</w:t>
      </w:r>
      <w:r>
        <w:rPr>
          <w:rStyle w:val="indexentry"/>
        </w:rPr>
        <w:t>&lt;ex "Korean"&gt;</w:t>
      </w:r>
      <w:r>
        <w:rPr>
          <w:rStyle w:val="indexentry"/>
        </w:rPr>
        <w:fldChar w:fldCharType="begin"/>
      </w:r>
      <w:r>
        <w:instrText>xe "</w:instrText>
      </w:r>
      <w:r>
        <w:rPr>
          <w:rStyle w:val="xeentry"/>
        </w:rPr>
        <w:instrText>Korean: example</w:instrText>
      </w:r>
      <w:r>
        <w:instrText>"</w:instrText>
      </w:r>
      <w:r>
        <w:rPr>
          <w:rStyle w:val="indexentry"/>
        </w:rPr>
        <w:fldChar w:fldCharType="end"/>
      </w:r>
      <w:r>
        <w:rPr>
          <w:rStyle w:val="htmlcodes"/>
        </w:rPr>
        <w:t>&lt;pre&gt;&lt;a name=e7d11&gt;</w:t>
      </w:r>
      <w:r>
        <w:t>7.11)</w:t>
      </w:r>
      <w:r>
        <w:tab/>
        <w:t>bang,r,kore,a</w:t>
      </w:r>
    </w:p>
    <w:p w:rsidR="00B72047" w:rsidRDefault="00B72047">
      <w:pPr>
        <w:pStyle w:val="examplescaled"/>
      </w:pPr>
      <w:r>
        <w:tab/>
        <w:t>Korean (the language)</w:t>
      </w:r>
    </w:p>
    <w:p w:rsidR="00B72047" w:rsidRDefault="00B72047">
      <w:pPr>
        <w:pStyle w:val="examplescaledpre"/>
      </w:pPr>
      <w:r>
        <w:rPr>
          <w:rStyle w:val="htmlcodes"/>
        </w:rPr>
        <w:t>&lt;a name=e7d12&gt;</w:t>
      </w:r>
      <w:r>
        <w:t>7.12)</w:t>
      </w:r>
      <w:r>
        <w:tab/>
        <w:t>kuln,r,kore,a</w:t>
      </w:r>
    </w:p>
    <w:p w:rsidR="00B72047" w:rsidRDefault="00B72047">
      <w:pPr>
        <w:pStyle w:val="examplescaled"/>
      </w:pPr>
      <w:r>
        <w:tab/>
        <w:t>Korean (the culture)</w:t>
      </w:r>
    </w:p>
    <w:p w:rsidR="00B72047" w:rsidRDefault="00B72047">
      <w:pPr>
        <w:pStyle w:val="resumedafterexample"/>
      </w:pPr>
      <w:r>
        <w:rPr>
          <w:rStyle w:val="htmlcodes"/>
        </w:rPr>
        <w:t>&lt;/pre&gt;</w:t>
      </w:r>
      <w:r>
        <w:rPr>
          <w:rStyle w:val="indexentry"/>
        </w:rPr>
        <w:t>&lt;cx "invalid diphthongs, in fu'ivla"&gt;</w:t>
      </w:r>
      <w:r>
        <w:rPr>
          <w:rStyle w:val="indexentry"/>
        </w:rPr>
        <w:fldChar w:fldCharType="begin"/>
      </w:r>
      <w:r>
        <w:instrText>xe "</w:instrText>
      </w:r>
      <w:r>
        <w:rPr>
          <w:rStyle w:val="xeentry"/>
        </w:rPr>
        <w:instrText>invalid diphthongs: in fu'ivla</w:instrText>
      </w:r>
      <w:r>
        <w:instrText>"</w:instrText>
      </w:r>
      <w:r>
        <w:rPr>
          <w:rStyle w:val="indexentry"/>
        </w:rPr>
        <w:fldChar w:fldCharType="end"/>
      </w:r>
      <w:r>
        <w:rPr>
          <w:rStyle w:val="indexentry"/>
        </w:rPr>
        <w:t>&lt;cx "fu'ivla, with invalid diphthongs"&gt;</w:t>
      </w:r>
      <w:r>
        <w:rPr>
          <w:rStyle w:val="indexentry"/>
        </w:rPr>
        <w:fldChar w:fldCharType="begin"/>
      </w:r>
      <w:r>
        <w:instrText>xe "</w:instrText>
      </w:r>
      <w:r>
        <w:rPr>
          <w:rStyle w:val="xeentry"/>
        </w:rPr>
        <w:instrText>fu'ivla: with invalid diphthongs</w:instrText>
      </w:r>
      <w:r>
        <w:instrText>"</w:instrText>
      </w:r>
      <w:r>
        <w:rPr>
          <w:rStyle w:val="indexentry"/>
        </w:rPr>
        <w:fldChar w:fldCharType="end"/>
      </w:r>
      <w:r>
        <w:rPr>
          <w:rStyle w:val="indexentry"/>
        </w:rPr>
        <w:t>&lt;cx "fu'ivla, considerations for choosing basis word"&gt;</w:t>
      </w:r>
      <w:r>
        <w:rPr>
          <w:rStyle w:val="indexentry"/>
        </w:rPr>
        <w:fldChar w:fldCharType="begin"/>
      </w:r>
      <w:r>
        <w:instrText>xe "</w:instrText>
      </w:r>
      <w:r>
        <w:rPr>
          <w:rStyle w:val="xeentry"/>
        </w:rPr>
        <w:instrText>fu'ivla: considerations for choosing basis word</w:instrText>
      </w:r>
      <w:r>
        <w:instrText>"</w:instrText>
      </w:r>
      <w:r>
        <w:rPr>
          <w:rStyle w:val="indexentry"/>
        </w:rPr>
        <w:fldChar w:fldCharType="end"/>
      </w:r>
      <w:r>
        <w:rPr>
          <w:rStyle w:val="indexentry"/>
        </w:rPr>
        <w:t>&lt;ex "Navajo"&gt;</w:t>
      </w:r>
      <w:r>
        <w:rPr>
          <w:rStyle w:val="indexentry"/>
        </w:rPr>
        <w:fldChar w:fldCharType="begin"/>
      </w:r>
      <w:r>
        <w:instrText>xe "</w:instrText>
      </w:r>
      <w:r>
        <w:rPr>
          <w:rStyle w:val="xeentry"/>
        </w:rPr>
        <w:instrText>Navajo: example</w:instrText>
      </w:r>
      <w:r>
        <w:instrText>"</w:instrText>
      </w:r>
      <w:r>
        <w:rPr>
          <w:rStyle w:val="indexentry"/>
        </w:rPr>
        <w:fldChar w:fldCharType="end"/>
      </w:r>
      <w:r>
        <w:t xml:space="preserve">Note the commas in </w:t>
      </w:r>
      <w:r>
        <w:rPr>
          <w:rStyle w:val="htmlcodes"/>
        </w:rPr>
        <w:t>&lt;a href=#e7d{11}&gt;</w:t>
      </w:r>
      <w:r>
        <w:t xml:space="preserve">Examples 7.11 </w:t>
      </w:r>
      <w:r>
        <w:rPr>
          <w:rStyle w:val="htmlcodes"/>
        </w:rPr>
        <w:t>&lt;/a&gt;</w:t>
      </w:r>
      <w:r>
        <w:t xml:space="preserve">and </w:t>
      </w:r>
      <w:r>
        <w:rPr>
          <w:rStyle w:val="htmlcodes"/>
        </w:rPr>
        <w:t>&lt;a href=#e7d12&gt;</w:t>
      </w:r>
      <w:r>
        <w:t>7.12</w:t>
      </w:r>
      <w:r>
        <w:rPr>
          <w:rStyle w:val="htmlcodes"/>
        </w:rPr>
        <w:t>&lt;/a&gt;</w:t>
      </w:r>
      <w:r>
        <w:t>, used because “ea” is not a</w:t>
      </w:r>
      <w:r>
        <w:rPr>
          <w:rStyle w:val="deletedparamark"/>
        </w:rPr>
        <w:t xml:space="preserve"> </w:t>
      </w:r>
      <w:r>
        <w:t>valid diph</w:t>
      </w:r>
      <w:r>
        <w:softHyphen/>
        <w:t>thong in Lojban. Arguably, some form of the native name</w:t>
      </w:r>
      <w:r>
        <w:rPr>
          <w:rStyle w:val="deletedparamark"/>
        </w:rPr>
        <w:t xml:space="preserve"> “</w:t>
      </w:r>
      <w:r>
        <w:t>Chosen” should have been used in</w:t>
      </w:r>
      <w:r>
        <w:softHyphen/>
        <w:t>stead of the internationally known</w:t>
      </w:r>
      <w:r>
        <w:rPr>
          <w:rStyle w:val="deletedparamark"/>
        </w:rPr>
        <w:t xml:space="preserve"> “</w:t>
      </w:r>
      <w:r>
        <w:t>Korea”; this is a recurring problem in all borrowings. In gen</w:t>
      </w:r>
      <w:r>
        <w:softHyphen/>
        <w:t>eral,</w:t>
      </w:r>
      <w:r>
        <w:rPr>
          <w:rStyle w:val="deletedparamark"/>
        </w:rPr>
        <w:t xml:space="preserve"> </w:t>
      </w:r>
      <w:r>
        <w:t>it is better to use the native name unless using it will severely</w:t>
      </w:r>
      <w:r>
        <w:rPr>
          <w:rStyle w:val="deletedparamark"/>
        </w:rPr>
        <w:t xml:space="preserve"> </w:t>
      </w:r>
      <w:r>
        <w:t>impede under</w:t>
      </w:r>
      <w:r>
        <w:softHyphen/>
        <w:t>standing: “Navajo” is far more widely known than “Dine'e”.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169" w:name="_Toc395691506"/>
      <w:bookmarkStart w:id="170" w:name="_Toc398970477"/>
      <w:r>
        <w:rPr>
          <w:rStyle w:val="Heading3Text"/>
        </w:rPr>
        <w:t>cmene</w:t>
      </w:r>
      <w:bookmarkEnd w:id="169"/>
      <w:bookmarkEnd w:id="17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"cmene, purpose of"&gt;</w:t>
      </w:r>
      <w:r>
        <w:rPr>
          <w:rStyle w:val="indexentry"/>
        </w:rPr>
        <w:fldChar w:fldCharType="begin"/>
      </w:r>
      <w:r>
        <w:instrText>xe "</w:instrText>
      </w:r>
      <w:r>
        <w:rPr>
          <w:rStyle w:val="xeentry"/>
        </w:rPr>
        <w:instrText>cmene: purpose of</w:instrText>
      </w:r>
      <w:r>
        <w:instrText>"</w:instrText>
      </w:r>
      <w:r>
        <w:rPr>
          <w:rStyle w:val="indexentry"/>
        </w:rPr>
        <w:fldChar w:fldCharType="end"/>
      </w:r>
      <w:r>
        <w:rPr>
          <w:rStyle w:val="indexentry"/>
        </w:rPr>
        <w:t>&lt;cx "names, purpose of"&gt;</w:t>
      </w:r>
      <w:r>
        <w:rPr>
          <w:rStyle w:val="indexentry"/>
        </w:rPr>
        <w:fldChar w:fldCharType="begin"/>
      </w:r>
      <w:r>
        <w:instrText>xe "</w:instrText>
      </w:r>
      <w:r>
        <w:rPr>
          <w:rStyle w:val="xeentry"/>
        </w:rPr>
        <w:instrText>names: purpose of</w:instrText>
      </w:r>
      <w:r>
        <w:instrText>"</w:instrText>
      </w:r>
      <w:r>
        <w:rPr>
          <w:rStyle w:val="indexentry"/>
        </w:rPr>
        <w:fldChar w:fldCharType="end"/>
      </w:r>
      <w:r>
        <w:rPr>
          <w:rStyle w:val="indexentry"/>
        </w:rPr>
        <w:t>&lt;cx "cmene, definition"&gt;</w:t>
      </w:r>
      <w:r>
        <w:rPr>
          <w:rStyle w:val="indexentry"/>
        </w:rPr>
        <w:fldChar w:fldCharType="begin"/>
      </w:r>
      <w:r>
        <w:instrText>xe "</w:instrText>
      </w:r>
      <w:r>
        <w:rPr>
          <w:rStyle w:val="xeentry"/>
        </w:rPr>
        <w:instrText>cmene: definition</w:instrText>
      </w:r>
      <w:r>
        <w:instrText>"</w:instrText>
      </w:r>
      <w:r>
        <w:rPr>
          <w:rStyle w:val="indexentry"/>
        </w:rPr>
        <w:fldChar w:fldCharType="end"/>
      </w:r>
      <w:r>
        <w:rPr>
          <w:rStyle w:val="indexentry"/>
        </w:rPr>
        <w:t>&lt;cx "names in Lojban (see also “cmene”)"&gt;</w:t>
      </w:r>
      <w:r>
        <w:rPr>
          <w:rStyle w:val="indexentry"/>
        </w:rPr>
        <w:fldChar w:fldCharType="begin"/>
      </w:r>
      <w:r>
        <w:instrText>xe "</w:instrText>
      </w:r>
      <w:r>
        <w:rPr>
          <w:rStyle w:val="xeentry"/>
        </w:rPr>
        <w:instrText>names in Lojban (see also cmene)</w:instrText>
      </w:r>
      <w:r>
        <w:instrText>"</w:instrText>
      </w:r>
      <w:r>
        <w:rPr>
          <w:rStyle w:val="indexentry"/>
        </w:rPr>
        <w:fldChar w:fldCharType="end"/>
      </w:r>
      <w:r>
        <w:t>Lojbanized names, called “cmene”, are very much like their counterparts</w:t>
      </w:r>
      <w:r>
        <w:rPr>
          <w:rStyle w:val="deletedparamark"/>
        </w:rPr>
        <w:t xml:space="preserve"> </w:t>
      </w:r>
      <w:r>
        <w:t>in other languages. They are labels applied to things (or people) to stand</w:t>
      </w:r>
      <w:r>
        <w:rPr>
          <w:rStyle w:val="deletedparamark"/>
        </w:rPr>
        <w:t xml:space="preserve"> </w:t>
      </w:r>
      <w:r>
        <w:t>for them in de</w:t>
      </w:r>
      <w:r>
        <w:softHyphen/>
        <w:t>scriptions or in direct address. They may convey meaning in</w:t>
      </w:r>
      <w:r>
        <w:rPr>
          <w:rStyle w:val="deletedparamark"/>
        </w:rPr>
        <w:t xml:space="preserve"> </w:t>
      </w:r>
      <w:r>
        <w:t>themselves, but do not necessarily do so.</w:t>
      </w:r>
    </w:p>
    <w:p w:rsidR="00B72047" w:rsidRDefault="00B72047">
      <w:pPr>
        <w:rPr>
          <w:rStyle w:val="htmlparacode"/>
        </w:rPr>
      </w:pPr>
      <w:r>
        <w:rPr>
          <w:rStyle w:val="htmlparacode"/>
        </w:rPr>
        <w:t>&lt;p&gt;</w:t>
      </w:r>
    </w:p>
    <w:p w:rsidR="00B72047" w:rsidRDefault="00B72047">
      <w:pPr>
        <w:pStyle w:val="normalparagraph"/>
      </w:pPr>
      <w:r>
        <w:rPr>
          <w:rStyle w:val="indexentry"/>
        </w:rPr>
        <w:t>&lt;cx "cmene, examples of"&gt;</w:t>
      </w:r>
      <w:r>
        <w:rPr>
          <w:rStyle w:val="indexentry"/>
        </w:rPr>
        <w:fldChar w:fldCharType="begin"/>
      </w:r>
      <w:r>
        <w:instrText>xe "</w:instrText>
      </w:r>
      <w:r>
        <w:rPr>
          <w:rStyle w:val="xeentry"/>
        </w:rPr>
        <w:instrText>cmene: examples of</w:instrText>
      </w:r>
      <w:r>
        <w:instrText>"</w:instrText>
      </w:r>
      <w:r>
        <w:rPr>
          <w:rStyle w:val="indexentry"/>
        </w:rPr>
        <w:fldChar w:fldCharType="end"/>
      </w:r>
      <w:r>
        <w:rPr>
          <w:rStyle w:val="indexentry"/>
        </w:rPr>
        <w:t>&lt;cx "names, examples of"&gt;</w:t>
      </w:r>
      <w:r>
        <w:rPr>
          <w:rStyle w:val="indexentry"/>
        </w:rPr>
        <w:fldChar w:fldCharType="begin"/>
      </w:r>
      <w:r>
        <w:instrText>xe "</w:instrText>
      </w:r>
      <w:r>
        <w:rPr>
          <w:rStyle w:val="xeentry"/>
        </w:rPr>
        <w:instrText>names: examples of</w:instrText>
      </w:r>
      <w:r>
        <w:instrText>"</w:instrText>
      </w:r>
      <w:r>
        <w:rPr>
          <w:rStyle w:val="indexentry"/>
        </w:rPr>
        <w:fldChar w:fldCharType="end"/>
      </w:r>
      <w:r>
        <w:rPr>
          <w:rStyle w:val="indexentry"/>
        </w:rPr>
        <w:t>&lt;cx "cmene, and analyzability of speech stream"&gt;</w:t>
      </w:r>
      <w:r>
        <w:rPr>
          <w:rStyle w:val="indexentry"/>
        </w:rPr>
        <w:fldChar w:fldCharType="begin"/>
      </w:r>
      <w:r>
        <w:instrText>xe "</w:instrText>
      </w:r>
      <w:r>
        <w:rPr>
          <w:rStyle w:val="xeentry"/>
        </w:rPr>
        <w:instrText>cmene: and analyzability of speech stream</w:instrText>
      </w:r>
      <w:r>
        <w:instrText>"</w:instrText>
      </w:r>
      <w:r>
        <w:rPr>
          <w:rStyle w:val="indexentry"/>
        </w:rPr>
        <w:fldChar w:fldCharType="end"/>
      </w:r>
      <w:r>
        <w:rPr>
          <w:rStyle w:val="indexentry"/>
        </w:rPr>
        <w:t>&lt;cx "cmene, rationale for lojbanizing"&gt;</w:t>
      </w:r>
      <w:r>
        <w:rPr>
          <w:rStyle w:val="indexentry"/>
        </w:rPr>
        <w:fldChar w:fldCharType="begin"/>
      </w:r>
      <w:r>
        <w:instrText>xe "</w:instrText>
      </w:r>
      <w:r>
        <w:rPr>
          <w:rStyle w:val="xeentry"/>
        </w:rPr>
        <w:instrText>cmene: rationale for lojbanizing</w:instrText>
      </w:r>
      <w:r>
        <w:instrText>"</w:instrText>
      </w:r>
      <w:r>
        <w:rPr>
          <w:rStyle w:val="indexentry"/>
        </w:rPr>
        <w:fldChar w:fldCharType="end"/>
      </w:r>
      <w:r>
        <w:rPr>
          <w:rStyle w:val="indexentry"/>
        </w:rPr>
        <w:t>&lt;cx "names, rationale for lojbanizing"&gt;</w:t>
      </w:r>
      <w:r>
        <w:rPr>
          <w:rStyle w:val="indexentry"/>
        </w:rPr>
        <w:fldChar w:fldCharType="begin"/>
      </w:r>
      <w:r>
        <w:instrText>xe "</w:instrText>
      </w:r>
      <w:r>
        <w:rPr>
          <w:rStyle w:val="xeentry"/>
        </w:rPr>
        <w:instrText>names: rationale for lojbanizing</w:instrText>
      </w:r>
      <w:r>
        <w:instrText>"</w:instrText>
      </w:r>
      <w:r>
        <w:rPr>
          <w:rStyle w:val="indexentry"/>
        </w:rPr>
        <w:fldChar w:fldCharType="end"/>
      </w:r>
      <w:r>
        <w:t>Because names are often highly personal and individual, Loj</w:t>
      </w:r>
      <w:r>
        <w:softHyphen/>
        <w:t>ban attempts</w:t>
      </w:r>
      <w:r>
        <w:rPr>
          <w:rStyle w:val="deletedparamark"/>
        </w:rPr>
        <w:t xml:space="preserve"> </w:t>
      </w:r>
      <w:r>
        <w:t>to allow native language names to be used with a mini</w:t>
      </w:r>
      <w:r>
        <w:softHyphen/>
        <w:t>mum of modification.</w:t>
      </w:r>
      <w:r>
        <w:rPr>
          <w:rStyle w:val="deletedparamark"/>
        </w:rPr>
        <w:t xml:space="preserve"> </w:t>
      </w:r>
      <w:r>
        <w:t>The require</w:t>
      </w:r>
      <w:r>
        <w:softHyphen/>
        <w:t>ment that the Lojban speech stream be unambiguously analyzable,</w:t>
      </w:r>
      <w:r>
        <w:rPr>
          <w:rStyle w:val="deletedparamark"/>
        </w:rPr>
        <w:t xml:space="preserve"> </w:t>
      </w:r>
      <w:r>
        <w:t>however, means that most names must be modified somewhat when they are</w:t>
      </w:r>
      <w:r>
        <w:rPr>
          <w:rStyle w:val="deletedparamark"/>
        </w:rPr>
        <w:t xml:space="preserve"> </w:t>
      </w:r>
      <w:r>
        <w:t>Lojbanized. Here are a few ex</w:t>
      </w:r>
      <w:r>
        <w:softHyphen/>
        <w:t>amples of Eng</w:t>
      </w:r>
      <w:r>
        <w:softHyphen/>
        <w:t>lish names and possible Lojban</w:t>
      </w:r>
      <w:r>
        <w:rPr>
          <w:rStyle w:val="deletedparamark"/>
        </w:rPr>
        <w:t xml:space="preserve"> </w:t>
      </w:r>
      <w:r>
        <w:t>equivalents:</w:t>
      </w:r>
    </w:p>
    <w:p w:rsidR="00B72047" w:rsidRDefault="00B72047">
      <w:pPr>
        <w:rPr>
          <w:rStyle w:val="htmlparacode"/>
        </w:rPr>
      </w:pPr>
      <w:r>
        <w:rPr>
          <w:rStyle w:val="htmlparacode"/>
        </w:rPr>
        <w:t>&lt;p&gt;</w:t>
      </w:r>
    </w:p>
    <w:p w:rsidR="00B72047" w:rsidRDefault="00B72047">
      <w:pPr>
        <w:pStyle w:val="examplescaledpre"/>
      </w:pPr>
      <w:r>
        <w:rPr>
          <w:rStyle w:val="indexentry"/>
        </w:rPr>
        <w:t>&lt;ex "Jim"&gt;</w:t>
      </w:r>
      <w:r>
        <w:rPr>
          <w:rStyle w:val="indexentry"/>
        </w:rPr>
        <w:fldChar w:fldCharType="begin"/>
      </w:r>
      <w:r>
        <w:instrText>xe "</w:instrText>
      </w:r>
      <w:r>
        <w:rPr>
          <w:rStyle w:val="xeentry"/>
        </w:rPr>
        <w:instrText>Jim: example</w:instrText>
      </w:r>
      <w:r>
        <w:instrText>"</w:instrText>
      </w:r>
      <w:r>
        <w:rPr>
          <w:rStyle w:val="indexentry"/>
        </w:rPr>
        <w:fldChar w:fldCharType="end"/>
      </w:r>
      <w:r>
        <w:rPr>
          <w:rStyle w:val="htmlcodes"/>
        </w:rPr>
        <w:t>&lt;pre&gt;&lt;a name=e8d1&gt;</w:t>
      </w:r>
      <w:r>
        <w:t>8.1)</w:t>
      </w:r>
      <w:r>
        <w:tab/>
        <w:t>djim.</w:t>
      </w:r>
    </w:p>
    <w:p w:rsidR="00B72047" w:rsidRDefault="00B72047">
      <w:pPr>
        <w:pStyle w:val="examplescaled"/>
      </w:pPr>
      <w:r>
        <w:tab/>
        <w:t>Jim</w:t>
      </w:r>
    </w:p>
    <w:p w:rsidR="00B72047" w:rsidRDefault="00B72047">
      <w:pPr>
        <w:pStyle w:val="examplescaledpre"/>
      </w:pPr>
      <w:r>
        <w:rPr>
          <w:rStyle w:val="htmlcodes"/>
        </w:rPr>
        <w:t>&lt;/pre&gt;</w:t>
      </w:r>
      <w:r>
        <w:rPr>
          <w:rStyle w:val="indexentry"/>
        </w:rPr>
        <w:t>&lt;ex "Jane"&gt;</w:t>
      </w:r>
      <w:r>
        <w:rPr>
          <w:rStyle w:val="indexentry"/>
        </w:rPr>
        <w:fldChar w:fldCharType="begin"/>
      </w:r>
      <w:r>
        <w:instrText>xe "</w:instrText>
      </w:r>
      <w:r>
        <w:rPr>
          <w:rStyle w:val="xeentry"/>
        </w:rPr>
        <w:instrText>Jane: example</w:instrText>
      </w:r>
      <w:r>
        <w:instrText>"</w:instrText>
      </w:r>
      <w:r>
        <w:rPr>
          <w:rStyle w:val="indexentry"/>
        </w:rPr>
        <w:fldChar w:fldCharType="end"/>
      </w:r>
      <w:r>
        <w:rPr>
          <w:rStyle w:val="htmlcodes"/>
        </w:rPr>
        <w:t>&lt;pre&gt;&lt;a name=e8d2&gt;</w:t>
      </w:r>
      <w:r>
        <w:t>8.2)</w:t>
      </w:r>
      <w:r>
        <w:tab/>
        <w:t>djein.</w:t>
      </w:r>
    </w:p>
    <w:p w:rsidR="00B72047" w:rsidRDefault="00B72047">
      <w:pPr>
        <w:pStyle w:val="examplescaled"/>
      </w:pPr>
      <w:r>
        <w:tab/>
        <w:t>Jane</w:t>
      </w:r>
    </w:p>
    <w:p w:rsidR="00B72047" w:rsidRDefault="00B72047">
      <w:pPr>
        <w:pStyle w:val="examplescaledpre"/>
      </w:pPr>
      <w:r>
        <w:rPr>
          <w:rStyle w:val="htmlcodes"/>
        </w:rPr>
        <w:t>&lt;/pre&gt;</w:t>
      </w:r>
      <w:r>
        <w:rPr>
          <w:rStyle w:val="indexentry"/>
        </w:rPr>
        <w:t>&lt;ex "Arnold"&gt;</w:t>
      </w:r>
      <w:r>
        <w:rPr>
          <w:rStyle w:val="indexentry"/>
        </w:rPr>
        <w:fldChar w:fldCharType="begin"/>
      </w:r>
      <w:r>
        <w:instrText>xe "</w:instrText>
      </w:r>
      <w:r>
        <w:rPr>
          <w:rStyle w:val="xeentry"/>
        </w:rPr>
        <w:instrText>Arnold: example</w:instrText>
      </w:r>
      <w:r>
        <w:instrText>"</w:instrText>
      </w:r>
      <w:r>
        <w:rPr>
          <w:rStyle w:val="indexentry"/>
        </w:rPr>
        <w:fldChar w:fldCharType="end"/>
      </w:r>
      <w:r>
        <w:rPr>
          <w:rStyle w:val="htmlcodes"/>
        </w:rPr>
        <w:t>&lt;pre&gt;&lt;a name=e8d3&gt;</w:t>
      </w:r>
      <w:r>
        <w:t>8.3)</w:t>
      </w:r>
      <w:r>
        <w:tab/>
        <w:t>.arnold.</w:t>
      </w:r>
    </w:p>
    <w:p w:rsidR="00B72047" w:rsidRDefault="00B72047">
      <w:pPr>
        <w:pStyle w:val="examplescaled"/>
      </w:pPr>
      <w:r>
        <w:tab/>
        <w:t>Arnold</w:t>
      </w:r>
    </w:p>
    <w:p w:rsidR="00B72047" w:rsidRDefault="00B72047">
      <w:pPr>
        <w:pStyle w:val="examplescaledpre"/>
      </w:pPr>
      <w:r>
        <w:rPr>
          <w:rStyle w:val="htmlcodes"/>
        </w:rPr>
        <w:t>&lt;/pre&gt;</w:t>
      </w:r>
      <w:r>
        <w:rPr>
          <w:rStyle w:val="indexentry"/>
        </w:rPr>
        <w:t>&lt;ex "Pete"&gt;</w:t>
      </w:r>
      <w:r>
        <w:rPr>
          <w:rStyle w:val="indexentry"/>
        </w:rPr>
        <w:fldChar w:fldCharType="begin"/>
      </w:r>
      <w:r>
        <w:instrText>xe "</w:instrText>
      </w:r>
      <w:r>
        <w:rPr>
          <w:rStyle w:val="xeentry"/>
        </w:rPr>
        <w:instrText>Pete: example</w:instrText>
      </w:r>
      <w:r>
        <w:instrText>"</w:instrText>
      </w:r>
      <w:r>
        <w:rPr>
          <w:rStyle w:val="indexentry"/>
        </w:rPr>
        <w:fldChar w:fldCharType="end"/>
      </w:r>
      <w:r>
        <w:rPr>
          <w:rStyle w:val="htmlcodes"/>
        </w:rPr>
        <w:t>&lt;pre&gt;&lt;a name=e8d4&gt;</w:t>
      </w:r>
      <w:r>
        <w:t>8.4)</w:t>
      </w:r>
      <w:r>
        <w:tab/>
        <w:t>pit.</w:t>
      </w:r>
    </w:p>
    <w:p w:rsidR="00B72047" w:rsidRDefault="00B72047">
      <w:pPr>
        <w:pStyle w:val="examplescaled"/>
      </w:pPr>
      <w:r>
        <w:tab/>
        <w:t>Pete</w:t>
      </w:r>
    </w:p>
    <w:p w:rsidR="00B72047" w:rsidRDefault="00B72047">
      <w:pPr>
        <w:pStyle w:val="examplescaledpre"/>
      </w:pPr>
      <w:r>
        <w:rPr>
          <w:rStyle w:val="htmlcodes"/>
        </w:rPr>
        <w:t>&lt;/pre&gt;</w:t>
      </w:r>
      <w:r>
        <w:rPr>
          <w:rStyle w:val="indexentry"/>
        </w:rPr>
        <w:t>&lt;ex "Katrina"&gt;</w:t>
      </w:r>
      <w:r>
        <w:rPr>
          <w:rStyle w:val="indexentry"/>
        </w:rPr>
        <w:fldChar w:fldCharType="begin"/>
      </w:r>
      <w:r>
        <w:instrText>xe "</w:instrText>
      </w:r>
      <w:r>
        <w:rPr>
          <w:rStyle w:val="xeentry"/>
        </w:rPr>
        <w:instrText>Katrina: example</w:instrText>
      </w:r>
      <w:r>
        <w:instrText>"</w:instrText>
      </w:r>
      <w:r>
        <w:rPr>
          <w:rStyle w:val="indexentry"/>
        </w:rPr>
        <w:fldChar w:fldCharType="end"/>
      </w:r>
      <w:r>
        <w:rPr>
          <w:rStyle w:val="htmlcodes"/>
        </w:rPr>
        <w:t>&lt;pre&gt;&lt;a name=e8d5&gt;</w:t>
      </w:r>
      <w:r>
        <w:t>8.5)</w:t>
      </w:r>
      <w:r>
        <w:tab/>
        <w:t>katrinas.</w:t>
      </w:r>
    </w:p>
    <w:p w:rsidR="00B72047" w:rsidRDefault="00B72047">
      <w:pPr>
        <w:pStyle w:val="examplescaled"/>
      </w:pPr>
      <w:r>
        <w:tab/>
        <w:t>Katrina</w:t>
      </w:r>
    </w:p>
    <w:p w:rsidR="00B72047" w:rsidRDefault="00B72047">
      <w:pPr>
        <w:pStyle w:val="examplescaledpre"/>
      </w:pPr>
      <w:r>
        <w:rPr>
          <w:rStyle w:val="htmlcodes"/>
        </w:rPr>
        <w:t>&lt;/pre&gt;</w:t>
      </w:r>
      <w:r>
        <w:rPr>
          <w:rStyle w:val="indexentry"/>
        </w:rPr>
        <w:t>&lt;ex "Catherine"&gt;</w:t>
      </w:r>
      <w:r>
        <w:rPr>
          <w:rStyle w:val="indexentry"/>
        </w:rPr>
        <w:fldChar w:fldCharType="begin"/>
      </w:r>
      <w:r>
        <w:instrText>xe "</w:instrText>
      </w:r>
      <w:r>
        <w:rPr>
          <w:rStyle w:val="xeentry"/>
        </w:rPr>
        <w:instrText>Catherine: example</w:instrText>
      </w:r>
      <w:r>
        <w:instrText>"</w:instrText>
      </w:r>
      <w:r>
        <w:rPr>
          <w:rStyle w:val="indexentry"/>
        </w:rPr>
        <w:fldChar w:fldCharType="end"/>
      </w:r>
      <w:r>
        <w:rPr>
          <w:rStyle w:val="htmlcodes"/>
        </w:rPr>
        <w:t>&lt;pre&gt;&lt;a name=e8d6&gt;</w:t>
      </w:r>
      <w:r>
        <w:t>8.6)</w:t>
      </w:r>
      <w:r>
        <w:tab/>
        <w:t>kat,r,in.</w:t>
      </w:r>
    </w:p>
    <w:p w:rsidR="00B72047" w:rsidRDefault="00B72047">
      <w:pPr>
        <w:pStyle w:val="examplescaled"/>
      </w:pPr>
      <w:r>
        <w:tab/>
        <w:t>Catherine</w:t>
      </w:r>
    </w:p>
    <w:p w:rsidR="00B72047" w:rsidRDefault="00B72047">
      <w:pPr>
        <w:pStyle w:val="resumedafterexample"/>
      </w:pPr>
      <w:r>
        <w:rPr>
          <w:rStyle w:val="htmlcodes"/>
        </w:rPr>
        <w:t>&lt;/pre&gt;</w:t>
      </w:r>
      <w:r>
        <w:rPr>
          <w:rStyle w:val="indexentry"/>
        </w:rPr>
        <w:t>&lt;cx "syllabic consonant, effect on stress determination"&gt;</w:t>
      </w:r>
      <w:r>
        <w:rPr>
          <w:rStyle w:val="indexentry"/>
        </w:rPr>
        <w:fldChar w:fldCharType="begin"/>
      </w:r>
      <w:r>
        <w:instrText>xe "</w:instrText>
      </w:r>
      <w:r>
        <w:rPr>
          <w:rStyle w:val="xeentry"/>
        </w:rPr>
        <w:instrText>syllabic consonant: effect on stress</w:instrText>
      </w:r>
      <w:r>
        <w:instrText>"</w:instrText>
      </w:r>
      <w:r>
        <w:rPr>
          <w:rStyle w:val="indexentry"/>
        </w:rPr>
        <w:fldChar w:fldCharType="end"/>
      </w:r>
      <w:r>
        <w:t>(Note that syllabic “r” is skipped in determining the stressed syllable,</w:t>
      </w:r>
      <w:r>
        <w:rPr>
          <w:rStyle w:val="deletedparamark"/>
        </w:rPr>
        <w:t xml:space="preserve"> </w:t>
      </w:r>
      <w:r>
        <w:t xml:space="preserve">so </w:t>
      </w:r>
      <w:r>
        <w:rPr>
          <w:rStyle w:val="htmlcodes"/>
        </w:rPr>
        <w:t>&lt;a href=#e8d6&gt;</w:t>
      </w:r>
      <w:r>
        <w:t xml:space="preserve">Example 8.6 </w:t>
      </w:r>
      <w:r>
        <w:rPr>
          <w:rStyle w:val="htmlcodes"/>
        </w:rPr>
        <w:t>&lt;/a&gt;</w:t>
      </w:r>
      <w:r>
        <w:t>is stressed on the “ka”.)</w:t>
      </w:r>
    </w:p>
    <w:p w:rsidR="00B72047" w:rsidRDefault="00B72047">
      <w:pPr>
        <w:rPr>
          <w:rStyle w:val="htmlparacode"/>
        </w:rPr>
      </w:pPr>
      <w:r>
        <w:rPr>
          <w:rStyle w:val="htmlparacode"/>
        </w:rPr>
        <w:t>&lt;p&gt;</w:t>
      </w:r>
    </w:p>
    <w:p w:rsidR="00B72047" w:rsidRDefault="00B72047">
      <w:pPr>
        <w:pStyle w:val="examplescaledpre"/>
      </w:pPr>
      <w:r>
        <w:rPr>
          <w:rStyle w:val="indexentry"/>
        </w:rPr>
        <w:t>&lt;ex "Cathy"&gt;</w:t>
      </w:r>
      <w:r>
        <w:rPr>
          <w:rStyle w:val="indexentry"/>
        </w:rPr>
        <w:fldChar w:fldCharType="begin"/>
      </w:r>
      <w:r>
        <w:instrText>xe "</w:instrText>
      </w:r>
      <w:r>
        <w:rPr>
          <w:rStyle w:val="xeentry"/>
        </w:rPr>
        <w:instrText>Cathy: example</w:instrText>
      </w:r>
      <w:r>
        <w:instrText>"</w:instrText>
      </w:r>
      <w:r>
        <w:rPr>
          <w:rStyle w:val="indexentry"/>
        </w:rPr>
        <w:fldChar w:fldCharType="end"/>
      </w:r>
      <w:r>
        <w:rPr>
          <w:rStyle w:val="htmlcodes"/>
        </w:rPr>
        <w:t>&lt;pre&gt;&lt;a name=e8d7&gt;</w:t>
      </w:r>
      <w:r>
        <w:t>8.7)</w:t>
      </w:r>
      <w:r>
        <w:tab/>
        <w:t>katis.</w:t>
      </w:r>
    </w:p>
    <w:p w:rsidR="00B72047" w:rsidRDefault="00B72047">
      <w:pPr>
        <w:pStyle w:val="examplescaled"/>
      </w:pPr>
      <w:r>
        <w:tab/>
        <w:t>Cathy</w:t>
      </w:r>
    </w:p>
    <w:p w:rsidR="00B72047" w:rsidRDefault="00B72047">
      <w:pPr>
        <w:pStyle w:val="examplescaledpre"/>
        <w:rPr>
          <w:rStyle w:val="htmlparacode"/>
        </w:rPr>
      </w:pPr>
      <w:r>
        <w:rPr>
          <w:rStyle w:val="htmlparacode"/>
        </w:rPr>
        <w:t>&lt;/pre&gt;</w:t>
      </w:r>
    </w:p>
    <w:p w:rsidR="00B72047" w:rsidRDefault="00B72047">
      <w:pPr>
        <w:pStyle w:val="examplescaledpre"/>
      </w:pPr>
      <w:r>
        <w:rPr>
          <w:rStyle w:val="indexentry"/>
        </w:rPr>
        <w:t>&lt;ex "Kate"&gt;</w:t>
      </w:r>
      <w:r>
        <w:rPr>
          <w:rStyle w:val="indexentry"/>
        </w:rPr>
        <w:fldChar w:fldCharType="begin"/>
      </w:r>
      <w:r>
        <w:instrText>xe "</w:instrText>
      </w:r>
      <w:r>
        <w:rPr>
          <w:rStyle w:val="xeentry"/>
        </w:rPr>
        <w:instrText>Kate: example</w:instrText>
      </w:r>
      <w:r>
        <w:instrText>"</w:instrText>
      </w:r>
      <w:r>
        <w:rPr>
          <w:rStyle w:val="indexentry"/>
        </w:rPr>
        <w:fldChar w:fldCharType="end"/>
      </w:r>
      <w:r>
        <w:rPr>
          <w:rStyle w:val="htmlcodes"/>
        </w:rPr>
        <w:t>&lt;pre&gt;&lt;a name=e8d8&gt;</w:t>
      </w:r>
      <w:r>
        <w:t>8.8)</w:t>
      </w:r>
      <w:r>
        <w:tab/>
        <w:t>keit.</w:t>
      </w:r>
    </w:p>
    <w:p w:rsidR="00B72047" w:rsidRDefault="00B72047">
      <w:pPr>
        <w:pStyle w:val="examplescaled"/>
      </w:pPr>
      <w:r>
        <w:tab/>
        <w:t>Kate</w:t>
      </w:r>
    </w:p>
    <w:p w:rsidR="00B72047" w:rsidRDefault="00B72047">
      <w:pPr>
        <w:pStyle w:val="normalafterexample"/>
      </w:pPr>
      <w:r>
        <w:rPr>
          <w:rStyle w:val="htmlcodes"/>
        </w:rPr>
        <w:t>&lt;/pre&gt;</w:t>
      </w:r>
      <w:r>
        <w:rPr>
          <w:rStyle w:val="indexentry"/>
        </w:rPr>
        <w:t>&lt;cx "cmene, rules for formation"&gt;</w:t>
      </w:r>
      <w:r>
        <w:rPr>
          <w:rStyle w:val="indexentry"/>
        </w:rPr>
        <w:fldChar w:fldCharType="begin"/>
      </w:r>
      <w:r>
        <w:instrText>xe "</w:instrText>
      </w:r>
      <w:r>
        <w:rPr>
          <w:rStyle w:val="xeentry"/>
        </w:rPr>
        <w:instrText>cmene: rules for formation</w:instrText>
      </w:r>
      <w:r>
        <w:instrText>"</w:instrText>
      </w:r>
      <w:r>
        <w:rPr>
          <w:rStyle w:val="indexentry"/>
        </w:rPr>
        <w:fldChar w:fldCharType="end"/>
      </w:r>
      <w:r>
        <w:rPr>
          <w:rStyle w:val="indexentry"/>
        </w:rPr>
        <w:t>&lt;cx "names, rules for formation"&gt;</w:t>
      </w:r>
      <w:r>
        <w:rPr>
          <w:rStyle w:val="indexentry"/>
        </w:rPr>
        <w:fldChar w:fldCharType="begin"/>
      </w:r>
      <w:r>
        <w:instrText>xe "</w:instrText>
      </w:r>
      <w:r>
        <w:rPr>
          <w:rStyle w:val="xeentry"/>
        </w:rPr>
        <w:instrText>names: rules for formation</w:instrText>
      </w:r>
      <w:r>
        <w:instrText>"</w:instrText>
      </w:r>
      <w:r>
        <w:rPr>
          <w:rStyle w:val="indexentry"/>
        </w:rPr>
        <w:fldChar w:fldCharType="end"/>
      </w:r>
      <w:r>
        <w:rPr>
          <w:rStyle w:val="indexentry"/>
        </w:rPr>
        <w:t>&lt;cx "cmene, stress in"&gt;</w:t>
      </w:r>
      <w:r>
        <w:rPr>
          <w:rStyle w:val="indexentry"/>
        </w:rPr>
        <w:fldChar w:fldCharType="begin"/>
      </w:r>
      <w:r>
        <w:instrText>xe "</w:instrText>
      </w:r>
      <w:r>
        <w:rPr>
          <w:rStyle w:val="xeentry"/>
        </w:rPr>
        <w:instrText>cmene: stress in</w:instrText>
      </w:r>
      <w:r>
        <w:instrText>"</w:instrText>
      </w:r>
      <w:r>
        <w:rPr>
          <w:rStyle w:val="indexentry"/>
        </w:rPr>
        <w:fldChar w:fldCharType="end"/>
      </w:r>
      <w:r>
        <w:rPr>
          <w:rStyle w:val="indexentry"/>
        </w:rPr>
        <w:t>&lt;cx "names, stress in"&gt;</w:t>
      </w:r>
      <w:r>
        <w:rPr>
          <w:rStyle w:val="indexentry"/>
        </w:rPr>
        <w:fldChar w:fldCharType="begin"/>
      </w:r>
      <w:r>
        <w:instrText>xe "</w:instrText>
      </w:r>
      <w:r>
        <w:rPr>
          <w:rStyle w:val="xeentry"/>
        </w:rPr>
        <w:instrText>names: stress in</w:instrText>
      </w:r>
      <w:r>
        <w:instrText>"</w:instrText>
      </w:r>
      <w:r>
        <w:rPr>
          <w:rStyle w:val="indexentry"/>
        </w:rPr>
        <w:fldChar w:fldCharType="end"/>
      </w:r>
      <w:r>
        <w:rPr>
          <w:rStyle w:val="indexentry"/>
        </w:rPr>
        <w:t>&lt;cx "cmene, unusual stress in"&gt;</w:t>
      </w:r>
      <w:r>
        <w:rPr>
          <w:rStyle w:val="indexentry"/>
        </w:rPr>
        <w:fldChar w:fldCharType="begin"/>
      </w:r>
      <w:r>
        <w:instrText>xe "</w:instrText>
      </w:r>
      <w:r>
        <w:rPr>
          <w:rStyle w:val="xeentry"/>
        </w:rPr>
        <w:instrText>cmene: unusual stress in</w:instrText>
      </w:r>
      <w:r>
        <w:instrText>"</w:instrText>
      </w:r>
      <w:r>
        <w:rPr>
          <w:rStyle w:val="indexentry"/>
        </w:rPr>
        <w:fldChar w:fldCharType="end"/>
      </w:r>
      <w:r>
        <w:rPr>
          <w:rStyle w:val="indexentry"/>
        </w:rPr>
        <w:t>&lt;cx "names, unusual stress in"&gt;</w:t>
      </w:r>
      <w:r>
        <w:rPr>
          <w:rStyle w:val="indexentry"/>
        </w:rPr>
        <w:fldChar w:fldCharType="begin"/>
      </w:r>
      <w:r>
        <w:instrText>xe "</w:instrText>
      </w:r>
      <w:r>
        <w:rPr>
          <w:rStyle w:val="xeentry"/>
        </w:rPr>
        <w:instrText>names: unusual stress in</w:instrText>
      </w:r>
      <w:r>
        <w:instrText>"</w:instrText>
      </w:r>
      <w:r>
        <w:rPr>
          <w:rStyle w:val="indexentry"/>
        </w:rPr>
        <w:fldChar w:fldCharType="end"/>
      </w:r>
      <w:r>
        <w:t>Names may have almost any form, but always end in a con</w:t>
      </w:r>
      <w:r>
        <w:softHyphen/>
        <w:t>sonant, and are</w:t>
      </w:r>
      <w:r>
        <w:rPr>
          <w:rStyle w:val="deletedparamark"/>
        </w:rPr>
        <w:t xml:space="preserve"> </w:t>
      </w:r>
      <w:r>
        <w:t>fol</w:t>
      </w:r>
      <w:r>
        <w:softHyphen/>
        <w:t>lowed by a pause. They are penultimately stressed, unless unusual</w:t>
      </w:r>
      <w:r>
        <w:rPr>
          <w:rStyle w:val="deletedparamark"/>
        </w:rPr>
        <w:t xml:space="preserve"> </w:t>
      </w:r>
      <w:r>
        <w:t>stress is marked with cap</w:t>
      </w:r>
      <w:r>
        <w:t>i</w:t>
      </w:r>
      <w:r>
        <w:t>tali</w:t>
      </w:r>
      <w:r>
        <w:softHyphen/>
        <w:t>zation. A name may have multiple parts,</w:t>
      </w:r>
      <w:r>
        <w:rPr>
          <w:rStyle w:val="deletedparamark"/>
        </w:rPr>
        <w:t xml:space="preserve"> </w:t>
      </w:r>
      <w:r>
        <w:t>each ending with a consonant and pause, or the parts may be combined</w:t>
      </w:r>
      <w:r>
        <w:rPr>
          <w:rStyle w:val="deletedparamark"/>
        </w:rPr>
        <w:t xml:space="preserve"> </w:t>
      </w:r>
      <w:r>
        <w:t>into a single word with no pause. For ex</w:t>
      </w:r>
      <w:r>
        <w:softHyphen/>
        <w:t>ample,</w:t>
      </w:r>
    </w:p>
    <w:p w:rsidR="00B72047" w:rsidRDefault="00B72047">
      <w:pPr>
        <w:rPr>
          <w:rStyle w:val="htmlparacode"/>
        </w:rPr>
      </w:pPr>
      <w:r>
        <w:rPr>
          <w:rStyle w:val="htmlparacode"/>
        </w:rPr>
        <w:t>&lt;p&gt;</w:t>
      </w:r>
    </w:p>
    <w:p w:rsidR="00B72047" w:rsidRDefault="00B72047">
      <w:pPr>
        <w:pStyle w:val="examplescaledpre"/>
      </w:pPr>
      <w:r>
        <w:rPr>
          <w:rStyle w:val="indexentry"/>
        </w:rPr>
        <w:t>&lt;ex "John Jones"&gt;</w:t>
      </w:r>
      <w:r>
        <w:rPr>
          <w:rStyle w:val="indexentry"/>
        </w:rPr>
        <w:fldChar w:fldCharType="begin"/>
      </w:r>
      <w:r>
        <w:instrText>xe "</w:instrText>
      </w:r>
      <w:r>
        <w:rPr>
          <w:rStyle w:val="xeentry"/>
        </w:rPr>
        <w:instrText>John Jones: example</w:instrText>
      </w:r>
      <w:r>
        <w:instrText>"</w:instrText>
      </w:r>
      <w:r>
        <w:rPr>
          <w:rStyle w:val="indexentry"/>
        </w:rPr>
        <w:fldChar w:fldCharType="end"/>
      </w:r>
      <w:r>
        <w:rPr>
          <w:rStyle w:val="indexentry"/>
        </w:rPr>
        <w:t>&lt;ex "Jones, John"&gt;</w:t>
      </w:r>
      <w:r>
        <w:rPr>
          <w:rStyle w:val="indexentry"/>
        </w:rPr>
        <w:fldChar w:fldCharType="begin"/>
      </w:r>
      <w:r>
        <w:instrText>xe "</w:instrText>
      </w:r>
      <w:r>
        <w:rPr>
          <w:rStyle w:val="xeentry"/>
        </w:rPr>
        <w:instrText>Jones: John, example</w:instrText>
      </w:r>
      <w:r>
        <w:instrText>"</w:instrText>
      </w:r>
      <w:r>
        <w:rPr>
          <w:rStyle w:val="indexentry"/>
        </w:rPr>
        <w:fldChar w:fldCharType="end"/>
      </w:r>
      <w:r>
        <w:rPr>
          <w:rStyle w:val="htmlcodes"/>
        </w:rPr>
        <w:t>&lt;pre&gt;&lt;a name=e8d9&gt;</w:t>
      </w:r>
      <w:r>
        <w:t>8.9)</w:t>
      </w:r>
      <w:r>
        <w:tab/>
        <w:t>djan. djonz.</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name=e8d10&gt;</w:t>
      </w:r>
      <w:r>
        <w:t>8.10)</w:t>
      </w:r>
      <w:r>
        <w:tab/>
        <w:t>djandjonz.</w:t>
      </w:r>
    </w:p>
    <w:p w:rsidR="00B72047" w:rsidRDefault="00B72047">
      <w:pPr>
        <w:pStyle w:val="resumedafterexample"/>
      </w:pPr>
      <w:r>
        <w:rPr>
          <w:rStyle w:val="htmlcodes"/>
        </w:rPr>
        <w:t>&lt;/pre&gt;</w:t>
      </w:r>
      <w:r>
        <w:t>are both valid Lojbanizations of “John Jones”.</w:t>
      </w:r>
    </w:p>
    <w:p w:rsidR="00B72047" w:rsidRDefault="00B72047">
      <w:pPr>
        <w:rPr>
          <w:rStyle w:val="htmlparacode"/>
        </w:rPr>
      </w:pPr>
      <w:r>
        <w:rPr>
          <w:rStyle w:val="htmlparacode"/>
        </w:rPr>
        <w:t>&lt;p&gt;</w:t>
      </w:r>
    </w:p>
    <w:p w:rsidR="00B72047" w:rsidRDefault="00B72047">
      <w:pPr>
        <w:pStyle w:val="normalparagraph"/>
      </w:pPr>
      <w:r>
        <w:rPr>
          <w:rStyle w:val="indexentry"/>
        </w:rPr>
        <w:t>&lt;cx "cmene, authority for"&gt;</w:t>
      </w:r>
      <w:r>
        <w:rPr>
          <w:rStyle w:val="indexentry"/>
        </w:rPr>
        <w:fldChar w:fldCharType="begin"/>
      </w:r>
      <w:r>
        <w:instrText>xe "</w:instrText>
      </w:r>
      <w:r>
        <w:rPr>
          <w:rStyle w:val="xeentry"/>
        </w:rPr>
        <w:instrText>cmene: authority for</w:instrText>
      </w:r>
      <w:r>
        <w:instrText>"</w:instrText>
      </w:r>
      <w:r>
        <w:rPr>
          <w:rStyle w:val="indexentry"/>
        </w:rPr>
        <w:fldChar w:fldCharType="end"/>
      </w:r>
      <w:r>
        <w:rPr>
          <w:rStyle w:val="indexentry"/>
        </w:rPr>
        <w:t>&lt;cx "names, authority for"&gt;</w:t>
      </w:r>
      <w:r>
        <w:rPr>
          <w:rStyle w:val="indexentry"/>
        </w:rPr>
        <w:fldChar w:fldCharType="begin"/>
      </w:r>
      <w:r>
        <w:instrText>xe "</w:instrText>
      </w:r>
      <w:r>
        <w:rPr>
          <w:rStyle w:val="xeentry"/>
        </w:rPr>
        <w:instrText>names: authority for</w:instrText>
      </w:r>
      <w:r>
        <w:instrText>"</w:instrText>
      </w:r>
      <w:r>
        <w:rPr>
          <w:rStyle w:val="indexentry"/>
        </w:rPr>
        <w:fldChar w:fldCharType="end"/>
      </w:r>
      <w:r>
        <w:t>The final arbiter of the correct form of a name is the person doing</w:t>
      </w:r>
      <w:r>
        <w:rPr>
          <w:rStyle w:val="deletedparamark"/>
        </w:rPr>
        <w:t xml:space="preserve"> </w:t>
      </w:r>
      <w:r>
        <w:t>the naming, a</w:t>
      </w:r>
      <w:r>
        <w:t>l</w:t>
      </w:r>
      <w:r>
        <w:softHyphen/>
        <w:t>though most cultures grant people the right to determine</w:t>
      </w:r>
      <w:r>
        <w:rPr>
          <w:rStyle w:val="deletedparamark"/>
        </w:rPr>
        <w:t xml:space="preserve"> </w:t>
      </w:r>
      <w:r>
        <w:t>how they want their own name to be spelled and pro</w:t>
      </w:r>
      <w:r>
        <w:softHyphen/>
        <w:t>nounced. The English</w:t>
      </w:r>
      <w:r>
        <w:rPr>
          <w:rStyle w:val="deletedparamark"/>
        </w:rPr>
        <w:t xml:space="preserve"> </w:t>
      </w:r>
      <w:r>
        <w:t>name “Mary” can thus be Lojbanized as “meris.”, “maris.”, “meiris.”, “merix.”,</w:t>
      </w:r>
      <w:r>
        <w:rPr>
          <w:rStyle w:val="deletedparamark"/>
        </w:rPr>
        <w:t xml:space="preserve"> </w:t>
      </w:r>
      <w:r>
        <w:t>or even “marys.”. The last alter</w:t>
      </w:r>
      <w:r>
        <w:softHyphen/>
        <w:t>native is not pro</w:t>
      </w:r>
      <w:r>
        <w:softHyphen/>
        <w:t>nounced much like its</w:t>
      </w:r>
      <w:r>
        <w:rPr>
          <w:rStyle w:val="deletedparamark"/>
        </w:rPr>
        <w:t xml:space="preserve"> </w:t>
      </w:r>
      <w:r>
        <w:t>English equivalent, but may be desirable to someone who values spelling over</w:t>
      </w:r>
      <w:r>
        <w:rPr>
          <w:rStyle w:val="deletedparamark"/>
        </w:rPr>
        <w:t xml:space="preserve"> </w:t>
      </w:r>
      <w:r>
        <w:t>pronunciation. The final consonant need not be an “s”; there must, however,</w:t>
      </w:r>
      <w:r>
        <w:rPr>
          <w:rStyle w:val="deletedparamark"/>
        </w:rPr>
        <w:t xml:space="preserve"> </w:t>
      </w:r>
      <w:r>
        <w:t>be some Lojban consonant at the end.</w:t>
      </w:r>
    </w:p>
    <w:p w:rsidR="00B72047" w:rsidRDefault="00B72047">
      <w:pPr>
        <w:rPr>
          <w:rStyle w:val="htmlparacode"/>
        </w:rPr>
      </w:pPr>
      <w:r>
        <w:rPr>
          <w:rStyle w:val="htmlparacode"/>
        </w:rPr>
        <w:t>&lt;p&gt;</w:t>
      </w:r>
    </w:p>
    <w:p w:rsidR="00B72047" w:rsidRDefault="00B72047">
      <w:pPr>
        <w:pStyle w:val="normalparagraph"/>
      </w:pPr>
      <w:r>
        <w:rPr>
          <w:rStyle w:val="indexentry"/>
        </w:rPr>
        <w:t>&lt;cx "cmene, restrictions on form of"&gt;</w:t>
      </w:r>
      <w:r>
        <w:rPr>
          <w:rStyle w:val="indexentry"/>
        </w:rPr>
        <w:fldChar w:fldCharType="begin"/>
      </w:r>
      <w:r>
        <w:instrText>xe "</w:instrText>
      </w:r>
      <w:r>
        <w:rPr>
          <w:rStyle w:val="xeentry"/>
        </w:rPr>
        <w:instrText>cmene: restrictions on form of</w:instrText>
      </w:r>
      <w:r>
        <w:instrText>"</w:instrText>
      </w:r>
      <w:r>
        <w:rPr>
          <w:rStyle w:val="indexentry"/>
        </w:rPr>
        <w:fldChar w:fldCharType="end"/>
      </w:r>
      <w:r>
        <w:rPr>
          <w:rStyle w:val="indexentry"/>
        </w:rPr>
        <w:t>&lt;cx "names, restrictions on form of"&gt;</w:t>
      </w:r>
      <w:r>
        <w:rPr>
          <w:rStyle w:val="indexentry"/>
        </w:rPr>
        <w:fldChar w:fldCharType="begin"/>
      </w:r>
      <w:r>
        <w:instrText>xe "</w:instrText>
      </w:r>
      <w:r>
        <w:rPr>
          <w:rStyle w:val="xeentry"/>
        </w:rPr>
        <w:instrText>names: restrictions on form of</w:instrText>
      </w:r>
      <w:r>
        <w:instrText>"</w:instrText>
      </w:r>
      <w:r>
        <w:rPr>
          <w:rStyle w:val="indexentry"/>
        </w:rPr>
        <w:fldChar w:fldCharType="end"/>
      </w:r>
      <w:r>
        <w:t>Names are not permitted to have the sequences “la”, “lai”, or “doi” embedded</w:t>
      </w:r>
      <w:r>
        <w:rPr>
          <w:rStyle w:val="deletedparamark"/>
        </w:rPr>
        <w:t xml:space="preserve"> </w:t>
      </w:r>
      <w:r>
        <w:t>in them, unless the sequence is immediately pre</w:t>
      </w:r>
      <w:r>
        <w:softHyphen/>
        <w:t>ceded by a consonant. These</w:t>
      </w:r>
      <w:r>
        <w:rPr>
          <w:rStyle w:val="deletedparamark"/>
        </w:rPr>
        <w:t xml:space="preserve"> </w:t>
      </w:r>
      <w:r>
        <w:t>minor re</w:t>
      </w:r>
      <w:r>
        <w:softHyphen/>
        <w:t>stric</w:t>
      </w:r>
      <w:r>
        <w:softHyphen/>
        <w:t>tions are due to the fact that all Lojban cmene embedded in a</w:t>
      </w:r>
      <w:r>
        <w:rPr>
          <w:rStyle w:val="deletedparamark"/>
        </w:rPr>
        <w:t xml:space="preserve"> </w:t>
      </w:r>
      <w:r>
        <w:t>speech stream will be pre</w:t>
      </w:r>
      <w:r>
        <w:softHyphen/>
        <w:t>ceded by one of these words or by a pause. With</w:t>
      </w:r>
      <w:r>
        <w:rPr>
          <w:rStyle w:val="deletedparamark"/>
        </w:rPr>
        <w:t xml:space="preserve"> </w:t>
      </w:r>
      <w:r>
        <w:t>one of these words em</w:t>
      </w:r>
      <w:r>
        <w:softHyphen/>
        <w:t>bedded, the cmene might break up into valid Lojban</w:t>
      </w:r>
      <w:r>
        <w:rPr>
          <w:rStyle w:val="deletedparamark"/>
        </w:rPr>
        <w:t xml:space="preserve"> </w:t>
      </w:r>
      <w:r>
        <w:t>words followed by a shorter cmene. However, break-up cannot happen after a</w:t>
      </w:r>
      <w:r>
        <w:rPr>
          <w:rStyle w:val="deletedparamark"/>
        </w:rPr>
        <w:t xml:space="preserve"> </w:t>
      </w:r>
      <w:r>
        <w:t>con</w:t>
      </w:r>
      <w:r>
        <w:softHyphen/>
        <w:t>sonant, because that would imply that the word be</w:t>
      </w:r>
      <w:r>
        <w:softHyphen/>
        <w:t>fore the “la”, or</w:t>
      </w:r>
      <w:r>
        <w:rPr>
          <w:rStyle w:val="deletedparamark"/>
        </w:rPr>
        <w:t xml:space="preserve"> </w:t>
      </w:r>
      <w:r>
        <w:t>whatever, ended in a consonant without pause, which is impossible.</w:t>
      </w:r>
    </w:p>
    <w:p w:rsidR="00B72047" w:rsidRDefault="00B72047">
      <w:pPr>
        <w:rPr>
          <w:rStyle w:val="htmlparacode"/>
        </w:rPr>
      </w:pPr>
      <w:r>
        <w:rPr>
          <w:rStyle w:val="htmlparacode"/>
        </w:rPr>
        <w:t>&lt;p&gt;</w:t>
      </w:r>
    </w:p>
    <w:p w:rsidR="00B72047" w:rsidRDefault="00B72047">
      <w:pPr>
        <w:pStyle w:val="normalparagraph"/>
      </w:pPr>
      <w:r>
        <w:rPr>
          <w:rStyle w:val="indexentry"/>
        </w:rPr>
        <w:t>&lt;ex "Laplace"&gt;</w:t>
      </w:r>
      <w:r>
        <w:rPr>
          <w:rStyle w:val="indexentry"/>
        </w:rPr>
        <w:fldChar w:fldCharType="begin"/>
      </w:r>
      <w:r>
        <w:instrText>xe "</w:instrText>
      </w:r>
      <w:r>
        <w:rPr>
          <w:rStyle w:val="xeentry"/>
        </w:rPr>
        <w:instrText>Laplace: example</w:instrText>
      </w:r>
      <w:r>
        <w:instrText>"</w:instrText>
      </w:r>
      <w:r>
        <w:rPr>
          <w:rStyle w:val="indexentry"/>
        </w:rPr>
        <w:fldChar w:fldCharType="end"/>
      </w:r>
      <w:r>
        <w:rPr>
          <w:rStyle w:val="indexentry"/>
        </w:rPr>
        <w:t>&lt;ex "Nederlands"&gt;</w:t>
      </w:r>
      <w:r>
        <w:rPr>
          <w:rStyle w:val="indexentry"/>
        </w:rPr>
        <w:fldChar w:fldCharType="begin"/>
      </w:r>
      <w:r>
        <w:instrText>xe "</w:instrText>
      </w:r>
      <w:r>
        <w:rPr>
          <w:rStyle w:val="xeentry"/>
        </w:rPr>
        <w:instrText>Nederlands: example</w:instrText>
      </w:r>
      <w:r>
        <w:instrText>"</w:instrText>
      </w:r>
      <w:r>
        <w:rPr>
          <w:rStyle w:val="indexentry"/>
        </w:rPr>
        <w:fldChar w:fldCharType="end"/>
      </w:r>
      <w:r>
        <w:t>For example, the invalid name “laplas.” would look like the Lojban words “la</w:t>
      </w:r>
      <w:r>
        <w:rPr>
          <w:rStyle w:val="deletedparamark"/>
        </w:rPr>
        <w:t xml:space="preserve"> </w:t>
      </w:r>
      <w:r>
        <w:t>plas.”, and “ilanas.” would be misunderstood as “.i la nas.”. However,</w:t>
      </w:r>
      <w:r>
        <w:rPr>
          <w:rStyle w:val="deletedparamark"/>
        </w:rPr>
        <w:t xml:space="preserve"> “NE</w:t>
      </w:r>
      <w:r>
        <w:t>derlants.” cannot be misheard as “NEder lants.”, because “NEder” with</w:t>
      </w:r>
      <w:r>
        <w:rPr>
          <w:rStyle w:val="deletedparamark"/>
        </w:rPr>
        <w:t xml:space="preserve"> </w:t>
      </w:r>
      <w:r>
        <w:t>no following pause is not a possible Lojban word.</w:t>
      </w:r>
    </w:p>
    <w:p w:rsidR="00B72047" w:rsidRDefault="00B72047">
      <w:pPr>
        <w:rPr>
          <w:rStyle w:val="htmlparacode"/>
        </w:rPr>
      </w:pPr>
      <w:r>
        <w:rPr>
          <w:rStyle w:val="htmlparacode"/>
        </w:rPr>
        <w:t>&lt;p&gt;</w:t>
      </w:r>
    </w:p>
    <w:p w:rsidR="00B72047" w:rsidRDefault="00B72047">
      <w:pPr>
        <w:pStyle w:val="normalparagraph"/>
      </w:pPr>
      <w:r>
        <w:rPr>
          <w:rStyle w:val="indexentry"/>
        </w:rPr>
        <w:t>&lt;cx "cmene, alternatives for restricted sequences in"&gt;</w:t>
      </w:r>
      <w:r>
        <w:rPr>
          <w:rStyle w:val="indexentry"/>
        </w:rPr>
        <w:fldChar w:fldCharType="begin"/>
      </w:r>
      <w:r>
        <w:instrText>xe "</w:instrText>
      </w:r>
      <w:r>
        <w:rPr>
          <w:rStyle w:val="xeentry"/>
        </w:rPr>
        <w:instrText>cmene: alternatives for restricted sequences in</w:instrText>
      </w:r>
      <w:r>
        <w:instrText>"</w:instrText>
      </w:r>
      <w:r>
        <w:rPr>
          <w:rStyle w:val="indexentry"/>
        </w:rPr>
        <w:fldChar w:fldCharType="end"/>
      </w:r>
      <w:r>
        <w:rPr>
          <w:rStyle w:val="indexentry"/>
        </w:rPr>
        <w:t>&lt;cx "names, alternatives for restricted sequences in"&gt;</w:t>
      </w:r>
      <w:r>
        <w:rPr>
          <w:rStyle w:val="indexentry"/>
        </w:rPr>
        <w:fldChar w:fldCharType="begin"/>
      </w:r>
      <w:r>
        <w:instrText>xe "</w:instrText>
      </w:r>
      <w:r>
        <w:rPr>
          <w:rStyle w:val="xeentry"/>
        </w:rPr>
        <w:instrText>names: alternatives for restricted sequences in</w:instrText>
      </w:r>
      <w:r>
        <w:instrText>"</w:instrText>
      </w:r>
      <w:r>
        <w:rPr>
          <w:rStyle w:val="indexentry"/>
        </w:rPr>
        <w:fldChar w:fldCharType="end"/>
      </w:r>
      <w:r>
        <w:t>There are close alternatives to these forbidden sequences that can be used</w:t>
      </w:r>
      <w:r>
        <w:rPr>
          <w:rStyle w:val="deletedparamark"/>
        </w:rPr>
        <w:t xml:space="preserve"> </w:t>
      </w:r>
      <w:r>
        <w:t>in L</w:t>
      </w:r>
      <w:r>
        <w:t>o</w:t>
      </w:r>
      <w:r>
        <w:t>jban</w:t>
      </w:r>
      <w:r>
        <w:softHyphen/>
        <w:t>izing names, such as “ly”, “lei”, and “dai” or “do'i”, that do not</w:t>
      </w:r>
      <w:r>
        <w:rPr>
          <w:rStyle w:val="deletedparamark"/>
        </w:rPr>
        <w:t xml:space="preserve"> </w:t>
      </w:r>
      <w:r>
        <w:t>cause these pro</w:t>
      </w:r>
      <w:r>
        <w:t>b</w:t>
      </w:r>
      <w:r>
        <w:t>lems.</w:t>
      </w:r>
    </w:p>
    <w:p w:rsidR="00B72047" w:rsidRDefault="00B72047">
      <w:pPr>
        <w:rPr>
          <w:rStyle w:val="htmlparacode"/>
        </w:rPr>
      </w:pPr>
      <w:r>
        <w:rPr>
          <w:rStyle w:val="htmlparacode"/>
        </w:rPr>
        <w:t>&lt;p&gt;</w:t>
      </w:r>
    </w:p>
    <w:p w:rsidR="00B72047" w:rsidRDefault="00B72047">
      <w:pPr>
        <w:pStyle w:val="normalparagraph"/>
      </w:pPr>
      <w:r>
        <w:rPr>
          <w:rStyle w:val="indexentry"/>
        </w:rPr>
        <w:t>&lt;cx "names, rules for"&gt;</w:t>
      </w:r>
      <w:r>
        <w:rPr>
          <w:rStyle w:val="indexentry"/>
        </w:rPr>
        <w:fldChar w:fldCharType="begin"/>
      </w:r>
      <w:r>
        <w:instrText>xe "</w:instrText>
      </w:r>
      <w:r>
        <w:rPr>
          <w:rStyle w:val="xeentry"/>
        </w:rPr>
        <w:instrText>names: rules for</w:instrText>
      </w:r>
      <w:r>
        <w:instrText>"</w:instrText>
      </w:r>
      <w:r>
        <w:rPr>
          <w:rStyle w:val="indexentry"/>
        </w:rPr>
        <w:fldChar w:fldCharType="end"/>
      </w:r>
      <w:r>
        <w:rPr>
          <w:rStyle w:val="indexentry"/>
        </w:rPr>
        <w:t>&lt;cx "cmene, rules for"&gt;</w:t>
      </w:r>
      <w:r>
        <w:rPr>
          <w:rStyle w:val="indexentry"/>
        </w:rPr>
        <w:fldChar w:fldCharType="begin"/>
      </w:r>
      <w:r>
        <w:instrText>xe "</w:instrText>
      </w:r>
      <w:r>
        <w:rPr>
          <w:rStyle w:val="xeentry"/>
        </w:rPr>
        <w:instrText>cmene: rules for</w:instrText>
      </w:r>
      <w:r>
        <w:instrText>"</w:instrText>
      </w:r>
      <w:r>
        <w:rPr>
          <w:rStyle w:val="indexentry"/>
        </w:rPr>
        <w:fldChar w:fldCharType="end"/>
      </w:r>
      <w:r>
        <w:t>Lojban cmene are identifiable as word forms by the following</w:t>
      </w:r>
      <w:r>
        <w:rPr>
          <w:rStyle w:val="deletedparamark"/>
        </w:rPr>
        <w:t xml:space="preserve"> </w:t>
      </w:r>
      <w:r>
        <w:t>characteristics: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"cmene, final letter in"&gt;</w:t>
      </w:r>
      <w:r>
        <w:rPr>
          <w:rStyle w:val="indexentry"/>
        </w:rPr>
        <w:fldChar w:fldCharType="begin"/>
      </w:r>
      <w:r>
        <w:instrText>xe "</w:instrText>
      </w:r>
      <w:r>
        <w:rPr>
          <w:rStyle w:val="xeentry"/>
        </w:rPr>
        <w:instrText>cmene: final letter in</w:instrText>
      </w:r>
      <w:r>
        <w:instrText>"</w:instrText>
      </w:r>
      <w:r>
        <w:rPr>
          <w:rStyle w:val="indexentry"/>
        </w:rPr>
        <w:fldChar w:fldCharType="end"/>
      </w:r>
      <w:r>
        <w:rPr>
          <w:rStyle w:val="indexentry"/>
        </w:rPr>
        <w:t>&lt;cx "cmene, consonant clusters permitted in"&gt;</w:t>
      </w:r>
      <w:r>
        <w:rPr>
          <w:rStyle w:val="indexentry"/>
        </w:rPr>
        <w:fldChar w:fldCharType="begin"/>
      </w:r>
      <w:r>
        <w:instrText>xe "</w:instrText>
      </w:r>
      <w:r>
        <w:rPr>
          <w:rStyle w:val="xeentry"/>
        </w:rPr>
        <w:instrText>cmene: consonant clusters permitted in</w:instrText>
      </w:r>
      <w:r>
        <w:instrText>"</w:instrText>
      </w:r>
      <w:r>
        <w:rPr>
          <w:rStyle w:val="indexentry"/>
        </w:rPr>
        <w:fldChar w:fldCharType="end"/>
      </w:r>
      <w:r>
        <w:rPr>
          <w:rStyle w:val="htmlcodes"/>
        </w:rPr>
        <w:t>&lt;dl compact&gt;&lt;dt&gt;</w:t>
      </w:r>
      <w:r>
        <w:t>1)</w:t>
      </w:r>
      <w:r>
        <w:tab/>
      </w:r>
      <w:r>
        <w:rPr>
          <w:rStyle w:val="htmlcodes"/>
        </w:rPr>
        <w:t>&lt;dd&gt;</w:t>
      </w:r>
      <w:r>
        <w:t>They must end in one or more consonants. There are no rules about how many consonants may appear in a cluster in cmene, provided that each con</w:t>
      </w:r>
      <w:r>
        <w:softHyphen/>
        <w:t>sonant pair (whether standing by itself, or as part of a larger cluster) is a permissible pair.</w:t>
      </w:r>
    </w:p>
    <w:p w:rsidR="00B72047" w:rsidRDefault="00B72047" w:rsidP="007E67C1">
      <w:pPr>
        <w:pStyle w:val="Listnobullets"/>
        <w:numPr>
          <w:ilvl w:val="0"/>
          <w:numId w:val="0"/>
        </w:numPr>
        <w:ind w:left="864" w:hanging="504"/>
      </w:pPr>
      <w:r>
        <w:rPr>
          <w:rStyle w:val="htmlcodes"/>
        </w:rPr>
        <w:t>&lt;/dl&gt;</w:t>
      </w:r>
      <w:r>
        <w:rPr>
          <w:rStyle w:val="indexentry"/>
        </w:rPr>
        <w:t>&lt;cx "“iy”, in cmene"&gt;</w:t>
      </w:r>
      <w:r>
        <w:rPr>
          <w:rStyle w:val="indexentry"/>
        </w:rPr>
        <w:fldChar w:fldCharType="begin"/>
      </w:r>
      <w:r>
        <w:instrText>xe "</w:instrText>
      </w:r>
      <w:r>
        <w:rPr>
          <w:rStyle w:val="xeentry"/>
        </w:rPr>
        <w:instrText>iy diphthong: in cmene</w:instrText>
      </w:r>
      <w:r>
        <w:instrText>"</w:instrText>
      </w:r>
      <w:r>
        <w:rPr>
          <w:rStyle w:val="indexentry"/>
        </w:rPr>
        <w:fldChar w:fldCharType="end"/>
      </w:r>
      <w:r>
        <w:rPr>
          <w:rStyle w:val="indexentry"/>
        </w:rPr>
        <w:t>&lt;cx "“uy”, in cmene"&gt;</w:t>
      </w:r>
      <w:r>
        <w:rPr>
          <w:rStyle w:val="indexentry"/>
        </w:rPr>
        <w:fldChar w:fldCharType="begin"/>
      </w:r>
      <w:r>
        <w:instrText>xe "</w:instrText>
      </w:r>
      <w:r>
        <w:rPr>
          <w:rStyle w:val="xeentry"/>
        </w:rPr>
        <w:instrText>uy diphthong: in cmene</w:instrText>
      </w:r>
      <w:r>
        <w:instrText>"</w:instrText>
      </w:r>
      <w:r>
        <w:rPr>
          <w:rStyle w:val="indexentry"/>
        </w:rPr>
        <w:fldChar w:fldCharType="end"/>
      </w:r>
      <w:r>
        <w:rPr>
          <w:rStyle w:val="indexentry"/>
        </w:rPr>
        <w:t>&lt;cx "diphthongs, specific to names"&gt;</w:t>
      </w:r>
      <w:r>
        <w:rPr>
          <w:rStyle w:val="indexentry"/>
        </w:rPr>
        <w:fldChar w:fldCharType="begin"/>
      </w:r>
      <w:r>
        <w:instrText>xe "</w:instrText>
      </w:r>
      <w:r>
        <w:rPr>
          <w:rStyle w:val="xeentry"/>
        </w:rPr>
        <w:instrText>diphthongs: specific to names</w:instrText>
      </w:r>
      <w:r>
        <w:instrText>"</w:instrText>
      </w:r>
      <w:r>
        <w:rPr>
          <w:rStyle w:val="indexentry"/>
        </w:rPr>
        <w:fldChar w:fldCharType="end"/>
      </w:r>
      <w:r>
        <w:rPr>
          <w:rStyle w:val="indexentry"/>
        </w:rPr>
        <w:t>&lt;cx "diphthongs, specific to cmene"&gt;</w:t>
      </w:r>
      <w:r>
        <w:rPr>
          <w:rStyle w:val="indexentry"/>
        </w:rPr>
        <w:fldChar w:fldCharType="begin"/>
      </w:r>
      <w:r>
        <w:instrText>xe "</w:instrText>
      </w:r>
      <w:r>
        <w:rPr>
          <w:rStyle w:val="xeentry"/>
        </w:rPr>
        <w:instrText>diphthongs: specific to cmene</w:instrText>
      </w:r>
      <w:r>
        <w:instrText>"</w:instrText>
      </w:r>
      <w:r>
        <w:rPr>
          <w:rStyle w:val="indexentry"/>
        </w:rPr>
        <w:fldChar w:fldCharType="end"/>
      </w:r>
      <w:r>
        <w:rPr>
          <w:rStyle w:val="htmlcodes"/>
        </w:rPr>
        <w:t>&lt;dl compact&gt;&lt;dt&gt;</w:t>
      </w:r>
      <w:r>
        <w:t>2)</w:t>
      </w:r>
      <w:r>
        <w:tab/>
      </w:r>
      <w:r>
        <w:rPr>
          <w:rStyle w:val="htmlcodes"/>
        </w:rPr>
        <w:t>&lt;dd&gt;</w:t>
      </w:r>
      <w:r>
        <w:t>They may contain the letter y as a normal, non-hyphenating vowel. They are the only kind of Lojban word that may contain the two diphthongs “iy” and “uy”.</w:t>
      </w:r>
    </w:p>
    <w:p w:rsidR="00B72047" w:rsidRDefault="00B72047" w:rsidP="007E67C1">
      <w:pPr>
        <w:pStyle w:val="Listnobullets"/>
        <w:numPr>
          <w:ilvl w:val="0"/>
          <w:numId w:val="0"/>
        </w:numPr>
        <w:ind w:left="864" w:hanging="504"/>
      </w:pPr>
      <w:r>
        <w:rPr>
          <w:rStyle w:val="htmlcodes"/>
        </w:rPr>
        <w:t>&lt;/dl&gt;</w:t>
      </w:r>
      <w:r>
        <w:rPr>
          <w:rStyle w:val="indexentry"/>
        </w:rPr>
        <w:t>&lt;cx "cmene, requirement for pause after"&gt;</w:t>
      </w:r>
      <w:r>
        <w:rPr>
          <w:rStyle w:val="indexentry"/>
        </w:rPr>
        <w:fldChar w:fldCharType="begin"/>
      </w:r>
      <w:r>
        <w:instrText>xe "</w:instrText>
      </w:r>
      <w:r>
        <w:rPr>
          <w:rStyle w:val="xeentry"/>
        </w:rPr>
        <w:instrText>cmene: requirement for pause after</w:instrText>
      </w:r>
      <w:r>
        <w:instrText>"</w:instrText>
      </w:r>
      <w:r>
        <w:rPr>
          <w:rStyle w:val="indexentry"/>
        </w:rPr>
        <w:fldChar w:fldCharType="end"/>
      </w:r>
      <w:r>
        <w:rPr>
          <w:rStyle w:val="indexentry"/>
        </w:rPr>
        <w:t>&lt;cx "names, requirement for pause after"&gt;</w:t>
      </w:r>
      <w:r>
        <w:rPr>
          <w:rStyle w:val="indexentry"/>
        </w:rPr>
        <w:fldChar w:fldCharType="begin"/>
      </w:r>
      <w:r>
        <w:instrText>xe "</w:instrText>
      </w:r>
      <w:r>
        <w:rPr>
          <w:rStyle w:val="xeentry"/>
        </w:rPr>
        <w:instrText>names: requirement for pause after</w:instrText>
      </w:r>
      <w:r>
        <w:instrText>"</w:instrText>
      </w:r>
      <w:r>
        <w:rPr>
          <w:rStyle w:val="indexentry"/>
        </w:rPr>
        <w:fldChar w:fldCharType="end"/>
      </w:r>
      <w:r>
        <w:rPr>
          <w:rStyle w:val="htmlcodes"/>
        </w:rPr>
        <w:t>&lt;dl compact&gt;&lt;dt&gt;</w:t>
      </w:r>
      <w:r>
        <w:t>3)</w:t>
      </w:r>
      <w:r>
        <w:tab/>
      </w:r>
      <w:r>
        <w:rPr>
          <w:rStyle w:val="htmlcodes"/>
        </w:rPr>
        <w:t>&lt;dd&gt;</w:t>
      </w:r>
      <w:r>
        <w:t>They are always followed in speech by a pause after the fi</w:t>
      </w:r>
      <w:r>
        <w:softHyphen/>
        <w:t>nal consonant, writ</w:t>
      </w:r>
      <w:r>
        <w:softHyphen/>
        <w:t>ten as “.”.</w:t>
      </w:r>
    </w:p>
    <w:p w:rsidR="00B72047" w:rsidRDefault="00B72047" w:rsidP="007E67C1">
      <w:pPr>
        <w:pStyle w:val="Listnobullets"/>
        <w:numPr>
          <w:ilvl w:val="0"/>
          <w:numId w:val="0"/>
        </w:numPr>
        <w:ind w:left="864" w:hanging="504"/>
      </w:pPr>
      <w:r>
        <w:rPr>
          <w:rStyle w:val="htmlcodes"/>
        </w:rPr>
        <w:t>&lt;/dl&gt;</w:t>
      </w:r>
      <w:r>
        <w:rPr>
          <w:rStyle w:val="indexentry"/>
        </w:rPr>
        <w:t>&lt;cx "cmene, stress in"&gt;</w:t>
      </w:r>
      <w:r>
        <w:rPr>
          <w:rStyle w:val="indexentry"/>
        </w:rPr>
        <w:fldChar w:fldCharType="begin"/>
      </w:r>
      <w:r>
        <w:instrText>xe "</w:instrText>
      </w:r>
      <w:r>
        <w:rPr>
          <w:rStyle w:val="xeentry"/>
        </w:rPr>
        <w:instrText>cmene: stress in</w:instrText>
      </w:r>
      <w:r>
        <w:instrText>"</w:instrText>
      </w:r>
      <w:r>
        <w:rPr>
          <w:rStyle w:val="indexentry"/>
        </w:rPr>
        <w:fldChar w:fldCharType="end"/>
      </w:r>
      <w:r>
        <w:rPr>
          <w:rStyle w:val="indexentry"/>
        </w:rPr>
        <w:t>&lt;cx "names, stress in"&gt;</w:t>
      </w:r>
      <w:r>
        <w:rPr>
          <w:rStyle w:val="indexentry"/>
        </w:rPr>
        <w:fldChar w:fldCharType="begin"/>
      </w:r>
      <w:r>
        <w:instrText>xe "</w:instrText>
      </w:r>
      <w:r>
        <w:rPr>
          <w:rStyle w:val="xeentry"/>
        </w:rPr>
        <w:instrText>names: stress in</w:instrText>
      </w:r>
      <w:r>
        <w:instrText>"</w:instrText>
      </w:r>
      <w:r>
        <w:rPr>
          <w:rStyle w:val="indexentry"/>
        </w:rPr>
        <w:fldChar w:fldCharType="end"/>
      </w:r>
      <w:r>
        <w:rPr>
          <w:rStyle w:val="indexentry"/>
        </w:rPr>
        <w:t>&lt;cx "capitalization, use in names"&gt;</w:t>
      </w:r>
      <w:r>
        <w:rPr>
          <w:rStyle w:val="indexentry"/>
        </w:rPr>
        <w:fldChar w:fldCharType="begin"/>
      </w:r>
      <w:r>
        <w:instrText>xe "</w:instrText>
      </w:r>
      <w:r>
        <w:rPr>
          <w:rStyle w:val="xeentry"/>
        </w:rPr>
        <w:instrText>capitalization: use in names</w:instrText>
      </w:r>
      <w:r>
        <w:instrText>"</w:instrText>
      </w:r>
      <w:r>
        <w:rPr>
          <w:rStyle w:val="indexentry"/>
        </w:rPr>
        <w:fldChar w:fldCharType="end"/>
      </w:r>
      <w:r>
        <w:rPr>
          <w:rStyle w:val="indexentry"/>
        </w:rPr>
        <w:t>&lt;cx "capitalization, for unusual stress in names"&gt;</w:t>
      </w:r>
      <w:r>
        <w:rPr>
          <w:rStyle w:val="indexentry"/>
        </w:rPr>
        <w:fldChar w:fldCharType="begin"/>
      </w:r>
      <w:r>
        <w:instrText>xe "</w:instrText>
      </w:r>
      <w:r>
        <w:rPr>
          <w:rStyle w:val="xeentry"/>
        </w:rPr>
        <w:instrText>capitalization: for unusual stress in names</w:instrText>
      </w:r>
      <w:r>
        <w:instrText>"</w:instrText>
      </w:r>
      <w:r>
        <w:rPr>
          <w:rStyle w:val="indexentry"/>
        </w:rPr>
        <w:fldChar w:fldCharType="end"/>
      </w:r>
      <w:r>
        <w:rPr>
          <w:rStyle w:val="indexentry"/>
        </w:rPr>
        <w:t>&lt;cx "capitalization, use of"&gt;</w:t>
      </w:r>
      <w:r>
        <w:rPr>
          <w:rStyle w:val="indexentry"/>
        </w:rPr>
        <w:fldChar w:fldCharType="begin"/>
      </w:r>
      <w:r>
        <w:instrText>xe "</w:instrText>
      </w:r>
      <w:r>
        <w:rPr>
          <w:rStyle w:val="xeentry"/>
        </w:rPr>
        <w:instrText>capitalization: use of</w:instrText>
      </w:r>
      <w:r>
        <w:instrText>"</w:instrText>
      </w:r>
      <w:r>
        <w:rPr>
          <w:rStyle w:val="indexentry"/>
        </w:rPr>
        <w:fldChar w:fldCharType="end"/>
      </w:r>
      <w:r>
        <w:rPr>
          <w:rStyle w:val="htmlcodes"/>
        </w:rPr>
        <w:t>&lt;dl compact&gt;&lt;dt&gt;</w:t>
      </w:r>
      <w:r>
        <w:t>4)</w:t>
      </w:r>
      <w:r>
        <w:tab/>
      </w:r>
      <w:r>
        <w:rPr>
          <w:rStyle w:val="htmlcodes"/>
        </w:rPr>
        <w:t>&lt;dd&gt;</w:t>
      </w:r>
      <w:r>
        <w:t>They may be stressed on any syllable; if this syllable is not the penultimate one, it must be capitalized when writing. Neither names nor words that be</w:t>
      </w:r>
      <w:r>
        <w:softHyphen/>
        <w:t>gin sentences are capitalized in Lojban, so this is the only use of capital let</w:t>
      </w:r>
      <w:r>
        <w:softHyphen/>
        <w:t>ters.</w:t>
      </w:r>
    </w:p>
    <w:p w:rsidR="00B72047" w:rsidRDefault="00B72047">
      <w:pPr>
        <w:pStyle w:val="normalafterexample"/>
        <w:spacing w:before="120"/>
      </w:pPr>
      <w:r>
        <w:rPr>
          <w:rStyle w:val="htmlcodes"/>
        </w:rPr>
        <w:t>&lt;/dl&gt;</w:t>
      </w:r>
      <w:r>
        <w:rPr>
          <w:rStyle w:val="indexentry"/>
        </w:rPr>
        <w:t>&lt;cx "cmene, from Lojban words"&gt;</w:t>
      </w:r>
      <w:r>
        <w:rPr>
          <w:rStyle w:val="indexentry"/>
        </w:rPr>
        <w:fldChar w:fldCharType="begin"/>
      </w:r>
      <w:r>
        <w:instrText>xe "</w:instrText>
      </w:r>
      <w:r>
        <w:rPr>
          <w:rStyle w:val="xeentry"/>
        </w:rPr>
        <w:instrText>cmene: from Lojban words</w:instrText>
      </w:r>
      <w:r>
        <w:instrText>"</w:instrText>
      </w:r>
      <w:r>
        <w:rPr>
          <w:rStyle w:val="indexentry"/>
        </w:rPr>
        <w:fldChar w:fldCharType="end"/>
      </w:r>
      <w:r>
        <w:rPr>
          <w:rStyle w:val="indexentry"/>
        </w:rPr>
        <w:t>&lt;cx "names, from Lojban words"&gt;</w:t>
      </w:r>
      <w:r>
        <w:rPr>
          <w:rStyle w:val="indexentry"/>
        </w:rPr>
        <w:fldChar w:fldCharType="begin"/>
      </w:r>
      <w:r>
        <w:instrText>xe "</w:instrText>
      </w:r>
      <w:r>
        <w:rPr>
          <w:rStyle w:val="xeentry"/>
        </w:rPr>
        <w:instrText>names: from Lojban words</w:instrText>
      </w:r>
      <w:r>
        <w:instrText>"</w:instrText>
      </w:r>
      <w:r>
        <w:rPr>
          <w:rStyle w:val="indexentry"/>
        </w:rPr>
        <w:fldChar w:fldCharType="end"/>
      </w:r>
      <w:r>
        <w:t>Names meeting these criteria may be invented, Lojbanized from names in</w:t>
      </w:r>
      <w:r>
        <w:rPr>
          <w:rStyle w:val="deletedparamark"/>
        </w:rPr>
        <w:t xml:space="preserve"> </w:t>
      </w:r>
      <w:r>
        <w:t>other lan</w:t>
      </w:r>
      <w:r>
        <w:softHyphen/>
        <w:t>guages, or formed by appending a consonant onto a cmavo, a</w:t>
      </w:r>
      <w:r>
        <w:rPr>
          <w:rStyle w:val="deletedparamark"/>
        </w:rPr>
        <w:t xml:space="preserve"> </w:t>
      </w:r>
      <w:r>
        <w:t>gismu, a fu'ivla or a lujvo. Some cmene built from Lojban words are:</w:t>
      </w:r>
    </w:p>
    <w:p w:rsidR="00B72047" w:rsidRDefault="00B72047">
      <w:pPr>
        <w:rPr>
          <w:rStyle w:val="htmlparacode"/>
        </w:rPr>
      </w:pPr>
      <w:r>
        <w:rPr>
          <w:rStyle w:val="htmlparacode"/>
        </w:rPr>
        <w:t>&lt;p&gt;</w:t>
      </w:r>
    </w:p>
    <w:p w:rsidR="00B72047" w:rsidRDefault="00B72047">
      <w:pPr>
        <w:pStyle w:val="examplescaledpre"/>
      </w:pPr>
      <w:r>
        <w:rPr>
          <w:rStyle w:val="indexentry"/>
        </w:rPr>
        <w:t>&lt;ex "One, the"&gt;</w:t>
      </w:r>
      <w:r>
        <w:rPr>
          <w:rStyle w:val="indexentry"/>
        </w:rPr>
        <w:fldChar w:fldCharType="begin"/>
      </w:r>
      <w:r>
        <w:instrText>xe "</w:instrText>
      </w:r>
      <w:r>
        <w:rPr>
          <w:rStyle w:val="xeentry"/>
        </w:rPr>
        <w:instrText>One: the, example</w:instrText>
      </w:r>
      <w:r>
        <w:instrText>"</w:instrText>
      </w:r>
      <w:r>
        <w:rPr>
          <w:rStyle w:val="indexentry"/>
        </w:rPr>
        <w:fldChar w:fldCharType="end"/>
      </w:r>
      <w:r>
        <w:rPr>
          <w:rStyle w:val="htmlcodes"/>
        </w:rPr>
        <w:t>&lt;pre&gt;&lt;a name=e8d11&gt;</w:t>
      </w:r>
      <w:r>
        <w:t>8.11)</w:t>
      </w:r>
      <w:r>
        <w:tab/>
        <w:t>pav.</w:t>
      </w:r>
    </w:p>
    <w:p w:rsidR="00B72047" w:rsidRDefault="00B72047">
      <w:pPr>
        <w:pStyle w:val="examplescaled"/>
      </w:pPr>
      <w:r>
        <w:tab/>
        <w:t>the One</w:t>
      </w:r>
    </w:p>
    <w:p w:rsidR="00B72047" w:rsidRDefault="00B72047">
      <w:pPr>
        <w:pStyle w:val="examplescaled"/>
      </w:pPr>
      <w:r>
        <w:tab/>
        <w:t>from the cmavo “pa”, with rafsi “pav”, meaning “one”</w:t>
      </w:r>
    </w:p>
    <w:p w:rsidR="00B72047" w:rsidRDefault="00B72047">
      <w:pPr>
        <w:pStyle w:val="examplescaledpre"/>
      </w:pPr>
      <w:r>
        <w:rPr>
          <w:rStyle w:val="htmlcodes"/>
        </w:rPr>
        <w:t>&lt;/pre&gt;</w:t>
      </w:r>
      <w:r>
        <w:rPr>
          <w:rStyle w:val="indexentry"/>
        </w:rPr>
        <w:t>&lt;ex "Sun, the"&gt;</w:t>
      </w:r>
      <w:r>
        <w:rPr>
          <w:rStyle w:val="indexentry"/>
        </w:rPr>
        <w:fldChar w:fldCharType="begin"/>
      </w:r>
      <w:r>
        <w:instrText>xe "</w:instrText>
      </w:r>
      <w:r>
        <w:rPr>
          <w:rStyle w:val="xeentry"/>
        </w:rPr>
        <w:instrText>Sun: the, example</w:instrText>
      </w:r>
      <w:r>
        <w:instrText>"</w:instrText>
      </w:r>
      <w:r>
        <w:rPr>
          <w:rStyle w:val="indexentry"/>
        </w:rPr>
        <w:fldChar w:fldCharType="end"/>
      </w:r>
      <w:r>
        <w:rPr>
          <w:rStyle w:val="htmlcodes"/>
        </w:rPr>
        <w:t>&lt;pre&gt;&lt;a name=e8d12&gt;</w:t>
      </w:r>
      <w:r>
        <w:t>8.12)</w:t>
      </w:r>
      <w:r>
        <w:tab/>
        <w:t>sol.</w:t>
      </w:r>
    </w:p>
    <w:p w:rsidR="00B72047" w:rsidRDefault="00B72047">
      <w:pPr>
        <w:pStyle w:val="examplescaled"/>
      </w:pPr>
      <w:r>
        <w:tab/>
        <w:t>the Sun</w:t>
      </w:r>
    </w:p>
    <w:p w:rsidR="00B72047" w:rsidRDefault="00B72047">
      <w:pPr>
        <w:pStyle w:val="examplescaled"/>
      </w:pPr>
      <w:r>
        <w:tab/>
        <w:t>from the gismu “solri”, meaning “solar”, or actually “pertaining to the Sun”</w:t>
      </w:r>
    </w:p>
    <w:p w:rsidR="00B72047" w:rsidRDefault="00B72047">
      <w:pPr>
        <w:pStyle w:val="examplescaledpre"/>
      </w:pPr>
      <w:r>
        <w:rPr>
          <w:rStyle w:val="htmlcodes"/>
        </w:rPr>
        <w:t>&lt;/pre&gt;</w:t>
      </w:r>
      <w:r>
        <w:rPr>
          <w:rStyle w:val="indexentry"/>
        </w:rPr>
        <w:t>&lt;ex "Chief"&gt;</w:t>
      </w:r>
      <w:r>
        <w:rPr>
          <w:rStyle w:val="indexentry"/>
        </w:rPr>
        <w:fldChar w:fldCharType="begin"/>
      </w:r>
      <w:r>
        <w:instrText>xe "</w:instrText>
      </w:r>
      <w:r>
        <w:rPr>
          <w:rStyle w:val="xeentry"/>
        </w:rPr>
        <w:instrText>Chief: example</w:instrText>
      </w:r>
      <w:r>
        <w:instrText>"</w:instrText>
      </w:r>
      <w:r>
        <w:rPr>
          <w:rStyle w:val="indexentry"/>
        </w:rPr>
        <w:fldChar w:fldCharType="end"/>
      </w:r>
      <w:r>
        <w:rPr>
          <w:rStyle w:val="htmlcodes"/>
        </w:rPr>
        <w:t>&lt;pre&gt;&lt;a name=e8d13&gt;</w:t>
      </w:r>
      <w:r>
        <w:t>8.13)</w:t>
      </w:r>
      <w:r>
        <w:tab/>
        <w:t>ralj.</w:t>
      </w:r>
    </w:p>
    <w:p w:rsidR="00B72047" w:rsidRDefault="00B72047">
      <w:pPr>
        <w:pStyle w:val="examplescaled"/>
      </w:pPr>
      <w:r>
        <w:tab/>
        <w:t>Chief (as a title)</w:t>
      </w:r>
    </w:p>
    <w:p w:rsidR="00B72047" w:rsidRDefault="00B72047">
      <w:pPr>
        <w:pStyle w:val="examplescaled"/>
      </w:pPr>
      <w:r>
        <w:tab/>
        <w:t>from the gismu “ralju”, meaning “principal”.</w:t>
      </w:r>
    </w:p>
    <w:p w:rsidR="00B72047" w:rsidRDefault="00B72047">
      <w:pPr>
        <w:pStyle w:val="examplescaledpre"/>
      </w:pPr>
      <w:r>
        <w:rPr>
          <w:rStyle w:val="htmlcodes"/>
        </w:rPr>
        <w:t>&lt;/pre&gt;</w:t>
      </w:r>
      <w:r>
        <w:rPr>
          <w:rStyle w:val="indexentry"/>
        </w:rPr>
        <w:t>&lt;ex "Lord"&gt;</w:t>
      </w:r>
      <w:r>
        <w:rPr>
          <w:rStyle w:val="indexentry"/>
        </w:rPr>
        <w:fldChar w:fldCharType="begin"/>
      </w:r>
      <w:r>
        <w:instrText>xe "</w:instrText>
      </w:r>
      <w:r>
        <w:rPr>
          <w:rStyle w:val="xeentry"/>
        </w:rPr>
        <w:instrText>Lord: example</w:instrText>
      </w:r>
      <w:r>
        <w:instrText>"</w:instrText>
      </w:r>
      <w:r>
        <w:rPr>
          <w:rStyle w:val="indexentry"/>
        </w:rPr>
        <w:fldChar w:fldCharType="end"/>
      </w:r>
      <w:r>
        <w:rPr>
          <w:rStyle w:val="indexentry"/>
        </w:rPr>
        <w:t>&lt;ex "Lady"&gt;</w:t>
      </w:r>
      <w:r>
        <w:rPr>
          <w:rStyle w:val="indexentry"/>
        </w:rPr>
        <w:fldChar w:fldCharType="begin"/>
      </w:r>
      <w:r>
        <w:instrText>xe "</w:instrText>
      </w:r>
      <w:r>
        <w:rPr>
          <w:rStyle w:val="xeentry"/>
        </w:rPr>
        <w:instrText>Lady: example</w:instrText>
      </w:r>
      <w:r>
        <w:instrText>"</w:instrText>
      </w:r>
      <w:r>
        <w:rPr>
          <w:rStyle w:val="indexentry"/>
        </w:rPr>
        <w:fldChar w:fldCharType="end"/>
      </w:r>
      <w:r>
        <w:rPr>
          <w:rStyle w:val="htmlcodes"/>
        </w:rPr>
        <w:t>&lt;pre&gt;&lt;a name=e8d14&gt;</w:t>
      </w:r>
      <w:r>
        <w:t>8.14)</w:t>
      </w:r>
      <w:r>
        <w:tab/>
        <w:t>nol.</w:t>
      </w:r>
    </w:p>
    <w:p w:rsidR="00B72047" w:rsidRDefault="00B72047">
      <w:pPr>
        <w:pStyle w:val="examplescaled"/>
      </w:pPr>
      <w:r>
        <w:tab/>
        <w:t>Lord/Lady</w:t>
      </w:r>
    </w:p>
    <w:p w:rsidR="00B72047" w:rsidRDefault="00B72047">
      <w:pPr>
        <w:pStyle w:val="examplescaled"/>
      </w:pPr>
      <w:r>
        <w:tab/>
        <w:t>from the gismu “nobli”, with rafsi “nol”, meaning “noble”.</w:t>
      </w:r>
    </w:p>
    <w:p w:rsidR="00B72047" w:rsidRDefault="00B72047">
      <w:pPr>
        <w:pStyle w:val="normalafterexample"/>
      </w:pPr>
      <w:r>
        <w:rPr>
          <w:rStyle w:val="htmlcodes"/>
        </w:rPr>
        <w:t>&lt;/pre&gt;</w:t>
      </w:r>
      <w:r>
        <w:rPr>
          <w:rStyle w:val="indexentry"/>
        </w:rPr>
        <w:t>&lt;cx "names, algorithm for"&gt;</w:t>
      </w:r>
      <w:r>
        <w:rPr>
          <w:rStyle w:val="indexentry"/>
        </w:rPr>
        <w:fldChar w:fldCharType="begin"/>
      </w:r>
      <w:r>
        <w:instrText>xe "</w:instrText>
      </w:r>
      <w:r>
        <w:rPr>
          <w:rStyle w:val="xeentry"/>
        </w:rPr>
        <w:instrText>names: algorithm for</w:instrText>
      </w:r>
      <w:r>
        <w:instrText>"</w:instrText>
      </w:r>
      <w:r>
        <w:rPr>
          <w:rStyle w:val="indexentry"/>
        </w:rPr>
        <w:fldChar w:fldCharType="end"/>
      </w:r>
      <w:r>
        <w:rPr>
          <w:rStyle w:val="indexentry"/>
        </w:rPr>
        <w:t>&lt;cx "cmene, algorithm for"&gt;</w:t>
      </w:r>
      <w:r>
        <w:rPr>
          <w:rStyle w:val="indexentry"/>
        </w:rPr>
        <w:fldChar w:fldCharType="begin"/>
      </w:r>
      <w:r>
        <w:instrText>xe "</w:instrText>
      </w:r>
      <w:r>
        <w:rPr>
          <w:rStyle w:val="xeentry"/>
        </w:rPr>
        <w:instrText>cmene: algorithm for</w:instrText>
      </w:r>
      <w:r>
        <w:instrText>"</w:instrText>
      </w:r>
      <w:r>
        <w:rPr>
          <w:rStyle w:val="indexentry"/>
        </w:rPr>
        <w:fldChar w:fldCharType="end"/>
      </w:r>
      <w:r>
        <w:t>To Lojbanize a name from the various natural languages, ap</w:t>
      </w:r>
      <w:r>
        <w:softHyphen/>
        <w:t>ply the</w:t>
      </w:r>
      <w:r>
        <w:rPr>
          <w:rStyle w:val="deletedparamark"/>
        </w:rPr>
        <w:t xml:space="preserve"> </w:t>
      </w:r>
      <w:r>
        <w:t>following rules: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Eliminate double consonants and silent letters.</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Add a final “s” or “n” (or some other consonant that sounds good) if the name ends in a vowel.</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Convert all sounds to their closest Lojban equivalents.</w:t>
      </w:r>
    </w:p>
    <w:p w:rsidR="00B72047" w:rsidRDefault="00B72047" w:rsidP="007E67C1">
      <w:pPr>
        <w:pStyle w:val="Listnobullets"/>
        <w:numPr>
          <w:ilvl w:val="0"/>
          <w:numId w:val="0"/>
        </w:numPr>
        <w:ind w:left="864" w:hanging="504"/>
      </w:pPr>
      <w:r>
        <w:rPr>
          <w:rStyle w:val="htmlcodes"/>
        </w:rPr>
        <w:t>&lt;p&gt;&lt;dt&gt;</w:t>
      </w:r>
      <w:r>
        <w:t>4)</w:t>
      </w:r>
      <w:r>
        <w:tab/>
      </w:r>
      <w:r>
        <w:rPr>
          <w:rStyle w:val="htmlcodes"/>
        </w:rPr>
        <w:t>&lt;dd&gt;</w:t>
      </w:r>
      <w:r>
        <w:t>If possible and acceptable, shift the stress to the penulti</w:t>
      </w:r>
      <w:r>
        <w:softHyphen/>
        <w:t>mate (next-to-the-last) syllable. Use commas and capitalization in writ</w:t>
      </w:r>
      <w:r>
        <w:softHyphen/>
        <w:t>ten Lojban when it is necessary to preserve non-standard syllabi</w:t>
      </w:r>
      <w:r>
        <w:softHyphen/>
        <w:t>cation or stress. Do not capitalize names otherwise.</w:t>
      </w:r>
    </w:p>
    <w:p w:rsidR="00B72047" w:rsidRDefault="00B72047" w:rsidP="007E67C1">
      <w:pPr>
        <w:pStyle w:val="Listnobullets"/>
        <w:numPr>
          <w:ilvl w:val="0"/>
          <w:numId w:val="0"/>
        </w:numPr>
        <w:ind w:left="864" w:hanging="504"/>
      </w:pPr>
      <w:r>
        <w:rPr>
          <w:rStyle w:val="htmlcodes"/>
        </w:rPr>
        <w:t>&lt;/dl&gt;</w:t>
      </w:r>
      <w:r>
        <w:rPr>
          <w:rStyle w:val="indexentry"/>
        </w:rPr>
        <w:t>&lt;cx "cmene, avoiding impermissible consonant clusters in"&gt;</w:t>
      </w:r>
      <w:r>
        <w:rPr>
          <w:rStyle w:val="indexentry"/>
        </w:rPr>
        <w:fldChar w:fldCharType="begin"/>
      </w:r>
      <w:r>
        <w:instrText>xe "</w:instrText>
      </w:r>
      <w:r>
        <w:rPr>
          <w:rStyle w:val="xeentry"/>
        </w:rPr>
        <w:instrText>cmene: avoiding impermissible consonant clusters in</w:instrText>
      </w:r>
      <w:r>
        <w:instrText>"</w:instrText>
      </w:r>
      <w:r>
        <w:rPr>
          <w:rStyle w:val="indexentry"/>
        </w:rPr>
        <w:fldChar w:fldCharType="end"/>
      </w:r>
      <w:r>
        <w:rPr>
          <w:rStyle w:val="htmlcodes"/>
        </w:rPr>
        <w:t>&lt;dl compact&gt;&lt;dt&gt;</w:t>
      </w:r>
      <w:r>
        <w:t>5)</w:t>
      </w:r>
      <w:r>
        <w:tab/>
      </w:r>
      <w:r>
        <w:rPr>
          <w:rStyle w:val="htmlcodes"/>
        </w:rPr>
        <w:t>&lt;dd&gt;</w:t>
      </w:r>
      <w:r>
        <w:t>If the name contains an impermissible consonant pair, in</w:t>
      </w:r>
      <w:r>
        <w:softHyphen/>
        <w:t>sert a vowel be</w:t>
      </w:r>
      <w:r>
        <w:softHyphen/>
        <w:t>tween the consonants: “y” is recommended.</w:t>
      </w:r>
    </w:p>
    <w:p w:rsidR="00B72047" w:rsidRDefault="00B72047" w:rsidP="007E67C1">
      <w:pPr>
        <w:pStyle w:val="Listnobullets"/>
        <w:numPr>
          <w:ilvl w:val="0"/>
          <w:numId w:val="0"/>
        </w:numPr>
        <w:ind w:left="864" w:hanging="504"/>
      </w:pPr>
      <w:r>
        <w:rPr>
          <w:rStyle w:val="htmlcodes"/>
        </w:rPr>
        <w:t>&lt;/dl&gt;</w:t>
      </w:r>
      <w:r>
        <w:rPr>
          <w:rStyle w:val="indexentry"/>
        </w:rPr>
        <w:t>&lt;cx "cmene, proscribed syllables in"&gt;</w:t>
      </w:r>
      <w:r>
        <w:rPr>
          <w:rStyle w:val="indexentry"/>
        </w:rPr>
        <w:fldChar w:fldCharType="begin"/>
      </w:r>
      <w:r>
        <w:instrText>xe "</w:instrText>
      </w:r>
      <w:r>
        <w:rPr>
          <w:rStyle w:val="xeentry"/>
        </w:rPr>
        <w:instrText>cmene: proscribed syllables in</w:instrText>
      </w:r>
      <w:r>
        <w:instrText>"</w:instrText>
      </w:r>
      <w:r>
        <w:rPr>
          <w:rStyle w:val="indexentry"/>
        </w:rPr>
        <w:fldChar w:fldCharType="end"/>
      </w:r>
      <w:r>
        <w:rPr>
          <w:rStyle w:val="htmlcodes"/>
        </w:rPr>
        <w:t>&lt;dl compact&gt;&lt;dt&gt;</w:t>
      </w:r>
      <w:r>
        <w:t>6)</w:t>
      </w:r>
      <w:r>
        <w:tab/>
      </w:r>
      <w:r>
        <w:rPr>
          <w:rStyle w:val="htmlcodes"/>
        </w:rPr>
        <w:t>&lt;dd&gt;</w:t>
      </w:r>
      <w:r>
        <w:t>No cmene may have the syllables “la”, “lai”, or “doi” in them, unless imme</w:t>
      </w:r>
      <w:r>
        <w:softHyphen/>
        <w:t>di</w:t>
      </w:r>
      <w:r>
        <w:softHyphen/>
        <w:t>ately preceded by a consonant. If these combina</w:t>
      </w:r>
      <w:r>
        <w:softHyphen/>
        <w:t>tions are present, they must be converted to something else. Possible substitutions include “ly”, “ly'i”, and “dai” or “do'i”, re</w:t>
      </w:r>
      <w:r>
        <w:softHyphen/>
        <w:t>spectively.</w:t>
      </w:r>
    </w:p>
    <w:p w:rsidR="00B72047" w:rsidRDefault="00B72047">
      <w:pPr>
        <w:pStyle w:val="normalafterexample"/>
      </w:pPr>
      <w:r>
        <w:rPr>
          <w:rStyle w:val="htmlcodes"/>
        </w:rPr>
        <w:t>&lt;/dl&gt;</w:t>
      </w:r>
      <w:r>
        <w:rPr>
          <w:rStyle w:val="indexentry"/>
        </w:rPr>
        <w:t>&lt;cx "Linnaean names, rules for"&gt;</w:t>
      </w:r>
      <w:r>
        <w:rPr>
          <w:rStyle w:val="indexentry"/>
        </w:rPr>
        <w:fldChar w:fldCharType="begin"/>
      </w:r>
      <w:r>
        <w:instrText>xe "</w:instrText>
      </w:r>
      <w:r>
        <w:rPr>
          <w:rStyle w:val="xeentry"/>
        </w:rPr>
        <w:instrText>Linnaean names: rules for</w:instrText>
      </w:r>
      <w:r>
        <w:instrText>"</w:instrText>
      </w:r>
      <w:r>
        <w:rPr>
          <w:rStyle w:val="indexentry"/>
        </w:rPr>
        <w:fldChar w:fldCharType="end"/>
      </w:r>
      <w:r>
        <w:rPr>
          <w:rStyle w:val="indexentry"/>
        </w:rPr>
        <w:t>&lt;cx "scientific names, rules for"&gt;</w:t>
      </w:r>
      <w:r>
        <w:rPr>
          <w:rStyle w:val="indexentry"/>
        </w:rPr>
        <w:fldChar w:fldCharType="begin"/>
      </w:r>
      <w:r>
        <w:instrText>xe "</w:instrText>
      </w:r>
      <w:r>
        <w:rPr>
          <w:rStyle w:val="xeentry"/>
        </w:rPr>
        <w:instrText>scientific names: rules for</w:instrText>
      </w:r>
      <w:r>
        <w:instrText>"</w:instrText>
      </w:r>
      <w:r>
        <w:rPr>
          <w:rStyle w:val="indexentry"/>
        </w:rPr>
        <w:fldChar w:fldCharType="end"/>
      </w:r>
      <w:r>
        <w:t>There are some additional rules for Lojbanizing the scientific names</w:t>
      </w:r>
      <w:r>
        <w:rPr>
          <w:rStyle w:val="deletedparamark"/>
        </w:rPr>
        <w:t xml:space="preserve"> </w:t>
      </w:r>
      <w:r>
        <w:t>(technically known as “Linnaean binomials” after their inven</w:t>
      </w:r>
      <w:r>
        <w:softHyphen/>
        <w:t>tor)</w:t>
      </w:r>
      <w:r>
        <w:rPr>
          <w:rStyle w:val="deletedparamark"/>
        </w:rPr>
        <w:t xml:space="preserve"> </w:t>
      </w:r>
      <w:r>
        <w:t>which are internation</w:t>
      </w:r>
      <w:r>
        <w:softHyphen/>
        <w:t>ally applied to each species of animal or plant.</w:t>
      </w:r>
      <w:r>
        <w:rPr>
          <w:rStyle w:val="deletedparamark"/>
        </w:rPr>
        <w:t xml:space="preserve"> </w:t>
      </w:r>
      <w:r>
        <w:t>Where precision is essential, these names need not be Loj</w:t>
      </w:r>
      <w:r>
        <w:softHyphen/>
        <w:t>banized, but</w:t>
      </w:r>
      <w:r>
        <w:rPr>
          <w:rStyle w:val="deletedparamark"/>
        </w:rPr>
        <w:t xml:space="preserve"> </w:t>
      </w:r>
      <w:r>
        <w:t>can be directly inserted into Lojban text using the cmavo “la'o”, ex</w:t>
      </w:r>
      <w:r>
        <w:softHyphen/>
        <w:t>plained</w:t>
      </w:r>
      <w:r>
        <w:rPr>
          <w:rStyle w:val="deletedparamark"/>
        </w:rPr>
        <w:t xml:space="preserve"> </w:t>
      </w:r>
      <w:r>
        <w:t xml:space="preserve">in </w:t>
      </w:r>
      <w:r>
        <w:rPr>
          <w:rStyle w:val="htmlcodes"/>
        </w:rPr>
        <w:t>&lt;a href=chap19.html&gt;</w:t>
      </w:r>
      <w:r>
        <w:t>Chapter 19</w:t>
      </w:r>
      <w:r>
        <w:rPr>
          <w:rStyle w:val="htmlcodes"/>
        </w:rPr>
        <w:t>&lt;/a&gt;</w:t>
      </w:r>
      <w:r>
        <w:t>. Using this cmavo makes the already lengthy Latinized names</w:t>
      </w:r>
      <w:r>
        <w:rPr>
          <w:rStyle w:val="deletedparamark"/>
        </w:rPr>
        <w:t xml:space="preserve"> </w:t>
      </w:r>
      <w:r>
        <w:t>at least four syllables longer, however, and leaves the pronunciation</w:t>
      </w:r>
      <w:r>
        <w:rPr>
          <w:rStyle w:val="deletedparamark"/>
        </w:rPr>
        <w:t xml:space="preserve"> </w:t>
      </w:r>
      <w:r>
        <w:t>in doubt. The following suggestions, though incomplete, will assist in</w:t>
      </w:r>
      <w:r>
        <w:rPr>
          <w:rStyle w:val="deletedparamark"/>
        </w:rPr>
        <w:t xml:space="preserve"> </w:t>
      </w:r>
      <w:r>
        <w:t>converting Linnaean binomals to valid Loj</w:t>
      </w:r>
      <w:r>
        <w:softHyphen/>
        <w:t>ban names. They can also help to</w:t>
      </w:r>
      <w:r>
        <w:rPr>
          <w:rStyle w:val="deletedparamark"/>
        </w:rPr>
        <w:t xml:space="preserve"> </w:t>
      </w:r>
      <w:r>
        <w:t>create fu'ivla based on Linnaean bino</w:t>
      </w:r>
      <w:r>
        <w:softHyphen/>
        <w:t>mials or other words of the international</w:t>
      </w:r>
      <w:r>
        <w:rPr>
          <w:rStyle w:val="deletedparamark"/>
        </w:rPr>
        <w:t xml:space="preserve"> </w:t>
      </w:r>
      <w:r>
        <w:t>scientific vocabulary. The term “back vowel” in the following list</w:t>
      </w:r>
      <w:r>
        <w:rPr>
          <w:rStyle w:val="deletedparamark"/>
        </w:rPr>
        <w:t xml:space="preserve"> </w:t>
      </w:r>
      <w:r>
        <w:t>refers to any of the letters “a”, “o”, or “u”; the term “front vowel”</w:t>
      </w:r>
      <w:r>
        <w:rPr>
          <w:rStyle w:val="deletedparamark"/>
        </w:rPr>
        <w:t xml:space="preserve"> </w:t>
      </w:r>
      <w:r>
        <w:t>correspondingly refers to any of the letters “e”, “i”, or “y”.</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Change double consonants other than “cc” to single conso</w:t>
      </w:r>
      <w:r>
        <w:softHyphen/>
        <w:t>nants.</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Change “cc” before a front vowel to “kc”, but otherwise to “k”.</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Change “c” before a back vowel and final “c” to “k”.</w:t>
      </w:r>
    </w:p>
    <w:p w:rsidR="00B72047" w:rsidRDefault="00B72047" w:rsidP="007E67C1">
      <w:pPr>
        <w:pStyle w:val="Listnobullets"/>
        <w:numPr>
          <w:ilvl w:val="0"/>
          <w:numId w:val="0"/>
        </w:numPr>
        <w:ind w:left="864" w:hanging="504"/>
      </w:pPr>
      <w:r>
        <w:rPr>
          <w:rStyle w:val="htmlcodes"/>
        </w:rPr>
        <w:t>&lt;p&gt;&lt;dt&gt;</w:t>
      </w:r>
      <w:r>
        <w:t>4)</w:t>
      </w:r>
      <w:r>
        <w:tab/>
      </w:r>
      <w:r>
        <w:rPr>
          <w:rStyle w:val="htmlcodes"/>
        </w:rPr>
        <w:t>&lt;dd&gt;</w:t>
      </w:r>
      <w:r>
        <w:t>Change “ng” before a consonant (other than “h”) and final “ng” to “n”.</w:t>
      </w:r>
    </w:p>
    <w:p w:rsidR="00B72047" w:rsidRDefault="00B72047" w:rsidP="007E67C1">
      <w:pPr>
        <w:pStyle w:val="Listnobullets"/>
        <w:numPr>
          <w:ilvl w:val="0"/>
          <w:numId w:val="0"/>
        </w:numPr>
        <w:ind w:left="864" w:hanging="504"/>
      </w:pPr>
      <w:r>
        <w:rPr>
          <w:rStyle w:val="htmlcodes"/>
        </w:rPr>
        <w:t>&lt;p&gt;&lt;dt&gt;</w:t>
      </w:r>
      <w:r>
        <w:t>5)</w:t>
      </w:r>
      <w:r>
        <w:tab/>
      </w:r>
      <w:r>
        <w:rPr>
          <w:rStyle w:val="htmlcodes"/>
        </w:rPr>
        <w:t>&lt;dd&gt;</w:t>
      </w:r>
      <w:r>
        <w:t>Change “x” to “z” initially, but otherwise to “ks”.</w:t>
      </w:r>
    </w:p>
    <w:p w:rsidR="00B72047" w:rsidRDefault="00B72047" w:rsidP="007E67C1">
      <w:pPr>
        <w:pStyle w:val="Listnobullets"/>
        <w:numPr>
          <w:ilvl w:val="0"/>
          <w:numId w:val="0"/>
        </w:numPr>
        <w:ind w:left="864" w:hanging="504"/>
      </w:pPr>
      <w:r>
        <w:rPr>
          <w:rStyle w:val="htmlcodes"/>
        </w:rPr>
        <w:t>&lt;p&gt;&lt;dt&gt;</w:t>
      </w:r>
      <w:r>
        <w:t>6)</w:t>
      </w:r>
      <w:r>
        <w:tab/>
      </w:r>
      <w:r>
        <w:rPr>
          <w:rStyle w:val="htmlcodes"/>
        </w:rPr>
        <w:t>&lt;dd&gt;</w:t>
      </w:r>
      <w:r>
        <w:t>Change “pn” to “n” initially.</w:t>
      </w:r>
    </w:p>
    <w:p w:rsidR="00B72047" w:rsidRDefault="00B72047" w:rsidP="007E67C1">
      <w:pPr>
        <w:pStyle w:val="Listnobullets"/>
        <w:numPr>
          <w:ilvl w:val="0"/>
          <w:numId w:val="0"/>
        </w:numPr>
        <w:ind w:left="864" w:hanging="504"/>
      </w:pPr>
      <w:r>
        <w:rPr>
          <w:rStyle w:val="htmlcodes"/>
        </w:rPr>
        <w:t>&lt;p&gt;&lt;dt&gt;</w:t>
      </w:r>
      <w:r>
        <w:t>7)</w:t>
      </w:r>
      <w:r>
        <w:tab/>
      </w:r>
      <w:r>
        <w:rPr>
          <w:rStyle w:val="htmlcodes"/>
        </w:rPr>
        <w:t>&lt;dd&gt;</w:t>
      </w:r>
      <w:r>
        <w:t>Change final “ie” and “ii” to “i”.</w:t>
      </w:r>
    </w:p>
    <w:p w:rsidR="00B72047" w:rsidRDefault="00B72047" w:rsidP="007E67C1">
      <w:pPr>
        <w:pStyle w:val="Listnobullets"/>
        <w:numPr>
          <w:ilvl w:val="0"/>
          <w:numId w:val="0"/>
        </w:numPr>
        <w:ind w:left="864" w:hanging="504"/>
      </w:pPr>
      <w:r>
        <w:rPr>
          <w:rStyle w:val="htmlcodes"/>
        </w:rPr>
        <w:t>&lt;p&gt;&lt;dt&gt;</w:t>
      </w:r>
      <w:r>
        <w:t>8)</w:t>
      </w:r>
      <w:r>
        <w:tab/>
      </w:r>
      <w:r>
        <w:rPr>
          <w:rStyle w:val="htmlcodes"/>
        </w:rPr>
        <w:t>&lt;dd&gt;</w:t>
      </w:r>
      <w:r>
        <w:t>Make the following idiosyncratic substitutions:</w:t>
      </w:r>
    </w:p>
    <w:p w:rsidR="00B72047" w:rsidRDefault="00B72047">
      <w:pPr>
        <w:pStyle w:val="examplescaledpre"/>
      </w:pPr>
      <w:r>
        <w:rPr>
          <w:rStyle w:val="htmlcodes"/>
        </w:rPr>
        <w:t>&lt;p&gt;&lt;dt&gt;&lt;dd&gt;</w:t>
      </w:r>
      <w:r>
        <w:tab/>
      </w:r>
      <w:r>
        <w:tab/>
        <w:t>aa</w:t>
      </w:r>
      <w:r>
        <w:tab/>
        <w:t>a</w:t>
      </w:r>
    </w:p>
    <w:p w:rsidR="00B72047" w:rsidRDefault="00B72047">
      <w:pPr>
        <w:pStyle w:val="examplescaled"/>
        <w:spacing w:line="220" w:lineRule="exact"/>
      </w:pPr>
      <w:r>
        <w:tab/>
      </w:r>
      <w:r>
        <w:tab/>
        <w:t>ae</w:t>
      </w:r>
      <w:r>
        <w:tab/>
        <w:t>e</w:t>
      </w:r>
    </w:p>
    <w:p w:rsidR="00B72047" w:rsidRDefault="00B72047">
      <w:pPr>
        <w:pStyle w:val="examplescaled"/>
        <w:spacing w:line="220" w:lineRule="exact"/>
      </w:pPr>
      <w:r>
        <w:tab/>
      </w:r>
      <w:r>
        <w:tab/>
        <w:t>ch</w:t>
      </w:r>
      <w:r>
        <w:tab/>
        <w:t>k</w:t>
      </w:r>
    </w:p>
    <w:p w:rsidR="00B72047" w:rsidRDefault="00B72047">
      <w:pPr>
        <w:pStyle w:val="examplescaled"/>
        <w:spacing w:line="220" w:lineRule="exact"/>
      </w:pPr>
      <w:r>
        <w:tab/>
      </w:r>
      <w:r>
        <w:tab/>
        <w:t>ee</w:t>
      </w:r>
      <w:r>
        <w:tab/>
        <w:t>i</w:t>
      </w:r>
    </w:p>
    <w:p w:rsidR="00B72047" w:rsidRDefault="00B72047">
      <w:pPr>
        <w:pStyle w:val="examplescaled"/>
        <w:spacing w:line="220" w:lineRule="exact"/>
      </w:pPr>
      <w:r>
        <w:tab/>
      </w:r>
      <w:r>
        <w:tab/>
        <w:t>eigh</w:t>
      </w:r>
      <w:r>
        <w:tab/>
        <w:t>ei</w:t>
      </w:r>
    </w:p>
    <w:p w:rsidR="00B72047" w:rsidRDefault="00B72047">
      <w:pPr>
        <w:pStyle w:val="examplescaled"/>
        <w:spacing w:line="220" w:lineRule="exact"/>
      </w:pPr>
      <w:r>
        <w:tab/>
      </w:r>
      <w:r>
        <w:tab/>
        <w:t>ew</w:t>
      </w:r>
      <w:r>
        <w:tab/>
        <w:t>u</w:t>
      </w:r>
    </w:p>
    <w:p w:rsidR="00B72047" w:rsidRDefault="00B72047">
      <w:pPr>
        <w:pStyle w:val="examplescaled"/>
        <w:spacing w:line="220" w:lineRule="exact"/>
      </w:pPr>
      <w:r>
        <w:tab/>
      </w:r>
      <w:r>
        <w:tab/>
        <w:t>igh</w:t>
      </w:r>
      <w:r>
        <w:tab/>
        <w:t>ai</w:t>
      </w:r>
    </w:p>
    <w:p w:rsidR="00B72047" w:rsidRDefault="00B72047">
      <w:pPr>
        <w:pStyle w:val="examplescaled"/>
        <w:spacing w:line="220" w:lineRule="exact"/>
      </w:pPr>
      <w:r>
        <w:tab/>
      </w:r>
      <w:r>
        <w:tab/>
        <w:t>oo</w:t>
      </w:r>
      <w:r>
        <w:tab/>
        <w:t>u</w:t>
      </w:r>
    </w:p>
    <w:p w:rsidR="00B72047" w:rsidRDefault="00B72047">
      <w:pPr>
        <w:pStyle w:val="examplescaled"/>
        <w:spacing w:line="220" w:lineRule="exact"/>
      </w:pPr>
      <w:r>
        <w:tab/>
      </w:r>
      <w:r>
        <w:tab/>
        <w:t>ou</w:t>
      </w:r>
      <w:r>
        <w:tab/>
        <w:t>u</w:t>
      </w:r>
    </w:p>
    <w:p w:rsidR="00B72047" w:rsidRDefault="00B72047">
      <w:pPr>
        <w:pStyle w:val="examplescaled"/>
        <w:spacing w:line="220" w:lineRule="exact"/>
      </w:pPr>
      <w:r>
        <w:tab/>
      </w:r>
      <w:r>
        <w:tab/>
        <w:t>ow</w:t>
      </w:r>
      <w:r>
        <w:tab/>
        <w:t>au</w:t>
      </w:r>
    </w:p>
    <w:p w:rsidR="00B72047" w:rsidRDefault="00B72047">
      <w:pPr>
        <w:pStyle w:val="examplescaled"/>
        <w:spacing w:line="220" w:lineRule="exact"/>
      </w:pPr>
      <w:r>
        <w:tab/>
      </w:r>
      <w:r>
        <w:tab/>
        <w:t>ph</w:t>
      </w:r>
      <w:r>
        <w:tab/>
        <w:t>f</w:t>
      </w:r>
    </w:p>
    <w:p w:rsidR="00B72047" w:rsidRDefault="00B72047">
      <w:pPr>
        <w:pStyle w:val="examplescaled"/>
        <w:spacing w:line="220" w:lineRule="exact"/>
      </w:pPr>
      <w:r>
        <w:tab/>
      </w:r>
      <w:r>
        <w:tab/>
        <w:t>q</w:t>
      </w:r>
      <w:r>
        <w:tab/>
        <w:t>k</w:t>
      </w:r>
    </w:p>
    <w:p w:rsidR="00B72047" w:rsidRDefault="00B72047">
      <w:pPr>
        <w:pStyle w:val="examplescaled"/>
        <w:spacing w:line="220" w:lineRule="exact"/>
      </w:pPr>
      <w:r>
        <w:tab/>
      </w:r>
      <w:r>
        <w:tab/>
        <w:t>sc</w:t>
      </w:r>
      <w:r>
        <w:tab/>
        <w:t>sk</w:t>
      </w:r>
    </w:p>
    <w:p w:rsidR="00B72047" w:rsidRDefault="00B72047">
      <w:pPr>
        <w:pStyle w:val="examplescaled"/>
        <w:spacing w:line="220" w:lineRule="exact"/>
      </w:pPr>
      <w:r>
        <w:tab/>
      </w:r>
      <w:r>
        <w:tab/>
        <w:t>w</w:t>
      </w:r>
      <w:r>
        <w:tab/>
        <w:t>u</w:t>
      </w:r>
    </w:p>
    <w:p w:rsidR="00B72047" w:rsidRDefault="00B72047">
      <w:pPr>
        <w:pStyle w:val="examplescaled"/>
        <w:spacing w:line="220" w:lineRule="exact"/>
      </w:pPr>
      <w:r>
        <w:tab/>
      </w:r>
      <w:r>
        <w:tab/>
        <w:t>y</w:t>
      </w:r>
      <w:r>
        <w:tab/>
        <w:t>i</w:t>
      </w:r>
    </w:p>
    <w:p w:rsidR="00B72047" w:rsidRDefault="00B72047" w:rsidP="007E67C1">
      <w:pPr>
        <w:pStyle w:val="Listnobullets"/>
        <w:numPr>
          <w:ilvl w:val="0"/>
          <w:numId w:val="0"/>
        </w:numPr>
        <w:ind w:left="864" w:hanging="504"/>
      </w:pPr>
      <w:r>
        <w:rPr>
          <w:rStyle w:val="htmlcodes"/>
          <w:vanish w:val="0"/>
        </w:rPr>
        <w:tab/>
      </w:r>
      <w:r>
        <w:rPr>
          <w:rStyle w:val="htmlcodes"/>
          <w:vanish w:val="0"/>
        </w:rPr>
        <w:tab/>
      </w:r>
      <w:r>
        <w:rPr>
          <w:rStyle w:val="htmlcodes"/>
        </w:rPr>
        <w:t>&lt;p&gt;&lt;dt&gt;&lt;dd&gt;</w:t>
      </w:r>
      <w:r>
        <w:t>However, the diphthong substitutions should not be done if the two vowels are in two different syllables.</w:t>
      </w:r>
    </w:p>
    <w:p w:rsidR="00B72047" w:rsidRDefault="00B72047" w:rsidP="007E67C1">
      <w:pPr>
        <w:pStyle w:val="Listnobullets"/>
        <w:numPr>
          <w:ilvl w:val="0"/>
          <w:numId w:val="0"/>
        </w:numPr>
        <w:ind w:left="864" w:hanging="504"/>
      </w:pPr>
      <w:r>
        <w:rPr>
          <w:rStyle w:val="htmlcodes"/>
        </w:rPr>
        <w:t>&lt;p&gt;&lt;dt&gt;</w:t>
      </w:r>
      <w:r>
        <w:t>9)</w:t>
      </w:r>
      <w:r>
        <w:tab/>
      </w:r>
      <w:r>
        <w:rPr>
          <w:rStyle w:val="htmlcodes"/>
        </w:rPr>
        <w:t>&lt;dd&gt;</w:t>
      </w:r>
      <w:r>
        <w:t>Change “h” between two vowels to “ ' ”, but otherwise re</w:t>
      </w:r>
      <w:r>
        <w:softHyphen/>
        <w:t>move it completely. If preservation of the “h” seems essential, change it to “x” instead.</w:t>
      </w:r>
    </w:p>
    <w:p w:rsidR="00B72047" w:rsidRDefault="00B72047" w:rsidP="007E67C1">
      <w:pPr>
        <w:pStyle w:val="Listnobullets"/>
        <w:numPr>
          <w:ilvl w:val="0"/>
          <w:numId w:val="0"/>
        </w:numPr>
        <w:ind w:left="864" w:hanging="504"/>
      </w:pPr>
      <w:r>
        <w:rPr>
          <w:rStyle w:val="htmlcodes"/>
        </w:rPr>
        <w:t>&lt;p&gt;&lt;dt&gt;</w:t>
      </w:r>
      <w:r>
        <w:t>10)</w:t>
      </w:r>
      <w:r>
        <w:tab/>
      </w:r>
      <w:r>
        <w:rPr>
          <w:rStyle w:val="htmlcodes"/>
        </w:rPr>
        <w:t>&lt;dd&gt;</w:t>
      </w:r>
      <w:r>
        <w:t>Place “ ' ” between any remaining vowel pairs that do not form Lojban diph</w:t>
      </w:r>
      <w:r>
        <w:softHyphen/>
        <w:t>thongs.</w:t>
      </w:r>
    </w:p>
    <w:p w:rsidR="00B72047" w:rsidRDefault="00B72047">
      <w:pPr>
        <w:pStyle w:val="normalafterexample"/>
      </w:pPr>
      <w:r>
        <w:rPr>
          <w:rStyle w:val="htmlcodes"/>
        </w:rPr>
        <w:t>&lt;p&gt;&lt;dt&gt;&lt;dd&gt;</w:t>
      </w:r>
      <w:r>
        <w:t>Some further examples of Lojbanized names are:</w:t>
      </w:r>
    </w:p>
    <w:p w:rsidR="00B72047" w:rsidRDefault="00B72047">
      <w:pPr>
        <w:pStyle w:val="examplegtabspre"/>
      </w:pPr>
      <w:r>
        <w:rPr>
          <w:rStyle w:val="htmlcodes"/>
        </w:rPr>
        <w:t>&lt;/dl&gt;</w:t>
      </w:r>
      <w:r>
        <w:rPr>
          <w:rStyle w:val="indexentry"/>
        </w:rPr>
        <w:t>&lt;ex "William"&gt;</w:t>
      </w:r>
      <w:r>
        <w:rPr>
          <w:rStyle w:val="indexentry"/>
        </w:rPr>
        <w:fldChar w:fldCharType="begin"/>
      </w:r>
      <w:r>
        <w:instrText>xe "</w:instrText>
      </w:r>
      <w:r>
        <w:rPr>
          <w:rStyle w:val="xeentry"/>
        </w:rPr>
        <w:instrText>William: example</w:instrText>
      </w:r>
      <w:r>
        <w:instrText>"</w:instrText>
      </w:r>
      <w:r>
        <w:rPr>
          <w:rStyle w:val="indexentry"/>
        </w:rPr>
        <w:fldChar w:fldCharType="end"/>
      </w:r>
      <w:r>
        <w:rPr>
          <w:rStyle w:val="indexentry"/>
        </w:rPr>
        <w:t>&lt;ex "Svetlana"&gt;</w:t>
      </w:r>
      <w:r>
        <w:rPr>
          <w:rStyle w:val="indexentry"/>
        </w:rPr>
        <w:fldChar w:fldCharType="begin"/>
      </w:r>
      <w:r>
        <w:instrText>xe "</w:instrText>
      </w:r>
      <w:r>
        <w:rPr>
          <w:rStyle w:val="xeentry"/>
        </w:rPr>
        <w:instrText>Svetlana: example</w:instrText>
      </w:r>
      <w:r>
        <w:instrText>"</w:instrText>
      </w:r>
      <w:r>
        <w:rPr>
          <w:rStyle w:val="indexentry"/>
        </w:rPr>
        <w:fldChar w:fldCharType="end"/>
      </w:r>
      <w:r>
        <w:rPr>
          <w:rStyle w:val="indexentry"/>
        </w:rPr>
        <w:t>&lt;ex "Mao Zedong"&gt;</w:t>
      </w:r>
      <w:r>
        <w:rPr>
          <w:rStyle w:val="indexentry"/>
        </w:rPr>
        <w:fldChar w:fldCharType="begin"/>
      </w:r>
      <w:r>
        <w:instrText>xe "</w:instrText>
      </w:r>
      <w:r>
        <w:rPr>
          <w:rStyle w:val="xeentry"/>
        </w:rPr>
        <w:instrText>Mao Zedong: example</w:instrText>
      </w:r>
      <w:r>
        <w:instrText>"</w:instrText>
      </w:r>
      <w:r>
        <w:rPr>
          <w:rStyle w:val="indexentry"/>
        </w:rPr>
        <w:fldChar w:fldCharType="end"/>
      </w:r>
      <w:r>
        <w:rPr>
          <w:rStyle w:val="indexentry"/>
        </w:rPr>
        <w:t>&lt;ex "Lech Walesa"&gt;</w:t>
      </w:r>
      <w:r>
        <w:rPr>
          <w:rStyle w:val="indexentry"/>
        </w:rPr>
        <w:fldChar w:fldCharType="begin"/>
      </w:r>
      <w:r>
        <w:instrText>xe "</w:instrText>
      </w:r>
      <w:r>
        <w:rPr>
          <w:rStyle w:val="xeentry"/>
        </w:rPr>
        <w:instrText>Lech Walesa: example</w:instrText>
      </w:r>
      <w:r>
        <w:instrText>"</w:instrText>
      </w:r>
      <w:r>
        <w:rPr>
          <w:rStyle w:val="indexentry"/>
        </w:rPr>
        <w:fldChar w:fldCharType="end"/>
      </w:r>
      <w:r>
        <w:rPr>
          <w:rStyle w:val="indexentry"/>
        </w:rPr>
        <w:t>&lt;ex "Krishna"&gt;</w:t>
      </w:r>
      <w:r>
        <w:rPr>
          <w:rStyle w:val="indexentry"/>
        </w:rPr>
        <w:fldChar w:fldCharType="begin"/>
      </w:r>
      <w:r>
        <w:instrText>xe "</w:instrText>
      </w:r>
      <w:r>
        <w:rPr>
          <w:rStyle w:val="xeentry"/>
        </w:rPr>
        <w:instrText>Krishna: example</w:instrText>
      </w:r>
      <w:r>
        <w:instrText>"</w:instrText>
      </w:r>
      <w:r>
        <w:rPr>
          <w:rStyle w:val="indexentry"/>
        </w:rPr>
        <w:fldChar w:fldCharType="end"/>
      </w:r>
      <w:r>
        <w:rPr>
          <w:rStyle w:val="indexentry"/>
        </w:rPr>
        <w:t>&lt;ex "Khrushchev"&gt;</w:t>
      </w:r>
      <w:r>
        <w:rPr>
          <w:rStyle w:val="indexentry"/>
        </w:rPr>
        <w:fldChar w:fldCharType="begin"/>
      </w:r>
      <w:r>
        <w:instrText>xe "</w:instrText>
      </w:r>
      <w:r>
        <w:rPr>
          <w:rStyle w:val="xeentry"/>
        </w:rPr>
        <w:instrText>Khrushchev: example</w:instrText>
      </w:r>
      <w:r>
        <w:instrText>"</w:instrText>
      </w:r>
      <w:r>
        <w:rPr>
          <w:rStyle w:val="indexentry"/>
        </w:rPr>
        <w:fldChar w:fldCharType="end"/>
      </w:r>
      <w:r>
        <w:rPr>
          <w:rStyle w:val="indexentry"/>
        </w:rPr>
        <w:t>&lt;ex "Johnson"&gt;</w:t>
      </w:r>
      <w:r>
        <w:rPr>
          <w:rStyle w:val="indexentry"/>
        </w:rPr>
        <w:fldChar w:fldCharType="begin"/>
      </w:r>
      <w:r>
        <w:instrText>xe "</w:instrText>
      </w:r>
      <w:r>
        <w:rPr>
          <w:rStyle w:val="xeentry"/>
        </w:rPr>
        <w:instrText>Johnson: example</w:instrText>
      </w:r>
      <w:r>
        <w:instrText>"</w:instrText>
      </w:r>
      <w:r>
        <w:rPr>
          <w:rStyle w:val="indexentry"/>
        </w:rPr>
        <w:fldChar w:fldCharType="end"/>
      </w:r>
      <w:r>
        <w:rPr>
          <w:rStyle w:val="indexentry"/>
        </w:rPr>
        <w:t>&lt;ex "Fujiko"&gt;</w:t>
      </w:r>
      <w:r>
        <w:rPr>
          <w:rStyle w:val="indexentry"/>
        </w:rPr>
        <w:fldChar w:fldCharType="begin"/>
      </w:r>
      <w:r>
        <w:instrText>xe "</w:instrText>
      </w:r>
      <w:r>
        <w:rPr>
          <w:rStyle w:val="xeentry"/>
        </w:rPr>
        <w:instrText>Fujiko: example</w:instrText>
      </w:r>
      <w:r>
        <w:instrText>"</w:instrText>
      </w:r>
      <w:r>
        <w:rPr>
          <w:rStyle w:val="indexentry"/>
        </w:rPr>
        <w:fldChar w:fldCharType="end"/>
      </w:r>
      <w:r>
        <w:rPr>
          <w:rStyle w:val="indexentry"/>
        </w:rPr>
        <w:t>&lt;ex "Don Quixote"&gt;</w:t>
      </w:r>
      <w:r>
        <w:rPr>
          <w:rStyle w:val="indexentry"/>
        </w:rPr>
        <w:fldChar w:fldCharType="begin"/>
      </w:r>
      <w:r>
        <w:instrText>xe "</w:instrText>
      </w:r>
      <w:r>
        <w:rPr>
          <w:rStyle w:val="xeentry"/>
        </w:rPr>
        <w:instrText>Don Quixote: example</w:instrText>
      </w:r>
      <w:r>
        <w:instrText>"</w:instrText>
      </w:r>
      <w:r>
        <w:rPr>
          <w:rStyle w:val="indexentry"/>
        </w:rPr>
        <w:fldChar w:fldCharType="end"/>
      </w:r>
      <w:r>
        <w:rPr>
          <w:rStyle w:val="indexentry"/>
        </w:rPr>
        <w:t>&lt;ex "De Gaulle"&gt;</w:t>
      </w:r>
      <w:r>
        <w:rPr>
          <w:rStyle w:val="indexentry"/>
        </w:rPr>
        <w:fldChar w:fldCharType="begin"/>
      </w:r>
      <w:r>
        <w:instrText>xe "</w:instrText>
      </w:r>
      <w:r>
        <w:rPr>
          <w:rStyle w:val="xeentry"/>
        </w:rPr>
        <w:instrText>De Gaulle: example</w:instrText>
      </w:r>
      <w:r>
        <w:instrText>"</w:instrText>
      </w:r>
      <w:r>
        <w:rPr>
          <w:rStyle w:val="indexentry"/>
        </w:rPr>
        <w:fldChar w:fldCharType="end"/>
      </w:r>
      <w:r>
        <w:rPr>
          <w:rStyle w:val="htmlcodes"/>
        </w:rPr>
        <w:t>&lt;pre&gt;</w:t>
      </w:r>
      <w:r>
        <w:t xml:space="preserve"> </w:t>
      </w:r>
      <w:r>
        <w:tab/>
        <w:t>English “Mary”</w:t>
      </w:r>
      <w:r>
        <w:tab/>
      </w:r>
      <w:r>
        <w:tab/>
        <w:t>meris.</w:t>
      </w:r>
    </w:p>
    <w:p w:rsidR="00B72047" w:rsidRDefault="00B72047">
      <w:pPr>
        <w:pStyle w:val="examplegrouptabs"/>
      </w:pPr>
      <w:r>
        <w:tab/>
      </w:r>
      <w:r>
        <w:tab/>
      </w:r>
      <w:r>
        <w:tab/>
        <w:t>or</w:t>
      </w:r>
      <w:r>
        <w:tab/>
        <w:t>meiris.</w:t>
      </w:r>
    </w:p>
    <w:p w:rsidR="00B72047" w:rsidRDefault="00B72047">
      <w:pPr>
        <w:pStyle w:val="examplegrouptabs"/>
      </w:pPr>
      <w:r>
        <w:tab/>
        <w:t>English “Smith”</w:t>
      </w:r>
      <w:r>
        <w:tab/>
      </w:r>
      <w:r>
        <w:tab/>
        <w:t>smit.</w:t>
      </w:r>
    </w:p>
    <w:p w:rsidR="00B72047" w:rsidRDefault="00B72047">
      <w:pPr>
        <w:pStyle w:val="examplegrouptabs"/>
      </w:pPr>
      <w:r>
        <w:tab/>
        <w:t>English “Jones”</w:t>
      </w:r>
      <w:r>
        <w:tab/>
      </w:r>
      <w:r>
        <w:tab/>
        <w:t>djonz.</w:t>
      </w:r>
    </w:p>
    <w:p w:rsidR="00B72047" w:rsidRDefault="00B72047">
      <w:pPr>
        <w:pStyle w:val="examplegrouptabs"/>
      </w:pPr>
      <w:r>
        <w:tab/>
        <w:t>English “John”</w:t>
      </w:r>
      <w:r>
        <w:tab/>
      </w:r>
      <w:r>
        <w:tab/>
        <w:t>djan. or jan. (American)</w:t>
      </w:r>
    </w:p>
    <w:p w:rsidR="00B72047" w:rsidRDefault="00B72047">
      <w:pPr>
        <w:pStyle w:val="examplegrouptabs"/>
      </w:pPr>
      <w:r>
        <w:tab/>
      </w:r>
      <w:r>
        <w:tab/>
      </w:r>
      <w:r>
        <w:tab/>
        <w:t>or</w:t>
      </w:r>
      <w:r>
        <w:tab/>
        <w:t>djon. or jon. (British)</w:t>
      </w:r>
    </w:p>
    <w:p w:rsidR="00B72047" w:rsidRDefault="00B72047">
      <w:pPr>
        <w:pStyle w:val="examplegrouptabs"/>
      </w:pPr>
      <w:r>
        <w:tab/>
        <w:t>English “Alice”</w:t>
      </w:r>
      <w:r>
        <w:tab/>
      </w:r>
      <w:r>
        <w:tab/>
        <w:t>.alis.</w:t>
      </w:r>
    </w:p>
    <w:p w:rsidR="00B72047" w:rsidRDefault="00B72047">
      <w:pPr>
        <w:pStyle w:val="examplegrouptabs"/>
      </w:pPr>
      <w:r>
        <w:tab/>
        <w:t>English “Elise”</w:t>
      </w:r>
      <w:r>
        <w:tab/>
      </w:r>
      <w:r>
        <w:tab/>
        <w:t>.eLIS.</w:t>
      </w:r>
    </w:p>
    <w:p w:rsidR="00B72047" w:rsidRDefault="00B72047">
      <w:pPr>
        <w:pStyle w:val="examplegrouptabs"/>
      </w:pPr>
      <w:r>
        <w:tab/>
        <w:t>English “Johnson”</w:t>
      </w:r>
      <w:r>
        <w:tab/>
        <w:t>djansn.</w:t>
      </w:r>
    </w:p>
    <w:p w:rsidR="00B72047" w:rsidRDefault="00B72047">
      <w:pPr>
        <w:pStyle w:val="examplegrouptabs"/>
      </w:pPr>
      <w:r>
        <w:tab/>
        <w:t>English “William”</w:t>
      </w:r>
      <w:r>
        <w:tab/>
        <w:t>.uiliam.</w:t>
      </w:r>
    </w:p>
    <w:p w:rsidR="00B72047" w:rsidRDefault="00B72047">
      <w:pPr>
        <w:pStyle w:val="examplegrouptabs"/>
      </w:pPr>
      <w:r>
        <w:tab/>
      </w:r>
      <w:r>
        <w:tab/>
      </w:r>
      <w:r>
        <w:tab/>
        <w:t>or</w:t>
      </w:r>
      <w:r>
        <w:tab/>
        <w:t>.uil,iam.</w:t>
      </w:r>
    </w:p>
    <w:p w:rsidR="00B72047" w:rsidRDefault="00B72047">
      <w:pPr>
        <w:pStyle w:val="examplegrouptabs"/>
      </w:pPr>
      <w:r>
        <w:tab/>
        <w:t>English “Brown”</w:t>
      </w:r>
      <w:r>
        <w:tab/>
        <w:t>braun.</w:t>
      </w:r>
    </w:p>
    <w:p w:rsidR="00B72047" w:rsidRDefault="00B72047">
      <w:pPr>
        <w:pStyle w:val="examplegrouptabs"/>
      </w:pPr>
      <w:r>
        <w:tab/>
        <w:t>English “Charles”</w:t>
      </w:r>
      <w:r>
        <w:tab/>
        <w:t>tcarlz.</w:t>
      </w:r>
    </w:p>
    <w:p w:rsidR="00B72047" w:rsidRDefault="00B72047">
      <w:pPr>
        <w:pStyle w:val="examplegrouptabs"/>
      </w:pPr>
      <w:r>
        <w:tab/>
        <w:t>French “Charles”</w:t>
      </w:r>
      <w:r>
        <w:tab/>
        <w:t>carl.</w:t>
      </w:r>
    </w:p>
    <w:p w:rsidR="00B72047" w:rsidRDefault="00B72047">
      <w:pPr>
        <w:pStyle w:val="examplegrouptabs"/>
      </w:pPr>
      <w:r>
        <w:tab/>
        <w:t>French “De Gaulle”</w:t>
      </w:r>
      <w:r>
        <w:tab/>
        <w:t>dyGOL.</w:t>
      </w:r>
    </w:p>
    <w:p w:rsidR="00B72047" w:rsidRDefault="00B72047">
      <w:pPr>
        <w:pStyle w:val="examplegrouptabs"/>
      </w:pPr>
      <w:r>
        <w:tab/>
        <w:t>German “Heinrich”</w:t>
      </w:r>
      <w:r>
        <w:tab/>
        <w:t>xainrix.</w:t>
      </w:r>
    </w:p>
    <w:p w:rsidR="00B72047" w:rsidRDefault="00B72047">
      <w:pPr>
        <w:pStyle w:val="examplegrouptabs"/>
      </w:pPr>
      <w:r>
        <w:tab/>
        <w:t>Spanish “Joaquin”</w:t>
      </w:r>
      <w:r>
        <w:tab/>
        <w:t>xuaKIN.</w:t>
      </w:r>
    </w:p>
    <w:p w:rsidR="00B72047" w:rsidRDefault="00B72047">
      <w:pPr>
        <w:pStyle w:val="examplegrouptabs"/>
      </w:pPr>
      <w:r>
        <w:tab/>
        <w:t>Russian “Svetlana”</w:t>
      </w:r>
      <w:r>
        <w:tab/>
        <w:t>sfietlanys.</w:t>
      </w:r>
    </w:p>
    <w:p w:rsidR="00B72047" w:rsidRDefault="00B72047">
      <w:pPr>
        <w:pStyle w:val="examplegrouptabs"/>
      </w:pPr>
      <w:r>
        <w:tab/>
        <w:t>Russian “Khrushchev”</w:t>
      </w:r>
      <w:r>
        <w:tab/>
        <w:t>xrucTCOF.</w:t>
      </w:r>
    </w:p>
    <w:p w:rsidR="00B72047" w:rsidRDefault="00B72047">
      <w:pPr>
        <w:pStyle w:val="examplegrouptabs"/>
      </w:pPr>
      <w:r>
        <w:tab/>
        <w:t>Hindi “Krishna”</w:t>
      </w:r>
      <w:r>
        <w:tab/>
      </w:r>
      <w:r>
        <w:tab/>
        <w:t>kricnas.</w:t>
      </w:r>
    </w:p>
    <w:p w:rsidR="00B72047" w:rsidRDefault="00B72047">
      <w:pPr>
        <w:pStyle w:val="examplegrouptabs"/>
      </w:pPr>
      <w:r>
        <w:tab/>
        <w:t>Polish “Lech Walesa”</w:t>
      </w:r>
      <w:r>
        <w:tab/>
        <w:t>lex. va,uensas.</w:t>
      </w:r>
    </w:p>
    <w:p w:rsidR="00B72047" w:rsidRDefault="00B72047">
      <w:pPr>
        <w:pStyle w:val="examplegrouptabs"/>
      </w:pPr>
      <w:r>
        <w:tab/>
        <w:t>Spanish “Don Quixote”</w:t>
      </w:r>
      <w:r>
        <w:tab/>
        <w:t>don. kicotes.</w:t>
      </w:r>
    </w:p>
    <w:p w:rsidR="00B72047" w:rsidRDefault="00B72047">
      <w:pPr>
        <w:pStyle w:val="examplegrouptabs"/>
      </w:pPr>
      <w:r>
        <w:tab/>
        <w:t xml:space="preserve">     or modern Spanish:</w:t>
      </w:r>
      <w:r>
        <w:tab/>
        <w:t>don. kixotes.</w:t>
      </w:r>
    </w:p>
    <w:p w:rsidR="00B72047" w:rsidRDefault="00B72047">
      <w:pPr>
        <w:pStyle w:val="examplegrouptabs"/>
      </w:pPr>
      <w:r>
        <w:tab/>
        <w:t xml:space="preserve">     or Mexican dialect:</w:t>
      </w:r>
      <w:r>
        <w:tab/>
        <w:t>don. ki'otes.</w:t>
      </w:r>
    </w:p>
    <w:p w:rsidR="00B72047" w:rsidRDefault="00B72047">
      <w:pPr>
        <w:pStyle w:val="examplegrouptabs"/>
      </w:pPr>
      <w:r>
        <w:tab/>
        <w:t>Chinese “Mao Zedong”</w:t>
      </w:r>
      <w:r>
        <w:tab/>
        <w:t>maudzydyn.</w:t>
      </w:r>
    </w:p>
    <w:p w:rsidR="00B72047" w:rsidRDefault="00B72047">
      <w:pPr>
        <w:pStyle w:val="examplegrouptabs"/>
      </w:pPr>
      <w:r>
        <w:tab/>
        <w:t>Japanese “Fujiko”</w:t>
      </w:r>
      <w:r>
        <w:tab/>
        <w:t>fudjikos.</w:t>
      </w:r>
    </w:p>
    <w:p w:rsidR="00B72047" w:rsidRDefault="00B72047">
      <w:pPr>
        <w:pStyle w:val="examplegrouptabs"/>
      </w:pPr>
      <w:r>
        <w:tab/>
      </w:r>
      <w:r>
        <w:tab/>
      </w:r>
      <w:r>
        <w:tab/>
        <w:t>or</w:t>
      </w:r>
      <w:r>
        <w:tab/>
        <w:t>fujikos.</w:t>
      </w:r>
    </w:p>
    <w:p w:rsidR="00B72047" w:rsidRDefault="00B72047">
      <w:pPr>
        <w:pStyle w:val="Heading3"/>
        <w:rPr>
          <w:rStyle w:val="Heading3Text"/>
        </w:rPr>
      </w:pPr>
      <w:r>
        <w:rPr>
          <w:rStyle w:val="htmlcodes"/>
        </w:rPr>
        <w:t>&lt;/pre&gt;&lt;a name=s9&gt;&lt;h3&gt;</w:t>
      </w:r>
      <w:bookmarkStart w:id="171" w:name="_Toc395691507"/>
      <w:bookmarkStart w:id="172" w:name="_Toc398970478"/>
      <w:r>
        <w:rPr>
          <w:rStyle w:val="Heading3Text"/>
        </w:rPr>
        <w:t>Rules for inserting pauses</w:t>
      </w:r>
      <w:bookmarkEnd w:id="171"/>
      <w:bookmarkEnd w:id="17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"pauses, rules for"&gt;</w:t>
      </w:r>
      <w:r>
        <w:rPr>
          <w:rStyle w:val="indexentry"/>
        </w:rPr>
        <w:fldChar w:fldCharType="begin"/>
      </w:r>
      <w:r>
        <w:instrText>xe "</w:instrText>
      </w:r>
      <w:r>
        <w:rPr>
          <w:rStyle w:val="xeentry"/>
        </w:rPr>
        <w:instrText>pauses: rules for</w:instrText>
      </w:r>
      <w:r>
        <w:instrText>"</w:instrText>
      </w:r>
      <w:r>
        <w:rPr>
          <w:rStyle w:val="indexentry"/>
        </w:rPr>
        <w:fldChar w:fldCharType="end"/>
      </w:r>
      <w:r>
        <w:t>Summarized in one place, here are the rules for inserting pauses between</w:t>
      </w:r>
      <w:r>
        <w:rPr>
          <w:rStyle w:val="deletedparamark"/>
        </w:rPr>
        <w:t xml:space="preserve"> </w:t>
      </w:r>
      <w:r>
        <w:t>Loj</w:t>
      </w:r>
      <w:r>
        <w:softHyphen/>
        <w:t>ban words: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"pause, proscribed within words"&gt;</w:t>
      </w:r>
      <w:r>
        <w:rPr>
          <w:rStyle w:val="indexentry"/>
        </w:rPr>
        <w:fldChar w:fldCharType="begin"/>
      </w:r>
      <w:r>
        <w:instrText>xe "</w:instrText>
      </w:r>
      <w:r>
        <w:rPr>
          <w:rStyle w:val="xeentry"/>
        </w:rPr>
        <w:instrText>pause: proscribed within words</w:instrText>
      </w:r>
      <w:r>
        <w:instrText>"</w:instrText>
      </w:r>
      <w:r>
        <w:rPr>
          <w:rStyle w:val="indexentry"/>
        </w:rPr>
        <w:fldChar w:fldCharType="end"/>
      </w:r>
      <w:r>
        <w:rPr>
          <w:rStyle w:val="indexentry"/>
        </w:rPr>
        <w:t>&lt;cx "pause, between words"&gt;</w:t>
      </w:r>
      <w:r>
        <w:rPr>
          <w:rStyle w:val="indexentry"/>
        </w:rPr>
        <w:fldChar w:fldCharType="begin"/>
      </w:r>
      <w:r>
        <w:instrText>xe "</w:instrText>
      </w:r>
      <w:r>
        <w:rPr>
          <w:rStyle w:val="xeentry"/>
        </w:rPr>
        <w:instrText>pause: between words</w:instrText>
      </w:r>
      <w:r>
        <w:instrText>"</w:instrText>
      </w:r>
      <w:r>
        <w:rPr>
          <w:rStyle w:val="indexentry"/>
        </w:rPr>
        <w:fldChar w:fldCharType="end"/>
      </w:r>
      <w:r>
        <w:rPr>
          <w:rStyle w:val="htmlcodes"/>
        </w:rPr>
        <w:t>&lt;dl compact&gt;&lt;dt&gt;</w:t>
      </w:r>
      <w:r>
        <w:t>1)</w:t>
      </w:r>
      <w:r>
        <w:tab/>
      </w:r>
      <w:r>
        <w:rPr>
          <w:rStyle w:val="htmlcodes"/>
        </w:rPr>
        <w:t>&lt;dd&gt;</w:t>
      </w:r>
      <w:r>
        <w:t>Any two words may have a pause between them; it is al</w:t>
      </w:r>
      <w:r>
        <w:softHyphen/>
        <w:t>ways illegal to pause in the middle of a word, because that breaks up the word into two words.</w:t>
      </w:r>
    </w:p>
    <w:p w:rsidR="00B72047" w:rsidRDefault="00B72047" w:rsidP="007E67C1">
      <w:pPr>
        <w:pStyle w:val="Listnobullets"/>
        <w:numPr>
          <w:ilvl w:val="0"/>
          <w:numId w:val="0"/>
        </w:numPr>
        <w:ind w:left="864" w:hanging="504"/>
      </w:pPr>
      <w:r>
        <w:rPr>
          <w:rStyle w:val="htmlcodes"/>
        </w:rPr>
        <w:t>&lt;/dl&gt;</w:t>
      </w:r>
      <w:r>
        <w:rPr>
          <w:rStyle w:val="indexentry"/>
        </w:rPr>
        <w:t>&lt;cx "consonant-final words, necessity for pause after"&gt;</w:t>
      </w:r>
      <w:r>
        <w:rPr>
          <w:rStyle w:val="indexentry"/>
        </w:rPr>
        <w:fldChar w:fldCharType="begin"/>
      </w:r>
      <w:r>
        <w:instrText>xe "</w:instrText>
      </w:r>
      <w:r>
        <w:rPr>
          <w:rStyle w:val="xeentry"/>
        </w:rPr>
        <w:instrText>consonant-final words: necessity for pause after</w:instrText>
      </w:r>
      <w:r>
        <w:instrText>"</w:instrText>
      </w:r>
      <w:r>
        <w:rPr>
          <w:rStyle w:val="indexentry"/>
        </w:rPr>
        <w:fldChar w:fldCharType="end"/>
      </w:r>
      <w:r>
        <w:rPr>
          <w:rStyle w:val="indexentry"/>
        </w:rPr>
        <w:t>&lt;cx "pause, and consonant-final words"&gt;</w:t>
      </w:r>
      <w:r>
        <w:rPr>
          <w:rStyle w:val="indexentry"/>
        </w:rPr>
        <w:fldChar w:fldCharType="begin"/>
      </w:r>
      <w:r>
        <w:instrText>xe "</w:instrText>
      </w:r>
      <w:r>
        <w:rPr>
          <w:rStyle w:val="xeentry"/>
        </w:rPr>
        <w:instrText>pause: and consonant-final words</w:instrText>
      </w:r>
      <w:r>
        <w:instrText>"</w:instrText>
      </w:r>
      <w:r>
        <w:rPr>
          <w:rStyle w:val="indexentry"/>
        </w:rPr>
        <w:fldChar w:fldCharType="end"/>
      </w:r>
      <w:r>
        <w:rPr>
          <w:rStyle w:val="htmlcodes"/>
        </w:rPr>
        <w:t>&lt;dl compact&gt;&lt;dt&gt;</w:t>
      </w:r>
      <w:r>
        <w:t>2)</w:t>
      </w:r>
      <w:r>
        <w:tab/>
      </w:r>
      <w:r>
        <w:rPr>
          <w:rStyle w:val="htmlcodes"/>
        </w:rPr>
        <w:t>&lt;dd&gt;</w:t>
      </w:r>
      <w:r>
        <w:t>Every word ending in a consonant must be followed by a pause. Necessarily, all such words are cmene.</w:t>
      </w:r>
    </w:p>
    <w:p w:rsidR="00B72047" w:rsidRDefault="00B72047" w:rsidP="007E67C1">
      <w:pPr>
        <w:pStyle w:val="Listnobullets"/>
        <w:numPr>
          <w:ilvl w:val="0"/>
          <w:numId w:val="0"/>
        </w:numPr>
        <w:ind w:left="864" w:hanging="504"/>
      </w:pPr>
      <w:r>
        <w:rPr>
          <w:rStyle w:val="htmlcodes"/>
        </w:rPr>
        <w:t>&lt;/dl&gt;</w:t>
      </w:r>
      <w:r>
        <w:rPr>
          <w:rStyle w:val="indexentry"/>
        </w:rPr>
        <w:t>&lt;cx "vowel-initial words, necessity for pause before"&gt;</w:t>
      </w:r>
      <w:r>
        <w:rPr>
          <w:rStyle w:val="indexentry"/>
        </w:rPr>
        <w:fldChar w:fldCharType="begin"/>
      </w:r>
      <w:r>
        <w:instrText>xe "</w:instrText>
      </w:r>
      <w:r>
        <w:rPr>
          <w:rStyle w:val="xeentry"/>
        </w:rPr>
        <w:instrText>vowel-initial words: necessity for pause before</w:instrText>
      </w:r>
      <w:r>
        <w:instrText>"</w:instrText>
      </w:r>
      <w:r>
        <w:rPr>
          <w:rStyle w:val="indexentry"/>
        </w:rPr>
        <w:fldChar w:fldCharType="end"/>
      </w:r>
      <w:r>
        <w:rPr>
          <w:rStyle w:val="indexentry"/>
        </w:rPr>
        <w:t>&lt;cx "pause, and vowel-initial words"&gt;</w:t>
      </w:r>
      <w:r>
        <w:rPr>
          <w:rStyle w:val="indexentry"/>
        </w:rPr>
        <w:fldChar w:fldCharType="begin"/>
      </w:r>
      <w:r>
        <w:instrText>xe "</w:instrText>
      </w:r>
      <w:r>
        <w:rPr>
          <w:rStyle w:val="xeentry"/>
        </w:rPr>
        <w:instrText>pause: and vowel-initial words</w:instrText>
      </w:r>
      <w:r>
        <w:instrText>"</w:instrText>
      </w:r>
      <w:r>
        <w:rPr>
          <w:rStyle w:val="indexentry"/>
        </w:rPr>
        <w:fldChar w:fldCharType="end"/>
      </w:r>
      <w:r>
        <w:rPr>
          <w:rStyle w:val="htmlcodes"/>
        </w:rPr>
        <w:t>&lt;dl compact&gt;&lt;dt&gt;</w:t>
      </w:r>
      <w:r>
        <w:t>3)</w:t>
      </w:r>
      <w:r>
        <w:tab/>
      </w:r>
      <w:r>
        <w:rPr>
          <w:rStyle w:val="htmlcodes"/>
        </w:rPr>
        <w:t>&lt;dd&gt;</w:t>
      </w:r>
      <w:r>
        <w:t>Every word beginning with a vowel must be preceded by a pause. Such words are either cmavo, fu'ivla, or cmene; all gismu and lujvo begin with conso</w:t>
      </w:r>
      <w:r>
        <w:softHyphen/>
        <w:t>nants.</w:t>
      </w:r>
    </w:p>
    <w:p w:rsidR="00B72047" w:rsidRDefault="00B72047" w:rsidP="007E67C1">
      <w:pPr>
        <w:pStyle w:val="Listnobullets"/>
        <w:numPr>
          <w:ilvl w:val="0"/>
          <w:numId w:val="0"/>
        </w:numPr>
        <w:ind w:left="864" w:hanging="504"/>
      </w:pPr>
      <w:r>
        <w:rPr>
          <w:rStyle w:val="htmlcodes"/>
        </w:rPr>
        <w:t>&lt;/dl&gt;</w:t>
      </w:r>
      <w:r>
        <w:rPr>
          <w:rStyle w:val="indexentry"/>
        </w:rPr>
        <w:t>&lt;cx "cmene, rules for pause before"&gt;</w:t>
      </w:r>
      <w:r>
        <w:rPr>
          <w:rStyle w:val="indexentry"/>
        </w:rPr>
        <w:fldChar w:fldCharType="begin"/>
      </w:r>
      <w:r>
        <w:instrText>xe "</w:instrText>
      </w:r>
      <w:r>
        <w:rPr>
          <w:rStyle w:val="xeentry"/>
        </w:rPr>
        <w:instrText>cmene: rules for pause before</w:instrText>
      </w:r>
      <w:r>
        <w:instrText>"</w:instrText>
      </w:r>
      <w:r>
        <w:rPr>
          <w:rStyle w:val="indexentry"/>
        </w:rPr>
        <w:fldChar w:fldCharType="end"/>
      </w:r>
      <w:r>
        <w:rPr>
          <w:rStyle w:val="indexentry"/>
        </w:rPr>
        <w:t>&lt;cx "pause, and cmene"&gt;</w:t>
      </w:r>
      <w:r>
        <w:rPr>
          <w:rStyle w:val="indexentry"/>
        </w:rPr>
        <w:fldChar w:fldCharType="begin"/>
      </w:r>
      <w:r>
        <w:instrText>xe "</w:instrText>
      </w:r>
      <w:r>
        <w:rPr>
          <w:rStyle w:val="xeentry"/>
        </w:rPr>
        <w:instrText>pause: and cmene</w:instrText>
      </w:r>
      <w:r>
        <w:instrText>"</w:instrText>
      </w:r>
      <w:r>
        <w:rPr>
          <w:rStyle w:val="indexentry"/>
        </w:rPr>
        <w:fldChar w:fldCharType="end"/>
      </w:r>
      <w:r>
        <w:rPr>
          <w:rStyle w:val="htmlcodes"/>
        </w:rPr>
        <w:t>&lt;dl compact&gt;&lt;dt&gt;</w:t>
      </w:r>
      <w:r>
        <w:t>4)</w:t>
      </w:r>
      <w:r>
        <w:tab/>
      </w:r>
      <w:r>
        <w:rPr>
          <w:rStyle w:val="htmlcodes"/>
        </w:rPr>
        <w:t>&lt;dd&gt;</w:t>
      </w:r>
      <w:r>
        <w:t>Every cmene must be preceded by a pause, unless the im</w:t>
      </w:r>
      <w:r>
        <w:softHyphen/>
        <w:t>mediately preceding word is one of the cmavo “la”, “lai”, “la'i”, or “doi” (which is why those strings are forbidden in cmene). How</w:t>
      </w:r>
      <w:r>
        <w:softHyphen/>
        <w:t>ever, the situation triggering this rule rarely occurs.</w:t>
      </w:r>
    </w:p>
    <w:p w:rsidR="00B72047" w:rsidRDefault="00B72047" w:rsidP="007E67C1">
      <w:pPr>
        <w:pStyle w:val="Listnobullets"/>
        <w:numPr>
          <w:ilvl w:val="0"/>
          <w:numId w:val="0"/>
        </w:numPr>
        <w:ind w:left="864" w:hanging="504"/>
      </w:pPr>
      <w:r>
        <w:rPr>
          <w:rStyle w:val="htmlcodes"/>
        </w:rPr>
        <w:t>&lt;/dl&gt;</w:t>
      </w:r>
      <w:r>
        <w:rPr>
          <w:rStyle w:val="indexentry"/>
        </w:rPr>
        <w:t>&lt;cx "stress, final syllable, rules for pause after"&gt;</w:t>
      </w:r>
      <w:r>
        <w:rPr>
          <w:rStyle w:val="indexentry"/>
        </w:rPr>
        <w:fldChar w:fldCharType="begin"/>
      </w:r>
      <w:r>
        <w:instrText>xe "</w:instrText>
      </w:r>
      <w:r>
        <w:rPr>
          <w:rStyle w:val="xeentry"/>
        </w:rPr>
        <w:instrText>stress: final syllable, rules for pause after</w:instrText>
      </w:r>
      <w:r>
        <w:instrText>"</w:instrText>
      </w:r>
      <w:r>
        <w:rPr>
          <w:rStyle w:val="indexentry"/>
        </w:rPr>
        <w:fldChar w:fldCharType="end"/>
      </w:r>
      <w:r>
        <w:rPr>
          <w:rStyle w:val="indexentry"/>
        </w:rPr>
        <w:t>&lt;cx "final syllable stress, rules for pause after"&gt;</w:t>
      </w:r>
      <w:r>
        <w:rPr>
          <w:rStyle w:val="indexentry"/>
        </w:rPr>
        <w:fldChar w:fldCharType="begin"/>
      </w:r>
      <w:r>
        <w:instrText>xe "</w:instrText>
      </w:r>
      <w:r>
        <w:rPr>
          <w:rStyle w:val="xeentry"/>
        </w:rPr>
        <w:instrText>final syllable stress: rules for pause after</w:instrText>
      </w:r>
      <w:r>
        <w:instrText>"</w:instrText>
      </w:r>
      <w:r>
        <w:rPr>
          <w:rStyle w:val="indexentry"/>
        </w:rPr>
        <w:fldChar w:fldCharType="end"/>
      </w:r>
      <w:r>
        <w:rPr>
          <w:rStyle w:val="indexentry"/>
        </w:rPr>
        <w:t>&lt;cx "pause, and final-syllable stress"&gt;</w:t>
      </w:r>
      <w:r>
        <w:rPr>
          <w:rStyle w:val="indexentry"/>
        </w:rPr>
        <w:fldChar w:fldCharType="begin"/>
      </w:r>
      <w:r>
        <w:instrText>xe "</w:instrText>
      </w:r>
      <w:r>
        <w:rPr>
          <w:rStyle w:val="xeentry"/>
        </w:rPr>
        <w:instrText>pause: and final-syllable stress</w:instrText>
      </w:r>
      <w:r>
        <w:instrText>"</w:instrText>
      </w:r>
      <w:r>
        <w:rPr>
          <w:rStyle w:val="indexentry"/>
        </w:rPr>
        <w:fldChar w:fldCharType="end"/>
      </w:r>
      <w:r>
        <w:rPr>
          <w:rStyle w:val="htmlcodes"/>
        </w:rPr>
        <w:t>&lt;dl compact&gt;&lt;dt&gt;</w:t>
      </w:r>
      <w:r>
        <w:t>5)</w:t>
      </w:r>
      <w:r>
        <w:tab/>
      </w:r>
      <w:r>
        <w:rPr>
          <w:rStyle w:val="htmlcodes"/>
        </w:rPr>
        <w:t>&lt;dd&gt;</w:t>
      </w:r>
      <w:r>
        <w:t>If the last syllable of a word bears the stress, and a brivla follows, the two must be separated by a pause, to prevent confu</w:t>
      </w:r>
      <w:r>
        <w:softHyphen/>
        <w:t>sion with the primary stress of the brivla. In this case, the first word must be either a cmavo or a cmene with unusual stress (which already ends with a pause, of course).</w:t>
      </w:r>
    </w:p>
    <w:p w:rsidR="00B72047" w:rsidRDefault="00B72047" w:rsidP="007E67C1">
      <w:pPr>
        <w:pStyle w:val="Listnobullets"/>
        <w:numPr>
          <w:ilvl w:val="0"/>
          <w:numId w:val="0"/>
        </w:numPr>
        <w:ind w:left="864" w:hanging="504"/>
      </w:pPr>
      <w:r>
        <w:rPr>
          <w:rStyle w:val="htmlcodes"/>
        </w:rPr>
        <w:t>&lt;/dl&gt;</w:t>
      </w:r>
      <w:r>
        <w:rPr>
          <w:rStyle w:val="indexentry"/>
        </w:rPr>
        <w:t>&lt;cx "“Cy”-form cmavo, rules for pause after"&gt;</w:t>
      </w:r>
      <w:r>
        <w:rPr>
          <w:rStyle w:val="indexentry"/>
        </w:rPr>
        <w:fldChar w:fldCharType="begin"/>
      </w:r>
      <w:r>
        <w:instrText>xe "</w:instrText>
      </w:r>
      <w:r>
        <w:rPr>
          <w:rStyle w:val="xeentry"/>
        </w:rPr>
        <w:instrText>Cy-form cmavo: rules for pause after</w:instrText>
      </w:r>
      <w:r>
        <w:instrText>"</w:instrText>
      </w:r>
      <w:r>
        <w:rPr>
          <w:rStyle w:val="indexentry"/>
        </w:rPr>
        <w:fldChar w:fldCharType="end"/>
      </w:r>
      <w:r>
        <w:rPr>
          <w:rStyle w:val="indexentry"/>
        </w:rPr>
        <w:t>&lt;cx "cmavo, rules for pause after “Cy”-form"&gt;</w:t>
      </w:r>
      <w:r>
        <w:rPr>
          <w:rStyle w:val="indexentry"/>
        </w:rPr>
        <w:fldChar w:fldCharType="begin"/>
      </w:r>
      <w:r>
        <w:instrText>xe "</w:instrText>
      </w:r>
      <w:r>
        <w:rPr>
          <w:rStyle w:val="xeentry"/>
        </w:rPr>
        <w:instrText>cmavo: rules for pause after Cy-form</w:instrText>
      </w:r>
      <w:r>
        <w:instrText>"</w:instrText>
      </w:r>
      <w:r>
        <w:rPr>
          <w:rStyle w:val="indexentry"/>
        </w:rPr>
        <w:fldChar w:fldCharType="end"/>
      </w:r>
      <w:r>
        <w:rPr>
          <w:rStyle w:val="indexentry"/>
        </w:rPr>
        <w:t>&lt;cx "pause, and “Cy”-form cmavo"&gt;</w:t>
      </w:r>
      <w:r>
        <w:rPr>
          <w:rStyle w:val="indexentry"/>
        </w:rPr>
        <w:fldChar w:fldCharType="begin"/>
      </w:r>
      <w:r>
        <w:instrText>xe "</w:instrText>
      </w:r>
      <w:r>
        <w:rPr>
          <w:rStyle w:val="xeentry"/>
        </w:rPr>
        <w:instrText>pause: and Cy-form cmavo</w:instrText>
      </w:r>
      <w:r>
        <w:instrText>"</w:instrText>
      </w:r>
      <w:r>
        <w:rPr>
          <w:rStyle w:val="indexentry"/>
        </w:rPr>
        <w:fldChar w:fldCharType="end"/>
      </w:r>
      <w:r>
        <w:rPr>
          <w:rStyle w:val="htmlcodes"/>
        </w:rPr>
        <w:t>&lt;dl compact&gt;&lt;dt&gt;</w:t>
      </w:r>
      <w:r>
        <w:t>6)</w:t>
      </w:r>
      <w:r>
        <w:tab/>
      </w:r>
      <w:r>
        <w:rPr>
          <w:rStyle w:val="htmlcodes"/>
        </w:rPr>
        <w:t>&lt;dd&gt;</w:t>
      </w:r>
      <w:r>
        <w:t>A cmavo of the form “Cy” must be followed by a pause un</w:t>
      </w:r>
      <w:r>
        <w:softHyphen/>
        <w:t>less another “Cy”-form cmavo follows.</w:t>
      </w:r>
    </w:p>
    <w:p w:rsidR="00B72047" w:rsidRDefault="00B72047" w:rsidP="007E67C1">
      <w:pPr>
        <w:pStyle w:val="Listnobullets"/>
        <w:numPr>
          <w:ilvl w:val="0"/>
          <w:numId w:val="0"/>
        </w:numPr>
        <w:ind w:left="864" w:hanging="504"/>
      </w:pPr>
      <w:r>
        <w:rPr>
          <w:rStyle w:val="htmlcodes"/>
        </w:rPr>
        <w:t>&lt;/dl&gt;</w:t>
      </w:r>
      <w:r>
        <w:rPr>
          <w:rStyle w:val="indexentry"/>
        </w:rPr>
        <w:t>&lt;cx "pause, and non-Lojban text"&gt;</w:t>
      </w:r>
      <w:r>
        <w:rPr>
          <w:rStyle w:val="indexentry"/>
        </w:rPr>
        <w:fldChar w:fldCharType="begin"/>
      </w:r>
      <w:r>
        <w:instrText>xe "</w:instrText>
      </w:r>
      <w:r>
        <w:rPr>
          <w:rStyle w:val="xeentry"/>
        </w:rPr>
        <w:instrText>pause: and non-Lojban text</w:instrText>
      </w:r>
      <w:r>
        <w:instrText>"</w:instrText>
      </w:r>
      <w:r>
        <w:rPr>
          <w:rStyle w:val="indexentry"/>
        </w:rPr>
        <w:fldChar w:fldCharType="end"/>
      </w:r>
      <w:r>
        <w:rPr>
          <w:rStyle w:val="indexentry"/>
        </w:rPr>
        <w:t>&lt;cx "non-Lojban text, rules for pause with"&gt;</w:t>
      </w:r>
      <w:r>
        <w:rPr>
          <w:rStyle w:val="indexentry"/>
        </w:rPr>
        <w:fldChar w:fldCharType="begin"/>
      </w:r>
      <w:r>
        <w:instrText>xe "</w:instrText>
      </w:r>
      <w:r>
        <w:rPr>
          <w:rStyle w:val="xeentry"/>
        </w:rPr>
        <w:instrText>non-Lojban text: rules for pause with</w:instrText>
      </w:r>
      <w:r>
        <w:instrText>"</w:instrText>
      </w:r>
      <w:r>
        <w:rPr>
          <w:rStyle w:val="indexentry"/>
        </w:rPr>
        <w:fldChar w:fldCharType="end"/>
      </w:r>
      <w:r>
        <w:rPr>
          <w:rStyle w:val="htmlcodes"/>
        </w:rPr>
        <w:t>&lt;dl compact&gt;&lt;dt&gt;</w:t>
      </w:r>
      <w:r>
        <w:t>7)</w:t>
      </w:r>
      <w:r>
        <w:tab/>
      </w:r>
      <w:r>
        <w:rPr>
          <w:rStyle w:val="htmlcodes"/>
        </w:rPr>
        <w:t>&lt;dd&gt;</w:t>
      </w:r>
      <w:r>
        <w:t>When non-Lojban text is embedded in Lojban, it must be pre</w:t>
      </w:r>
      <w:r>
        <w:softHyphen/>
        <w:t>ceded and fol</w:t>
      </w:r>
      <w:r>
        <w:softHyphen/>
        <w:t xml:space="preserve">lowed by pauses. (How to embed non-Lojban text is explained in </w:t>
      </w:r>
      <w:r>
        <w:rPr>
          <w:rStyle w:val="htmlcodes"/>
        </w:rPr>
        <w:t>&lt;a href=chap19.html&gt;</w:t>
      </w:r>
      <w:r>
        <w:t>Chapter 19</w:t>
      </w:r>
      <w:r>
        <w:rPr>
          <w:rStyle w:val="htmlcodes"/>
        </w:rPr>
        <w:t>&lt;/a&gt;</w:t>
      </w:r>
      <w:r>
        <w:t>.)</w:t>
      </w:r>
    </w:p>
    <w:p w:rsidR="00B72047" w:rsidRDefault="00B72047">
      <w:pPr>
        <w:pStyle w:val="Heading3"/>
        <w:rPr>
          <w:rStyle w:val="Heading3Text"/>
        </w:rPr>
      </w:pPr>
      <w:r>
        <w:rPr>
          <w:rStyle w:val="htmlcodes"/>
        </w:rPr>
        <w:t>&lt;/dl&gt;&lt;a name=s10&gt;&lt;h3&gt;</w:t>
      </w:r>
      <w:bookmarkStart w:id="173" w:name="_Toc395691508"/>
      <w:bookmarkStart w:id="174" w:name="_Toc398970479"/>
      <w:r>
        <w:rPr>
          <w:rStyle w:val="Heading3Text"/>
        </w:rPr>
        <w:t>Considerations for making lujvo</w:t>
      </w:r>
      <w:bookmarkEnd w:id="173"/>
      <w:bookmarkEnd w:id="174"/>
      <w:r>
        <w:rPr>
          <w:rStyle w:val="htmlcodes"/>
        </w:rPr>
        <w:t>&lt;/h3&gt;</w:t>
      </w:r>
    </w:p>
    <w:p w:rsidR="00B72047" w:rsidRDefault="00B72047">
      <w:pPr>
        <w:rPr>
          <w:rStyle w:val="htmlparacode"/>
        </w:rPr>
      </w:pPr>
      <w:r>
        <w:rPr>
          <w:rStyle w:val="htmlparacode"/>
        </w:rPr>
        <w:t>&lt;p&gt;</w:t>
      </w:r>
    </w:p>
    <w:p w:rsidR="00B72047" w:rsidRDefault="00B72047">
      <w:pPr>
        <w:pStyle w:val="normalparagraph"/>
      </w:pPr>
      <w:r>
        <w:t>Given a tanru which expresses an idea to be used frequently, it can be</w:t>
      </w:r>
      <w:r>
        <w:rPr>
          <w:rStyle w:val="deletedparamark"/>
        </w:rPr>
        <w:t xml:space="preserve"> </w:t>
      </w:r>
      <w:r>
        <w:t>turned into a lujvo by following the lujvo-making algorithm which is</w:t>
      </w:r>
      <w:r>
        <w:rPr>
          <w:rStyle w:val="deletedparamark"/>
        </w:rPr>
        <w:t xml:space="preserve"> </w:t>
      </w:r>
      <w:r>
        <w:t xml:space="preserve">given in </w:t>
      </w:r>
      <w:r>
        <w:rPr>
          <w:rStyle w:val="htmlcodes"/>
        </w:rPr>
        <w:t>&lt;a href=#s11&gt;</w:t>
      </w:r>
      <w:r>
        <w:t>Section 11</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In building a lujvo, the first step is to replace each gismu with a</w:t>
      </w:r>
      <w:r>
        <w:rPr>
          <w:rStyle w:val="deletedparamark"/>
        </w:rPr>
        <w:t xml:space="preserve"> </w:t>
      </w:r>
      <w:r>
        <w:t>rafsi that uniquely represents that gismu. These rafsi are then</w:t>
      </w:r>
      <w:r>
        <w:rPr>
          <w:rStyle w:val="deletedparamark"/>
        </w:rPr>
        <w:t xml:space="preserve"> </w:t>
      </w:r>
      <w:r>
        <w:t>at</w:t>
      </w:r>
      <w:r>
        <w:softHyphen/>
        <w:t>tached together by fixed rules that allow the resulting compound to be</w:t>
      </w:r>
      <w:r>
        <w:rPr>
          <w:rStyle w:val="deletedparamark"/>
        </w:rPr>
        <w:t xml:space="preserve"> </w:t>
      </w:r>
      <w:r>
        <w:t>recognized as a single word and to be analyzed in only one way.</w:t>
      </w:r>
    </w:p>
    <w:p w:rsidR="00B72047" w:rsidRDefault="00B72047">
      <w:pPr>
        <w:rPr>
          <w:rStyle w:val="htmlparacode"/>
        </w:rPr>
      </w:pPr>
      <w:r>
        <w:rPr>
          <w:rStyle w:val="htmlparacode"/>
        </w:rPr>
        <w:t>&lt;p&gt;</w:t>
      </w:r>
    </w:p>
    <w:p w:rsidR="00B72047" w:rsidRDefault="00B72047">
      <w:pPr>
        <w:pStyle w:val="normalparagraph"/>
      </w:pPr>
      <w:r>
        <w:t>There are three other complications; only one is serious.</w:t>
      </w:r>
    </w:p>
    <w:p w:rsidR="00B72047" w:rsidRDefault="00B72047">
      <w:pPr>
        <w:rPr>
          <w:rStyle w:val="htmlparacode"/>
        </w:rPr>
      </w:pPr>
      <w:r>
        <w:rPr>
          <w:rStyle w:val="htmlparacode"/>
        </w:rPr>
        <w:t>&lt;p&gt;</w:t>
      </w:r>
    </w:p>
    <w:p w:rsidR="00B72047" w:rsidRDefault="00B72047">
      <w:pPr>
        <w:pStyle w:val="normalparagraph"/>
      </w:pPr>
      <w:r>
        <w:rPr>
          <w:rStyle w:val="indexentry"/>
        </w:rPr>
        <w:t>&lt;cx "rafsi, multiple for each gismu"&gt;</w:t>
      </w:r>
      <w:r>
        <w:rPr>
          <w:rStyle w:val="indexentry"/>
        </w:rPr>
        <w:fldChar w:fldCharType="begin"/>
      </w:r>
      <w:r>
        <w:instrText>xe "</w:instrText>
      </w:r>
      <w:r>
        <w:rPr>
          <w:rStyle w:val="xeentry"/>
        </w:rPr>
        <w:instrText>rafsi: multiple for each gismu</w:instrText>
      </w:r>
      <w:r>
        <w:instrText>"</w:instrText>
      </w:r>
      <w:r>
        <w:rPr>
          <w:rStyle w:val="indexentry"/>
        </w:rPr>
        <w:fldChar w:fldCharType="end"/>
      </w:r>
      <w:r>
        <w:t>The first is that there is usually more than one rafsi that can be used</w:t>
      </w:r>
      <w:r>
        <w:rPr>
          <w:rStyle w:val="deletedparamark"/>
        </w:rPr>
        <w:t xml:space="preserve"> </w:t>
      </w:r>
      <w:r>
        <w:t>for each gismu. The one to be used is simply whichever one sounds or looks</w:t>
      </w:r>
      <w:r>
        <w:rPr>
          <w:rStyle w:val="deletedparamark"/>
        </w:rPr>
        <w:t xml:space="preserve"> </w:t>
      </w:r>
      <w:r>
        <w:t>best to the speaker or writer. There are usually many valid combinations of</w:t>
      </w:r>
      <w:r>
        <w:rPr>
          <w:rStyle w:val="deletedparamark"/>
        </w:rPr>
        <w:t xml:space="preserve"> </w:t>
      </w:r>
      <w:r>
        <w:t>possible rafsi. They all are equally valid, and all of them mean exactly the</w:t>
      </w:r>
      <w:r>
        <w:rPr>
          <w:rStyle w:val="deletedparamark"/>
        </w:rPr>
        <w:t xml:space="preserve"> </w:t>
      </w:r>
      <w:r>
        <w:t xml:space="preserve">same thing. (The scoring algorithm given in </w:t>
      </w:r>
      <w:r>
        <w:rPr>
          <w:rStyle w:val="htmlcodes"/>
        </w:rPr>
        <w:t>&lt;a href=#s12&gt;</w:t>
      </w:r>
      <w:r>
        <w:t xml:space="preserve">Section 12 </w:t>
      </w:r>
      <w:r>
        <w:rPr>
          <w:rStyle w:val="htmlcodes"/>
        </w:rPr>
        <w:t>&lt;/a&gt;</w:t>
      </w:r>
      <w:r>
        <w:t>is used to choose the</w:t>
      </w:r>
      <w:r>
        <w:rPr>
          <w:rStyle w:val="deletedparamark"/>
        </w:rPr>
        <w:t xml:space="preserve"> </w:t>
      </w:r>
      <w:r>
        <w:t>standard form of the lujvo — the version which would be entered into a</w:t>
      </w:r>
      <w:r>
        <w:rPr>
          <w:rStyle w:val="deletedparamark"/>
        </w:rPr>
        <w:t xml:space="preserve"> </w:t>
      </w:r>
      <w:r>
        <w:t>dictionary.)</w:t>
      </w:r>
    </w:p>
    <w:p w:rsidR="00B72047" w:rsidRDefault="00B72047">
      <w:pPr>
        <w:rPr>
          <w:rStyle w:val="htmlparacode"/>
        </w:rPr>
      </w:pPr>
      <w:r>
        <w:rPr>
          <w:rStyle w:val="htmlparacode"/>
        </w:rPr>
        <w:t>&lt;p&gt;</w:t>
      </w:r>
    </w:p>
    <w:p w:rsidR="00B72047" w:rsidRDefault="00B72047">
      <w:pPr>
        <w:pStyle w:val="normalparagraph"/>
      </w:pPr>
      <w:r>
        <w:rPr>
          <w:rStyle w:val="indexentry"/>
        </w:rPr>
        <w:t>&lt;cx "lujvo, unambiguity of"&gt;</w:t>
      </w:r>
      <w:r>
        <w:rPr>
          <w:rStyle w:val="indexentry"/>
        </w:rPr>
        <w:fldChar w:fldCharType="begin"/>
      </w:r>
      <w:r>
        <w:instrText>xe "</w:instrText>
      </w:r>
      <w:r>
        <w:rPr>
          <w:rStyle w:val="xeentry"/>
        </w:rPr>
        <w:instrText>lujvo: unambiguity of</w:instrText>
      </w:r>
      <w:r>
        <w:instrText>"</w:instrText>
      </w:r>
      <w:r>
        <w:rPr>
          <w:rStyle w:val="indexentry"/>
        </w:rPr>
        <w:fldChar w:fldCharType="end"/>
      </w:r>
      <w:r>
        <w:rPr>
          <w:rStyle w:val="indexentry"/>
        </w:rPr>
        <w:t>&lt;cx "lujvo, consideration in choosing meaning for"&gt;</w:t>
      </w:r>
      <w:r>
        <w:rPr>
          <w:rStyle w:val="indexentry"/>
        </w:rPr>
        <w:fldChar w:fldCharType="begin"/>
      </w:r>
      <w:r>
        <w:instrText>xe "</w:instrText>
      </w:r>
      <w:r>
        <w:rPr>
          <w:rStyle w:val="xeentry"/>
        </w:rPr>
        <w:instrText>lujvo: consideration in choosing meaning for</w:instrText>
      </w:r>
      <w:r>
        <w:instrText>"</w:instrText>
      </w:r>
      <w:r>
        <w:rPr>
          <w:rStyle w:val="indexentry"/>
        </w:rPr>
        <w:fldChar w:fldCharType="end"/>
      </w:r>
      <w:r>
        <w:rPr>
          <w:rStyle w:val="indexentry"/>
        </w:rPr>
        <w:t>&lt;cx "linguistic drift in Lojban, possible source of"&gt;</w:t>
      </w:r>
      <w:r>
        <w:rPr>
          <w:rStyle w:val="indexentry"/>
        </w:rPr>
        <w:fldChar w:fldCharType="begin"/>
      </w:r>
      <w:r>
        <w:instrText>xe "</w:instrText>
      </w:r>
      <w:r>
        <w:rPr>
          <w:rStyle w:val="xeentry"/>
        </w:rPr>
        <w:instrText>linguistic drift in Lojban: possible source of</w:instrText>
      </w:r>
      <w:r>
        <w:instrText>"</w:instrText>
      </w:r>
      <w:r>
        <w:rPr>
          <w:rStyle w:val="indexentry"/>
        </w:rPr>
        <w:fldChar w:fldCharType="end"/>
      </w:r>
      <w:r>
        <w:t>The second complication is the serious one. Remember that a tanru is</w:t>
      </w:r>
      <w:r>
        <w:rPr>
          <w:rStyle w:val="deletedparamark"/>
        </w:rPr>
        <w:t xml:space="preserve"> </w:t>
      </w:r>
      <w:r>
        <w:t>ambigu</w:t>
      </w:r>
      <w:r>
        <w:softHyphen/>
        <w:t>ous — it has several possible meanings. A lujvo, or at least one</w:t>
      </w:r>
      <w:r>
        <w:rPr>
          <w:rStyle w:val="deletedparamark"/>
        </w:rPr>
        <w:t xml:space="preserve"> </w:t>
      </w:r>
      <w:r>
        <w:t>that would be put into the dic</w:t>
      </w:r>
      <w:r>
        <w:softHyphen/>
        <w:t>tionary, has just a single meaning. Like</w:t>
      </w:r>
      <w:r>
        <w:rPr>
          <w:rStyle w:val="deletedparamark"/>
        </w:rPr>
        <w:t xml:space="preserve"> </w:t>
      </w:r>
      <w:r>
        <w:t>a gismu, a lujvo is a predicate which encompasses one area of the semantic</w:t>
      </w:r>
      <w:r>
        <w:rPr>
          <w:rStyle w:val="deletedparamark"/>
        </w:rPr>
        <w:t xml:space="preserve"> </w:t>
      </w:r>
      <w:r>
        <w:t>universe, with one set of places. Hopefully the meaning chosen is the most</w:t>
      </w:r>
      <w:r>
        <w:rPr>
          <w:rStyle w:val="deletedparamark"/>
        </w:rPr>
        <w:t xml:space="preserve"> </w:t>
      </w:r>
      <w:r>
        <w:t>useful of the possible semantic spaces. A possible source of linguistic</w:t>
      </w:r>
      <w:r>
        <w:rPr>
          <w:rStyle w:val="deletedparamark"/>
        </w:rPr>
        <w:t xml:space="preserve"> </w:t>
      </w:r>
      <w:r>
        <w:t>drift in Lojban is that as Lojbanic soci</w:t>
      </w:r>
      <w:r>
        <w:softHyphen/>
        <w:t>ety evolves, the concept that seems</w:t>
      </w:r>
      <w:r>
        <w:rPr>
          <w:rStyle w:val="deletedparamark"/>
        </w:rPr>
        <w:t xml:space="preserve"> </w:t>
      </w:r>
      <w:r>
        <w:t>the most useful one may change.</w:t>
      </w:r>
    </w:p>
    <w:p w:rsidR="00B72047" w:rsidRDefault="00B72047">
      <w:pPr>
        <w:rPr>
          <w:rStyle w:val="htmlparacode"/>
        </w:rPr>
      </w:pPr>
      <w:r>
        <w:rPr>
          <w:rStyle w:val="htmlparacode"/>
        </w:rPr>
        <w:t>&lt;p&gt;</w:t>
      </w:r>
    </w:p>
    <w:p w:rsidR="00B72047" w:rsidRDefault="00B72047">
      <w:pPr>
        <w:pStyle w:val="normalparagraph"/>
      </w:pPr>
      <w:r>
        <w:rPr>
          <w:rStyle w:val="indexentry"/>
        </w:rPr>
        <w:t>&lt;cx "lujvo, meaning drift of"&gt;</w:t>
      </w:r>
      <w:r>
        <w:rPr>
          <w:rStyle w:val="indexentry"/>
        </w:rPr>
        <w:fldChar w:fldCharType="begin"/>
      </w:r>
      <w:r>
        <w:instrText>xe "</w:instrText>
      </w:r>
      <w:r>
        <w:rPr>
          <w:rStyle w:val="xeentry"/>
        </w:rPr>
        <w:instrText>lujvo: meaning drift of</w:instrText>
      </w:r>
      <w:r>
        <w:instrText>"</w:instrText>
      </w:r>
      <w:r>
        <w:rPr>
          <w:rStyle w:val="indexentry"/>
        </w:rPr>
        <w:fldChar w:fldCharType="end"/>
      </w:r>
      <w:r>
        <w:rPr>
          <w:rStyle w:val="indexentry"/>
        </w:rPr>
        <w:t>&lt;lx "za'e"&gt;</w:t>
      </w:r>
      <w:r>
        <w:rPr>
          <w:rStyle w:val="indexentry"/>
        </w:rPr>
        <w:fldChar w:fldCharType="begin"/>
      </w:r>
      <w:r>
        <w:instrText>xe "</w:instrText>
      </w:r>
      <w:r>
        <w:rPr>
          <w:rStyle w:val="xeentry"/>
        </w:rPr>
        <w:instrText>za'e</w:instrText>
      </w:r>
      <w:r>
        <w:instrText>"</w:instrText>
      </w:r>
      <w:r>
        <w:rPr>
          <w:rStyle w:val="indexentry"/>
        </w:rPr>
        <w:fldChar w:fldCharType="end"/>
      </w:r>
      <w:r>
        <w:rPr>
          <w:rStyle w:val="indexentry"/>
        </w:rPr>
        <w:t>&lt;cx "za'e, use to avoid lujvo misunderstandings"&gt;</w:t>
      </w:r>
      <w:r>
        <w:rPr>
          <w:rStyle w:val="indexentry"/>
        </w:rPr>
        <w:fldChar w:fldCharType="begin"/>
      </w:r>
      <w:r>
        <w:instrText>xe "</w:instrText>
      </w:r>
      <w:r>
        <w:rPr>
          <w:rStyle w:val="xeentry"/>
        </w:rPr>
        <w:instrText>za'e: use to avoid lujvo misunderstandings</w:instrText>
      </w:r>
      <w:r>
        <w:instrText>"</w:instrText>
      </w:r>
      <w:r>
        <w:rPr>
          <w:rStyle w:val="indexentry"/>
        </w:rPr>
        <w:fldChar w:fldCharType="end"/>
      </w:r>
      <w:r>
        <w:t>You must also be aware of the possibility of some prior meaning of a new</w:t>
      </w:r>
      <w:r>
        <w:rPr>
          <w:rStyle w:val="deletedparamark"/>
        </w:rPr>
        <w:t xml:space="preserve"> </w:t>
      </w:r>
      <w:r>
        <w:t>lu</w:t>
      </w:r>
      <w:r>
        <w:softHyphen/>
        <w:t>jvo, es</w:t>
      </w:r>
      <w:r>
        <w:softHyphen/>
        <w:t>pecially if you are writing for posterity. If a lujvo is</w:t>
      </w:r>
      <w:r>
        <w:rPr>
          <w:rStyle w:val="deletedparamark"/>
        </w:rPr>
        <w:t xml:space="preserve"> </w:t>
      </w:r>
      <w:r>
        <w:t>invented which involves the same tanru as one that is in the dictionary,</w:t>
      </w:r>
      <w:r>
        <w:rPr>
          <w:rStyle w:val="deletedparamark"/>
        </w:rPr>
        <w:t xml:space="preserve"> </w:t>
      </w:r>
      <w:r>
        <w:t>and is assigned a different meaning (or even just a differ</w:t>
      </w:r>
      <w:r>
        <w:softHyphen/>
        <w:t>ent place</w:t>
      </w:r>
      <w:r>
        <w:rPr>
          <w:rStyle w:val="deletedparamark"/>
        </w:rPr>
        <w:t xml:space="preserve"> </w:t>
      </w:r>
      <w:r>
        <w:t>structure), linguistic drift results. This isn't necessarily bad.</w:t>
      </w:r>
      <w:r>
        <w:rPr>
          <w:rStyle w:val="deletedparamark"/>
        </w:rPr>
        <w:t xml:space="preserve"> </w:t>
      </w:r>
      <w:r>
        <w:t>Every natural language does it. But in communication, when you use a</w:t>
      </w:r>
      <w:r>
        <w:rPr>
          <w:rStyle w:val="deletedparamark"/>
        </w:rPr>
        <w:t xml:space="preserve"> </w:t>
      </w:r>
      <w:r>
        <w:t>meaning different from the dic</w:t>
      </w:r>
      <w:r>
        <w:softHyphen/>
        <w:t>tionary definition, someone else may use</w:t>
      </w:r>
      <w:r>
        <w:rPr>
          <w:rStyle w:val="deletedparamark"/>
        </w:rPr>
        <w:t xml:space="preserve"> </w:t>
      </w:r>
      <w:r>
        <w:t>the dictionary and therefore misunder</w:t>
      </w:r>
      <w:r>
        <w:softHyphen/>
        <w:t>stand you. You can use the cmavo</w:t>
      </w:r>
      <w:r>
        <w:rPr>
          <w:rStyle w:val="deletedparamark"/>
        </w:rPr>
        <w:t xml:space="preserve"> “</w:t>
      </w:r>
      <w:r>
        <w:t xml:space="preserve">za'e” (explained in </w:t>
      </w:r>
      <w:r>
        <w:rPr>
          <w:rStyle w:val="htmlcodes"/>
        </w:rPr>
        <w:t>&lt;a href=chap19.html&gt;</w:t>
      </w:r>
      <w:r>
        <w:t>Chapter 19</w:t>
      </w:r>
      <w:r>
        <w:rPr>
          <w:rStyle w:val="htmlcodes"/>
        </w:rPr>
        <w:t>&lt;/a&gt;</w:t>
      </w:r>
      <w:r>
        <w:t>) before a newly coined lujvo to indicate</w:t>
      </w:r>
      <w:r>
        <w:rPr>
          <w:rStyle w:val="deletedparamark"/>
        </w:rPr>
        <w:t xml:space="preserve"> </w:t>
      </w:r>
      <w:r>
        <w:t>that it may have a non-dictionary meaning.</w:t>
      </w:r>
    </w:p>
    <w:p w:rsidR="00B72047" w:rsidRDefault="00B72047">
      <w:pPr>
        <w:rPr>
          <w:rStyle w:val="htmlparacode"/>
        </w:rPr>
      </w:pPr>
      <w:r>
        <w:rPr>
          <w:rStyle w:val="htmlparacode"/>
        </w:rPr>
        <w:t>&lt;p&gt;</w:t>
      </w:r>
    </w:p>
    <w:p w:rsidR="00B72047" w:rsidRDefault="00B72047">
      <w:pPr>
        <w:pStyle w:val="normalparagraph"/>
      </w:pPr>
      <w:r>
        <w:rPr>
          <w:rStyle w:val="indexentry"/>
        </w:rPr>
        <w:t>&lt;cx "lujvo, ultimate guideline for choice of meaning/place-structure"&gt;</w:t>
      </w:r>
      <w:r>
        <w:rPr>
          <w:rStyle w:val="indexentry"/>
        </w:rPr>
        <w:fldChar w:fldCharType="begin"/>
      </w:r>
      <w:r>
        <w:instrText>xe "</w:instrText>
      </w:r>
      <w:r>
        <w:rPr>
          <w:rStyle w:val="xeentry"/>
        </w:rPr>
        <w:instrText>lujvo: ultimate guideline for choice of meaning/place-structure</w:instrText>
      </w:r>
      <w:r>
        <w:instrText>"</w:instrText>
      </w:r>
      <w:r>
        <w:rPr>
          <w:rStyle w:val="indexentry"/>
        </w:rPr>
        <w:fldChar w:fldCharType="end"/>
      </w:r>
      <w:r>
        <w:t>The essential nature of human communication is that if the listener</w:t>
      </w:r>
      <w:r>
        <w:rPr>
          <w:rStyle w:val="deletedparamark"/>
        </w:rPr>
        <w:t xml:space="preserve"> </w:t>
      </w:r>
      <w:r>
        <w:t>under</w:t>
      </w:r>
      <w:r>
        <w:softHyphen/>
        <w:t>stands, then all is well. Let this be the ultimate guideline for</w:t>
      </w:r>
      <w:r>
        <w:rPr>
          <w:rStyle w:val="deletedparamark"/>
        </w:rPr>
        <w:t xml:space="preserve"> </w:t>
      </w:r>
      <w:r>
        <w:t>choosing meanings and place structures for invented lujvo.</w:t>
      </w:r>
    </w:p>
    <w:p w:rsidR="00B72047" w:rsidRDefault="00B72047">
      <w:pPr>
        <w:rPr>
          <w:rStyle w:val="htmlparacode"/>
        </w:rPr>
      </w:pPr>
      <w:r>
        <w:rPr>
          <w:rStyle w:val="htmlparacode"/>
        </w:rPr>
        <w:t>&lt;p&gt;</w:t>
      </w:r>
    </w:p>
    <w:p w:rsidR="00B72047" w:rsidRDefault="00B72047">
      <w:pPr>
        <w:pStyle w:val="normalparagraph"/>
      </w:pPr>
      <w:r>
        <w:rPr>
          <w:rStyle w:val="indexentry"/>
        </w:rPr>
        <w:t>&lt;cx "Zipf's Law"&gt;</w:t>
      </w:r>
      <w:r>
        <w:rPr>
          <w:rStyle w:val="indexentry"/>
        </w:rPr>
        <w:fldChar w:fldCharType="begin"/>
      </w:r>
      <w:r>
        <w:instrText>xe "</w:instrText>
      </w:r>
      <w:r>
        <w:rPr>
          <w:rStyle w:val="xeentry"/>
        </w:rPr>
        <w:instrText>Zipf's Law</w:instrText>
      </w:r>
      <w:r>
        <w:instrText>"</w:instrText>
      </w:r>
      <w:r>
        <w:rPr>
          <w:rStyle w:val="indexentry"/>
        </w:rPr>
        <w:fldChar w:fldCharType="end"/>
      </w:r>
      <w:r>
        <w:rPr>
          <w:rStyle w:val="indexentry"/>
        </w:rPr>
        <w:t>&lt;cx "lujvo, dropping elements of"&gt;</w:t>
      </w:r>
      <w:r>
        <w:rPr>
          <w:rStyle w:val="indexentry"/>
        </w:rPr>
        <w:fldChar w:fldCharType="begin"/>
      </w:r>
      <w:r>
        <w:instrText>xe "</w:instrText>
      </w:r>
      <w:r>
        <w:rPr>
          <w:rStyle w:val="xeentry"/>
        </w:rPr>
        <w:instrText>lujvo: dropping elements of</w:instrText>
      </w:r>
      <w:r>
        <w:instrText>"</w:instrText>
      </w:r>
      <w:r>
        <w:rPr>
          <w:rStyle w:val="indexentry"/>
        </w:rPr>
        <w:fldChar w:fldCharType="end"/>
      </w:r>
      <w:r>
        <w:t>The third complication is also simple, but tends to scare new Lojbanists</w:t>
      </w:r>
      <w:r>
        <w:rPr>
          <w:rStyle w:val="deletedparamark"/>
        </w:rPr>
        <w:t xml:space="preserve"> </w:t>
      </w:r>
      <w:r>
        <w:t>with its im</w:t>
      </w:r>
      <w:r>
        <w:softHyphen/>
        <w:t>plications. It is based on Zipf's Law, which says</w:t>
      </w:r>
      <w:r>
        <w:rPr>
          <w:rStyle w:val="deletedparamark"/>
        </w:rPr>
        <w:t xml:space="preserve"> </w:t>
      </w:r>
      <w:r>
        <w:t>that the length of words is in</w:t>
      </w:r>
      <w:r>
        <w:softHyphen/>
        <w:t>versely pro</w:t>
      </w:r>
      <w:r>
        <w:softHyphen/>
        <w:t>portional to their usage. The</w:t>
      </w:r>
      <w:r>
        <w:rPr>
          <w:rStyle w:val="deletedparamark"/>
        </w:rPr>
        <w:t xml:space="preserve"> </w:t>
      </w:r>
      <w:r>
        <w:t>shortest words are those which are used more; the longest ones are used</w:t>
      </w:r>
      <w:r>
        <w:rPr>
          <w:rStyle w:val="deletedparamark"/>
        </w:rPr>
        <w:t xml:space="preserve"> </w:t>
      </w:r>
      <w:r>
        <w:t>less. Conversely, commonly used concepts will be tend to be abbreviated.</w:t>
      </w:r>
      <w:r>
        <w:rPr>
          <w:rStyle w:val="deletedparamark"/>
        </w:rPr>
        <w:t xml:space="preserve"> </w:t>
      </w:r>
      <w:r>
        <w:t>In English, we have abbreviations and acronyms and jargon, all</w:t>
      </w:r>
      <w:r>
        <w:rPr>
          <w:rStyle w:val="deletedparamark"/>
        </w:rPr>
        <w:t xml:space="preserve"> </w:t>
      </w:r>
      <w:r>
        <w:t>of which represent com</w:t>
      </w:r>
      <w:r>
        <w:softHyphen/>
        <w:t>plex ideas that are used often by small groups of</w:t>
      </w:r>
      <w:r>
        <w:rPr>
          <w:rStyle w:val="deletedparamark"/>
        </w:rPr>
        <w:t xml:space="preserve"> </w:t>
      </w:r>
      <w:r>
        <w:t>people, so they short</w:t>
      </w:r>
      <w:r>
        <w:softHyphen/>
        <w:t>ened them to con</w:t>
      </w:r>
      <w:r>
        <w:softHyphen/>
        <w:t>vey more in</w:t>
      </w:r>
      <w:r>
        <w:softHyphen/>
        <w:t>formation more rapidly.</w:t>
      </w:r>
    </w:p>
    <w:p w:rsidR="00B72047" w:rsidRDefault="00B72047">
      <w:pPr>
        <w:rPr>
          <w:rStyle w:val="htmlparacode"/>
        </w:rPr>
      </w:pPr>
      <w:r>
        <w:rPr>
          <w:rStyle w:val="htmlparacode"/>
        </w:rPr>
        <w:t>&lt;p&gt;</w:t>
      </w:r>
    </w:p>
    <w:p w:rsidR="00B72047" w:rsidRDefault="00B72047">
      <w:pPr>
        <w:pStyle w:val="normalparagraph"/>
      </w:pPr>
      <w:r>
        <w:t>Therefore, given a complicated tanru with grouping markers, abstraction</w:t>
      </w:r>
      <w:r>
        <w:rPr>
          <w:rStyle w:val="deletedparamark"/>
        </w:rPr>
        <w:t xml:space="preserve"> </w:t>
      </w:r>
      <w:r>
        <w:t>markers, and other cmavo in it to make it syntactically unambiguous,</w:t>
      </w:r>
      <w:r>
        <w:rPr>
          <w:rStyle w:val="deletedparamark"/>
        </w:rPr>
        <w:t xml:space="preserve"> </w:t>
      </w:r>
      <w:r>
        <w:t>the psychological basis of Zipf's Law may compel the lujvo-maker to drop</w:t>
      </w:r>
      <w:r>
        <w:rPr>
          <w:rStyle w:val="deletedparamark"/>
        </w:rPr>
        <w:t xml:space="preserve"> </w:t>
      </w:r>
      <w:r>
        <w:t>some of the cmavo to make a shorter (technically incorrect) tanru,</w:t>
      </w:r>
      <w:r>
        <w:rPr>
          <w:rStyle w:val="deletedparamark"/>
        </w:rPr>
        <w:t xml:space="preserve"> </w:t>
      </w:r>
      <w:r>
        <w:t>and then use that tanru to make the lujvo.</w:t>
      </w:r>
    </w:p>
    <w:p w:rsidR="00B72047" w:rsidRDefault="00B72047">
      <w:pPr>
        <w:rPr>
          <w:rStyle w:val="htmlparacode"/>
        </w:rPr>
      </w:pPr>
      <w:r>
        <w:rPr>
          <w:rStyle w:val="htmlparacode"/>
        </w:rPr>
        <w:t>&lt;p&gt;</w:t>
      </w:r>
    </w:p>
    <w:p w:rsidR="00B72047" w:rsidRDefault="00B72047">
      <w:pPr>
        <w:pStyle w:val="normalparagraph"/>
      </w:pPr>
      <w:r>
        <w:rPr>
          <w:rStyle w:val="indexentry"/>
        </w:rPr>
        <w:t>&lt;cx "lujvo, based on multiple tanru"&gt;</w:t>
      </w:r>
      <w:r>
        <w:rPr>
          <w:rStyle w:val="indexentry"/>
        </w:rPr>
        <w:fldChar w:fldCharType="begin"/>
      </w:r>
      <w:r>
        <w:instrText>xe "</w:instrText>
      </w:r>
      <w:r>
        <w:rPr>
          <w:rStyle w:val="xeentry"/>
        </w:rPr>
        <w:instrText>lujvo: based on multiple tanru</w:instrText>
      </w:r>
      <w:r>
        <w:instrText>"</w:instrText>
      </w:r>
      <w:r>
        <w:rPr>
          <w:rStyle w:val="indexentry"/>
        </w:rPr>
        <w:fldChar w:fldCharType="end"/>
      </w:r>
      <w:r>
        <w:t>This doesn't lead to ambiguity, as it might seem to. A given lujvo still</w:t>
      </w:r>
      <w:r>
        <w:rPr>
          <w:rStyle w:val="deletedparamark"/>
        </w:rPr>
        <w:t xml:space="preserve"> </w:t>
      </w:r>
      <w:r>
        <w:t>has ex</w:t>
      </w:r>
      <w:r>
        <w:softHyphen/>
        <w:t>actly one meaning and place structure. It is just that more than</w:t>
      </w:r>
      <w:r>
        <w:rPr>
          <w:rStyle w:val="deletedparamark"/>
        </w:rPr>
        <w:t xml:space="preserve"> </w:t>
      </w:r>
      <w:r>
        <w:t>one tanru is competing for the same lujvo. But more than one meaning</w:t>
      </w:r>
      <w:r>
        <w:rPr>
          <w:rStyle w:val="deletedparamark"/>
        </w:rPr>
        <w:t xml:space="preserve"> </w:t>
      </w:r>
      <w:r>
        <w:t>for the tanru was already competing for the “right” to define the meaning</w:t>
      </w:r>
      <w:r>
        <w:rPr>
          <w:rStyle w:val="deletedparamark"/>
        </w:rPr>
        <w:t xml:space="preserve"> </w:t>
      </w:r>
      <w:r>
        <w:t>of the lujvo. Someone has to use judgment in de</w:t>
      </w:r>
      <w:r>
        <w:softHyphen/>
        <w:t>ciding which one meaning</w:t>
      </w:r>
      <w:r>
        <w:rPr>
          <w:rStyle w:val="deletedparamark"/>
        </w:rPr>
        <w:t xml:space="preserve"> </w:t>
      </w:r>
      <w:r>
        <w:t>is to be chosen over the others.</w:t>
      </w:r>
    </w:p>
    <w:p w:rsidR="00B72047" w:rsidRDefault="00B72047">
      <w:pPr>
        <w:rPr>
          <w:rStyle w:val="htmlparacode"/>
        </w:rPr>
      </w:pPr>
      <w:r>
        <w:rPr>
          <w:rStyle w:val="htmlparacode"/>
        </w:rPr>
        <w:t>&lt;p&gt;</w:t>
      </w:r>
    </w:p>
    <w:p w:rsidR="00B72047" w:rsidRDefault="00B72047">
      <w:pPr>
        <w:pStyle w:val="normalparagraph"/>
      </w:pPr>
      <w:r>
        <w:rPr>
          <w:rStyle w:val="indexentry"/>
        </w:rPr>
        <w:t>&lt;cx "lujvo, considerations for retaining elements of"&gt;</w:t>
      </w:r>
      <w:r>
        <w:rPr>
          <w:rStyle w:val="indexentry"/>
        </w:rPr>
        <w:fldChar w:fldCharType="begin"/>
      </w:r>
      <w:r>
        <w:instrText>xe "</w:instrText>
      </w:r>
      <w:r>
        <w:rPr>
          <w:rStyle w:val="xeentry"/>
        </w:rPr>
        <w:instrText>lujvo: considerations for retaining elements of</w:instrText>
      </w:r>
      <w:r>
        <w:instrText>"</w:instrText>
      </w:r>
      <w:r>
        <w:rPr>
          <w:rStyle w:val="indexentry"/>
        </w:rPr>
        <w:fldChar w:fldCharType="end"/>
      </w:r>
      <w:r>
        <w:rPr>
          <w:rStyle w:val="indexentry"/>
        </w:rPr>
        <w:t>&lt;cx "lujvo, shorter for more general concepts"&gt;</w:t>
      </w:r>
      <w:r>
        <w:rPr>
          <w:rStyle w:val="indexentry"/>
        </w:rPr>
        <w:fldChar w:fldCharType="begin"/>
      </w:r>
      <w:r>
        <w:instrText>xe "</w:instrText>
      </w:r>
      <w:r>
        <w:rPr>
          <w:rStyle w:val="xeentry"/>
        </w:rPr>
        <w:instrText>lujvo: shorter for more general concepts</w:instrText>
      </w:r>
      <w:r>
        <w:instrText>"</w:instrText>
      </w:r>
      <w:r>
        <w:rPr>
          <w:rStyle w:val="indexentry"/>
        </w:rPr>
        <w:fldChar w:fldCharType="end"/>
      </w:r>
      <w:r>
        <w:t>If the lujvo made by a shorter form of tanru is in use, or is likely to</w:t>
      </w:r>
      <w:r>
        <w:rPr>
          <w:rStyle w:val="deletedparamark"/>
        </w:rPr>
        <w:t xml:space="preserve"> </w:t>
      </w:r>
      <w:r>
        <w:t>be useful for an</w:t>
      </w:r>
      <w:r>
        <w:softHyphen/>
        <w:t>other meaning, the decider then retains one or more of</w:t>
      </w:r>
      <w:r>
        <w:rPr>
          <w:rStyle w:val="deletedparamark"/>
        </w:rPr>
        <w:t xml:space="preserve"> </w:t>
      </w:r>
      <w:r>
        <w:t>the cmavo, preferably ones that set this meaning apart from the shorter</w:t>
      </w:r>
      <w:r>
        <w:rPr>
          <w:rStyle w:val="deletedparamark"/>
        </w:rPr>
        <w:t xml:space="preserve"> </w:t>
      </w:r>
      <w:r>
        <w:t>form meaning that is used or anticipated. As a rule, therefore, the</w:t>
      </w:r>
      <w:r>
        <w:rPr>
          <w:rStyle w:val="deletedparamark"/>
        </w:rPr>
        <w:t xml:space="preserve"> </w:t>
      </w:r>
      <w:r>
        <w:t>shorter lujvo will be used for a more general concept, possibly even</w:t>
      </w:r>
      <w:r>
        <w:rPr>
          <w:rStyle w:val="deletedparamark"/>
        </w:rPr>
        <w:t xml:space="preserve"> </w:t>
      </w:r>
      <w:r>
        <w:t>instead of a more frequent word. If both words are needed, the simpler one</w:t>
      </w:r>
      <w:r>
        <w:rPr>
          <w:rStyle w:val="deletedparamark"/>
        </w:rPr>
        <w:t xml:space="preserve"> </w:t>
      </w:r>
      <w:r>
        <w:t>should be shorter. It is easier to add a cmavo to clarify the meaning</w:t>
      </w:r>
      <w:r>
        <w:rPr>
          <w:rStyle w:val="deletedparamark"/>
        </w:rPr>
        <w:t xml:space="preserve"> </w:t>
      </w:r>
      <w:r>
        <w:t>of the more complex term than it is to find a good alternate tanru for</w:t>
      </w:r>
      <w:r>
        <w:rPr>
          <w:rStyle w:val="deletedparamark"/>
        </w:rPr>
        <w:t xml:space="preserve"> </w:t>
      </w:r>
      <w:r>
        <w:t>the simpler term.</w:t>
      </w:r>
    </w:p>
    <w:p w:rsidR="00B72047" w:rsidRDefault="00B72047">
      <w:pPr>
        <w:rPr>
          <w:rStyle w:val="htmlparacode"/>
        </w:rPr>
      </w:pPr>
      <w:r>
        <w:rPr>
          <w:rStyle w:val="htmlparacode"/>
        </w:rPr>
        <w:t>&lt;p&gt;</w:t>
      </w:r>
    </w:p>
    <w:p w:rsidR="00B72047" w:rsidRDefault="00B72047">
      <w:pPr>
        <w:pStyle w:val="normalparagraph"/>
      </w:pPr>
      <w:r>
        <w:rPr>
          <w:rStyle w:val="indexentry"/>
        </w:rPr>
        <w:t>&lt;cx "lujvo, and the listener"&gt;</w:t>
      </w:r>
      <w:r>
        <w:rPr>
          <w:rStyle w:val="indexentry"/>
        </w:rPr>
        <w:fldChar w:fldCharType="begin"/>
      </w:r>
      <w:r>
        <w:instrText>xe "</w:instrText>
      </w:r>
      <w:r>
        <w:rPr>
          <w:rStyle w:val="xeentry"/>
        </w:rPr>
        <w:instrText>lujvo: and the listener</w:instrText>
      </w:r>
      <w:r>
        <w:instrText>"</w:instrText>
      </w:r>
      <w:r>
        <w:rPr>
          <w:rStyle w:val="indexentry"/>
        </w:rPr>
        <w:fldChar w:fldCharType="end"/>
      </w:r>
      <w:r>
        <w:rPr>
          <w:rStyle w:val="indexentry"/>
        </w:rPr>
        <w:t>&lt;cx "lujvo, and plausibility"&gt;</w:t>
      </w:r>
      <w:r>
        <w:rPr>
          <w:rStyle w:val="indexentry"/>
        </w:rPr>
        <w:fldChar w:fldCharType="begin"/>
      </w:r>
      <w:r>
        <w:instrText>xe "</w:instrText>
      </w:r>
      <w:r>
        <w:rPr>
          <w:rStyle w:val="xeentry"/>
        </w:rPr>
        <w:instrText>lujvo: and plausibility</w:instrText>
      </w:r>
      <w:r>
        <w:instrText>"</w:instrText>
      </w:r>
      <w:r>
        <w:rPr>
          <w:rStyle w:val="indexentry"/>
        </w:rPr>
        <w:fldChar w:fldCharType="end"/>
      </w:r>
      <w:r>
        <w:t>And of course, we have to consider the listener. On hearing an unknown word,</w:t>
      </w:r>
      <w:r>
        <w:rPr>
          <w:rStyle w:val="deletedparamark"/>
        </w:rPr>
        <w:t xml:space="preserve"> </w:t>
      </w:r>
      <w:r>
        <w:t>the listener will decompose it and get a tanru that makes no sense</w:t>
      </w:r>
      <w:r>
        <w:rPr>
          <w:rStyle w:val="deletedparamark"/>
        </w:rPr>
        <w:t xml:space="preserve"> </w:t>
      </w:r>
      <w:r>
        <w:t>or the wrong sense for the context. If the listener realizes that the</w:t>
      </w:r>
      <w:r>
        <w:rPr>
          <w:rStyle w:val="deletedparamark"/>
        </w:rPr>
        <w:t xml:space="preserve"> </w:t>
      </w:r>
      <w:r>
        <w:t>grouping operators may have been dropped out, he or she may try alternate</w:t>
      </w:r>
      <w:r>
        <w:rPr>
          <w:rStyle w:val="deletedparamark"/>
        </w:rPr>
        <w:t xml:space="preserve"> </w:t>
      </w:r>
      <w:r>
        <w:t>groupings, or try inserting an abstraction op</w:t>
      </w:r>
      <w:r>
        <w:softHyphen/>
        <w:t>erator if that seems plausible.</w:t>
      </w:r>
      <w:r>
        <w:rPr>
          <w:rStyle w:val="deletedparamark"/>
        </w:rPr>
        <w:t xml:space="preserve"> </w:t>
      </w:r>
      <w:r>
        <w:t xml:space="preserve">(The grouping of tanru is explained in </w:t>
      </w:r>
      <w:r>
        <w:rPr>
          <w:rStyle w:val="htmlcodes"/>
        </w:rPr>
        <w:t>&lt;a href=chap5.html&gt;</w:t>
      </w:r>
      <w:r>
        <w:t>Chapter 5</w:t>
      </w:r>
      <w:r>
        <w:rPr>
          <w:rStyle w:val="htmlcodes"/>
        </w:rPr>
        <w:t>&lt;/a&gt;</w:t>
      </w:r>
      <w:r>
        <w:t>; ab</w:t>
      </w:r>
      <w:r>
        <w:softHyphen/>
        <w:t>straction is explained</w:t>
      </w:r>
      <w:r>
        <w:rPr>
          <w:rStyle w:val="deletedparamark"/>
        </w:rPr>
        <w:t xml:space="preserve"> </w:t>
      </w:r>
      <w:r>
        <w:t xml:space="preserve">in </w:t>
      </w:r>
      <w:r>
        <w:rPr>
          <w:rStyle w:val="htmlcodes"/>
        </w:rPr>
        <w:t>&lt;a href=chap11.html&gt;</w:t>
      </w:r>
      <w:r>
        <w:t>Chapter 11</w:t>
      </w:r>
      <w:r>
        <w:rPr>
          <w:rStyle w:val="htmlcodes"/>
        </w:rPr>
        <w:t>&lt;/a&gt;</w:t>
      </w:r>
      <w:r>
        <w:t>.)  Plausibility is the key to learning new ideas and to</w:t>
      </w:r>
      <w:r>
        <w:rPr>
          <w:rStyle w:val="deletedparamark"/>
        </w:rPr>
        <w:t xml:space="preserve"> </w:t>
      </w:r>
      <w:r>
        <w:t>evaluating unfamiliar lujvo.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175" w:name="_Toc395691509"/>
      <w:bookmarkStart w:id="176" w:name="_Toc398970480"/>
      <w:r>
        <w:rPr>
          <w:rStyle w:val="Heading3Text"/>
        </w:rPr>
        <w:t>The lujvo-making algorithm</w:t>
      </w:r>
      <w:bookmarkEnd w:id="175"/>
      <w:bookmarkEnd w:id="17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algorithm for"&gt;</w:t>
      </w:r>
      <w:r>
        <w:rPr>
          <w:rStyle w:val="indexentry"/>
        </w:rPr>
        <w:fldChar w:fldCharType="begin"/>
      </w:r>
      <w:r>
        <w:instrText>xe "</w:instrText>
      </w:r>
      <w:r>
        <w:rPr>
          <w:rStyle w:val="xeentry"/>
        </w:rPr>
        <w:instrText>lujvo: algorithm for</w:instrText>
      </w:r>
      <w:r>
        <w:instrText>"</w:instrText>
      </w:r>
      <w:r>
        <w:rPr>
          <w:rStyle w:val="indexentry"/>
        </w:rPr>
        <w:fldChar w:fldCharType="end"/>
      </w:r>
      <w:r>
        <w:t>The following is the current algorithm for generating Lojban lujvo</w:t>
      </w:r>
      <w:r>
        <w:rPr>
          <w:rStyle w:val="deletedparamark"/>
        </w:rPr>
        <w:t xml:space="preserve"> </w:t>
      </w:r>
      <w:r>
        <w:t>given a known tanru and a complete list of gismu and their as</w:t>
      </w:r>
      <w:r>
        <w:softHyphen/>
        <w:t>signed</w:t>
      </w:r>
      <w:r>
        <w:rPr>
          <w:rStyle w:val="deletedparamark"/>
        </w:rPr>
        <w:t xml:space="preserve"> </w:t>
      </w:r>
      <w:r>
        <w:t>rafsi. The algorithm was designed by Bob LeChevalier and Dr.</w:t>
      </w:r>
      <w:r>
        <w:rPr>
          <w:rStyle w:val="deletedparamark"/>
        </w:rPr>
        <w:t xml:space="preserve"> </w:t>
      </w:r>
      <w:r>
        <w:t>James Cooke Brown for computer program im</w:t>
      </w:r>
      <w:r>
        <w:softHyphen/>
        <w:t>plementation. It was modified</w:t>
      </w:r>
      <w:r>
        <w:rPr>
          <w:rStyle w:val="deletedparamark"/>
        </w:rPr>
        <w:t xml:space="preserve"> </w:t>
      </w:r>
      <w:r>
        <w:t>in 1989 with the assistance of Nora LeChevalier, who de</w:t>
      </w:r>
      <w:r>
        <w:softHyphen/>
        <w:t>tected a flaw in</w:t>
      </w:r>
      <w:r>
        <w:rPr>
          <w:rStyle w:val="deletedparamark"/>
        </w:rPr>
        <w:t xml:space="preserve"> </w:t>
      </w:r>
      <w:r>
        <w:t>the original “tosmabru test”.</w:t>
      </w:r>
    </w:p>
    <w:p w:rsidR="00B72047" w:rsidRDefault="00B72047">
      <w:pPr>
        <w:rPr>
          <w:rStyle w:val="htmlparacode"/>
        </w:rPr>
      </w:pPr>
      <w:r>
        <w:rPr>
          <w:rStyle w:val="htmlparacode"/>
        </w:rPr>
        <w:t>&lt;p&gt;</w:t>
      </w:r>
    </w:p>
    <w:p w:rsidR="00B72047" w:rsidRDefault="00B72047">
      <w:pPr>
        <w:pStyle w:val="normalparagraph"/>
      </w:pPr>
      <w:r>
        <w:t>Given a tanru that is to be made into a lujvo:</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Choose a 3-letter or 4-letter rafsi for each of the gismu and cmavo in the tanru except the last.</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Choose a 3-letter (CVV-form or CCV-form) or 5-letter rafsi for the final gismu in the tanru.</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Join the resulting string of rafsi, initially without hyphens.</w:t>
      </w:r>
    </w:p>
    <w:p w:rsidR="00B72047" w:rsidRDefault="00B72047" w:rsidP="007E67C1">
      <w:pPr>
        <w:pStyle w:val="Listnobullets"/>
        <w:numPr>
          <w:ilvl w:val="0"/>
          <w:numId w:val="0"/>
        </w:numPr>
        <w:ind w:left="864" w:hanging="504"/>
      </w:pPr>
      <w:r>
        <w:rPr>
          <w:rStyle w:val="htmlcodes"/>
        </w:rPr>
        <w:t>&lt;/dl&gt;</w:t>
      </w:r>
      <w:r>
        <w:rPr>
          <w:rStyle w:val="indexentry"/>
        </w:rPr>
        <w:t>&lt;cx "hyphens in lujvo, proscribed where not required"&gt;</w:t>
      </w:r>
      <w:r>
        <w:rPr>
          <w:rStyle w:val="indexentry"/>
        </w:rPr>
        <w:fldChar w:fldCharType="begin"/>
      </w:r>
      <w:r>
        <w:instrText>xe "</w:instrText>
      </w:r>
      <w:r>
        <w:rPr>
          <w:rStyle w:val="xeentry"/>
        </w:rPr>
        <w:instrText>hyphens in lujvo: proscribed where not required</w:instrText>
      </w:r>
      <w:r>
        <w:instrText>"</w:instrText>
      </w:r>
      <w:r>
        <w:rPr>
          <w:rStyle w:val="indexentry"/>
        </w:rPr>
        <w:fldChar w:fldCharType="end"/>
      </w:r>
      <w:r>
        <w:rPr>
          <w:rStyle w:val="htmlcodes"/>
        </w:rPr>
        <w:t>&lt;dl compact&gt;&lt;dt&gt;</w:t>
      </w:r>
      <w:r>
        <w:t>4)</w:t>
      </w:r>
      <w:r>
        <w:tab/>
      </w:r>
      <w:r>
        <w:rPr>
          <w:rStyle w:val="htmlcodes"/>
        </w:rPr>
        <w:t>&lt;dd&gt;</w:t>
      </w:r>
      <w:r>
        <w:t>Add hyphen letters where necessary. It is illegal to add a hy</w:t>
      </w:r>
      <w:r>
        <w:softHyphen/>
        <w:t>phen at a place that is not required by this algorithm. Right-to-left tests are recommended, for reasons discussed below.</w:t>
      </w:r>
    </w:p>
    <w:p w:rsidR="00B72047" w:rsidRDefault="00B72047" w:rsidP="007E67C1">
      <w:pPr>
        <w:pStyle w:val="Listnobullets"/>
        <w:numPr>
          <w:ilvl w:val="0"/>
          <w:numId w:val="0"/>
        </w:numPr>
        <w:spacing w:before="0"/>
        <w:ind w:left="1368" w:hanging="504"/>
      </w:pPr>
      <w:r>
        <w:rPr>
          <w:rStyle w:val="htmlcodes"/>
          <w:vanish w:val="0"/>
        </w:rPr>
        <w:br w:type="page"/>
      </w:r>
      <w:r>
        <w:rPr>
          <w:rStyle w:val="htmlcodes"/>
        </w:rPr>
        <w:t>&lt;p&gt;&lt;dt&gt;</w:t>
      </w:r>
      <w:r>
        <w:t>4a)</w:t>
      </w:r>
      <w:r>
        <w:tab/>
      </w:r>
      <w:r>
        <w:rPr>
          <w:rStyle w:val="htmlcodes"/>
        </w:rPr>
        <w:t>&lt;dd&gt;</w:t>
      </w:r>
      <w:r>
        <w:t>If there are more than two words in the tanru, put an “r”-hy</w:t>
      </w:r>
      <w:r>
        <w:softHyphen/>
        <w:t>phen (or an “n”-hyphen) after the first rafsi if it is CVV-form. If there are exactly two words, then put an “r”-hyphen (or an “n”-hy</w:t>
      </w:r>
      <w:r>
        <w:softHyphen/>
        <w:t>phen) between the two rafsi if the first rafsi is CVV-form, unless the second rafsi is CCV-form (for example, “saicli” requires no hyphen). Use an “r”-hyphen unless the letter after the hyphen is “r”, in which case use an “n”-hyphen. Never use an “n”-hyphen unless it is required.</w:t>
      </w:r>
    </w:p>
    <w:p w:rsidR="00B72047" w:rsidRDefault="00B72047" w:rsidP="007E67C1">
      <w:pPr>
        <w:pStyle w:val="Listnobullets"/>
        <w:numPr>
          <w:ilvl w:val="0"/>
          <w:numId w:val="0"/>
        </w:numPr>
        <w:ind w:left="1368" w:hanging="504"/>
      </w:pPr>
      <w:r>
        <w:rPr>
          <w:rStyle w:val="htmlcodes"/>
        </w:rPr>
        <w:t>&lt;p&gt;&lt;dt&gt;</w:t>
      </w:r>
      <w:r>
        <w:t>4b)</w:t>
      </w:r>
      <w:r>
        <w:tab/>
      </w:r>
      <w:r>
        <w:rPr>
          <w:rStyle w:val="htmlcodes"/>
        </w:rPr>
        <w:t>&lt;dd&gt;</w:t>
      </w:r>
      <w:r>
        <w:t>Put a “y”-hyphen between the consonants of any impermis</w:t>
      </w:r>
      <w:r>
        <w:softHyphen/>
        <w:t>si</w:t>
      </w:r>
      <w:r>
        <w:softHyphen/>
        <w:t>ble conso</w:t>
      </w:r>
      <w:r>
        <w:softHyphen/>
        <w:t>nant pair. This will always appear between rafsi.</w:t>
      </w:r>
    </w:p>
    <w:p w:rsidR="00B72047" w:rsidRDefault="00B72047" w:rsidP="007E67C1">
      <w:pPr>
        <w:pStyle w:val="Listnobullets"/>
        <w:numPr>
          <w:ilvl w:val="0"/>
          <w:numId w:val="0"/>
        </w:numPr>
        <w:ind w:left="1368" w:hanging="504"/>
      </w:pPr>
      <w:r>
        <w:rPr>
          <w:rStyle w:val="htmlcodes"/>
        </w:rPr>
        <w:t>&lt;p&gt;&lt;dt&gt;</w:t>
      </w:r>
      <w:r>
        <w:t>4c)</w:t>
      </w:r>
      <w:r>
        <w:tab/>
      </w:r>
      <w:r>
        <w:rPr>
          <w:rStyle w:val="htmlcodes"/>
        </w:rPr>
        <w:t>&lt;dd&gt;</w:t>
      </w:r>
      <w:r>
        <w:t>Put a “y”-hyphen after any 4-letter rafsi form.</w:t>
      </w:r>
    </w:p>
    <w:p w:rsidR="00B72047" w:rsidRDefault="00B72047" w:rsidP="007E67C1">
      <w:pPr>
        <w:pStyle w:val="Listnobullets"/>
        <w:numPr>
          <w:ilvl w:val="0"/>
          <w:numId w:val="0"/>
        </w:numPr>
        <w:ind w:left="864" w:hanging="504"/>
      </w:pPr>
      <w:r>
        <w:rPr>
          <w:rStyle w:val="htmlcodes"/>
        </w:rPr>
        <w:t>&lt;/dl&gt;</w:t>
      </w:r>
      <w:r>
        <w:rPr>
          <w:rStyle w:val="indexentry"/>
        </w:rPr>
        <w:t>&lt;cx "tosmabru test"&gt;</w:t>
      </w:r>
      <w:r>
        <w:rPr>
          <w:rStyle w:val="indexentry"/>
        </w:rPr>
        <w:fldChar w:fldCharType="begin"/>
      </w:r>
      <w:r>
        <w:instrText>xe "</w:instrText>
      </w:r>
      <w:r>
        <w:rPr>
          <w:rStyle w:val="xeentry"/>
        </w:rPr>
        <w:instrText>tosmabru test</w:instrText>
      </w:r>
      <w:r>
        <w:instrText>"</w:instrText>
      </w:r>
      <w:r>
        <w:rPr>
          <w:rStyle w:val="indexentry"/>
        </w:rPr>
        <w:fldChar w:fldCharType="end"/>
      </w:r>
      <w:r>
        <w:rPr>
          <w:rStyle w:val="htmlcodes"/>
        </w:rPr>
        <w:t>&lt;dl compact&gt;&lt;dt&gt;</w:t>
      </w:r>
      <w:r>
        <w:t>5)</w:t>
      </w:r>
      <w:r>
        <w:tab/>
      </w:r>
      <w:r>
        <w:rPr>
          <w:rStyle w:val="htmlcodes"/>
        </w:rPr>
        <w:t>&lt;dd&gt;</w:t>
      </w:r>
      <w:r>
        <w:t>Test all forms with one or more initial CVC-form rafsi — with the pattern “CVC </w:t>
      </w:r>
      <w:r>
        <w:rPr>
          <w:rStyle w:val="htmlcodes"/>
        </w:rPr>
        <w:t>&lt;dots&gt;</w:t>
      </w:r>
      <w:r>
        <w:t>…</w:t>
      </w:r>
      <w:r>
        <w:rPr>
          <w:rStyle w:val="htmlcodes"/>
        </w:rPr>
        <w:t>&lt;/dots&gt;</w:t>
      </w:r>
      <w:r>
        <w:t>CVC + X” — for “tosmabru failure”. X must either be a CVCCV long rafsi that happens to have a permissible initial pair as the consonant cluster, or is something which has caused a “y”-hyphen to be installed between the previous CVC and itself by one of the above rules.</w:t>
      </w:r>
    </w:p>
    <w:p w:rsidR="00B72047" w:rsidRDefault="00B72047" w:rsidP="007E67C1">
      <w:pPr>
        <w:pStyle w:val="Listnobullets"/>
        <w:numPr>
          <w:ilvl w:val="0"/>
          <w:numId w:val="0"/>
        </w:numPr>
        <w:ind w:left="864" w:hanging="504"/>
      </w:pPr>
      <w:r>
        <w:tab/>
      </w:r>
      <w:r>
        <w:tab/>
        <w:t>The test is as follows:</w:t>
      </w:r>
    </w:p>
    <w:p w:rsidR="00B72047" w:rsidRDefault="00B72047" w:rsidP="007E67C1">
      <w:pPr>
        <w:pStyle w:val="Listnobullets"/>
        <w:numPr>
          <w:ilvl w:val="0"/>
          <w:numId w:val="0"/>
        </w:numPr>
        <w:ind w:left="1368" w:hanging="504"/>
      </w:pPr>
      <w:r>
        <w:rPr>
          <w:rStyle w:val="htmlcodes"/>
        </w:rPr>
        <w:t>&lt;p&gt;&lt;dt&gt;</w:t>
      </w:r>
      <w:r>
        <w:t>5a)</w:t>
      </w:r>
      <w:r>
        <w:tab/>
      </w:r>
      <w:r>
        <w:rPr>
          <w:rStyle w:val="htmlcodes"/>
        </w:rPr>
        <w:t>&lt;dd&gt;</w:t>
      </w:r>
      <w:r>
        <w:t>Examine all the C/C consonant pairs that join the CVC rafsi, and also the pair between the last CVC and the X portion, ignor</w:t>
      </w:r>
      <w:r>
        <w:softHyphen/>
        <w:t>ing any “y”-hyphen before the X.</w:t>
      </w:r>
    </w:p>
    <w:p w:rsidR="00B72047" w:rsidRDefault="00B72047" w:rsidP="007E67C1">
      <w:pPr>
        <w:pStyle w:val="Listnobullets"/>
        <w:numPr>
          <w:ilvl w:val="0"/>
          <w:numId w:val="0"/>
        </w:numPr>
        <w:ind w:left="1368" w:hanging="504"/>
      </w:pPr>
      <w:r>
        <w:tab/>
        <w:t>These consonant pairs are called “joints”.</w:t>
      </w:r>
    </w:p>
    <w:p w:rsidR="00B72047" w:rsidRDefault="00B72047" w:rsidP="007E67C1">
      <w:pPr>
        <w:pStyle w:val="Listnobullets"/>
        <w:numPr>
          <w:ilvl w:val="0"/>
          <w:numId w:val="0"/>
        </w:numPr>
        <w:ind w:left="1368" w:hanging="504"/>
      </w:pPr>
      <w:r>
        <w:rPr>
          <w:rStyle w:val="htmlcodes"/>
        </w:rPr>
        <w:t>&lt;p&gt;&lt;dt&gt;</w:t>
      </w:r>
      <w:r>
        <w:t>5b)</w:t>
      </w:r>
      <w:r>
        <w:tab/>
      </w:r>
      <w:r>
        <w:rPr>
          <w:rStyle w:val="htmlcodes"/>
        </w:rPr>
        <w:t>&lt;dd&gt;</w:t>
      </w:r>
      <w:r>
        <w:t>If all of those joints are permissible initials, then the trial word will break up into a cmavo and a shorter brivla. If not, the word will not break up, and no further hyphens are needed.</w:t>
      </w:r>
    </w:p>
    <w:p w:rsidR="00B72047" w:rsidRDefault="00B72047" w:rsidP="007E67C1">
      <w:pPr>
        <w:pStyle w:val="Listnobullets"/>
        <w:numPr>
          <w:ilvl w:val="0"/>
          <w:numId w:val="0"/>
        </w:numPr>
        <w:ind w:left="1368" w:hanging="504"/>
      </w:pPr>
      <w:r>
        <w:rPr>
          <w:rStyle w:val="htmlcodes"/>
        </w:rPr>
        <w:t>&lt;p&gt;&lt;dt&gt;</w:t>
      </w:r>
      <w:r>
        <w:t>5c)</w:t>
      </w:r>
      <w:r>
        <w:tab/>
      </w:r>
      <w:r>
        <w:rPr>
          <w:rStyle w:val="htmlcodes"/>
        </w:rPr>
        <w:t>&lt;dd&gt;</w:t>
      </w:r>
      <w:r>
        <w:t>Install a “y”-hyphen at the first such joint.</w:t>
      </w:r>
    </w:p>
    <w:p w:rsidR="00B72047" w:rsidRDefault="00B72047">
      <w:pPr>
        <w:pStyle w:val="normalafterexample"/>
      </w:pPr>
      <w:r>
        <w:rPr>
          <w:rStyle w:val="htmlcodes"/>
        </w:rPr>
        <w:t>&lt;/dl&gt;&lt;p&gt;</w:t>
      </w:r>
      <w:r>
        <w:t>Note that the “tosmabru test” implies that the algorithm will be more</w:t>
      </w:r>
      <w:r>
        <w:rPr>
          <w:rStyle w:val="deletedparamark"/>
        </w:rPr>
        <w:t xml:space="preserve"> </w:t>
      </w:r>
      <w:r>
        <w:t>efficient if rafsi junctures are tested for required hyphens from</w:t>
      </w:r>
      <w:r>
        <w:rPr>
          <w:rStyle w:val="deletedparamark"/>
        </w:rPr>
        <w:t xml:space="preserve"> </w:t>
      </w:r>
      <w:r>
        <w:t>right to left, instead of from left to right; when the test is</w:t>
      </w:r>
      <w:r>
        <w:rPr>
          <w:rStyle w:val="deletedparamark"/>
        </w:rPr>
        <w:t xml:space="preserve"> </w:t>
      </w:r>
      <w:r>
        <w:t>required, it cannot be completed until hyphenation to the right</w:t>
      </w:r>
      <w:r>
        <w:rPr>
          <w:rStyle w:val="deletedparamark"/>
        </w:rPr>
        <w:t xml:space="preserve"> </w:t>
      </w:r>
      <w:r>
        <w:t>has been deter</w:t>
      </w:r>
      <w:r>
        <w:softHyphen/>
        <w:t>mined.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177" w:name="_Toc395691510"/>
      <w:bookmarkStart w:id="178" w:name="_Toc398970481"/>
      <w:r>
        <w:rPr>
          <w:rStyle w:val="Heading3Text"/>
        </w:rPr>
        <w:t>The lujvo scoring algorithm</w:t>
      </w:r>
      <w:bookmarkEnd w:id="177"/>
      <w:bookmarkEnd w:id="17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scoring of"&gt;</w:t>
      </w:r>
      <w:r>
        <w:rPr>
          <w:rStyle w:val="indexentry"/>
        </w:rPr>
        <w:fldChar w:fldCharType="begin"/>
      </w:r>
      <w:r>
        <w:instrText>xe "</w:instrText>
      </w:r>
      <w:r>
        <w:rPr>
          <w:rStyle w:val="xeentry"/>
        </w:rPr>
        <w:instrText>lujvo: scoring of</w:instrText>
      </w:r>
      <w:r>
        <w:instrText>"</w:instrText>
      </w:r>
      <w:r>
        <w:rPr>
          <w:rStyle w:val="indexentry"/>
        </w:rPr>
        <w:fldChar w:fldCharType="end"/>
      </w:r>
      <w:r>
        <w:rPr>
          <w:rStyle w:val="indexentry"/>
        </w:rPr>
        <w:t>&lt;cx "lujvo, selection of best form of"&gt;</w:t>
      </w:r>
      <w:r>
        <w:rPr>
          <w:rStyle w:val="indexentry"/>
        </w:rPr>
        <w:fldChar w:fldCharType="begin"/>
      </w:r>
      <w:r>
        <w:instrText>xe "</w:instrText>
      </w:r>
      <w:r>
        <w:rPr>
          <w:rStyle w:val="xeentry"/>
        </w:rPr>
        <w:instrText>lujvo: selection of best form of</w:instrText>
      </w:r>
      <w:r>
        <w:instrText>"</w:instrText>
      </w:r>
      <w:r>
        <w:rPr>
          <w:rStyle w:val="indexentry"/>
        </w:rPr>
        <w:fldChar w:fldCharType="end"/>
      </w:r>
      <w:r>
        <w:t>This algorithm was devised by Bob and Nora LeChevalier in 1989. It is not</w:t>
      </w:r>
      <w:r>
        <w:rPr>
          <w:rStyle w:val="deletedparamark"/>
        </w:rPr>
        <w:t xml:space="preserve"> </w:t>
      </w:r>
      <w:r>
        <w:t>the only possible algorithm, but it usually gives a choice that people find</w:t>
      </w:r>
      <w:r>
        <w:rPr>
          <w:rStyle w:val="deletedparamark"/>
        </w:rPr>
        <w:t xml:space="preserve"> </w:t>
      </w:r>
      <w:r>
        <w:t>preferable. The algorithm may be changed in the fu</w:t>
      </w:r>
      <w:r>
        <w:softHyphen/>
        <w:t>ture. The</w:t>
      </w:r>
      <w:r>
        <w:rPr>
          <w:rStyle w:val="deletedparamark"/>
        </w:rPr>
        <w:t xml:space="preserve"> </w:t>
      </w:r>
      <w:r>
        <w:t>lowest-scoring variant will usually be the dictionary form of the lujvo.</w:t>
      </w:r>
      <w:r>
        <w:rPr>
          <w:rStyle w:val="deletedparamark"/>
        </w:rPr>
        <w:t xml:space="preserve"> </w:t>
      </w:r>
      <w:r>
        <w:t>(In previous versions, it was the highest-scoring variant.)</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1)</w:t>
      </w:r>
      <w:r>
        <w:tab/>
      </w:r>
      <w:r>
        <w:rPr>
          <w:rStyle w:val="htmlcodes"/>
        </w:rPr>
        <w:t>&lt;dd&gt;</w:t>
      </w:r>
      <w:r>
        <w:t>Count the total number of letters, including hyphens and apostrophes; call it “L”.</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Count the number of apostrophes; call it “A”.</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Count the number of “y”-, “r”-, and “n”-hyphens; call it “H”.</w:t>
      </w:r>
    </w:p>
    <w:p w:rsidR="00B72047" w:rsidRDefault="00B72047" w:rsidP="007E67C1">
      <w:pPr>
        <w:pStyle w:val="Listnobullets"/>
        <w:numPr>
          <w:ilvl w:val="0"/>
          <w:numId w:val="0"/>
        </w:numPr>
        <w:spacing w:before="0"/>
        <w:ind w:left="864" w:hanging="504"/>
      </w:pPr>
      <w:r>
        <w:rPr>
          <w:rStyle w:val="htmlcodes"/>
          <w:vanish w:val="0"/>
        </w:rPr>
        <w:br w:type="page"/>
      </w:r>
      <w:r>
        <w:rPr>
          <w:rStyle w:val="htmlcodes"/>
        </w:rPr>
        <w:t>&lt;p&gt;&lt;dt&gt;</w:t>
      </w:r>
      <w:r>
        <w:t>4)</w:t>
      </w:r>
      <w:r>
        <w:tab/>
      </w:r>
      <w:r>
        <w:rPr>
          <w:rStyle w:val="htmlcodes"/>
        </w:rPr>
        <w:t>&lt;dd&gt;</w:t>
      </w:r>
      <w:r>
        <w:t>For each rafsi, find the value in the following table. Sum this value over all rafsi; call it “R”:</w:t>
      </w:r>
    </w:p>
    <w:p w:rsidR="00B72047" w:rsidRDefault="00B72047">
      <w:pPr>
        <w:pStyle w:val="examplewtabspre"/>
        <w:tabs>
          <w:tab w:val="clear" w:pos="576"/>
          <w:tab w:val="left" w:pos="864"/>
        </w:tabs>
      </w:pPr>
      <w:r>
        <w:rPr>
          <w:rStyle w:val="htmlcodes"/>
        </w:rPr>
        <w:t>&lt;p&gt;&lt;dt&gt;</w:t>
      </w:r>
      <w:r>
        <w:tab/>
      </w:r>
      <w:r>
        <w:rPr>
          <w:rStyle w:val="htmlcodes"/>
        </w:rPr>
        <w:t>&lt;dd&gt;</w:t>
      </w:r>
      <w:r>
        <w:t>CVC/CV (final)</w:t>
      </w:r>
      <w:r>
        <w:tab/>
        <w:t>(-sarji)</w:t>
      </w:r>
      <w:r>
        <w:tab/>
        <w:t>1</w:t>
      </w:r>
    </w:p>
    <w:p w:rsidR="00B72047" w:rsidRDefault="00B72047">
      <w:pPr>
        <w:pStyle w:val="exampwidetabs"/>
        <w:tabs>
          <w:tab w:val="clear" w:pos="576"/>
          <w:tab w:val="left" w:pos="864"/>
        </w:tabs>
      </w:pPr>
      <w:r>
        <w:tab/>
        <w:t>CVC/C</w:t>
      </w:r>
      <w:r>
        <w:tab/>
      </w:r>
      <w:r>
        <w:tab/>
        <w:t>(-sarj-)</w:t>
      </w:r>
      <w:r>
        <w:tab/>
        <w:t>2</w:t>
      </w:r>
    </w:p>
    <w:p w:rsidR="00B72047" w:rsidRDefault="00B72047">
      <w:pPr>
        <w:pStyle w:val="exampwidetabs"/>
        <w:tabs>
          <w:tab w:val="clear" w:pos="576"/>
          <w:tab w:val="left" w:pos="864"/>
        </w:tabs>
      </w:pPr>
      <w:r>
        <w:tab/>
        <w:t>CCVCV (final)</w:t>
      </w:r>
      <w:r>
        <w:tab/>
        <w:t>(-zbasu)</w:t>
      </w:r>
      <w:r>
        <w:tab/>
        <w:t>3</w:t>
      </w:r>
    </w:p>
    <w:p w:rsidR="00B72047" w:rsidRDefault="00B72047">
      <w:pPr>
        <w:pStyle w:val="exampwidetabs"/>
        <w:tabs>
          <w:tab w:val="clear" w:pos="576"/>
          <w:tab w:val="left" w:pos="864"/>
        </w:tabs>
      </w:pPr>
      <w:r>
        <w:tab/>
        <w:t>CCVC</w:t>
      </w:r>
      <w:r>
        <w:tab/>
      </w:r>
      <w:r>
        <w:tab/>
        <w:t>(-zbas-)</w:t>
      </w:r>
      <w:r>
        <w:tab/>
        <w:t>4</w:t>
      </w:r>
    </w:p>
    <w:p w:rsidR="00B72047" w:rsidRDefault="00B72047">
      <w:pPr>
        <w:pStyle w:val="exampwidetabs"/>
        <w:tabs>
          <w:tab w:val="clear" w:pos="576"/>
          <w:tab w:val="left" w:pos="864"/>
        </w:tabs>
      </w:pPr>
      <w:r>
        <w:tab/>
        <w:t>CVC</w:t>
      </w:r>
      <w:r>
        <w:tab/>
      </w:r>
      <w:r>
        <w:tab/>
        <w:t>(-nun-)</w:t>
      </w:r>
      <w:r>
        <w:tab/>
        <w:t>5</w:t>
      </w:r>
    </w:p>
    <w:p w:rsidR="00B72047" w:rsidRDefault="00B72047">
      <w:pPr>
        <w:pStyle w:val="exampwidetabs"/>
        <w:tabs>
          <w:tab w:val="clear" w:pos="576"/>
          <w:tab w:val="left" w:pos="864"/>
        </w:tabs>
      </w:pPr>
      <w:r>
        <w:tab/>
        <w:t>CVV with an apostrophe</w:t>
      </w:r>
      <w:r>
        <w:tab/>
        <w:t>(-ta'u-)</w:t>
      </w:r>
      <w:r>
        <w:tab/>
        <w:t>6</w:t>
      </w:r>
    </w:p>
    <w:p w:rsidR="00B72047" w:rsidRDefault="00B72047">
      <w:pPr>
        <w:pStyle w:val="exampwidetabs"/>
        <w:tabs>
          <w:tab w:val="clear" w:pos="576"/>
          <w:tab w:val="left" w:pos="864"/>
        </w:tabs>
      </w:pPr>
      <w:r>
        <w:tab/>
        <w:t>CCV</w:t>
      </w:r>
      <w:r>
        <w:tab/>
      </w:r>
      <w:r>
        <w:tab/>
        <w:t>(-zba-)</w:t>
      </w:r>
      <w:r>
        <w:tab/>
        <w:t>7</w:t>
      </w:r>
    </w:p>
    <w:p w:rsidR="00B72047" w:rsidRDefault="00B72047">
      <w:pPr>
        <w:pStyle w:val="exampwidetabs"/>
        <w:tabs>
          <w:tab w:val="clear" w:pos="576"/>
          <w:tab w:val="left" w:pos="864"/>
        </w:tabs>
      </w:pPr>
      <w:r>
        <w:tab/>
        <w:t>CVV with no apostrophe</w:t>
      </w:r>
      <w:r>
        <w:tab/>
        <w:t>(-sai-)</w:t>
      </w:r>
      <w:r>
        <w:tab/>
        <w:t>8</w:t>
      </w:r>
    </w:p>
    <w:p w:rsidR="00B72047" w:rsidRDefault="00B72047" w:rsidP="007E67C1">
      <w:pPr>
        <w:pStyle w:val="Listnobullets"/>
        <w:numPr>
          <w:ilvl w:val="0"/>
          <w:numId w:val="0"/>
        </w:numPr>
        <w:ind w:left="864" w:hanging="504"/>
      </w:pPr>
      <w:r>
        <w:rPr>
          <w:rStyle w:val="htmlcodes"/>
        </w:rPr>
        <w:t>&lt;p&gt;&lt;dt&gt;</w:t>
      </w:r>
      <w:r>
        <w:t>5)</w:t>
      </w:r>
      <w:r>
        <w:tab/>
      </w:r>
      <w:r>
        <w:rPr>
          <w:rStyle w:val="htmlcodes"/>
        </w:rPr>
        <w:t>&lt;dd&gt;</w:t>
      </w:r>
      <w:r>
        <w:t>Count the number of vowels, not including “y”; call it “V”.</w:t>
      </w:r>
    </w:p>
    <w:p w:rsidR="00B72047" w:rsidRDefault="00B72047" w:rsidP="007E67C1">
      <w:pPr>
        <w:pStyle w:val="Listnobullets"/>
        <w:numPr>
          <w:ilvl w:val="0"/>
          <w:numId w:val="0"/>
        </w:numPr>
        <w:ind w:left="864" w:hanging="504"/>
      </w:pPr>
      <w:r>
        <w:rPr>
          <w:rStyle w:val="htmlcodes"/>
          <w:vanish w:val="0"/>
        </w:rPr>
        <w:tab/>
      </w:r>
      <w:r>
        <w:rPr>
          <w:rStyle w:val="htmlcodes"/>
          <w:vanish w:val="0"/>
        </w:rPr>
        <w:tab/>
      </w:r>
      <w:r>
        <w:rPr>
          <w:rStyle w:val="htmlcodes"/>
        </w:rPr>
        <w:t>&lt;/dl&gt;&lt;p&gt;</w:t>
      </w:r>
      <w:r>
        <w:t>The score is then:</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ab/>
      </w:r>
      <w:r>
        <w:tab/>
      </w:r>
      <w:r>
        <w:rPr>
          <w:rStyle w:val="htmlcodes"/>
        </w:rPr>
        <w:t>&lt;dd&gt;</w:t>
      </w:r>
      <w:r>
        <w:t>(1000 * L) - (500 * A) + (100 * H) - (10 * R) - V</w:t>
      </w:r>
    </w:p>
    <w:p w:rsidR="00B72047" w:rsidRDefault="00B72047">
      <w:pPr>
        <w:pStyle w:val="normalafterexample"/>
      </w:pPr>
      <w:r>
        <w:rPr>
          <w:rStyle w:val="htmlcodes"/>
        </w:rPr>
        <w:t>&lt;/dl&gt;</w:t>
      </w:r>
      <w:r>
        <w:rPr>
          <w:rStyle w:val="indexentry"/>
        </w:rPr>
        <w:t>&lt;cx "hierarchy of priorities for selecting lujvo form"&gt;</w:t>
      </w:r>
      <w:r>
        <w:rPr>
          <w:rStyle w:val="indexentry"/>
        </w:rPr>
        <w:fldChar w:fldCharType="begin"/>
      </w:r>
      <w:r>
        <w:instrText>xe "</w:instrText>
      </w:r>
      <w:r>
        <w:rPr>
          <w:rStyle w:val="xeentry"/>
        </w:rPr>
        <w:instrText>hierarchy of priorities for selecting lujvo form</w:instrText>
      </w:r>
      <w:r>
        <w:instrText>"</w:instrText>
      </w:r>
      <w:r>
        <w:rPr>
          <w:rStyle w:val="indexentry"/>
        </w:rPr>
        <w:fldChar w:fldCharType="end"/>
      </w:r>
      <w:r>
        <w:rPr>
          <w:rStyle w:val="indexentry"/>
        </w:rPr>
        <w:t>&lt;cx "lujvo form, hierarchy of priorities for selection of"&gt;</w:t>
      </w:r>
      <w:r>
        <w:rPr>
          <w:rStyle w:val="indexentry"/>
        </w:rPr>
        <w:fldChar w:fldCharType="begin"/>
      </w:r>
      <w:r>
        <w:instrText>xe "</w:instrText>
      </w:r>
      <w:r>
        <w:rPr>
          <w:rStyle w:val="xeentry"/>
        </w:rPr>
        <w:instrText>lujvo form: hierarchy of priorities for selection of</w:instrText>
      </w:r>
      <w:r>
        <w:instrText>"</w:instrText>
      </w:r>
      <w:r>
        <w:rPr>
          <w:rStyle w:val="indexentry"/>
        </w:rPr>
        <w:fldChar w:fldCharType="end"/>
      </w:r>
      <w:r>
        <w:t>In case of ties, there is no preference. This should be rare. Note that</w:t>
      </w:r>
      <w:r>
        <w:rPr>
          <w:rStyle w:val="deletedparamark"/>
        </w:rPr>
        <w:t xml:space="preserve"> </w:t>
      </w:r>
      <w:r>
        <w:t>the algo</w:t>
      </w:r>
      <w:r>
        <w:softHyphen/>
        <w:t>rithm es</w:t>
      </w:r>
      <w:r>
        <w:softHyphen/>
        <w:t>sentially encodes a hierarchy of priorities: short words</w:t>
      </w:r>
      <w:r>
        <w:rPr>
          <w:rStyle w:val="deletedparamark"/>
        </w:rPr>
        <w:t xml:space="preserve"> </w:t>
      </w:r>
      <w:r>
        <w:t>are preferred (counting apo</w:t>
      </w:r>
      <w:r>
        <w:t>s</w:t>
      </w:r>
      <w:r>
        <w:t>tro</w:t>
      </w:r>
      <w:r>
        <w:softHyphen/>
        <w:t>phes as half a letter), then words with</w:t>
      </w:r>
      <w:r>
        <w:rPr>
          <w:rStyle w:val="deletedparamark"/>
        </w:rPr>
        <w:t xml:space="preserve"> </w:t>
      </w:r>
      <w:r>
        <w:t>fewer hyphens, words with more pleasing rafsi (this judg</w:t>
      </w:r>
      <w:r>
        <w:softHyphen/>
        <w:t>ment is subjective),</w:t>
      </w:r>
      <w:r>
        <w:rPr>
          <w:rStyle w:val="deletedparamark"/>
        </w:rPr>
        <w:t xml:space="preserve"> </w:t>
      </w:r>
      <w:r>
        <w:t>and finally words with more vowels are chosen. Each decision principle</w:t>
      </w:r>
      <w:r>
        <w:rPr>
          <w:rStyle w:val="deletedparamark"/>
        </w:rPr>
        <w:t xml:space="preserve"> </w:t>
      </w:r>
      <w:r>
        <w:t>is applied in turn if the ones before it have failed to choose; it is</w:t>
      </w:r>
      <w:r>
        <w:rPr>
          <w:rStyle w:val="deletedparamark"/>
        </w:rPr>
        <w:t xml:space="preserve"> </w:t>
      </w:r>
      <w:r>
        <w:t>pos</w:t>
      </w:r>
      <w:r>
        <w:softHyphen/>
        <w:t>sible that a lower-ranked principle might dominate a higher-ranked one</w:t>
      </w:r>
      <w:r>
        <w:rPr>
          <w:rStyle w:val="deletedparamark"/>
        </w:rPr>
        <w:t xml:space="preserve"> </w:t>
      </w:r>
      <w:r>
        <w:t>if it is ten times better than the alterna</w:t>
      </w:r>
      <w:r>
        <w:softHyphen/>
        <w:t>tive.</w:t>
      </w:r>
    </w:p>
    <w:p w:rsidR="00B72047" w:rsidRDefault="00B72047">
      <w:pPr>
        <w:rPr>
          <w:rStyle w:val="htmlparacode"/>
        </w:rPr>
      </w:pPr>
      <w:r>
        <w:rPr>
          <w:rStyle w:val="htmlparacode"/>
        </w:rPr>
        <w:t>&lt;p&gt;</w:t>
      </w:r>
    </w:p>
    <w:p w:rsidR="00B72047" w:rsidRDefault="00B72047">
      <w:pPr>
        <w:pStyle w:val="normalparagraph"/>
      </w:pPr>
      <w:r>
        <w:rPr>
          <w:rStyle w:val="indexentry"/>
        </w:rPr>
        <w:t>&lt;cx "lujvo, scored examples of"&gt;</w:t>
      </w:r>
      <w:r>
        <w:rPr>
          <w:rStyle w:val="indexentry"/>
        </w:rPr>
        <w:fldChar w:fldCharType="begin"/>
      </w:r>
      <w:r>
        <w:instrText>xe "</w:instrText>
      </w:r>
      <w:r>
        <w:rPr>
          <w:rStyle w:val="xeentry"/>
        </w:rPr>
        <w:instrText>lujvo: scored examples of</w:instrText>
      </w:r>
      <w:r>
        <w:instrText>"</w:instrText>
      </w:r>
      <w:r>
        <w:rPr>
          <w:rStyle w:val="indexentry"/>
        </w:rPr>
        <w:fldChar w:fldCharType="end"/>
      </w:r>
      <w:r>
        <w:t>Here are some lujvo with their scores (not necessarily the lowest scoring</w:t>
      </w:r>
      <w:r>
        <w:rPr>
          <w:rStyle w:val="deletedparamark"/>
        </w:rPr>
        <w:t xml:space="preserve"> </w:t>
      </w:r>
      <w:r>
        <w:t>forms for these lujvo, nor even necessarily sensible lujvo):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name=e12d1&gt;</w:t>
      </w:r>
      <w:r>
        <w:t>12.1)</w:t>
      </w:r>
      <w:r>
        <w:tab/>
        <w:t>zbasai</w:t>
      </w:r>
    </w:p>
    <w:p w:rsidR="00B72047" w:rsidRDefault="00B72047">
      <w:pPr>
        <w:pStyle w:val="examplescaled"/>
      </w:pPr>
      <w:r>
        <w:tab/>
        <w:t>zba + sai</w:t>
      </w:r>
    </w:p>
    <w:p w:rsidR="00B72047" w:rsidRDefault="00B72047">
      <w:pPr>
        <w:pStyle w:val="examplescaled"/>
      </w:pPr>
      <w:r>
        <w:tab/>
        <w:t xml:space="preserve">(1000 * 6) - (500 * 0) + (100 * 0) - (10 * 15) - 3 </w:t>
      </w:r>
    </w:p>
    <w:p w:rsidR="00B72047" w:rsidRDefault="00B72047">
      <w:pPr>
        <w:pStyle w:val="examplescaled"/>
        <w:ind w:firstLine="0"/>
      </w:pPr>
      <w:r>
        <w:t>= 5847</w:t>
      </w:r>
    </w:p>
    <w:p w:rsidR="00B72047" w:rsidRDefault="00B72047">
      <w:pPr>
        <w:pStyle w:val="examplescaledpre"/>
      </w:pPr>
      <w:r>
        <w:rPr>
          <w:rStyle w:val="htmlcodes"/>
        </w:rPr>
        <w:t>&lt;a name=e12d2&gt;</w:t>
      </w:r>
      <w:r>
        <w:t>12.2)</w:t>
      </w:r>
      <w:r>
        <w:tab/>
        <w:t>nunynau</w:t>
      </w:r>
    </w:p>
    <w:p w:rsidR="00B72047" w:rsidRDefault="00B72047">
      <w:pPr>
        <w:pStyle w:val="examplescaled"/>
      </w:pPr>
      <w:r>
        <w:tab/>
        <w:t>nun + y + nau</w:t>
      </w:r>
    </w:p>
    <w:p w:rsidR="00B72047" w:rsidRDefault="00B72047">
      <w:pPr>
        <w:pStyle w:val="examplescaled"/>
      </w:pPr>
      <w:r>
        <w:tab/>
        <w:t xml:space="preserve">32500 - (1000 * 7) + (500 * 0) - (100 * 1) + (10 * 13) + 3 </w:t>
      </w:r>
    </w:p>
    <w:p w:rsidR="00B72047" w:rsidRDefault="00B72047">
      <w:pPr>
        <w:pStyle w:val="examplescaled"/>
        <w:ind w:firstLine="0"/>
      </w:pPr>
      <w:r>
        <w:t>= 6967</w:t>
      </w:r>
    </w:p>
    <w:p w:rsidR="00B72047" w:rsidRDefault="00B72047">
      <w:pPr>
        <w:pStyle w:val="examplescaledpre"/>
      </w:pPr>
      <w:r>
        <w:rPr>
          <w:rStyle w:val="htmlcodes"/>
        </w:rPr>
        <w:t>&lt;a name=e12d3&gt;</w:t>
      </w:r>
      <w:r>
        <w:t>12.3)</w:t>
      </w:r>
      <w:r>
        <w:tab/>
        <w:t>sairzbata'u</w:t>
      </w:r>
    </w:p>
    <w:p w:rsidR="00B72047" w:rsidRDefault="00B72047">
      <w:pPr>
        <w:pStyle w:val="examplescaled"/>
      </w:pPr>
      <w:r>
        <w:tab/>
        <w:t>sai + r + zba + ta'u</w:t>
      </w:r>
    </w:p>
    <w:p w:rsidR="00B72047" w:rsidRDefault="00B72047">
      <w:pPr>
        <w:pStyle w:val="examplescaled"/>
      </w:pPr>
      <w:r>
        <w:tab/>
        <w:t>32500 - (1000 * 11) + (500 * 1) - (100 * 1) + (10 * 21) + 5</w:t>
      </w:r>
    </w:p>
    <w:p w:rsidR="00B72047" w:rsidRDefault="00B72047">
      <w:pPr>
        <w:pStyle w:val="examplescaled"/>
        <w:ind w:firstLine="0"/>
      </w:pPr>
      <w:r>
        <w:t>= 10385</w:t>
      </w:r>
    </w:p>
    <w:p w:rsidR="00B72047" w:rsidRDefault="00B72047">
      <w:pPr>
        <w:pStyle w:val="examplescaledpre"/>
      </w:pPr>
      <w:r>
        <w:rPr>
          <w:rStyle w:val="htmlcodes"/>
        </w:rPr>
        <w:t>&lt;a name=e12d4&gt;</w:t>
      </w:r>
      <w:r>
        <w:t>12.4)</w:t>
      </w:r>
      <w:r>
        <w:tab/>
        <w:t>zbazbasysarji</w:t>
      </w:r>
    </w:p>
    <w:p w:rsidR="00B72047" w:rsidRDefault="00B72047">
      <w:pPr>
        <w:pStyle w:val="examplescaled"/>
      </w:pPr>
      <w:r>
        <w:tab/>
        <w:t>zba + zbas + y + sarji</w:t>
      </w:r>
    </w:p>
    <w:p w:rsidR="00B72047" w:rsidRDefault="00B72047">
      <w:pPr>
        <w:pStyle w:val="examplescaled"/>
      </w:pPr>
      <w:r>
        <w:tab/>
        <w:t>32500 - (1000 * 13) + (500 * 0) - (100 * 1) + (10 * 12) + 4</w:t>
      </w:r>
    </w:p>
    <w:p w:rsidR="00B72047" w:rsidRDefault="00B72047">
      <w:pPr>
        <w:pStyle w:val="examplescaled"/>
        <w:ind w:firstLine="0"/>
      </w:pPr>
      <w:r>
        <w:t>= 12976</w:t>
      </w:r>
    </w:p>
    <w:p w:rsidR="00B72047" w:rsidRDefault="00B72047">
      <w:pPr>
        <w:pStyle w:val="Heading3"/>
        <w:rPr>
          <w:rStyle w:val="Heading3Text"/>
        </w:rPr>
      </w:pPr>
      <w:r>
        <w:rPr>
          <w:rStyle w:val="htmlcodes"/>
        </w:rPr>
        <w:t>&lt;/pre&gt;&lt;a name=s13&gt;&lt;h3&gt;</w:t>
      </w:r>
      <w:bookmarkStart w:id="179" w:name="_Toc395691511"/>
      <w:bookmarkStart w:id="180" w:name="_Toc398970482"/>
      <w:r>
        <w:rPr>
          <w:rStyle w:val="Heading3Text"/>
        </w:rPr>
        <w:t>lujvo-making examples</w:t>
      </w:r>
      <w:bookmarkEnd w:id="179"/>
      <w:bookmarkEnd w:id="18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examples of making"&gt;</w:t>
      </w:r>
      <w:r>
        <w:rPr>
          <w:rStyle w:val="indexentry"/>
        </w:rPr>
        <w:fldChar w:fldCharType="begin"/>
      </w:r>
      <w:r>
        <w:instrText>xe "</w:instrText>
      </w:r>
      <w:r>
        <w:rPr>
          <w:rStyle w:val="xeentry"/>
        </w:rPr>
        <w:instrText>lujvo: examples of making</w:instrText>
      </w:r>
      <w:r>
        <w:instrText>"</w:instrText>
      </w:r>
      <w:r>
        <w:rPr>
          <w:rStyle w:val="indexentry"/>
        </w:rPr>
        <w:fldChar w:fldCharType="end"/>
      </w:r>
      <w:r>
        <w:rPr>
          <w:rStyle w:val="indexentry"/>
        </w:rPr>
        <w:t>&lt;ex "doghouse"&gt;</w:t>
      </w:r>
      <w:r>
        <w:rPr>
          <w:rStyle w:val="indexentry"/>
        </w:rPr>
        <w:fldChar w:fldCharType="begin"/>
      </w:r>
      <w:r>
        <w:instrText>xe "</w:instrText>
      </w:r>
      <w:r>
        <w:rPr>
          <w:rStyle w:val="xeentry"/>
        </w:rPr>
        <w:instrText>doghouse: example</w:instrText>
      </w:r>
      <w:r>
        <w:instrText>"</w:instrText>
      </w:r>
      <w:r>
        <w:rPr>
          <w:rStyle w:val="indexentry"/>
        </w:rPr>
        <w:fldChar w:fldCharType="end"/>
      </w:r>
      <w:r>
        <w:t>This section contains examples of making and scoring lujvo. First, we</w:t>
      </w:r>
      <w:r>
        <w:rPr>
          <w:rStyle w:val="deletedparamark"/>
        </w:rPr>
        <w:t xml:space="preserve"> </w:t>
      </w:r>
      <w:r>
        <w:t>will start with the tanru “gerku zdani” (“dog house”) and con</w:t>
      </w:r>
      <w:r>
        <w:softHyphen/>
        <w:t>struct a</w:t>
      </w:r>
      <w:r>
        <w:rPr>
          <w:rStyle w:val="deletedparamark"/>
        </w:rPr>
        <w:t xml:space="preserve"> </w:t>
      </w:r>
      <w:r>
        <w:t>lujvo meaning “doghouse”, that is, a house where a dog lives. We will</w:t>
      </w:r>
      <w:r>
        <w:rPr>
          <w:rStyle w:val="deletedparamark"/>
        </w:rPr>
        <w:t xml:space="preserve"> </w:t>
      </w:r>
      <w:r>
        <w:t>use a brute-force application of the algo</w:t>
      </w:r>
      <w:r>
        <w:softHyphen/>
        <w:t xml:space="preserve">rithm in </w:t>
      </w:r>
      <w:r>
        <w:rPr>
          <w:rStyle w:val="htmlcodes"/>
        </w:rPr>
        <w:t>&lt;a href=#s12&gt;</w:t>
      </w:r>
      <w:r>
        <w:t>Sec</w:t>
      </w:r>
      <w:r>
        <w:softHyphen/>
        <w:t>tion 12</w:t>
      </w:r>
      <w:r>
        <w:rPr>
          <w:rStyle w:val="htmlcodes"/>
        </w:rPr>
        <w:t>&lt;/a&gt;</w:t>
      </w:r>
      <w:r>
        <w:t>, using every</w:t>
      </w:r>
      <w:r>
        <w:rPr>
          <w:rStyle w:val="deletedparamark"/>
        </w:rPr>
        <w:t xml:space="preserve"> </w:t>
      </w:r>
      <w:r>
        <w:t>possible rafsi.</w:t>
      </w:r>
    </w:p>
    <w:p w:rsidR="00B72047" w:rsidRDefault="00B72047">
      <w:pPr>
        <w:rPr>
          <w:rStyle w:val="htmlparacode"/>
        </w:rPr>
      </w:pPr>
      <w:r>
        <w:rPr>
          <w:rStyle w:val="htmlparacode"/>
        </w:rPr>
        <w:t>&lt;p&gt;</w:t>
      </w:r>
    </w:p>
    <w:p w:rsidR="00B72047" w:rsidRDefault="00B72047">
      <w:pPr>
        <w:pStyle w:val="normalparagraph"/>
      </w:pPr>
      <w:r>
        <w:t>The rafsi for “gerku” are:</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ab/>
      </w:r>
      <w:r>
        <w:tab/>
      </w:r>
      <w:r>
        <w:rPr>
          <w:rStyle w:val="htmlcodes"/>
        </w:rPr>
        <w:t>&lt;dd&gt;</w:t>
      </w:r>
      <w:r>
        <w:t>-ger-, -ge'u-, -gerk-, -gerku</w:t>
      </w:r>
    </w:p>
    <w:p w:rsidR="00B72047" w:rsidRDefault="00B72047">
      <w:pPr>
        <w:pStyle w:val="normalafterexample"/>
      </w:pPr>
      <w:r>
        <w:rPr>
          <w:rStyle w:val="htmlcodes"/>
        </w:rPr>
        <w:t>&lt;/dl&gt;&lt;p&gt;</w:t>
      </w:r>
      <w:r>
        <w:t>The rafsi for “zdani” are:</w:t>
      </w:r>
    </w:p>
    <w:p w:rsidR="00B72047" w:rsidRDefault="00B72047">
      <w:pPr>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w:t>
      </w:r>
      <w:r>
        <w:tab/>
      </w:r>
      <w:r>
        <w:tab/>
      </w:r>
      <w:r>
        <w:rPr>
          <w:rStyle w:val="htmlcodes"/>
        </w:rPr>
        <w:t>&lt;dd&gt;</w:t>
      </w:r>
      <w:r>
        <w:t>-zda-, -zdan-, -zdani.</w:t>
      </w:r>
    </w:p>
    <w:p w:rsidR="00B72047" w:rsidRDefault="00B72047">
      <w:pPr>
        <w:pStyle w:val="normalafterexample"/>
      </w:pPr>
      <w:r>
        <w:rPr>
          <w:rStyle w:val="htmlcodes"/>
        </w:rPr>
        <w:t>&lt;/dl&gt;&lt;p&gt;</w:t>
      </w:r>
      <w:r>
        <w:t>Step 1 of the algorithm directs us to use “-ger-”, “-ge'u-” and “-gerk-” as</w:t>
      </w:r>
      <w:r>
        <w:rPr>
          <w:rStyle w:val="deletedparamark"/>
        </w:rPr>
        <w:t xml:space="preserve"> </w:t>
      </w:r>
      <w:r>
        <w:t>pos</w:t>
      </w:r>
      <w:r>
        <w:softHyphen/>
        <w:t>sible rafsi for “gerku”; Step 2 directs us to use “-zda-” and “-zdani” as</w:t>
      </w:r>
      <w:r>
        <w:rPr>
          <w:rStyle w:val="deletedparamark"/>
        </w:rPr>
        <w:t xml:space="preserve"> </w:t>
      </w:r>
      <w:r>
        <w:t>possible rafsi for “zdani”. The six possible forms of the lujvo are then: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ger-zda</w:t>
      </w:r>
    </w:p>
    <w:p w:rsidR="00B72047" w:rsidRDefault="00B72047">
      <w:pPr>
        <w:pStyle w:val="examplescaled"/>
      </w:pPr>
      <w:r>
        <w:tab/>
        <w:t>ger-zdani</w:t>
      </w:r>
    </w:p>
    <w:p w:rsidR="00B72047" w:rsidRDefault="00B72047">
      <w:pPr>
        <w:pStyle w:val="examplescaled"/>
      </w:pPr>
      <w:r>
        <w:tab/>
        <w:t>ge'u-zda</w:t>
      </w:r>
    </w:p>
    <w:p w:rsidR="00B72047" w:rsidRDefault="00B72047">
      <w:pPr>
        <w:pStyle w:val="examplescaled"/>
      </w:pPr>
      <w:r>
        <w:tab/>
        <w:t>ge'u-zdani</w:t>
      </w:r>
    </w:p>
    <w:p w:rsidR="00B72047" w:rsidRDefault="00B72047">
      <w:pPr>
        <w:pStyle w:val="examplescaled"/>
      </w:pPr>
      <w:r>
        <w:tab/>
        <w:t>gerk-zda</w:t>
      </w:r>
    </w:p>
    <w:p w:rsidR="00B72047" w:rsidRDefault="00B72047">
      <w:pPr>
        <w:pStyle w:val="examplescaled"/>
      </w:pPr>
      <w:r>
        <w:tab/>
        <w:t>gerk-zdani</w:t>
      </w:r>
    </w:p>
    <w:p w:rsidR="00B72047" w:rsidRDefault="00B72047">
      <w:pPr>
        <w:pStyle w:val="normalafterexample"/>
      </w:pPr>
      <w:r>
        <w:rPr>
          <w:rStyle w:val="htmlcodes"/>
        </w:rPr>
        <w:t>&lt;/dl&gt;&lt;p&gt;</w:t>
      </w:r>
      <w:r>
        <w:t>We must then insert appropriate hyphens in each case. The first two forms</w:t>
      </w:r>
      <w:r>
        <w:rPr>
          <w:rStyle w:val="deletedparamark"/>
        </w:rPr>
        <w:t xml:space="preserve"> </w:t>
      </w:r>
      <w:r>
        <w:t>need no hyphenation: “ge” cannot fall off the front, be</w:t>
      </w:r>
      <w:r>
        <w:softHyphen/>
        <w:t>cause the following</w:t>
      </w:r>
      <w:r>
        <w:rPr>
          <w:rStyle w:val="deletedparamark"/>
        </w:rPr>
        <w:t xml:space="preserve"> </w:t>
      </w:r>
      <w:r>
        <w:t>word would begin with “rz”, which is not a permis</w:t>
      </w:r>
      <w:r>
        <w:softHyphen/>
        <w:t>sible initial consonant</w:t>
      </w:r>
      <w:r>
        <w:rPr>
          <w:rStyle w:val="deletedparamark"/>
        </w:rPr>
        <w:t xml:space="preserve"> </w:t>
      </w:r>
      <w:r>
        <w:t>pair. So the lujvo forms are “gerzda” and “gerzdani”.</w:t>
      </w:r>
    </w:p>
    <w:p w:rsidR="00B72047" w:rsidRDefault="00B72047">
      <w:pPr>
        <w:rPr>
          <w:rStyle w:val="htmlparacode"/>
        </w:rPr>
      </w:pPr>
      <w:r>
        <w:rPr>
          <w:rStyle w:val="htmlparacode"/>
        </w:rPr>
        <w:t>&lt;p&gt;</w:t>
      </w:r>
    </w:p>
    <w:p w:rsidR="00B72047" w:rsidRDefault="00B72047">
      <w:pPr>
        <w:pStyle w:val="normalparagraph"/>
      </w:pPr>
      <w:r>
        <w:t>The third form, “ge'u-zda”, needs no hyphen, because even though the first</w:t>
      </w:r>
      <w:r>
        <w:rPr>
          <w:rStyle w:val="deletedparamark"/>
        </w:rPr>
        <w:t xml:space="preserve"> </w:t>
      </w:r>
      <w:r>
        <w:t>rafsi is CVV, the second one is CCV, so there is a consonant cluster in the</w:t>
      </w:r>
      <w:r>
        <w:rPr>
          <w:rStyle w:val="deletedparamark"/>
        </w:rPr>
        <w:t xml:space="preserve"> </w:t>
      </w:r>
      <w:r>
        <w:t>first five letters. So “ge'uzda” is this form of the lujvo.</w:t>
      </w:r>
    </w:p>
    <w:p w:rsidR="00B72047" w:rsidRDefault="00B72047">
      <w:pPr>
        <w:rPr>
          <w:rStyle w:val="htmlparacode"/>
        </w:rPr>
      </w:pPr>
      <w:r>
        <w:rPr>
          <w:rStyle w:val="htmlparacode"/>
        </w:rPr>
        <w:t>&lt;p&gt;</w:t>
      </w:r>
    </w:p>
    <w:p w:rsidR="00B72047" w:rsidRDefault="00B72047">
      <w:pPr>
        <w:pStyle w:val="normalparagraph"/>
      </w:pPr>
      <w:r>
        <w:t>The fourth form, “ge'u-zdani”, however, requires an “r”-hy</w:t>
      </w:r>
      <w:r>
        <w:softHyphen/>
        <w:t>phen; otherwise,</w:t>
      </w:r>
      <w:r>
        <w:rPr>
          <w:rStyle w:val="deletedparamark"/>
        </w:rPr>
        <w:t xml:space="preserve"> </w:t>
      </w:r>
      <w:r>
        <w:t>the “ge'u-” part would fall off as a cmavo. So this form of the lujvo is</w:t>
      </w:r>
      <w:r>
        <w:rPr>
          <w:rStyle w:val="deletedparamark"/>
        </w:rPr>
        <w:t xml:space="preserve"> “</w:t>
      </w:r>
      <w:r>
        <w:t>ge'urzdani”.</w:t>
      </w:r>
    </w:p>
    <w:p w:rsidR="00B72047" w:rsidRDefault="00B72047">
      <w:pPr>
        <w:rPr>
          <w:rStyle w:val="htmlparacode"/>
        </w:rPr>
      </w:pPr>
      <w:r>
        <w:rPr>
          <w:rStyle w:val="htmlparacode"/>
        </w:rPr>
        <w:t>&lt;p&gt;</w:t>
      </w:r>
    </w:p>
    <w:p w:rsidR="00B72047" w:rsidRDefault="00B72047">
      <w:pPr>
        <w:pStyle w:val="normalparagraph"/>
      </w:pPr>
      <w:r>
        <w:t>The last two forms require “y”-hyphens, as all 4-letter rafsi do, and so</w:t>
      </w:r>
      <w:r>
        <w:rPr>
          <w:rStyle w:val="deletedparamark"/>
        </w:rPr>
        <w:t xml:space="preserve"> </w:t>
      </w:r>
      <w:r>
        <w:t>are “gerkyzda” and “gerkyzdani” respectively.</w:t>
      </w:r>
    </w:p>
    <w:p w:rsidR="00B72047" w:rsidRDefault="00B72047">
      <w:pPr>
        <w:rPr>
          <w:rStyle w:val="htmlparacode"/>
        </w:rPr>
      </w:pPr>
      <w:r>
        <w:rPr>
          <w:rStyle w:val="htmlparacode"/>
        </w:rPr>
        <w:t>&lt;p&gt;</w:t>
      </w:r>
    </w:p>
    <w:p w:rsidR="00B72047" w:rsidRDefault="00B72047">
      <w:pPr>
        <w:pStyle w:val="normalparagraph"/>
      </w:pPr>
      <w:r>
        <w:t>The scoring algorithm is heavily weighted in favor of short luj</w:t>
      </w:r>
      <w:r>
        <w:softHyphen/>
        <w:t>vo, so we</w:t>
      </w:r>
      <w:r>
        <w:rPr>
          <w:rStyle w:val="deletedparamark"/>
        </w:rPr>
        <w:t xml:space="preserve"> </w:t>
      </w:r>
      <w:r>
        <w:t>might expect that “gerzda” would win. Its L score is 6, its A score is 0,</w:t>
      </w:r>
      <w:r>
        <w:rPr>
          <w:rStyle w:val="deletedparamark"/>
        </w:rPr>
        <w:t xml:space="preserve"> </w:t>
      </w:r>
      <w:r>
        <w:t>its H score is 0, its R score is 12, and its V score is 3, for a final score</w:t>
      </w:r>
      <w:r>
        <w:rPr>
          <w:rStyle w:val="deletedparamark"/>
        </w:rPr>
        <w:t xml:space="preserve"> </w:t>
      </w:r>
      <w:r>
        <w:t>of 5878. The other forms have scores of 7917, 6367, 9506, 8008, and</w:t>
      </w:r>
      <w:r>
        <w:rPr>
          <w:rStyle w:val="deletedparamark"/>
        </w:rPr>
        <w:t xml:space="preserve"> </w:t>
      </w:r>
      <w:r>
        <w:t>10047 respectively. Consequently, this lujvo would probably ap</w:t>
      </w:r>
      <w:r>
        <w:softHyphen/>
        <w:t>pear in the</w:t>
      </w:r>
      <w:r>
        <w:rPr>
          <w:rStyle w:val="deletedparamark"/>
        </w:rPr>
        <w:t xml:space="preserve"> </w:t>
      </w:r>
      <w:r>
        <w:t>dictionary in the form “gerzda”.</w:t>
      </w:r>
    </w:p>
    <w:p w:rsidR="00B72047" w:rsidRDefault="00B72047">
      <w:pPr>
        <w:rPr>
          <w:rStyle w:val="htmlparacode"/>
        </w:rPr>
      </w:pPr>
      <w:r>
        <w:rPr>
          <w:rStyle w:val="htmlparacode"/>
        </w:rPr>
        <w:t>&lt;p&gt;</w:t>
      </w:r>
    </w:p>
    <w:p w:rsidR="00B72047" w:rsidRDefault="00B72047">
      <w:pPr>
        <w:pStyle w:val="normalparagraph"/>
      </w:pPr>
      <w:r>
        <w:rPr>
          <w:rStyle w:val="indexentry"/>
        </w:rPr>
        <w:t>&lt;ex "boat class"&gt;</w:t>
      </w:r>
      <w:r>
        <w:rPr>
          <w:rStyle w:val="indexentry"/>
        </w:rPr>
        <w:fldChar w:fldCharType="begin"/>
      </w:r>
      <w:r>
        <w:instrText>xe "</w:instrText>
      </w:r>
      <w:r>
        <w:rPr>
          <w:rStyle w:val="xeentry"/>
        </w:rPr>
        <w:instrText>boat class: example</w:instrText>
      </w:r>
      <w:r>
        <w:instrText>"</w:instrText>
      </w:r>
      <w:r>
        <w:rPr>
          <w:rStyle w:val="indexentry"/>
        </w:rPr>
        <w:fldChar w:fldCharType="end"/>
      </w:r>
      <w:r>
        <w:t>For the next example, we will use the tanru “bloti klesi” (“boat class”)</w:t>
      </w:r>
      <w:r>
        <w:rPr>
          <w:rStyle w:val="deletedparamark"/>
        </w:rPr>
        <w:t xml:space="preserve"> </w:t>
      </w:r>
      <w:r>
        <w:t>pre</w:t>
      </w:r>
      <w:r>
        <w:softHyphen/>
        <w:t>sumably referring to the category (rowboat, motorboat, cruise liner)</w:t>
      </w:r>
      <w:r>
        <w:rPr>
          <w:rStyle w:val="deletedparamark"/>
        </w:rPr>
        <w:t xml:space="preserve"> </w:t>
      </w:r>
      <w:r>
        <w:t>into which a boat falls. We will omit the long rafsi from the process,</w:t>
      </w:r>
      <w:r>
        <w:rPr>
          <w:rStyle w:val="deletedparamark"/>
        </w:rPr>
        <w:t xml:space="preserve"> </w:t>
      </w:r>
      <w:r>
        <w:t>since lujvo containing long rafsi are almost never preferred by the scoring</w:t>
      </w:r>
      <w:r>
        <w:rPr>
          <w:rStyle w:val="deletedparamark"/>
        </w:rPr>
        <w:t xml:space="preserve"> </w:t>
      </w:r>
      <w:r>
        <w:t>algorithm when there are short rafsi available.</w:t>
      </w:r>
    </w:p>
    <w:p w:rsidR="00B72047" w:rsidRDefault="00B72047">
      <w:pPr>
        <w:rPr>
          <w:rStyle w:val="htmlparacode"/>
        </w:rPr>
      </w:pPr>
      <w:r>
        <w:rPr>
          <w:rStyle w:val="htmlparacode"/>
        </w:rPr>
        <w:t>&lt;p&gt;</w:t>
      </w:r>
    </w:p>
    <w:p w:rsidR="00B72047" w:rsidRDefault="00B72047">
      <w:pPr>
        <w:pStyle w:val="normalparagraph"/>
      </w:pPr>
      <w:r>
        <w:t>The rafsi for “bloti” are “-lot-”, “-blo-”, and “-lo'i-”; for “klesi” they</w:t>
      </w:r>
      <w:r>
        <w:rPr>
          <w:rStyle w:val="deletedparamark"/>
        </w:rPr>
        <w:t xml:space="preserve"> </w:t>
      </w:r>
      <w:r>
        <w:t>are “-kle-” and “-lei-”. Both these gismu are among the handful which have both</w:t>
      </w:r>
      <w:r>
        <w:rPr>
          <w:rStyle w:val="deletedparamark"/>
        </w:rPr>
        <w:t xml:space="preserve"> </w:t>
      </w:r>
      <w:r>
        <w:t>CVV-form and CCV-form rafsi, so there is an un</w:t>
      </w:r>
      <w:r>
        <w:softHyphen/>
        <w:t>usual number of possibilities</w:t>
      </w:r>
      <w:r>
        <w:rPr>
          <w:rStyle w:val="deletedparamark"/>
        </w:rPr>
        <w:t xml:space="preserve"> </w:t>
      </w:r>
      <w:r>
        <w:t>available for a two-part tanru:</w:t>
      </w:r>
    </w:p>
    <w:p w:rsidR="00B72047" w:rsidRDefault="00B72047">
      <w:pPr>
        <w:pStyle w:val="exampwidetabs"/>
        <w:rPr>
          <w:rStyle w:val="htmlparacode"/>
        </w:rPr>
      </w:pPr>
      <w:r>
        <w:rPr>
          <w:rStyle w:val="htmlparacode"/>
        </w:rPr>
        <w:t>&lt;p&gt;</w:t>
      </w:r>
    </w:p>
    <w:p w:rsidR="00B72047" w:rsidRDefault="00B72047">
      <w:pPr>
        <w:pStyle w:val="examp5colpre"/>
      </w:pPr>
      <w:r>
        <w:rPr>
          <w:rStyle w:val="htmlcodes"/>
        </w:rPr>
        <w:t>&lt;pre&gt;</w:t>
      </w:r>
      <w:r>
        <w:t xml:space="preserve"> </w:t>
      </w:r>
      <w:r>
        <w:tab/>
        <w:t>lotkle</w:t>
      </w:r>
      <w:r>
        <w:tab/>
        <w:t>blokle</w:t>
      </w:r>
      <w:r>
        <w:tab/>
        <w:t>lo'ikle</w:t>
      </w:r>
    </w:p>
    <w:p w:rsidR="00B72047" w:rsidRDefault="00B72047">
      <w:pPr>
        <w:pStyle w:val="examp5col"/>
      </w:pPr>
      <w:r>
        <w:tab/>
        <w:t>lotlei</w:t>
      </w:r>
      <w:r>
        <w:tab/>
        <w:t>blolei</w:t>
      </w:r>
      <w:r>
        <w:tab/>
        <w:t>lo'irlei</w:t>
      </w:r>
    </w:p>
    <w:p w:rsidR="00B72047" w:rsidRDefault="00B72047">
      <w:pPr>
        <w:pStyle w:val="resumedafterexample"/>
        <w:spacing w:before="0"/>
      </w:pPr>
      <w:r>
        <w:rPr>
          <w:rStyle w:val="htmlcodes"/>
          <w:vanish w:val="0"/>
        </w:rPr>
        <w:br w:type="page"/>
      </w:r>
      <w:r>
        <w:rPr>
          <w:rStyle w:val="htmlcodes"/>
        </w:rPr>
        <w:t>&lt;/pre&gt;&lt;p&gt;</w:t>
      </w:r>
      <w:r>
        <w:t>Only “lo'irlei” requires hyphenation (to avoid confusion with the cmavo</w:t>
      </w:r>
      <w:r>
        <w:rPr>
          <w:rStyle w:val="deletedparamark"/>
        </w:rPr>
        <w:t xml:space="preserve"> </w:t>
      </w:r>
      <w:r>
        <w:t>sequence “lo'i lei”). All six forms are valid versions of the lujvo, as are</w:t>
      </w:r>
      <w:r>
        <w:rPr>
          <w:rStyle w:val="deletedparamark"/>
        </w:rPr>
        <w:t xml:space="preserve"> </w:t>
      </w:r>
      <w:r>
        <w:t>the six further forms using long rafsi; however, the scoring algorithm</w:t>
      </w:r>
      <w:r>
        <w:rPr>
          <w:rStyle w:val="deletedparamark"/>
        </w:rPr>
        <w:t xml:space="preserve"> </w:t>
      </w:r>
      <w:r>
        <w:t>produces the following results:</w:t>
      </w:r>
    </w:p>
    <w:p w:rsidR="00B72047" w:rsidRDefault="00B72047">
      <w:pPr>
        <w:pStyle w:val="examp5colpre"/>
        <w:rPr>
          <w:rStyle w:val="htmlparacode"/>
        </w:rPr>
      </w:pPr>
      <w:r>
        <w:rPr>
          <w:rStyle w:val="htmlparacode"/>
        </w:rPr>
        <w:t>&lt;p&gt;</w:t>
      </w:r>
    </w:p>
    <w:p w:rsidR="00B72047" w:rsidRDefault="00B72047">
      <w:pPr>
        <w:pStyle w:val="examp5colpre"/>
      </w:pPr>
      <w:r>
        <w:rPr>
          <w:rStyle w:val="htmlcodes"/>
        </w:rPr>
        <w:t>&lt;pre&gt;</w:t>
      </w:r>
      <w:r>
        <w:t xml:space="preserve"> </w:t>
      </w:r>
      <w:r>
        <w:tab/>
        <w:t>lotkle</w:t>
      </w:r>
      <w:r>
        <w:tab/>
        <w:t>5878</w:t>
      </w:r>
      <w:r>
        <w:tab/>
        <w:t>blokle</w:t>
      </w:r>
      <w:r>
        <w:tab/>
        <w:t>5858</w:t>
      </w:r>
      <w:r>
        <w:tab/>
        <w:t>lo'ikle</w:t>
      </w:r>
      <w:r>
        <w:tab/>
        <w:t>6367</w:t>
      </w:r>
    </w:p>
    <w:p w:rsidR="00B72047" w:rsidRDefault="00B72047">
      <w:pPr>
        <w:pStyle w:val="examp5col"/>
      </w:pPr>
      <w:r>
        <w:tab/>
        <w:t>lotlei</w:t>
      </w:r>
      <w:r>
        <w:tab/>
        <w:t>5867</w:t>
      </w:r>
      <w:r>
        <w:tab/>
        <w:t>blolei</w:t>
      </w:r>
      <w:r>
        <w:tab/>
        <w:t>5847</w:t>
      </w:r>
      <w:r>
        <w:tab/>
        <w:t>lo'irlei</w:t>
      </w:r>
      <w:r>
        <w:tab/>
        <w:t>7456</w:t>
      </w:r>
    </w:p>
    <w:p w:rsidR="00B72047" w:rsidRDefault="00B72047">
      <w:pPr>
        <w:pStyle w:val="resumedafterexample"/>
      </w:pPr>
      <w:r>
        <w:rPr>
          <w:rStyle w:val="htmlcodes"/>
        </w:rPr>
        <w:t>&lt;/pre&gt;&lt;p&gt;</w:t>
      </w:r>
      <w:r>
        <w:t>So the form “blolei” is preferred, but only by a tiny margin over “blokle”;</w:t>
      </w:r>
      <w:r>
        <w:rPr>
          <w:rStyle w:val="deletedparamark"/>
        </w:rPr>
        <w:t xml:space="preserve">  “lotlei” and “lotkle” </w:t>
      </w:r>
      <w:r>
        <w:t>are only slightly worse; “lo'ikle” suffers because of</w:t>
      </w:r>
      <w:r>
        <w:rPr>
          <w:rStyle w:val="deletedparamark"/>
        </w:rPr>
        <w:t xml:space="preserve"> </w:t>
      </w:r>
      <w:r>
        <w:t>its apostrophe, and “lo'irlei” because of having both apos</w:t>
      </w:r>
      <w:r>
        <w:softHyphen/>
        <w:t>trophe and hyphen.</w:t>
      </w:r>
    </w:p>
    <w:p w:rsidR="00B72047" w:rsidRDefault="00B72047">
      <w:pPr>
        <w:rPr>
          <w:rStyle w:val="htmlparacode"/>
        </w:rPr>
      </w:pPr>
      <w:r>
        <w:rPr>
          <w:rStyle w:val="htmlparacode"/>
        </w:rPr>
        <w:t>&lt;p&gt;</w:t>
      </w:r>
    </w:p>
    <w:p w:rsidR="00B72047" w:rsidRDefault="00B72047">
      <w:pPr>
        <w:pStyle w:val="normalparagraph"/>
      </w:pPr>
      <w:r>
        <w:rPr>
          <w:rStyle w:val="indexentry"/>
        </w:rPr>
        <w:t>&lt;ex "Logical Language Group"&gt;</w:t>
      </w:r>
      <w:r>
        <w:rPr>
          <w:rStyle w:val="indexentry"/>
        </w:rPr>
        <w:fldChar w:fldCharType="begin"/>
      </w:r>
      <w:r>
        <w:instrText>xe "</w:instrText>
      </w:r>
      <w:r>
        <w:rPr>
          <w:rStyle w:val="xeentry"/>
        </w:rPr>
        <w:instrText>Logical Language Group: example</w:instrText>
      </w:r>
      <w:r>
        <w:instrText>"</w:instrText>
      </w:r>
      <w:r>
        <w:rPr>
          <w:rStyle w:val="indexentry"/>
        </w:rPr>
        <w:fldChar w:fldCharType="end"/>
      </w:r>
      <w:r>
        <w:t>Our third example will result in forming both a lujvo and a name from the</w:t>
      </w:r>
      <w:r>
        <w:rPr>
          <w:rStyle w:val="deletedparamark"/>
        </w:rPr>
        <w:t xml:space="preserve"> </w:t>
      </w:r>
      <w:r>
        <w:t>tanru “logji bangu girzu”, or “logical-language group” in English.</w:t>
      </w:r>
      <w:r>
        <w:rPr>
          <w:rStyle w:val="deletedparamark"/>
        </w:rPr>
        <w:t xml:space="preserve"> </w:t>
      </w:r>
      <w:r>
        <w:t>(“The Logical Lan</w:t>
      </w:r>
      <w:r>
        <w:softHyphen/>
        <w:t>guage Group” is the name of the publisher of this book</w:t>
      </w:r>
      <w:r>
        <w:rPr>
          <w:rStyle w:val="deletedparamark"/>
        </w:rPr>
        <w:t xml:space="preserve"> </w:t>
      </w:r>
      <w:r>
        <w:t>and the organization for the promotion of Lojban.)</w:t>
      </w:r>
    </w:p>
    <w:p w:rsidR="00B72047" w:rsidRDefault="00B72047">
      <w:pPr>
        <w:pStyle w:val="normalparagraph"/>
      </w:pPr>
      <w:r>
        <w:t>The available rafsi are</w:t>
      </w:r>
      <w:r>
        <w:rPr>
          <w:rStyle w:val="deletedparamark"/>
        </w:rPr>
        <w:t xml:space="preserve"> “</w:t>
      </w:r>
      <w:r>
        <w:t>-loj-” and “-logj-”; “-ban-”, “-bau-”, and “-bang-”; and “-gri-” and</w:t>
      </w:r>
      <w:r>
        <w:rPr>
          <w:rStyle w:val="deletedparamark"/>
        </w:rPr>
        <w:t xml:space="preserve"> “</w:t>
      </w:r>
      <w:r>
        <w:t>-girzu”, and (for name purposes only) “-gir-” and “-girz-”. The resulting</w:t>
      </w:r>
      <w:r>
        <w:rPr>
          <w:rStyle w:val="deletedparamark"/>
        </w:rPr>
        <w:t xml:space="preserve"> </w:t>
      </w:r>
      <w:r>
        <w:t>12 lujvo possibilities are:</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loj-ban-gri</w:t>
      </w:r>
      <w:r>
        <w:tab/>
        <w:t>loj-bau-gri</w:t>
      </w:r>
      <w:r>
        <w:tab/>
        <w:t>loj-bang-gri</w:t>
      </w:r>
    </w:p>
    <w:p w:rsidR="00B72047" w:rsidRDefault="00B72047">
      <w:pPr>
        <w:pStyle w:val="examplescaled"/>
      </w:pPr>
      <w:r>
        <w:tab/>
        <w:t>logj-ban-gri</w:t>
      </w:r>
      <w:r>
        <w:tab/>
        <w:t>logj-bau-gri</w:t>
      </w:r>
      <w:r>
        <w:tab/>
        <w:t>logj-bang-gri</w:t>
      </w:r>
    </w:p>
    <w:p w:rsidR="00B72047" w:rsidRDefault="00B72047">
      <w:pPr>
        <w:pStyle w:val="examplescaled"/>
      </w:pPr>
      <w:r>
        <w:tab/>
        <w:t>loj-ban-girzu</w:t>
      </w:r>
      <w:r>
        <w:tab/>
        <w:t>loj-bau-girzu</w:t>
      </w:r>
      <w:r>
        <w:tab/>
        <w:t>loj-bang-girzu</w:t>
      </w:r>
    </w:p>
    <w:p w:rsidR="00B72047" w:rsidRDefault="00B72047">
      <w:pPr>
        <w:pStyle w:val="examplescaled"/>
      </w:pPr>
      <w:r>
        <w:tab/>
        <w:t>logj-ban-girzu</w:t>
      </w:r>
      <w:r>
        <w:tab/>
        <w:t>logj-bau-girzu</w:t>
      </w:r>
      <w:r>
        <w:tab/>
        <w:t>logj-bang-girzu</w:t>
      </w:r>
    </w:p>
    <w:p w:rsidR="00B72047" w:rsidRDefault="00B72047">
      <w:pPr>
        <w:pStyle w:val="resumedafterexample"/>
      </w:pPr>
      <w:r>
        <w:rPr>
          <w:rStyle w:val="htmlcodes"/>
        </w:rPr>
        <w:t>&lt;/pre&gt;</w:t>
      </w:r>
      <w:r>
        <w:t>and the 12 name possibilities are:</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loj-ban-gir.</w:t>
      </w:r>
      <w:r>
        <w:tab/>
        <w:t>loj-bau-gir.</w:t>
      </w:r>
      <w:r>
        <w:tab/>
        <w:t>loj-bang-gir.</w:t>
      </w:r>
    </w:p>
    <w:p w:rsidR="00B72047" w:rsidRDefault="00B72047">
      <w:pPr>
        <w:pStyle w:val="examplescaled"/>
      </w:pPr>
      <w:r>
        <w:tab/>
        <w:t>logj-ban-gir.</w:t>
      </w:r>
      <w:r>
        <w:tab/>
        <w:t>logj-bau-gir.</w:t>
      </w:r>
      <w:r>
        <w:tab/>
        <w:t>logj-bang-gir.</w:t>
      </w:r>
    </w:p>
    <w:p w:rsidR="00B72047" w:rsidRDefault="00B72047">
      <w:pPr>
        <w:pStyle w:val="examplescaled"/>
      </w:pPr>
      <w:r>
        <w:tab/>
        <w:t>loj-ban-girz.</w:t>
      </w:r>
      <w:r>
        <w:tab/>
        <w:t>loj-bau-girz.</w:t>
      </w:r>
      <w:r>
        <w:tab/>
        <w:t>loj-bang-girz.</w:t>
      </w:r>
    </w:p>
    <w:p w:rsidR="00B72047" w:rsidRDefault="00B72047">
      <w:pPr>
        <w:pStyle w:val="examplescaled"/>
      </w:pPr>
      <w:r>
        <w:tab/>
        <w:t>logj-ban-girz.</w:t>
      </w:r>
      <w:r>
        <w:tab/>
        <w:t>logj-bau-girz.</w:t>
      </w:r>
      <w:r>
        <w:tab/>
        <w:t>logj-bang-girz.</w:t>
      </w:r>
    </w:p>
    <w:p w:rsidR="00B72047" w:rsidRDefault="00B72047">
      <w:pPr>
        <w:pStyle w:val="resumedafterexample"/>
      </w:pPr>
      <w:r>
        <w:rPr>
          <w:rStyle w:val="htmlcodes"/>
        </w:rPr>
        <w:t>&lt;/pre&gt;&lt;p&gt;</w:t>
      </w:r>
      <w:r>
        <w:t>After hyphenation, we have:</w:t>
      </w:r>
    </w:p>
    <w:p w:rsidR="00B72047" w:rsidRDefault="00B72047">
      <w:pPr>
        <w:ind w:firstLine="720"/>
        <w:rPr>
          <w:rStyle w:val="htmlparacode"/>
        </w:rPr>
      </w:pPr>
      <w:r>
        <w:rPr>
          <w:rStyle w:val="htmlparacode"/>
        </w:rPr>
        <w:t>&lt;p&gt;</w:t>
      </w:r>
    </w:p>
    <w:p w:rsidR="00B72047" w:rsidRDefault="00B72047">
      <w:pPr>
        <w:pStyle w:val="examplescaledpre"/>
      </w:pPr>
      <w:r>
        <w:rPr>
          <w:rStyle w:val="htmlcodes"/>
        </w:rPr>
        <w:t>&lt;pre&gt;</w:t>
      </w:r>
      <w:r>
        <w:t xml:space="preserve"> </w:t>
      </w:r>
      <w:r>
        <w:tab/>
        <w:t>lojbangri</w:t>
      </w:r>
      <w:r>
        <w:tab/>
        <w:t>lojbaugri</w:t>
      </w:r>
      <w:r>
        <w:tab/>
        <w:t>lojbangygri</w:t>
      </w:r>
    </w:p>
    <w:p w:rsidR="00B72047" w:rsidRDefault="00B72047">
      <w:pPr>
        <w:pStyle w:val="examplescaled"/>
      </w:pPr>
      <w:r>
        <w:tab/>
        <w:t>logjybangri</w:t>
      </w:r>
      <w:r>
        <w:tab/>
        <w:t>logjybaugri</w:t>
      </w:r>
      <w:r>
        <w:tab/>
        <w:t>logjybangygri</w:t>
      </w:r>
    </w:p>
    <w:p w:rsidR="00B72047" w:rsidRDefault="00B72047">
      <w:pPr>
        <w:pStyle w:val="examplescaled"/>
      </w:pPr>
      <w:r>
        <w:tab/>
        <w:t>lojbangirzu</w:t>
      </w:r>
      <w:r>
        <w:tab/>
        <w:t>lojbaugirzu</w:t>
      </w:r>
      <w:r>
        <w:tab/>
        <w:t>lojbangygirzu</w:t>
      </w:r>
    </w:p>
    <w:p w:rsidR="00B72047" w:rsidRDefault="00B72047">
      <w:pPr>
        <w:pStyle w:val="examplescaled"/>
      </w:pPr>
      <w:r>
        <w:tab/>
        <w:t>logjybangirzu</w:t>
      </w:r>
      <w:r>
        <w:tab/>
        <w:t>logjybaugirzu</w:t>
      </w:r>
      <w:r>
        <w:tab/>
        <w:t>logjybangygirzu</w:t>
      </w:r>
    </w:p>
    <w:p w:rsidR="00B72047" w:rsidRDefault="00B72047">
      <w:pPr>
        <w:pStyle w:val="examplescaledpre"/>
      </w:pPr>
      <w:r>
        <w:tab/>
        <w:t>lojbangir.</w:t>
      </w:r>
      <w:r>
        <w:tab/>
        <w:t>lojbaugir.</w:t>
      </w:r>
      <w:r>
        <w:tab/>
        <w:t>lojbangygir.</w:t>
      </w:r>
    </w:p>
    <w:p w:rsidR="00B72047" w:rsidRDefault="00B72047">
      <w:pPr>
        <w:pStyle w:val="examplescaled"/>
      </w:pPr>
      <w:r>
        <w:tab/>
        <w:t>logjybangir.</w:t>
      </w:r>
      <w:r>
        <w:tab/>
        <w:t>logjybaugir.</w:t>
      </w:r>
      <w:r>
        <w:tab/>
        <w:t>logjybangygir.</w:t>
      </w:r>
    </w:p>
    <w:p w:rsidR="00B72047" w:rsidRDefault="00B72047">
      <w:pPr>
        <w:pStyle w:val="examplescaled"/>
      </w:pPr>
      <w:r>
        <w:tab/>
        <w:t>lojbangirz.</w:t>
      </w:r>
      <w:r>
        <w:tab/>
        <w:t>lojbaugirz.</w:t>
      </w:r>
      <w:r>
        <w:tab/>
        <w:t>lojbangygirz.</w:t>
      </w:r>
    </w:p>
    <w:p w:rsidR="00B72047" w:rsidRDefault="00B72047">
      <w:pPr>
        <w:pStyle w:val="examplescaled"/>
      </w:pPr>
      <w:r>
        <w:tab/>
        <w:t>logjybangirz.</w:t>
      </w:r>
      <w:r>
        <w:tab/>
        <w:t>logjybaugirz.</w:t>
      </w:r>
      <w:r>
        <w:tab/>
        <w:t>logjybangygirz.</w:t>
      </w:r>
    </w:p>
    <w:p w:rsidR="00B72047" w:rsidRDefault="00B72047">
      <w:pPr>
        <w:pStyle w:val="resumedafterexample"/>
      </w:pPr>
      <w:r>
        <w:rPr>
          <w:rStyle w:val="htmlcodes"/>
        </w:rPr>
        <w:t>&lt;/pre&gt;&lt;p&gt;</w:t>
      </w:r>
      <w:r>
        <w:t>The only fully reduced lujvo forms are “lojbangri” and “lojbaugri”, of which</w:t>
      </w:r>
      <w:r>
        <w:rPr>
          <w:rStyle w:val="deletedparamark"/>
        </w:rPr>
        <w:t xml:space="preserve"> </w:t>
      </w:r>
      <w:r>
        <w:t>the latter has a slightly lower score: 8827 versus 8796, respec</w:t>
      </w:r>
      <w:r>
        <w:softHyphen/>
        <w:t>tively.</w:t>
      </w:r>
      <w:r>
        <w:rPr>
          <w:rStyle w:val="deletedparamark"/>
        </w:rPr>
        <w:t xml:space="preserve"> </w:t>
      </w:r>
      <w:r>
        <w:t>However, for the name of the organization, we chose to make sure the</w:t>
      </w:r>
      <w:r>
        <w:rPr>
          <w:rStyle w:val="deletedparamark"/>
        </w:rPr>
        <w:t xml:space="preserve"> </w:t>
      </w:r>
      <w:r>
        <w:t>name of the language was embedded in it, and to use the clearer long-form</w:t>
      </w:r>
      <w:r>
        <w:rPr>
          <w:rStyle w:val="deletedparamark"/>
        </w:rPr>
        <w:t xml:space="preserve"> </w:t>
      </w:r>
      <w:r>
        <w:t>rafsi for “girzu”, producing “lojbangirz.”</w:t>
      </w:r>
    </w:p>
    <w:p w:rsidR="00B72047" w:rsidRDefault="00B72047">
      <w:pPr>
        <w:rPr>
          <w:rStyle w:val="htmlparacode"/>
        </w:rPr>
      </w:pPr>
      <w:r>
        <w:rPr>
          <w:rStyle w:val="htmlparacode"/>
        </w:rPr>
        <w:t>&lt;p&gt;</w:t>
      </w:r>
    </w:p>
    <w:p w:rsidR="00B72047" w:rsidRDefault="00B72047">
      <w:pPr>
        <w:pStyle w:val="normalparagraph"/>
      </w:pPr>
      <w:r>
        <w:rPr>
          <w:rStyle w:val="indexentry"/>
        </w:rPr>
        <w:t>&lt;ex "male sexual teacher"&gt;</w:t>
      </w:r>
      <w:r>
        <w:rPr>
          <w:rStyle w:val="indexentry"/>
        </w:rPr>
        <w:fldChar w:fldCharType="begin"/>
      </w:r>
      <w:r>
        <w:instrText>xe "</w:instrText>
      </w:r>
      <w:r>
        <w:rPr>
          <w:rStyle w:val="xeentry"/>
        </w:rPr>
        <w:instrText>male sexual teacher: example</w:instrText>
      </w:r>
      <w:r>
        <w:instrText>"</w:instrText>
      </w:r>
      <w:r>
        <w:rPr>
          <w:rStyle w:val="indexentry"/>
        </w:rPr>
        <w:fldChar w:fldCharType="end"/>
      </w:r>
      <w:r>
        <w:rPr>
          <w:rStyle w:val="indexentry"/>
        </w:rPr>
        <w:t>&lt;ex "sexual teacher, male"&gt;</w:t>
      </w:r>
      <w:r>
        <w:rPr>
          <w:rStyle w:val="indexentry"/>
        </w:rPr>
        <w:fldChar w:fldCharType="begin"/>
      </w:r>
      <w:r>
        <w:instrText>xe "</w:instrText>
      </w:r>
      <w:r>
        <w:rPr>
          <w:rStyle w:val="xeentry"/>
        </w:rPr>
        <w:instrText>sexual teacher: male, example</w:instrText>
      </w:r>
      <w:r>
        <w:instrText>"</w:instrText>
      </w:r>
      <w:r>
        <w:rPr>
          <w:rStyle w:val="indexentry"/>
        </w:rPr>
        <w:fldChar w:fldCharType="end"/>
      </w:r>
      <w:r>
        <w:t>Finally, here is a four-part lujvo with a cmavo in it, based on the</w:t>
      </w:r>
      <w:r>
        <w:rPr>
          <w:rStyle w:val="deletedparamark"/>
        </w:rPr>
        <w:t xml:space="preserve"> </w:t>
      </w:r>
      <w:r>
        <w:t>tanru “nakni ke cinse ctuca” or “male (sexual teacher)”. The “ke” cmavo</w:t>
      </w:r>
      <w:r>
        <w:rPr>
          <w:rStyle w:val="deletedparamark"/>
        </w:rPr>
        <w:t xml:space="preserve"> </w:t>
      </w:r>
      <w:r>
        <w:t>ensures the interpretation “teacher of sexuality who is male”, rather than</w:t>
      </w:r>
      <w:r>
        <w:rPr>
          <w:rStyle w:val="deletedparamark"/>
        </w:rPr>
        <w:t xml:space="preserve"> “</w:t>
      </w:r>
      <w:r>
        <w:t>teacher of male sexuality”. Here are the possible forms of the lujvo, both</w:t>
      </w:r>
      <w:r>
        <w:rPr>
          <w:rStyle w:val="deletedparamark"/>
        </w:rPr>
        <w:t xml:space="preserve"> </w:t>
      </w:r>
      <w:r>
        <w:t>before and after hyphenation:</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w:t>
      </w:r>
      <w:r>
        <w:t xml:space="preserve"> </w:t>
      </w:r>
      <w:r>
        <w:tab/>
        <w:t>nak-kem-cin-ctu</w:t>
      </w:r>
      <w:r>
        <w:tab/>
        <w:t>nakykemcinctu</w:t>
      </w:r>
    </w:p>
    <w:p w:rsidR="00B72047" w:rsidRDefault="00B72047">
      <w:pPr>
        <w:pStyle w:val="examplescaled"/>
      </w:pPr>
      <w:r>
        <w:tab/>
        <w:t>nak-kem-cin-ctuca</w:t>
      </w:r>
      <w:r>
        <w:tab/>
        <w:t>nakykemcinctuca</w:t>
      </w:r>
    </w:p>
    <w:p w:rsidR="00B72047" w:rsidRDefault="00B72047">
      <w:pPr>
        <w:pStyle w:val="examplescaled"/>
      </w:pPr>
      <w:r>
        <w:tab/>
        <w:t>nak-kem-cins-ctu</w:t>
      </w:r>
      <w:r>
        <w:tab/>
        <w:t>nakykemcinsyctu</w:t>
      </w:r>
    </w:p>
    <w:p w:rsidR="00B72047" w:rsidRDefault="00B72047">
      <w:pPr>
        <w:pStyle w:val="examplescaled"/>
      </w:pPr>
      <w:r>
        <w:tab/>
        <w:t>nak-kem-cins-ctuca</w:t>
      </w:r>
      <w:r>
        <w:tab/>
        <w:t>nakykemcinsyctuca</w:t>
      </w:r>
    </w:p>
    <w:p w:rsidR="00B72047" w:rsidRDefault="00B72047">
      <w:pPr>
        <w:pStyle w:val="examplescaled"/>
      </w:pPr>
      <w:r>
        <w:tab/>
        <w:t>nakn-kem-cin-ctu</w:t>
      </w:r>
      <w:r>
        <w:tab/>
        <w:t>naknykemcinctu</w:t>
      </w:r>
    </w:p>
    <w:p w:rsidR="00B72047" w:rsidRDefault="00B72047">
      <w:pPr>
        <w:pStyle w:val="examplescaled"/>
      </w:pPr>
      <w:r>
        <w:tab/>
        <w:t>nakn-kem-cin-ctuca</w:t>
      </w:r>
      <w:r>
        <w:tab/>
        <w:t>naknykemcinctuca</w:t>
      </w:r>
    </w:p>
    <w:p w:rsidR="00B72047" w:rsidRDefault="00B72047">
      <w:pPr>
        <w:pStyle w:val="examplescaled"/>
      </w:pPr>
      <w:r>
        <w:tab/>
        <w:t>nakn-kem-cins-ctu</w:t>
      </w:r>
      <w:r>
        <w:tab/>
        <w:t>naknykemcinsyctu</w:t>
      </w:r>
    </w:p>
    <w:p w:rsidR="00B72047" w:rsidRDefault="00B72047">
      <w:pPr>
        <w:pStyle w:val="examplescaled"/>
      </w:pPr>
      <w:r>
        <w:tab/>
        <w:t>nakn-kem-cins-ctuca</w:t>
      </w:r>
      <w:r>
        <w:tab/>
        <w:t>naknykemcinsyctuca</w:t>
      </w:r>
    </w:p>
    <w:p w:rsidR="00B72047" w:rsidRDefault="00B72047">
      <w:pPr>
        <w:pStyle w:val="resumedafterexample"/>
      </w:pPr>
      <w:r>
        <w:rPr>
          <w:rStyle w:val="htmlcodes"/>
        </w:rPr>
        <w:t>&lt;/pre&gt;&lt;p&gt;</w:t>
      </w:r>
      <w:r>
        <w:t>Of these forms, “nakykemcinctu” is the shortest and is preferred by the</w:t>
      </w:r>
      <w:r>
        <w:rPr>
          <w:rStyle w:val="deletedparamark"/>
        </w:rPr>
        <w:t xml:space="preserve"> </w:t>
      </w:r>
      <w:r>
        <w:t>scoring algo</w:t>
      </w:r>
      <w:r>
        <w:softHyphen/>
        <w:t>rithm. On the whole, however, it might be better to just</w:t>
      </w:r>
      <w:r>
        <w:rPr>
          <w:rStyle w:val="deletedparamark"/>
        </w:rPr>
        <w:t xml:space="preserve"> </w:t>
      </w:r>
      <w:r>
        <w:t>make a lujvo for “cinse ctuca” (which would be “cinctu”) since the sex</w:t>
      </w:r>
      <w:r>
        <w:rPr>
          <w:rStyle w:val="deletedparamark"/>
        </w:rPr>
        <w:t xml:space="preserve"> </w:t>
      </w:r>
      <w:r>
        <w:t>of the teacher is rarely important. If there was a reason to specify</w:t>
      </w:r>
      <w:r>
        <w:rPr>
          <w:rStyle w:val="deletedparamark"/>
        </w:rPr>
        <w:t xml:space="preserve"> “</w:t>
      </w:r>
      <w:r>
        <w:t>male”, then the simpler tanru “nakni cinctu” (“male sexual-teacher”)</w:t>
      </w:r>
      <w:r>
        <w:rPr>
          <w:rStyle w:val="deletedparamark"/>
        </w:rPr>
        <w:t xml:space="preserve"> </w:t>
      </w:r>
      <w:r>
        <w:t>would be appropriate. This tanru is actually shorter than the four-part</w:t>
      </w:r>
      <w:r>
        <w:rPr>
          <w:rStyle w:val="deletedparamark"/>
        </w:rPr>
        <w:t xml:space="preserve"> </w:t>
      </w:r>
      <w:r>
        <w:t>lujvo, since the “ke” required for grouping need not be expressed.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181" w:name="_Toc395691512"/>
      <w:bookmarkStart w:id="182" w:name="_Toc398970483"/>
      <w:r>
        <w:rPr>
          <w:rStyle w:val="Heading3Text"/>
        </w:rPr>
        <w:t>The gismu creation algorithm</w:t>
      </w:r>
      <w:bookmarkEnd w:id="181"/>
      <w:bookmarkEnd w:id="18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"gismu, algorithm for"&gt;</w:t>
      </w:r>
      <w:r>
        <w:rPr>
          <w:rStyle w:val="indexentry"/>
        </w:rPr>
        <w:fldChar w:fldCharType="begin"/>
      </w:r>
      <w:r>
        <w:instrText>xe "</w:instrText>
      </w:r>
      <w:r>
        <w:rPr>
          <w:rStyle w:val="xeentry"/>
        </w:rPr>
        <w:instrText>gismu: algorithm for</w:instrText>
      </w:r>
      <w:r>
        <w:instrText>"</w:instrText>
      </w:r>
      <w:r>
        <w:rPr>
          <w:rStyle w:val="indexentry"/>
        </w:rPr>
        <w:fldChar w:fldCharType="end"/>
      </w:r>
      <w:r>
        <w:t>The gismu were created through the following process: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"source languages, use in creating gismu"&gt;</w:t>
      </w:r>
      <w:r>
        <w:rPr>
          <w:rStyle w:val="indexentry"/>
        </w:rPr>
        <w:fldChar w:fldCharType="begin"/>
      </w:r>
      <w:r>
        <w:instrText>xe "</w:instrText>
      </w:r>
      <w:r>
        <w:rPr>
          <w:rStyle w:val="xeentry"/>
        </w:rPr>
        <w:instrText>source languages: use in creating gismu</w:instrText>
      </w:r>
      <w:r>
        <w:instrText>"</w:instrText>
      </w:r>
      <w:r>
        <w:rPr>
          <w:rStyle w:val="indexentry"/>
        </w:rPr>
        <w:fldChar w:fldCharType="end"/>
      </w:r>
      <w:r>
        <w:rPr>
          <w:rStyle w:val="htmlcodes"/>
        </w:rPr>
        <w:t>&lt;dl compact&gt;&lt;dt&gt;</w:t>
      </w:r>
      <w:r>
        <w:t>1)</w:t>
      </w:r>
      <w:r>
        <w:tab/>
      </w:r>
      <w:r>
        <w:rPr>
          <w:rStyle w:val="htmlcodes"/>
        </w:rPr>
        <w:t>&lt;dd&gt;</w:t>
      </w:r>
      <w:r>
        <w:t>At least one word was found in each of the six source lan</w:t>
      </w:r>
      <w:r>
        <w:softHyphen/>
        <w:t>guages (Chinese, English, Hindi, Spanish, Russian, Arabic) cor</w:t>
      </w:r>
      <w:r>
        <w:softHyphen/>
        <w:t>responding to the proposed gismu. This word was rendered into Lojban phonetics rather liberally: conso</w:t>
      </w:r>
      <w:r>
        <w:softHyphen/>
        <w:t>nant clusters consisting of a stop and the corresponding fricative were sim</w:t>
      </w:r>
      <w:r>
        <w:softHyphen/>
        <w:t>plified to just the fricative (“tc” became “c”, “dj” became “j”) and non-Loj</w:t>
      </w:r>
      <w:r>
        <w:softHyphen/>
        <w:t>ban vowels were mapped onto Lojban ones. Furthermore, morphological end</w:t>
      </w:r>
      <w:r>
        <w:softHyphen/>
        <w:t>ings were dropped. The same mapping rules were applied to all six lan</w:t>
      </w:r>
      <w:r>
        <w:softHyphen/>
        <w:t>guages for the sake of consistency.</w:t>
      </w:r>
    </w:p>
    <w:p w:rsidR="00B72047" w:rsidRDefault="00B72047" w:rsidP="007E67C1">
      <w:pPr>
        <w:pStyle w:val="Listnobullets"/>
        <w:numPr>
          <w:ilvl w:val="0"/>
          <w:numId w:val="0"/>
        </w:numPr>
        <w:ind w:left="864" w:hanging="504"/>
      </w:pPr>
      <w:r>
        <w:rPr>
          <w:rStyle w:val="htmlcodes"/>
        </w:rPr>
        <w:t>&lt;p&gt;&lt;dt&gt;</w:t>
      </w:r>
      <w:r>
        <w:t>2)</w:t>
      </w:r>
      <w:r>
        <w:tab/>
      </w:r>
      <w:r>
        <w:rPr>
          <w:rStyle w:val="htmlcodes"/>
        </w:rPr>
        <w:t>&lt;dd&gt;</w:t>
      </w:r>
      <w:r>
        <w:t>All possible gismu forms were matched against the six source-language forms. The matches were scored as follows:</w:t>
      </w:r>
    </w:p>
    <w:p w:rsidR="00B72047" w:rsidRDefault="00B72047" w:rsidP="007E67C1">
      <w:pPr>
        <w:pStyle w:val="Listnobullets"/>
        <w:numPr>
          <w:ilvl w:val="0"/>
          <w:numId w:val="0"/>
        </w:numPr>
        <w:ind w:left="864" w:hanging="504"/>
      </w:pPr>
      <w:r>
        <w:rPr>
          <w:rStyle w:val="htmlcodes"/>
        </w:rPr>
        <w:t>&lt;/dl&gt;</w:t>
      </w:r>
      <w:r>
        <w:rPr>
          <w:rStyle w:val="indexentry"/>
        </w:rPr>
        <w:t>&lt;cx "gismu creation, scoring rules"&gt;</w:t>
      </w:r>
      <w:r>
        <w:rPr>
          <w:rStyle w:val="indexentry"/>
        </w:rPr>
        <w:fldChar w:fldCharType="begin"/>
      </w:r>
      <w:r>
        <w:instrText>xe "</w:instrText>
      </w:r>
      <w:r>
        <w:rPr>
          <w:rStyle w:val="xeentry"/>
        </w:rPr>
        <w:instrText>gismu: creation, scoring rules</w:instrText>
      </w:r>
      <w:r>
        <w:instrText>"</w:instrText>
      </w:r>
      <w:r>
        <w:rPr>
          <w:rStyle w:val="indexentry"/>
        </w:rPr>
        <w:fldChar w:fldCharType="end"/>
      </w:r>
      <w:r>
        <w:rPr>
          <w:rStyle w:val="htmlcodes"/>
        </w:rPr>
        <w:t>&lt;dl compact&gt;&lt;dt&gt;</w:t>
      </w:r>
      <w:r>
        <w:t>2a)</w:t>
      </w:r>
      <w:r>
        <w:tab/>
      </w:r>
      <w:r>
        <w:rPr>
          <w:rStyle w:val="htmlcodes"/>
        </w:rPr>
        <w:t>&lt;dd&gt;</w:t>
      </w:r>
      <w:r>
        <w:t>If three or more letters were the same in the proposed gismu and the source-language word, and appeared in the same order, the score was equal to the number of letters that were the same. Intervening letters, if any, did not matter.</w:t>
      </w:r>
    </w:p>
    <w:p w:rsidR="00B72047" w:rsidRDefault="00B72047" w:rsidP="007E67C1">
      <w:pPr>
        <w:pStyle w:val="Listnobullets"/>
        <w:numPr>
          <w:ilvl w:val="0"/>
          <w:numId w:val="0"/>
        </w:numPr>
        <w:ind w:left="864" w:hanging="504"/>
      </w:pPr>
      <w:r>
        <w:rPr>
          <w:rStyle w:val="htmlcodes"/>
        </w:rPr>
        <w:t>&lt;p&gt;&lt;dt&gt;</w:t>
      </w:r>
      <w:r>
        <w:t>2b)</w:t>
      </w:r>
      <w:r>
        <w:tab/>
      </w:r>
      <w:r>
        <w:rPr>
          <w:rStyle w:val="htmlcodes"/>
        </w:rPr>
        <w:t>&lt;dd&gt;</w:t>
      </w:r>
      <w:r>
        <w:t xml:space="preserve">If exactly two letters were the same in the proposed gismu and the source-language word, and either the two letters were consecutive in both words, or were separated by a single letter in both words, the score was 2. Letters in reversed order got no score. </w:t>
      </w:r>
    </w:p>
    <w:p w:rsidR="00B72047" w:rsidRDefault="00B72047" w:rsidP="007E67C1">
      <w:pPr>
        <w:pStyle w:val="Listnobullets"/>
        <w:numPr>
          <w:ilvl w:val="0"/>
          <w:numId w:val="0"/>
        </w:numPr>
        <w:ind w:left="864" w:hanging="504"/>
      </w:pPr>
      <w:r>
        <w:rPr>
          <w:rStyle w:val="htmlcodes"/>
        </w:rPr>
        <w:t>&lt;p&gt;&lt;dt&gt;</w:t>
      </w:r>
      <w:r>
        <w:t>2c)</w:t>
      </w:r>
      <w:r>
        <w:tab/>
      </w:r>
      <w:r>
        <w:rPr>
          <w:rStyle w:val="htmlcodes"/>
        </w:rPr>
        <w:t>&lt;dd&gt;</w:t>
      </w:r>
      <w:r>
        <w:t>Otherwise, the score was 0.</w:t>
      </w:r>
    </w:p>
    <w:p w:rsidR="00B72047" w:rsidRDefault="00B72047" w:rsidP="007E67C1">
      <w:pPr>
        <w:pStyle w:val="Listnobullets"/>
        <w:numPr>
          <w:ilvl w:val="0"/>
          <w:numId w:val="0"/>
        </w:numPr>
        <w:ind w:left="864" w:hanging="504"/>
      </w:pPr>
      <w:r>
        <w:rPr>
          <w:rStyle w:val="htmlcodes"/>
        </w:rPr>
        <w:t>&lt;p&gt;&lt;dt&gt;</w:t>
      </w:r>
      <w:r>
        <w:t>3)</w:t>
      </w:r>
      <w:r>
        <w:tab/>
      </w:r>
      <w:r>
        <w:rPr>
          <w:rStyle w:val="htmlcodes"/>
        </w:rPr>
        <w:t>&lt;dd&gt;</w:t>
      </w:r>
      <w:r>
        <w:t>The scores were divided by the length of the source-lan</w:t>
      </w:r>
      <w:r>
        <w:softHyphen/>
        <w:t>guage word in its Loj</w:t>
      </w:r>
      <w:r>
        <w:softHyphen/>
        <w:t>banized form, and then multiplied by a weighting value specific to each lan</w:t>
      </w:r>
      <w:r>
        <w:softHyphen/>
        <w:t>guage, reflecting the propor</w:t>
      </w:r>
      <w:r>
        <w:softHyphen/>
        <w:t>tional number of first-language and second-lan</w:t>
      </w:r>
      <w:r>
        <w:softHyphen/>
        <w:t>guage speakers of the language. (Second-language speakers were reck</w:t>
      </w:r>
      <w:r>
        <w:softHyphen/>
        <w:t>oned at half their actual numbers.) The weights were chosen to sum to 1.00. The sum of the weighted scores was the total score for the pro</w:t>
      </w:r>
      <w:r>
        <w:softHyphen/>
        <w:t>posed gismu form.</w:t>
      </w:r>
    </w:p>
    <w:p w:rsidR="00B72047" w:rsidRDefault="00B72047" w:rsidP="007E67C1">
      <w:pPr>
        <w:pStyle w:val="Listnobullets"/>
        <w:numPr>
          <w:ilvl w:val="0"/>
          <w:numId w:val="0"/>
        </w:numPr>
        <w:ind w:left="864" w:hanging="504"/>
      </w:pPr>
      <w:r>
        <w:rPr>
          <w:rStyle w:val="htmlcodes"/>
        </w:rPr>
        <w:t>&lt;/dl&gt;</w:t>
      </w:r>
      <w:r>
        <w:rPr>
          <w:rStyle w:val="indexentry"/>
        </w:rPr>
        <w:t>&lt;cx "gismu creation, considerations for selection after scoring"&gt;</w:t>
      </w:r>
      <w:r>
        <w:rPr>
          <w:rStyle w:val="indexentry"/>
        </w:rPr>
        <w:fldChar w:fldCharType="begin"/>
      </w:r>
      <w:r>
        <w:instrText>xe "</w:instrText>
      </w:r>
      <w:r>
        <w:rPr>
          <w:rStyle w:val="xeentry"/>
        </w:rPr>
        <w:instrText>gismu: creation, considerations for selection after scoring</w:instrText>
      </w:r>
      <w:r>
        <w:instrText>"</w:instrText>
      </w:r>
      <w:r>
        <w:rPr>
          <w:rStyle w:val="indexentry"/>
        </w:rPr>
        <w:fldChar w:fldCharType="end"/>
      </w:r>
      <w:r>
        <w:rPr>
          <w:rStyle w:val="htmlcodes"/>
        </w:rPr>
        <w:t>&lt;dl compact&gt;&lt;dt&gt;</w:t>
      </w:r>
      <w:r>
        <w:t>4)</w:t>
      </w:r>
      <w:r>
        <w:tab/>
      </w:r>
      <w:r>
        <w:rPr>
          <w:rStyle w:val="htmlcodes"/>
        </w:rPr>
        <w:t>&lt;dd&gt;</w:t>
      </w:r>
      <w:r>
        <w:t>Any gismu forms that conflicted with existing gismu were re</w:t>
      </w:r>
      <w:r>
        <w:softHyphen/>
        <w:t>moved. Obvi</w:t>
      </w:r>
      <w:r>
        <w:softHyphen/>
        <w:t>ously, being identical with an existing gismu consti</w:t>
      </w:r>
      <w:r>
        <w:softHyphen/>
        <w:t>tutes a conflict. In addi</w:t>
      </w:r>
      <w:r>
        <w:softHyphen/>
        <w:t>tion, a proposed gismu that was identical to an existing gismu except for the final vowel was considered a conflict, since two such gismu would have iden</w:t>
      </w:r>
      <w:r>
        <w:softHyphen/>
        <w:t>tical 4-letter rafsi.</w:t>
      </w:r>
    </w:p>
    <w:p w:rsidR="00B72047" w:rsidRDefault="00B72047" w:rsidP="007E67C1">
      <w:pPr>
        <w:pStyle w:val="Listnobullets"/>
        <w:numPr>
          <w:ilvl w:val="0"/>
          <w:numId w:val="0"/>
        </w:numPr>
        <w:ind w:left="864" w:hanging="504"/>
      </w:pPr>
      <w:r>
        <w:tab/>
      </w:r>
      <w:r>
        <w:tab/>
      </w:r>
      <w:r>
        <w:rPr>
          <w:rStyle w:val="htmlcodes"/>
        </w:rPr>
        <w:t>&lt;/dl&gt;</w:t>
      </w:r>
      <w:r>
        <w:rPr>
          <w:rStyle w:val="indexentry"/>
        </w:rPr>
        <w:t>&lt;cx "gismu, too-similar"&gt;</w:t>
      </w:r>
      <w:r>
        <w:rPr>
          <w:rStyle w:val="indexentry"/>
        </w:rPr>
        <w:fldChar w:fldCharType="begin"/>
      </w:r>
      <w:r>
        <w:instrText>xe "</w:instrText>
      </w:r>
      <w:r>
        <w:rPr>
          <w:rStyle w:val="xeentry"/>
        </w:rPr>
        <w:instrText>gismu: too-similar</w:instrText>
      </w:r>
      <w:r>
        <w:instrText>"</w:instrText>
      </w:r>
      <w:r>
        <w:rPr>
          <w:rStyle w:val="indexentry"/>
        </w:rPr>
        <w:fldChar w:fldCharType="end"/>
      </w:r>
      <w:r>
        <w:rPr>
          <w:rStyle w:val="indexentry"/>
        </w:rPr>
        <w:t>&lt;cx "gismu creation, proscribed gismu pairs"&gt;</w:t>
      </w:r>
      <w:r>
        <w:rPr>
          <w:rStyle w:val="indexentry"/>
        </w:rPr>
        <w:fldChar w:fldCharType="begin"/>
      </w:r>
      <w:r>
        <w:instrText>xe "</w:instrText>
      </w:r>
      <w:r>
        <w:rPr>
          <w:rStyle w:val="xeentry"/>
        </w:rPr>
        <w:instrText>gismu: creation, proscribed gismu pairs</w:instrText>
      </w:r>
      <w:r>
        <w:instrText>"</w:instrText>
      </w:r>
      <w:r>
        <w:rPr>
          <w:rStyle w:val="indexentry"/>
        </w:rPr>
        <w:fldChar w:fldCharType="end"/>
      </w:r>
      <w:r>
        <w:rPr>
          <w:rStyle w:val="htmlcodes"/>
        </w:rPr>
        <w:t>&lt;dl compact&gt;&lt;dt&gt;&lt;dd&gt;</w:t>
      </w:r>
      <w:r>
        <w:t>More subtly: If the proposed gismu was identical to an existing gismu except for a single consonant, and the consonant was “too similar” based on the follow</w:t>
      </w:r>
      <w:r>
        <w:softHyphen/>
        <w:t>ing table, then the proposed gismu was rejected.</w:t>
      </w:r>
    </w:p>
    <w:p w:rsidR="00B72047" w:rsidRDefault="00B72047">
      <w:pPr>
        <w:pStyle w:val="examplescaledpre"/>
      </w:pPr>
      <w:r>
        <w:rPr>
          <w:rStyle w:val="htmlcodes"/>
        </w:rPr>
        <w:t>&lt;p&gt;&lt;dt&gt;</w:t>
      </w:r>
      <w:r>
        <w:tab/>
      </w:r>
      <w:r>
        <w:rPr>
          <w:rStyle w:val="htmlcodes"/>
        </w:rPr>
        <w:t>&lt;dd&gt;</w:t>
      </w:r>
      <w:r>
        <w:t>proposed gismu</w:t>
      </w:r>
      <w:r>
        <w:tab/>
      </w:r>
      <w:r>
        <w:tab/>
        <w:t xml:space="preserve">   existing gismu</w:t>
      </w:r>
    </w:p>
    <w:p w:rsidR="00B72047" w:rsidRDefault="00B72047">
      <w:pPr>
        <w:pStyle w:val="examplescaled"/>
        <w:spacing w:line="220" w:lineRule="exact"/>
      </w:pPr>
      <w:r>
        <w:rPr>
          <w:rStyle w:val="htmlcodes"/>
        </w:rPr>
        <w:t>&lt;p&gt;&lt;dt&gt;</w:t>
      </w:r>
      <w:r>
        <w:tab/>
      </w:r>
      <w:r>
        <w:tab/>
      </w:r>
      <w:r>
        <w:rPr>
          <w:rStyle w:val="htmlcodes"/>
        </w:rPr>
        <w:t>&lt;dd&gt;</w:t>
      </w:r>
      <w:r>
        <w:t>b</w:t>
      </w:r>
      <w:r>
        <w:tab/>
      </w:r>
      <w:r>
        <w:tab/>
      </w:r>
      <w:r>
        <w:tab/>
        <w:t>p, v</w:t>
      </w:r>
    </w:p>
    <w:p w:rsidR="00B72047" w:rsidRDefault="00B72047">
      <w:pPr>
        <w:pStyle w:val="examplescaled"/>
        <w:spacing w:line="220" w:lineRule="exact"/>
      </w:pPr>
      <w:r>
        <w:tab/>
      </w:r>
      <w:r>
        <w:tab/>
        <w:t>c</w:t>
      </w:r>
      <w:r>
        <w:tab/>
      </w:r>
      <w:r>
        <w:tab/>
      </w:r>
      <w:r>
        <w:tab/>
        <w:t>j, s</w:t>
      </w:r>
    </w:p>
    <w:p w:rsidR="00B72047" w:rsidRDefault="00B72047">
      <w:pPr>
        <w:pStyle w:val="examplescaled"/>
        <w:spacing w:line="220" w:lineRule="exact"/>
      </w:pPr>
      <w:r>
        <w:tab/>
      </w:r>
      <w:r>
        <w:tab/>
        <w:t>d</w:t>
      </w:r>
      <w:r>
        <w:tab/>
      </w:r>
      <w:r>
        <w:tab/>
      </w:r>
      <w:r>
        <w:tab/>
        <w:t>t</w:t>
      </w:r>
    </w:p>
    <w:p w:rsidR="00B72047" w:rsidRDefault="00B72047">
      <w:pPr>
        <w:pStyle w:val="examplescaled"/>
        <w:spacing w:line="220" w:lineRule="exact"/>
      </w:pPr>
      <w:r>
        <w:tab/>
      </w:r>
      <w:r>
        <w:tab/>
        <w:t>f</w:t>
      </w:r>
      <w:r>
        <w:tab/>
      </w:r>
      <w:r>
        <w:tab/>
      </w:r>
      <w:r>
        <w:tab/>
        <w:t>p, v</w:t>
      </w:r>
    </w:p>
    <w:p w:rsidR="00B72047" w:rsidRDefault="00B72047">
      <w:pPr>
        <w:pStyle w:val="examplescaled"/>
        <w:spacing w:line="220" w:lineRule="exact"/>
      </w:pPr>
      <w:r>
        <w:tab/>
      </w:r>
      <w:r>
        <w:tab/>
        <w:t>g</w:t>
      </w:r>
      <w:r>
        <w:tab/>
      </w:r>
      <w:r>
        <w:tab/>
      </w:r>
      <w:r>
        <w:tab/>
        <w:t>k, x</w:t>
      </w:r>
    </w:p>
    <w:p w:rsidR="00B72047" w:rsidRDefault="00B72047">
      <w:pPr>
        <w:pStyle w:val="examplescaled"/>
        <w:spacing w:line="220" w:lineRule="exact"/>
      </w:pPr>
      <w:r>
        <w:tab/>
      </w:r>
      <w:r>
        <w:tab/>
        <w:t>j</w:t>
      </w:r>
      <w:r>
        <w:tab/>
      </w:r>
      <w:r>
        <w:tab/>
      </w:r>
      <w:r>
        <w:tab/>
        <w:t>c, z</w:t>
      </w:r>
    </w:p>
    <w:p w:rsidR="00B72047" w:rsidRDefault="00B72047">
      <w:pPr>
        <w:pStyle w:val="examplescaled"/>
        <w:spacing w:line="220" w:lineRule="exact"/>
      </w:pPr>
      <w:r>
        <w:tab/>
      </w:r>
      <w:r>
        <w:tab/>
        <w:t>k</w:t>
      </w:r>
      <w:r>
        <w:tab/>
      </w:r>
      <w:r>
        <w:tab/>
      </w:r>
      <w:r>
        <w:tab/>
        <w:t>g, x</w:t>
      </w:r>
    </w:p>
    <w:p w:rsidR="00B72047" w:rsidRDefault="00B72047">
      <w:pPr>
        <w:pStyle w:val="examplescaled"/>
        <w:spacing w:line="220" w:lineRule="exact"/>
      </w:pPr>
      <w:r>
        <w:tab/>
      </w:r>
      <w:r>
        <w:tab/>
        <w:t>l</w:t>
      </w:r>
      <w:r>
        <w:tab/>
      </w:r>
      <w:r>
        <w:tab/>
      </w:r>
      <w:r>
        <w:tab/>
        <w:t>r</w:t>
      </w:r>
    </w:p>
    <w:p w:rsidR="00B72047" w:rsidRDefault="00B72047">
      <w:pPr>
        <w:pStyle w:val="examplescaled"/>
        <w:spacing w:line="220" w:lineRule="exact"/>
      </w:pPr>
      <w:r>
        <w:tab/>
      </w:r>
      <w:r>
        <w:tab/>
        <w:t>m</w:t>
      </w:r>
      <w:r>
        <w:tab/>
      </w:r>
      <w:r>
        <w:tab/>
      </w:r>
      <w:r>
        <w:tab/>
        <w:t>n</w:t>
      </w:r>
    </w:p>
    <w:p w:rsidR="00B72047" w:rsidRDefault="00B72047">
      <w:pPr>
        <w:pStyle w:val="examplescaled"/>
        <w:spacing w:line="220" w:lineRule="exact"/>
      </w:pPr>
      <w:r>
        <w:tab/>
      </w:r>
      <w:r>
        <w:tab/>
        <w:t>n</w:t>
      </w:r>
      <w:r>
        <w:tab/>
      </w:r>
      <w:r>
        <w:tab/>
      </w:r>
      <w:r>
        <w:tab/>
        <w:t>m</w:t>
      </w:r>
    </w:p>
    <w:p w:rsidR="00B72047" w:rsidRDefault="00B72047">
      <w:pPr>
        <w:pStyle w:val="examplescaled"/>
        <w:spacing w:line="220" w:lineRule="exact"/>
      </w:pPr>
      <w:r>
        <w:tab/>
      </w:r>
      <w:r>
        <w:tab/>
        <w:t>p</w:t>
      </w:r>
      <w:r>
        <w:tab/>
      </w:r>
      <w:r>
        <w:tab/>
      </w:r>
      <w:r>
        <w:tab/>
        <w:t>b, f</w:t>
      </w:r>
    </w:p>
    <w:p w:rsidR="00B72047" w:rsidRDefault="00B72047">
      <w:pPr>
        <w:pStyle w:val="examplescaled"/>
        <w:spacing w:line="220" w:lineRule="exact"/>
      </w:pPr>
      <w:r>
        <w:tab/>
      </w:r>
      <w:r>
        <w:tab/>
        <w:t>r</w:t>
      </w:r>
      <w:r>
        <w:tab/>
      </w:r>
      <w:r>
        <w:tab/>
      </w:r>
      <w:r>
        <w:tab/>
        <w:t>l</w:t>
      </w:r>
    </w:p>
    <w:p w:rsidR="00B72047" w:rsidRDefault="00B72047">
      <w:pPr>
        <w:pStyle w:val="examplescaled"/>
        <w:spacing w:line="220" w:lineRule="exact"/>
      </w:pPr>
      <w:r>
        <w:tab/>
      </w:r>
      <w:r>
        <w:tab/>
        <w:t>s</w:t>
      </w:r>
      <w:r>
        <w:tab/>
      </w:r>
      <w:r>
        <w:tab/>
      </w:r>
      <w:r>
        <w:tab/>
        <w:t>c, z</w:t>
      </w:r>
    </w:p>
    <w:p w:rsidR="00B72047" w:rsidRDefault="00B72047">
      <w:pPr>
        <w:pStyle w:val="examplescaled"/>
        <w:spacing w:line="220" w:lineRule="exact"/>
      </w:pPr>
      <w:r>
        <w:tab/>
      </w:r>
      <w:r>
        <w:tab/>
        <w:t>t</w:t>
      </w:r>
      <w:r>
        <w:tab/>
      </w:r>
      <w:r>
        <w:tab/>
      </w:r>
      <w:r>
        <w:tab/>
        <w:t>d</w:t>
      </w:r>
    </w:p>
    <w:p w:rsidR="00B72047" w:rsidRDefault="00B72047">
      <w:pPr>
        <w:pStyle w:val="examplescaled"/>
        <w:spacing w:line="220" w:lineRule="exact"/>
      </w:pPr>
      <w:r>
        <w:tab/>
      </w:r>
      <w:r>
        <w:tab/>
        <w:t>v</w:t>
      </w:r>
      <w:r>
        <w:tab/>
      </w:r>
      <w:r>
        <w:tab/>
      </w:r>
      <w:r>
        <w:tab/>
        <w:t>b, f</w:t>
      </w:r>
    </w:p>
    <w:p w:rsidR="00B72047" w:rsidRDefault="00B72047">
      <w:pPr>
        <w:pStyle w:val="examplescaled"/>
        <w:spacing w:line="220" w:lineRule="exact"/>
      </w:pPr>
      <w:r>
        <w:tab/>
      </w:r>
      <w:r>
        <w:tab/>
        <w:t>x</w:t>
      </w:r>
      <w:r>
        <w:tab/>
      </w:r>
      <w:r>
        <w:tab/>
      </w:r>
      <w:r>
        <w:tab/>
        <w:t>g, k</w:t>
      </w:r>
    </w:p>
    <w:p w:rsidR="00B72047" w:rsidRDefault="00B72047">
      <w:pPr>
        <w:pStyle w:val="examplescaled"/>
        <w:spacing w:line="220" w:lineRule="exact"/>
      </w:pPr>
      <w:r>
        <w:tab/>
      </w:r>
      <w:r>
        <w:tab/>
        <w:t>z</w:t>
      </w:r>
      <w:r>
        <w:tab/>
      </w:r>
      <w:r>
        <w:tab/>
      </w:r>
      <w:r>
        <w:tab/>
        <w:t>j, s</w:t>
      </w:r>
    </w:p>
    <w:p w:rsidR="00B72047" w:rsidRDefault="00B72047" w:rsidP="007E67C1">
      <w:pPr>
        <w:pStyle w:val="Listnobullets"/>
        <w:numPr>
          <w:ilvl w:val="0"/>
          <w:numId w:val="0"/>
        </w:numPr>
        <w:ind w:left="864" w:hanging="504"/>
      </w:pPr>
      <w:r>
        <w:rPr>
          <w:rStyle w:val="htmlcodes"/>
          <w:vanish w:val="0"/>
        </w:rPr>
        <w:tab/>
      </w:r>
      <w:r>
        <w:rPr>
          <w:rStyle w:val="htmlcodes"/>
        </w:rPr>
        <w:t>&lt;/dl&gt;&lt;p&gt;</w:t>
      </w:r>
      <w:r>
        <w:tab/>
        <w:t xml:space="preserve">See </w:t>
      </w:r>
      <w:r>
        <w:rPr>
          <w:rStyle w:val="htmlcodes"/>
        </w:rPr>
        <w:t>&lt;a href=#s4&gt;</w:t>
      </w:r>
      <w:r>
        <w:t xml:space="preserve">Section 4 </w:t>
      </w:r>
      <w:r>
        <w:rPr>
          <w:rStyle w:val="htmlcodes"/>
        </w:rPr>
        <w:t>&lt;/a&gt;</w:t>
      </w:r>
      <w:r>
        <w:t>for an example.</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"gismu creation, and transcription blunders"&gt;</w:t>
      </w:r>
      <w:r>
        <w:rPr>
          <w:rStyle w:val="indexentry"/>
        </w:rPr>
        <w:fldChar w:fldCharType="begin"/>
      </w:r>
      <w:r>
        <w:instrText>xe "</w:instrText>
      </w:r>
      <w:r>
        <w:rPr>
          <w:rStyle w:val="xeentry"/>
        </w:rPr>
        <w:instrText>gismu: creation, and transcription blunders</w:instrText>
      </w:r>
      <w:r>
        <w:instrText>"</w:instrText>
      </w:r>
      <w:r>
        <w:rPr>
          <w:rStyle w:val="indexentry"/>
        </w:rPr>
        <w:fldChar w:fldCharType="end"/>
      </w:r>
      <w:r>
        <w:rPr>
          <w:rStyle w:val="htmlcodes"/>
        </w:rPr>
        <w:t>&lt;dl compact&gt;&lt;dt&gt;</w:t>
      </w:r>
      <w:r>
        <w:t>5)</w:t>
      </w:r>
      <w:r>
        <w:tab/>
      </w:r>
      <w:r>
        <w:rPr>
          <w:rStyle w:val="htmlcodes"/>
        </w:rPr>
        <w:t>&lt;dd&gt;</w:t>
      </w:r>
      <w:r>
        <w:t>The gismu form with the highest score usually became the actual gismu. Sometimes a lower-scoring form was used to pro</w:t>
      </w:r>
      <w:r>
        <w:softHyphen/>
        <w:t>vide a better rafsi. A few gismu were changed in error as a result of transcription blunders (for exam</w:t>
      </w:r>
      <w:r>
        <w:softHyphen/>
        <w:t>ple, the gismu “gismu” should have been “gicmu”, but it's too late to fix it now).</w:t>
      </w:r>
    </w:p>
    <w:p w:rsidR="00B72047" w:rsidRDefault="00B72047" w:rsidP="007E67C1">
      <w:pPr>
        <w:pStyle w:val="Listnobullets"/>
        <w:numPr>
          <w:ilvl w:val="0"/>
          <w:numId w:val="0"/>
        </w:numPr>
        <w:ind w:left="864" w:hanging="504"/>
      </w:pPr>
      <w:r>
        <w:tab/>
      </w:r>
      <w:r>
        <w:tab/>
      </w:r>
      <w:r>
        <w:rPr>
          <w:rStyle w:val="htmlcodes"/>
        </w:rPr>
        <w:t>&lt;/dl&gt;</w:t>
      </w:r>
      <w:r>
        <w:rPr>
          <w:rStyle w:val="indexentry"/>
        </w:rPr>
        <w:t>&lt;cx "gismu, source-language weights for"&gt;</w:t>
      </w:r>
      <w:r>
        <w:rPr>
          <w:rStyle w:val="indexentry"/>
        </w:rPr>
        <w:fldChar w:fldCharType="begin"/>
      </w:r>
      <w:r>
        <w:instrText>xe "</w:instrText>
      </w:r>
      <w:r>
        <w:rPr>
          <w:rStyle w:val="xeentry"/>
        </w:rPr>
        <w:instrText>gismu: source-language weights for</w:instrText>
      </w:r>
      <w:r>
        <w:instrText>"</w:instrText>
      </w:r>
      <w:r>
        <w:rPr>
          <w:rStyle w:val="indexentry"/>
        </w:rPr>
        <w:fldChar w:fldCharType="end"/>
      </w:r>
      <w:r>
        <w:t>The language weights used to make most of the gismu were as follows:</w:t>
      </w:r>
    </w:p>
    <w:p w:rsidR="00B72047" w:rsidRDefault="00B72047">
      <w:pPr>
        <w:rPr>
          <w:rStyle w:val="htmlparacode"/>
        </w:rPr>
      </w:pPr>
      <w:r>
        <w:rPr>
          <w:rStyle w:val="htmlparacode"/>
        </w:rPr>
        <w:t>&lt;p&gt;</w:t>
      </w:r>
    </w:p>
    <w:p w:rsidR="00B72047" w:rsidRDefault="00B72047">
      <w:pPr>
        <w:pStyle w:val="examplescaledpre"/>
        <w:spacing w:line="220" w:lineRule="exact"/>
      </w:pPr>
      <w:r>
        <w:rPr>
          <w:rStyle w:val="htmlcodes"/>
        </w:rPr>
        <w:t>&lt;pre&gt;</w:t>
      </w:r>
      <w:r>
        <w:t xml:space="preserve"> </w:t>
      </w:r>
      <w:r>
        <w:tab/>
        <w:t>Chinese</w:t>
      </w:r>
      <w:r>
        <w:tab/>
        <w:t>0.36</w:t>
      </w:r>
    </w:p>
    <w:p w:rsidR="00B72047" w:rsidRDefault="00B72047">
      <w:pPr>
        <w:pStyle w:val="examplescaled"/>
        <w:spacing w:line="220" w:lineRule="exact"/>
      </w:pPr>
      <w:r>
        <w:tab/>
        <w:t>English</w:t>
      </w:r>
      <w:r>
        <w:tab/>
        <w:t>0.21</w:t>
      </w:r>
    </w:p>
    <w:p w:rsidR="00B72047" w:rsidRDefault="00B72047">
      <w:pPr>
        <w:pStyle w:val="examplescaled"/>
        <w:spacing w:line="220" w:lineRule="exact"/>
      </w:pPr>
      <w:r>
        <w:tab/>
        <w:t>Hindi</w:t>
      </w:r>
      <w:r>
        <w:tab/>
      </w:r>
      <w:r>
        <w:tab/>
        <w:t>0.16</w:t>
      </w:r>
    </w:p>
    <w:p w:rsidR="00B72047" w:rsidRDefault="00B72047">
      <w:pPr>
        <w:pStyle w:val="examplescaled"/>
        <w:spacing w:line="220" w:lineRule="exact"/>
      </w:pPr>
      <w:r>
        <w:tab/>
        <w:t>Spanish</w:t>
      </w:r>
      <w:r>
        <w:tab/>
        <w:t>0.11</w:t>
      </w:r>
    </w:p>
    <w:p w:rsidR="00B72047" w:rsidRDefault="00B72047">
      <w:pPr>
        <w:pStyle w:val="examplescaled"/>
        <w:spacing w:line="220" w:lineRule="exact"/>
      </w:pPr>
      <w:r>
        <w:tab/>
        <w:t>Russian</w:t>
      </w:r>
      <w:r>
        <w:tab/>
        <w:t>0.09</w:t>
      </w:r>
    </w:p>
    <w:p w:rsidR="00B72047" w:rsidRDefault="00B72047">
      <w:pPr>
        <w:pStyle w:val="examplescaled"/>
        <w:spacing w:line="220" w:lineRule="exact"/>
      </w:pPr>
      <w:r>
        <w:tab/>
        <w:t>Arabic</w:t>
      </w:r>
      <w:r>
        <w:tab/>
      </w:r>
      <w:r>
        <w:tab/>
        <w:t>0.07</w:t>
      </w:r>
    </w:p>
    <w:p w:rsidR="00B72047" w:rsidRDefault="00B72047" w:rsidP="007E67C1">
      <w:pPr>
        <w:pStyle w:val="Listnobullets"/>
        <w:numPr>
          <w:ilvl w:val="0"/>
          <w:numId w:val="0"/>
        </w:numPr>
        <w:ind w:left="864" w:hanging="504"/>
      </w:pPr>
      <w:r>
        <w:rPr>
          <w:rStyle w:val="htmlcodes"/>
          <w:vanish w:val="0"/>
        </w:rPr>
        <w:tab/>
      </w:r>
      <w:r>
        <w:rPr>
          <w:rStyle w:val="htmlcodes"/>
          <w:vanish w:val="0"/>
        </w:rPr>
        <w:tab/>
      </w:r>
      <w:r>
        <w:rPr>
          <w:rStyle w:val="htmlcodes"/>
        </w:rPr>
        <w:t>&lt;/pre&gt;</w:t>
      </w:r>
      <w:r>
        <w:t>reflecting 1985 number-of-speakers data. A few gismu were made much later</w:t>
      </w:r>
      <w:r>
        <w:rPr>
          <w:rStyle w:val="deletedparamark"/>
        </w:rPr>
        <w:t xml:space="preserve"> </w:t>
      </w:r>
      <w:r>
        <w:rPr>
          <w:rStyle w:val="htmlcodes"/>
        </w:rPr>
        <w:t>&lt;dl compact&gt;&lt;dt&gt;</w:t>
      </w:r>
      <w:r>
        <w:t>using updated weights:</w:t>
      </w:r>
      <w:r>
        <w:tab/>
      </w:r>
      <w:r>
        <w:rPr>
          <w:rStyle w:val="htmlcodes"/>
        </w:rPr>
        <w:t>&lt;dd&gt;</w:t>
      </w:r>
    </w:p>
    <w:p w:rsidR="00B72047" w:rsidRDefault="00B72047">
      <w:pPr>
        <w:pStyle w:val="examplescaledpre"/>
        <w:spacing w:line="220" w:lineRule="exact"/>
      </w:pPr>
      <w:r>
        <w:rPr>
          <w:rStyle w:val="htmlcodes"/>
        </w:rPr>
        <w:t>&lt;p&gt;&lt;dt&gt;</w:t>
      </w:r>
      <w:r>
        <w:tab/>
      </w:r>
      <w:r>
        <w:rPr>
          <w:rStyle w:val="htmlcodes"/>
        </w:rPr>
        <w:t>&lt;dd&gt;</w:t>
      </w:r>
      <w:r>
        <w:t>Chinese</w:t>
      </w:r>
      <w:r>
        <w:tab/>
        <w:t>0.347</w:t>
      </w:r>
    </w:p>
    <w:p w:rsidR="00B72047" w:rsidRDefault="00B72047">
      <w:pPr>
        <w:pStyle w:val="examplescaled"/>
        <w:spacing w:line="220" w:lineRule="exact"/>
      </w:pPr>
      <w:r>
        <w:tab/>
        <w:t>Hindi</w:t>
      </w:r>
      <w:r>
        <w:tab/>
      </w:r>
      <w:r>
        <w:tab/>
        <w:t>0.196</w:t>
      </w:r>
    </w:p>
    <w:p w:rsidR="00B72047" w:rsidRDefault="00B72047">
      <w:pPr>
        <w:pStyle w:val="examplescaled"/>
        <w:spacing w:line="220" w:lineRule="exact"/>
      </w:pPr>
      <w:r>
        <w:tab/>
        <w:t>English</w:t>
      </w:r>
      <w:r>
        <w:tab/>
        <w:t>0.160</w:t>
      </w:r>
    </w:p>
    <w:p w:rsidR="00B72047" w:rsidRDefault="00B72047">
      <w:pPr>
        <w:pStyle w:val="examplescaled"/>
        <w:spacing w:line="220" w:lineRule="exact"/>
      </w:pPr>
      <w:r>
        <w:tab/>
        <w:t>Spanish</w:t>
      </w:r>
      <w:r>
        <w:tab/>
        <w:t>0.123</w:t>
      </w:r>
    </w:p>
    <w:p w:rsidR="00B72047" w:rsidRDefault="00B72047">
      <w:pPr>
        <w:pStyle w:val="examplescaled"/>
        <w:spacing w:line="220" w:lineRule="exact"/>
      </w:pPr>
      <w:r>
        <w:tab/>
        <w:t>Russian</w:t>
      </w:r>
      <w:r>
        <w:tab/>
        <w:t>0.089</w:t>
      </w:r>
    </w:p>
    <w:p w:rsidR="00B72047" w:rsidRDefault="00B72047">
      <w:pPr>
        <w:pStyle w:val="examplescaled"/>
        <w:spacing w:line="220" w:lineRule="exact"/>
      </w:pPr>
      <w:r>
        <w:tab/>
        <w:t>Arabic</w:t>
      </w:r>
      <w:r>
        <w:tab/>
      </w:r>
      <w:r>
        <w:tab/>
        <w:t>0.085</w:t>
      </w:r>
    </w:p>
    <w:p w:rsidR="00B72047" w:rsidRDefault="00B72047" w:rsidP="007E67C1">
      <w:pPr>
        <w:pStyle w:val="Listnobullets"/>
        <w:numPr>
          <w:ilvl w:val="0"/>
          <w:numId w:val="0"/>
        </w:numPr>
        <w:ind w:left="864" w:hanging="504"/>
      </w:pPr>
      <w:r>
        <w:rPr>
          <w:rStyle w:val="htmlcodes"/>
          <w:vanish w:val="0"/>
        </w:rPr>
        <w:tab/>
      </w:r>
      <w:r>
        <w:rPr>
          <w:rStyle w:val="htmlcodes"/>
          <w:vanish w:val="0"/>
        </w:rPr>
        <w:tab/>
      </w:r>
      <w:r>
        <w:rPr>
          <w:rStyle w:val="htmlcodes"/>
        </w:rPr>
        <w:t>&lt;/dl&gt;</w:t>
      </w:r>
      <w:r>
        <w:t>(English and Hindi switched places due to demographic changes.)</w:t>
      </w:r>
    </w:p>
    <w:p w:rsidR="00B72047" w:rsidRDefault="00B72047">
      <w:pPr>
        <w:rPr>
          <w:rStyle w:val="htmlparacode"/>
        </w:rPr>
      </w:pPr>
      <w:r>
        <w:rPr>
          <w:rStyle w:val="htmlparacode"/>
        </w:rPr>
        <w:t>&lt;p&gt;</w:t>
      </w:r>
    </w:p>
    <w:p w:rsidR="00B72047" w:rsidRDefault="00B72047">
      <w:pPr>
        <w:pStyle w:val="normalafterexample"/>
      </w:pPr>
      <w:r>
        <w:t>Note that the stressed vowel of the gismu was considered sufficiently</w:t>
      </w:r>
      <w:r>
        <w:rPr>
          <w:rStyle w:val="deletedparamark"/>
        </w:rPr>
        <w:t xml:space="preserve"> </w:t>
      </w:r>
      <w:r>
        <w:t>distinctive that two or more gismu may differ only in this vowel;</w:t>
      </w:r>
      <w:r>
        <w:rPr>
          <w:rStyle w:val="deletedparamark"/>
        </w:rPr>
        <w:t xml:space="preserve"> </w:t>
      </w:r>
      <w:r>
        <w:t>as an extreme example, “bradi”, “bredi”, “bridi”, and “brodi” (but</w:t>
      </w:r>
      <w:r>
        <w:rPr>
          <w:rStyle w:val="deletedparamark"/>
        </w:rPr>
        <w:t xml:space="preserve"> </w:t>
      </w:r>
      <w:r>
        <w:t>fortunately not “brudi”) are all existing gismu.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183" w:name="_Toc395691513"/>
      <w:bookmarkStart w:id="184" w:name="_Toc398970484"/>
      <w:r>
        <w:rPr>
          <w:rStyle w:val="Heading3Text"/>
        </w:rPr>
        <w:t>Cultural and other non-algorithmic gismu</w:t>
      </w:r>
      <w:bookmarkEnd w:id="183"/>
      <w:bookmarkEnd w:id="18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"gismu, exceptions to gismu creation by algorithm"&gt;</w:t>
      </w:r>
      <w:r>
        <w:rPr>
          <w:rStyle w:val="indexentry"/>
        </w:rPr>
        <w:fldChar w:fldCharType="begin"/>
      </w:r>
      <w:r>
        <w:instrText>xe "</w:instrText>
      </w:r>
      <w:r>
        <w:rPr>
          <w:rStyle w:val="xeentry"/>
        </w:rPr>
        <w:instrText>gismu: exceptions to gismu creation by algorithm</w:instrText>
      </w:r>
      <w:r>
        <w:instrText>"</w:instrText>
      </w:r>
      <w:r>
        <w:rPr>
          <w:rStyle w:val="indexentry"/>
        </w:rPr>
        <w:fldChar w:fldCharType="end"/>
      </w:r>
      <w:r>
        <w:rPr>
          <w:rStyle w:val="indexentry"/>
        </w:rPr>
        <w:t>&lt;cx "gismu, coined"&gt;</w:t>
      </w:r>
      <w:r>
        <w:rPr>
          <w:rStyle w:val="indexentry"/>
        </w:rPr>
        <w:fldChar w:fldCharType="begin"/>
      </w:r>
      <w:r>
        <w:instrText>xe "</w:instrText>
      </w:r>
      <w:r>
        <w:rPr>
          <w:rStyle w:val="xeentry"/>
        </w:rPr>
        <w:instrText>gismu: coined</w:instrText>
      </w:r>
      <w:r>
        <w:instrText>"</w:instrText>
      </w:r>
      <w:r>
        <w:rPr>
          <w:rStyle w:val="indexentry"/>
        </w:rPr>
        <w:fldChar w:fldCharType="end"/>
      </w:r>
      <w:r>
        <w:t>The following gismu were not made by the gismu creation al</w:t>
      </w:r>
      <w:r>
        <w:softHyphen/>
        <w:t>gorithm. They are,</w:t>
      </w:r>
      <w:r>
        <w:rPr>
          <w:rStyle w:val="deletedparamark"/>
        </w:rPr>
        <w:t xml:space="preserve"> </w:t>
      </w:r>
      <w:r>
        <w:t>in ef</w:t>
      </w:r>
      <w:r>
        <w:softHyphen/>
        <w:t>fect, coined words similar to fu'ivla. They are exceptions to the</w:t>
      </w:r>
      <w:r>
        <w:rPr>
          <w:rStyle w:val="deletedparamark"/>
        </w:rPr>
        <w:t xml:space="preserve"> </w:t>
      </w:r>
      <w:r>
        <w:t>otherwise mandatory gismu creation algorithm where there was sufficient</w:t>
      </w:r>
      <w:r>
        <w:rPr>
          <w:rStyle w:val="deletedparamark"/>
        </w:rPr>
        <w:t xml:space="preserve"> </w:t>
      </w:r>
      <w:r>
        <w:t>justification for such exceptions. Except for the small metric prefixes</w:t>
      </w:r>
      <w:r>
        <w:rPr>
          <w:rStyle w:val="deletedparamark"/>
        </w:rPr>
        <w:t xml:space="preserve"> </w:t>
      </w:r>
      <w:r>
        <w:t>and the assignable predicates beginning with “brod”, they all end in the</w:t>
      </w:r>
      <w:r>
        <w:rPr>
          <w:rStyle w:val="deletedparamark"/>
        </w:rPr>
        <w:t xml:space="preserve"> </w:t>
      </w:r>
      <w:r>
        <w:t>letter “o”, which is otherwise a rare letter in Lojban gismu.</w:t>
      </w:r>
    </w:p>
    <w:p w:rsidR="00B72047" w:rsidRDefault="00B72047">
      <w:pPr>
        <w:rPr>
          <w:rStyle w:val="htmlparacode"/>
        </w:rPr>
      </w:pPr>
      <w:r>
        <w:rPr>
          <w:rStyle w:val="htmlparacode"/>
        </w:rPr>
        <w:t>&lt;p&gt;</w:t>
      </w:r>
    </w:p>
    <w:p w:rsidR="00B72047" w:rsidRDefault="00B72047">
      <w:pPr>
        <w:pStyle w:val="normalparagraph"/>
      </w:pPr>
      <w:r>
        <w:rPr>
          <w:rStyle w:val="indexentry"/>
        </w:rPr>
        <w:t>&lt;cx "gismu, Lojban-specific"&gt;</w:t>
      </w:r>
      <w:r>
        <w:rPr>
          <w:rStyle w:val="indexentry"/>
        </w:rPr>
        <w:fldChar w:fldCharType="begin"/>
      </w:r>
      <w:r>
        <w:instrText>xe "</w:instrText>
      </w:r>
      <w:r>
        <w:rPr>
          <w:rStyle w:val="xeentry"/>
        </w:rPr>
        <w:instrText>gismu: Lojban-specific</w:instrText>
      </w:r>
      <w:r>
        <w:instrText>"</w:instrText>
      </w:r>
      <w:r>
        <w:rPr>
          <w:rStyle w:val="indexentry"/>
        </w:rPr>
        <w:fldChar w:fldCharType="end"/>
      </w:r>
      <w:r>
        <w:t>The following gismu represent concepts that are sufficiently unique</w:t>
      </w:r>
      <w:r>
        <w:rPr>
          <w:rStyle w:val="deletedparamark"/>
        </w:rPr>
        <w:t xml:space="preserve"> </w:t>
      </w:r>
      <w:r>
        <w:t>to Lojban that they were either coined from combining forms of other</w:t>
      </w:r>
      <w:r>
        <w:rPr>
          <w:rStyle w:val="deletedparamark"/>
        </w:rPr>
        <w:t xml:space="preserve"> </w:t>
      </w:r>
      <w:r>
        <w:t>gismu, or else made up out of whole cloth. These gismu are thus conceptually</w:t>
      </w:r>
      <w:r>
        <w:rPr>
          <w:rStyle w:val="deletedparamark"/>
        </w:rPr>
        <w:t xml:space="preserve"> </w:t>
      </w:r>
      <w:r>
        <w:t>similar to lujvo even though they are only five let</w:t>
      </w:r>
      <w:r>
        <w:softHyphen/>
        <w:t>ters long; however,</w:t>
      </w:r>
      <w:r>
        <w:rPr>
          <w:rStyle w:val="deletedparamark"/>
        </w:rPr>
        <w:t xml:space="preserve"> </w:t>
      </w:r>
      <w:r>
        <w:t>unlike lujvo, they have rafsi assigned to them for use in build</w:t>
      </w:r>
      <w:r>
        <w:softHyphen/>
        <w:t>ing more</w:t>
      </w:r>
      <w:r>
        <w:rPr>
          <w:rStyle w:val="deletedparamark"/>
        </w:rPr>
        <w:t xml:space="preserve"> </w:t>
      </w:r>
      <w:r>
        <w:t>complex lujvo. Assigning gismu to these con</w:t>
      </w:r>
      <w:r>
        <w:softHyphen/>
        <w:t>cepts helps to</w:t>
      </w:r>
      <w:r>
        <w:rPr>
          <w:rStyle w:val="deletedparamark"/>
        </w:rPr>
        <w:t xml:space="preserve"> </w:t>
      </w:r>
      <w:r>
        <w:t>keep the re</w:t>
      </w:r>
      <w:r>
        <w:softHyphen/>
        <w:t>sulting lujvo reasonably short.</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broda</w:t>
      </w:r>
      <w:r>
        <w:tab/>
        <w:t>1st assignable predicate</w:t>
      </w:r>
    </w:p>
    <w:p w:rsidR="00B72047" w:rsidRDefault="00B72047">
      <w:pPr>
        <w:pStyle w:val="exampwidetabs"/>
        <w:spacing w:line="220" w:lineRule="exact"/>
      </w:pPr>
      <w:r>
        <w:tab/>
        <w:t>brode</w:t>
      </w:r>
      <w:r>
        <w:tab/>
        <w:t>2nd assignable predicate</w:t>
      </w:r>
    </w:p>
    <w:p w:rsidR="00B72047" w:rsidRDefault="00B72047">
      <w:pPr>
        <w:pStyle w:val="exampwidetabs"/>
        <w:spacing w:line="220" w:lineRule="exact"/>
      </w:pPr>
      <w:r>
        <w:tab/>
        <w:t>brodi</w:t>
      </w:r>
      <w:r>
        <w:tab/>
        <w:t>3rd assignable predicate</w:t>
      </w:r>
    </w:p>
    <w:p w:rsidR="00B72047" w:rsidRDefault="00B72047">
      <w:pPr>
        <w:pStyle w:val="exampwidetabs"/>
        <w:spacing w:line="220" w:lineRule="exact"/>
      </w:pPr>
      <w:r>
        <w:tab/>
        <w:t>brodo</w:t>
      </w:r>
      <w:r>
        <w:tab/>
        <w:t>4th assignable predicate</w:t>
      </w:r>
    </w:p>
    <w:p w:rsidR="00B72047" w:rsidRDefault="00B72047">
      <w:pPr>
        <w:pStyle w:val="exampwidetabs"/>
        <w:spacing w:line="220" w:lineRule="exact"/>
      </w:pPr>
      <w:r>
        <w:tab/>
        <w:t>brodu</w:t>
      </w:r>
      <w:r>
        <w:tab/>
        <w:t>5th assignable predicate</w:t>
      </w:r>
    </w:p>
    <w:p w:rsidR="00B72047" w:rsidRDefault="00B72047">
      <w:pPr>
        <w:pStyle w:val="exampwidetabs"/>
        <w:spacing w:line="220" w:lineRule="exact"/>
      </w:pPr>
      <w:r>
        <w:tab/>
        <w:t>cmavo</w:t>
      </w:r>
      <w:r>
        <w:tab/>
        <w:t>structure word (from “cmalu valsi”)</w:t>
      </w:r>
    </w:p>
    <w:p w:rsidR="00B72047" w:rsidRDefault="00B72047">
      <w:pPr>
        <w:pStyle w:val="exampwidetabs"/>
        <w:spacing w:line="220" w:lineRule="exact"/>
      </w:pPr>
      <w:r>
        <w:tab/>
        <w:t>lojbo</w:t>
      </w:r>
      <w:r>
        <w:tab/>
        <w:t>Lojbanic (from “logji bangu”)</w:t>
      </w:r>
    </w:p>
    <w:p w:rsidR="00B72047" w:rsidRDefault="00B72047">
      <w:pPr>
        <w:pStyle w:val="exampwidetabs"/>
        <w:spacing w:line="220" w:lineRule="exact"/>
      </w:pPr>
      <w:r>
        <w:tab/>
        <w:t>lujvo</w:t>
      </w:r>
      <w:r>
        <w:tab/>
        <w:t>compound word (from “pluja valsi”)</w:t>
      </w:r>
    </w:p>
    <w:p w:rsidR="00B72047" w:rsidRDefault="00B72047">
      <w:pPr>
        <w:pStyle w:val="exampwidetabs"/>
        <w:spacing w:line="220" w:lineRule="exact"/>
      </w:pPr>
      <w:r>
        <w:tab/>
        <w:t>mekso</w:t>
      </w:r>
      <w:r>
        <w:tab/>
        <w:t>Mathematical EXpression</w:t>
      </w:r>
    </w:p>
    <w:p w:rsidR="00B72047" w:rsidRDefault="00B72047">
      <w:pPr>
        <w:pStyle w:val="resumedafterexample"/>
      </w:pPr>
      <w:r>
        <w:rPr>
          <w:rStyle w:val="htmlcodes"/>
        </w:rPr>
        <w:t>&lt;/pre&gt;&lt;p&gt;</w:t>
      </w:r>
      <w:r>
        <w:t>It is important to understand that even though “cmavo”, “lojbo”, and</w:t>
      </w:r>
      <w:r>
        <w:rPr>
          <w:rStyle w:val="deletedparamark"/>
        </w:rPr>
        <w:t xml:space="preserve"> “</w:t>
      </w:r>
      <w:r>
        <w:t>lujvo” were made up from parts of other gismu, they are now full-fledged</w:t>
      </w:r>
      <w:r>
        <w:rPr>
          <w:rStyle w:val="deletedparamark"/>
        </w:rPr>
        <w:t xml:space="preserve"> </w:t>
      </w:r>
      <w:r>
        <w:t>gismu used in exactly the same way as all other gismu, both in grammar and</w:t>
      </w:r>
      <w:r>
        <w:rPr>
          <w:rStyle w:val="deletedparamark"/>
        </w:rPr>
        <w:t xml:space="preserve"> </w:t>
      </w:r>
      <w:r>
        <w:t>in word formation.</w:t>
      </w:r>
    </w:p>
    <w:p w:rsidR="00B72047" w:rsidRDefault="00B72047">
      <w:pPr>
        <w:rPr>
          <w:rStyle w:val="htmlparacode"/>
        </w:rPr>
      </w:pPr>
      <w:r>
        <w:rPr>
          <w:rStyle w:val="htmlparacode"/>
        </w:rPr>
        <w:t>&lt;p&gt;</w:t>
      </w:r>
    </w:p>
    <w:p w:rsidR="00B72047" w:rsidRDefault="00B72047">
      <w:pPr>
        <w:pStyle w:val="normalparagraph"/>
      </w:pPr>
      <w:r>
        <w:rPr>
          <w:rStyle w:val="indexentry"/>
        </w:rPr>
        <w:t>&lt;cx "gismu, scientific-mathematical"&gt;</w:t>
      </w:r>
      <w:r>
        <w:rPr>
          <w:rStyle w:val="indexentry"/>
        </w:rPr>
        <w:fldChar w:fldCharType="begin"/>
      </w:r>
      <w:r>
        <w:instrText>xe "</w:instrText>
      </w:r>
      <w:r>
        <w:rPr>
          <w:rStyle w:val="xeentry"/>
        </w:rPr>
        <w:instrText>gismu: scientific-mathematical</w:instrText>
      </w:r>
      <w:r>
        <w:instrText>"</w:instrText>
      </w:r>
      <w:r>
        <w:rPr>
          <w:rStyle w:val="indexentry"/>
        </w:rPr>
        <w:fldChar w:fldCharType="end"/>
      </w:r>
      <w:r>
        <w:t>The following three groups of gismu represent concepts drawn from the</w:t>
      </w:r>
      <w:r>
        <w:rPr>
          <w:rStyle w:val="deletedparamark"/>
        </w:rPr>
        <w:t xml:space="preserve"> </w:t>
      </w:r>
      <w:r>
        <w:t>inter</w:t>
      </w:r>
      <w:r>
        <w:softHyphen/>
        <w:t>national language of science and mathematics. They are used for</w:t>
      </w:r>
      <w:r>
        <w:rPr>
          <w:rStyle w:val="deletedparamark"/>
        </w:rPr>
        <w:t xml:space="preserve"> </w:t>
      </w:r>
      <w:r>
        <w:t>concepts that are rep</w:t>
      </w:r>
      <w:r>
        <w:softHyphen/>
        <w:t>resented in most languages by a root which is</w:t>
      </w:r>
      <w:r>
        <w:rPr>
          <w:rStyle w:val="deletedparamark"/>
        </w:rPr>
        <w:t xml:space="preserve"> </w:t>
      </w:r>
      <w:r>
        <w:t>recognized internationally.</w:t>
      </w:r>
    </w:p>
    <w:p w:rsidR="00B72047" w:rsidRDefault="00B72047">
      <w:pPr>
        <w:pStyle w:val="resumedafterexample"/>
        <w:rPr>
          <w:rStyle w:val="htmlparacode"/>
        </w:rPr>
      </w:pPr>
      <w:r>
        <w:rPr>
          <w:rStyle w:val="htmlparacode"/>
        </w:rPr>
        <w:t>&lt;p&gt;</w:t>
      </w:r>
    </w:p>
    <w:p w:rsidR="00B72047" w:rsidRDefault="00B72047">
      <w:pPr>
        <w:pStyle w:val="resumedafterexample"/>
      </w:pPr>
      <w:r>
        <w:t>Small metric prefixes (values less than 1):</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decti</w:t>
      </w:r>
      <w:r>
        <w:tab/>
        <w:t>.1/deci</w:t>
      </w:r>
    </w:p>
    <w:p w:rsidR="00B72047" w:rsidRDefault="00B72047">
      <w:pPr>
        <w:pStyle w:val="exampwidetabs"/>
        <w:spacing w:line="220" w:lineRule="exact"/>
      </w:pPr>
      <w:r>
        <w:tab/>
        <w:t>centi</w:t>
      </w:r>
      <w:r>
        <w:tab/>
        <w:t>.01/centi</w:t>
      </w:r>
    </w:p>
    <w:p w:rsidR="00B72047" w:rsidRDefault="00B72047">
      <w:pPr>
        <w:pStyle w:val="exampwidetabs"/>
        <w:spacing w:line="220" w:lineRule="exact"/>
      </w:pPr>
      <w:r>
        <w:tab/>
        <w:t>milti</w:t>
      </w:r>
      <w:r>
        <w:tab/>
        <w:t>.001/milli</w:t>
      </w:r>
    </w:p>
    <w:p w:rsidR="00B72047" w:rsidRDefault="00B72047">
      <w:pPr>
        <w:pStyle w:val="exampwidetabs"/>
        <w:spacing w:line="220" w:lineRule="exact"/>
      </w:pPr>
      <w:r>
        <w:tab/>
        <w:t>mikri</w:t>
      </w:r>
      <w:r>
        <w:tab/>
        <w:t>1E-6/micro</w:t>
      </w:r>
    </w:p>
    <w:p w:rsidR="00B72047" w:rsidRDefault="00B72047">
      <w:pPr>
        <w:pStyle w:val="exampwidetabs"/>
        <w:spacing w:line="220" w:lineRule="exact"/>
      </w:pPr>
      <w:r>
        <w:tab/>
        <w:t>nanvi</w:t>
      </w:r>
      <w:r>
        <w:tab/>
        <w:t>1E-9/nano</w:t>
      </w:r>
    </w:p>
    <w:p w:rsidR="00B72047" w:rsidRDefault="00B72047">
      <w:pPr>
        <w:pStyle w:val="exampwidetabs"/>
        <w:spacing w:line="220" w:lineRule="exact"/>
      </w:pPr>
      <w:r>
        <w:tab/>
        <w:t>picti</w:t>
      </w:r>
      <w:r>
        <w:tab/>
        <w:t>1E-12/pico</w:t>
      </w:r>
    </w:p>
    <w:p w:rsidR="00B72047" w:rsidRDefault="00B72047">
      <w:pPr>
        <w:pStyle w:val="exampwidetabs"/>
        <w:spacing w:line="220" w:lineRule="exact"/>
      </w:pPr>
      <w:r>
        <w:tab/>
        <w:t>femti</w:t>
      </w:r>
      <w:r>
        <w:tab/>
        <w:t>1E-15/femto</w:t>
      </w:r>
    </w:p>
    <w:p w:rsidR="00B72047" w:rsidRDefault="00B72047">
      <w:pPr>
        <w:pStyle w:val="exampwidetabs"/>
        <w:spacing w:line="220" w:lineRule="exact"/>
      </w:pPr>
      <w:r>
        <w:tab/>
        <w:t>xatsi</w:t>
      </w:r>
      <w:r>
        <w:tab/>
        <w:t>1E-18/atto</w:t>
      </w:r>
    </w:p>
    <w:p w:rsidR="00B72047" w:rsidRDefault="00B72047">
      <w:pPr>
        <w:pStyle w:val="exampwidetabs"/>
        <w:spacing w:line="220" w:lineRule="exact"/>
      </w:pPr>
      <w:r>
        <w:tab/>
        <w:t>zepti</w:t>
      </w:r>
      <w:r>
        <w:tab/>
        <w:t>1E-21/zepto</w:t>
      </w:r>
    </w:p>
    <w:p w:rsidR="00B72047" w:rsidRDefault="00B72047">
      <w:pPr>
        <w:pStyle w:val="exampwidetabs"/>
        <w:spacing w:line="220" w:lineRule="exact"/>
      </w:pPr>
      <w:r>
        <w:tab/>
        <w:t>gocti</w:t>
      </w:r>
      <w:r>
        <w:tab/>
        <w:t>1E-24/yocto</w:t>
      </w:r>
    </w:p>
    <w:p w:rsidR="00B72047" w:rsidRDefault="00B72047">
      <w:pPr>
        <w:pStyle w:val="resumedafterexample"/>
      </w:pPr>
      <w:r>
        <w:rPr>
          <w:rStyle w:val="htmlcodes"/>
        </w:rPr>
        <w:t>&lt;/pre&gt;&lt;p&gt;</w:t>
      </w:r>
      <w:r>
        <w:t>Large metric prefixes (values greater than 1):</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dekto</w:t>
      </w:r>
      <w:r>
        <w:tab/>
        <w:t>10/deka</w:t>
      </w:r>
    </w:p>
    <w:p w:rsidR="00B72047" w:rsidRDefault="00B72047">
      <w:pPr>
        <w:pStyle w:val="exampwidetabs"/>
        <w:spacing w:line="220" w:lineRule="exact"/>
      </w:pPr>
      <w:r>
        <w:tab/>
        <w:t>xecto</w:t>
      </w:r>
      <w:r>
        <w:tab/>
        <w:t>100/hecto</w:t>
      </w:r>
    </w:p>
    <w:p w:rsidR="00B72047" w:rsidRDefault="00B72047">
      <w:pPr>
        <w:pStyle w:val="exampwidetabs"/>
        <w:spacing w:line="220" w:lineRule="exact"/>
      </w:pPr>
      <w:r>
        <w:tab/>
        <w:t>kilto</w:t>
      </w:r>
      <w:r>
        <w:tab/>
        <w:t>1000/kilo</w:t>
      </w:r>
    </w:p>
    <w:p w:rsidR="00B72047" w:rsidRDefault="00B72047">
      <w:pPr>
        <w:pStyle w:val="exampwidetabs"/>
        <w:spacing w:line="220" w:lineRule="exact"/>
      </w:pPr>
      <w:r>
        <w:tab/>
        <w:t>megdo</w:t>
      </w:r>
      <w:r>
        <w:tab/>
        <w:t>1E6/mega</w:t>
      </w:r>
    </w:p>
    <w:p w:rsidR="00B72047" w:rsidRDefault="00B72047">
      <w:pPr>
        <w:pStyle w:val="exampwidetabs"/>
        <w:spacing w:line="220" w:lineRule="exact"/>
      </w:pPr>
      <w:r>
        <w:tab/>
        <w:t>gigdo</w:t>
      </w:r>
      <w:r>
        <w:tab/>
        <w:t>1E9/giga</w:t>
      </w:r>
    </w:p>
    <w:p w:rsidR="00B72047" w:rsidRDefault="00B72047">
      <w:pPr>
        <w:pStyle w:val="exampwidetabs"/>
        <w:spacing w:line="220" w:lineRule="exact"/>
      </w:pPr>
      <w:r>
        <w:tab/>
        <w:t>terto</w:t>
      </w:r>
      <w:r>
        <w:tab/>
        <w:t>1E12/tera</w:t>
      </w:r>
    </w:p>
    <w:p w:rsidR="00B72047" w:rsidRDefault="00B72047">
      <w:pPr>
        <w:pStyle w:val="exampwidetabs"/>
        <w:spacing w:line="220" w:lineRule="exact"/>
      </w:pPr>
      <w:r>
        <w:tab/>
        <w:t>petso</w:t>
      </w:r>
      <w:r>
        <w:tab/>
        <w:t>1E15/peta</w:t>
      </w:r>
    </w:p>
    <w:p w:rsidR="00B72047" w:rsidRDefault="00B72047">
      <w:pPr>
        <w:pStyle w:val="exampwidetabs"/>
        <w:spacing w:line="220" w:lineRule="exact"/>
      </w:pPr>
      <w:r>
        <w:tab/>
        <w:t>xexso</w:t>
      </w:r>
      <w:r>
        <w:tab/>
        <w:t>1E18/exa</w:t>
      </w:r>
    </w:p>
    <w:p w:rsidR="00B72047" w:rsidRDefault="00B72047">
      <w:pPr>
        <w:pStyle w:val="exampwidetabs"/>
        <w:spacing w:line="220" w:lineRule="exact"/>
      </w:pPr>
      <w:r>
        <w:tab/>
        <w:t>zetro</w:t>
      </w:r>
      <w:r>
        <w:tab/>
        <w:t>1E21/zetta</w:t>
      </w:r>
    </w:p>
    <w:p w:rsidR="00B72047" w:rsidRDefault="00B72047">
      <w:pPr>
        <w:pStyle w:val="exampwidetabs"/>
        <w:spacing w:line="220" w:lineRule="exact"/>
      </w:pPr>
      <w:r>
        <w:tab/>
        <w:t>gotro</w:t>
      </w:r>
      <w:r>
        <w:tab/>
        <w:t>1E24/yotta</w:t>
      </w:r>
    </w:p>
    <w:p w:rsidR="00B72047" w:rsidRDefault="00B72047">
      <w:pPr>
        <w:pStyle w:val="resumedafterexample"/>
      </w:pPr>
      <w:r>
        <w:rPr>
          <w:rStyle w:val="htmlcodes"/>
        </w:rPr>
        <w:t>&lt;/pre&gt;&lt;p&gt;</w:t>
      </w:r>
      <w:r>
        <w:t>Other scientific or mathematical terms:</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 xml:space="preserve"> </w:t>
      </w:r>
      <w:r>
        <w:tab/>
        <w:t>delno</w:t>
      </w:r>
      <w:r>
        <w:tab/>
        <w:t>candela</w:t>
      </w:r>
    </w:p>
    <w:p w:rsidR="00B72047" w:rsidRDefault="00B72047">
      <w:pPr>
        <w:pStyle w:val="exampwidetabs"/>
        <w:spacing w:line="220" w:lineRule="exact"/>
      </w:pPr>
      <w:r>
        <w:tab/>
        <w:t>kelvo</w:t>
      </w:r>
      <w:r>
        <w:tab/>
        <w:t>kelvin</w:t>
      </w:r>
    </w:p>
    <w:p w:rsidR="00B72047" w:rsidRDefault="00B72047">
      <w:pPr>
        <w:pStyle w:val="exampwidetabs"/>
        <w:spacing w:line="220" w:lineRule="exact"/>
      </w:pPr>
      <w:r>
        <w:tab/>
        <w:t>molro</w:t>
      </w:r>
      <w:r>
        <w:tab/>
        <w:t>mole</w:t>
      </w:r>
    </w:p>
    <w:p w:rsidR="00B72047" w:rsidRDefault="00B72047">
      <w:pPr>
        <w:pStyle w:val="exampwidetabs"/>
        <w:spacing w:line="220" w:lineRule="exact"/>
      </w:pPr>
      <w:r>
        <w:tab/>
        <w:t>radno</w:t>
      </w:r>
      <w:r>
        <w:tab/>
        <w:t>radian</w:t>
      </w:r>
    </w:p>
    <w:p w:rsidR="00B72047" w:rsidRDefault="00B72047">
      <w:pPr>
        <w:pStyle w:val="exampwidetabs"/>
        <w:spacing w:line="220" w:lineRule="exact"/>
      </w:pPr>
      <w:r>
        <w:tab/>
        <w:t>sinso</w:t>
      </w:r>
      <w:r>
        <w:tab/>
        <w:t>sine</w:t>
      </w:r>
    </w:p>
    <w:p w:rsidR="00B72047" w:rsidRDefault="00B72047">
      <w:pPr>
        <w:pStyle w:val="exampwidetabs"/>
        <w:spacing w:line="220" w:lineRule="exact"/>
      </w:pPr>
      <w:r>
        <w:tab/>
        <w:t>stero</w:t>
      </w:r>
      <w:r>
        <w:tab/>
        <w:t>steradian</w:t>
      </w:r>
    </w:p>
    <w:p w:rsidR="00B72047" w:rsidRDefault="00B72047">
      <w:pPr>
        <w:pStyle w:val="exampwidetabs"/>
        <w:spacing w:line="220" w:lineRule="exact"/>
      </w:pPr>
      <w:r>
        <w:tab/>
        <w:t>tanjo</w:t>
      </w:r>
      <w:r>
        <w:tab/>
        <w:t>tangent</w:t>
      </w:r>
    </w:p>
    <w:p w:rsidR="00B72047" w:rsidRDefault="00B72047">
      <w:pPr>
        <w:pStyle w:val="exampwidetabs"/>
        <w:spacing w:line="220" w:lineRule="exact"/>
      </w:pPr>
      <w:r>
        <w:tab/>
        <w:t>xampo</w:t>
      </w:r>
      <w:r>
        <w:tab/>
        <w:t>ampere</w:t>
      </w:r>
    </w:p>
    <w:p w:rsidR="00B72047" w:rsidRDefault="00B72047">
      <w:pPr>
        <w:pStyle w:val="resumedafterexample"/>
      </w:pPr>
      <w:r>
        <w:rPr>
          <w:rStyle w:val="htmlcodes"/>
        </w:rPr>
        <w:t>&lt;/pre&gt;&lt;p&gt;</w:t>
      </w:r>
      <w:r>
        <w:t>The gismu “sinso” and “tanjo” were only made non-algorithmically be</w:t>
      </w:r>
      <w:r>
        <w:softHyphen/>
        <w:t>cause</w:t>
      </w:r>
      <w:r>
        <w:rPr>
          <w:rStyle w:val="deletedparamark"/>
        </w:rPr>
        <w:t xml:space="preserve"> </w:t>
      </w:r>
      <w:r>
        <w:t>they were identical (having been borrowed from a common source) in</w:t>
      </w:r>
      <w:r>
        <w:rPr>
          <w:rStyle w:val="deletedparamark"/>
        </w:rPr>
        <w:t xml:space="preserve"> </w:t>
      </w:r>
      <w:r>
        <w:t>all the dictionaries that had translations. The other terms in this</w:t>
      </w:r>
      <w:r>
        <w:rPr>
          <w:rStyle w:val="deletedparamark"/>
        </w:rPr>
        <w:t xml:space="preserve"> </w:t>
      </w:r>
      <w:r>
        <w:t>group are units in the international metric system; some metric units,</w:t>
      </w:r>
      <w:r>
        <w:rPr>
          <w:rStyle w:val="deletedparamark"/>
        </w:rPr>
        <w:t xml:space="preserve"> </w:t>
      </w:r>
      <w:r>
        <w:t>however, were made by the ordinary process (usually because they are</w:t>
      </w:r>
      <w:r>
        <w:rPr>
          <w:rStyle w:val="deletedparamark"/>
        </w:rPr>
        <w:t xml:space="preserve"> </w:t>
      </w:r>
      <w:r>
        <w:t>different in Chinese).</w:t>
      </w:r>
    </w:p>
    <w:p w:rsidR="00B72047" w:rsidRDefault="00B72047">
      <w:pPr>
        <w:rPr>
          <w:rStyle w:val="htmlparacode"/>
        </w:rPr>
      </w:pPr>
      <w:r>
        <w:rPr>
          <w:rStyle w:val="htmlparacode"/>
        </w:rPr>
        <w:t>&lt;p&gt;</w:t>
      </w:r>
    </w:p>
    <w:p w:rsidR="00B72047" w:rsidRDefault="00B72047">
      <w:pPr>
        <w:pStyle w:val="normalparagraph"/>
      </w:pPr>
      <w:r>
        <w:rPr>
          <w:rStyle w:val="indexentry"/>
        </w:rPr>
        <w:t>&lt;cx "gismu, cultural"&gt;</w:t>
      </w:r>
      <w:r>
        <w:rPr>
          <w:rStyle w:val="indexentry"/>
        </w:rPr>
        <w:fldChar w:fldCharType="begin"/>
      </w:r>
      <w:r>
        <w:instrText>xe "</w:instrText>
      </w:r>
      <w:r>
        <w:rPr>
          <w:rStyle w:val="xeentry"/>
        </w:rPr>
        <w:instrText>gismu: cultural</w:instrText>
      </w:r>
      <w:r>
        <w:instrText>"</w:instrText>
      </w:r>
      <w:r>
        <w:rPr>
          <w:rStyle w:val="indexentry"/>
        </w:rPr>
        <w:fldChar w:fldCharType="end"/>
      </w:r>
      <w:r>
        <w:t>Finally, there are the cultural gismu, which are also borrowed, but by</w:t>
      </w:r>
      <w:r>
        <w:rPr>
          <w:rStyle w:val="deletedparamark"/>
        </w:rPr>
        <w:t xml:space="preserve"> </w:t>
      </w:r>
      <w:r>
        <w:t>modify</w:t>
      </w:r>
      <w:r>
        <w:softHyphen/>
        <w:t>ing a word from one particular language, instead of us</w:t>
      </w:r>
      <w:r>
        <w:softHyphen/>
        <w:t>ing the</w:t>
      </w:r>
      <w:r>
        <w:rPr>
          <w:rStyle w:val="deletedparamark"/>
        </w:rPr>
        <w:t xml:space="preserve"> </w:t>
      </w:r>
      <w:r>
        <w:t>multi-lingual gismu crea</w:t>
      </w:r>
      <w:r>
        <w:softHyphen/>
        <w:t>tion al</w:t>
      </w:r>
      <w:r>
        <w:softHyphen/>
        <w:t>gorithm. Cultural gismu are used for words</w:t>
      </w:r>
      <w:r>
        <w:rPr>
          <w:rStyle w:val="deletedparamark"/>
        </w:rPr>
        <w:t xml:space="preserve"> </w:t>
      </w:r>
      <w:r>
        <w:t>that have local importance to a par</w:t>
      </w:r>
      <w:r>
        <w:softHyphen/>
        <w:t>ticular culture; other cultures or</w:t>
      </w:r>
      <w:r>
        <w:rPr>
          <w:rStyle w:val="deletedparamark"/>
        </w:rPr>
        <w:t xml:space="preserve"> </w:t>
      </w:r>
      <w:r>
        <w:t>languages may have no word for the concept at all, or may bor</w:t>
      </w:r>
      <w:r>
        <w:softHyphen/>
        <w:t>row the word</w:t>
      </w:r>
      <w:r>
        <w:rPr>
          <w:rStyle w:val="deletedparamark"/>
        </w:rPr>
        <w:t xml:space="preserve"> </w:t>
      </w:r>
      <w:r>
        <w:t>from its home culture, just as Lojban does. In such a case, the gismu</w:t>
      </w:r>
      <w:r>
        <w:rPr>
          <w:rStyle w:val="deletedparamark"/>
        </w:rPr>
        <w:t xml:space="preserve"> </w:t>
      </w:r>
      <w:r>
        <w:t>algo</w:t>
      </w:r>
      <w:r>
        <w:softHyphen/>
        <w:t>rithm, which uses weighted averages, doesn't accurately represent the</w:t>
      </w:r>
      <w:r>
        <w:rPr>
          <w:rStyle w:val="deletedparamark"/>
        </w:rPr>
        <w:t xml:space="preserve"> </w:t>
      </w:r>
      <w:r>
        <w:t>fre</w:t>
      </w:r>
      <w:r>
        <w:softHyphen/>
        <w:t>quency of usage of the individual concept. Cultural gismu are not even</w:t>
      </w:r>
      <w:r>
        <w:rPr>
          <w:rStyle w:val="deletedparamark"/>
        </w:rPr>
        <w:t xml:space="preserve"> </w:t>
      </w:r>
      <w:r>
        <w:t>required to be based on the six major languages.</w:t>
      </w:r>
    </w:p>
    <w:p w:rsidR="00B72047" w:rsidRDefault="00B72047">
      <w:pPr>
        <w:rPr>
          <w:rStyle w:val="htmlparacode"/>
        </w:rPr>
      </w:pPr>
      <w:r>
        <w:rPr>
          <w:rStyle w:val="htmlparacode"/>
        </w:rPr>
        <w:t>&lt;p&gt;</w:t>
      </w:r>
    </w:p>
    <w:p w:rsidR="00B72047" w:rsidRDefault="00B72047">
      <w:pPr>
        <w:pStyle w:val="normalparagraph"/>
      </w:pPr>
      <w:r>
        <w:rPr>
          <w:rStyle w:val="indexentry"/>
        </w:rPr>
        <w:t>&lt;cx "gismu, for languages"&gt;</w:t>
      </w:r>
      <w:r>
        <w:rPr>
          <w:rStyle w:val="indexentry"/>
        </w:rPr>
        <w:fldChar w:fldCharType="begin"/>
      </w:r>
      <w:r>
        <w:instrText>xe "</w:instrText>
      </w:r>
      <w:r>
        <w:rPr>
          <w:rStyle w:val="xeentry"/>
        </w:rPr>
        <w:instrText>gismu: for languages</w:instrText>
      </w:r>
      <w:r>
        <w:instrText>"</w:instrText>
      </w:r>
      <w:r>
        <w:rPr>
          <w:rStyle w:val="indexentry"/>
        </w:rPr>
        <w:fldChar w:fldCharType="end"/>
      </w:r>
      <w:r>
        <w:rPr>
          <w:rStyle w:val="indexentry"/>
        </w:rPr>
        <w:t>&lt;cx "gismu for Lojban source languages"&gt;</w:t>
      </w:r>
      <w:r>
        <w:rPr>
          <w:rStyle w:val="indexentry"/>
        </w:rPr>
        <w:fldChar w:fldCharType="begin"/>
      </w:r>
      <w:r>
        <w:instrText>xe "</w:instrText>
      </w:r>
      <w:r>
        <w:rPr>
          <w:rStyle w:val="xeentry"/>
        </w:rPr>
        <w:instrText>gismu: for Lojban source languages</w:instrText>
      </w:r>
      <w:r>
        <w:instrText>"</w:instrText>
      </w:r>
      <w:r>
        <w:rPr>
          <w:rStyle w:val="indexentry"/>
        </w:rPr>
        <w:fldChar w:fldCharType="end"/>
      </w:r>
      <w:r>
        <w:t>The six Lojban source languages:</w:t>
      </w:r>
    </w:p>
    <w:p w:rsidR="00B72047" w:rsidRDefault="00B72047">
      <w:pPr>
        <w:pStyle w:val="exampwidetabs"/>
        <w:rPr>
          <w:rStyle w:val="htmlparacode"/>
        </w:rPr>
      </w:pPr>
      <w:r>
        <w:rPr>
          <w:rStyle w:val="htmlparacode"/>
        </w:rPr>
        <w:t>&lt;p&gt;</w:t>
      </w:r>
    </w:p>
    <w:p w:rsidR="00B72047" w:rsidRDefault="00B72047">
      <w:pPr>
        <w:pStyle w:val="examplewtabspre"/>
        <w:spacing w:line="220" w:lineRule="exact"/>
      </w:pPr>
      <w:r>
        <w:rPr>
          <w:rStyle w:val="htmlcodes"/>
        </w:rPr>
        <w:t>&lt;pre&gt;</w:t>
      </w:r>
      <w:r>
        <w:tab/>
        <w:t>jungo</w:t>
      </w:r>
      <w:r>
        <w:tab/>
        <w:t>Chinese (from “Zhong</w:t>
      </w:r>
      <w:r>
        <w:rPr>
          <w:rStyle w:val="htmlcodes"/>
        </w:rPr>
        <w:t>&lt;sup&gt;</w:t>
      </w:r>
      <w:r>
        <w:rPr>
          <w:rStyle w:val="Superscript"/>
        </w:rPr>
        <w:t>1</w:t>
      </w:r>
      <w:r>
        <w:rPr>
          <w:rStyle w:val="htmlcodes"/>
        </w:rPr>
        <w:t>&lt;/sup&gt;</w:t>
      </w:r>
      <w:r>
        <w:t>guo</w:t>
      </w:r>
      <w:r>
        <w:rPr>
          <w:rStyle w:val="htmlcodes"/>
        </w:rPr>
        <w:t>&lt;sup&gt;</w:t>
      </w:r>
      <w:r>
        <w:rPr>
          <w:rStyle w:val="Superscript"/>
        </w:rPr>
        <w:t>2</w:t>
      </w:r>
      <w:r>
        <w:rPr>
          <w:rStyle w:val="htmlcodes"/>
        </w:rPr>
        <w:t>&lt;/sup&gt;</w:t>
      </w:r>
      <w:r>
        <w:t>”)</w:t>
      </w:r>
    </w:p>
    <w:p w:rsidR="00B72047" w:rsidRDefault="00B72047">
      <w:pPr>
        <w:pStyle w:val="exampwidetabs"/>
        <w:spacing w:line="220" w:lineRule="exact"/>
      </w:pPr>
      <w:r>
        <w:tab/>
        <w:t>glico</w:t>
      </w:r>
      <w:r>
        <w:tab/>
        <w:t>English</w:t>
      </w:r>
    </w:p>
    <w:p w:rsidR="00B72047" w:rsidRDefault="00B72047">
      <w:pPr>
        <w:pStyle w:val="exampwidetabs"/>
        <w:spacing w:line="220" w:lineRule="exact"/>
      </w:pPr>
      <w:r>
        <w:tab/>
        <w:t>xindo</w:t>
      </w:r>
      <w:r>
        <w:tab/>
        <w:t>Hindi</w:t>
      </w:r>
    </w:p>
    <w:p w:rsidR="00B72047" w:rsidRDefault="00B72047">
      <w:pPr>
        <w:pStyle w:val="exampwidetabs"/>
        <w:spacing w:line="220" w:lineRule="exact"/>
      </w:pPr>
      <w:r>
        <w:tab/>
        <w:t>spano</w:t>
      </w:r>
      <w:r>
        <w:tab/>
        <w:t>Spanish</w:t>
      </w:r>
    </w:p>
    <w:p w:rsidR="00B72047" w:rsidRDefault="00B72047">
      <w:pPr>
        <w:pStyle w:val="exampwidetabs"/>
        <w:spacing w:line="220" w:lineRule="exact"/>
      </w:pPr>
      <w:r>
        <w:tab/>
        <w:t>rusko</w:t>
      </w:r>
      <w:r>
        <w:tab/>
        <w:t>Russian</w:t>
      </w:r>
    </w:p>
    <w:p w:rsidR="00B72047" w:rsidRDefault="00B72047">
      <w:pPr>
        <w:pStyle w:val="exampwidetabs"/>
        <w:spacing w:line="220" w:lineRule="exact"/>
      </w:pPr>
      <w:r>
        <w:tab/>
        <w:t>xrabo</w:t>
      </w:r>
      <w:r>
        <w:tab/>
        <w:t>Arabic</w:t>
      </w:r>
    </w:p>
    <w:p w:rsidR="00B72047" w:rsidRDefault="00B72047">
      <w:pPr>
        <w:pStyle w:val="resumedafterexample"/>
      </w:pPr>
      <w:r>
        <w:rPr>
          <w:rStyle w:val="htmlcodes"/>
        </w:rPr>
        <w:t>&lt;/pre&gt;&lt;p&gt;</w:t>
      </w:r>
      <w:r>
        <w:t>Seven other widely spoken languages that were on the list</w:t>
      </w:r>
      <w:r>
        <w:rPr>
          <w:rStyle w:val="deletedparamark"/>
        </w:rPr>
        <w:t xml:space="preserve"> </w:t>
      </w:r>
      <w:r>
        <w:t>of candi</w:t>
      </w:r>
      <w:r>
        <w:softHyphen/>
        <w:t>dates for gismu-mak</w:t>
      </w:r>
      <w:r>
        <w:softHyphen/>
        <w:t>ing, but weren't used:</w:t>
      </w:r>
    </w:p>
    <w:p w:rsidR="00B72047" w:rsidRDefault="00B72047">
      <w:pPr>
        <w:pStyle w:val="exampwidetabs"/>
        <w:rPr>
          <w:rStyle w:val="htmlparacode"/>
        </w:rPr>
      </w:pPr>
      <w:r>
        <w:rPr>
          <w:rStyle w:val="htmlparacode"/>
        </w:rPr>
        <w:t>&lt;p&gt;</w:t>
      </w:r>
    </w:p>
    <w:p w:rsidR="00B72047" w:rsidRDefault="00B72047">
      <w:pPr>
        <w:pStyle w:val="examplewtabspre"/>
        <w:spacing w:before="80" w:line="200" w:lineRule="exact"/>
      </w:pPr>
      <w:r>
        <w:rPr>
          <w:rStyle w:val="htmlcodes"/>
        </w:rPr>
        <w:t>&lt;pre&gt;</w:t>
      </w:r>
      <w:r>
        <w:t xml:space="preserve"> </w:t>
      </w:r>
      <w:r>
        <w:tab/>
        <w:t>bengo</w:t>
      </w:r>
      <w:r>
        <w:tab/>
        <w:t>Bengali</w:t>
      </w:r>
    </w:p>
    <w:p w:rsidR="00B72047" w:rsidRDefault="00B72047">
      <w:pPr>
        <w:pStyle w:val="exampwidetabs"/>
        <w:spacing w:line="200" w:lineRule="exact"/>
      </w:pPr>
      <w:r>
        <w:tab/>
        <w:t>porto</w:t>
      </w:r>
      <w:r>
        <w:tab/>
        <w:t>Portuguese</w:t>
      </w:r>
    </w:p>
    <w:p w:rsidR="00B72047" w:rsidRDefault="00B72047">
      <w:pPr>
        <w:pStyle w:val="exampwidetabs"/>
        <w:spacing w:line="200" w:lineRule="exact"/>
      </w:pPr>
      <w:r>
        <w:tab/>
        <w:t>baxso</w:t>
      </w:r>
      <w:r>
        <w:tab/>
        <w:t>Bahasa Melayu/Bahasa Indonesia</w:t>
      </w:r>
    </w:p>
    <w:p w:rsidR="00B72047" w:rsidRDefault="00B72047">
      <w:pPr>
        <w:pStyle w:val="exampwidetabs"/>
        <w:spacing w:line="200" w:lineRule="exact"/>
      </w:pPr>
      <w:r>
        <w:tab/>
        <w:t>ponjo</w:t>
      </w:r>
      <w:r>
        <w:tab/>
        <w:t>Japanese (from “Nippon”)</w:t>
      </w:r>
    </w:p>
    <w:p w:rsidR="00B72047" w:rsidRDefault="00B72047">
      <w:pPr>
        <w:pStyle w:val="exampwidetabs"/>
        <w:spacing w:line="200" w:lineRule="exact"/>
      </w:pPr>
      <w:r>
        <w:tab/>
        <w:t>dotco</w:t>
      </w:r>
      <w:r>
        <w:tab/>
        <w:t>German (from “Deutsch”)</w:t>
      </w:r>
    </w:p>
    <w:p w:rsidR="00B72047" w:rsidRDefault="00B72047">
      <w:pPr>
        <w:pStyle w:val="exampwidetabs"/>
        <w:spacing w:line="200" w:lineRule="exact"/>
      </w:pPr>
      <w:r>
        <w:tab/>
        <w:t>fraso</w:t>
      </w:r>
      <w:r>
        <w:tab/>
        <w:t>French (from “Franç</w:t>
      </w:r>
      <w:r>
        <w:rPr>
          <w:rStyle w:val="htmlcodes"/>
        </w:rPr>
        <w:t>&amp;ccedil;</w:t>
      </w:r>
      <w:r>
        <w:t>ais”)</w:t>
      </w:r>
    </w:p>
    <w:p w:rsidR="00B72047" w:rsidRDefault="00B72047">
      <w:pPr>
        <w:pStyle w:val="exampwidetabs"/>
        <w:spacing w:line="200" w:lineRule="exact"/>
      </w:pPr>
      <w:r>
        <w:tab/>
        <w:t>xurdo</w:t>
      </w:r>
      <w:r>
        <w:tab/>
        <w:t>Urdu</w:t>
      </w:r>
    </w:p>
    <w:p w:rsidR="00B72047" w:rsidRDefault="00B72047">
      <w:pPr>
        <w:pStyle w:val="resumedafterexample"/>
      </w:pPr>
      <w:r>
        <w:rPr>
          <w:rStyle w:val="htmlcodes"/>
        </w:rPr>
        <w:t>&lt;/pre&gt;</w:t>
      </w:r>
      <w:r>
        <w:t>(Urdu and Hindi began as the same language with different writing systems,</w:t>
      </w:r>
      <w:r>
        <w:rPr>
          <w:rStyle w:val="deletedparamark"/>
        </w:rPr>
        <w:t xml:space="preserve"> </w:t>
      </w:r>
      <w:r>
        <w:t>but have now become somewhat different, principally in bor</w:t>
      </w:r>
      <w:r>
        <w:softHyphen/>
        <w:t>rowed vocabulary.</w:t>
      </w:r>
      <w:r>
        <w:rPr>
          <w:rStyle w:val="deletedparamark"/>
        </w:rPr>
        <w:t xml:space="preserve"> </w:t>
      </w:r>
      <w:r>
        <w:t>Urdu-speakers were counted along with Hindi-speakers when weights</w:t>
      </w:r>
      <w:r>
        <w:rPr>
          <w:rStyle w:val="deletedparamark"/>
        </w:rPr>
        <w:t xml:space="preserve"> </w:t>
      </w:r>
      <w:r>
        <w:t>were assigned for gismu-making purposes.)</w:t>
      </w:r>
    </w:p>
    <w:p w:rsidR="00B72047" w:rsidRDefault="00B72047">
      <w:pPr>
        <w:rPr>
          <w:rStyle w:val="htmlparacode"/>
        </w:rPr>
      </w:pPr>
      <w:r>
        <w:rPr>
          <w:rStyle w:val="htmlparacode"/>
        </w:rPr>
        <w:t>&lt;p&gt;</w:t>
      </w:r>
    </w:p>
    <w:p w:rsidR="00B72047" w:rsidRDefault="00B72047">
      <w:pPr>
        <w:pStyle w:val="normalparagraph"/>
      </w:pPr>
      <w:r>
        <w:rPr>
          <w:rStyle w:val="indexentry"/>
        </w:rPr>
        <w:t>&lt;cx "gismu, for countries"&gt;</w:t>
      </w:r>
      <w:r>
        <w:rPr>
          <w:rStyle w:val="indexentry"/>
        </w:rPr>
        <w:fldChar w:fldCharType="begin"/>
      </w:r>
      <w:r>
        <w:instrText>xe "</w:instrText>
      </w:r>
      <w:r>
        <w:rPr>
          <w:rStyle w:val="xeentry"/>
        </w:rPr>
        <w:instrText>gismu: for countries</w:instrText>
      </w:r>
      <w:r>
        <w:instrText>"</w:instrText>
      </w:r>
      <w:r>
        <w:rPr>
          <w:rStyle w:val="indexentry"/>
        </w:rPr>
        <w:fldChar w:fldCharType="end"/>
      </w:r>
      <w:r>
        <w:t>Countries with a large number of speakers of any of the above languages</w:t>
      </w:r>
      <w:r>
        <w:rPr>
          <w:rStyle w:val="deletedparamark"/>
        </w:rPr>
        <w:t xml:space="preserve"> </w:t>
      </w:r>
      <w:r>
        <w:t>(where the meaning of “large” is dependent on the specific language):</w:t>
      </w:r>
    </w:p>
    <w:p w:rsidR="00B72047" w:rsidRDefault="00B72047">
      <w:pPr>
        <w:pStyle w:val="exampwidetabs"/>
        <w:rPr>
          <w:rStyle w:val="htmlparacode"/>
        </w:rPr>
      </w:pPr>
      <w:r>
        <w:rPr>
          <w:rStyle w:val="htmlparacode"/>
        </w:rPr>
        <w:t>&lt;p&gt;</w:t>
      </w:r>
    </w:p>
    <w:p w:rsidR="00B72047" w:rsidRDefault="00B72047">
      <w:pPr>
        <w:pStyle w:val="examplescaledpre"/>
        <w:spacing w:before="80" w:line="200" w:lineRule="exact"/>
      </w:pPr>
      <w:r>
        <w:rPr>
          <w:rStyle w:val="htmlcodes"/>
        </w:rPr>
        <w:t>&lt;dl compact&gt;&lt;dt&gt;</w:t>
      </w:r>
      <w:r>
        <w:tab/>
      </w:r>
      <w:r>
        <w:rPr>
          <w:rStyle w:val="htmlcodes"/>
        </w:rPr>
        <w:t>&lt;dd&gt;</w:t>
      </w:r>
      <w:r>
        <w:t>English:</w:t>
      </w:r>
    </w:p>
    <w:p w:rsidR="00B72047" w:rsidRDefault="00B72047">
      <w:pPr>
        <w:pStyle w:val="examplewtabspre"/>
        <w:spacing w:before="80" w:line="200" w:lineRule="exact"/>
      </w:pPr>
      <w:r>
        <w:tab/>
        <w:t>merko</w:t>
      </w:r>
      <w:r>
        <w:tab/>
        <w:t>American</w:t>
      </w:r>
    </w:p>
    <w:p w:rsidR="00B72047" w:rsidRDefault="00B72047">
      <w:pPr>
        <w:pStyle w:val="exampwidetabs"/>
        <w:spacing w:line="200" w:lineRule="exact"/>
      </w:pPr>
      <w:r>
        <w:tab/>
        <w:t>brito</w:t>
      </w:r>
      <w:r>
        <w:tab/>
        <w:t>British</w:t>
      </w:r>
    </w:p>
    <w:p w:rsidR="00B72047" w:rsidRDefault="00B72047">
      <w:pPr>
        <w:pStyle w:val="exampwidetabs"/>
        <w:spacing w:line="200" w:lineRule="exact"/>
      </w:pPr>
      <w:r>
        <w:tab/>
        <w:t>skoto</w:t>
      </w:r>
      <w:r>
        <w:tab/>
        <w:t>Scottish</w:t>
      </w:r>
    </w:p>
    <w:p w:rsidR="00B72047" w:rsidRDefault="00B72047">
      <w:pPr>
        <w:pStyle w:val="exampwidetabs"/>
        <w:spacing w:line="200" w:lineRule="exact"/>
      </w:pPr>
      <w:r>
        <w:tab/>
        <w:t>sralo</w:t>
      </w:r>
      <w:r>
        <w:tab/>
        <w:t>Australian</w:t>
      </w:r>
    </w:p>
    <w:p w:rsidR="00B72047" w:rsidRDefault="00B72047">
      <w:pPr>
        <w:pStyle w:val="exampwidetabs"/>
        <w:spacing w:line="200" w:lineRule="exact"/>
      </w:pPr>
      <w:r>
        <w:tab/>
        <w:t>kadno</w:t>
      </w:r>
      <w:r>
        <w:tab/>
        <w:t>Canadian</w:t>
      </w:r>
    </w:p>
    <w:p w:rsidR="00B72047" w:rsidRDefault="00B72047">
      <w:pPr>
        <w:pStyle w:val="examplescaledpre"/>
        <w:spacing w:before="80" w:line="200" w:lineRule="exact"/>
      </w:pPr>
      <w:r>
        <w:rPr>
          <w:rStyle w:val="htmlcodes"/>
        </w:rPr>
        <w:t>&lt;p&gt;&lt;dt&gt;</w:t>
      </w:r>
      <w:r>
        <w:tab/>
      </w:r>
      <w:r>
        <w:rPr>
          <w:rStyle w:val="htmlcodes"/>
        </w:rPr>
        <w:t>&lt;dd&gt;</w:t>
      </w:r>
      <w:r>
        <w:t>Spanish:</w:t>
      </w:r>
    </w:p>
    <w:p w:rsidR="00B72047" w:rsidRDefault="00B72047">
      <w:pPr>
        <w:pStyle w:val="examplewtabspre"/>
        <w:spacing w:before="80" w:line="200" w:lineRule="exact"/>
      </w:pPr>
      <w:r>
        <w:tab/>
        <w:t>gento</w:t>
      </w:r>
      <w:r>
        <w:tab/>
        <w:t>Argentinian</w:t>
      </w:r>
    </w:p>
    <w:p w:rsidR="00B72047" w:rsidRDefault="00B72047">
      <w:pPr>
        <w:pStyle w:val="exampwidetabs"/>
        <w:spacing w:line="200" w:lineRule="exact"/>
      </w:pPr>
      <w:r>
        <w:tab/>
        <w:t>mexno</w:t>
      </w:r>
      <w:r>
        <w:tab/>
        <w:t>Mexican</w:t>
      </w:r>
    </w:p>
    <w:p w:rsidR="00B72047" w:rsidRDefault="00B72047">
      <w:pPr>
        <w:pStyle w:val="examplescaledpre"/>
        <w:spacing w:before="80" w:line="200" w:lineRule="exact"/>
      </w:pPr>
      <w:r>
        <w:rPr>
          <w:rStyle w:val="htmlcodes"/>
        </w:rPr>
        <w:t>&lt;p&gt;&lt;dt&gt;</w:t>
      </w:r>
      <w:r>
        <w:tab/>
      </w:r>
      <w:r>
        <w:rPr>
          <w:rStyle w:val="htmlcodes"/>
        </w:rPr>
        <w:t>&lt;dd&gt;</w:t>
      </w:r>
      <w:r>
        <w:t>Russian:</w:t>
      </w:r>
    </w:p>
    <w:p w:rsidR="00B72047" w:rsidRDefault="00B72047">
      <w:pPr>
        <w:pStyle w:val="examplewtabspre"/>
        <w:spacing w:before="80" w:line="200" w:lineRule="exact"/>
      </w:pPr>
      <w:r>
        <w:tab/>
        <w:t>softo</w:t>
      </w:r>
      <w:r>
        <w:tab/>
        <w:t>Soviet/USSR</w:t>
      </w:r>
    </w:p>
    <w:p w:rsidR="00B72047" w:rsidRDefault="00B72047">
      <w:pPr>
        <w:pStyle w:val="exampwidetabs"/>
        <w:spacing w:line="200" w:lineRule="exact"/>
      </w:pPr>
      <w:r>
        <w:tab/>
        <w:t>vukro</w:t>
      </w:r>
      <w:r>
        <w:tab/>
        <w:t>Ukrainian</w:t>
      </w:r>
    </w:p>
    <w:p w:rsidR="00B72047" w:rsidRDefault="00B72047">
      <w:pPr>
        <w:pStyle w:val="examplescaledpre"/>
        <w:spacing w:before="80" w:line="200" w:lineRule="exact"/>
      </w:pPr>
      <w:r>
        <w:rPr>
          <w:rStyle w:val="htmlcodes"/>
        </w:rPr>
        <w:t>&lt;p&gt;&lt;dt&gt;</w:t>
      </w:r>
      <w:r>
        <w:tab/>
      </w:r>
      <w:r>
        <w:rPr>
          <w:rStyle w:val="htmlcodes"/>
        </w:rPr>
        <w:t>&lt;dd&gt;</w:t>
      </w:r>
      <w:r>
        <w:t>Arabic:</w:t>
      </w:r>
    </w:p>
    <w:p w:rsidR="00B72047" w:rsidRDefault="00B72047">
      <w:pPr>
        <w:pStyle w:val="examplewtabspre"/>
        <w:spacing w:before="80" w:line="200" w:lineRule="exact"/>
      </w:pPr>
      <w:r>
        <w:tab/>
        <w:t>filso</w:t>
      </w:r>
      <w:r>
        <w:tab/>
        <w:t>Palestinian</w:t>
      </w:r>
    </w:p>
    <w:p w:rsidR="00B72047" w:rsidRDefault="00B72047">
      <w:pPr>
        <w:pStyle w:val="exampwidetabs"/>
        <w:spacing w:line="200" w:lineRule="exact"/>
      </w:pPr>
      <w:r>
        <w:tab/>
        <w:t>jerxo</w:t>
      </w:r>
      <w:r>
        <w:tab/>
        <w:t>Algerian</w:t>
      </w:r>
    </w:p>
    <w:p w:rsidR="00B72047" w:rsidRDefault="00B72047">
      <w:pPr>
        <w:pStyle w:val="exampwidetabs"/>
        <w:spacing w:line="200" w:lineRule="exact"/>
      </w:pPr>
      <w:r>
        <w:tab/>
        <w:t>jordo</w:t>
      </w:r>
      <w:r>
        <w:tab/>
        <w:t>Jordanian</w:t>
      </w:r>
    </w:p>
    <w:p w:rsidR="00B72047" w:rsidRDefault="00B72047">
      <w:pPr>
        <w:pStyle w:val="exampwidetabs"/>
        <w:spacing w:line="200" w:lineRule="exact"/>
      </w:pPr>
      <w:r>
        <w:tab/>
        <w:t>libjo</w:t>
      </w:r>
      <w:r>
        <w:tab/>
        <w:t>Libyan</w:t>
      </w:r>
    </w:p>
    <w:p w:rsidR="00B72047" w:rsidRDefault="00B72047">
      <w:pPr>
        <w:pStyle w:val="exampwidetabs"/>
        <w:spacing w:line="200" w:lineRule="exact"/>
      </w:pPr>
      <w:r>
        <w:tab/>
        <w:t>lubno</w:t>
      </w:r>
      <w:r>
        <w:tab/>
        <w:t>Lebanese</w:t>
      </w:r>
    </w:p>
    <w:p w:rsidR="00B72047" w:rsidRDefault="00B72047">
      <w:pPr>
        <w:pStyle w:val="exampwidetabs"/>
        <w:spacing w:line="200" w:lineRule="exact"/>
      </w:pPr>
      <w:r>
        <w:tab/>
        <w:t>misro</w:t>
      </w:r>
      <w:r>
        <w:tab/>
        <w:t>Egyptian (from “Mizraim”)</w:t>
      </w:r>
    </w:p>
    <w:p w:rsidR="00B72047" w:rsidRDefault="00B72047">
      <w:pPr>
        <w:pStyle w:val="exampwidetabs"/>
        <w:spacing w:line="200" w:lineRule="exact"/>
      </w:pPr>
      <w:r>
        <w:tab/>
        <w:t>morko</w:t>
      </w:r>
      <w:r>
        <w:tab/>
        <w:t>Moroccan</w:t>
      </w:r>
    </w:p>
    <w:p w:rsidR="00B72047" w:rsidRDefault="00B72047">
      <w:pPr>
        <w:pStyle w:val="exampwidetabs"/>
        <w:spacing w:line="200" w:lineRule="exact"/>
      </w:pPr>
      <w:r>
        <w:tab/>
        <w:t>rakso</w:t>
      </w:r>
      <w:r>
        <w:tab/>
        <w:t>Iraqi</w:t>
      </w:r>
    </w:p>
    <w:p w:rsidR="00B72047" w:rsidRDefault="00B72047">
      <w:pPr>
        <w:pStyle w:val="exampwidetabs"/>
        <w:spacing w:line="200" w:lineRule="exact"/>
      </w:pPr>
      <w:r>
        <w:tab/>
        <w:t>sadjo</w:t>
      </w:r>
      <w:r>
        <w:tab/>
        <w:t>Saudi</w:t>
      </w:r>
    </w:p>
    <w:p w:rsidR="00B72047" w:rsidRDefault="00B72047">
      <w:pPr>
        <w:pStyle w:val="exampwidetabs"/>
        <w:spacing w:line="200" w:lineRule="exact"/>
      </w:pPr>
      <w:r>
        <w:tab/>
        <w:t>sirxo</w:t>
      </w:r>
      <w:r>
        <w:tab/>
        <w:t>Syrian</w:t>
      </w:r>
    </w:p>
    <w:p w:rsidR="00B72047" w:rsidRDefault="00B72047">
      <w:pPr>
        <w:pStyle w:val="examplescaledpre"/>
      </w:pPr>
      <w:r>
        <w:rPr>
          <w:rStyle w:val="htmlcodes"/>
        </w:rPr>
        <w:t>&lt;p&gt;&lt;dt&gt;</w:t>
      </w:r>
      <w:r>
        <w:tab/>
      </w:r>
      <w:r>
        <w:rPr>
          <w:rStyle w:val="htmlcodes"/>
        </w:rPr>
        <w:t>&lt;dd&gt;</w:t>
      </w:r>
      <w:r>
        <w:t>Bahasa Melayu/Bahasa Indonesia:</w:t>
      </w:r>
    </w:p>
    <w:p w:rsidR="00B72047" w:rsidRDefault="00B72047">
      <w:pPr>
        <w:pStyle w:val="examplewtabspre"/>
        <w:spacing w:line="200" w:lineRule="exact"/>
      </w:pPr>
      <w:r>
        <w:tab/>
        <w:t>bindo</w:t>
      </w:r>
      <w:r>
        <w:tab/>
        <w:t>Indonesian</w:t>
      </w:r>
    </w:p>
    <w:p w:rsidR="00B72047" w:rsidRDefault="00B72047">
      <w:pPr>
        <w:pStyle w:val="exampwidetabs"/>
        <w:spacing w:line="200" w:lineRule="exact"/>
      </w:pPr>
      <w:r>
        <w:tab/>
        <w:t>meljo</w:t>
      </w:r>
      <w:r>
        <w:tab/>
        <w:t>Malaysian</w:t>
      </w:r>
    </w:p>
    <w:p w:rsidR="00B72047" w:rsidRDefault="00B72047">
      <w:pPr>
        <w:pStyle w:val="examplescaledpre"/>
        <w:spacing w:line="200" w:lineRule="exact"/>
      </w:pPr>
      <w:r>
        <w:rPr>
          <w:rStyle w:val="htmlcodes"/>
        </w:rPr>
        <w:t>&lt;p&gt;&lt;dt&gt;</w:t>
      </w:r>
      <w:r>
        <w:tab/>
      </w:r>
      <w:r>
        <w:rPr>
          <w:rStyle w:val="htmlcodes"/>
        </w:rPr>
        <w:t>&lt;dd&gt;</w:t>
      </w:r>
      <w:r>
        <w:t>Portuguese:</w:t>
      </w:r>
    </w:p>
    <w:p w:rsidR="00B72047" w:rsidRDefault="00B72047">
      <w:pPr>
        <w:pStyle w:val="examplewtabspre"/>
        <w:spacing w:line="200" w:lineRule="exact"/>
      </w:pPr>
      <w:r>
        <w:tab/>
        <w:t>brazo</w:t>
      </w:r>
      <w:r>
        <w:tab/>
        <w:t>Brazilian</w:t>
      </w:r>
    </w:p>
    <w:p w:rsidR="00B72047" w:rsidRDefault="00B72047">
      <w:pPr>
        <w:pStyle w:val="examplescaledpre"/>
        <w:spacing w:line="200" w:lineRule="exact"/>
      </w:pPr>
      <w:r>
        <w:rPr>
          <w:rStyle w:val="htmlcodes"/>
        </w:rPr>
        <w:t>&lt;p&gt;&lt;dt&gt;</w:t>
      </w:r>
      <w:r>
        <w:tab/>
      </w:r>
      <w:r>
        <w:rPr>
          <w:rStyle w:val="htmlcodes"/>
        </w:rPr>
        <w:t>&lt;dd&gt;</w:t>
      </w:r>
      <w:r>
        <w:t>Urdu:</w:t>
      </w:r>
    </w:p>
    <w:p w:rsidR="00B72047" w:rsidRDefault="00B72047">
      <w:pPr>
        <w:pStyle w:val="examplewtabspre"/>
        <w:spacing w:line="200" w:lineRule="exact"/>
      </w:pPr>
      <w:r>
        <w:tab/>
        <w:t>kisto</w:t>
      </w:r>
      <w:r>
        <w:tab/>
        <w:t>Pakistani</w:t>
      </w:r>
    </w:p>
    <w:p w:rsidR="00B72047" w:rsidRDefault="00B72047">
      <w:pPr>
        <w:pStyle w:val="resumedafterexample"/>
      </w:pPr>
      <w:r>
        <w:rPr>
          <w:rStyle w:val="htmlcodes"/>
        </w:rPr>
        <w:t>&lt;/dl&gt;</w:t>
      </w:r>
      <w:r>
        <w:rPr>
          <w:rStyle w:val="indexentry"/>
        </w:rPr>
        <w:t>&lt;cx "gismu, geographical"&gt;</w:t>
      </w:r>
      <w:r>
        <w:rPr>
          <w:rStyle w:val="indexentry"/>
        </w:rPr>
        <w:fldChar w:fldCharType="begin"/>
      </w:r>
      <w:r>
        <w:instrText>xe "</w:instrText>
      </w:r>
      <w:r>
        <w:rPr>
          <w:rStyle w:val="xeentry"/>
        </w:rPr>
        <w:instrText>gismu: geographical</w:instrText>
      </w:r>
      <w:r>
        <w:instrText>"</w:instrText>
      </w:r>
      <w:r>
        <w:rPr>
          <w:rStyle w:val="indexentry"/>
        </w:rPr>
        <w:fldChar w:fldCharType="end"/>
      </w:r>
      <w:r>
        <w:rPr>
          <w:rStyle w:val="indexentry"/>
        </w:rPr>
        <w:t>&lt;cx "continents, gismu for"&gt;</w:t>
      </w:r>
      <w:r>
        <w:rPr>
          <w:rStyle w:val="indexentry"/>
        </w:rPr>
        <w:fldChar w:fldCharType="begin"/>
      </w:r>
      <w:r>
        <w:instrText>xe "</w:instrText>
      </w:r>
      <w:r>
        <w:rPr>
          <w:rStyle w:val="xeentry"/>
        </w:rPr>
        <w:instrText>continents: gismu for</w:instrText>
      </w:r>
      <w:r>
        <w:instrText>"</w:instrText>
      </w:r>
      <w:r>
        <w:rPr>
          <w:rStyle w:val="indexentry"/>
        </w:rPr>
        <w:fldChar w:fldCharType="end"/>
      </w:r>
      <w:r>
        <w:t>The continents (and oceanic regions) of the Earth:</w:t>
      </w:r>
    </w:p>
    <w:p w:rsidR="00B72047" w:rsidRDefault="00B72047">
      <w:pPr>
        <w:pStyle w:val="exampwidetabs"/>
        <w:rPr>
          <w:rStyle w:val="htmlparacode"/>
        </w:rPr>
      </w:pPr>
      <w:r>
        <w:rPr>
          <w:rStyle w:val="htmlparacode"/>
        </w:rPr>
        <w:t>&lt;p&gt;</w:t>
      </w:r>
    </w:p>
    <w:p w:rsidR="00B72047" w:rsidRDefault="00B72047">
      <w:pPr>
        <w:pStyle w:val="examplewtabspre"/>
        <w:spacing w:line="200" w:lineRule="exact"/>
      </w:pPr>
      <w:r>
        <w:rPr>
          <w:rStyle w:val="htmlcodes"/>
        </w:rPr>
        <w:t>&lt;pre&gt;</w:t>
      </w:r>
      <w:r>
        <w:t xml:space="preserve"> </w:t>
      </w:r>
      <w:r>
        <w:tab/>
        <w:t>bemro</w:t>
      </w:r>
      <w:r>
        <w:tab/>
        <w:t>North American (from “berti merko”)</w:t>
      </w:r>
    </w:p>
    <w:p w:rsidR="00B72047" w:rsidRDefault="00B72047">
      <w:pPr>
        <w:pStyle w:val="exampwidetabs"/>
        <w:spacing w:line="200" w:lineRule="exact"/>
      </w:pPr>
      <w:r>
        <w:tab/>
        <w:t>dzipo</w:t>
      </w:r>
      <w:r>
        <w:tab/>
        <w:t>Antarctican (from “cadzu cipni”)</w:t>
      </w:r>
    </w:p>
    <w:p w:rsidR="00B72047" w:rsidRDefault="00B72047">
      <w:pPr>
        <w:pStyle w:val="exampwidetabs"/>
        <w:spacing w:line="200" w:lineRule="exact"/>
      </w:pPr>
      <w:r>
        <w:tab/>
        <w:t>ketco</w:t>
      </w:r>
      <w:r>
        <w:tab/>
        <w:t>South American (from “Quechua”)</w:t>
      </w:r>
    </w:p>
    <w:p w:rsidR="00B72047" w:rsidRDefault="00B72047">
      <w:pPr>
        <w:pStyle w:val="exampwidetabs"/>
        <w:spacing w:line="200" w:lineRule="exact"/>
      </w:pPr>
      <w:r>
        <w:tab/>
        <w:t>friko</w:t>
      </w:r>
      <w:r>
        <w:tab/>
        <w:t>African</w:t>
      </w:r>
    </w:p>
    <w:p w:rsidR="00B72047" w:rsidRDefault="00B72047">
      <w:pPr>
        <w:pStyle w:val="exampwidetabs"/>
        <w:spacing w:line="200" w:lineRule="exact"/>
      </w:pPr>
      <w:r>
        <w:tab/>
        <w:t>polno</w:t>
      </w:r>
      <w:r>
        <w:tab/>
        <w:t>Polynesian/Oceanic</w:t>
      </w:r>
    </w:p>
    <w:p w:rsidR="00B72047" w:rsidRDefault="00B72047">
      <w:pPr>
        <w:pStyle w:val="exampwidetabs"/>
        <w:spacing w:line="200" w:lineRule="exact"/>
      </w:pPr>
      <w:r>
        <w:tab/>
        <w:t>ropno</w:t>
      </w:r>
      <w:r>
        <w:tab/>
        <w:t>European</w:t>
      </w:r>
    </w:p>
    <w:p w:rsidR="00B72047" w:rsidRDefault="00B72047">
      <w:pPr>
        <w:pStyle w:val="exampwidetabs"/>
        <w:spacing w:line="200" w:lineRule="exact"/>
      </w:pPr>
      <w:r>
        <w:tab/>
        <w:t>xazdo</w:t>
      </w:r>
      <w:r>
        <w:tab/>
        <w:t>Asiatic</w:t>
      </w:r>
    </w:p>
    <w:p w:rsidR="00B72047" w:rsidRDefault="00B72047">
      <w:pPr>
        <w:pStyle w:val="resumedafterexample"/>
      </w:pPr>
      <w:r>
        <w:rPr>
          <w:rStyle w:val="htmlcodes"/>
        </w:rPr>
        <w:t>&lt;/pre&gt;</w:t>
      </w:r>
      <w:r>
        <w:rPr>
          <w:rStyle w:val="indexentry"/>
        </w:rPr>
        <w:t>&lt;cx "gismu, ethnic"&gt;</w:t>
      </w:r>
      <w:r>
        <w:rPr>
          <w:rStyle w:val="indexentry"/>
        </w:rPr>
        <w:fldChar w:fldCharType="begin"/>
      </w:r>
      <w:r>
        <w:instrText>xe "</w:instrText>
      </w:r>
      <w:r>
        <w:rPr>
          <w:rStyle w:val="xeentry"/>
        </w:rPr>
        <w:instrText>gismu: ethnic</w:instrText>
      </w:r>
      <w:r>
        <w:instrText>"</w:instrText>
      </w:r>
      <w:r>
        <w:rPr>
          <w:rStyle w:val="indexentry"/>
        </w:rPr>
        <w:fldChar w:fldCharType="end"/>
      </w:r>
      <w:r>
        <w:t>A few smaller but historically important cultures:</w:t>
      </w:r>
    </w:p>
    <w:p w:rsidR="00B72047" w:rsidRDefault="00B72047">
      <w:pPr>
        <w:pStyle w:val="exampwidetabs"/>
        <w:rPr>
          <w:rStyle w:val="htmlparacode"/>
        </w:rPr>
      </w:pPr>
      <w:r>
        <w:rPr>
          <w:rStyle w:val="htmlparacode"/>
        </w:rPr>
        <w:t>&lt;p&gt;</w:t>
      </w:r>
    </w:p>
    <w:p w:rsidR="00B72047" w:rsidRDefault="00B72047">
      <w:pPr>
        <w:pStyle w:val="examplewtabspre"/>
        <w:spacing w:line="200" w:lineRule="exact"/>
      </w:pPr>
      <w:r>
        <w:rPr>
          <w:rStyle w:val="htmlcodes"/>
        </w:rPr>
        <w:t>&lt;pre&gt;</w:t>
      </w:r>
      <w:r>
        <w:t xml:space="preserve"> </w:t>
      </w:r>
      <w:r>
        <w:tab/>
        <w:t>latmo</w:t>
      </w:r>
      <w:r>
        <w:tab/>
        <w:t>Latin/Roman</w:t>
      </w:r>
    </w:p>
    <w:p w:rsidR="00B72047" w:rsidRDefault="00B72047">
      <w:pPr>
        <w:pStyle w:val="exampwidetabs"/>
        <w:spacing w:line="200" w:lineRule="exact"/>
      </w:pPr>
      <w:r>
        <w:tab/>
        <w:t>srito</w:t>
      </w:r>
      <w:r>
        <w:tab/>
        <w:t>Sanskrit</w:t>
      </w:r>
    </w:p>
    <w:p w:rsidR="00B72047" w:rsidRDefault="00B72047">
      <w:pPr>
        <w:pStyle w:val="exampwidetabs"/>
        <w:spacing w:line="200" w:lineRule="exact"/>
      </w:pPr>
      <w:r>
        <w:tab/>
        <w:t>xebro</w:t>
      </w:r>
      <w:r>
        <w:tab/>
        <w:t>Hebrew/Israeli/Jewish</w:t>
      </w:r>
    </w:p>
    <w:p w:rsidR="00B72047" w:rsidRDefault="00B72047">
      <w:pPr>
        <w:pStyle w:val="exampwidetabs"/>
        <w:spacing w:line="200" w:lineRule="exact"/>
      </w:pPr>
      <w:r>
        <w:tab/>
        <w:t>xelso</w:t>
      </w:r>
      <w:r>
        <w:tab/>
        <w:t>Greek (from “Hellas”)</w:t>
      </w:r>
    </w:p>
    <w:p w:rsidR="00B72047" w:rsidRDefault="00B72047">
      <w:pPr>
        <w:pStyle w:val="resumedafterexample"/>
        <w:spacing w:before="0"/>
      </w:pPr>
      <w:r>
        <w:rPr>
          <w:rStyle w:val="htmlcodes"/>
          <w:vanish w:val="0"/>
        </w:rPr>
        <w:br w:type="page"/>
      </w:r>
      <w:r>
        <w:rPr>
          <w:rStyle w:val="htmlcodes"/>
        </w:rPr>
        <w:t>&lt;/pre&gt;</w:t>
      </w:r>
      <w:r>
        <w:rPr>
          <w:rStyle w:val="indexentry"/>
        </w:rPr>
        <w:t>&lt;cx "gismu, religious"&gt;</w:t>
      </w:r>
      <w:r>
        <w:rPr>
          <w:rStyle w:val="indexentry"/>
        </w:rPr>
        <w:fldChar w:fldCharType="begin"/>
      </w:r>
      <w:r>
        <w:instrText>xe "</w:instrText>
      </w:r>
      <w:r>
        <w:rPr>
          <w:rStyle w:val="xeentry"/>
        </w:rPr>
        <w:instrText>gismu: religious</w:instrText>
      </w:r>
      <w:r>
        <w:instrText>"</w:instrText>
      </w:r>
      <w:r>
        <w:rPr>
          <w:rStyle w:val="indexentry"/>
        </w:rPr>
        <w:fldChar w:fldCharType="end"/>
      </w:r>
      <w:r>
        <w:t>Major world religions:</w:t>
      </w:r>
    </w:p>
    <w:p w:rsidR="00B72047" w:rsidRDefault="00B72047">
      <w:pPr>
        <w:pStyle w:val="exampwidetabs"/>
        <w:rPr>
          <w:rStyle w:val="htmlparacode"/>
        </w:rPr>
      </w:pPr>
      <w:r>
        <w:rPr>
          <w:rStyle w:val="htmlparacode"/>
        </w:rPr>
        <w:t>&lt;p&gt;</w:t>
      </w:r>
    </w:p>
    <w:p w:rsidR="00B72047" w:rsidRDefault="00B72047">
      <w:pPr>
        <w:pStyle w:val="examplewtabspre"/>
        <w:spacing w:line="200" w:lineRule="exact"/>
      </w:pPr>
      <w:r>
        <w:rPr>
          <w:rStyle w:val="htmlcodes"/>
        </w:rPr>
        <w:t>&lt;pre&gt;</w:t>
      </w:r>
      <w:r>
        <w:t xml:space="preserve"> </w:t>
      </w:r>
      <w:r>
        <w:tab/>
        <w:t>budjo</w:t>
      </w:r>
      <w:r>
        <w:tab/>
        <w:t>Buddhist</w:t>
      </w:r>
    </w:p>
    <w:p w:rsidR="00B72047" w:rsidRDefault="00B72047">
      <w:pPr>
        <w:pStyle w:val="exampwidetabs"/>
        <w:spacing w:line="200" w:lineRule="exact"/>
      </w:pPr>
      <w:r>
        <w:tab/>
        <w:t>dadjo</w:t>
      </w:r>
      <w:r>
        <w:tab/>
        <w:t>Taoist</w:t>
      </w:r>
    </w:p>
    <w:p w:rsidR="00B72047" w:rsidRDefault="00B72047">
      <w:pPr>
        <w:pStyle w:val="exampwidetabs"/>
        <w:spacing w:line="200" w:lineRule="exact"/>
      </w:pPr>
      <w:r>
        <w:tab/>
        <w:t>muslo</w:t>
      </w:r>
      <w:r>
        <w:tab/>
        <w:t>Islamic/Moslem</w:t>
      </w:r>
    </w:p>
    <w:p w:rsidR="00B72047" w:rsidRDefault="00B72047">
      <w:pPr>
        <w:pStyle w:val="exampwidetabs"/>
        <w:spacing w:line="200" w:lineRule="exact"/>
      </w:pPr>
      <w:r>
        <w:tab/>
        <w:t>xriso</w:t>
      </w:r>
      <w:r>
        <w:tab/>
        <w:t>Christian</w:t>
      </w:r>
    </w:p>
    <w:p w:rsidR="00B72047" w:rsidRDefault="00B72047">
      <w:pPr>
        <w:pStyle w:val="resumedafterexample"/>
      </w:pPr>
      <w:r>
        <w:rPr>
          <w:rStyle w:val="htmlcodes"/>
        </w:rPr>
        <w:t>&lt;/pre&gt;&lt;p&gt;</w:t>
      </w:r>
      <w:r>
        <w:t>A few terms that cover multiple groups of the above:</w:t>
      </w:r>
    </w:p>
    <w:p w:rsidR="00B72047" w:rsidRDefault="00B72047">
      <w:pPr>
        <w:pStyle w:val="exampwidetabs"/>
        <w:rPr>
          <w:rStyle w:val="htmlparacode"/>
        </w:rPr>
      </w:pPr>
      <w:r>
        <w:rPr>
          <w:rStyle w:val="htmlparacode"/>
        </w:rPr>
        <w:t>&lt;p&gt;</w:t>
      </w:r>
    </w:p>
    <w:p w:rsidR="00B72047" w:rsidRDefault="00B72047">
      <w:pPr>
        <w:pStyle w:val="examplewtabspre"/>
        <w:spacing w:line="200" w:lineRule="exact"/>
      </w:pPr>
      <w:r>
        <w:rPr>
          <w:rStyle w:val="htmlcodes"/>
        </w:rPr>
        <w:t>&lt;pre&gt;</w:t>
      </w:r>
      <w:r>
        <w:t xml:space="preserve"> </w:t>
      </w:r>
      <w:r>
        <w:tab/>
        <w:t>jegvo</w:t>
      </w:r>
      <w:r>
        <w:tab/>
        <w:t>Jehovist (Judeo-Christian-Moslem)</w:t>
      </w:r>
    </w:p>
    <w:p w:rsidR="00B72047" w:rsidRDefault="00B72047">
      <w:pPr>
        <w:pStyle w:val="exampwidetabs"/>
        <w:spacing w:line="200" w:lineRule="exact"/>
      </w:pPr>
      <w:r>
        <w:tab/>
        <w:t>semto</w:t>
      </w:r>
      <w:r>
        <w:tab/>
        <w:t>Semitic</w:t>
      </w:r>
    </w:p>
    <w:p w:rsidR="00B72047" w:rsidRDefault="00B72047">
      <w:pPr>
        <w:pStyle w:val="exampwidetabs"/>
        <w:spacing w:line="200" w:lineRule="exact"/>
      </w:pPr>
      <w:r>
        <w:tab/>
        <w:t>slovo</w:t>
      </w:r>
      <w:r>
        <w:tab/>
        <w:t>Slavic</w:t>
      </w:r>
    </w:p>
    <w:p w:rsidR="00B72047" w:rsidRDefault="00B72047">
      <w:pPr>
        <w:pStyle w:val="exampwidetabs"/>
        <w:spacing w:line="200" w:lineRule="exact"/>
      </w:pPr>
      <w:r>
        <w:tab/>
        <w:t>xispo</w:t>
      </w:r>
      <w:r>
        <w:tab/>
        <w:t>Hispanic (New World Spanish)</w:t>
      </w:r>
    </w:p>
    <w:p w:rsidR="00B72047" w:rsidRDefault="00B72047">
      <w:pPr>
        <w:pStyle w:val="Heading3"/>
        <w:rPr>
          <w:rStyle w:val="Heading3Text"/>
        </w:rPr>
      </w:pPr>
      <w:r>
        <w:rPr>
          <w:rStyle w:val="htmlcodes"/>
        </w:rPr>
        <w:t>&lt;/pre&gt;&lt;a name=s16&gt;&lt;h3&gt;</w:t>
      </w:r>
      <w:bookmarkStart w:id="185" w:name="_Toc395691514"/>
      <w:bookmarkStart w:id="186" w:name="_Toc398970485"/>
      <w:r>
        <w:rPr>
          <w:rStyle w:val="Heading3Text"/>
        </w:rPr>
        <w:t>rafsi fu'ivla: a proposal</w:t>
      </w:r>
      <w:bookmarkEnd w:id="185"/>
      <w:bookmarkEnd w:id="18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"rafsi fu'ivla"&gt;</w:t>
      </w:r>
      <w:r>
        <w:rPr>
          <w:rStyle w:val="indexentry"/>
        </w:rPr>
        <w:fldChar w:fldCharType="begin"/>
      </w:r>
      <w:r>
        <w:instrText>xe "</w:instrText>
      </w:r>
      <w:r>
        <w:rPr>
          <w:rStyle w:val="xeentry"/>
        </w:rPr>
        <w:instrText>rafsi fu'ivla proposal</w:instrText>
      </w:r>
      <w:r>
        <w:instrText>"</w:instrText>
      </w:r>
      <w:r>
        <w:rPr>
          <w:rStyle w:val="indexentry"/>
        </w:rPr>
        <w:fldChar w:fldCharType="end"/>
      </w:r>
      <w:r>
        <w:rPr>
          <w:rStyle w:val="indexentry"/>
        </w:rPr>
        <w:t>&lt;cx "cultural words, rafsi fu'ivla proposal for"&gt;</w:t>
      </w:r>
      <w:r>
        <w:rPr>
          <w:rStyle w:val="indexentry"/>
        </w:rPr>
        <w:fldChar w:fldCharType="begin"/>
      </w:r>
      <w:r>
        <w:instrText>xe "</w:instrText>
      </w:r>
      <w:r>
        <w:rPr>
          <w:rStyle w:val="xeentry"/>
        </w:rPr>
        <w:instrText>cultural words: rafsi fu'ivla proposal for</w:instrText>
      </w:r>
      <w:r>
        <w:instrText>"</w:instrText>
      </w:r>
      <w:r>
        <w:rPr>
          <w:rStyle w:val="indexentry"/>
        </w:rPr>
        <w:fldChar w:fldCharType="end"/>
      </w:r>
      <w:r>
        <w:t xml:space="preserve">The list of cultures represented by gismu, given in </w:t>
      </w:r>
      <w:r>
        <w:rPr>
          <w:rStyle w:val="htmlcodes"/>
        </w:rPr>
        <w:t>&lt;a href=#s15&gt;</w:t>
      </w:r>
      <w:r>
        <w:t>Section 15</w:t>
      </w:r>
      <w:r>
        <w:rPr>
          <w:rStyle w:val="htmlcodes"/>
        </w:rPr>
        <w:t>&lt;/a&gt;</w:t>
      </w:r>
      <w:r>
        <w:t>, is</w:t>
      </w:r>
      <w:r>
        <w:rPr>
          <w:rStyle w:val="deletedparamark"/>
        </w:rPr>
        <w:t xml:space="preserve"> </w:t>
      </w:r>
      <w:r>
        <w:t>unavoidably co</w:t>
      </w:r>
      <w:r>
        <w:t>n</w:t>
      </w:r>
      <w:r>
        <w:t>tro</w:t>
      </w:r>
      <w:r>
        <w:softHyphen/>
        <w:t>versial. Much time has been spent debating whether</w:t>
      </w:r>
      <w:r>
        <w:rPr>
          <w:rStyle w:val="deletedparamark"/>
        </w:rPr>
        <w:t xml:space="preserve"> </w:t>
      </w:r>
      <w:r>
        <w:t>this or that culture “deserves a gismu” or “must languish in fu'ivla</w:t>
      </w:r>
      <w:r>
        <w:rPr>
          <w:rStyle w:val="deletedparamark"/>
        </w:rPr>
        <w:t xml:space="preserve"> </w:t>
      </w:r>
      <w:r>
        <w:t>space”. To help defuse this argument, a last-min</w:t>
      </w:r>
      <w:r>
        <w:softHyphen/>
        <w:t>ute proposal was made</w:t>
      </w:r>
      <w:r>
        <w:rPr>
          <w:rStyle w:val="deletedparamark"/>
        </w:rPr>
        <w:t xml:space="preserve"> </w:t>
      </w:r>
      <w:r>
        <w:t>when this book was already substantially complete. I have added it</w:t>
      </w:r>
      <w:r>
        <w:rPr>
          <w:rStyle w:val="deletedparamark"/>
        </w:rPr>
        <w:t xml:space="preserve"> </w:t>
      </w:r>
      <w:r>
        <w:t>here with experimental status: it is not yet a standard part of Lojban,</w:t>
      </w:r>
      <w:r>
        <w:rPr>
          <w:rStyle w:val="deletedparamark"/>
        </w:rPr>
        <w:t xml:space="preserve"> </w:t>
      </w:r>
      <w:r>
        <w:t>since all its im</w:t>
      </w:r>
      <w:r>
        <w:softHyphen/>
        <w:t>plica</w:t>
      </w:r>
      <w:r>
        <w:softHyphen/>
        <w:t>tions have not been tested in open debate, and</w:t>
      </w:r>
      <w:r>
        <w:rPr>
          <w:rStyle w:val="deletedparamark"/>
        </w:rPr>
        <w:t xml:space="preserve"> </w:t>
      </w:r>
      <w:r>
        <w:t>it affects a part of the language (lujvo-making) that has long been</w:t>
      </w:r>
      <w:r>
        <w:rPr>
          <w:rStyle w:val="deletedparamark"/>
        </w:rPr>
        <w:t xml:space="preserve"> </w:t>
      </w:r>
      <w:r>
        <w:t>stable, but is known to be fragile in the face of small changes.</w:t>
      </w:r>
      <w:r>
        <w:rPr>
          <w:rStyle w:val="deletedparamark"/>
        </w:rPr>
        <w:t xml:space="preserve"> </w:t>
      </w:r>
      <w:r>
        <w:t>(Many attempts were made to add general mechanisms for making lujvo</w:t>
      </w:r>
      <w:r>
        <w:rPr>
          <w:rStyle w:val="deletedparamark"/>
        </w:rPr>
        <w:t xml:space="preserve"> </w:t>
      </w:r>
      <w:r>
        <w:t>that contained fu'ivla, but all failed on obvious or obscure</w:t>
      </w:r>
      <w:r>
        <w:rPr>
          <w:rStyle w:val="deletedparamark"/>
        </w:rPr>
        <w:t xml:space="preserve"> </w:t>
      </w:r>
      <w:r>
        <w:t>counterexam</w:t>
      </w:r>
      <w:r>
        <w:softHyphen/>
        <w:t>ples; finally the gen</w:t>
      </w:r>
      <w:r>
        <w:softHyphen/>
        <w:t>eral “zei” mechanism was devised instead.)</w:t>
      </w:r>
    </w:p>
    <w:p w:rsidR="00B72047" w:rsidRDefault="00B72047">
      <w:pPr>
        <w:rPr>
          <w:rStyle w:val="htmlparacode"/>
        </w:rPr>
      </w:pPr>
      <w:r>
        <w:rPr>
          <w:rStyle w:val="htmlparacode"/>
        </w:rPr>
        <w:t>&lt;p&gt;</w:t>
      </w:r>
    </w:p>
    <w:p w:rsidR="00B72047" w:rsidRDefault="00B72047">
      <w:pPr>
        <w:pStyle w:val="normalparagraph"/>
      </w:pPr>
      <w:r>
        <w:rPr>
          <w:rStyle w:val="indexentry"/>
        </w:rPr>
        <w:t>&lt;cx "CCVVCV fu'ivla, and rafsi fu'ivla proposal"&gt;</w:t>
      </w:r>
      <w:r>
        <w:rPr>
          <w:rStyle w:val="indexentry"/>
        </w:rPr>
        <w:fldChar w:fldCharType="begin"/>
      </w:r>
      <w:r>
        <w:instrText>xe "</w:instrText>
      </w:r>
      <w:r>
        <w:rPr>
          <w:rStyle w:val="xeentry"/>
        </w:rPr>
        <w:instrText>CCVVCV fu'ivla: and rafsi fu'ivla proposal</w:instrText>
      </w:r>
      <w:r>
        <w:instrText>"</w:instrText>
      </w:r>
      <w:r>
        <w:rPr>
          <w:rStyle w:val="indexentry"/>
        </w:rPr>
        <w:fldChar w:fldCharType="end"/>
      </w:r>
      <w:r>
        <w:rPr>
          <w:rStyle w:val="indexentry"/>
        </w:rPr>
        <w:t>&lt;cx "fu'ivla, form for rafsi fu'ivla proposal"&gt;</w:t>
      </w:r>
      <w:r>
        <w:rPr>
          <w:rStyle w:val="indexentry"/>
        </w:rPr>
        <w:fldChar w:fldCharType="begin"/>
      </w:r>
      <w:r>
        <w:instrText>xe "</w:instrText>
      </w:r>
      <w:r>
        <w:rPr>
          <w:rStyle w:val="xeentry"/>
        </w:rPr>
        <w:instrText>fu'ivla: form for rafsi fu'ivla proposal</w:instrText>
      </w:r>
      <w:r>
        <w:instrText>"</w:instrText>
      </w:r>
      <w:r>
        <w:rPr>
          <w:rStyle w:val="indexentry"/>
        </w:rPr>
        <w:fldChar w:fldCharType="end"/>
      </w:r>
      <w:r>
        <w:t>The first part of the proposal is uncontroversial and involves no</w:t>
      </w:r>
      <w:r>
        <w:rPr>
          <w:rStyle w:val="deletedparamark"/>
        </w:rPr>
        <w:t xml:space="preserve"> </w:t>
      </w:r>
      <w:r>
        <w:t>change to the la</w:t>
      </w:r>
      <w:r>
        <w:t>n</w:t>
      </w:r>
      <w:r>
        <w:softHyphen/>
        <w:t>guage mechanisms. All valid Type 4 fu'ivla of the</w:t>
      </w:r>
      <w:r>
        <w:rPr>
          <w:rStyle w:val="deletedparamark"/>
        </w:rPr>
        <w:t xml:space="preserve"> </w:t>
      </w:r>
      <w:r>
        <w:t>form CCVVCV would be re</w:t>
      </w:r>
      <w:r>
        <w:softHyphen/>
        <w:t>served for cultural brivla analogous to those</w:t>
      </w:r>
      <w:r>
        <w:rPr>
          <w:rStyle w:val="deletedparamark"/>
        </w:rPr>
        <w:t xml:space="preserve"> </w:t>
      </w:r>
      <w:r>
        <w:t xml:space="preserve">described in </w:t>
      </w:r>
      <w:r>
        <w:rPr>
          <w:rStyle w:val="htmlcodes"/>
        </w:rPr>
        <w:t>&lt;a href=#s15&gt;</w:t>
      </w:r>
      <w:r>
        <w:t>Section 15</w:t>
      </w:r>
      <w:r>
        <w:rPr>
          <w:rStyle w:val="htmlcodes"/>
        </w:rPr>
        <w:t>&lt;/a&gt;</w:t>
      </w:r>
      <w:r>
        <w:t>.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name=e16d1&gt;</w:t>
      </w:r>
      <w:r>
        <w:t>16.1)</w:t>
      </w:r>
      <w:r>
        <w:tab/>
        <w:t>tci'ile</w:t>
      </w:r>
    </w:p>
    <w:p w:rsidR="00B72047" w:rsidRDefault="00B72047">
      <w:pPr>
        <w:pStyle w:val="examplescaled"/>
      </w:pPr>
      <w:r>
        <w:tab/>
        <w:t>Chilean</w:t>
      </w:r>
    </w:p>
    <w:p w:rsidR="00B72047" w:rsidRDefault="00B72047">
      <w:pPr>
        <w:pStyle w:val="resumedafterexample"/>
      </w:pPr>
      <w:r>
        <w:t>is of the appropriate form, and passes all tests required of a Stage 4</w:t>
      </w:r>
      <w:r>
        <w:rPr>
          <w:rStyle w:val="deletedparamark"/>
        </w:rPr>
        <w:t xml:space="preserve"> </w:t>
      </w:r>
      <w:r>
        <w:t>fu'ivla. No two fu'ivla of this form would be allowed to coexist if they</w:t>
      </w:r>
      <w:r>
        <w:rPr>
          <w:rStyle w:val="deletedparamark"/>
        </w:rPr>
        <w:t xml:space="preserve"> </w:t>
      </w:r>
      <w:r>
        <w:t>differed only in the final vowel; this rule was applied to gismu, but</w:t>
      </w:r>
      <w:r>
        <w:rPr>
          <w:rStyle w:val="deletedparamark"/>
        </w:rPr>
        <w:t xml:space="preserve"> </w:t>
      </w:r>
      <w:r>
        <w:t>does not apply to other fu'ivla or to lujvo.</w:t>
      </w:r>
    </w:p>
    <w:p w:rsidR="00B72047" w:rsidRDefault="00B72047">
      <w:pPr>
        <w:rPr>
          <w:rStyle w:val="htmlparacode"/>
        </w:rPr>
      </w:pPr>
      <w:r>
        <w:rPr>
          <w:rStyle w:val="htmlparacode"/>
        </w:rPr>
        <w:t>&lt;p&gt;</w:t>
      </w:r>
    </w:p>
    <w:p w:rsidR="00B72047" w:rsidRDefault="00B72047">
      <w:pPr>
        <w:pStyle w:val="normalparagraph"/>
      </w:pPr>
      <w:r>
        <w:t>The second, and fully experimental, part of the proposal is to allow</w:t>
      </w:r>
      <w:r>
        <w:rPr>
          <w:rStyle w:val="deletedparamark"/>
        </w:rPr>
        <w:t xml:space="preserve"> </w:t>
      </w:r>
      <w:r>
        <w:t>rafsi to be formed from these cultural fu'ivla by removing the final</w:t>
      </w:r>
      <w:r>
        <w:rPr>
          <w:rStyle w:val="deletedparamark"/>
        </w:rPr>
        <w:t xml:space="preserve"> </w:t>
      </w:r>
      <w:r>
        <w:t>vowel and treating the result as a 4-letter rafsi (although it would contain</w:t>
      </w:r>
      <w:r>
        <w:rPr>
          <w:rStyle w:val="deletedparamark"/>
        </w:rPr>
        <w:t xml:space="preserve"> </w:t>
      </w:r>
      <w:r>
        <w:t>five letters, not four). These rafsi could then be used on a par with all</w:t>
      </w:r>
      <w:r>
        <w:rPr>
          <w:rStyle w:val="deletedparamark"/>
        </w:rPr>
        <w:t xml:space="preserve"> </w:t>
      </w:r>
      <w:r>
        <w:t>other rafsi in forming lujvo. The tanru</w:t>
      </w:r>
    </w:p>
    <w:p w:rsidR="00B72047" w:rsidRDefault="00B72047">
      <w:pPr>
        <w:rPr>
          <w:rStyle w:val="htmlparacode"/>
        </w:rPr>
      </w:pPr>
      <w:r>
        <w:rPr>
          <w:rStyle w:val="htmlparacode"/>
        </w:rPr>
        <w:t>&lt;p&gt;</w:t>
      </w:r>
    </w:p>
    <w:p w:rsidR="00B72047" w:rsidRDefault="00B72047">
      <w:pPr>
        <w:pStyle w:val="examplescaledpre"/>
      </w:pPr>
      <w:r>
        <w:rPr>
          <w:rStyle w:val="indexentry"/>
        </w:rPr>
        <w:t>&lt;ex "Chilean desert"&gt;</w:t>
      </w:r>
      <w:r>
        <w:rPr>
          <w:rStyle w:val="indexentry"/>
        </w:rPr>
        <w:fldChar w:fldCharType="begin"/>
      </w:r>
      <w:r>
        <w:instrText>xe "</w:instrText>
      </w:r>
      <w:r>
        <w:rPr>
          <w:rStyle w:val="xeentry"/>
        </w:rPr>
        <w:instrText>Chilean desert: example</w:instrText>
      </w:r>
      <w:r>
        <w:instrText>"</w:instrText>
      </w:r>
      <w:r>
        <w:rPr>
          <w:rStyle w:val="indexentry"/>
        </w:rPr>
        <w:fldChar w:fldCharType="end"/>
      </w:r>
      <w:r>
        <w:rPr>
          <w:rStyle w:val="htmlcodes"/>
        </w:rPr>
        <w:t>&lt;pre&gt;&lt;a name=e16d2&gt;</w:t>
      </w:r>
      <w:r>
        <w:t>16.2)</w:t>
      </w:r>
      <w:r>
        <w:tab/>
        <w:t>tci'ile ke canre tutra</w:t>
      </w:r>
    </w:p>
    <w:p w:rsidR="00B72047" w:rsidRDefault="00B72047">
      <w:pPr>
        <w:pStyle w:val="examplescaled"/>
      </w:pPr>
      <w:r>
        <w:tab/>
        <w:t>Chilean type-of (sand territory)</w:t>
      </w:r>
    </w:p>
    <w:p w:rsidR="00B72047" w:rsidRDefault="00B72047">
      <w:pPr>
        <w:pStyle w:val="examplescaled"/>
      </w:pPr>
      <w:r>
        <w:tab/>
        <w:t>Chilean desert</w:t>
      </w:r>
    </w:p>
    <w:p w:rsidR="00B72047" w:rsidRDefault="00B72047">
      <w:pPr>
        <w:pStyle w:val="resumedafterexample"/>
      </w:pPr>
      <w:r>
        <w:rPr>
          <w:rStyle w:val="htmlcodes"/>
        </w:rPr>
        <w:t>&lt;/pre&gt;</w:t>
      </w:r>
      <w:r>
        <w:t>could be represented by the lujvo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name=e16d3&gt;</w:t>
      </w:r>
      <w:r>
        <w:t>16.3)</w:t>
      </w:r>
      <w:r>
        <w:tab/>
        <w:t>tci'ilykemcantutra</w:t>
      </w:r>
    </w:p>
    <w:p w:rsidR="00B72047" w:rsidRDefault="00B72047">
      <w:pPr>
        <w:pStyle w:val="resumedafterexample"/>
      </w:pPr>
      <w:r>
        <w:rPr>
          <w:rStyle w:val="htmlcodes"/>
        </w:rPr>
        <w:t>&lt;/pre&gt;</w:t>
      </w:r>
      <w:r>
        <w:t>which is an illegal word in standard Lojban, but a valid lujvo under</w:t>
      </w:r>
      <w:r>
        <w:rPr>
          <w:rStyle w:val="deletedparamark"/>
        </w:rPr>
        <w:t xml:space="preserve"> </w:t>
      </w:r>
      <w:r>
        <w:t>this proposal. There would be no short rafsi or 5-letter rafsi</w:t>
      </w:r>
      <w:r>
        <w:rPr>
          <w:rStyle w:val="deletedparamark"/>
        </w:rPr>
        <w:t xml:space="preserve"> </w:t>
      </w:r>
      <w:r>
        <w:t>assigned to any fu'ivla, so no fu'ivla could ap</w:t>
      </w:r>
      <w:r>
        <w:softHyphen/>
        <w:t>pear as the last</w:t>
      </w:r>
      <w:r>
        <w:rPr>
          <w:rStyle w:val="deletedparamark"/>
        </w:rPr>
        <w:t xml:space="preserve"> </w:t>
      </w:r>
      <w:r>
        <w:t>element of a lujvo.</w:t>
      </w:r>
    </w:p>
    <w:p w:rsidR="00B72047" w:rsidRDefault="00B72047">
      <w:pPr>
        <w:rPr>
          <w:rStyle w:val="htmlparacode"/>
        </w:rPr>
      </w:pPr>
      <w:r>
        <w:rPr>
          <w:rStyle w:val="htmlparacode"/>
        </w:rPr>
        <w:t>&lt;p&gt;</w:t>
      </w:r>
    </w:p>
    <w:p w:rsidR="00B72047" w:rsidRDefault="00B72047">
      <w:pPr>
        <w:pStyle w:val="normalparagraph"/>
      </w:pPr>
      <w:r>
        <w:t>The cultural fu'ivla introduced under this proposal are called “rafsi</w:t>
      </w:r>
      <w:r>
        <w:rPr>
          <w:rStyle w:val="deletedparamark"/>
        </w:rPr>
        <w:t xml:space="preserve"> </w:t>
      </w:r>
      <w:r>
        <w:t>fu'ivla”, since they are distinguished from other Type 4 fu'ivla by</w:t>
      </w:r>
      <w:r>
        <w:rPr>
          <w:rStyle w:val="deletedparamark"/>
        </w:rPr>
        <w:t xml:space="preserve"> </w:t>
      </w:r>
      <w:r>
        <w:t>the property of having rafsi. If this proposal is workable and</w:t>
      </w:r>
      <w:r>
        <w:rPr>
          <w:rStyle w:val="deletedparamark"/>
        </w:rPr>
        <w:t xml:space="preserve"> </w:t>
      </w:r>
      <w:r>
        <w:t>intro</w:t>
      </w:r>
      <w:r>
        <w:softHyphen/>
        <w:t>duces no problems into Lojban morphology, it might b</w:t>
      </w:r>
      <w:r>
        <w:t>e</w:t>
      </w:r>
      <w:r>
        <w:softHyphen/>
        <w:t>come</w:t>
      </w:r>
      <w:r>
        <w:rPr>
          <w:rStyle w:val="deletedparamark"/>
        </w:rPr>
        <w:t xml:space="preserve"> </w:t>
      </w:r>
      <w:r>
        <w:t>standard for all Type 4 fu'ivla, including those made for plants,</w:t>
      </w:r>
      <w:r>
        <w:rPr>
          <w:rStyle w:val="deletedparamark"/>
        </w:rPr>
        <w:t xml:space="preserve"> </w:t>
      </w:r>
      <w:r>
        <w:t>animals, food</w:t>
      </w:r>
      <w:r>
        <w:softHyphen/>
        <w:t>stuffs, and other things.</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paracode"/>
        </w:rPr>
      </w:pPr>
      <w:r>
        <w:rPr>
          <w:rStyle w:val="htmlparacode"/>
        </w:rPr>
        <w:t>&lt;p&gt;</w:t>
      </w:r>
    </w:p>
    <w:p w:rsidR="00B72047" w:rsidRDefault="00B72047">
      <w:pPr>
        <w:rPr>
          <w:rStyle w:val="htmlcodes"/>
        </w:rPr>
      </w:pPr>
      <w:r>
        <w:rPr>
          <w:rStyle w:val="htmlcodes"/>
        </w:rPr>
        <w:t>&lt;body&gt;&lt;center&gt;&lt;p align=center&gt;</w:t>
      </w:r>
    </w:p>
    <w:p w:rsidR="00B72047" w:rsidRDefault="00B72047">
      <w:pPr>
        <w:pStyle w:val="resumedafterexample"/>
      </w:pPr>
      <w:r>
        <w:rPr>
          <w:rStyle w:val="htmlcodes"/>
        </w:rPr>
        <w:t>&lt;img src=chap5.gif alt=[Cartoon] align=center width=405 height=405&gt;</w:t>
      </w:r>
      <w:r>
        <w:pict>
          <v:shape id="_x0000_i1029" type="#_x0000_t75" style="width:357.75pt;height:544.5pt">
            <v:imagedata r:id="rId23" o:title="" croptop="-26739f" cropbottom="-26739f" cropleft="-6291f" cropright="-6291f"/>
          </v:shape>
        </w:pict>
      </w:r>
    </w:p>
    <w:p w:rsidR="00B72047" w:rsidRDefault="00B72047">
      <w:pPr>
        <w:pStyle w:val="normalparagraph"/>
        <w:rPr>
          <w:rStyle w:val="htmlcodes"/>
          <w:vanish w:val="0"/>
        </w:rPr>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187" w:name="_Toc395684234"/>
      <w:bookmarkStart w:id="188" w:name="_Toc395691515"/>
      <w:bookmarkStart w:id="189" w:name="_Toc395691782"/>
      <w:bookmarkStart w:id="190" w:name="_Toc398970486"/>
      <w:r>
        <w:t>Chapter 5</w:t>
      </w:r>
      <w:bookmarkEnd w:id="187"/>
      <w:bookmarkEnd w:id="188"/>
      <w:bookmarkEnd w:id="189"/>
      <w:bookmarkEnd w:id="190"/>
    </w:p>
    <w:p w:rsidR="00B72047" w:rsidRDefault="00B72047">
      <w:pPr>
        <w:pStyle w:val="Heading2"/>
        <w:rPr>
          <w:rStyle w:val="htmlcodes"/>
        </w:rPr>
      </w:pPr>
      <w:r>
        <w:rPr>
          <w:rStyle w:val="htmlcodes"/>
        </w:rPr>
        <w:t>&lt;br&gt;</w:t>
      </w:r>
    </w:p>
    <w:p w:rsidR="00B72047" w:rsidRDefault="00B72047">
      <w:pPr>
        <w:pStyle w:val="Heading2"/>
      </w:pPr>
      <w:bookmarkStart w:id="191" w:name="_Toc395691516"/>
      <w:bookmarkStart w:id="192" w:name="_Toc395691783"/>
      <w:bookmarkStart w:id="193" w:name="_Toc398970487"/>
      <w:r>
        <w:t>“Pretty Little Girls' School”: The Structure Of Lojban selbri</w:t>
      </w:r>
      <w:bookmarkEnd w:id="191"/>
      <w:bookmarkEnd w:id="192"/>
      <w:bookmarkEnd w:id="193"/>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194" w:name="_Toc395691517"/>
      <w:bookmarkStart w:id="195" w:name="_Toc398970488"/>
      <w:r>
        <w:rPr>
          <w:rStyle w:val="Heading3Text"/>
        </w:rPr>
        <w:t>Lojban content words: brivla</w:t>
      </w:r>
      <w:bookmarkEnd w:id="194"/>
      <w:bookmarkEnd w:id="19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"bridi, definition"&gt;</w:t>
      </w:r>
      <w:r>
        <w:rPr>
          <w:rStyle w:val="indexentry"/>
        </w:rPr>
        <w:fldChar w:fldCharType="begin"/>
      </w:r>
      <w:r>
        <w:instrText>xe "</w:instrText>
      </w:r>
      <w:r>
        <w:rPr>
          <w:rStyle w:val="xeentry"/>
        </w:rPr>
        <w:instrText>bridi: definition</w:instrText>
      </w:r>
      <w:r>
        <w:instrText>"</w:instrText>
      </w:r>
      <w:r>
        <w:rPr>
          <w:rStyle w:val="indexentry"/>
        </w:rPr>
        <w:fldChar w:fldCharType="end"/>
      </w:r>
      <w:r>
        <w:rPr>
          <w:rStyle w:val="indexentry"/>
        </w:rPr>
        <w:t>&lt;cx "selbri, definition"&gt;</w:t>
      </w:r>
      <w:r>
        <w:rPr>
          <w:rStyle w:val="indexentry"/>
        </w:rPr>
        <w:fldChar w:fldCharType="begin"/>
      </w:r>
      <w:r>
        <w:instrText>xe "</w:instrText>
      </w:r>
      <w:r>
        <w:rPr>
          <w:rStyle w:val="xeentry"/>
        </w:rPr>
        <w:instrText>selbri: definition</w:instrText>
      </w:r>
      <w:r>
        <w:instrText>"</w:instrText>
      </w:r>
      <w:r>
        <w:rPr>
          <w:rStyle w:val="indexentry"/>
        </w:rPr>
        <w:fldChar w:fldCharType="end"/>
      </w:r>
      <w:r>
        <w:rPr>
          <w:rStyle w:val="indexentry"/>
        </w:rPr>
        <w:t>&lt;cx "selbri, relation to bridi"&gt;</w:t>
      </w:r>
      <w:r>
        <w:rPr>
          <w:rStyle w:val="indexentry"/>
        </w:rPr>
        <w:fldChar w:fldCharType="begin"/>
      </w:r>
      <w:r>
        <w:instrText>xe "</w:instrText>
      </w:r>
      <w:r>
        <w:rPr>
          <w:rStyle w:val="xeentry"/>
        </w:rPr>
        <w:instrText>selbri: relation to bridi</w:instrText>
      </w:r>
      <w:r>
        <w:instrText>"</w:instrText>
      </w:r>
      <w:r>
        <w:rPr>
          <w:rStyle w:val="indexentry"/>
        </w:rPr>
        <w:fldChar w:fldCharType="end"/>
      </w:r>
      <w:r>
        <w:rPr>
          <w:rStyle w:val="indexentry"/>
        </w:rPr>
        <w:t>&lt;cx "bridi, relation to selbri"&gt;</w:t>
      </w:r>
      <w:r>
        <w:rPr>
          <w:rStyle w:val="indexentry"/>
        </w:rPr>
        <w:fldChar w:fldCharType="begin"/>
      </w:r>
      <w:r>
        <w:instrText>xe "</w:instrText>
      </w:r>
      <w:r>
        <w:rPr>
          <w:rStyle w:val="xeentry"/>
        </w:rPr>
        <w:instrText>bridi: relation to selbri</w:instrText>
      </w:r>
      <w:r>
        <w:instrText>"</w:instrText>
      </w:r>
      <w:r>
        <w:rPr>
          <w:rStyle w:val="indexentry"/>
        </w:rPr>
        <w:fldChar w:fldCharType="end"/>
      </w:r>
      <w:r>
        <w:t>At the center, logically and often physically, of every Lojban bridi</w:t>
      </w:r>
      <w:r>
        <w:rPr>
          <w:rStyle w:val="deletedparamark"/>
        </w:rPr>
        <w:t xml:space="preserve"> </w:t>
      </w:r>
      <w:r>
        <w:t>is one or more words which constitute the selbri. A bridi ex</w:t>
      </w:r>
      <w:r>
        <w:softHyphen/>
        <w:t>presses</w:t>
      </w:r>
      <w:r>
        <w:rPr>
          <w:rStyle w:val="deletedparamark"/>
        </w:rPr>
        <w:t xml:space="preserve"> </w:t>
      </w:r>
      <w:r>
        <w:t>a relationship between things: the selbri specifies which rela</w:t>
      </w:r>
      <w:r>
        <w:softHyphen/>
        <w:t>tionship</w:t>
      </w:r>
      <w:r>
        <w:rPr>
          <w:rStyle w:val="deletedparamark"/>
        </w:rPr>
        <w:t xml:space="preserve"> </w:t>
      </w:r>
      <w:r>
        <w:t>is referred to. The difference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do mamta mi</w:t>
      </w:r>
    </w:p>
    <w:p w:rsidR="00B72047" w:rsidRDefault="00B72047">
      <w:pPr>
        <w:pStyle w:val="examplescaled"/>
      </w:pPr>
      <w:r>
        <w:tab/>
        <w:t>You are-a-mother-of me.</w:t>
      </w:r>
    </w:p>
    <w:p w:rsidR="00B72047" w:rsidRDefault="00B72047">
      <w:pPr>
        <w:pStyle w:val="examplescaled"/>
      </w:pPr>
      <w:r>
        <w:tab/>
        <w:t>You are my mother.</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name=e1d2&gt;</w:t>
      </w:r>
      <w:r>
        <w:t>1.2)</w:t>
      </w:r>
      <w:r>
        <w:tab/>
        <w:t>do patfu mi</w:t>
      </w:r>
    </w:p>
    <w:p w:rsidR="00B72047" w:rsidRDefault="00B72047">
      <w:pPr>
        <w:pStyle w:val="examplescaled"/>
      </w:pPr>
      <w:r>
        <w:tab/>
        <w:t>You are-a-father-of me.</w:t>
      </w:r>
    </w:p>
    <w:p w:rsidR="00B72047" w:rsidRDefault="00B72047">
      <w:pPr>
        <w:pStyle w:val="examplescaled"/>
      </w:pPr>
      <w:r>
        <w:tab/>
        <w:t>You are my father.</w:t>
      </w:r>
    </w:p>
    <w:p w:rsidR="00B72047" w:rsidRDefault="00B72047">
      <w:pPr>
        <w:pStyle w:val="resumedafterexample"/>
      </w:pPr>
      <w:r>
        <w:rPr>
          <w:rStyle w:val="htmlcodes"/>
        </w:rPr>
        <w:t>&lt;/pre&gt;</w:t>
      </w:r>
      <w:r>
        <w:t>lies in the different selbri.</w:t>
      </w:r>
    </w:p>
    <w:p w:rsidR="00B72047" w:rsidRDefault="00B72047">
      <w:pPr>
        <w:rPr>
          <w:rStyle w:val="htmlparacode"/>
        </w:rPr>
      </w:pPr>
      <w:r>
        <w:rPr>
          <w:rStyle w:val="htmlparacode"/>
        </w:rPr>
        <w:t>&lt;p&gt;</w:t>
      </w:r>
    </w:p>
    <w:p w:rsidR="00B72047" w:rsidRDefault="00B72047">
      <w:pPr>
        <w:pStyle w:val="normalparagraph"/>
      </w:pPr>
      <w:r>
        <w:rPr>
          <w:rStyle w:val="indexentry"/>
        </w:rPr>
        <w:t>&lt;cx "selbri, brivla as"&gt;</w:t>
      </w:r>
      <w:r>
        <w:rPr>
          <w:rStyle w:val="indexentry"/>
        </w:rPr>
        <w:fldChar w:fldCharType="begin"/>
      </w:r>
      <w:r>
        <w:instrText>xe "</w:instrText>
      </w:r>
      <w:r>
        <w:rPr>
          <w:rStyle w:val="xeentry"/>
        </w:rPr>
        <w:instrText>selbri: brivla as</w:instrText>
      </w:r>
      <w:r>
        <w:instrText>"</w:instrText>
      </w:r>
      <w:r>
        <w:rPr>
          <w:rStyle w:val="indexentry"/>
        </w:rPr>
        <w:fldChar w:fldCharType="end"/>
      </w:r>
      <w:r>
        <w:rPr>
          <w:rStyle w:val="indexentry"/>
        </w:rPr>
        <w:t>&lt;cx "brivla as selbri"&gt;</w:t>
      </w:r>
      <w:r>
        <w:rPr>
          <w:rStyle w:val="indexentry"/>
        </w:rPr>
        <w:fldChar w:fldCharType="begin"/>
      </w:r>
      <w:r>
        <w:instrText>xe "</w:instrText>
      </w:r>
      <w:r>
        <w:rPr>
          <w:rStyle w:val="xeentry"/>
        </w:rPr>
        <w:instrText>brivla as selbri</w:instrText>
      </w:r>
      <w:r>
        <w:instrText>"</w:instrText>
      </w:r>
      <w:r>
        <w:rPr>
          <w:rStyle w:val="indexentry"/>
        </w:rPr>
        <w:fldChar w:fldCharType="end"/>
      </w:r>
      <w:r>
        <w:rPr>
          <w:rStyle w:val="indexentry"/>
        </w:rPr>
        <w:t>&lt;cx "brivla, types"&gt;</w:t>
      </w:r>
      <w:r>
        <w:rPr>
          <w:rStyle w:val="indexentry"/>
        </w:rPr>
        <w:fldChar w:fldCharType="begin"/>
      </w:r>
      <w:r>
        <w:instrText>xe "</w:instrText>
      </w:r>
      <w:r>
        <w:rPr>
          <w:rStyle w:val="xeentry"/>
        </w:rPr>
        <w:instrText>brivla: types</w:instrText>
      </w:r>
      <w:r>
        <w:instrText>"</w:instrText>
      </w:r>
      <w:r>
        <w:rPr>
          <w:rStyle w:val="indexentry"/>
        </w:rPr>
        <w:fldChar w:fldCharType="end"/>
      </w:r>
      <w:r>
        <w:t>The simplest kind of selbri is a single Lojban content word: a brivla.</w:t>
      </w:r>
      <w:r>
        <w:rPr>
          <w:rStyle w:val="deletedparamark"/>
        </w:rPr>
        <w:t xml:space="preserve"> </w:t>
      </w:r>
      <w:r>
        <w:t>There are three different varieties of brivla: those which are built into</w:t>
      </w:r>
      <w:r>
        <w:rPr>
          <w:rStyle w:val="deletedparamark"/>
        </w:rPr>
        <w:t xml:space="preserve"> </w:t>
      </w:r>
      <w:r>
        <w:t>the language (the gismu), those which are derived from combinations of</w:t>
      </w:r>
      <w:r>
        <w:rPr>
          <w:rStyle w:val="deletedparamark"/>
        </w:rPr>
        <w:t xml:space="preserve"> </w:t>
      </w:r>
      <w:r>
        <w:t>the gismu (the lujvo), and those which are taken (usually in a modified</w:t>
      </w:r>
      <w:r>
        <w:rPr>
          <w:rStyle w:val="deletedparamark"/>
        </w:rPr>
        <w:t xml:space="preserve"> </w:t>
      </w:r>
      <w:r>
        <w:t>form) from other languages (the fu'ivla). In ad</w:t>
      </w:r>
      <w:r>
        <w:softHyphen/>
        <w:t>dition, there are a few</w:t>
      </w:r>
      <w:r>
        <w:rPr>
          <w:rStyle w:val="deletedparamark"/>
        </w:rPr>
        <w:t xml:space="preserve"> </w:t>
      </w:r>
      <w:r>
        <w:t>cmavo that can act like brivla; these are men</w:t>
      </w:r>
      <w:r>
        <w:softHyphen/>
        <w:t xml:space="preserve">tioned in </w:t>
      </w:r>
      <w:r>
        <w:rPr>
          <w:rStyle w:val="htmlcodes"/>
        </w:rPr>
        <w:t>&lt;a href=#s9&gt;</w:t>
      </w:r>
      <w:r>
        <w:t>Section 9</w:t>
      </w:r>
      <w:r>
        <w:rPr>
          <w:rStyle w:val="htmlcodes"/>
        </w:rPr>
        <w:t>&lt;/a&gt;</w:t>
      </w:r>
      <w:r>
        <w:t>,</w:t>
      </w:r>
      <w:r>
        <w:rPr>
          <w:rStyle w:val="deletedparamark"/>
        </w:rPr>
        <w:t xml:space="preserve"> </w:t>
      </w:r>
      <w:r>
        <w:t xml:space="preserve">and discussed in full in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For the purposes of this chapter, however, all brivla are alike.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name=e1d3&gt;</w:t>
      </w:r>
      <w:r>
        <w:t>1.3)</w:t>
      </w:r>
      <w:r>
        <w:tab/>
        <w:t>ta bloti</w:t>
      </w:r>
    </w:p>
    <w:p w:rsidR="00B72047" w:rsidRDefault="00B72047">
      <w:pPr>
        <w:pStyle w:val="examplescaled"/>
      </w:pPr>
      <w:r>
        <w:tab/>
        <w:t>That is-a-boat.</w:t>
      </w:r>
    </w:p>
    <w:p w:rsidR="00B72047" w:rsidRDefault="00B72047">
      <w:pPr>
        <w:pStyle w:val="examplescaled"/>
      </w:pPr>
      <w:r>
        <w:tab/>
        <w:t>That is a boat.</w:t>
      </w:r>
    </w:p>
    <w:p w:rsidR="00B72047" w:rsidRDefault="00B72047">
      <w:pPr>
        <w:pStyle w:val="examplescaledpre"/>
      </w:pPr>
      <w:r>
        <w:rPr>
          <w:rStyle w:val="htmlcodes"/>
        </w:rPr>
        <w:t>&lt;a name=e1d4&gt;</w:t>
      </w:r>
      <w:r>
        <w:t>1.4)</w:t>
      </w:r>
      <w:r>
        <w:tab/>
        <w:t>ta brablo</w:t>
      </w:r>
    </w:p>
    <w:p w:rsidR="00B72047" w:rsidRDefault="00B72047">
      <w:pPr>
        <w:pStyle w:val="examplescaled"/>
      </w:pPr>
      <w:r>
        <w:tab/>
        <w:t>That is-a-large-boat.</w:t>
      </w:r>
    </w:p>
    <w:p w:rsidR="00B72047" w:rsidRDefault="00B72047">
      <w:pPr>
        <w:pStyle w:val="examplescaled"/>
      </w:pPr>
      <w:r>
        <w:tab/>
        <w:t>That is a ship.</w:t>
      </w:r>
    </w:p>
    <w:p w:rsidR="00B72047" w:rsidRDefault="00B72047">
      <w:pPr>
        <w:pStyle w:val="examplescaledpre"/>
      </w:pPr>
      <w:r>
        <w:rPr>
          <w:rStyle w:val="htmlcodes"/>
        </w:rPr>
        <w:t>&lt;/pre</w:t>
      </w:r>
      <w:r>
        <w:rPr>
          <w:rStyle w:val="indexentry"/>
        </w:rPr>
        <w:t>&lt;ex "schooner"&gt;</w:t>
      </w:r>
      <w:r>
        <w:rPr>
          <w:rStyle w:val="indexentry"/>
        </w:rPr>
        <w:fldChar w:fldCharType="begin"/>
      </w:r>
      <w:r>
        <w:instrText>xe "</w:instrText>
      </w:r>
      <w:r>
        <w:rPr>
          <w:rStyle w:val="xeentry"/>
        </w:rPr>
        <w:instrText>schooner: example</w:instrText>
      </w:r>
      <w:r>
        <w:instrText>"</w:instrText>
      </w:r>
      <w:r>
        <w:rPr>
          <w:rStyle w:val="indexentry"/>
        </w:rPr>
        <w:fldChar w:fldCharType="end"/>
      </w:r>
      <w:r>
        <w:rPr>
          <w:rStyle w:val="htmlcodes"/>
        </w:rPr>
        <w:t>&lt;pre&gt;&lt;a name=e1d5&gt;</w:t>
      </w:r>
      <w:r>
        <w:t>1.5)</w:t>
      </w:r>
      <w:r>
        <w:tab/>
        <w:t>ta blotrskunri</w:t>
      </w:r>
    </w:p>
    <w:p w:rsidR="00B72047" w:rsidRDefault="00B72047">
      <w:pPr>
        <w:pStyle w:val="examplescaled"/>
      </w:pPr>
      <w:r>
        <w:tab/>
        <w:t>That is-a-(boat)-schooner.</w:t>
      </w:r>
    </w:p>
    <w:p w:rsidR="00B72047" w:rsidRDefault="00B72047">
      <w:pPr>
        <w:pStyle w:val="examplescaled"/>
      </w:pPr>
      <w:r>
        <w:tab/>
        <w:t>That is a schooner.</w:t>
      </w:r>
    </w:p>
    <w:p w:rsidR="00B72047" w:rsidRDefault="00B72047">
      <w:pPr>
        <w:pStyle w:val="resumedafterexample"/>
      </w:pPr>
      <w:r>
        <w:rPr>
          <w:rStyle w:val="htmlcodes"/>
        </w:rPr>
        <w:t>&lt;/pre&gt;</w:t>
      </w:r>
      <w:r>
        <w:t>illustrate the three types of brivla (gismu, lujvo, and fu'ivla respec</w:t>
      </w:r>
      <w:r>
        <w:softHyphen/>
        <w:t>tively),</w:t>
      </w:r>
      <w:r>
        <w:rPr>
          <w:rStyle w:val="deletedparamark"/>
        </w:rPr>
        <w:t xml:space="preserve"> </w:t>
      </w:r>
      <w:r>
        <w:t>but in each case the selbri is composed of a single word whose meaning can be</w:t>
      </w:r>
      <w:r>
        <w:rPr>
          <w:rStyle w:val="deletedparamark"/>
        </w:rPr>
        <w:t xml:space="preserve"> </w:t>
      </w:r>
      <w:r>
        <w:t>learned independent of its origins.</w:t>
      </w:r>
    </w:p>
    <w:p w:rsidR="00B72047" w:rsidRDefault="00B72047">
      <w:pPr>
        <w:rPr>
          <w:rStyle w:val="htmlparacode"/>
        </w:rPr>
      </w:pPr>
      <w:r>
        <w:rPr>
          <w:rStyle w:val="htmlparacode"/>
        </w:rPr>
        <w:t>&lt;p&gt;</w:t>
      </w:r>
    </w:p>
    <w:p w:rsidR="00B72047" w:rsidRDefault="00B72047">
      <w:pPr>
        <w:pStyle w:val="normalparagraph"/>
      </w:pPr>
      <w:r>
        <w:t>The remainder of this chapter will mostly use gismu as ex</w:t>
      </w:r>
      <w:r>
        <w:softHyphen/>
        <w:t>ample brivla,</w:t>
      </w:r>
      <w:r>
        <w:rPr>
          <w:rStyle w:val="deletedparamark"/>
        </w:rPr>
        <w:t xml:space="preserve"> </w:t>
      </w:r>
      <w:r>
        <w:t>be</w:t>
      </w:r>
      <w:r>
        <w:softHyphen/>
        <w:t>cause they are short. However, it is important to keep in mind that</w:t>
      </w:r>
      <w:r>
        <w:rPr>
          <w:rStyle w:val="deletedparamark"/>
        </w:rPr>
        <w:t xml:space="preserve"> </w:t>
      </w:r>
      <w:r>
        <w:t>wherever a gismu appears, it could be replaced by any other kind of brivla.</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196" w:name="_Toc395691518"/>
      <w:bookmarkStart w:id="197" w:name="_Toc398970489"/>
      <w:r>
        <w:rPr>
          <w:rStyle w:val="Heading3Text"/>
        </w:rPr>
        <w:t>Simple tanru</w:t>
      </w:r>
      <w:bookmarkEnd w:id="196"/>
      <w:bookmarkEnd w:id="19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"tanru, simple"&gt;</w:t>
      </w:r>
      <w:r>
        <w:rPr>
          <w:rStyle w:val="indexentry"/>
        </w:rPr>
        <w:fldChar w:fldCharType="begin"/>
      </w:r>
      <w:r>
        <w:instrText>xe "</w:instrText>
      </w:r>
      <w:r>
        <w:rPr>
          <w:rStyle w:val="xeentry"/>
        </w:rPr>
        <w:instrText>tanru: simple</w:instrText>
      </w:r>
      <w:r>
        <w:instrText>"</w:instrText>
      </w:r>
      <w:r>
        <w:rPr>
          <w:rStyle w:val="indexentry"/>
        </w:rPr>
        <w:fldChar w:fldCharType="end"/>
      </w:r>
      <w:r>
        <w:rPr>
          <w:rStyle w:val="indexentry"/>
        </w:rPr>
        <w:t>&lt;cx "tanru, definition"&gt;</w:t>
      </w:r>
      <w:r>
        <w:rPr>
          <w:rStyle w:val="indexentry"/>
        </w:rPr>
        <w:fldChar w:fldCharType="begin"/>
      </w:r>
      <w:r>
        <w:instrText>xe "</w:instrText>
      </w:r>
      <w:r>
        <w:rPr>
          <w:rStyle w:val="xeentry"/>
        </w:rPr>
        <w:instrText>tanru: definition</w:instrText>
      </w:r>
      <w:r>
        <w:instrText>"</w:instrText>
      </w:r>
      <w:r>
        <w:rPr>
          <w:rStyle w:val="indexentry"/>
        </w:rPr>
        <w:fldChar w:fldCharType="end"/>
      </w:r>
      <w:r>
        <w:t>Beyond the single brivla, a selbri may consist of two brivla placed</w:t>
      </w:r>
      <w:r>
        <w:rPr>
          <w:rStyle w:val="deletedparamark"/>
        </w:rPr>
        <w:t xml:space="preserve"> </w:t>
      </w:r>
      <w:r>
        <w:t>together. When a selbri is built in this way from more than one brivla,</w:t>
      </w:r>
      <w:r>
        <w:rPr>
          <w:rStyle w:val="deletedparamark"/>
        </w:rPr>
        <w:t xml:space="preserve"> </w:t>
      </w:r>
      <w:r>
        <w:t>it is called a tanru, a word with no single English equivalent. The nearest</w:t>
      </w:r>
      <w:r>
        <w:rPr>
          <w:rStyle w:val="deletedparamark"/>
        </w:rPr>
        <w:t xml:space="preserve"> </w:t>
      </w:r>
      <w:r>
        <w:t>analogue to tanru in English are combi</w:t>
      </w:r>
      <w:r>
        <w:softHyphen/>
        <w:t>nations of two nouns such as</w:t>
      </w:r>
      <w:r>
        <w:rPr>
          <w:rStyle w:val="deletedparamark"/>
        </w:rPr>
        <w:t xml:space="preserve"> “</w:t>
      </w:r>
      <w:r>
        <w:t>lemon tree”. There is no way to tell just by looking at the phrase “lemon</w:t>
      </w:r>
      <w:r>
        <w:rPr>
          <w:rStyle w:val="deletedparamark"/>
        </w:rPr>
        <w:t xml:space="preserve"> </w:t>
      </w:r>
      <w:r>
        <w:t>tree” exactly what it refers to, even if you know the meanings of “lemon”</w:t>
      </w:r>
      <w:r>
        <w:rPr>
          <w:rStyle w:val="deletedparamark"/>
        </w:rPr>
        <w:t xml:space="preserve"> </w:t>
      </w:r>
      <w:r>
        <w:t>and “tree” by themselves. As English-speakers, we must simply know that it</w:t>
      </w:r>
      <w:r>
        <w:rPr>
          <w:rStyle w:val="deletedparamark"/>
        </w:rPr>
        <w:t xml:space="preserve"> </w:t>
      </w:r>
      <w:r>
        <w:t>refers to “a tree which bears lemons as fruits”. A person who didn't know</w:t>
      </w:r>
      <w:r>
        <w:rPr>
          <w:rStyle w:val="deletedparamark"/>
        </w:rPr>
        <w:t xml:space="preserve"> </w:t>
      </w:r>
      <w:r>
        <w:t>English very well might think of it as analogous to “brown tree” and wonder,</w:t>
      </w:r>
      <w:r>
        <w:rPr>
          <w:rStyle w:val="deletedparamark"/>
        </w:rPr>
        <w:t xml:space="preserve"> “</w:t>
      </w:r>
      <w:r>
        <w:t>What kind of tree is lemon-colored?”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"adverb-verb combination, with tanru"&gt;</w:t>
      </w:r>
      <w:r>
        <w:rPr>
          <w:rStyle w:val="indexentry"/>
        </w:rPr>
        <w:fldChar w:fldCharType="begin"/>
      </w:r>
      <w:r>
        <w:instrText>xe "</w:instrText>
      </w:r>
      <w:r>
        <w:rPr>
          <w:rStyle w:val="xeentry"/>
        </w:rPr>
        <w:instrText>adverb-verb combination: with tanru</w:instrText>
      </w:r>
      <w:r>
        <w:instrText>"</w:instrText>
      </w:r>
      <w:r>
        <w:rPr>
          <w:rStyle w:val="indexentry"/>
        </w:rPr>
        <w:fldChar w:fldCharType="end"/>
      </w:r>
      <w:r>
        <w:rPr>
          <w:rStyle w:val="indexentry"/>
        </w:rPr>
        <w:t>&lt;cx "adjective-noun combination, with tanru"&gt;</w:t>
      </w:r>
      <w:r>
        <w:rPr>
          <w:rStyle w:val="indexentry"/>
        </w:rPr>
        <w:fldChar w:fldCharType="begin"/>
      </w:r>
      <w:r>
        <w:instrText>xe "</w:instrText>
      </w:r>
      <w:r>
        <w:rPr>
          <w:rStyle w:val="xeentry"/>
        </w:rPr>
        <w:instrText>adjective-noun combination: with tanru</w:instrText>
      </w:r>
      <w:r>
        <w:instrText>"</w:instrText>
      </w:r>
      <w:r>
        <w:rPr>
          <w:rStyle w:val="indexentry"/>
        </w:rPr>
        <w:fldChar w:fldCharType="end"/>
      </w:r>
      <w:r>
        <w:t>In Lojban, tanru are also used for the same purposes as Eng</w:t>
      </w:r>
      <w:r>
        <w:softHyphen/>
        <w:t>lish adjective-noun com</w:t>
      </w:r>
      <w:r>
        <w:softHyphen/>
        <w:t>binations like “big boy” and adverb-verb com</w:t>
      </w:r>
      <w:r>
        <w:softHyphen/>
        <w:t>binations like “quickly</w:t>
      </w:r>
      <w:r>
        <w:rPr>
          <w:rStyle w:val="deletedparamark"/>
        </w:rPr>
        <w:t xml:space="preserve"> </w:t>
      </w:r>
      <w:r>
        <w:t>run”. This is a con</w:t>
      </w:r>
      <w:r>
        <w:softHyphen/>
        <w:t>sequence of Lojban not hav</w:t>
      </w:r>
      <w:r>
        <w:softHyphen/>
        <w:t>ing any such categories as</w:t>
      </w:r>
      <w:r>
        <w:rPr>
          <w:rStyle w:val="deletedparamark"/>
        </w:rPr>
        <w:t xml:space="preserve"> “</w:t>
      </w:r>
      <w:r>
        <w:t>noun”, “verb”, “adjective”, or “adverb”. English words belonging to any</w:t>
      </w:r>
      <w:r>
        <w:rPr>
          <w:rStyle w:val="deletedparamark"/>
        </w:rPr>
        <w:t xml:space="preserve"> </w:t>
      </w:r>
      <w:r>
        <w:t>of these categories are translated by sim</w:t>
      </w:r>
      <w:r>
        <w:softHyphen/>
        <w:t>ple brivla in Lojban. Here are</w:t>
      </w:r>
      <w:r>
        <w:rPr>
          <w:rStyle w:val="deletedparamark"/>
        </w:rPr>
        <w:t xml:space="preserve"> </w:t>
      </w:r>
      <w:r>
        <w:t>some examples of tanru:</w:t>
      </w:r>
    </w:p>
    <w:p w:rsidR="00B72047" w:rsidRDefault="00B72047">
      <w:pPr>
        <w:rPr>
          <w:rStyle w:val="htmlparacode"/>
        </w:rPr>
      </w:pPr>
      <w:r>
        <w:rPr>
          <w:rStyle w:val="htmlparacode"/>
        </w:rPr>
        <w:t>&lt;p&gt;</w:t>
      </w:r>
    </w:p>
    <w:p w:rsidR="00B72047" w:rsidRDefault="00B72047">
      <w:pPr>
        <w:pStyle w:val="examplescaledpre"/>
      </w:pPr>
      <w:r>
        <w:rPr>
          <w:rStyle w:val="indexentry"/>
        </w:rPr>
        <w:t>&lt;ex "lemon tree"&gt;</w:t>
      </w:r>
      <w:r>
        <w:rPr>
          <w:rStyle w:val="indexentry"/>
        </w:rPr>
        <w:fldChar w:fldCharType="begin"/>
      </w:r>
      <w:r>
        <w:instrText>xe "</w:instrText>
      </w:r>
      <w:r>
        <w:rPr>
          <w:rStyle w:val="xeentry"/>
        </w:rPr>
        <w:instrText>lemon tree: example</w:instrText>
      </w:r>
      <w:r>
        <w:instrText>"</w:instrText>
      </w:r>
      <w:r>
        <w:rPr>
          <w:rStyle w:val="indexentry"/>
        </w:rPr>
        <w:fldChar w:fldCharType="end"/>
      </w:r>
      <w:r>
        <w:rPr>
          <w:rStyle w:val="htmlcodes"/>
        </w:rPr>
        <w:t>&lt;pre&gt;&lt;a name=e2d1&gt;</w:t>
      </w:r>
      <w:r>
        <w:t>2.1)</w:t>
      </w:r>
      <w:r>
        <w:tab/>
        <w:t>tu pelnimre tricu</w:t>
      </w:r>
    </w:p>
    <w:p w:rsidR="00B72047" w:rsidRDefault="00B72047">
      <w:pPr>
        <w:pStyle w:val="examplescaled"/>
      </w:pPr>
      <w:r>
        <w:tab/>
        <w:t>That-yonder is-a-(lemon tree).</w:t>
      </w:r>
    </w:p>
    <w:p w:rsidR="00B72047" w:rsidRDefault="00B72047">
      <w:pPr>
        <w:pStyle w:val="examplescaled"/>
      </w:pPr>
      <w:r>
        <w:tab/>
        <w:t>That is a lemon tree.</w:t>
      </w:r>
    </w:p>
    <w:p w:rsidR="00B72047" w:rsidRDefault="00B72047">
      <w:pPr>
        <w:pStyle w:val="examplescaledpre"/>
      </w:pPr>
      <w:r>
        <w:rPr>
          <w:rStyle w:val="htmlcodes"/>
        </w:rPr>
        <w:t>&lt;a name=e2d2&gt;</w:t>
      </w:r>
      <w:r>
        <w:t>2.2)</w:t>
      </w:r>
      <w:r>
        <w:tab/>
        <w:t>la djan. barda nanla</w:t>
      </w:r>
    </w:p>
    <w:p w:rsidR="00B72047" w:rsidRDefault="00B72047">
      <w:pPr>
        <w:pStyle w:val="examplescaled"/>
      </w:pPr>
      <w:r>
        <w:tab/>
        <w:t>John is-a-big boy.</w:t>
      </w:r>
    </w:p>
    <w:p w:rsidR="00B72047" w:rsidRDefault="00B72047">
      <w:pPr>
        <w:pStyle w:val="examplescaled"/>
      </w:pPr>
      <w:r>
        <w:tab/>
        <w:t>John is a big boy.</w:t>
      </w:r>
    </w:p>
    <w:p w:rsidR="00B72047" w:rsidRDefault="00B72047">
      <w:pPr>
        <w:pStyle w:val="examplescaledpre"/>
      </w:pPr>
      <w:r>
        <w:rPr>
          <w:rStyle w:val="htmlcodes"/>
        </w:rPr>
        <w:t>&lt;a name=e2d3&gt;</w:t>
      </w:r>
      <w:r>
        <w:t>2.3)</w:t>
      </w:r>
      <w:r>
        <w:tab/>
        <w:t>mi sutra bajra</w:t>
      </w:r>
    </w:p>
    <w:p w:rsidR="00B72047" w:rsidRDefault="00B72047">
      <w:pPr>
        <w:pStyle w:val="examplescaled"/>
      </w:pPr>
      <w:r>
        <w:tab/>
        <w:t>I quick run.</w:t>
      </w:r>
    </w:p>
    <w:p w:rsidR="00B72047" w:rsidRDefault="00B72047">
      <w:pPr>
        <w:pStyle w:val="examplescaled"/>
      </w:pPr>
      <w:r>
        <w:tab/>
        <w:t>I quickly run/I run quickly.</w:t>
      </w:r>
    </w:p>
    <w:p w:rsidR="00B72047" w:rsidRDefault="00B72047">
      <w:pPr>
        <w:pStyle w:val="resumedafterexample"/>
      </w:pPr>
      <w:r>
        <w:rPr>
          <w:rStyle w:val="htmlcodes"/>
        </w:rPr>
        <w:t>&lt;/pre&gt;&lt;p&gt;</w:t>
      </w:r>
      <w:r>
        <w:t>Note that “pelnimre” is a lujvo for “lemon”; it is derived from the</w:t>
      </w:r>
      <w:r>
        <w:rPr>
          <w:rStyle w:val="deletedparamark"/>
        </w:rPr>
        <w:t xml:space="preserve"> </w:t>
      </w:r>
      <w:r>
        <w:t>gismu “pelxu”, yel</w:t>
      </w:r>
      <w:r>
        <w:softHyphen/>
        <w:t>low, and “nimre”, citrus. Note also that “sutra”</w:t>
      </w:r>
      <w:r>
        <w:rPr>
          <w:rStyle w:val="deletedparamark"/>
        </w:rPr>
        <w:t xml:space="preserve"> </w:t>
      </w:r>
      <w:r>
        <w:t>can mean “fast/quick” or “quickly” de</w:t>
      </w:r>
      <w:r>
        <w:softHyphen/>
        <w:t>pending on its 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mi sutra</w:t>
      </w:r>
    </w:p>
    <w:p w:rsidR="00B72047" w:rsidRDefault="00B72047">
      <w:pPr>
        <w:pStyle w:val="examplescaled"/>
      </w:pPr>
      <w:r>
        <w:tab/>
        <w:t>I am-fast/quick.</w:t>
      </w:r>
    </w:p>
    <w:p w:rsidR="00B72047" w:rsidRDefault="00B72047">
      <w:pPr>
        <w:pStyle w:val="resumedafterexample"/>
      </w:pPr>
      <w:r>
        <w:rPr>
          <w:rStyle w:val="htmlcodes"/>
        </w:rPr>
        <w:t>&lt;/pre&gt;</w:t>
      </w:r>
      <w:r>
        <w:rPr>
          <w:rStyle w:val="indexentry"/>
        </w:rPr>
        <w:t>&lt;ex "quick runner"&gt;</w:t>
      </w:r>
      <w:r>
        <w:rPr>
          <w:rStyle w:val="indexentry"/>
        </w:rPr>
        <w:fldChar w:fldCharType="begin"/>
      </w:r>
      <w:r>
        <w:instrText>xe "</w:instrText>
      </w:r>
      <w:r>
        <w:rPr>
          <w:rStyle w:val="xeentry"/>
        </w:rPr>
        <w:instrText>quick runner: example</w:instrText>
      </w:r>
      <w:r>
        <w:instrText>"</w:instrText>
      </w:r>
      <w:r>
        <w:rPr>
          <w:rStyle w:val="indexentry"/>
        </w:rPr>
        <w:fldChar w:fldCharType="end"/>
      </w:r>
      <w:r>
        <w:t xml:space="preserve">shows “sutra” used to translate an adjective, whereas in </w:t>
      </w:r>
      <w:r>
        <w:rPr>
          <w:rStyle w:val="htmlcodes"/>
        </w:rPr>
        <w:t>&lt;a href=#e2d3&gt;</w:t>
      </w:r>
      <w:r>
        <w:t xml:space="preserve">Example 2.3 </w:t>
      </w:r>
      <w:r>
        <w:rPr>
          <w:rStyle w:val="htmlcodes"/>
        </w:rPr>
        <w:t>&lt;/a&gt;</w:t>
      </w:r>
      <w:r>
        <w:t xml:space="preserve">it is translating an adverb. (Another correct translation of </w:t>
      </w:r>
      <w:r>
        <w:rPr>
          <w:rStyle w:val="htmlcodes"/>
        </w:rPr>
        <w:t>&lt;a href=#e2d3&gt;</w:t>
      </w:r>
      <w:r>
        <w:t>Example 2.3</w:t>
      </w:r>
      <w:r>
        <w:rPr>
          <w:rStyle w:val="htmlcodes"/>
        </w:rPr>
        <w:t>&lt;/a&gt;</w:t>
      </w:r>
      <w:r>
        <w:t>,</w:t>
      </w:r>
      <w:r>
        <w:rPr>
          <w:rStyle w:val="deletedparamark"/>
        </w:rPr>
        <w:t xml:space="preserve"> </w:t>
      </w:r>
      <w:r>
        <w:t>however, would be “I am a quick runner”.)</w:t>
      </w:r>
    </w:p>
    <w:p w:rsidR="00B72047" w:rsidRDefault="00B72047">
      <w:pPr>
        <w:rPr>
          <w:rStyle w:val="htmlparacode"/>
        </w:rPr>
      </w:pPr>
      <w:r>
        <w:rPr>
          <w:rStyle w:val="htmlparacode"/>
        </w:rPr>
        <w:t>&lt;p&gt;</w:t>
      </w:r>
    </w:p>
    <w:p w:rsidR="00B72047" w:rsidRDefault="00B72047">
      <w:pPr>
        <w:pStyle w:val="normalparagraph"/>
      </w:pPr>
      <w:r>
        <w:rPr>
          <w:rStyle w:val="indexentry"/>
        </w:rPr>
        <w:t>&lt;cx "seltau, definition of"&gt;</w:t>
      </w:r>
      <w:r>
        <w:rPr>
          <w:rStyle w:val="indexentry"/>
        </w:rPr>
        <w:fldChar w:fldCharType="begin"/>
      </w:r>
      <w:r>
        <w:instrText>xe "</w:instrText>
      </w:r>
      <w:r>
        <w:rPr>
          <w:rStyle w:val="xeentry"/>
        </w:rPr>
        <w:instrText>seltau: definition of</w:instrText>
      </w:r>
      <w:r>
        <w:instrText>"</w:instrText>
      </w:r>
      <w:r>
        <w:rPr>
          <w:rStyle w:val="indexentry"/>
        </w:rPr>
        <w:fldChar w:fldCharType="end"/>
      </w:r>
      <w:r>
        <w:rPr>
          <w:rStyle w:val="indexentry"/>
        </w:rPr>
        <w:t>&lt;cx "tertau, definition of"&gt;</w:t>
      </w:r>
      <w:r>
        <w:rPr>
          <w:rStyle w:val="indexentry"/>
        </w:rPr>
        <w:fldChar w:fldCharType="begin"/>
      </w:r>
      <w:r>
        <w:instrText>xe "</w:instrText>
      </w:r>
      <w:r>
        <w:rPr>
          <w:rStyle w:val="xeentry"/>
        </w:rPr>
        <w:instrText>tertau: definition of</w:instrText>
      </w:r>
      <w:r>
        <w:instrText>"</w:instrText>
      </w:r>
      <w:r>
        <w:rPr>
          <w:rStyle w:val="indexentry"/>
        </w:rPr>
        <w:fldChar w:fldCharType="end"/>
      </w:r>
      <w:r>
        <w:t>There are special Lojban terms for the two components of a tanru, derived</w:t>
      </w:r>
      <w:r>
        <w:rPr>
          <w:rStyle w:val="deletedparamark"/>
        </w:rPr>
        <w:t xml:space="preserve"> </w:t>
      </w:r>
      <w:r>
        <w:t>from the place structure of the word “tanru”. The first component is called</w:t>
      </w:r>
      <w:r>
        <w:rPr>
          <w:rStyle w:val="deletedparamark"/>
        </w:rPr>
        <w:t xml:space="preserve"> </w:t>
      </w:r>
      <w:r>
        <w:t>the “seltau”, and the second component is called the “tertau”.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"tanru, primary meaning of"&gt;</w:t>
      </w:r>
      <w:r>
        <w:rPr>
          <w:rStyle w:val="indexentry"/>
        </w:rPr>
        <w:fldChar w:fldCharType="begin"/>
      </w:r>
      <w:r>
        <w:instrText>xe "</w:instrText>
      </w:r>
      <w:r>
        <w:rPr>
          <w:rStyle w:val="xeentry"/>
        </w:rPr>
        <w:instrText>tanru: primary meaning of</w:instrText>
      </w:r>
      <w:r>
        <w:instrText>"</w:instrText>
      </w:r>
      <w:r>
        <w:rPr>
          <w:rStyle w:val="indexentry"/>
        </w:rPr>
        <w:fldChar w:fldCharType="end"/>
      </w:r>
      <w:r>
        <w:rPr>
          <w:rStyle w:val="indexentry"/>
        </w:rPr>
        <w:t>&lt;cx "tertau, effect on meaning of tanru"&gt;</w:t>
      </w:r>
      <w:r>
        <w:rPr>
          <w:rStyle w:val="indexentry"/>
        </w:rPr>
        <w:fldChar w:fldCharType="begin"/>
      </w:r>
      <w:r>
        <w:instrText>xe "</w:instrText>
      </w:r>
      <w:r>
        <w:rPr>
          <w:rStyle w:val="xeentry"/>
        </w:rPr>
        <w:instrText>tertau: effect on meaning of tanru</w:instrText>
      </w:r>
      <w:r>
        <w:instrText>"</w:instrText>
      </w:r>
      <w:r>
        <w:rPr>
          <w:rStyle w:val="indexentry"/>
        </w:rPr>
        <w:fldChar w:fldCharType="end"/>
      </w:r>
      <w:r>
        <w:t>The most important rule for use in interpreting tanru is that the tertau</w:t>
      </w:r>
      <w:r>
        <w:rPr>
          <w:rStyle w:val="deletedparamark"/>
        </w:rPr>
        <w:t xml:space="preserve"> </w:t>
      </w:r>
      <w:r>
        <w:t>carries the pri</w:t>
      </w:r>
      <w:r>
        <w:softHyphen/>
        <w:t>mary meaning. A “pelnimre tricu” is primarily a tree, and</w:t>
      </w:r>
      <w:r>
        <w:rPr>
          <w:rStyle w:val="deletedparamark"/>
        </w:rPr>
        <w:t xml:space="preserve"> </w:t>
      </w:r>
      <w:r>
        <w:t>only secondarily is it connected with lemons in some way. For this reason,</w:t>
      </w:r>
      <w:r>
        <w:rPr>
          <w:rStyle w:val="deletedparamark"/>
        </w:rPr>
        <w:t xml:space="preserve"> </w:t>
      </w:r>
      <w:r>
        <w:t xml:space="preserve">an alternative translation of </w:t>
      </w:r>
      <w:r>
        <w:rPr>
          <w:rStyle w:val="htmlcodes"/>
        </w:rPr>
        <w:t>&lt;a href=#e2d1&gt;</w:t>
      </w:r>
      <w:r>
        <w:t>Ex</w:t>
      </w:r>
      <w:r>
        <w:softHyphen/>
        <w:t xml:space="preserve">ample 2.1 </w:t>
      </w:r>
      <w:r>
        <w:rPr>
          <w:rStyle w:val="htmlcodes"/>
        </w:rPr>
        <w:t>&lt;/a&gt;</w:t>
      </w:r>
      <w:r>
        <w:t>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name=e2d5&gt;</w:t>
      </w:r>
      <w:r>
        <w:t>2.5)</w:t>
      </w:r>
      <w:r>
        <w:tab/>
        <w:t>That is a lemon type of tree.</w:t>
      </w:r>
    </w:p>
    <w:p w:rsidR="00B72047" w:rsidRDefault="00B72047">
      <w:pPr>
        <w:pStyle w:val="resumedafterexample"/>
      </w:pPr>
      <w:r>
        <w:rPr>
          <w:rStyle w:val="htmlcodes"/>
        </w:rPr>
        <w:t>&lt;/pre&gt;&lt;p&gt;</w:t>
      </w:r>
      <w:r>
        <w:t>This “type of” relationship between the components of a tanru is fun</w:t>
      </w:r>
      <w:r>
        <w:softHyphen/>
        <w:t>damental</w:t>
      </w:r>
      <w:r>
        <w:rPr>
          <w:rStyle w:val="deletedparamark"/>
        </w:rPr>
        <w:t xml:space="preserve"> </w:t>
      </w:r>
      <w:r>
        <w:t>to the tanru concept.</w:t>
      </w:r>
    </w:p>
    <w:p w:rsidR="00B72047" w:rsidRDefault="00B72047">
      <w:pPr>
        <w:rPr>
          <w:rStyle w:val="htmlparacode"/>
        </w:rPr>
      </w:pPr>
      <w:r>
        <w:rPr>
          <w:rStyle w:val="htmlparacode"/>
        </w:rPr>
        <w:t>&lt;p&gt;</w:t>
      </w:r>
    </w:p>
    <w:p w:rsidR="00B72047" w:rsidRDefault="00B72047">
      <w:pPr>
        <w:pStyle w:val="normalparagraph"/>
      </w:pPr>
      <w:r>
        <w:rPr>
          <w:rStyle w:val="indexentry"/>
        </w:rPr>
        <w:t>&lt;cx "seltau, effect on meaning of tanru"&gt;</w:t>
      </w:r>
      <w:r>
        <w:rPr>
          <w:rStyle w:val="indexentry"/>
        </w:rPr>
        <w:fldChar w:fldCharType="begin"/>
      </w:r>
      <w:r>
        <w:instrText>xe "</w:instrText>
      </w:r>
      <w:r>
        <w:rPr>
          <w:rStyle w:val="xeentry"/>
        </w:rPr>
        <w:instrText>seltau: effect on meaning of tanru</w:instrText>
      </w:r>
      <w:r>
        <w:instrText>"</w:instrText>
      </w:r>
      <w:r>
        <w:rPr>
          <w:rStyle w:val="indexentry"/>
        </w:rPr>
        <w:fldChar w:fldCharType="end"/>
      </w:r>
      <w:r>
        <w:rPr>
          <w:rStyle w:val="indexentry"/>
        </w:rPr>
        <w:t>&lt;cx "modifier, seltau as"&gt;</w:t>
      </w:r>
      <w:r>
        <w:rPr>
          <w:rStyle w:val="indexentry"/>
        </w:rPr>
        <w:fldChar w:fldCharType="begin"/>
      </w:r>
      <w:r>
        <w:instrText>xe "</w:instrText>
      </w:r>
      <w:r>
        <w:rPr>
          <w:rStyle w:val="xeentry"/>
        </w:rPr>
        <w:instrText>modifier: seltau as</w:instrText>
      </w:r>
      <w:r>
        <w:instrText>"</w:instrText>
      </w:r>
      <w:r>
        <w:rPr>
          <w:rStyle w:val="indexentry"/>
        </w:rPr>
        <w:fldChar w:fldCharType="end"/>
      </w:r>
      <w:r>
        <w:t>We may also say that the seltau modifies the meaning of the tertau: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name=e2d6&gt;</w:t>
      </w:r>
      <w:r>
        <w:t>2.6)</w:t>
      </w:r>
      <w:r>
        <w:tab/>
        <w:t xml:space="preserve">That is a tree which is lemon-ish </w:t>
      </w:r>
      <w:r>
        <w:tab/>
        <w:t>(in the way appropriate to trees)</w:t>
      </w:r>
    </w:p>
    <w:p w:rsidR="00B72047" w:rsidRDefault="00B72047">
      <w:pPr>
        <w:pStyle w:val="resumedafterexample"/>
      </w:pPr>
      <w:r>
        <w:rPr>
          <w:rStyle w:val="htmlcodes"/>
        </w:rPr>
        <w:t>&lt;/pre&gt;</w:t>
      </w:r>
      <w:r>
        <w:t xml:space="preserve">would be another possible translation of </w:t>
      </w:r>
      <w:r>
        <w:rPr>
          <w:rStyle w:val="htmlcodes"/>
        </w:rPr>
        <w:t>&lt;a href=#e2d1&gt;</w:t>
      </w:r>
      <w:r>
        <w:t>Example 2.1</w:t>
      </w:r>
      <w:r>
        <w:rPr>
          <w:rStyle w:val="htmlcodes"/>
        </w:rPr>
        <w:t>&lt;/a&gt;</w:t>
      </w:r>
      <w:r>
        <w:t>. In the same way,</w:t>
      </w:r>
      <w:r>
        <w:rPr>
          <w:rStyle w:val="deletedparamark"/>
        </w:rPr>
        <w:t xml:space="preserve"> </w:t>
      </w:r>
      <w:r>
        <w:t xml:space="preserve">a more explicit translation of </w:t>
      </w:r>
      <w:r>
        <w:rPr>
          <w:rStyle w:val="htmlcodes"/>
        </w:rPr>
        <w:t>&lt;a href=#e2d2&gt;</w:t>
      </w:r>
      <w:r>
        <w:t xml:space="preserve">Example 2.2 </w:t>
      </w:r>
      <w:r>
        <w:rPr>
          <w:rStyle w:val="htmlcodes"/>
        </w:rPr>
        <w:t>&lt;/a&gt;</w:t>
      </w:r>
      <w:r>
        <w:t>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name=e2d7&gt;</w:t>
      </w:r>
      <w:r>
        <w:t>2.7)</w:t>
      </w:r>
      <w:r>
        <w:tab/>
        <w:t>John is a boy who is big in the way that boys are big.</w:t>
      </w:r>
    </w:p>
    <w:p w:rsidR="00B72047" w:rsidRDefault="00B72047">
      <w:pPr>
        <w:pStyle w:val="resumedafterexample"/>
      </w:pPr>
      <w:r>
        <w:rPr>
          <w:rStyle w:val="htmlcodes"/>
        </w:rPr>
        <w:t>&lt;/pre&gt;&lt;p&gt;</w:t>
      </w:r>
      <w:r>
        <w:t>This “way that boys are big” would be quite different from the way in which</w:t>
      </w:r>
      <w:r>
        <w:rPr>
          <w:rStyle w:val="deletedparamark"/>
        </w:rPr>
        <w:t xml:space="preserve"> </w:t>
      </w:r>
      <w:r>
        <w:t>elephants are big; big-for-a-boy is small-for-an-elephant.</w:t>
      </w:r>
    </w:p>
    <w:p w:rsidR="00B72047" w:rsidRDefault="00B72047">
      <w:pPr>
        <w:rPr>
          <w:rStyle w:val="htmlparacode"/>
        </w:rPr>
      </w:pPr>
      <w:r>
        <w:rPr>
          <w:rStyle w:val="htmlparacode"/>
        </w:rPr>
        <w:t>&lt;p&gt;</w:t>
      </w:r>
    </w:p>
    <w:p w:rsidR="00B72047" w:rsidRDefault="00B72047">
      <w:pPr>
        <w:pStyle w:val="normalparagraph"/>
      </w:pPr>
      <w:r>
        <w:rPr>
          <w:rStyle w:val="indexentry"/>
        </w:rPr>
        <w:t>&lt;cx "tanru, ambiguity of"&gt;</w:t>
      </w:r>
      <w:r>
        <w:rPr>
          <w:rStyle w:val="indexentry"/>
        </w:rPr>
        <w:fldChar w:fldCharType="begin"/>
      </w:r>
      <w:r>
        <w:instrText>xe "</w:instrText>
      </w:r>
      <w:r>
        <w:rPr>
          <w:rStyle w:val="xeentry"/>
        </w:rPr>
        <w:instrText>tanru: ambiguity of</w:instrText>
      </w:r>
      <w:r>
        <w:instrText>"</w:instrText>
      </w:r>
      <w:r>
        <w:rPr>
          <w:rStyle w:val="indexentry"/>
        </w:rPr>
        <w:fldChar w:fldCharType="end"/>
      </w:r>
      <w:r>
        <w:rPr>
          <w:rStyle w:val="indexentry"/>
        </w:rPr>
        <w:t>&lt;cx "ambiguity of tanru"&gt;</w:t>
      </w:r>
      <w:r>
        <w:rPr>
          <w:rStyle w:val="indexentry"/>
        </w:rPr>
        <w:fldChar w:fldCharType="begin"/>
      </w:r>
      <w:r>
        <w:instrText>xe "</w:instrText>
      </w:r>
      <w:r>
        <w:rPr>
          <w:rStyle w:val="xeentry"/>
        </w:rPr>
        <w:instrText>ambiguity of tanru</w:instrText>
      </w:r>
      <w:r>
        <w:instrText>"</w:instrText>
      </w:r>
      <w:r>
        <w:rPr>
          <w:rStyle w:val="indexentry"/>
        </w:rPr>
        <w:fldChar w:fldCharType="end"/>
      </w:r>
      <w:r>
        <w:t>All tanru are ambiguous semantically. Possible translations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name=e2d8&gt;</w:t>
      </w:r>
      <w:r>
        <w:t>2.8)</w:t>
      </w:r>
      <w:r>
        <w:tab/>
        <w:t>ta klama jubme</w:t>
      </w:r>
    </w:p>
    <w:p w:rsidR="00B72047" w:rsidRDefault="00B72047">
      <w:pPr>
        <w:pStyle w:val="examplescaled"/>
      </w:pPr>
      <w:r>
        <w:tab/>
        <w:t>That is-a-goer type-of-table.</w:t>
      </w:r>
    </w:p>
    <w:p w:rsidR="00B72047" w:rsidRDefault="00B72047">
      <w:pPr>
        <w:pStyle w:val="resumedafterexample"/>
      </w:pPr>
      <w:r>
        <w:rPr>
          <w:rStyle w:val="htmlcodes"/>
        </w:rPr>
        <w:t>&lt;/pre&gt;</w:t>
      </w:r>
      <w:r>
        <w:t>include:</w:t>
      </w:r>
    </w:p>
    <w:p w:rsidR="00B72047" w:rsidRDefault="00B72047">
      <w:pPr>
        <w:pStyle w:val="exampwidetabs"/>
        <w:rPr>
          <w:rStyle w:val="htmlparacode"/>
        </w:rPr>
      </w:pPr>
      <w:r>
        <w:rPr>
          <w:rStyle w:val="htmlparacode"/>
        </w:rPr>
        <w:t>&lt;p&gt;</w:t>
      </w:r>
    </w:p>
    <w:p w:rsidR="00B72047" w:rsidRDefault="00B72047">
      <w:pPr>
        <w:pStyle w:val="examplewtabspre"/>
      </w:pPr>
      <w:r>
        <w:rPr>
          <w:rStyle w:val="indexentry"/>
        </w:rPr>
        <w:t>&lt;ex "goer table"&gt;</w:t>
      </w:r>
      <w:r>
        <w:rPr>
          <w:rStyle w:val="indexentry"/>
        </w:rPr>
        <w:fldChar w:fldCharType="begin"/>
      </w:r>
      <w:r>
        <w:instrText>xe "</w:instrText>
      </w:r>
      <w:r>
        <w:rPr>
          <w:rStyle w:val="xeentry"/>
        </w:rPr>
        <w:instrText>goer table: example</w:instrText>
      </w:r>
      <w:r>
        <w:instrText>"</w:instrText>
      </w:r>
      <w:r>
        <w:rPr>
          <w:rStyle w:val="indexentry"/>
        </w:rPr>
        <w:fldChar w:fldCharType="end"/>
      </w:r>
      <w:r>
        <w:rPr>
          <w:rStyle w:val="htmlcodes"/>
        </w:rPr>
        <w:t>&lt;dl compact&gt;&lt;dt&gt;</w:t>
      </w:r>
      <w:r>
        <w:tab/>
      </w:r>
      <w:r>
        <w:rPr>
          <w:rStyle w:val="htmlcodes"/>
        </w:rPr>
        <w:t>&lt;dd&gt;</w:t>
      </w:r>
      <w:r>
        <w:t>That is a table which goes (a wheeled table, perhaps).</w:t>
      </w:r>
    </w:p>
    <w:p w:rsidR="00B72047" w:rsidRDefault="00B72047">
      <w:pPr>
        <w:pStyle w:val="exampwidetabs"/>
      </w:pPr>
      <w:r>
        <w:tab/>
        <w:t>That is a table owned by one who goes.</w:t>
      </w:r>
    </w:p>
    <w:p w:rsidR="00B72047" w:rsidRDefault="00B72047">
      <w:pPr>
        <w:pStyle w:val="exampwidetabs"/>
      </w:pPr>
      <w:r>
        <w:tab/>
        <w:t>That is a table used by those who go (a sports doctor's table?).</w:t>
      </w:r>
    </w:p>
    <w:p w:rsidR="00B72047" w:rsidRDefault="00B72047">
      <w:pPr>
        <w:pStyle w:val="exampwidetabs"/>
      </w:pPr>
      <w:r>
        <w:tab/>
        <w:t>That is a table when it goes (otherwise it is a chair?).</w:t>
      </w:r>
    </w:p>
    <w:p w:rsidR="00B72047" w:rsidRDefault="00B72047">
      <w:pPr>
        <w:pStyle w:val="resumedafterexample"/>
      </w:pPr>
      <w:r>
        <w:rPr>
          <w:rStyle w:val="htmlcodes"/>
        </w:rPr>
        <w:t>&lt;/dl&gt;</w:t>
      </w:r>
      <w:r>
        <w:rPr>
          <w:rStyle w:val="indexentry"/>
        </w:rPr>
        <w:t>&lt;cx "tanru, as ambiguous"&gt;</w:t>
      </w:r>
      <w:r>
        <w:rPr>
          <w:rStyle w:val="indexentry"/>
        </w:rPr>
        <w:fldChar w:fldCharType="begin"/>
      </w:r>
      <w:r>
        <w:instrText>xe "</w:instrText>
      </w:r>
      <w:r>
        <w:rPr>
          <w:rStyle w:val="xeentry"/>
        </w:rPr>
        <w:instrText>tanru: as ambiguous</w:instrText>
      </w:r>
      <w:r>
        <w:instrText>"</w:instrText>
      </w:r>
      <w:r>
        <w:rPr>
          <w:rStyle w:val="indexentry"/>
        </w:rPr>
        <w:fldChar w:fldCharType="end"/>
      </w:r>
      <w:r>
        <w:t>In each case the object referred to is a “goer type of table”, but the</w:t>
      </w:r>
      <w:r>
        <w:rPr>
          <w:rStyle w:val="deletedparamark"/>
        </w:rPr>
        <w:t xml:space="preserve"> </w:t>
      </w:r>
      <w:r>
        <w:t>ambiguous “type of” relationship can mean one of many things. A speaker</w:t>
      </w:r>
      <w:r>
        <w:rPr>
          <w:rStyle w:val="deletedparamark"/>
        </w:rPr>
        <w:t xml:space="preserve"> </w:t>
      </w:r>
      <w:r>
        <w:t>who uses tanru (and pragmatically all speakers must) takes the</w:t>
      </w:r>
      <w:r>
        <w:rPr>
          <w:rStyle w:val="deletedparamark"/>
        </w:rPr>
        <w:t xml:space="preserve"> </w:t>
      </w:r>
      <w:r>
        <w:t>risk of being misunderstood. Using tanru is convenient be</w:t>
      </w:r>
      <w:r>
        <w:softHyphen/>
        <w:t>cause they are</w:t>
      </w:r>
      <w:r>
        <w:rPr>
          <w:rStyle w:val="deletedparamark"/>
        </w:rPr>
        <w:t xml:space="preserve"> </w:t>
      </w:r>
      <w:r>
        <w:t>short and expressive; the circumlocution required to squeeze out all</w:t>
      </w:r>
      <w:r>
        <w:rPr>
          <w:rStyle w:val="deletedparamark"/>
        </w:rPr>
        <w:t xml:space="preserve"> </w:t>
      </w:r>
      <w:r>
        <w:t>am</w:t>
      </w:r>
      <w:r>
        <w:softHyphen/>
        <w:t>biguity can require too much effort.</w:t>
      </w:r>
    </w:p>
    <w:p w:rsidR="00B72047" w:rsidRDefault="00B72047">
      <w:pPr>
        <w:rPr>
          <w:rStyle w:val="htmlparacode"/>
        </w:rPr>
      </w:pPr>
      <w:r>
        <w:rPr>
          <w:rStyle w:val="htmlparacode"/>
        </w:rPr>
        <w:t>&lt;p&gt;</w:t>
      </w:r>
    </w:p>
    <w:p w:rsidR="00B72047" w:rsidRDefault="00B72047">
      <w:pPr>
        <w:pStyle w:val="normalparagraph"/>
      </w:pPr>
      <w:r>
        <w:rPr>
          <w:rStyle w:val="indexentry"/>
        </w:rPr>
        <w:t>&lt;cx "tanru, meaning of"&gt;</w:t>
      </w:r>
      <w:r>
        <w:rPr>
          <w:rStyle w:val="indexentry"/>
        </w:rPr>
        <w:fldChar w:fldCharType="begin"/>
      </w:r>
      <w:r>
        <w:instrText>xe "</w:instrText>
      </w:r>
      <w:r>
        <w:rPr>
          <w:rStyle w:val="xeentry"/>
        </w:rPr>
        <w:instrText>tanru: meaning of</w:instrText>
      </w:r>
      <w:r>
        <w:instrText>"</w:instrText>
      </w:r>
      <w:r>
        <w:rPr>
          <w:rStyle w:val="indexentry"/>
        </w:rPr>
        <w:fldChar w:fldCharType="end"/>
      </w:r>
      <w:r>
        <w:t>No general theory covering the meaning of all possible tanru exists; probably</w:t>
      </w:r>
      <w:r>
        <w:rPr>
          <w:rStyle w:val="deletedparamark"/>
        </w:rPr>
        <w:t xml:space="preserve"> </w:t>
      </w:r>
      <w:r>
        <w:t>no such theory can exist. However, some regularities obviously do exist: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name=e2d9&gt;</w:t>
      </w:r>
      <w:r>
        <w:t>2.9)</w:t>
      </w:r>
      <w:r>
        <w:tab/>
        <w:t>do barda prenu</w:t>
      </w:r>
    </w:p>
    <w:p w:rsidR="00B72047" w:rsidRDefault="00B72047">
      <w:pPr>
        <w:pStyle w:val="examplescaled"/>
      </w:pPr>
      <w:r>
        <w:tab/>
        <w:t>You are-a-large person.</w:t>
      </w:r>
    </w:p>
    <w:p w:rsidR="00B72047" w:rsidRDefault="00B72047">
      <w:pPr>
        <w:pStyle w:val="examplescaledpre"/>
      </w:pPr>
      <w:r>
        <w:rPr>
          <w:rStyle w:val="htmlcodes"/>
        </w:rPr>
        <w:t>&lt;a name=e2d10&gt;</w:t>
      </w:r>
      <w:r>
        <w:t>2.10)</w:t>
      </w:r>
      <w:r>
        <w:tab/>
        <w:t>do cmalu prenu</w:t>
      </w:r>
    </w:p>
    <w:p w:rsidR="00B72047" w:rsidRDefault="00B72047">
      <w:pPr>
        <w:pStyle w:val="examplescaled"/>
      </w:pPr>
      <w:r>
        <w:tab/>
        <w:t>You are-a-small person.</w:t>
      </w:r>
    </w:p>
    <w:p w:rsidR="00B72047" w:rsidRDefault="00B72047">
      <w:pPr>
        <w:pStyle w:val="resumedafterexample"/>
      </w:pPr>
      <w:r>
        <w:rPr>
          <w:rStyle w:val="htmlcodes"/>
        </w:rPr>
        <w:t>&lt;/pre&gt;</w:t>
      </w:r>
      <w:r>
        <w:t>are parallel tanru, in the sense that the relationship between “barda”</w:t>
      </w:r>
      <w:r>
        <w:rPr>
          <w:rStyle w:val="deletedparamark"/>
        </w:rPr>
        <w:t xml:space="preserve"> </w:t>
      </w:r>
      <w:r>
        <w:t xml:space="preserve">and “prenu” is the same as that between “cmalu” and “prenu”. </w:t>
      </w:r>
      <w:r>
        <w:rPr>
          <w:rStyle w:val="htmlcodes"/>
        </w:rPr>
        <w:t>&lt;a href=#s14&gt;</w:t>
      </w:r>
      <w:r>
        <w:t xml:space="preserve">Section 14 </w:t>
      </w:r>
      <w:r>
        <w:rPr>
          <w:rStyle w:val="htmlcodes"/>
        </w:rPr>
        <w:t>&lt;/a&gt;</w:t>
      </w:r>
      <w:r>
        <w:t xml:space="preserve">and </w:t>
      </w:r>
      <w:r>
        <w:rPr>
          <w:rStyle w:val="htmlcodes"/>
        </w:rPr>
        <w:t>&lt;a href=#s15&gt;</w:t>
      </w:r>
      <w:r>
        <w:t xml:space="preserve">Section 15 </w:t>
      </w:r>
      <w:r>
        <w:rPr>
          <w:rStyle w:val="htmlcodes"/>
        </w:rPr>
        <w:t>&lt;/a&gt;</w:t>
      </w:r>
      <w:r>
        <w:t>contain a partial listing of some types of tanru, with examples.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198" w:name="_Toc395691519"/>
      <w:bookmarkStart w:id="199" w:name="_Toc398970490"/>
      <w:r>
        <w:rPr>
          <w:rStyle w:val="Heading3Text"/>
        </w:rPr>
        <w:t>Three-part tanru grouping with “bo”</w:t>
      </w:r>
      <w:bookmarkEnd w:id="198"/>
      <w:bookmarkEnd w:id="19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bo</w:t>
      </w:r>
      <w:r>
        <w:tab/>
        <w:t>BO</w:t>
      </w:r>
      <w:r>
        <w:tab/>
        <w:t>closest scope grouping</w:t>
      </w:r>
    </w:p>
    <w:p w:rsidR="00B72047" w:rsidRDefault="00B72047">
      <w:pPr>
        <w:pStyle w:val="normalafterexample"/>
      </w:pPr>
      <w:r>
        <w:rPr>
          <w:rStyle w:val="htmlcodes"/>
        </w:rPr>
        <w:t>&lt;/pre&gt;</w:t>
      </w:r>
      <w:r>
        <w:rPr>
          <w:rStyle w:val="indexentry"/>
        </w:rPr>
        <w:t>&lt;ex "girls' school, little"&gt;</w:t>
      </w:r>
      <w:r>
        <w:rPr>
          <w:rStyle w:val="indexentry"/>
        </w:rPr>
        <w:fldChar w:fldCharType="begin"/>
      </w:r>
      <w:r>
        <w:instrText>xe "</w:instrText>
      </w:r>
      <w:r>
        <w:rPr>
          <w:rStyle w:val="xeentry"/>
        </w:rPr>
        <w:instrText>girls' school: little, example</w:instrText>
      </w:r>
      <w:r>
        <w:instrText>"</w:instrText>
      </w:r>
      <w:r>
        <w:rPr>
          <w:rStyle w:val="indexentry"/>
        </w:rPr>
        <w:fldChar w:fldCharType="end"/>
      </w:r>
      <w:r>
        <w:rPr>
          <w:rStyle w:val="indexentry"/>
        </w:rPr>
        <w:t>&lt;cx "tanru grouping, three-part"&gt;</w:t>
      </w:r>
      <w:r>
        <w:rPr>
          <w:rStyle w:val="indexentry"/>
        </w:rPr>
        <w:fldChar w:fldCharType="begin"/>
      </w:r>
      <w:r>
        <w:instrText>xe "</w:instrText>
      </w:r>
      <w:r>
        <w:rPr>
          <w:rStyle w:val="xeentry"/>
        </w:rPr>
        <w:instrText>tanru grouping: three-part</w:instrText>
      </w:r>
      <w:r>
        <w:instrText>"</w:instrText>
      </w:r>
      <w:r>
        <w:rPr>
          <w:rStyle w:val="indexentry"/>
        </w:rPr>
        <w:fldChar w:fldCharType="end"/>
      </w:r>
      <w:r>
        <w:t>Consider the English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That's a little girls' school.</w:t>
      </w:r>
    </w:p>
    <w:p w:rsidR="00B72047" w:rsidRDefault="00B72047">
      <w:pPr>
        <w:pStyle w:val="resumedafterexample"/>
      </w:pPr>
      <w:r>
        <w:rPr>
          <w:rStyle w:val="htmlcodes"/>
        </w:rPr>
        <w:t>&lt;/pre&gt;&lt;p&gt;</w:t>
      </w:r>
      <w:r>
        <w:t>What does it mean? Two possible readings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That's a little school for girls.</w:t>
      </w:r>
    </w:p>
    <w:p w:rsidR="00B72047" w:rsidRDefault="00B72047">
      <w:pPr>
        <w:pStyle w:val="examplescaledpre"/>
      </w:pPr>
      <w:r>
        <w:rPr>
          <w:rStyle w:val="htmlcodes"/>
        </w:rPr>
        <w:t>&lt;a name=e3d3&gt;</w:t>
      </w:r>
      <w:r>
        <w:t>3.3)</w:t>
      </w:r>
      <w:r>
        <w:tab/>
        <w:t>That's a school for little girls.</w:t>
      </w:r>
    </w:p>
    <w:p w:rsidR="00B72047" w:rsidRDefault="00B72047">
      <w:pPr>
        <w:pStyle w:val="resumedafterexample"/>
      </w:pPr>
      <w:r>
        <w:rPr>
          <w:rStyle w:val="htmlcodes"/>
        </w:rPr>
        <w:t xml:space="preserve"> &lt;/pre&gt;</w:t>
      </w:r>
      <w:r>
        <w:rPr>
          <w:rStyle w:val="indexentry"/>
        </w:rPr>
        <w:t>&lt;cx "speech rhythm, for grouping in English"&gt;</w:t>
      </w:r>
      <w:r>
        <w:rPr>
          <w:rStyle w:val="indexentry"/>
        </w:rPr>
        <w:fldChar w:fldCharType="begin"/>
      </w:r>
      <w:r>
        <w:instrText>xe "</w:instrText>
      </w:r>
      <w:r>
        <w:rPr>
          <w:rStyle w:val="xeentry"/>
        </w:rPr>
        <w:instrText>speech rhythm: for grouping in English</w:instrText>
      </w:r>
      <w:r>
        <w:instrText>"</w:instrText>
      </w:r>
      <w:r>
        <w:rPr>
          <w:rStyle w:val="indexentry"/>
        </w:rPr>
        <w:fldChar w:fldCharType="end"/>
      </w:r>
      <w:r>
        <w:t>This ambiguity is quite different from the simple tanru ambiguity</w:t>
      </w:r>
      <w:r>
        <w:rPr>
          <w:rStyle w:val="deletedparamark"/>
        </w:rPr>
        <w:t xml:space="preserve"> </w:t>
      </w:r>
      <w:r>
        <w:t>de</w:t>
      </w:r>
      <w:r>
        <w:softHyphen/>
        <w:t xml:space="preserve">scribed in </w:t>
      </w:r>
      <w:r>
        <w:rPr>
          <w:rStyle w:val="htmlcodes"/>
        </w:rPr>
        <w:t>&lt;a href=#s2&gt;</w:t>
      </w:r>
      <w:r>
        <w:t>Section 2</w:t>
      </w:r>
      <w:r>
        <w:rPr>
          <w:rStyle w:val="htmlcodes"/>
        </w:rPr>
        <w:t>&lt;/a&gt;</w:t>
      </w:r>
      <w:r>
        <w:t>. We understand that “girls' school” means “a school</w:t>
      </w:r>
      <w:r>
        <w:rPr>
          <w:rStyle w:val="deletedparamark"/>
        </w:rPr>
        <w:t xml:space="preserve"> </w:t>
      </w:r>
      <w:r>
        <w:t>where girls are the students”, and not “a school where girls are the</w:t>
      </w:r>
      <w:r>
        <w:rPr>
          <w:rStyle w:val="deletedparamark"/>
        </w:rPr>
        <w:t xml:space="preserve"> </w:t>
      </w:r>
      <w:r>
        <w:t>teachers” or “a school which is a girl” (!). Likewise, we un</w:t>
      </w:r>
      <w:r>
        <w:softHyphen/>
        <w:t>derstand that</w:t>
      </w:r>
      <w:r>
        <w:rPr>
          <w:rStyle w:val="deletedparamark"/>
        </w:rPr>
        <w:t xml:space="preserve"> “</w:t>
      </w:r>
      <w:r>
        <w:t>little girl” means “girl who is small”. This is an ambiguity of grouping.</w:t>
      </w:r>
      <w:r>
        <w:rPr>
          <w:rStyle w:val="deletedparamark"/>
        </w:rPr>
        <w:t xml:space="preserve"> </w:t>
      </w:r>
      <w:r>
        <w:t>Is “girls' school” to be taken as a unit, with “little” specifying the</w:t>
      </w:r>
      <w:r>
        <w:rPr>
          <w:rStyle w:val="deletedparamark"/>
        </w:rPr>
        <w:t xml:space="preserve"> </w:t>
      </w:r>
      <w:r>
        <w:t>type of girls' school? Or is “little girl” to be taken as a unit,</w:t>
      </w:r>
      <w:r>
        <w:rPr>
          <w:rStyle w:val="deletedparamark"/>
        </w:rPr>
        <w:t xml:space="preserve"> </w:t>
      </w:r>
      <w:r>
        <w:t>speci</w:t>
      </w:r>
      <w:r>
        <w:softHyphen/>
        <w:t>fying the type of school? In English speech, differ</w:t>
      </w:r>
      <w:r>
        <w:softHyphen/>
        <w:t>ent tones of</w:t>
      </w:r>
      <w:r>
        <w:rPr>
          <w:rStyle w:val="deletedparamark"/>
        </w:rPr>
        <w:t xml:space="preserve"> </w:t>
      </w:r>
      <w:r>
        <w:t>voice, or exaggerated speech rhythm showing the grouping, are used to make</w:t>
      </w:r>
      <w:r>
        <w:rPr>
          <w:rStyle w:val="deletedparamark"/>
        </w:rPr>
        <w:t xml:space="preserve"> </w:t>
      </w:r>
      <w:r>
        <w:t>the distinction; English writing usually leaves it unrepre</w:t>
      </w:r>
      <w:r>
        <w:softHyphen/>
        <w:t>sented.</w:t>
      </w:r>
    </w:p>
    <w:p w:rsidR="00B72047" w:rsidRDefault="00B72047">
      <w:pPr>
        <w:rPr>
          <w:rStyle w:val="htmlparacode"/>
        </w:rPr>
      </w:pPr>
      <w:r>
        <w:rPr>
          <w:rStyle w:val="htmlparacode"/>
        </w:rPr>
        <w:t>&lt;p&gt;</w:t>
      </w:r>
    </w:p>
    <w:p w:rsidR="00B72047" w:rsidRDefault="00B72047">
      <w:pPr>
        <w:pStyle w:val="normalparagraph"/>
      </w:pP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t>Lojban makes no use of tones of voice for any purpose; ex</w:t>
      </w:r>
      <w:r>
        <w:softHyphen/>
        <w:t>plicit words</w:t>
      </w:r>
      <w:r>
        <w:rPr>
          <w:rStyle w:val="deletedparamark"/>
        </w:rPr>
        <w:t xml:space="preserve"> </w:t>
      </w:r>
      <w:r>
        <w:t>are used to do the work. The cmavo “bo” (which belongs to selma'o</w:t>
      </w:r>
      <w:r>
        <w:rPr>
          <w:rStyle w:val="deletedparamark"/>
        </w:rPr>
        <w:t xml:space="preserve"> </w:t>
      </w:r>
      <w:r>
        <w:t>BO) may be placed between the two brivla which are most closely</w:t>
      </w:r>
      <w:r>
        <w:rPr>
          <w:rStyle w:val="deletedparamark"/>
        </w:rPr>
        <w:t xml:space="preserve"> </w:t>
      </w:r>
      <w:r>
        <w:t xml:space="preserve">associated. Therefore, a Lojban translation of </w:t>
      </w:r>
      <w:r>
        <w:rPr>
          <w:rStyle w:val="htmlcodes"/>
        </w:rPr>
        <w:t>&lt;a href=#e3d2&gt;</w:t>
      </w:r>
      <w:r>
        <w:t xml:space="preserve">Example 3.2 </w:t>
      </w:r>
      <w:r>
        <w:rPr>
          <w:rStyle w:val="htmlcodes"/>
        </w:rPr>
        <w:t>&lt;/a&gt;</w:t>
      </w:r>
      <w:r>
        <w:t>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ta cmalu nixli bo ckule</w:t>
      </w:r>
    </w:p>
    <w:p w:rsidR="00B72047" w:rsidRDefault="00B72047">
      <w:pPr>
        <w:pStyle w:val="examplescaled"/>
      </w:pPr>
      <w:r>
        <w:tab/>
        <w:t>That is-a-small girl – school.</w:t>
      </w:r>
    </w:p>
    <w:p w:rsidR="00B72047" w:rsidRDefault="00B72047">
      <w:pPr>
        <w:pStyle w:val="resumedafterexample"/>
      </w:pPr>
      <w:r>
        <w:rPr>
          <w:rStyle w:val="htmlcodes"/>
        </w:rPr>
        <w:t>&lt;/pre&gt;&lt;a href=#e3d3&gt;</w:t>
      </w:r>
      <w:r>
        <w:t xml:space="preserve">Example 3.3 </w:t>
      </w:r>
      <w:r>
        <w:rPr>
          <w:rStyle w:val="htmlcodes"/>
        </w:rPr>
        <w:t>&lt;/a&gt;</w:t>
      </w:r>
      <w:r>
        <w:t>might be translated: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name=e3d5&gt;</w:t>
      </w:r>
      <w:r>
        <w:t>3.5)</w:t>
      </w:r>
      <w:r>
        <w:tab/>
        <w:t>ta cmalu bo nixli ckule</w:t>
      </w:r>
    </w:p>
    <w:p w:rsidR="00B72047" w:rsidRDefault="00B72047">
      <w:pPr>
        <w:pStyle w:val="examplescaled"/>
      </w:pPr>
      <w:r>
        <w:tab/>
        <w:t>That is-a-small – girl school.</w:t>
      </w:r>
    </w:p>
    <w:p w:rsidR="00B72047" w:rsidRDefault="00B72047">
      <w:pPr>
        <w:pStyle w:val="resumedafterexample"/>
      </w:pPr>
      <w:r>
        <w:rPr>
          <w:rStyle w:val="htmlcodes"/>
        </w:rPr>
        <w:t>&lt;/pre&gt;&lt;p&gt;</w:t>
      </w:r>
      <w:r>
        <w:t>The “bo” is represented in the literal translation by a hyphen because</w:t>
      </w:r>
      <w:r>
        <w:rPr>
          <w:rStyle w:val="deletedparamark"/>
        </w:rPr>
        <w:t xml:space="preserve"> </w:t>
      </w:r>
      <w:r>
        <w:t>in written English a hyphen is sometimes used for the same purpose:</w:t>
      </w:r>
      <w:r>
        <w:rPr>
          <w:rStyle w:val="deletedparamark"/>
        </w:rPr>
        <w:t xml:space="preserve"> “</w:t>
      </w:r>
      <w:r>
        <w:t>a big dog-catcher” would be quite dif</w:t>
      </w:r>
      <w:r>
        <w:softHyphen/>
        <w:t>ferent from a “big-dog catcher”</w:t>
      </w:r>
      <w:r>
        <w:rPr>
          <w:rStyle w:val="deletedparamark"/>
        </w:rPr>
        <w:t xml:space="preserve"> </w:t>
      </w:r>
      <w:r>
        <w:t>(presumably someone who catches only big dogs).</w:t>
      </w:r>
    </w:p>
    <w:p w:rsidR="00B72047" w:rsidRDefault="00B72047">
      <w:pPr>
        <w:rPr>
          <w:rStyle w:val="htmlparacode"/>
        </w:rPr>
      </w:pPr>
      <w:r>
        <w:rPr>
          <w:rStyle w:val="htmlparacode"/>
        </w:rPr>
        <w:t>&lt;p&gt;</w:t>
      </w:r>
    </w:p>
    <w:p w:rsidR="00B72047" w:rsidRDefault="00B72047">
      <w:pPr>
        <w:pStyle w:val="normalparagraph"/>
      </w:pPr>
      <w:r>
        <w:rPr>
          <w:rStyle w:val="indexentry"/>
        </w:rPr>
        <w:t>&lt;cx "tanru nested within tanru"&gt;</w:t>
      </w:r>
      <w:r>
        <w:rPr>
          <w:rStyle w:val="indexentry"/>
        </w:rPr>
        <w:fldChar w:fldCharType="begin"/>
      </w:r>
      <w:r>
        <w:instrText>xe "</w:instrText>
      </w:r>
      <w:r>
        <w:rPr>
          <w:rStyle w:val="xeentry"/>
        </w:rPr>
        <w:instrText>tanru nested within tanru</w:instrText>
      </w:r>
      <w:r>
        <w:instrText>"</w:instrText>
      </w:r>
      <w:r>
        <w:rPr>
          <w:rStyle w:val="indexentry"/>
        </w:rPr>
        <w:fldChar w:fldCharType="end"/>
      </w:r>
      <w:r>
        <w:t xml:space="preserve">Analysis of </w:t>
      </w:r>
      <w:r>
        <w:rPr>
          <w:rStyle w:val="htmlcodes"/>
        </w:rPr>
        <w:t>&lt;a href=#e3d4&gt;</w:t>
      </w:r>
      <w:r>
        <w:t xml:space="preserve">Example 3.4 </w:t>
      </w:r>
      <w:r>
        <w:rPr>
          <w:rStyle w:val="htmlcodes"/>
        </w:rPr>
        <w:t>&lt;/a&gt;</w:t>
      </w:r>
      <w:r>
        <w:t xml:space="preserve">and </w:t>
      </w:r>
      <w:r>
        <w:rPr>
          <w:rStyle w:val="htmlcodes"/>
        </w:rPr>
        <w:t>&lt;a href=#e3d5&gt;</w:t>
      </w:r>
      <w:r>
        <w:t xml:space="preserve">Example 3.5 </w:t>
      </w:r>
      <w:r>
        <w:rPr>
          <w:rStyle w:val="htmlcodes"/>
        </w:rPr>
        <w:t>&lt;/a&gt;</w:t>
      </w:r>
      <w:r>
        <w:t>reveals a tanru nested within</w:t>
      </w:r>
      <w:r>
        <w:rPr>
          <w:rStyle w:val="deletedparamark"/>
        </w:rPr>
        <w:t xml:space="preserve"> </w:t>
      </w:r>
      <w:r>
        <w:t xml:space="preserve">a tanru. In </w:t>
      </w:r>
      <w:r>
        <w:rPr>
          <w:rStyle w:val="htmlcodes"/>
        </w:rPr>
        <w:t>&lt;a href=#e3d4&gt;</w:t>
      </w:r>
      <w:r>
        <w:t>Example 3.4</w:t>
      </w:r>
      <w:r>
        <w:rPr>
          <w:rStyle w:val="htmlcodes"/>
        </w:rPr>
        <w:t>&lt;/a&gt;</w:t>
      </w:r>
      <w:r>
        <w:t>, the main tanru has a seltau of “cmalu” and a</w:t>
      </w:r>
      <w:r>
        <w:rPr>
          <w:rStyle w:val="deletedparamark"/>
        </w:rPr>
        <w:t xml:space="preserve"> </w:t>
      </w:r>
      <w:r>
        <w:t>tertau of “nixli bo ckule”; the tertau is itself a tanru with “nixli”</w:t>
      </w:r>
      <w:r>
        <w:rPr>
          <w:rStyle w:val="deletedparamark"/>
        </w:rPr>
        <w:t xml:space="preserve"> </w:t>
      </w:r>
      <w:r>
        <w:t xml:space="preserve">as the seltau and “ckule” as the tertau. In </w:t>
      </w:r>
      <w:r>
        <w:rPr>
          <w:rStyle w:val="htmlcodes"/>
        </w:rPr>
        <w:t>&lt;a href=#e3d5&gt;</w:t>
      </w:r>
      <w:r>
        <w:t>Example 3.5</w:t>
      </w:r>
      <w:r>
        <w:rPr>
          <w:rStyle w:val="htmlcodes"/>
        </w:rPr>
        <w:t>&lt;/a&gt;</w:t>
      </w:r>
      <w:r>
        <w:t>, on the other</w:t>
      </w:r>
      <w:r>
        <w:rPr>
          <w:rStyle w:val="deletedparamark"/>
        </w:rPr>
        <w:t xml:space="preserve"> </w:t>
      </w:r>
      <w:r>
        <w:t>hand, the seltau is “cmalu bo nixli” (itself a tanru), whereas the</w:t>
      </w:r>
      <w:r>
        <w:rPr>
          <w:rStyle w:val="deletedparamark"/>
        </w:rPr>
        <w:t xml:space="preserve"> </w:t>
      </w:r>
      <w:r>
        <w:t>tertau is “ckule”. This structure of tanru nested within tanru forms</w:t>
      </w:r>
      <w:r>
        <w:rPr>
          <w:rStyle w:val="deletedparamark"/>
        </w:rPr>
        <w:t xml:space="preserve"> </w:t>
      </w:r>
      <w:r>
        <w:t>the basis for all the more com</w:t>
      </w:r>
      <w:r>
        <w:softHyphen/>
        <w:t>plex types of selbri that will be explained</w:t>
      </w:r>
      <w:r>
        <w:rPr>
          <w:rStyle w:val="deletedparamark"/>
        </w:rPr>
        <w:t xml:space="preserve"> </w:t>
      </w:r>
      <w:r>
        <w:t>below.</w:t>
      </w:r>
    </w:p>
    <w:p w:rsidR="00B72047" w:rsidRDefault="00B72047">
      <w:pPr>
        <w:rPr>
          <w:rStyle w:val="htmlparacode"/>
        </w:rPr>
      </w:pPr>
      <w:r>
        <w:rPr>
          <w:rStyle w:val="htmlparacode"/>
        </w:rPr>
        <w:t>&lt;p&gt;</w:t>
      </w:r>
    </w:p>
    <w:p w:rsidR="00B72047" w:rsidRDefault="00B72047">
      <w:pPr>
        <w:pStyle w:val="normalparagraph"/>
      </w:pPr>
      <w:r>
        <w:t xml:space="preserve">What about </w:t>
      </w:r>
      <w:r>
        <w:rPr>
          <w:rStyle w:val="htmlcodes"/>
        </w:rPr>
        <w:t>&lt;a href=#e3d6&gt;</w:t>
      </w:r>
      <w:r>
        <w:t>Example 3.6</w:t>
      </w:r>
      <w:r>
        <w:rPr>
          <w:rStyle w:val="htmlcodes"/>
        </w:rPr>
        <w:t>&lt;/a&gt;</w:t>
      </w:r>
      <w:r>
        <w:t>? What does it mean?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name=e3d6&gt;</w:t>
      </w:r>
      <w:r>
        <w:t>3.6)</w:t>
      </w:r>
      <w:r>
        <w:tab/>
        <w:t>ta cmalu nixli ckule</w:t>
      </w:r>
    </w:p>
    <w:p w:rsidR="00B72047" w:rsidRDefault="00B72047">
      <w:pPr>
        <w:pStyle w:val="examplescaled"/>
      </w:pPr>
      <w:r>
        <w:tab/>
        <w:t>That is-a-small girl school.</w:t>
      </w:r>
    </w:p>
    <w:p w:rsidR="00B72047" w:rsidRDefault="00B72047">
      <w:pPr>
        <w:pStyle w:val="resumedafterexample"/>
      </w:pPr>
      <w:r>
        <w:rPr>
          <w:rStyle w:val="htmlcodes"/>
        </w:rPr>
        <w:t>&lt;/pre&gt;</w:t>
      </w:r>
      <w:r>
        <w:rPr>
          <w:rStyle w:val="indexentry"/>
        </w:rPr>
        <w:t>&lt;cx "left-grouping rule, definition of"&gt;</w:t>
      </w:r>
      <w:r>
        <w:rPr>
          <w:rStyle w:val="indexentry"/>
        </w:rPr>
        <w:fldChar w:fldCharType="begin"/>
      </w:r>
      <w:r>
        <w:instrText>xe "</w:instrText>
      </w:r>
      <w:r>
        <w:rPr>
          <w:rStyle w:val="xeentry"/>
        </w:rPr>
        <w:instrText>left-grouping rule: definition of</w:instrText>
      </w:r>
      <w:r>
        <w:instrText>"</w:instrText>
      </w:r>
      <w:r>
        <w:rPr>
          <w:rStyle w:val="indexentry"/>
        </w:rPr>
        <w:fldChar w:fldCharType="end"/>
      </w:r>
      <w:r>
        <w:rPr>
          <w:rStyle w:val="indexentry"/>
        </w:rPr>
        <w:t>&lt;cx "tanru, default left-grouping of"&gt;</w:t>
      </w:r>
      <w:r>
        <w:rPr>
          <w:rStyle w:val="indexentry"/>
        </w:rPr>
        <w:fldChar w:fldCharType="begin"/>
      </w:r>
      <w:r>
        <w:instrText>xe "</w:instrText>
      </w:r>
      <w:r>
        <w:rPr>
          <w:rStyle w:val="xeentry"/>
        </w:rPr>
        <w:instrText>tanru: default left-grouping of</w:instrText>
      </w:r>
      <w:r>
        <w:instrText>"</w:instrText>
      </w:r>
      <w:r>
        <w:rPr>
          <w:rStyle w:val="indexentry"/>
        </w:rPr>
        <w:fldChar w:fldCharType="end"/>
      </w:r>
      <w:r>
        <w:t>The rules of Lojban do not leave this sentence ambiguous, as the rules</w:t>
      </w:r>
      <w:r>
        <w:rPr>
          <w:rStyle w:val="deletedparamark"/>
        </w:rPr>
        <w:t xml:space="preserve"> </w:t>
      </w:r>
      <w:r>
        <w:t xml:space="preserve">of English do with </w:t>
      </w:r>
      <w:r>
        <w:rPr>
          <w:rStyle w:val="htmlcodes"/>
        </w:rPr>
        <w:t>&lt;a href=#e3d1&gt;</w:t>
      </w:r>
      <w:r>
        <w:t>Example 3.1</w:t>
      </w:r>
      <w:r>
        <w:rPr>
          <w:rStyle w:val="htmlcodes"/>
        </w:rPr>
        <w:t>&lt;/a&gt;</w:t>
      </w:r>
      <w:r>
        <w:t>. The choice made by the lan</w:t>
      </w:r>
      <w:r>
        <w:softHyphen/>
        <w:t>guage designers</w:t>
      </w:r>
      <w:r>
        <w:rPr>
          <w:rStyle w:val="deletedparamark"/>
        </w:rPr>
        <w:t xml:space="preserve"> </w:t>
      </w:r>
      <w:r>
        <w:t xml:space="preserve">is to say that </w:t>
      </w:r>
      <w:r>
        <w:rPr>
          <w:rStyle w:val="htmlcodes"/>
        </w:rPr>
        <w:t>&lt;a href=#e3d6&gt;</w:t>
      </w:r>
      <w:r>
        <w:t xml:space="preserve">Example 3.6 </w:t>
      </w:r>
      <w:r>
        <w:rPr>
          <w:rStyle w:val="htmlcodes"/>
        </w:rPr>
        <w:t>&lt;/a&gt;</w:t>
      </w:r>
      <w:r>
        <w:t xml:space="preserve">means the same as </w:t>
      </w:r>
      <w:r>
        <w:rPr>
          <w:rStyle w:val="htmlcodes"/>
        </w:rPr>
        <w:t>&lt;a href=#e3d5&gt;</w:t>
      </w:r>
      <w:r>
        <w:t>Ex</w:t>
      </w:r>
      <w:r>
        <w:softHyphen/>
        <w:t>ample 3.5</w:t>
      </w:r>
      <w:r>
        <w:rPr>
          <w:rStyle w:val="htmlcodes"/>
        </w:rPr>
        <w:t>&lt;/a&gt;</w:t>
      </w:r>
      <w:r>
        <w:t>. This is true</w:t>
      </w:r>
      <w:r>
        <w:rPr>
          <w:rStyle w:val="deletedparamark"/>
        </w:rPr>
        <w:t xml:space="preserve"> </w:t>
      </w:r>
      <w:r>
        <w:t>no matter what three brivla are used: the left</w:t>
      </w:r>
      <w:r>
        <w:softHyphen/>
        <w:t>most two are always grouped</w:t>
      </w:r>
      <w:r>
        <w:rPr>
          <w:rStyle w:val="deletedparamark"/>
        </w:rPr>
        <w:t xml:space="preserve"> </w:t>
      </w:r>
      <w:r>
        <w:t>together. This rule is called the “left-grouping rule”. Left-grouping</w:t>
      </w:r>
      <w:r>
        <w:rPr>
          <w:rStyle w:val="deletedparamark"/>
        </w:rPr>
        <w:t xml:space="preserve"> </w:t>
      </w:r>
      <w:r>
        <w:t>in seemingly ambiguous structures is quite common — though not universal —</w:t>
      </w:r>
      <w:r>
        <w:rPr>
          <w:rStyle w:val="deletedparamark"/>
        </w:rPr>
        <w:t xml:space="preserve"> </w:t>
      </w:r>
      <w:r>
        <w:t>in other contexts in Lojban.</w:t>
      </w:r>
    </w:p>
    <w:p w:rsidR="00B72047" w:rsidRDefault="00B72047">
      <w:pPr>
        <w:rPr>
          <w:rStyle w:val="htmlparacode"/>
        </w:rPr>
      </w:pPr>
      <w:r>
        <w:rPr>
          <w:rStyle w:val="htmlparacode"/>
        </w:rPr>
        <w:t>&lt;p&gt;</w:t>
      </w:r>
    </w:p>
    <w:p w:rsidR="00B72047" w:rsidRDefault="00B72047">
      <w:pPr>
        <w:pStyle w:val="normalparagraph"/>
      </w:pPr>
      <w:r>
        <w:t xml:space="preserve">Another way to express the English meaning of </w:t>
      </w:r>
      <w:r>
        <w:rPr>
          <w:rStyle w:val="htmlcodes"/>
        </w:rPr>
        <w:t>&lt;a href=#e3d4&gt;</w:t>
      </w:r>
      <w:r>
        <w:t xml:space="preserve">Example 3.4 </w:t>
      </w:r>
      <w:r>
        <w:rPr>
          <w:rStyle w:val="htmlcodes"/>
        </w:rPr>
        <w:t>&lt;/a&gt;</w:t>
      </w:r>
      <w:r>
        <w:t xml:space="preserve">and </w:t>
      </w:r>
      <w:r>
        <w:rPr>
          <w:rStyle w:val="htmlcodes"/>
        </w:rPr>
        <w:t>&lt;a href=#e3d5&gt;</w:t>
      </w:r>
      <w:r>
        <w:t>Example 3.5</w:t>
      </w:r>
      <w:r>
        <w:rPr>
          <w:rStyle w:val="htmlcodes"/>
        </w:rPr>
        <w:t>&lt;/a&gt;</w:t>
      </w:r>
      <w:r>
        <w:t>,</w:t>
      </w:r>
      <w:r>
        <w:rPr>
          <w:rStyle w:val="deletedparamark"/>
        </w:rPr>
        <w:t xml:space="preserve"> </w:t>
      </w:r>
      <w:r>
        <w:t>using parentheses to mark grouping,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name=e3d7&gt;</w:t>
      </w:r>
      <w:r>
        <w:t>3.7)</w:t>
      </w:r>
      <w:r>
        <w:tab/>
        <w:t>ta cmalu nixli bo ckule</w:t>
      </w:r>
    </w:p>
    <w:p w:rsidR="00B72047" w:rsidRDefault="00B72047">
      <w:pPr>
        <w:pStyle w:val="examplescaled"/>
      </w:pPr>
      <w:r>
        <w:tab/>
        <w:t>That is-a-small type-of (girl type-of school).</w:t>
      </w:r>
    </w:p>
    <w:p w:rsidR="00B72047" w:rsidRDefault="00B72047">
      <w:pPr>
        <w:pStyle w:val="examplescaledpre"/>
      </w:pPr>
      <w:r>
        <w:rPr>
          <w:rStyle w:val="htmlcodes"/>
        </w:rPr>
        <w:t>&lt;a name=e3d8&gt;</w:t>
      </w:r>
      <w:r>
        <w:t>3.8)</w:t>
      </w:r>
      <w:r>
        <w:tab/>
        <w:t>ta cmalu bo nixli ckule</w:t>
      </w:r>
    </w:p>
    <w:p w:rsidR="00B72047" w:rsidRDefault="00B72047">
      <w:pPr>
        <w:pStyle w:val="examplescaled"/>
      </w:pPr>
      <w:r>
        <w:tab/>
        <w:t>That is-a-(small type-of girl) type-of school.</w:t>
      </w:r>
    </w:p>
    <w:p w:rsidR="00B72047" w:rsidRDefault="00B72047">
      <w:pPr>
        <w:pStyle w:val="resumedafterexample"/>
      </w:pPr>
      <w:r>
        <w:rPr>
          <w:rStyle w:val="htmlcodes"/>
        </w:rPr>
        <w:t>&lt;/pre&gt;&lt;p&gt;</w:t>
      </w:r>
      <w:r>
        <w:t>Because “type-of” is implicit in the Lojban tanru form, it has no Lojban</w:t>
      </w:r>
      <w:r>
        <w:rPr>
          <w:rStyle w:val="deletedparamark"/>
        </w:rPr>
        <w:t xml:space="preserve"> </w:t>
      </w:r>
      <w:r>
        <w:t>equivalent.</w:t>
      </w:r>
    </w:p>
    <w:p w:rsidR="00B72047" w:rsidRDefault="00B72047">
      <w:pPr>
        <w:rPr>
          <w:rStyle w:val="htmlparacode"/>
        </w:rPr>
      </w:pPr>
      <w:r>
        <w:rPr>
          <w:rStyle w:val="htmlparacode"/>
        </w:rPr>
        <w:t>&lt;p&gt;</w:t>
      </w:r>
    </w:p>
    <w:p w:rsidR="00B72047" w:rsidRDefault="00B72047">
      <w:pPr>
        <w:pStyle w:val="normalparagraph"/>
      </w:pPr>
      <w:r>
        <w:t>Note: It is perfectly legal, though pointless, to insert “bo” into a</w:t>
      </w:r>
      <w:r>
        <w:rPr>
          <w:rStyle w:val="deletedparamark"/>
        </w:rPr>
        <w:t xml:space="preserve"> </w:t>
      </w:r>
      <w:r>
        <w:t>simple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name=e3d9&gt;</w:t>
      </w:r>
      <w:r>
        <w:t>3.9)</w:t>
      </w:r>
      <w:r>
        <w:tab/>
        <w:t>ta klama bo jubme</w:t>
      </w:r>
    </w:p>
    <w:p w:rsidR="00B72047" w:rsidRDefault="00B72047">
      <w:pPr>
        <w:pStyle w:val="examplescaled"/>
      </w:pPr>
      <w:r>
        <w:tab/>
        <w:t>That is-a goer – table</w:t>
      </w:r>
    </w:p>
    <w:p w:rsidR="00B72047" w:rsidRDefault="00B72047">
      <w:pPr>
        <w:pStyle w:val="resumedafterexample"/>
      </w:pPr>
      <w:r>
        <w:rPr>
          <w:rStyle w:val="htmlcodes"/>
        </w:rPr>
        <w:t>&lt;/pre&gt;</w:t>
      </w:r>
      <w:r>
        <w:t xml:space="preserve">is a legal Lojban bridi that means exactly the same thing as </w:t>
      </w:r>
      <w:r>
        <w:rPr>
          <w:rStyle w:val="htmlcodes"/>
        </w:rPr>
        <w:t>&lt;a href=#e2d8&gt;</w:t>
      </w:r>
      <w:r>
        <w:t>Example 2.8</w:t>
      </w:r>
      <w:r>
        <w:rPr>
          <w:rStyle w:val="htmlcodes"/>
        </w:rPr>
        <w:t>&lt;/a&gt;</w:t>
      </w:r>
      <w:r>
        <w:t>,</w:t>
      </w:r>
      <w:r>
        <w:rPr>
          <w:rStyle w:val="deletedparamark"/>
        </w:rPr>
        <w:t xml:space="preserve"> </w:t>
      </w:r>
      <w:r>
        <w:t>and is am</w:t>
      </w:r>
      <w:r>
        <w:softHyphen/>
        <w:t>bigu</w:t>
      </w:r>
      <w:r>
        <w:softHyphen/>
        <w:t>ous in exactly the same ways. The cmavo “bo” serves only</w:t>
      </w:r>
      <w:r>
        <w:rPr>
          <w:rStyle w:val="deletedparamark"/>
        </w:rPr>
        <w:t xml:space="preserve"> </w:t>
      </w:r>
      <w:r>
        <w:t>to resolve grouping am</w:t>
      </w:r>
      <w:r>
        <w:softHyphen/>
        <w:t>bigu</w:t>
      </w:r>
      <w:r>
        <w:softHyphen/>
        <w:t>ity: it says nothing about the more basic</w:t>
      </w:r>
      <w:r>
        <w:rPr>
          <w:rStyle w:val="deletedparamark"/>
        </w:rPr>
        <w:t xml:space="preserve"> </w:t>
      </w:r>
      <w:r>
        <w:t>ambiguity present in all tanru.</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name=s4&gt;&lt;h3&gt;</w:t>
      </w:r>
      <w:bookmarkStart w:id="200" w:name="_Toc395691520"/>
      <w:bookmarkStart w:id="201" w:name="_Toc398970491"/>
      <w:r>
        <w:rPr>
          <w:rStyle w:val="Heading3Text"/>
        </w:rPr>
        <w:t>Complex tanru grouping</w:t>
      </w:r>
      <w:bookmarkEnd w:id="200"/>
      <w:bookmarkEnd w:id="20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"tanru grouping, complex"&gt;</w:t>
      </w:r>
      <w:r>
        <w:rPr>
          <w:rStyle w:val="indexentry"/>
        </w:rPr>
        <w:fldChar w:fldCharType="begin"/>
      </w:r>
      <w:r>
        <w:instrText>xe "</w:instrText>
      </w:r>
      <w:r>
        <w:rPr>
          <w:rStyle w:val="xeentry"/>
        </w:rPr>
        <w:instrText>tanru grouping: complex</w:instrText>
      </w:r>
      <w:r>
        <w:instrText>"</w:instrText>
      </w:r>
      <w:r>
        <w:rPr>
          <w:rStyle w:val="indexentry"/>
        </w:rPr>
        <w:fldChar w:fldCharType="end"/>
      </w:r>
      <w:r>
        <w:t>If one element of a tanru can be another tanru, why not both elements?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do mutce bo barda gerku bo kavbu</w:t>
      </w:r>
    </w:p>
    <w:p w:rsidR="00B72047" w:rsidRDefault="00B72047">
      <w:pPr>
        <w:pStyle w:val="examplescaled"/>
      </w:pPr>
      <w:r>
        <w:tab/>
        <w:t>You are-a-(very type-of large) (dog type-of capturer).</w:t>
      </w:r>
    </w:p>
    <w:p w:rsidR="00B72047" w:rsidRDefault="00B72047">
      <w:pPr>
        <w:pStyle w:val="examplescaled"/>
      </w:pPr>
      <w:r>
        <w:tab/>
        <w:t>You are a very large dog-catcher.</w:t>
      </w:r>
    </w:p>
    <w:p w:rsidR="00B72047" w:rsidRDefault="00B72047">
      <w:pPr>
        <w:pStyle w:val="resumedafterexample"/>
      </w:pPr>
      <w:r>
        <w:rPr>
          <w:rStyle w:val="htmlcodes"/>
        </w:rPr>
        <w:t>&lt;/pre&gt;&lt;p&gt;</w:t>
      </w:r>
      <w:r>
        <w:t xml:space="preserve">In </w:t>
      </w:r>
      <w:r>
        <w:rPr>
          <w:rStyle w:val="htmlcodes"/>
        </w:rPr>
        <w:t>&lt;a href=#e4d1&gt;</w:t>
      </w:r>
      <w:r>
        <w:t>Example 4.1</w:t>
      </w:r>
      <w:r>
        <w:rPr>
          <w:rStyle w:val="htmlcodes"/>
        </w:rPr>
        <w:t>&lt;/a&gt;</w:t>
      </w:r>
      <w:r>
        <w:t>, the selbri is a tanru with seltau “mutce bo barda”</w:t>
      </w:r>
      <w:r>
        <w:rPr>
          <w:rStyle w:val="deletedparamark"/>
        </w:rPr>
        <w:t xml:space="preserve"> </w:t>
      </w:r>
      <w:r>
        <w:t>and tertau “gerku bo kavbu”. It is worth emphasizing once</w:t>
      </w:r>
      <w:r>
        <w:rPr>
          <w:rStyle w:val="deletedparamark"/>
        </w:rPr>
        <w:t xml:space="preserve"> </w:t>
      </w:r>
      <w:r>
        <w:t>again that this tanru has the same fundamental am</w:t>
      </w:r>
      <w:r>
        <w:softHyphen/>
        <w:t>biguity as all other</w:t>
      </w:r>
      <w:r>
        <w:rPr>
          <w:rStyle w:val="deletedparamark"/>
        </w:rPr>
        <w:t xml:space="preserve"> </w:t>
      </w:r>
      <w:r>
        <w:t>Lojban tanru: the sense in which the “dog type-of capturer” is said to be</w:t>
      </w:r>
      <w:r>
        <w:rPr>
          <w:rStyle w:val="deletedparamark"/>
        </w:rPr>
        <w:t xml:space="preserve"> “</w:t>
      </w:r>
      <w:r>
        <w:t>very type-of large” is not precisely specified. Presumably it is his</w:t>
      </w:r>
      <w:r>
        <w:rPr>
          <w:rStyle w:val="deletedparamark"/>
        </w:rPr>
        <w:t xml:space="preserve"> </w:t>
      </w:r>
      <w:r>
        <w:t>body which is large, but theoretically it could be one of his other</w:t>
      </w:r>
      <w:r>
        <w:rPr>
          <w:rStyle w:val="deletedparamark"/>
        </w:rPr>
        <w:t xml:space="preserve"> </w:t>
      </w:r>
      <w:r>
        <w:t>properties.</w:t>
      </w:r>
    </w:p>
    <w:p w:rsidR="00B72047" w:rsidRDefault="00B72047">
      <w:pPr>
        <w:rPr>
          <w:rStyle w:val="htmlparacode"/>
        </w:rPr>
      </w:pPr>
      <w:r>
        <w:rPr>
          <w:rStyle w:val="htmlparacode"/>
        </w:rPr>
        <w:t>&lt;p&gt;</w:t>
      </w:r>
    </w:p>
    <w:p w:rsidR="00B72047" w:rsidRDefault="00B72047">
      <w:pPr>
        <w:pStyle w:val="normalparagraph"/>
      </w:pPr>
      <w:r>
        <w:rPr>
          <w:rStyle w:val="indexentry"/>
        </w:rPr>
        <w:t>&lt;cx "pretty, English ambiguity of"&gt;</w:t>
      </w:r>
      <w:r>
        <w:rPr>
          <w:rStyle w:val="indexentry"/>
        </w:rPr>
        <w:fldChar w:fldCharType="begin"/>
      </w:r>
      <w:r>
        <w:instrText>xe "</w:instrText>
      </w:r>
      <w:r>
        <w:rPr>
          <w:rStyle w:val="xeentry"/>
        </w:rPr>
        <w:instrText>pretty: English ambiguity of</w:instrText>
      </w:r>
      <w:r>
        <w:instrText>"</w:instrText>
      </w:r>
      <w:r>
        <w:rPr>
          <w:rStyle w:val="indexentry"/>
        </w:rPr>
        <w:fldChar w:fldCharType="end"/>
      </w:r>
      <w:r>
        <w:t>We will now justify the title of this chapter by exploring the ramifications</w:t>
      </w:r>
      <w:r>
        <w:rPr>
          <w:rStyle w:val="deletedparamark"/>
        </w:rPr>
        <w:t xml:space="preserve"> </w:t>
      </w:r>
      <w:r>
        <w:t>of the phrase “pretty little girls' school”, an expansion of the tanru</w:t>
      </w:r>
      <w:r>
        <w:rPr>
          <w:rStyle w:val="deletedparamark"/>
        </w:rPr>
        <w:t xml:space="preserve"> </w:t>
      </w:r>
      <w:r>
        <w:t xml:space="preserve">used in </w:t>
      </w:r>
      <w:r>
        <w:rPr>
          <w:rStyle w:val="htmlcodes"/>
        </w:rPr>
        <w:t>&lt;a href=#s3&gt;</w:t>
      </w:r>
      <w:r>
        <w:t xml:space="preserve">Section 3 </w:t>
      </w:r>
      <w:r>
        <w:rPr>
          <w:rStyle w:val="htmlcodes"/>
        </w:rPr>
        <w:t>&lt;/a&gt;</w:t>
      </w:r>
      <w:r>
        <w:t>to four brivla. (Although this example has been used in</w:t>
      </w:r>
      <w:r>
        <w:rPr>
          <w:rStyle w:val="deletedparamark"/>
        </w:rPr>
        <w:t xml:space="preserve"> </w:t>
      </w:r>
      <w:r>
        <w:t>the Loglan Project almost since the be</w:t>
      </w:r>
      <w:r>
        <w:softHyphen/>
        <w:t>ginning — it first appeared in</w:t>
      </w:r>
      <w:r>
        <w:rPr>
          <w:rStyle w:val="deletedparamark"/>
        </w:rPr>
        <w:t xml:space="preserve"> </w:t>
      </w:r>
      <w:r>
        <w:t xml:space="preserve">Quine's book </w:t>
      </w:r>
      <w:r>
        <w:rPr>
          <w:rStyle w:val="htmlcodes"/>
        </w:rPr>
        <w:t>&lt;cite&gt;</w:t>
      </w:r>
      <w:r>
        <w:rPr>
          <w:rStyle w:val="cite"/>
        </w:rPr>
        <w:t xml:space="preserve">Word and Object </w:t>
      </w:r>
      <w:r>
        <w:rPr>
          <w:rStyle w:val="htmlcodes"/>
        </w:rPr>
        <w:t>&lt;/cite&gt;</w:t>
      </w:r>
      <w:r>
        <w:t>(1960) — it is actu</w:t>
      </w:r>
      <w:r>
        <w:softHyphen/>
        <w:t>ally a mediocre example</w:t>
      </w:r>
      <w:r>
        <w:rPr>
          <w:rStyle w:val="deletedparamark"/>
        </w:rPr>
        <w:t xml:space="preserve"> </w:t>
      </w:r>
      <w:r>
        <w:t>because of the ambiguity of English “pretty”; it can mean “beautiful”,</w:t>
      </w:r>
      <w:r>
        <w:rPr>
          <w:rStyle w:val="deletedparamark"/>
        </w:rPr>
        <w:t xml:space="preserve"> </w:t>
      </w:r>
      <w:r>
        <w:t>the sense intended here, or it can mean “very”. Loj</w:t>
      </w:r>
      <w:r>
        <w:softHyphen/>
        <w:t>ban “melbi” is not</w:t>
      </w:r>
      <w:r>
        <w:rPr>
          <w:rStyle w:val="deletedparamark"/>
        </w:rPr>
        <w:t xml:space="preserve"> </w:t>
      </w:r>
      <w:r>
        <w:t>sub</w:t>
      </w:r>
      <w:r>
        <w:softHyphen/>
        <w:t>ject to this am</w:t>
      </w:r>
      <w:r>
        <w:softHyphen/>
        <w:t>biguity: it means only “beautiful”.)</w:t>
      </w:r>
    </w:p>
    <w:p w:rsidR="00B72047" w:rsidRDefault="00B72047">
      <w:pPr>
        <w:pStyle w:val="normalparagraph"/>
      </w:pPr>
      <w:r>
        <w:t>Here are four</w:t>
      </w:r>
      <w:r>
        <w:rPr>
          <w:rStyle w:val="deletedparamark"/>
        </w:rPr>
        <w:t xml:space="preserve"> </w:t>
      </w:r>
      <w:r>
        <w:t>ways to group this phrase:</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&lt;pre&gt;&lt;a name=e4d2&gt;</w:t>
      </w:r>
      <w:r>
        <w:t>4.2)</w:t>
      </w:r>
      <w:r>
        <w:tab/>
        <w:t>ta melbi cmalu nixli ckule</w:t>
      </w:r>
    </w:p>
    <w:p w:rsidR="00B72047" w:rsidRDefault="00B72047">
      <w:pPr>
        <w:pStyle w:val="examplescaled"/>
      </w:pPr>
      <w:r>
        <w:tab/>
        <w:t>That is-a-((pretty type-of little) type-of girl) type-of school.</w:t>
      </w:r>
    </w:p>
    <w:p w:rsidR="00B72047" w:rsidRDefault="00B72047">
      <w:pPr>
        <w:pStyle w:val="examplescaled"/>
      </w:pPr>
      <w:r>
        <w:tab/>
        <w:t>That is a school for girls who are beautifully small.</w:t>
      </w:r>
    </w:p>
    <w:p w:rsidR="00B72047" w:rsidRDefault="00B72047">
      <w:pPr>
        <w:pStyle w:val="examplescaledpre"/>
      </w:pPr>
      <w:r>
        <w:rPr>
          <w:rStyle w:val="htmlcodes"/>
        </w:rPr>
        <w:t>&lt;a name=e4d3&gt;</w:t>
      </w:r>
      <w:r>
        <w:t>4.3)</w:t>
      </w:r>
      <w:r>
        <w:tab/>
        <w:t>ta melbi cmalu nixli bo ckule</w:t>
      </w:r>
    </w:p>
    <w:p w:rsidR="00B72047" w:rsidRDefault="00B72047">
      <w:pPr>
        <w:pStyle w:val="examplescaled"/>
      </w:pPr>
      <w:r>
        <w:tab/>
        <w:t>That is-a-(pretty type-of little) (girl type-of school).</w:t>
      </w:r>
    </w:p>
    <w:p w:rsidR="00B72047" w:rsidRDefault="00B72047">
      <w:pPr>
        <w:pStyle w:val="examplescaled"/>
      </w:pPr>
      <w:r>
        <w:tab/>
        <w:t>That is a girls' school which is beautifully small.</w:t>
      </w:r>
    </w:p>
    <w:p w:rsidR="00B72047" w:rsidRDefault="00B72047">
      <w:pPr>
        <w:pStyle w:val="examplescaledpre"/>
      </w:pPr>
      <w:r>
        <w:rPr>
          <w:rStyle w:val="htmlcodes"/>
        </w:rPr>
        <w:t>&lt;a name=e4d4&gt;</w:t>
      </w:r>
      <w:r>
        <w:t>4.4)</w:t>
      </w:r>
      <w:r>
        <w:tab/>
        <w:t>ta melbi cmalu bo nixli ckule</w:t>
      </w:r>
    </w:p>
    <w:p w:rsidR="00B72047" w:rsidRDefault="00B72047">
      <w:pPr>
        <w:pStyle w:val="examplescaled"/>
      </w:pPr>
      <w:r>
        <w:tab/>
        <w:t>That is-a-(pretty type-of (little type-of girl)) type-of school.</w:t>
      </w:r>
    </w:p>
    <w:p w:rsidR="00B72047" w:rsidRDefault="00B72047">
      <w:pPr>
        <w:pStyle w:val="examplescaled"/>
      </w:pPr>
      <w:r>
        <w:tab/>
        <w:t>That is a school for small girls who are beautiful.</w:t>
      </w:r>
    </w:p>
    <w:p w:rsidR="00B72047" w:rsidRDefault="00B72047">
      <w:pPr>
        <w:pStyle w:val="examplescaledpre"/>
      </w:pPr>
      <w:r>
        <w:rPr>
          <w:rStyle w:val="htmlcodes"/>
        </w:rPr>
        <w:t>&lt;a name=e4d5&gt;</w:t>
      </w:r>
      <w:r>
        <w:t>4.5)</w:t>
      </w:r>
      <w:r>
        <w:tab/>
        <w:t>ta melbi cmalu bo nixli bo ckule</w:t>
      </w:r>
    </w:p>
    <w:p w:rsidR="00B72047" w:rsidRDefault="00B72047">
      <w:pPr>
        <w:pStyle w:val="examplescaled"/>
      </w:pPr>
      <w:r>
        <w:tab/>
        <w:t>That is-a-pretty type-of (little type-of (girl type-of school)).</w:t>
      </w:r>
    </w:p>
    <w:p w:rsidR="00B72047" w:rsidRDefault="00B72047">
      <w:pPr>
        <w:pStyle w:val="examplescaled"/>
      </w:pPr>
      <w:r>
        <w:tab/>
        <w:t>That is a small school for girls which is beautiful.</w:t>
      </w:r>
    </w:p>
    <w:p w:rsidR="00B72047" w:rsidRDefault="00B72047">
      <w:pPr>
        <w:pStyle w:val="resumedafterexample"/>
      </w:pPr>
      <w:r>
        <w:rPr>
          <w:rStyle w:val="htmlcodes"/>
        </w:rPr>
        <w:t>&lt;/pre&gt;</w:t>
      </w:r>
      <w:r>
        <w:rPr>
          <w:rStyle w:val="indexentry"/>
        </w:rPr>
        <w:t>&lt;cx "right-grouping rule, definition of"&gt;</w:t>
      </w:r>
      <w:r>
        <w:rPr>
          <w:rStyle w:val="indexentry"/>
        </w:rPr>
        <w:fldChar w:fldCharType="begin"/>
      </w:r>
      <w:r>
        <w:instrText>xe "</w:instrText>
      </w:r>
      <w:r>
        <w:rPr>
          <w:rStyle w:val="xeentry"/>
        </w:rPr>
        <w:instrText>right-grouping rule: definition of</w:instrText>
      </w:r>
      <w:r>
        <w:instrText>"</w:instrText>
      </w:r>
      <w:r>
        <w:rPr>
          <w:rStyle w:val="indexentry"/>
        </w:rPr>
        <w:fldChar w:fldCharType="end"/>
      </w:r>
      <w:r>
        <w:rPr>
          <w:rStyle w:val="indexentry"/>
        </w:rPr>
        <w:t>&lt;cx "right-grouping in tanru, with bo"&gt;</w:t>
      </w:r>
      <w:r>
        <w:rPr>
          <w:rStyle w:val="indexentry"/>
        </w:rPr>
        <w:fldChar w:fldCharType="begin"/>
      </w:r>
      <w:r>
        <w:instrText>xe "</w:instrText>
      </w:r>
      <w:r>
        <w:rPr>
          <w:rStyle w:val="xeentry"/>
        </w:rPr>
        <w:instrText>right-grouping in tanru: with bo</w:instrText>
      </w:r>
      <w:r>
        <w:instrText>"</w:instrText>
      </w:r>
      <w:r>
        <w:rPr>
          <w:rStyle w:val="indexentry"/>
        </w:rPr>
        <w:fldChar w:fldCharType="end"/>
      </w:r>
      <w:r>
        <w:rPr>
          <w:rStyle w:val="indexentry"/>
        </w:rPr>
        <w:t>&lt;cx "tanru grouping, with bo"&gt;</w:t>
      </w:r>
      <w:r>
        <w:rPr>
          <w:rStyle w:val="indexentry"/>
        </w:rPr>
        <w:fldChar w:fldCharType="begin"/>
      </w:r>
      <w:r>
        <w:instrText>xe "</w:instrText>
      </w:r>
      <w:r>
        <w:rPr>
          <w:rStyle w:val="xeentry"/>
        </w:rPr>
        <w:instrText>tanru grouping: with bo</w:instrText>
      </w:r>
      <w:r>
        <w:instrText>"</w:instrText>
      </w:r>
      <w:r>
        <w:rPr>
          <w:rStyle w:val="indexentry"/>
        </w:rPr>
        <w:fldChar w:fldCharType="end"/>
      </w:r>
      <w:r>
        <w:rPr>
          <w:rStyle w:val="indexentry"/>
        </w:rPr>
        <w:t>&lt;cx "bo, for right-grouping in tanru"&gt;</w:t>
      </w:r>
      <w:r>
        <w:rPr>
          <w:rStyle w:val="indexentry"/>
        </w:rPr>
        <w:fldChar w:fldCharType="begin"/>
      </w:r>
      <w:r>
        <w:instrText>xe "</w:instrText>
      </w:r>
      <w:r>
        <w:rPr>
          <w:rStyle w:val="xeentry"/>
        </w:rPr>
        <w:instrText>bo: for right-grouping in tanru</w:instrText>
      </w:r>
      <w:r>
        <w:instrText>"</w:instrText>
      </w:r>
      <w:r>
        <w:rPr>
          <w:rStyle w:val="indexentry"/>
        </w:rPr>
        <w:fldChar w:fldCharType="end"/>
      </w:r>
      <w:r>
        <w:rPr>
          <w:rStyle w:val="htmlcodes"/>
        </w:rPr>
        <w:t>&lt;a href=#e4d5&gt;</w:t>
      </w:r>
      <w:r>
        <w:t xml:space="preserve">Example 4.5 </w:t>
      </w:r>
      <w:r>
        <w:rPr>
          <w:rStyle w:val="htmlcodes"/>
        </w:rPr>
        <w:t>&lt;/a&gt;</w:t>
      </w:r>
      <w:r>
        <w:t>uses a construction which has not been seen before: “cmalu</w:t>
      </w:r>
      <w:r>
        <w:rPr>
          <w:rStyle w:val="deletedparamark"/>
        </w:rPr>
        <w:t xml:space="preserve"> </w:t>
      </w:r>
      <w:r>
        <w:t>bo nixli bo ckule”, with two consecutive uses of “bo” between brivla.</w:t>
      </w:r>
      <w:r>
        <w:rPr>
          <w:rStyle w:val="deletedparamark"/>
        </w:rPr>
        <w:t xml:space="preserve"> </w:t>
      </w:r>
      <w:r>
        <w:t>The rule for multiple “bo” con</w:t>
      </w:r>
      <w:r>
        <w:softHyphen/>
        <w:t>structions is the opposite of the rule</w:t>
      </w:r>
      <w:r>
        <w:rPr>
          <w:rStyle w:val="deletedparamark"/>
        </w:rPr>
        <w:t xml:space="preserve"> </w:t>
      </w:r>
      <w:r>
        <w:t>when no “bo” is present at all: the last two are grouped together.</w:t>
      </w:r>
      <w:r>
        <w:rPr>
          <w:rStyle w:val="deletedparamark"/>
        </w:rPr>
        <w:t xml:space="preserve"> </w:t>
      </w:r>
      <w:r>
        <w:t>Not surprisingly, this is called the “right-grouping rule”, and it is</w:t>
      </w:r>
      <w:r>
        <w:rPr>
          <w:rStyle w:val="deletedparamark"/>
        </w:rPr>
        <w:t xml:space="preserve"> </w:t>
      </w:r>
      <w:r>
        <w:t>as</w:t>
      </w:r>
      <w:r>
        <w:softHyphen/>
        <w:t>so</w:t>
      </w:r>
      <w:r>
        <w:softHyphen/>
        <w:t>ciated with every use of “bo” in the language. Therefore,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name=e4d6&gt;</w:t>
      </w:r>
      <w:r>
        <w:t>4.6)</w:t>
      </w:r>
      <w:r>
        <w:tab/>
        <w:t>ta cmalu bo nixli bo ckule</w:t>
      </w:r>
    </w:p>
    <w:p w:rsidR="00B72047" w:rsidRDefault="00B72047">
      <w:pPr>
        <w:pStyle w:val="examplescaled"/>
      </w:pPr>
      <w:r>
        <w:tab/>
        <w:t>That is-a-little type-of (girl type-of school).</w:t>
      </w:r>
    </w:p>
    <w:p w:rsidR="00B72047" w:rsidRDefault="00B72047">
      <w:pPr>
        <w:pStyle w:val="resumedafterexample"/>
      </w:pPr>
      <w:r>
        <w:rPr>
          <w:rStyle w:val="htmlcodes"/>
        </w:rPr>
        <w:t>&lt;/pre&gt;</w:t>
      </w:r>
      <w:r>
        <w:t xml:space="preserve">means the same as </w:t>
      </w:r>
      <w:r>
        <w:rPr>
          <w:rStyle w:val="htmlcodes"/>
        </w:rPr>
        <w:t>&lt;a href=#e3d4&gt;</w:t>
      </w:r>
      <w:r>
        <w:t>Example 3.4</w:t>
      </w:r>
      <w:r>
        <w:rPr>
          <w:rStyle w:val="htmlcodes"/>
        </w:rPr>
        <w:t>&lt;/a&gt;</w:t>
      </w:r>
      <w:r>
        <w:t xml:space="preserve">, not </w:t>
      </w:r>
      <w:r>
        <w:rPr>
          <w:rStyle w:val="htmlcodes"/>
        </w:rPr>
        <w:t>&lt;a href=#e3d5&gt;</w:t>
      </w:r>
      <w:r>
        <w:t>Example 3.5</w:t>
      </w:r>
      <w:r>
        <w:rPr>
          <w:rStyle w:val="htmlcodes"/>
        </w:rPr>
        <w:t>&lt;/a&gt;</w:t>
      </w:r>
      <w:r>
        <w:t>. This rule may seem peculiar</w:t>
      </w:r>
      <w:r>
        <w:rPr>
          <w:rStyle w:val="deletedparamark"/>
        </w:rPr>
        <w:t xml:space="preserve"> </w:t>
      </w:r>
      <w:r>
        <w:t>at first, but one of its consequences is that “bo” is never necessary</w:t>
      </w:r>
      <w:r>
        <w:rPr>
          <w:rStyle w:val="deletedparamark"/>
        </w:rPr>
        <w:t xml:space="preserve"> </w:t>
      </w:r>
      <w:r>
        <w:t>between the first two ele</w:t>
      </w:r>
      <w:r>
        <w:softHyphen/>
        <w:t>ments of any of the com</w:t>
      </w:r>
      <w:r>
        <w:softHyphen/>
        <w:t>plex tanru presented so far:</w:t>
      </w:r>
      <w:r>
        <w:rPr>
          <w:rStyle w:val="deletedparamark"/>
        </w:rPr>
        <w:t xml:space="preserve"> </w:t>
      </w:r>
      <w:r>
        <w:t xml:space="preserve">all of </w:t>
      </w:r>
      <w:r>
        <w:rPr>
          <w:rStyle w:val="htmlcodes"/>
        </w:rPr>
        <w:t>&lt;a href=#e4d{2}&gt;</w:t>
      </w:r>
      <w:r>
        <w:t xml:space="preserve">Examples 4.2 </w:t>
      </w:r>
      <w:r>
        <w:rPr>
          <w:rStyle w:val="htmlcodes"/>
        </w:rPr>
        <w:t>&lt;/a&gt;</w:t>
      </w:r>
      <w:r>
        <w:t xml:space="preserve">through </w:t>
      </w:r>
      <w:r>
        <w:rPr>
          <w:rStyle w:val="htmlcodes"/>
        </w:rPr>
        <w:t>&lt;a href=#e4d5&gt;</w:t>
      </w:r>
      <w:r>
        <w:t xml:space="preserve">4.5 </w:t>
      </w:r>
      <w:r>
        <w:rPr>
          <w:rStyle w:val="htmlcodes"/>
        </w:rPr>
        <w:t>&lt;/a&gt;</w:t>
      </w:r>
      <w:r>
        <w:t>could have “bo” inserted between “melbi” and</w:t>
      </w:r>
      <w:r>
        <w:rPr>
          <w:rStyle w:val="deletedparamark"/>
        </w:rPr>
        <w:t xml:space="preserve"> “</w:t>
      </w:r>
      <w:r>
        <w:t>cmalu” with no change in meaning.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202" w:name="_Toc395691521"/>
      <w:bookmarkStart w:id="203" w:name="_Toc398970492"/>
      <w:r>
        <w:rPr>
          <w:rStyle w:val="Heading3Text"/>
        </w:rPr>
        <w:t>Complex tanru with “ke” and “ke'e”</w:t>
      </w:r>
      <w:bookmarkEnd w:id="202"/>
      <w:bookmarkEnd w:id="20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ke</w:t>
      </w:r>
      <w:r>
        <w:tab/>
        <w:t>KE</w:t>
      </w:r>
      <w:r>
        <w:tab/>
        <w:t>start grouping</w:t>
      </w:r>
    </w:p>
    <w:p w:rsidR="00B72047" w:rsidRDefault="00B72047">
      <w:pPr>
        <w:pStyle w:val="examplescaled"/>
      </w:pPr>
      <w:r>
        <w:tab/>
        <w:t>ke'e</w:t>
      </w:r>
      <w:r>
        <w:tab/>
        <w:t>KEhE</w:t>
      </w:r>
      <w:r>
        <w:tab/>
        <w:t>end grouping</w:t>
      </w:r>
    </w:p>
    <w:p w:rsidR="00B72047" w:rsidRDefault="00B72047">
      <w:pPr>
        <w:pStyle w:val="resumedafterexample"/>
      </w:pPr>
      <w:r>
        <w:rPr>
          <w:rStyle w:val="htmlcodes"/>
        </w:rPr>
        <w:t>&lt;/pre&gt;</w:t>
      </w:r>
      <w:r>
        <w:rPr>
          <w:rStyle w:val="indexentry"/>
        </w:rPr>
        <w:t>&lt;cx "grouping parentheses"&gt;</w:t>
      </w:r>
      <w:r>
        <w:rPr>
          <w:rStyle w:val="indexentry"/>
        </w:rPr>
        <w:fldChar w:fldCharType="begin"/>
      </w:r>
      <w:r>
        <w:instrText>xe "</w:instrText>
      </w:r>
      <w:r>
        <w:rPr>
          <w:rStyle w:val="xeentry"/>
        </w:rPr>
        <w:instrText>grouping parentheses</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"ke'e"&gt;</w:t>
      </w:r>
      <w:r>
        <w:rPr>
          <w:rStyle w:val="indexentry"/>
        </w:rPr>
        <w:fldChar w:fldCharType="begin"/>
      </w:r>
      <w:r>
        <w:instrText>xe "</w:instrText>
      </w:r>
      <w:r>
        <w:rPr>
          <w:rStyle w:val="xeentry"/>
        </w:rPr>
        <w:instrText>ke'e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&lt;lx "KEhE"&gt;</w:t>
      </w:r>
      <w:r>
        <w:rPr>
          <w:rStyle w:val="indexentry"/>
        </w:rPr>
        <w:fldChar w:fldCharType="begin"/>
      </w:r>
      <w:r>
        <w:instrText>xe "</w:instrText>
      </w:r>
      <w:r>
        <w:rPr>
          <w:rStyle w:val="xeentry"/>
        </w:rPr>
        <w:instrText>KEhE selma’o</w:instrText>
      </w:r>
      <w:r>
        <w:instrText>"</w:instrText>
      </w:r>
      <w:r>
        <w:rPr>
          <w:rStyle w:val="indexentry"/>
        </w:rPr>
        <w:fldChar w:fldCharType="end"/>
      </w:r>
      <w:r>
        <w:rPr>
          <w:rStyle w:val="indexentry"/>
        </w:rPr>
        <w:t>&lt;cx "tanru grouping, with ke"&gt;</w:t>
      </w:r>
      <w:r>
        <w:rPr>
          <w:rStyle w:val="indexentry"/>
        </w:rPr>
        <w:fldChar w:fldCharType="begin"/>
      </w:r>
      <w:r>
        <w:instrText>xe "</w:instrText>
      </w:r>
      <w:r>
        <w:rPr>
          <w:rStyle w:val="xeentry"/>
        </w:rPr>
        <w:instrText>tanru grouping: with ke</w:instrText>
      </w:r>
      <w:r>
        <w:instrText>"</w:instrText>
      </w:r>
      <w:r>
        <w:rPr>
          <w:rStyle w:val="indexentry"/>
        </w:rPr>
        <w:fldChar w:fldCharType="end"/>
      </w:r>
      <w:r>
        <w:t>There is, in fact, a fifth grouping of “pretty little girls' school” that</w:t>
      </w:r>
      <w:r>
        <w:rPr>
          <w:rStyle w:val="deletedparamark"/>
        </w:rPr>
        <w:t xml:space="preserve"> </w:t>
      </w:r>
      <w:r>
        <w:t>can</w:t>
      </w:r>
      <w:r>
        <w:softHyphen/>
        <w:t>not be expressed with the resources explained so far. To handle it,</w:t>
      </w:r>
      <w:r>
        <w:rPr>
          <w:rStyle w:val="deletedparamark"/>
        </w:rPr>
        <w:t xml:space="preserve"> </w:t>
      </w:r>
      <w:r>
        <w:t>we must introduce the grouping pa</w:t>
      </w:r>
      <w:r>
        <w:softHyphen/>
        <w:t>ren</w:t>
      </w:r>
      <w:r>
        <w:softHyphen/>
        <w:t>theses cmavo, “ke” and “ke'e” (belonging</w:t>
      </w:r>
      <w:r>
        <w:rPr>
          <w:rStyle w:val="deletedparamark"/>
        </w:rPr>
        <w:t xml:space="preserve"> </w:t>
      </w:r>
      <w:r>
        <w:t>to selma'o KE and KEhE respectively). Any portion of a selbri sandwiched</w:t>
      </w:r>
      <w:r>
        <w:rPr>
          <w:rStyle w:val="deletedparamark"/>
        </w:rPr>
        <w:t xml:space="preserve"> </w:t>
      </w:r>
      <w:r>
        <w:t>between these two cmavo is taken to be a single tanru component, independently</w:t>
      </w:r>
      <w:r>
        <w:rPr>
          <w:rStyle w:val="deletedparamark"/>
        </w:rPr>
        <w:t xml:space="preserve"> </w:t>
      </w:r>
      <w:r>
        <w:t xml:space="preserve">of what is adjacent to it. Thus, </w:t>
      </w:r>
      <w:r>
        <w:rPr>
          <w:rStyle w:val="htmlcodes"/>
        </w:rPr>
        <w:t>&lt;a href=#e4d2&gt;</w:t>
      </w:r>
      <w:r>
        <w:t>Ex</w:t>
      </w:r>
      <w:r>
        <w:softHyphen/>
        <w:t xml:space="preserve">ample 4.2 </w:t>
      </w:r>
      <w:r>
        <w:rPr>
          <w:rStyle w:val="htmlcodes"/>
        </w:rPr>
        <w:t>&lt;/a&gt;</w:t>
      </w:r>
      <w:r>
        <w:t>can be rewritten in any</w:t>
      </w:r>
      <w:r>
        <w:rPr>
          <w:rStyle w:val="deletedparamark"/>
        </w:rPr>
        <w:t xml:space="preserve"> </w:t>
      </w:r>
      <w:r>
        <w:t>of the following ways:</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&lt;pre&gt;&lt;a name=e5d1&gt;</w:t>
      </w:r>
      <w:r>
        <w:t>5.1)</w:t>
      </w:r>
      <w:r>
        <w:tab/>
        <w:t>ta ke melbi cmalu ke'e nixli ckule</w:t>
      </w:r>
    </w:p>
    <w:p w:rsidR="00B72047" w:rsidRDefault="00B72047">
      <w:pPr>
        <w:pStyle w:val="examplescaled"/>
      </w:pPr>
      <w:r>
        <w:tab/>
        <w:t>That is-a-( pretty little ) girl school.</w:t>
      </w:r>
    </w:p>
    <w:p w:rsidR="00B72047" w:rsidRDefault="00B72047">
      <w:pPr>
        <w:pStyle w:val="examplescaledpre"/>
      </w:pPr>
      <w:r>
        <w:rPr>
          <w:rStyle w:val="htmlcodes"/>
        </w:rPr>
        <w:t>&lt;a name=e5d2&gt;</w:t>
      </w:r>
      <w:r>
        <w:t>5.2)</w:t>
      </w:r>
      <w:r>
        <w:tab/>
        <w:t>ta ke ke melbi cmalu ke'e nixli ke'e ckule</w:t>
      </w:r>
    </w:p>
    <w:p w:rsidR="00B72047" w:rsidRDefault="00B72047">
      <w:pPr>
        <w:pStyle w:val="examplescaled"/>
      </w:pPr>
      <w:r>
        <w:tab/>
        <w:t>That is-a-( ( pretty little ) girl ) school.</w:t>
      </w:r>
    </w:p>
    <w:p w:rsidR="00B72047" w:rsidRDefault="00B72047">
      <w:pPr>
        <w:pStyle w:val="examplescaledpre"/>
      </w:pPr>
      <w:r>
        <w:rPr>
          <w:rStyle w:val="htmlcodes"/>
        </w:rPr>
        <w:t>&lt;a name=e5d3&gt;</w:t>
      </w:r>
      <w:r>
        <w:t>5.3)</w:t>
      </w:r>
      <w:r>
        <w:tab/>
        <w:t>ta ke ke ke melbi cmalu ke'e nixli ke'e ckule ke'e</w:t>
      </w:r>
    </w:p>
    <w:p w:rsidR="00B72047" w:rsidRDefault="00B72047">
      <w:pPr>
        <w:pStyle w:val="examplescaled"/>
      </w:pPr>
      <w:r>
        <w:tab/>
        <w:t>That is-a-( ( ( pretty little ) girl ) school ).</w:t>
      </w:r>
    </w:p>
    <w:p w:rsidR="00B72047" w:rsidRDefault="00B72047">
      <w:pPr>
        <w:pStyle w:val="resumedafterexample"/>
      </w:pPr>
      <w:r>
        <w:rPr>
          <w:rStyle w:val="htmlcodes"/>
        </w:rPr>
        <w:t>&lt;/pre&gt;&lt;p&gt;</w:t>
      </w:r>
      <w:r>
        <w:t>Even more versions could be created simply by placing any number of “ke”</w:t>
      </w:r>
      <w:r>
        <w:rPr>
          <w:rStyle w:val="deletedparamark"/>
        </w:rPr>
        <w:t xml:space="preserve"> </w:t>
      </w:r>
      <w:r>
        <w:t>cmavo at the beginning of the selbri, and a like number of “ke'e” cmavo at</w:t>
      </w:r>
      <w:r>
        <w:rPr>
          <w:rStyle w:val="deletedparamark"/>
        </w:rPr>
        <w:t xml:space="preserve"> </w:t>
      </w:r>
      <w:r>
        <w:t>its end. Obviously, all of these are a waste of breath once the</w:t>
      </w:r>
      <w:r>
        <w:rPr>
          <w:rStyle w:val="deletedparamark"/>
        </w:rPr>
        <w:t xml:space="preserve"> </w:t>
      </w:r>
      <w:r>
        <w:t>left-grouping rule has been grasped. However, the following is</w:t>
      </w:r>
      <w:r>
        <w:rPr>
          <w:rStyle w:val="deletedparamark"/>
        </w:rPr>
        <w:t xml:space="preserve"> </w:t>
      </w:r>
      <w:r>
        <w:t xml:space="preserve">equivalent to </w:t>
      </w:r>
      <w:r>
        <w:rPr>
          <w:rStyle w:val="htmlcodes"/>
        </w:rPr>
        <w:t>&lt;a href=#e4d4&gt;</w:t>
      </w:r>
      <w:r>
        <w:t xml:space="preserve">Example 4.4 </w:t>
      </w:r>
      <w:r>
        <w:rPr>
          <w:rStyle w:val="htmlcodes"/>
        </w:rPr>
        <w:t>&lt;/a&gt;</w:t>
      </w:r>
      <w:r>
        <w:t>and may be easier to understand: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ta melbi ke cmalu nixli ke'e ckule</w:t>
      </w:r>
    </w:p>
    <w:p w:rsidR="00B72047" w:rsidRDefault="00B72047">
      <w:pPr>
        <w:pStyle w:val="examplescaled"/>
      </w:pPr>
      <w:r>
        <w:tab/>
        <w:t>That is-a-(pretty type-of (little type-of girl) ) type-of school.</w:t>
      </w:r>
    </w:p>
    <w:p w:rsidR="00B72047" w:rsidRDefault="00B72047">
      <w:pPr>
        <w:pStyle w:val="resumedafterexample"/>
      </w:pPr>
      <w:r>
        <w:rPr>
          <w:rStyle w:val="htmlcodes"/>
        </w:rPr>
        <w:t>&lt;/pre&gt;&lt;p&gt;</w:t>
      </w:r>
      <w:r>
        <w:t xml:space="preserve">Likewise, a “ke” and “ke'e” version of </w:t>
      </w:r>
      <w:r>
        <w:rPr>
          <w:rStyle w:val="htmlcodes"/>
        </w:rPr>
        <w:t>&lt;a href=#e4d3&gt;</w:t>
      </w:r>
      <w:r>
        <w:t xml:space="preserve">Example 4.3 </w:t>
      </w:r>
      <w:r>
        <w:rPr>
          <w:rStyle w:val="htmlcodes"/>
        </w:rPr>
        <w:t>&lt;/a&gt;</w:t>
      </w:r>
      <w:r>
        <w:t>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ta melbi cmalu ke nixli ckule [ke'e]</w:t>
      </w:r>
    </w:p>
    <w:p w:rsidR="00B72047" w:rsidRDefault="00B72047">
      <w:pPr>
        <w:pStyle w:val="examplescaled"/>
      </w:pPr>
      <w:r>
        <w:tab/>
        <w:t>That is-a-(pretty type-of little) (girl type-of school).</w:t>
      </w:r>
    </w:p>
    <w:p w:rsidR="00B72047" w:rsidRDefault="00B72047">
      <w:pPr>
        <w:pStyle w:val="resumedafterexample"/>
      </w:pPr>
      <w:r>
        <w:rPr>
          <w:rStyle w:val="htmlcodes"/>
        </w:rPr>
        <w:t>&lt;/pre&gt;&lt;p&gt;</w:t>
      </w:r>
      <w:r>
        <w:t>The final “ke'e” is given in square brackets here to indicate that it can be</w:t>
      </w:r>
      <w:r>
        <w:rPr>
          <w:rStyle w:val="deletedparamark"/>
        </w:rPr>
        <w:t xml:space="preserve"> </w:t>
      </w:r>
      <w:r>
        <w:t>elided. It is a</w:t>
      </w:r>
      <w:r>
        <w:t>l</w:t>
      </w:r>
      <w:r>
        <w:softHyphen/>
        <w:t>ways possible to elide “ke'e” at the end of the selbri,</w:t>
      </w:r>
      <w:r>
        <w:rPr>
          <w:rStyle w:val="deletedparamark"/>
        </w:rPr>
        <w:t xml:space="preserve"> </w:t>
      </w:r>
      <w:r>
        <w:t xml:space="preserve">making </w:t>
      </w:r>
      <w:r>
        <w:rPr>
          <w:rStyle w:val="htmlcodes"/>
        </w:rPr>
        <w:t>&lt;a href=#e5d5&gt;</w:t>
      </w:r>
      <w:r>
        <w:t xml:space="preserve">Example 5.5 </w:t>
      </w:r>
      <w:r>
        <w:rPr>
          <w:rStyle w:val="htmlcodes"/>
        </w:rPr>
        <w:t>&lt;/a&gt;</w:t>
      </w:r>
      <w:r>
        <w:t xml:space="preserve">as terse as </w:t>
      </w:r>
      <w:r>
        <w:rPr>
          <w:rStyle w:val="htmlcodes"/>
        </w:rPr>
        <w:t>&lt;a href=#e4d3&gt;</w:t>
      </w:r>
      <w:r>
        <w:t>E</w:t>
      </w:r>
      <w:r>
        <w:t>x</w:t>
      </w:r>
      <w:r>
        <w:softHyphen/>
        <w:t>ample 4.3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Now how about that fifth grouping? It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ta melbi ke cmalu nixli ckule [ke'e]</w:t>
      </w:r>
    </w:p>
    <w:p w:rsidR="00B72047" w:rsidRDefault="00B72047">
      <w:pPr>
        <w:pStyle w:val="examplescaled"/>
      </w:pPr>
      <w:r>
        <w:tab/>
        <w:t>That is-a-pretty type-of ( (little type-of girl) type-of school )</w:t>
      </w:r>
    </w:p>
    <w:p w:rsidR="00B72047" w:rsidRDefault="00B72047">
      <w:pPr>
        <w:pStyle w:val="examplescaled"/>
      </w:pPr>
      <w:r>
        <w:tab/>
        <w:t>That is a beautiful school for small girls.</w:t>
      </w:r>
    </w:p>
    <w:p w:rsidR="00B72047" w:rsidRDefault="00B72047">
      <w:pPr>
        <w:pStyle w:val="resumedafterexample"/>
      </w:pPr>
      <w:r>
        <w:rPr>
          <w:rStyle w:val="htmlcodes"/>
        </w:rPr>
        <w:t>&lt;/pre&gt;&lt;a href=#e5d6&gt;</w:t>
      </w:r>
      <w:r>
        <w:t xml:space="preserve">Example 5.6 </w:t>
      </w:r>
      <w:r>
        <w:rPr>
          <w:rStyle w:val="htmlcodes"/>
        </w:rPr>
        <w:t>&lt;/a&gt;</w:t>
      </w:r>
      <w:r>
        <w:t>is distinctly different in meaning from any of Examples 4.2</w:t>
      </w:r>
      <w:r>
        <w:rPr>
          <w:rStyle w:val="deletedparamark"/>
        </w:rPr>
        <w:t xml:space="preserve"> </w:t>
      </w:r>
      <w:r>
        <w:t>through 4.5. Note that within the “ke </w:t>
      </w:r>
      <w:r>
        <w:rPr>
          <w:rStyle w:val="htmlcodes"/>
        </w:rPr>
        <w:t>&lt;dots&gt;</w:t>
      </w:r>
      <w:r>
        <w:t>…</w:t>
      </w:r>
      <w:r>
        <w:rPr>
          <w:rStyle w:val="htmlcodes"/>
        </w:rPr>
        <w:t>&lt;/dots&gt;</w:t>
      </w:r>
      <w:r>
        <w:t>ke'e” parentheses, the left-grouping</w:t>
      </w:r>
      <w:r>
        <w:rPr>
          <w:rStyle w:val="deletedparamark"/>
        </w:rPr>
        <w:t xml:space="preserve"> </w:t>
      </w:r>
      <w:r>
        <w:t>rule is applied to “cmalu nixli ckule”.</w:t>
      </w:r>
    </w:p>
    <w:p w:rsidR="00B72047" w:rsidRDefault="00B72047">
      <w:pPr>
        <w:rPr>
          <w:rStyle w:val="htmlparacode"/>
        </w:rPr>
      </w:pPr>
      <w:r>
        <w:rPr>
          <w:rStyle w:val="htmlparacode"/>
        </w:rPr>
        <w:t>&lt;p&gt;</w:t>
      </w:r>
    </w:p>
    <w:p w:rsidR="00B72047" w:rsidRDefault="00B72047">
      <w:pPr>
        <w:pStyle w:val="normalparagraph"/>
      </w:pPr>
      <w:r>
        <w:rPr>
          <w:rStyle w:val="indexentry"/>
        </w:rPr>
        <w:t>&lt;cx "tanru grouping, with ke and bo"&gt;</w:t>
      </w:r>
      <w:r>
        <w:rPr>
          <w:rStyle w:val="indexentry"/>
        </w:rPr>
        <w:fldChar w:fldCharType="begin"/>
      </w:r>
      <w:r>
        <w:instrText>xe "</w:instrText>
      </w:r>
      <w:r>
        <w:rPr>
          <w:rStyle w:val="xeentry"/>
        </w:rPr>
        <w:instrText>tanru grouping: with ke and bo</w:instrText>
      </w:r>
      <w:r>
        <w:instrText>"</w:instrText>
      </w:r>
      <w:r>
        <w:rPr>
          <w:rStyle w:val="indexentry"/>
        </w:rPr>
        <w:fldChar w:fldCharType="end"/>
      </w:r>
      <w:r>
        <w:t>It is perfectly all right to mix “bo” and “ke </w:t>
      </w:r>
      <w:r>
        <w:rPr>
          <w:rStyle w:val="htmlcodes"/>
        </w:rPr>
        <w:t>&lt;dots&gt;</w:t>
      </w:r>
      <w:r>
        <w:t>…</w:t>
      </w:r>
      <w:r>
        <w:rPr>
          <w:rStyle w:val="htmlcodes"/>
        </w:rPr>
        <w:t>&lt;/dots&gt;</w:t>
      </w:r>
      <w:r>
        <w:t>ke'e” in a single selbri.</w:t>
      </w:r>
      <w:r>
        <w:rPr>
          <w:rStyle w:val="deletedparamark"/>
        </w:rPr>
        <w:t xml:space="preserve"> </w:t>
      </w:r>
      <w:r>
        <w:t>For in</w:t>
      </w:r>
      <w:r>
        <w:softHyphen/>
        <w:t xml:space="preserve">stance, </w:t>
      </w:r>
      <w:r>
        <w:rPr>
          <w:rStyle w:val="htmlcodes"/>
        </w:rPr>
        <w:t>&lt;a href=#e4d5&gt;</w:t>
      </w:r>
      <w:r>
        <w:t>Example 4.5</w:t>
      </w:r>
      <w:r>
        <w:rPr>
          <w:rStyle w:val="htmlcodes"/>
        </w:rPr>
        <w:t>&lt;/a&gt;</w:t>
      </w:r>
      <w:r>
        <w:t>, which in pure “ke </w:t>
      </w:r>
      <w:r>
        <w:rPr>
          <w:rStyle w:val="htmlcodes"/>
        </w:rPr>
        <w:t>&lt;dots&gt;</w:t>
      </w:r>
      <w:r>
        <w:t>…</w:t>
      </w:r>
      <w:r>
        <w:rPr>
          <w:rStyle w:val="htmlcodes"/>
        </w:rPr>
        <w:t>&lt;/dots&gt;</w:t>
      </w:r>
      <w:r>
        <w:t>ke'e” form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ta melbi ke cmalu ke nixli ckule [ke'e] [ke'e]</w:t>
      </w:r>
    </w:p>
    <w:p w:rsidR="00B72047" w:rsidRDefault="00B72047">
      <w:pPr>
        <w:pStyle w:val="examplescaled"/>
      </w:pPr>
      <w:r>
        <w:tab/>
        <w:t>That is-a-pretty type-of ( little type-of (girl type-of school) ).</w:t>
      </w:r>
    </w:p>
    <w:p w:rsidR="00B72047" w:rsidRDefault="00B72047">
      <w:pPr>
        <w:pStyle w:val="resumedafterexample"/>
        <w:spacing w:before="0"/>
      </w:pPr>
      <w:r>
        <w:rPr>
          <w:rStyle w:val="htmlcodes"/>
          <w:vanish w:val="0"/>
        </w:rPr>
        <w:br w:type="page"/>
      </w:r>
      <w:r>
        <w:rPr>
          <w:rStyle w:val="htmlcodes"/>
        </w:rPr>
        <w:t>&lt;/pre&gt;</w:t>
      </w:r>
      <w:r>
        <w:t>can equivalently be expressed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ta melbi ke cmalu nixli bo ckule [ke'e]</w:t>
      </w:r>
    </w:p>
    <w:p w:rsidR="00B72047" w:rsidRDefault="00B72047">
      <w:pPr>
        <w:pStyle w:val="examplescaled"/>
      </w:pPr>
      <w:r>
        <w:tab/>
        <w:t>That is-a-pretty type-of ( little type-of (girl type-of school) ).</w:t>
      </w:r>
    </w:p>
    <w:p w:rsidR="00B72047" w:rsidRDefault="00B72047">
      <w:pPr>
        <w:pStyle w:val="resumedafterexample"/>
      </w:pPr>
      <w:r>
        <w:rPr>
          <w:rStyle w:val="htmlcodes"/>
        </w:rPr>
        <w:t>&lt;/pre&gt;</w:t>
      </w:r>
      <w:r>
        <w:t>and in many other different forms as well.</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204" w:name="_Toc395691522"/>
      <w:bookmarkStart w:id="205" w:name="_Toc398970493"/>
      <w:r>
        <w:rPr>
          <w:rStyle w:val="Heading3Text"/>
        </w:rPr>
        <w:t>Logical connection within tanru</w:t>
      </w:r>
      <w:bookmarkEnd w:id="204"/>
      <w:bookmarkEnd w:id="205"/>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je</w:t>
      </w:r>
      <w:r>
        <w:tab/>
        <w:t>JA</w:t>
      </w:r>
      <w:r>
        <w:tab/>
        <w:t>tanru logical “and”</w:t>
      </w:r>
    </w:p>
    <w:p w:rsidR="00B72047" w:rsidRDefault="00B72047">
      <w:pPr>
        <w:pStyle w:val="examplescaled"/>
      </w:pPr>
      <w:r>
        <w:tab/>
        <w:t>ja</w:t>
      </w:r>
      <w:r>
        <w:tab/>
        <w:t>JA</w:t>
      </w:r>
      <w:r>
        <w:tab/>
        <w:t>tanru logical “or”</w:t>
      </w:r>
    </w:p>
    <w:p w:rsidR="00B72047" w:rsidRDefault="00B72047">
      <w:pPr>
        <w:pStyle w:val="examplescaled"/>
      </w:pPr>
      <w:r>
        <w:tab/>
        <w:t>joi</w:t>
      </w:r>
      <w:r>
        <w:tab/>
        <w:t>JOI</w:t>
      </w:r>
      <w:r>
        <w:tab/>
        <w:t>mixed mass “and”</w:t>
      </w:r>
    </w:p>
    <w:p w:rsidR="00B72047" w:rsidRDefault="00B72047">
      <w:pPr>
        <w:pStyle w:val="examplescaled"/>
      </w:pPr>
      <w:r>
        <w:tab/>
        <w:t>gu'e</w:t>
      </w:r>
      <w:r>
        <w:tab/>
        <w:t>GUhA</w:t>
      </w:r>
      <w:r>
        <w:tab/>
        <w:t>tanru forethought logical “and”</w:t>
      </w:r>
    </w:p>
    <w:p w:rsidR="00B72047" w:rsidRDefault="00B72047">
      <w:pPr>
        <w:pStyle w:val="examplescaled"/>
      </w:pPr>
      <w:r>
        <w:tab/>
        <w:t>gi</w:t>
      </w:r>
      <w:r>
        <w:tab/>
        <w:t>GI</w:t>
      </w:r>
      <w:r>
        <w:tab/>
        <w:t>forethought connection separator</w:t>
      </w:r>
    </w:p>
    <w:p w:rsidR="00B72047" w:rsidRDefault="00B72047">
      <w:pPr>
        <w:pStyle w:val="normalafterexample"/>
      </w:pPr>
      <w:r>
        <w:rPr>
          <w:rStyle w:val="htmlcodes"/>
        </w:rPr>
        <w:t>&lt;/pre&gt;</w:t>
      </w:r>
      <w:r>
        <w:rPr>
          <w:rStyle w:val="indexentry"/>
        </w:rPr>
        <w:t>&lt;ex "big red dog"&gt;</w:t>
      </w:r>
      <w:r>
        <w:rPr>
          <w:rStyle w:val="indexentry"/>
        </w:rPr>
        <w:fldChar w:fldCharType="begin"/>
      </w:r>
      <w:r>
        <w:instrText>xe "</w:instrText>
      </w:r>
      <w:r>
        <w:rPr>
          <w:rStyle w:val="xeentry"/>
        </w:rPr>
        <w:instrText>big red dog: example</w:instrText>
      </w:r>
      <w:r>
        <w:instrText>"</w:instrText>
      </w:r>
      <w:r>
        <w:rPr>
          <w:rStyle w:val="indexentry"/>
        </w:rPr>
        <w:fldChar w:fldCharType="end"/>
      </w:r>
      <w:r>
        <w:t>Consider the English phrase “big red dog”. How shall this be rendered</w:t>
      </w:r>
      <w:r>
        <w:rPr>
          <w:rStyle w:val="deletedparamark"/>
        </w:rPr>
        <w:t xml:space="preserve"> </w:t>
      </w:r>
      <w:r>
        <w:t>as a Lojban tanru? The naive attempt: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barda xunre gerku</w:t>
      </w:r>
    </w:p>
    <w:p w:rsidR="00B72047" w:rsidRDefault="00B72047">
      <w:pPr>
        <w:pStyle w:val="examplescaled"/>
      </w:pPr>
      <w:r>
        <w:tab/>
        <w:t>(big type-of red) type-of dog</w:t>
      </w:r>
    </w:p>
    <w:p w:rsidR="00B72047" w:rsidRDefault="00B72047">
      <w:pPr>
        <w:pStyle w:val="resumedafterexample"/>
      </w:pPr>
      <w:r>
        <w:rPr>
          <w:rStyle w:val="htmlcodes"/>
        </w:rPr>
        <w:t>&lt;/pre&gt;</w:t>
      </w:r>
      <w:r>
        <w:t>will not do, as it means a dog whose redness is big, in whatever way</w:t>
      </w:r>
      <w:r>
        <w:rPr>
          <w:rStyle w:val="deletedparamark"/>
        </w:rPr>
        <w:t xml:space="preserve"> </w:t>
      </w:r>
      <w:r>
        <w:t>redness might be described as “big”. Nor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barda xunre bo gerku</w:t>
      </w:r>
    </w:p>
    <w:p w:rsidR="00B72047" w:rsidRDefault="00B72047">
      <w:pPr>
        <w:pStyle w:val="examplescaled"/>
      </w:pPr>
      <w:r>
        <w:tab/>
        <w:t>big type-of (red type-of dog)</w:t>
      </w:r>
    </w:p>
    <w:p w:rsidR="00B72047" w:rsidRDefault="00B72047">
      <w:pPr>
        <w:pStyle w:val="resumedafterexample"/>
      </w:pPr>
      <w:r>
        <w:rPr>
          <w:rStyle w:val="htmlcodes"/>
        </w:rPr>
        <w:t>&lt;/pre&gt;</w:t>
      </w:r>
      <w:r>
        <w:rPr>
          <w:rStyle w:val="indexentry"/>
        </w:rPr>
        <w:t>&lt;cx "adjective ordering"&gt;</w:t>
      </w:r>
      <w:r>
        <w:rPr>
          <w:rStyle w:val="indexentry"/>
        </w:rPr>
        <w:fldChar w:fldCharType="begin"/>
      </w:r>
      <w:r>
        <w:instrText>xe "</w:instrText>
      </w:r>
      <w:r>
        <w:rPr>
          <w:rStyle w:val="xeentry"/>
        </w:rPr>
        <w:instrText>adjective ordering</w:instrText>
      </w:r>
      <w:r>
        <w:instrText>"</w:instrText>
      </w:r>
      <w:r>
        <w:rPr>
          <w:rStyle w:val="indexentry"/>
        </w:rPr>
        <w:fldChar w:fldCharType="end"/>
      </w:r>
      <w:r>
        <w:t>much better. After all, the straightforward understanding of the Eng</w:t>
      </w:r>
      <w:r>
        <w:softHyphen/>
        <w:t>lish</w:t>
      </w:r>
      <w:r>
        <w:rPr>
          <w:rStyle w:val="deletedparamark"/>
        </w:rPr>
        <w:t xml:space="preserve"> </w:t>
      </w:r>
      <w:r>
        <w:t>phrase is that the dog is big as compared with other dogs, not merely</w:t>
      </w:r>
      <w:r>
        <w:rPr>
          <w:rStyle w:val="deletedparamark"/>
        </w:rPr>
        <w:t xml:space="preserve"> </w:t>
      </w:r>
      <w:r>
        <w:t>as compared with other red dogs. In fact, the bigness and redness are</w:t>
      </w:r>
      <w:r>
        <w:rPr>
          <w:rStyle w:val="deletedparamark"/>
        </w:rPr>
        <w:t xml:space="preserve"> </w:t>
      </w:r>
      <w:r>
        <w:t>independent properties of the dog, and only obscure rules of English</w:t>
      </w:r>
      <w:r>
        <w:rPr>
          <w:rStyle w:val="deletedparamark"/>
        </w:rPr>
        <w:t xml:space="preserve"> </w:t>
      </w:r>
      <w:r>
        <w:t>adjective ordering prevent us from saying “red big dog”.</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in tanru"&gt;</w:t>
      </w:r>
      <w:r>
        <w:rPr>
          <w:rStyle w:val="indexentry"/>
        </w:rPr>
        <w:fldChar w:fldCharType="begin"/>
      </w:r>
      <w:r>
        <w:instrText>xe "</w:instrText>
      </w:r>
      <w:r>
        <w:rPr>
          <w:rStyle w:val="xeentry"/>
        </w:rPr>
        <w:instrText>logical connectives: in tanru</w:instrText>
      </w:r>
      <w:r>
        <w:instrText>"</w:instrText>
      </w:r>
      <w:r>
        <w:rPr>
          <w:rStyle w:val="indexentry"/>
        </w:rPr>
        <w:fldChar w:fldCharType="end"/>
      </w:r>
      <w:r>
        <w:rPr>
          <w:rStyle w:val="indexentry"/>
        </w:rPr>
        <w:t>&lt;lx "je"&gt;</w:t>
      </w:r>
      <w:r>
        <w:rPr>
          <w:rStyle w:val="indexentry"/>
        </w:rPr>
        <w:fldChar w:fldCharType="begin"/>
      </w:r>
      <w:r>
        <w:instrText>xe "</w:instrText>
      </w:r>
      <w:r>
        <w:rPr>
          <w:rStyle w:val="xeentry"/>
        </w:rPr>
        <w:instrText>je</w:instrText>
      </w:r>
      <w:r>
        <w:instrText>"</w:instrText>
      </w:r>
      <w:r>
        <w:rPr>
          <w:rStyle w:val="indexentry"/>
        </w:rPr>
        <w:fldChar w:fldCharType="end"/>
      </w:r>
      <w:r>
        <w:t>The Lojban approach to this problem is to introduce the cmavo “je”, which</w:t>
      </w:r>
      <w:r>
        <w:rPr>
          <w:rStyle w:val="deletedparamark"/>
        </w:rPr>
        <w:t xml:space="preserve"> </w:t>
      </w:r>
      <w:r>
        <w:t>is one of the many equivalents of English “and”. A big red dog is one</w:t>
      </w:r>
      <w:r>
        <w:rPr>
          <w:rStyle w:val="deletedparamark"/>
        </w:rPr>
        <w:t xml:space="preserve"> </w:t>
      </w:r>
      <w:r>
        <w:t>that is both big and red, and we can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barda je xunre gerku</w:t>
      </w:r>
    </w:p>
    <w:p w:rsidR="00B72047" w:rsidRDefault="00B72047">
      <w:pPr>
        <w:pStyle w:val="examplescaled"/>
      </w:pPr>
      <w:r>
        <w:tab/>
        <w:t>(big and red) type-of dog</w:t>
      </w:r>
    </w:p>
    <w:p w:rsidR="00B72047" w:rsidRDefault="00B72047">
      <w:pPr>
        <w:pStyle w:val="resumedafterexample"/>
      </w:pPr>
      <w:r>
        <w:rPr>
          <w:rStyle w:val="htmlcodes"/>
        </w:rPr>
        <w:t>&lt;/pre&gt;&lt;p&gt;</w:t>
      </w:r>
      <w:r>
        <w:t>Of course,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xunre je barda gerku</w:t>
      </w:r>
    </w:p>
    <w:p w:rsidR="00B72047" w:rsidRDefault="00B72047">
      <w:pPr>
        <w:pStyle w:val="examplescaled"/>
      </w:pPr>
      <w:r>
        <w:tab/>
        <w:t>(red and big) type-of dog</w:t>
      </w:r>
    </w:p>
    <w:p w:rsidR="00B72047" w:rsidRDefault="00B72047">
      <w:pPr>
        <w:pStyle w:val="resumedafterexample"/>
      </w:pPr>
      <w:r>
        <w:rPr>
          <w:rStyle w:val="htmlcodes"/>
        </w:rPr>
        <w:t>&lt;/pre&gt;</w:t>
      </w:r>
      <w:r>
        <w:rPr>
          <w:rStyle w:val="indexentry"/>
        </w:rPr>
        <w:t>&lt;cx "logical connectives in tanru, effect on tanru grouping"&gt;</w:t>
      </w:r>
      <w:r>
        <w:rPr>
          <w:rStyle w:val="indexentry"/>
        </w:rPr>
        <w:fldChar w:fldCharType="begin"/>
      </w:r>
      <w:r>
        <w:instrText>xe "</w:instrText>
      </w:r>
      <w:r>
        <w:rPr>
          <w:rStyle w:val="xeentry"/>
        </w:rPr>
        <w:instrText>logical connectives in tanru: effect on tanru grouping</w:instrText>
      </w:r>
      <w:r>
        <w:instrText>"</w:instrText>
      </w:r>
      <w:r>
        <w:rPr>
          <w:rStyle w:val="indexentry"/>
        </w:rPr>
        <w:fldChar w:fldCharType="end"/>
      </w:r>
      <w:r>
        <w:t>is equally satisfactory and means the same thing. As these examples</w:t>
      </w:r>
      <w:r>
        <w:rPr>
          <w:rStyle w:val="deletedparamark"/>
        </w:rPr>
        <w:t xml:space="preserve"> </w:t>
      </w:r>
      <w:r>
        <w:t>indicate, joining two brivla with “je” makes them a unit for tanru</w:t>
      </w:r>
      <w:r>
        <w:rPr>
          <w:rStyle w:val="deletedparamark"/>
        </w:rPr>
        <w:t xml:space="preserve"> </w:t>
      </w:r>
      <w:r>
        <w:t>pur</w:t>
      </w:r>
      <w:r>
        <w:softHyphen/>
        <w:t>poses. However, explicit grouping with “bo” or “ke </w:t>
      </w:r>
      <w:r>
        <w:rPr>
          <w:rStyle w:val="htmlcodes"/>
        </w:rPr>
        <w:t>&lt;dots&gt;</w:t>
      </w:r>
      <w:r>
        <w:t>…</w:t>
      </w:r>
      <w:r>
        <w:rPr>
          <w:rStyle w:val="htmlcodes"/>
        </w:rPr>
        <w:t>&lt;/dots&gt;</w:t>
      </w:r>
      <w:r>
        <w:t>ke'e” associates</w:t>
      </w:r>
      <w:r>
        <w:rPr>
          <w:rStyle w:val="deletedparamark"/>
        </w:rPr>
        <w:t xml:space="preserve"> </w:t>
      </w:r>
      <w:r>
        <w:t>brivla more closely than “je” does: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barda je pelxu bo xunre gerku</w:t>
      </w:r>
    </w:p>
    <w:p w:rsidR="00B72047" w:rsidRDefault="00B72047">
      <w:pPr>
        <w:pStyle w:val="examplescaled"/>
      </w:pPr>
      <w:r>
        <w:tab/>
        <w:t>barda je ke pelxu xunre ke'e gerku</w:t>
      </w:r>
    </w:p>
    <w:p w:rsidR="00B72047" w:rsidRDefault="00B72047">
      <w:pPr>
        <w:pStyle w:val="examplescaled"/>
      </w:pPr>
      <w:r>
        <w:tab/>
        <w:t>(big and (yellow type-of red)) dog</w:t>
      </w:r>
    </w:p>
    <w:p w:rsidR="00B72047" w:rsidRDefault="00B72047">
      <w:pPr>
        <w:pStyle w:val="examplescaled"/>
      </w:pPr>
      <w:r>
        <w:tab/>
        <w:t>big yellowish-red dog</w:t>
      </w:r>
    </w:p>
    <w:p w:rsidR="00B72047" w:rsidRDefault="00B72047">
      <w:pPr>
        <w:pStyle w:val="resumedafterexample"/>
        <w:spacing w:before="0"/>
      </w:pPr>
      <w:r>
        <w:rPr>
          <w:rStyle w:val="htmlcodes"/>
          <w:vanish w:val="0"/>
        </w:rPr>
        <w:br w:type="page"/>
      </w:r>
      <w:r>
        <w:rPr>
          <w:rStyle w:val="htmlcodes"/>
        </w:rPr>
        <w:t>&lt;/pre&gt;&lt;p&gt;</w:t>
      </w:r>
      <w:r>
        <w:t>With no grouping indicators, 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barda je pelxu xunre gerku</w:t>
      </w:r>
    </w:p>
    <w:p w:rsidR="00B72047" w:rsidRDefault="00B72047">
      <w:pPr>
        <w:pStyle w:val="examplescaled"/>
      </w:pPr>
      <w:r>
        <w:tab/>
        <w:t>((big and yellow) type-of red) type-of dog</w:t>
      </w:r>
    </w:p>
    <w:p w:rsidR="00B72047" w:rsidRDefault="00B72047">
      <w:pPr>
        <w:pStyle w:val="examplescaled"/>
      </w:pPr>
      <w:r>
        <w:tab/>
        <w:t>biggish- and yellowish-red dog</w:t>
      </w:r>
    </w:p>
    <w:p w:rsidR="00B72047" w:rsidRDefault="00B72047">
      <w:pPr>
        <w:pStyle w:val="resumedafterexample"/>
      </w:pPr>
      <w:r>
        <w:rPr>
          <w:rStyle w:val="htmlcodes"/>
        </w:rPr>
        <w:t>&lt;/pre&gt;</w:t>
      </w:r>
      <w:r>
        <w:t xml:space="preserve">which again raises the question of </w:t>
      </w:r>
      <w:r>
        <w:rPr>
          <w:rStyle w:val="htmlcodes"/>
        </w:rPr>
        <w:t>&lt;a href=#e6d1&gt;</w:t>
      </w:r>
      <w:r>
        <w:t>Example 6.1</w:t>
      </w:r>
      <w:r>
        <w:rPr>
          <w:rStyle w:val="htmlcodes"/>
        </w:rPr>
        <w:t>&lt;/a&gt;</w:t>
      </w:r>
      <w:r>
        <w:t>: what is does “biggish-red”</w:t>
      </w:r>
      <w:r>
        <w:rPr>
          <w:rStyle w:val="deletedparamark"/>
        </w:rPr>
        <w:t xml:space="preserve"> </w:t>
      </w:r>
      <w:r>
        <w:t>mean?</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in tanru, usefulness of"&gt;</w:t>
      </w:r>
      <w:r>
        <w:rPr>
          <w:rStyle w:val="indexentry"/>
        </w:rPr>
        <w:fldChar w:fldCharType="begin"/>
      </w:r>
      <w:r>
        <w:instrText>xe "</w:instrText>
      </w:r>
      <w:r>
        <w:rPr>
          <w:rStyle w:val="xeentry"/>
        </w:rPr>
        <w:instrText>logical connectives in tanru: usefulness of</w:instrText>
      </w:r>
      <w:r>
        <w:instrText>"</w:instrText>
      </w:r>
      <w:r>
        <w:rPr>
          <w:rStyle w:val="indexentry"/>
        </w:rPr>
        <w:fldChar w:fldCharType="end"/>
      </w:r>
      <w:r>
        <w:t>Unlike “bo” and “ke </w:t>
      </w:r>
      <w:r>
        <w:rPr>
          <w:rStyle w:val="htmlcodes"/>
        </w:rPr>
        <w:t>&lt;dots&gt;</w:t>
      </w:r>
      <w:r>
        <w:t>…</w:t>
      </w:r>
      <w:r>
        <w:rPr>
          <w:rStyle w:val="htmlcodes"/>
        </w:rPr>
        <w:t>&lt;/dots&gt;</w:t>
      </w:r>
      <w:r>
        <w:t>ke'e”, “je” is useful as well as merely legal within</w:t>
      </w:r>
      <w:r>
        <w:rPr>
          <w:rStyle w:val="deletedparamark"/>
        </w:rPr>
        <w:t xml:space="preserve"> </w:t>
      </w:r>
      <w:r>
        <w:t>sim</w:t>
      </w:r>
      <w:r>
        <w:softHyphen/>
        <w:t>ple tanru. It may be used to partly resolve the ambigu</w:t>
      </w:r>
      <w:r>
        <w:softHyphen/>
        <w:t>ity of simple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name=e6d7&gt;</w:t>
      </w:r>
      <w:r>
        <w:t>6.7)</w:t>
      </w:r>
      <w:r>
        <w:tab/>
        <w:t>ta blanu je zdani</w:t>
      </w:r>
    </w:p>
    <w:p w:rsidR="00B72047" w:rsidRDefault="00B72047">
      <w:pPr>
        <w:pStyle w:val="examplescaled"/>
      </w:pPr>
      <w:r>
        <w:tab/>
        <w:t>that is-blue and is-a-house</w:t>
      </w:r>
    </w:p>
    <w:p w:rsidR="00B72047" w:rsidRDefault="00B72047">
      <w:pPr>
        <w:pStyle w:val="resumedafterexample"/>
      </w:pPr>
      <w:r>
        <w:rPr>
          <w:rStyle w:val="htmlcodes"/>
        </w:rPr>
        <w:t>&lt;/pre&gt;</w:t>
      </w:r>
      <w:r>
        <w:t>definitely refers to something which is both blue and is a house, and not to</w:t>
      </w:r>
      <w:r>
        <w:rPr>
          <w:rStyle w:val="deletedparamark"/>
        </w:rPr>
        <w:t xml:space="preserve"> </w:t>
      </w:r>
      <w:r>
        <w:t>any of the other possible interpretations of simple “blanu zdani”. Furthermore,</w:t>
      </w:r>
      <w:r>
        <w:rPr>
          <w:rStyle w:val="deletedparamark"/>
        </w:rPr>
        <w:t xml:space="preserve"> “</w:t>
      </w:r>
      <w:r>
        <w:t>blanu zdani” re</w:t>
      </w:r>
      <w:r>
        <w:softHyphen/>
        <w:t>fers to something which is blue in the way that houses are</w:t>
      </w:r>
      <w:r>
        <w:rPr>
          <w:rStyle w:val="deletedparamark"/>
        </w:rPr>
        <w:t xml:space="preserve"> </w:t>
      </w:r>
      <w:r>
        <w:t>blue; “blanu je zdani” has no such implica</w:t>
      </w:r>
      <w:r>
        <w:softHyphen/>
        <w:t>tion — the blueness of a “blanu</w:t>
      </w:r>
      <w:r>
        <w:rPr>
          <w:rStyle w:val="deletedparamark"/>
        </w:rPr>
        <w:t xml:space="preserve"> </w:t>
      </w:r>
      <w:r>
        <w:t>je zdani” is independent of its house</w:t>
      </w:r>
      <w:r>
        <w:softHyphen/>
        <w:t>ness.</w:t>
      </w:r>
    </w:p>
    <w:p w:rsidR="00B72047" w:rsidRDefault="00B72047">
      <w:pPr>
        <w:rPr>
          <w:rStyle w:val="htmlparacode"/>
        </w:rPr>
      </w:pPr>
      <w:r>
        <w:rPr>
          <w:rStyle w:val="htmlparacode"/>
        </w:rPr>
        <w:t>&lt;p&gt;</w:t>
      </w:r>
    </w:p>
    <w:p w:rsidR="00B72047" w:rsidRDefault="00B72047">
      <w:pPr>
        <w:pStyle w:val="normalparagraph"/>
      </w:pPr>
      <w:r>
        <w:t>With the addition of “je”, many more versions of “pretty little girls'</w:t>
      </w:r>
      <w:r>
        <w:rPr>
          <w:rStyle w:val="deletedparamark"/>
        </w:rPr>
        <w:t xml:space="preserve"> </w:t>
      </w:r>
      <w:r>
        <w:t xml:space="preserve">school” are made possible: see </w:t>
      </w:r>
      <w:r>
        <w:rPr>
          <w:rStyle w:val="htmlcodes"/>
        </w:rPr>
        <w:t>&lt;a href=#s16&gt;</w:t>
      </w:r>
      <w:r>
        <w:t xml:space="preserve">Section 16 </w:t>
      </w:r>
      <w:r>
        <w:rPr>
          <w:rStyle w:val="htmlcodes"/>
        </w:rPr>
        <w:t>&lt;/a&gt;</w:t>
      </w:r>
      <w:r>
        <w:t>for a complete list.</w:t>
      </w:r>
    </w:p>
    <w:p w:rsidR="00B72047" w:rsidRDefault="00B72047">
      <w:pPr>
        <w:rPr>
          <w:rStyle w:val="htmlparacode"/>
        </w:rPr>
      </w:pPr>
      <w:r>
        <w:rPr>
          <w:rStyle w:val="htmlparacode"/>
        </w:rPr>
        <w:t>&lt;p&gt;</w:t>
      </w:r>
    </w:p>
    <w:p w:rsidR="00B72047" w:rsidRDefault="00B72047">
      <w:pPr>
        <w:pStyle w:val="normalparagraph"/>
      </w:pPr>
      <w:r>
        <w:t xml:space="preserve">A subtle point in the semantics of tanru like </w:t>
      </w:r>
      <w:r>
        <w:rPr>
          <w:rStyle w:val="htmlcodes"/>
        </w:rPr>
        <w:t>&lt;a href=#e6d3&gt;</w:t>
      </w:r>
      <w:r>
        <w:t xml:space="preserve">Example 6.3 </w:t>
      </w:r>
      <w:r>
        <w:rPr>
          <w:rStyle w:val="htmlcodes"/>
        </w:rPr>
        <w:t>&lt;/a&gt;</w:t>
      </w:r>
      <w:r>
        <w:t>needs special</w:t>
      </w:r>
      <w:r>
        <w:rPr>
          <w:rStyle w:val="deletedparamark"/>
        </w:rPr>
        <w:t xml:space="preserve"> </w:t>
      </w:r>
      <w:r>
        <w:t>eluci</w:t>
      </w:r>
      <w:r>
        <w:softHyphen/>
        <w:t>dation. There are at least two possible interpreta</w:t>
      </w:r>
      <w:r>
        <w:softHyphen/>
        <w:t>tions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ta melbi je nixli ckule</w:t>
      </w:r>
    </w:p>
    <w:p w:rsidR="00B72047" w:rsidRDefault="00B72047">
      <w:pPr>
        <w:pStyle w:val="examplescaled"/>
      </w:pPr>
      <w:r>
        <w:tab/>
        <w:t>That is-a-(beautiful and girl) type-of school.</w:t>
      </w:r>
    </w:p>
    <w:p w:rsidR="00B72047" w:rsidRDefault="00B72047">
      <w:pPr>
        <w:pStyle w:val="resumedafterexample"/>
      </w:pPr>
      <w:r>
        <w:rPr>
          <w:rStyle w:val="htmlcodes"/>
        </w:rPr>
        <w:t>&lt;/pre&gt;&lt;p&gt;</w:t>
      </w:r>
      <w:r>
        <w:t>It can be understood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name=e6d9&gt;</w:t>
      </w:r>
      <w:r>
        <w:t>6.9)</w:t>
      </w:r>
      <w:r>
        <w:tab/>
        <w:t>That is a girls' school and a beautiful school.</w:t>
      </w:r>
    </w:p>
    <w:p w:rsidR="00B72047" w:rsidRDefault="00B72047">
      <w:pPr>
        <w:pStyle w:val="resumedafterexample"/>
      </w:pPr>
      <w:r>
        <w:rPr>
          <w:rStyle w:val="htmlcodes"/>
        </w:rPr>
        <w:t>&lt;/pre&gt;</w:t>
      </w:r>
      <w:r>
        <w:t>or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name=e6d10&gt;</w:t>
      </w:r>
      <w:r>
        <w:t>6.10)</w:t>
      </w:r>
      <w:r>
        <w:tab/>
        <w:t>That is a school for things which are both girls and beautiful.</w:t>
      </w:r>
    </w:p>
    <w:p w:rsidR="00B72047" w:rsidRDefault="00B72047">
      <w:pPr>
        <w:pStyle w:val="resumedafterexample"/>
      </w:pPr>
      <w:r>
        <w:rPr>
          <w:rStyle w:val="htmlcodes"/>
        </w:rPr>
        <w:t>&lt;/pre&gt;</w:t>
      </w:r>
      <w:r>
        <w:rPr>
          <w:rStyle w:val="indexentry"/>
        </w:rPr>
        <w:t>&lt;cx "logical connectives in tanru, ambiguity of"&gt;</w:t>
      </w:r>
      <w:r>
        <w:rPr>
          <w:rStyle w:val="indexentry"/>
        </w:rPr>
        <w:fldChar w:fldCharType="begin"/>
      </w:r>
      <w:r>
        <w:instrText>xe "</w:instrText>
      </w:r>
      <w:r>
        <w:rPr>
          <w:rStyle w:val="xeentry"/>
        </w:rPr>
        <w:instrText>logical connectives in tanru: ambiguity of</w:instrText>
      </w:r>
      <w:r>
        <w:instrText>"</w:instrText>
      </w:r>
      <w:r>
        <w:rPr>
          <w:rStyle w:val="indexentry"/>
        </w:rPr>
        <w:fldChar w:fldCharType="end"/>
      </w:r>
      <w:r>
        <w:t xml:space="preserve">The interpretation specified by </w:t>
      </w:r>
      <w:r>
        <w:rPr>
          <w:rStyle w:val="htmlcodes"/>
        </w:rPr>
        <w:t>&lt;a href=#e6d9&gt;</w:t>
      </w:r>
      <w:r>
        <w:t xml:space="preserve">Example 6.9 </w:t>
      </w:r>
      <w:r>
        <w:rPr>
          <w:rStyle w:val="htmlcodes"/>
        </w:rPr>
        <w:t>&lt;/a&gt;</w:t>
      </w:r>
      <w:r>
        <w:t>treats the tanru as a sort</w:t>
      </w:r>
      <w:r>
        <w:rPr>
          <w:rStyle w:val="deletedparamark"/>
        </w:rPr>
        <w:t xml:space="preserve"> </w:t>
      </w:r>
      <w:r>
        <w:t>of abbreviation for: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name=e6d11&gt;</w:t>
      </w:r>
      <w:r>
        <w:t>6.11)</w:t>
      </w:r>
      <w:r>
        <w:tab/>
        <w:t>ta ke melbi ckule ke'e je ke nixli ckule [ke'e]</w:t>
      </w:r>
    </w:p>
    <w:p w:rsidR="00B72047" w:rsidRDefault="00B72047">
      <w:pPr>
        <w:pStyle w:val="examplescaled"/>
      </w:pPr>
      <w:r>
        <w:tab/>
        <w:t>That is-a-( beautiful type-of school ) and (girl type-of school)</w:t>
      </w:r>
    </w:p>
    <w:p w:rsidR="00B72047" w:rsidRDefault="00B72047">
      <w:pPr>
        <w:pStyle w:val="resumedafterexample"/>
      </w:pPr>
      <w:r>
        <w:rPr>
          <w:rStyle w:val="htmlcodes"/>
        </w:rPr>
        <w:t>&lt;/pre&gt;</w:t>
      </w:r>
      <w:r>
        <w:t xml:space="preserve">whereas the interpretation specified by </w:t>
      </w:r>
      <w:r>
        <w:rPr>
          <w:rStyle w:val="htmlcodes"/>
        </w:rPr>
        <w:t>&lt;a href=#e6d10&gt;</w:t>
      </w:r>
      <w:r>
        <w:t xml:space="preserve">Example 6.10 </w:t>
      </w:r>
      <w:r>
        <w:rPr>
          <w:rStyle w:val="htmlcodes"/>
        </w:rPr>
        <w:t>&lt;/a&gt;</w:t>
      </w:r>
      <w:r>
        <w:t>does not. This is</w:t>
      </w:r>
      <w:r>
        <w:rPr>
          <w:rStyle w:val="deletedparamark"/>
        </w:rPr>
        <w:t xml:space="preserve"> </w:t>
      </w:r>
      <w:r>
        <w:t>a kind of seman</w:t>
      </w:r>
      <w:r>
        <w:softHyphen/>
        <w:t>tic ambiguity for which Lojban does not compel a firm</w:t>
      </w:r>
      <w:r>
        <w:rPr>
          <w:rStyle w:val="deletedparamark"/>
        </w:rPr>
        <w:t xml:space="preserve"> </w:t>
      </w:r>
      <w:r>
        <w:t>resolution. The way in which the school is said to be of type “beautiful</w:t>
      </w:r>
      <w:r>
        <w:rPr>
          <w:rStyle w:val="deletedparamark"/>
        </w:rPr>
        <w:t xml:space="preserve"> </w:t>
      </w:r>
      <w:r>
        <w:t>and girl” may entail that it is separately a beautiful school and a girls'</w:t>
      </w:r>
      <w:r>
        <w:rPr>
          <w:rStyle w:val="deletedparamark"/>
        </w:rPr>
        <w:t xml:space="preserve"> </w:t>
      </w:r>
      <w:r>
        <w:t>school; but the alternative interpretation, that the mem</w:t>
      </w:r>
      <w:r>
        <w:softHyphen/>
        <w:t>bers of the</w:t>
      </w:r>
      <w:r>
        <w:rPr>
          <w:rStyle w:val="deletedparamark"/>
        </w:rPr>
        <w:t xml:space="preserve"> </w:t>
      </w:r>
      <w:r>
        <w:t>school are beautiful and girls, is also possible. Still another</w:t>
      </w:r>
      <w:r>
        <w:rPr>
          <w:rStyle w:val="deletedparamark"/>
        </w:rPr>
        <w:t xml:space="preserve"> </w:t>
      </w:r>
      <w:r>
        <w:t>interpretation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name=e6d12&gt;</w:t>
      </w:r>
      <w:r>
        <w:t>6.12)</w:t>
      </w:r>
      <w:r>
        <w:tab/>
        <w:t>That is a school for beautiful things and also for girls.</w:t>
      </w:r>
    </w:p>
    <w:p w:rsidR="00B72047" w:rsidRDefault="00B72047">
      <w:pPr>
        <w:pStyle w:val="resumedafterexample"/>
      </w:pPr>
      <w:r>
        <w:rPr>
          <w:rStyle w:val="htmlcodes"/>
        </w:rPr>
        <w:t>&lt;/pre&gt;</w:t>
      </w:r>
      <w:r>
        <w:t>so while the logical connectives help to resolve the meaning of tanru,</w:t>
      </w:r>
      <w:r>
        <w:rPr>
          <w:rStyle w:val="deletedparamark"/>
        </w:rPr>
        <w:t xml:space="preserve"> </w:t>
      </w:r>
      <w:r>
        <w:t>they by no means compel a single meaning in and of themselves.</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in tanru, effect on formal logical manipulations"&gt;</w:t>
      </w:r>
      <w:r>
        <w:rPr>
          <w:rStyle w:val="indexentry"/>
        </w:rPr>
        <w:fldChar w:fldCharType="begin"/>
      </w:r>
      <w:r>
        <w:instrText>xe "</w:instrText>
      </w:r>
      <w:r>
        <w:rPr>
          <w:rStyle w:val="xeentry"/>
        </w:rPr>
        <w:instrText>logical connectives in tanru: effect on formal logical manipulations</w:instrText>
      </w:r>
      <w:r>
        <w:instrText>"</w:instrText>
      </w:r>
      <w:r>
        <w:rPr>
          <w:rStyle w:val="indexentry"/>
        </w:rPr>
        <w:fldChar w:fldCharType="end"/>
      </w:r>
      <w:r>
        <w:t>In general, logical connectives within tanru cannot undergo the formal</w:t>
      </w:r>
      <w:r>
        <w:rPr>
          <w:rStyle w:val="deletedparamark"/>
        </w:rPr>
        <w:t xml:space="preserve"> </w:t>
      </w:r>
      <w:r>
        <w:t>ma</w:t>
      </w:r>
      <w:r>
        <w:softHyphen/>
        <w:t>nipulations that are possible with the related logical connectives</w:t>
      </w:r>
      <w:r>
        <w:rPr>
          <w:rStyle w:val="deletedparamark"/>
        </w:rPr>
        <w:t xml:space="preserve"> </w:t>
      </w:r>
      <w:r>
        <w:t xml:space="preserve">that exist outside tanru; see </w:t>
      </w:r>
      <w:r>
        <w:rPr>
          <w:rStyle w:val="htmlcodes"/>
        </w:rPr>
        <w:t>&lt;a href=chap14.html&gt;</w:t>
      </w:r>
      <w:r>
        <w:t xml:space="preserve">Chapter 14 </w:t>
      </w:r>
      <w:r>
        <w:rPr>
          <w:rStyle w:val="htmlcodes"/>
        </w:rPr>
        <w:t>&lt;/a&gt;</w:t>
      </w:r>
      <w:r>
        <w:t>for further de</w:t>
      </w:r>
      <w:r>
        <w:softHyphen/>
        <w:t>tails.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t>The logical connective “je” is only one of the fourteen logical connectives</w:t>
      </w:r>
      <w:r>
        <w:rPr>
          <w:rStyle w:val="deletedparamark"/>
        </w:rPr>
        <w:t xml:space="preserve"> </w:t>
      </w:r>
      <w:r>
        <w:t>that L</w:t>
      </w:r>
      <w:r>
        <w:t>o</w:t>
      </w:r>
      <w:r>
        <w:t>j</w:t>
      </w:r>
      <w:r>
        <w:softHyphen/>
        <w:t>ban provides. Here are a few examples of some of the others:</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&lt;pre&gt;&lt;a name=e6d13&gt;</w:t>
      </w:r>
      <w:r>
        <w:t>6.13)</w:t>
      </w:r>
      <w:r>
        <w:tab/>
        <w:t>le bajra cu jinga ja te jinga</w:t>
      </w:r>
    </w:p>
    <w:p w:rsidR="00B72047" w:rsidRDefault="00B72047">
      <w:pPr>
        <w:pStyle w:val="examplescaled"/>
      </w:pPr>
      <w:r>
        <w:tab/>
        <w:t>The runner(s) is/are winner(s) or loser(s).</w:t>
      </w:r>
    </w:p>
    <w:p w:rsidR="00B72047" w:rsidRDefault="00B72047">
      <w:pPr>
        <w:pStyle w:val="examplescaledpre"/>
      </w:pPr>
      <w:r>
        <w:rPr>
          <w:rStyle w:val="htmlcodes"/>
        </w:rPr>
        <w:t>&lt;a name=e6d14&gt;</w:t>
      </w:r>
      <w:r>
        <w:t>6.14)</w:t>
      </w:r>
      <w:r>
        <w:tab/>
        <w:t>blanu naja lenku skapi</w:t>
      </w:r>
    </w:p>
    <w:p w:rsidR="00B72047" w:rsidRDefault="00B72047">
      <w:pPr>
        <w:pStyle w:val="examplescaled"/>
      </w:pPr>
      <w:r>
        <w:tab/>
        <w:t>(blue only-if cold) skin</w:t>
      </w:r>
    </w:p>
    <w:p w:rsidR="00B72047" w:rsidRDefault="00B72047">
      <w:pPr>
        <w:pStyle w:val="examplescaled"/>
      </w:pPr>
      <w:r>
        <w:tab/>
        <w:t>skin which is blue only if it is cold</w:t>
      </w:r>
    </w:p>
    <w:p w:rsidR="00B72047" w:rsidRDefault="00B72047">
      <w:pPr>
        <w:pStyle w:val="examplescaledpre"/>
      </w:pPr>
      <w:r>
        <w:rPr>
          <w:rStyle w:val="htmlcodes"/>
        </w:rPr>
        <w:t>&lt;a name=e6d15&gt;</w:t>
      </w:r>
      <w:r>
        <w:t>6.15)</w:t>
      </w:r>
      <w:r>
        <w:tab/>
        <w:t>xamgu jo cortu nuntavla</w:t>
      </w:r>
    </w:p>
    <w:p w:rsidR="00B72047" w:rsidRDefault="00B72047">
      <w:pPr>
        <w:pStyle w:val="examplescaled"/>
      </w:pPr>
      <w:r>
        <w:tab/>
        <w:t>(good if-and-only-if short) speech</w:t>
      </w:r>
    </w:p>
    <w:p w:rsidR="00B72047" w:rsidRDefault="00B72047">
      <w:pPr>
        <w:pStyle w:val="examplescaled"/>
      </w:pPr>
      <w:r>
        <w:tab/>
        <w:t>speech which is good if (and only if) it is short</w:t>
      </w:r>
    </w:p>
    <w:p w:rsidR="00B72047" w:rsidRDefault="00B72047">
      <w:pPr>
        <w:pStyle w:val="examplescaledpre"/>
      </w:pPr>
      <w:r>
        <w:rPr>
          <w:rStyle w:val="htmlcodes"/>
        </w:rPr>
        <w:t>&lt;a name=e6d16&gt;</w:t>
      </w:r>
      <w:r>
        <w:t>6.16)</w:t>
      </w:r>
      <w:r>
        <w:tab/>
        <w:t>vajni ju selpluka nuntavla</w:t>
      </w:r>
    </w:p>
    <w:p w:rsidR="00B72047" w:rsidRDefault="00B72047">
      <w:pPr>
        <w:pStyle w:val="examplescaled"/>
      </w:pPr>
      <w:r>
        <w:tab/>
        <w:t>(important whether-or-not pleasing) event-of-talking</w:t>
      </w:r>
    </w:p>
    <w:p w:rsidR="00B72047" w:rsidRDefault="00B72047">
      <w:pPr>
        <w:pStyle w:val="examplescaled"/>
      </w:pPr>
      <w:r>
        <w:tab/>
        <w:t>speech which is important, whether or not it is pleasing</w:t>
      </w:r>
    </w:p>
    <w:p w:rsidR="00B72047" w:rsidRDefault="00B72047">
      <w:pPr>
        <w:pStyle w:val="resumedafterexample"/>
      </w:pPr>
      <w:r>
        <w:rPr>
          <w:rStyle w:val="htmlcodes"/>
        </w:rPr>
        <w:t>&lt;/pre&gt;&lt;p&gt;</w:t>
      </w:r>
      <w:r>
        <w:t xml:space="preserve">In </w:t>
      </w:r>
      <w:r>
        <w:rPr>
          <w:rStyle w:val="htmlcodes"/>
        </w:rPr>
        <w:t>&lt;a href=#e6d13&gt;</w:t>
      </w:r>
      <w:r>
        <w:t>Example 6.13</w:t>
      </w:r>
      <w:r>
        <w:rPr>
          <w:rStyle w:val="htmlcodes"/>
        </w:rPr>
        <w:t>&lt;/a&gt;</w:t>
      </w:r>
      <w:r>
        <w:t>, “ja” is grammatically equivalent to “je” but means “or”</w:t>
      </w:r>
      <w:r>
        <w:rPr>
          <w:rStyle w:val="deletedparamark"/>
        </w:rPr>
        <w:t xml:space="preserve"> </w:t>
      </w:r>
      <w:r>
        <w:t>(more pre</w:t>
      </w:r>
      <w:r>
        <w:softHyphen/>
        <w:t xml:space="preserve">cisely, “and/or”). Likewise, “naja” means “only if” in </w:t>
      </w:r>
      <w:r>
        <w:rPr>
          <w:rStyle w:val="htmlcodes"/>
        </w:rPr>
        <w:t>&lt;a href=#e6d14&gt;</w:t>
      </w:r>
      <w:r>
        <w:t>Ex</w:t>
      </w:r>
      <w:r>
        <w:softHyphen/>
        <w:t>ample 6.14</w:t>
      </w:r>
      <w:r>
        <w:rPr>
          <w:rStyle w:val="htmlcodes"/>
        </w:rPr>
        <w:t>&lt;/a&gt;</w:t>
      </w:r>
      <w:r>
        <w:t>,</w:t>
      </w:r>
      <w:r>
        <w:rPr>
          <w:rStyle w:val="deletedparamark"/>
        </w:rPr>
        <w:t xml:space="preserve"> “</w:t>
      </w:r>
      <w:r>
        <w:t xml:space="preserve">jo” means “if and only if” in </w:t>
      </w:r>
      <w:r>
        <w:rPr>
          <w:rStyle w:val="htmlcodes"/>
        </w:rPr>
        <w:t>&lt;a href=#e6d15&gt;</w:t>
      </w:r>
      <w:r>
        <w:t>Example 6.15</w:t>
      </w:r>
      <w:r>
        <w:rPr>
          <w:rStyle w:val="htmlcodes"/>
        </w:rPr>
        <w:t>&lt;/a&gt;</w:t>
      </w:r>
      <w:r>
        <w:t>, and “ju” means “whether or</w:t>
      </w:r>
      <w:r>
        <w:rPr>
          <w:rStyle w:val="deletedparamark"/>
        </w:rPr>
        <w:t xml:space="preserve"> </w:t>
      </w:r>
      <w:r>
        <w:t xml:space="preserve">not” in </w:t>
      </w:r>
      <w:r>
        <w:rPr>
          <w:rStyle w:val="htmlcodes"/>
        </w:rPr>
        <w:t>&lt;a href=#e6d16&gt;</w:t>
      </w:r>
      <w:r>
        <w:t>Example 6.16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"multiple logical connectives, within tanru"&gt;</w:t>
      </w:r>
      <w:r>
        <w:rPr>
          <w:rStyle w:val="indexentry"/>
        </w:rPr>
        <w:fldChar w:fldCharType="begin"/>
      </w:r>
      <w:r>
        <w:instrText>xe "</w:instrText>
      </w:r>
      <w:r>
        <w:rPr>
          <w:rStyle w:val="xeentry"/>
        </w:rPr>
        <w:instrText>multiple logical connectives: within tanru</w:instrText>
      </w:r>
      <w:r>
        <w:instrText>"</w:instrText>
      </w:r>
      <w:r>
        <w:rPr>
          <w:rStyle w:val="indexentry"/>
        </w:rPr>
        <w:fldChar w:fldCharType="end"/>
      </w:r>
      <w:r>
        <w:t>Now consider the following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name=e6d17&gt;</w:t>
      </w:r>
      <w:r>
        <w:t>6.17)</w:t>
      </w:r>
      <w:r>
        <w:tab/>
        <w:t>ricfu je blanu jabo crino</w:t>
      </w:r>
    </w:p>
    <w:p w:rsidR="00B72047" w:rsidRDefault="00B72047">
      <w:pPr>
        <w:pStyle w:val="examplescaled"/>
      </w:pPr>
      <w:r>
        <w:tab/>
        <w:t>rich and (blue or green)</w:t>
      </w:r>
    </w:p>
    <w:p w:rsidR="00B72047" w:rsidRDefault="00B72047">
      <w:pPr>
        <w:pStyle w:val="resumedafterexample"/>
      </w:pPr>
      <w:r>
        <w:rPr>
          <w:rStyle w:val="htmlcodes"/>
        </w:rPr>
        <w:t>&lt;/pre&gt;</w:t>
      </w:r>
      <w:r>
        <w:rPr>
          <w:rStyle w:val="indexentry"/>
        </w:rPr>
        <w:t>&lt;lx "jabo"&gt;</w:t>
      </w:r>
      <w:r>
        <w:rPr>
          <w:rStyle w:val="indexentry"/>
        </w:rPr>
        <w:fldChar w:fldCharType="begin"/>
      </w:r>
      <w:r>
        <w:instrText>xe "</w:instrText>
      </w:r>
      <w:r>
        <w:rPr>
          <w:rStyle w:val="xeentry"/>
        </w:rPr>
        <w:instrText>jabo</w:instrText>
      </w:r>
      <w:r>
        <w:instrText>"</w:instrText>
      </w:r>
      <w:r>
        <w:rPr>
          <w:rStyle w:val="indexentry"/>
        </w:rPr>
        <w:fldChar w:fldCharType="end"/>
      </w:r>
      <w:r>
        <w:rPr>
          <w:rStyle w:val="indexentry"/>
        </w:rPr>
        <w:t>&lt;cx "tanru grouping with JA+BO, effect on tanru grouping"&gt;</w:t>
      </w:r>
      <w:r>
        <w:rPr>
          <w:rStyle w:val="indexentry"/>
        </w:rPr>
        <w:fldChar w:fldCharType="begin"/>
      </w:r>
      <w:r>
        <w:instrText>xe "</w:instrText>
      </w:r>
      <w:r>
        <w:rPr>
          <w:rStyle w:val="xeentry"/>
        </w:rPr>
        <w:instrText>tanru grouping with JA+BO: effect on tanru grouping</w:instrText>
      </w:r>
      <w:r>
        <w:instrText>"</w:instrText>
      </w:r>
      <w:r>
        <w:rPr>
          <w:rStyle w:val="indexentry"/>
        </w:rPr>
        <w:fldChar w:fldCharType="end"/>
      </w:r>
      <w:r>
        <w:t>which illustrates a new grammatical feature: the use of both</w:t>
      </w:r>
      <w:r>
        <w:rPr>
          <w:rStyle w:val="deletedparamark"/>
        </w:rPr>
        <w:t xml:space="preserve"> “</w:t>
      </w:r>
      <w:r>
        <w:t>ja” and “bo” between tanru components. The two cmavo combine to form</w:t>
      </w:r>
      <w:r>
        <w:rPr>
          <w:rStyle w:val="deletedparamark"/>
        </w:rPr>
        <w:t xml:space="preserve"> </w:t>
      </w:r>
      <w:r>
        <w:t>a compound whose meaning is that of “ja” but which groups more closely;</w:t>
      </w:r>
      <w:r>
        <w:rPr>
          <w:rStyle w:val="deletedparamark"/>
        </w:rPr>
        <w:t xml:space="preserve"> “</w:t>
      </w:r>
      <w:r>
        <w:t>jabo” is to “ja” as plain “bo” is to no cmavo at all. Ho</w:t>
      </w:r>
      <w:r>
        <w:t>w</w:t>
      </w:r>
      <w:r>
        <w:softHyphen/>
        <w:t>ever, both</w:t>
      </w:r>
      <w:r>
        <w:rPr>
          <w:rStyle w:val="deletedparamark"/>
        </w:rPr>
        <w:t xml:space="preserve"> “</w:t>
      </w:r>
      <w:r>
        <w:t>ja” and “jabo” group less closely than “bo” does: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name=e6d18&gt;</w:t>
      </w:r>
      <w:r>
        <w:t>6.18)</w:t>
      </w:r>
      <w:r>
        <w:tab/>
        <w:t>ricfu je blanu jabo crino bo blanu</w:t>
      </w:r>
    </w:p>
    <w:p w:rsidR="00B72047" w:rsidRDefault="00B72047">
      <w:pPr>
        <w:pStyle w:val="examplescaled"/>
      </w:pPr>
      <w:r>
        <w:tab/>
        <w:t>rich and (blue or green – blue)</w:t>
      </w:r>
    </w:p>
    <w:p w:rsidR="00B72047" w:rsidRDefault="00B72047">
      <w:pPr>
        <w:pStyle w:val="examplescaled"/>
      </w:pPr>
      <w:r>
        <w:tab/>
        <w:t>rich and (blue or greenish-blue)</w:t>
      </w:r>
    </w:p>
    <w:p w:rsidR="00B72047" w:rsidRDefault="00B72047">
      <w:pPr>
        <w:pStyle w:val="resumedafterexample"/>
      </w:pPr>
      <w:r>
        <w:rPr>
          <w:rStyle w:val="htmlcodes"/>
        </w:rPr>
        <w:t>&lt;/pre&gt;&lt;p&gt;</w:t>
      </w:r>
      <w:r>
        <w:t xml:space="preserve">An alternative form of </w:t>
      </w:r>
      <w:r>
        <w:rPr>
          <w:rStyle w:val="htmlcodes"/>
        </w:rPr>
        <w:t>&lt;a href=#e6d17&gt;</w:t>
      </w:r>
      <w:r>
        <w:t xml:space="preserve">Example 6.17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name=e6d19&gt;</w:t>
      </w:r>
      <w:r>
        <w:t>6.19)</w:t>
      </w:r>
      <w:r>
        <w:tab/>
        <w:t>ricfu je ke blanu ja crino [ke'e]</w:t>
      </w:r>
    </w:p>
    <w:p w:rsidR="00B72047" w:rsidRDefault="00B72047">
      <w:pPr>
        <w:pStyle w:val="examplescaled"/>
      </w:pPr>
      <w:r>
        <w:tab/>
        <w:t>rich and (blue or green)</w:t>
      </w:r>
    </w:p>
    <w:p w:rsidR="00B72047" w:rsidRDefault="00B72047">
      <w:pPr>
        <w:pStyle w:val="normalafterexample"/>
      </w:pPr>
      <w:r>
        <w:rPr>
          <w:rStyle w:val="htmlcodes"/>
        </w:rPr>
        <w:t>&lt;/pre&gt;</w:t>
      </w:r>
      <w:r>
        <w:rPr>
          <w:rStyle w:val="indexentry"/>
        </w:rPr>
        <w:t>&lt;cx "non-logical connectives, within tanru"&gt;</w:t>
      </w:r>
      <w:r>
        <w:rPr>
          <w:rStyle w:val="indexentry"/>
        </w:rPr>
        <w:fldChar w:fldCharType="begin"/>
      </w:r>
      <w:r>
        <w:instrText>xe "</w:instrText>
      </w:r>
      <w:r>
        <w:rPr>
          <w:rStyle w:val="xeentry"/>
        </w:rPr>
        <w:instrText>non-logical connectives: within tanru</w:instrText>
      </w:r>
      <w:r>
        <w:instrText>"</w:instrText>
      </w:r>
      <w:r>
        <w:rPr>
          <w:rStyle w:val="indexentry"/>
        </w:rPr>
        <w:fldChar w:fldCharType="end"/>
      </w:r>
      <w:r>
        <w:t>In addition to the logical connectives, there are also a variety of</w:t>
      </w:r>
      <w:r>
        <w:rPr>
          <w:rStyle w:val="deletedparamark"/>
        </w:rPr>
        <w:t xml:space="preserve"> </w:t>
      </w:r>
      <w:r>
        <w:t>non-logical conne</w:t>
      </w:r>
      <w:r>
        <w:t>c</w:t>
      </w:r>
      <w:r>
        <w:softHyphen/>
        <w:t>tives, grammatically equivalent to the logical ones.</w:t>
      </w:r>
      <w:r>
        <w:rPr>
          <w:rStyle w:val="deletedparamark"/>
        </w:rPr>
        <w:t xml:space="preserve"> </w:t>
      </w:r>
      <w:r>
        <w:t>The only one with a well-understood meaning in tanru</w:t>
      </w:r>
      <w:r>
        <w:rPr>
          <w:rStyle w:val="deletedparamark"/>
        </w:rPr>
        <w:t xml:space="preserve"> </w:t>
      </w:r>
      <w:r>
        <w:t>contexts is “joi”, which is the kind of “and” that denotes a mixture: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name=e6d20&gt;</w:t>
      </w:r>
      <w:r>
        <w:t>6.20)</w:t>
      </w:r>
      <w:r>
        <w:tab/>
        <w:t>ti blanu joi xunre bolci</w:t>
      </w:r>
    </w:p>
    <w:p w:rsidR="00B72047" w:rsidRDefault="00B72047">
      <w:pPr>
        <w:pStyle w:val="examplescaled"/>
      </w:pPr>
      <w:r>
        <w:tab/>
        <w:t>This is-a-(blue and red) ball.</w:t>
      </w:r>
    </w:p>
    <w:p w:rsidR="00B72047" w:rsidRDefault="00B72047">
      <w:pPr>
        <w:pStyle w:val="resumedafterexample"/>
      </w:pPr>
      <w:r>
        <w:rPr>
          <w:rStyle w:val="htmlcodes"/>
        </w:rPr>
        <w:t>&lt;/pre&gt;&lt;p&gt;</w:t>
      </w:r>
      <w:r>
        <w:t>The ball described is neither solely red nor solely blue, but probably</w:t>
      </w:r>
      <w:r>
        <w:rPr>
          <w:rStyle w:val="deletedparamark"/>
        </w:rPr>
        <w:t xml:space="preserve"> </w:t>
      </w:r>
      <w:r>
        <w:t>striped or in some other way exhibiting a combination of the two col</w:t>
      </w:r>
      <w:r>
        <w:softHyphen/>
        <w:t>ors.</w:t>
      </w:r>
      <w:r>
        <w:rPr>
          <w:rStyle w:val="deletedparamark"/>
        </w:rPr>
        <w:t xml:space="preserve"> </w:t>
      </w:r>
      <w:r>
        <w:rPr>
          <w:rStyle w:val="htmlcodes"/>
        </w:rPr>
        <w:t>&lt;a href=#e6d20&gt;</w:t>
      </w:r>
      <w:r>
        <w:t xml:space="preserve">Example 6.20 </w:t>
      </w:r>
      <w:r>
        <w:rPr>
          <w:rStyle w:val="htmlcodes"/>
        </w:rPr>
        <w:t>&lt;/a&gt;</w:t>
      </w:r>
      <w:r>
        <w:t>is distinct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name=e6d21&gt;</w:t>
      </w:r>
      <w:r>
        <w:t>6.21)</w:t>
      </w:r>
      <w:r>
        <w:tab/>
        <w:t>ti blanu xunre bolci</w:t>
      </w:r>
    </w:p>
    <w:p w:rsidR="00B72047" w:rsidRDefault="00B72047">
      <w:pPr>
        <w:pStyle w:val="examplescaled"/>
      </w:pPr>
      <w:r>
        <w:tab/>
        <w:t>This is a bluish-red ball</w:t>
      </w:r>
    </w:p>
    <w:p w:rsidR="00B72047" w:rsidRDefault="00B72047">
      <w:pPr>
        <w:pStyle w:val="resumedafterexample"/>
      </w:pPr>
      <w:r>
        <w:rPr>
          <w:rStyle w:val="htmlcodes"/>
        </w:rPr>
        <w:t>&lt;/pre&gt;</w:t>
      </w:r>
      <w:r>
        <w:t>which would be a ball whose color is some sort of purple tending to</w:t>
      </w:r>
      <w:r>
        <w:softHyphen/>
        <w:t>ward red,</w:t>
      </w:r>
      <w:r>
        <w:rPr>
          <w:rStyle w:val="deletedparamark"/>
        </w:rPr>
        <w:t xml:space="preserve"> </w:t>
      </w:r>
      <w:r>
        <w:t>since “xunre” is the more important of the two components. On the other</w:t>
      </w:r>
      <w:r>
        <w:rPr>
          <w:rStyle w:val="deletedparamark"/>
        </w:rPr>
        <w:t xml:space="preserve"> </w:t>
      </w:r>
      <w:r>
        <w:t>hand,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name=e6d22&gt;</w:t>
      </w:r>
      <w:r>
        <w:t>6.22)</w:t>
      </w:r>
      <w:r>
        <w:tab/>
        <w:t>ti blanu je xunre bolci</w:t>
      </w:r>
    </w:p>
    <w:p w:rsidR="00B72047" w:rsidRDefault="00B72047">
      <w:pPr>
        <w:pStyle w:val="examplescaled"/>
      </w:pPr>
      <w:r>
        <w:tab/>
        <w:t>This is a (blue and red) ball</w:t>
      </w:r>
    </w:p>
    <w:p w:rsidR="00B72047" w:rsidRDefault="00B72047">
      <w:pPr>
        <w:pStyle w:val="resumedafterexample"/>
      </w:pPr>
      <w:r>
        <w:rPr>
          <w:rStyle w:val="htmlcodes"/>
        </w:rPr>
        <w:t>&lt;/pre&gt;</w:t>
      </w:r>
      <w:r>
        <w:t>is probably self-contradictory, seeming to claim that the ball is</w:t>
      </w:r>
      <w:r>
        <w:rPr>
          <w:rStyle w:val="deletedparamark"/>
        </w:rPr>
        <w:t xml:space="preserve"> </w:t>
      </w:r>
      <w:r>
        <w:t>inde</w:t>
      </w:r>
      <w:r>
        <w:softHyphen/>
        <w:t>pendently both blue and red at the same time, although some sensi</w:t>
      </w:r>
      <w:r>
        <w:softHyphen/>
        <w:t>ble</w:t>
      </w:r>
      <w:r>
        <w:rPr>
          <w:rStyle w:val="deletedparamark"/>
        </w:rPr>
        <w:t xml:space="preserve"> </w:t>
      </w:r>
      <w:r>
        <w:t>interpretation may exist.</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logical connectives, within tanru"&gt;</w:t>
      </w:r>
      <w:r>
        <w:rPr>
          <w:rStyle w:val="indexentry"/>
        </w:rPr>
        <w:fldChar w:fldCharType="begin"/>
      </w:r>
      <w:r>
        <w:instrText>xe "</w:instrText>
      </w:r>
      <w:r>
        <w:rPr>
          <w:rStyle w:val="xeentry"/>
        </w:rPr>
        <w:instrText>forethought logical connectives: within tanru</w:instrText>
      </w:r>
      <w:r>
        <w:instrText>"</w:instrText>
      </w:r>
      <w:r>
        <w:rPr>
          <w:rStyle w:val="indexentry"/>
        </w:rPr>
        <w:fldChar w:fldCharType="end"/>
      </w:r>
      <w:r>
        <w:rPr>
          <w:rStyle w:val="indexentry"/>
        </w:rPr>
        <w:t>&lt;lx "gu'e"&gt;</w:t>
      </w:r>
      <w:r>
        <w:rPr>
          <w:rStyle w:val="indexentry"/>
        </w:rPr>
        <w:fldChar w:fldCharType="begin"/>
      </w:r>
      <w:r>
        <w:instrText>xe "</w:instrText>
      </w:r>
      <w:r>
        <w:rPr>
          <w:rStyle w:val="xeentry"/>
        </w:rPr>
        <w:instrText>gu'e</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t>Finally, just as English “and” has the variant form “both </w:t>
      </w:r>
      <w:r>
        <w:rPr>
          <w:rStyle w:val="htmlcodes"/>
        </w:rPr>
        <w:t>&lt;dots&gt;</w:t>
      </w:r>
      <w:r>
        <w:t>…</w:t>
      </w:r>
      <w:r>
        <w:rPr>
          <w:rStyle w:val="htmlcodes"/>
        </w:rPr>
        <w:t>&lt;/dots&gt;</w:t>
      </w:r>
      <w:r>
        <w:t>and”, so “je”</w:t>
      </w:r>
      <w:r>
        <w:rPr>
          <w:rStyle w:val="deletedparamark"/>
        </w:rPr>
        <w:t xml:space="preserve"> </w:t>
      </w:r>
      <w:r>
        <w:t>be</w:t>
      </w:r>
      <w:r>
        <w:softHyphen/>
        <w:t>tween tanru components has the variant form “gu'e </w:t>
      </w:r>
      <w:r>
        <w:rPr>
          <w:rStyle w:val="htmlcodes"/>
        </w:rPr>
        <w:t>&lt;dots&gt;</w:t>
      </w:r>
      <w:r>
        <w:t>…</w:t>
      </w:r>
      <w:r>
        <w:rPr>
          <w:rStyle w:val="htmlcodes"/>
        </w:rPr>
        <w:t>&lt;/dots&gt;</w:t>
      </w:r>
      <w:r>
        <w:t>gi”, where “gu'e”</w:t>
      </w:r>
      <w:r>
        <w:rPr>
          <w:rStyle w:val="deletedparamark"/>
        </w:rPr>
        <w:t xml:space="preserve"> </w:t>
      </w:r>
      <w:r>
        <w:t>is placed before the components and “gi” between them: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name=e6d23&gt;</w:t>
      </w:r>
      <w:r>
        <w:t>6.23)</w:t>
      </w:r>
      <w:r>
        <w:tab/>
        <w:t>gu'e barda gi xunre gerku</w:t>
      </w:r>
    </w:p>
    <w:p w:rsidR="00B72047" w:rsidRDefault="00B72047">
      <w:pPr>
        <w:pStyle w:val="examplescaled"/>
      </w:pPr>
      <w:r>
        <w:tab/>
        <w:t>(both big and red) type-of dog</w:t>
      </w:r>
    </w:p>
    <w:p w:rsidR="00B72047" w:rsidRDefault="00B72047">
      <w:pPr>
        <w:pStyle w:val="resumedafterexample"/>
      </w:pPr>
      <w:r>
        <w:rPr>
          <w:rStyle w:val="htmlcodes"/>
        </w:rPr>
        <w:t>&lt;/pre&gt;</w:t>
      </w:r>
      <w:r>
        <w:t xml:space="preserve">is equivalent in meaning to </w:t>
      </w:r>
      <w:r>
        <w:rPr>
          <w:rStyle w:val="htmlcodes"/>
        </w:rPr>
        <w:t>&lt;a href=#e6d3&gt;</w:t>
      </w:r>
      <w:r>
        <w:t>Example 6.3</w:t>
      </w:r>
      <w:r>
        <w:rPr>
          <w:rStyle w:val="htmlcodes"/>
        </w:rPr>
        <w:t>&lt;/a&gt;</w:t>
      </w:r>
      <w:r>
        <w:t>. For each logical connective</w:t>
      </w:r>
      <w:r>
        <w:rPr>
          <w:rStyle w:val="deletedparamark"/>
        </w:rPr>
        <w:t xml:space="preserve"> </w:t>
      </w:r>
      <w:r>
        <w:t>related to “je”, there is a corresponding connective related to “gu'e </w:t>
      </w:r>
      <w:r>
        <w:rPr>
          <w:rStyle w:val="htmlcodes"/>
        </w:rPr>
        <w:t>&lt;dots&gt;</w:t>
      </w:r>
      <w:r>
        <w:t>…</w:t>
      </w:r>
      <w:r>
        <w:rPr>
          <w:rStyle w:val="htmlcodes"/>
        </w:rPr>
        <w:t>&lt;/dots&gt;</w:t>
      </w:r>
      <w:r>
        <w:t>gi”</w:t>
      </w:r>
      <w:r>
        <w:rPr>
          <w:rStyle w:val="deletedparamark"/>
        </w:rPr>
        <w:t xml:space="preserve"> </w:t>
      </w:r>
      <w:r>
        <w:t>in a systematic way.</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logical connectives in tanru, effect on tanru grouping"&gt;</w:t>
      </w:r>
      <w:r>
        <w:rPr>
          <w:rStyle w:val="indexentry"/>
        </w:rPr>
        <w:fldChar w:fldCharType="begin"/>
      </w:r>
      <w:r>
        <w:instrText>xe "</w:instrText>
      </w:r>
      <w:r>
        <w:rPr>
          <w:rStyle w:val="xeentry"/>
        </w:rPr>
        <w:instrText>forethought logical connectives in tanru: effect on tanru grouping</w:instrText>
      </w:r>
      <w:r>
        <w:instrText>"</w:instrText>
      </w:r>
      <w:r>
        <w:rPr>
          <w:rStyle w:val="indexentry"/>
        </w:rPr>
        <w:fldChar w:fldCharType="end"/>
      </w:r>
      <w:r>
        <w:t>The portion of a “gu'e </w:t>
      </w:r>
      <w:r>
        <w:rPr>
          <w:rStyle w:val="htmlcodes"/>
        </w:rPr>
        <w:t>&lt;dots&gt;</w:t>
      </w:r>
      <w:r>
        <w:t>…</w:t>
      </w:r>
      <w:r>
        <w:rPr>
          <w:rStyle w:val="htmlcodes"/>
        </w:rPr>
        <w:t>&lt;/dots&gt;</w:t>
      </w:r>
      <w:r>
        <w:t>gi” construction before the “gi” is a full selbri,</w:t>
      </w:r>
      <w:r>
        <w:rPr>
          <w:rStyle w:val="deletedparamark"/>
        </w:rPr>
        <w:t xml:space="preserve"> </w:t>
      </w:r>
      <w:r>
        <w:t>and may use any of the selbri resources including “je” logi</w:t>
      </w:r>
      <w:r>
        <w:softHyphen/>
        <w:t>cal connections.</w:t>
      </w:r>
      <w:r>
        <w:rPr>
          <w:rStyle w:val="deletedparamark"/>
        </w:rPr>
        <w:t xml:space="preserve"> </w:t>
      </w:r>
      <w:r>
        <w:t>After the “gi”, logical co</w:t>
      </w:r>
      <w:r>
        <w:t>n</w:t>
      </w:r>
      <w:r>
        <w:softHyphen/>
        <w:t>nections are taken to be wider in scope than</w:t>
      </w:r>
      <w:r>
        <w:rPr>
          <w:rStyle w:val="deletedparamark"/>
        </w:rPr>
        <w:t xml:space="preserve"> </w:t>
      </w:r>
      <w:r>
        <w:t>the “gu'e </w:t>
      </w:r>
      <w:r>
        <w:rPr>
          <w:rStyle w:val="htmlcodes"/>
        </w:rPr>
        <w:t>&lt;dots&gt;</w:t>
      </w:r>
      <w:r>
        <w:t>…</w:t>
      </w:r>
      <w:r>
        <w:rPr>
          <w:rStyle w:val="htmlcodes"/>
        </w:rPr>
        <w:t>&lt;/dots&gt;</w:t>
      </w:r>
      <w:r>
        <w:t>gi”, which has in effect the same scope as “bo”: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name=e6d24&gt;</w:t>
      </w:r>
      <w:r>
        <w:t>6.24)</w:t>
      </w:r>
      <w:r>
        <w:tab/>
        <w:t>gu'e barda je xunre gi gerku ja mlatu</w:t>
      </w:r>
    </w:p>
    <w:p w:rsidR="00B72047" w:rsidRDefault="00B72047">
      <w:pPr>
        <w:pStyle w:val="examplescaled"/>
      </w:pPr>
      <w:r>
        <w:tab/>
        <w:t>(both (big and red) and dog) or cat</w:t>
      </w:r>
    </w:p>
    <w:p w:rsidR="00B72047" w:rsidRDefault="00B72047">
      <w:pPr>
        <w:pStyle w:val="examplescaled"/>
      </w:pPr>
      <w:r>
        <w:tab/>
        <w:t>something which is either big, red, and a dog, or else a cat</w:t>
      </w:r>
    </w:p>
    <w:p w:rsidR="00B72047" w:rsidRDefault="00B72047">
      <w:pPr>
        <w:pStyle w:val="resumedafterexample"/>
      </w:pPr>
      <w:r>
        <w:rPr>
          <w:rStyle w:val="htmlcodes"/>
        </w:rPr>
        <w:t>&lt;/pre&gt;</w:t>
      </w:r>
      <w:r>
        <w:t>leaves “mlatu” outside the “gu'e …gi” construction. The scope of the “gi”</w:t>
      </w:r>
      <w:r>
        <w:rPr>
          <w:rStyle w:val="deletedparamark"/>
        </w:rPr>
        <w:t xml:space="preserve"> </w:t>
      </w:r>
      <w:r>
        <w:t>arm extends only to a single brivla or to two or more brivla con</w:t>
      </w:r>
      <w:r>
        <w:softHyphen/>
        <w:t>nected</w:t>
      </w:r>
      <w:r>
        <w:rPr>
          <w:rStyle w:val="deletedparamark"/>
        </w:rPr>
        <w:t xml:space="preserve"> </w:t>
      </w:r>
      <w:r>
        <w:t>with “bo” or “ke …ke'e”.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206" w:name="_Toc395691523"/>
      <w:bookmarkStart w:id="207" w:name="_Toc398970494"/>
      <w:r>
        <w:rPr>
          <w:rStyle w:val="Heading3Text"/>
        </w:rPr>
        <w:t>Linked sumti: “be–bei–be'o”</w:t>
      </w:r>
      <w:bookmarkEnd w:id="206"/>
      <w:bookmarkEnd w:id="20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be</w:t>
      </w:r>
      <w:r>
        <w:tab/>
        <w:t>BE</w:t>
      </w:r>
      <w:r>
        <w:tab/>
        <w:t>linked sumti marker</w:t>
      </w:r>
    </w:p>
    <w:p w:rsidR="00B72047" w:rsidRDefault="00B72047">
      <w:pPr>
        <w:pStyle w:val="examplescaled"/>
      </w:pPr>
      <w:r>
        <w:tab/>
        <w:t>bei</w:t>
      </w:r>
      <w:r>
        <w:tab/>
        <w:t>BEI</w:t>
      </w:r>
      <w:r>
        <w:tab/>
        <w:t>linked sumti separator</w:t>
      </w:r>
    </w:p>
    <w:p w:rsidR="00B72047" w:rsidRDefault="00B72047">
      <w:pPr>
        <w:pStyle w:val="examplescaled"/>
      </w:pPr>
      <w:r>
        <w:tab/>
        <w:t>be'o</w:t>
      </w:r>
      <w:r>
        <w:tab/>
        <w:t>BEhO</w:t>
      </w:r>
      <w:r>
        <w:tab/>
        <w:t>linked sumti terminator</w:t>
      </w:r>
    </w:p>
    <w:p w:rsidR="00B72047" w:rsidRDefault="00B72047">
      <w:pPr>
        <w:pStyle w:val="resumedafterexample"/>
      </w:pPr>
      <w:r>
        <w:rPr>
          <w:rStyle w:val="htmlcodes"/>
        </w:rPr>
        <w:t>&lt;/pre&gt;&lt;p&gt;</w:t>
      </w:r>
      <w:r>
        <w:t>The question of the place structures of selbri has been glossed over so</w:t>
      </w:r>
      <w:r>
        <w:rPr>
          <w:rStyle w:val="deletedparamark"/>
        </w:rPr>
        <w:t xml:space="preserve"> </w:t>
      </w:r>
      <w:r>
        <w:t>far. This chapter does not attempt to treat place structure issues in</w:t>
      </w:r>
      <w:r>
        <w:rPr>
          <w:rStyle w:val="deletedparamark"/>
        </w:rPr>
        <w:t xml:space="preserve"> </w:t>
      </w:r>
      <w:r>
        <w:t xml:space="preserve">detail; they are discussed in </w:t>
      </w:r>
      <w:r>
        <w:rPr>
          <w:rStyle w:val="htmlcodes"/>
        </w:rPr>
        <w:t>&lt;a href=chap9.html&gt;</w:t>
      </w:r>
      <w:r>
        <w:t>Chapter 9</w:t>
      </w:r>
      <w:r>
        <w:rPr>
          <w:rStyle w:val="htmlcodes"/>
        </w:rPr>
        <w:t>&lt;/a&gt;</w:t>
      </w:r>
      <w:r>
        <w:t>. One grammatical structure related</w:t>
      </w:r>
      <w:r>
        <w:rPr>
          <w:rStyle w:val="deletedparamark"/>
        </w:rPr>
        <w:t xml:space="preserve"> </w:t>
      </w:r>
      <w:r>
        <w:t xml:space="preserve">to places belongs here, however. In simple sentences such as </w:t>
      </w:r>
      <w:r>
        <w:rPr>
          <w:rStyle w:val="htmlcodes"/>
        </w:rPr>
        <w:t>&lt;a href=#e1d1&gt;</w:t>
      </w:r>
      <w:r>
        <w:t>Example 1.1</w:t>
      </w:r>
      <w:r>
        <w:rPr>
          <w:rStyle w:val="htmlcodes"/>
        </w:rPr>
        <w:t>&lt;/a&gt;</w:t>
      </w:r>
      <w:r>
        <w:t>,</w:t>
      </w:r>
      <w:r>
        <w:rPr>
          <w:rStyle w:val="deletedparamark"/>
        </w:rPr>
        <w:t xml:space="preserve"> </w:t>
      </w:r>
      <w:r>
        <w:t>the place structure of the selbri is simply the defined place struc</w:t>
      </w:r>
      <w:r>
        <w:softHyphen/>
        <w:t>ture of</w:t>
      </w:r>
      <w:r>
        <w:rPr>
          <w:rStyle w:val="deletedparamark"/>
        </w:rPr>
        <w:t xml:space="preserve"> </w:t>
      </w:r>
      <w:r>
        <w:t>the gismu “mamta”. What about more complex sel</w:t>
      </w:r>
      <w:r>
        <w:softHyphen/>
        <w:t>bri?</w:t>
      </w:r>
    </w:p>
    <w:p w:rsidR="00B72047" w:rsidRDefault="00B72047">
      <w:pPr>
        <w:rPr>
          <w:rStyle w:val="htmlparacode"/>
        </w:rPr>
      </w:pPr>
      <w:r>
        <w:rPr>
          <w:rStyle w:val="htmlparacode"/>
        </w:rPr>
        <w:t>&lt;p&gt;</w:t>
      </w:r>
    </w:p>
    <w:p w:rsidR="00B72047" w:rsidRDefault="00B72047">
      <w:pPr>
        <w:pStyle w:val="normalparagraph"/>
      </w:pPr>
      <w:r>
        <w:rPr>
          <w:rStyle w:val="indexentry"/>
        </w:rPr>
        <w:t>&lt;cx "tanru, place structures of"&gt;</w:t>
      </w:r>
      <w:r>
        <w:rPr>
          <w:rStyle w:val="indexentry"/>
        </w:rPr>
        <w:fldChar w:fldCharType="begin"/>
      </w:r>
      <w:r>
        <w:instrText>xe "</w:instrText>
      </w:r>
      <w:r>
        <w:rPr>
          <w:rStyle w:val="xeentry"/>
        </w:rPr>
        <w:instrText>tanru: place structures of</w:instrText>
      </w:r>
      <w:r>
        <w:instrText>"</w:instrText>
      </w:r>
      <w:r>
        <w:rPr>
          <w:rStyle w:val="indexentry"/>
        </w:rPr>
        <w:fldChar w:fldCharType="end"/>
      </w:r>
      <w:r>
        <w:t>For tanru, the place structure rule is simple: the place struc</w:t>
      </w:r>
      <w:r>
        <w:softHyphen/>
        <w:t>ture of a</w:t>
      </w:r>
      <w:r>
        <w:rPr>
          <w:rStyle w:val="deletedparamark"/>
        </w:rPr>
        <w:t xml:space="preserve"> </w:t>
      </w:r>
      <w:r>
        <w:t>tanru is al</w:t>
      </w:r>
      <w:r>
        <w:softHyphen/>
        <w:t>ways the place structure of its tertau. Thus, the place</w:t>
      </w:r>
      <w:r>
        <w:rPr>
          <w:rStyle w:val="deletedparamark"/>
        </w:rPr>
        <w:t xml:space="preserve"> </w:t>
      </w:r>
      <w:r>
        <w:t>structure of “blanu zdani” is that of “zdani”: the x1 place is a house or</w:t>
      </w:r>
      <w:r>
        <w:rPr>
          <w:rStyle w:val="deletedparamark"/>
        </w:rPr>
        <w:t xml:space="preserve"> </w:t>
      </w:r>
      <w:r>
        <w:t>nest, and the x2 place is its occupants.</w:t>
      </w:r>
    </w:p>
    <w:p w:rsidR="00B72047" w:rsidRDefault="00B72047">
      <w:pPr>
        <w:pStyle w:val="normalparagraph"/>
        <w:rPr>
          <w:rStyle w:val="htmlparacode"/>
        </w:rPr>
      </w:pPr>
      <w:r>
        <w:rPr>
          <w:rStyle w:val="htmlparacode"/>
        </w:rPr>
        <w:t>&lt;p&gt;</w:t>
      </w:r>
    </w:p>
    <w:p w:rsidR="00B72047" w:rsidRDefault="00B72047">
      <w:pPr>
        <w:pStyle w:val="normalparagraph"/>
      </w:pPr>
      <w:r>
        <w:t>What about the places of “blanu”? Is there any way to get them into the</w:t>
      </w:r>
      <w:r>
        <w:rPr>
          <w:rStyle w:val="deletedparamark"/>
        </w:rPr>
        <w:t xml:space="preserve"> </w:t>
      </w:r>
      <w:r>
        <w:t>act? In fact, “blanu” has only one place, and this is merged, as it were,</w:t>
      </w:r>
      <w:r>
        <w:rPr>
          <w:rStyle w:val="deletedparamark"/>
        </w:rPr>
        <w:t xml:space="preserve"> </w:t>
      </w:r>
      <w:r>
        <w:t>with the x1 place of “zdani”. It is whatever is in the x1 place that is</w:t>
      </w:r>
      <w:r>
        <w:rPr>
          <w:rStyle w:val="deletedparamark"/>
        </w:rPr>
        <w:t xml:space="preserve"> </w:t>
      </w:r>
      <w:r>
        <w:t>being characterized as blue-for-a-house. But if we replace “blanu” with</w:t>
      </w:r>
      <w:r>
        <w:rPr>
          <w:rStyle w:val="deletedparamark"/>
        </w:rPr>
        <w:t xml:space="preserve"> “</w:t>
      </w:r>
      <w:r>
        <w:t>xamgu”, we get:</w:t>
      </w:r>
    </w:p>
    <w:p w:rsidR="00B72047" w:rsidRDefault="00B72047">
      <w:pPr>
        <w:rPr>
          <w:rStyle w:val="htmlparacode"/>
        </w:rPr>
      </w:pPr>
      <w:r>
        <w:rPr>
          <w:rStyle w:val="htmlparacode"/>
        </w:rPr>
        <w:t>&lt;p&gt;</w:t>
      </w:r>
    </w:p>
    <w:p w:rsidR="00B72047" w:rsidRDefault="00B72047">
      <w:pPr>
        <w:pStyle w:val="examplescaledpre"/>
      </w:pPr>
      <w:r>
        <w:rPr>
          <w:rStyle w:val="indexentry"/>
        </w:rPr>
        <w:t>&lt;ex "good house"&gt;</w:t>
      </w:r>
      <w:r>
        <w:rPr>
          <w:rStyle w:val="indexentry"/>
        </w:rPr>
        <w:fldChar w:fldCharType="begin"/>
      </w:r>
      <w:r>
        <w:instrText>xe "</w:instrText>
      </w:r>
      <w:r>
        <w:rPr>
          <w:rStyle w:val="xeentry"/>
        </w:rPr>
        <w:instrText>good house: example</w:instrText>
      </w:r>
      <w:r>
        <w:instrText>"</w:instrText>
      </w:r>
      <w:r>
        <w:rPr>
          <w:rStyle w:val="indexentry"/>
        </w:rPr>
        <w:fldChar w:fldCharType="end"/>
      </w:r>
      <w:r>
        <w:rPr>
          <w:rStyle w:val="htmlcodes"/>
        </w:rPr>
        <w:t>&lt;pre&gt;&lt;a name=e7d1&gt;</w:t>
      </w:r>
      <w:r>
        <w:t>7.1)</w:t>
      </w:r>
      <w:r>
        <w:tab/>
        <w:t>ti xamgu zdani</w:t>
      </w:r>
    </w:p>
    <w:p w:rsidR="00B72047" w:rsidRDefault="00B72047">
      <w:pPr>
        <w:pStyle w:val="examplescaled"/>
      </w:pPr>
      <w:r>
        <w:tab/>
        <w:t>This is-a-good house.</w:t>
      </w:r>
    </w:p>
    <w:p w:rsidR="00B72047" w:rsidRDefault="00B72047">
      <w:pPr>
        <w:pStyle w:val="examplescaled"/>
      </w:pPr>
      <w:r>
        <w:tab/>
        <w:t>This is a good (for someone, by some standard) house.</w:t>
      </w:r>
    </w:p>
    <w:p w:rsidR="00B72047" w:rsidRDefault="00B72047">
      <w:pPr>
        <w:pStyle w:val="resumedafterexample"/>
      </w:pPr>
      <w:r>
        <w:rPr>
          <w:rStyle w:val="htmlcodes"/>
        </w:rPr>
        <w:t>&lt;/pre&gt;&lt;p&gt;</w:t>
      </w:r>
      <w:r>
        <w:t>Since “xamgu” has three places (x1, the good thing; x2, the person for whom</w:t>
      </w:r>
      <w:r>
        <w:rPr>
          <w:rStyle w:val="deletedparamark"/>
        </w:rPr>
        <w:t xml:space="preserve"> </w:t>
      </w:r>
      <w:r>
        <w:t xml:space="preserve">it is good; and x3, the standard of goodness), </w:t>
      </w:r>
      <w:r>
        <w:rPr>
          <w:rStyle w:val="htmlcodes"/>
        </w:rPr>
        <w:t>&lt;a href=#e7d1&gt;</w:t>
      </w:r>
      <w:r>
        <w:t xml:space="preserve">Example 7.1 </w:t>
      </w:r>
      <w:r>
        <w:rPr>
          <w:rStyle w:val="htmlcodes"/>
        </w:rPr>
        <w:t>&lt;/a&gt;</w:t>
      </w:r>
      <w:r>
        <w:t>necessarily omits</w:t>
      </w:r>
      <w:r>
        <w:rPr>
          <w:rStyle w:val="deletedparamark"/>
        </w:rPr>
        <w:t xml:space="preserve"> </w:t>
      </w:r>
      <w:r>
        <w:t>information about the last two: there is no room for them. Room can be</w:t>
      </w:r>
      <w:r>
        <w:rPr>
          <w:rStyle w:val="deletedparamark"/>
        </w:rPr>
        <w:t xml:space="preserve"> </w:t>
      </w:r>
      <w:r>
        <w:t>made, however!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ti xamgu be do bei mi [be'o] zdani</w:t>
      </w:r>
    </w:p>
    <w:p w:rsidR="00B72047" w:rsidRDefault="00B72047">
      <w:pPr>
        <w:pStyle w:val="examplescaled"/>
      </w:pPr>
      <w:r>
        <w:tab/>
        <w:t>This is-a-good (for you by-standard me) house.</w:t>
      </w:r>
    </w:p>
    <w:p w:rsidR="00B72047" w:rsidRDefault="00B72047">
      <w:pPr>
        <w:pStyle w:val="examplescaled"/>
      </w:pPr>
      <w:r>
        <w:tab/>
        <w:t>This is a house that is good for you by my standards.</w:t>
      </w:r>
    </w:p>
    <w:p w:rsidR="00B72047" w:rsidRDefault="00B72047">
      <w:pPr>
        <w:pStyle w:val="resumedafterexample"/>
      </w:pPr>
      <w:r>
        <w:rPr>
          <w:rStyle w:val="htmlcodes"/>
        </w:rPr>
        <w:t>&lt;/pre&gt;</w:t>
      </w:r>
      <w:r>
        <w:rPr>
          <w:rStyle w:val="indexentry"/>
        </w:rPr>
        <w:t>&lt;lx "be"&gt;</w:t>
      </w:r>
      <w:r>
        <w:rPr>
          <w:rStyle w:val="indexentry"/>
        </w:rPr>
        <w:fldChar w:fldCharType="begin"/>
      </w:r>
      <w:r>
        <w:instrText>xe "</w:instrText>
      </w:r>
      <w:r>
        <w:rPr>
          <w:rStyle w:val="xeentry"/>
        </w:rPr>
        <w:instrText>be</w:instrText>
      </w:r>
      <w:r>
        <w:instrText>"</w:instrText>
      </w:r>
      <w:r>
        <w:rPr>
          <w:rStyle w:val="indexentry"/>
        </w:rPr>
        <w:fldChar w:fldCharType="end"/>
      </w:r>
      <w:r>
        <w:rPr>
          <w:rStyle w:val="indexentry"/>
        </w:rPr>
        <w:t>&lt;lx "BE"&gt;</w:t>
      </w:r>
      <w:r>
        <w:rPr>
          <w:rStyle w:val="indexentry"/>
        </w:rPr>
        <w:fldChar w:fldCharType="begin"/>
      </w:r>
      <w:r>
        <w:instrText>xe "</w:instrText>
      </w:r>
      <w:r>
        <w:rPr>
          <w:rStyle w:val="xeentry"/>
        </w:rPr>
        <w:instrText>BE selma’o</w:instrText>
      </w:r>
      <w:r>
        <w:instrText>"</w:instrText>
      </w:r>
      <w:r>
        <w:rPr>
          <w:rStyle w:val="indexentry"/>
        </w:rPr>
        <w:fldChar w:fldCharType="end"/>
      </w:r>
      <w:r>
        <w:rPr>
          <w:rStyle w:val="indexentry"/>
        </w:rPr>
        <w:t>&lt;lx "bei"&gt;</w:t>
      </w:r>
      <w:r>
        <w:rPr>
          <w:rStyle w:val="indexentry"/>
        </w:rPr>
        <w:fldChar w:fldCharType="begin"/>
      </w:r>
      <w:r>
        <w:instrText>xe "</w:instrText>
      </w:r>
      <w:r>
        <w:rPr>
          <w:rStyle w:val="xeentry"/>
        </w:rPr>
        <w:instrText>bei</w:instrText>
      </w:r>
      <w:r>
        <w:instrText>"</w:instrText>
      </w:r>
      <w:r>
        <w:rPr>
          <w:rStyle w:val="indexentry"/>
        </w:rPr>
        <w:fldChar w:fldCharType="end"/>
      </w:r>
      <w:r>
        <w:rPr>
          <w:rStyle w:val="indexentry"/>
        </w:rPr>
        <w:t>&lt;lx "BEI"&gt;</w:t>
      </w:r>
      <w:r>
        <w:rPr>
          <w:rStyle w:val="indexentry"/>
        </w:rPr>
        <w:fldChar w:fldCharType="begin"/>
      </w:r>
      <w:r>
        <w:instrText>xe "</w:instrText>
      </w:r>
      <w:r>
        <w:rPr>
          <w:rStyle w:val="xeentry"/>
        </w:rPr>
        <w:instrText>BEI selma’o</w:instrText>
      </w:r>
      <w:r>
        <w:instrText>"</w:instrText>
      </w:r>
      <w:r>
        <w:rPr>
          <w:rStyle w:val="indexentry"/>
        </w:rPr>
        <w:fldChar w:fldCharType="end"/>
      </w:r>
      <w:r>
        <w:rPr>
          <w:rStyle w:val="indexentry"/>
        </w:rPr>
        <w:t>&lt;lx "be'o"&gt;</w:t>
      </w:r>
      <w:r>
        <w:rPr>
          <w:rStyle w:val="indexentry"/>
        </w:rPr>
        <w:fldChar w:fldCharType="begin"/>
      </w:r>
      <w:r>
        <w:instrText>xe "</w:instrText>
      </w:r>
      <w:r>
        <w:rPr>
          <w:rStyle w:val="xeentry"/>
        </w:rPr>
        <w:instrText>be'o</w:instrText>
      </w:r>
      <w:r>
        <w:instrText>"</w:instrText>
      </w:r>
      <w:r>
        <w:rPr>
          <w:rStyle w:val="indexentry"/>
        </w:rPr>
        <w:fldChar w:fldCharType="end"/>
      </w:r>
      <w:r>
        <w:rPr>
          <w:rStyle w:val="indexentry"/>
        </w:rPr>
        <w:t>&lt;lx "BEhO"&gt;</w:t>
      </w:r>
      <w:r>
        <w:rPr>
          <w:rStyle w:val="indexentry"/>
        </w:rPr>
        <w:fldChar w:fldCharType="begin"/>
      </w:r>
      <w:r>
        <w:instrText>xe "</w:instrText>
      </w:r>
      <w:r>
        <w:rPr>
          <w:rStyle w:val="xeentry"/>
        </w:rPr>
        <w:instrText>BEhO selma’o</w:instrText>
      </w:r>
      <w:r>
        <w:instrText>"</w:instrText>
      </w:r>
      <w:r>
        <w:rPr>
          <w:rStyle w:val="indexentry"/>
        </w:rPr>
        <w:fldChar w:fldCharType="end"/>
      </w:r>
      <w:r>
        <w:rPr>
          <w:rStyle w:val="indexentry"/>
        </w:rPr>
        <w:t>&lt;cx "seltau, filling sumti places in"&gt;</w:t>
      </w:r>
      <w:r>
        <w:rPr>
          <w:rStyle w:val="indexentry"/>
        </w:rPr>
        <w:fldChar w:fldCharType="begin"/>
      </w:r>
      <w:r>
        <w:instrText>xe "</w:instrText>
      </w:r>
      <w:r>
        <w:rPr>
          <w:rStyle w:val="xeentry"/>
        </w:rPr>
        <w:instrText>seltau: filling sumti places in</w:instrText>
      </w:r>
      <w:r>
        <w:instrText>"</w:instrText>
      </w:r>
      <w:r>
        <w:rPr>
          <w:rStyle w:val="indexentry"/>
        </w:rPr>
        <w:fldChar w:fldCharType="end"/>
      </w:r>
      <w:r>
        <w:rPr>
          <w:rStyle w:val="indexentry"/>
        </w:rPr>
        <w:t>&lt;cx "linked sumti, in tanru"&gt;</w:t>
      </w:r>
      <w:r>
        <w:rPr>
          <w:rStyle w:val="indexentry"/>
        </w:rPr>
        <w:fldChar w:fldCharType="begin"/>
      </w:r>
      <w:r>
        <w:instrText>xe "</w:instrText>
      </w:r>
      <w:r>
        <w:rPr>
          <w:rStyle w:val="xeentry"/>
        </w:rPr>
        <w:instrText>linked sumti: in tanru</w:instrText>
      </w:r>
      <w:r>
        <w:instrText>"</w:instrText>
      </w:r>
      <w:r>
        <w:rPr>
          <w:rStyle w:val="indexentry"/>
        </w:rPr>
        <w:fldChar w:fldCharType="end"/>
      </w:r>
      <w:r>
        <w:t>Here, the gismu “xamgu” has been followed by the cmavo “be” (of selma'o</w:t>
      </w:r>
      <w:r>
        <w:rPr>
          <w:rStyle w:val="deletedparamark"/>
        </w:rPr>
        <w:t xml:space="preserve"> </w:t>
      </w:r>
      <w:r>
        <w:t>BE), which signals that one or more sumti follows. These sumti are not</w:t>
      </w:r>
      <w:r>
        <w:rPr>
          <w:rStyle w:val="deletedparamark"/>
        </w:rPr>
        <w:t xml:space="preserve"> </w:t>
      </w:r>
      <w:r>
        <w:t>part of the overall bridi place structure, but fill the places of the</w:t>
      </w:r>
      <w:r>
        <w:rPr>
          <w:rStyle w:val="deletedparamark"/>
        </w:rPr>
        <w:t xml:space="preserve"> </w:t>
      </w:r>
      <w:r>
        <w:t>brivla they are attached to, starting with x2. If there is more than</w:t>
      </w:r>
      <w:r>
        <w:rPr>
          <w:rStyle w:val="deletedparamark"/>
        </w:rPr>
        <w:t xml:space="preserve"> </w:t>
      </w:r>
      <w:r>
        <w:t>one sumti, they are separated by the cmavo “bei” (of selma'o BEI), and</w:t>
      </w:r>
      <w:r>
        <w:rPr>
          <w:rStyle w:val="deletedparamark"/>
        </w:rPr>
        <w:t xml:space="preserve"> </w:t>
      </w:r>
      <w:r>
        <w:t>the list of sumti is terminated by the elidable terminator “be'o” (of</w:t>
      </w:r>
      <w:r>
        <w:rPr>
          <w:rStyle w:val="deletedparamark"/>
        </w:rPr>
        <w:t xml:space="preserve"> </w:t>
      </w:r>
      <w:r>
        <w:t>selma'o BEhO).</w:t>
      </w:r>
    </w:p>
    <w:p w:rsidR="00B72047" w:rsidRDefault="00B72047">
      <w:pPr>
        <w:rPr>
          <w:rStyle w:val="htmlparacode"/>
        </w:rPr>
      </w:pPr>
      <w:r>
        <w:rPr>
          <w:rStyle w:val="htmlparacode"/>
        </w:rPr>
        <w:t>&lt;p&gt;</w:t>
      </w:r>
    </w:p>
    <w:p w:rsidR="00B72047" w:rsidRDefault="00B72047">
      <w:pPr>
        <w:pStyle w:val="normalparagraph"/>
      </w:pPr>
      <w:r>
        <w:rPr>
          <w:rStyle w:val="indexentry"/>
        </w:rPr>
        <w:t>&lt;cx "linked sumti, definition"&gt;</w:t>
      </w:r>
      <w:r>
        <w:rPr>
          <w:rStyle w:val="indexentry"/>
        </w:rPr>
        <w:fldChar w:fldCharType="begin"/>
      </w:r>
      <w:r>
        <w:instrText>xe "</w:instrText>
      </w:r>
      <w:r>
        <w:rPr>
          <w:rStyle w:val="xeentry"/>
        </w:rPr>
        <w:instrText>linked sumti: definition</w:instrText>
      </w:r>
      <w:r>
        <w:instrText>"</w:instrText>
      </w:r>
      <w:r>
        <w:rPr>
          <w:rStyle w:val="indexentry"/>
        </w:rPr>
        <w:fldChar w:fldCharType="end"/>
      </w:r>
      <w:r>
        <w:t>Grammatically, a brivla with sumti linked to it in this fashion plays the</w:t>
      </w:r>
      <w:r>
        <w:rPr>
          <w:rStyle w:val="deletedparamark"/>
        </w:rPr>
        <w:t xml:space="preserve"> </w:t>
      </w:r>
      <w:r>
        <w:t>same role in tanru as a simple brivla. To illustrate, here is a fully</w:t>
      </w:r>
      <w:r>
        <w:rPr>
          <w:rStyle w:val="deletedparamark"/>
        </w:rPr>
        <w:t xml:space="preserve"> </w:t>
      </w:r>
      <w:r>
        <w:t xml:space="preserve">fleshed-out version of </w:t>
      </w:r>
      <w:r>
        <w:rPr>
          <w:rStyle w:val="htmlcodes"/>
        </w:rPr>
        <w:t>&lt;a href=#e3d4&gt;</w:t>
      </w:r>
      <w:r>
        <w:t>Ex</w:t>
      </w:r>
      <w:r>
        <w:softHyphen/>
        <w:t>ample 3.4</w:t>
      </w:r>
      <w:r>
        <w:rPr>
          <w:rStyle w:val="htmlcodes"/>
        </w:rPr>
        <w:t>&lt;/a&gt;</w:t>
      </w:r>
      <w:r>
        <w:t>, with all places filled in:</w:t>
      </w:r>
    </w:p>
    <w:p w:rsidR="00B72047" w:rsidRDefault="00B72047">
      <w:pPr>
        <w:rPr>
          <w:rStyle w:val="htmlparacode"/>
        </w:rPr>
      </w:pPr>
      <w:r>
        <w:rPr>
          <w:rStyle w:val="htmlparacode"/>
        </w:rPr>
        <w:t>&lt;p&gt;</w:t>
      </w:r>
    </w:p>
    <w:p w:rsidR="00B72047" w:rsidRDefault="00B72047">
      <w:pPr>
        <w:pStyle w:val="examplescaledpre"/>
      </w:pPr>
      <w:r>
        <w:rPr>
          <w:rStyle w:val="indexentry"/>
        </w:rPr>
        <w:t>&lt;ex "Brooklyn"&gt;</w:t>
      </w:r>
      <w:r>
        <w:rPr>
          <w:rStyle w:val="indexentry"/>
        </w:rPr>
        <w:fldChar w:fldCharType="begin"/>
      </w:r>
      <w:r>
        <w:instrText>xe "</w:instrText>
      </w:r>
      <w:r>
        <w:rPr>
          <w:rStyle w:val="xeentry"/>
        </w:rPr>
        <w:instrText>Brooklyn: example</w:instrText>
      </w:r>
      <w:r>
        <w:instrText>"</w:instrText>
      </w:r>
      <w:r>
        <w:rPr>
          <w:rStyle w:val="indexentry"/>
        </w:rPr>
        <w:fldChar w:fldCharType="end"/>
      </w:r>
      <w:r>
        <w:rPr>
          <w:rStyle w:val="htmlcodes"/>
        </w:rPr>
        <w:t>&lt;pre&gt;&lt;a name=e7d3&gt;</w:t>
      </w:r>
      <w:r>
        <w:t>7.3)</w:t>
      </w:r>
      <w:r>
        <w:tab/>
        <w:t>ti cmalu be le ka canlu</w:t>
      </w:r>
    </w:p>
    <w:p w:rsidR="00B72047" w:rsidRDefault="00B72047">
      <w:pPr>
        <w:pStyle w:val="examplescaled"/>
      </w:pPr>
      <w:r>
        <w:tab/>
      </w:r>
      <w:r>
        <w:tab/>
      </w:r>
      <w:r>
        <w:tab/>
        <w:t>bei lo'e ckule be'o</w:t>
      </w:r>
    </w:p>
    <w:p w:rsidR="00B72047" w:rsidRDefault="00B72047">
      <w:pPr>
        <w:pStyle w:val="examplescaled"/>
      </w:pPr>
      <w:r>
        <w:tab/>
      </w:r>
      <w:r>
        <w:tab/>
        <w:t>nixli be li mu bei lo merko be'o bo</w:t>
      </w:r>
    </w:p>
    <w:p w:rsidR="00B72047" w:rsidRDefault="00B72047">
      <w:pPr>
        <w:pStyle w:val="examplescaled"/>
      </w:pPr>
      <w:r>
        <w:tab/>
      </w:r>
      <w:r>
        <w:tab/>
      </w:r>
      <w:r>
        <w:tab/>
        <w:t>ckule la bryklyn. loi pemci</w:t>
      </w:r>
    </w:p>
    <w:p w:rsidR="00B72047" w:rsidRDefault="00B72047">
      <w:pPr>
        <w:pStyle w:val="examplescaled"/>
      </w:pPr>
      <w:r>
        <w:tab/>
      </w:r>
      <w:r>
        <w:tab/>
      </w:r>
      <w:r>
        <w:tab/>
      </w:r>
      <w:r>
        <w:tab/>
        <w:t>le mela nu,IORK. prenu</w:t>
      </w:r>
    </w:p>
    <w:p w:rsidR="00B72047" w:rsidRDefault="00B72047">
      <w:pPr>
        <w:pStyle w:val="examplescaled"/>
        <w:ind w:left="2160" w:firstLine="720"/>
      </w:pPr>
      <w:r>
        <w:t>le jecta</w:t>
      </w:r>
    </w:p>
    <w:p w:rsidR="00B72047" w:rsidRDefault="00B72047">
      <w:pPr>
        <w:pStyle w:val="examplescaledpre"/>
      </w:pPr>
      <w:r>
        <w:tab/>
        <w:t>This is a small (in-dimension the property-of volume</w:t>
      </w:r>
    </w:p>
    <w:p w:rsidR="00B72047" w:rsidRDefault="00B72047">
      <w:pPr>
        <w:pStyle w:val="examplescaled"/>
      </w:pPr>
      <w:r>
        <w:tab/>
      </w:r>
      <w:r>
        <w:tab/>
      </w:r>
      <w:r>
        <w:tab/>
        <w:t>by-standard the-typical school)</w:t>
      </w:r>
    </w:p>
    <w:p w:rsidR="00B72047" w:rsidRDefault="00B72047">
      <w:pPr>
        <w:pStyle w:val="examplescaled"/>
      </w:pPr>
      <w:r>
        <w:tab/>
      </w:r>
      <w:r>
        <w:tab/>
        <w:t>(girl (of-years the-number five by-standard some American-thing)</w:t>
      </w:r>
    </w:p>
    <w:p w:rsidR="00B72047" w:rsidRDefault="00B72047">
      <w:pPr>
        <w:pStyle w:val="examplescaled"/>
      </w:pPr>
      <w:r>
        <w:tab/>
      </w:r>
      <w:r>
        <w:tab/>
      </w:r>
      <w:r>
        <w:tab/>
        <w:t xml:space="preserve">school) in-Brooklyn with-subject poems </w:t>
      </w:r>
    </w:p>
    <w:p w:rsidR="00B72047" w:rsidRDefault="00B72047">
      <w:pPr>
        <w:pStyle w:val="examplescaled"/>
      </w:pPr>
      <w:r>
        <w:tab/>
      </w:r>
      <w:r>
        <w:tab/>
      </w:r>
      <w:r>
        <w:tab/>
      </w:r>
      <w:r>
        <w:tab/>
        <w:t xml:space="preserve">for-audience New-York persons </w:t>
      </w:r>
    </w:p>
    <w:p w:rsidR="00B72047" w:rsidRDefault="00B72047">
      <w:pPr>
        <w:pStyle w:val="examplescaled"/>
        <w:ind w:left="2160" w:firstLine="720"/>
      </w:pPr>
      <w:r>
        <w:t>with-operator the state.</w:t>
      </w:r>
    </w:p>
    <w:p w:rsidR="00B72047" w:rsidRDefault="00B72047">
      <w:pPr>
        <w:pStyle w:val="examplescaledpre"/>
      </w:pPr>
      <w:r>
        <w:tab/>
        <w:t>This is a school, small in volume compared to the typical school, pertaining to five-year-old girls (by American stan</w:t>
      </w:r>
      <w:r>
        <w:softHyphen/>
        <w:t>dards), in Brooklyn, teaching poetry to the New York com</w:t>
      </w:r>
      <w:r>
        <w:softHyphen/>
        <w:t>munity and operated by the state.</w:t>
      </w:r>
    </w:p>
    <w:p w:rsidR="00B72047" w:rsidRDefault="00B72047">
      <w:pPr>
        <w:pStyle w:val="resumedafterexample"/>
      </w:pPr>
      <w:r>
        <w:rPr>
          <w:rStyle w:val="htmlcodes"/>
        </w:rPr>
        <w:t>&lt;/pre&gt;&lt;p&gt;</w:t>
      </w:r>
      <w:r>
        <w:t>Here the three places of “cmalu”, the three of “nixli”, and the four of</w:t>
      </w:r>
      <w:r>
        <w:rPr>
          <w:rStyle w:val="deletedparamark"/>
        </w:rPr>
        <w:t xml:space="preserve"> “</w:t>
      </w:r>
      <w:r>
        <w:t>ckule” are fully specified. Since the places of “ckule” are the places</w:t>
      </w:r>
      <w:r>
        <w:rPr>
          <w:rStyle w:val="deletedparamark"/>
        </w:rPr>
        <w:t xml:space="preserve"> </w:t>
      </w:r>
      <w:r>
        <w:t>of the bridi as a whole, it was not necessary to link the sumti which</w:t>
      </w:r>
      <w:r>
        <w:rPr>
          <w:rStyle w:val="deletedparamark"/>
        </w:rPr>
        <w:t xml:space="preserve"> </w:t>
      </w:r>
      <w:r>
        <w:t>follow “ckule”. It would have been legal to do so, ho</w:t>
      </w:r>
      <w:r>
        <w:t>w</w:t>
      </w:r>
      <w:r>
        <w:softHyphen/>
        <w:t>ever: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mi klama be le zarci bei le zdani [be'o]</w:t>
      </w:r>
    </w:p>
    <w:p w:rsidR="00B72047" w:rsidRDefault="00B72047">
      <w:pPr>
        <w:pStyle w:val="examplescaled"/>
      </w:pPr>
      <w:r>
        <w:tab/>
        <w:t>I go (to-the market from-the house).</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mi klama le zarci le zdani</w:t>
      </w:r>
    </w:p>
    <w:p w:rsidR="00B72047" w:rsidRDefault="00B72047">
      <w:pPr>
        <w:pStyle w:val="examplescaled"/>
      </w:pPr>
      <w:r>
        <w:tab/>
        <w:t>I go to-the market from-the house.</w:t>
      </w:r>
    </w:p>
    <w:p w:rsidR="00B72047" w:rsidRDefault="00B72047">
      <w:pPr>
        <w:pStyle w:val="normalafterexample"/>
      </w:pPr>
      <w:r>
        <w:rPr>
          <w:rStyle w:val="htmlcodes"/>
        </w:rPr>
        <w:t>&lt;/pre&gt;</w:t>
      </w:r>
      <w:r>
        <w:rPr>
          <w:rStyle w:val="indexentry"/>
        </w:rPr>
        <w:t>&lt;cx "tanru, place structures of"&gt;</w:t>
      </w:r>
      <w:r>
        <w:rPr>
          <w:rStyle w:val="indexentry"/>
        </w:rPr>
        <w:fldChar w:fldCharType="begin"/>
      </w:r>
      <w:r>
        <w:instrText>xe "</w:instrText>
      </w:r>
      <w:r>
        <w:rPr>
          <w:rStyle w:val="xeentry"/>
        </w:rPr>
        <w:instrText>tanru: place structures of</w:instrText>
      </w:r>
      <w:r>
        <w:instrText>"</w:instrText>
      </w:r>
      <w:r>
        <w:rPr>
          <w:rStyle w:val="indexentry"/>
        </w:rPr>
        <w:fldChar w:fldCharType="end"/>
      </w:r>
      <w:r>
        <w:t>No matter how complex a tanru gets, the last brivla always dictates the</w:t>
      </w:r>
      <w:r>
        <w:rPr>
          <w:rStyle w:val="deletedparamark"/>
        </w:rPr>
        <w:t xml:space="preserve"> </w:t>
      </w:r>
      <w:r>
        <w:t>place stru</w:t>
      </w:r>
      <w:r>
        <w:t>c</w:t>
      </w:r>
      <w:r>
        <w:softHyphen/>
        <w:t>ture: the place structure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melbi je cmalu nixli bo ckule</w:t>
      </w:r>
    </w:p>
    <w:p w:rsidR="00B72047" w:rsidRDefault="00B72047">
      <w:pPr>
        <w:pStyle w:val="examplescaled"/>
      </w:pPr>
      <w:r>
        <w:tab/>
        <w:t>a (pretty and little) (girl school)</w:t>
      </w:r>
    </w:p>
    <w:p w:rsidR="00B72047" w:rsidRDefault="00B72047">
      <w:pPr>
        <w:pStyle w:val="examplescaled"/>
      </w:pPr>
      <w:r>
        <w:tab/>
        <w:t>a school for girls which is both beautiful and small</w:t>
      </w:r>
    </w:p>
    <w:p w:rsidR="00B72047" w:rsidRDefault="00B72047">
      <w:pPr>
        <w:pStyle w:val="resumedafterexample"/>
      </w:pPr>
      <w:r>
        <w:rPr>
          <w:rStyle w:val="htmlcodes"/>
        </w:rPr>
        <w:t>&lt;/pre&gt;</w:t>
      </w:r>
      <w:r>
        <w:t>is simply that of “ckule”. (The sole exception to this rule is discussed</w:t>
      </w:r>
      <w:r>
        <w:rPr>
          <w:rStyle w:val="deletedparamark"/>
        </w:rPr>
        <w:t xml:space="preserve"> </w:t>
      </w:r>
      <w:r>
        <w:t xml:space="preserve">in </w:t>
      </w:r>
      <w:r>
        <w:rPr>
          <w:rStyle w:val="htmlcodes"/>
        </w:rPr>
        <w:t>&lt;a href=#s8&gt;</w:t>
      </w:r>
      <w:r>
        <w:t>Section 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"FA"&gt;</w:t>
      </w:r>
      <w:r>
        <w:rPr>
          <w:rStyle w:val="indexentry"/>
        </w:rPr>
        <w:fldChar w:fldCharType="begin"/>
      </w:r>
      <w:r>
        <w:instrText>xe "</w:instrText>
      </w:r>
      <w:r>
        <w:rPr>
          <w:rStyle w:val="xeentry"/>
        </w:rPr>
        <w:instrText>FA selma’o</w:instrText>
      </w:r>
      <w:r>
        <w:instrText>"</w:instrText>
      </w:r>
      <w:r>
        <w:rPr>
          <w:rStyle w:val="indexentry"/>
        </w:rPr>
        <w:fldChar w:fldCharType="end"/>
      </w:r>
      <w:r>
        <w:rPr>
          <w:rStyle w:val="indexentry"/>
        </w:rPr>
        <w:t>&lt;cx "linked sumti and FA tags"&gt;</w:t>
      </w:r>
      <w:r>
        <w:rPr>
          <w:rStyle w:val="indexentry"/>
        </w:rPr>
        <w:fldChar w:fldCharType="begin"/>
      </w:r>
      <w:r>
        <w:instrText>xe "</w:instrText>
      </w:r>
      <w:r>
        <w:rPr>
          <w:rStyle w:val="xeentry"/>
        </w:rPr>
        <w:instrText>linked sumti and FA tags</w:instrText>
      </w:r>
      <w:r>
        <w:instrText>"</w:instrText>
      </w:r>
      <w:r>
        <w:rPr>
          <w:rStyle w:val="indexentry"/>
        </w:rPr>
        <w:fldChar w:fldCharType="end"/>
      </w:r>
      <w:r>
        <w:rPr>
          <w:rStyle w:val="indexentry"/>
        </w:rPr>
        <w:t>&lt;cx "FA tags and linked sumti"&gt;</w:t>
      </w:r>
      <w:r>
        <w:rPr>
          <w:rStyle w:val="indexentry"/>
        </w:rPr>
        <w:fldChar w:fldCharType="begin"/>
      </w:r>
      <w:r>
        <w:instrText>xe "</w:instrText>
      </w:r>
      <w:r>
        <w:rPr>
          <w:rStyle w:val="xeentry"/>
        </w:rPr>
        <w:instrText>FA tags and linked sumti</w:instrText>
      </w:r>
      <w:r>
        <w:instrText>"</w:instrText>
      </w:r>
      <w:r>
        <w:rPr>
          <w:rStyle w:val="indexentry"/>
        </w:rPr>
        <w:fldChar w:fldCharType="end"/>
      </w:r>
      <w:r>
        <w:t>It is possible to precede linked sumti by the place structure ordering</w:t>
      </w:r>
      <w:r>
        <w:rPr>
          <w:rStyle w:val="deletedparamark"/>
        </w:rPr>
        <w:t xml:space="preserve"> </w:t>
      </w:r>
      <w:r>
        <w:t>tags “fe”, “fi”, “fo”, and “fu” (of selma'o FA, discussed further in</w:t>
      </w:r>
      <w:r>
        <w:rPr>
          <w:rStyle w:val="deletedparamark"/>
        </w:rPr>
        <w:t xml:space="preserve"> </w:t>
      </w:r>
      <w:r>
        <w:rPr>
          <w:rStyle w:val="htmlcodes"/>
        </w:rPr>
        <w:t>&lt;a href=chap9.html&gt;</w:t>
      </w:r>
      <w:r>
        <w:t>Chapter 9</w:t>
      </w:r>
      <w:r>
        <w:rPr>
          <w:rStyle w:val="htmlcodes"/>
        </w:rPr>
        <w:t>&lt;/a&gt;</w:t>
      </w:r>
      <w:r>
        <w:t>), which serve to ex</w:t>
      </w:r>
      <w:r>
        <w:softHyphen/>
        <w:t>plicitly specify the x2, x3, x4, and x5 places</w:t>
      </w:r>
      <w:r>
        <w:rPr>
          <w:rStyle w:val="deletedparamark"/>
        </w:rPr>
        <w:t xml:space="preserve"> </w:t>
      </w:r>
      <w:r>
        <w:t>respectively. Normally, the place follow</w:t>
      </w:r>
      <w:r>
        <w:softHyphen/>
        <w:t>ing the “be” is the x2 place and the</w:t>
      </w:r>
      <w:r>
        <w:rPr>
          <w:rStyle w:val="deletedparamark"/>
        </w:rPr>
        <w:t xml:space="preserve"> </w:t>
      </w:r>
      <w:r>
        <w:t>other places follow in order. If it seems convenient to change the order,</w:t>
      </w:r>
      <w:r>
        <w:rPr>
          <w:rStyle w:val="deletedparamark"/>
        </w:rPr>
        <w:t xml:space="preserve"> </w:t>
      </w:r>
      <w:r>
        <w:t>however, it can be accomplished as follows: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name=e7d7&gt;</w:t>
      </w:r>
      <w:r>
        <w:t>7.7)</w:t>
      </w:r>
      <w:r>
        <w:tab/>
        <w:t>ti xamgu be fi mi bei fe do [be'o] zdani</w:t>
      </w:r>
    </w:p>
    <w:p w:rsidR="00B72047" w:rsidRDefault="00B72047">
      <w:pPr>
        <w:pStyle w:val="examplescaled"/>
      </w:pPr>
      <w:r>
        <w:tab/>
        <w:t>This is-a-good (by-standard me for you) house</w:t>
      </w:r>
    </w:p>
    <w:p w:rsidR="00B72047" w:rsidRDefault="00B72047">
      <w:pPr>
        <w:pStyle w:val="resumedafterexample"/>
      </w:pPr>
      <w:r>
        <w:rPr>
          <w:rStyle w:val="htmlcodes"/>
        </w:rPr>
        <w:t>&lt;/pre&gt;</w:t>
      </w:r>
      <w:r>
        <w:t xml:space="preserve">which is equivalent in meaning to </w:t>
      </w:r>
      <w:r>
        <w:rPr>
          <w:rStyle w:val="htmlcodes"/>
        </w:rPr>
        <w:t>&lt;a href=#e7d2&gt;</w:t>
      </w:r>
      <w:r>
        <w:t>Example 7.2</w:t>
      </w:r>
      <w:r>
        <w:rPr>
          <w:rStyle w:val="htmlcodes"/>
        </w:rPr>
        <w:t>&lt;/a&gt;</w:t>
      </w:r>
      <w:r>
        <w:t>. Note that the order of</w:t>
      </w:r>
      <w:r>
        <w:rPr>
          <w:rStyle w:val="deletedparamark"/>
        </w:rPr>
        <w:t xml:space="preserve"> “</w:t>
      </w:r>
      <w:r>
        <w:t>be”, “bei”, and “be'o” does not change; only the inserted “fi” tells</w:t>
      </w:r>
      <w:r>
        <w:rPr>
          <w:rStyle w:val="deletedparamark"/>
        </w:rPr>
        <w:t xml:space="preserve"> </w:t>
      </w:r>
      <w:r>
        <w:t>us that “mi” is the x3 place (and cor</w:t>
      </w:r>
      <w:r>
        <w:softHyphen/>
        <w:t>respondingly, the inserted “fe”</w:t>
      </w:r>
      <w:r>
        <w:rPr>
          <w:rStyle w:val="deletedparamark"/>
        </w:rPr>
        <w:t xml:space="preserve"> </w:t>
      </w:r>
      <w:r>
        <w:t>tells us that “do” is the x2 place). Changing the order of sumti is</w:t>
      </w:r>
      <w:r>
        <w:rPr>
          <w:rStyle w:val="deletedparamark"/>
        </w:rPr>
        <w:t xml:space="preserve"> </w:t>
      </w:r>
      <w:r>
        <w:t>often done to match the order of another language, or for</w:t>
      </w:r>
      <w:r>
        <w:rPr>
          <w:rStyle w:val="deletedparamark"/>
        </w:rPr>
        <w:t xml:space="preserve"> </w:t>
      </w:r>
      <w:r>
        <w:t>emphasis or rhythm.</w:t>
      </w:r>
    </w:p>
    <w:p w:rsidR="00B72047" w:rsidRDefault="00B72047">
      <w:pPr>
        <w:rPr>
          <w:rStyle w:val="htmlparacode"/>
        </w:rPr>
      </w:pPr>
      <w:r>
        <w:rPr>
          <w:rStyle w:val="htmlparacode"/>
        </w:rPr>
        <w:t>&lt;p&gt;</w:t>
      </w:r>
    </w:p>
    <w:p w:rsidR="00B72047" w:rsidRDefault="00B72047">
      <w:pPr>
        <w:pStyle w:val="normalparagraph"/>
      </w:pPr>
      <w:r>
        <w:t>Of course, using FA cmavo makes it easy to specify one place while</w:t>
      </w:r>
      <w:r>
        <w:rPr>
          <w:rStyle w:val="deletedparamark"/>
        </w:rPr>
        <w:t xml:space="preserve"> </w:t>
      </w:r>
      <w:r>
        <w:t>omitting a pr</w:t>
      </w:r>
      <w:r>
        <w:t>e</w:t>
      </w:r>
      <w:r>
        <w:softHyphen/>
        <w:t>vious 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ti xamgu be fi mi [be'o] zdani</w:t>
      </w:r>
    </w:p>
    <w:p w:rsidR="00B72047" w:rsidRDefault="00B72047">
      <w:pPr>
        <w:pStyle w:val="examplescaled"/>
      </w:pPr>
      <w:r>
        <w:tab/>
        <w:t>This is-a-good (by-standard me) house</w:t>
      </w:r>
    </w:p>
    <w:p w:rsidR="00B72047" w:rsidRDefault="00B72047">
      <w:pPr>
        <w:pStyle w:val="examplescaled"/>
      </w:pPr>
      <w:r>
        <w:tab/>
        <w:t>This is a good house by my standards.</w:t>
      </w:r>
    </w:p>
    <w:p w:rsidR="00B72047" w:rsidRDefault="00B72047">
      <w:pPr>
        <w:pStyle w:val="normalafterexample"/>
      </w:pPr>
      <w:r>
        <w:rPr>
          <w:rStyle w:val="htmlcodes"/>
        </w:rPr>
        <w:t>&lt;/pre&gt;</w:t>
      </w:r>
      <w:r>
        <w:rPr>
          <w:rStyle w:val="indexentry"/>
        </w:rPr>
        <w:t>&lt;cx "linked sumti and sumti tcita"&gt;</w:t>
      </w:r>
      <w:r>
        <w:rPr>
          <w:rStyle w:val="indexentry"/>
        </w:rPr>
        <w:fldChar w:fldCharType="begin"/>
      </w:r>
      <w:r>
        <w:instrText>xe "</w:instrText>
      </w:r>
      <w:r>
        <w:rPr>
          <w:rStyle w:val="xeentry"/>
        </w:rPr>
        <w:instrText>linked sumti and sumti tcita</w:instrText>
      </w:r>
      <w:r>
        <w:instrText>"</w:instrText>
      </w:r>
      <w:r>
        <w:rPr>
          <w:rStyle w:val="indexentry"/>
        </w:rPr>
        <w:fldChar w:fldCharType="end"/>
      </w:r>
      <w:r>
        <w:rPr>
          <w:rStyle w:val="indexentry"/>
        </w:rPr>
        <w:t>&lt;cx "sumti tcita and linked sumti"&gt;</w:t>
      </w:r>
      <w:r>
        <w:rPr>
          <w:rStyle w:val="indexentry"/>
        </w:rPr>
        <w:fldChar w:fldCharType="begin"/>
      </w:r>
      <w:r>
        <w:instrText>xe "</w:instrText>
      </w:r>
      <w:r>
        <w:rPr>
          <w:rStyle w:val="xeentry"/>
        </w:rPr>
        <w:instrText>sumti tcita and linked sumti</w:instrText>
      </w:r>
      <w:r>
        <w:instrText>"</w:instrText>
      </w:r>
      <w:r>
        <w:rPr>
          <w:rStyle w:val="indexentry"/>
        </w:rPr>
        <w:fldChar w:fldCharType="end"/>
      </w:r>
      <w:r>
        <w:rPr>
          <w:rStyle w:val="indexentry"/>
        </w:rPr>
        <w:t>&lt;cx "modal tags and sumti tcita"&gt;</w:t>
      </w:r>
      <w:r>
        <w:rPr>
          <w:rStyle w:val="indexentry"/>
        </w:rPr>
        <w:fldChar w:fldCharType="begin"/>
      </w:r>
      <w:r>
        <w:instrText>xe "</w:instrText>
      </w:r>
      <w:r>
        <w:rPr>
          <w:rStyle w:val="xeentry"/>
        </w:rPr>
        <w:instrText>modal tag: and sumti tcita</w:instrText>
      </w:r>
      <w:r>
        <w:instrText>"</w:instrText>
      </w:r>
      <w:r>
        <w:rPr>
          <w:rStyle w:val="indexentry"/>
        </w:rPr>
        <w:fldChar w:fldCharType="end"/>
      </w:r>
      <w:r>
        <w:rPr>
          <w:rStyle w:val="indexentry"/>
        </w:rPr>
        <w:t>&lt;cx "sumti tcita and modal tags"&gt;</w:t>
      </w:r>
      <w:r>
        <w:rPr>
          <w:rStyle w:val="indexentry"/>
        </w:rPr>
        <w:fldChar w:fldCharType="begin"/>
      </w:r>
      <w:r>
        <w:instrText>xe "</w:instrText>
      </w:r>
      <w:r>
        <w:rPr>
          <w:rStyle w:val="xeentry"/>
        </w:rPr>
        <w:instrText>sumti tcita and modal tags</w:instrText>
      </w:r>
      <w:r>
        <w:instrText>"</w:instrText>
      </w:r>
      <w:r>
        <w:rPr>
          <w:rStyle w:val="indexentry"/>
        </w:rPr>
        <w:fldChar w:fldCharType="end"/>
      </w:r>
      <w:r>
        <w:rPr>
          <w:rStyle w:val="indexentry"/>
        </w:rPr>
        <w:t>&lt;cx "tense tags and sumti tcita"&gt;</w:t>
      </w:r>
      <w:r>
        <w:rPr>
          <w:rStyle w:val="indexentry"/>
        </w:rPr>
        <w:fldChar w:fldCharType="begin"/>
      </w:r>
      <w:r>
        <w:instrText>xe "</w:instrText>
      </w:r>
      <w:r>
        <w:rPr>
          <w:rStyle w:val="xeentry"/>
        </w:rPr>
        <w:instrText>tense tags and sumti tcita</w:instrText>
      </w:r>
      <w:r>
        <w:instrText>"</w:instrText>
      </w:r>
      <w:r>
        <w:rPr>
          <w:rStyle w:val="indexentry"/>
        </w:rPr>
        <w:fldChar w:fldCharType="end"/>
      </w:r>
      <w:r>
        <w:rPr>
          <w:rStyle w:val="indexentry"/>
        </w:rPr>
        <w:t>&lt;cx "sumti tcita and tense tags"&gt;</w:t>
      </w:r>
      <w:r>
        <w:rPr>
          <w:rStyle w:val="indexentry"/>
        </w:rPr>
        <w:fldChar w:fldCharType="begin"/>
      </w:r>
      <w:r>
        <w:instrText>xe "</w:instrText>
      </w:r>
      <w:r>
        <w:rPr>
          <w:rStyle w:val="xeentry"/>
        </w:rPr>
        <w:instrText>sumti tcita and tense tags</w:instrText>
      </w:r>
      <w:r>
        <w:instrText>"</w:instrText>
      </w:r>
      <w:r>
        <w:rPr>
          <w:rStyle w:val="indexentry"/>
        </w:rPr>
        <w:fldChar w:fldCharType="end"/>
      </w:r>
      <w:r>
        <w:t>Similarly, sumti labeled by modal or tense tags can be in</w:t>
      </w:r>
      <w:r>
        <w:softHyphen/>
        <w:t>serted into</w:t>
      </w:r>
      <w:r>
        <w:rPr>
          <w:rStyle w:val="deletedparamark"/>
        </w:rPr>
        <w:t xml:space="preserve"> </w:t>
      </w:r>
      <w:r>
        <w:t>strings of linked sumti just as they can into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name=e7d9&gt;</w:t>
      </w:r>
      <w:r>
        <w:t>7.9)</w:t>
      </w:r>
      <w:r>
        <w:tab/>
        <w:t>ta blanu be ga'a mi [be'o] zdani</w:t>
      </w:r>
    </w:p>
    <w:p w:rsidR="00B72047" w:rsidRDefault="00B72047">
      <w:pPr>
        <w:pStyle w:val="examplescaled"/>
      </w:pPr>
      <w:r>
        <w:tab/>
        <w:t>That is-a-blue (to-observer me) house.</w:t>
      </w:r>
    </w:p>
    <w:p w:rsidR="00B72047" w:rsidRDefault="00B72047">
      <w:pPr>
        <w:pStyle w:val="examplescaled"/>
      </w:pPr>
      <w:r>
        <w:tab/>
        <w:t>That is a blue, as I see it, house.</w:t>
      </w:r>
    </w:p>
    <w:p w:rsidR="00B72047" w:rsidRDefault="00B72047">
      <w:pPr>
        <w:pStyle w:val="resumedafterexample"/>
      </w:pPr>
      <w:r>
        <w:rPr>
          <w:rStyle w:val="htmlcodes"/>
        </w:rPr>
        <w:t>&lt;/pre&gt;&lt;p&gt;</w:t>
      </w:r>
      <w:r>
        <w:t xml:space="preserve">The meaning of </w:t>
      </w:r>
      <w:r>
        <w:rPr>
          <w:rStyle w:val="htmlcodes"/>
        </w:rPr>
        <w:t>&lt;a href=#e7d9&gt;</w:t>
      </w:r>
      <w:r>
        <w:t xml:space="preserve">Example 7.9 </w:t>
      </w:r>
      <w:r>
        <w:rPr>
          <w:rStyle w:val="htmlcodes"/>
        </w:rPr>
        <w:t>&lt;/a&gt;</w:t>
      </w:r>
      <w:r>
        <w:t>is slightly different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name=e7d10&gt;</w:t>
      </w:r>
      <w:r>
        <w:t>7.10)</w:t>
      </w:r>
      <w:r>
        <w:tab/>
        <w:t>ta blanu zdani ga'a mi</w:t>
      </w:r>
    </w:p>
    <w:p w:rsidR="00B72047" w:rsidRDefault="00B72047">
      <w:pPr>
        <w:pStyle w:val="examplescaled"/>
      </w:pPr>
      <w:r>
        <w:tab/>
        <w:t>That is-a-blue house to-observer me.</w:t>
      </w:r>
    </w:p>
    <w:p w:rsidR="00B72047" w:rsidRDefault="00B72047">
      <w:pPr>
        <w:pStyle w:val="examplescaled"/>
      </w:pPr>
      <w:r>
        <w:tab/>
        <w:t>That is a blue house, as I see it.</w:t>
      </w:r>
    </w:p>
    <w:p w:rsidR="00B72047" w:rsidRDefault="00B72047">
      <w:pPr>
        <w:pStyle w:val="resumedafterexample"/>
      </w:pPr>
      <w:r>
        <w:rPr>
          <w:rStyle w:val="htmlcodes"/>
        </w:rPr>
        <w:t>&lt;/pre&gt;&lt;p&gt;</w:t>
      </w:r>
      <w:r>
        <w:t xml:space="preserve">See discussions in </w:t>
      </w:r>
      <w:r>
        <w:rPr>
          <w:rStyle w:val="htmlcodes"/>
        </w:rPr>
        <w:t>&lt;a href=chap9.html&gt;</w:t>
      </w:r>
      <w:r>
        <w:t xml:space="preserve">Chapter 9 </w:t>
      </w:r>
      <w:r>
        <w:rPr>
          <w:rStyle w:val="htmlcodes"/>
        </w:rPr>
        <w:t>&lt;/a&gt;</w:t>
      </w:r>
      <w:r>
        <w:t xml:space="preserve">of modals and in </w:t>
      </w:r>
      <w:r>
        <w:rPr>
          <w:rStyle w:val="htmlcodes"/>
        </w:rPr>
        <w:t>&lt;a href=chap10.html&gt;</w:t>
      </w:r>
      <w:r>
        <w:t xml:space="preserve">Chapter 10 </w:t>
      </w:r>
      <w:r>
        <w:rPr>
          <w:rStyle w:val="htmlcodes"/>
        </w:rPr>
        <w:t>&lt;/a&gt;</w:t>
      </w:r>
      <w:r>
        <w:t>of tenses for more</w:t>
      </w:r>
      <w:r>
        <w:rPr>
          <w:rStyle w:val="deletedparamark"/>
        </w:rPr>
        <w:t xml:space="preserve"> </w:t>
      </w:r>
      <w:r>
        <w:t>explana</w:t>
      </w:r>
      <w:r>
        <w:softHyphen/>
        <w:t>tions.</w:t>
      </w:r>
    </w:p>
    <w:p w:rsidR="00B72047" w:rsidRDefault="00B72047">
      <w:pPr>
        <w:rPr>
          <w:rStyle w:val="htmlparacode"/>
        </w:rPr>
      </w:pPr>
      <w:r>
        <w:rPr>
          <w:rStyle w:val="htmlparacode"/>
        </w:rPr>
        <w:t>&lt;p&gt;</w:t>
      </w:r>
    </w:p>
    <w:p w:rsidR="00B72047" w:rsidRDefault="00B72047">
      <w:pPr>
        <w:pStyle w:val="normalparagraph"/>
      </w:pPr>
      <w:r>
        <w:rPr>
          <w:rStyle w:val="indexentry"/>
        </w:rPr>
        <w:t>&lt;cx "elidability of “be'o”"&gt;</w:t>
      </w:r>
      <w:r>
        <w:rPr>
          <w:rStyle w:val="indexentry"/>
        </w:rPr>
        <w:fldChar w:fldCharType="begin"/>
      </w:r>
      <w:r>
        <w:instrText>xe "</w:instrText>
      </w:r>
      <w:r>
        <w:rPr>
          <w:rStyle w:val="xeentry"/>
        </w:rPr>
        <w:instrText>elidability of be'o</w:instrText>
      </w:r>
      <w:r>
        <w:instrText>"</w:instrText>
      </w:r>
      <w:r>
        <w:rPr>
          <w:rStyle w:val="indexentry"/>
        </w:rPr>
        <w:fldChar w:fldCharType="end"/>
      </w:r>
      <w:r>
        <w:rPr>
          <w:rStyle w:val="indexentry"/>
        </w:rPr>
        <w:t>&lt;cx "be'o, elidability of"&gt;</w:t>
      </w:r>
      <w:r>
        <w:rPr>
          <w:rStyle w:val="indexentry"/>
        </w:rPr>
        <w:fldChar w:fldCharType="begin"/>
      </w:r>
      <w:r>
        <w:instrText>xe "</w:instrText>
      </w:r>
      <w:r>
        <w:rPr>
          <w:rStyle w:val="xeentry"/>
        </w:rPr>
        <w:instrText>be'o: elidability of</w:instrText>
      </w:r>
      <w:r>
        <w:instrText>"</w:instrText>
      </w:r>
      <w:r>
        <w:rPr>
          <w:rStyle w:val="indexentry"/>
        </w:rPr>
        <w:fldChar w:fldCharType="end"/>
      </w:r>
      <w:r>
        <w:rPr>
          <w:rStyle w:val="indexentry"/>
        </w:rPr>
        <w:t>&lt;cx "relative clauses, effect on elidability of be'o"&gt;</w:t>
      </w:r>
      <w:r>
        <w:rPr>
          <w:rStyle w:val="indexentry"/>
        </w:rPr>
        <w:fldChar w:fldCharType="begin"/>
      </w:r>
      <w:r>
        <w:instrText>xe "</w:instrText>
      </w:r>
      <w:r>
        <w:rPr>
          <w:rStyle w:val="xeentry"/>
        </w:rPr>
        <w:instrText>relative clause: effect on elidability of be'o</w:instrText>
      </w:r>
      <w:r>
        <w:instrText>"</w:instrText>
      </w:r>
      <w:r>
        <w:rPr>
          <w:rStyle w:val="indexentry"/>
        </w:rPr>
        <w:fldChar w:fldCharType="end"/>
      </w:r>
      <w:r>
        <w:rPr>
          <w:rStyle w:val="indexentry"/>
        </w:rPr>
        <w:t>&lt;cx "be'o, effect of relative clauses on elidability of"&gt;</w:t>
      </w:r>
      <w:r>
        <w:rPr>
          <w:rStyle w:val="indexentry"/>
        </w:rPr>
        <w:fldChar w:fldCharType="begin"/>
      </w:r>
      <w:r>
        <w:instrText>xe "</w:instrText>
      </w:r>
      <w:r>
        <w:rPr>
          <w:rStyle w:val="xeentry"/>
        </w:rPr>
        <w:instrText>be'o: effect of relative clauses on elidability of</w:instrText>
      </w:r>
      <w:r>
        <w:instrText>"</w:instrText>
      </w:r>
      <w:r>
        <w:rPr>
          <w:rStyle w:val="indexentry"/>
        </w:rPr>
        <w:fldChar w:fldCharType="end"/>
      </w:r>
      <w:r>
        <w:t>The terminator “be'o” is almost always elidable: however, if the selbri</w:t>
      </w:r>
      <w:r>
        <w:rPr>
          <w:rStyle w:val="deletedparamark"/>
        </w:rPr>
        <w:t xml:space="preserve"> </w:t>
      </w:r>
      <w:r>
        <w:t>belongs to a description, then a relative clause following it will attach</w:t>
      </w:r>
      <w:r>
        <w:rPr>
          <w:rStyle w:val="deletedparamark"/>
        </w:rPr>
        <w:t xml:space="preserve"> </w:t>
      </w:r>
      <w:r>
        <w:t>to the last linked sumti unless “be'o” is used, in which case it will</w:t>
      </w:r>
      <w:r>
        <w:rPr>
          <w:rStyle w:val="deletedparamark"/>
        </w:rPr>
        <w:t xml:space="preserve"> </w:t>
      </w:r>
      <w:r>
        <w:t>attach to the outer description:</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&lt;pre&gt;&lt;a name=e7d11&gt;</w:t>
      </w:r>
      <w:r>
        <w:t>7.11)</w:t>
      </w:r>
      <w:r>
        <w:tab/>
        <w:t>le xamgu be do noi barda cu zdani</w:t>
      </w:r>
    </w:p>
    <w:p w:rsidR="00B72047" w:rsidRDefault="00B72047">
      <w:pPr>
        <w:pStyle w:val="examplescaled"/>
      </w:pPr>
      <w:r>
        <w:tab/>
        <w:t>The good-thing for you (who are-large) is-a-house.</w:t>
      </w:r>
    </w:p>
    <w:p w:rsidR="00B72047" w:rsidRDefault="00B72047">
      <w:pPr>
        <w:pStyle w:val="examplescaledpre"/>
      </w:pPr>
      <w:r>
        <w:rPr>
          <w:rStyle w:val="htmlcodes"/>
        </w:rPr>
        <w:t>&lt;a name=e7d12&gt;</w:t>
      </w:r>
      <w:r>
        <w:t>7.12)</w:t>
      </w:r>
      <w:r>
        <w:tab/>
        <w:t>le xamgu be do be'o noi barda cu zdani</w:t>
      </w:r>
    </w:p>
    <w:p w:rsidR="00B72047" w:rsidRDefault="00B72047">
      <w:pPr>
        <w:pStyle w:val="examplescaled"/>
      </w:pPr>
      <w:r>
        <w:tab/>
        <w:t>The (good-thing for you) (which is-large) is-a-house</w:t>
      </w:r>
    </w:p>
    <w:p w:rsidR="00B72047" w:rsidRDefault="00B72047">
      <w:pPr>
        <w:pStyle w:val="resumedafterexample"/>
      </w:pPr>
      <w:r>
        <w:rPr>
          <w:rStyle w:val="htmlcodes"/>
        </w:rPr>
        <w:t>&lt;/pre&gt;</w:t>
      </w:r>
      <w:r>
        <w:t xml:space="preserve">(Relative clauses are explained in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"ku, effect on elidability of be'o"&gt;&lt;cx "be'o, effect of ku on elidability of"&gt;</w:t>
      </w:r>
      <w:r>
        <w:rPr>
          <w:rStyle w:val="indexentry"/>
        </w:rPr>
        <w:fldChar w:fldCharType="begin"/>
      </w:r>
      <w:r>
        <w:instrText>xe "</w:instrText>
      </w:r>
      <w:r>
        <w:rPr>
          <w:rStyle w:val="xeentry"/>
        </w:rPr>
        <w:instrText>be'o: effect of ku on elidability of</w:instrText>
      </w:r>
      <w:r>
        <w:instrText>"</w:instrText>
      </w:r>
      <w:r>
        <w:rPr>
          <w:rStyle w:val="indexentry"/>
        </w:rPr>
        <w:fldChar w:fldCharType="end"/>
      </w:r>
      <w:r>
        <w:t>In other cases, however, “be'o” cannot be elided if “ku” has also been</w:t>
      </w:r>
      <w:r>
        <w:rPr>
          <w:rStyle w:val="deletedparamark"/>
        </w:rPr>
        <w:t xml:space="preserve"> </w:t>
      </w:r>
      <w:r>
        <w:t>elided: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name=e7d13&gt;</w:t>
      </w:r>
      <w:r>
        <w:t>7.13)</w:t>
      </w:r>
      <w:r>
        <w:tab/>
        <w:t>le xamgu be le ctuca [ku] be'o zdani</w:t>
      </w:r>
    </w:p>
    <w:p w:rsidR="00B72047" w:rsidRDefault="00B72047">
      <w:pPr>
        <w:pStyle w:val="examplescaled"/>
      </w:pPr>
      <w:r>
        <w:tab/>
        <w:t>the good (for the teacher ) house</w:t>
      </w:r>
    </w:p>
    <w:p w:rsidR="00B72047" w:rsidRDefault="00B72047">
      <w:pPr>
        <w:pStyle w:val="resumedafterexample"/>
      </w:pPr>
      <w:r>
        <w:rPr>
          <w:rStyle w:val="htmlcodes"/>
        </w:rPr>
        <w:t>&lt;/pre&gt;</w:t>
      </w:r>
      <w:r>
        <w:t>requires either “ku” or “be'o”, and since there is only one occurrence</w:t>
      </w:r>
      <w:r>
        <w:rPr>
          <w:rStyle w:val="deletedparamark"/>
        </w:rPr>
        <w:t xml:space="preserve"> </w:t>
      </w:r>
      <w:r>
        <w:t>of “be”, the “be'o” must match it, whereas it may be confusing which</w:t>
      </w:r>
      <w:r>
        <w:rPr>
          <w:rStyle w:val="deletedparamark"/>
        </w:rPr>
        <w:t xml:space="preserve"> </w:t>
      </w:r>
      <w:r>
        <w:t>occurrence of “le” the “ku” termi</w:t>
      </w:r>
      <w:r>
        <w:softHyphen/>
        <w:t>nates (in fact the second one is cor</w:t>
      </w:r>
      <w:r>
        <w:softHyphen/>
        <w:t>rect).</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name=s8&gt;&lt;h3&gt;</w:t>
      </w:r>
      <w:bookmarkStart w:id="208" w:name="_Toc395691524"/>
      <w:bookmarkStart w:id="209" w:name="_Toc398970495"/>
      <w:r>
        <w:rPr>
          <w:rStyle w:val="Heading3Text"/>
        </w:rPr>
        <w:t>Inversion of tanru: “co”</w:t>
      </w:r>
      <w:bookmarkEnd w:id="208"/>
      <w:bookmarkEnd w:id="20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co</w:t>
      </w:r>
      <w:r>
        <w:tab/>
        <w:t>CO</w:t>
      </w:r>
      <w:r>
        <w:tab/>
        <w:t>tanru inversion marker</w:t>
      </w:r>
    </w:p>
    <w:p w:rsidR="00B72047" w:rsidRDefault="00B72047">
      <w:pPr>
        <w:pStyle w:val="normalafterexample"/>
      </w:pPr>
      <w:r>
        <w:rPr>
          <w:rStyle w:val="htmlcodes"/>
        </w:rPr>
        <w:t>&lt;/pre&gt;</w:t>
      </w:r>
      <w:r>
        <w:rPr>
          <w:rStyle w:val="indexentry"/>
        </w:rPr>
        <w:t>&lt;cx "tanru inversion"&gt;</w:t>
      </w:r>
      <w:r>
        <w:rPr>
          <w:rStyle w:val="indexentry"/>
        </w:rPr>
        <w:fldChar w:fldCharType="begin"/>
      </w:r>
      <w:r>
        <w:instrText>xe "</w:instrText>
      </w:r>
      <w:r>
        <w:rPr>
          <w:rStyle w:val="xeentry"/>
        </w:rPr>
        <w:instrText>tanru inversion</w:instrText>
      </w:r>
      <w:r>
        <w:instrText>"</w:instrText>
      </w:r>
      <w:r>
        <w:rPr>
          <w:rStyle w:val="indexentry"/>
        </w:rPr>
        <w:fldChar w:fldCharType="end"/>
      </w:r>
      <w:r>
        <w:rPr>
          <w:rStyle w:val="indexentry"/>
        </w:rPr>
        <w:t>&lt;lx "co"&gt;</w:t>
      </w:r>
      <w:r>
        <w:rPr>
          <w:rStyle w:val="indexentry"/>
        </w:rPr>
        <w:fldChar w:fldCharType="begin"/>
      </w:r>
      <w:r>
        <w:instrText>xe "</w:instrText>
      </w:r>
      <w:r>
        <w:rPr>
          <w:rStyle w:val="xeentry"/>
        </w:rPr>
        <w:instrText>co</w:instrText>
      </w:r>
      <w:r>
        <w:instrText>"</w:instrText>
      </w:r>
      <w:r>
        <w:rPr>
          <w:rStyle w:val="indexentry"/>
        </w:rPr>
        <w:fldChar w:fldCharType="end"/>
      </w:r>
      <w:r>
        <w:t>The standard order of Lojban tanru, whereby the modifier precedes what</w:t>
      </w:r>
      <w:r>
        <w:rPr>
          <w:rStyle w:val="deletedparamark"/>
        </w:rPr>
        <w:t xml:space="preserve"> </w:t>
      </w:r>
      <w:r>
        <w:t>it modifies, is very natural to English-speakers: we talk of “blue houses”,</w:t>
      </w:r>
      <w:r>
        <w:rPr>
          <w:rStyle w:val="deletedparamark"/>
        </w:rPr>
        <w:t xml:space="preserve"> </w:t>
      </w:r>
      <w:r>
        <w:t>not of “houses blue”. In other languages, however, such matters are</w:t>
      </w:r>
      <w:r>
        <w:rPr>
          <w:rStyle w:val="deletedparamark"/>
        </w:rPr>
        <w:t xml:space="preserve"> </w:t>
      </w:r>
      <w:r>
        <w:t>differently arranged, and Lojban supports this re</w:t>
      </w:r>
      <w:r>
        <w:softHyphen/>
        <w:t>verse order (tertau</w:t>
      </w:r>
      <w:r>
        <w:rPr>
          <w:rStyle w:val="deletedparamark"/>
        </w:rPr>
        <w:t xml:space="preserve"> </w:t>
      </w:r>
      <w:r>
        <w:t xml:space="preserve">before seltau) by inserting the particle “co”. </w:t>
      </w:r>
      <w:r>
        <w:rPr>
          <w:rStyle w:val="htmlcodes"/>
        </w:rPr>
        <w:t>&lt;a href=#e8d1&gt;</w:t>
      </w:r>
      <w:r>
        <w:t>Exam</w:t>
      </w:r>
      <w:r>
        <w:softHyphen/>
        <w:t xml:space="preserve">ple 8.1 </w:t>
      </w:r>
      <w:r>
        <w:rPr>
          <w:rStyle w:val="htmlcodes"/>
        </w:rPr>
        <w:t>&lt;/a&gt;</w:t>
      </w:r>
      <w:r>
        <w:t xml:space="preserve">and </w:t>
      </w:r>
      <w:r>
        <w:rPr>
          <w:rStyle w:val="htmlcodes"/>
        </w:rPr>
        <w:t>&lt;a href=#e8d2&gt;</w:t>
      </w:r>
      <w:r>
        <w:t>Exa</w:t>
      </w:r>
      <w:r>
        <w:t>m</w:t>
      </w:r>
      <w:r>
        <w:softHyphen/>
        <w:t xml:space="preserve">ple 8.2 </w:t>
      </w:r>
      <w:r>
        <w:rPr>
          <w:rStyle w:val="htmlcodes"/>
        </w:rPr>
        <w:t>&lt;/a&gt;</w:t>
      </w:r>
      <w:r>
        <w:t>mean exactly the 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ta blanu zdani</w:t>
      </w:r>
    </w:p>
    <w:p w:rsidR="00B72047" w:rsidRDefault="00B72047">
      <w:pPr>
        <w:pStyle w:val="examplescaled"/>
      </w:pPr>
      <w:r>
        <w:tab/>
        <w:t>That is-a-blue type-of-house.</w:t>
      </w:r>
    </w:p>
    <w:p w:rsidR="00B72047" w:rsidRDefault="00B72047">
      <w:pPr>
        <w:pStyle w:val="examplescaled"/>
      </w:pPr>
      <w:r>
        <w:tab/>
        <w:t>That is a blue house.</w:t>
      </w:r>
    </w:p>
    <w:p w:rsidR="00B72047" w:rsidRDefault="00B72047">
      <w:pPr>
        <w:pStyle w:val="examplescaledpre"/>
      </w:pPr>
      <w:r>
        <w:rPr>
          <w:rStyle w:val="htmlcodes"/>
        </w:rPr>
        <w:t>&lt;a name=e8d2&gt;</w:t>
      </w:r>
      <w:r>
        <w:t>8.2)</w:t>
      </w:r>
      <w:r>
        <w:tab/>
        <w:t>ta zdani co blanu</w:t>
      </w:r>
    </w:p>
    <w:p w:rsidR="00B72047" w:rsidRDefault="00B72047">
      <w:pPr>
        <w:pStyle w:val="examplescaled"/>
      </w:pPr>
      <w:r>
        <w:tab/>
        <w:t>That is-a-house of-type blue.</w:t>
      </w:r>
    </w:p>
    <w:p w:rsidR="00B72047" w:rsidRDefault="00B72047">
      <w:pPr>
        <w:pStyle w:val="examplescaled"/>
      </w:pPr>
      <w:r>
        <w:tab/>
        <w:t>That is a blue house.</w:t>
      </w:r>
    </w:p>
    <w:p w:rsidR="00B72047" w:rsidRDefault="00B72047">
      <w:pPr>
        <w:pStyle w:val="resumedafterexample"/>
      </w:pPr>
      <w:r>
        <w:rPr>
          <w:rStyle w:val="htmlcodes"/>
        </w:rPr>
        <w:t>&lt;/pre&gt;</w:t>
      </w:r>
      <w:r>
        <w:rPr>
          <w:rStyle w:val="indexentry"/>
        </w:rPr>
        <w:t>&lt;cx "tanru inversion, definition"&gt;</w:t>
      </w:r>
      <w:r>
        <w:rPr>
          <w:rStyle w:val="indexentry"/>
        </w:rPr>
        <w:fldChar w:fldCharType="begin"/>
      </w:r>
      <w:r>
        <w:instrText>xe "</w:instrText>
      </w:r>
      <w:r>
        <w:rPr>
          <w:rStyle w:val="xeentry"/>
        </w:rPr>
        <w:instrText>tanru inversion: definition</w:instrText>
      </w:r>
      <w:r>
        <w:instrText>"</w:instrText>
      </w:r>
      <w:r>
        <w:rPr>
          <w:rStyle w:val="indexentry"/>
        </w:rPr>
        <w:fldChar w:fldCharType="end"/>
      </w:r>
      <w:r>
        <w:rPr>
          <w:rStyle w:val="indexentry"/>
        </w:rPr>
        <w:t>&lt;cx "tertau, definition"&gt;</w:t>
      </w:r>
      <w:r>
        <w:rPr>
          <w:rStyle w:val="indexentry"/>
        </w:rPr>
        <w:fldChar w:fldCharType="begin"/>
      </w:r>
      <w:r>
        <w:instrText>xe "</w:instrText>
      </w:r>
      <w:r>
        <w:rPr>
          <w:rStyle w:val="xeentry"/>
        </w:rPr>
        <w:instrText>tertau: definition</w:instrText>
      </w:r>
      <w:r>
        <w:instrText>"</w:instrText>
      </w:r>
      <w:r>
        <w:rPr>
          <w:rStyle w:val="indexentry"/>
        </w:rPr>
        <w:fldChar w:fldCharType="end"/>
      </w:r>
      <w:r>
        <w:rPr>
          <w:rStyle w:val="indexentry"/>
        </w:rPr>
        <w:t>&lt;cx "seltau, definition"&gt;</w:t>
      </w:r>
      <w:r>
        <w:rPr>
          <w:rStyle w:val="indexentry"/>
        </w:rPr>
        <w:fldChar w:fldCharType="begin"/>
      </w:r>
      <w:r>
        <w:instrText>xe "</w:instrText>
      </w:r>
      <w:r>
        <w:rPr>
          <w:rStyle w:val="xeentry"/>
        </w:rPr>
        <w:instrText>seltau: definition</w:instrText>
      </w:r>
      <w:r>
        <w:instrText>"</w:instrText>
      </w:r>
      <w:r>
        <w:rPr>
          <w:rStyle w:val="indexentry"/>
        </w:rPr>
        <w:fldChar w:fldCharType="end"/>
      </w:r>
      <w:r>
        <w:t>This change is called “tanru inversion”. In tanru inversion, the element</w:t>
      </w:r>
      <w:r>
        <w:rPr>
          <w:rStyle w:val="deletedparamark"/>
        </w:rPr>
        <w:t xml:space="preserve"> </w:t>
      </w:r>
      <w:r>
        <w:t xml:space="preserve">before “co” (“zdani” in </w:t>
      </w:r>
      <w:r>
        <w:rPr>
          <w:rStyle w:val="htmlcodes"/>
        </w:rPr>
        <w:t>&lt;a href=#e8d2&gt;</w:t>
      </w:r>
      <w:r>
        <w:t>Example 8.2</w:t>
      </w:r>
      <w:r>
        <w:rPr>
          <w:rStyle w:val="htmlcodes"/>
        </w:rPr>
        <w:t>&lt;/a&gt;</w:t>
      </w:r>
      <w:r>
        <w:t>) is the tertau, and the element</w:t>
      </w:r>
      <w:r>
        <w:rPr>
          <w:rStyle w:val="deletedparamark"/>
        </w:rPr>
        <w:t xml:space="preserve"> </w:t>
      </w:r>
      <w:r>
        <w:t xml:space="preserve">following “co” (“blanu”) in </w:t>
      </w:r>
      <w:r>
        <w:rPr>
          <w:rStyle w:val="htmlcodes"/>
        </w:rPr>
        <w:t>&lt;a href=#e8d2&gt;</w:t>
      </w:r>
      <w:r>
        <w:t>Ex</w:t>
      </w:r>
      <w:r>
        <w:softHyphen/>
        <w:t>ample 8.2</w:t>
      </w:r>
      <w:r>
        <w:rPr>
          <w:rStyle w:val="htmlcodes"/>
        </w:rPr>
        <w:t>&lt;/a&gt;</w:t>
      </w:r>
      <w:r>
        <w:t>) is the seltau.</w:t>
      </w:r>
    </w:p>
    <w:p w:rsidR="00B72047" w:rsidRDefault="00B72047">
      <w:pPr>
        <w:rPr>
          <w:rStyle w:val="htmlparacode"/>
        </w:rPr>
      </w:pPr>
      <w:r>
        <w:rPr>
          <w:rStyle w:val="htmlparacode"/>
        </w:rPr>
        <w:t>&lt;p&gt;</w:t>
      </w:r>
    </w:p>
    <w:p w:rsidR="00B72047" w:rsidRDefault="00B72047">
      <w:pPr>
        <w:pStyle w:val="normalparagraph"/>
      </w:pPr>
      <w:r>
        <w:rPr>
          <w:rStyle w:val="indexentry"/>
        </w:rPr>
        <w:t>&lt;cx "tanru inversion and place structure"&gt;</w:t>
      </w:r>
      <w:r>
        <w:rPr>
          <w:rStyle w:val="indexentry"/>
        </w:rPr>
        <w:fldChar w:fldCharType="begin"/>
      </w:r>
      <w:r>
        <w:instrText>xe "</w:instrText>
      </w:r>
      <w:r>
        <w:rPr>
          <w:rStyle w:val="xeentry"/>
        </w:rPr>
        <w:instrText>tanru inversion and place structure</w:instrText>
      </w:r>
      <w:r>
        <w:instrText>"</w:instrText>
      </w:r>
      <w:r>
        <w:rPr>
          <w:rStyle w:val="indexentry"/>
        </w:rPr>
        <w:fldChar w:fldCharType="end"/>
      </w:r>
      <w:r>
        <w:rPr>
          <w:rStyle w:val="indexentry"/>
        </w:rPr>
        <w:t>&lt;cx "place structure and tanru inversion"&gt;</w:t>
      </w:r>
      <w:r>
        <w:rPr>
          <w:rStyle w:val="indexentry"/>
        </w:rPr>
        <w:fldChar w:fldCharType="begin"/>
      </w:r>
      <w:r>
        <w:instrText>xe "</w:instrText>
      </w:r>
      <w:r>
        <w:rPr>
          <w:rStyle w:val="xeentry"/>
        </w:rPr>
        <w:instrText>place structure and tanru inversion</w:instrText>
      </w:r>
      <w:r>
        <w:instrText>"</w:instrText>
      </w:r>
      <w:r>
        <w:rPr>
          <w:rStyle w:val="indexentry"/>
        </w:rPr>
        <w:fldChar w:fldCharType="end"/>
      </w:r>
      <w:r>
        <w:t>The meaning, and more specifically, the place structure, of a tanru is not</w:t>
      </w:r>
      <w:r>
        <w:rPr>
          <w:rStyle w:val="deletedparamark"/>
        </w:rPr>
        <w:t xml:space="preserve"> </w:t>
      </w:r>
      <w:r>
        <w:t>af</w:t>
      </w:r>
      <w:r>
        <w:softHyphen/>
        <w:t>fected by inversion: the place structure of “zdani co blanu” is still that</w:t>
      </w:r>
      <w:r>
        <w:rPr>
          <w:rStyle w:val="deletedparamark"/>
        </w:rPr>
        <w:t xml:space="preserve"> </w:t>
      </w:r>
      <w:r>
        <w:t>of “zdani”. However, the existence of inversion in a selbri has a very</w:t>
      </w:r>
      <w:r>
        <w:rPr>
          <w:rStyle w:val="deletedparamark"/>
        </w:rPr>
        <w:t xml:space="preserve"> </w:t>
      </w:r>
      <w:r>
        <w:t>special effect on any sumti which follow that selbri. Instead of being</w:t>
      </w:r>
      <w:r>
        <w:rPr>
          <w:rStyle w:val="deletedparamark"/>
        </w:rPr>
        <w:t xml:space="preserve"> </w:t>
      </w:r>
      <w:r>
        <w:t>interpreted as filling places of the selbri, they actually fill the places</w:t>
      </w:r>
      <w:r>
        <w:rPr>
          <w:rStyle w:val="deletedparamark"/>
        </w:rPr>
        <w:t xml:space="preserve"> </w:t>
      </w:r>
      <w:r>
        <w:t xml:space="preserve">(starting with x2) of the seltau. In </w:t>
      </w:r>
      <w:r>
        <w:rPr>
          <w:rStyle w:val="htmlcodes"/>
        </w:rPr>
        <w:t>&lt;a href=#s7&gt;</w:t>
      </w:r>
      <w:r>
        <w:t>Section 7</w:t>
      </w:r>
      <w:r>
        <w:rPr>
          <w:rStyle w:val="htmlcodes"/>
        </w:rPr>
        <w:t>&lt;/a&gt;</w:t>
      </w:r>
      <w:r>
        <w:t>, we saw how to fill</w:t>
      </w:r>
      <w:r>
        <w:rPr>
          <w:rStyle w:val="deletedparamark"/>
        </w:rPr>
        <w:t xml:space="preserve"> </w:t>
      </w:r>
      <w:r>
        <w:t>interior places with “be </w:t>
      </w:r>
      <w:r>
        <w:rPr>
          <w:rStyle w:val="htmlcodes"/>
        </w:rPr>
        <w:t>&lt;dots&gt;</w:t>
      </w:r>
      <w:r>
        <w:t>…</w:t>
      </w:r>
      <w:r>
        <w:rPr>
          <w:rStyle w:val="htmlcodes"/>
        </w:rPr>
        <w:t>&lt;/dots&gt;</w:t>
      </w:r>
      <w:r>
        <w:t>bei </w:t>
      </w:r>
      <w:r>
        <w:rPr>
          <w:rStyle w:val="htmlcodes"/>
        </w:rPr>
        <w:t>&lt;dots&gt;</w:t>
      </w:r>
      <w:r>
        <w:t>…</w:t>
      </w:r>
      <w:r>
        <w:rPr>
          <w:rStyle w:val="htmlcodes"/>
        </w:rPr>
        <w:t>&lt;/dots&gt;</w:t>
      </w:r>
      <w:r>
        <w:t xml:space="preserve">be'o”, and in fact </w:t>
      </w:r>
      <w:r>
        <w:rPr>
          <w:rStyle w:val="htmlcodes"/>
        </w:rPr>
        <w:t>&lt;a href=#e8d3&gt;</w:t>
      </w:r>
      <w:r>
        <w:t xml:space="preserve">Example 8.3 </w:t>
      </w:r>
      <w:r>
        <w:rPr>
          <w:rStyle w:val="htmlcodes"/>
        </w:rPr>
        <w:t>&lt;/a&gt;</w:t>
      </w:r>
      <w:r>
        <w:t>and</w:t>
      </w:r>
      <w:r>
        <w:rPr>
          <w:rStyle w:val="deletedparamark"/>
        </w:rPr>
        <w:t xml:space="preserve"> </w:t>
      </w:r>
      <w:r>
        <w:rPr>
          <w:rStyle w:val="htmlcodes"/>
        </w:rPr>
        <w:t>&lt;a href=#e8d4&gt;</w:t>
      </w:r>
      <w:r>
        <w:t xml:space="preserve">Example 8.4 </w:t>
      </w:r>
      <w:r>
        <w:rPr>
          <w:rStyle w:val="htmlcodes"/>
        </w:rPr>
        <w:t>&lt;/a&gt;</w:t>
      </w:r>
      <w:r>
        <w:t>have the same 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mi klama be le zarci bei le zdani be'o troci</w:t>
      </w:r>
    </w:p>
    <w:p w:rsidR="00B72047" w:rsidRDefault="00B72047">
      <w:pPr>
        <w:pStyle w:val="examplescaled"/>
      </w:pPr>
      <w:r>
        <w:tab/>
        <w:t>I am-a-(goer to the market from the house) type-of trier.</w:t>
      </w:r>
    </w:p>
    <w:p w:rsidR="00B72047" w:rsidRDefault="00B72047">
      <w:pPr>
        <w:pStyle w:val="examplescaled"/>
      </w:pPr>
      <w:r>
        <w:tab/>
        <w:t>I try to go to the market from the house.</w:t>
      </w:r>
    </w:p>
    <w:p w:rsidR="00B72047" w:rsidRDefault="00B72047">
      <w:pPr>
        <w:pStyle w:val="examplescaledpre"/>
      </w:pPr>
      <w:r>
        <w:rPr>
          <w:rStyle w:val="htmlcodes"/>
        </w:rPr>
        <w:t>&lt;a name=e8d4&gt;</w:t>
      </w:r>
      <w:r>
        <w:t>8.4)</w:t>
      </w:r>
      <w:r>
        <w:tab/>
        <w:t>mi troci co klama le zarci le zdani</w:t>
      </w:r>
    </w:p>
    <w:p w:rsidR="00B72047" w:rsidRDefault="00B72047">
      <w:pPr>
        <w:pStyle w:val="examplescaled"/>
      </w:pPr>
      <w:r>
        <w:tab/>
        <w:t>I am-a-trier of-type (goer to-the market from-the house).</w:t>
      </w:r>
    </w:p>
    <w:p w:rsidR="00B72047" w:rsidRDefault="00B72047">
      <w:pPr>
        <w:pStyle w:val="examplescaled"/>
      </w:pPr>
      <w:r>
        <w:tab/>
        <w:t>I try to go to the market from the house.</w:t>
      </w:r>
    </w:p>
    <w:p w:rsidR="00B72047" w:rsidRDefault="00B72047">
      <w:pPr>
        <w:pStyle w:val="resumedafterexample"/>
      </w:pPr>
      <w:r>
        <w:rPr>
          <w:rStyle w:val="htmlcodes"/>
        </w:rPr>
        <w:t>&lt;/pre&gt;&lt;a href=#e8d4&gt;</w:t>
      </w:r>
      <w:r>
        <w:t xml:space="preserve">Example 8.4 </w:t>
      </w:r>
      <w:r>
        <w:rPr>
          <w:rStyle w:val="htmlcodes"/>
        </w:rPr>
        <w:t>&lt;/a&gt;</w:t>
      </w:r>
      <w:r>
        <w:t>is a less deeply nested construction, requiring fewer cmavo.</w:t>
      </w:r>
      <w:r>
        <w:rPr>
          <w:rStyle w:val="deletedparamark"/>
        </w:rPr>
        <w:t xml:space="preserve"> </w:t>
      </w:r>
      <w:r>
        <w:t>As a result it is probably easier to understand.</w:t>
      </w:r>
    </w:p>
    <w:p w:rsidR="00B72047" w:rsidRDefault="00B72047">
      <w:pPr>
        <w:rPr>
          <w:rStyle w:val="htmlparacode"/>
        </w:rPr>
      </w:pPr>
      <w:r>
        <w:rPr>
          <w:rStyle w:val="htmlparacode"/>
        </w:rPr>
        <w:t>&lt;p&gt;</w:t>
      </w:r>
    </w:p>
    <w:p w:rsidR="00B72047" w:rsidRDefault="00B72047">
      <w:pPr>
        <w:pStyle w:val="normalparagraph"/>
      </w:pPr>
      <w:r>
        <w:rPr>
          <w:rStyle w:val="indexentry"/>
        </w:rPr>
        <w:t>&lt;ex "try to go"&gt;</w:t>
      </w:r>
      <w:r>
        <w:rPr>
          <w:rStyle w:val="indexentry"/>
        </w:rPr>
        <w:fldChar w:fldCharType="begin"/>
      </w:r>
      <w:r>
        <w:instrText>xe "</w:instrText>
      </w:r>
      <w:r>
        <w:rPr>
          <w:rStyle w:val="xeentry"/>
        </w:rPr>
        <w:instrText>try to go: example</w:instrText>
      </w:r>
      <w:r>
        <w:instrText>"</w:instrText>
      </w:r>
      <w:r>
        <w:rPr>
          <w:rStyle w:val="indexentry"/>
        </w:rPr>
        <w:fldChar w:fldCharType="end"/>
      </w:r>
      <w:r>
        <w:t>Note that in Lojban “trying to go” is expressed using “troci” as the</w:t>
      </w:r>
      <w:r>
        <w:rPr>
          <w:rStyle w:val="deletedparamark"/>
        </w:rPr>
        <w:t xml:space="preserve"> </w:t>
      </w:r>
      <w:r>
        <w:t>tertau. The reason is that “trying to go” is a “going type of trying”, not</w:t>
      </w:r>
      <w:r>
        <w:rPr>
          <w:rStyle w:val="deletedparamark"/>
        </w:rPr>
        <w:t xml:space="preserve"> </w:t>
      </w:r>
      <w:r>
        <w:t>a “trying type of going”. The trying is more fundamental than the</w:t>
      </w:r>
      <w:r>
        <w:rPr>
          <w:rStyle w:val="deletedparamark"/>
        </w:rPr>
        <w:t xml:space="preserve"> </w:t>
      </w:r>
      <w:r>
        <w:t>going — if the trying fails, we may not have a g</w:t>
      </w:r>
      <w:r>
        <w:t>o</w:t>
      </w:r>
      <w:r>
        <w:t>ing at all.</w:t>
      </w:r>
    </w:p>
    <w:p w:rsidR="00B72047" w:rsidRDefault="00B72047">
      <w:pPr>
        <w:rPr>
          <w:rStyle w:val="htmlparacode"/>
        </w:rPr>
      </w:pPr>
      <w:r>
        <w:rPr>
          <w:rStyle w:val="htmlparacode"/>
        </w:rPr>
        <w:t>&lt;p&gt;</w:t>
      </w:r>
    </w:p>
    <w:p w:rsidR="00B72047" w:rsidRDefault="00B72047">
      <w:pPr>
        <w:pStyle w:val="normalparagraph"/>
      </w:pPr>
      <w:r>
        <w:rPr>
          <w:rStyle w:val="indexentry"/>
        </w:rPr>
        <w:t>&lt;cx "unfilled places of inverted tanru"&gt;</w:t>
      </w:r>
      <w:r>
        <w:rPr>
          <w:rStyle w:val="indexentry"/>
        </w:rPr>
        <w:fldChar w:fldCharType="begin"/>
      </w:r>
      <w:r>
        <w:instrText>xe "</w:instrText>
      </w:r>
      <w:r>
        <w:rPr>
          <w:rStyle w:val="xeentry"/>
        </w:rPr>
        <w:instrText>unfilled places of inverted tanru</w:instrText>
      </w:r>
      <w:r>
        <w:instrText>"</w:instrText>
      </w:r>
      <w:r>
        <w:rPr>
          <w:rStyle w:val="indexentry"/>
        </w:rPr>
        <w:fldChar w:fldCharType="end"/>
      </w:r>
      <w:r>
        <w:rPr>
          <w:rStyle w:val="indexentry"/>
        </w:rPr>
        <w:t>&lt;cx "inverted tanru, effect on sumti before the selbri"&gt;</w:t>
      </w:r>
      <w:r>
        <w:rPr>
          <w:rStyle w:val="indexentry"/>
        </w:rPr>
        <w:fldChar w:fldCharType="begin"/>
      </w:r>
      <w:r>
        <w:instrText>xe "</w:instrText>
      </w:r>
      <w:r>
        <w:rPr>
          <w:rStyle w:val="xeentry"/>
        </w:rPr>
        <w:instrText>inverted tanru: effect on sumti before the selbri</w:instrText>
      </w:r>
      <w:r>
        <w:instrText>"</w:instrText>
      </w:r>
      <w:r>
        <w:rPr>
          <w:rStyle w:val="indexentry"/>
        </w:rPr>
        <w:fldChar w:fldCharType="end"/>
      </w:r>
      <w:r>
        <w:rPr>
          <w:rStyle w:val="indexentry"/>
        </w:rPr>
        <w:t>&lt;cx "inverted tanru, effect on sumti after the selbri"&gt;</w:t>
      </w:r>
      <w:r>
        <w:rPr>
          <w:rStyle w:val="indexentry"/>
        </w:rPr>
        <w:fldChar w:fldCharType="begin"/>
      </w:r>
      <w:r>
        <w:instrText>xe "</w:instrText>
      </w:r>
      <w:r>
        <w:rPr>
          <w:rStyle w:val="xeentry"/>
        </w:rPr>
        <w:instrText>inverted tanru: effect on sumti after the selbri</w:instrText>
      </w:r>
      <w:r>
        <w:instrText>"</w:instrText>
      </w:r>
      <w:r>
        <w:rPr>
          <w:rStyle w:val="indexentry"/>
        </w:rPr>
        <w:fldChar w:fldCharType="end"/>
      </w:r>
      <w:r>
        <w:t>Any sumti which precede a selbri with an inverted tanru fill the places</w:t>
      </w:r>
      <w:r>
        <w:rPr>
          <w:rStyle w:val="deletedparamark"/>
        </w:rPr>
        <w:t xml:space="preserve"> </w:t>
      </w:r>
      <w:r>
        <w:t>of the selbri (i.e., the places of the tertau) in the ordinary way. In</w:t>
      </w:r>
      <w:r>
        <w:rPr>
          <w:rStyle w:val="deletedparamark"/>
        </w:rPr>
        <w:t xml:space="preserve"> </w:t>
      </w:r>
      <w:r>
        <w:rPr>
          <w:rStyle w:val="htmlcodes"/>
        </w:rPr>
        <w:t>&lt;a href=#e8d4&gt;</w:t>
      </w:r>
      <w:r>
        <w:t>Example 8.4</w:t>
      </w:r>
      <w:r>
        <w:rPr>
          <w:rStyle w:val="htmlcodes"/>
        </w:rPr>
        <w:t>&lt;/a&gt;</w:t>
      </w:r>
      <w:r>
        <w:t>, “mi” fills the x1 place of “troci co klama”, which is the</w:t>
      </w:r>
      <w:r>
        <w:rPr>
          <w:rStyle w:val="deletedparamark"/>
        </w:rPr>
        <w:t xml:space="preserve"> </w:t>
      </w:r>
      <w:r>
        <w:t>x1 place of “troci”. The other places of the selbri remain unfilled.</w:t>
      </w:r>
      <w:r>
        <w:rPr>
          <w:rStyle w:val="deletedparamark"/>
        </w:rPr>
        <w:t xml:space="preserve"> </w:t>
      </w:r>
      <w:r>
        <w:t>The trailing sumti “le zarci” and “le zdani” do not occupy selbri places,</w:t>
      </w:r>
      <w:r>
        <w:rPr>
          <w:rStyle w:val="deletedparamark"/>
        </w:rPr>
        <w:t xml:space="preserve"> </w:t>
      </w:r>
      <w:r>
        <w:t>despite appearances.</w:t>
      </w:r>
    </w:p>
    <w:p w:rsidR="00B72047" w:rsidRDefault="00B72047">
      <w:pPr>
        <w:pStyle w:val="normalparagraph"/>
        <w:rPr>
          <w:rStyle w:val="htmlparacode"/>
        </w:rPr>
      </w:pPr>
      <w:r>
        <w:rPr>
          <w:rStyle w:val="htmlparacode"/>
        </w:rPr>
        <w:t>&lt;p&gt;</w:t>
      </w:r>
    </w:p>
    <w:p w:rsidR="00B72047" w:rsidRDefault="00B72047">
      <w:pPr>
        <w:pStyle w:val="normalparagraph"/>
      </w:pPr>
      <w:r>
        <w:t>As a result, the regular mechanisms (involving selma'o VOhA and GOhI, ex</w:t>
      </w:r>
      <w:r>
        <w:softHyphen/>
        <w:t>plained</w:t>
      </w:r>
      <w:r>
        <w:rPr>
          <w:rStyle w:val="deletedparamark"/>
        </w:rPr>
        <w:t xml:space="preserve"> </w:t>
      </w:r>
      <w:r>
        <w:t xml:space="preserve">in </w:t>
      </w:r>
      <w:r>
        <w:rPr>
          <w:rStyle w:val="htmlcodes"/>
        </w:rPr>
        <w:t>&lt;a href=chap7.html&gt;</w:t>
      </w:r>
      <w:r>
        <w:t>Chapter 7</w:t>
      </w:r>
      <w:r>
        <w:rPr>
          <w:rStyle w:val="htmlcodes"/>
        </w:rPr>
        <w:t>&lt;/a&gt;</w:t>
      </w:r>
      <w:r>
        <w:t>) for referring to individual sumti of a bridi cannot refer to</w:t>
      </w:r>
      <w:r>
        <w:rPr>
          <w:rStyle w:val="deletedparamark"/>
        </w:rPr>
        <w:t xml:space="preserve"> </w:t>
      </w:r>
      <w:r>
        <w:t xml:space="preserve">any of the trailing places of </w:t>
      </w:r>
      <w:r>
        <w:rPr>
          <w:rStyle w:val="htmlcodes"/>
        </w:rPr>
        <w:t>&lt;a href=#e8d4&gt;</w:t>
      </w:r>
      <w:r>
        <w:t>Example 8.4</w:t>
      </w:r>
      <w:r>
        <w:rPr>
          <w:rStyle w:val="htmlcodes"/>
        </w:rPr>
        <w:t>&lt;/a&gt;</w:t>
      </w:r>
      <w:r>
        <w:t>, be</w:t>
      </w:r>
      <w:r>
        <w:softHyphen/>
        <w:t>cause they are not really</w:t>
      </w:r>
      <w:r>
        <w:rPr>
          <w:rStyle w:val="deletedparamark"/>
        </w:rPr>
        <w:t xml:space="preserve"> “</w:t>
      </w:r>
      <w:r>
        <w:t>sumti of the bridi” at all.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"tanru inversion, in complex tanru"&gt;</w:t>
      </w:r>
      <w:r>
        <w:rPr>
          <w:rStyle w:val="indexentry"/>
        </w:rPr>
        <w:fldChar w:fldCharType="begin"/>
      </w:r>
      <w:r>
        <w:instrText>xe "</w:instrText>
      </w:r>
      <w:r>
        <w:rPr>
          <w:rStyle w:val="xeentry"/>
        </w:rPr>
        <w:instrText>tanru inversion: in complex tanru</w:instrText>
      </w:r>
      <w:r>
        <w:instrText>"</w:instrText>
      </w:r>
      <w:r>
        <w:rPr>
          <w:rStyle w:val="indexentry"/>
        </w:rPr>
        <w:fldChar w:fldCharType="end"/>
      </w:r>
      <w:r>
        <w:rPr>
          <w:rStyle w:val="indexentry"/>
        </w:rPr>
        <w:t>&lt;cx "tanru inversion, where allowed"&gt;</w:t>
      </w:r>
      <w:r>
        <w:rPr>
          <w:rStyle w:val="indexentry"/>
        </w:rPr>
        <w:fldChar w:fldCharType="begin"/>
      </w:r>
      <w:r>
        <w:instrText>xe "</w:instrText>
      </w:r>
      <w:r>
        <w:rPr>
          <w:rStyle w:val="xeentry"/>
        </w:rPr>
        <w:instrText>tanru inversion: where allowed</w:instrText>
      </w:r>
      <w:r>
        <w:instrText>"</w:instrText>
      </w:r>
      <w:r>
        <w:rPr>
          <w:rStyle w:val="indexentry"/>
        </w:rPr>
        <w:fldChar w:fldCharType="end"/>
      </w:r>
      <w:r>
        <w:t>When inverting a more complex tanru, it is possible to invert it only at</w:t>
      </w:r>
      <w:r>
        <w:rPr>
          <w:rStyle w:val="deletedparamark"/>
        </w:rPr>
        <w:t xml:space="preserve"> </w:t>
      </w:r>
      <w:r>
        <w:t>the most ge</w:t>
      </w:r>
      <w:r>
        <w:t>n</w:t>
      </w:r>
      <w:r>
        <w:softHyphen/>
        <w:t>eral modifier-modified pair. The only possible inversion of</w:t>
      </w:r>
      <w:r>
        <w:rPr>
          <w:rStyle w:val="deletedparamark"/>
        </w:rPr>
        <w:t xml:space="preserve"> </w:t>
      </w:r>
      <w:r>
        <w:rPr>
          <w:rStyle w:val="htmlcodes"/>
        </w:rPr>
        <w:t>&lt;a href=#e3d4&gt;</w:t>
      </w:r>
      <w:r>
        <w:t>Example 3.4</w:t>
      </w:r>
      <w:r>
        <w:rPr>
          <w:rStyle w:val="htmlcodes"/>
        </w:rPr>
        <w:t>&lt;/a&gt;</w:t>
      </w:r>
      <w:r>
        <w:t>, for i</w:t>
      </w:r>
      <w:r>
        <w:t>n</w:t>
      </w:r>
      <w:r>
        <w:t>stance,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ta nixli [bo] ckule co cmalu</w:t>
      </w:r>
    </w:p>
    <w:p w:rsidR="00B72047" w:rsidRDefault="00B72047">
      <w:pPr>
        <w:pStyle w:val="examplescaled"/>
      </w:pPr>
      <w:r>
        <w:tab/>
        <w:t>That (is-a-girl type-of school) of-type little.</w:t>
      </w:r>
    </w:p>
    <w:p w:rsidR="00B72047" w:rsidRDefault="00B72047">
      <w:pPr>
        <w:pStyle w:val="examplescaled"/>
      </w:pPr>
      <w:r>
        <w:tab/>
        <w:t>That's a girls' school which is small.</w:t>
      </w:r>
    </w:p>
    <w:p w:rsidR="00B72047" w:rsidRDefault="00B72047">
      <w:pPr>
        <w:pStyle w:val="resumedafterexample"/>
      </w:pPr>
      <w:r>
        <w:rPr>
          <w:rStyle w:val="htmlcodes"/>
        </w:rPr>
        <w:t>&lt;/pre&gt;</w:t>
      </w:r>
      <w:r>
        <w:rPr>
          <w:rStyle w:val="indexentry"/>
        </w:rPr>
        <w:t>&lt;cx "tanru inversion, effect on tanru grouping"&gt;</w:t>
      </w:r>
      <w:r>
        <w:rPr>
          <w:rStyle w:val="indexentry"/>
        </w:rPr>
        <w:fldChar w:fldCharType="begin"/>
      </w:r>
      <w:r>
        <w:instrText>xe "</w:instrText>
      </w:r>
      <w:r>
        <w:rPr>
          <w:rStyle w:val="xeentry"/>
        </w:rPr>
        <w:instrText>tanru inversion: effect on tanru grouping</w:instrText>
      </w:r>
      <w:r>
        <w:instrText>"</w:instrText>
      </w:r>
      <w:r>
        <w:rPr>
          <w:rStyle w:val="indexentry"/>
        </w:rPr>
        <w:fldChar w:fldCharType="end"/>
      </w:r>
      <w:r>
        <w:rPr>
          <w:rStyle w:val="indexentry"/>
        </w:rPr>
        <w:t>&lt;cx "tanru grouping, effect of tanru inversion on"&gt;</w:t>
      </w:r>
      <w:r>
        <w:rPr>
          <w:rStyle w:val="indexentry"/>
        </w:rPr>
        <w:fldChar w:fldCharType="begin"/>
      </w:r>
      <w:r>
        <w:instrText>xe "</w:instrText>
      </w:r>
      <w:r>
        <w:rPr>
          <w:rStyle w:val="xeentry"/>
        </w:rPr>
        <w:instrText>tanru grouping: effect of tanru inversion on</w:instrText>
      </w:r>
      <w:r>
        <w:instrText>"</w:instrText>
      </w:r>
      <w:r>
        <w:rPr>
          <w:rStyle w:val="indexentry"/>
        </w:rPr>
        <w:fldChar w:fldCharType="end"/>
      </w:r>
      <w:r>
        <w:t xml:space="preserve">Note that the “bo” of </w:t>
      </w:r>
      <w:r>
        <w:rPr>
          <w:rStyle w:val="htmlcodes"/>
        </w:rPr>
        <w:t>&lt;a href=#e3d4&gt;</w:t>
      </w:r>
      <w:r>
        <w:t xml:space="preserve">Example 3.4 </w:t>
      </w:r>
      <w:r>
        <w:rPr>
          <w:rStyle w:val="htmlcodes"/>
        </w:rPr>
        <w:t>&lt;/a&gt;</w:t>
      </w:r>
      <w:r>
        <w:t xml:space="preserve">is optional in </w:t>
      </w:r>
      <w:r>
        <w:rPr>
          <w:rStyle w:val="htmlcodes"/>
        </w:rPr>
        <w:t>&lt;a href=#e8d5&gt;</w:t>
      </w:r>
      <w:r>
        <w:t>Example 8.5</w:t>
      </w:r>
      <w:r>
        <w:rPr>
          <w:rStyle w:val="htmlcodes"/>
        </w:rPr>
        <w:t>&lt;/a&gt;</w:t>
      </w:r>
      <w:r>
        <w:t>, because</w:t>
      </w:r>
      <w:r>
        <w:rPr>
          <w:rStyle w:val="deletedparamark"/>
        </w:rPr>
        <w:t xml:space="preserve"> “</w:t>
      </w:r>
      <w:r>
        <w:t>co” groups more loosely than any other cmavo used in tanru, includ</w:t>
      </w:r>
      <w:r>
        <w:softHyphen/>
        <w:t>ing</w:t>
      </w:r>
      <w:r>
        <w:rPr>
          <w:rStyle w:val="deletedparamark"/>
        </w:rPr>
        <w:t xml:space="preserve"> </w:t>
      </w:r>
      <w:r>
        <w:t>none at all. Not even “ke </w:t>
      </w:r>
      <w:r>
        <w:rPr>
          <w:rStyle w:val="htmlcodes"/>
        </w:rPr>
        <w:t>&lt;dots&gt;</w:t>
      </w:r>
      <w:r>
        <w:t>…</w:t>
      </w:r>
      <w:r>
        <w:rPr>
          <w:rStyle w:val="htmlcodes"/>
        </w:rPr>
        <w:t>&lt;/dots&gt;</w:t>
      </w:r>
      <w:r>
        <w:t>ke'e” parentheses can encompass a “co”: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ta cmalu ke nixli ckule [ke'e] co melbi</w:t>
      </w:r>
    </w:p>
    <w:p w:rsidR="00B72047" w:rsidRDefault="00B72047">
      <w:pPr>
        <w:pStyle w:val="examplescaled"/>
      </w:pPr>
      <w:r>
        <w:tab/>
        <w:t>That is-a-(little type-of (girl type-of school)) of-type pretty.</w:t>
      </w:r>
    </w:p>
    <w:p w:rsidR="00B72047" w:rsidRDefault="00B72047">
      <w:pPr>
        <w:pStyle w:val="examplescaled"/>
      </w:pPr>
      <w:r>
        <w:tab/>
        <w:t>That's a small school for girls which is beautiful.</w:t>
      </w:r>
    </w:p>
    <w:p w:rsidR="00B72047" w:rsidRDefault="00B72047">
      <w:pPr>
        <w:pStyle w:val="resumedafterexample"/>
      </w:pPr>
      <w:r>
        <w:rPr>
          <w:rStyle w:val="htmlcodes"/>
        </w:rPr>
        <w:t>&lt;/pre&gt;</w:t>
      </w:r>
      <w:r>
        <w:rPr>
          <w:rStyle w:val="indexentry"/>
        </w:rPr>
        <w:t>&lt;cx "tanru inversion, rule for removing"&gt;</w:t>
      </w:r>
      <w:r>
        <w:rPr>
          <w:rStyle w:val="indexentry"/>
        </w:rPr>
        <w:fldChar w:fldCharType="begin"/>
      </w:r>
      <w:r>
        <w:instrText>xe "</w:instrText>
      </w:r>
      <w:r>
        <w:rPr>
          <w:rStyle w:val="xeentry"/>
        </w:rPr>
        <w:instrText>tanru inversion: rule for removing</w:instrText>
      </w:r>
      <w:r>
        <w:instrText>"</w:instrText>
      </w:r>
      <w:r>
        <w:rPr>
          <w:rStyle w:val="indexentry"/>
        </w:rPr>
        <w:fldChar w:fldCharType="end"/>
      </w:r>
      <w:r>
        <w:t xml:space="preserve">In </w:t>
      </w:r>
      <w:r>
        <w:rPr>
          <w:rStyle w:val="htmlcodes"/>
        </w:rPr>
        <w:t>&lt;a href=#e8d6&gt;</w:t>
      </w:r>
      <w:r>
        <w:t>Example 8.6</w:t>
      </w:r>
      <w:r>
        <w:rPr>
          <w:rStyle w:val="htmlcodes"/>
        </w:rPr>
        <w:t>&lt;/a&gt;</w:t>
      </w:r>
      <w:r>
        <w:t>, the “ke'e” is automatically inserted before the “co”</w:t>
      </w:r>
      <w:r>
        <w:rPr>
          <w:rStyle w:val="deletedparamark"/>
        </w:rPr>
        <w:t xml:space="preserve"> </w:t>
      </w:r>
      <w:r>
        <w:t>rather than at its usual place at the end of the selbri. As a result,</w:t>
      </w:r>
      <w:r>
        <w:rPr>
          <w:rStyle w:val="deletedparamark"/>
        </w:rPr>
        <w:t xml:space="preserve"> </w:t>
      </w:r>
      <w:r>
        <w:t>there is a simple and mechanical rule for r</w:t>
      </w:r>
      <w:r>
        <w:t>e</w:t>
      </w:r>
      <w:r>
        <w:softHyphen/>
        <w:t>moving “co” from any sel</w:t>
      </w:r>
      <w:r>
        <w:softHyphen/>
        <w:t>bri:</w:t>
      </w:r>
      <w:r>
        <w:rPr>
          <w:rStyle w:val="deletedparamark"/>
        </w:rPr>
        <w:t xml:space="preserve"> </w:t>
      </w:r>
      <w:r>
        <w:t>change “A co B” to “ke B ke'e A”. (At the same time, any sumti following</w:t>
      </w:r>
      <w:r>
        <w:rPr>
          <w:rStyle w:val="deletedparamark"/>
        </w:rPr>
        <w:t xml:space="preserve"> </w:t>
      </w:r>
      <w:r>
        <w:t>the selbri must be transformed into “be </w:t>
      </w:r>
      <w:r>
        <w:rPr>
          <w:rStyle w:val="htmlcodes"/>
        </w:rPr>
        <w:t>&lt;dots&gt;</w:t>
      </w:r>
      <w:r>
        <w:t>…</w:t>
      </w:r>
      <w:r>
        <w:rPr>
          <w:rStyle w:val="htmlcodes"/>
        </w:rPr>
        <w:t>&lt;/dots&gt;</w:t>
      </w:r>
      <w:r>
        <w:t>bei </w:t>
      </w:r>
      <w:r>
        <w:rPr>
          <w:rStyle w:val="htmlcodes"/>
        </w:rPr>
        <w:t>&lt;dots&gt;</w:t>
      </w:r>
      <w:r>
        <w:t>…</w:t>
      </w:r>
      <w:r>
        <w:rPr>
          <w:rStyle w:val="htmlcodes"/>
        </w:rPr>
        <w:t>&lt;/dots&gt;</w:t>
      </w:r>
      <w:r>
        <w:t>be'o” form and attached</w:t>
      </w:r>
      <w:r>
        <w:rPr>
          <w:rStyle w:val="deletedparamark"/>
        </w:rPr>
        <w:t xml:space="preserve"> </w:t>
      </w:r>
      <w:r>
        <w:t>following B.) Therefore,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ckule co melbi nixli</w:t>
      </w:r>
    </w:p>
    <w:p w:rsidR="00B72047" w:rsidRDefault="00B72047">
      <w:pPr>
        <w:pStyle w:val="examplescaled"/>
      </w:pPr>
      <w:r>
        <w:tab/>
        <w:t>school of-type pretty girl</w:t>
      </w:r>
    </w:p>
    <w:p w:rsidR="00B72047" w:rsidRDefault="00B72047">
      <w:pPr>
        <w:pStyle w:val="examplescaled"/>
      </w:pPr>
      <w:r>
        <w:tab/>
        <w:t>school for beautiful girls</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t>ke melbi nixli ke'e ckule</w:t>
      </w:r>
    </w:p>
    <w:p w:rsidR="00B72047" w:rsidRDefault="00B72047">
      <w:pPr>
        <w:pStyle w:val="examplescaled"/>
      </w:pPr>
      <w:r>
        <w:tab/>
        <w:t>(pretty girl) school</w:t>
      </w:r>
    </w:p>
    <w:p w:rsidR="00B72047" w:rsidRDefault="00B72047">
      <w:pPr>
        <w:pStyle w:val="normalafterexample"/>
      </w:pPr>
      <w:r>
        <w:rPr>
          <w:rStyle w:val="htmlcodes"/>
        </w:rPr>
        <w:t>&lt;/pre&gt;</w:t>
      </w:r>
      <w:r>
        <w:rPr>
          <w:rStyle w:val="indexentry"/>
        </w:rPr>
        <w:t>&lt;cx "tanru inversion, multiple"&gt;</w:t>
      </w:r>
      <w:r>
        <w:rPr>
          <w:rStyle w:val="indexentry"/>
        </w:rPr>
        <w:fldChar w:fldCharType="begin"/>
      </w:r>
      <w:r>
        <w:instrText>xe "</w:instrText>
      </w:r>
      <w:r>
        <w:rPr>
          <w:rStyle w:val="xeentry"/>
        </w:rPr>
        <w:instrText>tanru inversion: multiple</w:instrText>
      </w:r>
      <w:r>
        <w:instrText>"</w:instrText>
      </w:r>
      <w:r>
        <w:rPr>
          <w:rStyle w:val="indexentry"/>
        </w:rPr>
        <w:fldChar w:fldCharType="end"/>
      </w:r>
      <w:r>
        <w:rPr>
          <w:rStyle w:val="indexentry"/>
        </w:rPr>
        <w:t>&lt;cx "multiple tanru inversion, effect on grouping"&gt;</w:t>
      </w:r>
      <w:r>
        <w:rPr>
          <w:rStyle w:val="indexentry"/>
        </w:rPr>
        <w:fldChar w:fldCharType="begin"/>
      </w:r>
      <w:r>
        <w:instrText>xe "</w:instrText>
      </w:r>
      <w:r>
        <w:rPr>
          <w:rStyle w:val="xeentry"/>
        </w:rPr>
        <w:instrText>multiple tanru inversion: effect on grouping</w:instrText>
      </w:r>
      <w:r>
        <w:instrText>"</w:instrText>
      </w:r>
      <w:r>
        <w:rPr>
          <w:rStyle w:val="indexentry"/>
        </w:rPr>
        <w:fldChar w:fldCharType="end"/>
      </w:r>
      <w:r>
        <w:t>Multiple “co” cmavo can appear within a selbri, indicating multiple</w:t>
      </w:r>
      <w:r>
        <w:rPr>
          <w:rStyle w:val="deletedparamark"/>
        </w:rPr>
        <w:t xml:space="preserve"> </w:t>
      </w:r>
      <w:r>
        <w:t>inversions: a right-grouping rule is employed, as for “bo”. The above</w:t>
      </w:r>
      <w:r>
        <w:rPr>
          <w:rStyle w:val="deletedparamark"/>
        </w:rPr>
        <w:t xml:space="preserve"> </w:t>
      </w:r>
      <w:r>
        <w:t>rule can be applied to inter</w:t>
      </w:r>
      <w:r>
        <w:softHyphen/>
        <w:t>pret such selbri, but all “co” cmavo must</w:t>
      </w:r>
      <w:r>
        <w:rPr>
          <w:rStyle w:val="deletedparamark"/>
        </w:rPr>
        <w:t xml:space="preserve"> </w:t>
      </w:r>
      <w:r>
        <w:t>be removed simultaneously: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ckule co nixli co cmalu</w:t>
      </w:r>
    </w:p>
    <w:p w:rsidR="00B72047" w:rsidRDefault="00B72047">
      <w:pPr>
        <w:pStyle w:val="examplescaled"/>
      </w:pPr>
      <w:r>
        <w:tab/>
        <w:t>school of-type (girl of-type little)</w:t>
      </w:r>
    </w:p>
    <w:p w:rsidR="00B72047" w:rsidRDefault="00B72047">
      <w:pPr>
        <w:pStyle w:val="resumedafterexample"/>
      </w:pPr>
      <w:r>
        <w:rPr>
          <w:rStyle w:val="htmlcodes"/>
        </w:rPr>
        <w:t>&lt;/pre&gt;</w:t>
      </w:r>
      <w:r>
        <w:t>becomes formally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name=e8d10&gt;</w:t>
      </w:r>
      <w:r>
        <w:t>8.10)</w:t>
      </w:r>
      <w:r>
        <w:tab/>
        <w:t>ke ke cmalu ke'e nixli ke'e ckule</w:t>
      </w:r>
    </w:p>
    <w:p w:rsidR="00B72047" w:rsidRDefault="00B72047">
      <w:pPr>
        <w:pStyle w:val="examplescaled"/>
      </w:pPr>
      <w:r>
        <w:tab/>
        <w:t>( (little) girl ) school</w:t>
      </w:r>
    </w:p>
    <w:p w:rsidR="00B72047" w:rsidRDefault="00B72047">
      <w:pPr>
        <w:pStyle w:val="resumedafterexample"/>
      </w:pPr>
      <w:r>
        <w:rPr>
          <w:rStyle w:val="htmlcodes"/>
        </w:rPr>
        <w:t>&lt;/pre&gt;</w:t>
      </w:r>
      <w:r>
        <w:t>which by the left-grouping rule is simply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name=e8d11&gt;</w:t>
      </w:r>
      <w:r>
        <w:t>8.11)</w:t>
      </w:r>
      <w:r>
        <w:tab/>
        <w:t>cmalu nixli ckule</w:t>
      </w:r>
    </w:p>
    <w:p w:rsidR="00B72047" w:rsidRDefault="00B72047">
      <w:pPr>
        <w:pStyle w:val="examplescaled"/>
      </w:pPr>
      <w:r>
        <w:tab/>
        <w:t>little girl school</w:t>
      </w:r>
    </w:p>
    <w:p w:rsidR="00B72047" w:rsidRDefault="00B72047">
      <w:pPr>
        <w:pStyle w:val="examplescaled"/>
      </w:pPr>
      <w:r>
        <w:tab/>
        <w:t>school for little girls</w:t>
      </w:r>
    </w:p>
    <w:p w:rsidR="00B72047" w:rsidRDefault="00B72047">
      <w:pPr>
        <w:pStyle w:val="normalafterexample"/>
      </w:pPr>
      <w:r>
        <w:rPr>
          <w:rStyle w:val="htmlcodes"/>
        </w:rPr>
        <w:t>&lt;/pre&gt;&lt;p&gt;</w:t>
      </w:r>
      <w:r>
        <w:t>As stated above, the selbri places, other than the first,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name=e8d12&gt;</w:t>
      </w:r>
      <w:r>
        <w:t>8.12)</w:t>
      </w:r>
      <w:r>
        <w:tab/>
        <w:t>mi klama co sutra</w:t>
      </w:r>
    </w:p>
    <w:p w:rsidR="00B72047" w:rsidRDefault="00B72047">
      <w:pPr>
        <w:pStyle w:val="examplescaled"/>
      </w:pPr>
      <w:r>
        <w:tab/>
        <w:t>I am-a-goer of-type quick</w:t>
      </w:r>
    </w:p>
    <w:p w:rsidR="00B72047" w:rsidRDefault="00B72047">
      <w:pPr>
        <w:pStyle w:val="examplescaled"/>
      </w:pPr>
      <w:r>
        <w:tab/>
        <w:t>I go quickly</w:t>
      </w:r>
    </w:p>
    <w:p w:rsidR="00B72047" w:rsidRDefault="00B72047">
      <w:pPr>
        <w:pStyle w:val="resumedafterexample"/>
      </w:pPr>
      <w:r>
        <w:rPr>
          <w:rStyle w:val="htmlcodes"/>
        </w:rPr>
        <w:t>&lt;/pre&gt;</w:t>
      </w:r>
      <w:r>
        <w:t>cannot be filled by placing sumti after the selbri, because any</w:t>
      </w:r>
      <w:r>
        <w:rPr>
          <w:rStyle w:val="deletedparamark"/>
        </w:rPr>
        <w:t xml:space="preserve"> </w:t>
      </w:r>
      <w:r>
        <w:t>sumti in that position fill the places of “sutra”, the seltau.</w:t>
      </w:r>
      <w:r>
        <w:rPr>
          <w:rStyle w:val="deletedparamark"/>
        </w:rPr>
        <w:t xml:space="preserve"> </w:t>
      </w:r>
      <w:r>
        <w:t>However, the tertau places (which means in effect the selbri</w:t>
      </w:r>
      <w:r>
        <w:rPr>
          <w:rStyle w:val="deletedparamark"/>
        </w:rPr>
        <w:t xml:space="preserve"> </w:t>
      </w:r>
      <w:r>
        <w:t>places) can be filled with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name=e8d13&gt;</w:t>
      </w:r>
      <w:r>
        <w:t>8.13)</w:t>
      </w:r>
      <w:r>
        <w:tab/>
        <w:t>mi klama be le zarci co sutra</w:t>
      </w:r>
    </w:p>
    <w:p w:rsidR="00B72047" w:rsidRDefault="00B72047">
      <w:pPr>
        <w:pStyle w:val="examplescaled"/>
      </w:pPr>
      <w:r>
        <w:tab/>
        <w:t>I am-a-goer (to the store) of-type quick.</w:t>
      </w:r>
    </w:p>
    <w:p w:rsidR="00B72047" w:rsidRDefault="00B72047">
      <w:pPr>
        <w:pStyle w:val="examplescaled"/>
      </w:pPr>
      <w:r>
        <w:tab/>
        <w:t>I go to the store quickly.</w:t>
      </w:r>
    </w:p>
    <w:p w:rsidR="00B72047" w:rsidRDefault="00B72047">
      <w:pPr>
        <w:pStyle w:val="Heading3"/>
        <w:rPr>
          <w:rStyle w:val="Heading3Text"/>
        </w:rPr>
      </w:pPr>
      <w:r>
        <w:rPr>
          <w:rStyle w:val="htmlcodes"/>
        </w:rPr>
        <w:t>&lt;/pre&gt;&lt;a name=s9&gt;&lt;h3&gt;</w:t>
      </w:r>
      <w:bookmarkStart w:id="210" w:name="_Toc395691525"/>
      <w:bookmarkStart w:id="211" w:name="_Toc398970496"/>
      <w:r>
        <w:rPr>
          <w:rStyle w:val="Heading3Text"/>
        </w:rPr>
        <w:t>Other kinds of simple selbri</w:t>
      </w:r>
      <w:bookmarkEnd w:id="210"/>
      <w:bookmarkEnd w:id="21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go'i</w:t>
      </w:r>
      <w:r>
        <w:tab/>
        <w:t>GOhA</w:t>
      </w:r>
      <w:r>
        <w:tab/>
        <w:t>repeats the previous bridi</w:t>
      </w:r>
    </w:p>
    <w:p w:rsidR="00B72047" w:rsidRDefault="00B72047">
      <w:pPr>
        <w:pStyle w:val="examplescaled"/>
      </w:pPr>
      <w:r>
        <w:tab/>
        <w:t>du</w:t>
      </w:r>
      <w:r>
        <w:tab/>
        <w:t>GOhA</w:t>
      </w:r>
      <w:r>
        <w:tab/>
        <w:t>equality</w:t>
      </w:r>
    </w:p>
    <w:p w:rsidR="00B72047" w:rsidRDefault="00B72047">
      <w:pPr>
        <w:pStyle w:val="examplescaled"/>
      </w:pPr>
      <w:r>
        <w:tab/>
        <w:t>nu'a</w:t>
      </w:r>
      <w:r>
        <w:tab/>
        <w:t>NUhA</w:t>
      </w:r>
      <w:r>
        <w:tab/>
        <w:t>math operator to selbri</w:t>
      </w:r>
    </w:p>
    <w:p w:rsidR="00B72047" w:rsidRDefault="00B72047">
      <w:pPr>
        <w:pStyle w:val="examplescaled"/>
      </w:pPr>
      <w:r>
        <w:tab/>
        <w:t>moi</w:t>
      </w:r>
      <w:r>
        <w:tab/>
        <w:t>MOI</w:t>
      </w:r>
      <w:r>
        <w:tab/>
        <w:t>changes number to ordinal selbri</w:t>
      </w:r>
    </w:p>
    <w:p w:rsidR="00B72047" w:rsidRDefault="00B72047">
      <w:pPr>
        <w:pStyle w:val="examplescaled"/>
      </w:pPr>
      <w:r>
        <w:tab/>
        <w:t>mei</w:t>
      </w:r>
      <w:r>
        <w:tab/>
        <w:t>MOI</w:t>
      </w:r>
      <w:r>
        <w:tab/>
        <w:t>changes number to cardinal selbri</w:t>
      </w:r>
    </w:p>
    <w:p w:rsidR="00B72047" w:rsidRDefault="00B72047">
      <w:pPr>
        <w:pStyle w:val="examplescaled"/>
      </w:pPr>
      <w:r>
        <w:tab/>
        <w:t>nu</w:t>
      </w:r>
      <w:r>
        <w:tab/>
        <w:t>NU</w:t>
      </w:r>
      <w:r>
        <w:tab/>
        <w:t>event abstraction</w:t>
      </w:r>
    </w:p>
    <w:p w:rsidR="00B72047" w:rsidRDefault="00B72047">
      <w:pPr>
        <w:pStyle w:val="examplescaled"/>
      </w:pPr>
      <w:r>
        <w:tab/>
        <w:t>kei</w:t>
      </w:r>
      <w:r>
        <w:tab/>
        <w:t>KEI</w:t>
      </w:r>
      <w:r>
        <w:tab/>
        <w:t>terminator for “nu”</w:t>
      </w:r>
    </w:p>
    <w:p w:rsidR="00B72047" w:rsidRDefault="00B72047">
      <w:pPr>
        <w:pStyle w:val="normalafterexample"/>
      </w:pPr>
      <w:r>
        <w:rPr>
          <w:rStyle w:val="htmlcodes"/>
        </w:rPr>
        <w:t>&lt;/pre&gt;</w:t>
      </w:r>
      <w:r>
        <w:rPr>
          <w:rStyle w:val="indexentry"/>
        </w:rPr>
        <w:t>&lt;cx "brivla equivalents"&gt;</w:t>
      </w:r>
      <w:r>
        <w:rPr>
          <w:rStyle w:val="indexentry"/>
        </w:rPr>
        <w:fldChar w:fldCharType="begin"/>
      </w:r>
      <w:r>
        <w:instrText>xe "</w:instrText>
      </w:r>
      <w:r>
        <w:rPr>
          <w:rStyle w:val="xeentry"/>
        </w:rPr>
        <w:instrText>brivla equivalents</w:instrText>
      </w:r>
      <w:r>
        <w:instrText>"</w:instrText>
      </w:r>
      <w:r>
        <w:rPr>
          <w:rStyle w:val="indexentry"/>
        </w:rPr>
        <w:fldChar w:fldCharType="end"/>
      </w:r>
      <w:r>
        <w:rPr>
          <w:rStyle w:val="indexentry"/>
        </w:rPr>
        <w:t>&lt;cx "equivalents to brivla"&gt;</w:t>
      </w:r>
      <w:r>
        <w:rPr>
          <w:rStyle w:val="indexentry"/>
        </w:rPr>
        <w:fldChar w:fldCharType="begin"/>
      </w:r>
      <w:r>
        <w:instrText>xe "</w:instrText>
      </w:r>
      <w:r>
        <w:rPr>
          <w:rStyle w:val="xeentry"/>
        </w:rPr>
        <w:instrText>equivalents to brivla</w:instrText>
      </w:r>
      <w:r>
        <w:instrText>"</w:instrText>
      </w:r>
      <w:r>
        <w:rPr>
          <w:rStyle w:val="indexentry"/>
        </w:rPr>
        <w:fldChar w:fldCharType="end"/>
      </w:r>
      <w:r>
        <w:t>So far we have only discussed brivla and tanru built up from brivla as</w:t>
      </w:r>
      <w:r>
        <w:rPr>
          <w:rStyle w:val="deletedparamark"/>
        </w:rPr>
        <w:t xml:space="preserve"> </w:t>
      </w:r>
      <w:r>
        <w:t>possible selbri. In fact, there are a few other constructions in Lojban</w:t>
      </w:r>
      <w:r>
        <w:rPr>
          <w:rStyle w:val="deletedparamark"/>
        </w:rPr>
        <w:t xml:space="preserve"> </w:t>
      </w:r>
      <w:r>
        <w:t>which are grammatically equivalent to brivla: they can be used either</w:t>
      </w:r>
      <w:r>
        <w:rPr>
          <w:rStyle w:val="deletedparamark"/>
        </w:rPr>
        <w:t xml:space="preserve"> </w:t>
      </w:r>
      <w:r>
        <w:t>directly as selbri, or as components in tanru. Some of these types of</w:t>
      </w:r>
      <w:r>
        <w:rPr>
          <w:rStyle w:val="deletedparamark"/>
        </w:rPr>
        <w:t xml:space="preserve"> </w:t>
      </w:r>
      <w:r>
        <w:t xml:space="preserve">simple selbri are discussed at length in </w:t>
      </w:r>
      <w:r>
        <w:rPr>
          <w:rStyle w:val="htmlcodes"/>
        </w:rPr>
        <w:t>&lt;a href=chap7.html&gt;</w:t>
      </w:r>
      <w:r>
        <w:t>Chapter 7</w:t>
      </w:r>
      <w:r>
        <w:rPr>
          <w:rStyle w:val="htmlcodes"/>
        </w:rPr>
        <w:t>&lt;/a&gt;</w:t>
      </w:r>
      <w:r>
        <w:t xml:space="preserve">, </w:t>
      </w:r>
      <w:r>
        <w:rPr>
          <w:rStyle w:val="htmlcodes"/>
        </w:rPr>
        <w:t>&lt;a href=chap11.html&gt;</w:t>
      </w:r>
      <w:r>
        <w:t>Chapter 11</w:t>
      </w:r>
      <w:r>
        <w:rPr>
          <w:rStyle w:val="htmlcodes"/>
        </w:rPr>
        <w:t>&lt;/a&gt;</w:t>
      </w:r>
      <w:r>
        <w:t>, and</w:t>
      </w:r>
      <w:r>
        <w:rPr>
          <w:rStyle w:val="deletedparamark"/>
        </w:rPr>
        <w:t xml:space="preserve"> </w:t>
      </w:r>
      <w:r>
        <w:rPr>
          <w:rStyle w:val="htmlcodes"/>
        </w:rPr>
        <w:t>&lt;a href=chap18.html&gt;</w:t>
      </w:r>
      <w:r>
        <w:t>Chapter 18</w:t>
      </w:r>
      <w:r>
        <w:rPr>
          <w:rStyle w:val="htmlcodes"/>
        </w:rPr>
        <w:t>&lt;/a&gt;</w:t>
      </w:r>
      <w:r>
        <w:t>; but for completeness these types are mentioned here with a</w:t>
      </w:r>
      <w:r>
        <w:rPr>
          <w:rStyle w:val="deletedparamark"/>
        </w:rPr>
        <w:t xml:space="preserve"> </w:t>
      </w:r>
      <w:r>
        <w:t>brief explanation and an example of their use in selbri.</w:t>
      </w:r>
    </w:p>
    <w:p w:rsidR="00B72047" w:rsidRDefault="00B72047">
      <w:pPr>
        <w:rPr>
          <w:rStyle w:val="htmlparacode"/>
        </w:rPr>
      </w:pPr>
      <w:r>
        <w:rPr>
          <w:rStyle w:val="htmlparacode"/>
        </w:rPr>
        <w:t>&lt;p&gt;</w:t>
      </w:r>
    </w:p>
    <w:p w:rsidR="00B72047" w:rsidRDefault="00B72047">
      <w:pPr>
        <w:pStyle w:val="normalparagraph"/>
      </w:pPr>
      <w:r>
        <w:rPr>
          <w:rStyle w:val="indexentry"/>
        </w:rPr>
        <w:t>&lt;lx "GOhA"&gt;</w:t>
      </w:r>
      <w:r>
        <w:rPr>
          <w:rStyle w:val="indexentry"/>
        </w:rPr>
        <w:fldChar w:fldCharType="begin"/>
      </w:r>
      <w:r>
        <w:instrText>xe "</w:instrText>
      </w:r>
      <w:r>
        <w:rPr>
          <w:rStyle w:val="xeentry"/>
        </w:rPr>
        <w:instrText>GOhA selma’o</w:instrText>
      </w:r>
      <w:r>
        <w:instrText>"</w:instrText>
      </w:r>
      <w:r>
        <w:rPr>
          <w:rStyle w:val="indexentry"/>
        </w:rPr>
        <w:fldChar w:fldCharType="end"/>
      </w:r>
      <w:r>
        <w:rPr>
          <w:rStyle w:val="indexentry"/>
        </w:rPr>
        <w:t>&lt;cx "GOhA, as selbri"&gt;</w:t>
      </w:r>
      <w:r>
        <w:rPr>
          <w:rStyle w:val="indexentry"/>
        </w:rPr>
        <w:fldChar w:fldCharType="begin"/>
      </w:r>
      <w:r>
        <w:instrText>xe "</w:instrText>
      </w:r>
      <w:r>
        <w:rPr>
          <w:rStyle w:val="xeentry"/>
        </w:rPr>
        <w:instrText>GOhA selma’o: as selbri</w:instrText>
      </w:r>
      <w:r>
        <w:instrText>"</w:instrText>
      </w:r>
      <w:r>
        <w:rPr>
          <w:rStyle w:val="indexentry"/>
        </w:rPr>
        <w:fldChar w:fldCharType="end"/>
      </w:r>
      <w:r>
        <w:rPr>
          <w:rStyle w:val="indexentry"/>
        </w:rPr>
        <w:t>&lt;cx "GOhA, as component in tanru"&gt;</w:t>
      </w:r>
      <w:r>
        <w:rPr>
          <w:rStyle w:val="indexentry"/>
        </w:rPr>
        <w:fldChar w:fldCharType="begin"/>
      </w:r>
      <w:r>
        <w:instrText>xe "</w:instrText>
      </w:r>
      <w:r>
        <w:rPr>
          <w:rStyle w:val="xeentry"/>
        </w:rPr>
        <w:instrText>GOhA selma’o: as component in tanru</w:instrText>
      </w:r>
      <w:r>
        <w:instrText>"</w:instrText>
      </w:r>
      <w:r>
        <w:rPr>
          <w:rStyle w:val="indexentry"/>
        </w:rPr>
        <w:fldChar w:fldCharType="end"/>
      </w:r>
      <w:r>
        <w:rPr>
          <w:rStyle w:val="indexentry"/>
        </w:rPr>
        <w:t>&lt;cx "selbri, with GOhA"&gt;</w:t>
      </w:r>
      <w:r>
        <w:rPr>
          <w:rStyle w:val="indexentry"/>
        </w:rPr>
        <w:fldChar w:fldCharType="begin"/>
      </w:r>
      <w:r>
        <w:instrText>xe "</w:instrText>
      </w:r>
      <w:r>
        <w:rPr>
          <w:rStyle w:val="xeentry"/>
        </w:rPr>
        <w:instrText>selbri: with GOhA</w:instrText>
      </w:r>
      <w:r>
        <w:instrText>"</w:instrText>
      </w:r>
      <w:r>
        <w:rPr>
          <w:rStyle w:val="indexentry"/>
        </w:rPr>
        <w:fldChar w:fldCharType="end"/>
      </w:r>
      <w:r>
        <w:rPr>
          <w:rStyle w:val="indexentry"/>
        </w:rPr>
        <w:t>&lt;cx "tanru, with GOhA"&gt;</w:t>
      </w:r>
      <w:r>
        <w:rPr>
          <w:rStyle w:val="indexentry"/>
        </w:rPr>
        <w:fldChar w:fldCharType="begin"/>
      </w:r>
      <w:r>
        <w:instrText>xe "</w:instrText>
      </w:r>
      <w:r>
        <w:rPr>
          <w:rStyle w:val="xeentry"/>
        </w:rPr>
        <w:instrText>tanru: with GOhA</w:instrText>
      </w:r>
      <w:r>
        <w:instrText>"</w:instrText>
      </w:r>
      <w:r>
        <w:rPr>
          <w:rStyle w:val="indexentry"/>
        </w:rPr>
        <w:fldChar w:fldCharType="end"/>
      </w:r>
      <w:r>
        <w:t>The cmavo of selma'o GOhA (with one exception) serve as pro-bridi, provid</w:t>
      </w:r>
      <w:r>
        <w:softHyphen/>
        <w:t>ing</w:t>
      </w:r>
      <w:r>
        <w:rPr>
          <w:rStyle w:val="deletedparamark"/>
        </w:rPr>
        <w:t xml:space="preserve"> </w:t>
      </w:r>
      <w:r>
        <w:t>a reference to the content of other bridi; none of them has a fixed</w:t>
      </w:r>
      <w:r>
        <w:rPr>
          <w:rStyle w:val="deletedparamark"/>
        </w:rPr>
        <w:t xml:space="preserve"> </w:t>
      </w:r>
      <w:r>
        <w:t>meaning. The most co</w:t>
      </w:r>
      <w:r>
        <w:t>m</w:t>
      </w:r>
      <w:r>
        <w:softHyphen/>
        <w:t>monly used member of GOhA is probably “go'i”, which</w:t>
      </w:r>
      <w:r>
        <w:rPr>
          <w:rStyle w:val="deletedparamark"/>
        </w:rPr>
        <w:t xml:space="preserve"> </w:t>
      </w:r>
      <w:r>
        <w:t>amounts to a repeti</w:t>
      </w:r>
      <w:r>
        <w:softHyphen/>
        <w:t>tion of the previous bridi, or part of it. If I say:</w:t>
      </w:r>
    </w:p>
    <w:p w:rsidR="00B72047" w:rsidRDefault="00B72047">
      <w:pPr>
        <w:rPr>
          <w:rStyle w:val="htmlparacode"/>
        </w:rPr>
      </w:pPr>
      <w:r>
        <w:rPr>
          <w:rStyle w:val="htmlparacode"/>
        </w:rPr>
        <w:t>&lt;p&gt;</w:t>
      </w:r>
    </w:p>
    <w:p w:rsidR="00B72047" w:rsidRDefault="00B72047">
      <w:pPr>
        <w:pStyle w:val="examplescaledpre"/>
      </w:pP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rPr>
          <w:rStyle w:val="htmlcodes"/>
        </w:rPr>
        <w:t>&lt;pre&gt;&lt;a name=e9d1&gt;</w:t>
      </w:r>
      <w:r>
        <w:t>9.1)</w:t>
      </w:r>
      <w:r>
        <w:tab/>
        <w:t>la djan. klama le zarci</w:t>
      </w:r>
    </w:p>
    <w:p w:rsidR="00B72047" w:rsidRDefault="00B72047">
      <w:pPr>
        <w:pStyle w:val="examplescaled"/>
      </w:pPr>
      <w:r>
        <w:tab/>
        <w:t>John goes-to the market.</w:t>
      </w:r>
    </w:p>
    <w:p w:rsidR="00B72047" w:rsidRDefault="00B72047">
      <w:pPr>
        <w:pStyle w:val="resumedafterexample"/>
      </w:pPr>
      <w:r>
        <w:rPr>
          <w:rStyle w:val="htmlcodes"/>
        </w:rPr>
        <w:t>&lt;/pre&gt;</w:t>
      </w:r>
      <w:r>
        <w:t>you may retort: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la djan. go'i troci</w:t>
      </w:r>
    </w:p>
    <w:p w:rsidR="00B72047" w:rsidRDefault="00B72047">
      <w:pPr>
        <w:pStyle w:val="examplescaled"/>
      </w:pPr>
      <w:r>
        <w:tab/>
        <w:t>John [repeat last] are-a-tryer</w:t>
      </w:r>
    </w:p>
    <w:p w:rsidR="00B72047" w:rsidRDefault="00B72047">
      <w:pPr>
        <w:pStyle w:val="examplescaled"/>
      </w:pPr>
      <w:r>
        <w:tab/>
        <w:t>John tries to.</w:t>
      </w:r>
    </w:p>
    <w:p w:rsidR="00B72047" w:rsidRDefault="00B72047">
      <w:pPr>
        <w:pStyle w:val="resumedafterexample"/>
      </w:pPr>
      <w:r>
        <w:rPr>
          <w:rStyle w:val="htmlcodes"/>
        </w:rPr>
        <w:t>&lt;/pre&gt;&lt;a href=#e9d2&gt;</w:t>
      </w:r>
      <w:r>
        <w:t xml:space="preserve">Example 9.2 </w:t>
      </w:r>
      <w:r>
        <w:rPr>
          <w:rStyle w:val="htmlcodes"/>
        </w:rPr>
        <w:t>&lt;/a&gt;</w:t>
      </w:r>
      <w:r>
        <w:t>is short for: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la djan. klama be le zarci be'o troci</w:t>
      </w:r>
    </w:p>
    <w:p w:rsidR="00B72047" w:rsidRDefault="00B72047">
      <w:pPr>
        <w:pStyle w:val="examplescaled"/>
      </w:pPr>
      <w:r>
        <w:tab/>
        <w:t>John is-a-goer (to the market) type-of trier.</w:t>
      </w:r>
    </w:p>
    <w:p w:rsidR="00B72047" w:rsidRDefault="00B72047">
      <w:pPr>
        <w:pStyle w:val="resumedafterexample"/>
      </w:pPr>
      <w:r>
        <w:rPr>
          <w:rStyle w:val="htmlcodes"/>
        </w:rPr>
        <w:t>&lt;/pre&gt;</w:t>
      </w:r>
      <w:r>
        <w:t xml:space="preserve">because the whole bridi of </w:t>
      </w:r>
      <w:r>
        <w:rPr>
          <w:rStyle w:val="htmlcodes"/>
        </w:rPr>
        <w:t>&lt;a href=#e9d1&gt;</w:t>
      </w:r>
      <w:r>
        <w:t xml:space="preserve">Example 9.1 </w:t>
      </w:r>
      <w:r>
        <w:rPr>
          <w:rStyle w:val="htmlcodes"/>
        </w:rPr>
        <w:t>&lt;/a&gt;</w:t>
      </w:r>
      <w:r>
        <w:t>has been packaged up into the</w:t>
      </w:r>
      <w:r>
        <w:rPr>
          <w:rStyle w:val="deletedparamark"/>
        </w:rPr>
        <w:t xml:space="preserve"> </w:t>
      </w:r>
      <w:r>
        <w:t xml:space="preserve">single word “go'i” and inserted into </w:t>
      </w:r>
      <w:r>
        <w:rPr>
          <w:rStyle w:val="htmlcodes"/>
        </w:rPr>
        <w:t>&lt;a href=#e9d2&gt;</w:t>
      </w:r>
      <w:r>
        <w:t>Example 9.2</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"du, as an exception in GOhA"&gt;</w:t>
      </w:r>
      <w:r>
        <w:rPr>
          <w:rStyle w:val="indexentry"/>
        </w:rPr>
        <w:fldChar w:fldCharType="begin"/>
      </w:r>
      <w:r>
        <w:instrText>xe "</w:instrText>
      </w:r>
      <w:r>
        <w:rPr>
          <w:rStyle w:val="xeentry"/>
        </w:rPr>
        <w:instrText>du: as an exception within GOhA selma’o</w:instrText>
      </w:r>
      <w:r>
        <w:instrText>"</w:instrText>
      </w:r>
      <w:r>
        <w:rPr>
          <w:rStyle w:val="indexentry"/>
        </w:rPr>
        <w:fldChar w:fldCharType="end"/>
      </w:r>
      <w:r>
        <w:t>The exceptional member of GOhA is “du”, which represents the relation of</w:t>
      </w:r>
      <w:r>
        <w:rPr>
          <w:rStyle w:val="deletedparamark"/>
        </w:rPr>
        <w:t xml:space="preserve"> </w:t>
      </w:r>
      <w:r>
        <w:t>identity. Its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du:  </w:t>
      </w:r>
      <w:r>
        <w:rPr>
          <w:rStyle w:val="htmlcodes"/>
        </w:rPr>
        <w:t>&lt;dd&gt;</w:t>
      </w:r>
      <w:r>
        <w:t>x1 is identical with x2, x3, </w:t>
      </w:r>
      <w:r>
        <w:rPr>
          <w:rStyle w:val="htmlcodes"/>
        </w:rPr>
        <w:t>&lt;dots&gt;</w:t>
      </w:r>
      <w:r>
        <w:t>…</w:t>
      </w:r>
      <w:r>
        <w:rPr>
          <w:rStyle w:val="htmlcodes"/>
        </w:rPr>
        <w:t>&lt;/dots&gt;</w:t>
      </w:r>
    </w:p>
    <w:p w:rsidR="00B72047" w:rsidRDefault="00B72047">
      <w:pPr>
        <w:pStyle w:val="resumedafterexample"/>
      </w:pPr>
      <w:r>
        <w:rPr>
          <w:rStyle w:val="htmlcodes"/>
        </w:rPr>
        <w:t>&lt;/dl&gt;</w:t>
      </w:r>
      <w:r>
        <w:t>for as many places as are given. More information on selma'o GOhA is</w:t>
      </w:r>
      <w:r>
        <w:rPr>
          <w:rStyle w:val="deletedparamark"/>
        </w:rPr>
        <w:t xml:space="preserve"> </w:t>
      </w:r>
      <w:r>
        <w:t xml:space="preserve">available in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"mathematical expressions in tanru"&gt;</w:t>
      </w:r>
      <w:r>
        <w:rPr>
          <w:rStyle w:val="indexentry"/>
        </w:rPr>
        <w:fldChar w:fldCharType="begin"/>
      </w:r>
      <w:r>
        <w:instrText>xe "</w:instrText>
      </w:r>
      <w:r>
        <w:rPr>
          <w:rStyle w:val="xeentry"/>
        </w:rPr>
        <w:instrText>mathematical expressions in tanru</w:instrText>
      </w:r>
      <w:r>
        <w:instrText>"</w:instrText>
      </w:r>
      <w:r>
        <w:rPr>
          <w:rStyle w:val="indexentry"/>
        </w:rPr>
        <w:fldChar w:fldCharType="end"/>
      </w:r>
      <w:r>
        <w:rPr>
          <w:rStyle w:val="indexentry"/>
        </w:rPr>
        <w:t>&lt;lx "nu'a"&gt;</w:t>
      </w:r>
      <w:r>
        <w:rPr>
          <w:rStyle w:val="indexentry"/>
        </w:rPr>
        <w:fldChar w:fldCharType="begin"/>
      </w:r>
      <w:r>
        <w:instrText>xe "</w:instrText>
      </w:r>
      <w:r>
        <w:rPr>
          <w:rStyle w:val="xeentry"/>
        </w:rPr>
        <w:instrText>nu'a</w:instrText>
      </w:r>
      <w:r>
        <w:instrText>"</w:instrText>
      </w:r>
      <w:r>
        <w:rPr>
          <w:rStyle w:val="indexentry"/>
        </w:rPr>
        <w:fldChar w:fldCharType="end"/>
      </w:r>
      <w:r>
        <w:rPr>
          <w:rStyle w:val="indexentry"/>
        </w:rPr>
        <w:t>&lt;lx "su'i"&gt;</w:t>
      </w:r>
      <w:r>
        <w:rPr>
          <w:rStyle w:val="indexentry"/>
        </w:rPr>
        <w:fldChar w:fldCharType="begin"/>
      </w:r>
      <w:r>
        <w:instrText>xe "</w:instrText>
      </w:r>
      <w:r>
        <w:rPr>
          <w:rStyle w:val="xeentry"/>
        </w:rPr>
        <w:instrText>su'i</w:instrText>
      </w:r>
      <w:r>
        <w:instrText>"</w:instrText>
      </w:r>
      <w:r>
        <w:rPr>
          <w:rStyle w:val="indexentry"/>
        </w:rPr>
        <w:fldChar w:fldCharType="end"/>
      </w:r>
      <w:r>
        <w:rPr>
          <w:rStyle w:val="indexentry"/>
        </w:rPr>
        <w:t>&lt;cx "tanru, containing mathematical expressions"&gt;</w:t>
      </w:r>
      <w:r>
        <w:rPr>
          <w:rStyle w:val="indexentry"/>
        </w:rPr>
        <w:fldChar w:fldCharType="begin"/>
      </w:r>
      <w:r>
        <w:instrText>xe "</w:instrText>
      </w:r>
      <w:r>
        <w:rPr>
          <w:rStyle w:val="xeentry"/>
        </w:rPr>
        <w:instrText>tanru: containing mathematical expressions</w:instrText>
      </w:r>
      <w:r>
        <w:instrText>"</w:instrText>
      </w:r>
      <w:r>
        <w:rPr>
          <w:rStyle w:val="indexentry"/>
        </w:rPr>
        <w:fldChar w:fldCharType="end"/>
      </w:r>
      <w:r>
        <w:t>Lojban mathematical expressions (mekso) can be incorpo</w:t>
      </w:r>
      <w:r>
        <w:softHyphen/>
        <w:t>rated into selbri</w:t>
      </w:r>
      <w:r>
        <w:rPr>
          <w:rStyle w:val="deletedparamark"/>
        </w:rPr>
        <w:t xml:space="preserve"> </w:t>
      </w:r>
      <w:r>
        <w:t>in two di</w:t>
      </w:r>
      <w:r>
        <w:t>f</w:t>
      </w:r>
      <w:r>
        <w:softHyphen/>
        <w:t>ferent ways. Mathematical operators such as “su'i”, meaning</w:t>
      </w:r>
      <w:r>
        <w:rPr>
          <w:rStyle w:val="deletedparamark"/>
        </w:rPr>
        <w:t xml:space="preserve"> “</w:t>
      </w:r>
      <w:r>
        <w:t>plus”, can be transformed into selbri by prefixing them with “nu'a” (of</w:t>
      </w:r>
      <w:r>
        <w:rPr>
          <w:rStyle w:val="deletedparamark"/>
        </w:rPr>
        <w:t xml:space="preserve"> </w:t>
      </w:r>
      <w:r>
        <w:t>selma'o NUhA). The resulting place stru</w:t>
      </w:r>
      <w:r>
        <w:t>c</w:t>
      </w:r>
      <w:r>
        <w:softHyphen/>
        <w:t>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the result of applying (the operator) to arguments x2, x3, etc.</w:t>
      </w:r>
    </w:p>
    <w:p w:rsidR="00B72047" w:rsidRDefault="00B72047">
      <w:pPr>
        <w:pStyle w:val="resumedafterexample"/>
      </w:pPr>
      <w:r>
        <w:rPr>
          <w:rStyle w:val="htmlcodes"/>
        </w:rPr>
        <w:t>&lt;/dl&gt;</w:t>
      </w:r>
      <w:r>
        <w:t>for as many arguments as are required. (The result goes in the x1</w:t>
      </w:r>
      <w:r>
        <w:rPr>
          <w:rStyle w:val="deletedparamark"/>
        </w:rPr>
        <w:t xml:space="preserve"> </w:t>
      </w:r>
      <w:r>
        <w:t>place because the nu</w:t>
      </w:r>
      <w:r>
        <w:t>m</w:t>
      </w:r>
      <w:r>
        <w:softHyphen/>
        <w:t>ber of following places may be indefinite.)</w:t>
      </w:r>
      <w:r>
        <w:rPr>
          <w:rStyle w:val="deletedparamark"/>
        </w:rPr>
        <w:t xml:space="preserve"> </w:t>
      </w:r>
      <w:r>
        <w:t>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li vo nu'a su'i li re li re</w:t>
      </w:r>
    </w:p>
    <w:p w:rsidR="00B72047" w:rsidRDefault="00B72047">
      <w:pPr>
        <w:pStyle w:val="examplescaled"/>
      </w:pPr>
      <w:r>
        <w:tab/>
        <w:t>The-number 4 is-the-sum-of the-number 2 and-the-number 2.</w:t>
      </w:r>
    </w:p>
    <w:p w:rsidR="00B72047" w:rsidRDefault="00B72047">
      <w:pPr>
        <w:pStyle w:val="resumedafterexample"/>
      </w:pPr>
      <w:r>
        <w:rPr>
          <w:rStyle w:val="htmlcodes"/>
        </w:rPr>
        <w:t>&lt;/pre&gt;&lt;p&gt;</w:t>
      </w:r>
      <w:r>
        <w:t>A possible tanru example might be:</w:t>
      </w:r>
    </w:p>
    <w:p w:rsidR="00B72047" w:rsidRDefault="00B72047">
      <w:pPr>
        <w:rPr>
          <w:rStyle w:val="htmlparacode"/>
        </w:rPr>
      </w:pPr>
      <w:r>
        <w:rPr>
          <w:rStyle w:val="htmlparacode"/>
        </w:rPr>
        <w:t>&lt;p&gt;</w:t>
      </w:r>
    </w:p>
    <w:p w:rsidR="00B72047" w:rsidRDefault="00B72047">
      <w:pPr>
        <w:pStyle w:val="examplescaledpre"/>
      </w:pPr>
      <w:r>
        <w:rPr>
          <w:rStyle w:val="indexentry"/>
        </w:rPr>
        <w:t>&lt;ex "addition problems"&gt;</w:t>
      </w:r>
      <w:r>
        <w:rPr>
          <w:rStyle w:val="indexentry"/>
        </w:rPr>
        <w:fldChar w:fldCharType="begin"/>
      </w:r>
      <w:r>
        <w:instrText>xe "</w:instrText>
      </w:r>
      <w:r>
        <w:rPr>
          <w:rStyle w:val="xeentry"/>
        </w:rPr>
        <w:instrText>addition problems: example</w:instrText>
      </w:r>
      <w:r>
        <w:instrText>"</w:instrText>
      </w:r>
      <w:r>
        <w:rPr>
          <w:rStyle w:val="indexentry"/>
        </w:rPr>
        <w:fldChar w:fldCharType="end"/>
      </w:r>
      <w:r>
        <w:rPr>
          <w:rStyle w:val="htmlcodes"/>
        </w:rPr>
        <w:t>&lt;pre&gt;&lt;a name=e9d5&gt;</w:t>
      </w:r>
      <w:r>
        <w:t>9.5)</w:t>
      </w:r>
      <w:r>
        <w:tab/>
        <w:t>mi jimpe tu’a loi nu'a su'i nabmi</w:t>
      </w:r>
    </w:p>
    <w:p w:rsidR="00B72047" w:rsidRDefault="00B72047">
      <w:pPr>
        <w:pStyle w:val="examplescaled"/>
      </w:pPr>
      <w:r>
        <w:tab/>
        <w:t>I understand something about the-mass-of is-the-sum-of problems.</w:t>
      </w:r>
    </w:p>
    <w:p w:rsidR="00B72047" w:rsidRDefault="00B72047">
      <w:pPr>
        <w:pStyle w:val="examplescaled"/>
      </w:pPr>
      <w:r>
        <w:tab/>
        <w:t>I understand addition problems.</w:t>
      </w:r>
    </w:p>
    <w:p w:rsidR="00B72047" w:rsidRDefault="00B72047">
      <w:pPr>
        <w:pStyle w:val="normalafterexample"/>
      </w:pPr>
      <w:r>
        <w:rPr>
          <w:rStyle w:val="htmlcodes"/>
        </w:rPr>
        <w:t>&lt;/pre&gt;</w:t>
      </w:r>
      <w:r>
        <w:rPr>
          <w:rStyle w:val="indexentry"/>
        </w:rPr>
        <w:t>&lt;lx "MOI"&gt;</w:t>
      </w:r>
      <w:r>
        <w:rPr>
          <w:rStyle w:val="indexentry"/>
        </w:rPr>
        <w:fldChar w:fldCharType="begin"/>
      </w:r>
      <w:r>
        <w:instrText>xe "</w:instrText>
      </w:r>
      <w:r>
        <w:rPr>
          <w:rStyle w:val="xeentry"/>
        </w:rPr>
        <w:instrText>MOI selma’o</w:instrText>
      </w:r>
      <w:r>
        <w:instrText>"</w:instrText>
      </w:r>
      <w:r>
        <w:rPr>
          <w:rStyle w:val="indexentry"/>
        </w:rPr>
        <w:fldChar w:fldCharType="end"/>
      </w:r>
      <w:r>
        <w:t>More usefully, it is possible to combine a mathematical ex</w:t>
      </w:r>
      <w:r>
        <w:softHyphen/>
        <w:t>pression with</w:t>
      </w:r>
      <w:r>
        <w:rPr>
          <w:rStyle w:val="deletedparamark"/>
        </w:rPr>
        <w:t xml:space="preserve"> </w:t>
      </w:r>
      <w:r>
        <w:t>a cmavo of selma'o MOI to create one of various nu</w:t>
      </w:r>
      <w:r>
        <w:softHyphen/>
        <w:t>merical selbri. Details</w:t>
      </w:r>
      <w:r>
        <w:rPr>
          <w:rStyle w:val="deletedparamark"/>
        </w:rPr>
        <w:t xml:space="preserve"> </w:t>
      </w:r>
      <w:r>
        <w:t xml:space="preserve">are available in </w:t>
      </w:r>
      <w:r>
        <w:rPr>
          <w:rStyle w:val="htmlcodes"/>
        </w:rPr>
        <w:t>&lt;a href=chap18.html&gt;</w:t>
      </w:r>
      <w:r>
        <w:t>Chapter 18</w:t>
      </w:r>
      <w:r>
        <w:rPr>
          <w:rStyle w:val="htmlcodes"/>
        </w:rPr>
        <w:t>&lt;/a&gt;</w:t>
      </w:r>
      <w:r>
        <w:t>. Here are a few tanru:</w:t>
      </w:r>
    </w:p>
    <w:p w:rsidR="00B72047" w:rsidRDefault="00B72047">
      <w:pPr>
        <w:rPr>
          <w:rStyle w:val="htmlparacode"/>
        </w:rPr>
      </w:pPr>
      <w:r>
        <w:rPr>
          <w:rStyle w:val="htmlparacode"/>
        </w:rPr>
        <w:t>&lt;p&gt;</w:t>
      </w:r>
    </w:p>
    <w:p w:rsidR="00B72047" w:rsidRDefault="00B72047">
      <w:pPr>
        <w:pStyle w:val="examplescaledpre"/>
      </w:pPr>
      <w:r>
        <w:rPr>
          <w:rStyle w:val="indexentry"/>
        </w:rPr>
        <w:t>&lt;ex "Preem Palver"&gt;</w:t>
      </w:r>
      <w:r>
        <w:rPr>
          <w:rStyle w:val="indexentry"/>
        </w:rPr>
        <w:fldChar w:fldCharType="begin"/>
      </w:r>
      <w:r>
        <w:instrText>xe "</w:instrText>
      </w:r>
      <w:r>
        <w:rPr>
          <w:rStyle w:val="xeentry"/>
        </w:rPr>
        <w:instrText>Preem Palver: example</w:instrText>
      </w:r>
      <w:r>
        <w:instrText>"</w:instrText>
      </w:r>
      <w:r>
        <w:rPr>
          <w:rStyle w:val="indexentry"/>
        </w:rPr>
        <w:fldChar w:fldCharType="end"/>
      </w:r>
      <w:r>
        <w:rPr>
          <w:rStyle w:val="htmlcodes"/>
        </w:rPr>
        <w:t>&lt;pre&gt;&lt;a name=e9d6&gt;</w:t>
      </w:r>
      <w:r>
        <w:t>9.6)</w:t>
      </w:r>
      <w:r>
        <w:tab/>
        <w:t>la prim. palvr. pamoi cusku</w:t>
      </w:r>
    </w:p>
    <w:p w:rsidR="00B72047" w:rsidRDefault="00B72047">
      <w:pPr>
        <w:pStyle w:val="examplescaled"/>
      </w:pPr>
      <w:r>
        <w:tab/>
        <w:t>Preem Palver is-the-1-th speaker.</w:t>
      </w:r>
    </w:p>
    <w:p w:rsidR="00B72047" w:rsidRDefault="00B72047">
      <w:pPr>
        <w:pStyle w:val="examplescaled"/>
      </w:pPr>
      <w:r>
        <w:tab/>
        <w:t>Preem Palver is the first speaker.</w:t>
      </w:r>
    </w:p>
    <w:p w:rsidR="00B72047" w:rsidRDefault="00B72047">
      <w:pPr>
        <w:pStyle w:val="examplescaledpre"/>
      </w:pPr>
      <w:r>
        <w:rPr>
          <w:rStyle w:val="htmlcodes"/>
        </w:rPr>
        <w:t>&lt;/pre&gt;</w:t>
      </w:r>
      <w:r>
        <w:rPr>
          <w:rStyle w:val="indexentry"/>
        </w:rPr>
        <w:t>&lt;ex "two brothers"&gt;</w:t>
      </w:r>
      <w:r>
        <w:rPr>
          <w:rStyle w:val="indexentry"/>
        </w:rPr>
        <w:fldChar w:fldCharType="begin"/>
      </w:r>
      <w:r>
        <w:instrText>xe "</w:instrText>
      </w:r>
      <w:r>
        <w:rPr>
          <w:rStyle w:val="xeentry"/>
        </w:rPr>
        <w:instrText>two brothers: example</w:instrText>
      </w:r>
      <w:r>
        <w:instrText>"</w:instrText>
      </w:r>
      <w:r>
        <w:rPr>
          <w:rStyle w:val="indexentry"/>
        </w:rPr>
        <w:fldChar w:fldCharType="end"/>
      </w:r>
      <w:r>
        <w:rPr>
          <w:rStyle w:val="htmlcodes"/>
        </w:rPr>
        <w:t>&lt;pre&gt;&lt;a name=e9d7&gt;</w:t>
      </w:r>
      <w:r>
        <w:t>9.7)</w:t>
      </w:r>
      <w:r>
        <w:tab/>
        <w:t>la an,iis. joi la .asun. bruna remei</w:t>
      </w:r>
    </w:p>
    <w:p w:rsidR="00B72047" w:rsidRDefault="00B72047">
      <w:pPr>
        <w:pStyle w:val="examplescaled"/>
      </w:pPr>
      <w:r>
        <w:tab/>
        <w:t>Anyi massed-with Asun are-a-brother type-of-twosome.</w:t>
      </w:r>
    </w:p>
    <w:p w:rsidR="00B72047" w:rsidRDefault="00B72047">
      <w:pPr>
        <w:pStyle w:val="examplescaled"/>
      </w:pPr>
      <w:r>
        <w:tab/>
        <w:t>Anyi and Asun are two brothers.</w:t>
      </w:r>
    </w:p>
    <w:p w:rsidR="00B72047" w:rsidRDefault="00B72047">
      <w:pPr>
        <w:pStyle w:val="normalafterexample"/>
      </w:pPr>
      <w:r>
        <w:rPr>
          <w:rStyle w:val="htmlcodes"/>
        </w:rPr>
        <w:t>&lt;/pre&gt;</w:t>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 selma’o</w:instrText>
      </w:r>
      <w:r>
        <w:instrText>"</w:instrText>
      </w:r>
      <w:r>
        <w:rPr>
          <w:rStyle w:val="indexentry"/>
        </w:rPr>
        <w:fldChar w:fldCharType="end"/>
      </w:r>
      <w:r>
        <w:t>Finally, an important type of simple selbri which is not a brivla is the</w:t>
      </w:r>
      <w:r>
        <w:rPr>
          <w:rStyle w:val="deletedparamark"/>
        </w:rPr>
        <w:t xml:space="preserve"> </w:t>
      </w:r>
      <w:r>
        <w:t>abstrac</w:t>
      </w:r>
      <w:r>
        <w:softHyphen/>
        <w:t>tion. Grammatically, abstractions are simple: a cmavo of selma'o</w:t>
      </w:r>
      <w:r>
        <w:rPr>
          <w:rStyle w:val="deletedparamark"/>
        </w:rPr>
        <w:t xml:space="preserve"> </w:t>
      </w:r>
      <w:r>
        <w:t>NU, followed by a bridi, followed by the elidable terminator “kei” of</w:t>
      </w:r>
      <w:r>
        <w:rPr>
          <w:rStyle w:val="deletedparamark"/>
        </w:rPr>
        <w:t xml:space="preserve"> </w:t>
      </w:r>
      <w:r>
        <w:t>selma'o KEI. Semantically, abstrac</w:t>
      </w:r>
      <w:r>
        <w:softHyphen/>
        <w:t>tions are an extremely subtle and powerful</w:t>
      </w:r>
      <w:r>
        <w:rPr>
          <w:rStyle w:val="deletedparamark"/>
        </w:rPr>
        <w:t xml:space="preserve"> </w:t>
      </w:r>
      <w:r>
        <w:t>feature of Lojban whose full ramifications are doc</w:t>
      </w:r>
      <w:r>
        <w:t>u</w:t>
      </w:r>
      <w:r>
        <w:softHyphen/>
        <w:t xml:space="preserve">mented in </w:t>
      </w:r>
      <w:r>
        <w:rPr>
          <w:rStyle w:val="htmlcodes"/>
        </w:rPr>
        <w:t>&lt;a href=chap11.html&gt;</w:t>
      </w:r>
      <w:r>
        <w:t>Chapter 11</w:t>
      </w:r>
      <w:r>
        <w:rPr>
          <w:rStyle w:val="htmlcodes"/>
        </w:rPr>
        <w:t>&lt;/a&gt;</w:t>
      </w:r>
      <w:r>
        <w:t>.</w:t>
      </w:r>
      <w:r>
        <w:rPr>
          <w:rStyle w:val="deletedparamark"/>
        </w:rPr>
        <w:t xml:space="preserve"> For example</w:t>
      </w:r>
      <w:r>
        <w:t>:</w:t>
      </w:r>
    </w:p>
    <w:p w:rsidR="00B72047" w:rsidRDefault="00B72047">
      <w:pPr>
        <w:rPr>
          <w:rStyle w:val="htmlparacode"/>
        </w:rPr>
      </w:pPr>
      <w:r>
        <w:rPr>
          <w:rStyle w:val="htmlparacode"/>
        </w:rPr>
        <w:t>&lt;p&gt;</w:t>
      </w:r>
    </w:p>
    <w:p w:rsidR="00B72047" w:rsidRDefault="00B72047">
      <w:pPr>
        <w:pStyle w:val="examplescaledpre"/>
      </w:pPr>
      <w:r>
        <w:rPr>
          <w:rStyle w:val="indexentry"/>
        </w:rPr>
        <w:t>&lt;cx "abstraction bridi, contrasted with component non-abstraction bridi in meaning"&gt;</w:t>
      </w:r>
      <w:r>
        <w:rPr>
          <w:rStyle w:val="indexentry"/>
        </w:rPr>
        <w:fldChar w:fldCharType="begin"/>
      </w:r>
      <w:r>
        <w:instrText>xe "</w:instrText>
      </w:r>
      <w:r>
        <w:rPr>
          <w:rStyle w:val="xeentry"/>
        </w:rPr>
        <w:instrText>abstraction bridi: contrasted with component non-abstraction bridi in meaning</w:instrText>
      </w:r>
      <w:r>
        <w:instrText>"</w:instrText>
      </w:r>
      <w:r>
        <w:rPr>
          <w:rStyle w:val="indexentry"/>
        </w:rPr>
        <w:fldChar w:fldCharType="end"/>
      </w:r>
      <w:r>
        <w:rPr>
          <w:rStyle w:val="htmlcodes"/>
        </w:rPr>
        <w:t>&lt;pre&gt;&lt;a name=e9d8&gt;</w:t>
      </w:r>
      <w:r>
        <w:t>9.8)</w:t>
      </w:r>
      <w:r>
        <w:tab/>
        <w:t>ti nu zdile kei kumfa</w:t>
      </w:r>
    </w:p>
    <w:p w:rsidR="00B72047" w:rsidRDefault="00B72047">
      <w:pPr>
        <w:pStyle w:val="examplescaled"/>
      </w:pPr>
      <w:r>
        <w:tab/>
        <w:t>This is-an-event-of amusement room.</w:t>
      </w:r>
    </w:p>
    <w:p w:rsidR="00B72047" w:rsidRDefault="00B72047">
      <w:pPr>
        <w:pStyle w:val="examplescaled"/>
      </w:pPr>
      <w:r>
        <w:tab/>
        <w:t>This is an amusement room.</w:t>
      </w:r>
    </w:p>
    <w:p w:rsidR="00B72047" w:rsidRDefault="00B72047">
      <w:pPr>
        <w:pStyle w:val="resumedafterexample"/>
      </w:pPr>
      <w:r>
        <w:rPr>
          <w:rStyle w:val="htmlcodes"/>
        </w:rPr>
        <w:t>&lt;/pre&gt;&lt;a href=#e9d8&gt;</w:t>
      </w:r>
      <w:r>
        <w:t xml:space="preserve">Example 9.8 </w:t>
      </w:r>
      <w:r>
        <w:rPr>
          <w:rStyle w:val="htmlcodes"/>
        </w:rPr>
        <w:t>&lt;/a&gt;</w:t>
      </w:r>
      <w:r>
        <w:t>is quite distinct in meaning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name=e9d9&gt;</w:t>
      </w:r>
      <w:r>
        <w:t>9.9)</w:t>
      </w:r>
      <w:r>
        <w:tab/>
        <w:t>ti zdile kumfa</w:t>
      </w:r>
    </w:p>
    <w:p w:rsidR="00B72047" w:rsidRDefault="00B72047">
      <w:pPr>
        <w:pStyle w:val="examplescaled"/>
      </w:pPr>
      <w:r>
        <w:tab/>
        <w:t>This is-an-amuser room.</w:t>
      </w:r>
    </w:p>
    <w:p w:rsidR="00B72047" w:rsidRDefault="00B72047">
      <w:pPr>
        <w:pStyle w:val="resumedafterexample"/>
      </w:pPr>
      <w:r>
        <w:rPr>
          <w:rStyle w:val="htmlcodes"/>
        </w:rPr>
        <w:t>&lt;/pre&gt;</w:t>
      </w:r>
      <w:r>
        <w:t>which suggests the meaning “a room that amuses someone”.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212" w:name="_Toc395691526"/>
      <w:bookmarkStart w:id="213" w:name="_Toc398970497"/>
      <w:r>
        <w:rPr>
          <w:rStyle w:val="Heading3Text"/>
        </w:rPr>
        <w:t>selbri based on sumti: “me”</w:t>
      </w:r>
      <w:bookmarkEnd w:id="212"/>
      <w:bookmarkEnd w:id="21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me</w:t>
      </w:r>
      <w:r>
        <w:tab/>
        <w:t>ME</w:t>
      </w:r>
      <w:r>
        <w:tab/>
        <w:t>changes sumti to simple selbri</w:t>
      </w:r>
    </w:p>
    <w:p w:rsidR="00B72047" w:rsidRDefault="00B72047">
      <w:pPr>
        <w:pStyle w:val="examplescaled"/>
      </w:pPr>
      <w:r>
        <w:tab/>
        <w:t>me'u</w:t>
      </w:r>
      <w:r>
        <w:tab/>
        <w:t>MEhU</w:t>
      </w:r>
      <w:r>
        <w:tab/>
        <w:t>terminator for “me”</w:t>
      </w:r>
    </w:p>
    <w:p w:rsidR="00B72047" w:rsidRDefault="00B72047">
      <w:pPr>
        <w:pStyle w:val="normalafterexample"/>
      </w:pPr>
      <w:r>
        <w:rPr>
          <w:rStyle w:val="htmlcodes"/>
        </w:rPr>
        <w:t>&lt;/pre&gt;</w:t>
      </w:r>
      <w:r>
        <w:rPr>
          <w:rStyle w:val="indexentry"/>
        </w:rPr>
        <w:t>&lt;lx "me"&gt;</w:t>
      </w:r>
      <w:r>
        <w:rPr>
          <w:rStyle w:val="indexentry"/>
        </w:rPr>
        <w:fldChar w:fldCharType="begin"/>
      </w:r>
      <w:r>
        <w:instrText>xe "</w:instrText>
      </w:r>
      <w:r>
        <w:rPr>
          <w:rStyle w:val="xeentry"/>
        </w:rPr>
        <w:instrText>me</w:instrText>
      </w:r>
      <w:r>
        <w:instrText>"</w:instrText>
      </w:r>
      <w:r>
        <w:rPr>
          <w:rStyle w:val="indexentry"/>
        </w:rPr>
        <w:fldChar w:fldCharType="end"/>
      </w:r>
      <w:r>
        <w:rPr>
          <w:rStyle w:val="indexentry"/>
        </w:rPr>
        <w:t>&lt;lx "ME"&gt;</w:t>
      </w:r>
      <w:r>
        <w:rPr>
          <w:rStyle w:val="indexentry"/>
        </w:rPr>
        <w:fldChar w:fldCharType="begin"/>
      </w:r>
      <w:r>
        <w:instrText>xe "</w:instrText>
      </w:r>
      <w:r>
        <w:rPr>
          <w:rStyle w:val="xeentry"/>
        </w:rPr>
        <w:instrText>ME selma’o</w:instrText>
      </w:r>
      <w:r>
        <w:instrText>"</w:instrText>
      </w:r>
      <w:r>
        <w:rPr>
          <w:rStyle w:val="indexentry"/>
        </w:rPr>
        <w:fldChar w:fldCharType="end"/>
      </w:r>
      <w:r>
        <w:rPr>
          <w:rStyle w:val="indexentry"/>
        </w:rPr>
        <w:t>&lt;lx "me'u"&gt;</w:t>
      </w:r>
      <w:r>
        <w:rPr>
          <w:rStyle w:val="indexentry"/>
        </w:rPr>
        <w:fldChar w:fldCharType="begin"/>
      </w:r>
      <w:r>
        <w:instrText>xe "</w:instrText>
      </w:r>
      <w:r>
        <w:rPr>
          <w:rStyle w:val="xeentry"/>
        </w:rPr>
        <w:instrText>me'u</w:instrText>
      </w:r>
      <w:r>
        <w:instrText>"</w:instrText>
      </w:r>
      <w:r>
        <w:rPr>
          <w:rStyle w:val="indexentry"/>
        </w:rPr>
        <w:fldChar w:fldCharType="end"/>
      </w:r>
      <w:r>
        <w:rPr>
          <w:rStyle w:val="indexentry"/>
        </w:rPr>
        <w:t>&lt;lx "MEhU"&gt;</w:t>
      </w:r>
      <w:r>
        <w:rPr>
          <w:rStyle w:val="indexentry"/>
        </w:rPr>
        <w:fldChar w:fldCharType="begin"/>
      </w:r>
      <w:r>
        <w:instrText>xe "</w:instrText>
      </w:r>
      <w:r>
        <w:rPr>
          <w:rStyle w:val="xeentry"/>
        </w:rPr>
        <w:instrText>MEhU selma’o</w:instrText>
      </w:r>
      <w:r>
        <w:instrText>"</w:instrText>
      </w:r>
      <w:r>
        <w:rPr>
          <w:rStyle w:val="indexentry"/>
        </w:rPr>
        <w:fldChar w:fldCharType="end"/>
      </w:r>
      <w:r>
        <w:rPr>
          <w:rStyle w:val="indexentry"/>
        </w:rPr>
        <w:t>&lt;cx "selbri from sumti"&gt;</w:t>
      </w:r>
      <w:r>
        <w:rPr>
          <w:rStyle w:val="indexentry"/>
        </w:rPr>
        <w:fldChar w:fldCharType="begin"/>
      </w:r>
      <w:r>
        <w:instrText>xe "</w:instrText>
      </w:r>
      <w:r>
        <w:rPr>
          <w:rStyle w:val="xeentry"/>
        </w:rPr>
        <w:instrText>selbri from sumti</w:instrText>
      </w:r>
      <w:r>
        <w:instrText>"</w:instrText>
      </w:r>
      <w:r>
        <w:rPr>
          <w:rStyle w:val="indexentry"/>
        </w:rPr>
        <w:fldChar w:fldCharType="end"/>
      </w:r>
      <w:r>
        <w:rPr>
          <w:rStyle w:val="indexentry"/>
        </w:rPr>
        <w:t>&lt;cx "sumti into selbri"&gt;</w:t>
      </w:r>
      <w:r>
        <w:rPr>
          <w:rStyle w:val="indexentry"/>
        </w:rPr>
        <w:fldChar w:fldCharType="begin"/>
      </w:r>
      <w:r>
        <w:instrText>xe "</w:instrText>
      </w:r>
      <w:r>
        <w:rPr>
          <w:rStyle w:val="xeentry"/>
        </w:rPr>
        <w:instrText>sumti into selbri</w:instrText>
      </w:r>
      <w:r>
        <w:instrText>"</w:instrText>
      </w:r>
      <w:r>
        <w:rPr>
          <w:rStyle w:val="indexentry"/>
        </w:rPr>
        <w:fldChar w:fldCharType="end"/>
      </w:r>
      <w:r>
        <w:rPr>
          <w:rStyle w:val="indexentry"/>
        </w:rPr>
        <w:t>&lt;cx "conversion, sumti into selbri"&gt;</w:t>
      </w:r>
      <w:r>
        <w:rPr>
          <w:rStyle w:val="indexentry"/>
        </w:rPr>
        <w:fldChar w:fldCharType="begin"/>
      </w:r>
      <w:r>
        <w:instrText>xe "</w:instrText>
      </w:r>
      <w:r>
        <w:rPr>
          <w:rStyle w:val="xeentry"/>
        </w:rPr>
        <w:instrText>conversion of sumti into selbri</w:instrText>
      </w:r>
      <w:r>
        <w:instrText>"</w:instrText>
      </w:r>
      <w:r>
        <w:rPr>
          <w:rStyle w:val="indexentry"/>
        </w:rPr>
        <w:fldChar w:fldCharType="end"/>
      </w:r>
      <w:r>
        <w:rPr>
          <w:rStyle w:val="indexentry"/>
        </w:rPr>
        <w:t>&lt;cx "me, place structure of"&gt;</w:t>
      </w:r>
      <w:r>
        <w:rPr>
          <w:rStyle w:val="indexentry"/>
        </w:rPr>
        <w:fldChar w:fldCharType="begin"/>
      </w:r>
      <w:r>
        <w:instrText>xe "</w:instrText>
      </w:r>
      <w:r>
        <w:rPr>
          <w:rStyle w:val="xeentry"/>
        </w:rPr>
        <w:instrText>me: place structure of</w:instrText>
      </w:r>
      <w:r>
        <w:instrText>"</w:instrText>
      </w:r>
      <w:r>
        <w:rPr>
          <w:rStyle w:val="indexentry"/>
        </w:rPr>
        <w:fldChar w:fldCharType="end"/>
      </w:r>
      <w:r>
        <w:t>A sumti can be made into a simple selbri by preceding it with “me”</w:t>
      </w:r>
      <w:r>
        <w:rPr>
          <w:rStyle w:val="deletedparamark"/>
        </w:rPr>
        <w:t xml:space="preserve"> </w:t>
      </w:r>
      <w:r>
        <w:t>(of selma'o ME) and following it with the elidable terminator “me'u”</w:t>
      </w:r>
      <w:r>
        <w:rPr>
          <w:rStyle w:val="deletedparamark"/>
        </w:rPr>
        <w:t xml:space="preserve"> </w:t>
      </w:r>
      <w:r>
        <w:t>(of selma'o MEhU). This makes a selbri with the place struc</w:t>
      </w:r>
      <w:r>
        <w:softHyphen/>
        <w:t>ture</w:t>
      </w:r>
    </w:p>
    <w:p w:rsidR="00B72047" w:rsidRDefault="00B72047">
      <w:pPr>
        <w:pStyle w:val="examplescaledpre"/>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one of the referents of “[the sumti]”</w:t>
      </w:r>
    </w:p>
    <w:p w:rsidR="00B72047" w:rsidRDefault="00B72047">
      <w:pPr>
        <w:pStyle w:val="resumedafterexample"/>
      </w:pPr>
      <w:r>
        <w:rPr>
          <w:rStyle w:val="htmlcodes"/>
        </w:rPr>
        <w:t>&lt;/dl&gt;</w:t>
      </w:r>
      <w:r>
        <w:t>which is true of the thing, or things, that are the referents of the</w:t>
      </w:r>
      <w:r>
        <w:rPr>
          <w:rStyle w:val="deletedparamark"/>
        </w:rPr>
        <w:t xml:space="preserve"> </w:t>
      </w:r>
      <w:r>
        <w:t>sumti, and not of any</w:t>
      </w:r>
      <w:r>
        <w:softHyphen/>
        <w:t>thing else. For example, consider the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le ci nolraitru</w:t>
      </w:r>
    </w:p>
    <w:p w:rsidR="00B72047" w:rsidRDefault="00B72047">
      <w:pPr>
        <w:pStyle w:val="examplescaled"/>
      </w:pPr>
      <w:r>
        <w:tab/>
        <w:t>the three noblest-governors</w:t>
      </w:r>
    </w:p>
    <w:p w:rsidR="00B72047" w:rsidRDefault="00B72047">
      <w:pPr>
        <w:pStyle w:val="examplescaled"/>
      </w:pPr>
      <w:r>
        <w:tab/>
        <w:t>the three kings</w:t>
      </w:r>
    </w:p>
    <w:p w:rsidR="00B72047" w:rsidRDefault="00B72047">
      <w:pPr>
        <w:pStyle w:val="resumedafterexample"/>
      </w:pPr>
      <w:r>
        <w:rPr>
          <w:rStyle w:val="htmlcodes"/>
        </w:rPr>
        <w:t>&lt;/pre&gt;</w:t>
      </w:r>
      <w:r>
        <w:rPr>
          <w:rStyle w:val="indexentry"/>
        </w:rPr>
        <w:t>&lt;ex "Three Kings"&gt;</w:t>
      </w:r>
      <w:r>
        <w:rPr>
          <w:rStyle w:val="indexentry"/>
        </w:rPr>
        <w:fldChar w:fldCharType="begin"/>
      </w:r>
      <w:r>
        <w:instrText>xe "</w:instrText>
      </w:r>
      <w:r>
        <w:rPr>
          <w:rStyle w:val="xeentry"/>
        </w:rPr>
        <w:instrText>Three Kings: example</w:instrText>
      </w:r>
      <w:r>
        <w:instrText>"</w:instrText>
      </w:r>
      <w:r>
        <w:rPr>
          <w:rStyle w:val="indexentry"/>
        </w:rPr>
        <w:fldChar w:fldCharType="end"/>
      </w:r>
      <w:r>
        <w:t>If these are understood to be the Three Kings of Christian tradition,</w:t>
      </w:r>
      <w:r>
        <w:rPr>
          <w:rStyle w:val="deletedparamark"/>
        </w:rPr>
        <w:t xml:space="preserve"> </w:t>
      </w:r>
      <w:r>
        <w:t>who arrive every year on January 6, then we may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la BALtazar. cu me le ci nolraitru</w:t>
      </w:r>
    </w:p>
    <w:p w:rsidR="00B72047" w:rsidRDefault="00B72047">
      <w:pPr>
        <w:pStyle w:val="examplescaled"/>
      </w:pPr>
      <w:r>
        <w:tab/>
        <w:t>Balthazar is one-of-the-referents-of “the three kings”.</w:t>
      </w:r>
    </w:p>
    <w:p w:rsidR="00B72047" w:rsidRDefault="00B72047">
      <w:pPr>
        <w:pStyle w:val="examplescaled"/>
      </w:pPr>
      <w:r>
        <w:tab/>
        <w:t>Balthazar is one of the three kings.</w:t>
      </w:r>
    </w:p>
    <w:p w:rsidR="00B72047" w:rsidRDefault="00B72047">
      <w:pPr>
        <w:pStyle w:val="resumedafterexample"/>
      </w:pPr>
      <w:r>
        <w:rPr>
          <w:rStyle w:val="htmlcodes"/>
        </w:rPr>
        <w:t>&lt;/pre&gt;</w:t>
      </w:r>
      <w:r>
        <w:t>and likewise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la kaspar. cu me le ci nolraitru</w:t>
      </w:r>
    </w:p>
    <w:p w:rsidR="00B72047" w:rsidRDefault="00B72047">
      <w:pPr>
        <w:pStyle w:val="examplescaled"/>
      </w:pPr>
      <w:r>
        <w:tab/>
        <w:t>Caspar is one of the three kings.</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la melxi,or. cu me le ci nolraitru</w:t>
      </w:r>
    </w:p>
    <w:p w:rsidR="00B72047" w:rsidRDefault="00B72047">
      <w:pPr>
        <w:pStyle w:val="examplescaled"/>
      </w:pPr>
      <w:r>
        <w:tab/>
        <w:t>Melchior is one of the three kings.</w:t>
      </w:r>
    </w:p>
    <w:p w:rsidR="00B72047" w:rsidRDefault="00B72047">
      <w:pPr>
        <w:pStyle w:val="normalafterexample"/>
      </w:pPr>
      <w:r>
        <w:rPr>
          <w:rStyle w:val="htmlcodes"/>
        </w:rPr>
        <w:t>&lt;/pre&gt;</w:t>
      </w:r>
      <w:r>
        <w:rPr>
          <w:rStyle w:val="indexentry"/>
        </w:rPr>
        <w:t>&lt;cx "“me”/“du” equivalence"&gt;</w:t>
      </w:r>
      <w:r>
        <w:rPr>
          <w:rStyle w:val="indexentry"/>
        </w:rPr>
        <w:fldChar w:fldCharType="begin"/>
      </w:r>
      <w:r>
        <w:instrText>xe "</w:instrText>
      </w:r>
      <w:r>
        <w:rPr>
          <w:rStyle w:val="xeentry"/>
        </w:rPr>
        <w:instrText>me/du equivalence</w:instrText>
      </w:r>
      <w:r>
        <w:instrText>"</w:instrText>
      </w:r>
      <w:r>
        <w:rPr>
          <w:rStyle w:val="indexentry"/>
        </w:rPr>
        <w:fldChar w:fldCharType="end"/>
      </w:r>
      <w:r>
        <w:rPr>
          <w:rStyle w:val="indexentry"/>
        </w:rPr>
        <w:t>&lt;cx "me, compared with du in effect"&gt;</w:t>
      </w:r>
      <w:r>
        <w:rPr>
          <w:rStyle w:val="indexentry"/>
        </w:rPr>
        <w:fldChar w:fldCharType="begin"/>
      </w:r>
      <w:r>
        <w:instrText>xe "</w:instrText>
      </w:r>
      <w:r>
        <w:rPr>
          <w:rStyle w:val="xeentry"/>
        </w:rPr>
        <w:instrText>me: compared with du in effect</w:instrText>
      </w:r>
      <w:r>
        <w:instrText>"</w:instrText>
      </w:r>
      <w:r>
        <w:rPr>
          <w:rStyle w:val="indexentry"/>
        </w:rPr>
        <w:fldChar w:fldCharType="end"/>
      </w:r>
      <w:r>
        <w:rPr>
          <w:rStyle w:val="indexentry"/>
        </w:rPr>
        <w:t>&lt;cx "du, compared with me in effect"&gt;</w:t>
      </w:r>
      <w:r>
        <w:rPr>
          <w:rStyle w:val="indexentry"/>
        </w:rPr>
        <w:fldChar w:fldCharType="begin"/>
      </w:r>
      <w:r>
        <w:instrText>xe "</w:instrText>
      </w:r>
      <w:r>
        <w:rPr>
          <w:rStyle w:val="xeentry"/>
        </w:rPr>
        <w:instrText>du: compared with me in effect</w:instrText>
      </w:r>
      <w:r>
        <w:instrText>"</w:instrText>
      </w:r>
      <w:r>
        <w:rPr>
          <w:rStyle w:val="indexentry"/>
        </w:rPr>
        <w:fldChar w:fldCharType="end"/>
      </w:r>
      <w:r>
        <w:t>If the sumti refers to a single object, then the effect of “me” is much</w:t>
      </w:r>
      <w:r>
        <w:rPr>
          <w:rStyle w:val="deletedparamark"/>
        </w:rPr>
        <w:t xml:space="preserve"> </w:t>
      </w:r>
      <w:r>
        <w:t>like that of “du”: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do du la djan.</w:t>
      </w:r>
    </w:p>
    <w:p w:rsidR="00B72047" w:rsidRDefault="00B72047">
      <w:pPr>
        <w:pStyle w:val="examplescaled"/>
      </w:pPr>
      <w:r>
        <w:tab/>
        <w:t>You are-identical-with the-one-called “John”.</w:t>
      </w:r>
    </w:p>
    <w:p w:rsidR="00B72047" w:rsidRDefault="00B72047">
      <w:pPr>
        <w:pStyle w:val="examplescaled"/>
      </w:pPr>
      <w:r>
        <w:tab/>
        <w:t>You are John.</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do me la djan.</w:t>
      </w:r>
    </w:p>
    <w:p w:rsidR="00B72047" w:rsidRDefault="00B72047">
      <w:pPr>
        <w:pStyle w:val="examplescaled"/>
      </w:pPr>
      <w:r>
        <w:tab/>
        <w:t>You are-the-referent-of “the-one-called ‘John’”.</w:t>
      </w:r>
    </w:p>
    <w:p w:rsidR="00B72047" w:rsidRDefault="00B72047">
      <w:pPr>
        <w:pStyle w:val="examplescaled"/>
      </w:pPr>
      <w:r>
        <w:tab/>
        <w:t>You are John.</w:t>
      </w:r>
    </w:p>
    <w:p w:rsidR="00B72047" w:rsidRDefault="00B72047">
      <w:pPr>
        <w:pStyle w:val="normalafterexample"/>
      </w:pPr>
      <w:r>
        <w:rPr>
          <w:rStyle w:val="htmlcodes"/>
        </w:rPr>
        <w:t>&lt;/pre&gt;</w:t>
      </w:r>
      <w:r>
        <w:rPr>
          <w:rStyle w:val="indexentry"/>
        </w:rPr>
        <w:t>&lt;cx "“me” and names"&gt;</w:t>
      </w:r>
      <w:r>
        <w:rPr>
          <w:rStyle w:val="indexentry"/>
        </w:rPr>
        <w:fldChar w:fldCharType="begin"/>
      </w:r>
      <w:r>
        <w:instrText>xe "</w:instrText>
      </w:r>
      <w:r>
        <w:rPr>
          <w:rStyle w:val="xeentry"/>
        </w:rPr>
        <w:instrText>me: used with names</w:instrText>
      </w:r>
      <w:r>
        <w:instrText>"</w:instrText>
      </w:r>
      <w:r>
        <w:rPr>
          <w:rStyle w:val="indexentry"/>
        </w:rPr>
        <w:fldChar w:fldCharType="end"/>
      </w:r>
      <w:r>
        <w:t>It is common to use “me” selbri, especially those based on name sumti</w:t>
      </w:r>
      <w:r>
        <w:rPr>
          <w:rStyle w:val="deletedparamark"/>
        </w:rPr>
        <w:t xml:space="preserve"> </w:t>
      </w:r>
      <w:r>
        <w:t>using “la”, as seltau.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"Chrysler"&gt;</w:t>
      </w:r>
      <w:r>
        <w:rPr>
          <w:rStyle w:val="indexentry"/>
        </w:rPr>
        <w:fldChar w:fldCharType="begin"/>
      </w:r>
      <w:r>
        <w:instrText>xe "</w:instrText>
      </w:r>
      <w:r>
        <w:rPr>
          <w:rStyle w:val="xeentry"/>
        </w:rPr>
        <w:instrText>Chrysler: example</w:instrText>
      </w:r>
      <w:r>
        <w:instrText>"</w:instrText>
      </w:r>
      <w:r>
        <w:rPr>
          <w:rStyle w:val="indexentry"/>
        </w:rPr>
        <w:fldChar w:fldCharType="end"/>
      </w:r>
      <w:r>
        <w:rPr>
          <w:rStyle w:val="htmlcodes"/>
        </w:rPr>
        <w:t>&lt;pre&gt;&lt;a name=e10d7&gt;</w:t>
      </w:r>
      <w:r>
        <w:t>10.7)</w:t>
      </w:r>
      <w:r>
        <w:tab/>
        <w:t>ta me lai kraislr. [me'u] karce</w:t>
      </w:r>
    </w:p>
    <w:p w:rsidR="00B72047" w:rsidRDefault="00B72047">
      <w:pPr>
        <w:pStyle w:val="examplescaled"/>
      </w:pPr>
      <w:r>
        <w:tab/>
        <w:t>That (is-a-referent of “the-mass-called ‘Chrysler’”) car.</w:t>
      </w:r>
    </w:p>
    <w:p w:rsidR="00B72047" w:rsidRDefault="00B72047">
      <w:pPr>
        <w:pStyle w:val="examplescaled"/>
      </w:pPr>
      <w:r>
        <w:tab/>
        <w:t>That is a Chrysler car.</w:t>
      </w:r>
    </w:p>
    <w:p w:rsidR="00B72047" w:rsidRDefault="00B72047">
      <w:pPr>
        <w:pStyle w:val="normalafterexample"/>
      </w:pPr>
      <w:r>
        <w:rPr>
          <w:rStyle w:val="htmlcodes"/>
        </w:rPr>
        <w:t>&lt;/pre&gt;</w:t>
      </w:r>
      <w:r>
        <w:rPr>
          <w:rStyle w:val="indexentry"/>
        </w:rPr>
        <w:t>&lt;cx "elidability of “me'u”"&gt;</w:t>
      </w:r>
      <w:r>
        <w:rPr>
          <w:rStyle w:val="indexentry"/>
        </w:rPr>
        <w:fldChar w:fldCharType="begin"/>
      </w:r>
      <w:r>
        <w:instrText>xe "</w:instrText>
      </w:r>
      <w:r>
        <w:rPr>
          <w:rStyle w:val="xeentry"/>
        </w:rPr>
        <w:instrText>elidability of me'u</w:instrText>
      </w:r>
      <w:r>
        <w:instrText>"</w:instrText>
      </w:r>
      <w:r>
        <w:rPr>
          <w:rStyle w:val="indexentry"/>
        </w:rPr>
        <w:fldChar w:fldCharType="end"/>
      </w:r>
      <w:r>
        <w:rPr>
          <w:rStyle w:val="indexentry"/>
        </w:rPr>
        <w:t>&lt;cx "me'u, relative precedence with logical connectives"&gt;</w:t>
      </w:r>
      <w:r>
        <w:rPr>
          <w:rStyle w:val="indexentry"/>
        </w:rPr>
        <w:fldChar w:fldCharType="begin"/>
      </w:r>
      <w:r>
        <w:instrText>xe "</w:instrText>
      </w:r>
      <w:r>
        <w:rPr>
          <w:rStyle w:val="xeentry"/>
        </w:rPr>
        <w:instrText>me'u: relative precedence with logical connectives</w:instrText>
      </w:r>
      <w:r>
        <w:instrText>"</w:instrText>
      </w:r>
      <w:r>
        <w:rPr>
          <w:rStyle w:val="indexentry"/>
        </w:rPr>
        <w:fldChar w:fldCharType="end"/>
      </w:r>
      <w:r>
        <w:rPr>
          <w:rStyle w:val="indexentry"/>
        </w:rPr>
        <w:t>&lt;cx "logical connectives, relative precedence with me'u"&gt;</w:t>
      </w:r>
      <w:r>
        <w:rPr>
          <w:rStyle w:val="indexentry"/>
        </w:rPr>
        <w:fldChar w:fldCharType="begin"/>
      </w:r>
      <w:r>
        <w:instrText>xe "</w:instrText>
      </w:r>
      <w:r>
        <w:rPr>
          <w:rStyle w:val="xeentry"/>
        </w:rPr>
        <w:instrText>logical connectives: relative precedence with me'u</w:instrText>
      </w:r>
      <w:r>
        <w:instrText>"</w:instrText>
      </w:r>
      <w:r>
        <w:rPr>
          <w:rStyle w:val="indexentry"/>
        </w:rPr>
        <w:fldChar w:fldCharType="end"/>
      </w:r>
      <w:r>
        <w:t>The elidable terminator “me'u” can usually be omitted. It is absolutely</w:t>
      </w:r>
      <w:r>
        <w:rPr>
          <w:rStyle w:val="deletedparamark"/>
        </w:rPr>
        <w:t xml:space="preserve"> </w:t>
      </w:r>
      <w:r>
        <w:t>required only if the “me” selbri is being used in an indefinite description</w:t>
      </w:r>
      <w:r>
        <w:rPr>
          <w:rStyle w:val="deletedparamark"/>
        </w:rPr>
        <w:t xml:space="preserve"> </w:t>
      </w:r>
      <w:r>
        <w:t>(a type of sumti ex</w:t>
      </w:r>
      <w:r>
        <w:softHyphen/>
        <w:t xml:space="preserve">plained in </w:t>
      </w:r>
      <w:r>
        <w:rPr>
          <w:rStyle w:val="htmlcodes"/>
        </w:rPr>
        <w:t>&lt;a href=chap6.html&gt;</w:t>
      </w:r>
      <w:r>
        <w:t>Chapter 6</w:t>
      </w:r>
      <w:r>
        <w:rPr>
          <w:rStyle w:val="htmlcodes"/>
        </w:rPr>
        <w:t>&lt;/a&gt;</w:t>
      </w:r>
      <w:r>
        <w:t>), and if the indefi</w:t>
      </w:r>
      <w:r>
        <w:softHyphen/>
        <w:t>nite description</w:t>
      </w:r>
      <w:r>
        <w:rPr>
          <w:rStyle w:val="deletedparamark"/>
        </w:rPr>
        <w:t xml:space="preserve"> </w:t>
      </w:r>
      <w:r>
        <w:t xml:space="preserve">is followed by a relative clause (explained in </w:t>
      </w:r>
      <w:r>
        <w:rPr>
          <w:rStyle w:val="htmlcodes"/>
        </w:rPr>
        <w:t>&lt;a href=chap8.html&gt;</w:t>
      </w:r>
      <w:r>
        <w:t>Chapter 8</w:t>
      </w:r>
      <w:r>
        <w:rPr>
          <w:rStyle w:val="htmlcodes"/>
        </w:rPr>
        <w:t>&lt;/a&gt;</w:t>
      </w:r>
      <w:r>
        <w:t>) or a sumti</w:t>
      </w:r>
      <w:r>
        <w:rPr>
          <w:rStyle w:val="deletedparamark"/>
        </w:rPr>
        <w:t xml:space="preserve"> </w:t>
      </w:r>
      <w:r>
        <w:t xml:space="preserve">logical connective (explained in </w:t>
      </w:r>
      <w:r>
        <w:rPr>
          <w:rStyle w:val="htmlcodes"/>
        </w:rPr>
        <w:t>&lt;a href=chap14.html&gt;</w:t>
      </w:r>
      <w:r>
        <w:t>Chapter 14</w:t>
      </w:r>
      <w:r>
        <w:rPr>
          <w:rStyle w:val="htmlcodes"/>
        </w:rPr>
        <w:t>&lt;/a&gt;</w:t>
      </w:r>
      <w:r>
        <w:t>). With</w:t>
      </w:r>
      <w:r>
        <w:softHyphen/>
        <w:t>out a “me'u”, the</w:t>
      </w:r>
      <w:r>
        <w:rPr>
          <w:rStyle w:val="deletedparamark"/>
        </w:rPr>
        <w:t xml:space="preserve"> </w:t>
      </w:r>
      <w:r>
        <w:t>relative clause or logical connective would appear to be</w:t>
      </w:r>
      <w:r>
        <w:softHyphen/>
        <w:t>long to the</w:t>
      </w:r>
      <w:r>
        <w:rPr>
          <w:rStyle w:val="deletedparamark"/>
        </w:rPr>
        <w:t xml:space="preserve"> </w:t>
      </w:r>
      <w:r>
        <w:t>sumti embedded in the “me” expression. Here is a con</w:t>
      </w:r>
      <w:r>
        <w:softHyphen/>
        <w:t>trasting pair of</w:t>
      </w:r>
      <w:r>
        <w:rPr>
          <w:rStyle w:val="deletedparamark"/>
        </w:rPr>
        <w:t xml:space="preserve"> </w:t>
      </w:r>
      <w:r>
        <w:t>sentences: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re me le ci nolraitru .e la djan. [me'u] cu blabi</w:t>
      </w:r>
    </w:p>
    <w:p w:rsidR="00B72047" w:rsidRDefault="00B72047">
      <w:pPr>
        <w:pStyle w:val="examplescaled"/>
      </w:pPr>
      <w:r>
        <w:tab/>
        <w:t>Two of the group “the three kings and John” are white.</w:t>
      </w:r>
    </w:p>
    <w:p w:rsidR="00B72047" w:rsidRDefault="00B72047">
      <w:pPr>
        <w:pStyle w:val="examplescaledpre"/>
      </w:pPr>
      <w:r>
        <w:rPr>
          <w:rStyle w:val="htmlcodes"/>
        </w:rPr>
        <w:t>&lt;a name=e10d9&gt;</w:t>
      </w:r>
      <w:r>
        <w:t>10.9)</w:t>
      </w:r>
      <w:r>
        <w:tab/>
        <w:t>re me le ci nolraitru me'u .e la djan. cu blabi</w:t>
      </w:r>
    </w:p>
    <w:p w:rsidR="00B72047" w:rsidRDefault="00B72047">
      <w:pPr>
        <w:pStyle w:val="examplescaled"/>
      </w:pPr>
      <w:r>
        <w:tab/>
        <w:t>Two of the three kings, and John, are white.</w:t>
      </w:r>
    </w:p>
    <w:p w:rsidR="00B72047" w:rsidRDefault="00B72047">
      <w:pPr>
        <w:pStyle w:val="resumedafterexample"/>
      </w:pPr>
      <w:r>
        <w:rPr>
          <w:rStyle w:val="htmlcodes"/>
        </w:rPr>
        <w:t>&lt;/pre&gt;&lt;p&gt;</w:t>
      </w:r>
      <w:r>
        <w:t xml:space="preserve">In </w:t>
      </w:r>
      <w:r>
        <w:rPr>
          <w:rStyle w:val="htmlcodes"/>
        </w:rPr>
        <w:t>&lt;a href=#e10d8&gt;</w:t>
      </w:r>
      <w:r>
        <w:t xml:space="preserve">Example 10.8 </w:t>
      </w:r>
      <w:r>
        <w:rPr>
          <w:rStyle w:val="htmlcodes"/>
        </w:rPr>
        <w:t>&lt;/a&gt;</w:t>
      </w:r>
      <w:r>
        <w:t>the “me” selbri covers the three kings plus John, and</w:t>
      </w:r>
      <w:r>
        <w:rPr>
          <w:rStyle w:val="deletedparamark"/>
        </w:rPr>
        <w:t xml:space="preserve"> </w:t>
      </w:r>
      <w:r>
        <w:t>the indefinite d</w:t>
      </w:r>
      <w:r>
        <w:t>e</w:t>
      </w:r>
      <w:r>
        <w:softHyphen/>
        <w:t>scription picks out two of them that are said to be white:</w:t>
      </w:r>
      <w:r>
        <w:rPr>
          <w:rStyle w:val="deletedparamark"/>
        </w:rPr>
        <w:t xml:space="preserve"> </w:t>
      </w:r>
      <w:r>
        <w:t xml:space="preserve">we cannot say which two. In </w:t>
      </w:r>
      <w:r>
        <w:rPr>
          <w:rStyle w:val="htmlcodes"/>
        </w:rPr>
        <w:t>&lt;a href=#e10d9&gt;</w:t>
      </w:r>
      <w:r>
        <w:t>Example 10.9</w:t>
      </w:r>
      <w:r>
        <w:rPr>
          <w:rStyle w:val="htmlcodes"/>
        </w:rPr>
        <w:t>&lt;/a&gt;</w:t>
      </w:r>
      <w:r>
        <w:t>, though, the “me” selbri covers</w:t>
      </w:r>
      <w:r>
        <w:rPr>
          <w:rStyle w:val="deletedparamark"/>
        </w:rPr>
        <w:t xml:space="preserve"> </w:t>
      </w:r>
      <w:r>
        <w:t>only the three kings: two of them are said to be white, and so is John.</w:t>
      </w:r>
    </w:p>
    <w:p w:rsidR="00B72047" w:rsidRDefault="00B72047">
      <w:pPr>
        <w:rPr>
          <w:rStyle w:val="htmlparacode"/>
        </w:rPr>
      </w:pPr>
      <w:r>
        <w:rPr>
          <w:rStyle w:val="htmlparacode"/>
        </w:rPr>
        <w:t>&lt;p&gt;</w:t>
      </w:r>
    </w:p>
    <w:p w:rsidR="00B72047" w:rsidRDefault="00B72047">
      <w:pPr>
        <w:pStyle w:val="normalparagraph"/>
      </w:pPr>
      <w:r>
        <w:t>Finally, here is another example requiring “me'u”: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ta me la'e le se cusku be do me'u cukta</w:t>
      </w:r>
    </w:p>
    <w:p w:rsidR="00B72047" w:rsidRDefault="00B72047">
      <w:pPr>
        <w:pStyle w:val="examplescaled"/>
      </w:pPr>
      <w:r>
        <w:tab/>
        <w:t>That is-a-(what-you-said) type of book.</w:t>
      </w:r>
    </w:p>
    <w:p w:rsidR="00B72047" w:rsidRDefault="00B72047">
      <w:pPr>
        <w:pStyle w:val="examplescaled"/>
      </w:pPr>
      <w:r>
        <w:tab/>
        <w:t>That is the kind of book you were talking about.</w:t>
      </w:r>
    </w:p>
    <w:p w:rsidR="00B72047" w:rsidRDefault="00B72047">
      <w:pPr>
        <w:pStyle w:val="normalafterexample"/>
      </w:pPr>
      <w:r>
        <w:rPr>
          <w:rStyle w:val="htmlcodes"/>
        </w:rPr>
        <w:t>&lt;/pre&gt;&lt;p&gt;</w:t>
      </w:r>
      <w:r>
        <w:t>There are other sentences where either “me'u” or some other elidable</w:t>
      </w:r>
      <w:r>
        <w:rPr>
          <w:rStyle w:val="deletedparamark"/>
        </w:rPr>
        <w:t xml:space="preserve"> </w:t>
      </w:r>
      <w:r>
        <w:t>termina</w:t>
      </w:r>
      <w:r>
        <w:softHyphen/>
        <w:t>tor must be expressed: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name=e10d11&gt;</w:t>
      </w:r>
      <w:r>
        <w:t>10.11)</w:t>
      </w:r>
      <w:r>
        <w:tab/>
        <w:t>le me le ci nolraitru [ku] me'u nunsalci</w:t>
      </w:r>
    </w:p>
    <w:p w:rsidR="00B72047" w:rsidRDefault="00B72047">
      <w:pPr>
        <w:pStyle w:val="examplescaled"/>
      </w:pPr>
      <w:r>
        <w:tab/>
        <w:t>the (the three kings) type-of-event-of-celebrating</w:t>
      </w:r>
    </w:p>
    <w:p w:rsidR="00B72047" w:rsidRDefault="00B72047">
      <w:pPr>
        <w:pStyle w:val="examplescaled"/>
      </w:pPr>
      <w:r>
        <w:tab/>
        <w:t>the Three Kings celebration</w:t>
      </w:r>
    </w:p>
    <w:p w:rsidR="00B72047" w:rsidRDefault="00B72047">
      <w:pPr>
        <w:pStyle w:val="resumedafterexample"/>
      </w:pPr>
      <w:r>
        <w:rPr>
          <w:rStyle w:val="htmlcodes"/>
        </w:rPr>
        <w:t>&lt;/pre&gt;</w:t>
      </w:r>
      <w:r>
        <w:t>requires either “ku” or “me'u” to be explicit, and (as with “be'o” in</w:t>
      </w:r>
      <w:r>
        <w:rPr>
          <w:rStyle w:val="deletedparamark"/>
        </w:rPr>
        <w:t xml:space="preserve"> </w:t>
      </w:r>
      <w:r>
        <w:rPr>
          <w:rStyle w:val="htmlcodes"/>
        </w:rPr>
        <w:t>&lt;a href=#s7&gt;</w:t>
      </w:r>
      <w:r>
        <w:t>Sec</w:t>
      </w:r>
      <w:r>
        <w:softHyphen/>
        <w:t>tion 7</w:t>
      </w:r>
      <w:r>
        <w:rPr>
          <w:rStyle w:val="htmlcodes"/>
        </w:rPr>
        <w:t>&lt;/a&gt;</w:t>
      </w:r>
      <w:r>
        <w:t>) the “me'u” leaves no doubt which cmavo it is paired with.</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214" w:name="_Toc395691527"/>
      <w:bookmarkStart w:id="215" w:name="_Toc398970498"/>
      <w:r>
        <w:rPr>
          <w:rStyle w:val="Heading3Text"/>
        </w:rPr>
        <w:t>Conversion of simple selbri</w:t>
      </w:r>
      <w:bookmarkEnd w:id="214"/>
      <w:bookmarkEnd w:id="21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"te"&gt;</w:t>
      </w:r>
      <w:r>
        <w:rPr>
          <w:rStyle w:val="indexentry"/>
        </w:rPr>
        <w:fldChar w:fldCharType="begin"/>
      </w:r>
      <w:r>
        <w:instrText>xe "</w:instrText>
      </w:r>
      <w:r>
        <w:rPr>
          <w:rStyle w:val="xeentry"/>
        </w:rPr>
        <w:instrText>te</w:instrText>
      </w:r>
      <w:r>
        <w:instrText>"</w:instrText>
      </w:r>
      <w:r>
        <w:rPr>
          <w:rStyle w:val="indexentry"/>
        </w:rPr>
        <w:fldChar w:fldCharType="end"/>
      </w:r>
      <w:r>
        <w:rPr>
          <w:rStyle w:val="indexentry"/>
        </w:rPr>
        <w:t>&lt;lx "ve"&gt;</w:t>
      </w:r>
      <w:r>
        <w:rPr>
          <w:rStyle w:val="indexentry"/>
        </w:rPr>
        <w:fldChar w:fldCharType="begin"/>
      </w:r>
      <w:r>
        <w:instrText>xe "</w:instrText>
      </w:r>
      <w:r>
        <w:rPr>
          <w:rStyle w:val="xeentry"/>
        </w:rPr>
        <w:instrText>ve</w:instrText>
      </w:r>
      <w:r>
        <w:instrText>"</w:instrText>
      </w:r>
      <w:r>
        <w:rPr>
          <w:rStyle w:val="indexentry"/>
        </w:rPr>
        <w:fldChar w:fldCharType="end"/>
      </w:r>
      <w:r>
        <w:rPr>
          <w:rStyle w:val="indexentry"/>
        </w:rPr>
        <w:t>&lt;lx "xe"&gt;</w:t>
      </w:r>
      <w:r>
        <w:rPr>
          <w:rStyle w:val="indexentry"/>
        </w:rPr>
        <w:fldChar w:fldCharType="begin"/>
      </w:r>
      <w:r>
        <w:instrText>xe "</w:instrText>
      </w:r>
      <w:r>
        <w:rPr>
          <w:rStyle w:val="xeentry"/>
        </w:rPr>
        <w:instrText>xe</w:instrText>
      </w:r>
      <w:r>
        <w:instrText>"</w:instrText>
      </w:r>
      <w:r>
        <w:rPr>
          <w:rStyle w:val="indexentry"/>
        </w:rPr>
        <w:fldChar w:fldCharType="end"/>
      </w:r>
      <w:r>
        <w:rPr>
          <w:rStyle w:val="indexentry"/>
        </w:rPr>
        <w:t>&lt;cx "conversion and tanru"&gt;</w:t>
      </w:r>
      <w:r>
        <w:rPr>
          <w:rStyle w:val="indexentry"/>
        </w:rPr>
        <w:fldChar w:fldCharType="begin"/>
      </w:r>
      <w:r>
        <w:instrText>xe "</w:instrText>
      </w:r>
      <w:r>
        <w:rPr>
          <w:rStyle w:val="xeentry"/>
        </w:rPr>
        <w:instrText>conversion and tanru</w:instrText>
      </w:r>
      <w:r>
        <w:instrText>"</w:instrText>
      </w:r>
      <w:r>
        <w:rPr>
          <w:rStyle w:val="indexentry"/>
        </w:rPr>
        <w:fldChar w:fldCharType="end"/>
      </w:r>
      <w:r>
        <w:rPr>
          <w:rStyle w:val="indexentry"/>
        </w:rPr>
        <w:t>&lt;cx "tanru and conversion"&gt;</w:t>
      </w:r>
      <w:r>
        <w:rPr>
          <w:rStyle w:val="indexentry"/>
        </w:rPr>
        <w:fldChar w:fldCharType="begin"/>
      </w:r>
      <w:r>
        <w:instrText>xe "</w:instrText>
      </w:r>
      <w:r>
        <w:rPr>
          <w:rStyle w:val="xeentry"/>
        </w:rPr>
        <w:instrText>tanru and conversion</w:instrText>
      </w:r>
      <w:r>
        <w:instrText>"</w:instrText>
      </w:r>
      <w:r>
        <w:rPr>
          <w:rStyle w:val="indexentry"/>
        </w:rPr>
        <w:fldChar w:fldCharType="end"/>
      </w:r>
      <w:r>
        <w:rPr>
          <w:rStyle w:val="indexentry"/>
        </w:rPr>
        <w:t>&lt;cx "conversion, definition"&gt;</w:t>
      </w:r>
      <w:r>
        <w:rPr>
          <w:rStyle w:val="indexentry"/>
        </w:rPr>
        <w:fldChar w:fldCharType="begin"/>
      </w:r>
      <w:r>
        <w:instrText>xe "</w:instrText>
      </w:r>
      <w:r>
        <w:rPr>
          <w:rStyle w:val="xeentry"/>
        </w:rPr>
        <w:instrText>conversion: definition</w:instrText>
      </w:r>
      <w:r>
        <w:instrText>"</w:instrText>
      </w:r>
      <w:r>
        <w:rPr>
          <w:rStyle w:val="indexentry"/>
        </w:rPr>
        <w:fldChar w:fldCharType="end"/>
      </w:r>
      <w:r>
        <w:rPr>
          <w:rStyle w:val="indexentry"/>
        </w:rPr>
        <w:t>&lt;cx "place structure, re-ordering by conversion"&gt;</w:t>
      </w:r>
      <w:r>
        <w:rPr>
          <w:rStyle w:val="indexentry"/>
        </w:rPr>
        <w:fldChar w:fldCharType="begin"/>
      </w:r>
      <w:r>
        <w:instrText>xe "</w:instrText>
      </w:r>
      <w:r>
        <w:rPr>
          <w:rStyle w:val="xeentry"/>
        </w:rPr>
        <w:instrText>place structure: re-ordering by conversion</w:instrText>
      </w:r>
      <w:r>
        <w:instrText>"</w:instrText>
      </w:r>
      <w:r>
        <w:rPr>
          <w:rStyle w:val="indexentry"/>
        </w:rPr>
        <w:fldChar w:fldCharType="end"/>
      </w:r>
      <w:r>
        <w:t>Conversion is the process of changing a selbri so that its places appear</w:t>
      </w:r>
      <w:r>
        <w:rPr>
          <w:rStyle w:val="deletedparamark"/>
        </w:rPr>
        <w:t xml:space="preserve"> </w:t>
      </w:r>
      <w:r>
        <w:t>in a dif</w:t>
      </w:r>
      <w:r>
        <w:softHyphen/>
        <w:t>ferent order. This is not the same as labeling the sumti with the</w:t>
      </w:r>
      <w:r>
        <w:rPr>
          <w:rStyle w:val="deletedparamark"/>
        </w:rPr>
        <w:t xml:space="preserve"> </w:t>
      </w:r>
      <w:r>
        <w:t>cmavo of FA, as men</w:t>
      </w:r>
      <w:r>
        <w:softHyphen/>
        <w:t xml:space="preserve">tioned in </w:t>
      </w:r>
      <w:r>
        <w:rPr>
          <w:rStyle w:val="htmlcodes"/>
        </w:rPr>
        <w:t>&lt;a href=#s7&gt;</w:t>
      </w:r>
      <w:r>
        <w:t>Section 7</w:t>
      </w:r>
      <w:r>
        <w:rPr>
          <w:rStyle w:val="htmlcodes"/>
        </w:rPr>
        <w:t>&lt;/a&gt;</w:t>
      </w:r>
      <w:r>
        <w:t>, and then rearranging the order in</w:t>
      </w:r>
      <w:r>
        <w:rPr>
          <w:rStyle w:val="deletedparamark"/>
        </w:rPr>
        <w:t xml:space="preserve"> </w:t>
      </w:r>
      <w:r>
        <w:t>which the sumti are spoken or written. Con</w:t>
      </w:r>
      <w:r>
        <w:softHyphen/>
        <w:t>version transforms the selbri</w:t>
      </w:r>
      <w:r>
        <w:rPr>
          <w:rStyle w:val="deletedparamark"/>
        </w:rPr>
        <w:t xml:space="preserve"> </w:t>
      </w:r>
      <w:r>
        <w:t>into a distinct, though closely related, selbri with renu</w:t>
      </w:r>
      <w:r>
        <w:t>m</w:t>
      </w:r>
      <w:r>
        <w:softHyphen/>
        <w:t>bered places.</w:t>
      </w:r>
    </w:p>
    <w:p w:rsidR="00B72047" w:rsidRDefault="00B72047">
      <w:pPr>
        <w:pStyle w:val="normalparagraph"/>
        <w:rPr>
          <w:rStyle w:val="htmlparacode"/>
        </w:rPr>
      </w:pPr>
      <w:r>
        <w:rPr>
          <w:rStyle w:val="htmlparacode"/>
        </w:rPr>
        <w:t>&lt;p&gt;</w:t>
      </w:r>
    </w:p>
    <w:p w:rsidR="00B72047" w:rsidRDefault="00B72047">
      <w:pPr>
        <w:pStyle w:val="normalparagraph"/>
      </w:pPr>
      <w:r>
        <w:t>In Lojban, conversion is accomplished by placing a cmavo of selma'o SE</w:t>
      </w:r>
      <w:r>
        <w:rPr>
          <w:rStyle w:val="deletedparamark"/>
        </w:rPr>
        <w:t xml:space="preserve"> </w:t>
      </w:r>
      <w:r>
        <w:t>be</w:t>
      </w:r>
      <w:r>
        <w:softHyphen/>
        <w:t>fore the selbri: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mi prami do</w:t>
      </w:r>
    </w:p>
    <w:p w:rsidR="00B72047" w:rsidRDefault="00B72047">
      <w:pPr>
        <w:pStyle w:val="examplescaled"/>
      </w:pPr>
      <w:r>
        <w:tab/>
        <w:t>I love you.</w:t>
      </w:r>
    </w:p>
    <w:p w:rsidR="00B72047" w:rsidRDefault="00B72047">
      <w:pPr>
        <w:pStyle w:val="resumedafterexample"/>
      </w:pPr>
      <w:r>
        <w:rPr>
          <w:rStyle w:val="htmlcodes"/>
        </w:rPr>
        <w:t>&lt;/pre&gt;</w:t>
      </w:r>
      <w:r>
        <w:t>is equivalent in meaning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do se prami mi</w:t>
      </w:r>
    </w:p>
    <w:p w:rsidR="00B72047" w:rsidRDefault="00B72047">
      <w:pPr>
        <w:pStyle w:val="examplescaled"/>
      </w:pPr>
      <w:r>
        <w:tab/>
        <w:t>You [swap x1 and x2] love me.</w:t>
      </w:r>
    </w:p>
    <w:p w:rsidR="00B72047" w:rsidRDefault="00B72047">
      <w:pPr>
        <w:pStyle w:val="examplescaled"/>
      </w:pPr>
      <w:r>
        <w:tab/>
        <w:t>You are loved by me.</w:t>
      </w:r>
    </w:p>
    <w:p w:rsidR="00B72047" w:rsidRDefault="00B72047">
      <w:pPr>
        <w:pStyle w:val="normalafterexample"/>
      </w:pPr>
      <w:r>
        <w:rPr>
          <w:rStyle w:val="htmlcodes"/>
        </w:rPr>
        <w:t>&lt;/pre&gt;&lt;p&gt;</w:t>
      </w:r>
      <w:r>
        <w:t xml:space="preserve">Conversion is fully explained in </w:t>
      </w:r>
      <w:r>
        <w:rPr>
          <w:rStyle w:val="htmlcodes"/>
        </w:rPr>
        <w:t>&lt;a href=chap9.html&gt;</w:t>
      </w:r>
      <w:r>
        <w:t>Chapter 9</w:t>
      </w:r>
      <w:r>
        <w:rPr>
          <w:rStyle w:val="htmlcodes"/>
        </w:rPr>
        <w:t>&lt;/a&gt;</w:t>
      </w:r>
      <w:r>
        <w:t>. For the purposes of this chapter,</w:t>
      </w:r>
      <w:r>
        <w:rPr>
          <w:rStyle w:val="deletedparamark"/>
        </w:rPr>
        <w:t xml:space="preserve"> </w:t>
      </w:r>
      <w:r>
        <w:t>the i</w:t>
      </w:r>
      <w:r>
        <w:t>m</w:t>
      </w:r>
      <w:r>
        <w:softHyphen/>
        <w:t>portant point about conversion is that it applies only to the following</w:t>
      </w:r>
      <w:r>
        <w:rPr>
          <w:rStyle w:val="deletedparamark"/>
        </w:rPr>
        <w:t xml:space="preserve"> </w:t>
      </w:r>
      <w:r>
        <w:t>simple sel</w:t>
      </w:r>
      <w:r>
        <w:softHyphen/>
        <w:t>bri. When trying to convert a tanru, therefore, it is necessary</w:t>
      </w:r>
      <w:r>
        <w:rPr>
          <w:rStyle w:val="deletedparamark"/>
        </w:rPr>
        <w:t xml:space="preserve"> </w:t>
      </w:r>
      <w:r>
        <w:t xml:space="preserve">to be careful! Consider </w:t>
      </w:r>
      <w:r>
        <w:rPr>
          <w:rStyle w:val="htmlcodes"/>
        </w:rPr>
        <w:t>&lt;a href=#e11d3&gt;</w:t>
      </w:r>
      <w:r>
        <w:t>Exa</w:t>
      </w:r>
      <w:r>
        <w:t>m</w:t>
      </w:r>
      <w:r>
        <w:t>ple 11.3</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&lt;ex "walk to market"&gt;</w:t>
      </w:r>
      <w:r>
        <w:rPr>
          <w:rStyle w:val="indexentry"/>
        </w:rPr>
        <w:fldChar w:fldCharType="begin"/>
      </w:r>
      <w:r>
        <w:instrText>xe "</w:instrText>
      </w:r>
      <w:r>
        <w:rPr>
          <w:rStyle w:val="xeentry"/>
        </w:rPr>
        <w:instrText>walk to market: example</w:instrText>
      </w:r>
      <w:r>
        <w:instrText>"</w:instrText>
      </w:r>
      <w:r>
        <w:rPr>
          <w:rStyle w:val="indexentry"/>
        </w:rPr>
        <w:fldChar w:fldCharType="end"/>
      </w:r>
      <w:r>
        <w:rPr>
          <w:rStyle w:val="htmlcodes"/>
        </w:rPr>
        <w:t>&lt;pre&gt;&lt;a name=e11d3&gt;</w:t>
      </w:r>
      <w:r>
        <w:t>11.3)</w:t>
      </w:r>
      <w:r>
        <w:tab/>
        <w:t>la .alis. cu cadzu klama le zarci</w:t>
      </w:r>
    </w:p>
    <w:p w:rsidR="00B72047" w:rsidRDefault="00B72047">
      <w:pPr>
        <w:pStyle w:val="examplescaled"/>
      </w:pPr>
      <w:r>
        <w:tab/>
        <w:t>Alice is-a-walker type-of goer to-the market.</w:t>
      </w:r>
    </w:p>
    <w:p w:rsidR="00B72047" w:rsidRDefault="00B72047">
      <w:pPr>
        <w:pStyle w:val="examplescaled"/>
      </w:pPr>
      <w:r>
        <w:tab/>
        <w:t>Alice walkingly goes to the market.</w:t>
      </w:r>
    </w:p>
    <w:p w:rsidR="00B72047" w:rsidRDefault="00B72047">
      <w:pPr>
        <w:pStyle w:val="examplescaled"/>
      </w:pPr>
      <w:r>
        <w:tab/>
        <w:t>Alice walks to the market.</w:t>
      </w:r>
    </w:p>
    <w:p w:rsidR="00B72047" w:rsidRDefault="00B72047">
      <w:pPr>
        <w:pStyle w:val="resumedafterexample"/>
      </w:pPr>
      <w:r>
        <w:rPr>
          <w:rStyle w:val="htmlcodes"/>
        </w:rPr>
        <w:t>&lt;/pre&gt;&lt;p&gt;</w:t>
      </w:r>
      <w:r>
        <w:t>To convert this sentence so that “le zarci” is in the x1 place, one</w:t>
      </w:r>
      <w:r>
        <w:rPr>
          <w:rStyle w:val="deletedparamark"/>
        </w:rPr>
        <w:t xml:space="preserve"> </w:t>
      </w:r>
      <w:r>
        <w:t>cor</w:t>
      </w:r>
      <w:r>
        <w:softHyphen/>
        <w:t>rect way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le zarci cu se ke cadzu klama [ke'e] la .alis.</w:t>
      </w:r>
    </w:p>
    <w:p w:rsidR="00B72047" w:rsidRDefault="00B72047">
      <w:pPr>
        <w:pStyle w:val="examplescaled"/>
      </w:pPr>
      <w:r>
        <w:tab/>
        <w:t>The market is-a-[swap x1/x2] (walker type-of goer) Alice.</w:t>
      </w:r>
    </w:p>
    <w:p w:rsidR="00B72047" w:rsidRDefault="00B72047">
      <w:pPr>
        <w:pStyle w:val="examplescaled"/>
      </w:pPr>
      <w:r>
        <w:tab/>
        <w:t>The market is-walkingly gone-to by-Alice.</w:t>
      </w:r>
    </w:p>
    <w:p w:rsidR="00B72047" w:rsidRDefault="00B72047">
      <w:pPr>
        <w:pStyle w:val="resumedafterexample"/>
      </w:pPr>
      <w:r>
        <w:rPr>
          <w:rStyle w:val="htmlcodes"/>
        </w:rPr>
        <w:t>&lt;/pre&gt;</w:t>
      </w:r>
      <w:r>
        <w:rPr>
          <w:rStyle w:val="indexentry"/>
        </w:rPr>
        <w:t>&lt;cx "conversion with `ke'"&gt;</w:t>
      </w:r>
      <w:r>
        <w:rPr>
          <w:rStyle w:val="indexentry"/>
        </w:rPr>
        <w:fldChar w:fldCharType="begin"/>
      </w:r>
      <w:r>
        <w:instrText>xe "</w:instrText>
      </w:r>
      <w:r>
        <w:rPr>
          <w:rStyle w:val="xeentry"/>
        </w:rPr>
        <w:instrText>conversion with `ke'</w:instrText>
      </w:r>
      <w:r>
        <w:instrText>"</w:instrText>
      </w:r>
      <w:r>
        <w:rPr>
          <w:rStyle w:val="indexentry"/>
        </w:rPr>
        <w:fldChar w:fldCharType="end"/>
      </w:r>
      <w:r>
        <w:rPr>
          <w:rStyle w:val="indexentry"/>
        </w:rPr>
        <w:t>&lt;cx "ke, for conversion of tanru"&gt;</w:t>
      </w:r>
      <w:r>
        <w:rPr>
          <w:rStyle w:val="indexentry"/>
        </w:rPr>
        <w:fldChar w:fldCharType="begin"/>
      </w:r>
      <w:r>
        <w:instrText>xe "</w:instrText>
      </w:r>
      <w:r>
        <w:rPr>
          <w:rStyle w:val="xeentry"/>
        </w:rPr>
        <w:instrText>ke: for conversion of tanru</w:instrText>
      </w:r>
      <w:r>
        <w:instrText>"</w:instrText>
      </w:r>
      <w:r>
        <w:rPr>
          <w:rStyle w:val="indexentry"/>
        </w:rPr>
        <w:fldChar w:fldCharType="end"/>
      </w:r>
      <w:r>
        <w:t>The “ke </w:t>
      </w:r>
      <w:r>
        <w:rPr>
          <w:rStyle w:val="htmlcodes"/>
        </w:rPr>
        <w:t>&lt;dots&gt;</w:t>
      </w:r>
      <w:r>
        <w:t>…</w:t>
      </w:r>
      <w:r>
        <w:rPr>
          <w:rStyle w:val="htmlcodes"/>
        </w:rPr>
        <w:t>&lt;/dots&gt;</w:t>
      </w:r>
      <w:r>
        <w:t>ke'e” brackets cause the entire tanru to be converted by the</w:t>
      </w:r>
      <w:r>
        <w:rPr>
          <w:rStyle w:val="deletedparamark"/>
        </w:rPr>
        <w:t xml:space="preserve"> “</w:t>
      </w:r>
      <w:r>
        <w:t>se”, which would otherwise convert only “cadzu”, leading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le zarci cu se cadzu klama la .alis.</w:t>
      </w:r>
    </w:p>
    <w:p w:rsidR="00B72047" w:rsidRDefault="00B72047">
      <w:pPr>
        <w:pStyle w:val="examplescaled"/>
      </w:pPr>
      <w:r>
        <w:tab/>
        <w:t>The market (is-a-[swap x1/x2] walker) type-of goer to Alice.</w:t>
      </w:r>
    </w:p>
    <w:p w:rsidR="00B72047" w:rsidRDefault="00B72047">
      <w:pPr>
        <w:pStyle w:val="examplescaled"/>
      </w:pPr>
      <w:r>
        <w:tab/>
        <w:t>The market is-a-walking-surface type-of goer to Alice.</w:t>
      </w:r>
    </w:p>
    <w:p w:rsidR="00B72047" w:rsidRDefault="00B72047">
      <w:pPr>
        <w:pStyle w:val="resumedafterexample"/>
      </w:pPr>
      <w:r>
        <w:rPr>
          <w:rStyle w:val="htmlcodes"/>
        </w:rPr>
        <w:t>&lt;/pre&gt;</w:t>
      </w:r>
      <w:r>
        <w:t>whatever that might mean. An alternative approach, since the place</w:t>
      </w:r>
      <w:r>
        <w:rPr>
          <w:rStyle w:val="deletedparamark"/>
        </w:rPr>
        <w:t xml:space="preserve"> </w:t>
      </w:r>
      <w:r>
        <w:t>structure of “cadzu klama” is that of “klama” alone, is to convert</w:t>
      </w:r>
      <w:r>
        <w:rPr>
          <w:rStyle w:val="deletedparamark"/>
        </w:rPr>
        <w:t xml:space="preserve"> </w:t>
      </w:r>
      <w:r>
        <w:t>only the latter: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name=e11d6&gt;</w:t>
      </w:r>
      <w:r>
        <w:t>11.6)</w:t>
      </w:r>
      <w:r>
        <w:tab/>
        <w:t>le zarci cu cadzu se klama la .alis.</w:t>
      </w:r>
    </w:p>
    <w:p w:rsidR="00B72047" w:rsidRDefault="00B72047">
      <w:pPr>
        <w:pStyle w:val="examplescaled"/>
      </w:pPr>
      <w:r>
        <w:tab/>
        <w:t>The market walkingly is-gone-to by-Alice.</w:t>
      </w:r>
    </w:p>
    <w:p w:rsidR="00B72047" w:rsidRDefault="00B72047">
      <w:pPr>
        <w:pStyle w:val="normalafterexample"/>
      </w:pPr>
      <w:r>
        <w:rPr>
          <w:rStyle w:val="htmlcodes"/>
        </w:rPr>
        <w:t>&lt;/pre&gt;&lt;p&gt;</w:t>
      </w:r>
      <w:r>
        <w:t xml:space="preserve">But the tanru in </w:t>
      </w:r>
      <w:r>
        <w:rPr>
          <w:rStyle w:val="htmlcodes"/>
        </w:rPr>
        <w:t>&lt;a href=#e11d6&gt;</w:t>
      </w:r>
      <w:r>
        <w:t xml:space="preserve">Example 11.6 </w:t>
      </w:r>
      <w:r>
        <w:rPr>
          <w:rStyle w:val="htmlcodes"/>
        </w:rPr>
        <w:t>&lt;/a&gt;</w:t>
      </w:r>
      <w:r>
        <w:t>may or may not have the same meaning as that</w:t>
      </w:r>
      <w:r>
        <w:rPr>
          <w:rStyle w:val="deletedparamark"/>
        </w:rPr>
        <w:t xml:space="preserve"> </w:t>
      </w:r>
      <w:r>
        <w:t xml:space="preserve">in </w:t>
      </w:r>
      <w:r>
        <w:rPr>
          <w:rStyle w:val="htmlcodes"/>
        </w:rPr>
        <w:t>&lt;a href=#e11d3&gt;</w:t>
      </w:r>
      <w:r>
        <w:t>E</w:t>
      </w:r>
      <w:r>
        <w:t>x</w:t>
      </w:r>
      <w:r>
        <w:softHyphen/>
        <w:t>ample 11.3</w:t>
      </w:r>
      <w:r>
        <w:rPr>
          <w:rStyle w:val="htmlcodes"/>
        </w:rPr>
        <w:t>&lt;/a&gt;</w:t>
      </w:r>
      <w:r>
        <w:t>; in particular, because “cadzu” is not converted, there is</w:t>
      </w:r>
      <w:r>
        <w:rPr>
          <w:rStyle w:val="deletedparamark"/>
        </w:rPr>
        <w:t xml:space="preserve"> </w:t>
      </w:r>
      <w:r>
        <w:t>a suggestion that a</w:t>
      </w:r>
      <w:r>
        <w:t>l</w:t>
      </w:r>
      <w:r>
        <w:softHyphen/>
        <w:t>though Alice is the goer, the market is the walker.</w:t>
      </w:r>
      <w:r>
        <w:rPr>
          <w:rStyle w:val="deletedparamark"/>
        </w:rPr>
        <w:t xml:space="preserve"> </w:t>
      </w:r>
      <w:r>
        <w:t>With a different sumti as x1, this seemingly odd interpretation might make</w:t>
      </w:r>
      <w:r>
        <w:rPr>
          <w:rStyle w:val="deletedparamark"/>
        </w:rPr>
        <w:t xml:space="preserve"> </w:t>
      </w:r>
      <w:r>
        <w:t>considerable sense: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name=e11d7&gt;</w:t>
      </w:r>
      <w:r>
        <w:t>11.7)</w:t>
      </w:r>
      <w:r>
        <w:tab/>
        <w:t>la djan. cu cadzu se klama la .alis</w:t>
      </w:r>
    </w:p>
    <w:p w:rsidR="00B72047" w:rsidRDefault="00B72047">
      <w:pPr>
        <w:pStyle w:val="examplescaled"/>
      </w:pPr>
      <w:r>
        <w:tab/>
        <w:t>John walkingly is-gone-to by Alice</w:t>
      </w:r>
    </w:p>
    <w:p w:rsidR="00B72047" w:rsidRDefault="00B72047">
      <w:pPr>
        <w:pStyle w:val="resumedafterexample"/>
      </w:pPr>
      <w:r>
        <w:rPr>
          <w:rStyle w:val="htmlcodes"/>
        </w:rPr>
        <w:t>&lt;/pre&gt;</w:t>
      </w:r>
      <w:r>
        <w:t>suggests that Alice is going to John, who is a moving target.</w:t>
      </w:r>
    </w:p>
    <w:p w:rsidR="00B72047" w:rsidRDefault="00B72047">
      <w:pPr>
        <w:rPr>
          <w:rStyle w:val="htmlparacode"/>
        </w:rPr>
      </w:pPr>
      <w:r>
        <w:rPr>
          <w:rStyle w:val="htmlparacode"/>
        </w:rPr>
        <w:t>&lt;p&gt;</w:t>
      </w:r>
    </w:p>
    <w:p w:rsidR="00B72047" w:rsidRDefault="00B72047">
      <w:pPr>
        <w:pStyle w:val="normalparagraph"/>
      </w:pPr>
      <w:r>
        <w:rPr>
          <w:rStyle w:val="indexentry"/>
        </w:rPr>
        <w:t>&lt;cx "jai, for modal conversion"&gt;</w:t>
      </w:r>
      <w:r>
        <w:rPr>
          <w:rStyle w:val="indexentry"/>
        </w:rPr>
        <w:fldChar w:fldCharType="begin"/>
      </w:r>
      <w:r>
        <w:instrText>xe "</w:instrText>
      </w:r>
      <w:r>
        <w:rPr>
          <w:rStyle w:val="xeentry"/>
        </w:rPr>
        <w:instrText>jai: conversion using</w:instrText>
      </w:r>
      <w:r>
        <w:instrText>"</w:instrText>
      </w:r>
      <w:r>
        <w:rPr>
          <w:rStyle w:val="indexentry"/>
        </w:rPr>
        <w:fldChar w:fldCharType="end"/>
      </w:r>
      <w:r>
        <w:rPr>
          <w:rStyle w:val="indexentry"/>
        </w:rPr>
        <w:t>&lt;cx "tense conversion, with jai"&gt;</w:t>
      </w:r>
      <w:r>
        <w:rPr>
          <w:rStyle w:val="indexentry"/>
        </w:rPr>
        <w:fldChar w:fldCharType="begin"/>
      </w:r>
      <w:r>
        <w:instrText>xe "</w:instrText>
      </w:r>
      <w:r>
        <w:rPr>
          <w:rStyle w:val="xeentry"/>
        </w:rPr>
        <w:instrText>conversion: using jai</w:instrText>
      </w:r>
      <w:r>
        <w:instrText>"</w:instrText>
      </w:r>
      <w:r>
        <w:rPr>
          <w:rStyle w:val="indexentry"/>
        </w:rPr>
        <w:fldChar w:fldCharType="end"/>
      </w:r>
      <w:r>
        <w:t>There is an alternative type of conversion, using the cmavo “jai” of</w:t>
      </w:r>
      <w:r>
        <w:rPr>
          <w:rStyle w:val="deletedparamark"/>
        </w:rPr>
        <w:t xml:space="preserve"> </w:t>
      </w:r>
      <w:r>
        <w:t>selma'o JAI o</w:t>
      </w:r>
      <w:r>
        <w:t>p</w:t>
      </w:r>
      <w:r>
        <w:softHyphen/>
        <w:t>tionally followed by a modal or tense construc</w:t>
      </w:r>
      <w:r>
        <w:softHyphen/>
        <w:t>tion.</w:t>
      </w:r>
      <w:r>
        <w:rPr>
          <w:rStyle w:val="deletedparamark"/>
        </w:rPr>
        <w:t xml:space="preserve"> </w:t>
      </w:r>
      <w:r>
        <w:t>Grammatically, such a com</w:t>
      </w:r>
      <w:r>
        <w:softHyphen/>
        <w:t>bination behaves exactly like conver</w:t>
      </w:r>
      <w:r>
        <w:softHyphen/>
        <w:t>sion using SE.</w:t>
      </w:r>
      <w:r>
        <w:rPr>
          <w:rStyle w:val="deletedparamark"/>
        </w:rPr>
        <w:t xml:space="preserve"> </w:t>
      </w:r>
      <w:r>
        <w:t xml:space="preserve">More details can be found in </w:t>
      </w:r>
      <w:r>
        <w:rPr>
          <w:rStyle w:val="htmlcodes"/>
        </w:rPr>
        <w:t>&lt;a href=chap9.html&gt;</w:t>
      </w:r>
      <w:r>
        <w:t>Chap</w:t>
      </w:r>
      <w:r>
        <w:softHyphen/>
        <w:t>ter 9</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216" w:name="_Toc395691528"/>
      <w:bookmarkStart w:id="217" w:name="_Toc398970499"/>
      <w:r>
        <w:rPr>
          <w:rStyle w:val="Heading3Text"/>
        </w:rPr>
        <w:t>Scalar negation of selbri</w:t>
      </w:r>
      <w:bookmarkEnd w:id="216"/>
      <w:bookmarkEnd w:id="21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"NAhE"&gt;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&lt;cx "scalar negation, effect on selbri"&gt;</w:t>
      </w:r>
      <w:r>
        <w:rPr>
          <w:rStyle w:val="indexentry"/>
        </w:rPr>
        <w:fldChar w:fldCharType="begin"/>
      </w:r>
      <w:r>
        <w:instrText>xe "</w:instrText>
      </w:r>
      <w:r>
        <w:rPr>
          <w:rStyle w:val="xeentry"/>
        </w:rPr>
        <w:instrText>scalar negation: effect on selbri</w:instrText>
      </w:r>
      <w:r>
        <w:instrText>"</w:instrText>
      </w:r>
      <w:r>
        <w:rPr>
          <w:rStyle w:val="indexentry"/>
        </w:rPr>
        <w:fldChar w:fldCharType="end"/>
      </w:r>
      <w:r>
        <w:rPr>
          <w:rStyle w:val="indexentry"/>
        </w:rPr>
        <w:t>&lt;cx "selbri, scalar negation of"&gt;</w:t>
      </w:r>
      <w:r>
        <w:rPr>
          <w:rStyle w:val="indexentry"/>
        </w:rPr>
        <w:fldChar w:fldCharType="begin"/>
      </w:r>
      <w:r>
        <w:instrText>xe "</w:instrText>
      </w:r>
      <w:r>
        <w:rPr>
          <w:rStyle w:val="xeentry"/>
        </w:rPr>
        <w:instrText>selbri: scalar negation of</w:instrText>
      </w:r>
      <w:r>
        <w:instrText>"</w:instrText>
      </w:r>
      <w:r>
        <w:rPr>
          <w:rStyle w:val="indexentry"/>
        </w:rPr>
        <w:fldChar w:fldCharType="end"/>
      </w:r>
      <w:r>
        <w:t>Negation is too large and complex a topic to explain fully in this chapter;</w:t>
      </w:r>
      <w:r>
        <w:rPr>
          <w:rStyle w:val="deletedparamark"/>
        </w:rPr>
        <w:t xml:space="preserve"> </w:t>
      </w:r>
      <w:r>
        <w:t xml:space="preserve">see </w:t>
      </w:r>
      <w:r>
        <w:rPr>
          <w:rStyle w:val="htmlcodes"/>
        </w:rPr>
        <w:t>&lt;a href=chap15.html&gt;</w:t>
      </w:r>
      <w:r>
        <w:t>Chapter 15</w:t>
      </w:r>
      <w:r>
        <w:rPr>
          <w:rStyle w:val="htmlcodes"/>
        </w:rPr>
        <w:t>&lt;/a&gt;</w:t>
      </w:r>
      <w:r>
        <w:t>. In brief, there are two main types of negation in Lojban.</w:t>
      </w:r>
      <w:r>
        <w:rPr>
          <w:rStyle w:val="deletedparamark"/>
        </w:rPr>
        <w:t xml:space="preserve"> </w:t>
      </w:r>
      <w:r>
        <w:t>This section is concerned with so-called “scalar negation”, which is used</w:t>
      </w:r>
      <w:r>
        <w:rPr>
          <w:rStyle w:val="deletedparamark"/>
        </w:rPr>
        <w:t xml:space="preserve"> </w:t>
      </w:r>
      <w:r>
        <w:t>to state that a true relation between the sumti is something other than what</w:t>
      </w:r>
      <w:r>
        <w:rPr>
          <w:rStyle w:val="deletedparamark"/>
        </w:rPr>
        <w:t xml:space="preserve"> </w:t>
      </w:r>
      <w:r>
        <w:t>the selbri specifies. Scalar nega</w:t>
      </w:r>
      <w:r>
        <w:softHyphen/>
        <w:t>tion is expressed by cmavo of selma'o</w:t>
      </w:r>
      <w:r>
        <w:rPr>
          <w:rStyle w:val="deletedparamark"/>
        </w:rPr>
        <w:t xml:space="preserve"> </w:t>
      </w:r>
      <w:r>
        <w:t>NAhE:</w:t>
      </w:r>
    </w:p>
    <w:p w:rsidR="00B72047" w:rsidRDefault="00B72047">
      <w:pPr>
        <w:rPr>
          <w:rStyle w:val="htmlparacode"/>
        </w:rPr>
      </w:pPr>
      <w:r>
        <w:rPr>
          <w:rStyle w:val="htmlparacode"/>
        </w:rPr>
        <w:t>&lt;p&gt;</w:t>
      </w:r>
    </w:p>
    <w:p w:rsidR="00B72047" w:rsidRDefault="00B72047">
      <w:pPr>
        <w:pStyle w:val="examplescaledpre"/>
      </w:pPr>
      <w:r>
        <w:rPr>
          <w:rStyle w:val="indexentry"/>
        </w:rPr>
        <w:t>&lt;cx "ke, for expanding scope of scalar negation"&gt;</w:t>
      </w:r>
      <w:r>
        <w:rPr>
          <w:rStyle w:val="indexentry"/>
        </w:rPr>
        <w:fldChar w:fldCharType="begin"/>
      </w:r>
      <w:r>
        <w:instrText>xe "</w:instrText>
      </w:r>
      <w:r>
        <w:rPr>
          <w:rStyle w:val="xeentry"/>
        </w:rPr>
        <w:instrText>ke: for expanding scope of scalar negation</w:instrText>
      </w:r>
      <w:r>
        <w:instrText>"</w:instrText>
      </w:r>
      <w:r>
        <w:rPr>
          <w:rStyle w:val="indexentry"/>
        </w:rPr>
        <w:fldChar w:fldCharType="end"/>
      </w:r>
      <w:r>
        <w:rPr>
          <w:rStyle w:val="htmlcodes"/>
        </w:rPr>
        <w:t>&lt;pre&gt;&lt;a name=e12d1&gt;</w:t>
      </w:r>
      <w:r>
        <w:t>12.1)</w:t>
      </w:r>
      <w:r>
        <w:tab/>
        <w:t>la .alis. cu na'e ke cadzu klama [ke'e] le zarci</w:t>
      </w:r>
    </w:p>
    <w:p w:rsidR="00B72047" w:rsidRDefault="00B72047">
      <w:pPr>
        <w:pStyle w:val="examplescaled"/>
      </w:pPr>
      <w:r>
        <w:tab/>
        <w:t>Alice non- (walkingly goes) to-the market.</w:t>
      </w:r>
    </w:p>
    <w:p w:rsidR="00B72047" w:rsidRDefault="00B72047">
      <w:pPr>
        <w:pStyle w:val="examplescaled"/>
      </w:pPr>
      <w:r>
        <w:tab/>
        <w:t>Alice other-than (walkingly goes) to-the market.</w:t>
      </w:r>
    </w:p>
    <w:p w:rsidR="00B72047" w:rsidRDefault="00B72047">
      <w:pPr>
        <w:pStyle w:val="examplescaled"/>
      </w:pPr>
      <w:r>
        <w:tab/>
        <w:t>Alice doesn't walk to the market.</w:t>
      </w:r>
    </w:p>
    <w:p w:rsidR="00B72047" w:rsidRDefault="00B72047">
      <w:pPr>
        <w:pStyle w:val="resumedafterexample"/>
      </w:pPr>
      <w:r>
        <w:rPr>
          <w:rStyle w:val="htmlcodes"/>
        </w:rPr>
        <w:t>&lt;/pre&gt;</w:t>
      </w:r>
      <w:r>
        <w:t>meaning that Alice's relationship to the market is something other than that</w:t>
      </w:r>
      <w:r>
        <w:rPr>
          <w:rStyle w:val="deletedparamark"/>
        </w:rPr>
        <w:t xml:space="preserve"> </w:t>
      </w:r>
      <w:r>
        <w:t>of walking there. But if the “ke” were omitted, the result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name=e12d2&gt;</w:t>
      </w:r>
      <w:r>
        <w:t>12.2)</w:t>
      </w:r>
      <w:r>
        <w:tab/>
        <w:t>la .alis. cu na'e cadzu klama le zarci</w:t>
      </w:r>
    </w:p>
    <w:p w:rsidR="00B72047" w:rsidRDefault="00B72047">
      <w:pPr>
        <w:pStyle w:val="examplescaled"/>
      </w:pPr>
      <w:r>
        <w:tab/>
        <w:t>Alice non- walkingly goes to-the market.</w:t>
      </w:r>
    </w:p>
    <w:p w:rsidR="00B72047" w:rsidRDefault="00B72047">
      <w:pPr>
        <w:pStyle w:val="examplescaled"/>
      </w:pPr>
      <w:r>
        <w:tab/>
        <w:t>Alice doesn't walk to the market.</w:t>
      </w:r>
    </w:p>
    <w:p w:rsidR="00B72047" w:rsidRDefault="00B72047">
      <w:pPr>
        <w:pStyle w:val="resumedafterexample"/>
      </w:pPr>
      <w:r>
        <w:rPr>
          <w:rStyle w:val="htmlcodes"/>
        </w:rPr>
        <w:t>&lt;/pre&gt;</w:t>
      </w:r>
      <w:r>
        <w:t>meaning that Alice does go there in some way (“klama” is not ne</w:t>
      </w:r>
      <w:r>
        <w:softHyphen/>
        <w:t>gated), but</w:t>
      </w:r>
      <w:r>
        <w:rPr>
          <w:rStyle w:val="deletedparamark"/>
        </w:rPr>
        <w:t xml:space="preserve"> </w:t>
      </w:r>
      <w:r>
        <w:t xml:space="preserve">by a means other than that of walking. </w:t>
      </w:r>
      <w:r>
        <w:rPr>
          <w:rStyle w:val="htmlcodes"/>
        </w:rPr>
        <w:t>&lt;a href=#e12d1&gt;</w:t>
      </w:r>
      <w:r>
        <w:t xml:space="preserve">Example 12.1 </w:t>
      </w:r>
      <w:r>
        <w:rPr>
          <w:rStyle w:val="htmlcodes"/>
        </w:rPr>
        <w:t>&lt;/a&gt;</w:t>
      </w:r>
      <w:r>
        <w:t>ne</w:t>
      </w:r>
      <w:r>
        <w:softHyphen/>
        <w:t>gates both “cadzu”</w:t>
      </w:r>
      <w:r>
        <w:rPr>
          <w:rStyle w:val="deletedparamark"/>
        </w:rPr>
        <w:t xml:space="preserve"> </w:t>
      </w:r>
      <w:r>
        <w:t>and “klama”, suggesting that Alice's relation to the market is something</w:t>
      </w:r>
      <w:r>
        <w:rPr>
          <w:rStyle w:val="deletedparamark"/>
        </w:rPr>
        <w:t xml:space="preserve"> </w:t>
      </w:r>
      <w:r>
        <w:t>different from walkingly-going; it might be walk</w:t>
      </w:r>
      <w:r>
        <w:softHyphen/>
        <w:t>ing without going, or</w:t>
      </w:r>
      <w:r>
        <w:rPr>
          <w:rStyle w:val="deletedparamark"/>
        </w:rPr>
        <w:t xml:space="preserve"> </w:t>
      </w:r>
      <w:r>
        <w:t>going without walking, or neither.</w:t>
      </w:r>
    </w:p>
    <w:p w:rsidR="00B72047" w:rsidRDefault="00B72047">
      <w:pPr>
        <w:rPr>
          <w:rStyle w:val="htmlparacode"/>
        </w:rPr>
      </w:pPr>
      <w:r>
        <w:rPr>
          <w:rStyle w:val="htmlparacode"/>
        </w:rPr>
        <w:t>&lt;p&gt;</w:t>
      </w:r>
    </w:p>
    <w:p w:rsidR="00B72047" w:rsidRDefault="00B72047">
      <w:pPr>
        <w:pStyle w:val="normalparagraph"/>
      </w:pPr>
      <w:r>
        <w:t xml:space="preserve">Of course, any of the simple selbri types explained in </w:t>
      </w:r>
      <w:r>
        <w:rPr>
          <w:rStyle w:val="htmlcodes"/>
        </w:rPr>
        <w:t>&lt;a href=#s9&gt;</w:t>
      </w:r>
      <w:r>
        <w:t xml:space="preserve">Section 9 </w:t>
      </w:r>
      <w:r>
        <w:rPr>
          <w:rStyle w:val="htmlcodes"/>
        </w:rPr>
        <w:t>&lt;/a&gt;</w:t>
      </w:r>
      <w:r>
        <w:t>may be</w:t>
      </w:r>
      <w:r>
        <w:rPr>
          <w:rStyle w:val="deletedparamark"/>
        </w:rPr>
        <w:t xml:space="preserve"> </w:t>
      </w:r>
      <w:r>
        <w:t>used in place of brivla in any of these examples: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name=e12d3&gt;</w:t>
      </w:r>
      <w:r>
        <w:t>12.3)</w:t>
      </w:r>
      <w:r>
        <w:tab/>
        <w:t>la djonz. cu na'e pamoi cusku</w:t>
      </w:r>
    </w:p>
    <w:p w:rsidR="00B72047" w:rsidRDefault="00B72047">
      <w:pPr>
        <w:pStyle w:val="examplescaled"/>
      </w:pPr>
      <w:r>
        <w:tab/>
        <w:t>Jones is non-1st speaker</w:t>
      </w:r>
    </w:p>
    <w:p w:rsidR="00B72047" w:rsidRDefault="00B72047">
      <w:pPr>
        <w:pStyle w:val="examplescaled"/>
      </w:pPr>
      <w:r>
        <w:tab/>
        <w:t>Jones is not the first speaker.</w:t>
      </w:r>
    </w:p>
    <w:p w:rsidR="00B72047" w:rsidRDefault="00B72047">
      <w:pPr>
        <w:pStyle w:val="resumedafterexample"/>
      </w:pPr>
      <w:r>
        <w:rPr>
          <w:rStyle w:val="htmlcodes"/>
        </w:rPr>
        <w:t>&lt;/pre&gt;&lt;p&gt;</w:t>
      </w:r>
      <w:r>
        <w:t>Since only “pamoi” is negated, an appropriate inference is that he is some</w:t>
      </w:r>
      <w:r>
        <w:rPr>
          <w:rStyle w:val="deletedparamark"/>
        </w:rPr>
        <w:t xml:space="preserve"> </w:t>
      </w:r>
      <w:r>
        <w:t>other kind of speaker.</w:t>
      </w:r>
    </w:p>
    <w:p w:rsidR="00B72047" w:rsidRDefault="00B72047">
      <w:pPr>
        <w:rPr>
          <w:rStyle w:val="htmlparacode"/>
        </w:rPr>
      </w:pPr>
      <w:r>
        <w:rPr>
          <w:rStyle w:val="htmlparacode"/>
        </w:rPr>
        <w:t>&lt;p&gt;</w:t>
      </w:r>
    </w:p>
    <w:p w:rsidR="00B72047" w:rsidRDefault="00B72047">
      <w:pPr>
        <w:pStyle w:val="normalparagraph"/>
      </w:pPr>
      <w:r>
        <w:rPr>
          <w:rStyle w:val="indexentry"/>
        </w:rPr>
        <w:t>&lt;cx "complex negation, examples"&gt;</w:t>
      </w:r>
      <w:r>
        <w:rPr>
          <w:rStyle w:val="indexentry"/>
        </w:rPr>
        <w:fldChar w:fldCharType="begin"/>
      </w:r>
      <w:r>
        <w:instrText>xe "</w:instrText>
      </w:r>
      <w:r>
        <w:rPr>
          <w:rStyle w:val="xeentry"/>
        </w:rPr>
        <w:instrText>complex negation: examples</w:instrText>
      </w:r>
      <w:r>
        <w:instrText>"</w:instrText>
      </w:r>
      <w:r>
        <w:rPr>
          <w:rStyle w:val="indexentry"/>
        </w:rPr>
        <w:fldChar w:fldCharType="end"/>
      </w:r>
      <w:r>
        <w:rPr>
          <w:rStyle w:val="indexentry"/>
        </w:rPr>
        <w:t>&lt;cx "negation, complex examples"&gt;</w:t>
      </w:r>
      <w:r>
        <w:rPr>
          <w:rStyle w:val="indexentry"/>
        </w:rPr>
        <w:fldChar w:fldCharType="begin"/>
      </w:r>
      <w:r>
        <w:instrText>xe "</w:instrText>
      </w:r>
      <w:r>
        <w:rPr>
          <w:rStyle w:val="xeentry"/>
        </w:rPr>
        <w:instrText>negation: complex examples</w:instrText>
      </w:r>
      <w:r>
        <w:instrText>"</w:instrText>
      </w:r>
      <w:r>
        <w:rPr>
          <w:rStyle w:val="indexentry"/>
        </w:rPr>
        <w:fldChar w:fldCharType="end"/>
      </w:r>
      <w:r>
        <w:t>Here is an assortment of more complex examples showing the interaction</w:t>
      </w:r>
      <w:r>
        <w:rPr>
          <w:rStyle w:val="deletedparamark"/>
        </w:rPr>
        <w:t xml:space="preserve"> </w:t>
      </w:r>
      <w:r>
        <w:t>of scalar negation with “bo” grouping, “ke” and “ke'e” grouping, logical</w:t>
      </w:r>
      <w:r>
        <w:rPr>
          <w:rStyle w:val="deletedparamark"/>
        </w:rPr>
        <w:t xml:space="preserve"> </w:t>
      </w:r>
      <w:r>
        <w:t>connection, and sumti linked with “be” and “bei”:</w:t>
      </w:r>
    </w:p>
    <w:p w:rsidR="00B72047" w:rsidRDefault="00B72047">
      <w:pPr>
        <w:rPr>
          <w:rStyle w:val="htmlparacode"/>
        </w:rPr>
      </w:pPr>
      <w:r>
        <w:rPr>
          <w:rStyle w:val="htmlparacode"/>
        </w:rPr>
        <w:t>&lt;p&gt;</w:t>
      </w:r>
    </w:p>
    <w:p w:rsidR="00B72047" w:rsidRDefault="00B72047">
      <w:pPr>
        <w:pStyle w:val="examplescaledpre"/>
      </w:pPr>
      <w:r>
        <w:rPr>
          <w:rStyle w:val="indexentry"/>
        </w:rPr>
        <w:t>&lt;cx "na'e, contrasted with na'e ke"&gt;</w:t>
      </w:r>
      <w:r>
        <w:rPr>
          <w:rStyle w:val="indexentry"/>
        </w:rPr>
        <w:fldChar w:fldCharType="begin"/>
      </w:r>
      <w:r>
        <w:instrText>xe "</w:instrText>
      </w:r>
      <w:r>
        <w:rPr>
          <w:rStyle w:val="xeentry"/>
        </w:rPr>
        <w:instrText>na'e: contrasted with na'e ke</w:instrText>
      </w:r>
      <w:r>
        <w:instrText>"</w:instrText>
      </w:r>
      <w:r>
        <w:rPr>
          <w:rStyle w:val="indexentry"/>
        </w:rPr>
        <w:fldChar w:fldCharType="end"/>
      </w:r>
      <w:r>
        <w:rPr>
          <w:rStyle w:val="htmlcodes"/>
        </w:rPr>
        <w:t>&lt;pre&gt;&lt;a name=e12d4&gt;</w:t>
      </w:r>
      <w:r>
        <w:t>12.4)</w:t>
      </w:r>
      <w:r>
        <w:tab/>
        <w:t>mi na'e sutra cadzu be fi le birka be'o klama le zarci</w:t>
      </w:r>
    </w:p>
    <w:p w:rsidR="00B72047" w:rsidRDefault="00B72047">
      <w:pPr>
        <w:pStyle w:val="examplescaled"/>
      </w:pPr>
      <w:r>
        <w:tab/>
        <w:t>I ( (non-quickly) (walking using the arms) ) go-to the market.</w:t>
      </w:r>
    </w:p>
    <w:p w:rsidR="00B72047" w:rsidRDefault="00B72047">
      <w:pPr>
        <w:pStyle w:val="examplescaled"/>
      </w:pPr>
      <w:r>
        <w:tab/>
        <w:t>I go to the market, walking using my arms other than quickly.</w:t>
      </w:r>
    </w:p>
    <w:p w:rsidR="00B72047" w:rsidRDefault="00B72047">
      <w:pPr>
        <w:pStyle w:val="resumedafterexample"/>
      </w:pPr>
      <w:r>
        <w:rPr>
          <w:rStyle w:val="htmlcodes"/>
        </w:rPr>
        <w:t>&lt;/pre&gt;&lt;p&gt;</w:t>
      </w:r>
      <w:r>
        <w:t xml:space="preserve">In </w:t>
      </w:r>
      <w:r>
        <w:rPr>
          <w:rStyle w:val="htmlcodes"/>
        </w:rPr>
        <w:t>&lt;a href=#e12d4&gt;</w:t>
      </w:r>
      <w:r>
        <w:t>Example 12.4</w:t>
      </w:r>
      <w:r>
        <w:rPr>
          <w:rStyle w:val="htmlcodes"/>
        </w:rPr>
        <w:t>&lt;/a&gt;</w:t>
      </w:r>
      <w:r>
        <w:t xml:space="preserve">, “na'e” negates only “sutra”. Contrast </w:t>
      </w:r>
      <w:r>
        <w:rPr>
          <w:rStyle w:val="htmlcodes"/>
        </w:rPr>
        <w:t>&lt;a href=#e12d5&gt;</w:t>
      </w:r>
      <w:r>
        <w:t>Example 12.5</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name=e12d5&gt;</w:t>
      </w:r>
      <w:r>
        <w:t>12.5)</w:t>
      </w:r>
      <w:r>
        <w:tab/>
        <w:t>mi na'e ke sutra cadzu be fi le birka [be'o] ke'e klama le zarci</w:t>
      </w:r>
    </w:p>
    <w:p w:rsidR="00B72047" w:rsidRDefault="00B72047">
      <w:pPr>
        <w:pStyle w:val="examplescaled"/>
      </w:pPr>
      <w:r>
        <w:tab/>
        <w:t>I non-( quickly (walking using the arms) ) go-to the market.</w:t>
      </w:r>
    </w:p>
    <w:p w:rsidR="00B72047" w:rsidRDefault="00B72047">
      <w:pPr>
        <w:pStyle w:val="examplescaled"/>
      </w:pPr>
      <w:r>
        <w:tab/>
        <w:t>I go to the market, other than by walking quickly on my arms.</w:t>
      </w:r>
    </w:p>
    <w:p w:rsidR="00B72047" w:rsidRDefault="00B72047">
      <w:pPr>
        <w:pStyle w:val="normalafterexample"/>
      </w:pPr>
      <w:r>
        <w:rPr>
          <w:rStyle w:val="htmlcodes"/>
        </w:rPr>
        <w:t>&lt;/pre&gt;&lt;p&gt;</w:t>
      </w:r>
      <w:r>
        <w:t xml:space="preserve">Now consider </w:t>
      </w:r>
      <w:r>
        <w:rPr>
          <w:rStyle w:val="htmlcodes"/>
        </w:rPr>
        <w:t>&lt;a href=#e12d6&gt;</w:t>
      </w:r>
      <w:r>
        <w:t xml:space="preserve">Example 12.6 </w:t>
      </w:r>
      <w:r>
        <w:rPr>
          <w:rStyle w:val="htmlcodes"/>
        </w:rPr>
        <w:t>&lt;/a&gt;</w:t>
      </w:r>
      <w:r>
        <w:t xml:space="preserve">and </w:t>
      </w:r>
      <w:r>
        <w:rPr>
          <w:rStyle w:val="htmlcodes"/>
        </w:rPr>
        <w:t>&lt;a href=#e12d7&gt;</w:t>
      </w:r>
      <w:r>
        <w:t>Example 12.7</w:t>
      </w:r>
      <w:r>
        <w:rPr>
          <w:rStyle w:val="htmlcodes"/>
        </w:rPr>
        <w:t>&lt;/a&gt;</w:t>
      </w:r>
      <w:r>
        <w:t>, which are equivalent in</w:t>
      </w:r>
      <w:r>
        <w:rPr>
          <w:rStyle w:val="deletedparamark"/>
        </w:rPr>
        <w:t xml:space="preserve"> </w:t>
      </w:r>
      <w:r>
        <w:t>meaning, but use “ke” grouping and “bo” grouping re</w:t>
      </w:r>
      <w:r>
        <w:softHyphen/>
        <w:t>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name=e12d6&gt;</w:t>
      </w:r>
      <w:r>
        <w:t>12.6)</w:t>
      </w:r>
      <w:r>
        <w:tab/>
        <w:t>mi sutra cadzu be fi le birka be'o je masno klama le zarci</w:t>
      </w:r>
    </w:p>
    <w:p w:rsidR="00B72047" w:rsidRDefault="00B72047">
      <w:pPr>
        <w:pStyle w:val="examplescaled"/>
      </w:pPr>
      <w:r>
        <w:tab/>
        <w:t>I (quickly – (walking using the arms) and slowly) go-to the market.</w:t>
      </w:r>
    </w:p>
    <w:p w:rsidR="00B72047" w:rsidRDefault="00B72047">
      <w:pPr>
        <w:pStyle w:val="examplescaled"/>
      </w:pPr>
      <w:r>
        <w:tab/>
        <w:t>I go to the market, both quickly walking using my arms and slowly.</w:t>
      </w:r>
    </w:p>
    <w:p w:rsidR="00B72047" w:rsidRDefault="00B72047">
      <w:pPr>
        <w:pStyle w:val="examplescaledpre"/>
      </w:pPr>
      <w:r>
        <w:rPr>
          <w:rStyle w:val="htmlcodes"/>
        </w:rPr>
        <w:t>&lt;a name=e12d7&gt;</w:t>
      </w:r>
      <w:r>
        <w:t>12.7)</w:t>
      </w:r>
      <w:r>
        <w:tab/>
        <w:t>mi ke sutra cadzu be fi le birka [be'o] ke'e je masno klama le zarci</w:t>
      </w:r>
    </w:p>
    <w:p w:rsidR="00B72047" w:rsidRDefault="00B72047">
      <w:pPr>
        <w:pStyle w:val="examplescaled"/>
      </w:pPr>
      <w:r>
        <w:tab/>
        <w:t>I ((quickly (walking using the arms)) and slowly) go-to the market.</w:t>
      </w:r>
    </w:p>
    <w:p w:rsidR="00B72047" w:rsidRDefault="00B72047">
      <w:pPr>
        <w:pStyle w:val="examplescaled"/>
      </w:pPr>
      <w:r>
        <w:tab/>
        <w:t>I go to the market, both quickly walking using my arms and slowly.</w:t>
      </w:r>
    </w:p>
    <w:p w:rsidR="00B72047" w:rsidRDefault="00B72047">
      <w:pPr>
        <w:pStyle w:val="normalafterexample"/>
      </w:pPr>
      <w:r>
        <w:rPr>
          <w:rStyle w:val="htmlcodes"/>
        </w:rPr>
        <w:t>&lt;/pre&gt;&lt;p&gt;</w:t>
      </w:r>
      <w:r>
        <w:t>However, if we place a “na'e” at the beginning of the selbri in both</w:t>
      </w:r>
      <w:r>
        <w:rPr>
          <w:rStyle w:val="deletedparamark"/>
        </w:rPr>
        <w:t xml:space="preserve"> </w:t>
      </w:r>
      <w:r>
        <w:rPr>
          <w:rStyle w:val="htmlcodes"/>
        </w:rPr>
        <w:t>&lt;a href=#e12d6&gt;</w:t>
      </w:r>
      <w:r>
        <w:t xml:space="preserve">Example 12.6 </w:t>
      </w:r>
      <w:r>
        <w:rPr>
          <w:rStyle w:val="htmlcodes"/>
        </w:rPr>
        <w:t>&lt;/a&gt;</w:t>
      </w:r>
      <w:r>
        <w:t xml:space="preserve">and </w:t>
      </w:r>
      <w:r>
        <w:rPr>
          <w:rStyle w:val="htmlcodes"/>
        </w:rPr>
        <w:t>&lt;a href=#e12d7&gt;</w:t>
      </w:r>
      <w:r>
        <w:t>Example 12.7</w:t>
      </w:r>
      <w:r>
        <w:rPr>
          <w:rStyle w:val="htmlcodes"/>
        </w:rPr>
        <w:t>&lt;/a&gt;</w:t>
      </w:r>
      <w:r>
        <w:t>, we get different results: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mi na'e sutra cadzu be fi le birka be'o je masno klama le zarci</w:t>
      </w:r>
    </w:p>
    <w:p w:rsidR="00B72047" w:rsidRDefault="00B72047">
      <w:pPr>
        <w:pStyle w:val="examplescaled"/>
      </w:pPr>
      <w:r>
        <w:tab/>
        <w:t>I ((non- quickly) – (walking using the arms) and slowly) go-to the market.</w:t>
      </w:r>
    </w:p>
    <w:p w:rsidR="00B72047" w:rsidRDefault="00B72047">
      <w:pPr>
        <w:pStyle w:val="examplescaled"/>
      </w:pPr>
      <w:r>
        <w:tab/>
        <w:t xml:space="preserve">I go to the market, both walking using my arms other than quickly, and </w:t>
      </w:r>
    </w:p>
    <w:p w:rsidR="00B72047" w:rsidRDefault="00B72047">
      <w:pPr>
        <w:pStyle w:val="examplescaled"/>
        <w:ind w:firstLine="576"/>
      </w:pPr>
      <w:r>
        <w:t>also slowly.</w:t>
      </w:r>
    </w:p>
    <w:p w:rsidR="00B72047" w:rsidRDefault="00B72047">
      <w:pPr>
        <w:pStyle w:val="examplescaledpre"/>
      </w:pPr>
      <w:r>
        <w:rPr>
          <w:rStyle w:val="htmlcodes"/>
        </w:rPr>
        <w:t>&lt;a name=e12d9&gt;</w:t>
      </w:r>
      <w:r>
        <w:t>12.9)</w:t>
      </w:r>
      <w:r>
        <w:tab/>
        <w:t>mi na'e ke sutra cadzu be fi le birka [be'o] ke'e je masno klama le zarci</w:t>
      </w:r>
    </w:p>
    <w:p w:rsidR="00B72047" w:rsidRDefault="00B72047">
      <w:pPr>
        <w:pStyle w:val="examplescaled"/>
      </w:pPr>
      <w:r>
        <w:tab/>
        <w:t>I (non-(quickly (walking using the arms)) and slowly) go-to the market.</w:t>
      </w:r>
    </w:p>
    <w:p w:rsidR="00B72047" w:rsidRDefault="00B72047">
      <w:pPr>
        <w:pStyle w:val="examplescaled"/>
      </w:pPr>
      <w:r>
        <w:tab/>
        <w:t xml:space="preserve">I go to the market, both other than quickly walking using my arms, and </w:t>
      </w:r>
    </w:p>
    <w:p w:rsidR="00B72047" w:rsidRDefault="00B72047">
      <w:pPr>
        <w:pStyle w:val="examplescaled"/>
        <w:ind w:firstLine="576"/>
      </w:pPr>
      <w:r>
        <w:t>also slowly.</w:t>
      </w:r>
    </w:p>
    <w:p w:rsidR="00B72047" w:rsidRDefault="00B72047">
      <w:pPr>
        <w:pStyle w:val="resumedafterexample"/>
      </w:pPr>
      <w:r>
        <w:rPr>
          <w:rStyle w:val="htmlcodes"/>
        </w:rPr>
        <w:t>&lt;/pre&gt;&lt;p&gt;</w:t>
      </w:r>
      <w:r>
        <w:t xml:space="preserve">The difference arises because the “na'e” in </w:t>
      </w:r>
      <w:r>
        <w:rPr>
          <w:rStyle w:val="htmlcodes"/>
        </w:rPr>
        <w:t>&lt;a href=#e12d9&gt;</w:t>
      </w:r>
      <w:r>
        <w:t xml:space="preserve">Example 12.9 </w:t>
      </w:r>
      <w:r>
        <w:rPr>
          <w:rStyle w:val="htmlcodes"/>
        </w:rPr>
        <w:t>&lt;/a&gt;</w:t>
      </w:r>
      <w:r>
        <w:t>negates the</w:t>
      </w:r>
      <w:r>
        <w:rPr>
          <w:rStyle w:val="deletedparamark"/>
        </w:rPr>
        <w:t xml:space="preserve"> </w:t>
      </w:r>
      <w:r>
        <w:t>whole construc</w:t>
      </w:r>
      <w:r>
        <w:softHyphen/>
        <w:t xml:space="preserve">tion from “ke” to “ke'e”, whereas in </w:t>
      </w:r>
      <w:r>
        <w:rPr>
          <w:rStyle w:val="htmlcodes"/>
        </w:rPr>
        <w:t>&lt;a href=#e12d8&gt;</w:t>
      </w:r>
      <w:r>
        <w:t xml:space="preserve">Example 12.8 </w:t>
      </w:r>
      <w:r>
        <w:rPr>
          <w:rStyle w:val="htmlcodes"/>
        </w:rPr>
        <w:t>&lt;/a&gt;</w:t>
      </w:r>
      <w:r>
        <w:t>it negates</w:t>
      </w:r>
      <w:r>
        <w:rPr>
          <w:rStyle w:val="deletedparamark"/>
        </w:rPr>
        <w:t xml:space="preserve"> “</w:t>
      </w:r>
      <w:r>
        <w:t>sutra” alone.</w:t>
      </w:r>
    </w:p>
    <w:p w:rsidR="00B72047" w:rsidRDefault="00B72047">
      <w:pPr>
        <w:rPr>
          <w:rStyle w:val="htmlparacode"/>
        </w:rPr>
      </w:pPr>
      <w:r>
        <w:rPr>
          <w:rStyle w:val="htmlparacode"/>
        </w:rPr>
        <w:t>&lt;p&gt;</w:t>
      </w:r>
    </w:p>
    <w:p w:rsidR="00B72047" w:rsidRDefault="00B72047">
      <w:pPr>
        <w:pStyle w:val="normalparagraph"/>
      </w:pPr>
      <w:r>
        <w:rPr>
          <w:rStyle w:val="indexentry"/>
        </w:rPr>
        <w:t>&lt;cx "omitting terminators, perils of"&gt;</w:t>
      </w:r>
      <w:r>
        <w:rPr>
          <w:rStyle w:val="indexentry"/>
        </w:rPr>
        <w:fldChar w:fldCharType="begin"/>
      </w:r>
      <w:r>
        <w:instrText>xe "</w:instrText>
      </w:r>
      <w:r>
        <w:rPr>
          <w:rStyle w:val="xeentry"/>
        </w:rPr>
        <w:instrText>omitting terminators: perils of</w:instrText>
      </w:r>
      <w:r>
        <w:instrText>"</w:instrText>
      </w:r>
      <w:r>
        <w:rPr>
          <w:rStyle w:val="indexentry"/>
        </w:rPr>
        <w:fldChar w:fldCharType="end"/>
      </w:r>
      <w:r>
        <w:rPr>
          <w:rStyle w:val="indexentry"/>
        </w:rPr>
        <w:t>&lt;cx "perils of omitting terminators"&gt;</w:t>
      </w:r>
      <w:r>
        <w:rPr>
          <w:rStyle w:val="indexentry"/>
        </w:rPr>
        <w:fldChar w:fldCharType="begin"/>
      </w:r>
      <w:r>
        <w:instrText>xe "</w:instrText>
      </w:r>
      <w:r>
        <w:rPr>
          <w:rStyle w:val="xeentry"/>
        </w:rPr>
        <w:instrText>perils of omitting terminators</w:instrText>
      </w:r>
      <w:r>
        <w:instrText>"</w:instrText>
      </w:r>
      <w:r>
        <w:rPr>
          <w:rStyle w:val="indexentry"/>
        </w:rPr>
        <w:fldChar w:fldCharType="end"/>
      </w:r>
      <w:r>
        <w:t>Beware of omitting terminators in these complex examples! If the explicit</w:t>
      </w:r>
      <w:r>
        <w:rPr>
          <w:rStyle w:val="deletedparamark"/>
        </w:rPr>
        <w:t xml:space="preserve"> “</w:t>
      </w:r>
      <w:r>
        <w:t xml:space="preserve">ke'e” is left out in </w:t>
      </w:r>
      <w:r>
        <w:rPr>
          <w:rStyle w:val="htmlcodes"/>
        </w:rPr>
        <w:t>&lt;a href=#e12d9&gt;</w:t>
      </w:r>
      <w:r>
        <w:t>Example 12.9</w:t>
      </w:r>
      <w:r>
        <w:rPr>
          <w:rStyle w:val="htmlcodes"/>
        </w:rPr>
        <w:t>&lt;/a&gt;</w:t>
      </w:r>
      <w:r>
        <w:t>, it is transformed into: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name=e12d10&gt;</w:t>
      </w:r>
      <w:r>
        <w:t>12.10)</w:t>
      </w:r>
      <w:r>
        <w:tab/>
        <w:t>mi na'e ke sutra cadzu be fi le birka be'o je masno klama [ke'e] le zarci</w:t>
      </w:r>
    </w:p>
    <w:p w:rsidR="00B72047" w:rsidRDefault="00B72047">
      <w:pPr>
        <w:pStyle w:val="examplescaled"/>
      </w:pPr>
      <w:r>
        <w:tab/>
        <w:t>I non-(quickly ((walking using the arms)) and slowly) go-to) the market.</w:t>
      </w:r>
    </w:p>
    <w:p w:rsidR="00B72047" w:rsidRDefault="00B72047">
      <w:pPr>
        <w:pStyle w:val="examplescaled"/>
      </w:pPr>
      <w:r>
        <w:tab/>
        <w:t xml:space="preserve">I do something other than quickly both going to the market walking </w:t>
      </w:r>
    </w:p>
    <w:p w:rsidR="00B72047" w:rsidRDefault="00B72047">
      <w:pPr>
        <w:pStyle w:val="examplescaled"/>
        <w:ind w:firstLine="576"/>
      </w:pPr>
      <w:r>
        <w:t>using my arms and slowly going to the market.</w:t>
      </w:r>
    </w:p>
    <w:p w:rsidR="00B72047" w:rsidRDefault="00B72047">
      <w:pPr>
        <w:pStyle w:val="resumedafterexample"/>
        <w:spacing w:before="0"/>
      </w:pPr>
      <w:r>
        <w:rPr>
          <w:rStyle w:val="htmlcodes"/>
          <w:vanish w:val="0"/>
        </w:rPr>
        <w:br w:type="page"/>
      </w:r>
      <w:r>
        <w:rPr>
          <w:rStyle w:val="htmlcodes"/>
        </w:rPr>
        <w:t>&lt;/pre&gt;&lt;p&gt;</w:t>
      </w:r>
      <w:r>
        <w:t>And if both “ke'e” and “be'o” are omitted, the results are even sillier: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name=e12d11&gt;</w:t>
      </w:r>
      <w:r>
        <w:t>12.11)</w:t>
      </w:r>
      <w:r>
        <w:tab/>
        <w:t>mi na'e ke sutra cadzu be fi le birka je masno klama [be’o] [ke'e] le zarci</w:t>
      </w:r>
    </w:p>
    <w:p w:rsidR="00B72047" w:rsidRDefault="00B72047">
      <w:pPr>
        <w:pStyle w:val="examplescaled"/>
      </w:pPr>
      <w:r>
        <w:tab/>
        <w:t>I non-(quickly walk on my (arm-type and slow) goers) on the market.</w:t>
      </w:r>
    </w:p>
    <w:p w:rsidR="00B72047" w:rsidRDefault="00B72047">
      <w:pPr>
        <w:pStyle w:val="examplescaled"/>
      </w:pPr>
      <w:r>
        <w:tab/>
        <w:t xml:space="preserve">I do something other than quickly walking using the goers, both arm-type </w:t>
      </w:r>
    </w:p>
    <w:p w:rsidR="00B72047" w:rsidRDefault="00B72047">
      <w:pPr>
        <w:pStyle w:val="examplescaled"/>
        <w:ind w:firstLine="576"/>
      </w:pPr>
      <w:r>
        <w:t>and slow, relative-to the market.</w:t>
      </w:r>
    </w:p>
    <w:p w:rsidR="00B72047" w:rsidRDefault="00B72047">
      <w:pPr>
        <w:pStyle w:val="resumedafterexample"/>
      </w:pPr>
      <w:r>
        <w:rPr>
          <w:rStyle w:val="htmlcodes"/>
        </w:rPr>
        <w:t>&lt;/pre&gt;&lt;p&gt;</w:t>
      </w:r>
      <w:r>
        <w:t xml:space="preserve">In </w:t>
      </w:r>
      <w:r>
        <w:rPr>
          <w:rStyle w:val="htmlcodes"/>
        </w:rPr>
        <w:t>&lt;a href=#e12d11&gt;</w:t>
      </w:r>
      <w:r>
        <w:t>Example 12.11</w:t>
      </w:r>
      <w:r>
        <w:rPr>
          <w:rStyle w:val="htmlcodes"/>
        </w:rPr>
        <w:t>&lt;/a&gt;</w:t>
      </w:r>
      <w:r>
        <w:t>, everything after “be” is a linked sumti, so the place</w:t>
      </w:r>
      <w:r>
        <w:rPr>
          <w:rStyle w:val="deletedparamark"/>
        </w:rPr>
        <w:t xml:space="preserve"> </w:t>
      </w:r>
      <w:r>
        <w:t>structure is that of “cadzu”, whose x2 place is the surface walked upon.</w:t>
      </w:r>
      <w:r>
        <w:rPr>
          <w:rStyle w:val="deletedparamark"/>
        </w:rPr>
        <w:t xml:space="preserve"> </w:t>
      </w:r>
      <w:r>
        <w:t>It is less than clear what an “arm-type goer” might be. Further</w:t>
      </w:r>
      <w:r>
        <w:softHyphen/>
        <w:t>more, since</w:t>
      </w:r>
      <w:r>
        <w:rPr>
          <w:rStyle w:val="deletedparamark"/>
        </w:rPr>
        <w:t xml:space="preserve"> </w:t>
      </w:r>
      <w:r>
        <w:t>the x3 place has been occupied by the linked sumti, the “le zarci” following</w:t>
      </w:r>
      <w:r>
        <w:rPr>
          <w:rStyle w:val="deletedparamark"/>
        </w:rPr>
        <w:t xml:space="preserve"> </w:t>
      </w:r>
      <w:r>
        <w:t>the selbri falls into the nonexistent x4 place of “cadzu”. As a result, the</w:t>
      </w:r>
      <w:r>
        <w:rPr>
          <w:rStyle w:val="deletedparamark"/>
        </w:rPr>
        <w:t xml:space="preserve"> </w:t>
      </w:r>
      <w:r>
        <w:t>whole example, though grammatical, is com</w:t>
      </w:r>
      <w:r>
        <w:softHyphen/>
        <w:t>plete nonsense. (The bracketed</w:t>
      </w:r>
      <w:r>
        <w:rPr>
          <w:rStyle w:val="deletedparamark"/>
        </w:rPr>
        <w:t xml:space="preserve"> </w:t>
      </w:r>
      <w:r>
        <w:t>Lojban words appear where a fluent Lojbanist would understand them to be</w:t>
      </w:r>
      <w:r>
        <w:rPr>
          <w:rStyle w:val="deletedparamark"/>
        </w:rPr>
        <w:t xml:space="preserve"> </w:t>
      </w:r>
      <w:r>
        <w:t>implied.)</w:t>
      </w:r>
    </w:p>
    <w:p w:rsidR="00B72047" w:rsidRDefault="00B72047">
      <w:pPr>
        <w:rPr>
          <w:rStyle w:val="htmlparacode"/>
        </w:rPr>
      </w:pPr>
      <w:r>
        <w:rPr>
          <w:rStyle w:val="htmlparacode"/>
        </w:rPr>
        <w:t>&lt;p&gt;</w:t>
      </w:r>
    </w:p>
    <w:p w:rsidR="00B72047" w:rsidRDefault="00B72047">
      <w:pPr>
        <w:pStyle w:val="normalparagraph"/>
      </w:pPr>
      <w:r>
        <w:rPr>
          <w:rStyle w:val="indexentry"/>
        </w:rPr>
        <w:t>&lt;cx "na'e, before gu'e"&gt;</w:t>
      </w:r>
      <w:r>
        <w:rPr>
          <w:rStyle w:val="indexentry"/>
        </w:rPr>
        <w:fldChar w:fldCharType="begin"/>
      </w:r>
      <w:r>
        <w:instrText>xe "</w:instrText>
      </w:r>
      <w:r>
        <w:rPr>
          <w:rStyle w:val="xeentry"/>
        </w:rPr>
        <w:instrText>na'e: before gu'e</w:instrText>
      </w:r>
      <w:r>
        <w:instrText>"</w:instrText>
      </w:r>
      <w:r>
        <w:rPr>
          <w:rStyle w:val="indexentry"/>
        </w:rPr>
        <w:fldChar w:fldCharType="end"/>
      </w:r>
      <w:r>
        <w:t>Finally, it is also possible to place “na'e” before a “gu'e </w:t>
      </w:r>
      <w:r>
        <w:rPr>
          <w:rStyle w:val="htmlcodes"/>
        </w:rPr>
        <w:t>&lt;dots&gt;</w:t>
      </w:r>
      <w:r>
        <w:t>…</w:t>
      </w:r>
      <w:r>
        <w:rPr>
          <w:rStyle w:val="htmlcodes"/>
        </w:rPr>
        <w:t>&lt;/dots&gt;</w:t>
      </w:r>
      <w:r>
        <w:t>gi”</w:t>
      </w:r>
      <w:r>
        <w:rPr>
          <w:rStyle w:val="deletedparamark"/>
        </w:rPr>
        <w:t xml:space="preserve"> </w:t>
      </w:r>
      <w:r>
        <w:t>logically con</w:t>
      </w:r>
      <w:r>
        <w:softHyphen/>
        <w:t>nected tanru construction. The meaning of this usage has not</w:t>
      </w:r>
      <w:r>
        <w:rPr>
          <w:rStyle w:val="deletedparamark"/>
        </w:rPr>
        <w:t xml:space="preserve"> </w:t>
      </w:r>
      <w:r>
        <w:t>yet been firmly estab</w:t>
      </w:r>
      <w:r>
        <w:softHyphen/>
        <w:t>lished.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218" w:name="_Toc395691529"/>
      <w:bookmarkStart w:id="219" w:name="_Toc398970500"/>
      <w:r>
        <w:rPr>
          <w:rStyle w:val="Heading3Text"/>
        </w:rPr>
        <w:t>Tenses and bridi negation</w:t>
      </w:r>
      <w:bookmarkEnd w:id="218"/>
      <w:bookmarkEnd w:id="219"/>
      <w:r>
        <w:rPr>
          <w:rStyle w:val="htmlcodes"/>
        </w:rPr>
        <w:t>&lt;/h3&gt;</w:t>
      </w:r>
    </w:p>
    <w:p w:rsidR="00B72047" w:rsidRDefault="00B72047">
      <w:pPr>
        <w:rPr>
          <w:rStyle w:val="htmlparacode"/>
        </w:rPr>
      </w:pPr>
      <w:r>
        <w:rPr>
          <w:rStyle w:val="htmlparacode"/>
        </w:rPr>
        <w:t>&lt;p&gt;</w:t>
      </w:r>
    </w:p>
    <w:p w:rsidR="00B72047" w:rsidRDefault="00B72047">
      <w:pPr>
        <w:pStyle w:val="normalparagraph"/>
      </w:pPr>
      <w:r>
        <w:t>A bridi can have cmavo associated with it which specify the time,</w:t>
      </w:r>
      <w:r>
        <w:rPr>
          <w:rStyle w:val="deletedparamark"/>
        </w:rPr>
        <w:t xml:space="preserve"> </w:t>
      </w:r>
      <w:r>
        <w:t>place, or mode of action. For example,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mi pu klama le zarci</w:t>
      </w:r>
    </w:p>
    <w:p w:rsidR="00B72047" w:rsidRDefault="00B72047">
      <w:pPr>
        <w:pStyle w:val="examplescaled"/>
      </w:pPr>
      <w:r>
        <w:tab/>
        <w:t>I [past] go to-the market.</w:t>
      </w:r>
    </w:p>
    <w:p w:rsidR="00B72047" w:rsidRDefault="00B72047">
      <w:pPr>
        <w:pStyle w:val="examplescaled"/>
      </w:pPr>
      <w:r>
        <w:tab/>
        <w:t>I went to the market.</w:t>
      </w:r>
    </w:p>
    <w:p w:rsidR="00B72047" w:rsidRDefault="00B72047">
      <w:pPr>
        <w:pStyle w:val="resumedafterexample"/>
      </w:pPr>
      <w:r>
        <w:rPr>
          <w:rStyle w:val="htmlcodes"/>
        </w:rPr>
        <w:t>&lt;/pre&gt;</w:t>
      </w:r>
      <w:r>
        <w:t>the cmavo “pu” specifies that the action of the speaker going to the market</w:t>
      </w:r>
      <w:r>
        <w:rPr>
          <w:rStyle w:val="deletedparamark"/>
        </w:rPr>
        <w:t xml:space="preserve"> </w:t>
      </w:r>
      <w:r>
        <w:t xml:space="preserve">takes place in the past. Tenses are explained in full detail in </w:t>
      </w:r>
      <w:r>
        <w:rPr>
          <w:rStyle w:val="htmlcodes"/>
        </w:rPr>
        <w:t>&lt;a href=chap10.html&gt;</w:t>
      </w:r>
      <w:r>
        <w:t>Chapter 10</w:t>
      </w:r>
      <w:r>
        <w:rPr>
          <w:rStyle w:val="htmlcodes"/>
        </w:rPr>
        <w:t>&lt;/a&gt;</w:t>
      </w:r>
      <w:r>
        <w:t>.</w:t>
      </w:r>
      <w:r>
        <w:rPr>
          <w:rStyle w:val="deletedparamark"/>
        </w:rPr>
        <w:t xml:space="preserve"> </w:t>
      </w:r>
      <w:r>
        <w:t>Tense is semantically a pro</w:t>
      </w:r>
      <w:r>
        <w:t>p</w:t>
      </w:r>
      <w:r>
        <w:softHyphen/>
        <w:t>erty of the entire bridi; how</w:t>
      </w:r>
      <w:r>
        <w:softHyphen/>
        <w:t>ever, the usual</w:t>
      </w:r>
      <w:r>
        <w:rPr>
          <w:rStyle w:val="deletedparamark"/>
        </w:rPr>
        <w:t xml:space="preserve"> </w:t>
      </w:r>
      <w:r>
        <w:t>syntax for tenses attaches them at the front of the selbri, as in</w:t>
      </w:r>
      <w:r>
        <w:rPr>
          <w:rStyle w:val="deletedparamark"/>
        </w:rPr>
        <w:t xml:space="preserve"> </w:t>
      </w:r>
      <w:r>
        <w:rPr>
          <w:rStyle w:val="htmlcodes"/>
        </w:rPr>
        <w:t>&lt;a href=#e13d1&gt;</w:t>
      </w:r>
      <w:r>
        <w:t>Example 13.1</w:t>
      </w:r>
      <w:r>
        <w:rPr>
          <w:rStyle w:val="htmlcodes"/>
        </w:rPr>
        <w:t>&lt;/a&gt;</w:t>
      </w:r>
      <w:r>
        <w:t>. There are alternative ways of expressing tense information as</w:t>
      </w:r>
      <w:r>
        <w:rPr>
          <w:rStyle w:val="deletedparamark"/>
        </w:rPr>
        <w:t xml:space="preserve"> </w:t>
      </w:r>
      <w:r>
        <w:t xml:space="preserve">well. Modals, which are explained in </w:t>
      </w:r>
      <w:r>
        <w:rPr>
          <w:rStyle w:val="htmlcodes"/>
        </w:rPr>
        <w:t>&lt;a href=chap9.html&gt;</w:t>
      </w:r>
      <w:r>
        <w:t>Chapter 9</w:t>
      </w:r>
      <w:r>
        <w:rPr>
          <w:rStyle w:val="htmlcodes"/>
        </w:rPr>
        <w:t>&lt;/a&gt;</w:t>
      </w:r>
      <w:r>
        <w:t>, behave in the same way</w:t>
      </w:r>
      <w:r>
        <w:rPr>
          <w:rStyle w:val="deletedparamark"/>
        </w:rPr>
        <w:t xml:space="preserve"> </w:t>
      </w:r>
      <w:r>
        <w:t>as tenses.</w:t>
      </w:r>
    </w:p>
    <w:p w:rsidR="00B72047" w:rsidRDefault="00B72047">
      <w:pPr>
        <w:rPr>
          <w:rStyle w:val="htmlparacode"/>
        </w:rPr>
      </w:pPr>
      <w:r>
        <w:rPr>
          <w:rStyle w:val="htmlparacode"/>
        </w:rPr>
        <w:t>&lt;p&gt;</w:t>
      </w:r>
    </w:p>
    <w:p w:rsidR="00B72047" w:rsidRDefault="00B72047">
      <w:pPr>
        <w:pStyle w:val="normalparagraph"/>
      </w:pPr>
      <w:r>
        <w:t>Similarly, a bridi may have the particle “na” (of selma'o NA) attached</w:t>
      </w:r>
      <w:r>
        <w:rPr>
          <w:rStyle w:val="deletedparamark"/>
        </w:rPr>
        <w:t xml:space="preserve"> </w:t>
      </w:r>
      <w:r>
        <w:t>to the begi</w:t>
      </w:r>
      <w:r>
        <w:t>n</w:t>
      </w:r>
      <w:r>
        <w:softHyphen/>
        <w:t>ning of the selbri to negate the bridi. A negated bridi</w:t>
      </w:r>
      <w:r>
        <w:rPr>
          <w:rStyle w:val="deletedparamark"/>
        </w:rPr>
        <w:t xml:space="preserve"> </w:t>
      </w:r>
      <w:r>
        <w:t>expresses what is false with</w:t>
      </w:r>
      <w:r>
        <w:softHyphen/>
        <w:t>out sa</w:t>
      </w:r>
      <w:r>
        <w:t>y</w:t>
      </w:r>
      <w:r>
        <w:softHyphen/>
        <w:t>ing anything about what is true.</w:t>
      </w:r>
      <w:r>
        <w:rPr>
          <w:rStyle w:val="deletedparamark"/>
        </w:rPr>
        <w:t xml:space="preserve"> </w:t>
      </w:r>
      <w:r>
        <w:t>Do not confuse this usage with the scalar nega</w:t>
      </w:r>
      <w:r>
        <w:softHyphen/>
        <w:t xml:space="preserve">tion of </w:t>
      </w:r>
      <w:r>
        <w:rPr>
          <w:rStyle w:val="htmlcodes"/>
        </w:rPr>
        <w:t>&lt;a href=#s12&gt;</w:t>
      </w:r>
      <w:r>
        <w:t>Section 12</w:t>
      </w:r>
      <w:r>
        <w:rPr>
          <w:rStyle w:val="htmlcodes"/>
        </w:rPr>
        <w:t>&lt;/a&gt;</w:t>
      </w:r>
      <w:r>
        <w:t>. For</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la djonz. na pamoi cusku</w:t>
      </w:r>
    </w:p>
    <w:p w:rsidR="00B72047" w:rsidRDefault="00B72047">
      <w:pPr>
        <w:pStyle w:val="examplescaled"/>
      </w:pPr>
      <w:r>
        <w:tab/>
        <w:t>Jones (Not!) is-the-first speaker</w:t>
      </w:r>
    </w:p>
    <w:p w:rsidR="00B72047" w:rsidRDefault="00B72047">
      <w:pPr>
        <w:pStyle w:val="examplescaled"/>
      </w:pPr>
      <w:r>
        <w:tab/>
        <w:t>It is not true that Jones is the first speaker.</w:t>
      </w:r>
    </w:p>
    <w:p w:rsidR="00B72047" w:rsidRDefault="00B72047">
      <w:pPr>
        <w:pStyle w:val="examplescaled"/>
      </w:pPr>
      <w:r>
        <w:tab/>
        <w:t>Jones isn't the first speaker.</w:t>
      </w:r>
    </w:p>
    <w:p w:rsidR="00B72047" w:rsidRDefault="00B72047">
      <w:pPr>
        <w:pStyle w:val="resumedafterexample"/>
      </w:pPr>
      <w:r>
        <w:rPr>
          <w:rStyle w:val="htmlcodes"/>
        </w:rPr>
        <w:t>&lt;/pre&gt;&lt;p&gt;</w:t>
      </w:r>
      <w:r>
        <w:t xml:space="preserve">Jones may be the second speaker, or not a speaker at all; </w:t>
      </w:r>
      <w:r>
        <w:rPr>
          <w:rStyle w:val="htmlcodes"/>
        </w:rPr>
        <w:t>&lt;a href=#e13d2&gt;</w:t>
      </w:r>
      <w:r>
        <w:t xml:space="preserve">Example 13.2 </w:t>
      </w:r>
      <w:r>
        <w:rPr>
          <w:rStyle w:val="htmlcodes"/>
        </w:rPr>
        <w:t>&lt;/a&gt;</w:t>
      </w:r>
      <w:r>
        <w:t>doesn't say. There are other ways of expressing bridi negation as well;</w:t>
      </w:r>
      <w:r>
        <w:rPr>
          <w:rStyle w:val="deletedparamark"/>
        </w:rPr>
        <w:t xml:space="preserve"> </w:t>
      </w:r>
      <w:r>
        <w:t xml:space="preserve">the topic is explained fully in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"tense, relative order with bridi negation"&gt;</w:t>
      </w:r>
      <w:r>
        <w:rPr>
          <w:rStyle w:val="indexentry"/>
        </w:rPr>
        <w:fldChar w:fldCharType="begin"/>
      </w:r>
      <w:r>
        <w:instrText>xe "</w:instrText>
      </w:r>
      <w:r>
        <w:rPr>
          <w:rStyle w:val="xeentry"/>
        </w:rPr>
        <w:instrText>tense: relative order with bridi negation</w:instrText>
      </w:r>
      <w:r>
        <w:instrText>"</w:instrText>
      </w:r>
      <w:r>
        <w:rPr>
          <w:rStyle w:val="indexentry"/>
        </w:rPr>
        <w:fldChar w:fldCharType="end"/>
      </w:r>
      <w:r>
        <w:rPr>
          <w:rStyle w:val="indexentry"/>
        </w:rPr>
        <w:t>&lt;cx "bridi negation, relative order with tense"&gt;</w:t>
      </w:r>
      <w:r>
        <w:rPr>
          <w:rStyle w:val="indexentry"/>
        </w:rPr>
        <w:fldChar w:fldCharType="begin"/>
      </w:r>
      <w:r>
        <w:instrText>xe "</w:instrText>
      </w:r>
      <w:r>
        <w:rPr>
          <w:rStyle w:val="xeentry"/>
        </w:rPr>
        <w:instrText>bridi negation: relative order with tense</w:instrText>
      </w:r>
      <w:r>
        <w:instrText>"</w:instrText>
      </w:r>
      <w:r>
        <w:rPr>
          <w:rStyle w:val="indexentry"/>
        </w:rPr>
        <w:fldChar w:fldCharType="end"/>
      </w:r>
      <w:r>
        <w:t>Various combinations of tense and bridi negation cmavo are permitted.</w:t>
      </w:r>
      <w:r>
        <w:rPr>
          <w:rStyle w:val="deletedparamark"/>
        </w:rPr>
        <w:t xml:space="preserve"> </w:t>
      </w:r>
      <w:r>
        <w:t>If both are expressed, either order is permissible with no change in</w:t>
      </w:r>
      <w:r>
        <w:rPr>
          <w:rStyle w:val="deletedparamark"/>
        </w:rPr>
        <w:t xml:space="preserve"> </w:t>
      </w:r>
      <w:r>
        <w:t>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mi na pu klama le zarci</w:t>
      </w:r>
    </w:p>
    <w:p w:rsidR="00B72047" w:rsidRDefault="00B72047">
      <w:pPr>
        <w:pStyle w:val="examplescaled"/>
      </w:pPr>
      <w:r>
        <w:tab/>
        <w:t>mi pu na klama le zarci</w:t>
      </w:r>
    </w:p>
    <w:p w:rsidR="00B72047" w:rsidRDefault="00B72047">
      <w:pPr>
        <w:pStyle w:val="examplescaled"/>
      </w:pPr>
      <w:r>
        <w:tab/>
        <w:t>It is false that I went to the market.</w:t>
      </w:r>
    </w:p>
    <w:p w:rsidR="00B72047" w:rsidRDefault="00B72047">
      <w:pPr>
        <w:pStyle w:val="examplescaled"/>
      </w:pPr>
      <w:r>
        <w:tab/>
        <w:t>I didn't go to the market.</w:t>
      </w:r>
    </w:p>
    <w:p w:rsidR="00B72047" w:rsidRDefault="00B72047">
      <w:pPr>
        <w:pStyle w:val="normalafterexample"/>
        <w:spacing w:before="0"/>
      </w:pPr>
      <w:r>
        <w:rPr>
          <w:rStyle w:val="htmlcodes"/>
          <w:vanish w:val="0"/>
        </w:rPr>
        <w:br w:type="page"/>
      </w:r>
      <w:r>
        <w:rPr>
          <w:rStyle w:val="htmlcodes"/>
        </w:rPr>
        <w:t>&lt;/pre&gt;</w:t>
      </w:r>
      <w:r>
        <w:rPr>
          <w:rStyle w:val="indexentry"/>
        </w:rPr>
        <w:t>&lt;cx "bridi negation, multiple"&gt;</w:t>
      </w:r>
      <w:r>
        <w:rPr>
          <w:rStyle w:val="indexentry"/>
        </w:rPr>
        <w:fldChar w:fldCharType="begin"/>
      </w:r>
      <w:r>
        <w:instrText>xe "</w:instrText>
      </w:r>
      <w:r>
        <w:rPr>
          <w:rStyle w:val="xeentry"/>
        </w:rPr>
        <w:instrText>bridi negation: multiple</w:instrText>
      </w:r>
      <w:r>
        <w:instrText>"</w:instrText>
      </w:r>
      <w:r>
        <w:rPr>
          <w:rStyle w:val="indexentry"/>
        </w:rPr>
        <w:fldChar w:fldCharType="end"/>
      </w: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t>It is also possible to have more than one “na”, in which case pairs of</w:t>
      </w:r>
      <w:r>
        <w:rPr>
          <w:rStyle w:val="deletedparamark"/>
        </w:rPr>
        <w:t xml:space="preserve"> “</w:t>
      </w:r>
      <w:r>
        <w:t>na” cmavo cancel out: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name=e13d4&gt;</w:t>
      </w:r>
      <w:r>
        <w:t>13.4)</w:t>
      </w:r>
      <w:r>
        <w:tab/>
        <w:t>mi na na klama le zarci</w:t>
      </w:r>
    </w:p>
    <w:p w:rsidR="00B72047" w:rsidRDefault="00B72047">
      <w:pPr>
        <w:pStyle w:val="examplescaled"/>
      </w:pPr>
      <w:r>
        <w:tab/>
        <w:t>It is false that it is false that I go to the market.</w:t>
      </w:r>
    </w:p>
    <w:p w:rsidR="00B72047" w:rsidRDefault="00B72047">
      <w:pPr>
        <w:pStyle w:val="examplescaled"/>
      </w:pPr>
      <w:r>
        <w:tab/>
        <w:t>I go to the market.</w:t>
      </w:r>
    </w:p>
    <w:p w:rsidR="00B72047" w:rsidRDefault="00B72047">
      <w:pPr>
        <w:pStyle w:val="normalafterexample"/>
      </w:pPr>
      <w:r>
        <w:rPr>
          <w:rStyle w:val="htmlcodes"/>
        </w:rPr>
        <w:t>&lt;/pre&gt;</w:t>
      </w:r>
      <w:r>
        <w:rPr>
          <w:rStyle w:val="indexentry"/>
        </w:rPr>
        <w:t>&lt;cx "na and tense, multiple"&gt;</w:t>
      </w:r>
      <w:r>
        <w:rPr>
          <w:rStyle w:val="indexentry"/>
        </w:rPr>
        <w:fldChar w:fldCharType="begin"/>
      </w:r>
      <w:r>
        <w:instrText>xe "</w:instrText>
      </w:r>
      <w:r>
        <w:rPr>
          <w:rStyle w:val="xeentry"/>
        </w:rPr>
        <w:instrText>na and tense: multiple</w:instrText>
      </w:r>
      <w:r>
        <w:instrText>"</w:instrText>
      </w:r>
      <w:r>
        <w:rPr>
          <w:rStyle w:val="indexentry"/>
        </w:rPr>
        <w:fldChar w:fldCharType="end"/>
      </w:r>
      <w:r>
        <w:rPr>
          <w:rStyle w:val="indexentry"/>
        </w:rPr>
        <w:t>&lt;cx "tense and na, multiple"&gt;</w:t>
      </w:r>
      <w:r>
        <w:rPr>
          <w:rStyle w:val="indexentry"/>
        </w:rPr>
        <w:fldChar w:fldCharType="begin"/>
      </w:r>
      <w:r>
        <w:instrText>xe "</w:instrText>
      </w:r>
      <w:r>
        <w:rPr>
          <w:rStyle w:val="xeentry"/>
        </w:rPr>
        <w:instrText>tense and na: multiple</w:instrText>
      </w:r>
      <w:r>
        <w:instrText>"</w:instrText>
      </w:r>
      <w:r>
        <w:rPr>
          <w:rStyle w:val="indexentry"/>
        </w:rPr>
        <w:fldChar w:fldCharType="end"/>
      </w:r>
      <w:r>
        <w:t>It is even possible, though somewhat pointless, to have mul</w:t>
      </w:r>
      <w:r>
        <w:softHyphen/>
        <w:t>tiple “na”</w:t>
      </w:r>
      <w:r>
        <w:rPr>
          <w:rStyle w:val="deletedparamark"/>
        </w:rPr>
        <w:t xml:space="preserve"> </w:t>
      </w:r>
      <w:r>
        <w:t>cmavo and tense cmavo mixed together, subject to the limitation that</w:t>
      </w:r>
      <w:r>
        <w:rPr>
          <w:rStyle w:val="deletedparamark"/>
        </w:rPr>
        <w:t xml:space="preserve"> </w:t>
      </w:r>
      <w:r>
        <w:t>two adjacent tense cmavo will be understood as a compound tense, and must</w:t>
      </w:r>
      <w:r>
        <w:rPr>
          <w:rStyle w:val="deletedparamark"/>
        </w:rPr>
        <w:t xml:space="preserve"> </w:t>
      </w:r>
      <w:r>
        <w:t>fit the grammar of tenses as ex</w:t>
      </w:r>
      <w:r>
        <w:softHyphen/>
        <w:t xml:space="preserve">plained in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mi na pu na ca klama le zarci</w:t>
      </w:r>
    </w:p>
    <w:p w:rsidR="00B72047" w:rsidRDefault="00B72047">
      <w:pPr>
        <w:pStyle w:val="examplescaled"/>
      </w:pPr>
      <w:r>
        <w:tab/>
        <w:t>I [not] [past] [not] [present] go to-the market</w:t>
      </w:r>
    </w:p>
    <w:p w:rsidR="00B72047" w:rsidRDefault="00B72047">
      <w:pPr>
        <w:pStyle w:val="examplescaled"/>
      </w:pPr>
      <w:r>
        <w:tab/>
        <w:t>It is not the case that in the past it was not the case that in the present I</w:t>
      </w:r>
    </w:p>
    <w:p w:rsidR="00B72047" w:rsidRDefault="00B72047">
      <w:pPr>
        <w:pStyle w:val="examplescaled"/>
        <w:ind w:firstLine="576"/>
      </w:pPr>
      <w:r>
        <w:t>went to the market.</w:t>
      </w:r>
    </w:p>
    <w:p w:rsidR="00B72047" w:rsidRDefault="00B72047">
      <w:pPr>
        <w:pStyle w:val="examplescaled"/>
      </w:pPr>
      <w:r>
        <w:tab/>
        <w:t>I didn't not go to the market.</w:t>
      </w:r>
    </w:p>
    <w:p w:rsidR="00B72047" w:rsidRDefault="00B72047">
      <w:pPr>
        <w:pStyle w:val="examplescaled"/>
      </w:pPr>
      <w:r>
        <w:tab/>
        <w:t>I went to the market.</w:t>
      </w:r>
    </w:p>
    <w:p w:rsidR="00B72047" w:rsidRDefault="00B72047">
      <w:pPr>
        <w:pStyle w:val="normalafterexample"/>
      </w:pPr>
      <w:r>
        <w:rPr>
          <w:rStyle w:val="htmlcodes"/>
        </w:rPr>
        <w:t>&lt;/pre&gt;</w:t>
      </w:r>
      <w:r>
        <w:rPr>
          <w:rStyle w:val="indexentry"/>
        </w:rPr>
        <w:t>&lt;cx "tense cmavo, position relative to selbri"&gt;</w:t>
      </w:r>
      <w:r>
        <w:rPr>
          <w:rStyle w:val="indexentry"/>
        </w:rPr>
        <w:fldChar w:fldCharType="begin"/>
      </w:r>
      <w:r>
        <w:instrText>xe "</w:instrText>
      </w:r>
      <w:r>
        <w:rPr>
          <w:rStyle w:val="xeentry"/>
        </w:rPr>
        <w:instrText>tense cmavo: position relative to selbri</w:instrText>
      </w:r>
      <w:r>
        <w:instrText>"</w:instrText>
      </w:r>
      <w:r>
        <w:rPr>
          <w:rStyle w:val="indexentry"/>
        </w:rPr>
        <w:fldChar w:fldCharType="end"/>
      </w:r>
      <w:r>
        <w:rPr>
          <w:rStyle w:val="indexentry"/>
        </w:rPr>
        <w:t>&lt;cx "modal cmavo, position relative to selbri"&gt;</w:t>
      </w:r>
      <w:r>
        <w:rPr>
          <w:rStyle w:val="indexentry"/>
        </w:rPr>
        <w:fldChar w:fldCharType="begin"/>
      </w:r>
      <w:r>
        <w:instrText>xe "</w:instrText>
      </w:r>
      <w:r>
        <w:rPr>
          <w:rStyle w:val="xeentry"/>
        </w:rPr>
        <w:instrText>modal cmavo: position relative to selbri</w:instrText>
      </w:r>
      <w:r>
        <w:instrText>"</w:instrText>
      </w:r>
      <w:r>
        <w:rPr>
          <w:rStyle w:val="indexentry"/>
        </w:rPr>
        <w:fldChar w:fldCharType="end"/>
      </w:r>
      <w:r>
        <w:rPr>
          <w:rStyle w:val="indexentry"/>
        </w:rPr>
        <w:t>&lt;cx "negation cmavo, position relative to selbri"&gt;</w:t>
      </w:r>
      <w:r>
        <w:rPr>
          <w:rStyle w:val="indexentry"/>
        </w:rPr>
        <w:fldChar w:fldCharType="begin"/>
      </w:r>
      <w:r>
        <w:instrText>xe "</w:instrText>
      </w:r>
      <w:r>
        <w:rPr>
          <w:rStyle w:val="xeentry"/>
        </w:rPr>
        <w:instrText>negation cmavo: position relative to selbri</w:instrText>
      </w:r>
      <w:r>
        <w:instrText>"</w:instrText>
      </w:r>
      <w:r>
        <w:rPr>
          <w:rStyle w:val="indexentry"/>
        </w:rPr>
        <w:fldChar w:fldCharType="end"/>
      </w:r>
      <w:r>
        <w:t>Tense, modal, and negation cmavo can appear only at the beginning of</w:t>
      </w:r>
      <w:r>
        <w:rPr>
          <w:rStyle w:val="deletedparamark"/>
        </w:rPr>
        <w:t xml:space="preserve"> </w:t>
      </w:r>
      <w:r>
        <w:t>the sel</w:t>
      </w:r>
      <w:r>
        <w:softHyphen/>
        <w:t>bri. They cannot be embedded within it.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220" w:name="_Toc395691530"/>
      <w:bookmarkStart w:id="221" w:name="_Toc398970501"/>
      <w:r>
        <w:rPr>
          <w:rStyle w:val="Heading3Text"/>
        </w:rPr>
        <w:t>Some types of asymmetrical tanru</w:t>
      </w:r>
      <w:bookmarkEnd w:id="220"/>
      <w:bookmarkEnd w:id="22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"asymmetrical tanru"&gt;</w:t>
      </w:r>
      <w:r>
        <w:rPr>
          <w:rStyle w:val="indexentry"/>
        </w:rPr>
        <w:fldChar w:fldCharType="begin"/>
      </w:r>
      <w:r>
        <w:instrText>xe "</w:instrText>
      </w:r>
      <w:r>
        <w:rPr>
          <w:rStyle w:val="xeentry"/>
        </w:rPr>
        <w:instrText>asymmetrical tanru</w:instrText>
      </w:r>
      <w:r>
        <w:instrText>"</w:instrText>
      </w:r>
      <w:r>
        <w:rPr>
          <w:rStyle w:val="indexentry"/>
        </w:rPr>
        <w:fldChar w:fldCharType="end"/>
      </w:r>
      <w:r>
        <w:rPr>
          <w:rStyle w:val="indexentry"/>
        </w:rPr>
        <w:t>&lt;cx "tanru, asymmetrical"&gt;</w:t>
      </w:r>
      <w:r>
        <w:rPr>
          <w:rStyle w:val="indexentry"/>
        </w:rPr>
        <w:fldChar w:fldCharType="begin"/>
      </w:r>
      <w:r>
        <w:instrText>xe "</w:instrText>
      </w:r>
      <w:r>
        <w:rPr>
          <w:rStyle w:val="xeentry"/>
        </w:rPr>
        <w:instrText>tanru: asymmetrical</w:instrText>
      </w:r>
      <w:r>
        <w:instrText>"</w:instrText>
      </w:r>
      <w:r>
        <w:rPr>
          <w:rStyle w:val="indexentry"/>
        </w:rPr>
        <w:fldChar w:fldCharType="end"/>
      </w:r>
      <w:r>
        <w:t xml:space="preserve">This section and </w:t>
      </w:r>
      <w:r>
        <w:rPr>
          <w:rStyle w:val="htmlcodes"/>
        </w:rPr>
        <w:t>&lt;a href=#s15&gt;</w:t>
      </w:r>
      <w:r>
        <w:t xml:space="preserve">Section 15 </w:t>
      </w:r>
      <w:r>
        <w:rPr>
          <w:rStyle w:val="htmlcodes"/>
        </w:rPr>
        <w:t>&lt;/a&gt;</w:t>
      </w:r>
      <w:r>
        <w:t>contain some example tanru classified into</w:t>
      </w:r>
      <w:r>
        <w:rPr>
          <w:rStyle w:val="deletedparamark"/>
        </w:rPr>
        <w:t xml:space="preserve"> </w:t>
      </w:r>
      <w:r>
        <w:t>groups based on the type of relationship between the modifying seltau</w:t>
      </w:r>
      <w:r>
        <w:rPr>
          <w:rStyle w:val="deletedparamark"/>
        </w:rPr>
        <w:t xml:space="preserve"> </w:t>
      </w:r>
      <w:r>
        <w:t>and the modified tertau. All the examples are paral</w:t>
      </w:r>
      <w:r>
        <w:softHyphen/>
        <w:t>leled by compounds</w:t>
      </w:r>
      <w:r>
        <w:rPr>
          <w:rStyle w:val="deletedparamark"/>
        </w:rPr>
        <w:t xml:space="preserve"> </w:t>
      </w:r>
      <w:r>
        <w:t>actually observed in various natural lan</w:t>
      </w:r>
      <w:r>
        <w:softHyphen/>
        <w:t>guages. In the tables which</w:t>
      </w:r>
      <w:r>
        <w:rPr>
          <w:rStyle w:val="deletedparamark"/>
        </w:rPr>
        <w:t xml:space="preserve"> </w:t>
      </w:r>
      <w:r>
        <w:t>follow, each group is preceded by a brief explana</w:t>
      </w:r>
      <w:r>
        <w:softHyphen/>
        <w:t>tion of the relationship.</w:t>
      </w:r>
      <w:r>
        <w:rPr>
          <w:rStyle w:val="deletedparamark"/>
        </w:rPr>
        <w:t xml:space="preserve"> </w:t>
      </w:r>
      <w:r>
        <w:t>The tables themselves contain a tanru, a lit</w:t>
      </w:r>
      <w:r>
        <w:softHyphen/>
        <w:t>eral gloss, an indication of</w:t>
      </w:r>
      <w:r>
        <w:rPr>
          <w:rStyle w:val="deletedparamark"/>
        </w:rPr>
        <w:t xml:space="preserve"> </w:t>
      </w:r>
      <w:r>
        <w:t>the languages which exhibit a compound analogous to this tanru, and (for</w:t>
      </w:r>
      <w:r>
        <w:rPr>
          <w:rStyle w:val="deletedparamark"/>
        </w:rPr>
        <w:t xml:space="preserve"> </w:t>
      </w:r>
      <w:r>
        <w:t>those tanru with no English parallel) a translation.</w:t>
      </w:r>
    </w:p>
    <w:p w:rsidR="00B72047" w:rsidRDefault="00B72047">
      <w:pPr>
        <w:rPr>
          <w:rStyle w:val="htmlparacode"/>
        </w:rPr>
      </w:pPr>
      <w:r>
        <w:rPr>
          <w:rStyle w:val="htmlparacode"/>
        </w:rPr>
        <w:t>&lt;p&gt;</w:t>
      </w:r>
    </w:p>
    <w:p w:rsidR="00B72047" w:rsidRDefault="00B72047">
      <w:pPr>
        <w:pStyle w:val="normalparagraph"/>
      </w:pPr>
      <w:r>
        <w:rPr>
          <w:rStyle w:val="indexentry"/>
        </w:rPr>
        <w:t>&lt;cx "languages, abbreviations for"&gt;</w:t>
      </w:r>
      <w:r>
        <w:rPr>
          <w:rStyle w:val="indexentry"/>
        </w:rPr>
        <w:fldChar w:fldCharType="begin"/>
      </w:r>
      <w:r>
        <w:instrText>xe "</w:instrText>
      </w:r>
      <w:r>
        <w:rPr>
          <w:rStyle w:val="xeentry"/>
        </w:rPr>
        <w:instrText>languages: abbreviations for</w:instrText>
      </w:r>
      <w:r>
        <w:instrText>"</w:instrText>
      </w:r>
      <w:r>
        <w:rPr>
          <w:rStyle w:val="indexentry"/>
        </w:rPr>
        <w:fldChar w:fldCharType="end"/>
      </w:r>
      <w:r>
        <w:t>Here are the 3-letter abbreviations used for the various lan</w:t>
      </w:r>
      <w:r>
        <w:softHyphen/>
        <w:t>guages (it is</w:t>
      </w:r>
      <w:r>
        <w:rPr>
          <w:rStyle w:val="deletedparamark"/>
        </w:rPr>
        <w:t xml:space="preserve"> </w:t>
      </w:r>
      <w:r>
        <w:t>pre</w:t>
      </w:r>
      <w:r>
        <w:softHyphen/>
        <w:t>sumed to be obvious whether a compound is found in English or</w:t>
      </w:r>
      <w:r>
        <w:rPr>
          <w:rStyle w:val="deletedparamark"/>
        </w:rPr>
        <w:t xml:space="preserve"> </w:t>
      </w:r>
      <w:r>
        <w:t>not, so English is not explicitly noted):</w:t>
      </w:r>
    </w:p>
    <w:p w:rsidR="00B72047" w:rsidRDefault="00B72047">
      <w:pPr>
        <w:pStyle w:val="exampwidetabs"/>
        <w:rPr>
          <w:rStyle w:val="htmlparacode"/>
        </w:rPr>
      </w:pPr>
      <w:r>
        <w:rPr>
          <w:rStyle w:val="htmlparacode"/>
        </w:rPr>
        <w:t>&lt;p&gt;</w:t>
      </w:r>
    </w:p>
    <w:p w:rsidR="00B72047" w:rsidRDefault="00B72047">
      <w:pPr>
        <w:pStyle w:val="examplewtabspre"/>
      </w:pPr>
      <w:r>
        <w:rPr>
          <w:rStyle w:val="htmlcodes"/>
        </w:rPr>
        <w:t>&lt;dl compact&gt;&lt;dt&gt;&lt;dd&gt;</w:t>
      </w:r>
      <w:r>
        <w:tab/>
        <w:t>Aba = Abazin</w:t>
      </w:r>
      <w:r>
        <w:tab/>
      </w:r>
      <w:r>
        <w:tab/>
        <w:t>Kaz = Kazakh</w:t>
      </w:r>
    </w:p>
    <w:p w:rsidR="00B72047" w:rsidRDefault="00B72047">
      <w:pPr>
        <w:pStyle w:val="exampwidetabs"/>
      </w:pPr>
      <w:r>
        <w:tab/>
        <w:t>Chi = Chinese</w:t>
      </w:r>
      <w:r>
        <w:tab/>
      </w:r>
      <w:r>
        <w:tab/>
        <w:t>Kor = Korean</w:t>
      </w:r>
    </w:p>
    <w:p w:rsidR="00B72047" w:rsidRDefault="00B72047">
      <w:pPr>
        <w:pStyle w:val="exampwidetabs"/>
      </w:pPr>
      <w:r>
        <w:tab/>
        <w:t>Ewe = Ewe</w:t>
      </w:r>
      <w:r>
        <w:tab/>
      </w:r>
      <w:r>
        <w:tab/>
        <w:t>Mon = Mongolian</w:t>
      </w:r>
    </w:p>
    <w:p w:rsidR="00B72047" w:rsidRDefault="00B72047">
      <w:pPr>
        <w:pStyle w:val="exampwidetabs"/>
      </w:pPr>
      <w:r>
        <w:tab/>
        <w:t>Fin = Finnish</w:t>
      </w:r>
      <w:r>
        <w:tab/>
      </w:r>
      <w:r>
        <w:tab/>
        <w:t>Qab = Qabardian</w:t>
      </w:r>
    </w:p>
    <w:p w:rsidR="00B72047" w:rsidRDefault="00B72047">
      <w:pPr>
        <w:pStyle w:val="exampwidetabs"/>
      </w:pPr>
      <w:r>
        <w:tab/>
        <w:t>Geo = Georgian</w:t>
      </w:r>
      <w:r>
        <w:tab/>
      </w:r>
      <w:r>
        <w:tab/>
        <w:t>Que = Quechua</w:t>
      </w:r>
    </w:p>
    <w:p w:rsidR="00B72047" w:rsidRDefault="00B72047">
      <w:pPr>
        <w:pStyle w:val="exampwidetabs"/>
      </w:pPr>
      <w:r>
        <w:tab/>
        <w:t>Gua = Guarani</w:t>
      </w:r>
      <w:r>
        <w:tab/>
      </w:r>
      <w:r>
        <w:tab/>
        <w:t>Rus = Russian</w:t>
      </w:r>
    </w:p>
    <w:p w:rsidR="00B72047" w:rsidRDefault="00B72047">
      <w:pPr>
        <w:pStyle w:val="exampwidetabs"/>
      </w:pPr>
      <w:r>
        <w:tab/>
        <w:t>Hop = Hopi</w:t>
      </w:r>
      <w:r>
        <w:tab/>
      </w:r>
      <w:r>
        <w:tab/>
        <w:t>Skt = Sanskrit</w:t>
      </w:r>
    </w:p>
    <w:p w:rsidR="00B72047" w:rsidRDefault="00B72047">
      <w:pPr>
        <w:pStyle w:val="exampwidetabs"/>
      </w:pPr>
      <w:r>
        <w:tab/>
        <w:t>Hun = Hungarian</w:t>
      </w:r>
      <w:r>
        <w:tab/>
        <w:t>Swe = Swedish</w:t>
      </w:r>
    </w:p>
    <w:p w:rsidR="00B72047" w:rsidRDefault="00B72047">
      <w:pPr>
        <w:pStyle w:val="exampwidetabs"/>
      </w:pPr>
      <w:r>
        <w:tab/>
        <w:t>Imb = Imbabura Quechua</w:t>
      </w:r>
      <w:r>
        <w:tab/>
        <w:t>Tur = Turkish</w:t>
      </w:r>
    </w:p>
    <w:p w:rsidR="00B72047" w:rsidRDefault="00B72047">
      <w:pPr>
        <w:pStyle w:val="exampwidetabs"/>
      </w:pPr>
      <w:r>
        <w:tab/>
        <w:t>Kar = Karaitic</w:t>
      </w:r>
      <w:r>
        <w:tab/>
      </w:r>
      <w:r>
        <w:tab/>
        <w:t>Udm = Udmurt</w:t>
      </w:r>
      <w:r>
        <w:tab/>
      </w:r>
    </w:p>
    <w:p w:rsidR="00B72047" w:rsidRDefault="00B72047">
      <w:pPr>
        <w:pStyle w:val="resumedafterexample"/>
      </w:pPr>
      <w:r>
        <w:rPr>
          <w:rStyle w:val="htmlcodes"/>
        </w:rPr>
        <w:t>&lt;/dl&gt;&lt;p&gt;</w:t>
      </w:r>
      <w:r>
        <w:t>Any lujvo or fu'ivla used in a group are glossed at the end of that group.</w:t>
      </w:r>
    </w:p>
    <w:p w:rsidR="00B72047" w:rsidRDefault="00B72047">
      <w:pPr>
        <w:rPr>
          <w:rStyle w:val="htmlparacode"/>
        </w:rPr>
      </w:pPr>
      <w:r>
        <w:rPr>
          <w:rStyle w:val="htmlparacode"/>
        </w:rPr>
        <w:t>&lt;p&gt;</w:t>
      </w:r>
    </w:p>
    <w:p w:rsidR="00B72047" w:rsidRDefault="00B72047">
      <w:pPr>
        <w:pStyle w:val="normalparagraph"/>
      </w:pPr>
      <w:r>
        <w:rPr>
          <w:rStyle w:val="indexentry"/>
        </w:rPr>
        <w:t>&lt;cx "asymmetrical tanru, definition"&gt;</w:t>
      </w:r>
      <w:r>
        <w:rPr>
          <w:rStyle w:val="indexentry"/>
        </w:rPr>
        <w:fldChar w:fldCharType="begin"/>
      </w:r>
      <w:r>
        <w:instrText>xe "</w:instrText>
      </w:r>
      <w:r>
        <w:rPr>
          <w:rStyle w:val="xeentry"/>
        </w:rPr>
        <w:instrText>asymmetrical tanru: definition</w:instrText>
      </w:r>
      <w:r>
        <w:instrText>"</w:instrText>
      </w:r>
      <w:r>
        <w:rPr>
          <w:rStyle w:val="indexentry"/>
        </w:rPr>
        <w:fldChar w:fldCharType="end"/>
      </w:r>
      <w:r>
        <w:t>The tanru discussed in this section are asymmetrical tanru; that is, ones in</w:t>
      </w:r>
      <w:r>
        <w:rPr>
          <w:rStyle w:val="deletedparamark"/>
        </w:rPr>
        <w:t xml:space="preserve"> </w:t>
      </w:r>
      <w:r>
        <w:t>which the order of the terms is fundamental to the meaning of the tanru.</w:t>
      </w:r>
      <w:r>
        <w:rPr>
          <w:rStyle w:val="deletedparamark"/>
        </w:rPr>
        <w:t xml:space="preserve"> </w:t>
      </w:r>
      <w:r>
        <w:t>For example, “junla dadylsi”, or “clock pendu</w:t>
      </w:r>
      <w:r>
        <w:softHyphen/>
        <w:t>lum”, is the kind of pendulum</w:t>
      </w:r>
      <w:r>
        <w:rPr>
          <w:rStyle w:val="deletedparamark"/>
        </w:rPr>
        <w:t xml:space="preserve"> </w:t>
      </w:r>
      <w:r>
        <w:t>used in a clock, whereas “dadysli junla”, or “pendulum clock”, is the</w:t>
      </w:r>
      <w:r>
        <w:rPr>
          <w:rStyle w:val="deletedparamark"/>
        </w:rPr>
        <w:t xml:space="preserve"> </w:t>
      </w:r>
      <w:r>
        <w:t>kind of clock that employs a pendulum. Most tanru are asymmetrical</w:t>
      </w:r>
      <w:r>
        <w:rPr>
          <w:rStyle w:val="deletedparamark"/>
        </w:rPr>
        <w:t xml:space="preserve"> </w:t>
      </w:r>
      <w:r>
        <w:t xml:space="preserve">in this sense. Symmetrical tanru are discussed in </w:t>
      </w:r>
      <w:r>
        <w:rPr>
          <w:rStyle w:val="htmlcodes"/>
        </w:rPr>
        <w:t>&lt;a href=#s15&gt;</w:t>
      </w:r>
      <w:r>
        <w:t>Section 15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"asymmetrical tanru types, object-of-action + action"&gt;</w:t>
      </w:r>
      <w:r>
        <w:rPr>
          <w:rStyle w:val="indexentry"/>
        </w:rPr>
        <w:fldChar w:fldCharType="begin"/>
      </w:r>
      <w:r>
        <w:instrText>xe "</w:instrText>
      </w:r>
      <w:r>
        <w:rPr>
          <w:rStyle w:val="xeentry"/>
        </w:rPr>
        <w:instrText>asymmetrical tanru types: object-of-action + action</w:instrText>
      </w:r>
      <w:r>
        <w:instrText>"</w:instrText>
      </w:r>
      <w:r>
        <w:rPr>
          <w:rStyle w:val="indexentry"/>
        </w:rPr>
        <w:fldChar w:fldCharType="end"/>
      </w:r>
      <w:r>
        <w:t>The tertau represents an action, and the seltau then repre</w:t>
      </w:r>
      <w:r>
        <w:softHyphen/>
        <w:t>sents</w:t>
      </w:r>
      <w:r>
        <w:rPr>
          <w:rStyle w:val="deletedparamark"/>
        </w:rPr>
        <w:t xml:space="preserve"> </w:t>
      </w:r>
      <w:r>
        <w:t>the object of that a</w:t>
      </w:r>
      <w:r>
        <w:t>c</w:t>
      </w:r>
      <w:r>
        <w:softHyphen/>
        <w:t>tion:</w:t>
      </w:r>
    </w:p>
    <w:p w:rsidR="00B72047" w:rsidRDefault="00B72047">
      <w:pPr>
        <w:ind w:firstLine="720"/>
        <w:rPr>
          <w:rStyle w:val="htmlparacode"/>
        </w:rPr>
      </w:pPr>
      <w:r>
        <w:rPr>
          <w:rStyle w:val="htmlparacode"/>
        </w:rPr>
        <w:t>&lt;p&gt;</w:t>
      </w:r>
    </w:p>
    <w:p w:rsidR="00B72047" w:rsidRDefault="00B72047">
      <w:pPr>
        <w:pStyle w:val="examplegtabspre"/>
      </w:pPr>
      <w:r>
        <w:rPr>
          <w:rStyle w:val="htmlcodes"/>
        </w:rPr>
        <w:t>&lt;dl compact&gt;&lt;dt&gt;</w:t>
      </w:r>
      <w:r>
        <w:tab/>
        <w:t>pinsi nunkilbra</w:t>
      </w:r>
      <w:r>
        <w:tab/>
      </w:r>
      <w:r>
        <w:tab/>
      </w:r>
      <w:r>
        <w:rPr>
          <w:rStyle w:val="htmlcodes"/>
        </w:rPr>
        <w:t>&lt;dd&gt;</w:t>
      </w:r>
      <w:r>
        <w:t>pencil sharpener (Hun)</w:t>
      </w:r>
    </w:p>
    <w:p w:rsidR="00B72047" w:rsidRDefault="00B72047">
      <w:pPr>
        <w:pStyle w:val="examplegrouptabs"/>
        <w:rPr>
          <w:rStyle w:val="deletedparamark"/>
        </w:rPr>
      </w:pPr>
      <w:r>
        <w:tab/>
        <w:t>zgike nunctu</w:t>
      </w:r>
      <w:r>
        <w:tab/>
      </w:r>
      <w:r>
        <w:tab/>
        <w:t>music instruction (Hun)</w:t>
      </w:r>
      <w:r>
        <w:rPr>
          <w:rStyle w:val="deletedparamark"/>
        </w:rPr>
        <w:t xml:space="preserve"> </w:t>
      </w:r>
    </w:p>
    <w:p w:rsidR="00B72047" w:rsidRDefault="00B72047">
      <w:pPr>
        <w:pStyle w:val="examplegrouptabs"/>
        <w:rPr>
          <w:rStyle w:val="deletedparamark"/>
        </w:rPr>
      </w:pPr>
      <w:r>
        <w:tab/>
        <w:t>mirli nunkalte</w:t>
      </w:r>
      <w:r>
        <w:tab/>
      </w:r>
      <w:r>
        <w:tab/>
        <w:t>deer hunting (Hun)</w:t>
      </w:r>
      <w:r>
        <w:rPr>
          <w:rStyle w:val="deletedparamark"/>
        </w:rPr>
        <w:t xml:space="preserve"> </w:t>
      </w:r>
    </w:p>
    <w:p w:rsidR="00B72047" w:rsidRDefault="00B72047">
      <w:pPr>
        <w:pStyle w:val="examplegrouptabs"/>
        <w:rPr>
          <w:rStyle w:val="deletedparamark"/>
        </w:rPr>
      </w:pPr>
      <w:r>
        <w:tab/>
        <w:t>finpe nunkalte</w:t>
      </w:r>
      <w:r>
        <w:tab/>
      </w:r>
      <w:r>
        <w:tab/>
        <w:t>fish hunting (Tur,Kor,Udm,Aba = fishing)</w:t>
      </w:r>
      <w:r>
        <w:rPr>
          <w:rStyle w:val="deletedparamark"/>
        </w:rPr>
        <w:t xml:space="preserve"> </w:t>
      </w:r>
    </w:p>
    <w:p w:rsidR="00B72047" w:rsidRDefault="00B72047">
      <w:pPr>
        <w:pStyle w:val="examplegrouptabs"/>
        <w:rPr>
          <w:rStyle w:val="deletedparamark"/>
        </w:rPr>
      </w:pPr>
      <w:r>
        <w:tab/>
        <w:t>smacu terkavbu</w:t>
      </w:r>
      <w:r>
        <w:tab/>
      </w:r>
      <w:r>
        <w:tab/>
        <w:t>mousetrap (Tur,Kor,Hun,Udm,Aba)</w:t>
      </w:r>
      <w:r>
        <w:rPr>
          <w:rStyle w:val="deletedparamark"/>
        </w:rPr>
        <w:t xml:space="preserve"> </w:t>
      </w:r>
    </w:p>
    <w:p w:rsidR="00B72047" w:rsidRDefault="00B72047">
      <w:pPr>
        <w:pStyle w:val="examplegrouptabs"/>
        <w:rPr>
          <w:rStyle w:val="deletedparamark"/>
        </w:rPr>
      </w:pPr>
      <w:r>
        <w:tab/>
        <w:t>zdani turni</w:t>
      </w:r>
      <w:r>
        <w:tab/>
      </w:r>
      <w:r>
        <w:tab/>
        <w:t>house ruler (Kar = host)</w:t>
      </w:r>
      <w:r>
        <w:rPr>
          <w:rStyle w:val="deletedparamark"/>
        </w:rPr>
        <w:t xml:space="preserve"> </w:t>
      </w:r>
    </w:p>
    <w:p w:rsidR="00B72047" w:rsidRDefault="00B72047">
      <w:pPr>
        <w:pStyle w:val="examplegrouptabs"/>
        <w:rPr>
          <w:rStyle w:val="deletedparamark"/>
        </w:rPr>
      </w:pPr>
      <w:r>
        <w:tab/>
        <w:t>zerle'a nunte'a</w:t>
      </w:r>
      <w:r>
        <w:tab/>
      </w:r>
      <w:r>
        <w:tab/>
        <w:t>thief fear (Skt = fear of thieves)</w:t>
      </w:r>
      <w:r>
        <w:rPr>
          <w:rStyle w:val="deletedparamark"/>
        </w:rPr>
        <w:t xml:space="preserve"> </w:t>
      </w:r>
    </w:p>
    <w:p w:rsidR="00B72047" w:rsidRDefault="00B72047">
      <w:pPr>
        <w:pStyle w:val="examplegrouptabs"/>
      </w:pPr>
      <w:r>
        <w:tab/>
        <w:t>cevni zekri</w:t>
      </w:r>
      <w:r>
        <w:tab/>
      </w:r>
      <w:r>
        <w:tab/>
        <w:t>god crime (Skt = offense against the gods)</w:t>
      </w:r>
    </w:p>
    <w:p w:rsidR="00B72047" w:rsidRDefault="00B72047">
      <w:pPr>
        <w:pStyle w:val="examplescaledpre"/>
        <w:spacing w:line="220" w:lineRule="exact"/>
      </w:pPr>
      <w:r>
        <w:tab/>
        <w:t>nunkilbra = sharpness-apparatus</w:t>
      </w:r>
    </w:p>
    <w:p w:rsidR="00B72047" w:rsidRDefault="00B72047">
      <w:pPr>
        <w:pStyle w:val="examplescaled"/>
        <w:spacing w:line="220" w:lineRule="exact"/>
      </w:pPr>
      <w:r>
        <w:tab/>
        <w:t>nunctu = event-of-teaching</w:t>
      </w:r>
    </w:p>
    <w:p w:rsidR="00B72047" w:rsidRDefault="00B72047">
      <w:pPr>
        <w:pStyle w:val="examplescaled"/>
        <w:spacing w:line="220" w:lineRule="exact"/>
      </w:pPr>
      <w:r>
        <w:tab/>
        <w:t>nunkalte = event-of-hunting</w:t>
      </w:r>
    </w:p>
    <w:p w:rsidR="00B72047" w:rsidRDefault="00B72047">
      <w:pPr>
        <w:pStyle w:val="examplescaled"/>
        <w:spacing w:line="220" w:lineRule="exact"/>
      </w:pPr>
      <w:r>
        <w:tab/>
        <w:t>terkavbu = trap</w:t>
      </w:r>
    </w:p>
    <w:p w:rsidR="00B72047" w:rsidRDefault="00B72047">
      <w:pPr>
        <w:pStyle w:val="examplescaled"/>
        <w:spacing w:line="220" w:lineRule="exact"/>
      </w:pPr>
      <w:r>
        <w:tab/>
        <w:t>zerle'a = crime-taker</w:t>
      </w:r>
    </w:p>
    <w:p w:rsidR="00B72047" w:rsidRDefault="00B72047">
      <w:pPr>
        <w:pStyle w:val="examplescaled"/>
        <w:spacing w:line="220" w:lineRule="exact"/>
      </w:pPr>
      <w:r>
        <w:tab/>
        <w:t>nunte'a = event-of-fearing</w:t>
      </w:r>
    </w:p>
    <w:p w:rsidR="00B72047" w:rsidRDefault="00B72047">
      <w:pPr>
        <w:pStyle w:val="normalafterexample"/>
      </w:pPr>
      <w:r>
        <w:rPr>
          <w:rStyle w:val="htmlcodes"/>
        </w:rPr>
        <w:t>&lt;/dl&gt;</w:t>
      </w:r>
      <w:r>
        <w:rPr>
          <w:rStyle w:val="indexentry"/>
        </w:rPr>
        <w:t>&lt;cx "asymmetrical tanru types, elements-in-set + set"&gt;</w:t>
      </w:r>
      <w:r>
        <w:rPr>
          <w:rStyle w:val="indexentry"/>
        </w:rPr>
        <w:fldChar w:fldCharType="begin"/>
      </w:r>
      <w:r>
        <w:instrText>xe "</w:instrText>
      </w:r>
      <w:r>
        <w:rPr>
          <w:rStyle w:val="xeentry"/>
        </w:rPr>
        <w:instrText>asymmetrical tanru types: elements-in-set + set</w:instrText>
      </w:r>
      <w:r>
        <w:instrText>"</w:instrText>
      </w:r>
      <w:r>
        <w:rPr>
          <w:rStyle w:val="indexentry"/>
        </w:rPr>
        <w:fldChar w:fldCharType="end"/>
      </w:r>
      <w:r>
        <w:t>The tertau represents a set, and the seltau the type of the</w:t>
      </w:r>
      <w:r>
        <w:rPr>
          <w:rStyle w:val="deletedparamark"/>
        </w:rPr>
        <w:t xml:space="preserve"> </w:t>
      </w:r>
      <w:r>
        <w:t>elements contained in that set:</w:t>
      </w:r>
    </w:p>
    <w:p w:rsidR="00B72047" w:rsidRDefault="00B72047">
      <w:pPr>
        <w:pStyle w:val="examplewtabspre"/>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zdani lijgri</w:t>
      </w:r>
      <w:r>
        <w:tab/>
      </w:r>
      <w:r>
        <w:tab/>
      </w:r>
      <w:r>
        <w:rPr>
          <w:rStyle w:val="htmlcodes"/>
        </w:rPr>
        <w:t>&lt;dd&gt;</w:t>
      </w:r>
      <w:r>
        <w:t>house row</w:t>
      </w:r>
      <w:r>
        <w:rPr>
          <w:rStyle w:val="deletedparamark"/>
        </w:rPr>
        <w:t xml:space="preserve"> </w:t>
      </w:r>
    </w:p>
    <w:p w:rsidR="00B72047" w:rsidRDefault="00B72047">
      <w:pPr>
        <w:pStyle w:val="examplegrouptabs"/>
        <w:rPr>
          <w:rStyle w:val="deletedparamark"/>
        </w:rPr>
      </w:pPr>
      <w:r>
        <w:tab/>
        <w:t>selci lamgri</w:t>
      </w:r>
      <w:r>
        <w:tab/>
      </w:r>
      <w:r>
        <w:tab/>
        <w:t>cell block</w:t>
      </w:r>
      <w:r>
        <w:rPr>
          <w:rStyle w:val="deletedparamark"/>
        </w:rPr>
        <w:t xml:space="preserve"> </w:t>
      </w:r>
    </w:p>
    <w:p w:rsidR="00B72047" w:rsidRDefault="00B72047">
      <w:pPr>
        <w:pStyle w:val="examplegrouptabs"/>
        <w:rPr>
          <w:rStyle w:val="deletedparamark"/>
        </w:rPr>
      </w:pPr>
      <w:r>
        <w:tab/>
        <w:t>karda mulgri</w:t>
      </w:r>
      <w:r>
        <w:tab/>
      </w:r>
      <w:r>
        <w:tab/>
        <w:t>card pack (Swe)</w:t>
      </w:r>
      <w:r>
        <w:rPr>
          <w:rStyle w:val="deletedparamark"/>
        </w:rPr>
        <w:t xml:space="preserve"> </w:t>
      </w:r>
    </w:p>
    <w:p w:rsidR="00B72047" w:rsidRDefault="00B72047">
      <w:pPr>
        <w:pStyle w:val="examplegrouptabs"/>
        <w:rPr>
          <w:rStyle w:val="deletedparamark"/>
        </w:rPr>
      </w:pPr>
      <w:r>
        <w:tab/>
        <w:t>rokci derxi</w:t>
      </w:r>
      <w:r>
        <w:tab/>
      </w:r>
      <w:r>
        <w:tab/>
        <w:t>stone heap (Swe)</w:t>
      </w:r>
      <w:r>
        <w:rPr>
          <w:rStyle w:val="deletedparamark"/>
        </w:rPr>
        <w:t xml:space="preserve"> </w:t>
      </w:r>
    </w:p>
    <w:p w:rsidR="00B72047" w:rsidRDefault="00B72047">
      <w:pPr>
        <w:pStyle w:val="examplegrouptabs"/>
        <w:rPr>
          <w:rStyle w:val="deletedparamark"/>
        </w:rPr>
      </w:pPr>
      <w:r>
        <w:tab/>
        <w:t>tadni girzu</w:t>
      </w:r>
      <w:r>
        <w:tab/>
      </w:r>
      <w:r>
        <w:tab/>
        <w:t>student group (Hun)</w:t>
      </w:r>
      <w:r>
        <w:rPr>
          <w:rStyle w:val="deletedparamark"/>
        </w:rPr>
        <w:t xml:space="preserve"> </w:t>
      </w:r>
    </w:p>
    <w:p w:rsidR="00B72047" w:rsidRDefault="00B72047">
      <w:pPr>
        <w:pStyle w:val="examplegrouptabs"/>
        <w:rPr>
          <w:rStyle w:val="deletedparamark"/>
        </w:rPr>
      </w:pPr>
      <w:r>
        <w:tab/>
        <w:t>remna girzu</w:t>
      </w:r>
      <w:r>
        <w:tab/>
      </w:r>
      <w:r>
        <w:tab/>
        <w:t>human-being group (Qab = group of people)</w:t>
      </w:r>
      <w:r>
        <w:rPr>
          <w:rStyle w:val="deletedparamark"/>
        </w:rPr>
        <w:t xml:space="preserve"> </w:t>
      </w:r>
    </w:p>
    <w:p w:rsidR="00B72047" w:rsidRDefault="00B72047">
      <w:pPr>
        <w:pStyle w:val="examplegrouptabs"/>
        <w:rPr>
          <w:rStyle w:val="deletedparamark"/>
        </w:rPr>
      </w:pPr>
      <w:r>
        <w:tab/>
        <w:t>cpumi'i lijgri</w:t>
      </w:r>
      <w:r>
        <w:tab/>
      </w:r>
      <w:r>
        <w:tab/>
        <w:t>tractor column (Qab)</w:t>
      </w:r>
      <w:r>
        <w:rPr>
          <w:rStyle w:val="deletedparamark"/>
        </w:rPr>
        <w:t xml:space="preserve"> </w:t>
      </w:r>
    </w:p>
    <w:p w:rsidR="00B72047" w:rsidRDefault="00B72047">
      <w:pPr>
        <w:pStyle w:val="examplegrouptabs"/>
        <w:rPr>
          <w:rStyle w:val="deletedparamark"/>
        </w:rPr>
      </w:pPr>
      <w:r>
        <w:tab/>
        <w:t>cevni jenmi</w:t>
      </w:r>
      <w:r>
        <w:tab/>
      </w:r>
      <w:r>
        <w:tab/>
        <w:t>god army (Skt)</w:t>
      </w:r>
      <w:r>
        <w:rPr>
          <w:rStyle w:val="deletedparamark"/>
        </w:rPr>
        <w:t xml:space="preserve"> </w:t>
      </w:r>
    </w:p>
    <w:p w:rsidR="00B72047" w:rsidRDefault="00B72047">
      <w:pPr>
        <w:pStyle w:val="examplegrouptabs"/>
      </w:pPr>
      <w:r>
        <w:tab/>
        <w:t>cevni prenu</w:t>
      </w:r>
      <w:r>
        <w:tab/>
      </w:r>
      <w:r>
        <w:tab/>
        <w:t>god folk (Skt)</w:t>
      </w:r>
    </w:p>
    <w:p w:rsidR="00B72047" w:rsidRDefault="00B72047">
      <w:pPr>
        <w:pStyle w:val="examplescaledpre"/>
        <w:spacing w:line="220" w:lineRule="exact"/>
      </w:pPr>
      <w:r>
        <w:tab/>
        <w:t>lijgri = line-group</w:t>
      </w:r>
    </w:p>
    <w:p w:rsidR="00B72047" w:rsidRDefault="00B72047">
      <w:pPr>
        <w:pStyle w:val="examplescaled"/>
        <w:spacing w:line="220" w:lineRule="exact"/>
      </w:pPr>
      <w:r>
        <w:tab/>
        <w:t>lamgri = adjacent-group</w:t>
      </w:r>
    </w:p>
    <w:p w:rsidR="00B72047" w:rsidRDefault="00B72047">
      <w:pPr>
        <w:pStyle w:val="examplescaled"/>
        <w:spacing w:line="220" w:lineRule="exact"/>
      </w:pPr>
      <w:r>
        <w:tab/>
        <w:t>mulgri = complete-group</w:t>
      </w:r>
    </w:p>
    <w:p w:rsidR="00B72047" w:rsidRDefault="00B72047">
      <w:pPr>
        <w:pStyle w:val="examplescaled"/>
        <w:spacing w:line="220" w:lineRule="exact"/>
      </w:pPr>
      <w:r>
        <w:tab/>
        <w:t>cpami'i = pull-machine</w:t>
      </w:r>
    </w:p>
    <w:p w:rsidR="00B72047" w:rsidRDefault="00B72047">
      <w:pPr>
        <w:pStyle w:val="normalafterexample"/>
      </w:pPr>
      <w:r>
        <w:rPr>
          <w:rStyle w:val="htmlcodes"/>
        </w:rPr>
        <w:t>&lt;/dl&gt;</w:t>
      </w:r>
      <w:r>
        <w:rPr>
          <w:rStyle w:val="indexentry"/>
        </w:rPr>
        <w:t>&lt;cx "asymmetrical tanru types, set + element-of-set"&gt;</w:t>
      </w:r>
      <w:r>
        <w:rPr>
          <w:rStyle w:val="indexentry"/>
        </w:rPr>
        <w:fldChar w:fldCharType="begin"/>
      </w:r>
      <w:r>
        <w:instrText>xe "</w:instrText>
      </w:r>
      <w:r>
        <w:rPr>
          <w:rStyle w:val="xeentry"/>
        </w:rPr>
        <w:instrText>asymmetrical tanru types: set + element-of-set</w:instrText>
      </w:r>
      <w:r>
        <w:instrText>"</w:instrText>
      </w:r>
      <w:r>
        <w:rPr>
          <w:rStyle w:val="indexentry"/>
        </w:rPr>
        <w:fldChar w:fldCharType="end"/>
      </w:r>
      <w:r>
        <w:t>Conversely: the tertau is an element, and the seltau repre</w:t>
      </w:r>
      <w:r>
        <w:softHyphen/>
        <w:t>sents</w:t>
      </w:r>
      <w:r>
        <w:rPr>
          <w:rStyle w:val="deletedparamark"/>
        </w:rPr>
        <w:t xml:space="preserve"> </w:t>
      </w:r>
      <w:r>
        <w:t>a set in which that element is contained. Implicitly, the meaning</w:t>
      </w:r>
      <w:r>
        <w:rPr>
          <w:rStyle w:val="deletedparamark"/>
        </w:rPr>
        <w:t xml:space="preserve"> </w:t>
      </w:r>
      <w:r>
        <w:t>of the tertau is restricted from its usual ge</w:t>
      </w:r>
      <w:r>
        <w:t>n</w:t>
      </w:r>
      <w:r>
        <w:softHyphen/>
        <w:t>eral meaning to the</w:t>
      </w:r>
      <w:r>
        <w:rPr>
          <w:rStyle w:val="deletedparamark"/>
        </w:rPr>
        <w:t xml:space="preserve"> </w:t>
      </w:r>
      <w:r>
        <w:t>spe</w:t>
      </w:r>
      <w:r>
        <w:softHyphen/>
        <w:t>cific meaning appropriate for elements in the given set. Note</w:t>
      </w:r>
      <w:r>
        <w:rPr>
          <w:rStyle w:val="deletedparamark"/>
        </w:rPr>
        <w:t xml:space="preserve"> </w:t>
      </w:r>
      <w:r>
        <w:t>the op</w:t>
      </w:r>
      <w:r>
        <w:softHyphen/>
        <w:t>position between “zdani linji” in the previous group, and</w:t>
      </w:r>
      <w:r>
        <w:rPr>
          <w:rStyle w:val="deletedparamark"/>
        </w:rPr>
        <w:t xml:space="preserve"> “</w:t>
      </w:r>
      <w:r>
        <w:t>linji zdani” in this one, which shows why this kind of tanru is</w:t>
      </w:r>
      <w:r>
        <w:rPr>
          <w:rStyle w:val="deletedparamark"/>
        </w:rPr>
        <w:t xml:space="preserve"> </w:t>
      </w:r>
      <w:r>
        <w:t>called “asymmetrical”.</w:t>
      </w:r>
    </w:p>
    <w:p w:rsidR="00B72047" w:rsidRDefault="00B72047">
      <w:pPr>
        <w:pStyle w:val="examplegrouptabs"/>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carvi dirgo</w:t>
      </w:r>
      <w:r>
        <w:tab/>
      </w:r>
      <w:r>
        <w:tab/>
      </w:r>
      <w:r>
        <w:rPr>
          <w:rStyle w:val="htmlcodes"/>
        </w:rPr>
        <w:t>&lt;dd&gt;</w:t>
      </w:r>
      <w:r>
        <w:t>raindrop (Tur,Kor,Hun,Udm,Aba)</w:t>
      </w:r>
      <w:r>
        <w:rPr>
          <w:rStyle w:val="deletedparamark"/>
        </w:rPr>
        <w:t xml:space="preserve"> </w:t>
      </w:r>
    </w:p>
    <w:p w:rsidR="00B72047" w:rsidRDefault="00B72047">
      <w:pPr>
        <w:pStyle w:val="examplegrouptabs"/>
      </w:pPr>
      <w:r>
        <w:tab/>
        <w:t>linji zdani</w:t>
      </w:r>
      <w:r>
        <w:tab/>
      </w:r>
      <w:r>
        <w:tab/>
        <w:t>row house</w:t>
      </w:r>
    </w:p>
    <w:p w:rsidR="00B72047" w:rsidRDefault="00B72047">
      <w:pPr>
        <w:pStyle w:val="normalafterexample"/>
        <w:spacing w:before="0"/>
      </w:pPr>
      <w:r>
        <w:rPr>
          <w:rStyle w:val="htmlcodes"/>
          <w:vanish w:val="0"/>
        </w:rPr>
        <w:br w:type="page"/>
      </w:r>
      <w:r>
        <w:rPr>
          <w:rStyle w:val="htmlcodes"/>
        </w:rPr>
        <w:t>&lt;/dl&gt;</w:t>
      </w:r>
      <w:r>
        <w:rPr>
          <w:rStyle w:val="indexentry"/>
        </w:rPr>
        <w:t>&lt;cx "asymmetrical tanru types, object + component/detail"&gt;</w:t>
      </w:r>
      <w:r>
        <w:rPr>
          <w:rStyle w:val="indexentry"/>
        </w:rPr>
        <w:fldChar w:fldCharType="begin"/>
      </w:r>
      <w:r>
        <w:instrText>xe "</w:instrText>
      </w:r>
      <w:r>
        <w:rPr>
          <w:rStyle w:val="xeentry"/>
        </w:rPr>
        <w:instrText>asymmetrical tanru types: object + component/detail</w:instrText>
      </w:r>
      <w:r>
        <w:instrText>"</w:instrText>
      </w:r>
      <w:r>
        <w:rPr>
          <w:rStyle w:val="indexentry"/>
        </w:rPr>
        <w:fldChar w:fldCharType="end"/>
      </w:r>
      <w:r>
        <w:t>The seltau specifies an object and the tertau a component or</w:t>
      </w:r>
      <w:r>
        <w:rPr>
          <w:rStyle w:val="deletedparamark"/>
        </w:rPr>
        <w:t xml:space="preserve"> </w:t>
      </w:r>
      <w:r>
        <w:t>detail of that ob</w:t>
      </w:r>
      <w:r>
        <w:softHyphen/>
        <w:t>ject; the tanru as a whole refers to the detail,</w:t>
      </w:r>
      <w:r>
        <w:rPr>
          <w:rStyle w:val="deletedparamark"/>
        </w:rPr>
        <w:t xml:space="preserve"> </w:t>
      </w:r>
      <w:r>
        <w:t>specify</w:t>
      </w:r>
      <w:r>
        <w:softHyphen/>
        <w:t>ing that it is a detail of that whole and not some other.</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junla dadysli</w:t>
      </w:r>
      <w:r>
        <w:tab/>
      </w:r>
      <w:r>
        <w:tab/>
      </w:r>
      <w:r>
        <w:rPr>
          <w:rStyle w:val="htmlcodes"/>
        </w:rPr>
        <w:t>&lt;dd&gt;</w:t>
      </w:r>
      <w:r>
        <w:t>clock pendulum (Hun)</w:t>
      </w:r>
      <w:r>
        <w:rPr>
          <w:rStyle w:val="deletedparamark"/>
        </w:rPr>
        <w:t xml:space="preserve"> </w:t>
      </w:r>
    </w:p>
    <w:p w:rsidR="00B72047" w:rsidRDefault="00B72047">
      <w:pPr>
        <w:pStyle w:val="examplegrouptabs"/>
        <w:rPr>
          <w:rStyle w:val="deletedparamark"/>
        </w:rPr>
      </w:pPr>
      <w:r>
        <w:tab/>
        <w:t>purdi vorme</w:t>
      </w:r>
      <w:r>
        <w:tab/>
      </w:r>
      <w:r>
        <w:tab/>
        <w:t>garden door (Qab)</w:t>
      </w:r>
      <w:r>
        <w:rPr>
          <w:rStyle w:val="deletedparamark"/>
        </w:rPr>
        <w:t xml:space="preserve"> </w:t>
      </w:r>
    </w:p>
    <w:p w:rsidR="00B72047" w:rsidRDefault="00B72047">
      <w:pPr>
        <w:pStyle w:val="examplegrouptabs"/>
        <w:rPr>
          <w:rStyle w:val="deletedparamark"/>
        </w:rPr>
      </w:pPr>
      <w:r>
        <w:tab/>
        <w:t>purdi bitmu</w:t>
      </w:r>
      <w:r>
        <w:tab/>
      </w:r>
      <w:r>
        <w:tab/>
        <w:t>garden wall (Que)</w:t>
      </w:r>
      <w:r>
        <w:rPr>
          <w:rStyle w:val="deletedparamark"/>
        </w:rPr>
        <w:t xml:space="preserve"> </w:t>
      </w:r>
    </w:p>
    <w:p w:rsidR="00B72047" w:rsidRDefault="00B72047">
      <w:pPr>
        <w:pStyle w:val="examplegrouptabs"/>
        <w:rPr>
          <w:rStyle w:val="deletedparamark"/>
        </w:rPr>
      </w:pPr>
      <w:r>
        <w:tab/>
        <w:t>moklu skapi</w:t>
      </w:r>
      <w:r>
        <w:tab/>
      </w:r>
      <w:r>
        <w:tab/>
        <w:t>mouth skin (Imb = lips)</w:t>
      </w:r>
      <w:r>
        <w:rPr>
          <w:rStyle w:val="deletedparamark"/>
        </w:rPr>
        <w:t xml:space="preserve"> </w:t>
      </w:r>
    </w:p>
    <w:p w:rsidR="00B72047" w:rsidRDefault="00B72047">
      <w:pPr>
        <w:pStyle w:val="examplegrouptabs"/>
        <w:rPr>
          <w:rStyle w:val="deletedparamark"/>
        </w:rPr>
      </w:pPr>
      <w:r>
        <w:tab/>
        <w:t>nazbi kevna</w:t>
      </w:r>
      <w:r>
        <w:tab/>
      </w:r>
      <w:r>
        <w:tab/>
        <w:t>nose hole (Imb = nostril)</w:t>
      </w:r>
      <w:r>
        <w:rPr>
          <w:rStyle w:val="deletedparamark"/>
        </w:rPr>
        <w:t xml:space="preserve"> </w:t>
      </w:r>
    </w:p>
    <w:p w:rsidR="00B72047" w:rsidRDefault="00B72047">
      <w:pPr>
        <w:pStyle w:val="examplegrouptabs"/>
        <w:rPr>
          <w:rStyle w:val="deletedparamark"/>
        </w:rPr>
      </w:pPr>
      <w:r>
        <w:tab/>
        <w:t>karce xislu</w:t>
      </w:r>
      <w:r>
        <w:tab/>
      </w:r>
      <w:r>
        <w:tab/>
        <w:t>automobile wheel (Chi)</w:t>
      </w:r>
      <w:r>
        <w:rPr>
          <w:rStyle w:val="deletedparamark"/>
        </w:rPr>
        <w:t xml:space="preserve"> </w:t>
      </w:r>
    </w:p>
    <w:p w:rsidR="00B72047" w:rsidRDefault="00B72047">
      <w:pPr>
        <w:pStyle w:val="examplegrouptabs"/>
        <w:rPr>
          <w:rStyle w:val="deletedparamark"/>
        </w:rPr>
      </w:pPr>
      <w:r>
        <w:tab/>
        <w:t>jipci pimlu</w:t>
      </w:r>
      <w:r>
        <w:tab/>
      </w:r>
      <w:r>
        <w:tab/>
        <w:t>chicken feather (Chi)</w:t>
      </w:r>
      <w:r>
        <w:rPr>
          <w:rStyle w:val="deletedparamark"/>
        </w:rPr>
        <w:t xml:space="preserve"> </w:t>
      </w:r>
    </w:p>
    <w:p w:rsidR="00B72047" w:rsidRDefault="00B72047">
      <w:pPr>
        <w:pStyle w:val="examplegrouptabs"/>
      </w:pPr>
      <w:r>
        <w:tab/>
        <w:t>vinji rebla</w:t>
      </w:r>
      <w:r>
        <w:tab/>
      </w:r>
      <w:r>
        <w:tab/>
        <w:t>airplane tail (Chi)</w:t>
      </w:r>
    </w:p>
    <w:p w:rsidR="00B72047" w:rsidRDefault="00B72047">
      <w:pPr>
        <w:pStyle w:val="examplescaledpre"/>
        <w:spacing w:line="220" w:lineRule="exact"/>
        <w:ind w:firstLine="0"/>
      </w:pPr>
      <w:r>
        <w:t>dadysli = hang-oscillator</w:t>
      </w:r>
    </w:p>
    <w:p w:rsidR="00B72047" w:rsidRDefault="00B72047">
      <w:pPr>
        <w:pStyle w:val="normalafterexample"/>
      </w:pPr>
      <w:r>
        <w:rPr>
          <w:rStyle w:val="htmlcodes"/>
        </w:rPr>
        <w:t>&lt;/dl&gt;</w:t>
      </w:r>
      <w:r>
        <w:rPr>
          <w:rStyle w:val="indexentry"/>
        </w:rPr>
        <w:t>&lt;cx "asymmetrical tanru types, characteristic/detail + object"&gt;</w:t>
      </w:r>
      <w:r>
        <w:rPr>
          <w:rStyle w:val="indexentry"/>
        </w:rPr>
        <w:fldChar w:fldCharType="begin"/>
      </w:r>
      <w:r>
        <w:instrText>xe "</w:instrText>
      </w:r>
      <w:r>
        <w:rPr>
          <w:rStyle w:val="xeentry"/>
        </w:rPr>
        <w:instrText>asymmetrical tanru types: characteristic/detail + object</w:instrText>
      </w:r>
      <w:r>
        <w:instrText>"</w:instrText>
      </w:r>
      <w:r>
        <w:rPr>
          <w:rStyle w:val="indexentry"/>
        </w:rPr>
        <w:fldChar w:fldCharType="end"/>
      </w:r>
      <w:r>
        <w:t>Conversely: the seltau specifies a characteristic or important</w:t>
      </w:r>
      <w:r>
        <w:rPr>
          <w:rStyle w:val="deletedparamark"/>
        </w:rPr>
        <w:t xml:space="preserve"> </w:t>
      </w:r>
      <w:r>
        <w:t>detail of the ob</w:t>
      </w:r>
      <w:r>
        <w:softHyphen/>
        <w:t>ject d</w:t>
      </w:r>
      <w:r>
        <w:t>e</w:t>
      </w:r>
      <w:r>
        <w:softHyphen/>
        <w:t>scribed by the tertau; objects described</w:t>
      </w:r>
      <w:r>
        <w:rPr>
          <w:rStyle w:val="deletedparamark"/>
        </w:rPr>
        <w:t xml:space="preserve"> </w:t>
      </w:r>
      <w:r>
        <w:t>by the tanru as a whole are differentiated from other similar</w:t>
      </w:r>
      <w:r>
        <w:rPr>
          <w:rStyle w:val="deletedparamark"/>
        </w:rPr>
        <w:t xml:space="preserve"> </w:t>
      </w:r>
      <w:r>
        <w:t>objects by this detail.</w:t>
      </w:r>
    </w:p>
    <w:p w:rsidR="00B72047" w:rsidRDefault="00B72047">
      <w:pPr>
        <w:pStyle w:val="examplegtabspre"/>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pixra cukta</w:t>
      </w:r>
      <w:r>
        <w:tab/>
      </w:r>
      <w:r>
        <w:tab/>
      </w:r>
      <w:r>
        <w:rPr>
          <w:rStyle w:val="htmlcodes"/>
        </w:rPr>
        <w:t>&lt;dd&gt;</w:t>
      </w:r>
      <w:r>
        <w:t>picture book</w:t>
      </w:r>
      <w:r>
        <w:rPr>
          <w:rStyle w:val="deletedparamark"/>
        </w:rPr>
        <w:t xml:space="preserve"> </w:t>
      </w:r>
    </w:p>
    <w:p w:rsidR="00B72047" w:rsidRDefault="00B72047">
      <w:pPr>
        <w:pStyle w:val="examplegrouptabs"/>
        <w:rPr>
          <w:rStyle w:val="deletedparamark"/>
        </w:rPr>
      </w:pPr>
      <w:r>
        <w:tab/>
        <w:t>kerfa silka</w:t>
      </w:r>
      <w:r>
        <w:tab/>
      </w:r>
      <w:r>
        <w:tab/>
        <w:t>hair silk (Kar = velvet)</w:t>
      </w:r>
      <w:r>
        <w:rPr>
          <w:rStyle w:val="deletedparamark"/>
        </w:rPr>
        <w:t xml:space="preserve"> </w:t>
      </w:r>
    </w:p>
    <w:p w:rsidR="00B72047" w:rsidRDefault="00B72047">
      <w:pPr>
        <w:pStyle w:val="examplegrouptabs"/>
        <w:rPr>
          <w:rStyle w:val="deletedparamark"/>
        </w:rPr>
      </w:pPr>
      <w:r>
        <w:tab/>
        <w:t>plise tapla</w:t>
      </w:r>
      <w:r>
        <w:tab/>
      </w:r>
      <w:r>
        <w:tab/>
        <w:t>apple cake (Tur)</w:t>
      </w:r>
      <w:r>
        <w:rPr>
          <w:rStyle w:val="deletedparamark"/>
        </w:rPr>
        <w:t xml:space="preserve"> </w:t>
      </w:r>
    </w:p>
    <w:p w:rsidR="00B72047" w:rsidRDefault="00B72047">
      <w:pPr>
        <w:pStyle w:val="examplegrouptabs"/>
      </w:pPr>
      <w:r>
        <w:tab/>
        <w:t>dadysli junla</w:t>
      </w:r>
      <w:r>
        <w:tab/>
      </w:r>
      <w:r>
        <w:tab/>
        <w:t>pendulum clock (Hun)</w:t>
      </w:r>
    </w:p>
    <w:p w:rsidR="00B72047" w:rsidRDefault="00B72047">
      <w:pPr>
        <w:pStyle w:val="examplescaledpre"/>
        <w:spacing w:line="220" w:lineRule="exact"/>
      </w:pPr>
      <w:r>
        <w:tab/>
        <w:t>dadysli = hang-oscillator</w:t>
      </w:r>
    </w:p>
    <w:p w:rsidR="00B72047" w:rsidRDefault="00B72047">
      <w:pPr>
        <w:pStyle w:val="normalafterexample"/>
        <w:spacing w:before="120"/>
      </w:pPr>
      <w:r>
        <w:rPr>
          <w:rStyle w:val="htmlcodes"/>
        </w:rPr>
        <w:t>&lt;/dl&gt;</w:t>
      </w:r>
      <w:r>
        <w:rPr>
          <w:rStyle w:val="indexentry"/>
        </w:rPr>
        <w:t>&lt;cx "asymmetrical tanru types, general-class + sub-class"&gt;</w:t>
      </w:r>
      <w:r>
        <w:rPr>
          <w:rStyle w:val="indexentry"/>
        </w:rPr>
        <w:fldChar w:fldCharType="begin"/>
      </w:r>
      <w:r>
        <w:instrText>xe "</w:instrText>
      </w:r>
      <w:r>
        <w:rPr>
          <w:rStyle w:val="xeentry"/>
        </w:rPr>
        <w:instrText>asymmetrical tanru types: general-class + sub-class</w:instrText>
      </w:r>
      <w:r>
        <w:instrText>"</w:instrText>
      </w:r>
      <w:r>
        <w:rPr>
          <w:rStyle w:val="indexentry"/>
        </w:rPr>
        <w:fldChar w:fldCharType="end"/>
      </w:r>
      <w:r>
        <w:t>The tertau specifies a general class of object (a genus), and the</w:t>
      </w:r>
      <w:r>
        <w:rPr>
          <w:rStyle w:val="deletedparamark"/>
        </w:rPr>
        <w:t xml:space="preserve"> </w:t>
      </w:r>
      <w:r>
        <w:t>seltau specifies a sub-class of that class (a species):</w:t>
      </w:r>
    </w:p>
    <w:p w:rsidR="00B72047" w:rsidRDefault="00B72047">
      <w:pPr>
        <w:rPr>
          <w:rStyle w:val="htmlparacode"/>
        </w:rPr>
      </w:pPr>
      <w:r>
        <w:rPr>
          <w:rStyle w:val="htmlparacode"/>
        </w:rPr>
        <w:t>&lt;p&gt;</w:t>
      </w:r>
    </w:p>
    <w:p w:rsidR="00B72047" w:rsidRDefault="00B72047">
      <w:pPr>
        <w:pStyle w:val="examplegtabspre"/>
      </w:pPr>
      <w:r>
        <w:rPr>
          <w:rStyle w:val="htmlcodes"/>
        </w:rPr>
        <w:t>&lt;dl compact&gt;&lt;dt&gt;</w:t>
      </w:r>
      <w:r>
        <w:tab/>
        <w:t>ckunu tricu</w:t>
      </w:r>
      <w:r>
        <w:tab/>
      </w:r>
      <w:r>
        <w:tab/>
      </w:r>
      <w:r>
        <w:rPr>
          <w:rStyle w:val="htmlcodes"/>
        </w:rPr>
        <w:t>&lt;dd&gt;</w:t>
      </w:r>
      <w:r>
        <w:t>pine tree (Hun,Tur,Hop)</w:t>
      </w:r>
    </w:p>
    <w:p w:rsidR="00B72047" w:rsidRDefault="00B72047">
      <w:pPr>
        <w:pStyle w:val="normalafterexample"/>
        <w:spacing w:before="120"/>
      </w:pPr>
      <w:r>
        <w:rPr>
          <w:rStyle w:val="htmlcodes"/>
        </w:rPr>
        <w:t>&lt;/dl&gt;</w:t>
      </w:r>
      <w:r>
        <w:rPr>
          <w:rStyle w:val="indexentry"/>
        </w:rPr>
        <w:t>&lt;cx "asymmetrical tanru types, possessor + object"&gt;</w:t>
      </w:r>
      <w:r>
        <w:rPr>
          <w:rStyle w:val="indexentry"/>
        </w:rPr>
        <w:fldChar w:fldCharType="begin"/>
      </w:r>
      <w:r>
        <w:instrText>xe "</w:instrText>
      </w:r>
      <w:r>
        <w:rPr>
          <w:rStyle w:val="xeentry"/>
        </w:rPr>
        <w:instrText>asymmetrical tanru types: possessor + object</w:instrText>
      </w:r>
      <w:r>
        <w:instrText>"</w:instrText>
      </w:r>
      <w:r>
        <w:rPr>
          <w:rStyle w:val="indexentry"/>
        </w:rPr>
        <w:fldChar w:fldCharType="end"/>
      </w:r>
      <w:r>
        <w:t>The tertau specifies an object of possession, and the seltau may</w:t>
      </w:r>
      <w:r>
        <w:rPr>
          <w:rStyle w:val="deletedparamark"/>
        </w:rPr>
        <w:t xml:space="preserve"> </w:t>
      </w:r>
      <w:r>
        <w:t>specify the possessor (the possession may be intrinsic or other</w:t>
      </w:r>
      <w:r>
        <w:softHyphen/>
        <w:t>wise).</w:t>
      </w:r>
      <w:r>
        <w:rPr>
          <w:rStyle w:val="deletedparamark"/>
        </w:rPr>
        <w:t xml:space="preserve"> </w:t>
      </w:r>
      <w:r>
        <w:t>In English, these compounds have an e</w:t>
      </w:r>
      <w:r>
        <w:t>x</w:t>
      </w:r>
      <w:r>
        <w:softHyphen/>
        <w:t>plicit possessive ele</w:t>
      </w:r>
      <w:r>
        <w:softHyphen/>
        <w:t>ment in</w:t>
      </w:r>
      <w:r>
        <w:rPr>
          <w:rStyle w:val="deletedparamark"/>
        </w:rPr>
        <w:t xml:space="preserve"> </w:t>
      </w:r>
      <w:r>
        <w:t>them: “lion's mane”, “child's foot”, “noble's cow”.</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cinfo kerfa</w:t>
      </w:r>
      <w:r>
        <w:tab/>
      </w:r>
      <w:r>
        <w:tab/>
      </w:r>
      <w:r>
        <w:rPr>
          <w:rStyle w:val="htmlcodes"/>
        </w:rPr>
        <w:t>&lt;dd&gt;</w:t>
      </w:r>
      <w:r>
        <w:t>lion mane (Kor,Tur,Hun,Udm,Qab)</w:t>
      </w:r>
      <w:r>
        <w:rPr>
          <w:rStyle w:val="deletedparamark"/>
        </w:rPr>
        <w:t xml:space="preserve"> </w:t>
      </w:r>
    </w:p>
    <w:p w:rsidR="00B72047" w:rsidRDefault="00B72047">
      <w:pPr>
        <w:pStyle w:val="examplegrouptabs"/>
        <w:rPr>
          <w:rStyle w:val="deletedparamark"/>
        </w:rPr>
      </w:pPr>
      <w:r>
        <w:tab/>
        <w:t>verba jamfu</w:t>
      </w:r>
      <w:r>
        <w:tab/>
      </w:r>
      <w:r>
        <w:tab/>
        <w:t>child foot (Swe)</w:t>
      </w:r>
      <w:r>
        <w:rPr>
          <w:rStyle w:val="deletedparamark"/>
        </w:rPr>
        <w:t xml:space="preserve"> </w:t>
      </w:r>
    </w:p>
    <w:p w:rsidR="00B72047" w:rsidRDefault="00B72047">
      <w:pPr>
        <w:pStyle w:val="examplegrouptabs"/>
        <w:rPr>
          <w:rStyle w:val="deletedparamark"/>
        </w:rPr>
      </w:pPr>
      <w:r>
        <w:tab/>
        <w:t>nixli tuple</w:t>
      </w:r>
      <w:r>
        <w:tab/>
      </w:r>
      <w:r>
        <w:tab/>
        <w:t>girl leg (Swe)</w:t>
      </w:r>
      <w:r>
        <w:rPr>
          <w:rStyle w:val="deletedparamark"/>
        </w:rPr>
        <w:t xml:space="preserve"> </w:t>
      </w:r>
    </w:p>
    <w:p w:rsidR="00B72047" w:rsidRDefault="00B72047">
      <w:pPr>
        <w:pStyle w:val="examplegrouptabs"/>
        <w:rPr>
          <w:rStyle w:val="deletedparamark"/>
        </w:rPr>
      </w:pPr>
      <w:r>
        <w:tab/>
        <w:t>cinfo jamfu</w:t>
      </w:r>
      <w:r>
        <w:tab/>
      </w:r>
      <w:r>
        <w:tab/>
        <w:t>lion foot (Que)</w:t>
      </w:r>
      <w:r>
        <w:rPr>
          <w:rStyle w:val="deletedparamark"/>
        </w:rPr>
        <w:t xml:space="preserve"> </w:t>
      </w:r>
    </w:p>
    <w:p w:rsidR="00B72047" w:rsidRDefault="00B72047">
      <w:pPr>
        <w:pStyle w:val="examplegrouptabs"/>
        <w:rPr>
          <w:rStyle w:val="deletedparamark"/>
        </w:rPr>
      </w:pPr>
      <w:r>
        <w:tab/>
        <w:t>danlu skapi</w:t>
      </w:r>
      <w:r>
        <w:tab/>
      </w:r>
      <w:r>
        <w:tab/>
        <w:t>animal skin (Ewe)</w:t>
      </w:r>
      <w:r>
        <w:rPr>
          <w:rStyle w:val="deletedparamark"/>
        </w:rPr>
        <w:t xml:space="preserve"> </w:t>
      </w:r>
    </w:p>
    <w:p w:rsidR="00B72047" w:rsidRDefault="00B72047">
      <w:pPr>
        <w:pStyle w:val="examplegrouptabs"/>
        <w:rPr>
          <w:rStyle w:val="deletedparamark"/>
        </w:rPr>
      </w:pPr>
      <w:r>
        <w:tab/>
        <w:t>ralju zdani</w:t>
      </w:r>
      <w:r>
        <w:tab/>
      </w:r>
      <w:r>
        <w:tab/>
        <w:t>chief house (Ewe)</w:t>
      </w:r>
      <w:r>
        <w:rPr>
          <w:rStyle w:val="deletedparamark"/>
        </w:rPr>
        <w:t xml:space="preserve"> </w:t>
      </w:r>
    </w:p>
    <w:p w:rsidR="00B72047" w:rsidRDefault="00B72047">
      <w:pPr>
        <w:pStyle w:val="examplegrouptabs"/>
        <w:rPr>
          <w:rStyle w:val="deletedparamark"/>
        </w:rPr>
      </w:pPr>
      <w:r>
        <w:tab/>
        <w:t>jmive munje</w:t>
      </w:r>
      <w:r>
        <w:tab/>
      </w:r>
      <w:r>
        <w:tab/>
        <w:t>living world (Skt)</w:t>
      </w:r>
      <w:r>
        <w:rPr>
          <w:rStyle w:val="deletedparamark"/>
        </w:rPr>
        <w:t xml:space="preserve"> </w:t>
      </w:r>
    </w:p>
    <w:p w:rsidR="00B72047" w:rsidRDefault="00B72047">
      <w:pPr>
        <w:pStyle w:val="examplegrouptabs"/>
        <w:rPr>
          <w:rStyle w:val="deletedparamark"/>
        </w:rPr>
      </w:pPr>
      <w:r>
        <w:tab/>
        <w:t>nobli bakni</w:t>
      </w:r>
      <w:r>
        <w:tab/>
      </w:r>
      <w:r>
        <w:tab/>
        <w:t>noble cow (Skt)</w:t>
      </w:r>
      <w:r>
        <w:rPr>
          <w:rStyle w:val="deletedparamark"/>
        </w:rPr>
        <w:t xml:space="preserve"> </w:t>
      </w:r>
    </w:p>
    <w:p w:rsidR="00B72047" w:rsidRDefault="00B72047">
      <w:pPr>
        <w:pStyle w:val="examplegrouptabs"/>
      </w:pPr>
      <w:r>
        <w:tab/>
        <w:t>nolraitru ralju</w:t>
      </w:r>
      <w:r>
        <w:tab/>
      </w:r>
      <w:r>
        <w:tab/>
        <w:t>king chief (Skt = emperor)</w:t>
      </w:r>
    </w:p>
    <w:p w:rsidR="00B72047" w:rsidRDefault="00B72047">
      <w:pPr>
        <w:pStyle w:val="examplescaledpre"/>
        <w:spacing w:line="220" w:lineRule="exact"/>
      </w:pPr>
      <w:r>
        <w:tab/>
        <w:t>nolraitru = nobly-superlative-ruler</w:t>
      </w:r>
    </w:p>
    <w:p w:rsidR="00B72047" w:rsidRDefault="00B72047">
      <w:pPr>
        <w:pStyle w:val="normalafterexample"/>
      </w:pPr>
      <w:r>
        <w:rPr>
          <w:rStyle w:val="htmlcodes"/>
        </w:rPr>
        <w:t>&lt;/dl&gt;</w:t>
      </w:r>
      <w:r>
        <w:rPr>
          <w:rStyle w:val="indexentry"/>
        </w:rPr>
        <w:t>&lt;cx "asymmetrical tanru types, inhabitant + habitat"&gt;</w:t>
      </w:r>
      <w:r>
        <w:rPr>
          <w:rStyle w:val="indexentry"/>
        </w:rPr>
        <w:fldChar w:fldCharType="begin"/>
      </w:r>
      <w:r>
        <w:instrText>xe "</w:instrText>
      </w:r>
      <w:r>
        <w:rPr>
          <w:rStyle w:val="xeentry"/>
        </w:rPr>
        <w:instrText>asymmetrical tanru types: inhabitant + habitat</w:instrText>
      </w:r>
      <w:r>
        <w:instrText>"</w:instrText>
      </w:r>
      <w:r>
        <w:rPr>
          <w:rStyle w:val="indexentry"/>
        </w:rPr>
        <w:fldChar w:fldCharType="end"/>
      </w:r>
      <w:r>
        <w:t>The tertau specifies a habitat, and the seltau specifies the</w:t>
      </w:r>
      <w:r>
        <w:rPr>
          <w:rStyle w:val="deletedparamark"/>
        </w:rPr>
        <w:t xml:space="preserve"> </w:t>
      </w:r>
      <w:r>
        <w:t>in</w:t>
      </w:r>
      <w:r>
        <w:softHyphen/>
        <w:t>habitant:</w:t>
      </w:r>
    </w:p>
    <w:p w:rsidR="00B72047" w:rsidRDefault="00B72047">
      <w:pPr>
        <w:rPr>
          <w:rStyle w:val="htmlparacode"/>
        </w:rPr>
      </w:pPr>
      <w:r>
        <w:rPr>
          <w:rStyle w:val="htmlparacode"/>
        </w:rPr>
        <w:t>&lt;p&gt;</w:t>
      </w:r>
    </w:p>
    <w:p w:rsidR="00B72047" w:rsidRDefault="00B72047">
      <w:pPr>
        <w:pStyle w:val="examplegtabspre"/>
      </w:pPr>
      <w:r>
        <w:rPr>
          <w:rStyle w:val="htmlcodes"/>
        </w:rPr>
        <w:t>&lt;dl compact&gt;&lt;dt&gt;</w:t>
      </w:r>
      <w:r>
        <w:tab/>
        <w:t>lanzu tumla</w:t>
      </w:r>
      <w:r>
        <w:tab/>
      </w:r>
      <w:r>
        <w:tab/>
      </w:r>
      <w:r>
        <w:rPr>
          <w:rStyle w:val="htmlcodes"/>
        </w:rPr>
        <w:t>&lt;dd&gt;</w:t>
      </w:r>
      <w:r>
        <w:t>family land</w:t>
      </w:r>
    </w:p>
    <w:p w:rsidR="00B72047" w:rsidRDefault="00B72047">
      <w:pPr>
        <w:pStyle w:val="normalafterexample"/>
        <w:spacing w:before="0"/>
      </w:pPr>
      <w:r>
        <w:rPr>
          <w:rStyle w:val="htmlcodes"/>
          <w:vanish w:val="0"/>
        </w:rPr>
        <w:br w:type="page"/>
      </w:r>
      <w:r>
        <w:rPr>
          <w:rStyle w:val="htmlcodes"/>
        </w:rPr>
        <w:t>&lt;/dl&gt;</w:t>
      </w:r>
      <w:r>
        <w:rPr>
          <w:rStyle w:val="indexentry"/>
        </w:rPr>
        <w:t>&lt;cx "asymmetrical tanru types, effect + causative agent"&gt;</w:t>
      </w:r>
      <w:r>
        <w:rPr>
          <w:rStyle w:val="indexentry"/>
        </w:rPr>
        <w:fldChar w:fldCharType="begin"/>
      </w:r>
      <w:r>
        <w:instrText>xe "</w:instrText>
      </w:r>
      <w:r>
        <w:rPr>
          <w:rStyle w:val="xeentry"/>
        </w:rPr>
        <w:instrText>asymmetrical tanru types: effect + causative agent</w:instrText>
      </w:r>
      <w:r>
        <w:instrText>"</w:instrText>
      </w:r>
      <w:r>
        <w:rPr>
          <w:rStyle w:val="indexentry"/>
        </w:rPr>
        <w:fldChar w:fldCharType="end"/>
      </w:r>
      <w:r>
        <w:t>The tertau specifies a causative agent, and the seltau</w:t>
      </w:r>
      <w:r>
        <w:rPr>
          <w:rStyle w:val="deletedparamark"/>
        </w:rPr>
        <w:t xml:space="preserve"> </w:t>
      </w:r>
      <w:r>
        <w:t>speci</w:t>
      </w:r>
      <w:r>
        <w:softHyphen/>
        <w:t>fies the effect of that cause: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kalselvi'i gapci</w:t>
      </w:r>
      <w:r>
        <w:tab/>
      </w:r>
      <w:r>
        <w:tab/>
      </w:r>
      <w:r>
        <w:rPr>
          <w:rStyle w:val="htmlcodes"/>
        </w:rPr>
        <w:t>&lt;dd&gt;</w:t>
      </w:r>
      <w:r>
        <w:t>tear gas (Hun)</w:t>
      </w:r>
      <w:r>
        <w:rPr>
          <w:rStyle w:val="deletedparamark"/>
        </w:rPr>
        <w:t xml:space="preserve"> </w:t>
      </w:r>
    </w:p>
    <w:p w:rsidR="00B72047" w:rsidRDefault="00B72047">
      <w:pPr>
        <w:pStyle w:val="examplegrouptabs"/>
        <w:rPr>
          <w:rStyle w:val="deletedparamark"/>
        </w:rPr>
      </w:pPr>
      <w:r>
        <w:tab/>
        <w:t>terbi'a jurme</w:t>
      </w:r>
      <w:r>
        <w:tab/>
      </w:r>
      <w:r>
        <w:tab/>
        <w:t>disease germ (Tur)</w:t>
      </w:r>
      <w:r>
        <w:rPr>
          <w:rStyle w:val="deletedparamark"/>
        </w:rPr>
        <w:t xml:space="preserve"> </w:t>
      </w:r>
    </w:p>
    <w:p w:rsidR="00B72047" w:rsidRDefault="00B72047">
      <w:pPr>
        <w:pStyle w:val="examplegrouptabs"/>
        <w:rPr>
          <w:rStyle w:val="deletedparamark"/>
        </w:rPr>
      </w:pPr>
      <w:r>
        <w:tab/>
        <w:t>fenki litki</w:t>
      </w:r>
      <w:r>
        <w:tab/>
      </w:r>
      <w:r>
        <w:tab/>
        <w:t>crazy liquid (Hop = whisky)</w:t>
      </w:r>
      <w:r>
        <w:rPr>
          <w:rStyle w:val="deletedparamark"/>
        </w:rPr>
        <w:t xml:space="preserve"> </w:t>
      </w:r>
    </w:p>
    <w:p w:rsidR="00B72047" w:rsidRDefault="00B72047">
      <w:pPr>
        <w:pStyle w:val="examplegrouptabs"/>
      </w:pPr>
      <w:r>
        <w:tab/>
        <w:t>pinca litki</w:t>
      </w:r>
      <w:r>
        <w:tab/>
      </w:r>
      <w:r>
        <w:tab/>
        <w:t>urine liquid (Hop = beer)</w:t>
      </w:r>
    </w:p>
    <w:p w:rsidR="00B72047" w:rsidRDefault="00B72047">
      <w:pPr>
        <w:pStyle w:val="examplescaledpre"/>
        <w:spacing w:line="220" w:lineRule="exact"/>
      </w:pPr>
      <w:r>
        <w:tab/>
        <w:t>kalselvi'i = eye-excreted-thing</w:t>
      </w:r>
    </w:p>
    <w:p w:rsidR="00B72047" w:rsidRDefault="00B72047">
      <w:pPr>
        <w:pStyle w:val="examplescaled"/>
        <w:spacing w:line="220" w:lineRule="exact"/>
      </w:pPr>
      <w:r>
        <w:tab/>
        <w:t>terbi'a = disease</w:t>
      </w:r>
    </w:p>
    <w:p w:rsidR="00B72047" w:rsidRDefault="00B72047">
      <w:pPr>
        <w:pStyle w:val="normalafterexample"/>
      </w:pPr>
      <w:r>
        <w:rPr>
          <w:rStyle w:val="htmlcodes"/>
        </w:rPr>
        <w:t>&lt;/dl&gt;</w:t>
      </w:r>
      <w:r>
        <w:rPr>
          <w:rStyle w:val="indexentry"/>
        </w:rPr>
        <w:t>&lt;cx "asymmetrical tanru types, cause + effect"&gt;</w:t>
      </w:r>
      <w:r>
        <w:rPr>
          <w:rStyle w:val="indexentry"/>
        </w:rPr>
        <w:fldChar w:fldCharType="begin"/>
      </w:r>
      <w:r>
        <w:instrText>xe "</w:instrText>
      </w:r>
      <w:r>
        <w:rPr>
          <w:rStyle w:val="xeentry"/>
        </w:rPr>
        <w:instrText>asymmetrical tanru types: cause + effect</w:instrText>
      </w:r>
      <w:r>
        <w:instrText>"</w:instrText>
      </w:r>
      <w:r>
        <w:rPr>
          <w:rStyle w:val="indexentry"/>
        </w:rPr>
        <w:fldChar w:fldCharType="end"/>
      </w:r>
      <w:r>
        <w:t>Conversely: the tertau specifies an effect, and the seltau</w:t>
      </w:r>
      <w:r>
        <w:rPr>
          <w:rStyle w:val="deletedparamark"/>
        </w:rPr>
        <w:t xml:space="preserve"> </w:t>
      </w:r>
      <w:r>
        <w:t>specifies its cause.</w:t>
      </w:r>
    </w:p>
    <w:p w:rsidR="00B72047" w:rsidRDefault="00B72047">
      <w:pPr>
        <w:rPr>
          <w:rStyle w:val="htmlparacode"/>
        </w:rPr>
      </w:pPr>
      <w:r>
        <w:rPr>
          <w:rStyle w:val="htmlparacode"/>
        </w:rPr>
        <w:t>&lt;p&gt;</w:t>
      </w:r>
    </w:p>
    <w:p w:rsidR="00B72047" w:rsidRDefault="00B72047">
      <w:pPr>
        <w:pStyle w:val="examplegtabspre"/>
      </w:pPr>
      <w:r>
        <w:rPr>
          <w:rStyle w:val="htmlcodes"/>
        </w:rPr>
        <w:t>&lt;dl compact&gt;&lt;dt&gt;</w:t>
      </w:r>
      <w:r>
        <w:tab/>
        <w:t>djacu barna</w:t>
      </w:r>
      <w:r>
        <w:tab/>
      </w:r>
      <w:r>
        <w:tab/>
      </w:r>
      <w:r>
        <w:rPr>
          <w:rStyle w:val="htmlcodes"/>
        </w:rPr>
        <w:t>&lt;dd&gt;</w:t>
      </w:r>
      <w:r>
        <w:t>water mark (Chi)</w:t>
      </w:r>
    </w:p>
    <w:p w:rsidR="00B72047" w:rsidRDefault="00B72047">
      <w:pPr>
        <w:pStyle w:val="normalafterexample"/>
      </w:pPr>
      <w:r>
        <w:rPr>
          <w:rStyle w:val="htmlcodes"/>
        </w:rPr>
        <w:t>&lt;/dl&gt;</w:t>
      </w:r>
      <w:r>
        <w:rPr>
          <w:rStyle w:val="indexentry"/>
        </w:rPr>
        <w:t>&lt;cx "asymmetrical tanru types, purpose-of-instrument + instrument"&gt;</w:t>
      </w:r>
      <w:r>
        <w:rPr>
          <w:rStyle w:val="indexentry"/>
        </w:rPr>
        <w:fldChar w:fldCharType="begin"/>
      </w:r>
      <w:r>
        <w:instrText>xe "</w:instrText>
      </w:r>
      <w:r>
        <w:rPr>
          <w:rStyle w:val="xeentry"/>
        </w:rPr>
        <w:instrText>asymmetrical tanru types: purpose-of-instrument + instrument</w:instrText>
      </w:r>
      <w:r>
        <w:instrText>"</w:instrText>
      </w:r>
      <w:r>
        <w:rPr>
          <w:rStyle w:val="indexentry"/>
        </w:rPr>
        <w:fldChar w:fldCharType="end"/>
      </w:r>
      <w:r>
        <w:t>The tertau specifies an instrument, and the seltau specifies the</w:t>
      </w:r>
      <w:r>
        <w:rPr>
          <w:rStyle w:val="deletedparamark"/>
        </w:rPr>
        <w:t xml:space="preserve"> </w:t>
      </w:r>
      <w:r>
        <w:t>purpose of that i</w:t>
      </w:r>
      <w:r>
        <w:t>n</w:t>
      </w:r>
      <w:r>
        <w:softHyphen/>
        <w:t>strument:</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taxfu dadgreku</w:t>
      </w:r>
      <w:r>
        <w:tab/>
      </w:r>
      <w:r>
        <w:tab/>
      </w:r>
      <w:r>
        <w:rPr>
          <w:rStyle w:val="htmlcodes"/>
        </w:rPr>
        <w:t>&lt;dd&gt;</w:t>
      </w:r>
      <w:r>
        <w:t>garment rack (Chi)</w:t>
      </w:r>
      <w:r>
        <w:rPr>
          <w:rStyle w:val="deletedparamark"/>
        </w:rPr>
        <w:t xml:space="preserve"> </w:t>
      </w:r>
    </w:p>
    <w:p w:rsidR="00B72047" w:rsidRDefault="00B72047">
      <w:pPr>
        <w:pStyle w:val="examplegrouptabs"/>
        <w:rPr>
          <w:rStyle w:val="deletedparamark"/>
        </w:rPr>
      </w:pPr>
      <w:r>
        <w:tab/>
        <w:t>tergu'i ti'otci</w:t>
      </w:r>
      <w:r>
        <w:tab/>
      </w:r>
      <w:r>
        <w:tab/>
        <w:t>lamp shade (Chi)</w:t>
      </w:r>
      <w:r>
        <w:rPr>
          <w:rStyle w:val="deletedparamark"/>
        </w:rPr>
        <w:t xml:space="preserve"> </w:t>
      </w:r>
    </w:p>
    <w:p w:rsidR="00B72047" w:rsidRDefault="00B72047">
      <w:pPr>
        <w:pStyle w:val="examplegrouptabs"/>
        <w:rPr>
          <w:rStyle w:val="deletedparamark"/>
        </w:rPr>
      </w:pPr>
      <w:r>
        <w:tab/>
        <w:t>xirma zdani</w:t>
      </w:r>
      <w:r>
        <w:tab/>
      </w:r>
      <w:r>
        <w:tab/>
        <w:t>horse house (Chi = stall)</w:t>
      </w:r>
      <w:r>
        <w:rPr>
          <w:rStyle w:val="deletedparamark"/>
        </w:rPr>
        <w:t xml:space="preserve"> </w:t>
      </w:r>
    </w:p>
    <w:p w:rsidR="00B72047" w:rsidRDefault="00B72047">
      <w:pPr>
        <w:pStyle w:val="examplegrouptabs"/>
      </w:pPr>
      <w:r>
        <w:tab/>
        <w:t>nuzba tanbo</w:t>
      </w:r>
      <w:r>
        <w:tab/>
      </w:r>
      <w:r>
        <w:tab/>
        <w:t>news board (Chi = bulletin board)</w:t>
      </w:r>
    </w:p>
    <w:p w:rsidR="00B72047" w:rsidRDefault="00B72047">
      <w:pPr>
        <w:pStyle w:val="examplescaledpre"/>
        <w:spacing w:line="220" w:lineRule="exact"/>
      </w:pPr>
      <w:r>
        <w:tab/>
        <w:t>dadgreku = hang-frame</w:t>
      </w:r>
    </w:p>
    <w:p w:rsidR="00B72047" w:rsidRDefault="00B72047">
      <w:pPr>
        <w:pStyle w:val="examplescaled"/>
        <w:spacing w:line="220" w:lineRule="exact"/>
      </w:pPr>
      <w:r>
        <w:tab/>
        <w:t>tergu'i = source of illumination</w:t>
      </w:r>
    </w:p>
    <w:p w:rsidR="00B72047" w:rsidRDefault="00B72047">
      <w:pPr>
        <w:pStyle w:val="examplescaled"/>
        <w:spacing w:line="220" w:lineRule="exact"/>
      </w:pPr>
      <w:r>
        <w:tab/>
        <w:t>ti'otci = shadow-tool</w:t>
      </w:r>
    </w:p>
    <w:p w:rsidR="00B72047" w:rsidRDefault="00B72047">
      <w:pPr>
        <w:pStyle w:val="normalafterexample"/>
      </w:pPr>
      <w:r>
        <w:rPr>
          <w:rStyle w:val="htmlcodes"/>
        </w:rPr>
        <w:t>&lt;/dl&gt;</w:t>
      </w:r>
      <w:r>
        <w:rPr>
          <w:rStyle w:val="indexentry"/>
        </w:rPr>
        <w:t>&lt;cx "asymmetrical tanru types, object-of-purpose-of-instrument + instrument"&gt;</w:t>
      </w:r>
      <w:r>
        <w:rPr>
          <w:rStyle w:val="indexentry"/>
        </w:rPr>
        <w:fldChar w:fldCharType="begin"/>
      </w:r>
      <w:r>
        <w:instrText>xe "</w:instrText>
      </w:r>
      <w:r>
        <w:rPr>
          <w:rStyle w:val="xeentry"/>
        </w:rPr>
        <w:instrText>asymmetrical tanru types: object-of-purpose-of-instrument + instrument</w:instrText>
      </w:r>
      <w:r>
        <w:instrText>"</w:instrText>
      </w:r>
      <w:r>
        <w:rPr>
          <w:rStyle w:val="indexentry"/>
        </w:rPr>
        <w:fldChar w:fldCharType="end"/>
      </w:r>
      <w:r>
        <w:t>More vaguely: the tertau specifies an instrument, and the seltau</w:t>
      </w:r>
      <w:r>
        <w:rPr>
          <w:rStyle w:val="deletedparamark"/>
        </w:rPr>
        <w:t xml:space="preserve"> </w:t>
      </w:r>
      <w:r>
        <w:t>specifies the object of the purpose for which that instrument is used:</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cpina rokci</w:t>
      </w:r>
      <w:r>
        <w:tab/>
      </w:r>
      <w:r>
        <w:tab/>
      </w:r>
      <w:r>
        <w:rPr>
          <w:rStyle w:val="htmlcodes"/>
        </w:rPr>
        <w:t>&lt;dd&gt;</w:t>
      </w:r>
      <w:r>
        <w:t>pepper stone (Que = stone for grinding pepper)</w:t>
      </w:r>
      <w:r>
        <w:rPr>
          <w:rStyle w:val="deletedparamark"/>
        </w:rPr>
        <w:t xml:space="preserve"> </w:t>
      </w:r>
    </w:p>
    <w:p w:rsidR="00B72047" w:rsidRDefault="00B72047">
      <w:pPr>
        <w:pStyle w:val="examplegrouptabs"/>
        <w:rPr>
          <w:rStyle w:val="deletedparamark"/>
        </w:rPr>
      </w:pPr>
      <w:r>
        <w:tab/>
        <w:t>jamfu djacu</w:t>
      </w:r>
      <w:r>
        <w:tab/>
      </w:r>
      <w:r>
        <w:tab/>
        <w:t>foot water (Skt = water for washing the feet)</w:t>
      </w:r>
      <w:r>
        <w:rPr>
          <w:rStyle w:val="deletedparamark"/>
        </w:rPr>
        <w:t xml:space="preserve"> </w:t>
      </w:r>
    </w:p>
    <w:p w:rsidR="00B72047" w:rsidRDefault="00B72047">
      <w:pPr>
        <w:pStyle w:val="examplegrouptabs"/>
        <w:rPr>
          <w:rStyle w:val="deletedparamark"/>
        </w:rPr>
      </w:pPr>
      <w:r>
        <w:tab/>
        <w:t>grana mudri</w:t>
      </w:r>
      <w:r>
        <w:tab/>
      </w:r>
      <w:r>
        <w:tab/>
        <w:t>post wood (Skt = wood for making a post)</w:t>
      </w:r>
      <w:r>
        <w:rPr>
          <w:rStyle w:val="deletedparamark"/>
        </w:rPr>
        <w:t xml:space="preserve"> </w:t>
      </w:r>
    </w:p>
    <w:p w:rsidR="00B72047" w:rsidRDefault="00B72047">
      <w:pPr>
        <w:pStyle w:val="examplegrouptabs"/>
      </w:pPr>
      <w:r>
        <w:tab/>
        <w:t>moklu djacu</w:t>
      </w:r>
      <w:r>
        <w:tab/>
      </w:r>
      <w:r>
        <w:tab/>
        <w:t>mouth water (Hun = water for washing the</w:t>
      </w:r>
    </w:p>
    <w:p w:rsidR="00B72047" w:rsidRDefault="00B72047">
      <w:pPr>
        <w:pStyle w:val="examplegrouptabs"/>
        <w:rPr>
          <w:rStyle w:val="deletedparamark"/>
        </w:rPr>
      </w:pPr>
      <w:r>
        <w:tab/>
      </w:r>
      <w:r>
        <w:tab/>
      </w:r>
      <w:r>
        <w:tab/>
      </w:r>
      <w:r>
        <w:tab/>
      </w:r>
      <w:r>
        <w:tab/>
        <w:t>mouth)</w:t>
      </w:r>
      <w:r>
        <w:rPr>
          <w:rStyle w:val="deletedparamark"/>
        </w:rPr>
        <w:t xml:space="preserve"> </w:t>
      </w:r>
    </w:p>
    <w:p w:rsidR="00B72047" w:rsidRDefault="00B72047">
      <w:pPr>
        <w:pStyle w:val="examplegrouptabs"/>
      </w:pPr>
      <w:r>
        <w:tab/>
        <w:t>lanme gerku</w:t>
      </w:r>
      <w:r>
        <w:tab/>
      </w:r>
      <w:r>
        <w:tab/>
        <w:t>sheep dog (dog for working sheep)</w:t>
      </w:r>
    </w:p>
    <w:p w:rsidR="00B72047" w:rsidRDefault="00B72047">
      <w:pPr>
        <w:pStyle w:val="normalafterexample"/>
      </w:pPr>
      <w:r>
        <w:rPr>
          <w:rStyle w:val="htmlcodes"/>
        </w:rPr>
        <w:t>&lt;/dl&gt;</w:t>
      </w:r>
      <w:r>
        <w:rPr>
          <w:rStyle w:val="indexentry"/>
        </w:rPr>
        <w:t>&lt;cx "asymmetrical tanru types, source + product"&gt;</w:t>
      </w:r>
      <w:r>
        <w:rPr>
          <w:rStyle w:val="indexentry"/>
        </w:rPr>
        <w:fldChar w:fldCharType="begin"/>
      </w:r>
      <w:r>
        <w:instrText>xe "</w:instrText>
      </w:r>
      <w:r>
        <w:rPr>
          <w:rStyle w:val="xeentry"/>
        </w:rPr>
        <w:instrText>asymmetrical tanru types: source + product</w:instrText>
      </w:r>
      <w:r>
        <w:instrText>"</w:instrText>
      </w:r>
      <w:r>
        <w:rPr>
          <w:rStyle w:val="indexentry"/>
        </w:rPr>
        <w:fldChar w:fldCharType="end"/>
      </w:r>
      <w:r>
        <w:t>The tertau specifies a product from some source, and the seltau</w:t>
      </w:r>
      <w:r>
        <w:rPr>
          <w:rStyle w:val="deletedparamark"/>
        </w:rPr>
        <w:t xml:space="preserve"> </w:t>
      </w:r>
      <w:r>
        <w:t>specifies the source of the product:</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moklu djacu</w:t>
      </w:r>
      <w:r>
        <w:tab/>
      </w:r>
      <w:r>
        <w:tab/>
      </w:r>
      <w:r>
        <w:rPr>
          <w:rStyle w:val="htmlcodes"/>
        </w:rPr>
        <w:t>&lt;dd&gt;</w:t>
      </w:r>
      <w:r>
        <w:t>mouth water (Aba,Qab = saliva)</w:t>
      </w:r>
      <w:r>
        <w:rPr>
          <w:rStyle w:val="deletedparamark"/>
        </w:rPr>
        <w:t xml:space="preserve"> </w:t>
      </w:r>
    </w:p>
    <w:p w:rsidR="00B72047" w:rsidRDefault="00B72047">
      <w:pPr>
        <w:pStyle w:val="examplegrouptabs"/>
        <w:rPr>
          <w:rStyle w:val="deletedparamark"/>
        </w:rPr>
      </w:pPr>
      <w:r>
        <w:tab/>
        <w:t>ractu mapku</w:t>
      </w:r>
      <w:r>
        <w:tab/>
      </w:r>
      <w:r>
        <w:tab/>
        <w:t>rabbit hat (Rus)</w:t>
      </w:r>
      <w:r>
        <w:rPr>
          <w:rStyle w:val="deletedparamark"/>
        </w:rPr>
        <w:t xml:space="preserve"> </w:t>
      </w:r>
    </w:p>
    <w:p w:rsidR="00B72047" w:rsidRDefault="00B72047">
      <w:pPr>
        <w:pStyle w:val="examplegrouptabs"/>
        <w:rPr>
          <w:rStyle w:val="deletedparamark"/>
        </w:rPr>
      </w:pPr>
      <w:r>
        <w:tab/>
        <w:t>jipci sovda</w:t>
      </w:r>
      <w:r>
        <w:tab/>
      </w:r>
      <w:r>
        <w:tab/>
        <w:t>chicken egg (Chi)</w:t>
      </w:r>
      <w:r>
        <w:rPr>
          <w:rStyle w:val="deletedparamark"/>
        </w:rPr>
        <w:t xml:space="preserve"> </w:t>
      </w:r>
    </w:p>
    <w:p w:rsidR="00B72047" w:rsidRDefault="00B72047">
      <w:pPr>
        <w:pStyle w:val="examplegrouptabs"/>
        <w:rPr>
          <w:rStyle w:val="deletedparamark"/>
        </w:rPr>
      </w:pPr>
      <w:r>
        <w:tab/>
        <w:t>sikcurnu silka</w:t>
      </w:r>
      <w:r>
        <w:tab/>
      </w:r>
      <w:r>
        <w:tab/>
        <w:t>silkworm silk (Chi)</w:t>
      </w:r>
      <w:r>
        <w:rPr>
          <w:rStyle w:val="deletedparamark"/>
        </w:rPr>
        <w:t xml:space="preserve"> </w:t>
      </w:r>
    </w:p>
    <w:p w:rsidR="00B72047" w:rsidRDefault="00B72047">
      <w:pPr>
        <w:pStyle w:val="examplegrouptabs"/>
        <w:rPr>
          <w:rStyle w:val="deletedparamark"/>
        </w:rPr>
      </w:pPr>
      <w:r>
        <w:tab/>
        <w:t>mlatu kalci</w:t>
      </w:r>
      <w:r>
        <w:tab/>
      </w:r>
      <w:r>
        <w:tab/>
        <w:t>cat feces (Chi)</w:t>
      </w:r>
      <w:r>
        <w:rPr>
          <w:rStyle w:val="deletedparamark"/>
        </w:rPr>
        <w:t xml:space="preserve"> </w:t>
      </w:r>
    </w:p>
    <w:p w:rsidR="00B72047" w:rsidRDefault="00B72047">
      <w:pPr>
        <w:pStyle w:val="examplegrouptabs"/>
        <w:rPr>
          <w:rStyle w:val="deletedparamark"/>
        </w:rPr>
      </w:pPr>
      <w:r>
        <w:tab/>
        <w:t>bifce lakse</w:t>
      </w:r>
      <w:r>
        <w:tab/>
      </w:r>
      <w:r>
        <w:tab/>
        <w:t>bee wax (Chi = beeswax)</w:t>
      </w:r>
      <w:r>
        <w:rPr>
          <w:rStyle w:val="deletedparamark"/>
        </w:rPr>
        <w:t xml:space="preserve"> </w:t>
      </w:r>
    </w:p>
    <w:p w:rsidR="00B72047" w:rsidRDefault="00B72047">
      <w:pPr>
        <w:pStyle w:val="examplegrouptabs"/>
        <w:rPr>
          <w:rStyle w:val="deletedparamark"/>
        </w:rPr>
      </w:pPr>
      <w:r>
        <w:tab/>
        <w:t>cribe rectu</w:t>
      </w:r>
      <w:r>
        <w:tab/>
      </w:r>
      <w:r>
        <w:tab/>
        <w:t>bear meat (Tur,Kor,Hun,Udm,Aba)</w:t>
      </w:r>
      <w:r>
        <w:rPr>
          <w:rStyle w:val="deletedparamark"/>
        </w:rPr>
        <w:t xml:space="preserve"> </w:t>
      </w:r>
    </w:p>
    <w:p w:rsidR="00B72047" w:rsidRDefault="00B72047">
      <w:pPr>
        <w:pStyle w:val="examplegrouptabs"/>
        <w:rPr>
          <w:rStyle w:val="deletedparamark"/>
        </w:rPr>
      </w:pPr>
      <w:r>
        <w:tab/>
        <w:t>solxrula grasu</w:t>
      </w:r>
      <w:r>
        <w:tab/>
      </w:r>
      <w:r>
        <w:tab/>
        <w:t>sunflower oil (Tur,Kor,Hun,Udm,Aba)</w:t>
      </w:r>
      <w:r>
        <w:rPr>
          <w:rStyle w:val="deletedparamark"/>
        </w:rPr>
        <w:t xml:space="preserve"> </w:t>
      </w:r>
    </w:p>
    <w:p w:rsidR="00B72047" w:rsidRDefault="00B72047">
      <w:pPr>
        <w:pStyle w:val="examplegrouptabs"/>
        <w:rPr>
          <w:rStyle w:val="deletedparamark"/>
        </w:rPr>
      </w:pPr>
      <w:r>
        <w:tab/>
        <w:t>bifce jisra</w:t>
      </w:r>
      <w:r>
        <w:tab/>
      </w:r>
      <w:r>
        <w:tab/>
        <w:t>bee juice (Hop = honey)</w:t>
      </w:r>
      <w:r>
        <w:rPr>
          <w:rStyle w:val="deletedparamark"/>
        </w:rPr>
        <w:t xml:space="preserve"> </w:t>
      </w:r>
    </w:p>
    <w:p w:rsidR="00B72047" w:rsidRDefault="00B72047">
      <w:pPr>
        <w:pStyle w:val="examplegrouptabs"/>
        <w:rPr>
          <w:rStyle w:val="deletedparamark"/>
        </w:rPr>
      </w:pPr>
      <w:r>
        <w:tab/>
        <w:t>tatru litki</w:t>
      </w:r>
      <w:r>
        <w:tab/>
      </w:r>
      <w:r>
        <w:tab/>
        <w:t>breast liquid (Hop = milk)</w:t>
      </w:r>
      <w:r>
        <w:rPr>
          <w:rStyle w:val="deletedparamark"/>
        </w:rPr>
        <w:t xml:space="preserve"> </w:t>
      </w:r>
    </w:p>
    <w:p w:rsidR="00B72047" w:rsidRDefault="00B72047">
      <w:pPr>
        <w:pStyle w:val="examplegrouptabs"/>
      </w:pPr>
      <w:r>
        <w:tab/>
        <w:t>kanla djacu</w:t>
      </w:r>
      <w:r>
        <w:tab/>
      </w:r>
      <w:r>
        <w:tab/>
        <w:t>eye water (Kor = tear)</w:t>
      </w:r>
    </w:p>
    <w:p w:rsidR="00B72047" w:rsidRDefault="00B72047">
      <w:pPr>
        <w:pStyle w:val="examplescaledpre"/>
        <w:spacing w:line="220" w:lineRule="exact"/>
      </w:pPr>
      <w:r>
        <w:tab/>
        <w:t>sikcurnu = silk-worm</w:t>
      </w:r>
    </w:p>
    <w:p w:rsidR="00B72047" w:rsidRDefault="00B72047">
      <w:pPr>
        <w:pStyle w:val="examplescaled"/>
        <w:spacing w:line="220" w:lineRule="exact"/>
      </w:pPr>
      <w:r>
        <w:tab/>
        <w:t>solxrula = solar-flower</w:t>
      </w:r>
    </w:p>
    <w:p w:rsidR="00B72047" w:rsidRDefault="00B72047">
      <w:pPr>
        <w:pStyle w:val="normalafterexample"/>
      </w:pPr>
      <w:r>
        <w:rPr>
          <w:rStyle w:val="htmlcodes"/>
        </w:rPr>
        <w:t>&lt;/dl&gt;</w:t>
      </w:r>
      <w:r>
        <w:rPr>
          <w:rStyle w:val="indexentry"/>
        </w:rPr>
        <w:t>&lt;cx "asymmetrical tanru types, product + source"&gt;</w:t>
      </w:r>
      <w:r>
        <w:rPr>
          <w:rStyle w:val="indexentry"/>
        </w:rPr>
        <w:fldChar w:fldCharType="begin"/>
      </w:r>
      <w:r>
        <w:instrText>xe "</w:instrText>
      </w:r>
      <w:r>
        <w:rPr>
          <w:rStyle w:val="xeentry"/>
        </w:rPr>
        <w:instrText>asymmetrical tanru types: product + source</w:instrText>
      </w:r>
      <w:r>
        <w:instrText>"</w:instrText>
      </w:r>
      <w:r>
        <w:rPr>
          <w:rStyle w:val="indexentry"/>
        </w:rPr>
        <w:fldChar w:fldCharType="end"/>
      </w:r>
      <w:r>
        <w:t>Conversely: the tertau specifies the source of a product, and the</w:t>
      </w:r>
      <w:r>
        <w:rPr>
          <w:rStyle w:val="deletedparamark"/>
        </w:rPr>
        <w:t xml:space="preserve"> </w:t>
      </w:r>
      <w:r>
        <w:t>seltau specifies the product:</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silna jinto</w:t>
      </w:r>
      <w:r>
        <w:tab/>
      </w:r>
      <w:r>
        <w:tab/>
      </w:r>
      <w:r>
        <w:rPr>
          <w:rStyle w:val="htmlcodes"/>
        </w:rPr>
        <w:t>&lt;dd&gt;</w:t>
      </w:r>
      <w:r>
        <w:t>salt well (Chi)</w:t>
      </w:r>
      <w:r>
        <w:rPr>
          <w:rStyle w:val="deletedparamark"/>
        </w:rPr>
        <w:t xml:space="preserve"> </w:t>
      </w:r>
    </w:p>
    <w:p w:rsidR="00B72047" w:rsidRDefault="00B72047">
      <w:pPr>
        <w:pStyle w:val="examplegrouptabs"/>
        <w:rPr>
          <w:rStyle w:val="deletedparamark"/>
        </w:rPr>
      </w:pPr>
      <w:r>
        <w:tab/>
        <w:t>kolme terkakpa</w:t>
      </w:r>
      <w:r>
        <w:tab/>
      </w:r>
      <w:r>
        <w:tab/>
        <w:t>coal mine (Chi)</w:t>
      </w:r>
      <w:r>
        <w:rPr>
          <w:rStyle w:val="deletedparamark"/>
        </w:rPr>
        <w:t xml:space="preserve"> </w:t>
      </w:r>
    </w:p>
    <w:p w:rsidR="00B72047" w:rsidRDefault="00B72047">
      <w:pPr>
        <w:pStyle w:val="examplegrouptabs"/>
      </w:pPr>
      <w:r>
        <w:tab/>
        <w:t>ctile jinto</w:t>
      </w:r>
      <w:r>
        <w:tab/>
      </w:r>
      <w:r>
        <w:tab/>
        <w:t>oil well (Chi)</w:t>
      </w:r>
    </w:p>
    <w:p w:rsidR="00B72047" w:rsidRDefault="00B72047">
      <w:pPr>
        <w:pStyle w:val="examplescaledpre"/>
        <w:spacing w:line="220" w:lineRule="exact"/>
      </w:pPr>
      <w:r>
        <w:tab/>
        <w:t>terkakpa = source of digging</w:t>
      </w:r>
    </w:p>
    <w:p w:rsidR="00B72047" w:rsidRDefault="00B72047">
      <w:pPr>
        <w:pStyle w:val="normalafterexample"/>
      </w:pPr>
      <w:r>
        <w:rPr>
          <w:rStyle w:val="htmlcodes"/>
        </w:rPr>
        <w:t>&lt;/dl&gt;</w:t>
      </w:r>
      <w:r>
        <w:rPr>
          <w:rStyle w:val="indexentry"/>
        </w:rPr>
        <w:t>&lt;cx "asymmetrical tanru types, source-material + object"&gt;</w:t>
      </w:r>
      <w:r>
        <w:rPr>
          <w:rStyle w:val="indexentry"/>
        </w:rPr>
        <w:fldChar w:fldCharType="begin"/>
      </w:r>
      <w:r>
        <w:instrText>xe "</w:instrText>
      </w:r>
      <w:r>
        <w:rPr>
          <w:rStyle w:val="xeentry"/>
        </w:rPr>
        <w:instrText>asymmetrical tanru types: source-material + object</w:instrText>
      </w:r>
      <w:r>
        <w:instrText>"</w:instrText>
      </w:r>
      <w:r>
        <w:rPr>
          <w:rStyle w:val="indexentry"/>
        </w:rPr>
        <w:fldChar w:fldCharType="end"/>
      </w:r>
      <w:r>
        <w:t>The tertau specifies an object, and the seltau specifies the</w:t>
      </w:r>
      <w:r>
        <w:rPr>
          <w:rStyle w:val="deletedparamark"/>
        </w:rPr>
        <w:t xml:space="preserve"> </w:t>
      </w:r>
      <w:r>
        <w:t>material from which the object is made. This case is especially</w:t>
      </w:r>
      <w:r>
        <w:rPr>
          <w:rStyle w:val="deletedparamark"/>
        </w:rPr>
        <w:t xml:space="preserve"> </w:t>
      </w:r>
      <w:r>
        <w:t>inter</w:t>
      </w:r>
      <w:r>
        <w:softHyphen/>
        <w:t>esting, because the referent of the tertau may normally be</w:t>
      </w:r>
      <w:r>
        <w:rPr>
          <w:rStyle w:val="deletedparamark"/>
        </w:rPr>
        <w:t xml:space="preserve"> </w:t>
      </w:r>
      <w:r>
        <w:t>made from just one kind of material, which is then overridden in</w:t>
      </w:r>
      <w:r>
        <w:rPr>
          <w:rStyle w:val="deletedparamark"/>
        </w:rPr>
        <w:t xml:space="preserve"> </w:t>
      </w:r>
      <w:r>
        <w:t>the tanru.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rokci cinfo</w:t>
      </w:r>
      <w:r>
        <w:tab/>
      </w:r>
      <w:r>
        <w:tab/>
      </w:r>
      <w:r>
        <w:rPr>
          <w:rStyle w:val="htmlcodes"/>
        </w:rPr>
        <w:t>&lt;dd&gt;</w:t>
      </w:r>
      <w:r>
        <w:t>stone lion</w:t>
      </w:r>
      <w:r>
        <w:rPr>
          <w:rStyle w:val="deletedparamark"/>
        </w:rPr>
        <w:t xml:space="preserve"> </w:t>
      </w:r>
    </w:p>
    <w:p w:rsidR="00B72047" w:rsidRDefault="00B72047">
      <w:pPr>
        <w:pStyle w:val="examplegrouptabs"/>
        <w:rPr>
          <w:rStyle w:val="deletedparamark"/>
        </w:rPr>
      </w:pPr>
      <w:r>
        <w:tab/>
        <w:t>snime nanmu</w:t>
      </w:r>
      <w:r>
        <w:tab/>
      </w:r>
      <w:r>
        <w:tab/>
        <w:t>snow man (Hun)</w:t>
      </w:r>
      <w:r>
        <w:rPr>
          <w:rStyle w:val="deletedparamark"/>
        </w:rPr>
        <w:t xml:space="preserve"> </w:t>
      </w:r>
    </w:p>
    <w:p w:rsidR="00B72047" w:rsidRDefault="00B72047">
      <w:pPr>
        <w:pStyle w:val="examplegrouptabs"/>
        <w:rPr>
          <w:rStyle w:val="deletedparamark"/>
        </w:rPr>
      </w:pPr>
      <w:r>
        <w:tab/>
        <w:t>kliti cipni</w:t>
      </w:r>
      <w:r>
        <w:tab/>
      </w:r>
      <w:r>
        <w:tab/>
        <w:t>clay bird</w:t>
      </w:r>
      <w:r>
        <w:rPr>
          <w:rStyle w:val="deletedparamark"/>
        </w:rPr>
        <w:t xml:space="preserve"> </w:t>
      </w:r>
    </w:p>
    <w:p w:rsidR="00B72047" w:rsidRDefault="00B72047">
      <w:pPr>
        <w:pStyle w:val="examplegrouptabs"/>
        <w:rPr>
          <w:rStyle w:val="deletedparamark"/>
        </w:rPr>
      </w:pPr>
      <w:r>
        <w:tab/>
        <w:t>blaci kanla</w:t>
      </w:r>
      <w:r>
        <w:tab/>
      </w:r>
      <w:r>
        <w:tab/>
        <w:t>glass eye (Hun)</w:t>
      </w:r>
      <w:r>
        <w:rPr>
          <w:rStyle w:val="deletedparamark"/>
        </w:rPr>
        <w:t xml:space="preserve"> </w:t>
      </w:r>
    </w:p>
    <w:p w:rsidR="00B72047" w:rsidRDefault="00B72047">
      <w:pPr>
        <w:pStyle w:val="examplegrouptabs"/>
        <w:rPr>
          <w:rStyle w:val="deletedparamark"/>
        </w:rPr>
      </w:pPr>
      <w:r>
        <w:tab/>
        <w:t>blaci kanla</w:t>
      </w:r>
      <w:r>
        <w:tab/>
      </w:r>
      <w:r>
        <w:tab/>
        <w:t>glass eye (Que = spectacles)</w:t>
      </w:r>
      <w:r>
        <w:rPr>
          <w:rStyle w:val="deletedparamark"/>
        </w:rPr>
        <w:t xml:space="preserve"> </w:t>
      </w:r>
    </w:p>
    <w:p w:rsidR="00B72047" w:rsidRDefault="00B72047">
      <w:pPr>
        <w:pStyle w:val="examplegrouptabs"/>
        <w:rPr>
          <w:rStyle w:val="deletedparamark"/>
        </w:rPr>
      </w:pPr>
      <w:r>
        <w:tab/>
        <w:t>solji sicni</w:t>
      </w:r>
      <w:r>
        <w:tab/>
      </w:r>
      <w:r>
        <w:tab/>
        <w:t>gold coin (Tur)</w:t>
      </w:r>
      <w:r>
        <w:rPr>
          <w:rStyle w:val="deletedparamark"/>
        </w:rPr>
        <w:t xml:space="preserve"> </w:t>
      </w:r>
    </w:p>
    <w:p w:rsidR="00B72047" w:rsidRDefault="00B72047">
      <w:pPr>
        <w:pStyle w:val="examplegrouptabs"/>
        <w:rPr>
          <w:rStyle w:val="deletedparamark"/>
        </w:rPr>
      </w:pPr>
      <w:r>
        <w:tab/>
        <w:t>solji junla</w:t>
      </w:r>
      <w:r>
        <w:tab/>
      </w:r>
      <w:r>
        <w:tab/>
        <w:t>gold watch (Tur,Kor,Hun)</w:t>
      </w:r>
      <w:r>
        <w:rPr>
          <w:rStyle w:val="deletedparamark"/>
        </w:rPr>
        <w:t xml:space="preserve"> </w:t>
      </w:r>
    </w:p>
    <w:p w:rsidR="00B72047" w:rsidRDefault="00B72047">
      <w:pPr>
        <w:pStyle w:val="examplegrouptabs"/>
        <w:rPr>
          <w:rStyle w:val="deletedparamark"/>
        </w:rPr>
      </w:pPr>
      <w:r>
        <w:tab/>
        <w:t>solji djine</w:t>
      </w:r>
      <w:r>
        <w:tab/>
      </w:r>
      <w:r>
        <w:tab/>
        <w:t>gold ring (Udm,Aba,Que)</w:t>
      </w:r>
      <w:r>
        <w:rPr>
          <w:rStyle w:val="deletedparamark"/>
        </w:rPr>
        <w:t xml:space="preserve"> </w:t>
      </w:r>
    </w:p>
    <w:p w:rsidR="00B72047" w:rsidRDefault="00B72047">
      <w:pPr>
        <w:pStyle w:val="examplegrouptabs"/>
        <w:rPr>
          <w:rStyle w:val="deletedparamark"/>
        </w:rPr>
      </w:pPr>
      <w:r>
        <w:tab/>
        <w:t>rokci zdani</w:t>
      </w:r>
      <w:r>
        <w:tab/>
      </w:r>
      <w:r>
        <w:tab/>
        <w:t>stone house (Imb)</w:t>
      </w:r>
      <w:r>
        <w:rPr>
          <w:rStyle w:val="deletedparamark"/>
        </w:rPr>
        <w:t xml:space="preserve"> </w:t>
      </w:r>
    </w:p>
    <w:p w:rsidR="00B72047" w:rsidRDefault="00B72047">
      <w:pPr>
        <w:pStyle w:val="examplegrouptabs"/>
        <w:rPr>
          <w:rStyle w:val="deletedparamark"/>
        </w:rPr>
      </w:pPr>
      <w:r>
        <w:tab/>
        <w:t>mudri zdani</w:t>
      </w:r>
      <w:r>
        <w:tab/>
      </w:r>
      <w:r>
        <w:tab/>
        <w:t>wood house (Ewe = wooden house)</w:t>
      </w:r>
      <w:r>
        <w:rPr>
          <w:rStyle w:val="deletedparamark"/>
        </w:rPr>
        <w:t xml:space="preserve"> </w:t>
      </w:r>
    </w:p>
    <w:p w:rsidR="00B72047" w:rsidRDefault="00B72047">
      <w:pPr>
        <w:pStyle w:val="examplegrouptabs"/>
        <w:rPr>
          <w:rStyle w:val="deletedparamark"/>
        </w:rPr>
      </w:pPr>
      <w:r>
        <w:tab/>
        <w:t>rokci bitmu</w:t>
      </w:r>
      <w:r>
        <w:tab/>
      </w:r>
      <w:r>
        <w:tab/>
        <w:t>stone wall (Ewe)</w:t>
      </w:r>
      <w:r>
        <w:rPr>
          <w:rStyle w:val="deletedparamark"/>
        </w:rPr>
        <w:t xml:space="preserve"> </w:t>
      </w:r>
    </w:p>
    <w:p w:rsidR="00B72047" w:rsidRDefault="00B72047">
      <w:pPr>
        <w:pStyle w:val="examplegrouptabs"/>
        <w:rPr>
          <w:rStyle w:val="deletedparamark"/>
        </w:rPr>
      </w:pPr>
      <w:r>
        <w:tab/>
        <w:t>solji carce</w:t>
      </w:r>
      <w:r>
        <w:tab/>
      </w:r>
      <w:r>
        <w:tab/>
        <w:t>gold chariot (Skt)</w:t>
      </w:r>
      <w:r>
        <w:rPr>
          <w:rStyle w:val="deletedparamark"/>
        </w:rPr>
        <w:t xml:space="preserve"> </w:t>
      </w:r>
    </w:p>
    <w:p w:rsidR="00B72047" w:rsidRDefault="00B72047">
      <w:pPr>
        <w:pStyle w:val="examplegrouptabs"/>
        <w:rPr>
          <w:rStyle w:val="deletedparamark"/>
        </w:rPr>
      </w:pPr>
      <w:r>
        <w:tab/>
        <w:t>mudri xarci</w:t>
      </w:r>
      <w:r>
        <w:tab/>
      </w:r>
      <w:r>
        <w:tab/>
        <w:t>wood weapon (Skt = wooden weapon)</w:t>
      </w:r>
      <w:r>
        <w:rPr>
          <w:rStyle w:val="deletedparamark"/>
        </w:rPr>
        <w:t xml:space="preserve"> </w:t>
      </w:r>
    </w:p>
    <w:p w:rsidR="00B72047" w:rsidRDefault="00B72047">
      <w:pPr>
        <w:pStyle w:val="examplegrouptabs"/>
        <w:rPr>
          <w:rStyle w:val="deletedparamark"/>
        </w:rPr>
      </w:pPr>
      <w:r>
        <w:tab/>
        <w:t>cmaro'i dargu</w:t>
      </w:r>
      <w:r>
        <w:tab/>
      </w:r>
      <w:r>
        <w:tab/>
        <w:t>pebble road (Chi)</w:t>
      </w:r>
      <w:r>
        <w:rPr>
          <w:rStyle w:val="deletedparamark"/>
        </w:rPr>
        <w:t xml:space="preserve"> </w:t>
      </w:r>
    </w:p>
    <w:p w:rsidR="00B72047" w:rsidRDefault="00B72047">
      <w:pPr>
        <w:pStyle w:val="examplegrouptabs"/>
      </w:pPr>
      <w:r>
        <w:tab/>
        <w:t>sudysrasu cutci</w:t>
      </w:r>
      <w:r>
        <w:tab/>
      </w:r>
      <w:r>
        <w:tab/>
        <w:t>straw shoe (Chi)</w:t>
      </w:r>
    </w:p>
    <w:p w:rsidR="00B72047" w:rsidRDefault="00B72047">
      <w:pPr>
        <w:pStyle w:val="examplescaledpre"/>
        <w:spacing w:line="220" w:lineRule="exact"/>
      </w:pPr>
      <w:r>
        <w:tab/>
        <w:t>cmaro'i = small-rock</w:t>
      </w:r>
    </w:p>
    <w:p w:rsidR="00B72047" w:rsidRDefault="00B72047">
      <w:pPr>
        <w:pStyle w:val="examplescaled"/>
        <w:spacing w:line="220" w:lineRule="exact"/>
      </w:pPr>
      <w:r>
        <w:tab/>
        <w:t>sudysrasu = dry-grass</w:t>
      </w:r>
    </w:p>
    <w:p w:rsidR="00B72047" w:rsidRDefault="00B72047">
      <w:pPr>
        <w:pStyle w:val="resumedafterexample"/>
      </w:pPr>
      <w:r>
        <w:rPr>
          <w:rStyle w:val="htmlcodes"/>
        </w:rPr>
        <w:t>&lt;/dl&gt;&lt;p&gt;</w:t>
      </w:r>
      <w:r>
        <w:t>Note: the two senses of “blaci kanla” can be discriminated as:</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blaci kanla bo tarmi</w:t>
      </w:r>
      <w:r>
        <w:tab/>
      </w:r>
      <w:r>
        <w:rPr>
          <w:rStyle w:val="htmlcodes"/>
        </w:rPr>
        <w:t>&lt;dd&gt;</w:t>
      </w:r>
      <w:r>
        <w:t>glass (eye shape) = glass eye</w:t>
      </w:r>
      <w:r>
        <w:rPr>
          <w:rStyle w:val="deletedparamark"/>
        </w:rPr>
        <w:t xml:space="preserve"> </w:t>
      </w:r>
    </w:p>
    <w:p w:rsidR="00B72047" w:rsidRDefault="00B72047">
      <w:pPr>
        <w:pStyle w:val="examplegrouptabs"/>
      </w:pPr>
      <w:r>
        <w:tab/>
        <w:t>blaci kanla bo sidju</w:t>
      </w:r>
      <w:r>
        <w:tab/>
        <w:t>glass (eye helper) = spectacles</w:t>
      </w:r>
    </w:p>
    <w:p w:rsidR="00B72047" w:rsidRDefault="00B72047">
      <w:pPr>
        <w:pStyle w:val="normalafterexample"/>
      </w:pPr>
      <w:r>
        <w:rPr>
          <w:rStyle w:val="htmlcodes"/>
        </w:rPr>
        <w:t>&lt;/dl&gt;</w:t>
      </w:r>
      <w:r>
        <w:rPr>
          <w:rStyle w:val="indexentry"/>
        </w:rPr>
        <w:t>&lt;cx "asymmetrical tanru types, object-measured + standard-object"&gt;</w:t>
      </w:r>
      <w:r>
        <w:rPr>
          <w:rStyle w:val="indexentry"/>
        </w:rPr>
        <w:fldChar w:fldCharType="begin"/>
      </w:r>
      <w:r>
        <w:instrText>xe "</w:instrText>
      </w:r>
      <w:r>
        <w:rPr>
          <w:rStyle w:val="xeentry"/>
        </w:rPr>
        <w:instrText>asymmetrical tanru types: object-measured + standard-object</w:instrText>
      </w:r>
      <w:r>
        <w:instrText>"</w:instrText>
      </w:r>
      <w:r>
        <w:rPr>
          <w:rStyle w:val="indexentry"/>
        </w:rPr>
        <w:fldChar w:fldCharType="end"/>
      </w:r>
      <w:r>
        <w:t>The tertau specifies a typical object used to measure a quan</w:t>
      </w:r>
      <w:r>
        <w:softHyphen/>
        <w:t>tity</w:t>
      </w:r>
      <w:r>
        <w:rPr>
          <w:rStyle w:val="deletedparamark"/>
        </w:rPr>
        <w:t xml:space="preserve"> </w:t>
      </w:r>
      <w:r>
        <w:t>and the seltau spec</w:t>
      </w:r>
      <w:r>
        <w:t>i</w:t>
      </w:r>
      <w:r>
        <w:softHyphen/>
        <w:t>fies something measured. The tanru as a whole</w:t>
      </w:r>
      <w:r>
        <w:rPr>
          <w:rStyle w:val="deletedparamark"/>
        </w:rPr>
        <w:t xml:space="preserve"> </w:t>
      </w:r>
      <w:r>
        <w:t>refers to a given quantity of the thing b</w:t>
      </w:r>
      <w:r>
        <w:t>e</w:t>
      </w:r>
      <w:r>
        <w:softHyphen/>
        <w:t>ing measured. English</w:t>
      </w:r>
      <w:r>
        <w:rPr>
          <w:rStyle w:val="deletedparamark"/>
        </w:rPr>
        <w:t xml:space="preserve"> </w:t>
      </w:r>
      <w:r>
        <w:t>does not have compounds of this form, as a rule.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tumla spisa</w:t>
      </w:r>
      <w:r>
        <w:tab/>
      </w:r>
      <w:r>
        <w:tab/>
      </w:r>
      <w:r>
        <w:rPr>
          <w:rStyle w:val="htmlcodes"/>
        </w:rPr>
        <w:t>&lt;dd&gt;</w:t>
      </w:r>
      <w:r>
        <w:t>land piece (Tur = piece of land)</w:t>
      </w:r>
      <w:r>
        <w:rPr>
          <w:rStyle w:val="deletedparamark"/>
        </w:rPr>
        <w:t xml:space="preserve"> </w:t>
      </w:r>
    </w:p>
    <w:p w:rsidR="00B72047" w:rsidRDefault="00B72047">
      <w:pPr>
        <w:pStyle w:val="examplegrouptabs"/>
        <w:rPr>
          <w:rStyle w:val="deletedparamark"/>
        </w:rPr>
      </w:pPr>
      <w:r>
        <w:tab/>
        <w:t>tcati kabri</w:t>
      </w:r>
      <w:r>
        <w:tab/>
      </w:r>
      <w:r>
        <w:tab/>
        <w:t>tea cup (Kor,Aba = cup of tea)</w:t>
      </w:r>
      <w:r>
        <w:rPr>
          <w:rStyle w:val="deletedparamark"/>
        </w:rPr>
        <w:t xml:space="preserve"> </w:t>
      </w:r>
    </w:p>
    <w:p w:rsidR="00B72047" w:rsidRDefault="00B72047">
      <w:pPr>
        <w:pStyle w:val="examplegrouptabs"/>
        <w:rPr>
          <w:rStyle w:val="deletedparamark"/>
        </w:rPr>
      </w:pPr>
      <w:r>
        <w:tab/>
        <w:t>nanba spisa</w:t>
      </w:r>
      <w:r>
        <w:tab/>
      </w:r>
      <w:r>
        <w:tab/>
        <w:t>bread piece (Kor = piece of bread)</w:t>
      </w:r>
      <w:r>
        <w:rPr>
          <w:rStyle w:val="deletedparamark"/>
        </w:rPr>
        <w:t xml:space="preserve"> </w:t>
      </w:r>
    </w:p>
    <w:p w:rsidR="00B72047" w:rsidRDefault="00B72047">
      <w:pPr>
        <w:pStyle w:val="examplegrouptabs"/>
        <w:rPr>
          <w:rStyle w:val="deletedparamark"/>
        </w:rPr>
      </w:pPr>
      <w:r>
        <w:tab/>
        <w:t>bukpu spisa</w:t>
      </w:r>
      <w:r>
        <w:tab/>
      </w:r>
      <w:r>
        <w:tab/>
        <w:t>cloth piece (Udm,Aba = piece of cloth)</w:t>
      </w:r>
      <w:r>
        <w:rPr>
          <w:rStyle w:val="deletedparamark"/>
        </w:rPr>
        <w:t xml:space="preserve"> </w:t>
      </w:r>
    </w:p>
    <w:p w:rsidR="00B72047" w:rsidRDefault="00B72047">
      <w:pPr>
        <w:pStyle w:val="examplegrouptabs"/>
      </w:pPr>
      <w:r>
        <w:tab/>
        <w:t>djacu calkyguzme</w:t>
      </w:r>
      <w:r>
        <w:tab/>
        <w:t>water calabash (Ewe = calabash of water)</w:t>
      </w:r>
    </w:p>
    <w:p w:rsidR="00B72047" w:rsidRDefault="00B72047">
      <w:pPr>
        <w:pStyle w:val="examplescaledpre"/>
        <w:spacing w:line="220" w:lineRule="exact"/>
      </w:pPr>
      <w:r>
        <w:tab/>
        <w:t>calkyguzme = shell-fruit, calabash</w:t>
      </w:r>
    </w:p>
    <w:p w:rsidR="00B72047" w:rsidRDefault="00B72047">
      <w:pPr>
        <w:pStyle w:val="normalafterexample"/>
        <w:spacing w:before="120"/>
      </w:pPr>
      <w:r>
        <w:rPr>
          <w:rStyle w:val="htmlcodes"/>
        </w:rPr>
        <w:t>&lt;/dl&gt;</w:t>
      </w:r>
      <w:r>
        <w:rPr>
          <w:rStyle w:val="indexentry"/>
        </w:rPr>
        <w:t>&lt;cx "asymmetrical tanru types, overriding-property + object-with-implicit-properties"&gt;</w:t>
      </w:r>
      <w:r>
        <w:rPr>
          <w:rStyle w:val="indexentry"/>
        </w:rPr>
        <w:fldChar w:fldCharType="begin"/>
      </w:r>
      <w:r>
        <w:instrText>xe "</w:instrText>
      </w:r>
      <w:r>
        <w:rPr>
          <w:rStyle w:val="xeentry"/>
        </w:rPr>
        <w:instrText>asymmetrical tanru types: overriding-property + object-with-implicit-properties</w:instrText>
      </w:r>
      <w:r>
        <w:instrText>"</w:instrText>
      </w:r>
      <w:r>
        <w:rPr>
          <w:rStyle w:val="indexentry"/>
        </w:rPr>
        <w:fldChar w:fldCharType="end"/>
      </w:r>
      <w:r>
        <w:t>The tertau specifies an object with certain implicit properties,</w:t>
      </w:r>
      <w:r>
        <w:rPr>
          <w:rStyle w:val="deletedparamark"/>
        </w:rPr>
        <w:t xml:space="preserve"> </w:t>
      </w:r>
      <w:r>
        <w:t>and the seltau ove</w:t>
      </w:r>
      <w:r>
        <w:t>r</w:t>
      </w:r>
      <w:r>
        <w:softHyphen/>
        <w:t>rides one of those implicit properties:</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kensa bloti</w:t>
      </w:r>
      <w:r>
        <w:tab/>
      </w:r>
      <w:r>
        <w:tab/>
      </w:r>
      <w:r>
        <w:rPr>
          <w:rStyle w:val="htmlcodes"/>
        </w:rPr>
        <w:t>&lt;dd&gt;</w:t>
      </w:r>
      <w:r>
        <w:t>spaceship</w:t>
      </w:r>
      <w:r>
        <w:rPr>
          <w:rStyle w:val="deletedparamark"/>
        </w:rPr>
        <w:t xml:space="preserve"> </w:t>
      </w:r>
    </w:p>
    <w:p w:rsidR="00B72047" w:rsidRDefault="00B72047">
      <w:pPr>
        <w:pStyle w:val="examplegrouptabs"/>
      </w:pPr>
      <w:r>
        <w:tab/>
        <w:t>bakni verba</w:t>
      </w:r>
      <w:r>
        <w:tab/>
      </w:r>
      <w:r>
        <w:tab/>
        <w:t>cattle child (Ewe = calf)</w:t>
      </w:r>
    </w:p>
    <w:p w:rsidR="00B72047" w:rsidRDefault="00B72047">
      <w:pPr>
        <w:pStyle w:val="normalafterexample"/>
        <w:spacing w:before="120"/>
      </w:pPr>
      <w:r>
        <w:rPr>
          <w:rStyle w:val="htmlcodes"/>
        </w:rPr>
        <w:t>&lt;/dl&gt;</w:t>
      </w:r>
      <w:r>
        <w:rPr>
          <w:rStyle w:val="indexentry"/>
        </w:rPr>
        <w:t>&lt;cx "asymmetrical tanru types, whole + part"&gt;</w:t>
      </w:r>
      <w:r>
        <w:rPr>
          <w:rStyle w:val="indexentry"/>
        </w:rPr>
        <w:fldChar w:fldCharType="begin"/>
      </w:r>
      <w:r>
        <w:instrText>xe "</w:instrText>
      </w:r>
      <w:r>
        <w:rPr>
          <w:rStyle w:val="xeentry"/>
        </w:rPr>
        <w:instrText>asymmetrical tanru types: whole + part</w:instrText>
      </w:r>
      <w:r>
        <w:instrText>"</w:instrText>
      </w:r>
      <w:r>
        <w:rPr>
          <w:rStyle w:val="indexentry"/>
        </w:rPr>
        <w:fldChar w:fldCharType="end"/>
      </w:r>
      <w:r>
        <w:t>The seltau specifies a whole, and the tertau specifies a part</w:t>
      </w:r>
      <w:r>
        <w:rPr>
          <w:rStyle w:val="deletedparamark"/>
        </w:rPr>
        <w:t xml:space="preserve"> </w:t>
      </w:r>
      <w:r>
        <w:t>which normally is assoc</w:t>
      </w:r>
      <w:r>
        <w:t>i</w:t>
      </w:r>
      <w:r>
        <w:softHyphen/>
        <w:t>ated with a different whole. The tanru then</w:t>
      </w:r>
      <w:r>
        <w:rPr>
          <w:rStyle w:val="deletedparamark"/>
        </w:rPr>
        <w:t xml:space="preserve"> </w:t>
      </w:r>
      <w:r>
        <w:t>refers to a part of the seltau which stands in the same</w:t>
      </w:r>
      <w:r>
        <w:rPr>
          <w:rStyle w:val="deletedparamark"/>
        </w:rPr>
        <w:t xml:space="preserve"> </w:t>
      </w:r>
      <w:r>
        <w:t>relationship to the whole seltau as the tertau stands to its</w:t>
      </w:r>
      <w:r>
        <w:rPr>
          <w:rStyle w:val="deletedparamark"/>
        </w:rPr>
        <w:t xml:space="preserve"> </w:t>
      </w:r>
      <w:r>
        <w:t>typical whole.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kosta degji</w:t>
      </w:r>
      <w:r>
        <w:tab/>
      </w:r>
      <w:r>
        <w:tab/>
      </w:r>
      <w:r>
        <w:rPr>
          <w:rStyle w:val="htmlcodes"/>
        </w:rPr>
        <w:t>&lt;dd&gt;</w:t>
      </w:r>
      <w:r>
        <w:t>coat finger (Hun = coat sleeve)</w:t>
      </w:r>
      <w:r>
        <w:rPr>
          <w:rStyle w:val="deletedparamark"/>
        </w:rPr>
        <w:t xml:space="preserve"> </w:t>
      </w:r>
    </w:p>
    <w:p w:rsidR="00B72047" w:rsidRDefault="00B72047">
      <w:pPr>
        <w:pStyle w:val="examplegrouptabs"/>
        <w:rPr>
          <w:rStyle w:val="deletedparamark"/>
        </w:rPr>
      </w:pPr>
      <w:r>
        <w:tab/>
        <w:t>denci genja</w:t>
      </w:r>
      <w:r>
        <w:tab/>
      </w:r>
      <w:r>
        <w:tab/>
        <w:t>tooth root (Imb)</w:t>
      </w:r>
      <w:r>
        <w:rPr>
          <w:rStyle w:val="deletedparamark"/>
        </w:rPr>
        <w:t xml:space="preserve"> </w:t>
      </w:r>
    </w:p>
    <w:p w:rsidR="00B72047" w:rsidRDefault="00B72047">
      <w:pPr>
        <w:pStyle w:val="examplegrouptabs"/>
      </w:pPr>
      <w:r>
        <w:tab/>
        <w:t>tricu stedu</w:t>
      </w:r>
      <w:r>
        <w:tab/>
      </w:r>
      <w:r>
        <w:tab/>
        <w:t>tree head (Imb = treetop)</w:t>
      </w:r>
    </w:p>
    <w:p w:rsidR="00B72047" w:rsidRDefault="00B72047">
      <w:pPr>
        <w:pStyle w:val="normalafterexample"/>
        <w:spacing w:before="120"/>
      </w:pPr>
      <w:r>
        <w:rPr>
          <w:rStyle w:val="htmlcodes"/>
        </w:rPr>
        <w:t>&lt;/dl&gt;</w:t>
      </w:r>
      <w:r>
        <w:rPr>
          <w:rStyle w:val="indexentry"/>
        </w:rPr>
        <w:t>&lt;cx "asymmetrical tanru types, product + producer"&gt;</w:t>
      </w:r>
      <w:r>
        <w:rPr>
          <w:rStyle w:val="indexentry"/>
        </w:rPr>
        <w:fldChar w:fldCharType="begin"/>
      </w:r>
      <w:r>
        <w:instrText>xe "</w:instrText>
      </w:r>
      <w:r>
        <w:rPr>
          <w:rStyle w:val="xeentry"/>
        </w:rPr>
        <w:instrText>asymmetrical tanru types: product + producer</w:instrText>
      </w:r>
      <w:r>
        <w:instrText>"</w:instrText>
      </w:r>
      <w:r>
        <w:rPr>
          <w:rStyle w:val="indexentry"/>
        </w:rPr>
        <w:fldChar w:fldCharType="end"/>
      </w:r>
      <w:r>
        <w:t>The tertau specifies the producer of a certain product, and the</w:t>
      </w:r>
      <w:r>
        <w:rPr>
          <w:rStyle w:val="deletedparamark"/>
        </w:rPr>
        <w:t xml:space="preserve"> </w:t>
      </w:r>
      <w:r>
        <w:t>seltau specifies the product. In this way, the tanru as a whole</w:t>
      </w:r>
      <w:r>
        <w:rPr>
          <w:rStyle w:val="deletedparamark"/>
        </w:rPr>
        <w:t xml:space="preserve"> </w:t>
      </w:r>
      <w:r>
        <w:t>dis</w:t>
      </w:r>
      <w:r>
        <w:softHyphen/>
        <w:t>tinguishes its referents from other ref</w:t>
      </w:r>
      <w:r>
        <w:softHyphen/>
        <w:t>erents of the tertau</w:t>
      </w:r>
      <w:r>
        <w:rPr>
          <w:rStyle w:val="deletedparamark"/>
        </w:rPr>
        <w:t xml:space="preserve"> </w:t>
      </w:r>
      <w:r>
        <w:t>which do not produce the product.</w:t>
      </w:r>
    </w:p>
    <w:p w:rsidR="00B72047" w:rsidRDefault="00B72047">
      <w:pPr>
        <w:rPr>
          <w:rStyle w:val="htmlparacode"/>
        </w:rPr>
      </w:pPr>
      <w:r>
        <w:rPr>
          <w:rStyle w:val="htmlparacode"/>
        </w:rPr>
        <w:t>&lt;p&gt;</w:t>
      </w:r>
    </w:p>
    <w:p w:rsidR="00B72047" w:rsidRDefault="00B72047">
      <w:pPr>
        <w:pStyle w:val="examplegtabspre"/>
      </w:pPr>
      <w:r>
        <w:rPr>
          <w:rStyle w:val="htmlcodes"/>
        </w:rPr>
        <w:t>&lt;dl compact&gt;&lt;dt&gt;</w:t>
      </w:r>
      <w:r>
        <w:tab/>
        <w:t>silka curnu</w:t>
      </w:r>
      <w:r>
        <w:tab/>
      </w:r>
      <w:r>
        <w:tab/>
      </w:r>
      <w:r>
        <w:rPr>
          <w:rStyle w:val="htmlcodes"/>
        </w:rPr>
        <w:t>&lt;dd&gt;</w:t>
      </w:r>
      <w:r>
        <w:t>silkworm (Tur,Hun,Aba)</w:t>
      </w:r>
    </w:p>
    <w:p w:rsidR="00B72047" w:rsidRDefault="00B72047">
      <w:pPr>
        <w:pStyle w:val="normalafterexample"/>
        <w:spacing w:before="120"/>
      </w:pPr>
      <w:r>
        <w:rPr>
          <w:rStyle w:val="htmlcodes"/>
        </w:rPr>
        <w:t>&lt;/dl&gt;</w:t>
      </w:r>
      <w:r>
        <w:rPr>
          <w:rStyle w:val="indexentry"/>
        </w:rPr>
        <w:t>&lt;cx "asymmetrical tanru types, object-giving-characteristic + other-object"&gt;</w:t>
      </w:r>
      <w:r>
        <w:rPr>
          <w:rStyle w:val="indexentry"/>
        </w:rPr>
        <w:fldChar w:fldCharType="begin"/>
      </w:r>
      <w:r>
        <w:instrText>xe "</w:instrText>
      </w:r>
      <w:r>
        <w:rPr>
          <w:rStyle w:val="xeentry"/>
        </w:rPr>
        <w:instrText>asymmetrical tanru types: object-giving-characteristic + other-object</w:instrText>
      </w:r>
      <w:r>
        <w:instrText>"</w:instrText>
      </w:r>
      <w:r>
        <w:rPr>
          <w:rStyle w:val="indexentry"/>
        </w:rPr>
        <w:fldChar w:fldCharType="end"/>
      </w:r>
      <w:r>
        <w:t>The tertau specifies an object, and the seltau specifies an</w:t>
      </w:r>
      <w:r>
        <w:softHyphen/>
        <w:t>other</w:t>
      </w:r>
      <w:r>
        <w:rPr>
          <w:rStyle w:val="deletedparamark"/>
        </w:rPr>
        <w:t xml:space="preserve"> </w:t>
      </w:r>
      <w:r>
        <w:t>object which has a characteristic property. The tanru as a whole</w:t>
      </w:r>
      <w:r>
        <w:rPr>
          <w:rStyle w:val="deletedparamark"/>
        </w:rPr>
        <w:t xml:space="preserve"> </w:t>
      </w:r>
      <w:r>
        <w:t>refers to those referents of the tertau which possess the property.</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sonci manti</w:t>
      </w:r>
      <w:r>
        <w:tab/>
      </w:r>
      <w:r>
        <w:tab/>
      </w:r>
      <w:r>
        <w:rPr>
          <w:rStyle w:val="htmlcodes"/>
        </w:rPr>
        <w:t>&lt;dd&gt;</w:t>
      </w:r>
      <w:r>
        <w:t>soldier ant</w:t>
      </w:r>
      <w:r>
        <w:rPr>
          <w:rStyle w:val="deletedparamark"/>
        </w:rPr>
        <w:t xml:space="preserve"> </w:t>
      </w:r>
    </w:p>
    <w:p w:rsidR="00B72047" w:rsidRDefault="00B72047">
      <w:pPr>
        <w:pStyle w:val="examplegrouptabs"/>
        <w:rPr>
          <w:rStyle w:val="deletedparamark"/>
        </w:rPr>
      </w:pPr>
      <w:r>
        <w:tab/>
        <w:t>ninmu bakni</w:t>
      </w:r>
      <w:r>
        <w:tab/>
      </w:r>
      <w:r>
        <w:tab/>
        <w:t>woman cattle (Imb = cow)</w:t>
      </w:r>
      <w:r>
        <w:rPr>
          <w:rStyle w:val="deletedparamark"/>
        </w:rPr>
        <w:t xml:space="preserve"> </w:t>
      </w:r>
    </w:p>
    <w:p w:rsidR="00B72047" w:rsidRDefault="00B72047">
      <w:pPr>
        <w:pStyle w:val="examplegrouptabs"/>
        <w:rPr>
          <w:rStyle w:val="deletedparamark"/>
        </w:rPr>
      </w:pPr>
      <w:r>
        <w:tab/>
        <w:t>mamta degji</w:t>
      </w:r>
      <w:r>
        <w:tab/>
      </w:r>
      <w:r>
        <w:tab/>
        <w:t>mother finger (Imb = thumb)</w:t>
      </w:r>
      <w:r>
        <w:rPr>
          <w:rStyle w:val="deletedparamark"/>
        </w:rPr>
        <w:t xml:space="preserve"> </w:t>
      </w:r>
    </w:p>
    <w:p w:rsidR="00B72047" w:rsidRDefault="00B72047">
      <w:pPr>
        <w:pStyle w:val="examplegrouptabs"/>
        <w:rPr>
          <w:rStyle w:val="deletedparamark"/>
        </w:rPr>
      </w:pPr>
      <w:r>
        <w:tab/>
        <w:t>cifnu degji</w:t>
      </w:r>
      <w:r>
        <w:tab/>
      </w:r>
      <w:r>
        <w:tab/>
        <w:t>baby finger (Imb = pinky)</w:t>
      </w:r>
      <w:r>
        <w:rPr>
          <w:rStyle w:val="deletedparamark"/>
        </w:rPr>
        <w:t xml:space="preserve"> </w:t>
      </w:r>
    </w:p>
    <w:p w:rsidR="00B72047" w:rsidRDefault="00B72047">
      <w:pPr>
        <w:pStyle w:val="examplegrouptabs"/>
        <w:rPr>
          <w:rStyle w:val="deletedparamark"/>
        </w:rPr>
      </w:pPr>
      <w:r>
        <w:tab/>
        <w:t>pacraistu zdani</w:t>
      </w:r>
      <w:r>
        <w:tab/>
      </w:r>
      <w:r>
        <w:tab/>
        <w:t>hell house (Skt)</w:t>
      </w:r>
      <w:r>
        <w:rPr>
          <w:rStyle w:val="deletedparamark"/>
        </w:rPr>
        <w:t xml:space="preserve"> </w:t>
      </w:r>
    </w:p>
    <w:p w:rsidR="00B72047" w:rsidRDefault="00B72047">
      <w:pPr>
        <w:pStyle w:val="examplegrouptabs"/>
      </w:pPr>
      <w:r>
        <w:tab/>
        <w:t>fagri dapma</w:t>
      </w:r>
      <w:r>
        <w:tab/>
      </w:r>
      <w:r>
        <w:tab/>
        <w:t>fire curse (Skt = curse destructive as fire)</w:t>
      </w:r>
    </w:p>
    <w:p w:rsidR="00B72047" w:rsidRDefault="00B72047">
      <w:pPr>
        <w:pStyle w:val="examplescaledpre"/>
        <w:spacing w:line="220" w:lineRule="exact"/>
      </w:pPr>
      <w:r>
        <w:tab/>
        <w:t>pacraistu = evil-superlative-site</w:t>
      </w:r>
    </w:p>
    <w:p w:rsidR="00B72047" w:rsidRDefault="00B72047">
      <w:pPr>
        <w:pStyle w:val="normalafterexample"/>
        <w:spacing w:before="120"/>
      </w:pPr>
      <w:r>
        <w:rPr>
          <w:rStyle w:val="htmlcodes"/>
        </w:rPr>
        <w:t>&lt;/dl&gt;</w:t>
      </w:r>
      <w:r>
        <w:rPr>
          <w:rStyle w:val="indexentry"/>
        </w:rPr>
        <w:t>&lt;cx "asymmetrical tanru types, similar-appearance-object + object"&gt;</w:t>
      </w:r>
      <w:r>
        <w:rPr>
          <w:rStyle w:val="indexentry"/>
        </w:rPr>
        <w:fldChar w:fldCharType="begin"/>
      </w:r>
      <w:r>
        <w:instrText>xe "</w:instrText>
      </w:r>
      <w:r>
        <w:rPr>
          <w:rStyle w:val="xeentry"/>
        </w:rPr>
        <w:instrText>asymmetrical tanru types: similar-appearance-object + object</w:instrText>
      </w:r>
      <w:r>
        <w:instrText>"</w:instrText>
      </w:r>
      <w:r>
        <w:rPr>
          <w:rStyle w:val="indexentry"/>
        </w:rPr>
        <w:fldChar w:fldCharType="end"/>
      </w:r>
      <w:r>
        <w:t>As a particular case (when the property is that of resem</w:t>
      </w:r>
      <w:r>
        <w:softHyphen/>
        <w:t>blance): the</w:t>
      </w:r>
      <w:r>
        <w:rPr>
          <w:rStyle w:val="deletedparamark"/>
        </w:rPr>
        <w:t xml:space="preserve"> </w:t>
      </w:r>
      <w:r>
        <w:t>seltau specifies an object which the referent of the tanru resembles.</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grutrceraso jbama</w:t>
      </w:r>
      <w:r>
        <w:tab/>
      </w:r>
      <w:r>
        <w:rPr>
          <w:rStyle w:val="htmlcodes"/>
        </w:rPr>
        <w:t>&lt;dd&gt;</w:t>
      </w:r>
      <w:r>
        <w:t>cherry bomb</w:t>
      </w:r>
      <w:r>
        <w:rPr>
          <w:rStyle w:val="deletedparamark"/>
        </w:rPr>
        <w:t xml:space="preserve"> </w:t>
      </w:r>
    </w:p>
    <w:p w:rsidR="00B72047" w:rsidRDefault="00B72047">
      <w:pPr>
        <w:pStyle w:val="examplegrouptabs"/>
        <w:rPr>
          <w:rStyle w:val="deletedparamark"/>
        </w:rPr>
      </w:pPr>
      <w:r>
        <w:tab/>
        <w:t>solji kerfa</w:t>
      </w:r>
      <w:r>
        <w:tab/>
      </w:r>
      <w:r>
        <w:tab/>
        <w:t>gold hair (Hun = golden hair)</w:t>
      </w:r>
      <w:r>
        <w:rPr>
          <w:rStyle w:val="deletedparamark"/>
        </w:rPr>
        <w:t xml:space="preserve"> </w:t>
      </w:r>
    </w:p>
    <w:p w:rsidR="00B72047" w:rsidRDefault="00B72047">
      <w:pPr>
        <w:pStyle w:val="examplegrouptabs"/>
        <w:rPr>
          <w:rStyle w:val="deletedparamark"/>
        </w:rPr>
      </w:pPr>
      <w:r>
        <w:tab/>
        <w:t>kanla djacu</w:t>
      </w:r>
      <w:r>
        <w:tab/>
      </w:r>
      <w:r>
        <w:tab/>
        <w:t>eye water (Kar = spring)</w:t>
      </w:r>
      <w:r>
        <w:rPr>
          <w:rStyle w:val="deletedparamark"/>
        </w:rPr>
        <w:t xml:space="preserve"> </w:t>
      </w:r>
    </w:p>
    <w:p w:rsidR="00B72047" w:rsidRDefault="00B72047">
      <w:pPr>
        <w:pStyle w:val="examplegrouptabs"/>
      </w:pPr>
      <w:r>
        <w:tab/>
        <w:t>bakni rokci</w:t>
      </w:r>
      <w:r>
        <w:tab/>
      </w:r>
      <w:r>
        <w:tab/>
        <w:t>bull stone (Mon = boulder)</w:t>
      </w:r>
    </w:p>
    <w:p w:rsidR="00B72047" w:rsidRDefault="00B72047">
      <w:pPr>
        <w:pStyle w:val="examplescaledpre"/>
        <w:spacing w:line="220" w:lineRule="exact"/>
      </w:pPr>
      <w:r>
        <w:tab/>
        <w:t>grutrceraso = fu'ivla for “cherry” based on Linnean name</w:t>
      </w:r>
    </w:p>
    <w:p w:rsidR="00B72047" w:rsidRDefault="00B72047">
      <w:pPr>
        <w:pStyle w:val="normalafterexample"/>
      </w:pPr>
      <w:r>
        <w:rPr>
          <w:rStyle w:val="htmlcodes"/>
        </w:rPr>
        <w:t>&lt;/dl&gt;</w:t>
      </w:r>
      <w:r>
        <w:rPr>
          <w:rStyle w:val="indexentry"/>
        </w:rPr>
        <w:t>&lt;cx "asymmetrical tanru types, typical-place + object"&gt;</w:t>
      </w:r>
      <w:r>
        <w:rPr>
          <w:rStyle w:val="indexentry"/>
        </w:rPr>
        <w:fldChar w:fldCharType="begin"/>
      </w:r>
      <w:r>
        <w:instrText>xe "</w:instrText>
      </w:r>
      <w:r>
        <w:rPr>
          <w:rStyle w:val="xeentry"/>
        </w:rPr>
        <w:instrText>asymmetrical tanru types: typical-place + object</w:instrText>
      </w:r>
      <w:r>
        <w:instrText>"</w:instrText>
      </w:r>
      <w:r>
        <w:rPr>
          <w:rStyle w:val="indexentry"/>
        </w:rPr>
        <w:fldChar w:fldCharType="end"/>
      </w:r>
      <w:r>
        <w:t>The seltau specifies a place, and the tertau an object</w:t>
      </w:r>
      <w:r>
        <w:rPr>
          <w:rStyle w:val="deletedparamark"/>
        </w:rPr>
        <w:t xml:space="preserve"> </w:t>
      </w:r>
      <w:r>
        <w:t>char</w:t>
      </w:r>
      <w:r>
        <w:softHyphen/>
        <w:t>acteristically located in or at that place.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ckana boxfo</w:t>
      </w:r>
      <w:r>
        <w:tab/>
      </w:r>
      <w:r>
        <w:tab/>
      </w:r>
      <w:r>
        <w:rPr>
          <w:rStyle w:val="htmlcodes"/>
        </w:rPr>
        <w:t>&lt;dd&gt;</w:t>
      </w:r>
      <w:r>
        <w:t>bed sheet (Chi)</w:t>
      </w:r>
      <w:r>
        <w:rPr>
          <w:rStyle w:val="deletedparamark"/>
        </w:rPr>
        <w:t xml:space="preserve"> </w:t>
      </w:r>
    </w:p>
    <w:p w:rsidR="00B72047" w:rsidRDefault="00B72047">
      <w:pPr>
        <w:pStyle w:val="examplegrouptabs"/>
        <w:rPr>
          <w:rStyle w:val="deletedparamark"/>
        </w:rPr>
      </w:pPr>
      <w:r>
        <w:tab/>
        <w:t>rostu mojysu'a</w:t>
      </w:r>
      <w:r>
        <w:tab/>
      </w:r>
      <w:r>
        <w:tab/>
        <w:t>tomb monument (Chi = tombstone)</w:t>
      </w:r>
      <w:r>
        <w:rPr>
          <w:rStyle w:val="deletedparamark"/>
        </w:rPr>
        <w:t xml:space="preserve"> </w:t>
      </w:r>
    </w:p>
    <w:p w:rsidR="00B72047" w:rsidRDefault="00B72047">
      <w:pPr>
        <w:pStyle w:val="examplegrouptabs"/>
        <w:rPr>
          <w:rStyle w:val="deletedparamark"/>
        </w:rPr>
      </w:pPr>
      <w:r>
        <w:tab/>
        <w:t>jubme tergusni</w:t>
      </w:r>
      <w:r>
        <w:tab/>
      </w:r>
      <w:r>
        <w:tab/>
        <w:t>table lamp (Chi)</w:t>
      </w:r>
      <w:r>
        <w:rPr>
          <w:rStyle w:val="deletedparamark"/>
        </w:rPr>
        <w:t xml:space="preserve"> </w:t>
      </w:r>
    </w:p>
    <w:p w:rsidR="00B72047" w:rsidRDefault="00B72047">
      <w:pPr>
        <w:pStyle w:val="examplegrouptabs"/>
        <w:rPr>
          <w:rStyle w:val="deletedparamark"/>
        </w:rPr>
      </w:pPr>
      <w:r>
        <w:tab/>
        <w:t>foldi smacu</w:t>
      </w:r>
      <w:r>
        <w:tab/>
      </w:r>
      <w:r>
        <w:tab/>
        <w:t>field mouse (Chi)</w:t>
      </w:r>
      <w:r>
        <w:rPr>
          <w:rStyle w:val="deletedparamark"/>
        </w:rPr>
        <w:t xml:space="preserve"> </w:t>
      </w:r>
    </w:p>
    <w:p w:rsidR="00B72047" w:rsidRDefault="00B72047">
      <w:pPr>
        <w:pStyle w:val="examplegrouptabs"/>
        <w:rPr>
          <w:rStyle w:val="deletedparamark"/>
        </w:rPr>
      </w:pPr>
      <w:r>
        <w:tab/>
        <w:t>briju ci'ajbu</w:t>
      </w:r>
      <w:r>
        <w:tab/>
      </w:r>
      <w:r>
        <w:tab/>
        <w:t>office desk (Chi)</w:t>
      </w:r>
      <w:r>
        <w:rPr>
          <w:rStyle w:val="deletedparamark"/>
        </w:rPr>
        <w:t xml:space="preserve"> </w:t>
      </w:r>
    </w:p>
    <w:p w:rsidR="00B72047" w:rsidRDefault="00B72047">
      <w:pPr>
        <w:pStyle w:val="examplegrouptabs"/>
        <w:rPr>
          <w:rStyle w:val="deletedparamark"/>
        </w:rPr>
      </w:pPr>
      <w:r>
        <w:tab/>
        <w:t>rirxe xirma</w:t>
      </w:r>
      <w:r>
        <w:tab/>
      </w:r>
      <w:r>
        <w:tab/>
        <w:t>river horse (Chi = hippopotamus)</w:t>
      </w:r>
      <w:r>
        <w:rPr>
          <w:rStyle w:val="deletedparamark"/>
        </w:rPr>
        <w:t xml:space="preserve"> </w:t>
      </w:r>
    </w:p>
    <w:p w:rsidR="00B72047" w:rsidRDefault="00B72047">
      <w:pPr>
        <w:pStyle w:val="examplegrouptabs"/>
        <w:rPr>
          <w:rStyle w:val="deletedparamark"/>
        </w:rPr>
      </w:pPr>
      <w:r>
        <w:tab/>
        <w:t>xamsi gerku</w:t>
      </w:r>
      <w:r>
        <w:tab/>
      </w:r>
      <w:r>
        <w:tab/>
        <w:t>sea dog (Chi = seal)</w:t>
      </w:r>
      <w:r>
        <w:rPr>
          <w:rStyle w:val="deletedparamark"/>
        </w:rPr>
        <w:t xml:space="preserve"> </w:t>
      </w:r>
    </w:p>
    <w:p w:rsidR="00B72047" w:rsidRDefault="00B72047">
      <w:pPr>
        <w:pStyle w:val="examplegrouptabs"/>
      </w:pPr>
      <w:r>
        <w:tab/>
        <w:t>cagyce'u zdani</w:t>
      </w:r>
      <w:r>
        <w:tab/>
      </w:r>
      <w:r>
        <w:tab/>
        <w:t>village house (Skt)</w:t>
      </w:r>
    </w:p>
    <w:p w:rsidR="00B72047" w:rsidRDefault="00B72047">
      <w:pPr>
        <w:pStyle w:val="examplescaledpre"/>
        <w:spacing w:line="220" w:lineRule="exact"/>
      </w:pPr>
      <w:r>
        <w:tab/>
        <w:t>mrostu = dead-site</w:t>
      </w:r>
    </w:p>
    <w:p w:rsidR="00B72047" w:rsidRDefault="00B72047">
      <w:pPr>
        <w:pStyle w:val="examplescaled"/>
        <w:spacing w:line="220" w:lineRule="exact"/>
      </w:pPr>
      <w:r>
        <w:tab/>
        <w:t>mojysu'a = remember-structure</w:t>
      </w:r>
    </w:p>
    <w:p w:rsidR="00B72047" w:rsidRDefault="00B72047">
      <w:pPr>
        <w:pStyle w:val="examplescaled"/>
        <w:spacing w:line="220" w:lineRule="exact"/>
      </w:pPr>
      <w:r>
        <w:tab/>
        <w:t>ci'ajbu = write-table</w:t>
      </w:r>
    </w:p>
    <w:p w:rsidR="00B72047" w:rsidRDefault="00B72047">
      <w:pPr>
        <w:pStyle w:val="examplescaled"/>
        <w:spacing w:line="220" w:lineRule="exact"/>
      </w:pPr>
      <w:r>
        <w:tab/>
        <w:t>cagyce'u = farm-community</w:t>
      </w:r>
    </w:p>
    <w:p w:rsidR="00B72047" w:rsidRDefault="00B72047">
      <w:pPr>
        <w:pStyle w:val="normalafterexample"/>
      </w:pPr>
      <w:r>
        <w:rPr>
          <w:rStyle w:val="htmlcodes"/>
        </w:rPr>
        <w:t>&lt;/dl&gt;</w:t>
      </w:r>
      <w:r>
        <w:rPr>
          <w:rStyle w:val="indexentry"/>
        </w:rPr>
        <w:t>&lt;cx "asymmetrical tanru types, object + place-sold"&gt;</w:t>
      </w:r>
      <w:r>
        <w:rPr>
          <w:rStyle w:val="indexentry"/>
        </w:rPr>
        <w:fldChar w:fldCharType="begin"/>
      </w:r>
      <w:r>
        <w:instrText>xe "</w:instrText>
      </w:r>
      <w:r>
        <w:rPr>
          <w:rStyle w:val="xeentry"/>
        </w:rPr>
        <w:instrText>asymmetrical tanru types: object + place-sold</w:instrText>
      </w:r>
      <w:r>
        <w:instrText>"</w:instrText>
      </w:r>
      <w:r>
        <w:rPr>
          <w:rStyle w:val="indexentry"/>
        </w:rPr>
        <w:fldChar w:fldCharType="end"/>
      </w:r>
      <w:r>
        <w:t>Specifically: the tertau is a place where the seltau is sold</w:t>
      </w:r>
      <w:r>
        <w:rPr>
          <w:rStyle w:val="deletedparamark"/>
        </w:rPr>
        <w:t xml:space="preserve"> </w:t>
      </w:r>
      <w:r>
        <w:t>or made available to the public.</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cidja barja</w:t>
      </w:r>
      <w:r>
        <w:tab/>
      </w:r>
      <w:r>
        <w:tab/>
      </w:r>
      <w:r>
        <w:rPr>
          <w:rStyle w:val="htmlcodes"/>
        </w:rPr>
        <w:t>&lt;dd&gt;</w:t>
      </w:r>
      <w:r>
        <w:t>food bar (Chi = restaurant)</w:t>
      </w:r>
      <w:r>
        <w:rPr>
          <w:rStyle w:val="deletedparamark"/>
        </w:rPr>
        <w:t xml:space="preserve"> </w:t>
      </w:r>
    </w:p>
    <w:p w:rsidR="00B72047" w:rsidRDefault="00B72047">
      <w:pPr>
        <w:pStyle w:val="examplegrouptabs"/>
      </w:pPr>
      <w:r>
        <w:tab/>
        <w:t>cukta barja</w:t>
      </w:r>
      <w:r>
        <w:tab/>
      </w:r>
      <w:r>
        <w:tab/>
        <w:t>book bar (Chi = library)</w:t>
      </w:r>
    </w:p>
    <w:p w:rsidR="00B72047" w:rsidRDefault="00B72047">
      <w:pPr>
        <w:pStyle w:val="normalafterexample"/>
      </w:pPr>
      <w:r>
        <w:rPr>
          <w:rStyle w:val="htmlcodes"/>
        </w:rPr>
        <w:t>&lt;/dl&gt;</w:t>
      </w:r>
      <w:r>
        <w:rPr>
          <w:rStyle w:val="indexentry"/>
        </w:rPr>
        <w:t>&lt;cx "asymmetrical tanru types, locus-of-application + object"&gt;</w:t>
      </w:r>
      <w:r>
        <w:rPr>
          <w:rStyle w:val="indexentry"/>
        </w:rPr>
        <w:fldChar w:fldCharType="begin"/>
      </w:r>
      <w:r>
        <w:instrText>xe "</w:instrText>
      </w:r>
      <w:r>
        <w:rPr>
          <w:rStyle w:val="xeentry"/>
        </w:rPr>
        <w:instrText>asymmetrical tanru types: locus-of-application + object</w:instrText>
      </w:r>
      <w:r>
        <w:instrText>"</w:instrText>
      </w:r>
      <w:r>
        <w:rPr>
          <w:rStyle w:val="indexentry"/>
        </w:rPr>
        <w:fldChar w:fldCharType="end"/>
      </w:r>
      <w:r>
        <w:t>The seltau specifies the locus of application of the tertau.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kanla velmikce</w:t>
      </w:r>
      <w:r>
        <w:tab/>
      </w:r>
      <w:r>
        <w:tab/>
      </w:r>
      <w:r>
        <w:rPr>
          <w:rStyle w:val="htmlcodes"/>
        </w:rPr>
        <w:t>&lt;dd&gt;</w:t>
      </w:r>
      <w:r>
        <w:t>eye medicine (Chi)</w:t>
      </w:r>
      <w:r>
        <w:rPr>
          <w:rStyle w:val="deletedparamark"/>
        </w:rPr>
        <w:t xml:space="preserve"> </w:t>
      </w:r>
    </w:p>
    <w:p w:rsidR="00B72047" w:rsidRDefault="00B72047">
      <w:pPr>
        <w:pStyle w:val="examplegrouptabs"/>
        <w:rPr>
          <w:rStyle w:val="deletedparamark"/>
        </w:rPr>
      </w:pPr>
      <w:r>
        <w:tab/>
        <w:t>jgalu grasu</w:t>
      </w:r>
      <w:r>
        <w:tab/>
      </w:r>
      <w:r>
        <w:tab/>
        <w:t>nail oil (Chi = nail polish)</w:t>
      </w:r>
      <w:r>
        <w:rPr>
          <w:rStyle w:val="deletedparamark"/>
        </w:rPr>
        <w:t xml:space="preserve"> </w:t>
      </w:r>
    </w:p>
    <w:p w:rsidR="00B72047" w:rsidRDefault="00B72047">
      <w:pPr>
        <w:pStyle w:val="examplegrouptabs"/>
      </w:pPr>
      <w:r>
        <w:tab/>
        <w:t>denci pesxu</w:t>
      </w:r>
      <w:r>
        <w:tab/>
      </w:r>
      <w:r>
        <w:tab/>
        <w:t>tooth paste (Chi)</w:t>
      </w:r>
    </w:p>
    <w:p w:rsidR="00B72047" w:rsidRDefault="00B72047">
      <w:pPr>
        <w:pStyle w:val="examplescaledpre"/>
        <w:spacing w:line="220" w:lineRule="exact"/>
      </w:pPr>
      <w:r>
        <w:tab/>
        <w:t>velmikce = treatment used by doctor</w:t>
      </w:r>
    </w:p>
    <w:p w:rsidR="00B72047" w:rsidRDefault="00B72047">
      <w:pPr>
        <w:pStyle w:val="normalafterexample"/>
      </w:pPr>
      <w:r>
        <w:rPr>
          <w:rStyle w:val="htmlcodes"/>
        </w:rPr>
        <w:t>&lt;/dl&gt;</w:t>
      </w:r>
      <w:r>
        <w:rPr>
          <w:rStyle w:val="indexentry"/>
        </w:rPr>
        <w:t>&lt;cx "asymmetrical tanru types, activity + implement-used"&gt;</w:t>
      </w:r>
      <w:r>
        <w:rPr>
          <w:rStyle w:val="indexentry"/>
        </w:rPr>
        <w:fldChar w:fldCharType="begin"/>
      </w:r>
      <w:r>
        <w:instrText>xe "</w:instrText>
      </w:r>
      <w:r>
        <w:rPr>
          <w:rStyle w:val="xeentry"/>
        </w:rPr>
        <w:instrText>asymmetrical tanru types: activity + implement-used</w:instrText>
      </w:r>
      <w:r>
        <w:instrText>"</w:instrText>
      </w:r>
      <w:r>
        <w:rPr>
          <w:rStyle w:val="indexentry"/>
        </w:rPr>
        <w:fldChar w:fldCharType="end"/>
      </w:r>
      <w:r>
        <w:t>The tertau specifies an implement used in the activity de</w:t>
      </w:r>
      <w:r>
        <w:softHyphen/>
        <w:t>noted by</w:t>
      </w:r>
      <w:r>
        <w:rPr>
          <w:rStyle w:val="deletedparamark"/>
        </w:rPr>
        <w:t xml:space="preserve"> </w:t>
      </w:r>
      <w:r>
        <w:t>the seltau.</w:t>
      </w:r>
    </w:p>
    <w:p w:rsidR="00B72047" w:rsidRDefault="00B72047">
      <w:pPr>
        <w:rPr>
          <w:rStyle w:val="htmlparacode"/>
        </w:rPr>
      </w:pPr>
      <w:r>
        <w:rPr>
          <w:rStyle w:val="htmlparacode"/>
        </w:rPr>
        <w:t>&lt;p&gt;</w:t>
      </w:r>
    </w:p>
    <w:p w:rsidR="00B72047" w:rsidRDefault="00B72047">
      <w:pPr>
        <w:pStyle w:val="examplegtabspre"/>
      </w:pPr>
      <w:r>
        <w:rPr>
          <w:rStyle w:val="htmlcodes"/>
        </w:rPr>
        <w:t>&lt;dl compact&gt;&lt;dt&gt;</w:t>
      </w:r>
      <w:r>
        <w:tab/>
        <w:t>me la pinpan. bolci</w:t>
      </w:r>
      <w:r>
        <w:tab/>
      </w:r>
      <w:r>
        <w:rPr>
          <w:rStyle w:val="htmlcodes"/>
        </w:rPr>
        <w:t>&lt;dd&gt;</w:t>
      </w:r>
      <w:r>
        <w:t>Ping-Pong ball (Chi)</w:t>
      </w:r>
    </w:p>
    <w:p w:rsidR="00B72047" w:rsidRDefault="00B72047">
      <w:pPr>
        <w:pStyle w:val="normalafterexample"/>
      </w:pPr>
      <w:r>
        <w:rPr>
          <w:rStyle w:val="htmlcodes"/>
        </w:rPr>
        <w:t>&lt;/dl&gt;</w:t>
      </w:r>
      <w:r>
        <w:rPr>
          <w:rStyle w:val="indexentry"/>
        </w:rPr>
        <w:t>&lt;cx "asymmetrical tanru types, undesired-object + protection-object"&gt;</w:t>
      </w:r>
      <w:r>
        <w:rPr>
          <w:rStyle w:val="indexentry"/>
        </w:rPr>
        <w:fldChar w:fldCharType="begin"/>
      </w:r>
      <w:r>
        <w:instrText>xe "</w:instrText>
      </w:r>
      <w:r>
        <w:rPr>
          <w:rStyle w:val="xeentry"/>
        </w:rPr>
        <w:instrText>asymmetrical tanru types: undesired-object + protection-object</w:instrText>
      </w:r>
      <w:r>
        <w:instrText>"</w:instrText>
      </w:r>
      <w:r>
        <w:rPr>
          <w:rStyle w:val="indexentry"/>
        </w:rPr>
        <w:fldChar w:fldCharType="end"/>
      </w:r>
      <w:r>
        <w:t>The tertau specifies a protective device against the undesir</w:t>
      </w:r>
      <w:r>
        <w:softHyphen/>
        <w:t>able</w:t>
      </w:r>
      <w:r>
        <w:rPr>
          <w:rStyle w:val="deletedparamark"/>
        </w:rPr>
        <w:t xml:space="preserve"> </w:t>
      </w:r>
      <w:r>
        <w:t>features of the refe</w:t>
      </w:r>
      <w:r>
        <w:t>r</w:t>
      </w:r>
      <w:r>
        <w:softHyphen/>
        <w:t>ent of the seltau.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carvi mapku</w:t>
      </w:r>
      <w:r>
        <w:tab/>
      </w:r>
      <w:r>
        <w:tab/>
      </w:r>
      <w:r>
        <w:rPr>
          <w:rStyle w:val="htmlcodes"/>
        </w:rPr>
        <w:t>&lt;dd&gt;</w:t>
      </w:r>
      <w:r>
        <w:t>rain cap (Chi)</w:t>
      </w:r>
      <w:r>
        <w:rPr>
          <w:rStyle w:val="deletedparamark"/>
        </w:rPr>
        <w:t xml:space="preserve"> </w:t>
      </w:r>
    </w:p>
    <w:p w:rsidR="00B72047" w:rsidRDefault="00B72047">
      <w:pPr>
        <w:pStyle w:val="examplegrouptabs"/>
        <w:rPr>
          <w:rStyle w:val="deletedparamark"/>
        </w:rPr>
      </w:pPr>
      <w:r>
        <w:tab/>
        <w:t>carvi taxfu</w:t>
      </w:r>
      <w:r>
        <w:tab/>
      </w:r>
      <w:r>
        <w:tab/>
        <w:t>rain garment (Chi = raincoat)</w:t>
      </w:r>
      <w:r>
        <w:rPr>
          <w:rStyle w:val="deletedparamark"/>
        </w:rPr>
        <w:t xml:space="preserve"> </w:t>
      </w:r>
    </w:p>
    <w:p w:rsidR="00B72047" w:rsidRDefault="00B72047">
      <w:pPr>
        <w:pStyle w:val="examplegrouptabs"/>
      </w:pPr>
      <w:r>
        <w:tab/>
        <w:t>vindu firgai</w:t>
      </w:r>
      <w:r>
        <w:tab/>
      </w:r>
      <w:r>
        <w:tab/>
        <w:t>poison mask (Chi = gas mask)</w:t>
      </w:r>
    </w:p>
    <w:p w:rsidR="00B72047" w:rsidRDefault="00B72047">
      <w:pPr>
        <w:pStyle w:val="examplescaledpre"/>
        <w:spacing w:line="220" w:lineRule="exact"/>
      </w:pPr>
      <w:r>
        <w:tab/>
        <w:t>firgai = face-cover</w:t>
      </w:r>
    </w:p>
    <w:p w:rsidR="00B72047" w:rsidRDefault="00B72047">
      <w:pPr>
        <w:pStyle w:val="normalafterexample"/>
      </w:pPr>
      <w:r>
        <w:rPr>
          <w:rStyle w:val="htmlcodes"/>
        </w:rPr>
        <w:t>&lt;/dl&gt;</w:t>
      </w:r>
      <w:r>
        <w:rPr>
          <w:rStyle w:val="indexentry"/>
        </w:rPr>
        <w:t>&lt;cx "asymmetrical tanru types, object + usual-container"&gt;</w:t>
      </w:r>
      <w:r>
        <w:rPr>
          <w:rStyle w:val="indexentry"/>
        </w:rPr>
        <w:fldChar w:fldCharType="begin"/>
      </w:r>
      <w:r>
        <w:instrText>xe "</w:instrText>
      </w:r>
      <w:r>
        <w:rPr>
          <w:rStyle w:val="xeentry"/>
        </w:rPr>
        <w:instrText>asymmetrical tanru types: object + usual-container</w:instrText>
      </w:r>
      <w:r>
        <w:instrText>"</w:instrText>
      </w:r>
      <w:r>
        <w:rPr>
          <w:rStyle w:val="indexentry"/>
        </w:rPr>
        <w:fldChar w:fldCharType="end"/>
      </w:r>
      <w:r>
        <w:t>The tertau specifies a container characteristically used to hold</w:t>
      </w:r>
      <w:r>
        <w:rPr>
          <w:rStyle w:val="deletedparamark"/>
        </w:rPr>
        <w:t xml:space="preserve"> </w:t>
      </w:r>
      <w:r>
        <w:t>the referent of the se</w:t>
      </w:r>
      <w:r>
        <w:t>l</w:t>
      </w:r>
      <w:r>
        <w:softHyphen/>
        <w:t>tau.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cukta vasru</w:t>
      </w:r>
      <w:r>
        <w:tab/>
      </w:r>
      <w:r>
        <w:tab/>
      </w:r>
      <w:r>
        <w:rPr>
          <w:rStyle w:val="htmlcodes"/>
        </w:rPr>
        <w:t>&lt;dd&gt;</w:t>
      </w:r>
      <w:r>
        <w:t>book vessel (Chi = satchel)</w:t>
      </w:r>
      <w:r>
        <w:rPr>
          <w:rStyle w:val="deletedparamark"/>
        </w:rPr>
        <w:t xml:space="preserve"> </w:t>
      </w:r>
    </w:p>
    <w:p w:rsidR="00B72047" w:rsidRDefault="00B72047">
      <w:pPr>
        <w:pStyle w:val="examplegrouptabs"/>
        <w:rPr>
          <w:rStyle w:val="deletedparamark"/>
        </w:rPr>
      </w:pPr>
      <w:r>
        <w:tab/>
        <w:t>vanju kabri</w:t>
      </w:r>
      <w:r>
        <w:tab/>
      </w:r>
      <w:r>
        <w:tab/>
        <w:t>wine cup (Chi)</w:t>
      </w:r>
      <w:r>
        <w:rPr>
          <w:rStyle w:val="deletedparamark"/>
        </w:rPr>
        <w:t xml:space="preserve"> </w:t>
      </w:r>
    </w:p>
    <w:p w:rsidR="00B72047" w:rsidRDefault="00B72047">
      <w:pPr>
        <w:pStyle w:val="examplegrouptabs"/>
        <w:rPr>
          <w:rStyle w:val="deletedparamark"/>
        </w:rPr>
      </w:pPr>
      <w:r>
        <w:tab/>
        <w:t>spatrkoka lanka</w:t>
      </w:r>
      <w:r>
        <w:tab/>
      </w:r>
      <w:r>
        <w:tab/>
        <w:t>coca basket (Que)</w:t>
      </w:r>
      <w:r>
        <w:rPr>
          <w:rStyle w:val="deletedparamark"/>
        </w:rPr>
        <w:t xml:space="preserve"> </w:t>
      </w:r>
    </w:p>
    <w:p w:rsidR="00B72047" w:rsidRDefault="00B72047">
      <w:pPr>
        <w:pStyle w:val="examplegrouptabs"/>
        <w:rPr>
          <w:rStyle w:val="deletedparamark"/>
        </w:rPr>
      </w:pPr>
      <w:r>
        <w:tab/>
        <w:t>rismi dakli</w:t>
      </w:r>
      <w:r>
        <w:tab/>
      </w:r>
      <w:r>
        <w:tab/>
        <w:t>rice bag (Ewe,Chi)</w:t>
      </w:r>
      <w:r>
        <w:rPr>
          <w:rStyle w:val="deletedparamark"/>
        </w:rPr>
        <w:t xml:space="preserve"> </w:t>
      </w:r>
    </w:p>
    <w:p w:rsidR="00B72047" w:rsidRDefault="00B72047">
      <w:pPr>
        <w:pStyle w:val="examplegrouptabs"/>
        <w:rPr>
          <w:rStyle w:val="deletedparamark"/>
        </w:rPr>
      </w:pPr>
      <w:r>
        <w:tab/>
        <w:t>tcati kabri</w:t>
      </w:r>
      <w:r>
        <w:tab/>
      </w:r>
      <w:r>
        <w:tab/>
        <w:t>tea cup (Chi)</w:t>
      </w:r>
      <w:r>
        <w:rPr>
          <w:rStyle w:val="deletedparamark"/>
        </w:rPr>
        <w:t xml:space="preserve"> </w:t>
      </w:r>
    </w:p>
    <w:p w:rsidR="00B72047" w:rsidRDefault="00B72047">
      <w:pPr>
        <w:pStyle w:val="examplegrouptabs"/>
        <w:rPr>
          <w:rStyle w:val="deletedparamark"/>
        </w:rPr>
      </w:pPr>
      <w:r>
        <w:tab/>
        <w:t>ladru botpi</w:t>
      </w:r>
      <w:r>
        <w:tab/>
      </w:r>
      <w:r>
        <w:tab/>
        <w:t>milk bottle (Chi)</w:t>
      </w:r>
      <w:r>
        <w:rPr>
          <w:rStyle w:val="deletedparamark"/>
        </w:rPr>
        <w:t xml:space="preserve"> </w:t>
      </w:r>
    </w:p>
    <w:p w:rsidR="00B72047" w:rsidRDefault="00B72047">
      <w:pPr>
        <w:pStyle w:val="examplegrouptabs"/>
        <w:rPr>
          <w:rStyle w:val="deletedparamark"/>
        </w:rPr>
      </w:pPr>
      <w:r>
        <w:tab/>
        <w:t>rismi patxu</w:t>
      </w:r>
      <w:r>
        <w:tab/>
      </w:r>
      <w:r>
        <w:tab/>
        <w:t>rice pot (Chi)</w:t>
      </w:r>
      <w:r>
        <w:rPr>
          <w:rStyle w:val="deletedparamark"/>
        </w:rPr>
        <w:t xml:space="preserve"> </w:t>
      </w:r>
    </w:p>
    <w:p w:rsidR="00B72047" w:rsidRDefault="00B72047">
      <w:pPr>
        <w:pStyle w:val="examplegrouptabs"/>
        <w:rPr>
          <w:rStyle w:val="deletedparamark"/>
        </w:rPr>
      </w:pPr>
      <w:r>
        <w:tab/>
        <w:t>festi lante</w:t>
      </w:r>
      <w:r>
        <w:tab/>
      </w:r>
      <w:r>
        <w:tab/>
        <w:t>trash can (Chi)</w:t>
      </w:r>
      <w:r>
        <w:rPr>
          <w:rStyle w:val="deletedparamark"/>
        </w:rPr>
        <w:t xml:space="preserve"> </w:t>
      </w:r>
    </w:p>
    <w:p w:rsidR="00B72047" w:rsidRDefault="00B72047">
      <w:pPr>
        <w:pStyle w:val="examplegrouptabs"/>
        <w:rPr>
          <w:rStyle w:val="deletedparamark"/>
        </w:rPr>
      </w:pPr>
      <w:r>
        <w:tab/>
        <w:t>bifce zdani</w:t>
      </w:r>
      <w:r>
        <w:tab/>
      </w:r>
      <w:r>
        <w:tab/>
        <w:t>bee house (Kor = beehive)</w:t>
      </w:r>
      <w:r>
        <w:rPr>
          <w:rStyle w:val="deletedparamark"/>
        </w:rPr>
        <w:t xml:space="preserve"> </w:t>
      </w:r>
    </w:p>
    <w:p w:rsidR="00B72047" w:rsidRDefault="00B72047">
      <w:pPr>
        <w:pStyle w:val="examplegrouptabs"/>
        <w:rPr>
          <w:rStyle w:val="deletedparamark"/>
        </w:rPr>
      </w:pPr>
      <w:r>
        <w:tab/>
        <w:t>cladakyxa'i zdani</w:t>
      </w:r>
      <w:r>
        <w:tab/>
        <w:t>sword house (Kor = sheath)</w:t>
      </w:r>
      <w:r>
        <w:rPr>
          <w:rStyle w:val="deletedparamark"/>
        </w:rPr>
        <w:t xml:space="preserve"> </w:t>
      </w:r>
    </w:p>
    <w:p w:rsidR="00B72047" w:rsidRDefault="00B72047">
      <w:pPr>
        <w:pStyle w:val="examplegrouptabs"/>
      </w:pPr>
      <w:r>
        <w:tab/>
        <w:t>manti zdani</w:t>
      </w:r>
      <w:r>
        <w:tab/>
      </w:r>
      <w:r>
        <w:tab/>
        <w:t>ant nest (Gua = anthill)</w:t>
      </w:r>
    </w:p>
    <w:p w:rsidR="00B72047" w:rsidRDefault="00B72047">
      <w:pPr>
        <w:pStyle w:val="examplescaledpre"/>
        <w:spacing w:line="220" w:lineRule="exact"/>
      </w:pPr>
      <w:r>
        <w:tab/>
        <w:t>spatrkoka = fu'ivla for “coca”</w:t>
      </w:r>
    </w:p>
    <w:p w:rsidR="00B72047" w:rsidRDefault="00B72047">
      <w:pPr>
        <w:pStyle w:val="examplescaled"/>
        <w:spacing w:line="220" w:lineRule="exact"/>
      </w:pPr>
      <w:r>
        <w:tab/>
        <w:t>cladakyxa'i = (long-knife)-weapon</w:t>
      </w:r>
    </w:p>
    <w:p w:rsidR="00B72047" w:rsidRDefault="00B72047">
      <w:pPr>
        <w:pStyle w:val="normalafterexample"/>
      </w:pPr>
      <w:r>
        <w:rPr>
          <w:rStyle w:val="htmlcodes"/>
        </w:rPr>
        <w:t>&lt;/dl&gt;</w:t>
      </w:r>
      <w:r>
        <w:rPr>
          <w:rStyle w:val="indexentry"/>
        </w:rPr>
        <w:t>&lt;cx "asymmetrical tanru types, characteristic-time + event"&gt;</w:t>
      </w:r>
      <w:r>
        <w:rPr>
          <w:rStyle w:val="indexentry"/>
        </w:rPr>
        <w:fldChar w:fldCharType="begin"/>
      </w:r>
      <w:r>
        <w:instrText>xe "</w:instrText>
      </w:r>
      <w:r>
        <w:rPr>
          <w:rStyle w:val="xeentry"/>
        </w:rPr>
        <w:instrText>asymmetrical tanru types: characteristic-time + event</w:instrText>
      </w:r>
      <w:r>
        <w:instrText>"</w:instrText>
      </w:r>
      <w:r>
        <w:rPr>
          <w:rStyle w:val="indexentry"/>
        </w:rPr>
        <w:fldChar w:fldCharType="end"/>
      </w:r>
      <w:r>
        <w:t>The seltau specifies the characteristic time of the event</w:t>
      </w:r>
      <w:r>
        <w:rPr>
          <w:rStyle w:val="deletedparamark"/>
        </w:rPr>
        <w:t xml:space="preserve"> </w:t>
      </w:r>
      <w:r>
        <w:t>specified by the tertau.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vensa djedi</w:t>
      </w:r>
      <w:r>
        <w:tab/>
      </w:r>
      <w:r>
        <w:tab/>
      </w:r>
      <w:r>
        <w:rPr>
          <w:rStyle w:val="htmlcodes"/>
        </w:rPr>
        <w:t>&lt;dd&gt;</w:t>
      </w:r>
      <w:r>
        <w:t>spring day (Chi)</w:t>
      </w:r>
      <w:r>
        <w:rPr>
          <w:rStyle w:val="deletedparamark"/>
        </w:rPr>
        <w:t xml:space="preserve"> </w:t>
      </w:r>
    </w:p>
    <w:p w:rsidR="00B72047" w:rsidRDefault="00B72047">
      <w:pPr>
        <w:pStyle w:val="examplegrouptabs"/>
        <w:rPr>
          <w:rStyle w:val="deletedparamark"/>
        </w:rPr>
      </w:pPr>
      <w:r>
        <w:tab/>
        <w:t>crisa citsi</w:t>
      </w:r>
      <w:r>
        <w:tab/>
      </w:r>
      <w:r>
        <w:tab/>
        <w:t>summer season (Chi)</w:t>
      </w:r>
      <w:r>
        <w:rPr>
          <w:rStyle w:val="deletedparamark"/>
        </w:rPr>
        <w:t xml:space="preserve"> </w:t>
      </w:r>
    </w:p>
    <w:p w:rsidR="00B72047" w:rsidRDefault="00B72047">
      <w:pPr>
        <w:pStyle w:val="examplegrouptabs"/>
        <w:rPr>
          <w:rStyle w:val="deletedparamark"/>
        </w:rPr>
      </w:pPr>
      <w:r>
        <w:tab/>
        <w:t>cerni bumru</w:t>
      </w:r>
      <w:r>
        <w:tab/>
      </w:r>
      <w:r>
        <w:tab/>
        <w:t>morning fog (Chi)</w:t>
      </w:r>
      <w:r>
        <w:rPr>
          <w:rStyle w:val="deletedparamark"/>
        </w:rPr>
        <w:t xml:space="preserve"> </w:t>
      </w:r>
    </w:p>
    <w:p w:rsidR="00B72047" w:rsidRDefault="00B72047">
      <w:pPr>
        <w:pStyle w:val="examplegrouptabs"/>
        <w:rPr>
          <w:rStyle w:val="deletedparamark"/>
        </w:rPr>
      </w:pPr>
      <w:r>
        <w:tab/>
        <w:t>critu lunra</w:t>
      </w:r>
      <w:r>
        <w:tab/>
      </w:r>
      <w:r>
        <w:tab/>
        <w:t>autumn moon (Chi)</w:t>
      </w:r>
      <w:r>
        <w:rPr>
          <w:rStyle w:val="deletedparamark"/>
        </w:rPr>
        <w:t xml:space="preserve"> </w:t>
      </w:r>
    </w:p>
    <w:p w:rsidR="00B72047" w:rsidRDefault="00B72047">
      <w:pPr>
        <w:pStyle w:val="examplegrouptabs"/>
        <w:rPr>
          <w:rStyle w:val="deletedparamark"/>
        </w:rPr>
      </w:pPr>
      <w:r>
        <w:tab/>
        <w:t>dunra nicte</w:t>
      </w:r>
      <w:r>
        <w:tab/>
      </w:r>
      <w:r>
        <w:tab/>
        <w:t>winter night (Chi)</w:t>
      </w:r>
      <w:r>
        <w:rPr>
          <w:rStyle w:val="deletedparamark"/>
        </w:rPr>
        <w:t xml:space="preserve"> </w:t>
      </w:r>
    </w:p>
    <w:p w:rsidR="00B72047" w:rsidRDefault="00B72047">
      <w:pPr>
        <w:pStyle w:val="examplegrouptabs"/>
      </w:pPr>
      <w:r>
        <w:tab/>
        <w:t>nicte ckule</w:t>
      </w:r>
      <w:r>
        <w:tab/>
      </w:r>
      <w:r>
        <w:tab/>
        <w:t>night school (Chi)</w:t>
      </w:r>
    </w:p>
    <w:p w:rsidR="00B72047" w:rsidRDefault="00B72047">
      <w:pPr>
        <w:pStyle w:val="normalafterexample"/>
      </w:pPr>
      <w:r>
        <w:rPr>
          <w:rStyle w:val="htmlcodes"/>
        </w:rPr>
        <w:t>&lt;/dl&gt;</w:t>
      </w:r>
      <w:r>
        <w:rPr>
          <w:rStyle w:val="indexentry"/>
        </w:rPr>
        <w:t>&lt;cx "asymmetrical tanru types, energy-source + powered"&gt;</w:t>
      </w:r>
      <w:r>
        <w:rPr>
          <w:rStyle w:val="indexentry"/>
        </w:rPr>
        <w:fldChar w:fldCharType="begin"/>
      </w:r>
      <w:r>
        <w:instrText>xe "</w:instrText>
      </w:r>
      <w:r>
        <w:rPr>
          <w:rStyle w:val="xeentry"/>
        </w:rPr>
        <w:instrText>asymmetrical tanru types: energy-source + powered</w:instrText>
      </w:r>
      <w:r>
        <w:instrText>"</w:instrText>
      </w:r>
      <w:r>
        <w:rPr>
          <w:rStyle w:val="indexentry"/>
        </w:rPr>
        <w:fldChar w:fldCharType="end"/>
      </w:r>
      <w:r>
        <w:t>The seltau specifies a source of energy for the referent of the</w:t>
      </w:r>
      <w:r>
        <w:rPr>
          <w:rStyle w:val="deletedparamark"/>
        </w:rPr>
        <w:t xml:space="preserve"> </w:t>
      </w:r>
      <w:r>
        <w:t>tertau.</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dikca tergusni</w:t>
      </w:r>
      <w:r>
        <w:tab/>
      </w:r>
      <w:r>
        <w:tab/>
      </w:r>
      <w:r>
        <w:rPr>
          <w:rStyle w:val="htmlcodes"/>
        </w:rPr>
        <w:t>&lt;dd&gt;</w:t>
      </w:r>
      <w:r>
        <w:t>electric lamp (Chi)</w:t>
      </w:r>
      <w:r>
        <w:rPr>
          <w:rStyle w:val="deletedparamark"/>
        </w:rPr>
        <w:t xml:space="preserve"> </w:t>
      </w:r>
    </w:p>
    <w:p w:rsidR="00B72047" w:rsidRDefault="00B72047">
      <w:pPr>
        <w:pStyle w:val="examplegrouptabs"/>
        <w:rPr>
          <w:rStyle w:val="deletedparamark"/>
        </w:rPr>
      </w:pPr>
      <w:r>
        <w:tab/>
        <w:t>ratni nejni</w:t>
      </w:r>
      <w:r>
        <w:tab/>
      </w:r>
      <w:r>
        <w:tab/>
        <w:t>atom energy (Chi)</w:t>
      </w:r>
      <w:r>
        <w:rPr>
          <w:rStyle w:val="deletedparamark"/>
        </w:rPr>
        <w:t xml:space="preserve"> </w:t>
      </w:r>
    </w:p>
    <w:p w:rsidR="00B72047" w:rsidRDefault="00B72047">
      <w:pPr>
        <w:pStyle w:val="examplegrouptabs"/>
      </w:pPr>
      <w:r>
        <w:tab/>
        <w:t>brife molki</w:t>
      </w:r>
      <w:r>
        <w:tab/>
      </w:r>
      <w:r>
        <w:tab/>
        <w:t>windmill (Tur,Kor,Hun,Udm,Aba)</w:t>
      </w:r>
    </w:p>
    <w:p w:rsidR="00B72047" w:rsidRDefault="00B72047">
      <w:pPr>
        <w:pStyle w:val="examplescaledpre"/>
        <w:spacing w:line="220" w:lineRule="exact"/>
      </w:pPr>
      <w:r>
        <w:tab/>
        <w:t>tergusni = illumination-source</w:t>
      </w:r>
    </w:p>
    <w:p w:rsidR="00B72047" w:rsidRDefault="00B72047">
      <w:pPr>
        <w:pStyle w:val="normalafterexample"/>
      </w:pPr>
      <w:r>
        <w:rPr>
          <w:rStyle w:val="htmlcodes"/>
        </w:rPr>
        <w:t>&lt;/dl&gt;</w:t>
      </w:r>
      <w:r>
        <w:rPr>
          <w:rStyle w:val="indexentry"/>
        </w:rPr>
        <w:t>&lt;cx "asymmetrical tanru types, miscellaneous"&gt;</w:t>
      </w:r>
      <w:r>
        <w:rPr>
          <w:rStyle w:val="indexentry"/>
        </w:rPr>
        <w:fldChar w:fldCharType="begin"/>
      </w:r>
      <w:r>
        <w:instrText>xe "</w:instrText>
      </w:r>
      <w:r>
        <w:rPr>
          <w:rStyle w:val="xeentry"/>
        </w:rPr>
        <w:instrText>asymmetrical tanru types: miscellaneous</w:instrText>
      </w:r>
      <w:r>
        <w:instrText>"</w:instrText>
      </w:r>
      <w:r>
        <w:rPr>
          <w:rStyle w:val="indexentry"/>
        </w:rPr>
        <w:fldChar w:fldCharType="end"/>
      </w:r>
      <w:r>
        <w:t>Finally, some tanru which don't fall into any of the above</w:t>
      </w:r>
      <w:r>
        <w:rPr>
          <w:rStyle w:val="deletedparamark"/>
        </w:rPr>
        <w:t xml:space="preserve"> </w:t>
      </w:r>
      <w:r>
        <w:t>categories.</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ladru denci</w:t>
      </w:r>
      <w:r>
        <w:tab/>
      </w:r>
      <w:r>
        <w:tab/>
      </w:r>
      <w:r>
        <w:rPr>
          <w:rStyle w:val="htmlcodes"/>
        </w:rPr>
        <w:t>&lt;dd&gt;</w:t>
      </w:r>
      <w:r>
        <w:t>milk tooth (Tur,Hun,Udm,Qab)</w:t>
      </w:r>
      <w:r>
        <w:rPr>
          <w:rStyle w:val="deletedparamark"/>
        </w:rPr>
        <w:t xml:space="preserve"> </w:t>
      </w:r>
    </w:p>
    <w:p w:rsidR="00B72047" w:rsidRDefault="00B72047">
      <w:pPr>
        <w:pStyle w:val="examplegrouptabs"/>
      </w:pPr>
      <w:r>
        <w:tab/>
        <w:t>kanla denci</w:t>
      </w:r>
      <w:r>
        <w:tab/>
      </w:r>
      <w:r>
        <w:tab/>
        <w:t>eye tooth</w:t>
      </w:r>
    </w:p>
    <w:p w:rsidR="00B72047" w:rsidRDefault="00B72047">
      <w:pPr>
        <w:pStyle w:val="normalafterexample"/>
      </w:pPr>
      <w:r>
        <w:rPr>
          <w:rStyle w:val="htmlcodes"/>
        </w:rPr>
        <w:t>&lt;/dl&gt;&lt;p&gt;</w:t>
      </w:r>
      <w:r>
        <w:t>It is clear that “tooth” is being specified, and that “milk” and</w:t>
      </w:r>
      <w:r>
        <w:rPr>
          <w:rStyle w:val="deletedparamark"/>
        </w:rPr>
        <w:t xml:space="preserve"> “</w:t>
      </w:r>
      <w:r>
        <w:t>eye” act as modifiers. However, the relationship between “ladru”</w:t>
      </w:r>
      <w:r>
        <w:rPr>
          <w:rStyle w:val="deletedparamark"/>
        </w:rPr>
        <w:t xml:space="preserve"> </w:t>
      </w:r>
      <w:r>
        <w:t>and “denci” is something like “tooth which one has when one is drinking</w:t>
      </w:r>
      <w:r>
        <w:rPr>
          <w:rStyle w:val="deletedparamark"/>
        </w:rPr>
        <w:t xml:space="preserve"> </w:t>
      </w:r>
      <w:r>
        <w:t>milk from one's mother”, a relationship cer</w:t>
      </w:r>
      <w:r>
        <w:softHyphen/>
        <w:t>tainly present nowhere ex</w:t>
      </w:r>
      <w:r>
        <w:softHyphen/>
        <w:t>cept</w:t>
      </w:r>
      <w:r>
        <w:rPr>
          <w:rStyle w:val="deletedparamark"/>
        </w:rPr>
        <w:t xml:space="preserve"> </w:t>
      </w:r>
      <w:r>
        <w:t>in this particular concept. As for “kanla denci”, the rela</w:t>
      </w:r>
      <w:r>
        <w:softHyphen/>
        <w:t>tionship is</w:t>
      </w:r>
      <w:r>
        <w:rPr>
          <w:rStyle w:val="deletedparamark"/>
        </w:rPr>
        <w:t xml:space="preserve"> </w:t>
      </w:r>
      <w:r>
        <w:t>not only not present on the surface, it is hardly possible to formulate</w:t>
      </w:r>
      <w:r>
        <w:rPr>
          <w:rStyle w:val="deletedparamark"/>
        </w:rPr>
        <w:t xml:space="preserve"> </w:t>
      </w:r>
      <w:r>
        <w:t>it at all.</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222" w:name="_Toc395691531"/>
      <w:bookmarkStart w:id="223" w:name="_Toc398970502"/>
      <w:r>
        <w:rPr>
          <w:rStyle w:val="Heading3Text"/>
        </w:rPr>
        <w:t>Some types of symmetrical tanru</w:t>
      </w:r>
      <w:bookmarkEnd w:id="222"/>
      <w:bookmarkEnd w:id="22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"symmetrical tanru"&gt;</w:t>
      </w:r>
      <w:r>
        <w:rPr>
          <w:rStyle w:val="indexentry"/>
        </w:rPr>
        <w:fldChar w:fldCharType="begin"/>
      </w:r>
      <w:r>
        <w:instrText>xe "</w:instrText>
      </w:r>
      <w:r>
        <w:rPr>
          <w:rStyle w:val="xeentry"/>
        </w:rPr>
        <w:instrText>symmetrical tanru</w:instrText>
      </w:r>
      <w:r>
        <w:instrText>"</w:instrText>
      </w:r>
      <w:r>
        <w:rPr>
          <w:rStyle w:val="indexentry"/>
        </w:rPr>
        <w:fldChar w:fldCharType="end"/>
      </w:r>
      <w:r>
        <w:t>This section deals with symmetrical tanru, where order is not important.</w:t>
      </w:r>
      <w:r>
        <w:rPr>
          <w:rStyle w:val="deletedparamark"/>
        </w:rPr>
        <w:t xml:space="preserve"> </w:t>
      </w:r>
      <w:r>
        <w:t>Many of these tanru can be expressed with a logical or non-logical</w:t>
      </w:r>
      <w:r>
        <w:rPr>
          <w:rStyle w:val="deletedparamark"/>
        </w:rPr>
        <w:t xml:space="preserve"> </w:t>
      </w:r>
      <w:r>
        <w:t>connective between the comp</w:t>
      </w:r>
      <w:r>
        <w:t>o</w:t>
      </w:r>
      <w:r>
        <w:softHyphen/>
        <w:t>nents.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"symmetrical tanru types, both separately true"&gt;</w:t>
      </w:r>
      <w:r>
        <w:rPr>
          <w:rStyle w:val="indexentry"/>
        </w:rPr>
        <w:fldChar w:fldCharType="begin"/>
      </w:r>
      <w:r>
        <w:instrText>xe "</w:instrText>
      </w:r>
      <w:r>
        <w:rPr>
          <w:rStyle w:val="xeentry"/>
        </w:rPr>
        <w:instrText>symmetrical tanru types: both separately true</w:instrText>
      </w:r>
      <w:r>
        <w:instrText>"</w:instrText>
      </w:r>
      <w:r>
        <w:rPr>
          <w:rStyle w:val="indexentry"/>
        </w:rPr>
        <w:fldChar w:fldCharType="end"/>
      </w:r>
      <w:r>
        <w:t>The tanru may refer to things which are correctly specified by both</w:t>
      </w:r>
      <w:r>
        <w:rPr>
          <w:rStyle w:val="deletedparamark"/>
        </w:rPr>
        <w:t xml:space="preserve"> </w:t>
      </w:r>
      <w:r>
        <w:t>tanru com</w:t>
      </w:r>
      <w:r>
        <w:softHyphen/>
        <w:t>po</w:t>
      </w:r>
      <w:r>
        <w:softHyphen/>
        <w:t>nents. Some of these instances may also be seen as</w:t>
      </w:r>
      <w:r>
        <w:rPr>
          <w:rStyle w:val="deletedparamark"/>
        </w:rPr>
        <w:t xml:space="preserve"> </w:t>
      </w:r>
      <w:r>
        <w:t>asymmetrical tanru where the seltau specifies a material.</w:t>
      </w:r>
      <w:r>
        <w:rPr>
          <w:rStyle w:val="deletedparamark"/>
        </w:rPr>
        <w:t xml:space="preserve"> </w:t>
      </w:r>
      <w:r>
        <w:t>The connective “je” is appropriate:</w:t>
      </w:r>
    </w:p>
    <w:p w:rsidR="00B72047" w:rsidRDefault="00B72047">
      <w:pPr>
        <w:rPr>
          <w:rStyle w:val="htmlparacode"/>
        </w:rPr>
      </w:pPr>
      <w:r>
        <w:rPr>
          <w:rStyle w:val="htmlparacode"/>
        </w:rPr>
        <w:t>&lt;p&gt;</w:t>
      </w:r>
    </w:p>
    <w:p w:rsidR="00B72047" w:rsidRDefault="00B72047">
      <w:pPr>
        <w:pStyle w:val="examplegtabspre"/>
        <w:spacing w:before="80"/>
        <w:rPr>
          <w:rStyle w:val="deletedparamark"/>
        </w:rPr>
      </w:pPr>
      <w:r>
        <w:rPr>
          <w:rStyle w:val="htmlcodes"/>
        </w:rPr>
        <w:t>&lt;dl compact&gt;&lt;dt&gt;</w:t>
      </w:r>
      <w:r>
        <w:tab/>
        <w:t>cipnrstrigi pacru'i</w:t>
      </w:r>
      <w:r>
        <w:tab/>
      </w:r>
      <w:r>
        <w:rPr>
          <w:rStyle w:val="htmlcodes"/>
        </w:rPr>
        <w:t>&lt;dd&gt;</w:t>
      </w:r>
      <w:r>
        <w:t>owl demon (Skt)</w:t>
      </w:r>
      <w:r>
        <w:rPr>
          <w:rStyle w:val="deletedparamark"/>
        </w:rPr>
        <w:t xml:space="preserve"> </w:t>
      </w:r>
    </w:p>
    <w:p w:rsidR="00B72047" w:rsidRDefault="00B72047">
      <w:pPr>
        <w:pStyle w:val="examplegrouptabs"/>
        <w:rPr>
          <w:rStyle w:val="deletedparamark"/>
        </w:rPr>
      </w:pPr>
      <w:r>
        <w:tab/>
        <w:t>nolraitru prije</w:t>
      </w:r>
      <w:r>
        <w:tab/>
      </w:r>
      <w:r>
        <w:tab/>
        <w:t>royal sage (Skt)</w:t>
      </w:r>
      <w:r>
        <w:rPr>
          <w:rStyle w:val="deletedparamark"/>
        </w:rPr>
        <w:t xml:space="preserve"> </w:t>
      </w:r>
    </w:p>
    <w:p w:rsidR="00B72047" w:rsidRDefault="00B72047">
      <w:pPr>
        <w:pStyle w:val="examplegrouptabs"/>
        <w:rPr>
          <w:rStyle w:val="deletedparamark"/>
        </w:rPr>
      </w:pPr>
      <w:r>
        <w:tab/>
        <w:t>remna nakni</w:t>
      </w:r>
      <w:r>
        <w:tab/>
      </w:r>
      <w:r>
        <w:tab/>
        <w:t>human-being male (Qab = man)</w:t>
      </w:r>
      <w:r>
        <w:rPr>
          <w:rStyle w:val="deletedparamark"/>
        </w:rPr>
        <w:t xml:space="preserve"> </w:t>
      </w:r>
    </w:p>
    <w:p w:rsidR="00B72047" w:rsidRDefault="00B72047">
      <w:pPr>
        <w:pStyle w:val="examplegrouptabs"/>
        <w:rPr>
          <w:rStyle w:val="deletedparamark"/>
        </w:rPr>
      </w:pPr>
      <w:r>
        <w:tab/>
        <w:t>remna fetsi</w:t>
      </w:r>
      <w:r>
        <w:tab/>
      </w:r>
      <w:r>
        <w:tab/>
        <w:t>human-being female (Qab = woman)</w:t>
      </w:r>
      <w:r>
        <w:rPr>
          <w:rStyle w:val="deletedparamark"/>
        </w:rPr>
        <w:t xml:space="preserve"> </w:t>
      </w:r>
    </w:p>
    <w:p w:rsidR="00B72047" w:rsidRDefault="00B72047">
      <w:pPr>
        <w:pStyle w:val="examplegrouptabs"/>
        <w:rPr>
          <w:rStyle w:val="deletedparamark"/>
        </w:rPr>
      </w:pPr>
      <w:r>
        <w:tab/>
        <w:t>sonci tolvri</w:t>
      </w:r>
      <w:r>
        <w:tab/>
      </w:r>
      <w:r>
        <w:tab/>
        <w:t>soldier coward (Que)</w:t>
      </w:r>
      <w:r>
        <w:rPr>
          <w:rStyle w:val="deletedparamark"/>
        </w:rPr>
        <w:t xml:space="preserve"> </w:t>
      </w:r>
    </w:p>
    <w:p w:rsidR="00B72047" w:rsidRDefault="00B72047">
      <w:pPr>
        <w:pStyle w:val="examplegrouptabs"/>
        <w:rPr>
          <w:rStyle w:val="deletedparamark"/>
        </w:rPr>
      </w:pPr>
      <w:r>
        <w:tab/>
        <w:t>panzi nanmu</w:t>
      </w:r>
      <w:r>
        <w:tab/>
      </w:r>
      <w:r>
        <w:tab/>
        <w:t>offspring man (Ewe = son)</w:t>
      </w:r>
      <w:r>
        <w:rPr>
          <w:rStyle w:val="deletedparamark"/>
        </w:rPr>
        <w:t xml:space="preserve"> </w:t>
      </w:r>
    </w:p>
    <w:p w:rsidR="00B72047" w:rsidRDefault="00B72047">
      <w:pPr>
        <w:pStyle w:val="examplegrouptabs"/>
        <w:rPr>
          <w:rStyle w:val="deletedparamark"/>
        </w:rPr>
      </w:pPr>
      <w:r>
        <w:tab/>
        <w:t>panzi ninmu</w:t>
      </w:r>
      <w:r>
        <w:tab/>
      </w:r>
      <w:r>
        <w:tab/>
        <w:t>offspring woman (Ewe = daughter)</w:t>
      </w:r>
      <w:r>
        <w:rPr>
          <w:rStyle w:val="deletedparamark"/>
        </w:rPr>
        <w:t xml:space="preserve"> </w:t>
      </w:r>
    </w:p>
    <w:p w:rsidR="00B72047" w:rsidRDefault="00B72047">
      <w:pPr>
        <w:pStyle w:val="examplegrouptabs"/>
        <w:rPr>
          <w:rStyle w:val="deletedparamark"/>
        </w:rPr>
      </w:pPr>
      <w:r>
        <w:tab/>
        <w:t>solji sicni</w:t>
      </w:r>
      <w:r>
        <w:tab/>
      </w:r>
      <w:r>
        <w:tab/>
        <w:t>gold coin (Tur)</w:t>
      </w:r>
      <w:r>
        <w:rPr>
          <w:rStyle w:val="deletedparamark"/>
        </w:rPr>
        <w:t xml:space="preserve"> </w:t>
      </w:r>
    </w:p>
    <w:p w:rsidR="00B72047" w:rsidRDefault="00B72047">
      <w:pPr>
        <w:pStyle w:val="examplegrouptabs"/>
        <w:rPr>
          <w:rStyle w:val="deletedparamark"/>
        </w:rPr>
      </w:pPr>
      <w:r>
        <w:tab/>
        <w:t>solji junla</w:t>
      </w:r>
      <w:r>
        <w:tab/>
      </w:r>
      <w:r>
        <w:tab/>
        <w:t>gold watch (Tur,Kor,Hun)</w:t>
      </w:r>
      <w:r>
        <w:rPr>
          <w:rStyle w:val="deletedparamark"/>
        </w:rPr>
        <w:t xml:space="preserve"> </w:t>
      </w:r>
    </w:p>
    <w:p w:rsidR="00B72047" w:rsidRDefault="00B72047">
      <w:pPr>
        <w:pStyle w:val="examplegrouptabs"/>
      </w:pPr>
      <w:r>
        <w:tab/>
        <w:t>solji djine</w:t>
      </w:r>
      <w:r>
        <w:tab/>
      </w:r>
      <w:r>
        <w:tab/>
        <w:t>gold ring (Udm,Aba,Que)</w:t>
      </w:r>
      <w:r>
        <w:rPr>
          <w:rStyle w:val="deletedparamark"/>
        </w:rPr>
        <w:t xml:space="preserve"> </w:t>
      </w:r>
    </w:p>
    <w:p w:rsidR="00B72047" w:rsidRDefault="00B72047">
      <w:pPr>
        <w:pStyle w:val="examplegrouptabs"/>
        <w:rPr>
          <w:rStyle w:val="deletedparamark"/>
        </w:rPr>
      </w:pPr>
      <w:r>
        <w:tab/>
        <w:t>rokci zdani</w:t>
      </w:r>
      <w:r>
        <w:tab/>
      </w:r>
      <w:r>
        <w:tab/>
        <w:t>stone house (Imb)</w:t>
      </w:r>
      <w:r>
        <w:rPr>
          <w:rStyle w:val="deletedparamark"/>
        </w:rPr>
        <w:t xml:space="preserve"> </w:t>
      </w:r>
    </w:p>
    <w:p w:rsidR="00B72047" w:rsidRDefault="00B72047">
      <w:pPr>
        <w:pStyle w:val="examplegrouptabs"/>
        <w:rPr>
          <w:rStyle w:val="deletedparamark"/>
        </w:rPr>
      </w:pPr>
      <w:r>
        <w:tab/>
        <w:t>mudri zdani</w:t>
      </w:r>
      <w:r>
        <w:tab/>
      </w:r>
      <w:r>
        <w:tab/>
        <w:t>wooden house (Ewe)</w:t>
      </w:r>
      <w:r>
        <w:rPr>
          <w:rStyle w:val="deletedparamark"/>
        </w:rPr>
        <w:t xml:space="preserve"> </w:t>
      </w:r>
    </w:p>
    <w:p w:rsidR="00B72047" w:rsidRDefault="00B72047">
      <w:pPr>
        <w:pStyle w:val="examplegrouptabs"/>
        <w:rPr>
          <w:rStyle w:val="deletedparamark"/>
        </w:rPr>
      </w:pPr>
      <w:r>
        <w:tab/>
        <w:t>rokci bitmu</w:t>
      </w:r>
      <w:r>
        <w:tab/>
      </w:r>
      <w:r>
        <w:tab/>
        <w:t>stone wall (Ewe)</w:t>
      </w:r>
      <w:r>
        <w:rPr>
          <w:rStyle w:val="deletedparamark"/>
        </w:rPr>
        <w:t xml:space="preserve"> </w:t>
      </w:r>
    </w:p>
    <w:p w:rsidR="00B72047" w:rsidRDefault="00B72047">
      <w:pPr>
        <w:pStyle w:val="examplegrouptabs"/>
        <w:rPr>
          <w:rStyle w:val="deletedparamark"/>
        </w:rPr>
      </w:pPr>
      <w:r>
        <w:tab/>
        <w:t>solji carce</w:t>
      </w:r>
      <w:r>
        <w:tab/>
      </w:r>
      <w:r>
        <w:tab/>
        <w:t>gold chariot (Skt)</w:t>
      </w:r>
      <w:r>
        <w:rPr>
          <w:rStyle w:val="deletedparamark"/>
        </w:rPr>
        <w:t xml:space="preserve"> </w:t>
      </w:r>
    </w:p>
    <w:p w:rsidR="00B72047" w:rsidRDefault="00B72047">
      <w:pPr>
        <w:pStyle w:val="examplegrouptabs"/>
        <w:rPr>
          <w:rStyle w:val="deletedparamark"/>
        </w:rPr>
      </w:pPr>
      <w:r>
        <w:tab/>
        <w:t>mudri xarci</w:t>
      </w:r>
      <w:r>
        <w:tab/>
      </w:r>
      <w:r>
        <w:tab/>
        <w:t>wooden weapon (Skt)</w:t>
      </w:r>
      <w:r>
        <w:rPr>
          <w:rStyle w:val="deletedparamark"/>
        </w:rPr>
        <w:t xml:space="preserve"> </w:t>
      </w:r>
    </w:p>
    <w:p w:rsidR="00B72047" w:rsidRDefault="00B72047">
      <w:pPr>
        <w:pStyle w:val="examplegrouptabs"/>
      </w:pPr>
      <w:r>
        <w:tab/>
        <w:t>zdani tcadu</w:t>
      </w:r>
      <w:r>
        <w:tab/>
      </w:r>
      <w:r>
        <w:tab/>
        <w:t>home town (Chi)</w:t>
      </w:r>
    </w:p>
    <w:p w:rsidR="00B72047" w:rsidRDefault="00B72047">
      <w:pPr>
        <w:pStyle w:val="examplescaledpre"/>
        <w:spacing w:before="80" w:line="220" w:lineRule="exact"/>
      </w:pPr>
      <w:r>
        <w:tab/>
        <w:t>cipnrstrigi = fu'ivla for “owl” based on Linnean name</w:t>
      </w:r>
    </w:p>
    <w:p w:rsidR="00B72047" w:rsidRDefault="00B72047">
      <w:pPr>
        <w:pStyle w:val="examplescaled"/>
        <w:spacing w:line="220" w:lineRule="exact"/>
      </w:pPr>
      <w:r>
        <w:tab/>
        <w:t>pacru'i = evil-spirit</w:t>
      </w:r>
    </w:p>
    <w:p w:rsidR="00B72047" w:rsidRDefault="00B72047">
      <w:pPr>
        <w:pStyle w:val="examplescaled"/>
        <w:spacing w:line="220" w:lineRule="exact"/>
      </w:pPr>
      <w:r>
        <w:tab/>
        <w:t>tolvri = opposite-of-brave</w:t>
      </w:r>
    </w:p>
    <w:p w:rsidR="00B72047" w:rsidRDefault="00B72047">
      <w:pPr>
        <w:pStyle w:val="normalafterexample"/>
        <w:spacing w:before="0"/>
      </w:pPr>
      <w:r>
        <w:rPr>
          <w:rStyle w:val="htmlcodes"/>
          <w:vanish w:val="0"/>
        </w:rPr>
        <w:br w:type="page"/>
      </w:r>
      <w:r>
        <w:rPr>
          <w:rStyle w:val="htmlcodes"/>
        </w:rPr>
        <w:t>&lt;/dl&gt;</w:t>
      </w:r>
      <w:r>
        <w:rPr>
          <w:rStyle w:val="indexentry"/>
        </w:rPr>
        <w:t>&lt;cx "symmetrical tanru types, one or other true"&gt;</w:t>
      </w:r>
      <w:r>
        <w:rPr>
          <w:rStyle w:val="indexentry"/>
        </w:rPr>
        <w:fldChar w:fldCharType="begin"/>
      </w:r>
      <w:r>
        <w:instrText>xe "</w:instrText>
      </w:r>
      <w:r>
        <w:rPr>
          <w:rStyle w:val="xeentry"/>
        </w:rPr>
        <w:instrText>symmetrical tanru types: one or other true</w:instrText>
      </w:r>
      <w:r>
        <w:instrText>"</w:instrText>
      </w:r>
      <w:r>
        <w:rPr>
          <w:rStyle w:val="indexentry"/>
        </w:rPr>
        <w:fldChar w:fldCharType="end"/>
      </w:r>
      <w:r>
        <w:t>The tanru may refer to all things which are specified by either</w:t>
      </w:r>
      <w:r>
        <w:rPr>
          <w:rStyle w:val="deletedparamark"/>
        </w:rPr>
        <w:t xml:space="preserve"> </w:t>
      </w:r>
      <w:r>
        <w:t>of the tanru comp</w:t>
      </w:r>
      <w:r>
        <w:t>o</w:t>
      </w:r>
      <w:r>
        <w:softHyphen/>
        <w:t>nents. The connective “ja” is appropriate: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nunji'a nunterji'a</w:t>
      </w:r>
      <w:r>
        <w:tab/>
      </w:r>
      <w:r>
        <w:rPr>
          <w:rStyle w:val="htmlcodes"/>
        </w:rPr>
        <w:t>&lt;dd&gt;</w:t>
      </w:r>
      <w:r>
        <w:t>victory defeat (Skt = victory or defeat)</w:t>
      </w:r>
      <w:r>
        <w:rPr>
          <w:rStyle w:val="deletedparamark"/>
        </w:rPr>
        <w:t xml:space="preserve"> </w:t>
      </w:r>
    </w:p>
    <w:p w:rsidR="00B72047" w:rsidRDefault="00B72047">
      <w:pPr>
        <w:pStyle w:val="examplegrouptabs"/>
        <w:rPr>
          <w:rStyle w:val="deletedparamark"/>
        </w:rPr>
      </w:pPr>
      <w:r>
        <w:tab/>
        <w:t>donri nicte</w:t>
      </w:r>
      <w:r>
        <w:tab/>
      </w:r>
      <w:r>
        <w:tab/>
        <w:t>day night (Skt = day and night)</w:t>
      </w:r>
      <w:r>
        <w:rPr>
          <w:rStyle w:val="deletedparamark"/>
        </w:rPr>
        <w:t xml:space="preserve"> </w:t>
      </w:r>
    </w:p>
    <w:p w:rsidR="00B72047" w:rsidRDefault="00B72047">
      <w:pPr>
        <w:pStyle w:val="examplegrouptabs"/>
        <w:rPr>
          <w:rStyle w:val="deletedparamark"/>
        </w:rPr>
      </w:pPr>
      <w:r>
        <w:tab/>
        <w:t>lunra tarci</w:t>
      </w:r>
      <w:r>
        <w:tab/>
      </w:r>
      <w:r>
        <w:tab/>
        <w:t>moon stars (Skt = moon and stars)</w:t>
      </w:r>
      <w:r>
        <w:rPr>
          <w:rStyle w:val="deletedparamark"/>
        </w:rPr>
        <w:t xml:space="preserve"> </w:t>
      </w:r>
    </w:p>
    <w:p w:rsidR="00B72047" w:rsidRDefault="00B72047">
      <w:pPr>
        <w:pStyle w:val="examplegrouptabs"/>
        <w:rPr>
          <w:rStyle w:val="deletedparamark"/>
        </w:rPr>
      </w:pPr>
      <w:r>
        <w:tab/>
        <w:t>patfu mamta</w:t>
      </w:r>
      <w:r>
        <w:tab/>
      </w:r>
      <w:r>
        <w:tab/>
        <w:t>father mother (Imb,Kaz,Chi = parents)</w:t>
      </w:r>
      <w:r>
        <w:rPr>
          <w:rStyle w:val="deletedparamark"/>
        </w:rPr>
        <w:t xml:space="preserve"> </w:t>
      </w:r>
    </w:p>
    <w:p w:rsidR="00B72047" w:rsidRDefault="00B72047">
      <w:pPr>
        <w:pStyle w:val="examplegrouptabs"/>
        <w:rPr>
          <w:rStyle w:val="deletedparamark"/>
        </w:rPr>
      </w:pPr>
      <w:r>
        <w:tab/>
        <w:t>tuple birka</w:t>
      </w:r>
      <w:r>
        <w:tab/>
      </w:r>
      <w:r>
        <w:tab/>
        <w:t>leg arm (Kaz = extremity)</w:t>
      </w:r>
      <w:r>
        <w:rPr>
          <w:rStyle w:val="deletedparamark"/>
        </w:rPr>
        <w:t xml:space="preserve"> </w:t>
      </w:r>
    </w:p>
    <w:p w:rsidR="00B72047" w:rsidRDefault="00B72047">
      <w:pPr>
        <w:pStyle w:val="examplegrouptabs"/>
        <w:rPr>
          <w:rStyle w:val="deletedparamark"/>
        </w:rPr>
      </w:pPr>
      <w:r>
        <w:tab/>
        <w:t>nuncti nunpinxe</w:t>
      </w:r>
      <w:r>
        <w:tab/>
        <w:t>eating drinking (Udm = cuisine)</w:t>
      </w:r>
      <w:r>
        <w:rPr>
          <w:rStyle w:val="deletedparamark"/>
        </w:rPr>
        <w:t xml:space="preserve"> </w:t>
      </w:r>
    </w:p>
    <w:p w:rsidR="00B72047" w:rsidRDefault="00B72047">
      <w:pPr>
        <w:pStyle w:val="examplegrouptabs"/>
      </w:pPr>
      <w:r>
        <w:tab/>
        <w:t>bersa tixnu</w:t>
      </w:r>
      <w:r>
        <w:tab/>
      </w:r>
      <w:r>
        <w:tab/>
        <w:t>son daughter (Chi = children)</w:t>
      </w:r>
    </w:p>
    <w:p w:rsidR="00B72047" w:rsidRDefault="00B72047">
      <w:pPr>
        <w:pStyle w:val="examplescaledpre"/>
        <w:spacing w:line="220" w:lineRule="exact"/>
      </w:pPr>
      <w:r>
        <w:tab/>
        <w:t>nunji'a = event-of-winning</w:t>
      </w:r>
    </w:p>
    <w:p w:rsidR="00B72047" w:rsidRDefault="00B72047">
      <w:pPr>
        <w:pStyle w:val="examplescaled"/>
        <w:spacing w:line="220" w:lineRule="exact"/>
      </w:pPr>
      <w:r>
        <w:tab/>
        <w:t>nunterji'a = event-of-losing</w:t>
      </w:r>
    </w:p>
    <w:p w:rsidR="00B72047" w:rsidRDefault="00B72047">
      <w:pPr>
        <w:pStyle w:val="examplescaled"/>
        <w:spacing w:line="220" w:lineRule="exact"/>
      </w:pPr>
      <w:r>
        <w:tab/>
        <w:t>nuncti = event-of-eating</w:t>
      </w:r>
    </w:p>
    <w:p w:rsidR="00B72047" w:rsidRDefault="00B72047">
      <w:pPr>
        <w:pStyle w:val="examplescaled"/>
        <w:spacing w:line="220" w:lineRule="exact"/>
      </w:pPr>
      <w:r>
        <w:tab/>
        <w:t>nunpinxe = event-of-drinking</w:t>
      </w:r>
    </w:p>
    <w:p w:rsidR="00B72047" w:rsidRDefault="00B72047">
      <w:pPr>
        <w:pStyle w:val="normalafterexample"/>
      </w:pPr>
      <w:r>
        <w:rPr>
          <w:rStyle w:val="htmlcodes"/>
        </w:rPr>
        <w:t>&lt;/dl&gt;</w:t>
      </w:r>
      <w:r>
        <w:rPr>
          <w:rStyle w:val="indexentry"/>
        </w:rPr>
        <w:t>&lt;cx "symmetrical tanru types, using more inclusive class"&gt;</w:t>
      </w:r>
      <w:r>
        <w:rPr>
          <w:rStyle w:val="indexentry"/>
        </w:rPr>
        <w:fldChar w:fldCharType="begin"/>
      </w:r>
      <w:r>
        <w:instrText>xe "</w:instrText>
      </w:r>
      <w:r>
        <w:rPr>
          <w:rStyle w:val="xeentry"/>
        </w:rPr>
        <w:instrText>symmetrical tanru types: using more inclusive class</w:instrText>
      </w:r>
      <w:r>
        <w:instrText>"</w:instrText>
      </w:r>
      <w:r>
        <w:rPr>
          <w:rStyle w:val="indexentry"/>
        </w:rPr>
        <w:fldChar w:fldCharType="end"/>
      </w:r>
      <w:r>
        <w:t>Alternatively, the tanru may refer to things which are speci</w:t>
      </w:r>
      <w:r>
        <w:softHyphen/>
        <w:t>fied by</w:t>
      </w:r>
      <w:r>
        <w:rPr>
          <w:rStyle w:val="deletedparamark"/>
        </w:rPr>
        <w:t xml:space="preserve"> </w:t>
      </w:r>
      <w:r>
        <w:t>either of the tanru components or by some more inclusive class of</w:t>
      </w:r>
      <w:r>
        <w:rPr>
          <w:rStyle w:val="deletedparamark"/>
        </w:rPr>
        <w:t xml:space="preserve"> </w:t>
      </w:r>
      <w:r>
        <w:t>things which the components typ</w:t>
      </w:r>
      <w:r>
        <w:softHyphen/>
        <w:t>ify:</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curnu jalra</w:t>
      </w:r>
      <w:r>
        <w:tab/>
      </w:r>
      <w:r>
        <w:tab/>
      </w:r>
      <w:r>
        <w:rPr>
          <w:rStyle w:val="htmlcodes"/>
        </w:rPr>
        <w:t>&lt;dd&gt;</w:t>
      </w:r>
      <w:r>
        <w:t>worm beetle (Mon = insect)</w:t>
      </w:r>
      <w:r>
        <w:rPr>
          <w:rStyle w:val="deletedparamark"/>
        </w:rPr>
        <w:t xml:space="preserve"> </w:t>
      </w:r>
    </w:p>
    <w:p w:rsidR="00B72047" w:rsidRDefault="00B72047">
      <w:pPr>
        <w:pStyle w:val="examplegrouptabs"/>
        <w:rPr>
          <w:rStyle w:val="deletedparamark"/>
        </w:rPr>
      </w:pPr>
      <w:r>
        <w:tab/>
        <w:t>jalra curnu</w:t>
      </w:r>
      <w:r>
        <w:tab/>
      </w:r>
      <w:r>
        <w:tab/>
        <w:t>beetle worm (Mon = insect)</w:t>
      </w:r>
      <w:r>
        <w:rPr>
          <w:rStyle w:val="deletedparamark"/>
        </w:rPr>
        <w:t xml:space="preserve"> </w:t>
      </w:r>
    </w:p>
    <w:p w:rsidR="00B72047" w:rsidRDefault="00B72047">
      <w:pPr>
        <w:pStyle w:val="examplegrouptabs"/>
        <w:rPr>
          <w:rStyle w:val="deletedparamark"/>
        </w:rPr>
      </w:pPr>
      <w:r>
        <w:tab/>
        <w:t>kabri palta</w:t>
      </w:r>
      <w:r>
        <w:tab/>
      </w:r>
      <w:r>
        <w:tab/>
        <w:t>cup plate (Kaz = crockery)</w:t>
      </w:r>
      <w:r>
        <w:rPr>
          <w:rStyle w:val="deletedparamark"/>
        </w:rPr>
        <w:t xml:space="preserve"> </w:t>
      </w:r>
    </w:p>
    <w:p w:rsidR="00B72047" w:rsidRDefault="00B72047">
      <w:pPr>
        <w:pStyle w:val="examplegrouptabs"/>
        <w:rPr>
          <w:rStyle w:val="deletedparamark"/>
        </w:rPr>
      </w:pPr>
      <w:r>
        <w:tab/>
        <w:t>jipci gunse</w:t>
      </w:r>
      <w:r>
        <w:tab/>
      </w:r>
      <w:r>
        <w:tab/>
        <w:t>hen goose (Qab = housefowl)</w:t>
      </w:r>
      <w:r>
        <w:rPr>
          <w:rStyle w:val="deletedparamark"/>
        </w:rPr>
        <w:t xml:space="preserve"> </w:t>
      </w:r>
    </w:p>
    <w:p w:rsidR="00B72047" w:rsidRDefault="00B72047">
      <w:pPr>
        <w:pStyle w:val="examplegrouptabs"/>
      </w:pPr>
      <w:r>
        <w:tab/>
        <w:t>xrula tricu</w:t>
      </w:r>
      <w:r>
        <w:tab/>
      </w:r>
      <w:r>
        <w:tab/>
        <w:t>flower tree (Chi = vegetation)</w:t>
      </w:r>
    </w:p>
    <w:p w:rsidR="00B72047" w:rsidRDefault="00B72047">
      <w:pPr>
        <w:pStyle w:val="normalafterexample"/>
      </w:pPr>
      <w:r>
        <w:rPr>
          <w:rStyle w:val="htmlcodes"/>
        </w:rPr>
        <w:t>&lt;/dl&gt;</w:t>
      </w:r>
      <w:r>
        <w:rPr>
          <w:rStyle w:val="indexentry"/>
        </w:rPr>
        <w:t>&lt;cx "symmetrical tanru types, using crucial/typical parts"&gt;</w:t>
      </w:r>
      <w:r>
        <w:rPr>
          <w:rStyle w:val="indexentry"/>
        </w:rPr>
        <w:fldChar w:fldCharType="begin"/>
      </w:r>
      <w:r>
        <w:instrText>xe "</w:instrText>
      </w:r>
      <w:r>
        <w:rPr>
          <w:rStyle w:val="xeentry"/>
        </w:rPr>
        <w:instrText>symmetrical tanru types: using crucial/typical parts</w:instrText>
      </w:r>
      <w:r>
        <w:instrText>"</w:instrText>
      </w:r>
      <w:r>
        <w:rPr>
          <w:rStyle w:val="indexentry"/>
        </w:rPr>
        <w:fldChar w:fldCharType="end"/>
      </w:r>
      <w:r>
        <w:t>The tanru components specify crucial or typical parts of the</w:t>
      </w:r>
      <w:r>
        <w:rPr>
          <w:rStyle w:val="deletedparamark"/>
        </w:rPr>
        <w:t xml:space="preserve"> </w:t>
      </w:r>
      <w:r>
        <w:t>referent of the tanru as a whole:</w:t>
      </w:r>
    </w:p>
    <w:p w:rsidR="00B72047" w:rsidRDefault="00B72047">
      <w:pPr>
        <w:rPr>
          <w:rStyle w:val="htmlparacode"/>
        </w:rPr>
      </w:pPr>
      <w:r>
        <w:rPr>
          <w:rStyle w:val="htmlparacode"/>
        </w:rPr>
        <w:t>&lt;p&gt;</w:t>
      </w:r>
    </w:p>
    <w:p w:rsidR="00B72047" w:rsidRDefault="00B72047">
      <w:pPr>
        <w:pStyle w:val="examplegtabspre"/>
        <w:rPr>
          <w:rStyle w:val="deletedparamark"/>
        </w:rPr>
      </w:pPr>
      <w:r>
        <w:rPr>
          <w:rStyle w:val="htmlcodes"/>
        </w:rPr>
        <w:t>&lt;dl compact&gt;&lt;dt&gt;</w:t>
      </w:r>
      <w:r>
        <w:tab/>
        <w:t>tumla vacri</w:t>
      </w:r>
      <w:r>
        <w:tab/>
      </w:r>
      <w:r>
        <w:tab/>
      </w:r>
      <w:r>
        <w:rPr>
          <w:rStyle w:val="htmlcodes"/>
        </w:rPr>
        <w:t>&lt;dd&gt;</w:t>
      </w:r>
      <w:r>
        <w:t>land air (Fin = world)</w:t>
      </w:r>
      <w:r>
        <w:rPr>
          <w:rStyle w:val="deletedparamark"/>
        </w:rPr>
        <w:t xml:space="preserve"> </w:t>
      </w:r>
    </w:p>
    <w:p w:rsidR="00B72047" w:rsidRDefault="00B72047">
      <w:pPr>
        <w:pStyle w:val="examplegrouptabs"/>
        <w:rPr>
          <w:rStyle w:val="deletedparamark"/>
        </w:rPr>
      </w:pPr>
      <w:r>
        <w:tab/>
        <w:t>moklu stedu</w:t>
      </w:r>
      <w:r>
        <w:tab/>
      </w:r>
      <w:r>
        <w:tab/>
        <w:t>mouth head (Aba = face)</w:t>
      </w:r>
      <w:r>
        <w:rPr>
          <w:rStyle w:val="deletedparamark"/>
        </w:rPr>
        <w:t xml:space="preserve"> </w:t>
      </w:r>
    </w:p>
    <w:p w:rsidR="00B72047" w:rsidRDefault="00B72047">
      <w:pPr>
        <w:pStyle w:val="examplegrouptabs"/>
        <w:rPr>
          <w:rStyle w:val="deletedparamark"/>
        </w:rPr>
      </w:pPr>
      <w:r>
        <w:tab/>
        <w:t>sudysrasu cunmi</w:t>
      </w:r>
      <w:r>
        <w:tab/>
        <w:t>hay millet (Qab = agriculture)</w:t>
      </w:r>
      <w:r>
        <w:rPr>
          <w:rStyle w:val="deletedparamark"/>
        </w:rPr>
        <w:t xml:space="preserve"> </w:t>
      </w:r>
    </w:p>
    <w:p w:rsidR="00B72047" w:rsidRDefault="00B72047">
      <w:pPr>
        <w:pStyle w:val="examplegrouptabs"/>
        <w:rPr>
          <w:rStyle w:val="deletedparamark"/>
        </w:rPr>
      </w:pPr>
      <w:r>
        <w:tab/>
        <w:t>gugde ciste</w:t>
      </w:r>
      <w:r>
        <w:tab/>
      </w:r>
      <w:r>
        <w:tab/>
        <w:t>state system (Mon = politics)</w:t>
      </w:r>
      <w:r>
        <w:rPr>
          <w:rStyle w:val="deletedparamark"/>
        </w:rPr>
        <w:t xml:space="preserve"> </w:t>
      </w:r>
    </w:p>
    <w:p w:rsidR="00B72047" w:rsidRDefault="00B72047">
      <w:pPr>
        <w:pStyle w:val="examplegrouptabs"/>
        <w:rPr>
          <w:rStyle w:val="deletedparamark"/>
        </w:rPr>
      </w:pPr>
      <w:r>
        <w:tab/>
        <w:t>prenu so'imei</w:t>
      </w:r>
      <w:r>
        <w:tab/>
      </w:r>
      <w:r>
        <w:tab/>
        <w:t>people multitude (Mon = masses)</w:t>
      </w:r>
      <w:r>
        <w:rPr>
          <w:rStyle w:val="deletedparamark"/>
        </w:rPr>
        <w:t xml:space="preserve"> </w:t>
      </w:r>
    </w:p>
    <w:p w:rsidR="00B72047" w:rsidRDefault="00B72047">
      <w:pPr>
        <w:pStyle w:val="examplegrouptabs"/>
      </w:pPr>
      <w:r>
        <w:tab/>
        <w:t>djacu dertu</w:t>
      </w:r>
      <w:r>
        <w:tab/>
      </w:r>
      <w:r>
        <w:tab/>
        <w:t>water earth (Chi = climate)</w:t>
      </w:r>
    </w:p>
    <w:p w:rsidR="00B72047" w:rsidRDefault="00B72047">
      <w:pPr>
        <w:pStyle w:val="examplescaledpre"/>
        <w:spacing w:line="220" w:lineRule="exact"/>
      </w:pPr>
      <w:r>
        <w:tab/>
        <w:t>sudysrasu = dry-grass</w:t>
      </w:r>
    </w:p>
    <w:p w:rsidR="00B72047" w:rsidRDefault="00B72047">
      <w:pPr>
        <w:pStyle w:val="examplescaled"/>
        <w:spacing w:line="220" w:lineRule="exact"/>
      </w:pPr>
      <w:r>
        <w:tab/>
        <w:t>so'imei = manysome</w:t>
      </w:r>
    </w:p>
    <w:p w:rsidR="00B72047" w:rsidRDefault="00B72047">
      <w:pPr>
        <w:pStyle w:val="Heading3"/>
        <w:rPr>
          <w:rStyle w:val="Heading3Text"/>
        </w:rPr>
      </w:pPr>
      <w:r>
        <w:rPr>
          <w:rStyle w:val="Heading3Text"/>
        </w:rPr>
        <w:t xml:space="preserve"> </w:t>
      </w:r>
      <w:bookmarkStart w:id="224" w:name="_Toc395691532"/>
      <w:bookmarkStart w:id="225" w:name="_Toc398970503"/>
      <w:r>
        <w:rPr>
          <w:rStyle w:val="Heading3Text"/>
        </w:rPr>
        <w:t>“Pretty little girls' school”: forty ways to say it</w:t>
      </w:r>
      <w:bookmarkEnd w:id="224"/>
      <w:bookmarkEnd w:id="225"/>
      <w:r>
        <w:rPr>
          <w:rStyle w:val="htmlcodes"/>
        </w:rPr>
        <w:t>&lt;/h3&gt;</w:t>
      </w:r>
    </w:p>
    <w:p w:rsidR="00B72047" w:rsidRDefault="00B72047">
      <w:pPr>
        <w:rPr>
          <w:rStyle w:val="htmlparacode"/>
        </w:rPr>
      </w:pPr>
      <w:r>
        <w:rPr>
          <w:rStyle w:val="htmlparacode"/>
        </w:rPr>
        <w:t>&lt;p&gt;</w:t>
      </w:r>
      <w:r>
        <w:rPr>
          <w:rStyle w:val="htmlcodes"/>
        </w:rPr>
        <w:t>&lt;/dl&gt;</w:t>
      </w:r>
      <w:r>
        <w:rPr>
          <w:rStyle w:val="indexentry"/>
        </w:rPr>
        <w:t>&lt;cx "pretty little girls' school, forty ways"&gt;</w:t>
      </w:r>
      <w:r>
        <w:rPr>
          <w:rStyle w:val="indexentry"/>
        </w:rPr>
        <w:fldChar w:fldCharType="begin"/>
      </w:r>
      <w:r>
        <w:instrText>xe "</w:instrText>
      </w:r>
      <w:r>
        <w:rPr>
          <w:rStyle w:val="xeentry"/>
        </w:rPr>
        <w:instrText>pretty little girls' school: forty ways, examples</w:instrText>
      </w:r>
      <w:r>
        <w:instrText>"</w:instrText>
      </w:r>
      <w:r>
        <w:rPr>
          <w:rStyle w:val="indexentry"/>
        </w:rPr>
        <w:fldChar w:fldCharType="end"/>
      </w:r>
    </w:p>
    <w:p w:rsidR="00B72047" w:rsidRDefault="00B72047">
      <w:pPr>
        <w:pStyle w:val="normalparagraph"/>
      </w:pPr>
      <w:r>
        <w:t>The following examples show every possible grouping ar</w:t>
      </w:r>
      <w:r>
        <w:softHyphen/>
        <w:t>rangement of</w:t>
      </w:r>
      <w:r>
        <w:rPr>
          <w:rStyle w:val="deletedparamark"/>
        </w:rPr>
        <w:t xml:space="preserve"> “</w:t>
      </w:r>
      <w:r>
        <w:t>melbi cmalu nixli ckule” using “bo” or “ke </w:t>
      </w:r>
      <w:r>
        <w:rPr>
          <w:rStyle w:val="htmlcodes"/>
        </w:rPr>
        <w:t>&lt;dots&gt;</w:t>
      </w:r>
      <w:r>
        <w:t>…</w:t>
      </w:r>
      <w:r>
        <w:rPr>
          <w:rStyle w:val="htmlcodes"/>
        </w:rPr>
        <w:t>&lt;/dots&gt;</w:t>
      </w:r>
      <w:r>
        <w:t>ke'e” for grouping</w:t>
      </w:r>
      <w:r>
        <w:rPr>
          <w:rStyle w:val="deletedparamark"/>
        </w:rPr>
        <w:t xml:space="preserve"> </w:t>
      </w:r>
      <w:r>
        <w:t>and “je” or “jebo” for logical conne</w:t>
      </w:r>
      <w:r>
        <w:t>c</w:t>
      </w:r>
      <w:r>
        <w:softHyphen/>
        <w:t>tion. Most of these are definitely</w:t>
      </w:r>
      <w:r>
        <w:rPr>
          <w:rStyle w:val="deletedparamark"/>
        </w:rPr>
        <w:t xml:space="preserve"> </w:t>
      </w:r>
      <w:r>
        <w:t>not plausible interpretations of the English phrase “pretty little</w:t>
      </w:r>
      <w:r>
        <w:rPr>
          <w:rStyle w:val="deletedparamark"/>
        </w:rPr>
        <w:t xml:space="preserve"> </w:t>
      </w:r>
      <w:r>
        <w:t>girls' school”, especially those which describe something which is both</w:t>
      </w:r>
      <w:r>
        <w:rPr>
          <w:rStyle w:val="deletedparamark"/>
        </w:rPr>
        <w:t xml:space="preserve"> </w:t>
      </w:r>
      <w:r>
        <w:t>a girl and a school.</w:t>
      </w:r>
    </w:p>
    <w:p w:rsidR="00B72047" w:rsidRDefault="00B72047">
      <w:pPr>
        <w:pStyle w:val="normalparagraph"/>
        <w:rPr>
          <w:rStyle w:val="htmlparacode"/>
        </w:rPr>
      </w:pPr>
      <w:r>
        <w:rPr>
          <w:rStyle w:val="htmlparacode"/>
        </w:rPr>
        <w:t>&lt;p&gt;</w:t>
      </w:r>
    </w:p>
    <w:p w:rsidR="00B72047" w:rsidRDefault="00B72047">
      <w:pPr>
        <w:pStyle w:val="normalparagraph"/>
      </w:pPr>
      <w:r>
        <w:t>Examples 4.2, 4.3, 4.4, 4.5, and 5.6 are repeated here as Examples 16.1,</w:t>
      </w:r>
      <w:r>
        <w:rPr>
          <w:rStyle w:val="deletedparamark"/>
        </w:rPr>
        <w:t xml:space="preserve"> </w:t>
      </w:r>
      <w:r>
        <w:t>16.9, 16.17, 16.25, and 16.33 respectively. The seven examples following</w:t>
      </w:r>
      <w:r>
        <w:rPr>
          <w:rStyle w:val="deletedparamark"/>
        </w:rPr>
        <w:t xml:space="preserve"> </w:t>
      </w:r>
      <w:r>
        <w:t>each of these share the same grouping pattern, but differ in the presence</w:t>
      </w:r>
      <w:r>
        <w:rPr>
          <w:rStyle w:val="deletedparamark"/>
        </w:rPr>
        <w:t xml:space="preserve"> </w:t>
      </w:r>
      <w:r>
        <w:t>or absence of “je” at each possible site. Some of the examples have more</w:t>
      </w:r>
      <w:r>
        <w:rPr>
          <w:rStyle w:val="deletedparamark"/>
        </w:rPr>
        <w:t xml:space="preserve"> </w:t>
      </w:r>
      <w:r>
        <w:t>than one Lojban version. In that case, they differ only in grouping</w:t>
      </w:r>
      <w:r>
        <w:rPr>
          <w:rStyle w:val="deletedparamark"/>
        </w:rPr>
        <w:t xml:space="preserve"> </w:t>
      </w:r>
      <w:r>
        <w:t>mechanism, and are always equivalent in meaning.</w:t>
      </w:r>
    </w:p>
    <w:p w:rsidR="00B72047" w:rsidRDefault="00B72047">
      <w:pPr>
        <w:pStyle w:val="normalparagraph"/>
        <w:rPr>
          <w:rStyle w:val="htmlparacode"/>
        </w:rPr>
      </w:pPr>
      <w:r>
        <w:rPr>
          <w:rStyle w:val="htmlparacode"/>
        </w:rPr>
        <w:t>&lt;p&gt;</w:t>
      </w:r>
    </w:p>
    <w:p w:rsidR="00B72047" w:rsidRDefault="00B72047">
      <w:pPr>
        <w:pStyle w:val="normalparagraph"/>
      </w:pPr>
      <w:r>
        <w:t>The logical connective “je” is associative: that is, “A and (B and C)” is</w:t>
      </w:r>
      <w:r>
        <w:rPr>
          <w:rStyle w:val="deletedparamark"/>
        </w:rPr>
        <w:t xml:space="preserve"> </w:t>
      </w:r>
      <w:r>
        <w:t>the same as “(A and B) and C”. Therefore, some of the examples have the</w:t>
      </w:r>
      <w:r>
        <w:rPr>
          <w:rStyle w:val="deletedparamark"/>
        </w:rPr>
        <w:t xml:space="preserve"> </w:t>
      </w:r>
      <w:r>
        <w:t>same meaning as others. In particular, 16.8, 16.16, 16.24, 16.32, and 16.40</w:t>
      </w:r>
      <w:r>
        <w:rPr>
          <w:rStyle w:val="deletedparamark"/>
        </w:rPr>
        <w:t xml:space="preserve"> </w:t>
      </w:r>
      <w:r>
        <w:t>all have the same meaning because all four brivla are logically connected</w:t>
      </w:r>
      <w:r>
        <w:rPr>
          <w:rStyle w:val="deletedparamark"/>
        </w:rPr>
        <w:t xml:space="preserve"> </w:t>
      </w:r>
      <w:r>
        <w:t>and the grouping is simply ir</w:t>
      </w:r>
      <w:r>
        <w:softHyphen/>
        <w:t>relevant. Other equivalent forms are noted</w:t>
      </w:r>
      <w:r>
        <w:rPr>
          <w:rStyle w:val="deletedparamark"/>
        </w:rPr>
        <w:t xml:space="preserve"> </w:t>
      </w:r>
      <w:r>
        <w:t>in the examples them</w:t>
      </w:r>
      <w:r>
        <w:softHyphen/>
        <w:t>selves. However, if “je” were replaced by</w:t>
      </w:r>
      <w:r>
        <w:rPr>
          <w:rStyle w:val="deletedparamark"/>
        </w:rPr>
        <w:t xml:space="preserve"> “</w:t>
      </w:r>
      <w:r>
        <w:t>naja” or “jo” or most of the other logical connectives, the meanings would</w:t>
      </w:r>
      <w:r>
        <w:rPr>
          <w:rStyle w:val="deletedparamark"/>
        </w:rPr>
        <w:t xml:space="preserve"> </w:t>
      </w:r>
      <w:r>
        <w:t>become distinct.</w:t>
      </w:r>
    </w:p>
    <w:p w:rsidR="00B72047" w:rsidRDefault="00B72047">
      <w:pPr>
        <w:pStyle w:val="normalparagraph"/>
        <w:rPr>
          <w:rStyle w:val="htmlparacode"/>
        </w:rPr>
      </w:pPr>
      <w:r>
        <w:rPr>
          <w:rStyle w:val="htmlparacode"/>
        </w:rPr>
        <w:t>&lt;p&gt;</w:t>
      </w:r>
    </w:p>
    <w:p w:rsidR="00B72047" w:rsidRDefault="00B72047">
      <w:pPr>
        <w:pStyle w:val="normalparagraph"/>
      </w:pPr>
      <w:r>
        <w:t>It must be emphasized that, because of the ambiguity of all tanru, the</w:t>
      </w:r>
      <w:r>
        <w:rPr>
          <w:rStyle w:val="deletedparamark"/>
        </w:rPr>
        <w:t xml:space="preserve"> </w:t>
      </w:r>
      <w:r>
        <w:t>English tran</w:t>
      </w:r>
      <w:r>
        <w:t>s</w:t>
      </w:r>
      <w:r>
        <w:softHyphen/>
        <w:t>lations are by no means definitive — they rep</w:t>
      </w:r>
      <w:r>
        <w:softHyphen/>
        <w:t>resent only</w:t>
      </w:r>
      <w:r>
        <w:rPr>
          <w:rStyle w:val="deletedparamark"/>
        </w:rPr>
        <w:t xml:space="preserve"> </w:t>
      </w:r>
      <w:r>
        <w:t>one possible interpreta</w:t>
      </w:r>
      <w:r>
        <w:softHyphen/>
        <w:t>tion of the corresponding Lojban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name=e16d1&gt;</w:t>
      </w:r>
      <w:r>
        <w:t>16.1)</w:t>
      </w:r>
      <w:r>
        <w:tab/>
        <w:t>melbi cmalu nixli ckule</w:t>
      </w:r>
    </w:p>
    <w:p w:rsidR="00B72047" w:rsidRDefault="00B72047">
      <w:pPr>
        <w:pStyle w:val="examplescaled"/>
      </w:pPr>
      <w:r>
        <w:tab/>
        <w:t>((pretty type-of little) type-of girl) type-of school</w:t>
      </w:r>
    </w:p>
    <w:p w:rsidR="00B72047" w:rsidRDefault="00B72047">
      <w:pPr>
        <w:pStyle w:val="examplescaled"/>
      </w:pPr>
      <w:r>
        <w:tab/>
        <w:t>school for girls who are beautifully small</w:t>
      </w:r>
    </w:p>
    <w:p w:rsidR="00B72047" w:rsidRDefault="00B72047">
      <w:pPr>
        <w:pStyle w:val="examplescaledpre"/>
      </w:pPr>
      <w:r>
        <w:rPr>
          <w:rStyle w:val="htmlcodes"/>
        </w:rPr>
        <w:t>&lt;a name=e16d2&gt;</w:t>
      </w:r>
      <w:r>
        <w:t>16.2)</w:t>
      </w:r>
      <w:r>
        <w:tab/>
        <w:t>melbi je cmalu nixli ckule</w:t>
      </w:r>
    </w:p>
    <w:p w:rsidR="00B72047" w:rsidRDefault="00B72047">
      <w:pPr>
        <w:pStyle w:val="examplescaled"/>
      </w:pPr>
      <w:r>
        <w:tab/>
        <w:t>((pretty and little) type-of girl) type-of school</w:t>
      </w:r>
    </w:p>
    <w:p w:rsidR="00B72047" w:rsidRDefault="00B72047">
      <w:pPr>
        <w:pStyle w:val="examplescaled"/>
      </w:pPr>
      <w:r>
        <w:tab/>
        <w:t>school for girls who are beautiful and small</w:t>
      </w:r>
    </w:p>
    <w:p w:rsidR="00B72047" w:rsidRDefault="00B72047">
      <w:pPr>
        <w:pStyle w:val="examplescaledpre"/>
      </w:pPr>
      <w:r>
        <w:rPr>
          <w:rStyle w:val="htmlcodes"/>
        </w:rPr>
        <w:t>&lt;a name=e16d3&gt;</w:t>
      </w:r>
      <w:r>
        <w:t>16.3)</w:t>
      </w:r>
      <w:r>
        <w:tab/>
        <w:t>melbi bo cmalu je nixli ckule</w:t>
      </w:r>
    </w:p>
    <w:p w:rsidR="00B72047" w:rsidRDefault="00B72047">
      <w:pPr>
        <w:pStyle w:val="examplescaled"/>
      </w:pPr>
      <w:r>
        <w:tab/>
        <w:t>((pretty type-of little) and girl) type-of school</w:t>
      </w:r>
    </w:p>
    <w:p w:rsidR="00B72047" w:rsidRDefault="00B72047">
      <w:pPr>
        <w:pStyle w:val="examplescaled"/>
      </w:pPr>
      <w:r>
        <w:tab/>
        <w:t>school for girls and for beautifully small things</w:t>
      </w:r>
    </w:p>
    <w:p w:rsidR="00B72047" w:rsidRDefault="00B72047">
      <w:pPr>
        <w:pStyle w:val="examplescaledpre"/>
      </w:pPr>
      <w:r>
        <w:rPr>
          <w:rStyle w:val="htmlcodes"/>
        </w:rPr>
        <w:t>&lt;a name=e16d4&gt;</w:t>
      </w:r>
      <w:r>
        <w:t>16.4)</w:t>
      </w:r>
      <w:r>
        <w:tab/>
        <w:t>ke melbi cmalu nixli ke'e je ckule</w:t>
      </w:r>
    </w:p>
    <w:p w:rsidR="00B72047" w:rsidRDefault="00B72047">
      <w:pPr>
        <w:pStyle w:val="examplescaled"/>
      </w:pPr>
      <w:r>
        <w:tab/>
        <w:t>((pretty type-of little) type-of girl) and school</w:t>
      </w:r>
    </w:p>
    <w:p w:rsidR="00B72047" w:rsidRDefault="00B72047">
      <w:pPr>
        <w:pStyle w:val="examplescaled"/>
      </w:pPr>
      <w:r>
        <w:tab/>
        <w:t>thing which is a school and a beautifully small girl</w:t>
      </w:r>
    </w:p>
    <w:p w:rsidR="00B72047" w:rsidRDefault="00B72047">
      <w:pPr>
        <w:pStyle w:val="examplescaledpre"/>
      </w:pPr>
      <w:r>
        <w:rPr>
          <w:rStyle w:val="htmlcodes"/>
        </w:rPr>
        <w:t>&lt;a name=e16d5&gt;</w:t>
      </w:r>
      <w:r>
        <w:t>16.5)</w:t>
      </w:r>
      <w:r>
        <w:tab/>
        <w:t>melbi je cmalu je nixli ckule</w:t>
      </w:r>
    </w:p>
    <w:p w:rsidR="00B72047" w:rsidRDefault="00B72047">
      <w:pPr>
        <w:pStyle w:val="examplescaled"/>
      </w:pPr>
      <w:r>
        <w:tab/>
        <w:t>((pretty and little) and girl) type-of school</w:t>
      </w:r>
    </w:p>
    <w:p w:rsidR="00B72047" w:rsidRDefault="00B72047">
      <w:pPr>
        <w:pStyle w:val="examplescaled"/>
      </w:pPr>
      <w:r>
        <w:tab/>
        <w:t>school for things which are beautiful, small, and girls</w:t>
      </w:r>
    </w:p>
    <w:p w:rsidR="00B72047" w:rsidRDefault="00B72047">
      <w:pPr>
        <w:pStyle w:val="examplescaled"/>
      </w:pPr>
      <w:r>
        <w:tab/>
        <w:t>Note:  same as 16.21</w:t>
      </w:r>
    </w:p>
    <w:p w:rsidR="00B72047" w:rsidRDefault="00B72047">
      <w:pPr>
        <w:pStyle w:val="examplescaledpre"/>
      </w:pPr>
      <w:r>
        <w:rPr>
          <w:rStyle w:val="htmlcodes"/>
        </w:rPr>
        <w:t>&lt;a name=e16d6&gt;</w:t>
      </w:r>
      <w:r>
        <w:t>16.6)</w:t>
      </w:r>
      <w:r>
        <w:tab/>
        <w:t>melbi bo cmalu je nixli je ckule</w:t>
      </w:r>
    </w:p>
    <w:p w:rsidR="00B72047" w:rsidRDefault="00B72047">
      <w:pPr>
        <w:pStyle w:val="examplescaled"/>
      </w:pPr>
      <w:r>
        <w:tab/>
        <w:t>((pretty type-of little) and girl) and school</w:t>
      </w:r>
    </w:p>
    <w:p w:rsidR="00B72047" w:rsidRDefault="00B72047">
      <w:pPr>
        <w:pStyle w:val="examplescaled"/>
      </w:pPr>
      <w:r>
        <w:tab/>
        <w:t>thing which is beautifully small, a school, and a girl</w:t>
      </w:r>
    </w:p>
    <w:p w:rsidR="00B72047" w:rsidRDefault="00B72047">
      <w:pPr>
        <w:pStyle w:val="examplescaled"/>
      </w:pPr>
      <w:r>
        <w:tab/>
        <w:t>Note:  same as 16.14</w:t>
      </w:r>
    </w:p>
    <w:p w:rsidR="00B72047" w:rsidRDefault="00B72047">
      <w:pPr>
        <w:pStyle w:val="examplescaledpre"/>
      </w:pPr>
      <w:r>
        <w:rPr>
          <w:rStyle w:val="htmlcodes"/>
        </w:rPr>
        <w:t>&lt;a name=e16d7&gt;</w:t>
      </w:r>
      <w:r>
        <w:t>16.7)</w:t>
      </w:r>
      <w:r>
        <w:tab/>
        <w:t>ke melbi je cmalu nixli ke'e je ckule</w:t>
      </w:r>
    </w:p>
    <w:p w:rsidR="00B72047" w:rsidRDefault="00B72047">
      <w:pPr>
        <w:pStyle w:val="examplescaled"/>
      </w:pPr>
      <w:r>
        <w:tab/>
        <w:t>((pretty and little) type-of girl) and school</w:t>
      </w:r>
    </w:p>
    <w:p w:rsidR="00B72047" w:rsidRDefault="00B72047">
      <w:pPr>
        <w:pStyle w:val="examplescaled"/>
      </w:pPr>
      <w:r>
        <w:tab/>
        <w:t>thing which is a school and a girl who is both beautiful and small</w:t>
      </w:r>
    </w:p>
    <w:p w:rsidR="00B72047" w:rsidRDefault="00B72047">
      <w:pPr>
        <w:pStyle w:val="examplescaledpre"/>
      </w:pPr>
      <w:r>
        <w:rPr>
          <w:rStyle w:val="htmlcodes"/>
        </w:rPr>
        <w:t>&lt;a name=e16d8&gt;</w:t>
      </w:r>
      <w:r>
        <w:t>16.8)</w:t>
      </w:r>
      <w:r>
        <w:tab/>
        <w:t>melbi je cmalu je nixli je ckule</w:t>
      </w:r>
    </w:p>
    <w:p w:rsidR="00B72047" w:rsidRDefault="00B72047">
      <w:pPr>
        <w:pStyle w:val="examplescaled"/>
      </w:pPr>
      <w:r>
        <w:tab/>
        <w:t>((pretty and little) and girl) and school</w:t>
      </w:r>
    </w:p>
    <w:p w:rsidR="00B72047" w:rsidRDefault="00B72047">
      <w:pPr>
        <w:pStyle w:val="examplescaled"/>
      </w:pPr>
      <w:r>
        <w:tab/>
        <w:t>thing which is beautiful, small, a girl, and a school</w:t>
      </w:r>
    </w:p>
    <w:p w:rsidR="00B72047" w:rsidRDefault="00B72047">
      <w:pPr>
        <w:pStyle w:val="examplescaledpre"/>
      </w:pPr>
      <w:r>
        <w:rPr>
          <w:rStyle w:val="htmlcodes"/>
        </w:rPr>
        <w:t>&lt;a name=e16d9&gt;</w:t>
      </w:r>
      <w:r>
        <w:t>16.9)</w:t>
      </w:r>
      <w:r>
        <w:tab/>
        <w:t>melbi cmalu nixli bo ckule</w:t>
      </w:r>
    </w:p>
    <w:p w:rsidR="00B72047" w:rsidRDefault="00B72047">
      <w:pPr>
        <w:pStyle w:val="examplescaled"/>
      </w:pPr>
      <w:r>
        <w:tab/>
        <w:t>(pretty type-of little) type-of (girl type-of school)</w:t>
      </w:r>
    </w:p>
    <w:p w:rsidR="00B72047" w:rsidRDefault="00B72047">
      <w:pPr>
        <w:pStyle w:val="examplescaled"/>
      </w:pPr>
      <w:r>
        <w:tab/>
        <w:t>girls' school which is beautifully small</w:t>
      </w:r>
    </w:p>
    <w:p w:rsidR="00B72047" w:rsidRDefault="00B72047">
      <w:pPr>
        <w:pStyle w:val="examplescaledpre"/>
      </w:pPr>
      <w:r>
        <w:rPr>
          <w:rStyle w:val="htmlcodes"/>
        </w:rPr>
        <w:t>&lt;a name=e16d10&gt;</w:t>
      </w:r>
      <w:r>
        <w:t>16.10)</w:t>
      </w:r>
      <w:r>
        <w:tab/>
        <w:t>melbi je cmalu nixli bo ckule</w:t>
      </w:r>
    </w:p>
    <w:p w:rsidR="00B72047" w:rsidRDefault="00B72047">
      <w:pPr>
        <w:pStyle w:val="examplescaled"/>
      </w:pPr>
      <w:r>
        <w:tab/>
        <w:t>(pretty and little) type-of (girl type-of school)</w:t>
      </w:r>
    </w:p>
    <w:p w:rsidR="00B72047" w:rsidRDefault="00B72047">
      <w:pPr>
        <w:pStyle w:val="examplescaled"/>
      </w:pPr>
      <w:r>
        <w:tab/>
        <w:t>girls' school which is beautiful and small</w:t>
      </w:r>
    </w:p>
    <w:p w:rsidR="00B72047" w:rsidRDefault="00B72047">
      <w:pPr>
        <w:pStyle w:val="examplescaledpre"/>
      </w:pPr>
      <w:r>
        <w:rPr>
          <w:rStyle w:val="htmlcodes"/>
        </w:rPr>
        <w:t>&lt;a name=e16d11&gt;</w:t>
      </w:r>
      <w:r>
        <w:t>16.11)</w:t>
      </w:r>
      <w:r>
        <w:tab/>
        <w:t>melbi cmalu nixli je ckule</w:t>
      </w:r>
    </w:p>
    <w:p w:rsidR="00B72047" w:rsidRDefault="00B72047">
      <w:pPr>
        <w:pStyle w:val="examplescaled"/>
      </w:pPr>
      <w:r>
        <w:tab/>
        <w:t>(pretty type-of little) type-of (girl and school)</w:t>
      </w:r>
    </w:p>
    <w:p w:rsidR="00B72047" w:rsidRDefault="00B72047">
      <w:pPr>
        <w:pStyle w:val="examplescaled"/>
      </w:pPr>
      <w:r>
        <w:tab/>
        <w:t>something which is a girl and a school which is beautifully small</w:t>
      </w:r>
    </w:p>
    <w:p w:rsidR="00B72047" w:rsidRDefault="00B72047">
      <w:pPr>
        <w:pStyle w:val="examplescaledpre"/>
        <w:spacing w:before="0"/>
      </w:pPr>
      <w:r>
        <w:rPr>
          <w:rStyle w:val="htmlcodes"/>
          <w:vanish w:val="0"/>
        </w:rPr>
        <w:br w:type="page"/>
      </w:r>
      <w:r>
        <w:rPr>
          <w:rStyle w:val="htmlcodes"/>
        </w:rPr>
        <w:t>&lt;a name=e16d12&gt;</w:t>
      </w:r>
      <w:r>
        <w:t>16.12)</w:t>
      </w:r>
      <w:r>
        <w:tab/>
        <w:t>melbi bo cmalu je nixli bo ckule</w:t>
      </w:r>
    </w:p>
    <w:p w:rsidR="00B72047" w:rsidRDefault="00B72047">
      <w:pPr>
        <w:pStyle w:val="examplescaled"/>
      </w:pPr>
      <w:r>
        <w:tab/>
        <w:t>(pretty type-of little) and (girl type-of school)</w:t>
      </w:r>
    </w:p>
    <w:p w:rsidR="00B72047" w:rsidRDefault="00B72047">
      <w:pPr>
        <w:pStyle w:val="examplescaled"/>
      </w:pPr>
      <w:r>
        <w:tab/>
        <w:t>something which is beautifully small and a girls' school</w:t>
      </w:r>
    </w:p>
    <w:p w:rsidR="00B72047" w:rsidRDefault="00B72047">
      <w:pPr>
        <w:pStyle w:val="examplescaledpre"/>
      </w:pPr>
      <w:r>
        <w:rPr>
          <w:rStyle w:val="htmlcodes"/>
        </w:rPr>
        <w:t>&lt;a name=e16d13&gt;</w:t>
      </w:r>
      <w:r>
        <w:t>16.13)</w:t>
      </w:r>
      <w:r>
        <w:tab/>
        <w:t>melbi je cmalu nixli je ckule</w:t>
      </w:r>
    </w:p>
    <w:p w:rsidR="00B72047" w:rsidRDefault="00B72047">
      <w:pPr>
        <w:pStyle w:val="examplescaled"/>
      </w:pPr>
      <w:r>
        <w:tab/>
        <w:t>(pretty and little) type-of (girl and school)</w:t>
      </w:r>
    </w:p>
    <w:p w:rsidR="00B72047" w:rsidRDefault="00B72047">
      <w:pPr>
        <w:pStyle w:val="examplescaled"/>
      </w:pPr>
      <w:r>
        <w:tab/>
        <w:t>a pretty and little type of thing which is both a girl and a school</w:t>
      </w:r>
    </w:p>
    <w:p w:rsidR="00B72047" w:rsidRDefault="00B72047">
      <w:pPr>
        <w:pStyle w:val="examplescaledpre"/>
      </w:pPr>
      <w:r>
        <w:rPr>
          <w:rStyle w:val="htmlcodes"/>
        </w:rPr>
        <w:t>&lt;a name=e16d14&gt;</w:t>
      </w:r>
      <w:r>
        <w:t>16.14)</w:t>
      </w:r>
      <w:r>
        <w:tab/>
        <w:t>melbi bo cmalu je nixli jebo ckule</w:t>
      </w:r>
    </w:p>
    <w:p w:rsidR="00B72047" w:rsidRDefault="00B72047">
      <w:pPr>
        <w:pStyle w:val="examplescaled"/>
      </w:pPr>
      <w:r>
        <w:tab/>
        <w:t>(pretty type-of little) and (girl and school)</w:t>
      </w:r>
    </w:p>
    <w:p w:rsidR="00B72047" w:rsidRDefault="00B72047">
      <w:pPr>
        <w:pStyle w:val="examplescaled"/>
      </w:pPr>
      <w:r>
        <w:tab/>
        <w:t>thing which is beautifully small, a school, and a girl</w:t>
      </w:r>
    </w:p>
    <w:p w:rsidR="00B72047" w:rsidRDefault="00B72047">
      <w:pPr>
        <w:pStyle w:val="examplescaled"/>
      </w:pPr>
      <w:r>
        <w:tab/>
        <w:t>Note:  same as 16.6</w:t>
      </w:r>
    </w:p>
    <w:p w:rsidR="00B72047" w:rsidRDefault="00B72047">
      <w:pPr>
        <w:pStyle w:val="examplescaledpre"/>
      </w:pPr>
      <w:r>
        <w:rPr>
          <w:rStyle w:val="htmlcodes"/>
        </w:rPr>
        <w:t>&lt;a name=e16d15&gt;</w:t>
      </w:r>
      <w:r>
        <w:t>16.15)</w:t>
      </w:r>
      <w:r>
        <w:tab/>
        <w:t>melbi jebo cmalu je nixli bo ckule</w:t>
      </w:r>
    </w:p>
    <w:p w:rsidR="00B72047" w:rsidRDefault="00B72047">
      <w:pPr>
        <w:pStyle w:val="examplescaled"/>
      </w:pPr>
      <w:r>
        <w:tab/>
        <w:t>(pretty and little) and (girl type-of school)</w:t>
      </w:r>
    </w:p>
    <w:p w:rsidR="00B72047" w:rsidRDefault="00B72047">
      <w:pPr>
        <w:pStyle w:val="examplescaled"/>
      </w:pPr>
      <w:r>
        <w:tab/>
        <w:t>thing which is beautiful and small and a girl's school</w:t>
      </w:r>
    </w:p>
    <w:p w:rsidR="00B72047" w:rsidRDefault="00B72047">
      <w:pPr>
        <w:pStyle w:val="examplescaled"/>
      </w:pPr>
      <w:r>
        <w:tab/>
        <w:t>Note:  same as 16.30</w:t>
      </w:r>
    </w:p>
    <w:p w:rsidR="00B72047" w:rsidRDefault="00B72047">
      <w:pPr>
        <w:pStyle w:val="examplescaledpre"/>
      </w:pPr>
      <w:r>
        <w:rPr>
          <w:rStyle w:val="htmlcodes"/>
        </w:rPr>
        <w:t>&lt;a name=e16d16&gt;</w:t>
      </w:r>
      <w:r>
        <w:t>16.16)</w:t>
      </w:r>
      <w:r>
        <w:tab/>
        <w:t>melbi jebo cmalu je nixli jebo ckule</w:t>
      </w:r>
    </w:p>
    <w:p w:rsidR="00B72047" w:rsidRDefault="00B72047">
      <w:pPr>
        <w:pStyle w:val="examplescaled"/>
      </w:pPr>
      <w:r>
        <w:tab/>
        <w:t>(pretty and little) and (girl and school)</w:t>
      </w:r>
    </w:p>
    <w:p w:rsidR="00B72047" w:rsidRDefault="00B72047">
      <w:pPr>
        <w:pStyle w:val="examplescaled"/>
      </w:pPr>
      <w:r>
        <w:tab/>
        <w:t>thing which is beautiful, small, a girl, and a school</w:t>
      </w:r>
    </w:p>
    <w:p w:rsidR="00B72047" w:rsidRDefault="00B72047">
      <w:pPr>
        <w:pStyle w:val="examplescaledpre"/>
      </w:pPr>
      <w:r>
        <w:rPr>
          <w:rStyle w:val="htmlcodes"/>
        </w:rPr>
        <w:t>&lt;a name=e16d17&gt;</w:t>
      </w:r>
      <w:r>
        <w:t>16.17)</w:t>
      </w:r>
      <w:r>
        <w:tab/>
        <w:t>melbi cmalu bo nixli ckule</w:t>
      </w:r>
    </w:p>
    <w:p w:rsidR="00B72047" w:rsidRDefault="00B72047">
      <w:pPr>
        <w:pStyle w:val="examplescaled"/>
      </w:pPr>
      <w:r>
        <w:tab/>
        <w:t>(pretty type-of (little type-of girl)) type-of school</w:t>
      </w:r>
    </w:p>
    <w:p w:rsidR="00B72047" w:rsidRDefault="00B72047">
      <w:pPr>
        <w:pStyle w:val="examplescaled"/>
      </w:pPr>
      <w:r>
        <w:tab/>
        <w:t>school for beautiful girls who are small</w:t>
      </w:r>
    </w:p>
    <w:p w:rsidR="00B72047" w:rsidRDefault="00B72047">
      <w:pPr>
        <w:pStyle w:val="examplescaledpre"/>
      </w:pPr>
      <w:r>
        <w:rPr>
          <w:rStyle w:val="htmlcodes"/>
        </w:rPr>
        <w:t>&lt;a name=e16d18&gt;</w:t>
      </w:r>
      <w:r>
        <w:t>16.18)</w:t>
      </w:r>
      <w:r>
        <w:tab/>
        <w:t>melbi cmalu je nixli ckule</w:t>
      </w:r>
    </w:p>
    <w:p w:rsidR="00B72047" w:rsidRDefault="00B72047">
      <w:pPr>
        <w:pStyle w:val="examplescaled"/>
      </w:pPr>
      <w:r>
        <w:tab/>
        <w:t>(pretty type-of (little and girl)) type-of school</w:t>
      </w:r>
    </w:p>
    <w:p w:rsidR="00B72047" w:rsidRDefault="00B72047">
      <w:pPr>
        <w:pStyle w:val="examplescaled"/>
      </w:pPr>
      <w:r>
        <w:tab/>
        <w:t>school for beautiful things which are small and are girls</w:t>
      </w:r>
    </w:p>
    <w:p w:rsidR="00B72047" w:rsidRDefault="00B72047">
      <w:pPr>
        <w:pStyle w:val="examplescaledpre"/>
      </w:pPr>
      <w:r>
        <w:rPr>
          <w:rStyle w:val="htmlcodes"/>
        </w:rPr>
        <w:t>&lt;a name=e16d19&gt;</w:t>
      </w:r>
      <w:r>
        <w:t>16.19)</w:t>
      </w:r>
      <w:r>
        <w:tab/>
        <w:t>melbi je cmalu bo nixli ckule</w:t>
      </w:r>
    </w:p>
    <w:p w:rsidR="00B72047" w:rsidRDefault="00B72047">
      <w:pPr>
        <w:pStyle w:val="examplescaled"/>
      </w:pPr>
      <w:r>
        <w:tab/>
        <w:t>(pretty and (little type-of girl)) type-of school</w:t>
      </w:r>
    </w:p>
    <w:p w:rsidR="00B72047" w:rsidRDefault="00B72047">
      <w:pPr>
        <w:pStyle w:val="examplescaled"/>
      </w:pPr>
      <w:r>
        <w:tab/>
        <w:t>school for things which are beautiful and are small girls</w:t>
      </w:r>
    </w:p>
    <w:p w:rsidR="00B72047" w:rsidRDefault="00B72047">
      <w:pPr>
        <w:pStyle w:val="examplescaledpre"/>
      </w:pPr>
      <w:r>
        <w:rPr>
          <w:rStyle w:val="htmlcodes"/>
        </w:rPr>
        <w:t>&lt;a name=e16d20&gt;</w:t>
      </w:r>
      <w:r>
        <w:t>16.20)</w:t>
      </w:r>
      <w:r>
        <w:tab/>
        <w:t>ke melbi cmalu bo nixli ke'e je ckule</w:t>
      </w:r>
    </w:p>
    <w:p w:rsidR="00B72047" w:rsidRDefault="00B72047">
      <w:pPr>
        <w:pStyle w:val="examplescaled"/>
      </w:pPr>
      <w:r>
        <w:tab/>
        <w:t>melbi bo cmalu bo nixli je ckule</w:t>
      </w:r>
    </w:p>
    <w:p w:rsidR="00B72047" w:rsidRDefault="00B72047">
      <w:pPr>
        <w:pStyle w:val="examplescaled"/>
      </w:pPr>
      <w:r>
        <w:tab/>
        <w:t>(pretty type-of (little type-of girl)) and school</w:t>
      </w:r>
    </w:p>
    <w:p w:rsidR="00B72047" w:rsidRDefault="00B72047">
      <w:pPr>
        <w:pStyle w:val="examplescaled"/>
      </w:pPr>
      <w:r>
        <w:tab/>
        <w:t>thing which is a school and a small girl who is beautiful</w:t>
      </w:r>
    </w:p>
    <w:p w:rsidR="00B72047" w:rsidRDefault="00B72047">
      <w:pPr>
        <w:pStyle w:val="examplescaledpre"/>
      </w:pPr>
      <w:r>
        <w:rPr>
          <w:rStyle w:val="htmlcodes"/>
        </w:rPr>
        <w:t>&lt;a name=e16d21&gt;</w:t>
      </w:r>
      <w:r>
        <w:t>16.21)</w:t>
      </w:r>
      <w:r>
        <w:tab/>
        <w:t>melbi je cmalu jebo nixli ckule</w:t>
      </w:r>
    </w:p>
    <w:p w:rsidR="00B72047" w:rsidRDefault="00B72047">
      <w:pPr>
        <w:pStyle w:val="examplescaled"/>
      </w:pPr>
      <w:r>
        <w:tab/>
        <w:t>(pretty and (little and girl)) type-of school</w:t>
      </w:r>
    </w:p>
    <w:p w:rsidR="00B72047" w:rsidRDefault="00B72047">
      <w:pPr>
        <w:pStyle w:val="examplescaled"/>
      </w:pPr>
      <w:r>
        <w:tab/>
        <w:t>school for things which are beautiful, small, and girls</w:t>
      </w:r>
    </w:p>
    <w:p w:rsidR="00B72047" w:rsidRDefault="00B72047">
      <w:pPr>
        <w:pStyle w:val="examplescaled"/>
      </w:pPr>
      <w:r>
        <w:tab/>
        <w:t>Note:  same as 16.5</w:t>
      </w:r>
    </w:p>
    <w:p w:rsidR="00B72047" w:rsidRDefault="00B72047">
      <w:pPr>
        <w:pStyle w:val="examplescaledpre"/>
      </w:pPr>
      <w:r>
        <w:rPr>
          <w:rStyle w:val="htmlcodes"/>
        </w:rPr>
        <w:t>&lt;a name=e16d22&gt;</w:t>
      </w:r>
      <w:r>
        <w:t>16.22)</w:t>
      </w:r>
      <w:r>
        <w:tab/>
        <w:t>melbi je cmalu bo nixli je ckule</w:t>
      </w:r>
    </w:p>
    <w:p w:rsidR="00B72047" w:rsidRDefault="00B72047">
      <w:pPr>
        <w:pStyle w:val="examplescaled"/>
      </w:pPr>
      <w:r>
        <w:tab/>
        <w:t>(pretty and (little type-of girl)) and school</w:t>
      </w:r>
    </w:p>
    <w:p w:rsidR="00B72047" w:rsidRDefault="00B72047">
      <w:pPr>
        <w:pStyle w:val="examplescaled"/>
      </w:pPr>
      <w:r>
        <w:tab/>
        <w:t>thing which is beautiful, a small girl, and a school</w:t>
      </w:r>
    </w:p>
    <w:p w:rsidR="00B72047" w:rsidRDefault="00B72047">
      <w:pPr>
        <w:pStyle w:val="examplescaled"/>
      </w:pPr>
      <w:r>
        <w:tab/>
        <w:t>Note:  same as 16.38</w:t>
      </w:r>
    </w:p>
    <w:p w:rsidR="00B72047" w:rsidRDefault="00B72047">
      <w:pPr>
        <w:pStyle w:val="examplescaledpre"/>
      </w:pPr>
      <w:r>
        <w:rPr>
          <w:rStyle w:val="htmlcodes"/>
        </w:rPr>
        <w:t>&lt;a name=e16d23&gt;</w:t>
      </w:r>
      <w:r>
        <w:t>16.23)</w:t>
      </w:r>
      <w:r>
        <w:tab/>
        <w:t>ke melbi cmalu je nixli ke'e je ckule</w:t>
      </w:r>
    </w:p>
    <w:p w:rsidR="00B72047" w:rsidRDefault="00B72047">
      <w:pPr>
        <w:pStyle w:val="examplescaled"/>
      </w:pPr>
      <w:r>
        <w:tab/>
        <w:t>(pretty type-of (little and girl)) and school</w:t>
      </w:r>
    </w:p>
    <w:p w:rsidR="00B72047" w:rsidRDefault="00B72047">
      <w:pPr>
        <w:pStyle w:val="examplescaled"/>
      </w:pPr>
      <w:r>
        <w:tab/>
        <w:t>thing which is beautifully small, a beautiful girl, and a school</w:t>
      </w:r>
    </w:p>
    <w:p w:rsidR="00B72047" w:rsidRDefault="00B72047">
      <w:pPr>
        <w:pStyle w:val="examplescaledpre"/>
        <w:spacing w:before="0"/>
      </w:pPr>
      <w:r>
        <w:rPr>
          <w:rStyle w:val="htmlcodes"/>
          <w:vanish w:val="0"/>
        </w:rPr>
        <w:br w:type="page"/>
      </w:r>
      <w:r>
        <w:rPr>
          <w:rStyle w:val="htmlcodes"/>
        </w:rPr>
        <w:t>&lt;a name=e16d24&gt;</w:t>
      </w:r>
      <w:r>
        <w:t>16.24)</w:t>
      </w:r>
      <w:r>
        <w:tab/>
        <w:t>melbi je cmalu jebo nixli je ckule</w:t>
      </w:r>
    </w:p>
    <w:p w:rsidR="00B72047" w:rsidRDefault="00B72047">
      <w:pPr>
        <w:pStyle w:val="examplescaled"/>
      </w:pPr>
      <w:r>
        <w:tab/>
        <w:t>(pretty and (little and girl)) and school</w:t>
      </w:r>
    </w:p>
    <w:p w:rsidR="00B72047" w:rsidRDefault="00B72047">
      <w:pPr>
        <w:pStyle w:val="examplescaled"/>
      </w:pPr>
      <w:r>
        <w:tab/>
        <w:t>thing which is beautiful, small, a girl, and a school</w:t>
      </w:r>
    </w:p>
    <w:p w:rsidR="00B72047" w:rsidRDefault="00B72047">
      <w:pPr>
        <w:pStyle w:val="examplescaledpre"/>
      </w:pPr>
      <w:r>
        <w:rPr>
          <w:rStyle w:val="htmlcodes"/>
        </w:rPr>
        <w:t>&lt;a name=e16d25&gt;</w:t>
      </w:r>
      <w:r>
        <w:t>16.25)</w:t>
      </w:r>
      <w:r>
        <w:tab/>
        <w:t>melbi cmalu bo nixli bo ckule</w:t>
      </w:r>
    </w:p>
    <w:p w:rsidR="00B72047" w:rsidRDefault="00B72047">
      <w:pPr>
        <w:pStyle w:val="examplescaled"/>
      </w:pPr>
      <w:r>
        <w:tab/>
        <w:t>melbi ke cmalu ke nixli ckule [ke'e] [ke'e]</w:t>
      </w:r>
    </w:p>
    <w:p w:rsidR="00B72047" w:rsidRDefault="00B72047">
      <w:pPr>
        <w:pStyle w:val="examplescaled"/>
      </w:pPr>
      <w:r>
        <w:tab/>
        <w:t>pretty type-of (little type-of (girl type-of school))</w:t>
      </w:r>
    </w:p>
    <w:p w:rsidR="00B72047" w:rsidRDefault="00B72047">
      <w:pPr>
        <w:pStyle w:val="examplescaled"/>
      </w:pPr>
      <w:r>
        <w:tab/>
        <w:t>small school for girls which is beautiful</w:t>
      </w:r>
    </w:p>
    <w:p w:rsidR="00B72047" w:rsidRDefault="00B72047">
      <w:pPr>
        <w:pStyle w:val="examplescaledpre"/>
      </w:pPr>
      <w:r>
        <w:rPr>
          <w:rStyle w:val="htmlcodes"/>
        </w:rPr>
        <w:t>&lt;a name=e16d26&gt;</w:t>
      </w:r>
      <w:r>
        <w:t>16.26)</w:t>
      </w:r>
      <w:r>
        <w:tab/>
        <w:t>melbi ke cmalu nixli je ckule [ke'e]</w:t>
      </w:r>
    </w:p>
    <w:p w:rsidR="00B72047" w:rsidRDefault="00B72047">
      <w:pPr>
        <w:pStyle w:val="examplescaled"/>
      </w:pPr>
      <w:r>
        <w:tab/>
        <w:t>pretty type-of (little type-of (girl and school))</w:t>
      </w:r>
    </w:p>
    <w:p w:rsidR="00B72047" w:rsidRDefault="00B72047">
      <w:pPr>
        <w:pStyle w:val="examplescaled"/>
      </w:pPr>
      <w:r>
        <w:tab/>
        <w:t>small thing, both a girl and a school, which is beautiful</w:t>
      </w:r>
    </w:p>
    <w:p w:rsidR="00B72047" w:rsidRDefault="00B72047">
      <w:pPr>
        <w:pStyle w:val="examplescaledpre"/>
      </w:pPr>
      <w:r>
        <w:rPr>
          <w:rStyle w:val="htmlcodes"/>
        </w:rPr>
        <w:t>&lt;a name=e16d27&gt;</w:t>
      </w:r>
      <w:r>
        <w:t>16.27)</w:t>
      </w:r>
      <w:r>
        <w:tab/>
        <w:t>melbi cmalu je nixli bo ckule</w:t>
      </w:r>
    </w:p>
    <w:p w:rsidR="00B72047" w:rsidRDefault="00B72047">
      <w:pPr>
        <w:pStyle w:val="examplescaled"/>
      </w:pPr>
      <w:r>
        <w:tab/>
        <w:t>pretty type-of (little and (girl type-of school))</w:t>
      </w:r>
    </w:p>
    <w:p w:rsidR="00B72047" w:rsidRDefault="00B72047">
      <w:pPr>
        <w:pStyle w:val="examplescaled"/>
      </w:pPr>
      <w:r>
        <w:tab/>
        <w:t>thing which is beautifully small and a girls' school that is beautiful</w:t>
      </w:r>
    </w:p>
    <w:p w:rsidR="00B72047" w:rsidRDefault="00B72047">
      <w:pPr>
        <w:pStyle w:val="examplescaledpre"/>
      </w:pPr>
      <w:r>
        <w:rPr>
          <w:rStyle w:val="htmlcodes"/>
        </w:rPr>
        <w:t>&lt;a name=e16d28&gt;</w:t>
      </w:r>
      <w:r>
        <w:t>16.28)</w:t>
      </w:r>
      <w:r>
        <w:tab/>
        <w:t>melbi je cmalu bo nixli bo ckule</w:t>
      </w:r>
    </w:p>
    <w:p w:rsidR="00B72047" w:rsidRDefault="00B72047">
      <w:pPr>
        <w:pStyle w:val="examplescaled"/>
      </w:pPr>
      <w:r>
        <w:tab/>
        <w:t>melbi je ke cmalu nixli bo ckule [ke'e]</w:t>
      </w:r>
    </w:p>
    <w:p w:rsidR="00B72047" w:rsidRDefault="00B72047">
      <w:pPr>
        <w:pStyle w:val="examplescaled"/>
      </w:pPr>
      <w:r>
        <w:tab/>
        <w:t>melbi je ke cmalu ke nixli ckule [ke'e] [ke'e]</w:t>
      </w:r>
    </w:p>
    <w:p w:rsidR="00B72047" w:rsidRDefault="00B72047">
      <w:pPr>
        <w:pStyle w:val="examplescaled"/>
      </w:pPr>
      <w:r>
        <w:tab/>
        <w:t>pretty and (little type-of (girl type-of school))</w:t>
      </w:r>
    </w:p>
    <w:p w:rsidR="00B72047" w:rsidRDefault="00B72047">
      <w:pPr>
        <w:pStyle w:val="examplescaled"/>
      </w:pPr>
      <w:r>
        <w:tab/>
        <w:t>thing which is beautiful and a small type of girls' school</w:t>
      </w:r>
    </w:p>
    <w:p w:rsidR="00B72047" w:rsidRDefault="00B72047">
      <w:pPr>
        <w:pStyle w:val="examplescaledpre"/>
      </w:pPr>
      <w:r>
        <w:rPr>
          <w:rStyle w:val="htmlcodes"/>
        </w:rPr>
        <w:t>&lt;a name=e16d29&gt;</w:t>
      </w:r>
      <w:r>
        <w:t>16.29)</w:t>
      </w:r>
      <w:r>
        <w:tab/>
        <w:t>melbi cmalu je nixli jebo ckule</w:t>
      </w:r>
    </w:p>
    <w:p w:rsidR="00B72047" w:rsidRDefault="00B72047">
      <w:pPr>
        <w:pStyle w:val="examplescaled"/>
      </w:pPr>
      <w:r>
        <w:tab/>
        <w:t>melbi cmalu je ke nixli je ckule [ke'e]</w:t>
      </w:r>
    </w:p>
    <w:p w:rsidR="00B72047" w:rsidRDefault="00B72047">
      <w:pPr>
        <w:pStyle w:val="examplescaled"/>
      </w:pPr>
      <w:r>
        <w:tab/>
        <w:t>pretty type-of (little and (girl and school))</w:t>
      </w:r>
    </w:p>
    <w:p w:rsidR="00B72047" w:rsidRDefault="00B72047">
      <w:pPr>
        <w:pStyle w:val="examplescaled"/>
      </w:pPr>
      <w:r>
        <w:tab/>
        <w:t>thing which is beautifully small, a beautiful girl, and a beautiful school</w:t>
      </w:r>
    </w:p>
    <w:p w:rsidR="00B72047" w:rsidRDefault="00B72047">
      <w:pPr>
        <w:pStyle w:val="examplescaled"/>
      </w:pPr>
      <w:r>
        <w:tab/>
        <w:t>Note:  same as 16.37</w:t>
      </w:r>
    </w:p>
    <w:p w:rsidR="00B72047" w:rsidRDefault="00B72047">
      <w:pPr>
        <w:pStyle w:val="examplescaledpre"/>
      </w:pPr>
      <w:r>
        <w:rPr>
          <w:rStyle w:val="htmlcodes"/>
        </w:rPr>
        <w:t>&lt;a name=e16d30&gt;</w:t>
      </w:r>
      <w:r>
        <w:t>16.30)</w:t>
      </w:r>
      <w:r>
        <w:tab/>
        <w:t>melbi je cmalu jebo nixli bo ckule</w:t>
      </w:r>
    </w:p>
    <w:p w:rsidR="00B72047" w:rsidRDefault="00B72047">
      <w:pPr>
        <w:pStyle w:val="examplescaled"/>
      </w:pPr>
      <w:r>
        <w:tab/>
        <w:t>melbi je ke cmalu je nixli bo ckule [ke'e]</w:t>
      </w:r>
    </w:p>
    <w:p w:rsidR="00B72047" w:rsidRDefault="00B72047">
      <w:pPr>
        <w:pStyle w:val="examplescaled"/>
      </w:pPr>
      <w:r>
        <w:tab/>
        <w:t>pretty and (little and (girl type-of school))</w:t>
      </w:r>
    </w:p>
    <w:p w:rsidR="00B72047" w:rsidRDefault="00B72047">
      <w:pPr>
        <w:pStyle w:val="examplescaled"/>
      </w:pPr>
      <w:r>
        <w:tab/>
        <w:t>thing which is beautiful, small and a girls' school</w:t>
      </w:r>
    </w:p>
    <w:p w:rsidR="00B72047" w:rsidRDefault="00B72047">
      <w:pPr>
        <w:pStyle w:val="examplescaled"/>
      </w:pPr>
      <w:r>
        <w:tab/>
        <w:t>Note:  same as 16.15</w:t>
      </w:r>
    </w:p>
    <w:p w:rsidR="00B72047" w:rsidRDefault="00B72047">
      <w:pPr>
        <w:pStyle w:val="examplescaledpre"/>
      </w:pPr>
      <w:r>
        <w:rPr>
          <w:rStyle w:val="htmlcodes"/>
        </w:rPr>
        <w:t>&lt;a name=e16d31&gt;</w:t>
      </w:r>
      <w:r>
        <w:t>16.31)</w:t>
      </w:r>
      <w:r>
        <w:tab/>
        <w:t>melbi je ke cmalu nixli je ckule [ke'e]</w:t>
      </w:r>
    </w:p>
    <w:p w:rsidR="00B72047" w:rsidRDefault="00B72047">
      <w:pPr>
        <w:pStyle w:val="examplescaled"/>
      </w:pPr>
      <w:r>
        <w:tab/>
        <w:t>pretty and (little type-of (girl and school))</w:t>
      </w:r>
    </w:p>
    <w:p w:rsidR="00B72047" w:rsidRDefault="00B72047">
      <w:pPr>
        <w:pStyle w:val="examplescaled"/>
      </w:pPr>
      <w:r>
        <w:tab/>
        <w:t>beautiful thing which is a small girl and a small school</w:t>
      </w:r>
    </w:p>
    <w:p w:rsidR="00B72047" w:rsidRDefault="00B72047">
      <w:pPr>
        <w:pStyle w:val="examplescaledpre"/>
      </w:pPr>
      <w:r>
        <w:rPr>
          <w:rStyle w:val="htmlcodes"/>
        </w:rPr>
        <w:t>&lt;a name=e16d32&gt;</w:t>
      </w:r>
      <w:r>
        <w:t>16.32)</w:t>
      </w:r>
      <w:r>
        <w:tab/>
        <w:t>melbi jebo cmalu jebo nixli jebo ckule</w:t>
      </w:r>
    </w:p>
    <w:p w:rsidR="00B72047" w:rsidRDefault="00B72047">
      <w:pPr>
        <w:pStyle w:val="examplescaled"/>
      </w:pPr>
      <w:r>
        <w:tab/>
        <w:t>pretty and (little and (girl and school))</w:t>
      </w:r>
    </w:p>
    <w:p w:rsidR="00B72047" w:rsidRDefault="00B72047">
      <w:pPr>
        <w:pStyle w:val="examplescaled"/>
      </w:pPr>
      <w:r>
        <w:tab/>
        <w:t>thing which is beautiful, small, a girl, and a school</w:t>
      </w:r>
    </w:p>
    <w:p w:rsidR="00B72047" w:rsidRDefault="00B72047">
      <w:pPr>
        <w:pStyle w:val="examplescaledpre"/>
      </w:pPr>
      <w:r>
        <w:rPr>
          <w:rStyle w:val="htmlcodes"/>
        </w:rPr>
        <w:t>&lt;a name=e16d33&gt;</w:t>
      </w:r>
      <w:r>
        <w:t>16.33)</w:t>
      </w:r>
      <w:r>
        <w:tab/>
        <w:t>melbi ke cmalu nixli ckule [ke'e]</w:t>
      </w:r>
    </w:p>
    <w:p w:rsidR="00B72047" w:rsidRDefault="00B72047">
      <w:pPr>
        <w:pStyle w:val="examplescaled"/>
      </w:pPr>
      <w:r>
        <w:tab/>
        <w:t>pretty type-of ((little type-of girl) type-of school)</w:t>
      </w:r>
    </w:p>
    <w:p w:rsidR="00B72047" w:rsidRDefault="00B72047">
      <w:pPr>
        <w:pStyle w:val="examplescaled"/>
      </w:pPr>
      <w:r>
        <w:tab/>
        <w:t>beautiful school for small girls</w:t>
      </w:r>
    </w:p>
    <w:p w:rsidR="00B72047" w:rsidRDefault="00B72047">
      <w:pPr>
        <w:pStyle w:val="examplescaledpre"/>
      </w:pPr>
      <w:r>
        <w:rPr>
          <w:rStyle w:val="htmlcodes"/>
        </w:rPr>
        <w:t>&lt;a name=e16d34&gt;</w:t>
      </w:r>
      <w:r>
        <w:t>16.34)</w:t>
      </w:r>
      <w:r>
        <w:tab/>
        <w:t>melbi ke cmalu je nixli ckule [ke'e]</w:t>
      </w:r>
    </w:p>
    <w:p w:rsidR="00B72047" w:rsidRDefault="00B72047">
      <w:pPr>
        <w:pStyle w:val="examplescaled"/>
      </w:pPr>
      <w:r>
        <w:tab/>
        <w:t>pretty type-of ((little and girl) type-of school</w:t>
      </w:r>
    </w:p>
    <w:p w:rsidR="00B72047" w:rsidRDefault="00B72047">
      <w:pPr>
        <w:pStyle w:val="examplescaled"/>
      </w:pPr>
      <w:r>
        <w:tab/>
        <w:t>beautiful school for things which are small and are girls</w:t>
      </w:r>
    </w:p>
    <w:p w:rsidR="00B72047" w:rsidRDefault="00B72047">
      <w:pPr>
        <w:pStyle w:val="examplescaledpre"/>
      </w:pPr>
      <w:r>
        <w:rPr>
          <w:rStyle w:val="htmlcodes"/>
        </w:rPr>
        <w:t>&lt;a name=e16d35&gt;</w:t>
      </w:r>
      <w:r>
        <w:t>16.35)</w:t>
      </w:r>
      <w:r>
        <w:tab/>
        <w:t>melbi ke cmalu bo nixli je ckule [ke'e]</w:t>
      </w:r>
    </w:p>
    <w:p w:rsidR="00B72047" w:rsidRDefault="00B72047">
      <w:pPr>
        <w:pStyle w:val="examplescaled"/>
      </w:pPr>
      <w:r>
        <w:tab/>
        <w:t>pretty type-of ((little type-of girl) and school)</w:t>
      </w:r>
    </w:p>
    <w:p w:rsidR="00B72047" w:rsidRDefault="00B72047">
      <w:pPr>
        <w:pStyle w:val="examplescaled"/>
      </w:pPr>
      <w:r>
        <w:tab/>
        <w:t>beautiful thing which is a small girl and a school</w:t>
      </w:r>
    </w:p>
    <w:p w:rsidR="00B72047" w:rsidRDefault="00B72047">
      <w:pPr>
        <w:pStyle w:val="examplescaledpre"/>
      </w:pPr>
      <w:r>
        <w:rPr>
          <w:rStyle w:val="htmlcodes"/>
        </w:rPr>
        <w:t>&lt;a name=e16d36&gt;</w:t>
      </w:r>
      <w:r>
        <w:t>16.36)</w:t>
      </w:r>
      <w:r>
        <w:tab/>
        <w:t>melbi je ke cmalu nixli ckule [ke'e]</w:t>
      </w:r>
    </w:p>
    <w:p w:rsidR="00B72047" w:rsidRDefault="00B72047">
      <w:pPr>
        <w:pStyle w:val="examplescaled"/>
      </w:pPr>
      <w:r>
        <w:tab/>
        <w:t>pretty and ((little type-of girl) type-of school)</w:t>
      </w:r>
    </w:p>
    <w:p w:rsidR="00B72047" w:rsidRDefault="00B72047">
      <w:pPr>
        <w:pStyle w:val="examplescaled"/>
      </w:pPr>
      <w:r>
        <w:tab/>
        <w:t>thing which is beautiful and a school for small girls</w:t>
      </w:r>
    </w:p>
    <w:p w:rsidR="00B72047" w:rsidRDefault="00B72047">
      <w:pPr>
        <w:pStyle w:val="examplescaledpre"/>
      </w:pPr>
      <w:r>
        <w:rPr>
          <w:rStyle w:val="htmlcodes"/>
        </w:rPr>
        <w:t>&lt;a name=e16d37&gt;</w:t>
      </w:r>
      <w:r>
        <w:t>16.37)</w:t>
      </w:r>
      <w:r>
        <w:tab/>
        <w:t>melbi cmalu je nixli je ckule</w:t>
      </w:r>
    </w:p>
    <w:p w:rsidR="00B72047" w:rsidRDefault="00B72047">
      <w:pPr>
        <w:pStyle w:val="examplescaled"/>
      </w:pPr>
      <w:r>
        <w:tab/>
        <w:t>pretty type-of ((little and girl) and school)</w:t>
      </w:r>
    </w:p>
    <w:p w:rsidR="00B72047" w:rsidRDefault="00B72047">
      <w:pPr>
        <w:pStyle w:val="examplescaled"/>
      </w:pPr>
      <w:r>
        <w:tab/>
        <w:t>thing which is beautifully small, a beautiful girl, and a beautiful school</w:t>
      </w:r>
    </w:p>
    <w:p w:rsidR="00B72047" w:rsidRDefault="00B72047">
      <w:pPr>
        <w:pStyle w:val="examplescaled"/>
      </w:pPr>
      <w:r>
        <w:tab/>
        <w:t>Note:  same as 16.29</w:t>
      </w:r>
    </w:p>
    <w:p w:rsidR="00B72047" w:rsidRDefault="00B72047">
      <w:pPr>
        <w:pStyle w:val="examplescaledpre"/>
      </w:pPr>
      <w:r>
        <w:rPr>
          <w:rStyle w:val="htmlcodes"/>
        </w:rPr>
        <w:t>&lt;a name=e16d38&gt;</w:t>
      </w:r>
      <w:r>
        <w:t>16.38)</w:t>
      </w:r>
      <w:r>
        <w:tab/>
        <w:t>melbi je ke cmalu bo nixli je ckule [ke'e]</w:t>
      </w:r>
    </w:p>
    <w:p w:rsidR="00B72047" w:rsidRDefault="00B72047">
      <w:pPr>
        <w:pStyle w:val="examplescaled"/>
      </w:pPr>
      <w:r>
        <w:tab/>
        <w:t>pretty and ((little type-of girl) and school)</w:t>
      </w:r>
    </w:p>
    <w:p w:rsidR="00B72047" w:rsidRDefault="00B72047">
      <w:pPr>
        <w:pStyle w:val="examplescaled"/>
      </w:pPr>
      <w:r>
        <w:tab/>
        <w:t>thing which is beautiful, a small girl and a school</w:t>
      </w:r>
    </w:p>
    <w:p w:rsidR="00B72047" w:rsidRDefault="00B72047">
      <w:pPr>
        <w:pStyle w:val="examplescaled"/>
      </w:pPr>
      <w:r>
        <w:tab/>
        <w:t>Note:  same as 16.22</w:t>
      </w:r>
    </w:p>
    <w:p w:rsidR="00B72047" w:rsidRDefault="00B72047">
      <w:pPr>
        <w:pStyle w:val="examplescaledpre"/>
      </w:pPr>
      <w:r>
        <w:rPr>
          <w:rStyle w:val="htmlcodes"/>
        </w:rPr>
        <w:t>&lt;a name=e16d39&gt;</w:t>
      </w:r>
      <w:r>
        <w:t>16.39)</w:t>
      </w:r>
      <w:r>
        <w:tab/>
        <w:t>melbi je ke cmalu je nixli ckule [ke'e]</w:t>
      </w:r>
    </w:p>
    <w:p w:rsidR="00B72047" w:rsidRDefault="00B72047">
      <w:pPr>
        <w:pStyle w:val="examplescaled"/>
      </w:pPr>
      <w:r>
        <w:tab/>
        <w:t>pretty and ((little and girl) type-of school)</w:t>
      </w:r>
    </w:p>
    <w:p w:rsidR="00B72047" w:rsidRDefault="00B72047">
      <w:pPr>
        <w:pStyle w:val="examplescaled"/>
      </w:pPr>
      <w:r>
        <w:tab/>
        <w:t>thing which is beautiful and is a small school and a girls' school</w:t>
      </w:r>
    </w:p>
    <w:p w:rsidR="00B72047" w:rsidRDefault="00B72047">
      <w:pPr>
        <w:pStyle w:val="examplescaledpre"/>
      </w:pPr>
      <w:r>
        <w:rPr>
          <w:rStyle w:val="htmlcodes"/>
        </w:rPr>
        <w:t>&lt;a name=e16d40&gt;</w:t>
      </w:r>
      <w:r>
        <w:t>16.40)</w:t>
      </w:r>
      <w:r>
        <w:tab/>
        <w:t>melbi je ke cmalu je nixli je ckule [ke'e]</w:t>
      </w:r>
    </w:p>
    <w:p w:rsidR="00B72047" w:rsidRDefault="00B72047">
      <w:pPr>
        <w:pStyle w:val="examplescaled"/>
      </w:pPr>
      <w:r>
        <w:tab/>
        <w:t>pretty and ((little and girl) and school)</w:t>
      </w:r>
    </w:p>
    <w:p w:rsidR="00B72047" w:rsidRDefault="00B72047">
      <w:pPr>
        <w:pStyle w:val="examplescaled"/>
      </w:pPr>
      <w:r>
        <w:tab/>
        <w:t>thing which is beautiful, small, a girl, and a school</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&lt;center&gt;&lt;p align=center&gt;</w:t>
      </w:r>
    </w:p>
    <w:p w:rsidR="00B72047" w:rsidRDefault="00B72047">
      <w:pPr>
        <w:rPr>
          <w:rStyle w:val="htmlcodes"/>
        </w:rPr>
      </w:pPr>
      <w:r>
        <w:rPr>
          <w:rStyle w:val="htmlcodes"/>
        </w:rPr>
        <w:t>&lt;img src=chap6.gif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0" type="#_x0000_t75" style="width:356.25pt;height:547.5pt">
            <v:imagedata r:id="rId24" o:title="" croptop="-26474f" cropbottom="-26474f" cropleft="-6323f" cropright="-6323f"/>
          </v:shape>
        </w:pict>
      </w:r>
    </w:p>
    <w:p w:rsidR="00B72047" w:rsidRDefault="00B72047">
      <w:pPr>
        <w:pStyle w:val="Heading2"/>
      </w:pPr>
      <w:r>
        <w:rPr>
          <w:rStyle w:val="htmlcodes"/>
        </w:rPr>
        <w:t>&lt;h2&gt;</w:t>
      </w:r>
      <w:bookmarkStart w:id="226" w:name="_Toc395684252"/>
      <w:bookmarkStart w:id="227" w:name="_Toc395691533"/>
      <w:bookmarkStart w:id="228" w:name="_Toc395691784"/>
      <w:bookmarkStart w:id="229" w:name="_Toc398970504"/>
      <w:r>
        <w:t>Chapter 6</w:t>
      </w:r>
      <w:bookmarkEnd w:id="226"/>
      <w:bookmarkEnd w:id="227"/>
      <w:bookmarkEnd w:id="228"/>
      <w:bookmarkEnd w:id="229"/>
    </w:p>
    <w:p w:rsidR="00B72047" w:rsidRDefault="00B72047">
      <w:pPr>
        <w:pStyle w:val="Heading2"/>
        <w:rPr>
          <w:rStyle w:val="htmlcodes"/>
        </w:rPr>
      </w:pPr>
      <w:r>
        <w:rPr>
          <w:rStyle w:val="htmlcodes"/>
        </w:rPr>
        <w:t>&lt;br&gt;</w:t>
      </w:r>
    </w:p>
    <w:p w:rsidR="00B72047" w:rsidRDefault="00B72047">
      <w:pPr>
        <w:pStyle w:val="Heading2"/>
      </w:pPr>
      <w:bookmarkStart w:id="230" w:name="_Toc395691534"/>
      <w:bookmarkStart w:id="231" w:name="_Toc395691785"/>
      <w:bookmarkStart w:id="232" w:name="_Toc398970505"/>
      <w:r>
        <w:t>To Speak Of Many Things: The Lojban sumti</w:t>
      </w:r>
      <w:bookmarkEnd w:id="230"/>
      <w:bookmarkEnd w:id="231"/>
      <w:bookmarkEnd w:id="232"/>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233" w:name="_Toc395691535"/>
      <w:bookmarkStart w:id="234" w:name="_Toc398970506"/>
      <w:r>
        <w:rPr>
          <w:rStyle w:val="Heading3Text"/>
        </w:rPr>
        <w:t>The five kinds of simple sumti</w:t>
      </w:r>
      <w:bookmarkEnd w:id="233"/>
      <w:bookmarkEnd w:id="23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"simple sumti"&gt;</w:t>
      </w:r>
      <w:r>
        <w:rPr>
          <w:rStyle w:val="indexentry"/>
        </w:rPr>
        <w:fldChar w:fldCharType="begin"/>
      </w:r>
      <w:r>
        <w:instrText>xe "</w:instrText>
      </w:r>
      <w:r>
        <w:rPr>
          <w:rStyle w:val="xeentry"/>
        </w:rPr>
        <w:instrText>simple sumti</w:instrText>
      </w:r>
      <w:r>
        <w:instrText>"</w:instrText>
      </w:r>
      <w:r>
        <w:rPr>
          <w:rStyle w:val="indexentry"/>
        </w:rPr>
        <w:fldChar w:fldCharType="end"/>
      </w:r>
      <w:r>
        <w:rPr>
          <w:rStyle w:val="indexentry"/>
        </w:rPr>
        <w:t>&lt;cx "sumti, definition"&gt;</w:t>
      </w:r>
      <w:r>
        <w:rPr>
          <w:rStyle w:val="indexentry"/>
        </w:rPr>
        <w:fldChar w:fldCharType="begin"/>
      </w:r>
      <w:r>
        <w:instrText>xe "</w:instrText>
      </w:r>
      <w:r>
        <w:rPr>
          <w:rStyle w:val="xeentry"/>
        </w:rPr>
        <w:instrText>sumti: definition</w:instrText>
      </w:r>
      <w:r>
        <w:instrText>"</w:instrText>
      </w:r>
      <w:r>
        <w:rPr>
          <w:rStyle w:val="indexentry"/>
        </w:rPr>
        <w:fldChar w:fldCharType="end"/>
      </w:r>
      <w:r>
        <w:t>If you understand anything about Lojban, you know what a sumti is by now,</w:t>
      </w:r>
      <w:r>
        <w:rPr>
          <w:rStyle w:val="deletedparamark"/>
        </w:rPr>
        <w:t xml:space="preserve"> </w:t>
      </w:r>
      <w:r>
        <w:t>right? An argument, one of those things that fills the places of simple</w:t>
      </w:r>
      <w:r>
        <w:rPr>
          <w:rStyle w:val="deletedparamark"/>
        </w:rPr>
        <w:t xml:space="preserve"> </w:t>
      </w:r>
      <w:r>
        <w:t>Lojban sentences 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mi klama le zarci</w:t>
      </w:r>
    </w:p>
    <w:p w:rsidR="00B72047" w:rsidRDefault="00B72047">
      <w:pPr>
        <w:pStyle w:val="examplescaled"/>
      </w:pPr>
      <w:r>
        <w:tab/>
        <w:t>I go-to the market</w:t>
      </w:r>
    </w:p>
    <w:p w:rsidR="00B72047" w:rsidRDefault="00B72047">
      <w:pPr>
        <w:pStyle w:val="resumedafterexample"/>
      </w:pPr>
      <w:r>
        <w:rPr>
          <w:rStyle w:val="htmlcodes"/>
        </w:rPr>
        <w:t>&lt;/pre&gt;</w:t>
      </w:r>
      <w:r>
        <w:rPr>
          <w:rStyle w:val="indexentry"/>
        </w:rPr>
        <w:t>&lt;cx "pro-sumti, contrasted with description"&gt;</w:t>
      </w:r>
      <w:r>
        <w:rPr>
          <w:rStyle w:val="indexentry"/>
        </w:rPr>
        <w:fldChar w:fldCharType="begin"/>
      </w:r>
      <w:r>
        <w:instrText>xe "</w:instrText>
      </w:r>
      <w:r>
        <w:rPr>
          <w:rStyle w:val="xeentry"/>
        </w:rPr>
        <w:instrText>pro-sumti: contrasted with description</w:instrText>
      </w:r>
      <w:r>
        <w:instrText>"</w:instrText>
      </w:r>
      <w:r>
        <w:rPr>
          <w:rStyle w:val="indexentry"/>
        </w:rPr>
        <w:fldChar w:fldCharType="end"/>
      </w:r>
      <w:r>
        <w:t xml:space="preserve">In </w:t>
      </w:r>
      <w:r>
        <w:rPr>
          <w:rStyle w:val="htmlcodes"/>
        </w:rPr>
        <w:t>&lt;a href=#e1d1&gt;</w:t>
      </w:r>
      <w:r>
        <w:t>Example 1.1</w:t>
      </w:r>
      <w:r>
        <w:rPr>
          <w:rStyle w:val="htmlcodes"/>
        </w:rPr>
        <w:t>&lt;/a&gt;</w:t>
      </w:r>
      <w:r>
        <w:t>, “mi” and “le zarci” are the sumti. It is easy to see</w:t>
      </w:r>
      <w:r>
        <w:rPr>
          <w:rStyle w:val="deletedparamark"/>
        </w:rPr>
        <w:t xml:space="preserve"> </w:t>
      </w:r>
      <w:r>
        <w:t>that these two sumti are not of the same kind: “mi” is a pro-sumti (the</w:t>
      </w:r>
      <w:r>
        <w:rPr>
          <w:rStyle w:val="deletedparamark"/>
        </w:rPr>
        <w:t xml:space="preserve"> </w:t>
      </w:r>
      <w:r>
        <w:t>Loj</w:t>
      </w:r>
      <w:r>
        <w:softHyphen/>
        <w:t>ban analogue of a pronoun) refer</w:t>
      </w:r>
      <w:r>
        <w:softHyphen/>
        <w:t>ring to the speaker, whereas “le zarci”</w:t>
      </w:r>
      <w:r>
        <w:rPr>
          <w:rStyle w:val="deletedparamark"/>
        </w:rPr>
        <w:t xml:space="preserve"> </w:t>
      </w:r>
      <w:r>
        <w:t>is a description which refers to something de</w:t>
      </w:r>
      <w:r>
        <w:softHyphen/>
        <w:t>scribed as being a market.</w:t>
      </w:r>
    </w:p>
    <w:p w:rsidR="00B72047" w:rsidRDefault="00B72047">
      <w:pPr>
        <w:rPr>
          <w:rStyle w:val="htmlparacode"/>
        </w:rPr>
      </w:pPr>
      <w:r>
        <w:rPr>
          <w:rStyle w:val="htmlparacode"/>
        </w:rPr>
        <w:t>&lt;p&gt;</w:t>
      </w:r>
    </w:p>
    <w:p w:rsidR="00B72047" w:rsidRDefault="00B72047">
      <w:pPr>
        <w:pStyle w:val="normalparagraph"/>
      </w:pPr>
      <w:r>
        <w:rPr>
          <w:rStyle w:val="indexentry"/>
        </w:rPr>
        <w:t>&lt;cx "sumti, kinds of"&gt;</w:t>
      </w:r>
      <w:r>
        <w:rPr>
          <w:rStyle w:val="indexentry"/>
        </w:rPr>
        <w:fldChar w:fldCharType="begin"/>
      </w:r>
      <w:r>
        <w:instrText>xe "</w:instrText>
      </w:r>
      <w:r>
        <w:rPr>
          <w:rStyle w:val="xeentry"/>
        </w:rPr>
        <w:instrText>sumti: kinds of</w:instrText>
      </w:r>
      <w:r>
        <w:instrText>"</w:instrText>
      </w:r>
      <w:r>
        <w:rPr>
          <w:rStyle w:val="indexentry"/>
        </w:rPr>
        <w:fldChar w:fldCharType="end"/>
      </w:r>
      <w:r>
        <w:t>There are five kinds of simple sumti provided by Lojban:</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"sumti, descriptions as"&gt;</w:t>
      </w:r>
      <w:r>
        <w:rPr>
          <w:rStyle w:val="indexentry"/>
        </w:rPr>
        <w:fldChar w:fldCharType="begin"/>
      </w:r>
      <w:r>
        <w:instrText>xe "</w:instrText>
      </w:r>
      <w:r>
        <w:rPr>
          <w:rStyle w:val="xeentry"/>
        </w:rPr>
        <w:instrText>sumti: descriptions as</w:instrText>
      </w:r>
      <w:r>
        <w:instrText>"</w:instrText>
      </w:r>
      <w:r>
        <w:rPr>
          <w:rStyle w:val="indexentry"/>
        </w:rPr>
        <w:fldChar w:fldCharType="end"/>
      </w:r>
      <w:r>
        <w:rPr>
          <w:rStyle w:val="indexentry"/>
        </w:rPr>
        <w:t>&lt;cx "gadri, definition"&gt;</w:t>
      </w:r>
      <w:r>
        <w:rPr>
          <w:rStyle w:val="indexentry"/>
        </w:rPr>
        <w:fldChar w:fldCharType="begin"/>
      </w:r>
      <w:r>
        <w:instrText>xe "</w:instrText>
      </w:r>
      <w:r>
        <w:rPr>
          <w:rStyle w:val="xeentry"/>
        </w:rPr>
        <w:instrText>gadri: definition</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w:instrText>
      </w:r>
      <w:r>
        <w:instrText>"</w:instrText>
      </w:r>
      <w:r>
        <w:rPr>
          <w:rStyle w:val="indexentry"/>
        </w:rPr>
        <w:fldChar w:fldCharType="end"/>
      </w:r>
      <w:r>
        <w:rPr>
          <w:rStyle w:val="htmlcodes"/>
        </w:rPr>
        <w:t>&lt;dl compact&gt;&lt;dt&gt;</w:t>
      </w:r>
      <w:r>
        <w:t>1)</w:t>
      </w:r>
      <w:r>
        <w:tab/>
      </w:r>
      <w:r>
        <w:rPr>
          <w:rStyle w:val="htmlcodes"/>
        </w:rPr>
        <w:t>&lt;dd&gt;</w:t>
      </w:r>
      <w:r>
        <w:t>descriptions like “le zarci”, which usually begin with a de</w:t>
      </w:r>
      <w:r>
        <w:softHyphen/>
        <w:t>scriptor (called a “gadri” in Lojban) such as “le”;</w:t>
      </w:r>
    </w:p>
    <w:p w:rsidR="00B72047" w:rsidRDefault="00B72047" w:rsidP="007E67C1">
      <w:pPr>
        <w:pStyle w:val="Listnobullets"/>
        <w:numPr>
          <w:ilvl w:val="0"/>
          <w:numId w:val="0"/>
        </w:numPr>
        <w:ind w:left="864" w:hanging="504"/>
      </w:pPr>
      <w:r>
        <w:rPr>
          <w:rStyle w:val="htmlcodes"/>
        </w:rPr>
        <w:t>&lt;/dl&gt;</w:t>
      </w:r>
      <w:r>
        <w:rPr>
          <w:rStyle w:val="indexentry"/>
        </w:rPr>
        <w:t>&lt;cx "sumti, pro-sumti as"&gt;</w:t>
      </w:r>
      <w:r>
        <w:rPr>
          <w:rStyle w:val="indexentry"/>
        </w:rPr>
        <w:fldChar w:fldCharType="begin"/>
      </w:r>
      <w:r>
        <w:instrText>xe "</w:instrText>
      </w:r>
      <w:r>
        <w:rPr>
          <w:rStyle w:val="xeentry"/>
        </w:rPr>
        <w:instrText>sumti: pro-sumti as</w:instrText>
      </w:r>
      <w:r>
        <w:instrText>"</w:instrText>
      </w:r>
      <w:r>
        <w:rPr>
          <w:rStyle w:val="indexentry"/>
        </w:rPr>
        <w:fldChar w:fldCharType="end"/>
      </w:r>
      <w:r>
        <w:rPr>
          <w:rStyle w:val="indexentry"/>
        </w:rPr>
        <w:t>&lt;lx "mi"&gt;</w:t>
      </w:r>
      <w:r>
        <w:rPr>
          <w:rStyle w:val="indexentry"/>
        </w:rPr>
        <w:fldChar w:fldCharType="begin"/>
      </w:r>
      <w:r>
        <w:instrText>xe "</w:instrText>
      </w:r>
      <w:r>
        <w:rPr>
          <w:rStyle w:val="xeentry"/>
        </w:rPr>
        <w:instrText>mi</w:instrText>
      </w:r>
      <w:r>
        <w:instrText>"</w:instrText>
      </w:r>
      <w:r>
        <w:rPr>
          <w:rStyle w:val="indexentry"/>
        </w:rPr>
        <w:fldChar w:fldCharType="end"/>
      </w:r>
      <w:r>
        <w:rPr>
          <w:rStyle w:val="htmlcodes"/>
        </w:rPr>
        <w:t>&lt;dl compact&gt;&lt;dt&gt;</w:t>
      </w:r>
      <w:r>
        <w:t>2)</w:t>
      </w:r>
      <w:r>
        <w:tab/>
      </w:r>
      <w:r>
        <w:rPr>
          <w:rStyle w:val="htmlcodes"/>
        </w:rPr>
        <w:t>&lt;dd&gt;</w:t>
      </w:r>
      <w:r>
        <w:t>pro-sumti, such as “mi”;</w:t>
      </w:r>
    </w:p>
    <w:p w:rsidR="00B72047" w:rsidRDefault="00B72047" w:rsidP="007E67C1">
      <w:pPr>
        <w:pStyle w:val="Listnobullets"/>
        <w:numPr>
          <w:ilvl w:val="0"/>
          <w:numId w:val="0"/>
        </w:numPr>
        <w:ind w:left="864" w:hanging="504"/>
      </w:pPr>
      <w:r>
        <w:rPr>
          <w:rStyle w:val="htmlcodes"/>
        </w:rPr>
        <w:t>&lt;/dl&gt;</w:t>
      </w:r>
      <w:r>
        <w:rPr>
          <w:rStyle w:val="indexentry"/>
        </w:rPr>
        <w:t>&lt;cx "sumti, names as"&gt;</w:t>
      </w:r>
      <w:r>
        <w:rPr>
          <w:rStyle w:val="indexentry"/>
        </w:rPr>
        <w:fldChar w:fldCharType="begin"/>
      </w:r>
      <w:r>
        <w:instrText>xe "</w:instrText>
      </w:r>
      <w:r>
        <w:rPr>
          <w:rStyle w:val="xeentry"/>
        </w:rPr>
        <w:instrText>sumti: names as</w:instrText>
      </w:r>
      <w:r>
        <w:instrText>"</w:instrText>
      </w:r>
      <w:r>
        <w:rPr>
          <w:rStyle w:val="indexentry"/>
        </w:rPr>
        <w:fldChar w:fldCharType="end"/>
      </w:r>
      <w:r>
        <w:rPr>
          <w:rStyle w:val="indexentry"/>
        </w:rPr>
        <w:t>&lt;lx "la"&gt;</w:t>
      </w:r>
      <w:r>
        <w:rPr>
          <w:rStyle w:val="indexentry"/>
        </w:rPr>
        <w:fldChar w:fldCharType="begin"/>
      </w:r>
      <w:r>
        <w:instrText>xe "</w:instrText>
      </w:r>
      <w:r>
        <w:rPr>
          <w:rStyle w:val="xeentry"/>
        </w:rPr>
        <w:instrText>la</w:instrText>
      </w:r>
      <w:r>
        <w:instrText>"</w:instrText>
      </w:r>
      <w:r>
        <w:rPr>
          <w:rStyle w:val="indexentry"/>
        </w:rPr>
        <w:fldChar w:fldCharType="end"/>
      </w:r>
      <w:r>
        <w:rPr>
          <w:rStyle w:val="htmlcodes"/>
        </w:rPr>
        <w:t>&lt;dl compact&gt;&lt;dt&gt;</w:t>
      </w:r>
      <w:r>
        <w:t>3)</w:t>
      </w:r>
      <w:r>
        <w:tab/>
      </w:r>
      <w:r>
        <w:rPr>
          <w:rStyle w:val="htmlcodes"/>
        </w:rPr>
        <w:t>&lt;dd&gt;</w:t>
      </w:r>
      <w:r>
        <w:t>names, such as “la lojban.”, which usually begin with “la”;</w:t>
      </w:r>
    </w:p>
    <w:p w:rsidR="00B72047" w:rsidRDefault="00B72047" w:rsidP="007E67C1">
      <w:pPr>
        <w:pStyle w:val="Listnobullets"/>
        <w:numPr>
          <w:ilvl w:val="0"/>
          <w:numId w:val="0"/>
        </w:numPr>
        <w:ind w:left="864" w:hanging="504"/>
      </w:pPr>
      <w:r>
        <w:rPr>
          <w:rStyle w:val="htmlcodes"/>
        </w:rPr>
        <w:t>&lt;/dl&gt;</w:t>
      </w:r>
      <w:r>
        <w:rPr>
          <w:rStyle w:val="indexentry"/>
        </w:rPr>
        <w:t>&lt;cx "sumti, quotations as"&gt;</w:t>
      </w:r>
      <w:r>
        <w:rPr>
          <w:rStyle w:val="indexentry"/>
        </w:rPr>
        <w:fldChar w:fldCharType="begin"/>
      </w:r>
      <w:r>
        <w:instrText>xe "</w:instrText>
      </w:r>
      <w:r>
        <w:rPr>
          <w:rStyle w:val="xeentry"/>
        </w:rPr>
        <w:instrText>sumti: quotations as</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w:instrText>
      </w:r>
      <w:r>
        <w:instrText>"</w:instrText>
      </w:r>
      <w:r>
        <w:rPr>
          <w:rStyle w:val="indexentry"/>
        </w:rPr>
        <w:fldChar w:fldCharType="end"/>
      </w:r>
      <w:r>
        <w:rPr>
          <w:rStyle w:val="indexentry"/>
        </w:rPr>
        <w:t>&lt;lx "le'u"&gt;</w:t>
      </w:r>
      <w:r>
        <w:rPr>
          <w:rStyle w:val="indexentry"/>
        </w:rPr>
        <w:fldChar w:fldCharType="begin"/>
      </w:r>
      <w:r>
        <w:instrText>xe "</w:instrText>
      </w:r>
      <w:r>
        <w:rPr>
          <w:rStyle w:val="xeentry"/>
        </w:rPr>
        <w:instrText>le'u</w:instrText>
      </w:r>
      <w:r>
        <w:instrText>"</w:instrText>
      </w:r>
      <w:r>
        <w:rPr>
          <w:rStyle w:val="indexentry"/>
        </w:rPr>
        <w:fldChar w:fldCharType="end"/>
      </w:r>
      <w:r>
        <w:rPr>
          <w:rStyle w:val="indexentry"/>
        </w:rPr>
        <w:t>&lt;lx "zo"&gt;</w:t>
      </w:r>
      <w:r>
        <w:rPr>
          <w:rStyle w:val="indexentry"/>
        </w:rPr>
        <w:fldChar w:fldCharType="begin"/>
      </w:r>
      <w:r>
        <w:instrText>xe "</w:instrText>
      </w:r>
      <w:r>
        <w:rPr>
          <w:rStyle w:val="xeentry"/>
        </w:rPr>
        <w:instrText>zo</w:instrText>
      </w:r>
      <w:r>
        <w:instrText>"</w:instrText>
      </w:r>
      <w:r>
        <w:rPr>
          <w:rStyle w:val="indexentry"/>
        </w:rPr>
        <w:fldChar w:fldCharType="end"/>
      </w:r>
      <w:r>
        <w:rPr>
          <w:rStyle w:val="indexentry"/>
        </w:rPr>
        <w:t>&lt;lx "zoi"&gt;</w:t>
      </w:r>
      <w:r>
        <w:rPr>
          <w:rStyle w:val="indexentry"/>
        </w:rPr>
        <w:fldChar w:fldCharType="begin"/>
      </w:r>
      <w:r>
        <w:instrText>xe "</w:instrText>
      </w:r>
      <w:r>
        <w:rPr>
          <w:rStyle w:val="xeentry"/>
        </w:rPr>
        <w:instrText>zoi</w:instrText>
      </w:r>
      <w:r>
        <w:instrText>"</w:instrText>
      </w:r>
      <w:r>
        <w:rPr>
          <w:rStyle w:val="indexentry"/>
        </w:rPr>
        <w:fldChar w:fldCharType="end"/>
      </w:r>
      <w:r>
        <w:rPr>
          <w:rStyle w:val="htmlcodes"/>
        </w:rPr>
        <w:t>&lt;dl compact&gt;&lt;dt&gt;</w:t>
      </w:r>
      <w:r>
        <w:t>4)</w:t>
      </w:r>
      <w:r>
        <w:tab/>
      </w:r>
      <w:r>
        <w:rPr>
          <w:rStyle w:val="htmlcodes"/>
        </w:rPr>
        <w:t>&lt;dd&gt;</w:t>
      </w:r>
      <w:r>
        <w:t>quotations, which begin with “lu”, “le'u”, “zo”, or “zoi”;</w:t>
      </w:r>
    </w:p>
    <w:p w:rsidR="00B72047" w:rsidRDefault="00B72047" w:rsidP="007E67C1">
      <w:pPr>
        <w:pStyle w:val="Listnobullets"/>
        <w:numPr>
          <w:ilvl w:val="0"/>
          <w:numId w:val="0"/>
        </w:numPr>
        <w:ind w:left="864" w:hanging="504"/>
      </w:pPr>
      <w:r>
        <w:rPr>
          <w:rStyle w:val="htmlcodes"/>
        </w:rPr>
        <w:t>&lt;/dl&gt;</w:t>
      </w:r>
      <w:r>
        <w:rPr>
          <w:rStyle w:val="indexentry"/>
        </w:rPr>
        <w:t>&lt;cx "sumti, numbers as"&gt;</w:t>
      </w:r>
      <w:r>
        <w:rPr>
          <w:rStyle w:val="indexentry"/>
        </w:rPr>
        <w:fldChar w:fldCharType="begin"/>
      </w:r>
      <w:r>
        <w:instrText>xe "</w:instrText>
      </w:r>
      <w:r>
        <w:rPr>
          <w:rStyle w:val="xeentry"/>
        </w:rPr>
        <w:instrText>sumti: numbers as</w:instrText>
      </w:r>
      <w:r>
        <w:instrText>"</w:instrText>
      </w:r>
      <w:r>
        <w:rPr>
          <w:rStyle w:val="indexentry"/>
        </w:rPr>
        <w:fldChar w:fldCharType="end"/>
      </w:r>
      <w:r>
        <w:rPr>
          <w:rStyle w:val="indexentry"/>
        </w:rPr>
        <w:t>&lt;lx "li"&gt;</w:t>
      </w:r>
      <w:r>
        <w:rPr>
          <w:rStyle w:val="indexentry"/>
        </w:rPr>
        <w:fldChar w:fldCharType="begin"/>
      </w:r>
      <w:r>
        <w:instrText>xe "</w:instrText>
      </w:r>
      <w:r>
        <w:rPr>
          <w:rStyle w:val="xeentry"/>
        </w:rPr>
        <w:instrText>li</w:instrText>
      </w:r>
      <w:r>
        <w:instrText>"</w:instrText>
      </w:r>
      <w:r>
        <w:rPr>
          <w:rStyle w:val="indexentry"/>
        </w:rPr>
        <w:fldChar w:fldCharType="end"/>
      </w:r>
      <w:r>
        <w:rPr>
          <w:rStyle w:val="htmlcodes"/>
        </w:rPr>
        <w:t>&lt;dl compact&gt;&lt;dt&gt;</w:t>
      </w:r>
      <w:r>
        <w:t>5)</w:t>
      </w:r>
      <w:r>
        <w:tab/>
      </w:r>
      <w:r>
        <w:rPr>
          <w:rStyle w:val="htmlcodes"/>
        </w:rPr>
        <w:t>&lt;dd&gt;</w:t>
      </w:r>
      <w:r>
        <w:t>pure numbers, which usually begin with “li”.</w:t>
      </w:r>
    </w:p>
    <w:p w:rsidR="00B72047" w:rsidRDefault="00B72047">
      <w:pPr>
        <w:pStyle w:val="normalafterexample"/>
      </w:pPr>
      <w:r>
        <w:rPr>
          <w:rStyle w:val="htmlcodes"/>
        </w:rPr>
        <w:t>&lt;/dl&gt;&lt;p&gt;</w:t>
      </w:r>
      <w:r>
        <w:t>Here are a few examples of each kind of sumti:</w:t>
      </w:r>
    </w:p>
    <w:p w:rsidR="00B72047" w:rsidRDefault="00B72047">
      <w:pPr>
        <w:rPr>
          <w:rStyle w:val="htmlparacode"/>
        </w:rPr>
      </w:pPr>
      <w:r>
        <w:rPr>
          <w:rStyle w:val="htmlparacode"/>
        </w:rPr>
        <w:t>&lt;p&gt;</w:t>
      </w:r>
    </w:p>
    <w:p w:rsidR="00B72047" w:rsidRDefault="00B72047">
      <w:pPr>
        <w:pStyle w:val="examplescaledpre"/>
      </w:pPr>
      <w:r>
        <w:rPr>
          <w:rStyle w:val="indexentry"/>
        </w:rPr>
        <w:t>&lt;lx "ko"&gt;</w:t>
      </w:r>
      <w:r>
        <w:rPr>
          <w:rStyle w:val="indexentry"/>
        </w:rPr>
        <w:fldChar w:fldCharType="begin"/>
      </w:r>
      <w:r>
        <w:instrText>xe "</w:instrText>
      </w:r>
      <w:r>
        <w:rPr>
          <w:rStyle w:val="xeentry"/>
        </w:rPr>
        <w:instrText>ko</w:instrText>
      </w:r>
      <w:r>
        <w:instrText>"</w:instrText>
      </w:r>
      <w:r>
        <w:rPr>
          <w:rStyle w:val="indexentry"/>
        </w:rPr>
        <w:fldChar w:fldCharType="end"/>
      </w:r>
      <w:r>
        <w:rPr>
          <w:rStyle w:val="htmlcodes"/>
        </w:rPr>
        <w:t>&lt;pre&gt;&lt;a name=e1d2&gt;</w:t>
      </w:r>
      <w:r>
        <w:t>1.2)</w:t>
      </w:r>
      <w:r>
        <w:tab/>
        <w:t>e'osai ko sarji la lojban.</w:t>
      </w:r>
    </w:p>
    <w:p w:rsidR="00B72047" w:rsidRDefault="00B72047">
      <w:pPr>
        <w:pStyle w:val="examplescaled"/>
      </w:pPr>
      <w:r>
        <w:tab/>
        <w:t>Please support Lojban!</w:t>
      </w:r>
    </w:p>
    <w:p w:rsidR="00B72047" w:rsidRDefault="00B72047">
      <w:pPr>
        <w:pStyle w:val="resumedafterexample"/>
      </w:pPr>
      <w:r>
        <w:rPr>
          <w:rStyle w:val="htmlcodes"/>
        </w:rPr>
        <w:t>&lt;/pre&gt;&lt;a href=#e1d2&gt;</w:t>
      </w:r>
      <w:r>
        <w:t xml:space="preserve">Example 1.2 </w:t>
      </w:r>
      <w:r>
        <w:rPr>
          <w:rStyle w:val="htmlcodes"/>
        </w:rPr>
        <w:t>&lt;/a&gt;</w:t>
      </w:r>
      <w:r>
        <w:t>exhibits “ko”, a pro-sumti; and “la lojban.”, a name.</w:t>
      </w:r>
    </w:p>
    <w:p w:rsidR="00B72047" w:rsidRDefault="00B72047">
      <w:pPr>
        <w:rPr>
          <w:rStyle w:val="htmlparacode"/>
        </w:rPr>
      </w:pPr>
      <w:r>
        <w:rPr>
          <w:rStyle w:val="htmlparacode"/>
        </w:rPr>
        <w:t>&lt;p&gt;</w:t>
      </w:r>
    </w:p>
    <w:p w:rsidR="00B72047" w:rsidRDefault="00B72047">
      <w:pPr>
        <w:pStyle w:val="examplescaledpre"/>
      </w:pPr>
      <w:r>
        <w:rPr>
          <w:rStyle w:val="indexentry"/>
        </w:rPr>
        <w:t>&lt;lx "mi"&gt;</w:t>
      </w:r>
      <w:r>
        <w:rPr>
          <w:rStyle w:val="indexentry"/>
        </w:rPr>
        <w:fldChar w:fldCharType="begin"/>
      </w:r>
      <w:r>
        <w:instrText>xe "</w:instrText>
      </w:r>
      <w:r>
        <w:rPr>
          <w:rStyle w:val="xeentry"/>
        </w:rPr>
        <w:instrText>mi</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w:instrText>
      </w:r>
      <w:r>
        <w:instrText>"</w:instrText>
      </w:r>
      <w:r>
        <w:rPr>
          <w:rStyle w:val="indexentry"/>
        </w:rPr>
        <w:fldChar w:fldCharType="end"/>
      </w:r>
      <w:r>
        <w:rPr>
          <w:rStyle w:val="indexentry"/>
        </w:rPr>
        <w:t>&lt;lx "li'u"&gt;</w:t>
      </w:r>
      <w:r>
        <w:rPr>
          <w:rStyle w:val="indexentry"/>
        </w:rPr>
        <w:fldChar w:fldCharType="begin"/>
      </w:r>
      <w:r>
        <w:instrText>xe "</w:instrText>
      </w:r>
      <w:r>
        <w:rPr>
          <w:rStyle w:val="xeentry"/>
        </w:rPr>
        <w:instrText>li'u</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w:instrText>
      </w:r>
      <w:r>
        <w:instrText>"</w:instrText>
      </w:r>
      <w:r>
        <w:rPr>
          <w:rStyle w:val="indexentry"/>
        </w:rPr>
        <w:fldChar w:fldCharType="end"/>
      </w:r>
      <w:r>
        <w:rPr>
          <w:rStyle w:val="htmlcodes"/>
        </w:rPr>
        <w:t>&lt;pre&gt;&lt;a name=e1d3&gt;</w:t>
      </w:r>
      <w:r>
        <w:t>1.3)</w:t>
      </w:r>
      <w:r>
        <w:tab/>
        <w:t>mi cusku lu e'osai li'u le tcidu</w:t>
      </w:r>
    </w:p>
    <w:p w:rsidR="00B72047" w:rsidRDefault="00B72047">
      <w:pPr>
        <w:pStyle w:val="examplescaled"/>
      </w:pPr>
      <w:r>
        <w:tab/>
        <w:t>I express “Please!” to-the reader.</w:t>
      </w:r>
    </w:p>
    <w:p w:rsidR="00B72047" w:rsidRDefault="00B72047">
      <w:pPr>
        <w:pStyle w:val="resumedafterexample"/>
      </w:pPr>
      <w:r>
        <w:rPr>
          <w:rStyle w:val="htmlcodes"/>
        </w:rPr>
        <w:t>&lt;/pre&gt;&lt;a href=#e1d3&gt;</w:t>
      </w:r>
      <w:r>
        <w:t xml:space="preserve">Example 1.3 </w:t>
      </w:r>
      <w:r>
        <w:rPr>
          <w:rStyle w:val="htmlcodes"/>
        </w:rPr>
        <w:t>&lt;/a&gt;</w:t>
      </w:r>
      <w:r>
        <w:t>exhibits “mi”, a pro-sumti; “lu e'osai li'u”, a quotation;</w:t>
      </w:r>
      <w:r>
        <w:rPr>
          <w:rStyle w:val="deletedparamark"/>
        </w:rPr>
        <w:t xml:space="preserve"> </w:t>
      </w:r>
      <w:r>
        <w:t>and “le tcidu”, a d</w:t>
      </w:r>
      <w:r>
        <w:t>e</w:t>
      </w:r>
      <w:r>
        <w:softHyphen/>
        <w:t>scription.</w:t>
      </w:r>
    </w:p>
    <w:p w:rsidR="00B72047" w:rsidRDefault="00B72047">
      <w:pPr>
        <w:rPr>
          <w:rStyle w:val="htmlparacode"/>
        </w:rPr>
      </w:pPr>
      <w:r>
        <w:rPr>
          <w:rStyle w:val="htmlparacode"/>
        </w:rPr>
        <w:t>&lt;p&gt;</w:t>
      </w:r>
    </w:p>
    <w:p w:rsidR="00B72047" w:rsidRDefault="00B72047">
      <w:pPr>
        <w:pStyle w:val="examplescaledpre"/>
      </w:pPr>
      <w:r>
        <w:rPr>
          <w:rStyle w:val="indexentry"/>
        </w:rPr>
        <w:t>&lt;lx "ti"&gt;</w:t>
      </w:r>
      <w:r>
        <w:rPr>
          <w:rStyle w:val="indexentry"/>
        </w:rPr>
        <w:fldChar w:fldCharType="begin"/>
      </w:r>
      <w:r>
        <w:instrText>xe "</w:instrText>
      </w:r>
      <w:r>
        <w:rPr>
          <w:rStyle w:val="xeentry"/>
        </w:rPr>
        <w:instrText>ti</w:instrText>
      </w:r>
      <w:r>
        <w:instrText>"</w:instrText>
      </w:r>
      <w:r>
        <w:rPr>
          <w:rStyle w:val="indexentry"/>
        </w:rPr>
        <w:fldChar w:fldCharType="end"/>
      </w:r>
      <w:r>
        <w:rPr>
          <w:rStyle w:val="indexentry"/>
        </w:rPr>
        <w:t>&lt;lx "li"&gt;</w:t>
      </w:r>
      <w:r>
        <w:rPr>
          <w:rStyle w:val="indexentry"/>
        </w:rPr>
        <w:fldChar w:fldCharType="begin"/>
      </w:r>
      <w:r>
        <w:instrText>xe "</w:instrText>
      </w:r>
      <w:r>
        <w:rPr>
          <w:rStyle w:val="xeentry"/>
        </w:rPr>
        <w:instrText>li</w:instrText>
      </w:r>
      <w:r>
        <w:instrText>"</w:instrText>
      </w:r>
      <w:r>
        <w:rPr>
          <w:rStyle w:val="indexentry"/>
        </w:rPr>
        <w:fldChar w:fldCharType="end"/>
      </w:r>
      <w:r>
        <w:rPr>
          <w:rStyle w:val="htmlcodes"/>
        </w:rPr>
        <w:t>&lt;pre&gt;&lt;a name=e1d4&gt;</w:t>
      </w:r>
      <w:r>
        <w:t>1.4)</w:t>
      </w:r>
      <w:r>
        <w:tab/>
        <w:t>ti mitre li ci</w:t>
      </w:r>
    </w:p>
    <w:p w:rsidR="00B72047" w:rsidRDefault="00B72047">
      <w:pPr>
        <w:pStyle w:val="examplescaled"/>
      </w:pPr>
      <w:r>
        <w:tab/>
        <w:t>This measures-in-meters the-number three.</w:t>
      </w:r>
    </w:p>
    <w:p w:rsidR="00B72047" w:rsidRDefault="00B72047">
      <w:pPr>
        <w:pStyle w:val="examplescaled"/>
      </w:pPr>
      <w:r>
        <w:tab/>
        <w:t>This is three meters long.</w:t>
      </w:r>
    </w:p>
    <w:p w:rsidR="00B72047" w:rsidRDefault="00B72047">
      <w:pPr>
        <w:pStyle w:val="resumedafterexample"/>
      </w:pPr>
      <w:r>
        <w:rPr>
          <w:rStyle w:val="htmlcodes"/>
        </w:rPr>
        <w:t>&lt;/pre&gt;&lt;a href=#e1d4&gt;</w:t>
      </w:r>
      <w:r>
        <w:t xml:space="preserve">Example 1.4 </w:t>
      </w:r>
      <w:r>
        <w:rPr>
          <w:rStyle w:val="htmlcodes"/>
        </w:rPr>
        <w:t>&lt;/a&gt;</w:t>
      </w:r>
      <w:r>
        <w:t>exhibits “ti”, a pro-sumti; and “li ci”, a number.</w:t>
      </w:r>
    </w:p>
    <w:p w:rsidR="00B72047" w:rsidRDefault="00B72047">
      <w:pPr>
        <w:rPr>
          <w:rStyle w:val="htmlparacode"/>
        </w:rPr>
      </w:pPr>
      <w:r>
        <w:rPr>
          <w:rStyle w:val="htmlparacode"/>
        </w:rPr>
        <w:t>&lt;p&gt;</w:t>
      </w:r>
    </w:p>
    <w:p w:rsidR="00B72047" w:rsidRDefault="00B72047">
      <w:pPr>
        <w:pStyle w:val="normalparagraph"/>
      </w:pPr>
      <w:r>
        <w:t>Most of this chapter is about descriptions, as they have the most complicated</w:t>
      </w:r>
      <w:r>
        <w:rPr>
          <w:rStyle w:val="deletedparamark"/>
        </w:rPr>
        <w:t xml:space="preserve"> </w:t>
      </w:r>
      <w:r>
        <w:t>syntax and usage. Some attention is also given to names, which are closely</w:t>
      </w:r>
      <w:r>
        <w:rPr>
          <w:rStyle w:val="deletedparamark"/>
        </w:rPr>
        <w:t xml:space="preserve"> </w:t>
      </w:r>
      <w:r>
        <w:t>interwoven with d</w:t>
      </w:r>
      <w:r>
        <w:t>e</w:t>
      </w:r>
      <w:r>
        <w:softHyphen/>
        <w:t>scriptions. Pro-sumti, numbers, and quotations are</w:t>
      </w:r>
      <w:r>
        <w:rPr>
          <w:rStyle w:val="deletedparamark"/>
        </w:rPr>
        <w:t xml:space="preserve"> </w:t>
      </w:r>
      <w:r>
        <w:t xml:space="preserve">described in more detail in </w:t>
      </w:r>
      <w:r>
        <w:rPr>
          <w:rStyle w:val="htmlcodes"/>
        </w:rPr>
        <w:t>&lt;a href=chap7.html&gt;</w:t>
      </w:r>
      <w:r>
        <w:t>Chapter 7</w:t>
      </w:r>
      <w:r>
        <w:rPr>
          <w:rStyle w:val="htmlcodes"/>
        </w:rPr>
        <w:t>&lt;/a&gt;</w:t>
      </w:r>
      <w:r>
        <w:t xml:space="preserve">, </w:t>
      </w:r>
      <w:r>
        <w:rPr>
          <w:rStyle w:val="htmlcodes"/>
        </w:rPr>
        <w:t>&lt;a href=chap18.html&gt;</w:t>
      </w:r>
      <w:r>
        <w:t>Chapter 18</w:t>
      </w:r>
      <w:r>
        <w:rPr>
          <w:rStyle w:val="htmlcodes"/>
        </w:rPr>
        <w:t>&lt;/a&gt;</w:t>
      </w:r>
      <w:r>
        <w:t xml:space="preserve">, and </w:t>
      </w:r>
      <w:r>
        <w:rPr>
          <w:rStyle w:val="htmlcodes"/>
        </w:rPr>
        <w:t>&lt;a href=chap19.html&gt;</w:t>
      </w:r>
      <w:r>
        <w:t xml:space="preserve">Chapter 19 </w:t>
      </w:r>
      <w:r>
        <w:rPr>
          <w:rStyle w:val="htmlcodes"/>
        </w:rPr>
        <w:t>&lt;/a&gt;</w:t>
      </w:r>
      <w:r>
        <w:t>respectively,</w:t>
      </w:r>
      <w:r>
        <w:rPr>
          <w:rStyle w:val="deletedparamark"/>
        </w:rPr>
        <w:t xml:space="preserve"> </w:t>
      </w:r>
      <w:r>
        <w:t>so this chapter only gives summa</w:t>
      </w:r>
      <w:r>
        <w:softHyphen/>
        <w:t>ries of their forms and uses. See</w:t>
      </w:r>
      <w:r>
        <w:rPr>
          <w:rStyle w:val="deletedparamark"/>
        </w:rPr>
        <w:t xml:space="preserve"> </w:t>
      </w:r>
      <w:r>
        <w:rPr>
          <w:rStyle w:val="htmlcodes"/>
        </w:rPr>
        <w:t>&lt;a href=#s13&gt;</w:t>
      </w:r>
      <w:r>
        <w:t xml:space="preserve">Section 13 </w:t>
      </w:r>
      <w:r>
        <w:rPr>
          <w:rStyle w:val="htmlcodes"/>
        </w:rPr>
        <w:t>&lt;/a&gt;</w:t>
      </w:r>
      <w:r>
        <w:t xml:space="preserve">through </w:t>
      </w:r>
      <w:r>
        <w:rPr>
          <w:rStyle w:val="htmlcodes"/>
        </w:rPr>
        <w:t>&lt;a href=#s15&gt;</w:t>
      </w:r>
      <w:r>
        <w:t xml:space="preserve">Section 15 </w:t>
      </w:r>
      <w:r>
        <w:rPr>
          <w:rStyle w:val="htmlcodes"/>
        </w:rPr>
        <w:t>&lt;/a&gt;</w:t>
      </w:r>
      <w:r>
        <w:t>for these summaries.</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name=s2&gt;&lt;h3&gt;</w:t>
      </w:r>
      <w:bookmarkStart w:id="235" w:name="_Toc395691536"/>
      <w:bookmarkStart w:id="236" w:name="_Toc398970507"/>
      <w:r>
        <w:rPr>
          <w:rStyle w:val="Heading3Text"/>
        </w:rPr>
        <w:t>The three basic description types</w:t>
      </w:r>
      <w:bookmarkEnd w:id="235"/>
      <w:bookmarkEnd w:id="23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"descriptions, types of"&gt;</w:t>
      </w:r>
      <w:r>
        <w:rPr>
          <w:rStyle w:val="indexentry"/>
        </w:rPr>
        <w:fldChar w:fldCharType="begin"/>
      </w:r>
      <w:r>
        <w:instrText>xe "</w:instrText>
      </w:r>
      <w:r>
        <w:rPr>
          <w:rStyle w:val="xeentry"/>
        </w:rPr>
        <w:instrText>descriptions: types of</w:instrText>
      </w:r>
      <w:r>
        <w:instrText>"</w:instrText>
      </w:r>
      <w:r>
        <w:rPr>
          <w:rStyle w:val="indexentry"/>
        </w:rPr>
        <w:fldChar w:fldCharType="end"/>
      </w:r>
      <w:r>
        <w:t>The following cmavo are discussed in this section:</w:t>
      </w:r>
    </w:p>
    <w:p w:rsidR="00B72047" w:rsidRDefault="00B72047">
      <w:pPr>
        <w:ind w:firstLine="720"/>
        <w:rPr>
          <w:rStyle w:val="htmlparacode"/>
        </w:rPr>
      </w:pPr>
      <w:r>
        <w:rPr>
          <w:rStyle w:val="htmlparacode"/>
        </w:rPr>
        <w:t>&lt;p&gt;</w:t>
      </w:r>
    </w:p>
    <w:p w:rsidR="00B72047" w:rsidRDefault="00B72047">
      <w:pPr>
        <w:pStyle w:val="examplescaledpre"/>
      </w:pPr>
      <w:r>
        <w:rPr>
          <w:rStyle w:val="htmlcodes"/>
        </w:rPr>
        <w:t>&lt;pre&gt;</w:t>
      </w:r>
      <w:r>
        <w:tab/>
        <w:t>le</w:t>
      </w:r>
      <w:r>
        <w:tab/>
        <w:t>LE</w:t>
      </w:r>
      <w:r>
        <w:tab/>
        <w:t>the, the one(s) described as</w:t>
      </w:r>
    </w:p>
    <w:p w:rsidR="00B72047" w:rsidRDefault="00B72047">
      <w:pPr>
        <w:pStyle w:val="examplescaled"/>
      </w:pPr>
      <w:r>
        <w:tab/>
        <w:t>lo</w:t>
      </w:r>
      <w:r>
        <w:tab/>
        <w:t>LE</w:t>
      </w:r>
      <w:r>
        <w:tab/>
        <w:t>some, some of those which really are</w:t>
      </w:r>
    </w:p>
    <w:p w:rsidR="00B72047" w:rsidRDefault="00B72047">
      <w:pPr>
        <w:pStyle w:val="examplescaled"/>
      </w:pPr>
      <w:r>
        <w:tab/>
        <w:t>la</w:t>
      </w:r>
      <w:r>
        <w:tab/>
        <w:t>LA</w:t>
      </w:r>
      <w:r>
        <w:tab/>
        <w:t>the one(s) named</w:t>
      </w:r>
    </w:p>
    <w:p w:rsidR="00B72047" w:rsidRDefault="00B72047">
      <w:pPr>
        <w:pStyle w:val="examplescaled"/>
      </w:pPr>
      <w:r>
        <w:tab/>
        <w:t>ku</w:t>
      </w:r>
      <w:r>
        <w:tab/>
        <w:t>KU</w:t>
      </w:r>
      <w:r>
        <w:tab/>
        <w:t>elidable terminator for LE, LA</w:t>
      </w:r>
    </w:p>
    <w:p w:rsidR="00B72047" w:rsidRDefault="00B72047">
      <w:pPr>
        <w:pStyle w:val="normalafterexample"/>
      </w:pPr>
      <w:r>
        <w:rPr>
          <w:rStyle w:val="htmlcodes"/>
        </w:rPr>
        <w:t>&lt;/pre&gt;</w:t>
      </w:r>
      <w:r>
        <w:rPr>
          <w:rStyle w:val="indexentry"/>
        </w:rPr>
        <w:t>&lt;cx "descriptions, types of"&gt;</w:t>
      </w:r>
      <w:r>
        <w:rPr>
          <w:rStyle w:val="indexentry"/>
        </w:rPr>
        <w:fldChar w:fldCharType="begin"/>
      </w:r>
      <w:r>
        <w:instrText>xe "</w:instrText>
      </w:r>
      <w:r>
        <w:rPr>
          <w:rStyle w:val="xeentry"/>
        </w:rPr>
        <w:instrText>descriptions: types of</w:instrText>
      </w:r>
      <w:r>
        <w:instrText>"</w:instrText>
      </w:r>
      <w:r>
        <w:rPr>
          <w:rStyle w:val="indexentry"/>
        </w:rPr>
        <w:fldChar w:fldCharType="end"/>
      </w:r>
      <w:r>
        <w:rPr>
          <w:rStyle w:val="indexentry"/>
        </w:rPr>
        <w:t>&lt;cx "descriptions, components of"&gt;</w:t>
      </w:r>
      <w:r>
        <w:rPr>
          <w:rStyle w:val="indexentry"/>
        </w:rPr>
        <w:fldChar w:fldCharType="begin"/>
      </w:r>
      <w:r>
        <w:instrText>xe "</w:instrText>
      </w:r>
      <w:r>
        <w:rPr>
          <w:rStyle w:val="xeentry"/>
        </w:rPr>
        <w:instrText>descriptions: components of</w:instrText>
      </w:r>
      <w:r>
        <w:instrText>"</w:instrText>
      </w:r>
      <w:r>
        <w:rPr>
          <w:rStyle w:val="indexentry"/>
        </w:rPr>
        <w:fldChar w:fldCharType="end"/>
      </w:r>
      <w:r>
        <w:rPr>
          <w:rStyle w:val="indexentry"/>
        </w:rPr>
        <w:t>&lt;cx "descriptor, as part of description"&gt;</w:t>
      </w:r>
      <w:r>
        <w:rPr>
          <w:rStyle w:val="indexentry"/>
        </w:rPr>
        <w:fldChar w:fldCharType="begin"/>
      </w:r>
      <w:r>
        <w:instrText>xe "</w:instrText>
      </w:r>
      <w:r>
        <w:rPr>
          <w:rStyle w:val="xeentry"/>
        </w:rPr>
        <w:instrText>descriptor: as part of description</w:instrText>
      </w:r>
      <w:r>
        <w:instrText>"</w:instrText>
      </w:r>
      <w:r>
        <w:rPr>
          <w:rStyle w:val="indexentry"/>
        </w:rPr>
        <w:fldChar w:fldCharType="end"/>
      </w:r>
      <w:r>
        <w:rPr>
          <w:rStyle w:val="indexentry"/>
        </w:rPr>
        <w:t>&lt;cx "selbri, as part of description"&gt;</w:t>
      </w:r>
      <w:r>
        <w:rPr>
          <w:rStyle w:val="indexentry"/>
        </w:rPr>
        <w:fldChar w:fldCharType="begin"/>
      </w:r>
      <w:r>
        <w:instrText>xe "</w:instrText>
      </w:r>
      <w:r>
        <w:rPr>
          <w:rStyle w:val="xeentry"/>
        </w:rPr>
        <w:instrText>selbri: as part of description</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 selma’o</w:instrText>
      </w:r>
      <w:r>
        <w:instrText>"</w:instrText>
      </w:r>
      <w:r>
        <w:rPr>
          <w:rStyle w:val="indexentry"/>
        </w:rPr>
        <w:fldChar w:fldCharType="end"/>
      </w:r>
      <w:r>
        <w:rPr>
          <w:rStyle w:val="indexentry"/>
        </w:rPr>
        <w:t>&lt;lx "LA"&gt;</w:t>
      </w:r>
      <w:r>
        <w:rPr>
          <w:rStyle w:val="indexentry"/>
        </w:rPr>
        <w:fldChar w:fldCharType="begin"/>
      </w:r>
      <w:r>
        <w:instrText>xe "</w:instrText>
      </w:r>
      <w:r>
        <w:rPr>
          <w:rStyle w:val="xeentry"/>
        </w:rPr>
        <w:instrText>LA selma’o</w:instrText>
      </w:r>
      <w:r>
        <w:instrText>"</w:instrText>
      </w:r>
      <w:r>
        <w:rPr>
          <w:rStyle w:val="indexentry"/>
        </w:rPr>
        <w:fldChar w:fldCharType="end"/>
      </w:r>
      <w:r>
        <w:t>The syntax of descriptions is fairly complex, and not all of it can be</w:t>
      </w:r>
      <w:r>
        <w:rPr>
          <w:rStyle w:val="deletedparamark"/>
        </w:rPr>
        <w:t xml:space="preserve"> </w:t>
      </w:r>
      <w:r>
        <w:t>explained within the confines of this chapter: relative clauses, in particular,</w:t>
      </w:r>
      <w:r>
        <w:rPr>
          <w:rStyle w:val="deletedparamark"/>
        </w:rPr>
        <w:t xml:space="preserve"> </w:t>
      </w:r>
      <w:r>
        <w:t xml:space="preserve">are discussed in </w:t>
      </w:r>
      <w:r>
        <w:rPr>
          <w:rStyle w:val="htmlcodes"/>
        </w:rPr>
        <w:t>&lt;a href=chap8.html&gt;</w:t>
      </w:r>
      <w:r>
        <w:t>Chapter 8</w:t>
      </w:r>
      <w:r>
        <w:rPr>
          <w:rStyle w:val="htmlcodes"/>
        </w:rPr>
        <w:t>&lt;/a&gt;</w:t>
      </w:r>
      <w:r>
        <w:t>. However, most descriptions have just two</w:t>
      </w:r>
      <w:r>
        <w:rPr>
          <w:rStyle w:val="deletedparamark"/>
        </w:rPr>
        <w:t xml:space="preserve"> </w:t>
      </w:r>
      <w:r>
        <w:t>components: a descriptor belong</w:t>
      </w:r>
      <w:r>
        <w:softHyphen/>
        <w:t>ing to selma'o LE or LA, and a selbri.</w:t>
      </w:r>
      <w:r>
        <w:rPr>
          <w:rStyle w:val="deletedparamark"/>
        </w:rPr>
        <w:t xml:space="preserve"> </w:t>
      </w:r>
      <w:r>
        <w:t>(The difference between selma'o LE and selma'o LA is not i</w:t>
      </w:r>
      <w:r>
        <w:t>m</w:t>
      </w:r>
      <w:r>
        <w:softHyphen/>
        <w:t>portant until</w:t>
      </w:r>
      <w:r>
        <w:rPr>
          <w:rStyle w:val="deletedparamark"/>
        </w:rPr>
        <w:t xml:space="preserve"> </w:t>
      </w:r>
      <w:r>
        <w:rPr>
          <w:rStyle w:val="htmlcodes"/>
        </w:rPr>
        <w:t>&lt;a href=#s12&gt;</w:t>
      </w:r>
      <w:r>
        <w:t>Section 12</w:t>
      </w:r>
      <w:r>
        <w:rPr>
          <w:rStyle w:val="htmlcodes"/>
        </w:rPr>
        <w:t>&lt;/a&gt;</w:t>
      </w:r>
      <w:r>
        <w:t>.) Furthermore, the selbri is often just a single brivla. Here</w:t>
      </w:r>
      <w:r>
        <w:rPr>
          <w:rStyle w:val="deletedparamark"/>
        </w:rPr>
        <w:t xml:space="preserve"> </w:t>
      </w:r>
      <w:r>
        <w:t>is an elementary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le zarci</w:t>
      </w:r>
    </w:p>
    <w:p w:rsidR="00B72047" w:rsidRDefault="00B72047">
      <w:pPr>
        <w:pStyle w:val="examplescaled"/>
      </w:pPr>
      <w:r>
        <w:tab/>
        <w:t>one-or-more-specific-things-each-of-which-I-describe-as being-a-market</w:t>
      </w:r>
    </w:p>
    <w:p w:rsidR="00B72047" w:rsidRDefault="00B72047">
      <w:pPr>
        <w:pStyle w:val="examplescaled"/>
      </w:pPr>
      <w:r>
        <w:tab/>
        <w:t>the market</w:t>
      </w:r>
    </w:p>
    <w:p w:rsidR="00B72047" w:rsidRDefault="00B72047">
      <w:pPr>
        <w:pStyle w:val="resumedafterexample"/>
      </w:pPr>
      <w:r>
        <w:rPr>
          <w:rStyle w:val="htmlcodes"/>
        </w:rPr>
        <w:t>&lt;/pre&gt;</w:t>
      </w:r>
      <w:r>
        <w:rPr>
          <w:rStyle w:val="indexentry"/>
        </w:rPr>
        <w:t>&lt;cx "le, compared with English “the”"&gt;</w:t>
      </w:r>
      <w:r>
        <w:rPr>
          <w:rStyle w:val="indexentry"/>
        </w:rPr>
        <w:fldChar w:fldCharType="begin"/>
      </w:r>
      <w:r>
        <w:instrText>xe "</w:instrText>
      </w:r>
      <w:r>
        <w:rPr>
          <w:rStyle w:val="xeentry"/>
        </w:rPr>
        <w:instrText>le: compared with English the</w:instrText>
      </w:r>
      <w:r>
        <w:instrText>"</w:instrText>
      </w:r>
      <w:r>
        <w:rPr>
          <w:rStyle w:val="indexentry"/>
        </w:rPr>
        <w:fldChar w:fldCharType="end"/>
      </w:r>
      <w:r>
        <w:t>The long gloss for “le” is of course far too long to use most of the time,</w:t>
      </w:r>
      <w:r>
        <w:rPr>
          <w:rStyle w:val="deletedparamark"/>
        </w:rPr>
        <w:t xml:space="preserve"> </w:t>
      </w:r>
      <w:r>
        <w:t>and in fact “le” is quite close in meaning to English “the”. It has</w:t>
      </w:r>
      <w:r>
        <w:rPr>
          <w:rStyle w:val="deletedparamark"/>
        </w:rPr>
        <w:t xml:space="preserve"> </w:t>
      </w:r>
      <w:r>
        <w:t>particular implications, however, which “the” does not have.</w:t>
      </w:r>
    </w:p>
    <w:p w:rsidR="00B72047" w:rsidRDefault="00B72047">
      <w:pPr>
        <w:rPr>
          <w:rStyle w:val="htmlparacode"/>
        </w:rPr>
      </w:pPr>
      <w:r>
        <w:rPr>
          <w:rStyle w:val="htmlparacode"/>
        </w:rPr>
        <w:t>&lt;p&gt;</w:t>
      </w:r>
    </w:p>
    <w:p w:rsidR="00B72047" w:rsidRDefault="00B72047">
      <w:pPr>
        <w:pStyle w:val="normalparagraph"/>
      </w:pPr>
      <w:r>
        <w:rPr>
          <w:rStyle w:val="indexentry"/>
        </w:rPr>
        <w:t>&lt;cx "descriptors, purpose of"&gt;</w:t>
      </w:r>
      <w:r>
        <w:rPr>
          <w:rStyle w:val="indexentry"/>
        </w:rPr>
        <w:fldChar w:fldCharType="begin"/>
      </w:r>
      <w:r>
        <w:instrText>xe "</w:instrText>
      </w:r>
      <w:r>
        <w:rPr>
          <w:rStyle w:val="xeentry"/>
        </w:rPr>
        <w:instrText>descriptors: purpose of</w:instrText>
      </w:r>
      <w:r>
        <w:instrText>"</w:instrText>
      </w:r>
      <w:r>
        <w:rPr>
          <w:rStyle w:val="indexentry"/>
        </w:rPr>
        <w:fldChar w:fldCharType="end"/>
      </w:r>
      <w:r>
        <w:rPr>
          <w:rStyle w:val="indexentry"/>
        </w:rPr>
        <w:t>&lt;cx "descriptions, importance of selbri first place in"&gt;</w:t>
      </w:r>
      <w:r>
        <w:rPr>
          <w:rStyle w:val="indexentry"/>
        </w:rPr>
        <w:fldChar w:fldCharType="begin"/>
      </w:r>
      <w:r>
        <w:instrText>xe "</w:instrText>
      </w:r>
      <w:r>
        <w:rPr>
          <w:rStyle w:val="xeentry"/>
        </w:rPr>
        <w:instrText>descriptions: importance of selbri first place in</w:instrText>
      </w:r>
      <w:r>
        <w:instrText>"</w:instrText>
      </w:r>
      <w:r>
        <w:rPr>
          <w:rStyle w:val="indexentry"/>
        </w:rPr>
        <w:fldChar w:fldCharType="end"/>
      </w:r>
      <w:r>
        <w:t>The general purpose of all descriptors is to create a sumti which might</w:t>
      </w:r>
      <w:r>
        <w:rPr>
          <w:rStyle w:val="deletedparamark"/>
        </w:rPr>
        <w:t xml:space="preserve"> </w:t>
      </w:r>
      <w:r>
        <w:t>occur in the x1 place of the selbri belonging to the de</w:t>
      </w:r>
      <w:r>
        <w:softHyphen/>
        <w:t>scription. Thus</w:t>
      </w:r>
      <w:r>
        <w:rPr>
          <w:rStyle w:val="deletedparamark"/>
        </w:rPr>
        <w:t xml:space="preserve"> “</w:t>
      </w:r>
      <w:r>
        <w:t>le zarci” conveys some</w:t>
      </w:r>
      <w:r>
        <w:softHyphen/>
        <w:t>thing which might be found in the x1 place of</w:t>
      </w:r>
      <w:r>
        <w:rPr>
          <w:rStyle w:val="deletedparamark"/>
        </w:rPr>
        <w:t xml:space="preserve"> “</w:t>
      </w:r>
      <w:r>
        <w:t>zarci”, namely a market.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 implications of"&gt;</w:t>
      </w:r>
      <w:r>
        <w:rPr>
          <w:rStyle w:val="indexentry"/>
        </w:rPr>
        <w:fldChar w:fldCharType="begin"/>
      </w:r>
      <w:r>
        <w:instrText>xe "</w:instrText>
      </w:r>
      <w:r>
        <w:rPr>
          <w:rStyle w:val="xeentry"/>
        </w:rPr>
        <w:instrText>le: implications of</w:instrText>
      </w:r>
      <w:r>
        <w:instrText>"</w:instrText>
      </w:r>
      <w:r>
        <w:rPr>
          <w:rStyle w:val="indexentry"/>
        </w:rPr>
        <w:fldChar w:fldCharType="end"/>
      </w:r>
      <w:r>
        <w:rPr>
          <w:rStyle w:val="indexentry"/>
        </w:rPr>
        <w:t>&lt;cx "le, and specificity"&gt;</w:t>
      </w:r>
      <w:r>
        <w:rPr>
          <w:rStyle w:val="indexentry"/>
        </w:rPr>
        <w:fldChar w:fldCharType="begin"/>
      </w:r>
      <w:r>
        <w:instrText>xe "</w:instrText>
      </w:r>
      <w:r>
        <w:rPr>
          <w:rStyle w:val="xeentry"/>
        </w:rPr>
        <w:instrText>le: and specificity</w:instrText>
      </w:r>
      <w:r>
        <w:instrText>"</w:instrText>
      </w:r>
      <w:r>
        <w:rPr>
          <w:rStyle w:val="indexentry"/>
        </w:rPr>
        <w:fldChar w:fldCharType="end"/>
      </w:r>
      <w:r>
        <w:rPr>
          <w:rStyle w:val="indexentry"/>
        </w:rPr>
        <w:t>&lt;cx "le, and truth of selbri"&gt;</w:t>
      </w:r>
      <w:r>
        <w:rPr>
          <w:rStyle w:val="indexentry"/>
        </w:rPr>
        <w:fldChar w:fldCharType="begin"/>
      </w:r>
      <w:r>
        <w:instrText>xe "</w:instrText>
      </w:r>
      <w:r>
        <w:rPr>
          <w:rStyle w:val="xeentry"/>
        </w:rPr>
        <w:instrText>le: and truth of selbri</w:instrText>
      </w:r>
      <w:r>
        <w:instrText>"</w:instrText>
      </w:r>
      <w:r>
        <w:rPr>
          <w:rStyle w:val="indexentry"/>
        </w:rPr>
        <w:fldChar w:fldCharType="end"/>
      </w:r>
      <w:r>
        <w:t>The specific purpose of “le” is twofold. First, it indicates that the</w:t>
      </w:r>
      <w:r>
        <w:rPr>
          <w:rStyle w:val="deletedparamark"/>
        </w:rPr>
        <w:t xml:space="preserve"> </w:t>
      </w:r>
      <w:r>
        <w:t>speaker has one or more specific markets in mind (whether or not the</w:t>
      </w:r>
      <w:r>
        <w:rPr>
          <w:rStyle w:val="deletedparamark"/>
        </w:rPr>
        <w:t xml:space="preserve"> </w:t>
      </w:r>
      <w:r>
        <w:t>listener knows which ones they are). Second, it also indicates that the</w:t>
      </w:r>
      <w:r>
        <w:rPr>
          <w:rStyle w:val="deletedparamark"/>
        </w:rPr>
        <w:t xml:space="preserve"> </w:t>
      </w:r>
      <w:r>
        <w:t>speaker is merely describing the things he or she has in mind as markets,</w:t>
      </w:r>
      <w:r>
        <w:rPr>
          <w:rStyle w:val="deletedparamark"/>
        </w:rPr>
        <w:t xml:space="preserve"> </w:t>
      </w:r>
      <w:r>
        <w:t>without being committed to the truth of that description.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name=e2d2&gt;</w:t>
      </w:r>
      <w:r>
        <w:t>2.2)</w:t>
      </w:r>
      <w:r>
        <w:tab/>
        <w:t>le zarci cu barda</w:t>
      </w:r>
    </w:p>
    <w:p w:rsidR="00B72047" w:rsidRDefault="00B72047">
      <w:pPr>
        <w:pStyle w:val="examplescaled"/>
      </w:pPr>
      <w:r>
        <w:tab/>
        <w:t>One-or-more-specific-things-which-I-describe as “markets” is/are-big.</w:t>
      </w:r>
    </w:p>
    <w:p w:rsidR="00B72047" w:rsidRDefault="00B72047">
      <w:pPr>
        <w:pStyle w:val="examplescaled"/>
      </w:pPr>
      <w:r>
        <w:tab/>
        <w:t>The market is big.</w:t>
      </w:r>
    </w:p>
    <w:p w:rsidR="00B72047" w:rsidRDefault="00B72047">
      <w:pPr>
        <w:pStyle w:val="examplescaled"/>
      </w:pPr>
      <w:r>
        <w:tab/>
        <w:t>The markets are big.</w:t>
      </w:r>
    </w:p>
    <w:p w:rsidR="00B72047" w:rsidRDefault="00B72047">
      <w:pPr>
        <w:pStyle w:val="resumedafterexample"/>
      </w:pPr>
      <w:r>
        <w:rPr>
          <w:rStyle w:val="htmlcodes"/>
        </w:rPr>
        <w:t>&lt;/pre&gt;</w:t>
      </w:r>
      <w:r>
        <w:rPr>
          <w:rStyle w:val="indexentry"/>
        </w:rPr>
        <w:t>&lt;cx "plurals, Lojban contrasted with English in necessity of marking"&gt;</w:t>
      </w:r>
      <w:r>
        <w:rPr>
          <w:rStyle w:val="indexentry"/>
        </w:rPr>
        <w:fldChar w:fldCharType="begin"/>
      </w:r>
      <w:r>
        <w:instrText>xe "</w:instrText>
      </w:r>
      <w:r>
        <w:rPr>
          <w:rStyle w:val="xeentry"/>
        </w:rPr>
        <w:instrText>plural: Lojban contrasted with English in necessity of marking</w:instrText>
      </w:r>
      <w:r>
        <w:instrText>"</w:instrText>
      </w:r>
      <w:r>
        <w:rPr>
          <w:rStyle w:val="indexentry"/>
        </w:rPr>
        <w:fldChar w:fldCharType="end"/>
      </w:r>
      <w:r>
        <w:t>Note that English-speakers must state whether a reference to mar</w:t>
      </w:r>
      <w:r>
        <w:softHyphen/>
        <w:t>kets is to</w:t>
      </w:r>
      <w:r>
        <w:rPr>
          <w:rStyle w:val="deletedparamark"/>
        </w:rPr>
        <w:t xml:space="preserve"> </w:t>
      </w:r>
      <w:r>
        <w:t>just one (“the market”) or to more than one (“the markets”). Lojban</w:t>
      </w:r>
      <w:r>
        <w:rPr>
          <w:rStyle w:val="deletedparamark"/>
        </w:rPr>
        <w:t xml:space="preserve"> </w:t>
      </w:r>
      <w:r>
        <w:t>requires no such forced choice, so both colloquial translations of</w:t>
      </w:r>
      <w:r>
        <w:rPr>
          <w:rStyle w:val="deletedparamark"/>
        </w:rPr>
        <w:t xml:space="preserve"> </w:t>
      </w:r>
      <w:r>
        <w:rPr>
          <w:rStyle w:val="htmlcodes"/>
        </w:rPr>
        <w:t>&lt;a href=#e2d2&gt;</w:t>
      </w:r>
      <w:r>
        <w:t xml:space="preserve">Example 2.2 </w:t>
      </w:r>
      <w:r>
        <w:rPr>
          <w:rStyle w:val="htmlcodes"/>
        </w:rPr>
        <w:t>&lt;/a&gt;</w:t>
      </w:r>
      <w:r>
        <w:t>are valid. Only the context can specify which is meant.</w:t>
      </w:r>
      <w:r>
        <w:rPr>
          <w:rStyle w:val="deletedparamark"/>
        </w:rPr>
        <w:t xml:space="preserve"> </w:t>
      </w:r>
      <w:r>
        <w:t>(This rule does not mean that Lojban has no way of specifying the number</w:t>
      </w:r>
      <w:r>
        <w:rPr>
          <w:rStyle w:val="deletedparamark"/>
        </w:rPr>
        <w:t xml:space="preserve"> </w:t>
      </w:r>
      <w:r>
        <w:t xml:space="preserve">of markets in such a case: that mechanism is explained in </w:t>
      </w:r>
      <w:r>
        <w:rPr>
          <w:rStyle w:val="htmlcodes"/>
        </w:rPr>
        <w:t>&lt;a href=#s7&gt;</w:t>
      </w:r>
      <w:r>
        <w:t>Section 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&lt;ex "The men are women"&gt;</w:t>
      </w:r>
      <w:r>
        <w:rPr>
          <w:rStyle w:val="indexentry"/>
        </w:rPr>
        <w:fldChar w:fldCharType="begin"/>
      </w:r>
      <w:r>
        <w:instrText>xe "</w:instrText>
      </w:r>
      <w:r>
        <w:rPr>
          <w:rStyle w:val="xeentry"/>
        </w:rPr>
        <w:instrText>The men are women: example</w:instrText>
      </w:r>
      <w:r>
        <w:instrText>"</w:instrText>
      </w:r>
      <w:r>
        <w:rPr>
          <w:rStyle w:val="indexentry"/>
        </w:rPr>
        <w:fldChar w:fldCharType="end"/>
      </w:r>
      <w:r>
        <w:t>Now consider the following strange-looking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le nanmu cu ninmu</w:t>
      </w:r>
    </w:p>
    <w:p w:rsidR="00B72047" w:rsidRDefault="00B72047">
      <w:pPr>
        <w:pStyle w:val="examplescaled"/>
      </w:pPr>
      <w:r>
        <w:tab/>
        <w:t>One-or-more-specific-things-which-I-describe as “men” are women</w:t>
      </w:r>
    </w:p>
    <w:p w:rsidR="00B72047" w:rsidRDefault="00B72047">
      <w:pPr>
        <w:pStyle w:val="examplescaled"/>
      </w:pPr>
      <w:r>
        <w:tab/>
        <w:t>The man is a woman.</w:t>
      </w:r>
    </w:p>
    <w:p w:rsidR="00B72047" w:rsidRDefault="00B72047">
      <w:pPr>
        <w:pStyle w:val="examplescaled"/>
      </w:pPr>
      <w:r>
        <w:tab/>
        <w:t>The men are women.</w:t>
      </w:r>
    </w:p>
    <w:p w:rsidR="00B72047" w:rsidRDefault="00B72047">
      <w:pPr>
        <w:pStyle w:val="resumedafterexample"/>
      </w:pPr>
      <w:r>
        <w:rPr>
          <w:rStyle w:val="htmlcodes"/>
        </w:rPr>
        <w:t>&lt;/pre&gt;</w:t>
      </w:r>
      <w:r>
        <w:rPr>
          <w:rStyle w:val="indexentry"/>
        </w:rPr>
        <w:t>&lt;cx "le, in false-to-fact descriptions"&gt;</w:t>
      </w:r>
      <w:r>
        <w:rPr>
          <w:rStyle w:val="indexentry"/>
        </w:rPr>
        <w:fldChar w:fldCharType="begin"/>
      </w:r>
      <w:r>
        <w:instrText>xe "</w:instrText>
      </w:r>
      <w:r>
        <w:rPr>
          <w:rStyle w:val="xeentry"/>
        </w:rPr>
        <w:instrText>le: in false-to-fact descriptions</w:instrText>
      </w:r>
      <w:r>
        <w:instrText>"</w:instrText>
      </w:r>
      <w:r>
        <w:rPr>
          <w:rStyle w:val="indexentry"/>
        </w:rPr>
        <w:fldChar w:fldCharType="end"/>
      </w:r>
      <w:r>
        <w:rPr>
          <w:rStyle w:val="htmlcodes"/>
        </w:rPr>
        <w:t>&lt;a href=#e2d3&gt;</w:t>
      </w:r>
      <w:r>
        <w:t xml:space="preserve">Example 2.3 </w:t>
      </w:r>
      <w:r>
        <w:rPr>
          <w:rStyle w:val="htmlcodes"/>
        </w:rPr>
        <w:t>&lt;/a&gt;</w:t>
      </w:r>
      <w:r>
        <w:t>is not self-contradictory in Lojban, because “le nanmu” merely</w:t>
      </w:r>
      <w:r>
        <w:rPr>
          <w:rStyle w:val="deletedparamark"/>
        </w:rPr>
        <w:t xml:space="preserve"> </w:t>
      </w:r>
      <w:r>
        <w:t>means something or other which, for my present purposes, I choose to</w:t>
      </w:r>
      <w:r>
        <w:rPr>
          <w:rStyle w:val="deletedparamark"/>
        </w:rPr>
        <w:t xml:space="preserve"> </w:t>
      </w:r>
      <w:r>
        <w:t>describe as a man, whether or not it really is a man. A plausible instance</w:t>
      </w:r>
      <w:r>
        <w:rPr>
          <w:rStyle w:val="deletedparamark"/>
        </w:rPr>
        <w:t xml:space="preserve"> </w:t>
      </w:r>
      <w:r>
        <w:t>would be: someone we had as</w:t>
      </w:r>
      <w:r>
        <w:softHyphen/>
        <w:t>sumed to be a man at a distance turned out to be</w:t>
      </w:r>
      <w:r>
        <w:rPr>
          <w:rStyle w:val="deletedparamark"/>
        </w:rPr>
        <w:t xml:space="preserve"> </w:t>
      </w:r>
      <w:r>
        <w:t>actually a woman on closer observa</w:t>
      </w:r>
      <w:r>
        <w:softHyphen/>
        <w:t xml:space="preserve">tion. </w:t>
      </w:r>
      <w:r>
        <w:rPr>
          <w:rStyle w:val="htmlcodes"/>
        </w:rPr>
        <w:t>&lt;a href=#e2d3&gt;</w:t>
      </w:r>
      <w:r>
        <w:t xml:space="preserve">Example 2.3 </w:t>
      </w:r>
      <w:r>
        <w:rPr>
          <w:rStyle w:val="htmlcodes"/>
        </w:rPr>
        <w:t>&lt;/a&gt;</w:t>
      </w:r>
      <w:r>
        <w:t>is what I would say</w:t>
      </w:r>
      <w:r>
        <w:rPr>
          <w:rStyle w:val="deletedparamark"/>
        </w:rPr>
        <w:t xml:space="preserve"> </w:t>
      </w:r>
      <w:r>
        <w:t>to point out my observation to you.</w:t>
      </w:r>
    </w:p>
    <w:p w:rsidR="00B72047" w:rsidRDefault="00B72047">
      <w:pPr>
        <w:rPr>
          <w:rStyle w:val="htmlparacode"/>
        </w:rPr>
      </w:pPr>
      <w:r>
        <w:rPr>
          <w:rStyle w:val="htmlparacode"/>
        </w:rPr>
        <w:t>&lt;p&gt;</w:t>
      </w:r>
    </w:p>
    <w:p w:rsidR="00B72047" w:rsidRDefault="00B72047">
      <w:pPr>
        <w:pStyle w:val="normalparagraph"/>
      </w:pPr>
      <w:r>
        <w:rPr>
          <w:rStyle w:val="indexentry"/>
        </w:rPr>
        <w:t>&lt;cx "specific descriptions"&gt;</w:t>
      </w:r>
      <w:r>
        <w:rPr>
          <w:rStyle w:val="indexentry"/>
        </w:rPr>
        <w:fldChar w:fldCharType="begin"/>
      </w:r>
      <w:r>
        <w:instrText>xe "</w:instrText>
      </w:r>
      <w:r>
        <w:rPr>
          <w:rStyle w:val="xeentry"/>
        </w:rPr>
        <w:instrText>specific descriptions</w:instrText>
      </w:r>
      <w:r>
        <w:instrText>"</w:instrText>
      </w:r>
      <w:r>
        <w:rPr>
          <w:rStyle w:val="indexentry"/>
        </w:rPr>
        <w:fldChar w:fldCharType="end"/>
      </w:r>
      <w:r>
        <w:rPr>
          <w:rStyle w:val="indexentry"/>
        </w:rPr>
        <w:t>&lt;cx "descriptions, specific"&gt;</w:t>
      </w:r>
      <w:r>
        <w:rPr>
          <w:rStyle w:val="indexentry"/>
        </w:rPr>
        <w:fldChar w:fldCharType="begin"/>
      </w:r>
      <w:r>
        <w:instrText>xe "</w:instrText>
      </w:r>
      <w:r>
        <w:rPr>
          <w:rStyle w:val="xeentry"/>
        </w:rPr>
        <w:instrText>descriptions: specific</w:instrText>
      </w:r>
      <w:r>
        <w:instrText>"</w:instrText>
      </w:r>
      <w:r>
        <w:rPr>
          <w:rStyle w:val="indexentry"/>
        </w:rPr>
        <w:fldChar w:fldCharType="end"/>
      </w:r>
      <w:r>
        <w:t>In all descriptions with “le”, the listener is presumed to either know what</w:t>
      </w:r>
      <w:r>
        <w:rPr>
          <w:rStyle w:val="deletedparamark"/>
        </w:rPr>
        <w:t xml:space="preserve"> </w:t>
      </w:r>
      <w:r>
        <w:t>I have in mind or else not to be concerned at present (perhaps I will give</w:t>
      </w:r>
      <w:r>
        <w:rPr>
          <w:rStyle w:val="deletedparamark"/>
        </w:rPr>
        <w:t xml:space="preserve"> </w:t>
      </w:r>
      <w:r>
        <w:t>more identify</w:t>
      </w:r>
      <w:r>
        <w:softHyphen/>
        <w:t>ing details later). In particular, I might be pointing at the</w:t>
      </w:r>
      <w:r>
        <w:rPr>
          <w:rStyle w:val="deletedparamark"/>
        </w:rPr>
        <w:t xml:space="preserve"> </w:t>
      </w:r>
      <w:r>
        <w:t xml:space="preserve">supposed man or men: </w:t>
      </w:r>
      <w:r>
        <w:rPr>
          <w:rStyle w:val="htmlcodes"/>
        </w:rPr>
        <w:t>&lt;a href=#e2d3&gt;</w:t>
      </w:r>
      <w:r>
        <w:t>Exam</w:t>
      </w:r>
      <w:r>
        <w:softHyphen/>
        <w:t xml:space="preserve">ple 2.3 </w:t>
      </w:r>
      <w:r>
        <w:rPr>
          <w:rStyle w:val="htmlcodes"/>
        </w:rPr>
        <w:t>&lt;/a&gt;</w:t>
      </w:r>
      <w:r>
        <w:t>would then be perfectly intelligible, since</w:t>
      </w:r>
      <w:r>
        <w:rPr>
          <w:rStyle w:val="deletedparamark"/>
        </w:rPr>
        <w:t xml:space="preserve"> “</w:t>
      </w:r>
      <w:r>
        <w:t>le nanmu” merely clarifies that I am point</w:t>
      </w:r>
      <w:r>
        <w:softHyphen/>
        <w:t>ing at the supposed man, not at</w:t>
      </w:r>
      <w:r>
        <w:rPr>
          <w:rStyle w:val="deletedparamark"/>
        </w:rPr>
        <w:t xml:space="preserve"> </w:t>
      </w:r>
      <w:r>
        <w:t>a landscape, or a nose, which hap</w:t>
      </w:r>
      <w:r>
        <w:softHyphen/>
        <w:t>pens to lie in the same direction.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"non-specific descriptions"&gt;</w:t>
      </w:r>
      <w:r>
        <w:rPr>
          <w:rStyle w:val="indexentry"/>
        </w:rPr>
        <w:fldChar w:fldCharType="begin"/>
      </w:r>
      <w:r>
        <w:instrText>xe "</w:instrText>
      </w:r>
      <w:r>
        <w:rPr>
          <w:rStyle w:val="xeentry"/>
        </w:rPr>
        <w:instrText>non-specific descriptions</w:instrText>
      </w:r>
      <w:r>
        <w:instrText>"</w:instrText>
      </w:r>
      <w:r>
        <w:rPr>
          <w:rStyle w:val="indexentry"/>
        </w:rPr>
        <w:fldChar w:fldCharType="end"/>
      </w:r>
      <w:r>
        <w:rPr>
          <w:rStyle w:val="indexentry"/>
        </w:rPr>
        <w:t>&lt;cx "descriptions, non-specific"&gt;</w:t>
      </w:r>
      <w:r>
        <w:rPr>
          <w:rStyle w:val="indexentry"/>
        </w:rPr>
        <w:fldChar w:fldCharType="begin"/>
      </w:r>
      <w:r>
        <w:instrText>xe "</w:instrText>
      </w:r>
      <w:r>
        <w:rPr>
          <w:rStyle w:val="xeentry"/>
        </w:rPr>
        <w:instrText>descriptions: non-specific</w:instrText>
      </w:r>
      <w:r>
        <w:instrText>"</w:instrText>
      </w:r>
      <w:r>
        <w:rPr>
          <w:rStyle w:val="indexentry"/>
        </w:rPr>
        <w:fldChar w:fldCharType="end"/>
      </w:r>
      <w:r>
        <w:rPr>
          <w:rStyle w:val="indexentry"/>
        </w:rPr>
        <w:t>&lt;lx "lo"&gt;</w:t>
      </w:r>
      <w:r>
        <w:rPr>
          <w:rStyle w:val="indexentry"/>
        </w:rPr>
        <w:fldChar w:fldCharType="begin"/>
      </w:r>
      <w:r>
        <w:instrText>xe "</w:instrText>
      </w:r>
      <w:r>
        <w:rPr>
          <w:rStyle w:val="xeentry"/>
        </w:rPr>
        <w:instrText>lo</w:instrText>
      </w:r>
      <w:r>
        <w:instrText>"</w:instrText>
      </w:r>
      <w:r>
        <w:rPr>
          <w:rStyle w:val="indexentry"/>
        </w:rPr>
        <w:fldChar w:fldCharType="end"/>
      </w:r>
      <w:r>
        <w:rPr>
          <w:rStyle w:val="indexentry"/>
        </w:rPr>
        <w:t>&lt;cx "lo, implications of"&gt;</w:t>
      </w:r>
      <w:r>
        <w:rPr>
          <w:rStyle w:val="indexentry"/>
        </w:rPr>
        <w:fldChar w:fldCharType="begin"/>
      </w:r>
      <w:r>
        <w:instrText>xe "</w:instrText>
      </w:r>
      <w:r>
        <w:rPr>
          <w:rStyle w:val="xeentry"/>
        </w:rPr>
        <w:instrText>lo: implications of</w:instrText>
      </w:r>
      <w:r>
        <w:instrText>"</w:instrText>
      </w:r>
      <w:r>
        <w:rPr>
          <w:rStyle w:val="indexentry"/>
        </w:rPr>
        <w:fldChar w:fldCharType="end"/>
      </w:r>
      <w:r>
        <w:t>The second descriptor dealt with in this section is “lo”. Unlike “le”,</w:t>
      </w:r>
      <w:r>
        <w:rPr>
          <w:rStyle w:val="deletedparamark"/>
        </w:rPr>
        <w:t xml:space="preserve"> “</w:t>
      </w:r>
      <w:r>
        <w:t>lo” is nonsp</w:t>
      </w:r>
      <w:r>
        <w:t>e</w:t>
      </w:r>
      <w:r>
        <w:softHyphen/>
        <w:t>cific:</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lo zarci</w:t>
      </w:r>
    </w:p>
    <w:p w:rsidR="00B72047" w:rsidRDefault="00B72047">
      <w:pPr>
        <w:pStyle w:val="examplescaled"/>
      </w:pPr>
      <w:r>
        <w:tab/>
        <w:t>one-or-more-of-all-the-things-which-really are-markets</w:t>
      </w:r>
    </w:p>
    <w:p w:rsidR="00B72047" w:rsidRDefault="00B72047">
      <w:pPr>
        <w:pStyle w:val="examplescaled"/>
      </w:pPr>
      <w:r>
        <w:tab/>
        <w:t>a market</w:t>
      </w:r>
    </w:p>
    <w:p w:rsidR="00B72047" w:rsidRDefault="00B72047">
      <w:pPr>
        <w:pStyle w:val="examplescaled"/>
      </w:pPr>
      <w:r>
        <w:tab/>
        <w:t>some markets</w:t>
      </w:r>
    </w:p>
    <w:p w:rsidR="00B72047" w:rsidRDefault="00B72047">
      <w:pPr>
        <w:pStyle w:val="resumedafterexample"/>
      </w:pPr>
      <w:r>
        <w:rPr>
          <w:rStyle w:val="htmlcodes"/>
        </w:rPr>
        <w:t>&lt;/pre&gt;</w:t>
      </w:r>
      <w:r>
        <w:rPr>
          <w:rStyle w:val="indexentry"/>
        </w:rPr>
        <w:t>&lt;cx "lo, contrasted with le in specificity"&gt;</w:t>
      </w:r>
      <w:r>
        <w:rPr>
          <w:rStyle w:val="indexentry"/>
        </w:rPr>
        <w:fldChar w:fldCharType="begin"/>
      </w:r>
      <w:r>
        <w:instrText>xe "</w:instrText>
      </w:r>
      <w:r>
        <w:rPr>
          <w:rStyle w:val="xeentry"/>
        </w:rPr>
        <w:instrText>lo: contrasted with le in specificity</w:instrText>
      </w:r>
      <w:r>
        <w:instrText>"</w:instrText>
      </w:r>
      <w:r>
        <w:rPr>
          <w:rStyle w:val="indexentry"/>
        </w:rPr>
        <w:fldChar w:fldCharType="end"/>
      </w:r>
      <w:r>
        <w:rPr>
          <w:rStyle w:val="indexentry"/>
        </w:rPr>
        <w:t>&lt;cx "le, contrasted with lo in specificity"&gt;</w:t>
      </w:r>
      <w:r>
        <w:rPr>
          <w:rStyle w:val="indexentry"/>
        </w:rPr>
        <w:fldChar w:fldCharType="begin"/>
      </w:r>
      <w:r>
        <w:instrText>xe "</w:instrText>
      </w:r>
      <w:r>
        <w:rPr>
          <w:rStyle w:val="xeentry"/>
        </w:rPr>
        <w:instrText>le: contrasted with lo in specificity</w:instrText>
      </w:r>
      <w:r>
        <w:instrText>"</w:instrText>
      </w:r>
      <w:r>
        <w:rPr>
          <w:rStyle w:val="indexentry"/>
        </w:rPr>
        <w:fldChar w:fldCharType="end"/>
      </w:r>
      <w:r>
        <w:rPr>
          <w:rStyle w:val="indexentry"/>
        </w:rPr>
        <w:t>&lt;cx "le, contrasted with lo in truth requirement"&gt;</w:t>
      </w:r>
      <w:r>
        <w:rPr>
          <w:rStyle w:val="indexentry"/>
        </w:rPr>
        <w:fldChar w:fldCharType="begin"/>
      </w:r>
      <w:r>
        <w:instrText>xe "</w:instrText>
      </w:r>
      <w:r>
        <w:rPr>
          <w:rStyle w:val="xeentry"/>
        </w:rPr>
        <w:instrText>le: contrasted with lo in truth requirement</w:instrText>
      </w:r>
      <w:r>
        <w:instrText>"</w:instrText>
      </w:r>
      <w:r>
        <w:rPr>
          <w:rStyle w:val="indexentry"/>
        </w:rPr>
        <w:fldChar w:fldCharType="end"/>
      </w:r>
      <w:r>
        <w:rPr>
          <w:rStyle w:val="indexentry"/>
        </w:rPr>
        <w:t>&lt;cx "lo, contrasted with le in truth requirement"&gt;</w:t>
      </w:r>
      <w:r>
        <w:rPr>
          <w:rStyle w:val="indexentry"/>
        </w:rPr>
        <w:fldChar w:fldCharType="begin"/>
      </w:r>
      <w:r>
        <w:instrText>xe "</w:instrText>
      </w:r>
      <w:r>
        <w:rPr>
          <w:rStyle w:val="xeentry"/>
        </w:rPr>
        <w:instrText>lo: contrasted with le in truth requirement</w:instrText>
      </w:r>
      <w:r>
        <w:instrText>"</w:instrText>
      </w:r>
      <w:r>
        <w:rPr>
          <w:rStyle w:val="indexentry"/>
        </w:rPr>
        <w:fldChar w:fldCharType="end"/>
      </w:r>
      <w:r>
        <w:rPr>
          <w:rStyle w:val="indexentry"/>
        </w:rPr>
        <w:t>&lt;cx "lo, and truth of selbri"&gt;</w:t>
      </w:r>
      <w:r>
        <w:rPr>
          <w:rStyle w:val="indexentry"/>
        </w:rPr>
        <w:fldChar w:fldCharType="begin"/>
      </w:r>
      <w:r>
        <w:instrText>xe "</w:instrText>
      </w:r>
      <w:r>
        <w:rPr>
          <w:rStyle w:val="xeentry"/>
        </w:rPr>
        <w:instrText>lo: and truth of selbri</w:instrText>
      </w:r>
      <w:r>
        <w:instrText>"</w:instrText>
      </w:r>
      <w:r>
        <w:rPr>
          <w:rStyle w:val="indexentry"/>
        </w:rPr>
        <w:fldChar w:fldCharType="end"/>
      </w:r>
      <w:r>
        <w:t>Again, there are two colloquial English translations. The effect of us</w:t>
      </w:r>
      <w:r>
        <w:softHyphen/>
        <w:t>ing</w:t>
      </w:r>
      <w:r>
        <w:rPr>
          <w:rStyle w:val="deletedparamark"/>
        </w:rPr>
        <w:t xml:space="preserve"> “</w:t>
      </w:r>
      <w:r>
        <w:t xml:space="preserve">lo” in </w:t>
      </w:r>
      <w:r>
        <w:rPr>
          <w:rStyle w:val="htmlcodes"/>
        </w:rPr>
        <w:t>&lt;a href=#e2d4&gt;</w:t>
      </w:r>
      <w:r>
        <w:t>Exam</w:t>
      </w:r>
      <w:r>
        <w:softHyphen/>
        <w:t xml:space="preserve">ple 2.4 </w:t>
      </w:r>
      <w:r>
        <w:rPr>
          <w:rStyle w:val="htmlcodes"/>
        </w:rPr>
        <w:t>&lt;/a&gt;</w:t>
      </w:r>
      <w:r>
        <w:t>is to refer generally to one or more markets, without</w:t>
      </w:r>
      <w:r>
        <w:rPr>
          <w:rStyle w:val="deletedparamark"/>
        </w:rPr>
        <w:t xml:space="preserve"> </w:t>
      </w:r>
      <w:r>
        <w:t>being specific about which. U</w:t>
      </w:r>
      <w:r>
        <w:t>n</w:t>
      </w:r>
      <w:r>
        <w:softHyphen/>
        <w:t>like “le zarci”, “lo zarci” must refer to</w:t>
      </w:r>
      <w:r>
        <w:rPr>
          <w:rStyle w:val="deletedparamark"/>
        </w:rPr>
        <w:t xml:space="preserve"> </w:t>
      </w:r>
      <w:r>
        <w:t>something which actually is a market (that is, which can ap</w:t>
      </w:r>
      <w:r>
        <w:softHyphen/>
        <w:t>pear in the x1</w:t>
      </w:r>
      <w:r>
        <w:rPr>
          <w:rStyle w:val="deletedparamark"/>
        </w:rPr>
        <w:t xml:space="preserve"> </w:t>
      </w:r>
      <w:r>
        <w:t>place of a truthful bridi whose selbri is “zarci”). Thus</w:t>
      </w:r>
    </w:p>
    <w:p w:rsidR="00B72047" w:rsidRDefault="00B72047">
      <w:pPr>
        <w:rPr>
          <w:rStyle w:val="htmlcodes"/>
        </w:rPr>
      </w:pPr>
      <w:r>
        <w:rPr>
          <w:rStyle w:val="htmlcodes"/>
        </w:rPr>
        <w:t>&lt;p&gt;</w:t>
      </w:r>
    </w:p>
    <w:p w:rsidR="00B72047" w:rsidRDefault="00B72047">
      <w:pPr>
        <w:pStyle w:val="examplescaledpre"/>
      </w:pPr>
      <w:r>
        <w:rPr>
          <w:rStyle w:val="htmlcodes"/>
        </w:rPr>
        <w:t>&lt;dl compact&gt;&lt;dt&gt;</w:t>
      </w:r>
      <w:r>
        <w:t>2.5)</w:t>
      </w:r>
      <w:r>
        <w:tab/>
      </w:r>
      <w:r>
        <w:rPr>
          <w:rStyle w:val="htmlcodes"/>
        </w:rPr>
        <w:t>&lt;dd&gt;</w:t>
      </w:r>
      <w:r>
        <w:t>lo nanmu cu ninmu</w:t>
      </w:r>
    </w:p>
    <w:p w:rsidR="00B72047" w:rsidRDefault="00B72047">
      <w:pPr>
        <w:pStyle w:val="examplescaled"/>
      </w:pPr>
      <w:r>
        <w:tab/>
        <w:t>Some man is a woman.</w:t>
      </w:r>
    </w:p>
    <w:p w:rsidR="00B72047" w:rsidRDefault="00B72047">
      <w:pPr>
        <w:pStyle w:val="examplescaled"/>
      </w:pPr>
      <w:r>
        <w:tab/>
        <w:t>Some men are women.</w:t>
      </w:r>
    </w:p>
    <w:p w:rsidR="00B72047" w:rsidRDefault="00B72047">
      <w:pPr>
        <w:pStyle w:val="resumedafterexample"/>
      </w:pPr>
      <w:r>
        <w:rPr>
          <w:rStyle w:val="htmlcodes"/>
        </w:rPr>
        <w:t>&lt;/dl&gt;</w:t>
      </w:r>
      <w:r>
        <w:t>must be false in Lojban, given that there are no objects in the real world</w:t>
      </w:r>
      <w:r>
        <w:rPr>
          <w:rStyle w:val="deletedparamark"/>
        </w:rPr>
        <w:t xml:space="preserve"> </w:t>
      </w:r>
      <w:r>
        <w:t>which are both men and women. Pointing at some specific men or</w:t>
      </w:r>
      <w:r>
        <w:rPr>
          <w:rStyle w:val="deletedparamark"/>
        </w:rPr>
        <w:t xml:space="preserve"> </w:t>
      </w:r>
      <w:r>
        <w:t xml:space="preserve">women would not make </w:t>
      </w:r>
      <w:r>
        <w:rPr>
          <w:rStyle w:val="htmlcodes"/>
        </w:rPr>
        <w:t>&lt;a href=#e2d5&gt;</w:t>
      </w:r>
      <w:r>
        <w:t xml:space="preserve">Example 2.5 </w:t>
      </w:r>
      <w:r>
        <w:rPr>
          <w:rStyle w:val="htmlcodes"/>
        </w:rPr>
        <w:t>&lt;/a&gt;</w:t>
      </w:r>
      <w:r>
        <w:t>true, because those specific individuals</w:t>
      </w:r>
      <w:r>
        <w:rPr>
          <w:rStyle w:val="deletedparamark"/>
        </w:rPr>
        <w:t xml:space="preserve"> </w:t>
      </w:r>
      <w:r>
        <w:t>are no more both-men-and-women than any ot</w:t>
      </w:r>
      <w:r>
        <w:t>h</w:t>
      </w:r>
      <w:r>
        <w:softHyphen/>
        <w:t>ers. In general, “lo” refers</w:t>
      </w:r>
      <w:r>
        <w:rPr>
          <w:rStyle w:val="deletedparamark"/>
        </w:rPr>
        <w:t xml:space="preserve"> </w:t>
      </w:r>
      <w:r>
        <w:t>to whatever individuals meet its description.</w:t>
      </w:r>
    </w:p>
    <w:p w:rsidR="00B72047" w:rsidRDefault="00B72047">
      <w:pPr>
        <w:rPr>
          <w:rStyle w:val="htmlparacode"/>
        </w:rPr>
      </w:pPr>
      <w:r>
        <w:rPr>
          <w:rStyle w:val="htmlparacode"/>
        </w:rPr>
        <w:t>&lt;p&gt;</w:t>
      </w:r>
    </w:p>
    <w:p w:rsidR="00B72047" w:rsidRDefault="00B72047">
      <w:pPr>
        <w:pStyle w:val="normalparagraph"/>
      </w:pPr>
      <w:r>
        <w:rPr>
          <w:rStyle w:val="indexentry"/>
        </w:rPr>
        <w:t>&lt;lx "la"&gt;</w:t>
      </w:r>
      <w:r>
        <w:rPr>
          <w:rStyle w:val="indexentry"/>
        </w:rPr>
        <w:fldChar w:fldCharType="begin"/>
      </w:r>
      <w:r>
        <w:instrText>xe "</w:instrText>
      </w:r>
      <w:r>
        <w:rPr>
          <w:rStyle w:val="xeentry"/>
        </w:rPr>
        <w:instrText>la</w:instrText>
      </w:r>
      <w:r>
        <w:instrText>"</w:instrText>
      </w:r>
      <w:r>
        <w:rPr>
          <w:rStyle w:val="indexentry"/>
        </w:rPr>
        <w:fldChar w:fldCharType="end"/>
      </w:r>
      <w:r>
        <w:rPr>
          <w:rStyle w:val="indexentry"/>
        </w:rPr>
        <w:t>&lt;cx "la, implications of"&gt;</w:t>
      </w:r>
      <w:r>
        <w:rPr>
          <w:rStyle w:val="indexentry"/>
        </w:rPr>
        <w:fldChar w:fldCharType="begin"/>
      </w:r>
      <w:r>
        <w:instrText>xe "</w:instrText>
      </w:r>
      <w:r>
        <w:rPr>
          <w:rStyle w:val="xeentry"/>
        </w:rPr>
        <w:instrText>la: implications of</w:instrText>
      </w:r>
      <w:r>
        <w:instrText>"</w:instrText>
      </w:r>
      <w:r>
        <w:rPr>
          <w:rStyle w:val="indexentry"/>
        </w:rPr>
        <w:fldChar w:fldCharType="end"/>
      </w:r>
      <w:r>
        <w:rPr>
          <w:rStyle w:val="indexentry"/>
        </w:rPr>
        <w:t>&lt;cx "la, compared with le in specificity"&gt;</w:t>
      </w:r>
      <w:r>
        <w:rPr>
          <w:rStyle w:val="indexentry"/>
        </w:rPr>
        <w:fldChar w:fldCharType="begin"/>
      </w:r>
      <w:r>
        <w:instrText>xe "</w:instrText>
      </w:r>
      <w:r>
        <w:rPr>
          <w:rStyle w:val="xeentry"/>
        </w:rPr>
        <w:instrText>la: compared with le in specificity</w:instrText>
      </w:r>
      <w:r>
        <w:instrText>"</w:instrText>
      </w:r>
      <w:r>
        <w:rPr>
          <w:rStyle w:val="indexentry"/>
        </w:rPr>
        <w:fldChar w:fldCharType="end"/>
      </w:r>
      <w:r>
        <w:rPr>
          <w:rStyle w:val="indexentry"/>
        </w:rPr>
        <w:t>&lt;cx "le, compared with la in specificity"&gt;</w:t>
      </w:r>
      <w:r>
        <w:rPr>
          <w:rStyle w:val="indexentry"/>
        </w:rPr>
        <w:fldChar w:fldCharType="begin"/>
      </w:r>
      <w:r>
        <w:instrText>xe "</w:instrText>
      </w:r>
      <w:r>
        <w:rPr>
          <w:rStyle w:val="xeentry"/>
        </w:rPr>
        <w:instrText>le: compared with la in specificity</w:instrText>
      </w:r>
      <w:r>
        <w:instrText>"</w:instrText>
      </w:r>
      <w:r>
        <w:rPr>
          <w:rStyle w:val="indexentry"/>
        </w:rPr>
        <w:fldChar w:fldCharType="end"/>
      </w:r>
      <w:r>
        <w:rPr>
          <w:rStyle w:val="indexentry"/>
        </w:rPr>
        <w:t>&lt;cx "la, use with descriptions contrasted with use before Lojbanized names"&gt;</w:t>
      </w:r>
      <w:r>
        <w:rPr>
          <w:rStyle w:val="indexentry"/>
        </w:rPr>
        <w:fldChar w:fldCharType="begin"/>
      </w:r>
      <w:r>
        <w:instrText>xe "</w:instrText>
      </w:r>
      <w:r>
        <w:rPr>
          <w:rStyle w:val="xeentry"/>
        </w:rPr>
        <w:instrText>la: use with descriptions contrasted with use before Lojbanized names</w:instrText>
      </w:r>
      <w:r>
        <w:instrText>"</w:instrText>
      </w:r>
      <w:r>
        <w:rPr>
          <w:rStyle w:val="indexentry"/>
        </w:rPr>
        <w:fldChar w:fldCharType="end"/>
      </w:r>
      <w:r>
        <w:t>The last descriptor of this section is “la”, which indicates that the selbri</w:t>
      </w:r>
      <w:r>
        <w:rPr>
          <w:rStyle w:val="deletedparamark"/>
        </w:rPr>
        <w:t xml:space="preserve"> </w:t>
      </w:r>
      <w:r>
        <w:t>which fo</w:t>
      </w:r>
      <w:r>
        <w:t>l</w:t>
      </w:r>
      <w:r>
        <w:softHyphen/>
        <w:t>lows it has been dissociated from its normal meaning and is being</w:t>
      </w:r>
      <w:r>
        <w:rPr>
          <w:rStyle w:val="deletedparamark"/>
        </w:rPr>
        <w:t xml:space="preserve"> </w:t>
      </w:r>
      <w:r>
        <w:t>used as a name. Like “le” descriptions, “la” de</w:t>
      </w:r>
      <w:r>
        <w:softHyphen/>
        <w:t>scriptions are implicitly</w:t>
      </w:r>
      <w:r>
        <w:rPr>
          <w:rStyle w:val="deletedparamark"/>
        </w:rPr>
        <w:t xml:space="preserve"> </w:t>
      </w:r>
      <w:r>
        <w:t>restricted to those I have in mind. (Do not confuse this use of “la” with</w:t>
      </w:r>
      <w:r>
        <w:rPr>
          <w:rStyle w:val="deletedparamark"/>
        </w:rPr>
        <w:t xml:space="preserve"> </w:t>
      </w:r>
      <w:r>
        <w:t>its use before regular Lojbanized names, which is di</w:t>
      </w:r>
      <w:r>
        <w:t>s</w:t>
      </w:r>
      <w:r>
        <w:softHyphen/>
        <w:t xml:space="preserve">cussed in </w:t>
      </w:r>
      <w:r>
        <w:rPr>
          <w:rStyle w:val="htmlcodes"/>
        </w:rPr>
        <w:t>&lt;a href=#s12&gt;</w:t>
      </w:r>
      <w:r>
        <w:t>Section 12</w:t>
      </w:r>
      <w:r>
        <w:rPr>
          <w:rStyle w:val="htmlcodes"/>
        </w:rPr>
        <w:t>&lt;/a&gt;</w:t>
      </w:r>
      <w:r>
        <w:t>.)</w:t>
      </w:r>
      <w:r>
        <w:rPr>
          <w:rStyle w:val="deletedparamark"/>
        </w:rPr>
        <w:t xml:space="preserve"> </w:t>
      </w:r>
      <w:r>
        <w:t>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"bear wrote story"&gt;</w:t>
      </w:r>
      <w:r>
        <w:rPr>
          <w:rStyle w:val="indexentry"/>
        </w:rPr>
        <w:fldChar w:fldCharType="begin"/>
      </w:r>
      <w:r>
        <w:instrText>xe "</w:instrText>
      </w:r>
      <w:r>
        <w:rPr>
          <w:rStyle w:val="xeentry"/>
        </w:rPr>
        <w:instrText>bear wrote story: example</w:instrText>
      </w:r>
      <w:r>
        <w:instrText>"</w:instrText>
      </w:r>
      <w:r>
        <w:rPr>
          <w:rStyle w:val="indexentry"/>
        </w:rPr>
        <w:fldChar w:fldCharType="end"/>
      </w:r>
      <w:r>
        <w:rPr>
          <w:rStyle w:val="htmlcodes"/>
        </w:rPr>
        <w:t>&lt;pre&gt;&lt;a name=e2d6&gt;</w:t>
      </w:r>
      <w:r>
        <w:t>2.6)</w:t>
      </w:r>
      <w:r>
        <w:tab/>
        <w:t>la cribe pu finti le lisri</w:t>
      </w:r>
    </w:p>
    <w:p w:rsidR="00B72047" w:rsidRDefault="00B72047">
      <w:pPr>
        <w:pStyle w:val="examplescaled"/>
      </w:pPr>
      <w:r>
        <w:tab/>
        <w:t>The-one-named “bear” [past] creates the story.</w:t>
      </w:r>
    </w:p>
    <w:p w:rsidR="00B72047" w:rsidRDefault="00B72047">
      <w:pPr>
        <w:pStyle w:val="examplescaled"/>
      </w:pPr>
      <w:r>
        <w:tab/>
        <w:t>Bear wrote the story.</w:t>
      </w:r>
    </w:p>
    <w:p w:rsidR="00B72047" w:rsidRDefault="00B72047">
      <w:pPr>
        <w:pStyle w:val="resumedafterexample"/>
      </w:pPr>
      <w:r>
        <w:rPr>
          <w:rStyle w:val="htmlcodes"/>
        </w:rPr>
        <w:t>&lt;/pre&gt;</w:t>
      </w:r>
      <w:r>
        <w:rPr>
          <w:rStyle w:val="indexentry"/>
        </w:rPr>
        <w:t>&lt;cx "naming predicate"&gt;</w:t>
      </w:r>
      <w:r>
        <w:rPr>
          <w:rStyle w:val="indexentry"/>
        </w:rPr>
        <w:fldChar w:fldCharType="begin"/>
      </w:r>
      <w:r>
        <w:instrText>xe "</w:instrText>
      </w:r>
      <w:r>
        <w:rPr>
          <w:rStyle w:val="xeentry"/>
        </w:rPr>
        <w:instrText>naming predicate</w:instrText>
      </w:r>
      <w:r>
        <w:instrText>"</w:instrText>
      </w:r>
      <w:r>
        <w:rPr>
          <w:rStyle w:val="indexentry"/>
        </w:rPr>
        <w:fldChar w:fldCharType="end"/>
      </w:r>
      <w:r>
        <w:t xml:space="preserve">In </w:t>
      </w:r>
      <w:r>
        <w:rPr>
          <w:rStyle w:val="htmlcodes"/>
        </w:rPr>
        <w:t>&lt;a href=#e2d6&gt;</w:t>
      </w:r>
      <w:r>
        <w:t>Example 2.6</w:t>
      </w:r>
      <w:r>
        <w:rPr>
          <w:rStyle w:val="htmlcodes"/>
        </w:rPr>
        <w:t>&lt;/a&gt;</w:t>
      </w:r>
      <w:r>
        <w:t>, “la cribe” refers to someone whose naming predicate is</w:t>
      </w:r>
      <w:r>
        <w:rPr>
          <w:rStyle w:val="deletedparamark"/>
        </w:rPr>
        <w:t xml:space="preserve"> “</w:t>
      </w:r>
      <w:r>
        <w:t>cribe”, i.e. “Bear”. In English, most names don't mean anything, or</w:t>
      </w:r>
      <w:r>
        <w:rPr>
          <w:rStyle w:val="deletedparamark"/>
        </w:rPr>
        <w:t xml:space="preserve"> </w:t>
      </w:r>
      <w:r>
        <w:t>at least not anything obvious. The name “Frank” coincides with the</w:t>
      </w:r>
      <w:r>
        <w:rPr>
          <w:rStyle w:val="deletedparamark"/>
        </w:rPr>
        <w:t xml:space="preserve"> </w:t>
      </w:r>
      <w:r>
        <w:t>English word “frank”, meaning “honest”, and so one way of translating</w:t>
      </w:r>
      <w:r>
        <w:rPr>
          <w:rStyle w:val="deletedparamark"/>
        </w:rPr>
        <w:t xml:space="preserve"> “</w:t>
      </w:r>
      <w:r>
        <w:t>Frank ate some cheese” into Lojban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name=e2d7&gt;</w:t>
      </w:r>
      <w:r>
        <w:t>2.7)</w:t>
      </w:r>
      <w:r>
        <w:tab/>
        <w:t>la stace pu citka lo cirla</w:t>
      </w:r>
    </w:p>
    <w:p w:rsidR="00B72047" w:rsidRDefault="00B72047">
      <w:pPr>
        <w:pStyle w:val="examplescaled"/>
      </w:pPr>
      <w:r>
        <w:tab/>
        <w:t>The-one-called “Honest/Frank” [past] eats some cheese.</w:t>
      </w:r>
    </w:p>
    <w:p w:rsidR="00B72047" w:rsidRDefault="00B72047">
      <w:pPr>
        <w:pStyle w:val="resumedafterexample"/>
      </w:pPr>
      <w:r>
        <w:rPr>
          <w:rStyle w:val="htmlcodes"/>
        </w:rPr>
        <w:t>&lt;/pre&gt;&lt;p&gt;</w:t>
      </w:r>
      <w:r>
        <w:t>English-speakers typically would not do this, as we tend to be more attached</w:t>
      </w:r>
      <w:r>
        <w:rPr>
          <w:rStyle w:val="deletedparamark"/>
        </w:rPr>
        <w:t xml:space="preserve"> </w:t>
      </w:r>
      <w:r>
        <w:t>to the sound of our names than their meaning, even if the meaning</w:t>
      </w:r>
      <w:r>
        <w:rPr>
          <w:rStyle w:val="deletedparamark"/>
        </w:rPr>
        <w:t xml:space="preserve"> </w:t>
      </w:r>
      <w:r>
        <w:t>(etymological or current) is known. Speakers of other lan</w:t>
      </w:r>
      <w:r>
        <w:softHyphen/>
        <w:t>guages may feel</w:t>
      </w:r>
      <w:r>
        <w:rPr>
          <w:rStyle w:val="deletedparamark"/>
        </w:rPr>
        <w:t xml:space="preserve"> </w:t>
      </w:r>
      <w:r>
        <w:t>differently. (In point of fact, “Frank” originally meant “the free one”</w:t>
      </w:r>
      <w:r>
        <w:rPr>
          <w:rStyle w:val="deletedparamark"/>
        </w:rPr>
        <w:t xml:space="preserve"> </w:t>
      </w:r>
      <w:r>
        <w:t>rather than “the honest one”.)</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"la, contrasted with le in implications"&gt;</w:t>
      </w:r>
      <w:r>
        <w:rPr>
          <w:rStyle w:val="indexentry"/>
        </w:rPr>
        <w:fldChar w:fldCharType="begin"/>
      </w:r>
      <w:r>
        <w:instrText>xe "</w:instrText>
      </w:r>
      <w:r>
        <w:rPr>
          <w:rStyle w:val="xeentry"/>
        </w:rPr>
        <w:instrText>la: contrasted with le in implications</w:instrText>
      </w:r>
      <w:r>
        <w:instrText>"</w:instrText>
      </w:r>
      <w:r>
        <w:rPr>
          <w:rStyle w:val="indexentry"/>
        </w:rPr>
        <w:fldChar w:fldCharType="end"/>
      </w:r>
      <w:r>
        <w:t xml:space="preserve">It is important to note the differences between </w:t>
      </w:r>
      <w:r>
        <w:rPr>
          <w:rStyle w:val="htmlcodes"/>
        </w:rPr>
        <w:t>&lt;a href=#e2d6&gt;</w:t>
      </w:r>
      <w:r>
        <w:t xml:space="preserve">Example 2.6 </w:t>
      </w:r>
      <w:r>
        <w:rPr>
          <w:rStyle w:val="htmlcodes"/>
        </w:rPr>
        <w:t>&lt;/a&gt;</w:t>
      </w:r>
      <w:r>
        <w:t>and the</w:t>
      </w:r>
      <w:r>
        <w:rPr>
          <w:rStyle w:val="deletedparamark"/>
        </w:rPr>
        <w:t xml:space="preserve"> </w:t>
      </w:r>
      <w:r>
        <w:t>following: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name=e2d8&gt;</w:t>
      </w:r>
      <w:r>
        <w:t>2.8)</w:t>
      </w:r>
      <w:r>
        <w:tab/>
        <w:t>le cribe pu finti le lisri</w:t>
      </w:r>
    </w:p>
    <w:p w:rsidR="00B72047" w:rsidRDefault="00B72047">
      <w:pPr>
        <w:pStyle w:val="examplescaled"/>
      </w:pPr>
      <w:r>
        <w:tab/>
        <w:t>One-or-more-specific-things-which-I-describe-as a-bear</w:t>
      </w:r>
    </w:p>
    <w:p w:rsidR="00B72047" w:rsidRDefault="00B72047">
      <w:pPr>
        <w:pStyle w:val="examplescaled"/>
        <w:ind w:firstLine="576"/>
      </w:pPr>
      <w:r>
        <w:t>[past] creates the story.</w:t>
      </w:r>
    </w:p>
    <w:p w:rsidR="00B72047" w:rsidRDefault="00B72047">
      <w:pPr>
        <w:pStyle w:val="examplescaled"/>
      </w:pPr>
      <w:r>
        <w:tab/>
        <w:t>The bear(s) wrote the story.</w:t>
      </w:r>
    </w:p>
    <w:p w:rsidR="00B72047" w:rsidRDefault="00B72047">
      <w:pPr>
        <w:pStyle w:val="examplescaledpre"/>
      </w:pPr>
      <w:r>
        <w:rPr>
          <w:rStyle w:val="htmlcodes"/>
        </w:rPr>
        <w:t>&lt;/pre&gt;</w:t>
      </w:r>
      <w:r>
        <w:rPr>
          <w:rStyle w:val="indexentry"/>
        </w:rPr>
        <w:t>&lt;cx "la, contrasted with lo in implications"&gt;</w:t>
      </w:r>
      <w:r>
        <w:rPr>
          <w:rStyle w:val="indexentry"/>
        </w:rPr>
        <w:fldChar w:fldCharType="begin"/>
      </w:r>
      <w:r>
        <w:instrText>xe "</w:instrText>
      </w:r>
      <w:r>
        <w:rPr>
          <w:rStyle w:val="xeentry"/>
        </w:rPr>
        <w:instrText>la: contrasted with lo in implications</w:instrText>
      </w:r>
      <w:r>
        <w:instrText>"</w:instrText>
      </w:r>
      <w:r>
        <w:rPr>
          <w:rStyle w:val="indexentry"/>
        </w:rPr>
        <w:fldChar w:fldCharType="end"/>
      </w:r>
      <w:r>
        <w:rPr>
          <w:rStyle w:val="htmlcodes"/>
        </w:rPr>
        <w:t>&lt;pre&gt;&lt;a name=e2d9&gt;</w:t>
      </w:r>
      <w:r>
        <w:t>2.9)</w:t>
      </w:r>
      <w:r>
        <w:tab/>
        <w:t>lo cribe pu finti le lisri</w:t>
      </w:r>
    </w:p>
    <w:p w:rsidR="00B72047" w:rsidRDefault="00B72047">
      <w:pPr>
        <w:pStyle w:val="examplescaled"/>
      </w:pPr>
      <w:r>
        <w:tab/>
        <w:t>One-or-more-of-the-things-which-really are-bears</w:t>
      </w:r>
    </w:p>
    <w:p w:rsidR="00B72047" w:rsidRDefault="00B72047">
      <w:pPr>
        <w:pStyle w:val="examplescaled"/>
      </w:pPr>
      <w:r>
        <w:tab/>
      </w:r>
      <w:r>
        <w:tab/>
        <w:t>[past] creates the story.</w:t>
      </w:r>
    </w:p>
    <w:p w:rsidR="00B72047" w:rsidRDefault="00B72047">
      <w:pPr>
        <w:pStyle w:val="examplescaled"/>
      </w:pPr>
      <w:r>
        <w:tab/>
        <w:t>A bear wrote the story.</w:t>
      </w:r>
    </w:p>
    <w:p w:rsidR="00B72047" w:rsidRDefault="00B72047">
      <w:pPr>
        <w:pStyle w:val="examplescaled"/>
      </w:pPr>
      <w:r>
        <w:tab/>
        <w:t>Some bears wrote the story.</w:t>
      </w:r>
    </w:p>
    <w:p w:rsidR="00B72047" w:rsidRDefault="00B72047">
      <w:pPr>
        <w:pStyle w:val="resumedafterexample"/>
      </w:pPr>
      <w:r>
        <w:rPr>
          <w:rStyle w:val="htmlcodes"/>
        </w:rPr>
        <w:t>&lt;/pre&gt;&lt;a href=#e2d8&gt;</w:t>
      </w:r>
      <w:r>
        <w:t xml:space="preserve">Example 2.8 </w:t>
      </w:r>
      <w:r>
        <w:rPr>
          <w:rStyle w:val="htmlcodes"/>
        </w:rPr>
        <w:t>&lt;/a&gt;</w:t>
      </w:r>
      <w:r>
        <w:t>is about a specific bear or bearlike thing(s), or thing(s) which</w:t>
      </w:r>
      <w:r>
        <w:rPr>
          <w:rStyle w:val="deletedparamark"/>
        </w:rPr>
        <w:t xml:space="preserve"> </w:t>
      </w:r>
      <w:r>
        <w:t>the speaker (perhaps whimsically or metaphorically) describes as a bear</w:t>
      </w:r>
      <w:r>
        <w:rPr>
          <w:rStyle w:val="deletedparamark"/>
        </w:rPr>
        <w:t xml:space="preserve"> </w:t>
      </w:r>
      <w:r>
        <w:t xml:space="preserve">(or more than one); </w:t>
      </w:r>
      <w:r>
        <w:rPr>
          <w:rStyle w:val="htmlcodes"/>
        </w:rPr>
        <w:t>&lt;a href=#e2d9&gt;</w:t>
      </w:r>
      <w:r>
        <w:t>Exam</w:t>
      </w:r>
      <w:r>
        <w:softHyphen/>
        <w:t xml:space="preserve">ple 2.9 </w:t>
      </w:r>
      <w:r>
        <w:rPr>
          <w:rStyle w:val="htmlcodes"/>
        </w:rPr>
        <w:t>&lt;/a&gt;</w:t>
      </w:r>
      <w:r>
        <w:t>is about one or more of the really existing,</w:t>
      </w:r>
      <w:r>
        <w:rPr>
          <w:rStyle w:val="deletedparamark"/>
        </w:rPr>
        <w:t xml:space="preserve"> </w:t>
      </w:r>
      <w:r>
        <w:t>objectively defined bears. In either case, though, each of them must have</w:t>
      </w:r>
      <w:r>
        <w:rPr>
          <w:rStyle w:val="deletedparamark"/>
        </w:rPr>
        <w:t xml:space="preserve"> </w:t>
      </w:r>
      <w:r>
        <w:t>contributed to the writing of the story, if more than one bear (or “bear”)</w:t>
      </w:r>
      <w:r>
        <w:rPr>
          <w:rStyle w:val="deletedparamark"/>
        </w:rPr>
        <w:t xml:space="preserve"> </w:t>
      </w:r>
      <w:r>
        <w:t>is meant.</w:t>
      </w:r>
    </w:p>
    <w:p w:rsidR="00B72047" w:rsidRDefault="00B72047">
      <w:pPr>
        <w:rPr>
          <w:rStyle w:val="htmlparacode"/>
        </w:rPr>
      </w:pPr>
      <w:r>
        <w:rPr>
          <w:rStyle w:val="htmlparacode"/>
        </w:rPr>
        <w:t>&lt;p&gt;</w:t>
      </w:r>
    </w:p>
    <w:p w:rsidR="00B72047" w:rsidRDefault="00B72047">
      <w:pPr>
        <w:pStyle w:val="normalparagraph"/>
      </w:pPr>
      <w:r>
        <w:rPr>
          <w:rStyle w:val="indexentry"/>
        </w:rPr>
        <w:t>&lt;cx "descriptions with lo, teddy bear contrasted with real bear"&gt;</w:t>
      </w:r>
      <w:r>
        <w:rPr>
          <w:rStyle w:val="indexentry"/>
        </w:rPr>
        <w:fldChar w:fldCharType="begin"/>
      </w:r>
      <w:r>
        <w:instrText>xe "</w:instrText>
      </w:r>
      <w:r>
        <w:rPr>
          <w:rStyle w:val="xeentry"/>
        </w:rPr>
        <w:instrText>descriptions with lo: teddy bear contrasted with real bear</w:instrText>
      </w:r>
      <w:r>
        <w:instrText>"</w:instrText>
      </w:r>
      <w:r>
        <w:rPr>
          <w:rStyle w:val="indexentry"/>
        </w:rPr>
        <w:fldChar w:fldCharType="end"/>
      </w:r>
      <w:r>
        <w:t>(The notion of a “really existing, objectively defined bear” raises certain</w:t>
      </w:r>
      <w:r>
        <w:rPr>
          <w:rStyle w:val="deletedparamark"/>
        </w:rPr>
        <w:t xml:space="preserve"> </w:t>
      </w:r>
      <w:r>
        <w:t>diffi</w:t>
      </w:r>
      <w:r>
        <w:softHyphen/>
        <w:t>culties. Is a panda bear a “real bear”? How about a teddy bear? In</w:t>
      </w:r>
      <w:r>
        <w:rPr>
          <w:rStyle w:val="deletedparamark"/>
        </w:rPr>
        <w:t xml:space="preserve"> </w:t>
      </w:r>
      <w:r>
        <w:t>general, the answer is “yes”. Lojban gismu are defined as broadly as possible,</w:t>
      </w:r>
      <w:r>
        <w:rPr>
          <w:rStyle w:val="deletedparamark"/>
        </w:rPr>
        <w:t xml:space="preserve"> </w:t>
      </w:r>
      <w:r>
        <w:t>allowing tanru and lujvo to nar</w:t>
      </w:r>
      <w:r>
        <w:softHyphen/>
        <w:t>row down the definition. There probably are</w:t>
      </w:r>
      <w:r>
        <w:rPr>
          <w:rStyle w:val="deletedparamark"/>
        </w:rPr>
        <w:t xml:space="preserve"> </w:t>
      </w:r>
      <w:r>
        <w:t>no necessary and sufficient conditions for defi</w:t>
      </w:r>
      <w:r>
        <w:t>n</w:t>
      </w:r>
      <w:r>
        <w:softHyphen/>
        <w:t>ing what is and what is not</w:t>
      </w:r>
      <w:r>
        <w:rPr>
          <w:rStyle w:val="deletedparamark"/>
        </w:rPr>
        <w:t xml:space="preserve"> </w:t>
      </w:r>
      <w:r>
        <w:t>a bear that can be pinned down with complete preci</w:t>
      </w:r>
      <w:r>
        <w:softHyphen/>
        <w:t>sion: the real world is</w:t>
      </w:r>
      <w:r>
        <w:rPr>
          <w:rStyle w:val="deletedparamark"/>
        </w:rPr>
        <w:t xml:space="preserve"> </w:t>
      </w:r>
      <w:r>
        <w:t>fuzzy. In borderline cases, “le” may communicate better than “lo”.)</w:t>
      </w:r>
    </w:p>
    <w:p w:rsidR="00B72047" w:rsidRDefault="00B72047">
      <w:pPr>
        <w:pStyle w:val="normalparagraph"/>
        <w:rPr>
          <w:rStyle w:val="htmlparacode"/>
        </w:rPr>
      </w:pPr>
      <w:r>
        <w:rPr>
          <w:rStyle w:val="htmlparacode"/>
        </w:rPr>
        <w:t>&lt;p&gt;</w:t>
      </w:r>
    </w:p>
    <w:p w:rsidR="00B72047" w:rsidRDefault="00B72047">
      <w:pPr>
        <w:pStyle w:val="normalparagraph"/>
      </w:pPr>
      <w:r>
        <w:t xml:space="preserve">So while </w:t>
      </w:r>
      <w:r>
        <w:rPr>
          <w:rStyle w:val="htmlcodes"/>
        </w:rPr>
        <w:t>&lt;a href=#e2d6&gt;</w:t>
      </w:r>
      <w:r>
        <w:t xml:space="preserve">Example 2.6 </w:t>
      </w:r>
      <w:r>
        <w:rPr>
          <w:rStyle w:val="htmlcodes"/>
        </w:rPr>
        <w:t>&lt;/a&gt;</w:t>
      </w:r>
      <w:r>
        <w:t>could easily be true (there is a real writer named</w:t>
      </w:r>
      <w:r>
        <w:rPr>
          <w:rStyle w:val="deletedparamark"/>
        </w:rPr>
        <w:t xml:space="preserve"> “</w:t>
      </w:r>
      <w:r>
        <w:t xml:space="preserve">Greg Bear”), and </w:t>
      </w:r>
      <w:r>
        <w:rPr>
          <w:rStyle w:val="htmlcodes"/>
        </w:rPr>
        <w:t>&lt;a href=#e2d8&gt;</w:t>
      </w:r>
      <w:r>
        <w:t xml:space="preserve">Example 2.8 </w:t>
      </w:r>
      <w:r>
        <w:rPr>
          <w:rStyle w:val="htmlcodes"/>
        </w:rPr>
        <w:t>&lt;/a&gt;</w:t>
      </w:r>
      <w:r>
        <w:t>could be true if the speaker is sufficiently</w:t>
      </w:r>
      <w:r>
        <w:rPr>
          <w:rStyle w:val="deletedparamark"/>
        </w:rPr>
        <w:t xml:space="preserve"> </w:t>
      </w:r>
      <w:r>
        <w:t xml:space="preserve">peculiar in what he or she describes as a bear, </w:t>
      </w:r>
      <w:r>
        <w:rPr>
          <w:rStyle w:val="htmlcodes"/>
        </w:rPr>
        <w:t>&lt;a href=#e2d9&gt;</w:t>
      </w:r>
      <w:r>
        <w:t xml:space="preserve">Example 2.9 </w:t>
      </w:r>
      <w:r>
        <w:rPr>
          <w:rStyle w:val="htmlcodes"/>
        </w:rPr>
        <w:t>&lt;/a&gt;</w:t>
      </w:r>
      <w:r>
        <w:t>is certainly</w:t>
      </w:r>
      <w:r>
        <w:rPr>
          <w:rStyle w:val="deletedparamark"/>
        </w:rPr>
        <w:t xml:space="preserve"> </w:t>
      </w:r>
      <w:r>
        <w:t>false.</w:t>
      </w:r>
    </w:p>
    <w:p w:rsidR="00B72047" w:rsidRDefault="00B72047">
      <w:pPr>
        <w:pStyle w:val="normalparagraph"/>
        <w:rPr>
          <w:rStyle w:val="htmlparacode"/>
        </w:rPr>
      </w:pPr>
      <w:r>
        <w:rPr>
          <w:rStyle w:val="htmlparacode"/>
        </w:rPr>
        <w:t>&lt;p&gt;</w:t>
      </w:r>
    </w:p>
    <w:p w:rsidR="00B72047" w:rsidRDefault="00B72047">
      <w:pPr>
        <w:pStyle w:val="normalparagraph"/>
      </w:pPr>
      <w:r>
        <w:t>Similarly, compare the following two examples, which are analogous to</w:t>
      </w:r>
      <w:r>
        <w:rPr>
          <w:rStyle w:val="deletedparamark"/>
        </w:rPr>
        <w:t xml:space="preserve"> </w:t>
      </w:r>
      <w:r>
        <w:rPr>
          <w:rStyle w:val="htmlcodes"/>
        </w:rPr>
        <w:t>&lt;a href=#e2d8&gt;</w:t>
      </w:r>
      <w:r>
        <w:t>Ex</w:t>
      </w:r>
      <w:r>
        <w:softHyphen/>
        <w:t xml:space="preserve">ample 2.8 </w:t>
      </w:r>
      <w:r>
        <w:rPr>
          <w:rStyle w:val="htmlcodes"/>
        </w:rPr>
        <w:t>&lt;/a&gt;</w:t>
      </w:r>
      <w:r>
        <w:t xml:space="preserve">and </w:t>
      </w:r>
      <w:r>
        <w:rPr>
          <w:rStyle w:val="htmlcodes"/>
        </w:rPr>
        <w:t>&lt;a href=#e2d9&gt;</w:t>
      </w:r>
      <w:r>
        <w:t xml:space="preserve">Example 2.9 </w:t>
      </w:r>
      <w:r>
        <w:rPr>
          <w:rStyle w:val="htmlcodes"/>
        </w:rPr>
        <w:t>&lt;/a&gt;</w:t>
      </w:r>
      <w:r>
        <w:t>respectively:</w:t>
      </w:r>
    </w:p>
    <w:p w:rsidR="00B72047" w:rsidRDefault="00B72047">
      <w:pPr>
        <w:rPr>
          <w:rStyle w:val="htmlparacode"/>
        </w:rPr>
      </w:pPr>
      <w:r>
        <w:rPr>
          <w:rStyle w:val="htmlparacode"/>
        </w:rPr>
        <w:t>&lt;p&gt;</w:t>
      </w:r>
    </w:p>
    <w:p w:rsidR="00B72047" w:rsidRDefault="00B72047">
      <w:pPr>
        <w:pStyle w:val="examplescaledpre"/>
      </w:pPr>
      <w:r>
        <w:rPr>
          <w:rStyle w:val="indexentry"/>
        </w:rPr>
        <w:t>&lt;cx "le, contrasted with lo in implications"&gt;</w:t>
      </w:r>
      <w:r>
        <w:rPr>
          <w:rStyle w:val="indexentry"/>
        </w:rPr>
        <w:fldChar w:fldCharType="begin"/>
      </w:r>
      <w:r>
        <w:instrText>xe "</w:instrText>
      </w:r>
      <w:r>
        <w:rPr>
          <w:rStyle w:val="xeentry"/>
        </w:rPr>
        <w:instrText>le: contrasted with lo in implications</w:instrText>
      </w:r>
      <w:r>
        <w:instrText>"</w:instrText>
      </w:r>
      <w:r>
        <w:rPr>
          <w:rStyle w:val="indexentry"/>
        </w:rPr>
        <w:fldChar w:fldCharType="end"/>
      </w:r>
      <w:r>
        <w:rPr>
          <w:rStyle w:val="indexentry"/>
        </w:rPr>
        <w:t>&lt;cx "lo, contrasted with le in implications"&gt;</w:t>
      </w:r>
      <w:r>
        <w:rPr>
          <w:rStyle w:val="indexentry"/>
        </w:rPr>
        <w:fldChar w:fldCharType="begin"/>
      </w:r>
      <w:r>
        <w:instrText>xe "</w:instrText>
      </w:r>
      <w:r>
        <w:rPr>
          <w:rStyle w:val="xeentry"/>
        </w:rPr>
        <w:instrText>lo: contrasted with le in implications</w:instrText>
      </w:r>
      <w:r>
        <w:instrText>"</w:instrText>
      </w:r>
      <w:r>
        <w:rPr>
          <w:rStyle w:val="indexentry"/>
        </w:rPr>
        <w:fldChar w:fldCharType="end"/>
      </w:r>
      <w:r>
        <w:rPr>
          <w:rStyle w:val="htmlcodes"/>
        </w:rPr>
        <w:t>&lt;pre&gt;&lt;a name=e2d10&gt;</w:t>
      </w:r>
      <w:r>
        <w:t>2.10)</w:t>
      </w:r>
      <w:r>
        <w:tab/>
        <w:t>le remna pu finti le lisri</w:t>
      </w:r>
    </w:p>
    <w:p w:rsidR="00B72047" w:rsidRDefault="00B72047">
      <w:pPr>
        <w:pStyle w:val="examplescaled"/>
      </w:pPr>
      <w:r>
        <w:tab/>
        <w:t>The human being(s) wrote the story.</w:t>
      </w:r>
    </w:p>
    <w:p w:rsidR="00B72047" w:rsidRDefault="00B72047">
      <w:pPr>
        <w:pStyle w:val="examplescaledpre"/>
      </w:pPr>
      <w:r>
        <w:rPr>
          <w:rStyle w:val="htmlcodes"/>
        </w:rPr>
        <w:t>&lt;a name=e2d11&gt;</w:t>
      </w:r>
      <w:r>
        <w:t>2.11)</w:t>
      </w:r>
      <w:r>
        <w:tab/>
        <w:t>lo remna pu finti le lisri</w:t>
      </w:r>
    </w:p>
    <w:p w:rsidR="00B72047" w:rsidRDefault="00B72047">
      <w:pPr>
        <w:pStyle w:val="examplescaled"/>
      </w:pPr>
      <w:r>
        <w:tab/>
        <w:t>A human being wrote the story.</w:t>
      </w:r>
    </w:p>
    <w:p w:rsidR="00B72047" w:rsidRDefault="00B72047">
      <w:pPr>
        <w:pStyle w:val="examplescaled"/>
      </w:pPr>
      <w:r>
        <w:tab/>
        <w:t>Some human beings wrote the story.</w:t>
      </w:r>
    </w:p>
    <w:p w:rsidR="00B72047" w:rsidRDefault="00B72047">
      <w:pPr>
        <w:pStyle w:val="resumedafterexample"/>
      </w:pPr>
      <w:r>
        <w:rPr>
          <w:rStyle w:val="htmlcodes"/>
        </w:rPr>
        <w:t>&lt;/pre&gt;&lt;a href=#e2d10&gt;</w:t>
      </w:r>
      <w:r>
        <w:t xml:space="preserve">Example 2.10 </w:t>
      </w:r>
      <w:r>
        <w:rPr>
          <w:rStyle w:val="htmlcodes"/>
        </w:rPr>
        <w:t>&lt;/a&gt;</w:t>
      </w:r>
      <w:r>
        <w:t>says who the author of the story is: one or more par</w:t>
      </w:r>
      <w:r>
        <w:softHyphen/>
        <w:t>ticular</w:t>
      </w:r>
      <w:r>
        <w:rPr>
          <w:rStyle w:val="deletedparamark"/>
        </w:rPr>
        <w:t xml:space="preserve"> </w:t>
      </w:r>
      <w:r>
        <w:t>human beings that the speaker has in mind. If the topic of con</w:t>
      </w:r>
      <w:r>
        <w:softHyphen/>
        <w:t>versation</w:t>
      </w:r>
      <w:r>
        <w:rPr>
          <w:rStyle w:val="deletedparamark"/>
        </w:rPr>
        <w:t xml:space="preserve"> </w:t>
      </w:r>
      <w:r>
        <w:t xml:space="preserve">is the story, then </w:t>
      </w:r>
      <w:r>
        <w:rPr>
          <w:rStyle w:val="htmlcodes"/>
        </w:rPr>
        <w:t>&lt;a href=#e2d10&gt;</w:t>
      </w:r>
      <w:r>
        <w:t xml:space="preserve">Example 2.10 </w:t>
      </w:r>
      <w:r>
        <w:rPr>
          <w:rStyle w:val="htmlcodes"/>
        </w:rPr>
        <w:t>&lt;/a&gt;</w:t>
      </w:r>
      <w:r>
        <w:t>identifies the author as someone who can</w:t>
      </w:r>
      <w:r>
        <w:rPr>
          <w:rStyle w:val="deletedparamark"/>
        </w:rPr>
        <w:t xml:space="preserve"> </w:t>
      </w:r>
      <w:r>
        <w:t>be pointed out or who has been previously men</w:t>
      </w:r>
      <w:r>
        <w:softHyphen/>
        <w:t>tioned; whereas if the topic is</w:t>
      </w:r>
      <w:r>
        <w:rPr>
          <w:rStyle w:val="deletedparamark"/>
        </w:rPr>
        <w:t xml:space="preserve"> </w:t>
      </w:r>
      <w:r>
        <w:t>a person, then “le remna” is in effect a shorthand reference to that person.</w:t>
      </w:r>
      <w:r>
        <w:rPr>
          <w:rStyle w:val="deletedparamark"/>
        </w:rPr>
        <w:t xml:space="preserve"> </w:t>
      </w:r>
      <w:r>
        <w:rPr>
          <w:rStyle w:val="htmlcodes"/>
        </w:rPr>
        <w:t>&lt;a href=#e2d11&gt;</w:t>
      </w:r>
      <w:r>
        <w:t xml:space="preserve">Example 2.11 </w:t>
      </w:r>
      <w:r>
        <w:rPr>
          <w:rStyle w:val="htmlcodes"/>
        </w:rPr>
        <w:t>&lt;/a&gt;</w:t>
      </w:r>
      <w:r>
        <w:t>merely says that the author is human.</w:t>
      </w:r>
    </w:p>
    <w:p w:rsidR="00B72047" w:rsidRDefault="00B72047">
      <w:pPr>
        <w:rPr>
          <w:rStyle w:val="htmlparacode"/>
        </w:rPr>
      </w:pPr>
      <w:r>
        <w:rPr>
          <w:rStyle w:val="htmlparacode"/>
        </w:rPr>
        <w:t>&lt;p&gt;</w:t>
      </w:r>
    </w:p>
    <w:p w:rsidR="00B72047" w:rsidRDefault="00B72047">
      <w:pPr>
        <w:pStyle w:val="normalparagraph"/>
      </w:pPr>
      <w:r>
        <w:rPr>
          <w:rStyle w:val="indexentry"/>
        </w:rPr>
        <w:t>&lt;lx "ku"&gt;</w:t>
      </w:r>
      <w:r>
        <w:rPr>
          <w:rStyle w:val="indexentry"/>
        </w:rPr>
        <w:fldChar w:fldCharType="begin"/>
      </w:r>
      <w:r>
        <w:instrText>xe "</w:instrText>
      </w:r>
      <w:r>
        <w:rPr>
          <w:rStyle w:val="xeentry"/>
        </w:rPr>
        <w:instrText>ku</w:instrText>
      </w:r>
      <w:r>
        <w:instrText>"</w:instrText>
      </w:r>
      <w:r>
        <w:rPr>
          <w:rStyle w:val="indexentry"/>
        </w:rPr>
        <w:fldChar w:fldCharType="end"/>
      </w:r>
      <w:r>
        <w:rPr>
          <w:rStyle w:val="indexentry"/>
        </w:rPr>
        <w:t>&lt;cx "ku, as elidable terminator for descriptions"&gt;</w:t>
      </w:r>
      <w:r>
        <w:rPr>
          <w:rStyle w:val="indexentry"/>
        </w:rPr>
        <w:fldChar w:fldCharType="begin"/>
      </w:r>
      <w:r>
        <w:instrText>xe "</w:instrText>
      </w:r>
      <w:r>
        <w:rPr>
          <w:rStyle w:val="xeentry"/>
        </w:rPr>
        <w:instrText>ku: as elidable terminator for descriptions</w:instrText>
      </w:r>
      <w:r>
        <w:instrText>"</w:instrText>
      </w:r>
      <w:r>
        <w:rPr>
          <w:rStyle w:val="indexentry"/>
        </w:rPr>
        <w:fldChar w:fldCharType="end"/>
      </w:r>
      <w:r>
        <w:rPr>
          <w:rStyle w:val="indexentry"/>
        </w:rPr>
        <w:t>&lt;cx "ku, effect of following selbri on elidability of"&gt;</w:t>
      </w:r>
      <w:r>
        <w:rPr>
          <w:rStyle w:val="indexentry"/>
        </w:rPr>
        <w:fldChar w:fldCharType="begin"/>
      </w:r>
      <w:r>
        <w:instrText>xe "</w:instrText>
      </w:r>
      <w:r>
        <w:rPr>
          <w:rStyle w:val="xeentry"/>
        </w:rPr>
        <w:instrText>ku: effect of following selbri on elidability of</w:instrText>
      </w:r>
      <w:r>
        <w:instrText>"</w:instrText>
      </w:r>
      <w:r>
        <w:rPr>
          <w:rStyle w:val="indexentry"/>
        </w:rPr>
        <w:fldChar w:fldCharType="end"/>
      </w:r>
      <w:r>
        <w:rPr>
          <w:rStyle w:val="indexentry"/>
        </w:rPr>
        <w:t>&lt;cx "cu, effect on elidability of ku"&gt;</w:t>
      </w:r>
      <w:r>
        <w:rPr>
          <w:rStyle w:val="indexentry"/>
        </w:rPr>
        <w:fldChar w:fldCharType="begin"/>
      </w:r>
      <w:r>
        <w:instrText>xe "</w:instrText>
      </w:r>
      <w:r>
        <w:rPr>
          <w:rStyle w:val="xeentry"/>
        </w:rPr>
        <w:instrText>cu: effect on elidability of ku</w:instrText>
      </w:r>
      <w:r>
        <w:instrText>"</w:instrText>
      </w:r>
      <w:r>
        <w:rPr>
          <w:rStyle w:val="indexentry"/>
        </w:rPr>
        <w:fldChar w:fldCharType="end"/>
      </w:r>
      <w:r>
        <w:rPr>
          <w:rStyle w:val="indexentry"/>
        </w:rPr>
        <w:t>&lt;cx "ku, uses of"&gt;</w:t>
      </w:r>
      <w:r>
        <w:rPr>
          <w:rStyle w:val="indexentry"/>
        </w:rPr>
        <w:fldChar w:fldCharType="begin"/>
      </w:r>
      <w:r>
        <w:instrText>xe "</w:instrText>
      </w:r>
      <w:r>
        <w:rPr>
          <w:rStyle w:val="xeentry"/>
        </w:rPr>
        <w:instrText>ku: uses of</w:instrText>
      </w:r>
      <w:r>
        <w:instrText>"</w:instrText>
      </w:r>
      <w:r>
        <w:rPr>
          <w:rStyle w:val="indexentry"/>
        </w:rPr>
        <w:fldChar w:fldCharType="end"/>
      </w:r>
      <w:r>
        <w:t>The elidable terminator for all descriptions is “ku”. It can al</w:t>
      </w:r>
      <w:r>
        <w:softHyphen/>
        <w:t>most always</w:t>
      </w:r>
      <w:r>
        <w:rPr>
          <w:rStyle w:val="deletedparamark"/>
        </w:rPr>
        <w:t xml:space="preserve"> </w:t>
      </w:r>
      <w:r>
        <w:t>be omitted with no danger of ambiguity. The main ex</w:t>
      </w:r>
      <w:r>
        <w:softHyphen/>
        <w:t>ceptions are in certain</w:t>
      </w:r>
      <w:r>
        <w:rPr>
          <w:rStyle w:val="deletedparamark"/>
        </w:rPr>
        <w:t xml:space="preserve"> </w:t>
      </w:r>
      <w:r>
        <w:t>uses of rela</w:t>
      </w:r>
      <w:r>
        <w:softHyphen/>
        <w:t xml:space="preserve">tive clauses, which are discussed in </w:t>
      </w:r>
      <w:r>
        <w:rPr>
          <w:rStyle w:val="htmlcodes"/>
        </w:rPr>
        <w:t>&lt;a href=chap8.html&gt;</w:t>
      </w:r>
      <w:r>
        <w:t>Chapter 8</w:t>
      </w:r>
      <w:r>
        <w:rPr>
          <w:rStyle w:val="htmlcodes"/>
        </w:rPr>
        <w:t>&lt;/a&gt;</w:t>
      </w:r>
      <w:r>
        <w:t>,</w:t>
      </w:r>
      <w:r>
        <w:rPr>
          <w:rStyle w:val="deletedparamark"/>
        </w:rPr>
        <w:t xml:space="preserve"> </w:t>
      </w:r>
      <w:r>
        <w:t>and in the case of a description immedi</w:t>
      </w:r>
      <w:r>
        <w:softHyphen/>
        <w:t>ately preceding the selbri. In this</w:t>
      </w:r>
      <w:r>
        <w:rPr>
          <w:rStyle w:val="deletedparamark"/>
        </w:rPr>
        <w:t xml:space="preserve"> </w:t>
      </w:r>
      <w:r>
        <w:t>latter case, using an explicit “cu” before the selbri makes the “ku”</w:t>
      </w:r>
      <w:r>
        <w:rPr>
          <w:rStyle w:val="deletedparamark"/>
        </w:rPr>
        <w:t xml:space="preserve"> </w:t>
      </w:r>
      <w:r>
        <w:t>u</w:t>
      </w:r>
      <w:r>
        <w:t>n</w:t>
      </w:r>
      <w:r>
        <w:softHyphen/>
        <w:t>necessary. There are also a few other uses of “ku”: in the compound</w:t>
      </w:r>
      <w:r>
        <w:rPr>
          <w:rStyle w:val="deletedparamark"/>
        </w:rPr>
        <w:t xml:space="preserve"> </w:t>
      </w:r>
      <w:r>
        <w:t xml:space="preserve">negator “naku” (discussed in </w:t>
      </w:r>
      <w:r>
        <w:rPr>
          <w:rStyle w:val="htmlcodes"/>
        </w:rPr>
        <w:t>&lt;a href=chap15.html&gt;</w:t>
      </w:r>
      <w:r>
        <w:t>Chapter 15</w:t>
      </w:r>
      <w:r>
        <w:rPr>
          <w:rStyle w:val="htmlcodes"/>
        </w:rPr>
        <w:t>&lt;/a&gt;</w:t>
      </w:r>
      <w:r>
        <w:t>) and to terminate place-structure,</w:t>
      </w:r>
      <w:r>
        <w:rPr>
          <w:rStyle w:val="deletedparamark"/>
        </w:rPr>
        <w:t xml:space="preserve"> </w:t>
      </w:r>
      <w:r>
        <w:t>tense, and modal tags that do not have associated sumti (discussed</w:t>
      </w:r>
      <w:r>
        <w:rPr>
          <w:rStyle w:val="deletedparamark"/>
        </w:rPr>
        <w:t xml:space="preserve"> </w:t>
      </w:r>
      <w:r>
        <w:t xml:space="preserve">in </w:t>
      </w:r>
      <w:r>
        <w:rPr>
          <w:rStyle w:val="htmlcodes"/>
        </w:rPr>
        <w:t>&lt;a href=chap9.html&gt;</w:t>
      </w:r>
      <w:r>
        <w:t xml:space="preserve">Chapter 9 </w:t>
      </w:r>
      <w:r>
        <w:rPr>
          <w:rStyle w:val="htmlcodes"/>
        </w:rPr>
        <w:t>&lt;/a&gt;</w:t>
      </w:r>
      <w:r>
        <w:t xml:space="preserve">and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237" w:name="_Toc395691537"/>
      <w:bookmarkStart w:id="238" w:name="_Toc398970508"/>
      <w:r>
        <w:rPr>
          <w:rStyle w:val="Heading3Text"/>
        </w:rPr>
        <w:t>Individuals and masses</w:t>
      </w:r>
      <w:bookmarkEnd w:id="237"/>
      <w:bookmarkEnd w:id="23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lei</w:t>
      </w:r>
      <w:r>
        <w:tab/>
        <w:t>LE</w:t>
      </w:r>
      <w:r>
        <w:tab/>
        <w:t>the mass I describe as</w:t>
      </w:r>
    </w:p>
    <w:p w:rsidR="00B72047" w:rsidRDefault="00B72047">
      <w:pPr>
        <w:pStyle w:val="examplescaled"/>
      </w:pPr>
      <w:r>
        <w:tab/>
        <w:t>loi</w:t>
      </w:r>
      <w:r>
        <w:tab/>
        <w:t>LE</w:t>
      </w:r>
      <w:r>
        <w:tab/>
        <w:t>part of the mass of those which really are</w:t>
      </w:r>
    </w:p>
    <w:p w:rsidR="00B72047" w:rsidRDefault="00B72047">
      <w:pPr>
        <w:pStyle w:val="examplescaled"/>
      </w:pPr>
      <w:r>
        <w:tab/>
        <w:t>lai</w:t>
      </w:r>
      <w:r>
        <w:tab/>
        <w:t>LA</w:t>
      </w:r>
      <w:r>
        <w:tab/>
        <w:t>the mass of those named</w:t>
      </w:r>
    </w:p>
    <w:p w:rsidR="00B72047" w:rsidRDefault="00B72047">
      <w:pPr>
        <w:pStyle w:val="normalafterexample"/>
      </w:pPr>
      <w:r>
        <w:rPr>
          <w:rStyle w:val="htmlcodes"/>
        </w:rPr>
        <w:t>&lt;/pre&gt;</w:t>
      </w:r>
      <w:r>
        <w:rPr>
          <w:rStyle w:val="indexentry"/>
        </w:rPr>
        <w:t>&lt;cx "sumti, classified by types of objects referred to"&gt;</w:t>
      </w:r>
      <w:r>
        <w:rPr>
          <w:rStyle w:val="indexentry"/>
        </w:rPr>
        <w:fldChar w:fldCharType="begin"/>
      </w:r>
      <w:r>
        <w:instrText>xe "</w:instrText>
      </w:r>
      <w:r>
        <w:rPr>
          <w:rStyle w:val="xeentry"/>
        </w:rPr>
        <w:instrText>sumti: classified by types of objects referred to</w:instrText>
      </w:r>
      <w:r>
        <w:instrText>"</w:instrText>
      </w:r>
      <w:r>
        <w:rPr>
          <w:rStyle w:val="indexentry"/>
        </w:rPr>
        <w:fldChar w:fldCharType="end"/>
      </w:r>
      <w:r>
        <w:rPr>
          <w:rStyle w:val="indexentry"/>
        </w:rPr>
        <w:t>&lt;cx "sumti, for individual objects"&gt;</w:t>
      </w:r>
      <w:r>
        <w:rPr>
          <w:rStyle w:val="indexentry"/>
        </w:rPr>
        <w:fldChar w:fldCharType="begin"/>
      </w:r>
      <w:r>
        <w:instrText>xe "</w:instrText>
      </w:r>
      <w:r>
        <w:rPr>
          <w:rStyle w:val="xeentry"/>
        </w:rPr>
        <w:instrText>sumti: for individual objects</w:instrText>
      </w:r>
      <w:r>
        <w:instrText>"</w:instrText>
      </w:r>
      <w:r>
        <w:rPr>
          <w:rStyle w:val="indexentry"/>
        </w:rPr>
        <w:fldChar w:fldCharType="end"/>
      </w:r>
      <w:r>
        <w:rPr>
          <w:rStyle w:val="indexentry"/>
        </w:rPr>
        <w:t>&lt;cx "sumti, for mass objects"&gt;</w:t>
      </w:r>
      <w:r>
        <w:rPr>
          <w:rStyle w:val="indexentry"/>
        </w:rPr>
        <w:fldChar w:fldCharType="begin"/>
      </w:r>
      <w:r>
        <w:instrText>xe "</w:instrText>
      </w:r>
      <w:r>
        <w:rPr>
          <w:rStyle w:val="xeentry"/>
        </w:rPr>
        <w:instrText>sumti: for mass objects</w:instrText>
      </w:r>
      <w:r>
        <w:instrText>"</w:instrText>
      </w:r>
      <w:r>
        <w:rPr>
          <w:rStyle w:val="indexentry"/>
        </w:rPr>
        <w:fldChar w:fldCharType="end"/>
      </w:r>
      <w:r>
        <w:rPr>
          <w:rStyle w:val="indexentry"/>
        </w:rPr>
        <w:t>&lt;cx "sumti, for set objects"&gt;</w:t>
      </w:r>
      <w:r>
        <w:rPr>
          <w:rStyle w:val="indexentry"/>
        </w:rPr>
        <w:fldChar w:fldCharType="begin"/>
      </w:r>
      <w:r>
        <w:instrText>xe "</w:instrText>
      </w:r>
      <w:r>
        <w:rPr>
          <w:rStyle w:val="xeentry"/>
        </w:rPr>
        <w:instrText>sumti: for set objects</w:instrText>
      </w:r>
      <w:r>
        <w:instrText>"</w:instrText>
      </w:r>
      <w:r>
        <w:rPr>
          <w:rStyle w:val="indexentry"/>
        </w:rPr>
        <w:fldChar w:fldCharType="end"/>
      </w:r>
      <w:r>
        <w:t>All Lojban sumti are classified by whether they refer to one of three</w:t>
      </w:r>
      <w:r>
        <w:rPr>
          <w:rStyle w:val="deletedparamark"/>
        </w:rPr>
        <w:t xml:space="preserve"> </w:t>
      </w:r>
      <w:r>
        <w:t>types of objects, known as “individuals”, “masses”, and “sets”. The term</w:t>
      </w:r>
      <w:r>
        <w:rPr>
          <w:rStyle w:val="deletedparamark"/>
        </w:rPr>
        <w:t xml:space="preserve"> “</w:t>
      </w:r>
      <w:r>
        <w:t>individual” is mis</w:t>
      </w:r>
      <w:r>
        <w:softHyphen/>
        <w:t>leading when used to refer to more than one object,</w:t>
      </w:r>
      <w:r>
        <w:rPr>
          <w:rStyle w:val="deletedparamark"/>
        </w:rPr>
        <w:t xml:space="preserve"> </w:t>
      </w:r>
      <w:r>
        <w:t>but no less-confusing term has as yet been found. All the descriptions</w:t>
      </w:r>
      <w:r>
        <w:rPr>
          <w:rStyle w:val="deletedparamark"/>
        </w:rPr>
        <w:t xml:space="preserve"> </w:t>
      </w:r>
      <w:r>
        <w:t xml:space="preserve">in </w:t>
      </w:r>
      <w:r>
        <w:rPr>
          <w:rStyle w:val="htmlcodes"/>
        </w:rPr>
        <w:t>&lt;a href=#s1&gt;</w:t>
      </w:r>
      <w:r>
        <w:t xml:space="preserve">Sections 1 </w:t>
      </w:r>
      <w:r>
        <w:rPr>
          <w:rStyle w:val="htmlcodes"/>
        </w:rPr>
        <w:t>&lt;/a&gt;</w:t>
      </w:r>
      <w:r>
        <w:t xml:space="preserve">and </w:t>
      </w:r>
      <w:r>
        <w:rPr>
          <w:rStyle w:val="htmlcodes"/>
        </w:rPr>
        <w:t>&lt;a href=#s2&gt;</w:t>
      </w:r>
      <w:r>
        <w:t xml:space="preserve">2 </w:t>
      </w:r>
      <w:r>
        <w:rPr>
          <w:rStyle w:val="htmlcodes"/>
        </w:rPr>
        <w:t>&lt;/a&gt;</w:t>
      </w:r>
      <w:r>
        <w:t>refer to individuals, whether one or more than one.</w:t>
      </w:r>
      <w:r>
        <w:rPr>
          <w:rStyle w:val="deletedparamark"/>
        </w:rPr>
        <w:t xml:space="preserve"> </w:t>
      </w:r>
      <w:r>
        <w:t>Consider the following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le prenu cu bevri le pipno</w:t>
      </w:r>
    </w:p>
    <w:p w:rsidR="00B72047" w:rsidRDefault="00B72047">
      <w:pPr>
        <w:pStyle w:val="examplescaled"/>
      </w:pPr>
      <w:r>
        <w:tab/>
        <w:t>One-or-more-of-those-I-describe-as persons carry the piano.</w:t>
      </w:r>
    </w:p>
    <w:p w:rsidR="00B72047" w:rsidRDefault="00B72047">
      <w:pPr>
        <w:pStyle w:val="examplescaled"/>
      </w:pPr>
      <w:r>
        <w:tab/>
        <w:t>The person(s) carry the piano.</w:t>
      </w:r>
    </w:p>
    <w:p w:rsidR="00B72047" w:rsidRDefault="00B72047">
      <w:pPr>
        <w:pStyle w:val="resumedafterexample"/>
      </w:pPr>
      <w:r>
        <w:rPr>
          <w:rStyle w:val="htmlcodes"/>
        </w:rPr>
        <w:t>&lt;/pre&gt;</w:t>
      </w:r>
      <w:r>
        <w:t>(Of course the second “le” should really get the same translation as the</w:t>
      </w:r>
      <w:r>
        <w:rPr>
          <w:rStyle w:val="deletedparamark"/>
        </w:rPr>
        <w:t xml:space="preserve"> </w:t>
      </w:r>
      <w:r>
        <w:t>first, but I am putting the focus of this discussion on the first “le”, the</w:t>
      </w:r>
      <w:r>
        <w:rPr>
          <w:rStyle w:val="deletedparamark"/>
        </w:rPr>
        <w:t xml:space="preserve"> </w:t>
      </w:r>
      <w:r>
        <w:t>one preceding “prenu”. I will a</w:t>
      </w:r>
      <w:r>
        <w:t>s</w:t>
      </w:r>
      <w:r>
        <w:softHyphen/>
        <w:t>sume that there is only one piano under</w:t>
      </w:r>
      <w:r>
        <w:rPr>
          <w:rStyle w:val="deletedparamark"/>
        </w:rPr>
        <w:t xml:space="preserve"> </w:t>
      </w:r>
      <w:r>
        <w:t>discussion.)</w:t>
      </w:r>
    </w:p>
    <w:p w:rsidR="00B72047" w:rsidRDefault="00B72047">
      <w:pPr>
        <w:rPr>
          <w:rStyle w:val="htmlparacode"/>
        </w:rPr>
      </w:pPr>
      <w:r>
        <w:rPr>
          <w:rStyle w:val="htmlparacode"/>
        </w:rPr>
        <w:t>&lt;p&gt;</w:t>
      </w:r>
    </w:p>
    <w:p w:rsidR="00B72047" w:rsidRDefault="00B72047">
      <w:pPr>
        <w:pStyle w:val="normalparagraph"/>
      </w:pPr>
      <w:r>
        <w:rPr>
          <w:rStyle w:val="indexentry"/>
        </w:rPr>
        <w:t>&lt;cx "plurals with le, meaning of"&gt;</w:t>
      </w:r>
      <w:r>
        <w:rPr>
          <w:rStyle w:val="indexentry"/>
        </w:rPr>
        <w:fldChar w:fldCharType="begin"/>
      </w:r>
      <w:r>
        <w:instrText>xe "</w:instrText>
      </w:r>
      <w:r>
        <w:rPr>
          <w:rStyle w:val="xeentry"/>
        </w:rPr>
        <w:instrText>plural: meaning of le with</w:instrText>
      </w:r>
      <w:r>
        <w:instrText>"</w:instrText>
      </w:r>
      <w:r>
        <w:rPr>
          <w:rStyle w:val="indexentry"/>
        </w:rPr>
        <w:fldChar w:fldCharType="end"/>
      </w:r>
      <w:r>
        <w:rPr>
          <w:rStyle w:val="indexentry"/>
        </w:rPr>
        <w:t>&lt;cx "le, meaning of in the plural"&gt;</w:t>
      </w:r>
      <w:r>
        <w:rPr>
          <w:rStyle w:val="indexentry"/>
        </w:rPr>
        <w:fldChar w:fldCharType="begin"/>
      </w:r>
      <w:r>
        <w:instrText>xe "</w:instrText>
      </w:r>
      <w:r>
        <w:rPr>
          <w:rStyle w:val="xeentry"/>
        </w:rPr>
        <w:instrText>le: meaning of in the plural</w:instrText>
      </w:r>
      <w:r>
        <w:instrText>"</w:instrText>
      </w:r>
      <w:r>
        <w:rPr>
          <w:rStyle w:val="indexentry"/>
        </w:rPr>
        <w:fldChar w:fldCharType="end"/>
      </w:r>
      <w:r>
        <w:rPr>
          <w:rStyle w:val="indexentry"/>
        </w:rPr>
        <w:t>&lt;cx "multiple individual objects, meaning of"&gt;</w:t>
      </w:r>
      <w:r>
        <w:rPr>
          <w:rStyle w:val="indexentry"/>
        </w:rPr>
        <w:fldChar w:fldCharType="begin"/>
      </w:r>
      <w:r>
        <w:instrText>xe "</w:instrText>
      </w:r>
      <w:r>
        <w:rPr>
          <w:rStyle w:val="xeentry"/>
        </w:rPr>
        <w:instrText>multiple individual objects: meaning of</w:instrText>
      </w:r>
      <w:r>
        <w:instrText>"</w:instrText>
      </w:r>
      <w:r>
        <w:rPr>
          <w:rStyle w:val="indexentry"/>
        </w:rPr>
        <w:fldChar w:fldCharType="end"/>
      </w:r>
      <w:r>
        <w:rPr>
          <w:rStyle w:val="indexentry"/>
        </w:rPr>
        <w:t>&lt;cx "individual objects, multiple"&gt;</w:t>
      </w:r>
      <w:r>
        <w:rPr>
          <w:rStyle w:val="indexentry"/>
        </w:rPr>
        <w:fldChar w:fldCharType="begin"/>
      </w:r>
      <w:r>
        <w:instrText>xe "</w:instrText>
      </w:r>
      <w:r>
        <w:rPr>
          <w:rStyle w:val="xeentry"/>
        </w:rPr>
        <w:instrText>individual objects: multiple</w:instrText>
      </w:r>
      <w:r>
        <w:instrText>"</w:instrText>
      </w:r>
      <w:r>
        <w:rPr>
          <w:rStyle w:val="indexentry"/>
        </w:rPr>
        <w:fldChar w:fldCharType="end"/>
      </w:r>
      <w:r>
        <w:t xml:space="preserve">Suppose the context of </w:t>
      </w:r>
      <w:r>
        <w:rPr>
          <w:rStyle w:val="htmlcodes"/>
        </w:rPr>
        <w:t>&lt;a href=#e3d1&gt;</w:t>
      </w:r>
      <w:r>
        <w:t xml:space="preserve">Example 3.1 </w:t>
      </w:r>
      <w:r>
        <w:rPr>
          <w:rStyle w:val="htmlcodes"/>
        </w:rPr>
        <w:t>&lt;/a&gt;</w:t>
      </w:r>
      <w:r>
        <w:t>is such that you can determine that</w:t>
      </w:r>
      <w:r>
        <w:rPr>
          <w:rStyle w:val="deletedparamark"/>
        </w:rPr>
        <w:t xml:space="preserve"> </w:t>
      </w:r>
      <w:r>
        <w:t>I am talking about three persons. What am I claiming? I am claiming that</w:t>
      </w:r>
      <w:r>
        <w:rPr>
          <w:rStyle w:val="deletedparamark"/>
        </w:rPr>
        <w:t xml:space="preserve"> </w:t>
      </w:r>
      <w:r>
        <w:t>each of the three persons carried the piano. This claim can be true if the</w:t>
      </w:r>
      <w:r>
        <w:rPr>
          <w:rStyle w:val="deletedparamark"/>
        </w:rPr>
        <w:t xml:space="preserve"> </w:t>
      </w:r>
      <w:r>
        <w:t>persons carried the piano one at a time, or by turns, or in a variety of</w:t>
      </w:r>
      <w:r>
        <w:rPr>
          <w:rStyle w:val="deletedparamark"/>
        </w:rPr>
        <w:t xml:space="preserve"> </w:t>
      </w:r>
      <w:r>
        <w:t xml:space="preserve">other ways. But in order for </w:t>
      </w:r>
      <w:r>
        <w:rPr>
          <w:rStyle w:val="htmlcodes"/>
        </w:rPr>
        <w:t>&lt;a href=#e3d1&gt;</w:t>
      </w:r>
      <w:r>
        <w:t xml:space="preserve">Example 3.1 </w:t>
      </w:r>
      <w:r>
        <w:rPr>
          <w:rStyle w:val="htmlcodes"/>
        </w:rPr>
        <w:t>&lt;/a&gt;</w:t>
      </w:r>
      <w:r>
        <w:t>to be true, I must be willing</w:t>
      </w:r>
      <w:r>
        <w:rPr>
          <w:rStyle w:val="deletedparamark"/>
        </w:rPr>
        <w:t xml:space="preserve"> </w:t>
      </w:r>
      <w:r>
        <w:t>to assert that person 1 carried the piano, and that person 2 carried the</w:t>
      </w:r>
      <w:r>
        <w:rPr>
          <w:rStyle w:val="deletedparamark"/>
        </w:rPr>
        <w:t xml:space="preserve"> </w:t>
      </w:r>
      <w:r>
        <w:t>piano, and that person 3 carried the piano.</w:t>
      </w:r>
    </w:p>
    <w:p w:rsidR="00B72047" w:rsidRDefault="00B72047">
      <w:pPr>
        <w:pStyle w:val="normalparagraph"/>
        <w:rPr>
          <w:rStyle w:val="htmlparacode"/>
        </w:rPr>
      </w:pPr>
      <w:r>
        <w:rPr>
          <w:rStyle w:val="htmlparacode"/>
        </w:rPr>
        <w:t>&lt;p&gt;</w:t>
      </w:r>
    </w:p>
    <w:p w:rsidR="00B72047" w:rsidRDefault="00B72047">
      <w:pPr>
        <w:pStyle w:val="normalparagraph"/>
      </w:pPr>
      <w:r>
        <w:t>But suppose I am not willing to claim that. For in fact pianos are heavy,</w:t>
      </w:r>
      <w:r>
        <w:rPr>
          <w:rStyle w:val="deletedparamark"/>
        </w:rPr>
        <w:t xml:space="preserve"> </w:t>
      </w:r>
      <w:r>
        <w:t>and very few persons can carry a piano all by themselves. The most likely</w:t>
      </w:r>
      <w:r>
        <w:rPr>
          <w:rStyle w:val="deletedparamark"/>
        </w:rPr>
        <w:t xml:space="preserve"> </w:t>
      </w:r>
      <w:r>
        <w:t>factual situation is that pe</w:t>
      </w:r>
      <w:r>
        <w:t>r</w:t>
      </w:r>
      <w:r>
        <w:softHyphen/>
        <w:t>son 1 carried one end of the piano, and</w:t>
      </w:r>
      <w:r>
        <w:rPr>
          <w:rStyle w:val="deletedparamark"/>
        </w:rPr>
        <w:t xml:space="preserve"> </w:t>
      </w:r>
      <w:r>
        <w:t>person 2 the other end, while person 3 either held up the middle or else</w:t>
      </w:r>
      <w:r>
        <w:rPr>
          <w:rStyle w:val="deletedparamark"/>
        </w:rPr>
        <w:t xml:space="preserve"> </w:t>
      </w:r>
      <w:r>
        <w:t>supervised the whole operation without actually lifting anything.</w:t>
      </w:r>
      <w:r>
        <w:rPr>
          <w:rStyle w:val="deletedparamark"/>
        </w:rPr>
        <w:t xml:space="preserve"> </w:t>
      </w:r>
      <w:r>
        <w:t>The correct way of expressing such a situation in Loj</w:t>
      </w:r>
      <w:r>
        <w:softHyphen/>
        <w:t>ban is:</w:t>
      </w:r>
    </w:p>
    <w:p w:rsidR="00B72047" w:rsidRDefault="00B72047">
      <w:pPr>
        <w:rPr>
          <w:rStyle w:val="htmlparacode"/>
        </w:rPr>
      </w:pPr>
      <w:r>
        <w:rPr>
          <w:rStyle w:val="htmlparacode"/>
        </w:rPr>
        <w:t>&lt;p&gt;</w:t>
      </w:r>
    </w:p>
    <w:p w:rsidR="00B72047" w:rsidRDefault="00B72047">
      <w:pPr>
        <w:pStyle w:val="examplescaledpre"/>
      </w:pPr>
      <w:r>
        <w:rPr>
          <w:rStyle w:val="indexentry"/>
        </w:rPr>
        <w:t>&lt;lx "lei"&gt;</w:t>
      </w:r>
      <w:r>
        <w:rPr>
          <w:rStyle w:val="indexentry"/>
        </w:rPr>
        <w:fldChar w:fldCharType="begin"/>
      </w:r>
      <w:r>
        <w:instrText>xe "</w:instrText>
      </w:r>
      <w:r>
        <w:rPr>
          <w:rStyle w:val="xeentry"/>
        </w:rPr>
        <w:instrText>lei</w:instrText>
      </w:r>
      <w:r>
        <w:instrText>"</w:instrText>
      </w:r>
      <w:r>
        <w:rPr>
          <w:rStyle w:val="indexentry"/>
        </w:rPr>
        <w:fldChar w:fldCharType="end"/>
      </w:r>
      <w:r>
        <w:rPr>
          <w:rStyle w:val="htmlcodes"/>
        </w:rPr>
        <w:t>&lt;pre&gt;&lt;a name=e3d2&gt;</w:t>
      </w:r>
      <w:r>
        <w:t>3.2)</w:t>
      </w:r>
      <w:r>
        <w:tab/>
        <w:t>lei prenu cu bevri le pipno</w:t>
      </w:r>
    </w:p>
    <w:p w:rsidR="00B72047" w:rsidRDefault="00B72047">
      <w:pPr>
        <w:pStyle w:val="examplescaled"/>
      </w:pPr>
      <w:r>
        <w:tab/>
        <w:t>The-mass-of-one-or-more-of-those-I-describe-as persons carry the piano.</w:t>
      </w:r>
    </w:p>
    <w:p w:rsidR="00B72047" w:rsidRDefault="00B72047">
      <w:pPr>
        <w:pStyle w:val="resumedafterexample"/>
      </w:pPr>
      <w:r>
        <w:rPr>
          <w:rStyle w:val="htmlcodes"/>
        </w:rPr>
        <w:t>&lt;/pre&gt;</w:t>
      </w:r>
      <w:r>
        <w:rPr>
          <w:rStyle w:val="indexentry"/>
        </w:rPr>
        <w:t>&lt;ex "piano-moving"&gt;</w:t>
      </w:r>
      <w:r>
        <w:rPr>
          <w:rStyle w:val="indexentry"/>
        </w:rPr>
        <w:fldChar w:fldCharType="begin"/>
      </w:r>
      <w:r>
        <w:instrText>xe "</w:instrText>
      </w:r>
      <w:r>
        <w:rPr>
          <w:rStyle w:val="xeentry"/>
        </w:rPr>
        <w:instrText>piano-moving: example</w:instrText>
      </w:r>
      <w:r>
        <w:instrText>"</w:instrText>
      </w:r>
      <w:r>
        <w:rPr>
          <w:rStyle w:val="indexentry"/>
        </w:rPr>
        <w:fldChar w:fldCharType="end"/>
      </w:r>
      <w:r>
        <w:rPr>
          <w:rStyle w:val="indexentry"/>
        </w:rPr>
        <w:t>&lt;cx "mass object, contrasted with multiple individual objects"&gt;</w:t>
      </w:r>
      <w:r>
        <w:rPr>
          <w:rStyle w:val="indexentry"/>
        </w:rPr>
        <w:fldChar w:fldCharType="begin"/>
      </w:r>
      <w:r>
        <w:instrText>xe "</w:instrText>
      </w:r>
      <w:r>
        <w:rPr>
          <w:rStyle w:val="xeentry"/>
        </w:rPr>
        <w:instrText>mass object: contrasted with multiple individual objects</w:instrText>
      </w:r>
      <w:r>
        <w:instrText>"</w:instrText>
      </w:r>
      <w:r>
        <w:rPr>
          <w:rStyle w:val="indexentry"/>
        </w:rPr>
        <w:fldChar w:fldCharType="end"/>
      </w:r>
      <w:r>
        <w:rPr>
          <w:rStyle w:val="indexentry"/>
        </w:rPr>
        <w:t>&lt;cx "multiple individual objects, contrasted with mass object"&gt;</w:t>
      </w:r>
      <w:r>
        <w:rPr>
          <w:rStyle w:val="indexentry"/>
        </w:rPr>
        <w:fldChar w:fldCharType="begin"/>
      </w:r>
      <w:r>
        <w:instrText>xe "</w:instrText>
      </w:r>
      <w:r>
        <w:rPr>
          <w:rStyle w:val="xeentry"/>
        </w:rPr>
        <w:instrText>multiple individual objects: contrasted with mass object</w:instrText>
      </w:r>
      <w:r>
        <w:instrText>"</w:instrText>
      </w:r>
      <w:r>
        <w:rPr>
          <w:rStyle w:val="indexentry"/>
        </w:rPr>
        <w:fldChar w:fldCharType="end"/>
      </w:r>
      <w:r>
        <w:rPr>
          <w:rStyle w:val="indexentry"/>
        </w:rPr>
        <w:t>&lt;cx "mass object, properties of"&gt;</w:t>
      </w:r>
      <w:r>
        <w:rPr>
          <w:rStyle w:val="indexentry"/>
        </w:rPr>
        <w:fldChar w:fldCharType="begin"/>
      </w:r>
      <w:r>
        <w:instrText>xe "</w:instrText>
      </w:r>
      <w:r>
        <w:rPr>
          <w:rStyle w:val="xeentry"/>
        </w:rPr>
        <w:instrText>mass object: properties of</w:instrText>
      </w:r>
      <w:r>
        <w:instrText>"</w:instrText>
      </w:r>
      <w:r>
        <w:rPr>
          <w:rStyle w:val="indexentry"/>
        </w:rPr>
        <w:fldChar w:fldCharType="end"/>
      </w:r>
      <w:r>
        <w:rPr>
          <w:rStyle w:val="indexentry"/>
        </w:rPr>
        <w:t>&lt;cx "mass object, and logical reasoning"&gt;</w:t>
      </w:r>
      <w:r>
        <w:rPr>
          <w:rStyle w:val="indexentry"/>
        </w:rPr>
        <w:fldChar w:fldCharType="begin"/>
      </w:r>
      <w:r>
        <w:instrText>xe "</w:instrText>
      </w:r>
      <w:r>
        <w:rPr>
          <w:rStyle w:val="xeentry"/>
        </w:rPr>
        <w:instrText>mass object: and logical reasoning</w:instrText>
      </w:r>
      <w:r>
        <w:instrText>"</w:instrText>
      </w:r>
      <w:r>
        <w:rPr>
          <w:rStyle w:val="indexentry"/>
        </w:rPr>
        <w:fldChar w:fldCharType="end"/>
      </w:r>
      <w:r>
        <w:t>Here the same three persons are treated not as individuals, but as a so-called</w:t>
      </w:r>
      <w:r>
        <w:rPr>
          <w:rStyle w:val="deletedparamark"/>
        </w:rPr>
        <w:t xml:space="preserve"> “</w:t>
      </w:r>
      <w:r>
        <w:t>mass en</w:t>
      </w:r>
      <w:r>
        <w:softHyphen/>
        <w:t>tity”, or just “mass”. A mass has the properties of each</w:t>
      </w:r>
      <w:r>
        <w:rPr>
          <w:rStyle w:val="deletedparamark"/>
        </w:rPr>
        <w:t xml:space="preserve"> </w:t>
      </w:r>
      <w:r>
        <w:t>individual which composes it, and may have other properties of its own</w:t>
      </w:r>
      <w:r>
        <w:rPr>
          <w:rStyle w:val="deletedparamark"/>
        </w:rPr>
        <w:t xml:space="preserve"> </w:t>
      </w:r>
      <w:r>
        <w:t>as well. This can lead to apparent contradic</w:t>
      </w:r>
      <w:r>
        <w:softHyphen/>
        <w:t>tions. Thus sup</w:t>
      </w:r>
      <w:r>
        <w:softHyphen/>
        <w:t>pose in the</w:t>
      </w:r>
      <w:r>
        <w:rPr>
          <w:rStyle w:val="deletedparamark"/>
        </w:rPr>
        <w:t xml:space="preserve"> </w:t>
      </w:r>
      <w:r>
        <w:t>piano-moving example above that person 1 has fair skin, whereas person 2 has</w:t>
      </w:r>
      <w:r>
        <w:rPr>
          <w:rStyle w:val="deletedparamark"/>
        </w:rPr>
        <w:t xml:space="preserve"> </w:t>
      </w:r>
      <w:r>
        <w:t>dark skin. Then it is correct to say that the person-mass has both fair</w:t>
      </w:r>
      <w:r>
        <w:rPr>
          <w:rStyle w:val="deletedparamark"/>
        </w:rPr>
        <w:t xml:space="preserve"> </w:t>
      </w:r>
      <w:r>
        <w:t>skin and dark skin. Using the mass de</w:t>
      </w:r>
      <w:r>
        <w:softHyphen/>
        <w:t>scriptor “lei” signals that ordinary</w:t>
      </w:r>
      <w:r>
        <w:rPr>
          <w:rStyle w:val="deletedparamark"/>
        </w:rPr>
        <w:t xml:space="preserve"> </w:t>
      </w:r>
      <w:r>
        <w:t>logical rea</w:t>
      </w:r>
      <w:r>
        <w:softHyphen/>
        <w:t>soning is not applicable: contradictions can be maintained, and</w:t>
      </w:r>
      <w:r>
        <w:rPr>
          <w:rStyle w:val="deletedparamark"/>
        </w:rPr>
        <w:t xml:space="preserve"> </w:t>
      </w:r>
      <w:r>
        <w:t>all sorts of other peculi</w:t>
      </w:r>
      <w:r>
        <w:softHyphen/>
        <w:t>arities may exist. However, we can safely say that</w:t>
      </w:r>
      <w:r>
        <w:rPr>
          <w:rStyle w:val="deletedparamark"/>
        </w:rPr>
        <w:t xml:space="preserve"> </w:t>
      </w:r>
      <w:r>
        <w:t>a mass inherits only the component properties that are relevant to it; it would</w:t>
      </w:r>
      <w:r>
        <w:rPr>
          <w:rStyle w:val="deletedparamark"/>
        </w:rPr>
        <w:t xml:space="preserve"> </w:t>
      </w:r>
      <w:r>
        <w:t>be ludicrous to say that a mass of two persons is of molecular dimensions,</w:t>
      </w:r>
      <w:r>
        <w:rPr>
          <w:rStyle w:val="deletedparamark"/>
        </w:rPr>
        <w:t xml:space="preserve"> </w:t>
      </w:r>
      <w:r>
        <w:t>simply because some of the parts (namely, the molecules) of the persons</w:t>
      </w:r>
      <w:r>
        <w:rPr>
          <w:rStyle w:val="deletedparamark"/>
        </w:rPr>
        <w:t xml:space="preserve"> </w:t>
      </w:r>
      <w:r>
        <w:t>are that small.</w:t>
      </w:r>
    </w:p>
    <w:p w:rsidR="00B72047" w:rsidRDefault="00B72047">
      <w:pPr>
        <w:rPr>
          <w:rStyle w:val="htmlparacode"/>
        </w:rPr>
      </w:pPr>
      <w:r>
        <w:rPr>
          <w:rStyle w:val="htmlparacode"/>
        </w:rPr>
        <w:t>&lt;p&gt;</w:t>
      </w:r>
    </w:p>
    <w:p w:rsidR="00B72047" w:rsidRDefault="00B72047">
      <w:pPr>
        <w:pStyle w:val="normalparagraph"/>
      </w:pPr>
      <w:r>
        <w:rPr>
          <w:rStyle w:val="indexentry"/>
        </w:rPr>
        <w:t>&lt;lx "loi"&gt;</w:t>
      </w:r>
      <w:r>
        <w:rPr>
          <w:rStyle w:val="indexentry"/>
        </w:rPr>
        <w:fldChar w:fldCharType="begin"/>
      </w:r>
      <w:r>
        <w:instrText>xe "</w:instrText>
      </w:r>
      <w:r>
        <w:rPr>
          <w:rStyle w:val="xeentry"/>
        </w:rPr>
        <w:instrText>loi</w:instrText>
      </w:r>
      <w:r>
        <w:instrText>"</w:instrText>
      </w:r>
      <w:r>
        <w:rPr>
          <w:rStyle w:val="indexentry"/>
        </w:rPr>
        <w:fldChar w:fldCharType="end"/>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indexentry"/>
        </w:rPr>
        <w:t>&lt;cx "loi, as mass counterpart of lo"&gt;</w:t>
      </w:r>
      <w:r>
        <w:rPr>
          <w:rStyle w:val="indexentry"/>
        </w:rPr>
        <w:fldChar w:fldCharType="begin"/>
      </w:r>
      <w:r>
        <w:instrText>xe "</w:instrText>
      </w:r>
      <w:r>
        <w:rPr>
          <w:rStyle w:val="xeentry"/>
        </w:rPr>
        <w:instrText>loi: as mass counterpart of lo</w:instrText>
      </w:r>
      <w:r>
        <w:instrText>"</w:instrText>
      </w:r>
      <w:r>
        <w:rPr>
          <w:rStyle w:val="indexentry"/>
        </w:rPr>
        <w:fldChar w:fldCharType="end"/>
      </w:r>
      <w:r>
        <w:rPr>
          <w:rStyle w:val="indexentry"/>
        </w:rPr>
        <w:t>&lt;cx "lai, as mass counterpart of lai"&gt;</w:t>
      </w:r>
      <w:r>
        <w:rPr>
          <w:rStyle w:val="indexentry"/>
        </w:rPr>
        <w:fldChar w:fldCharType="begin"/>
      </w:r>
      <w:r>
        <w:instrText>xe "</w:instrText>
      </w:r>
      <w:r>
        <w:rPr>
          <w:rStyle w:val="xeentry"/>
        </w:rPr>
        <w:instrText>lai: as mass counterpart of lai</w:instrText>
      </w:r>
      <w:r>
        <w:instrText>"</w:instrText>
      </w:r>
      <w:r>
        <w:rPr>
          <w:rStyle w:val="indexentry"/>
        </w:rPr>
        <w:fldChar w:fldCharType="end"/>
      </w:r>
      <w:r>
        <w:t>The descriptors “loi” and “lai” are analogous to “lo” and “la” respectively,</w:t>
      </w:r>
      <w:r>
        <w:rPr>
          <w:rStyle w:val="deletedparamark"/>
        </w:rPr>
        <w:t xml:space="preserve"> </w:t>
      </w:r>
      <w:r>
        <w:t>but refer to masses either by property (“loi”) or by name (“lai”). A</w:t>
      </w:r>
      <w:r>
        <w:rPr>
          <w:rStyle w:val="deletedparamark"/>
        </w:rPr>
        <w:t xml:space="preserve"> </w:t>
      </w:r>
      <w:r>
        <w:t>classic example of “loi” use is: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"lions in Africa"&gt;</w:t>
      </w:r>
      <w:r>
        <w:rPr>
          <w:rStyle w:val="indexentry"/>
        </w:rPr>
        <w:fldChar w:fldCharType="begin"/>
      </w:r>
      <w:r>
        <w:instrText>xe "</w:instrText>
      </w:r>
      <w:r>
        <w:rPr>
          <w:rStyle w:val="xeentry"/>
        </w:rPr>
        <w:instrText>lions in Africa: example</w:instrText>
      </w:r>
      <w:r>
        <w:instrText>"</w:instrText>
      </w:r>
      <w:r>
        <w:rPr>
          <w:rStyle w:val="indexentry"/>
        </w:rPr>
        <w:fldChar w:fldCharType="end"/>
      </w:r>
      <w:r>
        <w:rPr>
          <w:rStyle w:val="htmlcodes"/>
        </w:rPr>
        <w:t>&lt;pre&gt;&lt;a name=e3d3&gt;</w:t>
      </w:r>
      <w:r>
        <w:t>3.3)</w:t>
      </w:r>
      <w:r>
        <w:tab/>
        <w:t>loi cinfo cu xabju le fi'ortu'a</w:t>
      </w:r>
    </w:p>
    <w:p w:rsidR="00B72047" w:rsidRDefault="00B72047">
      <w:pPr>
        <w:pStyle w:val="examplescaled"/>
      </w:pPr>
      <w:r>
        <w:tab/>
        <w:t>Part-of-the-mass-of-those-which-really are-lions dwell in-the African-land.</w:t>
      </w:r>
    </w:p>
    <w:p w:rsidR="00B72047" w:rsidRDefault="00B72047">
      <w:pPr>
        <w:pStyle w:val="examplescaled"/>
      </w:pPr>
      <w:r>
        <w:tab/>
        <w:t>The lion dwells in Africa.</w:t>
      </w:r>
    </w:p>
    <w:p w:rsidR="00B72047" w:rsidRDefault="00B72047">
      <w:pPr>
        <w:pStyle w:val="examplescaled"/>
      </w:pPr>
      <w:r>
        <w:tab/>
        <w:t>Lions dwell in Africa.</w:t>
      </w:r>
    </w:p>
    <w:p w:rsidR="00B72047" w:rsidRDefault="00B72047">
      <w:pPr>
        <w:pStyle w:val="normalafterexample"/>
      </w:pPr>
      <w:r>
        <w:rPr>
          <w:rStyle w:val="htmlcodes"/>
        </w:rPr>
        <w:t>&lt;/pre&gt;</w:t>
      </w:r>
      <w:r>
        <w:rPr>
          <w:rStyle w:val="indexentry"/>
        </w:rPr>
        <w:t>&lt;cx "lei, contrasted with loi in specificity"&gt;</w:t>
      </w:r>
      <w:r>
        <w:rPr>
          <w:rStyle w:val="indexentry"/>
        </w:rPr>
        <w:fldChar w:fldCharType="begin"/>
      </w:r>
      <w:r>
        <w:instrText>xe "</w:instrText>
      </w:r>
      <w:r>
        <w:rPr>
          <w:rStyle w:val="xeentry"/>
        </w:rPr>
        <w:instrText>lei: contrasted with loi in specificity</w:instrText>
      </w:r>
      <w:r>
        <w:instrText>"</w:instrText>
      </w:r>
      <w:r>
        <w:rPr>
          <w:rStyle w:val="indexentry"/>
        </w:rPr>
        <w:fldChar w:fldCharType="end"/>
      </w:r>
      <w:r>
        <w:rPr>
          <w:rStyle w:val="indexentry"/>
        </w:rPr>
        <w:t>&lt;cx "loi, contrasted with lei in specificity"&gt;</w:t>
      </w:r>
      <w:r>
        <w:rPr>
          <w:rStyle w:val="indexentry"/>
        </w:rPr>
        <w:fldChar w:fldCharType="begin"/>
      </w:r>
      <w:r>
        <w:instrText>xe "</w:instrText>
      </w:r>
      <w:r>
        <w:rPr>
          <w:rStyle w:val="xeentry"/>
        </w:rPr>
        <w:instrText>loi: contrasted with lei in specificity</w:instrText>
      </w:r>
      <w:r>
        <w:instrText>"</w:instrText>
      </w:r>
      <w:r>
        <w:rPr>
          <w:rStyle w:val="indexentry"/>
        </w:rPr>
        <w:fldChar w:fldCharType="end"/>
      </w:r>
      <w:r>
        <w:t>The difference between “lei” and “loi” is that “lei cinfo” refers to a</w:t>
      </w:r>
      <w:r>
        <w:rPr>
          <w:rStyle w:val="deletedparamark"/>
        </w:rPr>
        <w:t xml:space="preserve"> </w:t>
      </w:r>
      <w:r>
        <w:t>mass of specific individuals which the speaker calls lions, whereas</w:t>
      </w:r>
      <w:r>
        <w:rPr>
          <w:rStyle w:val="deletedparamark"/>
        </w:rPr>
        <w:t xml:space="preserve"> “</w:t>
      </w:r>
      <w:r>
        <w:t>loi cinfo” refers to some part of the mass of all those indi</w:t>
      </w:r>
      <w:r>
        <w:softHyphen/>
        <w:t>viduals</w:t>
      </w:r>
      <w:r>
        <w:rPr>
          <w:rStyle w:val="deletedparamark"/>
        </w:rPr>
        <w:t xml:space="preserve"> </w:t>
      </w:r>
      <w:r>
        <w:t>which actually are lions. The restriction to “some part of the mass”</w:t>
      </w:r>
      <w:r>
        <w:rPr>
          <w:rStyle w:val="deletedparamark"/>
        </w:rPr>
        <w:t xml:space="preserve"> </w:t>
      </w:r>
      <w:r>
        <w:t xml:space="preserve">allows statements like </w:t>
      </w:r>
      <w:r>
        <w:rPr>
          <w:rStyle w:val="htmlcodes"/>
        </w:rPr>
        <w:t>&lt;a href=#e3d3&gt;</w:t>
      </w:r>
      <w:r>
        <w:t xml:space="preserve">Example 3.3 </w:t>
      </w:r>
      <w:r>
        <w:rPr>
          <w:rStyle w:val="htmlcodes"/>
        </w:rPr>
        <w:t>&lt;/a&gt;</w:t>
      </w:r>
      <w:r>
        <w:t>to be true even though some lions</w:t>
      </w:r>
      <w:r>
        <w:rPr>
          <w:rStyle w:val="deletedparamark"/>
        </w:rPr>
        <w:t xml:space="preserve"> </w:t>
      </w:r>
      <w:r>
        <w:t>do not dwell in Africa — they live in various zoos around the world.</w:t>
      </w:r>
      <w:r>
        <w:rPr>
          <w:rStyle w:val="deletedparamark"/>
        </w:rPr>
        <w:t xml:space="preserve"> </w:t>
      </w:r>
      <w:r>
        <w:t xml:space="preserve">On the other hand, </w:t>
      </w:r>
      <w:r>
        <w:rPr>
          <w:rStyle w:val="htmlcodes"/>
        </w:rPr>
        <w:t>&lt;a href=#e3d3&gt;</w:t>
      </w:r>
      <w:r>
        <w:t xml:space="preserve">Example 3.3 </w:t>
      </w:r>
      <w:r>
        <w:rPr>
          <w:rStyle w:val="htmlcodes"/>
        </w:rPr>
        <w:t>&lt;/a&gt;</w:t>
      </w:r>
      <w:r>
        <w:t>doesn't actually say that most lions live in</w:t>
      </w:r>
      <w:r>
        <w:rPr>
          <w:rStyle w:val="deletedparamark"/>
        </w:rPr>
        <w:t xml:space="preserve"> </w:t>
      </w:r>
      <w:r>
        <w:t>Africa: equally true is</w:t>
      </w:r>
    </w:p>
    <w:p w:rsidR="00B72047" w:rsidRDefault="00B72047">
      <w:pPr>
        <w:rPr>
          <w:rStyle w:val="htmlparacode"/>
        </w:rPr>
      </w:pPr>
      <w:r>
        <w:rPr>
          <w:rStyle w:val="htmlparacode"/>
        </w:rPr>
        <w:t>&lt;p&gt;</w:t>
      </w:r>
    </w:p>
    <w:p w:rsidR="00B72047" w:rsidRDefault="00B72047">
      <w:pPr>
        <w:pStyle w:val="examplescaledpre"/>
      </w:pPr>
      <w:r>
        <w:rPr>
          <w:rStyle w:val="indexentry"/>
        </w:rPr>
        <w:t>&lt;ex "Englishman in Africa"&gt;</w:t>
      </w:r>
      <w:r>
        <w:rPr>
          <w:rStyle w:val="indexentry"/>
        </w:rPr>
        <w:fldChar w:fldCharType="begin"/>
      </w:r>
      <w:r>
        <w:instrText>xe "</w:instrText>
      </w:r>
      <w:r>
        <w:rPr>
          <w:rStyle w:val="xeentry"/>
        </w:rPr>
        <w:instrText>Englishman in Africa: example</w:instrText>
      </w:r>
      <w:r>
        <w:instrText>"</w:instrText>
      </w:r>
      <w:r>
        <w:rPr>
          <w:rStyle w:val="indexentry"/>
        </w:rPr>
        <w:fldChar w:fldCharType="end"/>
      </w:r>
      <w:r>
        <w:rPr>
          <w:rStyle w:val="htmlcodes"/>
        </w:rPr>
        <w:t>&lt;pre&gt;&lt;a name=e3d4&gt;</w:t>
      </w:r>
      <w:r>
        <w:t>3.4)</w:t>
      </w:r>
      <w:r>
        <w:tab/>
        <w:t xml:space="preserve">loi glipre </w:t>
      </w:r>
    </w:p>
    <w:p w:rsidR="00B72047" w:rsidRDefault="00B72047">
      <w:pPr>
        <w:pStyle w:val="examplescaled"/>
        <w:ind w:firstLine="576"/>
      </w:pPr>
      <w:r>
        <w:t>cu xabju le fi'ortu'a</w:t>
      </w:r>
    </w:p>
    <w:p w:rsidR="00B72047" w:rsidRDefault="00B72047">
      <w:pPr>
        <w:pStyle w:val="examplescaled"/>
      </w:pPr>
      <w:r>
        <w:tab/>
        <w:t xml:space="preserve">Part-of-the-mass-of-those-which-really are-English-persons </w:t>
      </w:r>
    </w:p>
    <w:p w:rsidR="00B72047" w:rsidRDefault="00B72047">
      <w:pPr>
        <w:pStyle w:val="examplescaled"/>
      </w:pPr>
      <w:r>
        <w:tab/>
      </w:r>
      <w:r>
        <w:tab/>
        <w:t>dwell in-the African-land.</w:t>
      </w:r>
    </w:p>
    <w:p w:rsidR="00B72047" w:rsidRDefault="00B72047">
      <w:pPr>
        <w:pStyle w:val="examplescaled"/>
      </w:pPr>
      <w:r>
        <w:tab/>
        <w:t>The English dwell in Africa.</w:t>
      </w:r>
    </w:p>
    <w:p w:rsidR="00B72047" w:rsidRDefault="00B72047">
      <w:pPr>
        <w:pStyle w:val="resumedafterexample"/>
      </w:pPr>
      <w:r>
        <w:rPr>
          <w:rStyle w:val="htmlcodes"/>
        </w:rPr>
        <w:t>&lt;/pre&gt;</w:t>
      </w:r>
      <w:r>
        <w:t xml:space="preserve">since there is at least one English person living there. </w:t>
      </w:r>
      <w:r>
        <w:rPr>
          <w:rStyle w:val="htmlcodes"/>
        </w:rPr>
        <w:t>&lt;a href=#s4&gt;</w:t>
      </w:r>
      <w:r>
        <w:t xml:space="preserve">Section 4 </w:t>
      </w:r>
      <w:r>
        <w:rPr>
          <w:rStyle w:val="htmlcodes"/>
        </w:rPr>
        <w:t>&lt;/a&gt;</w:t>
      </w:r>
      <w:r>
        <w:t>explains</w:t>
      </w:r>
      <w:r>
        <w:rPr>
          <w:rStyle w:val="deletedparamark"/>
        </w:rPr>
        <w:t xml:space="preserve"> </w:t>
      </w:r>
      <w:r>
        <w:t>another method of saying what is usually meant by “The lion lives in</w:t>
      </w:r>
      <w:r>
        <w:rPr>
          <w:rStyle w:val="deletedparamark"/>
        </w:rPr>
        <w:t xml:space="preserve"> </w:t>
      </w:r>
      <w:r>
        <w:t>Africa” which does imply that living in Africa is normal, not excep</w:t>
      </w:r>
      <w:r>
        <w:softHyphen/>
        <w:t>tional,</w:t>
      </w:r>
      <w:r>
        <w:rPr>
          <w:rStyle w:val="deletedparamark"/>
        </w:rPr>
        <w:t xml:space="preserve"> </w:t>
      </w:r>
      <w:r>
        <w:t>for lions.</w:t>
      </w:r>
    </w:p>
    <w:p w:rsidR="00B72047" w:rsidRDefault="00B72047">
      <w:pPr>
        <w:rPr>
          <w:rStyle w:val="htmlparacode"/>
        </w:rPr>
      </w:pPr>
      <w:r>
        <w:rPr>
          <w:rStyle w:val="htmlparacode"/>
        </w:rPr>
        <w:t>&lt;p&gt;</w:t>
      </w:r>
    </w:p>
    <w:p w:rsidR="00B72047" w:rsidRDefault="00B72047">
      <w:pPr>
        <w:pStyle w:val="normalparagraph"/>
      </w:pPr>
      <w:r>
        <w:rPr>
          <w:rStyle w:val="indexentry"/>
        </w:rPr>
        <w:t>&lt;cx "mass objects, peculiarities of English translation of"&gt;</w:t>
      </w:r>
      <w:r>
        <w:rPr>
          <w:rStyle w:val="indexentry"/>
        </w:rPr>
        <w:fldChar w:fldCharType="begin"/>
      </w:r>
      <w:r>
        <w:instrText>xe "</w:instrText>
      </w:r>
      <w:r>
        <w:rPr>
          <w:rStyle w:val="xeentry"/>
        </w:rPr>
        <w:instrText>mass objects: peculiarities of English translation of</w:instrText>
      </w:r>
      <w:r>
        <w:instrText>"</w:instrText>
      </w:r>
      <w:r>
        <w:rPr>
          <w:rStyle w:val="indexentry"/>
        </w:rPr>
        <w:fldChar w:fldCharType="end"/>
      </w:r>
      <w:r>
        <w:t>Note that the Lojban mass articles are sometimes translated by English</w:t>
      </w:r>
      <w:r>
        <w:rPr>
          <w:rStyle w:val="deletedparamark"/>
        </w:rPr>
        <w:t xml:space="preserve"> </w:t>
      </w:r>
      <w:r>
        <w:t>plurals (the most usual case), sometimes by English sin</w:t>
      </w:r>
      <w:r>
        <w:softHyphen/>
        <w:t>gulars (when</w:t>
      </w:r>
      <w:r>
        <w:rPr>
          <w:rStyle w:val="deletedparamark"/>
        </w:rPr>
        <w:t xml:space="preserve"> </w:t>
      </w:r>
      <w:r>
        <w:t>the singular is used to ex</w:t>
      </w:r>
      <w:r>
        <w:softHyphen/>
        <w:t>press typicalness or abstrac</w:t>
      </w:r>
      <w:r>
        <w:softHyphen/>
        <w:t>tion), and sometimes</w:t>
      </w:r>
      <w:r>
        <w:rPr>
          <w:rStyle w:val="deletedparamark"/>
        </w:rPr>
        <w:t xml:space="preserve"> </w:t>
      </w:r>
      <w:r>
        <w:t>by singulars with no article:</w:t>
      </w:r>
    </w:p>
    <w:p w:rsidR="00B72047" w:rsidRDefault="00B72047">
      <w:pPr>
        <w:rPr>
          <w:rStyle w:val="htmlparacode"/>
        </w:rPr>
      </w:pPr>
      <w:r>
        <w:rPr>
          <w:rStyle w:val="htmlparacode"/>
        </w:rPr>
        <w:t>&lt;p&gt;</w:t>
      </w:r>
    </w:p>
    <w:p w:rsidR="00B72047" w:rsidRDefault="00B72047">
      <w:pPr>
        <w:pStyle w:val="examplescaledpre"/>
      </w:pPr>
      <w:r>
        <w:rPr>
          <w:rStyle w:val="indexentry"/>
        </w:rPr>
        <w:t>&lt;ex "butter is soft"&gt;</w:t>
      </w:r>
      <w:r>
        <w:rPr>
          <w:rStyle w:val="indexentry"/>
        </w:rPr>
        <w:fldChar w:fldCharType="begin"/>
      </w:r>
      <w:r>
        <w:instrText>xe "</w:instrText>
      </w:r>
      <w:r>
        <w:rPr>
          <w:rStyle w:val="xeentry"/>
        </w:rPr>
        <w:instrText>butter is soft: example</w:instrText>
      </w:r>
      <w:r>
        <w:instrText>"</w:instrText>
      </w:r>
      <w:r>
        <w:rPr>
          <w:rStyle w:val="indexentry"/>
        </w:rPr>
        <w:fldChar w:fldCharType="end"/>
      </w:r>
      <w:r>
        <w:rPr>
          <w:rStyle w:val="indexentry"/>
        </w:rPr>
        <w:t>&lt;lx "matne"&gt;</w:t>
      </w:r>
      <w:r>
        <w:rPr>
          <w:rStyle w:val="indexentry"/>
        </w:rPr>
        <w:fldChar w:fldCharType="begin"/>
      </w:r>
      <w:r>
        <w:instrText>xe "</w:instrText>
      </w:r>
      <w:r>
        <w:rPr>
          <w:rStyle w:val="xeentry"/>
        </w:rPr>
        <w:instrText>matne</w:instrText>
      </w:r>
      <w:r>
        <w:instrText>"</w:instrText>
      </w:r>
      <w:r>
        <w:rPr>
          <w:rStyle w:val="indexentry"/>
        </w:rPr>
        <w:fldChar w:fldCharType="end"/>
      </w:r>
      <w:r>
        <w:rPr>
          <w:rStyle w:val="htmlcodes"/>
        </w:rPr>
        <w:t>&lt;pre&gt;&lt;a name=e3d5&gt;</w:t>
      </w:r>
      <w:r>
        <w:t>3.5)</w:t>
      </w:r>
      <w:r>
        <w:tab/>
        <w:t>loi matne cu ranti</w:t>
      </w:r>
    </w:p>
    <w:p w:rsidR="00B72047" w:rsidRDefault="00B72047">
      <w:pPr>
        <w:pStyle w:val="examplescaled"/>
      </w:pPr>
      <w:r>
        <w:tab/>
        <w:t>Part-of-the-mass-of-that-which-really is-a-quantity-of-butter is-soft.</w:t>
      </w:r>
    </w:p>
    <w:p w:rsidR="00B72047" w:rsidRDefault="00B72047">
      <w:pPr>
        <w:pStyle w:val="examplescaled"/>
      </w:pPr>
      <w:r>
        <w:tab/>
        <w:t>Butter is soft.</w:t>
      </w:r>
    </w:p>
    <w:p w:rsidR="00B72047" w:rsidRDefault="00B72047">
      <w:pPr>
        <w:pStyle w:val="resumedafterexample"/>
      </w:pPr>
      <w:r>
        <w:rPr>
          <w:rStyle w:val="htmlcodes"/>
        </w:rPr>
        <w:t>&lt;/pre&gt;</w:t>
      </w:r>
      <w:r>
        <w:rPr>
          <w:rStyle w:val="indexentry"/>
        </w:rPr>
        <w:t>&lt;cx "mass object, as dependent on intention"&gt;</w:t>
      </w:r>
      <w:r>
        <w:rPr>
          <w:rStyle w:val="indexentry"/>
        </w:rPr>
        <w:fldChar w:fldCharType="begin"/>
      </w:r>
      <w:r>
        <w:instrText>xe "</w:instrText>
      </w:r>
      <w:r>
        <w:rPr>
          <w:rStyle w:val="xeentry"/>
        </w:rPr>
        <w:instrText>mass object: as dependent on intention</w:instrText>
      </w:r>
      <w:r>
        <w:instrText>"</w:instrText>
      </w:r>
      <w:r>
        <w:rPr>
          <w:rStyle w:val="indexentry"/>
        </w:rPr>
        <w:fldChar w:fldCharType="end"/>
      </w:r>
      <w:r>
        <w:t>Of course, some butter is hard (for example, if it is frozen butter), so</w:t>
      </w:r>
      <w:r>
        <w:rPr>
          <w:rStyle w:val="deletedparamark"/>
        </w:rPr>
        <w:t xml:space="preserve"> </w:t>
      </w:r>
      <w:r>
        <w:t>the “part-of” im</w:t>
      </w:r>
      <w:r>
        <w:softHyphen/>
        <w:t>pli</w:t>
      </w:r>
      <w:r>
        <w:softHyphen/>
        <w:t>cation of “loi” becomes once again useful. The rea</w:t>
      </w:r>
      <w:r>
        <w:softHyphen/>
        <w:t>son</w:t>
      </w:r>
      <w:r>
        <w:rPr>
          <w:rStyle w:val="deletedparamark"/>
        </w:rPr>
        <w:t xml:space="preserve"> </w:t>
      </w:r>
      <w:r>
        <w:t>this mechanism works is that the English words like “butter”, which are</w:t>
      </w:r>
      <w:r>
        <w:rPr>
          <w:rStyle w:val="deletedparamark"/>
        </w:rPr>
        <w:t xml:space="preserve"> </w:t>
      </w:r>
      <w:r>
        <w:t>seen as already describing masses, are trans</w:t>
      </w:r>
      <w:r>
        <w:softHyphen/>
        <w:t>lated in Loj</w:t>
      </w:r>
      <w:r>
        <w:softHyphen/>
        <w:t>ban by non-mass forms. The place structure of “matne” is “x1 is a quantity of</w:t>
      </w:r>
      <w:r>
        <w:rPr>
          <w:rStyle w:val="deletedparamark"/>
        </w:rPr>
        <w:t xml:space="preserve"> </w:t>
      </w:r>
      <w:r>
        <w:t>butter from source x2”, so the single English word “butter” is translated</w:t>
      </w:r>
      <w:r>
        <w:rPr>
          <w:rStyle w:val="deletedparamark"/>
        </w:rPr>
        <w:t xml:space="preserve"> </w:t>
      </w:r>
      <w:r>
        <w:t>as something like “a part of the mass formed from all the quantities</w:t>
      </w:r>
      <w:r>
        <w:rPr>
          <w:rStyle w:val="deletedparamark"/>
        </w:rPr>
        <w:t xml:space="preserve"> </w:t>
      </w:r>
      <w:r>
        <w:t>of butter that exist”. (Note that the oper</w:t>
      </w:r>
      <w:r>
        <w:t>a</w:t>
      </w:r>
      <w:r>
        <w:softHyphen/>
        <w:t>tion of forming a mass entity</w:t>
      </w:r>
      <w:r>
        <w:rPr>
          <w:rStyle w:val="deletedparamark"/>
        </w:rPr>
        <w:t xml:space="preserve"> </w:t>
      </w:r>
      <w:r>
        <w:t>does not imply, in Lojban, that the components of the mass are necessarily</w:t>
      </w:r>
      <w:r>
        <w:rPr>
          <w:rStyle w:val="deletedparamark"/>
        </w:rPr>
        <w:t xml:space="preserve"> </w:t>
      </w:r>
      <w:r>
        <w:t>close to one another or even related in any way other than conceptually.</w:t>
      </w:r>
      <w:r>
        <w:rPr>
          <w:rStyle w:val="deletedparamark"/>
        </w:rPr>
        <w:t xml:space="preserve"> </w:t>
      </w:r>
      <w:r>
        <w:t>Masses are formed by the speaker's inten</w:t>
      </w:r>
      <w:r>
        <w:softHyphen/>
        <w:t>tion to form a mass, and can</w:t>
      </w:r>
      <w:r>
        <w:rPr>
          <w:rStyle w:val="deletedparamark"/>
        </w:rPr>
        <w:t xml:space="preserve"> </w:t>
      </w:r>
      <w:r>
        <w:t>in principle contain anything.)</w:t>
      </w:r>
    </w:p>
    <w:p w:rsidR="00B72047" w:rsidRDefault="00B72047">
      <w:pPr>
        <w:rPr>
          <w:rStyle w:val="htmlparacode"/>
        </w:rPr>
      </w:pPr>
      <w:r>
        <w:rPr>
          <w:rStyle w:val="htmlparacode"/>
        </w:rPr>
        <w:t>&lt;p&gt;</w:t>
      </w:r>
    </w:p>
    <w:p w:rsidR="00B72047" w:rsidRDefault="00B72047">
      <w:pPr>
        <w:pStyle w:val="normalparagraph"/>
      </w:pPr>
      <w:r>
        <w:rPr>
          <w:rStyle w:val="indexentry"/>
        </w:rPr>
        <w:t>&lt;cx "mass name, use of"&gt;</w:t>
      </w:r>
      <w:r>
        <w:rPr>
          <w:rStyle w:val="indexentry"/>
        </w:rPr>
        <w:fldChar w:fldCharType="begin"/>
      </w:r>
      <w:r>
        <w:instrText>xe "</w:instrText>
      </w:r>
      <w:r>
        <w:rPr>
          <w:rStyle w:val="xeentry"/>
        </w:rPr>
        <w:instrText>mass name: use of</w:instrText>
      </w:r>
      <w:r>
        <w:instrText>"</w:instrText>
      </w:r>
      <w:r>
        <w:rPr>
          <w:rStyle w:val="indexentry"/>
        </w:rPr>
        <w:fldChar w:fldCharType="end"/>
      </w:r>
      <w:r>
        <w:t>The mass name descriptor “lai” is used in circumstances where we wish to</w:t>
      </w:r>
      <w:r>
        <w:rPr>
          <w:rStyle w:val="deletedparamark"/>
        </w:rPr>
        <w:t xml:space="preserve"> </w:t>
      </w:r>
      <w:r>
        <w:t>talk about a mass of things identified by a name which is common to all</w:t>
      </w:r>
      <w:r>
        <w:rPr>
          <w:rStyle w:val="deletedparamark"/>
        </w:rPr>
        <w:t xml:space="preserve"> </w:t>
      </w:r>
      <w:r>
        <w:t>of them. It is not used to identify a mass by a single name peculiar to</w:t>
      </w:r>
      <w:r>
        <w:rPr>
          <w:rStyle w:val="deletedparamark"/>
        </w:rPr>
        <w:t xml:space="preserve"> </w:t>
      </w:r>
      <w:r>
        <w:t xml:space="preserve">it. Thus the mass version of </w:t>
      </w:r>
      <w:r>
        <w:rPr>
          <w:rStyle w:val="htmlcodes"/>
        </w:rPr>
        <w:t>&lt;a href=#e2d5&gt;</w:t>
      </w:r>
      <w:r>
        <w:t>Exam</w:t>
      </w:r>
      <w:r>
        <w:softHyphen/>
        <w:t>ple 2.5</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&lt;ex "Bears wrote book"&gt;</w:t>
      </w:r>
      <w:r>
        <w:rPr>
          <w:rStyle w:val="indexentry"/>
        </w:rPr>
        <w:fldChar w:fldCharType="begin"/>
      </w:r>
      <w:r>
        <w:instrText>xe "</w:instrText>
      </w:r>
      <w:r>
        <w:rPr>
          <w:rStyle w:val="xeentry"/>
        </w:rPr>
        <w:instrText>Bears wrote book: example</w:instrText>
      </w:r>
      <w:r>
        <w:instrText>"</w:instrText>
      </w:r>
      <w:r>
        <w:rPr>
          <w:rStyle w:val="indexentry"/>
        </w:rPr>
        <w:fldChar w:fldCharType="end"/>
      </w:r>
      <w:r>
        <w:rPr>
          <w:rStyle w:val="htmlcodes"/>
        </w:rPr>
        <w:t>&lt;pre&gt;&lt;a name=e3d6&gt;</w:t>
      </w:r>
      <w:r>
        <w:t>3.6)</w:t>
      </w:r>
      <w:r>
        <w:tab/>
        <w:t>lai cribe pu finti le vi cukta</w:t>
      </w:r>
    </w:p>
    <w:p w:rsidR="00B72047" w:rsidRDefault="00B72047">
      <w:pPr>
        <w:pStyle w:val="examplescaled"/>
      </w:pPr>
      <w:r>
        <w:tab/>
        <w:t>The-mass-of-those-named “bear” [past] creates the nearby book.</w:t>
      </w:r>
    </w:p>
    <w:p w:rsidR="00B72047" w:rsidRDefault="00B72047">
      <w:pPr>
        <w:pStyle w:val="examplescaled"/>
      </w:pPr>
      <w:r>
        <w:tab/>
        <w:t>The Bears wrote this book.</w:t>
      </w:r>
    </w:p>
    <w:p w:rsidR="00B72047" w:rsidRDefault="00B72047">
      <w:pPr>
        <w:pStyle w:val="resumedafterexample"/>
      </w:pPr>
      <w:r>
        <w:rPr>
          <w:rStyle w:val="htmlcodes"/>
        </w:rPr>
        <w:t>&lt;/pre&gt;</w:t>
      </w:r>
      <w:r>
        <w:rPr>
          <w:rStyle w:val="indexentry"/>
        </w:rPr>
        <w:t>&lt;cx "la, contrasted with lai in implications"&gt;</w:t>
      </w:r>
      <w:r>
        <w:rPr>
          <w:rStyle w:val="indexentry"/>
        </w:rPr>
        <w:fldChar w:fldCharType="begin"/>
      </w:r>
      <w:r>
        <w:instrText>xe "</w:instrText>
      </w:r>
      <w:r>
        <w:rPr>
          <w:rStyle w:val="xeentry"/>
        </w:rPr>
        <w:instrText>la: contrasted with lai in implications</w:instrText>
      </w:r>
      <w:r>
        <w:instrText>"</w:instrText>
      </w:r>
      <w:r>
        <w:rPr>
          <w:rStyle w:val="indexentry"/>
        </w:rPr>
        <w:fldChar w:fldCharType="end"/>
      </w:r>
      <w:r>
        <w:rPr>
          <w:rStyle w:val="indexentry"/>
        </w:rPr>
        <w:t>&lt;cx "lai, contrasted with la in implications"&gt;</w:t>
      </w:r>
      <w:r>
        <w:rPr>
          <w:rStyle w:val="indexentry"/>
        </w:rPr>
        <w:fldChar w:fldCharType="begin"/>
      </w:r>
      <w:r>
        <w:instrText>xe "</w:instrText>
      </w:r>
      <w:r>
        <w:rPr>
          <w:rStyle w:val="xeentry"/>
        </w:rPr>
        <w:instrText>lai: contrasted with la in implications</w:instrText>
      </w:r>
      <w:r>
        <w:instrText>"</w:instrText>
      </w:r>
      <w:r>
        <w:rPr>
          <w:rStyle w:val="indexentry"/>
        </w:rPr>
        <w:fldChar w:fldCharType="end"/>
      </w:r>
      <w:r>
        <w:t>in a context where “la cribe” would be understood as plural, would mean</w:t>
      </w:r>
      <w:r>
        <w:rPr>
          <w:rStyle w:val="deletedparamark"/>
        </w:rPr>
        <w:t xml:space="preserve"> </w:t>
      </w:r>
      <w:r>
        <w:t>that either Tom Bear or Fred Bear (to make up some names) might have written</w:t>
      </w:r>
      <w:r>
        <w:rPr>
          <w:rStyle w:val="deletedparamark"/>
        </w:rPr>
        <w:t xml:space="preserve"> </w:t>
      </w:r>
      <w:r>
        <w:t>the book, or that Tom and Fred might have written it as collaborators.</w:t>
      </w:r>
      <w:r>
        <w:rPr>
          <w:rStyle w:val="deletedparamark"/>
        </w:rPr>
        <w:t xml:space="preserve"> </w:t>
      </w:r>
      <w:r>
        <w:t xml:space="preserve">Using “la” instead of “lai” in </w:t>
      </w:r>
      <w:r>
        <w:rPr>
          <w:rStyle w:val="htmlcodes"/>
        </w:rPr>
        <w:t>&lt;a href=#e3d6&gt;</w:t>
      </w:r>
      <w:r>
        <w:t>Ex</w:t>
      </w:r>
      <w:r>
        <w:softHyphen/>
        <w:t xml:space="preserve">ample 3.6 </w:t>
      </w:r>
      <w:r>
        <w:rPr>
          <w:rStyle w:val="htmlcodes"/>
        </w:rPr>
        <w:t>&lt;/a&gt;</w:t>
      </w:r>
      <w:r>
        <w:t>would give the implication that</w:t>
      </w:r>
      <w:r>
        <w:rPr>
          <w:rStyle w:val="deletedparamark"/>
        </w:rPr>
        <w:t xml:space="preserve"> </w:t>
      </w:r>
      <w:r>
        <w:t>each of Tom and Fred, considered individu</w:t>
      </w:r>
      <w:r>
        <w:softHyphen/>
        <w:t>ally, had wri</w:t>
      </w:r>
      <w:r>
        <w:t>t</w:t>
      </w:r>
      <w:r>
        <w:softHyphen/>
        <w:t>ten it.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239" w:name="_Toc395691538"/>
      <w:bookmarkStart w:id="240" w:name="_Toc398970509"/>
      <w:r>
        <w:rPr>
          <w:rStyle w:val="Heading3Text"/>
        </w:rPr>
        <w:t>Masses and sets</w:t>
      </w:r>
      <w:bookmarkEnd w:id="239"/>
      <w:bookmarkEnd w:id="24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le'i</w:t>
      </w:r>
      <w:r>
        <w:tab/>
        <w:t>LE</w:t>
      </w:r>
      <w:r>
        <w:tab/>
        <w:t>the set described as</w:t>
      </w:r>
    </w:p>
    <w:p w:rsidR="00B72047" w:rsidRDefault="00B72047">
      <w:pPr>
        <w:pStyle w:val="examplescaled"/>
      </w:pPr>
      <w:r>
        <w:tab/>
        <w:t>lo'i</w:t>
      </w:r>
      <w:r>
        <w:tab/>
        <w:t>LE</w:t>
      </w:r>
      <w:r>
        <w:tab/>
        <w:t>the set of those which really are</w:t>
      </w:r>
    </w:p>
    <w:p w:rsidR="00B72047" w:rsidRDefault="00B72047">
      <w:pPr>
        <w:pStyle w:val="examplescaled"/>
      </w:pPr>
      <w:r>
        <w:tab/>
        <w:t>la'i</w:t>
      </w:r>
      <w:r>
        <w:tab/>
        <w:t>LA</w:t>
      </w:r>
      <w:r>
        <w:tab/>
        <w:t>the set of those named</w:t>
      </w:r>
    </w:p>
    <w:p w:rsidR="00B72047" w:rsidRDefault="00B72047">
      <w:pPr>
        <w:pStyle w:val="normalafterexample"/>
      </w:pPr>
      <w:r>
        <w:rPr>
          <w:rStyle w:val="htmlcodes"/>
        </w:rPr>
        <w:t>&lt;/pre&gt;</w:t>
      </w:r>
      <w:r>
        <w:rPr>
          <w:rStyle w:val="indexentry"/>
        </w:rPr>
        <w:t>&lt;cx "set, contrasted with mass in attribution of component properties"&gt;</w:t>
      </w:r>
      <w:r>
        <w:rPr>
          <w:rStyle w:val="indexentry"/>
        </w:rPr>
        <w:fldChar w:fldCharType="begin"/>
      </w:r>
      <w:r>
        <w:instrText>xe "</w:instrText>
      </w:r>
      <w:r>
        <w:rPr>
          <w:rStyle w:val="xeentry"/>
        </w:rPr>
        <w:instrText>set: contrasted with mass in attribution of component properties</w:instrText>
      </w:r>
      <w:r>
        <w:instrText>"</w:instrText>
      </w:r>
      <w:r>
        <w:rPr>
          <w:rStyle w:val="indexentry"/>
        </w:rPr>
        <w:fldChar w:fldCharType="end"/>
      </w:r>
      <w:r>
        <w:rPr>
          <w:rStyle w:val="indexentry"/>
        </w:rPr>
        <w:t>&lt;cx "mass, contrasted with set in attribution of component properties"&gt;</w:t>
      </w:r>
      <w:r>
        <w:rPr>
          <w:rStyle w:val="indexentry"/>
        </w:rPr>
        <w:fldChar w:fldCharType="begin"/>
      </w:r>
      <w:r>
        <w:instrText>xe "</w:instrText>
      </w:r>
      <w:r>
        <w:rPr>
          <w:rStyle w:val="xeentry"/>
        </w:rPr>
        <w:instrText>mass: contrasted with set in attribution of component properties</w:instrText>
      </w:r>
      <w:r>
        <w:instrText>"</w:instrText>
      </w:r>
      <w:r>
        <w:rPr>
          <w:rStyle w:val="indexentry"/>
        </w:rPr>
        <w:fldChar w:fldCharType="end"/>
      </w:r>
      <w:r>
        <w:rPr>
          <w:rStyle w:val="indexentry"/>
        </w:rPr>
        <w:t>&lt;cx "set, compared with mass as abstract of multiple individuals"&gt;</w:t>
      </w:r>
      <w:r>
        <w:rPr>
          <w:rStyle w:val="indexentry"/>
        </w:rPr>
        <w:fldChar w:fldCharType="begin"/>
      </w:r>
      <w:r>
        <w:instrText>xe "</w:instrText>
      </w:r>
      <w:r>
        <w:rPr>
          <w:rStyle w:val="xeentry"/>
        </w:rPr>
        <w:instrText>set: compared with mass as abstract of multiple individuals</w:instrText>
      </w:r>
      <w:r>
        <w:instrText>"</w:instrText>
      </w:r>
      <w:r>
        <w:rPr>
          <w:rStyle w:val="indexentry"/>
        </w:rPr>
        <w:fldChar w:fldCharType="end"/>
      </w:r>
      <w:r>
        <w:rPr>
          <w:rStyle w:val="indexentry"/>
        </w:rPr>
        <w:t>&lt;cx "mass, compared with set as abstract of multiple individuals"&gt;</w:t>
      </w:r>
      <w:r>
        <w:rPr>
          <w:rStyle w:val="indexentry"/>
        </w:rPr>
        <w:fldChar w:fldCharType="begin"/>
      </w:r>
      <w:r>
        <w:instrText>xe "</w:instrText>
      </w:r>
      <w:r>
        <w:rPr>
          <w:rStyle w:val="xeentry"/>
        </w:rPr>
        <w:instrText>mass: compared with set as abstract of multiple individuals</w:instrText>
      </w:r>
      <w:r>
        <w:instrText>"</w:instrText>
      </w:r>
      <w:r>
        <w:rPr>
          <w:rStyle w:val="indexentry"/>
        </w:rPr>
        <w:fldChar w:fldCharType="end"/>
      </w:r>
      <w:r>
        <w:t>Having said so much about masses, let us turn to sets. Sets are easier to</w:t>
      </w:r>
      <w:r>
        <w:rPr>
          <w:rStyle w:val="deletedparamark"/>
        </w:rPr>
        <w:t xml:space="preserve"> </w:t>
      </w:r>
      <w:r>
        <w:t>under</w:t>
      </w:r>
      <w:r>
        <w:softHyphen/>
        <w:t>stand than masses, but are more rarely used. Like a mass, a set is an</w:t>
      </w:r>
      <w:r>
        <w:rPr>
          <w:rStyle w:val="deletedparamark"/>
        </w:rPr>
        <w:t xml:space="preserve"> </w:t>
      </w:r>
      <w:r>
        <w:t>abstract object formed from a number of individu</w:t>
      </w:r>
      <w:r>
        <w:softHyphen/>
        <w:t>als; however, the properties</w:t>
      </w:r>
      <w:r>
        <w:rPr>
          <w:rStyle w:val="deletedparamark"/>
        </w:rPr>
        <w:t xml:space="preserve"> </w:t>
      </w:r>
      <w:r>
        <w:t>of a set are not derived from any of the properties of the individuals that</w:t>
      </w:r>
      <w:r>
        <w:rPr>
          <w:rStyle w:val="deletedparamark"/>
        </w:rPr>
        <w:t xml:space="preserve"> </w:t>
      </w:r>
      <w:r>
        <w:t>compose it.</w:t>
      </w:r>
    </w:p>
    <w:p w:rsidR="00B72047" w:rsidRDefault="00B72047">
      <w:pPr>
        <w:rPr>
          <w:rStyle w:val="htmlparacode"/>
        </w:rPr>
      </w:pPr>
      <w:r>
        <w:rPr>
          <w:rStyle w:val="htmlparacode"/>
        </w:rPr>
        <w:t>&lt;p&gt;</w:t>
      </w:r>
    </w:p>
    <w:p w:rsidR="00B72047" w:rsidRDefault="00B72047">
      <w:pPr>
        <w:pStyle w:val="normalparagraph"/>
      </w:pPr>
      <w:r>
        <w:rPr>
          <w:rStyle w:val="indexentry"/>
        </w:rPr>
        <w:t>&lt;cx "inclusion, property of sets"&gt;</w:t>
      </w:r>
      <w:r>
        <w:rPr>
          <w:rStyle w:val="indexentry"/>
        </w:rPr>
        <w:fldChar w:fldCharType="begin"/>
      </w:r>
      <w:r>
        <w:instrText>xe "</w:instrText>
      </w:r>
      <w:r>
        <w:rPr>
          <w:rStyle w:val="xeentry"/>
        </w:rPr>
        <w:instrText>inclusion: property of sets</w:instrText>
      </w:r>
      <w:r>
        <w:instrText>"</w:instrText>
      </w:r>
      <w:r>
        <w:rPr>
          <w:rStyle w:val="indexentry"/>
        </w:rPr>
        <w:fldChar w:fldCharType="end"/>
      </w:r>
      <w:r>
        <w:rPr>
          <w:rStyle w:val="indexentry"/>
        </w:rPr>
        <w:t>&lt;cx "membership, property of sets"&gt;</w:t>
      </w:r>
      <w:r>
        <w:rPr>
          <w:rStyle w:val="indexentry"/>
        </w:rPr>
        <w:fldChar w:fldCharType="begin"/>
      </w:r>
      <w:r>
        <w:instrText>xe "</w:instrText>
      </w:r>
      <w:r>
        <w:rPr>
          <w:rStyle w:val="xeentry"/>
        </w:rPr>
        <w:instrText>membership: property of sets</w:instrText>
      </w:r>
      <w:r>
        <w:instrText>"</w:instrText>
      </w:r>
      <w:r>
        <w:rPr>
          <w:rStyle w:val="indexentry"/>
        </w:rPr>
        <w:fldChar w:fldCharType="end"/>
      </w:r>
      <w:r>
        <w:rPr>
          <w:rStyle w:val="indexentry"/>
        </w:rPr>
        <w:t>&lt;cx "cardinality, property of sets"&gt;</w:t>
      </w:r>
      <w:r>
        <w:rPr>
          <w:rStyle w:val="indexentry"/>
        </w:rPr>
        <w:fldChar w:fldCharType="begin"/>
      </w:r>
      <w:r>
        <w:instrText>xe "</w:instrText>
      </w:r>
      <w:r>
        <w:rPr>
          <w:rStyle w:val="xeentry"/>
        </w:rPr>
        <w:instrText>cardinality: property of sets</w:instrText>
      </w:r>
      <w:r>
        <w:instrText>"</w:instrText>
      </w:r>
      <w:r>
        <w:rPr>
          <w:rStyle w:val="indexentry"/>
        </w:rPr>
        <w:fldChar w:fldCharType="end"/>
      </w:r>
      <w:r>
        <w:rPr>
          <w:rStyle w:val="indexentry"/>
        </w:rPr>
        <w:t>&lt;cx "cardinality, definition"&gt;</w:t>
      </w:r>
      <w:r>
        <w:rPr>
          <w:rStyle w:val="indexentry"/>
        </w:rPr>
        <w:fldChar w:fldCharType="begin"/>
      </w:r>
      <w:r>
        <w:instrText>xe "</w:instrText>
      </w:r>
      <w:r>
        <w:rPr>
          <w:rStyle w:val="xeentry"/>
        </w:rPr>
        <w:instrText>cardinality: definition</w:instrText>
      </w:r>
      <w:r>
        <w:instrText>"</w:instrText>
      </w:r>
      <w:r>
        <w:rPr>
          <w:rStyle w:val="indexentry"/>
        </w:rPr>
        <w:fldChar w:fldCharType="end"/>
      </w:r>
      <w:r>
        <w:rPr>
          <w:rStyle w:val="indexentry"/>
        </w:rPr>
        <w:t>&lt;cx "sets, properties of"&gt;</w:t>
      </w:r>
      <w:r>
        <w:rPr>
          <w:rStyle w:val="indexentry"/>
        </w:rPr>
        <w:fldChar w:fldCharType="begin"/>
      </w:r>
      <w:r>
        <w:instrText>xe "</w:instrText>
      </w:r>
      <w:r>
        <w:rPr>
          <w:rStyle w:val="xeentry"/>
        </w:rPr>
        <w:instrText>sets: properties of</w:instrText>
      </w:r>
      <w:r>
        <w:instrText>"</w:instrText>
      </w:r>
      <w:r>
        <w:rPr>
          <w:rStyle w:val="indexentry"/>
        </w:rPr>
        <w:fldChar w:fldCharType="end"/>
      </w:r>
      <w:r>
        <w:rPr>
          <w:rStyle w:val="indexentry"/>
        </w:rPr>
        <w:t>&lt;lx "le'i"&gt;</w:t>
      </w:r>
      <w:r>
        <w:rPr>
          <w:rStyle w:val="indexentry"/>
        </w:rPr>
        <w:fldChar w:fldCharType="begin"/>
      </w:r>
      <w:r>
        <w:instrText>xe "</w:instrText>
      </w:r>
      <w:r>
        <w:rPr>
          <w:rStyle w:val="xeentry"/>
        </w:rPr>
        <w:instrText>le'i</w:instrText>
      </w:r>
      <w:r>
        <w:instrText>"</w:instrText>
      </w:r>
      <w:r>
        <w:rPr>
          <w:rStyle w:val="indexentry"/>
        </w:rPr>
        <w:fldChar w:fldCharType="end"/>
      </w:r>
      <w:r>
        <w:rPr>
          <w:rStyle w:val="indexentry"/>
        </w:rPr>
        <w:t>&lt;lx "lo'i"&gt;</w:t>
      </w:r>
      <w:r>
        <w:rPr>
          <w:rStyle w:val="indexentry"/>
        </w:rPr>
        <w:fldChar w:fldCharType="begin"/>
      </w:r>
      <w:r>
        <w:instrText>xe "</w:instrText>
      </w:r>
      <w:r>
        <w:rPr>
          <w:rStyle w:val="xeentry"/>
        </w:rPr>
        <w:instrText>lo'i</w:instrText>
      </w:r>
      <w:r>
        <w:instrText>"</w:instrText>
      </w:r>
      <w:r>
        <w:rPr>
          <w:rStyle w:val="indexentry"/>
        </w:rPr>
        <w:fldChar w:fldCharType="end"/>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indexentry"/>
        </w:rPr>
        <w:t>&lt;cx "le'i, as set counterpart of lei"&gt;</w:t>
      </w:r>
      <w:r>
        <w:rPr>
          <w:rStyle w:val="indexentry"/>
        </w:rPr>
        <w:fldChar w:fldCharType="begin"/>
      </w:r>
      <w:r>
        <w:instrText>xe "</w:instrText>
      </w:r>
      <w:r>
        <w:rPr>
          <w:rStyle w:val="xeentry"/>
        </w:rPr>
        <w:instrText>le'i: as set counterpart of lei</w:instrText>
      </w:r>
      <w:r>
        <w:instrText>"</w:instrText>
      </w:r>
      <w:r>
        <w:rPr>
          <w:rStyle w:val="indexentry"/>
        </w:rPr>
        <w:fldChar w:fldCharType="end"/>
      </w:r>
      <w:r>
        <w:rPr>
          <w:rStyle w:val="indexentry"/>
        </w:rPr>
        <w:t>&lt;cx "lo'i, as set counterpart of loi"&gt;</w:t>
      </w:r>
      <w:r>
        <w:rPr>
          <w:rStyle w:val="indexentry"/>
        </w:rPr>
        <w:fldChar w:fldCharType="begin"/>
      </w:r>
      <w:r>
        <w:instrText>xe "</w:instrText>
      </w:r>
      <w:r>
        <w:rPr>
          <w:rStyle w:val="xeentry"/>
        </w:rPr>
        <w:instrText>lo'i: as set counterpart of loi</w:instrText>
      </w:r>
      <w:r>
        <w:instrText>"</w:instrText>
      </w:r>
      <w:r>
        <w:rPr>
          <w:rStyle w:val="indexentry"/>
        </w:rPr>
        <w:fldChar w:fldCharType="end"/>
      </w:r>
      <w:r>
        <w:rPr>
          <w:rStyle w:val="indexentry"/>
        </w:rPr>
        <w:t>&lt;cx "la'i, as set counterpart of lai"&gt;</w:t>
      </w:r>
      <w:r>
        <w:rPr>
          <w:rStyle w:val="indexentry"/>
        </w:rPr>
        <w:fldChar w:fldCharType="begin"/>
      </w:r>
      <w:r>
        <w:instrText>xe "</w:instrText>
      </w:r>
      <w:r>
        <w:rPr>
          <w:rStyle w:val="xeentry"/>
        </w:rPr>
        <w:instrText>la'i: as set counterpart of lai</w:instrText>
      </w:r>
      <w:r>
        <w:instrText>"</w:instrText>
      </w:r>
      <w:r>
        <w:rPr>
          <w:rStyle w:val="indexentry"/>
        </w:rPr>
        <w:fldChar w:fldCharType="end"/>
      </w:r>
      <w:r>
        <w:t>Sets have properties like cardinality (how many elements in the set),</w:t>
      </w:r>
      <w:r>
        <w:rPr>
          <w:rStyle w:val="deletedparamark"/>
        </w:rPr>
        <w:t xml:space="preserve"> </w:t>
      </w:r>
      <w:r>
        <w:t>member</w:t>
      </w:r>
      <w:r>
        <w:softHyphen/>
        <w:t>ship (the relationship between a set and its ele</w:t>
      </w:r>
      <w:r>
        <w:softHyphen/>
        <w:t>ments), and set</w:t>
      </w:r>
      <w:r>
        <w:rPr>
          <w:rStyle w:val="deletedparamark"/>
        </w:rPr>
        <w:t xml:space="preserve"> </w:t>
      </w:r>
      <w:r>
        <w:t>inclusion (the relationship b</w:t>
      </w:r>
      <w:r>
        <w:t>e</w:t>
      </w:r>
      <w:r>
        <w:softHyphen/>
        <w:t>tween two sets, one of which — the superset</w:t>
      </w:r>
      <w:r>
        <w:rPr>
          <w:rStyle w:val="deletedparamark"/>
        </w:rPr>
        <w:t xml:space="preserve"> </w:t>
      </w:r>
      <w:r>
        <w:t>– contains all the elements of the other — the subset). The set</w:t>
      </w:r>
      <w:r>
        <w:rPr>
          <w:rStyle w:val="deletedparamark"/>
        </w:rPr>
        <w:t xml:space="preserve"> </w:t>
      </w:r>
      <w:r>
        <w:t>descriptors “le'i”, “lo'i” and “la'i” correspond exactly to the mass</w:t>
      </w:r>
      <w:r>
        <w:rPr>
          <w:rStyle w:val="deletedparamark"/>
        </w:rPr>
        <w:t xml:space="preserve"> </w:t>
      </w:r>
      <w:r>
        <w:t>d</w:t>
      </w:r>
      <w:r>
        <w:t>e</w:t>
      </w:r>
      <w:r>
        <w:softHyphen/>
        <w:t>scriptors “lei”, “loi”, and “lai” except that normally we talk of the</w:t>
      </w:r>
      <w:r>
        <w:rPr>
          <w:rStyle w:val="deletedparamark"/>
        </w:rPr>
        <w:t xml:space="preserve"> </w:t>
      </w:r>
      <w:r>
        <w:t>whole of a set, not just part of it. Here are some examples contrasting</w:t>
      </w:r>
      <w:r>
        <w:rPr>
          <w:rStyle w:val="deletedparamark"/>
        </w:rPr>
        <w:t xml:space="preserve"> “</w:t>
      </w:r>
      <w:r>
        <w:t>lo”, “loi”, and “lo'i”:</w:t>
      </w:r>
    </w:p>
    <w:p w:rsidR="00B72047" w:rsidRDefault="00B72047">
      <w:pPr>
        <w:rPr>
          <w:rStyle w:val="htmlparacode"/>
        </w:rPr>
      </w:pPr>
      <w:r>
        <w:rPr>
          <w:rStyle w:val="htmlparacode"/>
        </w:rPr>
        <w:t>&lt;p&gt;</w:t>
      </w:r>
    </w:p>
    <w:p w:rsidR="00B72047" w:rsidRDefault="00B72047">
      <w:pPr>
        <w:pStyle w:val="examplescaledpre"/>
      </w:pPr>
      <w:r>
        <w:rPr>
          <w:rStyle w:val="indexentry"/>
        </w:rPr>
        <w:t>&lt;cx "lo, contrasted with loi and lo'i"&gt;</w:t>
      </w:r>
      <w:r>
        <w:rPr>
          <w:rStyle w:val="indexentry"/>
        </w:rPr>
        <w:fldChar w:fldCharType="begin"/>
      </w:r>
      <w:r>
        <w:instrText>xe "</w:instrText>
      </w:r>
      <w:r>
        <w:rPr>
          <w:rStyle w:val="xeentry"/>
        </w:rPr>
        <w:instrText>lo: contrasted with loi and lo'i</w:instrText>
      </w:r>
      <w:r>
        <w:instrText>"</w:instrText>
      </w:r>
      <w:r>
        <w:rPr>
          <w:rStyle w:val="indexentry"/>
        </w:rPr>
        <w:fldChar w:fldCharType="end"/>
      </w:r>
      <w:r>
        <w:rPr>
          <w:rStyle w:val="indexentry"/>
        </w:rPr>
        <w:t>&lt;cx "loi, contrasted with lo and lo'i"&gt;</w:t>
      </w:r>
      <w:r>
        <w:rPr>
          <w:rStyle w:val="indexentry"/>
        </w:rPr>
        <w:fldChar w:fldCharType="begin"/>
      </w:r>
      <w:r>
        <w:instrText>xe "</w:instrText>
      </w:r>
      <w:r>
        <w:rPr>
          <w:rStyle w:val="xeentry"/>
        </w:rPr>
        <w:instrText>loi: contrasted with lo and lo'i</w:instrText>
      </w:r>
      <w:r>
        <w:instrText>"</w:instrText>
      </w:r>
      <w:r>
        <w:rPr>
          <w:rStyle w:val="indexentry"/>
        </w:rPr>
        <w:fldChar w:fldCharType="end"/>
      </w:r>
      <w:r>
        <w:rPr>
          <w:rStyle w:val="indexentry"/>
        </w:rPr>
        <w:t>&lt;cx "lo'i, contrasted with lo and loi"&gt;</w:t>
      </w:r>
      <w:r>
        <w:rPr>
          <w:rStyle w:val="indexentry"/>
        </w:rPr>
        <w:fldChar w:fldCharType="begin"/>
      </w:r>
      <w:r>
        <w:instrText>xe "</w:instrText>
      </w:r>
      <w:r>
        <w:rPr>
          <w:rStyle w:val="xeentry"/>
        </w:rPr>
        <w:instrText>lo'i: contrasted with lo and loi</w:instrText>
      </w:r>
      <w:r>
        <w:instrText>"</w:instrText>
      </w:r>
      <w:r>
        <w:rPr>
          <w:rStyle w:val="indexentry"/>
        </w:rPr>
        <w:fldChar w:fldCharType="end"/>
      </w:r>
      <w:r>
        <w:rPr>
          <w:rStyle w:val="indexentry"/>
        </w:rPr>
        <w:t>&lt;cx "rats are brown"&gt;</w:t>
      </w:r>
      <w:r>
        <w:rPr>
          <w:rStyle w:val="indexentry"/>
        </w:rPr>
        <w:fldChar w:fldCharType="begin"/>
      </w:r>
      <w:r>
        <w:instrText>xe "</w:instrText>
      </w:r>
      <w:r>
        <w:rPr>
          <w:rStyle w:val="xeentry"/>
        </w:rPr>
        <w:instrText>rats are brown: example</w:instrText>
      </w:r>
      <w:r>
        <w:instrText>"</w:instrText>
      </w:r>
      <w:r>
        <w:rPr>
          <w:rStyle w:val="indexentry"/>
        </w:rPr>
        <w:fldChar w:fldCharType="end"/>
      </w:r>
      <w:r>
        <w:rPr>
          <w:rStyle w:val="htmlcodes"/>
        </w:rPr>
        <w:t>&lt;pre&gt;&lt;a name=e4d1&gt;</w:t>
      </w:r>
      <w:r>
        <w:t>4.1)</w:t>
      </w:r>
      <w:r>
        <w:tab/>
        <w:t>lo ratcu cu bunre</w:t>
      </w:r>
    </w:p>
    <w:p w:rsidR="00B72047" w:rsidRDefault="00B72047">
      <w:pPr>
        <w:pStyle w:val="examplescaled"/>
      </w:pPr>
      <w:r>
        <w:tab/>
        <w:t>One-or-more-of-those-which-really-are rats are-brown.</w:t>
      </w:r>
    </w:p>
    <w:p w:rsidR="00B72047" w:rsidRDefault="00B72047">
      <w:pPr>
        <w:pStyle w:val="examplescaled"/>
      </w:pPr>
      <w:r>
        <w:tab/>
        <w:t>Some rats are brown.</w:t>
      </w:r>
    </w:p>
    <w:p w:rsidR="00B72047" w:rsidRDefault="00B72047">
      <w:pPr>
        <w:pStyle w:val="examplescaledpre"/>
      </w:pPr>
      <w:r>
        <w:rPr>
          <w:rStyle w:val="htmlcodes"/>
        </w:rPr>
        <w:t>&lt;a name=e4d2&gt;</w:t>
      </w:r>
      <w:r>
        <w:t>4.2)</w:t>
      </w:r>
      <w:r>
        <w:tab/>
        <w:t>loi ratcu cu cmalu</w:t>
      </w:r>
    </w:p>
    <w:p w:rsidR="00B72047" w:rsidRDefault="00B72047">
      <w:pPr>
        <w:pStyle w:val="examplescaled"/>
      </w:pPr>
      <w:r>
        <w:tab/>
        <w:t>Part-of-the-mass-of-those-which-really-are rats are-small.</w:t>
      </w:r>
    </w:p>
    <w:p w:rsidR="00B72047" w:rsidRDefault="00B72047">
      <w:pPr>
        <w:pStyle w:val="examplescaled"/>
      </w:pPr>
      <w:r>
        <w:tab/>
        <w:t>Rats are small.</w:t>
      </w:r>
    </w:p>
    <w:p w:rsidR="00B72047" w:rsidRDefault="00B72047">
      <w:pPr>
        <w:pStyle w:val="examplescaledpre"/>
      </w:pPr>
      <w:r>
        <w:rPr>
          <w:rStyle w:val="htmlcodes"/>
        </w:rPr>
        <w:t>&lt;a name=e4d3&gt;</w:t>
      </w:r>
      <w:r>
        <w:t>4.3)</w:t>
      </w:r>
      <w:r>
        <w:tab/>
        <w:t>lo'i ratcu cu barda</w:t>
      </w:r>
    </w:p>
    <w:p w:rsidR="00B72047" w:rsidRDefault="00B72047">
      <w:pPr>
        <w:pStyle w:val="examplescaled"/>
      </w:pPr>
      <w:r>
        <w:tab/>
        <w:t>The-set-of rats is-large.</w:t>
      </w:r>
    </w:p>
    <w:p w:rsidR="00B72047" w:rsidRDefault="00B72047">
      <w:pPr>
        <w:pStyle w:val="examplescaled"/>
      </w:pPr>
      <w:r>
        <w:tab/>
        <w:t>There are a lot of rats.</w:t>
      </w:r>
    </w:p>
    <w:p w:rsidR="00B72047" w:rsidRDefault="00B72047">
      <w:pPr>
        <w:pStyle w:val="resumedafterexample"/>
      </w:pPr>
      <w:r>
        <w:rPr>
          <w:rStyle w:val="htmlcodes"/>
        </w:rPr>
        <w:t>&lt;/pre&gt;&lt;p&gt;</w:t>
      </w:r>
      <w:r>
        <w:t>The mass of rats is small because at least one rat is small; the mass</w:t>
      </w:r>
      <w:r>
        <w:rPr>
          <w:rStyle w:val="deletedparamark"/>
        </w:rPr>
        <w:t xml:space="preserve"> </w:t>
      </w:r>
      <w:r>
        <w:t>of rats is also large; the set of rats, though, is unquestionably large –</w:t>
      </w:r>
      <w:r>
        <w:rPr>
          <w:rStyle w:val="deletedparamark"/>
        </w:rPr>
        <w:t xml:space="preserve"> </w:t>
      </w:r>
      <w:r>
        <w:t>it has billions of members. The mass of rats is also brown, since</w:t>
      </w:r>
      <w:r>
        <w:rPr>
          <w:rStyle w:val="deletedparamark"/>
        </w:rPr>
        <w:t xml:space="preserve"> </w:t>
      </w:r>
      <w:r>
        <w:t>some of its components are; but it would be incorrect to call the set</w:t>
      </w:r>
      <w:r>
        <w:rPr>
          <w:rStyle w:val="deletedparamark"/>
        </w:rPr>
        <w:t xml:space="preserve"> </w:t>
      </w:r>
      <w:r>
        <w:t>of rats brown — brown-ness is not the sort of property that sets</w:t>
      </w:r>
      <w:r>
        <w:rPr>
          <w:rStyle w:val="deletedparamark"/>
        </w:rPr>
        <w:t xml:space="preserve"> </w:t>
      </w:r>
      <w:r>
        <w:t>pos</w:t>
      </w:r>
      <w:r>
        <w:softHyphen/>
        <w:t>sess.</w:t>
      </w:r>
    </w:p>
    <w:p w:rsidR="00B72047" w:rsidRDefault="00B72047">
      <w:pPr>
        <w:rPr>
          <w:rStyle w:val="htmlparacode"/>
        </w:rPr>
      </w:pPr>
      <w:r>
        <w:rPr>
          <w:rStyle w:val="htmlparacode"/>
        </w:rPr>
        <w:t>&lt;p&gt;</w:t>
      </w:r>
    </w:p>
    <w:p w:rsidR="00B72047" w:rsidRDefault="00B72047">
      <w:pPr>
        <w:pStyle w:val="normalparagraph"/>
      </w:pPr>
      <w:r>
        <w:rPr>
          <w:rStyle w:val="indexentry"/>
        </w:rPr>
        <w:t>&lt;cx "sets, use in Lojban place structure"&gt;</w:t>
      </w:r>
      <w:r>
        <w:rPr>
          <w:rStyle w:val="indexentry"/>
        </w:rPr>
        <w:fldChar w:fldCharType="begin"/>
      </w:r>
      <w:r>
        <w:instrText>xe "</w:instrText>
      </w:r>
      <w:r>
        <w:rPr>
          <w:rStyle w:val="xeentry"/>
        </w:rPr>
        <w:instrText>sets: use in Lojban place structure</w:instrText>
      </w:r>
      <w:r>
        <w:instrText>"</w:instrText>
      </w:r>
      <w:r>
        <w:rPr>
          <w:rStyle w:val="indexentry"/>
        </w:rPr>
        <w:fldChar w:fldCharType="end"/>
      </w:r>
      <w:r>
        <w:t>Lojban speakers should generally think twice before employ</w:t>
      </w:r>
      <w:r>
        <w:softHyphen/>
        <w:t>ing the set</w:t>
      </w:r>
      <w:r>
        <w:rPr>
          <w:rStyle w:val="deletedparamark"/>
        </w:rPr>
        <w:t xml:space="preserve"> </w:t>
      </w:r>
      <w:r>
        <w:t>de</w:t>
      </w:r>
      <w:r>
        <w:softHyphen/>
        <w:t>scriptors. However, certain predicates have places that require</w:t>
      </w:r>
      <w:r>
        <w:rPr>
          <w:rStyle w:val="deletedparamark"/>
        </w:rPr>
        <w:t xml:space="preserve"> </w:t>
      </w:r>
      <w:r>
        <w:t>set sumti to fill them. For example, the place structure of “fadni” is:</w:t>
      </w:r>
    </w:p>
    <w:p w:rsidR="00B72047" w:rsidRDefault="00B72047" w:rsidP="007E67C1">
      <w:pPr>
        <w:pStyle w:val="placestructure"/>
        <w:numPr>
          <w:ilvl w:val="0"/>
          <w:numId w:val="0"/>
        </w:numPr>
        <w:ind w:left="504" w:hanging="504"/>
        <w:rPr>
          <w:rStyle w:val="htmlparacode"/>
        </w:rPr>
      </w:pPr>
      <w:r>
        <w:rPr>
          <w:rStyle w:val="htmlparacode"/>
          <w:vanish w:val="0"/>
        </w:rPr>
        <w:t xml:space="preserve">fadni:  </w:t>
      </w: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 xml:space="preserve">x1 is ordinary/common/typical/usual in property x2 </w:t>
      </w:r>
    </w:p>
    <w:p w:rsidR="00B72047" w:rsidRDefault="00B72047" w:rsidP="007E67C1">
      <w:pPr>
        <w:pStyle w:val="placestructcont"/>
        <w:numPr>
          <w:ilvl w:val="0"/>
          <w:numId w:val="0"/>
        </w:numPr>
        <w:ind w:left="504" w:hanging="504"/>
      </w:pPr>
      <w:r>
        <w:t>among the members of set x3</w:t>
      </w:r>
    </w:p>
    <w:p w:rsidR="00B72047" w:rsidRDefault="00B72047">
      <w:pPr>
        <w:pStyle w:val="resumedafterexample"/>
      </w:pPr>
      <w:r>
        <w:rPr>
          <w:rStyle w:val="htmlcodes"/>
        </w:rPr>
        <w:t>&lt;/dl&gt;&lt;p&gt;</w:t>
      </w:r>
      <w:r>
        <w:t>Why is it necessary for the x3 place of “fadni” to be a set? Because it</w:t>
      </w:r>
      <w:r>
        <w:rPr>
          <w:rStyle w:val="deletedparamark"/>
        </w:rPr>
        <w:t xml:space="preserve"> </w:t>
      </w:r>
      <w:r>
        <w:t>makes no sense for an individual to be typical of another individual: an</w:t>
      </w:r>
      <w:r>
        <w:rPr>
          <w:rStyle w:val="deletedparamark"/>
        </w:rPr>
        <w:t xml:space="preserve"> </w:t>
      </w:r>
      <w:r>
        <w:t>individual is typical of a group. In order to make sure that the bridi</w:t>
      </w:r>
      <w:r>
        <w:rPr>
          <w:rStyle w:val="deletedparamark"/>
        </w:rPr>
        <w:t xml:space="preserve"> </w:t>
      </w:r>
      <w:r>
        <w:t>containing “fadni” is about an entire group, its x3 place must be filled</w:t>
      </w:r>
      <w:r>
        <w:rPr>
          <w:rStyle w:val="deletedparamark"/>
        </w:rPr>
        <w:t xml:space="preserve"> </w:t>
      </w:r>
      <w:r>
        <w:t>with a set:</w:t>
      </w:r>
    </w:p>
    <w:p w:rsidR="00B72047" w:rsidRDefault="00B72047">
      <w:pPr>
        <w:rPr>
          <w:rStyle w:val="htmlparacode"/>
        </w:rPr>
      </w:pPr>
      <w:r>
        <w:rPr>
          <w:rStyle w:val="htmlparacode"/>
        </w:rPr>
        <w:t>&lt;p&gt;</w:t>
      </w:r>
    </w:p>
    <w:p w:rsidR="00B72047" w:rsidRDefault="00B72047">
      <w:pPr>
        <w:pStyle w:val="examplescaledpre"/>
      </w:pPr>
      <w:r>
        <w:rPr>
          <w:rStyle w:val="indexentry"/>
        </w:rPr>
        <w:t>&lt;ex "typical Lojban user"&gt;</w:t>
      </w:r>
      <w:r>
        <w:rPr>
          <w:rStyle w:val="indexentry"/>
        </w:rPr>
        <w:fldChar w:fldCharType="begin"/>
      </w:r>
      <w:r>
        <w:instrText>xe "</w:instrText>
      </w:r>
      <w:r>
        <w:rPr>
          <w:rStyle w:val="xeentry"/>
        </w:rPr>
        <w:instrText>typical Lojban user: example</w:instrText>
      </w:r>
      <w:r>
        <w:instrText>"</w:instrText>
      </w:r>
      <w:r>
        <w:rPr>
          <w:rStyle w:val="indexentry"/>
        </w:rPr>
        <w:fldChar w:fldCharType="end"/>
      </w:r>
      <w:r>
        <w:rPr>
          <w:rStyle w:val="htmlcodes"/>
        </w:rPr>
        <w:t>&lt;pre&gt;&lt;a name=e4d4&gt;</w:t>
      </w:r>
      <w:r>
        <w:t>4.4)</w:t>
      </w:r>
      <w:r>
        <w:tab/>
        <w:t>mi fadni zo’e lo'i lobypli</w:t>
      </w:r>
    </w:p>
    <w:p w:rsidR="00B72047" w:rsidRDefault="00B72047">
      <w:pPr>
        <w:pStyle w:val="examplescaled"/>
      </w:pPr>
      <w:r>
        <w:tab/>
        <w:t>I am-ordinary among the-set-of Lojban-users.</w:t>
      </w:r>
    </w:p>
    <w:p w:rsidR="00B72047" w:rsidRDefault="00B72047">
      <w:pPr>
        <w:pStyle w:val="examplescaled"/>
      </w:pPr>
      <w:r>
        <w:tab/>
        <w:t>I am a typical Lojban user.</w:t>
      </w:r>
    </w:p>
    <w:p w:rsidR="00B72047" w:rsidRDefault="00B72047">
      <w:pPr>
        <w:pStyle w:val="resumedafterexample"/>
        <w:spacing w:before="0"/>
      </w:pPr>
      <w:r>
        <w:rPr>
          <w:rStyle w:val="htmlcodes"/>
          <w:vanish w:val="0"/>
        </w:rPr>
        <w:br w:type="page"/>
      </w:r>
      <w:r>
        <w:rPr>
          <w:rStyle w:val="htmlcodes"/>
        </w:rPr>
        <w:t>&lt;/pre&gt;&lt;p&gt;</w:t>
      </w:r>
      <w:r>
        <w:t>Note that the x2 place has been omitted; I am not specifying in ex</w:t>
      </w:r>
      <w:r>
        <w:softHyphen/>
        <w:t>actly</w:t>
      </w:r>
      <w:r>
        <w:rPr>
          <w:rStyle w:val="deletedparamark"/>
        </w:rPr>
        <w:t xml:space="preserve"> </w:t>
      </w:r>
      <w:r>
        <w:t>which way I am typical — whether in language knowledge, or age, or</w:t>
      </w:r>
      <w:r>
        <w:rPr>
          <w:rStyle w:val="deletedparamark"/>
        </w:rPr>
        <w:t xml:space="preserve"> </w:t>
      </w:r>
      <w:r>
        <w:t xml:space="preserve">interests, or something else. If “lo'i” were changed to “lo” in </w:t>
      </w:r>
      <w:r>
        <w:rPr>
          <w:rStyle w:val="htmlcodes"/>
        </w:rPr>
        <w:t>&lt;a href=#e4d4&gt;</w:t>
      </w:r>
      <w:r>
        <w:t>Example 4.4</w:t>
      </w:r>
      <w:r>
        <w:rPr>
          <w:rStyle w:val="htmlcodes"/>
        </w:rPr>
        <w:t>&lt;/a&gt;</w:t>
      </w:r>
      <w:r>
        <w:t>,</w:t>
      </w:r>
      <w:r>
        <w:rPr>
          <w:rStyle w:val="deletedparamark"/>
        </w:rPr>
        <w:t xml:space="preserve"> </w:t>
      </w:r>
      <w:r>
        <w:t>the meaning would be something like “I am typical of some Lojban user”,</w:t>
      </w:r>
      <w:r>
        <w:rPr>
          <w:rStyle w:val="deletedparamark"/>
        </w:rPr>
        <w:t xml:space="preserve"> </w:t>
      </w:r>
      <w:r>
        <w:t>which is nonsense.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241" w:name="_Toc395691539"/>
      <w:bookmarkStart w:id="242" w:name="_Toc398970510"/>
      <w:r>
        <w:rPr>
          <w:rStyle w:val="Heading3Text"/>
        </w:rPr>
        <w:t>Descriptors for typical objects</w:t>
      </w:r>
      <w:bookmarkEnd w:id="241"/>
      <w:bookmarkEnd w:id="24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lo'e</w:t>
      </w:r>
      <w:r>
        <w:tab/>
        <w:t>LE</w:t>
      </w:r>
      <w:r>
        <w:tab/>
        <w:t>the typical</w:t>
      </w:r>
    </w:p>
    <w:p w:rsidR="00B72047" w:rsidRDefault="00B72047">
      <w:pPr>
        <w:pStyle w:val="examplescaled"/>
      </w:pPr>
      <w:r>
        <w:tab/>
        <w:t>le'e</w:t>
      </w:r>
      <w:r>
        <w:tab/>
        <w:t>LE</w:t>
      </w:r>
      <w:r>
        <w:tab/>
        <w:t>the stereotypical</w:t>
      </w:r>
    </w:p>
    <w:p w:rsidR="00B72047" w:rsidRDefault="00B72047">
      <w:pPr>
        <w:pStyle w:val="normalafterexample"/>
      </w:pPr>
      <w:r>
        <w:rPr>
          <w:rStyle w:val="htmlcodes"/>
        </w:rPr>
        <w:t>&lt;/pre&gt;</w:t>
      </w:r>
      <w:r>
        <w:rPr>
          <w:rStyle w:val="indexentry"/>
        </w:rPr>
        <w:t>&lt;lx "lo'e"&gt;</w:t>
      </w:r>
      <w:r>
        <w:rPr>
          <w:rStyle w:val="indexentry"/>
        </w:rPr>
        <w:fldChar w:fldCharType="begin"/>
      </w:r>
      <w:r>
        <w:instrText>xe "</w:instrText>
      </w:r>
      <w:r>
        <w:rPr>
          <w:rStyle w:val="xeentry"/>
        </w:rPr>
        <w:instrText>lo'e</w:instrText>
      </w:r>
      <w:r>
        <w:instrText>"</w:instrText>
      </w:r>
      <w:r>
        <w:rPr>
          <w:rStyle w:val="indexentry"/>
        </w:rPr>
        <w:fldChar w:fldCharType="end"/>
      </w:r>
      <w:r>
        <w:t xml:space="preserve">As promised in </w:t>
      </w:r>
      <w:r>
        <w:rPr>
          <w:rStyle w:val="htmlcodes"/>
        </w:rPr>
        <w:t>&lt;a href=#s3&gt;</w:t>
      </w:r>
      <w:r>
        <w:t>Section 3</w:t>
      </w:r>
      <w:r>
        <w:rPr>
          <w:rStyle w:val="htmlcodes"/>
        </w:rPr>
        <w:t>&lt;/a&gt;</w:t>
      </w:r>
      <w:r>
        <w:t>, Lojban has a method for discrimi</w:t>
      </w:r>
      <w:r>
        <w:softHyphen/>
        <w:t>nating between</w:t>
      </w:r>
      <w:r>
        <w:rPr>
          <w:rStyle w:val="deletedparamark"/>
        </w:rPr>
        <w:t xml:space="preserve"> “</w:t>
      </w:r>
      <w:r>
        <w:t>the lion” who lives in Africa and “the Englishman” who, generally speaking,</w:t>
      </w:r>
      <w:r>
        <w:rPr>
          <w:rStyle w:val="deletedparamark"/>
        </w:rPr>
        <w:t xml:space="preserve"> </w:t>
      </w:r>
      <w:r>
        <w:t>doesn't live in Africa even though some Englishmen do. The descriptor</w:t>
      </w:r>
      <w:r>
        <w:rPr>
          <w:rStyle w:val="deletedparamark"/>
        </w:rPr>
        <w:t xml:space="preserve"> “</w:t>
      </w:r>
      <w:r>
        <w:t>lo'e” means “the typi</w:t>
      </w:r>
      <w:r>
        <w:softHyphen/>
        <w:t>cal”, as in</w:t>
      </w:r>
    </w:p>
    <w:p w:rsidR="00B72047" w:rsidRDefault="00B72047">
      <w:pPr>
        <w:rPr>
          <w:rStyle w:val="htmlparacode"/>
        </w:rPr>
      </w:pPr>
      <w:r>
        <w:rPr>
          <w:rStyle w:val="htmlparacode"/>
        </w:rPr>
        <w:t>&lt;p&gt;</w:t>
      </w:r>
    </w:p>
    <w:p w:rsidR="00B72047" w:rsidRDefault="00B72047">
      <w:pPr>
        <w:pStyle w:val="examplescaledpre"/>
      </w:pPr>
      <w:r>
        <w:rPr>
          <w:rStyle w:val="indexentry"/>
        </w:rPr>
        <w:t>&lt;ex "lion in Africa"&gt;</w:t>
      </w:r>
      <w:r>
        <w:rPr>
          <w:rStyle w:val="indexentry"/>
        </w:rPr>
        <w:fldChar w:fldCharType="begin"/>
      </w:r>
      <w:r>
        <w:instrText>xe "</w:instrText>
      </w:r>
      <w:r>
        <w:rPr>
          <w:rStyle w:val="xeentry"/>
        </w:rPr>
        <w:instrText>lion in Africa: example</w:instrText>
      </w:r>
      <w:r>
        <w:instrText>"</w:instrText>
      </w:r>
      <w:r>
        <w:rPr>
          <w:rStyle w:val="indexentry"/>
        </w:rPr>
        <w:fldChar w:fldCharType="end"/>
      </w:r>
      <w:r>
        <w:rPr>
          <w:rStyle w:val="htmlcodes"/>
        </w:rPr>
        <w:t>&lt;pre&gt;&lt;a name=e5d1&gt;</w:t>
      </w:r>
      <w:r>
        <w:t>5.1)</w:t>
      </w:r>
      <w:r>
        <w:tab/>
        <w:t>lo'e cinfo cu xabju le fi'ortu'a</w:t>
      </w:r>
    </w:p>
    <w:p w:rsidR="00B72047" w:rsidRDefault="00B72047">
      <w:pPr>
        <w:pStyle w:val="examplescaled"/>
      </w:pPr>
      <w:r>
        <w:tab/>
        <w:t>The-typical lion dwells-in the African-land.</w:t>
      </w:r>
    </w:p>
    <w:p w:rsidR="00B72047" w:rsidRDefault="00B72047">
      <w:pPr>
        <w:pStyle w:val="examplescaled"/>
      </w:pPr>
      <w:r>
        <w:tab/>
        <w:t>Typically, lions dwell in Africa.</w:t>
      </w:r>
    </w:p>
    <w:p w:rsidR="00B72047" w:rsidRDefault="00B72047">
      <w:pPr>
        <w:pStyle w:val="examplescaled"/>
      </w:pPr>
      <w:r>
        <w:tab/>
        <w:t>The lion dwells in Africa.</w:t>
      </w:r>
    </w:p>
    <w:p w:rsidR="00B72047" w:rsidRDefault="00B72047">
      <w:pPr>
        <w:pStyle w:val="resumedafterexample"/>
      </w:pPr>
      <w:r>
        <w:rPr>
          <w:rStyle w:val="htmlcodes"/>
        </w:rPr>
        <w:t>&lt;/pre&gt;</w:t>
      </w:r>
      <w:r>
        <w:rPr>
          <w:rStyle w:val="indexentry"/>
        </w:rPr>
        <w:t>&lt;cx "typical objects, determining characteristics of"&gt;</w:t>
      </w:r>
      <w:r>
        <w:rPr>
          <w:rStyle w:val="indexentry"/>
        </w:rPr>
        <w:fldChar w:fldCharType="begin"/>
      </w:r>
      <w:r>
        <w:instrText>xe "</w:instrText>
      </w:r>
      <w:r>
        <w:rPr>
          <w:rStyle w:val="xeentry"/>
        </w:rPr>
        <w:instrText>typical objects: determining characteristics of</w:instrText>
      </w:r>
      <w:r>
        <w:instrText>"</w:instrText>
      </w:r>
      <w:r>
        <w:rPr>
          <w:rStyle w:val="indexentry"/>
        </w:rPr>
        <w:fldChar w:fldCharType="end"/>
      </w:r>
      <w:r>
        <w:rPr>
          <w:rStyle w:val="indexentry"/>
        </w:rPr>
        <w:t>&lt;cx "typical objects, and instantiation"&gt;</w:t>
      </w:r>
      <w:r>
        <w:rPr>
          <w:rStyle w:val="indexentry"/>
        </w:rPr>
        <w:fldChar w:fldCharType="begin"/>
      </w:r>
      <w:r>
        <w:instrText>xe "</w:instrText>
      </w:r>
      <w:r>
        <w:rPr>
          <w:rStyle w:val="xeentry"/>
        </w:rPr>
        <w:instrText>typical objects: and instantiation</w:instrText>
      </w:r>
      <w:r>
        <w:instrText>"</w:instrText>
      </w:r>
      <w:r>
        <w:rPr>
          <w:rStyle w:val="indexentry"/>
        </w:rPr>
        <w:fldChar w:fldCharType="end"/>
      </w:r>
      <w:r>
        <w:t>What is this “typical lion”? Surely it is not any particular lion, because</w:t>
      </w:r>
      <w:r>
        <w:rPr>
          <w:rStyle w:val="deletedparamark"/>
        </w:rPr>
        <w:t xml:space="preserve"> </w:t>
      </w:r>
      <w:r>
        <w:t>no lion has all of the “typical” characteristics, and (worse yet) some</w:t>
      </w:r>
      <w:r>
        <w:rPr>
          <w:rStyle w:val="deletedparamark"/>
        </w:rPr>
        <w:t xml:space="preserve"> </w:t>
      </w:r>
      <w:r>
        <w:t>characteristics that all real lions have can't be viewed as typical.</w:t>
      </w:r>
      <w:r>
        <w:rPr>
          <w:rStyle w:val="deletedparamark"/>
        </w:rPr>
        <w:t xml:space="preserve"> </w:t>
      </w:r>
      <w:r>
        <w:t>For example, all real lions are either male or female, but it would be</w:t>
      </w:r>
      <w:r>
        <w:rPr>
          <w:rStyle w:val="deletedparamark"/>
        </w:rPr>
        <w:t xml:space="preserve"> </w:t>
      </w:r>
      <w:r>
        <w:t>bi</w:t>
      </w:r>
      <w:r>
        <w:softHyphen/>
        <w:t>zarre to suppose that the typical lion is either one. So the typical</w:t>
      </w:r>
      <w:r>
        <w:rPr>
          <w:rStyle w:val="deletedparamark"/>
        </w:rPr>
        <w:t xml:space="preserve"> </w:t>
      </w:r>
      <w:r>
        <w:t>lion has no particular sex, but does have a color (golden brown), a resi</w:t>
      </w:r>
      <w:r>
        <w:softHyphen/>
        <w:t>dence</w:t>
      </w:r>
      <w:r>
        <w:rPr>
          <w:rStyle w:val="deletedparamark"/>
        </w:rPr>
        <w:t xml:space="preserve"> </w:t>
      </w:r>
      <w:r>
        <w:t>(Africa), a diet (game), and so on. Likewise we can say that</w:t>
      </w:r>
    </w:p>
    <w:p w:rsidR="00B72047" w:rsidRDefault="00B72047">
      <w:pPr>
        <w:rPr>
          <w:rStyle w:val="htmlparacode"/>
        </w:rPr>
      </w:pPr>
      <w:r>
        <w:rPr>
          <w:rStyle w:val="htmlparacode"/>
        </w:rPr>
        <w:t>&lt;p&gt;</w:t>
      </w:r>
    </w:p>
    <w:p w:rsidR="00B72047" w:rsidRDefault="00B72047">
      <w:pPr>
        <w:pStyle w:val="examplescaledpre"/>
      </w:pPr>
      <w:r>
        <w:rPr>
          <w:rStyle w:val="indexentry"/>
        </w:rPr>
        <w:t>&lt;ex "typical Englishman"&gt;</w:t>
      </w:r>
      <w:r>
        <w:rPr>
          <w:rStyle w:val="indexentry"/>
        </w:rPr>
        <w:fldChar w:fldCharType="begin"/>
      </w:r>
      <w:r>
        <w:instrText>xe "</w:instrText>
      </w:r>
      <w:r>
        <w:rPr>
          <w:rStyle w:val="xeentry"/>
        </w:rPr>
        <w:instrText>typical Englishman: example</w:instrText>
      </w:r>
      <w:r>
        <w:instrText>"</w:instrText>
      </w:r>
      <w:r>
        <w:rPr>
          <w:rStyle w:val="indexentry"/>
        </w:rPr>
        <w:fldChar w:fldCharType="end"/>
      </w:r>
      <w:r>
        <w:rPr>
          <w:rStyle w:val="htmlcodes"/>
        </w:rPr>
        <w:t>&lt;pre&gt;&lt;a name=e5d2&gt;</w:t>
      </w:r>
      <w:r>
        <w:t>5.2)</w:t>
      </w:r>
      <w:r>
        <w:tab/>
        <w:t>lo'e glipre cu xabju le fi'ortu'a na.e</w:t>
      </w:r>
    </w:p>
    <w:p w:rsidR="00B72047" w:rsidRDefault="00B72047">
      <w:pPr>
        <w:pStyle w:val="examplescaled"/>
      </w:pPr>
      <w:r>
        <w:tab/>
      </w:r>
      <w:r>
        <w:tab/>
        <w:t>le gligugde</w:t>
      </w:r>
    </w:p>
    <w:p w:rsidR="00B72047" w:rsidRDefault="00B72047">
      <w:pPr>
        <w:pStyle w:val="examplescaled"/>
      </w:pPr>
      <w:r>
        <w:tab/>
        <w:t>The-typical English-person dwells-in the African-land (Not!) and</w:t>
      </w:r>
    </w:p>
    <w:p w:rsidR="00B72047" w:rsidRDefault="00B72047">
      <w:pPr>
        <w:pStyle w:val="examplescaled"/>
      </w:pPr>
      <w:r>
        <w:tab/>
      </w:r>
      <w:r>
        <w:tab/>
        <w:t>the English-country.</w:t>
      </w:r>
    </w:p>
    <w:p w:rsidR="00B72047" w:rsidRDefault="00B72047">
      <w:pPr>
        <w:pStyle w:val="examplescaled"/>
      </w:pPr>
      <w:r>
        <w:tab/>
        <w:t>The typical English person dwells not in Africa but in England.</w:t>
      </w:r>
    </w:p>
    <w:p w:rsidR="00B72047" w:rsidRDefault="00B72047">
      <w:pPr>
        <w:pStyle w:val="normalafterexample"/>
      </w:pPr>
      <w:r>
        <w:rPr>
          <w:rStyle w:val="htmlcodes"/>
        </w:rPr>
        <w:t>&lt;/pre&gt;</w:t>
      </w:r>
      <w:r>
        <w:rPr>
          <w:rStyle w:val="indexentry"/>
        </w:rPr>
        <w:t>&lt;cx "lo'e, relationship to lo'i"&gt;</w:t>
      </w:r>
      <w:r>
        <w:rPr>
          <w:rStyle w:val="indexentry"/>
        </w:rPr>
        <w:fldChar w:fldCharType="begin"/>
      </w:r>
      <w:r>
        <w:instrText>xe "</w:instrText>
      </w:r>
      <w:r>
        <w:rPr>
          <w:rStyle w:val="xeentry"/>
        </w:rPr>
        <w:instrText>lo'e: relationship to lo'i</w:instrText>
      </w:r>
      <w:r>
        <w:instrText>"</w:instrText>
      </w:r>
      <w:r>
        <w:rPr>
          <w:rStyle w:val="indexentry"/>
        </w:rPr>
        <w:fldChar w:fldCharType="end"/>
      </w:r>
      <w:r>
        <w:rPr>
          <w:rStyle w:val="indexentry"/>
        </w:rPr>
        <w:t>&lt;cx "lo'i, relationship to lo'e"&gt;</w:t>
      </w:r>
      <w:r>
        <w:rPr>
          <w:rStyle w:val="indexentry"/>
        </w:rPr>
        <w:fldChar w:fldCharType="begin"/>
      </w:r>
      <w:r>
        <w:instrText>xe "</w:instrText>
      </w:r>
      <w:r>
        <w:rPr>
          <w:rStyle w:val="xeentry"/>
        </w:rPr>
        <w:instrText>lo'i: relationship to lo'e</w:instrText>
      </w:r>
      <w:r>
        <w:instrText>"</w:instrText>
      </w:r>
      <w:r>
        <w:rPr>
          <w:rStyle w:val="indexentry"/>
        </w:rPr>
        <w:fldChar w:fldCharType="end"/>
      </w:r>
      <w:r>
        <w:rPr>
          <w:rStyle w:val="indexentry"/>
        </w:rPr>
        <w:t>&lt;cx "le'e, relationship to le'i"&gt;</w:t>
      </w:r>
      <w:r>
        <w:rPr>
          <w:rStyle w:val="indexentry"/>
        </w:rPr>
        <w:fldChar w:fldCharType="begin"/>
      </w:r>
      <w:r>
        <w:instrText>xe "</w:instrText>
      </w:r>
      <w:r>
        <w:rPr>
          <w:rStyle w:val="xeentry"/>
        </w:rPr>
        <w:instrText>le'e: relationship to le'i</w:instrText>
      </w:r>
      <w:r>
        <w:instrText>"</w:instrText>
      </w:r>
      <w:r>
        <w:rPr>
          <w:rStyle w:val="indexentry"/>
        </w:rPr>
        <w:fldChar w:fldCharType="end"/>
      </w:r>
      <w:r>
        <w:rPr>
          <w:rStyle w:val="indexentry"/>
        </w:rPr>
        <w:t>&lt;cx "le'i, relationship to le'e"&gt;</w:t>
      </w:r>
      <w:r>
        <w:rPr>
          <w:rStyle w:val="indexentry"/>
        </w:rPr>
        <w:fldChar w:fldCharType="begin"/>
      </w:r>
      <w:r>
        <w:instrText>xe "</w:instrText>
      </w:r>
      <w:r>
        <w:rPr>
          <w:rStyle w:val="xeentry"/>
        </w:rPr>
        <w:instrText>le'i: relationship to le'e</w:instrText>
      </w:r>
      <w:r>
        <w:instrText>"</w:instrText>
      </w:r>
      <w:r>
        <w:rPr>
          <w:rStyle w:val="indexentry"/>
        </w:rPr>
        <w:fldChar w:fldCharType="end"/>
      </w:r>
      <w:r>
        <w:t>The relationship between “lo'e cinfo” and “lo'i cinfo” may be explained</w:t>
      </w:r>
      <w:r>
        <w:rPr>
          <w:rStyle w:val="deletedparamark"/>
        </w:rPr>
        <w:t xml:space="preserve"> </w:t>
      </w:r>
      <w:r>
        <w:t>thus: the typical lion is an imaginary lion-abstraction which best</w:t>
      </w:r>
      <w:r>
        <w:rPr>
          <w:rStyle w:val="deletedparamark"/>
        </w:rPr>
        <w:t xml:space="preserve"> </w:t>
      </w:r>
      <w:r>
        <w:t>exemplifies the set of lions. There is a similar relationship be</w:t>
      </w:r>
      <w:r>
        <w:softHyphen/>
        <w:t>tween</w:t>
      </w:r>
      <w:r>
        <w:rPr>
          <w:rStyle w:val="deletedparamark"/>
        </w:rPr>
        <w:t xml:space="preserve"> “</w:t>
      </w:r>
      <w:r>
        <w:t>le'e” and “le'i”:</w:t>
      </w:r>
    </w:p>
    <w:p w:rsidR="00B72047" w:rsidRDefault="00B72047">
      <w:pPr>
        <w:rPr>
          <w:rStyle w:val="htmlparacode"/>
        </w:rPr>
      </w:pPr>
      <w:r>
        <w:rPr>
          <w:rStyle w:val="htmlparacode"/>
        </w:rPr>
        <w:t>&lt;p&gt;</w:t>
      </w:r>
    </w:p>
    <w:p w:rsidR="00B72047" w:rsidRDefault="00B72047">
      <w:pPr>
        <w:pStyle w:val="examplescaledpre"/>
      </w:pPr>
      <w:r>
        <w:rPr>
          <w:rStyle w:val="indexentry"/>
        </w:rPr>
        <w:t>&lt;lx "le'e"&gt;</w:t>
      </w:r>
      <w:r>
        <w:rPr>
          <w:rStyle w:val="indexentry"/>
        </w:rPr>
        <w:fldChar w:fldCharType="begin"/>
      </w:r>
      <w:r>
        <w:instrText>xe "</w:instrText>
      </w:r>
      <w:r>
        <w:rPr>
          <w:rStyle w:val="xeentry"/>
        </w:rPr>
        <w:instrText>le'e</w:instrText>
      </w:r>
      <w:r>
        <w:instrText>"</w:instrText>
      </w:r>
      <w:r>
        <w:rPr>
          <w:rStyle w:val="indexentry"/>
        </w:rPr>
        <w:fldChar w:fldCharType="end"/>
      </w:r>
      <w:r>
        <w:rPr>
          <w:rStyle w:val="indexentry"/>
        </w:rPr>
        <w:t>&lt;cx "stereotypical objects"&gt;</w:t>
      </w:r>
      <w:r>
        <w:rPr>
          <w:rStyle w:val="indexentry"/>
        </w:rPr>
        <w:fldChar w:fldCharType="begin"/>
      </w:r>
      <w:r>
        <w:instrText>xe "</w:instrText>
      </w:r>
      <w:r>
        <w:rPr>
          <w:rStyle w:val="xeentry"/>
        </w:rPr>
        <w:instrText>stereotypical objects</w:instrText>
      </w:r>
      <w:r>
        <w:instrText>"</w:instrText>
      </w:r>
      <w:r>
        <w:rPr>
          <w:rStyle w:val="indexentry"/>
        </w:rPr>
        <w:fldChar w:fldCharType="end"/>
      </w:r>
      <w:r>
        <w:rPr>
          <w:rStyle w:val="indexentry"/>
        </w:rPr>
        <w:t>&lt;cx "Greek-Americans own restaurants"&gt;</w:t>
      </w:r>
      <w:r>
        <w:rPr>
          <w:rStyle w:val="indexentry"/>
        </w:rPr>
        <w:fldChar w:fldCharType="begin"/>
      </w:r>
      <w:r>
        <w:instrText>xe "</w:instrText>
      </w:r>
      <w:r>
        <w:rPr>
          <w:rStyle w:val="xeentry"/>
        </w:rPr>
        <w:instrText>Greek-Americans own restaurants</w:instrText>
      </w:r>
      <w:r>
        <w:instrText>"</w:instrText>
      </w:r>
      <w:r>
        <w:rPr>
          <w:rStyle w:val="indexentry"/>
        </w:rPr>
        <w:fldChar w:fldCharType="end"/>
      </w:r>
      <w:r>
        <w:rPr>
          <w:rStyle w:val="htmlcodes"/>
        </w:rPr>
        <w:t>&lt;pre&gt;&lt;a name=e5d3&gt;</w:t>
      </w:r>
      <w:r>
        <w:t>5.3)</w:t>
      </w:r>
      <w:r>
        <w:tab/>
        <w:t>le'e xelso merko cu gusta ponse</w:t>
      </w:r>
    </w:p>
    <w:p w:rsidR="00B72047" w:rsidRDefault="00B72047">
      <w:pPr>
        <w:pStyle w:val="examplescaled"/>
      </w:pPr>
      <w:r>
        <w:tab/>
        <w:t>The-stereotypical Greek-type-of American is-a-restaurant-type-of owner.</w:t>
      </w:r>
    </w:p>
    <w:p w:rsidR="00B72047" w:rsidRDefault="00B72047">
      <w:pPr>
        <w:pStyle w:val="examplescaled"/>
      </w:pPr>
      <w:r>
        <w:tab/>
        <w:t>Lots of Greek-Americans own restaurants.</w:t>
      </w:r>
    </w:p>
    <w:p w:rsidR="00B72047" w:rsidRDefault="00B72047">
      <w:pPr>
        <w:pStyle w:val="resumedafterexample"/>
      </w:pPr>
      <w:r>
        <w:rPr>
          <w:rStyle w:val="htmlcodes"/>
        </w:rPr>
        <w:t>&lt;/pre&gt;</w:t>
      </w:r>
      <w:r>
        <w:rPr>
          <w:rStyle w:val="indexentry"/>
        </w:rPr>
        <w:t>&lt;cx "stereotypical, as not derogatory in Lojban"&gt;</w:t>
      </w:r>
      <w:r>
        <w:rPr>
          <w:rStyle w:val="indexentry"/>
        </w:rPr>
        <w:fldChar w:fldCharType="begin"/>
      </w:r>
      <w:r>
        <w:instrText>xe "</w:instrText>
      </w:r>
      <w:r>
        <w:rPr>
          <w:rStyle w:val="xeentry"/>
        </w:rPr>
        <w:instrText>stereotypical: as not derogatory in Lojban</w:instrText>
      </w:r>
      <w:r>
        <w:instrText>"</w:instrText>
      </w:r>
      <w:r>
        <w:rPr>
          <w:rStyle w:val="indexentry"/>
        </w:rPr>
        <w:fldChar w:fldCharType="end"/>
      </w:r>
      <w:r>
        <w:rPr>
          <w:rStyle w:val="indexentry"/>
        </w:rPr>
        <w:t>&lt;cx "typical, compared with stereotypical"&gt;</w:t>
      </w:r>
      <w:r>
        <w:rPr>
          <w:rStyle w:val="indexentry"/>
        </w:rPr>
        <w:fldChar w:fldCharType="begin"/>
      </w:r>
      <w:r>
        <w:instrText>xe "</w:instrText>
      </w:r>
      <w:r>
        <w:rPr>
          <w:rStyle w:val="xeentry"/>
        </w:rPr>
        <w:instrText>typical: compared with stereotypical</w:instrText>
      </w:r>
      <w:r>
        <w:instrText>"</w:instrText>
      </w:r>
      <w:r>
        <w:rPr>
          <w:rStyle w:val="indexentry"/>
        </w:rPr>
        <w:fldChar w:fldCharType="end"/>
      </w:r>
      <w:r>
        <w:rPr>
          <w:rStyle w:val="indexentry"/>
        </w:rPr>
        <w:t>&lt;cx "stereotypical, compared with typical"&gt;</w:t>
      </w:r>
      <w:r>
        <w:rPr>
          <w:rStyle w:val="indexentry"/>
        </w:rPr>
        <w:fldChar w:fldCharType="begin"/>
      </w:r>
      <w:r>
        <w:instrText>xe "</w:instrText>
      </w:r>
      <w:r>
        <w:rPr>
          <w:rStyle w:val="xeentry"/>
        </w:rPr>
        <w:instrText>stereotypical: compared with typical</w:instrText>
      </w:r>
      <w:r>
        <w:instrText>"</w:instrText>
      </w:r>
      <w:r>
        <w:rPr>
          <w:rStyle w:val="indexentry"/>
        </w:rPr>
        <w:fldChar w:fldCharType="end"/>
      </w:r>
      <w:r>
        <w:t>Here we are concerned not with the actual set of Greek-Americans, but</w:t>
      </w:r>
      <w:r>
        <w:rPr>
          <w:rStyle w:val="deletedparamark"/>
        </w:rPr>
        <w:t xml:space="preserve"> </w:t>
      </w:r>
      <w:r>
        <w:t>with the set of those the speaker has in mind, which is typified by one</w:t>
      </w:r>
      <w:r>
        <w:rPr>
          <w:rStyle w:val="deletedparamark"/>
        </w:rPr>
        <w:t xml:space="preserve"> </w:t>
      </w:r>
      <w:r>
        <w:t>(real or imaginary) who owns a restaurant. The word “stereotypical” is</w:t>
      </w:r>
      <w:r>
        <w:rPr>
          <w:rStyle w:val="deletedparamark"/>
        </w:rPr>
        <w:t xml:space="preserve"> </w:t>
      </w:r>
      <w:r>
        <w:t>often derogatory in English, but “le'e” need not be derogatory in Lojban:</w:t>
      </w:r>
      <w:r>
        <w:rPr>
          <w:rStyle w:val="deletedparamark"/>
        </w:rPr>
        <w:t xml:space="preserve"> </w:t>
      </w:r>
      <w:r>
        <w:t>it simply suggests that the example is typical in the speaker's imagination</w:t>
      </w:r>
      <w:r>
        <w:rPr>
          <w:rStyle w:val="deletedparamark"/>
        </w:rPr>
        <w:t xml:space="preserve"> </w:t>
      </w:r>
      <w:r>
        <w:t>rather than in some objectively agreed-upon way. Of course, different</w:t>
      </w:r>
      <w:r>
        <w:rPr>
          <w:rStyle w:val="deletedparamark"/>
        </w:rPr>
        <w:t xml:space="preserve"> </w:t>
      </w:r>
      <w:r>
        <w:t>spea</w:t>
      </w:r>
      <w:r>
        <w:t>k</w:t>
      </w:r>
      <w:r>
        <w:softHyphen/>
        <w:t>ers may disagree about what the features of “the typical lion” are</w:t>
      </w:r>
      <w:r>
        <w:rPr>
          <w:rStyle w:val="deletedparamark"/>
        </w:rPr>
        <w:t xml:space="preserve"> </w:t>
      </w:r>
      <w:r>
        <w:t>(some would include having a short intestine, whereas others would know</w:t>
      </w:r>
      <w:r>
        <w:rPr>
          <w:rStyle w:val="deletedparamark"/>
        </w:rPr>
        <w:t xml:space="preserve"> </w:t>
      </w:r>
      <w:r>
        <w:t>nothing of lions' intes</w:t>
      </w:r>
      <w:r>
        <w:softHyphen/>
        <w:t>tines), so the distinction between “lo'e cinfo” and</w:t>
      </w:r>
      <w:r>
        <w:rPr>
          <w:rStyle w:val="deletedparamark"/>
        </w:rPr>
        <w:t xml:space="preserve"> “</w:t>
      </w:r>
      <w:r>
        <w:t>le'e cinfo” may be very fine.</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Furthermore,</w:t>
      </w:r>
    </w:p>
    <w:p w:rsidR="00B72047" w:rsidRDefault="00B72047">
      <w:pPr>
        <w:rPr>
          <w:rStyle w:val="htmlparacode"/>
        </w:rPr>
      </w:pPr>
      <w:r>
        <w:rPr>
          <w:rStyle w:val="htmlparacode"/>
        </w:rPr>
        <w:t>&lt;p&gt;</w:t>
      </w:r>
    </w:p>
    <w:p w:rsidR="00B72047" w:rsidRDefault="00B72047">
      <w:pPr>
        <w:pStyle w:val="examplescaledpre"/>
      </w:pPr>
      <w:r>
        <w:rPr>
          <w:rStyle w:val="indexentry"/>
        </w:rPr>
        <w:t>&lt;ex "Hollywood"&gt;</w:t>
      </w:r>
      <w:r>
        <w:rPr>
          <w:rStyle w:val="indexentry"/>
        </w:rPr>
        <w:fldChar w:fldCharType="begin"/>
      </w:r>
      <w:r>
        <w:instrText>xe "</w:instrText>
      </w:r>
      <w:r>
        <w:rPr>
          <w:rStyle w:val="xeentry"/>
        </w:rPr>
        <w:instrText>Hollywood: example</w:instrText>
      </w:r>
      <w:r>
        <w:instrText>"</w:instrText>
      </w:r>
      <w:r>
        <w:rPr>
          <w:rStyle w:val="indexentry"/>
        </w:rPr>
        <w:fldChar w:fldCharType="end"/>
      </w:r>
      <w:r>
        <w:rPr>
          <w:rStyle w:val="htmlcodes"/>
        </w:rPr>
        <w:t>&lt;pre&gt;&lt;a name=e5d4&gt;</w:t>
      </w:r>
      <w:r>
        <w:t>5.4)</w:t>
      </w:r>
      <w:r>
        <w:tab/>
        <w:t>le'e skina cu se finti ne'i la xali,uyd.</w:t>
      </w:r>
    </w:p>
    <w:p w:rsidR="00B72047" w:rsidRDefault="00B72047">
      <w:pPr>
        <w:pStyle w:val="examplescaled"/>
      </w:pPr>
      <w:r>
        <w:tab/>
        <w:t>The-stereotypical movie is-invented in Hollywood.</w:t>
      </w:r>
    </w:p>
    <w:p w:rsidR="00B72047" w:rsidRDefault="00B72047">
      <w:pPr>
        <w:pStyle w:val="resumedafterexample"/>
      </w:pPr>
      <w:r>
        <w:rPr>
          <w:rStyle w:val="htmlcodes"/>
        </w:rPr>
        <w:t>&lt;/pre&gt;</w:t>
      </w:r>
      <w:r>
        <w:t>is probably true to an American, but might be false (not the stereo</w:t>
      </w:r>
      <w:r>
        <w:softHyphen/>
        <w:t>type)</w:t>
      </w:r>
      <w:r>
        <w:rPr>
          <w:rStyle w:val="deletedparamark"/>
        </w:rPr>
        <w:t xml:space="preserve"> </w:t>
      </w:r>
      <w:r>
        <w:t>to someone living in India or Russia.</w:t>
      </w:r>
    </w:p>
    <w:p w:rsidR="00B72047" w:rsidRDefault="00B72047">
      <w:pPr>
        <w:rPr>
          <w:rStyle w:val="htmlparacode"/>
        </w:rPr>
      </w:pPr>
      <w:r>
        <w:rPr>
          <w:rStyle w:val="htmlparacode"/>
        </w:rPr>
        <w:t>&lt;p&gt;</w:t>
      </w:r>
    </w:p>
    <w:p w:rsidR="00B72047" w:rsidRDefault="00B72047">
      <w:pPr>
        <w:pStyle w:val="normalparagraph"/>
      </w:pPr>
      <w:r>
        <w:rPr>
          <w:rStyle w:val="indexentry"/>
        </w:rPr>
        <w:t>&lt;ex "typical Smith"&gt;</w:t>
      </w:r>
      <w:r>
        <w:rPr>
          <w:rStyle w:val="indexentry"/>
        </w:rPr>
        <w:fldChar w:fldCharType="begin"/>
      </w:r>
      <w:r>
        <w:instrText>xe "</w:instrText>
      </w:r>
      <w:r>
        <w:rPr>
          <w:rStyle w:val="xeentry"/>
        </w:rPr>
        <w:instrText>typical Smith: example</w:instrText>
      </w:r>
      <w:r>
        <w:instrText>"</w:instrText>
      </w:r>
      <w:r>
        <w:rPr>
          <w:rStyle w:val="indexentry"/>
        </w:rPr>
        <w:fldChar w:fldCharType="end"/>
      </w:r>
      <w:r>
        <w:rPr>
          <w:rStyle w:val="indexentry"/>
        </w:rPr>
        <w:t>&lt;cx "name equivalent for “typical”, rationale for lack of"&gt;</w:t>
      </w:r>
      <w:r>
        <w:rPr>
          <w:rStyle w:val="indexentry"/>
        </w:rPr>
        <w:fldChar w:fldCharType="begin"/>
      </w:r>
      <w:r>
        <w:instrText>xe "</w:instrText>
      </w:r>
      <w:r>
        <w:rPr>
          <w:rStyle w:val="xeentry"/>
        </w:rPr>
        <w:instrText>name equivalent for typical: rationale for lack of</w:instrText>
      </w:r>
      <w:r>
        <w:instrText>"</w:instrText>
      </w:r>
      <w:r>
        <w:rPr>
          <w:rStyle w:val="indexentry"/>
        </w:rPr>
        <w:fldChar w:fldCharType="end"/>
      </w:r>
      <w:r>
        <w:t>Note that there is no naming equivalent of “lo'e” and “le'e”, because there</w:t>
      </w:r>
      <w:r>
        <w:rPr>
          <w:rStyle w:val="deletedparamark"/>
        </w:rPr>
        <w:t xml:space="preserve"> </w:t>
      </w:r>
      <w:r>
        <w:t>is no need, as a rule, for a “typical George” or a “typical Smith”.</w:t>
      </w:r>
      <w:r>
        <w:rPr>
          <w:rStyle w:val="deletedparamark"/>
        </w:rPr>
        <w:t xml:space="preserve"> </w:t>
      </w:r>
      <w:r>
        <w:t>People or things who share a co</w:t>
      </w:r>
      <w:r>
        <w:t>m</w:t>
      </w:r>
      <w:r>
        <w:softHyphen/>
        <w:t>mon name do not, in general, have any other</w:t>
      </w:r>
      <w:r>
        <w:rPr>
          <w:rStyle w:val="deletedparamark"/>
        </w:rPr>
        <w:t xml:space="preserve"> </w:t>
      </w:r>
      <w:r>
        <w:t>common attributes worth mention</w:t>
      </w:r>
      <w:r>
        <w:softHyphen/>
        <w:t>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243" w:name="_Toc395691540"/>
      <w:bookmarkStart w:id="244" w:name="_Toc398970511"/>
      <w:r>
        <w:rPr>
          <w:rStyle w:val="Heading3Text"/>
        </w:rPr>
        <w:t>Quantified sumti</w:t>
      </w:r>
      <w:bookmarkEnd w:id="243"/>
      <w:bookmarkEnd w:id="24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ro</w:t>
      </w:r>
      <w:r>
        <w:tab/>
        <w:t>PA</w:t>
      </w:r>
      <w:r>
        <w:tab/>
        <w:t>all of/each of</w:t>
      </w:r>
    </w:p>
    <w:p w:rsidR="00B72047" w:rsidRDefault="00B72047">
      <w:pPr>
        <w:pStyle w:val="examplescaled"/>
      </w:pPr>
      <w:r>
        <w:tab/>
        <w:t>su'o</w:t>
      </w:r>
      <w:r>
        <w:tab/>
        <w:t>PA</w:t>
      </w:r>
      <w:r>
        <w:tab/>
        <w:t>at least (one of)</w:t>
      </w:r>
    </w:p>
    <w:p w:rsidR="00B72047" w:rsidRDefault="00B72047">
      <w:pPr>
        <w:pStyle w:val="normalafterexample"/>
      </w:pPr>
      <w:r>
        <w:rPr>
          <w:rStyle w:val="htmlcodes"/>
        </w:rPr>
        <w:t>&lt;/pre&gt;</w:t>
      </w:r>
      <w:r>
        <w:rPr>
          <w:rStyle w:val="indexentry"/>
        </w:rPr>
        <w:t>&lt;cx "quantifiers, with sumti"&gt;</w:t>
      </w:r>
      <w:r>
        <w:rPr>
          <w:rStyle w:val="indexentry"/>
        </w:rPr>
        <w:fldChar w:fldCharType="begin"/>
      </w:r>
      <w:r>
        <w:instrText>xe "</w:instrText>
      </w:r>
      <w:r>
        <w:rPr>
          <w:rStyle w:val="xeentry"/>
        </w:rPr>
        <w:instrText>quantifier: with sumti</w:instrText>
      </w:r>
      <w:r>
        <w:instrText>"</w:instrText>
      </w:r>
      <w:r>
        <w:rPr>
          <w:rStyle w:val="indexentry"/>
        </w:rPr>
        <w:fldChar w:fldCharType="end"/>
      </w:r>
      <w:r>
        <w:rPr>
          <w:rStyle w:val="indexentry"/>
        </w:rPr>
        <w:t>&lt;cx "sumti, as having implicit quantifiers"&gt;</w:t>
      </w:r>
      <w:r>
        <w:rPr>
          <w:rStyle w:val="indexentry"/>
        </w:rPr>
        <w:fldChar w:fldCharType="begin"/>
      </w:r>
      <w:r>
        <w:instrText>xe "</w:instrText>
      </w:r>
      <w:r>
        <w:rPr>
          <w:rStyle w:val="xeentry"/>
        </w:rPr>
        <w:instrText>sumti: as having implicit quantifiers</w:instrText>
      </w:r>
      <w:r>
        <w:instrText>"</w:instrText>
      </w:r>
      <w:r>
        <w:rPr>
          <w:rStyle w:val="indexentry"/>
        </w:rPr>
        <w:fldChar w:fldCharType="end"/>
      </w:r>
      <w:r>
        <w:t>Quantifiers tell us how many: in the case of quantifiers with sumti,</w:t>
      </w:r>
      <w:r>
        <w:rPr>
          <w:rStyle w:val="deletedparamark"/>
        </w:rPr>
        <w:t xml:space="preserve"> </w:t>
      </w:r>
      <w:r>
        <w:t>how many things we are talking about. In Lojban, quantifiers are</w:t>
      </w:r>
      <w:r>
        <w:rPr>
          <w:rStyle w:val="deletedparamark"/>
        </w:rPr>
        <w:t xml:space="preserve"> </w:t>
      </w:r>
      <w:r>
        <w:t>expressed by numbers and mathematical expressions: a large topic</w:t>
      </w:r>
      <w:r>
        <w:rPr>
          <w:rStyle w:val="deletedparamark"/>
        </w:rPr>
        <w:t xml:space="preserve"> </w:t>
      </w:r>
      <w:r>
        <w:t xml:space="preserve">discussed in some detail in </w:t>
      </w:r>
      <w:r>
        <w:rPr>
          <w:rStyle w:val="htmlcodes"/>
        </w:rPr>
        <w:t>&lt;a href=chap18.html&gt;</w:t>
      </w:r>
      <w:r>
        <w:t>Chapter 18</w:t>
      </w:r>
      <w:r>
        <w:rPr>
          <w:rStyle w:val="htmlcodes"/>
        </w:rPr>
        <w:t>&lt;/a&gt;</w:t>
      </w:r>
      <w:r>
        <w:t>. For the purposes of this chapter,</w:t>
      </w:r>
      <w:r>
        <w:rPr>
          <w:rStyle w:val="deletedparamark"/>
        </w:rPr>
        <w:t xml:space="preserve"> </w:t>
      </w:r>
      <w:r>
        <w:t>a simplified treatment will suffice. Our examples will employ either the</w:t>
      </w:r>
      <w:r>
        <w:rPr>
          <w:rStyle w:val="deletedparamark"/>
        </w:rPr>
        <w:t xml:space="preserve"> </w:t>
      </w:r>
      <w:r>
        <w:t>simple Lojban numbers “pa”, “re”, “ci”, “vo”, and “mu”, meaning “one”,</w:t>
      </w:r>
      <w:r>
        <w:rPr>
          <w:rStyle w:val="deletedparamark"/>
        </w:rPr>
        <w:t xml:space="preserve"> “</w:t>
      </w:r>
      <w:r>
        <w:t>two”, “three”, “four”, “five” respectively, or else one of four special</w:t>
      </w:r>
      <w:r>
        <w:rPr>
          <w:rStyle w:val="deletedparamark"/>
        </w:rPr>
        <w:t xml:space="preserve"> </w:t>
      </w:r>
      <w:r>
        <w:t>quantifiers, two of which are discussed in this section and</w:t>
      </w:r>
      <w:r>
        <w:rPr>
          <w:rStyle w:val="deletedparamark"/>
        </w:rPr>
        <w:t xml:space="preserve"> </w:t>
      </w:r>
      <w:r>
        <w:t>listed above. These four quantifiers are im</w:t>
      </w:r>
      <w:r>
        <w:softHyphen/>
        <w:t>portant because every</w:t>
      </w:r>
      <w:r>
        <w:rPr>
          <w:rStyle w:val="deletedparamark"/>
        </w:rPr>
        <w:t xml:space="preserve"> </w:t>
      </w:r>
      <w:r>
        <w:t>Loj</w:t>
      </w:r>
      <w:r>
        <w:softHyphen/>
        <w:t>ban sumti has either one or two of them implicitly present in it — which</w:t>
      </w:r>
      <w:r>
        <w:rPr>
          <w:rStyle w:val="deletedparamark"/>
        </w:rPr>
        <w:t xml:space="preserve"> </w:t>
      </w:r>
      <w:r>
        <w:t>one or two depends on the particular kind of sumti. There is more</w:t>
      </w:r>
      <w:r>
        <w:rPr>
          <w:rStyle w:val="deletedparamark"/>
        </w:rPr>
        <w:t xml:space="preserve"> </w:t>
      </w:r>
      <w:r>
        <w:t>explana</w:t>
      </w:r>
      <w:r>
        <w:softHyphen/>
        <w:t>tion of implicit quantifiers later in this section. (The</w:t>
      </w:r>
      <w:r>
        <w:rPr>
          <w:rStyle w:val="deletedparamark"/>
        </w:rPr>
        <w:t xml:space="preserve"> </w:t>
      </w:r>
      <w:r>
        <w:t xml:space="preserve">other two quantifiers, “piro” and “pisu'o”, are explained in </w:t>
      </w:r>
      <w:r>
        <w:rPr>
          <w:rStyle w:val="htmlcodes"/>
        </w:rPr>
        <w:t>&lt;a href=#s7&gt;</w:t>
      </w:r>
      <w:r>
        <w:t>Section 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"sumti, with explicit quantifiers"&gt;</w:t>
      </w:r>
      <w:r>
        <w:rPr>
          <w:rStyle w:val="indexentry"/>
        </w:rPr>
        <w:fldChar w:fldCharType="begin"/>
      </w:r>
      <w:r>
        <w:instrText>xe "</w:instrText>
      </w:r>
      <w:r>
        <w:rPr>
          <w:rStyle w:val="xeentry"/>
        </w:rPr>
        <w:instrText>sumti: with explicit quantifiers</w:instrText>
      </w:r>
      <w:r>
        <w:instrText>"</w:instrText>
      </w:r>
      <w:r>
        <w:rPr>
          <w:rStyle w:val="indexentry"/>
        </w:rPr>
        <w:fldChar w:fldCharType="end"/>
      </w:r>
      <w:r>
        <w:rPr>
          <w:rStyle w:val="indexentry"/>
        </w:rPr>
        <w:t>&lt;cx "quantifiers, explicit on sumti"&gt;</w:t>
      </w:r>
      <w:r>
        <w:rPr>
          <w:rStyle w:val="indexentry"/>
        </w:rPr>
        <w:fldChar w:fldCharType="begin"/>
      </w:r>
      <w:r>
        <w:instrText>xe "</w:instrText>
      </w:r>
      <w:r>
        <w:rPr>
          <w:rStyle w:val="xeentry"/>
        </w:rPr>
        <w:instrText>quantifier: explicit on sumti</w:instrText>
      </w:r>
      <w:r>
        <w:instrText>"</w:instrText>
      </w:r>
      <w:r>
        <w:rPr>
          <w:rStyle w:val="indexentry"/>
        </w:rPr>
        <w:fldChar w:fldCharType="end"/>
      </w:r>
      <w:r>
        <w:t>Every Lojban sumti may optionally be preceded by an explicit quantifier.</w:t>
      </w:r>
      <w:r>
        <w:rPr>
          <w:rStyle w:val="deletedparamark"/>
        </w:rPr>
        <w:t xml:space="preserve"> </w:t>
      </w:r>
      <w:r>
        <w:t>The pu</w:t>
      </w:r>
      <w:r>
        <w:t>r</w:t>
      </w:r>
      <w:r>
        <w:softHyphen/>
        <w:t>pose of this quantifier is to specify how many of the things</w:t>
      </w:r>
      <w:r>
        <w:rPr>
          <w:rStyle w:val="deletedparamark"/>
        </w:rPr>
        <w:t xml:space="preserve"> </w:t>
      </w:r>
      <w:r>
        <w:t>referred to by the sumti are being talked about. Here are some simple</w:t>
      </w:r>
      <w:r>
        <w:rPr>
          <w:rStyle w:val="deletedparamark"/>
        </w:rPr>
        <w:t xml:space="preserve"> </w:t>
      </w:r>
      <w:r>
        <w:t>examples contrasting sumti with and without explicit quantifi</w:t>
      </w:r>
      <w:r>
        <w:softHyphen/>
        <w:t>ers:</w:t>
      </w:r>
    </w:p>
    <w:p w:rsidR="00B72047" w:rsidRDefault="00B72047">
      <w:pPr>
        <w:rPr>
          <w:rStyle w:val="htmlparacode"/>
        </w:rPr>
      </w:pPr>
      <w:r>
        <w:rPr>
          <w:rStyle w:val="htmlparacode"/>
        </w:rPr>
        <w:t>&lt;p&gt;</w:t>
      </w:r>
    </w:p>
    <w:p w:rsidR="00B72047" w:rsidRDefault="00B72047">
      <w:pPr>
        <w:pStyle w:val="examplescaledpre"/>
      </w:pPr>
      <w:r>
        <w:rPr>
          <w:rStyle w:val="indexentry"/>
        </w:rPr>
        <w:t>&lt;cx "sumti with explicit quantifier, contrasted with sumti without explicit quantifier"&gt;</w:t>
      </w:r>
      <w:r>
        <w:rPr>
          <w:rStyle w:val="indexentry"/>
        </w:rPr>
        <w:fldChar w:fldCharType="begin"/>
      </w:r>
      <w:r>
        <w:instrText>xe "</w:instrText>
      </w:r>
      <w:r>
        <w:rPr>
          <w:rStyle w:val="xeentry"/>
        </w:rPr>
        <w:instrText>sumti with explicit quantifier: contrasted with sumti without explicit quantifier</w:instrText>
      </w:r>
      <w:r>
        <w:instrText>"</w:instrText>
      </w:r>
      <w:r>
        <w:rPr>
          <w:rStyle w:val="indexentry"/>
        </w:rPr>
        <w:fldChar w:fldCharType="end"/>
      </w:r>
      <w:r>
        <w:rPr>
          <w:rStyle w:val="htmlcodes"/>
        </w:rPr>
        <w:t>&lt;pre&gt;&lt;a name=e6d1&gt;</w:t>
      </w:r>
      <w:r>
        <w:t>6.1)</w:t>
      </w:r>
      <w:r>
        <w:tab/>
        <w:t>do cadzu le bisli</w:t>
      </w:r>
    </w:p>
    <w:p w:rsidR="00B72047" w:rsidRDefault="00B72047">
      <w:pPr>
        <w:pStyle w:val="examplescaled"/>
      </w:pPr>
      <w:r>
        <w:tab/>
        <w:t>You walk-on the ice.</w:t>
      </w:r>
    </w:p>
    <w:p w:rsidR="00B72047" w:rsidRDefault="00B72047">
      <w:pPr>
        <w:pStyle w:val="examplescaledpre"/>
      </w:pPr>
      <w:r>
        <w:rPr>
          <w:rStyle w:val="htmlcodes"/>
        </w:rPr>
        <w:t>&lt;a name=e6d2&gt;</w:t>
      </w:r>
      <w:r>
        <w:t>6.2)</w:t>
      </w:r>
      <w:r>
        <w:tab/>
        <w:t>re do cadzu le bisli</w:t>
      </w:r>
    </w:p>
    <w:p w:rsidR="00B72047" w:rsidRDefault="00B72047">
      <w:pPr>
        <w:pStyle w:val="examplescaled"/>
      </w:pPr>
      <w:r>
        <w:tab/>
        <w:t>Two-of you walk-on the ice.</w:t>
      </w:r>
    </w:p>
    <w:p w:rsidR="00B72047" w:rsidRDefault="00B72047">
      <w:pPr>
        <w:pStyle w:val="resumedafterexample"/>
      </w:pPr>
      <w:r>
        <w:rPr>
          <w:rStyle w:val="htmlcodes"/>
        </w:rPr>
        <w:t>&lt;/pre&gt;</w:t>
      </w:r>
      <w:r>
        <w:rPr>
          <w:rStyle w:val="indexentry"/>
        </w:rPr>
        <w:t>&lt;cx "number, meaning of when used as a quantifier"&gt;</w:t>
      </w:r>
      <w:r>
        <w:rPr>
          <w:rStyle w:val="indexentry"/>
        </w:rPr>
        <w:fldChar w:fldCharType="begin"/>
      </w:r>
      <w:r>
        <w:instrText>xe "</w:instrText>
      </w:r>
      <w:r>
        <w:rPr>
          <w:rStyle w:val="xeentry"/>
        </w:rPr>
        <w:instrText>numbers: meaning when used as quantifiers</w:instrText>
      </w:r>
      <w:r>
        <w:instrText>"</w:instrText>
      </w:r>
      <w:r>
        <w:rPr>
          <w:rStyle w:val="indexentry"/>
        </w:rPr>
        <w:fldChar w:fldCharType="end"/>
      </w:r>
      <w:r>
        <w:rPr>
          <w:rStyle w:val="indexentry"/>
        </w:rPr>
        <w:t>&lt;cx "quantifiers on sumti, numbers as an exact amounts"&gt;</w:t>
      </w:r>
      <w:r>
        <w:rPr>
          <w:rStyle w:val="indexentry"/>
        </w:rPr>
        <w:fldChar w:fldCharType="begin"/>
      </w:r>
      <w:r>
        <w:instrText>xe "</w:instrText>
      </w:r>
      <w:r>
        <w:rPr>
          <w:rStyle w:val="xeentry"/>
        </w:rPr>
        <w:instrText>quantifier: on sumti, indicating exact number</w:instrText>
      </w:r>
      <w:r>
        <w:instrText>"</w:instrText>
      </w:r>
      <w:r>
        <w:rPr>
          <w:rStyle w:val="indexentry"/>
        </w:rPr>
        <w:fldChar w:fldCharType="end"/>
      </w:r>
      <w:r>
        <w:t xml:space="preserve">The difference between </w:t>
      </w:r>
      <w:r>
        <w:rPr>
          <w:rStyle w:val="htmlcodes"/>
        </w:rPr>
        <w:t>&lt;a href=#e6d1&gt;</w:t>
      </w:r>
      <w:r>
        <w:t xml:space="preserve">Example 6.1 </w:t>
      </w:r>
      <w:r>
        <w:rPr>
          <w:rStyle w:val="htmlcodes"/>
        </w:rPr>
        <w:t>&lt;/a&gt;</w:t>
      </w:r>
      <w:r>
        <w:t xml:space="preserve">and </w:t>
      </w:r>
      <w:r>
        <w:rPr>
          <w:rStyle w:val="htmlcodes"/>
        </w:rPr>
        <w:t>&lt;a href=#e6d2&gt;</w:t>
      </w:r>
      <w:r>
        <w:t xml:space="preserve">Example 6.2 </w:t>
      </w:r>
      <w:r>
        <w:rPr>
          <w:rStyle w:val="htmlcodes"/>
        </w:rPr>
        <w:t>&lt;/a&gt;</w:t>
      </w:r>
      <w:r>
        <w:t>is the pres</w:t>
      </w:r>
      <w:r>
        <w:softHyphen/>
        <w:t>ence of the</w:t>
      </w:r>
      <w:r>
        <w:rPr>
          <w:rStyle w:val="deletedparamark"/>
        </w:rPr>
        <w:t xml:space="preserve"> </w:t>
      </w:r>
      <w:r>
        <w:t>explicit quantifier “re” in the latter example. Although “re” by</w:t>
      </w:r>
      <w:r>
        <w:rPr>
          <w:rStyle w:val="deletedparamark"/>
        </w:rPr>
        <w:t xml:space="preserve"> </w:t>
      </w:r>
      <w:r>
        <w:t>itself means “two”, when used as a quantifier it means “two-of”.</w:t>
      </w:r>
      <w:r>
        <w:rPr>
          <w:rStyle w:val="deletedparamark"/>
        </w:rPr>
        <w:t xml:space="preserve"> </w:t>
      </w:r>
      <w:r>
        <w:t>Out of the group of listeners (the number of which isn't stated),</w:t>
      </w:r>
      <w:r>
        <w:rPr>
          <w:rStyle w:val="deletedparamark"/>
        </w:rPr>
        <w:t xml:space="preserve"> </w:t>
      </w:r>
      <w:r>
        <w:t>two (we are not told which ones) are asserted to be “walkers on the ice”.</w:t>
      </w:r>
      <w:r>
        <w:rPr>
          <w:rStyle w:val="deletedparamark"/>
        </w:rPr>
        <w:t xml:space="preserve"> </w:t>
      </w:r>
      <w:r>
        <w:t>Im</w:t>
      </w:r>
      <w:r>
        <w:softHyphen/>
        <w:t>plic</w:t>
      </w:r>
      <w:r>
        <w:softHyphen/>
        <w:t>itly, the others (if any) are not walkers on the ice. In Lojban,</w:t>
      </w:r>
      <w:r>
        <w:rPr>
          <w:rStyle w:val="deletedparamark"/>
        </w:rPr>
        <w:t xml:space="preserve"> </w:t>
      </w:r>
      <w:r>
        <w:t>you cannot say “I own three shoes” if in fact you own four shoes.</w:t>
      </w:r>
      <w:r>
        <w:rPr>
          <w:rStyle w:val="deletedparamark"/>
        </w:rPr>
        <w:t xml:space="preserve"> </w:t>
      </w:r>
      <w:r>
        <w:t>Num</w:t>
      </w:r>
      <w:r>
        <w:softHyphen/>
        <w:t>bers need never be specified, but if they are specified they must</w:t>
      </w:r>
      <w:r>
        <w:rPr>
          <w:rStyle w:val="deletedparamark"/>
        </w:rPr>
        <w:t xml:space="preserve"> </w:t>
      </w:r>
      <w:r>
        <w:t>be correct.</w:t>
      </w:r>
    </w:p>
    <w:p w:rsidR="00B72047" w:rsidRDefault="00B72047">
      <w:pPr>
        <w:rPr>
          <w:rStyle w:val="htmlparacode"/>
        </w:rPr>
      </w:pPr>
      <w:r>
        <w:rPr>
          <w:rStyle w:val="htmlparacode"/>
        </w:rPr>
        <w:t>&lt;p&gt;</w:t>
      </w:r>
    </w:p>
    <w:p w:rsidR="00B72047" w:rsidRDefault="00B72047">
      <w:pPr>
        <w:pStyle w:val="normalparagraph"/>
      </w:pPr>
      <w:r>
        <w:rPr>
          <w:rStyle w:val="indexentry"/>
        </w:rPr>
        <w:t>&lt;cx "quantifiers on sumti, expressing inexact amounts with"&gt;</w:t>
      </w:r>
      <w:r>
        <w:rPr>
          <w:rStyle w:val="indexentry"/>
        </w:rPr>
        <w:fldChar w:fldCharType="begin"/>
      </w:r>
      <w:r>
        <w:instrText>xe "</w:instrText>
      </w:r>
      <w:r>
        <w:rPr>
          <w:rStyle w:val="xeentry"/>
        </w:rPr>
        <w:instrText>quantifier: on sumti, expressing inexact amount with</w:instrText>
      </w:r>
      <w:r>
        <w:instrText>"</w:instrText>
      </w:r>
      <w:r>
        <w:rPr>
          <w:rStyle w:val="indexentry"/>
        </w:rPr>
        <w:fldChar w:fldCharType="end"/>
      </w:r>
      <w:r>
        <w:t>(This rule does not mean that there is no way to specify a number</w:t>
      </w:r>
      <w:r>
        <w:rPr>
          <w:rStyle w:val="deletedparamark"/>
        </w:rPr>
        <w:t xml:space="preserve"> </w:t>
      </w:r>
      <w:r>
        <w:t>which is vague. The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mi ponse su'o ci cutci</w:t>
      </w:r>
    </w:p>
    <w:p w:rsidR="00B72047" w:rsidRDefault="00B72047">
      <w:pPr>
        <w:pStyle w:val="examplescaled"/>
      </w:pPr>
      <w:r>
        <w:tab/>
        <w:t>I possess at-least three shoes.</w:t>
      </w:r>
    </w:p>
    <w:p w:rsidR="00B72047" w:rsidRDefault="00B72047">
      <w:pPr>
        <w:pStyle w:val="resumedafterexample"/>
      </w:pPr>
      <w:r>
        <w:rPr>
          <w:rStyle w:val="htmlcodes"/>
        </w:rPr>
        <w:t>&lt;/pre&gt;</w:t>
      </w:r>
      <w:r>
        <w:rPr>
          <w:rStyle w:val="indexentry"/>
        </w:rPr>
        <w:t>&lt;cx "vague numbers"&gt;</w:t>
      </w:r>
      <w:r>
        <w:rPr>
          <w:rStyle w:val="indexentry"/>
        </w:rPr>
        <w:fldChar w:fldCharType="begin"/>
      </w:r>
      <w:r>
        <w:instrText>xe "</w:instrText>
      </w:r>
      <w:r>
        <w:rPr>
          <w:rStyle w:val="xeentry"/>
        </w:rPr>
        <w:instrText>vague numbers</w:instrText>
      </w:r>
      <w:r>
        <w:instrText>"</w:instrText>
      </w:r>
      <w:r>
        <w:rPr>
          <w:rStyle w:val="indexentry"/>
        </w:rPr>
        <w:fldChar w:fldCharType="end"/>
      </w:r>
      <w:r>
        <w:t>is true if you own three shoes, or four, or indeed any larger number. More</w:t>
      </w:r>
      <w:r>
        <w:rPr>
          <w:rStyle w:val="deletedparamark"/>
        </w:rPr>
        <w:t xml:space="preserve"> </w:t>
      </w:r>
      <w:r>
        <w:t>details on vague numbers appear in the discussion of mathe</w:t>
      </w:r>
      <w:r>
        <w:softHyphen/>
        <w:t>matical</w:t>
      </w:r>
      <w:r>
        <w:rPr>
          <w:rStyle w:val="deletedparamark"/>
        </w:rPr>
        <w:t xml:space="preserve"> </w:t>
      </w:r>
      <w:r>
        <w:t xml:space="preserve">expressions in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 xml:space="preserve">Now consider </w:t>
      </w:r>
      <w:r>
        <w:rPr>
          <w:rStyle w:val="htmlcodes"/>
        </w:rPr>
        <w:t>&lt;a href=#e6d1&gt;</w:t>
      </w:r>
      <w:r>
        <w:t xml:space="preserve">Example 6.1 </w:t>
      </w:r>
      <w:r>
        <w:rPr>
          <w:rStyle w:val="htmlcodes"/>
        </w:rPr>
        <w:t>&lt;/a&gt;</w:t>
      </w:r>
      <w:r>
        <w:t>again. How many of the listeners are claimed to</w:t>
      </w:r>
      <w:r>
        <w:rPr>
          <w:rStyle w:val="deletedparamark"/>
        </w:rPr>
        <w:t xml:space="preserve"> </w:t>
      </w:r>
      <w:r>
        <w:t>walk on the ice? The answer turns out to be: all of them, however</w:t>
      </w:r>
      <w:r>
        <w:rPr>
          <w:rStyle w:val="deletedparamark"/>
        </w:rPr>
        <w:t xml:space="preserve"> </w:t>
      </w:r>
      <w:r>
        <w:t xml:space="preserve">many that is. So </w:t>
      </w:r>
      <w:r>
        <w:rPr>
          <w:rStyle w:val="htmlcodes"/>
        </w:rPr>
        <w:t>&lt;a href=#e6d1&gt;</w:t>
      </w:r>
      <w:r>
        <w:t>Ex</w:t>
      </w:r>
      <w:r>
        <w:softHyphen/>
        <w:t xml:space="preserve">ample 6.1 </w:t>
      </w:r>
      <w:r>
        <w:rPr>
          <w:rStyle w:val="htmlcodes"/>
        </w:rPr>
        <w:t>&lt;/a&gt;</w:t>
      </w:r>
      <w:r>
        <w:t xml:space="preserve">and </w:t>
      </w:r>
      <w:r>
        <w:rPr>
          <w:rStyle w:val="htmlcodes"/>
        </w:rPr>
        <w:t>&lt;a href=#e6d4&gt;</w:t>
      </w:r>
      <w:r>
        <w:t>Example 6.4</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ro do cadzu le bisli</w:t>
      </w:r>
    </w:p>
    <w:p w:rsidR="00B72047" w:rsidRDefault="00B72047">
      <w:pPr>
        <w:pStyle w:val="examplescaled"/>
      </w:pPr>
      <w:r>
        <w:tab/>
        <w:t>All-of you walk-on the ice.</w:t>
      </w:r>
    </w:p>
    <w:p w:rsidR="00B72047" w:rsidRDefault="00B72047">
      <w:pPr>
        <w:pStyle w:val="resumedafterexample"/>
      </w:pPr>
      <w:r>
        <w:rPr>
          <w:rStyle w:val="htmlcodes"/>
        </w:rPr>
        <w:t>&lt;/pre&gt;</w:t>
      </w:r>
      <w:r>
        <w:rPr>
          <w:rStyle w:val="indexentry"/>
        </w:rPr>
        <w:t>&lt;cx "implicit quantifier, on personal pro-sumti"&gt;</w:t>
      </w:r>
      <w:r>
        <w:rPr>
          <w:rStyle w:val="indexentry"/>
        </w:rPr>
        <w:fldChar w:fldCharType="begin"/>
      </w:r>
      <w:r>
        <w:instrText>xe "</w:instrText>
      </w:r>
      <w:r>
        <w:rPr>
          <w:rStyle w:val="xeentry"/>
        </w:rPr>
        <w:instrText>implicit quantifier: on personal pro-sumti</w:instrText>
      </w:r>
      <w:r>
        <w:instrText>"</w:instrText>
      </w:r>
      <w:r>
        <w:rPr>
          <w:rStyle w:val="indexentry"/>
        </w:rPr>
        <w:fldChar w:fldCharType="end"/>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rPr>
          <w:rStyle w:val="indexentry"/>
        </w:rPr>
        <w:t>&lt;cx "ro, as implicit quantifier on personal pro-sumti"&gt;</w:t>
      </w:r>
      <w:r>
        <w:rPr>
          <w:rStyle w:val="indexentry"/>
        </w:rPr>
        <w:fldChar w:fldCharType="begin"/>
      </w:r>
      <w:r>
        <w:instrText>xe "</w:instrText>
      </w:r>
      <w:r>
        <w:rPr>
          <w:rStyle w:val="xeentry"/>
        </w:rPr>
        <w:instrText>ro: as implicit quantifier on personal pro-sumti</w:instrText>
      </w:r>
      <w:r>
        <w:instrText>"</w:instrText>
      </w:r>
      <w:r>
        <w:rPr>
          <w:rStyle w:val="indexentry"/>
        </w:rPr>
        <w:fldChar w:fldCharType="end"/>
      </w:r>
      <w:r>
        <w:rPr>
          <w:rStyle w:val="indexentry"/>
        </w:rPr>
        <w:t>&lt;cx "personal pro-sumti, implicit quantifier for"&gt;</w:t>
      </w:r>
      <w:r>
        <w:rPr>
          <w:rStyle w:val="indexentry"/>
        </w:rPr>
        <w:fldChar w:fldCharType="begin"/>
      </w:r>
      <w:r>
        <w:instrText>xe "</w:instrText>
      </w:r>
      <w:r>
        <w:rPr>
          <w:rStyle w:val="xeentry"/>
        </w:rPr>
        <w:instrText>personal pro-sumti: implicit quantifier for</w:instrText>
      </w:r>
      <w:r>
        <w:instrText>"</w:instrText>
      </w:r>
      <w:r>
        <w:rPr>
          <w:rStyle w:val="indexentry"/>
        </w:rPr>
        <w:fldChar w:fldCharType="end"/>
      </w:r>
      <w:r>
        <w:rPr>
          <w:rStyle w:val="indexentry"/>
        </w:rPr>
        <w:t>&lt;cx "implicit quantifier, definition"&gt;</w:t>
      </w:r>
      <w:r>
        <w:rPr>
          <w:rStyle w:val="indexentry"/>
        </w:rPr>
        <w:fldChar w:fldCharType="begin"/>
      </w:r>
      <w:r>
        <w:instrText>xe "</w:instrText>
      </w:r>
      <w:r>
        <w:rPr>
          <w:rStyle w:val="xeentry"/>
        </w:rPr>
        <w:instrText>implicit quantifier: definition</w:instrText>
      </w:r>
      <w:r>
        <w:instrText>"</w:instrText>
      </w:r>
      <w:r>
        <w:rPr>
          <w:rStyle w:val="indexentry"/>
        </w:rPr>
        <w:fldChar w:fldCharType="end"/>
      </w:r>
      <w:r>
        <w:t>turn out to mean exactly the same thing. This is a safe strategy, be</w:t>
      </w:r>
      <w:r>
        <w:softHyphen/>
        <w:t>cause</w:t>
      </w:r>
      <w:r>
        <w:rPr>
          <w:rStyle w:val="deletedparamark"/>
        </w:rPr>
        <w:t xml:space="preserve"> </w:t>
      </w:r>
      <w:r>
        <w:t>if one of my li</w:t>
      </w:r>
      <w:r>
        <w:t>s</w:t>
      </w:r>
      <w:r>
        <w:softHyphen/>
        <w:t>teners doesn't turn out to be walking on the ice, I can</w:t>
      </w:r>
      <w:r>
        <w:rPr>
          <w:rStyle w:val="deletedparamark"/>
        </w:rPr>
        <w:t xml:space="preserve"> </w:t>
      </w:r>
      <w:r>
        <w:t>safely claim that I didn't intend that person to be a listener! And in</w:t>
      </w:r>
      <w:r>
        <w:rPr>
          <w:rStyle w:val="deletedparamark"/>
        </w:rPr>
        <w:t xml:space="preserve"> </w:t>
      </w:r>
      <w:r>
        <w:t>fact, all of the personal pro-sumti such as “mi” and “mi'o” and “ko”</w:t>
      </w:r>
      <w:r>
        <w:rPr>
          <w:rStyle w:val="deletedparamark"/>
        </w:rPr>
        <w:t xml:space="preserve"> </w:t>
      </w:r>
      <w:r>
        <w:t>obey the same rule. We say that personal pro-sumti have a so-called “implicit</w:t>
      </w:r>
      <w:r>
        <w:rPr>
          <w:rStyle w:val="deletedparamark"/>
        </w:rPr>
        <w:t xml:space="preserve"> </w:t>
      </w:r>
      <w:r>
        <w:t>quantifier” of “ro” (all). This just means that if no quantifier is given</w:t>
      </w:r>
      <w:r>
        <w:rPr>
          <w:rStyle w:val="deletedparamark"/>
        </w:rPr>
        <w:t xml:space="preserve"> </w:t>
      </w:r>
      <w:r>
        <w:t>explic</w:t>
      </w:r>
      <w:r>
        <w:softHyphen/>
        <w:t>itly, the meaning is the same as if the implicit quantifier</w:t>
      </w:r>
      <w:r>
        <w:rPr>
          <w:rStyle w:val="deletedparamark"/>
        </w:rPr>
        <w:t xml:space="preserve"> </w:t>
      </w:r>
      <w:r>
        <w:t>had been used.</w:t>
      </w:r>
    </w:p>
    <w:p w:rsidR="00B72047" w:rsidRDefault="00B72047">
      <w:pPr>
        <w:rPr>
          <w:rStyle w:val="htmlparacode"/>
        </w:rPr>
      </w:pPr>
      <w:r>
        <w:rPr>
          <w:rStyle w:val="htmlparacode"/>
        </w:rPr>
        <w:t>&lt;p&gt;</w:t>
      </w:r>
    </w:p>
    <w:p w:rsidR="00B72047" w:rsidRDefault="00B72047">
      <w:pPr>
        <w:pStyle w:val="normalparagraph"/>
      </w:pPr>
      <w:r>
        <w:rPr>
          <w:rStyle w:val="indexentry"/>
        </w:rPr>
        <w:t>&lt;cx "implicit quantifier, on quotations, discussion of"&gt;</w:t>
      </w:r>
      <w:r>
        <w:rPr>
          <w:rStyle w:val="indexentry"/>
        </w:rPr>
        <w:fldChar w:fldCharType="begin"/>
      </w:r>
      <w:r>
        <w:instrText>xe "</w:instrText>
      </w:r>
      <w:r>
        <w:rPr>
          <w:rStyle w:val="xeentry"/>
        </w:rPr>
        <w:instrText>implicit quantifier: on quotations, discussion of</w:instrText>
      </w:r>
      <w:r>
        <w:instrText>"</w:instrText>
      </w:r>
      <w:r>
        <w:rPr>
          <w:rStyle w:val="indexentry"/>
        </w:rPr>
        <w:fldChar w:fldCharType="end"/>
      </w:r>
      <w:r>
        <w:t>Not all sumti have “ro” as the implicit quantifier, however. Consider</w:t>
      </w:r>
      <w:r>
        <w:rPr>
          <w:rStyle w:val="deletedparamark"/>
        </w:rPr>
        <w:t xml:space="preserve"> </w:t>
      </w:r>
      <w:r>
        <w:t>the quo</w:t>
      </w:r>
      <w:r>
        <w:softHyphen/>
        <w:t>tation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mi cusku lu do cadzu le bisli li'u</w:t>
      </w:r>
    </w:p>
    <w:p w:rsidR="00B72047" w:rsidRDefault="00B72047">
      <w:pPr>
        <w:pStyle w:val="examplescaled"/>
      </w:pPr>
      <w:r>
        <w:tab/>
        <w:t>I express [quote] you walk-on the ice [unquote].</w:t>
      </w:r>
    </w:p>
    <w:p w:rsidR="00B72047" w:rsidRDefault="00B72047">
      <w:pPr>
        <w:pStyle w:val="examplescaled"/>
      </w:pPr>
      <w:r>
        <w:tab/>
        <w:t>I say, “You walk on the ice.”</w:t>
      </w:r>
    </w:p>
    <w:p w:rsidR="00B72047" w:rsidRDefault="00B72047">
      <w:pPr>
        <w:pStyle w:val="resumedafterexample"/>
      </w:pPr>
      <w:r>
        <w:rPr>
          <w:rStyle w:val="htmlcodes"/>
        </w:rPr>
        <w:t>&lt;/pre&gt;&lt;p&gt;</w:t>
      </w:r>
      <w:r>
        <w:t>What is the implicit quantifier of the quotation “lu do cadzu le bisli li'u”?</w:t>
      </w:r>
      <w:r>
        <w:rPr>
          <w:rStyle w:val="deletedparamark"/>
        </w:rPr>
        <w:t xml:space="preserve"> </w:t>
      </w:r>
      <w:r>
        <w:t>Surely not “ro”. If “ro” were supplied explicitly,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mi cusku ro lu do cadzu le bisli li'u</w:t>
      </w:r>
    </w:p>
    <w:p w:rsidR="00B72047" w:rsidRDefault="00B72047">
      <w:pPr>
        <w:pStyle w:val="examplescaled"/>
      </w:pPr>
      <w:r>
        <w:tab/>
        <w:t>I express all-of [quote] you walk-on the ice [unquote].</w:t>
      </w:r>
    </w:p>
    <w:p w:rsidR="00B72047" w:rsidRDefault="00B72047">
      <w:pPr>
        <w:pStyle w:val="resumedafterexample"/>
      </w:pPr>
      <w:r>
        <w:rPr>
          <w:rStyle w:val="htmlcodes"/>
        </w:rPr>
        <w:t>&lt;/pre&gt;</w:t>
      </w:r>
      <w:r>
        <w:t>the meaning would be something like “I say every occurrence of the</w:t>
      </w:r>
      <w:r>
        <w:rPr>
          <w:rStyle w:val="deletedparamark"/>
        </w:rPr>
        <w:t xml:space="preserve"> </w:t>
      </w:r>
      <w:r>
        <w:t>sentence 'You walk on the ice’”. Of course I don't say every occur</w:t>
      </w:r>
      <w:r>
        <w:softHyphen/>
        <w:t>rence</w:t>
      </w:r>
      <w:r>
        <w:rPr>
          <w:rStyle w:val="deletedparamark"/>
        </w:rPr>
        <w:t xml:space="preserve"> </w:t>
      </w:r>
      <w:r>
        <w:t xml:space="preserve">of it, only some occurrences. One might suppose that </w:t>
      </w:r>
      <w:r>
        <w:rPr>
          <w:rStyle w:val="htmlcodes"/>
        </w:rPr>
        <w:t>&lt;a href=#e6d5&gt;</w:t>
      </w:r>
      <w:r>
        <w:t xml:space="preserve">Example 6.5 </w:t>
      </w:r>
      <w:r>
        <w:rPr>
          <w:rStyle w:val="htmlcodes"/>
        </w:rPr>
        <w:t>&lt;/a&gt;</w:t>
      </w:r>
      <w:r>
        <w:t>means</w:t>
      </w:r>
      <w:r>
        <w:rPr>
          <w:rStyle w:val="deletedparamark"/>
        </w:rPr>
        <w:t xml:space="preserve"> </w:t>
      </w:r>
      <w:r>
        <w:t>that I express exactly one occurrence, but it is more Loj</w:t>
      </w:r>
      <w:r>
        <w:softHyphen/>
        <w:t>banic to leave</w:t>
      </w:r>
      <w:r>
        <w:rPr>
          <w:rStyle w:val="deletedparamark"/>
        </w:rPr>
        <w:t xml:space="preserve"> </w:t>
      </w:r>
      <w:r>
        <w:t>the number unspecified, as with other sumti. We can say def</w:t>
      </w:r>
      <w:r>
        <w:t>i</w:t>
      </w:r>
      <w:r>
        <w:softHyphen/>
        <w:t>nitely,</w:t>
      </w:r>
      <w:r>
        <w:rPr>
          <w:rStyle w:val="deletedparamark"/>
        </w:rPr>
        <w:t xml:space="preserve"> </w:t>
      </w:r>
      <w:r>
        <w:t>however, that I say it at least once.</w:t>
      </w:r>
    </w:p>
    <w:p w:rsidR="00B72047" w:rsidRDefault="00B72047">
      <w:pPr>
        <w:rPr>
          <w:rStyle w:val="htmlparacode"/>
        </w:rPr>
      </w:pPr>
      <w:r>
        <w:rPr>
          <w:rStyle w:val="htmlparacode"/>
        </w:rPr>
        <w:t>&lt;p&gt;</w:t>
      </w:r>
    </w:p>
    <w:p w:rsidR="00B72047" w:rsidRDefault="00B72047">
      <w:pPr>
        <w:pStyle w:val="normalparagraph"/>
      </w:pPr>
      <w:r>
        <w:rPr>
          <w:rStyle w:val="indexentry"/>
        </w:rPr>
        <w:t>&lt;lx "su'o"&gt;</w:t>
      </w:r>
      <w:r>
        <w:rPr>
          <w:rStyle w:val="indexentry"/>
        </w:rPr>
        <w:fldChar w:fldCharType="begin"/>
      </w:r>
      <w:r>
        <w:instrText>xe "</w:instrText>
      </w:r>
      <w:r>
        <w:rPr>
          <w:rStyle w:val="xeentry"/>
        </w:rPr>
        <w:instrText>su'o</w:instrText>
      </w:r>
      <w:r>
        <w:instrText>"</w:instrText>
      </w:r>
      <w:r>
        <w:rPr>
          <w:rStyle w:val="indexentry"/>
        </w:rPr>
        <w:fldChar w:fldCharType="end"/>
      </w:r>
      <w:r>
        <w:t>The Lojban cmavo meaning “at least” is “su'o”, and if no ordi</w:t>
      </w:r>
      <w:r>
        <w:softHyphen/>
        <w:t>nary number</w:t>
      </w:r>
      <w:r>
        <w:rPr>
          <w:rStyle w:val="deletedparamark"/>
        </w:rPr>
        <w:t xml:space="preserve"> </w:t>
      </w:r>
      <w:r>
        <w:t xml:space="preserve">follows, “su'o” means “at least once”. (See </w:t>
      </w:r>
      <w:r>
        <w:rPr>
          <w:rStyle w:val="htmlcodes"/>
        </w:rPr>
        <w:t>&lt;a href=#e6d3&gt;</w:t>
      </w:r>
      <w:r>
        <w:t xml:space="preserve">Example 6.3 </w:t>
      </w:r>
      <w:r>
        <w:rPr>
          <w:rStyle w:val="htmlcodes"/>
        </w:rPr>
        <w:t>&lt;/a&gt;</w:t>
      </w:r>
      <w:r>
        <w:t>for the use of</w:t>
      </w:r>
      <w:r>
        <w:rPr>
          <w:rStyle w:val="deletedparamark"/>
        </w:rPr>
        <w:t xml:space="preserve"> “</w:t>
      </w:r>
      <w:r>
        <w:t>su'o” with an ordinary number). Therefore, the explicitly quantified</w:t>
      </w:r>
      <w:r>
        <w:rPr>
          <w:rStyle w:val="deletedparamark"/>
        </w:rPr>
        <w:t xml:space="preserve"> </w:t>
      </w:r>
      <w:r>
        <w:t xml:space="preserve">version of </w:t>
      </w:r>
      <w:r>
        <w:rPr>
          <w:rStyle w:val="htmlcodes"/>
        </w:rPr>
        <w:t>&lt;a href=#e6d5&gt;</w:t>
      </w:r>
      <w:r>
        <w:t xml:space="preserve">Example 6.5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indexentry"/>
        </w:rPr>
        <w:t>&lt;cx "su'o, as implicit quantifier for quotations"&gt;</w:t>
      </w:r>
      <w:r>
        <w:rPr>
          <w:rStyle w:val="indexentry"/>
        </w:rPr>
        <w:fldChar w:fldCharType="begin"/>
      </w:r>
      <w:r>
        <w:instrText>xe "</w:instrText>
      </w:r>
      <w:r>
        <w:rPr>
          <w:rStyle w:val="xeentry"/>
        </w:rPr>
        <w:instrText>su'o: as implicit quantifier for quotations</w:instrText>
      </w:r>
      <w:r>
        <w:instrText>"</w:instrText>
      </w:r>
      <w:r>
        <w:rPr>
          <w:rStyle w:val="indexentry"/>
        </w:rPr>
        <w:fldChar w:fldCharType="end"/>
      </w:r>
      <w:r>
        <w:rPr>
          <w:rStyle w:val="indexentry"/>
        </w:rPr>
        <w:t>&lt;cx "quotations, implicit quantifier for"&gt;</w:t>
      </w:r>
      <w:r>
        <w:rPr>
          <w:rStyle w:val="indexentry"/>
        </w:rPr>
        <w:fldChar w:fldCharType="begin"/>
      </w:r>
      <w:r>
        <w:instrText>xe "</w:instrText>
      </w:r>
      <w:r>
        <w:rPr>
          <w:rStyle w:val="xeentry"/>
        </w:rPr>
        <w:instrText>quotation: implicit quantifier for</w:instrText>
      </w:r>
      <w:r>
        <w:instrText>"</w:instrText>
      </w:r>
      <w:r>
        <w:rPr>
          <w:rStyle w:val="indexentry"/>
        </w:rPr>
        <w:fldChar w:fldCharType="end"/>
      </w:r>
      <w:r>
        <w:rPr>
          <w:rStyle w:val="indexentry"/>
        </w:rPr>
        <w:t>&lt;cx "implicit quantifier, for quotations"&gt;</w:t>
      </w:r>
      <w:r>
        <w:rPr>
          <w:rStyle w:val="indexentry"/>
        </w:rPr>
        <w:fldChar w:fldCharType="begin"/>
      </w:r>
      <w:r>
        <w:instrText>xe "</w:instrText>
      </w:r>
      <w:r>
        <w:rPr>
          <w:rStyle w:val="xeentry"/>
        </w:rPr>
        <w:instrText>implicit quantifier: for quotations</w:instrText>
      </w:r>
      <w:r>
        <w:instrText>"</w:instrText>
      </w:r>
      <w:r>
        <w:rPr>
          <w:rStyle w:val="indexentry"/>
        </w:rPr>
        <w:fldChar w:fldCharType="end"/>
      </w:r>
      <w:r>
        <w:rPr>
          <w:rStyle w:val="htmlcodes"/>
        </w:rPr>
        <w:t>&lt;pre&gt;&lt;a name=e6d7&gt;</w:t>
      </w:r>
      <w:r>
        <w:t>6.7)</w:t>
      </w:r>
      <w:r>
        <w:tab/>
        <w:t>mi cusku su'o lu do cadzu le bisli li'u</w:t>
      </w:r>
    </w:p>
    <w:p w:rsidR="00B72047" w:rsidRDefault="00B72047">
      <w:pPr>
        <w:pStyle w:val="examplescaled"/>
      </w:pPr>
      <w:r>
        <w:tab/>
        <w:t>I express at-least-one-of [quote] you walk-on the ice [unquote].</w:t>
      </w:r>
    </w:p>
    <w:p w:rsidR="00B72047" w:rsidRDefault="00B72047">
      <w:pPr>
        <w:pStyle w:val="examplescaled"/>
      </w:pPr>
      <w:r>
        <w:tab/>
        <w:t>I say one or more instances of “You walk on the ice”.</w:t>
      </w:r>
    </w:p>
    <w:p w:rsidR="00B72047" w:rsidRDefault="00B72047">
      <w:pPr>
        <w:pStyle w:val="examplescaled"/>
      </w:pPr>
      <w:r>
        <w:tab/>
        <w:t>I say “You walk on the ice”.</w:t>
      </w:r>
    </w:p>
    <w:p w:rsidR="00B72047" w:rsidRDefault="00B72047">
      <w:pPr>
        <w:pStyle w:val="resumedafterexample"/>
      </w:pPr>
      <w:r>
        <w:rPr>
          <w:rStyle w:val="htmlcodes"/>
        </w:rPr>
        <w:t>&lt;/pre&gt;&lt;p&gt;</w:t>
      </w:r>
      <w:r>
        <w:t>If an explicit ordinary number such as “re” were to appear, it would have to</w:t>
      </w:r>
      <w:r>
        <w:rPr>
          <w:rStyle w:val="deletedparamark"/>
        </w:rPr>
        <w:t xml:space="preserve"> </w:t>
      </w:r>
      <w:r>
        <w:t>convey an exact expression, so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mi cusku re lu do cadzu le bisli li'u</w:t>
      </w:r>
    </w:p>
    <w:p w:rsidR="00B72047" w:rsidRDefault="00B72047">
      <w:pPr>
        <w:pStyle w:val="examplescaled"/>
      </w:pPr>
      <w:r>
        <w:tab/>
        <w:t>I express two-of [quote] you walk-on the ice [unquote].</w:t>
      </w:r>
    </w:p>
    <w:p w:rsidR="00B72047" w:rsidRDefault="00B72047">
      <w:pPr>
        <w:pStyle w:val="resumedafterexample"/>
      </w:pPr>
      <w:r>
        <w:rPr>
          <w:rStyle w:val="htmlcodes"/>
        </w:rPr>
        <w:t>&lt;/pre&gt;</w:t>
      </w:r>
      <w:r>
        <w:t>means that I say the sentence exactly twice, neither more nor less.</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name=s7&gt;&lt;h3&gt;</w:t>
      </w:r>
      <w:bookmarkStart w:id="245" w:name="_Toc395691541"/>
      <w:bookmarkStart w:id="246" w:name="_Toc398970512"/>
      <w:r>
        <w:rPr>
          <w:rStyle w:val="Heading3Text"/>
        </w:rPr>
        <w:t>Quantified descriptions</w:t>
      </w:r>
      <w:bookmarkEnd w:id="245"/>
      <w:bookmarkEnd w:id="24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piro</w:t>
      </w:r>
      <w:r>
        <w:tab/>
        <w:t>PA</w:t>
      </w:r>
      <w:r>
        <w:tab/>
        <w:t>the whole of</w:t>
      </w:r>
    </w:p>
    <w:p w:rsidR="00B72047" w:rsidRDefault="00B72047">
      <w:pPr>
        <w:pStyle w:val="examplescaled"/>
      </w:pPr>
      <w:r>
        <w:tab/>
        <w:t>pisu'o</w:t>
      </w:r>
      <w:r>
        <w:tab/>
        <w:t>PA</w:t>
      </w:r>
      <w:r>
        <w:tab/>
        <w:t>a part of</w:t>
      </w:r>
    </w:p>
    <w:p w:rsidR="00B72047" w:rsidRDefault="00B72047">
      <w:pPr>
        <w:pStyle w:val="normalafterexample"/>
      </w:pPr>
      <w:r>
        <w:rPr>
          <w:rStyle w:val="htmlcodes"/>
        </w:rPr>
        <w:t>&lt;/pre&gt;</w:t>
      </w:r>
      <w:r>
        <w:rPr>
          <w:rStyle w:val="indexentry"/>
        </w:rPr>
        <w:t>&lt;cx "quantification, before description sumti compared with before non-description sumti"&gt;</w:t>
      </w:r>
      <w:r>
        <w:rPr>
          <w:rStyle w:val="indexentry"/>
        </w:rPr>
        <w:fldChar w:fldCharType="begin"/>
      </w:r>
      <w:r>
        <w:instrText>xe "</w:instrText>
      </w:r>
      <w:r>
        <w:rPr>
          <w:rStyle w:val="xeentry"/>
        </w:rPr>
        <w:instrText>quantification: before description sumti compared with before non-description sumti</w:instrText>
      </w:r>
      <w:r>
        <w:instrText>"</w:instrText>
      </w:r>
      <w:r>
        <w:rPr>
          <w:rStyle w:val="indexentry"/>
        </w:rPr>
        <w:fldChar w:fldCharType="end"/>
      </w:r>
      <w:r>
        <w:t>Like other sumti, descriptions can be quantified. When a quantifier</w:t>
      </w:r>
      <w:r>
        <w:rPr>
          <w:rStyle w:val="deletedparamark"/>
        </w:rPr>
        <w:t xml:space="preserve"> </w:t>
      </w:r>
      <w:r>
        <w:t>appears be</w:t>
      </w:r>
      <w:r>
        <w:softHyphen/>
        <w:t>fore a description, it has the same meaning as one appearing</w:t>
      </w:r>
      <w:r>
        <w:rPr>
          <w:rStyle w:val="deletedparamark"/>
        </w:rPr>
        <w:t xml:space="preserve"> </w:t>
      </w:r>
      <w:r>
        <w:t>before a non-description sumti: it specifies how many things, of all those</w:t>
      </w:r>
      <w:r>
        <w:rPr>
          <w:rStyle w:val="deletedparamark"/>
        </w:rPr>
        <w:t xml:space="preserve"> </w:t>
      </w:r>
      <w:r>
        <w:t>referred to by the description, are being talked about in this particular</w:t>
      </w:r>
      <w:r>
        <w:rPr>
          <w:rStyle w:val="deletedparamark"/>
        </w:rPr>
        <w:t xml:space="preserve"> </w:t>
      </w:r>
      <w:r>
        <w:t>bridi. Suppose that context tells us that “le gerku” refers to three</w:t>
      </w:r>
      <w:r>
        <w:rPr>
          <w:rStyle w:val="deletedparamark"/>
        </w:rPr>
        <w:t xml:space="preserve"> </w:t>
      </w:r>
      <w:r>
        <w:t>dogs. Then we can say that exactly two of them are white as follows:</w:t>
      </w:r>
    </w:p>
    <w:p w:rsidR="00B72047" w:rsidRDefault="00B72047">
      <w:pPr>
        <w:rPr>
          <w:rStyle w:val="htmlparacode"/>
        </w:rPr>
      </w:pPr>
      <w:r>
        <w:rPr>
          <w:rStyle w:val="htmlparacode"/>
        </w:rPr>
        <w:t>&lt;p&gt;</w:t>
      </w:r>
    </w:p>
    <w:p w:rsidR="00B72047" w:rsidRDefault="00B72047">
      <w:pPr>
        <w:pStyle w:val="examplescaledpre"/>
      </w:pPr>
      <w:r>
        <w:rPr>
          <w:rStyle w:val="indexentry"/>
        </w:rPr>
        <w:t>&lt;ex "two dogs are white"&gt;</w:t>
      </w:r>
      <w:r>
        <w:rPr>
          <w:rStyle w:val="indexentry"/>
        </w:rPr>
        <w:fldChar w:fldCharType="begin"/>
      </w:r>
      <w:r>
        <w:instrText>xe "</w:instrText>
      </w:r>
      <w:r>
        <w:rPr>
          <w:rStyle w:val="xeentry"/>
        </w:rPr>
        <w:instrText>two dogs are white: example</w:instrText>
      </w:r>
      <w:r>
        <w:instrText>"</w:instrText>
      </w:r>
      <w:r>
        <w:rPr>
          <w:rStyle w:val="indexentry"/>
        </w:rPr>
        <w:fldChar w:fldCharType="end"/>
      </w:r>
      <w:r>
        <w:rPr>
          <w:rStyle w:val="htmlcodes"/>
        </w:rPr>
        <w:t>&lt;pre&gt;&lt;a name=e7d1&gt;</w:t>
      </w:r>
      <w:r>
        <w:t>7.1)</w:t>
      </w:r>
      <w:r>
        <w:tab/>
        <w:t>re le gerku cu blabi</w:t>
      </w:r>
    </w:p>
    <w:p w:rsidR="00B72047" w:rsidRDefault="00B72047">
      <w:pPr>
        <w:pStyle w:val="examplescaled"/>
      </w:pPr>
      <w:r>
        <w:tab/>
        <w:t>Two-of the dogs are-white.</w:t>
      </w:r>
    </w:p>
    <w:p w:rsidR="00B72047" w:rsidRDefault="00B72047">
      <w:pPr>
        <w:pStyle w:val="examplescaled"/>
      </w:pPr>
      <w:r>
        <w:tab/>
        <w:t>Two of the dogs are white.</w:t>
      </w:r>
    </w:p>
    <w:p w:rsidR="00B72047" w:rsidRDefault="00B72047">
      <w:pPr>
        <w:pStyle w:val="normalafterexample"/>
      </w:pPr>
      <w:r>
        <w:rPr>
          <w:rStyle w:val="htmlcodes"/>
        </w:rPr>
        <w:t>&lt;/pre&gt;</w:t>
      </w:r>
      <w:r>
        <w:rPr>
          <w:rStyle w:val="indexentry"/>
        </w:rPr>
        <w:t>&lt;cx "outer quantifier, definition"&gt;</w:t>
      </w:r>
      <w:r>
        <w:rPr>
          <w:rStyle w:val="indexentry"/>
        </w:rPr>
        <w:fldChar w:fldCharType="begin"/>
      </w:r>
      <w:r>
        <w:instrText>xe "</w:instrText>
      </w:r>
      <w:r>
        <w:rPr>
          <w:rStyle w:val="xeentry"/>
        </w:rPr>
        <w:instrText>outer quantifier: definition</w:instrText>
      </w:r>
      <w:r>
        <w:instrText>"</w:instrText>
      </w:r>
      <w:r>
        <w:rPr>
          <w:rStyle w:val="indexentry"/>
        </w:rPr>
        <w:fldChar w:fldCharType="end"/>
      </w:r>
      <w:r>
        <w:rPr>
          <w:rStyle w:val="indexentry"/>
        </w:rPr>
        <w:t>&lt;cx "inner quantifier, definition"&gt;</w:t>
      </w:r>
      <w:r>
        <w:rPr>
          <w:rStyle w:val="indexentry"/>
        </w:rPr>
        <w:fldChar w:fldCharType="begin"/>
      </w:r>
      <w:r>
        <w:instrText>xe "</w:instrText>
      </w:r>
      <w:r>
        <w:rPr>
          <w:rStyle w:val="xeentry"/>
        </w:rPr>
        <w:instrText>inner quantifier: definition</w:instrText>
      </w:r>
      <w:r>
        <w:instrText>"</w:instrText>
      </w:r>
      <w:r>
        <w:rPr>
          <w:rStyle w:val="indexentry"/>
        </w:rPr>
        <w:fldChar w:fldCharType="end"/>
      </w:r>
      <w:r>
        <w:rPr>
          <w:rStyle w:val="indexentry"/>
        </w:rPr>
        <w:t>&lt;cx "outer quantifier, contrasted with inner quantifier"&gt;</w:t>
      </w:r>
      <w:r>
        <w:rPr>
          <w:rStyle w:val="indexentry"/>
        </w:rPr>
        <w:fldChar w:fldCharType="begin"/>
      </w:r>
      <w:r>
        <w:instrText>xe "</w:instrText>
      </w:r>
      <w:r>
        <w:rPr>
          <w:rStyle w:val="xeentry"/>
        </w:rPr>
        <w:instrText>outer quantifier: contrasted with inner quantifier</w:instrText>
      </w:r>
      <w:r>
        <w:instrText>"</w:instrText>
      </w:r>
      <w:r>
        <w:rPr>
          <w:rStyle w:val="indexentry"/>
        </w:rPr>
        <w:fldChar w:fldCharType="end"/>
      </w:r>
      <w:r>
        <w:rPr>
          <w:rStyle w:val="indexentry"/>
        </w:rPr>
        <w:t>&lt;cx "inner quantifier, contrasted with outer quantifier"&gt;</w:t>
      </w:r>
      <w:r>
        <w:rPr>
          <w:rStyle w:val="indexentry"/>
        </w:rPr>
        <w:fldChar w:fldCharType="begin"/>
      </w:r>
      <w:r>
        <w:instrText>xe "</w:instrText>
      </w:r>
      <w:r>
        <w:rPr>
          <w:rStyle w:val="xeentry"/>
        </w:rPr>
        <w:instrText>inner quantifier: contrasted with outer quantifier</w:instrText>
      </w:r>
      <w:r>
        <w:instrText>"</w:instrText>
      </w:r>
      <w:r>
        <w:rPr>
          <w:rStyle w:val="indexentry"/>
        </w:rPr>
        <w:fldChar w:fldCharType="end"/>
      </w:r>
      <w:r>
        <w:rPr>
          <w:rStyle w:val="indexentry"/>
        </w:rPr>
        <w:t>&lt;cx "outer quantifier, effect of on meaning"&gt;</w:t>
      </w:r>
      <w:r>
        <w:rPr>
          <w:rStyle w:val="indexentry"/>
        </w:rPr>
        <w:fldChar w:fldCharType="begin"/>
      </w:r>
      <w:r>
        <w:instrText>xe "</w:instrText>
      </w:r>
      <w:r>
        <w:rPr>
          <w:rStyle w:val="xeentry"/>
        </w:rPr>
        <w:instrText>outer quantifier: effect of on meaning</w:instrText>
      </w:r>
      <w:r>
        <w:instrText>"</w:instrText>
      </w:r>
      <w:r>
        <w:rPr>
          <w:rStyle w:val="indexentry"/>
        </w:rPr>
        <w:fldChar w:fldCharType="end"/>
      </w:r>
      <w:r>
        <w:rPr>
          <w:rStyle w:val="indexentry"/>
        </w:rPr>
        <w:t>&lt;cx "inner quantifier, effect of on meaning"&gt;</w:t>
      </w:r>
      <w:r>
        <w:rPr>
          <w:rStyle w:val="indexentry"/>
        </w:rPr>
        <w:fldChar w:fldCharType="begin"/>
      </w:r>
      <w:r>
        <w:instrText>xe "</w:instrText>
      </w:r>
      <w:r>
        <w:rPr>
          <w:rStyle w:val="xeentry"/>
        </w:rPr>
        <w:instrText>inner quantifier: effect of on meaning</w:instrText>
      </w:r>
      <w:r>
        <w:instrText>"</w:instrText>
      </w:r>
      <w:r>
        <w:rPr>
          <w:rStyle w:val="indexentry"/>
        </w:rPr>
        <w:fldChar w:fldCharType="end"/>
      </w:r>
      <w:r>
        <w:t>When discussing descriptions, this ordinary quantifier is called an</w:t>
      </w:r>
      <w:r>
        <w:rPr>
          <w:rStyle w:val="deletedparamark"/>
        </w:rPr>
        <w:t xml:space="preserve"> “</w:t>
      </w:r>
      <w:r>
        <w:t>outer quantifier”, since it appears outside the description.</w:t>
      </w:r>
      <w:r>
        <w:rPr>
          <w:rStyle w:val="deletedparamark"/>
        </w:rPr>
        <w:t xml:space="preserve"> </w:t>
      </w:r>
      <w:r>
        <w:t>But there is another possible loca</w:t>
      </w:r>
      <w:r>
        <w:softHyphen/>
        <w:t>tion for a quant</w:t>
      </w:r>
      <w:r>
        <w:t>i</w:t>
      </w:r>
      <w:r>
        <w:softHyphen/>
        <w:t>fier: between the</w:t>
      </w:r>
      <w:r>
        <w:rPr>
          <w:rStyle w:val="deletedparamark"/>
        </w:rPr>
        <w:t xml:space="preserve"> </w:t>
      </w:r>
      <w:r>
        <w:t>descriptor and the selbri. This quantifier is called an “inner quantifier”,</w:t>
      </w:r>
      <w:r>
        <w:rPr>
          <w:rStyle w:val="deletedparamark"/>
        </w:rPr>
        <w:t xml:space="preserve"> </w:t>
      </w:r>
      <w:r>
        <w:t>and its meaning is quite different: it tells the listener how many ob</w:t>
      </w:r>
      <w:r>
        <w:softHyphen/>
        <w:t>jects</w:t>
      </w:r>
      <w:r>
        <w:rPr>
          <w:rStyle w:val="deletedparamark"/>
        </w:rPr>
        <w:t xml:space="preserve"> </w:t>
      </w:r>
      <w:r>
        <w:t>the description selbri characterizes.</w:t>
      </w:r>
    </w:p>
    <w:p w:rsidR="00B72047" w:rsidRDefault="00B72047">
      <w:pPr>
        <w:rPr>
          <w:rStyle w:val="htmlparacode"/>
        </w:rPr>
      </w:pPr>
      <w:r>
        <w:rPr>
          <w:rStyle w:val="htmlparacode"/>
        </w:rPr>
        <w:t>&lt;p&gt;</w:t>
      </w:r>
    </w:p>
    <w:p w:rsidR="00B72047" w:rsidRDefault="00B72047">
      <w:pPr>
        <w:pStyle w:val="normalparagraph"/>
      </w:pPr>
      <w:r>
        <w:t xml:space="preserve">For example, the context of </w:t>
      </w:r>
      <w:r>
        <w:rPr>
          <w:rStyle w:val="htmlcodes"/>
        </w:rPr>
        <w:t>&lt;a href=#e7d1&gt;</w:t>
      </w:r>
      <w:r>
        <w:t xml:space="preserve">Example 7.1 </w:t>
      </w:r>
      <w:r>
        <w:rPr>
          <w:rStyle w:val="htmlcodes"/>
        </w:rPr>
        <w:t>&lt;/a&gt;</w:t>
      </w:r>
      <w:r>
        <w:t>supposedly told us that “le gerku”</w:t>
      </w:r>
      <w:r>
        <w:rPr>
          <w:rStyle w:val="deletedparamark"/>
        </w:rPr>
        <w:t xml:space="preserve"> </w:t>
      </w:r>
      <w:r>
        <w:t>re</w:t>
      </w:r>
      <w:r>
        <w:softHyphen/>
        <w:t>ferred to some three specific dogs. This assumption can be made</w:t>
      </w:r>
      <w:r>
        <w:rPr>
          <w:rStyle w:val="deletedparamark"/>
        </w:rPr>
        <w:t xml:space="preserve"> </w:t>
      </w:r>
      <w:r>
        <w:t>certain with the use of an e</w:t>
      </w:r>
      <w:r>
        <w:t>x</w:t>
      </w:r>
      <w:r>
        <w:softHyphen/>
        <w:t>plicit inner quantifier: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re le ci gerku cu blabi</w:t>
      </w:r>
    </w:p>
    <w:p w:rsidR="00B72047" w:rsidRDefault="00B72047">
      <w:pPr>
        <w:pStyle w:val="examplescaled"/>
      </w:pPr>
      <w:r>
        <w:tab/>
        <w:t>Two-of the three dogs are-white.</w:t>
      </w:r>
    </w:p>
    <w:p w:rsidR="00B72047" w:rsidRDefault="00B72047">
      <w:pPr>
        <w:pStyle w:val="examplescaled"/>
      </w:pPr>
      <w:r>
        <w:tab/>
        <w:t>Two of the three dogs are white.</w:t>
      </w:r>
    </w:p>
    <w:p w:rsidR="00B72047" w:rsidRDefault="00B72047">
      <w:pPr>
        <w:pStyle w:val="resumedafterexample"/>
      </w:pPr>
      <w:r>
        <w:rPr>
          <w:rStyle w:val="htmlcodes"/>
        </w:rPr>
        <w:t>&lt;/pre&gt;</w:t>
      </w:r>
      <w:r>
        <w:t xml:space="preserve">(As explained in the discussion of </w:t>
      </w:r>
      <w:r>
        <w:rPr>
          <w:rStyle w:val="htmlcodes"/>
        </w:rPr>
        <w:t>&lt;a href=#e6d3&gt;</w:t>
      </w:r>
      <w:r>
        <w:t>Example 6.3</w:t>
      </w:r>
      <w:r>
        <w:rPr>
          <w:rStyle w:val="htmlcodes"/>
        </w:rPr>
        <w:t>&lt;/a&gt;</w:t>
      </w:r>
      <w:r>
        <w:t>, simple numbers like those in</w:t>
      </w:r>
      <w:r>
        <w:rPr>
          <w:rStyle w:val="deletedparamark"/>
        </w:rPr>
        <w:t xml:space="preserve"> </w:t>
      </w:r>
      <w:r>
        <w:rPr>
          <w:rStyle w:val="htmlcodes"/>
        </w:rPr>
        <w:t>&lt;a href=#e7d2&gt;</w:t>
      </w:r>
      <w:r>
        <w:t xml:space="preserve">Example 7.2 </w:t>
      </w:r>
      <w:r>
        <w:rPr>
          <w:rStyle w:val="htmlcodes"/>
        </w:rPr>
        <w:t>&lt;/a&gt;</w:t>
      </w:r>
      <w:r>
        <w:t>must be exact: it therefore follows that the third dog cannot</w:t>
      </w:r>
      <w:r>
        <w:rPr>
          <w:rStyle w:val="deletedparamark"/>
        </w:rPr>
        <w:t xml:space="preserve"> </w:t>
      </w:r>
      <w:r>
        <w:t>be white.)</w:t>
      </w:r>
    </w:p>
    <w:p w:rsidR="00B72047" w:rsidRDefault="00B72047">
      <w:pPr>
        <w:rPr>
          <w:rStyle w:val="htmlparacode"/>
        </w:rPr>
      </w:pPr>
      <w:r>
        <w:rPr>
          <w:rStyle w:val="htmlparacode"/>
        </w:rPr>
        <w:t>&lt;p&gt;</w:t>
      </w:r>
    </w:p>
    <w:p w:rsidR="00B72047" w:rsidRDefault="00B72047">
      <w:pPr>
        <w:pStyle w:val="normalparagraph"/>
      </w:pPr>
      <w:r>
        <w:rPr>
          <w:rStyle w:val="indexentry"/>
        </w:rPr>
        <w:t>&lt;cx "inner quantifier, explicit"&gt;</w:t>
      </w:r>
      <w:r>
        <w:rPr>
          <w:rStyle w:val="indexentry"/>
        </w:rPr>
        <w:fldChar w:fldCharType="begin"/>
      </w:r>
      <w:r>
        <w:instrText>xe "</w:instrText>
      </w:r>
      <w:r>
        <w:rPr>
          <w:rStyle w:val="xeentry"/>
        </w:rPr>
        <w:instrText>inner quantifier: explicit</w:instrText>
      </w:r>
      <w:r>
        <w:instrText>"</w:instrText>
      </w:r>
      <w:r>
        <w:rPr>
          <w:rStyle w:val="indexentry"/>
        </w:rPr>
        <w:fldChar w:fldCharType="end"/>
      </w:r>
      <w:r>
        <w:t>You may also specify an explicit inner quantifier and leave the outer</w:t>
      </w:r>
      <w:r>
        <w:rPr>
          <w:rStyle w:val="deletedparamark"/>
        </w:rPr>
        <w:t xml:space="preserve"> </w:t>
      </w:r>
      <w:r>
        <w:t>quantifier i</w:t>
      </w:r>
      <w:r>
        <w:t>m</w:t>
      </w:r>
      <w:r>
        <w:softHyphen/>
        <w:t>plicit: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le ci gerku cu blabi</w:t>
      </w:r>
    </w:p>
    <w:p w:rsidR="00B72047" w:rsidRDefault="00B72047">
      <w:pPr>
        <w:pStyle w:val="examplescaled"/>
      </w:pPr>
      <w:r>
        <w:tab/>
        <w:t>The three dogs are-white.</w:t>
      </w:r>
    </w:p>
    <w:p w:rsidR="00B72047" w:rsidRDefault="00B72047">
      <w:pPr>
        <w:pStyle w:val="examplescaled"/>
      </w:pPr>
      <w:r>
        <w:tab/>
        <w:t>The three dogs are white.</w:t>
      </w:r>
    </w:p>
    <w:p w:rsidR="00B72047" w:rsidRDefault="00B72047">
      <w:pPr>
        <w:pStyle w:val="normalafterexample"/>
      </w:pPr>
      <w:r>
        <w:rPr>
          <w:rStyle w:val="htmlcodes"/>
        </w:rPr>
        <w:t>&lt;/pre&gt;</w:t>
      </w:r>
      <w:r>
        <w:rPr>
          <w:rStyle w:val="indexentry"/>
        </w:rPr>
        <w:t>&lt;cx "descriptors, implicit quantifiers for"&gt;</w:t>
      </w:r>
      <w:r>
        <w:rPr>
          <w:rStyle w:val="indexentry"/>
        </w:rPr>
        <w:fldChar w:fldCharType="begin"/>
      </w:r>
      <w:r>
        <w:instrText>xe "</w:instrText>
      </w:r>
      <w:r>
        <w:rPr>
          <w:rStyle w:val="xeentry"/>
        </w:rPr>
        <w:instrText>descriptors: implicit quantifiers for</w:instrText>
      </w:r>
      <w:r>
        <w:instrText>"</w:instrText>
      </w:r>
      <w:r>
        <w:rPr>
          <w:rStyle w:val="indexentry"/>
        </w:rPr>
        <w:fldChar w:fldCharType="end"/>
      </w:r>
      <w:r>
        <w:rPr>
          <w:rStyle w:val="indexentry"/>
        </w:rPr>
        <w:t>&lt;cx "inner quantifier, implicit on descriptors"&gt;</w:t>
      </w:r>
      <w:r>
        <w:rPr>
          <w:rStyle w:val="indexentry"/>
        </w:rPr>
        <w:fldChar w:fldCharType="begin"/>
      </w:r>
      <w:r>
        <w:instrText>xe "</w:instrText>
      </w:r>
      <w:r>
        <w:rPr>
          <w:rStyle w:val="xeentry"/>
        </w:rPr>
        <w:instrText>inner quantifier: implicit on descriptors</w:instrText>
      </w:r>
      <w:r>
        <w:instrText>"</w:instrText>
      </w:r>
      <w:r>
        <w:rPr>
          <w:rStyle w:val="indexentry"/>
        </w:rPr>
        <w:fldChar w:fldCharType="end"/>
      </w:r>
      <w:r>
        <w:rPr>
          <w:rStyle w:val="indexentry"/>
        </w:rPr>
        <w:t>&lt;cx "outer quantifier, implicit on descriptors"&gt;</w:t>
      </w:r>
      <w:r>
        <w:rPr>
          <w:rStyle w:val="indexentry"/>
        </w:rPr>
        <w:fldChar w:fldCharType="begin"/>
      </w:r>
      <w:r>
        <w:instrText>xe "</w:instrText>
      </w:r>
      <w:r>
        <w:rPr>
          <w:rStyle w:val="xeentry"/>
        </w:rPr>
        <w:instrText>outer quantifier: implicit on descriptors</w:instrText>
      </w:r>
      <w:r>
        <w:instrText>"</w:instrText>
      </w:r>
      <w:r>
        <w:rPr>
          <w:rStyle w:val="indexentry"/>
        </w:rPr>
        <w:fldChar w:fldCharType="end"/>
      </w:r>
      <w:r>
        <w:t>There are rules for each of the 11 descriptors specifying what the</w:t>
      </w:r>
      <w:r>
        <w:rPr>
          <w:rStyle w:val="deletedparamark"/>
        </w:rPr>
        <w:t xml:space="preserve"> </w:t>
      </w:r>
      <w:r>
        <w:t>implicit val</w:t>
      </w:r>
      <w:r>
        <w:softHyphen/>
        <w:t>ues for the inner and outer quantifiers are. They are meant</w:t>
      </w:r>
      <w:r>
        <w:rPr>
          <w:rStyle w:val="deletedparamark"/>
        </w:rPr>
        <w:t xml:space="preserve"> </w:t>
      </w:r>
      <w:r>
        <w:t>to provide sensible default values when context is absent, not necessarily</w:t>
      </w:r>
      <w:r>
        <w:rPr>
          <w:rStyle w:val="deletedparamark"/>
        </w:rPr>
        <w:t xml:space="preserve"> </w:t>
      </w:r>
      <w:r>
        <w:t>to prescribe hard and fast rules. The fol</w:t>
      </w:r>
      <w:r>
        <w:softHyphen/>
        <w:t>lowing table lists the implicit</w:t>
      </w:r>
      <w:r>
        <w:rPr>
          <w:rStyle w:val="deletedparamark"/>
        </w:rPr>
        <w:t xml:space="preserve"> </w:t>
      </w:r>
      <w:r>
        <w:t>values:</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&lt;lx "le"&gt;</w:t>
      </w:r>
      <w:r>
        <w:rPr>
          <w:rStyle w:val="indexentry"/>
        </w:rPr>
        <w:fldChar w:fldCharType="begin"/>
      </w:r>
      <w:r>
        <w:instrText>xe "</w:instrText>
      </w:r>
      <w:r>
        <w:rPr>
          <w:rStyle w:val="xeentry"/>
        </w:rPr>
        <w:instrText>le</w:instrText>
      </w:r>
      <w:r>
        <w:instrText>"</w:instrText>
      </w:r>
      <w:r>
        <w:rPr>
          <w:rStyle w:val="indexentry"/>
        </w:rPr>
        <w:fldChar w:fldCharType="end"/>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rPr>
          <w:rStyle w:val="indexentry"/>
        </w:rPr>
        <w:t>&lt;lx "su'o"&gt;</w:t>
      </w:r>
      <w:r>
        <w:rPr>
          <w:rStyle w:val="indexentry"/>
        </w:rPr>
        <w:fldChar w:fldCharType="begin"/>
      </w:r>
      <w:r>
        <w:instrText>xe "</w:instrText>
      </w:r>
      <w:r>
        <w:rPr>
          <w:rStyle w:val="xeentry"/>
        </w:rPr>
        <w:instrText>su'o</w:instrText>
      </w:r>
      <w:r>
        <w:instrText>"</w:instrText>
      </w:r>
      <w:r>
        <w:rPr>
          <w:rStyle w:val="indexentry"/>
        </w:rPr>
        <w:fldChar w:fldCharType="end"/>
      </w:r>
      <w:r>
        <w:rPr>
          <w:rStyle w:val="htmlcodes"/>
        </w:rPr>
        <w:t>&lt;dl compact&gt;&lt;dt&gt;</w:t>
      </w:r>
      <w:r>
        <w:t>le:</w:t>
      </w:r>
      <w:r>
        <w:tab/>
      </w:r>
      <w:r>
        <w:rPr>
          <w:rStyle w:val="htmlcodes"/>
        </w:rPr>
        <w:t>&lt;dd&gt;</w:t>
      </w:r>
      <w:r>
        <w:t>ro le su'o</w:t>
      </w:r>
    </w:p>
    <w:p w:rsidR="00B72047" w:rsidRDefault="00B72047" w:rsidP="007E67C1">
      <w:pPr>
        <w:pStyle w:val="Listnobullcontinued"/>
        <w:numPr>
          <w:ilvl w:val="0"/>
          <w:numId w:val="0"/>
        </w:numPr>
        <w:ind w:left="864" w:hanging="504"/>
      </w:pPr>
      <w:r>
        <w:tab/>
      </w:r>
      <w:r>
        <w:tab/>
        <w:t>all of the at-least-one described as</w:t>
      </w:r>
    </w:p>
    <w:p w:rsidR="00B72047" w:rsidRDefault="00B72047" w:rsidP="007E67C1">
      <w:pPr>
        <w:pStyle w:val="Listnobullets"/>
        <w:numPr>
          <w:ilvl w:val="0"/>
          <w:numId w:val="0"/>
        </w:numPr>
        <w:ind w:left="864" w:hanging="504"/>
      </w:pPr>
      <w:r>
        <w:rPr>
          <w:rStyle w:val="htmlcodes"/>
        </w:rPr>
        <w:t>&lt;/dl&gt;</w:t>
      </w:r>
      <w:r>
        <w:rPr>
          <w:rStyle w:val="indexentry"/>
        </w:rPr>
        <w:t>&lt;lx "lo"&gt;</w:t>
      </w:r>
      <w:r>
        <w:rPr>
          <w:rStyle w:val="indexentry"/>
        </w:rPr>
        <w:fldChar w:fldCharType="begin"/>
      </w:r>
      <w:r>
        <w:instrText>xe "</w:instrText>
      </w:r>
      <w:r>
        <w:rPr>
          <w:rStyle w:val="xeentry"/>
        </w:rPr>
        <w:instrText>lo</w:instrText>
      </w:r>
      <w:r>
        <w:instrText>"</w:instrText>
      </w:r>
      <w:r>
        <w:rPr>
          <w:rStyle w:val="indexentry"/>
        </w:rPr>
        <w:fldChar w:fldCharType="end"/>
      </w:r>
      <w:r>
        <w:rPr>
          <w:rStyle w:val="htmlcodes"/>
        </w:rPr>
        <w:t>&lt;dl compact&gt;&lt;dt&gt;</w:t>
      </w:r>
      <w:r>
        <w:t>lo:</w:t>
      </w:r>
      <w:r>
        <w:tab/>
      </w:r>
      <w:r>
        <w:rPr>
          <w:rStyle w:val="htmlcodes"/>
        </w:rPr>
        <w:t>&lt;dd&gt;</w:t>
      </w:r>
      <w:r>
        <w:t>su'o lo ro</w:t>
      </w:r>
    </w:p>
    <w:p w:rsidR="00B72047" w:rsidRDefault="00B72047" w:rsidP="007E67C1">
      <w:pPr>
        <w:pStyle w:val="Listnobullcontinued"/>
        <w:numPr>
          <w:ilvl w:val="0"/>
          <w:numId w:val="0"/>
        </w:numPr>
        <w:ind w:left="864" w:hanging="504"/>
      </w:pPr>
      <w:r>
        <w:tab/>
      </w:r>
      <w:r>
        <w:tab/>
        <w:t>at least one of all of those which really are</w:t>
      </w:r>
    </w:p>
    <w:p w:rsidR="00B72047" w:rsidRDefault="00B72047" w:rsidP="007E67C1">
      <w:pPr>
        <w:pStyle w:val="Listnobullets"/>
        <w:numPr>
          <w:ilvl w:val="0"/>
          <w:numId w:val="0"/>
        </w:numPr>
        <w:ind w:left="864" w:hanging="504"/>
      </w:pPr>
      <w:r>
        <w:rPr>
          <w:rStyle w:val="htmlcodes"/>
        </w:rPr>
        <w:t>&lt;/dl&gt;</w:t>
      </w:r>
      <w:r>
        <w:rPr>
          <w:rStyle w:val="indexentry"/>
        </w:rPr>
        <w:t>&lt;lx "la"&gt;</w:t>
      </w:r>
      <w:r>
        <w:rPr>
          <w:rStyle w:val="indexentry"/>
        </w:rPr>
        <w:fldChar w:fldCharType="begin"/>
      </w:r>
      <w:r>
        <w:instrText>xe "</w:instrText>
      </w:r>
      <w:r>
        <w:rPr>
          <w:rStyle w:val="xeentry"/>
        </w:rPr>
        <w:instrText>la</w:instrText>
      </w:r>
      <w:r>
        <w:instrText>"</w:instrText>
      </w:r>
      <w:r>
        <w:rPr>
          <w:rStyle w:val="indexentry"/>
        </w:rPr>
        <w:fldChar w:fldCharType="end"/>
      </w:r>
      <w:r>
        <w:rPr>
          <w:rStyle w:val="htmlcodes"/>
        </w:rPr>
        <w:t>&lt;dl compact&gt;&lt;dt&gt;</w:t>
      </w:r>
      <w:r>
        <w:t>la:</w:t>
      </w:r>
      <w:r>
        <w:tab/>
      </w:r>
      <w:r>
        <w:rPr>
          <w:rStyle w:val="htmlcodes"/>
        </w:rPr>
        <w:t>&lt;dd&gt;</w:t>
      </w:r>
      <w:r>
        <w:t>ro la su'o</w:t>
      </w:r>
    </w:p>
    <w:p w:rsidR="00B72047" w:rsidRDefault="00B72047" w:rsidP="007E67C1">
      <w:pPr>
        <w:pStyle w:val="Listnobullcontinued"/>
        <w:numPr>
          <w:ilvl w:val="0"/>
          <w:numId w:val="0"/>
        </w:numPr>
        <w:ind w:left="864" w:hanging="504"/>
      </w:pPr>
      <w:r>
        <w:tab/>
      </w:r>
      <w:r>
        <w:tab/>
        <w:t>all of the at least one named</w:t>
      </w:r>
    </w:p>
    <w:p w:rsidR="00B72047" w:rsidRDefault="00B72047" w:rsidP="007E67C1">
      <w:pPr>
        <w:pStyle w:val="Listnobullets"/>
        <w:numPr>
          <w:ilvl w:val="0"/>
          <w:numId w:val="0"/>
        </w:numPr>
        <w:spacing w:before="0"/>
        <w:ind w:left="864" w:hanging="504"/>
      </w:pPr>
      <w:r>
        <w:rPr>
          <w:rStyle w:val="htmlcodes"/>
          <w:vanish w:val="0"/>
        </w:rPr>
        <w:br w:type="page"/>
      </w:r>
      <w:r>
        <w:rPr>
          <w:rStyle w:val="htmlcodes"/>
        </w:rPr>
        <w:t>&lt;/dl&gt;</w:t>
      </w:r>
      <w:r>
        <w:rPr>
          <w:rStyle w:val="indexentry"/>
        </w:rPr>
        <w:t>&lt;lx "lei"&gt;</w:t>
      </w:r>
      <w:r>
        <w:rPr>
          <w:rStyle w:val="indexentry"/>
        </w:rPr>
        <w:fldChar w:fldCharType="begin"/>
      </w:r>
      <w:r>
        <w:instrText>xe "</w:instrText>
      </w:r>
      <w:r>
        <w:rPr>
          <w:rStyle w:val="xeentry"/>
        </w:rPr>
        <w:instrText>lei</w:instrText>
      </w:r>
      <w:r>
        <w:instrText>"</w:instrText>
      </w:r>
      <w:r>
        <w:rPr>
          <w:rStyle w:val="indexentry"/>
        </w:rPr>
        <w:fldChar w:fldCharType="end"/>
      </w:r>
      <w:r>
        <w:rPr>
          <w:rStyle w:val="htmlcodes"/>
        </w:rPr>
        <w:t>&lt;dl compact&gt;&lt;dt&gt;</w:t>
      </w:r>
      <w:r>
        <w:t>lei:</w:t>
      </w:r>
      <w:r>
        <w:tab/>
      </w:r>
      <w:r>
        <w:rPr>
          <w:rStyle w:val="htmlcodes"/>
        </w:rPr>
        <w:t>&lt;dd&gt;</w:t>
      </w:r>
      <w:r>
        <w:t>pisu'o lei su'o</w:t>
      </w:r>
    </w:p>
    <w:p w:rsidR="00B72047" w:rsidRDefault="00B72047" w:rsidP="007E67C1">
      <w:pPr>
        <w:pStyle w:val="Listnobullcontinued"/>
        <w:numPr>
          <w:ilvl w:val="0"/>
          <w:numId w:val="0"/>
        </w:numPr>
        <w:ind w:left="864" w:hanging="504"/>
      </w:pPr>
      <w:r>
        <w:tab/>
      </w:r>
      <w:r>
        <w:tab/>
        <w:t>some part of the mass of the at-least-one described as</w:t>
      </w:r>
    </w:p>
    <w:p w:rsidR="00B72047" w:rsidRDefault="00B72047" w:rsidP="007E67C1">
      <w:pPr>
        <w:pStyle w:val="Listnobullets"/>
        <w:numPr>
          <w:ilvl w:val="0"/>
          <w:numId w:val="0"/>
        </w:numPr>
        <w:ind w:left="864" w:hanging="504"/>
      </w:pPr>
      <w:r>
        <w:rPr>
          <w:rStyle w:val="htmlcodes"/>
        </w:rPr>
        <w:t>&lt;/dl&gt;</w:t>
      </w:r>
      <w:r>
        <w:rPr>
          <w:rStyle w:val="indexentry"/>
        </w:rPr>
        <w:t>&lt;lx "loi"&gt;</w:t>
      </w:r>
      <w:r>
        <w:rPr>
          <w:rStyle w:val="indexentry"/>
        </w:rPr>
        <w:fldChar w:fldCharType="begin"/>
      </w:r>
      <w:r>
        <w:instrText>xe "</w:instrText>
      </w:r>
      <w:r>
        <w:rPr>
          <w:rStyle w:val="xeentry"/>
        </w:rPr>
        <w:instrText>loi</w:instrText>
      </w:r>
      <w:r>
        <w:instrText>"</w:instrText>
      </w:r>
      <w:r>
        <w:rPr>
          <w:rStyle w:val="indexentry"/>
        </w:rPr>
        <w:fldChar w:fldCharType="end"/>
      </w:r>
      <w:r>
        <w:rPr>
          <w:rStyle w:val="htmlcodes"/>
        </w:rPr>
        <w:t>&lt;dl compact&gt;&lt;dt&gt;</w:t>
      </w:r>
      <w:r>
        <w:t>loi:</w:t>
      </w:r>
      <w:r>
        <w:tab/>
      </w:r>
      <w:r>
        <w:rPr>
          <w:rStyle w:val="htmlcodes"/>
        </w:rPr>
        <w:t>&lt;dd&gt;</w:t>
      </w:r>
      <w:r>
        <w:t>pisu'o loi ro</w:t>
      </w:r>
    </w:p>
    <w:p w:rsidR="00B72047" w:rsidRDefault="00B72047" w:rsidP="007E67C1">
      <w:pPr>
        <w:pStyle w:val="Listnobullcontinued"/>
        <w:numPr>
          <w:ilvl w:val="0"/>
          <w:numId w:val="0"/>
        </w:numPr>
        <w:ind w:left="864" w:hanging="504"/>
      </w:pPr>
      <w:r>
        <w:tab/>
      </w:r>
      <w:r>
        <w:tab/>
        <w:t>some part of the mass of all those that really are</w:t>
      </w:r>
    </w:p>
    <w:p w:rsidR="00B72047" w:rsidRDefault="00B72047" w:rsidP="007E67C1">
      <w:pPr>
        <w:pStyle w:val="Listnobullets"/>
        <w:numPr>
          <w:ilvl w:val="0"/>
          <w:numId w:val="0"/>
        </w:numPr>
        <w:ind w:left="864" w:hanging="504"/>
      </w:pPr>
      <w:r>
        <w:rPr>
          <w:rStyle w:val="htmlcodes"/>
        </w:rPr>
        <w:t>&lt;/dl&gt;</w:t>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htmlcodes"/>
        </w:rPr>
        <w:t>&lt;dl compact&gt;&lt;dt&gt;</w:t>
      </w:r>
      <w:r>
        <w:t>lai:</w:t>
      </w:r>
      <w:r>
        <w:tab/>
      </w:r>
      <w:r>
        <w:rPr>
          <w:rStyle w:val="htmlcodes"/>
        </w:rPr>
        <w:t>&lt;dd&gt;</w:t>
      </w:r>
      <w:r>
        <w:t>pisu'o lai su'o</w:t>
      </w:r>
    </w:p>
    <w:p w:rsidR="00B72047" w:rsidRDefault="00B72047" w:rsidP="007E67C1">
      <w:pPr>
        <w:pStyle w:val="Listnobullcontinued"/>
        <w:numPr>
          <w:ilvl w:val="0"/>
          <w:numId w:val="0"/>
        </w:numPr>
        <w:ind w:left="864" w:hanging="504"/>
      </w:pPr>
      <w:r>
        <w:tab/>
      </w:r>
      <w:r>
        <w:tab/>
        <w:t>some part of the mass of the at-least-one named</w:t>
      </w:r>
    </w:p>
    <w:p w:rsidR="00B72047" w:rsidRDefault="00B72047" w:rsidP="007E67C1">
      <w:pPr>
        <w:pStyle w:val="Listnobullets"/>
        <w:numPr>
          <w:ilvl w:val="0"/>
          <w:numId w:val="0"/>
        </w:numPr>
        <w:ind w:left="864" w:hanging="504"/>
      </w:pPr>
      <w:r>
        <w:rPr>
          <w:rStyle w:val="htmlcodes"/>
        </w:rPr>
        <w:t>&lt;/dl&gt;</w:t>
      </w:r>
      <w:r>
        <w:rPr>
          <w:rStyle w:val="indexentry"/>
        </w:rPr>
        <w:t>&lt;lx "le'i"&gt;</w:t>
      </w:r>
      <w:r>
        <w:rPr>
          <w:rStyle w:val="indexentry"/>
        </w:rPr>
        <w:fldChar w:fldCharType="begin"/>
      </w:r>
      <w:r>
        <w:instrText>xe "</w:instrText>
      </w:r>
      <w:r>
        <w:rPr>
          <w:rStyle w:val="xeentry"/>
        </w:rPr>
        <w:instrText>le'i</w:instrText>
      </w:r>
      <w:r>
        <w:instrText>"</w:instrText>
      </w:r>
      <w:r>
        <w:rPr>
          <w:rStyle w:val="indexentry"/>
        </w:rPr>
        <w:fldChar w:fldCharType="end"/>
      </w:r>
      <w:r>
        <w:rPr>
          <w:rStyle w:val="htmlcodes"/>
        </w:rPr>
        <w:t>&lt;dl compact&gt;&lt;dt&gt;</w:t>
      </w:r>
      <w:r>
        <w:t>le'i:</w:t>
      </w:r>
      <w:r>
        <w:tab/>
      </w:r>
      <w:r>
        <w:rPr>
          <w:rStyle w:val="htmlcodes"/>
        </w:rPr>
        <w:t>&lt;dd&gt;</w:t>
      </w:r>
      <w:r>
        <w:t>piro le'i su'o</w:t>
      </w:r>
    </w:p>
    <w:p w:rsidR="00B72047" w:rsidRDefault="00B72047" w:rsidP="007E67C1">
      <w:pPr>
        <w:pStyle w:val="Listnobullcontinued"/>
        <w:numPr>
          <w:ilvl w:val="0"/>
          <w:numId w:val="0"/>
        </w:numPr>
        <w:ind w:left="864" w:hanging="504"/>
      </w:pPr>
      <w:r>
        <w:tab/>
      </w:r>
      <w:r>
        <w:tab/>
        <w:t>the whole of the set of the at-least-one described as</w:t>
      </w:r>
    </w:p>
    <w:p w:rsidR="00B72047" w:rsidRDefault="00B72047" w:rsidP="007E67C1">
      <w:pPr>
        <w:pStyle w:val="Listnobullets"/>
        <w:numPr>
          <w:ilvl w:val="0"/>
          <w:numId w:val="0"/>
        </w:numPr>
        <w:ind w:left="864" w:hanging="504"/>
      </w:pPr>
      <w:r>
        <w:rPr>
          <w:rStyle w:val="htmlcodes"/>
        </w:rPr>
        <w:t>&lt;/dl&gt;</w:t>
      </w:r>
      <w:r>
        <w:rPr>
          <w:rStyle w:val="indexentry"/>
        </w:rPr>
        <w:t>&lt;lx "lo'i"&gt;</w:t>
      </w:r>
      <w:r>
        <w:rPr>
          <w:rStyle w:val="indexentry"/>
        </w:rPr>
        <w:fldChar w:fldCharType="begin"/>
      </w:r>
      <w:r>
        <w:instrText>xe "</w:instrText>
      </w:r>
      <w:r>
        <w:rPr>
          <w:rStyle w:val="xeentry"/>
        </w:rPr>
        <w:instrText>lo'i</w:instrText>
      </w:r>
      <w:r>
        <w:instrText>"</w:instrText>
      </w:r>
      <w:r>
        <w:rPr>
          <w:rStyle w:val="indexentry"/>
        </w:rPr>
        <w:fldChar w:fldCharType="end"/>
      </w:r>
      <w:r>
        <w:rPr>
          <w:rStyle w:val="htmlcodes"/>
        </w:rPr>
        <w:t>&lt;dl compact&gt;&lt;dt&gt;</w:t>
      </w:r>
      <w:r>
        <w:t>lo'i:</w:t>
      </w:r>
      <w:r>
        <w:tab/>
      </w:r>
      <w:r>
        <w:rPr>
          <w:rStyle w:val="htmlcodes"/>
        </w:rPr>
        <w:t>&lt;dd&gt;</w:t>
      </w:r>
      <w:r>
        <w:t>piro lo'i ro</w:t>
      </w:r>
    </w:p>
    <w:p w:rsidR="00B72047" w:rsidRDefault="00B72047" w:rsidP="007E67C1">
      <w:pPr>
        <w:pStyle w:val="Listnobullcontinued"/>
        <w:numPr>
          <w:ilvl w:val="0"/>
          <w:numId w:val="0"/>
        </w:numPr>
        <w:ind w:left="864" w:hanging="504"/>
      </w:pPr>
      <w:r>
        <w:tab/>
      </w:r>
      <w:r>
        <w:tab/>
        <w:t>the whole of the set of all those that really are</w:t>
      </w:r>
    </w:p>
    <w:p w:rsidR="00B72047" w:rsidRDefault="00B72047" w:rsidP="007E67C1">
      <w:pPr>
        <w:pStyle w:val="Listnobullets"/>
        <w:numPr>
          <w:ilvl w:val="0"/>
          <w:numId w:val="0"/>
        </w:numPr>
        <w:ind w:left="864" w:hanging="504"/>
      </w:pPr>
      <w:r>
        <w:rPr>
          <w:rStyle w:val="htmlcodes"/>
        </w:rPr>
        <w:t>&lt;/dl&gt;</w:t>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htmlcodes"/>
        </w:rPr>
        <w:t>&lt;dl compact&gt;&lt;dt&gt;</w:t>
      </w:r>
      <w:r>
        <w:t>la'i:</w:t>
      </w:r>
      <w:r>
        <w:tab/>
      </w:r>
      <w:r>
        <w:rPr>
          <w:rStyle w:val="htmlcodes"/>
        </w:rPr>
        <w:t>&lt;dd&gt;</w:t>
      </w:r>
      <w:r>
        <w:t>piro la'i su'o</w:t>
      </w:r>
    </w:p>
    <w:p w:rsidR="00B72047" w:rsidRDefault="00B72047" w:rsidP="007E67C1">
      <w:pPr>
        <w:pStyle w:val="Listnobullcontinued"/>
        <w:numPr>
          <w:ilvl w:val="0"/>
          <w:numId w:val="0"/>
        </w:numPr>
        <w:ind w:left="864" w:hanging="504"/>
      </w:pPr>
      <w:r>
        <w:tab/>
      </w:r>
      <w:r>
        <w:tab/>
        <w:t>the whole of the set of the at-least-one named</w:t>
      </w:r>
    </w:p>
    <w:p w:rsidR="00B72047" w:rsidRDefault="00B72047" w:rsidP="007E67C1">
      <w:pPr>
        <w:pStyle w:val="Listnobullets"/>
        <w:numPr>
          <w:ilvl w:val="0"/>
          <w:numId w:val="0"/>
        </w:numPr>
        <w:ind w:left="864" w:hanging="504"/>
      </w:pPr>
      <w:r>
        <w:rPr>
          <w:rStyle w:val="htmlcodes"/>
        </w:rPr>
        <w:t>&lt;/dl&gt;</w:t>
      </w:r>
      <w:r>
        <w:rPr>
          <w:rStyle w:val="indexentry"/>
        </w:rPr>
        <w:t>&lt;lx "le'e"&gt;</w:t>
      </w:r>
      <w:r>
        <w:rPr>
          <w:rStyle w:val="indexentry"/>
        </w:rPr>
        <w:fldChar w:fldCharType="begin"/>
      </w:r>
      <w:r>
        <w:instrText>xe "</w:instrText>
      </w:r>
      <w:r>
        <w:rPr>
          <w:rStyle w:val="xeentry"/>
        </w:rPr>
        <w:instrText>le'e</w:instrText>
      </w:r>
      <w:r>
        <w:instrText>"</w:instrText>
      </w:r>
      <w:r>
        <w:rPr>
          <w:rStyle w:val="indexentry"/>
        </w:rPr>
        <w:fldChar w:fldCharType="end"/>
      </w:r>
      <w:r>
        <w:rPr>
          <w:rStyle w:val="htmlcodes"/>
        </w:rPr>
        <w:t>&lt;dl compact&gt;&lt;dt&gt;</w:t>
      </w:r>
      <w:r>
        <w:t>le'e:</w:t>
      </w:r>
      <w:r>
        <w:tab/>
      </w:r>
      <w:r>
        <w:rPr>
          <w:rStyle w:val="htmlcodes"/>
        </w:rPr>
        <w:t>&lt;dd&gt;</w:t>
      </w:r>
      <w:r>
        <w:t>ro le'e su'o</w:t>
      </w:r>
    </w:p>
    <w:p w:rsidR="00B72047" w:rsidRDefault="00B72047" w:rsidP="007E67C1">
      <w:pPr>
        <w:pStyle w:val="Listnobullcontinued"/>
        <w:numPr>
          <w:ilvl w:val="0"/>
          <w:numId w:val="0"/>
        </w:numPr>
        <w:ind w:left="864" w:hanging="504"/>
      </w:pPr>
      <w:r>
        <w:tab/>
      </w:r>
      <w:r>
        <w:tab/>
        <w:t>all the stereotypes of the at-least-one described as</w:t>
      </w:r>
    </w:p>
    <w:p w:rsidR="00B72047" w:rsidRDefault="00B72047" w:rsidP="007E67C1">
      <w:pPr>
        <w:pStyle w:val="Listnobullets"/>
        <w:numPr>
          <w:ilvl w:val="0"/>
          <w:numId w:val="0"/>
        </w:numPr>
        <w:ind w:left="864" w:hanging="504"/>
      </w:pPr>
      <w:r>
        <w:rPr>
          <w:rStyle w:val="htmlcodes"/>
        </w:rPr>
        <w:t>&lt;/dl&gt;</w:t>
      </w:r>
      <w:r>
        <w:rPr>
          <w:rStyle w:val="indexentry"/>
        </w:rPr>
        <w:t>&lt;lx "lo'e"&gt;</w:t>
      </w:r>
      <w:r>
        <w:rPr>
          <w:rStyle w:val="indexentry"/>
        </w:rPr>
        <w:fldChar w:fldCharType="begin"/>
      </w:r>
      <w:r>
        <w:instrText>xe "</w:instrText>
      </w:r>
      <w:r>
        <w:rPr>
          <w:rStyle w:val="xeentry"/>
        </w:rPr>
        <w:instrText>lo'e</w:instrText>
      </w:r>
      <w:r>
        <w:instrText>"</w:instrText>
      </w:r>
      <w:r>
        <w:rPr>
          <w:rStyle w:val="indexentry"/>
        </w:rPr>
        <w:fldChar w:fldCharType="end"/>
      </w:r>
      <w:r>
        <w:rPr>
          <w:rStyle w:val="htmlcodes"/>
        </w:rPr>
        <w:t>&lt;dl compact&gt;&lt;dt&gt;</w:t>
      </w:r>
      <w:r>
        <w:t>lo'e:</w:t>
      </w:r>
      <w:r>
        <w:tab/>
      </w:r>
      <w:r>
        <w:rPr>
          <w:rStyle w:val="htmlcodes"/>
        </w:rPr>
        <w:t>&lt;dd&gt;</w:t>
      </w:r>
      <w:r>
        <w:t>su'o lo'e ro</w:t>
      </w:r>
    </w:p>
    <w:p w:rsidR="00B72047" w:rsidRDefault="00B72047" w:rsidP="007E67C1">
      <w:pPr>
        <w:pStyle w:val="Listnobullcontinued"/>
        <w:numPr>
          <w:ilvl w:val="0"/>
          <w:numId w:val="0"/>
        </w:numPr>
        <w:ind w:left="864" w:hanging="504"/>
      </w:pPr>
      <w:r>
        <w:tab/>
      </w:r>
      <w:r>
        <w:tab/>
        <w:t>at least one of the types of all those that really are</w:t>
      </w:r>
    </w:p>
    <w:p w:rsidR="00B72047" w:rsidRDefault="00B72047">
      <w:pPr>
        <w:pStyle w:val="normalafterexample"/>
      </w:pPr>
      <w:r>
        <w:rPr>
          <w:rStyle w:val="htmlcodes"/>
        </w:rPr>
        <w:t>&lt;/dl&gt;</w:t>
      </w:r>
      <w:r>
        <w:rPr>
          <w:rStyle w:val="indexentry"/>
        </w:rPr>
        <w:t>&lt;cx "le-series descriptors, compared with la-series in implicit quantification"&gt;</w:t>
      </w:r>
      <w:r>
        <w:rPr>
          <w:rStyle w:val="indexentry"/>
        </w:rPr>
        <w:fldChar w:fldCharType="begin"/>
      </w:r>
      <w:r>
        <w:instrText>xe "</w:instrText>
      </w:r>
      <w:r>
        <w:rPr>
          <w:rStyle w:val="xeentry"/>
        </w:rPr>
        <w:instrText>le-series descriptors: compared with la-series in implicit quantification</w:instrText>
      </w:r>
      <w:r>
        <w:instrText>"</w:instrText>
      </w:r>
      <w:r>
        <w:rPr>
          <w:rStyle w:val="indexentry"/>
        </w:rPr>
        <w:fldChar w:fldCharType="end"/>
      </w:r>
      <w:r>
        <w:rPr>
          <w:rStyle w:val="indexentry"/>
        </w:rPr>
        <w:t>&lt;cx "la-series descriptors, compared with le-series in implicit quantification"&gt;</w:t>
      </w:r>
      <w:r>
        <w:rPr>
          <w:rStyle w:val="indexentry"/>
        </w:rPr>
        <w:fldChar w:fldCharType="begin"/>
      </w:r>
      <w:r>
        <w:instrText>xe "</w:instrText>
      </w:r>
      <w:r>
        <w:rPr>
          <w:rStyle w:val="xeentry"/>
        </w:rPr>
        <w:instrText>la-series descriptors: compared with le-series in implicit quantification</w:instrText>
      </w:r>
      <w:r>
        <w:instrText>"</w:instrText>
      </w:r>
      <w:r>
        <w:rPr>
          <w:rStyle w:val="indexentry"/>
        </w:rPr>
        <w:fldChar w:fldCharType="end"/>
      </w:r>
      <w:r>
        <w:rPr>
          <w:rStyle w:val="indexentry"/>
        </w:rPr>
        <w:t>&lt;cx "le-series cmavo, definition"&gt;</w:t>
      </w:r>
      <w:r>
        <w:rPr>
          <w:rStyle w:val="indexentry"/>
        </w:rPr>
        <w:fldChar w:fldCharType="begin"/>
      </w:r>
      <w:r>
        <w:instrText>xe "</w:instrText>
      </w:r>
      <w:r>
        <w:rPr>
          <w:rStyle w:val="xeentry"/>
        </w:rPr>
        <w:instrText>le-series cmavo: definition</w:instrText>
      </w:r>
      <w:r>
        <w:instrText>"</w:instrText>
      </w:r>
      <w:r>
        <w:rPr>
          <w:rStyle w:val="indexentry"/>
        </w:rPr>
        <w:fldChar w:fldCharType="end"/>
      </w:r>
      <w:r>
        <w:rPr>
          <w:rStyle w:val="indexentry"/>
        </w:rPr>
        <w:t>&lt;cx "le-series cmavo, as encompassing le-series and la-series descriptors for quantification discussion"&gt;</w:t>
      </w:r>
      <w:r>
        <w:rPr>
          <w:rStyle w:val="indexentry"/>
        </w:rPr>
        <w:fldChar w:fldCharType="begin"/>
      </w:r>
      <w:r>
        <w:instrText>xe "</w:instrText>
      </w:r>
      <w:r>
        <w:rPr>
          <w:rStyle w:val="xeentry"/>
        </w:rPr>
        <w:instrText>le-series cmavo: as encompassing le-series and la-series descriptors for quantification discussion</w:instrText>
      </w:r>
      <w:r>
        <w:instrText>"</w:instrText>
      </w:r>
      <w:r>
        <w:rPr>
          <w:rStyle w:val="indexentry"/>
        </w:rPr>
        <w:fldChar w:fldCharType="end"/>
      </w:r>
      <w:r>
        <w:t>When examined for the first time, this table looks dreadfully arbitrary.</w:t>
      </w:r>
      <w:r>
        <w:rPr>
          <w:rStyle w:val="deletedparamark"/>
        </w:rPr>
        <w:t xml:space="preserve"> </w:t>
      </w:r>
      <w:r>
        <w:t>In fact, there are quite a few regularities in it. First of all,</w:t>
      </w:r>
      <w:r>
        <w:rPr>
          <w:rStyle w:val="deletedparamark"/>
        </w:rPr>
        <w:t xml:space="preserve"> </w:t>
      </w:r>
      <w:r>
        <w:t>the la-series (that is, the descriptors “la”, “lai”, and “la'i”) and the</w:t>
      </w:r>
      <w:r>
        <w:rPr>
          <w:rStyle w:val="deletedparamark"/>
        </w:rPr>
        <w:t xml:space="preserve"> </w:t>
      </w:r>
      <w:r>
        <w:t>le-series (that is, the descriptors “le”, “lei”, “le'i”, and “le'e”) always</w:t>
      </w:r>
      <w:r>
        <w:rPr>
          <w:rStyle w:val="deletedparamark"/>
        </w:rPr>
        <w:t xml:space="preserve"> </w:t>
      </w:r>
      <w:r>
        <w:t>have corre</w:t>
      </w:r>
      <w:r>
        <w:softHyphen/>
        <w:t>sponding implicit quantifiers, so we may subsume the la-series</w:t>
      </w:r>
      <w:r>
        <w:rPr>
          <w:rStyle w:val="deletedparamark"/>
        </w:rPr>
        <w:t xml:space="preserve"> </w:t>
      </w:r>
      <w:r>
        <w:t>under the le-series for the rest of this discussion: “le-series cmavo” will</w:t>
      </w:r>
      <w:r>
        <w:rPr>
          <w:rStyle w:val="deletedparamark"/>
        </w:rPr>
        <w:t xml:space="preserve"> </w:t>
      </w:r>
      <w:r>
        <w:t>refer to both the le-series proper and to the la-series.</w:t>
      </w:r>
    </w:p>
    <w:p w:rsidR="00B72047" w:rsidRDefault="00B72047">
      <w:pPr>
        <w:rPr>
          <w:rStyle w:val="htmlparacode"/>
        </w:rPr>
      </w:pPr>
      <w:r>
        <w:rPr>
          <w:rStyle w:val="htmlparacode"/>
        </w:rPr>
        <w:t>&lt;p&gt;</w:t>
      </w:r>
    </w:p>
    <w:p w:rsidR="00B72047" w:rsidRDefault="00B72047">
      <w:pPr>
        <w:pStyle w:val="normalparagraph"/>
      </w:pPr>
      <w:r>
        <w:rPr>
          <w:rStyle w:val="indexentry"/>
        </w:rPr>
        <w:t>&lt;cx "lo-series cmavo, rule for implicit inner quantifier"&gt;</w:t>
      </w:r>
      <w:r>
        <w:rPr>
          <w:rStyle w:val="indexentry"/>
        </w:rPr>
        <w:fldChar w:fldCharType="begin"/>
      </w:r>
      <w:r>
        <w:instrText>xe "</w:instrText>
      </w:r>
      <w:r>
        <w:rPr>
          <w:rStyle w:val="xeentry"/>
        </w:rPr>
        <w:instrText>lo-series cmavo: rule for implicit inner quantifier</w:instrText>
      </w:r>
      <w:r>
        <w:instrText>"</w:instrText>
      </w:r>
      <w:r>
        <w:rPr>
          <w:rStyle w:val="indexentry"/>
        </w:rPr>
        <w:fldChar w:fldCharType="end"/>
      </w:r>
      <w:r>
        <w:rPr>
          <w:rStyle w:val="indexentry"/>
        </w:rPr>
        <w:t>&lt;cx "le-series cmavo, rule for implicit inner quantifier"&gt;</w:t>
      </w:r>
      <w:r>
        <w:rPr>
          <w:rStyle w:val="indexentry"/>
        </w:rPr>
        <w:fldChar w:fldCharType="begin"/>
      </w:r>
      <w:r>
        <w:instrText>xe "</w:instrText>
      </w:r>
      <w:r>
        <w:rPr>
          <w:rStyle w:val="xeentry"/>
        </w:rPr>
        <w:instrText>le-series cmavo: rule for implicit inner quantifier</w:instrText>
      </w:r>
      <w:r>
        <w:instrText>"</w:instrText>
      </w:r>
      <w:r>
        <w:rPr>
          <w:rStyle w:val="indexentry"/>
        </w:rPr>
        <w:fldChar w:fldCharType="end"/>
      </w:r>
      <w:r>
        <w:t>The rule for the inner quantifier is very simple: the lo-series cmavo</w:t>
      </w:r>
      <w:r>
        <w:rPr>
          <w:rStyle w:val="deletedparamark"/>
        </w:rPr>
        <w:t xml:space="preserve"> </w:t>
      </w:r>
      <w:r>
        <w:t>(namely, “lo”, “loi”, “lo'i”, and “lo'e”) all have an implicit inner</w:t>
      </w:r>
      <w:r>
        <w:rPr>
          <w:rStyle w:val="deletedparamark"/>
        </w:rPr>
        <w:t xml:space="preserve"> </w:t>
      </w:r>
      <w:r>
        <w:t>quantifier of “ro”, whereas the le-series cmavo all have an implicit in</w:t>
      </w:r>
      <w:r>
        <w:softHyphen/>
        <w:t>ner</w:t>
      </w:r>
      <w:r>
        <w:rPr>
          <w:rStyle w:val="deletedparamark"/>
        </w:rPr>
        <w:t xml:space="preserve"> </w:t>
      </w:r>
      <w:r>
        <w:t>quantifier of “su'o”.</w:t>
      </w:r>
    </w:p>
    <w:p w:rsidR="00B72047" w:rsidRDefault="00B72047">
      <w:pPr>
        <w:rPr>
          <w:rStyle w:val="htmlparacode"/>
        </w:rPr>
      </w:pPr>
      <w:r>
        <w:rPr>
          <w:rStyle w:val="htmlparacode"/>
        </w:rPr>
        <w:t>&lt;p&gt;</w:t>
      </w:r>
    </w:p>
    <w:p w:rsidR="00B72047" w:rsidRDefault="00B72047">
      <w:pPr>
        <w:pStyle w:val="normalparagraph"/>
      </w:pPr>
      <w:r>
        <w:rPr>
          <w:rStyle w:val="indexentry"/>
        </w:rPr>
        <w:t>&lt;cx "lo-series cmavo, rationale for implicit inner quantifier"&gt;</w:t>
      </w:r>
      <w:r>
        <w:rPr>
          <w:rStyle w:val="indexentry"/>
        </w:rPr>
        <w:fldChar w:fldCharType="begin"/>
      </w:r>
      <w:r>
        <w:instrText>xe "</w:instrText>
      </w:r>
      <w:r>
        <w:rPr>
          <w:rStyle w:val="xeentry"/>
        </w:rPr>
        <w:instrText>lo-series cmavo: rationale for implicit inner quantifier</w:instrText>
      </w:r>
      <w:r>
        <w:instrText>"</w:instrText>
      </w:r>
      <w:r>
        <w:rPr>
          <w:rStyle w:val="indexentry"/>
        </w:rPr>
        <w:fldChar w:fldCharType="end"/>
      </w:r>
      <w:r>
        <w:rPr>
          <w:rStyle w:val="indexentry"/>
        </w:rPr>
        <w:t>&lt;cx "le-series cmavo, rationale for implicit inner quantifier"&gt;</w:t>
      </w:r>
      <w:r>
        <w:rPr>
          <w:rStyle w:val="indexentry"/>
        </w:rPr>
        <w:fldChar w:fldCharType="begin"/>
      </w:r>
      <w:r>
        <w:instrText>xe "</w:instrText>
      </w:r>
      <w:r>
        <w:rPr>
          <w:rStyle w:val="xeentry"/>
        </w:rPr>
        <w:instrText>le-series cmavo: rationale for implicit inner quantifier</w:instrText>
      </w:r>
      <w:r>
        <w:instrText>"</w:instrText>
      </w:r>
      <w:r>
        <w:rPr>
          <w:rStyle w:val="indexentry"/>
        </w:rPr>
        <w:fldChar w:fldCharType="end"/>
      </w:r>
      <w:r>
        <w:t>Why? Because lo-series descriptors always refer to all of the things</w:t>
      </w:r>
      <w:r>
        <w:rPr>
          <w:rStyle w:val="deletedparamark"/>
        </w:rPr>
        <w:t xml:space="preserve"> </w:t>
      </w:r>
      <w:r>
        <w:t>which really fit into the x1 place of the selbri. They are not re</w:t>
      </w:r>
      <w:r>
        <w:softHyphen/>
        <w:t>stricted</w:t>
      </w:r>
      <w:r>
        <w:rPr>
          <w:rStyle w:val="deletedparamark"/>
        </w:rPr>
        <w:t xml:space="preserve"> </w:t>
      </w:r>
      <w:r>
        <w:t>by the speaker's inten</w:t>
      </w:r>
      <w:r>
        <w:softHyphen/>
        <w:t>tion. Descri</w:t>
      </w:r>
      <w:r>
        <w:t>p</w:t>
      </w:r>
      <w:r>
        <w:softHyphen/>
        <w:t>tors of the le-series, how</w:t>
      </w:r>
      <w:r>
        <w:softHyphen/>
        <w:t>ever, are</w:t>
      </w:r>
      <w:r>
        <w:rPr>
          <w:rStyle w:val="deletedparamark"/>
        </w:rPr>
        <w:t xml:space="preserve"> </w:t>
      </w:r>
      <w:r>
        <w:t>so restricted, and therefore talk about some number, defi</w:t>
      </w:r>
      <w:r>
        <w:softHyphen/>
        <w:t>nite or indefinite,</w:t>
      </w:r>
      <w:r>
        <w:rPr>
          <w:rStyle w:val="deletedparamark"/>
        </w:rPr>
        <w:t xml:space="preserve"> </w:t>
      </w:r>
      <w:r>
        <w:t>of objects the speaker has in mind — but never less than one.</w:t>
      </w:r>
    </w:p>
    <w:p w:rsidR="00B72047" w:rsidRDefault="00B72047">
      <w:pPr>
        <w:rPr>
          <w:rStyle w:val="htmlparacode"/>
        </w:rPr>
      </w:pPr>
      <w:r>
        <w:rPr>
          <w:rStyle w:val="htmlparacode"/>
        </w:rPr>
        <w:t>&lt;p&gt;</w:t>
      </w:r>
    </w:p>
    <w:p w:rsidR="00B72047" w:rsidRDefault="00B72047">
      <w:pPr>
        <w:pStyle w:val="normalparagraph"/>
      </w:pPr>
      <w:r>
        <w:rPr>
          <w:rStyle w:val="indexentry"/>
        </w:rPr>
        <w:t>&lt;cx "sets, rule for implicit outer quantifier"&gt;</w:t>
      </w:r>
      <w:r>
        <w:rPr>
          <w:rStyle w:val="indexentry"/>
        </w:rPr>
        <w:fldChar w:fldCharType="begin"/>
      </w:r>
      <w:r>
        <w:instrText>xe "</w:instrText>
      </w:r>
      <w:r>
        <w:rPr>
          <w:rStyle w:val="xeentry"/>
        </w:rPr>
        <w:instrText>sets: rule for implicit outer quantifier</w:instrText>
      </w:r>
      <w:r>
        <w:instrText>"</w:instrText>
      </w:r>
      <w:r>
        <w:rPr>
          <w:rStyle w:val="indexentry"/>
        </w:rPr>
        <w:fldChar w:fldCharType="end"/>
      </w:r>
      <w:r>
        <w:rPr>
          <w:rStyle w:val="indexentry"/>
        </w:rPr>
        <w:t>&lt;cx "masses, rule for implicit outer quantifier"&gt;</w:t>
      </w:r>
      <w:r>
        <w:rPr>
          <w:rStyle w:val="indexentry"/>
        </w:rPr>
        <w:fldChar w:fldCharType="begin"/>
      </w:r>
      <w:r>
        <w:instrText>xe "</w:instrText>
      </w:r>
      <w:r>
        <w:rPr>
          <w:rStyle w:val="xeentry"/>
        </w:rPr>
        <w:instrText>mass: rule for implicit outer quantifier</w:instrText>
      </w:r>
      <w:r>
        <w:instrText>"</w:instrText>
      </w:r>
      <w:r>
        <w:rPr>
          <w:rStyle w:val="indexentry"/>
        </w:rPr>
        <w:fldChar w:fldCharType="end"/>
      </w:r>
      <w:r>
        <w:rPr>
          <w:rStyle w:val="indexentry"/>
        </w:rPr>
        <w:t>&lt;lx "piro"&gt;</w:t>
      </w:r>
      <w:r>
        <w:rPr>
          <w:rStyle w:val="indexentry"/>
        </w:rPr>
        <w:fldChar w:fldCharType="begin"/>
      </w:r>
      <w:r>
        <w:instrText>xe "</w:instrText>
      </w:r>
      <w:r>
        <w:rPr>
          <w:rStyle w:val="xeentry"/>
        </w:rPr>
        <w:instrText>piro</w:instrText>
      </w:r>
      <w:r>
        <w:instrText>"</w:instrText>
      </w:r>
      <w:r>
        <w:rPr>
          <w:rStyle w:val="indexentry"/>
        </w:rPr>
        <w:fldChar w:fldCharType="end"/>
      </w:r>
      <w:r>
        <w:t>Understanding the implicit outer quantifier requires rules of greater</w:t>
      </w:r>
      <w:r>
        <w:rPr>
          <w:rStyle w:val="deletedparamark"/>
        </w:rPr>
        <w:t xml:space="preserve"> </w:t>
      </w:r>
      <w:r>
        <w:t>subtlety. In the case of mass and set descriptors, a single rule suffices</w:t>
      </w:r>
      <w:r>
        <w:rPr>
          <w:rStyle w:val="deletedparamark"/>
        </w:rPr>
        <w:t xml:space="preserve"> </w:t>
      </w:r>
      <w:r>
        <w:t>for each: reference to a mass is implicitly a reference to some part of the</w:t>
      </w:r>
      <w:r>
        <w:rPr>
          <w:rStyle w:val="deletedparamark"/>
        </w:rPr>
        <w:t xml:space="preserve"> </w:t>
      </w:r>
      <w:r>
        <w:t>mass; reference to a set is implicitly a refer</w:t>
      </w:r>
      <w:r>
        <w:softHyphen/>
        <w:t>ence to the whole set.</w:t>
      </w:r>
      <w:r>
        <w:rPr>
          <w:rStyle w:val="deletedparamark"/>
        </w:rPr>
        <w:t xml:space="preserve"> </w:t>
      </w:r>
      <w:r>
        <w:t>Masses and sets are inherently singular objects: it makes no sense to talk</w:t>
      </w:r>
      <w:r>
        <w:rPr>
          <w:rStyle w:val="deletedparamark"/>
        </w:rPr>
        <w:t xml:space="preserve"> </w:t>
      </w:r>
      <w:r>
        <w:t>about two distinct masses with the same components, or two distinct sets</w:t>
      </w:r>
      <w:r>
        <w:rPr>
          <w:rStyle w:val="deletedparamark"/>
        </w:rPr>
        <w:t xml:space="preserve"> </w:t>
      </w:r>
      <w:r>
        <w:t>with the same members. Therefore, the largest possible outer quantifier for</w:t>
      </w:r>
      <w:r>
        <w:rPr>
          <w:rStyle w:val="deletedparamark"/>
        </w:rPr>
        <w:t xml:space="preserve"> </w:t>
      </w:r>
      <w:r>
        <w:t>either a set de</w:t>
      </w:r>
      <w:r>
        <w:softHyphen/>
        <w:t>scription or a mass description is “piro”, the whole of it.</w:t>
      </w:r>
    </w:p>
    <w:p w:rsidR="00B72047" w:rsidRDefault="00B72047">
      <w:pPr>
        <w:rPr>
          <w:rStyle w:val="htmlparacode"/>
        </w:rPr>
      </w:pPr>
      <w:r>
        <w:rPr>
          <w:rStyle w:val="htmlparacode"/>
        </w:rPr>
        <w:t>&lt;p&gt;</w:t>
      </w:r>
    </w:p>
    <w:p w:rsidR="00B72047" w:rsidRDefault="00B72047">
      <w:pPr>
        <w:pStyle w:val="normalparagraph"/>
      </w:pPr>
      <w:r>
        <w:rPr>
          <w:rStyle w:val="indexentry"/>
        </w:rPr>
        <w:t>&lt;cx "plural masses, possible use for"&gt;</w:t>
      </w:r>
      <w:r>
        <w:rPr>
          <w:rStyle w:val="indexentry"/>
        </w:rPr>
        <w:fldChar w:fldCharType="begin"/>
      </w:r>
      <w:r>
        <w:instrText>xe "</w:instrText>
      </w:r>
      <w:r>
        <w:rPr>
          <w:rStyle w:val="xeentry"/>
        </w:rPr>
        <w:instrText>plural masses: possible use for</w:instrText>
      </w:r>
      <w:r>
        <w:instrText>"</w:instrText>
      </w:r>
      <w:r>
        <w:rPr>
          <w:rStyle w:val="indexentry"/>
        </w:rPr>
        <w:fldChar w:fldCharType="end"/>
      </w:r>
      <w:r>
        <w:t>(Pedantically, it is possible that the mass of water molecules composing an</w:t>
      </w:r>
      <w:r>
        <w:rPr>
          <w:rStyle w:val="deletedparamark"/>
        </w:rPr>
        <w:t xml:space="preserve"> </w:t>
      </w:r>
      <w:r>
        <w:t>ice cube might be thought of as different from the same mass of water</w:t>
      </w:r>
      <w:r>
        <w:rPr>
          <w:rStyle w:val="deletedparamark"/>
        </w:rPr>
        <w:t xml:space="preserve"> </w:t>
      </w:r>
      <w:r>
        <w:t>molecules in liquid form, in which case we might talk about “re lei djacu”,</w:t>
      </w:r>
      <w:r>
        <w:rPr>
          <w:rStyle w:val="deletedparamark"/>
        </w:rPr>
        <w:t xml:space="preserve"> </w:t>
      </w:r>
      <w:r>
        <w:t>two masses of the water-bits I have in mind.)</w:t>
      </w:r>
    </w:p>
    <w:p w:rsidR="00B72047" w:rsidRDefault="00B72047">
      <w:pPr>
        <w:rPr>
          <w:rStyle w:val="htmlparacode"/>
        </w:rPr>
      </w:pPr>
      <w:r>
        <w:rPr>
          <w:rStyle w:val="htmlparacode"/>
        </w:rPr>
        <w:t>&lt;p&gt;</w:t>
      </w:r>
    </w:p>
    <w:p w:rsidR="00B72047" w:rsidRDefault="00B72047">
      <w:pPr>
        <w:pStyle w:val="normalparagraph"/>
      </w:pPr>
      <w:r>
        <w:rPr>
          <w:rStyle w:val="indexentry"/>
        </w:rPr>
        <w:t>&lt;lx "pi"&gt;</w:t>
      </w:r>
      <w:r>
        <w:rPr>
          <w:rStyle w:val="indexentry"/>
        </w:rPr>
        <w:fldChar w:fldCharType="begin"/>
      </w:r>
      <w:r>
        <w:instrText>xe "</w:instrText>
      </w:r>
      <w:r>
        <w:rPr>
          <w:rStyle w:val="xeentry"/>
        </w:rPr>
        <w:instrText>pi</w:instrText>
      </w:r>
      <w:r>
        <w:instrText>"</w:instrText>
      </w:r>
      <w:r>
        <w:rPr>
          <w:rStyle w:val="indexentry"/>
        </w:rPr>
        <w:fldChar w:fldCharType="end"/>
      </w:r>
      <w:r>
        <w:rPr>
          <w:rStyle w:val="indexentry"/>
        </w:rPr>
        <w:t>&lt;cx "piro, explanation of meaning"&gt;</w:t>
      </w:r>
      <w:r>
        <w:rPr>
          <w:rStyle w:val="indexentry"/>
        </w:rPr>
        <w:fldChar w:fldCharType="begin"/>
      </w:r>
      <w:r>
        <w:instrText>xe "</w:instrText>
      </w:r>
      <w:r>
        <w:rPr>
          <w:rStyle w:val="xeentry"/>
        </w:rPr>
        <w:instrText>piro: explanation of meaning</w:instrText>
      </w:r>
      <w:r>
        <w:instrText>"</w:instrText>
      </w:r>
      <w:r>
        <w:rPr>
          <w:rStyle w:val="indexentry"/>
        </w:rPr>
        <w:fldChar w:fldCharType="end"/>
      </w:r>
      <w:r>
        <w:rPr>
          <w:rStyle w:val="indexentry"/>
        </w:rPr>
        <w:t>&lt;cx "pisu'o, explanation of meaning"&gt;</w:t>
      </w:r>
      <w:r>
        <w:rPr>
          <w:rStyle w:val="indexentry"/>
        </w:rPr>
        <w:fldChar w:fldCharType="begin"/>
      </w:r>
      <w:r>
        <w:instrText>xe "</w:instrText>
      </w:r>
      <w:r>
        <w:rPr>
          <w:rStyle w:val="xeentry"/>
        </w:rPr>
        <w:instrText>pisu'o: explanation of meaning</w:instrText>
      </w:r>
      <w:r>
        <w:instrText>"</w:instrText>
      </w:r>
      <w:r>
        <w:rPr>
          <w:rStyle w:val="indexentry"/>
        </w:rPr>
        <w:fldChar w:fldCharType="end"/>
      </w:r>
      <w:r>
        <w:t>Why “pi-”? It is the Lojban cmavo for the decimal point. Just as “pimu”</w:t>
      </w:r>
      <w:r>
        <w:rPr>
          <w:rStyle w:val="deletedparamark"/>
        </w:rPr>
        <w:t xml:space="preserve"> </w:t>
      </w:r>
      <w:r>
        <w:t>means “.5”, and when used as a quantifier specifies a por</w:t>
      </w:r>
      <w:r>
        <w:softHyphen/>
        <w:t>tion consisting of</w:t>
      </w:r>
      <w:r>
        <w:rPr>
          <w:rStyle w:val="deletedparamark"/>
        </w:rPr>
        <w:t xml:space="preserve"> </w:t>
      </w:r>
      <w:r>
        <w:t>five tenths of a thing, “piro” means a portion con</w:t>
      </w:r>
      <w:r>
        <w:softHyphen/>
        <w:t>sisting of the all-ness –</w:t>
      </w:r>
      <w:r>
        <w:rPr>
          <w:rStyle w:val="deletedparamark"/>
        </w:rPr>
        <w:t xml:space="preserve"> </w:t>
      </w:r>
      <w:r>
        <w:t>the entirety — of a thing. Similarly, “pisu'o” specifies a portion</w:t>
      </w:r>
      <w:r>
        <w:rPr>
          <w:rStyle w:val="deletedparamark"/>
        </w:rPr>
        <w:t xml:space="preserve"> </w:t>
      </w:r>
      <w:r>
        <w:t>consisting of at least one part of a thing, i.e. some of it.</w:t>
      </w:r>
    </w:p>
    <w:p w:rsidR="00B72047" w:rsidRDefault="00B72047">
      <w:pPr>
        <w:rPr>
          <w:rStyle w:val="htmlparacode"/>
        </w:rPr>
      </w:pPr>
      <w:r>
        <w:rPr>
          <w:rStyle w:val="htmlparacode"/>
        </w:rPr>
        <w:t>&lt;p&gt;</w:t>
      </w:r>
    </w:p>
    <w:p w:rsidR="00B72047" w:rsidRDefault="00B72047">
      <w:pPr>
        <w:pStyle w:val="normalparagraph"/>
      </w:pPr>
      <w:r>
        <w:rPr>
          <w:rStyle w:val="indexentry"/>
        </w:rPr>
        <w:t>&lt;cx "subsets, expressing with outer quantifiers"&gt;</w:t>
      </w:r>
      <w:r>
        <w:rPr>
          <w:rStyle w:val="indexentry"/>
        </w:rPr>
        <w:fldChar w:fldCharType="begin"/>
      </w:r>
      <w:r>
        <w:instrText>xe "</w:instrText>
      </w:r>
      <w:r>
        <w:rPr>
          <w:rStyle w:val="xeentry"/>
        </w:rPr>
        <w:instrText>subsets: expressing with outer quantifiers</w:instrText>
      </w:r>
      <w:r>
        <w:instrText>"</w:instrText>
      </w:r>
      <w:r>
        <w:rPr>
          <w:rStyle w:val="indexentry"/>
        </w:rPr>
        <w:fldChar w:fldCharType="end"/>
      </w:r>
      <w:r>
        <w:rPr>
          <w:rStyle w:val="indexentry"/>
        </w:rPr>
        <w:t>&lt;cx "outer quantifiers, for expressing subsets"&gt;</w:t>
      </w:r>
      <w:r>
        <w:rPr>
          <w:rStyle w:val="indexentry"/>
        </w:rPr>
        <w:fldChar w:fldCharType="begin"/>
      </w:r>
      <w:r>
        <w:instrText>xe "</w:instrText>
      </w:r>
      <w:r>
        <w:rPr>
          <w:rStyle w:val="xeentry"/>
        </w:rPr>
        <w:instrText>outer quantifier: for expressing subset</w:instrText>
      </w:r>
      <w:r>
        <w:instrText>"</w:instrText>
      </w:r>
      <w:r>
        <w:rPr>
          <w:rStyle w:val="indexentry"/>
        </w:rPr>
        <w:fldChar w:fldCharType="end"/>
      </w:r>
      <w:r>
        <w:rPr>
          <w:rStyle w:val="indexentry"/>
        </w:rPr>
        <w:t>&lt;cx "portion, on set contrasted with on individual"&gt;</w:t>
      </w:r>
      <w:r>
        <w:rPr>
          <w:rStyle w:val="indexentry"/>
        </w:rPr>
        <w:fldChar w:fldCharType="begin"/>
      </w:r>
      <w:r>
        <w:instrText>xe "</w:instrText>
      </w:r>
      <w:r>
        <w:rPr>
          <w:rStyle w:val="xeentry"/>
        </w:rPr>
        <w:instrText>portion: on set contrasted with on individual</w:instrText>
      </w:r>
      <w:r>
        <w:instrText>"</w:instrText>
      </w:r>
      <w:r>
        <w:rPr>
          <w:rStyle w:val="indexentry"/>
        </w:rPr>
        <w:fldChar w:fldCharType="end"/>
      </w:r>
      <w:r>
        <w:t>Smaller quantifiers are possible for sets, and refer to subsets. Thus</w:t>
      </w:r>
      <w:r>
        <w:rPr>
          <w:rStyle w:val="deletedparamark"/>
        </w:rPr>
        <w:t xml:space="preserve"> “</w:t>
      </w:r>
      <w:r>
        <w:t>pimu le'i nanmu” is a subset of the set of men I have in mind; we don't</w:t>
      </w:r>
      <w:r>
        <w:rPr>
          <w:rStyle w:val="deletedparamark"/>
        </w:rPr>
        <w:t xml:space="preserve"> </w:t>
      </w:r>
      <w:r>
        <w:t>know precisely which elements make up this subset, but it must have half</w:t>
      </w:r>
      <w:r>
        <w:rPr>
          <w:rStyle w:val="deletedparamark"/>
        </w:rPr>
        <w:t xml:space="preserve"> </w:t>
      </w:r>
      <w:r>
        <w:t>the size of the full set. This is the best way to say “half of the men”;</w:t>
      </w:r>
      <w:r>
        <w:rPr>
          <w:rStyle w:val="deletedparamark"/>
        </w:rPr>
        <w:t xml:space="preserve"> </w:t>
      </w:r>
      <w:r>
        <w:t>saying “pimu le nanmu” would give us a half-portion of one of them instead!</w:t>
      </w:r>
      <w:r>
        <w:rPr>
          <w:rStyle w:val="deletedparamark"/>
        </w:rPr>
        <w:t xml:space="preserve"> </w:t>
      </w:r>
      <w:r>
        <w:t>Of course, the result of “pimu le'i nanmu” is still a set; if you need to</w:t>
      </w:r>
      <w:r>
        <w:rPr>
          <w:rStyle w:val="deletedparamark"/>
        </w:rPr>
        <w:t xml:space="preserve"> </w:t>
      </w:r>
      <w:r>
        <w:t>refer to the individuals of the subset, you must say so (see “lu'a” in</w:t>
      </w:r>
      <w:r>
        <w:rPr>
          <w:rStyle w:val="deletedparamark"/>
        </w:rPr>
        <w:t xml:space="preserve"> </w:t>
      </w:r>
      <w:r>
        <w:rPr>
          <w:rStyle w:val="htmlcodes"/>
        </w:rPr>
        <w:t>&lt;a href=#s10&gt;</w:t>
      </w:r>
      <w:r>
        <w:t>Section 10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"outer quantifiers on individual descriptors, rationale for differences in implicit quantifier"&gt;</w:t>
      </w:r>
      <w:r>
        <w:rPr>
          <w:rStyle w:val="indexentry"/>
        </w:rPr>
        <w:fldChar w:fldCharType="begin"/>
      </w:r>
      <w:r>
        <w:instrText>xe "</w:instrText>
      </w:r>
      <w:r>
        <w:rPr>
          <w:rStyle w:val="xeentry"/>
        </w:rPr>
        <w:instrText>outer quantifier: rationale for differences in implicit quantifier on descriptors</w:instrText>
      </w:r>
      <w:r>
        <w:instrText>"</w:instrText>
      </w:r>
      <w:r>
        <w:rPr>
          <w:rStyle w:val="indexentry"/>
        </w:rPr>
        <w:fldChar w:fldCharType="end"/>
      </w:r>
      <w:r>
        <w:rPr>
          <w:rStyle w:val="indexentry"/>
        </w:rPr>
        <w:t>&lt;cx "individual descriptors, different implicit outer quantifiers among"&gt;</w:t>
      </w:r>
      <w:r>
        <w:rPr>
          <w:rStyle w:val="indexentry"/>
        </w:rPr>
        <w:fldChar w:fldCharType="begin"/>
      </w:r>
      <w:r>
        <w:instrText>xe "</w:instrText>
      </w:r>
      <w:r>
        <w:rPr>
          <w:rStyle w:val="xeentry"/>
        </w:rPr>
        <w:instrText>descriptors: different implicit outer quantifiers among</w:instrText>
      </w:r>
      <w:r>
        <w:instrText>"</w:instrText>
      </w:r>
      <w:r>
        <w:rPr>
          <w:rStyle w:val="indexentry"/>
        </w:rPr>
        <w:fldChar w:fldCharType="end"/>
      </w:r>
      <w:r>
        <w:rPr>
          <w:rStyle w:val="indexentry"/>
        </w:rPr>
        <w:t>&lt;cx "le, implicit outer quantifier for"&gt;</w:t>
      </w:r>
      <w:r>
        <w:rPr>
          <w:rStyle w:val="indexentry"/>
        </w:rPr>
        <w:fldChar w:fldCharType="begin"/>
      </w:r>
      <w:r>
        <w:instrText>xe "</w:instrText>
      </w:r>
      <w:r>
        <w:rPr>
          <w:rStyle w:val="xeentry"/>
        </w:rPr>
        <w:instrText>le: implicit outer quantifier for</w:instrText>
      </w:r>
      <w:r>
        <w:instrText>"</w:instrText>
      </w:r>
      <w:r>
        <w:rPr>
          <w:rStyle w:val="indexentry"/>
        </w:rPr>
        <w:fldChar w:fldCharType="end"/>
      </w:r>
      <w:r>
        <w:rPr>
          <w:rStyle w:val="indexentry"/>
        </w:rPr>
        <w:t>&lt;cx "lo, implicit outer quantifier for"&gt;</w:t>
      </w:r>
      <w:r>
        <w:rPr>
          <w:rStyle w:val="indexentry"/>
        </w:rPr>
        <w:fldChar w:fldCharType="begin"/>
      </w:r>
      <w:r>
        <w:instrText>xe "</w:instrText>
      </w:r>
      <w:r>
        <w:rPr>
          <w:rStyle w:val="xeentry"/>
        </w:rPr>
        <w:instrText>lo: implicit outer quantifier for</w:instrText>
      </w:r>
      <w:r>
        <w:instrText>"</w:instrText>
      </w:r>
      <w:r>
        <w:rPr>
          <w:rStyle w:val="indexentry"/>
        </w:rPr>
        <w:fldChar w:fldCharType="end"/>
      </w:r>
      <w:r>
        <w:t>The case of outer quantifiers for individual descriptors (including “le”,</w:t>
      </w:r>
      <w:r>
        <w:rPr>
          <w:rStyle w:val="deletedparamark"/>
        </w:rPr>
        <w:t xml:space="preserve"> “</w:t>
      </w:r>
      <w:r>
        <w:t>lo”, “la”, and the typical descriptors “le'e” and “lo'e”) is special.</w:t>
      </w:r>
      <w:r>
        <w:rPr>
          <w:rStyle w:val="deletedparamark"/>
        </w:rPr>
        <w:t xml:space="preserve"> </w:t>
      </w:r>
      <w:r>
        <w:t>When we refer to specific individuals with “le”, we mean to refer to all</w:t>
      </w:r>
      <w:r>
        <w:rPr>
          <w:rStyle w:val="deletedparamark"/>
        </w:rPr>
        <w:t xml:space="preserve"> </w:t>
      </w:r>
      <w:r>
        <w:t>of those we have in mind, so “ro” is ap</w:t>
      </w:r>
      <w:r>
        <w:softHyphen/>
        <w:t>propriate as the im</w:t>
      </w:r>
      <w:r>
        <w:softHyphen/>
        <w:t>plicit quantifier,</w:t>
      </w:r>
      <w:r>
        <w:rPr>
          <w:rStyle w:val="deletedparamark"/>
        </w:rPr>
        <w:t xml:space="preserve"> </w:t>
      </w:r>
      <w:r>
        <w:t>just as it is appropriate for “do”. Reference to non-specific individuals</w:t>
      </w:r>
      <w:r>
        <w:rPr>
          <w:rStyle w:val="deletedparamark"/>
        </w:rPr>
        <w:t xml:space="preserve"> </w:t>
      </w:r>
      <w:r>
        <w:t>with “lo”, however, is typically to only some of the objects which can be</w:t>
      </w:r>
      <w:r>
        <w:rPr>
          <w:rStyle w:val="deletedparamark"/>
        </w:rPr>
        <w:t xml:space="preserve"> </w:t>
      </w:r>
      <w:r>
        <w:t>correctly d</w:t>
      </w:r>
      <w:r>
        <w:t>e</w:t>
      </w:r>
      <w:r>
        <w:softHyphen/>
        <w:t>scribed, and so “su'o” is the appro</w:t>
      </w:r>
      <w:r>
        <w:softHyphen/>
        <w:t>priate implicit quantifier,</w:t>
      </w:r>
      <w:r>
        <w:rPr>
          <w:rStyle w:val="deletedparamark"/>
        </w:rPr>
        <w:t xml:space="preserve"> </w:t>
      </w:r>
      <w:r>
        <w:t>just as for quotations.</w:t>
      </w:r>
    </w:p>
    <w:p w:rsidR="00B72047" w:rsidRDefault="00B72047">
      <w:pPr>
        <w:rPr>
          <w:rStyle w:val="htmlparacode"/>
        </w:rPr>
      </w:pPr>
      <w:r>
        <w:rPr>
          <w:rStyle w:val="htmlparacode"/>
        </w:rPr>
        <w:t>&lt;p&gt;</w:t>
      </w:r>
    </w:p>
    <w:p w:rsidR="00B72047" w:rsidRDefault="00B72047">
      <w:pPr>
        <w:pStyle w:val="normalparagraph"/>
      </w:pPr>
      <w:r>
        <w:rPr>
          <w:rStyle w:val="indexentry"/>
        </w:rPr>
        <w:t>&lt;cx "le, contrasted with lo in implicit quantification"&gt;</w:t>
      </w:r>
      <w:r>
        <w:rPr>
          <w:rStyle w:val="indexentry"/>
        </w:rPr>
        <w:fldChar w:fldCharType="begin"/>
      </w:r>
      <w:r>
        <w:instrText>xe "</w:instrText>
      </w:r>
      <w:r>
        <w:rPr>
          <w:rStyle w:val="xeentry"/>
        </w:rPr>
        <w:instrText>le: contrasted with lo in implicit quantification</w:instrText>
      </w:r>
      <w:r>
        <w:instrText>"</w:instrText>
      </w:r>
      <w:r>
        <w:rPr>
          <w:rStyle w:val="indexentry"/>
        </w:rPr>
        <w:fldChar w:fldCharType="end"/>
      </w:r>
      <w:r>
        <w:rPr>
          <w:rStyle w:val="indexentry"/>
        </w:rPr>
        <w:t>&lt;cx "lo, contrasted with le in implicit quantification"&gt;</w:t>
      </w:r>
      <w:r>
        <w:rPr>
          <w:rStyle w:val="indexentry"/>
        </w:rPr>
        <w:fldChar w:fldCharType="begin"/>
      </w:r>
      <w:r>
        <w:instrText>xe "</w:instrText>
      </w:r>
      <w:r>
        <w:rPr>
          <w:rStyle w:val="xeentry"/>
        </w:rPr>
        <w:instrText>lo: contrasted with le in implicit quantification</w:instrText>
      </w:r>
      <w:r>
        <w:instrText>"</w:instrText>
      </w:r>
      <w:r>
        <w:rPr>
          <w:rStyle w:val="indexentry"/>
        </w:rPr>
        <w:fldChar w:fldCharType="end"/>
      </w:r>
      <w:r>
        <w:t>From the English-speaking point of view, the difference in structure between</w:t>
      </w:r>
      <w:r>
        <w:rPr>
          <w:rStyle w:val="deletedparamark"/>
        </w:rPr>
        <w:t xml:space="preserve"> </w:t>
      </w:r>
      <w:r>
        <w:t>the following example using “le”: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[ro] le ci gerku cu blabi</w:t>
      </w:r>
    </w:p>
    <w:p w:rsidR="00B72047" w:rsidRDefault="00B72047">
      <w:pPr>
        <w:pStyle w:val="examplescaled"/>
      </w:pPr>
      <w:r>
        <w:tab/>
        <w:t>[All-of] those-described-as three dogs are-white.</w:t>
      </w:r>
    </w:p>
    <w:p w:rsidR="00B72047" w:rsidRDefault="00B72047">
      <w:pPr>
        <w:pStyle w:val="examplescaled"/>
      </w:pPr>
      <w:r>
        <w:tab/>
        <w:t>The three dogs are white.</w:t>
      </w:r>
    </w:p>
    <w:p w:rsidR="00B72047" w:rsidRDefault="00B72047">
      <w:pPr>
        <w:pStyle w:val="resumedafterexample"/>
      </w:pPr>
      <w:r>
        <w:rPr>
          <w:rStyle w:val="htmlcodes"/>
        </w:rPr>
        <w:t>&lt;/pre&gt;</w:t>
      </w:r>
      <w:r>
        <w:t>and the corresponding form with “lo”: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ci lo [ro] gerku cu blabi</w:t>
      </w:r>
    </w:p>
    <w:p w:rsidR="00B72047" w:rsidRDefault="00B72047">
      <w:pPr>
        <w:pStyle w:val="examplescaled"/>
      </w:pPr>
      <w:r>
        <w:tab/>
        <w:t>Three-of those-which-are [all] dogs are-white</w:t>
      </w:r>
    </w:p>
    <w:p w:rsidR="00B72047" w:rsidRDefault="00B72047">
      <w:pPr>
        <w:pStyle w:val="examplescaled"/>
      </w:pPr>
      <w:r>
        <w:tab/>
        <w:t>Three dogs are white.</w:t>
      </w:r>
    </w:p>
    <w:p w:rsidR="00B72047" w:rsidRDefault="00B72047">
      <w:pPr>
        <w:pStyle w:val="resumedafterexample"/>
      </w:pPr>
      <w:r>
        <w:rPr>
          <w:rStyle w:val="htmlcodes"/>
        </w:rPr>
        <w:t>&lt;/pre&gt;</w:t>
      </w:r>
      <w:r>
        <w:t>looks very peculiar. Why is the number “ci” found as an inner quanti</w:t>
      </w:r>
      <w:r>
        <w:softHyphen/>
        <w:t>fier</w:t>
      </w:r>
      <w:r>
        <w:rPr>
          <w:rStyle w:val="deletedparamark"/>
        </w:rPr>
        <w:t xml:space="preserve"> </w:t>
      </w:r>
      <w:r>
        <w:t xml:space="preserve">in </w:t>
      </w:r>
      <w:r>
        <w:rPr>
          <w:rStyle w:val="htmlcodes"/>
        </w:rPr>
        <w:t>&lt;a href=#e7d4&gt;</w:t>
      </w:r>
      <w:r>
        <w:t xml:space="preserve">Example 7.4 </w:t>
      </w:r>
      <w:r>
        <w:rPr>
          <w:rStyle w:val="htmlcodes"/>
        </w:rPr>
        <w:t>&lt;/a&gt;</w:t>
      </w:r>
      <w:r>
        <w:t xml:space="preserve">and as an outer quantifier in </w:t>
      </w:r>
      <w:r>
        <w:rPr>
          <w:rStyle w:val="htmlcodes"/>
        </w:rPr>
        <w:t>&lt;a href=#e7d5&gt;</w:t>
      </w:r>
      <w:r>
        <w:t>Example 7.5</w:t>
      </w:r>
      <w:r>
        <w:rPr>
          <w:rStyle w:val="htmlcodes"/>
        </w:rPr>
        <w:t>&lt;/a&gt;</w:t>
      </w:r>
      <w:r>
        <w:t>? The number of</w:t>
      </w:r>
      <w:r>
        <w:rPr>
          <w:rStyle w:val="deletedparamark"/>
        </w:rPr>
        <w:t xml:space="preserve"> </w:t>
      </w:r>
      <w:r>
        <w:t xml:space="preserve">dogs is the same in either case. The answer is that the “ci” in </w:t>
      </w:r>
      <w:r>
        <w:rPr>
          <w:rStyle w:val="htmlcodes"/>
        </w:rPr>
        <w:t>&lt;a href=#e7d4&gt;</w:t>
      </w:r>
      <w:r>
        <w:t xml:space="preserve">Example 7.4 </w:t>
      </w:r>
      <w:r>
        <w:rPr>
          <w:rStyle w:val="htmlcodes"/>
        </w:rPr>
        <w:t>&lt;/a&gt;</w:t>
      </w:r>
      <w:r>
        <w:t>is part of the specification: it tells us the actual num</w:t>
      </w:r>
      <w:r>
        <w:softHyphen/>
        <w:t>ber of dogs</w:t>
      </w:r>
      <w:r>
        <w:rPr>
          <w:rStyle w:val="deletedparamark"/>
        </w:rPr>
        <w:t xml:space="preserve"> </w:t>
      </w:r>
      <w:r>
        <w:t xml:space="preserve">in the group that the speaker has in mind. In </w:t>
      </w:r>
      <w:r>
        <w:rPr>
          <w:rStyle w:val="htmlcodes"/>
        </w:rPr>
        <w:t>&lt;a href=#e7d5&gt;</w:t>
      </w:r>
      <w:r>
        <w:t>Example 7.5</w:t>
      </w:r>
      <w:r>
        <w:rPr>
          <w:rStyle w:val="htmlcodes"/>
        </w:rPr>
        <w:t>&lt;/a&gt;</w:t>
      </w:r>
      <w:r>
        <w:t>, however, the</w:t>
      </w:r>
      <w:r>
        <w:rPr>
          <w:rStyle w:val="deletedparamark"/>
        </w:rPr>
        <w:t xml:space="preserve"> </w:t>
      </w:r>
      <w:r>
        <w:t>dogs referred to by “</w:t>
      </w:r>
      <w:r>
        <w:rPr>
          <w:rStyle w:val="htmlcodes"/>
        </w:rPr>
        <w:t>&lt;dots&gt;</w:t>
      </w:r>
      <w:r>
        <w:t xml:space="preserve">… </w:t>
      </w:r>
      <w:r>
        <w:rPr>
          <w:rStyle w:val="htmlcodes"/>
        </w:rPr>
        <w:t>&lt;/dots&gt;</w:t>
      </w:r>
      <w:r>
        <w:t>lo gerku” are all the dogs that exist: the outer</w:t>
      </w:r>
      <w:r>
        <w:rPr>
          <w:rStyle w:val="deletedparamark"/>
        </w:rPr>
        <w:t xml:space="preserve"> </w:t>
      </w:r>
      <w:r>
        <w:t>quantifier then r</w:t>
      </w:r>
      <w:r>
        <w:t>e</w:t>
      </w:r>
      <w:r>
        <w:softHyphen/>
        <w:t>stricts the number to three; which three, we cannot tell.</w:t>
      </w:r>
      <w:r>
        <w:rPr>
          <w:rStyle w:val="deletedparamark"/>
        </w:rPr>
        <w:t xml:space="preserve"> </w:t>
      </w:r>
      <w:r>
        <w:t>The implicit quantifiers are ch</w:t>
      </w:r>
      <w:r>
        <w:t>o</w:t>
      </w:r>
      <w:r>
        <w:softHyphen/>
        <w:t>sen to avoid claiming too much or too little:</w:t>
      </w:r>
      <w:r>
        <w:rPr>
          <w:rStyle w:val="deletedparamark"/>
        </w:rPr>
        <w:t xml:space="preserve"> </w:t>
      </w:r>
      <w:r>
        <w:t>in the case of “le”, the implicit outer quant</w:t>
      </w:r>
      <w:r>
        <w:t>i</w:t>
      </w:r>
      <w:r>
        <w:softHyphen/>
        <w:t>fier “ro” says that each of</w:t>
      </w:r>
      <w:r>
        <w:rPr>
          <w:rStyle w:val="deletedparamark"/>
        </w:rPr>
        <w:t xml:space="preserve"> </w:t>
      </w:r>
      <w:r>
        <w:t>the dogs in the restricted group is white; in the case of “lo”, the implicit</w:t>
      </w:r>
      <w:r>
        <w:rPr>
          <w:rStyle w:val="deletedparamark"/>
        </w:rPr>
        <w:t xml:space="preserve"> </w:t>
      </w:r>
      <w:r>
        <w:t>inner quantifier simply says that three dogs, chosen from the group</w:t>
      </w:r>
      <w:r>
        <w:rPr>
          <w:rStyle w:val="deletedparamark"/>
        </w:rPr>
        <w:t xml:space="preserve"> </w:t>
      </w:r>
      <w:r>
        <w:t>of all the dogs there are, are white.</w:t>
      </w:r>
    </w:p>
    <w:p w:rsidR="00B72047" w:rsidRDefault="00B72047">
      <w:pPr>
        <w:rPr>
          <w:rStyle w:val="htmlparacode"/>
        </w:rPr>
      </w:pPr>
      <w:r>
        <w:rPr>
          <w:rStyle w:val="htmlparacode"/>
        </w:rPr>
        <w:t>&lt;p&gt;</w:t>
      </w:r>
    </w:p>
    <w:p w:rsidR="00B72047" w:rsidRDefault="00B72047">
      <w:pPr>
        <w:pStyle w:val="normalparagraph"/>
      </w:pPr>
      <w:r>
        <w:rPr>
          <w:rStyle w:val="indexentry"/>
        </w:rPr>
        <w:t>&lt;cx "lo-series description, caution on exact numbers as inner quantifiers on"&gt;</w:t>
      </w:r>
      <w:r>
        <w:rPr>
          <w:rStyle w:val="indexentry"/>
        </w:rPr>
        <w:fldChar w:fldCharType="begin"/>
      </w:r>
      <w:r>
        <w:instrText>xe "</w:instrText>
      </w:r>
      <w:r>
        <w:rPr>
          <w:rStyle w:val="xeentry"/>
        </w:rPr>
        <w:instrText>lo-series description: caution on exact numbers as inner quantifiers on</w:instrText>
      </w:r>
      <w:r>
        <w:instrText>"</w:instrText>
      </w:r>
      <w:r>
        <w:rPr>
          <w:rStyle w:val="indexentry"/>
        </w:rPr>
        <w:fldChar w:fldCharType="end"/>
      </w:r>
      <w:r>
        <w:t>Using exact numbers as inner quantifiers in lo-series descrip</w:t>
      </w:r>
      <w:r>
        <w:softHyphen/>
        <w:t>tions is</w:t>
      </w:r>
      <w:r>
        <w:rPr>
          <w:rStyle w:val="deletedparamark"/>
        </w:rPr>
        <w:t xml:space="preserve"> </w:t>
      </w:r>
      <w:r>
        <w:t>dangerous, b</w:t>
      </w:r>
      <w:r>
        <w:t>e</w:t>
      </w:r>
      <w:r>
        <w:softHyphen/>
        <w:t>cause you are stating that exactly that many things exist</w:t>
      </w:r>
      <w:r>
        <w:rPr>
          <w:rStyle w:val="deletedparamark"/>
        </w:rPr>
        <w:t xml:space="preserve"> </w:t>
      </w:r>
      <w:r>
        <w:t>which really fit the descrip</w:t>
      </w:r>
      <w:r>
        <w:softHyphen/>
        <w:t>tion. So examples 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name=e7d67&gt;</w:t>
      </w:r>
      <w:r>
        <w:t>7.6)</w:t>
      </w:r>
      <w:r>
        <w:tab/>
        <w:t>[su'o] lo ci gerku cu blabi</w:t>
      </w:r>
    </w:p>
    <w:p w:rsidR="00B72047" w:rsidRDefault="00B72047">
      <w:pPr>
        <w:pStyle w:val="examplescaled"/>
      </w:pPr>
      <w:r>
        <w:tab/>
        <w:t>[Some-of] those-which-really-are three dogs are-white</w:t>
      </w:r>
    </w:p>
    <w:p w:rsidR="00B72047" w:rsidRDefault="00B72047">
      <w:pPr>
        <w:pStyle w:val="resumedafterexample"/>
      </w:pPr>
      <w:r>
        <w:rPr>
          <w:rStyle w:val="htmlcodes"/>
        </w:rPr>
        <w:t>&lt;/pre&gt;</w:t>
      </w:r>
      <w:r>
        <w:t xml:space="preserve">are semantically anomalous; </w:t>
      </w:r>
      <w:r>
        <w:rPr>
          <w:rStyle w:val="htmlcodes"/>
        </w:rPr>
        <w:t>&lt;a href=#e7d7&gt;</w:t>
      </w:r>
      <w:r>
        <w:t xml:space="preserve">Example 7.6 </w:t>
      </w:r>
      <w:r>
        <w:rPr>
          <w:rStyle w:val="htmlcodes"/>
        </w:rPr>
        <w:t>&lt;/a&gt;</w:t>
      </w:r>
      <w:r>
        <w:t>claims that some dog (or dogs) is</w:t>
      </w:r>
      <w:r>
        <w:rPr>
          <w:rStyle w:val="deletedparamark"/>
        </w:rPr>
        <w:t xml:space="preserve"> </w:t>
      </w:r>
      <w:r>
        <w:t>white, but also that there are just three dogs in the universe!</w:t>
      </w:r>
    </w:p>
    <w:p w:rsidR="00B72047" w:rsidRDefault="00B72047">
      <w:pPr>
        <w:rPr>
          <w:rStyle w:val="htmlparacode"/>
        </w:rPr>
      </w:pPr>
      <w:r>
        <w:rPr>
          <w:rStyle w:val="htmlparacode"/>
        </w:rPr>
        <w:t>&lt;p&gt;</w:t>
      </w:r>
    </w:p>
    <w:p w:rsidR="00B72047" w:rsidRDefault="00B72047">
      <w:pPr>
        <w:pStyle w:val="normalparagraph"/>
      </w:pPr>
      <w:r>
        <w:t>Nevertheless, inner quantifiers are permitted on “lo” descrip</w:t>
      </w:r>
      <w:r>
        <w:softHyphen/>
        <w:t>tors for</w:t>
      </w:r>
      <w:r>
        <w:rPr>
          <w:rStyle w:val="deletedparamark"/>
        </w:rPr>
        <w:t xml:space="preserve"> </w:t>
      </w:r>
      <w:r>
        <w:t>consis</w:t>
      </w:r>
      <w:r>
        <w:softHyphen/>
        <w:t>tency's sake, and may occasionally be useful.</w:t>
      </w:r>
    </w:p>
    <w:p w:rsidR="00B72047" w:rsidRDefault="00B72047">
      <w:pPr>
        <w:rPr>
          <w:rStyle w:val="htmlparacode"/>
        </w:rPr>
      </w:pPr>
      <w:r>
        <w:rPr>
          <w:rStyle w:val="htmlparacode"/>
        </w:rPr>
        <w:t>&lt;p&gt;</w:t>
      </w:r>
    </w:p>
    <w:p w:rsidR="00B72047" w:rsidRDefault="00B72047">
      <w:pPr>
        <w:pStyle w:val="normalparagraph"/>
      </w:pPr>
      <w:r>
        <w:t>Note that the inner quantifier of “le”, even when exact, need not be</w:t>
      </w:r>
      <w:r>
        <w:rPr>
          <w:rStyle w:val="deletedparamark"/>
        </w:rPr>
        <w:t xml:space="preserve"> </w:t>
      </w:r>
      <w:r>
        <w:t>truthful: “le ci nanmu” means “what I describe as three men”, not</w:t>
      </w:r>
      <w:r>
        <w:rPr>
          <w:rStyle w:val="deletedparamark"/>
        </w:rPr>
        <w:t xml:space="preserve"> “</w:t>
      </w:r>
      <w:r>
        <w:t>three of what I describe as men”. This follows from the rule that</w:t>
      </w:r>
      <w:r>
        <w:rPr>
          <w:rStyle w:val="deletedparamark"/>
        </w:rPr>
        <w:t xml:space="preserve"> </w:t>
      </w:r>
      <w:r>
        <w:t>what is described by a “le” description represents the speaker's view</w:t>
      </w:r>
      <w:r>
        <w:softHyphen/>
        <w:t>point</w:t>
      </w:r>
      <w:r>
        <w:rPr>
          <w:rStyle w:val="deletedparamark"/>
        </w:rPr>
        <w:t xml:space="preserve"> </w:t>
      </w:r>
      <w:r>
        <w:t>rather than the objective way things are.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247" w:name="_Toc395691542"/>
      <w:bookmarkStart w:id="248" w:name="_Toc398970513"/>
      <w:r>
        <w:rPr>
          <w:rStyle w:val="Heading3Text"/>
        </w:rPr>
        <w:t>Indefinite descriptions</w:t>
      </w:r>
      <w:bookmarkEnd w:id="247"/>
      <w:bookmarkEnd w:id="24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 omission of"&gt;</w:t>
      </w:r>
      <w:r>
        <w:rPr>
          <w:rStyle w:val="indexentry"/>
        </w:rPr>
        <w:fldChar w:fldCharType="begin"/>
      </w:r>
      <w:r>
        <w:instrText>xe "</w:instrText>
      </w:r>
      <w:r>
        <w:rPr>
          <w:rStyle w:val="xeentry"/>
        </w:rPr>
        <w:instrText>lo: omission of</w:instrText>
      </w:r>
      <w:r>
        <w:instrText>"</w:instrText>
      </w:r>
      <w:r>
        <w:rPr>
          <w:rStyle w:val="indexentry"/>
        </w:rPr>
        <w:fldChar w:fldCharType="end"/>
      </w:r>
      <w:r>
        <w:rPr>
          <w:rStyle w:val="indexentry"/>
        </w:rPr>
        <w:t>&lt;cx "descriptors, omission of"&gt;</w:t>
      </w:r>
      <w:r>
        <w:rPr>
          <w:rStyle w:val="indexentry"/>
        </w:rPr>
        <w:fldChar w:fldCharType="begin"/>
      </w:r>
      <w:r>
        <w:instrText>xe "</w:instrText>
      </w:r>
      <w:r>
        <w:rPr>
          <w:rStyle w:val="xeentry"/>
        </w:rPr>
        <w:instrText>descriptors: omission of</w:instrText>
      </w:r>
      <w:r>
        <w:instrText>"</w:instrText>
      </w:r>
      <w:r>
        <w:rPr>
          <w:rStyle w:val="indexentry"/>
        </w:rPr>
        <w:fldChar w:fldCharType="end"/>
      </w:r>
      <w:r>
        <w:t>By a quirk of Lojban syntax, it is possible to omit the de</w:t>
      </w:r>
      <w:r>
        <w:softHyphen/>
        <w:t>scriptor “lo”,</w:t>
      </w:r>
      <w:r>
        <w:rPr>
          <w:rStyle w:val="deletedparamark"/>
        </w:rPr>
        <w:t xml:space="preserve"> </w:t>
      </w:r>
      <w:r>
        <w:t xml:space="preserve">but never any other descriptor, from a description like that of </w:t>
      </w:r>
      <w:r>
        <w:rPr>
          <w:rStyle w:val="htmlcodes"/>
        </w:rPr>
        <w:t>&lt;a href=#e7d5&gt;</w:t>
      </w:r>
      <w:r>
        <w:t>Example 7.5</w:t>
      </w:r>
      <w:r>
        <w:rPr>
          <w:rStyle w:val="htmlcodes"/>
        </w:rPr>
        <w:t>&lt;/a&gt;</w:t>
      </w:r>
      <w:r>
        <w:t>;</w:t>
      </w:r>
      <w:r>
        <w:rPr>
          <w:rStyle w:val="deletedparamark"/>
        </w:rPr>
        <w:t xml:space="preserve"> </w:t>
      </w:r>
      <w:r>
        <w:t>namely, one which has an explicit outer quanti</w:t>
      </w:r>
      <w:r>
        <w:softHyphen/>
        <w:t>fier but no explicit inner</w:t>
      </w:r>
      <w:r>
        <w:rPr>
          <w:rStyle w:val="deletedparamark"/>
        </w:rPr>
        <w:t xml:space="preserve"> </w:t>
      </w:r>
      <w:r>
        <w:t>quantifier. The following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ci gerku [ku] cu blabi</w:t>
      </w:r>
    </w:p>
    <w:p w:rsidR="00B72047" w:rsidRDefault="00B72047">
      <w:pPr>
        <w:pStyle w:val="examplescaled"/>
      </w:pPr>
      <w:r>
        <w:tab/>
        <w:t>Three dogs are white.</w:t>
      </w:r>
    </w:p>
    <w:p w:rsidR="00B72047" w:rsidRDefault="00B72047">
      <w:pPr>
        <w:pStyle w:val="resumedafterexample"/>
      </w:pPr>
      <w:r>
        <w:rPr>
          <w:rStyle w:val="htmlcodes"/>
        </w:rPr>
        <w:t>&lt;/pre&gt;</w:t>
      </w:r>
      <w:r>
        <w:rPr>
          <w:rStyle w:val="indexentry"/>
        </w:rPr>
        <w:t>&lt;cx "ku, effect on of omitting descriptor"&gt;</w:t>
      </w:r>
      <w:r>
        <w:rPr>
          <w:rStyle w:val="indexentry"/>
        </w:rPr>
        <w:fldChar w:fldCharType="begin"/>
      </w:r>
      <w:r>
        <w:instrText>xe "</w:instrText>
      </w:r>
      <w:r>
        <w:rPr>
          <w:rStyle w:val="xeentry"/>
        </w:rPr>
        <w:instrText>ku: effect on of omitting descriptor</w:instrText>
      </w:r>
      <w:r>
        <w:instrText>"</w:instrText>
      </w:r>
      <w:r>
        <w:rPr>
          <w:rStyle w:val="indexentry"/>
        </w:rPr>
        <w:fldChar w:fldCharType="end"/>
      </w:r>
      <w:r>
        <w:rPr>
          <w:rStyle w:val="indexentry"/>
        </w:rPr>
        <w:t>&lt;cx "omission of descriptor, effect on ku"&gt;</w:t>
      </w:r>
      <w:r>
        <w:rPr>
          <w:rStyle w:val="indexentry"/>
        </w:rPr>
        <w:fldChar w:fldCharType="begin"/>
      </w:r>
      <w:r>
        <w:instrText>xe "</w:instrText>
      </w:r>
      <w:r>
        <w:rPr>
          <w:rStyle w:val="xeentry"/>
        </w:rPr>
        <w:instrText>omission of descriptor: effect on ku</w:instrText>
      </w:r>
      <w:r>
        <w:instrText>"</w:instrText>
      </w:r>
      <w:r>
        <w:rPr>
          <w:rStyle w:val="indexentry"/>
        </w:rPr>
        <w:fldChar w:fldCharType="end"/>
      </w:r>
      <w:r>
        <w:rPr>
          <w:rStyle w:val="indexentry"/>
        </w:rPr>
        <w:t>&lt;cx "indefinite description, definition"&gt;</w:t>
      </w:r>
      <w:r>
        <w:rPr>
          <w:rStyle w:val="indexentry"/>
        </w:rPr>
        <w:fldChar w:fldCharType="begin"/>
      </w:r>
      <w:r>
        <w:instrText>xe "</w:instrText>
      </w:r>
      <w:r>
        <w:rPr>
          <w:rStyle w:val="xeentry"/>
        </w:rPr>
        <w:instrText>indefinite description: definition</w:instrText>
      </w:r>
      <w:r>
        <w:instrText>"</w:instrText>
      </w:r>
      <w:r>
        <w:rPr>
          <w:rStyle w:val="indexentry"/>
        </w:rPr>
        <w:fldChar w:fldCharType="end"/>
      </w:r>
      <w:r>
        <w:t xml:space="preserve">is equivalent in meaning to </w:t>
      </w:r>
      <w:r>
        <w:rPr>
          <w:rStyle w:val="htmlcodes"/>
        </w:rPr>
        <w:t>&lt;a href=#e7d5&gt;</w:t>
      </w:r>
      <w:r>
        <w:t>Example 7.5</w:t>
      </w:r>
      <w:r>
        <w:rPr>
          <w:rStyle w:val="htmlcodes"/>
        </w:rPr>
        <w:t>&lt;/a&gt;</w:t>
      </w:r>
      <w:r>
        <w:t>. Even though the descriptor</w:t>
      </w:r>
      <w:r>
        <w:rPr>
          <w:rStyle w:val="deletedparamark"/>
        </w:rPr>
        <w:t xml:space="preserve"> </w:t>
      </w:r>
      <w:r>
        <w:t>is not present, the elidable terminator “ku” may still be used. The name</w:t>
      </w:r>
      <w:r>
        <w:rPr>
          <w:rStyle w:val="deletedparamark"/>
        </w:rPr>
        <w:t xml:space="preserve"> “</w:t>
      </w:r>
      <w:r>
        <w:t>indefinite description” for this syntactic form is historically based:</w:t>
      </w:r>
      <w:r>
        <w:rPr>
          <w:rStyle w:val="deletedparamark"/>
        </w:rPr>
        <w:t xml:space="preserve"> </w:t>
      </w:r>
      <w:r>
        <w:t>of course, it is no more and no less indefinite than its counter</w:t>
      </w:r>
      <w:r>
        <w:softHyphen/>
        <w:t>part with</w:t>
      </w:r>
      <w:r>
        <w:rPr>
          <w:rStyle w:val="deletedparamark"/>
        </w:rPr>
        <w:t xml:space="preserve"> </w:t>
      </w:r>
      <w:r>
        <w:t>an explicit “lo”. Indefinite descriptions were introduced into the la</w:t>
      </w:r>
      <w:r>
        <w:t>n</w:t>
      </w:r>
      <w:r>
        <w:softHyphen/>
        <w:t>guage</w:t>
      </w:r>
      <w:r>
        <w:rPr>
          <w:rStyle w:val="deletedparamark"/>
        </w:rPr>
        <w:t xml:space="preserve"> </w:t>
      </w:r>
      <w:r>
        <w:t>in order to imitate the syntax of English and other natu</w:t>
      </w:r>
      <w:r>
        <w:softHyphen/>
        <w:t>ral languages.</w:t>
      </w:r>
    </w:p>
    <w:p w:rsidR="00B72047" w:rsidRDefault="00B72047">
      <w:pPr>
        <w:rPr>
          <w:rStyle w:val="htmlparacode"/>
        </w:rPr>
      </w:pPr>
      <w:r>
        <w:rPr>
          <w:rStyle w:val="htmlparacode"/>
        </w:rPr>
        <w:t>&lt;p&gt;</w:t>
      </w:r>
    </w:p>
    <w:p w:rsidR="00B72047" w:rsidRDefault="00B72047">
      <w:pPr>
        <w:pStyle w:val="normalparagraph"/>
      </w:pPr>
      <w:r>
        <w:rPr>
          <w:rStyle w:val="indexentry"/>
        </w:rPr>
        <w:t>&lt;cx "indefinite description, as needing explicit outer quantifier"&gt;</w:t>
      </w:r>
      <w:r>
        <w:rPr>
          <w:rStyle w:val="indexentry"/>
        </w:rPr>
        <w:fldChar w:fldCharType="begin"/>
      </w:r>
      <w:r>
        <w:instrText>xe "</w:instrText>
      </w:r>
      <w:r>
        <w:rPr>
          <w:rStyle w:val="xeentry"/>
        </w:rPr>
        <w:instrText>indefinite description: as needing explicit outer quantifier</w:instrText>
      </w:r>
      <w:r>
        <w:instrText>"</w:instrText>
      </w:r>
      <w:r>
        <w:rPr>
          <w:rStyle w:val="indexentry"/>
        </w:rPr>
        <w:fldChar w:fldCharType="end"/>
      </w:r>
      <w:r>
        <w:rPr>
          <w:rStyle w:val="indexentry"/>
        </w:rPr>
        <w:t>&lt;cx "indefinite description, as prohibiting explicit inner quantifier"&gt;</w:t>
      </w:r>
      <w:r>
        <w:rPr>
          <w:rStyle w:val="indexentry"/>
        </w:rPr>
        <w:fldChar w:fldCharType="begin"/>
      </w:r>
      <w:r>
        <w:instrText>xe "</w:instrText>
      </w:r>
      <w:r>
        <w:rPr>
          <w:rStyle w:val="xeentry"/>
        </w:rPr>
        <w:instrText>indefinite description: as prohibiting explicit inner quantifier</w:instrText>
      </w:r>
      <w:r>
        <w:instrText>"</w:instrText>
      </w:r>
      <w:r>
        <w:rPr>
          <w:rStyle w:val="indexentry"/>
        </w:rPr>
        <w:fldChar w:fldCharType="end"/>
      </w:r>
      <w:r>
        <w:rPr>
          <w:rStyle w:val="indexentry"/>
        </w:rPr>
        <w:t>&lt;cx "outer quantifier, in indefinite description"&gt;</w:t>
      </w:r>
      <w:r>
        <w:rPr>
          <w:rStyle w:val="indexentry"/>
        </w:rPr>
        <w:fldChar w:fldCharType="begin"/>
      </w:r>
      <w:r>
        <w:instrText>xe "</w:instrText>
      </w:r>
      <w:r>
        <w:rPr>
          <w:rStyle w:val="xeentry"/>
        </w:rPr>
        <w:instrText>outer quantifier: in indefinite description</w:instrText>
      </w:r>
      <w:r>
        <w:instrText>"</w:instrText>
      </w:r>
      <w:r>
        <w:rPr>
          <w:rStyle w:val="indexentry"/>
        </w:rPr>
        <w:fldChar w:fldCharType="end"/>
      </w:r>
      <w:r>
        <w:rPr>
          <w:rStyle w:val="indexentry"/>
        </w:rPr>
        <w:t>&lt;cx "inner quantifier, in indefinite description"&gt;</w:t>
      </w:r>
      <w:r>
        <w:rPr>
          <w:rStyle w:val="indexentry"/>
        </w:rPr>
        <w:fldChar w:fldCharType="begin"/>
      </w:r>
      <w:r>
        <w:instrText>xe "</w:instrText>
      </w:r>
      <w:r>
        <w:rPr>
          <w:rStyle w:val="xeentry"/>
        </w:rPr>
        <w:instrText>inner quantifier: in indefinite description</w:instrText>
      </w:r>
      <w:r>
        <w:instrText>"</w:instrText>
      </w:r>
      <w:r>
        <w:rPr>
          <w:rStyle w:val="indexentry"/>
        </w:rPr>
        <w:fldChar w:fldCharType="end"/>
      </w:r>
      <w:r>
        <w:t>Indefinite descriptions must fit this mold exactly: there is no way to</w:t>
      </w:r>
      <w:r>
        <w:rPr>
          <w:rStyle w:val="deletedparamark"/>
        </w:rPr>
        <w:t xml:space="preserve"> </w:t>
      </w:r>
      <w:r>
        <w:t>make one which does not have an explicit outer quantifier (thus “*gerku</w:t>
      </w:r>
      <w:r>
        <w:rPr>
          <w:rStyle w:val="deletedparamark"/>
        </w:rPr>
        <w:t xml:space="preserve"> </w:t>
      </w:r>
      <w:r>
        <w:t>cu blabi” is ungrammati</w:t>
      </w:r>
      <w:r>
        <w:softHyphen/>
        <w:t>cal), or which has an explicit in</w:t>
      </w:r>
      <w:r>
        <w:softHyphen/>
        <w:t>ner quantifier</w:t>
      </w:r>
      <w:r>
        <w:rPr>
          <w:rStyle w:val="deletedparamark"/>
        </w:rPr>
        <w:t xml:space="preserve"> </w:t>
      </w:r>
      <w:r>
        <w:t>(thus “*reboi ci gerku cu blabi” is also ungra</w:t>
      </w:r>
      <w:r>
        <w:t>m</w:t>
      </w:r>
      <w:r>
        <w:softHyphen/>
        <w:t>matical — “re ci gerku</w:t>
      </w:r>
      <w:r>
        <w:rPr>
          <w:rStyle w:val="deletedparamark"/>
        </w:rPr>
        <w:t xml:space="preserve"> </w:t>
      </w:r>
      <w:r>
        <w:t>cu blabi” is fine, but means “23 dogs are white”).</w:t>
      </w:r>
    </w:p>
    <w:p w:rsidR="00B72047" w:rsidRDefault="00B72047">
      <w:pPr>
        <w:rPr>
          <w:rStyle w:val="htmlparacode"/>
        </w:rPr>
      </w:pPr>
      <w:r>
        <w:rPr>
          <w:rStyle w:val="htmlparacode"/>
        </w:rPr>
        <w:t>&lt;p&gt;</w:t>
      </w:r>
    </w:p>
    <w:p w:rsidR="00B72047" w:rsidRDefault="00B72047">
      <w:pPr>
        <w:pStyle w:val="normalparagraph"/>
      </w:pPr>
      <w:r>
        <w:t xml:space="preserve">Note: </w:t>
      </w:r>
      <w:r>
        <w:rPr>
          <w:rStyle w:val="htmlcodes"/>
        </w:rPr>
        <w:t>&lt;a href=#e6d3&gt;</w:t>
      </w:r>
      <w:r>
        <w:t xml:space="preserve">Example 6.3 </w:t>
      </w:r>
      <w:r>
        <w:rPr>
          <w:rStyle w:val="htmlcodes"/>
        </w:rPr>
        <w:t>&lt;/a&gt;</w:t>
      </w:r>
      <w:r>
        <w:t>also contains an indefinite description, namely “su'o ci</w:t>
      </w:r>
      <w:r>
        <w:rPr>
          <w:rStyle w:val="deletedparamark"/>
        </w:rPr>
        <w:t xml:space="preserve"> </w:t>
      </w:r>
      <w:r>
        <w:t>cutci”; a</w:t>
      </w:r>
      <w:r>
        <w:t>n</w:t>
      </w:r>
      <w:r>
        <w:softHyphen/>
        <w:t>other version of that example using an ex</w:t>
      </w:r>
      <w:r>
        <w:softHyphen/>
        <w:t>plicit “lo”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mi ponse su'o ci lo cutci</w:t>
      </w:r>
    </w:p>
    <w:p w:rsidR="00B72047" w:rsidRDefault="00B72047">
      <w:pPr>
        <w:pStyle w:val="examplescaled"/>
      </w:pPr>
      <w:r>
        <w:tab/>
        <w:t>I possess at-least three things-which-really-are shoes</w:t>
      </w:r>
    </w:p>
    <w:p w:rsidR="00B72047" w:rsidRDefault="00B72047">
      <w:pPr>
        <w:pStyle w:val="examplescaled"/>
      </w:pPr>
      <w:r>
        <w:tab/>
        <w:t>I own three (or more) shoes.</w:t>
      </w:r>
    </w:p>
    <w:p w:rsidR="00B72047" w:rsidRDefault="00B72047">
      <w:pPr>
        <w:pStyle w:val="Heading3"/>
        <w:rPr>
          <w:rStyle w:val="Heading3Text"/>
        </w:rPr>
      </w:pPr>
      <w:r>
        <w:rPr>
          <w:rStyle w:val="htmlcodes"/>
        </w:rPr>
        <w:t>&lt;/pre&gt;&lt;a name=s9&gt;&lt;h3&gt;</w:t>
      </w:r>
      <w:bookmarkStart w:id="249" w:name="_Toc395691543"/>
      <w:bookmarkStart w:id="250" w:name="_Toc398970514"/>
      <w:r>
        <w:rPr>
          <w:rStyle w:val="Heading3Text"/>
        </w:rPr>
        <w:t>sumti-based descriptions</w:t>
      </w:r>
      <w:bookmarkEnd w:id="249"/>
      <w:bookmarkEnd w:id="250"/>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As stated in </w:t>
      </w:r>
      <w:r>
        <w:rPr>
          <w:rStyle w:val="htmlcodes"/>
        </w:rPr>
        <w:t>&lt;a href=#s2&gt;</w:t>
      </w:r>
      <w:r>
        <w:t>Section 2</w:t>
      </w:r>
      <w:r>
        <w:rPr>
          <w:rStyle w:val="htmlcodes"/>
        </w:rPr>
        <w:t>&lt;/a&gt;</w:t>
      </w:r>
      <w:r>
        <w:t>, most descriptions consist of just a de</w:t>
      </w:r>
      <w:r>
        <w:softHyphen/>
        <w:t>scriptor and</w:t>
      </w:r>
      <w:r>
        <w:rPr>
          <w:rStyle w:val="deletedparamark"/>
        </w:rPr>
        <w:t xml:space="preserve"> </w:t>
      </w:r>
      <w:r>
        <w:t>a sel</w:t>
      </w:r>
      <w:r>
        <w:softHyphen/>
        <w:t>bri. (In this chapter, the selbri have always been single gismu, but</w:t>
      </w:r>
      <w:r>
        <w:rPr>
          <w:rStyle w:val="deletedparamark"/>
        </w:rPr>
        <w:t xml:space="preserve"> </w:t>
      </w:r>
      <w:r>
        <w:t>of course any selbri, however complex, can be em</w:t>
      </w:r>
      <w:r>
        <w:softHyphen/>
        <w:t>ployed in a description.</w:t>
      </w:r>
      <w:r>
        <w:rPr>
          <w:rStyle w:val="deletedparamark"/>
        </w:rPr>
        <w:t xml:space="preserve"> </w:t>
      </w:r>
      <w:r>
        <w:t>The syntax and semantics of selbri are ex</w:t>
      </w:r>
      <w:r>
        <w:softHyphen/>
        <w:t xml:space="preserve">plained in </w:t>
      </w:r>
      <w:r>
        <w:rPr>
          <w:rStyle w:val="htmlcodes"/>
        </w:rPr>
        <w:t>&lt;a href=chap5.html&gt;</w:t>
      </w:r>
      <w:r>
        <w:t>Chapter 5</w:t>
      </w:r>
      <w:r>
        <w:rPr>
          <w:rStyle w:val="htmlcodes"/>
        </w:rPr>
        <w:t>&lt;/a&gt;</w:t>
      </w:r>
      <w:r>
        <w:t>.) In the</w:t>
      </w:r>
      <w:r>
        <w:rPr>
          <w:rStyle w:val="deletedparamark"/>
        </w:rPr>
        <w:t xml:space="preserve"> </w:t>
      </w:r>
      <w:r>
        <w:t>intervening sections, inner and outer quantifiers have been added to</w:t>
      </w:r>
      <w:r>
        <w:rPr>
          <w:rStyle w:val="deletedparamark"/>
        </w:rPr>
        <w:t xml:space="preserve"> </w:t>
      </w:r>
      <w:r>
        <w:t>the syntax. Now it is time to discuss a description of a radically</w:t>
      </w:r>
      <w:r>
        <w:rPr>
          <w:rStyle w:val="deletedparamark"/>
        </w:rPr>
        <w:t xml:space="preserve"> </w:t>
      </w:r>
      <w:r>
        <w:t>different kind: the sumti-based description.</w:t>
      </w:r>
    </w:p>
    <w:p w:rsidR="00B72047" w:rsidRDefault="00B72047">
      <w:pPr>
        <w:rPr>
          <w:rStyle w:val="htmlparacode"/>
        </w:rPr>
      </w:pPr>
      <w:r>
        <w:rPr>
          <w:rStyle w:val="htmlparacode"/>
        </w:rPr>
        <w:t>&lt;p&gt;</w:t>
      </w:r>
    </w:p>
    <w:p w:rsidR="00B72047" w:rsidRDefault="00B72047">
      <w:pPr>
        <w:pStyle w:val="normalparagraph"/>
      </w:pPr>
      <w:r>
        <w:rPr>
          <w:rStyle w:val="indexentry"/>
        </w:rPr>
        <w:t>&lt;cx "sumti-based description, definition"&gt;</w:t>
      </w:r>
      <w:r>
        <w:rPr>
          <w:rStyle w:val="indexentry"/>
        </w:rPr>
        <w:fldChar w:fldCharType="begin"/>
      </w:r>
      <w:r>
        <w:instrText>xe "</w:instrText>
      </w:r>
      <w:r>
        <w:rPr>
          <w:rStyle w:val="xeentry"/>
        </w:rPr>
        <w:instrText>sumti-based description: definition</w:instrText>
      </w:r>
      <w:r>
        <w:instrText>"</w:instrText>
      </w:r>
      <w:r>
        <w:rPr>
          <w:rStyle w:val="indexentry"/>
        </w:rPr>
        <w:fldChar w:fldCharType="end"/>
      </w:r>
      <w:r>
        <w:rPr>
          <w:rStyle w:val="indexentry"/>
        </w:rPr>
        <w:t>&lt;cx "sumti-based description, inner quantifier on"&gt;</w:t>
      </w:r>
      <w:r>
        <w:rPr>
          <w:rStyle w:val="indexentry"/>
        </w:rPr>
        <w:fldChar w:fldCharType="begin"/>
      </w:r>
      <w:r>
        <w:instrText>xe "</w:instrText>
      </w:r>
      <w:r>
        <w:rPr>
          <w:rStyle w:val="xeentry"/>
        </w:rPr>
        <w:instrText>sumti-based description: inner quantifier on</w:instrText>
      </w:r>
      <w:r>
        <w:instrText>"</w:instrText>
      </w:r>
      <w:r>
        <w:rPr>
          <w:rStyle w:val="indexentry"/>
        </w:rPr>
        <w:fldChar w:fldCharType="end"/>
      </w:r>
      <w:r>
        <w:rPr>
          <w:rStyle w:val="indexentry"/>
        </w:rPr>
        <w:t>&lt;cx "sumti-based description, outer quantifier on"&gt;</w:t>
      </w:r>
      <w:r>
        <w:rPr>
          <w:rStyle w:val="indexentry"/>
        </w:rPr>
        <w:fldChar w:fldCharType="begin"/>
      </w:r>
      <w:r>
        <w:instrText>xe "</w:instrText>
      </w:r>
      <w:r>
        <w:rPr>
          <w:rStyle w:val="xeentry"/>
        </w:rPr>
        <w:instrText>sumti-based description: outer quantifier on</w:instrText>
      </w:r>
      <w:r>
        <w:instrText>"</w:instrText>
      </w:r>
      <w:r>
        <w:rPr>
          <w:rStyle w:val="indexentry"/>
        </w:rPr>
        <w:fldChar w:fldCharType="end"/>
      </w:r>
      <w:r>
        <w:t>A sumti-based description has a sumti where the selbri would normally be,</w:t>
      </w:r>
      <w:r>
        <w:rPr>
          <w:rStyle w:val="deletedparamark"/>
        </w:rPr>
        <w:t xml:space="preserve"> </w:t>
      </w:r>
      <w:r>
        <w:t>and the inner quantifier is required — it cannot be im</w:t>
      </w:r>
      <w:r>
        <w:softHyphen/>
        <w:t>plicit. An outer</w:t>
      </w:r>
      <w:r>
        <w:rPr>
          <w:rStyle w:val="deletedparamark"/>
        </w:rPr>
        <w:t xml:space="preserve"> </w:t>
      </w:r>
      <w:r>
        <w:t>quantifier is permitted but not required.</w:t>
      </w:r>
    </w:p>
    <w:p w:rsidR="00B72047" w:rsidRDefault="00B72047">
      <w:pPr>
        <w:rPr>
          <w:rStyle w:val="htmlparacode"/>
        </w:rPr>
      </w:pPr>
      <w:r>
        <w:rPr>
          <w:rStyle w:val="htmlparacode"/>
        </w:rPr>
        <w:t>&lt;p&gt;</w:t>
      </w:r>
    </w:p>
    <w:p w:rsidR="00B72047" w:rsidRDefault="00B72047">
      <w:pPr>
        <w:pStyle w:val="normalparagraph"/>
      </w:pPr>
      <w:r>
        <w:t>A full theory of sumti-based descriptions has yet to be worked out. One</w:t>
      </w:r>
      <w:r>
        <w:rPr>
          <w:rStyle w:val="deletedparamark"/>
        </w:rPr>
        <w:t xml:space="preserve"> </w:t>
      </w:r>
      <w:r>
        <w:t>com</w:t>
      </w:r>
      <w:r>
        <w:softHyphen/>
        <w:t>mon case, however, is well understood. Compare the following: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re do cu nanmu</w:t>
      </w:r>
    </w:p>
    <w:p w:rsidR="00B72047" w:rsidRDefault="00B72047">
      <w:pPr>
        <w:pStyle w:val="examplescaled"/>
      </w:pPr>
      <w:r>
        <w:tab/>
        <w:t>Two-of you are-men.</w:t>
      </w:r>
    </w:p>
    <w:p w:rsidR="00B72047" w:rsidRDefault="00B72047">
      <w:pPr>
        <w:pStyle w:val="examplescaledpre"/>
      </w:pPr>
      <w:r>
        <w:rPr>
          <w:rStyle w:val="htmlcodes"/>
        </w:rPr>
        <w:t>&lt;/pre&gt;</w:t>
      </w:r>
      <w:r>
        <w:rPr>
          <w:rStyle w:val="indexentry"/>
        </w:rPr>
        <w:t>&lt;ex "the two of you"&gt;</w:t>
      </w:r>
      <w:r>
        <w:rPr>
          <w:rStyle w:val="indexentry"/>
        </w:rPr>
        <w:fldChar w:fldCharType="begin"/>
      </w:r>
      <w:r>
        <w:instrText>xe "</w:instrText>
      </w:r>
      <w:r>
        <w:rPr>
          <w:rStyle w:val="xeentry"/>
        </w:rPr>
        <w:instrText>the two of you: example</w:instrText>
      </w:r>
      <w:r>
        <w:instrText>"</w:instrText>
      </w:r>
      <w:r>
        <w:rPr>
          <w:rStyle w:val="indexentry"/>
        </w:rPr>
        <w:fldChar w:fldCharType="end"/>
      </w:r>
      <w:r>
        <w:rPr>
          <w:rStyle w:val="htmlcodes"/>
        </w:rPr>
        <w:t>&lt;pre&gt;&lt;a name=e9d2&gt;</w:t>
      </w:r>
      <w:r>
        <w:t>9.2)</w:t>
      </w:r>
      <w:r>
        <w:tab/>
        <w:t>le re do cu nanmu</w:t>
      </w:r>
    </w:p>
    <w:p w:rsidR="00B72047" w:rsidRDefault="00B72047">
      <w:pPr>
        <w:pStyle w:val="examplescaled"/>
      </w:pPr>
      <w:r>
        <w:tab/>
        <w:t>The two-of you are men.</w:t>
      </w:r>
    </w:p>
    <w:p w:rsidR="00B72047" w:rsidRDefault="00B72047">
      <w:pPr>
        <w:pStyle w:val="resumedafterexample"/>
      </w:pPr>
      <w:r>
        <w:rPr>
          <w:rStyle w:val="htmlcodes"/>
        </w:rPr>
        <w:t>&lt;/pre&gt;&lt;a href=#e9d1&gt;</w:t>
      </w:r>
      <w:r>
        <w:t xml:space="preserve">Example 9.1 </w:t>
      </w:r>
      <w:r>
        <w:rPr>
          <w:rStyle w:val="htmlcodes"/>
        </w:rPr>
        <w:t>&lt;/a&gt;</w:t>
      </w:r>
      <w:r>
        <w:t>simply specifies that of the group of listeners, size un</w:t>
      </w:r>
      <w:r>
        <w:softHyphen/>
        <w:t>known,</w:t>
      </w:r>
      <w:r>
        <w:rPr>
          <w:rStyle w:val="deletedparamark"/>
        </w:rPr>
        <w:t xml:space="preserve"> </w:t>
      </w:r>
      <w:r>
        <w:t xml:space="preserve">two are men. </w:t>
      </w:r>
      <w:r>
        <w:rPr>
          <w:rStyle w:val="htmlcodes"/>
        </w:rPr>
        <w:t>&lt;a href=#e9d2&gt;</w:t>
      </w:r>
      <w:r>
        <w:t>Example 9.2</w:t>
      </w:r>
      <w:r>
        <w:rPr>
          <w:rStyle w:val="htmlcodes"/>
        </w:rPr>
        <w:t>&lt;/a&gt;</w:t>
      </w:r>
      <w:r>
        <w:t>, which has the sumti-based de</w:t>
      </w:r>
      <w:r>
        <w:softHyphen/>
        <w:t>scription “le re do”,</w:t>
      </w:r>
      <w:r>
        <w:rPr>
          <w:rStyle w:val="deletedparamark"/>
        </w:rPr>
        <w:t xml:space="preserve"> </w:t>
      </w:r>
      <w:r>
        <w:t>says that of the two lis</w:t>
      </w:r>
      <w:r>
        <w:softHyphen/>
        <w:t>teners, all (the implicit outer quantifier “ro”)</w:t>
      </w:r>
      <w:r>
        <w:rPr>
          <w:rStyle w:val="deletedparamark"/>
        </w:rPr>
        <w:t xml:space="preserve"> </w:t>
      </w:r>
      <w:r>
        <w:t>are men. So in effect the inner quantifier “re” gives the number of</w:t>
      </w:r>
      <w:r>
        <w:rPr>
          <w:rStyle w:val="deletedparamark"/>
        </w:rPr>
        <w:t xml:space="preserve"> </w:t>
      </w:r>
      <w:r>
        <w:t>individuals which the inner sumti “do” refers to.</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Here is another group of examples:</w:t>
      </w:r>
    </w:p>
    <w:p w:rsidR="00B72047" w:rsidRDefault="00B72047">
      <w:pPr>
        <w:rPr>
          <w:rStyle w:val="htmlparacode"/>
        </w:rPr>
      </w:pPr>
      <w:r>
        <w:rPr>
          <w:rStyle w:val="htmlparacode"/>
        </w:rPr>
        <w:t>&lt;p&gt;</w:t>
      </w:r>
    </w:p>
    <w:p w:rsidR="00B72047" w:rsidRDefault="00B72047">
      <w:pPr>
        <w:pStyle w:val="examplescaledpre"/>
      </w:pPr>
      <w:r>
        <w:rPr>
          <w:rStyle w:val="indexentry"/>
        </w:rPr>
        <w:t>&lt;ex "three bears"&gt;</w:t>
      </w:r>
      <w:r>
        <w:rPr>
          <w:rStyle w:val="indexentry"/>
        </w:rPr>
        <w:fldChar w:fldCharType="begin"/>
      </w:r>
      <w:r>
        <w:instrText>xe "</w:instrText>
      </w:r>
      <w:r>
        <w:rPr>
          <w:rStyle w:val="xeentry"/>
        </w:rPr>
        <w:instrText>three bears: example</w:instrText>
      </w:r>
      <w:r>
        <w:instrText>"</w:instrText>
      </w:r>
      <w:r>
        <w:rPr>
          <w:rStyle w:val="indexentry"/>
        </w:rPr>
        <w:fldChar w:fldCharType="end"/>
      </w:r>
      <w:r>
        <w:rPr>
          <w:rStyle w:val="htmlcodes"/>
        </w:rPr>
        <w:t>&lt;pre&gt;&lt;a name=e9d3&gt;</w:t>
      </w:r>
      <w:r>
        <w:t>9.3)</w:t>
      </w:r>
      <w:r>
        <w:tab/>
        <w:t>re le ci cribe cu bunre</w:t>
      </w:r>
    </w:p>
    <w:p w:rsidR="00B72047" w:rsidRDefault="00B72047">
      <w:pPr>
        <w:pStyle w:val="examplescaled"/>
      </w:pPr>
      <w:r>
        <w:tab/>
        <w:t>Two-of the three bears are-brown.</w:t>
      </w:r>
    </w:p>
    <w:p w:rsidR="00B72047" w:rsidRDefault="00B72047">
      <w:pPr>
        <w:pStyle w:val="examplescaledpre"/>
      </w:pPr>
      <w:r>
        <w:rPr>
          <w:rStyle w:val="htmlcodes"/>
        </w:rPr>
        <w:t>&lt;a name=e9d4&gt;</w:t>
      </w:r>
      <w:r>
        <w:t>9.4)</w:t>
      </w:r>
      <w:r>
        <w:tab/>
        <w:t>le re le ci cribe cu bunre</w:t>
      </w:r>
    </w:p>
    <w:p w:rsidR="00B72047" w:rsidRDefault="00B72047">
      <w:pPr>
        <w:pStyle w:val="examplescaled"/>
        <w:ind w:firstLine="0"/>
      </w:pPr>
      <w:r>
        <w:t>The two-of the three bears are-brown.</w:t>
      </w:r>
    </w:p>
    <w:p w:rsidR="00B72047" w:rsidRDefault="00B72047">
      <w:pPr>
        <w:pStyle w:val="examplescaledpre"/>
      </w:pPr>
      <w:r>
        <w:rPr>
          <w:rStyle w:val="htmlcodes"/>
        </w:rPr>
        <w:t>&lt;a name=e9d5&gt;</w:t>
      </w:r>
      <w:r>
        <w:t>9.5)</w:t>
      </w:r>
      <w:r>
        <w:tab/>
        <w:t>pa le re le ci cribe cu bunre</w:t>
      </w:r>
    </w:p>
    <w:p w:rsidR="00B72047" w:rsidRDefault="00B72047">
      <w:pPr>
        <w:pStyle w:val="examplescaled"/>
      </w:pPr>
      <w:r>
        <w:tab/>
        <w:t>One-of the two-of the three bears are-brown.</w:t>
      </w:r>
    </w:p>
    <w:p w:rsidR="00B72047" w:rsidRDefault="00B72047">
      <w:pPr>
        <w:pStyle w:val="resumedafterexample"/>
      </w:pPr>
      <w:r>
        <w:rPr>
          <w:rStyle w:val="htmlcodes"/>
        </w:rPr>
        <w:t>&lt;/pre&gt;</w:t>
      </w:r>
      <w:r>
        <w:rPr>
          <w:rStyle w:val="indexentry"/>
        </w:rPr>
        <w:t>&lt;cx "sumti-based descriptions with le, as increasing restricting to in-mind"&gt;</w:t>
      </w:r>
      <w:r>
        <w:rPr>
          <w:rStyle w:val="indexentry"/>
        </w:rPr>
        <w:fldChar w:fldCharType="begin"/>
      </w:r>
      <w:r>
        <w:instrText>xe "</w:instrText>
      </w:r>
      <w:r>
        <w:rPr>
          <w:rStyle w:val="xeentry"/>
        </w:rPr>
        <w:instrText>sumti-based descriptions with le: as increasing restricting to in-mind</w:instrText>
      </w:r>
      <w:r>
        <w:instrText>"</w:instrText>
      </w:r>
      <w:r>
        <w:rPr>
          <w:rStyle w:val="indexentry"/>
        </w:rPr>
        <w:fldChar w:fldCharType="end"/>
      </w:r>
      <w:r>
        <w:t>In each case, “le ci cribe” restricts the bears (or alleged bears) being</w:t>
      </w:r>
      <w:r>
        <w:rPr>
          <w:rStyle w:val="deletedparamark"/>
        </w:rPr>
        <w:t xml:space="preserve"> </w:t>
      </w:r>
      <w:r>
        <w:t xml:space="preserve">talked of to some group of three which the speaker has in mind. </w:t>
      </w:r>
      <w:r>
        <w:rPr>
          <w:rStyle w:val="htmlcodes"/>
        </w:rPr>
        <w:t>&lt;a href=#e9d3&gt;</w:t>
      </w:r>
      <w:r>
        <w:t>Ex</w:t>
      </w:r>
      <w:r>
        <w:softHyphen/>
        <w:t xml:space="preserve">ample 9.3 </w:t>
      </w:r>
      <w:r>
        <w:rPr>
          <w:rStyle w:val="htmlcodes"/>
        </w:rPr>
        <w:t>&lt;/a&gt;</w:t>
      </w:r>
      <w:r>
        <w:t xml:space="preserve">says that two of them (which two is not stated) are brown. </w:t>
      </w:r>
      <w:r>
        <w:rPr>
          <w:rStyle w:val="htmlcodes"/>
        </w:rPr>
        <w:t>&lt;a href=#e9d4&gt;</w:t>
      </w:r>
      <w:r>
        <w:t xml:space="preserve">Example 9.4 </w:t>
      </w:r>
      <w:r>
        <w:rPr>
          <w:rStyle w:val="htmlcodes"/>
        </w:rPr>
        <w:t>&lt;/a&gt;</w:t>
      </w:r>
      <w:r>
        <w:t>says</w:t>
      </w:r>
      <w:r>
        <w:rPr>
          <w:rStyle w:val="deletedparamark"/>
        </w:rPr>
        <w:t xml:space="preserve"> </w:t>
      </w:r>
      <w:r>
        <w:t xml:space="preserve">that a specific pair of them are brown. </w:t>
      </w:r>
      <w:r>
        <w:rPr>
          <w:rStyle w:val="htmlcodes"/>
        </w:rPr>
        <w:t>&lt;a href=#e9d5&gt;</w:t>
      </w:r>
      <w:r>
        <w:t xml:space="preserve">Example 9.5 </w:t>
      </w:r>
      <w:r>
        <w:rPr>
          <w:rStyle w:val="htmlcodes"/>
        </w:rPr>
        <w:t>&lt;/a&gt;</w:t>
      </w:r>
      <w:r>
        <w:t>says that of a specific</w:t>
      </w:r>
      <w:r>
        <w:rPr>
          <w:rStyle w:val="deletedparamark"/>
        </w:rPr>
        <w:t xml:space="preserve"> </w:t>
      </w:r>
      <w:r>
        <w:t>pair chosen from the original three, one or the other of that pair is</w:t>
      </w:r>
      <w:r>
        <w:rPr>
          <w:rStyle w:val="deletedparamark"/>
        </w:rPr>
        <w:t xml:space="preserve"> </w:t>
      </w:r>
      <w:r>
        <w:t>brown.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251" w:name="_Toc395691544"/>
      <w:bookmarkStart w:id="252" w:name="_Toc398970515"/>
      <w:r>
        <w:rPr>
          <w:rStyle w:val="Heading3Text"/>
        </w:rPr>
        <w:t>sumti qualifiers</w:t>
      </w:r>
      <w:bookmarkEnd w:id="251"/>
      <w:bookmarkEnd w:id="25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pStyle w:val="examplecomptabs"/>
        <w:rPr>
          <w:rStyle w:val="htmlparacode"/>
        </w:rPr>
      </w:pPr>
      <w:r>
        <w:rPr>
          <w:rStyle w:val="htmlparacode"/>
        </w:rPr>
        <w:t>&lt;p&gt;</w:t>
      </w:r>
    </w:p>
    <w:p w:rsidR="00B72047" w:rsidRDefault="00B72047">
      <w:pPr>
        <w:pStyle w:val="examplecomptabspre"/>
      </w:pPr>
      <w:r>
        <w:rPr>
          <w:rStyle w:val="indexentry"/>
        </w:rPr>
        <w:t>&lt;cx "sumti qualifiers, list of"&gt;</w:t>
      </w:r>
      <w:r>
        <w:rPr>
          <w:rStyle w:val="indexentry"/>
        </w:rPr>
        <w:fldChar w:fldCharType="begin"/>
      </w:r>
      <w:r>
        <w:instrText>xe "</w:instrText>
      </w:r>
      <w:r>
        <w:rPr>
          <w:rStyle w:val="xeentry"/>
        </w:rPr>
        <w:instrText>sumti qualifiers: list of</w:instrText>
      </w:r>
      <w:r>
        <w:instrText>"</w:instrText>
      </w:r>
      <w:r>
        <w:rPr>
          <w:rStyle w:val="indexentry"/>
        </w:rPr>
        <w:fldChar w:fldCharType="end"/>
      </w:r>
      <w:r>
        <w:rPr>
          <w:rStyle w:val="htmlcodes"/>
        </w:rPr>
        <w:t>&lt;pre&gt;</w:t>
      </w:r>
      <w:r>
        <w:tab/>
        <w:t>la'e</w:t>
      </w:r>
      <w:r>
        <w:tab/>
      </w:r>
      <w:r>
        <w:tab/>
        <w:t>LAhE</w:t>
      </w:r>
      <w:r>
        <w:tab/>
        <w:t>something referred to by</w:t>
      </w:r>
    </w:p>
    <w:p w:rsidR="00B72047" w:rsidRDefault="00B72047">
      <w:pPr>
        <w:pStyle w:val="examplecomptabs"/>
      </w:pPr>
      <w:r>
        <w:tab/>
        <w:t>lu'e</w:t>
      </w:r>
      <w:r>
        <w:tab/>
      </w:r>
      <w:r>
        <w:tab/>
        <w:t>LAhE</w:t>
      </w:r>
      <w:r>
        <w:tab/>
        <w:t>a reference to</w:t>
      </w:r>
    </w:p>
    <w:p w:rsidR="00B72047" w:rsidRDefault="00B72047">
      <w:pPr>
        <w:pStyle w:val="examplecomptabs"/>
      </w:pPr>
      <w:r>
        <w:tab/>
        <w:t>tu'a</w:t>
      </w:r>
      <w:r>
        <w:tab/>
        <w:t>LAhE</w:t>
      </w:r>
      <w:r>
        <w:tab/>
        <w:t>an abstraction involving</w:t>
      </w:r>
    </w:p>
    <w:p w:rsidR="00B72047" w:rsidRDefault="00B72047">
      <w:pPr>
        <w:pStyle w:val="examplecomptabs"/>
      </w:pPr>
      <w:r>
        <w:tab/>
        <w:t>lu'a</w:t>
      </w:r>
      <w:r>
        <w:tab/>
      </w:r>
      <w:r>
        <w:tab/>
        <w:t>LAhE</w:t>
      </w:r>
      <w:r>
        <w:tab/>
        <w:t>an individual/member/component of</w:t>
      </w:r>
    </w:p>
    <w:p w:rsidR="00B72047" w:rsidRDefault="00B72047">
      <w:pPr>
        <w:pStyle w:val="examplecomptabs"/>
      </w:pPr>
      <w:r>
        <w:tab/>
        <w:t>lu'i</w:t>
      </w:r>
      <w:r>
        <w:tab/>
      </w:r>
      <w:r>
        <w:tab/>
        <w:t>LAhE</w:t>
      </w:r>
      <w:r>
        <w:tab/>
        <w:t>a set formed from</w:t>
      </w:r>
    </w:p>
    <w:p w:rsidR="00B72047" w:rsidRDefault="00B72047">
      <w:pPr>
        <w:pStyle w:val="examplecomptabs"/>
      </w:pPr>
      <w:r>
        <w:tab/>
        <w:t>lu'o</w:t>
      </w:r>
      <w:r>
        <w:tab/>
      </w:r>
      <w:r>
        <w:tab/>
        <w:t>LAhE</w:t>
      </w:r>
      <w:r>
        <w:tab/>
        <w:t>a mass formed from</w:t>
      </w:r>
    </w:p>
    <w:p w:rsidR="00B72047" w:rsidRDefault="00B72047">
      <w:pPr>
        <w:pStyle w:val="examplecomptabs"/>
      </w:pPr>
      <w:r>
        <w:tab/>
        <w:t>vu'i</w:t>
      </w:r>
      <w:r>
        <w:tab/>
      </w:r>
      <w:r>
        <w:tab/>
        <w:t>LAhE</w:t>
      </w:r>
      <w:r>
        <w:tab/>
        <w:t>a sequence formed from</w:t>
      </w:r>
    </w:p>
    <w:p w:rsidR="00B72047" w:rsidRDefault="00B72047">
      <w:pPr>
        <w:pStyle w:val="examplecomptabspre"/>
      </w:pPr>
      <w:r>
        <w:tab/>
        <w:t>na'ebo</w:t>
      </w:r>
      <w:r>
        <w:tab/>
        <w:t>NAhE+BO</w:t>
      </w:r>
      <w:r>
        <w:tab/>
        <w:t>something other than</w:t>
      </w:r>
    </w:p>
    <w:p w:rsidR="00B72047" w:rsidRDefault="00B72047">
      <w:pPr>
        <w:pStyle w:val="examplecomptabs"/>
      </w:pPr>
      <w:r>
        <w:tab/>
        <w:t>to'ebo</w:t>
      </w:r>
      <w:r>
        <w:tab/>
        <w:t>NAhE+BO</w:t>
      </w:r>
      <w:r>
        <w:tab/>
        <w:t>the opposite of</w:t>
      </w:r>
    </w:p>
    <w:p w:rsidR="00B72047" w:rsidRDefault="00B72047">
      <w:pPr>
        <w:pStyle w:val="examplecomptabs"/>
      </w:pPr>
      <w:r>
        <w:tab/>
        <w:t>no'ebo</w:t>
      </w:r>
      <w:r>
        <w:tab/>
        <w:t>NAhE+BO</w:t>
      </w:r>
      <w:r>
        <w:tab/>
        <w:t>the neutral form of</w:t>
      </w:r>
    </w:p>
    <w:p w:rsidR="00B72047" w:rsidRDefault="00B72047">
      <w:pPr>
        <w:pStyle w:val="examplecomptabs"/>
      </w:pPr>
      <w:r>
        <w:tab/>
        <w:t>je'abo</w:t>
      </w:r>
      <w:r>
        <w:tab/>
        <w:t>NAhE+BO</w:t>
      </w:r>
      <w:r>
        <w:tab/>
        <w:t>that which indeed is</w:t>
      </w:r>
    </w:p>
    <w:p w:rsidR="00B72047" w:rsidRDefault="00B72047">
      <w:pPr>
        <w:pStyle w:val="examplecomptabspre"/>
      </w:pPr>
      <w:r>
        <w:tab/>
        <w:t>lu'u</w:t>
      </w:r>
      <w:r>
        <w:tab/>
      </w:r>
      <w:r>
        <w:tab/>
        <w:t>LUhU</w:t>
      </w:r>
      <w:r>
        <w:tab/>
        <w:t>elidable terminator for LAhE and NAhE+BO</w:t>
      </w:r>
    </w:p>
    <w:p w:rsidR="00B72047" w:rsidRDefault="00B72047">
      <w:pPr>
        <w:pStyle w:val="resumedafterexample"/>
      </w:pPr>
      <w:r>
        <w:rPr>
          <w:rStyle w:val="htmlcodes"/>
        </w:rPr>
        <w:t>&lt;/pre&gt;&lt;p&gt;</w:t>
      </w:r>
      <w:r>
        <w:t>Well, that's quite a list of cmavo. What are they all about?</w:t>
      </w:r>
    </w:p>
    <w:p w:rsidR="00B72047" w:rsidRDefault="00B72047">
      <w:pPr>
        <w:rPr>
          <w:rStyle w:val="htmlparacode"/>
        </w:rPr>
      </w:pPr>
      <w:r>
        <w:rPr>
          <w:rStyle w:val="htmlparacode"/>
        </w:rPr>
        <w:t>&lt;p&gt;</w:t>
      </w:r>
    </w:p>
    <w:p w:rsidR="00B72047" w:rsidRDefault="00B72047">
      <w:pPr>
        <w:pStyle w:val="normalparagraph"/>
      </w:pPr>
      <w:r>
        <w:rPr>
          <w:rStyle w:val="indexentry"/>
        </w:rPr>
        <w:t>&lt;cx "LAhE"&gt;</w:t>
      </w:r>
      <w:r>
        <w:rPr>
          <w:rStyle w:val="indexentry"/>
        </w:rPr>
        <w:fldChar w:fldCharType="begin"/>
      </w:r>
      <w:r>
        <w:instrText>xe "</w:instrText>
      </w:r>
      <w:r>
        <w:rPr>
          <w:rStyle w:val="xeentry"/>
        </w:rPr>
        <w:instrText>LAhE selma’o</w:instrText>
      </w:r>
      <w:r>
        <w:instrText>"</w:instrText>
      </w:r>
      <w:r>
        <w:rPr>
          <w:rStyle w:val="indexentry"/>
        </w:rPr>
        <w:fldChar w:fldCharType="end"/>
      </w:r>
      <w:r>
        <w:rPr>
          <w:rStyle w:val="indexentry"/>
        </w:rPr>
        <w:t>&lt;cx "NAhE"&gt;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"sumti qualifiers, internal syntax of"&gt;</w:t>
      </w:r>
      <w:r>
        <w:rPr>
          <w:rStyle w:val="indexentry"/>
        </w:rPr>
        <w:fldChar w:fldCharType="begin"/>
      </w:r>
      <w:r>
        <w:instrText>xe "</w:instrText>
      </w:r>
      <w:r>
        <w:rPr>
          <w:rStyle w:val="xeentry"/>
        </w:rPr>
        <w:instrText>sumti qualifiers: internal syntax of</w:instrText>
      </w:r>
      <w:r>
        <w:instrText>"</w:instrText>
      </w:r>
      <w:r>
        <w:rPr>
          <w:rStyle w:val="indexentry"/>
        </w:rPr>
        <w:fldChar w:fldCharType="end"/>
      </w:r>
      <w:r>
        <w:rPr>
          <w:rStyle w:val="indexentry"/>
        </w:rPr>
        <w:t>&lt;cx "sumti qualifiers, external syntax of"&gt;</w:t>
      </w:r>
      <w:r>
        <w:rPr>
          <w:rStyle w:val="indexentry"/>
        </w:rPr>
        <w:fldChar w:fldCharType="begin"/>
      </w:r>
      <w:r>
        <w:instrText>xe "</w:instrText>
      </w:r>
      <w:r>
        <w:rPr>
          <w:rStyle w:val="xeentry"/>
        </w:rPr>
        <w:instrText>sumti qualifiers: external syntax of</w:instrText>
      </w:r>
      <w:r>
        <w:instrText>"</w:instrText>
      </w:r>
      <w:r>
        <w:rPr>
          <w:rStyle w:val="indexentry"/>
        </w:rPr>
        <w:fldChar w:fldCharType="end"/>
      </w:r>
      <w:r>
        <w:rPr>
          <w:rStyle w:val="indexentry"/>
        </w:rPr>
        <w:t>&lt;cx "sumti qualifiers, elidable terminator for qualified sumti"&gt;</w:t>
      </w:r>
      <w:r>
        <w:rPr>
          <w:rStyle w:val="indexentry"/>
        </w:rPr>
        <w:fldChar w:fldCharType="begin"/>
      </w:r>
      <w:r>
        <w:instrText>xe "</w:instrText>
      </w:r>
      <w:r>
        <w:rPr>
          <w:rStyle w:val="xeentry"/>
        </w:rPr>
        <w:instrText>sumti qualifiers: elidable terminator for qualified sumti</w:instrText>
      </w:r>
      <w:r>
        <w:instrText>"</w:instrText>
      </w:r>
      <w:r>
        <w:rPr>
          <w:rStyle w:val="indexentry"/>
        </w:rPr>
        <w:fldChar w:fldCharType="end"/>
      </w:r>
      <w:r>
        <w:rPr>
          <w:rStyle w:val="indexentry"/>
        </w:rPr>
        <w:t>&lt;lx "lu'u"&gt;</w:t>
      </w:r>
      <w:r>
        <w:rPr>
          <w:rStyle w:val="indexentry"/>
        </w:rPr>
        <w:fldChar w:fldCharType="begin"/>
      </w:r>
      <w:r>
        <w:instrText>xe "</w:instrText>
      </w:r>
      <w:r>
        <w:rPr>
          <w:rStyle w:val="xeentry"/>
        </w:rPr>
        <w:instrText>lu'u</w:instrText>
      </w:r>
      <w:r>
        <w:instrText>"</w:instrText>
      </w:r>
      <w:r>
        <w:rPr>
          <w:rStyle w:val="indexentry"/>
        </w:rPr>
        <w:fldChar w:fldCharType="end"/>
      </w:r>
      <w:r>
        <w:rPr>
          <w:rStyle w:val="indexentry"/>
        </w:rPr>
        <w:t>&lt;cx "lu'u, as elidable terminator for qualified sumti"&gt;</w:t>
      </w:r>
      <w:r>
        <w:rPr>
          <w:rStyle w:val="indexentry"/>
        </w:rPr>
        <w:fldChar w:fldCharType="begin"/>
      </w:r>
      <w:r>
        <w:instrText>xe "</w:instrText>
      </w:r>
      <w:r>
        <w:rPr>
          <w:rStyle w:val="xeentry"/>
        </w:rPr>
        <w:instrText>lu'u: as elidable terminator for qualified sumti</w:instrText>
      </w:r>
      <w:r>
        <w:instrText>"</w:instrText>
      </w:r>
      <w:r>
        <w:rPr>
          <w:rStyle w:val="indexentry"/>
        </w:rPr>
        <w:fldChar w:fldCharType="end"/>
      </w:r>
      <w:r>
        <w:t>The above cmavo and compound cmavo are called the “sumti qualifiers”.</w:t>
      </w:r>
      <w:r>
        <w:rPr>
          <w:rStyle w:val="deletedparamark"/>
        </w:rPr>
        <w:t xml:space="preserve"> </w:t>
      </w:r>
      <w:r>
        <w:t>All of them are either single cmavo of selma'o LAhE, or else compound</w:t>
      </w:r>
      <w:r>
        <w:rPr>
          <w:rStyle w:val="deletedparamark"/>
        </w:rPr>
        <w:t xml:space="preserve"> </w:t>
      </w:r>
      <w:r>
        <w:t>cmavo involving a scalar negation cmavo of selma'o NAhE immediately</w:t>
      </w:r>
      <w:r>
        <w:rPr>
          <w:rStyle w:val="deletedparamark"/>
        </w:rPr>
        <w:t xml:space="preserve"> </w:t>
      </w:r>
      <w:r>
        <w:t>followed by “bo” of selma'o BO. Syntacti</w:t>
      </w:r>
      <w:r>
        <w:softHyphen/>
        <w:t>cally, you can prefix a sumti</w:t>
      </w:r>
      <w:r>
        <w:rPr>
          <w:rStyle w:val="deletedparamark"/>
        </w:rPr>
        <w:t xml:space="preserve"> </w:t>
      </w:r>
      <w:r>
        <w:t>qualifier to any sumti and produce an</w:t>
      </w:r>
      <w:r>
        <w:softHyphen/>
        <w:t>other simple sumti. (You may need to</w:t>
      </w:r>
      <w:r>
        <w:rPr>
          <w:rStyle w:val="deletedparamark"/>
        </w:rPr>
        <w:t xml:space="preserve"> </w:t>
      </w:r>
      <w:r>
        <w:t>add the elidable terminator “lu'u” to show where the qualified sumti ends.)</w:t>
      </w:r>
    </w:p>
    <w:p w:rsidR="00B72047" w:rsidRDefault="00B72047">
      <w:pPr>
        <w:rPr>
          <w:rStyle w:val="htmlparacode"/>
        </w:rPr>
      </w:pPr>
      <w:r>
        <w:rPr>
          <w:rStyle w:val="htmlparacode"/>
        </w:rPr>
        <w:t>&lt;p&gt;</w:t>
      </w:r>
    </w:p>
    <w:p w:rsidR="00B72047" w:rsidRDefault="00B72047">
      <w:pPr>
        <w:pStyle w:val="normalparagraph"/>
      </w:pPr>
      <w:r>
        <w:rPr>
          <w:rStyle w:val="indexentry"/>
        </w:rPr>
        <w:t>&lt;cx "sumti qualifiers, as short forms for common special cases"&gt;</w:t>
      </w:r>
      <w:r>
        <w:rPr>
          <w:rStyle w:val="indexentry"/>
        </w:rPr>
        <w:fldChar w:fldCharType="begin"/>
      </w:r>
      <w:r>
        <w:instrText>xe "</w:instrText>
      </w:r>
      <w:r>
        <w:rPr>
          <w:rStyle w:val="xeentry"/>
        </w:rPr>
        <w:instrText>sumti qualifiers: as short forms for common special cases</w:instrText>
      </w:r>
      <w:r>
        <w:instrText>"</w:instrText>
      </w:r>
      <w:r>
        <w:rPr>
          <w:rStyle w:val="indexentry"/>
        </w:rPr>
        <w:fldChar w:fldCharType="end"/>
      </w:r>
      <w:r>
        <w:t>Semantically, sumti qualifiers represent short forms of certain common</w:t>
      </w:r>
      <w:r>
        <w:rPr>
          <w:rStyle w:val="deletedparamark"/>
        </w:rPr>
        <w:t xml:space="preserve"> </w:t>
      </w:r>
      <w:r>
        <w:t>special cases. Suppose you want to say “I see 'The Red Pony’”, where</w:t>
      </w:r>
      <w:r>
        <w:rPr>
          <w:rStyle w:val="deletedparamark"/>
        </w:rPr>
        <w:t xml:space="preserve"> “</w:t>
      </w:r>
      <w:r>
        <w:t>The Red Pony” is the title of a book. How about:</w:t>
      </w:r>
    </w:p>
    <w:p w:rsidR="00B72047" w:rsidRDefault="00B72047">
      <w:pPr>
        <w:rPr>
          <w:rStyle w:val="htmlparacode"/>
        </w:rPr>
      </w:pPr>
      <w:r>
        <w:rPr>
          <w:rStyle w:val="htmlparacode"/>
        </w:rPr>
        <w:t>&lt;p&gt;</w:t>
      </w:r>
    </w:p>
    <w:p w:rsidR="00B72047" w:rsidRDefault="00B72047">
      <w:pPr>
        <w:pStyle w:val="examplescaledpre"/>
      </w:pPr>
      <w:r>
        <w:rPr>
          <w:rStyle w:val="indexentry"/>
        </w:rPr>
        <w:t>&lt;cx "qualified sumti, contrasted with unqualified sumti"&gt;</w:t>
      </w:r>
      <w:r>
        <w:rPr>
          <w:rStyle w:val="indexentry"/>
        </w:rPr>
        <w:fldChar w:fldCharType="begin"/>
      </w:r>
      <w:r>
        <w:instrText>xe "</w:instrText>
      </w:r>
      <w:r>
        <w:rPr>
          <w:rStyle w:val="xeentry"/>
        </w:rPr>
        <w:instrText>qualified sumti: contrasted with unqualified sumti</w:instrText>
      </w:r>
      <w:r>
        <w:instrText>"</w:instrText>
      </w:r>
      <w:r>
        <w:rPr>
          <w:rStyle w:val="indexentry"/>
        </w:rPr>
        <w:fldChar w:fldCharType="end"/>
      </w:r>
      <w:r>
        <w:rPr>
          <w:rStyle w:val="indexentry"/>
        </w:rPr>
        <w:t>&lt;cx "unqualified sumti, contrasted with qualified sumti"&gt;</w:t>
      </w:r>
      <w:r>
        <w:rPr>
          <w:rStyle w:val="indexentry"/>
        </w:rPr>
        <w:fldChar w:fldCharType="begin"/>
      </w:r>
      <w:r>
        <w:instrText>xe "</w:instrText>
      </w:r>
      <w:r>
        <w:rPr>
          <w:rStyle w:val="xeentry"/>
        </w:rPr>
        <w:instrText>unqualified sumti: contrasted with qualified sumti</w:instrText>
      </w:r>
      <w:r>
        <w:instrText>"</w:instrText>
      </w:r>
      <w:r>
        <w:rPr>
          <w:rStyle w:val="indexentry"/>
        </w:rPr>
        <w:fldChar w:fldCharType="end"/>
      </w:r>
      <w:r>
        <w:rPr>
          <w:rStyle w:val="indexentry"/>
        </w:rPr>
        <w:t>&lt;ex "Red Pony"&gt;</w:t>
      </w:r>
      <w:r>
        <w:rPr>
          <w:rStyle w:val="indexentry"/>
        </w:rPr>
        <w:fldChar w:fldCharType="begin"/>
      </w:r>
      <w:r>
        <w:instrText>xe "</w:instrText>
      </w:r>
      <w:r>
        <w:rPr>
          <w:rStyle w:val="xeentry"/>
        </w:rPr>
        <w:instrText>Red Pony: example</w:instrText>
      </w:r>
      <w:r>
        <w:instrText>"</w:instrText>
      </w:r>
      <w:r>
        <w:rPr>
          <w:rStyle w:val="indexentry"/>
        </w:rPr>
        <w:fldChar w:fldCharType="end"/>
      </w:r>
      <w:r>
        <w:rPr>
          <w:rStyle w:val="htmlcodes"/>
        </w:rPr>
        <w:t>&lt;pre&gt;&lt;a name=e10d1&gt;</w:t>
      </w:r>
      <w:r>
        <w:t>10.1)</w:t>
      </w:r>
      <w:r>
        <w:tab/>
        <w:t>mi viska lu le xunre cmaxirma li'u</w:t>
      </w:r>
    </w:p>
    <w:p w:rsidR="00B72047" w:rsidRDefault="00B72047">
      <w:pPr>
        <w:pStyle w:val="examplescaled"/>
      </w:pPr>
      <w:r>
        <w:tab/>
        <w:t>I see [quote] the red small-horse [unquote]</w:t>
      </w:r>
    </w:p>
    <w:p w:rsidR="00B72047" w:rsidRDefault="00B72047">
      <w:pPr>
        <w:pStyle w:val="resumedafterexample"/>
      </w:pPr>
      <w:r>
        <w:rPr>
          <w:rStyle w:val="htmlcodes"/>
        </w:rPr>
        <w:t>&lt;/pre&gt;&lt;p&gt;</w:t>
      </w:r>
      <w:r>
        <w:t xml:space="preserve">But </w:t>
      </w:r>
      <w:r>
        <w:rPr>
          <w:rStyle w:val="htmlcodes"/>
        </w:rPr>
        <w:t>&lt;a href=#e10d1&gt;</w:t>
      </w:r>
      <w:r>
        <w:t xml:space="preserve">Example 10.1 </w:t>
      </w:r>
      <w:r>
        <w:rPr>
          <w:rStyle w:val="htmlcodes"/>
        </w:rPr>
        <w:t>&lt;/a&gt;</w:t>
      </w:r>
      <w:r>
        <w:t>doesn't work: it says that you see a piece of text</w:t>
      </w:r>
      <w:r>
        <w:rPr>
          <w:rStyle w:val="deletedparamark"/>
        </w:rPr>
        <w:t xml:space="preserve"> “</w:t>
      </w:r>
      <w:r>
        <w:t>The Red Pony”. That might be all right if you were looking at the</w:t>
      </w:r>
      <w:r>
        <w:rPr>
          <w:rStyle w:val="deletedparamark"/>
        </w:rPr>
        <w:t xml:space="preserve"> </w:t>
      </w:r>
      <w:r>
        <w:t>cover of the book, where the words “The Red Pony” are presumably written.</w:t>
      </w:r>
      <w:r>
        <w:rPr>
          <w:rStyle w:val="deletedparamark"/>
        </w:rPr>
        <w:t xml:space="preserve"> </w:t>
      </w:r>
      <w:r>
        <w:t>(More precisely, where the words “le xunre cmaxirma” are written –</w:t>
      </w:r>
      <w:r>
        <w:rPr>
          <w:rStyle w:val="deletedparamark"/>
        </w:rPr>
        <w:t xml:space="preserve"> </w:t>
      </w:r>
      <w:r>
        <w:t>but we may suppose the book has been translated into Loj</w:t>
      </w:r>
      <w:r>
        <w:softHyphen/>
        <w:t>ban.)</w:t>
      </w:r>
    </w:p>
    <w:p w:rsidR="00B72047" w:rsidRDefault="00B72047">
      <w:pPr>
        <w:rPr>
          <w:rStyle w:val="htmlparacode"/>
        </w:rPr>
      </w:pPr>
      <w:r>
        <w:rPr>
          <w:rStyle w:val="htmlparacode"/>
        </w:rPr>
        <w:t>&lt;p&gt;</w:t>
      </w:r>
    </w:p>
    <w:p w:rsidR="00B72047" w:rsidRDefault="00B72047">
      <w:pPr>
        <w:pStyle w:val="normalparagraph"/>
      </w:pPr>
      <w:r>
        <w:t>What you really want to say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mi viska le selsinxa be lu le xunre cmaxirma li'u</w:t>
      </w:r>
    </w:p>
    <w:p w:rsidR="00B72047" w:rsidRDefault="00B72047">
      <w:pPr>
        <w:pStyle w:val="examplescaled"/>
      </w:pPr>
      <w:r>
        <w:tab/>
        <w:t>I see the thing-represented-by [quote] the red small-horse [unquote]</w:t>
      </w:r>
    </w:p>
    <w:p w:rsidR="00B72047" w:rsidRDefault="00B72047">
      <w:pPr>
        <w:pStyle w:val="resumedafterexample"/>
      </w:pPr>
      <w:r>
        <w:rPr>
          <w:rStyle w:val="htmlcodes"/>
        </w:rPr>
        <w:t>&lt;/pre&gt;&lt;p&gt;</w:t>
      </w:r>
      <w:r>
        <w:t>The x2 place of “selsinxa” (the x1 place of “sinxa”) is a sign or sym</w:t>
      </w:r>
      <w:r>
        <w:softHyphen/>
        <w:t>bol,</w:t>
      </w:r>
      <w:r>
        <w:rPr>
          <w:rStyle w:val="deletedparamark"/>
        </w:rPr>
        <w:t xml:space="preserve"> </w:t>
      </w:r>
      <w:r>
        <w:t>and the x1 place of “selsinxa” (the x2 place of “sinxa”) is the thing</w:t>
      </w:r>
      <w:r>
        <w:rPr>
          <w:rStyle w:val="deletedparamark"/>
        </w:rPr>
        <w:t xml:space="preserve"> </w:t>
      </w:r>
      <w:r>
        <w:t xml:space="preserve">represented by the sign. </w:t>
      </w:r>
      <w:r>
        <w:rPr>
          <w:rStyle w:val="htmlcodes"/>
        </w:rPr>
        <w:t>&lt;a href=#e10d2&gt;</w:t>
      </w:r>
      <w:r>
        <w:t>Exam</w:t>
      </w:r>
      <w:r>
        <w:softHyphen/>
        <w:t xml:space="preserve">ple 10.2 </w:t>
      </w:r>
      <w:r>
        <w:rPr>
          <w:rStyle w:val="htmlcodes"/>
        </w:rPr>
        <w:t>&lt;/a&gt;</w:t>
      </w:r>
      <w:r>
        <w:t>allows us to use a symbol (namely</w:t>
      </w:r>
      <w:r>
        <w:rPr>
          <w:rStyle w:val="deletedparamark"/>
        </w:rPr>
        <w:t xml:space="preserve"> </w:t>
      </w:r>
      <w:r>
        <w:t>the title of a book) to represent the thing it is a symbol of (namely</w:t>
      </w:r>
      <w:r>
        <w:rPr>
          <w:rStyle w:val="deletedparamark"/>
        </w:rPr>
        <w:t xml:space="preserve"> </w:t>
      </w:r>
      <w:r>
        <w:t>the book itself).</w:t>
      </w:r>
    </w:p>
    <w:p w:rsidR="00B72047" w:rsidRDefault="00B72047">
      <w:pPr>
        <w:rPr>
          <w:rStyle w:val="htmlparacode"/>
        </w:rPr>
      </w:pPr>
      <w:r>
        <w:rPr>
          <w:rStyle w:val="htmlparacode"/>
        </w:rPr>
        <w:t>&lt;p&gt;</w:t>
      </w:r>
    </w:p>
    <w:p w:rsidR="00B72047" w:rsidRDefault="00B72047">
      <w:pPr>
        <w:pStyle w:val="normalparagraph"/>
      </w:pPr>
      <w:r>
        <w:t>This operation turns out to be needed often enough that it's useful to</w:t>
      </w:r>
      <w:r>
        <w:rPr>
          <w:rStyle w:val="deletedparamark"/>
        </w:rPr>
        <w:t xml:space="preserve"> </w:t>
      </w:r>
      <w:r>
        <w:t>be able to say:</w:t>
      </w:r>
    </w:p>
    <w:p w:rsidR="00B72047" w:rsidRDefault="00B72047">
      <w:pPr>
        <w:rPr>
          <w:rStyle w:val="htmlparacode"/>
        </w:rPr>
      </w:pPr>
      <w:r>
        <w:rPr>
          <w:rStyle w:val="htmlparacode"/>
        </w:rPr>
        <w:t>&lt;p&gt;</w:t>
      </w:r>
    </w:p>
    <w:p w:rsidR="00B72047" w:rsidRDefault="00B72047">
      <w:pPr>
        <w:pStyle w:val="examplescaledpre"/>
      </w:pPr>
      <w:r>
        <w:rPr>
          <w:rStyle w:val="indexentry"/>
        </w:rPr>
        <w:t>&lt;cx "la'e, as short for “le selsinxa be”"&gt;</w:t>
      </w:r>
      <w:r>
        <w:rPr>
          <w:rStyle w:val="indexentry"/>
        </w:rPr>
        <w:fldChar w:fldCharType="begin"/>
      </w:r>
      <w:r>
        <w:instrText>xe "</w:instrText>
      </w:r>
      <w:r>
        <w:rPr>
          <w:rStyle w:val="xeentry"/>
        </w:rPr>
        <w:instrText>la'e: as short for le selsinxa be</w:instrText>
      </w:r>
      <w:r>
        <w:instrText>"</w:instrText>
      </w:r>
      <w:r>
        <w:rPr>
          <w:rStyle w:val="indexentry"/>
        </w:rPr>
        <w:fldChar w:fldCharType="end"/>
      </w:r>
      <w:r>
        <w:rPr>
          <w:rStyle w:val="htmlcodes"/>
        </w:rPr>
        <w:t>&lt;pre&gt;&lt;a name=e10d3&gt;</w:t>
      </w:r>
      <w:r>
        <w:t>10.3)</w:t>
      </w:r>
      <w:r>
        <w:tab/>
        <w:t>mi viska la'e lu le xunre cmaxirma li'u [lu'u]</w:t>
      </w:r>
    </w:p>
    <w:p w:rsidR="00B72047" w:rsidRDefault="00B72047">
      <w:pPr>
        <w:pStyle w:val="examplescaled"/>
      </w:pPr>
      <w:r>
        <w:tab/>
        <w:t>I see the-referent-of [quote] the red small-horse [unquote].</w:t>
      </w:r>
    </w:p>
    <w:p w:rsidR="00B72047" w:rsidRDefault="00B72047">
      <w:pPr>
        <w:pStyle w:val="resumedafterexample"/>
      </w:pPr>
      <w:r>
        <w:rPr>
          <w:rStyle w:val="htmlcodes"/>
        </w:rPr>
        <w:t>&lt;/pre&gt;</w:t>
      </w:r>
      <w:r>
        <w:rPr>
          <w:rStyle w:val="indexentry"/>
        </w:rPr>
        <w:t>&lt;cx "dereferencing a pointer, with la'e"&gt;</w:t>
      </w:r>
      <w:r>
        <w:rPr>
          <w:rStyle w:val="indexentry"/>
        </w:rPr>
        <w:fldChar w:fldCharType="begin"/>
      </w:r>
      <w:r>
        <w:instrText>xe "</w:instrText>
      </w:r>
      <w:r>
        <w:rPr>
          <w:rStyle w:val="xeentry"/>
        </w:rPr>
        <w:instrText>dereferencing a pointer: with la'e</w:instrText>
      </w:r>
      <w:r>
        <w:instrText>"</w:instrText>
      </w:r>
      <w:r>
        <w:rPr>
          <w:rStyle w:val="indexentry"/>
        </w:rPr>
        <w:fldChar w:fldCharType="end"/>
      </w:r>
      <w:r>
        <w:rPr>
          <w:rStyle w:val="indexentry"/>
        </w:rPr>
        <w:t>&lt;cx "la'e, effect of on meaning"&gt;</w:t>
      </w:r>
      <w:r>
        <w:rPr>
          <w:rStyle w:val="indexentry"/>
        </w:rPr>
        <w:fldChar w:fldCharType="begin"/>
      </w:r>
      <w:r>
        <w:instrText>xe "</w:instrText>
      </w:r>
      <w:r>
        <w:rPr>
          <w:rStyle w:val="xeentry"/>
        </w:rPr>
        <w:instrText>la'e: effect of on meaning</w:instrText>
      </w:r>
      <w:r>
        <w:instrText>"</w:instrText>
      </w:r>
      <w:r>
        <w:rPr>
          <w:rStyle w:val="indexentry"/>
        </w:rPr>
        <w:fldChar w:fldCharType="end"/>
      </w:r>
      <w:r>
        <w:rPr>
          <w:rStyle w:val="indexentry"/>
        </w:rPr>
        <w:t>&lt;cx "referent, referring to with la'e"&gt;</w:t>
      </w:r>
      <w:r>
        <w:rPr>
          <w:rStyle w:val="indexentry"/>
        </w:rPr>
        <w:fldChar w:fldCharType="begin"/>
      </w:r>
      <w:r>
        <w:instrText>xe "</w:instrText>
      </w:r>
      <w:r>
        <w:rPr>
          <w:rStyle w:val="xeentry"/>
        </w:rPr>
        <w:instrText>referent: referring to with la'e</w:instrText>
      </w:r>
      <w:r>
        <w:instrText>"</w:instrText>
      </w:r>
      <w:r>
        <w:rPr>
          <w:rStyle w:val="indexentry"/>
        </w:rPr>
        <w:fldChar w:fldCharType="end"/>
      </w: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t>So when “la'e” is prefixed to a sumti referring to a symbol, it produces</w:t>
      </w:r>
      <w:r>
        <w:rPr>
          <w:rStyle w:val="deletedparamark"/>
        </w:rPr>
        <w:t xml:space="preserve"> </w:t>
      </w:r>
      <w:r>
        <w:t>a sumti referring to the referent of that symbol. (In computer jargon,</w:t>
      </w:r>
      <w:r>
        <w:rPr>
          <w:rStyle w:val="deletedparamark"/>
        </w:rPr>
        <w:t xml:space="preserve"> “</w:t>
      </w:r>
      <w:r>
        <w:t>la'e” dereferences a pointer.)</w:t>
      </w:r>
    </w:p>
    <w:p w:rsidR="00B72047" w:rsidRDefault="00B72047">
      <w:pPr>
        <w:rPr>
          <w:rStyle w:val="htmlparacode"/>
        </w:rPr>
      </w:pPr>
      <w:r>
        <w:rPr>
          <w:rStyle w:val="htmlparacode"/>
        </w:rPr>
        <w:t>&lt;p&gt;</w:t>
      </w:r>
    </w:p>
    <w:p w:rsidR="00B72047" w:rsidRDefault="00B72047">
      <w:pPr>
        <w:pStyle w:val="normalparagraph"/>
      </w:pPr>
      <w:r>
        <w:t>By introducing a sumti qualifier, we correct a false sentence (</w:t>
      </w:r>
      <w:r>
        <w:rPr>
          <w:rStyle w:val="htmlcodes"/>
        </w:rPr>
        <w:t>&lt;a href=#e10d1&gt;</w:t>
      </w:r>
      <w:r>
        <w:t>Example 10.1</w:t>
      </w:r>
      <w:r>
        <w:rPr>
          <w:rStyle w:val="htmlcodes"/>
        </w:rPr>
        <w:t>&lt;/a&gt;</w:t>
      </w:r>
      <w:r>
        <w:t>),</w:t>
      </w:r>
      <w:r>
        <w:rPr>
          <w:rStyle w:val="deletedparamark"/>
        </w:rPr>
        <w:t xml:space="preserve"> </w:t>
      </w:r>
      <w:r>
        <w:t>which too closely resembles its literal English equivalent, into a true</w:t>
      </w:r>
      <w:r>
        <w:rPr>
          <w:rStyle w:val="deletedparamark"/>
        </w:rPr>
        <w:t xml:space="preserve"> </w:t>
      </w:r>
      <w:r>
        <w:t>sentence (</w:t>
      </w:r>
      <w:r>
        <w:rPr>
          <w:rStyle w:val="htmlcodes"/>
        </w:rPr>
        <w:t>&lt;a href=#e10d3&gt;</w:t>
      </w:r>
      <w:r>
        <w:t>Example 10.3</w:t>
      </w:r>
      <w:r>
        <w:rPr>
          <w:rStyle w:val="htmlcodes"/>
        </w:rPr>
        <w:t>&lt;/a&gt;</w:t>
      </w:r>
      <w:r>
        <w:t>), without having to change it overmuch; in particular,</w:t>
      </w:r>
      <w:r>
        <w:rPr>
          <w:rStyle w:val="deletedparamark"/>
        </w:rPr>
        <w:t xml:space="preserve"> </w:t>
      </w:r>
      <w:r>
        <w:t>the structure remains the same. Most of the uses of sumti qualifiers are</w:t>
      </w:r>
      <w:r>
        <w:rPr>
          <w:rStyle w:val="deletedparamark"/>
        </w:rPr>
        <w:t xml:space="preserve"> </w:t>
      </w:r>
      <w:r>
        <w:t>of this general kind.</w:t>
      </w:r>
    </w:p>
    <w:p w:rsidR="00B72047" w:rsidRDefault="00B72047">
      <w:pPr>
        <w:rPr>
          <w:rStyle w:val="htmlparacode"/>
        </w:rPr>
      </w:pPr>
      <w:r>
        <w:rPr>
          <w:rStyle w:val="htmlparacode"/>
        </w:rPr>
        <w:t>&lt;p&gt;</w:t>
      </w:r>
    </w:p>
    <w:p w:rsidR="00B72047" w:rsidRDefault="00B72047">
      <w:pPr>
        <w:pStyle w:val="normalparagraph"/>
      </w:pPr>
      <w:r>
        <w:rPr>
          <w:rStyle w:val="indexentry"/>
        </w:rPr>
        <w:t>&lt;lx "lu'e"&gt;</w:t>
      </w:r>
      <w:r>
        <w:rPr>
          <w:rStyle w:val="indexentry"/>
        </w:rPr>
        <w:fldChar w:fldCharType="begin"/>
      </w:r>
      <w:r>
        <w:instrText>xe "</w:instrText>
      </w:r>
      <w:r>
        <w:rPr>
          <w:rStyle w:val="xeentry"/>
        </w:rPr>
        <w:instrText>lu'e</w:instrText>
      </w:r>
      <w:r>
        <w:instrText>"</w:instrText>
      </w:r>
      <w:r>
        <w:rPr>
          <w:rStyle w:val="indexentry"/>
        </w:rPr>
        <w:fldChar w:fldCharType="end"/>
      </w:r>
      <w:r>
        <w:rPr>
          <w:rStyle w:val="indexentry"/>
        </w:rPr>
        <w:t>&lt;cx "lu'e, effect of on meaning"&gt;</w:t>
      </w:r>
      <w:r>
        <w:rPr>
          <w:rStyle w:val="indexentry"/>
        </w:rPr>
        <w:fldChar w:fldCharType="begin"/>
      </w:r>
      <w:r>
        <w:instrText>xe "</w:instrText>
      </w:r>
      <w:r>
        <w:rPr>
          <w:rStyle w:val="xeentry"/>
        </w:rPr>
        <w:instrText>lu'e: effect of on meaning</w:instrText>
      </w:r>
      <w:r>
        <w:instrText>"</w:instrText>
      </w:r>
      <w:r>
        <w:rPr>
          <w:rStyle w:val="indexentry"/>
        </w:rPr>
        <w:fldChar w:fldCharType="end"/>
      </w:r>
      <w:r>
        <w:rPr>
          <w:rStyle w:val="indexentry"/>
        </w:rPr>
        <w:t>&lt;cx "symbol, referring to with lu'e"&gt;</w:t>
      </w:r>
      <w:r>
        <w:rPr>
          <w:rStyle w:val="indexentry"/>
        </w:rPr>
        <w:fldChar w:fldCharType="begin"/>
      </w:r>
      <w:r>
        <w:instrText>xe "</w:instrText>
      </w:r>
      <w:r>
        <w:rPr>
          <w:rStyle w:val="xeentry"/>
        </w:rPr>
        <w:instrText>symbol: referring to with lu'e</w:instrText>
      </w:r>
      <w:r>
        <w:instrText>"</w:instrText>
      </w:r>
      <w:r>
        <w:rPr>
          <w:rStyle w:val="indexentry"/>
        </w:rPr>
        <w:fldChar w:fldCharType="end"/>
      </w:r>
      <w:r>
        <w:t>The sumti qualifier “lu'e” provides the converse operation: it can be</w:t>
      </w:r>
      <w:r>
        <w:rPr>
          <w:rStyle w:val="deletedparamark"/>
        </w:rPr>
        <w:t xml:space="preserve"> </w:t>
      </w:r>
      <w:r>
        <w:t>prefixed to a sumti referring to some thing to produce a sumti referring</w:t>
      </w:r>
      <w:r>
        <w:rPr>
          <w:rStyle w:val="deletedparamark"/>
        </w:rPr>
        <w:t xml:space="preserve"> </w:t>
      </w:r>
      <w:r>
        <w:t>to a sign or symbol for the thing. For example,</w:t>
      </w:r>
    </w:p>
    <w:p w:rsidR="00B72047" w:rsidRDefault="00B72047">
      <w:pPr>
        <w:rPr>
          <w:rStyle w:val="htmlparacode"/>
        </w:rPr>
      </w:pPr>
      <w:r>
        <w:rPr>
          <w:rStyle w:val="htmlparacode"/>
        </w:rPr>
        <w:t>&lt;p&gt;</w:t>
      </w:r>
    </w:p>
    <w:p w:rsidR="00B72047" w:rsidRDefault="00B72047">
      <w:pPr>
        <w:pStyle w:val="examplescaledpre"/>
      </w:pPr>
      <w:r>
        <w:rPr>
          <w:rStyle w:val="indexentry"/>
        </w:rPr>
        <w:t>&lt;cx "lu'e, as short for “le sinxa be”"&gt;</w:t>
      </w:r>
      <w:r>
        <w:rPr>
          <w:rStyle w:val="indexentry"/>
        </w:rPr>
        <w:fldChar w:fldCharType="begin"/>
      </w:r>
      <w:r>
        <w:instrText>xe "</w:instrText>
      </w:r>
      <w:r>
        <w:rPr>
          <w:rStyle w:val="xeentry"/>
        </w:rPr>
        <w:instrText>lu'e: as short for le sinxa be</w:instrText>
      </w:r>
      <w:r>
        <w:instrText>"</w:instrText>
      </w:r>
      <w:r>
        <w:rPr>
          <w:rStyle w:val="indexentry"/>
        </w:rPr>
        <w:fldChar w:fldCharType="end"/>
      </w:r>
      <w:r>
        <w:rPr>
          <w:rStyle w:val="indexentry"/>
        </w:rPr>
        <w:t>&lt;ex "title of book"&gt;</w:t>
      </w:r>
      <w:r>
        <w:rPr>
          <w:rStyle w:val="indexentry"/>
        </w:rPr>
        <w:fldChar w:fldCharType="begin"/>
      </w:r>
      <w:r>
        <w:instrText>xe "</w:instrText>
      </w:r>
      <w:r>
        <w:rPr>
          <w:rStyle w:val="xeentry"/>
        </w:rPr>
        <w:instrText>title of book: example</w:instrText>
      </w:r>
      <w:r>
        <w:instrText>"</w:instrText>
      </w:r>
      <w:r>
        <w:rPr>
          <w:rStyle w:val="indexentry"/>
        </w:rPr>
        <w:fldChar w:fldCharType="end"/>
      </w:r>
      <w:r>
        <w:rPr>
          <w:rStyle w:val="htmlcodes"/>
        </w:rPr>
        <w:t>&lt;pre&gt;&lt;a name=e10d4&gt;</w:t>
      </w:r>
      <w:r>
        <w:t>10.4)</w:t>
      </w:r>
      <w:r>
        <w:tab/>
        <w:t>mi pu cusku lu'e le vi cukta</w:t>
      </w:r>
    </w:p>
    <w:p w:rsidR="00B72047" w:rsidRDefault="00B72047">
      <w:pPr>
        <w:pStyle w:val="examplescaled"/>
      </w:pPr>
      <w:r>
        <w:tab/>
        <w:t>I [past] express a-symbol-for the nearby book.</w:t>
      </w:r>
    </w:p>
    <w:p w:rsidR="00B72047" w:rsidRDefault="00B72047">
      <w:pPr>
        <w:pStyle w:val="examplescaled"/>
      </w:pPr>
      <w:r>
        <w:tab/>
        <w:t>I said the title of this book.</w:t>
      </w:r>
    </w:p>
    <w:p w:rsidR="00B72047" w:rsidRDefault="00B72047">
      <w:pPr>
        <w:pStyle w:val="resumedafterexample"/>
      </w:pPr>
      <w:r>
        <w:rPr>
          <w:rStyle w:val="htmlcodes"/>
        </w:rPr>
        <w:t>&lt;/pre&gt;&lt;p&gt;</w:t>
      </w:r>
      <w:r>
        <w:t>The equivalent form not using a sumti qualifier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mi pu cusku le sinxa be le vi cukta</w:t>
      </w:r>
    </w:p>
    <w:p w:rsidR="00B72047" w:rsidRDefault="00B72047">
      <w:pPr>
        <w:pStyle w:val="examplescaled"/>
      </w:pPr>
      <w:r>
        <w:tab/>
        <w:t>I [past] express the symbol-for the nearby book.</w:t>
      </w:r>
    </w:p>
    <w:p w:rsidR="00B72047" w:rsidRDefault="00B72047">
      <w:pPr>
        <w:pStyle w:val="resumedafterexample"/>
      </w:pPr>
      <w:r>
        <w:rPr>
          <w:rStyle w:val="htmlcodes"/>
        </w:rPr>
        <w:t>&lt;/pre&gt;</w:t>
      </w:r>
      <w:r>
        <w:t xml:space="preserve">which is equivalent to </w:t>
      </w:r>
      <w:r>
        <w:rPr>
          <w:rStyle w:val="htmlcodes"/>
        </w:rPr>
        <w:t>&lt;a href=#e10d4&gt;</w:t>
      </w:r>
      <w:r>
        <w:t>Example 10.4</w:t>
      </w:r>
      <w:r>
        <w:rPr>
          <w:rStyle w:val="htmlcodes"/>
        </w:rPr>
        <w:t>&lt;/a&gt;</w:t>
      </w:r>
      <w:r>
        <w:t>, but longer.</w:t>
      </w:r>
    </w:p>
    <w:p w:rsidR="00B72047" w:rsidRDefault="00B72047">
      <w:pPr>
        <w:rPr>
          <w:rStyle w:val="htmlparacode"/>
        </w:rPr>
      </w:pPr>
      <w:r>
        <w:rPr>
          <w:rStyle w:val="htmlparacode"/>
        </w:rPr>
        <w:t>&lt;p&gt;</w:t>
      </w:r>
    </w:p>
    <w:p w:rsidR="00B72047" w:rsidRDefault="00B72047">
      <w:pPr>
        <w:pStyle w:val="normalparagraph"/>
      </w:pPr>
      <w:r>
        <w:rPr>
          <w:rStyle w:val="indexentry"/>
        </w:rPr>
        <w:t>&lt;lx "tu'a"&gt;</w:t>
      </w:r>
      <w:r>
        <w:rPr>
          <w:rStyle w:val="indexentry"/>
        </w:rPr>
        <w:fldChar w:fldCharType="begin"/>
      </w:r>
      <w:r>
        <w:instrText>xe "</w:instrText>
      </w:r>
      <w:r>
        <w:rPr>
          <w:rStyle w:val="xeentry"/>
        </w:rPr>
        <w:instrText>tu'a</w:instrText>
      </w:r>
      <w:r>
        <w:instrText>"</w:instrText>
      </w:r>
      <w:r>
        <w:rPr>
          <w:rStyle w:val="indexentry"/>
        </w:rPr>
        <w:fldChar w:fldCharType="end"/>
      </w:r>
      <w:r>
        <w:rPr>
          <w:rStyle w:val="indexentry"/>
        </w:rPr>
        <w:t>&lt;lx "lu'a"&gt;</w:t>
      </w:r>
      <w:r>
        <w:rPr>
          <w:rStyle w:val="indexentry"/>
        </w:rPr>
        <w:fldChar w:fldCharType="begin"/>
      </w:r>
      <w:r>
        <w:instrText>xe "</w:instrText>
      </w:r>
      <w:r>
        <w:rPr>
          <w:rStyle w:val="xeentry"/>
        </w:rPr>
        <w:instrText>lu'a</w:instrText>
      </w:r>
      <w:r>
        <w:instrText>"</w:instrText>
      </w:r>
      <w:r>
        <w:rPr>
          <w:rStyle w:val="indexentry"/>
        </w:rPr>
        <w:fldChar w:fldCharType="end"/>
      </w:r>
      <w:r>
        <w:rPr>
          <w:rStyle w:val="indexentry"/>
        </w:rPr>
        <w:t>&lt;lx "lu'i"&gt;</w:t>
      </w:r>
      <w:r>
        <w:rPr>
          <w:rStyle w:val="indexentry"/>
        </w:rPr>
        <w:fldChar w:fldCharType="begin"/>
      </w:r>
      <w:r>
        <w:instrText>xe "</w:instrText>
      </w:r>
      <w:r>
        <w:rPr>
          <w:rStyle w:val="xeentry"/>
        </w:rPr>
        <w:instrText>lu'i</w:instrText>
      </w:r>
      <w:r>
        <w:instrText>"</w:instrText>
      </w:r>
      <w:r>
        <w:rPr>
          <w:rStyle w:val="indexentry"/>
        </w:rPr>
        <w:fldChar w:fldCharType="end"/>
      </w:r>
      <w:r>
        <w:rPr>
          <w:rStyle w:val="indexentry"/>
        </w:rPr>
        <w:t>&lt;lx "lu'o"&gt;</w:t>
      </w:r>
      <w:r>
        <w:rPr>
          <w:rStyle w:val="indexentry"/>
        </w:rPr>
        <w:fldChar w:fldCharType="begin"/>
      </w:r>
      <w:r>
        <w:instrText>xe "</w:instrText>
      </w:r>
      <w:r>
        <w:rPr>
          <w:rStyle w:val="xeentry"/>
        </w:rPr>
        <w:instrText>lu'o</w:instrText>
      </w:r>
      <w:r>
        <w:instrText>"</w:instrText>
      </w:r>
      <w:r>
        <w:rPr>
          <w:rStyle w:val="indexentry"/>
        </w:rPr>
        <w:fldChar w:fldCharType="end"/>
      </w:r>
      <w:r>
        <w:rPr>
          <w:rStyle w:val="indexentry"/>
        </w:rPr>
        <w:t>&lt;lx "vu'i"&gt;</w:t>
      </w:r>
      <w:r>
        <w:rPr>
          <w:rStyle w:val="indexentry"/>
        </w:rPr>
        <w:fldChar w:fldCharType="begin"/>
      </w:r>
      <w:r>
        <w:instrText>xe "</w:instrText>
      </w:r>
      <w:r>
        <w:rPr>
          <w:rStyle w:val="xeentry"/>
        </w:rPr>
        <w:instrText>vu'i</w:instrText>
      </w:r>
      <w:r>
        <w:instrText>"</w:instrText>
      </w:r>
      <w:r>
        <w:rPr>
          <w:rStyle w:val="indexentry"/>
        </w:rPr>
        <w:fldChar w:fldCharType="end"/>
      </w:r>
      <w:r>
        <w:rPr>
          <w:rStyle w:val="indexentry"/>
        </w:rPr>
        <w:t>&lt;cx "tu'a, effect of on meaning"&gt;</w:t>
      </w:r>
      <w:r>
        <w:rPr>
          <w:rStyle w:val="indexentry"/>
        </w:rPr>
        <w:fldChar w:fldCharType="begin"/>
      </w:r>
      <w:r>
        <w:instrText>xe "</w:instrText>
      </w:r>
      <w:r>
        <w:rPr>
          <w:rStyle w:val="xeentry"/>
        </w:rPr>
        <w:instrText>tu'a: effect of on meaning</w:instrText>
      </w:r>
      <w:r>
        <w:instrText>"</w:instrText>
      </w:r>
      <w:r>
        <w:rPr>
          <w:rStyle w:val="indexentry"/>
        </w:rPr>
        <w:fldChar w:fldCharType="end"/>
      </w:r>
      <w:r>
        <w:rPr>
          <w:rStyle w:val="indexentry"/>
        </w:rPr>
        <w:t>&lt;cx "lu'a, effect of on meaning"&gt;</w:t>
      </w:r>
      <w:r>
        <w:rPr>
          <w:rStyle w:val="indexentry"/>
        </w:rPr>
        <w:fldChar w:fldCharType="begin"/>
      </w:r>
      <w:r>
        <w:instrText>xe "</w:instrText>
      </w:r>
      <w:r>
        <w:rPr>
          <w:rStyle w:val="xeentry"/>
        </w:rPr>
        <w:instrText>lu'a: effect of on meaning</w:instrText>
      </w:r>
      <w:r>
        <w:instrText>"</w:instrText>
      </w:r>
      <w:r>
        <w:rPr>
          <w:rStyle w:val="indexentry"/>
        </w:rPr>
        <w:fldChar w:fldCharType="end"/>
      </w:r>
      <w:r>
        <w:rPr>
          <w:rStyle w:val="indexentry"/>
        </w:rPr>
        <w:t>&lt;cx "lu'i, effect of on meaning"&gt;</w:t>
      </w:r>
      <w:r>
        <w:rPr>
          <w:rStyle w:val="indexentry"/>
        </w:rPr>
        <w:fldChar w:fldCharType="begin"/>
      </w:r>
      <w:r>
        <w:instrText>xe "</w:instrText>
      </w:r>
      <w:r>
        <w:rPr>
          <w:rStyle w:val="xeentry"/>
        </w:rPr>
        <w:instrText>lu'i: effect of on meaning</w:instrText>
      </w:r>
      <w:r>
        <w:instrText>"</w:instrText>
      </w:r>
      <w:r>
        <w:rPr>
          <w:rStyle w:val="indexentry"/>
        </w:rPr>
        <w:fldChar w:fldCharType="end"/>
      </w:r>
      <w:r>
        <w:rPr>
          <w:rStyle w:val="indexentry"/>
        </w:rPr>
        <w:t>&lt;cx "lu'o, effect of on meaning"&gt;</w:t>
      </w:r>
      <w:r>
        <w:rPr>
          <w:rStyle w:val="indexentry"/>
        </w:rPr>
        <w:fldChar w:fldCharType="begin"/>
      </w:r>
      <w:r>
        <w:instrText>xe "</w:instrText>
      </w:r>
      <w:r>
        <w:rPr>
          <w:rStyle w:val="xeentry"/>
        </w:rPr>
        <w:instrText>lu'o: effect of on meaning</w:instrText>
      </w:r>
      <w:r>
        <w:instrText>"</w:instrText>
      </w:r>
      <w:r>
        <w:rPr>
          <w:rStyle w:val="indexentry"/>
        </w:rPr>
        <w:fldChar w:fldCharType="end"/>
      </w:r>
      <w:r>
        <w:rPr>
          <w:rStyle w:val="indexentry"/>
        </w:rPr>
        <w:t>&lt;cx "vu'i, effect of on meaning"&gt;</w:t>
      </w:r>
      <w:r>
        <w:rPr>
          <w:rStyle w:val="indexentry"/>
        </w:rPr>
        <w:fldChar w:fldCharType="begin"/>
      </w:r>
      <w:r>
        <w:instrText>xe "</w:instrText>
      </w:r>
      <w:r>
        <w:rPr>
          <w:rStyle w:val="xeentry"/>
        </w:rPr>
        <w:instrText>vu'i: effect of on meaning</w:instrText>
      </w:r>
      <w:r>
        <w:instrText>"</w:instrText>
      </w:r>
      <w:r>
        <w:rPr>
          <w:rStyle w:val="indexentry"/>
        </w:rPr>
        <w:fldChar w:fldCharType="end"/>
      </w:r>
      <w:r>
        <w:rPr>
          <w:rStyle w:val="indexentry"/>
        </w:rPr>
        <w:t>&lt;cx "tu'a, use for forming abstractions"&gt;</w:t>
      </w:r>
      <w:r>
        <w:rPr>
          <w:rStyle w:val="indexentry"/>
        </w:rPr>
        <w:fldChar w:fldCharType="begin"/>
      </w:r>
      <w:r>
        <w:instrText>xe "</w:instrText>
      </w:r>
      <w:r>
        <w:rPr>
          <w:rStyle w:val="xeentry"/>
        </w:rPr>
        <w:instrText>tu'a: use for forming abstractions</w:instrText>
      </w:r>
      <w:r>
        <w:instrText>"</w:instrText>
      </w:r>
      <w:r>
        <w:rPr>
          <w:rStyle w:val="indexentry"/>
        </w:rPr>
        <w:fldChar w:fldCharType="end"/>
      </w:r>
      <w:r>
        <w:rPr>
          <w:rStyle w:val="indexentry"/>
        </w:rPr>
        <w:t>&lt;cx "vu'i, use for creating sequence"&gt;</w:t>
      </w:r>
      <w:r>
        <w:rPr>
          <w:rStyle w:val="indexentry"/>
        </w:rPr>
        <w:fldChar w:fldCharType="begin"/>
      </w:r>
      <w:r>
        <w:instrText>xe "</w:instrText>
      </w:r>
      <w:r>
        <w:rPr>
          <w:rStyle w:val="xeentry"/>
        </w:rPr>
        <w:instrText>vu'i: use for creating sequence</w:instrText>
      </w:r>
      <w:r>
        <w:instrText>"</w:instrText>
      </w:r>
      <w:r>
        <w:rPr>
          <w:rStyle w:val="indexentry"/>
        </w:rPr>
        <w:fldChar w:fldCharType="end"/>
      </w:r>
      <w:r>
        <w:rPr>
          <w:rStyle w:val="indexentry"/>
        </w:rPr>
        <w:t>&lt;cx "sequence, contrasted with set"&gt;</w:t>
      </w:r>
      <w:r>
        <w:rPr>
          <w:rStyle w:val="indexentry"/>
        </w:rPr>
        <w:fldChar w:fldCharType="begin"/>
      </w:r>
      <w:r>
        <w:instrText>xe "</w:instrText>
      </w:r>
      <w:r>
        <w:rPr>
          <w:rStyle w:val="xeentry"/>
        </w:rPr>
        <w:instrText>sequence: contrasted with set</w:instrText>
      </w:r>
      <w:r>
        <w:instrText>"</w:instrText>
      </w:r>
      <w:r>
        <w:rPr>
          <w:rStyle w:val="indexentry"/>
        </w:rPr>
        <w:fldChar w:fldCharType="end"/>
      </w:r>
      <w:r>
        <w:t>The other sumti qualifiers follow the same rules. The cmavo “tu'a” is</w:t>
      </w:r>
      <w:r>
        <w:rPr>
          <w:rStyle w:val="deletedparamark"/>
        </w:rPr>
        <w:t xml:space="preserve"> </w:t>
      </w:r>
      <w:r>
        <w:t xml:space="preserve">used in forming abstractions, and is explained more fully in </w:t>
      </w:r>
      <w:r>
        <w:rPr>
          <w:rStyle w:val="htmlcodes"/>
        </w:rPr>
        <w:t>&lt;a href=chap11.html&gt;</w:t>
      </w:r>
      <w:r>
        <w:t>Chapter 11</w:t>
      </w:r>
      <w:r>
        <w:rPr>
          <w:rStyle w:val="htmlcodes"/>
        </w:rPr>
        <w:t>&lt;/a&gt;</w:t>
      </w:r>
      <w:r>
        <w:t>.</w:t>
      </w:r>
      <w:r>
        <w:rPr>
          <w:rStyle w:val="deletedparamark"/>
        </w:rPr>
        <w:t xml:space="preserve"> </w:t>
      </w:r>
      <w:r>
        <w:t>The triplet “lu'a”, “lu'i”, and “lu'o” convert between indi</w:t>
      </w:r>
      <w:r>
        <w:softHyphen/>
        <w:t>viduals,</w:t>
      </w:r>
      <w:r>
        <w:rPr>
          <w:rStyle w:val="deletedparamark"/>
        </w:rPr>
        <w:t xml:space="preserve"> </w:t>
      </w:r>
      <w:r>
        <w:t>masses, and sets; “vu'i” belongs to this group as well, but creates</w:t>
      </w:r>
      <w:r>
        <w:rPr>
          <w:rStyle w:val="deletedparamark"/>
        </w:rPr>
        <w:t xml:space="preserve"> </w:t>
      </w:r>
      <w:r>
        <w:t>a sequence, which is similar to a set but has a definite order.</w:t>
      </w:r>
      <w:r>
        <w:rPr>
          <w:rStyle w:val="deletedparamark"/>
        </w:rPr>
        <w:t xml:space="preserve"> </w:t>
      </w:r>
      <w:r>
        <w:t>(The set of John and Charles is the same as the set of Charles and John,</w:t>
      </w:r>
      <w:r>
        <w:rPr>
          <w:rStyle w:val="deletedparamark"/>
        </w:rPr>
        <w:t xml:space="preserve"> </w:t>
      </w:r>
      <w:r>
        <w:t>but the se</w:t>
      </w:r>
      <w:r>
        <w:softHyphen/>
        <w:t>quences are different.) 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mi troci tu'a le vorme</w:t>
      </w:r>
    </w:p>
    <w:p w:rsidR="00B72047" w:rsidRDefault="00B72047">
      <w:pPr>
        <w:pStyle w:val="examplescaled"/>
      </w:pPr>
      <w:r>
        <w:tab/>
        <w:t>I try some-abstraction-about the door.</w:t>
      </w:r>
    </w:p>
    <w:p w:rsidR="00B72047" w:rsidRDefault="00B72047">
      <w:pPr>
        <w:pStyle w:val="examplescaled"/>
      </w:pPr>
      <w:r>
        <w:tab/>
        <w:t>I try (to open) the door.</w:t>
      </w:r>
    </w:p>
    <w:p w:rsidR="00B72047" w:rsidRDefault="00B72047">
      <w:pPr>
        <w:pStyle w:val="resumedafterexample"/>
      </w:pPr>
      <w:r>
        <w:rPr>
          <w:rStyle w:val="htmlcodes"/>
        </w:rPr>
        <w:t>&lt;/pre&gt;</w:t>
      </w:r>
      <w:r>
        <w:rPr>
          <w:rStyle w:val="indexentry"/>
        </w:rPr>
        <w:t>&lt;cx "tu'a, as being deliberately vague"&gt;</w:t>
      </w:r>
      <w:r>
        <w:rPr>
          <w:rStyle w:val="indexentry"/>
        </w:rPr>
        <w:fldChar w:fldCharType="begin"/>
      </w:r>
      <w:r>
        <w:instrText>xe "</w:instrText>
      </w:r>
      <w:r>
        <w:rPr>
          <w:rStyle w:val="xeentry"/>
        </w:rPr>
        <w:instrText>tu'a: as being deliberately vague</w:instrText>
      </w:r>
      <w:r>
        <w:instrText>"</w:instrText>
      </w:r>
      <w:r>
        <w:rPr>
          <w:rStyle w:val="indexentry"/>
        </w:rPr>
        <w:fldChar w:fldCharType="end"/>
      </w:r>
      <w:r>
        <w:rPr>
          <w:rStyle w:val="htmlcodes"/>
        </w:rPr>
        <w:t>&lt;a href=#e10d6&gt;</w:t>
      </w:r>
      <w:r>
        <w:t xml:space="preserve">Example 10.6 </w:t>
      </w:r>
      <w:r>
        <w:rPr>
          <w:rStyle w:val="htmlcodes"/>
        </w:rPr>
        <w:t>&lt;/a&gt;</w:t>
      </w:r>
      <w:r>
        <w:t>might mean that I try to do something else involving the door;</w:t>
      </w:r>
      <w:r>
        <w:rPr>
          <w:rStyle w:val="deletedparamark"/>
        </w:rPr>
        <w:t xml:space="preserve"> </w:t>
      </w:r>
      <w:r>
        <w:t>the form is deliberately vague.</w:t>
      </w:r>
    </w:p>
    <w:p w:rsidR="00B72047" w:rsidRDefault="00B72047">
      <w:pPr>
        <w:rPr>
          <w:rStyle w:val="htmlparacode"/>
        </w:rPr>
      </w:pPr>
      <w:r>
        <w:rPr>
          <w:rStyle w:val="htmlparacode"/>
        </w:rPr>
        <w:t>&lt;p&gt;</w:t>
      </w:r>
    </w:p>
    <w:p w:rsidR="00B72047" w:rsidRDefault="00B72047">
      <w:pPr>
        <w:pStyle w:val="normalparagraph"/>
      </w:pPr>
      <w:r>
        <w:t>Most of the following examples make use of the cmavo “ri”, belonging to</w:t>
      </w:r>
      <w:r>
        <w:rPr>
          <w:rStyle w:val="deletedparamark"/>
        </w:rPr>
        <w:t xml:space="preserve"> </w:t>
      </w:r>
      <w:r>
        <w:t>sel</w:t>
      </w:r>
      <w:r>
        <w:softHyphen/>
        <w:t>ma'o KOhA. This cmavo means “the thing last men</w:t>
      </w:r>
      <w:r>
        <w:softHyphen/>
        <w:t>tioned”; it is</w:t>
      </w:r>
      <w:r>
        <w:rPr>
          <w:rStyle w:val="deletedparamark"/>
        </w:rPr>
        <w:t xml:space="preserve"> </w:t>
      </w:r>
      <w:r>
        <w:t>equivalent to repeating the immediately previous sumti (but in its</w:t>
      </w:r>
      <w:r>
        <w:rPr>
          <w:rStyle w:val="deletedparamark"/>
        </w:rPr>
        <w:t xml:space="preserve"> </w:t>
      </w:r>
      <w:r>
        <w:t>original context). It is explained in more de</w:t>
      </w:r>
      <w:r>
        <w:softHyphen/>
        <w:t xml:space="preserve">tail in </w:t>
      </w:r>
      <w:r>
        <w:rPr>
          <w:rStyle w:val="htmlcodes"/>
        </w:rPr>
        <w:t>&lt;a href=chap7.html&gt;</w:t>
      </w:r>
      <w:r>
        <w:t>Chapter 7</w:t>
      </w:r>
      <w:r>
        <w:rPr>
          <w:rStyle w:val="htmlcodes"/>
        </w:rPr>
        <w:t>&lt;/a&gt;</w:t>
      </w:r>
      <w:r>
        <w:t>.</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"set of rats"&gt;</w:t>
      </w:r>
      <w:r>
        <w:rPr>
          <w:rStyle w:val="indexentry"/>
        </w:rPr>
        <w:fldChar w:fldCharType="begin"/>
      </w:r>
      <w:r>
        <w:instrText>xe "</w:instrText>
      </w:r>
      <w:r>
        <w:rPr>
          <w:rStyle w:val="xeentry"/>
        </w:rPr>
        <w:instrText>set of rats: example</w:instrText>
      </w:r>
      <w:r>
        <w:instrText>"</w:instrText>
      </w:r>
      <w:r>
        <w:rPr>
          <w:rStyle w:val="indexentry"/>
        </w:rPr>
        <w:fldChar w:fldCharType="end"/>
      </w:r>
      <w:r>
        <w:rPr>
          <w:rStyle w:val="htmlcodes"/>
        </w:rPr>
        <w:t>&lt;pre&gt;&lt;a name=e10d7&gt;</w:t>
      </w:r>
      <w:r>
        <w:t>10.7)</w:t>
      </w:r>
      <w:r>
        <w:tab/>
        <w:t>lo'i ratcu cu barda  .iku'i lu'a ri cmalu</w:t>
      </w:r>
    </w:p>
    <w:p w:rsidR="00B72047" w:rsidRDefault="00B72047">
      <w:pPr>
        <w:pStyle w:val="examplescaled"/>
      </w:pPr>
      <w:r>
        <w:tab/>
        <w:t>The-set-of rats is-large.  But some-members-of it-last-mentioned is-small.</w:t>
      </w:r>
    </w:p>
    <w:p w:rsidR="00B72047" w:rsidRDefault="00B72047">
      <w:pPr>
        <w:pStyle w:val="examplescaled"/>
      </w:pPr>
      <w:r>
        <w:tab/>
        <w:t>The set of rats is large, but some of its members are small.</w:t>
      </w:r>
    </w:p>
    <w:p w:rsidR="00B72047" w:rsidRDefault="00B72047">
      <w:pPr>
        <w:pStyle w:val="examplescaledpre"/>
      </w:pPr>
      <w:r>
        <w:rPr>
          <w:rStyle w:val="htmlcodes"/>
        </w:rPr>
        <w:t>&lt;a name=e10d8&gt;</w:t>
      </w:r>
      <w:r>
        <w:t>10.8)</w:t>
      </w:r>
      <w:r>
        <w:tab/>
        <w:t>lo ratcu cu cmalu  .iku'i lu'i ri barda</w:t>
      </w:r>
    </w:p>
    <w:p w:rsidR="00B72047" w:rsidRDefault="00B72047">
      <w:pPr>
        <w:pStyle w:val="examplescaled"/>
      </w:pPr>
      <w:r>
        <w:tab/>
        <w:t>Some rats are-small.  But the-set-of them-last-mentioned is-large.</w:t>
      </w:r>
    </w:p>
    <w:p w:rsidR="00B72047" w:rsidRDefault="00B72047">
      <w:pPr>
        <w:pStyle w:val="examplescaled"/>
      </w:pPr>
      <w:r>
        <w:tab/>
        <w:t>Some rats are small, but the set of rats is large.</w:t>
      </w:r>
    </w:p>
    <w:p w:rsidR="00B72047" w:rsidRDefault="00B72047">
      <w:pPr>
        <w:pStyle w:val="examplescaledpre"/>
      </w:pPr>
      <w:r>
        <w:rPr>
          <w:rStyle w:val="htmlcodes"/>
        </w:rPr>
        <w:t>&lt;a name=e10d9&gt;</w:t>
      </w:r>
      <w:r>
        <w:t>10.9)</w:t>
      </w:r>
      <w:r>
        <w:tab/>
        <w:t>mi ce do girzu</w:t>
      </w:r>
    </w:p>
    <w:p w:rsidR="00B72047" w:rsidRDefault="00B72047">
      <w:pPr>
        <w:pStyle w:val="examplescaled"/>
      </w:pPr>
      <w:r>
        <w:tab/>
      </w:r>
      <w:r>
        <w:tab/>
        <w:t>.i lu'o ri gunma</w:t>
      </w:r>
    </w:p>
    <w:p w:rsidR="00B72047" w:rsidRDefault="00B72047">
      <w:pPr>
        <w:pStyle w:val="examplescaled"/>
      </w:pPr>
      <w:r>
        <w:tab/>
      </w:r>
      <w:r>
        <w:tab/>
        <w:t>.i vu'i ri porsi</w:t>
      </w:r>
    </w:p>
    <w:p w:rsidR="00B72047" w:rsidRDefault="00B72047">
      <w:pPr>
        <w:pStyle w:val="examplescaled"/>
      </w:pPr>
      <w:r>
        <w:tab/>
        <w:t>I in-a-set-with you are-a-set.</w:t>
      </w:r>
    </w:p>
    <w:p w:rsidR="00B72047" w:rsidRDefault="00B72047">
      <w:pPr>
        <w:pStyle w:val="examplescaled"/>
      </w:pPr>
      <w:r>
        <w:tab/>
      </w:r>
      <w:r>
        <w:tab/>
        <w:t>The-mass-of it-last-mentioned is-a-mass.</w:t>
      </w:r>
    </w:p>
    <w:p w:rsidR="00B72047" w:rsidRDefault="00B72047">
      <w:pPr>
        <w:pStyle w:val="examplescaled"/>
      </w:pPr>
      <w:r>
        <w:tab/>
      </w:r>
      <w:r>
        <w:tab/>
        <w:t>The-sequence-of it-last-mentioned is-a-sequence</w:t>
      </w:r>
    </w:p>
    <w:p w:rsidR="00B72047" w:rsidRDefault="00B72047">
      <w:pPr>
        <w:pStyle w:val="examplescaled"/>
      </w:pPr>
      <w:r>
        <w:tab/>
        <w:t>The set of you and me is a set.</w:t>
      </w:r>
    </w:p>
    <w:p w:rsidR="00B72047" w:rsidRDefault="00B72047">
      <w:pPr>
        <w:pStyle w:val="examplescaled"/>
      </w:pPr>
      <w:r>
        <w:tab/>
      </w:r>
      <w:r>
        <w:tab/>
        <w:t>The mass of you and me is a mass.</w:t>
      </w:r>
    </w:p>
    <w:p w:rsidR="00B72047" w:rsidRDefault="00B72047">
      <w:pPr>
        <w:pStyle w:val="examplescaled"/>
      </w:pPr>
      <w:r>
        <w:tab/>
      </w:r>
      <w:r>
        <w:tab/>
        <w:t>The sequence of you and me is a sequence.</w:t>
      </w:r>
    </w:p>
    <w:p w:rsidR="00B72047" w:rsidRDefault="00B72047">
      <w:pPr>
        <w:pStyle w:val="resumedafterexample"/>
      </w:pPr>
      <w:r>
        <w:rPr>
          <w:rStyle w:val="htmlcodes"/>
        </w:rPr>
        <w:t>&lt;/pre&gt;</w:t>
      </w:r>
      <w:r>
        <w:t>(Yes, I know these examples are a bit silly. This set was introduced for</w:t>
      </w:r>
      <w:r>
        <w:rPr>
          <w:rStyle w:val="deletedparamark"/>
        </w:rPr>
        <w:t xml:space="preserve"> </w:t>
      </w:r>
      <w:r>
        <w:t>completeness, and practical examples are as yet hard to come by.)</w:t>
      </w:r>
    </w:p>
    <w:p w:rsidR="00B72047" w:rsidRDefault="00B72047">
      <w:pPr>
        <w:rPr>
          <w:rStyle w:val="htmlparacode"/>
        </w:rPr>
      </w:pPr>
      <w:r>
        <w:rPr>
          <w:rStyle w:val="htmlparacode"/>
        </w:rPr>
        <w:t>&lt;p&gt;</w:t>
      </w:r>
    </w:p>
    <w:p w:rsidR="00B72047" w:rsidRDefault="00B72047">
      <w:pPr>
        <w:pStyle w:val="normalparagraph"/>
      </w:pPr>
      <w:r>
        <w:rPr>
          <w:rStyle w:val="indexentry"/>
        </w:rPr>
        <w:t>&lt;cx "sumti qualifiers, for negation"&gt;</w:t>
      </w:r>
      <w:r>
        <w:rPr>
          <w:rStyle w:val="indexentry"/>
        </w:rPr>
        <w:fldChar w:fldCharType="begin"/>
      </w:r>
      <w:r>
        <w:instrText>xe "</w:instrText>
      </w:r>
      <w:r>
        <w:rPr>
          <w:rStyle w:val="xeentry"/>
        </w:rPr>
        <w:instrText>sumti qualifiers: for negation</w:instrText>
      </w:r>
      <w:r>
        <w:instrText>"</w:instrText>
      </w:r>
      <w:r>
        <w:rPr>
          <w:rStyle w:val="indexentry"/>
        </w:rPr>
        <w:fldChar w:fldCharType="end"/>
      </w:r>
      <w:r>
        <w:rPr>
          <w:rStyle w:val="indexentry"/>
        </w:rPr>
        <w:t>&lt;cx "negation sumti qualifiers, meanings of"&gt;</w:t>
      </w:r>
      <w:r>
        <w:rPr>
          <w:rStyle w:val="indexentry"/>
        </w:rPr>
        <w:fldChar w:fldCharType="begin"/>
      </w:r>
      <w:r>
        <w:instrText>xe "</w:instrText>
      </w:r>
      <w:r>
        <w:rPr>
          <w:rStyle w:val="xeentry"/>
        </w:rPr>
        <w:instrText>negation sumti qualifiers: meanings of</w:instrText>
      </w:r>
      <w:r>
        <w:instrText>"</w:instrText>
      </w:r>
      <w:r>
        <w:rPr>
          <w:rStyle w:val="indexentry"/>
        </w:rPr>
        <w:fldChar w:fldCharType="end"/>
      </w:r>
      <w:r>
        <w:t>Finally, the four sumti qualifiers formed from a cmavo of NAhE and “bo”</w:t>
      </w:r>
      <w:r>
        <w:rPr>
          <w:rStyle w:val="deletedparamark"/>
        </w:rPr>
        <w:t xml:space="preserve"> </w:t>
      </w:r>
      <w:r>
        <w:t xml:space="preserve">are all concerned with negation, which is discussed in detail in </w:t>
      </w:r>
      <w:r>
        <w:rPr>
          <w:rStyle w:val="htmlcodes"/>
        </w:rPr>
        <w:t>&lt;a href=chap15.html&gt;</w:t>
      </w:r>
      <w:r>
        <w:t>Chapter 15</w:t>
      </w:r>
      <w:r>
        <w:rPr>
          <w:rStyle w:val="htmlcodes"/>
        </w:rPr>
        <w:t>&lt;/a&gt;</w:t>
      </w:r>
      <w:r>
        <w:t>.</w:t>
      </w:r>
      <w:r>
        <w:rPr>
          <w:rStyle w:val="deletedparamark"/>
        </w:rPr>
        <w:t xml:space="preserve"> </w:t>
      </w:r>
      <w:r>
        <w:t>Here are a few e</w:t>
      </w:r>
      <w:r>
        <w:t>x</w:t>
      </w:r>
      <w:r>
        <w:softHyphen/>
        <w:t>amples of negation sumti qualifiers:</w:t>
      </w:r>
    </w:p>
    <w:p w:rsidR="00B72047" w:rsidRDefault="00B72047">
      <w:pPr>
        <w:rPr>
          <w:rStyle w:val="htmlparacode"/>
        </w:rPr>
      </w:pPr>
      <w:r>
        <w:rPr>
          <w:rStyle w:val="htmlparacode"/>
        </w:rPr>
        <w:t>&lt;p&gt;</w:t>
      </w:r>
    </w:p>
    <w:p w:rsidR="00B72047" w:rsidRDefault="00B72047">
      <w:pPr>
        <w:pStyle w:val="examplescaledpre"/>
      </w:pPr>
      <w:r>
        <w:rPr>
          <w:rStyle w:val="indexentry"/>
        </w:rPr>
        <w:t>&lt;lx "na'ebo"&gt;</w:t>
      </w:r>
      <w:r>
        <w:rPr>
          <w:rStyle w:val="indexentry"/>
        </w:rPr>
        <w:fldChar w:fldCharType="begin"/>
      </w:r>
      <w:r>
        <w:instrText>xe "</w:instrText>
      </w:r>
      <w:r>
        <w:rPr>
          <w:rStyle w:val="xeentry"/>
        </w:rPr>
        <w:instrText>na'ebo</w:instrText>
      </w:r>
      <w:r>
        <w:instrText>"</w:instrText>
      </w:r>
      <w:r>
        <w:rPr>
          <w:rStyle w:val="indexentry"/>
        </w:rPr>
        <w:fldChar w:fldCharType="end"/>
      </w:r>
      <w:r>
        <w:rPr>
          <w:rStyle w:val="htmlcodes"/>
        </w:rPr>
        <w:t>&lt;pre&gt;&lt;a name=e10d10&gt;</w:t>
      </w:r>
      <w:r>
        <w:t>10.10)</w:t>
      </w:r>
      <w:r>
        <w:tab/>
        <w:t>mi viska na'ebo le gerku</w:t>
      </w:r>
    </w:p>
    <w:p w:rsidR="00B72047" w:rsidRDefault="00B72047">
      <w:pPr>
        <w:pStyle w:val="examplescaled"/>
      </w:pPr>
      <w:r>
        <w:tab/>
        <w:t>I see something-other-than the dog.</w:t>
      </w:r>
    </w:p>
    <w:p w:rsidR="00B72047" w:rsidRDefault="00B72047">
      <w:pPr>
        <w:pStyle w:val="resumedafterexample"/>
      </w:pPr>
      <w:r>
        <w:rPr>
          <w:rStyle w:val="htmlcodes"/>
        </w:rPr>
        <w:t>&lt;/pre&gt;&lt;p&gt;</w:t>
      </w:r>
      <w:r>
        <w:t>This compound, “na'ebo”, is the most common of the four negation sumti</w:t>
      </w:r>
      <w:r>
        <w:rPr>
          <w:rStyle w:val="deletedparamark"/>
        </w:rPr>
        <w:t xml:space="preserve"> </w:t>
      </w:r>
      <w:r>
        <w:t>qualifiers. The others usually only make sense in the context of repeating,</w:t>
      </w:r>
      <w:r>
        <w:rPr>
          <w:rStyle w:val="deletedparamark"/>
        </w:rPr>
        <w:t xml:space="preserve"> </w:t>
      </w:r>
      <w:r>
        <w:t>with modifications, something already referred to:</w:t>
      </w:r>
    </w:p>
    <w:p w:rsidR="00B72047" w:rsidRDefault="00B72047">
      <w:pPr>
        <w:rPr>
          <w:rStyle w:val="htmlparacode"/>
        </w:rPr>
      </w:pPr>
      <w:r>
        <w:rPr>
          <w:rStyle w:val="htmlparacode"/>
        </w:rPr>
        <w:t>&lt;p&gt;</w:t>
      </w:r>
    </w:p>
    <w:p w:rsidR="00B72047" w:rsidRDefault="00B72047">
      <w:pPr>
        <w:pStyle w:val="examplescaledpre"/>
      </w:pPr>
      <w:r>
        <w:rPr>
          <w:rStyle w:val="indexentry"/>
        </w:rPr>
        <w:t>&lt;ex "lukewarm food"&gt;</w:t>
      </w:r>
      <w:r>
        <w:rPr>
          <w:rStyle w:val="indexentry"/>
        </w:rPr>
        <w:fldChar w:fldCharType="begin"/>
      </w:r>
      <w:r>
        <w:instrText>xe "</w:instrText>
      </w:r>
      <w:r>
        <w:rPr>
          <w:rStyle w:val="xeentry"/>
        </w:rPr>
        <w:instrText>lukewarm food: example</w:instrText>
      </w:r>
      <w:r>
        <w:instrText>"</w:instrText>
      </w:r>
      <w:r>
        <w:rPr>
          <w:rStyle w:val="indexentry"/>
        </w:rPr>
        <w:fldChar w:fldCharType="end"/>
      </w:r>
      <w:r>
        <w:rPr>
          <w:rStyle w:val="htmlcodes"/>
        </w:rPr>
        <w:t>&lt;pre&gt;&lt;a name=e10d11&gt;</w:t>
      </w:r>
      <w:r>
        <w:t>10.11)</w:t>
      </w:r>
      <w:r>
        <w:tab/>
        <w:t>mi nelci loi glare cidja</w:t>
      </w:r>
    </w:p>
    <w:p w:rsidR="00B72047" w:rsidRDefault="00B72047">
      <w:pPr>
        <w:pStyle w:val="examplescaled"/>
      </w:pPr>
      <w:r>
        <w:tab/>
      </w:r>
      <w:r>
        <w:tab/>
        <w:t>.ije do nelci to'ebo ri</w:t>
      </w:r>
    </w:p>
    <w:p w:rsidR="00B72047" w:rsidRDefault="00B72047">
      <w:pPr>
        <w:pStyle w:val="examplescaled"/>
      </w:pPr>
      <w:r>
        <w:tab/>
      </w:r>
      <w:r>
        <w:tab/>
        <w:t>.ije la djein. nelci no'ebo ra</w:t>
      </w:r>
    </w:p>
    <w:p w:rsidR="00B72047" w:rsidRDefault="00B72047">
      <w:pPr>
        <w:pStyle w:val="examplescaled"/>
      </w:pPr>
      <w:r>
        <w:tab/>
        <w:t>I like part-of-the-mass-of hot-type-of food.</w:t>
      </w:r>
    </w:p>
    <w:p w:rsidR="00B72047" w:rsidRDefault="00B72047">
      <w:pPr>
        <w:pStyle w:val="examplescaled"/>
      </w:pPr>
      <w:r>
        <w:tab/>
      </w:r>
      <w:r>
        <w:tab/>
        <w:t>And you like the-opposite-of the-last-mentioned.</w:t>
      </w:r>
    </w:p>
    <w:p w:rsidR="00B72047" w:rsidRDefault="00B72047">
      <w:pPr>
        <w:pStyle w:val="examplescaled"/>
      </w:pPr>
      <w:r>
        <w:tab/>
      </w:r>
      <w:r>
        <w:tab/>
        <w:t>And Jane likes the-neutral-value-of something-mentioned.</w:t>
      </w:r>
    </w:p>
    <w:p w:rsidR="00B72047" w:rsidRDefault="00B72047">
      <w:pPr>
        <w:pStyle w:val="examplescaled"/>
      </w:pPr>
      <w:r>
        <w:tab/>
        <w:t>I like hot food, and you like cold food, and Jane likes lukewarm food.</w:t>
      </w:r>
    </w:p>
    <w:p w:rsidR="00B72047" w:rsidRDefault="00B72047">
      <w:pPr>
        <w:pStyle w:val="resumedafterexample"/>
      </w:pPr>
      <w:r>
        <w:rPr>
          <w:rStyle w:val="htmlcodes"/>
        </w:rPr>
        <w:t>&lt;/pre&gt;</w:t>
      </w:r>
      <w:r>
        <w:t xml:space="preserve">(In </w:t>
      </w:r>
      <w:r>
        <w:rPr>
          <w:rStyle w:val="htmlcodes"/>
        </w:rPr>
        <w:t>&lt;a href=#e10d11&gt;</w:t>
      </w:r>
      <w:r>
        <w:t>Example 10.11</w:t>
      </w:r>
      <w:r>
        <w:rPr>
          <w:rStyle w:val="htmlcodes"/>
        </w:rPr>
        <w:t>&lt;/a&gt;</w:t>
      </w:r>
      <w:r>
        <w:t>, the sumti “ra” refers to some previously men</w:t>
      </w:r>
      <w:r>
        <w:softHyphen/>
        <w:t>tioned</w:t>
      </w:r>
      <w:r>
        <w:rPr>
          <w:rStyle w:val="deletedparamark"/>
        </w:rPr>
        <w:t xml:space="preserve"> </w:t>
      </w:r>
      <w:r>
        <w:t>sumti other than that referred to by “ri”. We cannot use “ri” here,</w:t>
      </w:r>
      <w:r>
        <w:rPr>
          <w:rStyle w:val="deletedparamark"/>
        </w:rPr>
        <w:t xml:space="preserve"> </w:t>
      </w:r>
      <w:r>
        <w:t>because it would signify “la djein.”, that being the most recent sumti</w:t>
      </w:r>
      <w:r>
        <w:rPr>
          <w:rStyle w:val="deletedparamark"/>
        </w:rPr>
        <w:t xml:space="preserve"> </w:t>
      </w:r>
      <w:r>
        <w:t xml:space="preserve">available to “ri”. See more detailed explanations in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253" w:name="_Toc395691545"/>
      <w:bookmarkStart w:id="254" w:name="_Toc398970516"/>
      <w:r>
        <w:rPr>
          <w:rStyle w:val="Heading3Text"/>
        </w:rPr>
        <w:t>The syntax of vocative phrases</w:t>
      </w:r>
      <w:bookmarkEnd w:id="253"/>
      <w:bookmarkEnd w:id="25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"vocative phrases, as a “free modifier”"&gt;</w:t>
      </w:r>
      <w:r>
        <w:rPr>
          <w:rStyle w:val="indexentry"/>
        </w:rPr>
        <w:fldChar w:fldCharType="begin"/>
      </w:r>
      <w:r>
        <w:instrText>xe "</w:instrText>
      </w:r>
      <w:r>
        <w:rPr>
          <w:rStyle w:val="xeentry"/>
        </w:rPr>
        <w:instrText>vocative phrase: as a free modifier</w:instrText>
      </w:r>
      <w:r>
        <w:instrText>"</w:instrText>
      </w:r>
      <w:r>
        <w:rPr>
          <w:rStyle w:val="indexentry"/>
        </w:rPr>
        <w:fldChar w:fldCharType="end"/>
      </w:r>
      <w:r>
        <w:t>Vocative phrases are not sumti, but are explained in this chapter because</w:t>
      </w:r>
      <w:r>
        <w:rPr>
          <w:rStyle w:val="deletedparamark"/>
        </w:rPr>
        <w:t xml:space="preserve"> </w:t>
      </w:r>
      <w:r>
        <w:t>their syntax is very similar to that of sumti. Gram</w:t>
      </w:r>
      <w:r>
        <w:softHyphen/>
        <w:t>matically, a vocative</w:t>
      </w:r>
      <w:r>
        <w:rPr>
          <w:rStyle w:val="deletedparamark"/>
        </w:rPr>
        <w:t xml:space="preserve"> </w:t>
      </w:r>
      <w:r>
        <w:t>phrase is one of the so-called “free modifiers” of Lojban, along with</w:t>
      </w:r>
      <w:r>
        <w:rPr>
          <w:rStyle w:val="deletedparamark"/>
        </w:rPr>
        <w:t xml:space="preserve"> </w:t>
      </w:r>
      <w:r>
        <w:t>subscripts, parentheses, and various other con</w:t>
      </w:r>
      <w:r>
        <w:softHyphen/>
        <w:t xml:space="preserve">structs explained in </w:t>
      </w:r>
      <w:r>
        <w:rPr>
          <w:rStyle w:val="htmlcodes"/>
        </w:rPr>
        <w:t>&lt;a href=chap19.html&gt;</w:t>
      </w:r>
      <w:r>
        <w:t>Chapter 19</w:t>
      </w:r>
      <w:r>
        <w:rPr>
          <w:rStyle w:val="htmlcodes"/>
        </w:rPr>
        <w:t>&lt;/a&gt;</w:t>
      </w:r>
      <w:r>
        <w:t>.</w:t>
      </w:r>
      <w:r>
        <w:rPr>
          <w:rStyle w:val="deletedparamark"/>
        </w:rPr>
        <w:t xml:space="preserve"> </w:t>
      </w:r>
      <w:r>
        <w:t>They can be placed after many, but not all, constructions of the grammar:</w:t>
      </w:r>
      <w:r>
        <w:rPr>
          <w:rStyle w:val="deletedparamark"/>
        </w:rPr>
        <w:t xml:space="preserve"> </w:t>
      </w:r>
      <w:r>
        <w:t>in general, after any elidable terminator (which, how</w:t>
      </w:r>
      <w:r>
        <w:softHyphen/>
        <w:t>ever, must not then be</w:t>
      </w:r>
      <w:r>
        <w:rPr>
          <w:rStyle w:val="deletedparamark"/>
        </w:rPr>
        <w:t xml:space="preserve"> </w:t>
      </w:r>
      <w:r>
        <w:t>elided!), at the begin</w:t>
      </w:r>
      <w:r>
        <w:softHyphen/>
        <w:t>nings and ends of sentences, and in many other</w:t>
      </w:r>
      <w:r>
        <w:rPr>
          <w:rStyle w:val="deletedparamark"/>
        </w:rPr>
        <w:t xml:space="preserve"> </w:t>
      </w:r>
      <w:r>
        <w:t>places.</w:t>
      </w:r>
    </w:p>
    <w:p w:rsidR="00B72047" w:rsidRDefault="00B72047">
      <w:pPr>
        <w:rPr>
          <w:rStyle w:val="htmlparacode"/>
        </w:rPr>
      </w:pPr>
      <w:r>
        <w:rPr>
          <w:rStyle w:val="htmlparacode"/>
        </w:rPr>
        <w:t>&lt;p&gt;</w:t>
      </w:r>
    </w:p>
    <w:p w:rsidR="00B72047" w:rsidRDefault="00B72047">
      <w:pPr>
        <w:pStyle w:val="normalparagraph"/>
      </w:pPr>
      <w:r>
        <w:rPr>
          <w:rStyle w:val="indexentry"/>
        </w:rPr>
        <w:t>&lt;cx "vocative phrase, purpose of"&gt;</w:t>
      </w:r>
      <w:r>
        <w:rPr>
          <w:rStyle w:val="indexentry"/>
        </w:rPr>
        <w:fldChar w:fldCharType="begin"/>
      </w:r>
      <w:r>
        <w:instrText>xe "</w:instrText>
      </w:r>
      <w:r>
        <w:rPr>
          <w:rStyle w:val="xeentry"/>
        </w:rPr>
        <w:instrText>vocative phrase: purpose of</w:instrText>
      </w:r>
      <w:r>
        <w:instrText>"</w:instrText>
      </w:r>
      <w:r>
        <w:rPr>
          <w:rStyle w:val="indexentry"/>
        </w:rPr>
        <w:fldChar w:fldCharType="end"/>
      </w:r>
      <w:r>
        <w:rPr>
          <w:rStyle w:val="indexentry"/>
        </w:rPr>
        <w:t>&lt;lx "COI"&gt;</w:t>
      </w:r>
      <w:r>
        <w:rPr>
          <w:rStyle w:val="indexentry"/>
        </w:rPr>
        <w:fldChar w:fldCharType="begin"/>
      </w:r>
      <w:r>
        <w:instrText>xe "</w:instrText>
      </w:r>
      <w:r>
        <w:rPr>
          <w:rStyle w:val="xeentry"/>
        </w:rPr>
        <w:instrText>COI selma’o</w:instrText>
      </w:r>
      <w:r>
        <w:instrText>"</w:instrText>
      </w:r>
      <w:r>
        <w:rPr>
          <w:rStyle w:val="indexentry"/>
        </w:rPr>
        <w:fldChar w:fldCharType="end"/>
      </w:r>
      <w:r>
        <w:rPr>
          <w:rStyle w:val="indexentry"/>
        </w:rPr>
        <w:t>&lt;lx "DOI"&gt;</w:t>
      </w:r>
      <w:r>
        <w:rPr>
          <w:rStyle w:val="indexentry"/>
        </w:rPr>
        <w:fldChar w:fldCharType="begin"/>
      </w:r>
      <w:r>
        <w:instrText>xe "</w:instrText>
      </w:r>
      <w:r>
        <w:rPr>
          <w:rStyle w:val="xeentry"/>
        </w:rPr>
        <w:instrText>DOI selma’o</w:instrText>
      </w:r>
      <w:r>
        <w:instrText>"</w:instrText>
      </w:r>
      <w:r>
        <w:rPr>
          <w:rStyle w:val="indexentry"/>
        </w:rPr>
        <w:fldChar w:fldCharType="end"/>
      </w:r>
      <w:r>
        <w:t>The purpose of a vocative phrase is to indicate who is being</w:t>
      </w:r>
      <w:r>
        <w:rPr>
          <w:rStyle w:val="deletedparamark"/>
        </w:rPr>
        <w:t xml:space="preserve"> </w:t>
      </w:r>
      <w:r>
        <w:t>addressed, or to indicate to that person that he or she ought to be</w:t>
      </w:r>
      <w:r>
        <w:rPr>
          <w:rStyle w:val="deletedparamark"/>
        </w:rPr>
        <w:t xml:space="preserve"> </w:t>
      </w:r>
      <w:r>
        <w:t>listening. A vocative phrase begins with a cmavo of sel</w:t>
      </w:r>
      <w:r>
        <w:softHyphen/>
        <w:t>ma'o COI or DOI,</w:t>
      </w:r>
      <w:r>
        <w:rPr>
          <w:rStyle w:val="deletedparamark"/>
        </w:rPr>
        <w:t xml:space="preserve"> </w:t>
      </w:r>
      <w:r>
        <w:t xml:space="preserve">all of which are explained in more detail in </w:t>
      </w:r>
      <w:r>
        <w:rPr>
          <w:rStyle w:val="htmlcodes"/>
        </w:rPr>
        <w:t>&lt;a href=chap13.html&gt;</w:t>
      </w:r>
      <w:r>
        <w:t>Chapter 13</w:t>
      </w:r>
      <w:r>
        <w:rPr>
          <w:rStyle w:val="htmlcodes"/>
        </w:rPr>
        <w:t>&lt;/a&gt;</w:t>
      </w:r>
      <w:r>
        <w:t>. Some</w:t>
      </w:r>
      <w:r>
        <w:softHyphen/>
        <w:t>times that is</w:t>
      </w:r>
      <w:r>
        <w:rPr>
          <w:rStyle w:val="deletedparamark"/>
        </w:rPr>
        <w:t xml:space="preserve"> </w:t>
      </w:r>
      <w:r>
        <w:t>all there is to the phrase: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coi</w:t>
      </w:r>
    </w:p>
    <w:p w:rsidR="00B72047" w:rsidRDefault="00B72047">
      <w:pPr>
        <w:pStyle w:val="examplescaled"/>
      </w:pPr>
      <w:r>
        <w:tab/>
        <w:t>[greetings]</w:t>
      </w:r>
    </w:p>
    <w:p w:rsidR="00B72047" w:rsidRDefault="00B72047">
      <w:pPr>
        <w:pStyle w:val="examplescaled"/>
      </w:pPr>
      <w:r>
        <w:tab/>
        <w:t>Hello.</w:t>
      </w:r>
    </w:p>
    <w:p w:rsidR="00B72047" w:rsidRDefault="00B72047">
      <w:pPr>
        <w:pStyle w:val="examplescaledpre"/>
      </w:pPr>
      <w:r>
        <w:rPr>
          <w:rStyle w:val="htmlcodes"/>
        </w:rPr>
        <w:t>&lt;a name=e11d2&gt;</w:t>
      </w:r>
      <w:r>
        <w:t>11.2)</w:t>
      </w:r>
      <w:r>
        <w:tab/>
        <w:t>je'e</w:t>
      </w:r>
    </w:p>
    <w:p w:rsidR="00B72047" w:rsidRDefault="00B72047">
      <w:pPr>
        <w:pStyle w:val="examplescaled"/>
      </w:pPr>
      <w:r>
        <w:tab/>
        <w:t>[acknowledgement]</w:t>
      </w:r>
    </w:p>
    <w:p w:rsidR="00B72047" w:rsidRDefault="00B72047">
      <w:pPr>
        <w:pStyle w:val="examplescaled"/>
      </w:pPr>
      <w:r>
        <w:tab/>
        <w:t>Uh-huh.</w:t>
      </w:r>
    </w:p>
    <w:p w:rsidR="00B72047" w:rsidRDefault="00B72047">
      <w:pPr>
        <w:pStyle w:val="examplescaled"/>
      </w:pPr>
      <w:r>
        <w:tab/>
        <w:t>Roger!</w:t>
      </w:r>
    </w:p>
    <w:p w:rsidR="00B72047" w:rsidRDefault="00B72047">
      <w:pPr>
        <w:pStyle w:val="resumedafterexample"/>
      </w:pPr>
      <w:r>
        <w:rPr>
          <w:rStyle w:val="htmlcodes"/>
        </w:rPr>
        <w:t>&lt;/pre&gt;</w:t>
      </w:r>
      <w:r>
        <w:rPr>
          <w:rStyle w:val="indexentry"/>
        </w:rPr>
        <w:t>&lt;cx "vocative word, phrase following"&gt;</w:t>
      </w:r>
      <w:r>
        <w:t>In these cases, the person being addressed is obvious from the con</w:t>
      </w:r>
      <w:r>
        <w:softHyphen/>
        <w:t>text.</w:t>
      </w:r>
      <w:r>
        <w:rPr>
          <w:rStyle w:val="deletedparamark"/>
        </w:rPr>
        <w:t xml:space="preserve"> </w:t>
      </w:r>
      <w:r>
        <w:t>However, a voc</w:t>
      </w:r>
      <w:r>
        <w:t>a</w:t>
      </w:r>
      <w:r>
        <w:softHyphen/>
        <w:t>tive word (more precisely, one or more cmavo of COI,</w:t>
      </w:r>
      <w:r>
        <w:rPr>
          <w:rStyle w:val="deletedparamark"/>
        </w:rPr>
        <w:t xml:space="preserve"> </w:t>
      </w:r>
      <w:r>
        <w:t>possibly followed by “doi”, or else just “doi” by itself) can be followed</w:t>
      </w:r>
      <w:r>
        <w:rPr>
          <w:rStyle w:val="deletedparamark"/>
        </w:rPr>
        <w:t xml:space="preserve"> </w:t>
      </w:r>
      <w:r>
        <w:t>by one of several kinds of phrases, all of which are intended to indicate</w:t>
      </w:r>
      <w:r>
        <w:rPr>
          <w:rStyle w:val="deletedparamark"/>
        </w:rPr>
        <w:t xml:space="preserve"> </w:t>
      </w:r>
      <w:r>
        <w:t>the addressee. The most common case is a name:</w:t>
      </w:r>
    </w:p>
    <w:p w:rsidR="00B72047" w:rsidRDefault="00B72047">
      <w:pPr>
        <w:rPr>
          <w:rStyle w:val="htmlparacode"/>
        </w:rPr>
      </w:pPr>
      <w:r>
        <w:rPr>
          <w:rStyle w:val="htmlparacode"/>
        </w:rPr>
        <w:t>&lt;p&gt;</w:t>
      </w:r>
    </w:p>
    <w:p w:rsidR="00B72047" w:rsidRDefault="00B72047">
      <w:pPr>
        <w:pStyle w:val="examplescaledpre"/>
      </w:pPr>
      <w:r>
        <w:rPr>
          <w:rStyle w:val="indexentry"/>
        </w:rPr>
        <w:t>&lt;lx "coi"&gt;</w:t>
      </w:r>
      <w:r>
        <w:rPr>
          <w:rStyle w:val="indexentry"/>
        </w:rPr>
        <w:fldChar w:fldCharType="begin"/>
      </w:r>
      <w:r>
        <w:instrText>xe "</w:instrText>
      </w:r>
      <w:r>
        <w:rPr>
          <w:rStyle w:val="xeentry"/>
        </w:rPr>
        <w:instrText>coi</w:instrText>
      </w:r>
      <w:r>
        <w:instrText>"</w:instrText>
      </w:r>
      <w:r>
        <w:rPr>
          <w:rStyle w:val="indexentry"/>
        </w:rPr>
        <w:fldChar w:fldCharType="end"/>
      </w:r>
      <w:r>
        <w:rPr>
          <w:rStyle w:val="htmlcodes"/>
        </w:rPr>
        <w:t>&lt;pre&gt;&lt;a name=e11d2&gt;</w:t>
      </w:r>
      <w:r>
        <w:t>11.2)</w:t>
      </w:r>
      <w:r>
        <w:tab/>
        <w:t>coi. djan.</w:t>
      </w:r>
    </w:p>
    <w:p w:rsidR="00B72047" w:rsidRDefault="00B72047">
      <w:pPr>
        <w:pStyle w:val="examplescaled"/>
      </w:pPr>
      <w:r>
        <w:tab/>
        <w:t>Hello, John.</w:t>
      </w:r>
    </w:p>
    <w:p w:rsidR="00B72047" w:rsidRDefault="00B72047">
      <w:pPr>
        <w:pStyle w:val="normalafterexample"/>
      </w:pPr>
      <w:r>
        <w:rPr>
          <w:rStyle w:val="htmlcodes"/>
        </w:rPr>
        <w:t>&lt;/pre&gt;&lt;p&gt;</w:t>
      </w:r>
      <w:r>
        <w:t>A pause is required (for morphological reasons) between a member of COI and</w:t>
      </w:r>
      <w:r>
        <w:rPr>
          <w:rStyle w:val="deletedparamark"/>
        </w:rPr>
        <w:t xml:space="preserve"> </w:t>
      </w:r>
      <w:r>
        <w:t>a name. You can use “doi” instead of a pause:</w:t>
      </w:r>
    </w:p>
    <w:p w:rsidR="00B72047" w:rsidRDefault="00B72047">
      <w:pPr>
        <w:rPr>
          <w:rStyle w:val="htmlparacode"/>
        </w:rPr>
      </w:pPr>
      <w:r>
        <w:rPr>
          <w:rStyle w:val="htmlparacode"/>
        </w:rPr>
        <w:t>&lt;p&gt;</w:t>
      </w:r>
    </w:p>
    <w:p w:rsidR="00B72047" w:rsidRDefault="00B72047">
      <w:pPr>
        <w:pStyle w:val="examplescaledpre"/>
      </w:pPr>
      <w:r>
        <w:rPr>
          <w:rStyle w:val="indexentry"/>
        </w:rPr>
        <w:t>&lt;lx "doi"&gt;</w:t>
      </w:r>
      <w:r>
        <w:rPr>
          <w:rStyle w:val="indexentry"/>
        </w:rPr>
        <w:fldChar w:fldCharType="begin"/>
      </w:r>
      <w:r>
        <w:instrText>xe "</w:instrText>
      </w:r>
      <w:r>
        <w:rPr>
          <w:rStyle w:val="xeentry"/>
        </w:rPr>
        <w:instrText>doi</w:instrText>
      </w:r>
      <w:r>
        <w:instrText>"</w:instrText>
      </w:r>
      <w:r>
        <w:rPr>
          <w:rStyle w:val="indexentry"/>
        </w:rPr>
        <w:fldChar w:fldCharType="end"/>
      </w:r>
      <w:r>
        <w:rPr>
          <w:rStyle w:val="htmlcodes"/>
        </w:rPr>
        <w:t>&lt;pre&gt;&lt;a name=e11d3&gt;</w:t>
      </w:r>
      <w:r>
        <w:t>11.3)</w:t>
      </w:r>
      <w:r>
        <w:tab/>
        <w:t>coi doi djan.</w:t>
      </w:r>
    </w:p>
    <w:p w:rsidR="00B72047" w:rsidRDefault="00B72047">
      <w:pPr>
        <w:pStyle w:val="examplescaled"/>
      </w:pPr>
      <w:r>
        <w:tab/>
        <w:t>Hello, John.</w:t>
      </w:r>
    </w:p>
    <w:p w:rsidR="00B72047" w:rsidRDefault="00B72047">
      <w:pPr>
        <w:pStyle w:val="resumedafterexample"/>
      </w:pPr>
      <w:r>
        <w:rPr>
          <w:rStyle w:val="htmlcodes"/>
        </w:rPr>
        <w:t>&lt;/pre&gt;</w:t>
      </w:r>
      <w:r>
        <w:t>means exactly the same thing and does not require a pause. Using “doi” by</w:t>
      </w:r>
      <w:r>
        <w:rPr>
          <w:rStyle w:val="deletedparamark"/>
        </w:rPr>
        <w:t xml:space="preserve"> </w:t>
      </w:r>
      <w:r>
        <w:t>itself is like just saying someone's name to attract his or her attention: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doi djan.</w:t>
      </w:r>
    </w:p>
    <w:p w:rsidR="00B72047" w:rsidRDefault="00B72047">
      <w:pPr>
        <w:pStyle w:val="examplescaled"/>
      </w:pPr>
      <w:r>
        <w:tab/>
        <w:t>John!</w:t>
      </w:r>
    </w:p>
    <w:p w:rsidR="00B72047" w:rsidRDefault="00B72047">
      <w:pPr>
        <w:pStyle w:val="normalafterexample"/>
      </w:pPr>
      <w:r>
        <w:rPr>
          <w:rStyle w:val="htmlcodes"/>
        </w:rPr>
        <w:t>&lt;/pre&gt;</w:t>
      </w:r>
      <w:r>
        <w:rPr>
          <w:rStyle w:val="indexentry"/>
        </w:rPr>
        <w:t>&lt;cx "vocative phrase, forms of"&gt;</w:t>
      </w:r>
      <w:r>
        <w:rPr>
          <w:rStyle w:val="indexentry"/>
        </w:rPr>
        <w:fldChar w:fldCharType="begin"/>
      </w:r>
      <w:r>
        <w:instrText>xe "</w:instrText>
      </w:r>
      <w:r>
        <w:rPr>
          <w:rStyle w:val="xeentry"/>
        </w:rPr>
        <w:instrText>vocative phrase: forms of</w:instrText>
      </w:r>
      <w:r>
        <w:instrText>"</w:instrText>
      </w:r>
      <w:r>
        <w:rPr>
          <w:rStyle w:val="indexentry"/>
        </w:rPr>
        <w:fldChar w:fldCharType="end"/>
      </w:r>
      <w:r>
        <w:rPr>
          <w:rStyle w:val="indexentry"/>
        </w:rPr>
        <w:t>&lt;cx "vocative phrase, with sumti without descriptor"&gt;</w:t>
      </w:r>
      <w:r>
        <w:rPr>
          <w:rStyle w:val="indexentry"/>
        </w:rPr>
        <w:fldChar w:fldCharType="begin"/>
      </w:r>
      <w:r>
        <w:instrText>xe "</w:instrText>
      </w:r>
      <w:r>
        <w:rPr>
          <w:rStyle w:val="xeentry"/>
        </w:rPr>
        <w:instrText>vocative phrase: with sumti without descriptor</w:instrText>
      </w:r>
      <w:r>
        <w:instrText>"</w:instrText>
      </w:r>
      <w:r>
        <w:rPr>
          <w:rStyle w:val="indexentry"/>
        </w:rPr>
        <w:fldChar w:fldCharType="end"/>
      </w:r>
      <w:r>
        <w:rPr>
          <w:rStyle w:val="indexentry"/>
        </w:rPr>
        <w:t>&lt;cx "vocative phrase, implicit descriptor on"&gt;</w:t>
      </w:r>
      <w:r>
        <w:rPr>
          <w:rStyle w:val="indexentry"/>
        </w:rPr>
        <w:fldChar w:fldCharType="begin"/>
      </w:r>
      <w:r>
        <w:instrText>xe "</w:instrText>
      </w:r>
      <w:r>
        <w:rPr>
          <w:rStyle w:val="xeentry"/>
        </w:rPr>
        <w:instrText>vocative phrase: implicit descriptor on</w:instrText>
      </w:r>
      <w:r>
        <w:instrText>"</w:instrText>
      </w:r>
      <w:r>
        <w:rPr>
          <w:rStyle w:val="indexentry"/>
        </w:rPr>
        <w:fldChar w:fldCharType="end"/>
      </w:r>
      <w:r>
        <w:t>In place of a name, a description may appear, lacking its de</w:t>
      </w:r>
      <w:r>
        <w:softHyphen/>
        <w:t>scriptor,</w:t>
      </w:r>
      <w:r>
        <w:rPr>
          <w:rStyle w:val="deletedparamark"/>
        </w:rPr>
        <w:t xml:space="preserve"> </w:t>
      </w:r>
      <w:r>
        <w:t>which is unde</w:t>
      </w:r>
      <w:r>
        <w:t>r</w:t>
      </w:r>
      <w:r>
        <w:softHyphen/>
        <w:t>stood to be “le”: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coi xunre pastu nixli</w:t>
      </w:r>
    </w:p>
    <w:p w:rsidR="00B72047" w:rsidRDefault="00B72047">
      <w:pPr>
        <w:pStyle w:val="examplescaled"/>
      </w:pPr>
      <w:r>
        <w:tab/>
        <w:t>Hello, (red-type-of dress)-type-of girl.</w:t>
      </w:r>
    </w:p>
    <w:p w:rsidR="00B72047" w:rsidRDefault="00B72047">
      <w:pPr>
        <w:pStyle w:val="examplescaled"/>
      </w:pPr>
      <w:r>
        <w:tab/>
        <w:t>Hello, girl with the red dress!</w:t>
      </w:r>
    </w:p>
    <w:p w:rsidR="00B72047" w:rsidRDefault="00B72047">
      <w:pPr>
        <w:pStyle w:val="resumedafterexample"/>
      </w:pPr>
      <w:r>
        <w:rPr>
          <w:rStyle w:val="htmlcodes"/>
        </w:rPr>
        <w:t>&lt;/pre&gt;</w:t>
      </w:r>
      <w:r>
        <w:rPr>
          <w:rStyle w:val="indexentry"/>
        </w:rPr>
        <w:t>&lt;cx "vocative phrase, implicit quantifiers on"&gt;</w:t>
      </w:r>
      <w:r>
        <w:rPr>
          <w:rStyle w:val="indexentry"/>
        </w:rPr>
        <w:fldChar w:fldCharType="begin"/>
      </w:r>
      <w:r>
        <w:instrText>xe "</w:instrText>
      </w:r>
      <w:r>
        <w:rPr>
          <w:rStyle w:val="xeentry"/>
        </w:rPr>
        <w:instrText>vocative phrase: implicit quantifiers on</w:instrText>
      </w:r>
      <w:r>
        <w:instrText>"</w:instrText>
      </w:r>
      <w:r>
        <w:rPr>
          <w:rStyle w:val="indexentry"/>
        </w:rPr>
        <w:fldChar w:fldCharType="end"/>
      </w:r>
      <w:r>
        <w:rPr>
          <w:rStyle w:val="indexentry"/>
        </w:rPr>
        <w:t>&lt;cx "vocative phrase, explicit quantifiers prohibited on"&gt;</w:t>
      </w:r>
      <w:r>
        <w:rPr>
          <w:rStyle w:val="indexentry"/>
        </w:rPr>
        <w:fldChar w:fldCharType="begin"/>
      </w:r>
      <w:r>
        <w:instrText>xe "</w:instrText>
      </w:r>
      <w:r>
        <w:rPr>
          <w:rStyle w:val="xeentry"/>
        </w:rPr>
        <w:instrText>vocative phrase: explicit quantifiers prohibited on</w:instrText>
      </w:r>
      <w:r>
        <w:instrText>"</w:instrText>
      </w:r>
      <w:r>
        <w:rPr>
          <w:rStyle w:val="indexentry"/>
        </w:rPr>
        <w:fldChar w:fldCharType="end"/>
      </w:r>
      <w:r>
        <w:t>The listener need not really be a “xunre pastu nixli”, as long as she</w:t>
      </w:r>
      <w:r>
        <w:rPr>
          <w:rStyle w:val="deletedparamark"/>
        </w:rPr>
        <w:t xml:space="preserve"> </w:t>
      </w:r>
      <w:r>
        <w:t>understands herself correctly from the description. (Actually, only a bare</w:t>
      </w:r>
      <w:r>
        <w:rPr>
          <w:rStyle w:val="deletedparamark"/>
        </w:rPr>
        <w:t xml:space="preserve"> </w:t>
      </w:r>
      <w:r>
        <w:t>selbri can appear; explicit quanti</w:t>
      </w:r>
      <w:r>
        <w:softHyphen/>
        <w:t>fiers are forbidden in this form of</w:t>
      </w:r>
      <w:r>
        <w:rPr>
          <w:rStyle w:val="deletedparamark"/>
        </w:rPr>
        <w:t xml:space="preserve"> </w:t>
      </w:r>
      <w:r>
        <w:t>vocative, so the implicit quantifiers “su'o le ro” are in effect.)</w:t>
      </w:r>
    </w:p>
    <w:p w:rsidR="00B72047" w:rsidRDefault="00B72047">
      <w:pPr>
        <w:rPr>
          <w:rStyle w:val="htmlparacode"/>
        </w:rPr>
      </w:pPr>
      <w:r>
        <w:rPr>
          <w:rStyle w:val="htmlparacode"/>
        </w:rPr>
        <w:t>&lt;p&gt;</w:t>
      </w:r>
    </w:p>
    <w:p w:rsidR="00B72047" w:rsidRDefault="00B72047">
      <w:pPr>
        <w:pStyle w:val="normalparagraph"/>
      </w:pPr>
      <w:r>
        <w:t>Finally, a complete sumti may be used, the most general case.</w:t>
      </w:r>
    </w:p>
    <w:p w:rsidR="00B72047" w:rsidRDefault="00B72047">
      <w:pPr>
        <w:rPr>
          <w:rStyle w:val="htmlparacode"/>
        </w:rPr>
      </w:pPr>
      <w:r>
        <w:rPr>
          <w:rStyle w:val="htmlparacode"/>
        </w:rPr>
        <w:t>&lt;p&gt;</w:t>
      </w:r>
    </w:p>
    <w:p w:rsidR="00B72047" w:rsidRDefault="00B72047">
      <w:pPr>
        <w:pStyle w:val="examplescaledpre"/>
      </w:pPr>
      <w:r>
        <w:rPr>
          <w:rStyle w:val="indexentry"/>
        </w:rPr>
        <w:t>&lt;cx "vocative phrase, with complete sumti"&gt;</w:t>
      </w:r>
      <w:r>
        <w:rPr>
          <w:rStyle w:val="indexentry"/>
        </w:rPr>
        <w:fldChar w:fldCharType="begin"/>
      </w:r>
      <w:r>
        <w:instrText>xe "</w:instrText>
      </w:r>
      <w:r>
        <w:rPr>
          <w:rStyle w:val="xeentry"/>
        </w:rPr>
        <w:instrText>vocative phrase: with complete sumti</w:instrText>
      </w:r>
      <w:r>
        <w:instrText>"</w:instrText>
      </w:r>
      <w:r>
        <w:rPr>
          <w:rStyle w:val="indexentry"/>
        </w:rPr>
        <w:fldChar w:fldCharType="end"/>
      </w:r>
      <w:r>
        <w:rPr>
          <w:rStyle w:val="htmlcodes"/>
        </w:rPr>
        <w:t>&lt;pre&gt;&lt;a name=e11d6&gt;</w:t>
      </w:r>
      <w:r>
        <w:t>11.6)</w:t>
      </w:r>
      <w:r>
        <w:tab/>
        <w:t>co'o la bab. .e la noras.</w:t>
      </w:r>
    </w:p>
    <w:p w:rsidR="00B72047" w:rsidRDefault="00B72047">
      <w:pPr>
        <w:pStyle w:val="examplescaled"/>
      </w:pPr>
      <w:r>
        <w:tab/>
        <w:t>Goodbye, Bob and Nora.</w:t>
      </w:r>
    </w:p>
    <w:p w:rsidR="00B72047" w:rsidRDefault="00B72047">
      <w:pPr>
        <w:pStyle w:val="resumedafterexample"/>
      </w:pPr>
      <w:r>
        <w:rPr>
          <w:rStyle w:val="htmlcodes"/>
        </w:rPr>
        <w:t>&lt;/pre&gt;&lt;a href=#e11d5&gt;</w:t>
      </w:r>
      <w:r>
        <w:t xml:space="preserve">Example 11.5 </w:t>
      </w:r>
      <w:r>
        <w:rPr>
          <w:rStyle w:val="htmlcodes"/>
        </w:rPr>
        <w:t>&lt;/a&gt;</w:t>
      </w:r>
      <w:r>
        <w:t>is thus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name=e11d7&gt;</w:t>
      </w:r>
      <w:r>
        <w:t>11.7)</w:t>
      </w:r>
      <w:r>
        <w:tab/>
        <w:t>coi le xunre pastu nixli</w:t>
      </w:r>
    </w:p>
    <w:p w:rsidR="00B72047" w:rsidRDefault="00B72047">
      <w:pPr>
        <w:pStyle w:val="examplescaled"/>
      </w:pPr>
      <w:r>
        <w:tab/>
        <w:t>Hello, the-one-described-as red-dress girl!</w:t>
      </w:r>
    </w:p>
    <w:p w:rsidR="00B72047" w:rsidRDefault="00B72047">
      <w:pPr>
        <w:pStyle w:val="resumedafterexample"/>
      </w:pPr>
      <w:r>
        <w:rPr>
          <w:rStyle w:val="htmlcodes"/>
        </w:rPr>
        <w:t>&lt;/pre&gt;</w:t>
      </w:r>
      <w:r>
        <w:t xml:space="preserve">and </w:t>
      </w:r>
      <w:r>
        <w:rPr>
          <w:rStyle w:val="htmlcodes"/>
        </w:rPr>
        <w:t>&lt;a href=#e11d4&gt;</w:t>
      </w:r>
      <w:r>
        <w:t xml:space="preserve">Example 11.4 </w:t>
      </w:r>
      <w:r>
        <w:rPr>
          <w:rStyle w:val="htmlcodes"/>
        </w:rPr>
        <w:t>&lt;/a&gt;</w:t>
      </w:r>
      <w:r>
        <w:t>is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name=e11d8&gt;</w:t>
      </w:r>
      <w:r>
        <w:t>11.8)</w:t>
      </w:r>
      <w:r>
        <w:tab/>
        <w:t>doi la djan.</w:t>
      </w:r>
    </w:p>
    <w:p w:rsidR="00B72047" w:rsidRDefault="00B72047">
      <w:pPr>
        <w:pStyle w:val="examplescaled"/>
      </w:pPr>
      <w:r>
        <w:tab/>
        <w:t>The-one-named John!</w:t>
      </w:r>
    </w:p>
    <w:p w:rsidR="00B72047" w:rsidRDefault="00B72047">
      <w:pPr>
        <w:pStyle w:val="resumedafterexample"/>
      </w:pPr>
      <w:r>
        <w:rPr>
          <w:rStyle w:val="htmlcodes"/>
        </w:rPr>
        <w:t>&lt;/pre&gt;</w:t>
      </w:r>
      <w:r>
        <w:rPr>
          <w:rStyle w:val="indexentry"/>
        </w:rPr>
        <w:t>&lt;cx "vocative phrase, elidable terminator for"&gt;</w:t>
      </w:r>
      <w:r>
        <w:rPr>
          <w:rStyle w:val="indexentry"/>
        </w:rPr>
        <w:fldChar w:fldCharType="begin"/>
      </w:r>
      <w:r>
        <w:instrText>xe "</w:instrText>
      </w:r>
      <w:r>
        <w:rPr>
          <w:rStyle w:val="xeentry"/>
        </w:rPr>
        <w:instrText>vocative phrase: elidable terminator for</w:instrText>
      </w:r>
      <w:r>
        <w:instrText>"</w:instrText>
      </w:r>
      <w:r>
        <w:rPr>
          <w:rStyle w:val="indexentry"/>
        </w:rPr>
        <w:fldChar w:fldCharType="end"/>
      </w:r>
      <w:r>
        <w:rPr>
          <w:rStyle w:val="indexentry"/>
        </w:rPr>
        <w:t>&lt;lx "do'u"&gt;</w:t>
      </w:r>
      <w:r>
        <w:rPr>
          <w:rStyle w:val="indexentry"/>
        </w:rPr>
        <w:fldChar w:fldCharType="begin"/>
      </w:r>
      <w:r>
        <w:instrText>xe "</w:instrText>
      </w:r>
      <w:r>
        <w:rPr>
          <w:rStyle w:val="xeentry"/>
        </w:rPr>
        <w:instrText>do'u</w:instrText>
      </w:r>
      <w:r>
        <w:instrText>"</w:instrText>
      </w:r>
      <w:r>
        <w:rPr>
          <w:rStyle w:val="indexentry"/>
        </w:rPr>
        <w:fldChar w:fldCharType="end"/>
      </w:r>
      <w:r>
        <w:rPr>
          <w:rStyle w:val="indexentry"/>
        </w:rPr>
        <w:t>&lt;lx "DOhU"&gt;</w:t>
      </w:r>
      <w:r>
        <w:rPr>
          <w:rStyle w:val="indexentry"/>
        </w:rPr>
        <w:fldChar w:fldCharType="begin"/>
      </w:r>
      <w:r>
        <w:instrText>xe "</w:instrText>
      </w:r>
      <w:r>
        <w:rPr>
          <w:rStyle w:val="xeentry"/>
        </w:rPr>
        <w:instrText>DOhU selma’o</w:instrText>
      </w:r>
      <w:r>
        <w:instrText>"</w:instrText>
      </w:r>
      <w:r>
        <w:rPr>
          <w:rStyle w:val="indexentry"/>
        </w:rPr>
        <w:fldChar w:fldCharType="end"/>
      </w:r>
      <w:r>
        <w:rPr>
          <w:rStyle w:val="indexentry"/>
        </w:rPr>
        <w:t>&lt;cx "vocative phrase terminator, elidability of"&gt;</w:t>
      </w:r>
      <w:r>
        <w:rPr>
          <w:rStyle w:val="indexentry"/>
        </w:rPr>
        <w:fldChar w:fldCharType="begin"/>
      </w:r>
      <w:r>
        <w:instrText>xe "</w:instrText>
      </w:r>
      <w:r>
        <w:rPr>
          <w:rStyle w:val="xeentry"/>
        </w:rPr>
        <w:instrText>vocative phrase terminator: elidability of</w:instrText>
      </w:r>
      <w:r>
        <w:instrText>"</w:instrText>
      </w:r>
      <w:r>
        <w:rPr>
          <w:rStyle w:val="indexentry"/>
        </w:rPr>
        <w:fldChar w:fldCharType="end"/>
      </w:r>
      <w:r>
        <w:t>Finally, the elidable terminator for vocative phrases is “do'u” (of sel</w:t>
      </w:r>
      <w:r>
        <w:softHyphen/>
        <w:t>ma'o</w:t>
      </w:r>
      <w:r>
        <w:rPr>
          <w:rStyle w:val="deletedparamark"/>
        </w:rPr>
        <w:t xml:space="preserve"> </w:t>
      </w:r>
      <w:r>
        <w:t>DOhU), which is rarely needed except when a simple vocative word is being</w:t>
      </w:r>
      <w:r>
        <w:rPr>
          <w:rStyle w:val="deletedparamark"/>
        </w:rPr>
        <w:t xml:space="preserve"> </w:t>
      </w:r>
      <w:r>
        <w:t>placed somewhere within a bridi. It may also be re</w:t>
      </w:r>
      <w:r>
        <w:softHyphen/>
        <w:t>quired when a vocative</w:t>
      </w:r>
      <w:r>
        <w:rPr>
          <w:rStyle w:val="deletedparamark"/>
        </w:rPr>
        <w:t xml:space="preserve"> </w:t>
      </w:r>
      <w:r>
        <w:t>is placed between a sumti and its rela</w:t>
      </w:r>
      <w:r>
        <w:softHyphen/>
        <w:t>tive clause, or when there are a</w:t>
      </w:r>
      <w:r>
        <w:rPr>
          <w:rStyle w:val="deletedparamark"/>
        </w:rPr>
        <w:t xml:space="preserve"> </w:t>
      </w:r>
      <w:r>
        <w:t>sequence of so-called “free modifiers” (vocatives, sub</w:t>
      </w:r>
      <w:r>
        <w:softHyphen/>
        <w:t>scripts, utterance</w:t>
      </w:r>
      <w:r>
        <w:rPr>
          <w:rStyle w:val="deletedparamark"/>
        </w:rPr>
        <w:t xml:space="preserve"> </w:t>
      </w:r>
      <w:r>
        <w:t xml:space="preserve">ordinals — see </w:t>
      </w:r>
      <w:r>
        <w:rPr>
          <w:rStyle w:val="htmlcodes"/>
        </w:rPr>
        <w:t>&lt;a href=chap18.html&gt;</w:t>
      </w:r>
      <w:r>
        <w:t xml:space="preserve">Chapter 18 </w:t>
      </w:r>
      <w:r>
        <w:rPr>
          <w:rStyle w:val="htmlcodes"/>
        </w:rPr>
        <w:t>&lt;/a&gt;</w:t>
      </w:r>
      <w:r>
        <w:t xml:space="preserve">— metalinguistic comments — see </w:t>
      </w:r>
      <w:r>
        <w:rPr>
          <w:rStyle w:val="htmlcodes"/>
        </w:rPr>
        <w:t>&lt;a href=chap19.html&gt;</w:t>
      </w:r>
      <w:r>
        <w:t>Chap</w:t>
      </w:r>
      <w:r>
        <w:softHyphen/>
        <w:t xml:space="preserve">ter 19 </w:t>
      </w:r>
      <w:r>
        <w:rPr>
          <w:rStyle w:val="htmlcodes"/>
        </w:rPr>
        <w:t>&lt;/a&gt;</w:t>
      </w:r>
      <w:r>
        <w:t xml:space="preserve">— or reciprocals — see </w:t>
      </w:r>
      <w:r>
        <w:rPr>
          <w:rStyle w:val="htmlcodes"/>
        </w:rPr>
        <w:t>&lt;a href=chap19.html&gt;</w:t>
      </w:r>
      <w:r>
        <w:t>Chapter 19</w:t>
      </w:r>
      <w:r>
        <w:rPr>
          <w:rStyle w:val="htmlcodes"/>
        </w:rPr>
        <w:t>&lt;/a&gt;</w:t>
      </w:r>
      <w:r>
        <w:t>) which must be properly separated.</w:t>
      </w:r>
    </w:p>
    <w:p w:rsidR="00B72047" w:rsidRDefault="00B72047">
      <w:pPr>
        <w:rPr>
          <w:rStyle w:val="htmlparacode"/>
        </w:rPr>
      </w:pPr>
      <w:r>
        <w:rPr>
          <w:rStyle w:val="htmlparacode"/>
        </w:rPr>
        <w:t>&lt;p&gt;</w:t>
      </w:r>
    </w:p>
    <w:p w:rsidR="00B72047" w:rsidRDefault="00B72047">
      <w:pPr>
        <w:pStyle w:val="normalparagraph"/>
      </w:pPr>
      <w:r>
        <w:rPr>
          <w:rStyle w:val="indexentry"/>
        </w:rPr>
        <w:t>&lt;cx "vocative phrase, effect of position on meaning"&gt;</w:t>
      </w:r>
      <w:r>
        <w:rPr>
          <w:rStyle w:val="indexentry"/>
        </w:rPr>
        <w:fldChar w:fldCharType="begin"/>
      </w:r>
      <w:r>
        <w:instrText>xe "</w:instrText>
      </w:r>
      <w:r>
        <w:rPr>
          <w:rStyle w:val="xeentry"/>
        </w:rPr>
        <w:instrText>vocative phrase: effect of position on meaning</w:instrText>
      </w:r>
      <w:r>
        <w:instrText>"</w:instrText>
      </w:r>
      <w:r>
        <w:rPr>
          <w:rStyle w:val="indexentry"/>
        </w:rPr>
        <w:fldChar w:fldCharType="end"/>
      </w:r>
      <w:r>
        <w:t>The meaning of a vocative phrase that is within a sentence is not affected</w:t>
      </w:r>
      <w:r>
        <w:rPr>
          <w:rStyle w:val="deletedparamark"/>
        </w:rPr>
        <w:t xml:space="preserve"> </w:t>
      </w:r>
      <w:r>
        <w:t>by its pos</w:t>
      </w:r>
      <w:r>
        <w:t>i</w:t>
      </w:r>
      <w:r>
        <w:softHyphen/>
        <w:t xml:space="preserve">tion in the sentence: thus </w:t>
      </w:r>
      <w:r>
        <w:rPr>
          <w:rStyle w:val="htmlcodes"/>
        </w:rPr>
        <w:t>&lt;a href=#e11d9&gt;</w:t>
      </w:r>
      <w:r>
        <w:t xml:space="preserve">Example 11.9 </w:t>
      </w:r>
      <w:r>
        <w:rPr>
          <w:rStyle w:val="htmlcodes"/>
        </w:rPr>
        <w:t>&lt;/a&gt;</w:t>
      </w:r>
      <w:r>
        <w:t xml:space="preserve">and </w:t>
      </w:r>
      <w:r>
        <w:rPr>
          <w:rStyle w:val="htmlcodes"/>
        </w:rPr>
        <w:t>&lt;a href=#e11d10&gt;</w:t>
      </w:r>
      <w:r>
        <w:t xml:space="preserve">Example 11.10 </w:t>
      </w:r>
      <w:r>
        <w:rPr>
          <w:rStyle w:val="htmlcodes"/>
        </w:rPr>
        <w:t>&lt;/a&gt;</w:t>
      </w:r>
      <w:r>
        <w:t>mean the</w:t>
      </w:r>
      <w:r>
        <w:rPr>
          <w:rStyle w:val="deletedparamark"/>
        </w:rPr>
        <w:t xml:space="preserve"> </w:t>
      </w:r>
      <w:r>
        <w:t>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name=e11d9&gt;</w:t>
      </w:r>
      <w:r>
        <w:t>11.9)</w:t>
      </w:r>
      <w:r>
        <w:tab/>
        <w:t>doi djan. ko klama mi</w:t>
      </w:r>
    </w:p>
    <w:p w:rsidR="00B72047" w:rsidRDefault="00B72047">
      <w:pPr>
        <w:pStyle w:val="examplescaled"/>
      </w:pPr>
      <w:r>
        <w:tab/>
        <w:t>John, come to me!</w:t>
      </w:r>
    </w:p>
    <w:p w:rsidR="00B72047" w:rsidRDefault="00B72047">
      <w:pPr>
        <w:pStyle w:val="examplescaledpre"/>
      </w:pPr>
      <w:r>
        <w:rPr>
          <w:rStyle w:val="htmlcodes"/>
        </w:rPr>
        <w:t>&lt;a name=e11d10&gt;</w:t>
      </w:r>
      <w:r>
        <w:t>11.10)</w:t>
      </w:r>
      <w:r>
        <w:tab/>
        <w:t>ko klama mi doi djan.</w:t>
      </w:r>
    </w:p>
    <w:p w:rsidR="00B72047" w:rsidRDefault="00B72047">
      <w:pPr>
        <w:pStyle w:val="examplescaled"/>
      </w:pPr>
      <w:r>
        <w:tab/>
        <w:t>Come to me, John!</w:t>
      </w:r>
    </w:p>
    <w:p w:rsidR="00B72047" w:rsidRDefault="00B72047">
      <w:pPr>
        <w:pStyle w:val="normalafterexample"/>
      </w:pPr>
      <w:r>
        <w:rPr>
          <w:rStyle w:val="htmlcodes"/>
        </w:rPr>
        <w:t>&lt;/pre&gt;&lt;p&gt;</w:t>
      </w:r>
      <w:r>
        <w:t>As usual for this chapter, the full syntax of vocative phrases has not been</w:t>
      </w:r>
      <w:r>
        <w:rPr>
          <w:rStyle w:val="deletedparamark"/>
        </w:rPr>
        <w:t xml:space="preserve"> </w:t>
      </w:r>
      <w:r>
        <w:t>ex</w:t>
      </w:r>
      <w:r>
        <w:softHyphen/>
        <w:t xml:space="preserve">plained: relative clauses, discussed in </w:t>
      </w:r>
      <w:r>
        <w:rPr>
          <w:rStyle w:val="htmlcodes"/>
        </w:rPr>
        <w:t>&lt;a href=chap8.html&gt;</w:t>
      </w:r>
      <w:r>
        <w:t>Chapter 8</w:t>
      </w:r>
      <w:r>
        <w:rPr>
          <w:rStyle w:val="htmlcodes"/>
        </w:rPr>
        <w:t>&lt;/a&gt;</w:t>
      </w:r>
      <w:r>
        <w:t>, make for more</w:t>
      </w:r>
      <w:r>
        <w:rPr>
          <w:rStyle w:val="deletedparamark"/>
        </w:rPr>
        <w:t xml:space="preserve"> </w:t>
      </w:r>
      <w:r>
        <w:t>possibilities.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255" w:name="_Toc395691546"/>
      <w:bookmarkStart w:id="256" w:name="_Toc398970517"/>
      <w:r>
        <w:rPr>
          <w:rStyle w:val="Heading3Text"/>
        </w:rPr>
        <w:t>Lojban names</w:t>
      </w:r>
      <w:bookmarkEnd w:id="255"/>
      <w:bookmarkEnd w:id="256"/>
      <w:r>
        <w:rPr>
          <w:rStyle w:val="htmlcodes"/>
        </w:rPr>
        <w:t>&lt;/h3&gt;</w:t>
      </w:r>
    </w:p>
    <w:p w:rsidR="00B72047" w:rsidRDefault="00B72047">
      <w:pPr>
        <w:rPr>
          <w:rStyle w:val="htmlparacode"/>
        </w:rPr>
      </w:pPr>
      <w:r>
        <w:rPr>
          <w:rStyle w:val="htmlparacode"/>
        </w:rPr>
        <w:t>&lt;p&gt;</w:t>
      </w:r>
    </w:p>
    <w:p w:rsidR="00B72047" w:rsidRDefault="00B72047">
      <w:pPr>
        <w:pStyle w:val="normalparagraph"/>
      </w:pPr>
      <w:r>
        <w:t>Names have been used freely as sumti throughout this chapter without too</w:t>
      </w:r>
      <w:r>
        <w:rPr>
          <w:rStyle w:val="deletedparamark"/>
        </w:rPr>
        <w:t xml:space="preserve"> </w:t>
      </w:r>
      <w:r>
        <w:t>much e</w:t>
      </w:r>
      <w:r>
        <w:t>x</w:t>
      </w:r>
      <w:r>
        <w:softHyphen/>
        <w:t>planation. The time for the explanation has now come.</w:t>
      </w:r>
    </w:p>
    <w:p w:rsidR="00B72047" w:rsidRDefault="00B72047">
      <w:pPr>
        <w:rPr>
          <w:rStyle w:val="htmlparacode"/>
        </w:rPr>
      </w:pPr>
      <w:r>
        <w:rPr>
          <w:rStyle w:val="htmlparacode"/>
        </w:rPr>
        <w:t>&lt;p&gt;</w:t>
      </w:r>
    </w:p>
    <w:p w:rsidR="00B72047" w:rsidRDefault="00B72047">
      <w:pPr>
        <w:pStyle w:val="normalparagraph"/>
      </w:pPr>
      <w:r>
        <w:rPr>
          <w:rStyle w:val="indexentry"/>
        </w:rPr>
        <w:t>&lt;cx "names, two kinds of"&gt;</w:t>
      </w:r>
      <w:r>
        <w:rPr>
          <w:rStyle w:val="indexentry"/>
        </w:rPr>
        <w:fldChar w:fldCharType="begin"/>
      </w:r>
      <w:r>
        <w:instrText>xe "</w:instrText>
      </w:r>
      <w:r>
        <w:rPr>
          <w:rStyle w:val="xeentry"/>
        </w:rPr>
        <w:instrText>names: two kinds of</w:instrText>
      </w:r>
      <w:r>
        <w:instrText>"</w:instrText>
      </w:r>
      <w:r>
        <w:rPr>
          <w:rStyle w:val="indexentry"/>
        </w:rPr>
        <w:fldChar w:fldCharType="end"/>
      </w:r>
      <w:r>
        <w:rPr>
          <w:rStyle w:val="indexentry"/>
        </w:rPr>
        <w:t>&lt;cx "name words, recognition of"&gt;</w:t>
      </w:r>
      <w:r>
        <w:rPr>
          <w:rStyle w:val="indexentry"/>
        </w:rPr>
        <w:fldChar w:fldCharType="begin"/>
      </w:r>
      <w:r>
        <w:instrText>xe "</w:instrText>
      </w:r>
      <w:r>
        <w:rPr>
          <w:rStyle w:val="xeentry"/>
        </w:rPr>
        <w:instrText>name words: recognition of</w:instrText>
      </w:r>
      <w:r>
        <w:instrText>"</w:instrText>
      </w:r>
      <w:r>
        <w:rPr>
          <w:rStyle w:val="indexentry"/>
        </w:rPr>
        <w:fldChar w:fldCharType="end"/>
      </w:r>
      <w:r>
        <w:t>First of all, there are two different kinds of things usually called</w:t>
      </w:r>
      <w:r>
        <w:rPr>
          <w:rStyle w:val="deletedparamark"/>
        </w:rPr>
        <w:t xml:space="preserve"> “</w:t>
      </w:r>
      <w:r>
        <w:t>names” when tal</w:t>
      </w:r>
      <w:r>
        <w:t>k</w:t>
      </w:r>
      <w:r>
        <w:softHyphen/>
        <w:t xml:space="preserve">ing about Lojban. The naming predicates of </w:t>
      </w:r>
      <w:r>
        <w:rPr>
          <w:rStyle w:val="htmlcodes"/>
        </w:rPr>
        <w:t>&lt;a href=#s2&gt;</w:t>
      </w:r>
      <w:r>
        <w:t xml:space="preserve">Section 2 </w:t>
      </w:r>
      <w:r>
        <w:rPr>
          <w:rStyle w:val="htmlcodes"/>
        </w:rPr>
        <w:t>&lt;/a&gt;</w:t>
      </w:r>
      <w:r>
        <w:t>are just ordinary predicates which are being used in a spe</w:t>
      </w:r>
      <w:r>
        <w:softHyphen/>
        <w:t>cial sense.</w:t>
      </w:r>
      <w:r>
        <w:rPr>
          <w:rStyle w:val="deletedparamark"/>
        </w:rPr>
        <w:t xml:space="preserve"> </w:t>
      </w:r>
      <w:r>
        <w:t>In addition, though, there is a class of Lojban words which are used only to</w:t>
      </w:r>
      <w:r>
        <w:rPr>
          <w:rStyle w:val="deletedparamark"/>
        </w:rPr>
        <w:t xml:space="preserve"> </w:t>
      </w:r>
      <w:r>
        <w:t>name things: these can be recognized by the fact that they end in a</w:t>
      </w:r>
      <w:r>
        <w:rPr>
          <w:rStyle w:val="deletedparamark"/>
        </w:rPr>
        <w:t xml:space="preserve"> </w:t>
      </w:r>
      <w:r>
        <w:t>consonant followed by a pause. Some examples:</w:t>
      </w:r>
    </w:p>
    <w:p w:rsidR="00B72047" w:rsidRDefault="00B72047">
      <w:pPr>
        <w:pStyle w:val="examp5colpre"/>
        <w:spacing w:before="0"/>
        <w:rPr>
          <w:rStyle w:val="htmlparacode"/>
        </w:rPr>
      </w:pPr>
      <w:r>
        <w:rPr>
          <w:rStyle w:val="htmlparacode"/>
        </w:rPr>
        <w:t>&lt;p&gt;</w:t>
      </w:r>
    </w:p>
    <w:p w:rsidR="00B72047" w:rsidRDefault="00B72047">
      <w:pPr>
        <w:pStyle w:val="examp5colpre"/>
      </w:pPr>
      <w:r>
        <w:rPr>
          <w:rStyle w:val="htmlcodes"/>
        </w:rPr>
        <w:t>&lt;pre&gt;&lt;a name=e12d1&gt;</w:t>
      </w:r>
      <w:r>
        <w:t>12.1)</w:t>
      </w:r>
      <w:r>
        <w:tab/>
        <w:t>djan.</w:t>
      </w:r>
      <w:r>
        <w:tab/>
        <w:t>meris.</w:t>
      </w:r>
      <w:r>
        <w:tab/>
        <w:t>djein.</w:t>
      </w:r>
      <w:r>
        <w:tab/>
        <w:t>.alis.</w:t>
      </w:r>
    </w:p>
    <w:p w:rsidR="00B72047" w:rsidRDefault="00B72047">
      <w:pPr>
        <w:pStyle w:val="examp5col"/>
      </w:pPr>
      <w:r>
        <w:tab/>
        <w:t>John.</w:t>
      </w:r>
      <w:r>
        <w:tab/>
        <w:t>Mary.</w:t>
      </w:r>
      <w:r>
        <w:tab/>
        <w:t>Jane.</w:t>
      </w:r>
      <w:r>
        <w:tab/>
        <w:t>Alice.</w:t>
      </w:r>
    </w:p>
    <w:p w:rsidR="00B72047" w:rsidRDefault="00B72047">
      <w:pPr>
        <w:pStyle w:val="resumedafterexample"/>
      </w:pPr>
      <w:r>
        <w:rPr>
          <w:rStyle w:val="htmlcodes"/>
        </w:rPr>
        <w:t>&lt;/pre&gt;</w:t>
      </w:r>
      <w:r>
        <w:t>(Note that “.alis.” begins as well as ends with a pause, because all Lojban</w:t>
      </w:r>
      <w:r>
        <w:rPr>
          <w:rStyle w:val="deletedparamark"/>
        </w:rPr>
        <w:t xml:space="preserve"> </w:t>
      </w:r>
      <w:r>
        <w:t>words begin</w:t>
      </w:r>
      <w:r>
        <w:softHyphen/>
        <w:t xml:space="preserve">ning with a vowel must be preceded by a pause. See </w:t>
      </w:r>
      <w:r>
        <w:rPr>
          <w:rStyle w:val="htmlcodes"/>
        </w:rPr>
        <w:t>&lt;a href=chap4.html&gt;</w:t>
      </w:r>
      <w:r>
        <w:t xml:space="preserve">Chapter 4 </w:t>
      </w:r>
      <w:r>
        <w:rPr>
          <w:rStyle w:val="htmlcodes"/>
        </w:rPr>
        <w:t>&lt;/a&gt;</w:t>
      </w:r>
      <w:r>
        <w:t>for more information.)</w:t>
      </w:r>
    </w:p>
    <w:p w:rsidR="00B72047" w:rsidRDefault="00B72047">
      <w:pPr>
        <w:rPr>
          <w:rStyle w:val="htmlparacode"/>
        </w:rPr>
      </w:pPr>
      <w:r>
        <w:rPr>
          <w:rStyle w:val="htmlparacode"/>
        </w:rPr>
        <w:t>&lt;p&gt;</w:t>
      </w:r>
    </w:p>
    <w:p w:rsidR="00B72047" w:rsidRDefault="00B72047">
      <w:pPr>
        <w:pStyle w:val="normalparagraph"/>
      </w:pPr>
      <w:r>
        <w:rPr>
          <w:rStyle w:val="indexentry"/>
        </w:rPr>
        <w:t>&lt;cx "names, uses of"&gt;</w:t>
      </w:r>
      <w:r>
        <w:rPr>
          <w:rStyle w:val="indexentry"/>
        </w:rPr>
        <w:fldChar w:fldCharType="begin"/>
      </w:r>
      <w:r>
        <w:instrText>xe "</w:instrText>
      </w:r>
      <w:r>
        <w:rPr>
          <w:rStyle w:val="xeentry"/>
        </w:rPr>
        <w:instrText>names: uses of</w:instrText>
      </w:r>
      <w:r>
        <w:instrText>"</w:instrText>
      </w:r>
      <w:r>
        <w:rPr>
          <w:rStyle w:val="indexentry"/>
        </w:rPr>
        <w:fldChar w:fldCharType="end"/>
      </w:r>
      <w:r>
        <w:rPr>
          <w:rStyle w:val="indexentry"/>
        </w:rPr>
        <w:t>&lt;cx "names, in vocative phrase"&gt;</w:t>
      </w:r>
      <w:r>
        <w:rPr>
          <w:rStyle w:val="indexentry"/>
        </w:rPr>
        <w:fldChar w:fldCharType="begin"/>
      </w:r>
      <w:r>
        <w:instrText>xe "</w:instrText>
      </w:r>
      <w:r>
        <w:rPr>
          <w:rStyle w:val="xeentry"/>
        </w:rPr>
        <w:instrText>names: in vocative phrase</w:instrText>
      </w:r>
      <w:r>
        <w:instrText>"</w:instrText>
      </w:r>
      <w:r>
        <w:rPr>
          <w:rStyle w:val="indexentry"/>
        </w:rPr>
        <w:fldChar w:fldCharType="end"/>
      </w:r>
      <w:r>
        <w:rPr>
          <w:rStyle w:val="indexentry"/>
        </w:rPr>
        <w:t>&lt;cx "names, with LA descriptor"&gt;</w:t>
      </w:r>
      <w:r>
        <w:rPr>
          <w:rStyle w:val="indexentry"/>
        </w:rPr>
        <w:fldChar w:fldCharType="begin"/>
      </w:r>
      <w:r>
        <w:instrText>xe "</w:instrText>
      </w:r>
      <w:r>
        <w:rPr>
          <w:rStyle w:val="xeentry"/>
        </w:rPr>
        <w:instrText>names: with LA descriptor</w:instrText>
      </w:r>
      <w:r>
        <w:instrText>"</w:instrText>
      </w:r>
      <w:r>
        <w:rPr>
          <w:rStyle w:val="indexentry"/>
        </w:rPr>
        <w:fldChar w:fldCharType="end"/>
      </w:r>
      <w:r>
        <w:t>Names of this kind have two basic uses in Lojban: when used in a vocative</w:t>
      </w:r>
      <w:r>
        <w:rPr>
          <w:rStyle w:val="deletedparamark"/>
        </w:rPr>
        <w:t xml:space="preserve"> </w:t>
      </w:r>
      <w:r>
        <w:t xml:space="preserve">phrase (see </w:t>
      </w:r>
      <w:r>
        <w:rPr>
          <w:rStyle w:val="htmlcodes"/>
        </w:rPr>
        <w:t>&lt;a href=#s11&gt;</w:t>
      </w:r>
      <w:r>
        <w:t>Section 11</w:t>
      </w:r>
      <w:r>
        <w:rPr>
          <w:rStyle w:val="htmlcodes"/>
        </w:rPr>
        <w:t>&lt;/a&gt;</w:t>
      </w:r>
      <w:r>
        <w:t>) they indicate who the listener is or should be.</w:t>
      </w:r>
      <w:r>
        <w:rPr>
          <w:rStyle w:val="deletedparamark"/>
        </w:rPr>
        <w:t xml:space="preserve"> </w:t>
      </w:r>
      <w:r>
        <w:t>When used with a d</w:t>
      </w:r>
      <w:r>
        <w:t>e</w:t>
      </w:r>
      <w:r>
        <w:softHyphen/>
        <w:t>scriptor of selma'o LA, namely “la”, “lai”, or “la'i”,</w:t>
      </w:r>
      <w:r>
        <w:rPr>
          <w:rStyle w:val="deletedparamark"/>
        </w:rPr>
        <w:t xml:space="preserve"> </w:t>
      </w:r>
      <w:r>
        <w:t>they form sumti which refer to the persons or things known by the name.</w:t>
      </w:r>
    </w:p>
    <w:p w:rsidR="00B72047" w:rsidRDefault="00B72047">
      <w:pPr>
        <w:rPr>
          <w:rStyle w:val="htmlparacode"/>
        </w:rPr>
      </w:pPr>
      <w:r>
        <w:rPr>
          <w:rStyle w:val="htmlparacode"/>
        </w:rPr>
        <w:t>&lt;p&gt;</w:t>
      </w:r>
    </w:p>
    <w:p w:rsidR="00B72047" w:rsidRDefault="00B72047">
      <w:pPr>
        <w:pStyle w:val="examplescaledpre"/>
      </w:pPr>
      <w:r>
        <w:rPr>
          <w:rStyle w:val="indexentry"/>
        </w:rPr>
        <w:t>&lt;lx "la"&gt;</w:t>
      </w:r>
      <w:r>
        <w:rPr>
          <w:rStyle w:val="indexentry"/>
        </w:rPr>
        <w:fldChar w:fldCharType="begin"/>
      </w:r>
      <w:r>
        <w:instrText>xe "</w:instrText>
      </w:r>
      <w:r>
        <w:rPr>
          <w:rStyle w:val="xeentry"/>
        </w:rPr>
        <w:instrText>la</w:instrText>
      </w:r>
      <w:r>
        <w:instrText>"</w:instrText>
      </w:r>
      <w:r>
        <w:rPr>
          <w:rStyle w:val="indexentry"/>
        </w:rPr>
        <w:fldChar w:fldCharType="end"/>
      </w:r>
      <w:r>
        <w:rPr>
          <w:rStyle w:val="htmlcodes"/>
        </w:rPr>
        <w:t>&lt;pre&gt;&lt;a name=e12d2&gt;</w:t>
      </w:r>
      <w:r>
        <w:t>12.2)</w:t>
      </w:r>
      <w:r>
        <w:tab/>
        <w:t>la djonz. klama le zarci</w:t>
      </w:r>
    </w:p>
    <w:p w:rsidR="00B72047" w:rsidRDefault="00B72047">
      <w:pPr>
        <w:pStyle w:val="examplescaled"/>
      </w:pPr>
      <w:r>
        <w:tab/>
        <w:t>Jones goes to-the store.</w:t>
      </w:r>
    </w:p>
    <w:p w:rsidR="00B72047" w:rsidRDefault="00B72047">
      <w:pPr>
        <w:pStyle w:val="examplescaled"/>
      </w:pPr>
      <w:r>
        <w:tab/>
        <w:t>The Joneses go to-the store.</w:t>
      </w:r>
    </w:p>
    <w:p w:rsidR="00B72047" w:rsidRDefault="00B72047">
      <w:pPr>
        <w:pStyle w:val="examplescaledpre"/>
      </w:pPr>
      <w:r>
        <w:rPr>
          <w:rStyle w:val="htmlcodes"/>
        </w:rPr>
        <w:t>&lt;/pre&gt;</w:t>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htmlcodes"/>
        </w:rPr>
        <w:t>&lt;pre&gt;&lt;a name=e12d3&gt;</w:t>
      </w:r>
      <w:r>
        <w:t>12.3)</w:t>
      </w:r>
      <w:r>
        <w:tab/>
        <w:t>lai djonz. klama le zarci</w:t>
      </w:r>
    </w:p>
    <w:p w:rsidR="00B72047" w:rsidRDefault="00B72047">
      <w:pPr>
        <w:pStyle w:val="examplescaled"/>
      </w:pPr>
      <w:r>
        <w:tab/>
        <w:t>The-mass-of Joneses go to-the store.</w:t>
      </w:r>
    </w:p>
    <w:p w:rsidR="00B72047" w:rsidRDefault="00B72047">
      <w:pPr>
        <w:pStyle w:val="examplescaled"/>
      </w:pPr>
      <w:r>
        <w:tab/>
        <w:t>The Joneses go to the store.</w:t>
      </w:r>
    </w:p>
    <w:p w:rsidR="00B72047" w:rsidRDefault="00B72047">
      <w:pPr>
        <w:pStyle w:val="resumedafterexample"/>
      </w:pPr>
      <w:r>
        <w:rPr>
          <w:rStyle w:val="htmlcodes"/>
        </w:rPr>
        <w:t>&lt;/pre&gt;&lt;p&gt;</w:t>
      </w:r>
      <w:r>
        <w:t xml:space="preserve">In </w:t>
      </w:r>
      <w:r>
        <w:rPr>
          <w:rStyle w:val="htmlcodes"/>
        </w:rPr>
        <w:t>&lt;a href=#e12d2&gt;</w:t>
      </w:r>
      <w:r>
        <w:t>Example 12.2</w:t>
      </w:r>
      <w:r>
        <w:rPr>
          <w:rStyle w:val="htmlcodes"/>
        </w:rPr>
        <w:t>&lt;/a&gt;</w:t>
      </w:r>
      <w:r>
        <w:t>, the significance is that all the persons (perhaps only one)</w:t>
      </w:r>
      <w:r>
        <w:rPr>
          <w:rStyle w:val="deletedparamark"/>
        </w:rPr>
        <w:t xml:space="preserve"> </w:t>
      </w:r>
      <w:r>
        <w:t>I mean to refer to by the name “djonz.” are going to the store. In</w:t>
      </w:r>
      <w:r>
        <w:rPr>
          <w:rStyle w:val="deletedparamark"/>
        </w:rPr>
        <w:t xml:space="preserve"> </w:t>
      </w:r>
      <w:r>
        <w:rPr>
          <w:rStyle w:val="htmlcodes"/>
        </w:rPr>
        <w:t>&lt;a href=#e12d3&gt;</w:t>
      </w:r>
      <w:r>
        <w:t>Example 12.3</w:t>
      </w:r>
      <w:r>
        <w:rPr>
          <w:rStyle w:val="htmlcodes"/>
        </w:rPr>
        <w:t>&lt;/a&gt;</w:t>
      </w:r>
      <w:r>
        <w:t>, the Joneses are mass</w:t>
      </w:r>
      <w:r>
        <w:t>i</w:t>
      </w:r>
      <w:r>
        <w:softHyphen/>
        <w:t>fied, and only some part of them needs to</w:t>
      </w:r>
      <w:r>
        <w:rPr>
          <w:rStyle w:val="deletedparamark"/>
        </w:rPr>
        <w:t xml:space="preserve"> </w:t>
      </w:r>
      <w:r>
        <w:t>be going. Of course, by “djonz.” I can mean whomever I want: that person need</w:t>
      </w:r>
      <w:r>
        <w:rPr>
          <w:rStyle w:val="deletedparamark"/>
        </w:rPr>
        <w:t xml:space="preserve"> </w:t>
      </w:r>
      <w:r>
        <w:t>not use the name “djonz.” at all.</w:t>
      </w:r>
    </w:p>
    <w:p w:rsidR="00B72047" w:rsidRDefault="00B72047">
      <w:pPr>
        <w:rPr>
          <w:rStyle w:val="htmlparacode"/>
        </w:rPr>
      </w:pPr>
      <w:r>
        <w:rPr>
          <w:rStyle w:val="htmlparacode"/>
        </w:rPr>
        <w:t>&lt;p&gt;</w:t>
      </w:r>
    </w:p>
    <w:p w:rsidR="00B72047" w:rsidRDefault="00B72047">
      <w:pPr>
        <w:pStyle w:val="normalparagraph"/>
      </w:pPr>
      <w:r>
        <w:rPr>
          <w:rStyle w:val="indexentry"/>
        </w:rPr>
        <w:t>&lt;cx "LE, contrasted with LA in use of name-words"&gt;</w:t>
      </w:r>
      <w:r>
        <w:rPr>
          <w:rStyle w:val="indexentry"/>
        </w:rPr>
        <w:fldChar w:fldCharType="begin"/>
      </w:r>
      <w:r>
        <w:instrText>xe "</w:instrText>
      </w:r>
      <w:r>
        <w:rPr>
          <w:rStyle w:val="xeentry"/>
        </w:rPr>
        <w:instrText>LE selma’o: contrasted with LA in use of name-words</w:instrText>
      </w:r>
      <w:r>
        <w:instrText>"</w:instrText>
      </w:r>
      <w:r>
        <w:rPr>
          <w:rStyle w:val="indexentry"/>
        </w:rPr>
        <w:fldChar w:fldCharType="end"/>
      </w:r>
      <w:r>
        <w:rPr>
          <w:rStyle w:val="indexentry"/>
        </w:rPr>
        <w:t>&lt;cx "LA, contrasted with LE in use of name-words"&gt;</w:t>
      </w:r>
      <w:r>
        <w:rPr>
          <w:rStyle w:val="indexentry"/>
        </w:rPr>
        <w:fldChar w:fldCharType="begin"/>
      </w:r>
      <w:r>
        <w:instrText>xe "</w:instrText>
      </w:r>
      <w:r>
        <w:rPr>
          <w:rStyle w:val="xeentry"/>
        </w:rPr>
        <w:instrText>LA selma’o: contrasted with LE in use of name-words</w:instrText>
      </w:r>
      <w:r>
        <w:instrText>"</w:instrText>
      </w:r>
      <w:r>
        <w:rPr>
          <w:rStyle w:val="indexentry"/>
        </w:rPr>
        <w:fldChar w:fldCharType="end"/>
      </w:r>
      <w:r>
        <w:t xml:space="preserve">The sumti in </w:t>
      </w:r>
      <w:r>
        <w:rPr>
          <w:rStyle w:val="htmlcodes"/>
        </w:rPr>
        <w:t>&lt;a href=#e12d2&gt;</w:t>
      </w:r>
      <w:r>
        <w:t xml:space="preserve">Example 12.2 </w:t>
      </w:r>
      <w:r>
        <w:rPr>
          <w:rStyle w:val="htmlcodes"/>
        </w:rPr>
        <w:t>&lt;/a&gt;</w:t>
      </w:r>
      <w:r>
        <w:t xml:space="preserve">and </w:t>
      </w:r>
      <w:r>
        <w:rPr>
          <w:rStyle w:val="htmlcodes"/>
        </w:rPr>
        <w:t>&lt;a href=#e12d3&gt;</w:t>
      </w:r>
      <w:r>
        <w:t xml:space="preserve">Example 12.3 </w:t>
      </w:r>
      <w:r>
        <w:rPr>
          <w:rStyle w:val="htmlcodes"/>
        </w:rPr>
        <w:t>&lt;/a&gt;</w:t>
      </w:r>
      <w:r>
        <w:t>operate exactly like the similar</w:t>
      </w:r>
      <w:r>
        <w:rPr>
          <w:rStyle w:val="deletedparamark"/>
        </w:rPr>
        <w:t xml:space="preserve"> </w:t>
      </w:r>
      <w:r>
        <w:t xml:space="preserve">uses of “la” and “lai” in </w:t>
      </w:r>
      <w:r>
        <w:rPr>
          <w:rStyle w:val="htmlcodes"/>
        </w:rPr>
        <w:t>&lt;a href=#e2d{5}&gt;</w:t>
      </w:r>
      <w:r>
        <w:t xml:space="preserve">Examples 2.5 </w:t>
      </w:r>
      <w:r>
        <w:rPr>
          <w:rStyle w:val="htmlcodes"/>
        </w:rPr>
        <w:t>&lt;/a&gt;</w:t>
      </w:r>
      <w:r>
        <w:t xml:space="preserve">and </w:t>
      </w:r>
      <w:r>
        <w:rPr>
          <w:rStyle w:val="htmlcodes"/>
        </w:rPr>
        <w:t>&lt;a href=#e3d6&gt;</w:t>
      </w:r>
      <w:r>
        <w:t xml:space="preserve">3.6 </w:t>
      </w:r>
      <w:r>
        <w:rPr>
          <w:rStyle w:val="htmlcodes"/>
        </w:rPr>
        <w:t>&lt;/a&gt;</w:t>
      </w:r>
      <w:r>
        <w:t>respec</w:t>
      </w:r>
      <w:r>
        <w:softHyphen/>
        <w:t>tively. The only</w:t>
      </w:r>
      <w:r>
        <w:rPr>
          <w:rStyle w:val="deletedparamark"/>
        </w:rPr>
        <w:t xml:space="preserve"> </w:t>
      </w:r>
      <w:r>
        <w:t>difference is that these d</w:t>
      </w:r>
      <w:r>
        <w:t>e</w:t>
      </w:r>
      <w:r>
        <w:softHyphen/>
        <w:t>scriptors are followed by Lojban name-words.</w:t>
      </w:r>
      <w:r>
        <w:rPr>
          <w:rStyle w:val="deletedparamark"/>
        </w:rPr>
        <w:t xml:space="preserve"> </w:t>
      </w:r>
      <w:r>
        <w:t>And in fact, the only difference between de</w:t>
      </w:r>
      <w:r>
        <w:softHyphen/>
        <w:t>scriptors of selma'o LA (these</w:t>
      </w:r>
      <w:r>
        <w:rPr>
          <w:rStyle w:val="deletedparamark"/>
        </w:rPr>
        <w:t xml:space="preserve"> </w:t>
      </w:r>
      <w:r>
        <w:t>three) and of selma'o LE (all the other de</w:t>
      </w:r>
      <w:r>
        <w:softHyphen/>
        <w:t>scriptors) is that the former can</w:t>
      </w:r>
      <w:r>
        <w:rPr>
          <w:rStyle w:val="deletedparamark"/>
        </w:rPr>
        <w:t xml:space="preserve"> </w:t>
      </w:r>
      <w:r>
        <w:t>be followed by name-words, whereas the latter cannot.</w:t>
      </w:r>
    </w:p>
    <w:p w:rsidR="00B72047" w:rsidRDefault="00B72047">
      <w:pPr>
        <w:rPr>
          <w:rStyle w:val="htmlparacode"/>
        </w:rPr>
      </w:pPr>
      <w:r>
        <w:rPr>
          <w:rStyle w:val="htmlparacode"/>
        </w:rPr>
        <w:t>&lt;p&gt;</w:t>
      </w:r>
    </w:p>
    <w:p w:rsidR="00B72047" w:rsidRDefault="00B72047">
      <w:pPr>
        <w:pStyle w:val="normalparagraph"/>
      </w:pPr>
      <w:r>
        <w:rPr>
          <w:rStyle w:val="indexentry"/>
        </w:rPr>
        <w:t>&lt;cx "name-words, limitations on"&gt;</w:t>
      </w:r>
      <w:r>
        <w:rPr>
          <w:rStyle w:val="indexentry"/>
        </w:rPr>
        <w:fldChar w:fldCharType="begin"/>
      </w:r>
      <w:r>
        <w:instrText>xe "</w:instrText>
      </w:r>
      <w:r>
        <w:rPr>
          <w:rStyle w:val="xeentry"/>
        </w:rPr>
        <w:instrText>name-words: limitations on</w:instrText>
      </w:r>
      <w:r>
        <w:instrText>"</w:instrText>
      </w:r>
      <w:r>
        <w:rPr>
          <w:rStyle w:val="indexentry"/>
        </w:rPr>
        <w:fldChar w:fldCharType="end"/>
      </w:r>
      <w:r>
        <w:rPr>
          <w:rStyle w:val="indexentry"/>
        </w:rPr>
        <w:t>&lt;cx "name-words, pause requirements before"&gt;</w:t>
      </w:r>
      <w:r>
        <w:rPr>
          <w:rStyle w:val="indexentry"/>
        </w:rPr>
        <w:fldChar w:fldCharType="begin"/>
      </w:r>
      <w:r>
        <w:instrText>xe "</w:instrText>
      </w:r>
      <w:r>
        <w:rPr>
          <w:rStyle w:val="xeentry"/>
        </w:rPr>
        <w:instrText>name-words: pause requirements before</w:instrText>
      </w:r>
      <w:r>
        <w:instrText>"</w:instrText>
      </w:r>
      <w:r>
        <w:rPr>
          <w:rStyle w:val="indexentry"/>
        </w:rPr>
        <w:fldChar w:fldCharType="end"/>
      </w:r>
      <w:r>
        <w:rPr>
          <w:rStyle w:val="indexentry"/>
        </w:rPr>
        <w:t>&lt;cx "LA, effect on necessity for pause before name-word"&gt;</w:t>
      </w:r>
      <w:r>
        <w:rPr>
          <w:rStyle w:val="indexentry"/>
        </w:rPr>
        <w:fldChar w:fldCharType="begin"/>
      </w:r>
      <w:r>
        <w:instrText>xe "</w:instrText>
      </w:r>
      <w:r>
        <w:rPr>
          <w:rStyle w:val="xeentry"/>
        </w:rPr>
        <w:instrText>LA selma’o: effect on necessity for pause before name-word</w:instrText>
      </w:r>
      <w:r>
        <w:instrText>"</w:instrText>
      </w:r>
      <w:r>
        <w:rPr>
          <w:rStyle w:val="indexentry"/>
        </w:rPr>
        <w:fldChar w:fldCharType="end"/>
      </w:r>
      <w:r>
        <w:rPr>
          <w:rStyle w:val="indexentry"/>
        </w:rPr>
        <w:t>&lt;cx "doi, effect on necessity for pause before name-word"&gt;</w:t>
      </w:r>
      <w:r>
        <w:rPr>
          <w:rStyle w:val="indexentry"/>
        </w:rPr>
        <w:fldChar w:fldCharType="begin"/>
      </w:r>
      <w:r>
        <w:instrText>xe "</w:instrText>
      </w:r>
      <w:r>
        <w:rPr>
          <w:rStyle w:val="xeentry"/>
        </w:rPr>
        <w:instrText>doi: effect on necessity for pause before name-word</w:instrText>
      </w:r>
      <w:r>
        <w:instrText>"</w:instrText>
      </w:r>
      <w:r>
        <w:rPr>
          <w:rStyle w:val="indexentry"/>
        </w:rPr>
        <w:fldChar w:fldCharType="end"/>
      </w:r>
      <w:r>
        <w:rPr>
          <w:rStyle w:val="indexentry"/>
        </w:rPr>
        <w:t>&lt;lx "doi"&gt;</w:t>
      </w:r>
      <w:r>
        <w:rPr>
          <w:rStyle w:val="indexentry"/>
        </w:rPr>
        <w:fldChar w:fldCharType="begin"/>
      </w:r>
      <w:r>
        <w:instrText>xe "</w:instrText>
      </w:r>
      <w:r>
        <w:rPr>
          <w:rStyle w:val="xeentry"/>
        </w:rPr>
        <w:instrText>doi</w:instrText>
      </w:r>
      <w:r>
        <w:instrText>"</w:instrText>
      </w:r>
      <w:r>
        <w:rPr>
          <w:rStyle w:val="indexentry"/>
        </w:rPr>
        <w:fldChar w:fldCharType="end"/>
      </w:r>
      <w:r>
        <w:rPr>
          <w:rStyle w:val="indexentry"/>
        </w:rPr>
        <w:t>&lt;lx "LA"&gt;</w:t>
      </w:r>
      <w:r>
        <w:rPr>
          <w:rStyle w:val="indexentry"/>
        </w:rPr>
        <w:fldChar w:fldCharType="begin"/>
      </w:r>
      <w:r>
        <w:instrText>xe "</w:instrText>
      </w:r>
      <w:r>
        <w:rPr>
          <w:rStyle w:val="xeentry"/>
        </w:rPr>
        <w:instrText>LA selma’o</w:instrText>
      </w:r>
      <w:r>
        <w:instrText>"</w:instrText>
      </w:r>
      <w:r>
        <w:rPr>
          <w:rStyle w:val="indexentry"/>
        </w:rPr>
        <w:fldChar w:fldCharType="end"/>
      </w:r>
      <w:r>
        <w:rPr>
          <w:rStyle w:val="indexentry"/>
        </w:rPr>
        <w:t>&lt;lx "la"&gt;</w:t>
      </w:r>
      <w:r>
        <w:rPr>
          <w:rStyle w:val="indexentry"/>
        </w:rPr>
        <w:fldChar w:fldCharType="begin"/>
      </w:r>
      <w:r>
        <w:instrText>xe "</w:instrText>
      </w:r>
      <w:r>
        <w:rPr>
          <w:rStyle w:val="xeentry"/>
        </w:rPr>
        <w:instrText>la</w:instrText>
      </w:r>
      <w:r>
        <w:instrText>"</w:instrText>
      </w:r>
      <w:r>
        <w:rPr>
          <w:rStyle w:val="indexentry"/>
        </w:rPr>
        <w:fldChar w:fldCharType="end"/>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rPr>
          <w:rStyle w:val="indexentry"/>
        </w:rPr>
        <w:t>&lt;lx "la'i"&gt;</w:t>
      </w:r>
      <w:r>
        <w:rPr>
          <w:rStyle w:val="indexentry"/>
        </w:rPr>
        <w:fldChar w:fldCharType="begin"/>
      </w:r>
      <w:r>
        <w:instrText>xe "</w:instrText>
      </w:r>
      <w:r>
        <w:rPr>
          <w:rStyle w:val="xeentry"/>
        </w:rPr>
        <w:instrText>la'i</w:instrText>
      </w:r>
      <w:r>
        <w:instrText>"</w:instrText>
      </w:r>
      <w:r>
        <w:rPr>
          <w:rStyle w:val="indexentry"/>
        </w:rPr>
        <w:fldChar w:fldCharType="end"/>
      </w:r>
      <w:r>
        <w:t>There are certain limitations on the form of name-words in Lojban.</w:t>
      </w:r>
      <w:r>
        <w:rPr>
          <w:rStyle w:val="deletedparamark"/>
        </w:rPr>
        <w:t xml:space="preserve"> </w:t>
      </w:r>
      <w:r>
        <w:t>In particu</w:t>
      </w:r>
      <w:r>
        <w:softHyphen/>
        <w:t>lar, they cannot contain the letter-sequences (or sound-sequences)</w:t>
      </w:r>
      <w:r>
        <w:rPr>
          <w:rStyle w:val="deletedparamark"/>
        </w:rPr>
        <w:t xml:space="preserve"> “</w:t>
      </w:r>
      <w:r>
        <w:t>la”, “lai”, or “doi” unless a consonant immediately precedes within the name.</w:t>
      </w:r>
      <w:r>
        <w:rPr>
          <w:rStyle w:val="deletedparamark"/>
        </w:rPr>
        <w:t xml:space="preserve"> </w:t>
      </w:r>
      <w:r>
        <w:t>Reciprocally, every name not preceded by “la”, “lai”, “la'i”, or “doi” must</w:t>
      </w:r>
      <w:r>
        <w:rPr>
          <w:rStyle w:val="deletedparamark"/>
        </w:rPr>
        <w:t xml:space="preserve"> </w:t>
      </w:r>
      <w:r>
        <w:t>be preceded by a pause instead: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coi .djan.</w:t>
      </w:r>
    </w:p>
    <w:p w:rsidR="00B72047" w:rsidRDefault="00B72047">
      <w:pPr>
        <w:pStyle w:val="examplescaled"/>
      </w:pPr>
      <w:r>
        <w:tab/>
        <w:t>Hello, John.</w:t>
      </w:r>
    </w:p>
    <w:p w:rsidR="00B72047" w:rsidRDefault="00B72047">
      <w:pPr>
        <w:pStyle w:val="examplescaledpre"/>
      </w:pPr>
      <w:r>
        <w:rPr>
          <w:rStyle w:val="htmlcodes"/>
        </w:rPr>
        <w:t>&lt;a name=e12d5&gt;</w:t>
      </w:r>
      <w:r>
        <w:t>12.5)</w:t>
      </w:r>
      <w:r>
        <w:tab/>
        <w:t>zo .djan. cmene mi</w:t>
      </w:r>
    </w:p>
    <w:p w:rsidR="00B72047" w:rsidRDefault="00B72047">
      <w:pPr>
        <w:pStyle w:val="examplescaled"/>
      </w:pPr>
      <w:r>
        <w:tab/>
        <w:t>The-word “John” is-the-name-of me.</w:t>
      </w:r>
    </w:p>
    <w:p w:rsidR="00B72047" w:rsidRDefault="00B72047">
      <w:pPr>
        <w:pStyle w:val="examplescaled"/>
      </w:pPr>
      <w:r>
        <w:tab/>
        <w:t>My name is John.</w:t>
      </w:r>
    </w:p>
    <w:p w:rsidR="00B72047" w:rsidRDefault="00B72047">
      <w:pPr>
        <w:pStyle w:val="resumedafterexample"/>
      </w:pPr>
      <w:r>
        <w:rPr>
          <w:rStyle w:val="htmlcodes"/>
        </w:rPr>
        <w:t>&lt;/pre&gt;&lt;p&gt;</w:t>
      </w:r>
      <w:r>
        <w:t xml:space="preserve">In </w:t>
      </w:r>
      <w:r>
        <w:rPr>
          <w:rStyle w:val="htmlcodes"/>
        </w:rPr>
        <w:t>&lt;a href=#e12d4&gt;</w:t>
      </w:r>
      <w:r>
        <w:t xml:space="preserve">Example 12.4 </w:t>
      </w:r>
      <w:r>
        <w:rPr>
          <w:rStyle w:val="htmlcodes"/>
        </w:rPr>
        <w:t>&lt;/a&gt;</w:t>
      </w:r>
      <w:r>
        <w:t xml:space="preserve">and </w:t>
      </w:r>
      <w:r>
        <w:rPr>
          <w:rStyle w:val="htmlcodes"/>
        </w:rPr>
        <w:t>&lt;a href=#e12d5&gt;</w:t>
      </w:r>
      <w:r>
        <w:t>Example 12.5</w:t>
      </w:r>
      <w:r>
        <w:rPr>
          <w:rStyle w:val="htmlcodes"/>
        </w:rPr>
        <w:t>&lt;/a&gt;</w:t>
      </w:r>
      <w:r>
        <w:t>, “.djan.” appears with a pause before it as</w:t>
      </w:r>
      <w:r>
        <w:rPr>
          <w:rStyle w:val="deletedparamark"/>
        </w:rPr>
        <w:t xml:space="preserve"> </w:t>
      </w:r>
      <w:r>
        <w:t>well as af</w:t>
      </w:r>
      <w:r>
        <w:softHyphen/>
        <w:t>ter it, because the preceding word is not one of the four special</w:t>
      </w:r>
      <w:r>
        <w:rPr>
          <w:rStyle w:val="deletedparamark"/>
        </w:rPr>
        <w:t xml:space="preserve"> </w:t>
      </w:r>
      <w:r>
        <w:t>cases. These rules force names to always be sepa</w:t>
      </w:r>
      <w:r>
        <w:softHyphen/>
        <w:t>rable from the general</w:t>
      </w:r>
      <w:r>
        <w:rPr>
          <w:rStyle w:val="deletedparamark"/>
        </w:rPr>
        <w:t xml:space="preserve"> </w:t>
      </w:r>
      <w:r>
        <w:t>word-stream.</w:t>
      </w:r>
    </w:p>
    <w:p w:rsidR="00B72047" w:rsidRDefault="00B72047">
      <w:pPr>
        <w:rPr>
          <w:rStyle w:val="htmlparacode"/>
        </w:rPr>
      </w:pPr>
      <w:r>
        <w:rPr>
          <w:rStyle w:val="htmlparacode"/>
        </w:rPr>
        <w:t>&lt;p&gt;</w:t>
      </w:r>
    </w:p>
    <w:p w:rsidR="00B72047" w:rsidRDefault="00B72047">
      <w:pPr>
        <w:pStyle w:val="normalparagraph"/>
      </w:pPr>
      <w:r>
        <w:rPr>
          <w:rStyle w:val="indexentry"/>
        </w:rPr>
        <w:t>&lt;cx "names, multiple"&gt;</w:t>
      </w:r>
      <w:r>
        <w:rPr>
          <w:rStyle w:val="indexentry"/>
        </w:rPr>
        <w:fldChar w:fldCharType="begin"/>
      </w:r>
      <w:r>
        <w:instrText>xe "</w:instrText>
      </w:r>
      <w:r>
        <w:rPr>
          <w:rStyle w:val="xeentry"/>
        </w:rPr>
        <w:instrText>names: multiple</w:instrText>
      </w:r>
      <w:r>
        <w:instrText>"</w:instrText>
      </w:r>
      <w:r>
        <w:rPr>
          <w:rStyle w:val="indexentry"/>
        </w:rPr>
        <w:fldChar w:fldCharType="end"/>
      </w:r>
      <w:r>
        <w:t>Unless some other rule prevents it (such as the rule that “zo” is always</w:t>
      </w:r>
      <w:r>
        <w:rPr>
          <w:rStyle w:val="deletedparamark"/>
        </w:rPr>
        <w:t xml:space="preserve"> </w:t>
      </w:r>
      <w:r>
        <w:t>fol</w:t>
      </w:r>
      <w:r>
        <w:softHyphen/>
        <w:t>lowed by a single word, which is quoted), multiple names may appear</w:t>
      </w:r>
      <w:r>
        <w:rPr>
          <w:rStyle w:val="deletedparamark"/>
        </w:rPr>
        <w:t xml:space="preserve"> </w:t>
      </w:r>
      <w:r>
        <w:t>wherever one name is permi</w:t>
      </w:r>
      <w:r>
        <w:t>t</w:t>
      </w:r>
      <w:r>
        <w:softHyphen/>
        <w:t>ted, each with its terminat</w:t>
      </w:r>
      <w:r>
        <w:softHyphen/>
        <w:t>ing pause:</w:t>
      </w:r>
    </w:p>
    <w:p w:rsidR="00B72047" w:rsidRDefault="00B72047">
      <w:pPr>
        <w:rPr>
          <w:rStyle w:val="htmlparacode"/>
        </w:rPr>
      </w:pPr>
      <w:r>
        <w:rPr>
          <w:rStyle w:val="htmlparacode"/>
        </w:rPr>
        <w:t>&lt;p&gt;</w:t>
      </w:r>
    </w:p>
    <w:p w:rsidR="00B72047" w:rsidRDefault="00B72047">
      <w:pPr>
        <w:pStyle w:val="examplescaledpre"/>
      </w:pPr>
      <w:r>
        <w:rPr>
          <w:rStyle w:val="indexentry"/>
        </w:rPr>
        <w:t>&lt;ex "Newport News"&gt;</w:t>
      </w:r>
      <w:r>
        <w:rPr>
          <w:rStyle w:val="indexentry"/>
        </w:rPr>
        <w:fldChar w:fldCharType="begin"/>
      </w:r>
      <w:r>
        <w:instrText>xe "</w:instrText>
      </w:r>
      <w:r>
        <w:rPr>
          <w:rStyle w:val="xeentry"/>
        </w:rPr>
        <w:instrText>Newport News: example</w:instrText>
      </w:r>
      <w:r>
        <w:instrText>"</w:instrText>
      </w:r>
      <w:r>
        <w:rPr>
          <w:rStyle w:val="indexentry"/>
        </w:rPr>
        <w:fldChar w:fldCharType="end"/>
      </w:r>
      <w:r>
        <w:rPr>
          <w:rStyle w:val="indexentry"/>
        </w:rPr>
        <w:t>&lt;ex "John Paul Jones"&gt;</w:t>
      </w:r>
      <w:r>
        <w:rPr>
          <w:rStyle w:val="indexentry"/>
        </w:rPr>
        <w:fldChar w:fldCharType="begin"/>
      </w:r>
      <w:r>
        <w:instrText>xe "</w:instrText>
      </w:r>
      <w:r>
        <w:rPr>
          <w:rStyle w:val="xeentry"/>
        </w:rPr>
        <w:instrText>John Paul Jones: example</w:instrText>
      </w:r>
      <w:r>
        <w:instrText>"</w:instrText>
      </w:r>
      <w:r>
        <w:rPr>
          <w:rStyle w:val="indexentry"/>
        </w:rPr>
        <w:fldChar w:fldCharType="end"/>
      </w:r>
      <w:r>
        <w:rPr>
          <w:rStyle w:val="htmlcodes"/>
        </w:rPr>
        <w:t>&lt;pre&gt;&lt;a name=e12d6&gt;</w:t>
      </w:r>
      <w:r>
        <w:t>12.6)</w:t>
      </w:r>
      <w:r>
        <w:tab/>
        <w:t>doi djan. pol. djonz. le bloti cu klama fi la niuport. niuz.</w:t>
      </w:r>
    </w:p>
    <w:p w:rsidR="00B72047" w:rsidRDefault="00B72047">
      <w:pPr>
        <w:pStyle w:val="examplescaled"/>
      </w:pPr>
      <w:r>
        <w:tab/>
        <w:t>John Paul Jones, the boat comes (to somewhere) from Newport News.</w:t>
      </w:r>
    </w:p>
    <w:p w:rsidR="00B72047" w:rsidRDefault="00B72047">
      <w:pPr>
        <w:pStyle w:val="normalafterexample"/>
      </w:pPr>
      <w:r>
        <w:rPr>
          <w:rStyle w:val="htmlcodes"/>
        </w:rPr>
        <w:t>&lt;/pre&gt;</w:t>
      </w:r>
      <w:r>
        <w:rPr>
          <w:rStyle w:val="indexentry"/>
        </w:rPr>
        <w:t>&lt;cx "name-words, permissible consonant combinations"&gt;</w:t>
      </w:r>
      <w:r>
        <w:rPr>
          <w:rStyle w:val="indexentry"/>
        </w:rPr>
        <w:fldChar w:fldCharType="begin"/>
      </w:r>
      <w:r>
        <w:instrText>xe "</w:instrText>
      </w:r>
      <w:r>
        <w:rPr>
          <w:rStyle w:val="xeentry"/>
        </w:rPr>
        <w:instrText>name-words: permissible consonant combinations</w:instrText>
      </w:r>
      <w:r>
        <w:instrText>"</w:instrText>
      </w:r>
      <w:r>
        <w:rPr>
          <w:rStyle w:val="indexentry"/>
        </w:rPr>
        <w:fldChar w:fldCharType="end"/>
      </w:r>
      <w:r>
        <w:t>A name may not contain any consonant combination that is illegal</w:t>
      </w:r>
      <w:r>
        <w:rPr>
          <w:rStyle w:val="deletedparamark"/>
        </w:rPr>
        <w:t xml:space="preserve"> </w:t>
      </w:r>
      <w:r>
        <w:t>in Lojban words generally: the “impermissible consonant clus</w:t>
      </w:r>
      <w:r>
        <w:softHyphen/>
        <w:t>ters” of Lojban</w:t>
      </w:r>
      <w:r>
        <w:rPr>
          <w:rStyle w:val="deletedparamark"/>
        </w:rPr>
        <w:t xml:space="preserve"> </w:t>
      </w:r>
      <w:r>
        <w:t xml:space="preserve">morphology (explained in </w:t>
      </w:r>
      <w:r>
        <w:rPr>
          <w:rStyle w:val="htmlcodes"/>
        </w:rPr>
        <w:t>&lt;a href=chap3.html&gt;</w:t>
      </w:r>
      <w:r>
        <w:t>Chapter 3</w:t>
      </w:r>
      <w:r>
        <w:rPr>
          <w:rStyle w:val="htmlcodes"/>
        </w:rPr>
        <w:t>&lt;/a&gt;</w:t>
      </w:r>
      <w:r>
        <w:t>). Thus “djeimz.” is not a valid version</w:t>
      </w:r>
      <w:r>
        <w:rPr>
          <w:rStyle w:val="deletedparamark"/>
        </w:rPr>
        <w:t xml:space="preserve"> </w:t>
      </w:r>
      <w:r>
        <w:t>of “James” (because “mz” is invalid): “djeimyz” will suffice. Similarly,</w:t>
      </w:r>
      <w:r>
        <w:rPr>
          <w:rStyle w:val="deletedparamark"/>
        </w:rPr>
        <w:t xml:space="preserve"> “</w:t>
      </w:r>
      <w:r>
        <w:t>la” may be replaced by “ly”, “lai” by “ly'i”, “doi” by “do'i” or “dai”.</w:t>
      </w:r>
      <w:r>
        <w:rPr>
          <w:rStyle w:val="deletedparamark"/>
        </w:rPr>
        <w:t xml:space="preserve"> </w:t>
      </w:r>
      <w:r>
        <w:t>Here are a few examples:</w:t>
      </w:r>
    </w:p>
    <w:p w:rsidR="00B72047" w:rsidRDefault="00B72047">
      <w:pPr>
        <w:rPr>
          <w:rStyle w:val="htmlparacode"/>
        </w:rPr>
      </w:pPr>
      <w:r>
        <w:rPr>
          <w:rStyle w:val="htmlparacode"/>
        </w:rPr>
        <w:t>&lt;p&gt;</w:t>
      </w:r>
    </w:p>
    <w:p w:rsidR="00B72047" w:rsidRDefault="00B72047">
      <w:pPr>
        <w:pStyle w:val="examplegtabspre"/>
      </w:pPr>
      <w:r>
        <w:rPr>
          <w:rStyle w:val="htmlcodes"/>
        </w:rPr>
        <w:t>&lt;pre&gt;</w:t>
      </w:r>
      <w:r>
        <w:t xml:space="preserve">    English name</w:t>
      </w:r>
      <w:r>
        <w:tab/>
        <w:t>invalid Lojban name</w:t>
      </w:r>
      <w:r>
        <w:tab/>
        <w:t>valid Lojban names</w:t>
      </w:r>
    </w:p>
    <w:p w:rsidR="00B72047" w:rsidRDefault="00B72047">
      <w:pPr>
        <w:pStyle w:val="examplegtabspre"/>
      </w:pPr>
      <w:r>
        <w:rPr>
          <w:rStyle w:val="htmlcodes"/>
        </w:rPr>
        <w:t>&lt;/pre&gt;</w:t>
      </w:r>
      <w:r>
        <w:rPr>
          <w:rStyle w:val="indexentry"/>
        </w:rPr>
        <w:t>&lt;ex "Lottie"&gt;</w:t>
      </w:r>
      <w:r>
        <w:rPr>
          <w:rStyle w:val="indexentry"/>
        </w:rPr>
        <w:fldChar w:fldCharType="begin"/>
      </w:r>
      <w:r>
        <w:instrText>xe "</w:instrText>
      </w:r>
      <w:r>
        <w:rPr>
          <w:rStyle w:val="xeentry"/>
        </w:rPr>
        <w:instrText>Lottie: example</w:instrText>
      </w:r>
      <w:r>
        <w:instrText>"</w:instrText>
      </w:r>
      <w:r>
        <w:rPr>
          <w:rStyle w:val="indexentry"/>
        </w:rPr>
        <w:fldChar w:fldCharType="end"/>
      </w:r>
      <w:r>
        <w:rPr>
          <w:rStyle w:val="indexentry"/>
        </w:rPr>
        <w:t>&lt;ex "Lyra"&gt;</w:t>
      </w:r>
      <w:r>
        <w:rPr>
          <w:rStyle w:val="indexentry"/>
        </w:rPr>
        <w:fldChar w:fldCharType="begin"/>
      </w:r>
      <w:r>
        <w:instrText>xe "</w:instrText>
      </w:r>
      <w:r>
        <w:rPr>
          <w:rStyle w:val="xeentry"/>
        </w:rPr>
        <w:instrText>Lyra: example</w:instrText>
      </w:r>
      <w:r>
        <w:instrText>"</w:instrText>
      </w:r>
      <w:r>
        <w:rPr>
          <w:rStyle w:val="indexentry"/>
        </w:rPr>
        <w:fldChar w:fldCharType="end"/>
      </w:r>
      <w:r>
        <w:rPr>
          <w:rStyle w:val="indexentry"/>
        </w:rPr>
        <w:t>&lt;ex "Doyle"&gt;</w:t>
      </w:r>
      <w:r>
        <w:rPr>
          <w:rStyle w:val="indexentry"/>
        </w:rPr>
        <w:fldChar w:fldCharType="begin"/>
      </w:r>
      <w:r>
        <w:instrText>xe "</w:instrText>
      </w:r>
      <w:r>
        <w:rPr>
          <w:rStyle w:val="xeentry"/>
        </w:rPr>
        <w:instrText>Doyle: example</w:instrText>
      </w:r>
      <w:r>
        <w:instrText>"</w:instrText>
      </w:r>
      <w:r>
        <w:rPr>
          <w:rStyle w:val="indexentry"/>
        </w:rPr>
        <w:fldChar w:fldCharType="end"/>
      </w:r>
      <w:r>
        <w:rPr>
          <w:rStyle w:val="htmlcodes"/>
        </w:rPr>
        <w:t>&lt;pre&gt;</w:t>
      </w:r>
      <w:r>
        <w:t xml:space="preserve"> </w:t>
      </w:r>
      <w:r>
        <w:tab/>
        <w:t>Doyle</w:t>
      </w:r>
      <w:r>
        <w:tab/>
      </w:r>
      <w:r>
        <w:tab/>
        <w:t xml:space="preserve">       *doi,l</w:t>
      </w:r>
      <w:r>
        <w:tab/>
      </w:r>
      <w:r>
        <w:tab/>
        <w:t xml:space="preserve">   do'il or dai,l</w:t>
      </w:r>
    </w:p>
    <w:p w:rsidR="00B72047" w:rsidRDefault="00B72047">
      <w:pPr>
        <w:pStyle w:val="examplegrouptabs"/>
      </w:pPr>
      <w:r>
        <w:tab/>
        <w:t>Lyra</w:t>
      </w:r>
      <w:r>
        <w:tab/>
      </w:r>
      <w:r>
        <w:tab/>
        <w:t xml:space="preserve">       *lairas</w:t>
      </w:r>
      <w:r>
        <w:tab/>
      </w:r>
      <w:r>
        <w:tab/>
        <w:t xml:space="preserve">   ly'iras</w:t>
      </w:r>
    </w:p>
    <w:p w:rsidR="00B72047" w:rsidRDefault="00B72047">
      <w:pPr>
        <w:pStyle w:val="examplegrouptabs"/>
      </w:pPr>
      <w:r>
        <w:tab/>
        <w:t xml:space="preserve">Lottie </w:t>
      </w:r>
      <w:r>
        <w:tab/>
      </w:r>
      <w:r>
        <w:tab/>
        <w:t xml:space="preserve">       *latis</w:t>
      </w:r>
      <w:r>
        <w:tab/>
      </w:r>
      <w:r>
        <w:tab/>
        <w:t xml:space="preserve">   LYtis. or lotis.</w:t>
      </w:r>
    </w:p>
    <w:p w:rsidR="00B72047" w:rsidRDefault="00B72047">
      <w:pPr>
        <w:pStyle w:val="examplegrouptabs"/>
      </w:pPr>
      <w:r>
        <w:t>(American pronunciation)</w:t>
      </w:r>
    </w:p>
    <w:p w:rsidR="00B72047" w:rsidRDefault="00B72047">
      <w:pPr>
        <w:pStyle w:val="normalafterexample"/>
      </w:pPr>
      <w:r>
        <w:rPr>
          <w:rStyle w:val="htmlcodes"/>
        </w:rPr>
        <w:t>&lt;/pre&gt;</w:t>
      </w:r>
      <w:r>
        <w:rPr>
          <w:rStyle w:val="indexentry"/>
        </w:rPr>
        <w:t>&lt;cx "names, using rafsi"&gt;</w:t>
      </w:r>
      <w:r>
        <w:rPr>
          <w:rStyle w:val="indexentry"/>
        </w:rPr>
        <w:fldChar w:fldCharType="begin"/>
      </w:r>
      <w:r>
        <w:instrText>xe "</w:instrText>
      </w:r>
      <w:r>
        <w:rPr>
          <w:rStyle w:val="xeentry"/>
        </w:rPr>
        <w:instrText>names: using rafsi</w:instrText>
      </w:r>
      <w:r>
        <w:instrText>"</w:instrText>
      </w:r>
      <w:r>
        <w:rPr>
          <w:rStyle w:val="indexentry"/>
        </w:rPr>
        <w:fldChar w:fldCharType="end"/>
      </w:r>
      <w:r>
        <w:t>Names may be borrowed from other languages or created arbitrarily. Another</w:t>
      </w:r>
      <w:r>
        <w:rPr>
          <w:rStyle w:val="deletedparamark"/>
        </w:rPr>
        <w:t xml:space="preserve"> </w:t>
      </w:r>
      <w:r>
        <w:t>co</w:t>
      </w:r>
      <w:r>
        <w:t>m</w:t>
      </w:r>
      <w:r>
        <w:softHyphen/>
        <w:t>mon practice is to use one or more rafsi, ar</w:t>
      </w:r>
      <w:r>
        <w:softHyphen/>
        <w:t>ranged to end with a</w:t>
      </w:r>
      <w:r>
        <w:rPr>
          <w:rStyle w:val="deletedparamark"/>
        </w:rPr>
        <w:t xml:space="preserve"> </w:t>
      </w:r>
      <w:r>
        <w:t>consonant, to form a name: thus the rafsi “loj-” for “logji” (logical) and</w:t>
      </w:r>
      <w:r>
        <w:rPr>
          <w:rStyle w:val="deletedparamark"/>
        </w:rPr>
        <w:t xml:space="preserve"> “</w:t>
      </w:r>
      <w:r>
        <w:t>ban-” for “bangu” (language) unite to form the name of this language: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name=e12d7&gt;</w:t>
      </w:r>
      <w:r>
        <w:t>12.7)</w:t>
      </w:r>
      <w:r>
        <w:tab/>
        <w:t>lojban.</w:t>
      </w:r>
    </w:p>
    <w:p w:rsidR="00B72047" w:rsidRDefault="00B72047">
      <w:pPr>
        <w:pStyle w:val="examplescaled"/>
      </w:pPr>
      <w:r>
        <w:tab/>
        <w:t>Lojban</w:t>
      </w:r>
    </w:p>
    <w:p w:rsidR="00B72047" w:rsidRDefault="00B72047">
      <w:pPr>
        <w:pStyle w:val="normalafterexample"/>
      </w:pPr>
      <w:r>
        <w:rPr>
          <w:rStyle w:val="htmlcodes"/>
        </w:rPr>
        <w:t>&lt;/pre&gt;</w:t>
      </w:r>
      <w:r>
        <w:rPr>
          <w:rStyle w:val="indexentry"/>
        </w:rPr>
        <w:t>&lt;cx "names, borrowing from other languages"&gt;</w:t>
      </w:r>
      <w:r>
        <w:rPr>
          <w:rStyle w:val="indexentry"/>
        </w:rPr>
        <w:fldChar w:fldCharType="begin"/>
      </w:r>
      <w:r>
        <w:instrText>xe "</w:instrText>
      </w:r>
      <w:r>
        <w:rPr>
          <w:rStyle w:val="xeentry"/>
        </w:rPr>
        <w:instrText>names: borrowing from other languages</w:instrText>
      </w:r>
      <w:r>
        <w:instrText>"</w:instrText>
      </w:r>
      <w:r>
        <w:rPr>
          <w:rStyle w:val="indexentry"/>
        </w:rPr>
        <w:fldChar w:fldCharType="end"/>
      </w:r>
      <w:r>
        <w:rPr>
          <w:rStyle w:val="indexentry"/>
        </w:rPr>
        <w:t>&lt;cx "names from vowel-final base, commonly used consonant endings"&gt;</w:t>
      </w:r>
      <w:r>
        <w:rPr>
          <w:rStyle w:val="indexentry"/>
        </w:rPr>
        <w:fldChar w:fldCharType="begin"/>
      </w:r>
      <w:r>
        <w:instrText>xe "</w:instrText>
      </w:r>
      <w:r>
        <w:rPr>
          <w:rStyle w:val="xeentry"/>
        </w:rPr>
        <w:instrText>names from vowel-final base: commonly used consonant endings</w:instrText>
      </w:r>
      <w:r>
        <w:instrText>"</w:instrText>
      </w:r>
      <w:r>
        <w:rPr>
          <w:rStyle w:val="indexentry"/>
        </w:rPr>
        <w:fldChar w:fldCharType="end"/>
      </w:r>
      <w:r>
        <w:t>When borrowing names from another language which end in a vowel, or when</w:t>
      </w:r>
      <w:r>
        <w:rPr>
          <w:rStyle w:val="deletedparamark"/>
        </w:rPr>
        <w:t xml:space="preserve"> </w:t>
      </w:r>
      <w:r>
        <w:t>tur</w:t>
      </w:r>
      <w:r>
        <w:t>n</w:t>
      </w:r>
      <w:r>
        <w:softHyphen/>
        <w:t>ing a Lojban brivla (all of which end in vowels) into a name, the vowel</w:t>
      </w:r>
      <w:r>
        <w:rPr>
          <w:rStyle w:val="deletedparamark"/>
        </w:rPr>
        <w:t xml:space="preserve"> </w:t>
      </w:r>
      <w:r>
        <w:t>may be re</w:t>
      </w:r>
      <w:r>
        <w:softHyphen/>
        <w:t>moved or an arbitrary consonant added. It is common (but not</w:t>
      </w:r>
      <w:r>
        <w:rPr>
          <w:rStyle w:val="deletedparamark"/>
        </w:rPr>
        <w:t xml:space="preserve"> </w:t>
      </w:r>
      <w:r>
        <w:t>required) to use the con</w:t>
      </w:r>
      <w:r>
        <w:softHyphen/>
        <w:t>sonants “s” or “n” when borrowing vowel-final names</w:t>
      </w:r>
      <w:r>
        <w:rPr>
          <w:rStyle w:val="deletedparamark"/>
        </w:rPr>
        <w:t xml:space="preserve"> </w:t>
      </w:r>
      <w:r>
        <w:t>from English; speakers of other languages may wish to use other consonant</w:t>
      </w:r>
      <w:r>
        <w:rPr>
          <w:rStyle w:val="deletedparamark"/>
        </w:rPr>
        <w:t xml:space="preserve"> </w:t>
      </w:r>
      <w:r>
        <w:t>endings.</w:t>
      </w:r>
    </w:p>
    <w:p w:rsidR="00B72047" w:rsidRDefault="00B72047">
      <w:pPr>
        <w:rPr>
          <w:rStyle w:val="htmlparacode"/>
        </w:rPr>
      </w:pPr>
      <w:r>
        <w:rPr>
          <w:rStyle w:val="htmlparacode"/>
        </w:rPr>
        <w:t>&lt;p&gt;</w:t>
      </w:r>
    </w:p>
    <w:p w:rsidR="00B72047" w:rsidRDefault="00B72047">
      <w:pPr>
        <w:pStyle w:val="normalparagraph"/>
      </w:pPr>
      <w:r>
        <w:rPr>
          <w:rStyle w:val="indexentry"/>
        </w:rPr>
        <w:t>&lt;cx "names with la, implicit quantifier for"&gt;</w:t>
      </w:r>
      <w:r>
        <w:rPr>
          <w:rStyle w:val="indexentry"/>
        </w:rPr>
        <w:fldChar w:fldCharType="begin"/>
      </w:r>
      <w:r>
        <w:instrText>xe "</w:instrText>
      </w:r>
      <w:r>
        <w:rPr>
          <w:rStyle w:val="xeentry"/>
        </w:rPr>
        <w:instrText>names with la: implicit quantifier for</w:instrText>
      </w:r>
      <w:r>
        <w:instrText>"</w:instrText>
      </w:r>
      <w:r>
        <w:rPr>
          <w:rStyle w:val="indexentry"/>
        </w:rPr>
        <w:fldChar w:fldCharType="end"/>
      </w:r>
      <w:r>
        <w:t>The implicit quantifier for name sumti of the form “la” followed by a</w:t>
      </w:r>
      <w:r>
        <w:rPr>
          <w:rStyle w:val="deletedparamark"/>
        </w:rPr>
        <w:t xml:space="preserve"> </w:t>
      </w:r>
      <w:r>
        <w:t>name is “su'o”, just as for “la” followed by a selbri.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257" w:name="_Toc395691547"/>
      <w:bookmarkStart w:id="258" w:name="_Toc398970518"/>
      <w:r>
        <w:rPr>
          <w:rStyle w:val="Heading3Text"/>
        </w:rPr>
        <w:t>Pro-sumti summary</w:t>
      </w:r>
      <w:bookmarkEnd w:id="257"/>
      <w:bookmarkEnd w:id="25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"pro-sumti, classes of"&gt;</w:t>
      </w:r>
      <w:r>
        <w:rPr>
          <w:rStyle w:val="indexentry"/>
        </w:rPr>
        <w:fldChar w:fldCharType="begin"/>
      </w:r>
      <w:r>
        <w:instrText>xe "</w:instrText>
      </w:r>
      <w:r>
        <w:rPr>
          <w:rStyle w:val="xeentry"/>
        </w:rPr>
        <w:instrText>pro-sumti: classes of</w:instrText>
      </w:r>
      <w:r>
        <w:instrText>"</w:instrText>
      </w:r>
      <w:r>
        <w:rPr>
          <w:rStyle w:val="indexentry"/>
        </w:rPr>
        <w:fldChar w:fldCharType="end"/>
      </w:r>
      <w:r>
        <w:t>The Lojban pro-sumti are the cmavo of selma'o KOhA. They fall into several</w:t>
      </w:r>
      <w:r>
        <w:rPr>
          <w:rStyle w:val="deletedparamark"/>
        </w:rPr>
        <w:t xml:space="preserve"> </w:t>
      </w:r>
      <w:r>
        <w:t>classes: personal, definable, quantificational, reflex</w:t>
      </w:r>
      <w:r>
        <w:softHyphen/>
        <w:t>ive, back-counting,</w:t>
      </w:r>
      <w:r>
        <w:rPr>
          <w:rStyle w:val="deletedparamark"/>
        </w:rPr>
        <w:t xml:space="preserve"> </w:t>
      </w:r>
      <w:r>
        <w:t>indefinite, de</w:t>
      </w:r>
      <w:r>
        <w:softHyphen/>
        <w:t>monstrative, metalinguistic, relative, question. More details</w:t>
      </w:r>
      <w:r>
        <w:rPr>
          <w:rStyle w:val="deletedparamark"/>
        </w:rPr>
        <w:t xml:space="preserve"> </w:t>
      </w:r>
      <w:r>
        <w:t xml:space="preserve">are given in </w:t>
      </w:r>
      <w:r>
        <w:rPr>
          <w:rStyle w:val="htmlcodes"/>
        </w:rPr>
        <w:t>&lt;a href=chap7.html&gt;</w:t>
      </w:r>
      <w:r>
        <w:t>Chapter 7</w:t>
      </w:r>
      <w:r>
        <w:rPr>
          <w:rStyle w:val="htmlcodes"/>
        </w:rPr>
        <w:t>&lt;/a&gt;</w:t>
      </w:r>
      <w:r>
        <w:t>; this section mostly du</w:t>
      </w:r>
      <w:r>
        <w:softHyphen/>
        <w:t>plicates information</w:t>
      </w:r>
      <w:r>
        <w:rPr>
          <w:rStyle w:val="deletedparamark"/>
        </w:rPr>
        <w:t xml:space="preserve"> </w:t>
      </w:r>
      <w:r>
        <w:t>found there, but adds material on the implicit quantifier of each</w:t>
      </w:r>
      <w:r>
        <w:rPr>
          <w:rStyle w:val="deletedparamark"/>
        </w:rPr>
        <w:t xml:space="preserve"> </w:t>
      </w:r>
      <w:r>
        <w:t>pro-sumti.</w:t>
      </w:r>
    </w:p>
    <w:p w:rsidR="00B72047" w:rsidRDefault="00B72047">
      <w:pPr>
        <w:rPr>
          <w:rStyle w:val="htmlparacode"/>
        </w:rPr>
      </w:pPr>
      <w:r>
        <w:rPr>
          <w:rStyle w:val="htmlparacode"/>
        </w:rPr>
        <w:t>&lt;p&gt;</w:t>
      </w:r>
    </w:p>
    <w:p w:rsidR="00B72047" w:rsidRDefault="00B72047">
      <w:pPr>
        <w:pStyle w:val="normalparagraph"/>
      </w:pPr>
      <w:r>
        <w:rPr>
          <w:rStyle w:val="indexentry"/>
        </w:rPr>
        <w:t>&lt;cx "pro-sumti, implicit quantifier for"&gt;</w:t>
      </w:r>
      <w:r>
        <w:rPr>
          <w:rStyle w:val="indexentry"/>
        </w:rPr>
        <w:fldChar w:fldCharType="begin"/>
      </w:r>
      <w:r>
        <w:instrText>xe "</w:instrText>
      </w:r>
      <w:r>
        <w:rPr>
          <w:rStyle w:val="xeentry"/>
        </w:rPr>
        <w:instrText>pro-sumti: implicit quantifier for</w:instrText>
      </w:r>
      <w:r>
        <w:instrText>"</w:instrText>
      </w:r>
      <w:r>
        <w:rPr>
          <w:rStyle w:val="indexentry"/>
        </w:rPr>
        <w:fldChar w:fldCharType="end"/>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t>The following examples illustrate each of the classes. Unless otherwise</w:t>
      </w:r>
      <w:r>
        <w:rPr>
          <w:rStyle w:val="deletedparamark"/>
        </w:rPr>
        <w:t xml:space="preserve"> </w:t>
      </w:r>
      <w:r>
        <w:t>noted below, the implicit quantification for pro-sumti is “ro” (all). In the</w:t>
      </w:r>
      <w:r>
        <w:rPr>
          <w:rStyle w:val="deletedparamark"/>
        </w:rPr>
        <w:t xml:space="preserve"> </w:t>
      </w:r>
      <w:r>
        <w:t>case of pro-sumti which refer to other sumti, the “ro” signi</w:t>
      </w:r>
      <w:r>
        <w:softHyphen/>
        <w:t>fies “all of</w:t>
      </w:r>
      <w:r>
        <w:rPr>
          <w:rStyle w:val="deletedparamark"/>
        </w:rPr>
        <w:t xml:space="preserve"> </w:t>
      </w:r>
      <w:r>
        <w:t>those referred to by the other sumti”: thus it is possible to restrict, but</w:t>
      </w:r>
      <w:r>
        <w:rPr>
          <w:rStyle w:val="deletedparamark"/>
        </w:rPr>
        <w:t xml:space="preserve"> </w:t>
      </w:r>
      <w:r>
        <w:t>not to extend, the quantification of the other sumti.</w:t>
      </w:r>
    </w:p>
    <w:p w:rsidR="00B72047" w:rsidRDefault="00B72047">
      <w:pPr>
        <w:rPr>
          <w:rStyle w:val="htmlparacode"/>
        </w:rPr>
      </w:pPr>
      <w:r>
        <w:rPr>
          <w:rStyle w:val="htmlparacode"/>
        </w:rPr>
        <w:t>&lt;p&gt;</w:t>
      </w:r>
    </w:p>
    <w:p w:rsidR="00B72047" w:rsidRDefault="00B72047">
      <w:pPr>
        <w:pStyle w:val="normalparagraph"/>
      </w:pPr>
      <w:r>
        <w:rPr>
          <w:rStyle w:val="indexentry"/>
        </w:rPr>
        <w:t>&lt;cx "personal pro-sumti"&gt;</w:t>
      </w:r>
      <w:r>
        <w:rPr>
          <w:rStyle w:val="indexentry"/>
        </w:rPr>
        <w:fldChar w:fldCharType="begin"/>
      </w:r>
      <w:r>
        <w:instrText>xe "</w:instrText>
      </w:r>
      <w:r>
        <w:rPr>
          <w:rStyle w:val="xeentry"/>
        </w:rPr>
        <w:instrText>personal pro-sumti</w:instrText>
      </w:r>
      <w:r>
        <w:instrText>"</w:instrText>
      </w:r>
      <w:r>
        <w:rPr>
          <w:rStyle w:val="indexentry"/>
        </w:rPr>
        <w:fldChar w:fldCharType="end"/>
      </w:r>
      <w:r>
        <w:t>Personal pro-sumti (“mi”, “do”, “mi'o”, “mi'a”, “ma'a”, “do'o”, “ko”) refer</w:t>
      </w:r>
      <w:r>
        <w:rPr>
          <w:rStyle w:val="deletedparamark"/>
        </w:rPr>
        <w:t xml:space="preserve"> </w:t>
      </w:r>
      <w:r>
        <w:t>to the speaker or the listener or both, with or without third parties: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mi prami do</w:t>
      </w:r>
    </w:p>
    <w:p w:rsidR="00B72047" w:rsidRDefault="00B72047">
      <w:pPr>
        <w:pStyle w:val="examplescaled"/>
      </w:pPr>
      <w:r>
        <w:tab/>
        <w:t>I love you.</w:t>
      </w:r>
    </w:p>
    <w:p w:rsidR="00B72047" w:rsidRDefault="00B72047">
      <w:pPr>
        <w:pStyle w:val="resumedafterexample"/>
      </w:pPr>
      <w:r>
        <w:rPr>
          <w:rStyle w:val="htmlcodes"/>
        </w:rPr>
        <w:t>&lt;/pre&gt;</w:t>
      </w:r>
      <w:r>
        <w:rPr>
          <w:rStyle w:val="indexentry"/>
        </w:rPr>
        <w:t>&lt;cx "personal pro-sumti, implicit quantifier for"&gt;</w:t>
      </w:r>
      <w:r>
        <w:rPr>
          <w:rStyle w:val="indexentry"/>
        </w:rPr>
        <w:fldChar w:fldCharType="begin"/>
      </w:r>
      <w:r>
        <w:instrText>xe "</w:instrText>
      </w:r>
      <w:r>
        <w:rPr>
          <w:rStyle w:val="xeentry"/>
        </w:rPr>
        <w:instrText>personal pro-sumti: implicit quantifier for</w:instrText>
      </w:r>
      <w:r>
        <w:instrText>"</w:instrText>
      </w:r>
      <w:r>
        <w:rPr>
          <w:rStyle w:val="indexentry"/>
        </w:rPr>
        <w:fldChar w:fldCharType="end"/>
      </w:r>
      <w:r>
        <w:t>The personal pro-sumti may be interpreted in context as either repre</w:t>
      </w:r>
      <w:r>
        <w:softHyphen/>
        <w:t>senting</w:t>
      </w:r>
      <w:r>
        <w:rPr>
          <w:rStyle w:val="deletedparamark"/>
        </w:rPr>
        <w:t xml:space="preserve"> </w:t>
      </w:r>
      <w:r>
        <w:t>individuals or masses, so the implicit quantifier may be “pisu'o” rather</w:t>
      </w:r>
      <w:r>
        <w:rPr>
          <w:rStyle w:val="deletedparamark"/>
        </w:rPr>
        <w:t xml:space="preserve"> </w:t>
      </w:r>
      <w:r>
        <w:t>than “ro”: in particular, “mi'o”, “mi'a”, “ma'a”, and “do'o” specifically</w:t>
      </w:r>
      <w:r>
        <w:rPr>
          <w:rStyle w:val="deletedparamark"/>
        </w:rPr>
        <w:t xml:space="preserve"> </w:t>
      </w:r>
      <w:r>
        <w:t>represent mass combinations of the indi</w:t>
      </w:r>
      <w:r>
        <w:softHyphen/>
        <w:t>viduals (you and I, I and others,</w:t>
      </w:r>
      <w:r>
        <w:rPr>
          <w:rStyle w:val="deletedparamark"/>
        </w:rPr>
        <w:t xml:space="preserve"> </w:t>
      </w:r>
      <w:r>
        <w:t>you and I and others, you and others) that make them up.</w:t>
      </w:r>
    </w:p>
    <w:p w:rsidR="00B72047" w:rsidRDefault="00B72047">
      <w:pPr>
        <w:rPr>
          <w:rStyle w:val="htmlparacode"/>
        </w:rPr>
      </w:pPr>
      <w:r>
        <w:rPr>
          <w:rStyle w:val="htmlparacode"/>
        </w:rPr>
        <w:t>&lt;p&gt;</w:t>
      </w:r>
    </w:p>
    <w:p w:rsidR="00B72047" w:rsidRDefault="00B72047">
      <w:pPr>
        <w:pStyle w:val="normalparagraph"/>
      </w:pPr>
      <w:r>
        <w:rPr>
          <w:rStyle w:val="indexentry"/>
        </w:rPr>
        <w:t>&lt;cx "definable pro-sumti"&gt;</w:t>
      </w:r>
      <w:r>
        <w:rPr>
          <w:rStyle w:val="indexentry"/>
        </w:rPr>
        <w:fldChar w:fldCharType="begin"/>
      </w:r>
      <w:r>
        <w:instrText>xe "</w:instrText>
      </w:r>
      <w:r>
        <w:rPr>
          <w:rStyle w:val="xeentry"/>
        </w:rPr>
        <w:instrText>definable pro-sumti</w:instrText>
      </w:r>
      <w:r>
        <w:instrText>"</w:instrText>
      </w:r>
      <w:r>
        <w:rPr>
          <w:rStyle w:val="indexentry"/>
        </w:rPr>
        <w:fldChar w:fldCharType="end"/>
      </w:r>
      <w:r>
        <w:t>Definable pro-sumti (“ko'a”, “ko'e”, “ko'i”, “ko'o”, “ko'u”, “fo'a”, “fo'e”,</w:t>
      </w:r>
      <w:r>
        <w:rPr>
          <w:rStyle w:val="deletedparamark"/>
        </w:rPr>
        <w:t xml:space="preserve"> “</w:t>
      </w:r>
      <w:r>
        <w:t>fo'i”, “fo'o”, “fo'u”) refer to whatever the speaker has explicitly made</w:t>
      </w:r>
      <w:r>
        <w:rPr>
          <w:rStyle w:val="deletedparamark"/>
        </w:rPr>
        <w:t xml:space="preserve"> </w:t>
      </w:r>
      <w:r>
        <w:t>them refer to. This refe</w:t>
      </w:r>
      <w:r>
        <w:t>r</w:t>
      </w:r>
      <w:r>
        <w:softHyphen/>
        <w:t>ence is accomplished with “goi” (of selma'o GOI),</w:t>
      </w:r>
      <w:r>
        <w:rPr>
          <w:rStyle w:val="deletedparamark"/>
        </w:rPr>
        <w:t xml:space="preserve"> </w:t>
      </w:r>
      <w:r>
        <w:t>which means “defined-as”.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le cribe goi ko'a cu xekri  .i ko'a citka le smacu</w:t>
      </w:r>
    </w:p>
    <w:p w:rsidR="00B72047" w:rsidRDefault="00B72047">
      <w:pPr>
        <w:pStyle w:val="examplescaled"/>
      </w:pPr>
      <w:r>
        <w:tab/>
        <w:t>The bear defined-as it-1 is-black.  It-1 eats the mouse.</w:t>
      </w:r>
    </w:p>
    <w:p w:rsidR="00B72047" w:rsidRDefault="00B72047">
      <w:pPr>
        <w:pStyle w:val="normalafterexample"/>
      </w:pPr>
      <w:r>
        <w:rPr>
          <w:rStyle w:val="htmlcodes"/>
        </w:rPr>
        <w:t>&lt;/pre&gt;</w:t>
      </w:r>
      <w:r>
        <w:rPr>
          <w:rStyle w:val="indexentry"/>
        </w:rPr>
        <w:t>&lt;cx "quantificational pro-sumti"&gt;</w:t>
      </w:r>
      <w:r>
        <w:rPr>
          <w:rStyle w:val="indexentry"/>
        </w:rPr>
        <w:fldChar w:fldCharType="begin"/>
      </w:r>
      <w:r>
        <w:instrText>xe "</w:instrText>
      </w:r>
      <w:r>
        <w:rPr>
          <w:rStyle w:val="xeentry"/>
        </w:rPr>
        <w:instrText>quantificational pro-sumti</w:instrText>
      </w:r>
      <w:r>
        <w:instrText>"</w:instrText>
      </w:r>
      <w:r>
        <w:rPr>
          <w:rStyle w:val="indexentry"/>
        </w:rPr>
        <w:fldChar w:fldCharType="end"/>
      </w:r>
      <w:r>
        <w:t>Quantificational pro-sumti (“da”, “de”, “di”) are used as vari</w:t>
      </w:r>
      <w:r>
        <w:softHyphen/>
        <w:t>ables in</w:t>
      </w:r>
      <w:r>
        <w:rPr>
          <w:rStyle w:val="deletedparamark"/>
        </w:rPr>
        <w:t xml:space="preserve"> </w:t>
      </w:r>
      <w:r>
        <w:t>bridi in</w:t>
      </w:r>
      <w:r>
        <w:softHyphen/>
        <w:t>volving predicate logic:</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ro da poi prenu cu prami pa de poi finpe</w:t>
      </w:r>
    </w:p>
    <w:p w:rsidR="00B72047" w:rsidRDefault="00B72047">
      <w:pPr>
        <w:pStyle w:val="examplescaled"/>
      </w:pPr>
      <w:r>
        <w:tab/>
        <w:t>All somethings-1 which-are persons love one something-2 which-is a-fish.</w:t>
      </w:r>
    </w:p>
    <w:p w:rsidR="00B72047" w:rsidRDefault="00B72047">
      <w:pPr>
        <w:pStyle w:val="examplescaled"/>
      </w:pPr>
      <w:r>
        <w:tab/>
        <w:t>All persons love a fish (each his/her own).</w:t>
      </w:r>
    </w:p>
    <w:p w:rsidR="00B72047" w:rsidRDefault="00B72047">
      <w:pPr>
        <w:pStyle w:val="resumedafterexample"/>
      </w:pPr>
      <w:r>
        <w:rPr>
          <w:rStyle w:val="htmlcodes"/>
        </w:rPr>
        <w:t>&lt;/pre&gt;</w:t>
      </w:r>
      <w:r>
        <w:rPr>
          <w:rStyle w:val="indexentry"/>
        </w:rPr>
        <w:t>&lt;cx "quantificational pro-sumti, implicit quantification rules"&gt;</w:t>
      </w:r>
      <w:r>
        <w:rPr>
          <w:rStyle w:val="indexentry"/>
        </w:rPr>
        <w:fldChar w:fldCharType="begin"/>
      </w:r>
      <w:r>
        <w:instrText>xe "</w:instrText>
      </w:r>
      <w:r>
        <w:rPr>
          <w:rStyle w:val="xeentry"/>
        </w:rPr>
        <w:instrText>quantificational pro-sumti: implicit quantification rules</w:instrText>
      </w:r>
      <w:r>
        <w:instrText>"</w:instrText>
      </w:r>
      <w:r>
        <w:rPr>
          <w:rStyle w:val="indexentry"/>
        </w:rPr>
        <w:fldChar w:fldCharType="end"/>
      </w:r>
      <w:r>
        <w:t>(This is not the same as “All persons love a certain fish”; the</w:t>
      </w:r>
      <w:r>
        <w:rPr>
          <w:rStyle w:val="deletedparamark"/>
        </w:rPr>
        <w:t xml:space="preserve"> </w:t>
      </w:r>
      <w:r>
        <w:t>differ</w:t>
      </w:r>
      <w:r>
        <w:softHyphen/>
        <w:t>ence between the two is one of quantifier order.) The implicit</w:t>
      </w:r>
      <w:r>
        <w:rPr>
          <w:rStyle w:val="deletedparamark"/>
        </w:rPr>
        <w:t xml:space="preserve"> </w:t>
      </w:r>
      <w:r>
        <w:t>quantifi</w:t>
      </w:r>
      <w:r>
        <w:softHyphen/>
        <w:t>cation rules for quantificational pro-sumti are particular to them,</w:t>
      </w:r>
      <w:r>
        <w:rPr>
          <w:rStyle w:val="deletedparamark"/>
        </w:rPr>
        <w:t xml:space="preserve"> </w:t>
      </w:r>
      <w:r>
        <w:t xml:space="preserve">and are discussed in detail in </w:t>
      </w:r>
      <w:r>
        <w:rPr>
          <w:rStyle w:val="htmlcodes"/>
        </w:rPr>
        <w:t>&lt;a href=chap16.html&gt;</w:t>
      </w:r>
      <w:r>
        <w:t>Chapter 16</w:t>
      </w:r>
      <w:r>
        <w:rPr>
          <w:rStyle w:val="htmlcodes"/>
        </w:rPr>
        <w:t>&lt;/a&gt;</w:t>
      </w:r>
      <w:r>
        <w:t>. Roughly speaking, the quanti</w:t>
      </w:r>
      <w:r>
        <w:softHyphen/>
        <w:t>fier</w:t>
      </w:r>
      <w:r>
        <w:rPr>
          <w:rStyle w:val="deletedparamark"/>
        </w:rPr>
        <w:t xml:space="preserve"> </w:t>
      </w:r>
      <w:r>
        <w:t>is “su'o” (at least one) when the pro-sumti is first used, and “ro”</w:t>
      </w:r>
      <w:r>
        <w:rPr>
          <w:rStyle w:val="deletedparamark"/>
        </w:rPr>
        <w:t xml:space="preserve"> </w:t>
      </w:r>
      <w:r>
        <w:t>(all) thereafter.</w:t>
      </w:r>
    </w:p>
    <w:p w:rsidR="00B72047" w:rsidRDefault="00B72047">
      <w:pPr>
        <w:rPr>
          <w:rStyle w:val="htmlparacode"/>
        </w:rPr>
      </w:pPr>
      <w:r>
        <w:rPr>
          <w:rStyle w:val="htmlparacode"/>
        </w:rPr>
        <w:t>&lt;p&gt;</w:t>
      </w:r>
    </w:p>
    <w:p w:rsidR="00B72047" w:rsidRDefault="00B72047">
      <w:pPr>
        <w:pStyle w:val="normalparagraph"/>
      </w:pPr>
      <w:r>
        <w:rPr>
          <w:rStyle w:val="indexentry"/>
        </w:rPr>
        <w:t>&lt;cx "reflexive pro-sumti"&gt;</w:t>
      </w:r>
      <w:r>
        <w:rPr>
          <w:rStyle w:val="indexentry"/>
        </w:rPr>
        <w:fldChar w:fldCharType="begin"/>
      </w:r>
      <w:r>
        <w:instrText>xe "</w:instrText>
      </w:r>
      <w:r>
        <w:rPr>
          <w:rStyle w:val="xeentry"/>
        </w:rPr>
        <w:instrText>reflexive pro-sumti</w:instrText>
      </w:r>
      <w:r>
        <w:instrText>"</w:instrText>
      </w:r>
      <w:r>
        <w:rPr>
          <w:rStyle w:val="indexentry"/>
        </w:rPr>
        <w:fldChar w:fldCharType="end"/>
      </w:r>
      <w:r>
        <w:t>Reflexive pro-sumti (“vo'a”, “vo'e”, “vo'i”, “vo'o”, “vo'u”) refer to the</w:t>
      </w:r>
      <w:r>
        <w:rPr>
          <w:rStyle w:val="deletedparamark"/>
        </w:rPr>
        <w:t xml:space="preserve"> </w:t>
      </w:r>
      <w:r>
        <w:t>same referents as sumti filling other places in the same bridi, with the</w:t>
      </w:r>
      <w:r>
        <w:rPr>
          <w:rStyle w:val="deletedparamark"/>
        </w:rPr>
        <w:t xml:space="preserve"> </w:t>
      </w:r>
      <w:r>
        <w:t>effect that the same thing is r</w:t>
      </w:r>
      <w:r>
        <w:t>e</w:t>
      </w:r>
      <w:r>
        <w:softHyphen/>
        <w:t>ferred to twice: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name=e13d4&gt;</w:t>
      </w:r>
      <w:r>
        <w:t>13.4)</w:t>
      </w:r>
      <w:r>
        <w:tab/>
        <w:t>le cribe cu batci vo'a</w:t>
      </w:r>
    </w:p>
    <w:p w:rsidR="00B72047" w:rsidRDefault="00B72047">
      <w:pPr>
        <w:pStyle w:val="examplescaled"/>
      </w:pPr>
      <w:r>
        <w:tab/>
        <w:t>The bear bites what-is-in-the-x1-place.</w:t>
      </w:r>
    </w:p>
    <w:p w:rsidR="00B72047" w:rsidRDefault="00B72047">
      <w:pPr>
        <w:pStyle w:val="examplescaled"/>
      </w:pPr>
      <w:r>
        <w:tab/>
        <w:t>The bear bites itself.</w:t>
      </w:r>
    </w:p>
    <w:p w:rsidR="00B72047" w:rsidRDefault="00B72047">
      <w:pPr>
        <w:pStyle w:val="normalafterexample"/>
      </w:pPr>
      <w:r>
        <w:rPr>
          <w:rStyle w:val="htmlcodes"/>
        </w:rPr>
        <w:t>&lt;/pre&gt;</w:t>
      </w:r>
      <w:r>
        <w:rPr>
          <w:rStyle w:val="indexentry"/>
        </w:rPr>
        <w:t>&lt;cx "back-counting pro-sumti"&gt;</w:t>
      </w:r>
      <w:r>
        <w:rPr>
          <w:rStyle w:val="indexentry"/>
        </w:rPr>
        <w:fldChar w:fldCharType="begin"/>
      </w:r>
      <w:r>
        <w:instrText>xe "</w:instrText>
      </w:r>
      <w:r>
        <w:rPr>
          <w:rStyle w:val="xeentry"/>
        </w:rPr>
        <w:instrText>back-counting pro-sumti</w:instrText>
      </w:r>
      <w:r>
        <w:instrText>"</w:instrText>
      </w:r>
      <w:r>
        <w:rPr>
          <w:rStyle w:val="indexentry"/>
        </w:rPr>
        <w:fldChar w:fldCharType="end"/>
      </w:r>
      <w:r>
        <w:t>Back-counting pro-sumti (“ri”, “ra”, “ru”) refer to the referents of</w:t>
      </w:r>
      <w:r>
        <w:rPr>
          <w:rStyle w:val="deletedparamark"/>
        </w:rPr>
        <w:t xml:space="preserve"> </w:t>
      </w:r>
      <w:r>
        <w:t>previous sumti counted backwards from the pro-sumti: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mi klama la frankfurt. ri</w:t>
      </w:r>
    </w:p>
    <w:p w:rsidR="00B72047" w:rsidRDefault="00B72047">
      <w:pPr>
        <w:pStyle w:val="examplescaled"/>
      </w:pPr>
      <w:r>
        <w:tab/>
        <w:t>I go to-Frankfurt from-the-referent-of-the-last-sumti</w:t>
      </w:r>
    </w:p>
    <w:p w:rsidR="00B72047" w:rsidRDefault="00B72047">
      <w:pPr>
        <w:pStyle w:val="examplescaled"/>
      </w:pPr>
      <w:r>
        <w:tab/>
        <w:t>I go from Frankfurt to Frankfurt (by some unstated route).</w:t>
      </w:r>
    </w:p>
    <w:p w:rsidR="00B72047" w:rsidRDefault="00B72047">
      <w:pPr>
        <w:pStyle w:val="normalafterexample"/>
      </w:pPr>
      <w:r>
        <w:rPr>
          <w:rStyle w:val="htmlcodes"/>
        </w:rPr>
        <w:t>&lt;/pre&gt;</w:t>
      </w:r>
      <w:r>
        <w:rPr>
          <w:rStyle w:val="indexentry"/>
        </w:rPr>
        <w:t>&lt;cx "indefinite pro-sumti"&gt;</w:t>
      </w:r>
      <w:r>
        <w:rPr>
          <w:rStyle w:val="indexentry"/>
        </w:rPr>
        <w:fldChar w:fldCharType="begin"/>
      </w:r>
      <w:r>
        <w:instrText>xe "</w:instrText>
      </w:r>
      <w:r>
        <w:rPr>
          <w:rStyle w:val="xeentry"/>
        </w:rPr>
        <w:instrText>indefinite pro-sumti</w:instrText>
      </w:r>
      <w:r>
        <w:instrText>"</w:instrText>
      </w:r>
      <w:r>
        <w:rPr>
          <w:rStyle w:val="indexentry"/>
        </w:rPr>
        <w:fldChar w:fldCharType="end"/>
      </w:r>
      <w:r>
        <w:t>Indefinite pro-sumti (“zo'e”, “zu'i”, “zi'o”) refer to something which is</w:t>
      </w:r>
      <w:r>
        <w:rPr>
          <w:rStyle w:val="deletedparamark"/>
        </w:rPr>
        <w:t xml:space="preserve"> </w:t>
      </w:r>
      <w:r>
        <w:t>un</w:t>
      </w:r>
      <w:r>
        <w:softHyphen/>
        <w:t>specified: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name=e13d6&gt;</w:t>
      </w:r>
      <w:r>
        <w:t>13.6)</w:t>
      </w:r>
      <w:r>
        <w:tab/>
        <w:t>mi klama la frankfurt. zo'e zo'e zo'e</w:t>
      </w:r>
    </w:p>
    <w:p w:rsidR="00B72047" w:rsidRDefault="00B72047">
      <w:pPr>
        <w:pStyle w:val="examplescaled"/>
      </w:pPr>
      <w:r>
        <w:tab/>
        <w:t>I go to-Frankfurt from-unspecified via-unspecified by-means-unspecified.</w:t>
      </w:r>
    </w:p>
    <w:p w:rsidR="00B72047" w:rsidRDefault="00B72047">
      <w:pPr>
        <w:pStyle w:val="resumedafterexample"/>
      </w:pPr>
      <w:r>
        <w:rPr>
          <w:rStyle w:val="htmlcodes"/>
        </w:rPr>
        <w:t>&lt;/pre&gt;</w:t>
      </w:r>
      <w:r>
        <w:rPr>
          <w:rStyle w:val="indexentry"/>
        </w:rPr>
        <w:t>&lt;cx "indefinite pro-sumti, implicit quantifier for"&gt;</w:t>
      </w:r>
      <w:r>
        <w:rPr>
          <w:rStyle w:val="indexentry"/>
        </w:rPr>
        <w:fldChar w:fldCharType="begin"/>
      </w:r>
      <w:r>
        <w:instrText>xe "</w:instrText>
      </w:r>
      <w:r>
        <w:rPr>
          <w:rStyle w:val="xeentry"/>
        </w:rPr>
        <w:instrText>indefinite pro-sumti: implicit quantifier for</w:instrText>
      </w:r>
      <w:r>
        <w:instrText>"</w:instrText>
      </w:r>
      <w:r>
        <w:rPr>
          <w:rStyle w:val="indexentry"/>
        </w:rPr>
        <w:fldChar w:fldCharType="end"/>
      </w:r>
      <w:r>
        <w:t>The implicit quantifier for indefinite pro-sumti is, well, indefinite.</w:t>
      </w:r>
      <w:r>
        <w:rPr>
          <w:rStyle w:val="deletedparamark"/>
        </w:rPr>
        <w:t xml:space="preserve"> </w:t>
      </w:r>
      <w:r>
        <w:t>It might be “ro” (all) or “su'o” (at least one) or conceivably even</w:t>
      </w:r>
      <w:r>
        <w:rPr>
          <w:rStyle w:val="deletedparamark"/>
        </w:rPr>
        <w:t xml:space="preserve"> “</w:t>
      </w:r>
      <w:r>
        <w:t>no” (none), though “no” would require a very odd context indeed.</w:t>
      </w:r>
    </w:p>
    <w:p w:rsidR="00B72047" w:rsidRDefault="00B72047">
      <w:pPr>
        <w:rPr>
          <w:rStyle w:val="htmlparacode"/>
        </w:rPr>
      </w:pPr>
      <w:r>
        <w:rPr>
          <w:rStyle w:val="htmlparacode"/>
        </w:rPr>
        <w:t>&lt;p&gt;</w:t>
      </w:r>
    </w:p>
    <w:p w:rsidR="00B72047" w:rsidRDefault="00B72047">
      <w:pPr>
        <w:pStyle w:val="normalparagraph"/>
      </w:pPr>
      <w:r>
        <w:rPr>
          <w:rStyle w:val="indexentry"/>
        </w:rPr>
        <w:t>&lt;cx "demonstrative pro-sumti"&gt;</w:t>
      </w:r>
      <w:r>
        <w:rPr>
          <w:rStyle w:val="indexentry"/>
        </w:rPr>
        <w:fldChar w:fldCharType="begin"/>
      </w:r>
      <w:r>
        <w:instrText>xe "</w:instrText>
      </w:r>
      <w:r>
        <w:rPr>
          <w:rStyle w:val="xeentry"/>
        </w:rPr>
        <w:instrText>demonstrative pro-sumti</w:instrText>
      </w:r>
      <w:r>
        <w:instrText>"</w:instrText>
      </w:r>
      <w:r>
        <w:rPr>
          <w:rStyle w:val="indexentry"/>
        </w:rPr>
        <w:fldChar w:fldCharType="end"/>
      </w:r>
      <w:r>
        <w:t>Demonstrative pro-sumti (“ti”, “ta”, “tu”) refer to things pointed at by the</w:t>
      </w:r>
      <w:r>
        <w:rPr>
          <w:rStyle w:val="deletedparamark"/>
        </w:rPr>
        <w:t xml:space="preserve"> </w:t>
      </w:r>
      <w:r>
        <w:t>speaker, or when pointing is not possible, to things near or far from the</w:t>
      </w:r>
      <w:r>
        <w:rPr>
          <w:rStyle w:val="deletedparamark"/>
        </w:rPr>
        <w:t xml:space="preserve"> </w:t>
      </w:r>
      <w:r>
        <w:t>speaker: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name=e13d7&gt;</w:t>
      </w:r>
      <w:r>
        <w:t>13.7)</w:t>
      </w:r>
      <w:r>
        <w:tab/>
        <w:t xml:space="preserve">ko muvgau </w:t>
      </w:r>
    </w:p>
    <w:p w:rsidR="00B72047" w:rsidRDefault="00B72047">
      <w:pPr>
        <w:pStyle w:val="examplescaled"/>
        <w:ind w:firstLine="576"/>
      </w:pPr>
      <w:r>
        <w:t>ti ta tu</w:t>
      </w:r>
    </w:p>
    <w:p w:rsidR="00B72047" w:rsidRDefault="00B72047">
      <w:pPr>
        <w:pStyle w:val="examplescaled"/>
      </w:pPr>
      <w:r>
        <w:tab/>
        <w:t xml:space="preserve">You [imperative] move </w:t>
      </w:r>
    </w:p>
    <w:p w:rsidR="00B72047" w:rsidRDefault="00B72047">
      <w:pPr>
        <w:pStyle w:val="examplescaled"/>
        <w:ind w:firstLine="576"/>
      </w:pPr>
      <w:r>
        <w:t>this-thing from-that-nearby-place to-that-further-away-place.</w:t>
      </w:r>
    </w:p>
    <w:p w:rsidR="00B72047" w:rsidRDefault="00B72047">
      <w:pPr>
        <w:pStyle w:val="examplescaled"/>
      </w:pPr>
      <w:r>
        <w:tab/>
        <w:t>Move this from there to over there!</w:t>
      </w:r>
    </w:p>
    <w:p w:rsidR="00B72047" w:rsidRDefault="00B72047">
      <w:pPr>
        <w:pStyle w:val="normalafterexample"/>
      </w:pPr>
      <w:r>
        <w:rPr>
          <w:rStyle w:val="htmlcodes"/>
        </w:rPr>
        <w:t>&lt;/pre&gt;</w:t>
      </w:r>
      <w:r>
        <w:rPr>
          <w:rStyle w:val="indexentry"/>
        </w:rPr>
        <w:t>&lt;cx "metalinguistic pro-sumti"&gt;</w:t>
      </w:r>
      <w:r>
        <w:rPr>
          <w:rStyle w:val="indexentry"/>
        </w:rPr>
        <w:fldChar w:fldCharType="begin"/>
      </w:r>
      <w:r>
        <w:instrText>xe "</w:instrText>
      </w:r>
      <w:r>
        <w:rPr>
          <w:rStyle w:val="xeentry"/>
        </w:rPr>
        <w:instrText>metalinguistic pro-sumti</w:instrText>
      </w:r>
      <w:r>
        <w:instrText>"</w:instrText>
      </w:r>
      <w:r>
        <w:rPr>
          <w:rStyle w:val="indexentry"/>
        </w:rPr>
        <w:fldChar w:fldCharType="end"/>
      </w:r>
      <w:r>
        <w:t>Metalinguistic pro-sumti (“di'u”, “de'u”, “da'u”, “di'e”, “de'e”, “da'e”,</w:t>
      </w:r>
      <w:r>
        <w:rPr>
          <w:rStyle w:val="deletedparamark"/>
        </w:rPr>
        <w:t xml:space="preserve"> “</w:t>
      </w:r>
      <w:r>
        <w:t>dei”, “do'i”) refer to spoken or written utterances, either pre</w:t>
      </w:r>
      <w:r>
        <w:softHyphen/>
        <w:t>ceding,</w:t>
      </w:r>
      <w:r>
        <w:rPr>
          <w:rStyle w:val="deletedparamark"/>
        </w:rPr>
        <w:t xml:space="preserve"> </w:t>
      </w:r>
      <w:r>
        <w:t>following, or the same as the cu</w:t>
      </w:r>
      <w:r>
        <w:t>r</w:t>
      </w:r>
      <w:r>
        <w:softHyphen/>
        <w:t>rent utterance.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name=e13d8&gt;</w:t>
      </w:r>
      <w:r>
        <w:t>13.8)</w:t>
      </w:r>
      <w:r>
        <w:tab/>
        <w:t>li re su'i re du li vo</w:t>
      </w:r>
    </w:p>
    <w:p w:rsidR="00B72047" w:rsidRDefault="00B72047">
      <w:pPr>
        <w:pStyle w:val="examplescaled"/>
      </w:pPr>
      <w:r>
        <w:tab/>
      </w:r>
      <w:r>
        <w:tab/>
        <w:t>.i la’edi'u jetnu</w:t>
      </w:r>
    </w:p>
    <w:p w:rsidR="00B72047" w:rsidRDefault="00B72047">
      <w:pPr>
        <w:pStyle w:val="examplescaled"/>
      </w:pPr>
      <w:r>
        <w:tab/>
        <w:t>The-number two plus two equals the-number four.</w:t>
      </w:r>
    </w:p>
    <w:p w:rsidR="00B72047" w:rsidRDefault="00B72047">
      <w:pPr>
        <w:pStyle w:val="examplescaled"/>
      </w:pPr>
      <w:r>
        <w:tab/>
      </w:r>
      <w:r>
        <w:tab/>
        <w:t>The-previous-utterance is-true.</w:t>
      </w:r>
    </w:p>
    <w:p w:rsidR="00B72047" w:rsidRDefault="00B72047">
      <w:pPr>
        <w:pStyle w:val="resumedafterexample"/>
      </w:pPr>
      <w:r>
        <w:rPr>
          <w:rStyle w:val="htmlcodes"/>
        </w:rPr>
        <w:t>&lt;/pre&gt;</w:t>
      </w:r>
      <w:r>
        <w:rPr>
          <w:rStyle w:val="indexentry"/>
        </w:rPr>
        <w:t>&lt;cx "metalinguistic pro-sumti, implicit quantifier for"&gt;</w:t>
      </w:r>
      <w:r>
        <w:rPr>
          <w:rStyle w:val="indexentry"/>
        </w:rPr>
        <w:fldChar w:fldCharType="begin"/>
      </w:r>
      <w:r>
        <w:instrText>xe "</w:instrText>
      </w:r>
      <w:r>
        <w:rPr>
          <w:rStyle w:val="xeentry"/>
        </w:rPr>
        <w:instrText>metalinguistic pro-sumti: implicit quantifier for</w:instrText>
      </w:r>
      <w:r>
        <w:instrText>"</w:instrText>
      </w:r>
      <w:r>
        <w:rPr>
          <w:rStyle w:val="indexentry"/>
        </w:rPr>
        <w:fldChar w:fldCharType="end"/>
      </w:r>
      <w:r>
        <w:t>The implicit quantifier for metalinguistic pro-sumti is “su'o” (at least</w:t>
      </w:r>
      <w:r>
        <w:rPr>
          <w:rStyle w:val="deletedparamark"/>
        </w:rPr>
        <w:t xml:space="preserve"> </w:t>
      </w:r>
      <w:r>
        <w:t>one), because they are considered analogous to “lo” descriptions: they</w:t>
      </w:r>
      <w:r>
        <w:rPr>
          <w:rStyle w:val="deletedparamark"/>
        </w:rPr>
        <w:t xml:space="preserve"> </w:t>
      </w:r>
      <w:r>
        <w:t>refer to things which really are pre</w:t>
      </w:r>
      <w:r>
        <w:softHyphen/>
        <w:t>vious, current, or following</w:t>
      </w:r>
      <w:r>
        <w:rPr>
          <w:rStyle w:val="deletedparamark"/>
        </w:rPr>
        <w:t xml:space="preserve"> </w:t>
      </w:r>
      <w:r>
        <w:t>utterances.</w:t>
      </w:r>
    </w:p>
    <w:p w:rsidR="00B72047" w:rsidRDefault="00B72047">
      <w:pPr>
        <w:rPr>
          <w:rStyle w:val="htmlparacode"/>
        </w:rPr>
      </w:pPr>
      <w:r>
        <w:rPr>
          <w:rStyle w:val="htmlparacode"/>
        </w:rPr>
        <w:t>&lt;p&gt;</w:t>
      </w:r>
    </w:p>
    <w:p w:rsidR="00B72047" w:rsidRDefault="00B72047">
      <w:pPr>
        <w:pStyle w:val="normalparagraph"/>
      </w:pPr>
      <w:r>
        <w:rPr>
          <w:rStyle w:val="indexentry"/>
        </w:rPr>
        <w:t>&lt;cx "relative pro-sumti"&gt;</w:t>
      </w:r>
      <w:r>
        <w:rPr>
          <w:rStyle w:val="indexentry"/>
        </w:rPr>
        <w:fldChar w:fldCharType="begin"/>
      </w:r>
      <w:r>
        <w:instrText>xe "</w:instrText>
      </w:r>
      <w:r>
        <w:rPr>
          <w:rStyle w:val="xeentry"/>
        </w:rPr>
        <w:instrText>relative pro-sumti</w:instrText>
      </w:r>
      <w:r>
        <w:instrText>"</w:instrText>
      </w:r>
      <w:r>
        <w:rPr>
          <w:rStyle w:val="indexentry"/>
        </w:rPr>
        <w:fldChar w:fldCharType="end"/>
      </w:r>
      <w:r>
        <w:t>The relative pro-sumti (“ke'a”) is used within relative clauses (see</w:t>
      </w:r>
      <w:r>
        <w:rPr>
          <w:rStyle w:val="deletedparamark"/>
        </w:rPr>
        <w:t xml:space="preserve"> </w:t>
      </w:r>
      <w:r>
        <w:rPr>
          <w:rStyle w:val="htmlcodes"/>
        </w:rPr>
        <w:t>&lt;a href=chap8.html&gt;</w:t>
      </w:r>
      <w:r>
        <w:t xml:space="preserve">Chapter 8 </w:t>
      </w:r>
      <w:r>
        <w:rPr>
          <w:rStyle w:val="htmlcodes"/>
        </w:rPr>
        <w:t>&lt;/a&gt;</w:t>
      </w:r>
      <w:r>
        <w:t>for a discussion of relative clauses) to refer to what</w:t>
      </w:r>
      <w:r>
        <w:softHyphen/>
        <w:t>ever sumti</w:t>
      </w:r>
      <w:r>
        <w:rPr>
          <w:rStyle w:val="deletedparamark"/>
        </w:rPr>
        <w:t xml:space="preserve"> </w:t>
      </w:r>
      <w:r>
        <w:t>the relative clause is at</w:t>
      </w:r>
      <w:r>
        <w:softHyphen/>
        <w:t>tached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name=e13d9&gt;</w:t>
      </w:r>
      <w:r>
        <w:t>13.9)</w:t>
      </w:r>
      <w:r>
        <w:tab/>
        <w:t>mi viska le mlatu ku poi zo'e zbasu ke'a</w:t>
      </w:r>
    </w:p>
    <w:p w:rsidR="00B72047" w:rsidRDefault="00B72047">
      <w:pPr>
        <w:pStyle w:val="examplescaled"/>
      </w:pPr>
      <w:r>
        <w:tab/>
      </w:r>
      <w:r>
        <w:tab/>
        <w:t>loi slasi</w:t>
      </w:r>
    </w:p>
    <w:p w:rsidR="00B72047" w:rsidRDefault="00B72047">
      <w:pPr>
        <w:pStyle w:val="examplescaled"/>
      </w:pPr>
      <w:r>
        <w:tab/>
        <w:t>I see the cat(s) such-that something-unspecified makes it/them (the cats)</w:t>
      </w:r>
    </w:p>
    <w:p w:rsidR="00B72047" w:rsidRDefault="00B72047">
      <w:pPr>
        <w:pStyle w:val="examplescaled"/>
      </w:pPr>
      <w:r>
        <w:tab/>
      </w:r>
      <w:r>
        <w:tab/>
        <w:t>from-a-mass-of plastic.</w:t>
      </w:r>
    </w:p>
    <w:p w:rsidR="00B72047" w:rsidRDefault="00B72047">
      <w:pPr>
        <w:pStyle w:val="examplescaled"/>
      </w:pPr>
      <w:r>
        <w:tab/>
        <w:t>I see the cat(s) made of plastic.</w:t>
      </w:r>
    </w:p>
    <w:p w:rsidR="00B72047" w:rsidRDefault="00B72047">
      <w:pPr>
        <w:pStyle w:val="normalafterexample"/>
      </w:pPr>
      <w:r>
        <w:rPr>
          <w:rStyle w:val="htmlcodes"/>
        </w:rPr>
        <w:t>&lt;/pre&gt;</w:t>
      </w:r>
      <w:r>
        <w:rPr>
          <w:rStyle w:val="indexentry"/>
        </w:rPr>
        <w:t>&lt;cx "question pro-sumti"&gt;</w:t>
      </w:r>
      <w:r>
        <w:rPr>
          <w:rStyle w:val="indexentry"/>
        </w:rPr>
        <w:fldChar w:fldCharType="begin"/>
      </w:r>
      <w:r>
        <w:instrText>xe "</w:instrText>
      </w:r>
      <w:r>
        <w:rPr>
          <w:rStyle w:val="xeentry"/>
        </w:rPr>
        <w:instrText>question pro-sumti</w:instrText>
      </w:r>
      <w:r>
        <w:instrText>"</w:instrText>
      </w:r>
      <w:r>
        <w:rPr>
          <w:rStyle w:val="indexentry"/>
        </w:rPr>
        <w:fldChar w:fldCharType="end"/>
      </w:r>
      <w:r>
        <w:t>The question pro-sumti (“ma”) is used to ask questions which request the</w:t>
      </w:r>
      <w:r>
        <w:rPr>
          <w:rStyle w:val="deletedparamark"/>
        </w:rPr>
        <w:t xml:space="preserve"> </w:t>
      </w:r>
      <w:r>
        <w:t>lis</w:t>
      </w:r>
      <w:r>
        <w:softHyphen/>
        <w:t>tener to supply a sumti which will make the question into a truth: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name=e13d10&gt;</w:t>
      </w:r>
      <w:r>
        <w:t>13.10)</w:t>
      </w:r>
      <w:r>
        <w:tab/>
        <w:t>do klama ma</w:t>
      </w:r>
    </w:p>
    <w:p w:rsidR="00B72047" w:rsidRDefault="00B72047">
      <w:pPr>
        <w:pStyle w:val="examplescaled"/>
      </w:pPr>
      <w:r>
        <w:tab/>
        <w:t>You go to-what-sumti?</w:t>
      </w:r>
    </w:p>
    <w:p w:rsidR="00B72047" w:rsidRDefault="00B72047">
      <w:pPr>
        <w:pStyle w:val="examplescaled"/>
      </w:pPr>
      <w:r>
        <w:tab/>
        <w:t>Where are you going?</w:t>
      </w:r>
    </w:p>
    <w:p w:rsidR="00B72047" w:rsidRDefault="00B72047">
      <w:pPr>
        <w:pStyle w:val="resumedafterexample"/>
      </w:pPr>
      <w:r>
        <w:rPr>
          <w:rStyle w:val="htmlcodes"/>
        </w:rPr>
        <w:t>&lt;/pre&gt;</w:t>
      </w:r>
      <w:r>
        <w:rPr>
          <w:rStyle w:val="indexentry"/>
        </w:rPr>
        <w:t>&lt;cx "question pro-sumti, implicit quantifier for"&gt;</w:t>
      </w:r>
      <w:r>
        <w:rPr>
          <w:rStyle w:val="indexentry"/>
        </w:rPr>
        <w:fldChar w:fldCharType="begin"/>
      </w:r>
      <w:r>
        <w:instrText>xe "</w:instrText>
      </w:r>
      <w:r>
        <w:rPr>
          <w:rStyle w:val="xeentry"/>
        </w:rPr>
        <w:instrText>question pro-sumti: implicit quantifier for</w:instrText>
      </w:r>
      <w:r>
        <w:instrText>"</w:instrText>
      </w:r>
      <w:r>
        <w:rPr>
          <w:rStyle w:val="indexentry"/>
        </w:rPr>
        <w:fldChar w:fldCharType="end"/>
      </w:r>
      <w:r>
        <w:t>The implicit quantifier for the question pro-sumti is “su'o” (at least one),</w:t>
      </w:r>
      <w:r>
        <w:rPr>
          <w:rStyle w:val="deletedparamark"/>
        </w:rPr>
        <w:t xml:space="preserve"> </w:t>
      </w:r>
      <w:r>
        <w:t>because the li</w:t>
      </w:r>
      <w:r>
        <w:t>s</w:t>
      </w:r>
      <w:r>
        <w:softHyphen/>
        <w:t>tener is only being asked to supply a single an</w:t>
      </w:r>
      <w:r>
        <w:softHyphen/>
        <w:t>swer, not</w:t>
      </w:r>
      <w:r>
        <w:rPr>
          <w:rStyle w:val="deletedparamark"/>
        </w:rPr>
        <w:t xml:space="preserve"> </w:t>
      </w:r>
      <w:r>
        <w:t>all correct answers.</w:t>
      </w:r>
    </w:p>
    <w:p w:rsidR="00B72047" w:rsidRDefault="00B72047">
      <w:pPr>
        <w:rPr>
          <w:rStyle w:val="htmlparacode"/>
        </w:rPr>
      </w:pPr>
      <w:r>
        <w:rPr>
          <w:rStyle w:val="htmlparacode"/>
        </w:rPr>
        <w:t>&lt;p&gt;</w:t>
      </w:r>
    </w:p>
    <w:p w:rsidR="00B72047" w:rsidRDefault="00B72047">
      <w:pPr>
        <w:pStyle w:val="normalparagraph"/>
      </w:pPr>
      <w:r>
        <w:rPr>
          <w:rStyle w:val="indexentry"/>
        </w:rPr>
        <w:t>&lt;cx "definable pro-sumti, sequences of lerfu words as"&gt;</w:t>
      </w:r>
      <w:r>
        <w:rPr>
          <w:rStyle w:val="indexentry"/>
        </w:rPr>
        <w:fldChar w:fldCharType="begin"/>
      </w:r>
      <w:r>
        <w:instrText>xe "</w:instrText>
      </w:r>
      <w:r>
        <w:rPr>
          <w:rStyle w:val="xeentry"/>
        </w:rPr>
        <w:instrText>definable pro-sumti: sequences of lerfu words as</w:instrText>
      </w:r>
      <w:r>
        <w:instrText>"</w:instrText>
      </w:r>
      <w:r>
        <w:rPr>
          <w:rStyle w:val="indexentry"/>
        </w:rPr>
        <w:fldChar w:fldCharType="end"/>
      </w:r>
      <w:r>
        <w:t>In addition, sequences of lerfu words (of selma'o BY and re</w:t>
      </w:r>
      <w:r>
        <w:softHyphen/>
        <w:t>lated selma'o)</w:t>
      </w:r>
      <w:r>
        <w:rPr>
          <w:rStyle w:val="deletedparamark"/>
        </w:rPr>
        <w:t xml:space="preserve"> </w:t>
      </w:r>
      <w:r>
        <w:t>can also be used as definable pro-sumti.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259" w:name="_Toc395691548"/>
      <w:bookmarkStart w:id="260" w:name="_Toc398970519"/>
      <w:r>
        <w:rPr>
          <w:rStyle w:val="Heading3Text"/>
        </w:rPr>
        <w:t>Quotation summary</w:t>
      </w:r>
      <w:bookmarkEnd w:id="259"/>
      <w:bookmarkEnd w:id="26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"quotation, four kinds"&gt;</w:t>
      </w:r>
      <w:r>
        <w:rPr>
          <w:rStyle w:val="indexentry"/>
        </w:rPr>
        <w:fldChar w:fldCharType="begin"/>
      </w:r>
      <w:r>
        <w:instrText>xe "</w:instrText>
      </w:r>
      <w:r>
        <w:rPr>
          <w:rStyle w:val="xeentry"/>
        </w:rPr>
        <w:instrText>quotation: four kinds</w:instrText>
      </w:r>
      <w:r>
        <w:instrText>"</w:instrText>
      </w:r>
      <w:r>
        <w:rPr>
          <w:rStyle w:val="indexentry"/>
        </w:rPr>
        <w:fldChar w:fldCharType="end"/>
      </w:r>
      <w:r>
        <w:t>There are four kinds of quotation in Lojban: text quotation, words quotation,</w:t>
      </w:r>
      <w:r>
        <w:rPr>
          <w:rStyle w:val="deletedparamark"/>
        </w:rPr>
        <w:t xml:space="preserve"> </w:t>
      </w:r>
      <w:r>
        <w:t>si</w:t>
      </w:r>
      <w:r>
        <w:t>n</w:t>
      </w:r>
      <w:r>
        <w:t>gle-word quotation, non-Lojban quotation. More information is provided</w:t>
      </w:r>
      <w:r>
        <w:rPr>
          <w:rStyle w:val="deletedparamark"/>
        </w:rPr>
        <w:t xml:space="preserve"> </w:t>
      </w:r>
      <w:r>
        <w:t xml:space="preserve">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"text quotation, syntax of"&gt;</w:t>
      </w:r>
      <w:r>
        <w:rPr>
          <w:rStyle w:val="indexentry"/>
        </w:rPr>
        <w:fldChar w:fldCharType="begin"/>
      </w:r>
      <w:r>
        <w:instrText>xe "</w:instrText>
      </w:r>
      <w:r>
        <w:rPr>
          <w:rStyle w:val="xeentry"/>
        </w:rPr>
        <w:instrText>text quotation: syntax of</w:instrText>
      </w:r>
      <w:r>
        <w:instrText>"</w:instrText>
      </w:r>
      <w:r>
        <w:rPr>
          <w:rStyle w:val="indexentry"/>
        </w:rPr>
        <w:fldChar w:fldCharType="end"/>
      </w:r>
      <w:r>
        <w:rPr>
          <w:rStyle w:val="indexentry"/>
        </w:rPr>
        <w:t>&lt;cx "text quotation, as internally grammatical"&gt;</w:t>
      </w:r>
      <w:r>
        <w:rPr>
          <w:rStyle w:val="indexentry"/>
        </w:rPr>
        <w:fldChar w:fldCharType="begin"/>
      </w:r>
      <w:r>
        <w:instrText>xe "</w:instrText>
      </w:r>
      <w:r>
        <w:rPr>
          <w:rStyle w:val="xeentry"/>
        </w:rPr>
        <w:instrText>text quotation: as internally grammatical</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w:instrText>
      </w:r>
      <w:r>
        <w:instrText>"</w:instrText>
      </w:r>
      <w:r>
        <w:rPr>
          <w:rStyle w:val="indexentry"/>
        </w:rPr>
        <w:fldChar w:fldCharType="end"/>
      </w:r>
      <w:r>
        <w:rPr>
          <w:rStyle w:val="indexentry"/>
        </w:rPr>
        <w:t>&lt;lx "li'u"&gt;</w:t>
      </w:r>
      <w:r>
        <w:rPr>
          <w:rStyle w:val="indexentry"/>
        </w:rPr>
        <w:fldChar w:fldCharType="begin"/>
      </w:r>
      <w:r>
        <w:instrText>xe "</w:instrText>
      </w:r>
      <w:r>
        <w:rPr>
          <w:rStyle w:val="xeentry"/>
        </w:rPr>
        <w:instrText>li'u</w:instrText>
      </w:r>
      <w:r>
        <w:instrText>"</w:instrText>
      </w:r>
      <w:r>
        <w:rPr>
          <w:rStyle w:val="indexentry"/>
        </w:rPr>
        <w:fldChar w:fldCharType="end"/>
      </w:r>
      <w:r>
        <w:t>Text quotations are preceded by “lu” and followed by “li'u”, and are an</w:t>
      </w:r>
      <w:r>
        <w:rPr>
          <w:rStyle w:val="deletedparamark"/>
        </w:rPr>
        <w:t xml:space="preserve"> </w:t>
      </w:r>
      <w:r>
        <w:t>essen</w:t>
      </w:r>
      <w:r>
        <w:softHyphen/>
        <w:t>tial part of the surrounding text: they must be grammatical Lojban</w:t>
      </w:r>
      <w:r>
        <w:rPr>
          <w:rStyle w:val="deletedparamark"/>
        </w:rPr>
        <w:t xml:space="preserve"> </w:t>
      </w:r>
      <w:r>
        <w:t>texts.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name=e14d1&gt;</w:t>
      </w:r>
      <w:r>
        <w:t>14.1)</w:t>
      </w:r>
      <w:r>
        <w:tab/>
        <w:t>mi cusku lu mi'e djan. li'u</w:t>
      </w:r>
    </w:p>
    <w:p w:rsidR="00B72047" w:rsidRDefault="00B72047">
      <w:pPr>
        <w:pStyle w:val="examplescaled"/>
      </w:pPr>
      <w:r>
        <w:tab/>
        <w:t>I say the-text [quote] I-am John [unquote].</w:t>
      </w:r>
    </w:p>
    <w:p w:rsidR="00B72047" w:rsidRDefault="00B72047">
      <w:pPr>
        <w:pStyle w:val="examplescaled"/>
      </w:pPr>
      <w:r>
        <w:tab/>
        <w:t>I say “I'm John”.</w:t>
      </w:r>
    </w:p>
    <w:p w:rsidR="00B72047" w:rsidRDefault="00B72047">
      <w:pPr>
        <w:pStyle w:val="normalafterexample"/>
      </w:pPr>
      <w:r>
        <w:rPr>
          <w:rStyle w:val="htmlcodes"/>
        </w:rPr>
        <w:t>&lt;/pre&gt;</w:t>
      </w:r>
      <w:r>
        <w:rPr>
          <w:rStyle w:val="indexentry"/>
        </w:rPr>
        <w:t>&lt;cx "word quotation, as morphologically valid"&gt;</w:t>
      </w:r>
      <w:r>
        <w:rPr>
          <w:rStyle w:val="indexentry"/>
        </w:rPr>
        <w:fldChar w:fldCharType="begin"/>
      </w:r>
      <w:r>
        <w:instrText>xe "</w:instrText>
      </w:r>
      <w:r>
        <w:rPr>
          <w:rStyle w:val="xeentry"/>
        </w:rPr>
        <w:instrText>word quotation: as morphologically valid</w:instrText>
      </w:r>
      <w:r>
        <w:instrText>"</w:instrText>
      </w:r>
      <w:r>
        <w:rPr>
          <w:rStyle w:val="indexentry"/>
        </w:rPr>
        <w:fldChar w:fldCharType="end"/>
      </w:r>
      <w:r>
        <w:rPr>
          <w:rStyle w:val="indexentry"/>
        </w:rPr>
        <w:t>&lt;cx "word quotation, internal grammar of"&gt;</w:t>
      </w:r>
      <w:r>
        <w:rPr>
          <w:rStyle w:val="indexentry"/>
        </w:rPr>
        <w:fldChar w:fldCharType="begin"/>
      </w:r>
      <w:r>
        <w:instrText>xe "</w:instrText>
      </w:r>
      <w:r>
        <w:rPr>
          <w:rStyle w:val="xeentry"/>
        </w:rPr>
        <w:instrText>word quotation: internal grammar of</w:instrText>
      </w:r>
      <w:r>
        <w:instrText>"</w:instrText>
      </w:r>
      <w:r>
        <w:rPr>
          <w:rStyle w:val="indexentry"/>
        </w:rPr>
        <w:fldChar w:fldCharType="end"/>
      </w:r>
      <w:r>
        <w:t>Words quotations are quotations of one or more Lojban words. The words</w:t>
      </w:r>
      <w:r>
        <w:rPr>
          <w:rStyle w:val="deletedparamark"/>
        </w:rPr>
        <w:t xml:space="preserve"> </w:t>
      </w:r>
      <w:r>
        <w:t>need not mean anything, but they must be mor</w:t>
      </w:r>
      <w:r>
        <w:softHyphen/>
        <w:t>phologically valid so that</w:t>
      </w:r>
      <w:r>
        <w:rPr>
          <w:rStyle w:val="deletedparamark"/>
        </w:rPr>
        <w:t xml:space="preserve"> </w:t>
      </w:r>
      <w:r>
        <w:t>the end of the quo</w:t>
      </w:r>
      <w:r>
        <w:softHyphen/>
        <w:t>tation can be discerned.</w:t>
      </w:r>
    </w:p>
    <w:p w:rsidR="00B72047" w:rsidRDefault="00B72047">
      <w:pPr>
        <w:rPr>
          <w:rStyle w:val="htmlparacode"/>
        </w:rPr>
      </w:pPr>
      <w:r>
        <w:rPr>
          <w:rStyle w:val="htmlparacode"/>
        </w:rPr>
        <w:t>&lt;p&gt;</w:t>
      </w:r>
    </w:p>
    <w:p w:rsidR="00B72047" w:rsidRDefault="00B72047">
      <w:pPr>
        <w:pStyle w:val="examplescaledpre"/>
      </w:pPr>
      <w:r>
        <w:rPr>
          <w:rStyle w:val="indexentry"/>
        </w:rPr>
        <w:t>&lt;lx "lo'u"&gt;</w:t>
      </w:r>
      <w:r>
        <w:rPr>
          <w:rStyle w:val="indexentry"/>
        </w:rPr>
        <w:fldChar w:fldCharType="begin"/>
      </w:r>
      <w:r>
        <w:instrText>xe "</w:instrText>
      </w:r>
      <w:r>
        <w:rPr>
          <w:rStyle w:val="xeentry"/>
        </w:rPr>
        <w:instrText>lo'u</w:instrText>
      </w:r>
      <w:r>
        <w:instrText>"</w:instrText>
      </w:r>
      <w:r>
        <w:rPr>
          <w:rStyle w:val="indexentry"/>
        </w:rPr>
        <w:fldChar w:fldCharType="end"/>
      </w:r>
      <w:r>
        <w:rPr>
          <w:rStyle w:val="indexentry"/>
        </w:rPr>
        <w:t>&lt;lx "le'u"&gt;</w:t>
      </w:r>
      <w:r>
        <w:rPr>
          <w:rStyle w:val="indexentry"/>
        </w:rPr>
        <w:fldChar w:fldCharType="begin"/>
      </w:r>
      <w:r>
        <w:instrText>xe "</w:instrText>
      </w:r>
      <w:r>
        <w:rPr>
          <w:rStyle w:val="xeentry"/>
        </w:rPr>
        <w:instrText>le'u</w:instrText>
      </w:r>
      <w:r>
        <w:instrText>"</w:instrText>
      </w:r>
      <w:r>
        <w:rPr>
          <w:rStyle w:val="indexentry"/>
        </w:rPr>
        <w:fldChar w:fldCharType="end"/>
      </w:r>
      <w:r>
        <w:rPr>
          <w:rStyle w:val="htmlcodes"/>
        </w:rPr>
        <w:t>&lt;pre&gt;&lt;a name=e14d2&gt;</w:t>
      </w:r>
      <w:r>
        <w:t>14.2)</w:t>
      </w:r>
      <w:r>
        <w:tab/>
        <w:t>mi cusku lo'u li mi le'u</w:t>
      </w:r>
    </w:p>
    <w:p w:rsidR="00B72047" w:rsidRDefault="00B72047">
      <w:pPr>
        <w:pStyle w:val="examplescaled"/>
      </w:pPr>
      <w:r>
        <w:tab/>
        <w:t>I say the-words [quote] “li mi” [unquote].</w:t>
      </w:r>
    </w:p>
    <w:p w:rsidR="00B72047" w:rsidRDefault="00B72047">
      <w:pPr>
        <w:pStyle w:val="examplescaled"/>
      </w:pPr>
      <w:r>
        <w:tab/>
        <w:t>I say “li mi”.</w:t>
      </w:r>
    </w:p>
    <w:p w:rsidR="00B72047" w:rsidRDefault="00B72047">
      <w:pPr>
        <w:pStyle w:val="resumedafterexample"/>
      </w:pPr>
      <w:r>
        <w:rPr>
          <w:rStyle w:val="htmlcodes"/>
        </w:rPr>
        <w:t>&lt;/pre&gt;&lt;p&gt;</w:t>
      </w:r>
      <w:r>
        <w:t xml:space="preserve">Note that the translation of </w:t>
      </w:r>
      <w:r>
        <w:rPr>
          <w:rStyle w:val="htmlcodes"/>
        </w:rPr>
        <w:t>&lt;a href=#e14d2&gt;</w:t>
      </w:r>
      <w:r>
        <w:t xml:space="preserve">Example 14.2 </w:t>
      </w:r>
      <w:r>
        <w:rPr>
          <w:rStyle w:val="htmlcodes"/>
        </w:rPr>
        <w:t>&lt;/a&gt;</w:t>
      </w:r>
      <w:r>
        <w:t>does not translate the Loj</w:t>
      </w:r>
      <w:r>
        <w:softHyphen/>
        <w:t>ban</w:t>
      </w:r>
      <w:r>
        <w:rPr>
          <w:rStyle w:val="deletedparamark"/>
        </w:rPr>
        <w:t xml:space="preserve"> </w:t>
      </w:r>
      <w:r>
        <w:t>words, because they are not presumed to have any meaning (in fact, they</w:t>
      </w:r>
      <w:r>
        <w:rPr>
          <w:rStyle w:val="deletedparamark"/>
        </w:rPr>
        <w:t xml:space="preserve"> </w:t>
      </w:r>
      <w:r>
        <w:t>are ungrammatical).</w:t>
      </w:r>
    </w:p>
    <w:p w:rsidR="00B72047" w:rsidRDefault="00B72047">
      <w:pPr>
        <w:rPr>
          <w:rStyle w:val="htmlparacode"/>
        </w:rPr>
      </w:pPr>
      <w:r>
        <w:rPr>
          <w:rStyle w:val="htmlparacode"/>
        </w:rPr>
        <w:t>&lt;p&gt;</w:t>
      </w:r>
    </w:p>
    <w:p w:rsidR="00B72047" w:rsidRDefault="00B72047">
      <w:pPr>
        <w:pStyle w:val="normalparagraph"/>
      </w:pPr>
      <w:r>
        <w:rPr>
          <w:rStyle w:val="indexentry"/>
        </w:rPr>
        <w:t>&lt;cx "single-word quotation"&gt;</w:t>
      </w:r>
      <w:r>
        <w:rPr>
          <w:rStyle w:val="indexentry"/>
        </w:rPr>
        <w:fldChar w:fldCharType="begin"/>
      </w:r>
      <w:r>
        <w:instrText>xe "</w:instrText>
      </w:r>
      <w:r>
        <w:rPr>
          <w:rStyle w:val="xeentry"/>
        </w:rPr>
        <w:instrText>single-word quotation</w:instrText>
      </w:r>
      <w:r>
        <w:instrText>"</w:instrText>
      </w:r>
      <w:r>
        <w:rPr>
          <w:rStyle w:val="indexentry"/>
        </w:rPr>
        <w:fldChar w:fldCharType="end"/>
      </w:r>
      <w:r>
        <w:t>Single-word quotation quotes a single Lojban word. Com</w:t>
      </w:r>
      <w:r>
        <w:softHyphen/>
        <w:t>pound cmavo are</w:t>
      </w:r>
      <w:r>
        <w:rPr>
          <w:rStyle w:val="deletedparamark"/>
        </w:rPr>
        <w:t xml:space="preserve"> </w:t>
      </w:r>
      <w:r>
        <w:t>not a</w:t>
      </w:r>
      <w:r>
        <w:t>l</w:t>
      </w:r>
      <w:r>
        <w:softHyphen/>
        <w:t>lowed.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name=e14d3&gt;</w:t>
      </w:r>
      <w:r>
        <w:t>14.3)</w:t>
      </w:r>
      <w:r>
        <w:tab/>
        <w:t>mi cusku zo .ai</w:t>
      </w:r>
    </w:p>
    <w:p w:rsidR="00B72047" w:rsidRDefault="00B72047">
      <w:pPr>
        <w:pStyle w:val="examplescaled"/>
      </w:pPr>
      <w:r>
        <w:tab/>
        <w:t>I say the-word “.ai”.</w:t>
      </w:r>
    </w:p>
    <w:p w:rsidR="00B72047" w:rsidRDefault="00B72047">
      <w:pPr>
        <w:pStyle w:val="normalafterexample"/>
      </w:pPr>
      <w:r>
        <w:rPr>
          <w:rStyle w:val="htmlcodes"/>
        </w:rPr>
        <w:t>&lt;/pre&gt;</w:t>
      </w:r>
      <w:r>
        <w:rPr>
          <w:rStyle w:val="indexentry"/>
        </w:rPr>
        <w:t>&lt;cx "non-Lojban quotation"&gt;</w:t>
      </w:r>
      <w:r>
        <w:rPr>
          <w:rStyle w:val="indexentry"/>
        </w:rPr>
        <w:fldChar w:fldCharType="begin"/>
      </w:r>
      <w:r>
        <w:instrText>xe "</w:instrText>
      </w:r>
      <w:r>
        <w:rPr>
          <w:rStyle w:val="xeentry"/>
        </w:rPr>
        <w:instrText>non-Lojban quotation</w:instrText>
      </w:r>
      <w:r>
        <w:instrText>"</w:instrText>
      </w:r>
      <w:r>
        <w:rPr>
          <w:rStyle w:val="indexentry"/>
        </w:rPr>
        <w:fldChar w:fldCharType="end"/>
      </w:r>
      <w:r>
        <w:t>Non-Lojban quotation can quote anything, Lojban or not, even non-speech</w:t>
      </w:r>
      <w:r>
        <w:rPr>
          <w:rStyle w:val="deletedparamark"/>
        </w:rPr>
        <w:t xml:space="preserve"> </w:t>
      </w:r>
      <w:r>
        <w:t>such as drum talk, whistle words, music, or belch</w:t>
      </w:r>
      <w:r>
        <w:softHyphen/>
        <w:t>ing. A Lojban word</w:t>
      </w:r>
      <w:r>
        <w:rPr>
          <w:rStyle w:val="deletedparamark"/>
        </w:rPr>
        <w:t xml:space="preserve"> </w:t>
      </w:r>
      <w:r>
        <w:t>which does not appear within the quotation is used before and after it</w:t>
      </w:r>
      <w:r>
        <w:rPr>
          <w:rStyle w:val="deletedparamark"/>
        </w:rPr>
        <w:t xml:space="preserve"> </w:t>
      </w:r>
      <w:r>
        <w:t>to set it off from the surrounding Lojban text.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name=e14d4&gt;</w:t>
      </w:r>
      <w:r>
        <w:t>14.4)</w:t>
      </w:r>
      <w:r>
        <w:tab/>
        <w:t>mi cusku zoi kuot. I'm John .kuot</w:t>
      </w:r>
    </w:p>
    <w:p w:rsidR="00B72047" w:rsidRDefault="00B72047">
      <w:pPr>
        <w:pStyle w:val="examplescaled"/>
      </w:pPr>
      <w:r>
        <w:tab/>
        <w:t>I say “I'm John”.</w:t>
      </w:r>
    </w:p>
    <w:p w:rsidR="00B72047" w:rsidRDefault="00B72047">
      <w:pPr>
        <w:pStyle w:val="normalafterexample"/>
      </w:pPr>
      <w:r>
        <w:rPr>
          <w:rStyle w:val="htmlcodes"/>
        </w:rPr>
        <w:t>&lt;/pre&gt;</w:t>
      </w:r>
      <w:r>
        <w:rPr>
          <w:rStyle w:val="indexentry"/>
        </w:rPr>
        <w:t>&lt;cx "quotation, implicit quantifier for"&gt;</w:t>
      </w:r>
      <w:r>
        <w:rPr>
          <w:rStyle w:val="indexentry"/>
        </w:rPr>
        <w:fldChar w:fldCharType="begin"/>
      </w:r>
      <w:r>
        <w:instrText>xe "</w:instrText>
      </w:r>
      <w:r>
        <w:rPr>
          <w:rStyle w:val="xeentry"/>
        </w:rPr>
        <w:instrText>quotation: implicit quantifier for</w:instrText>
      </w:r>
      <w:r>
        <w:instrText>"</w:instrText>
      </w:r>
      <w:r>
        <w:rPr>
          <w:rStyle w:val="indexentry"/>
        </w:rPr>
        <w:fldChar w:fldCharType="end"/>
      </w:r>
      <w:r>
        <w:t>The implicit quantifier for all types of quotation is “su'o” (at least</w:t>
      </w:r>
      <w:r>
        <w:rPr>
          <w:rStyle w:val="deletedparamark"/>
        </w:rPr>
        <w:t xml:space="preserve"> </w:t>
      </w:r>
      <w:r>
        <w:t>one), be</w:t>
      </w:r>
      <w:r>
        <w:softHyphen/>
        <w:t>cause quotations are analogous to “lo” descriptions: they refer</w:t>
      </w:r>
      <w:r>
        <w:rPr>
          <w:rStyle w:val="deletedparamark"/>
        </w:rPr>
        <w:t xml:space="preserve"> </w:t>
      </w:r>
      <w:r>
        <w:t>to things which actually are words or sequences of words.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261" w:name="_Toc395691549"/>
      <w:bookmarkStart w:id="262" w:name="_Toc398970520"/>
      <w:r>
        <w:rPr>
          <w:rStyle w:val="Heading3Text"/>
        </w:rPr>
        <w:t>Number summary</w:t>
      </w:r>
      <w:bookmarkEnd w:id="261"/>
      <w:bookmarkEnd w:id="26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"number sumti, syntax of"&gt;</w:t>
      </w:r>
      <w:r>
        <w:rPr>
          <w:rStyle w:val="indexentry"/>
        </w:rPr>
        <w:fldChar w:fldCharType="begin"/>
      </w:r>
      <w:r>
        <w:instrText>xe "</w:instrText>
      </w:r>
      <w:r>
        <w:rPr>
          <w:rStyle w:val="xeentry"/>
        </w:rPr>
        <w:instrText>number sumti: syntax of</w:instrText>
      </w:r>
      <w:r>
        <w:instrText>"</w:instrText>
      </w:r>
      <w:r>
        <w:rPr>
          <w:rStyle w:val="indexentry"/>
        </w:rPr>
        <w:fldChar w:fldCharType="end"/>
      </w:r>
      <w:r>
        <w:rPr>
          <w:rStyle w:val="indexentry"/>
        </w:rPr>
        <w:t>&lt;cx "number sumti, with li"&gt;</w:t>
      </w:r>
      <w:r>
        <w:rPr>
          <w:rStyle w:val="indexentry"/>
        </w:rPr>
        <w:fldChar w:fldCharType="begin"/>
      </w:r>
      <w:r>
        <w:instrText>xe "</w:instrText>
      </w:r>
      <w:r>
        <w:rPr>
          <w:rStyle w:val="xeentry"/>
        </w:rPr>
        <w:instrText>number sumti: with li</w:instrText>
      </w:r>
      <w:r>
        <w:instrText>"</w:instrText>
      </w:r>
      <w:r>
        <w:rPr>
          <w:rStyle w:val="indexentry"/>
        </w:rPr>
        <w:fldChar w:fldCharType="end"/>
      </w:r>
      <w:r>
        <w:rPr>
          <w:rStyle w:val="indexentry"/>
        </w:rPr>
        <w:t>&lt;lx "li"&gt;</w:t>
      </w:r>
      <w:r>
        <w:rPr>
          <w:rStyle w:val="indexentry"/>
        </w:rPr>
        <w:fldChar w:fldCharType="begin"/>
      </w:r>
      <w:r>
        <w:instrText>xe "</w:instrText>
      </w:r>
      <w:r>
        <w:rPr>
          <w:rStyle w:val="xeentry"/>
        </w:rPr>
        <w:instrText>li</w:instrText>
      </w:r>
      <w:r>
        <w:instrText>"</w:instrText>
      </w:r>
      <w:r>
        <w:rPr>
          <w:rStyle w:val="indexentry"/>
        </w:rPr>
        <w:fldChar w:fldCharType="end"/>
      </w:r>
      <w:r>
        <w:t>The sumti which refer to numbers consist of the cmavo “li” (of selma'o</w:t>
      </w:r>
      <w:r>
        <w:rPr>
          <w:rStyle w:val="deletedparamark"/>
        </w:rPr>
        <w:t xml:space="preserve"> </w:t>
      </w:r>
      <w:r>
        <w:t>LI) followed by an arbitrary Lojban mekso, or mathematical expression.</w:t>
      </w:r>
      <w:r>
        <w:rPr>
          <w:rStyle w:val="deletedparamark"/>
        </w:rPr>
        <w:t xml:space="preserve"> </w:t>
      </w:r>
      <w:r>
        <w:t>This can be any</w:t>
      </w:r>
      <w:r>
        <w:softHyphen/>
        <w:t>thing from a simple number up to the most complicated</w:t>
      </w:r>
      <w:r>
        <w:rPr>
          <w:rStyle w:val="deletedparamark"/>
        </w:rPr>
        <w:t xml:space="preserve"> </w:t>
      </w:r>
      <w:r>
        <w:t>combination of numbers, vari</w:t>
      </w:r>
      <w:r>
        <w:softHyphen/>
        <w:t>ables, operators, and so on. Much more</w:t>
      </w:r>
      <w:r>
        <w:rPr>
          <w:rStyle w:val="deletedparamark"/>
        </w:rPr>
        <w:t xml:space="preserve"> </w:t>
      </w:r>
      <w:r>
        <w:t xml:space="preserve">information on numbers is given in </w:t>
      </w:r>
      <w:r>
        <w:rPr>
          <w:rStyle w:val="htmlcodes"/>
        </w:rPr>
        <w:t>&lt;a href=chap18.html&gt;</w:t>
      </w:r>
      <w:r>
        <w:t>Chapter 18</w:t>
      </w:r>
      <w:r>
        <w:rPr>
          <w:rStyle w:val="htmlcodes"/>
        </w:rPr>
        <w:t>&lt;/a&gt;</w:t>
      </w:r>
      <w:r>
        <w:t>. Here are a few examples</w:t>
      </w:r>
      <w:r>
        <w:rPr>
          <w:rStyle w:val="deletedparamark"/>
        </w:rPr>
        <w:t xml:space="preserve"> </w:t>
      </w:r>
      <w:r>
        <w:t>of increasing complexity: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li vo</w:t>
      </w:r>
    </w:p>
    <w:p w:rsidR="00B72047" w:rsidRDefault="00B72047">
      <w:pPr>
        <w:pStyle w:val="examplescaled"/>
      </w:pPr>
      <w:r>
        <w:tab/>
        <w:t>the-number four</w:t>
      </w:r>
    </w:p>
    <w:p w:rsidR="00B72047" w:rsidRDefault="00B72047">
      <w:pPr>
        <w:pStyle w:val="examplescaled"/>
      </w:pPr>
      <w:r>
        <w:tab/>
      </w:r>
      <w:r>
        <w:rPr>
          <w:rStyle w:val="math"/>
        </w:rPr>
        <w:t>4</w:t>
      </w:r>
    </w:p>
    <w:p w:rsidR="00B72047" w:rsidRDefault="00B72047">
      <w:pPr>
        <w:pStyle w:val="examplescaledpre"/>
      </w:pPr>
      <w:r>
        <w:rPr>
          <w:rStyle w:val="htmlcodes"/>
        </w:rPr>
        <w:t>&lt;a name=e15d2&gt;</w:t>
      </w:r>
      <w:r>
        <w:t>15.2)</w:t>
      </w:r>
      <w:r>
        <w:tab/>
        <w:t>li re su'i re</w:t>
      </w:r>
    </w:p>
    <w:p w:rsidR="00B72047" w:rsidRDefault="00B72047">
      <w:pPr>
        <w:pStyle w:val="examplescaled"/>
      </w:pPr>
      <w:r>
        <w:tab/>
        <w:t>the-number two plus two</w:t>
      </w:r>
    </w:p>
    <w:p w:rsidR="00B72047" w:rsidRDefault="00B72047">
      <w:pPr>
        <w:pStyle w:val="examplescaled"/>
      </w:pPr>
      <w:r>
        <w:tab/>
      </w:r>
      <w:r>
        <w:rPr>
          <w:rStyle w:val="htmlcodes"/>
        </w:rPr>
        <w:t>&lt;math&gt;</w:t>
      </w:r>
      <w:r>
        <w:rPr>
          <w:rStyle w:val="math"/>
        </w:rPr>
        <w:t>2 + 2</w:t>
      </w:r>
      <w:r>
        <w:rPr>
          <w:rStyle w:val="htmlcodes"/>
        </w:rPr>
        <w:t>&lt;/math&gt;</w:t>
      </w:r>
    </w:p>
    <w:p w:rsidR="00B72047" w:rsidRDefault="00B72047">
      <w:pPr>
        <w:pStyle w:val="examplescaledpre"/>
      </w:pPr>
      <w:r>
        <w:rPr>
          <w:rStyle w:val="htmlcodes"/>
        </w:rPr>
        <w:t>&lt;a name=e15d3&gt;</w:t>
      </w:r>
      <w:r>
        <w:t>15.3)</w:t>
      </w:r>
      <w:r>
        <w:tab/>
        <w:t>li .abu bopi'i xy. bote'a re su'i by. bopi'i xy. su'i cy.</w:t>
      </w:r>
    </w:p>
    <w:p w:rsidR="00B72047" w:rsidRDefault="00B72047">
      <w:pPr>
        <w:pStyle w:val="examplescaled"/>
      </w:pPr>
      <w:r>
        <w:tab/>
        <w:t>the-number a times x to-power 2 plus b times x plus c</w:t>
      </w:r>
    </w:p>
    <w:p w:rsidR="00B72047" w:rsidRDefault="00B72047">
      <w:pPr>
        <w:pStyle w:val="examplescaled"/>
      </w:pPr>
      <w:r>
        <w:tab/>
      </w:r>
      <w:r>
        <w:rPr>
          <w:rStyle w:val="htmlcodes"/>
        </w:rPr>
        <w:t>&lt;math&gt;</w:t>
      </w:r>
      <w:r>
        <w:rPr>
          <w:rStyle w:val="math"/>
          <w:i/>
          <w:iCs/>
        </w:rPr>
        <w:t>a</w:t>
      </w:r>
      <w:r>
        <w:rPr>
          <w:rStyle w:val="math"/>
        </w:rPr>
        <w:t>x</w:t>
      </w:r>
      <w:r>
        <w:rPr>
          <w:rStyle w:val="htmlcodes"/>
        </w:rPr>
        <w:t>&lt;sup&gt;</w:t>
      </w:r>
      <w:r>
        <w:rPr>
          <w:rStyle w:val="Superscript"/>
        </w:rPr>
        <w:t>2</w:t>
      </w:r>
      <w:r>
        <w:rPr>
          <w:rStyle w:val="htmlcodes"/>
        </w:rPr>
        <w:t>&lt;/sup&gt;</w:t>
      </w:r>
      <w:r>
        <w:rPr>
          <w:rStyle w:val="math"/>
        </w:rPr>
        <w:t>+</w:t>
      </w:r>
      <w:r>
        <w:rPr>
          <w:rStyle w:val="math"/>
          <w:i/>
          <w:iCs/>
        </w:rPr>
        <w:t xml:space="preserve"> b</w:t>
      </w:r>
      <w:r>
        <w:rPr>
          <w:rStyle w:val="math"/>
        </w:rPr>
        <w:t>x +</w:t>
      </w:r>
      <w:r>
        <w:rPr>
          <w:rStyle w:val="math"/>
          <w:i/>
          <w:iCs/>
        </w:rPr>
        <w:t xml:space="preserve"> c</w:t>
      </w:r>
      <w:r>
        <w:rPr>
          <w:rStyle w:val="htmlcodes"/>
        </w:rPr>
        <w:t>&lt;/math&gt;</w:t>
      </w:r>
    </w:p>
    <w:p w:rsidR="00B72047" w:rsidRDefault="00B72047">
      <w:pPr>
        <w:pStyle w:val="normalafterexample"/>
      </w:pPr>
      <w:r>
        <w:rPr>
          <w:rStyle w:val="htmlcodes"/>
        </w:rPr>
        <w:t>&lt;/pre&gt;</w:t>
      </w:r>
      <w:r>
        <w:rPr>
          <w:rStyle w:val="indexentry"/>
        </w:rPr>
        <w:t>&lt;cx "number sumti, with me'o"&gt;</w:t>
      </w:r>
      <w:r>
        <w:rPr>
          <w:rStyle w:val="indexentry"/>
        </w:rPr>
        <w:fldChar w:fldCharType="begin"/>
      </w:r>
      <w:r>
        <w:instrText>xe "</w:instrText>
      </w:r>
      <w:r>
        <w:rPr>
          <w:rStyle w:val="xeentry"/>
        </w:rPr>
        <w:instrText>number sumti: with me'o</w:instrText>
      </w:r>
      <w:r>
        <w:instrText>"</w:instrText>
      </w:r>
      <w:r>
        <w:rPr>
          <w:rStyle w:val="indexentry"/>
        </w:rPr>
        <w:fldChar w:fldCharType="end"/>
      </w:r>
      <w:r>
        <w:rPr>
          <w:rStyle w:val="indexentry"/>
        </w:rPr>
        <w:t>&lt;cx "me'o"&gt;</w:t>
      </w:r>
      <w:r>
        <w:rPr>
          <w:rStyle w:val="indexentry"/>
        </w:rPr>
        <w:fldChar w:fldCharType="begin"/>
      </w:r>
      <w:r>
        <w:instrText>xe "</w:instrText>
      </w:r>
      <w:r>
        <w:rPr>
          <w:rStyle w:val="xeentry"/>
        </w:rPr>
        <w:instrText>me'o</w:instrText>
      </w:r>
      <w:r>
        <w:instrText>"</w:instrText>
      </w:r>
      <w:r>
        <w:rPr>
          <w:rStyle w:val="indexentry"/>
        </w:rPr>
        <w:fldChar w:fldCharType="end"/>
      </w:r>
      <w:r>
        <w:rPr>
          <w:rStyle w:val="indexentry"/>
        </w:rPr>
        <w:t>&lt;cx "LI"&gt;</w:t>
      </w:r>
      <w:r>
        <w:rPr>
          <w:rStyle w:val="indexentry"/>
        </w:rPr>
        <w:fldChar w:fldCharType="begin"/>
      </w:r>
      <w:r>
        <w:instrText>xe "</w:instrText>
      </w:r>
      <w:r>
        <w:rPr>
          <w:rStyle w:val="xeentry"/>
        </w:rPr>
        <w:instrText>LI selma’o</w:instrText>
      </w:r>
      <w:r>
        <w:instrText>"</w:instrText>
      </w:r>
      <w:r>
        <w:rPr>
          <w:rStyle w:val="indexentry"/>
        </w:rPr>
        <w:fldChar w:fldCharType="end"/>
      </w:r>
      <w:r>
        <w:rPr>
          <w:rStyle w:val="indexentry"/>
        </w:rPr>
        <w:t>&lt;cx "number sumti, with me'o contrasted with li"&gt;</w:t>
      </w:r>
      <w:r>
        <w:rPr>
          <w:rStyle w:val="indexentry"/>
        </w:rPr>
        <w:fldChar w:fldCharType="begin"/>
      </w:r>
      <w:r>
        <w:instrText>xe "</w:instrText>
      </w:r>
      <w:r>
        <w:rPr>
          <w:rStyle w:val="xeentry"/>
        </w:rPr>
        <w:instrText>number sumti: with me'o contrasted with li</w:instrText>
      </w:r>
      <w:r>
        <w:instrText>"</w:instrText>
      </w:r>
      <w:r>
        <w:rPr>
          <w:rStyle w:val="indexentry"/>
        </w:rPr>
        <w:fldChar w:fldCharType="end"/>
      </w:r>
      <w:r>
        <w:rPr>
          <w:rStyle w:val="indexentry"/>
        </w:rPr>
        <w:t>&lt;cx "number sumti, with li contrasted with me'o"&gt;</w:t>
      </w:r>
      <w:r>
        <w:rPr>
          <w:rStyle w:val="indexentry"/>
        </w:rPr>
        <w:fldChar w:fldCharType="begin"/>
      </w:r>
      <w:r>
        <w:instrText>xe "</w:instrText>
      </w:r>
      <w:r>
        <w:rPr>
          <w:rStyle w:val="xeentry"/>
        </w:rPr>
        <w:instrText>number sumti: with li contrasted with me'o</w:instrText>
      </w:r>
      <w:r>
        <w:instrText>"</w:instrText>
      </w:r>
      <w:r>
        <w:rPr>
          <w:rStyle w:val="indexentry"/>
        </w:rPr>
        <w:fldChar w:fldCharType="end"/>
      </w:r>
      <w:r>
        <w:t>An alternative to “li” is “me'o”, also of selma'o LI. Number ex</w:t>
      </w:r>
      <w:r>
        <w:softHyphen/>
        <w:t>pressions</w:t>
      </w:r>
      <w:r>
        <w:rPr>
          <w:rStyle w:val="deletedparamark"/>
        </w:rPr>
        <w:t xml:space="preserve"> </w:t>
      </w:r>
      <w:r>
        <w:t>begin</w:t>
      </w:r>
      <w:r>
        <w:softHyphen/>
        <w:t>ning with “me'o” refer to the actual expression, rather than its</w:t>
      </w:r>
      <w:r>
        <w:rPr>
          <w:rStyle w:val="deletedparamark"/>
        </w:rPr>
        <w:t xml:space="preserve"> </w:t>
      </w:r>
      <w:r>
        <w:t xml:space="preserve">value. Thus </w:t>
      </w:r>
      <w:r>
        <w:rPr>
          <w:rStyle w:val="htmlcodes"/>
        </w:rPr>
        <w:t>&lt;a href=#e15d1&gt;</w:t>
      </w:r>
      <w:r>
        <w:t xml:space="preserve">Example 15.1 </w:t>
      </w:r>
      <w:r>
        <w:rPr>
          <w:rStyle w:val="htmlcodes"/>
        </w:rPr>
        <w:t>&lt;/a&gt;</w:t>
      </w:r>
      <w:r>
        <w:t xml:space="preserve">and </w:t>
      </w:r>
      <w:r>
        <w:rPr>
          <w:rStyle w:val="htmlcodes"/>
        </w:rPr>
        <w:t>&lt;a href=#e15d2&gt;</w:t>
      </w:r>
      <w:r>
        <w:t xml:space="preserve">Example 15.2 </w:t>
      </w:r>
      <w:r>
        <w:rPr>
          <w:rStyle w:val="htmlcodes"/>
        </w:rPr>
        <w:t>&lt;/a&gt;</w:t>
      </w:r>
      <w:r>
        <w:t>above have the same meaning, the</w:t>
      </w:r>
      <w:r>
        <w:rPr>
          <w:rStyle w:val="deletedparamark"/>
        </w:rPr>
        <w:t xml:space="preserve"> </w:t>
      </w:r>
      <w:r>
        <w:t>number four,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name=e15d4&gt;</w:t>
      </w:r>
      <w:r>
        <w:t>15.4)</w:t>
      </w:r>
      <w:r>
        <w:tab/>
        <w:t>me'o vo</w:t>
      </w:r>
    </w:p>
    <w:p w:rsidR="00B72047" w:rsidRDefault="00B72047">
      <w:pPr>
        <w:pStyle w:val="examplescaled"/>
      </w:pPr>
      <w:r>
        <w:tab/>
        <w:t>the-expression four</w:t>
      </w:r>
    </w:p>
    <w:p w:rsidR="00B72047" w:rsidRDefault="00B72047">
      <w:pPr>
        <w:pStyle w:val="examplescaled"/>
      </w:pPr>
      <w:r>
        <w:tab/>
        <w:t>“4”</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name=e15d5&gt;</w:t>
      </w:r>
      <w:r>
        <w:t>15.5)</w:t>
      </w:r>
      <w:r>
        <w:tab/>
        <w:t>me'o re su'i re</w:t>
      </w:r>
    </w:p>
    <w:p w:rsidR="00B72047" w:rsidRDefault="00B72047">
      <w:pPr>
        <w:pStyle w:val="examplescaled"/>
      </w:pPr>
      <w:r>
        <w:tab/>
        <w:t>the-expression two plus two</w:t>
      </w:r>
    </w:p>
    <w:p w:rsidR="00B72047" w:rsidRDefault="00B72047">
      <w:pPr>
        <w:pStyle w:val="examplescaled"/>
      </w:pPr>
      <w:r>
        <w:tab/>
        <w:t>“2+2”</w:t>
      </w:r>
    </w:p>
    <w:p w:rsidR="00B72047" w:rsidRDefault="00B72047">
      <w:pPr>
        <w:pStyle w:val="resumedafterexample"/>
      </w:pPr>
      <w:r>
        <w:rPr>
          <w:rStyle w:val="htmlcodes"/>
        </w:rPr>
        <w:t>&lt;/pre&gt;</w:t>
      </w:r>
      <w:r>
        <w:t>refer to different pieces of text.</w:t>
      </w:r>
    </w:p>
    <w:p w:rsidR="00B72047" w:rsidRDefault="00B72047">
      <w:pPr>
        <w:rPr>
          <w:rStyle w:val="htmlparacode"/>
        </w:rPr>
      </w:pPr>
      <w:r>
        <w:rPr>
          <w:rStyle w:val="htmlparacode"/>
        </w:rPr>
        <w:t>&lt;p&gt;</w:t>
      </w:r>
    </w:p>
    <w:p w:rsidR="00B72047" w:rsidRDefault="00B72047">
      <w:pPr>
        <w:pStyle w:val="normalparagraph"/>
      </w:pPr>
      <w:r>
        <w:rPr>
          <w:rStyle w:val="indexentry"/>
        </w:rPr>
        <w:t>&lt;cx "numbers, implicit quantifier for"&gt;</w:t>
      </w:r>
      <w:r>
        <w:rPr>
          <w:rStyle w:val="indexentry"/>
        </w:rPr>
        <w:fldChar w:fldCharType="begin"/>
      </w:r>
      <w:r>
        <w:instrText>xe "</w:instrText>
      </w:r>
      <w:r>
        <w:rPr>
          <w:rStyle w:val="xeentry"/>
        </w:rPr>
        <w:instrText>numbers: implicit quantifier for</w:instrText>
      </w:r>
      <w:r>
        <w:instrText>"</w:instrText>
      </w:r>
      <w:r>
        <w:rPr>
          <w:rStyle w:val="indexentry"/>
        </w:rPr>
        <w:fldChar w:fldCharType="end"/>
      </w:r>
      <w:r>
        <w:rPr>
          <w:rStyle w:val="indexentry"/>
        </w:rPr>
        <w:t>&lt;cx "mathematical expressions, implicit quantifier for"&gt;</w:t>
      </w:r>
      <w:r>
        <w:rPr>
          <w:rStyle w:val="indexentry"/>
        </w:rPr>
        <w:fldChar w:fldCharType="begin"/>
      </w:r>
      <w:r>
        <w:instrText>xe "</w:instrText>
      </w:r>
      <w:r>
        <w:rPr>
          <w:rStyle w:val="xeentry"/>
        </w:rPr>
        <w:instrText>mathematical expressions: implicit quantifier for</w:instrText>
      </w:r>
      <w:r>
        <w:instrText>"</w:instrText>
      </w:r>
      <w:r>
        <w:rPr>
          <w:rStyle w:val="indexentry"/>
        </w:rPr>
        <w:fldChar w:fldCharType="end"/>
      </w:r>
      <w:r>
        <w:t>The implicit quantifier for numbers and mathematical expres</w:t>
      </w:r>
      <w:r>
        <w:softHyphen/>
        <w:t>sions is</w:t>
      </w:r>
      <w:r>
        <w:rPr>
          <w:rStyle w:val="deletedparamark"/>
        </w:rPr>
        <w:t xml:space="preserve"> “</w:t>
      </w:r>
      <w:r>
        <w:t>su'o”, because these sumti are analogous to “lo” descrip</w:t>
      </w:r>
      <w:r>
        <w:softHyphen/>
        <w:t>tions: they</w:t>
      </w:r>
      <w:r>
        <w:rPr>
          <w:rStyle w:val="deletedparamark"/>
        </w:rPr>
        <w:t xml:space="preserve"> </w:t>
      </w:r>
      <w:r>
        <w:t>refer to things which actu</w:t>
      </w:r>
      <w:r>
        <w:softHyphen/>
        <w:t>ally are numbers or pieces of text. In the</w:t>
      </w:r>
      <w:r>
        <w:rPr>
          <w:rStyle w:val="deletedparamark"/>
        </w:rPr>
        <w:t xml:space="preserve"> </w:t>
      </w:r>
      <w:r>
        <w:t>case of numbers (with “li”), this is a distinc</w:t>
      </w:r>
      <w:r>
        <w:softHyphen/>
        <w:t>tion without a difference,</w:t>
      </w:r>
      <w:r>
        <w:rPr>
          <w:rStyle w:val="deletedparamark"/>
        </w:rPr>
        <w:t xml:space="preserve"> </w:t>
      </w:r>
      <w:r>
        <w:t xml:space="preserve">as there is only one number which is </w:t>
      </w:r>
      <w:r>
        <w:rPr>
          <w:rStyle w:val="math"/>
        </w:rPr>
        <w:t>4</w:t>
      </w:r>
      <w:r>
        <w:t>; but there are many texts “4”,</w:t>
      </w:r>
      <w:r>
        <w:rPr>
          <w:rStyle w:val="deletedparamark"/>
        </w:rPr>
        <w:t xml:space="preserve"> </w:t>
      </w:r>
      <w:r>
        <w:t>as many as there are documents in which that nu</w:t>
      </w:r>
      <w:r>
        <w:softHyphen/>
        <w:t>meral appears.</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&lt;p&gt;</w:t>
      </w:r>
    </w:p>
    <w:p w:rsidR="00B72047" w:rsidRDefault="00B72047">
      <w:pPr>
        <w:rPr>
          <w:rStyle w:val="htmlcodes"/>
        </w:rPr>
      </w:pPr>
      <w:r>
        <w:rPr>
          <w:rStyle w:val="htmlcodes"/>
        </w:rPr>
        <w:t>&lt;/body&gt;&lt;/html&gt;</w:t>
      </w:r>
    </w:p>
    <w:p w:rsidR="00B72047" w:rsidRDefault="00B72047">
      <w:pPr>
        <w:pStyle w:val="resumedafterexample"/>
      </w:pPr>
      <w:r>
        <w:rPr>
          <w:rStyle w:val="htmlcodes"/>
        </w:rPr>
        <w:t>&lt;img src=chap7.gif alt=[Cartoon] align=center width=405 height=405&gt;</w:t>
      </w:r>
      <w:r>
        <w:pict>
          <v:shape id="_x0000_i1031" type="#_x0000_t75" style="width:356.25pt;height:547.5pt">
            <v:imagedata r:id="rId25" o:title="" croptop="-26474f" cropbottom="-26474f" cropleft="-6323f" cropright="-6323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263" w:name="_Toc395684269"/>
      <w:bookmarkStart w:id="264" w:name="_Toc395691550"/>
      <w:bookmarkStart w:id="265" w:name="_Toc395691786"/>
      <w:bookmarkStart w:id="266" w:name="_Toc398970521"/>
      <w:r>
        <w:t>Chapter 7</w:t>
      </w:r>
      <w:bookmarkEnd w:id="263"/>
      <w:bookmarkEnd w:id="264"/>
      <w:bookmarkEnd w:id="265"/>
      <w:bookmarkEnd w:id="266"/>
    </w:p>
    <w:p w:rsidR="00B72047" w:rsidRDefault="00B72047">
      <w:pPr>
        <w:pStyle w:val="Heading2"/>
        <w:rPr>
          <w:rStyle w:val="htmlcodes"/>
        </w:rPr>
      </w:pPr>
      <w:r>
        <w:rPr>
          <w:rStyle w:val="htmlcodes"/>
        </w:rPr>
        <w:t>&lt;br&gt;</w:t>
      </w:r>
    </w:p>
    <w:p w:rsidR="00B72047" w:rsidRDefault="00B72047">
      <w:pPr>
        <w:pStyle w:val="Heading2"/>
      </w:pPr>
      <w:bookmarkStart w:id="267" w:name="_Toc395691551"/>
      <w:bookmarkStart w:id="268" w:name="_Toc398970522"/>
      <w:r>
        <w:t>Brevity Is The Soul Of Language: Pro-sumti And Pro-bridi</w:t>
      </w:r>
      <w:bookmarkEnd w:id="267"/>
      <w:bookmarkEnd w:id="268"/>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269" w:name="_Toc395691552"/>
      <w:bookmarkStart w:id="270" w:name="_Toc398970523"/>
      <w:r>
        <w:rPr>
          <w:rStyle w:val="Heading3Text"/>
        </w:rPr>
        <w:t>What are pro-sumti and pro-bridi? What are they for?</w:t>
      </w:r>
      <w:bookmarkEnd w:id="269"/>
      <w:bookmarkEnd w:id="27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"pronouns in English, as noun abbreviations"&gt;</w:t>
      </w:r>
      <w:r>
        <w:rPr>
          <w:rStyle w:val="indexentry"/>
        </w:rPr>
        <w:fldChar w:fldCharType="begin"/>
      </w:r>
      <w:r>
        <w:instrText>xe "</w:instrText>
      </w:r>
      <w:r>
        <w:rPr>
          <w:rStyle w:val="xeentry"/>
        </w:rPr>
        <w:instrText>pronouns in English: as noun abbreviations</w:instrText>
      </w:r>
      <w:r>
        <w:instrText>"</w:instrText>
      </w:r>
      <w:r>
        <w:rPr>
          <w:rStyle w:val="indexentry"/>
        </w:rPr>
        <w:fldChar w:fldCharType="end"/>
      </w:r>
      <w:r>
        <w:t>Speakers of Lojban, like speakers of other languages, require mechanisms</w:t>
      </w:r>
      <w:r>
        <w:rPr>
          <w:rStyle w:val="deletedparamark"/>
        </w:rPr>
        <w:t xml:space="preserve"> </w:t>
      </w:r>
      <w:r>
        <w:t>of abbr</w:t>
      </w:r>
      <w:r>
        <w:t>e</w:t>
      </w:r>
      <w:r>
        <w:softHyphen/>
        <w:t>viation. If every time we referred to something, we had to express</w:t>
      </w:r>
      <w:r>
        <w:rPr>
          <w:rStyle w:val="deletedparamark"/>
        </w:rPr>
        <w:t xml:space="preserve"> </w:t>
      </w:r>
      <w:r>
        <w:t>a complete de</w:t>
      </w:r>
      <w:r>
        <w:softHyphen/>
        <w:t>scription of it, life would be too short to say what we have</w:t>
      </w:r>
      <w:r>
        <w:rPr>
          <w:rStyle w:val="deletedparamark"/>
        </w:rPr>
        <w:t xml:space="preserve"> </w:t>
      </w:r>
      <w:r>
        <w:t>to say. In English, we have words called “pronouns” which allow us to</w:t>
      </w:r>
      <w:r>
        <w:rPr>
          <w:rStyle w:val="deletedparamark"/>
        </w:rPr>
        <w:t xml:space="preserve"> </w:t>
      </w:r>
      <w:r>
        <w:t>replace nouns or noun phrases with shorter terms. An En</w:t>
      </w:r>
      <w:r>
        <w:t>g</w:t>
      </w:r>
      <w:r>
        <w:softHyphen/>
        <w:t>lish with no</w:t>
      </w:r>
      <w:r>
        <w:rPr>
          <w:rStyle w:val="deletedparamark"/>
        </w:rPr>
        <w:t xml:space="preserve"> </w:t>
      </w:r>
      <w:r>
        <w:t>pronouns might look something like this: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Speakers of Lojban, like speakers of other languages, require mechanisms of</w:t>
      </w:r>
    </w:p>
    <w:p w:rsidR="00B72047" w:rsidRDefault="00B72047">
      <w:pPr>
        <w:pStyle w:val="examplescaled"/>
        <w:ind w:firstLine="0"/>
      </w:pPr>
      <w:r>
        <w:t>abbreviation. If every time speakers of Lojban referred to a thing to which</w:t>
      </w:r>
    </w:p>
    <w:p w:rsidR="00B72047" w:rsidRDefault="00B72047">
      <w:pPr>
        <w:pStyle w:val="examplescaled"/>
      </w:pPr>
      <w:r>
        <w:tab/>
        <w:t>speakers of Lojban refer, speakers of Lojban had to express a complete</w:t>
      </w:r>
    </w:p>
    <w:p w:rsidR="00B72047" w:rsidRDefault="00B72047">
      <w:pPr>
        <w:pStyle w:val="examplescaled"/>
        <w:ind w:firstLine="0"/>
      </w:pPr>
      <w:r>
        <w:t>description of what speakers of Lojban referred to, life would be too short to</w:t>
      </w:r>
    </w:p>
    <w:p w:rsidR="00B72047" w:rsidRDefault="00B72047">
      <w:pPr>
        <w:pStyle w:val="examplescaled"/>
        <w:ind w:firstLine="0"/>
      </w:pPr>
      <w:r>
        <w:t>say what speakers of Lojban have to say.</w:t>
      </w:r>
    </w:p>
    <w:p w:rsidR="00B72047" w:rsidRDefault="00B72047">
      <w:pPr>
        <w:pStyle w:val="resumedafterexample"/>
      </w:pPr>
      <w:r>
        <w:rPr>
          <w:rStyle w:val="htmlcodes"/>
        </w:rPr>
        <w:t>&lt;/pre&gt;</w:t>
      </w:r>
      <w:r>
        <w:rPr>
          <w:rStyle w:val="indexentry"/>
        </w:rPr>
        <w:t>&lt;cx "pronouns in English, as independent of abbreviations"&gt;</w:t>
      </w:r>
      <w:r>
        <w:rPr>
          <w:rStyle w:val="indexentry"/>
        </w:rPr>
        <w:fldChar w:fldCharType="begin"/>
      </w:r>
      <w:r>
        <w:instrText>xe "</w:instrText>
      </w:r>
      <w:r>
        <w:rPr>
          <w:rStyle w:val="xeentry"/>
        </w:rPr>
        <w:instrText>pronouns in English: as independent of abbreviations</w:instrText>
      </w:r>
      <w:r>
        <w:instrText>"</w:instrText>
      </w:r>
      <w:r>
        <w:rPr>
          <w:rStyle w:val="indexentry"/>
        </w:rPr>
        <w:fldChar w:fldCharType="end"/>
      </w:r>
      <w:r>
        <w:t>Speakers of this kind of English would get mightily sick of talking.</w:t>
      </w:r>
      <w:r>
        <w:rPr>
          <w:rStyle w:val="deletedparamark"/>
        </w:rPr>
        <w:t xml:space="preserve"> </w:t>
      </w:r>
      <w:r>
        <w:t>Furthermore, there are uses of pronouns in English which are inde</w:t>
      </w:r>
      <w:r>
        <w:softHyphen/>
        <w:t>pendent</w:t>
      </w:r>
      <w:r>
        <w:rPr>
          <w:rStyle w:val="deletedparamark"/>
        </w:rPr>
        <w:t xml:space="preserve"> </w:t>
      </w:r>
      <w:r>
        <w:t>of abbreviation. There is all the difference in the world be</w:t>
      </w:r>
      <w:r>
        <w:softHyphen/>
        <w:t>tween:</w:t>
      </w:r>
    </w:p>
    <w:p w:rsidR="00B72047" w:rsidRDefault="00B72047">
      <w:pPr>
        <w:rPr>
          <w:rStyle w:val="htmlparacode"/>
        </w:rPr>
      </w:pPr>
      <w:r>
        <w:rPr>
          <w:rStyle w:val="htmlparacode"/>
        </w:rPr>
        <w:t>&lt;p&gt;</w:t>
      </w:r>
    </w:p>
    <w:p w:rsidR="00B72047" w:rsidRDefault="00B72047">
      <w:pPr>
        <w:pStyle w:val="examplescaledpre"/>
      </w:pPr>
      <w:r>
        <w:rPr>
          <w:rStyle w:val="indexentry"/>
        </w:rPr>
        <w:t>&lt;ex "shook stick"&gt;</w:t>
      </w:r>
      <w:r>
        <w:rPr>
          <w:rStyle w:val="indexentry"/>
        </w:rPr>
        <w:fldChar w:fldCharType="begin"/>
      </w:r>
      <w:r>
        <w:instrText>xe "</w:instrText>
      </w:r>
      <w:r>
        <w:rPr>
          <w:rStyle w:val="xeentry"/>
        </w:rPr>
        <w:instrText>shook stick: example</w:instrText>
      </w:r>
      <w:r>
        <w:instrText>"</w:instrText>
      </w:r>
      <w:r>
        <w:rPr>
          <w:rStyle w:val="indexentry"/>
        </w:rPr>
        <w:fldChar w:fldCharType="end"/>
      </w:r>
      <w:r>
        <w:rPr>
          <w:rStyle w:val="htmlcodes"/>
        </w:rPr>
        <w:t>&lt;pre&gt;&lt;a name=e1d2&gt;</w:t>
      </w:r>
      <w:r>
        <w:t>1.2)</w:t>
      </w:r>
      <w:r>
        <w:tab/>
        <w:t>John picked up a stick and shook it.</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name=e1d3&gt;</w:t>
      </w:r>
      <w:r>
        <w:t>1.3)</w:t>
      </w:r>
      <w:r>
        <w:tab/>
        <w:t>John picked up a stick and shook a stick.</w:t>
      </w:r>
    </w:p>
    <w:p w:rsidR="00B72047" w:rsidRDefault="00B72047">
      <w:pPr>
        <w:pStyle w:val="resumedafterexample"/>
      </w:pPr>
      <w:r>
        <w:rPr>
          <w:rStyle w:val="htmlcodes"/>
        </w:rPr>
        <w:t>&lt;/pre&gt;&lt;a href=#e1d3&gt;</w:t>
      </w:r>
      <w:r>
        <w:t xml:space="preserve">Example 1.3 </w:t>
      </w:r>
      <w:r>
        <w:rPr>
          <w:rStyle w:val="htmlcodes"/>
        </w:rPr>
        <w:t>&lt;/a&gt;</w:t>
      </w:r>
      <w:r>
        <w:t>does not imply that the two sticks are necessarily the same,</w:t>
      </w:r>
      <w:r>
        <w:rPr>
          <w:rStyle w:val="deletedparamark"/>
        </w:rPr>
        <w:t xml:space="preserve"> </w:t>
      </w:r>
      <w:r>
        <w:t xml:space="preserve">whereas </w:t>
      </w:r>
      <w:r>
        <w:rPr>
          <w:rStyle w:val="htmlcodes"/>
        </w:rPr>
        <w:t>&lt;a href=#e1d2&gt;</w:t>
      </w:r>
      <w:r>
        <w:t>Ex</w:t>
      </w:r>
      <w:r>
        <w:softHyphen/>
        <w:t>am</w:t>
      </w:r>
      <w:r>
        <w:softHyphen/>
        <w:t xml:space="preserve">ple 1.2 </w:t>
      </w:r>
      <w:r>
        <w:rPr>
          <w:rStyle w:val="htmlcodes"/>
        </w:rPr>
        <w:t>&lt;/a&gt;</w:t>
      </w:r>
      <w:r>
        <w:t>requires that they are.</w:t>
      </w:r>
    </w:p>
    <w:p w:rsidR="00B72047" w:rsidRDefault="00B72047">
      <w:pPr>
        <w:rPr>
          <w:rStyle w:val="htmlparacode"/>
        </w:rPr>
      </w:pPr>
      <w:r>
        <w:rPr>
          <w:rStyle w:val="htmlparacode"/>
        </w:rPr>
        <w:t>&lt;p&gt;</w:t>
      </w:r>
    </w:p>
    <w:p w:rsidR="00B72047" w:rsidRDefault="00B72047">
      <w:pPr>
        <w:pStyle w:val="normalparagraph"/>
      </w:pPr>
      <w:r>
        <w:rPr>
          <w:rStyle w:val="indexentry"/>
        </w:rPr>
        <w:t>&lt;cx "pronouns, compared to pro-sumti in usage as abbreviations"&gt;</w:t>
      </w:r>
      <w:r>
        <w:rPr>
          <w:rStyle w:val="indexentry"/>
        </w:rPr>
        <w:fldChar w:fldCharType="begin"/>
      </w:r>
      <w:r>
        <w:instrText>xe "</w:instrText>
      </w:r>
      <w:r>
        <w:rPr>
          <w:rStyle w:val="xeentry"/>
        </w:rPr>
        <w:instrText>pronouns: compared to pro-sumti in usage as abbreviations</w:instrText>
      </w:r>
      <w:r>
        <w:instrText>"</w:instrText>
      </w:r>
      <w:r>
        <w:rPr>
          <w:rStyle w:val="indexentry"/>
        </w:rPr>
        <w:fldChar w:fldCharType="end"/>
      </w:r>
      <w:r>
        <w:rPr>
          <w:rStyle w:val="indexentry"/>
        </w:rPr>
        <w:t>&lt;cx "pro-sumti, compared to pronouns in usage as abbreviations"&gt;</w:t>
      </w:r>
      <w:r>
        <w:rPr>
          <w:rStyle w:val="indexentry"/>
        </w:rPr>
        <w:fldChar w:fldCharType="begin"/>
      </w:r>
      <w:r>
        <w:instrText>xe "</w:instrText>
      </w:r>
      <w:r>
        <w:rPr>
          <w:rStyle w:val="xeentry"/>
        </w:rPr>
        <w:instrText>pro-sumti: compared to pronouns in usage as abbreviations</w:instrText>
      </w:r>
      <w:r>
        <w:instrText>"</w:instrText>
      </w:r>
      <w:r>
        <w:rPr>
          <w:rStyle w:val="indexentry"/>
        </w:rPr>
        <w:fldChar w:fldCharType="end"/>
      </w:r>
      <w:r>
        <w:rPr>
          <w:rStyle w:val="indexentry"/>
        </w:rPr>
        <w:t>&lt;cx "pro-sumti, definition"&gt;</w:t>
      </w:r>
      <w:r>
        <w:rPr>
          <w:rStyle w:val="indexentry"/>
        </w:rPr>
        <w:fldChar w:fldCharType="begin"/>
      </w:r>
      <w:r>
        <w:instrText>xe "</w:instrText>
      </w:r>
      <w:r>
        <w:rPr>
          <w:rStyle w:val="xeentry"/>
        </w:rPr>
        <w:instrText>pro-sumti: definition</w:instrText>
      </w:r>
      <w:r>
        <w:instrText>"</w:instrText>
      </w:r>
      <w:r>
        <w:rPr>
          <w:rStyle w:val="indexentry"/>
        </w:rPr>
        <w:fldChar w:fldCharType="end"/>
      </w:r>
      <w:r>
        <w:rPr>
          <w:rStyle w:val="indexentry"/>
        </w:rPr>
        <w:t>&lt;cx "pro-bridi, definition"&gt;</w:t>
      </w:r>
      <w:r>
        <w:rPr>
          <w:rStyle w:val="indexentry"/>
        </w:rPr>
        <w:fldChar w:fldCharType="begin"/>
      </w:r>
      <w:r>
        <w:instrText>xe "</w:instrText>
      </w:r>
      <w:r>
        <w:rPr>
          <w:rStyle w:val="xeentry"/>
        </w:rPr>
        <w:instrText>pro-bridi: definition</w:instrText>
      </w:r>
      <w:r>
        <w:instrText>"</w:instrText>
      </w:r>
      <w:r>
        <w:rPr>
          <w:rStyle w:val="indexentry"/>
        </w:rPr>
        <w:fldChar w:fldCharType="end"/>
      </w:r>
      <w:r>
        <w:rPr>
          <w:rStyle w:val="indexentry"/>
        </w:rPr>
        <w:t>&lt;lx "KOhA"&gt;</w:t>
      </w:r>
      <w:r>
        <w:rPr>
          <w:rStyle w:val="indexentry"/>
        </w:rPr>
        <w:fldChar w:fldCharType="begin"/>
      </w:r>
      <w:r>
        <w:instrText>xe "</w:instrText>
      </w:r>
      <w:r>
        <w:rPr>
          <w:rStyle w:val="xeentry"/>
        </w:rPr>
        <w:instrText>KOhA selma’o</w:instrText>
      </w:r>
      <w:r>
        <w:instrText>"</w:instrText>
      </w:r>
      <w:r>
        <w:rPr>
          <w:rStyle w:val="indexentry"/>
        </w:rPr>
        <w:fldChar w:fldCharType="end"/>
      </w:r>
      <w:r>
        <w:rPr>
          <w:rStyle w:val="indexentry"/>
        </w:rPr>
        <w:t>&lt;lx "GOhA"&gt;</w:t>
      </w:r>
      <w:r>
        <w:rPr>
          <w:rStyle w:val="indexentry"/>
        </w:rPr>
        <w:fldChar w:fldCharType="begin"/>
      </w:r>
      <w:r>
        <w:instrText>xe "</w:instrText>
      </w:r>
      <w:r>
        <w:rPr>
          <w:rStyle w:val="xeentry"/>
        </w:rPr>
        <w:instrText>GOhA selma’o</w:instrText>
      </w:r>
      <w:r>
        <w:instrText>"</w:instrText>
      </w:r>
      <w:r>
        <w:rPr>
          <w:rStyle w:val="indexentry"/>
        </w:rPr>
        <w:fldChar w:fldCharType="end"/>
      </w:r>
      <w:r>
        <w:rPr>
          <w:rStyle w:val="indexentry"/>
        </w:rPr>
        <w:t>&lt;cx "pro-bridi, compared to pro-sumti as means of abbreviation"&gt;</w:t>
      </w:r>
      <w:r>
        <w:rPr>
          <w:rStyle w:val="indexentry"/>
        </w:rPr>
        <w:fldChar w:fldCharType="begin"/>
      </w:r>
      <w:r>
        <w:instrText>xe "</w:instrText>
      </w:r>
      <w:r>
        <w:rPr>
          <w:rStyle w:val="xeentry"/>
        </w:rPr>
        <w:instrText>pro-bridi: compared to pro-sumti as means of abbreviation</w:instrText>
      </w:r>
      <w:r>
        <w:instrText>"</w:instrText>
      </w:r>
      <w:r>
        <w:rPr>
          <w:rStyle w:val="indexentry"/>
        </w:rPr>
        <w:fldChar w:fldCharType="end"/>
      </w:r>
      <w:r>
        <w:rPr>
          <w:rStyle w:val="indexentry"/>
        </w:rPr>
        <w:t>&lt;cx "pro-sumti, compared to pro-bridi as means of abbreviation"&gt;</w:t>
      </w:r>
      <w:r>
        <w:rPr>
          <w:rStyle w:val="indexentry"/>
        </w:rPr>
        <w:fldChar w:fldCharType="begin"/>
      </w:r>
      <w:r>
        <w:instrText>xe "</w:instrText>
      </w:r>
      <w:r>
        <w:rPr>
          <w:rStyle w:val="xeentry"/>
        </w:rPr>
        <w:instrText>pro-sumti: compared to pro-bridi as means of abbreviation</w:instrText>
      </w:r>
      <w:r>
        <w:instrText>"</w:instrText>
      </w:r>
      <w:r>
        <w:rPr>
          <w:rStyle w:val="indexentry"/>
        </w:rPr>
        <w:fldChar w:fldCharType="end"/>
      </w:r>
      <w:r>
        <w:rPr>
          <w:rStyle w:val="indexentry"/>
        </w:rPr>
        <w:t>&lt;cx "pro-sumti, series"&gt;</w:t>
      </w:r>
      <w:r>
        <w:rPr>
          <w:rStyle w:val="indexentry"/>
        </w:rPr>
        <w:fldChar w:fldCharType="begin"/>
      </w:r>
      <w:r>
        <w:instrText>xe "</w:instrText>
      </w:r>
      <w:r>
        <w:rPr>
          <w:rStyle w:val="xeentry"/>
        </w:rPr>
        <w:instrText>pro-sumti: series</w:instrText>
      </w:r>
      <w:r>
        <w:instrText>"</w:instrText>
      </w:r>
      <w:r>
        <w:rPr>
          <w:rStyle w:val="indexentry"/>
        </w:rPr>
        <w:fldChar w:fldCharType="end"/>
      </w:r>
      <w:r>
        <w:t>In Lojban, we have sumti rather than nouns, so our equiva</w:t>
      </w:r>
      <w:r>
        <w:softHyphen/>
        <w:t>lent of pronouns</w:t>
      </w:r>
      <w:r>
        <w:rPr>
          <w:rStyle w:val="deletedparamark"/>
        </w:rPr>
        <w:t xml:space="preserve"> </w:t>
      </w:r>
      <w:r>
        <w:t>are called by the hybrid term “pro-sumti”. A purely Lojban term would</w:t>
      </w:r>
      <w:r>
        <w:rPr>
          <w:rStyle w:val="deletedparamark"/>
        </w:rPr>
        <w:t xml:space="preserve"> </w:t>
      </w:r>
      <w:r>
        <w:t>be “sumti cmavo”: all of the pro-sumti are cmavo belonging to selma'o KOhA.</w:t>
      </w:r>
      <w:r>
        <w:rPr>
          <w:rStyle w:val="deletedparamark"/>
        </w:rPr>
        <w:t xml:space="preserve"> </w:t>
      </w:r>
      <w:r>
        <w:t>In exactly the same way, Lojban has a group of cmavo (belonging to selma'o</w:t>
      </w:r>
      <w:r>
        <w:rPr>
          <w:rStyle w:val="deletedparamark"/>
        </w:rPr>
        <w:t xml:space="preserve"> </w:t>
      </w:r>
      <w:r>
        <w:t>GOhA) which serve as selbri or full bridi. These may be called “pro-bridi”</w:t>
      </w:r>
      <w:r>
        <w:rPr>
          <w:rStyle w:val="deletedparamark"/>
        </w:rPr>
        <w:t xml:space="preserve"> </w:t>
      </w:r>
      <w:r>
        <w:t>or “bridi cmavo”. This chap</w:t>
      </w:r>
      <w:r>
        <w:softHyphen/>
        <w:t>ter explains the uses of all the members of selma'o KOhA</w:t>
      </w:r>
      <w:r>
        <w:rPr>
          <w:rStyle w:val="deletedparamark"/>
        </w:rPr>
        <w:t xml:space="preserve"> </w:t>
      </w:r>
      <w:r>
        <w:t>and GOhA. They fall into a number of groups, known as s</w:t>
      </w:r>
      <w:r>
        <w:t>e</w:t>
      </w:r>
      <w:r>
        <w:softHyphen/>
        <w:t>ries: thus, in</w:t>
      </w:r>
      <w:r>
        <w:rPr>
          <w:rStyle w:val="deletedparamark"/>
        </w:rPr>
        <w:t xml:space="preserve"> </w:t>
      </w:r>
      <w:r>
        <w:t>selma'o KOhA, we have among others the mi-series, the ko'a-series, the</w:t>
      </w:r>
      <w:r>
        <w:rPr>
          <w:rStyle w:val="deletedparamark"/>
        </w:rPr>
        <w:t xml:space="preserve"> </w:t>
      </w:r>
      <w:r>
        <w:t>da-series, and so on. In each section, a series of pro-sumti is</w:t>
      </w:r>
      <w:r>
        <w:rPr>
          <w:rStyle w:val="deletedparamark"/>
        </w:rPr>
        <w:t xml:space="preserve"> </w:t>
      </w:r>
      <w:r>
        <w:t>explained, and if there is a co</w:t>
      </w:r>
      <w:r>
        <w:t>r</w:t>
      </w:r>
      <w:r>
        <w:softHyphen/>
        <w:t>responding series of pro-bridi, it is</w:t>
      </w:r>
      <w:r>
        <w:rPr>
          <w:rStyle w:val="deletedparamark"/>
        </w:rPr>
        <w:t xml:space="preserve"> </w:t>
      </w:r>
      <w:r>
        <w:t>explained and contrasted. Many pro-sumti series don't have pro-bridi</w:t>
      </w:r>
      <w:r>
        <w:rPr>
          <w:rStyle w:val="deletedparamark"/>
        </w:rPr>
        <w:t xml:space="preserve"> </w:t>
      </w:r>
      <w:r>
        <w:t>analogues, however.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"referent of pro-sumti, definition"&gt;</w:t>
      </w:r>
      <w:r>
        <w:rPr>
          <w:rStyle w:val="indexentry"/>
        </w:rPr>
        <w:fldChar w:fldCharType="begin"/>
      </w:r>
      <w:r>
        <w:instrText>xe "</w:instrText>
      </w:r>
      <w:r>
        <w:rPr>
          <w:rStyle w:val="xeentry"/>
        </w:rPr>
        <w:instrText>referent of pro-sumti: definition</w:instrText>
      </w:r>
      <w:r>
        <w:instrText>"</w:instrText>
      </w:r>
      <w:r>
        <w:rPr>
          <w:rStyle w:val="indexentry"/>
        </w:rPr>
        <w:fldChar w:fldCharType="end"/>
      </w:r>
      <w:r>
        <w:rPr>
          <w:rStyle w:val="indexentry"/>
        </w:rPr>
        <w:t>&lt;cx "antecedent of pro-sumti, definition"&gt;</w:t>
      </w:r>
      <w:r>
        <w:rPr>
          <w:rStyle w:val="indexentry"/>
        </w:rPr>
        <w:fldChar w:fldCharType="begin"/>
      </w:r>
      <w:r>
        <w:instrText>xe "</w:instrText>
      </w:r>
      <w:r>
        <w:rPr>
          <w:rStyle w:val="xeentry"/>
        </w:rPr>
        <w:instrText>antecedent of pro-sumti: definition</w:instrText>
      </w:r>
      <w:r>
        <w:instrText>"</w:instrText>
      </w:r>
      <w:r>
        <w:rPr>
          <w:rStyle w:val="indexentry"/>
        </w:rPr>
        <w:fldChar w:fldCharType="end"/>
      </w:r>
      <w:r>
        <w:rPr>
          <w:rStyle w:val="indexentry"/>
        </w:rPr>
        <w:t>&lt;cx "referent of pro-bridi, definition"&gt;</w:t>
      </w:r>
      <w:r>
        <w:rPr>
          <w:rStyle w:val="indexentry"/>
        </w:rPr>
        <w:fldChar w:fldCharType="begin"/>
      </w:r>
      <w:r>
        <w:instrText>xe "</w:instrText>
      </w:r>
      <w:r>
        <w:rPr>
          <w:rStyle w:val="xeentry"/>
        </w:rPr>
        <w:instrText>referent of pro-bridi: definition</w:instrText>
      </w:r>
      <w:r>
        <w:instrText>"</w:instrText>
      </w:r>
      <w:r>
        <w:rPr>
          <w:rStyle w:val="indexentry"/>
        </w:rPr>
        <w:fldChar w:fldCharType="end"/>
      </w:r>
      <w:r>
        <w:rPr>
          <w:rStyle w:val="indexentry"/>
        </w:rPr>
        <w:t>&lt;cx "antecedent of pro-bridi, definition"&gt;</w:t>
      </w:r>
      <w:r>
        <w:rPr>
          <w:rStyle w:val="indexentry"/>
        </w:rPr>
        <w:fldChar w:fldCharType="begin"/>
      </w:r>
      <w:r>
        <w:instrText>xe "</w:instrText>
      </w:r>
      <w:r>
        <w:rPr>
          <w:rStyle w:val="xeentry"/>
        </w:rPr>
        <w:instrText>antecedent of pro-bridi: definition</w:instrText>
      </w:r>
      <w:r>
        <w:instrText>"</w:instrText>
      </w:r>
      <w:r>
        <w:rPr>
          <w:rStyle w:val="indexentry"/>
        </w:rPr>
        <w:fldChar w:fldCharType="end"/>
      </w:r>
      <w:r>
        <w:t>A few technical terms: The term “referent” means the thing to which a</w:t>
      </w:r>
      <w:r>
        <w:rPr>
          <w:rStyle w:val="deletedparamark"/>
        </w:rPr>
        <w:t xml:space="preserve"> </w:t>
      </w:r>
      <w:r>
        <w:t>pro-sumti (by extension, a pro-bridi) refers. If the speaker of a sentence</w:t>
      </w:r>
      <w:r>
        <w:rPr>
          <w:rStyle w:val="deletedparamark"/>
        </w:rPr>
        <w:t xml:space="preserve"> </w:t>
      </w:r>
      <w:r>
        <w:t>is James, then the referent of the word “I” is James. On the other hand,</w:t>
      </w:r>
      <w:r>
        <w:rPr>
          <w:rStyle w:val="deletedparamark"/>
        </w:rPr>
        <w:t xml:space="preserve"> </w:t>
      </w:r>
      <w:r>
        <w:t>the term “antecedent” refers to a piece of language which a pro-sumti</w:t>
      </w:r>
      <w:r>
        <w:rPr>
          <w:rStyle w:val="deletedparamark"/>
        </w:rPr>
        <w:t xml:space="preserve"> </w:t>
      </w:r>
      <w:r>
        <w:t>(or pro-bridi) implicitly repeats.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name=e1d4&gt;</w:t>
      </w:r>
      <w:r>
        <w:t>1.4)</w:t>
      </w:r>
      <w:r>
        <w:tab/>
        <w:t>John loves himself</w:t>
      </w:r>
    </w:p>
    <w:p w:rsidR="00B72047" w:rsidRDefault="00B72047">
      <w:pPr>
        <w:pStyle w:val="resumedafterexample"/>
      </w:pPr>
      <w:r>
        <w:rPr>
          <w:rStyle w:val="htmlcodes"/>
        </w:rPr>
        <w:t>&lt;/pre&gt;</w:t>
      </w:r>
      <w:r>
        <w:t>the antecedent of “himself” is “John”; not the person, but a piece of text</w:t>
      </w:r>
      <w:r>
        <w:rPr>
          <w:rStyle w:val="deletedparamark"/>
        </w:rPr>
        <w:t xml:space="preserve"> </w:t>
      </w:r>
      <w:r>
        <w:t>(a name, in this case). John, the person, would be the referent of “himself”.</w:t>
      </w:r>
      <w:r>
        <w:rPr>
          <w:rStyle w:val="deletedparamark"/>
        </w:rPr>
        <w:t xml:space="preserve"> </w:t>
      </w:r>
      <w:r>
        <w:t>Not all pro-sumti or pro-bridi have antecedents, but all of them have</w:t>
      </w:r>
      <w:r>
        <w:rPr>
          <w:rStyle w:val="deletedparamark"/>
        </w:rPr>
        <w:t xml:space="preserve"> </w:t>
      </w:r>
      <w:r>
        <w:t>referents.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271" w:name="_Toc395691553"/>
      <w:bookmarkStart w:id="272" w:name="_Toc398970524"/>
      <w:r>
        <w:rPr>
          <w:rStyle w:val="Heading3Text"/>
        </w:rPr>
        <w:t>Personal pro-sumti: the mi-series</w:t>
      </w:r>
      <w:bookmarkEnd w:id="271"/>
      <w:bookmarkEnd w:id="27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mi</w:t>
      </w:r>
      <w:r>
        <w:tab/>
        <w:t>KOhA</w:t>
      </w:r>
      <w:r>
        <w:tab/>
        <w:t>mi-series</w:t>
      </w:r>
      <w:r>
        <w:tab/>
        <w:t>I, me</w:t>
      </w:r>
    </w:p>
    <w:p w:rsidR="00B72047" w:rsidRDefault="00B72047">
      <w:pPr>
        <w:pStyle w:val="examplescaled"/>
      </w:pPr>
      <w:r>
        <w:tab/>
        <w:t>do</w:t>
      </w:r>
      <w:r>
        <w:tab/>
        <w:t>KOhA</w:t>
      </w:r>
      <w:r>
        <w:tab/>
        <w:t>mi-series</w:t>
      </w:r>
      <w:r>
        <w:tab/>
        <w:t>you</w:t>
      </w:r>
    </w:p>
    <w:p w:rsidR="00B72047" w:rsidRDefault="00B72047">
      <w:pPr>
        <w:pStyle w:val="examplescaled"/>
      </w:pPr>
      <w:r>
        <w:tab/>
        <w:t>mi'o</w:t>
      </w:r>
      <w:r>
        <w:tab/>
        <w:t>KOhA</w:t>
      </w:r>
      <w:r>
        <w:tab/>
        <w:t>mi-series</w:t>
      </w:r>
      <w:r>
        <w:tab/>
        <w:t>you and I</w:t>
      </w:r>
    </w:p>
    <w:p w:rsidR="00B72047" w:rsidRDefault="00B72047">
      <w:pPr>
        <w:pStyle w:val="examplescaled"/>
      </w:pPr>
      <w:r>
        <w:tab/>
        <w:t>mi'a</w:t>
      </w:r>
      <w:r>
        <w:tab/>
        <w:t>KOhA</w:t>
      </w:r>
      <w:r>
        <w:tab/>
        <w:t>mi-series</w:t>
      </w:r>
      <w:r>
        <w:tab/>
        <w:t>I and others,</w:t>
      </w:r>
    </w:p>
    <w:p w:rsidR="00B72047" w:rsidRDefault="00B72047">
      <w:pPr>
        <w:pStyle w:val="examplescaled"/>
      </w:pPr>
      <w:r>
        <w:tab/>
      </w:r>
      <w:r>
        <w:tab/>
      </w:r>
      <w:r>
        <w:tab/>
      </w:r>
      <w:r>
        <w:tab/>
      </w:r>
      <w:r>
        <w:tab/>
        <w:t>we but not you</w:t>
      </w:r>
    </w:p>
    <w:p w:rsidR="00B72047" w:rsidRDefault="00B72047">
      <w:pPr>
        <w:pStyle w:val="examplescaled"/>
      </w:pPr>
      <w:r>
        <w:tab/>
        <w:t>ma'a</w:t>
      </w:r>
      <w:r>
        <w:tab/>
        <w:t>KOhA</w:t>
      </w:r>
      <w:r>
        <w:tab/>
        <w:t>mi-series</w:t>
      </w:r>
      <w:r>
        <w:tab/>
        <w:t>you and I and others</w:t>
      </w:r>
    </w:p>
    <w:p w:rsidR="00B72047" w:rsidRDefault="00B72047">
      <w:pPr>
        <w:pStyle w:val="examplescaled"/>
      </w:pPr>
      <w:r>
        <w:tab/>
        <w:t>do'o</w:t>
      </w:r>
      <w:r>
        <w:tab/>
        <w:t>KOhA</w:t>
      </w:r>
      <w:r>
        <w:tab/>
        <w:t>mi-series</w:t>
      </w:r>
      <w:r>
        <w:tab/>
        <w:t>you and others</w:t>
      </w:r>
    </w:p>
    <w:p w:rsidR="00B72047" w:rsidRDefault="00B72047">
      <w:pPr>
        <w:pStyle w:val="examplescaled"/>
      </w:pPr>
      <w:r>
        <w:tab/>
        <w:t>ko</w:t>
      </w:r>
      <w:r>
        <w:tab/>
        <w:t>KOhA</w:t>
      </w:r>
      <w:r>
        <w:tab/>
        <w:t>mi-series</w:t>
      </w:r>
      <w:r>
        <w:tab/>
        <w:t>you-imperative</w:t>
      </w:r>
    </w:p>
    <w:p w:rsidR="00B72047" w:rsidRDefault="00B72047">
      <w:pPr>
        <w:pStyle w:val="normalafterexample"/>
      </w:pPr>
      <w:r>
        <w:rPr>
          <w:rStyle w:val="htmlcodes"/>
        </w:rPr>
        <w:t>&lt;/pre&gt;</w:t>
      </w:r>
      <w:r>
        <w:rPr>
          <w:rStyle w:val="indexentry"/>
        </w:rPr>
        <w:t>&lt;ex "foreman of a jury"&gt;</w:t>
      </w:r>
      <w:r>
        <w:rPr>
          <w:rStyle w:val="indexentry"/>
        </w:rPr>
        <w:fldChar w:fldCharType="begin"/>
      </w:r>
      <w:r>
        <w:instrText>xe "</w:instrText>
      </w:r>
      <w:r>
        <w:rPr>
          <w:rStyle w:val="xeentry"/>
        </w:rPr>
        <w:instrText>foreman of a jury: example</w:instrText>
      </w:r>
      <w:r>
        <w:instrText>"</w:instrText>
      </w:r>
      <w:r>
        <w:rPr>
          <w:rStyle w:val="indexentry"/>
        </w:rPr>
        <w:fldChar w:fldCharType="end"/>
      </w:r>
      <w:r>
        <w:rPr>
          <w:rStyle w:val="indexentry"/>
        </w:rPr>
        <w:t>&lt;cx "mi-series, of pro-sumti"&gt;</w:t>
      </w:r>
      <w:r>
        <w:rPr>
          <w:rStyle w:val="indexentry"/>
        </w:rPr>
        <w:fldChar w:fldCharType="begin"/>
      </w:r>
      <w:r>
        <w:instrText>xe "</w:instrText>
      </w:r>
      <w:r>
        <w:rPr>
          <w:rStyle w:val="xeentry"/>
        </w:rPr>
        <w:instrText>mi-series: of pro-sumti</w:instrText>
      </w:r>
      <w:r>
        <w:instrText>"</w:instrText>
      </w:r>
      <w:r>
        <w:rPr>
          <w:rStyle w:val="indexentry"/>
        </w:rPr>
        <w:fldChar w:fldCharType="end"/>
      </w:r>
      <w:r>
        <w:rPr>
          <w:rStyle w:val="indexentry"/>
        </w:rPr>
        <w:t>&lt;cx "pro-sumti, mi-series"&gt;</w:t>
      </w:r>
      <w:r>
        <w:rPr>
          <w:rStyle w:val="indexentry"/>
        </w:rPr>
        <w:fldChar w:fldCharType="begin"/>
      </w:r>
      <w:r>
        <w:instrText>xe "</w:instrText>
      </w:r>
      <w:r>
        <w:rPr>
          <w:rStyle w:val="xeentry"/>
        </w:rPr>
        <w:instrText>pro-sumti: mi-series</w:instrText>
      </w:r>
      <w:r>
        <w:instrText>"</w:instrText>
      </w:r>
      <w:r>
        <w:rPr>
          <w:rStyle w:val="indexentry"/>
        </w:rPr>
        <w:fldChar w:fldCharType="end"/>
      </w:r>
      <w:r>
        <w:rPr>
          <w:rStyle w:val="indexentry"/>
        </w:rPr>
        <w:t>&lt;lx "mi"&gt;</w:t>
      </w:r>
      <w:r>
        <w:rPr>
          <w:rStyle w:val="indexentry"/>
        </w:rPr>
        <w:fldChar w:fldCharType="begin"/>
      </w:r>
      <w:r>
        <w:instrText>xe "</w:instrText>
      </w:r>
      <w:r>
        <w:rPr>
          <w:rStyle w:val="xeentry"/>
        </w:rPr>
        <w:instrText>mi</w:instrText>
      </w:r>
      <w:r>
        <w:instrText>"</w:instrText>
      </w:r>
      <w:r>
        <w:rPr>
          <w:rStyle w:val="indexentry"/>
        </w:rPr>
        <w:fldChar w:fldCharType="end"/>
      </w:r>
      <w:r>
        <w:rPr>
          <w:rStyle w:val="indexentry"/>
        </w:rPr>
        <w:t>&lt;lx "do"&gt;</w:t>
      </w:r>
      <w:r>
        <w:rPr>
          <w:rStyle w:val="indexentry"/>
        </w:rPr>
        <w:fldChar w:fldCharType="begin"/>
      </w:r>
      <w:r>
        <w:instrText>xe "</w:instrText>
      </w:r>
      <w:r>
        <w:rPr>
          <w:rStyle w:val="xeentry"/>
        </w:rPr>
        <w:instrText>do</w:instrText>
      </w:r>
      <w:r>
        <w:instrText>"</w:instrText>
      </w:r>
      <w:r>
        <w:rPr>
          <w:rStyle w:val="indexentry"/>
        </w:rPr>
        <w:fldChar w:fldCharType="end"/>
      </w:r>
      <w:r>
        <w:rPr>
          <w:rStyle w:val="indexentry"/>
        </w:rPr>
        <w:t>&lt;cx "pro-sumti, for speaker(s)"&gt;</w:t>
      </w:r>
      <w:r>
        <w:rPr>
          <w:rStyle w:val="indexentry"/>
        </w:rPr>
        <w:fldChar w:fldCharType="begin"/>
      </w:r>
      <w:r>
        <w:instrText>xe "</w:instrText>
      </w:r>
      <w:r>
        <w:rPr>
          <w:rStyle w:val="xeentry"/>
        </w:rPr>
        <w:instrText>pro-sumti: for speaker(s)</w:instrText>
      </w:r>
      <w:r>
        <w:instrText>"</w:instrText>
      </w:r>
      <w:r>
        <w:rPr>
          <w:rStyle w:val="indexentry"/>
        </w:rPr>
        <w:fldChar w:fldCharType="end"/>
      </w:r>
      <w:r>
        <w:rPr>
          <w:rStyle w:val="indexentry"/>
        </w:rPr>
        <w:t>&lt;cx "pro-sumti, for listener(s)"&gt;</w:t>
      </w:r>
      <w:r>
        <w:rPr>
          <w:rStyle w:val="indexentry"/>
        </w:rPr>
        <w:fldChar w:fldCharType="begin"/>
      </w:r>
      <w:r>
        <w:instrText>xe "</w:instrText>
      </w:r>
      <w:r>
        <w:rPr>
          <w:rStyle w:val="xeentry"/>
        </w:rPr>
        <w:instrText>pro-sumti: for listener(s)</w:instrText>
      </w:r>
      <w:r>
        <w:instrText>"</w:instrText>
      </w:r>
      <w:r>
        <w:rPr>
          <w:rStyle w:val="indexentry"/>
        </w:rPr>
        <w:fldChar w:fldCharType="end"/>
      </w:r>
      <w:r>
        <w:rPr>
          <w:rStyle w:val="indexentry"/>
        </w:rPr>
        <w:t>&lt;cx "personal pronouns, with mi-series for I/you"&gt;</w:t>
      </w:r>
      <w:r>
        <w:rPr>
          <w:rStyle w:val="indexentry"/>
        </w:rPr>
        <w:fldChar w:fldCharType="begin"/>
      </w:r>
      <w:r>
        <w:instrText>xe "</w:instrText>
      </w:r>
      <w:r>
        <w:rPr>
          <w:rStyle w:val="xeentry"/>
        </w:rPr>
        <w:instrText>personal pronouns: with mi-series for I/you</w:instrText>
      </w:r>
      <w:r>
        <w:instrText>"</w:instrText>
      </w:r>
      <w:r>
        <w:rPr>
          <w:rStyle w:val="indexentry"/>
        </w:rPr>
        <w:fldChar w:fldCharType="end"/>
      </w:r>
      <w:r>
        <w:t>The mi-series of pro-sumti refer to the speaker, the listener, and others</w:t>
      </w:r>
      <w:r>
        <w:rPr>
          <w:rStyle w:val="deletedparamark"/>
        </w:rPr>
        <w:t xml:space="preserve"> </w:t>
      </w:r>
      <w:r>
        <w:t>in vari</w:t>
      </w:r>
      <w:r>
        <w:softHyphen/>
        <w:t>ous combinations. “mi” refers to the speaker and perhaps others</w:t>
      </w:r>
      <w:r>
        <w:rPr>
          <w:rStyle w:val="deletedparamark"/>
        </w:rPr>
        <w:t xml:space="preserve"> </w:t>
      </w:r>
      <w:r>
        <w:t>for whom the speaker speaks; it may be a Lojbanic mass. “do” refers to the</w:t>
      </w:r>
      <w:r>
        <w:rPr>
          <w:rStyle w:val="deletedparamark"/>
        </w:rPr>
        <w:t xml:space="preserve"> </w:t>
      </w:r>
      <w:r>
        <w:t>listener or listeners. Neither “mi” nor “do” is specific about the number</w:t>
      </w:r>
      <w:r>
        <w:rPr>
          <w:rStyle w:val="deletedparamark"/>
        </w:rPr>
        <w:t xml:space="preserve"> </w:t>
      </w:r>
      <w:r>
        <w:t>of persons referred to; for example, the foreman of a jury may refer to the</w:t>
      </w:r>
      <w:r>
        <w:rPr>
          <w:rStyle w:val="deletedparamark"/>
        </w:rPr>
        <w:t xml:space="preserve"> </w:t>
      </w:r>
      <w:r>
        <w:t>members of the jury as “mi”, since in speaking officially he represents</w:t>
      </w:r>
      <w:r>
        <w:rPr>
          <w:rStyle w:val="deletedparamark"/>
        </w:rPr>
        <w:t xml:space="preserve"> </w:t>
      </w:r>
      <w:r>
        <w:t>all of them.</w:t>
      </w:r>
    </w:p>
    <w:p w:rsidR="00B72047" w:rsidRDefault="00B72047">
      <w:pPr>
        <w:rPr>
          <w:rStyle w:val="htmlparacode"/>
        </w:rPr>
      </w:pPr>
      <w:r>
        <w:rPr>
          <w:rStyle w:val="htmlparacode"/>
        </w:rPr>
        <w:t>&lt;p&gt;</w:t>
      </w:r>
    </w:p>
    <w:p w:rsidR="00B72047" w:rsidRDefault="00B72047">
      <w:pPr>
        <w:pStyle w:val="normalparagraph"/>
      </w:pPr>
      <w:r>
        <w:rPr>
          <w:rStyle w:val="indexentry"/>
        </w:rPr>
        <w:t>&lt;cx "COI, effect on referent of “mi”"&gt;</w:t>
      </w:r>
      <w:r>
        <w:rPr>
          <w:rStyle w:val="indexentry"/>
        </w:rPr>
        <w:fldChar w:fldCharType="begin"/>
      </w:r>
      <w:r>
        <w:instrText>xe "</w:instrText>
      </w:r>
      <w:r>
        <w:rPr>
          <w:rStyle w:val="xeentry"/>
        </w:rPr>
        <w:instrText>COI selma’o: effect on referent of mi</w:instrText>
      </w:r>
      <w:r>
        <w:instrText>"</w:instrText>
      </w:r>
      <w:r>
        <w:rPr>
          <w:rStyle w:val="indexentry"/>
        </w:rPr>
        <w:fldChar w:fldCharType="end"/>
      </w:r>
      <w:r>
        <w:rPr>
          <w:rStyle w:val="indexentry"/>
        </w:rPr>
        <w:t>&lt;cx "COI, effect on referent of “do”"&gt;</w:t>
      </w:r>
      <w:r>
        <w:rPr>
          <w:rStyle w:val="indexentry"/>
        </w:rPr>
        <w:fldChar w:fldCharType="begin"/>
      </w:r>
      <w:r>
        <w:instrText>xe "</w:instrText>
      </w:r>
      <w:r>
        <w:rPr>
          <w:rStyle w:val="xeentry"/>
        </w:rPr>
        <w:instrText>COI selma’o: effect on referent of do</w:instrText>
      </w:r>
      <w:r>
        <w:instrText>"</w:instrText>
      </w:r>
      <w:r>
        <w:rPr>
          <w:rStyle w:val="indexentry"/>
        </w:rPr>
        <w:fldChar w:fldCharType="end"/>
      </w:r>
      <w:r>
        <w:rPr>
          <w:rStyle w:val="indexentry"/>
        </w:rPr>
        <w:t>&lt;lx "mi'e"&gt;</w:t>
      </w:r>
      <w:r>
        <w:rPr>
          <w:rStyle w:val="indexentry"/>
        </w:rPr>
        <w:fldChar w:fldCharType="begin"/>
      </w:r>
      <w:r>
        <w:instrText>xe "</w:instrText>
      </w:r>
      <w:r>
        <w:rPr>
          <w:rStyle w:val="xeentry"/>
        </w:rPr>
        <w:instrText>mi'e</w:instrText>
      </w:r>
      <w:r>
        <w:instrText>"</w:instrText>
      </w:r>
      <w:r>
        <w:rPr>
          <w:rStyle w:val="indexentry"/>
        </w:rPr>
        <w:fldChar w:fldCharType="end"/>
      </w:r>
      <w:r>
        <w:rPr>
          <w:rStyle w:val="indexentry"/>
        </w:rPr>
        <w:t>&lt;lx "COI"&gt;</w:t>
      </w:r>
      <w:r>
        <w:rPr>
          <w:rStyle w:val="indexentry"/>
        </w:rPr>
        <w:fldChar w:fldCharType="begin"/>
      </w:r>
      <w:r>
        <w:instrText>xe "</w:instrText>
      </w:r>
      <w:r>
        <w:rPr>
          <w:rStyle w:val="xeentry"/>
        </w:rPr>
        <w:instrText>COI selma’o</w:instrText>
      </w:r>
      <w:r>
        <w:instrText>"</w:instrText>
      </w:r>
      <w:r>
        <w:rPr>
          <w:rStyle w:val="indexentry"/>
        </w:rPr>
        <w:fldChar w:fldCharType="end"/>
      </w:r>
      <w:r>
        <w:t>The referents of “mi” and “do” are usually obvious from the context, but may</w:t>
      </w:r>
      <w:r>
        <w:rPr>
          <w:rStyle w:val="deletedparamark"/>
        </w:rPr>
        <w:t xml:space="preserve"> </w:t>
      </w:r>
      <w:r>
        <w:t>be a</w:t>
      </w:r>
      <w:r>
        <w:t>s</w:t>
      </w:r>
      <w:r>
        <w:softHyphen/>
        <w:t xml:space="preserve">signed by the vocative words of selma'o COI, explained in </w:t>
      </w:r>
      <w:r>
        <w:rPr>
          <w:rStyle w:val="htmlcodes"/>
        </w:rPr>
        <w:t>&lt;a href=chap13.html&gt;</w:t>
      </w:r>
      <w:r>
        <w:t>Chapter 13</w:t>
      </w:r>
      <w:r>
        <w:rPr>
          <w:rStyle w:val="htmlcodes"/>
        </w:rPr>
        <w:t>&lt;/a&gt;</w:t>
      </w:r>
      <w:r>
        <w:t>.</w:t>
      </w:r>
      <w:r>
        <w:rPr>
          <w:rStyle w:val="deletedparamark"/>
        </w:rPr>
        <w:t xml:space="preserve"> </w:t>
      </w:r>
      <w:r>
        <w:t>The voca</w:t>
      </w:r>
      <w:r>
        <w:softHyphen/>
        <w:t>tive “mi'e” assigns “mi”, whereas all of the other vocatives assign</w:t>
      </w:r>
      <w:r>
        <w:rPr>
          <w:rStyle w:val="deletedparamark"/>
        </w:rPr>
        <w:t xml:space="preserve"> “</w:t>
      </w:r>
      <w:r>
        <w:t>do”.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mi'e djan. doi frank. mi cusku lu mi bajra li'u do</w:t>
      </w:r>
    </w:p>
    <w:p w:rsidR="00B72047" w:rsidRDefault="00B72047">
      <w:pPr>
        <w:pStyle w:val="examplescaled"/>
      </w:pPr>
      <w:r>
        <w:tab/>
        <w:t>I-am John, O Frank, I express [quote] I run [unquote] to-you</w:t>
      </w:r>
    </w:p>
    <w:p w:rsidR="00B72047" w:rsidRDefault="00B72047">
      <w:pPr>
        <w:pStyle w:val="examplescaled"/>
      </w:pPr>
      <w:r>
        <w:tab/>
        <w:t>I am John, Frank; I tell you “I run”.</w:t>
      </w:r>
    </w:p>
    <w:p w:rsidR="00B72047" w:rsidRDefault="00B72047">
      <w:pPr>
        <w:pStyle w:val="normalafterexample"/>
      </w:pPr>
      <w:r>
        <w:rPr>
          <w:rStyle w:val="htmlcodes"/>
        </w:rPr>
        <w:t>&lt;/pre&gt;</w:t>
      </w:r>
      <w:r>
        <w:rPr>
          <w:rStyle w:val="indexentry"/>
        </w:rPr>
        <w:t>&lt;lx "mi'o"&gt;</w:t>
      </w:r>
      <w:r>
        <w:rPr>
          <w:rStyle w:val="indexentry"/>
        </w:rPr>
        <w:fldChar w:fldCharType="begin"/>
      </w:r>
      <w:r>
        <w:instrText>xe "</w:instrText>
      </w:r>
      <w:r>
        <w:rPr>
          <w:rStyle w:val="xeentry"/>
        </w:rPr>
        <w:instrText>mi'o</w:instrText>
      </w:r>
      <w:r>
        <w:instrText>"</w:instrText>
      </w:r>
      <w:r>
        <w:rPr>
          <w:rStyle w:val="indexentry"/>
        </w:rPr>
        <w:fldChar w:fldCharType="end"/>
      </w:r>
      <w:r>
        <w:rPr>
          <w:rStyle w:val="indexentry"/>
        </w:rPr>
        <w:t>&lt;lx "mi'a"&gt;</w:t>
      </w:r>
      <w:r>
        <w:rPr>
          <w:rStyle w:val="indexentry"/>
        </w:rPr>
        <w:fldChar w:fldCharType="begin"/>
      </w:r>
      <w:r>
        <w:instrText>xe "</w:instrText>
      </w:r>
      <w:r>
        <w:rPr>
          <w:rStyle w:val="xeentry"/>
        </w:rPr>
        <w:instrText>mi'a</w:instrText>
      </w:r>
      <w:r>
        <w:instrText>"</w:instrText>
      </w:r>
      <w:r>
        <w:rPr>
          <w:rStyle w:val="indexentry"/>
        </w:rPr>
        <w:fldChar w:fldCharType="end"/>
      </w:r>
      <w:r>
        <w:rPr>
          <w:rStyle w:val="indexentry"/>
        </w:rPr>
        <w:t>&lt;lx "ma'a"&gt;</w:t>
      </w:r>
      <w:r>
        <w:rPr>
          <w:rStyle w:val="indexentry"/>
        </w:rPr>
        <w:fldChar w:fldCharType="begin"/>
      </w:r>
      <w:r>
        <w:instrText>xe "</w:instrText>
      </w:r>
      <w:r>
        <w:rPr>
          <w:rStyle w:val="xeentry"/>
        </w:rPr>
        <w:instrText>ma'a</w:instrText>
      </w:r>
      <w:r>
        <w:instrText>"</w:instrText>
      </w:r>
      <w:r>
        <w:rPr>
          <w:rStyle w:val="indexentry"/>
        </w:rPr>
        <w:fldChar w:fldCharType="end"/>
      </w:r>
      <w:r>
        <w:rPr>
          <w:rStyle w:val="indexentry"/>
        </w:rPr>
        <w:t>&lt;lx "do'o"&gt;</w:t>
      </w:r>
      <w:r>
        <w:rPr>
          <w:rStyle w:val="indexentry"/>
        </w:rPr>
        <w:fldChar w:fldCharType="begin"/>
      </w:r>
      <w:r>
        <w:instrText>xe "</w:instrText>
      </w:r>
      <w:r>
        <w:rPr>
          <w:rStyle w:val="xeentry"/>
        </w:rPr>
        <w:instrText>do'o</w:instrText>
      </w:r>
      <w:r>
        <w:instrText>"</w:instrText>
      </w:r>
      <w:r>
        <w:rPr>
          <w:rStyle w:val="indexentry"/>
        </w:rPr>
        <w:fldChar w:fldCharType="end"/>
      </w:r>
      <w:r>
        <w:rPr>
          <w:rStyle w:val="indexentry"/>
        </w:rPr>
        <w:t>&lt;cx "pro-sumti, for listeners and/or speakers and/or others"&gt;</w:t>
      </w:r>
      <w:r>
        <w:rPr>
          <w:rStyle w:val="indexentry"/>
        </w:rPr>
        <w:fldChar w:fldCharType="begin"/>
      </w:r>
      <w:r>
        <w:instrText>xe "</w:instrText>
      </w:r>
      <w:r>
        <w:rPr>
          <w:rStyle w:val="xeentry"/>
        </w:rPr>
        <w:instrText>pro-sumti: for listeners and/or speakers and/or others</w:instrText>
      </w:r>
      <w:r>
        <w:instrText>"</w:instrText>
      </w:r>
      <w:r>
        <w:rPr>
          <w:rStyle w:val="indexentry"/>
        </w:rPr>
        <w:fldChar w:fldCharType="end"/>
      </w:r>
      <w:r>
        <w:t>The cmavo “mi'o”, “mi'a”, “ma'a”, and “do'o” express various combinations</w:t>
      </w:r>
      <w:r>
        <w:rPr>
          <w:rStyle w:val="deletedparamark"/>
        </w:rPr>
        <w:t xml:space="preserve"> </w:t>
      </w:r>
      <w:r>
        <w:t>of the speaker and/or the listener and/or other people:</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“mi'o” includes only the speaker and the listener but no one else;</w:t>
      </w:r>
    </w:p>
    <w:p w:rsidR="00B72047" w:rsidRDefault="00B72047" w:rsidP="007E67C1">
      <w:pPr>
        <w:pStyle w:val="Listjustified"/>
        <w:numPr>
          <w:ilvl w:val="0"/>
          <w:numId w:val="2"/>
        </w:numPr>
        <w:ind w:left="792" w:hanging="432"/>
      </w:pPr>
      <w:r>
        <w:t>“mi'a” includes the speaker and others but excludes the listener;</w:t>
      </w:r>
    </w:p>
    <w:p w:rsidR="00B72047" w:rsidRDefault="00B72047" w:rsidP="007E67C1">
      <w:pPr>
        <w:pStyle w:val="Listjustified"/>
        <w:numPr>
          <w:ilvl w:val="0"/>
          <w:numId w:val="2"/>
        </w:numPr>
        <w:ind w:left="792" w:hanging="432"/>
      </w:pPr>
      <w:r>
        <w:rPr>
          <w:rStyle w:val="htmlcodes"/>
        </w:rPr>
        <w:t>&lt;p&gt;&lt;dt&gt;&lt;dd&gt;</w:t>
      </w:r>
      <w:r>
        <w:t>“do'o” includes the listener and others but excludes the speaker;</w:t>
      </w:r>
    </w:p>
    <w:p w:rsidR="00B72047" w:rsidRDefault="00B72047" w:rsidP="007E67C1">
      <w:pPr>
        <w:pStyle w:val="Listjustified"/>
        <w:numPr>
          <w:ilvl w:val="0"/>
          <w:numId w:val="2"/>
        </w:numPr>
        <w:ind w:left="792" w:hanging="432"/>
      </w:pPr>
      <w:r>
        <w:rPr>
          <w:rStyle w:val="htmlcodes"/>
        </w:rPr>
        <w:t>&lt;p&gt;&lt;dt&gt;&lt;dd&gt;</w:t>
      </w:r>
      <w:r>
        <w:t>“ma'a” includes all three:  speaker, listener, others.</w:t>
      </w:r>
    </w:p>
    <w:p w:rsidR="00B72047" w:rsidRDefault="00B72047">
      <w:pPr>
        <w:pStyle w:val="resumedafterexample"/>
      </w:pPr>
      <w:r>
        <w:rPr>
          <w:rStyle w:val="htmlcodes"/>
        </w:rPr>
        <w:t>&lt;/dl&gt;</w:t>
      </w:r>
      <w:r>
        <w:rPr>
          <w:rStyle w:val="indexentry"/>
        </w:rPr>
        <w:t>&lt;cx "pro-sumti for speaker/listener/others, relation to joi"&gt;</w:t>
      </w:r>
      <w:r>
        <w:rPr>
          <w:rStyle w:val="indexentry"/>
        </w:rPr>
        <w:fldChar w:fldCharType="begin"/>
      </w:r>
      <w:r>
        <w:instrText>xe "</w:instrText>
      </w:r>
      <w:r>
        <w:rPr>
          <w:rStyle w:val="xeentry"/>
        </w:rPr>
        <w:instrText>pro-sumti for speaker/listener/others: relation to joi</w:instrText>
      </w:r>
      <w:r>
        <w:instrText>"</w:instrText>
      </w:r>
      <w:r>
        <w:rPr>
          <w:rStyle w:val="indexentry"/>
        </w:rPr>
        <w:fldChar w:fldCharType="end"/>
      </w:r>
      <w:r>
        <w:rPr>
          <w:rStyle w:val="indexentry"/>
        </w:rPr>
        <w:t>&lt;cx "pro-sumti for speaker/listener/others, as masses"&gt;</w:t>
      </w:r>
      <w:r>
        <w:rPr>
          <w:rStyle w:val="indexentry"/>
        </w:rPr>
        <w:fldChar w:fldCharType="begin"/>
      </w:r>
      <w:r>
        <w:instrText>xe "</w:instrText>
      </w:r>
      <w:r>
        <w:rPr>
          <w:rStyle w:val="xeentry"/>
        </w:rPr>
        <w:instrText>pro-sumti for speaker/listener/others: as masses</w:instrText>
      </w:r>
      <w:r>
        <w:instrText>"</w:instrText>
      </w:r>
      <w:r>
        <w:rPr>
          <w:rStyle w:val="indexentry"/>
        </w:rPr>
        <w:fldChar w:fldCharType="end"/>
      </w:r>
      <w:r>
        <w:t>All of these pro-sumti represent masses. For example, “mi'o” is the same as</w:t>
      </w:r>
      <w:r>
        <w:rPr>
          <w:rStyle w:val="deletedparamark"/>
        </w:rPr>
        <w:t xml:space="preserve"> “</w:t>
      </w:r>
      <w:r>
        <w:t>mi joi do”, the mass of me and you considered jointly.</w:t>
      </w:r>
    </w:p>
    <w:p w:rsidR="00B72047" w:rsidRDefault="00B72047">
      <w:pPr>
        <w:rPr>
          <w:rStyle w:val="htmlparacode"/>
        </w:rPr>
      </w:pPr>
      <w:r>
        <w:rPr>
          <w:rStyle w:val="htmlparacode"/>
        </w:rPr>
        <w:t>&lt;p&gt;</w:t>
      </w:r>
    </w:p>
    <w:p w:rsidR="00B72047" w:rsidRDefault="00B72047">
      <w:pPr>
        <w:pStyle w:val="normalparagraph"/>
      </w:pPr>
      <w:r>
        <w:rPr>
          <w:rStyle w:val="indexentry"/>
        </w:rPr>
        <w:t>&lt;cx "English “we”, contrasted with Lojban pro-sumti for “we”"&gt;</w:t>
      </w:r>
      <w:r>
        <w:rPr>
          <w:rStyle w:val="indexentry"/>
        </w:rPr>
        <w:fldChar w:fldCharType="begin"/>
      </w:r>
      <w:r>
        <w:instrText>xe "</w:instrText>
      </w:r>
      <w:r>
        <w:rPr>
          <w:rStyle w:val="xeentry"/>
        </w:rPr>
        <w:instrText>English we: contrasted with Lojban pro-sumti for we</w:instrText>
      </w:r>
      <w:r>
        <w:instrText>"</w:instrText>
      </w:r>
      <w:r>
        <w:rPr>
          <w:rStyle w:val="indexentry"/>
        </w:rPr>
        <w:fldChar w:fldCharType="end"/>
      </w:r>
      <w:r>
        <w:rPr>
          <w:rStyle w:val="indexentry"/>
        </w:rPr>
        <w:t>&lt;cx "pro-sumti for “we”, contrasted with English “we”"&gt;</w:t>
      </w:r>
      <w:r>
        <w:rPr>
          <w:rStyle w:val="indexentry"/>
        </w:rPr>
        <w:fldChar w:fldCharType="begin"/>
      </w:r>
      <w:r>
        <w:instrText>xe "</w:instrText>
      </w:r>
      <w:r>
        <w:rPr>
          <w:rStyle w:val="xeentry"/>
        </w:rPr>
        <w:instrText>pro-sumti for we: contrasted with English we</w:instrText>
      </w:r>
      <w:r>
        <w:instrText>"</w:instrText>
      </w:r>
      <w:r>
        <w:rPr>
          <w:rStyle w:val="indexentry"/>
        </w:rPr>
        <w:fldChar w:fldCharType="end"/>
      </w:r>
      <w:r>
        <w:t>In English, “we” can mean “mi” or “mi'o” or “mi'a” or even “ma'a”, and</w:t>
      </w:r>
      <w:r>
        <w:rPr>
          <w:rStyle w:val="deletedparamark"/>
        </w:rPr>
        <w:t xml:space="preserve"> </w:t>
      </w:r>
      <w:r>
        <w:t>Eng</w:t>
      </w:r>
      <w:r>
        <w:softHyphen/>
        <w:t>lish-speakers often suffer because they cannot easily distinguish  “mi'o” from “mi'a”: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name=e2d2&gt;</w:t>
      </w:r>
      <w:r>
        <w:t>2.2)</w:t>
      </w:r>
      <w:r>
        <w:tab/>
        <w:t>We're going to the store.</w:t>
      </w:r>
    </w:p>
    <w:p w:rsidR="00B72047" w:rsidRDefault="00B72047">
      <w:pPr>
        <w:pStyle w:val="resumedafterexample"/>
      </w:pPr>
      <w:r>
        <w:rPr>
          <w:rStyle w:val="htmlcodes"/>
        </w:rPr>
        <w:t>&lt;/pre&gt;&lt;p&gt;</w:t>
      </w:r>
      <w:r>
        <w:t>Does this include the listener or not? There's no way to be sure.</w:t>
      </w:r>
    </w:p>
    <w:p w:rsidR="00B72047" w:rsidRDefault="00B72047">
      <w:pPr>
        <w:rPr>
          <w:rStyle w:val="htmlparacode"/>
        </w:rPr>
      </w:pPr>
      <w:r>
        <w:rPr>
          <w:rStyle w:val="htmlparacode"/>
        </w:rPr>
        <w:t>&lt;p&gt;</w:t>
      </w:r>
    </w:p>
    <w:p w:rsidR="00B72047" w:rsidRDefault="00B72047">
      <w:pPr>
        <w:pStyle w:val="normalparagraph"/>
      </w:pPr>
      <w:r>
        <w:rPr>
          <w:rStyle w:val="indexentry"/>
        </w:rPr>
        <w:t>&lt;lx "ko"&gt;</w:t>
      </w:r>
      <w:r>
        <w:rPr>
          <w:rStyle w:val="indexentry"/>
        </w:rPr>
        <w:fldChar w:fldCharType="begin"/>
      </w:r>
      <w:r>
        <w:instrText>xe "</w:instrText>
      </w:r>
      <w:r>
        <w:rPr>
          <w:rStyle w:val="xeentry"/>
        </w:rPr>
        <w:instrText>ko</w:instrText>
      </w:r>
      <w:r>
        <w:instrText>"</w:instrText>
      </w:r>
      <w:r>
        <w:rPr>
          <w:rStyle w:val="indexentry"/>
        </w:rPr>
        <w:fldChar w:fldCharType="end"/>
      </w:r>
      <w:r>
        <w:rPr>
          <w:rStyle w:val="indexentry"/>
        </w:rPr>
        <w:t>&lt;cx "commands, with ko"&gt;</w:t>
      </w:r>
      <w:r>
        <w:rPr>
          <w:rStyle w:val="indexentry"/>
        </w:rPr>
        <w:fldChar w:fldCharType="begin"/>
      </w:r>
      <w:r>
        <w:instrText>xe "</w:instrText>
      </w:r>
      <w:r>
        <w:rPr>
          <w:rStyle w:val="xeentry"/>
        </w:rPr>
        <w:instrText>commands: with ko</w:instrText>
      </w:r>
      <w:r>
        <w:instrText>"</w:instrText>
      </w:r>
      <w:r>
        <w:rPr>
          <w:rStyle w:val="indexentry"/>
        </w:rPr>
        <w:fldChar w:fldCharType="end"/>
      </w:r>
      <w:r>
        <w:rPr>
          <w:rStyle w:val="indexentry"/>
        </w:rPr>
        <w:t>&lt;cx "imperatives, with ko"&gt;</w:t>
      </w:r>
      <w:r>
        <w:rPr>
          <w:rStyle w:val="indexentry"/>
        </w:rPr>
        <w:fldChar w:fldCharType="begin"/>
      </w:r>
      <w:r>
        <w:instrText>xe "</w:instrText>
      </w:r>
      <w:r>
        <w:rPr>
          <w:rStyle w:val="xeentry"/>
        </w:rPr>
        <w:instrText>imperatives: with ko</w:instrText>
      </w:r>
      <w:r>
        <w:instrText>"</w:instrText>
      </w:r>
      <w:r>
        <w:rPr>
          <w:rStyle w:val="indexentry"/>
        </w:rPr>
        <w:fldChar w:fldCharType="end"/>
      </w:r>
      <w:r>
        <w:rPr>
          <w:rStyle w:val="indexentry"/>
        </w:rPr>
        <w:t>&lt;cx "ko, use for imperatives"&gt;</w:t>
      </w:r>
      <w:r>
        <w:rPr>
          <w:rStyle w:val="indexentry"/>
        </w:rPr>
        <w:fldChar w:fldCharType="begin"/>
      </w:r>
      <w:r>
        <w:instrText>xe "</w:instrText>
      </w:r>
      <w:r>
        <w:rPr>
          <w:rStyle w:val="xeentry"/>
        </w:rPr>
        <w:instrText>ko: use for imperatives</w:instrText>
      </w:r>
      <w:r>
        <w:instrText>"</w:instrText>
      </w:r>
      <w:r>
        <w:rPr>
          <w:rStyle w:val="indexentry"/>
        </w:rPr>
        <w:fldChar w:fldCharType="end"/>
      </w:r>
      <w:r>
        <w:rPr>
          <w:rStyle w:val="indexentry"/>
        </w:rPr>
        <w:t>&lt;cx "ko, use for commands"&gt;</w:t>
      </w:r>
      <w:r>
        <w:rPr>
          <w:rStyle w:val="indexentry"/>
        </w:rPr>
        <w:fldChar w:fldCharType="begin"/>
      </w:r>
      <w:r>
        <w:instrText>xe "</w:instrText>
      </w:r>
      <w:r>
        <w:rPr>
          <w:rStyle w:val="xeentry"/>
        </w:rPr>
        <w:instrText>ko: use for commands</w:instrText>
      </w:r>
      <w:r>
        <w:instrText>"</w:instrText>
      </w:r>
      <w:r>
        <w:rPr>
          <w:rStyle w:val="indexentry"/>
        </w:rPr>
        <w:fldChar w:fldCharType="end"/>
      </w:r>
      <w:r>
        <w:t>Finally, the cmavo “ko” is logically equivalent to “do”; its ref</w:t>
      </w:r>
      <w:r>
        <w:softHyphen/>
        <w:t>erent is</w:t>
      </w:r>
      <w:r>
        <w:rPr>
          <w:rStyle w:val="deletedparamark"/>
        </w:rPr>
        <w:t xml:space="preserve"> </w:t>
      </w:r>
      <w:r>
        <w:t>the lis</w:t>
      </w:r>
      <w:r>
        <w:softHyphen/>
        <w:t>tener. However, its use alters an assertion about the listener</w:t>
      </w:r>
      <w:r>
        <w:rPr>
          <w:rStyle w:val="deletedparamark"/>
        </w:rPr>
        <w:t xml:space="preserve"> </w:t>
      </w:r>
      <w:r>
        <w:t>into a command to the lis</w:t>
      </w:r>
      <w:r>
        <w:softHyphen/>
        <w:t>tener to make the assertion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do klama le zarci</w:t>
      </w:r>
    </w:p>
    <w:p w:rsidR="00B72047" w:rsidRDefault="00B72047">
      <w:pPr>
        <w:pStyle w:val="examplescaled"/>
      </w:pPr>
      <w:r>
        <w:tab/>
        <w:t>You go to-the store.</w:t>
      </w:r>
    </w:p>
    <w:p w:rsidR="00B72047" w:rsidRDefault="00B72047">
      <w:pPr>
        <w:pStyle w:val="resumedafterexample"/>
      </w:pPr>
      <w:r>
        <w:rPr>
          <w:rStyle w:val="htmlcodes"/>
        </w:rPr>
        <w:t>&lt;/pre&gt;</w:t>
      </w:r>
      <w:r>
        <w:t>becomes: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name=e2d4&gt;</w:t>
      </w:r>
      <w:r>
        <w:t>2.4)</w:t>
      </w:r>
      <w:r>
        <w:tab/>
        <w:t>ko klama le zarci</w:t>
      </w:r>
    </w:p>
    <w:p w:rsidR="00B72047" w:rsidRDefault="00B72047">
      <w:pPr>
        <w:pStyle w:val="examplescaled"/>
      </w:pPr>
      <w:r>
        <w:tab/>
        <w:t>You [imperative] go to-the store.</w:t>
      </w:r>
    </w:p>
    <w:p w:rsidR="00B72047" w:rsidRDefault="00B72047">
      <w:pPr>
        <w:pStyle w:val="examplescaled"/>
      </w:pPr>
      <w:r>
        <w:tab/>
        <w:t>Make “you go to the store” true!</w:t>
      </w:r>
    </w:p>
    <w:p w:rsidR="00B72047" w:rsidRDefault="00B72047">
      <w:pPr>
        <w:pStyle w:val="examplescaled"/>
      </w:pPr>
      <w:r>
        <w:tab/>
        <w:t>Go to the store!</w:t>
      </w:r>
    </w:p>
    <w:p w:rsidR="00B72047" w:rsidRDefault="00B72047">
      <w:pPr>
        <w:pStyle w:val="normalafterexample"/>
      </w:pPr>
      <w:r>
        <w:rPr>
          <w:rStyle w:val="htmlcodes"/>
        </w:rPr>
        <w:t>&lt;/pre&gt;</w:t>
      </w:r>
      <w:r>
        <w:rPr>
          <w:rStyle w:val="indexentry"/>
        </w:rPr>
        <w:t>&lt;cx "imperatives, English contrasted with Lojban in presence of subject of command"&gt;</w:t>
      </w:r>
      <w:r>
        <w:rPr>
          <w:rStyle w:val="indexentry"/>
        </w:rPr>
        <w:fldChar w:fldCharType="begin"/>
      </w:r>
      <w:r>
        <w:instrText>xe "</w:instrText>
      </w:r>
      <w:r>
        <w:rPr>
          <w:rStyle w:val="xeentry"/>
        </w:rPr>
        <w:instrText>imperatives: English contrasted with Lojban in presence of subject of command</w:instrText>
      </w:r>
      <w:r>
        <w:instrText>"</w:instrText>
      </w:r>
      <w:r>
        <w:rPr>
          <w:rStyle w:val="indexentry"/>
        </w:rPr>
        <w:fldChar w:fldCharType="end"/>
      </w:r>
      <w:r>
        <w:rPr>
          <w:rStyle w:val="indexentry"/>
        </w:rPr>
        <w:t>&lt;cx "ko, in later selbri place in imperative"&gt;</w:t>
      </w:r>
      <w:r>
        <w:rPr>
          <w:rStyle w:val="indexentry"/>
        </w:rPr>
        <w:fldChar w:fldCharType="begin"/>
      </w:r>
      <w:r>
        <w:instrText>xe "</w:instrText>
      </w:r>
      <w:r>
        <w:rPr>
          <w:rStyle w:val="xeentry"/>
        </w:rPr>
        <w:instrText>ko: in later selbri place in imperative</w:instrText>
      </w:r>
      <w:r>
        <w:instrText>"</w:instrText>
      </w:r>
      <w:r>
        <w:rPr>
          <w:rStyle w:val="indexentry"/>
        </w:rPr>
        <w:fldChar w:fldCharType="end"/>
      </w:r>
      <w:r>
        <w:t>In English, the subject of a command is omitted, but in Loj</w:t>
      </w:r>
      <w:r>
        <w:softHyphen/>
        <w:t>ban, the word</w:t>
      </w:r>
      <w:r>
        <w:rPr>
          <w:rStyle w:val="deletedparamark"/>
        </w:rPr>
        <w:t xml:space="preserve"> “</w:t>
      </w:r>
      <w:r>
        <w:t>ko” must be used. However, “ko” does not have to ap</w:t>
      </w:r>
      <w:r>
        <w:softHyphen/>
        <w:t>pear in the x1</w:t>
      </w:r>
      <w:r>
        <w:rPr>
          <w:rStyle w:val="deletedparamark"/>
        </w:rPr>
        <w:t xml:space="preserve"> </w:t>
      </w:r>
      <w:r>
        <w:t>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name=e2d5&gt;</w:t>
      </w:r>
      <w:r>
        <w:t>2.5)</w:t>
      </w:r>
      <w:r>
        <w:tab/>
        <w:t>mi viska ko</w:t>
      </w:r>
    </w:p>
    <w:p w:rsidR="00B72047" w:rsidRDefault="00B72047">
      <w:pPr>
        <w:pStyle w:val="examplescaled"/>
      </w:pPr>
      <w:r>
        <w:tab/>
        <w:t>I see you [imperative]</w:t>
      </w:r>
    </w:p>
    <w:p w:rsidR="00B72047" w:rsidRDefault="00B72047">
      <w:pPr>
        <w:pStyle w:val="examplescaled"/>
      </w:pPr>
      <w:r>
        <w:tab/>
        <w:t>Make “I see you” true!</w:t>
      </w:r>
    </w:p>
    <w:p w:rsidR="00B72047" w:rsidRDefault="00B72047">
      <w:pPr>
        <w:pStyle w:val="examplescaled"/>
      </w:pPr>
      <w:r>
        <w:tab/>
        <w:t>Be seen by me!</w:t>
      </w:r>
    </w:p>
    <w:p w:rsidR="00B72047" w:rsidRDefault="00B72047">
      <w:pPr>
        <w:pStyle w:val="resumedafterexample"/>
      </w:pPr>
      <w:r>
        <w:rPr>
          <w:rStyle w:val="htmlcodes"/>
        </w:rPr>
        <w:t>&lt;/pre&gt;</w:t>
      </w:r>
      <w:r>
        <w:rPr>
          <w:rStyle w:val="indexentry"/>
        </w:rPr>
        <w:t>&lt;cx "ko, in sub-clause of main bridi"&gt;</w:t>
      </w:r>
      <w:r>
        <w:rPr>
          <w:rStyle w:val="indexentry"/>
        </w:rPr>
        <w:fldChar w:fldCharType="begin"/>
      </w:r>
      <w:r>
        <w:instrText>xe "</w:instrText>
      </w:r>
      <w:r>
        <w:rPr>
          <w:rStyle w:val="xeentry"/>
        </w:rPr>
        <w:instrText>ko: in sub-clause of main bridi</w:instrText>
      </w:r>
      <w:r>
        <w:instrText>"</w:instrText>
      </w:r>
      <w:r>
        <w:rPr>
          <w:rStyle w:val="indexentry"/>
        </w:rPr>
        <w:fldChar w:fldCharType="end"/>
      </w:r>
      <w:r>
        <w:t xml:space="preserve">In </w:t>
      </w:r>
      <w:r>
        <w:rPr>
          <w:rStyle w:val="htmlcodes"/>
        </w:rPr>
        <w:t>&lt;a href=#e2d5&gt;</w:t>
      </w:r>
      <w:r>
        <w:t>Example 2.5</w:t>
      </w:r>
      <w:r>
        <w:rPr>
          <w:rStyle w:val="htmlcodes"/>
        </w:rPr>
        <w:t>&lt;/a&gt;</w:t>
      </w:r>
      <w:r>
        <w:t>, it is necessary to make the verb passive in English in</w:t>
      </w:r>
      <w:r>
        <w:rPr>
          <w:rStyle w:val="deletedparamark"/>
        </w:rPr>
        <w:t xml:space="preserve"> </w:t>
      </w:r>
      <w:r>
        <w:t>order to convey the effect of “ko” in the x2 place. Indeed, “ko” does</w:t>
      </w:r>
      <w:r>
        <w:rPr>
          <w:rStyle w:val="deletedparamark"/>
        </w:rPr>
        <w:t xml:space="preserve"> </w:t>
      </w:r>
      <w:r>
        <w:t>not even have to be a sumti of the main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name=e2d6&gt;</w:t>
      </w:r>
      <w:r>
        <w:t>2.6)</w:t>
      </w:r>
      <w:r>
        <w:tab/>
        <w:t>mi viska le prenu poi prami ko</w:t>
      </w:r>
    </w:p>
    <w:p w:rsidR="00B72047" w:rsidRDefault="00B72047">
      <w:pPr>
        <w:pStyle w:val="examplescaled"/>
      </w:pPr>
      <w:r>
        <w:tab/>
        <w:t>I see the person that loves you [imperative]</w:t>
      </w:r>
    </w:p>
    <w:p w:rsidR="00B72047" w:rsidRDefault="00B72047">
      <w:pPr>
        <w:pStyle w:val="examplescaled"/>
      </w:pPr>
      <w:r>
        <w:tab/>
        <w:t>Make “I see the person that loves you” true!</w:t>
      </w:r>
    </w:p>
    <w:p w:rsidR="00B72047" w:rsidRDefault="00B72047">
      <w:pPr>
        <w:pStyle w:val="examplescaled"/>
      </w:pPr>
      <w:r>
        <w:tab/>
        <w:t>Be such that the person who loves you is seen by me!</w:t>
      </w:r>
    </w:p>
    <w:p w:rsidR="00B72047" w:rsidRDefault="00B72047">
      <w:pPr>
        <w:pStyle w:val="examplescaled"/>
      </w:pPr>
      <w:r>
        <w:tab/>
        <w:t>Show me the person who loves you!</w:t>
      </w:r>
    </w:p>
    <w:p w:rsidR="00B72047" w:rsidRDefault="00B72047">
      <w:pPr>
        <w:pStyle w:val="normalafterexample"/>
      </w:pPr>
      <w:r>
        <w:rPr>
          <w:rStyle w:val="htmlcodes"/>
        </w:rPr>
        <w:t>&lt;/pre&gt;</w:t>
      </w:r>
      <w:r>
        <w:rPr>
          <w:rStyle w:val="indexentry"/>
        </w:rPr>
        <w:t>&lt;cx "mi-series pro-sumti, lack of pro-bridi equivalent"&gt;</w:t>
      </w:r>
      <w:r>
        <w:rPr>
          <w:rStyle w:val="indexentry"/>
        </w:rPr>
        <w:fldChar w:fldCharType="begin"/>
      </w:r>
      <w:r>
        <w:instrText>xe "</w:instrText>
      </w:r>
      <w:r>
        <w:rPr>
          <w:rStyle w:val="xeentry"/>
        </w:rPr>
        <w:instrText>mi-series pro-sumti: lack of pro-bridi equivalent</w:instrText>
      </w:r>
      <w:r>
        <w:instrText>"</w:instrText>
      </w:r>
      <w:r>
        <w:rPr>
          <w:rStyle w:val="indexentry"/>
        </w:rPr>
        <w:fldChar w:fldCharType="end"/>
      </w:r>
      <w:r>
        <w:t xml:space="preserve">As mentioned in </w:t>
      </w:r>
      <w:r>
        <w:rPr>
          <w:rStyle w:val="htmlcodes"/>
        </w:rPr>
        <w:t>&lt;a href=#s1&gt;</w:t>
      </w:r>
      <w:r>
        <w:t>Section 1</w:t>
      </w:r>
      <w:r>
        <w:rPr>
          <w:rStyle w:val="htmlcodes"/>
        </w:rPr>
        <w:t>&lt;/a&gt;</w:t>
      </w:r>
      <w:r>
        <w:t>, some pro-sumti series have cor</w:t>
      </w:r>
      <w:r>
        <w:softHyphen/>
        <w:t>responding pro-bridi</w:t>
      </w:r>
      <w:r>
        <w:rPr>
          <w:rStyle w:val="deletedparamark"/>
        </w:rPr>
        <w:t xml:space="preserve"> </w:t>
      </w:r>
      <w:r>
        <w:t>s</w:t>
      </w:r>
      <w:r>
        <w:t>e</w:t>
      </w:r>
      <w:r>
        <w:softHyphen/>
        <w:t>ries. However, there is no equivalent of the mi-series among pro-bridi,</w:t>
      </w:r>
      <w:r>
        <w:rPr>
          <w:rStyle w:val="deletedparamark"/>
        </w:rPr>
        <w:t xml:space="preserve"> </w:t>
      </w:r>
      <w:r>
        <w:t>since a person isn't a relationship.</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273" w:name="_Toc395691554"/>
      <w:bookmarkStart w:id="274" w:name="_Toc398970525"/>
      <w:r>
        <w:rPr>
          <w:rStyle w:val="Heading3Text"/>
        </w:rPr>
        <w:t>Demonstrative pro-sumti: the ti-series</w:t>
      </w:r>
      <w:bookmarkEnd w:id="273"/>
      <w:bookmarkEnd w:id="27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ti</w:t>
      </w:r>
      <w:r>
        <w:tab/>
        <w:t>KOhA</w:t>
      </w:r>
      <w:r>
        <w:tab/>
        <w:t>ti-series</w:t>
      </w:r>
      <w:r>
        <w:tab/>
        <w:t>this here, a nearby object</w:t>
      </w:r>
    </w:p>
    <w:p w:rsidR="00B72047" w:rsidRDefault="00B72047">
      <w:pPr>
        <w:pStyle w:val="examplescaled"/>
      </w:pPr>
      <w:r>
        <w:tab/>
        <w:t>ta</w:t>
      </w:r>
      <w:r>
        <w:tab/>
        <w:t>KOhA</w:t>
      </w:r>
      <w:r>
        <w:tab/>
        <w:t>ti-series</w:t>
      </w:r>
      <w:r>
        <w:tab/>
        <w:t>that there, a medium-distant object</w:t>
      </w:r>
    </w:p>
    <w:p w:rsidR="00B72047" w:rsidRDefault="00B72047">
      <w:pPr>
        <w:pStyle w:val="examplescaled"/>
      </w:pPr>
      <w:r>
        <w:tab/>
        <w:t>tu</w:t>
      </w:r>
      <w:r>
        <w:tab/>
        <w:t>KOhA</w:t>
      </w:r>
      <w:r>
        <w:tab/>
        <w:t>ti-series</w:t>
      </w:r>
      <w:r>
        <w:tab/>
        <w:t>that yonder, a far-distant object</w:t>
      </w:r>
    </w:p>
    <w:p w:rsidR="00B72047" w:rsidRDefault="00B72047">
      <w:pPr>
        <w:pStyle w:val="normalafterexample"/>
      </w:pPr>
      <w:r>
        <w:rPr>
          <w:rStyle w:val="htmlcodes"/>
        </w:rPr>
        <w:t>&lt;/pre&gt;</w:t>
      </w:r>
      <w:r>
        <w:rPr>
          <w:rStyle w:val="indexentry"/>
        </w:rPr>
        <w:t>&lt;cx "pointing, reference by"&gt;</w:t>
      </w:r>
      <w:r>
        <w:rPr>
          <w:rStyle w:val="indexentry"/>
        </w:rPr>
        <w:fldChar w:fldCharType="begin"/>
      </w:r>
      <w:r>
        <w:instrText>xe "</w:instrText>
      </w:r>
      <w:r>
        <w:rPr>
          <w:rStyle w:val="xeentry"/>
        </w:rPr>
        <w:instrText>pointing: reference by</w:instrText>
      </w:r>
      <w:r>
        <w:instrText>"</w:instrText>
      </w:r>
      <w:r>
        <w:rPr>
          <w:rStyle w:val="indexentry"/>
        </w:rPr>
        <w:fldChar w:fldCharType="end"/>
      </w:r>
      <w:r>
        <w:rPr>
          <w:rStyle w:val="indexentry"/>
        </w:rPr>
        <w:t>&lt;cx "demonstrative pro-sumti"&gt;</w:t>
      </w:r>
      <w:r>
        <w:rPr>
          <w:rStyle w:val="indexentry"/>
        </w:rPr>
        <w:fldChar w:fldCharType="begin"/>
      </w:r>
      <w:r>
        <w:instrText>xe "</w:instrText>
      </w:r>
      <w:r>
        <w:rPr>
          <w:rStyle w:val="xeentry"/>
        </w:rPr>
        <w:instrText>demonstrative pro-sumti</w:instrText>
      </w:r>
      <w:r>
        <w:instrText>"</w:instrText>
      </w:r>
      <w:r>
        <w:rPr>
          <w:rStyle w:val="indexentry"/>
        </w:rPr>
        <w:fldChar w:fldCharType="end"/>
      </w:r>
      <w:r>
        <w:rPr>
          <w:rStyle w:val="indexentry"/>
        </w:rPr>
        <w:t>&lt;cx "ti-series pro-sumti, compared with English this/that"&gt;</w:t>
      </w:r>
      <w:r>
        <w:rPr>
          <w:rStyle w:val="indexentry"/>
        </w:rPr>
        <w:fldChar w:fldCharType="begin"/>
      </w:r>
      <w:r>
        <w:instrText>xe "</w:instrText>
      </w:r>
      <w:r>
        <w:rPr>
          <w:rStyle w:val="xeentry"/>
        </w:rPr>
        <w:instrText>ti-series pro-sumti: compared with English this/that</w:instrText>
      </w:r>
      <w:r>
        <w:instrText>"</w:instrText>
      </w:r>
      <w:r>
        <w:rPr>
          <w:rStyle w:val="indexentry"/>
        </w:rPr>
        <w:fldChar w:fldCharType="end"/>
      </w:r>
      <w:r>
        <w:rPr>
          <w:rStyle w:val="indexentry"/>
        </w:rPr>
        <w:t>&lt;cx "this/that in English, compared with ti-series pro-sumti"&gt;</w:t>
      </w:r>
      <w:r>
        <w:rPr>
          <w:rStyle w:val="indexentry"/>
        </w:rPr>
        <w:fldChar w:fldCharType="begin"/>
      </w:r>
      <w:r>
        <w:instrText>xe "</w:instrText>
      </w:r>
      <w:r>
        <w:rPr>
          <w:rStyle w:val="xeentry"/>
        </w:rPr>
        <w:instrText>this/that in English: compared with ti-series pro-sumti</w:instrText>
      </w:r>
      <w:r>
        <w:instrText>"</w:instrText>
      </w:r>
      <w:r>
        <w:rPr>
          <w:rStyle w:val="indexentry"/>
        </w:rPr>
        <w:fldChar w:fldCharType="end"/>
      </w:r>
      <w:r>
        <w:rPr>
          <w:rStyle w:val="indexentry"/>
        </w:rPr>
        <w:t>&lt;cx "ti-series pro-sumti, as pointing referents only"&gt;</w:t>
      </w:r>
      <w:r>
        <w:rPr>
          <w:rStyle w:val="indexentry"/>
        </w:rPr>
        <w:fldChar w:fldCharType="begin"/>
      </w:r>
      <w:r>
        <w:instrText>xe "</w:instrText>
      </w:r>
      <w:r>
        <w:rPr>
          <w:rStyle w:val="xeentry"/>
        </w:rPr>
        <w:instrText>ti-series pro-sumti: as pointing referents only</w:instrText>
      </w:r>
      <w:r>
        <w:instrText>"</w:instrText>
      </w:r>
      <w:r>
        <w:rPr>
          <w:rStyle w:val="indexentry"/>
        </w:rPr>
        <w:fldChar w:fldCharType="end"/>
      </w:r>
      <w:r>
        <w:rPr>
          <w:rStyle w:val="indexentry"/>
        </w:rPr>
        <w:t>&lt;cx "pro-sumti, ti-series"&gt;</w:t>
      </w:r>
      <w:r>
        <w:rPr>
          <w:rStyle w:val="indexentry"/>
        </w:rPr>
        <w:fldChar w:fldCharType="begin"/>
      </w:r>
      <w:r>
        <w:instrText>xe "</w:instrText>
      </w:r>
      <w:r>
        <w:rPr>
          <w:rStyle w:val="xeentry"/>
        </w:rPr>
        <w:instrText>pro-sumti: ti-series</w:instrText>
      </w:r>
      <w:r>
        <w:instrText>"</w:instrText>
      </w:r>
      <w:r>
        <w:rPr>
          <w:rStyle w:val="indexentry"/>
        </w:rPr>
        <w:fldChar w:fldCharType="end"/>
      </w:r>
      <w:r>
        <w:rPr>
          <w:rStyle w:val="indexentry"/>
        </w:rPr>
        <w:t>&lt;lx "ti"&gt;</w:t>
      </w:r>
      <w:r>
        <w:rPr>
          <w:rStyle w:val="indexentry"/>
        </w:rPr>
        <w:fldChar w:fldCharType="begin"/>
      </w:r>
      <w:r>
        <w:instrText>xe "</w:instrText>
      </w:r>
      <w:r>
        <w:rPr>
          <w:rStyle w:val="xeentry"/>
        </w:rPr>
        <w:instrText>ti</w:instrText>
      </w:r>
      <w:r>
        <w:instrText>"</w:instrText>
      </w:r>
      <w:r>
        <w:rPr>
          <w:rStyle w:val="indexentry"/>
        </w:rPr>
        <w:fldChar w:fldCharType="end"/>
      </w:r>
      <w:r>
        <w:rPr>
          <w:rStyle w:val="indexentry"/>
        </w:rPr>
        <w:t>&lt;lx "ta"&gt;</w:t>
      </w:r>
      <w:r>
        <w:rPr>
          <w:rStyle w:val="indexentry"/>
        </w:rPr>
        <w:fldChar w:fldCharType="begin"/>
      </w:r>
      <w:r>
        <w:instrText>xe "</w:instrText>
      </w:r>
      <w:r>
        <w:rPr>
          <w:rStyle w:val="xeentry"/>
        </w:rPr>
        <w:instrText>ta</w:instrText>
      </w:r>
      <w:r>
        <w:instrText>"</w:instrText>
      </w:r>
      <w:r>
        <w:rPr>
          <w:rStyle w:val="indexentry"/>
        </w:rPr>
        <w:fldChar w:fldCharType="end"/>
      </w:r>
      <w:r>
        <w:rPr>
          <w:rStyle w:val="indexentry"/>
        </w:rPr>
        <w:t>&lt;lx "tu"&gt;</w:t>
      </w:r>
      <w:r>
        <w:rPr>
          <w:rStyle w:val="indexentry"/>
        </w:rPr>
        <w:fldChar w:fldCharType="begin"/>
      </w:r>
      <w:r>
        <w:instrText>xe "</w:instrText>
      </w:r>
      <w:r>
        <w:rPr>
          <w:rStyle w:val="xeentry"/>
        </w:rPr>
        <w:instrText>tu</w:instrText>
      </w:r>
      <w:r>
        <w:instrText>"</w:instrText>
      </w:r>
      <w:r>
        <w:rPr>
          <w:rStyle w:val="indexentry"/>
        </w:rPr>
        <w:fldChar w:fldCharType="end"/>
      </w:r>
      <w:r>
        <w:t>It is often useful to refer to things by pointing to them or by some</w:t>
      </w:r>
      <w:r>
        <w:rPr>
          <w:rStyle w:val="deletedparamark"/>
        </w:rPr>
        <w:t xml:space="preserve"> </w:t>
      </w:r>
      <w:r>
        <w:t>related non-lin</w:t>
      </w:r>
      <w:r>
        <w:softHyphen/>
        <w:t>guistic mechanism. In English, the words “this” and “that”</w:t>
      </w:r>
      <w:r>
        <w:rPr>
          <w:rStyle w:val="deletedparamark"/>
        </w:rPr>
        <w:t xml:space="preserve"> </w:t>
      </w:r>
      <w:r>
        <w:t>serve this function among oth</w:t>
      </w:r>
      <w:r>
        <w:softHyphen/>
        <w:t>ers: “this” refers to something pointed at</w:t>
      </w:r>
      <w:r>
        <w:rPr>
          <w:rStyle w:val="deletedparamark"/>
        </w:rPr>
        <w:t xml:space="preserve"> </w:t>
      </w:r>
      <w:r>
        <w:t>that is near the speaker, and “that” refers to something further away.</w:t>
      </w:r>
      <w:r>
        <w:rPr>
          <w:rStyle w:val="deletedparamark"/>
        </w:rPr>
        <w:t xml:space="preserve"> </w:t>
      </w:r>
      <w:r>
        <w:t>The Lojban pro-sumti of the ti-series serve the same functions, but more</w:t>
      </w:r>
      <w:r>
        <w:rPr>
          <w:rStyle w:val="deletedparamark"/>
        </w:rPr>
        <w:t xml:space="preserve"> </w:t>
      </w:r>
      <w:r>
        <w:t>narrowly. The cmavo “ti”, “ta”, and “tu” provide only the pointing function</w:t>
      </w:r>
      <w:r>
        <w:rPr>
          <w:rStyle w:val="deletedparamark"/>
        </w:rPr>
        <w:t xml:space="preserve"> </w:t>
      </w:r>
      <w:r>
        <w:t>of “this” and “that”; they are not used to re</w:t>
      </w:r>
      <w:r>
        <w:softHyphen/>
        <w:t>fer to things that cannot be</w:t>
      </w:r>
      <w:r>
        <w:rPr>
          <w:rStyle w:val="deletedparamark"/>
        </w:rPr>
        <w:t xml:space="preserve"> </w:t>
      </w:r>
      <w:r>
        <w:t>pointed at.</w:t>
      </w:r>
    </w:p>
    <w:p w:rsidR="00B72047" w:rsidRDefault="00B72047">
      <w:pPr>
        <w:rPr>
          <w:rStyle w:val="htmlparacode"/>
        </w:rPr>
      </w:pPr>
      <w:r>
        <w:rPr>
          <w:rStyle w:val="htmlparacode"/>
        </w:rPr>
        <w:t>&lt;p&gt;</w:t>
      </w:r>
    </w:p>
    <w:p w:rsidR="00B72047" w:rsidRDefault="00B72047">
      <w:pPr>
        <w:pStyle w:val="normalparagraph"/>
      </w:pPr>
      <w:r>
        <w:rPr>
          <w:rStyle w:val="indexentry"/>
        </w:rPr>
        <w:t>&lt;cx "yon, as archaic English equivalent of tu"&gt;</w:t>
      </w:r>
      <w:r>
        <w:rPr>
          <w:rStyle w:val="indexentry"/>
        </w:rPr>
        <w:fldChar w:fldCharType="begin"/>
      </w:r>
      <w:r>
        <w:instrText>xe "</w:instrText>
      </w:r>
      <w:r>
        <w:rPr>
          <w:rStyle w:val="xeentry"/>
        </w:rPr>
        <w:instrText>yon: as archaic English equivalent of tu</w:instrText>
      </w:r>
      <w:r>
        <w:instrText>"</w:instrText>
      </w:r>
      <w:r>
        <w:rPr>
          <w:rStyle w:val="indexentry"/>
        </w:rPr>
        <w:fldChar w:fldCharType="end"/>
      </w:r>
      <w:r>
        <w:rPr>
          <w:rStyle w:val="indexentry"/>
        </w:rPr>
        <w:t>&lt;cx "tu, archaic English yon as equivalent of"&gt;</w:t>
      </w:r>
      <w:r>
        <w:rPr>
          <w:rStyle w:val="indexentry"/>
        </w:rPr>
        <w:fldChar w:fldCharType="begin"/>
      </w:r>
      <w:r>
        <w:instrText>xe "</w:instrText>
      </w:r>
      <w:r>
        <w:rPr>
          <w:rStyle w:val="xeentry"/>
        </w:rPr>
        <w:instrText>tu: archaic English yon as equivalent of</w:instrText>
      </w:r>
      <w:r>
        <w:instrText>"</w:instrText>
      </w:r>
      <w:r>
        <w:rPr>
          <w:rStyle w:val="indexentry"/>
        </w:rPr>
        <w:fldChar w:fldCharType="end"/>
      </w:r>
      <w:r>
        <w:rPr>
          <w:rStyle w:val="indexentry"/>
        </w:rPr>
        <w:t>&lt;cx "ti-series pro-sumti, 3 degrees of distance with"&gt;</w:t>
      </w:r>
      <w:r>
        <w:rPr>
          <w:rStyle w:val="indexentry"/>
        </w:rPr>
        <w:fldChar w:fldCharType="begin"/>
      </w:r>
      <w:r>
        <w:instrText>xe "</w:instrText>
      </w:r>
      <w:r>
        <w:rPr>
          <w:rStyle w:val="xeentry"/>
        </w:rPr>
        <w:instrText>ti-series pro-sumti: 3 degrees of distance with</w:instrText>
      </w:r>
      <w:r>
        <w:instrText>"</w:instrText>
      </w:r>
      <w:r>
        <w:rPr>
          <w:rStyle w:val="indexentry"/>
        </w:rPr>
        <w:fldChar w:fldCharType="end"/>
      </w:r>
      <w:r>
        <w:t>There are three pro-sumti of the ti-series rather than just two because it</w:t>
      </w:r>
      <w:r>
        <w:rPr>
          <w:rStyle w:val="deletedparamark"/>
        </w:rPr>
        <w:t xml:space="preserve"> </w:t>
      </w:r>
      <w:r>
        <w:t>is often us</w:t>
      </w:r>
      <w:r>
        <w:t>e</w:t>
      </w:r>
      <w:r>
        <w:softHyphen/>
        <w:t>ful to distinguish between objects that are at more than two</w:t>
      </w:r>
      <w:r>
        <w:rPr>
          <w:rStyle w:val="deletedparamark"/>
        </w:rPr>
        <w:t xml:space="preserve"> </w:t>
      </w:r>
      <w:r>
        <w:t>different distances. Japanese, among other lan</w:t>
      </w:r>
      <w:r>
        <w:softHyphen/>
        <w:t>guages, regularly does this.</w:t>
      </w:r>
      <w:r>
        <w:rPr>
          <w:rStyle w:val="deletedparamark"/>
        </w:rPr>
        <w:t xml:space="preserve"> </w:t>
      </w:r>
      <w:r>
        <w:t>Until the 16th century, English did too; the pronoun “that” referred to</w:t>
      </w:r>
      <w:r>
        <w:rPr>
          <w:rStyle w:val="deletedparamark"/>
        </w:rPr>
        <w:t xml:space="preserve"> </w:t>
      </w:r>
      <w:r>
        <w:t>something at a medium distance from the speaker, and the now-archaic pronoun</w:t>
      </w:r>
      <w:r>
        <w:rPr>
          <w:rStyle w:val="deletedparamark"/>
        </w:rPr>
        <w:t xml:space="preserve"> “</w:t>
      </w:r>
      <w:r>
        <w:t>yon” to something far away.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"ti-series pro-sumti, conversational convention for"&gt;</w:t>
      </w:r>
      <w:r>
        <w:rPr>
          <w:rStyle w:val="indexentry"/>
        </w:rPr>
        <w:fldChar w:fldCharType="begin"/>
      </w:r>
      <w:r>
        <w:instrText>xe "</w:instrText>
      </w:r>
      <w:r>
        <w:rPr>
          <w:rStyle w:val="xeentry"/>
        </w:rPr>
        <w:instrText>ti-series pro-sumti: conversational convention for</w:instrText>
      </w:r>
      <w:r>
        <w:instrText>"</w:instrText>
      </w:r>
      <w:r>
        <w:rPr>
          <w:rStyle w:val="indexentry"/>
        </w:rPr>
        <w:fldChar w:fldCharType="end"/>
      </w:r>
      <w:r>
        <w:rPr>
          <w:rStyle w:val="indexentry"/>
        </w:rPr>
        <w:t>&lt;cx "ti-series pro-sumti, problems in written text"&gt;</w:t>
      </w:r>
      <w:r>
        <w:rPr>
          <w:rStyle w:val="indexentry"/>
        </w:rPr>
        <w:fldChar w:fldCharType="begin"/>
      </w:r>
      <w:r>
        <w:instrText>xe "</w:instrText>
      </w:r>
      <w:r>
        <w:rPr>
          <w:rStyle w:val="xeentry"/>
        </w:rPr>
        <w:instrText>ti-series pro-sumti: problems in written text</w:instrText>
      </w:r>
      <w:r>
        <w:instrText>"</w:instrText>
      </w:r>
      <w:r>
        <w:rPr>
          <w:rStyle w:val="indexentry"/>
        </w:rPr>
        <w:fldChar w:fldCharType="end"/>
      </w:r>
      <w:r>
        <w:t>In conversation, there is a special rule about “ta” and “tu” that is often</w:t>
      </w:r>
      <w:r>
        <w:rPr>
          <w:rStyle w:val="deletedparamark"/>
        </w:rPr>
        <w:t xml:space="preserve"> </w:t>
      </w:r>
      <w:r>
        <w:t>helpful in i</w:t>
      </w:r>
      <w:r>
        <w:t>n</w:t>
      </w:r>
      <w:r>
        <w:softHyphen/>
        <w:t>terpreting them. When used contrastingly, “ta” refers to</w:t>
      </w:r>
      <w:r>
        <w:rPr>
          <w:rStyle w:val="deletedparamark"/>
        </w:rPr>
        <w:t xml:space="preserve"> </w:t>
      </w:r>
      <w:r>
        <w:t>something that is near the li</w:t>
      </w:r>
      <w:r>
        <w:t>s</w:t>
      </w:r>
      <w:r>
        <w:softHyphen/>
        <w:t>tener, whereas “tu” refers to something far</w:t>
      </w:r>
      <w:r>
        <w:rPr>
          <w:rStyle w:val="deletedparamark"/>
        </w:rPr>
        <w:t xml:space="preserve"> </w:t>
      </w:r>
      <w:r>
        <w:t>from both speaker and listener. This makes for a par</w:t>
      </w:r>
      <w:r>
        <w:softHyphen/>
        <w:t>allelism between</w:t>
      </w:r>
      <w:r>
        <w:rPr>
          <w:rStyle w:val="deletedparamark"/>
        </w:rPr>
        <w:t xml:space="preserve"> “</w:t>
      </w:r>
      <w:r>
        <w:t>ti” and “mi”, and “ta” and “do”, that is convenient when pointing is not</w:t>
      </w:r>
      <w:r>
        <w:rPr>
          <w:rStyle w:val="deletedparamark"/>
        </w:rPr>
        <w:t xml:space="preserve"> </w:t>
      </w:r>
      <w:r>
        <w:t>possible; for example, when talking by tele</w:t>
      </w:r>
      <w:r>
        <w:softHyphen/>
        <w:t>phone. In written text, on the</w:t>
      </w:r>
      <w:r>
        <w:rPr>
          <w:rStyle w:val="deletedparamark"/>
        </w:rPr>
        <w:t xml:space="preserve"> </w:t>
      </w:r>
      <w:r>
        <w:t>other hand, the meaning of the ti-series is inherently vague; is the writer</w:t>
      </w:r>
      <w:r>
        <w:rPr>
          <w:rStyle w:val="deletedparamark"/>
        </w:rPr>
        <w:t xml:space="preserve"> </w:t>
      </w:r>
      <w:r>
        <w:t>to be taken as pointing to something, and if so, to what? In all cases,</w:t>
      </w:r>
      <w:r>
        <w:rPr>
          <w:rStyle w:val="deletedparamark"/>
        </w:rPr>
        <w:t xml:space="preserve"> </w:t>
      </w:r>
      <w:r>
        <w:t>what counts as “near” and “far away” is rel</w:t>
      </w:r>
      <w:r>
        <w:t>a</w:t>
      </w:r>
      <w:r>
        <w:softHyphen/>
        <w:t>tive to the current situation.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"this, pronoun usage contrasted with adjective usage"&gt;</w:t>
      </w:r>
      <w:r>
        <w:rPr>
          <w:rStyle w:val="indexentry"/>
        </w:rPr>
        <w:fldChar w:fldCharType="begin"/>
      </w:r>
      <w:r>
        <w:instrText>xe "</w:instrText>
      </w:r>
      <w:r>
        <w:rPr>
          <w:rStyle w:val="xeentry"/>
        </w:rPr>
        <w:instrText>this: pronoun usage contrasted with adjective usage</w:instrText>
      </w:r>
      <w:r>
        <w:instrText>"</w:instrText>
      </w:r>
      <w:r>
        <w:rPr>
          <w:rStyle w:val="indexentry"/>
        </w:rPr>
        <w:fldChar w:fldCharType="end"/>
      </w:r>
      <w:r>
        <w:rPr>
          <w:rStyle w:val="indexentry"/>
        </w:rPr>
        <w:t>&lt;cx "this, adjective usage contrasted with pronoun usage"&gt;</w:t>
      </w:r>
      <w:r>
        <w:rPr>
          <w:rStyle w:val="indexentry"/>
        </w:rPr>
        <w:fldChar w:fldCharType="begin"/>
      </w:r>
      <w:r>
        <w:instrText>xe "</w:instrText>
      </w:r>
      <w:r>
        <w:rPr>
          <w:rStyle w:val="xeentry"/>
        </w:rPr>
        <w:instrText>this: adjective usage contrasted with pronoun usage</w:instrText>
      </w:r>
      <w:r>
        <w:instrText>"</w:instrText>
      </w:r>
      <w:r>
        <w:rPr>
          <w:rStyle w:val="indexentry"/>
        </w:rPr>
        <w:fldChar w:fldCharType="end"/>
      </w:r>
      <w:r>
        <w:rPr>
          <w:rStyle w:val="indexentry"/>
        </w:rPr>
        <w:t>&lt;cx "ti, as pronoun usage for “this”"&gt;</w:t>
      </w:r>
      <w:r>
        <w:rPr>
          <w:rStyle w:val="indexentry"/>
        </w:rPr>
        <w:fldChar w:fldCharType="begin"/>
      </w:r>
      <w:r>
        <w:instrText>xe "</w:instrText>
      </w:r>
      <w:r>
        <w:rPr>
          <w:rStyle w:val="xeentry"/>
        </w:rPr>
        <w:instrText>ti: as pronoun expression for English this</w:instrText>
      </w:r>
      <w:r>
        <w:instrText>"</w:instrText>
      </w:r>
      <w:r>
        <w:rPr>
          <w:rStyle w:val="indexentry"/>
        </w:rPr>
        <w:fldChar w:fldCharType="end"/>
      </w:r>
      <w:r>
        <w:rPr>
          <w:rStyle w:val="indexentry"/>
        </w:rPr>
        <w:t>&lt;cx "this, pronoun usage with “ti”"&gt;</w:t>
      </w:r>
      <w:r>
        <w:rPr>
          <w:rStyle w:val="indexentry"/>
        </w:rPr>
        <w:fldChar w:fldCharType="begin"/>
      </w:r>
      <w:r>
        <w:instrText>xe "</w:instrText>
      </w:r>
      <w:r>
        <w:rPr>
          <w:rStyle w:val="xeentry"/>
        </w:rPr>
        <w:instrText>this: English, pronoun expression with ti</w:instrText>
      </w:r>
      <w:r>
        <w:instrText>"</w:instrText>
      </w:r>
      <w:r>
        <w:rPr>
          <w:rStyle w:val="indexentry"/>
        </w:rPr>
        <w:fldChar w:fldCharType="end"/>
      </w:r>
      <w:r>
        <w:t>It is important to distinguish between the English pronoun “this” and the</w:t>
      </w:r>
      <w:r>
        <w:rPr>
          <w:rStyle w:val="deletedparamark"/>
        </w:rPr>
        <w:t xml:space="preserve"> </w:t>
      </w:r>
      <w:r>
        <w:t>Eng</w:t>
      </w:r>
      <w:r>
        <w:softHyphen/>
        <w:t>lish a</w:t>
      </w:r>
      <w:r>
        <w:t>d</w:t>
      </w:r>
      <w:r>
        <w:softHyphen/>
        <w:t>jective “this” as in “this boat”. The latter is not represented</w:t>
      </w:r>
      <w:r>
        <w:rPr>
          <w:rStyle w:val="deletedparamark"/>
        </w:rPr>
        <w:t xml:space="preserve"> </w:t>
      </w:r>
      <w:r>
        <w:t>in Lojban by “ti”:</w:t>
      </w:r>
    </w:p>
    <w:p w:rsidR="00B72047" w:rsidRDefault="00B72047">
      <w:pPr>
        <w:rPr>
          <w:rStyle w:val="htmlparacode"/>
        </w:rPr>
      </w:pPr>
      <w:r>
        <w:rPr>
          <w:rStyle w:val="htmlparacode"/>
        </w:rPr>
        <w:t>&lt;p&gt;</w:t>
      </w:r>
    </w:p>
    <w:p w:rsidR="00B72047" w:rsidRDefault="00B72047">
      <w:pPr>
        <w:pStyle w:val="examplescaledpre"/>
      </w:pPr>
      <w:r>
        <w:rPr>
          <w:rStyle w:val="indexentry"/>
        </w:rPr>
        <w:t>&lt;ex "this boat"&gt;</w:t>
      </w:r>
      <w:r>
        <w:rPr>
          <w:rStyle w:val="indexentry"/>
        </w:rPr>
        <w:fldChar w:fldCharType="begin"/>
      </w:r>
      <w:r>
        <w:instrText>xe "</w:instrText>
      </w:r>
      <w:r>
        <w:rPr>
          <w:rStyle w:val="xeentry"/>
        </w:rPr>
        <w:instrText>this boat: example</w:instrText>
      </w:r>
      <w:r>
        <w:instrText>"</w:instrText>
      </w:r>
      <w:r>
        <w:rPr>
          <w:rStyle w:val="indexentry"/>
        </w:rPr>
        <w:fldChar w:fldCharType="end"/>
      </w:r>
      <w:r>
        <w:rPr>
          <w:rStyle w:val="htmlcodes"/>
        </w:rPr>
        <w:t>&lt;pre&gt;&lt;a name=e3d1&gt;</w:t>
      </w:r>
      <w:r>
        <w:t>3.1)</w:t>
      </w:r>
      <w:r>
        <w:tab/>
        <w:t>le ti bloti</w:t>
      </w:r>
    </w:p>
    <w:p w:rsidR="00B72047" w:rsidRDefault="00B72047">
      <w:pPr>
        <w:pStyle w:val="examplescaled"/>
      </w:pPr>
      <w:r>
        <w:tab/>
        <w:t>the this boat</w:t>
      </w:r>
    </w:p>
    <w:p w:rsidR="00B72047" w:rsidRDefault="00B72047">
      <w:pPr>
        <w:pStyle w:val="resumedafterexample"/>
      </w:pPr>
      <w:r>
        <w:rPr>
          <w:rStyle w:val="htmlcodes"/>
        </w:rPr>
        <w:t>&lt;/pre&gt;</w:t>
      </w:r>
      <w:r>
        <w:rPr>
          <w:rStyle w:val="indexentry"/>
        </w:rPr>
        <w:t>&lt;cx "vi, as adjective usage for “this”"&gt;</w:t>
      </w:r>
      <w:r>
        <w:rPr>
          <w:rStyle w:val="indexentry"/>
        </w:rPr>
        <w:fldChar w:fldCharType="begin"/>
      </w:r>
      <w:r>
        <w:instrText>xe "</w:instrText>
      </w:r>
      <w:r>
        <w:rPr>
          <w:rStyle w:val="xeentry"/>
        </w:rPr>
        <w:instrText>vi: as adjective expression for English this</w:instrText>
      </w:r>
      <w:r>
        <w:instrText>"</w:instrText>
      </w:r>
      <w:r>
        <w:rPr>
          <w:rStyle w:val="indexentry"/>
        </w:rPr>
        <w:fldChar w:fldCharType="end"/>
      </w:r>
      <w:r>
        <w:rPr>
          <w:rStyle w:val="indexentry"/>
        </w:rPr>
        <w:t>&lt;cx "this, adjective usage with “vi”"&gt;</w:t>
      </w:r>
      <w:r>
        <w:rPr>
          <w:rStyle w:val="indexentry"/>
        </w:rPr>
        <w:fldChar w:fldCharType="begin"/>
      </w:r>
      <w:r>
        <w:instrText>xe "</w:instrText>
      </w:r>
      <w:r>
        <w:rPr>
          <w:rStyle w:val="xeentry"/>
        </w:rPr>
        <w:instrText>this: English, adjective expression with vi</w:instrText>
      </w:r>
      <w:r>
        <w:instrText>"</w:instrText>
      </w:r>
      <w:r>
        <w:rPr>
          <w:rStyle w:val="indexentry"/>
        </w:rPr>
        <w:fldChar w:fldCharType="end"/>
      </w:r>
      <w:r>
        <w:t>does not mean “this boat” but rather “this one's boat”, “the boat asso</w:t>
      </w:r>
      <w:r>
        <w:softHyphen/>
        <w:t>ciated</w:t>
      </w:r>
      <w:r>
        <w:rPr>
          <w:rStyle w:val="deletedparamark"/>
        </w:rPr>
        <w:t xml:space="preserve"> </w:t>
      </w:r>
      <w:r>
        <w:t xml:space="preserve">with this thing”, as explained in </w:t>
      </w:r>
      <w:r>
        <w:rPr>
          <w:rStyle w:val="htmlcodes"/>
        </w:rPr>
        <w:t>&lt;a href=chap8.html&gt;</w:t>
      </w:r>
      <w:r>
        <w:t>Chapter 8</w:t>
      </w:r>
      <w:r>
        <w:rPr>
          <w:rStyle w:val="htmlcodes"/>
        </w:rPr>
        <w:t>&lt;/a&gt;</w:t>
      </w:r>
      <w:r>
        <w:t>. A correct Lojban translation</w:t>
      </w:r>
      <w:r>
        <w:rPr>
          <w:rStyle w:val="deletedparamark"/>
        </w:rPr>
        <w:t xml:space="preserve"> </w:t>
      </w:r>
      <w:r>
        <w:t xml:space="preserve">of </w:t>
      </w:r>
      <w:r>
        <w:rPr>
          <w:rStyle w:val="htmlcodes"/>
        </w:rPr>
        <w:t>&lt;a href=#e3d1&gt;</w:t>
      </w:r>
      <w:r>
        <w:t xml:space="preserve">Example 3.1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le vi bloti</w:t>
      </w:r>
    </w:p>
    <w:p w:rsidR="00B72047" w:rsidRDefault="00B72047">
      <w:pPr>
        <w:pStyle w:val="examplescaled"/>
      </w:pPr>
      <w:r>
        <w:tab/>
        <w:t>the here boat</w:t>
      </w:r>
    </w:p>
    <w:p w:rsidR="00B72047" w:rsidRDefault="00B72047">
      <w:pPr>
        <w:pStyle w:val="examplescaled"/>
      </w:pPr>
      <w:r>
        <w:tab/>
        <w:t>the nearby boat</w:t>
      </w:r>
    </w:p>
    <w:p w:rsidR="00B72047" w:rsidRDefault="00B72047">
      <w:pPr>
        <w:pStyle w:val="resumedafterexample"/>
      </w:pPr>
      <w:r>
        <w:rPr>
          <w:rStyle w:val="htmlcodes"/>
        </w:rPr>
        <w:t>&lt;/pre&gt;</w:t>
      </w:r>
      <w:r>
        <w:t>using a spatial tense before the selbri “bloti” to express that the boat is</w:t>
      </w:r>
      <w:r>
        <w:rPr>
          <w:rStyle w:val="deletedparamark"/>
        </w:rPr>
        <w:t xml:space="preserve"> </w:t>
      </w:r>
      <w:r>
        <w:t xml:space="preserve">near the speaker. (Tenses are explained in full in </w:t>
      </w:r>
      <w:r>
        <w:rPr>
          <w:rStyle w:val="htmlcodes"/>
        </w:rPr>
        <w:t>&lt;a href=chap11.html&gt;</w:t>
      </w:r>
      <w:r>
        <w:t>Chapter 11</w:t>
      </w:r>
      <w:r>
        <w:rPr>
          <w:rStyle w:val="htmlcodes"/>
        </w:rPr>
        <w:t>&lt;/a&gt;</w:t>
      </w:r>
      <w:r>
        <w:t>.) An</w:t>
      </w:r>
      <w:r>
        <w:softHyphen/>
        <w:t>other</w:t>
      </w:r>
      <w:r>
        <w:rPr>
          <w:rStyle w:val="deletedparamark"/>
        </w:rPr>
        <w:t xml:space="preserve"> </w:t>
      </w:r>
      <w:r>
        <w:t>correct translation would be:</w:t>
      </w:r>
    </w:p>
    <w:p w:rsidR="00B72047" w:rsidRDefault="00B72047">
      <w:pPr>
        <w:rPr>
          <w:rStyle w:val="htmlparacode"/>
        </w:rPr>
      </w:pPr>
      <w:r>
        <w:rPr>
          <w:rStyle w:val="htmlparacode"/>
        </w:rPr>
        <w:t>&lt;p&gt;</w:t>
      </w:r>
    </w:p>
    <w:p w:rsidR="00B72047" w:rsidRDefault="00B72047">
      <w:pPr>
        <w:pStyle w:val="examplescaledpre"/>
      </w:pPr>
      <w:r>
        <w:rPr>
          <w:rStyle w:val="indexentry"/>
        </w:rPr>
        <w:t>&lt;cx "ti noi, as adjective usage for “this”"&gt;</w:t>
      </w:r>
      <w:r>
        <w:rPr>
          <w:rStyle w:val="indexentry"/>
        </w:rPr>
        <w:fldChar w:fldCharType="begin"/>
      </w:r>
      <w:r>
        <w:instrText>xe "</w:instrText>
      </w:r>
      <w:r>
        <w:rPr>
          <w:rStyle w:val="xeentry"/>
        </w:rPr>
        <w:instrText>ti noi: as adjective expression for this</w:instrText>
      </w:r>
      <w:r>
        <w:instrText>"</w:instrText>
      </w:r>
      <w:r>
        <w:rPr>
          <w:rStyle w:val="indexentry"/>
        </w:rPr>
        <w:fldChar w:fldCharType="end"/>
      </w:r>
      <w:r>
        <w:rPr>
          <w:rStyle w:val="indexentry"/>
        </w:rPr>
        <w:t>&lt;cx "this, adjective usage with “ti noi”"&gt;</w:t>
      </w:r>
      <w:r>
        <w:rPr>
          <w:rStyle w:val="indexentry"/>
        </w:rPr>
        <w:fldChar w:fldCharType="begin"/>
      </w:r>
      <w:r>
        <w:instrText>xe "</w:instrText>
      </w:r>
      <w:r>
        <w:rPr>
          <w:rStyle w:val="xeentry"/>
        </w:rPr>
        <w:instrText>this: adjective expression with ti noi</w:instrText>
      </w:r>
      <w:r>
        <w:instrText>"</w:instrText>
      </w:r>
      <w:r>
        <w:rPr>
          <w:rStyle w:val="indexentry"/>
        </w:rPr>
        <w:fldChar w:fldCharType="end"/>
      </w:r>
      <w:r>
        <w:rPr>
          <w:rStyle w:val="htmlcodes"/>
        </w:rPr>
        <w:t>&lt;pre&gt;&lt;a name=e3d3&gt;</w:t>
      </w:r>
      <w:r>
        <w:t>3.3)</w:t>
      </w:r>
      <w:r>
        <w:tab/>
        <w:t>ti noi bloti</w:t>
      </w:r>
    </w:p>
    <w:p w:rsidR="00B72047" w:rsidRDefault="00B72047">
      <w:pPr>
        <w:pStyle w:val="examplescaled"/>
      </w:pPr>
      <w:r>
        <w:tab/>
        <w:t>this-thing which-incidentally is-a-boat</w:t>
      </w:r>
    </w:p>
    <w:p w:rsidR="00B72047" w:rsidRDefault="00B72047">
      <w:pPr>
        <w:pStyle w:val="normalafterexample"/>
      </w:pPr>
      <w:r>
        <w:rPr>
          <w:rStyle w:val="htmlcodes"/>
        </w:rPr>
        <w:t>&lt;/pre&gt;</w:t>
      </w:r>
      <w:r>
        <w:rPr>
          <w:rStyle w:val="indexentry"/>
        </w:rPr>
        <w:t>&lt;cx "ti-series pro-sumti, lack of pro-bridi equivalent"&gt;</w:t>
      </w:r>
      <w:r>
        <w:rPr>
          <w:rStyle w:val="indexentry"/>
        </w:rPr>
        <w:fldChar w:fldCharType="begin"/>
      </w:r>
      <w:r>
        <w:instrText>xe "</w:instrText>
      </w:r>
      <w:r>
        <w:rPr>
          <w:rStyle w:val="xeentry"/>
        </w:rPr>
        <w:instrText>ti-series pro-sumti: lack of pro-bridi equivalent</w:instrText>
      </w:r>
      <w:r>
        <w:instrText>"</w:instrText>
      </w:r>
      <w:r>
        <w:rPr>
          <w:rStyle w:val="indexentry"/>
        </w:rPr>
        <w:fldChar w:fldCharType="end"/>
      </w:r>
      <w:r>
        <w:t>There are no demonstrative pro-bridi to correspond to the ti-series:</w:t>
      </w:r>
      <w:r>
        <w:rPr>
          <w:rStyle w:val="deletedparamark"/>
        </w:rPr>
        <w:t xml:space="preserve"> </w:t>
      </w:r>
      <w:r>
        <w:t>you can't point to a relationship.</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275" w:name="_Toc395691555"/>
      <w:bookmarkStart w:id="276" w:name="_Toc398970526"/>
      <w:r>
        <w:rPr>
          <w:rStyle w:val="Heading3Text"/>
        </w:rPr>
        <w:t>Utterance pro-sumti: the di'u-series</w:t>
      </w:r>
      <w:bookmarkEnd w:id="275"/>
      <w:bookmarkEnd w:id="27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di'u</w:t>
      </w:r>
      <w:r>
        <w:tab/>
        <w:t>KOhA</w:t>
      </w:r>
      <w:r>
        <w:tab/>
        <w:t>di'u-series</w:t>
      </w:r>
      <w:r>
        <w:tab/>
        <w:t>the previous utterance</w:t>
      </w:r>
    </w:p>
    <w:p w:rsidR="00B72047" w:rsidRDefault="00B72047">
      <w:pPr>
        <w:pStyle w:val="examplescaled"/>
      </w:pPr>
      <w:r>
        <w:tab/>
        <w:t>de'u</w:t>
      </w:r>
      <w:r>
        <w:tab/>
        <w:t>KOhA</w:t>
      </w:r>
      <w:r>
        <w:tab/>
        <w:t>di'u-series</w:t>
      </w:r>
      <w:r>
        <w:tab/>
        <w:t>an earlier utterance</w:t>
      </w:r>
    </w:p>
    <w:p w:rsidR="00B72047" w:rsidRDefault="00B72047">
      <w:pPr>
        <w:pStyle w:val="examplescaled"/>
      </w:pPr>
      <w:r>
        <w:tab/>
        <w:t>da'u</w:t>
      </w:r>
      <w:r>
        <w:tab/>
        <w:t>KOhA</w:t>
      </w:r>
      <w:r>
        <w:tab/>
        <w:t>di'u-series</w:t>
      </w:r>
      <w:r>
        <w:tab/>
        <w:t>a much earlier utterance</w:t>
      </w:r>
    </w:p>
    <w:p w:rsidR="00B72047" w:rsidRDefault="00B72047">
      <w:pPr>
        <w:pStyle w:val="examplescaled"/>
      </w:pPr>
      <w:r>
        <w:tab/>
        <w:t>di'e</w:t>
      </w:r>
      <w:r>
        <w:tab/>
        <w:t>KOhA</w:t>
      </w:r>
      <w:r>
        <w:tab/>
        <w:t>di'u-series</w:t>
      </w:r>
      <w:r>
        <w:tab/>
        <w:t>the next utterance</w:t>
      </w:r>
    </w:p>
    <w:p w:rsidR="00B72047" w:rsidRDefault="00B72047">
      <w:pPr>
        <w:pStyle w:val="examplescaled"/>
      </w:pPr>
      <w:r>
        <w:tab/>
        <w:t>de'e</w:t>
      </w:r>
      <w:r>
        <w:tab/>
        <w:t>KOhA</w:t>
      </w:r>
      <w:r>
        <w:tab/>
        <w:t>di'u-series</w:t>
      </w:r>
      <w:r>
        <w:tab/>
        <w:t>a later utterance</w:t>
      </w:r>
    </w:p>
    <w:p w:rsidR="00B72047" w:rsidRDefault="00B72047">
      <w:pPr>
        <w:pStyle w:val="examplescaled"/>
      </w:pPr>
      <w:r>
        <w:tab/>
        <w:t>da'e</w:t>
      </w:r>
      <w:r>
        <w:tab/>
        <w:t>KOhA</w:t>
      </w:r>
      <w:r>
        <w:tab/>
        <w:t>di'u-series</w:t>
      </w:r>
      <w:r>
        <w:tab/>
        <w:t>a much later utterance</w:t>
      </w:r>
    </w:p>
    <w:p w:rsidR="00B72047" w:rsidRDefault="00B72047">
      <w:pPr>
        <w:pStyle w:val="examplescaled"/>
      </w:pPr>
      <w:r>
        <w:tab/>
        <w:t>dei</w:t>
      </w:r>
      <w:r>
        <w:tab/>
        <w:t>KOhA</w:t>
      </w:r>
      <w:r>
        <w:tab/>
        <w:t>di'u-series</w:t>
      </w:r>
      <w:r>
        <w:tab/>
        <w:t>this very utterance</w:t>
      </w:r>
    </w:p>
    <w:p w:rsidR="00B72047" w:rsidRDefault="00B72047">
      <w:pPr>
        <w:pStyle w:val="examplescaled"/>
      </w:pPr>
      <w:r>
        <w:tab/>
        <w:t>do'i</w:t>
      </w:r>
      <w:r>
        <w:tab/>
        <w:t>KOhA</w:t>
      </w:r>
      <w:r>
        <w:tab/>
        <w:t>di'u-series</w:t>
      </w:r>
      <w:r>
        <w:tab/>
        <w:t>some utterance</w:t>
      </w:r>
    </w:p>
    <w:p w:rsidR="00B72047" w:rsidRDefault="00B72047">
      <w:pPr>
        <w:pStyle w:val="normalafterexample"/>
      </w:pPr>
      <w:r>
        <w:rPr>
          <w:rStyle w:val="htmlcodes"/>
        </w:rPr>
        <w:t>&lt;/pre&gt;</w:t>
      </w:r>
      <w:r>
        <w:rPr>
          <w:rStyle w:val="indexentry"/>
        </w:rPr>
        <w:t>&lt;cx "pro-sumti for utterances"&gt;</w:t>
      </w:r>
      <w:r>
        <w:rPr>
          <w:rStyle w:val="indexentry"/>
        </w:rPr>
        <w:fldChar w:fldCharType="begin"/>
      </w:r>
      <w:r>
        <w:instrText>xe "</w:instrText>
      </w:r>
      <w:r>
        <w:rPr>
          <w:rStyle w:val="xeentry"/>
        </w:rPr>
        <w:instrText>pro-sumti for utterances</w:instrText>
      </w:r>
      <w:r>
        <w:instrText>"</w:instrText>
      </w:r>
      <w:r>
        <w:rPr>
          <w:rStyle w:val="indexentry"/>
        </w:rPr>
        <w:fldChar w:fldCharType="end"/>
      </w:r>
      <w:r>
        <w:rPr>
          <w:rStyle w:val="indexentry"/>
        </w:rPr>
        <w:t>&lt;cx "utterance pro-sumti (see also di'u-series pro-sumti)"&gt;</w:t>
      </w:r>
      <w:r>
        <w:rPr>
          <w:rStyle w:val="indexentry"/>
        </w:rPr>
        <w:fldChar w:fldCharType="begin"/>
      </w:r>
      <w:r>
        <w:instrText>xe "</w:instrText>
      </w:r>
      <w:r>
        <w:rPr>
          <w:rStyle w:val="xeentry"/>
        </w:rPr>
        <w:instrText>utterance pro-sumti (see also di'u-series pro-sumti)</w:instrText>
      </w:r>
      <w:r>
        <w:instrText>"</w:instrText>
      </w:r>
      <w:r>
        <w:rPr>
          <w:rStyle w:val="indexentry"/>
        </w:rPr>
        <w:fldChar w:fldCharType="end"/>
      </w:r>
      <w:r>
        <w:rPr>
          <w:rStyle w:val="indexentry"/>
        </w:rPr>
        <w:t>&lt;cx "di'u-series pro-sumti"&gt;</w:t>
      </w:r>
      <w:r>
        <w:rPr>
          <w:rStyle w:val="indexentry"/>
        </w:rPr>
        <w:fldChar w:fldCharType="begin"/>
      </w:r>
      <w:r>
        <w:instrText>xe "</w:instrText>
      </w:r>
      <w:r>
        <w:rPr>
          <w:rStyle w:val="xeentry"/>
        </w:rPr>
        <w:instrText xml:space="preserve">di'u-series pro-sumti /r dihuseries </w:instrText>
      </w:r>
      <w:r>
        <w:instrText xml:space="preserve"> "</w:instrText>
      </w:r>
      <w:r>
        <w:rPr>
          <w:rStyle w:val="indexentry"/>
        </w:rPr>
        <w:fldChar w:fldCharType="end"/>
      </w:r>
      <w:r>
        <w:rPr>
          <w:rStyle w:val="indexentry"/>
        </w:rPr>
        <w:t>&lt;cx "this, as utterance reference in English"&gt;</w:t>
      </w:r>
      <w:r>
        <w:rPr>
          <w:rStyle w:val="indexentry"/>
        </w:rPr>
        <w:fldChar w:fldCharType="begin"/>
      </w:r>
      <w:r>
        <w:instrText>xe "</w:instrText>
      </w:r>
      <w:r>
        <w:rPr>
          <w:rStyle w:val="xeentry"/>
        </w:rPr>
        <w:instrText>this: as utterance reference in English</w:instrText>
      </w:r>
      <w:r>
        <w:instrText>"</w:instrText>
      </w:r>
      <w:r>
        <w:rPr>
          <w:rStyle w:val="indexentry"/>
        </w:rPr>
        <w:fldChar w:fldCharType="end"/>
      </w:r>
      <w:r>
        <w:rPr>
          <w:rStyle w:val="indexentry"/>
        </w:rPr>
        <w:t>&lt;cx "pro-sumti, di'u-series"&gt;</w:t>
      </w:r>
      <w:r>
        <w:rPr>
          <w:rStyle w:val="indexentry"/>
        </w:rPr>
        <w:fldChar w:fldCharType="begin"/>
      </w:r>
      <w:r>
        <w:instrText>xe "</w:instrText>
      </w:r>
      <w:r>
        <w:rPr>
          <w:rStyle w:val="xeentry"/>
        </w:rPr>
        <w:instrText>pro-sumti: di'u-series/rdihuseries</w:instrText>
      </w:r>
      <w:r>
        <w:instrText>"</w:instrText>
      </w:r>
      <w:r>
        <w:rPr>
          <w:rStyle w:val="indexentry"/>
        </w:rPr>
        <w:fldChar w:fldCharType="end"/>
      </w:r>
      <w:r>
        <w:t>The cmavo of the di'u-series enable us to talk about things that have</w:t>
      </w:r>
      <w:r>
        <w:rPr>
          <w:rStyle w:val="deletedparamark"/>
        </w:rPr>
        <w:t xml:space="preserve"> </w:t>
      </w:r>
      <w:r>
        <w:t>been, are being, or will be said. In English, it is normal to use “this”</w:t>
      </w:r>
      <w:r>
        <w:rPr>
          <w:rStyle w:val="deletedparamark"/>
        </w:rPr>
        <w:t xml:space="preserve"> </w:t>
      </w:r>
      <w:r>
        <w:t>and “that” for this (indeed, the imm</w:t>
      </w:r>
      <w:r>
        <w:t>e</w:t>
      </w:r>
      <w:r>
        <w:softHyphen/>
        <w:t>diately pre</w:t>
      </w:r>
      <w:r>
        <w:softHyphen/>
        <w:t>ceding “this” is</w:t>
      </w:r>
      <w:r>
        <w:rPr>
          <w:rStyle w:val="deletedparamark"/>
        </w:rPr>
        <w:t xml:space="preserve"> </w:t>
      </w:r>
      <w:r>
        <w:t>an example of such a usage):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You don't like cats.</w:t>
      </w:r>
    </w:p>
    <w:p w:rsidR="00B72047" w:rsidRDefault="00B72047">
      <w:pPr>
        <w:pStyle w:val="examplescaled"/>
      </w:pPr>
      <w:r>
        <w:tab/>
        <w:t>That is untrue.</w:t>
      </w:r>
    </w:p>
    <w:p w:rsidR="00B72047" w:rsidRDefault="00B72047">
      <w:pPr>
        <w:pStyle w:val="resumedafterexample"/>
      </w:pPr>
      <w:r>
        <w:rPr>
          <w:rStyle w:val="htmlcodes"/>
        </w:rPr>
        <w:t>&lt;/pre&gt;&lt;p&gt;</w:t>
      </w:r>
      <w:r>
        <w:t>Here “that” does not refer to something that can be pointed to, but to</w:t>
      </w:r>
      <w:r>
        <w:rPr>
          <w:rStyle w:val="deletedparamark"/>
        </w:rPr>
        <w:t xml:space="preserve"> </w:t>
      </w:r>
      <w:r>
        <w:t>the preceding se</w:t>
      </w:r>
      <w:r>
        <w:t>n</w:t>
      </w:r>
      <w:r>
        <w:softHyphen/>
        <w:t>tence “You don't like cats”. In Lojban, therefore,</w:t>
      </w:r>
      <w:r>
        <w:rPr>
          <w:rStyle w:val="deletedparamark"/>
        </w:rPr>
        <w:t xml:space="preserve"> </w:t>
      </w:r>
      <w:r>
        <w:rPr>
          <w:rStyle w:val="htmlcodes"/>
        </w:rPr>
        <w:t>&lt;a href=#e4d1&gt;</w:t>
      </w:r>
      <w:r>
        <w:t xml:space="preserve">Example 4.1 </w:t>
      </w:r>
      <w:r>
        <w:rPr>
          <w:rStyle w:val="htmlcodes"/>
        </w:rPr>
        <w:t>&lt;/a&gt;</w:t>
      </w:r>
      <w:r>
        <w:t>is rendered: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name=e4d2&gt;</w:t>
      </w:r>
      <w:r>
        <w:t>4.2)</w:t>
      </w:r>
      <w:r>
        <w:tab/>
        <w:t>do na nelci loi mlatu  .i di'u jitfa jufra</w:t>
      </w:r>
    </w:p>
    <w:p w:rsidR="00B72047" w:rsidRDefault="00B72047">
      <w:pPr>
        <w:pStyle w:val="examplescaled"/>
      </w:pPr>
      <w:r>
        <w:tab/>
        <w:t>You (Not!) like the-mass-of cats.  The-previous-utterance is-a-false-sentence.</w:t>
      </w:r>
    </w:p>
    <w:p w:rsidR="00B72047" w:rsidRDefault="00B72047">
      <w:pPr>
        <w:pStyle w:val="resumedafterexample"/>
      </w:pPr>
      <w:r>
        <w:rPr>
          <w:rStyle w:val="htmlcodes"/>
        </w:rPr>
        <w:t>&lt;/pre&gt;</w:t>
      </w:r>
      <w:r>
        <w:rPr>
          <w:rStyle w:val="indexentry"/>
        </w:rPr>
        <w:t>&lt;cx "ta, contrasted with di'u"&gt;</w:t>
      </w:r>
      <w:r>
        <w:rPr>
          <w:rStyle w:val="indexentry"/>
        </w:rPr>
        <w:fldChar w:fldCharType="begin"/>
      </w:r>
      <w:r>
        <w:instrText>xe "</w:instrText>
      </w:r>
      <w:r>
        <w:rPr>
          <w:rStyle w:val="xeentry"/>
        </w:rPr>
        <w:instrText>ta: contrasted with di'u</w:instrText>
      </w:r>
      <w:r>
        <w:instrText>"</w:instrText>
      </w:r>
      <w:r>
        <w:rPr>
          <w:rStyle w:val="indexentry"/>
        </w:rPr>
        <w:fldChar w:fldCharType="end"/>
      </w:r>
      <w:r>
        <w:rPr>
          <w:rStyle w:val="indexentry"/>
        </w:rPr>
        <w:t>&lt;cx "di'u, contrasted with ta"&gt;</w:t>
      </w:r>
      <w:r>
        <w:rPr>
          <w:rStyle w:val="indexentry"/>
        </w:rPr>
        <w:fldChar w:fldCharType="begin"/>
      </w:r>
      <w:r>
        <w:instrText>xe "</w:instrText>
      </w:r>
      <w:r>
        <w:rPr>
          <w:rStyle w:val="xeentry"/>
        </w:rPr>
        <w:instrText>di'u: contrasted with ta</w:instrText>
      </w:r>
      <w:r>
        <w:instrText>"</w:instrText>
      </w:r>
      <w:r>
        <w:rPr>
          <w:rStyle w:val="indexentry"/>
        </w:rPr>
        <w:fldChar w:fldCharType="end"/>
      </w:r>
      <w:r>
        <w:rPr>
          <w:rStyle w:val="indexentry"/>
        </w:rPr>
        <w:t>&lt;cx "ti-series pro-sumti, contrasted with di'u-series pro-sumti"&gt;</w:t>
      </w:r>
      <w:r>
        <w:rPr>
          <w:rStyle w:val="indexentry"/>
        </w:rPr>
        <w:fldChar w:fldCharType="begin"/>
      </w:r>
      <w:r>
        <w:instrText>xe "</w:instrText>
      </w:r>
      <w:r>
        <w:rPr>
          <w:rStyle w:val="xeentry"/>
        </w:rPr>
        <w:instrText>ti-series pro-sumti: contrasted with di'u-series pro-sumti</w:instrText>
      </w:r>
      <w:r>
        <w:instrText>"</w:instrText>
      </w:r>
      <w:r>
        <w:rPr>
          <w:rStyle w:val="indexentry"/>
        </w:rPr>
        <w:fldChar w:fldCharType="end"/>
      </w:r>
      <w:r>
        <w:t>Using “ta” instead of “di'u” would cause the listener to look around to see</w:t>
      </w:r>
      <w:r>
        <w:rPr>
          <w:rStyle w:val="deletedparamark"/>
        </w:rPr>
        <w:t xml:space="preserve"> </w:t>
      </w:r>
      <w:r>
        <w:t>what the speaker of the second sentence was physically pointing to.</w:t>
      </w:r>
    </w:p>
    <w:p w:rsidR="00B72047" w:rsidRDefault="00B72047">
      <w:pPr>
        <w:rPr>
          <w:rStyle w:val="htmlparacode"/>
        </w:rPr>
      </w:pPr>
      <w:r>
        <w:rPr>
          <w:rStyle w:val="htmlparacode"/>
        </w:rPr>
        <w:t>&lt;p&gt;</w:t>
      </w:r>
    </w:p>
    <w:p w:rsidR="00B72047" w:rsidRDefault="00B72047">
      <w:pPr>
        <w:pStyle w:val="normalparagraph"/>
      </w:pPr>
      <w:r>
        <w:rPr>
          <w:rStyle w:val="indexentry"/>
        </w:rPr>
        <w:t>&lt;lx "di'u"&gt;</w:t>
      </w:r>
      <w:r>
        <w:rPr>
          <w:rStyle w:val="indexentry"/>
        </w:rPr>
        <w:fldChar w:fldCharType="begin"/>
      </w:r>
      <w:r>
        <w:instrText>xe "</w:instrText>
      </w:r>
      <w:r>
        <w:rPr>
          <w:rStyle w:val="xeentry"/>
        </w:rPr>
        <w:instrText>di'u</w:instrText>
      </w:r>
      <w:r>
        <w:instrText>"</w:instrText>
      </w:r>
      <w:r>
        <w:rPr>
          <w:rStyle w:val="indexentry"/>
        </w:rPr>
        <w:fldChar w:fldCharType="end"/>
      </w:r>
      <w:r>
        <w:rPr>
          <w:rStyle w:val="indexentry"/>
        </w:rPr>
        <w:t>&lt;lx "de'u"&gt;</w:t>
      </w:r>
      <w:r>
        <w:rPr>
          <w:rStyle w:val="indexentry"/>
        </w:rPr>
        <w:fldChar w:fldCharType="begin"/>
      </w:r>
      <w:r>
        <w:instrText>xe "</w:instrText>
      </w:r>
      <w:r>
        <w:rPr>
          <w:rStyle w:val="xeentry"/>
        </w:rPr>
        <w:instrText>de'u</w:instrText>
      </w:r>
      <w:r>
        <w:instrText>"</w:instrText>
      </w:r>
      <w:r>
        <w:rPr>
          <w:rStyle w:val="indexentry"/>
        </w:rPr>
        <w:fldChar w:fldCharType="end"/>
      </w:r>
      <w:r>
        <w:rPr>
          <w:rStyle w:val="indexentry"/>
        </w:rPr>
        <w:t>&lt;lx "da'u"&gt;</w:t>
      </w:r>
      <w:r>
        <w:rPr>
          <w:rStyle w:val="indexentry"/>
        </w:rPr>
        <w:fldChar w:fldCharType="begin"/>
      </w:r>
      <w:r>
        <w:instrText>xe "</w:instrText>
      </w:r>
      <w:r>
        <w:rPr>
          <w:rStyle w:val="xeentry"/>
        </w:rPr>
        <w:instrText>da'u</w:instrText>
      </w:r>
      <w:r>
        <w:instrText>"</w:instrText>
      </w:r>
      <w:r>
        <w:rPr>
          <w:rStyle w:val="indexentry"/>
        </w:rPr>
        <w:fldChar w:fldCharType="end"/>
      </w:r>
      <w:r>
        <w:t>As with “ti”, “ta”, and “tu”, the cmavo of the di'u-series come in threes:</w:t>
      </w:r>
      <w:r>
        <w:rPr>
          <w:rStyle w:val="deletedparamark"/>
        </w:rPr>
        <w:t xml:space="preserve"> </w:t>
      </w:r>
      <w:r>
        <w:t>a close utte</w:t>
      </w:r>
      <w:r>
        <w:t>r</w:t>
      </w:r>
      <w:r>
        <w:softHyphen/>
        <w:t>ance, a medium-distance utterance, and a distant utterance,</w:t>
      </w:r>
      <w:r>
        <w:rPr>
          <w:rStyle w:val="deletedparamark"/>
        </w:rPr>
        <w:t xml:space="preserve"> </w:t>
      </w:r>
      <w:r>
        <w:t>either in the past or in the f</w:t>
      </w:r>
      <w:r>
        <w:t>u</w:t>
      </w:r>
      <w:r>
        <w:softHyphen/>
        <w:t>ture. It turned out to be impossible to</w:t>
      </w:r>
      <w:r>
        <w:rPr>
          <w:rStyle w:val="deletedparamark"/>
        </w:rPr>
        <w:t xml:space="preserve"> </w:t>
      </w:r>
      <w:r>
        <w:t>use the “i”/“a”/“u” vowel convention of the demon</w:t>
      </w:r>
      <w:r>
        <w:softHyphen/>
        <w:t xml:space="preserve">stratives in </w:t>
      </w:r>
      <w:r>
        <w:rPr>
          <w:rStyle w:val="htmlcodes"/>
        </w:rPr>
        <w:t>&lt;a href=#s3&gt;</w:t>
      </w:r>
      <w:r>
        <w:t xml:space="preserve">Section 3 </w:t>
      </w:r>
      <w:r>
        <w:rPr>
          <w:rStyle w:val="htmlcodes"/>
        </w:rPr>
        <w:t>&lt;/a&gt;</w:t>
      </w:r>
      <w:r>
        <w:t>without causing</w:t>
      </w:r>
      <w:r>
        <w:rPr>
          <w:rStyle w:val="deletedparamark"/>
        </w:rPr>
        <w:t xml:space="preserve"> </w:t>
      </w:r>
      <w:r>
        <w:t>collisions with other cmavo, and so the di'u-series has a unique “i”/“e”/“a”</w:t>
      </w:r>
      <w:r>
        <w:rPr>
          <w:rStyle w:val="deletedparamark"/>
        </w:rPr>
        <w:t xml:space="preserve"> </w:t>
      </w:r>
      <w:r>
        <w:t>convention in the first vowel of the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"di'e"&gt;</w:t>
      </w:r>
      <w:r>
        <w:rPr>
          <w:rStyle w:val="indexentry"/>
        </w:rPr>
        <w:fldChar w:fldCharType="begin"/>
      </w:r>
      <w:r>
        <w:instrText>xe "</w:instrText>
      </w:r>
      <w:r>
        <w:rPr>
          <w:rStyle w:val="xeentry"/>
        </w:rPr>
        <w:instrText>di'e</w:instrText>
      </w:r>
      <w:r>
        <w:instrText>"</w:instrText>
      </w:r>
      <w:r>
        <w:rPr>
          <w:rStyle w:val="indexentry"/>
        </w:rPr>
        <w:fldChar w:fldCharType="end"/>
      </w:r>
      <w:r>
        <w:rPr>
          <w:rStyle w:val="indexentry"/>
        </w:rPr>
        <w:t>&lt;lx "de'e"&gt;</w:t>
      </w:r>
      <w:r>
        <w:rPr>
          <w:rStyle w:val="indexentry"/>
        </w:rPr>
        <w:fldChar w:fldCharType="begin"/>
      </w:r>
      <w:r>
        <w:instrText>xe "</w:instrText>
      </w:r>
      <w:r>
        <w:rPr>
          <w:rStyle w:val="xeentry"/>
        </w:rPr>
        <w:instrText>de'e</w:instrText>
      </w:r>
      <w:r>
        <w:instrText>"</w:instrText>
      </w:r>
      <w:r>
        <w:rPr>
          <w:rStyle w:val="indexentry"/>
        </w:rPr>
        <w:fldChar w:fldCharType="end"/>
      </w:r>
      <w:r>
        <w:rPr>
          <w:rStyle w:val="indexentry"/>
        </w:rPr>
        <w:t>&lt;lx "da'e"&gt;</w:t>
      </w:r>
      <w:r>
        <w:rPr>
          <w:rStyle w:val="indexentry"/>
        </w:rPr>
        <w:fldChar w:fldCharType="begin"/>
      </w:r>
      <w:r>
        <w:instrText>xe "</w:instrText>
      </w:r>
      <w:r>
        <w:rPr>
          <w:rStyle w:val="xeentry"/>
        </w:rPr>
        <w:instrText>da'e</w:instrText>
      </w:r>
      <w:r>
        <w:instrText>"</w:instrText>
      </w:r>
      <w:r>
        <w:rPr>
          <w:rStyle w:val="indexentry"/>
        </w:rPr>
        <w:fldChar w:fldCharType="end"/>
      </w:r>
      <w:r>
        <w:t>Most references in speech are to the past (what has already been said),</w:t>
      </w:r>
      <w:r>
        <w:rPr>
          <w:rStyle w:val="deletedparamark"/>
        </w:rPr>
        <w:t xml:space="preserve"> </w:t>
      </w:r>
      <w:r>
        <w:t>so “di'e”, “de'e”, and “da'e” are not very useful when speaking. In</w:t>
      </w:r>
      <w:r>
        <w:rPr>
          <w:rStyle w:val="deletedparamark"/>
        </w:rPr>
        <w:t xml:space="preserve"> </w:t>
      </w:r>
      <w:r>
        <w:t>writing, they are fre</w:t>
      </w:r>
      <w:r>
        <w:softHyphen/>
        <w:t>quently handy:</w:t>
      </w:r>
    </w:p>
    <w:p w:rsidR="00B72047" w:rsidRDefault="00B72047">
      <w:pPr>
        <w:rPr>
          <w:rStyle w:val="htmlparacode"/>
        </w:rPr>
      </w:pPr>
      <w:r>
        <w:rPr>
          <w:rStyle w:val="htmlparacode"/>
        </w:rPr>
        <w:t>&lt;p&gt;</w:t>
      </w:r>
    </w:p>
    <w:p w:rsidR="00B72047" w:rsidRDefault="00B72047">
      <w:pPr>
        <w:pStyle w:val="examplescaledpre"/>
      </w:pPr>
      <w:r>
        <w:rPr>
          <w:rStyle w:val="indexentry"/>
        </w:rPr>
        <w:t>&lt;ex "Simon says"&gt;</w:t>
      </w:r>
      <w:r>
        <w:rPr>
          <w:rStyle w:val="indexentry"/>
        </w:rPr>
        <w:fldChar w:fldCharType="begin"/>
      </w:r>
      <w:r>
        <w:instrText>xe "</w:instrText>
      </w:r>
      <w:r>
        <w:rPr>
          <w:rStyle w:val="xeentry"/>
        </w:rPr>
        <w:instrText>Simon says: example</w:instrText>
      </w:r>
      <w:r>
        <w:instrText>"</w:instrText>
      </w:r>
      <w:r>
        <w:rPr>
          <w:rStyle w:val="indexentry"/>
        </w:rPr>
        <w:fldChar w:fldCharType="end"/>
      </w:r>
      <w:r>
        <w:rPr>
          <w:rStyle w:val="htmlcodes"/>
        </w:rPr>
        <w:t>&lt;pre&gt;&lt;a name=e4d3&gt;</w:t>
      </w:r>
      <w:r>
        <w:t>4.3)</w:t>
      </w:r>
      <w:r>
        <w:tab/>
        <w:t>la saimn. cusku di'e</w:t>
      </w:r>
    </w:p>
    <w:p w:rsidR="00B72047" w:rsidRDefault="00B72047">
      <w:pPr>
        <w:pStyle w:val="examplescaled"/>
      </w:pPr>
      <w:r>
        <w:tab/>
        <w:t>Simon expresses the-following-utterance.</w:t>
      </w:r>
    </w:p>
    <w:p w:rsidR="00B72047" w:rsidRDefault="00B72047">
      <w:pPr>
        <w:pStyle w:val="examplescaled"/>
      </w:pPr>
      <w:r>
        <w:tab/>
        <w:t>Simon says:</w:t>
      </w:r>
    </w:p>
    <w:p w:rsidR="00B72047" w:rsidRDefault="00B72047">
      <w:pPr>
        <w:pStyle w:val="resumedafterexample"/>
      </w:pPr>
      <w:r>
        <w:rPr>
          <w:rStyle w:val="htmlcodes"/>
        </w:rPr>
        <w:t>&lt;/pre&gt;&lt;a href=#e4d3&gt;</w:t>
      </w:r>
      <w:r>
        <w:t xml:space="preserve">Example 4.3 </w:t>
      </w:r>
      <w:r>
        <w:rPr>
          <w:rStyle w:val="htmlcodes"/>
        </w:rPr>
        <w:t>&lt;/a&gt;</w:t>
      </w:r>
      <w:r>
        <w:t>would typically be followed by a quotation. Note that al</w:t>
      </w:r>
      <w:r>
        <w:softHyphen/>
        <w:t>though</w:t>
      </w:r>
      <w:r>
        <w:rPr>
          <w:rStyle w:val="deletedparamark"/>
        </w:rPr>
        <w:t xml:space="preserve"> </w:t>
      </w:r>
      <w:r>
        <w:t>presuma</w:t>
      </w:r>
      <w:r>
        <w:softHyphen/>
        <w:t>bly the quotation is of something Simon has said in the past, the</w:t>
      </w:r>
      <w:r>
        <w:rPr>
          <w:rStyle w:val="deletedparamark"/>
        </w:rPr>
        <w:t xml:space="preserve"> </w:t>
      </w:r>
      <w:r>
        <w:t xml:space="preserve">quotation utterance itself would appear after </w:t>
      </w:r>
      <w:r>
        <w:rPr>
          <w:rStyle w:val="htmlcodes"/>
        </w:rPr>
        <w:t>&lt;a href=#e4d3&gt;</w:t>
      </w:r>
      <w:r>
        <w:t>Example 4.3</w:t>
      </w:r>
      <w:r>
        <w:rPr>
          <w:rStyle w:val="htmlcodes"/>
        </w:rPr>
        <w:t>&lt;/a&gt;</w:t>
      </w:r>
      <w:r>
        <w:t>, and so “di'e” is</w:t>
      </w:r>
      <w:r>
        <w:rPr>
          <w:rStyle w:val="deletedparamark"/>
        </w:rPr>
        <w:t xml:space="preserve"> </w:t>
      </w:r>
      <w:r>
        <w:t>appropriate.</w:t>
      </w:r>
    </w:p>
    <w:p w:rsidR="00B72047" w:rsidRDefault="00B72047">
      <w:pPr>
        <w:rPr>
          <w:rStyle w:val="htmlparacode"/>
        </w:rPr>
      </w:pPr>
      <w:r>
        <w:rPr>
          <w:rStyle w:val="htmlparacode"/>
        </w:rPr>
        <w:t>&lt;p&gt;</w:t>
      </w:r>
    </w:p>
    <w:p w:rsidR="00B72047" w:rsidRDefault="00B72047">
      <w:pPr>
        <w:pStyle w:val="normalparagraph"/>
      </w:pPr>
      <w:r>
        <w:rPr>
          <w:rStyle w:val="indexentry"/>
        </w:rPr>
        <w:t>&lt;lx "dei"&gt;</w:t>
      </w:r>
      <w:r>
        <w:rPr>
          <w:rStyle w:val="indexentry"/>
        </w:rPr>
        <w:fldChar w:fldCharType="begin"/>
      </w:r>
      <w:r>
        <w:instrText>xe "</w:instrText>
      </w:r>
      <w:r>
        <w:rPr>
          <w:rStyle w:val="xeentry"/>
        </w:rPr>
        <w:instrText>dei</w:instrText>
      </w:r>
      <w:r>
        <w:instrText>"</w:instrText>
      </w:r>
      <w:r>
        <w:rPr>
          <w:rStyle w:val="indexentry"/>
        </w:rPr>
        <w:fldChar w:fldCharType="end"/>
      </w:r>
      <w:r>
        <w:rPr>
          <w:rStyle w:val="indexentry"/>
        </w:rPr>
        <w:t>&lt;lx "do'i"&gt;</w:t>
      </w:r>
      <w:r>
        <w:rPr>
          <w:rStyle w:val="indexentry"/>
        </w:rPr>
        <w:fldChar w:fldCharType="begin"/>
      </w:r>
      <w:r>
        <w:instrText>xe "</w:instrText>
      </w:r>
      <w:r>
        <w:rPr>
          <w:rStyle w:val="xeentry"/>
        </w:rPr>
        <w:instrText>do'i</w:instrText>
      </w:r>
      <w:r>
        <w:instrText>"</w:instrText>
      </w:r>
      <w:r>
        <w:rPr>
          <w:rStyle w:val="indexentry"/>
        </w:rPr>
        <w:fldChar w:fldCharType="end"/>
      </w:r>
      <w:r>
        <w:t>The remaining two cmavo, “dei” and “do'i”, refer respectively to the very</w:t>
      </w:r>
      <w:r>
        <w:rPr>
          <w:rStyle w:val="deletedparamark"/>
        </w:rPr>
        <w:t xml:space="preserve"> </w:t>
      </w:r>
      <w:r>
        <w:t>ut</w:t>
      </w:r>
      <w:r>
        <w:softHyphen/>
        <w:t>terance that the speaker is uttering, and to some vague or unspecified</w:t>
      </w:r>
      <w:r>
        <w:rPr>
          <w:rStyle w:val="deletedparamark"/>
        </w:rPr>
        <w:t xml:space="preserve"> </w:t>
      </w:r>
      <w:r>
        <w:t>utterance uttered by som</w:t>
      </w:r>
      <w:r>
        <w:t>e</w:t>
      </w:r>
      <w:r>
        <w:softHyphen/>
        <w:t>one at some time: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name=e4d4&gt;</w:t>
      </w:r>
      <w:r>
        <w:t>4.4)</w:t>
      </w:r>
      <w:r>
        <w:tab/>
        <w:t>dei jetnu jufra</w:t>
      </w:r>
    </w:p>
    <w:p w:rsidR="00B72047" w:rsidRDefault="00B72047">
      <w:pPr>
        <w:pStyle w:val="examplescaled"/>
      </w:pPr>
      <w:r>
        <w:tab/>
        <w:t>This-utterance is-a-true-sentence.</w:t>
      </w:r>
    </w:p>
    <w:p w:rsidR="00B72047" w:rsidRDefault="00B72047">
      <w:pPr>
        <w:pStyle w:val="examplescaled"/>
      </w:pPr>
      <w:r>
        <w:tab/>
        <w:t>What I am saying (at this moment) is true.</w:t>
      </w:r>
    </w:p>
    <w:p w:rsidR="00B72047" w:rsidRDefault="00B72047">
      <w:pPr>
        <w:pStyle w:val="examplescaledpre"/>
      </w:pPr>
      <w:r>
        <w:rPr>
          <w:rStyle w:val="htmlcodes"/>
        </w:rPr>
        <w:t>&lt;a name=e4d5&gt;</w:t>
      </w:r>
      <w:r>
        <w:t>4.5)</w:t>
      </w:r>
      <w:r>
        <w:tab/>
        <w:t>do'i jetnu jufra</w:t>
      </w:r>
    </w:p>
    <w:p w:rsidR="00B72047" w:rsidRDefault="00B72047">
      <w:pPr>
        <w:pStyle w:val="examplescaled"/>
      </w:pPr>
      <w:r>
        <w:tab/>
        <w:t>Some-utterance is-a-true-sentence.</w:t>
      </w:r>
    </w:p>
    <w:p w:rsidR="00B72047" w:rsidRDefault="00B72047">
      <w:pPr>
        <w:pStyle w:val="examplescaled"/>
      </w:pPr>
      <w:r>
        <w:tab/>
        <w:t>That's true (where “that” is not necessarily what was just said).</w:t>
      </w:r>
    </w:p>
    <w:p w:rsidR="00B72047" w:rsidRDefault="00B72047">
      <w:pPr>
        <w:pStyle w:val="normalafterexample"/>
      </w:pPr>
      <w:r>
        <w:t>The cmavo of the di'u-series have a meaning that is relative to the context.</w:t>
      </w:r>
      <w:r>
        <w:rPr>
          <w:rStyle w:val="deletedparamark"/>
        </w:rPr>
        <w:t xml:space="preserve"> </w:t>
      </w:r>
      <w:r>
        <w:t>The refe</w:t>
      </w:r>
      <w:r>
        <w:t>r</w:t>
      </w:r>
      <w:r>
        <w:softHyphen/>
        <w:t>ent of “dei” in the current utterance is the same as the referent</w:t>
      </w:r>
      <w:r>
        <w:rPr>
          <w:rStyle w:val="deletedparamark"/>
        </w:rPr>
        <w:t xml:space="preserve"> </w:t>
      </w:r>
      <w:r>
        <w:t>of “di'u” in the next utte</w:t>
      </w:r>
      <w:r>
        <w:t>r</w:t>
      </w:r>
      <w:r>
        <w:softHyphen/>
        <w:t>ance. The term “utterance” is used rather than</w:t>
      </w:r>
      <w:r>
        <w:rPr>
          <w:rStyle w:val="deletedparamark"/>
        </w:rPr>
        <w:t xml:space="preserve"> “</w:t>
      </w:r>
      <w:r>
        <w:t>sentence” because the amount of speech or written text referred to by any</w:t>
      </w:r>
      <w:r>
        <w:rPr>
          <w:rStyle w:val="deletedparamark"/>
        </w:rPr>
        <w:t xml:space="preserve"> </w:t>
      </w:r>
      <w:r>
        <w:t>of these words is vague. Often, a single bridi is intended, but longer</w:t>
      </w:r>
      <w:r>
        <w:rPr>
          <w:rStyle w:val="deletedparamark"/>
        </w:rPr>
        <w:t xml:space="preserve"> </w:t>
      </w:r>
      <w:r>
        <w:t>utterances may be thus referred to.</w:t>
      </w:r>
    </w:p>
    <w:p w:rsidR="00B72047" w:rsidRDefault="00B72047">
      <w:pPr>
        <w:rPr>
          <w:rStyle w:val="htmlparacode"/>
        </w:rPr>
      </w:pPr>
      <w:r>
        <w:rPr>
          <w:rStyle w:val="htmlparacode"/>
        </w:rPr>
        <w:t>&lt;p&gt;</w:t>
      </w:r>
    </w:p>
    <w:p w:rsidR="00B72047" w:rsidRDefault="00B72047">
      <w:pPr>
        <w:pStyle w:val="normalparagraph"/>
      </w:pP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rPr>
          <w:rStyle w:val="indexentry"/>
        </w:rPr>
        <w:t>&lt;lx "LAhE"&gt;</w:t>
      </w:r>
      <w:r>
        <w:rPr>
          <w:rStyle w:val="indexentry"/>
        </w:rPr>
        <w:fldChar w:fldCharType="begin"/>
      </w:r>
      <w:r>
        <w:instrText>xe "</w:instrText>
      </w:r>
      <w:r>
        <w:rPr>
          <w:rStyle w:val="xeentry"/>
        </w:rPr>
        <w:instrText>LAhE selma’o</w:instrText>
      </w:r>
      <w:r>
        <w:instrText>"</w:instrText>
      </w:r>
      <w:r>
        <w:rPr>
          <w:rStyle w:val="indexentry"/>
        </w:rPr>
        <w:fldChar w:fldCharType="end"/>
      </w:r>
      <w:r>
        <w:rPr>
          <w:rStyle w:val="indexentry"/>
        </w:rPr>
        <w:t>&lt;lx "la'edi'u"&gt;</w:t>
      </w:r>
      <w:r>
        <w:rPr>
          <w:rStyle w:val="indexentry"/>
        </w:rPr>
        <w:fldChar w:fldCharType="begin"/>
      </w:r>
      <w:r>
        <w:instrText>xe "</w:instrText>
      </w:r>
      <w:r>
        <w:rPr>
          <w:rStyle w:val="xeentry"/>
        </w:rPr>
        <w:instrText>la'edi'u</w:instrText>
      </w:r>
      <w:r>
        <w:instrText>"</w:instrText>
      </w:r>
      <w:r>
        <w:rPr>
          <w:rStyle w:val="indexentry"/>
        </w:rPr>
        <w:fldChar w:fldCharType="end"/>
      </w:r>
      <w:r>
        <w:t>Note one very common construction with “di'u” and the cmavo “la'e” (of</w:t>
      </w:r>
      <w:r>
        <w:rPr>
          <w:rStyle w:val="deletedparamark"/>
        </w:rPr>
        <w:t xml:space="preserve"> </w:t>
      </w:r>
      <w:r>
        <w:t>sel</w:t>
      </w:r>
      <w:r>
        <w:softHyphen/>
        <w:t xml:space="preserve">ma'o LAhE; see </w:t>
      </w:r>
      <w:r>
        <w:rPr>
          <w:rStyle w:val="htmlcodes"/>
        </w:rPr>
        <w:t>&lt;a href=chap6.html&gt;</w:t>
      </w:r>
      <w:r>
        <w:t>Chapter 6</w:t>
      </w:r>
      <w:r>
        <w:rPr>
          <w:rStyle w:val="htmlcodes"/>
        </w:rPr>
        <w:t>&lt;/a&gt;</w:t>
      </w:r>
      <w:r>
        <w:t>) which precedes a sumti and means “the thing</w:t>
      </w:r>
      <w:r>
        <w:rPr>
          <w:rStyle w:val="deletedparamark"/>
        </w:rPr>
        <w:t xml:space="preserve"> </w:t>
      </w:r>
      <w:r>
        <w:t>referred to by (the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name=e4d6&gt;</w:t>
      </w:r>
      <w:r>
        <w:t>4.6)</w:t>
      </w:r>
      <w:r>
        <w:tab/>
        <w:t>mi prami la djein.  .i mi nelci la'e di'u</w:t>
      </w:r>
    </w:p>
    <w:p w:rsidR="00B72047" w:rsidRDefault="00B72047">
      <w:pPr>
        <w:pStyle w:val="examplescaled"/>
      </w:pPr>
      <w:r>
        <w:tab/>
        <w:t>I love Jane. And I like the-referent-of the-last-utterance.</w:t>
      </w:r>
    </w:p>
    <w:p w:rsidR="00B72047" w:rsidRDefault="00B72047">
      <w:pPr>
        <w:pStyle w:val="examplescaled"/>
      </w:pPr>
      <w:r>
        <w:tab/>
        <w:t>I love Jane, and I like that.</w:t>
      </w:r>
    </w:p>
    <w:p w:rsidR="00B72047" w:rsidRDefault="00B72047">
      <w:pPr>
        <w:pStyle w:val="resumedafterexample"/>
      </w:pPr>
      <w:r>
        <w:rPr>
          <w:rStyle w:val="indexentry"/>
        </w:rPr>
        <w:t>&lt;cx "di'u, contrasted with la'edi'u"&gt;</w:t>
      </w:r>
      <w:r>
        <w:rPr>
          <w:rStyle w:val="indexentry"/>
        </w:rPr>
        <w:fldChar w:fldCharType="begin"/>
      </w:r>
      <w:r>
        <w:instrText>xe "</w:instrText>
      </w:r>
      <w:r>
        <w:rPr>
          <w:rStyle w:val="xeentry"/>
        </w:rPr>
        <w:instrText>di'u: contrasted with la'edi'u</w:instrText>
      </w:r>
      <w:r>
        <w:instrText>"</w:instrText>
      </w:r>
      <w:r>
        <w:rPr>
          <w:rStyle w:val="indexentry"/>
        </w:rPr>
        <w:fldChar w:fldCharType="end"/>
      </w:r>
      <w:r>
        <w:rPr>
          <w:rStyle w:val="indexentry"/>
        </w:rPr>
        <w:t>&lt;cx "la'edi'u, contrasted with di'u"&gt;</w:t>
      </w:r>
      <w:r>
        <w:rPr>
          <w:rStyle w:val="indexentry"/>
        </w:rPr>
        <w:fldChar w:fldCharType="begin"/>
      </w:r>
      <w:r>
        <w:instrText>xe "</w:instrText>
      </w:r>
      <w:r>
        <w:rPr>
          <w:rStyle w:val="xeentry"/>
        </w:rPr>
        <w:instrText>la'edi'u: contrasted with di'u</w:instrText>
      </w:r>
      <w:r>
        <w:instrText>"</w:instrText>
      </w:r>
      <w:r>
        <w:rPr>
          <w:rStyle w:val="indexentry"/>
        </w:rPr>
        <w:fldChar w:fldCharType="end"/>
      </w:r>
      <w:r>
        <w:t xml:space="preserve">The effect of “la'e di'u” in </w:t>
      </w:r>
      <w:r>
        <w:rPr>
          <w:rStyle w:val="htmlcodes"/>
        </w:rPr>
        <w:t>&lt;a href=#e4d6&gt;</w:t>
      </w:r>
      <w:r>
        <w:t xml:space="preserve">Example 4.6 </w:t>
      </w:r>
      <w:r>
        <w:rPr>
          <w:rStyle w:val="htmlcodes"/>
        </w:rPr>
        <w:t>&lt;/a&gt;</w:t>
      </w:r>
      <w:r>
        <w:t>is that the speaker likes, not the</w:t>
      </w:r>
      <w:r>
        <w:rPr>
          <w:rStyle w:val="deletedparamark"/>
        </w:rPr>
        <w:t xml:space="preserve"> </w:t>
      </w:r>
      <w:r>
        <w:t>previous sen</w:t>
      </w:r>
      <w:r>
        <w:softHyphen/>
        <w:t>tence, but rather the state of affairs referred to by the</w:t>
      </w:r>
      <w:r>
        <w:rPr>
          <w:rStyle w:val="deletedparamark"/>
        </w:rPr>
        <w:t xml:space="preserve"> </w:t>
      </w:r>
      <w:r>
        <w:t>previous sentence, namely his lo</w:t>
      </w:r>
      <w:r>
        <w:t>v</w:t>
      </w:r>
      <w:r>
        <w:softHyphen/>
        <w:t>ing Jane. This cmavo compound is often</w:t>
      </w:r>
      <w:r>
        <w:rPr>
          <w:rStyle w:val="deletedparamark"/>
        </w:rPr>
        <w:t xml:space="preserve"> </w:t>
      </w:r>
      <w:r>
        <w:t>written as a single word: “la'edi'u”. It is impo</w:t>
      </w:r>
      <w:r>
        <w:t>r</w:t>
      </w:r>
      <w:r>
        <w:softHyphen/>
        <w:t>tant not to mix up</w:t>
      </w:r>
      <w:r>
        <w:rPr>
          <w:rStyle w:val="deletedparamark"/>
        </w:rPr>
        <w:t xml:space="preserve"> “</w:t>
      </w:r>
      <w:r>
        <w:t>di'u” and “la'edi'u”, or the wrong meaning will generally re</w:t>
      </w:r>
      <w:r>
        <w:softHyphen/>
        <w:t>sult: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name=e4d7&gt;</w:t>
      </w:r>
      <w:r>
        <w:t>4.7)</w:t>
      </w:r>
      <w:r>
        <w:tab/>
        <w:t>mi prami la djein.  .i mi nelci di'u</w:t>
      </w:r>
    </w:p>
    <w:p w:rsidR="00B72047" w:rsidRDefault="00B72047">
      <w:pPr>
        <w:pStyle w:val="examplescaled"/>
      </w:pPr>
      <w:r>
        <w:tab/>
        <w:t>I love Jane. And I like the-last-utterance.</w:t>
      </w:r>
    </w:p>
    <w:p w:rsidR="00B72047" w:rsidRDefault="00B72047">
      <w:pPr>
        <w:pStyle w:val="resumedafterexample"/>
      </w:pPr>
      <w:r>
        <w:rPr>
          <w:rStyle w:val="htmlcodes"/>
        </w:rPr>
        <w:t>&lt;/pre&gt;</w:t>
      </w:r>
      <w:r>
        <w:t>says that the speaker likes one of his own sentences.</w:t>
      </w:r>
    </w:p>
    <w:p w:rsidR="00B72047" w:rsidRDefault="00B72047">
      <w:pPr>
        <w:rPr>
          <w:rStyle w:val="htmlparacode"/>
        </w:rPr>
      </w:pPr>
      <w:r>
        <w:rPr>
          <w:rStyle w:val="htmlparacode"/>
        </w:rPr>
        <w:t>&lt;p&gt;</w:t>
      </w:r>
    </w:p>
    <w:p w:rsidR="00B72047" w:rsidRDefault="00B72047">
      <w:pPr>
        <w:pStyle w:val="normalparagraph"/>
      </w:pPr>
      <w:r>
        <w:t>There are no pro-bridi corresponding to the di'u-series.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277" w:name="_Toc395691556"/>
      <w:bookmarkStart w:id="278" w:name="_Toc398970527"/>
      <w:r>
        <w:rPr>
          <w:rStyle w:val="Heading3Text"/>
        </w:rPr>
        <w:t>Assignable pro-sumti and pro-bridi: the ko'a-series and the broda-series</w:t>
      </w:r>
      <w:bookmarkEnd w:id="277"/>
      <w:bookmarkEnd w:id="27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and gismu are discussed in this section:</w:t>
      </w:r>
    </w:p>
    <w:p w:rsidR="00B72047" w:rsidRDefault="00B72047">
      <w:pPr>
        <w:rPr>
          <w:rStyle w:val="htmlparacode"/>
        </w:rPr>
      </w:pPr>
      <w:r>
        <w:rPr>
          <w:rStyle w:val="htmlparacode"/>
        </w:rPr>
        <w:t>&lt;p&gt;</w:t>
      </w:r>
    </w:p>
    <w:p w:rsidR="00B72047" w:rsidRDefault="00B72047">
      <w:pPr>
        <w:pStyle w:val="examplecomptabspre"/>
      </w:pPr>
      <w:r>
        <w:rPr>
          <w:rStyle w:val="htmlcodes"/>
        </w:rPr>
        <w:t>&lt;pre&gt;</w:t>
      </w:r>
      <w:r>
        <w:t xml:space="preserve"> </w:t>
      </w:r>
      <w:r>
        <w:tab/>
        <w:t>ko'a</w:t>
      </w:r>
      <w:r>
        <w:tab/>
        <w:t>KOhA</w:t>
      </w:r>
      <w:r>
        <w:tab/>
        <w:t>ko'a-series</w:t>
      </w:r>
      <w:r>
        <w:tab/>
        <w:t>it-1</w:t>
      </w:r>
    </w:p>
    <w:p w:rsidR="00B72047" w:rsidRDefault="00B72047">
      <w:pPr>
        <w:pStyle w:val="examplecomptabs"/>
      </w:pPr>
      <w:r>
        <w:tab/>
        <w:t>ko'e</w:t>
      </w:r>
      <w:r>
        <w:tab/>
        <w:t>KOhA</w:t>
      </w:r>
      <w:r>
        <w:tab/>
        <w:t>ko'a-series</w:t>
      </w:r>
      <w:r>
        <w:tab/>
        <w:t>it-2</w:t>
      </w:r>
    </w:p>
    <w:p w:rsidR="00B72047" w:rsidRDefault="00B72047">
      <w:pPr>
        <w:pStyle w:val="examplecomptabs"/>
      </w:pPr>
      <w:r>
        <w:tab/>
        <w:t>ko'i</w:t>
      </w:r>
      <w:r>
        <w:tab/>
      </w:r>
      <w:r>
        <w:tab/>
        <w:t>KOhA</w:t>
      </w:r>
      <w:r>
        <w:tab/>
        <w:t>ko'a-series</w:t>
      </w:r>
      <w:r>
        <w:tab/>
        <w:t>it-3</w:t>
      </w:r>
    </w:p>
    <w:p w:rsidR="00B72047" w:rsidRDefault="00B72047">
      <w:pPr>
        <w:pStyle w:val="examplecomptabs"/>
      </w:pPr>
      <w:r>
        <w:tab/>
        <w:t>ko'o</w:t>
      </w:r>
      <w:r>
        <w:tab/>
        <w:t>KOhA</w:t>
      </w:r>
      <w:r>
        <w:tab/>
        <w:t>ko'a-series</w:t>
      </w:r>
      <w:r>
        <w:tab/>
        <w:t>it-4</w:t>
      </w:r>
    </w:p>
    <w:p w:rsidR="00B72047" w:rsidRDefault="00B72047">
      <w:pPr>
        <w:pStyle w:val="examplecomptabs"/>
      </w:pPr>
      <w:r>
        <w:tab/>
        <w:t>ko'u</w:t>
      </w:r>
      <w:r>
        <w:tab/>
        <w:t>KOhA</w:t>
      </w:r>
      <w:r>
        <w:tab/>
        <w:t>ko'a-series</w:t>
      </w:r>
      <w:r>
        <w:tab/>
        <w:t>it-5</w:t>
      </w:r>
    </w:p>
    <w:p w:rsidR="00B72047" w:rsidRDefault="00B72047">
      <w:pPr>
        <w:pStyle w:val="examplecomptabs"/>
      </w:pPr>
      <w:r>
        <w:tab/>
        <w:t>fo'a</w:t>
      </w:r>
      <w:r>
        <w:tab/>
        <w:t>KOhA</w:t>
      </w:r>
      <w:r>
        <w:tab/>
        <w:t>ko'a-series</w:t>
      </w:r>
      <w:r>
        <w:tab/>
        <w:t>it-6</w:t>
      </w:r>
    </w:p>
    <w:p w:rsidR="00B72047" w:rsidRDefault="00B72047">
      <w:pPr>
        <w:pStyle w:val="examplecomptabs"/>
      </w:pPr>
      <w:r>
        <w:tab/>
        <w:t>fo'e</w:t>
      </w:r>
      <w:r>
        <w:tab/>
        <w:t>KOhA</w:t>
      </w:r>
      <w:r>
        <w:tab/>
        <w:t>ko'a-series</w:t>
      </w:r>
      <w:r>
        <w:tab/>
        <w:t>it-7</w:t>
      </w:r>
    </w:p>
    <w:p w:rsidR="00B72047" w:rsidRDefault="00B72047">
      <w:pPr>
        <w:pStyle w:val="examplecomptabs"/>
      </w:pPr>
      <w:r>
        <w:tab/>
        <w:t>fo'i</w:t>
      </w:r>
      <w:r>
        <w:tab/>
      </w:r>
      <w:r>
        <w:tab/>
        <w:t>KOhA</w:t>
      </w:r>
      <w:r>
        <w:tab/>
        <w:t>ko'a-series</w:t>
      </w:r>
      <w:r>
        <w:tab/>
        <w:t>it-8</w:t>
      </w:r>
    </w:p>
    <w:p w:rsidR="00B72047" w:rsidRDefault="00B72047">
      <w:pPr>
        <w:pStyle w:val="examplecomptabs"/>
      </w:pPr>
      <w:r>
        <w:tab/>
        <w:t>fo'o</w:t>
      </w:r>
      <w:r>
        <w:tab/>
        <w:t>KOhA</w:t>
      </w:r>
      <w:r>
        <w:tab/>
        <w:t>ko'a-series</w:t>
      </w:r>
      <w:r>
        <w:tab/>
        <w:t>it-9</w:t>
      </w:r>
    </w:p>
    <w:p w:rsidR="00B72047" w:rsidRDefault="00B72047">
      <w:pPr>
        <w:pStyle w:val="examplecomptabs"/>
      </w:pPr>
      <w:r>
        <w:tab/>
        <w:t>fo'u</w:t>
      </w:r>
      <w:r>
        <w:tab/>
        <w:t>KOhA</w:t>
      </w:r>
      <w:r>
        <w:tab/>
        <w:t>ko'a-series</w:t>
      </w:r>
      <w:r>
        <w:tab/>
        <w:t>it-10</w:t>
      </w:r>
    </w:p>
    <w:p w:rsidR="00B72047" w:rsidRDefault="00B72047">
      <w:pPr>
        <w:pStyle w:val="examplecomptabspre"/>
      </w:pPr>
      <w:r>
        <w:tab/>
        <w:t>broda</w:t>
      </w:r>
      <w:r>
        <w:tab/>
        <w:t>BRIVLA</w:t>
      </w:r>
      <w:r>
        <w:tab/>
        <w:t>broda-series</w:t>
      </w:r>
      <w:r>
        <w:tab/>
        <w:t>is-thing-1</w:t>
      </w:r>
    </w:p>
    <w:p w:rsidR="00B72047" w:rsidRDefault="00B72047">
      <w:pPr>
        <w:pStyle w:val="examplecomptabs"/>
      </w:pPr>
      <w:r>
        <w:tab/>
        <w:t>brode</w:t>
      </w:r>
      <w:r>
        <w:tab/>
        <w:t>BRIVLA</w:t>
      </w:r>
      <w:r>
        <w:tab/>
        <w:t>broda-series</w:t>
      </w:r>
      <w:r>
        <w:tab/>
        <w:t>is-thing-2</w:t>
      </w:r>
    </w:p>
    <w:p w:rsidR="00B72047" w:rsidRDefault="00B72047">
      <w:pPr>
        <w:pStyle w:val="examplecomptabs"/>
      </w:pPr>
      <w:r>
        <w:tab/>
        <w:t>brodi</w:t>
      </w:r>
      <w:r>
        <w:tab/>
        <w:t>BRIVLA</w:t>
      </w:r>
      <w:r>
        <w:tab/>
        <w:t>broda-series</w:t>
      </w:r>
      <w:r>
        <w:tab/>
        <w:t>is-thing-3</w:t>
      </w:r>
    </w:p>
    <w:p w:rsidR="00B72047" w:rsidRDefault="00B72047">
      <w:pPr>
        <w:pStyle w:val="examplecomptabs"/>
      </w:pPr>
      <w:r>
        <w:tab/>
        <w:t>brodo</w:t>
      </w:r>
      <w:r>
        <w:tab/>
        <w:t>BRIVLA</w:t>
      </w:r>
      <w:r>
        <w:tab/>
        <w:t>broda-series</w:t>
      </w:r>
      <w:r>
        <w:tab/>
        <w:t>is-thing-4</w:t>
      </w:r>
    </w:p>
    <w:p w:rsidR="00B72047" w:rsidRDefault="00B72047">
      <w:pPr>
        <w:pStyle w:val="examplecomptabs"/>
      </w:pPr>
      <w:r>
        <w:tab/>
        <w:t>brodu</w:t>
      </w:r>
      <w:r>
        <w:tab/>
        <w:t>BRIVLA</w:t>
      </w:r>
      <w:r>
        <w:tab/>
        <w:t>broda-series</w:t>
      </w:r>
      <w:r>
        <w:tab/>
        <w:t>is-thing-5</w:t>
      </w:r>
    </w:p>
    <w:p w:rsidR="00B72047" w:rsidRDefault="00B72047">
      <w:pPr>
        <w:pStyle w:val="examplecomptabspre"/>
      </w:pPr>
      <w:r>
        <w:tab/>
        <w:t>goi</w:t>
      </w:r>
      <w:r>
        <w:tab/>
      </w:r>
      <w:r>
        <w:tab/>
        <w:t>GOI</w:t>
      </w:r>
      <w:r>
        <w:tab/>
      </w:r>
      <w:r>
        <w:tab/>
      </w:r>
      <w:r>
        <w:tab/>
        <w:t>pro-sumti assignment</w:t>
      </w:r>
    </w:p>
    <w:p w:rsidR="00B72047" w:rsidRDefault="00B72047">
      <w:pPr>
        <w:pStyle w:val="examplecomptabspre"/>
      </w:pPr>
      <w:r>
        <w:tab/>
        <w:t>cei</w:t>
      </w:r>
      <w:r>
        <w:tab/>
      </w:r>
      <w:r>
        <w:tab/>
        <w:t>CEI</w:t>
      </w:r>
      <w:r>
        <w:tab/>
      </w:r>
      <w:r>
        <w:tab/>
      </w:r>
      <w:r>
        <w:tab/>
        <w:t>pro-bridi assignment</w:t>
      </w:r>
    </w:p>
    <w:p w:rsidR="00B72047" w:rsidRDefault="00B72047">
      <w:pPr>
        <w:pStyle w:val="normalafterexample"/>
      </w:pPr>
      <w:r>
        <w:rPr>
          <w:rStyle w:val="htmlcodes"/>
        </w:rPr>
        <w:t>&lt;/pre&gt;</w:t>
      </w:r>
      <w:r>
        <w:rPr>
          <w:rStyle w:val="indexentry"/>
        </w:rPr>
        <w:t>&lt;cx "personal pronouns, with ko'a-series for he/she/it/they"&gt;</w:t>
      </w:r>
      <w:r>
        <w:rPr>
          <w:rStyle w:val="indexentry"/>
        </w:rPr>
        <w:fldChar w:fldCharType="begin"/>
      </w:r>
      <w:r>
        <w:instrText>xe "</w:instrText>
      </w:r>
      <w:r>
        <w:rPr>
          <w:rStyle w:val="xeentry"/>
        </w:rPr>
        <w:instrText>personal pronouns: with ko'a-series for he/she/it/they</w:instrText>
      </w:r>
      <w:r>
        <w:instrText>"</w:instrText>
      </w:r>
      <w:r>
        <w:rPr>
          <w:rStyle w:val="indexentry"/>
        </w:rPr>
        <w:fldChar w:fldCharType="end"/>
      </w:r>
      <w:r>
        <w:rPr>
          <w:rStyle w:val="indexentry"/>
        </w:rPr>
        <w:t>&lt;cx "pro-sumti, ko'a-series"&gt;</w:t>
      </w:r>
      <w:r>
        <w:rPr>
          <w:rStyle w:val="indexentry"/>
        </w:rPr>
        <w:fldChar w:fldCharType="begin"/>
      </w:r>
      <w:r>
        <w:instrText>xe "</w:instrText>
      </w:r>
      <w:r>
        <w:rPr>
          <w:rStyle w:val="xeentry"/>
        </w:rPr>
        <w:instrText>pro-sumti: ko'a-series</w:instrText>
      </w:r>
      <w:r>
        <w:instrText>"</w:instrText>
      </w:r>
      <w:r>
        <w:rPr>
          <w:rStyle w:val="indexentry"/>
        </w:rPr>
        <w:fldChar w:fldCharType="end"/>
      </w:r>
      <w:r>
        <w:rPr>
          <w:rStyle w:val="indexentry"/>
        </w:rPr>
        <w:t>&lt;cx "ko'a-series pro-sumti"&gt;</w:t>
      </w:r>
      <w:r>
        <w:rPr>
          <w:rStyle w:val="indexentry"/>
        </w:rPr>
        <w:fldChar w:fldCharType="begin"/>
      </w:r>
      <w:r>
        <w:instrText>xe "</w:instrText>
      </w:r>
      <w:r>
        <w:rPr>
          <w:rStyle w:val="xeentry"/>
        </w:rPr>
        <w:instrText>ko'a-series pro-sumti</w:instrText>
      </w:r>
      <w:r>
        <w:instrText>"</w:instrText>
      </w:r>
      <w:r>
        <w:rPr>
          <w:rStyle w:val="indexentry"/>
        </w:rPr>
        <w:fldChar w:fldCharType="end"/>
      </w:r>
      <w:r>
        <w:t xml:space="preserve">The discussion of personal pro-sumti in </w:t>
      </w:r>
      <w:r>
        <w:rPr>
          <w:rStyle w:val="htmlcodes"/>
        </w:rPr>
        <w:t>&lt;a href=#s2&gt;</w:t>
      </w:r>
      <w:r>
        <w:t xml:space="preserve">Section 2 </w:t>
      </w:r>
      <w:r>
        <w:rPr>
          <w:rStyle w:val="htmlcodes"/>
        </w:rPr>
        <w:t>&lt;/a&gt;</w:t>
      </w:r>
      <w:r>
        <w:t>may have seemed incom</w:t>
      </w:r>
      <w:r>
        <w:softHyphen/>
        <w:t>plete.</w:t>
      </w:r>
      <w:r>
        <w:rPr>
          <w:rStyle w:val="deletedparamark"/>
        </w:rPr>
        <w:t xml:space="preserve"> </w:t>
      </w:r>
      <w:r>
        <w:t>In English, the personal pronouns include not only “I” and “you” but also</w:t>
      </w:r>
      <w:r>
        <w:rPr>
          <w:rStyle w:val="deletedparamark"/>
        </w:rPr>
        <w:t xml:space="preserve"> “</w:t>
      </w:r>
      <w:r>
        <w:t>he”, “she”, “it”, and “they”. Lojban does have equivalents of this latter</w:t>
      </w:r>
      <w:r>
        <w:rPr>
          <w:rStyle w:val="deletedparamark"/>
        </w:rPr>
        <w:t xml:space="preserve"> </w:t>
      </w:r>
      <w:r>
        <w:t>group: in fact, it has more of them than English does. However, they are</w:t>
      </w:r>
      <w:r>
        <w:rPr>
          <w:rStyle w:val="deletedparamark"/>
        </w:rPr>
        <w:t xml:space="preserve"> </w:t>
      </w:r>
      <w:r>
        <w:t>organized and used very differently.</w:t>
      </w:r>
    </w:p>
    <w:p w:rsidR="00B72047" w:rsidRDefault="00B72047">
      <w:pPr>
        <w:rPr>
          <w:rStyle w:val="htmlparacode"/>
        </w:rPr>
      </w:pPr>
      <w:r>
        <w:rPr>
          <w:rStyle w:val="htmlparacode"/>
        </w:rPr>
        <w:t>&lt;p&gt;</w:t>
      </w:r>
    </w:p>
    <w:p w:rsidR="00B72047" w:rsidRDefault="00B72047">
      <w:pPr>
        <w:pStyle w:val="normalparagraph"/>
      </w:pPr>
      <w:r>
        <w:rPr>
          <w:rStyle w:val="indexentry"/>
        </w:rPr>
        <w:t>&lt;cx "personal pronouns for he/she/it/they, English contrasted with Lojban in organization"&gt;</w:t>
      </w:r>
      <w:r>
        <w:rPr>
          <w:rStyle w:val="indexentry"/>
        </w:rPr>
        <w:fldChar w:fldCharType="begin"/>
      </w:r>
      <w:r>
        <w:instrText>xe "</w:instrText>
      </w:r>
      <w:r>
        <w:rPr>
          <w:rStyle w:val="xeentry"/>
        </w:rPr>
        <w:instrText>personal pronouns for he/she/it/they: English contrasted with Lojban in organization</w:instrText>
      </w:r>
      <w:r>
        <w:instrText>"</w:instrText>
      </w:r>
      <w:r>
        <w:rPr>
          <w:rStyle w:val="indexentry"/>
        </w:rPr>
        <w:fldChar w:fldCharType="end"/>
      </w:r>
      <w:r>
        <w:rPr>
          <w:rStyle w:val="indexentry"/>
        </w:rPr>
        <w:t>&lt;cx "ko'a-series pro-sumti, as assignable"&gt;</w:t>
      </w:r>
      <w:r>
        <w:rPr>
          <w:rStyle w:val="indexentry"/>
        </w:rPr>
        <w:fldChar w:fldCharType="begin"/>
      </w:r>
      <w:r>
        <w:instrText>xe "</w:instrText>
      </w:r>
      <w:r>
        <w:rPr>
          <w:rStyle w:val="xeentry"/>
        </w:rPr>
        <w:instrText>ko'a-series pro-sumti: as assignable</w:instrText>
      </w:r>
      <w:r>
        <w:instrText>"</w:instrText>
      </w:r>
      <w:r>
        <w:rPr>
          <w:rStyle w:val="indexentry"/>
        </w:rPr>
        <w:fldChar w:fldCharType="end"/>
      </w:r>
      <w:r>
        <w:t>There are ten cmavo in the ko'a-series, and they may be as</w:t>
      </w:r>
      <w:r>
        <w:softHyphen/>
        <w:t>signed freely</w:t>
      </w:r>
      <w:r>
        <w:rPr>
          <w:rStyle w:val="deletedparamark"/>
        </w:rPr>
        <w:t xml:space="preserve"> </w:t>
      </w:r>
      <w:r>
        <w:t>to any sumti whatsoever. The English word “he” can refer only to males,</w:t>
      </w:r>
      <w:r>
        <w:rPr>
          <w:rStyle w:val="deletedparamark"/>
        </w:rPr>
        <w:t xml:space="preserve"> “</w:t>
      </w:r>
      <w:r>
        <w:t>she” only to fe</w:t>
      </w:r>
      <w:r>
        <w:softHyphen/>
        <w:t>males (and ships and a few other things), “it” only to</w:t>
      </w:r>
      <w:r>
        <w:rPr>
          <w:rStyle w:val="deletedparamark"/>
        </w:rPr>
        <w:t xml:space="preserve"> </w:t>
      </w:r>
      <w:r>
        <w:t>inanimate things, and “they” only to plurals; the cmavo of the ko'a-series</w:t>
      </w:r>
      <w:r>
        <w:rPr>
          <w:rStyle w:val="deletedparamark"/>
        </w:rPr>
        <w:t xml:space="preserve"> </w:t>
      </w:r>
      <w:r>
        <w:t>have no restrictions at all. Therefore, it is almost impossible to guess</w:t>
      </w:r>
      <w:r>
        <w:rPr>
          <w:rStyle w:val="deletedparamark"/>
        </w:rPr>
        <w:t xml:space="preserve"> </w:t>
      </w:r>
      <w:r>
        <w:t>from the context what ko'a-series cmavo might refer to if they are just</w:t>
      </w:r>
      <w:r>
        <w:rPr>
          <w:rStyle w:val="deletedparamark"/>
        </w:rPr>
        <w:t xml:space="preserve"> </w:t>
      </w:r>
      <w:r>
        <w:t>used freely:</w:t>
      </w:r>
    </w:p>
    <w:p w:rsidR="00B72047" w:rsidRDefault="00B72047">
      <w:pPr>
        <w:rPr>
          <w:rStyle w:val="htmlparacode"/>
        </w:rPr>
      </w:pPr>
      <w:r>
        <w:rPr>
          <w:rStyle w:val="htmlparacode"/>
        </w:rPr>
        <w:t>&lt;p&gt;</w:t>
      </w:r>
    </w:p>
    <w:p w:rsidR="00B72047" w:rsidRDefault="00B72047">
      <w:pPr>
        <w:pStyle w:val="examplescaledpre"/>
      </w:pPr>
      <w:r>
        <w:rPr>
          <w:rStyle w:val="indexentry"/>
        </w:rPr>
        <w:t>&lt;lx "ko'a"&gt;</w:t>
      </w:r>
      <w:r>
        <w:rPr>
          <w:rStyle w:val="indexentry"/>
        </w:rPr>
        <w:fldChar w:fldCharType="begin"/>
      </w:r>
      <w:r>
        <w:instrText>xe "</w:instrText>
      </w:r>
      <w:r>
        <w:rPr>
          <w:rStyle w:val="xeentry"/>
        </w:rPr>
        <w:instrText>ko'a</w:instrText>
      </w:r>
      <w:r>
        <w:instrText>"</w:instrText>
      </w:r>
      <w:r>
        <w:rPr>
          <w:rStyle w:val="indexentry"/>
        </w:rPr>
        <w:fldChar w:fldCharType="end"/>
      </w:r>
      <w:r>
        <w:rPr>
          <w:rStyle w:val="htmlcodes"/>
        </w:rPr>
        <w:t>&lt;pre&gt;&lt;a name=e5d1&gt;</w:t>
      </w:r>
      <w:r>
        <w:t>5.1)</w:t>
      </w:r>
      <w:r>
        <w:tab/>
        <w:t>la .alis. klama le zarci  .i ko'a blanu</w:t>
      </w:r>
    </w:p>
    <w:p w:rsidR="00B72047" w:rsidRDefault="00B72047">
      <w:pPr>
        <w:pStyle w:val="examplescaled"/>
      </w:pPr>
      <w:r>
        <w:tab/>
        <w:t>Alice goes-to the store.  It-1 is-blue.</w:t>
      </w:r>
    </w:p>
    <w:p w:rsidR="00B72047" w:rsidRDefault="00B72047">
      <w:pPr>
        <w:pStyle w:val="resumedafterexample"/>
      </w:pPr>
      <w:r>
        <w:rPr>
          <w:rStyle w:val="htmlcodes"/>
        </w:rPr>
        <w:t>&lt;/pre&gt;&lt;p&gt;</w:t>
      </w:r>
      <w:r>
        <w:t>The English gloss “it-1”, plus knowledge about the real world, would tend</w:t>
      </w:r>
      <w:r>
        <w:rPr>
          <w:rStyle w:val="deletedparamark"/>
        </w:rPr>
        <w:t xml:space="preserve"> </w:t>
      </w:r>
      <w:r>
        <w:t>to make En</w:t>
      </w:r>
      <w:r>
        <w:t>g</w:t>
      </w:r>
      <w:r>
        <w:softHyphen/>
        <w:t>lish-speakers believe that “ko'a” refers to the store; in other</w:t>
      </w:r>
      <w:r>
        <w:rPr>
          <w:rStyle w:val="deletedparamark"/>
        </w:rPr>
        <w:t xml:space="preserve"> </w:t>
      </w:r>
      <w:r>
        <w:t>words, that its antece</w:t>
      </w:r>
      <w:r>
        <w:softHyphen/>
        <w:t>dent is “le zarci”. To a Lojbanist, how</w:t>
      </w:r>
      <w:r>
        <w:softHyphen/>
        <w:t>ever, “la</w:t>
      </w:r>
      <w:r>
        <w:rPr>
          <w:rStyle w:val="deletedparamark"/>
        </w:rPr>
        <w:t xml:space="preserve"> </w:t>
      </w:r>
      <w:r>
        <w:t xml:space="preserve">.alis.” is just as likely an antecedent, in which case </w:t>
      </w:r>
      <w:r>
        <w:rPr>
          <w:rStyle w:val="htmlcodes"/>
        </w:rPr>
        <w:t>&lt;a href=#e5d1&gt;</w:t>
      </w:r>
      <w:r>
        <w:t xml:space="preserve">Example 5.1 </w:t>
      </w:r>
      <w:r>
        <w:rPr>
          <w:rStyle w:val="htmlcodes"/>
        </w:rPr>
        <w:t>&lt;/a&gt;</w:t>
      </w:r>
      <w:r>
        <w:t>means that</w:t>
      </w:r>
      <w:r>
        <w:rPr>
          <w:rStyle w:val="deletedparamark"/>
        </w:rPr>
        <w:t xml:space="preserve"> </w:t>
      </w:r>
      <w:r>
        <w:t>Alice, not the store, is blue.</w:t>
      </w:r>
    </w:p>
    <w:p w:rsidR="00B72047" w:rsidRDefault="00B72047">
      <w:pPr>
        <w:rPr>
          <w:rStyle w:val="htmlparacode"/>
        </w:rPr>
      </w:pPr>
      <w:r>
        <w:rPr>
          <w:rStyle w:val="htmlparacode"/>
        </w:rPr>
        <w:t>&lt;p&gt;</w:t>
      </w:r>
    </w:p>
    <w:p w:rsidR="00B72047" w:rsidRDefault="00B72047">
      <w:pPr>
        <w:pStyle w:val="normalparagraph"/>
      </w:pP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rPr>
          <w:rStyle w:val="indexentry"/>
        </w:rPr>
        <w:t>&lt;cx "ko'a-series pro-sumti, assigning with goi"&gt;</w:t>
      </w:r>
      <w:r>
        <w:rPr>
          <w:rStyle w:val="indexentry"/>
        </w:rPr>
        <w:fldChar w:fldCharType="begin"/>
      </w:r>
      <w:r>
        <w:instrText>xe "</w:instrText>
      </w:r>
      <w:r>
        <w:rPr>
          <w:rStyle w:val="xeentry"/>
        </w:rPr>
        <w:instrText>ko'a-series pro-sumti: assigning with goi</w:instrText>
      </w:r>
      <w:r>
        <w:instrText>"</w:instrText>
      </w:r>
      <w:r>
        <w:rPr>
          <w:rStyle w:val="indexentry"/>
        </w:rPr>
        <w:fldChar w:fldCharType="end"/>
      </w:r>
      <w:r>
        <w:t>To avoid this pitfall, Lojban employs special syntax, using the cmavo “goi”: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la .alis. klama le zarci  .i ko'a goi la .alis. cu blanu</w:t>
      </w:r>
    </w:p>
    <w:p w:rsidR="00B72047" w:rsidRDefault="00B72047">
      <w:pPr>
        <w:pStyle w:val="examplescaled"/>
      </w:pPr>
      <w:r>
        <w:tab/>
        <w:t>Alice goes-to the store.  It-1, also-known-as Alice, is-blue.</w:t>
      </w:r>
    </w:p>
    <w:p w:rsidR="00B72047" w:rsidRDefault="00B72047">
      <w:pPr>
        <w:pStyle w:val="resumedafterexample"/>
      </w:pPr>
      <w:r>
        <w:rPr>
          <w:rStyle w:val="htmlcodes"/>
        </w:rPr>
        <w:t>&lt;/pre&gt;</w:t>
      </w:r>
      <w:r>
        <w:rPr>
          <w:rStyle w:val="indexentry"/>
        </w:rPr>
        <w:t>&lt;cx "ko'a-series pro-sumti, assignment with goi as symmetrical"&gt;</w:t>
      </w:r>
      <w:r>
        <w:rPr>
          <w:rStyle w:val="indexentry"/>
        </w:rPr>
        <w:fldChar w:fldCharType="begin"/>
      </w:r>
      <w:r>
        <w:instrText>xe "</w:instrText>
      </w:r>
      <w:r>
        <w:rPr>
          <w:rStyle w:val="xeentry"/>
        </w:rPr>
        <w:instrText>ko'a-series pro-sumti: assignment with goi as symmetrical</w:instrText>
      </w:r>
      <w:r>
        <w:instrText>"</w:instrText>
      </w:r>
      <w:r>
        <w:rPr>
          <w:rStyle w:val="indexentry"/>
        </w:rPr>
        <w:fldChar w:fldCharType="end"/>
      </w:r>
      <w:r>
        <w:t>Syntactically, “goi la .alis.” is a relative phrase (relative phrases</w:t>
      </w:r>
      <w:r>
        <w:rPr>
          <w:rStyle w:val="deletedparamark"/>
        </w:rPr>
        <w:t xml:space="preserve"> </w:t>
      </w:r>
      <w:r>
        <w:t xml:space="preserve">are explained in </w:t>
      </w:r>
      <w:r>
        <w:rPr>
          <w:rStyle w:val="htmlcodes"/>
        </w:rPr>
        <w:t>&lt;a href=chap8.html&gt;</w:t>
      </w:r>
      <w:r>
        <w:t>Chapter 8</w:t>
      </w:r>
      <w:r>
        <w:rPr>
          <w:rStyle w:val="htmlcodes"/>
        </w:rPr>
        <w:t>&lt;/a&gt;</w:t>
      </w:r>
      <w:r>
        <w:t>). Semantically, it says that “ko'a” and “la .alis.”</w:t>
      </w:r>
      <w:r>
        <w:rPr>
          <w:rStyle w:val="deletedparamark"/>
        </w:rPr>
        <w:t xml:space="preserve"> </w:t>
      </w:r>
      <w:r>
        <w:t>refer to the same thing, and furthermore that this is true because “ko'a”</w:t>
      </w:r>
      <w:r>
        <w:rPr>
          <w:rStyle w:val="deletedparamark"/>
        </w:rPr>
        <w:t xml:space="preserve"> </w:t>
      </w:r>
      <w:r>
        <w:t>is being defined as meaning “la .alis.”. It is equally correct to say:</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name=e5d3&gt;</w:t>
      </w:r>
      <w:r>
        <w:t>5.3)</w:t>
      </w:r>
      <w:r>
        <w:tab/>
        <w:t>la .alis. klama le zarci  .i la .alis. goi ko'a cu blanu</w:t>
      </w:r>
    </w:p>
    <w:p w:rsidR="00B72047" w:rsidRDefault="00B72047">
      <w:pPr>
        <w:pStyle w:val="examplescaled"/>
      </w:pPr>
      <w:r>
        <w:tab/>
        <w:t>Alice goes-to the store.  Alice, also-known-as it-1, is-blue.</w:t>
      </w:r>
    </w:p>
    <w:p w:rsidR="00B72047" w:rsidRDefault="00B72047">
      <w:pPr>
        <w:pStyle w:val="resumedafterexample"/>
      </w:pPr>
      <w:r>
        <w:rPr>
          <w:rStyle w:val="htmlcodes"/>
        </w:rPr>
        <w:t>&lt;/pre&gt;</w:t>
      </w:r>
      <w:r>
        <w:rPr>
          <w:rStyle w:val="indexentry"/>
        </w:rPr>
        <w:t>&lt;lx "ge'u"&gt;</w:t>
      </w:r>
      <w:r>
        <w:rPr>
          <w:rStyle w:val="indexentry"/>
        </w:rPr>
        <w:fldChar w:fldCharType="begin"/>
      </w:r>
      <w:r>
        <w:instrText>xe "</w:instrText>
      </w:r>
      <w:r>
        <w:rPr>
          <w:rStyle w:val="xeentry"/>
        </w:rPr>
        <w:instrText>ge'u</w:instrText>
      </w:r>
      <w:r>
        <w:instrText>"</w:instrText>
      </w:r>
      <w:r>
        <w:rPr>
          <w:rStyle w:val="indexentry"/>
        </w:rPr>
        <w:fldChar w:fldCharType="end"/>
      </w:r>
      <w:r>
        <w:t>in other words, “goi” is symmetrical. There is a terminator, “ge'u” (of</w:t>
      </w:r>
      <w:r>
        <w:rPr>
          <w:rStyle w:val="deletedparamark"/>
        </w:rPr>
        <w:t xml:space="preserve"> </w:t>
      </w:r>
      <w:r>
        <w:t xml:space="preserve">selma'o GEhU), which is almost always elidable. The details are in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"goi assignment of ko'a-series pro-sumti, use in speech contrasted with writing"&gt;</w:t>
      </w:r>
      <w:r>
        <w:rPr>
          <w:rStyle w:val="indexentry"/>
        </w:rPr>
        <w:fldChar w:fldCharType="begin"/>
      </w:r>
      <w:r>
        <w:instrText>xe "</w:instrText>
      </w:r>
      <w:r>
        <w:rPr>
          <w:rStyle w:val="xeentry"/>
        </w:rPr>
        <w:instrText>goi assignment of ko'a-series pro-sumti: use in speech contrasted with writing</w:instrText>
      </w:r>
      <w:r>
        <w:instrText>"</w:instrText>
      </w:r>
      <w:r>
        <w:rPr>
          <w:rStyle w:val="indexentry"/>
        </w:rPr>
        <w:fldChar w:fldCharType="end"/>
      </w:r>
      <w:r>
        <w:t xml:space="preserve">The afterthought form of “goi” shown in </w:t>
      </w:r>
      <w:r>
        <w:rPr>
          <w:rStyle w:val="htmlcodes"/>
        </w:rPr>
        <w:t>&lt;a href=#e5d2&gt;</w:t>
      </w:r>
      <w:r>
        <w:t xml:space="preserve">Example 5.2 </w:t>
      </w:r>
      <w:r>
        <w:rPr>
          <w:rStyle w:val="htmlcodes"/>
        </w:rPr>
        <w:t>&lt;/a&gt;</w:t>
      </w:r>
      <w:r>
        <w:t xml:space="preserve">and </w:t>
      </w:r>
      <w:r>
        <w:rPr>
          <w:rStyle w:val="htmlcodes"/>
        </w:rPr>
        <w:t>&lt;a href=#e5d3&gt;</w:t>
      </w:r>
      <w:r>
        <w:t>Ex</w:t>
      </w:r>
      <w:r>
        <w:softHyphen/>
        <w:t xml:space="preserve">ample 5.3 </w:t>
      </w:r>
      <w:r>
        <w:rPr>
          <w:rStyle w:val="htmlcodes"/>
        </w:rPr>
        <w:t>&lt;/a&gt;</w:t>
      </w:r>
      <w:r>
        <w:t>is</w:t>
      </w:r>
      <w:r>
        <w:rPr>
          <w:rStyle w:val="deletedparamark"/>
        </w:rPr>
        <w:t xml:space="preserve"> </w:t>
      </w:r>
      <w:r>
        <w:t>probably most common in speech, where we do not know until part way through</w:t>
      </w:r>
      <w:r>
        <w:rPr>
          <w:rStyle w:val="deletedparamark"/>
        </w:rPr>
        <w:t xml:space="preserve"> </w:t>
      </w:r>
      <w:r>
        <w:t>our utterance that we will want to refer to Alice again. In writing, though,</w:t>
      </w:r>
      <w:r>
        <w:rPr>
          <w:rStyle w:val="deletedparamark"/>
        </w:rPr>
        <w:t xml:space="preserve"> “</w:t>
      </w:r>
      <w:r>
        <w:t>ko'a” may be assigned at the point where Alice is first mentioned. An</w:t>
      </w:r>
      <w:r>
        <w:rPr>
          <w:rStyle w:val="deletedparamark"/>
        </w:rPr>
        <w:t xml:space="preserve"> </w:t>
      </w:r>
      <w:r>
        <w:t>example of this forethought form of “goi”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la .alis. goi ko'a klama le zarci  .i ko'a cu blanu</w:t>
      </w:r>
    </w:p>
    <w:p w:rsidR="00B72047" w:rsidRDefault="00B72047">
      <w:pPr>
        <w:pStyle w:val="examplescaled"/>
      </w:pPr>
      <w:r>
        <w:tab/>
        <w:t>Alice, also-known-as it-1, goes-to the store.  It-1 is-blue.</w:t>
      </w:r>
    </w:p>
    <w:p w:rsidR="00B72047" w:rsidRDefault="00B72047">
      <w:pPr>
        <w:pStyle w:val="resumedafterexample"/>
      </w:pPr>
      <w:r>
        <w:rPr>
          <w:rStyle w:val="htmlcodes"/>
        </w:rPr>
        <w:t>&lt;/pre&gt;</w:t>
      </w:r>
      <w:r>
        <w:rPr>
          <w:rStyle w:val="indexentry"/>
        </w:rPr>
        <w:t>&lt;ex "legal jargon"&gt;</w:t>
      </w:r>
      <w:r>
        <w:rPr>
          <w:rStyle w:val="indexentry"/>
        </w:rPr>
        <w:fldChar w:fldCharType="begin"/>
      </w:r>
      <w:r>
        <w:instrText>xe "</w:instrText>
      </w:r>
      <w:r>
        <w:rPr>
          <w:rStyle w:val="xeentry"/>
        </w:rPr>
        <w:instrText>legal jargon: example</w:instrText>
      </w:r>
      <w:r>
        <w:instrText>"</w:instrText>
      </w:r>
      <w:r>
        <w:rPr>
          <w:rStyle w:val="indexentry"/>
        </w:rPr>
        <w:fldChar w:fldCharType="end"/>
      </w:r>
      <w:r>
        <w:rPr>
          <w:rStyle w:val="indexentry"/>
        </w:rPr>
        <w:t>&lt;ex "hereafter known as"&gt;</w:t>
      </w:r>
      <w:r>
        <w:rPr>
          <w:rStyle w:val="indexentry"/>
        </w:rPr>
        <w:fldChar w:fldCharType="begin"/>
      </w:r>
      <w:r>
        <w:instrText>xe "</w:instrText>
      </w:r>
      <w:r>
        <w:rPr>
          <w:rStyle w:val="xeentry"/>
        </w:rPr>
        <w:instrText>hereafter known as: example</w:instrText>
      </w:r>
      <w:r>
        <w:instrText>"</w:instrText>
      </w:r>
      <w:r>
        <w:rPr>
          <w:rStyle w:val="indexentry"/>
        </w:rPr>
        <w:fldChar w:fldCharType="end"/>
      </w:r>
      <w:r>
        <w:t>Again, “ko'a goi la .alis.” would have been entirely acceptable in</w:t>
      </w:r>
      <w:r>
        <w:rPr>
          <w:rStyle w:val="deletedparamark"/>
        </w:rPr>
        <w:t xml:space="preserve"> </w:t>
      </w:r>
      <w:r>
        <w:rPr>
          <w:rStyle w:val="htmlcodes"/>
        </w:rPr>
        <w:t>&lt;a href=#e5d4&gt;</w:t>
      </w:r>
      <w:r>
        <w:t>Ex</w:t>
      </w:r>
      <w:r>
        <w:softHyphen/>
        <w:t>ample 5.4</w:t>
      </w:r>
      <w:r>
        <w:rPr>
          <w:rStyle w:val="htmlcodes"/>
        </w:rPr>
        <w:t>&lt;/a&gt;</w:t>
      </w:r>
      <w:r>
        <w:t>. This last form is reminiscent of legal jargon: “The</w:t>
      </w:r>
      <w:r>
        <w:rPr>
          <w:rStyle w:val="deletedparamark"/>
        </w:rPr>
        <w:t xml:space="preserve"> </w:t>
      </w:r>
      <w:r>
        <w:t>party of the first part, hereafter known as Buyer, </w:t>
      </w:r>
      <w:r>
        <w:rPr>
          <w:rStyle w:val="htmlcodes"/>
        </w:rPr>
        <w:t>&lt;dots&gt;</w:t>
      </w:r>
      <w:r>
        <w:t>…</w:t>
      </w:r>
      <w:r>
        <w:rPr>
          <w:rStyle w:val="htmlcodes"/>
        </w:rPr>
        <w:t>&lt;/dots&gt;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"broda-series pro-bridi"&gt;</w:t>
      </w:r>
      <w:r>
        <w:rPr>
          <w:rStyle w:val="indexentry"/>
        </w:rPr>
        <w:fldChar w:fldCharType="begin"/>
      </w:r>
      <w:r>
        <w:instrText>xe "</w:instrText>
      </w:r>
      <w:r>
        <w:rPr>
          <w:rStyle w:val="xeentry"/>
        </w:rPr>
        <w:instrText>broda-series pro-bridi</w:instrText>
      </w:r>
      <w:r>
        <w:instrText>"</w:instrText>
      </w:r>
      <w:r>
        <w:rPr>
          <w:rStyle w:val="indexentry"/>
        </w:rPr>
        <w:fldChar w:fldCharType="end"/>
      </w:r>
      <w:r>
        <w:rPr>
          <w:rStyle w:val="indexentry"/>
        </w:rPr>
        <w:t>&lt;cx "pro-bridi, broda-series"&gt;</w:t>
      </w:r>
      <w:r>
        <w:rPr>
          <w:rStyle w:val="indexentry"/>
        </w:rPr>
        <w:fldChar w:fldCharType="begin"/>
      </w:r>
      <w:r>
        <w:instrText>xe "</w:instrText>
      </w:r>
      <w:r>
        <w:rPr>
          <w:rStyle w:val="xeentry"/>
        </w:rPr>
        <w:instrText>pro-bridi: broda-series</w:instrText>
      </w:r>
      <w:r>
        <w:instrText>"</w:instrText>
      </w:r>
      <w:r>
        <w:rPr>
          <w:rStyle w:val="indexentry"/>
        </w:rPr>
        <w:fldChar w:fldCharType="end"/>
      </w:r>
      <w:r>
        <w:rPr>
          <w:rStyle w:val="indexentry"/>
        </w:rPr>
        <w:t>&lt;cx "ko'a-series for pro-sumti, compared with broda-series for pro-bridi"&gt;</w:t>
      </w:r>
      <w:r>
        <w:rPr>
          <w:rStyle w:val="indexentry"/>
        </w:rPr>
        <w:fldChar w:fldCharType="begin"/>
      </w:r>
      <w:r>
        <w:instrText>xe "</w:instrText>
      </w:r>
      <w:r>
        <w:rPr>
          <w:rStyle w:val="xeentry"/>
        </w:rPr>
        <w:instrText>ko'a-series for pro-sumti: compared with broda-series for pro-bridi</w:instrText>
      </w:r>
      <w:r>
        <w:instrText>"</w:instrText>
      </w:r>
      <w:r>
        <w:rPr>
          <w:rStyle w:val="indexentry"/>
        </w:rPr>
        <w:fldChar w:fldCharType="end"/>
      </w:r>
      <w:r>
        <w:rPr>
          <w:rStyle w:val="indexentry"/>
        </w:rPr>
        <w:t>&lt;cx "broda-series for pro-bridi, compared with ko'a-series for pro-sumti"&gt;</w:t>
      </w:r>
      <w:r>
        <w:rPr>
          <w:rStyle w:val="indexentry"/>
        </w:rPr>
        <w:fldChar w:fldCharType="begin"/>
      </w:r>
      <w:r>
        <w:instrText>xe "</w:instrText>
      </w:r>
      <w:r>
        <w:rPr>
          <w:rStyle w:val="xeentry"/>
        </w:rPr>
        <w:instrText>broda-series for pro-bridi: compared with ko'a-series for pro-sumti</w:instrText>
      </w:r>
      <w:r>
        <w:instrText>"</w:instrText>
      </w:r>
      <w:r>
        <w:rPr>
          <w:rStyle w:val="indexentry"/>
        </w:rPr>
        <w:fldChar w:fldCharType="end"/>
      </w:r>
      <w:r>
        <w:rPr>
          <w:rStyle w:val="indexentry"/>
        </w:rPr>
        <w:t>&lt;cx "pro-bridi, as abbreviation for bridi"&gt;</w:t>
      </w:r>
      <w:r>
        <w:rPr>
          <w:rStyle w:val="indexentry"/>
        </w:rPr>
        <w:fldChar w:fldCharType="begin"/>
      </w:r>
      <w:r>
        <w:instrText>xe "</w:instrText>
      </w:r>
      <w:r>
        <w:rPr>
          <w:rStyle w:val="xeentry"/>
        </w:rPr>
        <w:instrText>pro-bridi: as abbreviation for bridi</w:instrText>
      </w:r>
      <w:r>
        <w:instrText>"</w:instrText>
      </w:r>
      <w:r>
        <w:rPr>
          <w:rStyle w:val="indexentry"/>
        </w:rPr>
        <w:fldChar w:fldCharType="end"/>
      </w:r>
      <w:r>
        <w:t>Just as the ko'a-series of pro-sumti allows a substitute for a sumti which</w:t>
      </w:r>
      <w:r>
        <w:rPr>
          <w:rStyle w:val="deletedparamark"/>
        </w:rPr>
        <w:t xml:space="preserve"> </w:t>
      </w:r>
      <w:r>
        <w:t>is long or complex, or which for some other reason we do not want to repeat,</w:t>
      </w:r>
      <w:r>
        <w:rPr>
          <w:rStyle w:val="deletedparamark"/>
        </w:rPr>
        <w:t xml:space="preserve"> </w:t>
      </w:r>
      <w:r>
        <w:t>so the broda-se</w:t>
      </w:r>
      <w:r>
        <w:softHyphen/>
        <w:t>ries of pro-bridi allows a substitute for a selbri or even</w:t>
      </w:r>
      <w:r>
        <w:rPr>
          <w:rStyle w:val="deletedparamark"/>
        </w:rPr>
        <w:t xml:space="preserve"> </w:t>
      </w:r>
      <w:r>
        <w:t>a whole bridi:</w:t>
      </w:r>
    </w:p>
    <w:p w:rsidR="00B72047" w:rsidRDefault="00B72047">
      <w:pPr>
        <w:rPr>
          <w:rStyle w:val="htmlparacode"/>
        </w:rPr>
      </w:pPr>
      <w:r>
        <w:rPr>
          <w:rStyle w:val="htmlparacode"/>
        </w:rPr>
        <w:t>&lt;p&gt;</w:t>
      </w:r>
    </w:p>
    <w:p w:rsidR="00B72047" w:rsidRDefault="00B72047">
      <w:pPr>
        <w:pStyle w:val="examplescaledpre"/>
      </w:pPr>
      <w:r>
        <w:rPr>
          <w:rStyle w:val="indexentry"/>
        </w:rPr>
        <w:t>&lt;ex "thingy"&gt;</w:t>
      </w:r>
      <w:r>
        <w:rPr>
          <w:rStyle w:val="indexentry"/>
        </w:rPr>
        <w:fldChar w:fldCharType="begin"/>
      </w:r>
      <w:r>
        <w:instrText>xe "</w:instrText>
      </w:r>
      <w:r>
        <w:rPr>
          <w:rStyle w:val="xeentry"/>
        </w:rPr>
        <w:instrText>thingy: example</w:instrText>
      </w:r>
      <w:r>
        <w:instrText>"</w:instrText>
      </w:r>
      <w:r>
        <w:rPr>
          <w:rStyle w:val="indexentry"/>
        </w:rPr>
        <w:fldChar w:fldCharType="end"/>
      </w:r>
      <w:r>
        <w:rPr>
          <w:rStyle w:val="indexentry"/>
        </w:rPr>
        <w:t>&lt;lx "broda"&gt;</w:t>
      </w:r>
      <w:r>
        <w:rPr>
          <w:rStyle w:val="indexentry"/>
        </w:rPr>
        <w:fldChar w:fldCharType="begin"/>
      </w:r>
      <w:r>
        <w:instrText>xe "</w:instrText>
      </w:r>
      <w:r>
        <w:rPr>
          <w:rStyle w:val="xeentry"/>
        </w:rPr>
        <w:instrText>broda</w:instrText>
      </w:r>
      <w:r>
        <w:instrText>"</w:instrText>
      </w:r>
      <w:r>
        <w:rPr>
          <w:rStyle w:val="indexentry"/>
        </w:rPr>
        <w:fldChar w:fldCharType="end"/>
      </w:r>
      <w:r>
        <w:rPr>
          <w:rStyle w:val="htmlcodes"/>
        </w:rPr>
        <w:t>&lt;pre&gt;&lt;a name=e5d5&gt;</w:t>
      </w:r>
      <w:r>
        <w:t>5.5)</w:t>
      </w:r>
      <w:r>
        <w:tab/>
        <w:t>ti slasi je mlatu bo cidja lante gacri cei broda</w:t>
      </w:r>
    </w:p>
    <w:p w:rsidR="00B72047" w:rsidRDefault="00B72047">
      <w:pPr>
        <w:pStyle w:val="examplescaled"/>
      </w:pPr>
      <w:r>
        <w:tab/>
      </w:r>
      <w:r>
        <w:tab/>
        <w:t>.i le crino broda cu barda  .i le xunre broda cu cmalu</w:t>
      </w:r>
    </w:p>
    <w:p w:rsidR="00B72047" w:rsidRDefault="00B72047">
      <w:pPr>
        <w:pStyle w:val="examplescaled"/>
      </w:pPr>
      <w:r>
        <w:tab/>
        <w:t>These are plastic cat-food can covers or thingies.</w:t>
      </w:r>
    </w:p>
    <w:p w:rsidR="00B72047" w:rsidRDefault="00B72047">
      <w:pPr>
        <w:pStyle w:val="examplescaled"/>
      </w:pPr>
      <w:r>
        <w:tab/>
      </w:r>
      <w:r>
        <w:tab/>
        <w:t>The green thingy is large.  The red thingy is small.</w:t>
      </w:r>
    </w:p>
    <w:p w:rsidR="00B72047" w:rsidRDefault="00B72047">
      <w:pPr>
        <w:pStyle w:val="resumedafterexample"/>
      </w:pPr>
      <w:r>
        <w:rPr>
          <w:rStyle w:val="htmlcodes"/>
        </w:rPr>
        <w:t>&lt;/pre&gt;</w:t>
      </w:r>
      <w:r>
        <w:rPr>
          <w:rStyle w:val="indexentry"/>
        </w:rPr>
        <w:t>&lt;cx "antecedent, for pro-bridi"&gt;</w:t>
      </w:r>
      <w:r>
        <w:rPr>
          <w:rStyle w:val="indexentry"/>
        </w:rPr>
        <w:fldChar w:fldCharType="begin"/>
      </w:r>
      <w:r>
        <w:instrText>xe "</w:instrText>
      </w:r>
      <w:r>
        <w:rPr>
          <w:rStyle w:val="xeentry"/>
        </w:rPr>
        <w:instrText>antecedent: for pro-bridi</w:instrText>
      </w:r>
      <w:r>
        <w:instrText>"</w:instrText>
      </w:r>
      <w:r>
        <w:rPr>
          <w:rStyle w:val="indexentry"/>
        </w:rPr>
        <w:fldChar w:fldCharType="end"/>
      </w:r>
      <w:r>
        <w:rPr>
          <w:rStyle w:val="indexentry"/>
        </w:rPr>
        <w:t>&lt;lx "cei"&gt;</w:t>
      </w:r>
      <w:r>
        <w:rPr>
          <w:rStyle w:val="indexentry"/>
        </w:rPr>
        <w:fldChar w:fldCharType="begin"/>
      </w:r>
      <w:r>
        <w:instrText>xe "</w:instrText>
      </w:r>
      <w:r>
        <w:rPr>
          <w:rStyle w:val="xeentry"/>
        </w:rPr>
        <w:instrText>cei</w:instrText>
      </w:r>
      <w:r>
        <w:instrText>"</w:instrText>
      </w:r>
      <w:r>
        <w:rPr>
          <w:rStyle w:val="indexentry"/>
        </w:rPr>
        <w:fldChar w:fldCharType="end"/>
      </w:r>
      <w:r>
        <w:rPr>
          <w:rStyle w:val="indexentry"/>
        </w:rPr>
        <w:t>&lt;cx "cei for broda-series assignment, compared with goi for ko'a-series assignment"&gt;</w:t>
      </w:r>
      <w:r>
        <w:rPr>
          <w:rStyle w:val="indexentry"/>
        </w:rPr>
        <w:fldChar w:fldCharType="begin"/>
      </w:r>
      <w:r>
        <w:instrText>xe "</w:instrText>
      </w:r>
      <w:r>
        <w:rPr>
          <w:rStyle w:val="xeentry"/>
        </w:rPr>
        <w:instrText>cei for broda-series assignment: compared with goi for ko'a-series assignment</w:instrText>
      </w:r>
      <w:r>
        <w:instrText>"</w:instrText>
      </w:r>
      <w:r>
        <w:rPr>
          <w:rStyle w:val="indexentry"/>
        </w:rPr>
        <w:fldChar w:fldCharType="end"/>
      </w:r>
      <w:r>
        <w:rPr>
          <w:rStyle w:val="indexentry"/>
        </w:rPr>
        <w:t>&lt;cx "goi for ko'a-series assignment, compared with cei for broda-series assignment"&gt;</w:t>
      </w:r>
      <w:r>
        <w:rPr>
          <w:rStyle w:val="indexentry"/>
        </w:rPr>
        <w:fldChar w:fldCharType="begin"/>
      </w:r>
      <w:r>
        <w:instrText>xe "</w:instrText>
      </w:r>
      <w:r>
        <w:rPr>
          <w:rStyle w:val="xeentry"/>
        </w:rPr>
        <w:instrText>goi for ko'a-series assignment: compared with cei for broda-series assignment</w:instrText>
      </w:r>
      <w:r>
        <w:instrText>"</w:instrText>
      </w:r>
      <w:r>
        <w:rPr>
          <w:rStyle w:val="indexentry"/>
        </w:rPr>
        <w:fldChar w:fldCharType="end"/>
      </w:r>
      <w:r>
        <w:rPr>
          <w:rStyle w:val="indexentry"/>
        </w:rPr>
        <w:t>&lt;cx "broda-series pro-bridi, assigning with cei"&gt;</w:t>
      </w:r>
      <w:r>
        <w:rPr>
          <w:rStyle w:val="indexentry"/>
        </w:rPr>
        <w:fldChar w:fldCharType="begin"/>
      </w:r>
      <w:r>
        <w:instrText>xe "</w:instrText>
      </w:r>
      <w:r>
        <w:rPr>
          <w:rStyle w:val="xeentry"/>
        </w:rPr>
        <w:instrText>broda-series pro-bridi: assigning with cei</w:instrText>
      </w:r>
      <w:r>
        <w:instrText>"</w:instrText>
      </w:r>
      <w:r>
        <w:rPr>
          <w:rStyle w:val="indexentry"/>
        </w:rPr>
        <w:fldChar w:fldCharType="end"/>
      </w:r>
      <w:r>
        <w:rPr>
          <w:rStyle w:val="indexentry"/>
        </w:rPr>
        <w:t>&lt;cx "cei, for broda-series pro-bridi assignment"&gt;</w:t>
      </w:r>
      <w:r>
        <w:rPr>
          <w:rStyle w:val="indexentry"/>
        </w:rPr>
        <w:fldChar w:fldCharType="begin"/>
      </w:r>
      <w:r>
        <w:instrText>xe "</w:instrText>
      </w:r>
      <w:r>
        <w:rPr>
          <w:rStyle w:val="xeentry"/>
        </w:rPr>
        <w:instrText>cei: for broda-series pro-bridi assignment</w:instrText>
      </w:r>
      <w:r>
        <w:instrText>"</w:instrText>
      </w:r>
      <w:r>
        <w:rPr>
          <w:rStyle w:val="indexentry"/>
        </w:rPr>
        <w:fldChar w:fldCharType="end"/>
      </w:r>
      <w:r>
        <w:rPr>
          <w:rStyle w:val="indexentry"/>
        </w:rPr>
        <w:t>&lt;cx "broda-series pro-bridi, word-form rationale"&gt;</w:t>
      </w:r>
      <w:r>
        <w:rPr>
          <w:rStyle w:val="indexentry"/>
        </w:rPr>
        <w:fldChar w:fldCharType="begin"/>
      </w:r>
      <w:r>
        <w:instrText>xe "</w:instrText>
      </w:r>
      <w:r>
        <w:rPr>
          <w:rStyle w:val="xeentry"/>
        </w:rPr>
        <w:instrText>broda-series pro-bridi: word-form rationale</w:instrText>
      </w:r>
      <w:r>
        <w:instrText>"</w:instrText>
      </w:r>
      <w:r>
        <w:rPr>
          <w:rStyle w:val="indexentry"/>
        </w:rPr>
        <w:fldChar w:fldCharType="end"/>
      </w:r>
      <w:r>
        <w:t>The pro-bridi “broda” has as its antecedent the selbri “slasi je mlatu</w:t>
      </w:r>
      <w:r>
        <w:rPr>
          <w:rStyle w:val="deletedparamark"/>
        </w:rPr>
        <w:t xml:space="preserve"> </w:t>
      </w:r>
      <w:r>
        <w:t>bo cidja lante gacri”. The cmavo “cei” performs the role of “goi” in</w:t>
      </w:r>
      <w:r>
        <w:rPr>
          <w:rStyle w:val="deletedparamark"/>
        </w:rPr>
        <w:t xml:space="preserve"> </w:t>
      </w:r>
      <w:r>
        <w:t>as</w:t>
      </w:r>
      <w:r>
        <w:softHyphen/>
        <w:t>signing “broda” to this long phrase, and “broda” can then be used</w:t>
      </w:r>
      <w:r>
        <w:rPr>
          <w:rStyle w:val="deletedparamark"/>
        </w:rPr>
        <w:t xml:space="preserve"> </w:t>
      </w:r>
      <w:r>
        <w:t>just like any other brivla. (In fact, “broda” and its relatives act</w:t>
      </w:r>
      <w:r>
        <w:t>u</w:t>
      </w:r>
      <w:r>
        <w:softHyphen/>
        <w:t>ally</w:t>
      </w:r>
      <w:r>
        <w:rPr>
          <w:rStyle w:val="deletedparamark"/>
        </w:rPr>
        <w:t xml:space="preserve"> </w:t>
      </w:r>
      <w:r>
        <w:rPr>
          <w:rStyle w:val="htmlcodes"/>
          <w:rFonts w:ascii="Academy Italic" w:hAnsi="Academy Italic" w:cs="Academy Italic"/>
        </w:rPr>
        <w:t>&lt;i&gt;</w:t>
      </w:r>
      <w:r>
        <w:rPr>
          <w:i/>
          <w:iCs/>
        </w:rPr>
        <w:t xml:space="preserve">are </w:t>
      </w:r>
      <w:r>
        <w:rPr>
          <w:rStyle w:val="htmlcodes"/>
        </w:rPr>
        <w:t>&lt;/i&gt;</w:t>
      </w:r>
      <w:r>
        <w:rPr>
          <w:rStyle w:val="htmlcodes"/>
        </w:rPr>
        <w:softHyphen/>
      </w:r>
      <w:r>
        <w:t>brivla: they are gismu in morphology, although they behave ex</w:t>
      </w:r>
      <w:r>
        <w:softHyphen/>
        <w:t>actly</w:t>
      </w:r>
      <w:r>
        <w:rPr>
          <w:rStyle w:val="deletedparamark"/>
        </w:rPr>
        <w:t xml:space="preserve"> </w:t>
      </w:r>
      <w:r>
        <w:t>like the members of selma'o GOhA. The reasons for using gismu rather</w:t>
      </w:r>
      <w:r>
        <w:rPr>
          <w:rStyle w:val="deletedparamark"/>
        </w:rPr>
        <w:t xml:space="preserve"> </w:t>
      </w:r>
      <w:r>
        <w:t>than cmavo are buried in the Loglan Project's history.)</w:t>
      </w:r>
    </w:p>
    <w:p w:rsidR="00B72047" w:rsidRDefault="00B72047">
      <w:pPr>
        <w:rPr>
          <w:rStyle w:val="htmlparacode"/>
        </w:rPr>
      </w:pPr>
      <w:r>
        <w:rPr>
          <w:rStyle w:val="htmlparacode"/>
        </w:rPr>
        <w:t>&lt;p&gt;</w:t>
      </w:r>
    </w:p>
    <w:p w:rsidR="00B72047" w:rsidRDefault="00B72047">
      <w:pPr>
        <w:pStyle w:val="normalparagraph"/>
      </w:pPr>
      <w:r>
        <w:rPr>
          <w:rStyle w:val="indexentry"/>
        </w:rPr>
        <w:t>&lt;cx "antecedent, for pro-bridi as full bridi"&gt;</w:t>
      </w:r>
      <w:r>
        <w:rPr>
          <w:rStyle w:val="indexentry"/>
        </w:rPr>
        <w:fldChar w:fldCharType="begin"/>
      </w:r>
      <w:r>
        <w:instrText>xe "</w:instrText>
      </w:r>
      <w:r>
        <w:rPr>
          <w:rStyle w:val="xeentry"/>
        </w:rPr>
        <w:instrText>antecedent: for pro-bridi as full bridi</w:instrText>
      </w:r>
      <w:r>
        <w:instrText>"</w:instrText>
      </w:r>
      <w:r>
        <w:rPr>
          <w:rStyle w:val="indexentry"/>
        </w:rPr>
        <w:fldChar w:fldCharType="end"/>
      </w:r>
      <w:r>
        <w:t>Note that pro-bridi are so called because, even though they have the</w:t>
      </w:r>
      <w:r>
        <w:rPr>
          <w:rStyle w:val="deletedparamark"/>
        </w:rPr>
        <w:t xml:space="preserve"> </w:t>
      </w:r>
      <w:r>
        <w:t>grammar of se</w:t>
      </w:r>
      <w:r>
        <w:t>l</w:t>
      </w:r>
      <w:r>
        <w:softHyphen/>
        <w:t>bri, their antecedents are whole bridi. In the following</w:t>
      </w:r>
      <w:r>
        <w:rPr>
          <w:rStyle w:val="deletedparamark"/>
        </w:rPr>
        <w:t xml:space="preserve"> </w:t>
      </w:r>
      <w:r>
        <w:t>rather contrived example, the ant</w:t>
      </w:r>
      <w:r>
        <w:t>e</w:t>
      </w:r>
      <w:r>
        <w:softHyphen/>
        <w:t>cedent of “brode” is the whole bridi</w:t>
      </w:r>
      <w:r>
        <w:rPr>
          <w:rStyle w:val="deletedparamark"/>
        </w:rPr>
        <w:t xml:space="preserve"> “</w:t>
      </w:r>
      <w:r>
        <w:t>mi klama le zarci”: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mi klama cei brode le zarci  .i do brode</w:t>
      </w:r>
    </w:p>
    <w:p w:rsidR="00B72047" w:rsidRDefault="00B72047">
      <w:pPr>
        <w:pStyle w:val="examplescaled"/>
      </w:pPr>
      <w:r>
        <w:tab/>
        <w:t>I go-to (which-is claim-1) the store. You claim-1</w:t>
      </w:r>
    </w:p>
    <w:p w:rsidR="00B72047" w:rsidRDefault="00B72047">
      <w:pPr>
        <w:pStyle w:val="examplescaled"/>
      </w:pPr>
      <w:r>
        <w:tab/>
        <w:t>I go to the store. You, too.</w:t>
      </w:r>
    </w:p>
    <w:p w:rsidR="00B72047" w:rsidRDefault="00B72047">
      <w:pPr>
        <w:pStyle w:val="resumedafterexample"/>
      </w:pPr>
      <w:r>
        <w:rPr>
          <w:rStyle w:val="htmlcodes"/>
        </w:rPr>
        <w:t>&lt;/pre&gt;</w:t>
      </w:r>
      <w:r>
        <w:rPr>
          <w:rStyle w:val="indexentry"/>
        </w:rPr>
        <w:t>&lt;cx "pro-bridi, overriding sumti of antecedent bridi for"&gt;</w:t>
      </w:r>
      <w:r>
        <w:rPr>
          <w:rStyle w:val="indexentry"/>
        </w:rPr>
        <w:fldChar w:fldCharType="begin"/>
      </w:r>
      <w:r>
        <w:instrText>xe "</w:instrText>
      </w:r>
      <w:r>
        <w:rPr>
          <w:rStyle w:val="xeentry"/>
        </w:rPr>
        <w:instrText>pro-bridi: overriding sumti of antecedent bridi for</w:instrText>
      </w:r>
      <w:r>
        <w:instrText>"</w:instrText>
      </w:r>
      <w:r>
        <w:rPr>
          <w:rStyle w:val="indexentry"/>
        </w:rPr>
        <w:fldChar w:fldCharType="end"/>
      </w:r>
      <w:r>
        <w:t>In the second bridi, “do brode” means “do klama le zarci”, because “brode”</w:t>
      </w:r>
      <w:r>
        <w:rPr>
          <w:rStyle w:val="deletedparamark"/>
        </w:rPr>
        <w:t xml:space="preserve"> </w:t>
      </w:r>
      <w:r>
        <w:t>carries the x2 sumti of “mi klama le zarci” along with it. It also</w:t>
      </w:r>
      <w:r>
        <w:rPr>
          <w:rStyle w:val="deletedparamark"/>
        </w:rPr>
        <w:t xml:space="preserve"> </w:t>
      </w:r>
      <w:r>
        <w:t>potentially carries the x1 sumti as well, but the explicit x1 sumti “do”</w:t>
      </w:r>
      <w:r>
        <w:rPr>
          <w:rStyle w:val="deletedparamark"/>
        </w:rPr>
        <w:t xml:space="preserve"> </w:t>
      </w:r>
      <w:r>
        <w:t>overrides the “mi” of the antecedent bridi. Similarly, any tense or</w:t>
      </w:r>
      <w:r>
        <w:rPr>
          <w:rStyle w:val="deletedparamark"/>
        </w:rPr>
        <w:t xml:space="preserve"> </w:t>
      </w:r>
      <w:r>
        <w:t>ne</w:t>
      </w:r>
      <w:r>
        <w:softHyphen/>
        <w:t>gation that is present in the antecedent is also carried, and can be</w:t>
      </w:r>
      <w:r>
        <w:rPr>
          <w:rStyle w:val="deletedparamark"/>
        </w:rPr>
        <w:t xml:space="preserve"> </w:t>
      </w:r>
      <w:r>
        <w:t>overridden by explicit tense or negation cmavo on the pro-bridi. These</w:t>
      </w:r>
      <w:r>
        <w:rPr>
          <w:rStyle w:val="deletedparamark"/>
        </w:rPr>
        <w:t xml:space="preserve"> </w:t>
      </w:r>
      <w:r>
        <w:t>rules hold for all pro-bridi that have antecedents.</w:t>
      </w:r>
    </w:p>
    <w:p w:rsidR="00B72047" w:rsidRDefault="00B72047">
      <w:pPr>
        <w:rPr>
          <w:rStyle w:val="htmlparacode"/>
        </w:rPr>
      </w:pPr>
      <w:r>
        <w:rPr>
          <w:rStyle w:val="htmlparacode"/>
        </w:rPr>
        <w:t>&lt;p&gt;</w:t>
      </w:r>
    </w:p>
    <w:p w:rsidR="00B72047" w:rsidRDefault="00B72047">
      <w:pPr>
        <w:pStyle w:val="normalparagraph"/>
      </w:pPr>
      <w:r>
        <w:rPr>
          <w:rStyle w:val="indexentry"/>
        </w:rPr>
        <w:t>&lt;cx "broda-series pro-bridi, use as sample gismu"&gt;</w:t>
      </w:r>
      <w:r>
        <w:rPr>
          <w:rStyle w:val="indexentry"/>
        </w:rPr>
        <w:fldChar w:fldCharType="begin"/>
      </w:r>
      <w:r>
        <w:instrText>xe "</w:instrText>
      </w:r>
      <w:r>
        <w:rPr>
          <w:rStyle w:val="xeentry"/>
        </w:rPr>
        <w:instrText>broda-series pro-bridi: use as sample gismu</w:instrText>
      </w:r>
      <w:r>
        <w:instrText>"</w:instrText>
      </w:r>
      <w:r>
        <w:rPr>
          <w:rStyle w:val="indexentry"/>
        </w:rPr>
        <w:fldChar w:fldCharType="end"/>
      </w:r>
      <w:r>
        <w:rPr>
          <w:rStyle w:val="indexentry"/>
        </w:rPr>
        <w:t>&lt;cx "broda-series pro-bridi, use as abstract pattern"&gt;</w:t>
      </w:r>
      <w:r>
        <w:rPr>
          <w:rStyle w:val="indexentry"/>
        </w:rPr>
        <w:fldChar w:fldCharType="begin"/>
      </w:r>
      <w:r>
        <w:instrText>xe "</w:instrText>
      </w:r>
      <w:r>
        <w:rPr>
          <w:rStyle w:val="xeentry"/>
        </w:rPr>
        <w:instrText>broda-series pro-bridi: use as abstract pattern</w:instrText>
      </w:r>
      <w:r>
        <w:instrText>"</w:instrText>
      </w:r>
      <w:r>
        <w:rPr>
          <w:rStyle w:val="indexentry"/>
        </w:rPr>
        <w:fldChar w:fldCharType="end"/>
      </w:r>
      <w:r>
        <w:rPr>
          <w:rStyle w:val="indexentry"/>
        </w:rPr>
        <w:t>&lt;cx "broda-series pro-bridi, with no assignment"&gt;</w:t>
      </w:r>
      <w:r>
        <w:rPr>
          <w:rStyle w:val="indexentry"/>
        </w:rPr>
        <w:fldChar w:fldCharType="begin"/>
      </w:r>
      <w:r>
        <w:instrText>xe "</w:instrText>
      </w:r>
      <w:r>
        <w:rPr>
          <w:rStyle w:val="xeentry"/>
        </w:rPr>
        <w:instrText>broda-series pro-bridi: with no assignment</w:instrText>
      </w:r>
      <w:r>
        <w:instrText>"</w:instrText>
      </w:r>
      <w:r>
        <w:rPr>
          <w:rStyle w:val="indexentry"/>
        </w:rPr>
        <w:fldChar w:fldCharType="end"/>
      </w:r>
      <w:r>
        <w:t>Another use of “broda” and its relatives, without assignment, is as “sample</w:t>
      </w:r>
      <w:r>
        <w:rPr>
          <w:rStyle w:val="deletedparamark"/>
        </w:rPr>
        <w:t xml:space="preserve"> </w:t>
      </w:r>
      <w:r>
        <w:t>gismu”: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broda ke brode brodi</w:t>
      </w:r>
    </w:p>
    <w:p w:rsidR="00B72047" w:rsidRDefault="00B72047">
      <w:pPr>
        <w:pStyle w:val="examplescaled"/>
      </w:pPr>
      <w:r>
        <w:tab/>
        <w:t>a thing-1 type of (thing-2 type-of thing-3)</w:t>
      </w:r>
    </w:p>
    <w:p w:rsidR="00B72047" w:rsidRDefault="00B72047">
      <w:pPr>
        <w:pStyle w:val="resumedafterexample"/>
      </w:pPr>
      <w:r>
        <w:rPr>
          <w:rStyle w:val="htmlcodes"/>
        </w:rPr>
        <w:t>&lt;/pre&gt;</w:t>
      </w:r>
      <w:r>
        <w:t>represents an abstract pattern, a certain kind of tanru. (Historically,</w:t>
      </w:r>
      <w:r>
        <w:rPr>
          <w:rStyle w:val="deletedparamark"/>
        </w:rPr>
        <w:t xml:space="preserve"> </w:t>
      </w:r>
      <w:r>
        <w:t>this use was the orig</w:t>
      </w:r>
      <w:r>
        <w:t>i</w:t>
      </w:r>
      <w:r>
        <w:softHyphen/>
        <w:t>nal one.)</w:t>
      </w:r>
    </w:p>
    <w:p w:rsidR="00B72047" w:rsidRDefault="00B72047">
      <w:pPr>
        <w:rPr>
          <w:rStyle w:val="htmlparacode"/>
        </w:rPr>
      </w:pPr>
      <w:r>
        <w:rPr>
          <w:rStyle w:val="htmlparacode"/>
        </w:rPr>
        <w:t>&lt;p&gt;</w:t>
      </w:r>
    </w:p>
    <w:p w:rsidR="00B72047" w:rsidRDefault="00B72047">
      <w:pPr>
        <w:pStyle w:val="normalparagraph"/>
      </w:pPr>
      <w:r>
        <w:rPr>
          <w:rStyle w:val="indexentry"/>
        </w:rPr>
        <w:t>&lt;cx "lerfu, as assignable pro-sumti"&gt;</w:t>
      </w:r>
      <w:r>
        <w:rPr>
          <w:rStyle w:val="indexentry"/>
        </w:rPr>
        <w:fldChar w:fldCharType="begin"/>
      </w:r>
      <w:r>
        <w:instrText>xe "</w:instrText>
      </w:r>
      <w:r>
        <w:rPr>
          <w:rStyle w:val="xeentry"/>
        </w:rPr>
        <w:instrText>lerfu: as assignable pro-sumti</w:instrText>
      </w:r>
      <w:r>
        <w:instrText>"</w:instrText>
      </w:r>
      <w:r>
        <w:rPr>
          <w:rStyle w:val="indexentry"/>
        </w:rPr>
        <w:fldChar w:fldCharType="end"/>
      </w:r>
      <w:r>
        <w:rPr>
          <w:rStyle w:val="indexentry"/>
        </w:rPr>
        <w:t>&lt;cx "pro-sumti, lerfu as"&gt;</w:t>
      </w:r>
      <w:r>
        <w:rPr>
          <w:rStyle w:val="indexentry"/>
        </w:rPr>
        <w:fldChar w:fldCharType="begin"/>
      </w:r>
      <w:r>
        <w:instrText>xe "</w:instrText>
      </w:r>
      <w:r>
        <w:rPr>
          <w:rStyle w:val="xeentry"/>
        </w:rPr>
        <w:instrText>pro-sumti: lerfu as</w:instrText>
      </w:r>
      <w:r>
        <w:instrText>"</w:instrText>
      </w:r>
      <w:r>
        <w:rPr>
          <w:rStyle w:val="indexentry"/>
        </w:rPr>
        <w:fldChar w:fldCharType="end"/>
      </w:r>
      <w:r>
        <w:rPr>
          <w:rStyle w:val="indexentry"/>
        </w:rPr>
        <w:t>&lt;cx "lerfu as pro-sumti, contrasted with ko'a-series in explicit assignment of"&gt;</w:t>
      </w:r>
      <w:r>
        <w:rPr>
          <w:rStyle w:val="indexentry"/>
        </w:rPr>
        <w:fldChar w:fldCharType="begin"/>
      </w:r>
      <w:r>
        <w:instrText>xe "</w:instrText>
      </w:r>
      <w:r>
        <w:rPr>
          <w:rStyle w:val="xeentry"/>
        </w:rPr>
        <w:instrText>lerfu as pro-sumti: contrasted with ko'a-series in explicit assignment of</w:instrText>
      </w:r>
      <w:r>
        <w:instrText>"</w:instrText>
      </w:r>
      <w:r>
        <w:rPr>
          <w:rStyle w:val="indexentry"/>
        </w:rPr>
        <w:fldChar w:fldCharType="end"/>
      </w:r>
      <w:r>
        <w:rPr>
          <w:rStyle w:val="indexentry"/>
        </w:rPr>
        <w:t>&lt;cx "ko'a-series pro-sumti, contrasted with lerfu as pro-sumti in explicit assignment of"&gt;</w:t>
      </w:r>
      <w:r>
        <w:rPr>
          <w:rStyle w:val="indexentry"/>
        </w:rPr>
        <w:fldChar w:fldCharType="begin"/>
      </w:r>
      <w:r>
        <w:instrText>xe "</w:instrText>
      </w:r>
      <w:r>
        <w:rPr>
          <w:rStyle w:val="xeentry"/>
        </w:rPr>
        <w:instrText>ko'a-series pro-sumti: contrasted with lerfu as pro-sumti in explicit assignment of</w:instrText>
      </w:r>
      <w:r>
        <w:instrText>"</w:instrText>
      </w:r>
      <w:r>
        <w:rPr>
          <w:rStyle w:val="indexentry"/>
        </w:rPr>
        <w:fldChar w:fldCharType="end"/>
      </w:r>
      <w:r>
        <w:rPr>
          <w:rStyle w:val="indexentry"/>
        </w:rPr>
        <w:t>&lt;cx "lerfu as pro-sumti, implicit assignment of antecedent"&gt;</w:t>
      </w:r>
      <w:r>
        <w:rPr>
          <w:rStyle w:val="indexentry"/>
        </w:rPr>
        <w:fldChar w:fldCharType="begin"/>
      </w:r>
      <w:r>
        <w:instrText>xe "</w:instrText>
      </w:r>
      <w:r>
        <w:rPr>
          <w:rStyle w:val="xeentry"/>
        </w:rPr>
        <w:instrText>lerfu as pro-sumti: implicit assignment of antecedent</w:instrText>
      </w:r>
      <w:r>
        <w:instrText>"</w:instrText>
      </w:r>
      <w:r>
        <w:rPr>
          <w:rStyle w:val="indexentry"/>
        </w:rPr>
        <w:fldChar w:fldCharType="end"/>
      </w:r>
      <w:r>
        <w:t xml:space="preserve">As is explained in </w:t>
      </w:r>
      <w:r>
        <w:rPr>
          <w:rStyle w:val="htmlcodes"/>
        </w:rPr>
        <w:t>&lt;a href=chap17.html&gt;</w:t>
      </w:r>
      <w:r>
        <w:t>Chapter 17</w:t>
      </w:r>
      <w:r>
        <w:rPr>
          <w:rStyle w:val="htmlcodes"/>
        </w:rPr>
        <w:t>&lt;/a&gt;</w:t>
      </w:r>
      <w:r>
        <w:t>, the words for Lojban letters, belonging to</w:t>
      </w:r>
      <w:r>
        <w:rPr>
          <w:rStyle w:val="deletedparamark"/>
        </w:rPr>
        <w:t xml:space="preserve"> </w:t>
      </w:r>
      <w:r>
        <w:t>sel</w:t>
      </w:r>
      <w:r>
        <w:softHyphen/>
        <w:t>ma'o BY and certain related selma'o, are also usable as assignable</w:t>
      </w:r>
      <w:r>
        <w:rPr>
          <w:rStyle w:val="deletedparamark"/>
        </w:rPr>
        <w:t xml:space="preserve"> </w:t>
      </w:r>
      <w:r>
        <w:t>pro-sumti. The main difference between letter pro-sumti and ko'a-series</w:t>
      </w:r>
      <w:r>
        <w:rPr>
          <w:rStyle w:val="deletedparamark"/>
        </w:rPr>
        <w:t xml:space="preserve"> </w:t>
      </w:r>
      <w:r>
        <w:t>pro-sumti is that, in the absence of an explicit assignment, letters</w:t>
      </w:r>
      <w:r>
        <w:rPr>
          <w:rStyle w:val="deletedparamark"/>
        </w:rPr>
        <w:t xml:space="preserve"> </w:t>
      </w:r>
      <w:r>
        <w:t>are taken to refer to the most recent name or de</w:t>
      </w:r>
      <w:r>
        <w:softHyphen/>
        <w:t>scription sumti begi</w:t>
      </w:r>
      <w:r>
        <w:t>n</w:t>
      </w:r>
      <w:r>
        <w:softHyphen/>
        <w:t>ning</w:t>
      </w:r>
      <w:r>
        <w:rPr>
          <w:rStyle w:val="deletedparamark"/>
        </w:rPr>
        <w:t xml:space="preserve"> </w:t>
      </w:r>
      <w:r>
        <w:t>with the same letter: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mi viska le gerku  .i gy. cusku zo arf.</w:t>
      </w:r>
    </w:p>
    <w:p w:rsidR="00B72047" w:rsidRDefault="00B72047">
      <w:pPr>
        <w:pStyle w:val="examplescaled"/>
      </w:pPr>
      <w:r>
        <w:tab/>
        <w:t>I see the dog.  D expresses the-word “Arf!”.</w:t>
      </w:r>
    </w:p>
    <w:p w:rsidR="00B72047" w:rsidRDefault="00B72047">
      <w:pPr>
        <w:pStyle w:val="resumedafterexample"/>
      </w:pPr>
      <w:r>
        <w:rPr>
          <w:rStyle w:val="htmlcodes"/>
        </w:rPr>
        <w:t>&lt;/pre&gt;</w:t>
      </w:r>
      <w:r>
        <w:rPr>
          <w:rStyle w:val="indexentry"/>
        </w:rPr>
        <w:t>&lt;cx "lerfu as pro-sumti, explicit assignment of antecedent"&gt;</w:t>
      </w:r>
      <w:r>
        <w:rPr>
          <w:rStyle w:val="indexentry"/>
        </w:rPr>
        <w:fldChar w:fldCharType="begin"/>
      </w:r>
      <w:r>
        <w:instrText>xe "</w:instrText>
      </w:r>
      <w:r>
        <w:rPr>
          <w:rStyle w:val="xeentry"/>
        </w:rPr>
        <w:instrText>lerfu as pro-sumti: explicit assignment of antecedent</w:instrText>
      </w:r>
      <w:r>
        <w:instrText>"</w:instrText>
      </w:r>
      <w:r>
        <w:rPr>
          <w:rStyle w:val="indexentry"/>
        </w:rPr>
        <w:fldChar w:fldCharType="end"/>
      </w:r>
      <w:r>
        <w:rPr>
          <w:rStyle w:val="indexentry"/>
        </w:rPr>
        <w:t>&lt;cx "goi, use in assigning lerfu as pro-sumti"&gt;</w:t>
      </w:r>
      <w:r>
        <w:rPr>
          <w:rStyle w:val="indexentry"/>
        </w:rPr>
        <w:fldChar w:fldCharType="begin"/>
      </w:r>
      <w:r>
        <w:instrText>xe "</w:instrText>
      </w:r>
      <w:r>
        <w:rPr>
          <w:rStyle w:val="xeentry"/>
        </w:rPr>
        <w:instrText>goi: use in assigning lerfu as pro-sumti</w:instrText>
      </w:r>
      <w:r>
        <w:instrText>"</w:instrText>
      </w:r>
      <w:r>
        <w:rPr>
          <w:rStyle w:val="indexentry"/>
        </w:rPr>
        <w:fldChar w:fldCharType="end"/>
      </w:r>
      <w:r>
        <w:t>The Lojban word “gerku” begins with “g”, so the antecedent of “gy.”, the</w:t>
      </w:r>
      <w:r>
        <w:rPr>
          <w:rStyle w:val="deletedparamark"/>
        </w:rPr>
        <w:t xml:space="preserve"> </w:t>
      </w:r>
      <w:r>
        <w:t>cmavo for the letter “g”, must be “le gerku”. In the English transla</w:t>
      </w:r>
      <w:r>
        <w:softHyphen/>
        <w:t>tion,</w:t>
      </w:r>
      <w:r>
        <w:rPr>
          <w:rStyle w:val="deletedparamark"/>
        </w:rPr>
        <w:t xml:space="preserve"> </w:t>
      </w:r>
      <w:r>
        <w:t>we use the same principle to refer to the dog as “D”. Of course, in</w:t>
      </w:r>
      <w:r>
        <w:rPr>
          <w:rStyle w:val="deletedparamark"/>
        </w:rPr>
        <w:t xml:space="preserve"> </w:t>
      </w:r>
      <w:r>
        <w:t>case of ambiguity, “goi” can be used to make an explicit assign</w:t>
      </w:r>
      <w:r>
        <w:softHyphen/>
        <w:t>ment.</w:t>
      </w:r>
    </w:p>
    <w:p w:rsidR="00B72047" w:rsidRDefault="00B72047">
      <w:pPr>
        <w:rPr>
          <w:rStyle w:val="htmlparacode"/>
        </w:rPr>
      </w:pPr>
      <w:r>
        <w:rPr>
          <w:rStyle w:val="htmlparacode"/>
        </w:rPr>
        <w:t>&lt;p&gt;</w:t>
      </w:r>
    </w:p>
    <w:p w:rsidR="00B72047" w:rsidRDefault="00B72047">
      <w:pPr>
        <w:pStyle w:val="normalparagraph"/>
      </w:pPr>
      <w:r>
        <w:rPr>
          <w:rStyle w:val="indexentry"/>
        </w:rPr>
        <w:t>&lt;cx "goi, use in assigning name"&gt;</w:t>
      </w:r>
      <w:r>
        <w:rPr>
          <w:rStyle w:val="indexentry"/>
        </w:rPr>
        <w:fldChar w:fldCharType="begin"/>
      </w:r>
      <w:r>
        <w:instrText>xe "</w:instrText>
      </w:r>
      <w:r>
        <w:rPr>
          <w:rStyle w:val="xeentry"/>
        </w:rPr>
        <w:instrText>goi: use in assigning name</w:instrText>
      </w:r>
      <w:r>
        <w:instrText>"</w:instrText>
      </w:r>
      <w:r>
        <w:rPr>
          <w:rStyle w:val="indexentry"/>
        </w:rPr>
        <w:fldChar w:fldCharType="end"/>
      </w:r>
      <w:r>
        <w:rPr>
          <w:rStyle w:val="indexentry"/>
        </w:rPr>
        <w:t>&lt;cx "name, assigning with goi"&gt;</w:t>
      </w:r>
      <w:r>
        <w:rPr>
          <w:rStyle w:val="indexentry"/>
        </w:rPr>
        <w:fldChar w:fldCharType="begin"/>
      </w:r>
      <w:r>
        <w:instrText>xe "</w:instrText>
      </w:r>
      <w:r>
        <w:rPr>
          <w:rStyle w:val="xeentry"/>
        </w:rPr>
        <w:instrText>names: assigning with goi</w:instrText>
      </w:r>
      <w:r>
        <w:instrText>"</w:instrText>
      </w:r>
      <w:r>
        <w:rPr>
          <w:rStyle w:val="indexentry"/>
        </w:rPr>
        <w:fldChar w:fldCharType="end"/>
      </w:r>
      <w:r>
        <w:t>Furthermore, “goi” can even be used to assign a name: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le ninmu goi la sam. cu klama le zarci</w:t>
      </w:r>
    </w:p>
    <w:p w:rsidR="00B72047" w:rsidRDefault="00B72047">
      <w:pPr>
        <w:pStyle w:val="examplescaled"/>
      </w:pPr>
      <w:r>
        <w:tab/>
        <w:t>The woman also-known-as Sam goes to-the store.</w:t>
      </w:r>
    </w:p>
    <w:p w:rsidR="00B72047" w:rsidRDefault="00B72047">
      <w:pPr>
        <w:pStyle w:val="examplescaled"/>
      </w:pPr>
      <w:r>
        <w:tab/>
        <w:t>The woman, whom I'll call Sam, goes to the store.</w:t>
      </w:r>
    </w:p>
    <w:p w:rsidR="00B72047" w:rsidRDefault="00B72047">
      <w:pPr>
        <w:pStyle w:val="resumedafterexample"/>
      </w:pPr>
      <w:r>
        <w:rPr>
          <w:rStyle w:val="htmlcodes"/>
        </w:rPr>
        <w:t>&lt;/pre&gt;&lt;p&gt;</w:t>
      </w:r>
      <w:r>
        <w:t>This usage does not imply that the woman's name is Sam, or even that the</w:t>
      </w:r>
      <w:r>
        <w:rPr>
          <w:rStyle w:val="deletedparamark"/>
        </w:rPr>
        <w:t xml:space="preserve"> </w:t>
      </w:r>
      <w:r>
        <w:t>speaker usu</w:t>
      </w:r>
      <w:r>
        <w:softHyphen/>
        <w:t>ally calls the woman “Sam”. “Sam” is simply a name chosen,</w:t>
      </w:r>
      <w:r>
        <w:rPr>
          <w:rStyle w:val="deletedparamark"/>
        </w:rPr>
        <w:t xml:space="preserve"> </w:t>
      </w:r>
      <w:r>
        <w:t>as if at random, for use in the current context only.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279" w:name="_Toc395691557"/>
      <w:bookmarkStart w:id="280" w:name="_Toc398970528"/>
      <w:r>
        <w:rPr>
          <w:rStyle w:val="Heading3Text"/>
        </w:rPr>
        <w:t>Anaphoric pro-sumti and pro-bridi: the ri-series and the go'i-se</w:t>
      </w:r>
      <w:r>
        <w:rPr>
          <w:rStyle w:val="Heading3Text"/>
        </w:rPr>
        <w:softHyphen/>
        <w:t>ries</w:t>
      </w:r>
      <w:bookmarkEnd w:id="279"/>
      <w:bookmarkEnd w:id="28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ri</w:t>
      </w:r>
      <w:r>
        <w:tab/>
        <w:t>KOhA</w:t>
      </w:r>
      <w:r>
        <w:tab/>
        <w:t>ri-series</w:t>
      </w:r>
      <w:r>
        <w:tab/>
      </w:r>
      <w:r>
        <w:tab/>
        <w:t>(repeats last sumti)</w:t>
      </w:r>
    </w:p>
    <w:p w:rsidR="00B72047" w:rsidRDefault="00B72047">
      <w:pPr>
        <w:pStyle w:val="examplescaled"/>
      </w:pPr>
      <w:r>
        <w:tab/>
        <w:t>ra</w:t>
      </w:r>
      <w:r>
        <w:tab/>
        <w:t>KOhA</w:t>
      </w:r>
      <w:r>
        <w:tab/>
        <w:t>ri-series</w:t>
      </w:r>
      <w:r>
        <w:tab/>
      </w:r>
      <w:r>
        <w:tab/>
        <w:t>(repeats previous sumti)</w:t>
      </w:r>
    </w:p>
    <w:p w:rsidR="00B72047" w:rsidRDefault="00B72047">
      <w:pPr>
        <w:pStyle w:val="examplescaled"/>
      </w:pPr>
      <w:r>
        <w:tab/>
        <w:t>ru</w:t>
      </w:r>
      <w:r>
        <w:tab/>
        <w:t>KOhA</w:t>
      </w:r>
      <w:r>
        <w:tab/>
        <w:t>ri-series</w:t>
      </w:r>
      <w:r>
        <w:tab/>
      </w:r>
      <w:r>
        <w:tab/>
        <w:t>(repeats long-ago sumti)</w:t>
      </w:r>
    </w:p>
    <w:p w:rsidR="00B72047" w:rsidRDefault="00B72047">
      <w:pPr>
        <w:pStyle w:val="examplescaledpre"/>
      </w:pPr>
      <w:r>
        <w:tab/>
        <w:t>go'i</w:t>
      </w:r>
      <w:r>
        <w:tab/>
        <w:t>GOhA</w:t>
      </w:r>
      <w:r>
        <w:tab/>
        <w:t>go'i-series</w:t>
      </w:r>
      <w:r>
        <w:tab/>
        <w:t>(repeats last bridi)</w:t>
      </w:r>
    </w:p>
    <w:p w:rsidR="00B72047" w:rsidRDefault="00B72047">
      <w:pPr>
        <w:pStyle w:val="examplescaled"/>
      </w:pPr>
      <w:r>
        <w:tab/>
        <w:t>go'a</w:t>
      </w:r>
      <w:r>
        <w:tab/>
        <w:t>GOhA</w:t>
      </w:r>
      <w:r>
        <w:tab/>
        <w:t>go'i-series</w:t>
      </w:r>
      <w:r>
        <w:tab/>
        <w:t>(repeats previous bridi)</w:t>
      </w:r>
    </w:p>
    <w:p w:rsidR="00B72047" w:rsidRDefault="00B72047">
      <w:pPr>
        <w:pStyle w:val="examplescaled"/>
      </w:pPr>
      <w:r>
        <w:tab/>
        <w:t>go'u</w:t>
      </w:r>
      <w:r>
        <w:tab/>
        <w:t>GOhA</w:t>
      </w:r>
      <w:r>
        <w:tab/>
        <w:t>go'i-series</w:t>
      </w:r>
      <w:r>
        <w:tab/>
        <w:t>(repeats long-ago bridi)</w:t>
      </w:r>
    </w:p>
    <w:p w:rsidR="00B72047" w:rsidRDefault="00B72047">
      <w:pPr>
        <w:pStyle w:val="examplescaled"/>
      </w:pPr>
      <w:r>
        <w:tab/>
        <w:t>go'e</w:t>
      </w:r>
      <w:r>
        <w:tab/>
        <w:t>GOhA</w:t>
      </w:r>
      <w:r>
        <w:tab/>
        <w:t>go'i-series</w:t>
      </w:r>
      <w:r>
        <w:tab/>
        <w:t>(repeats last-but-one bridi)</w:t>
      </w:r>
    </w:p>
    <w:p w:rsidR="00B72047" w:rsidRDefault="00B72047">
      <w:pPr>
        <w:pStyle w:val="examplescaled"/>
      </w:pPr>
      <w:r>
        <w:tab/>
        <w:t>go'o</w:t>
      </w:r>
      <w:r>
        <w:tab/>
        <w:t>GOhA</w:t>
      </w:r>
      <w:r>
        <w:tab/>
        <w:t>go'i-series</w:t>
      </w:r>
      <w:r>
        <w:tab/>
        <w:t>(repeats future bridi)</w:t>
      </w:r>
    </w:p>
    <w:p w:rsidR="00B72047" w:rsidRDefault="00B72047">
      <w:pPr>
        <w:pStyle w:val="examplescaled"/>
      </w:pPr>
      <w:r>
        <w:tab/>
        <w:t>nei</w:t>
      </w:r>
      <w:r>
        <w:tab/>
        <w:t>GOhA</w:t>
      </w:r>
      <w:r>
        <w:tab/>
        <w:t>go'i-series</w:t>
      </w:r>
      <w:r>
        <w:tab/>
        <w:t>(repeats current bridi)</w:t>
      </w:r>
    </w:p>
    <w:p w:rsidR="00B72047" w:rsidRDefault="00B72047">
      <w:pPr>
        <w:pStyle w:val="examplescaled"/>
      </w:pPr>
      <w:r>
        <w:tab/>
        <w:t>no'a</w:t>
      </w:r>
      <w:r>
        <w:tab/>
        <w:t>GOhA</w:t>
      </w:r>
      <w:r>
        <w:tab/>
        <w:t>go'i-series</w:t>
      </w:r>
      <w:r>
        <w:tab/>
        <w:t>(repeats outer bridi)</w:t>
      </w:r>
    </w:p>
    <w:p w:rsidR="00B72047" w:rsidRDefault="00B72047">
      <w:pPr>
        <w:pStyle w:val="examplescaledpre"/>
      </w:pPr>
      <w:r>
        <w:tab/>
        <w:t>ra'o</w:t>
      </w:r>
      <w:r>
        <w:tab/>
        <w:t>RAhO</w:t>
      </w:r>
      <w:r>
        <w:tab/>
      </w:r>
      <w:r>
        <w:tab/>
      </w:r>
      <w:r>
        <w:tab/>
        <w:t>pro-cmavo update</w:t>
      </w:r>
    </w:p>
    <w:p w:rsidR="00B72047" w:rsidRDefault="00B72047">
      <w:pPr>
        <w:pStyle w:val="normalafterexample"/>
      </w:pPr>
      <w:r>
        <w:rPr>
          <w:rStyle w:val="htmlcodes"/>
        </w:rPr>
        <w:t>&lt;/pre&gt;</w:t>
      </w:r>
      <w:r>
        <w:rPr>
          <w:rStyle w:val="indexentry"/>
        </w:rPr>
        <w:t>&lt;cx "anaphora, definition"&gt;</w:t>
      </w:r>
      <w:r>
        <w:rPr>
          <w:rStyle w:val="indexentry"/>
        </w:rPr>
        <w:fldChar w:fldCharType="begin"/>
      </w:r>
      <w:r>
        <w:instrText>xe "</w:instrText>
      </w:r>
      <w:r>
        <w:rPr>
          <w:rStyle w:val="xeentry"/>
        </w:rPr>
        <w:instrText>anaphora: definition</w:instrText>
      </w:r>
      <w:r>
        <w:instrText>"</w:instrText>
      </w:r>
      <w:r>
        <w:rPr>
          <w:rStyle w:val="indexentry"/>
        </w:rPr>
        <w:fldChar w:fldCharType="end"/>
      </w:r>
      <w:r>
        <w:rPr>
          <w:rStyle w:val="indexentry"/>
        </w:rPr>
        <w:t>&lt;cx "pronouns, as anaphora"&gt;</w:t>
      </w:r>
      <w:r>
        <w:rPr>
          <w:rStyle w:val="indexentry"/>
        </w:rPr>
        <w:fldChar w:fldCharType="begin"/>
      </w:r>
      <w:r>
        <w:instrText>xe "</w:instrText>
      </w:r>
      <w:r>
        <w:rPr>
          <w:rStyle w:val="xeentry"/>
        </w:rPr>
        <w:instrText>pronouns: as anaphora</w:instrText>
      </w:r>
      <w:r>
        <w:instrText>"</w:instrText>
      </w:r>
      <w:r>
        <w:rPr>
          <w:rStyle w:val="indexentry"/>
        </w:rPr>
        <w:fldChar w:fldCharType="end"/>
      </w:r>
      <w:r>
        <w:rPr>
          <w:rStyle w:val="indexentry"/>
        </w:rPr>
        <w:t>&lt;cx "anaphora, pro-sumti ri-series as"&gt;</w:t>
      </w:r>
      <w:r>
        <w:rPr>
          <w:rStyle w:val="indexentry"/>
        </w:rPr>
        <w:fldChar w:fldCharType="begin"/>
      </w:r>
      <w:r>
        <w:instrText>xe "</w:instrText>
      </w:r>
      <w:r>
        <w:rPr>
          <w:rStyle w:val="xeentry"/>
        </w:rPr>
        <w:instrText>anaphora: pro-sumti ri-series as</w:instrText>
      </w:r>
      <w:r>
        <w:instrText>"</w:instrText>
      </w:r>
      <w:r>
        <w:rPr>
          <w:rStyle w:val="indexentry"/>
        </w:rPr>
        <w:fldChar w:fldCharType="end"/>
      </w:r>
      <w:r>
        <w:rPr>
          <w:rStyle w:val="indexentry"/>
        </w:rPr>
        <w:t>&lt;cx "anaphora, pro-bridi go'i-series as"&gt;</w:t>
      </w:r>
      <w:r>
        <w:rPr>
          <w:rStyle w:val="indexentry"/>
        </w:rPr>
        <w:fldChar w:fldCharType="begin"/>
      </w:r>
      <w:r>
        <w:instrText>xe "</w:instrText>
      </w:r>
      <w:r>
        <w:rPr>
          <w:rStyle w:val="xeentry"/>
        </w:rPr>
        <w:instrText>anaphora: pro-bridi go'i-series as</w:instrText>
      </w:r>
      <w:r>
        <w:instrText>"</w:instrText>
      </w:r>
      <w:r>
        <w:rPr>
          <w:rStyle w:val="indexentry"/>
        </w:rPr>
        <w:fldChar w:fldCharType="end"/>
      </w:r>
      <w:r>
        <w:rPr>
          <w:rStyle w:val="indexentry"/>
        </w:rPr>
        <w:t>&lt;cx "ri-series pro-sumti"&gt;</w:t>
      </w:r>
      <w:r>
        <w:rPr>
          <w:rStyle w:val="indexentry"/>
        </w:rPr>
        <w:fldChar w:fldCharType="begin"/>
      </w:r>
      <w:r>
        <w:instrText>xe "</w:instrText>
      </w:r>
      <w:r>
        <w:rPr>
          <w:rStyle w:val="xeentry"/>
        </w:rPr>
        <w:instrText>ri-series pro-sumti</w:instrText>
      </w:r>
      <w:r>
        <w:instrText>"</w:instrText>
      </w:r>
      <w:r>
        <w:rPr>
          <w:rStyle w:val="indexentry"/>
        </w:rPr>
        <w:fldChar w:fldCharType="end"/>
      </w:r>
      <w:r>
        <w:rPr>
          <w:rStyle w:val="indexentry"/>
        </w:rPr>
        <w:t>&lt;cx "go'i-series pro-bridi"&gt;</w:t>
      </w:r>
      <w:r>
        <w:rPr>
          <w:rStyle w:val="indexentry"/>
        </w:rPr>
        <w:fldChar w:fldCharType="begin"/>
      </w:r>
      <w:r>
        <w:instrText>xe "</w:instrText>
      </w:r>
      <w:r>
        <w:rPr>
          <w:rStyle w:val="xeentry"/>
        </w:rPr>
        <w:instrText>go'i-series pro-bridi</w:instrText>
      </w:r>
      <w:r>
        <w:instrText>"</w:instrText>
      </w:r>
      <w:r>
        <w:rPr>
          <w:rStyle w:val="indexentry"/>
        </w:rPr>
        <w:fldChar w:fldCharType="end"/>
      </w:r>
      <w:r>
        <w:rPr>
          <w:rStyle w:val="indexentry"/>
        </w:rPr>
        <w:t>&lt;cx "ri-series pro-sumti, compared with ti-series in word formation"&gt;</w:t>
      </w:r>
      <w:r>
        <w:rPr>
          <w:rStyle w:val="indexentry"/>
        </w:rPr>
        <w:fldChar w:fldCharType="begin"/>
      </w:r>
      <w:r>
        <w:instrText>xe "</w:instrText>
      </w:r>
      <w:r>
        <w:rPr>
          <w:rStyle w:val="xeentry"/>
        </w:rPr>
        <w:instrText>ri-series pro-sumti: compared with ti-series in word formation</w:instrText>
      </w:r>
      <w:r>
        <w:instrText>"</w:instrText>
      </w:r>
      <w:r>
        <w:rPr>
          <w:rStyle w:val="indexentry"/>
        </w:rPr>
        <w:fldChar w:fldCharType="end"/>
      </w:r>
      <w:r>
        <w:rPr>
          <w:rStyle w:val="indexentry"/>
        </w:rPr>
        <w:t>&lt;cx "go'i-series pro-bridi, compared with ri-series in word formation"&gt;</w:t>
      </w:r>
      <w:r>
        <w:rPr>
          <w:rStyle w:val="indexentry"/>
        </w:rPr>
        <w:fldChar w:fldCharType="begin"/>
      </w:r>
      <w:r>
        <w:instrText>xe "</w:instrText>
      </w:r>
      <w:r>
        <w:rPr>
          <w:rStyle w:val="xeentry"/>
        </w:rPr>
        <w:instrText>go'i-series pro-bridi: compared with ri-series in word formation</w:instrText>
      </w:r>
      <w:r>
        <w:instrText>"</w:instrText>
      </w:r>
      <w:r>
        <w:rPr>
          <w:rStyle w:val="indexentry"/>
        </w:rPr>
        <w:fldChar w:fldCharType="end"/>
      </w:r>
      <w:r>
        <w:t>The term “anaphora” literally means “repetition”, but is used in</w:t>
      </w:r>
      <w:r>
        <w:rPr>
          <w:rStyle w:val="deletedparamark"/>
        </w:rPr>
        <w:t xml:space="preserve"> </w:t>
      </w:r>
      <w:r>
        <w:t>linguistics to refer to pronouns whose significance is the repetition of</w:t>
      </w:r>
      <w:r>
        <w:rPr>
          <w:rStyle w:val="deletedparamark"/>
        </w:rPr>
        <w:t xml:space="preserve"> </w:t>
      </w:r>
      <w:r>
        <w:t>earlier words, namely their antecedents. Lojban provides three pro-sumti</w:t>
      </w:r>
      <w:r>
        <w:rPr>
          <w:rStyle w:val="deletedparamark"/>
        </w:rPr>
        <w:t xml:space="preserve"> </w:t>
      </w:r>
      <w:r>
        <w:t>anaphora, “ri”, “ra”, and “ru”; and three corresponding pro-bridi anaphora,</w:t>
      </w:r>
      <w:r>
        <w:rPr>
          <w:rStyle w:val="deletedparamark"/>
        </w:rPr>
        <w:t xml:space="preserve"> “</w:t>
      </w:r>
      <w:r>
        <w:t>go'i”, “go'a”, and “go'u”. These cmavo reveal the same vowel pa</w:t>
      </w:r>
      <w:r>
        <w:t>t</w:t>
      </w:r>
      <w:r>
        <w:softHyphen/>
        <w:t>tern as</w:t>
      </w:r>
      <w:r>
        <w:rPr>
          <w:rStyle w:val="deletedparamark"/>
        </w:rPr>
        <w:t xml:space="preserve"> </w:t>
      </w:r>
      <w:r>
        <w:t>the ti-series, but the “distances” referred to are not physical dis</w:t>
      </w:r>
      <w:r>
        <w:softHyphen/>
        <w:t>tances,</w:t>
      </w:r>
      <w:r>
        <w:rPr>
          <w:rStyle w:val="deletedparamark"/>
        </w:rPr>
        <w:t xml:space="preserve"> </w:t>
      </w:r>
      <w:r>
        <w:t>but di</w:t>
      </w:r>
      <w:r>
        <w:t>s</w:t>
      </w:r>
      <w:r>
        <w:softHyphen/>
        <w:t>tances from the anaphoric cmavo to its antecedent.</w:t>
      </w:r>
    </w:p>
    <w:p w:rsidR="00B72047" w:rsidRDefault="00B72047">
      <w:pPr>
        <w:rPr>
          <w:rStyle w:val="htmlparacode"/>
        </w:rPr>
      </w:pPr>
      <w:r>
        <w:rPr>
          <w:rStyle w:val="htmlparacode"/>
        </w:rPr>
        <w:t>&lt;p&gt;</w:t>
      </w:r>
    </w:p>
    <w:p w:rsidR="00B72047" w:rsidRDefault="00B72047">
      <w:pPr>
        <w:pStyle w:val="normalparagraph"/>
      </w:pPr>
      <w:r>
        <w:rPr>
          <w:rStyle w:val="indexentry"/>
        </w:rPr>
        <w:t>&lt;lx "ri"&gt;</w:t>
      </w:r>
      <w:r>
        <w:rPr>
          <w:rStyle w:val="indexentry"/>
        </w:rPr>
        <w:fldChar w:fldCharType="begin"/>
      </w:r>
      <w:r>
        <w:instrText>xe "</w:instrText>
      </w:r>
      <w:r>
        <w:rPr>
          <w:rStyle w:val="xeentry"/>
        </w:rPr>
        <w:instrText>ri</w:instrText>
      </w:r>
      <w:r>
        <w:instrText>"</w:instrText>
      </w:r>
      <w:r>
        <w:rPr>
          <w:rStyle w:val="indexentry"/>
        </w:rPr>
        <w:fldChar w:fldCharType="end"/>
      </w:r>
      <w:r>
        <w:rPr>
          <w:rStyle w:val="indexentry"/>
        </w:rPr>
        <w:t>&lt;cx "ri, referent of"&gt;</w:t>
      </w:r>
      <w:r>
        <w:rPr>
          <w:rStyle w:val="indexentry"/>
        </w:rPr>
        <w:fldChar w:fldCharType="begin"/>
      </w:r>
      <w:r>
        <w:instrText>xe "</w:instrText>
      </w:r>
      <w:r>
        <w:rPr>
          <w:rStyle w:val="xeentry"/>
        </w:rPr>
        <w:instrText>ri: referent of</w:instrText>
      </w:r>
      <w:r>
        <w:instrText>"</w:instrText>
      </w:r>
      <w:r>
        <w:rPr>
          <w:rStyle w:val="indexentry"/>
        </w:rPr>
        <w:fldChar w:fldCharType="end"/>
      </w:r>
      <w:r>
        <w:t>The cmavo “ri” is the simplest of these; it has the same refer</w:t>
      </w:r>
      <w:r>
        <w:softHyphen/>
        <w:t>ent as the</w:t>
      </w:r>
      <w:r>
        <w:rPr>
          <w:rStyle w:val="deletedparamark"/>
        </w:rPr>
        <w:t xml:space="preserve"> </w:t>
      </w:r>
      <w:r>
        <w:t>last complete sumti appearing before the “ri”: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la .alis. sipna le ri kumfa</w:t>
      </w:r>
    </w:p>
    <w:p w:rsidR="00B72047" w:rsidRDefault="00B72047">
      <w:pPr>
        <w:pStyle w:val="examplescaled"/>
      </w:pPr>
      <w:r>
        <w:tab/>
        <w:t>Alice sleeps-in the of-[repeat last sumti] room.</w:t>
      </w:r>
    </w:p>
    <w:p w:rsidR="00B72047" w:rsidRDefault="00B72047">
      <w:pPr>
        <w:pStyle w:val="examplescaled"/>
      </w:pPr>
      <w:r>
        <w:tab/>
        <w:t>Alice sleeps in her room.</w:t>
      </w:r>
    </w:p>
    <w:p w:rsidR="00B72047" w:rsidRDefault="00B72047">
      <w:pPr>
        <w:pStyle w:val="resumedafterexample"/>
      </w:pPr>
      <w:r>
        <w:rPr>
          <w:rStyle w:val="htmlcodes"/>
        </w:rPr>
        <w:t>&lt;/pre&gt;</w:t>
      </w:r>
      <w:r>
        <w:rPr>
          <w:rStyle w:val="indexentry"/>
        </w:rPr>
        <w:t>&lt;cx "ri-series pro-sumti, effect of use on meaning"&gt;</w:t>
      </w:r>
      <w:r>
        <w:rPr>
          <w:rStyle w:val="indexentry"/>
        </w:rPr>
        <w:fldChar w:fldCharType="begin"/>
      </w:r>
      <w:r>
        <w:instrText>xe "</w:instrText>
      </w:r>
      <w:r>
        <w:rPr>
          <w:rStyle w:val="xeentry"/>
        </w:rPr>
        <w:instrText>ri-series pro-sumti: effect of use on meaning</w:instrText>
      </w:r>
      <w:r>
        <w:instrText>"</w:instrText>
      </w:r>
      <w:r>
        <w:rPr>
          <w:rStyle w:val="indexentry"/>
        </w:rPr>
        <w:fldChar w:fldCharType="end"/>
      </w:r>
      <w:r>
        <w:t xml:space="preserve">The “ri” in </w:t>
      </w:r>
      <w:r>
        <w:rPr>
          <w:rStyle w:val="htmlcodes"/>
        </w:rPr>
        <w:t>&lt;a href=#e6d1&gt;</w:t>
      </w:r>
      <w:r>
        <w:t xml:space="preserve">Example 6.1 </w:t>
      </w:r>
      <w:r>
        <w:rPr>
          <w:rStyle w:val="htmlcodes"/>
        </w:rPr>
        <w:t>&lt;/a&gt;</w:t>
      </w:r>
      <w:r>
        <w:t>is equivalent to repeating the last sumti, which</w:t>
      </w:r>
      <w:r>
        <w:rPr>
          <w:rStyle w:val="deletedparamark"/>
        </w:rPr>
        <w:t xml:space="preserve"> </w:t>
      </w:r>
      <w:r>
        <w:t xml:space="preserve">is “la .alis.”, so </w:t>
      </w:r>
      <w:r>
        <w:rPr>
          <w:rStyle w:val="htmlcodes"/>
        </w:rPr>
        <w:t>&lt;a href=#e6d1&gt;</w:t>
      </w:r>
      <w:r>
        <w:t xml:space="preserve">Example 6.1 </w:t>
      </w:r>
      <w:r>
        <w:rPr>
          <w:rStyle w:val="htmlcodes"/>
        </w:rPr>
        <w:t>&lt;/a&gt;</w:t>
      </w:r>
      <w:r>
        <w:t>is equivalent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la .alis. sipna le la .alis. kumfa</w:t>
      </w:r>
    </w:p>
    <w:p w:rsidR="00B72047" w:rsidRDefault="00B72047">
      <w:pPr>
        <w:pStyle w:val="examplescaled"/>
      </w:pPr>
      <w:r>
        <w:tab/>
        <w:t>Alice sleeps-in the of-Alice room.</w:t>
      </w:r>
    </w:p>
    <w:p w:rsidR="00B72047" w:rsidRDefault="00B72047">
      <w:pPr>
        <w:pStyle w:val="examplescaled"/>
      </w:pPr>
      <w:r>
        <w:tab/>
        <w:t>Alice sleeps in Alice's room.</w:t>
      </w:r>
    </w:p>
    <w:p w:rsidR="00B72047" w:rsidRDefault="00B72047">
      <w:pPr>
        <w:pStyle w:val="resumedafterexample"/>
      </w:pPr>
      <w:r>
        <w:rPr>
          <w:rStyle w:val="htmlcodes"/>
        </w:rPr>
        <w:t>&lt;/pre&gt;</w:t>
      </w:r>
      <w:r>
        <w:rPr>
          <w:rStyle w:val="indexentry"/>
        </w:rPr>
        <w:t>&lt;cx "ri, non-self-reference of"&gt;</w:t>
      </w:r>
      <w:r>
        <w:rPr>
          <w:rStyle w:val="indexentry"/>
        </w:rPr>
        <w:fldChar w:fldCharType="begin"/>
      </w:r>
      <w:r>
        <w:instrText>xe "</w:instrText>
      </w:r>
      <w:r>
        <w:rPr>
          <w:rStyle w:val="xeentry"/>
        </w:rPr>
        <w:instrText>ri: non-self-reference of</w:instrText>
      </w:r>
      <w:r>
        <w:instrText>"</w:instrText>
      </w:r>
      <w:r>
        <w:rPr>
          <w:rStyle w:val="indexentry"/>
        </w:rPr>
        <w:fldChar w:fldCharType="end"/>
      </w:r>
      <w:r>
        <w:rPr>
          <w:rStyle w:val="indexentry"/>
        </w:rPr>
        <w:t>&lt;cx "ri-series pro-sumti, and order of possible referents"&gt;</w:t>
      </w:r>
      <w:r>
        <w:rPr>
          <w:rStyle w:val="indexentry"/>
        </w:rPr>
        <w:fldChar w:fldCharType="begin"/>
      </w:r>
      <w:r>
        <w:instrText>xe "</w:instrText>
      </w:r>
      <w:r>
        <w:rPr>
          <w:rStyle w:val="xeentry"/>
        </w:rPr>
        <w:instrText>ri-series pro-sumti: and order of possible referents</w:instrText>
      </w:r>
      <w:r>
        <w:instrText>"</w:instrText>
      </w:r>
      <w:r>
        <w:rPr>
          <w:rStyle w:val="indexentry"/>
        </w:rPr>
        <w:fldChar w:fldCharType="end"/>
      </w:r>
      <w:r>
        <w:t>Note that “ri” does not repeat “le ri kumfa”, because that sumti is not</w:t>
      </w:r>
      <w:r>
        <w:rPr>
          <w:rStyle w:val="deletedparamark"/>
        </w:rPr>
        <w:t xml:space="preserve"> </w:t>
      </w:r>
      <w:r>
        <w:t>yet complete when “ri” appears. This prevents “ri” from getting entan</w:t>
      </w:r>
      <w:r>
        <w:softHyphen/>
        <w:t>gled</w:t>
      </w:r>
      <w:r>
        <w:rPr>
          <w:rStyle w:val="deletedparamark"/>
        </w:rPr>
        <w:t xml:space="preserve"> </w:t>
      </w:r>
      <w:r>
        <w:t>in paradoxes of self-refer</w:t>
      </w:r>
      <w:r>
        <w:softHyphen/>
        <w:t>ence. (There are plenty of other ways to do that!)</w:t>
      </w:r>
      <w:r>
        <w:rPr>
          <w:rStyle w:val="deletedparamark"/>
        </w:rPr>
        <w:t xml:space="preserve"> </w:t>
      </w:r>
      <w:r>
        <w:t>Note also that sumti within other sumti, as in quotations, abstractions,</w:t>
      </w:r>
      <w:r>
        <w:rPr>
          <w:rStyle w:val="deletedparamark"/>
        </w:rPr>
        <w:t xml:space="preserve"> </w:t>
      </w:r>
      <w:r>
        <w:t>and the like, are counted in the order of their be</w:t>
      </w:r>
      <w:r>
        <w:softHyphen/>
        <w:t>gin</w:t>
      </w:r>
      <w:r>
        <w:softHyphen/>
        <w:t>nings; thus a lower</w:t>
      </w:r>
      <w:r>
        <w:rPr>
          <w:rStyle w:val="deletedparamark"/>
        </w:rPr>
        <w:t xml:space="preserve"> </w:t>
      </w:r>
      <w:r>
        <w:t xml:space="preserve">level sumti like “la alis.” in </w:t>
      </w:r>
      <w:r>
        <w:rPr>
          <w:rStyle w:val="htmlcodes"/>
        </w:rPr>
        <w:t>&lt;a href=#e6d2&gt;</w:t>
      </w:r>
      <w:r>
        <w:t xml:space="preserve">Example 6.2 </w:t>
      </w:r>
      <w:r>
        <w:rPr>
          <w:rStyle w:val="htmlcodes"/>
        </w:rPr>
        <w:t>&lt;/a&gt;</w:t>
      </w:r>
      <w:r>
        <w:t>is consid</w:t>
      </w:r>
      <w:r>
        <w:softHyphen/>
        <w:t>ered to be more recent</w:t>
      </w:r>
      <w:r>
        <w:rPr>
          <w:rStyle w:val="deletedparamark"/>
        </w:rPr>
        <w:t xml:space="preserve"> </w:t>
      </w:r>
      <w:r>
        <w:t>than a higher level sumti that contains it.</w:t>
      </w:r>
    </w:p>
    <w:p w:rsidR="00B72047" w:rsidRDefault="00B72047">
      <w:pPr>
        <w:rPr>
          <w:rStyle w:val="htmlparacode"/>
        </w:rPr>
      </w:pPr>
      <w:r>
        <w:rPr>
          <w:rStyle w:val="htmlparacode"/>
        </w:rPr>
        <w:t>&lt;p&gt;</w:t>
      </w:r>
    </w:p>
    <w:p w:rsidR="00B72047" w:rsidRDefault="00B72047">
      <w:pPr>
        <w:pStyle w:val="normalparagraph"/>
      </w:pPr>
      <w:r>
        <w:rPr>
          <w:rStyle w:val="indexentry"/>
        </w:rPr>
        <w:t>&lt;cx "ri-series pro-sumti, possible referents of"&gt;</w:t>
      </w:r>
      <w:r>
        <w:rPr>
          <w:rStyle w:val="indexentry"/>
        </w:rPr>
        <w:fldChar w:fldCharType="begin"/>
      </w:r>
      <w:r>
        <w:instrText>xe "</w:instrText>
      </w:r>
      <w:r>
        <w:rPr>
          <w:rStyle w:val="xeentry"/>
        </w:rPr>
        <w:instrText>ri-series pro-sumti: possible referents of</w:instrText>
      </w:r>
      <w:r>
        <w:instrText>"</w:instrText>
      </w:r>
      <w:r>
        <w:rPr>
          <w:rStyle w:val="indexentry"/>
        </w:rPr>
        <w:fldChar w:fldCharType="end"/>
      </w:r>
      <w:r>
        <w:rPr>
          <w:rStyle w:val="indexentry"/>
        </w:rPr>
        <w:t>&lt;cx "ri-series pro-sumti, non-allowable referents of"&gt;</w:t>
      </w:r>
      <w:r>
        <w:rPr>
          <w:rStyle w:val="indexentry"/>
        </w:rPr>
        <w:fldChar w:fldCharType="begin"/>
      </w:r>
      <w:r>
        <w:instrText>xe "</w:instrText>
      </w:r>
      <w:r>
        <w:rPr>
          <w:rStyle w:val="xeentry"/>
        </w:rPr>
        <w:instrText>ri-series pro-sumti: non-allowable referents of</w:instrText>
      </w:r>
      <w:r>
        <w:instrText>"</w:instrText>
      </w:r>
      <w:r>
        <w:rPr>
          <w:rStyle w:val="indexentry"/>
        </w:rPr>
        <w:fldChar w:fldCharType="end"/>
      </w:r>
      <w:r>
        <w:rPr>
          <w:rStyle w:val="indexentry"/>
        </w:rPr>
        <w:t>&lt;cx "ri-series pro-sumti, effect of ko'a-series pro-sumti on"&gt;</w:t>
      </w:r>
      <w:r>
        <w:rPr>
          <w:rStyle w:val="indexentry"/>
        </w:rPr>
        <w:fldChar w:fldCharType="begin"/>
      </w:r>
      <w:r>
        <w:instrText>xe "</w:instrText>
      </w:r>
      <w:r>
        <w:rPr>
          <w:rStyle w:val="xeentry"/>
        </w:rPr>
        <w:instrText>ri-series pro-sumti: effect of ko'a-series pro-sumti on</w:instrText>
      </w:r>
      <w:r>
        <w:instrText>"</w:instrText>
      </w:r>
      <w:r>
        <w:rPr>
          <w:rStyle w:val="indexentry"/>
        </w:rPr>
        <w:fldChar w:fldCharType="end"/>
      </w:r>
      <w:r>
        <w:rPr>
          <w:rStyle w:val="indexentry"/>
        </w:rPr>
        <w:t>&lt;cx "ko'a-series pro-sumti, effect on ri-series pro-sumti"&gt;</w:t>
      </w:r>
      <w:r>
        <w:rPr>
          <w:rStyle w:val="indexentry"/>
        </w:rPr>
        <w:fldChar w:fldCharType="begin"/>
      </w:r>
      <w:r>
        <w:instrText>xe "</w:instrText>
      </w:r>
      <w:r>
        <w:rPr>
          <w:rStyle w:val="xeentry"/>
        </w:rPr>
        <w:instrText>ko'a-series pro-sumti: effect on ri-series pro-sumti</w:instrText>
      </w:r>
      <w:r>
        <w:instrText>"</w:instrText>
      </w:r>
      <w:r>
        <w:rPr>
          <w:rStyle w:val="indexentry"/>
        </w:rPr>
        <w:fldChar w:fldCharType="end"/>
      </w:r>
      <w:r>
        <w:rPr>
          <w:rStyle w:val="indexentry"/>
        </w:rPr>
        <w:t>&lt;cx "ri-series pro-sumti, effect of lerfu pro-sumti on"&gt;</w:t>
      </w:r>
      <w:r>
        <w:rPr>
          <w:rStyle w:val="indexentry"/>
        </w:rPr>
        <w:fldChar w:fldCharType="begin"/>
      </w:r>
      <w:r>
        <w:instrText>xe "</w:instrText>
      </w:r>
      <w:r>
        <w:rPr>
          <w:rStyle w:val="xeentry"/>
        </w:rPr>
        <w:instrText>ri-series pro-sumti: effect of lerfu pro-sumti on</w:instrText>
      </w:r>
      <w:r>
        <w:instrText>"</w:instrText>
      </w:r>
      <w:r>
        <w:rPr>
          <w:rStyle w:val="indexentry"/>
        </w:rPr>
        <w:fldChar w:fldCharType="end"/>
      </w:r>
      <w:r>
        <w:rPr>
          <w:rStyle w:val="indexentry"/>
        </w:rPr>
        <w:t>&lt;cx "lerfu pro-sumti, effect on ri-series pro-sumti"&gt;</w:t>
      </w:r>
      <w:r>
        <w:rPr>
          <w:rStyle w:val="indexentry"/>
        </w:rPr>
        <w:fldChar w:fldCharType="begin"/>
      </w:r>
      <w:r>
        <w:instrText>xe "</w:instrText>
      </w:r>
      <w:r>
        <w:rPr>
          <w:rStyle w:val="xeentry"/>
        </w:rPr>
        <w:instrText>lerfu pro-sumti: effect on ri-series pro-sumti</w:instrText>
      </w:r>
      <w:r>
        <w:instrText>"</w:instrText>
      </w:r>
      <w:r>
        <w:rPr>
          <w:rStyle w:val="indexentry"/>
        </w:rPr>
        <w:fldChar w:fldCharType="end"/>
      </w:r>
      <w:r>
        <w:t>Certain sumti are ignored by “ri”; specifically, most of the other cmavo</w:t>
      </w:r>
      <w:r>
        <w:rPr>
          <w:rStyle w:val="deletedparamark"/>
        </w:rPr>
        <w:t xml:space="preserve"> </w:t>
      </w:r>
      <w:r>
        <w:t>of KOhA, and the almost-grammatically-equivalent lerfu words of selma'o BY.</w:t>
      </w:r>
      <w:r>
        <w:rPr>
          <w:rStyle w:val="deletedparamark"/>
        </w:rPr>
        <w:t xml:space="preserve"> </w:t>
      </w:r>
      <w:r>
        <w:t>It is sim</w:t>
      </w:r>
      <w:r>
        <w:softHyphen/>
        <w:t>pler just to repeat these directly: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mi prami mi</w:t>
      </w:r>
    </w:p>
    <w:p w:rsidR="00B72047" w:rsidRDefault="00B72047">
      <w:pPr>
        <w:pStyle w:val="examplescaled"/>
      </w:pPr>
      <w:r>
        <w:tab/>
        <w:t>I love me.</w:t>
      </w:r>
    </w:p>
    <w:p w:rsidR="00B72047" w:rsidRDefault="00B72047">
      <w:pPr>
        <w:pStyle w:val="examplescaled"/>
      </w:pPr>
      <w:r>
        <w:tab/>
        <w:t>I love myself.</w:t>
      </w:r>
    </w:p>
    <w:p w:rsidR="00B72047" w:rsidRDefault="00B72047">
      <w:pPr>
        <w:pStyle w:val="normalafterexample"/>
      </w:pPr>
      <w:r>
        <w:rPr>
          <w:rStyle w:val="htmlcodes"/>
        </w:rPr>
        <w:t>&lt;/pre&gt;</w:t>
      </w:r>
      <w:r>
        <w:rPr>
          <w:rStyle w:val="indexentry"/>
        </w:rPr>
        <w:t>&lt;cx "ri-series pro-sumti, effect of ti-series pro-sumti on"&gt;</w:t>
      </w:r>
      <w:r>
        <w:rPr>
          <w:rStyle w:val="indexentry"/>
        </w:rPr>
        <w:fldChar w:fldCharType="begin"/>
      </w:r>
      <w:r>
        <w:instrText>xe "</w:instrText>
      </w:r>
      <w:r>
        <w:rPr>
          <w:rStyle w:val="xeentry"/>
        </w:rPr>
        <w:instrText>ri-series pro-sumti: effect of ti-series pro-sumti on</w:instrText>
      </w:r>
      <w:r>
        <w:instrText>"</w:instrText>
      </w:r>
      <w:r>
        <w:rPr>
          <w:rStyle w:val="indexentry"/>
        </w:rPr>
        <w:fldChar w:fldCharType="end"/>
      </w:r>
      <w:r>
        <w:rPr>
          <w:rStyle w:val="indexentry"/>
        </w:rPr>
        <w:t>&lt;cx "ti-series pro-sumti, effect on ri-series pro-sumti"&gt;</w:t>
      </w:r>
      <w:r>
        <w:rPr>
          <w:rStyle w:val="indexentry"/>
        </w:rPr>
        <w:fldChar w:fldCharType="begin"/>
      </w:r>
      <w:r>
        <w:instrText>xe "</w:instrText>
      </w:r>
      <w:r>
        <w:rPr>
          <w:rStyle w:val="xeentry"/>
        </w:rPr>
        <w:instrText>ti-series pro-sumti: effect on ri-series pro-sumti</w:instrText>
      </w:r>
      <w:r>
        <w:instrText>"</w:instrText>
      </w:r>
      <w:r>
        <w:rPr>
          <w:rStyle w:val="indexentry"/>
        </w:rPr>
        <w:fldChar w:fldCharType="end"/>
      </w:r>
      <w:r>
        <w:rPr>
          <w:rStyle w:val="indexentry"/>
        </w:rPr>
        <w:t>&lt;cx "ri-series pro-sumti, effect of other ri-series pro-sumti on"&gt;</w:t>
      </w:r>
      <w:r>
        <w:rPr>
          <w:rStyle w:val="indexentry"/>
        </w:rPr>
        <w:fldChar w:fldCharType="begin"/>
      </w:r>
      <w:r>
        <w:instrText>xe "</w:instrText>
      </w:r>
      <w:r>
        <w:rPr>
          <w:rStyle w:val="xeentry"/>
        </w:rPr>
        <w:instrText>ri-series pro-sumti: effect of other ri-series pro-sumti on</w:instrText>
      </w:r>
      <w:r>
        <w:instrText>"</w:instrText>
      </w:r>
      <w:r>
        <w:rPr>
          <w:rStyle w:val="indexentry"/>
        </w:rPr>
        <w:fldChar w:fldCharType="end"/>
      </w:r>
      <w:r>
        <w:rPr>
          <w:rStyle w:val="indexentry"/>
        </w:rPr>
        <w:t>&lt;cx "ri-series pro-sumti, effect on other ri-series pro-sumti"&gt;</w:t>
      </w:r>
      <w:r>
        <w:rPr>
          <w:rStyle w:val="indexentry"/>
        </w:rPr>
        <w:fldChar w:fldCharType="begin"/>
      </w:r>
      <w:r>
        <w:instrText>xe "</w:instrText>
      </w:r>
      <w:r>
        <w:rPr>
          <w:rStyle w:val="xeentry"/>
        </w:rPr>
        <w:instrText>ri-series pro-sumti: effect on other ri-series pro-sumti</w:instrText>
      </w:r>
      <w:r>
        <w:instrText>"</w:instrText>
      </w:r>
      <w:r>
        <w:rPr>
          <w:rStyle w:val="indexentry"/>
        </w:rPr>
        <w:fldChar w:fldCharType="end"/>
      </w:r>
      <w:r>
        <w:t>However, the cmavo of the ti-series can be picked up by “ri”, because</w:t>
      </w:r>
      <w:r>
        <w:rPr>
          <w:rStyle w:val="deletedparamark"/>
        </w:rPr>
        <w:t xml:space="preserve"> </w:t>
      </w:r>
      <w:r>
        <w:t>you might have changed what you are pointing at, so re</w:t>
      </w:r>
      <w:r>
        <w:softHyphen/>
        <w:t>peating “ti” may</w:t>
      </w:r>
      <w:r>
        <w:rPr>
          <w:rStyle w:val="deletedparamark"/>
        </w:rPr>
        <w:t xml:space="preserve"> </w:t>
      </w:r>
      <w:r>
        <w:t>not be effective. Likewise, “ri” itself (or rather its an</w:t>
      </w:r>
      <w:r>
        <w:softHyphen/>
        <w:t>tecedent) can be</w:t>
      </w:r>
      <w:r>
        <w:rPr>
          <w:rStyle w:val="deletedparamark"/>
        </w:rPr>
        <w:t xml:space="preserve"> </w:t>
      </w:r>
      <w:r>
        <w:t>repeated by a later “ri”; in fact, a string of “ri” cmavo with no other</w:t>
      </w:r>
      <w:r>
        <w:rPr>
          <w:rStyle w:val="deletedparamark"/>
        </w:rPr>
        <w:t xml:space="preserve"> </w:t>
      </w:r>
      <w:r>
        <w:t>intervening sumti always all repeat the same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la djan. viska le tricu  .i ri se jadni le ri jimca</w:t>
      </w:r>
    </w:p>
    <w:p w:rsidR="00B72047" w:rsidRDefault="00B72047">
      <w:pPr>
        <w:pStyle w:val="examplescaled"/>
      </w:pPr>
      <w:r>
        <w:tab/>
        <w:t>John sees the tree.  [repeat last] is-adorned-by the of-[repeat last] branch</w:t>
      </w:r>
    </w:p>
    <w:p w:rsidR="00B72047" w:rsidRDefault="00B72047">
      <w:pPr>
        <w:pStyle w:val="examplescaled"/>
      </w:pPr>
      <w:r>
        <w:tab/>
        <w:t>John sees the tree.  It is adorned by its branches.</w:t>
      </w:r>
    </w:p>
    <w:p w:rsidR="00B72047" w:rsidRDefault="00B72047">
      <w:pPr>
        <w:pStyle w:val="resumedafterexample"/>
      </w:pPr>
      <w:r>
        <w:rPr>
          <w:rStyle w:val="htmlcodes"/>
        </w:rPr>
        <w:t>&lt;/pre&gt;&lt;p&gt;</w:t>
      </w:r>
      <w:r>
        <w:t>Here the second “ri” has as antecedent the first “ri”, which has as</w:t>
      </w:r>
      <w:r>
        <w:rPr>
          <w:rStyle w:val="deletedparamark"/>
        </w:rPr>
        <w:t xml:space="preserve"> </w:t>
      </w:r>
      <w:r>
        <w:t>antecedent “le tricu”. All three refer to the same thing: a tree.</w:t>
      </w:r>
    </w:p>
    <w:p w:rsidR="00B72047" w:rsidRDefault="00B72047">
      <w:pPr>
        <w:rPr>
          <w:rStyle w:val="htmlparacode"/>
        </w:rPr>
      </w:pPr>
      <w:r>
        <w:rPr>
          <w:rStyle w:val="htmlparacode"/>
        </w:rPr>
        <w:t>&lt;p&gt;</w:t>
      </w:r>
    </w:p>
    <w:p w:rsidR="00B72047" w:rsidRDefault="00B72047">
      <w:pPr>
        <w:pStyle w:val="normalparagraph"/>
      </w:pPr>
      <w:r>
        <w:rPr>
          <w:rStyle w:val="indexentry"/>
        </w:rPr>
        <w:t>&lt;cx "ri, subscripting for referring further back"&gt;</w:t>
      </w:r>
      <w:r>
        <w:rPr>
          <w:rStyle w:val="indexentry"/>
        </w:rPr>
        <w:fldChar w:fldCharType="begin"/>
      </w:r>
      <w:r>
        <w:instrText>xe "</w:instrText>
      </w:r>
      <w:r>
        <w:rPr>
          <w:rStyle w:val="xeentry"/>
        </w:rPr>
        <w:instrText>ri: subscripting for referring further back</w:instrText>
      </w:r>
      <w:r>
        <w:instrText>"</w:instrText>
      </w:r>
      <w:r>
        <w:rPr>
          <w:rStyle w:val="indexentry"/>
        </w:rPr>
        <w:fldChar w:fldCharType="end"/>
      </w:r>
      <w:r>
        <w:rPr>
          <w:rStyle w:val="indexentry"/>
        </w:rPr>
        <w:t>&lt;cx "subscripts, on ri"&gt;</w:t>
      </w:r>
      <w:r>
        <w:rPr>
          <w:rStyle w:val="indexentry"/>
        </w:rPr>
        <w:fldChar w:fldCharType="begin"/>
      </w:r>
      <w:r>
        <w:instrText>xe "</w:instrText>
      </w:r>
      <w:r>
        <w:rPr>
          <w:rStyle w:val="xeentry"/>
        </w:rPr>
        <w:instrText>subscripts: on ri</w:instrText>
      </w:r>
      <w:r>
        <w:instrText>"</w:instrText>
      </w:r>
      <w:r>
        <w:rPr>
          <w:rStyle w:val="indexentry"/>
        </w:rPr>
        <w:fldChar w:fldCharType="end"/>
      </w:r>
      <w:r>
        <w:t>To refer to the next-to-last sumti, the third-from-last sumti, and so</w:t>
      </w:r>
      <w:r>
        <w:rPr>
          <w:rStyle w:val="deletedparamark"/>
        </w:rPr>
        <w:t xml:space="preserve"> </w:t>
      </w:r>
      <w:r>
        <w:t xml:space="preserve">on, “ri” may be subscripted (subscripts are explained 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lo smuci .i lo forca .i la rik. pilno rixire</w:t>
      </w:r>
    </w:p>
    <w:p w:rsidR="00B72047" w:rsidRDefault="00B72047">
      <w:pPr>
        <w:pStyle w:val="examplescaled"/>
      </w:pPr>
      <w:r>
        <w:tab/>
      </w:r>
      <w:r>
        <w:tab/>
        <w:t>.i la .alis. pilno riximu</w:t>
      </w:r>
    </w:p>
    <w:p w:rsidR="00B72047" w:rsidRDefault="00B72047">
      <w:pPr>
        <w:pStyle w:val="examplescaled"/>
      </w:pPr>
      <w:r>
        <w:tab/>
        <w:t>A spoon. A fork. Rick uses [repeat next-to-last].</w:t>
      </w:r>
    </w:p>
    <w:p w:rsidR="00B72047" w:rsidRDefault="00B72047">
      <w:pPr>
        <w:pStyle w:val="examplescaled"/>
      </w:pPr>
      <w:r>
        <w:tab/>
      </w:r>
      <w:r>
        <w:tab/>
        <w:t>Alice uses [repeat fifth-from-last].</w:t>
      </w:r>
    </w:p>
    <w:p w:rsidR="00B72047" w:rsidRDefault="00B72047">
      <w:pPr>
        <w:pStyle w:val="resumedafterexample"/>
      </w:pPr>
      <w:r>
        <w:rPr>
          <w:rStyle w:val="htmlcodes"/>
        </w:rPr>
        <w:t>&lt;/pre&gt;&lt;p&gt;</w:t>
      </w:r>
      <w:r>
        <w:t>Here “rixire”, or “ri-sub-2”, skips “la rik.” to reach “lo forca”. In</w:t>
      </w:r>
      <w:r>
        <w:rPr>
          <w:rStyle w:val="deletedparamark"/>
        </w:rPr>
        <w:t xml:space="preserve"> </w:t>
      </w:r>
      <w:r>
        <w:t>the same way, “riximu”, or “ri-sub-5”, skips “la .alis.”, “rixire”, “la</w:t>
      </w:r>
      <w:r>
        <w:rPr>
          <w:rStyle w:val="deletedparamark"/>
        </w:rPr>
        <w:t xml:space="preserve"> </w:t>
      </w:r>
      <w:r>
        <w:t>rik.”, and “lo forca” to reach “lo smuci”. As can clearly be seen, this</w:t>
      </w:r>
      <w:r>
        <w:rPr>
          <w:rStyle w:val="deletedparamark"/>
        </w:rPr>
        <w:t xml:space="preserve"> </w:t>
      </w:r>
      <w:r>
        <w:t>procedure is barely practicable in writing, and would break down totally</w:t>
      </w:r>
      <w:r>
        <w:rPr>
          <w:rStyle w:val="deletedparamark"/>
        </w:rPr>
        <w:t xml:space="preserve"> </w:t>
      </w:r>
      <w:r>
        <w:t>in speech.</w:t>
      </w:r>
    </w:p>
    <w:p w:rsidR="00B72047" w:rsidRDefault="00B72047">
      <w:pPr>
        <w:rPr>
          <w:rStyle w:val="htmlparacode"/>
        </w:rPr>
      </w:pPr>
      <w:r>
        <w:rPr>
          <w:rStyle w:val="htmlparacode"/>
        </w:rPr>
        <w:t>&lt;p&gt;</w:t>
      </w:r>
    </w:p>
    <w:p w:rsidR="00B72047" w:rsidRDefault="00B72047">
      <w:pPr>
        <w:pStyle w:val="normalparagraph"/>
      </w:pPr>
      <w:r>
        <w:rPr>
          <w:rStyle w:val="indexentry"/>
        </w:rPr>
        <w:t>&lt;lx "ra"&gt;</w:t>
      </w:r>
      <w:r>
        <w:rPr>
          <w:rStyle w:val="indexentry"/>
        </w:rPr>
        <w:fldChar w:fldCharType="begin"/>
      </w:r>
      <w:r>
        <w:instrText>xe "</w:instrText>
      </w:r>
      <w:r>
        <w:rPr>
          <w:rStyle w:val="xeentry"/>
        </w:rPr>
        <w:instrText>ra</w:instrText>
      </w:r>
      <w:r>
        <w:instrText>"</w:instrText>
      </w:r>
      <w:r>
        <w:rPr>
          <w:rStyle w:val="indexentry"/>
        </w:rPr>
        <w:fldChar w:fldCharType="end"/>
      </w:r>
      <w:r>
        <w:rPr>
          <w:rStyle w:val="indexentry"/>
        </w:rPr>
        <w:t>&lt;lx "ru"&gt;</w:t>
      </w:r>
      <w:r>
        <w:rPr>
          <w:rStyle w:val="indexentry"/>
        </w:rPr>
        <w:fldChar w:fldCharType="begin"/>
      </w:r>
      <w:r>
        <w:instrText>xe "</w:instrText>
      </w:r>
      <w:r>
        <w:rPr>
          <w:rStyle w:val="xeentry"/>
        </w:rPr>
        <w:instrText>ru</w:instrText>
      </w:r>
      <w:r>
        <w:instrText>"</w:instrText>
      </w:r>
      <w:r>
        <w:rPr>
          <w:rStyle w:val="indexentry"/>
        </w:rPr>
        <w:fldChar w:fldCharType="end"/>
      </w:r>
      <w:r>
        <w:rPr>
          <w:rStyle w:val="indexentry"/>
        </w:rPr>
        <w:t>&lt;cx "ra, practical referent conventions"&gt;</w:t>
      </w:r>
      <w:r>
        <w:rPr>
          <w:rStyle w:val="indexentry"/>
        </w:rPr>
        <w:fldChar w:fldCharType="begin"/>
      </w:r>
      <w:r>
        <w:instrText>xe "</w:instrText>
      </w:r>
      <w:r>
        <w:rPr>
          <w:rStyle w:val="xeentry"/>
        </w:rPr>
        <w:instrText>ra: practical referent conventions</w:instrText>
      </w:r>
      <w:r>
        <w:instrText>"</w:instrText>
      </w:r>
      <w:r>
        <w:rPr>
          <w:rStyle w:val="indexentry"/>
        </w:rPr>
        <w:fldChar w:fldCharType="end"/>
      </w:r>
      <w:r>
        <w:rPr>
          <w:rStyle w:val="indexentry"/>
        </w:rPr>
        <w:t>&lt;cx "ru, practical referent conventions"&gt;</w:t>
      </w:r>
      <w:r>
        <w:rPr>
          <w:rStyle w:val="indexentry"/>
        </w:rPr>
        <w:fldChar w:fldCharType="begin"/>
      </w:r>
      <w:r>
        <w:instrText>xe "</w:instrText>
      </w:r>
      <w:r>
        <w:rPr>
          <w:rStyle w:val="xeentry"/>
        </w:rPr>
        <w:instrText>ru: practical referent conventions</w:instrText>
      </w:r>
      <w:r>
        <w:instrText>"</w:instrText>
      </w:r>
      <w:r>
        <w:rPr>
          <w:rStyle w:val="indexentry"/>
        </w:rPr>
        <w:fldChar w:fldCharType="end"/>
      </w:r>
      <w:r>
        <w:t>Therefore, the vaguer “ra” and “ru” are also provided. The cmavo “ra”</w:t>
      </w:r>
      <w:r>
        <w:rPr>
          <w:rStyle w:val="deletedparamark"/>
        </w:rPr>
        <w:t xml:space="preserve"> </w:t>
      </w:r>
      <w:r>
        <w:t>repeats a r</w:t>
      </w:r>
      <w:r>
        <w:t>e</w:t>
      </w:r>
      <w:r>
        <w:softHyphen/>
        <w:t>cently used sumti, and “ru” one that was fur</w:t>
      </w:r>
      <w:r>
        <w:softHyphen/>
        <w:t>ther back in</w:t>
      </w:r>
      <w:r>
        <w:rPr>
          <w:rStyle w:val="deletedparamark"/>
        </w:rPr>
        <w:t xml:space="preserve"> </w:t>
      </w:r>
      <w:r>
        <w:t>the speech or text. The use of “ra” and “ru” forces the listener to guess</w:t>
      </w:r>
      <w:r>
        <w:rPr>
          <w:rStyle w:val="deletedparamark"/>
        </w:rPr>
        <w:t xml:space="preserve"> </w:t>
      </w:r>
      <w:r>
        <w:t>at the referent, but makes life easier for the speaker. Can “ra” refer to</w:t>
      </w:r>
      <w:r>
        <w:rPr>
          <w:rStyle w:val="deletedparamark"/>
        </w:rPr>
        <w:t xml:space="preserve"> </w:t>
      </w:r>
      <w:r>
        <w:t>the last sumti, like “ri”? The answer is no if “ri” has also been used.</w:t>
      </w:r>
      <w:r>
        <w:rPr>
          <w:rStyle w:val="deletedparamark"/>
        </w:rPr>
        <w:t xml:space="preserve"> </w:t>
      </w:r>
      <w:r>
        <w:t>If “ri” has not been used, then “ra” might be the last sumti. Likewise,</w:t>
      </w:r>
      <w:r>
        <w:rPr>
          <w:rStyle w:val="deletedparamark"/>
        </w:rPr>
        <w:t xml:space="preserve"> </w:t>
      </w:r>
      <w:r>
        <w:t>if “ra” has been used, then any use of “ru” would re</w:t>
      </w:r>
      <w:r>
        <w:softHyphen/>
        <w:t>peat a sumti earlier</w:t>
      </w:r>
      <w:r>
        <w:rPr>
          <w:rStyle w:val="deletedparamark"/>
        </w:rPr>
        <w:t xml:space="preserve"> </w:t>
      </w:r>
      <w:r>
        <w:t>than the one “ra” is repea</w:t>
      </w:r>
      <w:r>
        <w:t>t</w:t>
      </w:r>
      <w:r>
        <w:softHyphen/>
        <w:t>ing. A more reasonable version of Example</w:t>
      </w:r>
      <w:r>
        <w:rPr>
          <w:rStyle w:val="deletedparamark"/>
        </w:rPr>
        <w:t xml:space="preserve"> </w:t>
      </w:r>
      <w:r>
        <w:t>6.5, but one that depends more on context, is: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name=e6d6&gt;</w:t>
      </w:r>
      <w:r>
        <w:t>6.6)</w:t>
      </w:r>
      <w:r>
        <w:tab/>
        <w:t>lo smuci .i lo forca .i la rik. pilno ra</w:t>
      </w:r>
    </w:p>
    <w:p w:rsidR="00B72047" w:rsidRDefault="00B72047">
      <w:pPr>
        <w:pStyle w:val="examplescaled"/>
      </w:pPr>
      <w:r>
        <w:tab/>
      </w:r>
      <w:r>
        <w:tab/>
        <w:t>.i la .alis. pilno ru</w:t>
      </w:r>
    </w:p>
    <w:p w:rsidR="00B72047" w:rsidRDefault="00B72047">
      <w:pPr>
        <w:pStyle w:val="examplescaled"/>
      </w:pPr>
      <w:r>
        <w:tab/>
        <w:t>A spoon. A fork. Rick uses [some previous thing].</w:t>
      </w:r>
    </w:p>
    <w:p w:rsidR="00B72047" w:rsidRDefault="00B72047">
      <w:pPr>
        <w:pStyle w:val="examplescaled"/>
      </w:pPr>
      <w:r>
        <w:tab/>
      </w:r>
      <w:r>
        <w:tab/>
        <w:t>Alice uses [some more remote thing].</w:t>
      </w:r>
    </w:p>
    <w:p w:rsidR="00B72047" w:rsidRDefault="00B72047">
      <w:pPr>
        <w:pStyle w:val="resumedafterexample"/>
      </w:pPr>
      <w:r>
        <w:rPr>
          <w:rStyle w:val="htmlcodes"/>
        </w:rPr>
        <w:t>&lt;/pre&gt;&lt;p&gt;</w:t>
      </w:r>
      <w:r>
        <w:t xml:space="preserve">In </w:t>
      </w:r>
      <w:r>
        <w:rPr>
          <w:rStyle w:val="htmlcodes"/>
        </w:rPr>
        <w:t>&lt;a href=#e6d6&gt;</w:t>
      </w:r>
      <w:r>
        <w:t>Example 6.6</w:t>
      </w:r>
      <w:r>
        <w:rPr>
          <w:rStyle w:val="htmlcodes"/>
        </w:rPr>
        <w:t>&lt;/a&gt;</w:t>
      </w:r>
      <w:r>
        <w:t>, the use of “ra” tells us that something other than</w:t>
      </w:r>
      <w:r>
        <w:rPr>
          <w:rStyle w:val="deletedparamark"/>
        </w:rPr>
        <w:t xml:space="preserve"> “</w:t>
      </w:r>
      <w:r>
        <w:t>la rik.” is the antece</w:t>
      </w:r>
      <w:r>
        <w:softHyphen/>
        <w:t>dent; “lo forca” is the nearest sumti, so it</w:t>
      </w:r>
      <w:r>
        <w:rPr>
          <w:rStyle w:val="deletedparamark"/>
        </w:rPr>
        <w:t xml:space="preserve"> </w:t>
      </w:r>
      <w:r>
        <w:t>is probably the antecedent. Similarly, the an</w:t>
      </w:r>
      <w:r>
        <w:softHyphen/>
        <w:t>tecedent of “ru” must be</w:t>
      </w:r>
      <w:r>
        <w:rPr>
          <w:rStyle w:val="deletedparamark"/>
        </w:rPr>
        <w:t xml:space="preserve"> </w:t>
      </w:r>
      <w:r>
        <w:t>something even further back in the utterance than “lo forca”, and</w:t>
      </w:r>
      <w:r>
        <w:rPr>
          <w:rStyle w:val="deletedparamark"/>
        </w:rPr>
        <w:t xml:space="preserve"> “</w:t>
      </w:r>
      <w:r>
        <w:t>lo smuci” is the obvious candidate.</w:t>
      </w:r>
    </w:p>
    <w:p w:rsidR="00B72047" w:rsidRDefault="00B72047">
      <w:pPr>
        <w:rPr>
          <w:rStyle w:val="htmlparacode"/>
        </w:rPr>
      </w:pPr>
      <w:r>
        <w:rPr>
          <w:rStyle w:val="htmlparacode"/>
        </w:rPr>
        <w:t>&lt;p&gt;</w:t>
      </w:r>
    </w:p>
    <w:p w:rsidR="00B72047" w:rsidRDefault="00B72047">
      <w:pPr>
        <w:pStyle w:val="normalparagraph"/>
      </w:pPr>
      <w:r>
        <w:rPr>
          <w:rStyle w:val="indexentry"/>
        </w:rPr>
        <w:t>&lt;cx "ri-series pro-sumti, assigning for permanent reference"&gt;</w:t>
      </w:r>
      <w:r>
        <w:rPr>
          <w:rStyle w:val="indexentry"/>
        </w:rPr>
        <w:fldChar w:fldCharType="begin"/>
      </w:r>
      <w:r>
        <w:instrText>xe "</w:instrText>
      </w:r>
      <w:r>
        <w:rPr>
          <w:rStyle w:val="xeentry"/>
        </w:rPr>
        <w:instrText>ri-series pro-sumti: assigning for permanent reference</w:instrText>
      </w:r>
      <w:r>
        <w:instrText>"</w:instrText>
      </w:r>
      <w:r>
        <w:rPr>
          <w:rStyle w:val="indexentry"/>
        </w:rPr>
        <w:fldChar w:fldCharType="end"/>
      </w: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t>The meaning of “ri” must be determined every time it is used. Since “ra”</w:t>
      </w:r>
      <w:r>
        <w:rPr>
          <w:rStyle w:val="deletedparamark"/>
        </w:rPr>
        <w:t xml:space="preserve"> </w:t>
      </w:r>
      <w:r>
        <w:t>and “ru” are more vaguely defined, they may well retain the same meaning</w:t>
      </w:r>
      <w:r>
        <w:rPr>
          <w:rStyle w:val="deletedparamark"/>
        </w:rPr>
        <w:t xml:space="preserve"> </w:t>
      </w:r>
      <w:r>
        <w:t>for a while, but the listener cannot count on this be</w:t>
      </w:r>
      <w:r>
        <w:softHyphen/>
        <w:t>havior. To make a</w:t>
      </w:r>
      <w:r>
        <w:rPr>
          <w:rStyle w:val="deletedparamark"/>
        </w:rPr>
        <w:t xml:space="preserve"> </w:t>
      </w:r>
      <w:r>
        <w:t>permanent reference to something r</w:t>
      </w:r>
      <w:r>
        <w:t>e</w:t>
      </w:r>
      <w:r>
        <w:softHyphen/>
        <w:t>peated by “ri”, “ra”, or “ru”, use “goi”</w:t>
      </w:r>
      <w:r>
        <w:rPr>
          <w:rStyle w:val="deletedparamark"/>
        </w:rPr>
        <w:t xml:space="preserve"> </w:t>
      </w:r>
      <w:r>
        <w:t>and a ko'a-series cmavo: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name=e6d7&gt;</w:t>
      </w:r>
      <w:r>
        <w:t>6.7)</w:t>
      </w:r>
      <w:r>
        <w:tab/>
        <w:t>la .alis. klama le zarci  .i ri goi ko'a blanu</w:t>
      </w:r>
    </w:p>
    <w:p w:rsidR="00B72047" w:rsidRDefault="00B72047">
      <w:pPr>
        <w:pStyle w:val="examplescaled"/>
      </w:pPr>
      <w:r>
        <w:tab/>
        <w:t>Alice goes-to the store.  It-last-mentioned also-known-as it-1 is-blue.</w:t>
      </w:r>
    </w:p>
    <w:p w:rsidR="00B72047" w:rsidRDefault="00B72047">
      <w:pPr>
        <w:pStyle w:val="resumedafterexample"/>
      </w:pPr>
      <w:r>
        <w:rPr>
          <w:rStyle w:val="htmlcodes"/>
        </w:rPr>
        <w:t>&lt;/pre&gt;</w:t>
      </w:r>
      <w:r>
        <w:t>allows the store to be referred to henceforth as “ko'a” without ambi</w:t>
      </w:r>
      <w:r>
        <w:softHyphen/>
        <w:t>guity.</w:t>
      </w:r>
      <w:r>
        <w:rPr>
          <w:rStyle w:val="deletedparamark"/>
        </w:rPr>
        <w:t xml:space="preserve"> </w:t>
      </w:r>
      <w:r>
        <w:rPr>
          <w:rStyle w:val="htmlcodes"/>
        </w:rPr>
        <w:t>&lt;a href=#e6d7&gt;</w:t>
      </w:r>
      <w:r>
        <w:t xml:space="preserve">Example 6.7 </w:t>
      </w:r>
      <w:r>
        <w:rPr>
          <w:rStyle w:val="htmlcodes"/>
        </w:rPr>
        <w:t>&lt;/a&gt;</w:t>
      </w:r>
      <w:r>
        <w:t xml:space="preserve">is equivalent to </w:t>
      </w:r>
      <w:r>
        <w:rPr>
          <w:rStyle w:val="htmlcodes"/>
        </w:rPr>
        <w:t>&lt;a href=#e5d1&gt;</w:t>
      </w:r>
      <w:r>
        <w:t xml:space="preserve">Example 5.1 </w:t>
      </w:r>
      <w:r>
        <w:rPr>
          <w:rStyle w:val="htmlcodes"/>
        </w:rPr>
        <w:t>&lt;/a&gt;</w:t>
      </w:r>
      <w:r>
        <w:t>and eliminates any</w:t>
      </w:r>
      <w:r>
        <w:rPr>
          <w:rStyle w:val="deletedparamark"/>
        </w:rPr>
        <w:t xml:space="preserve"> </w:t>
      </w:r>
      <w:r>
        <w:t>possibility of “ko'a” being interpreted by the listener as referring to</w:t>
      </w:r>
      <w:r>
        <w:rPr>
          <w:rStyle w:val="deletedparamark"/>
        </w:rPr>
        <w:t xml:space="preserve"> </w:t>
      </w:r>
      <w:r>
        <w:t>Alice.</w:t>
      </w:r>
    </w:p>
    <w:p w:rsidR="00B72047" w:rsidRDefault="00B72047">
      <w:pPr>
        <w:rPr>
          <w:rStyle w:val="htmlparacode"/>
        </w:rPr>
      </w:pPr>
      <w:r>
        <w:rPr>
          <w:rStyle w:val="htmlparacode"/>
        </w:rPr>
        <w:t>&lt;p&gt;</w:t>
      </w:r>
    </w:p>
    <w:p w:rsidR="00B72047" w:rsidRDefault="00B72047">
      <w:pPr>
        <w:pStyle w:val="normalparagraph"/>
      </w:pP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rPr>
          <w:rStyle w:val="indexentry"/>
        </w:rPr>
        <w:t>&lt;lx "go'a"&gt;</w:t>
      </w:r>
      <w:r>
        <w:rPr>
          <w:rStyle w:val="indexentry"/>
        </w:rPr>
        <w:fldChar w:fldCharType="begin"/>
      </w:r>
      <w:r>
        <w:instrText>xe "</w:instrText>
      </w:r>
      <w:r>
        <w:rPr>
          <w:rStyle w:val="xeentry"/>
        </w:rPr>
        <w:instrText>go'a</w:instrText>
      </w:r>
      <w:r>
        <w:instrText>"</w:instrText>
      </w:r>
      <w:r>
        <w:rPr>
          <w:rStyle w:val="indexentry"/>
        </w:rPr>
        <w:fldChar w:fldCharType="end"/>
      </w:r>
      <w:r>
        <w:rPr>
          <w:rStyle w:val="indexentry"/>
        </w:rPr>
        <w:t>&lt;lx "go'u"&gt;</w:t>
      </w:r>
      <w:r>
        <w:rPr>
          <w:rStyle w:val="indexentry"/>
        </w:rPr>
        <w:fldChar w:fldCharType="begin"/>
      </w:r>
      <w:r>
        <w:instrText>xe "</w:instrText>
      </w:r>
      <w:r>
        <w:rPr>
          <w:rStyle w:val="xeentry"/>
        </w:rPr>
        <w:instrText>go'u</w:instrText>
      </w:r>
      <w:r>
        <w:instrText>"</w:instrText>
      </w:r>
      <w:r>
        <w:rPr>
          <w:rStyle w:val="indexentry"/>
        </w:rPr>
        <w:fldChar w:fldCharType="end"/>
      </w:r>
      <w:r>
        <w:rPr>
          <w:rStyle w:val="indexentry"/>
        </w:rPr>
        <w:t>&lt;cx "go'i-series pro-bridi, compared with ri-series pro-sumti in rules of reference"&gt;</w:t>
      </w:r>
      <w:r>
        <w:rPr>
          <w:rStyle w:val="indexentry"/>
        </w:rPr>
        <w:fldChar w:fldCharType="begin"/>
      </w:r>
      <w:r>
        <w:instrText>xe "</w:instrText>
      </w:r>
      <w:r>
        <w:rPr>
          <w:rStyle w:val="xeentry"/>
        </w:rPr>
        <w:instrText>go'i-series pro-bridi: compared with ri-series pro-sumti in rules of reference</w:instrText>
      </w:r>
      <w:r>
        <w:instrText>"</w:instrText>
      </w:r>
      <w:r>
        <w:rPr>
          <w:rStyle w:val="indexentry"/>
        </w:rPr>
        <w:fldChar w:fldCharType="end"/>
      </w:r>
      <w:r>
        <w:rPr>
          <w:rStyle w:val="indexentry"/>
        </w:rPr>
        <w:t>&lt;cx "go'i-series pro-bridi, referent of"&gt;</w:t>
      </w:r>
      <w:r>
        <w:rPr>
          <w:rStyle w:val="indexentry"/>
        </w:rPr>
        <w:fldChar w:fldCharType="begin"/>
      </w:r>
      <w:r>
        <w:instrText>xe "</w:instrText>
      </w:r>
      <w:r>
        <w:rPr>
          <w:rStyle w:val="xeentry"/>
        </w:rPr>
        <w:instrText>go'i-series pro-bridi: referent of</w:instrText>
      </w:r>
      <w:r>
        <w:instrText>"</w:instrText>
      </w:r>
      <w:r>
        <w:rPr>
          <w:rStyle w:val="indexentry"/>
        </w:rPr>
        <w:fldChar w:fldCharType="end"/>
      </w:r>
      <w:r>
        <w:rPr>
          <w:rStyle w:val="indexentry"/>
        </w:rPr>
        <w:t>&lt;cx "go'i-series pro-bridi, effect of sub-clauses on"&gt;</w:t>
      </w:r>
      <w:r>
        <w:rPr>
          <w:rStyle w:val="indexentry"/>
        </w:rPr>
        <w:fldChar w:fldCharType="begin"/>
      </w:r>
      <w:r>
        <w:instrText>xe "</w:instrText>
      </w:r>
      <w:r>
        <w:rPr>
          <w:rStyle w:val="xeentry"/>
        </w:rPr>
        <w:instrText>go'i-series pro-bridi: effect of sub-clauses on</w:instrText>
      </w:r>
      <w:r>
        <w:instrText>"</w:instrText>
      </w:r>
      <w:r>
        <w:rPr>
          <w:rStyle w:val="indexentry"/>
        </w:rPr>
        <w:fldChar w:fldCharType="end"/>
      </w:r>
      <w:r>
        <w:rPr>
          <w:rStyle w:val="indexentry"/>
        </w:rPr>
        <w:t>&lt;cx "go'i-series pro-bridi, as main-bridi anaphora only"&gt;</w:t>
      </w:r>
      <w:r>
        <w:rPr>
          <w:rStyle w:val="indexentry"/>
        </w:rPr>
        <w:fldChar w:fldCharType="begin"/>
      </w:r>
      <w:r>
        <w:instrText>xe "</w:instrText>
      </w:r>
      <w:r>
        <w:rPr>
          <w:rStyle w:val="xeentry"/>
        </w:rPr>
        <w:instrText>go'i-series pro-bridi: as main-bridi anaphora only</w:instrText>
      </w:r>
      <w:r>
        <w:instrText>"</w:instrText>
      </w:r>
      <w:r>
        <w:rPr>
          <w:rStyle w:val="indexentry"/>
        </w:rPr>
        <w:fldChar w:fldCharType="end"/>
      </w:r>
      <w:r>
        <w:rPr>
          <w:rStyle w:val="indexentry"/>
        </w:rPr>
        <w:t>&lt;cx "go'i-series pro-bridi, effect of sumti of referent bridi on"&gt;</w:t>
      </w:r>
      <w:r>
        <w:rPr>
          <w:rStyle w:val="indexentry"/>
        </w:rPr>
        <w:fldChar w:fldCharType="begin"/>
      </w:r>
      <w:r>
        <w:instrText>xe "</w:instrText>
      </w:r>
      <w:r>
        <w:rPr>
          <w:rStyle w:val="xeentry"/>
        </w:rPr>
        <w:instrText>go'i-series pro-bridi: effect of sumti of referent bridi on</w:instrText>
      </w:r>
      <w:r>
        <w:instrText>"</w:instrText>
      </w:r>
      <w:r>
        <w:rPr>
          <w:rStyle w:val="indexentry"/>
        </w:rPr>
        <w:fldChar w:fldCharType="end"/>
      </w:r>
      <w:r>
        <w:rPr>
          <w:rStyle w:val="indexentry"/>
        </w:rPr>
        <w:t>&lt;cx "go'i, as affirmative answer to yes/no question"&gt;</w:t>
      </w:r>
      <w:r>
        <w:rPr>
          <w:rStyle w:val="indexentry"/>
        </w:rPr>
        <w:fldChar w:fldCharType="begin"/>
      </w:r>
      <w:r>
        <w:instrText>xe "</w:instrText>
      </w:r>
      <w:r>
        <w:rPr>
          <w:rStyle w:val="xeentry"/>
        </w:rPr>
        <w:instrText>go'i: as affirmative answer to yes/no question</w:instrText>
      </w:r>
      <w:r>
        <w:instrText>"</w:instrText>
      </w:r>
      <w:r>
        <w:rPr>
          <w:rStyle w:val="indexentry"/>
        </w:rPr>
        <w:fldChar w:fldCharType="end"/>
      </w:r>
      <w:r>
        <w:rPr>
          <w:rStyle w:val="indexentry"/>
        </w:rPr>
        <w:t>&lt;cx "question, answering with go'i"&gt;</w:t>
      </w:r>
      <w:r>
        <w:rPr>
          <w:rStyle w:val="indexentry"/>
        </w:rPr>
        <w:fldChar w:fldCharType="begin"/>
      </w:r>
      <w:r>
        <w:instrText>xe "</w:instrText>
      </w:r>
      <w:r>
        <w:rPr>
          <w:rStyle w:val="xeentry"/>
        </w:rPr>
        <w:instrText>questions: answering with go'i</w:instrText>
      </w:r>
      <w:r>
        <w:instrText>"</w:instrText>
      </w:r>
      <w:r>
        <w:rPr>
          <w:rStyle w:val="indexentry"/>
        </w:rPr>
        <w:fldChar w:fldCharType="end"/>
      </w:r>
      <w:r>
        <w:rPr>
          <w:rStyle w:val="indexentry"/>
        </w:rPr>
        <w:t>&lt;cx "answer, go'i for yes/no questions"&gt;</w:t>
      </w:r>
      <w:r>
        <w:rPr>
          <w:rStyle w:val="indexentry"/>
        </w:rPr>
        <w:fldChar w:fldCharType="begin"/>
      </w:r>
      <w:r>
        <w:instrText>xe "</w:instrText>
      </w:r>
      <w:r>
        <w:rPr>
          <w:rStyle w:val="xeentry"/>
        </w:rPr>
        <w:instrText>answers: go'i for yes/no questions</w:instrText>
      </w:r>
      <w:r>
        <w:instrText>"</w:instrText>
      </w:r>
      <w:r>
        <w:rPr>
          <w:rStyle w:val="indexentry"/>
        </w:rPr>
        <w:fldChar w:fldCharType="end"/>
      </w:r>
      <w:r>
        <w:t>The cmavo “go'i”, “go'a”, and “go'u” follow exactly the same rules as</w:t>
      </w:r>
      <w:r>
        <w:rPr>
          <w:rStyle w:val="deletedparamark"/>
        </w:rPr>
        <w:t xml:space="preserve"> “</w:t>
      </w:r>
      <w:r>
        <w:t>ri”, “ra”, and “ru”, except that they are pro-bridi, and there</w:t>
      </w:r>
      <w:r>
        <w:softHyphen/>
        <w:t>fore repeat</w:t>
      </w:r>
      <w:r>
        <w:rPr>
          <w:rStyle w:val="deletedparamark"/>
        </w:rPr>
        <w:t xml:space="preserve"> </w:t>
      </w:r>
      <w:r>
        <w:t>bridi, not sumti — specifically, main sentence bridi. Any bridi that</w:t>
      </w:r>
      <w:r>
        <w:rPr>
          <w:rStyle w:val="deletedparamark"/>
        </w:rPr>
        <w:t xml:space="preserve"> </w:t>
      </w:r>
      <w:r>
        <w:t>are embedded within other bridi, such as relative clauses or abstractions,</w:t>
      </w:r>
      <w:r>
        <w:rPr>
          <w:rStyle w:val="deletedparamark"/>
        </w:rPr>
        <w:t xml:space="preserve"> </w:t>
      </w:r>
      <w:r>
        <w:t>are not counted. Like the cmavo of the broda-series, the cmavo of the</w:t>
      </w:r>
      <w:r>
        <w:rPr>
          <w:rStyle w:val="deletedparamark"/>
        </w:rPr>
        <w:t xml:space="preserve"> </w:t>
      </w:r>
      <w:r>
        <w:t>go'i-series copy all sumti with them. This makes “go'i” by itself</w:t>
      </w:r>
      <w:r>
        <w:rPr>
          <w:rStyle w:val="deletedparamark"/>
        </w:rPr>
        <w:t xml:space="preserve"> </w:t>
      </w:r>
      <w:r>
        <w:t>con</w:t>
      </w:r>
      <w:r>
        <w:softHyphen/>
        <w:t>venient for a</w:t>
      </w:r>
      <w:r>
        <w:t>n</w:t>
      </w:r>
      <w:r>
        <w:softHyphen/>
        <w:t>swering a question affirmatively, or for re</w:t>
      </w:r>
      <w:r>
        <w:softHyphen/>
        <w:t>peating</w:t>
      </w:r>
      <w:r>
        <w:rPr>
          <w:rStyle w:val="deletedparamark"/>
        </w:rPr>
        <w:t xml:space="preserve"> </w:t>
      </w:r>
      <w:r>
        <w:t>the last bridi, possibly with new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xu zo djan. cmene do  .i go'i</w:t>
      </w:r>
    </w:p>
    <w:p w:rsidR="00B72047" w:rsidRDefault="00B72047">
      <w:pPr>
        <w:pStyle w:val="examplescaled"/>
      </w:pPr>
      <w:r>
        <w:tab/>
        <w:t>[True-false?] The-word “John” is-the-name of you?  [repeat last bridi].</w:t>
      </w:r>
    </w:p>
    <w:p w:rsidR="00B72047" w:rsidRDefault="00B72047">
      <w:pPr>
        <w:pStyle w:val="examplescaled"/>
      </w:pPr>
      <w:r>
        <w:tab/>
        <w:t>Is John your name? Yes.</w:t>
      </w:r>
    </w:p>
    <w:p w:rsidR="00B72047" w:rsidRDefault="00B72047">
      <w:pPr>
        <w:pStyle w:val="examplescaledpre"/>
      </w:pPr>
      <w:r>
        <w:rPr>
          <w:rStyle w:val="htmlcodes"/>
        </w:rPr>
        <w:t>&lt;a name=e6d9&gt;</w:t>
      </w:r>
      <w:r>
        <w:t>6.9)</w:t>
      </w:r>
      <w:r>
        <w:tab/>
        <w:t>mi klama le zarci .i do go'i</w:t>
      </w:r>
    </w:p>
    <w:p w:rsidR="00B72047" w:rsidRDefault="00B72047">
      <w:pPr>
        <w:pStyle w:val="examplescaled"/>
      </w:pPr>
      <w:r>
        <w:tab/>
        <w:t>I go-to the store. You [repeat last bridi].</w:t>
      </w:r>
    </w:p>
    <w:p w:rsidR="00B72047" w:rsidRDefault="00B72047">
      <w:pPr>
        <w:pStyle w:val="examplescaled"/>
      </w:pPr>
      <w:r>
        <w:tab/>
        <w:t>I go to the store. You, too.</w:t>
      </w:r>
    </w:p>
    <w:p w:rsidR="00B72047" w:rsidRDefault="00B72047">
      <w:pPr>
        <w:pStyle w:val="resumedafterexample"/>
      </w:pPr>
      <w:r>
        <w:rPr>
          <w:rStyle w:val="htmlcodes"/>
        </w:rPr>
        <w:t>&lt;/pre&gt;</w:t>
      </w:r>
      <w:r>
        <w:rPr>
          <w:rStyle w:val="indexentry"/>
        </w:rPr>
        <w:t>&lt;cx "go'i-series pro-sumti, assigning for permanent reference"&gt;</w:t>
      </w:r>
      <w:r>
        <w:rPr>
          <w:rStyle w:val="indexentry"/>
        </w:rPr>
        <w:fldChar w:fldCharType="begin"/>
      </w:r>
      <w:r>
        <w:instrText>xe "</w:instrText>
      </w:r>
      <w:r>
        <w:rPr>
          <w:rStyle w:val="xeentry"/>
        </w:rPr>
        <w:instrText>go’i-series pro-bridi : assigning for permanent reference</w:instrText>
      </w:r>
      <w:r>
        <w:instrText>"</w:instrText>
      </w:r>
      <w:r>
        <w:rPr>
          <w:rStyle w:val="indexentry"/>
        </w:rPr>
        <w:fldChar w:fldCharType="end"/>
      </w:r>
      <w:r>
        <w:rPr>
          <w:rStyle w:val="indexentry"/>
        </w:rPr>
        <w:t>&lt;lx "cei"&gt;</w:t>
      </w:r>
      <w:r>
        <w:rPr>
          <w:rStyle w:val="indexentry"/>
        </w:rPr>
        <w:fldChar w:fldCharType="begin"/>
      </w:r>
      <w:r>
        <w:instrText>xe "</w:instrText>
      </w:r>
      <w:r>
        <w:rPr>
          <w:rStyle w:val="xeentry"/>
        </w:rPr>
        <w:instrText>cei</w:instrText>
      </w:r>
      <w:r>
        <w:instrText>"</w:instrText>
      </w:r>
      <w:r>
        <w:rPr>
          <w:rStyle w:val="indexentry"/>
        </w:rPr>
        <w:fldChar w:fldCharType="end"/>
      </w:r>
      <w:r>
        <w:t xml:space="preserve">Note that </w:t>
      </w:r>
      <w:r>
        <w:rPr>
          <w:rStyle w:val="htmlcodes"/>
        </w:rPr>
        <w:t>&lt;a href=#e6d9&gt;</w:t>
      </w:r>
      <w:r>
        <w:t xml:space="preserve">Example 6.9 </w:t>
      </w:r>
      <w:r>
        <w:rPr>
          <w:rStyle w:val="htmlcodes"/>
        </w:rPr>
        <w:t>&lt;/a&gt;</w:t>
      </w:r>
      <w:r>
        <w:t xml:space="preserve">means the same as </w:t>
      </w:r>
      <w:r>
        <w:rPr>
          <w:rStyle w:val="htmlcodes"/>
        </w:rPr>
        <w:t>&lt;a href=#e5d6&gt;</w:t>
      </w:r>
      <w:r>
        <w:t>Example 5.6</w:t>
      </w:r>
      <w:r>
        <w:rPr>
          <w:rStyle w:val="htmlcodes"/>
        </w:rPr>
        <w:t>&lt;/a&gt;</w:t>
      </w:r>
      <w:r>
        <w:t>, but without the bother</w:t>
      </w:r>
      <w:r>
        <w:rPr>
          <w:rStyle w:val="deletedparamark"/>
        </w:rPr>
        <w:t xml:space="preserve"> </w:t>
      </w:r>
      <w:r>
        <w:t>of as</w:t>
      </w:r>
      <w:r>
        <w:softHyphen/>
        <w:t>sign</w:t>
      </w:r>
      <w:r>
        <w:softHyphen/>
        <w:t>ing an actual broda-series word to the first bridi. For long-term</w:t>
      </w:r>
      <w:r>
        <w:rPr>
          <w:rStyle w:val="deletedparamark"/>
        </w:rPr>
        <w:t xml:space="preserve"> </w:t>
      </w:r>
      <w:r>
        <w:t>reference, use “go'i cei broda” or the like, analogously to “ri goi ko'a”</w:t>
      </w:r>
      <w:r>
        <w:rPr>
          <w:rStyle w:val="deletedparamark"/>
        </w:rPr>
        <w:t xml:space="preserve"> </w:t>
      </w:r>
      <w:r>
        <w:t xml:space="preserve">in </w:t>
      </w:r>
      <w:r>
        <w:rPr>
          <w:rStyle w:val="htmlcodes"/>
        </w:rPr>
        <w:t>&lt;a href=#e6d7&gt;</w:t>
      </w:r>
      <w:r>
        <w:t>Example 6.7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"go'ixire"&gt;</w:t>
      </w:r>
      <w:r>
        <w:rPr>
          <w:rStyle w:val="indexentry"/>
        </w:rPr>
        <w:fldChar w:fldCharType="begin"/>
      </w:r>
      <w:r>
        <w:instrText>xe "</w:instrText>
      </w:r>
      <w:r>
        <w:rPr>
          <w:rStyle w:val="xeentry"/>
        </w:rPr>
        <w:instrText>go'ixire</w:instrText>
      </w:r>
      <w:r>
        <w:instrText>"</w:instrText>
      </w:r>
      <w:r>
        <w:rPr>
          <w:rStyle w:val="indexentry"/>
        </w:rPr>
        <w:fldChar w:fldCharType="end"/>
      </w:r>
      <w:r>
        <w:rPr>
          <w:rStyle w:val="indexentry"/>
        </w:rPr>
        <w:t>&lt;lx "go'e"&gt;</w:t>
      </w:r>
      <w:r>
        <w:rPr>
          <w:rStyle w:val="indexentry"/>
        </w:rPr>
        <w:fldChar w:fldCharType="begin"/>
      </w:r>
      <w:r>
        <w:instrText>xe "</w:instrText>
      </w:r>
      <w:r>
        <w:rPr>
          <w:rStyle w:val="xeentry"/>
        </w:rPr>
        <w:instrText>go'e</w:instrText>
      </w:r>
      <w:r>
        <w:instrText>"</w:instrText>
      </w:r>
      <w:r>
        <w:rPr>
          <w:rStyle w:val="indexentry"/>
        </w:rPr>
        <w:fldChar w:fldCharType="end"/>
      </w:r>
      <w:r>
        <w:t>The remaining four cmavo of the go'i-series are provided for convenience</w:t>
      </w:r>
      <w:r>
        <w:rPr>
          <w:rStyle w:val="deletedparamark"/>
        </w:rPr>
        <w:t xml:space="preserve"> </w:t>
      </w:r>
      <w:r>
        <w:t>or for achieving special effects. The cmavo “go'e” means the same as</w:t>
      </w:r>
      <w:r>
        <w:rPr>
          <w:rStyle w:val="deletedparamark"/>
        </w:rPr>
        <w:t xml:space="preserve"> “</w:t>
      </w:r>
      <w:r>
        <w:t>go'ixire”: it repeats the last bridi but one. This is useful in</w:t>
      </w:r>
      <w:r>
        <w:rPr>
          <w:rStyle w:val="deletedparamark"/>
        </w:rPr>
        <w:t xml:space="preserve"> </w:t>
      </w:r>
      <w:r>
        <w:t>conversation: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name=e6d10&gt;</w:t>
      </w:r>
      <w:r>
        <w:t>6.10)</w:t>
      </w:r>
      <w:r>
        <w:tab/>
        <w:t>A:  mi ba klama le zarci</w:t>
      </w:r>
    </w:p>
    <w:p w:rsidR="00B72047" w:rsidRDefault="00B72047">
      <w:pPr>
        <w:pStyle w:val="examplescaled"/>
      </w:pPr>
      <w:r>
        <w:tab/>
        <w:t>B:  mi nelci le si'o mi go'i</w:t>
      </w:r>
    </w:p>
    <w:p w:rsidR="00B72047" w:rsidRDefault="00B72047">
      <w:pPr>
        <w:pStyle w:val="examplescaled"/>
      </w:pPr>
      <w:r>
        <w:tab/>
        <w:t>A:  do go'e</w:t>
      </w:r>
    </w:p>
    <w:p w:rsidR="00B72047" w:rsidRDefault="00B72047">
      <w:pPr>
        <w:pStyle w:val="examplescaledpre"/>
      </w:pPr>
      <w:r>
        <w:tab/>
        <w:t>A:  I [future] go-to the store.</w:t>
      </w:r>
    </w:p>
    <w:p w:rsidR="00B72047" w:rsidRDefault="00B72047">
      <w:pPr>
        <w:pStyle w:val="examplescaled"/>
      </w:pPr>
      <w:r>
        <w:tab/>
        <w:t>B:  I like the concept-of I [repeat last bridi].</w:t>
      </w:r>
    </w:p>
    <w:p w:rsidR="00B72047" w:rsidRDefault="00B72047">
      <w:pPr>
        <w:pStyle w:val="examplescaled"/>
      </w:pPr>
      <w:r>
        <w:tab/>
        <w:t>A:  You [repeat last bridi but one].</w:t>
      </w:r>
    </w:p>
    <w:p w:rsidR="00B72047" w:rsidRDefault="00B72047">
      <w:pPr>
        <w:pStyle w:val="examplescaledpre"/>
      </w:pPr>
      <w:r>
        <w:tab/>
        <w:t>A:  I am going to the store.</w:t>
      </w:r>
    </w:p>
    <w:p w:rsidR="00B72047" w:rsidRDefault="00B72047">
      <w:pPr>
        <w:pStyle w:val="examplescaled"/>
      </w:pPr>
      <w:r>
        <w:tab/>
        <w:t>B:  I like the idea of my going.</w:t>
      </w:r>
    </w:p>
    <w:p w:rsidR="00B72047" w:rsidRDefault="00B72047">
      <w:pPr>
        <w:pStyle w:val="examplescaled"/>
      </w:pPr>
      <w:r>
        <w:tab/>
        <w:t>A:  You'll go, too.</w:t>
      </w:r>
    </w:p>
    <w:p w:rsidR="00B72047" w:rsidRDefault="00B72047">
      <w:pPr>
        <w:pStyle w:val="resumedafterexample"/>
      </w:pPr>
      <w:r>
        <w:rPr>
          <w:rStyle w:val="htmlcodes"/>
        </w:rPr>
        <w:t>&lt;/pre&gt;&lt;p&gt;</w:t>
      </w:r>
      <w:r>
        <w:t>Here B's sentence repeats A's within an abstraction (explained in Chapter</w:t>
      </w:r>
      <w:r>
        <w:rPr>
          <w:rStyle w:val="deletedparamark"/>
        </w:rPr>
        <w:t xml:space="preserve"> </w:t>
      </w:r>
      <w:r>
        <w:t>11): “le si'o mi go'i” means “le si'o mi klama le zarci”. Why must B use</w:t>
      </w:r>
      <w:r>
        <w:rPr>
          <w:rStyle w:val="deletedparamark"/>
        </w:rPr>
        <w:t xml:space="preserve"> </w:t>
      </w:r>
      <w:r>
        <w:t>the word “mi” explicitly to r</w:t>
      </w:r>
      <w:r>
        <w:t>e</w:t>
      </w:r>
      <w:r>
        <w:softHyphen/>
        <w:t>place the x1 of “mi klama le zarci”, even</w:t>
      </w:r>
      <w:r>
        <w:rPr>
          <w:rStyle w:val="deletedparamark"/>
        </w:rPr>
        <w:t xml:space="preserve"> </w:t>
      </w:r>
      <w:r>
        <w:t>though it looks like “mi” is replacing “mi”? Because B's “mi” refers to B,</w:t>
      </w:r>
      <w:r>
        <w:rPr>
          <w:rStyle w:val="deletedparamark"/>
        </w:rPr>
        <w:t xml:space="preserve"> </w:t>
      </w:r>
      <w:r>
        <w:t>whereas A's “mi” refers to A. If B said: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name=e6d11&gt;</w:t>
      </w:r>
      <w:r>
        <w:t>6.11)</w:t>
      </w:r>
      <w:r>
        <w:tab/>
        <w:t>mi nelci le si'o go'i</w:t>
      </w:r>
    </w:p>
    <w:p w:rsidR="00B72047" w:rsidRDefault="00B72047">
      <w:pPr>
        <w:pStyle w:val="resumedafterexample"/>
      </w:pPr>
      <w:r>
        <w:rPr>
          <w:rStyle w:val="htmlcodes"/>
        </w:rPr>
        <w:t>&lt;/pre&gt;</w:t>
      </w:r>
      <w:r>
        <w:t>that would mean: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I like the idea of your going to the store.</w:t>
      </w:r>
    </w:p>
    <w:p w:rsidR="00B72047" w:rsidRDefault="00B72047">
      <w:pPr>
        <w:pStyle w:val="resumedafterexample"/>
      </w:pPr>
      <w:r>
        <w:rPr>
          <w:rStyle w:val="htmlcodes"/>
        </w:rPr>
        <w:t>&lt;/dl&gt;</w:t>
      </w:r>
      <w:r>
        <w:rPr>
          <w:rStyle w:val="indexentry"/>
        </w:rPr>
        <w:t>&lt;cx "go'i-series pro-bridi, as repeating referent concept"&gt;</w:t>
      </w:r>
      <w:r>
        <w:rPr>
          <w:rStyle w:val="indexentry"/>
        </w:rPr>
        <w:fldChar w:fldCharType="begin"/>
      </w:r>
      <w:r>
        <w:instrText>xe "</w:instrText>
      </w:r>
      <w:r>
        <w:rPr>
          <w:rStyle w:val="xeentry"/>
        </w:rPr>
        <w:instrText>go'i-series pro-bridi: as repeating referent concept</w:instrText>
      </w:r>
      <w:r>
        <w:instrText>"</w:instrText>
      </w:r>
      <w:r>
        <w:rPr>
          <w:rStyle w:val="indexentry"/>
        </w:rPr>
        <w:fldChar w:fldCharType="end"/>
      </w:r>
      <w:r>
        <w:t>The repetition signalled by “go'i” is not literally of words, but of con</w:t>
      </w:r>
      <w:r>
        <w:softHyphen/>
        <w:t>cepts.</w:t>
      </w:r>
      <w:r>
        <w:rPr>
          <w:rStyle w:val="deletedparamark"/>
        </w:rPr>
        <w:t xml:space="preserve"> </w:t>
      </w:r>
      <w:r>
        <w:t>Finally, A repeats her own sentence, but with the x1 changed to “do”, meaning</w:t>
      </w:r>
      <w:r>
        <w:rPr>
          <w:rStyle w:val="deletedparamark"/>
        </w:rPr>
        <w:t xml:space="preserve"> </w:t>
      </w:r>
      <w:r>
        <w:t xml:space="preserve">B. Note that in </w:t>
      </w:r>
      <w:r>
        <w:rPr>
          <w:rStyle w:val="htmlcodes"/>
        </w:rPr>
        <w:t>&lt;a href=#e6d10&gt;</w:t>
      </w:r>
      <w:r>
        <w:t>E</w:t>
      </w:r>
      <w:r>
        <w:t>x</w:t>
      </w:r>
      <w:r>
        <w:softHyphen/>
        <w:t>ample 6.10</w:t>
      </w:r>
      <w:r>
        <w:rPr>
          <w:rStyle w:val="htmlcodes"/>
        </w:rPr>
        <w:t>&lt;/a&gt;</w:t>
      </w:r>
      <w:r>
        <w:t>, the tense “ba” (future time) is carried along</w:t>
      </w:r>
      <w:r>
        <w:rPr>
          <w:rStyle w:val="deletedparamark"/>
        </w:rPr>
        <w:t xml:space="preserve"> </w:t>
      </w:r>
      <w:r>
        <w:t>by both “go'i” and “go'e”.</w:t>
      </w:r>
    </w:p>
    <w:p w:rsidR="00B72047" w:rsidRDefault="00B72047">
      <w:pPr>
        <w:rPr>
          <w:rStyle w:val="htmlparacode"/>
        </w:rPr>
      </w:pPr>
      <w:r>
        <w:rPr>
          <w:rStyle w:val="htmlparacode"/>
        </w:rPr>
        <w:t>&lt;p&gt;</w:t>
      </w:r>
    </w:p>
    <w:p w:rsidR="00B72047" w:rsidRDefault="00B72047">
      <w:pPr>
        <w:pStyle w:val="normalparagraph"/>
      </w:pPr>
      <w:r>
        <w:rPr>
          <w:rStyle w:val="indexentry"/>
        </w:rPr>
        <w:t>&lt;cx "go'i-series pro-bridi, as basis for description"&gt;</w:t>
      </w:r>
      <w:r>
        <w:rPr>
          <w:rStyle w:val="indexentry"/>
        </w:rPr>
        <w:fldChar w:fldCharType="begin"/>
      </w:r>
      <w:r>
        <w:instrText>xe "</w:instrText>
      </w:r>
      <w:r>
        <w:rPr>
          <w:rStyle w:val="xeentry"/>
        </w:rPr>
        <w:instrText>go'i-series pro-bridi: as basis for description</w:instrText>
      </w:r>
      <w:r>
        <w:instrText>"</w:instrText>
      </w:r>
      <w:r>
        <w:rPr>
          <w:rStyle w:val="indexentry"/>
        </w:rPr>
        <w:fldChar w:fldCharType="end"/>
      </w:r>
      <w:r>
        <w:rPr>
          <w:rStyle w:val="indexentry"/>
        </w:rPr>
        <w:t>&lt;cx "descriptions, based on go'i-series pro-bridi"&gt;</w:t>
      </w:r>
      <w:r>
        <w:rPr>
          <w:rStyle w:val="indexentry"/>
        </w:rPr>
        <w:fldChar w:fldCharType="begin"/>
      </w:r>
      <w:r>
        <w:instrText>xe "</w:instrText>
      </w:r>
      <w:r>
        <w:rPr>
          <w:rStyle w:val="xeentry"/>
        </w:rPr>
        <w:instrText>descriptions: based on go'i-series pro-bridi</w:instrText>
      </w:r>
      <w:r>
        <w:instrText>"</w:instrText>
      </w:r>
      <w:r>
        <w:rPr>
          <w:rStyle w:val="indexentry"/>
        </w:rPr>
        <w:fldChar w:fldCharType="end"/>
      </w:r>
      <w:r>
        <w:t>Descriptions based on go'i-series cmavo can be very useful for repeating</w:t>
      </w:r>
      <w:r>
        <w:rPr>
          <w:rStyle w:val="deletedparamark"/>
        </w:rPr>
        <w:t xml:space="preserve"> </w:t>
      </w:r>
      <w:r>
        <w:t>spe</w:t>
      </w:r>
      <w:r>
        <w:softHyphen/>
        <w:t>cific sumti of previous bridi:</w:t>
      </w:r>
    </w:p>
    <w:p w:rsidR="00B72047" w:rsidRDefault="00B72047">
      <w:pPr>
        <w:rPr>
          <w:rStyle w:val="htmlparacode"/>
        </w:rPr>
      </w:pPr>
      <w:r>
        <w:rPr>
          <w:rStyle w:val="htmlparacode"/>
        </w:rPr>
        <w:t>&lt;p&gt;</w:t>
      </w:r>
    </w:p>
    <w:p w:rsidR="00B72047" w:rsidRDefault="00B72047">
      <w:pPr>
        <w:pStyle w:val="examplescaledpre"/>
      </w:pPr>
      <w:r>
        <w:rPr>
          <w:rStyle w:val="indexentry"/>
        </w:rPr>
        <w:t>&lt;ex "black cat"&gt;</w:t>
      </w:r>
      <w:r>
        <w:rPr>
          <w:rStyle w:val="indexentry"/>
        </w:rPr>
        <w:fldChar w:fldCharType="begin"/>
      </w:r>
      <w:r>
        <w:instrText>xe "</w:instrText>
      </w:r>
      <w:r>
        <w:rPr>
          <w:rStyle w:val="xeentry"/>
        </w:rPr>
        <w:instrText>black cat: example</w:instrText>
      </w:r>
      <w:r>
        <w:instrText>"</w:instrText>
      </w:r>
      <w:r>
        <w:rPr>
          <w:rStyle w:val="indexentry"/>
        </w:rPr>
        <w:fldChar w:fldCharType="end"/>
      </w:r>
      <w:r>
        <w:rPr>
          <w:rStyle w:val="htmlcodes"/>
        </w:rPr>
        <w:t>&lt;pre&gt;&lt;a name=e6d12&gt;</w:t>
      </w:r>
      <w:r>
        <w:t>6.12)</w:t>
      </w:r>
      <w:r>
        <w:tab/>
        <w:t>le xekri mlatu cu klama le zarci</w:t>
      </w:r>
    </w:p>
    <w:p w:rsidR="00B72047" w:rsidRDefault="00B72047">
      <w:pPr>
        <w:pStyle w:val="examplescaled"/>
      </w:pPr>
      <w:r>
        <w:tab/>
      </w:r>
      <w:r>
        <w:tab/>
        <w:t>.i le go'i cu cadzu le bisli</w:t>
      </w:r>
    </w:p>
    <w:p w:rsidR="00B72047" w:rsidRDefault="00B72047">
      <w:pPr>
        <w:pStyle w:val="examplescaled"/>
      </w:pPr>
      <w:r>
        <w:tab/>
        <w:t>The black cat goes-to the store.</w:t>
      </w:r>
    </w:p>
    <w:p w:rsidR="00B72047" w:rsidRDefault="00B72047">
      <w:pPr>
        <w:pStyle w:val="examplescaled"/>
      </w:pPr>
      <w:r>
        <w:tab/>
      </w:r>
      <w:r>
        <w:tab/>
        <w:t>That-described-as-the-x1-place-of [repeat last bridi] walks-on the ice.</w:t>
      </w:r>
    </w:p>
    <w:p w:rsidR="00B72047" w:rsidRDefault="00B72047">
      <w:pPr>
        <w:pStyle w:val="examplescaled"/>
      </w:pPr>
      <w:r>
        <w:tab/>
        <w:t>The black cat goes to the store.  It walks on the ice.</w:t>
      </w:r>
    </w:p>
    <w:p w:rsidR="00B72047" w:rsidRDefault="00B72047">
      <w:pPr>
        <w:pStyle w:val="resumedafterexample"/>
      </w:pPr>
      <w:r>
        <w:rPr>
          <w:rStyle w:val="htmlcodes"/>
        </w:rPr>
        <w:t>&lt;/pre&gt;&lt;p&gt;</w:t>
      </w:r>
      <w:r>
        <w:t>Here the “go'i” repeats “le xekri mlatu cu klama le zarci”, and since “le”</w:t>
      </w:r>
      <w:r>
        <w:rPr>
          <w:rStyle w:val="deletedparamark"/>
        </w:rPr>
        <w:t xml:space="preserve"> </w:t>
      </w:r>
      <w:r>
        <w:t>makes the x1 place into a description, and the x1 place of this bridi is</w:t>
      </w:r>
      <w:r>
        <w:rPr>
          <w:rStyle w:val="deletedparamark"/>
        </w:rPr>
        <w:t xml:space="preserve"> “</w:t>
      </w:r>
      <w:r>
        <w:t>le xekri mlatu”, “le go'i” means “le xekri mlatu”.</w:t>
      </w:r>
    </w:p>
    <w:p w:rsidR="00B72047" w:rsidRDefault="00B72047">
      <w:pPr>
        <w:rPr>
          <w:rStyle w:val="htmlparacode"/>
        </w:rPr>
      </w:pPr>
      <w:r>
        <w:rPr>
          <w:rStyle w:val="htmlparacode"/>
        </w:rPr>
        <w:t>&lt;p&gt;</w:t>
      </w:r>
    </w:p>
    <w:p w:rsidR="00B72047" w:rsidRDefault="00B72047">
      <w:pPr>
        <w:pStyle w:val="normalparagraph"/>
      </w:pPr>
      <w:r>
        <w:rPr>
          <w:rStyle w:val="indexentry"/>
        </w:rPr>
        <w:t>&lt;lx "go'o"&gt;</w:t>
      </w:r>
      <w:r>
        <w:rPr>
          <w:rStyle w:val="indexentry"/>
        </w:rPr>
        <w:fldChar w:fldCharType="begin"/>
      </w:r>
      <w:r>
        <w:instrText>xe "</w:instrText>
      </w:r>
      <w:r>
        <w:rPr>
          <w:rStyle w:val="xeentry"/>
        </w:rPr>
        <w:instrText>go'o</w:instrText>
      </w:r>
      <w:r>
        <w:instrText>"</w:instrText>
      </w:r>
      <w:r>
        <w:rPr>
          <w:rStyle w:val="indexentry"/>
        </w:rPr>
        <w:fldChar w:fldCharType="end"/>
      </w:r>
      <w:r>
        <w:rPr>
          <w:rStyle w:val="indexentry"/>
        </w:rPr>
        <w:t>&lt;lx "nei"&gt;</w:t>
      </w:r>
      <w:r>
        <w:rPr>
          <w:rStyle w:val="indexentry"/>
        </w:rPr>
        <w:fldChar w:fldCharType="begin"/>
      </w:r>
      <w:r>
        <w:instrText>xe "</w:instrText>
      </w:r>
      <w:r>
        <w:rPr>
          <w:rStyle w:val="xeentry"/>
        </w:rPr>
        <w:instrText>nei</w:instrText>
      </w:r>
      <w:r>
        <w:instrText>"</w:instrText>
      </w:r>
      <w:r>
        <w:rPr>
          <w:rStyle w:val="indexentry"/>
        </w:rPr>
        <w:fldChar w:fldCharType="end"/>
      </w:r>
      <w:r>
        <w:rPr>
          <w:rStyle w:val="indexentry"/>
        </w:rPr>
        <w:t>&lt;lx "no'a"&gt;</w:t>
      </w:r>
      <w:r>
        <w:rPr>
          <w:rStyle w:val="indexentry"/>
        </w:rPr>
        <w:fldChar w:fldCharType="begin"/>
      </w:r>
      <w:r>
        <w:instrText>xe "</w:instrText>
      </w:r>
      <w:r>
        <w:rPr>
          <w:rStyle w:val="xeentry"/>
        </w:rPr>
        <w:instrText>no'a</w:instrText>
      </w:r>
      <w:r>
        <w:instrText>"</w:instrText>
      </w:r>
      <w:r>
        <w:rPr>
          <w:rStyle w:val="indexentry"/>
        </w:rPr>
        <w:fldChar w:fldCharType="end"/>
      </w:r>
      <w:r>
        <w:rPr>
          <w:rStyle w:val="indexentry"/>
        </w:rPr>
        <w:t>&lt;cx "no'a, contrasted with other members of go'i-series in possible referents"&gt;</w:t>
      </w:r>
      <w:r>
        <w:rPr>
          <w:rStyle w:val="indexentry"/>
        </w:rPr>
        <w:fldChar w:fldCharType="begin"/>
      </w:r>
      <w:r>
        <w:instrText>xe "</w:instrText>
      </w:r>
      <w:r>
        <w:rPr>
          <w:rStyle w:val="xeentry"/>
        </w:rPr>
        <w:instrText>no'a: contrasted with other members of go'i-series in possible referents</w:instrText>
      </w:r>
      <w:r>
        <w:instrText>"</w:instrText>
      </w:r>
      <w:r>
        <w:rPr>
          <w:rStyle w:val="indexentry"/>
        </w:rPr>
        <w:fldChar w:fldCharType="end"/>
      </w:r>
      <w:r>
        <w:rPr>
          <w:rStyle w:val="indexentry"/>
        </w:rPr>
        <w:t>&lt;cx "go'i-series pro-bridi, no'a as exception to only main-bridi anaphora"&gt;</w:t>
      </w:r>
      <w:r>
        <w:rPr>
          <w:rStyle w:val="indexentry"/>
        </w:rPr>
        <w:fldChar w:fldCharType="begin"/>
      </w:r>
      <w:r>
        <w:instrText>xe "</w:instrText>
      </w:r>
      <w:r>
        <w:rPr>
          <w:rStyle w:val="xeentry"/>
        </w:rPr>
        <w:instrText>go'i-series pro-bridi: no'a as exception to only main-bridi anaphora</w:instrText>
      </w:r>
      <w:r>
        <w:instrText>"</w:instrText>
      </w:r>
      <w:r>
        <w:rPr>
          <w:rStyle w:val="indexentry"/>
        </w:rPr>
        <w:fldChar w:fldCharType="end"/>
      </w:r>
      <w:r>
        <w:rPr>
          <w:rStyle w:val="indexentry"/>
        </w:rPr>
        <w:t>&lt;cx "go'i-series pro-bridi, as main-bridi anaphora only, exception"&gt;</w:t>
      </w:r>
      <w:r>
        <w:rPr>
          <w:rStyle w:val="indexentry"/>
        </w:rPr>
        <w:fldChar w:fldCharType="begin"/>
      </w:r>
      <w:r>
        <w:instrText>xe "</w:instrText>
      </w:r>
      <w:r>
        <w:rPr>
          <w:rStyle w:val="xeentry"/>
        </w:rPr>
        <w:instrText>go'i-series pro-bridi: as main-bridi anaphora only, exception</w:instrText>
      </w:r>
      <w:r>
        <w:instrText>"</w:instrText>
      </w:r>
      <w:r>
        <w:rPr>
          <w:rStyle w:val="indexentry"/>
        </w:rPr>
        <w:fldChar w:fldCharType="end"/>
      </w:r>
      <w:r>
        <w:t>The cmavo “go'o”, “nei”, and “no'a” have been little used so far. They</w:t>
      </w:r>
      <w:r>
        <w:rPr>
          <w:rStyle w:val="deletedparamark"/>
        </w:rPr>
        <w:t xml:space="preserve"> </w:t>
      </w:r>
      <w:r>
        <w:t>repeat respe</w:t>
      </w:r>
      <w:r>
        <w:t>c</w:t>
      </w:r>
      <w:r>
        <w:softHyphen/>
        <w:t>tively some future bridi, the current bridi, and the bridi that</w:t>
      </w:r>
      <w:r>
        <w:rPr>
          <w:rStyle w:val="deletedparamark"/>
        </w:rPr>
        <w:t xml:space="preserve"> </w:t>
      </w:r>
      <w:r>
        <w:t>encloses the current bridi (“no'a”, unlike the other mem</w:t>
      </w:r>
      <w:r>
        <w:softHyphen/>
        <w:t>bers of the go'i-</w:t>
      </w:r>
      <w:r>
        <w:rPr>
          <w:rStyle w:val="deletedparamark"/>
        </w:rPr>
        <w:t xml:space="preserve"> </w:t>
      </w:r>
      <w:r>
        <w:t>series, can repeat non-sentence bridi). Here are a few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name=e6d13&gt;</w:t>
      </w:r>
      <w:r>
        <w:t>6.13)</w:t>
      </w:r>
      <w:r>
        <w:tab/>
        <w:t>mi nupre le nu mi go'o</w:t>
      </w:r>
    </w:p>
    <w:p w:rsidR="00B72047" w:rsidRDefault="00B72047">
      <w:pPr>
        <w:pStyle w:val="examplescaled"/>
      </w:pPr>
      <w:r>
        <w:tab/>
      </w:r>
      <w:r>
        <w:tab/>
        <w:t>.i ba dunda le djini le bersa</w:t>
      </w:r>
    </w:p>
    <w:p w:rsidR="00B72047" w:rsidRDefault="00B72047">
      <w:pPr>
        <w:pStyle w:val="examplescaled"/>
      </w:pPr>
      <w:r>
        <w:tab/>
      </w:r>
      <w:r>
        <w:tab/>
        <w:t>.i ba dunda le zdani le tixnu</w:t>
      </w:r>
    </w:p>
    <w:p w:rsidR="00B72047" w:rsidRDefault="00B72047">
      <w:pPr>
        <w:pStyle w:val="examplescaled"/>
      </w:pPr>
      <w:r>
        <w:tab/>
        <w:t>I promise the event-of I [repeat future bridi]</w:t>
      </w:r>
    </w:p>
    <w:p w:rsidR="00B72047" w:rsidRDefault="00B72047">
      <w:pPr>
        <w:pStyle w:val="examplescaled"/>
      </w:pPr>
      <w:r>
        <w:tab/>
      </w:r>
      <w:r>
        <w:tab/>
        <w:t>[Future] give the money to-the son</w:t>
      </w:r>
    </w:p>
    <w:p w:rsidR="00B72047" w:rsidRDefault="00B72047">
      <w:pPr>
        <w:pStyle w:val="examplescaled"/>
      </w:pPr>
      <w:r>
        <w:tab/>
      </w:r>
      <w:r>
        <w:tab/>
        <w:t>[Future] give the house to-the daughter</w:t>
      </w:r>
    </w:p>
    <w:p w:rsidR="00B72047" w:rsidRDefault="00B72047">
      <w:pPr>
        <w:pStyle w:val="examplescaled"/>
      </w:pPr>
      <w:r>
        <w:tab/>
        <w:t>I promise to do the following:</w:t>
      </w:r>
    </w:p>
    <w:p w:rsidR="00B72047" w:rsidRDefault="00B72047">
      <w:pPr>
        <w:pStyle w:val="examplescaled"/>
      </w:pPr>
      <w:r>
        <w:tab/>
      </w:r>
      <w:r>
        <w:tab/>
        <w:t>Give the money to my son.</w:t>
      </w:r>
    </w:p>
    <w:p w:rsidR="00B72047" w:rsidRDefault="00B72047">
      <w:pPr>
        <w:pStyle w:val="examplescaled"/>
      </w:pPr>
      <w:r>
        <w:tab/>
      </w:r>
      <w:r>
        <w:tab/>
        <w:t>Give the house to my daughter.</w:t>
      </w:r>
    </w:p>
    <w:p w:rsidR="00B72047" w:rsidRDefault="00B72047">
      <w:pPr>
        <w:pStyle w:val="resumedafterexample"/>
      </w:pPr>
      <w:r>
        <w:rPr>
          <w:rStyle w:val="htmlcodes"/>
        </w:rPr>
        <w:t>&lt;/pre&gt;</w:t>
      </w:r>
      <w:r>
        <w:t>(Note: The Lojban does not contain an equivalent of the “my” in the</w:t>
      </w:r>
      <w:r>
        <w:rPr>
          <w:rStyle w:val="deletedparamark"/>
        </w:rPr>
        <w:t xml:space="preserve"> </w:t>
      </w:r>
      <w:r>
        <w:t>colloquial English; it leaves the fact that it is the speaker's son and</w:t>
      </w:r>
      <w:r>
        <w:rPr>
          <w:rStyle w:val="deletedparamark"/>
        </w:rPr>
        <w:t xml:space="preserve"> </w:t>
      </w:r>
      <w:r>
        <w:t>daughter that are referred to implicit. To make the fact explicit, use</w:t>
      </w:r>
      <w:r>
        <w:rPr>
          <w:rStyle w:val="deletedparamark"/>
        </w:rPr>
        <w:t xml:space="preserve"> “</w:t>
      </w:r>
      <w:r>
        <w:t>le bersa/tixnu be mi”.)</w:t>
      </w:r>
    </w:p>
    <w:p w:rsidR="00B72047" w:rsidRDefault="00B72047">
      <w:pPr>
        <w:rPr>
          <w:rStyle w:val="htmlparacode"/>
        </w:rPr>
      </w:pPr>
      <w:r>
        <w:rPr>
          <w:rStyle w:val="htmlparacode"/>
        </w:rPr>
        <w:t>&lt;p&gt;</w:t>
      </w:r>
    </w:p>
    <w:p w:rsidR="00B72047" w:rsidRDefault="00B72047">
      <w:pPr>
        <w:pStyle w:val="normalparagraph"/>
      </w:pPr>
      <w:r>
        <w:t>For good examples of “nei” and “no'a”, we need nested bridi contexts: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name=e6d14&gt;</w:t>
      </w:r>
      <w:r>
        <w:t>6.14)</w:t>
      </w:r>
      <w:r>
        <w:tab/>
        <w:t>mi se pluka le nu do pensi</w:t>
      </w:r>
    </w:p>
    <w:p w:rsidR="00B72047" w:rsidRDefault="00B72047">
      <w:pPr>
        <w:pStyle w:val="examplescaled"/>
      </w:pPr>
      <w:r>
        <w:tab/>
      </w:r>
      <w:r>
        <w:tab/>
        <w:t>le nu nei kei pu le nu do zukte</w:t>
      </w:r>
    </w:p>
    <w:p w:rsidR="00B72047" w:rsidRDefault="00B72047">
      <w:pPr>
        <w:pStyle w:val="examplescaled"/>
      </w:pPr>
      <w:r>
        <w:tab/>
        <w:t>I am-pleased-by the event-of (you think-about</w:t>
      </w:r>
    </w:p>
    <w:p w:rsidR="00B72047" w:rsidRDefault="00B72047">
      <w:pPr>
        <w:pStyle w:val="examplescaled"/>
      </w:pPr>
      <w:r>
        <w:tab/>
      </w:r>
      <w:r>
        <w:tab/>
        <w:t>(the event-of [main bridi]) before the-event of (your acting).</w:t>
      </w:r>
    </w:p>
    <w:p w:rsidR="00B72047" w:rsidRDefault="00B72047">
      <w:pPr>
        <w:pStyle w:val="examplescaled"/>
      </w:pPr>
      <w:r>
        <w:tab/>
        <w:t>I am pleased that you thought about whether I</w:t>
      </w:r>
    </w:p>
    <w:p w:rsidR="00B72047" w:rsidRDefault="00B72047">
      <w:pPr>
        <w:pStyle w:val="examplescaled"/>
      </w:pPr>
      <w:r>
        <w:tab/>
      </w:r>
      <w:r>
        <w:tab/>
        <w:t>would be pleased (about </w:t>
      </w:r>
      <w:r>
        <w:rPr>
          <w:rStyle w:val="htmlcodes"/>
        </w:rPr>
        <w:t>&lt;dots&gt;</w:t>
      </w:r>
      <w:r>
        <w:t>…</w:t>
      </w:r>
      <w:r>
        <w:rPr>
          <w:rStyle w:val="htmlcodes"/>
        </w:rPr>
        <w:t>&lt;/dots&gt;</w:t>
      </w:r>
      <w:r>
        <w:t>) before you acted.</w:t>
      </w:r>
    </w:p>
    <w:p w:rsidR="00B72047" w:rsidRDefault="00B72047">
      <w:pPr>
        <w:pStyle w:val="examplescaledpre"/>
        <w:spacing w:before="0"/>
      </w:pPr>
      <w:r>
        <w:rPr>
          <w:rStyle w:val="htmlcodes"/>
          <w:vanish w:val="0"/>
        </w:rPr>
        <w:br w:type="page"/>
      </w:r>
      <w:r>
        <w:rPr>
          <w:rStyle w:val="htmlcodes"/>
        </w:rPr>
        <w:t>&lt;a name=e6d15&gt;</w:t>
      </w:r>
      <w:r>
        <w:t>6.15)</w:t>
      </w:r>
      <w:r>
        <w:tab/>
        <w:t>mi ba klama ca le nu do no'a</w:t>
      </w:r>
    </w:p>
    <w:p w:rsidR="00B72047" w:rsidRDefault="00B72047">
      <w:pPr>
        <w:pStyle w:val="examplescaled"/>
      </w:pPr>
      <w:r>
        <w:tab/>
        <w:t>I [future] go [present] the event-of you [repeats outer bridi]</w:t>
      </w:r>
    </w:p>
    <w:p w:rsidR="00B72047" w:rsidRDefault="00B72047">
      <w:pPr>
        <w:pStyle w:val="examplescaled"/>
      </w:pPr>
      <w:r>
        <w:tab/>
        <w:t>I will go when you do.</w:t>
      </w:r>
    </w:p>
    <w:p w:rsidR="00B72047" w:rsidRDefault="00B72047">
      <w:pPr>
        <w:pStyle w:val="normalafterexample"/>
      </w:pPr>
      <w:r>
        <w:rPr>
          <w:rStyle w:val="htmlcodes"/>
        </w:rPr>
        <w:t>&lt;/pre&gt;</w:t>
      </w:r>
      <w:r>
        <w:rPr>
          <w:rStyle w:val="indexentry"/>
        </w:rPr>
        <w:t>&lt;lx "ra'o"&gt;</w:t>
      </w:r>
      <w:r>
        <w:rPr>
          <w:rStyle w:val="indexentry"/>
        </w:rPr>
        <w:fldChar w:fldCharType="begin"/>
      </w:r>
      <w:r>
        <w:instrText>xe "</w:instrText>
      </w:r>
      <w:r>
        <w:rPr>
          <w:rStyle w:val="xeentry"/>
        </w:rPr>
        <w:instrText>ra'o</w:instrText>
      </w:r>
      <w:r>
        <w:instrText>"</w:instrText>
      </w:r>
      <w:r>
        <w:rPr>
          <w:rStyle w:val="indexentry"/>
        </w:rPr>
        <w:fldChar w:fldCharType="end"/>
      </w:r>
      <w:r>
        <w:rPr>
          <w:rStyle w:val="indexentry"/>
        </w:rPr>
        <w:t>&lt;cx "go'i-series pro-bridi, reinterpreting sumti references with ra'o"&gt;</w:t>
      </w:r>
      <w:r>
        <w:rPr>
          <w:rStyle w:val="indexentry"/>
        </w:rPr>
        <w:fldChar w:fldCharType="begin"/>
      </w:r>
      <w:r>
        <w:instrText>xe "</w:instrText>
      </w:r>
      <w:r>
        <w:rPr>
          <w:rStyle w:val="xeentry"/>
        </w:rPr>
        <w:instrText>go'i-series pro-bridi: reinterpreting sumti references with ra'o</w:instrText>
      </w:r>
      <w:r>
        <w:instrText>"</w:instrText>
      </w:r>
      <w:r>
        <w:rPr>
          <w:rStyle w:val="indexentry"/>
        </w:rPr>
        <w:fldChar w:fldCharType="end"/>
      </w:r>
      <w:r>
        <w:rPr>
          <w:rStyle w:val="indexentry"/>
        </w:rPr>
        <w:t>&lt;cx "ra'o, for reinterpreting go'i-series pro-bridi sumti references"&gt;</w:t>
      </w:r>
      <w:r>
        <w:rPr>
          <w:rStyle w:val="indexentry"/>
        </w:rPr>
        <w:fldChar w:fldCharType="begin"/>
      </w:r>
      <w:r>
        <w:instrText>xe "</w:instrText>
      </w:r>
      <w:r>
        <w:rPr>
          <w:rStyle w:val="xeentry"/>
        </w:rPr>
        <w:instrText>ra'o: for reinterpreting go'i-series pro-bridi sumti references</w:instrText>
      </w:r>
      <w:r>
        <w:instrText>"</w:instrText>
      </w:r>
      <w:r>
        <w:rPr>
          <w:rStyle w:val="indexentry"/>
        </w:rPr>
        <w:fldChar w:fldCharType="end"/>
      </w:r>
      <w:r>
        <w:rPr>
          <w:rStyle w:val="indexentry"/>
        </w:rPr>
        <w:t>&lt;cx "go'i, contrasted with go'i ra'o"&gt;</w:t>
      </w:r>
      <w:r>
        <w:rPr>
          <w:rStyle w:val="indexentry"/>
        </w:rPr>
        <w:fldChar w:fldCharType="begin"/>
      </w:r>
      <w:r>
        <w:instrText>xe "</w:instrText>
      </w:r>
      <w:r>
        <w:rPr>
          <w:rStyle w:val="xeentry"/>
        </w:rPr>
        <w:instrText>go'i: contrasted with go'i ra'o</w:instrText>
      </w:r>
      <w:r>
        <w:instrText>"</w:instrText>
      </w:r>
      <w:r>
        <w:rPr>
          <w:rStyle w:val="indexentry"/>
        </w:rPr>
        <w:fldChar w:fldCharType="end"/>
      </w:r>
      <w:r>
        <w:rPr>
          <w:rStyle w:val="indexentry"/>
        </w:rPr>
        <w:t>&lt;cx "go'i ra'o, contrasted with go'i"&gt;</w:t>
      </w:r>
      <w:r>
        <w:rPr>
          <w:rStyle w:val="indexentry"/>
        </w:rPr>
        <w:fldChar w:fldCharType="begin"/>
      </w:r>
      <w:r>
        <w:instrText>xe "</w:instrText>
      </w:r>
      <w:r>
        <w:rPr>
          <w:rStyle w:val="xeentry"/>
        </w:rPr>
        <w:instrText>go'i ra'o: contrasted with go'i</w:instrText>
      </w:r>
      <w:r>
        <w:instrText>"</w:instrText>
      </w:r>
      <w:r>
        <w:rPr>
          <w:rStyle w:val="indexentry"/>
        </w:rPr>
        <w:fldChar w:fldCharType="end"/>
      </w:r>
      <w:r>
        <w:t>Finally, “ra'o” is a cmavo that can be appended to any go'i-se</w:t>
      </w:r>
      <w:r>
        <w:softHyphen/>
        <w:t>ries cmavo,</w:t>
      </w:r>
      <w:r>
        <w:rPr>
          <w:rStyle w:val="deletedparamark"/>
        </w:rPr>
        <w:t xml:space="preserve"> </w:t>
      </w:r>
      <w:r>
        <w:t>or in</w:t>
      </w:r>
      <w:r>
        <w:softHyphen/>
        <w:t>deed any cmavo of selma'o GOhA, to signal that pro-sumti or pro-bridi</w:t>
      </w:r>
      <w:r>
        <w:rPr>
          <w:rStyle w:val="deletedparamark"/>
        </w:rPr>
        <w:t xml:space="preserve"> </w:t>
      </w:r>
      <w:r>
        <w:t>cmavo in the antec</w:t>
      </w:r>
      <w:r>
        <w:t>e</w:t>
      </w:r>
      <w:r>
        <w:softHyphen/>
        <w:t>dent are to be repeated literally and reinterpreted in</w:t>
      </w:r>
      <w:r>
        <w:rPr>
          <w:rStyle w:val="deletedparamark"/>
        </w:rPr>
        <w:t xml:space="preserve"> </w:t>
      </w:r>
      <w:r>
        <w:t>their new context. Normally, any pro-sumti used within the antecedent of the</w:t>
      </w:r>
      <w:r>
        <w:rPr>
          <w:rStyle w:val="deletedparamark"/>
        </w:rPr>
        <w:t xml:space="preserve"> </w:t>
      </w:r>
      <w:r>
        <w:t>pro-bridi keep their meanings intact. In the pre</w:t>
      </w:r>
      <w:r>
        <w:t>s</w:t>
      </w:r>
      <w:r>
        <w:softHyphen/>
        <w:t>ence of “ra'o”, however,</w:t>
      </w:r>
      <w:r>
        <w:rPr>
          <w:rStyle w:val="deletedparamark"/>
        </w:rPr>
        <w:t xml:space="preserve"> </w:t>
      </w:r>
      <w:r>
        <w:t>their meanings must be reinterpreted with reference to the new environment.</w:t>
      </w:r>
      <w:r>
        <w:rPr>
          <w:rStyle w:val="deletedparamark"/>
        </w:rPr>
        <w:t xml:space="preserve"> </w:t>
      </w:r>
      <w:r>
        <w:t>If someone says to you: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name=e6d16&gt;</w:t>
      </w:r>
      <w:r>
        <w:t>6.16)</w:t>
      </w:r>
      <w:r>
        <w:tab/>
        <w:t>mi ba lumci lemi karca</w:t>
      </w:r>
    </w:p>
    <w:p w:rsidR="00B72047" w:rsidRDefault="00B72047">
      <w:pPr>
        <w:pStyle w:val="examplescaled"/>
      </w:pPr>
      <w:r>
        <w:tab/>
        <w:t>I will wash my car.</w:t>
      </w:r>
    </w:p>
    <w:p w:rsidR="00B72047" w:rsidRDefault="00B72047">
      <w:pPr>
        <w:pStyle w:val="resumedafterexample"/>
      </w:pPr>
      <w:r>
        <w:rPr>
          <w:rStyle w:val="htmlcodes"/>
        </w:rPr>
        <w:t>&lt;/pre&gt;</w:t>
      </w:r>
      <w:r>
        <w:t>you might reply either: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name=e6d17&gt;</w:t>
      </w:r>
      <w:r>
        <w:t>6.17)</w:t>
      </w:r>
      <w:r>
        <w:tab/>
        <w:t>mi go'i</w:t>
      </w:r>
    </w:p>
    <w:p w:rsidR="00B72047" w:rsidRDefault="00B72047">
      <w:pPr>
        <w:pStyle w:val="examplescaled"/>
      </w:pPr>
      <w:r>
        <w:tab/>
        <w:t>I will wash your car.</w:t>
      </w:r>
    </w:p>
    <w:p w:rsidR="00B72047" w:rsidRDefault="00B72047">
      <w:pPr>
        <w:pStyle w:val="resumedafterexample"/>
      </w:pPr>
      <w:r>
        <w:rPr>
          <w:rStyle w:val="htmlcodes"/>
        </w:rPr>
        <w:t>&lt;/pre&gt;</w:t>
      </w:r>
      <w:r>
        <w:t>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name=e6d18&gt;</w:t>
      </w:r>
      <w:r>
        <w:t>6.18)</w:t>
      </w:r>
      <w:r>
        <w:tab/>
        <w:t>mi go'i ra'o</w:t>
      </w:r>
    </w:p>
    <w:p w:rsidR="00B72047" w:rsidRDefault="00B72047">
      <w:pPr>
        <w:pStyle w:val="examplescaled"/>
      </w:pPr>
      <w:r>
        <w:tab/>
        <w:t>I will wash my car.</w:t>
      </w:r>
    </w:p>
    <w:p w:rsidR="00B72047" w:rsidRDefault="00B72047">
      <w:pPr>
        <w:pStyle w:val="resumedafterexample"/>
      </w:pPr>
      <w:r>
        <w:rPr>
          <w:rStyle w:val="htmlcodes"/>
        </w:rPr>
        <w:t>&lt;/pre&gt;&lt;p&gt;</w:t>
      </w:r>
      <w:r>
        <w:t>The “ra'o” forces the second “mi” from the original bridi to mean the</w:t>
      </w:r>
      <w:r>
        <w:rPr>
          <w:rStyle w:val="deletedparamark"/>
        </w:rPr>
        <w:t xml:space="preserve"> </w:t>
      </w:r>
      <w:r>
        <w:t>new speaker rather than the former speaker. This means that “go'e ra'o”</w:t>
      </w:r>
      <w:r>
        <w:rPr>
          <w:rStyle w:val="deletedparamark"/>
        </w:rPr>
        <w:t xml:space="preserve"> </w:t>
      </w:r>
      <w:r>
        <w:t>would be an acceptable al</w:t>
      </w:r>
      <w:r>
        <w:softHyphen/>
        <w:t>ternative to “do go'e” in B's statement in</w:t>
      </w:r>
      <w:r>
        <w:rPr>
          <w:rStyle w:val="deletedparamark"/>
        </w:rPr>
        <w:t xml:space="preserve"> </w:t>
      </w:r>
      <w:r>
        <w:rPr>
          <w:rStyle w:val="htmlcodes"/>
        </w:rPr>
        <w:t>&lt;a href=#e6d10&gt;</w:t>
      </w:r>
      <w:r>
        <w:t>Example 6.10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"ri-series pro-sumti, in quotations"&gt;</w:t>
      </w:r>
      <w:r>
        <w:rPr>
          <w:rStyle w:val="indexentry"/>
        </w:rPr>
        <w:fldChar w:fldCharType="begin"/>
      </w:r>
      <w:r>
        <w:instrText>xe "</w:instrText>
      </w:r>
      <w:r>
        <w:rPr>
          <w:rStyle w:val="xeentry"/>
        </w:rPr>
        <w:instrText>ri-series pro-sumti: in quotations</w:instrText>
      </w:r>
      <w:r>
        <w:instrText>"</w:instrText>
      </w:r>
      <w:r>
        <w:rPr>
          <w:rStyle w:val="indexentry"/>
        </w:rPr>
        <w:fldChar w:fldCharType="end"/>
      </w:r>
      <w:r>
        <w:rPr>
          <w:rStyle w:val="indexentry"/>
        </w:rPr>
        <w:t>&lt;cx "go'i-series pro-sumti, in quotations"&gt;</w:t>
      </w:r>
      <w:r>
        <w:rPr>
          <w:rStyle w:val="indexentry"/>
        </w:rPr>
        <w:fldChar w:fldCharType="begin"/>
      </w:r>
      <w:r>
        <w:instrText>xe "</w:instrText>
      </w:r>
      <w:r>
        <w:rPr>
          <w:rStyle w:val="xeentry"/>
        </w:rPr>
        <w:instrText>go’i-series pro-bridi : in quotations</w:instrText>
      </w:r>
      <w:r>
        <w:instrText>"</w:instrText>
      </w:r>
      <w:r>
        <w:rPr>
          <w:rStyle w:val="indexentry"/>
        </w:rPr>
        <w:fldChar w:fldCharType="end"/>
      </w:r>
      <w:r>
        <w:t>The anaphoric pro-sumti of this section can be used in quota</w:t>
      </w:r>
      <w:r>
        <w:softHyphen/>
        <w:t>tions, but</w:t>
      </w:r>
      <w:r>
        <w:rPr>
          <w:rStyle w:val="deletedparamark"/>
        </w:rPr>
        <w:t xml:space="preserve"> </w:t>
      </w:r>
      <w:r>
        <w:t>never re</w:t>
      </w:r>
      <w:r>
        <w:softHyphen/>
        <w:t>fer to any of the supporting text outside the quota</w:t>
      </w:r>
      <w:r>
        <w:softHyphen/>
        <w:t>tion, since</w:t>
      </w:r>
      <w:r>
        <w:rPr>
          <w:rStyle w:val="deletedparamark"/>
        </w:rPr>
        <w:t xml:space="preserve"> </w:t>
      </w:r>
      <w:r>
        <w:t>speakers presumably do not know that they may be quoted by someone else.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"ri-series pro-sumti, in quotation series"&gt;</w:t>
      </w:r>
      <w:r>
        <w:rPr>
          <w:rStyle w:val="indexentry"/>
        </w:rPr>
        <w:fldChar w:fldCharType="begin"/>
      </w:r>
      <w:r>
        <w:instrText>xe "</w:instrText>
      </w:r>
      <w:r>
        <w:rPr>
          <w:rStyle w:val="xeentry"/>
        </w:rPr>
        <w:instrText>ri-series pro-sumti: in quotation series</w:instrText>
      </w:r>
      <w:r>
        <w:instrText>"</w:instrText>
      </w:r>
      <w:r>
        <w:rPr>
          <w:rStyle w:val="indexentry"/>
        </w:rPr>
        <w:fldChar w:fldCharType="end"/>
      </w:r>
      <w:r>
        <w:rPr>
          <w:rStyle w:val="indexentry"/>
        </w:rPr>
        <w:t>&lt;cx "go'i-series pro-sumti, in quotation series"&gt;</w:t>
      </w:r>
      <w:r>
        <w:rPr>
          <w:rStyle w:val="indexentry"/>
        </w:rPr>
        <w:fldChar w:fldCharType="begin"/>
      </w:r>
      <w:r>
        <w:instrText>xe "</w:instrText>
      </w:r>
      <w:r>
        <w:rPr>
          <w:rStyle w:val="xeentry"/>
        </w:rPr>
        <w:instrText>go’i-series pro-bridi : in quotation series</w:instrText>
      </w:r>
      <w:r>
        <w:instrText>"</w:instrText>
      </w:r>
      <w:r>
        <w:rPr>
          <w:rStyle w:val="indexentry"/>
        </w:rPr>
        <w:fldChar w:fldCharType="end"/>
      </w:r>
      <w:r>
        <w:t>However, a “ri”-series or “go'a”-series reference within a quotation can</w:t>
      </w:r>
      <w:r>
        <w:rPr>
          <w:rStyle w:val="deletedparamark"/>
        </w:rPr>
        <w:t xml:space="preserve"> </w:t>
      </w:r>
      <w:r>
        <w:t>refer to something mentioned in an earlier quotation if the two quotations</w:t>
      </w:r>
      <w:r>
        <w:rPr>
          <w:rStyle w:val="deletedparamark"/>
        </w:rPr>
        <w:t xml:space="preserve"> </w:t>
      </w:r>
      <w:r>
        <w:t>are closely related in time and context. This allows a quotation to be</w:t>
      </w:r>
      <w:r>
        <w:rPr>
          <w:rStyle w:val="deletedparamark"/>
        </w:rPr>
        <w:t xml:space="preserve"> </w:t>
      </w:r>
      <w:r>
        <w:t>broken up by narrative material without interfering with the pro-sumti</w:t>
      </w:r>
      <w:r>
        <w:rPr>
          <w:rStyle w:val="deletedparamark"/>
        </w:rPr>
        <w:t xml:space="preserve"> </w:t>
      </w:r>
      <w:r>
        <w:t>within it. Here's an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name=e6d19&gt;</w:t>
      </w:r>
      <w:r>
        <w:t>6.19)</w:t>
      </w:r>
      <w:r>
        <w:tab/>
        <w:t>la djan. cusku lu mi klama le zarci li'u</w:t>
      </w:r>
    </w:p>
    <w:p w:rsidR="00B72047" w:rsidRDefault="00B72047">
      <w:pPr>
        <w:pStyle w:val="examplescaled"/>
      </w:pPr>
      <w:r>
        <w:tab/>
      </w:r>
      <w:r>
        <w:tab/>
        <w:t>.i la .alis. cusku lu mi go'i li'u</w:t>
      </w:r>
    </w:p>
    <w:p w:rsidR="00B72047" w:rsidRDefault="00B72047">
      <w:pPr>
        <w:pStyle w:val="examplescaled"/>
      </w:pPr>
      <w:r>
        <w:tab/>
        <w:t>John says [quote] I go-to the store [unquote].</w:t>
      </w:r>
    </w:p>
    <w:p w:rsidR="00B72047" w:rsidRDefault="00B72047">
      <w:pPr>
        <w:pStyle w:val="examplescaled"/>
      </w:pPr>
      <w:r>
        <w:tab/>
      </w:r>
      <w:r>
        <w:tab/>
        <w:t>Alice says [quote] I [repeat] [unquote].</w:t>
      </w:r>
    </w:p>
    <w:p w:rsidR="00B72047" w:rsidRDefault="00B72047">
      <w:pPr>
        <w:pStyle w:val="examplescaled"/>
      </w:pPr>
      <w:r>
        <w:tab/>
        <w:t>John says, “I am going to the store.”  Alice says, “Me too.”</w:t>
      </w:r>
    </w:p>
    <w:p w:rsidR="00B72047" w:rsidRDefault="00B72047">
      <w:pPr>
        <w:pStyle w:val="normalafterexample"/>
      </w:pPr>
      <w:r>
        <w:rPr>
          <w:rStyle w:val="htmlcodes"/>
        </w:rPr>
        <w:t>&lt;/pre&gt;</w:t>
      </w:r>
      <w:r>
        <w:rPr>
          <w:rStyle w:val="indexentry"/>
        </w:rPr>
        <w:t>&lt;cx "ri-series pro-sumti, in narrative about quotation"&gt;</w:t>
      </w:r>
      <w:r>
        <w:rPr>
          <w:rStyle w:val="indexentry"/>
        </w:rPr>
        <w:fldChar w:fldCharType="begin"/>
      </w:r>
      <w:r>
        <w:instrText>xe "</w:instrText>
      </w:r>
      <w:r>
        <w:rPr>
          <w:rStyle w:val="xeentry"/>
        </w:rPr>
        <w:instrText>ri-series pro-sumti: in narrative about quotation</w:instrText>
      </w:r>
      <w:r>
        <w:instrText>"</w:instrText>
      </w:r>
      <w:r>
        <w:rPr>
          <w:rStyle w:val="indexentry"/>
        </w:rPr>
        <w:fldChar w:fldCharType="end"/>
      </w:r>
      <w:r>
        <w:rPr>
          <w:rStyle w:val="indexentry"/>
        </w:rPr>
        <w:t>&lt;cx "go'i-series pro-sumti, in narrative about quotation"&gt;</w:t>
      </w:r>
      <w:r>
        <w:rPr>
          <w:rStyle w:val="indexentry"/>
        </w:rPr>
        <w:fldChar w:fldCharType="begin"/>
      </w:r>
      <w:r>
        <w:instrText>xe "</w:instrText>
      </w:r>
      <w:r>
        <w:rPr>
          <w:rStyle w:val="xeentry"/>
        </w:rPr>
        <w:instrText>go’i-series pro-bridi : in narrative about quotation</w:instrText>
      </w:r>
      <w:r>
        <w:instrText>"</w:instrText>
      </w:r>
      <w:r>
        <w:rPr>
          <w:rStyle w:val="indexentry"/>
        </w:rPr>
        <w:fldChar w:fldCharType="end"/>
      </w:r>
      <w:r>
        <w:t>Of course, there is no problem with narrative material refer</w:t>
      </w:r>
      <w:r>
        <w:softHyphen/>
        <w:t>ring to</w:t>
      </w:r>
      <w:r>
        <w:rPr>
          <w:rStyle w:val="deletedparamark"/>
        </w:rPr>
        <w:t xml:space="preserve"> </w:t>
      </w:r>
      <w:r>
        <w:t>something within a quotation: people who quote, unlike people who are</w:t>
      </w:r>
      <w:r>
        <w:rPr>
          <w:rStyle w:val="deletedparamark"/>
        </w:rPr>
        <w:t xml:space="preserve"> </w:t>
      </w:r>
      <w:r>
        <w:t>quoted, are aware of it.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281" w:name="_Toc398970529"/>
      <w:r>
        <w:rPr>
          <w:rStyle w:val="Heading3Text"/>
        </w:rPr>
        <w:t>Indefinite pro-sumti and pro-bridi: the zo'e-series and the co'e-se</w:t>
      </w:r>
      <w:r>
        <w:rPr>
          <w:rStyle w:val="Heading3Text"/>
        </w:rPr>
        <w:softHyphen/>
        <w:t>ries</w:t>
      </w:r>
      <w:bookmarkEnd w:id="28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zo'e</w:t>
      </w:r>
      <w:r>
        <w:tab/>
        <w:t>KOhA</w:t>
      </w:r>
      <w:r>
        <w:tab/>
        <w:t>zo'e-series</w:t>
      </w:r>
      <w:r>
        <w:tab/>
        <w:t>the obvious value</w:t>
      </w:r>
    </w:p>
    <w:p w:rsidR="00B72047" w:rsidRDefault="00B72047">
      <w:pPr>
        <w:pStyle w:val="examplescaled"/>
      </w:pPr>
      <w:r>
        <w:tab/>
        <w:t>zu'i</w:t>
      </w:r>
      <w:r>
        <w:tab/>
        <w:t>KOhA</w:t>
      </w:r>
      <w:r>
        <w:tab/>
        <w:t>zo'e-series</w:t>
      </w:r>
      <w:r>
        <w:tab/>
        <w:t>the typical value</w:t>
      </w:r>
    </w:p>
    <w:p w:rsidR="00B72047" w:rsidRDefault="00B72047">
      <w:pPr>
        <w:pStyle w:val="examplescaled"/>
      </w:pPr>
      <w:r>
        <w:tab/>
        <w:t>zi'o</w:t>
      </w:r>
      <w:r>
        <w:tab/>
        <w:t>KOhA</w:t>
      </w:r>
      <w:r>
        <w:tab/>
        <w:t>zo'e-series</w:t>
      </w:r>
      <w:r>
        <w:tab/>
        <w:t>the nonexistent value</w:t>
      </w:r>
    </w:p>
    <w:p w:rsidR="00B72047" w:rsidRDefault="00B72047">
      <w:pPr>
        <w:pStyle w:val="examplescaledpre"/>
      </w:pPr>
      <w:r>
        <w:tab/>
        <w:t>co'e</w:t>
      </w:r>
      <w:r>
        <w:tab/>
        <w:t>GOhA</w:t>
      </w:r>
      <w:r>
        <w:tab/>
        <w:t>co'e-series</w:t>
      </w:r>
      <w:r>
        <w:tab/>
        <w:t>has the obvious relationship</w:t>
      </w:r>
    </w:p>
    <w:p w:rsidR="00B72047" w:rsidRDefault="00B72047">
      <w:pPr>
        <w:pStyle w:val="normalafterexample"/>
      </w:pPr>
      <w:r>
        <w:rPr>
          <w:rStyle w:val="htmlcodes"/>
        </w:rPr>
        <w:t>&lt;/pre&gt;</w:t>
      </w:r>
      <w:r>
        <w:rPr>
          <w:rStyle w:val="indexentry"/>
        </w:rPr>
        <w:t>&lt;cx "zo'e-series pro-sumti"&gt;</w:t>
      </w:r>
      <w:r>
        <w:rPr>
          <w:rStyle w:val="indexentry"/>
        </w:rPr>
        <w:fldChar w:fldCharType="begin"/>
      </w:r>
      <w:r>
        <w:instrText>xe "</w:instrText>
      </w:r>
      <w:r>
        <w:rPr>
          <w:rStyle w:val="xeentry"/>
        </w:rPr>
        <w:instrText>zo'e-series pro-sumti</w:instrText>
      </w:r>
      <w:r>
        <w:instrText>"</w:instrText>
      </w:r>
      <w:r>
        <w:rPr>
          <w:rStyle w:val="indexentry"/>
        </w:rPr>
        <w:fldChar w:fldCharType="end"/>
      </w:r>
      <w:r>
        <w:rPr>
          <w:rStyle w:val="indexentry"/>
        </w:rPr>
        <w:t>&lt;cx "co'e-series pro-bridi"&gt;</w:t>
      </w:r>
      <w:r>
        <w:rPr>
          <w:rStyle w:val="indexentry"/>
        </w:rPr>
        <w:fldChar w:fldCharType="begin"/>
      </w:r>
      <w:r>
        <w:instrText>xe "</w:instrText>
      </w:r>
      <w:r>
        <w:rPr>
          <w:rStyle w:val="xeentry"/>
        </w:rPr>
        <w:instrText>co'e-series pro-bridi</w:instrText>
      </w:r>
      <w:r>
        <w:instrText>"</w:instrText>
      </w:r>
      <w:r>
        <w:rPr>
          <w:rStyle w:val="indexentry"/>
        </w:rPr>
        <w:fldChar w:fldCharType="end"/>
      </w:r>
      <w:r>
        <w:rPr>
          <w:rStyle w:val="indexentry"/>
        </w:rPr>
        <w:t>&lt;cx "indefinite pro-sumti"&gt;</w:t>
      </w:r>
      <w:r>
        <w:rPr>
          <w:rStyle w:val="indexentry"/>
        </w:rPr>
        <w:fldChar w:fldCharType="begin"/>
      </w:r>
      <w:r>
        <w:instrText>xe "</w:instrText>
      </w:r>
      <w:r>
        <w:rPr>
          <w:rStyle w:val="xeentry"/>
        </w:rPr>
        <w:instrText>indefinite pro-sumti</w:instrText>
      </w:r>
      <w:r>
        <w:instrText>"</w:instrText>
      </w:r>
      <w:r>
        <w:rPr>
          <w:rStyle w:val="indexentry"/>
        </w:rPr>
        <w:fldChar w:fldCharType="end"/>
      </w:r>
      <w:r>
        <w:rPr>
          <w:rStyle w:val="indexentry"/>
        </w:rPr>
        <w:t>&lt;cx "elliptical pro-sumti"&gt;</w:t>
      </w:r>
      <w:r>
        <w:rPr>
          <w:rStyle w:val="indexentry"/>
        </w:rPr>
        <w:fldChar w:fldCharType="begin"/>
      </w:r>
      <w:r>
        <w:instrText>xe "</w:instrText>
      </w:r>
      <w:r>
        <w:rPr>
          <w:rStyle w:val="xeentry"/>
        </w:rPr>
        <w:instrText>elliptical pro-sumti</w:instrText>
      </w:r>
      <w:r>
        <w:instrText>"</w:instrText>
      </w:r>
      <w:r>
        <w:rPr>
          <w:rStyle w:val="indexentry"/>
        </w:rPr>
        <w:fldChar w:fldCharType="end"/>
      </w:r>
      <w:r>
        <w:rPr>
          <w:rStyle w:val="indexentry"/>
        </w:rPr>
        <w:t>&lt;cx "pro-sumti, unspecified"&gt;</w:t>
      </w:r>
      <w:r>
        <w:rPr>
          <w:rStyle w:val="indexentry"/>
        </w:rPr>
        <w:fldChar w:fldCharType="begin"/>
      </w:r>
      <w:r>
        <w:instrText>xe "</w:instrText>
      </w:r>
      <w:r>
        <w:rPr>
          <w:rStyle w:val="xeentry"/>
        </w:rPr>
        <w:instrText>pro-sumti: unspecified</w:instrText>
      </w:r>
      <w:r>
        <w:instrText>"</w:instrText>
      </w:r>
      <w:r>
        <w:rPr>
          <w:rStyle w:val="indexentry"/>
        </w:rPr>
        <w:fldChar w:fldCharType="end"/>
      </w:r>
      <w:r>
        <w:rPr>
          <w:rStyle w:val="indexentry"/>
        </w:rPr>
        <w:t>&lt;cx "indefinite pro-bridi"&gt;</w:t>
      </w:r>
      <w:r>
        <w:rPr>
          <w:rStyle w:val="indexentry"/>
        </w:rPr>
        <w:fldChar w:fldCharType="begin"/>
      </w:r>
      <w:r>
        <w:instrText>xe "</w:instrText>
      </w:r>
      <w:r>
        <w:rPr>
          <w:rStyle w:val="xeentry"/>
        </w:rPr>
        <w:instrText>indefinite pro-bridi</w:instrText>
      </w:r>
      <w:r>
        <w:instrText>"</w:instrText>
      </w:r>
      <w:r>
        <w:rPr>
          <w:rStyle w:val="indexentry"/>
        </w:rPr>
        <w:fldChar w:fldCharType="end"/>
      </w:r>
      <w:r>
        <w:rPr>
          <w:rStyle w:val="indexentry"/>
        </w:rPr>
        <w:t>&lt;cx "elliptical pro-bridi"&gt;</w:t>
      </w:r>
      <w:r>
        <w:rPr>
          <w:rStyle w:val="indexentry"/>
        </w:rPr>
        <w:fldChar w:fldCharType="begin"/>
      </w:r>
      <w:r>
        <w:instrText>xe "</w:instrText>
      </w:r>
      <w:r>
        <w:rPr>
          <w:rStyle w:val="xeentry"/>
        </w:rPr>
        <w:instrText>elliptical pro-bridi</w:instrText>
      </w:r>
      <w:r>
        <w:instrText>"</w:instrText>
      </w:r>
      <w:r>
        <w:rPr>
          <w:rStyle w:val="indexentry"/>
        </w:rPr>
        <w:fldChar w:fldCharType="end"/>
      </w:r>
      <w:r>
        <w:rPr>
          <w:rStyle w:val="indexentry"/>
        </w:rPr>
        <w:t>&lt;lx "zo'e"&gt;</w:t>
      </w:r>
      <w:r>
        <w:rPr>
          <w:rStyle w:val="indexentry"/>
        </w:rPr>
        <w:fldChar w:fldCharType="begin"/>
      </w:r>
      <w:r>
        <w:instrText>xe "</w:instrText>
      </w:r>
      <w:r>
        <w:rPr>
          <w:rStyle w:val="xeentry"/>
        </w:rPr>
        <w:instrText>zo'e</w:instrText>
      </w:r>
      <w:r>
        <w:instrText>"</w:instrText>
      </w:r>
      <w:r>
        <w:rPr>
          <w:rStyle w:val="indexentry"/>
        </w:rPr>
        <w:fldChar w:fldCharType="end"/>
      </w:r>
      <w:r>
        <w:rPr>
          <w:rStyle w:val="indexentry"/>
        </w:rPr>
        <w:t>&lt;cx "zo'e, as place-holder for sumti"&gt;</w:t>
      </w:r>
      <w:r>
        <w:rPr>
          <w:rStyle w:val="indexentry"/>
        </w:rPr>
        <w:fldChar w:fldCharType="begin"/>
      </w:r>
      <w:r>
        <w:instrText>xe "</w:instrText>
      </w:r>
      <w:r>
        <w:rPr>
          <w:rStyle w:val="xeentry"/>
        </w:rPr>
        <w:instrText>zo'e: as place-holder for sumti</w:instrText>
      </w:r>
      <w:r>
        <w:instrText>"</w:instrText>
      </w:r>
      <w:r>
        <w:rPr>
          <w:rStyle w:val="indexentry"/>
        </w:rPr>
        <w:fldChar w:fldCharType="end"/>
      </w:r>
      <w:r>
        <w:rPr>
          <w:rStyle w:val="indexentry"/>
        </w:rPr>
        <w:t>&lt;cx "elliptical sumti"&gt;</w:t>
      </w:r>
      <w:r>
        <w:rPr>
          <w:rStyle w:val="indexentry"/>
        </w:rPr>
        <w:fldChar w:fldCharType="begin"/>
      </w:r>
      <w:r>
        <w:instrText>xe "</w:instrText>
      </w:r>
      <w:r>
        <w:rPr>
          <w:rStyle w:val="xeentry"/>
        </w:rPr>
        <w:instrText>elliptical sumti</w:instrText>
      </w:r>
      <w:r>
        <w:instrText>"</w:instrText>
      </w:r>
      <w:r>
        <w:rPr>
          <w:rStyle w:val="indexentry"/>
        </w:rPr>
        <w:fldChar w:fldCharType="end"/>
      </w:r>
      <w:r>
        <w:rPr>
          <w:rStyle w:val="indexentry"/>
        </w:rPr>
        <w:t>&lt;cx "elliptical value, contrasted with typical value for sumti"&gt;</w:t>
      </w:r>
      <w:r>
        <w:rPr>
          <w:rStyle w:val="indexentry"/>
        </w:rPr>
        <w:fldChar w:fldCharType="begin"/>
      </w:r>
      <w:r>
        <w:instrText>xe "</w:instrText>
      </w:r>
      <w:r>
        <w:rPr>
          <w:rStyle w:val="xeentry"/>
        </w:rPr>
        <w:instrText>elliptical value: contrasted with typical value for sumti</w:instrText>
      </w:r>
      <w:r>
        <w:instrText>"</w:instrText>
      </w:r>
      <w:r>
        <w:rPr>
          <w:rStyle w:val="indexentry"/>
        </w:rPr>
        <w:fldChar w:fldCharType="end"/>
      </w:r>
      <w:r>
        <w:rPr>
          <w:rStyle w:val="indexentry"/>
        </w:rPr>
        <w:t>&lt;cx "typical value, contrasted with elliptical value for sumti"&gt;</w:t>
      </w:r>
      <w:r>
        <w:rPr>
          <w:rStyle w:val="indexentry"/>
        </w:rPr>
        <w:fldChar w:fldCharType="begin"/>
      </w:r>
      <w:r>
        <w:instrText>xe "</w:instrText>
      </w:r>
      <w:r>
        <w:rPr>
          <w:rStyle w:val="xeentry"/>
        </w:rPr>
        <w:instrText>typical value: contrasted with elliptical value for sumti</w:instrText>
      </w:r>
      <w:r>
        <w:instrText>"</w:instrText>
      </w:r>
      <w:r>
        <w:rPr>
          <w:rStyle w:val="indexentry"/>
        </w:rPr>
        <w:fldChar w:fldCharType="end"/>
      </w:r>
      <w:r>
        <w:t>The cmavo of the zo'e-series represent indefinite, unspecified sumti.</w:t>
      </w:r>
      <w:r>
        <w:rPr>
          <w:rStyle w:val="deletedparamark"/>
        </w:rPr>
        <w:t xml:space="preserve"> </w:t>
      </w:r>
      <w:r>
        <w:t>The cmavo “zo'e” represents an elliptical value for this sumti place; it is</w:t>
      </w:r>
      <w:r>
        <w:rPr>
          <w:rStyle w:val="deletedparamark"/>
        </w:rPr>
        <w:t xml:space="preserve"> </w:t>
      </w:r>
      <w:r>
        <w:t>the optional spoken place holder when a sumti is skipped without being</w:t>
      </w:r>
      <w:r>
        <w:rPr>
          <w:rStyle w:val="deletedparamark"/>
        </w:rPr>
        <w:t xml:space="preserve"> </w:t>
      </w:r>
      <w:r>
        <w:t>specified. Note that the elliptical value is not always the typical value.</w:t>
      </w:r>
      <w:r>
        <w:rPr>
          <w:rStyle w:val="deletedparamark"/>
        </w:rPr>
        <w:t xml:space="preserve"> </w:t>
      </w:r>
      <w:r>
        <w:t>The properties of ellipsis lead to an elliptical sumti being defined as</w:t>
      </w:r>
      <w:r>
        <w:rPr>
          <w:rStyle w:val="deletedparamark"/>
        </w:rPr>
        <w:t xml:space="preserve"> “</w:t>
      </w:r>
      <w:r>
        <w:t>whatever I want it to mean but haven't bothered to figure out, or figure</w:t>
      </w:r>
      <w:r>
        <w:rPr>
          <w:rStyle w:val="deletedparamark"/>
        </w:rPr>
        <w:t xml:space="preserve"> </w:t>
      </w:r>
      <w:r>
        <w:t>out how to express”.</w:t>
      </w:r>
    </w:p>
    <w:p w:rsidR="00B72047" w:rsidRDefault="00B72047">
      <w:pPr>
        <w:rPr>
          <w:rStyle w:val="htmlparacode"/>
        </w:rPr>
      </w:pPr>
      <w:r>
        <w:rPr>
          <w:rStyle w:val="htmlparacode"/>
        </w:rPr>
        <w:t>&lt;p&gt;</w:t>
      </w:r>
    </w:p>
    <w:p w:rsidR="00B72047" w:rsidRDefault="00B72047">
      <w:pPr>
        <w:pStyle w:val="normalparagraph"/>
      </w:pPr>
      <w:r>
        <w:rPr>
          <w:rStyle w:val="indexentry"/>
        </w:rPr>
        <w:t>&lt;lx "zu'i"&gt;</w:t>
      </w:r>
      <w:r>
        <w:rPr>
          <w:rStyle w:val="indexentry"/>
        </w:rPr>
        <w:fldChar w:fldCharType="begin"/>
      </w:r>
      <w:r>
        <w:instrText>xe "</w:instrText>
      </w:r>
      <w:r>
        <w:rPr>
          <w:rStyle w:val="xeentry"/>
        </w:rPr>
        <w:instrText>zu'i</w:instrText>
      </w:r>
      <w:r>
        <w:instrText>"</w:instrText>
      </w:r>
      <w:r>
        <w:rPr>
          <w:rStyle w:val="indexentry"/>
        </w:rPr>
        <w:fldChar w:fldCharType="end"/>
      </w:r>
      <w:r>
        <w:rPr>
          <w:rStyle w:val="indexentry"/>
        </w:rPr>
        <w:t>&lt;cx "pro-sumti, typical"&gt;</w:t>
      </w:r>
      <w:r>
        <w:rPr>
          <w:rStyle w:val="indexentry"/>
        </w:rPr>
        <w:fldChar w:fldCharType="begin"/>
      </w:r>
      <w:r>
        <w:instrText>xe "</w:instrText>
      </w:r>
      <w:r>
        <w:rPr>
          <w:rStyle w:val="xeentry"/>
        </w:rPr>
        <w:instrText>pro-sumti: typical</w:instrText>
      </w:r>
      <w:r>
        <w:instrText>"</w:instrText>
      </w:r>
      <w:r>
        <w:rPr>
          <w:rStyle w:val="indexentry"/>
        </w:rPr>
        <w:fldChar w:fldCharType="end"/>
      </w:r>
      <w:r>
        <w:rPr>
          <w:rStyle w:val="indexentry"/>
        </w:rPr>
        <w:t>&lt;cx "typical sumti"&gt;</w:t>
      </w:r>
      <w:r>
        <w:rPr>
          <w:rStyle w:val="indexentry"/>
        </w:rPr>
        <w:fldChar w:fldCharType="begin"/>
      </w:r>
      <w:r>
        <w:instrText>xe "</w:instrText>
      </w:r>
      <w:r>
        <w:rPr>
          <w:rStyle w:val="xeentry"/>
        </w:rPr>
        <w:instrText>typical sumti</w:instrText>
      </w:r>
      <w:r>
        <w:instrText>"</w:instrText>
      </w:r>
      <w:r>
        <w:rPr>
          <w:rStyle w:val="indexentry"/>
        </w:rPr>
        <w:fldChar w:fldCharType="end"/>
      </w:r>
      <w:r>
        <w:t>The cmavo “zu'i”, on the other hand, represents the typical value for this</w:t>
      </w:r>
      <w:r>
        <w:rPr>
          <w:rStyle w:val="deletedparamark"/>
        </w:rPr>
        <w:t xml:space="preserve"> </w:t>
      </w:r>
      <w:r>
        <w:t>place of this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name=e7d1&gt;</w:t>
      </w:r>
      <w:r>
        <w:t>7.1)</w:t>
      </w:r>
      <w:r>
        <w:tab/>
        <w:t>mi klama le bartu be le zdani le nenri be le zdani</w:t>
      </w:r>
    </w:p>
    <w:p w:rsidR="00B72047" w:rsidRDefault="00B72047">
      <w:pPr>
        <w:pStyle w:val="examplescaled"/>
      </w:pPr>
      <w:r>
        <w:tab/>
      </w:r>
      <w:r>
        <w:tab/>
        <w:t>zu'i zu'i</w:t>
      </w:r>
    </w:p>
    <w:p w:rsidR="00B72047" w:rsidRDefault="00B72047">
      <w:pPr>
        <w:pStyle w:val="examplescaled"/>
      </w:pPr>
      <w:r>
        <w:tab/>
        <w:t>I go to-the outside of the house from-the inside of the house</w:t>
      </w:r>
    </w:p>
    <w:p w:rsidR="00B72047" w:rsidRDefault="00B72047">
      <w:pPr>
        <w:pStyle w:val="examplescaled"/>
      </w:pPr>
      <w:r>
        <w:tab/>
      </w:r>
      <w:r>
        <w:tab/>
        <w:t>[by-typical-route] [by-typical-means]</w:t>
      </w:r>
    </w:p>
    <w:p w:rsidR="00B72047" w:rsidRDefault="00B72047">
      <w:pPr>
        <w:pStyle w:val="resumedafterexample"/>
      </w:pPr>
      <w:r>
        <w:rPr>
          <w:rStyle w:val="htmlcodes"/>
        </w:rPr>
        <w:t>&lt;/pre&gt;&lt;p&gt;</w:t>
      </w:r>
      <w:r>
        <w:t xml:space="preserve">In </w:t>
      </w:r>
      <w:r>
        <w:rPr>
          <w:rStyle w:val="htmlcodes"/>
        </w:rPr>
        <w:t>&lt;a href=#e7d1&gt;</w:t>
      </w:r>
      <w:r>
        <w:t>Example 7.1</w:t>
      </w:r>
      <w:r>
        <w:rPr>
          <w:rStyle w:val="htmlcodes"/>
        </w:rPr>
        <w:t>&lt;/a&gt;</w:t>
      </w:r>
      <w:r>
        <w:t>, the first “zu'i” probably means something like “by the door”,</w:t>
      </w:r>
      <w:r>
        <w:rPr>
          <w:rStyle w:val="deletedparamark"/>
        </w:rPr>
        <w:t xml:space="preserve"> </w:t>
      </w:r>
      <w:r>
        <w:t>and the second “zu'i” probably means something like “on foot”, those being</w:t>
      </w:r>
      <w:r>
        <w:rPr>
          <w:rStyle w:val="deletedparamark"/>
        </w:rPr>
        <w:t xml:space="preserve"> </w:t>
      </w:r>
      <w:r>
        <w:t>the typical route and means for leaving a house. On the other hand,</w:t>
      </w:r>
      <w:r>
        <w:rPr>
          <w:rStyle w:val="deletedparamark"/>
        </w:rPr>
        <w:t xml:space="preserve"> </w:t>
      </w:r>
      <w:r>
        <w:t>if you are at the top of a high rise during a fire, neither “zu'i” is</w:t>
      </w:r>
      <w:r>
        <w:rPr>
          <w:rStyle w:val="deletedparamark"/>
        </w:rPr>
        <w:t xml:space="preserve"> </w:t>
      </w:r>
      <w:r>
        <w:t>appropriate. It's also common to use “zu'i” in “by stan</w:t>
      </w:r>
      <w:r>
        <w:softHyphen/>
        <w:t>dard” places.</w:t>
      </w:r>
    </w:p>
    <w:p w:rsidR="00B72047" w:rsidRDefault="00B72047">
      <w:pPr>
        <w:rPr>
          <w:rStyle w:val="htmlparacode"/>
        </w:rPr>
      </w:pPr>
      <w:r>
        <w:rPr>
          <w:rStyle w:val="htmlparacode"/>
        </w:rPr>
        <w:t>&lt;p&gt;</w:t>
      </w:r>
    </w:p>
    <w:p w:rsidR="00B72047" w:rsidRDefault="00B72047">
      <w:pPr>
        <w:pStyle w:val="normalparagraph"/>
      </w:pPr>
      <w:r>
        <w:rPr>
          <w:rStyle w:val="indexentry"/>
        </w:rPr>
        <w:t>&lt;cx "zi'o"&gt;</w:t>
      </w:r>
      <w:r>
        <w:rPr>
          <w:rStyle w:val="indexentry"/>
        </w:rPr>
        <w:fldChar w:fldCharType="begin"/>
      </w:r>
      <w:r>
        <w:instrText>xe "</w:instrText>
      </w:r>
      <w:r>
        <w:rPr>
          <w:rStyle w:val="xeentry"/>
        </w:rPr>
        <w:instrText>zi'o</w:instrText>
      </w:r>
      <w:r>
        <w:instrText>"</w:instrText>
      </w:r>
      <w:r>
        <w:rPr>
          <w:rStyle w:val="indexentry"/>
        </w:rPr>
        <w:fldChar w:fldCharType="end"/>
      </w:r>
      <w:r>
        <w:rPr>
          <w:rStyle w:val="indexentry"/>
        </w:rPr>
        <w:t>&lt;cx "sumti, irrelevant to relationship"&gt;</w:t>
      </w:r>
      <w:r>
        <w:rPr>
          <w:rStyle w:val="indexentry"/>
        </w:rPr>
        <w:fldChar w:fldCharType="begin"/>
      </w:r>
      <w:r>
        <w:instrText>xe "</w:instrText>
      </w:r>
      <w:r>
        <w:rPr>
          <w:rStyle w:val="xeentry"/>
        </w:rPr>
        <w:instrText>sumti: irrelevant to relationship</w:instrText>
      </w:r>
      <w:r>
        <w:instrText>"</w:instrText>
      </w:r>
      <w:r>
        <w:rPr>
          <w:rStyle w:val="indexentry"/>
        </w:rPr>
        <w:fldChar w:fldCharType="end"/>
      </w:r>
      <w:r>
        <w:rPr>
          <w:rStyle w:val="indexentry"/>
        </w:rPr>
        <w:t>&lt;cx "irrelevant, specifying of sumti place"&gt;</w:t>
      </w:r>
      <w:r>
        <w:rPr>
          <w:rStyle w:val="indexentry"/>
        </w:rPr>
        <w:fldChar w:fldCharType="begin"/>
      </w:r>
      <w:r>
        <w:instrText>xe "</w:instrText>
      </w:r>
      <w:r>
        <w:rPr>
          <w:rStyle w:val="xeentry"/>
        </w:rPr>
        <w:instrText>irrelevant: specifying of sumti place</w:instrText>
      </w:r>
      <w:r>
        <w:instrText>"</w:instrText>
      </w:r>
      <w:r>
        <w:rPr>
          <w:rStyle w:val="indexentry"/>
        </w:rPr>
        <w:fldChar w:fldCharType="end"/>
      </w:r>
      <w:r>
        <w:t>Finally, the cmavo “zi'o” represents a value which does not even exist.</w:t>
      </w:r>
      <w:r>
        <w:rPr>
          <w:rStyle w:val="deletedparamark"/>
        </w:rPr>
        <w:t xml:space="preserve"> </w:t>
      </w:r>
      <w:r>
        <w:t>When a bridi fills one of its places with “zi'o”, what is really meant</w:t>
      </w:r>
      <w:r>
        <w:rPr>
          <w:rStyle w:val="deletedparamark"/>
        </w:rPr>
        <w:t xml:space="preserve"> </w:t>
      </w:r>
      <w:r>
        <w:t>is that the selbri has a place which is irrelevant to the true re</w:t>
      </w:r>
      <w:r>
        <w:softHyphen/>
        <w:t>lationship</w:t>
      </w:r>
      <w:r>
        <w:rPr>
          <w:rStyle w:val="deletedparamark"/>
        </w:rPr>
        <w:t xml:space="preserve"> </w:t>
      </w:r>
      <w:r>
        <w:t>the speaker wishes to express. For example, the place structure of</w:t>
      </w:r>
      <w:r>
        <w:rPr>
          <w:rStyle w:val="deletedparamark"/>
        </w:rPr>
        <w:t xml:space="preserve"> “</w:t>
      </w:r>
      <w:r>
        <w:t>zbasu”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zbasu:  </w:t>
      </w:r>
      <w:r>
        <w:rPr>
          <w:rStyle w:val="htmlcodes"/>
        </w:rPr>
        <w:t>&lt;dd&gt;</w:t>
      </w:r>
      <w:r>
        <w:t>actor x1 makes x2 from materials x3</w:t>
      </w:r>
    </w:p>
    <w:p w:rsidR="00B72047" w:rsidRDefault="00B72047">
      <w:pPr>
        <w:pStyle w:val="resumedafterexample"/>
      </w:pPr>
      <w:r>
        <w:rPr>
          <w:rStyle w:val="htmlcodes"/>
        </w:rPr>
        <w:t>&lt;/dl&gt;</w:t>
      </w:r>
      <w:r>
        <w:rPr>
          <w:rStyle w:val="indexentry"/>
        </w:rPr>
        <w:t>&lt;ex "living things"&gt;</w:t>
      </w:r>
      <w:r>
        <w:rPr>
          <w:rStyle w:val="indexentry"/>
        </w:rPr>
        <w:fldChar w:fldCharType="begin"/>
      </w:r>
      <w:r>
        <w:instrText>xe "</w:instrText>
      </w:r>
      <w:r>
        <w:rPr>
          <w:rStyle w:val="xeentry"/>
        </w:rPr>
        <w:instrText>living things: example</w:instrText>
      </w:r>
      <w:r>
        <w:instrText>"</w:instrText>
      </w:r>
      <w:r>
        <w:rPr>
          <w:rStyle w:val="indexentry"/>
        </w:rPr>
        <w:fldChar w:fldCharType="end"/>
      </w:r>
      <w:r>
        <w:t>Consider the sentence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Living things are made from cells.</w:t>
      </w:r>
    </w:p>
    <w:p w:rsidR="00B72047" w:rsidRDefault="00B72047">
      <w:pPr>
        <w:pStyle w:val="resumedafterexample"/>
      </w:pPr>
      <w:r>
        <w:rPr>
          <w:rStyle w:val="htmlcodes"/>
        </w:rPr>
        <w:t>&lt;/dl&gt;&lt;p&gt;</w:t>
      </w:r>
      <w:r>
        <w:t>This cannot be correctly expressed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loi jmive cu se zbasu [zo'e] fi loi selci</w:t>
      </w:r>
    </w:p>
    <w:p w:rsidR="00B72047" w:rsidRDefault="00B72047">
      <w:pPr>
        <w:pStyle w:val="examplescaled"/>
      </w:pPr>
      <w:r>
        <w:tab/>
        <w:t>The-mass-of living-things is-made [by-something] from the-mass-of cells</w:t>
      </w:r>
    </w:p>
    <w:p w:rsidR="00B72047" w:rsidRDefault="00B72047">
      <w:pPr>
        <w:pStyle w:val="resumedafterexample"/>
      </w:pPr>
      <w:r>
        <w:rPr>
          <w:rStyle w:val="htmlcodes"/>
        </w:rPr>
        <w:t>&lt;/pre&gt;</w:t>
      </w:r>
      <w:r>
        <w:t xml:space="preserve">because the “zo'e”, expressed or understood, in </w:t>
      </w:r>
      <w:r>
        <w:rPr>
          <w:rStyle w:val="htmlcodes"/>
        </w:rPr>
        <w:t>&lt;a href=#e7d2&gt;</w:t>
      </w:r>
      <w:r>
        <w:t xml:space="preserve">Example 7.2 </w:t>
      </w:r>
      <w:r>
        <w:rPr>
          <w:rStyle w:val="htmlcodes"/>
        </w:rPr>
        <w:t>&lt;/a&gt;</w:t>
      </w:r>
      <w:r>
        <w:t>indi</w:t>
      </w:r>
      <w:r>
        <w:softHyphen/>
        <w:t>cates that</w:t>
      </w:r>
      <w:r>
        <w:rPr>
          <w:rStyle w:val="deletedparamark"/>
        </w:rPr>
        <w:t xml:space="preserve"> </w:t>
      </w:r>
      <w:r>
        <w:t>there is still a “maker” in this relationship. We do not gen</w:t>
      </w:r>
      <w:r>
        <w:softHyphen/>
        <w:t>erally suppose,</w:t>
      </w:r>
      <w:r>
        <w:rPr>
          <w:rStyle w:val="deletedparamark"/>
        </w:rPr>
        <w:t xml:space="preserve"> </w:t>
      </w:r>
      <w:r>
        <w:t>however, that someone “makes” living things from cells. The best answer</w:t>
      </w:r>
      <w:r>
        <w:rPr>
          <w:rStyle w:val="deletedparamark"/>
        </w:rPr>
        <w:t xml:space="preserve"> </w:t>
      </w:r>
      <w:r>
        <w:t>is probably to find a different selbri, one which does not imply a “maker”:</w:t>
      </w:r>
      <w:r>
        <w:rPr>
          <w:rStyle w:val="deletedparamark"/>
        </w:rPr>
        <w:t xml:space="preserve"> </w:t>
      </w:r>
      <w:r>
        <w:t>however, an alternative strategy is to use “zi'o” to eliminate the maker</w:t>
      </w:r>
      <w:r>
        <w:rPr>
          <w:rStyle w:val="deletedparamark"/>
        </w:rPr>
        <w:t xml:space="preserve"> </w:t>
      </w:r>
      <w:r>
        <w:t>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loi jmive cu se zbasu zi'o loi selci</w:t>
      </w:r>
    </w:p>
    <w:p w:rsidR="00B72047" w:rsidRDefault="00B72047">
      <w:pPr>
        <w:pStyle w:val="examplescaled"/>
      </w:pPr>
      <w:r>
        <w:tab/>
        <w:t>The-mass-of living-things is-made [without-maker] from the-mass-of cells.</w:t>
      </w:r>
    </w:p>
    <w:p w:rsidR="00B72047" w:rsidRDefault="00B72047">
      <w:pPr>
        <w:pStyle w:val="resumedafterexample"/>
      </w:pPr>
      <w:r>
        <w:rPr>
          <w:rStyle w:val="htmlcodes"/>
        </w:rPr>
        <w:t>&lt;/pre&gt;</w:t>
      </w:r>
      <w:r>
        <w:rPr>
          <w:rStyle w:val="indexentry"/>
        </w:rPr>
        <w:t>&lt;cx "zi'o, as creating new selbri"&gt;</w:t>
      </w:r>
      <w:r>
        <w:rPr>
          <w:rStyle w:val="indexentry"/>
        </w:rPr>
        <w:fldChar w:fldCharType="begin"/>
      </w:r>
      <w:r>
        <w:instrText>xe "</w:instrText>
      </w:r>
      <w:r>
        <w:rPr>
          <w:rStyle w:val="xeentry"/>
        </w:rPr>
        <w:instrText>zi'o: as creating new selbri</w:instrText>
      </w:r>
      <w:r>
        <w:instrText>"</w:instrText>
      </w:r>
      <w:r>
        <w:rPr>
          <w:rStyle w:val="indexentry"/>
        </w:rPr>
        <w:fldChar w:fldCharType="end"/>
      </w:r>
      <w:r>
        <w:t>Note: The use of “zi'o” to block up, as it were, one place of a selbri</w:t>
      </w:r>
      <w:r>
        <w:rPr>
          <w:rStyle w:val="deletedparamark"/>
        </w:rPr>
        <w:t xml:space="preserve"> </w:t>
      </w:r>
      <w:r>
        <w:t>actually creates a new selbri with a different place structure. Consider</w:t>
      </w:r>
      <w:r>
        <w:rPr>
          <w:rStyle w:val="deletedparamark"/>
        </w:rPr>
        <w:t xml:space="preserve"> </w:t>
      </w:r>
      <w:r>
        <w:t>the following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mi zbasu le dinju loi mudri</w:t>
      </w:r>
    </w:p>
    <w:p w:rsidR="00B72047" w:rsidRDefault="00B72047">
      <w:pPr>
        <w:pStyle w:val="examplescaled"/>
      </w:pPr>
      <w:r>
        <w:tab/>
        <w:t>I make the building from-some-of-the-mass-of wood.</w:t>
      </w:r>
    </w:p>
    <w:p w:rsidR="00B72047" w:rsidRDefault="00B72047">
      <w:pPr>
        <w:pStyle w:val="examplescaled"/>
      </w:pPr>
      <w:r>
        <w:tab/>
        <w:t>I make the building out of wood.</w:t>
      </w:r>
    </w:p>
    <w:p w:rsidR="00B72047" w:rsidRDefault="00B72047">
      <w:pPr>
        <w:pStyle w:val="examplescaledpre"/>
      </w:pPr>
      <w:r>
        <w:rPr>
          <w:rStyle w:val="htmlcodes"/>
        </w:rPr>
        <w:t>&lt;a name=e7d5&gt;</w:t>
      </w:r>
      <w:r>
        <w:t>7.5)</w:t>
      </w:r>
      <w:r>
        <w:tab/>
        <w:t>zi'o zbasu le dinju loi mudri</w:t>
      </w:r>
    </w:p>
    <w:p w:rsidR="00B72047" w:rsidRDefault="00B72047">
      <w:pPr>
        <w:pStyle w:val="examplescaled"/>
      </w:pPr>
      <w:r>
        <w:tab/>
        <w:t>[without-maker] makes the building from-some-of-the-mass-of wood.</w:t>
      </w:r>
    </w:p>
    <w:p w:rsidR="00B72047" w:rsidRDefault="00B72047">
      <w:pPr>
        <w:pStyle w:val="examplescaled"/>
      </w:pPr>
      <w:r>
        <w:tab/>
        <w:t>The building is made out of wood.</w:t>
      </w:r>
    </w:p>
    <w:p w:rsidR="00B72047" w:rsidRDefault="00B72047">
      <w:pPr>
        <w:pStyle w:val="examplescaledpre"/>
      </w:pPr>
      <w:r>
        <w:rPr>
          <w:rStyle w:val="htmlcodes"/>
          <w:vanish w:val="0"/>
        </w:rPr>
        <w:br w:type="page"/>
      </w:r>
      <w:r>
        <w:rPr>
          <w:rStyle w:val="htmlcodes"/>
        </w:rPr>
        <w:t>&lt;a name=e7d6&gt;</w:t>
      </w:r>
      <w:r>
        <w:t>7.6)</w:t>
      </w:r>
      <w:r>
        <w:tab/>
        <w:t>mi zbasu zi'o loi mudri</w:t>
      </w:r>
    </w:p>
    <w:p w:rsidR="00B72047" w:rsidRDefault="00B72047">
      <w:pPr>
        <w:pStyle w:val="examplescaled"/>
      </w:pPr>
      <w:r>
        <w:tab/>
        <w:t>I make [without-thing-made] from-some-of-the-mass-of wood.</w:t>
      </w:r>
    </w:p>
    <w:p w:rsidR="00B72047" w:rsidRDefault="00B72047">
      <w:pPr>
        <w:pStyle w:val="examplescaled"/>
      </w:pPr>
      <w:r>
        <w:tab/>
        <w:t>I build using wood.</w:t>
      </w:r>
    </w:p>
    <w:p w:rsidR="00B72047" w:rsidRDefault="00B72047">
      <w:pPr>
        <w:pStyle w:val="examplescaledpre"/>
      </w:pPr>
      <w:r>
        <w:rPr>
          <w:rStyle w:val="htmlcodes"/>
        </w:rPr>
        <w:t>&lt;a name=e7d7&gt;</w:t>
      </w:r>
      <w:r>
        <w:t>7.7)</w:t>
      </w:r>
      <w:r>
        <w:tab/>
        <w:t>mi zbasu loi mudri zi'o</w:t>
      </w:r>
    </w:p>
    <w:p w:rsidR="00B72047" w:rsidRDefault="00B72047">
      <w:pPr>
        <w:pStyle w:val="examplescaled"/>
      </w:pPr>
      <w:r>
        <w:tab/>
        <w:t>I make the building [without-material].</w:t>
      </w:r>
    </w:p>
    <w:p w:rsidR="00B72047" w:rsidRDefault="00B72047">
      <w:pPr>
        <w:pStyle w:val="examplescaled"/>
      </w:pPr>
      <w:r>
        <w:tab/>
        <w:t>I make the building.</w:t>
      </w:r>
    </w:p>
    <w:p w:rsidR="00B72047" w:rsidRDefault="00B72047">
      <w:pPr>
        <w:pStyle w:val="resumedafterexample"/>
      </w:pPr>
      <w:r>
        <w:rPr>
          <w:rStyle w:val="htmlcodes"/>
        </w:rPr>
        <w:t>&lt;/pre&gt;&lt;p&gt;</w:t>
      </w:r>
      <w:r>
        <w:t xml:space="preserve">If </w:t>
      </w:r>
      <w:r>
        <w:rPr>
          <w:rStyle w:val="htmlcodes"/>
        </w:rPr>
        <w:t>&lt;a href=#e7d4&gt;</w:t>
      </w:r>
      <w:r>
        <w:t xml:space="preserve">Example 7.4 </w:t>
      </w:r>
      <w:r>
        <w:rPr>
          <w:rStyle w:val="htmlcodes"/>
        </w:rPr>
        <w:t>&lt;/a&gt;</w:t>
      </w:r>
      <w:r>
        <w:t xml:space="preserve">is true, then </w:t>
      </w:r>
      <w:r>
        <w:rPr>
          <w:rStyle w:val="htmlcodes"/>
        </w:rPr>
        <w:t>&lt;a href=#e7d{5}&gt;</w:t>
      </w:r>
      <w:r>
        <w:t xml:space="preserve">Examples 7.5 </w:t>
      </w:r>
      <w:r>
        <w:rPr>
          <w:rStyle w:val="htmlcodes"/>
        </w:rPr>
        <w:t>&lt;/a&gt;</w:t>
      </w:r>
      <w:r>
        <w:t xml:space="preserve">through </w:t>
      </w:r>
      <w:r>
        <w:rPr>
          <w:rStyle w:val="htmlcodes"/>
        </w:rPr>
        <w:t>&lt;a href=#e7d7&gt;</w:t>
      </w:r>
      <w:r>
        <w:t xml:space="preserve">7.7 </w:t>
      </w:r>
      <w:r>
        <w:rPr>
          <w:rStyle w:val="htmlcodes"/>
        </w:rPr>
        <w:t>&lt;/a&gt;</w:t>
      </w:r>
      <w:r>
        <w:t>must be true also.</w:t>
      </w:r>
      <w:r>
        <w:rPr>
          <w:rStyle w:val="deletedparamark"/>
        </w:rPr>
        <w:t xml:space="preserve"> </w:t>
      </w:r>
      <w:r>
        <w:t xml:space="preserve">However, </w:t>
      </w:r>
      <w:r>
        <w:rPr>
          <w:rStyle w:val="htmlcodes"/>
        </w:rPr>
        <w:t>&lt;a href=#e7d3&gt;</w:t>
      </w:r>
      <w:r>
        <w:t>Ex</w:t>
      </w:r>
      <w:r>
        <w:softHyphen/>
        <w:t xml:space="preserve">ample 7.3 </w:t>
      </w:r>
      <w:r>
        <w:rPr>
          <w:rStyle w:val="htmlcodes"/>
        </w:rPr>
        <w:t>&lt;/a&gt;</w:t>
      </w:r>
      <w:r>
        <w:t>does not correspond to any sentence with three regular</w:t>
      </w:r>
      <w:r>
        <w:rPr>
          <w:rStyle w:val="deletedparamark"/>
        </w:rPr>
        <w:t xml:space="preserve"> </w:t>
      </w:r>
      <w:r>
        <w:t>(non-“zi'o”) sumti.</w:t>
      </w:r>
    </w:p>
    <w:p w:rsidR="00B72047" w:rsidRDefault="00B72047">
      <w:pPr>
        <w:rPr>
          <w:rStyle w:val="htmlparacode"/>
        </w:rPr>
      </w:pPr>
      <w:r>
        <w:rPr>
          <w:rStyle w:val="htmlparacode"/>
        </w:rPr>
        <w:t>&lt;p&gt;</w:t>
      </w:r>
    </w:p>
    <w:p w:rsidR="00B72047" w:rsidRDefault="00B72047">
      <w:pPr>
        <w:pStyle w:val="normalparagraph"/>
      </w:pPr>
      <w:r>
        <w:rPr>
          <w:rStyle w:val="indexentry"/>
        </w:rPr>
        <w:t>&lt;lx "co'e"&gt;</w:t>
      </w:r>
      <w:r>
        <w:rPr>
          <w:rStyle w:val="indexentry"/>
        </w:rPr>
        <w:fldChar w:fldCharType="begin"/>
      </w:r>
      <w:r>
        <w:instrText>xe "</w:instrText>
      </w:r>
      <w:r>
        <w:rPr>
          <w:rStyle w:val="xeentry"/>
        </w:rPr>
        <w:instrText>co'e</w:instrText>
      </w:r>
      <w:r>
        <w:instrText>"</w:instrText>
      </w:r>
      <w:r>
        <w:rPr>
          <w:rStyle w:val="indexentry"/>
        </w:rPr>
        <w:fldChar w:fldCharType="end"/>
      </w:r>
      <w:r>
        <w:rPr>
          <w:rStyle w:val="indexentry"/>
        </w:rPr>
        <w:t>&lt;cx "selbri, omitting with co'e"&gt;</w:t>
      </w:r>
      <w:r>
        <w:rPr>
          <w:rStyle w:val="indexentry"/>
        </w:rPr>
        <w:fldChar w:fldCharType="begin"/>
      </w:r>
      <w:r>
        <w:instrText>xe "</w:instrText>
      </w:r>
      <w:r>
        <w:rPr>
          <w:rStyle w:val="xeentry"/>
        </w:rPr>
        <w:instrText>selbri: omitting with co'e</w:instrText>
      </w:r>
      <w:r>
        <w:instrText>"</w:instrText>
      </w:r>
      <w:r>
        <w:rPr>
          <w:rStyle w:val="indexentry"/>
        </w:rPr>
        <w:fldChar w:fldCharType="end"/>
      </w:r>
      <w:r>
        <w:rPr>
          <w:rStyle w:val="indexentry"/>
        </w:rPr>
        <w:t>&lt;cx "co'e, as selbri place-holder"&gt;</w:t>
      </w:r>
      <w:r>
        <w:rPr>
          <w:rStyle w:val="indexentry"/>
        </w:rPr>
        <w:fldChar w:fldCharType="begin"/>
      </w:r>
      <w:r>
        <w:instrText>xe "</w:instrText>
      </w:r>
      <w:r>
        <w:rPr>
          <w:rStyle w:val="xeentry"/>
        </w:rPr>
        <w:instrText>co'e: as selbri place-holder</w:instrText>
      </w:r>
      <w:r>
        <w:instrText>"</w:instrText>
      </w:r>
      <w:r>
        <w:rPr>
          <w:rStyle w:val="indexentry"/>
        </w:rPr>
        <w:fldChar w:fldCharType="end"/>
      </w:r>
      <w:r>
        <w:t>The pro-bridi “co'e” (which by itself constitutes the co'e-series of selma'o</w:t>
      </w:r>
      <w:r>
        <w:rPr>
          <w:rStyle w:val="deletedparamark"/>
        </w:rPr>
        <w:t xml:space="preserve"> </w:t>
      </w:r>
      <w:r>
        <w:t>GOhA) represents the elliptical selbri. Lojban grammar does not allow the</w:t>
      </w:r>
      <w:r>
        <w:rPr>
          <w:rStyle w:val="deletedparamark"/>
        </w:rPr>
        <w:t xml:space="preserve"> </w:t>
      </w:r>
      <w:r>
        <w:t>speaker to merely omit a selbri from a bridi, al</w:t>
      </w:r>
      <w:r>
        <w:softHyphen/>
        <w:t>though any or all sumti may</w:t>
      </w:r>
      <w:r>
        <w:rPr>
          <w:rStyle w:val="deletedparamark"/>
        </w:rPr>
        <w:t xml:space="preserve"> </w:t>
      </w:r>
      <w:r>
        <w:t>be freely omitted. Be</w:t>
      </w:r>
      <w:r>
        <w:softHyphen/>
        <w:t>ing vague about a relationship requires the use of</w:t>
      </w:r>
      <w:r>
        <w:rPr>
          <w:rStyle w:val="deletedparamark"/>
        </w:rPr>
        <w:t xml:space="preserve"> “</w:t>
      </w:r>
      <w:r>
        <w:t>co'e” as a selbri place-holder: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mi troci le nu mi co'e le vorme</w:t>
      </w:r>
    </w:p>
    <w:p w:rsidR="00B72047" w:rsidRDefault="00B72047">
      <w:pPr>
        <w:pStyle w:val="examplescaled"/>
      </w:pPr>
      <w:r>
        <w:tab/>
        <w:t>I try the event-of my [doing-the-obvious-action] to-the door.</w:t>
      </w:r>
    </w:p>
    <w:p w:rsidR="00B72047" w:rsidRDefault="00B72047">
      <w:pPr>
        <w:pStyle w:val="examplescaled"/>
      </w:pPr>
      <w:r>
        <w:tab/>
        <w:t>I try the door.</w:t>
      </w:r>
    </w:p>
    <w:p w:rsidR="00B72047" w:rsidRDefault="00B72047">
      <w:pPr>
        <w:pStyle w:val="resumedafterexample"/>
      </w:pPr>
      <w:r>
        <w:rPr>
          <w:rStyle w:val="htmlcodes"/>
        </w:rPr>
        <w:t>&lt;/pre&gt;&lt;p&gt;</w:t>
      </w:r>
      <w:r>
        <w:t>The English version means, and the Lojban version probably means, that I try</w:t>
      </w:r>
      <w:r>
        <w:rPr>
          <w:rStyle w:val="deletedparamark"/>
        </w:rPr>
        <w:t xml:space="preserve"> </w:t>
      </w:r>
      <w:r>
        <w:t>to open the door, but the relationship of opening is not actu</w:t>
      </w:r>
      <w:r>
        <w:softHyphen/>
        <w:t>ally specified;</w:t>
      </w:r>
      <w:r>
        <w:rPr>
          <w:rStyle w:val="deletedparamark"/>
        </w:rPr>
        <w:t xml:space="preserve"> </w:t>
      </w:r>
      <w:r>
        <w:t>the Lojbanic listener must guess it from context. Loj</w:t>
      </w:r>
      <w:r>
        <w:softHyphen/>
        <w:t>ban, unlike English,</w:t>
      </w:r>
      <w:r>
        <w:rPr>
          <w:rStyle w:val="deletedparamark"/>
        </w:rPr>
        <w:t xml:space="preserve"> </w:t>
      </w:r>
      <w:r>
        <w:t>makes it clear that there is an im</w:t>
      </w:r>
      <w:r>
        <w:softHyphen/>
        <w:t>plicit a</w:t>
      </w:r>
      <w:r>
        <w:t>c</w:t>
      </w:r>
      <w:r>
        <w:softHyphen/>
        <w:t>tion that is not being</w:t>
      </w:r>
      <w:r>
        <w:rPr>
          <w:rStyle w:val="deletedparamark"/>
        </w:rPr>
        <w:t xml:space="preserve"> </w:t>
      </w:r>
      <w:r>
        <w:t>expressed.</w:t>
      </w:r>
    </w:p>
    <w:p w:rsidR="00B72047" w:rsidRDefault="00B72047">
      <w:pPr>
        <w:rPr>
          <w:rStyle w:val="htmlparacode"/>
        </w:rPr>
      </w:pPr>
      <w:r>
        <w:rPr>
          <w:rStyle w:val="htmlparacode"/>
        </w:rPr>
        <w:t>&lt;p&gt;</w:t>
      </w:r>
    </w:p>
    <w:p w:rsidR="00B72047" w:rsidRDefault="00B72047">
      <w:pPr>
        <w:pStyle w:val="normalparagraph"/>
      </w:pPr>
      <w:r>
        <w:rPr>
          <w:rStyle w:val="indexentry"/>
        </w:rPr>
        <w:t>&lt;cx "co'e, rationale for word form"&gt;</w:t>
      </w:r>
      <w:r>
        <w:rPr>
          <w:rStyle w:val="indexentry"/>
        </w:rPr>
        <w:fldChar w:fldCharType="begin"/>
      </w:r>
      <w:r>
        <w:instrText>xe "</w:instrText>
      </w:r>
      <w:r>
        <w:rPr>
          <w:rStyle w:val="xeentry"/>
        </w:rPr>
        <w:instrText>co'e: rationale for word form</w:instrText>
      </w:r>
      <w:r>
        <w:instrText>"</w:instrText>
      </w:r>
      <w:r>
        <w:rPr>
          <w:rStyle w:val="indexentry"/>
        </w:rPr>
        <w:fldChar w:fldCharType="end"/>
      </w:r>
      <w:r>
        <w:t>The form of “co'e” was chosen to resemble “zo'e”; the cmavo “do'e” of</w:t>
      </w:r>
      <w:r>
        <w:rPr>
          <w:rStyle w:val="deletedparamark"/>
        </w:rPr>
        <w:t xml:space="preserve"> </w:t>
      </w:r>
      <w:r>
        <w:t>sel</w:t>
      </w:r>
      <w:r>
        <w:softHyphen/>
        <w:t xml:space="preserve">ma'o BAI (see </w:t>
      </w:r>
      <w:r>
        <w:rPr>
          <w:rStyle w:val="htmlcodes"/>
        </w:rPr>
        <w:t>&lt;a href=chap9.html&gt;</w:t>
      </w:r>
      <w:r>
        <w:t>Chapter 9</w:t>
      </w:r>
      <w:r>
        <w:rPr>
          <w:rStyle w:val="htmlcodes"/>
        </w:rPr>
        <w:t>&lt;/a&gt;</w:t>
      </w:r>
      <w:r>
        <w:t>) also belongs to the same group of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"do'i, compared with zo'e-series as indefinite pro-sumti"&gt;</w:t>
      </w:r>
      <w:r>
        <w:rPr>
          <w:rStyle w:val="indexentry"/>
        </w:rPr>
        <w:fldChar w:fldCharType="begin"/>
      </w:r>
      <w:r>
        <w:instrText>xe "</w:instrText>
      </w:r>
      <w:r>
        <w:rPr>
          <w:rStyle w:val="xeentry"/>
        </w:rPr>
        <w:instrText>do'i: compared with zo'e-series as indefinite pro-sumti</w:instrText>
      </w:r>
      <w:r>
        <w:instrText>"</w:instrText>
      </w:r>
      <w:r>
        <w:rPr>
          <w:rStyle w:val="indexentry"/>
        </w:rPr>
        <w:fldChar w:fldCharType="end"/>
      </w:r>
      <w:r>
        <w:rPr>
          <w:rStyle w:val="indexentry"/>
        </w:rPr>
        <w:t>&lt;cx "zo'e-series, compared with do'i as indefinite pro-sumti"&gt;</w:t>
      </w:r>
      <w:r>
        <w:rPr>
          <w:rStyle w:val="indexentry"/>
        </w:rPr>
        <w:fldChar w:fldCharType="begin"/>
      </w:r>
      <w:r>
        <w:instrText>xe "</w:instrText>
      </w:r>
      <w:r>
        <w:rPr>
          <w:rStyle w:val="xeentry"/>
        </w:rPr>
        <w:instrText>zo'e-series: compared with do'i as indefinite pro-sumti</w:instrText>
      </w:r>
      <w:r>
        <w:instrText>"</w:instrText>
      </w:r>
      <w:r>
        <w:rPr>
          <w:rStyle w:val="indexentry"/>
        </w:rPr>
        <w:fldChar w:fldCharType="end"/>
      </w:r>
      <w:r>
        <w:t>Note that “do'i”, of the di'u-series, is also a kind of indefinite pro-sumti:</w:t>
      </w:r>
      <w:r>
        <w:rPr>
          <w:rStyle w:val="deletedparamark"/>
        </w:rPr>
        <w:t xml:space="preserve"> </w:t>
      </w:r>
      <w:r>
        <w:t>it is indef</w:t>
      </w:r>
      <w:r>
        <w:t>i</w:t>
      </w:r>
      <w:r>
        <w:softHyphen/>
        <w:t>nite in referent, but is restricted to referring only to an</w:t>
      </w:r>
      <w:r>
        <w:rPr>
          <w:rStyle w:val="deletedparamark"/>
        </w:rPr>
        <w:t xml:space="preserve"> </w:t>
      </w:r>
      <w:r>
        <w:t>utterance.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282" w:name="_Toc398970530"/>
      <w:r>
        <w:rPr>
          <w:rStyle w:val="Heading3Text"/>
        </w:rPr>
        <w:t>Reflexive and reciprocal pro-sumti: the vo'a-series</w:t>
      </w:r>
      <w:bookmarkEnd w:id="28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vo'a</w:t>
      </w:r>
      <w:r>
        <w:tab/>
        <w:t>KOhA</w:t>
      </w:r>
      <w:r>
        <w:tab/>
        <w:t>vo'a-series</w:t>
      </w:r>
      <w:r>
        <w:tab/>
        <w:t>x1 of this bridi</w:t>
      </w:r>
    </w:p>
    <w:p w:rsidR="00B72047" w:rsidRDefault="00B72047">
      <w:pPr>
        <w:pStyle w:val="examplescaled"/>
      </w:pPr>
      <w:r>
        <w:tab/>
        <w:t>vo'e</w:t>
      </w:r>
      <w:r>
        <w:tab/>
        <w:t>KOhA</w:t>
      </w:r>
      <w:r>
        <w:tab/>
        <w:t>vo'a-series</w:t>
      </w:r>
      <w:r>
        <w:tab/>
        <w:t>x2 of this bridi</w:t>
      </w:r>
    </w:p>
    <w:p w:rsidR="00B72047" w:rsidRDefault="00B72047">
      <w:pPr>
        <w:pStyle w:val="examplescaled"/>
      </w:pPr>
      <w:r>
        <w:tab/>
        <w:t>vo'i</w:t>
      </w:r>
      <w:r>
        <w:tab/>
        <w:t>KOhA</w:t>
      </w:r>
      <w:r>
        <w:tab/>
        <w:t>vo'a-series</w:t>
      </w:r>
      <w:r>
        <w:tab/>
        <w:t>x3 of this bridi</w:t>
      </w:r>
    </w:p>
    <w:p w:rsidR="00B72047" w:rsidRDefault="00B72047">
      <w:pPr>
        <w:pStyle w:val="examplescaled"/>
      </w:pPr>
      <w:r>
        <w:tab/>
        <w:t>vo'o</w:t>
      </w:r>
      <w:r>
        <w:tab/>
        <w:t>KOhA</w:t>
      </w:r>
      <w:r>
        <w:tab/>
        <w:t>vo'a-series</w:t>
      </w:r>
      <w:r>
        <w:tab/>
        <w:t>x4 of this bridi</w:t>
      </w:r>
    </w:p>
    <w:p w:rsidR="00B72047" w:rsidRDefault="00B72047">
      <w:pPr>
        <w:pStyle w:val="examplescaled"/>
      </w:pPr>
      <w:r>
        <w:tab/>
        <w:t>vo'u</w:t>
      </w:r>
      <w:r>
        <w:tab/>
        <w:t>KOhA</w:t>
      </w:r>
      <w:r>
        <w:tab/>
        <w:t>vo'a-series</w:t>
      </w:r>
      <w:r>
        <w:tab/>
        <w:t>x5 of this bridi</w:t>
      </w:r>
    </w:p>
    <w:p w:rsidR="00B72047" w:rsidRDefault="00B72047">
      <w:pPr>
        <w:pStyle w:val="examplescaledpre"/>
      </w:pPr>
      <w:r>
        <w:tab/>
        <w:t>soi</w:t>
      </w:r>
      <w:r>
        <w:tab/>
        <w:t>SOI</w:t>
      </w:r>
      <w:r>
        <w:tab/>
      </w:r>
      <w:r>
        <w:tab/>
      </w:r>
      <w:r>
        <w:tab/>
        <w:t>reciprocity</w:t>
      </w:r>
    </w:p>
    <w:p w:rsidR="00B72047" w:rsidRDefault="00B72047">
      <w:pPr>
        <w:pStyle w:val="examplescaledpre"/>
      </w:pPr>
      <w:r>
        <w:tab/>
        <w:t>se'u</w:t>
      </w:r>
      <w:r>
        <w:tab/>
        <w:t>SEhU</w:t>
      </w:r>
      <w:r>
        <w:tab/>
      </w:r>
      <w:r>
        <w:tab/>
      </w:r>
      <w:r>
        <w:tab/>
        <w:t>soi terminator</w:t>
      </w:r>
    </w:p>
    <w:p w:rsidR="00B72047" w:rsidRDefault="00B72047">
      <w:pPr>
        <w:pStyle w:val="normalafterexample"/>
      </w:pPr>
      <w:r>
        <w:rPr>
          <w:rStyle w:val="htmlcodes"/>
        </w:rPr>
        <w:t>&lt;/pre&gt;</w:t>
      </w:r>
      <w:r>
        <w:rPr>
          <w:rStyle w:val="indexentry"/>
        </w:rPr>
        <w:t>&lt;cx "anaphora, pro-sumti vo'a-series as"&gt;</w:t>
      </w:r>
      <w:r>
        <w:rPr>
          <w:rStyle w:val="indexentry"/>
        </w:rPr>
        <w:fldChar w:fldCharType="begin"/>
      </w:r>
      <w:r>
        <w:instrText>xe "</w:instrText>
      </w:r>
      <w:r>
        <w:rPr>
          <w:rStyle w:val="xeentry"/>
        </w:rPr>
        <w:instrText>anaphora: pro-sumti vo'a-series as</w:instrText>
      </w:r>
      <w:r>
        <w:instrText>"</w:instrText>
      </w:r>
      <w:r>
        <w:rPr>
          <w:rStyle w:val="indexentry"/>
        </w:rPr>
        <w:fldChar w:fldCharType="end"/>
      </w:r>
      <w:r>
        <w:rPr>
          <w:rStyle w:val="indexentry"/>
        </w:rPr>
        <w:t>&lt;cx "pro-sumti, vo'a-series"&gt;</w:t>
      </w:r>
      <w:r>
        <w:rPr>
          <w:rStyle w:val="indexentry"/>
        </w:rPr>
        <w:fldChar w:fldCharType="begin"/>
      </w:r>
      <w:r>
        <w:instrText>xe "</w:instrText>
      </w:r>
      <w:r>
        <w:rPr>
          <w:rStyle w:val="xeentry"/>
        </w:rPr>
        <w:instrText>pro-sumti: vo'a-series</w:instrText>
      </w:r>
      <w:r>
        <w:instrText>"</w:instrText>
      </w:r>
      <w:r>
        <w:rPr>
          <w:rStyle w:val="indexentry"/>
        </w:rPr>
        <w:fldChar w:fldCharType="end"/>
      </w:r>
      <w:r>
        <w:rPr>
          <w:rStyle w:val="indexentry"/>
        </w:rPr>
        <w:t>&lt;cx "pro-sumti, referring to place of same bridi with vo'a-series"&gt;</w:t>
      </w:r>
      <w:r>
        <w:rPr>
          <w:rStyle w:val="indexentry"/>
        </w:rPr>
        <w:fldChar w:fldCharType="begin"/>
      </w:r>
      <w:r>
        <w:instrText>xe "</w:instrText>
      </w:r>
      <w:r>
        <w:rPr>
          <w:rStyle w:val="xeentry"/>
        </w:rPr>
        <w:instrText>pro-sumti: referring to place of same bridi with vo'a-series</w:instrText>
      </w:r>
      <w:r>
        <w:instrText>"</w:instrText>
      </w:r>
      <w:r>
        <w:rPr>
          <w:rStyle w:val="indexentry"/>
        </w:rPr>
        <w:fldChar w:fldCharType="end"/>
      </w:r>
      <w:r>
        <w:rPr>
          <w:rStyle w:val="indexentry"/>
        </w:rPr>
        <w:t>&lt;cx "reflexive pro-sumti"&gt;</w:t>
      </w:r>
      <w:r>
        <w:rPr>
          <w:rStyle w:val="indexentry"/>
        </w:rPr>
        <w:fldChar w:fldCharType="begin"/>
      </w:r>
      <w:r>
        <w:instrText>xe "</w:instrText>
      </w:r>
      <w:r>
        <w:rPr>
          <w:rStyle w:val="xeentry"/>
        </w:rPr>
        <w:instrText>reflexive pro-sumti</w:instrText>
      </w:r>
      <w:r>
        <w:instrText>"</w:instrText>
      </w:r>
      <w:r>
        <w:rPr>
          <w:rStyle w:val="indexentry"/>
        </w:rPr>
        <w:fldChar w:fldCharType="end"/>
      </w:r>
      <w:r>
        <w:rPr>
          <w:rStyle w:val="indexentry"/>
        </w:rPr>
        <w:t>&lt;cx "reciprocal pro-sumti"&gt;</w:t>
      </w:r>
      <w:r>
        <w:rPr>
          <w:rStyle w:val="indexentry"/>
        </w:rPr>
        <w:fldChar w:fldCharType="begin"/>
      </w:r>
      <w:r>
        <w:instrText>xe "</w:instrText>
      </w:r>
      <w:r>
        <w:rPr>
          <w:rStyle w:val="xeentry"/>
        </w:rPr>
        <w:instrText>reciprocal pro-sumti</w:instrText>
      </w:r>
      <w:r>
        <w:instrText>"</w:instrText>
      </w:r>
      <w:r>
        <w:rPr>
          <w:rStyle w:val="indexentry"/>
        </w:rPr>
        <w:fldChar w:fldCharType="end"/>
      </w:r>
      <w:r>
        <w:t>The cmavo of the vo'a-series are pro-sumti anaphora, like those of the</w:t>
      </w:r>
      <w:r>
        <w:rPr>
          <w:rStyle w:val="deletedparamark"/>
        </w:rPr>
        <w:t xml:space="preserve"> </w:t>
      </w:r>
      <w:r>
        <w:t>ri-series, but have a specific function. These cmavo refer to the other</w:t>
      </w:r>
      <w:r>
        <w:rPr>
          <w:rStyle w:val="deletedparamark"/>
        </w:rPr>
        <w:t xml:space="preserve"> </w:t>
      </w:r>
      <w:r>
        <w:t>places of the same bridi; the five of them represent up to five places.</w:t>
      </w:r>
      <w:r>
        <w:rPr>
          <w:rStyle w:val="deletedparamark"/>
        </w:rPr>
        <w:t xml:space="preserve"> </w:t>
      </w:r>
      <w:r>
        <w:t>The same vo'a-series cmavo mean different things in different bridi.</w:t>
      </w:r>
      <w:r>
        <w:rPr>
          <w:rStyle w:val="deletedparamark"/>
        </w:rPr>
        <w:t xml:space="preserve"> </w:t>
      </w:r>
      <w:r>
        <w:t>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&lt;lx "vo'a"&gt;</w:t>
      </w:r>
      <w:r>
        <w:rPr>
          <w:rStyle w:val="indexentry"/>
        </w:rPr>
        <w:fldChar w:fldCharType="begin"/>
      </w:r>
      <w:r>
        <w:instrText>xe "</w:instrText>
      </w:r>
      <w:r>
        <w:rPr>
          <w:rStyle w:val="xeentry"/>
        </w:rPr>
        <w:instrText>vo'a</w:instrText>
      </w:r>
      <w:r>
        <w:instrText>"</w:instrText>
      </w:r>
      <w:r>
        <w:rPr>
          <w:rStyle w:val="indexentry"/>
        </w:rPr>
        <w:fldChar w:fldCharType="end"/>
      </w:r>
      <w:r>
        <w:rPr>
          <w:rStyle w:val="indexentry"/>
        </w:rPr>
        <w:t>&lt;ex "wash self"&gt;</w:t>
      </w:r>
      <w:r>
        <w:rPr>
          <w:rStyle w:val="indexentry"/>
        </w:rPr>
        <w:fldChar w:fldCharType="begin"/>
      </w:r>
      <w:r>
        <w:instrText>xe "</w:instrText>
      </w:r>
      <w:r>
        <w:rPr>
          <w:rStyle w:val="xeentry"/>
        </w:rPr>
        <w:instrText>wash self: example</w:instrText>
      </w:r>
      <w:r>
        <w:instrText>"</w:instrText>
      </w:r>
      <w:r>
        <w:rPr>
          <w:rStyle w:val="indexentry"/>
        </w:rPr>
        <w:fldChar w:fldCharType="end"/>
      </w:r>
      <w:r>
        <w:rPr>
          <w:rStyle w:val="htmlcodes"/>
        </w:rPr>
        <w:t>&lt;pre&gt;&lt;a name=e8d1&gt;</w:t>
      </w:r>
      <w:r>
        <w:t>8.1)</w:t>
      </w:r>
      <w:r>
        <w:tab/>
        <w:t>mi lumci vo'a</w:t>
      </w:r>
    </w:p>
    <w:p w:rsidR="00B72047" w:rsidRDefault="00B72047">
      <w:pPr>
        <w:pStyle w:val="examplescaled"/>
      </w:pPr>
      <w:r>
        <w:tab/>
        <w:t>I wash myself</w:t>
      </w:r>
    </w:p>
    <w:p w:rsidR="00B72047" w:rsidRDefault="00B72047">
      <w:pPr>
        <w:pStyle w:val="examplescaledpre"/>
      </w:pPr>
      <w:r>
        <w:rPr>
          <w:rStyle w:val="htmlcodes"/>
        </w:rPr>
        <w:t>&lt;/pre&gt;</w:t>
      </w:r>
      <w:r>
        <w:rPr>
          <w:rStyle w:val="indexentry"/>
        </w:rPr>
        <w:t>&lt;lx "vo'e"&gt;</w:t>
      </w:r>
      <w:r>
        <w:rPr>
          <w:rStyle w:val="indexentry"/>
        </w:rPr>
        <w:fldChar w:fldCharType="begin"/>
      </w:r>
      <w:r>
        <w:instrText>xe "</w:instrText>
      </w:r>
      <w:r>
        <w:rPr>
          <w:rStyle w:val="xeentry"/>
        </w:rPr>
        <w:instrText>vo'e</w:instrText>
      </w:r>
      <w:r>
        <w:instrText>"</w:instrText>
      </w:r>
      <w:r>
        <w:rPr>
          <w:rStyle w:val="indexentry"/>
        </w:rPr>
        <w:fldChar w:fldCharType="end"/>
      </w:r>
      <w:r>
        <w:rPr>
          <w:rStyle w:val="htmlcodes"/>
        </w:rPr>
        <w:t>&lt;pre&gt;&lt;a name=e8d2&gt;</w:t>
      </w:r>
      <w:r>
        <w:t>8.2)</w:t>
      </w:r>
      <w:r>
        <w:tab/>
        <w:t>mi klama le zarci vo'e</w:t>
      </w:r>
    </w:p>
    <w:p w:rsidR="00B72047" w:rsidRDefault="00B72047">
      <w:pPr>
        <w:pStyle w:val="examplescaled"/>
      </w:pPr>
      <w:r>
        <w:tab/>
        <w:t>I go to the store from itself [by some route unspecified].</w:t>
      </w:r>
    </w:p>
    <w:p w:rsidR="00B72047" w:rsidRDefault="00B72047">
      <w:pPr>
        <w:pStyle w:val="resumedafterexample"/>
      </w:pPr>
      <w:r>
        <w:rPr>
          <w:rStyle w:val="htmlcodes"/>
        </w:rPr>
        <w:t>&lt;/pre&gt;</w:t>
      </w:r>
      <w:r>
        <w:rPr>
          <w:rStyle w:val="indexentry"/>
        </w:rPr>
        <w:t>&lt;cx "pro-sumti, referring to place of different bridi with go'i-series"&gt;</w:t>
      </w:r>
      <w:r>
        <w:rPr>
          <w:rStyle w:val="indexentry"/>
        </w:rPr>
        <w:fldChar w:fldCharType="begin"/>
      </w:r>
      <w:r>
        <w:instrText>xe "</w:instrText>
      </w:r>
      <w:r>
        <w:rPr>
          <w:rStyle w:val="xeentry"/>
        </w:rPr>
        <w:instrText>pro-sumti: referring to place of different bridi with go'i-series</w:instrText>
      </w:r>
      <w:r>
        <w:instrText>"</w:instrText>
      </w:r>
      <w:r>
        <w:rPr>
          <w:rStyle w:val="indexentry"/>
        </w:rPr>
        <w:fldChar w:fldCharType="end"/>
      </w:r>
      <w:r>
        <w:t>To refer to places of neighboring bridi, constructions like “le se go'i ku”</w:t>
      </w:r>
      <w:r>
        <w:rPr>
          <w:rStyle w:val="deletedparamark"/>
        </w:rPr>
        <w:t xml:space="preserve"> </w:t>
      </w:r>
      <w:r>
        <w:t>do the job: this refers to the 2nd place of the previous main bridi, as</w:t>
      </w:r>
      <w:r>
        <w:rPr>
          <w:rStyle w:val="deletedparamark"/>
        </w:rPr>
        <w:t xml:space="preserve"> </w:t>
      </w:r>
      <w:r>
        <w:t xml:space="preserve">explained in </w:t>
      </w:r>
      <w:r>
        <w:rPr>
          <w:rStyle w:val="htmlcodes"/>
        </w:rPr>
        <w:t>&lt;a href=#s6&gt;</w:t>
      </w:r>
      <w:r>
        <w:t>Section 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"soi"&gt;</w:t>
      </w:r>
      <w:r>
        <w:rPr>
          <w:rStyle w:val="indexentry"/>
        </w:rPr>
        <w:fldChar w:fldCharType="begin"/>
      </w:r>
      <w:r>
        <w:instrText>xe "</w:instrText>
      </w:r>
      <w:r>
        <w:rPr>
          <w:rStyle w:val="xeentry"/>
        </w:rPr>
        <w:instrText>soi</w:instrText>
      </w:r>
      <w:r>
        <w:instrText>"</w:instrText>
      </w:r>
      <w:r>
        <w:rPr>
          <w:rStyle w:val="indexentry"/>
        </w:rPr>
        <w:fldChar w:fldCharType="end"/>
      </w:r>
      <w:r>
        <w:rPr>
          <w:rStyle w:val="indexentry"/>
        </w:rPr>
        <w:t>&lt;lx "SOI"&gt;</w:t>
      </w:r>
      <w:r>
        <w:rPr>
          <w:rStyle w:val="indexentry"/>
        </w:rPr>
        <w:fldChar w:fldCharType="begin"/>
      </w:r>
      <w:r>
        <w:instrText>xe "</w:instrText>
      </w:r>
      <w:r>
        <w:rPr>
          <w:rStyle w:val="xeentry"/>
        </w:rPr>
        <w:instrText>SOI selma’o</w:instrText>
      </w:r>
      <w:r>
        <w:instrText>"</w:instrText>
      </w:r>
      <w:r>
        <w:rPr>
          <w:rStyle w:val="indexentry"/>
        </w:rPr>
        <w:fldChar w:fldCharType="end"/>
      </w:r>
      <w:r>
        <w:rPr>
          <w:rStyle w:val="indexentry"/>
        </w:rPr>
        <w:t>&lt;cx "reciprocity, expressing with vo'a-series pro-sumti and soi"&gt;</w:t>
      </w:r>
      <w:r>
        <w:rPr>
          <w:rStyle w:val="indexentry"/>
        </w:rPr>
        <w:fldChar w:fldCharType="begin"/>
      </w:r>
      <w:r>
        <w:instrText>xe "</w:instrText>
      </w:r>
      <w:r>
        <w:rPr>
          <w:rStyle w:val="xeentry"/>
        </w:rPr>
        <w:instrText>reciprocity: expressing with vo'a-series pro-sumti and soi</w:instrText>
      </w:r>
      <w:r>
        <w:instrText>"</w:instrText>
      </w:r>
      <w:r>
        <w:rPr>
          <w:rStyle w:val="indexentry"/>
        </w:rPr>
        <w:fldChar w:fldCharType="end"/>
      </w:r>
      <w:r>
        <w:rPr>
          <w:rStyle w:val="indexentry"/>
        </w:rPr>
        <w:t>&lt;cx "soi, use in expressing reciprocity with vo'a-series pro-sumti"&gt;</w:t>
      </w:r>
      <w:r>
        <w:rPr>
          <w:rStyle w:val="indexentry"/>
        </w:rPr>
        <w:fldChar w:fldCharType="begin"/>
      </w:r>
      <w:r>
        <w:instrText>xe "</w:instrText>
      </w:r>
      <w:r>
        <w:rPr>
          <w:rStyle w:val="xeentry"/>
        </w:rPr>
        <w:instrText>soi: use in expressing reciprocity with vo'a-series pro-sumti</w:instrText>
      </w:r>
      <w:r>
        <w:instrText>"</w:instrText>
      </w:r>
      <w:r>
        <w:rPr>
          <w:rStyle w:val="indexentry"/>
        </w:rPr>
        <w:fldChar w:fldCharType="end"/>
      </w:r>
      <w:r>
        <w:rPr>
          <w:rStyle w:val="indexentry"/>
        </w:rPr>
        <w:t>&lt;cx "vo'a-series pro-sumti, use in expressing reciprocity with soi"&gt;</w:t>
      </w:r>
      <w:r>
        <w:rPr>
          <w:rStyle w:val="indexentry"/>
        </w:rPr>
        <w:fldChar w:fldCharType="begin"/>
      </w:r>
      <w:r>
        <w:instrText>xe "</w:instrText>
      </w:r>
      <w:r>
        <w:rPr>
          <w:rStyle w:val="xeentry"/>
        </w:rPr>
        <w:instrText>vo'a-series pro-sumti: use in expressing reciprocity with soi</w:instrText>
      </w:r>
      <w:r>
        <w:instrText>"</w:instrText>
      </w:r>
      <w:r>
        <w:rPr>
          <w:rStyle w:val="indexentry"/>
        </w:rPr>
        <w:fldChar w:fldCharType="end"/>
      </w:r>
      <w:r>
        <w:rPr>
          <w:rStyle w:val="indexentry"/>
        </w:rPr>
        <w:t>&lt;cx "“vice versa”, expressing with vo'a-series pro-sumti and soi"&gt;</w:t>
      </w:r>
      <w:r>
        <w:rPr>
          <w:rStyle w:val="indexentry"/>
        </w:rPr>
        <w:fldChar w:fldCharType="begin"/>
      </w:r>
      <w:r>
        <w:instrText>xe "</w:instrText>
      </w:r>
      <w:r>
        <w:rPr>
          <w:rStyle w:val="xeentry"/>
        </w:rPr>
        <w:instrText>vice versa: English, expressing with vo'a-series pro-sumti and soi</w:instrText>
      </w:r>
      <w:r>
        <w:instrText>"</w:instrText>
      </w:r>
      <w:r>
        <w:rPr>
          <w:rStyle w:val="indexentry"/>
        </w:rPr>
        <w:fldChar w:fldCharType="end"/>
      </w:r>
      <w:r>
        <w:t>The cmavo of the vo'a-series are also used with “soi” (of sel</w:t>
      </w:r>
      <w:r>
        <w:softHyphen/>
        <w:t>ma'o SOI) to</w:t>
      </w:r>
      <w:r>
        <w:rPr>
          <w:rStyle w:val="deletedparamark"/>
        </w:rPr>
        <w:t xml:space="preserve"> </w:t>
      </w:r>
      <w:r>
        <w:t>pre</w:t>
      </w:r>
      <w:r>
        <w:softHyphen/>
        <w:t>cisely express reciprocity, which in English is impre</w:t>
      </w:r>
      <w:r>
        <w:softHyphen/>
        <w:t>cisely expressed</w:t>
      </w:r>
      <w:r>
        <w:rPr>
          <w:rStyle w:val="deletedparamark"/>
        </w:rPr>
        <w:t xml:space="preserve"> </w:t>
      </w:r>
      <w:r>
        <w:t>with a discursive phrase like “vice versa”:</w:t>
      </w:r>
    </w:p>
    <w:p w:rsidR="00B72047" w:rsidRDefault="00B72047">
      <w:pPr>
        <w:rPr>
          <w:rStyle w:val="htmlparacode"/>
        </w:rPr>
      </w:pPr>
      <w:r>
        <w:rPr>
          <w:rStyle w:val="htmlparacode"/>
        </w:rPr>
        <w:t>&lt;p&gt;</w:t>
      </w:r>
    </w:p>
    <w:p w:rsidR="00B72047" w:rsidRDefault="00B72047">
      <w:pPr>
        <w:pStyle w:val="examplescaledpre"/>
      </w:pPr>
      <w:r>
        <w:rPr>
          <w:rStyle w:val="indexentry"/>
        </w:rPr>
        <w:t>&lt;ex "vice versa"&gt;</w:t>
      </w:r>
      <w:r>
        <w:rPr>
          <w:rStyle w:val="indexentry"/>
        </w:rPr>
        <w:fldChar w:fldCharType="begin"/>
      </w:r>
      <w:r>
        <w:instrText>xe "</w:instrText>
      </w:r>
      <w:r>
        <w:rPr>
          <w:rStyle w:val="xeentry"/>
        </w:rPr>
        <w:instrText>vice versa: example</w:instrText>
      </w:r>
      <w:r>
        <w:instrText>"</w:instrText>
      </w:r>
      <w:r>
        <w:rPr>
          <w:rStyle w:val="indexentry"/>
        </w:rPr>
        <w:fldChar w:fldCharType="end"/>
      </w:r>
      <w:r>
        <w:rPr>
          <w:rStyle w:val="htmlcodes"/>
        </w:rPr>
        <w:t>&lt;pre&gt;&lt;a name=e8d3&gt;</w:t>
      </w:r>
      <w:r>
        <w:t>8.3)</w:t>
      </w:r>
      <w:r>
        <w:tab/>
        <w:t>mi prami do soi vo'a vo'e</w:t>
      </w:r>
    </w:p>
    <w:p w:rsidR="00B72047" w:rsidRDefault="00B72047">
      <w:pPr>
        <w:pStyle w:val="examplescaled"/>
      </w:pPr>
      <w:r>
        <w:tab/>
        <w:t>I love you [reciprocity] [x1 of this bridi] [x2 of this bridi].</w:t>
      </w:r>
    </w:p>
    <w:p w:rsidR="00B72047" w:rsidRDefault="00B72047">
      <w:pPr>
        <w:pStyle w:val="examplescaled"/>
      </w:pPr>
      <w:r>
        <w:tab/>
        <w:t>I love you and vice versa (swapping “I” and “you”).</w:t>
      </w:r>
    </w:p>
    <w:p w:rsidR="00B72047" w:rsidRDefault="00B72047">
      <w:pPr>
        <w:pStyle w:val="resumedafterexample"/>
      </w:pPr>
      <w:r>
        <w:rPr>
          <w:rStyle w:val="htmlcodes"/>
        </w:rPr>
        <w:t>&lt;/pre&gt;</w:t>
      </w:r>
      <w:r>
        <w:rPr>
          <w:rStyle w:val="indexentry"/>
        </w:rPr>
        <w:t>&lt;cx "soi with one following sumti, convention"&gt;</w:t>
      </w:r>
      <w:r>
        <w:rPr>
          <w:rStyle w:val="indexentry"/>
        </w:rPr>
        <w:fldChar w:fldCharType="begin"/>
      </w:r>
      <w:r>
        <w:instrText>xe "</w:instrText>
      </w:r>
      <w:r>
        <w:rPr>
          <w:rStyle w:val="xeentry"/>
        </w:rPr>
        <w:instrText>soi with one following sumti: convention</w:instrText>
      </w:r>
      <w:r>
        <w:instrText>"</w:instrText>
      </w:r>
      <w:r>
        <w:rPr>
          <w:rStyle w:val="indexentry"/>
        </w:rPr>
        <w:fldChar w:fldCharType="end"/>
      </w:r>
      <w:r>
        <w:t>The significance of “soi vo'a vo'e” is that the bridi is still true even</w:t>
      </w:r>
      <w:r>
        <w:rPr>
          <w:rStyle w:val="deletedparamark"/>
        </w:rPr>
        <w:t xml:space="preserve"> </w:t>
      </w:r>
      <w:r>
        <w:t>if the x1 (specified by “vo'a”) and the x2 (specified by “vo'e”) places</w:t>
      </w:r>
      <w:r>
        <w:rPr>
          <w:rStyle w:val="deletedparamark"/>
        </w:rPr>
        <w:t xml:space="preserve"> </w:t>
      </w:r>
      <w:r>
        <w:t>are interchanged. If only a single sumti follows “soi”, then the sumti</w:t>
      </w:r>
      <w:r>
        <w:rPr>
          <w:rStyle w:val="deletedparamark"/>
        </w:rPr>
        <w:t xml:space="preserve"> </w:t>
      </w:r>
      <w:r>
        <w:t>im</w:t>
      </w:r>
      <w:r>
        <w:softHyphen/>
        <w:t>mediately preceding “soi” is understood to be one of those involved: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mi prami do soi vo'a</w:t>
      </w:r>
    </w:p>
    <w:p w:rsidR="00B72047" w:rsidRDefault="00B72047">
      <w:pPr>
        <w:pStyle w:val="examplescaled"/>
      </w:pPr>
      <w:r>
        <w:tab/>
        <w:t>I love you [reciprocity] [x1 of this bridi].</w:t>
      </w:r>
    </w:p>
    <w:p w:rsidR="00B72047" w:rsidRDefault="00B72047">
      <w:pPr>
        <w:pStyle w:val="resumedafterexample"/>
      </w:pPr>
      <w:r>
        <w:rPr>
          <w:rStyle w:val="htmlcodes"/>
        </w:rPr>
        <w:t>&lt;/pre&gt;</w:t>
      </w:r>
      <w:r>
        <w:t>again involves the x1 and x2 places.</w:t>
      </w:r>
    </w:p>
    <w:p w:rsidR="00B72047" w:rsidRDefault="00B72047">
      <w:pPr>
        <w:rPr>
          <w:rStyle w:val="htmlparacode"/>
        </w:rPr>
      </w:pPr>
      <w:r>
        <w:rPr>
          <w:rStyle w:val="htmlparacode"/>
        </w:rPr>
        <w:t>&lt;p&gt;</w:t>
      </w:r>
    </w:p>
    <w:p w:rsidR="00B72047" w:rsidRDefault="00B72047">
      <w:pPr>
        <w:pStyle w:val="normalparagraph"/>
      </w:pPr>
      <w:r>
        <w:rPr>
          <w:rStyle w:val="indexentry"/>
        </w:rPr>
        <w:t>&lt;cx "reciprocity, expressing with soi"&gt;</w:t>
      </w:r>
      <w:r>
        <w:rPr>
          <w:rStyle w:val="indexentry"/>
        </w:rPr>
        <w:fldChar w:fldCharType="begin"/>
      </w:r>
      <w:r>
        <w:instrText>xe "</w:instrText>
      </w:r>
      <w:r>
        <w:rPr>
          <w:rStyle w:val="xeentry"/>
        </w:rPr>
        <w:instrText>reciprocity: expressing with soi</w:instrText>
      </w:r>
      <w:r>
        <w:instrText>"</w:instrText>
      </w:r>
      <w:r>
        <w:rPr>
          <w:rStyle w:val="indexentry"/>
        </w:rPr>
        <w:fldChar w:fldCharType="end"/>
      </w:r>
      <w:r>
        <w:rPr>
          <w:rStyle w:val="indexentry"/>
        </w:rPr>
        <w:t>&lt;cx "soi, use in expressing reciprocity"&gt;</w:t>
      </w:r>
      <w:r>
        <w:rPr>
          <w:rStyle w:val="indexentry"/>
        </w:rPr>
        <w:fldChar w:fldCharType="begin"/>
      </w:r>
      <w:r>
        <w:instrText>xe "</w:instrText>
      </w:r>
      <w:r>
        <w:rPr>
          <w:rStyle w:val="xeentry"/>
        </w:rPr>
        <w:instrText>soi: use in expressing reciprocity</w:instrText>
      </w:r>
      <w:r>
        <w:instrText>"</w:instrText>
      </w:r>
      <w:r>
        <w:rPr>
          <w:rStyle w:val="indexentry"/>
        </w:rPr>
        <w:fldChar w:fldCharType="end"/>
      </w:r>
      <w:r>
        <w:t>Of course, other places can be involved, and other sumti may be used</w:t>
      </w:r>
      <w:r>
        <w:rPr>
          <w:rStyle w:val="deletedparamark"/>
        </w:rPr>
        <w:t xml:space="preserve"> </w:t>
      </w:r>
      <w:r>
        <w:t>in place of vo'a-series cmavo, provided those other sumti can be</w:t>
      </w:r>
      <w:r>
        <w:rPr>
          <w:rStyle w:val="deletedparamark"/>
        </w:rPr>
        <w:t xml:space="preserve"> </w:t>
      </w:r>
      <w:r>
        <w:t>reasonably understood as refer</w:t>
      </w:r>
      <w:r>
        <w:softHyphen/>
        <w:t>ring to the same things men</w:t>
      </w:r>
      <w:r>
        <w:softHyphen/>
        <w:t>tioned in the</w:t>
      </w:r>
      <w:r>
        <w:rPr>
          <w:rStyle w:val="deletedparamark"/>
        </w:rPr>
        <w:t xml:space="preserve"> </w:t>
      </w:r>
      <w:r>
        <w:t>bridi proper. Here are several examples that mean the 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mi bajykla ti ta soi vo'e</w:t>
      </w:r>
    </w:p>
    <w:p w:rsidR="00B72047" w:rsidRDefault="00B72047">
      <w:pPr>
        <w:pStyle w:val="examplescaled"/>
      </w:pPr>
      <w:r>
        <w:tab/>
        <w:t>mi bajykla ti ta soi vo'e vo'i</w:t>
      </w:r>
    </w:p>
    <w:p w:rsidR="00B72047" w:rsidRDefault="00B72047">
      <w:pPr>
        <w:pStyle w:val="examplescaled"/>
      </w:pPr>
      <w:r>
        <w:tab/>
        <w:t>soi vo'e vo'i mi bajra ti ta</w:t>
      </w:r>
    </w:p>
    <w:p w:rsidR="00B72047" w:rsidRDefault="00B72047">
      <w:pPr>
        <w:pStyle w:val="examplescaled"/>
      </w:pPr>
      <w:r>
        <w:tab/>
        <w:t>I runningly-go to this from that and vice versa (to that from this).</w:t>
      </w:r>
    </w:p>
    <w:p w:rsidR="00B72047" w:rsidRDefault="00B72047">
      <w:pPr>
        <w:pStyle w:val="normalafterexample"/>
      </w:pPr>
      <w:r>
        <w:rPr>
          <w:rStyle w:val="htmlcodes"/>
        </w:rPr>
        <w:t>&lt;/pre&gt;</w:t>
      </w:r>
      <w:r>
        <w:rPr>
          <w:rStyle w:val="indexentry"/>
        </w:rPr>
        <w:t>&lt;lx "se'u"&gt;</w:t>
      </w:r>
      <w:r>
        <w:rPr>
          <w:rStyle w:val="indexentry"/>
        </w:rPr>
        <w:fldChar w:fldCharType="begin"/>
      </w:r>
      <w:r>
        <w:instrText>xe "</w:instrText>
      </w:r>
      <w:r>
        <w:rPr>
          <w:rStyle w:val="xeentry"/>
        </w:rPr>
        <w:instrText>se'u</w:instrText>
      </w:r>
      <w:r>
        <w:instrText>"</w:instrText>
      </w:r>
      <w:r>
        <w:rPr>
          <w:rStyle w:val="indexentry"/>
        </w:rPr>
        <w:fldChar w:fldCharType="end"/>
      </w:r>
      <w:r>
        <w:rPr>
          <w:rStyle w:val="indexentry"/>
        </w:rPr>
        <w:t>&lt;lx "SEhU"&gt;</w:t>
      </w:r>
      <w:r>
        <w:rPr>
          <w:rStyle w:val="indexentry"/>
        </w:rPr>
        <w:fldChar w:fldCharType="begin"/>
      </w:r>
      <w:r>
        <w:instrText>xe "</w:instrText>
      </w:r>
      <w:r>
        <w:rPr>
          <w:rStyle w:val="xeentry"/>
        </w:rPr>
        <w:instrText>SEhU selma’o</w:instrText>
      </w:r>
      <w:r>
        <w:instrText>"</w:instrText>
      </w:r>
      <w:r>
        <w:rPr>
          <w:rStyle w:val="indexentry"/>
        </w:rPr>
        <w:fldChar w:fldCharType="end"/>
      </w:r>
      <w:r>
        <w:rPr>
          <w:rStyle w:val="indexentry"/>
        </w:rPr>
        <w:t>&lt;cx "se'u, as elidable terminator for soi"&gt;</w:t>
      </w:r>
      <w:r>
        <w:rPr>
          <w:rStyle w:val="indexentry"/>
        </w:rPr>
        <w:fldChar w:fldCharType="begin"/>
      </w:r>
      <w:r>
        <w:instrText>xe "</w:instrText>
      </w:r>
      <w:r>
        <w:rPr>
          <w:rStyle w:val="xeentry"/>
        </w:rPr>
        <w:instrText>se'u: as elidable terminator for soi</w:instrText>
      </w:r>
      <w:r>
        <w:instrText>"</w:instrText>
      </w:r>
      <w:r>
        <w:rPr>
          <w:rStyle w:val="indexentry"/>
        </w:rPr>
        <w:fldChar w:fldCharType="end"/>
      </w:r>
      <w:r>
        <w:rPr>
          <w:rStyle w:val="indexentry"/>
        </w:rPr>
        <w:t>&lt;cx "se'u, elidability considerations"&gt;</w:t>
      </w:r>
      <w:r>
        <w:rPr>
          <w:rStyle w:val="indexentry"/>
        </w:rPr>
        <w:fldChar w:fldCharType="begin"/>
      </w:r>
      <w:r>
        <w:instrText>xe "</w:instrText>
      </w:r>
      <w:r>
        <w:rPr>
          <w:rStyle w:val="xeentry"/>
        </w:rPr>
        <w:instrText>se'u: elidability considerations</w:instrText>
      </w:r>
      <w:r>
        <w:instrText>"</w:instrText>
      </w:r>
      <w:r>
        <w:rPr>
          <w:rStyle w:val="indexentry"/>
        </w:rPr>
        <w:fldChar w:fldCharType="end"/>
      </w:r>
      <w:r>
        <w:t>The elidable terminator for “soi” is “se'u” (selma'o SEhU), which is</w:t>
      </w:r>
      <w:r>
        <w:rPr>
          <w:rStyle w:val="deletedparamark"/>
        </w:rPr>
        <w:t xml:space="preserve"> </w:t>
      </w:r>
      <w:r>
        <w:t>normally needed only if there is just one sumti after the “soi”, and</w:t>
      </w:r>
      <w:r>
        <w:rPr>
          <w:rStyle w:val="deletedparamark"/>
        </w:rPr>
        <w:t xml:space="preserve"> </w:t>
      </w:r>
      <w:r>
        <w:t>the “soi” construction is not at the end of the bridi. Constructions</w:t>
      </w:r>
      <w:r>
        <w:rPr>
          <w:rStyle w:val="deletedparamark"/>
        </w:rPr>
        <w:t xml:space="preserve"> </w:t>
      </w:r>
      <w:r>
        <w:t>using “soi” are free modifiers, and as such can go almost an</w:t>
      </w:r>
      <w:r>
        <w:t>y</w:t>
      </w:r>
      <w:r>
        <w:softHyphen/>
        <w:t>where.</w:t>
      </w:r>
      <w:r>
        <w:rPr>
          <w:rStyle w:val="deletedparamark"/>
        </w:rPr>
        <w:t xml:space="preserve"> </w:t>
      </w:r>
      <w:r>
        <w:t>Here is an example where “se'u” is required: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mi bajykla ti soi vo'i se'u ta</w:t>
      </w:r>
    </w:p>
    <w:p w:rsidR="00B72047" w:rsidRDefault="00B72047">
      <w:pPr>
        <w:pStyle w:val="examplescaled"/>
      </w:pPr>
      <w:r>
        <w:tab/>
        <w:t>I runningly-go to-this [reciprocity] [x3 of this bridi] from-that</w:t>
      </w:r>
    </w:p>
    <w:p w:rsidR="00B72047" w:rsidRDefault="00B72047">
      <w:pPr>
        <w:pStyle w:val="examplescaled"/>
      </w:pPr>
      <w:r>
        <w:tab/>
        <w:t>I runningly-go to this from that and vice versa.</w:t>
      </w:r>
    </w:p>
    <w:p w:rsidR="00B72047" w:rsidRDefault="00B72047">
      <w:pPr>
        <w:pStyle w:val="Heading3"/>
        <w:rPr>
          <w:rStyle w:val="Heading3Text"/>
        </w:rPr>
      </w:pPr>
      <w:r>
        <w:rPr>
          <w:rStyle w:val="htmlcodes"/>
        </w:rPr>
        <w:t>&lt;/pre&gt;&lt;a name=s9&gt;&lt;h3&gt;</w:t>
      </w:r>
      <w:bookmarkStart w:id="283" w:name="_Toc398970531"/>
      <w:r>
        <w:rPr>
          <w:rStyle w:val="Heading3Text"/>
        </w:rPr>
        <w:t>sumti and bridi questions: “ma” and “mo”</w:t>
      </w:r>
      <w:bookmarkEnd w:id="28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ma</w:t>
      </w:r>
      <w:r>
        <w:tab/>
        <w:t>KOhA</w:t>
      </w:r>
      <w:r>
        <w:tab/>
        <w:t>sumti question</w:t>
      </w:r>
    </w:p>
    <w:p w:rsidR="00B72047" w:rsidRDefault="00B72047">
      <w:pPr>
        <w:pStyle w:val="examplescaled"/>
      </w:pPr>
      <w:r>
        <w:tab/>
        <w:t>mo</w:t>
      </w:r>
      <w:r>
        <w:tab/>
        <w:t>GOhA</w:t>
      </w:r>
      <w:r>
        <w:tab/>
        <w:t>bridi question</w:t>
      </w:r>
    </w:p>
    <w:p w:rsidR="00B72047" w:rsidRDefault="00B72047">
      <w:pPr>
        <w:pStyle w:val="normalafterexample"/>
      </w:pPr>
      <w:r>
        <w:rPr>
          <w:rStyle w:val="htmlcodes"/>
        </w:rPr>
        <w:t>&lt;/pre&gt;</w:t>
      </w:r>
      <w:r>
        <w:rPr>
          <w:rStyle w:val="indexentry"/>
        </w:rPr>
        <w:t>&lt;lx "ma"&gt;</w:t>
      </w:r>
      <w:r>
        <w:rPr>
          <w:rStyle w:val="indexentry"/>
        </w:rPr>
        <w:fldChar w:fldCharType="begin"/>
      </w:r>
      <w:r>
        <w:instrText>xe "</w:instrText>
      </w:r>
      <w:r>
        <w:rPr>
          <w:rStyle w:val="xeentry"/>
        </w:rPr>
        <w:instrText>ma</w:instrText>
      </w:r>
      <w:r>
        <w:instrText>"</w:instrText>
      </w:r>
      <w:r>
        <w:rPr>
          <w:rStyle w:val="indexentry"/>
        </w:rPr>
        <w:fldChar w:fldCharType="end"/>
      </w:r>
      <w:r>
        <w:rPr>
          <w:rStyle w:val="indexentry"/>
        </w:rPr>
        <w:t>&lt;cx "ma, as sumti question"&gt;</w:t>
      </w:r>
      <w:r>
        <w:rPr>
          <w:rStyle w:val="indexentry"/>
        </w:rPr>
        <w:fldChar w:fldCharType="begin"/>
      </w:r>
      <w:r>
        <w:instrText>xe "</w:instrText>
      </w:r>
      <w:r>
        <w:rPr>
          <w:rStyle w:val="xeentry"/>
        </w:rPr>
        <w:instrText>ma: as sumti question</w:instrText>
      </w:r>
      <w:r>
        <w:instrText>"</w:instrText>
      </w:r>
      <w:r>
        <w:rPr>
          <w:rStyle w:val="indexentry"/>
        </w:rPr>
        <w:fldChar w:fldCharType="end"/>
      </w:r>
      <w:r>
        <w:rPr>
          <w:rStyle w:val="indexentry"/>
        </w:rPr>
        <w:t>&lt;cx "questions, sumti"&gt;</w:t>
      </w:r>
      <w:r>
        <w:rPr>
          <w:rStyle w:val="indexentry"/>
        </w:rPr>
        <w:fldChar w:fldCharType="begin"/>
      </w:r>
      <w:r>
        <w:instrText>xe "</w:instrText>
      </w:r>
      <w:r>
        <w:rPr>
          <w:rStyle w:val="xeentry"/>
        </w:rPr>
        <w:instrText>questions: sumti</w:instrText>
      </w:r>
      <w:r>
        <w:instrText>"</w:instrText>
      </w:r>
      <w:r>
        <w:rPr>
          <w:rStyle w:val="indexentry"/>
        </w:rPr>
        <w:fldChar w:fldCharType="end"/>
      </w:r>
      <w:r>
        <w:t xml:space="preserve">Lojban questions are more fully explained in </w:t>
      </w:r>
      <w:r>
        <w:rPr>
          <w:rStyle w:val="htmlcodes"/>
        </w:rPr>
        <w:t>&lt;a href=chap19.html&gt;</w:t>
      </w:r>
      <w:r>
        <w:t xml:space="preserve">Chapter 19 </w:t>
      </w:r>
      <w:r>
        <w:rPr>
          <w:rStyle w:val="htmlcodes"/>
        </w:rPr>
        <w:t>&lt;/a&gt;</w:t>
      </w:r>
      <w:r>
        <w:t>, but “ma” and “mo”</w:t>
      </w:r>
      <w:r>
        <w:rPr>
          <w:rStyle w:val="deletedparamark"/>
        </w:rPr>
        <w:t xml:space="preserve"> </w:t>
      </w:r>
      <w:r>
        <w:t>are listed in this chapter for completeness. The cmavo “ma” asks for a sumti</w:t>
      </w:r>
      <w:r>
        <w:rPr>
          <w:rStyle w:val="deletedparamark"/>
        </w:rPr>
        <w:t xml:space="preserve"> </w:t>
      </w:r>
      <w:r>
        <w:t>to make the bridi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do klama ma</w:t>
      </w:r>
    </w:p>
    <w:p w:rsidR="00B72047" w:rsidRDefault="00B72047">
      <w:pPr>
        <w:pStyle w:val="examplescaled"/>
      </w:pPr>
      <w:r>
        <w:tab/>
        <w:t>You go to-what-destination?</w:t>
      </w:r>
    </w:p>
    <w:p w:rsidR="00B72047" w:rsidRDefault="00B72047">
      <w:pPr>
        <w:pStyle w:val="examplescaled"/>
      </w:pPr>
      <w:r>
        <w:tab/>
        <w:t>Where are you going?</w:t>
      </w:r>
    </w:p>
    <w:p w:rsidR="00B72047" w:rsidRDefault="00B72047">
      <w:pPr>
        <w:pStyle w:val="normalafterexample"/>
      </w:pPr>
      <w:r>
        <w:rPr>
          <w:rStyle w:val="htmlcodes"/>
        </w:rPr>
        <w:t>&lt;/pre&gt;</w:t>
      </w:r>
      <w:r>
        <w:rPr>
          <w:rStyle w:val="indexentry"/>
        </w:rPr>
        <w:t>&lt;lx "mo"&gt;</w:t>
      </w:r>
      <w:r>
        <w:rPr>
          <w:rStyle w:val="indexentry"/>
        </w:rPr>
        <w:fldChar w:fldCharType="begin"/>
      </w:r>
      <w:r>
        <w:instrText>xe "</w:instrText>
      </w:r>
      <w:r>
        <w:rPr>
          <w:rStyle w:val="xeentry"/>
        </w:rPr>
        <w:instrText>mo</w:instrText>
      </w:r>
      <w:r>
        <w:instrText>"</w:instrText>
      </w:r>
      <w:r>
        <w:rPr>
          <w:rStyle w:val="indexentry"/>
        </w:rPr>
        <w:fldChar w:fldCharType="end"/>
      </w:r>
      <w:r>
        <w:rPr>
          <w:rStyle w:val="indexentry"/>
        </w:rPr>
        <w:t>&lt;cx "mo, as selbri question"&gt;</w:t>
      </w:r>
      <w:r>
        <w:rPr>
          <w:rStyle w:val="indexentry"/>
        </w:rPr>
        <w:fldChar w:fldCharType="begin"/>
      </w:r>
      <w:r>
        <w:instrText>xe "</w:instrText>
      </w:r>
      <w:r>
        <w:rPr>
          <w:rStyle w:val="xeentry"/>
        </w:rPr>
        <w:instrText>mo: as selbri question</w:instrText>
      </w:r>
      <w:r>
        <w:instrText>"</w:instrText>
      </w:r>
      <w:r>
        <w:rPr>
          <w:rStyle w:val="indexentry"/>
        </w:rPr>
        <w:fldChar w:fldCharType="end"/>
      </w:r>
      <w:r>
        <w:rPr>
          <w:rStyle w:val="indexentry"/>
        </w:rPr>
        <w:t>&lt;cx "questions, selbri"&gt;</w:t>
      </w:r>
      <w:r>
        <w:rPr>
          <w:rStyle w:val="indexentry"/>
        </w:rPr>
        <w:fldChar w:fldCharType="begin"/>
      </w:r>
      <w:r>
        <w:instrText>xe "</w:instrText>
      </w:r>
      <w:r>
        <w:rPr>
          <w:rStyle w:val="xeentry"/>
        </w:rPr>
        <w:instrText>questions: selbri</w:instrText>
      </w:r>
      <w:r>
        <w:instrText>"</w:instrText>
      </w:r>
      <w:r>
        <w:rPr>
          <w:rStyle w:val="indexentry"/>
        </w:rPr>
        <w:fldChar w:fldCharType="end"/>
      </w:r>
      <w:r>
        <w:rPr>
          <w:rStyle w:val="indexentry"/>
        </w:rPr>
        <w:t>&lt;cx "mo, compared with go'i in overriding of arguments"&gt;</w:t>
      </w:r>
      <w:r>
        <w:rPr>
          <w:rStyle w:val="indexentry"/>
        </w:rPr>
        <w:fldChar w:fldCharType="begin"/>
      </w:r>
      <w:r>
        <w:instrText>xe "</w:instrText>
      </w:r>
      <w:r>
        <w:rPr>
          <w:rStyle w:val="xeentry"/>
        </w:rPr>
        <w:instrText>mo: compared with go'i in overriding of arguments</w:instrText>
      </w:r>
      <w:r>
        <w:instrText>"</w:instrText>
      </w:r>
      <w:r>
        <w:rPr>
          <w:rStyle w:val="indexentry"/>
        </w:rPr>
        <w:fldChar w:fldCharType="end"/>
      </w:r>
      <w:r>
        <w:rPr>
          <w:rStyle w:val="indexentry"/>
        </w:rPr>
        <w:t>&lt;cx "go'i, compared with mo in overriding of arguments"&gt;</w:t>
      </w:r>
      <w:r>
        <w:rPr>
          <w:rStyle w:val="indexentry"/>
        </w:rPr>
        <w:fldChar w:fldCharType="begin"/>
      </w:r>
      <w:r>
        <w:instrText>xe "</w:instrText>
      </w:r>
      <w:r>
        <w:rPr>
          <w:rStyle w:val="xeentry"/>
        </w:rPr>
        <w:instrText>go'i: compared with mo in overriding of arguments</w:instrText>
      </w:r>
      <w:r>
        <w:instrText>"</w:instrText>
      </w:r>
      <w:r>
        <w:rPr>
          <w:rStyle w:val="indexentry"/>
        </w:rPr>
        <w:fldChar w:fldCharType="end"/>
      </w:r>
      <w:r>
        <w:t>The cmavo “mo”, on the other hand, asks for a selbri which makes the</w:t>
      </w:r>
      <w:r>
        <w:rPr>
          <w:rStyle w:val="deletedparamark"/>
        </w:rPr>
        <w:t xml:space="preserve"> </w:t>
      </w:r>
      <w:r>
        <w:t>question bridi true. If the answer is a full bridi, then the arguments</w:t>
      </w:r>
      <w:r>
        <w:rPr>
          <w:rStyle w:val="deletedparamark"/>
        </w:rPr>
        <w:t xml:space="preserve"> </w:t>
      </w:r>
      <w:r>
        <w:t>of the answer override the arguments in the question, in the same manner</w:t>
      </w:r>
      <w:r>
        <w:rPr>
          <w:rStyle w:val="deletedparamark"/>
        </w:rPr>
        <w:t xml:space="preserve"> </w:t>
      </w:r>
      <w:r>
        <w:t>as the go'i-series cmavo. A simple ex</w:t>
      </w:r>
      <w:r>
        <w:softHyphen/>
        <w:t>ample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do mo</w:t>
      </w:r>
    </w:p>
    <w:p w:rsidR="00B72047" w:rsidRDefault="00B72047">
      <w:pPr>
        <w:pStyle w:val="examplescaled"/>
      </w:pPr>
      <w:r>
        <w:tab/>
        <w:t>What predicate is true as applied to you?</w:t>
      </w:r>
    </w:p>
    <w:p w:rsidR="00B72047" w:rsidRDefault="00B72047">
      <w:pPr>
        <w:pStyle w:val="examplescaled"/>
      </w:pPr>
      <w:r>
        <w:tab/>
        <w:t>How are you?</w:t>
      </w:r>
    </w:p>
    <w:p w:rsidR="00B72047" w:rsidRDefault="00B72047">
      <w:pPr>
        <w:pStyle w:val="examplescaled"/>
      </w:pPr>
      <w:r>
        <w:tab/>
        <w:t>What are you doing?</w:t>
      </w:r>
    </w:p>
    <w:p w:rsidR="00B72047" w:rsidRDefault="00B72047">
      <w:pPr>
        <w:pStyle w:val="examplescaled"/>
      </w:pPr>
      <w:r>
        <w:tab/>
        <w:t>What are you?</w:t>
      </w:r>
    </w:p>
    <w:p w:rsidR="00B72047" w:rsidRDefault="00B72047">
      <w:pPr>
        <w:pStyle w:val="resumedafterexample"/>
      </w:pPr>
      <w:r>
        <w:rPr>
          <w:rStyle w:val="htmlcodes"/>
        </w:rPr>
        <w:t>&lt;/pre&gt;&lt;a href=#e9d2&gt;</w:t>
      </w:r>
      <w:r>
        <w:t xml:space="preserve">Example 9.2 </w:t>
      </w:r>
      <w:r>
        <w:rPr>
          <w:rStyle w:val="htmlcodes"/>
        </w:rPr>
        <w:t>&lt;/a&gt;</w:t>
      </w:r>
      <w:r>
        <w:t>is a truly pregnant question that will have several meanings</w:t>
      </w:r>
      <w:r>
        <w:rPr>
          <w:rStyle w:val="deletedparamark"/>
        </w:rPr>
        <w:t xml:space="preserve"> </w:t>
      </w:r>
      <w:r>
        <w:t>depending on context.</w:t>
      </w:r>
    </w:p>
    <w:p w:rsidR="00B72047" w:rsidRDefault="00B72047">
      <w:pPr>
        <w:rPr>
          <w:rStyle w:val="htmlparacode"/>
        </w:rPr>
      </w:pPr>
      <w:r>
        <w:rPr>
          <w:rStyle w:val="htmlparacode"/>
        </w:rPr>
        <w:t>&lt;p&gt;</w:t>
      </w:r>
    </w:p>
    <w:p w:rsidR="00B72047" w:rsidRDefault="00B72047">
      <w:pPr>
        <w:pStyle w:val="normalparagraph"/>
      </w:pPr>
      <w:r>
        <w:t>(One thing it probably does not mean is “Who are you?” in the sense “What is</w:t>
      </w:r>
      <w:r>
        <w:rPr>
          <w:rStyle w:val="deletedparamark"/>
        </w:rPr>
        <w:t xml:space="preserve"> </w:t>
      </w:r>
      <w:r>
        <w:t>your name/identity?”, which is better expressed by:</w:t>
      </w:r>
    </w:p>
    <w:p w:rsidR="00B72047" w:rsidRDefault="00B72047">
      <w:pPr>
        <w:rPr>
          <w:rStyle w:val="htmlparacode"/>
        </w:rPr>
      </w:pPr>
      <w:r>
        <w:rPr>
          <w:rStyle w:val="htmlparacode"/>
        </w:rPr>
        <w:t>&lt;p&gt;</w:t>
      </w:r>
    </w:p>
    <w:p w:rsidR="00B72047" w:rsidRDefault="00B72047">
      <w:pPr>
        <w:pStyle w:val="examplescaledpre"/>
      </w:pPr>
      <w:r>
        <w:rPr>
          <w:rStyle w:val="indexentry"/>
        </w:rPr>
        <w:t>&lt;ex "what is your name"&gt;</w:t>
      </w:r>
      <w:r>
        <w:rPr>
          <w:rStyle w:val="indexentry"/>
        </w:rPr>
        <w:fldChar w:fldCharType="begin"/>
      </w:r>
      <w:r>
        <w:instrText>xe "</w:instrText>
      </w:r>
      <w:r>
        <w:rPr>
          <w:rStyle w:val="xeentry"/>
        </w:rPr>
        <w:instrText>what is your name: example</w:instrText>
      </w:r>
      <w:r>
        <w:instrText>"</w:instrText>
      </w:r>
      <w:r>
        <w:rPr>
          <w:rStyle w:val="indexentry"/>
        </w:rPr>
        <w:fldChar w:fldCharType="end"/>
      </w:r>
      <w:r>
        <w:rPr>
          <w:rStyle w:val="htmlcodes"/>
        </w:rPr>
        <w:t>&lt;pre&gt;&lt;a name=e9d3&gt;</w:t>
      </w:r>
      <w:r>
        <w:t>9.3)</w:t>
      </w:r>
      <w:r>
        <w:tab/>
        <w:t>ma cmene do</w:t>
      </w:r>
    </w:p>
    <w:p w:rsidR="00B72047" w:rsidRDefault="00B72047">
      <w:pPr>
        <w:pStyle w:val="examplescaled"/>
      </w:pPr>
      <w:r>
        <w:tab/>
        <w:t>What sumti is-the-name-of you?</w:t>
      </w:r>
    </w:p>
    <w:p w:rsidR="00B72047" w:rsidRDefault="00B72047">
      <w:pPr>
        <w:pStyle w:val="examplescaled"/>
      </w:pPr>
      <w:r>
        <w:tab/>
        <w:t>What is your name?</w:t>
      </w:r>
    </w:p>
    <w:p w:rsidR="00B72047" w:rsidRDefault="00B72047">
      <w:pPr>
        <w:pStyle w:val="resumedafterexample"/>
      </w:pPr>
      <w:r>
        <w:rPr>
          <w:rStyle w:val="htmlcodes"/>
        </w:rPr>
        <w:t>&lt;/pre&gt;</w:t>
      </w:r>
      <w:r>
        <w:t>or even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doi ma</w:t>
      </w:r>
    </w:p>
    <w:p w:rsidR="00B72047" w:rsidRDefault="00B72047">
      <w:pPr>
        <w:pStyle w:val="examplescaled"/>
      </w:pPr>
      <w:r>
        <w:tab/>
        <w:t>O [what sumti?]</w:t>
      </w:r>
    </w:p>
    <w:p w:rsidR="00B72047" w:rsidRDefault="00B72047">
      <w:pPr>
        <w:pStyle w:val="resumedafterexample"/>
      </w:pPr>
      <w:r>
        <w:rPr>
          <w:rStyle w:val="htmlcodes"/>
        </w:rPr>
        <w:t>&lt;/pre&gt;</w:t>
      </w:r>
      <w:r>
        <w:t>which uses the vocative “doi” to address someone, and simultane</w:t>
      </w:r>
      <w:r>
        <w:softHyphen/>
        <w:t>ously</w:t>
      </w:r>
      <w:r>
        <w:rPr>
          <w:rStyle w:val="deletedparamark"/>
        </w:rPr>
        <w:t xml:space="preserve"> </w:t>
      </w:r>
      <w:r>
        <w:t>asks who the someone is.)</w:t>
      </w:r>
    </w:p>
    <w:p w:rsidR="00B72047" w:rsidRDefault="00B72047">
      <w:pPr>
        <w:rPr>
          <w:rStyle w:val="htmlparacode"/>
        </w:rPr>
      </w:pPr>
      <w:r>
        <w:rPr>
          <w:rStyle w:val="htmlparacode"/>
        </w:rPr>
        <w:t>&lt;p&gt;</w:t>
      </w:r>
    </w:p>
    <w:p w:rsidR="00B72047" w:rsidRDefault="00B72047">
      <w:pPr>
        <w:pStyle w:val="normalparagraph"/>
      </w:pPr>
      <w:r>
        <w:t>A further example of “mo”: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lo mo prenu cu darxi do  .i barda</w:t>
      </w:r>
    </w:p>
    <w:p w:rsidR="00B72047" w:rsidRDefault="00B72047">
      <w:pPr>
        <w:pStyle w:val="examplescaled"/>
      </w:pPr>
      <w:r>
        <w:tab/>
        <w:t>A [what selbri?] type-of person hit you?  (Observative:) A big thing.</w:t>
      </w:r>
    </w:p>
    <w:p w:rsidR="00B72047" w:rsidRDefault="00B72047">
      <w:pPr>
        <w:pStyle w:val="examplescaled"/>
      </w:pPr>
      <w:r>
        <w:tab/>
        <w:t>Which person hit you? The big one.</w:t>
      </w:r>
    </w:p>
    <w:p w:rsidR="00B72047" w:rsidRDefault="00B72047">
      <w:pPr>
        <w:pStyle w:val="normalafterexample"/>
      </w:pPr>
      <w:r>
        <w:rPr>
          <w:rStyle w:val="htmlcodes"/>
        </w:rPr>
        <w:t>&lt;/pre&gt;</w:t>
      </w:r>
      <w:r>
        <w:rPr>
          <w:rStyle w:val="indexentry"/>
        </w:rPr>
        <w:t>&lt;cx "multiple questions in one bridi, expressing"&gt;</w:t>
      </w:r>
      <w:r>
        <w:rPr>
          <w:rStyle w:val="indexentry"/>
        </w:rPr>
        <w:fldChar w:fldCharType="begin"/>
      </w:r>
      <w:r>
        <w:instrText>xe "</w:instrText>
      </w:r>
      <w:r>
        <w:rPr>
          <w:rStyle w:val="xeentry"/>
        </w:rPr>
        <w:instrText>multiple questions in one bridi: expressing</w:instrText>
      </w:r>
      <w:r>
        <w:instrText>"</w:instrText>
      </w:r>
      <w:r>
        <w:rPr>
          <w:rStyle w:val="indexentry"/>
        </w:rPr>
        <w:fldChar w:fldCharType="end"/>
      </w:r>
      <w:r>
        <w:rPr>
          <w:rStyle w:val="indexentry"/>
        </w:rPr>
        <w:t>&lt;cx "multiple ma, as multiple questions"&gt;</w:t>
      </w:r>
      <w:r>
        <w:rPr>
          <w:rStyle w:val="indexentry"/>
        </w:rPr>
        <w:fldChar w:fldCharType="begin"/>
      </w:r>
      <w:r>
        <w:instrText>xe "</w:instrText>
      </w:r>
      <w:r>
        <w:rPr>
          <w:rStyle w:val="xeentry"/>
        </w:rPr>
        <w:instrText>multiple ma: as multiple questions</w:instrText>
      </w:r>
      <w:r>
        <w:instrText>"</w:instrText>
      </w:r>
      <w:r>
        <w:rPr>
          <w:rStyle w:val="indexentry"/>
        </w:rPr>
        <w:fldChar w:fldCharType="end"/>
      </w:r>
      <w:r>
        <w:rPr>
          <w:rStyle w:val="indexentry"/>
        </w:rPr>
        <w:t>&lt;cx "multiple mo, as multiple questions"&gt;</w:t>
      </w:r>
      <w:r>
        <w:rPr>
          <w:rStyle w:val="indexentry"/>
        </w:rPr>
        <w:fldChar w:fldCharType="begin"/>
      </w:r>
      <w:r>
        <w:instrText>xe "</w:instrText>
      </w:r>
      <w:r>
        <w:rPr>
          <w:rStyle w:val="xeentry"/>
        </w:rPr>
        <w:instrText>multiple mo: as multiple questions</w:instrText>
      </w:r>
      <w:r>
        <w:instrText>"</w:instrText>
      </w:r>
      <w:r>
        <w:rPr>
          <w:rStyle w:val="indexentry"/>
        </w:rPr>
        <w:fldChar w:fldCharType="end"/>
      </w:r>
      <w:r>
        <w:t>When “ma” or “mo” is repeated, multiple questions are being asked</w:t>
      </w:r>
      <w:r>
        <w:rPr>
          <w:rStyle w:val="deletedparamark"/>
        </w:rPr>
        <w:t xml:space="preserve"> </w:t>
      </w:r>
      <w:r>
        <w:t>simulta</w:t>
      </w:r>
      <w:r>
        <w:softHyphen/>
        <w:t>neously:</w:t>
      </w:r>
    </w:p>
    <w:p w:rsidR="00B72047" w:rsidRDefault="00B72047">
      <w:pPr>
        <w:rPr>
          <w:rStyle w:val="htmlparacode"/>
        </w:rPr>
      </w:pPr>
      <w:r>
        <w:rPr>
          <w:rStyle w:val="htmlparacode"/>
        </w:rPr>
        <w:t>&lt;p&gt;</w:t>
      </w:r>
    </w:p>
    <w:p w:rsidR="00B72047" w:rsidRDefault="00B72047">
      <w:pPr>
        <w:pStyle w:val="examplescaledpre"/>
      </w:pPr>
      <w:r>
        <w:rPr>
          <w:rStyle w:val="indexentry"/>
        </w:rPr>
        <w:t>&lt;ex "who knows what"&gt;</w:t>
      </w:r>
      <w:r>
        <w:rPr>
          <w:rStyle w:val="indexentry"/>
        </w:rPr>
        <w:fldChar w:fldCharType="begin"/>
      </w:r>
      <w:r>
        <w:instrText>xe "</w:instrText>
      </w:r>
      <w:r>
        <w:rPr>
          <w:rStyle w:val="xeentry"/>
        </w:rPr>
        <w:instrText>who knows what: example</w:instrText>
      </w:r>
      <w:r>
        <w:instrText>"</w:instrText>
      </w:r>
      <w:r>
        <w:rPr>
          <w:rStyle w:val="indexentry"/>
        </w:rPr>
        <w:fldChar w:fldCharType="end"/>
      </w:r>
      <w:r>
        <w:rPr>
          <w:rStyle w:val="htmlcodes"/>
        </w:rPr>
        <w:t>&lt;pre&gt;&lt;a name=e9d6&gt;</w:t>
      </w:r>
      <w:r>
        <w:t>9.6)</w:t>
      </w:r>
      <w:r>
        <w:tab/>
        <w:t>ma djuno ma</w:t>
      </w:r>
    </w:p>
    <w:p w:rsidR="00B72047" w:rsidRDefault="00B72047">
      <w:pPr>
        <w:pStyle w:val="examplescaled"/>
      </w:pPr>
      <w:r>
        <w:tab/>
        <w:t>[What sumti] knows [what sumti]?</w:t>
      </w:r>
    </w:p>
    <w:p w:rsidR="00B72047" w:rsidRDefault="00B72047">
      <w:pPr>
        <w:pStyle w:val="examplescaled"/>
      </w:pPr>
      <w:r>
        <w:tab/>
        <w:t>Who knows what?</w:t>
      </w:r>
    </w:p>
    <w:p w:rsidR="00B72047" w:rsidRDefault="00B72047">
      <w:pPr>
        <w:pStyle w:val="Heading3"/>
        <w:rPr>
          <w:rStyle w:val="Heading3Text"/>
        </w:rPr>
      </w:pPr>
      <w:r>
        <w:rPr>
          <w:rStyle w:val="htmlcodes"/>
        </w:rPr>
        <w:t>&lt;/pre&gt;&lt;a name=s10&gt;&lt;h3&gt;</w:t>
      </w:r>
      <w:bookmarkStart w:id="284" w:name="_Toc398970532"/>
      <w:r>
        <w:rPr>
          <w:rStyle w:val="Heading3Text"/>
        </w:rPr>
        <w:t>Relativized pro-sumti: “ke'a”</w:t>
      </w:r>
      <w:bookmarkEnd w:id="28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ke'a</w:t>
      </w:r>
      <w:r>
        <w:tab/>
        <w:t>KOhA</w:t>
      </w:r>
      <w:r>
        <w:tab/>
        <w:t>relativized sumti</w:t>
      </w:r>
    </w:p>
    <w:p w:rsidR="00B72047" w:rsidRDefault="00B72047">
      <w:pPr>
        <w:pStyle w:val="normalafterexample"/>
      </w:pPr>
      <w:r>
        <w:rPr>
          <w:rStyle w:val="htmlcodes"/>
        </w:rPr>
        <w:t>&lt;/pre&gt;</w:t>
      </w:r>
      <w:r>
        <w:rPr>
          <w:rStyle w:val="indexentry"/>
        </w:rPr>
        <w:t>&lt;lx "ke'a"&gt;</w:t>
      </w:r>
      <w:r>
        <w:rPr>
          <w:rStyle w:val="indexentry"/>
        </w:rPr>
        <w:fldChar w:fldCharType="begin"/>
      </w:r>
      <w:r>
        <w:instrText>xe "</w:instrText>
      </w:r>
      <w:r>
        <w:rPr>
          <w:rStyle w:val="xeentry"/>
        </w:rPr>
        <w:instrText>ke'a</w:instrText>
      </w:r>
      <w:r>
        <w:instrText>"</w:instrText>
      </w:r>
      <w:r>
        <w:rPr>
          <w:rStyle w:val="indexentry"/>
        </w:rPr>
        <w:fldChar w:fldCharType="end"/>
      </w:r>
      <w:r>
        <w:rPr>
          <w:rStyle w:val="indexentry"/>
        </w:rPr>
        <w:t>&lt;cx "pro-sumti, for relativized sumti in relative clauses"&gt;</w:t>
      </w:r>
      <w:r>
        <w:rPr>
          <w:rStyle w:val="indexentry"/>
        </w:rPr>
        <w:fldChar w:fldCharType="begin"/>
      </w:r>
      <w:r>
        <w:instrText>xe "</w:instrText>
      </w:r>
      <w:r>
        <w:rPr>
          <w:rStyle w:val="xeentry"/>
        </w:rPr>
        <w:instrText>pro-sumti: for relativized sumti in relative clauses</w:instrText>
      </w:r>
      <w:r>
        <w:instrText>"</w:instrText>
      </w:r>
      <w:r>
        <w:rPr>
          <w:rStyle w:val="indexentry"/>
        </w:rPr>
        <w:fldChar w:fldCharType="end"/>
      </w:r>
      <w:r>
        <w:rPr>
          <w:rStyle w:val="indexentry"/>
        </w:rPr>
        <w:t>&lt;cx "ke'a, for relativized sumti in relative clauses"&gt;</w:t>
      </w:r>
      <w:r>
        <w:rPr>
          <w:rStyle w:val="indexentry"/>
        </w:rPr>
        <w:fldChar w:fldCharType="begin"/>
      </w:r>
      <w:r>
        <w:instrText>xe "</w:instrText>
      </w:r>
      <w:r>
        <w:rPr>
          <w:rStyle w:val="xeentry"/>
        </w:rPr>
        <w:instrText>ke'a: for relativized sumti in relative clauses</w:instrText>
      </w:r>
      <w:r>
        <w:instrText>"</w:instrText>
      </w:r>
      <w:r>
        <w:rPr>
          <w:rStyle w:val="indexentry"/>
        </w:rPr>
        <w:fldChar w:fldCharType="end"/>
      </w:r>
      <w:r>
        <w:rPr>
          <w:rStyle w:val="indexentry"/>
        </w:rPr>
        <w:fldChar w:fldCharType="begin"/>
      </w:r>
      <w:r>
        <w:instrText>xe "</w:instrText>
      </w:r>
      <w:r>
        <w:rPr>
          <w:rStyle w:val="xeentry"/>
        </w:rPr>
        <w:instrText>ke'a: for relativized sumti in relative clauses</w:instrText>
      </w:r>
      <w:r>
        <w:instrText>"</w:instrText>
      </w:r>
      <w:r>
        <w:rPr>
          <w:rStyle w:val="indexentry"/>
        </w:rPr>
        <w:fldChar w:fldCharType="end"/>
      </w:r>
      <w:r>
        <w:rPr>
          <w:rStyle w:val="indexentry"/>
        </w:rPr>
        <w:t>&lt;cx "relative clauses, use of ke'a for referral to relativized sumti in"&gt;</w:t>
      </w:r>
      <w:r>
        <w:rPr>
          <w:rStyle w:val="indexentry"/>
        </w:rPr>
        <w:fldChar w:fldCharType="begin"/>
      </w:r>
      <w:r>
        <w:instrText>xe "</w:instrText>
      </w:r>
      <w:r>
        <w:rPr>
          <w:rStyle w:val="xeentry"/>
        </w:rPr>
        <w:instrText>relative clause: use of ke'a for referral to relativized sumti in</w:instrText>
      </w:r>
      <w:r>
        <w:instrText>"</w:instrText>
      </w:r>
      <w:r>
        <w:rPr>
          <w:rStyle w:val="indexentry"/>
        </w:rPr>
        <w:fldChar w:fldCharType="end"/>
      </w:r>
      <w:r>
        <w:t xml:space="preserve">This pro-sumti is used in relative clauses (explained in </w:t>
      </w:r>
      <w:r>
        <w:rPr>
          <w:rStyle w:val="htmlcodes"/>
        </w:rPr>
        <w:t>&lt;a href=chap8.html&gt;</w:t>
      </w:r>
      <w:r>
        <w:t>Chapter 8</w:t>
      </w:r>
      <w:r>
        <w:rPr>
          <w:rStyle w:val="htmlcodes"/>
        </w:rPr>
        <w:t>&lt;/a&gt;</w:t>
      </w:r>
      <w:r>
        <w:t>) to indicate</w:t>
      </w:r>
      <w:r>
        <w:rPr>
          <w:rStyle w:val="deletedparamark"/>
        </w:rPr>
        <w:t xml:space="preserve"> </w:t>
      </w:r>
      <w:r>
        <w:t>how the sumti being relativized fits within the clause.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"cat of plastic"&gt;</w:t>
      </w:r>
      <w:r>
        <w:rPr>
          <w:rStyle w:val="indexentry"/>
        </w:rPr>
        <w:fldChar w:fldCharType="begin"/>
      </w:r>
      <w:r>
        <w:instrText>xe "</w:instrText>
      </w:r>
      <w:r>
        <w:rPr>
          <w:rStyle w:val="xeentry"/>
        </w:rPr>
        <w:instrText>cat of plastic: example</w:instrText>
      </w:r>
      <w:r>
        <w:instrText>"</w:instrText>
      </w:r>
      <w:r>
        <w:rPr>
          <w:rStyle w:val="indexentry"/>
        </w:rPr>
        <w:fldChar w:fldCharType="end"/>
      </w:r>
      <w:r>
        <w:rPr>
          <w:rStyle w:val="htmlcodes"/>
        </w:rPr>
        <w:t>&lt;pre&gt;&lt;a name=e10d1&gt;</w:t>
      </w:r>
      <w:r>
        <w:t>10.1)</w:t>
      </w:r>
      <w:r>
        <w:tab/>
        <w:t>mi catlu lo mlatu poi [zo'e] zbasu</w:t>
      </w:r>
    </w:p>
    <w:p w:rsidR="00B72047" w:rsidRDefault="00B72047">
      <w:pPr>
        <w:pStyle w:val="examplescaled"/>
        <w:ind w:firstLine="576"/>
      </w:pPr>
      <w:r>
        <w:t>ke'a lei slasi</w:t>
      </w:r>
    </w:p>
    <w:p w:rsidR="00B72047" w:rsidRDefault="00B72047">
      <w:pPr>
        <w:pStyle w:val="examplescaled"/>
      </w:pPr>
      <w:r>
        <w:tab/>
        <w:t>I see a cat such-that something-unspecified makes</w:t>
      </w:r>
    </w:p>
    <w:p w:rsidR="00B72047" w:rsidRDefault="00B72047">
      <w:pPr>
        <w:pStyle w:val="examplescaled"/>
      </w:pPr>
      <w:r>
        <w:tab/>
      </w:r>
      <w:r>
        <w:tab/>
        <w:t>the-thing-being-relativized [the cat] from-some-mass-of plastic.</w:t>
      </w:r>
    </w:p>
    <w:p w:rsidR="00B72047" w:rsidRDefault="00B72047">
      <w:pPr>
        <w:pStyle w:val="examplescaled"/>
      </w:pPr>
      <w:r>
        <w:tab/>
        <w:t>I see a cat made of plastic.</w:t>
      </w:r>
    </w:p>
    <w:p w:rsidR="00B72047" w:rsidRDefault="00B72047">
      <w:pPr>
        <w:pStyle w:val="resumedafterexample"/>
        <w:spacing w:before="0"/>
      </w:pPr>
      <w:r>
        <w:rPr>
          <w:rStyle w:val="htmlcodes"/>
          <w:vanish w:val="0"/>
        </w:rPr>
        <w:br w:type="page"/>
      </w:r>
      <w:r>
        <w:rPr>
          <w:rStyle w:val="htmlcodes"/>
        </w:rPr>
        <w:t>&lt;/pre&gt;</w:t>
      </w:r>
      <w:r>
        <w:rPr>
          <w:rStyle w:val="indexentry"/>
        </w:rPr>
        <w:t>&lt;cx "ke'a, ambiguity when omitted"&gt;</w:t>
      </w:r>
      <w:r>
        <w:rPr>
          <w:rStyle w:val="indexentry"/>
        </w:rPr>
        <w:fldChar w:fldCharType="begin"/>
      </w:r>
      <w:r>
        <w:instrText>xe "</w:instrText>
      </w:r>
      <w:r>
        <w:rPr>
          <w:rStyle w:val="xeentry"/>
        </w:rPr>
        <w:instrText>ke'a: ambiguity when omitted</w:instrText>
      </w:r>
      <w:r>
        <w:instrText>"</w:instrText>
      </w:r>
      <w:r>
        <w:rPr>
          <w:rStyle w:val="indexentry"/>
        </w:rPr>
        <w:fldChar w:fldCharType="end"/>
      </w:r>
      <w:r>
        <w:t xml:space="preserve">If “ke'a” were omitted from </w:t>
      </w:r>
      <w:r>
        <w:rPr>
          <w:rStyle w:val="htmlcodes"/>
        </w:rPr>
        <w:t>&lt;a href=#e10d1&gt;</w:t>
      </w:r>
      <w:r>
        <w:t>Example 10.1</w:t>
      </w:r>
      <w:r>
        <w:rPr>
          <w:rStyle w:val="htmlcodes"/>
        </w:rPr>
        <w:t>&lt;/a&gt;</w:t>
      </w:r>
      <w:r>
        <w:t>, it might be confused with: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 xml:space="preserve">mi catlu lo mlatu poi [ke'a] </w:t>
      </w:r>
    </w:p>
    <w:p w:rsidR="00B72047" w:rsidRDefault="00B72047">
      <w:pPr>
        <w:pStyle w:val="examplescaled"/>
      </w:pPr>
      <w:r>
        <w:tab/>
      </w:r>
      <w:r>
        <w:tab/>
        <w:t>zbasu lei slasi</w:t>
      </w:r>
    </w:p>
    <w:p w:rsidR="00B72047" w:rsidRDefault="00B72047">
      <w:pPr>
        <w:pStyle w:val="examplescaled"/>
      </w:pPr>
      <w:r>
        <w:tab/>
        <w:t>I see a cat such-that the-thing-being-relativized</w:t>
      </w:r>
    </w:p>
    <w:p w:rsidR="00B72047" w:rsidRDefault="00B72047">
      <w:pPr>
        <w:pStyle w:val="examplescaled"/>
      </w:pPr>
      <w:r>
        <w:tab/>
      </w:r>
      <w:r>
        <w:tab/>
        <w:t>[the cat] makes a-mass-of plastic</w:t>
      </w:r>
    </w:p>
    <w:p w:rsidR="00B72047" w:rsidRDefault="00B72047">
      <w:pPr>
        <w:pStyle w:val="examplescaled"/>
      </w:pPr>
      <w:r>
        <w:tab/>
        <w:t>I see a cat that makes plastic.</w:t>
      </w:r>
    </w:p>
    <w:p w:rsidR="00B72047" w:rsidRDefault="00B72047">
      <w:pPr>
        <w:pStyle w:val="resumedafterexample"/>
      </w:pPr>
      <w:r>
        <w:rPr>
          <w:rStyle w:val="htmlcodes"/>
        </w:rPr>
        <w:t>&lt;/pre&gt;</w:t>
      </w:r>
      <w:r>
        <w:rPr>
          <w:rStyle w:val="indexentry"/>
        </w:rPr>
        <w:t>&lt;cx "ke'a, contrasted with ri in relative clauses"&gt;</w:t>
      </w:r>
      <w:r>
        <w:rPr>
          <w:rStyle w:val="indexentry"/>
        </w:rPr>
        <w:fldChar w:fldCharType="begin"/>
      </w:r>
      <w:r>
        <w:instrText>xe "</w:instrText>
      </w:r>
      <w:r>
        <w:rPr>
          <w:rStyle w:val="xeentry"/>
        </w:rPr>
        <w:instrText>ke'a: contrasted with ri in relative clauses</w:instrText>
      </w:r>
      <w:r>
        <w:instrText>"</w:instrText>
      </w:r>
      <w:r>
        <w:rPr>
          <w:rStyle w:val="indexentry"/>
        </w:rPr>
        <w:fldChar w:fldCharType="end"/>
      </w:r>
      <w:r>
        <w:rPr>
          <w:rStyle w:val="indexentry"/>
        </w:rPr>
        <w:t>&lt;cx "ri, contrasted with ke'a in relative clauses"&gt;</w:t>
      </w:r>
      <w:r>
        <w:rPr>
          <w:rStyle w:val="indexentry"/>
        </w:rPr>
        <w:fldChar w:fldCharType="begin"/>
      </w:r>
      <w:r>
        <w:instrText>xe "</w:instrText>
      </w:r>
      <w:r>
        <w:rPr>
          <w:rStyle w:val="xeentry"/>
        </w:rPr>
        <w:instrText>ri: contrasted with ke'a in relative clauses</w:instrText>
      </w:r>
      <w:r>
        <w:instrText>"</w:instrText>
      </w:r>
      <w:r>
        <w:rPr>
          <w:rStyle w:val="indexentry"/>
        </w:rPr>
        <w:fldChar w:fldCharType="end"/>
      </w:r>
      <w:r>
        <w:t xml:space="preserve">The anaphora cmavo “ri” cannot be used in place of “ke'a” in </w:t>
      </w:r>
      <w:r>
        <w:rPr>
          <w:rStyle w:val="htmlcodes"/>
        </w:rPr>
        <w:t>&lt;a href=#e10d1&gt;</w:t>
      </w:r>
      <w:r>
        <w:t xml:space="preserve">Example 10.1 </w:t>
      </w:r>
      <w:r>
        <w:rPr>
          <w:rStyle w:val="htmlcodes"/>
        </w:rPr>
        <w:t>&lt;/a&gt;</w:t>
      </w:r>
      <w:r>
        <w:t xml:space="preserve">and </w:t>
      </w:r>
      <w:r>
        <w:rPr>
          <w:rStyle w:val="htmlcodes"/>
        </w:rPr>
        <w:t>&lt;a href=#e10d2&gt;</w:t>
      </w:r>
      <w:r>
        <w:t>Exam</w:t>
      </w:r>
      <w:r>
        <w:softHyphen/>
        <w:t>ple 10.2</w:t>
      </w:r>
      <w:r>
        <w:rPr>
          <w:rStyle w:val="htmlcodes"/>
        </w:rPr>
        <w:t>&lt;/a&gt;</w:t>
      </w:r>
      <w:r>
        <w:t>, because the relativized sumti is not yet com</w:t>
      </w:r>
      <w:r>
        <w:softHyphen/>
        <w:t>plete when the</w:t>
      </w:r>
      <w:r>
        <w:rPr>
          <w:rStyle w:val="deletedparamark"/>
        </w:rPr>
        <w:t xml:space="preserve"> “</w:t>
      </w:r>
      <w:r>
        <w:t>ke'a” appears.</w:t>
      </w:r>
    </w:p>
    <w:p w:rsidR="00B72047" w:rsidRDefault="00B72047">
      <w:pPr>
        <w:rPr>
          <w:rStyle w:val="htmlparacode"/>
        </w:rPr>
      </w:pPr>
      <w:r>
        <w:rPr>
          <w:rStyle w:val="htmlparacode"/>
        </w:rPr>
        <w:t>&lt;p&gt;</w:t>
      </w:r>
    </w:p>
    <w:p w:rsidR="00B72047" w:rsidRDefault="00B72047">
      <w:pPr>
        <w:pStyle w:val="normalparagraph"/>
      </w:pPr>
      <w:r>
        <w:rPr>
          <w:rStyle w:val="indexentry"/>
        </w:rPr>
        <w:t>&lt;cx "ke'a, and abstract descriptions"&gt;</w:t>
      </w:r>
      <w:r>
        <w:rPr>
          <w:rStyle w:val="indexentry"/>
        </w:rPr>
        <w:fldChar w:fldCharType="begin"/>
      </w:r>
      <w:r>
        <w:instrText>xe "</w:instrText>
      </w:r>
      <w:r>
        <w:rPr>
          <w:rStyle w:val="xeentry"/>
        </w:rPr>
        <w:instrText>ke'a: and abstract descriptions</w:instrText>
      </w:r>
      <w:r>
        <w:instrText>"</w:instrText>
      </w:r>
      <w:r>
        <w:rPr>
          <w:rStyle w:val="indexentry"/>
        </w:rPr>
        <w:fldChar w:fldCharType="end"/>
      </w:r>
      <w:r>
        <w:rPr>
          <w:rStyle w:val="indexentry"/>
        </w:rPr>
        <w:t>&lt;cx "ke'a, subscripting for nested relative clauses"&gt;</w:t>
      </w:r>
      <w:r>
        <w:rPr>
          <w:rStyle w:val="indexentry"/>
        </w:rPr>
        <w:fldChar w:fldCharType="begin"/>
      </w:r>
      <w:r>
        <w:instrText>xe "</w:instrText>
      </w:r>
      <w:r>
        <w:rPr>
          <w:rStyle w:val="xeentry"/>
        </w:rPr>
        <w:instrText>ke'a: subscripting for nested relative clauses</w:instrText>
      </w:r>
      <w:r>
        <w:instrText>"</w:instrText>
      </w:r>
      <w:r>
        <w:rPr>
          <w:rStyle w:val="indexentry"/>
        </w:rPr>
        <w:fldChar w:fldCharType="end"/>
      </w:r>
      <w:r>
        <w:rPr>
          <w:rStyle w:val="indexentry"/>
        </w:rPr>
        <w:t>&lt;cx "subscripts, on ke'a for nested relative clauses"&gt;</w:t>
      </w:r>
      <w:r>
        <w:rPr>
          <w:rStyle w:val="indexentry"/>
        </w:rPr>
        <w:fldChar w:fldCharType="begin"/>
      </w:r>
      <w:r>
        <w:instrText>xe "</w:instrText>
      </w:r>
      <w:r>
        <w:rPr>
          <w:rStyle w:val="xeentry"/>
        </w:rPr>
        <w:instrText>subscripts: on ke'a for nested relative clauses</w:instrText>
      </w:r>
      <w:r>
        <w:instrText>"</w:instrText>
      </w:r>
      <w:r>
        <w:rPr>
          <w:rStyle w:val="indexentry"/>
        </w:rPr>
        <w:fldChar w:fldCharType="end"/>
      </w:r>
      <w:r>
        <w:t>Note that “ke'a” is used only with relative clauses, and not with other</w:t>
      </w:r>
      <w:r>
        <w:rPr>
          <w:rStyle w:val="deletedparamark"/>
        </w:rPr>
        <w:t xml:space="preserve"> </w:t>
      </w:r>
      <w:r>
        <w:t>embed</w:t>
      </w:r>
      <w:r>
        <w:softHyphen/>
        <w:t>ded bridi such as abstract descriptions. In the case of relative</w:t>
      </w:r>
      <w:r>
        <w:rPr>
          <w:rStyle w:val="deletedparamark"/>
        </w:rPr>
        <w:t xml:space="preserve"> </w:t>
      </w:r>
      <w:r>
        <w:t>clauses within relative clauses, “ke'a” may be subscripted to make the</w:t>
      </w:r>
      <w:r>
        <w:rPr>
          <w:rStyle w:val="deletedparamark"/>
        </w:rPr>
        <w:t xml:space="preserve"> </w:t>
      </w:r>
      <w:r>
        <w:t xml:space="preserve">difference clear (see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285" w:name="_Toc398970533"/>
      <w:r>
        <w:rPr>
          <w:rStyle w:val="Heading3Text"/>
        </w:rPr>
        <w:t>Abstraction focus pro-sumti: “ce'u”</w:t>
      </w:r>
      <w:bookmarkEnd w:id="285"/>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ce'u</w:t>
      </w:r>
      <w:r>
        <w:tab/>
        <w:t>KOhA</w:t>
      </w:r>
      <w:r>
        <w:tab/>
        <w:t>abstraction focus</w:t>
      </w:r>
    </w:p>
    <w:p w:rsidR="00B72047" w:rsidRDefault="00B72047">
      <w:pPr>
        <w:pStyle w:val="normalafterexample"/>
      </w:pPr>
      <w:r>
        <w:rPr>
          <w:rStyle w:val="htmlcodes"/>
        </w:rPr>
        <w:t>&lt;/pre&gt;</w:t>
      </w:r>
      <w:r>
        <w:rPr>
          <w:rStyle w:val="indexentry"/>
        </w:rPr>
        <w:t>&lt;lx "ce'u"&gt;</w:t>
      </w:r>
      <w:r>
        <w:rPr>
          <w:rStyle w:val="indexentry"/>
        </w:rPr>
        <w:fldChar w:fldCharType="begin"/>
      </w:r>
      <w:r>
        <w:instrText>xe "</w:instrText>
      </w:r>
      <w:r>
        <w:rPr>
          <w:rStyle w:val="xeentry"/>
        </w:rPr>
        <w:instrText>ce'u</w:instrText>
      </w:r>
      <w:r>
        <w:instrText>"</w:instrText>
      </w:r>
      <w:r>
        <w:rPr>
          <w:rStyle w:val="indexentry"/>
        </w:rPr>
        <w:fldChar w:fldCharType="end"/>
      </w:r>
      <w:r>
        <w:t>The cmavo “ce'u” is used within abstraction bridi, particularly</w:t>
      </w:r>
      <w:r>
        <w:rPr>
          <w:rStyle w:val="deletedparamark"/>
        </w:rPr>
        <w:t xml:space="preserve"> </w:t>
      </w:r>
      <w:r>
        <w:t>property ab</w:t>
      </w:r>
      <w:r>
        <w:softHyphen/>
        <w:t>stractions introduced by the cmavo “ka”. Abstractions,</w:t>
      </w:r>
      <w:r>
        <w:rPr>
          <w:rStyle w:val="deletedparamark"/>
        </w:rPr>
        <w:t xml:space="preserve"> </w:t>
      </w:r>
      <w:r>
        <w:t xml:space="preserve">including the uses of “ce'u”, are discussed in full in </w:t>
      </w:r>
      <w:r>
        <w:rPr>
          <w:rStyle w:val="htmlcodes"/>
        </w:rPr>
        <w:t>&lt;a href=chap11.html&gt;</w:t>
      </w:r>
      <w:r>
        <w:t>Chapter 11</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"property abstraction, specifying sumti place of property with ce'u"&gt;</w:t>
      </w:r>
      <w:r>
        <w:rPr>
          <w:rStyle w:val="indexentry"/>
        </w:rPr>
        <w:fldChar w:fldCharType="begin"/>
      </w:r>
      <w:r>
        <w:instrText>xe "</w:instrText>
      </w:r>
      <w:r>
        <w:rPr>
          <w:rStyle w:val="xeentry"/>
        </w:rPr>
        <w:instrText>property abstraction(s): specifying sumti place of property with ce'u</w:instrText>
      </w:r>
      <w:r>
        <w:instrText>"</w:instrText>
      </w:r>
      <w:r>
        <w:rPr>
          <w:rStyle w:val="indexentry"/>
        </w:rPr>
        <w:fldChar w:fldCharType="end"/>
      </w:r>
      <w:r>
        <w:rPr>
          <w:rStyle w:val="indexentry"/>
        </w:rPr>
        <w:t>&lt;cx "ce'u, use in specifying sumti place of property in abstraction"&gt;</w:t>
      </w:r>
      <w:r>
        <w:rPr>
          <w:rStyle w:val="indexentry"/>
        </w:rPr>
        <w:fldChar w:fldCharType="begin"/>
      </w:r>
      <w:r>
        <w:instrText>xe "</w:instrText>
      </w:r>
      <w:r>
        <w:rPr>
          <w:rStyle w:val="xeentry"/>
        </w:rPr>
        <w:instrText>ce'u: use in specifying sumti place of property in abstraction</w:instrText>
      </w:r>
      <w:r>
        <w:instrText>"</w:instrText>
      </w:r>
      <w:r>
        <w:rPr>
          <w:rStyle w:val="indexentry"/>
        </w:rPr>
        <w:fldChar w:fldCharType="end"/>
      </w:r>
      <w:r>
        <w:t>In brief: Every property abstraction specifies a property of one of the</w:t>
      </w:r>
      <w:r>
        <w:rPr>
          <w:rStyle w:val="deletedparamark"/>
        </w:rPr>
        <w:t xml:space="preserve"> </w:t>
      </w:r>
      <w:r>
        <w:t>sumti in it; that sumti place is filled by using “ce'u”. This convention</w:t>
      </w:r>
      <w:r>
        <w:rPr>
          <w:rStyle w:val="deletedparamark"/>
        </w:rPr>
        <w:t xml:space="preserve"> </w:t>
      </w:r>
      <w:r>
        <w:t>enables us to distinguish clearly between:</w:t>
      </w:r>
    </w:p>
    <w:p w:rsidR="00B72047" w:rsidRDefault="00B72047">
      <w:pPr>
        <w:rPr>
          <w:rStyle w:val="htmlparacode"/>
        </w:rPr>
      </w:pPr>
      <w:r>
        <w:rPr>
          <w:rStyle w:val="htmlparacode"/>
        </w:rPr>
        <w:t>&lt;p&gt;</w:t>
      </w:r>
    </w:p>
    <w:p w:rsidR="00B72047" w:rsidRDefault="00B72047">
      <w:pPr>
        <w:pStyle w:val="examplescaledpre"/>
      </w:pPr>
      <w:r>
        <w:rPr>
          <w:rStyle w:val="indexentry"/>
        </w:rPr>
        <w:t>&lt;ex "happiness"&gt;</w:t>
      </w:r>
      <w:r>
        <w:rPr>
          <w:rStyle w:val="indexentry"/>
        </w:rPr>
        <w:fldChar w:fldCharType="begin"/>
      </w:r>
      <w:r>
        <w:instrText>xe "</w:instrText>
      </w:r>
      <w:r>
        <w:rPr>
          <w:rStyle w:val="xeentry"/>
        </w:rPr>
        <w:instrText>happiness: example</w:instrText>
      </w:r>
      <w:r>
        <w:instrText>"</w:instrText>
      </w:r>
      <w:r>
        <w:rPr>
          <w:rStyle w:val="indexentry"/>
        </w:rPr>
        <w:fldChar w:fldCharType="end"/>
      </w:r>
      <w:r>
        <w:rPr>
          <w:rStyle w:val="htmlcodes"/>
        </w:rPr>
        <w:t>&lt;pre&gt;&lt;a name=e11d1&gt;</w:t>
      </w:r>
      <w:r>
        <w:t>11.1)</w:t>
      </w:r>
      <w:r>
        <w:tab/>
        <w:t>le ka ce'u gleki</w:t>
      </w:r>
    </w:p>
    <w:p w:rsidR="00B72047" w:rsidRDefault="00B72047">
      <w:pPr>
        <w:pStyle w:val="examplescaled"/>
      </w:pPr>
      <w:r>
        <w:tab/>
        <w:t>the property-of (X being-happy)</w:t>
      </w:r>
    </w:p>
    <w:p w:rsidR="00B72047" w:rsidRDefault="00B72047">
      <w:pPr>
        <w:pStyle w:val="examplescaled"/>
      </w:pPr>
      <w:r>
        <w:tab/>
        <w:t>the property of being happy</w:t>
      </w:r>
    </w:p>
    <w:p w:rsidR="00B72047" w:rsidRDefault="00B72047">
      <w:pPr>
        <w:pStyle w:val="examplescaled"/>
      </w:pPr>
      <w:r>
        <w:tab/>
        <w:t>happiness</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le ka gleki ce'u</w:t>
      </w:r>
    </w:p>
    <w:p w:rsidR="00B72047" w:rsidRDefault="00B72047">
      <w:pPr>
        <w:pStyle w:val="examplescaled"/>
      </w:pPr>
      <w:r>
        <w:tab/>
        <w:t>the property-of (being-happy about-X)</w:t>
      </w:r>
    </w:p>
    <w:p w:rsidR="00B72047" w:rsidRDefault="00B72047">
      <w:pPr>
        <w:pStyle w:val="examplescaled"/>
      </w:pPr>
      <w:r>
        <w:tab/>
        <w:t>the property of being that which someone is happy about</w:t>
      </w:r>
    </w:p>
    <w:p w:rsidR="00B72047" w:rsidRDefault="00B72047">
      <w:pPr>
        <w:pStyle w:val="Heading3"/>
        <w:rPr>
          <w:rStyle w:val="Heading3Text"/>
        </w:rPr>
      </w:pPr>
      <w:r>
        <w:rPr>
          <w:rStyle w:val="htmlcodes"/>
        </w:rPr>
        <w:t>&lt;/pre&gt;&lt;a name=s12&gt;&lt;h3&gt;</w:t>
      </w:r>
      <w:bookmarkStart w:id="286" w:name="_Toc398970534"/>
      <w:r>
        <w:rPr>
          <w:rStyle w:val="Heading3Text"/>
        </w:rPr>
        <w:t>Bound variable pro-sumti and pro-bridi: the da-series and the bu'a-series</w:t>
      </w:r>
      <w:bookmarkEnd w:id="28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da</w:t>
      </w:r>
      <w:r>
        <w:tab/>
        <w:t>KOhA</w:t>
      </w:r>
      <w:r>
        <w:tab/>
        <w:t>da-series</w:t>
      </w:r>
      <w:r>
        <w:tab/>
      </w:r>
      <w:r>
        <w:tab/>
        <w:t>something-1</w:t>
      </w:r>
    </w:p>
    <w:p w:rsidR="00B72047" w:rsidRDefault="00B72047">
      <w:pPr>
        <w:pStyle w:val="examplescaled"/>
      </w:pPr>
      <w:r>
        <w:tab/>
        <w:t>de</w:t>
      </w:r>
      <w:r>
        <w:tab/>
        <w:t>KOhA</w:t>
      </w:r>
      <w:r>
        <w:tab/>
        <w:t>da-series</w:t>
      </w:r>
      <w:r>
        <w:tab/>
      </w:r>
      <w:r>
        <w:tab/>
        <w:t>something-2</w:t>
      </w:r>
    </w:p>
    <w:p w:rsidR="00B72047" w:rsidRDefault="00B72047">
      <w:pPr>
        <w:pStyle w:val="examplescaled"/>
      </w:pPr>
      <w:r>
        <w:tab/>
        <w:t>di</w:t>
      </w:r>
      <w:r>
        <w:tab/>
        <w:t>KOhA</w:t>
      </w:r>
      <w:r>
        <w:tab/>
        <w:t>da-series</w:t>
      </w:r>
      <w:r>
        <w:tab/>
      </w:r>
      <w:r>
        <w:tab/>
        <w:t>something-3</w:t>
      </w:r>
    </w:p>
    <w:p w:rsidR="00B72047" w:rsidRDefault="00B72047">
      <w:pPr>
        <w:pStyle w:val="examplescaledpre"/>
      </w:pPr>
      <w:r>
        <w:tab/>
        <w:t>bu'a</w:t>
      </w:r>
      <w:r>
        <w:tab/>
        <w:t>GOhA</w:t>
      </w:r>
      <w:r>
        <w:tab/>
        <w:t>bu'a-series</w:t>
      </w:r>
      <w:r>
        <w:tab/>
        <w:t>some-predicate-1</w:t>
      </w:r>
    </w:p>
    <w:p w:rsidR="00B72047" w:rsidRDefault="00B72047">
      <w:pPr>
        <w:pStyle w:val="examplescaled"/>
      </w:pPr>
      <w:r>
        <w:tab/>
        <w:t>bu'e</w:t>
      </w:r>
      <w:r>
        <w:tab/>
        <w:t>GOhA</w:t>
      </w:r>
      <w:r>
        <w:tab/>
        <w:t>bu'a-series</w:t>
      </w:r>
      <w:r>
        <w:tab/>
        <w:t>some-predicate-2</w:t>
      </w:r>
    </w:p>
    <w:p w:rsidR="00B72047" w:rsidRDefault="00B72047">
      <w:pPr>
        <w:pStyle w:val="examplescaled"/>
      </w:pPr>
      <w:r>
        <w:tab/>
        <w:t>bu'i</w:t>
      </w:r>
      <w:r>
        <w:tab/>
        <w:t>GOhA</w:t>
      </w:r>
      <w:r>
        <w:tab/>
        <w:t>bu'a-series</w:t>
      </w:r>
      <w:r>
        <w:tab/>
        <w:t>some-predicate-3</w:t>
      </w:r>
    </w:p>
    <w:p w:rsidR="00B72047" w:rsidRDefault="00B72047">
      <w:pPr>
        <w:pStyle w:val="normalafterexample"/>
      </w:pPr>
      <w:r>
        <w:rPr>
          <w:rStyle w:val="htmlcodes"/>
        </w:rPr>
        <w:t>&lt;/pre&gt;</w:t>
      </w:r>
      <w:r>
        <w:rPr>
          <w:rStyle w:val="indexentry"/>
        </w:rPr>
        <w:t>&lt;cx "da-series pro-sumti, for bound variables"&gt;</w:t>
      </w:r>
      <w:r>
        <w:rPr>
          <w:rStyle w:val="indexentry"/>
        </w:rPr>
        <w:fldChar w:fldCharType="begin"/>
      </w:r>
      <w:r>
        <w:instrText>xe "</w:instrText>
      </w:r>
      <w:r>
        <w:rPr>
          <w:rStyle w:val="xeentry"/>
        </w:rPr>
        <w:instrText>da-series pro-sumti: for bound variables</w:instrText>
      </w:r>
      <w:r>
        <w:instrText>"</w:instrText>
      </w:r>
      <w:r>
        <w:rPr>
          <w:rStyle w:val="indexentry"/>
        </w:rPr>
        <w:fldChar w:fldCharType="end"/>
      </w:r>
      <w:r>
        <w:rPr>
          <w:rStyle w:val="indexentry"/>
        </w:rPr>
        <w:t>&lt;cx "bu'a-series pro-sumti, for bound variables"&gt;</w:t>
      </w:r>
      <w:r>
        <w:rPr>
          <w:rStyle w:val="indexentry"/>
        </w:rPr>
        <w:fldChar w:fldCharType="begin"/>
      </w:r>
      <w:r>
        <w:instrText>xe "</w:instrText>
      </w:r>
      <w:r>
        <w:rPr>
          <w:rStyle w:val="xeentry"/>
        </w:rPr>
        <w:instrText>bu'a-series pro-sumti: for bound variables</w:instrText>
      </w:r>
      <w:r>
        <w:instrText>"</w:instrText>
      </w:r>
      <w:r>
        <w:rPr>
          <w:rStyle w:val="indexentry"/>
        </w:rPr>
        <w:fldChar w:fldCharType="end"/>
      </w:r>
      <w:r>
        <w:t>Bound variables belong to the predicate-logic part of Lojban, and are</w:t>
      </w:r>
      <w:r>
        <w:rPr>
          <w:rStyle w:val="deletedparamark"/>
        </w:rPr>
        <w:t xml:space="preserve"> </w:t>
      </w:r>
      <w:r>
        <w:t>listed here for completeness only. Their semantics is ex</w:t>
      </w:r>
      <w:r>
        <w:softHyphen/>
        <w:t>plained in</w:t>
      </w:r>
      <w:r>
        <w:rPr>
          <w:rStyle w:val="deletedparamark"/>
        </w:rPr>
        <w:t xml:space="preserve"> </w:t>
      </w:r>
      <w:r>
        <w:rPr>
          <w:rStyle w:val="htmlcodes"/>
        </w:rPr>
        <w:t>&lt;a href=chap16.html&gt;</w:t>
      </w:r>
      <w:r>
        <w:t>Chapter 16</w:t>
      </w:r>
      <w:r>
        <w:rPr>
          <w:rStyle w:val="htmlcodes"/>
        </w:rPr>
        <w:t>&lt;/a&gt;</w:t>
      </w:r>
      <w:r>
        <w:t>. It is worth mentioning that the Lojban transla</w:t>
      </w:r>
      <w:r>
        <w:softHyphen/>
        <w:t>tion of</w:t>
      </w:r>
      <w:r>
        <w:rPr>
          <w:rStyle w:val="deletedparamark"/>
        </w:rPr>
        <w:t xml:space="preserve"> </w:t>
      </w:r>
      <w:r>
        <w:rPr>
          <w:rStyle w:val="htmlcodes"/>
        </w:rPr>
        <w:t>&lt;a href=#e1d2&gt;</w:t>
      </w:r>
      <w:r>
        <w:t xml:space="preserve">Example 1.2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indexentry"/>
        </w:rPr>
        <w:t>&lt;ex "shook stick"&gt;</w:t>
      </w:r>
      <w:r>
        <w:rPr>
          <w:rStyle w:val="indexentry"/>
        </w:rPr>
        <w:fldChar w:fldCharType="begin"/>
      </w:r>
      <w:r>
        <w:instrText>xe "</w:instrText>
      </w:r>
      <w:r>
        <w:rPr>
          <w:rStyle w:val="xeentry"/>
        </w:rPr>
        <w:instrText>shook stick: example</w:instrText>
      </w:r>
      <w:r>
        <w:instrText>"</w:instrText>
      </w:r>
      <w:r>
        <w:rPr>
          <w:rStyle w:val="indexentry"/>
        </w:rPr>
        <w:fldChar w:fldCharType="end"/>
      </w:r>
      <w:r>
        <w:rPr>
          <w:rStyle w:val="indexentry"/>
        </w:rPr>
        <w:t>&lt;lx "da"&gt;</w:t>
      </w:r>
      <w:r>
        <w:rPr>
          <w:rStyle w:val="indexentry"/>
        </w:rPr>
        <w:fldChar w:fldCharType="begin"/>
      </w:r>
      <w:r>
        <w:instrText>xe "</w:instrText>
      </w:r>
      <w:r>
        <w:rPr>
          <w:rStyle w:val="xeentry"/>
        </w:rPr>
        <w:instrText>da</w:instrText>
      </w:r>
      <w:r>
        <w:instrText>"</w:instrText>
      </w:r>
      <w:r>
        <w:rPr>
          <w:rStyle w:val="indexentry"/>
        </w:rPr>
        <w:fldChar w:fldCharType="end"/>
      </w:r>
      <w:r>
        <w:rPr>
          <w:rStyle w:val="htmlcodes"/>
        </w:rPr>
        <w:t>&lt;pre&gt;&lt;a name=e12d1&gt;</w:t>
      </w:r>
      <w:r>
        <w:t>12.1)</w:t>
      </w:r>
      <w:r>
        <w:tab/>
        <w:t>la djan. cu lafti da poi grana ku'o gi'e desygau da</w:t>
      </w:r>
    </w:p>
    <w:p w:rsidR="00B72047" w:rsidRDefault="00B72047">
      <w:pPr>
        <w:pStyle w:val="examplescaled"/>
      </w:pPr>
      <w:r>
        <w:tab/>
        <w:t>John raised something-1 which is-a-stick and shake-did something-1</w:t>
      </w:r>
    </w:p>
    <w:p w:rsidR="00B72047" w:rsidRDefault="00B72047">
      <w:pPr>
        <w:pStyle w:val="examplescaled"/>
      </w:pPr>
      <w:r>
        <w:tab/>
        <w:t>John picked up a stick and shook it.</w:t>
      </w:r>
    </w:p>
    <w:p w:rsidR="00B72047" w:rsidRDefault="00B72047">
      <w:pPr>
        <w:pStyle w:val="Heading3"/>
        <w:rPr>
          <w:rStyle w:val="Heading3Text"/>
        </w:rPr>
      </w:pPr>
      <w:r>
        <w:rPr>
          <w:rStyle w:val="htmlcodes"/>
        </w:rPr>
        <w:t>&lt;/pre&gt;&lt;a name=s13&gt;&lt;h3&gt;</w:t>
      </w:r>
      <w:bookmarkStart w:id="287" w:name="_Toc398970535"/>
      <w:r>
        <w:rPr>
          <w:rStyle w:val="Heading3Text"/>
        </w:rPr>
        <w:t>Pro-sumti and pro-bridi cancelling</w:t>
      </w:r>
      <w:bookmarkEnd w:id="28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da'o</w:t>
      </w:r>
      <w:r>
        <w:tab/>
        <w:t>DAhO</w:t>
      </w:r>
      <w:r>
        <w:tab/>
        <w:t>cancel all pro-sumti/pro-bridi</w:t>
      </w:r>
    </w:p>
    <w:p w:rsidR="00B72047" w:rsidRDefault="00B72047">
      <w:pPr>
        <w:pStyle w:val="normalafterexample"/>
      </w:pPr>
      <w:r>
        <w:rPr>
          <w:rStyle w:val="htmlcodes"/>
        </w:rPr>
        <w:t>&lt;/pre&gt;</w:t>
      </w:r>
      <w:r>
        <w:rPr>
          <w:rStyle w:val="indexentry"/>
        </w:rPr>
        <w:t>&lt;cx "pro-sumti assignment, stability of"&gt;</w:t>
      </w:r>
      <w:r>
        <w:rPr>
          <w:rStyle w:val="indexentry"/>
        </w:rPr>
        <w:fldChar w:fldCharType="begin"/>
      </w:r>
      <w:r>
        <w:instrText>xe "</w:instrText>
      </w:r>
      <w:r>
        <w:rPr>
          <w:rStyle w:val="xeentry"/>
        </w:rPr>
        <w:instrText>pro-sumti assignment: stability of</w:instrText>
      </w:r>
      <w:r>
        <w:instrText>"</w:instrText>
      </w:r>
      <w:r>
        <w:rPr>
          <w:rStyle w:val="indexentry"/>
        </w:rPr>
        <w:fldChar w:fldCharType="end"/>
      </w:r>
      <w:r>
        <w:rPr>
          <w:rStyle w:val="indexentry"/>
        </w:rPr>
        <w:t>&lt;cx "pro-bridi assignment, stability of"&gt;</w:t>
      </w:r>
      <w:r>
        <w:rPr>
          <w:rStyle w:val="indexentry"/>
        </w:rPr>
        <w:fldChar w:fldCharType="begin"/>
      </w:r>
      <w:r>
        <w:instrText>xe "</w:instrText>
      </w:r>
      <w:r>
        <w:rPr>
          <w:rStyle w:val="xeentry"/>
        </w:rPr>
        <w:instrText>pro-bridi assignment: stability of</w:instrText>
      </w:r>
      <w:r>
        <w:instrText>"</w:instrText>
      </w:r>
      <w:r>
        <w:rPr>
          <w:rStyle w:val="indexentry"/>
        </w:rPr>
        <w:fldChar w:fldCharType="end"/>
      </w:r>
      <w:r>
        <w:t>How long does a pro-sumti or pro-bridi remain stable? In other words,</w:t>
      </w:r>
      <w:r>
        <w:rPr>
          <w:rStyle w:val="deletedparamark"/>
        </w:rPr>
        <w:t xml:space="preserve"> </w:t>
      </w:r>
      <w:r>
        <w:t>once we know the referent of a pro-sumti or pro-bridi, how long can we</w:t>
      </w:r>
      <w:r>
        <w:rPr>
          <w:rStyle w:val="deletedparamark"/>
        </w:rPr>
        <w:t xml:space="preserve"> </w:t>
      </w:r>
      <w:r>
        <w:t>be sure that future uses of the same cmavo have the same referent? The</w:t>
      </w:r>
      <w:r>
        <w:rPr>
          <w:rStyle w:val="deletedparamark"/>
        </w:rPr>
        <w:t xml:space="preserve"> </w:t>
      </w:r>
      <w:r>
        <w:t>answer to this question depends on which series the cmavo belongs to.</w:t>
      </w:r>
    </w:p>
    <w:p w:rsidR="00B72047" w:rsidRDefault="00B72047">
      <w:pPr>
        <w:rPr>
          <w:rStyle w:val="htmlparacode"/>
        </w:rPr>
      </w:pPr>
      <w:r>
        <w:rPr>
          <w:rStyle w:val="htmlparacode"/>
        </w:rPr>
        <w:t>&lt;p&gt;</w:t>
      </w:r>
    </w:p>
    <w:p w:rsidR="00B72047" w:rsidRDefault="00B72047">
      <w:pPr>
        <w:pStyle w:val="normalparagraph"/>
      </w:pPr>
      <w:r>
        <w:rPr>
          <w:rStyle w:val="indexentry"/>
        </w:rPr>
        <w:t>&lt;cx "personal pro-sumti, implicit cancellation of by change of speaker/listener"&gt;</w:t>
      </w:r>
      <w:r>
        <w:rPr>
          <w:rStyle w:val="indexentry"/>
        </w:rPr>
        <w:fldChar w:fldCharType="begin"/>
      </w:r>
      <w:r>
        <w:instrText>xe "</w:instrText>
      </w:r>
      <w:r>
        <w:rPr>
          <w:rStyle w:val="xeentry"/>
        </w:rPr>
        <w:instrText>personal pro-sumti: implicit cancellation of by change of speaker/listener</w:instrText>
      </w:r>
      <w:r>
        <w:instrText>"</w:instrText>
      </w:r>
      <w:r>
        <w:rPr>
          <w:rStyle w:val="indexentry"/>
        </w:rPr>
        <w:fldChar w:fldCharType="end"/>
      </w:r>
      <w:r>
        <w:rPr>
          <w:rStyle w:val="indexentry"/>
        </w:rPr>
        <w:t>&lt;cx "personal pro-sumti, stability of"&gt;</w:t>
      </w:r>
      <w:r>
        <w:rPr>
          <w:rStyle w:val="indexentry"/>
        </w:rPr>
        <w:fldChar w:fldCharType="begin"/>
      </w:r>
      <w:r>
        <w:instrText>xe "</w:instrText>
      </w:r>
      <w:r>
        <w:rPr>
          <w:rStyle w:val="xeentry"/>
        </w:rPr>
        <w:instrText>personal pro-sumti: stability of</w:instrText>
      </w:r>
      <w:r>
        <w:instrText>"</w:instrText>
      </w:r>
      <w:r>
        <w:rPr>
          <w:rStyle w:val="indexentry"/>
        </w:rPr>
        <w:fldChar w:fldCharType="end"/>
      </w:r>
      <w:r>
        <w:rPr>
          <w:rStyle w:val="indexentry"/>
        </w:rPr>
        <w:t>&lt;cx "assignable pro-sumti, stability of"&gt;</w:t>
      </w:r>
      <w:r>
        <w:rPr>
          <w:rStyle w:val="indexentry"/>
        </w:rPr>
        <w:fldChar w:fldCharType="begin"/>
      </w:r>
      <w:r>
        <w:instrText>xe "</w:instrText>
      </w:r>
      <w:r>
        <w:rPr>
          <w:rStyle w:val="xeentry"/>
        </w:rPr>
        <w:instrText>assignable pro-sumti: stability of</w:instrText>
      </w:r>
      <w:r>
        <w:instrText>"</w:instrText>
      </w:r>
      <w:r>
        <w:rPr>
          <w:rStyle w:val="indexentry"/>
        </w:rPr>
        <w:fldChar w:fldCharType="end"/>
      </w:r>
      <w:r>
        <w:rPr>
          <w:rStyle w:val="indexentry"/>
        </w:rPr>
        <w:t>&lt;cx "assignable pro-sumti, explicit cancellation of by rebinding"&gt;</w:t>
      </w:r>
      <w:r>
        <w:rPr>
          <w:rStyle w:val="indexentry"/>
        </w:rPr>
        <w:fldChar w:fldCharType="begin"/>
      </w:r>
      <w:r>
        <w:instrText>xe "</w:instrText>
      </w:r>
      <w:r>
        <w:rPr>
          <w:rStyle w:val="xeentry"/>
        </w:rPr>
        <w:instrText>assignable pro-sumti: explicit cancellation of by rebinding</w:instrText>
      </w:r>
      <w:r>
        <w:instrText>"</w:instrText>
      </w:r>
      <w:r>
        <w:rPr>
          <w:rStyle w:val="indexentry"/>
        </w:rPr>
        <w:fldChar w:fldCharType="end"/>
      </w: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rPr>
          <w:rStyle w:val="indexentry"/>
        </w:rPr>
        <w:t>&lt;lx "cei"&gt;</w:t>
      </w:r>
      <w:r>
        <w:rPr>
          <w:rStyle w:val="indexentry"/>
        </w:rPr>
        <w:fldChar w:fldCharType="begin"/>
      </w:r>
      <w:r>
        <w:instrText>xe "</w:instrText>
      </w:r>
      <w:r>
        <w:rPr>
          <w:rStyle w:val="xeentry"/>
        </w:rPr>
        <w:instrText>cei</w:instrText>
      </w:r>
      <w:r>
        <w:instrText>"</w:instrText>
      </w:r>
      <w:r>
        <w:rPr>
          <w:rStyle w:val="indexentry"/>
        </w:rPr>
        <w:fldChar w:fldCharType="end"/>
      </w:r>
      <w:r>
        <w:rPr>
          <w:rStyle w:val="indexentry"/>
        </w:rPr>
        <w:t>&lt;cx "bound variable pro-sumti, stability of"&gt;</w:t>
      </w:r>
      <w:r>
        <w:rPr>
          <w:rStyle w:val="indexentry"/>
        </w:rPr>
        <w:fldChar w:fldCharType="begin"/>
      </w:r>
      <w:r>
        <w:instrText>xe "</w:instrText>
      </w:r>
      <w:r>
        <w:rPr>
          <w:rStyle w:val="xeentry"/>
        </w:rPr>
        <w:instrText>bound variable pro-sumti: stability of</w:instrText>
      </w:r>
      <w:r>
        <w:instrText>"</w:instrText>
      </w:r>
      <w:r>
        <w:rPr>
          <w:rStyle w:val="indexentry"/>
        </w:rPr>
        <w:fldChar w:fldCharType="end"/>
      </w:r>
      <w:r>
        <w:t>Personal pro-sumti are stable until there is a change of speaker</w:t>
      </w:r>
      <w:r>
        <w:rPr>
          <w:rStyle w:val="deletedparamark"/>
        </w:rPr>
        <w:t xml:space="preserve"> </w:t>
      </w:r>
      <w:r>
        <w:t>or listener, pos</w:t>
      </w:r>
      <w:r>
        <w:softHyphen/>
        <w:t>sibly signaled by a vocative. Assignable pro-sumti</w:t>
      </w:r>
      <w:r>
        <w:rPr>
          <w:rStyle w:val="deletedparamark"/>
        </w:rPr>
        <w:t xml:space="preserve"> </w:t>
      </w:r>
      <w:r>
        <w:t>and pro-bridi last indefinitely or un</w:t>
      </w:r>
      <w:r>
        <w:softHyphen/>
        <w:t>til r</w:t>
      </w:r>
      <w:r>
        <w:t>e</w:t>
      </w:r>
      <w:r>
        <w:softHyphen/>
        <w:t>bound with “goi” or “cei”.</w:t>
      </w:r>
      <w:r>
        <w:rPr>
          <w:rStyle w:val="deletedparamark"/>
        </w:rPr>
        <w:t xml:space="preserve"> </w:t>
      </w:r>
      <w:r>
        <w:t>Bound variable pro-sumti and pro-bridi also generally last until re-bound;</w:t>
      </w:r>
      <w:r>
        <w:rPr>
          <w:rStyle w:val="deletedparamark"/>
        </w:rPr>
        <w:t xml:space="preserve"> </w:t>
      </w:r>
      <w:r>
        <w:t xml:space="preserve">details are available in </w:t>
      </w:r>
      <w:r>
        <w:rPr>
          <w:rStyle w:val="htmlcodes"/>
        </w:rPr>
        <w:t>&lt;a href=chap16.html&gt;</w:t>
      </w:r>
      <w:r>
        <w:t>Chapter 16</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"utterance pro-sumti, stability of"&gt;</w:t>
      </w:r>
      <w:r>
        <w:rPr>
          <w:rStyle w:val="indexentry"/>
        </w:rPr>
        <w:fldChar w:fldCharType="begin"/>
      </w:r>
      <w:r>
        <w:instrText>xe "</w:instrText>
      </w:r>
      <w:r>
        <w:rPr>
          <w:rStyle w:val="xeentry"/>
        </w:rPr>
        <w:instrText>utterance pro-sumti: stability of</w:instrText>
      </w:r>
      <w:r>
        <w:instrText>"</w:instrText>
      </w:r>
      <w:r>
        <w:rPr>
          <w:rStyle w:val="indexentry"/>
        </w:rPr>
        <w:fldChar w:fldCharType="end"/>
      </w:r>
      <w:r>
        <w:rPr>
          <w:rStyle w:val="indexentry"/>
        </w:rPr>
        <w:t>&lt;cx "reflexive pro-sumti, stability of"&gt;</w:t>
      </w:r>
      <w:r>
        <w:rPr>
          <w:rStyle w:val="indexentry"/>
        </w:rPr>
        <w:fldChar w:fldCharType="begin"/>
      </w:r>
      <w:r>
        <w:instrText>xe "</w:instrText>
      </w:r>
      <w:r>
        <w:rPr>
          <w:rStyle w:val="xeentry"/>
        </w:rPr>
        <w:instrText>reflexive pro-sumti: stability of</w:instrText>
      </w:r>
      <w:r>
        <w:instrText>"</w:instrText>
      </w:r>
      <w:r>
        <w:rPr>
          <w:rStyle w:val="indexentry"/>
        </w:rPr>
        <w:fldChar w:fldCharType="end"/>
      </w:r>
      <w:r>
        <w:rPr>
          <w:rStyle w:val="indexentry"/>
        </w:rPr>
        <w:t>&lt;cx "ke'a, stability of"&gt;</w:t>
      </w:r>
      <w:r>
        <w:rPr>
          <w:rStyle w:val="indexentry"/>
        </w:rPr>
        <w:fldChar w:fldCharType="begin"/>
      </w:r>
      <w:r>
        <w:instrText>xe "</w:instrText>
      </w:r>
      <w:r>
        <w:rPr>
          <w:rStyle w:val="xeentry"/>
        </w:rPr>
        <w:instrText>ke'a: stability of</w:instrText>
      </w:r>
      <w:r>
        <w:instrText>"</w:instrText>
      </w:r>
      <w:r>
        <w:rPr>
          <w:rStyle w:val="indexentry"/>
        </w:rPr>
        <w:fldChar w:fldCharType="end"/>
      </w:r>
      <w:r>
        <w:rPr>
          <w:rStyle w:val="indexentry"/>
        </w:rPr>
        <w:t>&lt;cx "anaphoric pro-sumti, stability of"&gt;</w:t>
      </w:r>
      <w:r>
        <w:rPr>
          <w:rStyle w:val="indexentry"/>
        </w:rPr>
        <w:fldChar w:fldCharType="begin"/>
      </w:r>
      <w:r>
        <w:instrText>xe "</w:instrText>
      </w:r>
      <w:r>
        <w:rPr>
          <w:rStyle w:val="xeentry"/>
        </w:rPr>
        <w:instrText>anaphoric pro-sumti: stability of</w:instrText>
      </w:r>
      <w:r>
        <w:instrText>"</w:instrText>
      </w:r>
      <w:r>
        <w:rPr>
          <w:rStyle w:val="indexentry"/>
        </w:rPr>
        <w:fldChar w:fldCharType="end"/>
      </w:r>
      <w:r>
        <w:rPr>
          <w:rStyle w:val="indexentry"/>
        </w:rPr>
        <w:t>&lt;cx "anaphoric pro-bridi, stability of"&gt;</w:t>
      </w:r>
      <w:r>
        <w:rPr>
          <w:rStyle w:val="indexentry"/>
        </w:rPr>
        <w:fldChar w:fldCharType="begin"/>
      </w:r>
      <w:r>
        <w:instrText>xe "</w:instrText>
      </w:r>
      <w:r>
        <w:rPr>
          <w:rStyle w:val="xeentry"/>
        </w:rPr>
        <w:instrText>anaphoric pro-bridi: stability of</w:instrText>
      </w:r>
      <w:r>
        <w:instrText>"</w:instrText>
      </w:r>
      <w:r>
        <w:rPr>
          <w:rStyle w:val="indexentry"/>
        </w:rPr>
        <w:fldChar w:fldCharType="end"/>
      </w:r>
      <w:r>
        <w:t>Utterance pro-sumti are stable only within the utterance in which they</w:t>
      </w:r>
      <w:r>
        <w:rPr>
          <w:rStyle w:val="deletedparamark"/>
        </w:rPr>
        <w:t xml:space="preserve"> </w:t>
      </w:r>
      <w:r>
        <w:t>appear; sim</w:t>
      </w:r>
      <w:r>
        <w:t>i</w:t>
      </w:r>
      <w:r>
        <w:softHyphen/>
        <w:t>larly, reflexive pro-sumti are stable only within the bridi in</w:t>
      </w:r>
      <w:r>
        <w:rPr>
          <w:rStyle w:val="deletedparamark"/>
        </w:rPr>
        <w:t xml:space="preserve"> </w:t>
      </w:r>
      <w:r>
        <w:t>which they appear; and “ke'a” is stable only within its rela</w:t>
      </w:r>
      <w:r>
        <w:softHyphen/>
        <w:t>tive clause.</w:t>
      </w:r>
      <w:r>
        <w:rPr>
          <w:rStyle w:val="deletedparamark"/>
        </w:rPr>
        <w:t xml:space="preserve"> </w:t>
      </w:r>
      <w:r>
        <w:t>Anaphoric pro-sumti and pro-bridi are stable only within narrow limits</w:t>
      </w:r>
      <w:r>
        <w:rPr>
          <w:rStyle w:val="deletedparamark"/>
        </w:rPr>
        <w:t xml:space="preserve"> </w:t>
      </w:r>
      <w:r>
        <w:t>depending on the rules for the particular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"demonstrative pro-sumti, stability of"&gt;</w:t>
      </w:r>
      <w:r>
        <w:rPr>
          <w:rStyle w:val="indexentry"/>
        </w:rPr>
        <w:fldChar w:fldCharType="begin"/>
      </w:r>
      <w:r>
        <w:instrText>xe "</w:instrText>
      </w:r>
      <w:r>
        <w:rPr>
          <w:rStyle w:val="xeentry"/>
        </w:rPr>
        <w:instrText>demonstrative pro-sumti: stability of</w:instrText>
      </w:r>
      <w:r>
        <w:instrText>"</w:instrText>
      </w:r>
      <w:r>
        <w:rPr>
          <w:rStyle w:val="indexentry"/>
        </w:rPr>
        <w:fldChar w:fldCharType="end"/>
      </w:r>
      <w:r>
        <w:rPr>
          <w:rStyle w:val="indexentry"/>
        </w:rPr>
        <w:t>&lt;cx "indefinite pro-sumti, stability of"&gt;</w:t>
      </w:r>
      <w:r>
        <w:rPr>
          <w:rStyle w:val="indexentry"/>
        </w:rPr>
        <w:fldChar w:fldCharType="begin"/>
      </w:r>
      <w:r>
        <w:instrText>xe "</w:instrText>
      </w:r>
      <w:r>
        <w:rPr>
          <w:rStyle w:val="xeentry"/>
        </w:rPr>
        <w:instrText>indefinite pro-sumti: stability of</w:instrText>
      </w:r>
      <w:r>
        <w:instrText>"</w:instrText>
      </w:r>
      <w:r>
        <w:rPr>
          <w:rStyle w:val="indexentry"/>
        </w:rPr>
        <w:fldChar w:fldCharType="end"/>
      </w:r>
      <w:r>
        <w:rPr>
          <w:rStyle w:val="indexentry"/>
        </w:rPr>
        <w:t>&lt;cx "indefinite pro-bridi, stability of"&gt;</w:t>
      </w:r>
      <w:r>
        <w:rPr>
          <w:rStyle w:val="indexentry"/>
        </w:rPr>
        <w:fldChar w:fldCharType="begin"/>
      </w:r>
      <w:r>
        <w:instrText>xe "</w:instrText>
      </w:r>
      <w:r>
        <w:rPr>
          <w:rStyle w:val="xeentry"/>
        </w:rPr>
        <w:instrText>indefinite pro-bridi: stability of</w:instrText>
      </w:r>
      <w:r>
        <w:instrText>"</w:instrText>
      </w:r>
      <w:r>
        <w:rPr>
          <w:rStyle w:val="indexentry"/>
        </w:rPr>
        <w:fldChar w:fldCharType="end"/>
      </w:r>
      <w:r>
        <w:t>Demonstrative pro-sumti, indefinite pro-sumti and pro-bridi, and sumti and</w:t>
      </w:r>
      <w:r>
        <w:rPr>
          <w:rStyle w:val="deletedparamark"/>
        </w:rPr>
        <w:t xml:space="preserve"> </w:t>
      </w:r>
      <w:r>
        <w:t>bridi questions potentially change referents every time they are used.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"pro-sumti assignment, explicit cancellation of with da'o"&gt;</w:t>
      </w:r>
      <w:r>
        <w:rPr>
          <w:rStyle w:val="indexentry"/>
        </w:rPr>
        <w:fldChar w:fldCharType="begin"/>
      </w:r>
      <w:r>
        <w:instrText>xe "</w:instrText>
      </w:r>
      <w:r>
        <w:rPr>
          <w:rStyle w:val="xeentry"/>
        </w:rPr>
        <w:instrText>pro-sumti assignment: explicit cancellation of with da'o</w:instrText>
      </w:r>
      <w:r>
        <w:instrText>"</w:instrText>
      </w:r>
      <w:r>
        <w:rPr>
          <w:rStyle w:val="indexentry"/>
        </w:rPr>
        <w:fldChar w:fldCharType="end"/>
      </w:r>
      <w:r>
        <w:rPr>
          <w:rStyle w:val="indexentry"/>
        </w:rPr>
        <w:t>&lt;cx "pro-bridi assignment, explicit cancellation of with da'o"&gt;</w:t>
      </w:r>
      <w:r>
        <w:rPr>
          <w:rStyle w:val="indexentry"/>
        </w:rPr>
        <w:fldChar w:fldCharType="begin"/>
      </w:r>
      <w:r>
        <w:instrText>xe "</w:instrText>
      </w:r>
      <w:r>
        <w:rPr>
          <w:rStyle w:val="xeentry"/>
        </w:rPr>
        <w:instrText>pro-bridi assignment: explicit cancellation of with da'o</w:instrText>
      </w:r>
      <w:r>
        <w:instrText>"</w:instrText>
      </w:r>
      <w:r>
        <w:rPr>
          <w:rStyle w:val="indexentry"/>
        </w:rPr>
        <w:fldChar w:fldCharType="end"/>
      </w:r>
      <w:r>
        <w:rPr>
          <w:rStyle w:val="indexentry"/>
        </w:rPr>
        <w:t>&lt;lx "da'o"&gt;</w:t>
      </w:r>
      <w:r>
        <w:rPr>
          <w:rStyle w:val="indexentry"/>
        </w:rPr>
        <w:fldChar w:fldCharType="begin"/>
      </w:r>
      <w:r>
        <w:instrText>xe "</w:instrText>
      </w:r>
      <w:r>
        <w:rPr>
          <w:rStyle w:val="xeentry"/>
        </w:rPr>
        <w:instrText>da'o</w:instrText>
      </w:r>
      <w:r>
        <w:instrText>"</w:instrText>
      </w:r>
      <w:r>
        <w:rPr>
          <w:rStyle w:val="indexentry"/>
        </w:rPr>
        <w:fldChar w:fldCharType="end"/>
      </w:r>
      <w:r>
        <w:rPr>
          <w:rStyle w:val="indexentry"/>
        </w:rPr>
        <w:t>&lt;lx "DAhO"&gt;</w:t>
      </w:r>
      <w:r>
        <w:rPr>
          <w:rStyle w:val="indexentry"/>
        </w:rPr>
        <w:fldChar w:fldCharType="begin"/>
      </w:r>
      <w:r>
        <w:instrText>xe "</w:instrText>
      </w:r>
      <w:r>
        <w:rPr>
          <w:rStyle w:val="xeentry"/>
        </w:rPr>
        <w:instrText>DAhO selma’o</w:instrText>
      </w:r>
      <w:r>
        <w:instrText>"</w:instrText>
      </w:r>
      <w:r>
        <w:rPr>
          <w:rStyle w:val="indexentry"/>
        </w:rPr>
        <w:fldChar w:fldCharType="end"/>
      </w:r>
      <w:r>
        <w:rPr>
          <w:rStyle w:val="indexentry"/>
        </w:rPr>
        <w:t>&lt;cx "cancellation of pro-sumti/pro-bridi assignment, with da'o"&gt;</w:t>
      </w:r>
      <w:r>
        <w:rPr>
          <w:rStyle w:val="indexentry"/>
        </w:rPr>
        <w:fldChar w:fldCharType="begin"/>
      </w:r>
      <w:r>
        <w:instrText>xe "</w:instrText>
      </w:r>
      <w:r>
        <w:rPr>
          <w:rStyle w:val="xeentry"/>
        </w:rPr>
        <w:instrText>cancellation of pro-sumti/pro-bridi assignment: with da'o</w:instrText>
      </w:r>
      <w:r>
        <w:instrText>"</w:instrText>
      </w:r>
      <w:r>
        <w:rPr>
          <w:rStyle w:val="indexentry"/>
        </w:rPr>
        <w:fldChar w:fldCharType="end"/>
      </w:r>
      <w:r>
        <w:rPr>
          <w:rStyle w:val="indexentry"/>
        </w:rPr>
        <w:t>&lt;cx "da'o, for cancellation of pro-sumti/pro-bridi assignment"&gt;</w:t>
      </w:r>
      <w:r>
        <w:rPr>
          <w:rStyle w:val="indexentry"/>
        </w:rPr>
        <w:fldChar w:fldCharType="begin"/>
      </w:r>
      <w:r>
        <w:instrText>xe "</w:instrText>
      </w:r>
      <w:r>
        <w:rPr>
          <w:rStyle w:val="xeentry"/>
        </w:rPr>
        <w:instrText>da'o: for cancellation of pro-sumti/pro-bridi assignment</w:instrText>
      </w:r>
      <w:r>
        <w:instrText>"</w:instrText>
      </w:r>
      <w:r>
        <w:rPr>
          <w:rStyle w:val="indexentry"/>
        </w:rPr>
        <w:fldChar w:fldCharType="end"/>
      </w:r>
      <w:r>
        <w:rPr>
          <w:rStyle w:val="indexentry"/>
        </w:rPr>
        <w:t>&lt;cx "da'o, syntax of"&gt;</w:t>
      </w:r>
      <w:r>
        <w:rPr>
          <w:rStyle w:val="indexentry"/>
        </w:rPr>
        <w:fldChar w:fldCharType="begin"/>
      </w:r>
      <w:r>
        <w:instrText>xe "</w:instrText>
      </w:r>
      <w:r>
        <w:rPr>
          <w:rStyle w:val="xeentry"/>
        </w:rPr>
        <w:instrText>da'o: syntax of</w:instrText>
      </w:r>
      <w:r>
        <w:instrText>"</w:instrText>
      </w:r>
      <w:r>
        <w:rPr>
          <w:rStyle w:val="indexentry"/>
        </w:rPr>
        <w:fldChar w:fldCharType="end"/>
      </w:r>
      <w:r>
        <w:t>However, there are ways to cancel all pro-sumti and pro-bridi, so that</w:t>
      </w:r>
      <w:r>
        <w:rPr>
          <w:rStyle w:val="deletedparamark"/>
        </w:rPr>
        <w:t xml:space="preserve"> </w:t>
      </w:r>
      <w:r>
        <w:t>none of them have known referents. (Some, such as “mi”, will acquire the</w:t>
      </w:r>
      <w:r>
        <w:rPr>
          <w:rStyle w:val="deletedparamark"/>
        </w:rPr>
        <w:t xml:space="preserve"> </w:t>
      </w:r>
      <w:r>
        <w:t>same referent as soon as they are used again after the cancellation.)</w:t>
      </w:r>
      <w:r>
        <w:rPr>
          <w:rStyle w:val="deletedparamark"/>
        </w:rPr>
        <w:t xml:space="preserve"> </w:t>
      </w:r>
      <w:r>
        <w:t>The simplest way to cancel everything is with the cmavo “da'o” of selma'o</w:t>
      </w:r>
      <w:r>
        <w:rPr>
          <w:rStyle w:val="deletedparamark"/>
        </w:rPr>
        <w:t xml:space="preserve"> </w:t>
      </w:r>
      <w:r>
        <w:t>DAhO, which is used solely for this purpose; it may appear anywhere, and</w:t>
      </w:r>
      <w:r>
        <w:rPr>
          <w:rStyle w:val="deletedparamark"/>
        </w:rPr>
        <w:t xml:space="preserve"> </w:t>
      </w:r>
      <w:r>
        <w:t>has no effect on the grammar of texts containing it. One use of “da'o”</w:t>
      </w:r>
      <w:r>
        <w:rPr>
          <w:rStyle w:val="deletedparamark"/>
        </w:rPr>
        <w:t xml:space="preserve"> </w:t>
      </w:r>
      <w:r>
        <w:t>is when entering a conversation, to indicate that one's pro-sumti assignments</w:t>
      </w:r>
      <w:r>
        <w:rPr>
          <w:rStyle w:val="deletedparamark"/>
        </w:rPr>
        <w:t xml:space="preserve"> </w:t>
      </w:r>
      <w:r>
        <w:t>have nothing to do with any assignments already made by other participants</w:t>
      </w:r>
      <w:r>
        <w:rPr>
          <w:rStyle w:val="deletedparamark"/>
        </w:rPr>
        <w:t xml:space="preserve"> </w:t>
      </w:r>
      <w:r>
        <w:t>in the con</w:t>
      </w:r>
      <w:r>
        <w:softHyphen/>
        <w:t>versation.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"ni'o, effect on pro-sumti/pro-bridi assignments"&gt;</w:t>
      </w:r>
      <w:r>
        <w:rPr>
          <w:rStyle w:val="indexentry"/>
        </w:rPr>
        <w:fldChar w:fldCharType="begin"/>
      </w:r>
      <w:r>
        <w:instrText>xe "</w:instrText>
      </w:r>
      <w:r>
        <w:rPr>
          <w:rStyle w:val="xeentry"/>
        </w:rPr>
        <w:instrText>ni'o: effect on pro-sumti/pro-bridi assignments</w:instrText>
      </w:r>
      <w:r>
        <w:instrText>"</w:instrText>
      </w:r>
      <w:r>
        <w:rPr>
          <w:rStyle w:val="indexentry"/>
        </w:rPr>
        <w:fldChar w:fldCharType="end"/>
      </w:r>
      <w:r>
        <w:rPr>
          <w:rStyle w:val="indexentry"/>
        </w:rPr>
        <w:t>&lt;cx "no'i, effect on pro-sumti/pro-bridi assignments"&gt;</w:t>
      </w:r>
      <w:r>
        <w:rPr>
          <w:rStyle w:val="indexentry"/>
        </w:rPr>
        <w:fldChar w:fldCharType="begin"/>
      </w:r>
      <w:r>
        <w:instrText>xe "</w:instrText>
      </w:r>
      <w:r>
        <w:rPr>
          <w:rStyle w:val="xeentry"/>
        </w:rPr>
        <w:instrText>no'i: effect on pro-sumti/pro-bridi assignments</w:instrText>
      </w:r>
      <w:r>
        <w:instrText>"</w:instrText>
      </w:r>
      <w:r>
        <w:rPr>
          <w:rStyle w:val="indexentry"/>
        </w:rPr>
        <w:fldChar w:fldCharType="end"/>
      </w:r>
      <w:r>
        <w:rPr>
          <w:rStyle w:val="indexentry"/>
        </w:rPr>
        <w:t>&lt;cx "pro-sumti assignments, no'i effect on"&gt;</w:t>
      </w:r>
      <w:r>
        <w:rPr>
          <w:rStyle w:val="indexentry"/>
        </w:rPr>
        <w:fldChar w:fldCharType="begin"/>
      </w:r>
      <w:r>
        <w:instrText>xe "</w:instrText>
      </w:r>
      <w:r>
        <w:rPr>
          <w:rStyle w:val="xeentry"/>
        </w:rPr>
        <w:instrText>pro-sumti assignment: no'i effect on</w:instrText>
      </w:r>
      <w:r>
        <w:instrText>"</w:instrText>
      </w:r>
      <w:r>
        <w:rPr>
          <w:rStyle w:val="indexentry"/>
        </w:rPr>
        <w:fldChar w:fldCharType="end"/>
      </w:r>
      <w:r>
        <w:rPr>
          <w:rStyle w:val="indexentry"/>
        </w:rPr>
        <w:t>&lt;cx "pro-bridi assignments, no'i effect on"&gt;</w:t>
      </w:r>
      <w:r>
        <w:rPr>
          <w:rStyle w:val="indexentry"/>
        </w:rPr>
        <w:fldChar w:fldCharType="begin"/>
      </w:r>
      <w:r>
        <w:instrText>xe "</w:instrText>
      </w:r>
      <w:r>
        <w:rPr>
          <w:rStyle w:val="xeentry"/>
        </w:rPr>
        <w:instrText>pro-bridi assignment: no'i effect on</w:instrText>
      </w:r>
      <w:r>
        <w:instrText>"</w:instrText>
      </w:r>
      <w:r>
        <w:rPr>
          <w:rStyle w:val="indexentry"/>
        </w:rPr>
        <w:fldChar w:fldCharType="end"/>
      </w:r>
      <w:r>
        <w:t>In addition, the cmavo “ni'o” and “no'i” of selma'o NIhO, which are used</w:t>
      </w:r>
      <w:r>
        <w:rPr>
          <w:rStyle w:val="deletedparamark"/>
        </w:rPr>
        <w:t xml:space="preserve"> </w:t>
      </w:r>
      <w:r>
        <w:t>pri</w:t>
      </w:r>
      <w:r>
        <w:softHyphen/>
        <w:t>marily to indicate shifts in topic, may also have the effect of canceling</w:t>
      </w:r>
      <w:r>
        <w:rPr>
          <w:rStyle w:val="deletedparamark"/>
        </w:rPr>
        <w:t xml:space="preserve"> </w:t>
      </w:r>
      <w:r>
        <w:t>pro-sumti and pro-bridi a</w:t>
      </w:r>
      <w:r>
        <w:t>s</w:t>
      </w:r>
      <w:r>
        <w:softHyphen/>
        <w:t>signments, or of reinstating ones formerly in</w:t>
      </w:r>
      <w:r>
        <w:rPr>
          <w:rStyle w:val="deletedparamark"/>
        </w:rPr>
        <w:t xml:space="preserve"> </w:t>
      </w:r>
      <w:r>
        <w:t xml:space="preserve">effect. More explanations of NIhO can be found 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288" w:name="_Toc398970536"/>
      <w:r>
        <w:rPr>
          <w:rStyle w:val="Heading3Text"/>
        </w:rPr>
        <w:t>The identity predicate: du</w:t>
      </w:r>
      <w:bookmarkEnd w:id="28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du</w:t>
      </w:r>
      <w:r>
        <w:tab/>
        <w:t>GOhA</w:t>
      </w:r>
      <w:r>
        <w:tab/>
        <w:t>identity</w:t>
      </w:r>
    </w:p>
    <w:p w:rsidR="00B72047" w:rsidRDefault="00B72047">
      <w:pPr>
        <w:pStyle w:val="normalafterexample"/>
      </w:pPr>
      <w:r>
        <w:rPr>
          <w:rStyle w:val="htmlcodes"/>
        </w:rPr>
        <w:t>&lt;/pre&gt;</w:t>
      </w:r>
      <w:r>
        <w:rPr>
          <w:rStyle w:val="indexentry"/>
        </w:rPr>
        <w:t>&lt;cx "identity predicate"&gt;</w:t>
      </w:r>
      <w:r>
        <w:rPr>
          <w:rStyle w:val="indexentry"/>
        </w:rPr>
        <w:fldChar w:fldCharType="begin"/>
      </w:r>
      <w:r>
        <w:instrText>xe "</w:instrText>
      </w:r>
      <w:r>
        <w:rPr>
          <w:rStyle w:val="xeentry"/>
        </w:rPr>
        <w:instrText>identity predicate</w:instrText>
      </w:r>
      <w:r>
        <w:instrText>"</w:instrText>
      </w:r>
      <w:r>
        <w:rPr>
          <w:rStyle w:val="indexentry"/>
        </w:rPr>
        <w:fldChar w:fldCharType="end"/>
      </w:r>
      <w:r>
        <w:rPr>
          <w:rStyle w:val="indexentry"/>
        </w:rPr>
        <w:t>&lt;lx "du"&gt;</w:t>
      </w:r>
      <w:r>
        <w:rPr>
          <w:rStyle w:val="indexentry"/>
        </w:rPr>
        <w:fldChar w:fldCharType="begin"/>
      </w:r>
      <w:r>
        <w:instrText>xe "</w:instrText>
      </w:r>
      <w:r>
        <w:rPr>
          <w:rStyle w:val="xeentry"/>
        </w:rPr>
        <w:instrText>du</w:instrText>
      </w:r>
      <w:r>
        <w:instrText>"</w:instrText>
      </w:r>
      <w:r>
        <w:rPr>
          <w:rStyle w:val="indexentry"/>
        </w:rPr>
        <w:fldChar w:fldCharType="end"/>
      </w:r>
      <w:r>
        <w:t>The cmavo “du” has the place structure:</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du:  </w:t>
      </w:r>
      <w:r>
        <w:rPr>
          <w:rStyle w:val="htmlcodes"/>
        </w:rPr>
        <w:t>&lt;dd&gt;</w:t>
      </w:r>
      <w:r>
        <w:t>x1 is identical with x2, x3, </w:t>
      </w:r>
      <w:r>
        <w:rPr>
          <w:rStyle w:val="htmlcodes"/>
        </w:rPr>
        <w:t>&lt;dots&gt;</w:t>
      </w:r>
      <w:r>
        <w:t>…</w:t>
      </w:r>
      <w:r>
        <w:rPr>
          <w:rStyle w:val="htmlcodes"/>
        </w:rPr>
        <w:t>&lt;/dots&gt;</w:t>
      </w:r>
    </w:p>
    <w:p w:rsidR="00B72047" w:rsidRDefault="00B72047">
      <w:pPr>
        <w:pStyle w:val="resumedafterexample"/>
      </w:pPr>
      <w:r>
        <w:rPr>
          <w:rStyle w:val="htmlcodes"/>
        </w:rPr>
        <w:t>&lt;/dl&gt;</w:t>
      </w:r>
      <w:r>
        <w:rPr>
          <w:rStyle w:val="indexentry"/>
        </w:rPr>
        <w:t>&lt;cx "du, rationale for selection of selma'o for"&gt;</w:t>
      </w:r>
      <w:r>
        <w:rPr>
          <w:rStyle w:val="indexentry"/>
        </w:rPr>
        <w:fldChar w:fldCharType="begin"/>
      </w:r>
      <w:r>
        <w:instrText>xe "</w:instrText>
      </w:r>
      <w:r>
        <w:rPr>
          <w:rStyle w:val="xeentry"/>
        </w:rPr>
        <w:instrText>du: rationale for selection of selma'o for</w:instrText>
      </w:r>
      <w:r>
        <w:instrText>"</w:instrText>
      </w:r>
      <w:r>
        <w:rPr>
          <w:rStyle w:val="indexentry"/>
        </w:rPr>
        <w:fldChar w:fldCharType="end"/>
      </w:r>
      <w:r>
        <w:t>and appears in selma'o GOhA for reasons of convenience: it is not a</w:t>
      </w:r>
      <w:r>
        <w:rPr>
          <w:rStyle w:val="deletedparamark"/>
        </w:rPr>
        <w:t xml:space="preserve"> </w:t>
      </w:r>
      <w:r>
        <w:t>pro-bridi. “du” serves as mathematical “=”, and outside mathematical</w:t>
      </w:r>
      <w:r>
        <w:rPr>
          <w:rStyle w:val="deletedparamark"/>
        </w:rPr>
        <w:t xml:space="preserve"> </w:t>
      </w:r>
      <w:r>
        <w:t>contexts is used for defining or identifying. Mathematical examples may be</w:t>
      </w:r>
      <w:r>
        <w:rPr>
          <w:rStyle w:val="deletedparamark"/>
        </w:rPr>
        <w:t xml:space="preserve"> </w:t>
      </w:r>
      <w:r>
        <w:t xml:space="preserve">found in </w:t>
      </w:r>
      <w:r>
        <w:rPr>
          <w:rStyle w:val="htmlcodes"/>
        </w:rPr>
        <w:t>&lt;a href=chap18.html&gt;</w:t>
      </w:r>
      <w:r>
        <w:t>Chapter 18</w:t>
      </w:r>
      <w:r>
        <w:rPr>
          <w:rStyle w:val="htmlcodes"/>
        </w:rPr>
        <w:t>&lt;/a&gt;</w:t>
      </w:r>
      <w:r>
        <w:t>.</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"du, contrasted with mintu"&gt;</w:t>
      </w:r>
      <w:r>
        <w:rPr>
          <w:rStyle w:val="indexentry"/>
        </w:rPr>
        <w:fldChar w:fldCharType="begin"/>
      </w:r>
      <w:r>
        <w:instrText>xe "</w:instrText>
      </w:r>
      <w:r>
        <w:rPr>
          <w:rStyle w:val="xeentry"/>
        </w:rPr>
        <w:instrText>du: contrasted with mintu</w:instrText>
      </w:r>
      <w:r>
        <w:instrText>"</w:instrText>
      </w:r>
      <w:r>
        <w:rPr>
          <w:rStyle w:val="indexentry"/>
        </w:rPr>
        <w:fldChar w:fldCharType="end"/>
      </w:r>
      <w:r>
        <w:rPr>
          <w:rStyle w:val="indexentry"/>
        </w:rPr>
        <w:t>&lt;cx "mintu, contrasted with du"&gt;</w:t>
      </w:r>
      <w:r>
        <w:rPr>
          <w:rStyle w:val="indexentry"/>
        </w:rPr>
        <w:fldChar w:fldCharType="begin"/>
      </w:r>
      <w:r>
        <w:instrText>xe "</w:instrText>
      </w:r>
      <w:r>
        <w:rPr>
          <w:rStyle w:val="xeentry"/>
        </w:rPr>
        <w:instrText>mintu: contrasted with du</w:instrText>
      </w:r>
      <w:r>
        <w:instrText>"</w:instrText>
      </w:r>
      <w:r>
        <w:rPr>
          <w:rStyle w:val="indexentry"/>
        </w:rPr>
        <w:fldChar w:fldCharType="end"/>
      </w:r>
      <w:r>
        <w:t>The main difference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name=e14d1&gt;</w:t>
      </w:r>
      <w:r>
        <w:t>14.1)</w:t>
      </w:r>
      <w:r>
        <w:tab/>
        <w:t>ko'a du le nanmu</w:t>
      </w:r>
    </w:p>
    <w:p w:rsidR="00B72047" w:rsidRDefault="00B72047">
      <w:pPr>
        <w:pStyle w:val="examplescaled"/>
      </w:pPr>
      <w:r>
        <w:tab/>
        <w:t>It-1 is-identical-to the man</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name=e14d2&gt;</w:t>
      </w:r>
      <w:r>
        <w:t>14.2)</w:t>
      </w:r>
      <w:r>
        <w:tab/>
        <w:t>ko'a mintu le nanmu</w:t>
      </w:r>
    </w:p>
    <w:p w:rsidR="00B72047" w:rsidRDefault="00B72047">
      <w:pPr>
        <w:pStyle w:val="examplescaled"/>
      </w:pPr>
      <w:r>
        <w:tab/>
        <w:t>It-1 is-the-same-as the man</w:t>
      </w:r>
    </w:p>
    <w:p w:rsidR="00B72047" w:rsidRDefault="00B72047">
      <w:pPr>
        <w:pStyle w:val="resumedafterexample"/>
      </w:pPr>
      <w:r>
        <w:rPr>
          <w:rStyle w:val="htmlcodes"/>
        </w:rPr>
        <w:t>&lt;/pre&gt;</w:t>
      </w:r>
      <w:r>
        <w:rPr>
          <w:rStyle w:val="indexentry"/>
        </w:rPr>
        <w:t>&lt;cx "du, meaning of"&gt;</w:t>
      </w:r>
      <w:r>
        <w:rPr>
          <w:rStyle w:val="indexentry"/>
        </w:rPr>
        <w:fldChar w:fldCharType="begin"/>
      </w:r>
      <w:r>
        <w:instrText>xe "</w:instrText>
      </w:r>
      <w:r>
        <w:rPr>
          <w:rStyle w:val="xeentry"/>
        </w:rPr>
        <w:instrText>du: meaning of</w:instrText>
      </w:r>
      <w:r>
        <w:instrText>"</w:instrText>
      </w:r>
      <w:r>
        <w:rPr>
          <w:rStyle w:val="indexentry"/>
        </w:rPr>
        <w:fldChar w:fldCharType="end"/>
      </w:r>
      <w:r>
        <w:t xml:space="preserve">is this defining nature. </w:t>
      </w:r>
      <w:r>
        <w:rPr>
          <w:rStyle w:val="htmlcodes"/>
        </w:rPr>
        <w:t>&lt;a href=#e14d1&gt;</w:t>
      </w:r>
      <w:r>
        <w:t xml:space="preserve">Example 14.1 </w:t>
      </w:r>
      <w:r>
        <w:rPr>
          <w:rStyle w:val="htmlcodes"/>
        </w:rPr>
        <w:t>&lt;/a&gt;</w:t>
      </w:r>
      <w:r>
        <w:t>presumes that the speaker is</w:t>
      </w:r>
      <w:r>
        <w:rPr>
          <w:rStyle w:val="deletedparamark"/>
        </w:rPr>
        <w:t xml:space="preserve"> </w:t>
      </w:r>
      <w:r>
        <w:t>responding to a re</w:t>
      </w:r>
      <w:r>
        <w:softHyphen/>
        <w:t>quest for information about what “ko'a” refers to, or that</w:t>
      </w:r>
      <w:r>
        <w:rPr>
          <w:rStyle w:val="deletedparamark"/>
        </w:rPr>
        <w:t xml:space="preserve"> </w:t>
      </w:r>
      <w:r>
        <w:t>the speaker in some way feels the need to define “ko'a” for later reference.</w:t>
      </w:r>
      <w:r>
        <w:rPr>
          <w:rStyle w:val="deletedparamark"/>
        </w:rPr>
        <w:t xml:space="preserve"> </w:t>
      </w:r>
      <w:r>
        <w:t>A bridi with “du” is an identity sentence, somewhat metal</w:t>
      </w:r>
      <w:r>
        <w:softHyphen/>
        <w:t>inguistically saying</w:t>
      </w:r>
      <w:r>
        <w:rPr>
          <w:rStyle w:val="deletedparamark"/>
        </w:rPr>
        <w:t xml:space="preserve"> </w:t>
      </w:r>
      <w:r>
        <w:t>that all attached sumti are representations for the same referent. There</w:t>
      </w:r>
      <w:r>
        <w:rPr>
          <w:rStyle w:val="deletedparamark"/>
        </w:rPr>
        <w:t xml:space="preserve"> </w:t>
      </w:r>
      <w:r>
        <w:t>may be any number of sumti associated with “du”, and all are said to be</w:t>
      </w:r>
      <w:r>
        <w:rPr>
          <w:rStyle w:val="deletedparamark"/>
        </w:rPr>
        <w:t xml:space="preserve"> </w:t>
      </w:r>
      <w:r>
        <w:t>identical.</w:t>
      </w:r>
    </w:p>
    <w:p w:rsidR="00B72047" w:rsidRDefault="00B72047">
      <w:pPr>
        <w:rPr>
          <w:rStyle w:val="htmlparacode"/>
        </w:rPr>
      </w:pPr>
      <w:r>
        <w:rPr>
          <w:rStyle w:val="htmlparacode"/>
        </w:rPr>
        <w:t>&lt;p&gt;</w:t>
      </w:r>
    </w:p>
    <w:p w:rsidR="00B72047" w:rsidRDefault="00B72047">
      <w:pPr>
        <w:pStyle w:val="normalparagraph"/>
      </w:pPr>
      <w:r>
        <w:rPr>
          <w:rStyle w:val="htmlcodes"/>
        </w:rPr>
        <w:t>&lt;a href=#e14d2&gt;</w:t>
      </w:r>
      <w:r>
        <w:t>Example 14.2</w:t>
      </w:r>
      <w:r>
        <w:rPr>
          <w:rStyle w:val="htmlcodes"/>
        </w:rPr>
        <w:t>&lt;/a&gt;</w:t>
      </w:r>
      <w:r>
        <w:t>, however, predicates; it is used to make a claim about the</w:t>
      </w:r>
      <w:r>
        <w:rPr>
          <w:rStyle w:val="deletedparamark"/>
        </w:rPr>
        <w:t xml:space="preserve"> </w:t>
      </w:r>
      <w:r>
        <w:t>iden</w:t>
      </w:r>
      <w:r>
        <w:softHyphen/>
        <w:t>tity of “ko'a”, which presumably has been defined previously.</w:t>
      </w:r>
    </w:p>
    <w:p w:rsidR="00B72047" w:rsidRDefault="00B72047">
      <w:pPr>
        <w:rPr>
          <w:rStyle w:val="htmlparacode"/>
        </w:rPr>
      </w:pPr>
      <w:r>
        <w:rPr>
          <w:rStyle w:val="htmlparacode"/>
        </w:rPr>
        <w:t>&lt;p&gt;</w:t>
      </w:r>
    </w:p>
    <w:p w:rsidR="00B72047" w:rsidRDefault="00B72047">
      <w:pPr>
        <w:pStyle w:val="normalparagraph"/>
      </w:pPr>
      <w:r>
        <w:rPr>
          <w:rStyle w:val="indexentry"/>
        </w:rPr>
        <w:t>&lt;cx "du, derivation of"&gt;</w:t>
      </w:r>
      <w:r>
        <w:rPr>
          <w:rStyle w:val="indexentry"/>
        </w:rPr>
        <w:fldChar w:fldCharType="begin"/>
      </w:r>
      <w:r>
        <w:instrText>xe "</w:instrText>
      </w:r>
      <w:r>
        <w:rPr>
          <w:rStyle w:val="xeentry"/>
        </w:rPr>
        <w:instrText>du: derivation of</w:instrText>
      </w:r>
      <w:r>
        <w:instrText>"</w:instrText>
      </w:r>
      <w:r>
        <w:rPr>
          <w:rStyle w:val="indexentry"/>
        </w:rPr>
        <w:fldChar w:fldCharType="end"/>
      </w:r>
      <w:r>
        <w:rPr>
          <w:rStyle w:val="indexentry"/>
        </w:rPr>
        <w:t>&lt;cx "du, contrasted with dunli"&gt;</w:t>
      </w:r>
      <w:r>
        <w:rPr>
          <w:rStyle w:val="indexentry"/>
        </w:rPr>
        <w:fldChar w:fldCharType="begin"/>
      </w:r>
      <w:r>
        <w:instrText>xe "</w:instrText>
      </w:r>
      <w:r>
        <w:rPr>
          <w:rStyle w:val="xeentry"/>
        </w:rPr>
        <w:instrText>du: contrasted with dunli</w:instrText>
      </w:r>
      <w:r>
        <w:instrText>"</w:instrText>
      </w:r>
      <w:r>
        <w:rPr>
          <w:rStyle w:val="indexentry"/>
        </w:rPr>
        <w:fldChar w:fldCharType="end"/>
      </w:r>
      <w:r>
        <w:rPr>
          <w:rStyle w:val="indexentry"/>
        </w:rPr>
        <w:t>&lt;cx "dunli, contrasted with du"&gt;</w:t>
      </w:r>
      <w:r>
        <w:rPr>
          <w:rStyle w:val="indexentry"/>
        </w:rPr>
        <w:fldChar w:fldCharType="begin"/>
      </w:r>
      <w:r>
        <w:instrText>xe "</w:instrText>
      </w:r>
      <w:r>
        <w:rPr>
          <w:rStyle w:val="xeentry"/>
        </w:rPr>
        <w:instrText>dunli: contrasted with du</w:instrText>
      </w:r>
      <w:r>
        <w:instrText>"</w:instrText>
      </w:r>
      <w:r>
        <w:rPr>
          <w:rStyle w:val="indexentry"/>
        </w:rPr>
        <w:fldChar w:fldCharType="end"/>
      </w:r>
      <w:r>
        <w:t>Note: “du” historically is derived from “dunli”, but “dunli” has a third</w:t>
      </w:r>
      <w:r>
        <w:rPr>
          <w:rStyle w:val="deletedparamark"/>
        </w:rPr>
        <w:t xml:space="preserve"> </w:t>
      </w:r>
      <w:r>
        <w:t>place which “du” lacks: the standard of equality.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289" w:name="_Toc398970537"/>
      <w:r>
        <w:rPr>
          <w:rStyle w:val="Heading3Text"/>
        </w:rPr>
        <w:t>lujvo based on pro-sumti</w:t>
      </w:r>
      <w:bookmarkEnd w:id="28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"rafsi, based on pro-sumti"&gt;</w:t>
      </w:r>
      <w:r>
        <w:rPr>
          <w:rStyle w:val="indexentry"/>
        </w:rPr>
        <w:fldChar w:fldCharType="begin"/>
      </w:r>
      <w:r>
        <w:instrText>xe "</w:instrText>
      </w:r>
      <w:r>
        <w:rPr>
          <w:rStyle w:val="xeentry"/>
        </w:rPr>
        <w:instrText>rafsi: based on pro-sumti</w:instrText>
      </w:r>
      <w:r>
        <w:instrText>"</w:instrText>
      </w:r>
      <w:r>
        <w:rPr>
          <w:rStyle w:val="indexentry"/>
        </w:rPr>
        <w:fldChar w:fldCharType="end"/>
      </w:r>
      <w:r>
        <w:rPr>
          <w:rStyle w:val="indexentry"/>
        </w:rPr>
        <w:t>&lt;cx "pro-sumti, rafsi for"&gt;</w:t>
      </w:r>
      <w:r>
        <w:rPr>
          <w:rStyle w:val="indexentry"/>
        </w:rPr>
        <w:fldChar w:fldCharType="begin"/>
      </w:r>
      <w:r>
        <w:instrText>xe "</w:instrText>
      </w:r>
      <w:r>
        <w:rPr>
          <w:rStyle w:val="xeentry"/>
        </w:rPr>
        <w:instrText>pro-sumti: rafsi for</w:instrText>
      </w:r>
      <w:r>
        <w:instrText>"</w:instrText>
      </w:r>
      <w:r>
        <w:rPr>
          <w:rStyle w:val="indexentry"/>
        </w:rPr>
        <w:fldChar w:fldCharType="end"/>
      </w:r>
      <w:r>
        <w:t>There exist rafsi allocated to a few cmavo of selma'o KOhA, but they are</w:t>
      </w:r>
      <w:r>
        <w:rPr>
          <w:rStyle w:val="deletedparamark"/>
        </w:rPr>
        <w:t xml:space="preserve"> </w:t>
      </w:r>
      <w:r>
        <w:t xml:space="preserve">rarely used. (See </w:t>
      </w:r>
      <w:r>
        <w:rPr>
          <w:rStyle w:val="htmlcodes"/>
        </w:rPr>
        <w:t>&lt;a href=#s16&gt;</w:t>
      </w:r>
      <w:r>
        <w:t xml:space="preserve">Section 16 </w:t>
      </w:r>
      <w:r>
        <w:rPr>
          <w:rStyle w:val="htmlcodes"/>
        </w:rPr>
        <w:t>&lt;/a&gt;</w:t>
      </w:r>
      <w:r>
        <w:t>for a complete list.) The obvious way to use</w:t>
      </w:r>
      <w:r>
        <w:rPr>
          <w:rStyle w:val="deletedparamark"/>
        </w:rPr>
        <w:t xml:space="preserve"> </w:t>
      </w:r>
      <w:r>
        <w:t>them is as in</w:t>
      </w:r>
      <w:r>
        <w:softHyphen/>
        <w:t>ternal sumti, filling in an appropriate place of the gismu or</w:t>
      </w:r>
      <w:r>
        <w:rPr>
          <w:rStyle w:val="deletedparamark"/>
        </w:rPr>
        <w:t xml:space="preserve"> </w:t>
      </w:r>
      <w:r>
        <w:t>lujvo to which they are at</w:t>
      </w:r>
      <w:r>
        <w:softHyphen/>
        <w:t>tached; as such, they usually stand as the first</w:t>
      </w:r>
      <w:r>
        <w:rPr>
          <w:rStyle w:val="deletedparamark"/>
        </w:rPr>
        <w:t xml:space="preserve"> </w:t>
      </w:r>
      <w:r>
        <w:t>rafsi in their lujvo.</w:t>
      </w:r>
    </w:p>
    <w:p w:rsidR="00B72047" w:rsidRDefault="00B72047">
      <w:pPr>
        <w:rPr>
          <w:rStyle w:val="htmlparacode"/>
        </w:rPr>
      </w:pPr>
      <w:r>
        <w:rPr>
          <w:rStyle w:val="htmlparacode"/>
        </w:rPr>
        <w:t>&lt;p&gt;</w:t>
      </w:r>
    </w:p>
    <w:p w:rsidR="00B72047" w:rsidRDefault="00B72047">
      <w:pPr>
        <w:pStyle w:val="normalparagraph"/>
      </w:pPr>
      <w:r>
        <w:rPr>
          <w:rStyle w:val="indexentry"/>
        </w:rPr>
        <w:t>&lt;ex "you-talk"&gt;</w:t>
      </w:r>
      <w:r>
        <w:rPr>
          <w:rStyle w:val="indexentry"/>
        </w:rPr>
        <w:fldChar w:fldCharType="begin"/>
      </w:r>
      <w:r>
        <w:instrText>xe "</w:instrText>
      </w:r>
      <w:r>
        <w:rPr>
          <w:rStyle w:val="xeentry"/>
        </w:rPr>
        <w:instrText>you-talk: example</w:instrText>
      </w:r>
      <w:r>
        <w:instrText>"</w:instrText>
      </w:r>
      <w:r>
        <w:rPr>
          <w:rStyle w:val="indexentry"/>
        </w:rPr>
        <w:fldChar w:fldCharType="end"/>
      </w:r>
      <w:r>
        <w:rPr>
          <w:rStyle w:val="indexentry"/>
        </w:rPr>
        <w:t>&lt;cx "lujvo, pro-sumti rafsi effect on place structure of"&gt;</w:t>
      </w:r>
      <w:r>
        <w:rPr>
          <w:rStyle w:val="indexentry"/>
        </w:rPr>
        <w:fldChar w:fldCharType="begin"/>
      </w:r>
      <w:r>
        <w:instrText>xe "</w:instrText>
      </w:r>
      <w:r>
        <w:rPr>
          <w:rStyle w:val="xeentry"/>
        </w:rPr>
        <w:instrText>lujvo: pro-sumti rafsi effect on place structure of</w:instrText>
      </w:r>
      <w:r>
        <w:instrText>"</w:instrText>
      </w:r>
      <w:r>
        <w:rPr>
          <w:rStyle w:val="indexentry"/>
        </w:rPr>
        <w:fldChar w:fldCharType="end"/>
      </w:r>
      <w:r>
        <w:rPr>
          <w:rStyle w:val="indexentry"/>
        </w:rPr>
        <w:t>&lt;cx "pro-sumti rafsi, effect of on place structure of lujvo"&gt;</w:t>
      </w:r>
      <w:r>
        <w:rPr>
          <w:rStyle w:val="indexentry"/>
        </w:rPr>
        <w:fldChar w:fldCharType="begin"/>
      </w:r>
      <w:r>
        <w:instrText>xe "</w:instrText>
      </w:r>
      <w:r>
        <w:rPr>
          <w:rStyle w:val="xeentry"/>
        </w:rPr>
        <w:instrText>pro-sumti rafsi: effect of on place structure of lujvo</w:instrText>
      </w:r>
      <w:r>
        <w:instrText>"</w:instrText>
      </w:r>
      <w:r>
        <w:rPr>
          <w:rStyle w:val="indexentry"/>
        </w:rPr>
        <w:fldChar w:fldCharType="end"/>
      </w:r>
      <w:r>
        <w:t>Thus “donta'a”, meaning “you-talk”, would be interpreted as “tavla be do”,</w:t>
      </w:r>
      <w:r>
        <w:rPr>
          <w:rStyle w:val="deletedparamark"/>
        </w:rPr>
        <w:t xml:space="preserve"> </w:t>
      </w:r>
      <w:r>
        <w:t>and would have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t1 talks to you about subject t3 in language t4</w:t>
      </w:r>
    </w:p>
    <w:p w:rsidR="00B72047" w:rsidRDefault="00B72047">
      <w:pPr>
        <w:pStyle w:val="resumedafterexample"/>
      </w:pPr>
      <w:r>
        <w:rPr>
          <w:rStyle w:val="htmlcodes"/>
        </w:rPr>
        <w:t>&lt;/pre&gt;</w:t>
      </w:r>
      <w:r>
        <w:t>since t2 (the addressee) is already known to be “do”.</w:t>
      </w:r>
    </w:p>
    <w:p w:rsidR="00B72047" w:rsidRDefault="00B72047">
      <w:pPr>
        <w:rPr>
          <w:rStyle w:val="htmlparacode"/>
        </w:rPr>
      </w:pPr>
      <w:r>
        <w:rPr>
          <w:rStyle w:val="htmlparacode"/>
        </w:rPr>
        <w:t>&lt;p&gt;</w:t>
      </w:r>
    </w:p>
    <w:p w:rsidR="00B72047" w:rsidRDefault="00B72047">
      <w:pPr>
        <w:pStyle w:val="normalparagraph"/>
      </w:pPr>
      <w:r>
        <w:rPr>
          <w:rStyle w:val="indexentry"/>
        </w:rPr>
        <w:t>&lt;ex "you-cmavo"&gt;</w:t>
      </w:r>
      <w:r>
        <w:rPr>
          <w:rStyle w:val="indexentry"/>
        </w:rPr>
        <w:fldChar w:fldCharType="begin"/>
      </w:r>
      <w:r>
        <w:instrText>xe "</w:instrText>
      </w:r>
      <w:r>
        <w:rPr>
          <w:rStyle w:val="xeentry"/>
        </w:rPr>
        <w:instrText>you-cmavo: example</w:instrText>
      </w:r>
      <w:r>
        <w:instrText>"</w:instrText>
      </w:r>
      <w:r>
        <w:rPr>
          <w:rStyle w:val="indexentry"/>
        </w:rPr>
        <w:fldChar w:fldCharType="end"/>
      </w:r>
      <w:r>
        <w:t>On the other hand, the lujvo “donma'o”, literally “you-cmavo”, which means</w:t>
      </w:r>
      <w:r>
        <w:rPr>
          <w:rStyle w:val="deletedparamark"/>
        </w:rPr>
        <w:t xml:space="preserve"> “</w:t>
      </w:r>
      <w:r>
        <w:t>a se</w:t>
      </w:r>
      <w:r>
        <w:t>c</w:t>
      </w:r>
      <w:r>
        <w:softHyphen/>
        <w:t>ond person personal pronoun”, would be inter</w:t>
      </w:r>
      <w:r>
        <w:softHyphen/>
        <w:t>preted as “cmavo be zo</w:t>
      </w:r>
      <w:r>
        <w:rPr>
          <w:rStyle w:val="deletedparamark"/>
        </w:rPr>
        <w:t xml:space="preserve"> </w:t>
      </w:r>
      <w:r>
        <w:t>do”, and have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name=e15d2&gt;</w:t>
      </w:r>
      <w:r>
        <w:t>15.2)</w:t>
      </w:r>
      <w:r>
        <w:tab/>
        <w:t>c1 is a second person pronoun in language c4</w:t>
      </w:r>
    </w:p>
    <w:p w:rsidR="00B72047" w:rsidRDefault="00B72047">
      <w:pPr>
        <w:pStyle w:val="resumedafterexample"/>
      </w:pPr>
      <w:r>
        <w:rPr>
          <w:rStyle w:val="htmlcodes"/>
        </w:rPr>
        <w:t>&lt;/pre&gt;</w:t>
      </w:r>
      <w:r>
        <w:t>since both the c2 place (the grammatical class) and the c3 place (the</w:t>
      </w:r>
      <w:r>
        <w:rPr>
          <w:rStyle w:val="deletedparamark"/>
        </w:rPr>
        <w:t xml:space="preserve"> </w:t>
      </w:r>
      <w:r>
        <w:t>meaning) are ob</w:t>
      </w:r>
      <w:r>
        <w:softHyphen/>
        <w:t>vi</w:t>
      </w:r>
      <w:r>
        <w:softHyphen/>
        <w:t>ous from the context “do”.</w:t>
      </w:r>
    </w:p>
    <w:p w:rsidR="00B72047" w:rsidRDefault="00B72047">
      <w:pPr>
        <w:rPr>
          <w:rStyle w:val="htmlparacode"/>
        </w:rPr>
      </w:pPr>
      <w:r>
        <w:rPr>
          <w:rStyle w:val="htmlparacode"/>
        </w:rPr>
        <w:t>&lt;p&gt;</w:t>
      </w:r>
    </w:p>
    <w:p w:rsidR="00B72047" w:rsidRDefault="00B72047">
      <w:pPr>
        <w:pStyle w:val="normalparagraph"/>
      </w:pPr>
      <w:r>
        <w:rPr>
          <w:rStyle w:val="indexentry"/>
        </w:rPr>
        <w:t>&lt;cx "pro-sumti rafsi, anticipated use of for abbreviating inconvenient forms"&gt;</w:t>
      </w:r>
      <w:r>
        <w:rPr>
          <w:rStyle w:val="indexentry"/>
        </w:rPr>
        <w:fldChar w:fldCharType="begin"/>
      </w:r>
      <w:r>
        <w:instrText>xe "</w:instrText>
      </w:r>
      <w:r>
        <w:rPr>
          <w:rStyle w:val="xeentry"/>
        </w:rPr>
        <w:instrText>pro-sumti rafsi: anticipated use of for abbreviating inconvenient forms</w:instrText>
      </w:r>
      <w:r>
        <w:instrText>"</w:instrText>
      </w:r>
      <w:r>
        <w:rPr>
          <w:rStyle w:val="indexentry"/>
        </w:rPr>
        <w:fldChar w:fldCharType="end"/>
      </w:r>
      <w:r>
        <w:rPr>
          <w:rStyle w:val="indexentry"/>
        </w:rPr>
        <w:t>&lt;lx "fo'a"&gt;</w:t>
      </w:r>
      <w:r>
        <w:rPr>
          <w:rStyle w:val="indexentry"/>
        </w:rPr>
        <w:fldChar w:fldCharType="begin"/>
      </w:r>
      <w:r>
        <w:instrText>xe "</w:instrText>
      </w:r>
      <w:r>
        <w:rPr>
          <w:rStyle w:val="xeentry"/>
        </w:rPr>
        <w:instrText>fo'a</w:instrText>
      </w:r>
      <w:r>
        <w:instrText>"</w:instrText>
      </w:r>
      <w:r>
        <w:rPr>
          <w:rStyle w:val="indexentry"/>
        </w:rPr>
        <w:fldChar w:fldCharType="end"/>
      </w:r>
      <w:r>
        <w:t>An anticipated use of rafsi for cmavo in the “fo'a” series is to express</w:t>
      </w:r>
      <w:r>
        <w:rPr>
          <w:rStyle w:val="deletedparamark"/>
        </w:rPr>
        <w:t xml:space="preserve"> lu</w:t>
      </w:r>
      <w:r>
        <w:t>jvo which can't be expressed in a convenient rafsi form, because they</w:t>
      </w:r>
      <w:r>
        <w:rPr>
          <w:rStyle w:val="deletedparamark"/>
        </w:rPr>
        <w:t xml:space="preserve"> </w:t>
      </w:r>
      <w:r>
        <w:t>are too long to ex</w:t>
      </w:r>
      <w:r>
        <w:softHyphen/>
        <w:t>press, or are formally inconvenient (fu'ivla, cmene, and</w:t>
      </w:r>
      <w:r>
        <w:rPr>
          <w:rStyle w:val="deletedparamark"/>
        </w:rPr>
        <w:t xml:space="preserve"> </w:t>
      </w:r>
      <w:r>
        <w:t>so forth.) An example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name=e15d3&gt;</w:t>
      </w:r>
      <w:r>
        <w:t>15.3)</w:t>
      </w:r>
      <w:r>
        <w:tab/>
        <w:t>fo'a goi le kulnrsu,omi  .i lo fo'arselsanga</w:t>
      </w:r>
    </w:p>
    <w:p w:rsidR="00B72047" w:rsidRDefault="00B72047">
      <w:pPr>
        <w:pStyle w:val="examplescaled"/>
      </w:pPr>
      <w:r>
        <w:tab/>
        <w:t>x6 stands for Finnish-culture.  An x6-song.</w:t>
      </w:r>
    </w:p>
    <w:p w:rsidR="00B72047" w:rsidRDefault="00B72047">
      <w:pPr>
        <w:pStyle w:val="normalafterexample"/>
      </w:pPr>
      <w:r>
        <w:rPr>
          <w:rStyle w:val="htmlcodes"/>
        </w:rPr>
        <w:t>&lt;/pre&gt;</w:t>
      </w:r>
      <w:r>
        <w:rPr>
          <w:rStyle w:val="indexentry"/>
        </w:rPr>
        <w:t>&lt;ex "beverage"&gt;</w:t>
      </w:r>
      <w:r>
        <w:rPr>
          <w:rStyle w:val="indexentry"/>
        </w:rPr>
        <w:fldChar w:fldCharType="begin"/>
      </w:r>
      <w:r>
        <w:instrText>xe "</w:instrText>
      </w:r>
      <w:r>
        <w:rPr>
          <w:rStyle w:val="xeentry"/>
        </w:rPr>
        <w:instrText>beverage: example</w:instrText>
      </w:r>
      <w:r>
        <w:instrText>"</w:instrText>
      </w:r>
      <w:r>
        <w:rPr>
          <w:rStyle w:val="indexentry"/>
        </w:rPr>
        <w:fldChar w:fldCharType="end"/>
      </w:r>
      <w:r>
        <w:rPr>
          <w:rStyle w:val="indexentry"/>
        </w:rPr>
        <w:t>&lt;lx "zi'o"&gt;</w:t>
      </w:r>
      <w:r>
        <w:rPr>
          <w:rStyle w:val="indexentry"/>
        </w:rPr>
        <w:fldChar w:fldCharType="begin"/>
      </w:r>
      <w:r>
        <w:instrText>xe "</w:instrText>
      </w:r>
      <w:r>
        <w:rPr>
          <w:rStyle w:val="xeentry"/>
        </w:rPr>
        <w:instrText>zi'o</w:instrText>
      </w:r>
      <w:r>
        <w:instrText>"</w:instrText>
      </w:r>
      <w:r>
        <w:rPr>
          <w:rStyle w:val="indexentry"/>
        </w:rPr>
        <w:fldChar w:fldCharType="end"/>
      </w:r>
      <w:r>
        <w:rPr>
          <w:rStyle w:val="indexentry"/>
        </w:rPr>
        <w:t>&lt;cx "lujvo, zi'o rafsi effect on place structure of"&gt;</w:t>
      </w:r>
      <w:r>
        <w:rPr>
          <w:rStyle w:val="indexentry"/>
        </w:rPr>
        <w:fldChar w:fldCharType="begin"/>
      </w:r>
      <w:r>
        <w:instrText>xe "</w:instrText>
      </w:r>
      <w:r>
        <w:rPr>
          <w:rStyle w:val="xeentry"/>
        </w:rPr>
        <w:instrText>lujvo: zi'o rafsi effect on place structure of</w:instrText>
      </w:r>
      <w:r>
        <w:instrText>"</w:instrText>
      </w:r>
      <w:r>
        <w:rPr>
          <w:rStyle w:val="indexentry"/>
        </w:rPr>
        <w:fldChar w:fldCharType="end"/>
      </w:r>
      <w:r>
        <w:rPr>
          <w:rStyle w:val="indexentry"/>
        </w:rPr>
        <w:t>&lt;cx "zi'o rafsi, effect of on place structure of lujvo"&gt;</w:t>
      </w:r>
      <w:r>
        <w:rPr>
          <w:rStyle w:val="indexentry"/>
        </w:rPr>
        <w:fldChar w:fldCharType="begin"/>
      </w:r>
      <w:r>
        <w:instrText>xe "</w:instrText>
      </w:r>
      <w:r>
        <w:rPr>
          <w:rStyle w:val="xeentry"/>
        </w:rPr>
        <w:instrText>zi'o rafsi: effect of on place structure of lujvo</w:instrText>
      </w:r>
      <w:r>
        <w:instrText>"</w:instrText>
      </w:r>
      <w:r>
        <w:rPr>
          <w:rStyle w:val="indexentry"/>
        </w:rPr>
        <w:fldChar w:fldCharType="end"/>
      </w:r>
      <w:r>
        <w:t>Finally, lujvo involving “zi'o” are also possible, and are fully discussed</w:t>
      </w:r>
      <w:r>
        <w:rPr>
          <w:rStyle w:val="deletedparamark"/>
        </w:rPr>
        <w:t xml:space="preserve"> </w:t>
      </w:r>
      <w:r>
        <w:t xml:space="preserve">in </w:t>
      </w:r>
      <w:r>
        <w:rPr>
          <w:rStyle w:val="htmlcodes"/>
        </w:rPr>
        <w:t>&lt;a href=chap12.html&gt;</w:t>
      </w:r>
      <w:r>
        <w:t>Chapter 12</w:t>
      </w:r>
      <w:r>
        <w:rPr>
          <w:rStyle w:val="htmlcodes"/>
        </w:rPr>
        <w:t>&lt;/a&gt;</w:t>
      </w:r>
      <w:r>
        <w:t>. In brief, the convention is to use the rafsi for “zi'o” as a</w:t>
      </w:r>
      <w:r>
        <w:rPr>
          <w:rStyle w:val="deletedparamark"/>
        </w:rPr>
        <w:t xml:space="preserve"> </w:t>
      </w:r>
      <w:r>
        <w:t>prefix immediately followed by the rafsi for the number of the place to be</w:t>
      </w:r>
      <w:r>
        <w:rPr>
          <w:rStyle w:val="deletedparamark"/>
        </w:rPr>
        <w:t xml:space="preserve"> </w:t>
      </w:r>
      <w:r>
        <w:t>deleted. Thus, if we consider a beverage (something drunk without considering</w:t>
      </w:r>
      <w:r>
        <w:rPr>
          <w:rStyle w:val="deletedparamark"/>
        </w:rPr>
        <w:t xml:space="preserve"> </w:t>
      </w:r>
      <w:r>
        <w:t>who, if anyone, drinks it) as a “se pinxe be zi'o”, the lujvo</w:t>
      </w:r>
      <w:r>
        <w:rPr>
          <w:rStyle w:val="deletedparamark"/>
        </w:rPr>
        <w:t xml:space="preserve"> </w:t>
      </w:r>
      <w:r>
        <w:t>corresponding to this is “zilrelselpinxe” (deleting the second place of</w:t>
      </w:r>
      <w:r>
        <w:rPr>
          <w:rStyle w:val="deletedparamark"/>
        </w:rPr>
        <w:t xml:space="preserve"> “</w:t>
      </w:r>
      <w:r>
        <w:t>se pinxe”). Deleting the x1 place in this fashion would move all remaining</w:t>
      </w:r>
      <w:r>
        <w:rPr>
          <w:rStyle w:val="deletedparamark"/>
        </w:rPr>
        <w:t xml:space="preserve"> </w:t>
      </w:r>
      <w:r>
        <w:t>places up by one. This would mean that “zilpavypinxe” has the same place</w:t>
      </w:r>
      <w:r>
        <w:rPr>
          <w:rStyle w:val="deletedparamark"/>
        </w:rPr>
        <w:t xml:space="preserve"> </w:t>
      </w:r>
      <w:r>
        <w:t>structure as “zilrelselpinxe”, and “lo zilpavypinxe”, like “lo zilrelselpinxe”,</w:t>
      </w:r>
      <w:r>
        <w:rPr>
          <w:rStyle w:val="deletedparamark"/>
        </w:rPr>
        <w:t xml:space="preserve"> </w:t>
      </w:r>
      <w:r>
        <w:t>refers to a beverage, and not to a non-existent drinker.</w:t>
      </w:r>
    </w:p>
    <w:p w:rsidR="00B72047" w:rsidRDefault="00B72047">
      <w:pPr>
        <w:rPr>
          <w:rStyle w:val="htmlparacode"/>
        </w:rPr>
      </w:pPr>
      <w:r>
        <w:rPr>
          <w:rStyle w:val="htmlparacode"/>
        </w:rPr>
        <w:t>&lt;p&gt;</w:t>
      </w:r>
    </w:p>
    <w:p w:rsidR="00B72047" w:rsidRDefault="00B72047">
      <w:pPr>
        <w:pStyle w:val="normalparagraph"/>
      </w:pPr>
      <w:r>
        <w:rPr>
          <w:rStyle w:val="indexentry"/>
        </w:rPr>
        <w:t>&lt;cx "pro-bridi rafsi, as producing context-dependent meanings"&gt;</w:t>
      </w:r>
      <w:r>
        <w:rPr>
          <w:rStyle w:val="indexentry"/>
        </w:rPr>
        <w:fldChar w:fldCharType="begin"/>
      </w:r>
      <w:r>
        <w:instrText>xe "</w:instrText>
      </w:r>
      <w:r>
        <w:rPr>
          <w:rStyle w:val="xeentry"/>
        </w:rPr>
        <w:instrText>pro-bridi rafsi: as producing context-dependent meanings</w:instrText>
      </w:r>
      <w:r>
        <w:instrText>"</w:instrText>
      </w:r>
      <w:r>
        <w:rPr>
          <w:rStyle w:val="indexentry"/>
        </w:rPr>
        <w:fldChar w:fldCharType="end"/>
      </w:r>
      <w:r>
        <w:rPr>
          <w:rStyle w:val="indexentry"/>
        </w:rPr>
        <w:t>&lt;lx "co'e"&gt;</w:t>
      </w:r>
      <w:r>
        <w:rPr>
          <w:rStyle w:val="indexentry"/>
        </w:rPr>
        <w:fldChar w:fldCharType="begin"/>
      </w:r>
      <w:r>
        <w:instrText>xe "</w:instrText>
      </w:r>
      <w:r>
        <w:rPr>
          <w:rStyle w:val="xeentry"/>
        </w:rPr>
        <w:instrText>co'e</w:instrText>
      </w:r>
      <w:r>
        <w:instrText>"</w:instrText>
      </w:r>
      <w:r>
        <w:rPr>
          <w:rStyle w:val="indexentry"/>
        </w:rPr>
        <w:fldChar w:fldCharType="end"/>
      </w:r>
      <w:r>
        <w:rPr>
          <w:rStyle w:val="indexentry"/>
        </w:rPr>
        <w:t>&lt;lx "du"&gt;</w:t>
      </w:r>
      <w:r>
        <w:rPr>
          <w:rStyle w:val="indexentry"/>
        </w:rPr>
        <w:fldChar w:fldCharType="begin"/>
      </w:r>
      <w:r>
        <w:instrText>xe "</w:instrText>
      </w:r>
      <w:r>
        <w:rPr>
          <w:rStyle w:val="xeentry"/>
        </w:rPr>
        <w:instrText>du</w:instrText>
      </w:r>
      <w:r>
        <w:instrText>"</w:instrText>
      </w:r>
      <w:r>
        <w:rPr>
          <w:rStyle w:val="indexentry"/>
        </w:rPr>
        <w:fldChar w:fldCharType="end"/>
      </w:r>
      <w:r>
        <w:rPr>
          <w:rStyle w:val="indexentry"/>
        </w:rPr>
        <w:t>&lt;lx "bu'a"&gt;</w:t>
      </w:r>
      <w:r>
        <w:rPr>
          <w:rStyle w:val="indexentry"/>
        </w:rPr>
        <w:fldChar w:fldCharType="begin"/>
      </w:r>
      <w:r>
        <w:instrText>xe "</w:instrText>
      </w:r>
      <w:r>
        <w:rPr>
          <w:rStyle w:val="xeentry"/>
        </w:rPr>
        <w:instrText>bu'a</w:instrText>
      </w:r>
      <w:r>
        <w:instrText>"</w:instrText>
      </w:r>
      <w:r>
        <w:rPr>
          <w:rStyle w:val="indexentry"/>
        </w:rPr>
        <w:fldChar w:fldCharType="end"/>
      </w:r>
      <w:r>
        <w:t>The pro-bridi “co'e”, “du”, and “bu'a” also have rafsi, which can be used</w:t>
      </w:r>
      <w:r>
        <w:rPr>
          <w:rStyle w:val="deletedparamark"/>
        </w:rPr>
        <w:t xml:space="preserve"> </w:t>
      </w:r>
      <w:r>
        <w:t>just as if they were gismu. The resulting lujvo have (except for “du”-based</w:t>
      </w:r>
      <w:r>
        <w:rPr>
          <w:rStyle w:val="deletedparamark"/>
        </w:rPr>
        <w:t xml:space="preserve"> </w:t>
      </w:r>
      <w:r>
        <w:t>lujvo) highly context-dependent meanings.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290" w:name="_Toc398970538"/>
      <w:r>
        <w:rPr>
          <w:rStyle w:val="Heading3Text"/>
        </w:rPr>
        <w:t>KOhA cmavo by series</w:t>
      </w:r>
      <w:bookmarkEnd w:id="290"/>
      <w:r>
        <w:rPr>
          <w:rStyle w:val="htmlcodes"/>
        </w:rPr>
        <w:t>&lt;/h3&gt;</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"pro-sumti, list by series"&gt;</w:t>
      </w:r>
      <w:r>
        <w:rPr>
          <w:rStyle w:val="indexentry"/>
        </w:rPr>
        <w:fldChar w:fldCharType="begin"/>
      </w:r>
      <w:r>
        <w:instrText>xe "</w:instrText>
      </w:r>
      <w:r>
        <w:rPr>
          <w:rStyle w:val="xeentry"/>
        </w:rPr>
        <w:instrText>pro-sumti: list by series</w:instrText>
      </w:r>
      <w:r>
        <w:instrText>"</w:instrText>
      </w:r>
      <w:r>
        <w:rPr>
          <w:rStyle w:val="indexentry"/>
        </w:rPr>
        <w:fldChar w:fldCharType="end"/>
      </w:r>
      <w:r>
        <w:rPr>
          <w:rStyle w:val="indexentry"/>
        </w:rPr>
        <w:t>&lt;cx "pro-sumti, mi-series list"&gt;</w:t>
      </w:r>
      <w:r>
        <w:rPr>
          <w:rStyle w:val="indexentry"/>
        </w:rPr>
        <w:fldChar w:fldCharType="begin"/>
      </w:r>
      <w:r>
        <w:instrText>xe "</w:instrText>
      </w:r>
      <w:r>
        <w:rPr>
          <w:rStyle w:val="xeentry"/>
        </w:rPr>
        <w:instrText>pro-sumti: mi-series list</w:instrText>
      </w:r>
      <w:r>
        <w:instrText>"</w:instrText>
      </w:r>
      <w:r>
        <w:rPr>
          <w:rStyle w:val="indexentry"/>
        </w:rPr>
        <w:fldChar w:fldCharType="end"/>
      </w:r>
      <w:r>
        <w:rPr>
          <w:rStyle w:val="htmlcodes"/>
        </w:rPr>
        <w:t>&lt;dl compact&gt;&lt;dt&gt;</w:t>
      </w:r>
      <w:r>
        <w:tab/>
      </w:r>
      <w:r>
        <w:tab/>
      </w:r>
      <w:r>
        <w:rPr>
          <w:rStyle w:val="htmlcodes"/>
        </w:rPr>
        <w:t>&lt;dd&gt;</w:t>
      </w:r>
      <w:r>
        <w:t>mi-series:</w:t>
      </w:r>
    </w:p>
    <w:p w:rsidR="00B72047" w:rsidRDefault="00B72047" w:rsidP="007E67C1">
      <w:pPr>
        <w:pStyle w:val="Listnobullcontinued"/>
        <w:numPr>
          <w:ilvl w:val="0"/>
          <w:numId w:val="0"/>
        </w:numPr>
        <w:ind w:left="864" w:hanging="504"/>
      </w:pPr>
      <w:r>
        <w:tab/>
        <w:t>mi</w:t>
      </w:r>
      <w:r>
        <w:tab/>
      </w:r>
      <w:r>
        <w:tab/>
        <w:t>I (rafsi:  “mib”)</w:t>
      </w:r>
    </w:p>
    <w:p w:rsidR="00B72047" w:rsidRDefault="00B72047" w:rsidP="007E67C1">
      <w:pPr>
        <w:pStyle w:val="Listnobullcontinued"/>
        <w:numPr>
          <w:ilvl w:val="0"/>
          <w:numId w:val="0"/>
        </w:numPr>
        <w:ind w:left="864" w:hanging="504"/>
      </w:pPr>
      <w:r>
        <w:tab/>
        <w:t>do</w:t>
      </w:r>
      <w:r>
        <w:tab/>
      </w:r>
      <w:r>
        <w:tab/>
        <w:t>you (rafsi:  “don” and “doi”)</w:t>
      </w:r>
    </w:p>
    <w:p w:rsidR="00B72047" w:rsidRDefault="00B72047" w:rsidP="007E67C1">
      <w:pPr>
        <w:pStyle w:val="Listnobullcontinued"/>
        <w:numPr>
          <w:ilvl w:val="0"/>
          <w:numId w:val="0"/>
        </w:numPr>
        <w:ind w:left="864" w:hanging="504"/>
      </w:pPr>
      <w:r>
        <w:tab/>
        <w:t>mi'o</w:t>
      </w:r>
      <w:r>
        <w:tab/>
      </w:r>
      <w:r>
        <w:tab/>
        <w:t>you and I</w:t>
      </w:r>
    </w:p>
    <w:p w:rsidR="00B72047" w:rsidRDefault="00B72047" w:rsidP="007E67C1">
      <w:pPr>
        <w:pStyle w:val="Listnobullcontinued"/>
        <w:numPr>
          <w:ilvl w:val="0"/>
          <w:numId w:val="0"/>
        </w:numPr>
        <w:ind w:left="864" w:hanging="504"/>
      </w:pPr>
      <w:r>
        <w:tab/>
        <w:t>mi'a</w:t>
      </w:r>
      <w:r>
        <w:tab/>
      </w:r>
      <w:r>
        <w:tab/>
        <w:t>I and others, we but not you</w:t>
      </w:r>
    </w:p>
    <w:p w:rsidR="00B72047" w:rsidRDefault="00B72047" w:rsidP="007E67C1">
      <w:pPr>
        <w:pStyle w:val="Listnobullcontinued"/>
        <w:numPr>
          <w:ilvl w:val="0"/>
          <w:numId w:val="0"/>
        </w:numPr>
        <w:ind w:left="864" w:hanging="504"/>
      </w:pPr>
      <w:r>
        <w:tab/>
        <w:t>ma'a</w:t>
      </w:r>
      <w:r>
        <w:tab/>
      </w:r>
      <w:r>
        <w:tab/>
        <w:t>you and I and others</w:t>
      </w:r>
    </w:p>
    <w:p w:rsidR="00B72047" w:rsidRDefault="00B72047" w:rsidP="007E67C1">
      <w:pPr>
        <w:pStyle w:val="Listnobullcontinued"/>
        <w:numPr>
          <w:ilvl w:val="0"/>
          <w:numId w:val="0"/>
        </w:numPr>
        <w:ind w:left="864" w:hanging="504"/>
      </w:pPr>
      <w:r>
        <w:tab/>
        <w:t>do'o</w:t>
      </w:r>
      <w:r>
        <w:tab/>
      </w:r>
      <w:r>
        <w:tab/>
        <w:t>you and others</w:t>
      </w:r>
    </w:p>
    <w:p w:rsidR="00B72047" w:rsidRDefault="00B72047" w:rsidP="007E67C1">
      <w:pPr>
        <w:pStyle w:val="Listnobullcontinued"/>
        <w:numPr>
          <w:ilvl w:val="0"/>
          <w:numId w:val="0"/>
        </w:numPr>
        <w:ind w:left="864" w:hanging="504"/>
      </w:pPr>
      <w:r>
        <w:tab/>
        <w:t>ko</w:t>
      </w:r>
      <w:r>
        <w:tab/>
      </w:r>
      <w:r>
        <w:tab/>
        <w:t>you-imperative</w:t>
      </w:r>
    </w:p>
    <w:p w:rsidR="00B72047" w:rsidRDefault="00B72047" w:rsidP="007E67C1">
      <w:pPr>
        <w:pStyle w:val="Listnobullets"/>
        <w:numPr>
          <w:ilvl w:val="0"/>
          <w:numId w:val="0"/>
        </w:numPr>
        <w:ind w:left="864" w:hanging="504"/>
      </w:pPr>
      <w:r>
        <w:rPr>
          <w:rStyle w:val="htmlcodes"/>
        </w:rPr>
        <w:t>&lt;/dl&gt;</w:t>
      </w:r>
      <w:r>
        <w:rPr>
          <w:rStyle w:val="indexentry"/>
        </w:rPr>
        <w:t>&lt;cx "pro-sumti, ti-series list"&gt;</w:t>
      </w:r>
      <w:r>
        <w:rPr>
          <w:rStyle w:val="indexentry"/>
        </w:rPr>
        <w:fldChar w:fldCharType="begin"/>
      </w:r>
      <w:r>
        <w:instrText>xe "</w:instrText>
      </w:r>
      <w:r>
        <w:rPr>
          <w:rStyle w:val="xeentry"/>
        </w:rPr>
        <w:instrText>pro-sumti: ti-series list</w:instrText>
      </w:r>
      <w:r>
        <w:instrText>"</w:instrText>
      </w:r>
      <w:r>
        <w:rPr>
          <w:rStyle w:val="indexentry"/>
        </w:rPr>
        <w:fldChar w:fldCharType="end"/>
      </w:r>
      <w:r>
        <w:rPr>
          <w:rStyle w:val="htmlcodes"/>
        </w:rPr>
        <w:t>&lt;dl compact&gt;&lt;dt&gt;</w:t>
      </w:r>
      <w:r>
        <w:tab/>
      </w:r>
      <w:r>
        <w:tab/>
      </w:r>
      <w:r>
        <w:rPr>
          <w:rStyle w:val="htmlcodes"/>
        </w:rPr>
        <w:t>&lt;dd&gt;</w:t>
      </w:r>
      <w:r>
        <w:t>ti-series:</w:t>
      </w:r>
    </w:p>
    <w:p w:rsidR="00B72047" w:rsidRDefault="00B72047" w:rsidP="007E67C1">
      <w:pPr>
        <w:pStyle w:val="Listnobullcontinued"/>
        <w:numPr>
          <w:ilvl w:val="0"/>
          <w:numId w:val="0"/>
        </w:numPr>
        <w:ind w:left="864" w:hanging="504"/>
      </w:pPr>
      <w:r>
        <w:tab/>
        <w:t>ti</w:t>
      </w:r>
      <w:r>
        <w:tab/>
      </w:r>
      <w:r>
        <w:tab/>
        <w:t>this here; something nearby (rafsi:  “tif”)</w:t>
      </w:r>
    </w:p>
    <w:p w:rsidR="00B72047" w:rsidRDefault="00B72047" w:rsidP="007E67C1">
      <w:pPr>
        <w:pStyle w:val="Listnobullcontinued"/>
        <w:numPr>
          <w:ilvl w:val="0"/>
          <w:numId w:val="0"/>
        </w:numPr>
        <w:ind w:left="864" w:hanging="504"/>
      </w:pPr>
      <w:r>
        <w:tab/>
        <w:t>ta</w:t>
      </w:r>
      <w:r>
        <w:tab/>
      </w:r>
      <w:r>
        <w:tab/>
        <w:t>that there; something distant (rafsi:  “taz”)</w:t>
      </w:r>
    </w:p>
    <w:p w:rsidR="00B72047" w:rsidRDefault="00B72047" w:rsidP="007E67C1">
      <w:pPr>
        <w:pStyle w:val="Listnobullcontinued"/>
        <w:numPr>
          <w:ilvl w:val="0"/>
          <w:numId w:val="0"/>
        </w:numPr>
        <w:ind w:left="864" w:hanging="504"/>
      </w:pPr>
      <w:r>
        <w:tab/>
        <w:t>tu</w:t>
      </w:r>
      <w:r>
        <w:tab/>
      </w:r>
      <w:r>
        <w:tab/>
        <w:t>that yonder; something far distant (rafsi:  “tuf”)</w:t>
      </w:r>
    </w:p>
    <w:p w:rsidR="00B72047" w:rsidRDefault="00B72047" w:rsidP="007E67C1">
      <w:pPr>
        <w:pStyle w:val="Listnobullets"/>
        <w:numPr>
          <w:ilvl w:val="0"/>
          <w:numId w:val="0"/>
        </w:numPr>
        <w:ind w:left="864" w:hanging="504"/>
      </w:pPr>
      <w:r>
        <w:rPr>
          <w:rStyle w:val="htmlcodes"/>
        </w:rPr>
        <w:t>&lt;/dl&gt;</w:t>
      </w:r>
      <w:r>
        <w:rPr>
          <w:rStyle w:val="indexentry"/>
        </w:rPr>
        <w:t>&lt;cx "pro-sumti, di'u-series list"&gt;</w:t>
      </w:r>
      <w:r>
        <w:rPr>
          <w:rStyle w:val="indexentry"/>
        </w:rPr>
        <w:fldChar w:fldCharType="begin"/>
      </w:r>
      <w:r>
        <w:instrText>xe "</w:instrText>
      </w:r>
      <w:r>
        <w:rPr>
          <w:rStyle w:val="xeentry"/>
        </w:rPr>
        <w:instrText>pro-sumti: di'u-series list</w:instrText>
      </w:r>
      <w:r>
        <w:instrText>"</w:instrText>
      </w:r>
      <w:r>
        <w:rPr>
          <w:rStyle w:val="indexentry"/>
        </w:rPr>
        <w:fldChar w:fldCharType="end"/>
      </w:r>
      <w:r>
        <w:rPr>
          <w:rStyle w:val="htmlcodes"/>
        </w:rPr>
        <w:t>&lt;dl compact&gt;&lt;dt&gt;</w:t>
      </w:r>
      <w:r>
        <w:tab/>
      </w:r>
      <w:r>
        <w:tab/>
      </w:r>
      <w:r>
        <w:rPr>
          <w:rStyle w:val="htmlcodes"/>
        </w:rPr>
        <w:t>&lt;dd&gt;</w:t>
      </w:r>
      <w:r>
        <w:t>di'u-series:</w:t>
      </w:r>
    </w:p>
    <w:p w:rsidR="00B72047" w:rsidRDefault="00B72047" w:rsidP="007E67C1">
      <w:pPr>
        <w:pStyle w:val="Listnobullcontinued"/>
        <w:numPr>
          <w:ilvl w:val="0"/>
          <w:numId w:val="0"/>
        </w:numPr>
        <w:ind w:left="864" w:hanging="504"/>
      </w:pPr>
      <w:r>
        <w:tab/>
        <w:t>di'u</w:t>
      </w:r>
      <w:r>
        <w:tab/>
      </w:r>
      <w:r>
        <w:tab/>
        <w:t>the previous utterance</w:t>
      </w:r>
    </w:p>
    <w:p w:rsidR="00B72047" w:rsidRDefault="00B72047" w:rsidP="007E67C1">
      <w:pPr>
        <w:pStyle w:val="Listnobullcontinued"/>
        <w:numPr>
          <w:ilvl w:val="0"/>
          <w:numId w:val="0"/>
        </w:numPr>
        <w:ind w:left="864" w:hanging="504"/>
      </w:pPr>
      <w:r>
        <w:tab/>
        <w:t>de'u</w:t>
      </w:r>
      <w:r>
        <w:tab/>
      </w:r>
      <w:r>
        <w:tab/>
        <w:t>an earlier utterance</w:t>
      </w:r>
    </w:p>
    <w:p w:rsidR="00B72047" w:rsidRDefault="00B72047" w:rsidP="007E67C1">
      <w:pPr>
        <w:pStyle w:val="Listnobullcontinued"/>
        <w:numPr>
          <w:ilvl w:val="0"/>
          <w:numId w:val="0"/>
        </w:numPr>
        <w:ind w:left="864" w:hanging="504"/>
      </w:pPr>
      <w:r>
        <w:tab/>
        <w:t>da'u</w:t>
      </w:r>
      <w:r>
        <w:tab/>
      </w:r>
      <w:r>
        <w:tab/>
        <w:t>a much earlier utterance</w:t>
      </w:r>
    </w:p>
    <w:p w:rsidR="00B72047" w:rsidRDefault="00B72047" w:rsidP="007E67C1">
      <w:pPr>
        <w:pStyle w:val="Listnobullcontinued"/>
        <w:numPr>
          <w:ilvl w:val="0"/>
          <w:numId w:val="0"/>
        </w:numPr>
        <w:ind w:left="864" w:hanging="504"/>
      </w:pPr>
      <w:r>
        <w:tab/>
        <w:t>di'e</w:t>
      </w:r>
      <w:r>
        <w:tab/>
      </w:r>
      <w:r>
        <w:tab/>
        <w:t>the next utterance</w:t>
      </w:r>
    </w:p>
    <w:p w:rsidR="00B72047" w:rsidRDefault="00B72047" w:rsidP="007E67C1">
      <w:pPr>
        <w:pStyle w:val="Listnobullcontinued"/>
        <w:numPr>
          <w:ilvl w:val="0"/>
          <w:numId w:val="0"/>
        </w:numPr>
        <w:ind w:left="864" w:hanging="504"/>
      </w:pPr>
      <w:r>
        <w:tab/>
        <w:t>de'e</w:t>
      </w:r>
      <w:r>
        <w:tab/>
      </w:r>
      <w:r>
        <w:tab/>
        <w:t>a later utterance</w:t>
      </w:r>
    </w:p>
    <w:p w:rsidR="00B72047" w:rsidRDefault="00B72047" w:rsidP="007E67C1">
      <w:pPr>
        <w:pStyle w:val="Listnobullcontinued"/>
        <w:numPr>
          <w:ilvl w:val="0"/>
          <w:numId w:val="0"/>
        </w:numPr>
        <w:ind w:left="864" w:hanging="504"/>
      </w:pPr>
      <w:r>
        <w:tab/>
        <w:t>da'e</w:t>
      </w:r>
      <w:r>
        <w:tab/>
      </w:r>
      <w:r>
        <w:tab/>
        <w:t>a much later utterance</w:t>
      </w:r>
    </w:p>
    <w:p w:rsidR="00B72047" w:rsidRDefault="00B72047" w:rsidP="007E67C1">
      <w:pPr>
        <w:pStyle w:val="Listnobullcontinued"/>
        <w:numPr>
          <w:ilvl w:val="0"/>
          <w:numId w:val="0"/>
        </w:numPr>
        <w:ind w:left="864" w:hanging="504"/>
      </w:pPr>
      <w:r>
        <w:tab/>
        <w:t>dei</w:t>
      </w:r>
      <w:r>
        <w:tab/>
      </w:r>
      <w:r>
        <w:tab/>
        <w:t>this very utterance</w:t>
      </w:r>
    </w:p>
    <w:p w:rsidR="00B72047" w:rsidRDefault="00B72047" w:rsidP="007E67C1">
      <w:pPr>
        <w:pStyle w:val="Listnobullcontinued"/>
        <w:numPr>
          <w:ilvl w:val="0"/>
          <w:numId w:val="0"/>
        </w:numPr>
        <w:ind w:left="864" w:hanging="504"/>
      </w:pPr>
      <w:r>
        <w:tab/>
        <w:t>do'i</w:t>
      </w:r>
      <w:r>
        <w:tab/>
      </w:r>
      <w:r>
        <w:tab/>
        <w:t>some utterance</w:t>
      </w:r>
    </w:p>
    <w:p w:rsidR="00B72047" w:rsidRDefault="00B72047" w:rsidP="007E67C1">
      <w:pPr>
        <w:pStyle w:val="Listnobullets"/>
        <w:numPr>
          <w:ilvl w:val="0"/>
          <w:numId w:val="0"/>
        </w:numPr>
        <w:ind w:left="864" w:hanging="504"/>
      </w:pPr>
      <w:r>
        <w:rPr>
          <w:rStyle w:val="htmlcodes"/>
          <w:vanish w:val="0"/>
        </w:rPr>
        <w:tab/>
      </w:r>
      <w:r>
        <w:rPr>
          <w:rStyle w:val="htmlcodes"/>
        </w:rPr>
        <w:t>&lt;/dl&gt;</w:t>
      </w:r>
      <w:r>
        <w:rPr>
          <w:rStyle w:val="indexentry"/>
        </w:rPr>
        <w:t>&lt;cx "pro-sumti, ko'a-series list"&gt;</w:t>
      </w:r>
      <w:r>
        <w:rPr>
          <w:rStyle w:val="indexentry"/>
        </w:rPr>
        <w:fldChar w:fldCharType="begin"/>
      </w:r>
      <w:r>
        <w:instrText>xe "</w:instrText>
      </w:r>
      <w:r>
        <w:rPr>
          <w:rStyle w:val="xeentry"/>
        </w:rPr>
        <w:instrText>pro-sumti: ko'a-series list</w:instrText>
      </w:r>
      <w:r>
        <w:instrText>"</w:instrText>
      </w:r>
      <w:r>
        <w:rPr>
          <w:rStyle w:val="indexentry"/>
        </w:rPr>
        <w:fldChar w:fldCharType="end"/>
      </w:r>
      <w:r>
        <w:rPr>
          <w:rStyle w:val="htmlcodes"/>
        </w:rPr>
        <w:t>&lt;dl compact&gt;&lt;dt&gt;</w:t>
      </w:r>
      <w:r>
        <w:tab/>
      </w:r>
      <w:r>
        <w:rPr>
          <w:rStyle w:val="htmlcodes"/>
        </w:rPr>
        <w:t>&lt;dd&gt;</w:t>
      </w:r>
      <w:r>
        <w:t>ko'a-series:</w:t>
      </w:r>
    </w:p>
    <w:p w:rsidR="00B72047" w:rsidRDefault="00B72047" w:rsidP="007E67C1">
      <w:pPr>
        <w:pStyle w:val="Listnobullcontinued"/>
        <w:numPr>
          <w:ilvl w:val="0"/>
          <w:numId w:val="0"/>
        </w:numPr>
        <w:ind w:left="864" w:hanging="504"/>
      </w:pPr>
      <w:r>
        <w:tab/>
        <w:t>ko'a</w:t>
      </w:r>
      <w:r>
        <w:tab/>
      </w:r>
      <w:r>
        <w:tab/>
        <w:t>it-1; 1st assignable pro-sumti</w:t>
      </w:r>
    </w:p>
    <w:p w:rsidR="00B72047" w:rsidRDefault="00B72047" w:rsidP="007E67C1">
      <w:pPr>
        <w:pStyle w:val="Listnobullcontinued"/>
        <w:numPr>
          <w:ilvl w:val="0"/>
          <w:numId w:val="0"/>
        </w:numPr>
        <w:ind w:left="864" w:hanging="504"/>
      </w:pPr>
      <w:r>
        <w:tab/>
        <w:t>ko'e</w:t>
      </w:r>
      <w:r>
        <w:tab/>
      </w:r>
      <w:r>
        <w:tab/>
        <w:t>it-2; 2nd assignable pro-sumti</w:t>
      </w:r>
    </w:p>
    <w:p w:rsidR="00B72047" w:rsidRDefault="00B72047" w:rsidP="007E67C1">
      <w:pPr>
        <w:pStyle w:val="Listnobullcontinued"/>
        <w:numPr>
          <w:ilvl w:val="0"/>
          <w:numId w:val="0"/>
        </w:numPr>
        <w:ind w:left="864" w:hanging="504"/>
      </w:pPr>
      <w:r>
        <w:tab/>
        <w:t>ko'i</w:t>
      </w:r>
      <w:r>
        <w:tab/>
      </w:r>
      <w:r>
        <w:tab/>
        <w:t>it-3; 3rd assignable pro-sumti</w:t>
      </w:r>
    </w:p>
    <w:p w:rsidR="00B72047" w:rsidRDefault="00B72047" w:rsidP="007E67C1">
      <w:pPr>
        <w:pStyle w:val="Listnobullcontinued"/>
        <w:numPr>
          <w:ilvl w:val="0"/>
          <w:numId w:val="0"/>
        </w:numPr>
        <w:ind w:left="864" w:hanging="504"/>
      </w:pPr>
      <w:r>
        <w:tab/>
        <w:t>ko'o</w:t>
      </w:r>
      <w:r>
        <w:tab/>
      </w:r>
      <w:r>
        <w:tab/>
        <w:t>it-4; 4th assignable pro-sumti</w:t>
      </w:r>
    </w:p>
    <w:p w:rsidR="00B72047" w:rsidRDefault="00B72047" w:rsidP="007E67C1">
      <w:pPr>
        <w:pStyle w:val="Listnobullcontinued"/>
        <w:numPr>
          <w:ilvl w:val="0"/>
          <w:numId w:val="0"/>
        </w:numPr>
        <w:ind w:left="864" w:hanging="504"/>
      </w:pPr>
      <w:r>
        <w:tab/>
        <w:t>ko'u</w:t>
      </w:r>
      <w:r>
        <w:tab/>
      </w:r>
      <w:r>
        <w:tab/>
        <w:t>it-5; 5th assignable pro-sumti</w:t>
      </w:r>
    </w:p>
    <w:p w:rsidR="00B72047" w:rsidRDefault="00B72047" w:rsidP="007E67C1">
      <w:pPr>
        <w:pStyle w:val="Listnobullets"/>
        <w:numPr>
          <w:ilvl w:val="0"/>
          <w:numId w:val="0"/>
        </w:numPr>
        <w:ind w:left="864" w:hanging="504"/>
      </w:pPr>
      <w:r>
        <w:tab/>
        <w:t>fo'a</w:t>
      </w:r>
      <w:r>
        <w:tab/>
      </w:r>
      <w:r>
        <w:tab/>
        <w:t>it-6; 6th assignable pro-sumti (rafsi:  “fo'a”)</w:t>
      </w:r>
    </w:p>
    <w:p w:rsidR="00B72047" w:rsidRDefault="00B72047" w:rsidP="007E67C1">
      <w:pPr>
        <w:pStyle w:val="Listnobullcontinued"/>
        <w:numPr>
          <w:ilvl w:val="0"/>
          <w:numId w:val="0"/>
        </w:numPr>
        <w:ind w:left="864" w:hanging="504"/>
      </w:pPr>
      <w:r>
        <w:tab/>
        <w:t>fo'e</w:t>
      </w:r>
      <w:r>
        <w:tab/>
      </w:r>
      <w:r>
        <w:tab/>
        <w:t>it-7; 7th assignable pro-sumti (rafsi:  “fo'e”)</w:t>
      </w:r>
    </w:p>
    <w:p w:rsidR="00B72047" w:rsidRDefault="00B72047" w:rsidP="007E67C1">
      <w:pPr>
        <w:pStyle w:val="Listnobullcontinued"/>
        <w:numPr>
          <w:ilvl w:val="0"/>
          <w:numId w:val="0"/>
        </w:numPr>
        <w:ind w:left="864" w:hanging="504"/>
      </w:pPr>
      <w:r>
        <w:tab/>
        <w:t>fo'i</w:t>
      </w:r>
      <w:r>
        <w:tab/>
      </w:r>
      <w:r>
        <w:tab/>
        <w:t>it-8; 8th assignable pro-sumti (rafsi:  “fo'i”)</w:t>
      </w:r>
    </w:p>
    <w:p w:rsidR="00B72047" w:rsidRDefault="00B72047" w:rsidP="007E67C1">
      <w:pPr>
        <w:pStyle w:val="Listnobullcontinued"/>
        <w:numPr>
          <w:ilvl w:val="0"/>
          <w:numId w:val="0"/>
        </w:numPr>
        <w:ind w:left="864" w:hanging="504"/>
      </w:pPr>
      <w:r>
        <w:tab/>
        <w:t>fo'o</w:t>
      </w:r>
      <w:r>
        <w:tab/>
      </w:r>
      <w:r>
        <w:tab/>
        <w:t>it-9; 9th assignable pro-sumti</w:t>
      </w:r>
    </w:p>
    <w:p w:rsidR="00B72047" w:rsidRDefault="00B72047" w:rsidP="007E67C1">
      <w:pPr>
        <w:pStyle w:val="Listnobullcontinued"/>
        <w:numPr>
          <w:ilvl w:val="0"/>
          <w:numId w:val="0"/>
        </w:numPr>
        <w:ind w:left="864" w:hanging="504"/>
      </w:pPr>
      <w:r>
        <w:tab/>
        <w:t>fo'u</w:t>
      </w:r>
      <w:r>
        <w:tab/>
      </w:r>
      <w:r>
        <w:tab/>
        <w:t>it-10; 10th assignable pro-sumti</w:t>
      </w:r>
    </w:p>
    <w:p w:rsidR="00B72047" w:rsidRDefault="00B72047" w:rsidP="007E67C1">
      <w:pPr>
        <w:pStyle w:val="Listnobullets"/>
        <w:numPr>
          <w:ilvl w:val="0"/>
          <w:numId w:val="0"/>
        </w:numPr>
        <w:ind w:left="864" w:hanging="504"/>
      </w:pPr>
      <w:r>
        <w:rPr>
          <w:rStyle w:val="htmlcodes"/>
        </w:rPr>
        <w:t>&lt;/dl&gt;</w:t>
      </w:r>
      <w:r>
        <w:rPr>
          <w:rStyle w:val="indexentry"/>
        </w:rPr>
        <w:t>&lt;cx "pro-sumti, ri-series list"&gt;</w:t>
      </w:r>
      <w:r>
        <w:rPr>
          <w:rStyle w:val="indexentry"/>
        </w:rPr>
        <w:fldChar w:fldCharType="begin"/>
      </w:r>
      <w:r>
        <w:instrText>xe "</w:instrText>
      </w:r>
      <w:r>
        <w:rPr>
          <w:rStyle w:val="xeentry"/>
        </w:rPr>
        <w:instrText>pro-sumti: ri-series list</w:instrText>
      </w:r>
      <w:r>
        <w:instrText>"</w:instrText>
      </w:r>
      <w:r>
        <w:rPr>
          <w:rStyle w:val="indexentry"/>
        </w:rPr>
        <w:fldChar w:fldCharType="end"/>
      </w:r>
      <w:r>
        <w:rPr>
          <w:rStyle w:val="htmlcodes"/>
        </w:rPr>
        <w:t>&lt;dl compact&gt;&lt;dt&gt;</w:t>
      </w:r>
      <w:r>
        <w:tab/>
      </w:r>
      <w:r>
        <w:tab/>
      </w:r>
      <w:r>
        <w:rPr>
          <w:rStyle w:val="htmlcodes"/>
        </w:rPr>
        <w:t>&lt;dd&gt;</w:t>
      </w:r>
      <w:r>
        <w:t>ri-series:</w:t>
      </w:r>
    </w:p>
    <w:p w:rsidR="00B72047" w:rsidRDefault="00B72047" w:rsidP="007E67C1">
      <w:pPr>
        <w:pStyle w:val="Listnobullcontinued"/>
        <w:numPr>
          <w:ilvl w:val="0"/>
          <w:numId w:val="0"/>
        </w:numPr>
        <w:ind w:left="864" w:hanging="504"/>
      </w:pPr>
      <w:r>
        <w:tab/>
        <w:t>ri</w:t>
      </w:r>
      <w:r>
        <w:tab/>
      </w:r>
      <w:r>
        <w:tab/>
        <w:t>(repeats the last sumti)</w:t>
      </w:r>
    </w:p>
    <w:p w:rsidR="00B72047" w:rsidRDefault="00B72047" w:rsidP="007E67C1">
      <w:pPr>
        <w:pStyle w:val="Listnobullcontinued"/>
        <w:numPr>
          <w:ilvl w:val="0"/>
          <w:numId w:val="0"/>
        </w:numPr>
        <w:ind w:left="864" w:hanging="504"/>
      </w:pPr>
      <w:r>
        <w:tab/>
        <w:t>ra</w:t>
      </w:r>
      <w:r>
        <w:tab/>
      </w:r>
      <w:r>
        <w:tab/>
        <w:t>(repeats a previous sumti)</w:t>
      </w:r>
    </w:p>
    <w:p w:rsidR="00B72047" w:rsidRDefault="00B72047" w:rsidP="007E67C1">
      <w:pPr>
        <w:pStyle w:val="Listnobullcontinued"/>
        <w:numPr>
          <w:ilvl w:val="0"/>
          <w:numId w:val="0"/>
        </w:numPr>
        <w:ind w:left="864" w:hanging="504"/>
      </w:pPr>
      <w:r>
        <w:tab/>
        <w:t>ru</w:t>
      </w:r>
      <w:r>
        <w:tab/>
      </w:r>
      <w:r>
        <w:tab/>
        <w:t>(repeats a long-ago sumti)</w:t>
      </w:r>
    </w:p>
    <w:p w:rsidR="00B72047" w:rsidRDefault="00B72047" w:rsidP="007E67C1">
      <w:pPr>
        <w:pStyle w:val="Listnobullets"/>
        <w:numPr>
          <w:ilvl w:val="0"/>
          <w:numId w:val="0"/>
        </w:numPr>
        <w:spacing w:before="0"/>
        <w:ind w:left="864" w:hanging="504"/>
      </w:pPr>
      <w:r>
        <w:rPr>
          <w:rStyle w:val="htmlcodes"/>
        </w:rPr>
        <w:t>&lt;/dl&gt;</w:t>
      </w:r>
      <w:r>
        <w:rPr>
          <w:rStyle w:val="indexentry"/>
        </w:rPr>
        <w:t>&lt;cx "pro-sumti, zo'e-series list"&gt;</w:t>
      </w:r>
      <w:r>
        <w:rPr>
          <w:rStyle w:val="indexentry"/>
        </w:rPr>
        <w:fldChar w:fldCharType="begin"/>
      </w:r>
      <w:r>
        <w:instrText>xe "</w:instrText>
      </w:r>
      <w:r>
        <w:rPr>
          <w:rStyle w:val="xeentry"/>
        </w:rPr>
        <w:instrText>pro-sumti: zo'e-series list</w:instrText>
      </w:r>
      <w:r>
        <w:instrText>"</w:instrText>
      </w:r>
      <w:r>
        <w:rPr>
          <w:rStyle w:val="indexentry"/>
        </w:rPr>
        <w:fldChar w:fldCharType="end"/>
      </w:r>
      <w:r>
        <w:rPr>
          <w:rStyle w:val="htmlcodes"/>
        </w:rPr>
        <w:t>&lt;dl compact&gt;&lt;dt&gt;</w:t>
      </w:r>
      <w:r>
        <w:tab/>
      </w:r>
      <w:r>
        <w:tab/>
      </w:r>
      <w:r>
        <w:br w:type="page"/>
      </w:r>
      <w:r>
        <w:rPr>
          <w:rStyle w:val="htmlcodes"/>
        </w:rPr>
        <w:t>&lt;dd&gt;</w:t>
      </w:r>
      <w:r>
        <w:t>zo'e-series:</w:t>
      </w:r>
    </w:p>
    <w:p w:rsidR="00B72047" w:rsidRDefault="00B72047" w:rsidP="007E67C1">
      <w:pPr>
        <w:pStyle w:val="Listnobullcontinued"/>
        <w:numPr>
          <w:ilvl w:val="0"/>
          <w:numId w:val="0"/>
        </w:numPr>
        <w:ind w:left="864" w:hanging="504"/>
      </w:pPr>
      <w:r>
        <w:tab/>
        <w:t>zo'e</w:t>
      </w:r>
      <w:r>
        <w:tab/>
      </w:r>
      <w:r>
        <w:tab/>
        <w:t>the obvious value</w:t>
      </w:r>
    </w:p>
    <w:p w:rsidR="00B72047" w:rsidRDefault="00B72047" w:rsidP="007E67C1">
      <w:pPr>
        <w:pStyle w:val="Listnobullcontinued"/>
        <w:numPr>
          <w:ilvl w:val="0"/>
          <w:numId w:val="0"/>
        </w:numPr>
        <w:ind w:left="864" w:hanging="504"/>
      </w:pPr>
      <w:r>
        <w:tab/>
        <w:t>zu'i</w:t>
      </w:r>
      <w:r>
        <w:tab/>
      </w:r>
      <w:r>
        <w:tab/>
        <w:t>the typical value</w:t>
      </w:r>
    </w:p>
    <w:p w:rsidR="00B72047" w:rsidRDefault="00B72047" w:rsidP="007E67C1">
      <w:pPr>
        <w:pStyle w:val="Listnobullcontinued"/>
        <w:numPr>
          <w:ilvl w:val="0"/>
          <w:numId w:val="0"/>
        </w:numPr>
        <w:ind w:left="864" w:hanging="504"/>
      </w:pPr>
      <w:r>
        <w:tab/>
        <w:t>zi'o</w:t>
      </w:r>
      <w:r>
        <w:tab/>
      </w:r>
      <w:r>
        <w:tab/>
        <w:t>the nonexistent value (rafsi:  “zil”)</w:t>
      </w:r>
    </w:p>
    <w:p w:rsidR="00B72047" w:rsidRDefault="00B72047" w:rsidP="007E67C1">
      <w:pPr>
        <w:pStyle w:val="Listnobullets"/>
        <w:numPr>
          <w:ilvl w:val="0"/>
          <w:numId w:val="0"/>
        </w:numPr>
        <w:ind w:left="864" w:hanging="504"/>
      </w:pPr>
      <w:r>
        <w:rPr>
          <w:rStyle w:val="htmlcodes"/>
        </w:rPr>
        <w:t>&lt;/dl&gt;</w:t>
      </w:r>
      <w:r>
        <w:rPr>
          <w:rStyle w:val="indexentry"/>
        </w:rPr>
        <w:t>&lt;cx "pro-sumti, vo'a-series list"&gt;</w:t>
      </w:r>
      <w:r>
        <w:rPr>
          <w:rStyle w:val="indexentry"/>
        </w:rPr>
        <w:fldChar w:fldCharType="begin"/>
      </w:r>
      <w:r>
        <w:instrText>xe "</w:instrText>
      </w:r>
      <w:r>
        <w:rPr>
          <w:rStyle w:val="xeentry"/>
        </w:rPr>
        <w:instrText>pro-sumti: vo'a-series list</w:instrText>
      </w:r>
      <w:r>
        <w:instrText>"</w:instrText>
      </w:r>
      <w:r>
        <w:rPr>
          <w:rStyle w:val="indexentry"/>
        </w:rPr>
        <w:fldChar w:fldCharType="end"/>
      </w:r>
      <w:r>
        <w:rPr>
          <w:rStyle w:val="htmlcodes"/>
        </w:rPr>
        <w:t>&lt;dl compact&gt;&lt;dt&gt;</w:t>
      </w:r>
      <w:r>
        <w:tab/>
      </w:r>
      <w:r>
        <w:tab/>
      </w:r>
      <w:r>
        <w:rPr>
          <w:rStyle w:val="htmlcodes"/>
        </w:rPr>
        <w:t>&lt;dd&gt;</w:t>
      </w:r>
      <w:r>
        <w:t>vo'a-series:</w:t>
      </w:r>
    </w:p>
    <w:p w:rsidR="00B72047" w:rsidRDefault="00B72047" w:rsidP="007E67C1">
      <w:pPr>
        <w:pStyle w:val="Listnobullcontinued"/>
        <w:numPr>
          <w:ilvl w:val="0"/>
          <w:numId w:val="0"/>
        </w:numPr>
        <w:ind w:left="864" w:hanging="504"/>
      </w:pPr>
      <w:r>
        <w:tab/>
        <w:t>vo'a</w:t>
      </w:r>
      <w:r>
        <w:tab/>
      </w:r>
      <w:r>
        <w:tab/>
        <w:t>x1 of this bridi</w:t>
      </w:r>
    </w:p>
    <w:p w:rsidR="00B72047" w:rsidRDefault="00B72047" w:rsidP="007E67C1">
      <w:pPr>
        <w:pStyle w:val="Listnobullcontinued"/>
        <w:numPr>
          <w:ilvl w:val="0"/>
          <w:numId w:val="0"/>
        </w:numPr>
        <w:ind w:left="864" w:hanging="504"/>
      </w:pPr>
      <w:r>
        <w:tab/>
        <w:t>vo'e</w:t>
      </w:r>
      <w:r>
        <w:tab/>
      </w:r>
      <w:r>
        <w:tab/>
        <w:t>x2 of this bridi</w:t>
      </w:r>
    </w:p>
    <w:p w:rsidR="00B72047" w:rsidRDefault="00B72047" w:rsidP="007E67C1">
      <w:pPr>
        <w:pStyle w:val="Listnobullcontinued"/>
        <w:numPr>
          <w:ilvl w:val="0"/>
          <w:numId w:val="0"/>
        </w:numPr>
        <w:ind w:left="864" w:hanging="504"/>
      </w:pPr>
      <w:r>
        <w:tab/>
        <w:t>vo'i</w:t>
      </w:r>
      <w:r>
        <w:tab/>
      </w:r>
      <w:r>
        <w:tab/>
        <w:t>x3 of this bridi</w:t>
      </w:r>
    </w:p>
    <w:p w:rsidR="00B72047" w:rsidRDefault="00B72047" w:rsidP="007E67C1">
      <w:pPr>
        <w:pStyle w:val="Listnobullcontinued"/>
        <w:numPr>
          <w:ilvl w:val="0"/>
          <w:numId w:val="0"/>
        </w:numPr>
        <w:ind w:left="864" w:hanging="504"/>
      </w:pPr>
      <w:r>
        <w:tab/>
        <w:t>vo'o</w:t>
      </w:r>
      <w:r>
        <w:tab/>
      </w:r>
      <w:r>
        <w:tab/>
        <w:t>x4 of this bridi</w:t>
      </w:r>
    </w:p>
    <w:p w:rsidR="00B72047" w:rsidRDefault="00B72047" w:rsidP="007E67C1">
      <w:pPr>
        <w:pStyle w:val="Listnobullcontinued"/>
        <w:numPr>
          <w:ilvl w:val="0"/>
          <w:numId w:val="0"/>
        </w:numPr>
        <w:ind w:left="864" w:hanging="504"/>
      </w:pPr>
      <w:r>
        <w:tab/>
        <w:t>vo'u</w:t>
      </w:r>
      <w:r>
        <w:tab/>
      </w:r>
      <w:r>
        <w:tab/>
        <w:t>x5 of this bridi</w:t>
      </w:r>
    </w:p>
    <w:p w:rsidR="00B72047" w:rsidRDefault="00B72047" w:rsidP="007E67C1">
      <w:pPr>
        <w:pStyle w:val="Listnobullets"/>
        <w:numPr>
          <w:ilvl w:val="0"/>
          <w:numId w:val="0"/>
        </w:numPr>
        <w:ind w:left="864" w:hanging="504"/>
      </w:pPr>
      <w:r>
        <w:rPr>
          <w:rStyle w:val="htmlcodes"/>
        </w:rPr>
        <w:t>&lt;/dl&gt;</w:t>
      </w:r>
      <w:r>
        <w:rPr>
          <w:rStyle w:val="indexentry"/>
        </w:rPr>
        <w:t>&lt;cx "pro-sumti, da-series list"&gt;</w:t>
      </w:r>
      <w:r>
        <w:rPr>
          <w:rStyle w:val="indexentry"/>
        </w:rPr>
        <w:fldChar w:fldCharType="begin"/>
      </w:r>
      <w:r>
        <w:instrText>xe "</w:instrText>
      </w:r>
      <w:r>
        <w:rPr>
          <w:rStyle w:val="xeentry"/>
        </w:rPr>
        <w:instrText>pro-sumti: da-series list</w:instrText>
      </w:r>
      <w:r>
        <w:instrText>"</w:instrText>
      </w:r>
      <w:r>
        <w:rPr>
          <w:rStyle w:val="indexentry"/>
        </w:rPr>
        <w:fldChar w:fldCharType="end"/>
      </w:r>
      <w:r>
        <w:rPr>
          <w:rStyle w:val="htmlcodes"/>
        </w:rPr>
        <w:t>&lt;dl compact&gt;&lt;dt&gt;</w:t>
      </w:r>
      <w:r>
        <w:tab/>
      </w:r>
      <w:r>
        <w:tab/>
      </w:r>
      <w:r>
        <w:rPr>
          <w:rStyle w:val="htmlcodes"/>
        </w:rPr>
        <w:t>&lt;dd&gt;</w:t>
      </w:r>
      <w:r>
        <w:t>da-series:</w:t>
      </w:r>
    </w:p>
    <w:p w:rsidR="00B72047" w:rsidRDefault="00B72047" w:rsidP="007E67C1">
      <w:pPr>
        <w:pStyle w:val="Listnobullcontinued"/>
        <w:numPr>
          <w:ilvl w:val="0"/>
          <w:numId w:val="0"/>
        </w:numPr>
        <w:ind w:left="864" w:hanging="504"/>
      </w:pPr>
      <w:r>
        <w:tab/>
        <w:t>da</w:t>
      </w:r>
      <w:r>
        <w:tab/>
      </w:r>
      <w:r>
        <w:tab/>
        <w:t>something-1 (rafsi:  “dav”/“dza”)</w:t>
      </w:r>
    </w:p>
    <w:p w:rsidR="00B72047" w:rsidRDefault="00B72047" w:rsidP="007E67C1">
      <w:pPr>
        <w:pStyle w:val="Listnobullcontinued"/>
        <w:numPr>
          <w:ilvl w:val="0"/>
          <w:numId w:val="0"/>
        </w:numPr>
        <w:ind w:left="864" w:hanging="504"/>
      </w:pPr>
      <w:r>
        <w:tab/>
        <w:t>de</w:t>
      </w:r>
      <w:r>
        <w:tab/>
      </w:r>
      <w:r>
        <w:tab/>
        <w:t>something-2</w:t>
      </w:r>
    </w:p>
    <w:p w:rsidR="00B72047" w:rsidRDefault="00B72047" w:rsidP="007E67C1">
      <w:pPr>
        <w:pStyle w:val="Listnobullcontinued"/>
        <w:numPr>
          <w:ilvl w:val="0"/>
          <w:numId w:val="0"/>
        </w:numPr>
        <w:ind w:left="864" w:hanging="504"/>
      </w:pPr>
      <w:r>
        <w:tab/>
        <w:t>di</w:t>
      </w:r>
      <w:r>
        <w:tab/>
      </w:r>
      <w:r>
        <w:tab/>
        <w:t>something-3</w:t>
      </w:r>
    </w:p>
    <w:p w:rsidR="00B72047" w:rsidRDefault="00B72047" w:rsidP="007E67C1">
      <w:pPr>
        <w:pStyle w:val="Listnobullets"/>
        <w:numPr>
          <w:ilvl w:val="0"/>
          <w:numId w:val="0"/>
        </w:numPr>
        <w:ind w:left="864" w:hanging="504"/>
      </w:pPr>
      <w:r>
        <w:rPr>
          <w:rStyle w:val="htmlcodes"/>
        </w:rPr>
        <w:t>&lt;/dl&gt;</w:t>
      </w:r>
      <w:r>
        <w:rPr>
          <w:rStyle w:val="indexentry"/>
        </w:rPr>
        <w:t>&lt;cx "pro-sumti, miscellaneous list"&gt;</w:t>
      </w:r>
      <w:r>
        <w:rPr>
          <w:rStyle w:val="indexentry"/>
        </w:rPr>
        <w:fldChar w:fldCharType="begin"/>
      </w:r>
      <w:r>
        <w:instrText>xe "</w:instrText>
      </w:r>
      <w:r>
        <w:rPr>
          <w:rStyle w:val="xeentry"/>
        </w:rPr>
        <w:instrText>pro-sumti: miscellaneous list</w:instrText>
      </w:r>
      <w:r>
        <w:instrText>"</w:instrText>
      </w:r>
      <w:r>
        <w:rPr>
          <w:rStyle w:val="indexentry"/>
        </w:rPr>
        <w:fldChar w:fldCharType="end"/>
      </w:r>
      <w:r>
        <w:rPr>
          <w:rStyle w:val="htmlcodes"/>
        </w:rPr>
        <w:t>&lt;dl compact&gt;&lt;dt&gt;</w:t>
      </w:r>
      <w:r>
        <w:tab/>
      </w:r>
      <w:r>
        <w:tab/>
      </w:r>
      <w:r>
        <w:rPr>
          <w:rStyle w:val="htmlcodes"/>
        </w:rPr>
        <w:t>&lt;dd&gt;</w:t>
      </w:r>
      <w:r>
        <w:t>others:</w:t>
      </w:r>
    </w:p>
    <w:p w:rsidR="00B72047" w:rsidRDefault="00B72047" w:rsidP="007E67C1">
      <w:pPr>
        <w:pStyle w:val="Listnobullcontinued"/>
        <w:numPr>
          <w:ilvl w:val="0"/>
          <w:numId w:val="0"/>
        </w:numPr>
        <w:ind w:left="864" w:hanging="504"/>
      </w:pPr>
      <w:r>
        <w:tab/>
        <w:t>ke'a</w:t>
      </w:r>
      <w:r>
        <w:tab/>
      </w:r>
      <w:r>
        <w:tab/>
        <w:t>relativized sumti</w:t>
      </w:r>
    </w:p>
    <w:p w:rsidR="00B72047" w:rsidRDefault="00B72047" w:rsidP="007E67C1">
      <w:pPr>
        <w:pStyle w:val="Listnobullcontinued"/>
        <w:numPr>
          <w:ilvl w:val="0"/>
          <w:numId w:val="0"/>
        </w:numPr>
        <w:ind w:left="864" w:hanging="504"/>
      </w:pPr>
      <w:r>
        <w:tab/>
        <w:t>ma</w:t>
      </w:r>
      <w:r>
        <w:tab/>
      </w:r>
      <w:r>
        <w:tab/>
        <w:t>sumti question</w:t>
      </w:r>
    </w:p>
    <w:p w:rsidR="00B72047" w:rsidRDefault="00B72047" w:rsidP="007E67C1">
      <w:pPr>
        <w:pStyle w:val="Listnobullcontinued"/>
        <w:numPr>
          <w:ilvl w:val="0"/>
          <w:numId w:val="0"/>
        </w:numPr>
        <w:ind w:left="864" w:hanging="504"/>
      </w:pPr>
      <w:r>
        <w:tab/>
        <w:t>ce'u</w:t>
      </w:r>
      <w:r>
        <w:tab/>
      </w:r>
      <w:r>
        <w:tab/>
        <w:t>abstraction focus</w:t>
      </w:r>
    </w:p>
    <w:p w:rsidR="00B72047" w:rsidRDefault="00B72047">
      <w:pPr>
        <w:pStyle w:val="Heading3"/>
        <w:rPr>
          <w:rStyle w:val="Heading3Text"/>
        </w:rPr>
      </w:pPr>
      <w:r>
        <w:rPr>
          <w:rStyle w:val="htmlcodes"/>
        </w:rPr>
        <w:t>&lt;/dl&gt;&lt;a name=s17&gt;&lt;h3&gt;</w:t>
      </w:r>
      <w:bookmarkStart w:id="291" w:name="_Toc398970539"/>
      <w:r>
        <w:rPr>
          <w:rStyle w:val="Heading3Text"/>
        </w:rPr>
        <w:t>GOhA and other pro-bridi by series</w:t>
      </w:r>
      <w:bookmarkEnd w:id="291"/>
      <w:r>
        <w:rPr>
          <w:rStyle w:val="htmlcodes"/>
        </w:rPr>
        <w:t>&lt;/h3&gt;</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"pro-bridi, list by series"&gt;</w:t>
      </w:r>
      <w:r>
        <w:rPr>
          <w:rStyle w:val="indexentry"/>
        </w:rPr>
        <w:fldChar w:fldCharType="begin"/>
      </w:r>
      <w:r>
        <w:instrText>xe "</w:instrText>
      </w:r>
      <w:r>
        <w:rPr>
          <w:rStyle w:val="xeentry"/>
        </w:rPr>
        <w:instrText>pro-bridi: list by series</w:instrText>
      </w:r>
      <w:r>
        <w:instrText>"</w:instrText>
      </w:r>
      <w:r>
        <w:rPr>
          <w:rStyle w:val="indexentry"/>
        </w:rPr>
        <w:fldChar w:fldCharType="end"/>
      </w:r>
      <w:r>
        <w:rPr>
          <w:rStyle w:val="indexentry"/>
        </w:rPr>
        <w:t>&lt;cx "pro-bridi, broda-series list"&gt;</w:t>
      </w:r>
      <w:r>
        <w:rPr>
          <w:rStyle w:val="indexentry"/>
        </w:rPr>
        <w:fldChar w:fldCharType="begin"/>
      </w:r>
      <w:r>
        <w:instrText>xe "</w:instrText>
      </w:r>
      <w:r>
        <w:rPr>
          <w:rStyle w:val="xeentry"/>
        </w:rPr>
        <w:instrText>pro-bridi: broda-series list</w:instrText>
      </w:r>
      <w:r>
        <w:instrText>"</w:instrText>
      </w:r>
      <w:r>
        <w:rPr>
          <w:rStyle w:val="indexentry"/>
        </w:rPr>
        <w:fldChar w:fldCharType="end"/>
      </w:r>
      <w:r>
        <w:rPr>
          <w:rStyle w:val="htmlcodes"/>
        </w:rPr>
        <w:t>&lt;dl compact&gt;&lt;dt&gt;</w:t>
      </w:r>
      <w:r>
        <w:tab/>
      </w:r>
      <w:r>
        <w:tab/>
      </w:r>
      <w:r>
        <w:rPr>
          <w:rStyle w:val="htmlcodes"/>
        </w:rPr>
        <w:t>&lt;dd&gt;</w:t>
      </w:r>
      <w:r>
        <w:t>broda-series (not GOhA):</w:t>
      </w:r>
    </w:p>
    <w:p w:rsidR="00B72047" w:rsidRDefault="00B72047" w:rsidP="007E67C1">
      <w:pPr>
        <w:pStyle w:val="Listnobullcontinued"/>
        <w:numPr>
          <w:ilvl w:val="0"/>
          <w:numId w:val="0"/>
        </w:numPr>
        <w:ind w:left="864" w:hanging="504"/>
      </w:pPr>
      <w:r>
        <w:tab/>
        <w:t>broda</w:t>
      </w:r>
      <w:r>
        <w:tab/>
        <w:t>is-1; 1st assignable pro-bridi</w:t>
      </w:r>
    </w:p>
    <w:p w:rsidR="00B72047" w:rsidRDefault="00B72047" w:rsidP="007E67C1">
      <w:pPr>
        <w:pStyle w:val="Listnobullcontinued"/>
        <w:numPr>
          <w:ilvl w:val="0"/>
          <w:numId w:val="0"/>
        </w:numPr>
        <w:ind w:left="864" w:hanging="504"/>
      </w:pPr>
      <w:r>
        <w:tab/>
        <w:t>brode</w:t>
      </w:r>
      <w:r>
        <w:tab/>
        <w:t>is-2; 2nd assignable pro-bridi</w:t>
      </w:r>
    </w:p>
    <w:p w:rsidR="00B72047" w:rsidRDefault="00B72047" w:rsidP="007E67C1">
      <w:pPr>
        <w:pStyle w:val="Listnobullcontinued"/>
        <w:numPr>
          <w:ilvl w:val="0"/>
          <w:numId w:val="0"/>
        </w:numPr>
        <w:ind w:left="864" w:hanging="504"/>
      </w:pPr>
      <w:r>
        <w:tab/>
        <w:t>brodi</w:t>
      </w:r>
      <w:r>
        <w:tab/>
      </w:r>
      <w:r>
        <w:tab/>
        <w:t>is-3; 3rd assignable pro-bridi</w:t>
      </w:r>
    </w:p>
    <w:p w:rsidR="00B72047" w:rsidRDefault="00B72047" w:rsidP="007E67C1">
      <w:pPr>
        <w:pStyle w:val="Listnobullcontinued"/>
        <w:numPr>
          <w:ilvl w:val="0"/>
          <w:numId w:val="0"/>
        </w:numPr>
        <w:ind w:left="864" w:hanging="504"/>
      </w:pPr>
      <w:r>
        <w:tab/>
        <w:t>brodo</w:t>
      </w:r>
      <w:r>
        <w:tab/>
        <w:t>is-4; 4th assignable pro-bridi</w:t>
      </w:r>
    </w:p>
    <w:p w:rsidR="00B72047" w:rsidRDefault="00B72047" w:rsidP="007E67C1">
      <w:pPr>
        <w:pStyle w:val="Listnobullcontinued"/>
        <w:numPr>
          <w:ilvl w:val="0"/>
          <w:numId w:val="0"/>
        </w:numPr>
        <w:ind w:left="864" w:hanging="504"/>
      </w:pPr>
      <w:r>
        <w:tab/>
        <w:t>brodu</w:t>
      </w:r>
      <w:r>
        <w:tab/>
        <w:t>is-5; 5th assignable pro-bridi</w:t>
      </w:r>
    </w:p>
    <w:p w:rsidR="00B72047" w:rsidRDefault="00B72047" w:rsidP="007E67C1">
      <w:pPr>
        <w:pStyle w:val="Listnobullets"/>
        <w:numPr>
          <w:ilvl w:val="0"/>
          <w:numId w:val="0"/>
        </w:numPr>
        <w:ind w:left="864" w:hanging="504"/>
      </w:pPr>
      <w:r>
        <w:rPr>
          <w:rStyle w:val="htmlcodes"/>
        </w:rPr>
        <w:t>&lt;/dl&gt;</w:t>
      </w:r>
      <w:r>
        <w:rPr>
          <w:rStyle w:val="indexentry"/>
        </w:rPr>
        <w:t>&lt;cx "pro-bridi, go'i-series list"&gt;</w:t>
      </w:r>
      <w:r>
        <w:rPr>
          <w:rStyle w:val="indexentry"/>
        </w:rPr>
        <w:fldChar w:fldCharType="begin"/>
      </w:r>
      <w:r>
        <w:instrText>xe "</w:instrText>
      </w:r>
      <w:r>
        <w:rPr>
          <w:rStyle w:val="xeentry"/>
        </w:rPr>
        <w:instrText>pro-bridi: go'i-series list</w:instrText>
      </w:r>
      <w:r>
        <w:instrText>"</w:instrText>
      </w:r>
      <w:r>
        <w:rPr>
          <w:rStyle w:val="indexentry"/>
        </w:rPr>
        <w:fldChar w:fldCharType="end"/>
      </w:r>
      <w:r>
        <w:rPr>
          <w:rStyle w:val="htmlcodes"/>
        </w:rPr>
        <w:t>&lt;dl compact&gt;&lt;dt&gt;</w:t>
      </w:r>
      <w:r>
        <w:tab/>
      </w:r>
      <w:r>
        <w:tab/>
      </w:r>
      <w:r>
        <w:rPr>
          <w:rStyle w:val="htmlcodes"/>
        </w:rPr>
        <w:t>&lt;dd&gt;</w:t>
      </w:r>
      <w:r>
        <w:t>go'i-series:</w:t>
      </w:r>
    </w:p>
    <w:p w:rsidR="00B72047" w:rsidRDefault="00B72047" w:rsidP="007E67C1">
      <w:pPr>
        <w:pStyle w:val="Listnobullcontinued"/>
        <w:numPr>
          <w:ilvl w:val="0"/>
          <w:numId w:val="0"/>
        </w:numPr>
        <w:ind w:left="864" w:hanging="504"/>
      </w:pPr>
      <w:r>
        <w:tab/>
        <w:t>go'i</w:t>
      </w:r>
      <w:r>
        <w:tab/>
      </w:r>
      <w:r>
        <w:tab/>
        <w:t>(repeats the last bridi)</w:t>
      </w:r>
    </w:p>
    <w:p w:rsidR="00B72047" w:rsidRDefault="00B72047" w:rsidP="007E67C1">
      <w:pPr>
        <w:pStyle w:val="Listnobullcontinued"/>
        <w:numPr>
          <w:ilvl w:val="0"/>
          <w:numId w:val="0"/>
        </w:numPr>
        <w:ind w:left="864" w:hanging="504"/>
      </w:pPr>
      <w:r>
        <w:tab/>
        <w:t>go'a</w:t>
      </w:r>
      <w:r>
        <w:tab/>
      </w:r>
      <w:r>
        <w:tab/>
        <w:t>(repeats a previous bridi)</w:t>
      </w:r>
    </w:p>
    <w:p w:rsidR="00B72047" w:rsidRDefault="00B72047" w:rsidP="007E67C1">
      <w:pPr>
        <w:pStyle w:val="Listnobullcontinued"/>
        <w:numPr>
          <w:ilvl w:val="0"/>
          <w:numId w:val="0"/>
        </w:numPr>
        <w:ind w:left="864" w:hanging="504"/>
      </w:pPr>
      <w:r>
        <w:tab/>
        <w:t>go'u</w:t>
      </w:r>
      <w:r>
        <w:tab/>
      </w:r>
      <w:r>
        <w:tab/>
        <w:t>(repeats a long-ago bridi)</w:t>
      </w:r>
    </w:p>
    <w:p w:rsidR="00B72047" w:rsidRDefault="00B72047" w:rsidP="007E67C1">
      <w:pPr>
        <w:pStyle w:val="Listnobullcontinued"/>
        <w:numPr>
          <w:ilvl w:val="0"/>
          <w:numId w:val="0"/>
        </w:numPr>
        <w:ind w:left="864" w:hanging="504"/>
      </w:pPr>
      <w:r>
        <w:tab/>
        <w:t>go'e</w:t>
      </w:r>
      <w:r>
        <w:tab/>
      </w:r>
      <w:r>
        <w:tab/>
        <w:t>(repeats the last-but-one bridi)</w:t>
      </w:r>
    </w:p>
    <w:p w:rsidR="00B72047" w:rsidRDefault="00B72047" w:rsidP="007E67C1">
      <w:pPr>
        <w:pStyle w:val="Listnobullcontinued"/>
        <w:numPr>
          <w:ilvl w:val="0"/>
          <w:numId w:val="0"/>
        </w:numPr>
        <w:ind w:left="864" w:hanging="504"/>
      </w:pPr>
      <w:r>
        <w:tab/>
        <w:t>go'o</w:t>
      </w:r>
      <w:r>
        <w:tab/>
      </w:r>
      <w:r>
        <w:tab/>
        <w:t>(repeats a future bridi)</w:t>
      </w:r>
    </w:p>
    <w:p w:rsidR="00B72047" w:rsidRDefault="00B72047" w:rsidP="007E67C1">
      <w:pPr>
        <w:pStyle w:val="Listnobullcontinued"/>
        <w:numPr>
          <w:ilvl w:val="0"/>
          <w:numId w:val="0"/>
        </w:numPr>
        <w:ind w:left="864" w:hanging="504"/>
      </w:pPr>
      <w:r>
        <w:tab/>
        <w:t>nei</w:t>
      </w:r>
      <w:r>
        <w:tab/>
      </w:r>
      <w:r>
        <w:tab/>
        <w:t>(repeats the current bridi)</w:t>
      </w:r>
    </w:p>
    <w:p w:rsidR="00B72047" w:rsidRDefault="00B72047" w:rsidP="007E67C1">
      <w:pPr>
        <w:pStyle w:val="Listnobullcontinued"/>
        <w:numPr>
          <w:ilvl w:val="0"/>
          <w:numId w:val="0"/>
        </w:numPr>
        <w:ind w:left="864" w:hanging="504"/>
      </w:pPr>
      <w:r>
        <w:tab/>
        <w:t>no'a</w:t>
      </w:r>
      <w:r>
        <w:tab/>
      </w:r>
      <w:r>
        <w:tab/>
        <w:t>(repeats the next outer bridi)</w:t>
      </w:r>
    </w:p>
    <w:p w:rsidR="00B72047" w:rsidRDefault="00B72047" w:rsidP="007E67C1">
      <w:pPr>
        <w:pStyle w:val="Listnobullets"/>
        <w:numPr>
          <w:ilvl w:val="0"/>
          <w:numId w:val="0"/>
        </w:numPr>
        <w:ind w:left="864" w:hanging="504"/>
      </w:pPr>
      <w:r>
        <w:rPr>
          <w:rStyle w:val="htmlcodes"/>
        </w:rPr>
        <w:t>&lt;/dl&gt;</w:t>
      </w:r>
      <w:r>
        <w:rPr>
          <w:rStyle w:val="indexentry"/>
        </w:rPr>
        <w:t>&lt;cx "pro-bridi, bu'a-series list"&gt;</w:t>
      </w:r>
      <w:r>
        <w:rPr>
          <w:rStyle w:val="indexentry"/>
        </w:rPr>
        <w:fldChar w:fldCharType="begin"/>
      </w:r>
      <w:r>
        <w:instrText>xe "</w:instrText>
      </w:r>
      <w:r>
        <w:rPr>
          <w:rStyle w:val="xeentry"/>
        </w:rPr>
        <w:instrText>pro-bridi: bu'a-series list</w:instrText>
      </w:r>
      <w:r>
        <w:instrText>"</w:instrText>
      </w:r>
      <w:r>
        <w:rPr>
          <w:rStyle w:val="indexentry"/>
        </w:rPr>
        <w:fldChar w:fldCharType="end"/>
      </w:r>
      <w:r>
        <w:rPr>
          <w:rStyle w:val="htmlcodes"/>
        </w:rPr>
        <w:t>&lt;dl compact&gt;&lt;dt&gt;</w:t>
      </w:r>
      <w:r>
        <w:tab/>
      </w:r>
      <w:r>
        <w:tab/>
      </w:r>
      <w:r>
        <w:rPr>
          <w:rStyle w:val="htmlcodes"/>
        </w:rPr>
        <w:t>&lt;dd&gt;</w:t>
      </w:r>
      <w:r>
        <w:t>bu'a-series:</w:t>
      </w:r>
    </w:p>
    <w:p w:rsidR="00B72047" w:rsidRDefault="00B72047" w:rsidP="007E67C1">
      <w:pPr>
        <w:pStyle w:val="Listnobullcontinued"/>
        <w:numPr>
          <w:ilvl w:val="0"/>
          <w:numId w:val="0"/>
        </w:numPr>
        <w:ind w:left="864" w:hanging="504"/>
      </w:pPr>
      <w:r>
        <w:tab/>
        <w:t>bu'a</w:t>
      </w:r>
      <w:r>
        <w:tab/>
      </w:r>
      <w:r>
        <w:tab/>
        <w:t>some-predicate-1 (rafsi:  “bul”)</w:t>
      </w:r>
    </w:p>
    <w:p w:rsidR="00B72047" w:rsidRDefault="00B72047" w:rsidP="007E67C1">
      <w:pPr>
        <w:pStyle w:val="Listnobullcontinued"/>
        <w:numPr>
          <w:ilvl w:val="0"/>
          <w:numId w:val="0"/>
        </w:numPr>
        <w:ind w:left="864" w:hanging="504"/>
      </w:pPr>
      <w:r>
        <w:tab/>
        <w:t>bu'e</w:t>
      </w:r>
      <w:r>
        <w:tab/>
      </w:r>
      <w:r>
        <w:tab/>
        <w:t>some-predicate-2</w:t>
      </w:r>
    </w:p>
    <w:p w:rsidR="00B72047" w:rsidRDefault="00B72047" w:rsidP="007E67C1">
      <w:pPr>
        <w:pStyle w:val="Listnobullcontinued"/>
        <w:numPr>
          <w:ilvl w:val="0"/>
          <w:numId w:val="0"/>
        </w:numPr>
        <w:ind w:left="864" w:hanging="504"/>
      </w:pPr>
      <w:r>
        <w:tab/>
        <w:t>bu'i</w:t>
      </w:r>
      <w:r>
        <w:tab/>
      </w:r>
      <w:r>
        <w:tab/>
        <w:t>some-predicate-3</w:t>
      </w:r>
    </w:p>
    <w:p w:rsidR="00B72047" w:rsidRDefault="00B72047" w:rsidP="007E67C1">
      <w:pPr>
        <w:pStyle w:val="Listnobullets"/>
        <w:numPr>
          <w:ilvl w:val="0"/>
          <w:numId w:val="0"/>
        </w:numPr>
        <w:ind w:left="864" w:hanging="504"/>
      </w:pPr>
      <w:r>
        <w:rPr>
          <w:rStyle w:val="htmlcodes"/>
        </w:rPr>
        <w:t>&lt;/dl&gt;</w:t>
      </w:r>
      <w:r>
        <w:rPr>
          <w:rStyle w:val="indexentry"/>
        </w:rPr>
        <w:t>&lt;cx "pro-bridi, miscellaneous list"&gt;</w:t>
      </w:r>
      <w:r>
        <w:rPr>
          <w:rStyle w:val="indexentry"/>
        </w:rPr>
        <w:fldChar w:fldCharType="begin"/>
      </w:r>
      <w:r>
        <w:instrText>xe "</w:instrText>
      </w:r>
      <w:r>
        <w:rPr>
          <w:rStyle w:val="xeentry"/>
        </w:rPr>
        <w:instrText>pro-bridi: miscellaneous list</w:instrText>
      </w:r>
      <w:r>
        <w:instrText>"</w:instrText>
      </w:r>
      <w:r>
        <w:rPr>
          <w:rStyle w:val="indexentry"/>
        </w:rPr>
        <w:fldChar w:fldCharType="end"/>
      </w:r>
      <w:r>
        <w:rPr>
          <w:rStyle w:val="htmlcodes"/>
        </w:rPr>
        <w:t>&lt;dl compact&gt;&lt;dt&gt;</w:t>
      </w:r>
      <w:r>
        <w:tab/>
      </w:r>
      <w:r>
        <w:tab/>
      </w:r>
      <w:r>
        <w:rPr>
          <w:rStyle w:val="htmlcodes"/>
        </w:rPr>
        <w:t>&lt;dd&gt;</w:t>
      </w:r>
      <w:r>
        <w:t>others:</w:t>
      </w:r>
    </w:p>
    <w:p w:rsidR="00B72047" w:rsidRDefault="00B72047" w:rsidP="007E67C1">
      <w:pPr>
        <w:pStyle w:val="Listnobullcontinued"/>
        <w:numPr>
          <w:ilvl w:val="0"/>
          <w:numId w:val="0"/>
        </w:numPr>
        <w:ind w:left="864" w:hanging="504"/>
      </w:pPr>
      <w:r>
        <w:tab/>
        <w:t>co'e</w:t>
      </w:r>
      <w:r>
        <w:tab/>
      </w:r>
      <w:r>
        <w:tab/>
        <w:t>has the obvious relationship  (rafsi:  “com”/“co'e”)</w:t>
      </w:r>
    </w:p>
    <w:p w:rsidR="00B72047" w:rsidRDefault="00B72047" w:rsidP="007E67C1">
      <w:pPr>
        <w:pStyle w:val="Listnobullcontinued"/>
        <w:numPr>
          <w:ilvl w:val="0"/>
          <w:numId w:val="0"/>
        </w:numPr>
        <w:ind w:left="864" w:hanging="504"/>
      </w:pPr>
      <w:r>
        <w:tab/>
        <w:t>mo</w:t>
      </w:r>
      <w:r>
        <w:tab/>
      </w:r>
      <w:r>
        <w:tab/>
        <w:t>bridi question</w:t>
      </w:r>
    </w:p>
    <w:p w:rsidR="00B72047" w:rsidRDefault="00B72047" w:rsidP="007E67C1">
      <w:pPr>
        <w:pStyle w:val="Listnobullcontinued"/>
        <w:numPr>
          <w:ilvl w:val="0"/>
          <w:numId w:val="0"/>
        </w:numPr>
        <w:ind w:left="864" w:hanging="504"/>
      </w:pPr>
      <w:r>
        <w:tab/>
        <w:t>du</w:t>
      </w:r>
      <w:r>
        <w:tab/>
      </w:r>
      <w:r>
        <w:tab/>
        <w:t>identity:  x1 is identical to x2, x3 </w:t>
      </w:r>
      <w:r>
        <w:rPr>
          <w:rStyle w:val="htmlcodes"/>
        </w:rPr>
        <w:t>&lt;dots&gt;</w:t>
      </w:r>
      <w:r>
        <w:t>…</w:t>
      </w:r>
      <w:r>
        <w:rPr>
          <w:rStyle w:val="htmlcodes"/>
        </w:rPr>
        <w:t>&lt;/dots&gt;</w:t>
      </w:r>
      <w:r>
        <w:rPr>
          <w:rStyle w:val="htmlcodes"/>
          <w:vanish w:val="0"/>
        </w:rPr>
        <w:t xml:space="preserve"> </w:t>
      </w:r>
      <w:r>
        <w:t>(rafsi:  “dub”/“du'o”)</w:t>
      </w:r>
    </w:p>
    <w:p w:rsidR="00B72047" w:rsidRDefault="00B72047">
      <w:pPr>
        <w:pStyle w:val="Heading3"/>
        <w:rPr>
          <w:rStyle w:val="Heading3Text"/>
        </w:rPr>
      </w:pPr>
      <w:r>
        <w:rPr>
          <w:rStyle w:val="htmlcodes"/>
        </w:rPr>
        <w:t>&lt;/dl&gt;&lt;a name=s18&gt;&lt;h3&gt;</w:t>
      </w:r>
      <w:bookmarkStart w:id="292" w:name="_Toc398970540"/>
      <w:r>
        <w:rPr>
          <w:rStyle w:val="Heading3Text"/>
        </w:rPr>
        <w:t>Other cmavo discussed in this chapter</w:t>
      </w:r>
      <w:bookmarkEnd w:id="292"/>
      <w:r>
        <w:rPr>
          <w:rStyle w:val="htmlcodes"/>
        </w:rPr>
        <w:t>&lt;/h3&gt;</w:t>
      </w:r>
    </w:p>
    <w:p w:rsidR="00B72047" w:rsidRDefault="00B72047">
      <w:pPr>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"pro-bridi, list of miscellaneous cmavo used with"&gt;</w:t>
      </w:r>
      <w:r>
        <w:rPr>
          <w:rStyle w:val="indexentry"/>
        </w:rPr>
        <w:fldChar w:fldCharType="begin"/>
      </w:r>
      <w:r>
        <w:instrText>xe "</w:instrText>
      </w:r>
      <w:r>
        <w:rPr>
          <w:rStyle w:val="xeentry"/>
        </w:rPr>
        <w:instrText>pro-bridi: list of miscellaneous cmavo used with</w:instrText>
      </w:r>
      <w:r>
        <w:instrText>"</w:instrText>
      </w:r>
      <w:r>
        <w:rPr>
          <w:rStyle w:val="indexentry"/>
        </w:rPr>
        <w:fldChar w:fldCharType="end"/>
      </w:r>
      <w:r>
        <w:rPr>
          <w:rStyle w:val="indexentry"/>
        </w:rPr>
        <w:t>&lt;cx "pro-sumti, list of miscellaneous cmavo used with"&gt;</w:t>
      </w:r>
      <w:r>
        <w:rPr>
          <w:rStyle w:val="indexentry"/>
        </w:rPr>
        <w:fldChar w:fldCharType="begin"/>
      </w:r>
      <w:r>
        <w:instrText>xe "</w:instrText>
      </w:r>
      <w:r>
        <w:rPr>
          <w:rStyle w:val="xeentry"/>
        </w:rPr>
        <w:instrText>pro-sumti: list of miscellaneous cmavo used with</w:instrText>
      </w:r>
      <w:r>
        <w:instrText>"</w:instrText>
      </w:r>
      <w:r>
        <w:rPr>
          <w:rStyle w:val="indexentry"/>
        </w:rPr>
        <w:fldChar w:fldCharType="end"/>
      </w:r>
      <w:r>
        <w:rPr>
          <w:rStyle w:val="htmlcodes"/>
        </w:rPr>
        <w:t>&lt;pre&gt;</w:t>
      </w:r>
      <w:r>
        <w:t xml:space="preserve"> </w:t>
      </w:r>
      <w:r>
        <w:tab/>
        <w:t>goi</w:t>
      </w:r>
      <w:r>
        <w:tab/>
        <w:t>GOI</w:t>
      </w:r>
      <w:r>
        <w:tab/>
        <w:t>pro-sumti assignment (ko'a-series)</w:t>
      </w:r>
    </w:p>
    <w:p w:rsidR="00B72047" w:rsidRDefault="00B72047" w:rsidP="007E67C1">
      <w:pPr>
        <w:pStyle w:val="Listnobullcontinued"/>
        <w:numPr>
          <w:ilvl w:val="0"/>
          <w:numId w:val="0"/>
        </w:numPr>
        <w:ind w:left="864" w:hanging="504"/>
      </w:pPr>
      <w:r>
        <w:tab/>
        <w:t>cei</w:t>
      </w:r>
      <w:r>
        <w:tab/>
        <w:t>CEI</w:t>
      </w:r>
      <w:r>
        <w:tab/>
        <w:t>pro-bridi assignment (broda-series)</w:t>
      </w:r>
    </w:p>
    <w:p w:rsidR="00B72047" w:rsidRDefault="00B72047" w:rsidP="007E67C1">
      <w:pPr>
        <w:pStyle w:val="Listnobullcontinued"/>
        <w:numPr>
          <w:ilvl w:val="0"/>
          <w:numId w:val="0"/>
        </w:numPr>
        <w:ind w:left="864" w:hanging="504"/>
      </w:pPr>
      <w:r>
        <w:tab/>
        <w:t>ra'o</w:t>
      </w:r>
      <w:r>
        <w:tab/>
        <w:t>RAhO</w:t>
      </w:r>
      <w:r>
        <w:tab/>
        <w:t>pro-sumti/pro-bridi update</w:t>
      </w:r>
    </w:p>
    <w:p w:rsidR="00B72047" w:rsidRDefault="00B72047" w:rsidP="007E67C1">
      <w:pPr>
        <w:pStyle w:val="Listnobullcontinued"/>
        <w:numPr>
          <w:ilvl w:val="0"/>
          <w:numId w:val="0"/>
        </w:numPr>
        <w:ind w:left="864" w:hanging="504"/>
      </w:pPr>
      <w:r>
        <w:tab/>
        <w:t>soi</w:t>
      </w:r>
      <w:r>
        <w:tab/>
        <w:t>SOI</w:t>
      </w:r>
      <w:r>
        <w:tab/>
        <w:t>reciprocity</w:t>
      </w:r>
    </w:p>
    <w:p w:rsidR="00B72047" w:rsidRDefault="00B72047" w:rsidP="007E67C1">
      <w:pPr>
        <w:pStyle w:val="Listnobullcontinued"/>
        <w:numPr>
          <w:ilvl w:val="0"/>
          <w:numId w:val="0"/>
        </w:numPr>
        <w:ind w:left="864" w:hanging="504"/>
      </w:pPr>
      <w:r>
        <w:tab/>
        <w:t>se'u</w:t>
      </w:r>
      <w:r>
        <w:tab/>
        <w:t>SEhU</w:t>
      </w:r>
      <w:r>
        <w:tab/>
        <w:t>soi terminator</w:t>
      </w:r>
    </w:p>
    <w:p w:rsidR="00B72047" w:rsidRDefault="00B72047" w:rsidP="007E67C1">
      <w:pPr>
        <w:pStyle w:val="Listnobullcontinued"/>
        <w:numPr>
          <w:ilvl w:val="0"/>
          <w:numId w:val="0"/>
        </w:numPr>
        <w:ind w:left="864" w:hanging="504"/>
      </w:pPr>
      <w:r>
        <w:tab/>
        <w:t>da'o</w:t>
      </w:r>
      <w:r>
        <w:tab/>
        <w:t>DAhO</w:t>
      </w:r>
      <w:r>
        <w:tab/>
        <w:t>cancel all pro-sumti/pro-bridi</w:t>
      </w:r>
    </w:p>
    <w:p w:rsidR="00B72047" w:rsidRDefault="00B72047">
      <w:pPr>
        <w:pStyle w:val="resumedafterexample"/>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rPr>
          <w:rStyle w:val="htmlcodes"/>
        </w:rPr>
      </w:pPr>
      <w:r>
        <w:rPr>
          <w:rStyle w:val="htmlcodes"/>
        </w:rPr>
        <w:t>&lt;img src=chap8.gif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2" type="#_x0000_t75" style="width:356.25pt;height:547.5pt">
            <v:imagedata r:id="rId26" o:title="" croptop="-26474f" cropbottom="-26474f" cropleft="-6323f" cropright="-6323f"/>
          </v:shape>
        </w:pict>
      </w:r>
    </w:p>
    <w:p w:rsidR="00B72047" w:rsidRDefault="00B72047">
      <w:pPr>
        <w:pStyle w:val="Heading2"/>
      </w:pPr>
      <w:r>
        <w:rPr>
          <w:rStyle w:val="htmlcodes"/>
        </w:rPr>
        <w:t>&lt;h2&gt;</w:t>
      </w:r>
      <w:bookmarkStart w:id="293" w:name="_Toc395684289"/>
      <w:bookmarkStart w:id="294" w:name="_Toc398970541"/>
      <w:r>
        <w:t>Chapter 8</w:t>
      </w:r>
      <w:bookmarkEnd w:id="293"/>
      <w:bookmarkEnd w:id="294"/>
    </w:p>
    <w:p w:rsidR="00B72047" w:rsidRDefault="00B72047">
      <w:pPr>
        <w:pStyle w:val="Heading2"/>
        <w:rPr>
          <w:rStyle w:val="htmlcodes"/>
        </w:rPr>
      </w:pPr>
      <w:r>
        <w:rPr>
          <w:rStyle w:val="htmlcodes"/>
        </w:rPr>
        <w:t>&lt;br&gt;</w:t>
      </w:r>
    </w:p>
    <w:p w:rsidR="00B72047" w:rsidRDefault="00B72047">
      <w:pPr>
        <w:pStyle w:val="Heading2"/>
      </w:pPr>
      <w:bookmarkStart w:id="295" w:name="_Toc398970542"/>
      <w:r>
        <w:t>Relative Clauses, Which Make sumti Even More Complicated</w:t>
      </w:r>
      <w:bookmarkEnd w:id="295"/>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296" w:name="_Toc398970543"/>
      <w:r>
        <w:rPr>
          <w:rStyle w:val="Heading3Text"/>
        </w:rPr>
        <w:t>What are you pointing at?</w:t>
      </w:r>
      <w:bookmarkEnd w:id="29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poi</w:t>
      </w:r>
      <w:r>
        <w:tab/>
        <w:t>NOI</w:t>
      </w:r>
      <w:r>
        <w:tab/>
        <w:t>restrictive relative clause introducer</w:t>
      </w:r>
    </w:p>
    <w:p w:rsidR="00B72047" w:rsidRDefault="00B72047">
      <w:pPr>
        <w:pStyle w:val="examplescaled"/>
      </w:pPr>
      <w:r>
        <w:tab/>
        <w:t>ke'a</w:t>
      </w:r>
      <w:r>
        <w:tab/>
        <w:t>GOhA</w:t>
      </w:r>
      <w:r>
        <w:tab/>
        <w:t>relative pro-sumti</w:t>
      </w:r>
    </w:p>
    <w:p w:rsidR="00B72047" w:rsidRDefault="00B72047">
      <w:pPr>
        <w:pStyle w:val="examplescaled"/>
      </w:pPr>
      <w:r>
        <w:tab/>
        <w:t>ku'o</w:t>
      </w:r>
      <w:r>
        <w:tab/>
        <w:t>KUhO</w:t>
      </w:r>
      <w:r>
        <w:tab/>
        <w:t>relative clause terminator</w:t>
      </w:r>
    </w:p>
    <w:p w:rsidR="00B72047" w:rsidRDefault="00B72047">
      <w:pPr>
        <w:pStyle w:val="normalafterexample"/>
      </w:pPr>
      <w:r>
        <w:rPr>
          <w:rStyle w:val="htmlcodes"/>
        </w:rPr>
        <w:t>&lt;/pre&gt;</w:t>
      </w:r>
      <w:r>
        <w:rPr>
          <w:rStyle w:val="indexentry"/>
        </w:rPr>
        <w:t>&lt;lx "ti"&gt;</w:t>
      </w:r>
      <w:r>
        <w:rPr>
          <w:rStyle w:val="indexentry"/>
        </w:rPr>
        <w:fldChar w:fldCharType="begin"/>
      </w:r>
      <w:r>
        <w:instrText>xe "</w:instrText>
      </w:r>
      <w:r>
        <w:rPr>
          <w:rStyle w:val="xeentry"/>
        </w:rPr>
        <w:instrText>ti</w:instrText>
      </w:r>
      <w:r>
        <w:instrText>"</w:instrText>
      </w:r>
      <w:r>
        <w:rPr>
          <w:rStyle w:val="indexentry"/>
        </w:rPr>
        <w:fldChar w:fldCharType="end"/>
      </w:r>
      <w:r>
        <w:rPr>
          <w:rStyle w:val="indexentry"/>
        </w:rPr>
        <w:t>&lt;lx "ta"&gt;</w:t>
      </w:r>
      <w:r>
        <w:rPr>
          <w:rStyle w:val="indexentry"/>
        </w:rPr>
        <w:fldChar w:fldCharType="begin"/>
      </w:r>
      <w:r>
        <w:instrText>xe "</w:instrText>
      </w:r>
      <w:r>
        <w:rPr>
          <w:rStyle w:val="xeentry"/>
        </w:rPr>
        <w:instrText>ta</w:instrText>
      </w:r>
      <w:r>
        <w:instrText>"</w:instrText>
      </w:r>
      <w:r>
        <w:rPr>
          <w:rStyle w:val="indexentry"/>
        </w:rPr>
        <w:fldChar w:fldCharType="end"/>
      </w:r>
      <w:r>
        <w:rPr>
          <w:rStyle w:val="indexentry"/>
        </w:rPr>
        <w:t>&lt;lx "tu"&gt;</w:t>
      </w:r>
      <w:r>
        <w:rPr>
          <w:rStyle w:val="indexentry"/>
        </w:rPr>
        <w:fldChar w:fldCharType="begin"/>
      </w:r>
      <w:r>
        <w:instrText>xe "</w:instrText>
      </w:r>
      <w:r>
        <w:rPr>
          <w:rStyle w:val="xeentry"/>
        </w:rPr>
        <w:instrText>tu</w:instrText>
      </w:r>
      <w:r>
        <w:instrText>"</w:instrText>
      </w:r>
      <w:r>
        <w:rPr>
          <w:rStyle w:val="indexentry"/>
        </w:rPr>
        <w:fldChar w:fldCharType="end"/>
      </w:r>
      <w:r>
        <w:t>Let us think about the problem of communicating what it is that we are</w:t>
      </w:r>
      <w:r>
        <w:rPr>
          <w:rStyle w:val="deletedparamark"/>
        </w:rPr>
        <w:t xml:space="preserve"> </w:t>
      </w:r>
      <w:r>
        <w:t>point</w:t>
      </w:r>
      <w:r>
        <w:softHyphen/>
        <w:t>ing at when we are pointing at something. In Lojban, we can refer</w:t>
      </w:r>
      <w:r>
        <w:rPr>
          <w:rStyle w:val="deletedparamark"/>
        </w:rPr>
        <w:t xml:space="preserve"> </w:t>
      </w:r>
      <w:r>
        <w:t>to what we are pointing at by using the pro-sumti “ti” if it is nearby,</w:t>
      </w:r>
      <w:r>
        <w:rPr>
          <w:rStyle w:val="deletedparamark"/>
        </w:rPr>
        <w:t xml:space="preserve"> </w:t>
      </w:r>
      <w:r>
        <w:t>or “ta” if it is somewhat further away, or “tu” if it is distant.</w:t>
      </w:r>
      <w:r>
        <w:rPr>
          <w:rStyle w:val="deletedparamark"/>
        </w:rPr>
        <w:t xml:space="preserve"> </w:t>
      </w:r>
      <w:r>
        <w:t xml:space="preserve">(Pro-sumti are explained in full in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"reference, ambiguity of ti/ta/tu"&gt;</w:t>
      </w:r>
      <w:r>
        <w:rPr>
          <w:rStyle w:val="indexentry"/>
        </w:rPr>
        <w:fldChar w:fldCharType="begin"/>
      </w:r>
      <w:r>
        <w:instrText>xe "</w:instrText>
      </w:r>
      <w:r>
        <w:rPr>
          <w:rStyle w:val="xeentry"/>
        </w:rPr>
        <w:instrText>reference: ambiguity of ti/ta/tu</w:instrText>
      </w:r>
      <w:r>
        <w:instrText>"</w:instrText>
      </w:r>
      <w:r>
        <w:rPr>
          <w:rStyle w:val="indexentry"/>
        </w:rPr>
        <w:fldChar w:fldCharType="end"/>
      </w:r>
      <w:r>
        <w:t>However, even with the assistance of a pointing finger, or pointing lips,</w:t>
      </w:r>
      <w:r>
        <w:rPr>
          <w:rStyle w:val="deletedparamark"/>
        </w:rPr>
        <w:t xml:space="preserve"> </w:t>
      </w:r>
      <w:r>
        <w:t>or whatever may be appropriate in the local culture, it is often hard for</w:t>
      </w:r>
      <w:r>
        <w:rPr>
          <w:rStyle w:val="deletedparamark"/>
        </w:rPr>
        <w:t xml:space="preserve"> </w:t>
      </w:r>
      <w:r>
        <w:t>a listener to tell just what is being pointed at. Suppose one is pointing</w:t>
      </w:r>
      <w:r>
        <w:rPr>
          <w:rStyle w:val="deletedparamark"/>
        </w:rPr>
        <w:t xml:space="preserve"> </w:t>
      </w:r>
      <w:r>
        <w:t>at a person (in particular, in the direction of his or her face), and says: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ti cu barda</w:t>
      </w:r>
    </w:p>
    <w:p w:rsidR="00B72047" w:rsidRDefault="00B72047">
      <w:pPr>
        <w:pStyle w:val="examplescaled"/>
      </w:pPr>
      <w:r>
        <w:tab/>
        <w:t>This-one is-big.</w:t>
      </w:r>
    </w:p>
    <w:p w:rsidR="00B72047" w:rsidRDefault="00B72047">
      <w:pPr>
        <w:pStyle w:val="resumedafterexample"/>
      </w:pPr>
      <w:r>
        <w:rPr>
          <w:rStyle w:val="htmlcodes"/>
        </w:rPr>
        <w:t>&lt;/pre&gt;&lt;p&gt;</w:t>
      </w:r>
      <w:r>
        <w:t>What is the referent of “ti”? Is it the person? Or perhaps</w:t>
      </w:r>
      <w:r>
        <w:rPr>
          <w:rStyle w:val="deletedparamark"/>
        </w:rPr>
        <w:t xml:space="preserve"> </w:t>
      </w:r>
      <w:r>
        <w:t>it is the per</w:t>
      </w:r>
      <w:r>
        <w:softHyphen/>
        <w:t>son's nose? Or even (for “ti” can be plural</w:t>
      </w:r>
      <w:r>
        <w:rPr>
          <w:rStyle w:val="deletedparamark"/>
        </w:rPr>
        <w:t xml:space="preserve"> </w:t>
      </w:r>
      <w:r>
        <w:t>as well as singular, and mean “these ones” as well as “this</w:t>
      </w:r>
      <w:r>
        <w:rPr>
          <w:rStyle w:val="deletedparamark"/>
        </w:rPr>
        <w:t xml:space="preserve"> </w:t>
      </w:r>
      <w:r>
        <w:t>one”) the pores on the person's nose?</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 use for reference"&gt;</w:t>
      </w:r>
      <w:r>
        <w:rPr>
          <w:rStyle w:val="indexentry"/>
        </w:rPr>
        <w:fldChar w:fldCharType="begin"/>
      </w:r>
      <w:r>
        <w:instrText>xe "</w:instrText>
      </w:r>
      <w:r>
        <w:rPr>
          <w:rStyle w:val="xeentry"/>
        </w:rPr>
        <w:instrText>relative clause: use for reference</w:instrText>
      </w:r>
      <w:r>
        <w:instrText>"</w:instrText>
      </w:r>
      <w:r>
        <w:rPr>
          <w:rStyle w:val="indexentry"/>
        </w:rPr>
        <w:fldChar w:fldCharType="end"/>
      </w:r>
      <w:r>
        <w:rPr>
          <w:rStyle w:val="indexentry"/>
        </w:rPr>
        <w:t>&lt;cx "reference, use of relative clause for"&gt;</w:t>
      </w:r>
      <w:r>
        <w:rPr>
          <w:rStyle w:val="indexentry"/>
        </w:rPr>
        <w:fldChar w:fldCharType="begin"/>
      </w:r>
      <w:r>
        <w:instrText>xe "</w:instrText>
      </w:r>
      <w:r>
        <w:rPr>
          <w:rStyle w:val="xeentry"/>
        </w:rPr>
        <w:instrText>reference: use of relative clause for</w:instrText>
      </w:r>
      <w:r>
        <w:instrText>"</w:instrText>
      </w:r>
      <w:r>
        <w:rPr>
          <w:rStyle w:val="indexentry"/>
        </w:rPr>
        <w:fldChar w:fldCharType="end"/>
      </w:r>
      <w:r>
        <w:rPr>
          <w:rStyle w:val="indexentry"/>
        </w:rPr>
        <w:t>&lt;lx "NOI"&gt;</w:t>
      </w:r>
      <w:r>
        <w:rPr>
          <w:rStyle w:val="indexentry"/>
        </w:rPr>
        <w:fldChar w:fldCharType="begin"/>
      </w:r>
      <w:r>
        <w:instrText>xe "</w:instrText>
      </w:r>
      <w:r>
        <w:rPr>
          <w:rStyle w:val="xeentry"/>
        </w:rPr>
        <w:instrText>NOI selma’o</w:instrText>
      </w:r>
      <w:r>
        <w:instrText>"</w:instrText>
      </w:r>
      <w:r>
        <w:rPr>
          <w:rStyle w:val="indexentry"/>
        </w:rPr>
        <w:fldChar w:fldCharType="end"/>
      </w:r>
      <w:r>
        <w:rPr>
          <w:rStyle w:val="indexentry"/>
        </w:rPr>
        <w:t>&lt;lx "ku'o"&gt;</w:t>
      </w:r>
      <w:r>
        <w:rPr>
          <w:rStyle w:val="indexentry"/>
        </w:rPr>
        <w:fldChar w:fldCharType="begin"/>
      </w:r>
      <w:r>
        <w:instrText>xe "</w:instrText>
      </w:r>
      <w:r>
        <w:rPr>
          <w:rStyle w:val="xeentry"/>
        </w:rPr>
        <w:instrText>ku'o</w:instrText>
      </w:r>
      <w:r>
        <w:instrText>"</w:instrText>
      </w:r>
      <w:r>
        <w:rPr>
          <w:rStyle w:val="indexentry"/>
        </w:rPr>
        <w:fldChar w:fldCharType="end"/>
      </w:r>
      <w:r>
        <w:rPr>
          <w:rStyle w:val="indexentry"/>
        </w:rPr>
        <w:t>&lt;lx "KUhO"&gt;</w:t>
      </w:r>
      <w:r>
        <w:rPr>
          <w:rStyle w:val="indexentry"/>
        </w:rPr>
        <w:fldChar w:fldCharType="begin"/>
      </w:r>
      <w:r>
        <w:instrText>xe "</w:instrText>
      </w:r>
      <w:r>
        <w:rPr>
          <w:rStyle w:val="xeentry"/>
        </w:rPr>
        <w:instrText>KUhO selma’o</w:instrText>
      </w:r>
      <w:r>
        <w:instrText>"</w:instrText>
      </w:r>
      <w:r>
        <w:rPr>
          <w:rStyle w:val="indexentry"/>
        </w:rPr>
        <w:fldChar w:fldCharType="end"/>
      </w:r>
      <w:r>
        <w:rPr>
          <w:rStyle w:val="indexentry"/>
        </w:rPr>
        <w:t>&lt;lx "poi"&gt;</w:t>
      </w:r>
      <w:r>
        <w:rPr>
          <w:rStyle w:val="indexentry"/>
        </w:rPr>
        <w:fldChar w:fldCharType="begin"/>
      </w:r>
      <w:r>
        <w:instrText>xe "</w:instrText>
      </w:r>
      <w:r>
        <w:rPr>
          <w:rStyle w:val="xeentry"/>
        </w:rPr>
        <w:instrText>poi</w:instrText>
      </w:r>
      <w:r>
        <w:instrText>"</w:instrText>
      </w:r>
      <w:r>
        <w:rPr>
          <w:rStyle w:val="indexentry"/>
        </w:rPr>
        <w:fldChar w:fldCharType="end"/>
      </w:r>
      <w:r>
        <w:t>To help solve this problem, Lojban uses a construction</w:t>
      </w:r>
      <w:r>
        <w:rPr>
          <w:rStyle w:val="deletedparamark"/>
        </w:rPr>
        <w:t xml:space="preserve"> </w:t>
      </w:r>
      <w:r>
        <w:t>called a “relative clause”. Relative clauses are usually</w:t>
      </w:r>
      <w:r>
        <w:rPr>
          <w:rStyle w:val="deletedparamark"/>
        </w:rPr>
        <w:t xml:space="preserve"> </w:t>
      </w:r>
      <w:r>
        <w:t>attached to the end of sumti, but there are other places</w:t>
      </w:r>
      <w:r>
        <w:rPr>
          <w:rStyle w:val="deletedparamark"/>
        </w:rPr>
        <w:t xml:space="preserve"> </w:t>
      </w:r>
      <w:r>
        <w:t>where they can go as well, as ex</w:t>
      </w:r>
      <w:r>
        <w:softHyphen/>
        <w:t>plained later in this chapter.</w:t>
      </w:r>
      <w:r>
        <w:rPr>
          <w:rStyle w:val="deletedparamark"/>
        </w:rPr>
        <w:t xml:space="preserve"> </w:t>
      </w:r>
      <w:r>
        <w:t>A relative clause begins with a word of selma'o NOI, and</w:t>
      </w:r>
      <w:r>
        <w:rPr>
          <w:rStyle w:val="deletedparamark"/>
        </w:rPr>
        <w:t xml:space="preserve"> </w:t>
      </w:r>
      <w:r>
        <w:t>ends with the elidable terminator “ku'o” (of selma'o KUhO).</w:t>
      </w:r>
      <w:r>
        <w:rPr>
          <w:rStyle w:val="deletedparamark"/>
        </w:rPr>
        <w:t xml:space="preserve"> </w:t>
      </w:r>
      <w:r>
        <w:t>As you might suppose, “noi” is a cmavo of selma'o NOI;</w:t>
      </w:r>
      <w:r>
        <w:rPr>
          <w:rStyle w:val="deletedparamark"/>
        </w:rPr>
        <w:t xml:space="preserve"> </w:t>
      </w:r>
      <w:r>
        <w:t>however, first we will discuss the cmavo “poi”, which also</w:t>
      </w:r>
      <w:r>
        <w:rPr>
          <w:rStyle w:val="deletedparamark"/>
        </w:rPr>
        <w:t xml:space="preserve"> </w:t>
      </w:r>
      <w:r>
        <w:t>belongs to selma'o NOI.</w:t>
      </w:r>
    </w:p>
    <w:p w:rsidR="00B72047" w:rsidRDefault="00B72047">
      <w:pPr>
        <w:rPr>
          <w:rStyle w:val="htmlparacode"/>
        </w:rPr>
      </w:pPr>
      <w:r>
        <w:rPr>
          <w:rStyle w:val="htmlparacode"/>
        </w:rPr>
        <w:t>&lt;p&gt;</w:t>
      </w:r>
    </w:p>
    <w:p w:rsidR="00B72047" w:rsidRDefault="00B72047">
      <w:pPr>
        <w:pStyle w:val="normalparagraph"/>
      </w:pPr>
      <w:r>
        <w:rPr>
          <w:rStyle w:val="indexentry"/>
        </w:rPr>
        <w:t>&lt;cx "poi, syntax of"&gt;</w:t>
      </w:r>
      <w:r>
        <w:rPr>
          <w:rStyle w:val="indexentry"/>
        </w:rPr>
        <w:fldChar w:fldCharType="begin"/>
      </w:r>
      <w:r>
        <w:instrText>xe "</w:instrText>
      </w:r>
      <w:r>
        <w:rPr>
          <w:rStyle w:val="xeentry"/>
        </w:rPr>
        <w:instrText>poi: syntax of</w:instrText>
      </w:r>
      <w:r>
        <w:instrText>"</w:instrText>
      </w:r>
      <w:r>
        <w:rPr>
          <w:rStyle w:val="indexentry"/>
        </w:rPr>
        <w:fldChar w:fldCharType="end"/>
      </w:r>
      <w:r>
        <w:rPr>
          <w:rStyle w:val="indexentry"/>
        </w:rPr>
        <w:t>&lt;lx "ke'a"&gt;</w:t>
      </w:r>
      <w:r>
        <w:rPr>
          <w:rStyle w:val="indexentry"/>
        </w:rPr>
        <w:fldChar w:fldCharType="begin"/>
      </w:r>
      <w:r>
        <w:instrText>xe "</w:instrText>
      </w:r>
      <w:r>
        <w:rPr>
          <w:rStyle w:val="xeentry"/>
        </w:rPr>
        <w:instrText>ke'a</w:instrText>
      </w:r>
      <w:r>
        <w:instrText>"</w:instrText>
      </w:r>
      <w:r>
        <w:rPr>
          <w:rStyle w:val="indexentry"/>
        </w:rPr>
        <w:fldChar w:fldCharType="end"/>
      </w:r>
      <w:r>
        <w:rPr>
          <w:rStyle w:val="indexentry"/>
        </w:rPr>
        <w:t>&lt;cx "relativized sumti, definition"&gt;</w:t>
      </w:r>
      <w:r>
        <w:rPr>
          <w:rStyle w:val="indexentry"/>
        </w:rPr>
        <w:fldChar w:fldCharType="begin"/>
      </w:r>
      <w:r>
        <w:instrText>xe "</w:instrText>
      </w:r>
      <w:r>
        <w:rPr>
          <w:rStyle w:val="xeentry"/>
        </w:rPr>
        <w:instrText>relativized sumti: definition</w:instrText>
      </w:r>
      <w:r>
        <w:instrText>"</w:instrText>
      </w:r>
      <w:r>
        <w:rPr>
          <w:rStyle w:val="indexentry"/>
        </w:rPr>
        <w:fldChar w:fldCharType="end"/>
      </w:r>
      <w:r>
        <w:rPr>
          <w:rStyle w:val="indexentry"/>
        </w:rPr>
        <w:t>&lt;cx "reference, to relativized sumti with ke'a"&gt;</w:t>
      </w:r>
      <w:r>
        <w:rPr>
          <w:rStyle w:val="indexentry"/>
        </w:rPr>
        <w:fldChar w:fldCharType="begin"/>
      </w:r>
      <w:r>
        <w:instrText>xe "</w:instrText>
      </w:r>
      <w:r>
        <w:rPr>
          <w:rStyle w:val="xeentry"/>
        </w:rPr>
        <w:instrText>reference: to relativized sumti with ke'a</w:instrText>
      </w:r>
      <w:r>
        <w:instrText>"</w:instrText>
      </w:r>
      <w:r>
        <w:rPr>
          <w:rStyle w:val="indexentry"/>
        </w:rPr>
        <w:fldChar w:fldCharType="end"/>
      </w:r>
      <w:r>
        <w:rPr>
          <w:rStyle w:val="indexentry"/>
        </w:rPr>
        <w:t>&lt;cx "ke'a, as referent for relativized sumti"&gt;</w:t>
      </w:r>
      <w:r>
        <w:rPr>
          <w:rStyle w:val="indexentry"/>
        </w:rPr>
        <w:fldChar w:fldCharType="begin"/>
      </w:r>
      <w:r>
        <w:instrText>xe "</w:instrText>
      </w:r>
      <w:r>
        <w:rPr>
          <w:rStyle w:val="xeentry"/>
        </w:rPr>
        <w:instrText>ke'a: as referent for relativized sumti</w:instrText>
      </w:r>
      <w:r>
        <w:instrText>"</w:instrText>
      </w:r>
      <w:r>
        <w:rPr>
          <w:rStyle w:val="indexentry"/>
        </w:rPr>
        <w:fldChar w:fldCharType="end"/>
      </w:r>
      <w:r>
        <w:t>In between the “poi” and the “ku'o” appears a full bridi,</w:t>
      </w:r>
      <w:r>
        <w:rPr>
          <w:rStyle w:val="deletedparamark"/>
        </w:rPr>
        <w:t xml:space="preserve"> </w:t>
      </w:r>
      <w:r>
        <w:t>with the same syntax as any other bridi. Anywhere within</w:t>
      </w:r>
      <w:r>
        <w:rPr>
          <w:rStyle w:val="deletedparamark"/>
        </w:rPr>
        <w:t xml:space="preserve"> </w:t>
      </w:r>
      <w:r>
        <w:t>the bridi of a relative clause, the pro-sumti “ke'a” (of</w:t>
      </w:r>
      <w:r>
        <w:rPr>
          <w:rStyle w:val="deletedparamark"/>
        </w:rPr>
        <w:t xml:space="preserve"> </w:t>
      </w:r>
      <w:r>
        <w:t>se</w:t>
      </w:r>
      <w:r>
        <w:t>l</w:t>
      </w:r>
      <w:r>
        <w:softHyphen/>
        <w:t>ma'o KOhA) may be used, and it stands for the sumti</w:t>
      </w:r>
      <w:r>
        <w:rPr>
          <w:rStyle w:val="deletedparamark"/>
        </w:rPr>
        <w:t xml:space="preserve"> </w:t>
      </w:r>
      <w:r>
        <w:t>to which the relative clause is a</w:t>
      </w:r>
      <w:r>
        <w:t>t</w:t>
      </w:r>
      <w:r>
        <w:softHyphen/>
        <w:t>tached (called the</w:t>
      </w:r>
      <w:r>
        <w:rPr>
          <w:rStyle w:val="deletedparamark"/>
        </w:rPr>
        <w:t xml:space="preserve"> “</w:t>
      </w:r>
      <w:r>
        <w:t>relativized sumti”). Here are some</w:t>
      </w:r>
      <w:r>
        <w:rPr>
          <w:rStyle w:val="deletedparamark"/>
        </w:rPr>
        <w:t xml:space="preserve"> </w:t>
      </w:r>
      <w:r>
        <w:t>examples before we go any further:</w:t>
      </w:r>
    </w:p>
    <w:p w:rsidR="00B72047" w:rsidRDefault="00B72047">
      <w:pPr>
        <w:rPr>
          <w:rStyle w:val="htmlparacode"/>
        </w:rPr>
      </w:pPr>
      <w:r>
        <w:rPr>
          <w:rStyle w:val="htmlparacode"/>
        </w:rPr>
        <w:t>&lt;p&gt;</w:t>
      </w:r>
    </w:p>
    <w:p w:rsidR="00B72047" w:rsidRDefault="00B72047">
      <w:pPr>
        <w:pStyle w:val="examplescaledpre"/>
      </w:pPr>
      <w:r>
        <w:rPr>
          <w:rStyle w:val="indexentry"/>
        </w:rPr>
        <w:t>&lt;ex "big person"&gt;</w:t>
      </w:r>
      <w:r>
        <w:rPr>
          <w:rStyle w:val="indexentry"/>
        </w:rPr>
        <w:fldChar w:fldCharType="begin"/>
      </w:r>
      <w:r>
        <w:instrText>xe "</w:instrText>
      </w:r>
      <w:r>
        <w:rPr>
          <w:rStyle w:val="xeentry"/>
        </w:rPr>
        <w:instrText>big person: example</w:instrText>
      </w:r>
      <w:r>
        <w:instrText>"</w:instrText>
      </w:r>
      <w:r>
        <w:rPr>
          <w:rStyle w:val="indexentry"/>
        </w:rPr>
        <w:fldChar w:fldCharType="end"/>
      </w:r>
      <w:r>
        <w:rPr>
          <w:rStyle w:val="htmlcodes"/>
        </w:rPr>
        <w:t>&lt;pre&gt;&lt;a name=e1d2&gt;</w:t>
      </w:r>
      <w:r>
        <w:t>1.2)</w:t>
      </w:r>
      <w:r>
        <w:tab/>
        <w:t>ti poi ke'a prenu ku'o cu barda</w:t>
      </w:r>
    </w:p>
    <w:p w:rsidR="00B72047" w:rsidRDefault="00B72047">
      <w:pPr>
        <w:pStyle w:val="examplescaled"/>
      </w:pPr>
      <w:r>
        <w:tab/>
        <w:t>This-thing such-that-(IT is-a-person) is-large.</w:t>
      </w:r>
    </w:p>
    <w:p w:rsidR="00B72047" w:rsidRDefault="00B72047">
      <w:pPr>
        <w:pStyle w:val="examplescaled"/>
      </w:pPr>
      <w:r>
        <w:tab/>
        <w:t>This thing which is a person is big.</w:t>
      </w:r>
    </w:p>
    <w:p w:rsidR="00B72047" w:rsidRDefault="00B72047">
      <w:pPr>
        <w:pStyle w:val="examplescaled"/>
      </w:pPr>
      <w:r>
        <w:tab/>
        <w:t>This person is big.</w:t>
      </w:r>
    </w:p>
    <w:p w:rsidR="00B72047" w:rsidRDefault="00B72047">
      <w:pPr>
        <w:pStyle w:val="examplescaledpre"/>
      </w:pPr>
      <w:r>
        <w:rPr>
          <w:rStyle w:val="htmlcodes"/>
        </w:rPr>
        <w:t>&lt;/pre&gt;</w:t>
      </w:r>
      <w:r>
        <w:rPr>
          <w:rStyle w:val="indexentry"/>
        </w:rPr>
        <w:t>&lt;ex "big nose"&gt;</w:t>
      </w:r>
      <w:r>
        <w:rPr>
          <w:rStyle w:val="indexentry"/>
        </w:rPr>
        <w:fldChar w:fldCharType="begin"/>
      </w:r>
      <w:r>
        <w:instrText>xe "</w:instrText>
      </w:r>
      <w:r>
        <w:rPr>
          <w:rStyle w:val="xeentry"/>
        </w:rPr>
        <w:instrText>big nose: example</w:instrText>
      </w:r>
      <w:r>
        <w:instrText>"</w:instrText>
      </w:r>
      <w:r>
        <w:rPr>
          <w:rStyle w:val="indexentry"/>
        </w:rPr>
        <w:fldChar w:fldCharType="end"/>
      </w:r>
      <w:r>
        <w:rPr>
          <w:rStyle w:val="htmlcodes"/>
        </w:rPr>
        <w:t>&lt;pre&gt;&lt;a name=e1d3&gt;</w:t>
      </w:r>
      <w:r>
        <w:t>1.3)</w:t>
      </w:r>
      <w:r>
        <w:tab/>
        <w:t>ti poi ke'a nazbi ku'o cu barda</w:t>
      </w:r>
    </w:p>
    <w:p w:rsidR="00B72047" w:rsidRDefault="00B72047">
      <w:pPr>
        <w:pStyle w:val="examplescaled"/>
      </w:pPr>
      <w:r>
        <w:tab/>
        <w:t>This-thing such-that-(IT is-a-nose) is-large.</w:t>
      </w:r>
    </w:p>
    <w:p w:rsidR="00B72047" w:rsidRDefault="00B72047">
      <w:pPr>
        <w:pStyle w:val="examplescaled"/>
      </w:pPr>
      <w:r>
        <w:tab/>
        <w:t>This thing which is a nose is big.</w:t>
      </w:r>
    </w:p>
    <w:p w:rsidR="00B72047" w:rsidRDefault="00B72047">
      <w:pPr>
        <w:pStyle w:val="examplescaled"/>
      </w:pPr>
      <w:r>
        <w:tab/>
        <w:t>This nose is big.</w:t>
      </w:r>
    </w:p>
    <w:p w:rsidR="00B72047" w:rsidRDefault="00B72047">
      <w:pPr>
        <w:pStyle w:val="examplescaledpre"/>
        <w:spacing w:before="0"/>
      </w:pPr>
      <w:r>
        <w:rPr>
          <w:rStyle w:val="htmlcodes"/>
          <w:vanish w:val="0"/>
        </w:rPr>
        <w:br w:type="page"/>
      </w:r>
      <w:r>
        <w:rPr>
          <w:rStyle w:val="htmlcodes"/>
        </w:rPr>
        <w:t>&lt;/pre&gt;</w:t>
      </w:r>
      <w:r>
        <w:rPr>
          <w:rStyle w:val="indexentry"/>
        </w:rPr>
        <w:t>&lt;ex "big nose-pores"&gt;</w:t>
      </w:r>
      <w:r>
        <w:rPr>
          <w:rStyle w:val="indexentry"/>
        </w:rPr>
        <w:fldChar w:fldCharType="begin"/>
      </w:r>
      <w:r>
        <w:instrText>xe "</w:instrText>
      </w:r>
      <w:r>
        <w:rPr>
          <w:rStyle w:val="xeentry"/>
        </w:rPr>
        <w:instrText>big nose-pores: example</w:instrText>
      </w:r>
      <w:r>
        <w:instrText>"</w:instrText>
      </w:r>
      <w:r>
        <w:rPr>
          <w:rStyle w:val="indexentry"/>
        </w:rPr>
        <w:fldChar w:fldCharType="end"/>
      </w:r>
      <w:r>
        <w:rPr>
          <w:rStyle w:val="htmlcodes"/>
        </w:rPr>
        <w:t>&lt;pre&gt;&lt;a name=e1d4&gt;</w:t>
      </w:r>
      <w:r>
        <w:t>1.4)</w:t>
      </w:r>
      <w:r>
        <w:tab/>
        <w:t>ti poi ke'a nazbi kapkevna ku'o cu barda</w:t>
      </w:r>
    </w:p>
    <w:p w:rsidR="00B72047" w:rsidRDefault="00B72047">
      <w:pPr>
        <w:pStyle w:val="examplescaled"/>
      </w:pPr>
      <w:r>
        <w:tab/>
        <w:t>This-thing such-that-(IT is-a-nose-type-of skin-hole) is-big.</w:t>
      </w:r>
    </w:p>
    <w:p w:rsidR="00B72047" w:rsidRDefault="00B72047">
      <w:pPr>
        <w:pStyle w:val="examplescaled"/>
      </w:pPr>
      <w:r>
        <w:tab/>
        <w:t>These things which are nose-pores are big.</w:t>
      </w:r>
    </w:p>
    <w:p w:rsidR="00B72047" w:rsidRDefault="00B72047">
      <w:pPr>
        <w:pStyle w:val="examplescaled"/>
      </w:pPr>
      <w:r>
        <w:tab/>
        <w:t>These nose-pores are big.</w:t>
      </w:r>
    </w:p>
    <w:p w:rsidR="00B72047" w:rsidRDefault="00B72047">
      <w:pPr>
        <w:pStyle w:val="resumedafterexample"/>
      </w:pPr>
      <w:r>
        <w:rPr>
          <w:rStyle w:val="htmlcodes"/>
        </w:rPr>
        <w:t>&lt;/pre&gt;</w:t>
      </w:r>
      <w:r>
        <w:rPr>
          <w:rStyle w:val="indexentry"/>
        </w:rPr>
        <w:t>&lt;cx "IT, as notation convention in relative clause chapter"&gt;</w:t>
      </w:r>
      <w:r>
        <w:rPr>
          <w:rStyle w:val="indexentry"/>
        </w:rPr>
        <w:fldChar w:fldCharType="begin"/>
      </w:r>
      <w:r>
        <w:instrText>xe "</w:instrText>
      </w:r>
      <w:r>
        <w:rPr>
          <w:rStyle w:val="xeentry"/>
        </w:rPr>
        <w:instrText>IT: as notation convention in relative clause chapter</w:instrText>
      </w:r>
      <w:r>
        <w:instrText>"</w:instrText>
      </w:r>
      <w:r>
        <w:rPr>
          <w:rStyle w:val="indexentry"/>
        </w:rPr>
        <w:fldChar w:fldCharType="end"/>
      </w:r>
      <w:r>
        <w:t>In the literal translations throughout this chapter, the word “IT”,</w:t>
      </w:r>
      <w:r>
        <w:rPr>
          <w:rStyle w:val="deletedparamark"/>
        </w:rPr>
        <w:t xml:space="preserve"> </w:t>
      </w:r>
      <w:r>
        <w:t>capi</w:t>
      </w:r>
      <w:r>
        <w:softHyphen/>
        <w:t>talized, is used to represent the cmavo “ke'a”. In each case, it serves</w:t>
      </w:r>
      <w:r>
        <w:rPr>
          <w:rStyle w:val="deletedparamark"/>
        </w:rPr>
        <w:t xml:space="preserve"> </w:t>
      </w:r>
      <w:r>
        <w:t xml:space="preserve">to represent the sumti (in </w:t>
      </w:r>
      <w:r>
        <w:rPr>
          <w:rStyle w:val="htmlcodes"/>
        </w:rPr>
        <w:t>&lt;a href=#e1d{2}&gt;</w:t>
      </w:r>
      <w:r>
        <w:t xml:space="preserve">Examples 1.2 </w:t>
      </w:r>
      <w:r>
        <w:rPr>
          <w:rStyle w:val="htmlcodes"/>
        </w:rPr>
        <w:t>&lt;/a&gt;</w:t>
      </w:r>
      <w:r>
        <w:t xml:space="preserve">through </w:t>
      </w:r>
      <w:r>
        <w:rPr>
          <w:rStyle w:val="htmlcodes"/>
        </w:rPr>
        <w:t>&lt;a href=#e1d4&gt;</w:t>
      </w:r>
      <w:r>
        <w:t>1.4</w:t>
      </w:r>
      <w:r>
        <w:rPr>
          <w:rStyle w:val="htmlcodes"/>
        </w:rPr>
        <w:t>&lt;/a&gt;</w:t>
      </w:r>
      <w:r>
        <w:t>, the cmavo “ti”) to which</w:t>
      </w:r>
      <w:r>
        <w:rPr>
          <w:rStyle w:val="deletedparamark"/>
        </w:rPr>
        <w:t xml:space="preserve"> </w:t>
      </w:r>
      <w:r>
        <w:t>the relative clause is attached.</w:t>
      </w:r>
    </w:p>
    <w:p w:rsidR="00B72047" w:rsidRDefault="00B72047">
      <w:pPr>
        <w:rPr>
          <w:rStyle w:val="htmlparacode"/>
        </w:rPr>
      </w:pPr>
      <w:r>
        <w:rPr>
          <w:rStyle w:val="htmlparacode"/>
        </w:rPr>
        <w:t>&lt;p&gt;</w:t>
      </w:r>
    </w:p>
    <w:p w:rsidR="00B72047" w:rsidRDefault="00B72047">
      <w:pPr>
        <w:pStyle w:val="normalparagraph"/>
      </w:pPr>
      <w:r>
        <w:rPr>
          <w:rStyle w:val="indexentry"/>
        </w:rPr>
        <w:t>&lt;cx "ke'a, non-initial place use in relative clause"&gt;</w:t>
      </w:r>
      <w:r>
        <w:rPr>
          <w:rStyle w:val="indexentry"/>
        </w:rPr>
        <w:fldChar w:fldCharType="begin"/>
      </w:r>
      <w:r>
        <w:instrText>xe "</w:instrText>
      </w:r>
      <w:r>
        <w:rPr>
          <w:rStyle w:val="xeentry"/>
        </w:rPr>
        <w:instrText>ke'a: non-initial place use in relative clause</w:instrText>
      </w:r>
      <w:r>
        <w:instrText>"</w:instrText>
      </w:r>
      <w:r>
        <w:rPr>
          <w:rStyle w:val="indexentry"/>
        </w:rPr>
        <w:fldChar w:fldCharType="end"/>
      </w:r>
      <w:r>
        <w:t>Of course, there is no reason why “ke'a” needs to appear in</w:t>
      </w:r>
      <w:r>
        <w:rPr>
          <w:rStyle w:val="deletedparamark"/>
        </w:rPr>
        <w:t xml:space="preserve"> </w:t>
      </w:r>
      <w:r>
        <w:t>the x1 place of a relative clause bridi; it can appear in</w:t>
      </w:r>
      <w:r>
        <w:rPr>
          <w:rStyle w:val="deletedparamark"/>
        </w:rPr>
        <w:t xml:space="preserve"> </w:t>
      </w:r>
      <w:r>
        <w:t>any place, or indeed even in a sub-bridi within the</w:t>
      </w:r>
      <w:r>
        <w:rPr>
          <w:rStyle w:val="deletedparamark"/>
        </w:rPr>
        <w:t xml:space="preserve"> </w:t>
      </w:r>
      <w:r>
        <w:t>relative clause bridi. Here are two more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name=e1d5&gt;</w:t>
      </w:r>
      <w:r>
        <w:t>1.5)</w:t>
      </w:r>
      <w:r>
        <w:tab/>
        <w:t>tu poi le mlatu pu lacpu ke'a ku'o cu ratcu</w:t>
      </w:r>
    </w:p>
    <w:p w:rsidR="00B72047" w:rsidRDefault="00B72047">
      <w:pPr>
        <w:pStyle w:val="examplescaled"/>
      </w:pPr>
      <w:r>
        <w:tab/>
        <w:t>That-distant-thing such-that (the cat [past] drags IT) is-a-rat.</w:t>
      </w:r>
    </w:p>
    <w:p w:rsidR="00B72047" w:rsidRDefault="00B72047">
      <w:pPr>
        <w:pStyle w:val="examplescaled"/>
      </w:pPr>
      <w:r>
        <w:tab/>
        <w:t>That thing which the cat dragged is a rat.</w:t>
      </w:r>
    </w:p>
    <w:p w:rsidR="00B72047" w:rsidRDefault="00B72047">
      <w:pPr>
        <w:pStyle w:val="examplescaled"/>
      </w:pPr>
      <w:r>
        <w:tab/>
        <w:t>What the cat dragged is a rat.</w:t>
      </w:r>
    </w:p>
    <w:p w:rsidR="00B72047" w:rsidRDefault="00B72047">
      <w:pPr>
        <w:pStyle w:val="examplescaledpre"/>
      </w:pPr>
      <w:r>
        <w:rPr>
          <w:rStyle w:val="htmlcodes"/>
        </w:rPr>
        <w:t>&lt;a name=e1d6&gt;</w:t>
      </w:r>
      <w:r>
        <w:t>1.6)</w:t>
      </w:r>
      <w:r>
        <w:tab/>
        <w:t>ta poi mi djica le nu mi ponse ke'a [kei] ku'o cu bloti</w:t>
      </w:r>
    </w:p>
    <w:p w:rsidR="00B72047" w:rsidRDefault="00B72047">
      <w:pPr>
        <w:pStyle w:val="examplescaled"/>
      </w:pPr>
      <w:r>
        <w:tab/>
        <w:t>That-thing such-that (I desire the event-of (I own IT) ) is-a-boat.</w:t>
      </w:r>
    </w:p>
    <w:p w:rsidR="00B72047" w:rsidRDefault="00B72047">
      <w:pPr>
        <w:pStyle w:val="examplescaled"/>
      </w:pPr>
      <w:r>
        <w:tab/>
        <w:t>That thing that I want to own is a boat.</w:t>
      </w:r>
    </w:p>
    <w:p w:rsidR="00B72047" w:rsidRDefault="00B72047">
      <w:pPr>
        <w:pStyle w:val="resumedafterexample"/>
      </w:pPr>
      <w:r>
        <w:rPr>
          <w:rStyle w:val="htmlcodes"/>
        </w:rPr>
        <w:t>&lt;/pre&gt;&lt;p&gt;</w:t>
      </w:r>
      <w:r>
        <w:t xml:space="preserve">In </w:t>
      </w:r>
      <w:r>
        <w:rPr>
          <w:rStyle w:val="htmlcodes"/>
        </w:rPr>
        <w:t>&lt;a href=#e1d6&gt;</w:t>
      </w:r>
      <w:r>
        <w:t>Example 1.6</w:t>
      </w:r>
      <w:r>
        <w:rPr>
          <w:rStyle w:val="htmlcodes"/>
        </w:rPr>
        <w:t>&lt;/a&gt;</w:t>
      </w:r>
      <w:r>
        <w:t>, “ke'a” appears in an abstraction clause</w:t>
      </w:r>
      <w:r>
        <w:rPr>
          <w:rStyle w:val="deletedparamark"/>
        </w:rPr>
        <w:t xml:space="preserve"> </w:t>
      </w:r>
      <w:r>
        <w:t xml:space="preserve">(abstractions are explained in </w:t>
      </w:r>
      <w:r>
        <w:rPr>
          <w:rStyle w:val="htmlcodes"/>
        </w:rPr>
        <w:t>&lt;a href=chap11.html&gt;</w:t>
      </w:r>
      <w:r>
        <w:t>Chapter 11</w:t>
      </w:r>
      <w:r>
        <w:rPr>
          <w:rStyle w:val="htmlcodes"/>
        </w:rPr>
        <w:t>&lt;/a&gt;</w:t>
      </w:r>
      <w:r>
        <w:t>) within a relative</w:t>
      </w:r>
      <w:r>
        <w:rPr>
          <w:rStyle w:val="deletedparamark"/>
        </w:rPr>
        <w:t xml:space="preserve"> </w:t>
      </w:r>
      <w:r>
        <w:t>clause.</w:t>
      </w:r>
    </w:p>
    <w:p w:rsidR="00B72047" w:rsidRDefault="00B72047">
      <w:pPr>
        <w:rPr>
          <w:rStyle w:val="htmlparacode"/>
        </w:rPr>
      </w:pPr>
      <w:r>
        <w:rPr>
          <w:rStyle w:val="htmlparacode"/>
        </w:rPr>
        <w:t>&lt;p&gt;</w:t>
      </w:r>
    </w:p>
    <w:p w:rsidR="00B72047" w:rsidRDefault="00B72047">
      <w:pPr>
        <w:pStyle w:val="normalparagraph"/>
      </w:pPr>
      <w:r>
        <w:rPr>
          <w:rStyle w:val="indexentry"/>
        </w:rPr>
        <w:t>&lt;cx "ke'a, effect of omission of"&gt;</w:t>
      </w:r>
      <w:r>
        <w:rPr>
          <w:rStyle w:val="indexentry"/>
        </w:rPr>
        <w:fldChar w:fldCharType="begin"/>
      </w:r>
      <w:r>
        <w:instrText>xe "</w:instrText>
      </w:r>
      <w:r>
        <w:rPr>
          <w:rStyle w:val="xeentry"/>
        </w:rPr>
        <w:instrText>ke'a: effect of omission of</w:instrText>
      </w:r>
      <w:r>
        <w:instrText>"</w:instrText>
      </w:r>
      <w:r>
        <w:rPr>
          <w:rStyle w:val="indexentry"/>
        </w:rPr>
        <w:fldChar w:fldCharType="end"/>
      </w:r>
      <w:r>
        <w:rPr>
          <w:rStyle w:val="indexentry"/>
        </w:rPr>
        <w:t>&lt;cx "relative clause, effect of omission of “ke'a” on"&gt;</w:t>
      </w:r>
      <w:r>
        <w:rPr>
          <w:rStyle w:val="indexentry"/>
        </w:rPr>
        <w:fldChar w:fldCharType="begin"/>
      </w:r>
      <w:r>
        <w:instrText>xe "</w:instrText>
      </w:r>
      <w:r>
        <w:rPr>
          <w:rStyle w:val="xeentry"/>
        </w:rPr>
        <w:instrText>relative clause: effect of omission of ke'a on</w:instrText>
      </w:r>
      <w:r>
        <w:instrText>"</w:instrText>
      </w:r>
      <w:r>
        <w:rPr>
          <w:rStyle w:val="indexentry"/>
        </w:rPr>
        <w:fldChar w:fldCharType="end"/>
      </w:r>
      <w:r>
        <w:t>Like any sumti, “ke'a” can be omitted. The usual presumption in that</w:t>
      </w:r>
      <w:r>
        <w:rPr>
          <w:rStyle w:val="deletedparamark"/>
        </w:rPr>
        <w:t xml:space="preserve"> </w:t>
      </w:r>
      <w:r>
        <w:t>case is that it then falls into the x1 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name=e1d7&gt;</w:t>
      </w:r>
      <w:r>
        <w:t>1.7)</w:t>
      </w:r>
      <w:r>
        <w:tab/>
        <w:t>ti poi nazbi cu barda</w:t>
      </w:r>
    </w:p>
    <w:p w:rsidR="00B72047" w:rsidRDefault="00B72047">
      <w:pPr>
        <w:pStyle w:val="examplescaled"/>
      </w:pPr>
      <w:r>
        <w:tab/>
        <w:t>This-thing which is-a-nose is-big.</w:t>
      </w:r>
    </w:p>
    <w:p w:rsidR="00B72047" w:rsidRDefault="00B72047">
      <w:pPr>
        <w:pStyle w:val="resumedafterexample"/>
      </w:pPr>
      <w:r>
        <w:rPr>
          <w:rStyle w:val="htmlcodes"/>
        </w:rPr>
        <w:t>&lt;/pre&gt;</w:t>
      </w:r>
      <w:r>
        <w:t xml:space="preserve">almost certainly means the same thing as </w:t>
      </w:r>
      <w:r>
        <w:rPr>
          <w:rStyle w:val="htmlcodes"/>
        </w:rPr>
        <w:t>&lt;a href=#e1d3&gt;</w:t>
      </w:r>
      <w:r>
        <w:t>Example 1.3</w:t>
      </w:r>
      <w:r>
        <w:rPr>
          <w:rStyle w:val="htmlcodes"/>
        </w:rPr>
        <w:t>&lt;/a&gt;</w:t>
      </w:r>
      <w:r>
        <w:t>. However, “ke'a”</w:t>
      </w:r>
      <w:r>
        <w:rPr>
          <w:rStyle w:val="deletedparamark"/>
        </w:rPr>
        <w:t xml:space="preserve"> </w:t>
      </w:r>
      <w:r>
        <w:t>can be omitted if it is clear to the listener that it belongs in some</w:t>
      </w:r>
      <w:r>
        <w:rPr>
          <w:rStyle w:val="deletedparamark"/>
        </w:rPr>
        <w:t xml:space="preserve"> </w:t>
      </w:r>
      <w:r>
        <w:t>place other than x1:</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name=e1d8&gt;</w:t>
      </w:r>
      <w:r>
        <w:t>1.8)</w:t>
      </w:r>
      <w:r>
        <w:tab/>
        <w:t>tu poi le mlatu pu lacpu cu ratcu</w:t>
      </w:r>
    </w:p>
    <w:p w:rsidR="00B72047" w:rsidRDefault="00B72047">
      <w:pPr>
        <w:pStyle w:val="examplescaled"/>
      </w:pPr>
      <w:r>
        <w:tab/>
        <w:t>That-distant-thing which the cat [past] drags is-a-rat</w:t>
      </w:r>
    </w:p>
    <w:p w:rsidR="00B72047" w:rsidRDefault="00B72047">
      <w:pPr>
        <w:pStyle w:val="resumedafterexample"/>
      </w:pPr>
      <w:r>
        <w:rPr>
          <w:rStyle w:val="htmlcodes"/>
        </w:rPr>
        <w:t>&lt;/pre&gt;</w:t>
      </w:r>
      <w:r>
        <w:t xml:space="preserve">is equivalent to </w:t>
      </w:r>
      <w:r>
        <w:rPr>
          <w:rStyle w:val="htmlcodes"/>
        </w:rPr>
        <w:t>&lt;a href=#e1d4&gt;</w:t>
      </w:r>
      <w:r>
        <w:t>Example 1.4</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"ku'o, elidability for relative clauses"&gt;</w:t>
      </w:r>
      <w:r>
        <w:rPr>
          <w:rStyle w:val="indexentry"/>
        </w:rPr>
        <w:fldChar w:fldCharType="begin"/>
      </w:r>
      <w:r>
        <w:instrText>xe "</w:instrText>
      </w:r>
      <w:r>
        <w:rPr>
          <w:rStyle w:val="xeentry"/>
        </w:rPr>
        <w:instrText>ku'o: elidability for relative clauses</w:instrText>
      </w:r>
      <w:r>
        <w:instrText>"</w:instrText>
      </w:r>
      <w:r>
        <w:rPr>
          <w:rStyle w:val="indexentry"/>
        </w:rPr>
        <w:fldChar w:fldCharType="end"/>
      </w:r>
      <w:r>
        <w:t>As stated before, “ku'o” is an elidable terminator, and in fact it is almost</w:t>
      </w:r>
      <w:r>
        <w:rPr>
          <w:rStyle w:val="deletedparamark"/>
        </w:rPr>
        <w:t xml:space="preserve"> </w:t>
      </w:r>
      <w:r>
        <w:t>al</w:t>
      </w:r>
      <w:r>
        <w:softHyphen/>
        <w:t>ways el</w:t>
      </w:r>
      <w:r>
        <w:t>i</w:t>
      </w:r>
      <w:r>
        <w:softHyphen/>
        <w:t>dable. Throughout the rest of this chapter, “ku'o” will not be</w:t>
      </w:r>
      <w:r>
        <w:rPr>
          <w:rStyle w:val="deletedparamark"/>
        </w:rPr>
        <w:t xml:space="preserve"> </w:t>
      </w:r>
      <w:r>
        <w:t>written in any of the exa</w:t>
      </w:r>
      <w:r>
        <w:t>m</w:t>
      </w:r>
      <w:r>
        <w:softHyphen/>
        <w:t>ples unless it is absolutely re</w:t>
      </w:r>
      <w:r>
        <w:softHyphen/>
        <w:t>quired: thus,</w:t>
      </w:r>
      <w:r>
        <w:rPr>
          <w:rStyle w:val="deletedparamark"/>
        </w:rPr>
        <w:t xml:space="preserve"> </w:t>
      </w:r>
      <w:r>
        <w:rPr>
          <w:rStyle w:val="htmlcodes"/>
        </w:rPr>
        <w:t>&lt;a href=#e1d2&gt;</w:t>
      </w:r>
      <w:r>
        <w:t xml:space="preserve">Example 1.2 </w:t>
      </w:r>
      <w:r>
        <w:rPr>
          <w:rStyle w:val="htmlcodes"/>
        </w:rPr>
        <w:t>&lt;/a&gt;</w:t>
      </w:r>
      <w:r>
        <w:t>can be written: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name=e1d9&gt;</w:t>
      </w:r>
      <w:r>
        <w:t>1.9)</w:t>
      </w:r>
      <w:r>
        <w:tab/>
        <w:t>ti poi prenu cu barda</w:t>
      </w:r>
    </w:p>
    <w:p w:rsidR="00B72047" w:rsidRDefault="00B72047">
      <w:pPr>
        <w:pStyle w:val="examplescaled"/>
      </w:pPr>
      <w:r>
        <w:tab/>
        <w:t>That which is-a-person is-big.</w:t>
      </w:r>
    </w:p>
    <w:p w:rsidR="00B72047" w:rsidRDefault="00B72047">
      <w:pPr>
        <w:pStyle w:val="examplescaled"/>
      </w:pPr>
      <w:r>
        <w:tab/>
        <w:t>That person is big.</w:t>
      </w:r>
    </w:p>
    <w:p w:rsidR="00B72047" w:rsidRDefault="00B72047">
      <w:pPr>
        <w:pStyle w:val="resumedafterexample"/>
      </w:pPr>
      <w:r>
        <w:rPr>
          <w:rStyle w:val="htmlcodes"/>
        </w:rPr>
        <w:t>&lt;/pre&gt;</w:t>
      </w:r>
      <w:r>
        <w:rPr>
          <w:rStyle w:val="indexentry"/>
        </w:rPr>
        <w:t>&lt;cx "poi, discussion of translation"&gt;</w:t>
      </w:r>
      <w:r>
        <w:rPr>
          <w:rStyle w:val="indexentry"/>
        </w:rPr>
        <w:fldChar w:fldCharType="begin"/>
      </w:r>
      <w:r>
        <w:instrText>xe "</w:instrText>
      </w:r>
      <w:r>
        <w:rPr>
          <w:rStyle w:val="xeentry"/>
        </w:rPr>
        <w:instrText>poi: discussion of translation</w:instrText>
      </w:r>
      <w:r>
        <w:instrText>"</w:instrText>
      </w:r>
      <w:r>
        <w:rPr>
          <w:rStyle w:val="indexentry"/>
        </w:rPr>
        <w:fldChar w:fldCharType="end"/>
      </w:r>
      <w:r>
        <w:t>without any change in meaning. Note that “poi” is translated</w:t>
      </w:r>
      <w:r>
        <w:rPr>
          <w:rStyle w:val="deletedparamark"/>
        </w:rPr>
        <w:t xml:space="preserve"> “</w:t>
      </w:r>
      <w:r>
        <w:t>which” rather than “such-that” when “ke'a” has been omitted</w:t>
      </w:r>
      <w:r>
        <w:rPr>
          <w:rStyle w:val="deletedparamark"/>
        </w:rPr>
        <w:t xml:space="preserve"> </w:t>
      </w:r>
      <w:r>
        <w:t>from the x1 place of the relative clause bridi. The word “which” is used</w:t>
      </w:r>
      <w:r>
        <w:rPr>
          <w:rStyle w:val="deletedparamark"/>
        </w:rPr>
        <w:t xml:space="preserve"> </w:t>
      </w:r>
      <w:r>
        <w:t>in English to introduce English relative clauses: other words that can</w:t>
      </w:r>
      <w:r>
        <w:rPr>
          <w:rStyle w:val="deletedparamark"/>
        </w:rPr>
        <w:t xml:space="preserve"> </w:t>
      </w:r>
      <w:r>
        <w:t>be used are “who” and “that”, as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name=e1d10&gt;</w:t>
      </w:r>
      <w:r>
        <w:t>1.10)</w:t>
      </w:r>
      <w:r>
        <w:tab/>
        <w:t>I saw a man who was going to the store.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name=e1d11&gt;</w:t>
      </w:r>
      <w:r>
        <w:t>1.11)</w:t>
      </w:r>
      <w:r>
        <w:tab/>
        <w:t>The building that the school was located in is large.</w:t>
      </w:r>
    </w:p>
    <w:p w:rsidR="00B72047" w:rsidRDefault="00B72047">
      <w:pPr>
        <w:pStyle w:val="resumedafterexample"/>
      </w:pPr>
      <w:r>
        <w:rPr>
          <w:rStyle w:val="htmlcodes"/>
        </w:rPr>
        <w:t>&lt;/pre&gt;&lt;p&gt;</w:t>
      </w:r>
      <w:r>
        <w:t xml:space="preserve">In </w:t>
      </w:r>
      <w:r>
        <w:rPr>
          <w:rStyle w:val="htmlcodes"/>
        </w:rPr>
        <w:t>&lt;a href=#e1d10&gt;</w:t>
      </w:r>
      <w:r>
        <w:t xml:space="preserve">Example 1.10 </w:t>
      </w:r>
      <w:r>
        <w:rPr>
          <w:rStyle w:val="htmlcodes"/>
        </w:rPr>
        <w:t>&lt;/a&gt;</w:t>
      </w:r>
      <w:r>
        <w:t>the relative clause is “who was going to the store”,</w:t>
      </w:r>
      <w:r>
        <w:rPr>
          <w:rStyle w:val="deletedparamark"/>
        </w:rPr>
        <w:t xml:space="preserve"> </w:t>
      </w:r>
      <w:r>
        <w:t xml:space="preserve">and in </w:t>
      </w:r>
      <w:r>
        <w:rPr>
          <w:rStyle w:val="htmlcodes"/>
        </w:rPr>
        <w:t>&lt;a href=#e1d11&gt;</w:t>
      </w:r>
      <w:r>
        <w:t xml:space="preserve">Example 1.11 </w:t>
      </w:r>
      <w:r>
        <w:rPr>
          <w:rStyle w:val="htmlcodes"/>
        </w:rPr>
        <w:t>&lt;/a&gt;</w:t>
      </w:r>
      <w:r>
        <w:t>it is “that the school was located in”. Sometimes</w:t>
      </w:r>
      <w:r>
        <w:rPr>
          <w:rStyle w:val="deletedparamark"/>
        </w:rPr>
        <w:t xml:space="preserve"> “</w:t>
      </w:r>
      <w:r>
        <w:t>who”, “which”, and “that” are used in literal translations in this</w:t>
      </w:r>
      <w:r>
        <w:rPr>
          <w:rStyle w:val="deletedparamark"/>
        </w:rPr>
        <w:t xml:space="preserve"> </w:t>
      </w:r>
      <w:r>
        <w:t>chap</w:t>
      </w:r>
      <w:r>
        <w:softHyphen/>
        <w:t>ter in order to make them read more smoothly.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297" w:name="_Toc398970544"/>
      <w:r>
        <w:rPr>
          <w:rStyle w:val="Heading3Text"/>
        </w:rPr>
        <w:t>Incidental relative clauses</w:t>
      </w:r>
      <w:bookmarkEnd w:id="29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noi</w:t>
      </w:r>
      <w:r>
        <w:tab/>
        <w:t>NOI</w:t>
      </w:r>
      <w:r>
        <w:tab/>
        <w:t>incidental relative clause introducer</w:t>
      </w:r>
    </w:p>
    <w:p w:rsidR="00B72047" w:rsidRDefault="00B72047">
      <w:pPr>
        <w:pStyle w:val="normalafterexample"/>
      </w:pPr>
      <w:r>
        <w:rPr>
          <w:rStyle w:val="htmlcodes"/>
        </w:rPr>
        <w:t>&lt;/pre&gt;</w:t>
      </w:r>
      <w:r>
        <w:rPr>
          <w:rStyle w:val="indexentry"/>
        </w:rPr>
        <w:t>&lt;cx "relative clauses, kinds of"&gt;</w:t>
      </w:r>
      <w:r>
        <w:rPr>
          <w:rStyle w:val="indexentry"/>
        </w:rPr>
        <w:fldChar w:fldCharType="begin"/>
      </w:r>
      <w:r>
        <w:instrText>xe "</w:instrText>
      </w:r>
      <w:r>
        <w:rPr>
          <w:rStyle w:val="xeentry"/>
        </w:rPr>
        <w:instrText>relative clause: kinds of</w:instrText>
      </w:r>
      <w:r>
        <w:instrText>"</w:instrText>
      </w:r>
      <w:r>
        <w:rPr>
          <w:rStyle w:val="indexentry"/>
        </w:rPr>
        <w:fldChar w:fldCharType="end"/>
      </w:r>
      <w:r>
        <w:rPr>
          <w:rStyle w:val="indexentry"/>
        </w:rPr>
        <w:t>&lt;cx "relative clause, restrictive (see also restrictive relative clause)"&gt;</w:t>
      </w:r>
      <w:r>
        <w:rPr>
          <w:rStyle w:val="indexentry"/>
        </w:rPr>
        <w:fldChar w:fldCharType="begin"/>
      </w:r>
      <w:r>
        <w:instrText>xe "</w:instrText>
      </w:r>
      <w:r>
        <w:rPr>
          <w:rStyle w:val="xeentry"/>
        </w:rPr>
        <w:instrText>relative clause: restrictive (see also restrictive relative clause)</w:instrText>
      </w:r>
      <w:r>
        <w:instrText>"</w:instrText>
      </w:r>
      <w:r>
        <w:rPr>
          <w:rStyle w:val="indexentry"/>
        </w:rPr>
        <w:fldChar w:fldCharType="end"/>
      </w:r>
      <w:r>
        <w:rPr>
          <w:rStyle w:val="indexentry"/>
        </w:rPr>
        <w:t>&lt;cx "restrictive relative clause, definition"&gt;</w:t>
      </w:r>
      <w:r>
        <w:rPr>
          <w:rStyle w:val="indexentry"/>
        </w:rPr>
        <w:fldChar w:fldCharType="begin"/>
      </w:r>
      <w:r>
        <w:instrText>xe "</w:instrText>
      </w:r>
      <w:r>
        <w:rPr>
          <w:rStyle w:val="xeentry"/>
        </w:rPr>
        <w:instrText>restrictive relative clause: definition</w:instrText>
      </w:r>
      <w:r>
        <w:instrText>"</w:instrText>
      </w:r>
      <w:r>
        <w:rPr>
          <w:rStyle w:val="indexentry"/>
        </w:rPr>
        <w:fldChar w:fldCharType="end"/>
      </w:r>
      <w:r>
        <w:rPr>
          <w:rStyle w:val="indexentry"/>
        </w:rPr>
        <w:t>&lt;cx "incidental relative clause, definition"&gt;</w:t>
      </w:r>
      <w:r>
        <w:rPr>
          <w:rStyle w:val="indexentry"/>
        </w:rPr>
        <w:fldChar w:fldCharType="begin"/>
      </w:r>
      <w:r>
        <w:instrText>xe "</w:instrText>
      </w:r>
      <w:r>
        <w:rPr>
          <w:rStyle w:val="xeentry"/>
        </w:rPr>
        <w:instrText>incidental relative clause: definition</w:instrText>
      </w:r>
      <w:r>
        <w:instrText>"</w:instrText>
      </w:r>
      <w:r>
        <w:rPr>
          <w:rStyle w:val="indexentry"/>
        </w:rPr>
        <w:fldChar w:fldCharType="end"/>
      </w:r>
      <w:r>
        <w:rPr>
          <w:rStyle w:val="indexentry"/>
        </w:rPr>
        <w:t>&lt;cx "non-restrictive relative clause, definition (see also incidental relative clause)"&gt;</w:t>
      </w:r>
      <w:r>
        <w:rPr>
          <w:rStyle w:val="indexentry"/>
        </w:rPr>
        <w:fldChar w:fldCharType="begin"/>
      </w:r>
      <w:r>
        <w:instrText>xe "</w:instrText>
      </w:r>
      <w:r>
        <w:rPr>
          <w:rStyle w:val="xeentry"/>
        </w:rPr>
        <w:instrText>non-restrictive relative clause: definition (see also incidental relative clause)</w:instrText>
      </w:r>
      <w:r>
        <w:instrText>"</w:instrText>
      </w:r>
      <w:r>
        <w:rPr>
          <w:rStyle w:val="indexentry"/>
        </w:rPr>
        <w:fldChar w:fldCharType="end"/>
      </w:r>
      <w:r>
        <w:rPr>
          <w:rStyle w:val="indexentry"/>
        </w:rPr>
        <w:t>&lt;cx "relative clauses, restricted contrasted with incidental"&gt;</w:t>
      </w:r>
      <w:r>
        <w:rPr>
          <w:rStyle w:val="indexentry"/>
        </w:rPr>
        <w:fldChar w:fldCharType="begin"/>
      </w:r>
      <w:r>
        <w:instrText>xe "</w:instrText>
      </w:r>
      <w:r>
        <w:rPr>
          <w:rStyle w:val="xeentry"/>
        </w:rPr>
        <w:instrText>relative clause: restricted contrasted with incidental</w:instrText>
      </w:r>
      <w:r>
        <w:instrText>"</w:instrText>
      </w:r>
      <w:r>
        <w:rPr>
          <w:rStyle w:val="indexentry"/>
        </w:rPr>
        <w:fldChar w:fldCharType="end"/>
      </w:r>
      <w:r>
        <w:rPr>
          <w:rStyle w:val="indexentry"/>
        </w:rPr>
        <w:t>&lt;lx "noi"&gt;</w:t>
      </w:r>
      <w:r>
        <w:rPr>
          <w:rStyle w:val="indexentry"/>
        </w:rPr>
        <w:fldChar w:fldCharType="begin"/>
      </w:r>
      <w:r>
        <w:instrText>xe "</w:instrText>
      </w:r>
      <w:r>
        <w:rPr>
          <w:rStyle w:val="xeentry"/>
        </w:rPr>
        <w:instrText>noi</w:instrText>
      </w:r>
      <w:r>
        <w:instrText>"</w:instrText>
      </w:r>
      <w:r>
        <w:rPr>
          <w:rStyle w:val="indexentry"/>
        </w:rPr>
        <w:fldChar w:fldCharType="end"/>
      </w:r>
      <w:r>
        <w:t>There are two basic kinds of relative clauses: restrictive rela</w:t>
      </w:r>
      <w:r>
        <w:softHyphen/>
        <w:t>tive clauses</w:t>
      </w:r>
      <w:r>
        <w:rPr>
          <w:rStyle w:val="deletedparamark"/>
        </w:rPr>
        <w:t xml:space="preserve"> </w:t>
      </w:r>
      <w:r>
        <w:t>intro</w:t>
      </w:r>
      <w:r>
        <w:softHyphen/>
        <w:t>duced by “poi”, and incidental (sometimes called simply</w:t>
      </w:r>
      <w:r>
        <w:rPr>
          <w:rStyle w:val="deletedparamark"/>
        </w:rPr>
        <w:t xml:space="preserve"> “</w:t>
      </w:r>
      <w:r>
        <w:t>non-restrictive”) relative clauses i</w:t>
      </w:r>
      <w:r>
        <w:t>n</w:t>
      </w:r>
      <w:r>
        <w:softHyphen/>
        <w:t>troduced by “noi”. The dif</w:t>
      </w:r>
      <w:r>
        <w:softHyphen/>
        <w:t>ference</w:t>
      </w:r>
      <w:r>
        <w:rPr>
          <w:rStyle w:val="deletedparamark"/>
        </w:rPr>
        <w:t xml:space="preserve"> </w:t>
      </w:r>
      <w:r>
        <w:t>between restrictive and incidental relative clauses is that re</w:t>
      </w:r>
      <w:r>
        <w:softHyphen/>
        <w:t>strictive</w:t>
      </w:r>
      <w:r>
        <w:rPr>
          <w:rStyle w:val="deletedparamark"/>
        </w:rPr>
        <w:t xml:space="preserve"> </w:t>
      </w:r>
      <w:r>
        <w:t>clauses provide information that is essential to identifying the referent</w:t>
      </w:r>
      <w:r>
        <w:rPr>
          <w:rStyle w:val="deletedparamark"/>
        </w:rPr>
        <w:t xml:space="preserve"> </w:t>
      </w:r>
      <w:r>
        <w:t>of the sumti to which they are attached, whereas incidental relative clauses</w:t>
      </w:r>
      <w:r>
        <w:rPr>
          <w:rStyle w:val="deletedparamark"/>
        </w:rPr>
        <w:t xml:space="preserve"> </w:t>
      </w:r>
      <w:r>
        <w:t>provide add</w:t>
      </w:r>
      <w:r>
        <w:t>i</w:t>
      </w:r>
      <w:r>
        <w:softHyphen/>
        <w:t>tional information which is helpful to the listener but is not</w:t>
      </w:r>
      <w:r>
        <w:rPr>
          <w:rStyle w:val="deletedparamark"/>
        </w:rPr>
        <w:t xml:space="preserve"> </w:t>
      </w:r>
      <w:r>
        <w:t>essential for identifying the referent of the sumti. All of the examples</w:t>
      </w:r>
      <w:r>
        <w:rPr>
          <w:rStyle w:val="deletedparamark"/>
        </w:rPr>
        <w:t xml:space="preserve"> </w:t>
      </w:r>
      <w:r>
        <w:t xml:space="preserve">in </w:t>
      </w:r>
      <w:r>
        <w:rPr>
          <w:rStyle w:val="htmlcodes"/>
        </w:rPr>
        <w:t>&lt;a href=#s1&gt;</w:t>
      </w:r>
      <w:r>
        <w:t xml:space="preserve">Section 1 </w:t>
      </w:r>
      <w:r>
        <w:rPr>
          <w:rStyle w:val="htmlcodes"/>
        </w:rPr>
        <w:t>&lt;/a&gt;</w:t>
      </w:r>
      <w:r>
        <w:t>are restrictive relative clauses: the in</w:t>
      </w:r>
      <w:r>
        <w:softHyphen/>
        <w:t>formation in the</w:t>
      </w:r>
      <w:r>
        <w:rPr>
          <w:rStyle w:val="deletedparamark"/>
        </w:rPr>
        <w:t xml:space="preserve"> </w:t>
      </w:r>
      <w:r>
        <w:t>relative clause is essential to identification. (The title of this</w:t>
      </w:r>
      <w:r>
        <w:rPr>
          <w:rStyle w:val="deletedparamark"/>
        </w:rPr>
        <w:t xml:space="preserve"> </w:t>
      </w:r>
      <w:r>
        <w:t>chapter, though, uses an incidental relative clause.)</w:t>
      </w:r>
    </w:p>
    <w:p w:rsidR="00B72047" w:rsidRDefault="00B72047">
      <w:pPr>
        <w:rPr>
          <w:rStyle w:val="htmlparacode"/>
        </w:rPr>
      </w:pPr>
      <w:r>
        <w:rPr>
          <w:rStyle w:val="htmlparacode"/>
        </w:rPr>
        <w:t>&lt;p&gt;</w:t>
      </w:r>
    </w:p>
    <w:p w:rsidR="00B72047" w:rsidRDefault="00B72047">
      <w:pPr>
        <w:pStyle w:val="normalparagraph"/>
      </w:pPr>
      <w:r>
        <w:t>Consider the following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le gerku poi blanu cu barda</w:t>
      </w:r>
    </w:p>
    <w:p w:rsidR="00B72047" w:rsidRDefault="00B72047">
      <w:pPr>
        <w:pStyle w:val="examplescaled"/>
      </w:pPr>
      <w:r>
        <w:tab/>
        <w:t>The dog which is-blue is-large.</w:t>
      </w:r>
    </w:p>
    <w:p w:rsidR="00B72047" w:rsidRDefault="00B72047">
      <w:pPr>
        <w:pStyle w:val="examplescaled"/>
      </w:pPr>
      <w:r>
        <w:tab/>
        <w:t>The dog which is blue is large.</w:t>
      </w:r>
    </w:p>
    <w:p w:rsidR="00B72047" w:rsidRDefault="00B72047">
      <w:pPr>
        <w:pStyle w:val="examplescaledpre"/>
      </w:pPr>
      <w:r>
        <w:rPr>
          <w:rStyle w:val="htmlcodes"/>
        </w:rPr>
        <w:t>&lt;a name=e2d2&gt;</w:t>
      </w:r>
      <w:r>
        <w:t>2.2)</w:t>
      </w:r>
      <w:r>
        <w:tab/>
        <w:t>le gerku noi blanu cu barda</w:t>
      </w:r>
    </w:p>
    <w:p w:rsidR="00B72047" w:rsidRDefault="00B72047">
      <w:pPr>
        <w:pStyle w:val="examplescaled"/>
      </w:pPr>
      <w:r>
        <w:tab/>
        <w:t>The dog incidentally-which is-blue is-large.</w:t>
      </w:r>
    </w:p>
    <w:p w:rsidR="00B72047" w:rsidRDefault="00B72047">
      <w:pPr>
        <w:pStyle w:val="examplescaled"/>
      </w:pPr>
      <w:r>
        <w:tab/>
        <w:t>The dog, which is blue, is large.</w:t>
      </w:r>
    </w:p>
    <w:p w:rsidR="00B72047" w:rsidRDefault="00B72047">
      <w:pPr>
        <w:pStyle w:val="resumedafterexample"/>
      </w:pPr>
      <w:r>
        <w:rPr>
          <w:rStyle w:val="htmlcodes"/>
        </w:rPr>
        <w:t>&lt;/pre&gt;&lt;p&gt;</w:t>
      </w:r>
      <w:r>
        <w:t xml:space="preserve">In </w:t>
      </w:r>
      <w:r>
        <w:rPr>
          <w:rStyle w:val="htmlcodes"/>
        </w:rPr>
        <w:t>&lt;a href=#e2d1&gt;</w:t>
      </w:r>
      <w:r>
        <w:t>Example 2.1</w:t>
      </w:r>
      <w:r>
        <w:rPr>
          <w:rStyle w:val="htmlcodes"/>
        </w:rPr>
        <w:t>&lt;/a&gt;</w:t>
      </w:r>
      <w:r>
        <w:t>, the information conveyed by “poi blanu” is essential to</w:t>
      </w:r>
      <w:r>
        <w:rPr>
          <w:rStyle w:val="deletedparamark"/>
        </w:rPr>
        <w:t xml:space="preserve"> </w:t>
      </w:r>
      <w:r>
        <w:t>identifying the dog in question: it restricts the possible referents from</w:t>
      </w:r>
      <w:r>
        <w:rPr>
          <w:rStyle w:val="deletedparamark"/>
        </w:rPr>
        <w:t xml:space="preserve"> </w:t>
      </w:r>
      <w:r>
        <w:t>dogs in general to dogs that are blue. This is why “poi” relative clauses</w:t>
      </w:r>
      <w:r>
        <w:rPr>
          <w:rStyle w:val="deletedparamark"/>
        </w:rPr>
        <w:t xml:space="preserve"> </w:t>
      </w:r>
      <w:r>
        <w:t xml:space="preserve">are called restrictive. In </w:t>
      </w:r>
      <w:r>
        <w:rPr>
          <w:rStyle w:val="htmlcodes"/>
        </w:rPr>
        <w:t>&lt;a href=#e2d2&gt;</w:t>
      </w:r>
      <w:r>
        <w:t>Example 2.2</w:t>
      </w:r>
      <w:r>
        <w:rPr>
          <w:rStyle w:val="htmlcodes"/>
        </w:rPr>
        <w:t>&lt;/a&gt;</w:t>
      </w:r>
      <w:r>
        <w:t>, on the other hand, the dog which is</w:t>
      </w:r>
      <w:r>
        <w:rPr>
          <w:rStyle w:val="deletedparamark"/>
        </w:rPr>
        <w:t xml:space="preserve"> </w:t>
      </w:r>
      <w:r>
        <w:t>referred to has presumably already been identified clearly, and the relative</w:t>
      </w:r>
      <w:r>
        <w:rPr>
          <w:rStyle w:val="deletedparamark"/>
        </w:rPr>
        <w:t xml:space="preserve"> </w:t>
      </w:r>
      <w:r>
        <w:t>clause “noi blanu” just provides additional in</w:t>
      </w:r>
      <w:r>
        <w:softHyphen/>
        <w:t>formation about it. (If in</w:t>
      </w:r>
      <w:r>
        <w:rPr>
          <w:rStyle w:val="deletedparamark"/>
        </w:rPr>
        <w:t xml:space="preserve"> </w:t>
      </w:r>
      <w:r>
        <w:t>fact the dog hasn't been identified clearly, then the relative clause does</w:t>
      </w:r>
      <w:r>
        <w:rPr>
          <w:rStyle w:val="deletedparamark"/>
        </w:rPr>
        <w:t xml:space="preserve"> </w:t>
      </w:r>
      <w:r>
        <w:t>not help identify it further.)</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restricted contrasted with incidental in English expression"&gt;</w:t>
      </w:r>
      <w:r>
        <w:rPr>
          <w:rStyle w:val="indexentry"/>
        </w:rPr>
        <w:fldChar w:fldCharType="begin"/>
      </w:r>
      <w:r>
        <w:instrText>xe "</w:instrText>
      </w:r>
      <w:r>
        <w:rPr>
          <w:rStyle w:val="xeentry"/>
        </w:rPr>
        <w:instrText>relative clause: restricted contrasted with incidental in English expression</w:instrText>
      </w:r>
      <w:r>
        <w:instrText>"</w:instrText>
      </w:r>
      <w:r>
        <w:rPr>
          <w:rStyle w:val="indexentry"/>
        </w:rPr>
        <w:fldChar w:fldCharType="end"/>
      </w:r>
      <w:r>
        <w:rPr>
          <w:rStyle w:val="indexentry"/>
        </w:rPr>
        <w:t>&lt;cx "relative clauses, effect of commas in English"&gt;</w:t>
      </w:r>
      <w:r>
        <w:rPr>
          <w:rStyle w:val="indexentry"/>
        </w:rPr>
        <w:fldChar w:fldCharType="begin"/>
      </w:r>
      <w:r>
        <w:instrText>xe "</w:instrText>
      </w:r>
      <w:r>
        <w:rPr>
          <w:rStyle w:val="xeentry"/>
        </w:rPr>
        <w:instrText>relative clause: effect of commas in English</w:instrText>
      </w:r>
      <w:r>
        <w:instrText>"</w:instrText>
      </w:r>
      <w:r>
        <w:rPr>
          <w:rStyle w:val="indexentry"/>
        </w:rPr>
        <w:fldChar w:fldCharType="end"/>
      </w:r>
      <w:r>
        <w:rPr>
          <w:rStyle w:val="indexentry"/>
        </w:rPr>
        <w:t>&lt;cx "comma, effect on relative clause in English"&gt;</w:t>
      </w:r>
      <w:r>
        <w:rPr>
          <w:rStyle w:val="indexentry"/>
        </w:rPr>
        <w:fldChar w:fldCharType="begin"/>
      </w:r>
      <w:r>
        <w:instrText>xe "</w:instrText>
      </w:r>
      <w:r>
        <w:rPr>
          <w:rStyle w:val="xeentry"/>
        </w:rPr>
        <w:instrText>comma: effect on relative clause in English</w:instrText>
      </w:r>
      <w:r>
        <w:instrText>"</w:instrText>
      </w:r>
      <w:r>
        <w:rPr>
          <w:rStyle w:val="indexentry"/>
        </w:rPr>
        <w:fldChar w:fldCharType="end"/>
      </w:r>
      <w:r>
        <w:rPr>
          <w:rStyle w:val="indexentry"/>
        </w:rPr>
        <w:t>&lt;cx "incidental relative clause, as a parenthetical device"&gt;</w:t>
      </w:r>
      <w:r>
        <w:rPr>
          <w:rStyle w:val="indexentry"/>
        </w:rPr>
        <w:fldChar w:fldCharType="begin"/>
      </w:r>
      <w:r>
        <w:instrText>xe "</w:instrText>
      </w:r>
      <w:r>
        <w:rPr>
          <w:rStyle w:val="xeentry"/>
        </w:rPr>
        <w:instrText>incidental relative clause: as a parenthetical device</w:instrText>
      </w:r>
      <w:r>
        <w:instrText>"</w:instrText>
      </w:r>
      <w:r>
        <w:rPr>
          <w:rStyle w:val="indexentry"/>
        </w:rPr>
        <w:fldChar w:fldCharType="end"/>
      </w:r>
      <w:r>
        <w:t>In English, the distinction between restrictive and incidental</w:t>
      </w:r>
      <w:r>
        <w:rPr>
          <w:rStyle w:val="deletedparamark"/>
        </w:rPr>
        <w:t xml:space="preserve"> </w:t>
      </w:r>
      <w:r>
        <w:t>relative clauses is e</w:t>
      </w:r>
      <w:r>
        <w:t>x</w:t>
      </w:r>
      <w:r>
        <w:softHyphen/>
        <w:t>pressed in writing by surrounding</w:t>
      </w:r>
      <w:r>
        <w:rPr>
          <w:rStyle w:val="deletedparamark"/>
        </w:rPr>
        <w:t xml:space="preserve"> </w:t>
      </w:r>
      <w:r>
        <w:t>incidental, but not restrictive, clauses with com</w:t>
      </w:r>
      <w:r>
        <w:softHyphen/>
        <w:t>mas. These</w:t>
      </w:r>
      <w:r>
        <w:rPr>
          <w:rStyle w:val="deletedparamark"/>
        </w:rPr>
        <w:t xml:space="preserve"> </w:t>
      </w:r>
      <w:r>
        <w:t>commas are functioning as parentheses, because incidental</w:t>
      </w:r>
      <w:r>
        <w:rPr>
          <w:rStyle w:val="deletedparamark"/>
        </w:rPr>
        <w:t xml:space="preserve"> </w:t>
      </w:r>
      <w:r>
        <w:t>relative clauses are e</w:t>
      </w:r>
      <w:r>
        <w:t>s</w:t>
      </w:r>
      <w:r>
        <w:softHyphen/>
        <w:t>sentially parenthetical. This distinction</w:t>
      </w:r>
      <w:r>
        <w:rPr>
          <w:rStyle w:val="deletedparamark"/>
        </w:rPr>
        <w:t xml:space="preserve"> </w:t>
      </w:r>
      <w:r>
        <w:t>in punctuation is represented in speech by a di</w:t>
      </w:r>
      <w:r>
        <w:t>f</w:t>
      </w:r>
      <w:r>
        <w:softHyphen/>
        <w:t>ference in</w:t>
      </w:r>
      <w:r>
        <w:rPr>
          <w:rStyle w:val="deletedparamark"/>
        </w:rPr>
        <w:t xml:space="preserve"> </w:t>
      </w:r>
      <w:r>
        <w:t>tone of voice. In addition, English restrictive relative clauses can</w:t>
      </w:r>
      <w:r>
        <w:rPr>
          <w:rStyle w:val="deletedparamark"/>
        </w:rPr>
        <w:t xml:space="preserve"> </w:t>
      </w:r>
      <w:r>
        <w:t>be in</w:t>
      </w:r>
      <w:r>
        <w:softHyphen/>
        <w:t>troduced by “that” as well as “which” and “who”, whereas</w:t>
      </w:r>
      <w:r>
        <w:rPr>
          <w:rStyle w:val="deletedparamark"/>
        </w:rPr>
        <w:t xml:space="preserve"> </w:t>
      </w:r>
      <w:r>
        <w:t>incidental relative clauses cannot begin with “that”. Lojban,</w:t>
      </w:r>
      <w:r>
        <w:rPr>
          <w:rStyle w:val="deletedparamark"/>
        </w:rPr>
        <w:t xml:space="preserve"> </w:t>
      </w:r>
      <w:r>
        <w:t>however, always uses the cmavo “poi” and “noi” rather than</w:t>
      </w:r>
      <w:r>
        <w:rPr>
          <w:rStyle w:val="deletedparamark"/>
        </w:rPr>
        <w:t xml:space="preserve"> </w:t>
      </w:r>
      <w:r>
        <w:t>pun</w:t>
      </w:r>
      <w:r>
        <w:t>c</w:t>
      </w:r>
      <w:r>
        <w:softHyphen/>
        <w:t>tua</w:t>
      </w:r>
      <w:r>
        <w:softHyphen/>
        <w:t>tion or intonation to make the distinction.</w:t>
      </w:r>
    </w:p>
    <w:p w:rsidR="00B72047" w:rsidRDefault="00B72047">
      <w:pPr>
        <w:pStyle w:val="normalparagraph"/>
        <w:rPr>
          <w:rStyle w:val="htmlparacode"/>
        </w:rPr>
      </w:pPr>
      <w:r>
        <w:rPr>
          <w:rStyle w:val="htmlparacode"/>
        </w:rPr>
        <w:t>&lt;p&gt;</w:t>
      </w:r>
    </w:p>
    <w:p w:rsidR="00B72047" w:rsidRDefault="00B72047">
      <w:pPr>
        <w:pStyle w:val="normalparagraph"/>
      </w:pPr>
      <w:r>
        <w:t>Here are more examples of incidental relative clauses: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mi noi jdice cu zvati</w:t>
      </w:r>
    </w:p>
    <w:p w:rsidR="00B72047" w:rsidRDefault="00B72047">
      <w:pPr>
        <w:pStyle w:val="examplescaled"/>
      </w:pPr>
      <w:r>
        <w:tab/>
        <w:t>I who-incidentally am-a-judge am-at [some-place].</w:t>
      </w:r>
    </w:p>
    <w:p w:rsidR="00B72047" w:rsidRDefault="00B72047">
      <w:pPr>
        <w:pStyle w:val="examplescaled"/>
      </w:pPr>
      <w:r>
        <w:tab/>
        <w:t>I, a judge, am present.</w:t>
      </w:r>
    </w:p>
    <w:p w:rsidR="00B72047" w:rsidRDefault="00B72047">
      <w:pPr>
        <w:pStyle w:val="resumedafterexample"/>
      </w:pPr>
      <w:r>
        <w:rPr>
          <w:rStyle w:val="htmlcodes"/>
        </w:rPr>
        <w:t>&lt;/pre&gt;&lt;p&gt;</w:t>
      </w:r>
      <w:r>
        <w:t>In this example, “mi” is already sufficiently restricted, and</w:t>
      </w:r>
      <w:r>
        <w:rPr>
          <w:rStyle w:val="deletedparamark"/>
        </w:rPr>
        <w:t xml:space="preserve"> </w:t>
      </w:r>
      <w:r>
        <w:t>the addi</w:t>
      </w:r>
      <w:r>
        <w:softHyphen/>
        <w:t>tional information that I am a judge is being provided solely for</w:t>
      </w:r>
      <w:r>
        <w:rPr>
          <w:rStyle w:val="deletedparamark"/>
        </w:rPr>
        <w:t xml:space="preserve"> </w:t>
      </w:r>
      <w:r>
        <w:t>the listener's edification.</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name=e2d4&gt;</w:t>
      </w:r>
      <w:r>
        <w:t>2.4)</w:t>
      </w:r>
      <w:r>
        <w:tab/>
        <w:t>xu do viska le mi karce noi blabi</w:t>
      </w:r>
    </w:p>
    <w:p w:rsidR="00B72047" w:rsidRDefault="00B72047">
      <w:pPr>
        <w:pStyle w:val="examplescaled"/>
      </w:pPr>
      <w:r>
        <w:tab/>
        <w:t>[True?] You see my car incidentally-which is-white.</w:t>
      </w:r>
    </w:p>
    <w:p w:rsidR="00B72047" w:rsidRDefault="00B72047">
      <w:pPr>
        <w:pStyle w:val="examplescaled"/>
      </w:pPr>
      <w:r>
        <w:tab/>
        <w:t>Do you see my car, which is white?</w:t>
      </w:r>
    </w:p>
    <w:p w:rsidR="00B72047" w:rsidRDefault="00B72047">
      <w:pPr>
        <w:pStyle w:val="resumedafterexample"/>
      </w:pPr>
      <w:r>
        <w:rPr>
          <w:rStyle w:val="htmlcodes"/>
        </w:rPr>
        <w:t>&lt;/pre&gt;&lt;p&gt;</w:t>
      </w:r>
      <w:r>
        <w:t xml:space="preserve">In </w:t>
      </w:r>
      <w:r>
        <w:rPr>
          <w:rStyle w:val="htmlcodes"/>
        </w:rPr>
        <w:t>&lt;a href=#e2d4&gt;</w:t>
      </w:r>
      <w:r>
        <w:t>Example 2.4</w:t>
      </w:r>
      <w:r>
        <w:rPr>
          <w:rStyle w:val="htmlcodes"/>
        </w:rPr>
        <w:t>&lt;/a&gt;</w:t>
      </w:r>
      <w:r>
        <w:t>, the speaker is presumed to have only</w:t>
      </w:r>
      <w:r>
        <w:rPr>
          <w:rStyle w:val="deletedparamark"/>
        </w:rPr>
        <w:t xml:space="preserve"> </w:t>
      </w:r>
      <w:r>
        <w:t>one car, and is providing inci</w:t>
      </w:r>
      <w:r>
        <w:softHyphen/>
        <w:t>dental information that it is white.</w:t>
      </w:r>
      <w:r>
        <w:rPr>
          <w:rStyle w:val="deletedparamark"/>
        </w:rPr>
        <w:t xml:space="preserve"> </w:t>
      </w:r>
      <w:r>
        <w:t>(Alternatively, he or she might have more than one car, since</w:t>
      </w:r>
      <w:r>
        <w:rPr>
          <w:rStyle w:val="deletedparamark"/>
        </w:rPr>
        <w:t xml:space="preserve"> “</w:t>
      </w:r>
      <w:r>
        <w:t>le karce” can be plural, in which case the incidental information</w:t>
      </w:r>
      <w:r>
        <w:rPr>
          <w:rStyle w:val="deletedparamark"/>
        </w:rPr>
        <w:t xml:space="preserve"> </w:t>
      </w:r>
      <w:r>
        <w:t xml:space="preserve">is that each of them is white.) Contrast </w:t>
      </w:r>
      <w:r>
        <w:rPr>
          <w:rStyle w:val="htmlcodes"/>
        </w:rPr>
        <w:t>&lt;a href=#e2d5&gt;</w:t>
      </w:r>
      <w:r>
        <w:t xml:space="preserve">Example 2.5 </w:t>
      </w:r>
      <w:r>
        <w:rPr>
          <w:rStyle w:val="htmlcodes"/>
        </w:rPr>
        <w:t>&lt;/a&gt;</w:t>
      </w:r>
      <w:r>
        <w:t>with a restrictive</w:t>
      </w:r>
      <w:r>
        <w:rPr>
          <w:rStyle w:val="deletedparamark"/>
        </w:rPr>
        <w:t xml:space="preserve"> </w:t>
      </w:r>
      <w:r>
        <w:t>relative 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name=e2d5&gt;</w:t>
      </w:r>
      <w:r>
        <w:t>2.5)</w:t>
      </w:r>
      <w:r>
        <w:tab/>
        <w:t>xu do viska le mi karce poi blabi</w:t>
      </w:r>
    </w:p>
    <w:p w:rsidR="00B72047" w:rsidRDefault="00B72047">
      <w:pPr>
        <w:pStyle w:val="examplescaled"/>
      </w:pPr>
      <w:r>
        <w:tab/>
        <w:t>[True?] You see my car which is-white.</w:t>
      </w:r>
    </w:p>
    <w:p w:rsidR="00B72047" w:rsidRDefault="00B72047">
      <w:pPr>
        <w:pStyle w:val="examplescaled"/>
      </w:pPr>
      <w:r>
        <w:tab/>
        <w:t>Do you see my car that is white?</w:t>
      </w:r>
    </w:p>
    <w:p w:rsidR="00B72047" w:rsidRDefault="00B72047">
      <w:pPr>
        <w:pStyle w:val="examplescaled"/>
      </w:pPr>
      <w:r>
        <w:tab/>
        <w:t>Do you see my white car?</w:t>
      </w:r>
    </w:p>
    <w:p w:rsidR="00B72047" w:rsidRDefault="00B72047">
      <w:pPr>
        <w:pStyle w:val="resumedafterexample"/>
      </w:pPr>
      <w:r>
        <w:rPr>
          <w:rStyle w:val="htmlcodes"/>
        </w:rPr>
        <w:t>&lt;/pre&gt;</w:t>
      </w:r>
      <w:r>
        <w:rPr>
          <w:rStyle w:val="indexentry"/>
        </w:rPr>
        <w:t>&lt;cx "relative clause, compared with tanru"&gt;</w:t>
      </w:r>
      <w:r>
        <w:rPr>
          <w:rStyle w:val="indexentry"/>
        </w:rPr>
        <w:fldChar w:fldCharType="begin"/>
      </w:r>
      <w:r>
        <w:instrText>xe "</w:instrText>
      </w:r>
      <w:r>
        <w:rPr>
          <w:rStyle w:val="xeentry"/>
        </w:rPr>
        <w:instrText>relative clause: compared with tanru</w:instrText>
      </w:r>
      <w:r>
        <w:instrText>"</w:instrText>
      </w:r>
      <w:r>
        <w:rPr>
          <w:rStyle w:val="indexentry"/>
        </w:rPr>
        <w:fldChar w:fldCharType="end"/>
      </w:r>
      <w:r>
        <w:t>Here the speaker probably has several cars, and is restricting</w:t>
      </w:r>
      <w:r>
        <w:rPr>
          <w:rStyle w:val="deletedparamark"/>
        </w:rPr>
        <w:t xml:space="preserve"> </w:t>
      </w:r>
      <w:r>
        <w:t>the referent of the sumti “le mi karce” (and thereby the</w:t>
      </w:r>
      <w:r>
        <w:rPr>
          <w:rStyle w:val="deletedparamark"/>
        </w:rPr>
        <w:t xml:space="preserve"> </w:t>
      </w:r>
      <w:r>
        <w:t>listener's atten</w:t>
      </w:r>
      <w:r>
        <w:softHyphen/>
        <w:t xml:space="preserve">tion) to the white one only. </w:t>
      </w:r>
      <w:r>
        <w:rPr>
          <w:rStyle w:val="htmlcodes"/>
        </w:rPr>
        <w:t>&lt;a href=#e2d5&gt;</w:t>
      </w:r>
      <w:r>
        <w:t xml:space="preserve">Example 2.5 </w:t>
      </w:r>
      <w:r>
        <w:rPr>
          <w:rStyle w:val="htmlcodes"/>
        </w:rPr>
        <w:t>&lt;/a&gt;</w:t>
      </w:r>
      <w:r>
        <w:t xml:space="preserve">means much the same as </w:t>
      </w:r>
      <w:r>
        <w:rPr>
          <w:rStyle w:val="htmlcodes"/>
        </w:rPr>
        <w:t>&lt;a href=#e2d6&gt;</w:t>
      </w:r>
      <w:r>
        <w:t>Example 2.6</w:t>
      </w:r>
      <w:r>
        <w:rPr>
          <w:rStyle w:val="htmlcodes"/>
        </w:rPr>
        <w:t>&lt;/a&gt;</w:t>
      </w:r>
      <w:r>
        <w:t>, which does not</w:t>
      </w:r>
      <w:r>
        <w:rPr>
          <w:rStyle w:val="deletedparamark"/>
        </w:rPr>
        <w:t xml:space="preserve"> </w:t>
      </w:r>
      <w:r>
        <w:t>use a relative 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name=e2d6&gt;</w:t>
      </w:r>
      <w:r>
        <w:t>2.6)</w:t>
      </w:r>
      <w:r>
        <w:tab/>
        <w:t>xu do viska le mi blabi karce</w:t>
      </w:r>
    </w:p>
    <w:p w:rsidR="00B72047" w:rsidRDefault="00B72047">
      <w:pPr>
        <w:pStyle w:val="examplescaled"/>
      </w:pPr>
      <w:r>
        <w:tab/>
        <w:t>[True?] You see my white car.</w:t>
      </w:r>
    </w:p>
    <w:p w:rsidR="00B72047" w:rsidRDefault="00B72047">
      <w:pPr>
        <w:pStyle w:val="examplescaled"/>
      </w:pPr>
      <w:r>
        <w:tab/>
        <w:t>Do you see my car, the white one?</w:t>
      </w:r>
    </w:p>
    <w:p w:rsidR="00B72047" w:rsidRDefault="00B72047">
      <w:pPr>
        <w:pStyle w:val="resumedafterexample"/>
      </w:pPr>
      <w:r>
        <w:rPr>
          <w:rStyle w:val="htmlcodes"/>
        </w:rPr>
        <w:t>&lt;/pre&gt;</w:t>
      </w:r>
      <w:r>
        <w:rPr>
          <w:rStyle w:val="indexentry"/>
        </w:rPr>
        <w:t>&lt;cx "relative clause, contrasted with tanru"&gt;</w:t>
      </w:r>
      <w:r>
        <w:rPr>
          <w:rStyle w:val="indexentry"/>
        </w:rPr>
        <w:fldChar w:fldCharType="begin"/>
      </w:r>
      <w:r>
        <w:instrText>xe "</w:instrText>
      </w:r>
      <w:r>
        <w:rPr>
          <w:rStyle w:val="xeentry"/>
        </w:rPr>
        <w:instrText>relative clause: contrasted with tanru</w:instrText>
      </w:r>
      <w:r>
        <w:instrText>"</w:instrText>
      </w:r>
      <w:r>
        <w:rPr>
          <w:rStyle w:val="indexentry"/>
        </w:rPr>
        <w:fldChar w:fldCharType="end"/>
      </w:r>
      <w:r>
        <w:t>So a restrictive relative clause attached to a description</w:t>
      </w:r>
      <w:r>
        <w:rPr>
          <w:rStyle w:val="deletedparamark"/>
        </w:rPr>
        <w:t xml:space="preserve"> </w:t>
      </w:r>
      <w:r>
        <w:t>can often mean the same as a d</w:t>
      </w:r>
      <w:r>
        <w:t>e</w:t>
      </w:r>
      <w:r>
        <w:softHyphen/>
        <w:t>scription involving a tanru.</w:t>
      </w:r>
      <w:r>
        <w:rPr>
          <w:rStyle w:val="deletedparamark"/>
        </w:rPr>
        <w:t xml:space="preserve"> </w:t>
      </w:r>
      <w:r>
        <w:t>However, “blabi karce”, like all tanru, is somewhat vague: in</w:t>
      </w:r>
      <w:r>
        <w:rPr>
          <w:rStyle w:val="deletedparamark"/>
        </w:rPr>
        <w:t xml:space="preserve"> </w:t>
      </w:r>
      <w:r>
        <w:t>principle, it might refer to a car which carries white things,</w:t>
      </w:r>
      <w:r>
        <w:rPr>
          <w:rStyle w:val="deletedparamark"/>
        </w:rPr>
        <w:t xml:space="preserve"> </w:t>
      </w:r>
      <w:r>
        <w:t>or even express some more compli</w:t>
      </w:r>
      <w:r>
        <w:softHyphen/>
        <w:t>cated concept involving</w:t>
      </w:r>
      <w:r>
        <w:rPr>
          <w:rStyle w:val="deletedparamark"/>
        </w:rPr>
        <w:t xml:space="preserve"> </w:t>
      </w:r>
      <w:r>
        <w:t>whiteness and car-ness; the restrictive rela</w:t>
      </w:r>
      <w:r>
        <w:softHyphen/>
        <w:t>tive clause of</w:t>
      </w:r>
      <w:r>
        <w:rPr>
          <w:rStyle w:val="deletedparamark"/>
        </w:rPr>
        <w:t xml:space="preserve"> </w:t>
      </w:r>
      <w:r>
        <w:rPr>
          <w:rStyle w:val="htmlcodes"/>
        </w:rPr>
        <w:t>&lt;a href=#e2d5&gt;</w:t>
      </w:r>
      <w:r>
        <w:t xml:space="preserve">Example 2.5 </w:t>
      </w:r>
      <w:r>
        <w:rPr>
          <w:rStyle w:val="htmlcodes"/>
        </w:rPr>
        <w:t>&lt;/a&gt;</w:t>
      </w:r>
      <w:r>
        <w:t>can only refer to a car which is white, not to</w:t>
      </w:r>
      <w:r>
        <w:rPr>
          <w:rStyle w:val="deletedparamark"/>
        </w:rPr>
        <w:t xml:space="preserve"> </w:t>
      </w:r>
      <w:r>
        <w:t>any more com</w:t>
      </w:r>
      <w:r>
        <w:softHyphen/>
        <w:t>plex or extended concept.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298" w:name="_Toc398970545"/>
      <w:r>
        <w:rPr>
          <w:rStyle w:val="Heading3Text"/>
        </w:rPr>
        <w:t>Relative phrases</w:t>
      </w:r>
      <w:bookmarkEnd w:id="29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pe</w:t>
      </w:r>
      <w:r>
        <w:tab/>
        <w:t>GOI</w:t>
      </w:r>
      <w:r>
        <w:tab/>
        <w:t>restrictive association</w:t>
      </w:r>
    </w:p>
    <w:p w:rsidR="00B72047" w:rsidRDefault="00B72047">
      <w:pPr>
        <w:pStyle w:val="examplescaled"/>
      </w:pPr>
      <w:r>
        <w:tab/>
        <w:t>po</w:t>
      </w:r>
      <w:r>
        <w:tab/>
        <w:t>GOI</w:t>
      </w:r>
      <w:r>
        <w:tab/>
        <w:t>restrictive possession</w:t>
      </w:r>
    </w:p>
    <w:p w:rsidR="00B72047" w:rsidRDefault="00B72047">
      <w:pPr>
        <w:pStyle w:val="examplescaled"/>
      </w:pPr>
      <w:r>
        <w:tab/>
        <w:t>po'e</w:t>
      </w:r>
      <w:r>
        <w:tab/>
        <w:t>GOI</w:t>
      </w:r>
      <w:r>
        <w:tab/>
        <w:t>restrictive intrinsic possession</w:t>
      </w:r>
    </w:p>
    <w:p w:rsidR="00B72047" w:rsidRDefault="00B72047">
      <w:pPr>
        <w:pStyle w:val="examplescaled"/>
      </w:pPr>
      <w:r>
        <w:tab/>
        <w:t>po'u</w:t>
      </w:r>
      <w:r>
        <w:tab/>
        <w:t>GOI</w:t>
      </w:r>
      <w:r>
        <w:tab/>
        <w:t>restrictive identification</w:t>
      </w:r>
    </w:p>
    <w:p w:rsidR="00B72047" w:rsidRDefault="00B72047">
      <w:pPr>
        <w:pStyle w:val="examplescaled"/>
      </w:pPr>
      <w:r>
        <w:tab/>
        <w:t>ne</w:t>
      </w:r>
      <w:r>
        <w:tab/>
        <w:t>GOI</w:t>
      </w:r>
      <w:r>
        <w:tab/>
        <w:t>incidental association</w:t>
      </w:r>
    </w:p>
    <w:p w:rsidR="00B72047" w:rsidRDefault="00B72047">
      <w:pPr>
        <w:pStyle w:val="examplescaled"/>
      </w:pPr>
      <w:r>
        <w:tab/>
        <w:t>no'u</w:t>
      </w:r>
      <w:r>
        <w:tab/>
        <w:t>GOI</w:t>
      </w:r>
      <w:r>
        <w:tab/>
        <w:t>incidental identification</w:t>
      </w:r>
    </w:p>
    <w:p w:rsidR="00B72047" w:rsidRDefault="00B72047">
      <w:pPr>
        <w:pStyle w:val="examplescaledpre"/>
      </w:pPr>
      <w:r>
        <w:tab/>
        <w:t>ge'u</w:t>
      </w:r>
      <w:r>
        <w:tab/>
        <w:t>GEhU</w:t>
      </w:r>
      <w:r>
        <w:tab/>
        <w:t>relative phrase terminator</w:t>
      </w:r>
    </w:p>
    <w:p w:rsidR="00B72047" w:rsidRDefault="00B72047">
      <w:pPr>
        <w:pStyle w:val="normalafterexample"/>
      </w:pPr>
      <w:r>
        <w:rPr>
          <w:rStyle w:val="htmlcodes"/>
        </w:rPr>
        <w:t>&lt;/pre&gt;</w:t>
      </w:r>
      <w:r>
        <w:rPr>
          <w:rStyle w:val="indexentry"/>
        </w:rPr>
        <w:t>&lt;cx "relative phrase, rationale for"&gt;</w:t>
      </w:r>
      <w:r>
        <w:rPr>
          <w:rStyle w:val="indexentry"/>
        </w:rPr>
        <w:fldChar w:fldCharType="begin"/>
      </w:r>
      <w:r>
        <w:instrText>xe "</w:instrText>
      </w:r>
      <w:r>
        <w:rPr>
          <w:rStyle w:val="xeentry"/>
        </w:rPr>
        <w:instrText>relative phrase: rationale for</w:instrText>
      </w:r>
      <w:r>
        <w:instrText>"</w:instrText>
      </w:r>
      <w:r>
        <w:rPr>
          <w:rStyle w:val="indexentry"/>
        </w:rPr>
        <w:fldChar w:fldCharType="end"/>
      </w:r>
      <w:r>
        <w:rPr>
          <w:rStyle w:val="indexentry"/>
        </w:rPr>
        <w:t>&lt;lx "GOI"&gt;</w:t>
      </w:r>
      <w:r>
        <w:rPr>
          <w:rStyle w:val="indexentry"/>
        </w:rPr>
        <w:fldChar w:fldCharType="begin"/>
      </w:r>
      <w:r>
        <w:instrText>xe "</w:instrText>
      </w:r>
      <w:r>
        <w:rPr>
          <w:rStyle w:val="xeentry"/>
        </w:rPr>
        <w:instrText>GOI selma’o</w:instrText>
      </w:r>
      <w:r>
        <w:instrText>"</w:instrText>
      </w:r>
      <w:r>
        <w:rPr>
          <w:rStyle w:val="indexentry"/>
        </w:rPr>
        <w:fldChar w:fldCharType="end"/>
      </w:r>
      <w:r>
        <w:rPr>
          <w:rStyle w:val="indexentry"/>
        </w:rPr>
        <w:t>&lt;cx "relative phrase, syntax of"&gt;</w:t>
      </w:r>
      <w:r>
        <w:rPr>
          <w:rStyle w:val="indexentry"/>
        </w:rPr>
        <w:fldChar w:fldCharType="begin"/>
      </w:r>
      <w:r>
        <w:instrText>xe "</w:instrText>
      </w:r>
      <w:r>
        <w:rPr>
          <w:rStyle w:val="xeentry"/>
        </w:rPr>
        <w:instrText>relative phrase: syntax of</w:instrText>
      </w:r>
      <w:r>
        <w:instrText>"</w:instrText>
      </w:r>
      <w:r>
        <w:rPr>
          <w:rStyle w:val="indexentry"/>
        </w:rPr>
        <w:fldChar w:fldCharType="end"/>
      </w:r>
      <w:r>
        <w:rPr>
          <w:rStyle w:val="indexentry"/>
        </w:rPr>
        <w:t>&lt;cx "relative phrase, as an abbreviation of a common relative clause"&gt;</w:t>
      </w:r>
      <w:r>
        <w:rPr>
          <w:rStyle w:val="indexentry"/>
        </w:rPr>
        <w:fldChar w:fldCharType="begin"/>
      </w:r>
      <w:r>
        <w:instrText>xe "</w:instrText>
      </w:r>
      <w:r>
        <w:rPr>
          <w:rStyle w:val="xeentry"/>
        </w:rPr>
        <w:instrText>relative phrase: as an abbreviation of a common relative clause</w:instrText>
      </w:r>
      <w:r>
        <w:instrText>"</w:instrText>
      </w:r>
      <w:r>
        <w:rPr>
          <w:rStyle w:val="indexentry"/>
        </w:rPr>
        <w:fldChar w:fldCharType="end"/>
      </w:r>
      <w:r>
        <w:t>There are types of relative clauses (those which have a cer</w:t>
      </w:r>
      <w:r>
        <w:softHyphen/>
        <w:t>tain selbri)</w:t>
      </w:r>
      <w:r>
        <w:rPr>
          <w:rStyle w:val="deletedparamark"/>
        </w:rPr>
        <w:t xml:space="preserve"> </w:t>
      </w:r>
      <w:r>
        <w:t>which are fr</w:t>
      </w:r>
      <w:r>
        <w:t>e</w:t>
      </w:r>
      <w:r>
        <w:softHyphen/>
        <w:t>quently wanted in Lojban, and can be ex</w:t>
      </w:r>
      <w:r>
        <w:softHyphen/>
        <w:t>pressed using a shortcut</w:t>
      </w:r>
      <w:r>
        <w:rPr>
          <w:rStyle w:val="deletedparamark"/>
        </w:rPr>
        <w:t xml:space="preserve"> </w:t>
      </w:r>
      <w:r>
        <w:t>called a relative phrase. Relative phrases are introduced by cmavo of</w:t>
      </w:r>
      <w:r>
        <w:rPr>
          <w:rStyle w:val="deletedparamark"/>
        </w:rPr>
        <w:t xml:space="preserve"> </w:t>
      </w:r>
      <w:r>
        <w:t>selma'o GOI, and consist of a GOI cmavo followed by a single sumti.</w:t>
      </w:r>
    </w:p>
    <w:p w:rsidR="00B72047" w:rsidRDefault="00B72047">
      <w:pPr>
        <w:rPr>
          <w:rStyle w:val="htmlparacode"/>
        </w:rPr>
      </w:pPr>
      <w:r>
        <w:rPr>
          <w:rStyle w:val="htmlparacode"/>
        </w:rPr>
        <w:t>&lt;p&gt;</w:t>
      </w:r>
    </w:p>
    <w:p w:rsidR="00B72047" w:rsidRDefault="00B72047">
      <w:pPr>
        <w:pStyle w:val="normalparagraph"/>
      </w:pPr>
      <w:r>
        <w:rPr>
          <w:rStyle w:val="indexentry"/>
        </w:rPr>
        <w:t>&lt;lx "pe"&gt;</w:t>
      </w:r>
      <w:r>
        <w:rPr>
          <w:rStyle w:val="indexentry"/>
        </w:rPr>
        <w:fldChar w:fldCharType="begin"/>
      </w:r>
      <w:r>
        <w:instrText>xe "</w:instrText>
      </w:r>
      <w:r>
        <w:rPr>
          <w:rStyle w:val="xeentry"/>
        </w:rPr>
        <w:instrText>pe</w:instrText>
      </w:r>
      <w:r>
        <w:instrText>"</w:instrText>
      </w:r>
      <w:r>
        <w:rPr>
          <w:rStyle w:val="indexentry"/>
        </w:rPr>
        <w:fldChar w:fldCharType="end"/>
      </w:r>
      <w:r>
        <w:rPr>
          <w:rStyle w:val="indexentry"/>
        </w:rPr>
        <w:t>&lt;cx "pe, compared with “poi ke'a srana”"&gt;</w:t>
      </w:r>
      <w:r>
        <w:rPr>
          <w:rStyle w:val="indexentry"/>
        </w:rPr>
        <w:fldChar w:fldCharType="begin"/>
      </w:r>
      <w:r>
        <w:instrText>xe "</w:instrText>
      </w:r>
      <w:r>
        <w:rPr>
          <w:rStyle w:val="xeentry"/>
        </w:rPr>
        <w:instrText>pe: compared with poi ke'a srana</w:instrText>
      </w:r>
      <w:r>
        <w:instrText>"</w:instrText>
      </w:r>
      <w:r>
        <w:rPr>
          <w:rStyle w:val="indexentry"/>
        </w:rPr>
        <w:fldChar w:fldCharType="end"/>
      </w:r>
      <w:r>
        <w:rPr>
          <w:rStyle w:val="indexentry"/>
        </w:rPr>
        <w:t>&lt;cx "pe, as loose association"&gt;</w:t>
      </w:r>
      <w:r>
        <w:rPr>
          <w:rStyle w:val="indexentry"/>
        </w:rPr>
        <w:fldChar w:fldCharType="begin"/>
      </w:r>
      <w:r>
        <w:instrText>xe "</w:instrText>
      </w:r>
      <w:r>
        <w:rPr>
          <w:rStyle w:val="xeentry"/>
        </w:rPr>
        <w:instrText>pe: as loose association</w:instrText>
      </w:r>
      <w:r>
        <w:instrText>"</w:instrText>
      </w:r>
      <w:r>
        <w:rPr>
          <w:rStyle w:val="indexentry"/>
        </w:rPr>
        <w:fldChar w:fldCharType="end"/>
      </w:r>
      <w:r>
        <w:rPr>
          <w:rStyle w:val="indexentry"/>
        </w:rPr>
        <w:t>&lt;cx "loose association, expressing with pe"&gt;</w:t>
      </w:r>
      <w:r>
        <w:rPr>
          <w:rStyle w:val="indexentry"/>
        </w:rPr>
        <w:fldChar w:fldCharType="begin"/>
      </w:r>
      <w:r>
        <w:instrText>xe "</w:instrText>
      </w:r>
      <w:r>
        <w:rPr>
          <w:rStyle w:val="xeentry"/>
        </w:rPr>
        <w:instrText>loose association: expressing with pe</w:instrText>
      </w:r>
      <w:r>
        <w:instrText>"</w:instrText>
      </w:r>
      <w:r>
        <w:rPr>
          <w:rStyle w:val="indexentry"/>
        </w:rPr>
        <w:fldChar w:fldCharType="end"/>
      </w:r>
      <w:r>
        <w:t>Here is an example of “pe”, plus an equivalent sentence us</w:t>
      </w:r>
      <w:r>
        <w:softHyphen/>
        <w:t>ing a relative</w:t>
      </w:r>
      <w:r>
        <w:rPr>
          <w:rStyle w:val="deletedparamark"/>
        </w:rPr>
        <w:t xml:space="preserve"> </w:t>
      </w:r>
      <w:r>
        <w:t>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le stizu pe mi cu blanu</w:t>
      </w:r>
    </w:p>
    <w:p w:rsidR="00B72047" w:rsidRDefault="00B72047">
      <w:pPr>
        <w:pStyle w:val="examplescaled"/>
      </w:pPr>
      <w:r>
        <w:tab/>
        <w:t>The chair associated-with me is-blue.</w:t>
      </w:r>
    </w:p>
    <w:p w:rsidR="00B72047" w:rsidRDefault="00B72047">
      <w:pPr>
        <w:pStyle w:val="examplescaled"/>
      </w:pPr>
      <w:r>
        <w:tab/>
        <w:t>My chair is blue.</w:t>
      </w:r>
    </w:p>
    <w:p w:rsidR="00B72047" w:rsidRDefault="00B72047">
      <w:pPr>
        <w:pStyle w:val="examplescaledpre"/>
        <w:spacing w:before="0"/>
      </w:pPr>
      <w:r>
        <w:rPr>
          <w:rStyle w:val="htmlcodes"/>
          <w:vanish w:val="0"/>
        </w:rPr>
        <w:br w:type="page"/>
      </w:r>
      <w:r>
        <w:rPr>
          <w:rStyle w:val="htmlcodes"/>
        </w:rPr>
        <w:t>&lt;a name=e3d2&gt;</w:t>
      </w:r>
      <w:r>
        <w:t>3.2)</w:t>
      </w:r>
      <w:r>
        <w:tab/>
        <w:t>le stizu poi ke'a srana mi cu blanu</w:t>
      </w:r>
    </w:p>
    <w:p w:rsidR="00B72047" w:rsidRDefault="00B72047">
      <w:pPr>
        <w:pStyle w:val="examplescaled"/>
      </w:pPr>
      <w:r>
        <w:tab/>
        <w:t>The chair such-that (IT is-associated-with me) is-blue.</w:t>
      </w:r>
    </w:p>
    <w:p w:rsidR="00B72047" w:rsidRDefault="00B72047">
      <w:pPr>
        <w:pStyle w:val="resumedafterexample"/>
      </w:pPr>
      <w:r>
        <w:rPr>
          <w:rStyle w:val="htmlcodes"/>
        </w:rPr>
        <w:t>&lt;/pre&gt;&lt;p&gt;</w:t>
      </w:r>
      <w:r>
        <w:t xml:space="preserve">In </w:t>
      </w:r>
      <w:r>
        <w:rPr>
          <w:rStyle w:val="htmlcodes"/>
        </w:rPr>
        <w:t>&lt;a href=#e3d1&gt;</w:t>
      </w:r>
      <w:r>
        <w:t xml:space="preserve">Example 3.1 </w:t>
      </w:r>
      <w:r>
        <w:rPr>
          <w:rStyle w:val="htmlcodes"/>
        </w:rPr>
        <w:t>&lt;/a&gt;</w:t>
      </w:r>
      <w:r>
        <w:t xml:space="preserve">and </w:t>
      </w:r>
      <w:r>
        <w:rPr>
          <w:rStyle w:val="htmlcodes"/>
        </w:rPr>
        <w:t>&lt;a href=#e3d2&gt;</w:t>
      </w:r>
      <w:r>
        <w:t>Example 3.2</w:t>
      </w:r>
      <w:r>
        <w:rPr>
          <w:rStyle w:val="htmlcodes"/>
        </w:rPr>
        <w:t>&lt;/a&gt;</w:t>
      </w:r>
      <w:r>
        <w:t>, the link between the chair and the</w:t>
      </w:r>
      <w:r>
        <w:rPr>
          <w:rStyle w:val="deletedparamark"/>
        </w:rPr>
        <w:t xml:space="preserve"> </w:t>
      </w:r>
      <w:r>
        <w:t>speaker is of the loosest kind.</w:t>
      </w:r>
    </w:p>
    <w:p w:rsidR="00B72047" w:rsidRDefault="00B72047">
      <w:pPr>
        <w:rPr>
          <w:rStyle w:val="htmlparacode"/>
        </w:rPr>
      </w:pPr>
      <w:r>
        <w:rPr>
          <w:rStyle w:val="htmlparacode"/>
        </w:rPr>
        <w:t>&lt;p&gt;</w:t>
      </w:r>
    </w:p>
    <w:p w:rsidR="00B72047" w:rsidRDefault="00B72047">
      <w:pPr>
        <w:pStyle w:val="normalparagraph"/>
      </w:pPr>
      <w:r>
        <w:rPr>
          <w:rStyle w:val="indexentry"/>
        </w:rPr>
        <w:t>&lt;lx "po"&gt;</w:t>
      </w:r>
      <w:r>
        <w:rPr>
          <w:rStyle w:val="indexentry"/>
        </w:rPr>
        <w:fldChar w:fldCharType="begin"/>
      </w:r>
      <w:r>
        <w:instrText>xe "</w:instrText>
      </w:r>
      <w:r>
        <w:rPr>
          <w:rStyle w:val="xeentry"/>
        </w:rPr>
        <w:instrText>po</w:instrText>
      </w:r>
      <w:r>
        <w:instrText>"</w:instrText>
      </w:r>
      <w:r>
        <w:rPr>
          <w:rStyle w:val="indexentry"/>
        </w:rPr>
        <w:fldChar w:fldCharType="end"/>
      </w:r>
      <w:r>
        <w:rPr>
          <w:rStyle w:val="indexentry"/>
        </w:rPr>
        <w:t>&lt;cx "po, compared with “poi ke'a se steci srana”"&gt;</w:t>
      </w:r>
      <w:r>
        <w:rPr>
          <w:rStyle w:val="indexentry"/>
        </w:rPr>
        <w:fldChar w:fldCharType="begin"/>
      </w:r>
      <w:r>
        <w:instrText>xe "</w:instrText>
      </w:r>
      <w:r>
        <w:rPr>
          <w:rStyle w:val="xeentry"/>
        </w:rPr>
        <w:instrText>po: compared with poi ke'a se steci srana</w:instrText>
      </w:r>
      <w:r>
        <w:instrText>"</w:instrText>
      </w:r>
      <w:r>
        <w:rPr>
          <w:rStyle w:val="indexentry"/>
        </w:rPr>
        <w:fldChar w:fldCharType="end"/>
      </w:r>
      <w:r>
        <w:rPr>
          <w:rStyle w:val="indexentry"/>
        </w:rPr>
        <w:t>&lt;cx "po, as restrictive possession"&gt;</w:t>
      </w:r>
      <w:r>
        <w:rPr>
          <w:rStyle w:val="indexentry"/>
        </w:rPr>
        <w:fldChar w:fldCharType="begin"/>
      </w:r>
      <w:r>
        <w:instrText>xe "</w:instrText>
      </w:r>
      <w:r>
        <w:rPr>
          <w:rStyle w:val="xeentry"/>
        </w:rPr>
        <w:instrText>po: as restrictive possession</w:instrText>
      </w:r>
      <w:r>
        <w:instrText>"</w:instrText>
      </w:r>
      <w:r>
        <w:rPr>
          <w:rStyle w:val="indexentry"/>
        </w:rPr>
        <w:fldChar w:fldCharType="end"/>
      </w:r>
      <w:r>
        <w:rPr>
          <w:rStyle w:val="indexentry"/>
        </w:rPr>
        <w:t>&lt;cx "possession, expressing with po"&gt;</w:t>
      </w:r>
      <w:r>
        <w:rPr>
          <w:rStyle w:val="indexentry"/>
        </w:rPr>
        <w:fldChar w:fldCharType="begin"/>
      </w:r>
      <w:r>
        <w:instrText>xe "</w:instrText>
      </w:r>
      <w:r>
        <w:rPr>
          <w:rStyle w:val="xeentry"/>
        </w:rPr>
        <w:instrText>possession: expressing with po</w:instrText>
      </w:r>
      <w:r>
        <w:instrText>"</w:instrText>
      </w:r>
      <w:r>
        <w:rPr>
          <w:rStyle w:val="indexentry"/>
        </w:rPr>
        <w:fldChar w:fldCharType="end"/>
      </w:r>
      <w:r>
        <w:rPr>
          <w:rStyle w:val="indexentry"/>
        </w:rPr>
        <w:t>&lt;cx "specificity, expressing with po"&gt;</w:t>
      </w:r>
      <w:r>
        <w:rPr>
          <w:rStyle w:val="indexentry"/>
        </w:rPr>
        <w:fldChar w:fldCharType="begin"/>
      </w:r>
      <w:r>
        <w:instrText>xe "</w:instrText>
      </w:r>
      <w:r>
        <w:rPr>
          <w:rStyle w:val="xeentry"/>
        </w:rPr>
        <w:instrText>specificity: expressing with po</w:instrText>
      </w:r>
      <w:r>
        <w:instrText>"</w:instrText>
      </w:r>
      <w:r>
        <w:rPr>
          <w:rStyle w:val="indexentry"/>
        </w:rPr>
        <w:fldChar w:fldCharType="end"/>
      </w:r>
      <w:r>
        <w:t>Here is an example of “po”: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le stizu po mi cu xunre</w:t>
      </w:r>
    </w:p>
    <w:p w:rsidR="00B72047" w:rsidRDefault="00B72047">
      <w:pPr>
        <w:pStyle w:val="examplescaled"/>
      </w:pPr>
      <w:r>
        <w:tab/>
        <w:t>The chair specific-to me is red.</w:t>
      </w:r>
    </w:p>
    <w:p w:rsidR="00B72047" w:rsidRDefault="00B72047">
      <w:pPr>
        <w:pStyle w:val="examplescaledpre"/>
      </w:pPr>
      <w:r>
        <w:rPr>
          <w:rStyle w:val="htmlcodes"/>
        </w:rPr>
        <w:t>&lt;a name=e3d4&gt;</w:t>
      </w:r>
      <w:r>
        <w:t>3.4)</w:t>
      </w:r>
      <w:r>
        <w:tab/>
        <w:t>le stizu poi ke'a se steci srana mi cu xunre</w:t>
      </w:r>
    </w:p>
    <w:p w:rsidR="00B72047" w:rsidRDefault="00B72047">
      <w:pPr>
        <w:pStyle w:val="examplescaled"/>
      </w:pPr>
      <w:r>
        <w:tab/>
        <w:t>The chair such-that (IT is-specifically associated-with me) is-red.</w:t>
      </w:r>
    </w:p>
    <w:p w:rsidR="00B72047" w:rsidRDefault="00B72047">
      <w:pPr>
        <w:pStyle w:val="resumedafterexample"/>
      </w:pPr>
      <w:r>
        <w:rPr>
          <w:rStyle w:val="htmlcodes"/>
        </w:rPr>
        <w:t>&lt;/pre&gt;</w:t>
      </w:r>
      <w:r>
        <w:rPr>
          <w:rStyle w:val="indexentry"/>
        </w:rPr>
        <w:t>&lt;cx "pe, contrasted with po"&gt;</w:t>
      </w:r>
      <w:r>
        <w:rPr>
          <w:rStyle w:val="indexentry"/>
        </w:rPr>
        <w:fldChar w:fldCharType="begin"/>
      </w:r>
      <w:r>
        <w:instrText>xe "</w:instrText>
      </w:r>
      <w:r>
        <w:rPr>
          <w:rStyle w:val="xeentry"/>
        </w:rPr>
        <w:instrText>pe: contrasted with po</w:instrText>
      </w:r>
      <w:r>
        <w:instrText>"</w:instrText>
      </w:r>
      <w:r>
        <w:rPr>
          <w:rStyle w:val="indexentry"/>
        </w:rPr>
        <w:fldChar w:fldCharType="end"/>
      </w:r>
      <w:r>
        <w:rPr>
          <w:rStyle w:val="indexentry"/>
        </w:rPr>
        <w:t>&lt;cx "po, contrasted with pe"&gt;</w:t>
      </w:r>
      <w:r>
        <w:rPr>
          <w:rStyle w:val="indexentry"/>
        </w:rPr>
        <w:fldChar w:fldCharType="begin"/>
      </w:r>
      <w:r>
        <w:instrText>xe "</w:instrText>
      </w:r>
      <w:r>
        <w:rPr>
          <w:rStyle w:val="xeentry"/>
        </w:rPr>
        <w:instrText>po: contrasted with pe</w:instrText>
      </w:r>
      <w:r>
        <w:instrText>"</w:instrText>
      </w:r>
      <w:r>
        <w:rPr>
          <w:rStyle w:val="indexentry"/>
        </w:rPr>
        <w:fldChar w:fldCharType="end"/>
      </w:r>
      <w:r>
        <w:rPr>
          <w:rStyle w:val="htmlcodes"/>
        </w:rPr>
        <w:t>&lt;a href=#e3d3&gt;</w:t>
      </w:r>
      <w:r>
        <w:t xml:space="preserve">Example 3.3 </w:t>
      </w:r>
      <w:r>
        <w:rPr>
          <w:rStyle w:val="htmlcodes"/>
        </w:rPr>
        <w:t>&lt;/a&gt;</w:t>
      </w:r>
      <w:r>
        <w:t xml:space="preserve">and </w:t>
      </w:r>
      <w:r>
        <w:rPr>
          <w:rStyle w:val="htmlcodes"/>
        </w:rPr>
        <w:t>&lt;a href=#e3d4&gt;</w:t>
      </w:r>
      <w:r>
        <w:t xml:space="preserve">Example 3.4 </w:t>
      </w:r>
      <w:r>
        <w:rPr>
          <w:rStyle w:val="htmlcodes"/>
        </w:rPr>
        <w:t>&lt;/a&gt;</w:t>
      </w:r>
      <w:r>
        <w:t xml:space="preserve">contrast with </w:t>
      </w:r>
      <w:r>
        <w:rPr>
          <w:rStyle w:val="htmlcodes"/>
        </w:rPr>
        <w:t>&lt;a href=#e3d1&gt;</w:t>
      </w:r>
      <w:r>
        <w:t xml:space="preserve">Example 3.1 </w:t>
      </w:r>
      <w:r>
        <w:rPr>
          <w:rStyle w:val="htmlcodes"/>
        </w:rPr>
        <w:t>&lt;/a&gt;</w:t>
      </w:r>
      <w:r>
        <w:t xml:space="preserve">and </w:t>
      </w:r>
      <w:r>
        <w:rPr>
          <w:rStyle w:val="htmlcodes"/>
        </w:rPr>
        <w:t>&lt;a href=#e3d2&gt;</w:t>
      </w:r>
      <w:r>
        <w:t>Exam</w:t>
      </w:r>
      <w:r>
        <w:softHyphen/>
        <w:t>ple 3.2</w:t>
      </w:r>
      <w:r>
        <w:rPr>
          <w:rStyle w:val="htmlcodes"/>
        </w:rPr>
        <w:t>&lt;/a&gt;</w:t>
      </w:r>
      <w:r>
        <w:t>: the</w:t>
      </w:r>
      <w:r>
        <w:rPr>
          <w:rStyle w:val="deletedparamark"/>
        </w:rPr>
        <w:t xml:space="preserve"> </w:t>
      </w:r>
      <w:r>
        <w:t>chair is more permanently connected with the speaker. A plausible (though</w:t>
      </w:r>
      <w:r>
        <w:rPr>
          <w:rStyle w:val="deletedparamark"/>
        </w:rPr>
        <w:t xml:space="preserve"> </w:t>
      </w:r>
      <w:r>
        <w:t>not the only possi</w:t>
      </w:r>
      <w:r>
        <w:softHyphen/>
        <w:t xml:space="preserve">ble) contrast between </w:t>
      </w:r>
      <w:r>
        <w:rPr>
          <w:rStyle w:val="htmlcodes"/>
        </w:rPr>
        <w:t>&lt;a href=#e3d1&gt;</w:t>
      </w:r>
      <w:r>
        <w:t xml:space="preserve">Example 3.1 </w:t>
      </w:r>
      <w:r>
        <w:rPr>
          <w:rStyle w:val="htmlcodes"/>
        </w:rPr>
        <w:t>&lt;/a&gt;</w:t>
      </w:r>
      <w:r>
        <w:t xml:space="preserve">and </w:t>
      </w:r>
      <w:r>
        <w:rPr>
          <w:rStyle w:val="htmlcodes"/>
        </w:rPr>
        <w:t>&lt;a href=#e3d3&gt;</w:t>
      </w:r>
      <w:r>
        <w:t xml:space="preserve">Example 3.3 </w:t>
      </w:r>
      <w:r>
        <w:rPr>
          <w:rStyle w:val="htmlcodes"/>
        </w:rPr>
        <w:t>&lt;/a&gt;</w:t>
      </w:r>
      <w:r>
        <w:t>is that</w:t>
      </w:r>
      <w:r>
        <w:rPr>
          <w:rStyle w:val="deletedparamark"/>
        </w:rPr>
        <w:t xml:space="preserve"> “</w:t>
      </w:r>
      <w:r>
        <w:t>pe mi” would be appropri</w:t>
      </w:r>
      <w:r>
        <w:softHyphen/>
        <w:t>ate for a chair the speaker is currently sitting on</w:t>
      </w:r>
      <w:r>
        <w:rPr>
          <w:rStyle w:val="deletedparamark"/>
        </w:rPr>
        <w:t xml:space="preserve"> </w:t>
      </w:r>
      <w:r>
        <w:t>(whether or not the speaker owned that chair), and “po mi” for a chair owned</w:t>
      </w:r>
      <w:r>
        <w:rPr>
          <w:rStyle w:val="deletedparamark"/>
        </w:rPr>
        <w:t xml:space="preserve"> </w:t>
      </w:r>
      <w:r>
        <w:t>by the speaker (whether or not he or she was cur</w:t>
      </w:r>
      <w:r>
        <w:softHyphen/>
        <w:t>rently occ</w:t>
      </w:r>
      <w:r>
        <w:t>u</w:t>
      </w:r>
      <w:r>
        <w:softHyphen/>
        <w:t>pying it).</w:t>
      </w:r>
    </w:p>
    <w:p w:rsidR="00B72047" w:rsidRDefault="00B72047">
      <w:pPr>
        <w:rPr>
          <w:rStyle w:val="htmlparacode"/>
        </w:rPr>
      </w:pPr>
      <w:r>
        <w:rPr>
          <w:rStyle w:val="htmlparacode"/>
        </w:rPr>
        <w:t>&lt;p&gt;</w:t>
      </w:r>
    </w:p>
    <w:p w:rsidR="00B72047" w:rsidRDefault="00B72047">
      <w:pPr>
        <w:pStyle w:val="normalparagraph"/>
      </w:pPr>
      <w:r>
        <w:rPr>
          <w:rStyle w:val="indexentry"/>
        </w:rPr>
        <w:t>&lt;cx "po, contrasted with English “possession”"&gt;</w:t>
      </w:r>
      <w:r>
        <w:rPr>
          <w:rStyle w:val="indexentry"/>
        </w:rPr>
        <w:fldChar w:fldCharType="begin"/>
      </w:r>
      <w:r>
        <w:instrText>xe "</w:instrText>
      </w:r>
      <w:r>
        <w:rPr>
          <w:rStyle w:val="xeentry"/>
        </w:rPr>
        <w:instrText>po: contrasted with English possession</w:instrText>
      </w:r>
      <w:r>
        <w:instrText>"</w:instrText>
      </w:r>
      <w:r>
        <w:rPr>
          <w:rStyle w:val="indexentry"/>
        </w:rPr>
        <w:fldChar w:fldCharType="end"/>
      </w:r>
      <w:r>
        <w:t>As a result, the relationship expressed between two sumti by “po” is usually</w:t>
      </w:r>
      <w:r>
        <w:rPr>
          <w:rStyle w:val="deletedparamark"/>
        </w:rPr>
        <w:t xml:space="preserve"> </w:t>
      </w:r>
      <w:r>
        <w:t>called “possession”, although it does not necessarily imply ownership, legal</w:t>
      </w:r>
      <w:r>
        <w:rPr>
          <w:rStyle w:val="deletedparamark"/>
        </w:rPr>
        <w:t xml:space="preserve"> </w:t>
      </w:r>
      <w:r>
        <w:t>or other</w:t>
      </w:r>
      <w:r>
        <w:softHyphen/>
        <w:t>wise. The central concept is that of specificity (“steci” in Lojban).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"po'e"&gt;</w:t>
      </w:r>
      <w:r>
        <w:rPr>
          <w:rStyle w:val="indexentry"/>
        </w:rPr>
        <w:fldChar w:fldCharType="begin"/>
      </w:r>
      <w:r>
        <w:instrText>xe "</w:instrText>
      </w:r>
      <w:r>
        <w:rPr>
          <w:rStyle w:val="xeentry"/>
        </w:rPr>
        <w:instrText>po'e</w:instrText>
      </w:r>
      <w:r>
        <w:instrText>"</w:instrText>
      </w:r>
      <w:r>
        <w:rPr>
          <w:rStyle w:val="indexentry"/>
        </w:rPr>
        <w:fldChar w:fldCharType="end"/>
      </w:r>
      <w:r>
        <w:rPr>
          <w:rStyle w:val="indexentry"/>
        </w:rPr>
        <w:t>&lt;cx "po'e, compared with “poi ke'a jinzi ke se steci srana”"&gt;</w:t>
      </w:r>
      <w:r>
        <w:rPr>
          <w:rStyle w:val="indexentry"/>
        </w:rPr>
        <w:fldChar w:fldCharType="begin"/>
      </w:r>
      <w:r>
        <w:instrText>xe "</w:instrText>
      </w:r>
      <w:r>
        <w:rPr>
          <w:rStyle w:val="xeentry"/>
        </w:rPr>
        <w:instrText>po'e: compared with poi ke'a jinzi ke se steci srana</w:instrText>
      </w:r>
      <w:r>
        <w:instrText>"</w:instrText>
      </w:r>
      <w:r>
        <w:rPr>
          <w:rStyle w:val="indexentry"/>
        </w:rPr>
        <w:fldChar w:fldCharType="end"/>
      </w:r>
      <w:r>
        <w:rPr>
          <w:rStyle w:val="indexentry"/>
        </w:rPr>
        <w:t>&lt;cx "po'e, as intrinsic possession"&gt;</w:t>
      </w:r>
      <w:r>
        <w:rPr>
          <w:rStyle w:val="indexentry"/>
        </w:rPr>
        <w:fldChar w:fldCharType="begin"/>
      </w:r>
      <w:r>
        <w:instrText>xe "</w:instrText>
      </w:r>
      <w:r>
        <w:rPr>
          <w:rStyle w:val="xeentry"/>
        </w:rPr>
        <w:instrText>po'e: as intrinsic possession</w:instrText>
      </w:r>
      <w:r>
        <w:instrText>"</w:instrText>
      </w:r>
      <w:r>
        <w:rPr>
          <w:rStyle w:val="indexentry"/>
        </w:rPr>
        <w:fldChar w:fldCharType="end"/>
      </w:r>
      <w:r>
        <w:rPr>
          <w:rStyle w:val="indexentry"/>
        </w:rPr>
        <w:t>&lt;cx "possession, intrinsic, expressing with po'e"&gt;</w:t>
      </w:r>
      <w:r>
        <w:rPr>
          <w:rStyle w:val="indexentry"/>
        </w:rPr>
        <w:fldChar w:fldCharType="begin"/>
      </w:r>
      <w:r>
        <w:instrText>xe "</w:instrText>
      </w:r>
      <w:r>
        <w:rPr>
          <w:rStyle w:val="xeentry"/>
        </w:rPr>
        <w:instrText>possession: intrinsic, expressing with po'e</w:instrText>
      </w:r>
      <w:r>
        <w:instrText>"</w:instrText>
      </w:r>
      <w:r>
        <w:rPr>
          <w:rStyle w:val="indexentry"/>
        </w:rPr>
        <w:fldChar w:fldCharType="end"/>
      </w:r>
      <w:r>
        <w:rPr>
          <w:rStyle w:val="indexentry"/>
        </w:rPr>
        <w:t>&lt;cx "intrinsic possession, expressing with po'e"&gt;</w:t>
      </w:r>
      <w:r>
        <w:rPr>
          <w:rStyle w:val="indexentry"/>
        </w:rPr>
        <w:fldChar w:fldCharType="begin"/>
      </w:r>
      <w:r>
        <w:instrText>xe "</w:instrText>
      </w:r>
      <w:r>
        <w:rPr>
          <w:rStyle w:val="xeentry"/>
        </w:rPr>
        <w:instrText>intrinsic possession: expressing with po'e</w:instrText>
      </w:r>
      <w:r>
        <w:instrText>"</w:instrText>
      </w:r>
      <w:r>
        <w:rPr>
          <w:rStyle w:val="indexentry"/>
        </w:rPr>
        <w:fldChar w:fldCharType="end"/>
      </w:r>
      <w:r>
        <w:rPr>
          <w:rStyle w:val="indexentry"/>
        </w:rPr>
        <w:t>&lt;cx "inalienable possession, expressing with po'e"&gt;</w:t>
      </w:r>
      <w:r>
        <w:rPr>
          <w:rStyle w:val="indexentry"/>
        </w:rPr>
        <w:fldChar w:fldCharType="begin"/>
      </w:r>
      <w:r>
        <w:instrText>xe "</w:instrText>
      </w:r>
      <w:r>
        <w:rPr>
          <w:rStyle w:val="xeentry"/>
        </w:rPr>
        <w:instrText>inalienable possession: expressing with po'e</w:instrText>
      </w:r>
      <w:r>
        <w:instrText>"</w:instrText>
      </w:r>
      <w:r>
        <w:rPr>
          <w:rStyle w:val="indexentry"/>
        </w:rPr>
        <w:fldChar w:fldCharType="end"/>
      </w:r>
      <w:r>
        <w:t>Here is an example of “po'e”, as well as another example of “po”:</w:t>
      </w:r>
    </w:p>
    <w:p w:rsidR="00B72047" w:rsidRDefault="00B72047">
      <w:pPr>
        <w:rPr>
          <w:rStyle w:val="htmlparacode"/>
        </w:rPr>
      </w:pPr>
      <w:r>
        <w:rPr>
          <w:rStyle w:val="htmlparacode"/>
        </w:rPr>
        <w:t>&lt;p&gt;</w:t>
      </w:r>
    </w:p>
    <w:p w:rsidR="00B72047" w:rsidRDefault="00B72047">
      <w:pPr>
        <w:pStyle w:val="examplescaledpre"/>
      </w:pPr>
      <w:r>
        <w:rPr>
          <w:rStyle w:val="indexentry"/>
        </w:rPr>
        <w:t>&lt;ex "person's arm"&gt;</w:t>
      </w:r>
      <w:r>
        <w:rPr>
          <w:rStyle w:val="indexentry"/>
        </w:rPr>
        <w:fldChar w:fldCharType="begin"/>
      </w:r>
      <w:r>
        <w:instrText>xe "</w:instrText>
      </w:r>
      <w:r>
        <w:rPr>
          <w:rStyle w:val="xeentry"/>
        </w:rPr>
        <w:instrText>person's arm: example</w:instrText>
      </w:r>
      <w:r>
        <w:instrText>"</w:instrText>
      </w:r>
      <w:r>
        <w:rPr>
          <w:rStyle w:val="indexentry"/>
        </w:rPr>
        <w:fldChar w:fldCharType="end"/>
      </w:r>
      <w:r>
        <w:rPr>
          <w:rStyle w:val="htmlcodes"/>
        </w:rPr>
        <w:t>&lt;pre&gt;&lt;a name=e3d5&gt;</w:t>
      </w:r>
      <w:r>
        <w:t>3.5)</w:t>
      </w:r>
      <w:r>
        <w:tab/>
        <w:t>le birka po'e mi cu spofu</w:t>
      </w:r>
    </w:p>
    <w:p w:rsidR="00B72047" w:rsidRDefault="00B72047">
      <w:pPr>
        <w:pStyle w:val="examplescaled"/>
      </w:pPr>
      <w:r>
        <w:tab/>
        <w:t>The arm intrinsically-possessed-by me is-broken</w:t>
      </w:r>
    </w:p>
    <w:p w:rsidR="00B72047" w:rsidRDefault="00B72047">
      <w:pPr>
        <w:pStyle w:val="examplescaledpre"/>
      </w:pPr>
      <w:r>
        <w:rPr>
          <w:rStyle w:val="htmlcodes"/>
        </w:rPr>
        <w:t>&lt;a name=e3d6&gt;</w:t>
      </w:r>
      <w:r>
        <w:t>3.6)</w:t>
      </w:r>
      <w:r>
        <w:tab/>
        <w:t>le birka poi jinzi ke se steci srana mi cu spofu</w:t>
      </w:r>
    </w:p>
    <w:p w:rsidR="00B72047" w:rsidRDefault="00B72047">
      <w:pPr>
        <w:pStyle w:val="examplescaled"/>
      </w:pPr>
      <w:r>
        <w:tab/>
        <w:t>The arm which is-intrinsically (specifically associated-with) me is-broken.</w:t>
      </w:r>
    </w:p>
    <w:p w:rsidR="00B72047" w:rsidRDefault="00B72047">
      <w:pPr>
        <w:pStyle w:val="examplescaledpre"/>
      </w:pPr>
      <w:r>
        <w:rPr>
          <w:rStyle w:val="htmlcodes"/>
        </w:rPr>
        <w:t>&lt;a name=e3d7&gt;</w:t>
      </w:r>
      <w:r>
        <w:t>3.7)</w:t>
      </w:r>
      <w:r>
        <w:tab/>
        <w:t>le botpi po mi cu spofu</w:t>
      </w:r>
    </w:p>
    <w:p w:rsidR="00B72047" w:rsidRDefault="00B72047">
      <w:pPr>
        <w:pStyle w:val="examplescaled"/>
      </w:pPr>
      <w:r>
        <w:tab/>
        <w:t>The bottle specific-to me is-broken</w:t>
      </w:r>
    </w:p>
    <w:p w:rsidR="00B72047" w:rsidRDefault="00B72047">
      <w:pPr>
        <w:pStyle w:val="resumedafterexample"/>
      </w:pPr>
      <w:r>
        <w:rPr>
          <w:rStyle w:val="htmlcodes"/>
        </w:rPr>
        <w:t>&lt;/pre&gt;</w:t>
      </w:r>
      <w:r>
        <w:rPr>
          <w:rStyle w:val="indexentry"/>
        </w:rPr>
        <w:t>&lt;cx "po'e, contrasted with po"&gt;</w:t>
      </w:r>
      <w:r>
        <w:rPr>
          <w:rStyle w:val="indexentry"/>
        </w:rPr>
        <w:fldChar w:fldCharType="begin"/>
      </w:r>
      <w:r>
        <w:instrText>xe "</w:instrText>
      </w:r>
      <w:r>
        <w:rPr>
          <w:rStyle w:val="xeentry"/>
        </w:rPr>
        <w:instrText>po'e: contrasted with po</w:instrText>
      </w:r>
      <w:r>
        <w:instrText>"</w:instrText>
      </w:r>
      <w:r>
        <w:rPr>
          <w:rStyle w:val="indexentry"/>
        </w:rPr>
        <w:fldChar w:fldCharType="end"/>
      </w:r>
      <w:r>
        <w:rPr>
          <w:rStyle w:val="indexentry"/>
        </w:rPr>
        <w:t>&lt;cx "po, contrasted with po'e"&gt;</w:t>
      </w:r>
      <w:r>
        <w:rPr>
          <w:rStyle w:val="indexentry"/>
        </w:rPr>
        <w:fldChar w:fldCharType="begin"/>
      </w:r>
      <w:r>
        <w:instrText>xe "</w:instrText>
      </w:r>
      <w:r>
        <w:rPr>
          <w:rStyle w:val="xeentry"/>
        </w:rPr>
        <w:instrText>po: contrasted with po'e</w:instrText>
      </w:r>
      <w:r>
        <w:instrText>"</w:instrText>
      </w:r>
      <w:r>
        <w:rPr>
          <w:rStyle w:val="indexentry"/>
        </w:rPr>
        <w:fldChar w:fldCharType="end"/>
      </w:r>
      <w:r>
        <w:rPr>
          <w:rStyle w:val="indexentry"/>
        </w:rPr>
        <w:t>&lt;cx "intrinsic possession, definition"&gt;</w:t>
      </w:r>
      <w:r>
        <w:rPr>
          <w:rStyle w:val="indexentry"/>
        </w:rPr>
        <w:fldChar w:fldCharType="begin"/>
      </w:r>
      <w:r>
        <w:instrText>xe "</w:instrText>
      </w:r>
      <w:r>
        <w:rPr>
          <w:rStyle w:val="xeentry"/>
        </w:rPr>
        <w:instrText>intrinsic possession: definition</w:instrText>
      </w:r>
      <w:r>
        <w:instrText>"</w:instrText>
      </w:r>
      <w:r>
        <w:rPr>
          <w:rStyle w:val="indexentry"/>
        </w:rPr>
        <w:fldChar w:fldCharType="end"/>
      </w:r>
      <w:r>
        <w:rPr>
          <w:rStyle w:val="indexentry"/>
        </w:rPr>
        <w:t>&lt;cx "inalienable possession, definition"&gt;</w:t>
      </w:r>
      <w:r>
        <w:rPr>
          <w:rStyle w:val="indexentry"/>
        </w:rPr>
        <w:fldChar w:fldCharType="begin"/>
      </w:r>
      <w:r>
        <w:instrText>xe "</w:instrText>
      </w:r>
      <w:r>
        <w:rPr>
          <w:rStyle w:val="xeentry"/>
        </w:rPr>
        <w:instrText>inalienable possession: definition</w:instrText>
      </w:r>
      <w:r>
        <w:instrText>"</w:instrText>
      </w:r>
      <w:r>
        <w:rPr>
          <w:rStyle w:val="indexentry"/>
        </w:rPr>
        <w:fldChar w:fldCharType="end"/>
      </w:r>
      <w:r>
        <w:rPr>
          <w:rStyle w:val="indexentry"/>
        </w:rPr>
        <w:t>&lt;cx "extrinsic possession, definition"&gt;</w:t>
      </w:r>
      <w:r>
        <w:rPr>
          <w:rStyle w:val="indexentry"/>
        </w:rPr>
        <w:fldChar w:fldCharType="begin"/>
      </w:r>
      <w:r>
        <w:instrText>xe "</w:instrText>
      </w:r>
      <w:r>
        <w:rPr>
          <w:rStyle w:val="xeentry"/>
        </w:rPr>
        <w:instrText>extrinsic possession: definition</w:instrText>
      </w:r>
      <w:r>
        <w:instrText>"</w:instrText>
      </w:r>
      <w:r>
        <w:rPr>
          <w:rStyle w:val="indexentry"/>
        </w:rPr>
        <w:fldChar w:fldCharType="end"/>
      </w:r>
      <w:r>
        <w:rPr>
          <w:rStyle w:val="indexentry"/>
        </w:rPr>
        <w:t>&lt;cx "alienable possession, definition"&gt;</w:t>
      </w:r>
      <w:r>
        <w:rPr>
          <w:rStyle w:val="indexentry"/>
        </w:rPr>
        <w:fldChar w:fldCharType="begin"/>
      </w:r>
      <w:r>
        <w:instrText>xe "</w:instrText>
      </w:r>
      <w:r>
        <w:rPr>
          <w:rStyle w:val="xeentry"/>
        </w:rPr>
        <w:instrText>alienable possession: definition</w:instrText>
      </w:r>
      <w:r>
        <w:instrText>"</w:instrText>
      </w:r>
      <w:r>
        <w:rPr>
          <w:rStyle w:val="indexentry"/>
        </w:rPr>
        <w:fldChar w:fldCharType="end"/>
      </w:r>
      <w:r>
        <w:rPr>
          <w:rStyle w:val="htmlcodes"/>
        </w:rPr>
        <w:t>&lt;a href=#e3d5&gt;</w:t>
      </w:r>
      <w:r>
        <w:t xml:space="preserve">Example 3.5 </w:t>
      </w:r>
      <w:r>
        <w:rPr>
          <w:rStyle w:val="htmlcodes"/>
        </w:rPr>
        <w:t>&lt;/a&gt;</w:t>
      </w:r>
      <w:r>
        <w:t xml:space="preserve">and </w:t>
      </w:r>
      <w:r>
        <w:rPr>
          <w:rStyle w:val="htmlcodes"/>
        </w:rPr>
        <w:t>&lt;a href=#e3d6&gt;</w:t>
      </w:r>
      <w:r>
        <w:t xml:space="preserve">Example 3.6 </w:t>
      </w:r>
      <w:r>
        <w:rPr>
          <w:rStyle w:val="htmlcodes"/>
        </w:rPr>
        <w:t>&lt;/a&gt;</w:t>
      </w:r>
      <w:r>
        <w:t xml:space="preserve">on the one hand, and </w:t>
      </w:r>
      <w:r>
        <w:rPr>
          <w:rStyle w:val="htmlcodes"/>
        </w:rPr>
        <w:t>&lt;a href=#e3d7&gt;</w:t>
      </w:r>
      <w:r>
        <w:t xml:space="preserve">Example 3.7 </w:t>
      </w:r>
      <w:r>
        <w:rPr>
          <w:rStyle w:val="htmlcodes"/>
        </w:rPr>
        <w:t>&lt;/a&gt;</w:t>
      </w:r>
      <w:r>
        <w:t>on the other,</w:t>
      </w:r>
      <w:r>
        <w:rPr>
          <w:rStyle w:val="deletedparamark"/>
        </w:rPr>
        <w:t xml:space="preserve"> </w:t>
      </w:r>
      <w:r>
        <w:t>illustrate the contrast between two types of possession called “intrinsic”</w:t>
      </w:r>
      <w:r>
        <w:rPr>
          <w:rStyle w:val="deletedparamark"/>
        </w:rPr>
        <w:t xml:space="preserve"> </w:t>
      </w:r>
      <w:r>
        <w:t>and “extrinsic”, or som</w:t>
      </w:r>
      <w:r>
        <w:t>e</w:t>
      </w:r>
      <w:r>
        <w:softHyphen/>
        <w:t>times “inalienable” and “alienable”, respectively.</w:t>
      </w:r>
      <w:r>
        <w:rPr>
          <w:rStyle w:val="deletedparamark"/>
        </w:rPr>
        <w:t xml:space="preserve"> </w:t>
      </w:r>
      <w:r>
        <w:t>Something is intrinsically (or inalien</w:t>
      </w:r>
      <w:r>
        <w:t>a</w:t>
      </w:r>
      <w:r>
        <w:softHyphen/>
        <w:t>bly) possessed by someone if the</w:t>
      </w:r>
      <w:r>
        <w:rPr>
          <w:rStyle w:val="deletedparamark"/>
        </w:rPr>
        <w:t xml:space="preserve"> </w:t>
      </w:r>
      <w:r>
        <w:t>possession is part of the possessor, and cannot be changed without changing</w:t>
      </w:r>
      <w:r>
        <w:rPr>
          <w:rStyle w:val="deletedparamark"/>
        </w:rPr>
        <w:t xml:space="preserve"> </w:t>
      </w:r>
      <w:r>
        <w:t xml:space="preserve">the possessor. In the case of </w:t>
      </w:r>
      <w:r>
        <w:rPr>
          <w:rStyle w:val="htmlcodes"/>
        </w:rPr>
        <w:t>&lt;a href=#e3d5&gt;</w:t>
      </w:r>
      <w:r>
        <w:t>Example 3.5</w:t>
      </w:r>
      <w:r>
        <w:rPr>
          <w:rStyle w:val="htmlcodes"/>
        </w:rPr>
        <w:t>&lt;/a&gt;</w:t>
      </w:r>
      <w:r>
        <w:t>, people are usu</w:t>
      </w:r>
      <w:r>
        <w:softHyphen/>
        <w:t>ally taken to</w:t>
      </w:r>
      <w:r>
        <w:rPr>
          <w:rStyle w:val="deletedparamark"/>
        </w:rPr>
        <w:t xml:space="preserve"> </w:t>
      </w:r>
      <w:r>
        <w:t>intrinsically possess their arms: even if an arm is cut off, it remains the</w:t>
      </w:r>
      <w:r>
        <w:rPr>
          <w:rStyle w:val="deletedparamark"/>
        </w:rPr>
        <w:t xml:space="preserve"> </w:t>
      </w:r>
      <w:r>
        <w:t>arm of that person. (If the arm is transplanted to another person, however,</w:t>
      </w:r>
      <w:r>
        <w:rPr>
          <w:rStyle w:val="deletedparamark"/>
        </w:rPr>
        <w:t xml:space="preserve"> </w:t>
      </w:r>
      <w:r>
        <w:t>it becomes in</w:t>
      </w:r>
      <w:r>
        <w:softHyphen/>
        <w:t>trinsi</w:t>
      </w:r>
      <w:r>
        <w:softHyphen/>
        <w:t>cally possessed by the new user, though, so intrinsic</w:t>
      </w:r>
      <w:r>
        <w:rPr>
          <w:rStyle w:val="deletedparamark"/>
        </w:rPr>
        <w:t xml:space="preserve"> </w:t>
      </w:r>
      <w:r>
        <w:t>possession is a matter of d</w:t>
      </w:r>
      <w:r>
        <w:t>e</w:t>
      </w:r>
      <w:r>
        <w:t>gree.)</w:t>
      </w:r>
    </w:p>
    <w:p w:rsidR="00B72047" w:rsidRDefault="00B72047">
      <w:pPr>
        <w:rPr>
          <w:rStyle w:val="htmlparacode"/>
        </w:rPr>
      </w:pPr>
      <w:r>
        <w:rPr>
          <w:rStyle w:val="htmlparacode"/>
        </w:rPr>
        <w:t>&lt;p&gt;</w:t>
      </w:r>
    </w:p>
    <w:p w:rsidR="00B72047" w:rsidRDefault="00B72047">
      <w:pPr>
        <w:pStyle w:val="normalparagraph"/>
      </w:pPr>
      <w:r>
        <w:rPr>
          <w:rStyle w:val="indexentry"/>
        </w:rPr>
        <w:t>&lt;cx "inalienable, distinguishing from alienable"&gt;</w:t>
      </w:r>
      <w:r>
        <w:rPr>
          <w:rStyle w:val="indexentry"/>
        </w:rPr>
        <w:fldChar w:fldCharType="begin"/>
      </w:r>
      <w:r>
        <w:instrText>xe "</w:instrText>
      </w:r>
      <w:r>
        <w:rPr>
          <w:rStyle w:val="xeentry"/>
        </w:rPr>
        <w:instrText>inalienable: distinguishing from alienable</w:instrText>
      </w:r>
      <w:r>
        <w:instrText>"</w:instrText>
      </w:r>
      <w:r>
        <w:rPr>
          <w:rStyle w:val="indexentry"/>
        </w:rPr>
        <w:fldChar w:fldCharType="end"/>
      </w:r>
      <w:r>
        <w:t xml:space="preserve">By contrast, the bottle of </w:t>
      </w:r>
      <w:r>
        <w:rPr>
          <w:rStyle w:val="htmlcodes"/>
        </w:rPr>
        <w:t>&lt;a href=#e3d7&gt;</w:t>
      </w:r>
      <w:r>
        <w:t xml:space="preserve">Example 3.7 </w:t>
      </w:r>
      <w:r>
        <w:rPr>
          <w:rStyle w:val="htmlcodes"/>
        </w:rPr>
        <w:t>&lt;/a&gt;</w:t>
      </w:r>
      <w:r>
        <w:t>can be given away, or thrown away, or</w:t>
      </w:r>
      <w:r>
        <w:rPr>
          <w:rStyle w:val="deletedparamark"/>
        </w:rPr>
        <w:t xml:space="preserve"> </w:t>
      </w:r>
      <w:r>
        <w:t>lost, or stolen, so it is possessed extrinsically (alienably). The exact</w:t>
      </w:r>
      <w:r>
        <w:rPr>
          <w:rStyle w:val="deletedparamark"/>
        </w:rPr>
        <w:t xml:space="preserve"> </w:t>
      </w:r>
      <w:r>
        <w:t>line between intrin</w:t>
      </w:r>
      <w:r>
        <w:softHyphen/>
        <w:t>sic and extrinsic possession is culturally dependent.</w:t>
      </w:r>
      <w:r>
        <w:rPr>
          <w:rStyle w:val="deletedparamark"/>
        </w:rPr>
        <w:t xml:space="preserve"> </w:t>
      </w:r>
      <w:r>
        <w:t>The U.S. Declaration of Independ</w:t>
      </w:r>
      <w:r>
        <w:softHyphen/>
        <w:t>ence speaks of the “inalienable rights” of</w:t>
      </w:r>
      <w:r>
        <w:rPr>
          <w:rStyle w:val="deletedparamark"/>
        </w:rPr>
        <w:t xml:space="preserve"> </w:t>
      </w:r>
      <w:r>
        <w:t>men, but just what those rights are, and even whether the concept makes</w:t>
      </w:r>
      <w:r>
        <w:rPr>
          <w:rStyle w:val="deletedparamark"/>
        </w:rPr>
        <w:t xml:space="preserve"> </w:t>
      </w:r>
      <w:r>
        <w:t>sense at all, varies from culture to culture.</w:t>
      </w:r>
    </w:p>
    <w:p w:rsidR="00B72047" w:rsidRDefault="00B72047">
      <w:pPr>
        <w:pStyle w:val="normalparagraph"/>
        <w:rPr>
          <w:rStyle w:val="htmlparacode"/>
        </w:rPr>
      </w:pPr>
      <w:r>
        <w:rPr>
          <w:rStyle w:val="htmlparacode"/>
        </w:rPr>
        <w:t>&lt;p&gt;</w:t>
      </w:r>
    </w:p>
    <w:p w:rsidR="00B72047" w:rsidRDefault="00B72047">
      <w:pPr>
        <w:pStyle w:val="normalparagraph"/>
      </w:pPr>
      <w:r>
        <w:t xml:space="preserve">Note that </w:t>
      </w:r>
      <w:r>
        <w:rPr>
          <w:rStyle w:val="htmlcodes"/>
        </w:rPr>
        <w:t>&lt;a href=#e3d5&gt;</w:t>
      </w:r>
      <w:r>
        <w:t xml:space="preserve">Example 3.5 </w:t>
      </w:r>
      <w:r>
        <w:rPr>
          <w:rStyle w:val="htmlcodes"/>
        </w:rPr>
        <w:t>&lt;/a&gt;</w:t>
      </w:r>
      <w:r>
        <w:t>can also be expressed without a rela</w:t>
      </w:r>
      <w:r>
        <w:softHyphen/>
        <w:t>tive 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name=e3d8&gt;</w:t>
      </w:r>
      <w:r>
        <w:t>3.8)</w:t>
      </w:r>
      <w:r>
        <w:tab/>
        <w:t>le birka be mi cu spofu</w:t>
      </w:r>
    </w:p>
    <w:p w:rsidR="00B72047" w:rsidRDefault="00B72047">
      <w:pPr>
        <w:pStyle w:val="examplescaled"/>
      </w:pPr>
      <w:r>
        <w:tab/>
        <w:t>The arm of-body me is broken</w:t>
      </w:r>
    </w:p>
    <w:p w:rsidR="00B72047" w:rsidRDefault="00B72047">
      <w:pPr>
        <w:pStyle w:val="resumedafterexample"/>
      </w:pPr>
      <w:r>
        <w:rPr>
          <w:rStyle w:val="htmlcodes"/>
        </w:rPr>
        <w:t>&lt;/pre&gt;</w:t>
      </w:r>
      <w:r>
        <w:rPr>
          <w:rStyle w:val="indexentry"/>
        </w:rPr>
        <w:t>&lt;cx "intrinsic possession, expressing by using place in some selbri"&gt;</w:t>
      </w:r>
      <w:r>
        <w:rPr>
          <w:rStyle w:val="indexentry"/>
        </w:rPr>
        <w:fldChar w:fldCharType="begin"/>
      </w:r>
      <w:r>
        <w:instrText>xe "</w:instrText>
      </w:r>
      <w:r>
        <w:rPr>
          <w:rStyle w:val="xeentry"/>
        </w:rPr>
        <w:instrText>intrinsic possession: expressing by using place in some selbri</w:instrText>
      </w:r>
      <w:r>
        <w:instrText>"</w:instrText>
      </w:r>
      <w:r>
        <w:rPr>
          <w:rStyle w:val="indexentry"/>
        </w:rPr>
        <w:fldChar w:fldCharType="end"/>
      </w:r>
      <w:r>
        <w:t>reflecting the fact that the gismu “birka” has an x2 place</w:t>
      </w:r>
      <w:r>
        <w:rPr>
          <w:rStyle w:val="deletedparamark"/>
        </w:rPr>
        <w:t xml:space="preserve"> </w:t>
      </w:r>
      <w:r>
        <w:t>representing the body to which the arm belongs. Many, but</w:t>
      </w:r>
      <w:r>
        <w:rPr>
          <w:rStyle w:val="deletedparamark"/>
        </w:rPr>
        <w:t xml:space="preserve"> </w:t>
      </w:r>
      <w:r>
        <w:t>not all, cases of intrin</w:t>
      </w:r>
      <w:r>
        <w:softHyphen/>
        <w:t>sic possession can be thus covered without</w:t>
      </w:r>
      <w:r>
        <w:rPr>
          <w:rStyle w:val="deletedparamark"/>
        </w:rPr>
        <w:t xml:space="preserve"> </w:t>
      </w:r>
      <w:r>
        <w:t>using “po'e” by placing the possessor into the appropriate place</w:t>
      </w:r>
      <w:r>
        <w:rPr>
          <w:rStyle w:val="deletedparamark"/>
        </w:rPr>
        <w:t xml:space="preserve"> </w:t>
      </w:r>
      <w:r>
        <w:t>of the descrip</w:t>
      </w:r>
      <w:r>
        <w:softHyphen/>
        <w:t>tion selbri.</w:t>
      </w:r>
    </w:p>
    <w:p w:rsidR="00B72047" w:rsidRDefault="00B72047">
      <w:pPr>
        <w:rPr>
          <w:rStyle w:val="htmlparacode"/>
        </w:rPr>
      </w:pPr>
      <w:r>
        <w:rPr>
          <w:rStyle w:val="htmlparacode"/>
        </w:rPr>
        <w:t>&lt;p&gt;</w:t>
      </w:r>
    </w:p>
    <w:p w:rsidR="00B72047" w:rsidRDefault="00B72047">
      <w:pPr>
        <w:pStyle w:val="normalparagraph"/>
      </w:pPr>
      <w:r>
        <w:rPr>
          <w:rStyle w:val="indexentry"/>
        </w:rPr>
        <w:t>&lt;lx "po'u"&gt;</w:t>
      </w:r>
      <w:r>
        <w:rPr>
          <w:rStyle w:val="indexentry"/>
        </w:rPr>
        <w:fldChar w:fldCharType="begin"/>
      </w:r>
      <w:r>
        <w:instrText>xe "</w:instrText>
      </w:r>
      <w:r>
        <w:rPr>
          <w:rStyle w:val="xeentry"/>
        </w:rPr>
        <w:instrText>po'u</w:instrText>
      </w:r>
      <w:r>
        <w:instrText>"</w:instrText>
      </w:r>
      <w:r>
        <w:rPr>
          <w:rStyle w:val="indexentry"/>
        </w:rPr>
        <w:fldChar w:fldCharType="end"/>
      </w:r>
      <w:r>
        <w:t>Here is an example of “po'u”: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name=e3d9&gt;</w:t>
      </w:r>
      <w:r>
        <w:t>3.9)</w:t>
      </w:r>
      <w:r>
        <w:tab/>
        <w:t>le gerku po'u le mi pendo cu cinba mi</w:t>
      </w:r>
    </w:p>
    <w:p w:rsidR="00B72047" w:rsidRDefault="00B72047">
      <w:pPr>
        <w:pStyle w:val="examplescaled"/>
      </w:pPr>
      <w:r>
        <w:tab/>
        <w:t>The dog which-is my friend kisses me.</w:t>
      </w:r>
    </w:p>
    <w:p w:rsidR="00B72047" w:rsidRDefault="00B72047">
      <w:pPr>
        <w:pStyle w:val="examplescaledpre"/>
      </w:pPr>
      <w:r>
        <w:rPr>
          <w:rStyle w:val="htmlcodes"/>
        </w:rPr>
        <w:t>&lt;a name=e3d10&gt;</w:t>
      </w:r>
      <w:r>
        <w:t>3.10)</w:t>
      </w:r>
      <w:r>
        <w:tab/>
        <w:t>le gerku poi du le mi pendo cu cinba mi</w:t>
      </w:r>
    </w:p>
    <w:p w:rsidR="00B72047" w:rsidRDefault="00B72047">
      <w:pPr>
        <w:pStyle w:val="examplescaled"/>
      </w:pPr>
      <w:r>
        <w:tab/>
        <w:t>The dog which = my friend kisses me.</w:t>
      </w:r>
    </w:p>
    <w:p w:rsidR="00B72047" w:rsidRDefault="00B72047">
      <w:pPr>
        <w:pStyle w:val="resumedafterexample"/>
      </w:pPr>
      <w:r>
        <w:rPr>
          <w:rStyle w:val="htmlcodes"/>
        </w:rPr>
        <w:t>&lt;/pre&gt;</w:t>
      </w:r>
      <w:r>
        <w:rPr>
          <w:rStyle w:val="indexentry"/>
        </w:rPr>
        <w:t>&lt;cx "po'u, compared with “poi ke'a du”"&gt;</w:t>
      </w:r>
      <w:r>
        <w:rPr>
          <w:rStyle w:val="indexentry"/>
        </w:rPr>
        <w:fldChar w:fldCharType="begin"/>
      </w:r>
      <w:r>
        <w:instrText>xe "</w:instrText>
      </w:r>
      <w:r>
        <w:rPr>
          <w:rStyle w:val="xeentry"/>
        </w:rPr>
        <w:instrText>po'u: compared with poi ke'a du</w:instrText>
      </w:r>
      <w:r>
        <w:instrText>"</w:instrText>
      </w:r>
      <w:r>
        <w:rPr>
          <w:rStyle w:val="indexentry"/>
        </w:rPr>
        <w:fldChar w:fldCharType="end"/>
      </w:r>
      <w:r>
        <w:rPr>
          <w:rStyle w:val="indexentry"/>
        </w:rPr>
        <w:t>&lt;cx "po'u, as identity"&gt;</w:t>
      </w:r>
      <w:r>
        <w:rPr>
          <w:rStyle w:val="indexentry"/>
        </w:rPr>
        <w:fldChar w:fldCharType="begin"/>
      </w:r>
      <w:r>
        <w:instrText>xe "</w:instrText>
      </w:r>
      <w:r>
        <w:rPr>
          <w:rStyle w:val="xeentry"/>
        </w:rPr>
        <w:instrText>po'u: as identity</w:instrText>
      </w:r>
      <w:r>
        <w:instrText>"</w:instrText>
      </w:r>
      <w:r>
        <w:rPr>
          <w:rStyle w:val="indexentry"/>
        </w:rPr>
        <w:fldChar w:fldCharType="end"/>
      </w:r>
      <w:r>
        <w:rPr>
          <w:rStyle w:val="indexentry"/>
        </w:rPr>
        <w:t>&lt;cx "identity, expressing with po'u"&gt;</w:t>
      </w:r>
      <w:r>
        <w:rPr>
          <w:rStyle w:val="indexentry"/>
        </w:rPr>
        <w:fldChar w:fldCharType="begin"/>
      </w:r>
      <w:r>
        <w:instrText>xe "</w:instrText>
      </w:r>
      <w:r>
        <w:rPr>
          <w:rStyle w:val="xeentry"/>
        </w:rPr>
        <w:instrText>identity: expressing with po'u</w:instrText>
      </w:r>
      <w:r>
        <w:instrText>"</w:instrText>
      </w:r>
      <w:r>
        <w:rPr>
          <w:rStyle w:val="indexentry"/>
        </w:rPr>
        <w:fldChar w:fldCharType="end"/>
      </w:r>
      <w:r>
        <w:t>The cmavo “po'u” does not represent possession at all, but</w:t>
      </w:r>
      <w:r>
        <w:rPr>
          <w:rStyle w:val="deletedparamark"/>
        </w:rPr>
        <w:t xml:space="preserve"> </w:t>
      </w:r>
      <w:r>
        <w:t>rather identity. (Note that it means “poi du” and its form</w:t>
      </w:r>
      <w:r>
        <w:rPr>
          <w:rStyle w:val="deletedparamark"/>
        </w:rPr>
        <w:t xml:space="preserve"> </w:t>
      </w:r>
      <w:r>
        <w:t>was chosen to sug</w:t>
      </w:r>
      <w:r>
        <w:softHyphen/>
        <w:t>gest the relationship.)</w:t>
      </w:r>
    </w:p>
    <w:p w:rsidR="00B72047" w:rsidRDefault="00B72047">
      <w:pPr>
        <w:rPr>
          <w:rStyle w:val="htmlparacode"/>
        </w:rPr>
      </w:pPr>
      <w:r>
        <w:rPr>
          <w:rStyle w:val="htmlparacode"/>
        </w:rPr>
        <w:t>&lt;p&gt;</w:t>
      </w:r>
    </w:p>
    <w:p w:rsidR="00B72047" w:rsidRDefault="00B72047">
      <w:pPr>
        <w:pStyle w:val="normalparagraph"/>
      </w:pPr>
      <w:r>
        <w:t xml:space="preserve">In </w:t>
      </w:r>
      <w:r>
        <w:rPr>
          <w:rStyle w:val="htmlcodes"/>
        </w:rPr>
        <w:t>&lt;a href=#e3d9&gt;</w:t>
      </w:r>
      <w:r>
        <w:t xml:space="preserve">Example 3.9 </w:t>
      </w:r>
      <w:r>
        <w:rPr>
          <w:rStyle w:val="htmlcodes"/>
        </w:rPr>
        <w:t>&lt;/a&gt;</w:t>
      </w:r>
      <w:r>
        <w:t>, the use of “po'u” tells us that “le gerku” and</w:t>
      </w:r>
      <w:r>
        <w:rPr>
          <w:rStyle w:val="deletedparamark"/>
        </w:rPr>
        <w:t xml:space="preserve"> “</w:t>
      </w:r>
      <w:r>
        <w:t>le mi pendo” represent the same thing. Consider the contrast</w:t>
      </w:r>
      <w:r>
        <w:rPr>
          <w:rStyle w:val="deletedparamark"/>
        </w:rPr>
        <w:t xml:space="preserve"> </w:t>
      </w:r>
      <w:r>
        <w:t>be</w:t>
      </w:r>
      <w:r>
        <w:softHyphen/>
        <w:t xml:space="preserve">tween </w:t>
      </w:r>
      <w:r>
        <w:rPr>
          <w:rStyle w:val="htmlcodes"/>
        </w:rPr>
        <w:t>&lt;a href=#e3d9&gt;</w:t>
      </w:r>
      <w:r>
        <w:t xml:space="preserve">Example 3.9 </w:t>
      </w:r>
      <w:r>
        <w:rPr>
          <w:rStyle w:val="htmlcodes"/>
        </w:rPr>
        <w:t>&lt;/a&gt;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name=e3d11&gt;</w:t>
      </w:r>
      <w:r>
        <w:t>3.11)</w:t>
      </w:r>
      <w:r>
        <w:tab/>
        <w:t>le mi pendo po'u le gerku cu cinba mi</w:t>
      </w:r>
    </w:p>
    <w:p w:rsidR="00B72047" w:rsidRDefault="00B72047">
      <w:pPr>
        <w:pStyle w:val="examplescaled"/>
      </w:pPr>
      <w:r>
        <w:tab/>
        <w:t>My friend which-is the dog kisses me.</w:t>
      </w:r>
    </w:p>
    <w:p w:rsidR="00B72047" w:rsidRDefault="00B72047">
      <w:pPr>
        <w:pStyle w:val="resumedafterexample"/>
      </w:pPr>
      <w:r>
        <w:rPr>
          <w:rStyle w:val="htmlcodes"/>
        </w:rPr>
        <w:t>&lt;/pre&gt;</w:t>
      </w:r>
      <w:r>
        <w:rPr>
          <w:rStyle w:val="indexentry"/>
        </w:rPr>
        <w:t>&lt;cx "po'u, relative phrase of contrasted with relativized sumti of"&gt;</w:t>
      </w:r>
      <w:r>
        <w:rPr>
          <w:rStyle w:val="indexentry"/>
        </w:rPr>
        <w:fldChar w:fldCharType="begin"/>
      </w:r>
      <w:r>
        <w:instrText>xe "</w:instrText>
      </w:r>
      <w:r>
        <w:rPr>
          <w:rStyle w:val="xeentry"/>
        </w:rPr>
        <w:instrText>po'u: relative phrase of contrasted with relativized sumti of</w:instrText>
      </w:r>
      <w:r>
        <w:instrText>"</w:instrText>
      </w:r>
      <w:r>
        <w:rPr>
          <w:rStyle w:val="indexentry"/>
        </w:rPr>
        <w:fldChar w:fldCharType="end"/>
      </w:r>
      <w:r>
        <w:t>The facts of the case are the same, but the listener's knowledge about</w:t>
      </w:r>
      <w:r>
        <w:rPr>
          <w:rStyle w:val="deletedparamark"/>
        </w:rPr>
        <w:t xml:space="preserve"> </w:t>
      </w:r>
      <w:r>
        <w:t xml:space="preserve">the situation may not be. In </w:t>
      </w:r>
      <w:r>
        <w:rPr>
          <w:rStyle w:val="htmlcodes"/>
        </w:rPr>
        <w:t>&lt;a href=#e3d9&gt;</w:t>
      </w:r>
      <w:r>
        <w:t>Example 3.9</w:t>
      </w:r>
      <w:r>
        <w:rPr>
          <w:rStyle w:val="htmlcodes"/>
        </w:rPr>
        <w:t>&lt;/a&gt;</w:t>
      </w:r>
      <w:r>
        <w:t>, the listener is pre</w:t>
      </w:r>
      <w:r>
        <w:softHyphen/>
        <w:t>sumed not</w:t>
      </w:r>
      <w:r>
        <w:rPr>
          <w:rStyle w:val="deletedparamark"/>
        </w:rPr>
        <w:t xml:space="preserve"> </w:t>
      </w:r>
      <w:r>
        <w:t>to understand which dog is meant by “le gerku”, so the speaker adds a</w:t>
      </w:r>
      <w:r>
        <w:rPr>
          <w:rStyle w:val="deletedparamark"/>
        </w:rPr>
        <w:t xml:space="preserve"> </w:t>
      </w:r>
      <w:r>
        <w:t>relative phrase clarifying that it is the particular dog which is the</w:t>
      </w:r>
      <w:r>
        <w:rPr>
          <w:rStyle w:val="deletedparamark"/>
        </w:rPr>
        <w:t xml:space="preserve"> </w:t>
      </w:r>
      <w:r>
        <w:t>speaker's friend.</w:t>
      </w:r>
    </w:p>
    <w:p w:rsidR="00B72047" w:rsidRDefault="00B72047">
      <w:pPr>
        <w:rPr>
          <w:rStyle w:val="htmlparacode"/>
        </w:rPr>
      </w:pPr>
      <w:r>
        <w:rPr>
          <w:rStyle w:val="htmlparacode"/>
        </w:rPr>
        <w:t>&lt;p&gt;</w:t>
      </w:r>
    </w:p>
    <w:p w:rsidR="00B72047" w:rsidRDefault="00B72047">
      <w:pPr>
        <w:pStyle w:val="normalparagraph"/>
      </w:pPr>
      <w:r>
        <w:rPr>
          <w:rStyle w:val="htmlcodes"/>
        </w:rPr>
        <w:t>&lt;a href=#e3d11&gt;</w:t>
      </w:r>
      <w:r>
        <w:t>Example 3.11</w:t>
      </w:r>
      <w:r>
        <w:rPr>
          <w:rStyle w:val="htmlcodes"/>
        </w:rPr>
        <w:t>&lt;/a&gt;</w:t>
      </w:r>
      <w:r>
        <w:t>, however, assumes that the listener does not know which of the</w:t>
      </w:r>
      <w:r>
        <w:rPr>
          <w:rStyle w:val="deletedparamark"/>
        </w:rPr>
        <w:t xml:space="preserve"> </w:t>
      </w:r>
      <w:r>
        <w:t>speaker's friends is referred to, and specifies that it is the friend</w:t>
      </w:r>
      <w:r>
        <w:rPr>
          <w:rStyle w:val="deletedparamark"/>
        </w:rPr>
        <w:t xml:space="preserve"> </w:t>
      </w:r>
      <w:r>
        <w:t>that is the dog (which dog is taken to be obvious). Here is another</w:t>
      </w:r>
      <w:r>
        <w:rPr>
          <w:rStyle w:val="deletedparamark"/>
        </w:rPr>
        <w:t xml:space="preserve"> </w:t>
      </w:r>
      <w:r>
        <w:t>example of the same contrast:</w:t>
      </w:r>
    </w:p>
    <w:p w:rsidR="00B72047" w:rsidRDefault="00B72047">
      <w:pPr>
        <w:rPr>
          <w:rStyle w:val="htmlparacode"/>
        </w:rPr>
      </w:pPr>
      <w:r>
        <w:rPr>
          <w:rStyle w:val="htmlparacode"/>
        </w:rPr>
        <w:t>&lt;p&gt;</w:t>
      </w:r>
    </w:p>
    <w:p w:rsidR="00B72047" w:rsidRDefault="00B72047">
      <w:pPr>
        <w:pStyle w:val="examplescaledpre"/>
      </w:pPr>
      <w:r>
        <w:rPr>
          <w:rStyle w:val="indexentry"/>
        </w:rPr>
        <w:t>&lt;ex "New York city"&gt;</w:t>
      </w:r>
      <w:r>
        <w:rPr>
          <w:rStyle w:val="indexentry"/>
        </w:rPr>
        <w:fldChar w:fldCharType="begin"/>
      </w:r>
      <w:r>
        <w:instrText>xe "</w:instrText>
      </w:r>
      <w:r>
        <w:rPr>
          <w:rStyle w:val="xeentry"/>
        </w:rPr>
        <w:instrText>New York city: example</w:instrText>
      </w:r>
      <w:r>
        <w:instrText>"</w:instrText>
      </w:r>
      <w:r>
        <w:rPr>
          <w:rStyle w:val="indexentry"/>
        </w:rPr>
        <w:fldChar w:fldCharType="end"/>
      </w:r>
      <w:r>
        <w:rPr>
          <w:rStyle w:val="indexentry"/>
        </w:rPr>
        <w:t>&lt;ex "New York state"&gt;</w:t>
      </w:r>
      <w:r>
        <w:rPr>
          <w:rStyle w:val="indexentry"/>
        </w:rPr>
        <w:fldChar w:fldCharType="begin"/>
      </w:r>
      <w:r>
        <w:instrText>xe "</w:instrText>
      </w:r>
      <w:r>
        <w:rPr>
          <w:rStyle w:val="xeentry"/>
        </w:rPr>
        <w:instrText>New York state: example</w:instrText>
      </w:r>
      <w:r>
        <w:instrText>"</w:instrText>
      </w:r>
      <w:r>
        <w:rPr>
          <w:rStyle w:val="indexentry"/>
        </w:rPr>
        <w:fldChar w:fldCharType="end"/>
      </w:r>
      <w:r>
        <w:rPr>
          <w:rStyle w:val="htmlcodes"/>
        </w:rPr>
        <w:t>&lt;pre&gt;&lt;a name=e3d12&gt;</w:t>
      </w:r>
      <w:r>
        <w:t>3.12)</w:t>
      </w:r>
      <w:r>
        <w:tab/>
        <w:t>le tcadu po'u la nu,iork</w:t>
      </w:r>
    </w:p>
    <w:p w:rsidR="00B72047" w:rsidRDefault="00B72047">
      <w:pPr>
        <w:pStyle w:val="examplescaled"/>
      </w:pPr>
      <w:r>
        <w:tab/>
        <w:t>The city of New York [not another city].</w:t>
      </w:r>
    </w:p>
    <w:p w:rsidR="00B72047" w:rsidRDefault="00B72047">
      <w:pPr>
        <w:pStyle w:val="examplescaledpre"/>
      </w:pPr>
      <w:r>
        <w:rPr>
          <w:rStyle w:val="htmlcodes"/>
        </w:rPr>
        <w:t>&lt;a name=e3d13&gt;</w:t>
      </w:r>
      <w:r>
        <w:t>3.13)</w:t>
      </w:r>
      <w:r>
        <w:tab/>
        <w:t>la nu,iork po'u le tcadu</w:t>
      </w:r>
    </w:p>
    <w:p w:rsidR="00B72047" w:rsidRDefault="00B72047">
      <w:pPr>
        <w:pStyle w:val="examplescaled"/>
      </w:pPr>
      <w:r>
        <w:tab/>
        <w:t>New York the city (not the state or some other New York)</w:t>
      </w:r>
    </w:p>
    <w:p w:rsidR="00B72047" w:rsidRDefault="00B72047">
      <w:pPr>
        <w:pStyle w:val="normalafterexample"/>
      </w:pPr>
      <w:r>
        <w:rPr>
          <w:rStyle w:val="htmlcodes"/>
        </w:rPr>
        <w:t>&lt;/pre&gt;</w:t>
      </w:r>
      <w:r>
        <w:rPr>
          <w:rStyle w:val="indexentry"/>
        </w:rPr>
        <w:t>&lt;cx "possessor in relative phrases, compared with possessed"&gt;</w:t>
      </w:r>
      <w:r>
        <w:rPr>
          <w:rStyle w:val="indexentry"/>
        </w:rPr>
        <w:fldChar w:fldCharType="begin"/>
      </w:r>
      <w:r>
        <w:instrText>xe "</w:instrText>
      </w:r>
      <w:r>
        <w:rPr>
          <w:rStyle w:val="xeentry"/>
        </w:rPr>
        <w:instrText>possessor in relative phrases: compared with possessed</w:instrText>
      </w:r>
      <w:r>
        <w:instrText>"</w:instrText>
      </w:r>
      <w:r>
        <w:rPr>
          <w:rStyle w:val="indexentry"/>
        </w:rPr>
        <w:fldChar w:fldCharType="end"/>
      </w:r>
      <w:r>
        <w:rPr>
          <w:rStyle w:val="indexentry"/>
        </w:rPr>
        <w:t>&lt;cx "possessed in relative phrases, compared with possessor"&gt;</w:t>
      </w:r>
      <w:r>
        <w:rPr>
          <w:rStyle w:val="indexentry"/>
        </w:rPr>
        <w:fldChar w:fldCharType="begin"/>
      </w:r>
      <w:r>
        <w:instrText>xe "</w:instrText>
      </w:r>
      <w:r>
        <w:rPr>
          <w:rStyle w:val="xeentry"/>
        </w:rPr>
        <w:instrText>possessed in relative phrases: compared with possessor</w:instrText>
      </w:r>
      <w:r>
        <w:instrText>"</w:instrText>
      </w:r>
      <w:r>
        <w:rPr>
          <w:rStyle w:val="indexentry"/>
        </w:rPr>
        <w:fldChar w:fldCharType="end"/>
      </w:r>
      <w:r>
        <w:t>The principle that the possessor and the possessed may change places applies</w:t>
      </w:r>
      <w:r>
        <w:rPr>
          <w:rStyle w:val="deletedparamark"/>
        </w:rPr>
        <w:t xml:space="preserve"> </w:t>
      </w:r>
      <w:r>
        <w:t>to all the GOI cmavo, and allows for the possi</w:t>
      </w:r>
      <w:r>
        <w:softHyphen/>
        <w:t>bility of odd effects:</w:t>
      </w:r>
    </w:p>
    <w:p w:rsidR="00B72047" w:rsidRDefault="00B72047">
      <w:pPr>
        <w:rPr>
          <w:rStyle w:val="htmlparacode"/>
        </w:rPr>
      </w:pPr>
      <w:r>
        <w:rPr>
          <w:rStyle w:val="htmlparacode"/>
        </w:rPr>
        <w:t>&lt;p&gt;</w:t>
      </w:r>
    </w:p>
    <w:p w:rsidR="00B72047" w:rsidRDefault="00B72047">
      <w:pPr>
        <w:pStyle w:val="examplescaledpre"/>
      </w:pPr>
      <w:r>
        <w:rPr>
          <w:rStyle w:val="indexentry"/>
        </w:rPr>
        <w:t>&lt;ex "friend's cup"&gt;</w:t>
      </w:r>
      <w:r>
        <w:rPr>
          <w:rStyle w:val="indexentry"/>
        </w:rPr>
        <w:fldChar w:fldCharType="begin"/>
      </w:r>
      <w:r>
        <w:instrText>xe "</w:instrText>
      </w:r>
      <w:r>
        <w:rPr>
          <w:rStyle w:val="xeentry"/>
        </w:rPr>
        <w:instrText>friend's cup: example</w:instrText>
      </w:r>
      <w:r>
        <w:instrText>"</w:instrText>
      </w:r>
      <w:r>
        <w:rPr>
          <w:rStyle w:val="indexentry"/>
        </w:rPr>
        <w:fldChar w:fldCharType="end"/>
      </w:r>
      <w:r>
        <w:rPr>
          <w:rStyle w:val="htmlcodes"/>
        </w:rPr>
        <w:t>&lt;pre&gt;&lt;a name=e3d14&gt;</w:t>
      </w:r>
      <w:r>
        <w:t>3.14)</w:t>
      </w:r>
      <w:r>
        <w:tab/>
        <w:t>le kabri pe le mi pendo cu cmalu</w:t>
      </w:r>
    </w:p>
    <w:p w:rsidR="00B72047" w:rsidRDefault="00B72047">
      <w:pPr>
        <w:pStyle w:val="examplescaled"/>
      </w:pPr>
      <w:r>
        <w:tab/>
        <w:t>The cup associated-with my friend is small.</w:t>
      </w:r>
    </w:p>
    <w:p w:rsidR="00B72047" w:rsidRDefault="00B72047">
      <w:pPr>
        <w:pStyle w:val="examplescaled"/>
      </w:pPr>
      <w:r>
        <w:tab/>
        <w:t>My friend's cup is small</w:t>
      </w:r>
    </w:p>
    <w:p w:rsidR="00B72047" w:rsidRDefault="00B72047">
      <w:pPr>
        <w:pStyle w:val="examplescaledpre"/>
      </w:pPr>
      <w:r>
        <w:rPr>
          <w:rStyle w:val="htmlcodes"/>
        </w:rPr>
        <w:t>&lt;/pre&gt;</w:t>
      </w:r>
      <w:r>
        <w:rPr>
          <w:rStyle w:val="indexentry"/>
        </w:rPr>
        <w:t>&lt;ex "cup's friend"&gt;</w:t>
      </w:r>
      <w:r>
        <w:rPr>
          <w:rStyle w:val="indexentry"/>
        </w:rPr>
        <w:fldChar w:fldCharType="begin"/>
      </w:r>
      <w:r>
        <w:instrText>xe "</w:instrText>
      </w:r>
      <w:r>
        <w:rPr>
          <w:rStyle w:val="xeentry"/>
        </w:rPr>
        <w:instrText>cup's friend: example</w:instrText>
      </w:r>
      <w:r>
        <w:instrText>"</w:instrText>
      </w:r>
      <w:r>
        <w:rPr>
          <w:rStyle w:val="indexentry"/>
        </w:rPr>
        <w:fldChar w:fldCharType="end"/>
      </w:r>
      <w:r>
        <w:rPr>
          <w:rStyle w:val="htmlcodes"/>
        </w:rPr>
        <w:t>&lt;pre&gt;&lt;a name=e3d15&gt;</w:t>
      </w:r>
      <w:r>
        <w:t>3.15)</w:t>
      </w:r>
      <w:r>
        <w:tab/>
        <w:t>le mi pendo pe le kabri cu cmalu</w:t>
      </w:r>
    </w:p>
    <w:p w:rsidR="00B72047" w:rsidRDefault="00B72047">
      <w:pPr>
        <w:pStyle w:val="examplescaled"/>
      </w:pPr>
      <w:r>
        <w:tab/>
        <w:t>My friend associated-with the cup is small.</w:t>
      </w:r>
    </w:p>
    <w:p w:rsidR="00B72047" w:rsidRDefault="00B72047">
      <w:pPr>
        <w:pStyle w:val="examplescaled"/>
      </w:pPr>
      <w:r>
        <w:tab/>
        <w:t>My friend, the one with the cup, is small.</w:t>
      </w:r>
    </w:p>
    <w:p w:rsidR="00B72047" w:rsidRDefault="00B72047">
      <w:pPr>
        <w:pStyle w:val="resumedafterexample"/>
      </w:pPr>
      <w:r>
        <w:rPr>
          <w:rStyle w:val="htmlcodes"/>
        </w:rPr>
        <w:t>&lt;/pre&gt;&lt;a href=#e3d14&gt;</w:t>
      </w:r>
      <w:r>
        <w:t xml:space="preserve">Example 3.14 </w:t>
      </w:r>
      <w:r>
        <w:rPr>
          <w:rStyle w:val="htmlcodes"/>
        </w:rPr>
        <w:t>&lt;/a&gt;</w:t>
      </w:r>
      <w:r>
        <w:t>is useful in a context which is about my friend, and states</w:t>
      </w:r>
      <w:r>
        <w:rPr>
          <w:rStyle w:val="deletedparamark"/>
        </w:rPr>
        <w:t xml:space="preserve"> </w:t>
      </w:r>
      <w:r>
        <w:t xml:space="preserve">that his or her cup is small, whereas </w:t>
      </w:r>
      <w:r>
        <w:rPr>
          <w:rStyle w:val="htmlcodes"/>
        </w:rPr>
        <w:t>&lt;a href=#e3d15&gt;</w:t>
      </w:r>
      <w:r>
        <w:t xml:space="preserve">Example 3.15 </w:t>
      </w:r>
      <w:r>
        <w:rPr>
          <w:rStyle w:val="htmlcodes"/>
        </w:rPr>
        <w:t>&lt;/a&gt;</w:t>
      </w:r>
      <w:r>
        <w:t>is useful in a context</w:t>
      </w:r>
      <w:r>
        <w:rPr>
          <w:rStyle w:val="deletedparamark"/>
        </w:rPr>
        <w:t xml:space="preserve"> </w:t>
      </w:r>
      <w:r>
        <w:t>that is primarily about a cer</w:t>
      </w:r>
      <w:r>
        <w:softHyphen/>
        <w:t>tain cup, and makes a claim about “my friend</w:t>
      </w:r>
      <w:r>
        <w:rPr>
          <w:rStyle w:val="deletedparamark"/>
        </w:rPr>
        <w:t xml:space="preserve"> </w:t>
      </w:r>
      <w:r>
        <w:t>of the cup”, as opposed to some other friend of mine. Here the cup appears</w:t>
      </w:r>
      <w:r>
        <w:rPr>
          <w:rStyle w:val="deletedparamark"/>
        </w:rPr>
        <w:t xml:space="preserve"> </w:t>
      </w:r>
      <w:r>
        <w:t>to “possess” the person! English can't even express this rel</w:t>
      </w:r>
      <w:r>
        <w:t>a</w:t>
      </w:r>
      <w:r>
        <w:softHyphen/>
        <w:t>tionship with a</w:t>
      </w:r>
      <w:r>
        <w:rPr>
          <w:rStyle w:val="deletedparamark"/>
        </w:rPr>
        <w:t xml:space="preserve"> </w:t>
      </w:r>
      <w:r>
        <w:t>possessive — “the cup's friend of mine” looks like nonsense — but L</w:t>
      </w:r>
      <w:r>
        <w:t>o</w:t>
      </w:r>
      <w:r>
        <w:t>j</w:t>
      </w:r>
      <w:r>
        <w:softHyphen/>
        <w:t>ban</w:t>
      </w:r>
      <w:r>
        <w:rPr>
          <w:rStyle w:val="deletedparamark"/>
        </w:rPr>
        <w:t xml:space="preserve"> </w:t>
      </w:r>
      <w:r>
        <w:t>has no trouble doing so.</w:t>
      </w:r>
    </w:p>
    <w:p w:rsidR="00B72047" w:rsidRDefault="00B72047">
      <w:pPr>
        <w:rPr>
          <w:rStyle w:val="htmlparacode"/>
        </w:rPr>
      </w:pPr>
      <w:r>
        <w:rPr>
          <w:rStyle w:val="htmlparacode"/>
        </w:rPr>
        <w:t>&lt;p&gt;</w:t>
      </w:r>
    </w:p>
    <w:p w:rsidR="00B72047" w:rsidRDefault="00B72047">
      <w:pPr>
        <w:pStyle w:val="normalparagraph"/>
      </w:pPr>
      <w:r>
        <w:rPr>
          <w:rStyle w:val="indexentry"/>
        </w:rPr>
        <w:t>&lt;lx "ne"&gt;</w:t>
      </w:r>
      <w:r>
        <w:rPr>
          <w:rStyle w:val="indexentry"/>
        </w:rPr>
        <w:fldChar w:fldCharType="begin"/>
      </w:r>
      <w:r>
        <w:instrText>xe "</w:instrText>
      </w:r>
      <w:r>
        <w:rPr>
          <w:rStyle w:val="xeentry"/>
        </w:rPr>
        <w:instrText>ne</w:instrText>
      </w:r>
      <w:r>
        <w:instrText>"</w:instrText>
      </w:r>
      <w:r>
        <w:rPr>
          <w:rStyle w:val="indexentry"/>
        </w:rPr>
        <w:fldChar w:fldCharType="end"/>
      </w:r>
      <w:r>
        <w:rPr>
          <w:rStyle w:val="indexentry"/>
        </w:rPr>
        <w:t>&lt;lx "no'u"&gt;</w:t>
      </w:r>
      <w:r>
        <w:rPr>
          <w:rStyle w:val="indexentry"/>
        </w:rPr>
        <w:fldChar w:fldCharType="begin"/>
      </w:r>
      <w:r>
        <w:instrText>xe "</w:instrText>
      </w:r>
      <w:r>
        <w:rPr>
          <w:rStyle w:val="xeentry"/>
        </w:rPr>
        <w:instrText>no'u</w:instrText>
      </w:r>
      <w:r>
        <w:instrText>"</w:instrText>
      </w:r>
      <w:r>
        <w:rPr>
          <w:rStyle w:val="indexentry"/>
        </w:rPr>
        <w:fldChar w:fldCharType="end"/>
      </w:r>
      <w:r>
        <w:rPr>
          <w:rStyle w:val="indexentry"/>
        </w:rPr>
        <w:t>&lt;cx "ne, compared with pe"&gt;</w:t>
      </w:r>
      <w:r>
        <w:rPr>
          <w:rStyle w:val="indexentry"/>
        </w:rPr>
        <w:fldChar w:fldCharType="begin"/>
      </w:r>
      <w:r>
        <w:instrText>xe "</w:instrText>
      </w:r>
      <w:r>
        <w:rPr>
          <w:rStyle w:val="xeentry"/>
        </w:rPr>
        <w:instrText>ne: compared with pe</w:instrText>
      </w:r>
      <w:r>
        <w:instrText>"</w:instrText>
      </w:r>
      <w:r>
        <w:rPr>
          <w:rStyle w:val="indexentry"/>
        </w:rPr>
        <w:fldChar w:fldCharType="end"/>
      </w:r>
      <w:r>
        <w:rPr>
          <w:rStyle w:val="indexentry"/>
        </w:rPr>
        <w:t>&lt;cx "no'u, compared with po'u"&gt;</w:t>
      </w:r>
      <w:r>
        <w:rPr>
          <w:rStyle w:val="indexentry"/>
        </w:rPr>
        <w:fldChar w:fldCharType="begin"/>
      </w:r>
      <w:r>
        <w:instrText>xe "</w:instrText>
      </w:r>
      <w:r>
        <w:rPr>
          <w:rStyle w:val="xeentry"/>
        </w:rPr>
        <w:instrText>no'u: compared with po'u</w:instrText>
      </w:r>
      <w:r>
        <w:instrText>"</w:instrText>
      </w:r>
      <w:r>
        <w:rPr>
          <w:rStyle w:val="indexentry"/>
        </w:rPr>
        <w:fldChar w:fldCharType="end"/>
      </w:r>
      <w:r>
        <w:rPr>
          <w:rStyle w:val="indexentry"/>
        </w:rPr>
        <w:t>&lt;cx "pe, compared with ne"&gt;</w:t>
      </w:r>
      <w:r>
        <w:rPr>
          <w:rStyle w:val="indexentry"/>
        </w:rPr>
        <w:fldChar w:fldCharType="begin"/>
      </w:r>
      <w:r>
        <w:instrText>xe "</w:instrText>
      </w:r>
      <w:r>
        <w:rPr>
          <w:rStyle w:val="xeentry"/>
        </w:rPr>
        <w:instrText>pe: compared with ne</w:instrText>
      </w:r>
      <w:r>
        <w:instrText>"</w:instrText>
      </w:r>
      <w:r>
        <w:rPr>
          <w:rStyle w:val="indexentry"/>
        </w:rPr>
        <w:fldChar w:fldCharType="end"/>
      </w:r>
      <w:r>
        <w:rPr>
          <w:rStyle w:val="indexentry"/>
        </w:rPr>
        <w:t>&lt;cx "po'u, compared with no'u"&gt;</w:t>
      </w:r>
      <w:r>
        <w:rPr>
          <w:rStyle w:val="indexentry"/>
        </w:rPr>
        <w:fldChar w:fldCharType="begin"/>
      </w:r>
      <w:r>
        <w:instrText>xe "</w:instrText>
      </w:r>
      <w:r>
        <w:rPr>
          <w:rStyle w:val="xeentry"/>
        </w:rPr>
        <w:instrText>po'u: compared with no'u</w:instrText>
      </w:r>
      <w:r>
        <w:instrText>"</w:instrText>
      </w:r>
      <w:r>
        <w:rPr>
          <w:rStyle w:val="indexentry"/>
        </w:rPr>
        <w:fldChar w:fldCharType="end"/>
      </w:r>
      <w:r>
        <w:rPr>
          <w:rStyle w:val="indexentry"/>
        </w:rPr>
        <w:t>&lt;cx "incidental association, expressing with ne"&gt;</w:t>
      </w:r>
      <w:r>
        <w:rPr>
          <w:rStyle w:val="indexentry"/>
        </w:rPr>
        <w:fldChar w:fldCharType="begin"/>
      </w:r>
      <w:r>
        <w:instrText>xe "</w:instrText>
      </w:r>
      <w:r>
        <w:rPr>
          <w:rStyle w:val="xeentry"/>
        </w:rPr>
        <w:instrText>incidental association: expressing with ne</w:instrText>
      </w:r>
      <w:r>
        <w:instrText>"</w:instrText>
      </w:r>
      <w:r>
        <w:rPr>
          <w:rStyle w:val="indexentry"/>
        </w:rPr>
        <w:fldChar w:fldCharType="end"/>
      </w:r>
      <w:r>
        <w:rPr>
          <w:rStyle w:val="indexentry"/>
        </w:rPr>
        <w:t>&lt;cx "incidental identification, expressing with no'u"&gt;</w:t>
      </w:r>
      <w:r>
        <w:rPr>
          <w:rStyle w:val="indexentry"/>
        </w:rPr>
        <w:fldChar w:fldCharType="begin"/>
      </w:r>
      <w:r>
        <w:instrText>xe "</w:instrText>
      </w:r>
      <w:r>
        <w:rPr>
          <w:rStyle w:val="xeentry"/>
        </w:rPr>
        <w:instrText>incidental identification: expressing with no'u</w:instrText>
      </w:r>
      <w:r>
        <w:instrText>"</w:instrText>
      </w:r>
      <w:r>
        <w:rPr>
          <w:rStyle w:val="indexentry"/>
        </w:rPr>
        <w:fldChar w:fldCharType="end"/>
      </w:r>
      <w:r>
        <w:t>Finally, the cmavo “ne” and “no'u” stand to “pe” and “po'u”, respectively,</w:t>
      </w:r>
      <w:r>
        <w:rPr>
          <w:rStyle w:val="deletedparamark"/>
        </w:rPr>
        <w:t xml:space="preserve"> </w:t>
      </w:r>
      <w:r>
        <w:t>as “noi” does to “poi” — they provide incidental informa</w:t>
      </w:r>
      <w:r>
        <w:softHyphen/>
        <w:t>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name=e3d16&gt;</w:t>
      </w:r>
      <w:r>
        <w:t>3.16)</w:t>
      </w:r>
      <w:r>
        <w:tab/>
        <w:t>le blabi gerku ne mi cu batci do</w:t>
      </w:r>
    </w:p>
    <w:p w:rsidR="00B72047" w:rsidRDefault="00B72047">
      <w:pPr>
        <w:pStyle w:val="examplescaled"/>
      </w:pPr>
      <w:r>
        <w:tab/>
        <w:t>The white dog, incidentally-associated-with me, bites you.</w:t>
      </w:r>
    </w:p>
    <w:p w:rsidR="00B72047" w:rsidRDefault="00B72047">
      <w:pPr>
        <w:pStyle w:val="examplescaled"/>
      </w:pPr>
      <w:r>
        <w:tab/>
        <w:t>The white dog, which is mine, bites you.</w:t>
      </w:r>
    </w:p>
    <w:p w:rsidR="00B72047" w:rsidRDefault="00B72047">
      <w:pPr>
        <w:pStyle w:val="resumedafterexample"/>
      </w:pPr>
      <w:r>
        <w:rPr>
          <w:rStyle w:val="htmlcodes"/>
        </w:rPr>
        <w:t>&lt;/pre&gt;&lt;p&gt;</w:t>
      </w:r>
      <w:r>
        <w:t xml:space="preserve">In </w:t>
      </w:r>
      <w:r>
        <w:rPr>
          <w:rStyle w:val="htmlcodes"/>
        </w:rPr>
        <w:t>&lt;a href=#e3d16&gt;</w:t>
      </w:r>
      <w:r>
        <w:t>Example 3.16</w:t>
      </w:r>
      <w:r>
        <w:rPr>
          <w:rStyle w:val="htmlcodes"/>
        </w:rPr>
        <w:t>&lt;/a&gt;</w:t>
      </w:r>
      <w:r>
        <w:t>, the white dog is already fully identified (after all,</w:t>
      </w:r>
      <w:r>
        <w:rPr>
          <w:rStyle w:val="deletedparamark"/>
        </w:rPr>
        <w:t xml:space="preserve"> </w:t>
      </w:r>
      <w:r>
        <w:t>presumably the lis</w:t>
      </w:r>
      <w:r>
        <w:softHyphen/>
        <w:t>tener know which dog bit him or her!). The fact that</w:t>
      </w:r>
      <w:r>
        <w:rPr>
          <w:rStyle w:val="deletedparamark"/>
        </w:rPr>
        <w:t xml:space="preserve"> </w:t>
      </w:r>
      <w:r>
        <w:t>it is yours is merely incidental to the main bridi claim.</w:t>
      </w:r>
    </w:p>
    <w:p w:rsidR="00B72047" w:rsidRDefault="00B72047">
      <w:pPr>
        <w:rPr>
          <w:rStyle w:val="htmlparacode"/>
        </w:rPr>
      </w:pPr>
      <w:r>
        <w:rPr>
          <w:rStyle w:val="htmlparacode"/>
        </w:rPr>
        <w:t>&lt;p&gt;</w:t>
      </w:r>
    </w:p>
    <w:p w:rsidR="00B72047" w:rsidRDefault="00B72047">
      <w:pPr>
        <w:pStyle w:val="normalparagraph"/>
      </w:pPr>
      <w:r>
        <w:rPr>
          <w:rStyle w:val="indexentry"/>
        </w:rPr>
        <w:t>&lt;cx "no'u, contrasted with po'u"&gt;</w:t>
      </w:r>
      <w:r>
        <w:rPr>
          <w:rStyle w:val="indexentry"/>
        </w:rPr>
        <w:fldChar w:fldCharType="begin"/>
      </w:r>
      <w:r>
        <w:instrText>xe "</w:instrText>
      </w:r>
      <w:r>
        <w:rPr>
          <w:rStyle w:val="xeentry"/>
        </w:rPr>
        <w:instrText>no'u: contrasted with po'u</w:instrText>
      </w:r>
      <w:r>
        <w:instrText>"</w:instrText>
      </w:r>
      <w:r>
        <w:rPr>
          <w:rStyle w:val="indexentry"/>
        </w:rPr>
        <w:fldChar w:fldCharType="end"/>
      </w:r>
      <w:r>
        <w:rPr>
          <w:rStyle w:val="indexentry"/>
        </w:rPr>
        <w:t>&lt;cx "po'u, contrasted with no'u"&gt;</w:t>
      </w:r>
      <w:r>
        <w:rPr>
          <w:rStyle w:val="indexentry"/>
        </w:rPr>
        <w:fldChar w:fldCharType="begin"/>
      </w:r>
      <w:r>
        <w:instrText>xe "</w:instrText>
      </w:r>
      <w:r>
        <w:rPr>
          <w:rStyle w:val="xeentry"/>
        </w:rPr>
        <w:instrText>po'u: contrasted with no'u</w:instrText>
      </w:r>
      <w:r>
        <w:instrText>"</w:instrText>
      </w:r>
      <w:r>
        <w:rPr>
          <w:rStyle w:val="indexentry"/>
        </w:rPr>
        <w:fldChar w:fldCharType="end"/>
      </w:r>
      <w:r>
        <w:t>Distinguishing between “po'u” and “no'u” can be a little tricky. Consider a</w:t>
      </w:r>
      <w:r>
        <w:rPr>
          <w:rStyle w:val="deletedparamark"/>
        </w:rPr>
        <w:t xml:space="preserve"> </w:t>
      </w:r>
      <w:r>
        <w:t>room with several men in it, one of whom is named Jim. If you don't</w:t>
      </w:r>
      <w:r>
        <w:rPr>
          <w:rStyle w:val="deletedparamark"/>
        </w:rPr>
        <w:t xml:space="preserve"> </w:t>
      </w:r>
      <w:r>
        <w:t>know their names, I might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name=e3d17&gt;</w:t>
      </w:r>
      <w:r>
        <w:t>3.17)</w:t>
      </w:r>
      <w:r>
        <w:tab/>
        <w:t>le nanmu no'u la djim. cu terpemci</w:t>
      </w:r>
    </w:p>
    <w:p w:rsidR="00B72047" w:rsidRDefault="00B72047">
      <w:pPr>
        <w:pStyle w:val="examplescaled"/>
      </w:pPr>
      <w:r>
        <w:tab/>
        <w:t>The man, incidentally-who-is Jim, is-a-poet.</w:t>
      </w:r>
    </w:p>
    <w:p w:rsidR="00B72047" w:rsidRDefault="00B72047">
      <w:pPr>
        <w:pStyle w:val="examplescaled"/>
      </w:pPr>
      <w:r>
        <w:tab/>
        <w:t>The man, Jim, is a poet.</w:t>
      </w:r>
    </w:p>
    <w:p w:rsidR="00B72047" w:rsidRDefault="00B72047">
      <w:pPr>
        <w:pStyle w:val="resumedafterexample"/>
      </w:pPr>
      <w:r>
        <w:rPr>
          <w:rStyle w:val="htmlcodes"/>
        </w:rPr>
        <w:t>&lt;/pre&gt;&lt;p&gt;</w:t>
      </w:r>
      <w:r>
        <w:t>Here I am saying that one of the men is a poet, and incidentally telling</w:t>
      </w:r>
      <w:r>
        <w:rPr>
          <w:rStyle w:val="deletedparamark"/>
        </w:rPr>
        <w:t xml:space="preserve"> </w:t>
      </w:r>
      <w:r>
        <w:t>you that he is Jim. But if you do know the names, then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name=e3d18&gt;</w:t>
      </w:r>
      <w:r>
        <w:t>3.18)</w:t>
      </w:r>
      <w:r>
        <w:tab/>
        <w:t>le nanmu po'u la djim. cu terpemci</w:t>
      </w:r>
    </w:p>
    <w:p w:rsidR="00B72047" w:rsidRDefault="00B72047">
      <w:pPr>
        <w:pStyle w:val="examplescaled"/>
      </w:pPr>
      <w:r>
        <w:tab/>
        <w:t>The man who-is Jim is-a-poet.</w:t>
      </w:r>
    </w:p>
    <w:p w:rsidR="00B72047" w:rsidRDefault="00B72047">
      <w:pPr>
        <w:pStyle w:val="examplescaled"/>
      </w:pPr>
      <w:r>
        <w:tab/>
        <w:t>The man named Jim is a poet.</w:t>
      </w:r>
    </w:p>
    <w:p w:rsidR="00B72047" w:rsidRDefault="00B72047">
      <w:pPr>
        <w:pStyle w:val="resumedafterexample"/>
      </w:pPr>
      <w:r>
        <w:rPr>
          <w:rStyle w:val="htmlcodes"/>
        </w:rPr>
        <w:t>&lt;/pre&gt;</w:t>
      </w:r>
      <w:r>
        <w:t>is appropriate. Now I am using the fact that the man I am speaking of is</w:t>
      </w:r>
      <w:r>
        <w:rPr>
          <w:rStyle w:val="deletedparamark"/>
        </w:rPr>
        <w:t xml:space="preserve"> </w:t>
      </w:r>
      <w:r>
        <w:t>Jim in order to pick out which man I mean.</w:t>
      </w:r>
    </w:p>
    <w:p w:rsidR="00B72047" w:rsidRDefault="00B72047">
      <w:pPr>
        <w:rPr>
          <w:rStyle w:val="htmlparacode"/>
        </w:rPr>
      </w:pPr>
      <w:r>
        <w:rPr>
          <w:rStyle w:val="htmlparacode"/>
        </w:rPr>
        <w:t>&lt;p&gt;</w:t>
      </w:r>
    </w:p>
    <w:p w:rsidR="00B72047" w:rsidRDefault="00B72047">
      <w:pPr>
        <w:pStyle w:val="normalparagraph"/>
      </w:pPr>
      <w:r>
        <w:rPr>
          <w:rStyle w:val="indexentry"/>
        </w:rPr>
        <w:t>&lt;cx "possession, Lojban usage contrasted with English in omission/inclusion"&gt;</w:t>
      </w:r>
      <w:r>
        <w:rPr>
          <w:rStyle w:val="indexentry"/>
        </w:rPr>
        <w:fldChar w:fldCharType="begin"/>
      </w:r>
      <w:r>
        <w:instrText>xe "</w:instrText>
      </w:r>
      <w:r>
        <w:rPr>
          <w:rStyle w:val="xeentry"/>
        </w:rPr>
        <w:instrText>possession: Lojban usage contrasted with English in omission/inclusion</w:instrText>
      </w:r>
      <w:r>
        <w:instrText>"</w:instrText>
      </w:r>
      <w:r>
        <w:rPr>
          <w:rStyle w:val="indexentry"/>
        </w:rPr>
        <w:fldChar w:fldCharType="end"/>
      </w:r>
      <w:r>
        <w:rPr>
          <w:rStyle w:val="indexentry"/>
        </w:rPr>
        <w:t>&lt;cx "possession, Lojban usage compared with French and German in omission/inclusion"&gt;</w:t>
      </w:r>
      <w:r>
        <w:rPr>
          <w:rStyle w:val="indexentry"/>
        </w:rPr>
        <w:fldChar w:fldCharType="begin"/>
      </w:r>
      <w:r>
        <w:instrText>xe "</w:instrText>
      </w:r>
      <w:r>
        <w:rPr>
          <w:rStyle w:val="xeentry"/>
        </w:rPr>
        <w:instrText>possession: Lojban usage compared with French and German in omission/inclusion</w:instrText>
      </w:r>
      <w:r>
        <w:instrText>"</w:instrText>
      </w:r>
      <w:r>
        <w:rPr>
          <w:rStyle w:val="indexentry"/>
        </w:rPr>
        <w:fldChar w:fldCharType="end"/>
      </w:r>
      <w:r>
        <w:t>It is worth mentioning that English sometimes over-specifies possession</w:t>
      </w:r>
      <w:r>
        <w:rPr>
          <w:rStyle w:val="deletedparamark"/>
        </w:rPr>
        <w:t xml:space="preserve"> </w:t>
      </w:r>
      <w:r>
        <w:t>from the Lojban point of view (and the point of view of many other languages,</w:t>
      </w:r>
      <w:r>
        <w:rPr>
          <w:rStyle w:val="deletedparamark"/>
        </w:rPr>
        <w:t xml:space="preserve"> </w:t>
      </w:r>
      <w:r>
        <w:t>including ones closely related to English). The idiomatic English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name=e3d19&gt;</w:t>
      </w:r>
      <w:r>
        <w:t>3.19)</w:t>
      </w:r>
      <w:r>
        <w:tab/>
        <w:t>The man put his hands in his pockets.</w:t>
      </w:r>
    </w:p>
    <w:p w:rsidR="00B72047" w:rsidRDefault="00B72047">
      <w:pPr>
        <w:pStyle w:val="resumedafterexample"/>
      </w:pPr>
      <w:r>
        <w:rPr>
          <w:rStyle w:val="htmlcodes"/>
        </w:rPr>
        <w:t>&lt;/pre&gt;</w:t>
      </w:r>
      <w:r>
        <w:t>seems strange to a French- or German-speaking person: whose pockets would</w:t>
      </w:r>
      <w:r>
        <w:rPr>
          <w:rStyle w:val="deletedparamark"/>
        </w:rPr>
        <w:t xml:space="preserve"> </w:t>
      </w:r>
      <w:r>
        <w:t>he put his hands into? and even odder, whose hands would he put into his</w:t>
      </w:r>
      <w:r>
        <w:rPr>
          <w:rStyle w:val="deletedparamark"/>
        </w:rPr>
        <w:t xml:space="preserve"> </w:t>
      </w:r>
      <w:r>
        <w:t>pockets? In Lojban, the sentence</w:t>
      </w:r>
    </w:p>
    <w:p w:rsidR="00B72047" w:rsidRDefault="00B72047">
      <w:pPr>
        <w:rPr>
          <w:rStyle w:val="htmlparacode"/>
        </w:rPr>
      </w:pPr>
      <w:r>
        <w:rPr>
          <w:rStyle w:val="htmlparacode"/>
        </w:rPr>
        <w:t>&lt;p&gt;</w:t>
      </w:r>
    </w:p>
    <w:p w:rsidR="00B72047" w:rsidRDefault="00B72047">
      <w:pPr>
        <w:pStyle w:val="examplescaledpre"/>
      </w:pPr>
      <w:r>
        <w:rPr>
          <w:rStyle w:val="indexentry"/>
        </w:rPr>
        <w:t>&lt;ex "hands in pockets"&gt;</w:t>
      </w:r>
      <w:r>
        <w:rPr>
          <w:rStyle w:val="indexentry"/>
        </w:rPr>
        <w:fldChar w:fldCharType="begin"/>
      </w:r>
      <w:r>
        <w:instrText>xe "</w:instrText>
      </w:r>
      <w:r>
        <w:rPr>
          <w:rStyle w:val="xeentry"/>
        </w:rPr>
        <w:instrText>hands in pockets: example</w:instrText>
      </w:r>
      <w:r>
        <w:instrText>"</w:instrText>
      </w:r>
      <w:r>
        <w:rPr>
          <w:rStyle w:val="indexentry"/>
        </w:rPr>
        <w:fldChar w:fldCharType="end"/>
      </w:r>
      <w:r>
        <w:rPr>
          <w:rStyle w:val="htmlcodes"/>
        </w:rPr>
        <w:t>&lt;pre&gt;&lt;a name=e3d20&gt;</w:t>
      </w:r>
      <w:r>
        <w:t>3.20)</w:t>
      </w:r>
      <w:r>
        <w:tab/>
        <w:t>le nanmu cu punji le xanci le daski</w:t>
      </w:r>
    </w:p>
    <w:p w:rsidR="00B72047" w:rsidRDefault="00B72047">
      <w:pPr>
        <w:pStyle w:val="examplescaled"/>
      </w:pPr>
      <w:r>
        <w:tab/>
        <w:t>The man puts the hand at-locus-the pocket.</w:t>
      </w:r>
    </w:p>
    <w:p w:rsidR="00B72047" w:rsidRDefault="00B72047">
      <w:pPr>
        <w:pStyle w:val="resumedafterexample"/>
      </w:pPr>
      <w:r>
        <w:rPr>
          <w:rStyle w:val="htmlcodes"/>
        </w:rPr>
        <w:t>&lt;/pre&gt;</w:t>
      </w:r>
      <w:r>
        <w:t>is very natural. Of course, if the man is in fact putting his hands into</w:t>
      </w:r>
      <w:r>
        <w:rPr>
          <w:rStyle w:val="deletedparamark"/>
        </w:rPr>
        <w:t xml:space="preserve"> </w:t>
      </w:r>
      <w:r>
        <w:t>another's pockets, or another's hands into his pockets, the fact can be</w:t>
      </w:r>
      <w:r>
        <w:rPr>
          <w:rStyle w:val="deletedparamark"/>
        </w:rPr>
        <w:t xml:space="preserve"> </w:t>
      </w:r>
      <w:r>
        <w:t>specified.</w:t>
      </w:r>
    </w:p>
    <w:p w:rsidR="00B72047" w:rsidRDefault="00B72047">
      <w:pPr>
        <w:rPr>
          <w:rStyle w:val="htmlparacode"/>
        </w:rPr>
      </w:pPr>
      <w:r>
        <w:rPr>
          <w:rStyle w:val="htmlparacode"/>
        </w:rPr>
        <w:t>&lt;p&gt;</w:t>
      </w:r>
    </w:p>
    <w:p w:rsidR="00B72047" w:rsidRDefault="00B72047">
      <w:pPr>
        <w:pStyle w:val="normalparagraph"/>
      </w:pPr>
      <w:r>
        <w:rPr>
          <w:rStyle w:val="indexentry"/>
        </w:rPr>
        <w:t>&lt;lx "ge'u"&gt;</w:t>
      </w:r>
      <w:r>
        <w:rPr>
          <w:rStyle w:val="indexentry"/>
        </w:rPr>
        <w:fldChar w:fldCharType="begin"/>
      </w:r>
      <w:r>
        <w:instrText>xe "</w:instrText>
      </w:r>
      <w:r>
        <w:rPr>
          <w:rStyle w:val="xeentry"/>
        </w:rPr>
        <w:instrText>ge'u</w:instrText>
      </w:r>
      <w:r>
        <w:instrText>"</w:instrText>
      </w:r>
      <w:r>
        <w:rPr>
          <w:rStyle w:val="indexentry"/>
        </w:rPr>
        <w:fldChar w:fldCharType="end"/>
      </w:r>
      <w:r>
        <w:rPr>
          <w:rStyle w:val="indexentry"/>
        </w:rPr>
        <w:t>&lt;lx "GEhU"&gt;</w:t>
      </w:r>
      <w:r>
        <w:rPr>
          <w:rStyle w:val="indexentry"/>
        </w:rPr>
        <w:fldChar w:fldCharType="begin"/>
      </w:r>
      <w:r>
        <w:instrText>xe "</w:instrText>
      </w:r>
      <w:r>
        <w:rPr>
          <w:rStyle w:val="xeentry"/>
        </w:rPr>
        <w:instrText>GEhU selma’o</w:instrText>
      </w:r>
      <w:r>
        <w:instrText>"</w:instrText>
      </w:r>
      <w:r>
        <w:rPr>
          <w:rStyle w:val="indexentry"/>
        </w:rPr>
        <w:fldChar w:fldCharType="end"/>
      </w:r>
      <w:r>
        <w:rPr>
          <w:rStyle w:val="indexentry"/>
        </w:rPr>
        <w:t>&lt;cx "ge'u, elidability of from relative phrases"&gt;</w:t>
      </w:r>
      <w:r>
        <w:rPr>
          <w:rStyle w:val="indexentry"/>
        </w:rPr>
        <w:fldChar w:fldCharType="begin"/>
      </w:r>
      <w:r>
        <w:instrText>xe "</w:instrText>
      </w:r>
      <w:r>
        <w:rPr>
          <w:rStyle w:val="xeentry"/>
        </w:rPr>
        <w:instrText>ge'u: elidability of from relative phrases</w:instrText>
      </w:r>
      <w:r>
        <w:instrText>"</w:instrText>
      </w:r>
      <w:r>
        <w:rPr>
          <w:rStyle w:val="indexentry"/>
        </w:rPr>
        <w:fldChar w:fldCharType="end"/>
      </w:r>
      <w:r>
        <w:rPr>
          <w:rStyle w:val="indexentry"/>
        </w:rPr>
        <w:t>&lt;cx "logical connective, effect on elidability of ge'u from preceding relative phrase"&gt;</w:t>
      </w:r>
      <w:r>
        <w:rPr>
          <w:rStyle w:val="indexentry"/>
        </w:rPr>
        <w:fldChar w:fldCharType="begin"/>
      </w:r>
      <w:r>
        <w:instrText>xe "</w:instrText>
      </w:r>
      <w:r>
        <w:rPr>
          <w:rStyle w:val="xeentry"/>
        </w:rPr>
        <w:instrText>logical connectives: effect on elidability of ge'u from preceding relative phrase</w:instrText>
      </w:r>
      <w:r>
        <w:instrText>"</w:instrText>
      </w:r>
      <w:r>
        <w:rPr>
          <w:rStyle w:val="indexentry"/>
        </w:rPr>
        <w:fldChar w:fldCharType="end"/>
      </w:r>
      <w:r>
        <w:rPr>
          <w:rStyle w:val="indexentry"/>
        </w:rPr>
        <w:t>&lt;cx "ge'u, effect of following logical connective on elidability"&gt;</w:t>
      </w:r>
      <w:r>
        <w:rPr>
          <w:rStyle w:val="indexentry"/>
        </w:rPr>
        <w:fldChar w:fldCharType="begin"/>
      </w:r>
      <w:r>
        <w:instrText>xe "</w:instrText>
      </w:r>
      <w:r>
        <w:rPr>
          <w:rStyle w:val="xeentry"/>
        </w:rPr>
        <w:instrText>ge'u: effect of following logical connective on elidability</w:instrText>
      </w:r>
      <w:r>
        <w:instrText>"</w:instrText>
      </w:r>
      <w:r>
        <w:rPr>
          <w:rStyle w:val="indexentry"/>
        </w:rPr>
        <w:fldChar w:fldCharType="end"/>
      </w:r>
      <w:r>
        <w:rPr>
          <w:rStyle w:val="indexentry"/>
        </w:rPr>
        <w:t>&lt;cx "goi, rationale for non-inclusion in relative clause chapter"&gt;</w:t>
      </w:r>
      <w:r>
        <w:rPr>
          <w:rStyle w:val="indexentry"/>
        </w:rPr>
        <w:fldChar w:fldCharType="begin"/>
      </w:r>
      <w:r>
        <w:instrText>xe "</w:instrText>
      </w:r>
      <w:r>
        <w:rPr>
          <w:rStyle w:val="xeentry"/>
        </w:rPr>
        <w:instrText>goi: rationale for non-inclusion in relative clause chapter</w:instrText>
      </w:r>
      <w:r>
        <w:instrText>"</w:instrText>
      </w:r>
      <w:r>
        <w:rPr>
          <w:rStyle w:val="indexentry"/>
        </w:rPr>
        <w:fldChar w:fldCharType="end"/>
      </w:r>
      <w:r>
        <w:t>Finally, the elidable terminator for GOI cmavo is “ge'u” of selma'o GEhU; it</w:t>
      </w:r>
      <w:r>
        <w:rPr>
          <w:rStyle w:val="deletedparamark"/>
        </w:rPr>
        <w:t xml:space="preserve"> </w:t>
      </w:r>
      <w:r>
        <w:t>is a</w:t>
      </w:r>
      <w:r>
        <w:t>l</w:t>
      </w:r>
      <w:r>
        <w:softHyphen/>
        <w:t>most never required. However, if a logical con</w:t>
      </w:r>
      <w:r>
        <w:softHyphen/>
        <w:t>nective immediately</w:t>
      </w:r>
      <w:r>
        <w:rPr>
          <w:rStyle w:val="deletedparamark"/>
        </w:rPr>
        <w:t xml:space="preserve"> </w:t>
      </w:r>
      <w:r>
        <w:t>follows a sumti mod</w:t>
      </w:r>
      <w:r>
        <w:t>i</w:t>
      </w:r>
      <w:r>
        <w:softHyphen/>
        <w:t>fied by a relative phrase, then an explicit “ge'u”</w:t>
      </w:r>
      <w:r>
        <w:rPr>
          <w:rStyle w:val="deletedparamark"/>
        </w:rPr>
        <w:t xml:space="preserve"> </w:t>
      </w:r>
      <w:r>
        <w:t>is needed to allow the connective to a</w:t>
      </w:r>
      <w:r>
        <w:t>f</w:t>
      </w:r>
      <w:r>
        <w:softHyphen/>
        <w:t>fect the relativized sumti rather</w:t>
      </w:r>
      <w:r>
        <w:rPr>
          <w:rStyle w:val="deletedparamark"/>
        </w:rPr>
        <w:t xml:space="preserve"> </w:t>
      </w:r>
      <w:r>
        <w:t>than the sumti of the relative phrase. (What about the cmavo after which</w:t>
      </w:r>
      <w:r>
        <w:rPr>
          <w:rStyle w:val="deletedparamark"/>
        </w:rPr>
        <w:t xml:space="preserve"> </w:t>
      </w:r>
      <w:r>
        <w:t xml:space="preserve">selma'o GOI is named? It is discussed in </w:t>
      </w:r>
      <w:r>
        <w:rPr>
          <w:rStyle w:val="htmlcodes"/>
        </w:rPr>
        <w:t>&lt;a href=chap7.html&gt;</w:t>
      </w:r>
      <w:r>
        <w:t>Chapter 7</w:t>
      </w:r>
      <w:r>
        <w:rPr>
          <w:rStyle w:val="htmlcodes"/>
        </w:rPr>
        <w:t>&lt;/a&gt;</w:t>
      </w:r>
      <w:r>
        <w:t>, as it is not sema</w:t>
      </w:r>
      <w:r>
        <w:t>n</w:t>
      </w:r>
      <w:r>
        <w:softHyphen/>
        <w:t>tically</w:t>
      </w:r>
      <w:r>
        <w:rPr>
          <w:rStyle w:val="deletedparamark"/>
        </w:rPr>
        <w:t xml:space="preserve"> </w:t>
      </w:r>
      <w:r>
        <w:t>akin to the other kinds of relative phrases, although the syntax is the same.)</w:t>
      </w:r>
    </w:p>
    <w:p w:rsidR="00B72047" w:rsidRDefault="00B72047">
      <w:pPr>
        <w:rPr>
          <w:rStyle w:val="htmlcodes"/>
        </w:rPr>
      </w:pPr>
      <w:r>
        <w:rPr>
          <w:rStyle w:val="htmlcodes"/>
        </w:rPr>
        <w:t>&lt;p&gt;</w:t>
      </w:r>
    </w:p>
    <w:p w:rsidR="00B72047" w:rsidRDefault="00B72047">
      <w:pPr>
        <w:pStyle w:val="Heading3"/>
        <w:rPr>
          <w:rStyle w:val="Heading3Text"/>
        </w:rPr>
      </w:pPr>
      <w:r>
        <w:rPr>
          <w:rStyle w:val="htmlcodes"/>
        </w:rPr>
        <w:t>a name=s4&gt;&lt;h3&gt;</w:t>
      </w:r>
      <w:bookmarkStart w:id="299" w:name="_Toc398970546"/>
      <w:r>
        <w:rPr>
          <w:rStyle w:val="Heading3Text"/>
        </w:rPr>
        <w:t>Multiple relative clauses: “zi'e”</w:t>
      </w:r>
      <w:bookmarkEnd w:id="299"/>
      <w:r>
        <w:rPr>
          <w:rStyle w:val="htmlcodes"/>
        </w:rPr>
        <w: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zi'e</w:t>
      </w:r>
      <w:r>
        <w:tab/>
        <w:t>ZIhE</w:t>
      </w:r>
      <w:r>
        <w:tab/>
        <w:t>relative clause joiner</w:t>
      </w:r>
    </w:p>
    <w:p w:rsidR="00B72047" w:rsidRDefault="00B72047">
      <w:pPr>
        <w:pStyle w:val="normalafterexample"/>
      </w:pPr>
      <w:r>
        <w:rPr>
          <w:rStyle w:val="htmlcodes"/>
        </w:rPr>
        <w:t>&lt;/pre&gt;</w:t>
      </w:r>
      <w:r>
        <w:rPr>
          <w:rStyle w:val="indexentry"/>
        </w:rPr>
        <w:t>&lt;cx "multiple relative clauses, attaching with zi'e"&gt;</w:t>
      </w:r>
      <w:r>
        <w:rPr>
          <w:rStyle w:val="indexentry"/>
        </w:rPr>
        <w:fldChar w:fldCharType="begin"/>
      </w:r>
      <w:r>
        <w:instrText>xe "</w:instrText>
      </w:r>
      <w:r>
        <w:rPr>
          <w:rStyle w:val="xeentry"/>
        </w:rPr>
        <w:instrText>multiple relative clauses: attaching with zi'e</w:instrText>
      </w:r>
      <w:r>
        <w:instrText>"</w:instrText>
      </w:r>
      <w:r>
        <w:rPr>
          <w:rStyle w:val="indexentry"/>
        </w:rPr>
        <w:fldChar w:fldCharType="end"/>
      </w:r>
      <w:r>
        <w:rPr>
          <w:rStyle w:val="indexentry"/>
        </w:rPr>
        <w:t>&lt;lx "zi'e"&gt;</w:t>
      </w:r>
      <w:r>
        <w:rPr>
          <w:rStyle w:val="indexentry"/>
        </w:rPr>
        <w:fldChar w:fldCharType="begin"/>
      </w:r>
      <w:r>
        <w:instrText>xe "</w:instrText>
      </w:r>
      <w:r>
        <w:rPr>
          <w:rStyle w:val="xeentry"/>
        </w:rPr>
        <w:instrText>zi'e</w:instrText>
      </w:r>
      <w:r>
        <w:instrText>"</w:instrText>
      </w:r>
      <w:r>
        <w:rPr>
          <w:rStyle w:val="indexentry"/>
        </w:rPr>
        <w:fldChar w:fldCharType="end"/>
      </w:r>
      <w:r>
        <w:rPr>
          <w:rStyle w:val="indexentry"/>
        </w:rPr>
        <w:t>&lt;lx "ZIhE"&gt;</w:t>
      </w:r>
      <w:r>
        <w:rPr>
          <w:rStyle w:val="indexentry"/>
        </w:rPr>
        <w:fldChar w:fldCharType="begin"/>
      </w:r>
      <w:r>
        <w:instrText>xe "</w:instrText>
      </w:r>
      <w:r>
        <w:rPr>
          <w:rStyle w:val="xeentry"/>
        </w:rPr>
        <w:instrText>ZIhE selma’o</w:instrText>
      </w:r>
      <w:r>
        <w:instrText>"</w:instrText>
      </w:r>
      <w:r>
        <w:rPr>
          <w:rStyle w:val="indexentry"/>
        </w:rPr>
        <w:fldChar w:fldCharType="end"/>
      </w:r>
      <w:r>
        <w:t>Sometimes it is necessary or useful to attach more than one</w:t>
      </w:r>
      <w:r>
        <w:rPr>
          <w:rStyle w:val="deletedparamark"/>
        </w:rPr>
        <w:t xml:space="preserve"> </w:t>
      </w:r>
      <w:r>
        <w:t>relative clause to a sumti. This is made possible in Lojban</w:t>
      </w:r>
      <w:r>
        <w:rPr>
          <w:rStyle w:val="deletedparamark"/>
        </w:rPr>
        <w:t xml:space="preserve"> </w:t>
      </w:r>
      <w:r>
        <w:t>by the cmavo “zi'e” (of selma'o ZIhE), which is used to join one</w:t>
      </w:r>
      <w:r>
        <w:rPr>
          <w:rStyle w:val="deletedparamark"/>
        </w:rPr>
        <w:t xml:space="preserve"> </w:t>
      </w:r>
      <w:r>
        <w:t>or more rela</w:t>
      </w:r>
      <w:r>
        <w:softHyphen/>
        <w:t>tive clauses together into a single unit, thus making</w:t>
      </w:r>
      <w:r>
        <w:rPr>
          <w:rStyle w:val="deletedparamark"/>
        </w:rPr>
        <w:t xml:space="preserve"> </w:t>
      </w:r>
      <w:r>
        <w:t>them apply to the same sumti.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le gerku poi blabi zi'e poi batci le nanmu cu klama</w:t>
      </w:r>
    </w:p>
    <w:p w:rsidR="00B72047" w:rsidRDefault="00B72047">
      <w:pPr>
        <w:pStyle w:val="examplescaled"/>
      </w:pPr>
      <w:r>
        <w:tab/>
        <w:t>The dog which is white and which bites the man goes.</w:t>
      </w:r>
    </w:p>
    <w:p w:rsidR="00B72047" w:rsidRDefault="00B72047">
      <w:pPr>
        <w:pStyle w:val="normalafterexample"/>
      </w:pPr>
      <w:r>
        <w:rPr>
          <w:rStyle w:val="htmlcodes"/>
        </w:rPr>
        <w:t>&lt;/pre&gt;</w:t>
      </w:r>
      <w:r>
        <w:rPr>
          <w:rStyle w:val="indexentry"/>
        </w:rPr>
        <w:t>&lt;cx "zi'e, contrasted with logical connectives"&gt;</w:t>
      </w:r>
      <w:r>
        <w:rPr>
          <w:rStyle w:val="indexentry"/>
        </w:rPr>
        <w:fldChar w:fldCharType="begin"/>
      </w:r>
      <w:r>
        <w:instrText>xe "</w:instrText>
      </w:r>
      <w:r>
        <w:rPr>
          <w:rStyle w:val="xeentry"/>
        </w:rPr>
        <w:instrText>zi'e: contrasted with logical connectives</w:instrText>
      </w:r>
      <w:r>
        <w:instrText>"</w:instrText>
      </w:r>
      <w:r>
        <w:rPr>
          <w:rStyle w:val="indexentry"/>
        </w:rPr>
        <w:fldChar w:fldCharType="end"/>
      </w:r>
      <w:r>
        <w:rPr>
          <w:rStyle w:val="indexentry"/>
        </w:rPr>
        <w:t>&lt;cx "zi'e, compared with “and”"&gt;</w:t>
      </w:r>
      <w:r>
        <w:rPr>
          <w:rStyle w:val="indexentry"/>
        </w:rPr>
        <w:fldChar w:fldCharType="begin"/>
      </w:r>
      <w:r>
        <w:instrText>xe "</w:instrText>
      </w:r>
      <w:r>
        <w:rPr>
          <w:rStyle w:val="xeentry"/>
        </w:rPr>
        <w:instrText>zi'e: compared with English and</w:instrText>
      </w:r>
      <w:r>
        <w:instrText>"</w:instrText>
      </w:r>
      <w:r>
        <w:rPr>
          <w:rStyle w:val="indexentry"/>
        </w:rPr>
        <w:fldChar w:fldCharType="end"/>
      </w:r>
      <w:r>
        <w:t>The most usual translation of “zi'e” in English is “and”, but</w:t>
      </w:r>
      <w:r>
        <w:rPr>
          <w:rStyle w:val="deletedparamark"/>
        </w:rPr>
        <w:t xml:space="preserve"> “</w:t>
      </w:r>
      <w:r>
        <w:t>zi'e” is not really a log</w:t>
      </w:r>
      <w:r>
        <w:t>i</w:t>
      </w:r>
      <w:r>
        <w:softHyphen/>
        <w:t>cal connective: unlike most of the true</w:t>
      </w:r>
      <w:r>
        <w:rPr>
          <w:rStyle w:val="deletedparamark"/>
        </w:rPr>
        <w:t xml:space="preserve"> </w:t>
      </w:r>
      <w:r>
        <w:t xml:space="preserve">logical connectives (which are explained in </w:t>
      </w:r>
      <w:r>
        <w:rPr>
          <w:rStyle w:val="htmlcodes"/>
        </w:rPr>
        <w:t>&lt;a href=chap14.html&gt;</w:t>
      </w:r>
      <w:r>
        <w:t>Cha</w:t>
      </w:r>
      <w:r>
        <w:t>p</w:t>
      </w:r>
      <w:r>
        <w:softHyphen/>
        <w:t>ter 14</w:t>
      </w:r>
      <w:r>
        <w:rPr>
          <w:rStyle w:val="htmlcodes"/>
        </w:rPr>
        <w:t>&lt;/a&gt;</w:t>
      </w:r>
      <w:r>
        <w:t>), it cannot be</w:t>
      </w:r>
      <w:r>
        <w:rPr>
          <w:rStyle w:val="deletedparamark"/>
        </w:rPr>
        <w:t xml:space="preserve"> </w:t>
      </w:r>
      <w:r>
        <w:t>con</w:t>
      </w:r>
      <w:r>
        <w:softHyphen/>
        <w:t>verted into a logical connection between sentences.</w:t>
      </w:r>
    </w:p>
    <w:p w:rsidR="00B72047" w:rsidRDefault="00B72047">
      <w:pPr>
        <w:rPr>
          <w:rStyle w:val="htmlparacode"/>
        </w:rPr>
      </w:pPr>
      <w:r>
        <w:rPr>
          <w:rStyle w:val="htmlparacode"/>
        </w:rPr>
        <w:t>&lt;p&gt;</w:t>
      </w:r>
    </w:p>
    <w:p w:rsidR="00B72047" w:rsidRDefault="00B72047">
      <w:pPr>
        <w:pStyle w:val="normalparagraph"/>
      </w:pPr>
      <w:r>
        <w:rPr>
          <w:rStyle w:val="indexentry"/>
        </w:rPr>
        <w:t>&lt;cx "multiple relative clauses, connecting different kinds with zi'e"&gt;</w:t>
      </w:r>
      <w:r>
        <w:rPr>
          <w:rStyle w:val="indexentry"/>
        </w:rPr>
        <w:fldChar w:fldCharType="begin"/>
      </w:r>
      <w:r>
        <w:instrText>xe "</w:instrText>
      </w:r>
      <w:r>
        <w:rPr>
          <w:rStyle w:val="xeentry"/>
        </w:rPr>
        <w:instrText>multiple relative clauses: connecting different kinds with zi'e</w:instrText>
      </w:r>
      <w:r>
        <w:instrText>"</w:instrText>
      </w:r>
      <w:r>
        <w:rPr>
          <w:rStyle w:val="indexentry"/>
        </w:rPr>
        <w:fldChar w:fldCharType="end"/>
      </w:r>
      <w:r>
        <w:rPr>
          <w:rStyle w:val="indexentry"/>
        </w:rPr>
        <w:t>&lt;cx "relative clause, connecting to relative phrase with zi'e"&gt;</w:t>
      </w:r>
      <w:r>
        <w:rPr>
          <w:rStyle w:val="indexentry"/>
        </w:rPr>
        <w:fldChar w:fldCharType="begin"/>
      </w:r>
      <w:r>
        <w:instrText>xe "</w:instrText>
      </w:r>
      <w:r>
        <w:rPr>
          <w:rStyle w:val="xeentry"/>
        </w:rPr>
        <w:instrText>relative clause: connecting to relative phrase with zi'e</w:instrText>
      </w:r>
      <w:r>
        <w:instrText>"</w:instrText>
      </w:r>
      <w:r>
        <w:rPr>
          <w:rStyle w:val="indexentry"/>
        </w:rPr>
        <w:fldChar w:fldCharType="end"/>
      </w:r>
      <w:r>
        <w:rPr>
          <w:rStyle w:val="indexentry"/>
        </w:rPr>
        <w:t>&lt;cx "relative phrase, connecting to relative clause with zi'e"&gt;</w:t>
      </w:r>
      <w:r>
        <w:rPr>
          <w:rStyle w:val="indexentry"/>
        </w:rPr>
        <w:fldChar w:fldCharType="begin"/>
      </w:r>
      <w:r>
        <w:instrText>xe "</w:instrText>
      </w:r>
      <w:r>
        <w:rPr>
          <w:rStyle w:val="xeentry"/>
        </w:rPr>
        <w:instrText>relative phrase: connecting to relative clause with zi'e</w:instrText>
      </w:r>
      <w:r>
        <w:instrText>"</w:instrText>
      </w:r>
      <w:r>
        <w:rPr>
          <w:rStyle w:val="indexentry"/>
        </w:rPr>
        <w:fldChar w:fldCharType="end"/>
      </w:r>
      <w:r>
        <w:t>It is perfectly correct to use “zi'e” to connect relative clauses</w:t>
      </w:r>
      <w:r>
        <w:rPr>
          <w:rStyle w:val="deletedparamark"/>
        </w:rPr>
        <w:t xml:space="preserve"> </w:t>
      </w:r>
      <w:r>
        <w:t>of different kinds: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name=e4d2&gt;</w:t>
      </w:r>
      <w:r>
        <w:t>4.2)</w:t>
      </w:r>
      <w:r>
        <w:tab/>
        <w:t>le gerku poi blabi zi'e noi le mi pendo cu ponse ke'a cu klama</w:t>
      </w:r>
    </w:p>
    <w:p w:rsidR="00B72047" w:rsidRDefault="00B72047">
      <w:pPr>
        <w:pStyle w:val="examplescaled"/>
      </w:pPr>
      <w:r>
        <w:tab/>
        <w:t>The dog that-is (white) and incidentally-such-that (my friend owns IT) goes.</w:t>
      </w:r>
    </w:p>
    <w:p w:rsidR="00B72047" w:rsidRDefault="00B72047">
      <w:pPr>
        <w:pStyle w:val="examplescaled"/>
      </w:pPr>
      <w:r>
        <w:tab/>
        <w:t>The dog that is white, which my friend owns, is going.</w:t>
      </w:r>
    </w:p>
    <w:p w:rsidR="00B72047" w:rsidRDefault="00B72047">
      <w:pPr>
        <w:pStyle w:val="resumedafterexample"/>
      </w:pPr>
      <w:r>
        <w:rPr>
          <w:rStyle w:val="htmlcodes"/>
        </w:rPr>
        <w:t>&lt;/pre&gt;&lt;p&gt;</w:t>
      </w:r>
      <w:r>
        <w:t xml:space="preserve">In </w:t>
      </w:r>
      <w:r>
        <w:rPr>
          <w:rStyle w:val="htmlcodes"/>
        </w:rPr>
        <w:t>&lt;a href=#e4d2&gt;</w:t>
      </w:r>
      <w:r>
        <w:t>Example 4.2</w:t>
      </w:r>
      <w:r>
        <w:rPr>
          <w:rStyle w:val="htmlcodes"/>
        </w:rPr>
        <w:t>&lt;/a&gt;</w:t>
      </w:r>
      <w:r>
        <w:t>, the restrictive clause “poi blabi” specifies which</w:t>
      </w:r>
      <w:r>
        <w:rPr>
          <w:rStyle w:val="deletedparamark"/>
        </w:rPr>
        <w:t xml:space="preserve"> </w:t>
      </w:r>
      <w:r>
        <w:t>dog is referred to, but the incidental clause “noi le mi pendo cu ponse”</w:t>
      </w:r>
      <w:r>
        <w:rPr>
          <w:rStyle w:val="deletedparamark"/>
        </w:rPr>
        <w:t xml:space="preserve"> </w:t>
      </w:r>
      <w:r>
        <w:t>is mere incidental information: the li</w:t>
      </w:r>
      <w:r>
        <w:t>s</w:t>
      </w:r>
      <w:r>
        <w:softHyphen/>
        <w:t>tener is supposed to already</w:t>
      </w:r>
      <w:r>
        <w:rPr>
          <w:rStyle w:val="deletedparamark"/>
        </w:rPr>
        <w:t xml:space="preserve"> </w:t>
      </w:r>
      <w:r>
        <w:t>have identified the dog from the “poi blabi”. Of course, the</w:t>
      </w:r>
      <w:r>
        <w:rPr>
          <w:rStyle w:val="deletedparamark"/>
        </w:rPr>
        <w:t xml:space="preserve"> </w:t>
      </w:r>
      <w:r>
        <w:t>meaning (though not necessarily the emphasis) is the same</w:t>
      </w:r>
      <w:r>
        <w:rPr>
          <w:rStyle w:val="deletedparamark"/>
        </w:rPr>
        <w:t xml:space="preserve"> </w:t>
      </w:r>
      <w:r>
        <w:t>if the incidental clause ap</w:t>
      </w:r>
      <w:r>
        <w:softHyphen/>
        <w:t>pears first.</w:t>
      </w:r>
    </w:p>
    <w:p w:rsidR="00B72047" w:rsidRDefault="00B72047">
      <w:pPr>
        <w:rPr>
          <w:rStyle w:val="htmlparacode"/>
        </w:rPr>
      </w:pPr>
      <w:r>
        <w:rPr>
          <w:rStyle w:val="htmlparacode"/>
        </w:rPr>
        <w:t>&lt;p&gt;</w:t>
      </w:r>
    </w:p>
    <w:p w:rsidR="00B72047" w:rsidRDefault="00B72047">
      <w:pPr>
        <w:pStyle w:val="normalparagraph"/>
      </w:pPr>
      <w:r>
        <w:rPr>
          <w:rStyle w:val="indexentry"/>
        </w:rPr>
        <w:t>&lt;cx "zi'e, use in connecting relative phrase/clause to relative phrase/clause"&gt;</w:t>
      </w:r>
      <w:r>
        <w:rPr>
          <w:rStyle w:val="indexentry"/>
        </w:rPr>
        <w:fldChar w:fldCharType="begin"/>
      </w:r>
      <w:r>
        <w:instrText>xe "</w:instrText>
      </w:r>
      <w:r>
        <w:rPr>
          <w:rStyle w:val="xeentry"/>
        </w:rPr>
        <w:instrText>zi'e: use in connecting relative phrase/clause to relative phrase/clause</w:instrText>
      </w:r>
      <w:r>
        <w:instrText>"</w:instrText>
      </w:r>
      <w:r>
        <w:rPr>
          <w:rStyle w:val="indexentry"/>
        </w:rPr>
        <w:fldChar w:fldCharType="end"/>
      </w:r>
      <w:r>
        <w:t>It is also possible to connect relative phrases with “zi'e”, or</w:t>
      </w:r>
      <w:r>
        <w:rPr>
          <w:rStyle w:val="deletedparamark"/>
        </w:rPr>
        <w:t xml:space="preserve"> </w:t>
      </w:r>
      <w:r>
        <w:t>a relative phrase with a relative 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name=e4d3&gt;</w:t>
      </w:r>
      <w:r>
        <w:t>4.3)</w:t>
      </w:r>
      <w:r>
        <w:tab/>
        <w:t>le botpi po mi zi'e poi blanu cu spofu</w:t>
      </w:r>
    </w:p>
    <w:p w:rsidR="00B72047" w:rsidRDefault="00B72047">
      <w:pPr>
        <w:pStyle w:val="examplescaled"/>
      </w:pPr>
      <w:r>
        <w:tab/>
        <w:t>The bottle specific-to me and which-is blue is-broken.</w:t>
      </w:r>
    </w:p>
    <w:p w:rsidR="00B72047" w:rsidRDefault="00B72047">
      <w:pPr>
        <w:pStyle w:val="examplescaled"/>
      </w:pPr>
      <w:r>
        <w:tab/>
        <w:t>My blue bottle is broken.</w:t>
      </w:r>
    </w:p>
    <w:p w:rsidR="00B72047" w:rsidRDefault="00B72047">
      <w:pPr>
        <w:pStyle w:val="resumedafterexample"/>
      </w:pPr>
      <w:r>
        <w:rPr>
          <w:rStyle w:val="htmlcodes"/>
        </w:rPr>
        <w:t>&lt;/pre&gt;&lt;p&gt;</w:t>
      </w:r>
      <w:r>
        <w:t xml:space="preserve">Note that if the colloquial translation of </w:t>
      </w:r>
      <w:r>
        <w:rPr>
          <w:rStyle w:val="htmlcodes"/>
        </w:rPr>
        <w:t>&lt;a href=#e4d3&gt;</w:t>
      </w:r>
      <w:r>
        <w:t xml:space="preserve">Example 4.3 </w:t>
      </w:r>
      <w:r>
        <w:rPr>
          <w:rStyle w:val="htmlcodes"/>
        </w:rPr>
        <w:t>&lt;/a&gt;</w:t>
      </w:r>
      <w:r>
        <w:t>were</w:t>
      </w:r>
      <w:r>
        <w:rPr>
          <w:rStyle w:val="deletedparamark"/>
        </w:rPr>
        <w:t xml:space="preserve"> “</w:t>
      </w:r>
      <w:r>
        <w:t>My bottle, which is blue, is broken”, then “noi” rather than</w:t>
      </w:r>
      <w:r>
        <w:rPr>
          <w:rStyle w:val="deletedparamark"/>
        </w:rPr>
        <w:t xml:space="preserve"> “</w:t>
      </w:r>
      <w:r>
        <w:t>poi” would have been correct in the Lojban version, since that</w:t>
      </w:r>
      <w:r>
        <w:rPr>
          <w:rStyle w:val="deletedparamark"/>
        </w:rPr>
        <w:t xml:space="preserve"> </w:t>
      </w:r>
      <w:r>
        <w:t>version of the English implies that you do not need to know</w:t>
      </w:r>
      <w:r>
        <w:rPr>
          <w:rStyle w:val="deletedparamark"/>
        </w:rPr>
        <w:t xml:space="preserve"> </w:t>
      </w:r>
      <w:r>
        <w:t xml:space="preserve">the bottle is blue. As written, </w:t>
      </w:r>
      <w:r>
        <w:rPr>
          <w:rStyle w:val="htmlcodes"/>
        </w:rPr>
        <w:t>&lt;a href=#e4d3&gt;</w:t>
      </w:r>
      <w:r>
        <w:t xml:space="preserve">Example 4.3 </w:t>
      </w:r>
      <w:r>
        <w:rPr>
          <w:rStyle w:val="htmlcodes"/>
        </w:rPr>
        <w:t>&lt;/a&gt;</w:t>
      </w:r>
      <w:r>
        <w:t>suggests that</w:t>
      </w:r>
      <w:r>
        <w:rPr>
          <w:rStyle w:val="deletedparamark"/>
        </w:rPr>
        <w:t xml:space="preserve"> </w:t>
      </w:r>
      <w:r>
        <w:t>I probably have more than one bottle, and the one in question</w:t>
      </w:r>
      <w:r>
        <w:rPr>
          <w:rStyle w:val="deletedparamark"/>
        </w:rPr>
        <w:t xml:space="preserve"> </w:t>
      </w:r>
      <w:r>
        <w:t>needs to be picked out as the blue one.</w:t>
      </w:r>
    </w:p>
    <w:p w:rsidR="00B72047" w:rsidRDefault="00B72047">
      <w:pPr>
        <w:rPr>
          <w:rStyle w:val="htmlparacode"/>
        </w:rPr>
      </w:pPr>
      <w:r>
        <w:rPr>
          <w:rStyle w:val="htmlparacode"/>
        </w:rPr>
        <w:t>&lt;p&gt;</w:t>
      </w:r>
    </w:p>
    <w:p w:rsidR="00B72047" w:rsidRDefault="00B72047">
      <w:pPr>
        <w:pStyle w:val="examplescaledpre"/>
      </w:pPr>
      <w:r>
        <w:rPr>
          <w:rStyle w:val="indexentry"/>
        </w:rPr>
        <w:t>&lt;ex "my chair"&gt;</w:t>
      </w:r>
      <w:r>
        <w:rPr>
          <w:rStyle w:val="indexentry"/>
        </w:rPr>
        <w:fldChar w:fldCharType="begin"/>
      </w:r>
      <w:r>
        <w:instrText>xe "</w:instrText>
      </w:r>
      <w:r>
        <w:rPr>
          <w:rStyle w:val="xeentry"/>
        </w:rPr>
        <w:instrText>my chair: example</w:instrText>
      </w:r>
      <w:r>
        <w:instrText>"</w:instrText>
      </w:r>
      <w:r>
        <w:rPr>
          <w:rStyle w:val="indexentry"/>
        </w:rPr>
        <w:fldChar w:fldCharType="end"/>
      </w:r>
      <w:r>
        <w:rPr>
          <w:rStyle w:val="htmlcodes"/>
        </w:rPr>
        <w:t>&lt;pre&gt;&lt;a name=e4d4&gt;</w:t>
      </w:r>
      <w:r>
        <w:t>4.4)</w:t>
      </w:r>
      <w:r>
        <w:tab/>
        <w:t>mi ba zutse le stizu pe mi zi'e po do</w:t>
      </w:r>
    </w:p>
    <w:p w:rsidR="00B72047" w:rsidRDefault="00B72047">
      <w:pPr>
        <w:pStyle w:val="examplescaled"/>
      </w:pPr>
      <w:r>
        <w:tab/>
      </w:r>
      <w:r>
        <w:tab/>
        <w:t>zi'e poi xunre</w:t>
      </w:r>
    </w:p>
    <w:p w:rsidR="00B72047" w:rsidRDefault="00B72047">
      <w:pPr>
        <w:pStyle w:val="examplescaled"/>
      </w:pPr>
      <w:r>
        <w:tab/>
        <w:t>I [future] sit-in the chair associated-with me and specific-to you</w:t>
      </w:r>
    </w:p>
    <w:p w:rsidR="00B72047" w:rsidRDefault="00B72047">
      <w:pPr>
        <w:pStyle w:val="examplescaled"/>
      </w:pPr>
      <w:r>
        <w:tab/>
      </w:r>
      <w:r>
        <w:tab/>
        <w:t>and which-is red.</w:t>
      </w:r>
    </w:p>
    <w:p w:rsidR="00B72047" w:rsidRDefault="00B72047">
      <w:pPr>
        <w:pStyle w:val="examplescaled"/>
      </w:pPr>
      <w:r>
        <w:tab/>
        <w:t>I will sit in my chair (really yours), the red one.</w:t>
      </w:r>
    </w:p>
    <w:p w:rsidR="00B72047" w:rsidRDefault="00B72047">
      <w:pPr>
        <w:pStyle w:val="resumedafterexample"/>
      </w:pPr>
      <w:r>
        <w:rPr>
          <w:rStyle w:val="htmlcodes"/>
        </w:rPr>
        <w:t>&lt;/pre&gt;&lt;a href=#e4d4&gt;</w:t>
      </w:r>
      <w:r>
        <w:t xml:space="preserve">Example 4.4 </w:t>
      </w:r>
      <w:r>
        <w:rPr>
          <w:rStyle w:val="htmlcodes"/>
        </w:rPr>
        <w:t>&lt;/a&gt;</w:t>
      </w:r>
      <w:r>
        <w:t>illustrates that more than two relative phrases</w:t>
      </w:r>
      <w:r>
        <w:rPr>
          <w:rStyle w:val="deletedparamark"/>
        </w:rPr>
        <w:t xml:space="preserve"> </w:t>
      </w:r>
      <w:r>
        <w:t>or clauses can be connected with “zi'e”. It almost defies colloquial</w:t>
      </w:r>
      <w:r>
        <w:rPr>
          <w:rStyle w:val="deletedparamark"/>
        </w:rPr>
        <w:t xml:space="preserve"> </w:t>
      </w:r>
      <w:r>
        <w:t>translation because of the very un-English con</w:t>
      </w:r>
      <w:r>
        <w:softHyphen/>
        <w:t>trast between</w:t>
      </w:r>
      <w:r>
        <w:rPr>
          <w:rStyle w:val="deletedparamark"/>
        </w:rPr>
        <w:t xml:space="preserve"> “</w:t>
      </w:r>
      <w:r>
        <w:t>pe mi”, implying that the chair is temporarily connected with</w:t>
      </w:r>
      <w:r>
        <w:rPr>
          <w:rStyle w:val="deletedparamark"/>
        </w:rPr>
        <w:t xml:space="preserve"> </w:t>
      </w:r>
      <w:r>
        <w:t>me, and “po do”, implying that the chair has a more permanent</w:t>
      </w:r>
      <w:r>
        <w:rPr>
          <w:rStyle w:val="deletedparamark"/>
        </w:rPr>
        <w:t xml:space="preserve"> </w:t>
      </w:r>
      <w:r>
        <w:t>association with you. (Perhaps I am a guest in your house,</w:t>
      </w:r>
      <w:r>
        <w:rPr>
          <w:rStyle w:val="deletedparamark"/>
        </w:rPr>
        <w:t xml:space="preserve"> </w:t>
      </w:r>
      <w:r>
        <w:t>in which case the chair would naturally be your property.)</w:t>
      </w:r>
    </w:p>
    <w:p w:rsidR="00B72047" w:rsidRDefault="00B72047">
      <w:pPr>
        <w:rPr>
          <w:rStyle w:val="htmlparacode"/>
        </w:rPr>
      </w:pPr>
      <w:r>
        <w:rPr>
          <w:rStyle w:val="htmlparacode"/>
        </w:rPr>
        <w:t>&lt;p&gt;</w:t>
      </w:r>
    </w:p>
    <w:p w:rsidR="00B72047" w:rsidRDefault="00B72047">
      <w:pPr>
        <w:pStyle w:val="normalparagraph"/>
      </w:pPr>
      <w:r>
        <w:t>Here is another example, mixing a relative phrase and two relative</w:t>
      </w:r>
      <w:r>
        <w:rPr>
          <w:rStyle w:val="deletedparamark"/>
        </w:rPr>
        <w:t xml:space="preserve"> </w:t>
      </w:r>
      <w:r>
        <w:t>clauses, a restri</w:t>
      </w:r>
      <w:r>
        <w:t>c</w:t>
      </w:r>
      <w:r>
        <w:softHyphen/>
        <w:t>tive one and a non-restrictive one:</w:t>
      </w:r>
    </w:p>
    <w:p w:rsidR="00B72047" w:rsidRDefault="00B72047">
      <w:pPr>
        <w:rPr>
          <w:rStyle w:val="htmlparacode"/>
        </w:rPr>
      </w:pPr>
      <w:r>
        <w:rPr>
          <w:rStyle w:val="htmlparacode"/>
        </w:rPr>
        <w:t>&lt;p&gt;</w:t>
      </w:r>
    </w:p>
    <w:p w:rsidR="00B72047" w:rsidRDefault="00B72047">
      <w:pPr>
        <w:pStyle w:val="examplescaledpre"/>
      </w:pPr>
      <w:r>
        <w:rPr>
          <w:rStyle w:val="indexentry"/>
        </w:rPr>
        <w:t>&lt;ex "beans"&gt;</w:t>
      </w:r>
      <w:r>
        <w:rPr>
          <w:rStyle w:val="indexentry"/>
        </w:rPr>
        <w:fldChar w:fldCharType="begin"/>
      </w:r>
      <w:r>
        <w:instrText>xe "</w:instrText>
      </w:r>
      <w:r>
        <w:rPr>
          <w:rStyle w:val="xeentry"/>
        </w:rPr>
        <w:instrText>beans: example</w:instrText>
      </w:r>
      <w:r>
        <w:instrText>"</w:instrText>
      </w:r>
      <w:r>
        <w:rPr>
          <w:rStyle w:val="indexentry"/>
        </w:rPr>
        <w:fldChar w:fldCharType="end"/>
      </w:r>
      <w:r>
        <w:rPr>
          <w:rStyle w:val="htmlcodes"/>
        </w:rPr>
        <w:t>&lt;pre&gt;&lt;a name=e4d5&gt;</w:t>
      </w:r>
      <w:r>
        <w:t>4.5)</w:t>
      </w:r>
      <w:r>
        <w:tab/>
        <w:t>mi ba citka le dembi pe mi</w:t>
      </w:r>
    </w:p>
    <w:p w:rsidR="00B72047" w:rsidRDefault="00B72047">
      <w:pPr>
        <w:pStyle w:val="examplescaled"/>
      </w:pPr>
      <w:r>
        <w:tab/>
      </w:r>
      <w:r>
        <w:tab/>
        <w:t>zi'e poi cpana le mi palta</w:t>
      </w:r>
    </w:p>
    <w:p w:rsidR="00B72047" w:rsidRDefault="00B72047">
      <w:pPr>
        <w:pStyle w:val="examplescaled"/>
      </w:pPr>
      <w:r>
        <w:tab/>
      </w:r>
      <w:r>
        <w:tab/>
        <w:t>zi'e noi do dunda ke'a mi</w:t>
      </w:r>
    </w:p>
    <w:p w:rsidR="00B72047" w:rsidRDefault="00B72047">
      <w:pPr>
        <w:pStyle w:val="examplescaled"/>
      </w:pPr>
      <w:r>
        <w:tab/>
        <w:t>I [future] eat the beans associated-with me</w:t>
      </w:r>
    </w:p>
    <w:p w:rsidR="00B72047" w:rsidRDefault="00B72047">
      <w:pPr>
        <w:pStyle w:val="examplescaled"/>
      </w:pPr>
      <w:r>
        <w:tab/>
      </w:r>
      <w:r>
        <w:tab/>
        <w:t>and which are-upon my plate</w:t>
      </w:r>
    </w:p>
    <w:p w:rsidR="00B72047" w:rsidRDefault="00B72047">
      <w:pPr>
        <w:pStyle w:val="examplescaled"/>
      </w:pPr>
      <w:r>
        <w:tab/>
      </w:r>
      <w:r>
        <w:tab/>
        <w:t>and which-incidentally you gave IT to-me.</w:t>
      </w:r>
    </w:p>
    <w:p w:rsidR="00B72047" w:rsidRDefault="00B72047">
      <w:pPr>
        <w:pStyle w:val="examplescaled"/>
      </w:pPr>
      <w:r>
        <w:tab/>
        <w:t>I'll eat my beans that are on my plate, the ones you gave me.</w:t>
      </w:r>
    </w:p>
    <w:p w:rsidR="00B72047" w:rsidRDefault="00B72047">
      <w:pPr>
        <w:pStyle w:val="Heading3"/>
        <w:spacing w:before="0"/>
        <w:rPr>
          <w:rStyle w:val="Heading3Text"/>
        </w:rPr>
      </w:pPr>
      <w:r>
        <w:rPr>
          <w:rStyle w:val="htmlcodes"/>
          <w:vanish w:val="0"/>
        </w:rPr>
        <w:br w:type="page"/>
      </w:r>
      <w:r>
        <w:rPr>
          <w:rStyle w:val="htmlcodes"/>
        </w:rPr>
        <w:t>&lt;/pre&gt;&lt;a name=s5&gt;&lt;h3&gt;</w:t>
      </w:r>
      <w:bookmarkStart w:id="300" w:name="_Toc398970547"/>
      <w:r>
        <w:rPr>
          <w:rStyle w:val="Heading3Text"/>
        </w:rPr>
        <w:t>Non-veridical relative clauses: “voi”</w:t>
      </w:r>
      <w:bookmarkEnd w:id="300"/>
      <w:r>
        <w:rPr>
          <w:rStyle w:val="htmlcodes"/>
        </w:rPr>
        <w: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voi</w:t>
      </w:r>
      <w:r>
        <w:tab/>
        <w:t>NOI</w:t>
      </w:r>
      <w:r>
        <w:tab/>
        <w:t>non-veridical relative clause introducer</w:t>
      </w:r>
    </w:p>
    <w:p w:rsidR="00B72047" w:rsidRDefault="00B72047">
      <w:pPr>
        <w:pStyle w:val="normalafterexample"/>
      </w:pPr>
      <w:r>
        <w:rPr>
          <w:rStyle w:val="htmlcodes"/>
        </w:rPr>
        <w:t>&lt;/pre&gt;</w:t>
      </w:r>
      <w:r>
        <w:rPr>
          <w:rStyle w:val="indexentry"/>
        </w:rPr>
        <w:t>&lt;lx "voi"&gt;</w:t>
      </w:r>
      <w:r>
        <w:rPr>
          <w:rStyle w:val="indexentry"/>
        </w:rPr>
        <w:fldChar w:fldCharType="begin"/>
      </w:r>
      <w:r>
        <w:instrText>xe "</w:instrText>
      </w:r>
      <w:r>
        <w:rPr>
          <w:rStyle w:val="xeentry"/>
        </w:rPr>
        <w:instrText>voi</w:instrText>
      </w:r>
      <w:r>
        <w:instrText>"</w:instrText>
      </w:r>
      <w:r>
        <w:rPr>
          <w:rStyle w:val="indexentry"/>
        </w:rPr>
        <w:fldChar w:fldCharType="end"/>
      </w:r>
      <w:r>
        <w:rPr>
          <w:rStyle w:val="indexentry"/>
        </w:rPr>
        <w:t>&lt;cx "voi, contrasted with poi in veridicality"&gt;</w:t>
      </w:r>
      <w:r>
        <w:rPr>
          <w:rStyle w:val="indexentry"/>
        </w:rPr>
        <w:fldChar w:fldCharType="begin"/>
      </w:r>
      <w:r>
        <w:instrText>xe "</w:instrText>
      </w:r>
      <w:r>
        <w:rPr>
          <w:rStyle w:val="xeentry"/>
        </w:rPr>
        <w:instrText>voi: contrasted with poi in veridicality</w:instrText>
      </w:r>
      <w:r>
        <w:instrText>"</w:instrText>
      </w:r>
      <w:r>
        <w:rPr>
          <w:rStyle w:val="indexentry"/>
        </w:rPr>
        <w:fldChar w:fldCharType="end"/>
      </w:r>
      <w:r>
        <w:rPr>
          <w:rStyle w:val="indexentry"/>
        </w:rPr>
        <w:t>&lt;cx "poi, contrasted with voi in veridicality"&gt;</w:t>
      </w:r>
      <w:r>
        <w:rPr>
          <w:rStyle w:val="indexentry"/>
        </w:rPr>
        <w:fldChar w:fldCharType="begin"/>
      </w:r>
      <w:r>
        <w:instrText>xe "</w:instrText>
      </w:r>
      <w:r>
        <w:rPr>
          <w:rStyle w:val="xeentry"/>
        </w:rPr>
        <w:instrText>poi: contrasted with voi in veridicality</w:instrText>
      </w:r>
      <w:r>
        <w:instrText>"</w:instrText>
      </w:r>
      <w:r>
        <w:rPr>
          <w:rStyle w:val="indexentry"/>
        </w:rPr>
        <w:fldChar w:fldCharType="end"/>
      </w:r>
      <w:r>
        <w:rPr>
          <w:rStyle w:val="indexentry"/>
        </w:rPr>
        <w:t>&lt;cx "restrictive relative clauses, non-veridical using voi"&gt;</w:t>
      </w:r>
      <w:r>
        <w:rPr>
          <w:rStyle w:val="indexentry"/>
        </w:rPr>
        <w:fldChar w:fldCharType="begin"/>
      </w:r>
      <w:r>
        <w:instrText>xe "</w:instrText>
      </w:r>
      <w:r>
        <w:rPr>
          <w:rStyle w:val="xeentry"/>
        </w:rPr>
        <w:instrText>restrictive relative clauses: non-veridical using voi</w:instrText>
      </w:r>
      <w:r>
        <w:instrText>"</w:instrText>
      </w:r>
      <w:r>
        <w:rPr>
          <w:rStyle w:val="indexentry"/>
        </w:rPr>
        <w:fldChar w:fldCharType="end"/>
      </w:r>
      <w:r>
        <w:rPr>
          <w:rStyle w:val="indexentry"/>
        </w:rPr>
        <w:t>&lt;cx "restrictive relative clauses, veridical using poi"&gt;</w:t>
      </w:r>
      <w:r>
        <w:rPr>
          <w:rStyle w:val="indexentry"/>
        </w:rPr>
        <w:fldChar w:fldCharType="begin"/>
      </w:r>
      <w:r>
        <w:instrText>xe "</w:instrText>
      </w:r>
      <w:r>
        <w:rPr>
          <w:rStyle w:val="xeentry"/>
        </w:rPr>
        <w:instrText>restrictive relative clauses: veridical using poi</w:instrText>
      </w:r>
      <w:r>
        <w:instrText>"</w:instrText>
      </w:r>
      <w:r>
        <w:rPr>
          <w:rStyle w:val="indexentry"/>
        </w:rPr>
        <w:fldChar w:fldCharType="end"/>
      </w:r>
      <w:r>
        <w:t>There is another member of selma'o NOI which serves to</w:t>
      </w:r>
      <w:r>
        <w:rPr>
          <w:rStyle w:val="deletedparamark"/>
        </w:rPr>
        <w:t xml:space="preserve"> </w:t>
      </w:r>
      <w:r>
        <w:t>in</w:t>
      </w:r>
      <w:r>
        <w:softHyphen/>
        <w:t>troduce a third kind of relative clause: “voi”. Relative clauses</w:t>
      </w:r>
      <w:r>
        <w:rPr>
          <w:rStyle w:val="deletedparamark"/>
        </w:rPr>
        <w:t xml:space="preserve"> </w:t>
      </w:r>
      <w:r>
        <w:t>intro</w:t>
      </w:r>
      <w:r>
        <w:softHyphen/>
        <w:t>duced by “voi” are restrictive, like those i</w:t>
      </w:r>
      <w:r>
        <w:t>n</w:t>
      </w:r>
      <w:r>
        <w:softHyphen/>
        <w:t>troduced by “poi”.</w:t>
      </w:r>
      <w:r>
        <w:rPr>
          <w:rStyle w:val="deletedparamark"/>
        </w:rPr>
        <w:t xml:space="preserve"> </w:t>
      </w:r>
      <w:r>
        <w:t>However, there is a fundamental difference between “poi” and</w:t>
      </w:r>
      <w:r>
        <w:rPr>
          <w:rStyle w:val="deletedparamark"/>
        </w:rPr>
        <w:t xml:space="preserve"> “</w:t>
      </w:r>
      <w:r>
        <w:t>voi” relative clauses. A “poi” relative clause is said to be</w:t>
      </w:r>
      <w:r>
        <w:rPr>
          <w:rStyle w:val="deletedparamark"/>
        </w:rPr>
        <w:t xml:space="preserve"> </w:t>
      </w:r>
      <w:r>
        <w:t>veridical, in the same sense that a description using “lo” or “loi”</w:t>
      </w:r>
      <w:r>
        <w:rPr>
          <w:rStyle w:val="deletedparamark"/>
        </w:rPr>
        <w:t xml:space="preserve"> </w:t>
      </w:r>
      <w:r>
        <w:t>is: it is essential to the in</w:t>
      </w:r>
      <w:r>
        <w:softHyphen/>
        <w:t>terpretation that the bridi actually</w:t>
      </w:r>
      <w:r>
        <w:rPr>
          <w:rStyle w:val="deletedparamark"/>
        </w:rPr>
        <w:t xml:space="preserve"> </w:t>
      </w:r>
      <w:r>
        <w:t>be true.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le gerku poi blabi cu klama</w:t>
      </w:r>
    </w:p>
    <w:p w:rsidR="00B72047" w:rsidRDefault="00B72047">
      <w:pPr>
        <w:pStyle w:val="examplescaled"/>
      </w:pPr>
      <w:r>
        <w:tab/>
        <w:t>The dog which is-white goes.</w:t>
      </w:r>
    </w:p>
    <w:p w:rsidR="00B72047" w:rsidRDefault="00B72047">
      <w:pPr>
        <w:pStyle w:val="resumedafterexample"/>
      </w:pPr>
      <w:r>
        <w:rPr>
          <w:rStyle w:val="htmlcodes"/>
        </w:rPr>
        <w:t>&lt;/pre&gt;</w:t>
      </w:r>
      <w:r>
        <w:t>it must actually be true that the dog is white, or the</w:t>
      </w:r>
      <w:r>
        <w:rPr>
          <w:rStyle w:val="deletedparamark"/>
        </w:rPr>
        <w:t xml:space="preserve"> </w:t>
      </w:r>
      <w:r>
        <w:t>sentence consti</w:t>
      </w:r>
      <w:r>
        <w:softHyphen/>
        <w:t>tutes a miscommuni</w:t>
      </w:r>
      <w:r>
        <w:softHyphen/>
        <w:t>cation. If there is a white</w:t>
      </w:r>
      <w:r>
        <w:rPr>
          <w:rStyle w:val="deletedparamark"/>
        </w:rPr>
        <w:t xml:space="preserve"> </w:t>
      </w:r>
      <w:r>
        <w:t>dog and a brown dog, and the speaker uses “le gerku poi blabi” to refer</w:t>
      </w:r>
      <w:r>
        <w:rPr>
          <w:rStyle w:val="deletedparamark"/>
        </w:rPr>
        <w:t xml:space="preserve"> </w:t>
      </w:r>
      <w:r>
        <w:t>to the brown dog, then the listener will not understand correctly.</w:t>
      </w:r>
      <w:r>
        <w:rPr>
          <w:rStyle w:val="deletedparamark"/>
        </w:rPr>
        <w:t xml:space="preserve"> </w:t>
      </w:r>
      <w:r>
        <w:t>How</w:t>
      </w:r>
      <w:r>
        <w:softHyphen/>
        <w:t>ever,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le gerku voi blabi cu klama</w:t>
      </w:r>
    </w:p>
    <w:p w:rsidR="00B72047" w:rsidRDefault="00B72047">
      <w:pPr>
        <w:pStyle w:val="examplescaled"/>
      </w:pPr>
      <w:r>
        <w:tab/>
        <w:t>The dog which-I-describe-as white goes</w:t>
      </w:r>
    </w:p>
    <w:p w:rsidR="00B72047" w:rsidRDefault="00B72047">
      <w:pPr>
        <w:pStyle w:val="resumedafterexample"/>
      </w:pPr>
      <w:r>
        <w:rPr>
          <w:rStyle w:val="htmlcodes"/>
        </w:rPr>
        <w:t>&lt;/pre&gt;</w:t>
      </w:r>
      <w:r>
        <w:t>puts the listener on notice that the dog in question may not actually meet</w:t>
      </w:r>
      <w:r>
        <w:rPr>
          <w:rStyle w:val="deletedparamark"/>
        </w:rPr>
        <w:t xml:space="preserve"> </w:t>
      </w:r>
      <w:r>
        <w:t>objective sta</w:t>
      </w:r>
      <w:r>
        <w:t>n</w:t>
      </w:r>
      <w:r>
        <w:softHyphen/>
        <w:t>dards (whatever they are) for being white: only the speaker</w:t>
      </w:r>
      <w:r>
        <w:rPr>
          <w:rStyle w:val="deletedparamark"/>
        </w:rPr>
        <w:t xml:space="preserve"> </w:t>
      </w:r>
      <w:r>
        <w:t>can say exactly what is meant by the term. In this way, “voi” is like “le”;</w:t>
      </w:r>
      <w:r>
        <w:rPr>
          <w:rStyle w:val="deletedparamark"/>
        </w:rPr>
        <w:t xml:space="preserve"> </w:t>
      </w:r>
      <w:r>
        <w:t>the speaker's intention determines the mea</w:t>
      </w:r>
      <w:r>
        <w:t>n</w:t>
      </w:r>
      <w:r>
        <w:softHyphen/>
        <w:t>ing.</w:t>
      </w:r>
    </w:p>
    <w:p w:rsidR="00B72047" w:rsidRDefault="00B72047">
      <w:pPr>
        <w:rPr>
          <w:rStyle w:val="htmlparacode"/>
        </w:rPr>
      </w:pPr>
      <w:r>
        <w:rPr>
          <w:rStyle w:val="htmlparacode"/>
        </w:rPr>
        <w:t>&lt;p&gt;</w:t>
      </w:r>
    </w:p>
    <w:p w:rsidR="00B72047" w:rsidRDefault="00B72047">
      <w:pPr>
        <w:pStyle w:val="normalparagraph"/>
      </w:pPr>
      <w:r>
        <w:t>As a result, the following two sentences</w:t>
      </w:r>
    </w:p>
    <w:p w:rsidR="00B72047" w:rsidRDefault="00B72047">
      <w:pPr>
        <w:rPr>
          <w:rStyle w:val="htmlparacode"/>
        </w:rPr>
      </w:pPr>
      <w:r>
        <w:rPr>
          <w:rStyle w:val="htmlparacode"/>
        </w:rPr>
        <w:t>&lt;p&gt;</w:t>
      </w:r>
    </w:p>
    <w:p w:rsidR="00B72047" w:rsidRDefault="00B72047">
      <w:pPr>
        <w:pStyle w:val="examplescaledpre"/>
      </w:pPr>
      <w:r>
        <w:rPr>
          <w:rStyle w:val="indexentry"/>
        </w:rPr>
        <w:t>&lt;ex "man is woman"&gt;</w:t>
      </w:r>
      <w:r>
        <w:rPr>
          <w:rStyle w:val="indexentry"/>
        </w:rPr>
        <w:fldChar w:fldCharType="begin"/>
      </w:r>
      <w:r>
        <w:instrText>xe "</w:instrText>
      </w:r>
      <w:r>
        <w:rPr>
          <w:rStyle w:val="xeentry"/>
        </w:rPr>
        <w:instrText>man is woman: example</w:instrText>
      </w:r>
      <w:r>
        <w:instrText>"</w:instrText>
      </w:r>
      <w:r>
        <w:rPr>
          <w:rStyle w:val="indexentry"/>
        </w:rPr>
        <w:fldChar w:fldCharType="end"/>
      </w:r>
      <w:r>
        <w:rPr>
          <w:rStyle w:val="htmlcodes"/>
        </w:rPr>
        <w:t>&lt;pre&gt;&lt;a name=e5d3&gt;</w:t>
      </w:r>
      <w:r>
        <w:t>5.3)</w:t>
      </w:r>
      <w:r>
        <w:tab/>
        <w:t>le nanmu cu ninmu</w:t>
      </w:r>
    </w:p>
    <w:p w:rsidR="00B72047" w:rsidRDefault="00B72047">
      <w:pPr>
        <w:pStyle w:val="examplescaled"/>
      </w:pPr>
      <w:r>
        <w:tab/>
        <w:t>That-which-I-describe-as a-man is-a-woman.</w:t>
      </w:r>
    </w:p>
    <w:p w:rsidR="00B72047" w:rsidRDefault="00B72047">
      <w:pPr>
        <w:pStyle w:val="examplescaled"/>
      </w:pPr>
      <w:r>
        <w:tab/>
        <w:t>The “guy” is actually a gal.</w:t>
      </w:r>
    </w:p>
    <w:p w:rsidR="00B72047" w:rsidRDefault="00B72047">
      <w:pPr>
        <w:pStyle w:val="examplescaledpre"/>
      </w:pPr>
      <w:r>
        <w:rPr>
          <w:rStyle w:val="htmlcodes"/>
        </w:rPr>
        <w:t>&lt;a name=e5d4&gt;</w:t>
      </w:r>
      <w:r>
        <w:t>5.4)</w:t>
      </w:r>
      <w:r>
        <w:tab/>
        <w:t>ti voi nanmu cu ninmu</w:t>
      </w:r>
    </w:p>
    <w:p w:rsidR="00B72047" w:rsidRDefault="00B72047">
      <w:pPr>
        <w:pStyle w:val="examplescaled"/>
      </w:pPr>
      <w:r>
        <w:tab/>
        <w:t>This-thing which-I-describe-as a-man is-a-woman.</w:t>
      </w:r>
    </w:p>
    <w:p w:rsidR="00B72047" w:rsidRDefault="00B72047">
      <w:pPr>
        <w:pStyle w:val="resumedafterexample"/>
      </w:pPr>
      <w:r>
        <w:rPr>
          <w:rStyle w:val="htmlcodes"/>
        </w:rPr>
        <w:t>&lt;/pre&gt;</w:t>
      </w:r>
      <w:r>
        <w:t xml:space="preserve">mean essentially the same thing (except that </w:t>
      </w:r>
      <w:r>
        <w:rPr>
          <w:rStyle w:val="htmlcodes"/>
        </w:rPr>
        <w:t>&lt;a href=#e5d5&gt;</w:t>
      </w:r>
      <w:r>
        <w:t xml:space="preserve">Example 5.5 </w:t>
      </w:r>
      <w:r>
        <w:rPr>
          <w:rStyle w:val="htmlcodes"/>
        </w:rPr>
        <w:t>&lt;/a&gt;</w:t>
      </w:r>
      <w:r>
        <w:t xml:space="preserve">involves pointing thanks to the use of “ti”, whereas </w:t>
      </w:r>
      <w:r>
        <w:rPr>
          <w:rStyle w:val="htmlcodes"/>
        </w:rPr>
        <w:t>&lt;a href=#e5d4&gt;</w:t>
      </w:r>
      <w:r>
        <w:t xml:space="preserve">Example 5.4 </w:t>
      </w:r>
      <w:r>
        <w:rPr>
          <w:rStyle w:val="htmlcodes"/>
        </w:rPr>
        <w:t>&lt;/a&gt;</w:t>
      </w:r>
      <w:r>
        <w:t>doesn't), and neither one is self-contradictory: it is pe</w:t>
      </w:r>
      <w:r>
        <w:t>r</w:t>
      </w:r>
      <w:r>
        <w:softHyphen/>
        <w:t>fectly</w:t>
      </w:r>
      <w:r>
        <w:rPr>
          <w:rStyle w:val="deletedparamark"/>
        </w:rPr>
        <w:t xml:space="preserve"> </w:t>
      </w:r>
      <w:r>
        <w:t>all right to describe something as a man (although perhaps</w:t>
      </w:r>
      <w:r>
        <w:rPr>
          <w:rStyle w:val="deletedparamark"/>
        </w:rPr>
        <w:t xml:space="preserve"> </w:t>
      </w:r>
      <w:r>
        <w:t>confusing to the li</w:t>
      </w:r>
      <w:r>
        <w:t>s</w:t>
      </w:r>
      <w:r>
        <w:softHyphen/>
        <w:t>tener) even if it actually is a woman.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301" w:name="_Toc398970548"/>
      <w:r>
        <w:rPr>
          <w:rStyle w:val="Heading3Text"/>
        </w:rPr>
        <w:t>Relative clauses and descriptors</w:t>
      </w:r>
      <w:bookmarkEnd w:id="30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 after sumti, as common placement in sentence"&gt;</w:t>
      </w:r>
      <w:r>
        <w:rPr>
          <w:rStyle w:val="indexentry"/>
        </w:rPr>
        <w:fldChar w:fldCharType="begin"/>
      </w:r>
      <w:r>
        <w:instrText>xe "</w:instrText>
      </w:r>
      <w:r>
        <w:rPr>
          <w:rStyle w:val="xeentry"/>
        </w:rPr>
        <w:instrText>relative clause after sumti: as common placement in sentence</w:instrText>
      </w:r>
      <w:r>
        <w:instrText>"</w:instrText>
      </w:r>
      <w:r>
        <w:rPr>
          <w:rStyle w:val="indexentry"/>
        </w:rPr>
        <w:fldChar w:fldCharType="end"/>
      </w:r>
      <w:r>
        <w:t>So far, this chapter has described the various kinds of rela</w:t>
      </w:r>
      <w:r>
        <w:softHyphen/>
        <w:t>tive</w:t>
      </w:r>
      <w:r>
        <w:rPr>
          <w:rStyle w:val="deletedparamark"/>
        </w:rPr>
        <w:t xml:space="preserve"> </w:t>
      </w:r>
      <w:r>
        <w:t>clauses (including relative phrases). The list is now complete,</w:t>
      </w:r>
      <w:r>
        <w:rPr>
          <w:rStyle w:val="deletedparamark"/>
        </w:rPr>
        <w:t xml:space="preserve"> </w:t>
      </w:r>
      <w:r>
        <w:t>and the rest of the chapter will be concerned with the syntax</w:t>
      </w:r>
      <w:r>
        <w:rPr>
          <w:rStyle w:val="deletedparamark"/>
        </w:rPr>
        <w:t xml:space="preserve"> </w:t>
      </w:r>
      <w:r>
        <w:t>of sumti that include relative clauses. So far, all relative clauses</w:t>
      </w:r>
      <w:r>
        <w:rPr>
          <w:rStyle w:val="deletedparamark"/>
        </w:rPr>
        <w:t xml:space="preserve"> </w:t>
      </w:r>
      <w:r>
        <w:t>have a</w:t>
      </w:r>
      <w:r>
        <w:t>p</w:t>
      </w:r>
      <w:r>
        <w:softHyphen/>
        <w:t>peared directly after the sumti to which they are</w:t>
      </w:r>
      <w:r>
        <w:rPr>
          <w:rStyle w:val="deletedparamark"/>
        </w:rPr>
        <w:t xml:space="preserve"> </w:t>
      </w:r>
      <w:r>
        <w:t>attached. This is the most common pos</w:t>
      </w:r>
      <w:r>
        <w:t>i</w:t>
      </w:r>
      <w:r>
        <w:softHyphen/>
        <w:t>tion (and originally</w:t>
      </w:r>
      <w:r>
        <w:rPr>
          <w:rStyle w:val="deletedparamark"/>
        </w:rPr>
        <w:t xml:space="preserve"> </w:t>
      </w:r>
      <w:r>
        <w:t>the only one), but a variety of other placements are also</w:t>
      </w:r>
      <w:r>
        <w:rPr>
          <w:rStyle w:val="deletedparamark"/>
        </w:rPr>
        <w:t xml:space="preserve"> </w:t>
      </w:r>
      <w:r>
        <w:t>possible which produce a variety of semantic effects.</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placement in sentence"&gt;</w:t>
      </w:r>
      <w:r>
        <w:rPr>
          <w:rStyle w:val="indexentry"/>
        </w:rPr>
        <w:fldChar w:fldCharType="begin"/>
      </w:r>
      <w:r>
        <w:instrText>xe "</w:instrText>
      </w:r>
      <w:r>
        <w:rPr>
          <w:rStyle w:val="xeentry"/>
        </w:rPr>
        <w:instrText>relative clause: placement in sentence</w:instrText>
      </w:r>
      <w:r>
        <w:instrText>"</w:instrText>
      </w:r>
      <w:r>
        <w:rPr>
          <w:rStyle w:val="indexentry"/>
        </w:rPr>
        <w:fldChar w:fldCharType="end"/>
      </w:r>
      <w:r>
        <w:rPr>
          <w:rStyle w:val="indexentry"/>
        </w:rPr>
        <w:t>&lt;cx "relative clauses, effect of elided “ku” of relativized sumti"&gt;</w:t>
      </w:r>
      <w:r>
        <w:rPr>
          <w:rStyle w:val="indexentry"/>
        </w:rPr>
        <w:fldChar w:fldCharType="begin"/>
      </w:r>
      <w:r>
        <w:instrText>xe "</w:instrText>
      </w:r>
      <w:r>
        <w:rPr>
          <w:rStyle w:val="xeentry"/>
        </w:rPr>
        <w:instrText>relative clause: effect of elided ku of relativized sumti</w:instrText>
      </w:r>
      <w:r>
        <w:instrText>"</w:instrText>
      </w:r>
      <w:r>
        <w:rPr>
          <w:rStyle w:val="indexentry"/>
        </w:rPr>
        <w:fldChar w:fldCharType="end"/>
      </w:r>
      <w:r>
        <w:rPr>
          <w:rStyle w:val="indexentry"/>
        </w:rPr>
        <w:t>&lt;lx "ku"&gt;</w:t>
      </w:r>
      <w:r>
        <w:rPr>
          <w:rStyle w:val="indexentry"/>
        </w:rPr>
        <w:fldChar w:fldCharType="begin"/>
      </w:r>
      <w:r>
        <w:instrText>xe "</w:instrText>
      </w:r>
      <w:r>
        <w:rPr>
          <w:rStyle w:val="xeentry"/>
        </w:rPr>
        <w:instrText>ku</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w:instrText>
      </w:r>
      <w:r>
        <w:instrText>"</w:instrText>
      </w:r>
      <w:r>
        <w:rPr>
          <w:rStyle w:val="indexentry"/>
        </w:rPr>
        <w:fldChar w:fldCharType="end"/>
      </w:r>
      <w:r>
        <w:t>There are actually three places where a relative clause can be</w:t>
      </w:r>
      <w:r>
        <w:rPr>
          <w:rStyle w:val="deletedparamark"/>
        </w:rPr>
        <w:t xml:space="preserve"> </w:t>
      </w:r>
      <w:r>
        <w:t>attached to a de</w:t>
      </w:r>
      <w:r>
        <w:softHyphen/>
        <w:t>scrip</w:t>
      </w:r>
      <w:r>
        <w:softHyphen/>
        <w:t>tion sumti: after the descriptor (“le”,</w:t>
      </w:r>
      <w:r>
        <w:rPr>
          <w:rStyle w:val="deletedparamark"/>
        </w:rPr>
        <w:t xml:space="preserve"> “</w:t>
      </w:r>
      <w:r>
        <w:t>lo”, or whatever), after the embedded selbri but before the</w:t>
      </w:r>
      <w:r>
        <w:rPr>
          <w:rStyle w:val="deletedparamark"/>
        </w:rPr>
        <w:t xml:space="preserve"> </w:t>
      </w:r>
      <w:r>
        <w:t>elidable termina</w:t>
      </w:r>
      <w:r>
        <w:softHyphen/>
        <w:t>tor (which is “ku”), and after the “ku”. The</w:t>
      </w:r>
      <w:r>
        <w:rPr>
          <w:rStyle w:val="deletedparamark"/>
        </w:rPr>
        <w:t xml:space="preserve"> </w:t>
      </w:r>
      <w:r>
        <w:t>relative clauses attached to descriptors that we have seen</w:t>
      </w:r>
      <w:r>
        <w:rPr>
          <w:rStyle w:val="deletedparamark"/>
        </w:rPr>
        <w:t xml:space="preserve"> </w:t>
      </w:r>
      <w:r>
        <w:t xml:space="preserve">have occupied the second position. Thus </w:t>
      </w:r>
      <w:r>
        <w:rPr>
          <w:rStyle w:val="htmlcodes"/>
        </w:rPr>
        <w:t>&lt;a href=#e5d1&gt;</w:t>
      </w:r>
      <w:r>
        <w:t>Exa</w:t>
      </w:r>
      <w:r>
        <w:t>m</w:t>
      </w:r>
      <w:r>
        <w:softHyphen/>
        <w:t>ple 5.1</w:t>
      </w:r>
      <w:r>
        <w:rPr>
          <w:rStyle w:val="htmlcodes"/>
        </w:rPr>
        <w:t>&lt;/a&gt;</w:t>
      </w:r>
      <w:r>
        <w:t>, if written</w:t>
      </w:r>
      <w:r>
        <w:rPr>
          <w:rStyle w:val="deletedparamark"/>
        </w:rPr>
        <w:t xml:space="preserve"> </w:t>
      </w:r>
      <w:r>
        <w:t>out with all elidable terminators, would appear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le gerku poi blabi ku'o ku cu klama vau</w:t>
      </w:r>
    </w:p>
    <w:p w:rsidR="00B72047" w:rsidRDefault="00B72047">
      <w:pPr>
        <w:pStyle w:val="examplescaled"/>
      </w:pPr>
      <w:r>
        <w:tab/>
        <w:t>The (dog which (is-white) ) goes.</w:t>
      </w:r>
    </w:p>
    <w:p w:rsidR="00B72047" w:rsidRDefault="00B72047">
      <w:pPr>
        <w:pStyle w:val="examplescaled"/>
      </w:pPr>
      <w:r>
        <w:tab/>
        <w:t>The dog which is white is going.</w:t>
      </w:r>
    </w:p>
    <w:p w:rsidR="00B72047" w:rsidRDefault="00B72047">
      <w:pPr>
        <w:pStyle w:val="resumedafterexample"/>
      </w:pPr>
      <w:r>
        <w:rPr>
          <w:rStyle w:val="htmlcodes"/>
        </w:rPr>
        <w:t>&lt;/pre&gt;</w:t>
      </w:r>
      <w:r>
        <w:rPr>
          <w:rStyle w:val="indexentry"/>
        </w:rPr>
        <w:t>&lt;lx "ku'o"&gt;</w:t>
      </w:r>
      <w:r>
        <w:rPr>
          <w:rStyle w:val="indexentry"/>
        </w:rPr>
        <w:fldChar w:fldCharType="begin"/>
      </w:r>
      <w:r>
        <w:instrText>xe "</w:instrText>
      </w:r>
      <w:r>
        <w:rPr>
          <w:rStyle w:val="xeentry"/>
        </w:rPr>
        <w:instrText>ku'o</w:instrText>
      </w:r>
      <w:r>
        <w:instrText>"</w:instrText>
      </w:r>
      <w:r>
        <w:rPr>
          <w:rStyle w:val="indexentry"/>
        </w:rPr>
        <w:fldChar w:fldCharType="end"/>
      </w:r>
      <w:r>
        <w:rPr>
          <w:rStyle w:val="indexentry"/>
        </w:rPr>
        <w:t>&lt;lx "vau"&gt;</w:t>
      </w:r>
      <w:r>
        <w:rPr>
          <w:rStyle w:val="indexentry"/>
        </w:rPr>
        <w:fldChar w:fldCharType="begin"/>
      </w:r>
      <w:r>
        <w:instrText>xe "</w:instrText>
      </w:r>
      <w:r>
        <w:rPr>
          <w:rStyle w:val="xeentry"/>
        </w:rPr>
        <w:instrText>vau</w:instrText>
      </w:r>
      <w:r>
        <w:instrText>"</w:instrText>
      </w:r>
      <w:r>
        <w:rPr>
          <w:rStyle w:val="indexentry"/>
        </w:rPr>
        <w:fldChar w:fldCharType="end"/>
      </w:r>
      <w:r>
        <w:t>Here “ku'o” is the terminator paired with “poi” and “ku” with</w:t>
      </w:r>
      <w:r>
        <w:rPr>
          <w:rStyle w:val="deletedparamark"/>
        </w:rPr>
        <w:t xml:space="preserve"> “</w:t>
      </w:r>
      <w:r>
        <w:t>le”, and “vau” is the te</w:t>
      </w:r>
      <w:r>
        <w:t>r</w:t>
      </w:r>
      <w:r>
        <w:softHyphen/>
        <w:t>minator of the whole bridi.</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 placement, on sumti with simple descriptor"&gt;</w:t>
      </w:r>
      <w:r>
        <w:rPr>
          <w:rStyle w:val="indexentry"/>
        </w:rPr>
        <w:fldChar w:fldCharType="begin"/>
      </w:r>
      <w:r>
        <w:instrText>xe "</w:instrText>
      </w:r>
      <w:r>
        <w:rPr>
          <w:rStyle w:val="xeentry"/>
        </w:rPr>
        <w:instrText>relative clause placement: on sumti with simple descriptor</w:instrText>
      </w:r>
      <w:r>
        <w:instrText>"</w:instrText>
      </w:r>
      <w:r>
        <w:rPr>
          <w:rStyle w:val="indexentry"/>
        </w:rPr>
        <w:fldChar w:fldCharType="end"/>
      </w:r>
      <w:r>
        <w:t>When a simple descriptor using “le”, like “le gerku”, has a relative clause</w:t>
      </w:r>
      <w:r>
        <w:rPr>
          <w:rStyle w:val="deletedparamark"/>
        </w:rPr>
        <w:t xml:space="preserve"> </w:t>
      </w:r>
      <w:r>
        <w:t>at</w:t>
      </w:r>
      <w:r>
        <w:softHyphen/>
        <w:t>tached, it is purely a matter of style and emphasis where</w:t>
      </w:r>
      <w:r>
        <w:rPr>
          <w:rStyle w:val="deletedparamark"/>
        </w:rPr>
        <w:t xml:space="preserve"> </w:t>
      </w:r>
      <w:r>
        <w:t>the relative clause should go. Therefore, the following exam</w:t>
      </w:r>
      <w:r>
        <w:softHyphen/>
        <w:t>ples</w:t>
      </w:r>
      <w:r>
        <w:rPr>
          <w:rStyle w:val="deletedparamark"/>
        </w:rPr>
        <w:t xml:space="preserve"> </w:t>
      </w:r>
      <w:r>
        <w:t xml:space="preserve">are all equivalent in meaning to </w:t>
      </w:r>
      <w:r>
        <w:rPr>
          <w:rStyle w:val="htmlcodes"/>
        </w:rPr>
        <w:t>&lt;a href=#e6d1&gt;</w:t>
      </w:r>
      <w:r>
        <w:t>Example 6.1</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le poi blabi ku'o gerku cu klama</w:t>
      </w:r>
    </w:p>
    <w:p w:rsidR="00B72047" w:rsidRDefault="00B72047">
      <w:pPr>
        <w:pStyle w:val="examplescaled"/>
      </w:pPr>
      <w:r>
        <w:tab/>
        <w:t>The such-that (it-is-white) dog goes.</w:t>
      </w:r>
    </w:p>
    <w:p w:rsidR="00B72047" w:rsidRDefault="00B72047">
      <w:pPr>
        <w:pStyle w:val="examplescaledpre"/>
      </w:pPr>
      <w:r>
        <w:rPr>
          <w:rStyle w:val="htmlcodes"/>
        </w:rPr>
        <w:t>&lt;a name=e6d3&gt;</w:t>
      </w:r>
      <w:r>
        <w:t>6.3)</w:t>
      </w:r>
      <w:r>
        <w:tab/>
        <w:t>le gerku ku poi blabi cu klama</w:t>
      </w:r>
    </w:p>
    <w:p w:rsidR="00B72047" w:rsidRDefault="00B72047">
      <w:pPr>
        <w:pStyle w:val="examplescaled"/>
      </w:pPr>
      <w:r>
        <w:tab/>
        <w:t>The (dog) which is-white goes.</w:t>
      </w:r>
    </w:p>
    <w:p w:rsidR="00B72047" w:rsidRDefault="00B72047">
      <w:pPr>
        <w:pStyle w:val="resumedafterexample"/>
      </w:pPr>
      <w:r>
        <w:rPr>
          <w:rStyle w:val="htmlcodes"/>
        </w:rPr>
        <w:t>&lt;/pre&gt;</w:t>
      </w:r>
      <w:r>
        <w:rPr>
          <w:rStyle w:val="indexentry"/>
        </w:rPr>
        <w:t>&lt;cx "relative clause placement, English contrasted with Chinese and Finnish"&gt;</w:t>
      </w:r>
      <w:r>
        <w:rPr>
          <w:rStyle w:val="indexentry"/>
        </w:rPr>
        <w:fldChar w:fldCharType="begin"/>
      </w:r>
      <w:r>
        <w:instrText>xe "</w:instrText>
      </w:r>
      <w:r>
        <w:rPr>
          <w:rStyle w:val="xeentry"/>
        </w:rPr>
        <w:instrText>relative clause placement: English contrasted with Chinese and Finnish</w:instrText>
      </w:r>
      <w:r>
        <w:instrText>"</w:instrText>
      </w:r>
      <w:r>
        <w:rPr>
          <w:rStyle w:val="indexentry"/>
        </w:rPr>
        <w:fldChar w:fldCharType="end"/>
      </w:r>
      <w:r>
        <w:rPr>
          <w:rStyle w:val="indexentry"/>
        </w:rPr>
        <w:t>&lt;cx "relative clause after descriptor, effect on elidability of ku'o"&gt;</w:t>
      </w:r>
      <w:r>
        <w:rPr>
          <w:rStyle w:val="indexentry"/>
        </w:rPr>
        <w:fldChar w:fldCharType="begin"/>
      </w:r>
      <w:r>
        <w:instrText>xe "</w:instrText>
      </w:r>
      <w:r>
        <w:rPr>
          <w:rStyle w:val="xeentry"/>
        </w:rPr>
        <w:instrText>relative clause after descriptor: effect on elidability of ku'o</w:instrText>
      </w:r>
      <w:r>
        <w:instrText>"</w:instrText>
      </w:r>
      <w:r>
        <w:rPr>
          <w:rStyle w:val="indexentry"/>
        </w:rPr>
        <w:fldChar w:fldCharType="end"/>
      </w:r>
      <w:r>
        <w:rPr>
          <w:rStyle w:val="indexentry"/>
        </w:rPr>
        <w:t>&lt;cx "ku'o, effect of relative clause after descriptor on elidability"&gt;</w:t>
      </w:r>
      <w:r>
        <w:rPr>
          <w:rStyle w:val="indexentry"/>
        </w:rPr>
        <w:fldChar w:fldCharType="begin"/>
      </w:r>
      <w:r>
        <w:instrText>xe "</w:instrText>
      </w:r>
      <w:r>
        <w:rPr>
          <w:rStyle w:val="xeentry"/>
        </w:rPr>
        <w:instrText>ku'o: effect of relative clause after descriptor on elidability</w:instrText>
      </w:r>
      <w:r>
        <w:instrText>"</w:instrText>
      </w:r>
      <w:r>
        <w:rPr>
          <w:rStyle w:val="indexentry"/>
        </w:rPr>
        <w:fldChar w:fldCharType="end"/>
      </w:r>
      <w:r>
        <w:rPr>
          <w:rStyle w:val="htmlcodes"/>
        </w:rPr>
        <w:t>&lt;a href=#e6d1&gt;</w:t>
      </w:r>
      <w:r>
        <w:t xml:space="preserve">Example 6.1 </w:t>
      </w:r>
      <w:r>
        <w:rPr>
          <w:rStyle w:val="htmlcodes"/>
        </w:rPr>
        <w:t>&lt;/a&gt;</w:t>
      </w:r>
      <w:r>
        <w:t>will seem most natural to speakers of languages like English,</w:t>
      </w:r>
      <w:r>
        <w:rPr>
          <w:rStyle w:val="deletedparamark"/>
        </w:rPr>
        <w:t xml:space="preserve"> </w:t>
      </w:r>
      <w:r>
        <w:t>which al</w:t>
      </w:r>
      <w:r>
        <w:softHyphen/>
        <w:t>ways puts relative clauses after the noun phrases they are attached</w:t>
      </w:r>
      <w:r>
        <w:rPr>
          <w:rStyle w:val="deletedparamark"/>
        </w:rPr>
        <w:t xml:space="preserve"> </w:t>
      </w:r>
      <w:r>
        <w:t xml:space="preserve">to; </w:t>
      </w:r>
      <w:r>
        <w:rPr>
          <w:rStyle w:val="htmlcodes"/>
        </w:rPr>
        <w:t>&lt;a href=#e6d2&gt;</w:t>
      </w:r>
      <w:r>
        <w:t>Example 6.2</w:t>
      </w:r>
      <w:r>
        <w:rPr>
          <w:rStyle w:val="htmlcodes"/>
        </w:rPr>
        <w:t>&lt;/a&gt;</w:t>
      </w:r>
      <w:r>
        <w:t>, on the other hand, may seem more natural to Finnish or</w:t>
      </w:r>
      <w:r>
        <w:rPr>
          <w:rStyle w:val="deletedparamark"/>
        </w:rPr>
        <w:t xml:space="preserve"> </w:t>
      </w:r>
      <w:r>
        <w:t>Chinese speakers, who put the relative clause first. Note that in</w:t>
      </w:r>
      <w:r>
        <w:rPr>
          <w:rStyle w:val="deletedparamark"/>
        </w:rPr>
        <w:t xml:space="preserve"> </w:t>
      </w:r>
      <w:r>
        <w:rPr>
          <w:rStyle w:val="htmlcodes"/>
        </w:rPr>
        <w:t>&lt;a href=#e6d2&gt;</w:t>
      </w:r>
      <w:r>
        <w:t>Example 6.2</w:t>
      </w:r>
      <w:r>
        <w:rPr>
          <w:rStyle w:val="htmlcodes"/>
        </w:rPr>
        <w:t>&lt;/a&gt;</w:t>
      </w:r>
      <w:r>
        <w:t>, the elidable terminator “ku'o” must ap</w:t>
      </w:r>
      <w:r>
        <w:softHyphen/>
        <w:t>pear, or the selbri of</w:t>
      </w:r>
      <w:r>
        <w:rPr>
          <w:rStyle w:val="deletedparamark"/>
        </w:rPr>
        <w:t xml:space="preserve"> </w:t>
      </w:r>
      <w:r>
        <w:t>the relative clause (“blabi”) will merge with the selbri of the de</w:t>
      </w:r>
      <w:r>
        <w:softHyphen/>
        <w:t>scription</w:t>
      </w:r>
      <w:r>
        <w:rPr>
          <w:rStyle w:val="deletedparamark"/>
        </w:rPr>
        <w:t xml:space="preserve"> </w:t>
      </w:r>
      <w:r>
        <w:t>(“gerku”), r</w:t>
      </w:r>
      <w:r>
        <w:t>e</w:t>
      </w:r>
      <w:r>
        <w:softHyphen/>
        <w:t>sulting in an ungram</w:t>
      </w:r>
      <w:r>
        <w:softHyphen/>
        <w:t>matical sentence. The purpose of the form</w:t>
      </w:r>
      <w:r>
        <w:rPr>
          <w:rStyle w:val="deletedparamark"/>
        </w:rPr>
        <w:t xml:space="preserve"> </w:t>
      </w:r>
      <w:r>
        <w:t xml:space="preserve">appearing in </w:t>
      </w:r>
      <w:r>
        <w:rPr>
          <w:rStyle w:val="htmlcodes"/>
        </w:rPr>
        <w:t>&lt;a href=#e6d3&gt;</w:t>
      </w:r>
      <w:r>
        <w:t xml:space="preserve">Example 6.3 </w:t>
      </w:r>
      <w:r>
        <w:rPr>
          <w:rStyle w:val="htmlcodes"/>
        </w:rPr>
        <w:t>&lt;/a&gt;</w:t>
      </w:r>
      <w:r>
        <w:t>will be apparent shortly.</w:t>
      </w:r>
    </w:p>
    <w:p w:rsidR="00B72047" w:rsidRDefault="00B72047">
      <w:pPr>
        <w:rPr>
          <w:rStyle w:val="htmlparacode"/>
        </w:rPr>
      </w:pPr>
      <w:r>
        <w:rPr>
          <w:rStyle w:val="htmlparacode"/>
        </w:rPr>
        <w:t>&lt;p&gt;</w:t>
      </w:r>
    </w:p>
    <w:p w:rsidR="00B72047" w:rsidRDefault="00B72047">
      <w:pPr>
        <w:pStyle w:val="normalparagraph"/>
      </w:pPr>
      <w:r>
        <w:rPr>
          <w:rStyle w:val="indexentry"/>
        </w:rPr>
        <w:t>&lt;cx "inner quantifier of sumti, meaning of"&gt;</w:t>
      </w:r>
      <w:r>
        <w:rPr>
          <w:rStyle w:val="indexentry"/>
        </w:rPr>
        <w:fldChar w:fldCharType="begin"/>
      </w:r>
      <w:r>
        <w:instrText>xe "</w:instrText>
      </w:r>
      <w:r>
        <w:rPr>
          <w:rStyle w:val="xeentry"/>
        </w:rPr>
        <w:instrText>inner quantifier of sumti: meaning of</w:instrText>
      </w:r>
      <w:r>
        <w:instrText>"</w:instrText>
      </w:r>
      <w:r>
        <w:rPr>
          <w:rStyle w:val="indexentry"/>
        </w:rPr>
        <w:fldChar w:fldCharType="end"/>
      </w:r>
      <w:r>
        <w:rPr>
          <w:rStyle w:val="indexentry"/>
        </w:rPr>
        <w:t>&lt;cx "outer quantifier of sumti, meaning of"&gt;</w:t>
      </w:r>
      <w:r>
        <w:rPr>
          <w:rStyle w:val="indexentry"/>
        </w:rPr>
        <w:fldChar w:fldCharType="begin"/>
      </w:r>
      <w:r>
        <w:instrText>xe "</w:instrText>
      </w:r>
      <w:r>
        <w:rPr>
          <w:rStyle w:val="xeentry"/>
        </w:rPr>
        <w:instrText>outer quantifier of sumti: meaning of</w:instrText>
      </w:r>
      <w:r>
        <w:instrText>"</w:instrText>
      </w:r>
      <w:r>
        <w:rPr>
          <w:rStyle w:val="indexentry"/>
        </w:rPr>
        <w:fldChar w:fldCharType="end"/>
      </w:r>
      <w:r>
        <w:t xml:space="preserve">As is explained in detail in </w:t>
      </w:r>
      <w:r>
        <w:rPr>
          <w:rStyle w:val="htmlcodes"/>
        </w:rPr>
        <w:t>&lt;a href=chap6.html&gt;</w:t>
      </w:r>
      <w:r>
        <w:t>Chapter 6</w:t>
      </w:r>
      <w:r>
        <w:rPr>
          <w:rStyle w:val="htmlcodes"/>
        </w:rPr>
        <w:t>&lt;/a&gt;</w:t>
      </w:r>
      <w:r>
        <w:t>, two different numbers (known</w:t>
      </w:r>
      <w:r>
        <w:rPr>
          <w:rStyle w:val="deletedparamark"/>
        </w:rPr>
        <w:t xml:space="preserve"> </w:t>
      </w:r>
      <w:r>
        <w:t>as the “inner quantifier” and the “outer quantifier”) can be</w:t>
      </w:r>
      <w:r>
        <w:rPr>
          <w:rStyle w:val="deletedparamark"/>
        </w:rPr>
        <w:t xml:space="preserve"> </w:t>
      </w:r>
      <w:r>
        <w:t>at</w:t>
      </w:r>
      <w:r>
        <w:softHyphen/>
        <w:t>tached to a description. The inner quant</w:t>
      </w:r>
      <w:r>
        <w:t>i</w:t>
      </w:r>
      <w:r>
        <w:softHyphen/>
        <w:t>fier specifies</w:t>
      </w:r>
      <w:r>
        <w:rPr>
          <w:rStyle w:val="deletedparamark"/>
        </w:rPr>
        <w:t xml:space="preserve"> </w:t>
      </w:r>
      <w:r>
        <w:t>how many things the descriptor refers to: it appears between</w:t>
      </w:r>
      <w:r>
        <w:rPr>
          <w:rStyle w:val="deletedparamark"/>
        </w:rPr>
        <w:t xml:space="preserve"> </w:t>
      </w:r>
      <w:r>
        <w:t>the descriptor and the description selbri. The outer quantifier</w:t>
      </w:r>
      <w:r>
        <w:rPr>
          <w:rStyle w:val="deletedparamark"/>
        </w:rPr>
        <w:t xml:space="preserve"> </w:t>
      </w:r>
      <w:r>
        <w:t>appears before the de</w:t>
      </w:r>
      <w:r>
        <w:softHyphen/>
        <w:t>scriptor, and spec</w:t>
      </w:r>
      <w:r>
        <w:t>i</w:t>
      </w:r>
      <w:r>
        <w:softHyphen/>
        <w:t>fies how many of the</w:t>
      </w:r>
      <w:r>
        <w:rPr>
          <w:rStyle w:val="deletedparamark"/>
        </w:rPr>
        <w:t xml:space="preserve"> </w:t>
      </w:r>
      <w:r>
        <w:t>things referred to by the de</w:t>
      </w:r>
      <w:r>
        <w:softHyphen/>
        <w:t>scriptor are involved in this</w:t>
      </w:r>
      <w:r>
        <w:rPr>
          <w:rStyle w:val="deletedparamark"/>
        </w:rPr>
        <w:t xml:space="preserve"> </w:t>
      </w:r>
      <w:r>
        <w:t>particular bridi. In the following example,</w:t>
      </w:r>
    </w:p>
    <w:p w:rsidR="00B72047" w:rsidRDefault="00B72047">
      <w:pPr>
        <w:rPr>
          <w:rStyle w:val="htmlparacode"/>
        </w:rPr>
      </w:pPr>
      <w:r>
        <w:rPr>
          <w:rStyle w:val="htmlparacode"/>
        </w:rPr>
        <w:t>&lt;p&gt;</w:t>
      </w:r>
    </w:p>
    <w:p w:rsidR="00B72047" w:rsidRDefault="00B72047">
      <w:pPr>
        <w:pStyle w:val="examplescaledpre"/>
      </w:pPr>
      <w:r>
        <w:rPr>
          <w:rStyle w:val="indexentry"/>
        </w:rPr>
        <w:t>&lt;ex "five people"&gt;</w:t>
      </w:r>
      <w:r>
        <w:rPr>
          <w:rStyle w:val="indexentry"/>
        </w:rPr>
        <w:fldChar w:fldCharType="begin"/>
      </w:r>
      <w:r>
        <w:instrText>xe "</w:instrText>
      </w:r>
      <w:r>
        <w:rPr>
          <w:rStyle w:val="xeentry"/>
        </w:rPr>
        <w:instrText>five people: example</w:instrText>
      </w:r>
      <w:r>
        <w:instrText>"</w:instrText>
      </w:r>
      <w:r>
        <w:rPr>
          <w:rStyle w:val="indexentry"/>
        </w:rPr>
        <w:fldChar w:fldCharType="end"/>
      </w:r>
      <w:r>
        <w:rPr>
          <w:rStyle w:val="htmlcodes"/>
        </w:rPr>
        <w:t>&lt;pre&gt;&lt;a name=e6d4&gt;</w:t>
      </w:r>
      <w:r>
        <w:t>6.4)</w:t>
      </w:r>
      <w:r>
        <w:tab/>
        <w:t>re le mu prenu cu klama le zarci</w:t>
      </w:r>
    </w:p>
    <w:p w:rsidR="00B72047" w:rsidRDefault="00B72047">
      <w:pPr>
        <w:pStyle w:val="examplescaled"/>
      </w:pPr>
      <w:r>
        <w:tab/>
        <w:t>Two-of the five persons go to-the market.</w:t>
      </w:r>
    </w:p>
    <w:p w:rsidR="00B72047" w:rsidRDefault="00B72047">
      <w:pPr>
        <w:pStyle w:val="examplescaled"/>
      </w:pPr>
      <w:r>
        <w:tab/>
        <w:t>Two of the five people [that I have in mind] are going to the market.</w:t>
      </w:r>
    </w:p>
    <w:p w:rsidR="00B72047" w:rsidRDefault="00B72047">
      <w:pPr>
        <w:pStyle w:val="resumedafterexample"/>
      </w:pPr>
      <w:r>
        <w:rPr>
          <w:rStyle w:val="htmlcodes"/>
        </w:rPr>
        <w:t>&lt;/pre&gt;</w:t>
      </w:r>
      <w:r>
        <w:rPr>
          <w:rStyle w:val="indexentry"/>
        </w:rPr>
        <w:t>&lt;cx "relative clauses, effect of relativized sumti quantifiers on"&gt;</w:t>
      </w:r>
      <w:r>
        <w:rPr>
          <w:rStyle w:val="indexentry"/>
        </w:rPr>
        <w:fldChar w:fldCharType="begin"/>
      </w:r>
      <w:r>
        <w:instrText>xe "</w:instrText>
      </w:r>
      <w:r>
        <w:rPr>
          <w:rStyle w:val="xeentry"/>
        </w:rPr>
        <w:instrText>relative clause: effect of relativized sumti quantifiers on</w:instrText>
      </w:r>
      <w:r>
        <w:instrText>"</w:instrText>
      </w:r>
      <w:r>
        <w:rPr>
          <w:rStyle w:val="indexentry"/>
        </w:rPr>
        <w:fldChar w:fldCharType="end"/>
      </w:r>
      <w:r>
        <w:rPr>
          <w:rStyle w:val="indexentry"/>
        </w:rPr>
        <w:t>&lt;cx "quantifiers on sumti, effect on relative clauses for sumti"&gt;</w:t>
      </w:r>
      <w:r>
        <w:rPr>
          <w:rStyle w:val="indexentry"/>
        </w:rPr>
        <w:fldChar w:fldCharType="begin"/>
      </w:r>
      <w:r>
        <w:instrText>xe "</w:instrText>
      </w:r>
      <w:r>
        <w:rPr>
          <w:rStyle w:val="xeentry"/>
        </w:rPr>
        <w:instrText>quantifier: on sumti, effect on relative clause</w:instrText>
      </w:r>
      <w:r>
        <w:instrText>"</w:instrText>
      </w:r>
      <w:r>
        <w:rPr>
          <w:rStyle w:val="indexentry"/>
        </w:rPr>
        <w:fldChar w:fldCharType="end"/>
      </w:r>
      <w:r>
        <w:rPr>
          <w:rStyle w:val="indexentry"/>
        </w:rPr>
        <w:t>&lt;cx "relative clause placement, effect on scope"&gt;</w:t>
      </w:r>
      <w:r>
        <w:rPr>
          <w:rStyle w:val="indexentry"/>
        </w:rPr>
        <w:fldChar w:fldCharType="begin"/>
      </w:r>
      <w:r>
        <w:instrText>xe "</w:instrText>
      </w:r>
      <w:r>
        <w:rPr>
          <w:rStyle w:val="xeentry"/>
        </w:rPr>
        <w:instrText>relative clause placement: effect on scope</w:instrText>
      </w:r>
      <w:r>
        <w:instrText>"</w:instrText>
      </w:r>
      <w:r>
        <w:rPr>
          <w:rStyle w:val="indexentry"/>
        </w:rPr>
        <w:fldChar w:fldCharType="end"/>
      </w:r>
      <w:r>
        <w:rPr>
          <w:rStyle w:val="indexentry"/>
        </w:rPr>
        <w:t>“</w:t>
      </w:r>
      <w:r>
        <w:t>“mu” is the inner quantifier and “re” is the outer quantifier.</w:t>
      </w:r>
      <w:r>
        <w:rPr>
          <w:rStyle w:val="deletedparamark"/>
        </w:rPr>
        <w:t xml:space="preserve"> </w:t>
      </w:r>
      <w:r>
        <w:t>Now what is meant by at</w:t>
      </w:r>
      <w:r>
        <w:softHyphen/>
        <w:t>tach</w:t>
      </w:r>
      <w:r>
        <w:softHyphen/>
        <w:t>ing a relative clause to the</w:t>
      </w:r>
      <w:r>
        <w:rPr>
          <w:rStyle w:val="deletedparamark"/>
        </w:rPr>
        <w:t xml:space="preserve"> </w:t>
      </w:r>
      <w:r>
        <w:t>sumti “re le mu prenu”? Suppose the relative clause is</w:t>
      </w:r>
      <w:r>
        <w:rPr>
          <w:rStyle w:val="deletedparamark"/>
        </w:rPr>
        <w:t xml:space="preserve"> “</w:t>
      </w:r>
      <w:r>
        <w:t>poi ninmu” (meaning “who are women”). Now the three possible</w:t>
      </w:r>
      <w:r>
        <w:rPr>
          <w:rStyle w:val="deletedparamark"/>
        </w:rPr>
        <w:t xml:space="preserve"> </w:t>
      </w:r>
      <w:r>
        <w:t>attachment points discussed previ</w:t>
      </w:r>
      <w:r>
        <w:softHyphen/>
        <w:t>ously take on significance.</w:t>
      </w:r>
    </w:p>
    <w:p w:rsidR="00B72047" w:rsidRDefault="00B72047">
      <w:pPr>
        <w:rPr>
          <w:rStyle w:val="htmlparacode"/>
        </w:rPr>
      </w:pPr>
      <w:r>
        <w:rPr>
          <w:rStyle w:val="htmlparacode"/>
        </w:rPr>
        <w:t>&lt;p&gt;</w:t>
      </w:r>
    </w:p>
    <w:p w:rsidR="00B72047" w:rsidRDefault="00B72047">
      <w:pPr>
        <w:pStyle w:val="examplescaledpre"/>
      </w:pPr>
      <w:r>
        <w:rPr>
          <w:rStyle w:val="indexentry"/>
        </w:rPr>
        <w:t>&lt;cx "relative clause before inner quantifier, meaning"&gt;</w:t>
      </w:r>
      <w:r>
        <w:rPr>
          <w:rStyle w:val="indexentry"/>
        </w:rPr>
        <w:fldChar w:fldCharType="begin"/>
      </w:r>
      <w:r>
        <w:instrText>xe "</w:instrText>
      </w:r>
      <w:r>
        <w:rPr>
          <w:rStyle w:val="xeentry"/>
        </w:rPr>
        <w:instrText>relative clause before inner quantifier: meaning</w:instrText>
      </w:r>
      <w:r>
        <w:instrText>"</w:instrText>
      </w:r>
      <w:r>
        <w:rPr>
          <w:rStyle w:val="indexentry"/>
        </w:rPr>
        <w:fldChar w:fldCharType="end"/>
      </w:r>
      <w:r>
        <w:rPr>
          <w:rStyle w:val="htmlcodes"/>
        </w:rPr>
        <w:t>&lt;pre&gt;&lt;a name=e6d5&gt;</w:t>
      </w:r>
      <w:r>
        <w:t>6.5)</w:t>
      </w:r>
      <w:r>
        <w:tab/>
        <w:t>re le poi ninmu ku'o mu prenu cu klama le zarci</w:t>
      </w:r>
    </w:p>
    <w:p w:rsidR="00B72047" w:rsidRDefault="00B72047">
      <w:pPr>
        <w:pStyle w:val="examplescaled"/>
      </w:pPr>
      <w:r>
        <w:tab/>
        <w:t>Two of the such-that ([they] are-women) five persons go to-the market.</w:t>
      </w:r>
    </w:p>
    <w:p w:rsidR="00B72047" w:rsidRDefault="00B72047">
      <w:pPr>
        <w:pStyle w:val="examplescaled"/>
      </w:pPr>
      <w:r>
        <w:tab/>
        <w:t>Two women out of the five persons go to the market.</w:t>
      </w:r>
    </w:p>
    <w:p w:rsidR="00B72047" w:rsidRDefault="00B72047">
      <w:pPr>
        <w:pStyle w:val="examplescaledpre"/>
      </w:pPr>
      <w:r>
        <w:rPr>
          <w:rStyle w:val="htmlcodes"/>
        </w:rPr>
        <w:t>&lt;/pre&gt;</w:t>
      </w:r>
      <w:r>
        <w:rPr>
          <w:rStyle w:val="indexentry"/>
        </w:rPr>
        <w:t>&lt;cx "relative clause before relativized sumti ku, meaning"&gt;</w:t>
      </w:r>
      <w:r>
        <w:rPr>
          <w:rStyle w:val="indexentry"/>
        </w:rPr>
        <w:fldChar w:fldCharType="begin"/>
      </w:r>
      <w:r>
        <w:instrText>xe "</w:instrText>
      </w:r>
      <w:r>
        <w:rPr>
          <w:rStyle w:val="xeentry"/>
        </w:rPr>
        <w:instrText>relative clause before relativized sumti ku: meaning</w:instrText>
      </w:r>
      <w:r>
        <w:instrText>"</w:instrText>
      </w:r>
      <w:r>
        <w:rPr>
          <w:rStyle w:val="indexentry"/>
        </w:rPr>
        <w:fldChar w:fldCharType="end"/>
      </w:r>
      <w:r>
        <w:rPr>
          <w:rStyle w:val="indexentry"/>
        </w:rPr>
        <w:t>&lt;ex "five women"&gt;</w:t>
      </w:r>
      <w:r>
        <w:rPr>
          <w:rStyle w:val="indexentry"/>
        </w:rPr>
        <w:fldChar w:fldCharType="begin"/>
      </w:r>
      <w:r>
        <w:instrText>xe "</w:instrText>
      </w:r>
      <w:r>
        <w:rPr>
          <w:rStyle w:val="xeentry"/>
        </w:rPr>
        <w:instrText>five women: example</w:instrText>
      </w:r>
      <w:r>
        <w:instrText>"</w:instrText>
      </w:r>
      <w:r>
        <w:rPr>
          <w:rStyle w:val="indexentry"/>
        </w:rPr>
        <w:fldChar w:fldCharType="end"/>
      </w:r>
      <w:r>
        <w:rPr>
          <w:rStyle w:val="htmlcodes"/>
        </w:rPr>
        <w:t>&lt;pre&gt;&lt;a name=e6d6&gt;</w:t>
      </w:r>
      <w:r>
        <w:t>6.6)</w:t>
      </w:r>
      <w:r>
        <w:tab/>
        <w:t>re le mu prenu poi ninmu [ku] cu klama le zarci</w:t>
      </w:r>
    </w:p>
    <w:p w:rsidR="00B72047" w:rsidRDefault="00B72047">
      <w:pPr>
        <w:pStyle w:val="examplescaled"/>
      </w:pPr>
      <w:r>
        <w:tab/>
        <w:t>Two of the (five persons which are-women) go to-the market.</w:t>
      </w:r>
    </w:p>
    <w:p w:rsidR="00B72047" w:rsidRDefault="00B72047">
      <w:pPr>
        <w:pStyle w:val="examplescaled"/>
      </w:pPr>
      <w:r>
        <w:tab/>
        <w:t>Two of the five women go to the market.</w:t>
      </w:r>
    </w:p>
    <w:p w:rsidR="00B72047" w:rsidRDefault="00B72047">
      <w:pPr>
        <w:pStyle w:val="examplescaledpre"/>
      </w:pPr>
      <w:r>
        <w:rPr>
          <w:rStyle w:val="htmlcodes"/>
        </w:rPr>
        <w:t>&lt;/pre&gt;</w:t>
      </w:r>
      <w:r>
        <w:rPr>
          <w:rStyle w:val="indexentry"/>
        </w:rPr>
        <w:t>&lt;cx "relative clause after relativized sumti ku, meaning"&gt;</w:t>
      </w:r>
      <w:r>
        <w:rPr>
          <w:rStyle w:val="indexentry"/>
        </w:rPr>
        <w:fldChar w:fldCharType="begin"/>
      </w:r>
      <w:r>
        <w:instrText>xe "</w:instrText>
      </w:r>
      <w:r>
        <w:rPr>
          <w:rStyle w:val="xeentry"/>
        </w:rPr>
        <w:instrText>relative clause after relativized sumti ku: meaning</w:instrText>
      </w:r>
      <w:r>
        <w:instrText>"</w:instrText>
      </w:r>
      <w:r>
        <w:rPr>
          <w:rStyle w:val="indexentry"/>
        </w:rPr>
        <w:fldChar w:fldCharType="end"/>
      </w:r>
      <w:r>
        <w:rPr>
          <w:rStyle w:val="htmlcodes"/>
        </w:rPr>
        <w:t>&lt;pre&gt;&lt;a name=e6d7&gt;</w:t>
      </w:r>
      <w:r>
        <w:t>6.7)</w:t>
      </w:r>
      <w:r>
        <w:tab/>
        <w:t>re le mu prenu ku poi ninmu cu klama le zarci</w:t>
      </w:r>
    </w:p>
    <w:p w:rsidR="00B72047" w:rsidRDefault="00B72047">
      <w:pPr>
        <w:pStyle w:val="examplescaled"/>
      </w:pPr>
      <w:r>
        <w:tab/>
        <w:t>(Two of the five persons ) which are-women go to-the market.</w:t>
      </w:r>
    </w:p>
    <w:p w:rsidR="00B72047" w:rsidRDefault="00B72047">
      <w:pPr>
        <w:pStyle w:val="examplescaled"/>
      </w:pPr>
      <w:r>
        <w:tab/>
        <w:t>Two women out of the five persons go to the market.</w:t>
      </w:r>
    </w:p>
    <w:p w:rsidR="00B72047" w:rsidRDefault="00B72047">
      <w:pPr>
        <w:pStyle w:val="resumedafterexample"/>
      </w:pPr>
      <w:r>
        <w:rPr>
          <w:rStyle w:val="htmlcodes"/>
        </w:rPr>
        <w:t>&lt;/pre&gt;</w:t>
      </w:r>
      <w:r>
        <w:rPr>
          <w:rStyle w:val="indexentry"/>
        </w:rPr>
        <w:t>&lt;cx "relative clause scope, with quantified relativized sumti"&gt;</w:t>
      </w:r>
      <w:r>
        <w:rPr>
          <w:rStyle w:val="indexentry"/>
        </w:rPr>
        <w:fldChar w:fldCharType="begin"/>
      </w:r>
      <w:r>
        <w:instrText>xe "</w:instrText>
      </w:r>
      <w:r>
        <w:rPr>
          <w:rStyle w:val="xeentry"/>
        </w:rPr>
        <w:instrText>relative clause scope: with quantified relativized sumti</w:instrText>
      </w:r>
      <w:r>
        <w:instrText>"</w:instrText>
      </w:r>
      <w:r>
        <w:rPr>
          <w:rStyle w:val="indexentry"/>
        </w:rPr>
        <w:fldChar w:fldCharType="end"/>
      </w:r>
      <w:r>
        <w:rPr>
          <w:rStyle w:val="indexentry"/>
        </w:rPr>
        <w:t>&lt;cx "quantified sumti, relative clause scope with"&gt;</w:t>
      </w:r>
      <w:r>
        <w:rPr>
          <w:rStyle w:val="indexentry"/>
        </w:rPr>
        <w:fldChar w:fldCharType="begin"/>
      </w:r>
      <w:r>
        <w:instrText>xe "</w:instrText>
      </w:r>
      <w:r>
        <w:rPr>
          <w:rStyle w:val="xeentry"/>
        </w:rPr>
        <w:instrText>quantified sumti: relative clause scope with</w:instrText>
      </w:r>
      <w:r>
        <w:instrText>"</w:instrText>
      </w:r>
      <w:r>
        <w:rPr>
          <w:rStyle w:val="indexentry"/>
        </w:rPr>
        <w:fldChar w:fldCharType="end"/>
      </w:r>
      <w:r>
        <w:rPr>
          <w:rStyle w:val="indexentry"/>
        </w:rPr>
        <w:t>&lt;cx "relative clauses and quantified sumti, placement considerations"&gt;</w:t>
      </w:r>
      <w:r>
        <w:rPr>
          <w:rStyle w:val="indexentry"/>
        </w:rPr>
        <w:fldChar w:fldCharType="begin"/>
      </w:r>
      <w:r>
        <w:instrText>xe "</w:instrText>
      </w:r>
      <w:r>
        <w:rPr>
          <w:rStyle w:val="xeentry"/>
        </w:rPr>
        <w:instrText>relative clause and quantified sumti: placement considerations</w:instrText>
      </w:r>
      <w:r>
        <w:instrText>"</w:instrText>
      </w:r>
      <w:r>
        <w:rPr>
          <w:rStyle w:val="indexentry"/>
        </w:rPr>
        <w:fldChar w:fldCharType="end"/>
      </w:r>
      <w:r>
        <w:t xml:space="preserve">As the parentheses show, </w:t>
      </w:r>
      <w:r>
        <w:rPr>
          <w:rStyle w:val="htmlcodes"/>
        </w:rPr>
        <w:t>&lt;a href=#e6d6&gt;</w:t>
      </w:r>
      <w:r>
        <w:t xml:space="preserve">Example 6.6 </w:t>
      </w:r>
      <w:r>
        <w:rPr>
          <w:rStyle w:val="htmlcodes"/>
        </w:rPr>
        <w:t>&lt;/a&gt;</w:t>
      </w:r>
      <w:r>
        <w:t>means that all five of the per</w:t>
      </w:r>
      <w:r>
        <w:softHyphen/>
        <w:t>sons</w:t>
      </w:r>
      <w:r>
        <w:rPr>
          <w:rStyle w:val="deletedparamark"/>
        </w:rPr>
        <w:t xml:space="preserve"> </w:t>
      </w:r>
      <w:r>
        <w:t xml:space="preserve">are women, whereas </w:t>
      </w:r>
      <w:r>
        <w:rPr>
          <w:rStyle w:val="htmlcodes"/>
        </w:rPr>
        <w:t>&lt;a href=#e6d7&gt;</w:t>
      </w:r>
      <w:r>
        <w:t xml:space="preserve">Example 6.7 </w:t>
      </w:r>
      <w:r>
        <w:rPr>
          <w:rStyle w:val="htmlcodes"/>
        </w:rPr>
        <w:t>&lt;/a&gt;</w:t>
      </w:r>
      <w:r>
        <w:t>means that the two who are going to the market</w:t>
      </w:r>
      <w:r>
        <w:rPr>
          <w:rStyle w:val="deletedparamark"/>
        </w:rPr>
        <w:t xml:space="preserve"> </w:t>
      </w:r>
      <w:r>
        <w:t>are women. How do we remember which is which? If the relative clause comes</w:t>
      </w:r>
      <w:r>
        <w:rPr>
          <w:rStyle w:val="deletedparamark"/>
        </w:rPr>
        <w:t xml:space="preserve"> </w:t>
      </w:r>
      <w:r>
        <w:t xml:space="preserve">after the explicit “ku”, as in </w:t>
      </w:r>
      <w:r>
        <w:rPr>
          <w:rStyle w:val="htmlcodes"/>
        </w:rPr>
        <w:t>&lt;a href=#e6d7&gt;</w:t>
      </w:r>
      <w:r>
        <w:t>Ex</w:t>
      </w:r>
      <w:r>
        <w:softHyphen/>
        <w:t>ample 6.7</w:t>
      </w:r>
      <w:r>
        <w:rPr>
          <w:rStyle w:val="htmlcodes"/>
        </w:rPr>
        <w:t>&lt;/a&gt;</w:t>
      </w:r>
      <w:r>
        <w:t>, then the sumti as a whole</w:t>
      </w:r>
      <w:r>
        <w:rPr>
          <w:rStyle w:val="deletedparamark"/>
        </w:rPr>
        <w:t xml:space="preserve"> </w:t>
      </w:r>
      <w:r>
        <w:t>is qualified by the relative clause. If there is no “ku”, or if the relative</w:t>
      </w:r>
      <w:r>
        <w:rPr>
          <w:rStyle w:val="deletedparamark"/>
        </w:rPr>
        <w:t xml:space="preserve"> </w:t>
      </w:r>
      <w:r>
        <w:t>clause comes before an explicit “ku”, then the relative clause is understood</w:t>
      </w:r>
      <w:r>
        <w:rPr>
          <w:rStyle w:val="deletedparamark"/>
        </w:rPr>
        <w:t xml:space="preserve"> </w:t>
      </w:r>
      <w:r>
        <w:t>to apply to every</w:t>
      </w:r>
      <w:r>
        <w:softHyphen/>
        <w:t>thing which the underlying selbri applies to.</w:t>
      </w:r>
    </w:p>
    <w:p w:rsidR="00B72047" w:rsidRDefault="00B72047">
      <w:pPr>
        <w:rPr>
          <w:rStyle w:val="htmlparacode"/>
        </w:rPr>
      </w:pPr>
      <w:r>
        <w:rPr>
          <w:rStyle w:val="htmlparacode"/>
        </w:rPr>
        <w:t>&lt;p&gt;</w:t>
      </w:r>
    </w:p>
    <w:p w:rsidR="00B72047" w:rsidRDefault="00B72047">
      <w:pPr>
        <w:pStyle w:val="normalparagraph"/>
      </w:pPr>
      <w:r>
        <w:t xml:space="preserve">What about </w:t>
      </w:r>
      <w:r>
        <w:rPr>
          <w:rStyle w:val="htmlcodes"/>
        </w:rPr>
        <w:t>&lt;a href=#e6d5&gt;</w:t>
      </w:r>
      <w:r>
        <w:t>Example 6.5</w:t>
      </w:r>
      <w:r>
        <w:rPr>
          <w:rStyle w:val="htmlcodes"/>
        </w:rPr>
        <w:t>&lt;/a&gt;</w:t>
      </w:r>
      <w:r>
        <w:t xml:space="preserve">? By convention, it means the same as </w:t>
      </w:r>
      <w:r>
        <w:rPr>
          <w:rStyle w:val="htmlcodes"/>
        </w:rPr>
        <w:t>&lt;a href=#e6d7&gt;</w:t>
      </w:r>
      <w:r>
        <w:t>Example 6.7</w:t>
      </w:r>
      <w:r>
        <w:rPr>
          <w:rStyle w:val="htmlcodes"/>
        </w:rPr>
        <w:t>&lt;/a&gt;</w:t>
      </w:r>
      <w:r>
        <w:t>,</w:t>
      </w:r>
      <w:r>
        <w:rPr>
          <w:rStyle w:val="deletedparamark"/>
        </w:rPr>
        <w:t xml:space="preserve"> </w:t>
      </w:r>
      <w:r>
        <w:t>and it requires no “ku”, but it does typically require a “ku'o” instead.</w:t>
      </w:r>
      <w:r>
        <w:rPr>
          <w:rStyle w:val="deletedparamark"/>
        </w:rPr>
        <w:t xml:space="preserve"> </w:t>
      </w:r>
      <w:r>
        <w:t>Note that the rela</w:t>
      </w:r>
      <w:r>
        <w:softHyphen/>
        <w:t>tive clause comes before the inner quantifier.</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 placement considerations,  for simple descriptors contrasted with for quantified sumti"&gt;</w:t>
      </w:r>
      <w:r>
        <w:rPr>
          <w:rStyle w:val="indexentry"/>
        </w:rPr>
        <w:fldChar w:fldCharType="begin"/>
      </w:r>
      <w:r>
        <w:instrText>xe "</w:instrText>
      </w:r>
      <w:r>
        <w:rPr>
          <w:rStyle w:val="xeentry"/>
        </w:rPr>
        <w:instrText>relative clause placement: considerations for simple descriptors contrasted with for quantified sumti</w:instrText>
      </w:r>
      <w:r>
        <w:instrText>"</w:instrText>
      </w:r>
      <w:r>
        <w:rPr>
          <w:rStyle w:val="indexentry"/>
        </w:rPr>
        <w:fldChar w:fldCharType="end"/>
      </w:r>
      <w:r>
        <w:rPr>
          <w:rStyle w:val="indexentry"/>
        </w:rPr>
        <w:t>&lt;cx "relative clause placement considerations, for “lo” sumti contrasted with “le” sumti"&gt;</w:t>
      </w:r>
      <w:r>
        <w:rPr>
          <w:rStyle w:val="indexentry"/>
        </w:rPr>
        <w:fldChar w:fldCharType="begin"/>
      </w:r>
      <w:r>
        <w:instrText>xe "</w:instrText>
      </w:r>
      <w:r>
        <w:rPr>
          <w:rStyle w:val="xeentry"/>
        </w:rPr>
        <w:instrText>relative clause placement: considerations for lo-sumti contrasted with le-sumti</w:instrText>
      </w:r>
      <w:r>
        <w:instrText>"</w:instrText>
      </w:r>
      <w:r>
        <w:rPr>
          <w:rStyle w:val="indexentry"/>
        </w:rPr>
        <w:fldChar w:fldCharType="end"/>
      </w:r>
      <w:r>
        <w:rPr>
          <w:rStyle w:val="indexentry"/>
        </w:rPr>
        <w:t>&lt;cx "lo contrasted with le, for relative clause placement considerations"&gt;</w:t>
      </w:r>
      <w:r>
        <w:rPr>
          <w:rStyle w:val="indexentry"/>
        </w:rPr>
        <w:fldChar w:fldCharType="begin"/>
      </w:r>
      <w:r>
        <w:instrText>xe "</w:instrText>
      </w:r>
      <w:r>
        <w:rPr>
          <w:rStyle w:val="xeentry"/>
        </w:rPr>
        <w:instrText>lo contrasted with le: for relative clause placement considerations</w:instrText>
      </w:r>
      <w:r>
        <w:instrText>"</w:instrText>
      </w:r>
      <w:r>
        <w:rPr>
          <w:rStyle w:val="indexentry"/>
        </w:rPr>
        <w:fldChar w:fldCharType="end"/>
      </w:r>
      <w:r>
        <w:rPr>
          <w:rStyle w:val="indexentry"/>
        </w:rPr>
        <w:t>&lt;cx "le contrasted with lo, for relative clause placement considerations"&gt;</w:t>
      </w:r>
      <w:r>
        <w:rPr>
          <w:rStyle w:val="indexentry"/>
        </w:rPr>
        <w:fldChar w:fldCharType="begin"/>
      </w:r>
      <w:r>
        <w:instrText>xe "</w:instrText>
      </w:r>
      <w:r>
        <w:rPr>
          <w:rStyle w:val="xeentry"/>
        </w:rPr>
        <w:instrText>le contrasted with lo: for relative clause placement considerations</w:instrText>
      </w:r>
      <w:r>
        <w:instrText>"</w:instrText>
      </w:r>
      <w:r>
        <w:rPr>
          <w:rStyle w:val="indexentry"/>
        </w:rPr>
        <w:fldChar w:fldCharType="end"/>
      </w:r>
      <w:r>
        <w:rPr>
          <w:rStyle w:val="indexentry"/>
        </w:rPr>
        <w:t>&lt;cx "relative clauses, impact of le on placement"&gt;</w:t>
      </w:r>
      <w:r>
        <w:rPr>
          <w:rStyle w:val="indexentry"/>
        </w:rPr>
        <w:fldChar w:fldCharType="begin"/>
      </w:r>
      <w:r>
        <w:instrText>xe "</w:instrText>
      </w:r>
      <w:r>
        <w:rPr>
          <w:rStyle w:val="xeentry"/>
        </w:rPr>
        <w:instrText>relative clause: impact of le on placement</w:instrText>
      </w:r>
      <w:r>
        <w:instrText>"</w:instrText>
      </w:r>
      <w:r>
        <w:rPr>
          <w:rStyle w:val="indexentry"/>
        </w:rPr>
        <w:fldChar w:fldCharType="end"/>
      </w:r>
      <w:r>
        <w:rPr>
          <w:rStyle w:val="indexentry"/>
        </w:rPr>
        <w:t>&lt;cx "relative clauses, impact of lo on placement"&gt;</w:t>
      </w:r>
      <w:r>
        <w:rPr>
          <w:rStyle w:val="indexentry"/>
        </w:rPr>
        <w:fldChar w:fldCharType="begin"/>
      </w:r>
      <w:r>
        <w:instrText>xe "</w:instrText>
      </w:r>
      <w:r>
        <w:rPr>
          <w:rStyle w:val="xeentry"/>
        </w:rPr>
        <w:instrText>relative clause: impact of lo on placement</w:instrText>
      </w:r>
      <w:r>
        <w:instrText>"</w:instrText>
      </w:r>
      <w:r>
        <w:rPr>
          <w:rStyle w:val="indexentry"/>
        </w:rPr>
        <w:fldChar w:fldCharType="end"/>
      </w:r>
      <w:r>
        <w:rPr>
          <w:rStyle w:val="indexentry"/>
        </w:rPr>
        <w:t>&lt;cx "relative clauses and “le” sumti, placement considerations"&gt;</w:t>
      </w:r>
      <w:r>
        <w:rPr>
          <w:rStyle w:val="indexentry"/>
        </w:rPr>
        <w:fldChar w:fldCharType="begin"/>
      </w:r>
      <w:r>
        <w:instrText>xe "</w:instrText>
      </w:r>
      <w:r>
        <w:rPr>
          <w:rStyle w:val="xeentry"/>
        </w:rPr>
        <w:instrText>relative clause and le-sumti: placement considerations</w:instrText>
      </w:r>
      <w:r>
        <w:instrText>"</w:instrText>
      </w:r>
      <w:r>
        <w:rPr>
          <w:rStyle w:val="indexentry"/>
        </w:rPr>
        <w:fldChar w:fldCharType="end"/>
      </w:r>
      <w:r>
        <w:rPr>
          <w:rStyle w:val="indexentry"/>
        </w:rPr>
        <w:t>&lt;cx "relative clauses and “lo” sumti, placement considerations"&gt;</w:t>
      </w:r>
      <w:r>
        <w:rPr>
          <w:rStyle w:val="indexentry"/>
        </w:rPr>
        <w:fldChar w:fldCharType="begin"/>
      </w:r>
      <w:r>
        <w:instrText>xe "</w:instrText>
      </w:r>
      <w:r>
        <w:rPr>
          <w:rStyle w:val="xeentry"/>
        </w:rPr>
        <w:instrText>relative clause and lo-sumti: placement considerations</w:instrText>
      </w:r>
      <w:r>
        <w:instrText>"</w:instrText>
      </w:r>
      <w:r>
        <w:rPr>
          <w:rStyle w:val="indexentry"/>
        </w:rPr>
        <w:fldChar w:fldCharType="end"/>
      </w:r>
      <w:r>
        <w:t>When “le” is the descriptor being used, and the sumti has no explicit outer</w:t>
      </w:r>
      <w:r>
        <w:rPr>
          <w:rStyle w:val="deletedparamark"/>
        </w:rPr>
        <w:t xml:space="preserve"> </w:t>
      </w:r>
      <w:r>
        <w:t>quantifier, then the outer quantifier is understood to be “ro” (meaning</w:t>
      </w:r>
      <w:r>
        <w:rPr>
          <w:rStyle w:val="deletedparamark"/>
        </w:rPr>
        <w:t xml:space="preserve"> “</w:t>
      </w:r>
      <w:r>
        <w:t>all”), as is ex</w:t>
      </w:r>
      <w:r>
        <w:softHyphen/>
        <w:t xml:space="preserve">plained in </w:t>
      </w:r>
      <w:r>
        <w:rPr>
          <w:rStyle w:val="htmlcodes"/>
        </w:rPr>
        <w:t>&lt;a href=chap6.html&gt;</w:t>
      </w:r>
      <w:r>
        <w:t>Chapter 6</w:t>
      </w:r>
      <w:r>
        <w:rPr>
          <w:rStyle w:val="htmlcodes"/>
        </w:rPr>
        <w:t>&lt;/a&gt;</w:t>
      </w:r>
      <w:r>
        <w:t>. Thus “le gerku” is taken to mean “all</w:t>
      </w:r>
      <w:r>
        <w:rPr>
          <w:rStyle w:val="deletedparamark"/>
        </w:rPr>
        <w:t xml:space="preserve"> </w:t>
      </w:r>
      <w:r>
        <w:t>of the things I refer to as dogs”, possibly all one of them. In that case,</w:t>
      </w:r>
      <w:r>
        <w:rPr>
          <w:rStyle w:val="deletedparamark"/>
        </w:rPr>
        <w:t xml:space="preserve"> </w:t>
      </w:r>
      <w:r>
        <w:t>there is no difference between a relative clause after the “ku” or before</w:t>
      </w:r>
      <w:r>
        <w:rPr>
          <w:rStyle w:val="deletedparamark"/>
        </w:rPr>
        <w:t xml:space="preserve"> </w:t>
      </w:r>
      <w:r>
        <w:t>it. However, if the descriptor is “lo”, the differ</w:t>
      </w:r>
      <w:r>
        <w:softHyphen/>
        <w:t>ence is quite impo</w:t>
      </w:r>
      <w:r>
        <w:t>r</w:t>
      </w:r>
      <w:r>
        <w:t>tant: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lo prenu ku noi blabi cu klama le zarci</w:t>
      </w:r>
    </w:p>
    <w:p w:rsidR="00B72047" w:rsidRDefault="00B72047">
      <w:pPr>
        <w:pStyle w:val="examplescaled"/>
      </w:pPr>
      <w:r>
        <w:tab/>
        <w:t>(Some persons) incidentally-which are-white go to-the market.</w:t>
      </w:r>
    </w:p>
    <w:p w:rsidR="00B72047" w:rsidRDefault="00B72047">
      <w:pPr>
        <w:pStyle w:val="examplescaled"/>
      </w:pPr>
      <w:r>
        <w:tab/>
        <w:t>Some people, who are white, go to the market.</w:t>
      </w:r>
    </w:p>
    <w:p w:rsidR="00B72047" w:rsidRDefault="00B72047">
      <w:pPr>
        <w:pStyle w:val="examplescaledpre"/>
      </w:pPr>
      <w:r>
        <w:rPr>
          <w:rStyle w:val="htmlcodes"/>
        </w:rPr>
        <w:t>&lt;a name=e6d9&gt;</w:t>
      </w:r>
      <w:r>
        <w:t>6.9)</w:t>
      </w:r>
      <w:r>
        <w:tab/>
        <w:t>lo prenu noi blabi [ku] cu klama le zarci</w:t>
      </w:r>
    </w:p>
    <w:p w:rsidR="00B72047" w:rsidRDefault="00B72047">
      <w:pPr>
        <w:pStyle w:val="examplescaled"/>
      </w:pPr>
      <w:r>
        <w:tab/>
        <w:t>Some (persons incidentally-which are-white) go to-the market.</w:t>
      </w:r>
    </w:p>
    <w:p w:rsidR="00B72047" w:rsidRDefault="00B72047">
      <w:pPr>
        <w:pStyle w:val="examplescaled"/>
      </w:pPr>
      <w:r>
        <w:tab/>
        <w:t>Some of the people, who by the way are white, go to the market.</w:t>
      </w:r>
    </w:p>
    <w:p w:rsidR="00B72047" w:rsidRDefault="00B72047">
      <w:pPr>
        <w:pStyle w:val="resumedafterexample"/>
      </w:pPr>
      <w:r>
        <w:rPr>
          <w:rStyle w:val="htmlcodes"/>
        </w:rPr>
        <w:t>&lt;/pre&gt;&lt;p&gt;</w:t>
      </w:r>
      <w:r>
        <w:t xml:space="preserve">Both </w:t>
      </w:r>
      <w:r>
        <w:rPr>
          <w:rStyle w:val="htmlcodes"/>
        </w:rPr>
        <w:t>&lt;a href=#e6d{8}&gt;</w:t>
      </w:r>
      <w:r>
        <w:t xml:space="preserve">Examples 6.8 </w:t>
      </w:r>
      <w:r>
        <w:rPr>
          <w:rStyle w:val="htmlcodes"/>
        </w:rPr>
        <w:t>&lt;/a&gt;</w:t>
      </w:r>
      <w:r>
        <w:t xml:space="preserve">and </w:t>
      </w:r>
      <w:r>
        <w:rPr>
          <w:rStyle w:val="htmlcodes"/>
        </w:rPr>
        <w:t>&lt;a href=#e6d9&gt;</w:t>
      </w:r>
      <w:r>
        <w:t xml:space="preserve">6.9 </w:t>
      </w:r>
      <w:r>
        <w:rPr>
          <w:rStyle w:val="htmlcodes"/>
        </w:rPr>
        <w:t>&lt;/a&gt;</w:t>
      </w:r>
      <w:r>
        <w:t>tell us that one or more persons are going to the</w:t>
      </w:r>
      <w:r>
        <w:rPr>
          <w:rStyle w:val="deletedparamark"/>
        </w:rPr>
        <w:t xml:space="preserve"> </w:t>
      </w:r>
      <w:r>
        <w:t>market. Ho</w:t>
      </w:r>
      <w:r>
        <w:t>w</w:t>
      </w:r>
      <w:r>
        <w:softHyphen/>
        <w:t>ever, they make very different incidental claims. Now, what does</w:t>
      </w:r>
      <w:r>
        <w:rPr>
          <w:rStyle w:val="deletedparamark"/>
        </w:rPr>
        <w:t xml:space="preserve"> “</w:t>
      </w:r>
      <w:r>
        <w:t>lo prenu noi blabi” mean? Well, the default inner quantifier is “ro”</w:t>
      </w:r>
      <w:r>
        <w:rPr>
          <w:rStyle w:val="deletedparamark"/>
        </w:rPr>
        <w:t xml:space="preserve"> </w:t>
      </w:r>
      <w:r>
        <w:t>(meaning “all”), and the default outer quantifier is “su'o” (meaning “at</w:t>
      </w:r>
      <w:r>
        <w:rPr>
          <w:rStyle w:val="deletedparamark"/>
        </w:rPr>
        <w:t xml:space="preserve"> </w:t>
      </w:r>
      <w:r>
        <w:t>least one”). Therefore, we must first take all per</w:t>
      </w:r>
      <w:r>
        <w:softHyphen/>
        <w:t>sons, then choose</w:t>
      </w:r>
      <w:r>
        <w:rPr>
          <w:rStyle w:val="deletedparamark"/>
        </w:rPr>
        <w:t xml:space="preserve"> </w:t>
      </w:r>
      <w:r>
        <w:t>at least one of them. That one or more people will be going.</w:t>
      </w:r>
    </w:p>
    <w:p w:rsidR="00B72047" w:rsidRDefault="00B72047">
      <w:pPr>
        <w:rPr>
          <w:rStyle w:val="htmlparacode"/>
        </w:rPr>
      </w:pPr>
      <w:r>
        <w:rPr>
          <w:rStyle w:val="htmlparacode"/>
        </w:rPr>
        <w:t>&lt;p&gt;</w:t>
      </w:r>
    </w:p>
    <w:p w:rsidR="00B72047" w:rsidRDefault="00B72047">
      <w:pPr>
        <w:pStyle w:val="normalparagraph"/>
      </w:pPr>
      <w:r>
        <w:t xml:space="preserve">In </w:t>
      </w:r>
      <w:r>
        <w:rPr>
          <w:rStyle w:val="htmlcodes"/>
        </w:rPr>
        <w:t>&lt;a href=#e6d8&gt;</w:t>
      </w:r>
      <w:r>
        <w:t>Example 6.8</w:t>
      </w:r>
      <w:r>
        <w:rPr>
          <w:rStyle w:val="htmlcodes"/>
        </w:rPr>
        <w:t>&lt;/a&gt;</w:t>
      </w:r>
      <w:r>
        <w:t>, the relative clause described the sumti once the outer</w:t>
      </w:r>
      <w:r>
        <w:rPr>
          <w:rStyle w:val="deletedparamark"/>
        </w:rPr>
        <w:t xml:space="preserve"> </w:t>
      </w:r>
      <w:r>
        <w:t>quanti</w:t>
      </w:r>
      <w:r>
        <w:softHyphen/>
        <w:t>fier was applied: one or more people, who are white, are going.</w:t>
      </w:r>
      <w:r>
        <w:rPr>
          <w:rStyle w:val="deletedparamark"/>
        </w:rPr>
        <w:t xml:space="preserve"> </w:t>
      </w:r>
      <w:r>
        <w:t xml:space="preserve">But in </w:t>
      </w:r>
      <w:r>
        <w:rPr>
          <w:rStyle w:val="htmlcodes"/>
        </w:rPr>
        <w:t>&lt;a href=#e6d9&gt;</w:t>
      </w:r>
      <w:r>
        <w:t>Example 6.9</w:t>
      </w:r>
      <w:r>
        <w:rPr>
          <w:rStyle w:val="htmlcodes"/>
        </w:rPr>
        <w:t>&lt;/a&gt;</w:t>
      </w:r>
      <w:r>
        <w:t>, the relative clause actually describes the sumti before</w:t>
      </w:r>
      <w:r>
        <w:rPr>
          <w:rStyle w:val="deletedparamark"/>
        </w:rPr>
        <w:t xml:space="preserve"> </w:t>
      </w:r>
      <w:r>
        <w:t>the outer quantification is applied, so that it ends up meaning “First take</w:t>
      </w:r>
      <w:r>
        <w:rPr>
          <w:rStyle w:val="deletedparamark"/>
        </w:rPr>
        <w:t xml:space="preserve"> </w:t>
      </w:r>
      <w:r>
        <w:t>all persons — by the way, they're all white”. But not all pe</w:t>
      </w:r>
      <w:r>
        <w:t>o</w:t>
      </w:r>
      <w:r>
        <w:softHyphen/>
        <w:t>ple are white,</w:t>
      </w:r>
      <w:r>
        <w:rPr>
          <w:rStyle w:val="deletedparamark"/>
        </w:rPr>
        <w:t xml:space="preserve"> </w:t>
      </w:r>
      <w:r>
        <w:t>so the incidental claim being made here is false.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"relative clauses on lo, syntax suggestion"&gt;</w:t>
      </w:r>
      <w:r>
        <w:rPr>
          <w:rStyle w:val="indexentry"/>
        </w:rPr>
        <w:fldChar w:fldCharType="begin"/>
      </w:r>
      <w:r>
        <w:instrText>xe "</w:instrText>
      </w:r>
      <w:r>
        <w:rPr>
          <w:rStyle w:val="xeentry"/>
        </w:rPr>
        <w:instrText>relative clause on lo: syntax suggestion</w:instrText>
      </w:r>
      <w:r>
        <w:instrText>"</w:instrText>
      </w:r>
      <w:r>
        <w:rPr>
          <w:rStyle w:val="indexentry"/>
        </w:rPr>
        <w:fldChar w:fldCharType="end"/>
      </w:r>
      <w:r>
        <w:t>The safe strategy, therefore, is to always use “ku” when at</w:t>
      </w:r>
      <w:r>
        <w:softHyphen/>
        <w:t>taching</w:t>
      </w:r>
      <w:r>
        <w:rPr>
          <w:rStyle w:val="deletedparamark"/>
        </w:rPr>
        <w:t xml:space="preserve"> </w:t>
      </w:r>
      <w:r>
        <w:t>a “noi” rela</w:t>
      </w:r>
      <w:r>
        <w:softHyphen/>
        <w:t>tive clause to a “lo” descriptor. Otherwise we may end up</w:t>
      </w:r>
      <w:r>
        <w:rPr>
          <w:rStyle w:val="deletedparamark"/>
        </w:rPr>
        <w:t xml:space="preserve"> </w:t>
      </w:r>
      <w:r>
        <w:t>claiming far too much.</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"relative clauses, impact of la on placement"&gt;</w:t>
      </w:r>
      <w:r>
        <w:rPr>
          <w:rStyle w:val="indexentry"/>
        </w:rPr>
        <w:fldChar w:fldCharType="begin"/>
      </w:r>
      <w:r>
        <w:instrText>xe "</w:instrText>
      </w:r>
      <w:r>
        <w:rPr>
          <w:rStyle w:val="xeentry"/>
        </w:rPr>
        <w:instrText>relative clause: impact of la on placement</w:instrText>
      </w:r>
      <w:r>
        <w:instrText>"</w:instrText>
      </w:r>
      <w:r>
        <w:rPr>
          <w:rStyle w:val="indexentry"/>
        </w:rPr>
        <w:fldChar w:fldCharType="end"/>
      </w:r>
      <w:r>
        <w:rPr>
          <w:rStyle w:val="indexentry"/>
        </w:rPr>
        <w:t>&lt;cx "relative clauses, as part of name"&gt;</w:t>
      </w:r>
      <w:r>
        <w:rPr>
          <w:rStyle w:val="indexentry"/>
        </w:rPr>
        <w:fldChar w:fldCharType="begin"/>
      </w:r>
      <w:r>
        <w:instrText>xe "</w:instrText>
      </w:r>
      <w:r>
        <w:rPr>
          <w:rStyle w:val="xeentry"/>
        </w:rPr>
        <w:instrText>relative clause: as part of name</w:instrText>
      </w:r>
      <w:r>
        <w:instrText>"</w:instrText>
      </w:r>
      <w:r>
        <w:rPr>
          <w:rStyle w:val="indexentry"/>
        </w:rPr>
        <w:fldChar w:fldCharType="end"/>
      </w:r>
      <w:r>
        <w:rPr>
          <w:rStyle w:val="indexentry"/>
        </w:rPr>
        <w:t>&lt;cx "relative clauses, on names"&gt;</w:t>
      </w:r>
      <w:r>
        <w:rPr>
          <w:rStyle w:val="indexentry"/>
        </w:rPr>
        <w:fldChar w:fldCharType="begin"/>
      </w:r>
      <w:r>
        <w:instrText>xe "</w:instrText>
      </w:r>
      <w:r>
        <w:rPr>
          <w:rStyle w:val="xeentry"/>
        </w:rPr>
        <w:instrText>relative clause: on names</w:instrText>
      </w:r>
      <w:r>
        <w:instrText>"</w:instrText>
      </w:r>
      <w:r>
        <w:rPr>
          <w:rStyle w:val="indexentry"/>
        </w:rPr>
        <w:fldChar w:fldCharType="end"/>
      </w:r>
      <w:r>
        <w:rPr>
          <w:rStyle w:val="indexentry"/>
        </w:rPr>
        <w:t>&lt;cx "relative clauses and names, placement considerations"&gt;</w:t>
      </w:r>
      <w:r>
        <w:rPr>
          <w:rStyle w:val="indexentry"/>
        </w:rPr>
        <w:fldChar w:fldCharType="begin"/>
      </w:r>
      <w:r>
        <w:instrText>xe "</w:instrText>
      </w:r>
      <w:r>
        <w:rPr>
          <w:rStyle w:val="xeentry"/>
        </w:rPr>
        <w:instrText>relative clause and names: placement considerations</w:instrText>
      </w:r>
      <w:r>
        <w:instrText>"</w:instrText>
      </w:r>
      <w:r>
        <w:rPr>
          <w:rStyle w:val="indexentry"/>
        </w:rPr>
        <w:fldChar w:fldCharType="end"/>
      </w:r>
      <w:r>
        <w:t>When the descriptor is “la”, indicating that what follows is a selbri</w:t>
      </w:r>
      <w:r>
        <w:rPr>
          <w:rStyle w:val="deletedparamark"/>
        </w:rPr>
        <w:t xml:space="preserve"> </w:t>
      </w:r>
      <w:r>
        <w:t>used for naming, then the positioning of relative clauses has a different</w:t>
      </w:r>
      <w:r>
        <w:rPr>
          <w:rStyle w:val="deletedparamark"/>
        </w:rPr>
        <w:t xml:space="preserve"> </w:t>
      </w:r>
      <w:r>
        <w:t>significance. A relative clause i</w:t>
      </w:r>
      <w:r>
        <w:t>n</w:t>
      </w:r>
      <w:r>
        <w:softHyphen/>
        <w:t>side the “ku”, whether before or after</w:t>
      </w:r>
      <w:r>
        <w:rPr>
          <w:rStyle w:val="deletedparamark"/>
        </w:rPr>
        <w:t xml:space="preserve"> </w:t>
      </w:r>
      <w:r>
        <w:t>the selbri, is reckoned part of the name; a relative clause out</w:t>
      </w:r>
      <w:r>
        <w:softHyphen/>
        <w:t>side the</w:t>
      </w:r>
      <w:r>
        <w:rPr>
          <w:rStyle w:val="deletedparamark"/>
        </w:rPr>
        <w:t xml:space="preserve"> “</w:t>
      </w:r>
      <w:r>
        <w:t>ku” is not. Therefore,</w:t>
      </w:r>
    </w:p>
    <w:p w:rsidR="00B72047" w:rsidRDefault="00B72047">
      <w:pPr>
        <w:rPr>
          <w:rStyle w:val="htmlparacode"/>
        </w:rPr>
      </w:pPr>
      <w:r>
        <w:rPr>
          <w:rStyle w:val="htmlparacode"/>
        </w:rPr>
        <w:t>&lt;p&gt;</w:t>
      </w:r>
    </w:p>
    <w:p w:rsidR="00B72047" w:rsidRDefault="00B72047">
      <w:pPr>
        <w:pStyle w:val="examplescaledpre"/>
      </w:pPr>
      <w:r>
        <w:rPr>
          <w:rStyle w:val="indexentry"/>
        </w:rPr>
        <w:t>&lt;ex "afraid of horse"&gt;</w:t>
      </w:r>
      <w:r>
        <w:rPr>
          <w:rStyle w:val="indexentry"/>
        </w:rPr>
        <w:fldChar w:fldCharType="begin"/>
      </w:r>
      <w:r>
        <w:instrText>xe "</w:instrText>
      </w:r>
      <w:r>
        <w:rPr>
          <w:rStyle w:val="xeentry"/>
        </w:rPr>
        <w:instrText>afraid of horse: example</w:instrText>
      </w:r>
      <w:r>
        <w:instrText>"</w:instrText>
      </w:r>
      <w:r>
        <w:rPr>
          <w:rStyle w:val="indexentry"/>
        </w:rPr>
        <w:fldChar w:fldCharType="end"/>
      </w:r>
      <w:r>
        <w:rPr>
          <w:rStyle w:val="htmlcodes"/>
        </w:rPr>
        <w:t>&lt;pre&gt;&lt;a name=e6d10&gt;</w:t>
      </w:r>
      <w:r>
        <w:t>6.10)</w:t>
      </w:r>
      <w:r>
        <w:tab/>
        <w:t>mi viska la nanmu poi terpa le ke'a xirma [ku]</w:t>
      </w:r>
    </w:p>
    <w:p w:rsidR="00B72047" w:rsidRDefault="00B72047">
      <w:pPr>
        <w:pStyle w:val="examplescaled"/>
      </w:pPr>
      <w:r>
        <w:tab/>
        <w:t>I see that-named (“man which fears the of-IT horse”).</w:t>
      </w:r>
    </w:p>
    <w:p w:rsidR="00B72047" w:rsidRDefault="00B72047">
      <w:pPr>
        <w:pStyle w:val="examplescaled"/>
      </w:pPr>
      <w:r>
        <w:tab/>
        <w:t>I see Man Afraid Of His Horse.</w:t>
      </w:r>
    </w:p>
    <w:p w:rsidR="00B72047" w:rsidRDefault="00B72047">
      <w:pPr>
        <w:pStyle w:val="resumedafterexample"/>
      </w:pPr>
      <w:r>
        <w:rPr>
          <w:rStyle w:val="htmlcodes"/>
        </w:rPr>
        <w:t>&lt;/pre&gt;</w:t>
      </w:r>
      <w:r>
        <w:t>says that the speaker sees a person with a particular name, who does not</w:t>
      </w:r>
      <w:r>
        <w:rPr>
          <w:rStyle w:val="deletedparamark"/>
        </w:rPr>
        <w:t xml:space="preserve"> </w:t>
      </w:r>
      <w:r>
        <w:t>necessarily fear any horses,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name=e6d11&gt;</w:t>
      </w:r>
      <w:r>
        <w:t>6.11)</w:t>
      </w:r>
      <w:r>
        <w:tab/>
        <w:t>mi viska la nanmu ku poi terpa le ke'a xirma.</w:t>
      </w:r>
    </w:p>
    <w:p w:rsidR="00B72047" w:rsidRDefault="00B72047">
      <w:pPr>
        <w:pStyle w:val="examplescaled"/>
      </w:pPr>
      <w:r>
        <w:tab/>
        <w:t>I see that-named(“Man” ) which fears the of-IT horse.</w:t>
      </w:r>
    </w:p>
    <w:p w:rsidR="00B72047" w:rsidRDefault="00B72047">
      <w:pPr>
        <w:pStyle w:val="examplescaled"/>
      </w:pPr>
      <w:r>
        <w:tab/>
        <w:t>I see the person named “Man” who is afraid of his horse.</w:t>
      </w:r>
    </w:p>
    <w:p w:rsidR="00B72047" w:rsidRDefault="00B72047">
      <w:pPr>
        <w:pStyle w:val="resumedafterexample"/>
      </w:pPr>
      <w:r>
        <w:rPr>
          <w:rStyle w:val="htmlcodes"/>
        </w:rPr>
        <w:t>&lt;/pre&gt;</w:t>
      </w:r>
      <w:r>
        <w:t>refers to one (or more) of those named “Man”, namely the one(s)</w:t>
      </w:r>
      <w:r>
        <w:rPr>
          <w:rStyle w:val="deletedparamark"/>
        </w:rPr>
        <w:t xml:space="preserve"> </w:t>
      </w:r>
      <w:r>
        <w:t>who are afraid of their horses.</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impact of indefinite sumti on placement"&gt;</w:t>
      </w:r>
      <w:r>
        <w:rPr>
          <w:rStyle w:val="indexentry"/>
        </w:rPr>
        <w:fldChar w:fldCharType="begin"/>
      </w:r>
      <w:r>
        <w:instrText>xe "</w:instrText>
      </w:r>
      <w:r>
        <w:rPr>
          <w:rStyle w:val="xeentry"/>
        </w:rPr>
        <w:instrText>relative clause: impact of indefinite sumti on placement</w:instrText>
      </w:r>
      <w:r>
        <w:instrText>"</w:instrText>
      </w:r>
      <w:r>
        <w:rPr>
          <w:rStyle w:val="indexentry"/>
        </w:rPr>
        <w:fldChar w:fldCharType="end"/>
      </w:r>
      <w:r>
        <w:rPr>
          <w:rStyle w:val="indexentry"/>
        </w:rPr>
        <w:t>&lt;cx "relative clauses and indefinite sumti, placement considerations"&gt;</w:t>
      </w:r>
      <w:r>
        <w:rPr>
          <w:rStyle w:val="indexentry"/>
        </w:rPr>
        <w:fldChar w:fldCharType="begin"/>
      </w:r>
      <w:r>
        <w:instrText>xe "</w:instrText>
      </w:r>
      <w:r>
        <w:rPr>
          <w:rStyle w:val="xeentry"/>
        </w:rPr>
        <w:instrText>relative clause and indefinite sumti: placement considerations</w:instrText>
      </w:r>
      <w:r>
        <w:instrText>"</w:instrText>
      </w:r>
      <w:r>
        <w:rPr>
          <w:rStyle w:val="indexentry"/>
        </w:rPr>
        <w:fldChar w:fldCharType="end"/>
      </w:r>
      <w:r>
        <w:t>Finally, so-called indefinite sumti like “re karce”, which means</w:t>
      </w:r>
      <w:r>
        <w:rPr>
          <w:rStyle w:val="deletedparamark"/>
        </w:rPr>
        <w:t xml:space="preserve"> </w:t>
      </w:r>
      <w:r>
        <w:t>almost the same as “re lo karce” (which in turn means the same as</w:t>
      </w:r>
      <w:r>
        <w:rPr>
          <w:rStyle w:val="deletedparamark"/>
        </w:rPr>
        <w:t xml:space="preserve"> “</w:t>
      </w:r>
      <w:r>
        <w:t>re lo ro karce”), can have rela</w:t>
      </w:r>
      <w:r>
        <w:softHyphen/>
        <w:t>tive clauses attached; these</w:t>
      </w:r>
      <w:r>
        <w:rPr>
          <w:rStyle w:val="deletedparamark"/>
        </w:rPr>
        <w:t xml:space="preserve"> </w:t>
      </w:r>
      <w:r>
        <w:t>are taken to be of the outside-the-“ku” variety. Here is an</w:t>
      </w:r>
      <w:r>
        <w:rPr>
          <w:rStyle w:val="deletedparamark"/>
        </w:rPr>
        <w:t xml:space="preserve"> </w:t>
      </w:r>
      <w:r>
        <w:t>exa</w:t>
      </w:r>
      <w:r>
        <w:t>m</w:t>
      </w:r>
      <w:r>
        <w:t>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name=e6d12&gt;</w:t>
      </w:r>
      <w:r>
        <w:t>6.12)</w:t>
      </w:r>
      <w:r>
        <w:tab/>
        <w:t>mi ponse re karce [ku] poi xekri</w:t>
      </w:r>
    </w:p>
    <w:p w:rsidR="00B72047" w:rsidRDefault="00B72047">
      <w:pPr>
        <w:pStyle w:val="examplescaled"/>
      </w:pPr>
      <w:r>
        <w:tab/>
        <w:t>I possess two cars which-are black.</w:t>
      </w:r>
    </w:p>
    <w:p w:rsidR="00B72047" w:rsidRDefault="00B72047">
      <w:pPr>
        <w:pStyle w:val="resumedafterexample"/>
      </w:pPr>
      <w:r>
        <w:rPr>
          <w:rStyle w:val="htmlcodes"/>
        </w:rPr>
        <w:t>&lt;/pre&gt;</w:t>
      </w:r>
      <w:r>
        <w:rPr>
          <w:rStyle w:val="indexentry"/>
        </w:rPr>
        <w:t>&lt;cx "relative clauses, syntax with indefinite sumti"&gt;</w:t>
      </w:r>
      <w:r>
        <w:rPr>
          <w:rStyle w:val="indexentry"/>
        </w:rPr>
        <w:fldChar w:fldCharType="begin"/>
      </w:r>
      <w:r>
        <w:instrText>xe "</w:instrText>
      </w:r>
      <w:r>
        <w:rPr>
          <w:rStyle w:val="xeentry"/>
        </w:rPr>
        <w:instrText>relative clause: syntax with indefinite sumti</w:instrText>
      </w:r>
      <w:r>
        <w:instrText>"</w:instrText>
      </w:r>
      <w:r>
        <w:rPr>
          <w:rStyle w:val="indexentry"/>
        </w:rPr>
        <w:fldChar w:fldCharType="end"/>
      </w:r>
      <w:r>
        <w:rPr>
          <w:rStyle w:val="indexentry"/>
        </w:rPr>
        <w:t>&lt;cx "relative clauses on indefinite sumti, syntax considerations"&gt;</w:t>
      </w:r>
      <w:r>
        <w:rPr>
          <w:rStyle w:val="indexentry"/>
        </w:rPr>
        <w:fldChar w:fldCharType="begin"/>
      </w:r>
      <w:r>
        <w:instrText>xe "</w:instrText>
      </w:r>
      <w:r>
        <w:rPr>
          <w:rStyle w:val="xeentry"/>
        </w:rPr>
        <w:instrText>relative clause on indefinite sumti: syntax considerations</w:instrText>
      </w:r>
      <w:r>
        <w:instrText>"</w:instrText>
      </w:r>
      <w:r>
        <w:rPr>
          <w:rStyle w:val="indexentry"/>
        </w:rPr>
        <w:fldChar w:fldCharType="end"/>
      </w:r>
      <w:r>
        <w:t>The restrictive relative clause only affects the two cars being</w:t>
      </w:r>
      <w:r>
        <w:rPr>
          <w:rStyle w:val="deletedparamark"/>
        </w:rPr>
        <w:t xml:space="preserve"> </w:t>
      </w:r>
      <w:r>
        <w:t>affected by the main bridi, not all cars that exist. It is</w:t>
      </w:r>
      <w:r>
        <w:rPr>
          <w:rStyle w:val="deletedparamark"/>
        </w:rPr>
        <w:t xml:space="preserve"> </w:t>
      </w:r>
      <w:r>
        <w:t>ungrammatical to try to place a relative clause within an</w:t>
      </w:r>
      <w:r>
        <w:rPr>
          <w:rStyle w:val="deletedparamark"/>
        </w:rPr>
        <w:t xml:space="preserve"> </w:t>
      </w:r>
      <w:r>
        <w:t>in</w:t>
      </w:r>
      <w:r>
        <w:softHyphen/>
        <w:t>definite sumti (that is, before an explicitly expressed terminating</w:t>
      </w:r>
      <w:r>
        <w:rPr>
          <w:rStyle w:val="deletedparamark"/>
        </w:rPr>
        <w:t xml:space="preserve"> “</w:t>
      </w:r>
      <w:r>
        <w:t>ku”.) Use an explicit “lo” instead.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302" w:name="_Toc398970549"/>
      <w:r>
        <w:rPr>
          <w:rStyle w:val="Heading3Text"/>
        </w:rPr>
        <w:t>Possessive sumti</w:t>
      </w:r>
      <w:bookmarkEnd w:id="30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"sumti, between descriptor and description selbri"&gt;</w:t>
      </w:r>
      <w:r>
        <w:rPr>
          <w:rStyle w:val="indexentry"/>
        </w:rPr>
        <w:fldChar w:fldCharType="begin"/>
      </w:r>
      <w:r>
        <w:instrText>xe "</w:instrText>
      </w:r>
      <w:r>
        <w:rPr>
          <w:rStyle w:val="xeentry"/>
        </w:rPr>
        <w:instrText>sumti: between descriptor and description selbri</w:instrText>
      </w:r>
      <w:r>
        <w:instrText>"</w:instrText>
      </w:r>
      <w:r>
        <w:rPr>
          <w:rStyle w:val="indexentry"/>
        </w:rPr>
        <w:fldChar w:fldCharType="end"/>
      </w:r>
      <w:r>
        <w:rPr>
          <w:rStyle w:val="indexentry"/>
        </w:rPr>
        <w:t>&lt;lx "pe"&gt;</w:t>
      </w:r>
      <w:r>
        <w:rPr>
          <w:rStyle w:val="indexentry"/>
        </w:rPr>
        <w:fldChar w:fldCharType="begin"/>
      </w:r>
      <w:r>
        <w:instrText>xe "</w:instrText>
      </w:r>
      <w:r>
        <w:rPr>
          <w:rStyle w:val="xeentry"/>
        </w:rPr>
        <w:instrText>pe</w:instrText>
      </w:r>
      <w:r>
        <w:instrText>"</w:instrText>
      </w:r>
      <w:r>
        <w:rPr>
          <w:rStyle w:val="indexentry"/>
        </w:rPr>
        <w:fldChar w:fldCharType="end"/>
      </w:r>
      <w:r>
        <w:rPr>
          <w:rStyle w:val="indexentry"/>
        </w:rPr>
        <w:t>&lt;cx "relative phrase, compared with possessor sumti"&gt;</w:t>
      </w:r>
      <w:r>
        <w:rPr>
          <w:rStyle w:val="indexentry"/>
        </w:rPr>
        <w:fldChar w:fldCharType="begin"/>
      </w:r>
      <w:r>
        <w:instrText>xe "</w:instrText>
      </w:r>
      <w:r>
        <w:rPr>
          <w:rStyle w:val="xeentry"/>
        </w:rPr>
        <w:instrText>relative phrase: compared with possessive sumti</w:instrText>
      </w:r>
      <w:r>
        <w:instrText>"</w:instrText>
      </w:r>
      <w:r>
        <w:rPr>
          <w:rStyle w:val="indexentry"/>
        </w:rPr>
        <w:fldChar w:fldCharType="end"/>
      </w:r>
      <w:r>
        <w:rPr>
          <w:rStyle w:val="indexentry"/>
        </w:rPr>
        <w:t>&lt;cx "possessor sumti, compared with relative phrase"&gt;</w:t>
      </w:r>
      <w:r>
        <w:rPr>
          <w:rStyle w:val="indexentry"/>
        </w:rPr>
        <w:fldChar w:fldCharType="begin"/>
      </w:r>
      <w:r>
        <w:instrText>xe "</w:instrText>
      </w:r>
      <w:r>
        <w:rPr>
          <w:rStyle w:val="xeentry"/>
        </w:rPr>
        <w:instrText>possessive sumti: compared with relative phrase</w:instrText>
      </w:r>
      <w:r>
        <w:instrText>"</w:instrText>
      </w:r>
      <w:r>
        <w:rPr>
          <w:rStyle w:val="indexentry"/>
        </w:rPr>
        <w:fldChar w:fldCharType="end"/>
      </w:r>
      <w:r>
        <w:t xml:space="preserve">In </w:t>
      </w:r>
      <w:r>
        <w:rPr>
          <w:rStyle w:val="htmlcodes"/>
        </w:rPr>
        <w:t>&lt;a href=#e2d{4}&gt;</w:t>
      </w:r>
      <w:r>
        <w:t xml:space="preserve">Examples 2.4 </w:t>
      </w:r>
      <w:r>
        <w:rPr>
          <w:rStyle w:val="htmlcodes"/>
        </w:rPr>
        <w:t>&lt;/a&gt;</w:t>
      </w:r>
      <w:r>
        <w:t xml:space="preserve">through </w:t>
      </w:r>
      <w:r>
        <w:rPr>
          <w:rStyle w:val="htmlcodes"/>
        </w:rPr>
        <w:t>&lt;a href=#e2d6&gt;</w:t>
      </w:r>
      <w:r>
        <w:t>2.6</w:t>
      </w:r>
      <w:r>
        <w:rPr>
          <w:rStyle w:val="htmlcodes"/>
        </w:rPr>
        <w:t>&lt;/a&gt;</w:t>
      </w:r>
      <w:r>
        <w:t>, the sumti “le mi karce” appears,</w:t>
      </w:r>
      <w:r>
        <w:rPr>
          <w:rStyle w:val="deletedparamark"/>
        </w:rPr>
        <w:t xml:space="preserve"> </w:t>
      </w:r>
      <w:r>
        <w:t>glossed as “my car”. Although it might not seem so, this</w:t>
      </w:r>
      <w:r>
        <w:rPr>
          <w:rStyle w:val="deletedparamark"/>
        </w:rPr>
        <w:t xml:space="preserve"> </w:t>
      </w:r>
      <w:r>
        <w:t>sumti actu</w:t>
      </w:r>
      <w:r>
        <w:softHyphen/>
        <w:t>ally contains a relative phrase. When a sumti</w:t>
      </w:r>
      <w:r>
        <w:rPr>
          <w:rStyle w:val="deletedparamark"/>
        </w:rPr>
        <w:t xml:space="preserve"> </w:t>
      </w:r>
      <w:r>
        <w:t>appears between a de</w:t>
      </w:r>
      <w:r>
        <w:softHyphen/>
        <w:t>scriptor and its description selbri, it is</w:t>
      </w:r>
      <w:r>
        <w:rPr>
          <w:rStyle w:val="deletedparamark"/>
        </w:rPr>
        <w:t xml:space="preserve"> </w:t>
      </w:r>
      <w:r>
        <w:t>actually a “pe” relative phrase. So</w:t>
      </w:r>
    </w:p>
    <w:p w:rsidR="00B72047" w:rsidRDefault="00B72047">
      <w:pPr>
        <w:rPr>
          <w:rStyle w:val="htmlparacode"/>
        </w:rPr>
      </w:pPr>
      <w:r>
        <w:rPr>
          <w:rStyle w:val="htmlparacode"/>
        </w:rPr>
        <w:t>&lt;p&gt;</w:t>
      </w:r>
    </w:p>
    <w:p w:rsidR="00B72047" w:rsidRDefault="00B72047">
      <w:pPr>
        <w:pStyle w:val="examplescaledpre"/>
      </w:pPr>
      <w:r>
        <w:rPr>
          <w:rStyle w:val="indexentry"/>
        </w:rPr>
        <w:t>&lt;ex "my"&gt;</w:t>
      </w:r>
      <w:r>
        <w:rPr>
          <w:rStyle w:val="indexentry"/>
        </w:rPr>
        <w:fldChar w:fldCharType="begin"/>
      </w:r>
      <w:r>
        <w:instrText>xe "</w:instrText>
      </w:r>
      <w:r>
        <w:rPr>
          <w:rStyle w:val="xeentry"/>
        </w:rPr>
        <w:instrText>my: example</w:instrText>
      </w:r>
      <w:r>
        <w:instrText>"</w:instrText>
      </w:r>
      <w:r>
        <w:rPr>
          <w:rStyle w:val="indexentry"/>
        </w:rPr>
        <w:fldChar w:fldCharType="end"/>
      </w:r>
      <w:r>
        <w:rPr>
          <w:rStyle w:val="htmlcodes"/>
        </w:rPr>
        <w:t>&lt;pre&gt;&lt;a name=e7d1&gt;</w:t>
      </w:r>
      <w:r>
        <w:t>7.1)</w:t>
      </w:r>
      <w:r>
        <w:tab/>
        <w:t>le mi karce cu xunre</w:t>
      </w:r>
    </w:p>
    <w:p w:rsidR="00B72047" w:rsidRDefault="00B72047">
      <w:pPr>
        <w:pStyle w:val="examplescaled"/>
      </w:pPr>
      <w:r>
        <w:tab/>
        <w:t>My car is-red.</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le pe mi karce cu xunre</w:t>
      </w:r>
    </w:p>
    <w:p w:rsidR="00B72047" w:rsidRDefault="00B72047">
      <w:pPr>
        <w:pStyle w:val="examplescaled"/>
      </w:pPr>
      <w:r>
        <w:tab/>
        <w:t>The (associated-with me) car is-red.</w:t>
      </w:r>
    </w:p>
    <w:p w:rsidR="00B72047" w:rsidRDefault="00B72047">
      <w:pPr>
        <w:pStyle w:val="resumedafterexample"/>
      </w:pPr>
      <w:r>
        <w:rPr>
          <w:rStyle w:val="htmlcodes"/>
        </w:rPr>
        <w:t>&lt;/pre&gt;</w:t>
      </w:r>
      <w:r>
        <w:t>mean exactly the same thing. Furthermore, since there are</w:t>
      </w:r>
      <w:r>
        <w:rPr>
          <w:rStyle w:val="deletedparamark"/>
        </w:rPr>
        <w:t xml:space="preserve"> </w:t>
      </w:r>
      <w:r>
        <w:t>no special considerations of quantifiers here,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le karce pe mi cu xunre</w:t>
      </w:r>
    </w:p>
    <w:p w:rsidR="00B72047" w:rsidRDefault="00B72047">
      <w:pPr>
        <w:pStyle w:val="examplescaled"/>
      </w:pPr>
      <w:r>
        <w:tab/>
        <w:t>The car associated-with me is-red.</w:t>
      </w:r>
    </w:p>
    <w:p w:rsidR="00B72047" w:rsidRDefault="00B72047">
      <w:pPr>
        <w:pStyle w:val="resumedafterexample"/>
      </w:pPr>
      <w:r>
        <w:rPr>
          <w:rStyle w:val="htmlcodes"/>
        </w:rPr>
        <w:t>&lt;/pre&gt;</w:t>
      </w:r>
      <w:r>
        <w:rPr>
          <w:rStyle w:val="indexentry"/>
        </w:rPr>
        <w:t>&lt;cx "possessive sumti, definition"&gt;</w:t>
      </w:r>
      <w:r>
        <w:rPr>
          <w:rStyle w:val="indexentry"/>
        </w:rPr>
        <w:fldChar w:fldCharType="begin"/>
      </w:r>
      <w:r>
        <w:instrText>xe "</w:instrText>
      </w:r>
      <w:r>
        <w:rPr>
          <w:rStyle w:val="xeentry"/>
        </w:rPr>
        <w:instrText>possessive sumti: definition</w:instrText>
      </w:r>
      <w:r>
        <w:instrText>"</w:instrText>
      </w:r>
      <w:r>
        <w:rPr>
          <w:rStyle w:val="indexentry"/>
        </w:rPr>
        <w:fldChar w:fldCharType="end"/>
      </w:r>
      <w:r>
        <w:rPr>
          <w:rStyle w:val="indexentry"/>
        </w:rPr>
        <w:t>&lt;cx "possessor sumti, definition"&gt;</w:t>
      </w:r>
      <w:r>
        <w:rPr>
          <w:rStyle w:val="indexentry"/>
        </w:rPr>
        <w:fldChar w:fldCharType="begin"/>
      </w:r>
      <w:r>
        <w:instrText>xe "</w:instrText>
      </w:r>
      <w:r>
        <w:rPr>
          <w:rStyle w:val="xeentry"/>
        </w:rPr>
        <w:instrText>possessive sumti: definition</w:instrText>
      </w:r>
      <w:r>
        <w:instrText>"</w:instrText>
      </w:r>
      <w:r>
        <w:rPr>
          <w:rStyle w:val="indexentry"/>
        </w:rPr>
        <w:fldChar w:fldCharType="end"/>
      </w:r>
      <w:r>
        <w:t xml:space="preserve">means the same thing as well. A sumti like the one in </w:t>
      </w:r>
      <w:r>
        <w:rPr>
          <w:rStyle w:val="htmlcodes"/>
        </w:rPr>
        <w:t>&lt;a href=#e7d1&gt;</w:t>
      </w:r>
      <w:r>
        <w:t xml:space="preserve">Example 7.1 </w:t>
      </w:r>
      <w:r>
        <w:rPr>
          <w:rStyle w:val="htmlcodes"/>
        </w:rPr>
        <w:t>&lt;/a&gt;</w:t>
      </w:r>
      <w:r>
        <w:t>is called</w:t>
      </w:r>
      <w:r>
        <w:rPr>
          <w:rStyle w:val="deletedparamark"/>
        </w:rPr>
        <w:t xml:space="preserve"> </w:t>
      </w:r>
      <w:r>
        <w:t>a “possessive sumti”. Of course, it does not really indicate pos</w:t>
      </w:r>
      <w:r>
        <w:softHyphen/>
        <w:t>session in</w:t>
      </w:r>
      <w:r>
        <w:rPr>
          <w:rStyle w:val="deletedparamark"/>
        </w:rPr>
        <w:t xml:space="preserve"> </w:t>
      </w:r>
      <w:r>
        <w:t>the sense of ownership, but like “pe” relative phrases, indi</w:t>
      </w:r>
      <w:r>
        <w:softHyphen/>
        <w:t>cates only weak</w:t>
      </w:r>
      <w:r>
        <w:rPr>
          <w:rStyle w:val="deletedparamark"/>
        </w:rPr>
        <w:t xml:space="preserve"> </w:t>
      </w:r>
      <w:r>
        <w:t>association; you can say “le mi karce” even if you've only borrowed it for</w:t>
      </w:r>
      <w:r>
        <w:rPr>
          <w:rStyle w:val="deletedparamark"/>
        </w:rPr>
        <w:t xml:space="preserve"> </w:t>
      </w:r>
      <w:r>
        <w:t>the night. (In English, “my car” usu</w:t>
      </w:r>
      <w:r>
        <w:softHyphen/>
        <w:t>ally means “le karce po mi”, but we</w:t>
      </w:r>
      <w:r>
        <w:rPr>
          <w:rStyle w:val="deletedparamark"/>
        </w:rPr>
        <w:t xml:space="preserve"> </w:t>
      </w:r>
      <w:r>
        <w:t>do not have the same sense of possession in “my seat on the bus”; Lojban</w:t>
      </w:r>
      <w:r>
        <w:rPr>
          <w:rStyle w:val="deletedparamark"/>
        </w:rPr>
        <w:t xml:space="preserve"> </w:t>
      </w:r>
      <w:r>
        <w:t>simply makes the weaker sense the standard one.) The inner sumti, “mi” in</w:t>
      </w:r>
      <w:r>
        <w:rPr>
          <w:rStyle w:val="deletedparamark"/>
        </w:rPr>
        <w:t xml:space="preserve"> </w:t>
      </w:r>
      <w:r>
        <w:rPr>
          <w:rStyle w:val="htmlcodes"/>
        </w:rPr>
        <w:t>&lt;a href=#e7d1&gt;</w:t>
      </w:r>
      <w:r>
        <w:t>E</w:t>
      </w:r>
      <w:r>
        <w:t>x</w:t>
      </w:r>
      <w:r>
        <w:softHyphen/>
        <w:t>ample 7.1</w:t>
      </w:r>
      <w:r>
        <w:rPr>
          <w:rStyle w:val="htmlcodes"/>
        </w:rPr>
        <w:t>&lt;/a&gt;</w:t>
      </w:r>
      <w:r>
        <w:t>, is correspond</w:t>
      </w:r>
      <w:r>
        <w:softHyphen/>
        <w:t>ingly called the “possessor sumti”.</w:t>
      </w:r>
    </w:p>
    <w:p w:rsidR="00B72047" w:rsidRDefault="00B72047">
      <w:pPr>
        <w:rPr>
          <w:rStyle w:val="htmlparacode"/>
        </w:rPr>
      </w:pPr>
      <w:r>
        <w:rPr>
          <w:rStyle w:val="htmlparacode"/>
        </w:rPr>
        <w:t>&lt;p&gt;</w:t>
      </w:r>
    </w:p>
    <w:p w:rsidR="00B72047" w:rsidRDefault="00B72047">
      <w:pPr>
        <w:pStyle w:val="normalparagraph"/>
      </w:pPr>
      <w:r>
        <w:rPr>
          <w:rStyle w:val="indexentry"/>
        </w:rPr>
        <w:t>&lt;cx "possessive sumti and relative clauses, development history"&gt;</w:t>
      </w:r>
      <w:r>
        <w:rPr>
          <w:rStyle w:val="indexentry"/>
        </w:rPr>
        <w:fldChar w:fldCharType="begin"/>
      </w:r>
      <w:r>
        <w:instrText>xe "</w:instrText>
      </w:r>
      <w:r>
        <w:rPr>
          <w:rStyle w:val="xeentry"/>
        </w:rPr>
        <w:instrText>possessive sumti and relative clauses: development history</w:instrText>
      </w:r>
      <w:r>
        <w:instrText>"</w:instrText>
      </w:r>
      <w:r>
        <w:rPr>
          <w:rStyle w:val="indexentry"/>
        </w:rPr>
        <w:fldChar w:fldCharType="end"/>
      </w:r>
      <w:r>
        <w:rPr>
          <w:rStyle w:val="indexentry"/>
        </w:rPr>
        <w:t>&lt;cx "relative clauses and possessive sumti, development history"&gt;</w:t>
      </w:r>
      <w:r>
        <w:rPr>
          <w:rStyle w:val="indexentry"/>
        </w:rPr>
        <w:fldChar w:fldCharType="begin"/>
      </w:r>
      <w:r>
        <w:instrText>xe "</w:instrText>
      </w:r>
      <w:r>
        <w:rPr>
          <w:rStyle w:val="xeentry"/>
        </w:rPr>
        <w:instrText>relative clause and possessive sumti: development history</w:instrText>
      </w:r>
      <w:r>
        <w:instrText>"</w:instrText>
      </w:r>
      <w:r>
        <w:rPr>
          <w:rStyle w:val="indexentry"/>
        </w:rPr>
        <w:fldChar w:fldCharType="end"/>
      </w:r>
      <w:r>
        <w:t>Historically, possessive sumti existed before any other kind of</w:t>
      </w:r>
      <w:r>
        <w:rPr>
          <w:rStyle w:val="deletedparamark"/>
        </w:rPr>
        <w:t xml:space="preserve"> </w:t>
      </w:r>
      <w:r>
        <w:t>relative phrase or clause, and were retained when the machinery</w:t>
      </w:r>
      <w:r>
        <w:rPr>
          <w:rStyle w:val="deletedparamark"/>
        </w:rPr>
        <w:t xml:space="preserve"> </w:t>
      </w:r>
      <w:r>
        <w:t>of relative phrases and clauses as de</w:t>
      </w:r>
      <w:r>
        <w:softHyphen/>
        <w:t>tailed in this chapter so far</w:t>
      </w:r>
      <w:r>
        <w:rPr>
          <w:rStyle w:val="deletedparamark"/>
        </w:rPr>
        <w:t xml:space="preserve"> </w:t>
      </w:r>
      <w:r>
        <w:t>was slowly built up. When preposed relative clauses of the</w:t>
      </w:r>
      <w:r>
        <w:rPr>
          <w:rStyle w:val="deletedparamark"/>
        </w:rPr>
        <w:t xml:space="preserve"> </w:t>
      </w:r>
      <w:r>
        <w:rPr>
          <w:rStyle w:val="htmlcodes"/>
        </w:rPr>
        <w:t>&lt;a href=#e7d2&gt;</w:t>
      </w:r>
      <w:r>
        <w:t xml:space="preserve">Example 7.2 </w:t>
      </w:r>
      <w:r>
        <w:rPr>
          <w:rStyle w:val="htmlcodes"/>
        </w:rPr>
        <w:t>&lt;/a&gt;</w:t>
      </w:r>
      <w:r>
        <w:t>type were devised, possessive sumti were most</w:t>
      </w:r>
      <w:r>
        <w:rPr>
          <w:rStyle w:val="deletedparamark"/>
        </w:rPr>
        <w:t xml:space="preserve"> </w:t>
      </w:r>
      <w:r>
        <w:t>easily viewed as a special case of them.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"possessor sumti, syntax allowed"&gt;</w:t>
      </w:r>
      <w:r>
        <w:rPr>
          <w:rStyle w:val="indexentry"/>
        </w:rPr>
        <w:fldChar w:fldCharType="begin"/>
      </w:r>
      <w:r>
        <w:instrText>xe "</w:instrText>
      </w:r>
      <w:r>
        <w:rPr>
          <w:rStyle w:val="xeentry"/>
        </w:rPr>
        <w:instrText>possessive sumti: syntax allowed</w:instrText>
      </w:r>
      <w:r>
        <w:instrText>"</w:instrText>
      </w:r>
      <w:r>
        <w:rPr>
          <w:rStyle w:val="indexentry"/>
        </w:rPr>
        <w:fldChar w:fldCharType="end"/>
      </w:r>
      <w:r>
        <w:rPr>
          <w:rStyle w:val="indexentry"/>
        </w:rPr>
        <w:t>&lt;cx "possessor sumti, contrasted with relative phrases in complexity allowed"&gt;</w:t>
      </w:r>
      <w:r>
        <w:rPr>
          <w:rStyle w:val="indexentry"/>
        </w:rPr>
        <w:fldChar w:fldCharType="begin"/>
      </w:r>
      <w:r>
        <w:instrText>xe "</w:instrText>
      </w:r>
      <w:r>
        <w:rPr>
          <w:rStyle w:val="xeentry"/>
        </w:rPr>
        <w:instrText>possessive sumti: contrasted with relative phrases in complexity allowed</w:instrText>
      </w:r>
      <w:r>
        <w:instrText>"</w:instrText>
      </w:r>
      <w:r>
        <w:rPr>
          <w:rStyle w:val="indexentry"/>
        </w:rPr>
        <w:fldChar w:fldCharType="end"/>
      </w:r>
      <w:r>
        <w:rPr>
          <w:rStyle w:val="indexentry"/>
        </w:rPr>
        <w:t>&lt;cx "relative phrases, contrasted with possessor sumti in complexity allowed"&gt;</w:t>
      </w:r>
      <w:r>
        <w:rPr>
          <w:rStyle w:val="indexentry"/>
        </w:rPr>
        <w:fldChar w:fldCharType="begin"/>
      </w:r>
      <w:r>
        <w:instrText>xe "</w:instrText>
      </w:r>
      <w:r>
        <w:rPr>
          <w:rStyle w:val="xeentry"/>
        </w:rPr>
        <w:instrText>relative phrase: contrasted with possessive sumti in complexity allowed</w:instrText>
      </w:r>
      <w:r>
        <w:instrText>"</w:instrText>
      </w:r>
      <w:r>
        <w:rPr>
          <w:rStyle w:val="indexentry"/>
        </w:rPr>
        <w:fldChar w:fldCharType="end"/>
      </w:r>
      <w:r>
        <w:rPr>
          <w:rStyle w:val="indexentry"/>
        </w:rPr>
        <w:t>&lt;cx "pro-sumti, as possessor sumti"&gt;</w:t>
      </w:r>
      <w:r>
        <w:rPr>
          <w:rStyle w:val="indexentry"/>
        </w:rPr>
        <w:fldChar w:fldCharType="begin"/>
      </w:r>
      <w:r>
        <w:instrText>xe "</w:instrText>
      </w:r>
      <w:r>
        <w:rPr>
          <w:rStyle w:val="xeentry"/>
        </w:rPr>
        <w:instrText>pro-sumti: as possessive sumti</w:instrText>
      </w:r>
      <w:r>
        <w:instrText>"</w:instrText>
      </w:r>
      <w:r>
        <w:rPr>
          <w:rStyle w:val="indexentry"/>
        </w:rPr>
        <w:fldChar w:fldCharType="end"/>
      </w:r>
      <w:r>
        <w:rPr>
          <w:rStyle w:val="indexentry"/>
        </w:rPr>
        <w:t>&lt;cx "names, as possessor sumti"&gt;</w:t>
      </w:r>
      <w:r>
        <w:rPr>
          <w:rStyle w:val="indexentry"/>
        </w:rPr>
        <w:fldChar w:fldCharType="begin"/>
      </w:r>
      <w:r>
        <w:instrText>xe "</w:instrText>
      </w:r>
      <w:r>
        <w:rPr>
          <w:rStyle w:val="xeentry"/>
        </w:rPr>
        <w:instrText>names: as possessive sumti</w:instrText>
      </w:r>
      <w:r>
        <w:instrText>"</w:instrText>
      </w:r>
      <w:r>
        <w:rPr>
          <w:rStyle w:val="indexentry"/>
        </w:rPr>
        <w:fldChar w:fldCharType="end"/>
      </w:r>
      <w:r>
        <w:rPr>
          <w:rStyle w:val="indexentry"/>
        </w:rPr>
        <w:t>&lt;cx "descriptions, as possessor sumti"&gt;</w:t>
      </w:r>
      <w:r>
        <w:rPr>
          <w:rStyle w:val="indexentry"/>
        </w:rPr>
        <w:fldChar w:fldCharType="begin"/>
      </w:r>
      <w:r>
        <w:instrText>xe "</w:instrText>
      </w:r>
      <w:r>
        <w:rPr>
          <w:rStyle w:val="xeentry"/>
        </w:rPr>
        <w:instrText>descriptions: as possessive sumti</w:instrText>
      </w:r>
      <w:r>
        <w:instrText>"</w:instrText>
      </w:r>
      <w:r>
        <w:rPr>
          <w:rStyle w:val="indexentry"/>
        </w:rPr>
        <w:fldChar w:fldCharType="end"/>
      </w:r>
      <w:r>
        <w:rPr>
          <w:rStyle w:val="indexentry"/>
        </w:rPr>
        <w:t>&lt;cx "quotations, as possessor sumti"&gt;</w:t>
      </w:r>
      <w:r>
        <w:rPr>
          <w:rStyle w:val="indexentry"/>
        </w:rPr>
        <w:fldChar w:fldCharType="begin"/>
      </w:r>
      <w:r>
        <w:instrText>xe "</w:instrText>
      </w:r>
      <w:r>
        <w:rPr>
          <w:rStyle w:val="xeentry"/>
        </w:rPr>
        <w:instrText>quotation: as possessive sumti</w:instrText>
      </w:r>
      <w:r>
        <w:instrText>"</w:instrText>
      </w:r>
      <w:r>
        <w:rPr>
          <w:rStyle w:val="indexentry"/>
        </w:rPr>
        <w:fldChar w:fldCharType="end"/>
      </w:r>
      <w:r>
        <w:rPr>
          <w:rStyle w:val="indexentry"/>
        </w:rPr>
        <w:t>&lt;cx "numbers, as possessor sumti"&gt;</w:t>
      </w:r>
      <w:r>
        <w:rPr>
          <w:rStyle w:val="indexentry"/>
        </w:rPr>
        <w:fldChar w:fldCharType="begin"/>
      </w:r>
      <w:r>
        <w:instrText>xe "</w:instrText>
      </w:r>
      <w:r>
        <w:rPr>
          <w:rStyle w:val="xeentry"/>
        </w:rPr>
        <w:instrText>numbers: as possessive sumti</w:instrText>
      </w:r>
      <w:r>
        <w:instrText>"</w:instrText>
      </w:r>
      <w:r>
        <w:rPr>
          <w:rStyle w:val="indexentry"/>
        </w:rPr>
        <w:fldChar w:fldCharType="end"/>
      </w:r>
      <w:r>
        <w:t>Although any sumti, however complex, can appear in a full-fledged</w:t>
      </w:r>
      <w:r>
        <w:rPr>
          <w:rStyle w:val="deletedparamark"/>
        </w:rPr>
        <w:t xml:space="preserve"> </w:t>
      </w:r>
      <w:r>
        <w:t>relative phrase, only simple sumti can appear as possessor sumti,</w:t>
      </w:r>
      <w:r>
        <w:rPr>
          <w:rStyle w:val="deletedparamark"/>
        </w:rPr>
        <w:t xml:space="preserve"> </w:t>
      </w:r>
      <w:r>
        <w:t>without a “pe”. Roughly speaking, the legal possessor sumti are:</w:t>
      </w:r>
      <w:r>
        <w:rPr>
          <w:rStyle w:val="deletedparamark"/>
        </w:rPr>
        <w:t xml:space="preserve"> </w:t>
      </w:r>
      <w:r>
        <w:t>pro-sumti, quotations, names and descriptions, and numbers. In addition,</w:t>
      </w:r>
      <w:r>
        <w:rPr>
          <w:rStyle w:val="deletedparamark"/>
        </w:rPr>
        <w:t xml:space="preserve"> </w:t>
      </w:r>
      <w:r>
        <w:t>the possessor sumti may not be preceded by a quantifier, as</w:t>
      </w:r>
      <w:r>
        <w:rPr>
          <w:rStyle w:val="deletedparamark"/>
        </w:rPr>
        <w:t xml:space="preserve"> </w:t>
      </w:r>
      <w:r>
        <w:t>such a form would be interpreted as the unusual “descriptor +</w:t>
      </w:r>
      <w:r>
        <w:rPr>
          <w:rStyle w:val="deletedparamark"/>
        </w:rPr>
        <w:t xml:space="preserve"> </w:t>
      </w:r>
      <w:r>
        <w:t>quanti</w:t>
      </w:r>
      <w:r>
        <w:softHyphen/>
        <w:t>fier + sumti” type of description. All these sumti forms</w:t>
      </w:r>
      <w:r>
        <w:rPr>
          <w:rStyle w:val="deletedparamark"/>
        </w:rPr>
        <w:t xml:space="preserve"> </w:t>
      </w:r>
      <w:r>
        <w:t xml:space="preserve">are explained in full in </w:t>
      </w:r>
      <w:r>
        <w:rPr>
          <w:rStyle w:val="htmlcodes"/>
        </w:rPr>
        <w:t>&lt;a href=chap6.html&gt;</w:t>
      </w:r>
      <w:r>
        <w:t>Chapter 6</w:t>
      </w:r>
      <w:r>
        <w:rPr>
          <w:rStyle w:val="htmlcodes"/>
        </w:rPr>
        <w:t>&lt;/a&gt;</w:t>
      </w:r>
      <w:r>
        <w:t>.</w:t>
      </w:r>
    </w:p>
    <w:p w:rsidR="00B72047" w:rsidRDefault="00B72047">
      <w:pPr>
        <w:pStyle w:val="normalparagraph"/>
        <w:rPr>
          <w:rStyle w:val="htmlparacode"/>
        </w:rPr>
      </w:pPr>
      <w:r>
        <w:rPr>
          <w:rStyle w:val="htmlparacode"/>
          <w:vanish w:val="0"/>
        </w:rPr>
        <w:br w:type="page"/>
      </w:r>
      <w:r>
        <w:rPr>
          <w:rStyle w:val="htmlparacode"/>
        </w:rPr>
        <w:t>&lt;p&gt;</w:t>
      </w:r>
    </w:p>
    <w:p w:rsidR="00B72047" w:rsidRDefault="00B72047">
      <w:pPr>
        <w:pStyle w:val="normalparagraph"/>
        <w:spacing w:before="0"/>
      </w:pPr>
      <w:r>
        <w:t>Here is an example of a description used in a possessive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le le nanmu ku karce cu blanu</w:t>
      </w:r>
    </w:p>
    <w:p w:rsidR="00B72047" w:rsidRDefault="00B72047">
      <w:pPr>
        <w:pStyle w:val="examplescaled"/>
      </w:pPr>
      <w:r>
        <w:tab/>
        <w:t>The (associated-with-the man) car is blue.</w:t>
      </w:r>
    </w:p>
    <w:p w:rsidR="00B72047" w:rsidRDefault="00B72047">
      <w:pPr>
        <w:pStyle w:val="examplescaled"/>
      </w:pPr>
      <w:r>
        <w:tab/>
        <w:t>The man's car is blue.</w:t>
      </w:r>
    </w:p>
    <w:p w:rsidR="00B72047" w:rsidRDefault="00B72047">
      <w:pPr>
        <w:pStyle w:val="resumedafterexample"/>
      </w:pPr>
      <w:r>
        <w:rPr>
          <w:rStyle w:val="indexentry"/>
        </w:rPr>
        <w:t>&lt;cx "ku, effect of possessor sumti on elidability of"&gt;</w:t>
      </w:r>
      <w:r>
        <w:rPr>
          <w:rStyle w:val="indexentry"/>
        </w:rPr>
        <w:fldChar w:fldCharType="begin"/>
      </w:r>
      <w:r>
        <w:instrText>xe "</w:instrText>
      </w:r>
      <w:r>
        <w:rPr>
          <w:rStyle w:val="xeentry"/>
        </w:rPr>
        <w:instrText>ku: effect of possessive sumti on elidability of</w:instrText>
      </w:r>
      <w:r>
        <w:instrText>"</w:instrText>
      </w:r>
      <w:r>
        <w:rPr>
          <w:rStyle w:val="indexentry"/>
        </w:rPr>
        <w:fldChar w:fldCharType="end"/>
      </w:r>
      <w:r>
        <w:rPr>
          <w:rStyle w:val="indexentry"/>
        </w:rPr>
        <w:t>&lt;cx "possessor sumti, effect on elidability of ku"&gt;</w:t>
      </w:r>
      <w:r>
        <w:rPr>
          <w:rStyle w:val="indexentry"/>
        </w:rPr>
        <w:fldChar w:fldCharType="begin"/>
      </w:r>
      <w:r>
        <w:instrText>xe "</w:instrText>
      </w:r>
      <w:r>
        <w:rPr>
          <w:rStyle w:val="xeentry"/>
        </w:rPr>
        <w:instrText>possessive sumti: effect on elidability of ku</w:instrText>
      </w:r>
      <w:r>
        <w:instrText>"</w:instrText>
      </w:r>
      <w:r>
        <w:rPr>
          <w:rStyle w:val="indexentry"/>
        </w:rPr>
        <w:fldChar w:fldCharType="end"/>
      </w:r>
      <w:r>
        <w:t>Note the explicit “ku” at the end of the possessor sumti,</w:t>
      </w:r>
      <w:r>
        <w:rPr>
          <w:rStyle w:val="deletedparamark"/>
        </w:rPr>
        <w:t xml:space="preserve"> </w:t>
      </w:r>
      <w:r>
        <w:t>which pre</w:t>
      </w:r>
      <w:r>
        <w:softHyphen/>
        <w:t>vents the selbri of the possessor sumti from merging</w:t>
      </w:r>
      <w:r>
        <w:rPr>
          <w:rStyle w:val="deletedparamark"/>
        </w:rPr>
        <w:t xml:space="preserve"> </w:t>
      </w:r>
      <w:r>
        <w:t>with the selbri of the main description sumti. Because of the</w:t>
      </w:r>
      <w:r>
        <w:rPr>
          <w:rStyle w:val="deletedparamark"/>
        </w:rPr>
        <w:t xml:space="preserve"> </w:t>
      </w:r>
      <w:r>
        <w:t>need for this “ku”, the most common kind of possessor sumti</w:t>
      </w:r>
      <w:r>
        <w:rPr>
          <w:rStyle w:val="deletedparamark"/>
        </w:rPr>
        <w:t xml:space="preserve"> </w:t>
      </w:r>
      <w:r>
        <w:t>are pro-sumti, espe</w:t>
      </w:r>
      <w:r>
        <w:softHyphen/>
        <w:t>cially per</w:t>
      </w:r>
      <w:r>
        <w:softHyphen/>
        <w:t>sonal pro-sumti, which require no</w:t>
      </w:r>
      <w:r>
        <w:rPr>
          <w:rStyle w:val="deletedparamark"/>
        </w:rPr>
        <w:t xml:space="preserve"> </w:t>
      </w:r>
      <w:r>
        <w:t>elidable terminator. Descriptions are more likely to be attached</w:t>
      </w:r>
      <w:r>
        <w:rPr>
          <w:rStyle w:val="deletedparamark"/>
        </w:rPr>
        <w:t xml:space="preserve"> </w:t>
      </w:r>
      <w:r>
        <w:t>with relative phrases.</w:t>
      </w:r>
    </w:p>
    <w:p w:rsidR="00B72047" w:rsidRDefault="00B72047">
      <w:pPr>
        <w:pStyle w:val="normalparagraph"/>
      </w:pPr>
      <w:r>
        <w:rPr>
          <w:rStyle w:val="htmlcodes"/>
        </w:rPr>
        <w:t>&lt;/pre&gt;&lt;p&gt;</w:t>
      </w:r>
      <w:r>
        <w:t>And here is a number used as a possessor sumti:</w:t>
      </w:r>
    </w:p>
    <w:p w:rsidR="00B72047" w:rsidRDefault="00B72047">
      <w:pPr>
        <w:rPr>
          <w:rStyle w:val="htmlparacode"/>
        </w:rPr>
      </w:pPr>
      <w:r>
        <w:rPr>
          <w:rStyle w:val="htmlparacode"/>
        </w:rPr>
        <w:t>&lt;p&gt;</w:t>
      </w:r>
    </w:p>
    <w:p w:rsidR="00B72047" w:rsidRDefault="00B72047">
      <w:pPr>
        <w:pStyle w:val="examplescaledpre"/>
      </w:pPr>
      <w:r>
        <w:rPr>
          <w:rStyle w:val="indexentry"/>
        </w:rPr>
        <w:t>&lt;ex "juror 5"&gt;</w:t>
      </w:r>
      <w:r>
        <w:rPr>
          <w:rStyle w:val="indexentry"/>
        </w:rPr>
        <w:fldChar w:fldCharType="begin"/>
      </w:r>
      <w:r>
        <w:instrText>xe "</w:instrText>
      </w:r>
      <w:r>
        <w:rPr>
          <w:rStyle w:val="xeentry"/>
        </w:rPr>
        <w:instrText>juror 5: example</w:instrText>
      </w:r>
      <w:r>
        <w:instrText>"</w:instrText>
      </w:r>
      <w:r>
        <w:rPr>
          <w:rStyle w:val="indexentry"/>
        </w:rPr>
        <w:fldChar w:fldCharType="end"/>
      </w:r>
      <w:r>
        <w:rPr>
          <w:rStyle w:val="htmlcodes"/>
        </w:rPr>
        <w:t>&lt;pre&gt;&lt;a name=e7d5&gt;</w:t>
      </w:r>
      <w:r>
        <w:t>7.5)</w:t>
      </w:r>
      <w:r>
        <w:tab/>
        <w:t>le li mu jdice se bende</w:t>
      </w:r>
    </w:p>
    <w:p w:rsidR="00B72047" w:rsidRDefault="00B72047">
      <w:pPr>
        <w:pStyle w:val="examplescaled"/>
      </w:pPr>
      <w:r>
        <w:tab/>
        <w:t>The of-the-number-five judging team-member</w:t>
      </w:r>
    </w:p>
    <w:p w:rsidR="00B72047" w:rsidRDefault="00B72047">
      <w:pPr>
        <w:pStyle w:val="examplescaled"/>
      </w:pPr>
      <w:r>
        <w:tab/>
        <w:t>Juror number 5</w:t>
      </w:r>
    </w:p>
    <w:p w:rsidR="00B72047" w:rsidRDefault="00B72047">
      <w:pPr>
        <w:pStyle w:val="resumedafterexample"/>
      </w:pPr>
      <w:r>
        <w:rPr>
          <w:rStyle w:val="htmlcodes"/>
        </w:rPr>
        <w:t>&lt;/pre&gt;</w:t>
      </w:r>
      <w:r>
        <w:t>which is not quite the same as “the fifth juror”; it simply indicates</w:t>
      </w:r>
      <w:r>
        <w:rPr>
          <w:rStyle w:val="deletedparamark"/>
        </w:rPr>
        <w:t xml:space="preserve"> </w:t>
      </w:r>
      <w:r>
        <w:t>a weak association between the particular juror and the number 5.</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on possessor sumti"&gt;</w:t>
      </w:r>
      <w:r>
        <w:rPr>
          <w:rStyle w:val="indexentry"/>
        </w:rPr>
        <w:fldChar w:fldCharType="begin"/>
      </w:r>
      <w:r>
        <w:instrText>xe "</w:instrText>
      </w:r>
      <w:r>
        <w:rPr>
          <w:rStyle w:val="xeentry"/>
        </w:rPr>
        <w:instrText>relative clause: on possessive sumti</w:instrText>
      </w:r>
      <w:r>
        <w:instrText>"</w:instrText>
      </w:r>
      <w:r>
        <w:rPr>
          <w:rStyle w:val="indexentry"/>
        </w:rPr>
        <w:fldChar w:fldCharType="end"/>
      </w:r>
      <w:r>
        <w:rPr>
          <w:rStyle w:val="indexentry"/>
        </w:rPr>
        <w:t>&lt;cx "possessor sumti, relative clauses on"&gt;</w:t>
      </w:r>
      <w:r>
        <w:rPr>
          <w:rStyle w:val="indexentry"/>
        </w:rPr>
        <w:fldChar w:fldCharType="begin"/>
      </w:r>
      <w:r>
        <w:instrText>xe "</w:instrText>
      </w:r>
      <w:r>
        <w:rPr>
          <w:rStyle w:val="xeentry"/>
        </w:rPr>
        <w:instrText>possessive sumti: relative clauses on</w:instrText>
      </w:r>
      <w:r>
        <w:instrText>"</w:instrText>
      </w:r>
      <w:r>
        <w:rPr>
          <w:rStyle w:val="indexentry"/>
        </w:rPr>
        <w:fldChar w:fldCharType="end"/>
      </w:r>
      <w:r>
        <w:rPr>
          <w:rStyle w:val="indexentry"/>
        </w:rPr>
        <w:t>&lt;cx "possessive sumti, with relative clauses on possessor sumti"&gt;</w:t>
      </w:r>
      <w:r>
        <w:rPr>
          <w:rStyle w:val="indexentry"/>
        </w:rPr>
        <w:fldChar w:fldCharType="begin"/>
      </w:r>
      <w:r>
        <w:instrText>xe "</w:instrText>
      </w:r>
      <w:r>
        <w:rPr>
          <w:rStyle w:val="xeentry"/>
        </w:rPr>
        <w:instrText>possessive sumti: with relative clauses on possessive sumti</w:instrText>
      </w:r>
      <w:r>
        <w:instrText>"</w:instrText>
      </w:r>
      <w:r>
        <w:rPr>
          <w:rStyle w:val="indexentry"/>
        </w:rPr>
        <w:fldChar w:fldCharType="end"/>
      </w:r>
      <w:r>
        <w:rPr>
          <w:rStyle w:val="indexentry"/>
        </w:rPr>
        <w:t>&lt;cx "relative clauses with possessive sumti, effect of placement"&gt;</w:t>
      </w:r>
      <w:r>
        <w:rPr>
          <w:rStyle w:val="indexentry"/>
        </w:rPr>
        <w:fldChar w:fldCharType="begin"/>
      </w:r>
      <w:r>
        <w:instrText>xe "</w:instrText>
      </w:r>
      <w:r>
        <w:rPr>
          <w:rStyle w:val="xeentry"/>
        </w:rPr>
        <w:instrText>relative clause with possessive sumti: effect of placement</w:instrText>
      </w:r>
      <w:r>
        <w:instrText>"</w:instrText>
      </w:r>
      <w:r>
        <w:rPr>
          <w:rStyle w:val="indexentry"/>
        </w:rPr>
        <w:fldChar w:fldCharType="end"/>
      </w:r>
      <w:r>
        <w:rPr>
          <w:rStyle w:val="indexentry"/>
        </w:rPr>
        <w:t>&lt;cx "possessive sumti with relative clauses, effect of placement"&gt;</w:t>
      </w:r>
      <w:r>
        <w:rPr>
          <w:rStyle w:val="indexentry"/>
        </w:rPr>
        <w:fldChar w:fldCharType="begin"/>
      </w:r>
      <w:r>
        <w:instrText>xe "</w:instrText>
      </w:r>
      <w:r>
        <w:rPr>
          <w:rStyle w:val="xeentry"/>
        </w:rPr>
        <w:instrText>possessive sumti with relative clauses: effect of placement</w:instrText>
      </w:r>
      <w:r>
        <w:instrText>"</w:instrText>
      </w:r>
      <w:r>
        <w:rPr>
          <w:rStyle w:val="indexentry"/>
        </w:rPr>
        <w:fldChar w:fldCharType="end"/>
      </w:r>
      <w:r>
        <w:t>A possessive sumti may also have regular relative clauses attached to it.</w:t>
      </w:r>
      <w:r>
        <w:rPr>
          <w:rStyle w:val="deletedparamark"/>
        </w:rPr>
        <w:t xml:space="preserve"> </w:t>
      </w:r>
      <w:r>
        <w:t>This would need no comment if it were not for the fol</w:t>
      </w:r>
      <w:r>
        <w:softHyphen/>
        <w:t>lowing special rule:</w:t>
      </w:r>
      <w:r>
        <w:rPr>
          <w:rStyle w:val="deletedparamark"/>
        </w:rPr>
        <w:t xml:space="preserve"> </w:t>
      </w:r>
      <w:r>
        <w:t>a relative clause immed</w:t>
      </w:r>
      <w:r>
        <w:t>i</w:t>
      </w:r>
      <w:r>
        <w:softHyphen/>
        <w:t>ately following the pos</w:t>
      </w:r>
      <w:r>
        <w:softHyphen/>
        <w:t>sessor sumti is</w:t>
      </w:r>
      <w:r>
        <w:rPr>
          <w:rStyle w:val="deletedparamark"/>
        </w:rPr>
        <w:t xml:space="preserve"> </w:t>
      </w:r>
      <w:r>
        <w:t>understood to affect the possessor sumti, not the possessive.</w:t>
      </w:r>
      <w:r>
        <w:rPr>
          <w:rStyle w:val="deletedparamark"/>
        </w:rPr>
        <w:t xml:space="preserve"> </w:t>
      </w:r>
      <w:r>
        <w:t>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le mi noi sipna vau karce cu na klama</w:t>
      </w:r>
    </w:p>
    <w:p w:rsidR="00B72047" w:rsidRDefault="00B72047">
      <w:pPr>
        <w:pStyle w:val="examplescaled"/>
      </w:pPr>
      <w:r>
        <w:tab/>
        <w:t>The of-me incidentally-which-(is-sleeping) car isn't going.</w:t>
      </w:r>
    </w:p>
    <w:p w:rsidR="00B72047" w:rsidRDefault="00B72047">
      <w:pPr>
        <w:pStyle w:val="resumedafterexample"/>
      </w:pPr>
      <w:r>
        <w:rPr>
          <w:rStyle w:val="htmlcodes"/>
        </w:rPr>
        <w:t>&lt;/pre&gt;</w:t>
      </w:r>
      <w:r>
        <w:t>means that my car isn't going; the incidental claim of “noi sipna”</w:t>
      </w:r>
      <w:r>
        <w:rPr>
          <w:rStyle w:val="deletedparamark"/>
        </w:rPr>
        <w:t xml:space="preserve"> </w:t>
      </w:r>
      <w:r>
        <w:t>ap</w:t>
      </w:r>
      <w:r>
        <w:softHyphen/>
        <w:t>plies to me, not my car, however. If I wanted to say that</w:t>
      </w:r>
      <w:r>
        <w:rPr>
          <w:rStyle w:val="deletedparamark"/>
        </w:rPr>
        <w:t xml:space="preserve"> </w:t>
      </w:r>
      <w:r>
        <w:t>the car is sleeping (whatever that might mean) I would need: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name=e7d7&gt;</w:t>
      </w:r>
      <w:r>
        <w:t>7.7)</w:t>
      </w:r>
      <w:r>
        <w:tab/>
        <w:t>le mi karce poi sipna cu na klama</w:t>
      </w:r>
    </w:p>
    <w:p w:rsidR="00B72047" w:rsidRDefault="00B72047">
      <w:pPr>
        <w:pStyle w:val="examplescaled"/>
      </w:pPr>
      <w:r>
        <w:tab/>
        <w:t>The of-me car which sleeps isn't going.</w:t>
      </w:r>
    </w:p>
    <w:p w:rsidR="00B72047" w:rsidRDefault="00B72047">
      <w:pPr>
        <w:pStyle w:val="normalafterexample"/>
      </w:pPr>
      <w:r>
        <w:rPr>
          <w:rStyle w:val="htmlcodes"/>
        </w:rPr>
        <w:t>&lt;/pre&gt;</w:t>
      </w:r>
      <w:r>
        <w:rPr>
          <w:rStyle w:val="indexentry"/>
        </w:rPr>
        <w:t>&lt;cx "vau, effect on elidability ku'o"&gt;</w:t>
      </w:r>
      <w:r>
        <w:rPr>
          <w:rStyle w:val="indexentry"/>
        </w:rPr>
        <w:fldChar w:fldCharType="begin"/>
      </w:r>
      <w:r>
        <w:instrText>xe "</w:instrText>
      </w:r>
      <w:r>
        <w:rPr>
          <w:rStyle w:val="xeentry"/>
        </w:rPr>
        <w:instrText>vau: effect on elidability ku'o</w:instrText>
      </w:r>
      <w:r>
        <w:instrText>"</w:instrText>
      </w:r>
      <w:r>
        <w:rPr>
          <w:rStyle w:val="indexentry"/>
        </w:rPr>
        <w:fldChar w:fldCharType="end"/>
      </w:r>
      <w:r>
        <w:rPr>
          <w:rStyle w:val="indexentry"/>
        </w:rPr>
        <w:t>&lt;cx "ku'o, effect of vau on elidability"&gt;</w:t>
      </w:r>
      <w:r>
        <w:rPr>
          <w:rStyle w:val="indexentry"/>
        </w:rPr>
        <w:fldChar w:fldCharType="begin"/>
      </w:r>
      <w:r>
        <w:instrText>xe "</w:instrText>
      </w:r>
      <w:r>
        <w:rPr>
          <w:rStyle w:val="xeentry"/>
        </w:rPr>
        <w:instrText>ku'o: effect of vau on elidability</w:instrText>
      </w:r>
      <w:r>
        <w:instrText>"</w:instrText>
      </w:r>
      <w:r>
        <w:rPr>
          <w:rStyle w:val="indexentry"/>
        </w:rPr>
        <w:fldChar w:fldCharType="end"/>
      </w:r>
      <w:r>
        <w:t xml:space="preserve">Note that </w:t>
      </w:r>
      <w:r>
        <w:rPr>
          <w:rStyle w:val="htmlcodes"/>
        </w:rPr>
        <w:t>&lt;a href=#e7d6&gt;</w:t>
      </w:r>
      <w:r>
        <w:t xml:space="preserve">Example 7.6 </w:t>
      </w:r>
      <w:r>
        <w:rPr>
          <w:rStyle w:val="htmlcodes"/>
        </w:rPr>
        <w:t>&lt;/a&gt;</w:t>
      </w:r>
      <w:r>
        <w:t>uses “vau” rather than “ku'o” at the end of the</w:t>
      </w:r>
      <w:r>
        <w:rPr>
          <w:rStyle w:val="deletedparamark"/>
        </w:rPr>
        <w:t xml:space="preserve"> </w:t>
      </w:r>
      <w:r>
        <w:t>relative clause: this terminator ends every simple bridi and is almost</w:t>
      </w:r>
      <w:r>
        <w:rPr>
          <w:rStyle w:val="deletedparamark"/>
        </w:rPr>
        <w:t xml:space="preserve"> </w:t>
      </w:r>
      <w:r>
        <w:t>always elidable; in this case, though, it is a syllable shorter than the</w:t>
      </w:r>
      <w:r>
        <w:rPr>
          <w:rStyle w:val="deletedparamark"/>
        </w:rPr>
        <w:t xml:space="preserve"> </w:t>
      </w:r>
      <w:r>
        <w:t>equally valid alternative, “ku'o”.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303" w:name="_Toc398970550"/>
      <w:r>
        <w:rPr>
          <w:rStyle w:val="Heading3Text"/>
        </w:rPr>
        <w:t>Relative clauses and complex sumti: “vu'o”</w:t>
      </w:r>
      <w:bookmarkEnd w:id="303"/>
      <w:r>
        <w:rPr>
          <w:rStyle w:val="htmlcodes"/>
        </w:rPr>
        <w: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vu'o</w:t>
      </w:r>
      <w:r>
        <w:tab/>
        <w:t>VUhO</w:t>
      </w:r>
      <w:r>
        <w:tab/>
        <w:t>relative clause attacher</w:t>
      </w:r>
    </w:p>
    <w:p w:rsidR="00B72047" w:rsidRDefault="00B72047">
      <w:pPr>
        <w:pStyle w:val="normalafterexample"/>
      </w:pPr>
      <w:r>
        <w:rPr>
          <w:rStyle w:val="htmlcodes"/>
        </w:rPr>
        <w:t>&lt;/pre&gt;&lt;p&gt;</w:t>
      </w:r>
      <w:r>
        <w:t>Normally, relative clauses attach only to simple sumti or parts</w:t>
      </w:r>
      <w:r>
        <w:rPr>
          <w:rStyle w:val="deletedparamark"/>
        </w:rPr>
        <w:t xml:space="preserve"> </w:t>
      </w:r>
      <w:r>
        <w:t>of sumti: pro-sumti, names and descriptions, pure numbers, and</w:t>
      </w:r>
      <w:r>
        <w:rPr>
          <w:rStyle w:val="deletedparamark"/>
        </w:rPr>
        <w:t xml:space="preserve"> </w:t>
      </w:r>
      <w:r>
        <w:t>quotations. An example of a relative clause attached to a pure num</w:t>
      </w:r>
      <w:r>
        <w:softHyphen/>
        <w:t>ber is:</w:t>
      </w:r>
    </w:p>
    <w:p w:rsidR="00B72047" w:rsidRDefault="00B72047">
      <w:pPr>
        <w:rPr>
          <w:rStyle w:val="htmlparacode"/>
        </w:rPr>
      </w:pPr>
      <w:r>
        <w:rPr>
          <w:rStyle w:val="htmlparacode"/>
        </w:rPr>
        <w:t>&lt;p&gt;</w:t>
      </w:r>
    </w:p>
    <w:p w:rsidR="00B72047" w:rsidRDefault="00B72047">
      <w:pPr>
        <w:pStyle w:val="examplescaledpre"/>
      </w:pPr>
      <w:r>
        <w:rPr>
          <w:rStyle w:val="indexentry"/>
        </w:rPr>
        <w:t>&lt;cx "relative clause, on number"&gt;</w:t>
      </w:r>
      <w:r>
        <w:rPr>
          <w:rStyle w:val="indexentry"/>
        </w:rPr>
        <w:fldChar w:fldCharType="begin"/>
      </w:r>
      <w:r>
        <w:instrText>xe "</w:instrText>
      </w:r>
      <w:r>
        <w:rPr>
          <w:rStyle w:val="xeentry"/>
        </w:rPr>
        <w:instrText>relative clause: on number</w:instrText>
      </w:r>
      <w:r>
        <w:instrText>"</w:instrText>
      </w:r>
      <w:r>
        <w:rPr>
          <w:rStyle w:val="indexentry"/>
        </w:rPr>
        <w:fldChar w:fldCharType="end"/>
      </w:r>
      <w:r>
        <w:rPr>
          <w:rStyle w:val="indexentry"/>
        </w:rPr>
        <w:t>&lt;ex "irrational number"&gt;</w:t>
      </w:r>
      <w:r>
        <w:rPr>
          <w:rStyle w:val="indexentry"/>
        </w:rPr>
        <w:fldChar w:fldCharType="begin"/>
      </w:r>
      <w:r>
        <w:instrText>xe "</w:instrText>
      </w:r>
      <w:r>
        <w:rPr>
          <w:rStyle w:val="xeentry"/>
        </w:rPr>
        <w:instrText>irrational number: example</w:instrText>
      </w:r>
      <w:r>
        <w:instrText>"</w:instrText>
      </w:r>
      <w:r>
        <w:rPr>
          <w:rStyle w:val="indexentry"/>
        </w:rPr>
        <w:fldChar w:fldCharType="end"/>
      </w:r>
      <w:r>
        <w:rPr>
          <w:rStyle w:val="htmlcodes"/>
        </w:rPr>
        <w:t>&lt;pre&gt;&lt;a name=e8d1&gt;</w:t>
      </w:r>
      <w:r>
        <w:t>8.1)</w:t>
      </w:r>
      <w:r>
        <w:tab/>
        <w:t>li pai noi na'e frinu namcu</w:t>
      </w:r>
    </w:p>
    <w:p w:rsidR="00B72047" w:rsidRDefault="00B72047">
      <w:pPr>
        <w:pStyle w:val="examplescaled"/>
      </w:pPr>
      <w:r>
        <w:tab/>
        <w:t>The-number pi, incidentally-which is-a-non- fraction number</w:t>
      </w:r>
    </w:p>
    <w:p w:rsidR="00B72047" w:rsidRDefault="00B72047">
      <w:pPr>
        <w:pStyle w:val="examplescaled"/>
      </w:pPr>
      <w:r>
        <w:tab/>
        <w:t>The irrational number pi</w:t>
      </w:r>
    </w:p>
    <w:p w:rsidR="00B72047" w:rsidRDefault="00B72047">
      <w:pPr>
        <w:pStyle w:val="resumedafterexample"/>
        <w:spacing w:before="0"/>
      </w:pPr>
      <w:r>
        <w:rPr>
          <w:rStyle w:val="htmlcodes"/>
          <w:vanish w:val="0"/>
        </w:rPr>
        <w:br w:type="page"/>
      </w:r>
      <w:r>
        <w:rPr>
          <w:rStyle w:val="htmlcodes"/>
        </w:rPr>
        <w:t>&lt;/pre&gt;</w:t>
      </w:r>
      <w:r>
        <w:rPr>
          <w:rStyle w:val="indexentry"/>
        </w:rPr>
        <w:t>&lt;cx "relative clause, on quotation"&gt;</w:t>
      </w:r>
      <w:r>
        <w:rPr>
          <w:rStyle w:val="indexentry"/>
        </w:rPr>
        <w:fldChar w:fldCharType="begin"/>
      </w:r>
      <w:r>
        <w:instrText>xe "</w:instrText>
      </w:r>
      <w:r>
        <w:rPr>
          <w:rStyle w:val="xeentry"/>
        </w:rPr>
        <w:instrText>relative clause: on quotation</w:instrText>
      </w:r>
      <w:r>
        <w:instrText>"</w:instrText>
      </w:r>
      <w:r>
        <w:rPr>
          <w:rStyle w:val="indexentry"/>
        </w:rPr>
        <w:fldChar w:fldCharType="end"/>
      </w:r>
      <w:r>
        <w:t>And here is an incidental relative clause attached to a quotation: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lu mi klama le zarci li'u</w:t>
      </w:r>
    </w:p>
    <w:p w:rsidR="00B72047" w:rsidRDefault="00B72047">
      <w:pPr>
        <w:pStyle w:val="examplescaled"/>
      </w:pPr>
      <w:r>
        <w:tab/>
      </w:r>
      <w:r>
        <w:tab/>
        <w:t>noi mi cusku ke'a cu jufra</w:t>
      </w:r>
    </w:p>
    <w:p w:rsidR="00B72047" w:rsidRDefault="00B72047">
      <w:pPr>
        <w:pStyle w:val="examplescaled"/>
      </w:pPr>
      <w:r>
        <w:tab/>
        <w:t>[quote] I go to-the market [unquote]</w:t>
      </w:r>
    </w:p>
    <w:p w:rsidR="00B72047" w:rsidRDefault="00B72047">
      <w:pPr>
        <w:pStyle w:val="examplescaled"/>
      </w:pPr>
      <w:r>
        <w:tab/>
      </w:r>
      <w:r>
        <w:tab/>
        <w:t>incidentally-which-(I express IT) is-a-sentence.</w:t>
      </w:r>
    </w:p>
    <w:p w:rsidR="00B72047" w:rsidRDefault="00B72047">
      <w:pPr>
        <w:pStyle w:val="examplescaled"/>
      </w:pPr>
      <w:r>
        <w:tab/>
        <w:t>“I'm going to the market”, which I'd said, is a sentence.</w:t>
      </w:r>
    </w:p>
    <w:p w:rsidR="00B72047" w:rsidRDefault="00B72047">
      <w:pPr>
        <w:pStyle w:val="resumedafterexample"/>
      </w:pPr>
      <w:r>
        <w:rPr>
          <w:rStyle w:val="htmlcodes"/>
        </w:rPr>
        <w:t>&lt;/pre&gt;</w:t>
      </w:r>
      <w:r>
        <w:t>which may serve to identify the author of the quotation or some other</w:t>
      </w:r>
      <w:r>
        <w:rPr>
          <w:rStyle w:val="deletedparamark"/>
        </w:rPr>
        <w:t xml:space="preserve"> </w:t>
      </w:r>
      <w:r>
        <w:t>relevant, but sub</w:t>
      </w:r>
      <w:r>
        <w:softHyphen/>
        <w:t>sidiary, fact about it. All such relative clauses</w:t>
      </w:r>
      <w:r>
        <w:rPr>
          <w:rStyle w:val="deletedparamark"/>
        </w:rPr>
        <w:t xml:space="preserve"> </w:t>
      </w:r>
      <w:r>
        <w:t>appear only after the simple sumti, never before it.</w:t>
      </w:r>
    </w:p>
    <w:p w:rsidR="00B72047" w:rsidRDefault="00B72047">
      <w:pPr>
        <w:rPr>
          <w:rStyle w:val="htmlparacode"/>
        </w:rPr>
      </w:pPr>
      <w:r>
        <w:rPr>
          <w:rStyle w:val="htmlparacode"/>
        </w:rPr>
        <w:t>&lt;p&gt;</w:t>
      </w:r>
    </w:p>
    <w:p w:rsidR="00B72047" w:rsidRDefault="00B72047">
      <w:pPr>
        <w:pStyle w:val="normalparagraph"/>
      </w:pPr>
      <w:r>
        <w:rPr>
          <w:rStyle w:val="indexentry"/>
        </w:rPr>
        <w:t>&lt;lx "LAhE"&gt;</w:t>
      </w:r>
      <w:r>
        <w:rPr>
          <w:rStyle w:val="indexentry"/>
        </w:rPr>
        <w:fldChar w:fldCharType="begin"/>
      </w:r>
      <w:r>
        <w:instrText>xe "</w:instrText>
      </w:r>
      <w:r>
        <w:rPr>
          <w:rStyle w:val="xeentry"/>
        </w:rPr>
        <w:instrText>LAhE selma’o</w:instrText>
      </w:r>
      <w:r>
        <w:instrText>"</w:instrText>
      </w:r>
      <w:r>
        <w:rPr>
          <w:rStyle w:val="indexentry"/>
        </w:rPr>
        <w:fldChar w:fldCharType="end"/>
      </w:r>
      <w:r>
        <w:rPr>
          <w:rStyle w:val="indexentry"/>
        </w:rPr>
        <w:t>&lt;lx "NAhE"&gt;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&lt;cx "relative clauses, impact of LAhE on placement"&gt;</w:t>
      </w:r>
      <w:r>
        <w:rPr>
          <w:rStyle w:val="indexentry"/>
        </w:rPr>
        <w:fldChar w:fldCharType="begin"/>
      </w:r>
      <w:r>
        <w:instrText>xe "</w:instrText>
      </w:r>
      <w:r>
        <w:rPr>
          <w:rStyle w:val="xeentry"/>
        </w:rPr>
        <w:instrText>relative clause: impact of LAhE on placement</w:instrText>
      </w:r>
      <w:r>
        <w:instrText>"</w:instrText>
      </w:r>
      <w:r>
        <w:rPr>
          <w:rStyle w:val="indexentry"/>
        </w:rPr>
        <w:fldChar w:fldCharType="end"/>
      </w:r>
      <w:r>
        <w:rPr>
          <w:rStyle w:val="indexentry"/>
        </w:rPr>
        <w:t>&lt;cx "relative clauses and LAhE, placement considerations"&gt;</w:t>
      </w:r>
      <w:r>
        <w:rPr>
          <w:rStyle w:val="indexentry"/>
        </w:rPr>
        <w:fldChar w:fldCharType="begin"/>
      </w:r>
      <w:r>
        <w:instrText>xe "</w:instrText>
      </w:r>
      <w:r>
        <w:rPr>
          <w:rStyle w:val="xeentry"/>
        </w:rPr>
        <w:instrText>relative clause and LAhE: placement considerations</w:instrText>
      </w:r>
      <w:r>
        <w:instrText>"</w:instrText>
      </w:r>
      <w:r>
        <w:rPr>
          <w:rStyle w:val="indexentry"/>
        </w:rPr>
        <w:fldChar w:fldCharType="end"/>
      </w:r>
      <w:r>
        <w:rPr>
          <w:rStyle w:val="indexentry"/>
        </w:rPr>
        <w:t>&lt;cx "relative clauses, impact of NAhE on placement"&gt;</w:t>
      </w:r>
      <w:r>
        <w:rPr>
          <w:rStyle w:val="indexentry"/>
        </w:rPr>
        <w:fldChar w:fldCharType="begin"/>
      </w:r>
      <w:r>
        <w:instrText>xe "</w:instrText>
      </w:r>
      <w:r>
        <w:rPr>
          <w:rStyle w:val="xeentry"/>
        </w:rPr>
        <w:instrText>relative clause: impact of NAhE on placement</w:instrText>
      </w:r>
      <w:r>
        <w:instrText>"</w:instrText>
      </w:r>
      <w:r>
        <w:rPr>
          <w:rStyle w:val="indexentry"/>
        </w:rPr>
        <w:fldChar w:fldCharType="end"/>
      </w:r>
      <w:r>
        <w:rPr>
          <w:rStyle w:val="indexentry"/>
        </w:rPr>
        <w:t>&lt;cx "relative clauses and NAhE, placement considerations"&gt;</w:t>
      </w:r>
      <w:r>
        <w:rPr>
          <w:rStyle w:val="indexentry"/>
        </w:rPr>
        <w:fldChar w:fldCharType="begin"/>
      </w:r>
      <w:r>
        <w:instrText>xe "</w:instrText>
      </w:r>
      <w:r>
        <w:rPr>
          <w:rStyle w:val="xeentry"/>
        </w:rPr>
        <w:instrText>relative clause and NAhE: placement considerations</w:instrText>
      </w:r>
      <w:r>
        <w:instrText>"</w:instrText>
      </w:r>
      <w:r>
        <w:rPr>
          <w:rStyle w:val="indexentry"/>
        </w:rPr>
        <w:fldChar w:fldCharType="end"/>
      </w:r>
      <w:r>
        <w:rPr>
          <w:rStyle w:val="indexentry"/>
        </w:rPr>
        <w:t>&lt;cx "LAhE, effect of relative clause placement with"&gt;</w:t>
      </w:r>
      <w:r>
        <w:rPr>
          <w:rStyle w:val="indexentry"/>
        </w:rPr>
        <w:fldChar w:fldCharType="begin"/>
      </w:r>
      <w:r>
        <w:instrText>xe "</w:instrText>
      </w:r>
      <w:r>
        <w:rPr>
          <w:rStyle w:val="xeentry"/>
        </w:rPr>
        <w:instrText>LAhE selma’o: effect of relative clause placement with</w:instrText>
      </w:r>
      <w:r>
        <w:instrText>"</w:instrText>
      </w:r>
      <w:r>
        <w:rPr>
          <w:rStyle w:val="indexentry"/>
        </w:rPr>
        <w:fldChar w:fldCharType="end"/>
      </w:r>
      <w:r>
        <w:rPr>
          <w:rStyle w:val="indexentry"/>
        </w:rPr>
        <w:t>&lt;cx "NAhE, effect of relative clause placement with"&gt;</w:t>
      </w:r>
      <w:r>
        <w:rPr>
          <w:rStyle w:val="indexentry"/>
        </w:rPr>
        <w:fldChar w:fldCharType="begin"/>
      </w:r>
      <w:r>
        <w:instrText>xe "</w:instrText>
      </w:r>
      <w:r>
        <w:rPr>
          <w:rStyle w:val="xeentry"/>
        </w:rPr>
        <w:instrText>NAhE selma’o: effect of relative clause placement with</w:instrText>
      </w:r>
      <w:r>
        <w:instrText>"</w:instrText>
      </w:r>
      <w:r>
        <w:rPr>
          <w:rStyle w:val="indexentry"/>
        </w:rPr>
        <w:fldChar w:fldCharType="end"/>
      </w:r>
      <w:r>
        <w:t>In addition, sumti with attached sumti qualifiers of selma'o</w:t>
      </w:r>
      <w:r>
        <w:rPr>
          <w:rStyle w:val="deletedparamark"/>
        </w:rPr>
        <w:t xml:space="preserve"> </w:t>
      </w:r>
      <w:r>
        <w:t xml:space="preserve">LAhE or NAhE+BO (which are explained in detail in </w:t>
      </w:r>
      <w:r>
        <w:rPr>
          <w:rStyle w:val="htmlcodes"/>
        </w:rPr>
        <w:t>&lt;a href=chap6.html&gt;</w:t>
      </w:r>
      <w:r>
        <w:t>Chapter 6</w:t>
      </w:r>
      <w:r>
        <w:rPr>
          <w:rStyle w:val="htmlcodes"/>
        </w:rPr>
        <w:t>&lt;/a&gt;</w:t>
      </w:r>
      <w:r>
        <w:t>)</w:t>
      </w:r>
      <w:r>
        <w:rPr>
          <w:rStyle w:val="deletedparamark"/>
        </w:rPr>
        <w:t xml:space="preserve"> </w:t>
      </w:r>
      <w:r>
        <w:t>can have a relative clause ap</w:t>
      </w:r>
      <w:r>
        <w:softHyphen/>
        <w:t>pearing after the qualifier and</w:t>
      </w:r>
      <w:r>
        <w:rPr>
          <w:rStyle w:val="deletedparamark"/>
        </w:rPr>
        <w:t xml:space="preserve"> </w:t>
      </w:r>
      <w:r>
        <w:t>before the qualified sumti, as in:</w:t>
      </w:r>
    </w:p>
    <w:p w:rsidR="00B72047" w:rsidRDefault="00B72047">
      <w:pPr>
        <w:rPr>
          <w:rStyle w:val="htmlparacode"/>
        </w:rPr>
      </w:pPr>
      <w:r>
        <w:rPr>
          <w:rStyle w:val="htmlparacode"/>
        </w:rPr>
        <w:t>&lt;p&gt;</w:t>
      </w:r>
    </w:p>
    <w:p w:rsidR="00B72047" w:rsidRDefault="00B72047">
      <w:pPr>
        <w:pStyle w:val="examplescaledpre"/>
      </w:pPr>
      <w:r>
        <w:rPr>
          <w:rStyle w:val="indexentry"/>
        </w:rPr>
        <w:t>&lt;ex "red pony"&gt;</w:t>
      </w:r>
      <w:r>
        <w:rPr>
          <w:rStyle w:val="indexentry"/>
        </w:rPr>
        <w:fldChar w:fldCharType="begin"/>
      </w:r>
      <w:r>
        <w:instrText>xe "</w:instrText>
      </w:r>
      <w:r>
        <w:rPr>
          <w:rStyle w:val="xeentry"/>
        </w:rPr>
        <w:instrText>red pony: example</w:instrText>
      </w:r>
      <w:r>
        <w:instrText>"</w:instrText>
      </w:r>
      <w:r>
        <w:rPr>
          <w:rStyle w:val="indexentry"/>
        </w:rPr>
        <w:fldChar w:fldCharType="end"/>
      </w: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rPr>
          <w:rStyle w:val="htmlcodes"/>
        </w:rPr>
        <w:t>&lt;pre&gt;&lt;a name=e8d3&gt;</w:t>
      </w:r>
      <w:r>
        <w:t>8.3)</w:t>
      </w:r>
      <w:r>
        <w:tab/>
        <w:t>la'e poi tolcitno vau lu le xunre cmaxirma li'u</w:t>
      </w:r>
    </w:p>
    <w:p w:rsidR="00B72047" w:rsidRDefault="00B72047">
      <w:pPr>
        <w:pStyle w:val="examplescaled"/>
      </w:pPr>
      <w:r>
        <w:tab/>
      </w:r>
      <w:r>
        <w:tab/>
        <w:t>cu zvati le vu kumfa</w:t>
      </w:r>
    </w:p>
    <w:p w:rsidR="00B72047" w:rsidRDefault="00B72047">
      <w:pPr>
        <w:pStyle w:val="examplescaled"/>
      </w:pPr>
      <w:r>
        <w:tab/>
        <w:t>A-referent-of (which is-old) [quote] The Red Small-horse [unquote]</w:t>
      </w:r>
    </w:p>
    <w:p w:rsidR="00B72047" w:rsidRDefault="00B72047">
      <w:pPr>
        <w:pStyle w:val="examplescaled"/>
      </w:pPr>
      <w:r>
        <w:tab/>
      </w:r>
      <w:r>
        <w:tab/>
        <w:t>is-at the [far distance] room.</w:t>
      </w:r>
    </w:p>
    <w:p w:rsidR="00B72047" w:rsidRDefault="00B72047">
      <w:pPr>
        <w:pStyle w:val="examplescaled"/>
      </w:pPr>
      <w:r>
        <w:tab/>
        <w:t>An old “The Red Pony” is in the far room.</w:t>
      </w:r>
    </w:p>
    <w:p w:rsidR="00B72047" w:rsidRDefault="00B72047">
      <w:pPr>
        <w:pStyle w:val="resumedafterexample"/>
      </w:pPr>
      <w:r>
        <w:rPr>
          <w:rStyle w:val="htmlcodes"/>
        </w:rPr>
        <w:t>&lt;/pre&gt;&lt;a href=#e8d3&gt;</w:t>
      </w:r>
      <w:r>
        <w:t xml:space="preserve">Example 8.3 </w:t>
      </w:r>
      <w:r>
        <w:rPr>
          <w:rStyle w:val="htmlcodes"/>
        </w:rPr>
        <w:t>&lt;/a&gt;</w:t>
      </w:r>
      <w:r>
        <w:t>is a bit complex, and may need some picking apart.</w:t>
      </w:r>
      <w:r>
        <w:rPr>
          <w:rStyle w:val="deletedparamark"/>
        </w:rPr>
        <w:t xml:space="preserve"> </w:t>
      </w:r>
      <w:r>
        <w:t>The quotation “lu le xunre cmaxirma li'u” means the string of</w:t>
      </w:r>
      <w:r>
        <w:rPr>
          <w:rStyle w:val="deletedparamark"/>
        </w:rPr>
        <w:t xml:space="preserve"> </w:t>
      </w:r>
      <w:r>
        <w:t>words “The Red Pony”. If the “la'e” at the b</w:t>
      </w:r>
      <w:r>
        <w:t>e</w:t>
      </w:r>
      <w:r>
        <w:softHyphen/>
        <w:t>ginning of the</w:t>
      </w:r>
      <w:r>
        <w:rPr>
          <w:rStyle w:val="deletedparamark"/>
        </w:rPr>
        <w:t xml:space="preserve"> </w:t>
      </w:r>
      <w:r>
        <w:t xml:space="preserve">sentence were omitted, </w:t>
      </w:r>
      <w:r>
        <w:rPr>
          <w:rStyle w:val="htmlcodes"/>
        </w:rPr>
        <w:t>&lt;a href=#e8d3&gt;</w:t>
      </w:r>
      <w:r>
        <w:t xml:space="preserve">Example 8.3 </w:t>
      </w:r>
      <w:r>
        <w:rPr>
          <w:rStyle w:val="htmlcodes"/>
        </w:rPr>
        <w:t>&lt;/a&gt;</w:t>
      </w:r>
      <w:r>
        <w:t>would claim that a certain</w:t>
      </w:r>
      <w:r>
        <w:rPr>
          <w:rStyle w:val="deletedparamark"/>
        </w:rPr>
        <w:t xml:space="preserve"> </w:t>
      </w:r>
      <w:r>
        <w:t>string of words is in a room distant from the speaker. But</w:t>
      </w:r>
      <w:r>
        <w:rPr>
          <w:rStyle w:val="deletedparamark"/>
        </w:rPr>
        <w:t xml:space="preserve"> </w:t>
      </w:r>
      <w:r>
        <w:t>obviously a string of words can't be in a room! The effect of</w:t>
      </w:r>
      <w:r>
        <w:rPr>
          <w:rStyle w:val="deletedparamark"/>
        </w:rPr>
        <w:t xml:space="preserve"> </w:t>
      </w:r>
      <w:r>
        <w:t>the “la'e” is to modify the sumti so that it refers not to the</w:t>
      </w:r>
      <w:r>
        <w:rPr>
          <w:rStyle w:val="deletedparamark"/>
        </w:rPr>
        <w:t xml:space="preserve"> </w:t>
      </w:r>
      <w:r>
        <w:t>words themselves, but to the referent of those words, a novel</w:t>
      </w:r>
      <w:r>
        <w:rPr>
          <w:rStyle w:val="deletedparamark"/>
        </w:rPr>
        <w:t xml:space="preserve"> </w:t>
      </w:r>
      <w:r>
        <w:t>by John Steinbeck (presumably in Lojban translation). The</w:t>
      </w:r>
      <w:r>
        <w:rPr>
          <w:rStyle w:val="deletedparamark"/>
        </w:rPr>
        <w:t xml:space="preserve"> </w:t>
      </w:r>
      <w:r>
        <w:t>par</w:t>
      </w:r>
      <w:r>
        <w:softHyphen/>
        <w:t>ticular copy of “The Red Pony” is identified by the restrictive</w:t>
      </w:r>
      <w:r>
        <w:rPr>
          <w:rStyle w:val="deletedparamark"/>
        </w:rPr>
        <w:t xml:space="preserve"> </w:t>
      </w:r>
      <w:r>
        <w:t xml:space="preserve">relative clause. </w:t>
      </w:r>
      <w:r>
        <w:rPr>
          <w:rStyle w:val="htmlcodes"/>
        </w:rPr>
        <w:t>&lt;a href=#e8d3&gt;</w:t>
      </w:r>
      <w:r>
        <w:t xml:space="preserve">Example 8.3 </w:t>
      </w:r>
      <w:r>
        <w:rPr>
          <w:rStyle w:val="htmlcodes"/>
        </w:rPr>
        <w:t>&lt;/a&gt;</w:t>
      </w:r>
      <w:r>
        <w:t>means exactly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la'e lu le xunre cmaxirma li'u lu'u</w:t>
      </w:r>
    </w:p>
    <w:p w:rsidR="00B72047" w:rsidRDefault="00B72047">
      <w:pPr>
        <w:pStyle w:val="examplescaled"/>
      </w:pPr>
      <w:r>
        <w:tab/>
      </w:r>
      <w:r>
        <w:tab/>
        <w:t>poi to'ercitno cu zvati le vu kumfa</w:t>
      </w:r>
    </w:p>
    <w:p w:rsidR="00B72047" w:rsidRDefault="00B72047">
      <w:pPr>
        <w:pStyle w:val="examplescaled"/>
      </w:pPr>
      <w:r>
        <w:tab/>
        <w:t>A-referent-of ([quote] The Red Small-horse [unquote])</w:t>
      </w:r>
    </w:p>
    <w:p w:rsidR="00B72047" w:rsidRDefault="00B72047">
      <w:pPr>
        <w:pStyle w:val="examplescaled"/>
      </w:pPr>
      <w:r>
        <w:tab/>
      </w:r>
      <w:r>
        <w:tab/>
        <w:t>which is-old is-at the [far distance] room.</w:t>
      </w:r>
    </w:p>
    <w:p w:rsidR="00B72047" w:rsidRDefault="00B72047">
      <w:pPr>
        <w:pStyle w:val="resumedafterexample"/>
      </w:pPr>
      <w:r>
        <w:rPr>
          <w:rStyle w:val="htmlcodes"/>
        </w:rPr>
        <w:t>&lt;/pre&gt;</w:t>
      </w:r>
      <w:r>
        <w:t>and the two sentences can be considered stylistic variants. Note the</w:t>
      </w:r>
      <w:r>
        <w:rPr>
          <w:rStyle w:val="deletedparamark"/>
        </w:rPr>
        <w:t xml:space="preserve"> </w:t>
      </w:r>
      <w:r>
        <w:t>required “lu'u” ter</w:t>
      </w:r>
      <w:r>
        <w:softHyphen/>
        <w:t>minator, which prevents the relative clause</w:t>
      </w:r>
      <w:r>
        <w:rPr>
          <w:rStyle w:val="deletedparamark"/>
        </w:rPr>
        <w:t xml:space="preserve"> </w:t>
      </w:r>
      <w:r>
        <w:t>from at</w:t>
      </w:r>
      <w:r>
        <w:softHyphen/>
        <w:t>taching to the quotation itself: we do not wish to refer</w:t>
      </w:r>
      <w:r>
        <w:rPr>
          <w:rStyle w:val="deletedparamark"/>
        </w:rPr>
        <w:t xml:space="preserve"> </w:t>
      </w:r>
      <w:r>
        <w:t>to an old quota</w:t>
      </w:r>
      <w:r>
        <w:softHyphen/>
        <w:t>tion!</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on connected sumti"&gt;</w:t>
      </w:r>
      <w:r>
        <w:rPr>
          <w:rStyle w:val="indexentry"/>
        </w:rPr>
        <w:fldChar w:fldCharType="begin"/>
      </w:r>
      <w:r>
        <w:instrText>xe "</w:instrText>
      </w:r>
      <w:r>
        <w:rPr>
          <w:rStyle w:val="xeentry"/>
        </w:rPr>
        <w:instrText>relative clause: on connected sumti</w:instrText>
      </w:r>
      <w:r>
        <w:instrText>"</w:instrText>
      </w:r>
      <w:r>
        <w:rPr>
          <w:rStyle w:val="indexentry"/>
        </w:rPr>
        <w:fldChar w:fldCharType="end"/>
      </w:r>
      <w:r>
        <w:t>Sometimes, however, it is important to make a relative clause</w:t>
      </w:r>
      <w:r>
        <w:rPr>
          <w:rStyle w:val="deletedparamark"/>
        </w:rPr>
        <w:t xml:space="preserve"> </w:t>
      </w:r>
      <w:r>
        <w:t>apply to the whole of a more complex sumti, one which involves</w:t>
      </w:r>
      <w:r>
        <w:rPr>
          <w:rStyle w:val="deletedparamark"/>
        </w:rPr>
        <w:t xml:space="preserve"> </w:t>
      </w:r>
      <w:r>
        <w:t>logi</w:t>
      </w:r>
      <w:r>
        <w:softHyphen/>
        <w:t xml:space="preserve">cal or non-logical connection (explained in </w:t>
      </w:r>
      <w:r>
        <w:rPr>
          <w:rStyle w:val="htmlcodes"/>
        </w:rPr>
        <w:t>&lt;a href=chap14.html&gt;</w:t>
      </w:r>
      <w:r>
        <w:t>Chapter 14</w:t>
      </w:r>
      <w:r>
        <w:rPr>
          <w:rStyle w:val="htmlcodes"/>
        </w:rPr>
        <w:t>&lt;/a&gt;</w:t>
      </w:r>
      <w:r>
        <w:t>).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la frank. .e la djordj. noi nanmu cu klama le zdani</w:t>
      </w:r>
    </w:p>
    <w:p w:rsidR="00B72047" w:rsidRDefault="00B72047">
      <w:pPr>
        <w:pStyle w:val="examplescaled"/>
      </w:pPr>
      <w:r>
        <w:tab/>
        <w:t>Frank and George incidentally-who is-a-man go to-the house.</w:t>
      </w:r>
    </w:p>
    <w:p w:rsidR="00B72047" w:rsidRDefault="00B72047">
      <w:pPr>
        <w:pStyle w:val="examplescaled"/>
      </w:pPr>
      <w:r>
        <w:tab/>
        <w:t>Frank and George, who is a man, go to the house.</w:t>
      </w:r>
    </w:p>
    <w:p w:rsidR="00B72047" w:rsidRDefault="00B72047">
      <w:pPr>
        <w:pStyle w:val="resumedafterexample"/>
      </w:pPr>
      <w:r>
        <w:rPr>
          <w:rStyle w:val="htmlcodes"/>
        </w:rPr>
        <w:t>&lt;/pre&gt;&lt;p&gt;</w:t>
      </w:r>
      <w:r>
        <w:t xml:space="preserve">The incidental claim in </w:t>
      </w:r>
      <w:r>
        <w:rPr>
          <w:rStyle w:val="htmlcodes"/>
        </w:rPr>
        <w:t>&lt;a href=#e8d5&gt;</w:t>
      </w:r>
      <w:r>
        <w:t xml:space="preserve">Example 8.5 </w:t>
      </w:r>
      <w:r>
        <w:rPr>
          <w:rStyle w:val="htmlcodes"/>
        </w:rPr>
        <w:t>&lt;/a&gt;</w:t>
      </w:r>
      <w:r>
        <w:t>is not that Frank and George</w:t>
      </w:r>
      <w:r>
        <w:rPr>
          <w:rStyle w:val="deletedparamark"/>
        </w:rPr>
        <w:t xml:space="preserve"> </w:t>
      </w:r>
      <w:r>
        <w:t>are men, but only that George is a man, because the incidental</w:t>
      </w:r>
      <w:r>
        <w:rPr>
          <w:rStyle w:val="deletedparamark"/>
        </w:rPr>
        <w:t xml:space="preserve"> </w:t>
      </w:r>
      <w:r>
        <w:t>relative clause attaches only to “la djordj”, the immediately</w:t>
      </w:r>
      <w:r>
        <w:rPr>
          <w:rStyle w:val="deletedparamark"/>
        </w:rPr>
        <w:t xml:space="preserve"> </w:t>
      </w:r>
      <w:r>
        <w:t>preceding simple sumti.</w:t>
      </w:r>
    </w:p>
    <w:p w:rsidR="00B72047" w:rsidRDefault="00B72047">
      <w:pPr>
        <w:rPr>
          <w:rStyle w:val="htmlparacode"/>
        </w:rPr>
      </w:pPr>
      <w:r>
        <w:rPr>
          <w:rStyle w:val="htmlparacode"/>
        </w:rPr>
        <w:t>&lt;p&gt;</w:t>
      </w:r>
    </w:p>
    <w:p w:rsidR="00B72047" w:rsidRDefault="00B72047">
      <w:pPr>
        <w:pStyle w:val="normalparagraph"/>
      </w:pPr>
      <w:r>
        <w:rPr>
          <w:rStyle w:val="indexentry"/>
        </w:rPr>
        <w:t>&lt;lx "vu'o"&gt;</w:t>
      </w:r>
      <w:r>
        <w:rPr>
          <w:rStyle w:val="indexentry"/>
        </w:rPr>
        <w:fldChar w:fldCharType="begin"/>
      </w:r>
      <w:r>
        <w:instrText>xe "</w:instrText>
      </w:r>
      <w:r>
        <w:rPr>
          <w:rStyle w:val="xeentry"/>
        </w:rPr>
        <w:instrText>vu'o</w:instrText>
      </w:r>
      <w:r>
        <w:instrText>"</w:instrText>
      </w:r>
      <w:r>
        <w:rPr>
          <w:rStyle w:val="indexentry"/>
        </w:rPr>
        <w:fldChar w:fldCharType="end"/>
      </w:r>
      <w:r>
        <w:rPr>
          <w:rStyle w:val="indexentry"/>
        </w:rPr>
        <w:t>&lt;lx "VUhO"&gt;</w:t>
      </w:r>
      <w:r>
        <w:rPr>
          <w:rStyle w:val="indexentry"/>
        </w:rPr>
        <w:fldChar w:fldCharType="begin"/>
      </w:r>
      <w:r>
        <w:instrText>xe "</w:instrText>
      </w:r>
      <w:r>
        <w:rPr>
          <w:rStyle w:val="xeentry"/>
        </w:rPr>
        <w:instrText>VUhO selma’o</w:instrText>
      </w:r>
      <w:r>
        <w:instrText>"</w:instrText>
      </w:r>
      <w:r>
        <w:rPr>
          <w:rStyle w:val="indexentry"/>
        </w:rPr>
        <w:fldChar w:fldCharType="end"/>
      </w:r>
      <w:r>
        <w:rPr>
          <w:rStyle w:val="indexentry"/>
        </w:rPr>
        <w:t>&lt;cx "relative clause scope, extending to preceding sumti with vu'o"&gt;</w:t>
      </w:r>
      <w:r>
        <w:rPr>
          <w:rStyle w:val="indexentry"/>
        </w:rPr>
        <w:fldChar w:fldCharType="begin"/>
      </w:r>
      <w:r>
        <w:instrText>xe "</w:instrText>
      </w:r>
      <w:r>
        <w:rPr>
          <w:rStyle w:val="xeentry"/>
        </w:rPr>
        <w:instrText>relative clause scope: extending to preceding sumti with vu'o</w:instrText>
      </w:r>
      <w:r>
        <w:instrText>"</w:instrText>
      </w:r>
      <w:r>
        <w:rPr>
          <w:rStyle w:val="indexentry"/>
        </w:rPr>
        <w:fldChar w:fldCharType="end"/>
      </w:r>
      <w:r>
        <w:t>To make a relative clause attach to both parts of the logically</w:t>
      </w:r>
      <w:r>
        <w:rPr>
          <w:rStyle w:val="deletedparamark"/>
        </w:rPr>
        <w:t xml:space="preserve"> </w:t>
      </w:r>
      <w:r>
        <w:t xml:space="preserve">connected sumti in </w:t>
      </w:r>
      <w:r>
        <w:rPr>
          <w:rStyle w:val="htmlcodes"/>
        </w:rPr>
        <w:t>&lt;a href=#e8d5&gt;</w:t>
      </w:r>
      <w:r>
        <w:t>E</w:t>
      </w:r>
      <w:r>
        <w:t>x</w:t>
      </w:r>
      <w:r>
        <w:softHyphen/>
        <w:t>ample 8.5</w:t>
      </w:r>
      <w:r>
        <w:rPr>
          <w:rStyle w:val="htmlcodes"/>
        </w:rPr>
        <w:t>&lt;/a&gt;</w:t>
      </w:r>
      <w:r>
        <w:t>, a new cmavo is needed,</w:t>
      </w:r>
      <w:r>
        <w:rPr>
          <w:rStyle w:val="deletedparamark"/>
        </w:rPr>
        <w:t xml:space="preserve"> “</w:t>
      </w:r>
      <w:r>
        <w:t>vu'o” (of selma'o VUhO). It is placed be</w:t>
      </w:r>
      <w:r>
        <w:softHyphen/>
        <w:t>tween the sumti and</w:t>
      </w:r>
      <w:r>
        <w:rPr>
          <w:rStyle w:val="deletedparamark"/>
        </w:rPr>
        <w:t xml:space="preserve"> </w:t>
      </w:r>
      <w:r>
        <w:t>the relative clause, and extends the sphere of influence of that</w:t>
      </w:r>
      <w:r>
        <w:rPr>
          <w:rStyle w:val="deletedparamark"/>
        </w:rPr>
        <w:t xml:space="preserve"> </w:t>
      </w:r>
      <w:r>
        <w:t>relative clause to the entire preceding sumti, including however</w:t>
      </w:r>
      <w:r>
        <w:rPr>
          <w:rStyle w:val="deletedparamark"/>
        </w:rPr>
        <w:t xml:space="preserve"> </w:t>
      </w:r>
      <w:r>
        <w:t>many logical or non-logical connectives there may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la frank. .e la djordj. vu'o noi nanmu cu klama le zdani</w:t>
      </w:r>
    </w:p>
    <w:p w:rsidR="00B72047" w:rsidRDefault="00B72047">
      <w:pPr>
        <w:pStyle w:val="examplescaled"/>
      </w:pPr>
      <w:r>
        <w:tab/>
        <w:t>Frank and George incidentally-who are-men go to-the house.</w:t>
      </w:r>
    </w:p>
    <w:p w:rsidR="00B72047" w:rsidRDefault="00B72047">
      <w:pPr>
        <w:pStyle w:val="examplescaled"/>
      </w:pPr>
      <w:r>
        <w:tab/>
        <w:t>Frank and George, who are men, go to the house.</w:t>
      </w:r>
    </w:p>
    <w:p w:rsidR="00B72047" w:rsidRDefault="00B72047">
      <w:pPr>
        <w:pStyle w:val="resumedafterexample"/>
      </w:pPr>
      <w:r>
        <w:rPr>
          <w:rStyle w:val="htmlcodes"/>
        </w:rPr>
        <w:t>&lt;/pre&gt;&lt;p&gt;</w:t>
      </w:r>
      <w:r>
        <w:t>The presence of “vu'o” here means that the relative clause “noi nanmu”</w:t>
      </w:r>
      <w:r>
        <w:rPr>
          <w:rStyle w:val="deletedparamark"/>
        </w:rPr>
        <w:t xml:space="preserve"> </w:t>
      </w:r>
      <w:r>
        <w:t>extends to the entire logically connected sumti “la frank. .e la djordj.”;</w:t>
      </w:r>
      <w:r>
        <w:rPr>
          <w:rStyle w:val="deletedparamark"/>
        </w:rPr>
        <w:t xml:space="preserve"> </w:t>
      </w:r>
      <w:r>
        <w:t>in other words, both Frank and George are claimed to be men, as the</w:t>
      </w:r>
      <w:r>
        <w:rPr>
          <w:rStyle w:val="deletedparamark"/>
        </w:rPr>
        <w:t xml:space="preserve"> </w:t>
      </w:r>
      <w:r>
        <w:t>colloquial translation shows.</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on complex sumti, Lojban contrasted with English"&gt;</w:t>
      </w:r>
      <w:r>
        <w:rPr>
          <w:rStyle w:val="indexentry"/>
        </w:rPr>
        <w:fldChar w:fldCharType="begin"/>
      </w:r>
      <w:r>
        <w:instrText>xe "</w:instrText>
      </w:r>
      <w:r>
        <w:rPr>
          <w:rStyle w:val="xeentry"/>
        </w:rPr>
        <w:instrText>relative clause on complex sumti: Lojban contrasted with English</w:instrText>
      </w:r>
      <w:r>
        <w:instrText>"</w:instrText>
      </w:r>
      <w:r>
        <w:rPr>
          <w:rStyle w:val="indexentry"/>
        </w:rPr>
        <w:fldChar w:fldCharType="end"/>
      </w:r>
      <w:r>
        <w:t>English is able to resolve the distinction correctly in the case of</w:t>
      </w:r>
      <w:r>
        <w:rPr>
          <w:rStyle w:val="deletedparamark"/>
        </w:rPr>
        <w:t xml:space="preserve"> </w:t>
      </w:r>
      <w:r>
        <w:rPr>
          <w:rStyle w:val="htmlcodes"/>
        </w:rPr>
        <w:t>&lt;a href=#e8d5&gt;</w:t>
      </w:r>
      <w:r>
        <w:t xml:space="preserve">Example 8.5 </w:t>
      </w:r>
      <w:r>
        <w:rPr>
          <w:rStyle w:val="htmlcodes"/>
        </w:rPr>
        <w:t>&lt;/a&gt;</w:t>
      </w:r>
      <w:r>
        <w:t xml:space="preserve">and </w:t>
      </w:r>
      <w:r>
        <w:rPr>
          <w:rStyle w:val="htmlcodes"/>
        </w:rPr>
        <w:t>&lt;a href=#e8d6&gt;</w:t>
      </w:r>
      <w:r>
        <w:t>E</w:t>
      </w:r>
      <w:r>
        <w:t>x</w:t>
      </w:r>
      <w:r>
        <w:softHyphen/>
        <w:t xml:space="preserve">ample 8.6 </w:t>
      </w:r>
      <w:r>
        <w:rPr>
          <w:rStyle w:val="htmlcodes"/>
        </w:rPr>
        <w:t>&lt;/a&gt;</w:t>
      </w:r>
      <w:r>
        <w:t>by making use of number: “who is” rather than</w:t>
      </w:r>
      <w:r>
        <w:rPr>
          <w:rStyle w:val="deletedparamark"/>
        </w:rPr>
        <w:t xml:space="preserve"> “</w:t>
      </w:r>
      <w:r>
        <w:t>who are”. Lojban doesn't di</w:t>
      </w:r>
      <w:r>
        <w:t>s</w:t>
      </w:r>
      <w:r>
        <w:softHyphen/>
        <w:t>tinguish between singular and plural verbs:</w:t>
      </w:r>
      <w:r>
        <w:rPr>
          <w:rStyle w:val="deletedparamark"/>
        </w:rPr>
        <w:t xml:space="preserve"> “</w:t>
      </w:r>
      <w:r>
        <w:t>nanmu” can mean “is a man” or “are men”, so an</w:t>
      </w:r>
      <w:r>
        <w:softHyphen/>
        <w:t>other means is required.</w:t>
      </w:r>
      <w:r>
        <w:rPr>
          <w:rStyle w:val="deletedparamark"/>
        </w:rPr>
        <w:t xml:space="preserve"> </w:t>
      </w:r>
      <w:r>
        <w:t>Furthermore, Lojban's mechanism works cor</w:t>
      </w:r>
      <w:r>
        <w:softHyphen/>
        <w:t>rectly in ge</w:t>
      </w:r>
      <w:r>
        <w:t>n</w:t>
      </w:r>
      <w:r>
        <w:softHyphen/>
        <w:t>eral: if “nanmu”</w:t>
      </w:r>
      <w:r>
        <w:rPr>
          <w:rStyle w:val="deletedparamark"/>
        </w:rPr>
        <w:t xml:space="preserve"> </w:t>
      </w:r>
      <w:r>
        <w:t>(meaning “is-a-man”) were replaced with “pu bajra” (“ran”), English would</w:t>
      </w:r>
      <w:r>
        <w:rPr>
          <w:rStyle w:val="deletedparamark"/>
        </w:rPr>
        <w:t xml:space="preserve"> </w:t>
      </w:r>
      <w:r>
        <w:t>have to make the distinction some other way: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la frank. .e la djordj. noi pu bajra cu klama le zdani</w:t>
      </w:r>
    </w:p>
    <w:p w:rsidR="00B72047" w:rsidRDefault="00B72047">
      <w:pPr>
        <w:pStyle w:val="examplescaled"/>
      </w:pPr>
      <w:r>
        <w:tab/>
        <w:t>Frank and (George who [past] runs) go to-the house.</w:t>
      </w:r>
    </w:p>
    <w:p w:rsidR="00B72047" w:rsidRDefault="00B72047">
      <w:pPr>
        <w:pStyle w:val="examplescaled"/>
      </w:pPr>
      <w:r>
        <w:tab/>
        <w:t>Frank and George, who ran, go to the house.</w:t>
      </w:r>
    </w:p>
    <w:p w:rsidR="00B72047" w:rsidRDefault="00B72047">
      <w:pPr>
        <w:pStyle w:val="examplescaledpre"/>
      </w:pPr>
      <w:r>
        <w:rPr>
          <w:rStyle w:val="htmlcodes"/>
        </w:rPr>
        <w:t>&lt;a name=e8d8&gt;</w:t>
      </w:r>
      <w:r>
        <w:t>8.8)</w:t>
      </w:r>
      <w:r>
        <w:tab/>
        <w:t>la frank. .e la djordj. vu'o noi pu bajra cu klama le zdani</w:t>
      </w:r>
    </w:p>
    <w:p w:rsidR="00B72047" w:rsidRDefault="00B72047">
      <w:pPr>
        <w:pStyle w:val="examplescaled"/>
      </w:pPr>
      <w:r>
        <w:tab/>
        <w:t>(Frank and George) who [past] runs go to-the house.</w:t>
      </w:r>
    </w:p>
    <w:p w:rsidR="00B72047" w:rsidRDefault="00B72047">
      <w:pPr>
        <w:pStyle w:val="examplescaled"/>
      </w:pPr>
      <w:r>
        <w:tab/>
        <w:t>Frank and George, who ran, go to the house.</w:t>
      </w:r>
    </w:p>
    <w:p w:rsidR="00B72047" w:rsidRDefault="00B72047">
      <w:pPr>
        <w:pStyle w:val="resumedafterexample"/>
      </w:pPr>
      <w:r>
        <w:rPr>
          <w:rStyle w:val="htmlcodes"/>
        </w:rPr>
        <w:t>&lt;/pre&gt;&lt;p&gt;</w:t>
      </w:r>
      <w:r>
        <w:t>In spoken English, tone of voice would serve; in written English, one or</w:t>
      </w:r>
      <w:r>
        <w:rPr>
          <w:rStyle w:val="deletedparamark"/>
        </w:rPr>
        <w:t xml:space="preserve"> </w:t>
      </w:r>
      <w:r>
        <w:t>both sentences would need rewriting.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304" w:name="_Toc398970551"/>
      <w:r>
        <w:rPr>
          <w:rStyle w:val="Heading3Text"/>
        </w:rPr>
        <w:t>Relative clauses in vocative phrases</w:t>
      </w:r>
      <w:bookmarkEnd w:id="30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"COI"&gt;</w:t>
      </w:r>
      <w:r>
        <w:rPr>
          <w:rStyle w:val="indexentry"/>
        </w:rPr>
        <w:fldChar w:fldCharType="begin"/>
      </w:r>
      <w:r>
        <w:instrText>xe "</w:instrText>
      </w:r>
      <w:r>
        <w:rPr>
          <w:rStyle w:val="xeentry"/>
        </w:rPr>
        <w:instrText>COI selma’o</w:instrText>
      </w:r>
      <w:r>
        <w:instrText>"</w:instrText>
      </w:r>
      <w:r>
        <w:rPr>
          <w:rStyle w:val="indexentry"/>
        </w:rPr>
        <w:fldChar w:fldCharType="end"/>
      </w:r>
      <w:r>
        <w:rPr>
          <w:rStyle w:val="indexentry"/>
        </w:rPr>
        <w:t>&lt;lx "DOI"&gt;</w:t>
      </w:r>
      <w:r>
        <w:rPr>
          <w:rStyle w:val="indexentry"/>
        </w:rPr>
        <w:fldChar w:fldCharType="begin"/>
      </w:r>
      <w:r>
        <w:instrText>xe "</w:instrText>
      </w:r>
      <w:r>
        <w:rPr>
          <w:rStyle w:val="xeentry"/>
        </w:rPr>
        <w:instrText>DOI selma’o</w:instrText>
      </w:r>
      <w:r>
        <w:instrText>"</w:instrText>
      </w:r>
      <w:r>
        <w:rPr>
          <w:rStyle w:val="indexentry"/>
        </w:rPr>
        <w:fldChar w:fldCharType="end"/>
      </w:r>
      <w:r>
        <w:t xml:space="preserve">Vocative phrases are explained in more detail in </w:t>
      </w:r>
      <w:r>
        <w:rPr>
          <w:rStyle w:val="htmlcodes"/>
        </w:rPr>
        <w:t>&lt;a href=chap6.html&gt;</w:t>
      </w:r>
      <w:r>
        <w:t>Chapter 6</w:t>
      </w:r>
      <w:r>
        <w:rPr>
          <w:rStyle w:val="htmlcodes"/>
        </w:rPr>
        <w:t>&lt;/a&gt;</w:t>
      </w:r>
      <w:r>
        <w:t>. Briefly,</w:t>
      </w:r>
      <w:r>
        <w:rPr>
          <w:rStyle w:val="deletedparamark"/>
        </w:rPr>
        <w:t xml:space="preserve"> </w:t>
      </w:r>
      <w:r>
        <w:t>they are a method of indicating who a sentence or discourse</w:t>
      </w:r>
      <w:r>
        <w:rPr>
          <w:rStyle w:val="deletedparamark"/>
        </w:rPr>
        <w:t xml:space="preserve"> </w:t>
      </w:r>
      <w:r>
        <w:t>is addressed to: of identifying the i</w:t>
      </w:r>
      <w:r>
        <w:t>n</w:t>
      </w:r>
      <w:r>
        <w:softHyphen/>
        <w:t>tended listener. They</w:t>
      </w:r>
      <w:r>
        <w:rPr>
          <w:rStyle w:val="deletedparamark"/>
        </w:rPr>
        <w:t xml:space="preserve"> </w:t>
      </w:r>
      <w:r>
        <w:t>take three general forms, all beginning with cmavo from sel</w:t>
      </w:r>
      <w:r>
        <w:softHyphen/>
        <w:t>ma'o</w:t>
      </w:r>
      <w:r>
        <w:rPr>
          <w:rStyle w:val="deletedparamark"/>
        </w:rPr>
        <w:t xml:space="preserve"> </w:t>
      </w:r>
      <w:r>
        <w:t>COI or DOI (called “vocative words”; there can be one or many),</w:t>
      </w:r>
      <w:r>
        <w:rPr>
          <w:rStyle w:val="deletedparamark"/>
        </w:rPr>
        <w:t xml:space="preserve"> </w:t>
      </w:r>
      <w:r>
        <w:t>followed by ei</w:t>
      </w:r>
      <w:r>
        <w:softHyphen/>
        <w:t>ther a name, a selbri, or a sumti. Here are three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coi. frank.</w:t>
      </w:r>
    </w:p>
    <w:p w:rsidR="00B72047" w:rsidRDefault="00B72047">
      <w:pPr>
        <w:pStyle w:val="examplescaled"/>
      </w:pPr>
      <w:r>
        <w:tab/>
        <w:t>Hello, Frank.</w:t>
      </w:r>
    </w:p>
    <w:p w:rsidR="00B72047" w:rsidRDefault="00B72047">
      <w:pPr>
        <w:pStyle w:val="examplescaledpre"/>
      </w:pPr>
      <w:r>
        <w:rPr>
          <w:rStyle w:val="htmlcodes"/>
        </w:rPr>
        <w:t>&lt;a name=e9d2&gt;</w:t>
      </w:r>
      <w:r>
        <w:t>9.2)</w:t>
      </w:r>
      <w:r>
        <w:tab/>
        <w:t>co'o xirma</w:t>
      </w:r>
    </w:p>
    <w:p w:rsidR="00B72047" w:rsidRDefault="00B72047">
      <w:pPr>
        <w:pStyle w:val="examplescaled"/>
      </w:pPr>
      <w:r>
        <w:tab/>
        <w:t>Goodbye, horse.</w:t>
      </w:r>
    </w:p>
    <w:p w:rsidR="00B72047" w:rsidRDefault="00B72047">
      <w:pPr>
        <w:pStyle w:val="examplescaledpre"/>
      </w:pPr>
      <w:r>
        <w:rPr>
          <w:rStyle w:val="htmlcodes"/>
        </w:rPr>
        <w:t>&lt;a name=e9d3&gt;</w:t>
      </w:r>
      <w:r>
        <w:t>9.3)</w:t>
      </w:r>
      <w:r>
        <w:tab/>
        <w:t>fi'i la frank. .e la djordj.</w:t>
      </w:r>
    </w:p>
    <w:p w:rsidR="00B72047" w:rsidRDefault="00B72047">
      <w:pPr>
        <w:pStyle w:val="examplescaled"/>
      </w:pPr>
      <w:r>
        <w:tab/>
        <w:t>Welcome, Frank and George!</w:t>
      </w:r>
    </w:p>
    <w:p w:rsidR="00B72047" w:rsidRDefault="00B72047">
      <w:pPr>
        <w:pStyle w:val="resumedafterexample"/>
      </w:pPr>
      <w:r>
        <w:rPr>
          <w:rStyle w:val="htmlcodes"/>
        </w:rPr>
        <w:t>&lt;/pre&gt;&lt;p&gt;</w:t>
      </w:r>
      <w:r>
        <w:t xml:space="preserve">Note that </w:t>
      </w:r>
      <w:r>
        <w:rPr>
          <w:rStyle w:val="htmlcodes"/>
        </w:rPr>
        <w:t>&lt;a href=#e9d2&gt;</w:t>
      </w:r>
      <w:r>
        <w:t xml:space="preserve">Example 9.2 </w:t>
      </w:r>
      <w:r>
        <w:rPr>
          <w:rStyle w:val="htmlcodes"/>
        </w:rPr>
        <w:t>&lt;/a&gt;</w:t>
      </w:r>
      <w:r>
        <w:t>says farewell to something which doesn't really</w:t>
      </w:r>
      <w:r>
        <w:rPr>
          <w:rStyle w:val="deletedparamark"/>
        </w:rPr>
        <w:t xml:space="preserve"> </w:t>
      </w:r>
      <w:r>
        <w:t>have to be a horse, something that the speaker simply thinks of as</w:t>
      </w:r>
      <w:r>
        <w:rPr>
          <w:rStyle w:val="deletedparamark"/>
        </w:rPr>
        <w:t xml:space="preserve"> </w:t>
      </w:r>
      <w:r>
        <w:t>being a horse, or even might be something (a person, for exam</w:t>
      </w:r>
      <w:r>
        <w:softHyphen/>
        <w:t>ple)</w:t>
      </w:r>
      <w:r>
        <w:rPr>
          <w:rStyle w:val="deletedparamark"/>
        </w:rPr>
        <w:t xml:space="preserve"> </w:t>
      </w:r>
      <w:r>
        <w:t xml:space="preserve">who is named “Horse”. In a sense, </w:t>
      </w:r>
      <w:r>
        <w:rPr>
          <w:rStyle w:val="htmlcodes"/>
        </w:rPr>
        <w:t>&lt;a href=#e9d2&gt;</w:t>
      </w:r>
      <w:r>
        <w:t xml:space="preserve">Example 9.2 </w:t>
      </w:r>
      <w:r>
        <w:rPr>
          <w:rStyle w:val="htmlcodes"/>
        </w:rPr>
        <w:t>&lt;/a&gt;</w:t>
      </w:r>
      <w:r>
        <w:t>is ambiguous between</w:t>
      </w:r>
      <w:r>
        <w:rPr>
          <w:rStyle w:val="deletedparamark"/>
        </w:rPr>
        <w:t xml:space="preserve"> “</w:t>
      </w:r>
      <w:r>
        <w:t>co'o le xirma” and “co'o la xirma”, a relatively safe semantic</w:t>
      </w:r>
      <w:r>
        <w:rPr>
          <w:rStyle w:val="deletedparamark"/>
        </w:rPr>
        <w:t xml:space="preserve"> </w:t>
      </w:r>
      <w:r>
        <w:t>am</w:t>
      </w:r>
      <w:r>
        <w:softHyphen/>
        <w:t>biguity, since names are ambiguous in general: saying “George” doesn't</w:t>
      </w:r>
      <w:r>
        <w:rPr>
          <w:rStyle w:val="deletedparamark"/>
        </w:rPr>
        <w:t xml:space="preserve"> </w:t>
      </w:r>
      <w:r>
        <w:t>distinguish between the poss</w:t>
      </w:r>
      <w:r>
        <w:t>i</w:t>
      </w:r>
      <w:r>
        <w:softHyphen/>
        <w:t>ble Georges.</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 xml:space="preserve">Similarly, </w:t>
      </w:r>
      <w:r>
        <w:rPr>
          <w:rStyle w:val="htmlcodes"/>
        </w:rPr>
        <w:t>&lt;a href=#e9d1&gt;</w:t>
      </w:r>
      <w:r>
        <w:t xml:space="preserve">Example 9.1 </w:t>
      </w:r>
      <w:r>
        <w:rPr>
          <w:rStyle w:val="htmlcodes"/>
        </w:rPr>
        <w:t>&lt;/a&gt;</w:t>
      </w:r>
      <w:r>
        <w:t>can be thought of as an abbreviation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coi la frank.</w:t>
      </w:r>
    </w:p>
    <w:p w:rsidR="00B72047" w:rsidRDefault="00B72047">
      <w:pPr>
        <w:pStyle w:val="examplescaled"/>
      </w:pPr>
      <w:r>
        <w:tab/>
        <w:t>Hello, the-one-named “Frank”.</w:t>
      </w:r>
    </w:p>
    <w:p w:rsidR="00B72047" w:rsidRDefault="00B72047">
      <w:pPr>
        <w:pStyle w:val="normalafterexample"/>
      </w:pPr>
      <w:r>
        <w:rPr>
          <w:rStyle w:val="htmlcodes"/>
        </w:rPr>
        <w:t>&lt;/pre&gt;&lt;p&gt;</w:t>
      </w:r>
      <w:r>
        <w:t>Syntactically, vocative phrases are a kind of free modifier,</w:t>
      </w:r>
      <w:r>
        <w:rPr>
          <w:rStyle w:val="deletedparamark"/>
        </w:rPr>
        <w:t xml:space="preserve"> </w:t>
      </w:r>
      <w:r>
        <w:t>and can appear in many places in Lojban text, generally at</w:t>
      </w:r>
      <w:r>
        <w:rPr>
          <w:rStyle w:val="deletedparamark"/>
        </w:rPr>
        <w:t xml:space="preserve"> </w:t>
      </w:r>
      <w:r>
        <w:t>the begin</w:t>
      </w:r>
      <w:r>
        <w:softHyphen/>
        <w:t>ning or end of some complete con</w:t>
      </w:r>
      <w:r>
        <w:softHyphen/>
        <w:t>struct; or, as in</w:t>
      </w:r>
      <w:r>
        <w:rPr>
          <w:rStyle w:val="deletedparamark"/>
        </w:rPr>
        <w:t xml:space="preserve"> </w:t>
      </w:r>
      <w:r>
        <w:rPr>
          <w:rStyle w:val="htmlcodes"/>
        </w:rPr>
        <w:t>&lt;a href=#e9d{1}&gt;</w:t>
      </w:r>
      <w:r>
        <w:t xml:space="preserve">Examples 9.1 </w:t>
      </w:r>
      <w:r>
        <w:rPr>
          <w:rStyle w:val="htmlcodes"/>
        </w:rPr>
        <w:t>&lt;/a&gt;</w:t>
      </w:r>
      <w:r>
        <w:t xml:space="preserve">to </w:t>
      </w:r>
      <w:r>
        <w:rPr>
          <w:rStyle w:val="htmlcodes"/>
        </w:rPr>
        <w:t>&lt;a href=#e9d3&gt;</w:t>
      </w:r>
      <w:r>
        <w:t>9.3</w:t>
      </w:r>
      <w:r>
        <w:rPr>
          <w:rStyle w:val="htmlcodes"/>
        </w:rPr>
        <w:t>&lt;/a&gt;</w:t>
      </w:r>
      <w:r>
        <w:t>, as sentences by themselves.</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on vocative phrases"&gt;</w:t>
      </w:r>
      <w:r>
        <w:rPr>
          <w:rStyle w:val="indexentry"/>
        </w:rPr>
        <w:fldChar w:fldCharType="begin"/>
      </w:r>
      <w:r>
        <w:instrText>xe "</w:instrText>
      </w:r>
      <w:r>
        <w:rPr>
          <w:rStyle w:val="xeentry"/>
        </w:rPr>
        <w:instrText>relative clause: on vocative phrases</w:instrText>
      </w:r>
      <w:r>
        <w:instrText>"</w:instrText>
      </w:r>
      <w:r>
        <w:rPr>
          <w:rStyle w:val="indexentry"/>
        </w:rPr>
        <w:fldChar w:fldCharType="end"/>
      </w:r>
      <w:r>
        <w:rPr>
          <w:rStyle w:val="indexentry"/>
        </w:rPr>
        <w:t>&lt;cx "vocative phrases, relative clauses on"&gt;</w:t>
      </w:r>
      <w:r>
        <w:rPr>
          <w:rStyle w:val="indexentry"/>
        </w:rPr>
        <w:fldChar w:fldCharType="begin"/>
      </w:r>
      <w:r>
        <w:instrText>xe "</w:instrText>
      </w:r>
      <w:r>
        <w:rPr>
          <w:rStyle w:val="xeentry"/>
        </w:rPr>
        <w:instrText>vocative phrase: relative clauses on</w:instrText>
      </w:r>
      <w:r>
        <w:instrText>"</w:instrText>
      </w:r>
      <w:r>
        <w:rPr>
          <w:rStyle w:val="indexentry"/>
        </w:rPr>
        <w:fldChar w:fldCharType="end"/>
      </w:r>
      <w:r>
        <w:rPr>
          <w:rStyle w:val="indexentry"/>
        </w:rPr>
        <w:t>&lt;cx "relative clauses, placement with vocative phrases"&gt;</w:t>
      </w:r>
      <w:r>
        <w:rPr>
          <w:rStyle w:val="indexentry"/>
        </w:rPr>
        <w:fldChar w:fldCharType="begin"/>
      </w:r>
      <w:r>
        <w:instrText>xe "</w:instrText>
      </w:r>
      <w:r>
        <w:rPr>
          <w:rStyle w:val="xeentry"/>
        </w:rPr>
        <w:instrText>relative clause: placement with vocative phrases</w:instrText>
      </w:r>
      <w:r>
        <w:instrText>"</w:instrText>
      </w:r>
      <w:r>
        <w:rPr>
          <w:rStyle w:val="indexentry"/>
        </w:rPr>
        <w:fldChar w:fldCharType="end"/>
      </w:r>
      <w:r>
        <w:rPr>
          <w:rStyle w:val="indexentry"/>
        </w:rPr>
        <w:t>&lt;cx "vocative phrase with name, placement of relative clause on"&gt;</w:t>
      </w:r>
      <w:r>
        <w:rPr>
          <w:rStyle w:val="indexentry"/>
        </w:rPr>
        <w:fldChar w:fldCharType="begin"/>
      </w:r>
      <w:r>
        <w:instrText>xe "</w:instrText>
      </w:r>
      <w:r>
        <w:rPr>
          <w:rStyle w:val="xeentry"/>
        </w:rPr>
        <w:instrText>vocative phrase with name: placement of relative clause on</w:instrText>
      </w:r>
      <w:r>
        <w:instrText>"</w:instrText>
      </w:r>
      <w:r>
        <w:rPr>
          <w:rStyle w:val="indexentry"/>
        </w:rPr>
        <w:fldChar w:fldCharType="end"/>
      </w:r>
      <w:r>
        <w:t>As can be seen, the form of vocative phrases is similar to</w:t>
      </w:r>
      <w:r>
        <w:rPr>
          <w:rStyle w:val="deletedparamark"/>
        </w:rPr>
        <w:t xml:space="preserve"> </w:t>
      </w:r>
      <w:r>
        <w:t>that of sumti, and as you might expect, vocative phrases</w:t>
      </w:r>
      <w:r>
        <w:rPr>
          <w:rStyle w:val="deletedparamark"/>
        </w:rPr>
        <w:t xml:space="preserve"> </w:t>
      </w:r>
      <w:r>
        <w:t>allow rela</w:t>
      </w:r>
      <w:r>
        <w:softHyphen/>
        <w:t>tive clauses in various places. In vocative phrases</w:t>
      </w:r>
      <w:r>
        <w:rPr>
          <w:rStyle w:val="deletedparamark"/>
        </w:rPr>
        <w:t xml:space="preserve"> </w:t>
      </w:r>
      <w:r>
        <w:t>which are simple names (after the vocative words), any relative</w:t>
      </w:r>
      <w:r>
        <w:rPr>
          <w:rStyle w:val="deletedparamark"/>
        </w:rPr>
        <w:t xml:space="preserve"> </w:t>
      </w:r>
      <w:r>
        <w:t>clauses must come just after the names: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coi. frank. poi xunre se bende</w:t>
      </w:r>
    </w:p>
    <w:p w:rsidR="00B72047" w:rsidRDefault="00B72047">
      <w:pPr>
        <w:pStyle w:val="examplescaled"/>
      </w:pPr>
      <w:r>
        <w:tab/>
        <w:t>Hello, Frank who is-a-red team-member</w:t>
      </w:r>
    </w:p>
    <w:p w:rsidR="00B72047" w:rsidRDefault="00B72047">
      <w:pPr>
        <w:pStyle w:val="examplescaled"/>
      </w:pPr>
      <w:r>
        <w:tab/>
        <w:t>Hello, Frank from the Red Team!</w:t>
      </w:r>
    </w:p>
    <w:p w:rsidR="00B72047" w:rsidRDefault="00B72047">
      <w:pPr>
        <w:pStyle w:val="resumedafterexample"/>
      </w:pPr>
      <w:r>
        <w:rPr>
          <w:rStyle w:val="htmlcodes"/>
        </w:rPr>
        <w:t>&lt;/pre&gt;&lt;p&gt;</w:t>
      </w:r>
      <w:r>
        <w:t xml:space="preserve">The restrictive relative clause in </w:t>
      </w:r>
      <w:r>
        <w:rPr>
          <w:rStyle w:val="htmlcodes"/>
        </w:rPr>
        <w:t>&lt;a href=#e9d5&gt;</w:t>
      </w:r>
      <w:r>
        <w:t xml:space="preserve">Example 9.5 </w:t>
      </w:r>
      <w:r>
        <w:rPr>
          <w:rStyle w:val="htmlcodes"/>
        </w:rPr>
        <w:t>&lt;/a&gt;</w:t>
      </w:r>
      <w:r>
        <w:t>suggests that there is</w:t>
      </w:r>
      <w:r>
        <w:rPr>
          <w:rStyle w:val="deletedparamark"/>
        </w:rPr>
        <w:t xml:space="preserve"> </w:t>
      </w:r>
      <w:r>
        <w:t>some other Frank (perhaps on the Green Team) from whom this</w:t>
      </w:r>
      <w:r>
        <w:rPr>
          <w:rStyle w:val="deletedparamark"/>
        </w:rPr>
        <w:t xml:space="preserve"> </w:t>
      </w:r>
      <w:r>
        <w:t>Frank, the one the speaker is greeting, must be distinguished.</w:t>
      </w:r>
    </w:p>
    <w:p w:rsidR="00B72047" w:rsidRDefault="00B72047">
      <w:pPr>
        <w:rPr>
          <w:rStyle w:val="htmlparacode"/>
        </w:rPr>
      </w:pPr>
      <w:r>
        <w:rPr>
          <w:rStyle w:val="htmlparacode"/>
        </w:rPr>
        <w:t>&lt;p&gt;</w:t>
      </w:r>
    </w:p>
    <w:p w:rsidR="00B72047" w:rsidRDefault="00B72047">
      <w:pPr>
        <w:pStyle w:val="normalparagraph"/>
      </w:pPr>
      <w:r>
        <w:rPr>
          <w:rStyle w:val="indexentry"/>
        </w:rPr>
        <w:t>&lt;cx "vocative phrase with selbri, placement of relative clause on"&gt;</w:t>
      </w:r>
      <w:r>
        <w:rPr>
          <w:rStyle w:val="indexentry"/>
        </w:rPr>
        <w:fldChar w:fldCharType="begin"/>
      </w:r>
      <w:r>
        <w:instrText>xe "</w:instrText>
      </w:r>
      <w:r>
        <w:rPr>
          <w:rStyle w:val="xeentry"/>
        </w:rPr>
        <w:instrText>vocative phrase with selbri: placement of relative clause on</w:instrText>
      </w:r>
      <w:r>
        <w:instrText>"</w:instrText>
      </w:r>
      <w:r>
        <w:rPr>
          <w:rStyle w:val="indexentry"/>
        </w:rPr>
        <w:fldChar w:fldCharType="end"/>
      </w:r>
      <w:r>
        <w:t>A vocative phrase containing a selbri can have relative clauses either before</w:t>
      </w:r>
      <w:r>
        <w:rPr>
          <w:rStyle w:val="deletedparamark"/>
        </w:rPr>
        <w:t xml:space="preserve"> </w:t>
      </w:r>
      <w:r>
        <w:t>or after the selbri; both forms have the same meaning. 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name=e9d6&gt;</w:t>
      </w:r>
      <w:r>
        <w:t>9.6)</w:t>
      </w:r>
      <w:r>
        <w:tab/>
        <w:t>co'o poi mi zvati ke'a ku'o xirma</w:t>
      </w:r>
    </w:p>
    <w:p w:rsidR="00B72047" w:rsidRDefault="00B72047">
      <w:pPr>
        <w:pStyle w:val="examplescaled"/>
      </w:pPr>
      <w:r>
        <w:tab/>
        <w:t>Goodbye, such-that-(I am-at IT) horse</w:t>
      </w:r>
    </w:p>
    <w:p w:rsidR="00B72047" w:rsidRDefault="00B72047">
      <w:pPr>
        <w:pStyle w:val="examplescaled"/>
      </w:pPr>
      <w:r>
        <w:tab/>
        <w:t>Goodbye, horse where I am!</w:t>
      </w:r>
    </w:p>
    <w:p w:rsidR="00B72047" w:rsidRDefault="00B72047">
      <w:pPr>
        <w:pStyle w:val="examplescaledpre"/>
      </w:pPr>
      <w:r>
        <w:rPr>
          <w:rStyle w:val="htmlcodes"/>
        </w:rPr>
        <w:t>&lt;a name=e9d7&gt;</w:t>
      </w:r>
      <w:r>
        <w:t>9.7)</w:t>
      </w:r>
      <w:r>
        <w:tab/>
        <w:t>co'o xirma poi mi zvati</w:t>
      </w:r>
    </w:p>
    <w:p w:rsidR="00B72047" w:rsidRDefault="00B72047">
      <w:pPr>
        <w:pStyle w:val="examplescaled"/>
      </w:pPr>
      <w:r>
        <w:tab/>
        <w:t>Goodbye, horse such-that-(I am-at-it).</w:t>
      </w:r>
    </w:p>
    <w:p w:rsidR="00B72047" w:rsidRDefault="00B72047">
      <w:pPr>
        <w:pStyle w:val="resumedafterexample"/>
      </w:pPr>
      <w:r>
        <w:rPr>
          <w:rStyle w:val="htmlcodes"/>
        </w:rPr>
        <w:t>&lt;/pre&gt;&lt;a href=#e9d6&gt;</w:t>
      </w:r>
      <w:r>
        <w:t xml:space="preserve">Example 9.6 </w:t>
      </w:r>
      <w:r>
        <w:rPr>
          <w:rStyle w:val="htmlcodes"/>
        </w:rPr>
        <w:t>&lt;/a&gt;</w:t>
      </w:r>
      <w:r>
        <w:t xml:space="preserve">and </w:t>
      </w:r>
      <w:r>
        <w:rPr>
          <w:rStyle w:val="htmlcodes"/>
        </w:rPr>
        <w:t>&lt;a href=#e9d7&gt;</w:t>
      </w:r>
      <w:r>
        <w:t xml:space="preserve">Example 9.7 </w:t>
      </w:r>
      <w:r>
        <w:rPr>
          <w:rStyle w:val="htmlcodes"/>
        </w:rPr>
        <w:t>&lt;/a&gt;</w:t>
      </w:r>
      <w:r>
        <w:t>mean the same thing. In fact, relative clauses</w:t>
      </w:r>
      <w:r>
        <w:rPr>
          <w:rStyle w:val="deletedparamark"/>
        </w:rPr>
        <w:t xml:space="preserve"> </w:t>
      </w:r>
      <w:r>
        <w:t>can appear in both places.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305" w:name="_Toc398970552"/>
      <w:r>
        <w:rPr>
          <w:rStyle w:val="Heading3Text"/>
        </w:rPr>
        <w:t>Relative clauses within relative clauses</w:t>
      </w:r>
      <w:bookmarkEnd w:id="30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relative clauses within"&gt;</w:t>
      </w:r>
      <w:r>
        <w:rPr>
          <w:rStyle w:val="indexentry"/>
        </w:rPr>
        <w:fldChar w:fldCharType="begin"/>
      </w:r>
      <w:r>
        <w:instrText>xe "</w:instrText>
      </w:r>
      <w:r>
        <w:rPr>
          <w:rStyle w:val="xeentry"/>
        </w:rPr>
        <w:instrText>relative clause: relative clauses within</w:instrText>
      </w:r>
      <w:r>
        <w:instrText>"</w:instrText>
      </w:r>
      <w:r>
        <w:rPr>
          <w:rStyle w:val="indexentry"/>
        </w:rPr>
        <w:fldChar w:fldCharType="end"/>
      </w:r>
      <w:r>
        <w:t>For the most part, these are straightforward and uncompli</w:t>
      </w:r>
      <w:r>
        <w:softHyphen/>
        <w:t>cated: a sumti</w:t>
      </w:r>
      <w:r>
        <w:rPr>
          <w:rStyle w:val="deletedparamark"/>
        </w:rPr>
        <w:t xml:space="preserve"> </w:t>
      </w:r>
      <w:r>
        <w:t>that is part of a relative clause bridi may itself be modi</w:t>
      </w:r>
      <w:r>
        <w:softHyphen/>
        <w:t>fied by a</w:t>
      </w:r>
      <w:r>
        <w:rPr>
          <w:rStyle w:val="deletedparamark"/>
        </w:rPr>
        <w:t xml:space="preserve"> </w:t>
      </w:r>
      <w:r>
        <w:t>relative clause: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le prenu poi zvati le kumfa poi blanu cu masno</w:t>
      </w:r>
    </w:p>
    <w:p w:rsidR="00B72047" w:rsidRDefault="00B72047">
      <w:pPr>
        <w:pStyle w:val="examplescaled"/>
      </w:pPr>
      <w:r>
        <w:tab/>
        <w:t>The person who is-in the room which is-blue is-slow.</w:t>
      </w:r>
    </w:p>
    <w:p w:rsidR="00B72047" w:rsidRDefault="00B72047">
      <w:pPr>
        <w:pStyle w:val="normalafterexample"/>
      </w:pPr>
      <w:r>
        <w:rPr>
          <w:rStyle w:val="htmlcodes"/>
        </w:rPr>
        <w:t>&lt;/pre&gt;</w:t>
      </w:r>
      <w:r>
        <w:rPr>
          <w:rStyle w:val="indexentry"/>
        </w:rPr>
        <w:t>&lt;cx "ke'a, meaning in relative clause inside relative clause"&gt;</w:t>
      </w:r>
      <w:r>
        <w:rPr>
          <w:rStyle w:val="indexentry"/>
        </w:rPr>
        <w:fldChar w:fldCharType="begin"/>
      </w:r>
      <w:r>
        <w:instrText>xe "</w:instrText>
      </w:r>
      <w:r>
        <w:rPr>
          <w:rStyle w:val="xeentry"/>
        </w:rPr>
        <w:instrText>ke'a: meaning in relative clause inside relative clause</w:instrText>
      </w:r>
      <w:r>
        <w:instrText>"</w:instrText>
      </w:r>
      <w:r>
        <w:rPr>
          <w:rStyle w:val="indexentry"/>
        </w:rPr>
        <w:fldChar w:fldCharType="end"/>
      </w:r>
      <w:r>
        <w:rPr>
          <w:rStyle w:val="indexentry"/>
        </w:rPr>
        <w:t>&lt;cx "relativized sumti, in relative clauses within relative clauses"&gt;</w:t>
      </w:r>
      <w:r>
        <w:rPr>
          <w:rStyle w:val="indexentry"/>
        </w:rPr>
        <w:fldChar w:fldCharType="begin"/>
      </w:r>
      <w:r>
        <w:instrText>xe "</w:instrText>
      </w:r>
      <w:r>
        <w:rPr>
          <w:rStyle w:val="xeentry"/>
        </w:rPr>
        <w:instrText>relativized sumti: in relative clauses within relative clauses</w:instrText>
      </w:r>
      <w:r>
        <w:instrText>"</w:instrText>
      </w:r>
      <w:r>
        <w:rPr>
          <w:rStyle w:val="indexentry"/>
        </w:rPr>
        <w:fldChar w:fldCharType="end"/>
      </w:r>
      <w:r>
        <w:rPr>
          <w:rStyle w:val="indexentry"/>
        </w:rPr>
        <w:t>&lt;cx "outer sumti, referring to from within relative clause within relative clause"&gt;</w:t>
      </w:r>
      <w:r>
        <w:rPr>
          <w:rStyle w:val="indexentry"/>
        </w:rPr>
        <w:fldChar w:fldCharType="begin"/>
      </w:r>
      <w:r>
        <w:instrText>xe "</w:instrText>
      </w:r>
      <w:r>
        <w:rPr>
          <w:rStyle w:val="xeentry"/>
        </w:rPr>
        <w:instrText>outer sumti: referring to from within relative clause within relative clause</w:instrText>
      </w:r>
      <w:r>
        <w:instrText>"</w:instrText>
      </w:r>
      <w:r>
        <w:rPr>
          <w:rStyle w:val="indexentry"/>
        </w:rPr>
        <w:fldChar w:fldCharType="end"/>
      </w:r>
      <w:r>
        <w:rPr>
          <w:rStyle w:val="indexentry"/>
        </w:rPr>
        <w:t>&lt;cx "inner sumti, referring to from within relative clause within relative clause"&gt;</w:t>
      </w:r>
      <w:r>
        <w:rPr>
          <w:rStyle w:val="indexentry"/>
        </w:rPr>
        <w:fldChar w:fldCharType="begin"/>
      </w:r>
      <w:r>
        <w:instrText>xe "</w:instrText>
      </w:r>
      <w:r>
        <w:rPr>
          <w:rStyle w:val="xeentry"/>
        </w:rPr>
        <w:instrText>inner sumti: referring to from within relative clause within relative clause</w:instrText>
      </w:r>
      <w:r>
        <w:instrText>"</w:instrText>
      </w:r>
      <w:r>
        <w:rPr>
          <w:rStyle w:val="indexentry"/>
        </w:rPr>
        <w:fldChar w:fldCharType="end"/>
      </w:r>
      <w:r>
        <w:rPr>
          <w:rStyle w:val="indexentry"/>
        </w:rPr>
        <w:t>&lt;cx "subscripts, use with ke'a for outer sumti reference"&gt;</w:t>
      </w:r>
      <w:r>
        <w:rPr>
          <w:rStyle w:val="indexentry"/>
        </w:rPr>
        <w:fldChar w:fldCharType="begin"/>
      </w:r>
      <w:r>
        <w:instrText>xe "</w:instrText>
      </w:r>
      <w:r>
        <w:rPr>
          <w:rStyle w:val="xeentry"/>
        </w:rPr>
        <w:instrText>subscripts: use with ke'a for outer sumti reference</w:instrText>
      </w:r>
      <w:r>
        <w:instrText>"</w:instrText>
      </w:r>
      <w:r>
        <w:rPr>
          <w:rStyle w:val="indexentry"/>
        </w:rPr>
        <w:fldChar w:fldCharType="end"/>
      </w:r>
      <w:r>
        <w:rPr>
          <w:rStyle w:val="indexentry"/>
        </w:rPr>
        <w:t>&lt;cx "ke'a with subscript, use for outer sumti reference"&gt;</w:t>
      </w:r>
      <w:r>
        <w:rPr>
          <w:rStyle w:val="indexentry"/>
        </w:rPr>
        <w:fldChar w:fldCharType="begin"/>
      </w:r>
      <w:r>
        <w:instrText>xe "</w:instrText>
      </w:r>
      <w:r>
        <w:rPr>
          <w:rStyle w:val="xeentry"/>
        </w:rPr>
        <w:instrText>ke'a with subscript: use for outer sumti reference</w:instrText>
      </w:r>
      <w:r>
        <w:instrText>"</w:instrText>
      </w:r>
      <w:r>
        <w:rPr>
          <w:rStyle w:val="indexentry"/>
        </w:rPr>
        <w:fldChar w:fldCharType="end"/>
      </w:r>
      <w:r>
        <w:t>However, an ambiguity can exist if “ke'a” is used in a relative clause</w:t>
      </w:r>
      <w:r>
        <w:rPr>
          <w:rStyle w:val="deletedparamark"/>
        </w:rPr>
        <w:t xml:space="preserve"> </w:t>
      </w:r>
      <w:r>
        <w:t>within a relative clause: does it refer to the outermost sumti, or to</w:t>
      </w:r>
      <w:r>
        <w:rPr>
          <w:rStyle w:val="deletedparamark"/>
        </w:rPr>
        <w:t xml:space="preserve"> </w:t>
      </w:r>
      <w:r>
        <w:t>the sumti within the outer relative clause to which the inner relative</w:t>
      </w:r>
      <w:r>
        <w:rPr>
          <w:rStyle w:val="deletedparamark"/>
        </w:rPr>
        <w:t xml:space="preserve"> </w:t>
      </w:r>
      <w:r>
        <w:t>clause is attached? The latter. To refer to the former, use a sub</w:t>
      </w:r>
      <w:r>
        <w:softHyphen/>
        <w:t>script</w:t>
      </w:r>
      <w:r>
        <w:rPr>
          <w:rStyle w:val="deletedparamark"/>
        </w:rPr>
        <w:t xml:space="preserve"> </w:t>
      </w:r>
      <w:r>
        <w:t>on “ke'a”:</w:t>
      </w:r>
    </w:p>
    <w:p w:rsidR="00B72047" w:rsidRDefault="00B72047">
      <w:pPr>
        <w:rPr>
          <w:rStyle w:val="htmlparacode"/>
        </w:rPr>
      </w:pPr>
      <w:r>
        <w:rPr>
          <w:rStyle w:val="htmlparacode"/>
        </w:rPr>
        <w:t>&lt;p&gt;</w:t>
      </w:r>
    </w:p>
    <w:p w:rsidR="00B72047" w:rsidRDefault="00B72047">
      <w:pPr>
        <w:pStyle w:val="examplescaledpre"/>
      </w:pPr>
      <w:r>
        <w:rPr>
          <w:rStyle w:val="indexentry"/>
        </w:rPr>
        <w:t>&lt;ex "room which he built"&gt;</w:t>
      </w:r>
      <w:r>
        <w:rPr>
          <w:rStyle w:val="indexentry"/>
        </w:rPr>
        <w:fldChar w:fldCharType="begin"/>
      </w:r>
      <w:r>
        <w:instrText>xe "</w:instrText>
      </w:r>
      <w:r>
        <w:rPr>
          <w:rStyle w:val="xeentry"/>
        </w:rPr>
        <w:instrText>room which he built: example</w:instrText>
      </w:r>
      <w:r>
        <w:instrText>"</w:instrText>
      </w:r>
      <w:r>
        <w:rPr>
          <w:rStyle w:val="indexentry"/>
        </w:rPr>
        <w:fldChar w:fldCharType="end"/>
      </w:r>
      <w:r>
        <w:rPr>
          <w:rStyle w:val="htmlcodes"/>
        </w:rPr>
        <w:t>&lt;pre&gt;&lt;a name=e10d2&gt;</w:t>
      </w:r>
      <w:r>
        <w:t>10.2)</w:t>
      </w:r>
      <w:r>
        <w:tab/>
        <w:t>le prenu poi zvati le kumfa poi ke'axire zbasu ke'a cu masno</w:t>
      </w:r>
    </w:p>
    <w:p w:rsidR="00B72047" w:rsidRDefault="00B72047">
      <w:pPr>
        <w:pStyle w:val="examplescaled"/>
      </w:pPr>
      <w:r>
        <w:tab/>
        <w:t>The person who is-in the room which IT-sub-2 built IT is-slow.</w:t>
      </w:r>
    </w:p>
    <w:p w:rsidR="00B72047" w:rsidRDefault="00B72047">
      <w:pPr>
        <w:pStyle w:val="examplescaled"/>
      </w:pPr>
      <w:r>
        <w:tab/>
        <w:t>The person who is in the room which he built is slow.</w:t>
      </w:r>
    </w:p>
    <w:p w:rsidR="00B72047" w:rsidRDefault="00B72047">
      <w:pPr>
        <w:pStyle w:val="resumedafterexample"/>
      </w:pPr>
      <w:r>
        <w:rPr>
          <w:rStyle w:val="htmlcodes"/>
        </w:rPr>
        <w:t>&lt;/pre&gt;</w:t>
      </w:r>
      <w:r>
        <w:rPr>
          <w:rStyle w:val="indexentry"/>
        </w:rPr>
        <w:t>&lt;lx "ke'axipa"&gt;</w:t>
      </w:r>
      <w:r>
        <w:rPr>
          <w:rStyle w:val="indexentry"/>
        </w:rPr>
        <w:fldChar w:fldCharType="begin"/>
      </w:r>
      <w:r>
        <w:instrText>xe "</w:instrText>
      </w:r>
      <w:r>
        <w:rPr>
          <w:rStyle w:val="xeentry"/>
        </w:rPr>
        <w:instrText>ke'axipa</w:instrText>
      </w:r>
      <w:r>
        <w:instrText>"</w:instrText>
      </w:r>
      <w:r>
        <w:rPr>
          <w:rStyle w:val="indexentry"/>
        </w:rPr>
        <w:fldChar w:fldCharType="end"/>
      </w:r>
      <w:r>
        <w:t>Here, the meaning of “IT-sub-2” is that sumti attached to the second</w:t>
      </w:r>
      <w:r>
        <w:rPr>
          <w:rStyle w:val="deletedparamark"/>
        </w:rPr>
        <w:t xml:space="preserve"> </w:t>
      </w:r>
      <w:r>
        <w:t>relative clause, counting from the innermost, is used. Therefore,</w:t>
      </w:r>
      <w:r>
        <w:rPr>
          <w:rStyle w:val="deletedparamark"/>
        </w:rPr>
        <w:t xml:space="preserve"> “</w:t>
      </w:r>
      <w:r>
        <w:t>ke'axipa” (IT-sub-1) means the same as plain “ke'a”.</w:t>
      </w:r>
    </w:p>
    <w:p w:rsidR="00B72047" w:rsidRDefault="00B72047">
      <w:pPr>
        <w:rPr>
          <w:rStyle w:val="htmlparacode"/>
        </w:rPr>
      </w:pPr>
      <w:r>
        <w:rPr>
          <w:rStyle w:val="htmlparacode"/>
        </w:rPr>
        <w:t>&lt;p&gt;</w:t>
      </w:r>
    </w:p>
    <w:p w:rsidR="00B72047" w:rsidRDefault="00B72047">
      <w:pPr>
        <w:pStyle w:val="normalparagraph"/>
      </w:pPr>
      <w:r>
        <w:rPr>
          <w:rStyle w:val="indexentry"/>
        </w:rPr>
        <w:t>&lt;cx "outer sumti, prenex for referring to from within relative clause within relative clause"&gt;</w:t>
      </w:r>
      <w:r>
        <w:rPr>
          <w:rStyle w:val="indexentry"/>
        </w:rPr>
        <w:fldChar w:fldCharType="begin"/>
      </w:r>
      <w:r>
        <w:instrText>xe "</w:instrText>
      </w:r>
      <w:r>
        <w:rPr>
          <w:rStyle w:val="xeentry"/>
        </w:rPr>
        <w:instrText>outer sumti: prenex for referring to from within relative clause within relative clause</w:instrText>
      </w:r>
      <w:r>
        <w:instrText>"</w:instrText>
      </w:r>
      <w:r>
        <w:rPr>
          <w:rStyle w:val="indexentry"/>
        </w:rPr>
        <w:fldChar w:fldCharType="end"/>
      </w:r>
      <w:r>
        <w:rPr>
          <w:rStyle w:val="indexentry"/>
        </w:rPr>
        <w:t>&lt;cx "prenex, use for outer sumti reference"&gt;</w:t>
      </w:r>
      <w:r>
        <w:rPr>
          <w:rStyle w:val="indexentry"/>
        </w:rPr>
        <w:fldChar w:fldCharType="begin"/>
      </w:r>
      <w:r>
        <w:instrText>xe "</w:instrText>
      </w:r>
      <w:r>
        <w:rPr>
          <w:rStyle w:val="xeentry"/>
        </w:rPr>
        <w:instrText>prenex: use for outer sumti reference</w:instrText>
      </w:r>
      <w:r>
        <w:instrText>"</w:instrText>
      </w:r>
      <w:r>
        <w:rPr>
          <w:rStyle w:val="indexentry"/>
        </w:rPr>
        <w:fldChar w:fldCharType="end"/>
      </w:r>
      <w:r>
        <w:t xml:space="preserve">Alternatively, you can use a prenex (explained in full in </w:t>
      </w:r>
      <w:r>
        <w:rPr>
          <w:rStyle w:val="htmlcodes"/>
        </w:rPr>
        <w:t>&lt;a href=chap16.html&gt;</w:t>
      </w:r>
      <w:r>
        <w:t>Chapter 16</w:t>
      </w:r>
      <w:r>
        <w:rPr>
          <w:rStyle w:val="htmlcodes"/>
        </w:rPr>
        <w:t>&lt;/a&gt;</w:t>
      </w:r>
      <w:r>
        <w:t>), which</w:t>
      </w:r>
      <w:r>
        <w:rPr>
          <w:rStyle w:val="deletedparamark"/>
        </w:rPr>
        <w:t xml:space="preserve"> </w:t>
      </w:r>
      <w:r>
        <w:t>is sy</w:t>
      </w:r>
      <w:r>
        <w:t>n</w:t>
      </w:r>
      <w:r>
        <w:softHyphen/>
        <w:t>tactically a series of sumti followed by the special cmavo “zo'u”,</w:t>
      </w:r>
      <w:r>
        <w:rPr>
          <w:rStyle w:val="deletedparamark"/>
        </w:rPr>
        <w:t xml:space="preserve"> </w:t>
      </w:r>
      <w:r>
        <w:t>prefixed to the relative clause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le prenu poi ke'a goi ko'a zo'u ko'a zvati le kumfa</w:t>
      </w:r>
    </w:p>
    <w:p w:rsidR="00B72047" w:rsidRDefault="00B72047">
      <w:pPr>
        <w:pStyle w:val="examplescaled"/>
      </w:pPr>
      <w:r>
        <w:tab/>
      </w:r>
      <w:r>
        <w:tab/>
        <w:t>poi ke'a goi ko'e zo'u ko'a zbasu ke'a cu masno</w:t>
      </w:r>
    </w:p>
    <w:p w:rsidR="00B72047" w:rsidRDefault="00B72047">
      <w:pPr>
        <w:pStyle w:val="examplescaled"/>
      </w:pPr>
      <w:r>
        <w:tab/>
        <w:t>The man who (IT = it1 :  it1 is-in the room</w:t>
      </w:r>
    </w:p>
    <w:p w:rsidR="00B72047" w:rsidRDefault="00B72047">
      <w:pPr>
        <w:pStyle w:val="examplescaled"/>
      </w:pPr>
      <w:r>
        <w:tab/>
      </w:r>
      <w:r>
        <w:tab/>
        <w:t>which (IT = it2 :  it1 built it2) is-slow.</w:t>
      </w:r>
    </w:p>
    <w:p w:rsidR="00B72047" w:rsidRDefault="00B72047">
      <w:pPr>
        <w:pStyle w:val="resumedafterexample"/>
      </w:pPr>
      <w:r>
        <w:rPr>
          <w:rStyle w:val="htmlcodes"/>
        </w:rPr>
        <w:t>&lt;/pre&gt;&lt;a href=#e10d3&gt;</w:t>
      </w:r>
      <w:r>
        <w:t xml:space="preserve">Example 10.3 </w:t>
      </w:r>
      <w:r>
        <w:rPr>
          <w:rStyle w:val="htmlcodes"/>
        </w:rPr>
        <w:t>&lt;/a&gt;</w:t>
      </w:r>
      <w:r>
        <w:t xml:space="preserve">is more verbose than </w:t>
      </w:r>
      <w:r>
        <w:rPr>
          <w:rStyle w:val="htmlcodes"/>
        </w:rPr>
        <w:t>&lt;a href=#e10d2&gt;</w:t>
      </w:r>
      <w:r>
        <w:t>Example 10.2</w:t>
      </w:r>
      <w:r>
        <w:rPr>
          <w:rStyle w:val="htmlcodes"/>
        </w:rPr>
        <w:t>&lt;/a&gt;</w:t>
      </w:r>
      <w:r>
        <w:t>, but may be clearer, since</w:t>
      </w:r>
      <w:r>
        <w:rPr>
          <w:rStyle w:val="deletedparamark"/>
        </w:rPr>
        <w:t xml:space="preserve"> </w:t>
      </w:r>
      <w:r>
        <w:t>it explicitly spells out the two “ke'a” cmavo, each on its own level, and</w:t>
      </w:r>
      <w:r>
        <w:rPr>
          <w:rStyle w:val="deletedparamark"/>
        </w:rPr>
        <w:t xml:space="preserve"> </w:t>
      </w:r>
      <w:r>
        <w:t>assigns them to the assign</w:t>
      </w:r>
      <w:r>
        <w:softHyphen/>
        <w:t>able cmavo “ko'a” and “ko'e” (explained in Chapter 6).</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306" w:name="_Toc398970553"/>
      <w:r>
        <w:rPr>
          <w:rStyle w:val="Heading3Text"/>
        </w:rPr>
        <w:t>Index of relative clause cmavo</w:t>
      </w:r>
      <w:bookmarkEnd w:id="306"/>
      <w:r>
        <w:rPr>
          <w:rStyle w:val="htmlcodes"/>
        </w:rPr>
        <w:t>&lt;/h3&gt;</w:t>
      </w:r>
    </w:p>
    <w:p w:rsidR="00B72047" w:rsidRDefault="00B72047">
      <w:pPr>
        <w:rPr>
          <w:rStyle w:val="htmlparacode"/>
        </w:rPr>
      </w:pPr>
      <w:r>
        <w:rPr>
          <w:rStyle w:val="htmlparacode"/>
        </w:rPr>
        <w:t>&lt;p&gt;</w:t>
      </w:r>
    </w:p>
    <w:p w:rsidR="00B72047" w:rsidRDefault="00B72047" w:rsidP="007E67C1">
      <w:pPr>
        <w:pStyle w:val="Listnobullets"/>
        <w:numPr>
          <w:ilvl w:val="0"/>
          <w:numId w:val="0"/>
        </w:numPr>
        <w:spacing w:before="0"/>
        <w:ind w:left="864" w:hanging="504"/>
      </w:pPr>
      <w:r>
        <w:rPr>
          <w:rStyle w:val="indexentry"/>
        </w:rPr>
        <w:t>&lt;cx "relative clauses, list of cmavo for"&gt;</w:t>
      </w:r>
      <w:r>
        <w:rPr>
          <w:rStyle w:val="indexentry"/>
        </w:rPr>
        <w:fldChar w:fldCharType="begin"/>
      </w:r>
      <w:r>
        <w:instrText>xe "</w:instrText>
      </w:r>
      <w:r>
        <w:rPr>
          <w:rStyle w:val="xeentry"/>
        </w:rPr>
        <w:instrText>relative clause: list of cmavo for</w:instrText>
      </w:r>
      <w:r>
        <w:instrText>"</w:instrText>
      </w:r>
      <w:r>
        <w:rPr>
          <w:rStyle w:val="indexentry"/>
        </w:rPr>
        <w:fldChar w:fldCharType="end"/>
      </w:r>
      <w:r>
        <w:t>Relative clause introducers (selma'o NOI):</w:t>
      </w:r>
    </w:p>
    <w:p w:rsidR="00B72047" w:rsidRDefault="00B72047">
      <w:pPr>
        <w:pStyle w:val="examplescaledpre"/>
      </w:pPr>
      <w:r>
        <w:rPr>
          <w:rStyle w:val="deletedparamark"/>
        </w:rPr>
        <w:t xml:space="preserve"> </w:t>
      </w:r>
      <w:r>
        <w:rPr>
          <w:rStyle w:val="deletedparamark"/>
        </w:rPr>
        <w:tab/>
      </w:r>
      <w:r>
        <w:rPr>
          <w:rStyle w:val="htmlcodes"/>
        </w:rPr>
        <w:t>&lt;pre&gt;</w:t>
      </w:r>
      <w:r>
        <w:t>noi</w:t>
      </w:r>
      <w:r>
        <w:tab/>
      </w:r>
      <w:r>
        <w:tab/>
        <w:t>incidental clauses</w:t>
      </w:r>
    </w:p>
    <w:p w:rsidR="00B72047" w:rsidRDefault="00B72047">
      <w:pPr>
        <w:pStyle w:val="examplescaled"/>
      </w:pPr>
      <w:r>
        <w:tab/>
        <w:t>poi</w:t>
      </w:r>
      <w:r>
        <w:tab/>
      </w:r>
      <w:r>
        <w:tab/>
        <w:t>restrictive clauses</w:t>
      </w:r>
    </w:p>
    <w:p w:rsidR="00B72047" w:rsidRDefault="00B72047">
      <w:pPr>
        <w:pStyle w:val="examplescaled"/>
      </w:pPr>
      <w:r>
        <w:tab/>
        <w:t>voi</w:t>
      </w:r>
      <w:r>
        <w:tab/>
      </w:r>
      <w:r>
        <w:tab/>
        <w:t>restrictive clauses (non-veridical)</w:t>
      </w:r>
    </w:p>
    <w:p w:rsidR="00B72047" w:rsidRDefault="00B72047" w:rsidP="007E67C1">
      <w:pPr>
        <w:pStyle w:val="Listnobullets"/>
        <w:numPr>
          <w:ilvl w:val="0"/>
          <w:numId w:val="0"/>
        </w:numPr>
        <w:ind w:left="864" w:hanging="504"/>
      </w:pPr>
      <w:r>
        <w:rPr>
          <w:rStyle w:val="htmlcodes"/>
        </w:rPr>
        <w:t>&lt;/pre&gt;&lt;p&gt;</w:t>
      </w:r>
      <w:r>
        <w:t>Relative phrase introducers (selma'o GOI):</w:t>
      </w:r>
    </w:p>
    <w:p w:rsidR="00B72047" w:rsidRDefault="00B72047">
      <w:pPr>
        <w:pStyle w:val="examplescaledpre"/>
      </w:pPr>
      <w:r>
        <w:rPr>
          <w:rStyle w:val="deletedparamark"/>
        </w:rPr>
        <w:t xml:space="preserve"> </w:t>
      </w:r>
      <w:r>
        <w:rPr>
          <w:rStyle w:val="htmlcodes"/>
        </w:rPr>
        <w:t>&lt;pre&gt;</w:t>
      </w:r>
      <w:r>
        <w:tab/>
        <w:t>goi</w:t>
      </w:r>
      <w:r>
        <w:tab/>
      </w:r>
      <w:r>
        <w:tab/>
        <w:t>pro-sumti assignment</w:t>
      </w:r>
    </w:p>
    <w:p w:rsidR="00B72047" w:rsidRDefault="00B72047">
      <w:pPr>
        <w:pStyle w:val="examplescaled"/>
      </w:pPr>
      <w:r>
        <w:tab/>
        <w:t>pe</w:t>
      </w:r>
      <w:r>
        <w:tab/>
      </w:r>
      <w:r>
        <w:tab/>
        <w:t>restrictive association</w:t>
      </w:r>
    </w:p>
    <w:p w:rsidR="00B72047" w:rsidRDefault="00B72047">
      <w:pPr>
        <w:pStyle w:val="examplescaled"/>
      </w:pPr>
      <w:r>
        <w:tab/>
        <w:t>ne</w:t>
      </w:r>
      <w:r>
        <w:tab/>
      </w:r>
      <w:r>
        <w:tab/>
        <w:t>incidental association</w:t>
      </w:r>
    </w:p>
    <w:p w:rsidR="00B72047" w:rsidRDefault="00B72047">
      <w:pPr>
        <w:pStyle w:val="examplescaled"/>
      </w:pPr>
      <w:r>
        <w:tab/>
        <w:t>po</w:t>
      </w:r>
      <w:r>
        <w:tab/>
      </w:r>
      <w:r>
        <w:tab/>
        <w:t>extrinsic (alienable) possession</w:t>
      </w:r>
    </w:p>
    <w:p w:rsidR="00B72047" w:rsidRDefault="00B72047">
      <w:pPr>
        <w:pStyle w:val="examplescaled"/>
      </w:pPr>
      <w:r>
        <w:tab/>
        <w:t>po'e</w:t>
      </w:r>
      <w:r>
        <w:tab/>
      </w:r>
      <w:r>
        <w:tab/>
        <w:t>intrinsic (inalienable) possession</w:t>
      </w:r>
    </w:p>
    <w:p w:rsidR="00B72047" w:rsidRDefault="00B72047">
      <w:pPr>
        <w:pStyle w:val="examplescaled"/>
      </w:pPr>
      <w:r>
        <w:tab/>
        <w:t>po'u</w:t>
      </w:r>
      <w:r>
        <w:tab/>
      </w:r>
      <w:r>
        <w:tab/>
        <w:t>restrictive identification</w:t>
      </w:r>
    </w:p>
    <w:p w:rsidR="00B72047" w:rsidRDefault="00B72047">
      <w:pPr>
        <w:pStyle w:val="examplescaled"/>
      </w:pPr>
      <w:r>
        <w:tab/>
        <w:t>no'u</w:t>
      </w:r>
      <w:r>
        <w:tab/>
      </w:r>
      <w:r>
        <w:tab/>
        <w:t>incidental identification</w:t>
      </w:r>
    </w:p>
    <w:p w:rsidR="00B72047" w:rsidRDefault="00B72047" w:rsidP="007E67C1">
      <w:pPr>
        <w:pStyle w:val="Listnobullets"/>
        <w:numPr>
          <w:ilvl w:val="0"/>
          <w:numId w:val="0"/>
        </w:numPr>
        <w:ind w:left="864" w:hanging="504"/>
      </w:pPr>
      <w:r>
        <w:rPr>
          <w:rStyle w:val="htmlcodes"/>
        </w:rPr>
        <w:t>&lt;/pre&gt;&lt;p&gt;</w:t>
      </w:r>
      <w:r>
        <w:t>Relativizing pro-sumti (selma'o KOhA):</w:t>
      </w:r>
      <w:r>
        <w:rPr>
          <w:rStyle w:val="deletedparamark"/>
        </w:rPr>
        <w:t xml:space="preserve"> </w:t>
      </w:r>
      <w:r>
        <w:rPr>
          <w:rStyle w:val="htmlcodes"/>
        </w:rPr>
        <w:t>&lt;pre&gt;</w:t>
      </w:r>
    </w:p>
    <w:p w:rsidR="00B72047" w:rsidRDefault="00B72047">
      <w:pPr>
        <w:pStyle w:val="examplescaledpre"/>
      </w:pPr>
      <w:r>
        <w:tab/>
        <w:t>ke'a</w:t>
      </w:r>
      <w:r>
        <w:tab/>
      </w:r>
      <w:r>
        <w:tab/>
        <w:t>pro-sumti for relativized sumti</w:t>
      </w:r>
    </w:p>
    <w:p w:rsidR="00B72047" w:rsidRDefault="00B72047" w:rsidP="007E67C1">
      <w:pPr>
        <w:pStyle w:val="Listnobullets"/>
        <w:numPr>
          <w:ilvl w:val="0"/>
          <w:numId w:val="0"/>
        </w:numPr>
        <w:ind w:left="864" w:hanging="504"/>
      </w:pPr>
      <w:r>
        <w:rPr>
          <w:rStyle w:val="htmlcodes"/>
        </w:rPr>
        <w:t>&lt;/pre&gt;&lt;p&gt;</w:t>
      </w:r>
      <w:r>
        <w:t>Relative clause joiner (selma'o ZIhE):</w:t>
      </w:r>
      <w:r>
        <w:rPr>
          <w:rStyle w:val="deletedparamark"/>
        </w:rPr>
        <w:t xml:space="preserve"> </w:t>
      </w:r>
      <w:r>
        <w:rPr>
          <w:rStyle w:val="htmlcodes"/>
        </w:rPr>
        <w:t>&lt;pre&gt;</w:t>
      </w:r>
    </w:p>
    <w:p w:rsidR="00B72047" w:rsidRDefault="00B72047">
      <w:pPr>
        <w:pStyle w:val="examplescaledpre"/>
      </w:pPr>
      <w:r>
        <w:tab/>
        <w:t>zi'e</w:t>
      </w:r>
      <w:r>
        <w:tab/>
      </w:r>
      <w:r>
        <w:tab/>
        <w:t>joins relative clauses applying to a single sumti</w:t>
      </w:r>
    </w:p>
    <w:p w:rsidR="00B72047" w:rsidRDefault="00B72047" w:rsidP="007E67C1">
      <w:pPr>
        <w:pStyle w:val="Listnobullets"/>
        <w:numPr>
          <w:ilvl w:val="0"/>
          <w:numId w:val="0"/>
        </w:numPr>
        <w:ind w:left="864" w:hanging="504"/>
      </w:pPr>
      <w:r>
        <w:rPr>
          <w:rStyle w:val="htmlcodes"/>
        </w:rPr>
        <w:t>&lt;/pre&gt;&lt;p&gt;</w:t>
      </w:r>
      <w:r>
        <w:t>Relative clause associator (selma'o VUhO):</w:t>
      </w:r>
      <w:r>
        <w:rPr>
          <w:rStyle w:val="deletedparamark"/>
        </w:rPr>
        <w:t xml:space="preserve"> </w:t>
      </w:r>
      <w:r>
        <w:rPr>
          <w:rStyle w:val="htmlcodes"/>
        </w:rPr>
        <w:t>&lt;pre&gt;</w:t>
      </w:r>
    </w:p>
    <w:p w:rsidR="00B72047" w:rsidRDefault="00B72047">
      <w:pPr>
        <w:pStyle w:val="examplescaledpre"/>
      </w:pPr>
      <w:r>
        <w:tab/>
        <w:t>vu'o</w:t>
      </w:r>
      <w:r>
        <w:tab/>
      </w:r>
      <w:r>
        <w:tab/>
        <w:t>causes relative clauses to apply to all of a complex sumti</w:t>
      </w:r>
    </w:p>
    <w:p w:rsidR="00B72047" w:rsidRDefault="00B72047" w:rsidP="007E67C1">
      <w:pPr>
        <w:pStyle w:val="Listnobullets"/>
        <w:numPr>
          <w:ilvl w:val="0"/>
          <w:numId w:val="0"/>
        </w:numPr>
        <w:ind w:left="864" w:hanging="504"/>
      </w:pPr>
      <w:r>
        <w:rPr>
          <w:rStyle w:val="htmlcodes"/>
        </w:rPr>
        <w:t>&lt;/pre&gt;&lt;p&gt;</w:t>
      </w:r>
      <w:r>
        <w:t>Elidable terminators (each its own selma'o):</w:t>
      </w:r>
      <w:r>
        <w:rPr>
          <w:rStyle w:val="deletedparamark"/>
        </w:rPr>
        <w:t xml:space="preserve"> </w:t>
      </w:r>
      <w:r>
        <w:rPr>
          <w:rStyle w:val="htmlcodes"/>
        </w:rPr>
        <w:t>&lt;pre&gt;</w:t>
      </w:r>
    </w:p>
    <w:p w:rsidR="00B72047" w:rsidRDefault="00B72047">
      <w:pPr>
        <w:pStyle w:val="examplescaledpre"/>
      </w:pPr>
      <w:r>
        <w:tab/>
        <w:t>ku'o</w:t>
      </w:r>
      <w:r>
        <w:tab/>
      </w:r>
      <w:r>
        <w:tab/>
        <w:t>relative clause elidable terminator</w:t>
      </w:r>
    </w:p>
    <w:p w:rsidR="00B72047" w:rsidRDefault="00B72047">
      <w:pPr>
        <w:pStyle w:val="examplescaled"/>
      </w:pPr>
      <w:r>
        <w:tab/>
        <w:t>ge'u</w:t>
      </w:r>
      <w:r>
        <w:tab/>
      </w:r>
      <w:r>
        <w:tab/>
        <w:t>relative phrase elidable terminator</w:t>
      </w:r>
    </w:p>
    <w:p w:rsidR="00B72047" w:rsidRDefault="00B72047">
      <w:pPr>
        <w:pStyle w:val="resumedafterexample"/>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codes"/>
        </w:rPr>
        <w:t>&lt;/body&gt;&lt;/html&gt;</w:t>
      </w:r>
    </w:p>
    <w:p w:rsidR="00B72047" w:rsidRDefault="00B72047">
      <w:pPr>
        <w:rPr>
          <w:rStyle w:val="htmlcodes"/>
        </w:rPr>
      </w:pPr>
      <w:r>
        <w:rPr>
          <w:rStyle w:val="htmlcodes"/>
        </w:rPr>
        <w:t>&lt;img src=chap9.gif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3" type="#_x0000_t75" style="width:356.25pt;height:547.5pt">
            <v:imagedata r:id="rId27" o:title="" croptop="-26474f" cropbottom="-26474f" cropleft="-6323f" cropright="-6323f"/>
          </v:shape>
        </w:pict>
      </w:r>
    </w:p>
    <w:p w:rsidR="00B72047" w:rsidRDefault="00B72047">
      <w:pPr>
        <w:pStyle w:val="Heading2"/>
      </w:pPr>
      <w:r>
        <w:rPr>
          <w:rStyle w:val="htmlcodes"/>
        </w:rPr>
        <w:t>&lt;h2&gt;</w:t>
      </w:r>
      <w:bookmarkStart w:id="307" w:name="_Toc395684302"/>
      <w:bookmarkStart w:id="308" w:name="_Toc398970554"/>
      <w:r>
        <w:t>Chapter 9</w:t>
      </w:r>
      <w:bookmarkEnd w:id="307"/>
      <w:bookmarkEnd w:id="308"/>
    </w:p>
    <w:p w:rsidR="00B72047" w:rsidRDefault="00B72047">
      <w:pPr>
        <w:pStyle w:val="Heading2"/>
        <w:rPr>
          <w:rStyle w:val="htmlcodes"/>
        </w:rPr>
      </w:pPr>
      <w:r>
        <w:rPr>
          <w:rStyle w:val="htmlcodes"/>
        </w:rPr>
        <w:t>&lt;br&gt;</w:t>
      </w:r>
    </w:p>
    <w:p w:rsidR="00B72047" w:rsidRDefault="00B72047">
      <w:pPr>
        <w:pStyle w:val="Heading2"/>
      </w:pPr>
      <w:bookmarkStart w:id="309" w:name="_Toc398970555"/>
      <w:r>
        <w:t>To Boston Via The Road Go I, With An Excur</w:t>
      </w:r>
      <w:r>
        <w:softHyphen/>
        <w:t>sion Into The Land Of Modals</w:t>
      </w:r>
      <w:bookmarkEnd w:id="309"/>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310" w:name="_Toc398970556"/>
      <w:r>
        <w:rPr>
          <w:rStyle w:val="Heading3Text"/>
        </w:rPr>
        <w:t>Introductory</w:t>
      </w:r>
      <w:bookmarkEnd w:id="31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"sumti, definition"&gt;</w:t>
      </w:r>
      <w:r>
        <w:rPr>
          <w:rStyle w:val="indexentry"/>
        </w:rPr>
        <w:fldChar w:fldCharType="begin"/>
      </w:r>
      <w:r>
        <w:instrText>xe "</w:instrText>
      </w:r>
      <w:r>
        <w:rPr>
          <w:rStyle w:val="xeentry"/>
        </w:rPr>
        <w:instrText>sumti: definition</w:instrText>
      </w:r>
      <w:r>
        <w:instrText>"</w:instrText>
      </w:r>
      <w:r>
        <w:rPr>
          <w:rStyle w:val="indexentry"/>
        </w:rPr>
        <w:fldChar w:fldCharType="end"/>
      </w:r>
      <w:r>
        <w:rPr>
          <w:rStyle w:val="indexentry"/>
        </w:rPr>
        <w:t>&lt;cx "selbri, definition"&gt;</w:t>
      </w:r>
      <w:r>
        <w:rPr>
          <w:rStyle w:val="indexentry"/>
        </w:rPr>
        <w:fldChar w:fldCharType="begin"/>
      </w:r>
      <w:r>
        <w:instrText>xe "</w:instrText>
      </w:r>
      <w:r>
        <w:rPr>
          <w:rStyle w:val="xeentry"/>
        </w:rPr>
        <w:instrText>selbri: definition</w:instrText>
      </w:r>
      <w:r>
        <w:instrText>"</w:instrText>
      </w:r>
      <w:r>
        <w:rPr>
          <w:rStyle w:val="indexentry"/>
        </w:rPr>
        <w:fldChar w:fldCharType="end"/>
      </w:r>
      <w:r>
        <w:rPr>
          <w:rStyle w:val="indexentry"/>
        </w:rPr>
        <w:t>&lt;cx "bridi", definition"&gt;</w:t>
      </w:r>
      <w:r>
        <w:rPr>
          <w:rStyle w:val="indexentry"/>
        </w:rPr>
        <w:fldChar w:fldCharType="begin"/>
      </w:r>
      <w:r>
        <w:instrText>xe "</w:instrText>
      </w:r>
      <w:r>
        <w:rPr>
          <w:rStyle w:val="xeentry"/>
        </w:rPr>
        <w:instrText>bridi: definition</w:instrText>
      </w:r>
      <w:r>
        <w:instrText>"</w:instrText>
      </w:r>
      <w:r>
        <w:rPr>
          <w:rStyle w:val="indexentry"/>
        </w:rPr>
        <w:fldChar w:fldCharType="end"/>
      </w:r>
      <w:r>
        <w:rPr>
          <w:rStyle w:val="indexentry"/>
        </w:rPr>
        <w:t>&lt;cx "sentence, basic Lojban"&gt;</w:t>
      </w:r>
      <w:r>
        <w:rPr>
          <w:rStyle w:val="indexentry"/>
        </w:rPr>
        <w:fldChar w:fldCharType="begin"/>
      </w:r>
      <w:r>
        <w:instrText>xe "</w:instrText>
      </w:r>
      <w:r>
        <w:rPr>
          <w:rStyle w:val="xeentry"/>
        </w:rPr>
        <w:instrText>sentence: basic Lojban</w:instrText>
      </w:r>
      <w:r>
        <w:instrText>"</w:instrText>
      </w:r>
      <w:r>
        <w:rPr>
          <w:rStyle w:val="indexentry"/>
        </w:rPr>
        <w:fldChar w:fldCharType="end"/>
      </w:r>
      <w:r>
        <w:rPr>
          <w:rStyle w:val="indexentry"/>
        </w:rPr>
        <w:t>&lt;cx "relationship, as basis of sentence"&gt;</w:t>
      </w:r>
      <w:r>
        <w:rPr>
          <w:rStyle w:val="indexentry"/>
        </w:rPr>
        <w:fldChar w:fldCharType="begin"/>
      </w:r>
      <w:r>
        <w:instrText>xe "</w:instrText>
      </w:r>
      <w:r>
        <w:rPr>
          <w:rStyle w:val="xeentry"/>
        </w:rPr>
        <w:instrText>relationship: as basis of sentence</w:instrText>
      </w:r>
      <w:r>
        <w:instrText>"</w:instrText>
      </w:r>
      <w:r>
        <w:rPr>
          <w:rStyle w:val="indexentry"/>
        </w:rPr>
        <w:fldChar w:fldCharType="end"/>
      </w:r>
      <w:r>
        <w:rPr>
          <w:rStyle w:val="indexentry"/>
        </w:rPr>
        <w:t>&lt;cx "relationship, objects of"&gt;</w:t>
      </w:r>
      <w:r>
        <w:rPr>
          <w:rStyle w:val="indexentry"/>
        </w:rPr>
        <w:fldChar w:fldCharType="begin"/>
      </w:r>
      <w:r>
        <w:instrText>xe "</w:instrText>
      </w:r>
      <w:r>
        <w:rPr>
          <w:rStyle w:val="xeentry"/>
        </w:rPr>
        <w:instrText>relationship: objects of</w:instrText>
      </w:r>
      <w:r>
        <w:instrText>"</w:instrText>
      </w:r>
      <w:r>
        <w:rPr>
          <w:rStyle w:val="indexentry"/>
        </w:rPr>
        <w:fldChar w:fldCharType="end"/>
      </w:r>
      <w:r>
        <w:t>The basic type of Lojban sentence is the bridi: a claim by the speaker that</w:t>
      </w:r>
      <w:r>
        <w:rPr>
          <w:rStyle w:val="deletedparamark"/>
        </w:rPr>
        <w:t xml:space="preserve"> </w:t>
      </w:r>
      <w:r>
        <w:t>cer</w:t>
      </w:r>
      <w:r>
        <w:softHyphen/>
        <w:t>tain objects are related in a certain way. The objects are ex</w:t>
      </w:r>
      <w:r>
        <w:softHyphen/>
        <w:t>pressed</w:t>
      </w:r>
      <w:r>
        <w:rPr>
          <w:rStyle w:val="deletedparamark"/>
        </w:rPr>
        <w:t xml:space="preserve"> </w:t>
      </w:r>
      <w:r>
        <w:t>by Lojban gram</w:t>
      </w:r>
      <w:r>
        <w:softHyphen/>
        <w:t>matical forms called “sumti”; the rela</w:t>
      </w:r>
      <w:r>
        <w:softHyphen/>
        <w:t>tionship is expressed</w:t>
      </w:r>
      <w:r>
        <w:rPr>
          <w:rStyle w:val="deletedparamark"/>
        </w:rPr>
        <w:t xml:space="preserve"> </w:t>
      </w:r>
      <w:r>
        <w:t>by the Lojban grammatical form called a “selbri”.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"selbri, place structure of"&gt;</w:t>
      </w:r>
      <w:r>
        <w:rPr>
          <w:rStyle w:val="indexentry"/>
        </w:rPr>
        <w:fldChar w:fldCharType="begin"/>
      </w:r>
      <w:r>
        <w:instrText>xe "</w:instrText>
      </w:r>
      <w:r>
        <w:rPr>
          <w:rStyle w:val="xeentry"/>
        </w:rPr>
        <w:instrText>selbri: place structure of</w:instrText>
      </w:r>
      <w:r>
        <w:instrText>"</w:instrText>
      </w:r>
      <w:r>
        <w:rPr>
          <w:rStyle w:val="indexentry"/>
        </w:rPr>
        <w:fldChar w:fldCharType="end"/>
      </w:r>
      <w:r>
        <w:rPr>
          <w:rStyle w:val="indexentry"/>
        </w:rPr>
        <w:t>&lt;cx "place structure, definition"&gt;</w:t>
      </w:r>
      <w:r>
        <w:rPr>
          <w:rStyle w:val="indexentry"/>
        </w:rPr>
        <w:fldChar w:fldCharType="begin"/>
      </w:r>
      <w:r>
        <w:instrText>xe "</w:instrText>
      </w:r>
      <w:r>
        <w:rPr>
          <w:rStyle w:val="xeentry"/>
        </w:rPr>
        <w:instrText>place structure: definition</w:instrText>
      </w:r>
      <w:r>
        <w:instrText>"</w:instrText>
      </w:r>
      <w:r>
        <w:rPr>
          <w:rStyle w:val="indexentry"/>
        </w:rPr>
        <w:fldChar w:fldCharType="end"/>
      </w:r>
      <w:r>
        <w:rPr>
          <w:rStyle w:val="indexentry"/>
        </w:rPr>
        <w:t>&lt;cx "place structure, empty slots in"&gt;</w:t>
      </w:r>
      <w:r>
        <w:rPr>
          <w:rStyle w:val="indexentry"/>
        </w:rPr>
        <w:fldChar w:fldCharType="begin"/>
      </w:r>
      <w:r>
        <w:instrText>xe "</w:instrText>
      </w:r>
      <w:r>
        <w:rPr>
          <w:rStyle w:val="xeentry"/>
        </w:rPr>
        <w:instrText>place structure: empty slots in</w:instrText>
      </w:r>
      <w:r>
        <w:instrText>"</w:instrText>
      </w:r>
      <w:r>
        <w:rPr>
          <w:rStyle w:val="indexentry"/>
        </w:rPr>
        <w:fldChar w:fldCharType="end"/>
      </w:r>
      <w:r>
        <w:rPr>
          <w:rStyle w:val="indexentry"/>
        </w:rPr>
        <w:t>&lt;cx "sumti, as objects in place structure slots"&gt;</w:t>
      </w:r>
      <w:r>
        <w:rPr>
          <w:rStyle w:val="indexentry"/>
        </w:rPr>
        <w:fldChar w:fldCharType="begin"/>
      </w:r>
      <w:r>
        <w:instrText>xe "</w:instrText>
      </w:r>
      <w:r>
        <w:rPr>
          <w:rStyle w:val="xeentry"/>
        </w:rPr>
        <w:instrText>sumti: as objects in place structure slots</w:instrText>
      </w:r>
      <w:r>
        <w:instrText>"</w:instrText>
      </w:r>
      <w:r>
        <w:rPr>
          <w:rStyle w:val="indexentry"/>
        </w:rPr>
        <w:fldChar w:fldCharType="end"/>
      </w:r>
      <w:r>
        <w:t>The sumti are not randomly associated with the selbri, but according to</w:t>
      </w:r>
      <w:r>
        <w:rPr>
          <w:rStyle w:val="deletedparamark"/>
        </w:rPr>
        <w:t xml:space="preserve"> </w:t>
      </w:r>
      <w:r>
        <w:t>a sys</w:t>
      </w:r>
      <w:r>
        <w:softHyphen/>
        <w:t>tematic pattern known as the “place structure” of the selbri. This</w:t>
      </w:r>
      <w:r>
        <w:rPr>
          <w:rStyle w:val="deletedparamark"/>
        </w:rPr>
        <w:t xml:space="preserve"> </w:t>
      </w:r>
      <w:r>
        <w:t>chapter describes the various ways in which the place structure of</w:t>
      </w:r>
      <w:r>
        <w:rPr>
          <w:rStyle w:val="deletedparamark"/>
        </w:rPr>
        <w:t xml:space="preserve"> </w:t>
      </w:r>
      <w:r>
        <w:t>Lojban bridi is expressed and by which it can be ma</w:t>
      </w:r>
      <w:r>
        <w:softHyphen/>
        <w:t>nipu</w:t>
      </w:r>
      <w:r>
        <w:softHyphen/>
        <w:t>lated. The place</w:t>
      </w:r>
      <w:r>
        <w:rPr>
          <w:rStyle w:val="deletedparamark"/>
        </w:rPr>
        <w:t xml:space="preserve"> </w:t>
      </w:r>
      <w:r>
        <w:t>structure of a selbri is a sequence of empty slots into which the sumti</w:t>
      </w:r>
      <w:r>
        <w:rPr>
          <w:rStyle w:val="deletedparamark"/>
        </w:rPr>
        <w:t xml:space="preserve"> </w:t>
      </w:r>
      <w:r>
        <w:t>associated with that selbri are placed. The sumti are said to occupy the</w:t>
      </w:r>
      <w:r>
        <w:rPr>
          <w:rStyle w:val="deletedparamark"/>
        </w:rPr>
        <w:t xml:space="preserve"> </w:t>
      </w:r>
      <w:r>
        <w:t>places of the sel</w:t>
      </w:r>
      <w:r>
        <w:softHyphen/>
        <w:t>bri.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"place structure of selbri, determining"&gt;</w:t>
      </w:r>
      <w:r>
        <w:rPr>
          <w:rStyle w:val="indexentry"/>
        </w:rPr>
        <w:fldChar w:fldCharType="begin"/>
      </w:r>
      <w:r>
        <w:instrText>xe "</w:instrText>
      </w:r>
      <w:r>
        <w:rPr>
          <w:rStyle w:val="xeentry"/>
        </w:rPr>
        <w:instrText>place structure of selbri: determining</w:instrText>
      </w:r>
      <w:r>
        <w:instrText>"</w:instrText>
      </w:r>
      <w:r>
        <w:rPr>
          <w:rStyle w:val="indexentry"/>
        </w:rPr>
        <w:fldChar w:fldCharType="end"/>
      </w:r>
      <w:r>
        <w:t>For our present purposes, every selbri is assumed to have a well-known place</w:t>
      </w:r>
      <w:r>
        <w:rPr>
          <w:rStyle w:val="deletedparamark"/>
        </w:rPr>
        <w:t xml:space="preserve"> </w:t>
      </w:r>
      <w:r>
        <w:t>stru</w:t>
      </w:r>
      <w:r>
        <w:t>c</w:t>
      </w:r>
      <w:r>
        <w:softHyphen/>
        <w:t>ture. If the selbri is a brivla, the place structure can be looked</w:t>
      </w:r>
      <w:r>
        <w:rPr>
          <w:rStyle w:val="deletedparamark"/>
        </w:rPr>
        <w:t xml:space="preserve"> </w:t>
      </w:r>
      <w:r>
        <w:t>up in a dictionary (or, if the brivla is a lujvo not in any dic</w:t>
      </w:r>
      <w:r>
        <w:softHyphen/>
        <w:t>tionary,</w:t>
      </w:r>
      <w:r>
        <w:rPr>
          <w:rStyle w:val="deletedparamark"/>
        </w:rPr>
        <w:t xml:space="preserve"> </w:t>
      </w:r>
      <w:r>
        <w:t>inferred from the principles of lujvo construction as ex</w:t>
      </w:r>
      <w:r>
        <w:softHyphen/>
        <w:t xml:space="preserve">plained in </w:t>
      </w:r>
      <w:r>
        <w:rPr>
          <w:rStyle w:val="htmlcodes"/>
        </w:rPr>
        <w:t>&lt;a href=chap12.html&gt;</w:t>
      </w:r>
      <w:r>
        <w:t>Chapter 12</w:t>
      </w:r>
      <w:r>
        <w:rPr>
          <w:rStyle w:val="htmlcodes"/>
        </w:rPr>
        <w:t>&lt;/a&gt;</w:t>
      </w:r>
      <w:r>
        <w:t>);</w:t>
      </w:r>
      <w:r>
        <w:rPr>
          <w:rStyle w:val="deletedparamark"/>
        </w:rPr>
        <w:t xml:space="preserve"> </w:t>
      </w:r>
      <w:r>
        <w:t>if the selbri is a tanru, the place structure is the same as that of the</w:t>
      </w:r>
      <w:r>
        <w:rPr>
          <w:rStyle w:val="deletedparamark"/>
        </w:rPr>
        <w:t xml:space="preserve"> </w:t>
      </w:r>
      <w:r>
        <w:t>final component in the tanru.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"klama"&gt;</w:t>
      </w:r>
      <w:r>
        <w:rPr>
          <w:rStyle w:val="indexentry"/>
        </w:rPr>
        <w:fldChar w:fldCharType="begin"/>
      </w:r>
      <w:r>
        <w:instrText>xe "</w:instrText>
      </w:r>
      <w:r>
        <w:rPr>
          <w:rStyle w:val="xeentry"/>
        </w:rPr>
        <w:instrText>klama</w:instrText>
      </w:r>
      <w:r>
        <w:instrText>"</w:instrText>
      </w:r>
      <w:r>
        <w:rPr>
          <w:rStyle w:val="indexentry"/>
        </w:rPr>
        <w:fldChar w:fldCharType="end"/>
      </w:r>
      <w:r>
        <w:rPr>
          <w:rStyle w:val="indexentry"/>
        </w:rPr>
        <w:t>&lt;cx "klama, place structure of"&gt;</w:t>
      </w:r>
      <w:r>
        <w:rPr>
          <w:rStyle w:val="indexentry"/>
        </w:rPr>
        <w:fldChar w:fldCharType="begin"/>
      </w:r>
      <w:r>
        <w:instrText>xe "</w:instrText>
      </w:r>
      <w:r>
        <w:rPr>
          <w:rStyle w:val="xeentry"/>
        </w:rPr>
        <w:instrText>klama: place structure of</w:instrText>
      </w:r>
      <w:r>
        <w:instrText>"</w:instrText>
      </w:r>
      <w:r>
        <w:rPr>
          <w:rStyle w:val="indexentry"/>
        </w:rPr>
        <w:fldChar w:fldCharType="end"/>
      </w:r>
      <w:r>
        <w:rPr>
          <w:rStyle w:val="indexentry"/>
        </w:rPr>
        <w:t>&lt;cx "place structure, notation conventions"&gt;</w:t>
      </w:r>
      <w:r>
        <w:rPr>
          <w:rStyle w:val="indexentry"/>
        </w:rPr>
        <w:fldChar w:fldCharType="begin"/>
      </w:r>
      <w:r>
        <w:instrText>xe "</w:instrText>
      </w:r>
      <w:r>
        <w:rPr>
          <w:rStyle w:val="xeentry"/>
        </w:rPr>
        <w:instrText>place structure: notation conventions</w:instrText>
      </w:r>
      <w:r>
        <w:instrText>"</w:instrText>
      </w:r>
      <w:r>
        <w:rPr>
          <w:rStyle w:val="indexentry"/>
        </w:rPr>
        <w:fldChar w:fldCharType="end"/>
      </w:r>
      <w:r>
        <w:rPr>
          <w:rStyle w:val="indexentry"/>
        </w:rPr>
        <w:t>&lt;cx "x1, in place structure notation"&gt;</w:t>
      </w:r>
      <w:r>
        <w:rPr>
          <w:rStyle w:val="indexentry"/>
        </w:rPr>
        <w:fldChar w:fldCharType="begin"/>
      </w:r>
      <w:r>
        <w:instrText>xe "</w:instrText>
      </w:r>
      <w:r>
        <w:rPr>
          <w:rStyle w:val="xeentry"/>
        </w:rPr>
        <w:instrText>x1: in place structure notation</w:instrText>
      </w:r>
      <w:r>
        <w:instrText>"</w:instrText>
      </w:r>
      <w:r>
        <w:rPr>
          <w:rStyle w:val="indexentry"/>
        </w:rPr>
        <w:fldChar w:fldCharType="end"/>
      </w:r>
      <w:r>
        <w:rPr>
          <w:rStyle w:val="indexentry"/>
        </w:rPr>
        <w:t>&lt;ex "go"&gt;</w:t>
      </w:r>
      <w:r>
        <w:rPr>
          <w:rStyle w:val="indexentry"/>
        </w:rPr>
        <w:fldChar w:fldCharType="begin"/>
      </w:r>
      <w:r>
        <w:instrText>xe "</w:instrText>
      </w:r>
      <w:r>
        <w:rPr>
          <w:rStyle w:val="xeentry"/>
        </w:rPr>
        <w:instrText>go: example</w:instrText>
      </w:r>
      <w:r>
        <w:instrText>"</w:instrText>
      </w:r>
      <w:r>
        <w:rPr>
          <w:rStyle w:val="indexentry"/>
        </w:rPr>
        <w:fldChar w:fldCharType="end"/>
      </w:r>
      <w:r>
        <w:t>The stock example of a place structure is that of the gismu “klama”:</w:t>
      </w:r>
    </w:p>
    <w:p w:rsidR="00B72047" w:rsidRDefault="00B72047" w:rsidP="007E67C1">
      <w:pPr>
        <w:pStyle w:val="placestructure"/>
        <w:numPr>
          <w:ilvl w:val="0"/>
          <w:numId w:val="0"/>
        </w:numPr>
        <w:ind w:left="504" w:hanging="504"/>
        <w:rPr>
          <w:rStyle w:val="htmlparacode"/>
        </w:rPr>
      </w:pPr>
      <w:r>
        <w:rPr>
          <w:rStyle w:val="htmlparacode"/>
          <w:vanish w:val="0"/>
        </w:rPr>
        <w:t xml:space="preserve">klama:  </w:t>
      </w: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comes/goes to destination x2 from origin x3 via route x4</w:t>
      </w:r>
    </w:p>
    <w:p w:rsidR="00B72047" w:rsidRDefault="00B72047" w:rsidP="007E67C1">
      <w:pPr>
        <w:pStyle w:val="placestructcont"/>
        <w:numPr>
          <w:ilvl w:val="0"/>
          <w:numId w:val="0"/>
        </w:numPr>
        <w:ind w:left="504" w:hanging="504"/>
      </w:pPr>
      <w:r>
        <w:t>employing means of transport x5</w:t>
      </w:r>
    </w:p>
    <w:p w:rsidR="00B72047" w:rsidRDefault="00B72047">
      <w:pPr>
        <w:pStyle w:val="normalafterexample"/>
      </w:pPr>
      <w:r>
        <w:rPr>
          <w:rStyle w:val="htmlcodes"/>
        </w:rPr>
        <w:t>&lt;/dl&gt;&lt;p&gt;</w:t>
      </w:r>
      <w:r>
        <w:t>The “x1 </w:t>
      </w:r>
      <w:r>
        <w:rPr>
          <w:rStyle w:val="htmlcodes"/>
        </w:rPr>
        <w:t>&lt;dots&gt;</w:t>
      </w:r>
      <w:r>
        <w:t>…</w:t>
      </w:r>
      <w:r>
        <w:rPr>
          <w:rStyle w:val="htmlcodes"/>
        </w:rPr>
        <w:t>&lt;/dots&gt;</w:t>
      </w:r>
      <w:r>
        <w:t>x5” indicates that “klama” is a five-place predicate, and show</w:t>
      </w:r>
      <w:r>
        <w:rPr>
          <w:rStyle w:val="deletedparamark"/>
        </w:rPr>
        <w:t xml:space="preserve"> </w:t>
      </w:r>
      <w:r>
        <w:t>the natural order (as assigned by the language engineers) of those</w:t>
      </w:r>
      <w:r>
        <w:rPr>
          <w:rStyle w:val="deletedparamark"/>
        </w:rPr>
        <w:t xml:space="preserve"> </w:t>
      </w:r>
      <w:r>
        <w:t>places: agent, destination, origin, route, means.</w:t>
      </w:r>
    </w:p>
    <w:p w:rsidR="00B72047" w:rsidRDefault="00B72047">
      <w:pPr>
        <w:rPr>
          <w:rStyle w:val="htmlparacode"/>
        </w:rPr>
      </w:pPr>
      <w:r>
        <w:rPr>
          <w:rStyle w:val="htmlparacode"/>
        </w:rPr>
        <w:t>&lt;p&gt;</w:t>
      </w:r>
    </w:p>
    <w:p w:rsidR="00B72047" w:rsidRDefault="00B72047">
      <w:pPr>
        <w:pStyle w:val="normalparagraph"/>
      </w:pPr>
      <w:r>
        <w:rPr>
          <w:rStyle w:val="indexentry"/>
        </w:rPr>
        <w:t>&lt;cx "place structure, instability of"&gt;</w:t>
      </w:r>
      <w:r>
        <w:rPr>
          <w:rStyle w:val="indexentry"/>
        </w:rPr>
        <w:fldChar w:fldCharType="begin"/>
      </w:r>
      <w:r>
        <w:instrText>xe "</w:instrText>
      </w:r>
      <w:r>
        <w:rPr>
          <w:rStyle w:val="xeentry"/>
        </w:rPr>
        <w:instrText>place structure: instability of</w:instrText>
      </w:r>
      <w:r>
        <w:instrText>"</w:instrText>
      </w:r>
      <w:r>
        <w:rPr>
          <w:rStyle w:val="indexentry"/>
        </w:rPr>
        <w:fldChar w:fldCharType="end"/>
      </w:r>
      <w:r>
        <w:t>The place structures of brivla are not absolutely stable as</w:t>
      </w:r>
      <w:r>
        <w:softHyphen/>
        <w:t>pects of the language.</w:t>
      </w:r>
      <w:r>
        <w:rPr>
          <w:rStyle w:val="deletedparamark"/>
        </w:rPr>
        <w:t xml:space="preserve"> </w:t>
      </w:r>
      <w:r>
        <w:t>The work done so far has attempted to estab</w:t>
      </w:r>
      <w:r>
        <w:softHyphen/>
        <w:t>lish a basic place structure</w:t>
      </w:r>
      <w:r>
        <w:rPr>
          <w:rStyle w:val="deletedparamark"/>
        </w:rPr>
        <w:t xml:space="preserve"> </w:t>
      </w:r>
      <w:r>
        <w:t>on which all users can, at first, agree. In the light of actual experience</w:t>
      </w:r>
      <w:r>
        <w:rPr>
          <w:rStyle w:val="deletedparamark"/>
        </w:rPr>
        <w:t xml:space="preserve"> </w:t>
      </w:r>
      <w:r>
        <w:t>with the individual selbri of the lan</w:t>
      </w:r>
      <w:r>
        <w:softHyphen/>
        <w:t>guage, there will inevitably be</w:t>
      </w:r>
      <w:r>
        <w:rPr>
          <w:rStyle w:val="deletedparamark"/>
        </w:rPr>
        <w:t xml:space="preserve"> </w:t>
      </w:r>
      <w:r>
        <w:t>some degree of change to the brivla place struc</w:t>
      </w:r>
      <w:r>
        <w:softHyphen/>
        <w:t>tures.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311" w:name="_Toc398970557"/>
      <w:r>
        <w:rPr>
          <w:rStyle w:val="Heading3Text"/>
        </w:rPr>
        <w:t>Standard bridi form: “cu”</w:t>
      </w:r>
      <w:bookmarkEnd w:id="31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cu</w:t>
      </w:r>
      <w:r>
        <w:tab/>
        <w:t>CU</w:t>
      </w:r>
      <w:r>
        <w:tab/>
        <w:t>prefixed selbri separator</w:t>
      </w:r>
    </w:p>
    <w:p w:rsidR="00B72047" w:rsidRDefault="00B72047">
      <w:pPr>
        <w:pStyle w:val="normalafterexample"/>
      </w:pPr>
      <w:r>
        <w:rPr>
          <w:rStyle w:val="htmlcodes"/>
        </w:rPr>
        <w:t>&lt;/pre&gt;</w:t>
      </w:r>
      <w:r>
        <w:rPr>
          <w:rStyle w:val="indexentry"/>
        </w:rPr>
        <w:t>&lt;cx "bridi, building from selbri and sumti"&gt;</w:t>
      </w:r>
      <w:r>
        <w:rPr>
          <w:rStyle w:val="indexentry"/>
        </w:rPr>
        <w:fldChar w:fldCharType="begin"/>
      </w:r>
      <w:r>
        <w:instrText>xe "</w:instrText>
      </w:r>
      <w:r>
        <w:rPr>
          <w:rStyle w:val="xeentry"/>
        </w:rPr>
        <w:instrText>bridi: building from selbri and sumti</w:instrText>
      </w:r>
      <w:r>
        <w:instrText>"</w:instrText>
      </w:r>
      <w:r>
        <w:rPr>
          <w:rStyle w:val="indexentry"/>
        </w:rPr>
        <w:fldChar w:fldCharType="end"/>
      </w:r>
      <w:r>
        <w:t>The most usual way of constructing a bridi from a selbri such as “klama”</w:t>
      </w:r>
      <w:r>
        <w:rPr>
          <w:rStyle w:val="deletedparamark"/>
        </w:rPr>
        <w:t xml:space="preserve"> </w:t>
      </w:r>
      <w:r>
        <w:t>and an a</w:t>
      </w:r>
      <w:r>
        <w:t>p</w:t>
      </w:r>
      <w:r>
        <w:softHyphen/>
        <w:t>propriate number of sumti is to place the sumti in</w:t>
      </w:r>
      <w:r>
        <w:softHyphen/>
        <w:t>tended for the</w:t>
      </w:r>
      <w:r>
        <w:rPr>
          <w:rStyle w:val="deletedparamark"/>
        </w:rPr>
        <w:t xml:space="preserve"> </w:t>
      </w:r>
      <w:r>
        <w:t>x1 place before the selbri, and all the other sumti in order after the</w:t>
      </w:r>
      <w:r>
        <w:rPr>
          <w:rStyle w:val="deletedparamark"/>
        </w:rPr>
        <w:t xml:space="preserve"> </w:t>
      </w:r>
      <w:r>
        <w:t>selbri, thus:</w:t>
      </w:r>
    </w:p>
    <w:p w:rsidR="00B72047" w:rsidRDefault="00B72047">
      <w:pPr>
        <w:rPr>
          <w:rStyle w:val="htmlparacode"/>
        </w:rPr>
      </w:pPr>
      <w:r>
        <w:rPr>
          <w:rStyle w:val="htmlparacode"/>
        </w:rPr>
        <w:t>&lt;p&gt;</w:t>
      </w:r>
    </w:p>
    <w:p w:rsidR="00B72047" w:rsidRDefault="00B72047">
      <w:pPr>
        <w:pStyle w:val="examplescaledpre"/>
      </w:pPr>
      <w:r>
        <w:rPr>
          <w:rStyle w:val="indexentry"/>
        </w:rPr>
        <w:t>&lt;ex "Boston from Atlanta"&gt;</w:t>
      </w:r>
      <w:r>
        <w:rPr>
          <w:rStyle w:val="indexentry"/>
        </w:rPr>
        <w:fldChar w:fldCharType="begin"/>
      </w:r>
      <w:r>
        <w:instrText>xe "</w:instrText>
      </w:r>
      <w:r>
        <w:rPr>
          <w:rStyle w:val="xeentry"/>
        </w:rPr>
        <w:instrText>Boston from Atlanta: example</w:instrText>
      </w:r>
      <w:r>
        <w:instrText>"</w:instrText>
      </w:r>
      <w:r>
        <w:rPr>
          <w:rStyle w:val="indexentry"/>
        </w:rPr>
        <w:fldChar w:fldCharType="end"/>
      </w:r>
      <w:r>
        <w:rPr>
          <w:rStyle w:val="indexentry"/>
        </w:rPr>
        <w:t>&lt;ex "go to Boston from Atlanta"&gt;</w:t>
      </w:r>
      <w:r>
        <w:rPr>
          <w:rStyle w:val="indexentry"/>
        </w:rPr>
        <w:fldChar w:fldCharType="begin"/>
      </w:r>
      <w:r>
        <w:instrText>xe "</w:instrText>
      </w:r>
      <w:r>
        <w:rPr>
          <w:rStyle w:val="xeentry"/>
        </w:rPr>
        <w:instrText>go to Boston from Atlanta: example</w:instrText>
      </w:r>
      <w:r>
        <w:instrText>"</w:instrText>
      </w:r>
      <w:r>
        <w:rPr>
          <w:rStyle w:val="indexentry"/>
        </w:rPr>
        <w:fldChar w:fldCharType="end"/>
      </w:r>
      <w:r>
        <w:rPr>
          <w:rStyle w:val="htmlcodes"/>
        </w:rPr>
        <w:t>&lt;pre&gt;&lt;a name=e2d1&gt;</w:t>
      </w:r>
      <w:r>
        <w:t>2.1)</w:t>
      </w:r>
      <w:r>
        <w:tab/>
        <w:t>mi cu klama la bastn. la .atlantas. le dargu le karce</w:t>
      </w:r>
    </w:p>
    <w:p w:rsidR="00B72047" w:rsidRDefault="00B72047">
      <w:pPr>
        <w:pStyle w:val="examplescaled"/>
      </w:pPr>
      <w:r>
        <w:tab/>
        <w:t>I go to-Boston from-Atlanta via-the road using-the car.</w:t>
      </w:r>
    </w:p>
    <w:p w:rsidR="00B72047" w:rsidRDefault="00B72047">
      <w:pPr>
        <w:pStyle w:val="resumedafterexample"/>
      </w:pPr>
      <w:r>
        <w:rPr>
          <w:rStyle w:val="htmlcodes"/>
        </w:rPr>
        <w:t>&lt;/pre&gt;&lt;p&gt;</w:t>
      </w:r>
      <w:r>
        <w:t>Here the sumti are assigned to the places as follows:</w:t>
      </w:r>
    </w:p>
    <w:p w:rsidR="00B72047" w:rsidRDefault="00B72047">
      <w:pPr>
        <w:pStyle w:val="examplecomptabs"/>
        <w:rPr>
          <w:rStyle w:val="htmlparacode"/>
        </w:rPr>
      </w:pPr>
      <w:r>
        <w:rPr>
          <w:rStyle w:val="htmlparacode"/>
          <w:vanish w:val="0"/>
        </w:rPr>
        <w:br w:type="page"/>
      </w:r>
      <w:r>
        <w:rPr>
          <w:rStyle w:val="htmlparacode"/>
        </w:rPr>
        <w:t>&lt;p&gt;</w:t>
      </w:r>
    </w:p>
    <w:p w:rsidR="00B72047" w:rsidRDefault="00B72047">
      <w:pPr>
        <w:pStyle w:val="examplecomptabspre"/>
        <w:spacing w:before="0"/>
      </w:pPr>
      <w:r>
        <w:rPr>
          <w:rStyle w:val="htmlcodes"/>
        </w:rPr>
        <w:t>&lt;pre&gt;</w:t>
      </w:r>
      <w:r>
        <w:t xml:space="preserve"> </w:t>
      </w:r>
      <w:r>
        <w:tab/>
      </w:r>
      <w:r>
        <w:tab/>
        <w:t>x1</w:t>
      </w:r>
      <w:r>
        <w:tab/>
        <w:t>agent</w:t>
      </w:r>
      <w:r>
        <w:tab/>
        <w:t>mi</w:t>
      </w:r>
    </w:p>
    <w:p w:rsidR="00B72047" w:rsidRDefault="00B72047">
      <w:pPr>
        <w:pStyle w:val="examplecomptabs"/>
      </w:pPr>
      <w:r>
        <w:tab/>
      </w:r>
      <w:r>
        <w:tab/>
        <w:t>x2</w:t>
      </w:r>
      <w:r>
        <w:tab/>
        <w:t>destination</w:t>
      </w:r>
      <w:r>
        <w:tab/>
        <w:t>la bastn.</w:t>
      </w:r>
    </w:p>
    <w:p w:rsidR="00B72047" w:rsidRDefault="00B72047">
      <w:pPr>
        <w:pStyle w:val="examplecomptabs"/>
      </w:pPr>
      <w:r>
        <w:tab/>
      </w:r>
      <w:r>
        <w:tab/>
        <w:t>x3</w:t>
      </w:r>
      <w:r>
        <w:tab/>
        <w:t>origin</w:t>
      </w:r>
      <w:r>
        <w:tab/>
        <w:t>la .atlantas.</w:t>
      </w:r>
    </w:p>
    <w:p w:rsidR="00B72047" w:rsidRDefault="00B72047">
      <w:pPr>
        <w:pStyle w:val="examplecomptabs"/>
      </w:pPr>
      <w:r>
        <w:tab/>
      </w:r>
      <w:r>
        <w:tab/>
        <w:t>x4</w:t>
      </w:r>
      <w:r>
        <w:tab/>
        <w:t>route</w:t>
      </w:r>
      <w:r>
        <w:tab/>
        <w:t>le dargu</w:t>
      </w:r>
    </w:p>
    <w:p w:rsidR="00B72047" w:rsidRDefault="00B72047">
      <w:pPr>
        <w:pStyle w:val="examplecomptabs"/>
      </w:pPr>
      <w:r>
        <w:tab/>
      </w:r>
      <w:r>
        <w:tab/>
        <w:t>x5</w:t>
      </w:r>
      <w:r>
        <w:tab/>
        <w:t>means</w:t>
      </w:r>
      <w:r>
        <w:tab/>
        <w:t>le karce</w:t>
      </w:r>
    </w:p>
    <w:p w:rsidR="00B72047" w:rsidRDefault="00B72047">
      <w:pPr>
        <w:pStyle w:val="resumedafterexample"/>
      </w:pPr>
      <w:r>
        <w:rPr>
          <w:rStyle w:val="htmlcodes"/>
        </w:rPr>
        <w:t>&lt;/pre&gt;</w:t>
      </w:r>
      <w:r>
        <w:t>(Note: Many of the examples in the rest of this chapter will turn out to have</w:t>
      </w:r>
      <w:r>
        <w:rPr>
          <w:rStyle w:val="deletedparamark"/>
        </w:rPr>
        <w:t xml:space="preserve"> </w:t>
      </w:r>
      <w:r>
        <w:t xml:space="preserve">the same meaning as </w:t>
      </w:r>
      <w:r>
        <w:rPr>
          <w:rStyle w:val="htmlcodes"/>
        </w:rPr>
        <w:t>&lt;a href=#e2d1&gt;</w:t>
      </w:r>
      <w:r>
        <w:t>Example 2.1</w:t>
      </w:r>
      <w:r>
        <w:rPr>
          <w:rStyle w:val="htmlcodes"/>
        </w:rPr>
        <w:t>&lt;/a&gt;</w:t>
      </w:r>
      <w:r>
        <w:t>; this fact will not be reiter</w:t>
      </w:r>
      <w:r>
        <w:softHyphen/>
        <w:t>ated.)</w:t>
      </w:r>
    </w:p>
    <w:p w:rsidR="00B72047" w:rsidRDefault="00B72047">
      <w:pPr>
        <w:rPr>
          <w:rStyle w:val="htmlparacode"/>
        </w:rPr>
      </w:pPr>
      <w:r>
        <w:rPr>
          <w:rStyle w:val="htmlparacode"/>
        </w:rPr>
        <w:t>&lt;p&gt;</w:t>
      </w:r>
    </w:p>
    <w:p w:rsidR="00B72047" w:rsidRDefault="00B72047">
      <w:pPr>
        <w:pStyle w:val="normalparagraph"/>
      </w:pPr>
      <w:r>
        <w:rPr>
          <w:rStyle w:val="indexentry"/>
        </w:rPr>
        <w:t>&lt;cx "bridi, standard form of"&gt;</w:t>
      </w:r>
      <w:r>
        <w:rPr>
          <w:rStyle w:val="indexentry"/>
        </w:rPr>
        <w:fldChar w:fldCharType="begin"/>
      </w:r>
      <w:r>
        <w:instrText>xe "</w:instrText>
      </w:r>
      <w:r>
        <w:rPr>
          <w:rStyle w:val="xeentry"/>
        </w:rPr>
        <w:instrText>bridi: standard form of</w:instrText>
      </w:r>
      <w:r>
        <w:instrText>"</w:instrText>
      </w:r>
      <w:r>
        <w:rPr>
          <w:rStyle w:val="indexentry"/>
        </w:rPr>
        <w:fldChar w:fldCharType="end"/>
      </w:r>
      <w:r>
        <w:rPr>
          <w:rStyle w:val="indexentry"/>
        </w:rPr>
        <w:t>&lt;cx "standard bridi form, definition"&gt;</w:t>
      </w:r>
      <w:r>
        <w:rPr>
          <w:rStyle w:val="indexentry"/>
        </w:rPr>
        <w:fldChar w:fldCharType="begin"/>
      </w:r>
      <w:r>
        <w:instrText>xe "</w:instrText>
      </w:r>
      <w:r>
        <w:rPr>
          <w:rStyle w:val="xeentry"/>
        </w:rPr>
        <w:instrText>standard bridi form: definition</w:instrText>
      </w:r>
      <w:r>
        <w:instrText>"</w:instrText>
      </w:r>
      <w:r>
        <w:rPr>
          <w:rStyle w:val="indexentry"/>
        </w:rPr>
        <w:fldChar w:fldCharType="end"/>
      </w:r>
      <w:r>
        <w:rPr>
          <w:rStyle w:val="indexentry"/>
        </w:rPr>
        <w:t>&lt;cx "bridi, non-standard form"&gt;</w:t>
      </w:r>
      <w:r>
        <w:rPr>
          <w:rStyle w:val="indexentry"/>
        </w:rPr>
        <w:fldChar w:fldCharType="begin"/>
      </w:r>
      <w:r>
        <w:instrText>xe "</w:instrText>
      </w:r>
      <w:r>
        <w:rPr>
          <w:rStyle w:val="xeentry"/>
        </w:rPr>
        <w:instrText>bridi: non-standard form</w:instrText>
      </w:r>
      <w:r>
        <w:instrText>"</w:instrText>
      </w:r>
      <w:r>
        <w:rPr>
          <w:rStyle w:val="indexentry"/>
        </w:rPr>
        <w:fldChar w:fldCharType="end"/>
      </w:r>
      <w:r>
        <w:t>This ordering, with the x1 place before the selbri and all other places in</w:t>
      </w:r>
      <w:r>
        <w:rPr>
          <w:rStyle w:val="deletedparamark"/>
        </w:rPr>
        <w:t xml:space="preserve"> </w:t>
      </w:r>
      <w:r>
        <w:t>natural order after the selbri, is called “standard bridi form”, and is</w:t>
      </w:r>
      <w:r>
        <w:rPr>
          <w:rStyle w:val="deletedparamark"/>
        </w:rPr>
        <w:t xml:space="preserve"> </w:t>
      </w:r>
      <w:r>
        <w:t>found in the bulk of Lojban bridi, whether used in main sen</w:t>
      </w:r>
      <w:r>
        <w:softHyphen/>
        <w:t>tences or in</w:t>
      </w:r>
      <w:r>
        <w:rPr>
          <w:rStyle w:val="deletedparamark"/>
        </w:rPr>
        <w:t xml:space="preserve"> </w:t>
      </w:r>
      <w:r>
        <w:t>subordinate clauses. However, many other forms are possible, such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name=e2d2&gt;</w:t>
      </w:r>
      <w:r>
        <w:t>2.2)</w:t>
      </w:r>
      <w:r>
        <w:tab/>
        <w:t>mi la bastn. la .atlantas. le dargu le karce cu klama</w:t>
      </w:r>
    </w:p>
    <w:p w:rsidR="00B72047" w:rsidRDefault="00B72047">
      <w:pPr>
        <w:pStyle w:val="examplescaled"/>
      </w:pPr>
      <w:r>
        <w:tab/>
        <w:t>I, to-Boston from-Atlanta via-the road using-the car, go.</w:t>
      </w:r>
    </w:p>
    <w:p w:rsidR="00B72047" w:rsidRDefault="00B72047">
      <w:pPr>
        <w:pStyle w:val="resumedafterexample"/>
      </w:pPr>
      <w:r>
        <w:rPr>
          <w:rStyle w:val="htmlcodes"/>
        </w:rPr>
        <w:t>&lt;/pre&gt;</w:t>
      </w:r>
      <w:r>
        <w:rPr>
          <w:rStyle w:val="indexentry"/>
        </w:rPr>
        <w:t>&lt;cx "bridi, effect of alternate form on sumti order"&gt;</w:t>
      </w:r>
      <w:r>
        <w:rPr>
          <w:rStyle w:val="indexentry"/>
        </w:rPr>
        <w:fldChar w:fldCharType="begin"/>
      </w:r>
      <w:r>
        <w:instrText>xe "</w:instrText>
      </w:r>
      <w:r>
        <w:rPr>
          <w:rStyle w:val="xeentry"/>
        </w:rPr>
        <w:instrText>bridi: effect of alternate form on sumti order</w:instrText>
      </w:r>
      <w:r>
        <w:instrText>"</w:instrText>
      </w:r>
      <w:r>
        <w:rPr>
          <w:rStyle w:val="indexentry"/>
        </w:rPr>
        <w:fldChar w:fldCharType="end"/>
      </w:r>
      <w:r>
        <w:t>Here the selbri is at the end; all the sumti are placed before it. How</w:t>
      </w:r>
      <w:r>
        <w:softHyphen/>
        <w:t>ever,</w:t>
      </w:r>
      <w:r>
        <w:rPr>
          <w:rStyle w:val="deletedparamark"/>
        </w:rPr>
        <w:t xml:space="preserve"> </w:t>
      </w:r>
      <w:r>
        <w:t>the same order is maintained.</w:t>
      </w:r>
    </w:p>
    <w:p w:rsidR="00B72047" w:rsidRDefault="00B72047">
      <w:pPr>
        <w:rPr>
          <w:rStyle w:val="htmlparacode"/>
        </w:rPr>
      </w:pPr>
      <w:r>
        <w:rPr>
          <w:rStyle w:val="htmlparacode"/>
        </w:rPr>
        <w:t>&lt;p&gt;</w:t>
      </w:r>
    </w:p>
    <w:p w:rsidR="00B72047" w:rsidRDefault="00B72047">
      <w:pPr>
        <w:pStyle w:val="normalparagraph"/>
      </w:pPr>
      <w:r>
        <w:t>Similarly, we may split up the sumti, putting some before the selbri and</w:t>
      </w:r>
      <w:r>
        <w:rPr>
          <w:rStyle w:val="deletedparamark"/>
        </w:rPr>
        <w:t xml:space="preserve"> </w:t>
      </w:r>
      <w:r>
        <w:t>others after it: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mi la bastn. cu klama la .atlantas. le dargu le karce</w:t>
      </w:r>
    </w:p>
    <w:p w:rsidR="00B72047" w:rsidRDefault="00B72047">
      <w:pPr>
        <w:pStyle w:val="examplescaled"/>
      </w:pPr>
      <w:r>
        <w:tab/>
        <w:t>I to-Boston go from-Atlanta via-the road using-the car.</w:t>
      </w:r>
    </w:p>
    <w:p w:rsidR="00B72047" w:rsidRDefault="00B72047">
      <w:pPr>
        <w:pStyle w:val="resumedafterexample"/>
      </w:pPr>
      <w:r>
        <w:rPr>
          <w:rStyle w:val="htmlcodes"/>
        </w:rPr>
        <w:t>&lt;/pre&gt;</w:t>
      </w:r>
      <w:r>
        <w:rPr>
          <w:rStyle w:val="indexentry"/>
        </w:rPr>
        <w:t>&lt;cx "bridi, effect of using non-standard form"&gt;</w:t>
      </w:r>
      <w:r>
        <w:rPr>
          <w:rStyle w:val="indexentry"/>
        </w:rPr>
        <w:fldChar w:fldCharType="begin"/>
      </w:r>
      <w:r>
        <w:instrText>xe "</w:instrText>
      </w:r>
      <w:r>
        <w:rPr>
          <w:rStyle w:val="xeentry"/>
        </w:rPr>
        <w:instrText>bridi: effect of using non-standard form</w:instrText>
      </w:r>
      <w:r>
        <w:instrText>"</w:instrText>
      </w:r>
      <w:r>
        <w:rPr>
          <w:rStyle w:val="indexentry"/>
        </w:rPr>
        <w:fldChar w:fldCharType="end"/>
      </w:r>
      <w:r>
        <w:rPr>
          <w:rStyle w:val="indexentry"/>
        </w:rPr>
        <w:t>&lt;cx "emphasis, changing by using non-standard form of bridi"&gt;</w:t>
      </w:r>
      <w:r>
        <w:rPr>
          <w:rStyle w:val="indexentry"/>
        </w:rPr>
        <w:fldChar w:fldCharType="begin"/>
      </w:r>
      <w:r>
        <w:instrText>xe "</w:instrText>
      </w:r>
      <w:r>
        <w:rPr>
          <w:rStyle w:val="xeentry"/>
        </w:rPr>
        <w:instrText>emphasis: changing by using non-standard form of bridi</w:instrText>
      </w:r>
      <w:r>
        <w:instrText>"</w:instrText>
      </w:r>
      <w:r>
        <w:rPr>
          <w:rStyle w:val="indexentry"/>
        </w:rPr>
        <w:fldChar w:fldCharType="end"/>
      </w:r>
      <w:r>
        <w:t>All of the variant forms in this section and following sections can be</w:t>
      </w:r>
      <w:r>
        <w:rPr>
          <w:rStyle w:val="deletedparamark"/>
        </w:rPr>
        <w:t xml:space="preserve"> </w:t>
      </w:r>
      <w:r>
        <w:t>used to place em</w:t>
      </w:r>
      <w:r>
        <w:softHyphen/>
        <w:t>phasis on the part or parts which have been moved out</w:t>
      </w:r>
      <w:r>
        <w:rPr>
          <w:rStyle w:val="deletedparamark"/>
        </w:rPr>
        <w:t xml:space="preserve"> </w:t>
      </w:r>
      <w:r>
        <w:t xml:space="preserve">of their standard places. Thus, </w:t>
      </w:r>
      <w:r>
        <w:rPr>
          <w:rStyle w:val="htmlcodes"/>
        </w:rPr>
        <w:t>&lt;a href=#e2d2&gt;</w:t>
      </w:r>
      <w:r>
        <w:t>Ex</w:t>
      </w:r>
      <w:r>
        <w:softHyphen/>
        <w:t xml:space="preserve">ample 2.2 </w:t>
      </w:r>
      <w:r>
        <w:rPr>
          <w:rStyle w:val="htmlcodes"/>
        </w:rPr>
        <w:t>&lt;/a&gt;</w:t>
      </w:r>
      <w:r>
        <w:t>places emphasis on the</w:t>
      </w:r>
      <w:r>
        <w:rPr>
          <w:rStyle w:val="deletedparamark"/>
        </w:rPr>
        <w:t xml:space="preserve"> </w:t>
      </w:r>
      <w:r>
        <w:t xml:space="preserve">selbri (because it is at the end); </w:t>
      </w:r>
      <w:r>
        <w:rPr>
          <w:rStyle w:val="htmlcodes"/>
        </w:rPr>
        <w:t>&lt;a href=#e2d3&gt;</w:t>
      </w:r>
      <w:r>
        <w:t xml:space="preserve">Example 2.3 </w:t>
      </w:r>
      <w:r>
        <w:rPr>
          <w:rStyle w:val="htmlcodes"/>
        </w:rPr>
        <w:t>&lt;/a&gt;</w:t>
      </w:r>
      <w:r>
        <w:t>em</w:t>
      </w:r>
      <w:r>
        <w:softHyphen/>
        <w:t>pha</w:t>
      </w:r>
      <w:r>
        <w:softHyphen/>
        <w:t>sizes “la bastn.”,</w:t>
      </w:r>
      <w:r>
        <w:rPr>
          <w:rStyle w:val="deletedparamark"/>
        </w:rPr>
        <w:t xml:space="preserve"> </w:t>
      </w:r>
      <w:r>
        <w:t>because it has been moved before the selbri. Moving more than one</w:t>
      </w:r>
      <w:r>
        <w:rPr>
          <w:rStyle w:val="deletedparamark"/>
        </w:rPr>
        <w:t xml:space="preserve"> </w:t>
      </w:r>
      <w:r>
        <w:t>component may dilute this emphasis. It is permitted, but no stylistic</w:t>
      </w:r>
      <w:r>
        <w:rPr>
          <w:rStyle w:val="deletedparamark"/>
        </w:rPr>
        <w:t xml:space="preserve"> </w:t>
      </w:r>
      <w:r>
        <w:t>significance has yet been established for drastic reordering.</w:t>
      </w:r>
    </w:p>
    <w:p w:rsidR="00B72047" w:rsidRDefault="00B72047">
      <w:pPr>
        <w:rPr>
          <w:rStyle w:val="htmlparacode"/>
        </w:rPr>
      </w:pPr>
      <w:r>
        <w:rPr>
          <w:rStyle w:val="htmlparacode"/>
        </w:rPr>
        <w:t>&lt;p&gt;</w:t>
      </w:r>
    </w:p>
    <w:p w:rsidR="00B72047" w:rsidRDefault="00B72047">
      <w:pPr>
        <w:pStyle w:val="normalparagraph"/>
      </w:pPr>
      <w:r>
        <w:rPr>
          <w:rStyle w:val="indexentry"/>
        </w:rPr>
        <w:t>&lt;lx "cu"&gt;</w:t>
      </w:r>
      <w:r>
        <w:rPr>
          <w:rStyle w:val="indexentry"/>
        </w:rPr>
        <w:fldChar w:fldCharType="begin"/>
      </w:r>
      <w:r>
        <w:instrText>xe "</w:instrText>
      </w:r>
      <w:r>
        <w:rPr>
          <w:rStyle w:val="xeentry"/>
        </w:rPr>
        <w:instrText>cu</w:instrText>
      </w:r>
      <w:r>
        <w:instrText>"</w:instrText>
      </w:r>
      <w:r>
        <w:rPr>
          <w:rStyle w:val="indexentry"/>
        </w:rPr>
        <w:fldChar w:fldCharType="end"/>
      </w:r>
      <w:r>
        <w:rPr>
          <w:rStyle w:val="indexentry"/>
        </w:rPr>
        <w:t>&lt;lx "CU"&gt;</w:t>
      </w:r>
      <w:r>
        <w:rPr>
          <w:rStyle w:val="indexentry"/>
        </w:rPr>
        <w:fldChar w:fldCharType="begin"/>
      </w:r>
      <w:r>
        <w:instrText>xe "</w:instrText>
      </w:r>
      <w:r>
        <w:rPr>
          <w:rStyle w:val="xeentry"/>
        </w:rPr>
        <w:instrText>CU selma’o</w:instrText>
      </w:r>
      <w:r>
        <w:instrText>"</w:instrText>
      </w:r>
      <w:r>
        <w:rPr>
          <w:rStyle w:val="indexentry"/>
        </w:rPr>
        <w:fldChar w:fldCharType="end"/>
      </w:r>
      <w:r>
        <w:rPr>
          <w:rStyle w:val="indexentry"/>
        </w:rPr>
        <w:t>&lt;cx "cu, as selbri separator"&gt;</w:t>
      </w:r>
      <w:r>
        <w:rPr>
          <w:rStyle w:val="indexentry"/>
        </w:rPr>
        <w:fldChar w:fldCharType="begin"/>
      </w:r>
      <w:r>
        <w:instrText>xe "</w:instrText>
      </w:r>
      <w:r>
        <w:rPr>
          <w:rStyle w:val="xeentry"/>
        </w:rPr>
        <w:instrText>cu: as selbri separator</w:instrText>
      </w:r>
      <w:r>
        <w:instrText>"</w:instrText>
      </w:r>
      <w:r>
        <w:rPr>
          <w:rStyle w:val="indexentry"/>
        </w:rPr>
        <w:fldChar w:fldCharType="end"/>
      </w:r>
      <w:r>
        <w:rPr>
          <w:rStyle w:val="indexentry"/>
        </w:rPr>
        <w:t>&lt;cx "cu, necessity of"&gt;</w:t>
      </w:r>
      <w:r>
        <w:rPr>
          <w:rStyle w:val="indexentry"/>
        </w:rPr>
        <w:fldChar w:fldCharType="begin"/>
      </w:r>
      <w:r>
        <w:instrText>xe "</w:instrText>
      </w:r>
      <w:r>
        <w:rPr>
          <w:rStyle w:val="xeentry"/>
        </w:rPr>
        <w:instrText>cu: necessity of</w:instrText>
      </w:r>
      <w:r>
        <w:instrText>"</w:instrText>
      </w:r>
      <w:r>
        <w:rPr>
          <w:rStyle w:val="indexentry"/>
        </w:rPr>
        <w:fldChar w:fldCharType="end"/>
      </w:r>
      <w:r>
        <w:rPr>
          <w:rStyle w:val="indexentry"/>
        </w:rPr>
        <w:t>&lt;cx "cu, usefulness of"&gt;</w:t>
      </w:r>
      <w:r>
        <w:rPr>
          <w:rStyle w:val="indexentry"/>
        </w:rPr>
        <w:fldChar w:fldCharType="begin"/>
      </w:r>
      <w:r>
        <w:instrText>xe "</w:instrText>
      </w:r>
      <w:r>
        <w:rPr>
          <w:rStyle w:val="xeentry"/>
        </w:rPr>
        <w:instrText>cu: usefulness of</w:instrText>
      </w:r>
      <w:r>
        <w:instrText>"</w:instrText>
      </w:r>
      <w:r>
        <w:rPr>
          <w:rStyle w:val="indexentry"/>
        </w:rPr>
        <w:fldChar w:fldCharType="end"/>
      </w:r>
      <w:r>
        <w:rPr>
          <w:rStyle w:val="indexentry"/>
        </w:rPr>
        <w:t>&lt;cx "cu, effect on elidable terminators"&gt;</w:t>
      </w:r>
      <w:r>
        <w:rPr>
          <w:rStyle w:val="indexentry"/>
        </w:rPr>
        <w:fldChar w:fldCharType="begin"/>
      </w:r>
      <w:r>
        <w:instrText>xe "</w:instrText>
      </w:r>
      <w:r>
        <w:rPr>
          <w:rStyle w:val="xeentry"/>
        </w:rPr>
        <w:instrText>cu: effect on elidable terminators</w:instrText>
      </w:r>
      <w:r>
        <w:instrText>"</w:instrText>
      </w:r>
      <w:r>
        <w:rPr>
          <w:rStyle w:val="indexentry"/>
        </w:rPr>
        <w:fldChar w:fldCharType="end"/>
      </w:r>
      <w:r>
        <w:t>In all these examples, the cmavo “cu” (belonging to selma'o CU) is used</w:t>
      </w:r>
      <w:r>
        <w:rPr>
          <w:rStyle w:val="deletedparamark"/>
        </w:rPr>
        <w:t xml:space="preserve"> </w:t>
      </w:r>
      <w:r>
        <w:t>to separate the selbri from any preceding sumti. It is never absolutely</w:t>
      </w:r>
      <w:r>
        <w:rPr>
          <w:rStyle w:val="deletedparamark"/>
        </w:rPr>
        <w:t xml:space="preserve"> </w:t>
      </w:r>
      <w:r>
        <w:t>necessary to use “cu”. Ho</w:t>
      </w:r>
      <w:r>
        <w:t>w</w:t>
      </w:r>
      <w:r>
        <w:softHyphen/>
        <w:t>ever, providing it helps the reader or</w:t>
      </w:r>
      <w:r>
        <w:rPr>
          <w:rStyle w:val="deletedparamark"/>
        </w:rPr>
        <w:t xml:space="preserve"> </w:t>
      </w:r>
      <w:r>
        <w:t>listener to locate the selbri quickly, and may make it possible to place</w:t>
      </w:r>
      <w:r>
        <w:rPr>
          <w:rStyle w:val="deletedparamark"/>
        </w:rPr>
        <w:t xml:space="preserve"> </w:t>
      </w:r>
      <w:r>
        <w:t>a complex sumti just before the selbri, allowing the speaker to omit</w:t>
      </w:r>
      <w:r>
        <w:rPr>
          <w:rStyle w:val="deletedparamark"/>
        </w:rPr>
        <w:t xml:space="preserve"> </w:t>
      </w:r>
      <w:r>
        <w:t>el</w:t>
      </w:r>
      <w:r>
        <w:t>i</w:t>
      </w:r>
      <w:r>
        <w:softHyphen/>
        <w:t>dable terminators, possibly a whole stream of them, that would oth</w:t>
      </w:r>
      <w:r>
        <w:softHyphen/>
        <w:t>erwise</w:t>
      </w:r>
      <w:r>
        <w:rPr>
          <w:rStyle w:val="deletedparamark"/>
        </w:rPr>
        <w:t xml:space="preserve"> </w:t>
      </w:r>
      <w:r>
        <w:t>be necessary.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"sumti, order in selbri"&gt;</w:t>
      </w:r>
      <w:r>
        <w:rPr>
          <w:rStyle w:val="indexentry"/>
        </w:rPr>
        <w:fldChar w:fldCharType="begin"/>
      </w:r>
      <w:r>
        <w:instrText>xe "</w:instrText>
      </w:r>
      <w:r>
        <w:rPr>
          <w:rStyle w:val="xeentry"/>
        </w:rPr>
        <w:instrText>sumti: order in selbri</w:instrText>
      </w:r>
      <w:r>
        <w:instrText>"</w:instrText>
      </w:r>
      <w:r>
        <w:rPr>
          <w:rStyle w:val="indexentry"/>
        </w:rPr>
        <w:fldChar w:fldCharType="end"/>
      </w:r>
      <w:r>
        <w:rPr>
          <w:rStyle w:val="indexentry"/>
        </w:rPr>
        <w:t>&lt;cx "sumti, order in selbri-first bridi"&gt;</w:t>
      </w:r>
      <w:r>
        <w:rPr>
          <w:rStyle w:val="indexentry"/>
        </w:rPr>
        <w:fldChar w:fldCharType="begin"/>
      </w:r>
      <w:r>
        <w:instrText>xe "</w:instrText>
      </w:r>
      <w:r>
        <w:rPr>
          <w:rStyle w:val="xeentry"/>
        </w:rPr>
        <w:instrText>sumti: order in selbri-first bridi</w:instrText>
      </w:r>
      <w:r>
        <w:instrText>"</w:instrText>
      </w:r>
      <w:r>
        <w:rPr>
          <w:rStyle w:val="indexentry"/>
        </w:rPr>
        <w:fldChar w:fldCharType="end"/>
      </w:r>
      <w:r>
        <w:rPr>
          <w:rStyle w:val="indexentry"/>
        </w:rPr>
        <w:t>&lt;cx "sumti, omitted first place in selbri-first bridi"&gt;</w:t>
      </w:r>
      <w:r>
        <w:rPr>
          <w:rStyle w:val="indexentry"/>
        </w:rPr>
        <w:fldChar w:fldCharType="begin"/>
      </w:r>
      <w:r>
        <w:instrText>xe "</w:instrText>
      </w:r>
      <w:r>
        <w:rPr>
          <w:rStyle w:val="xeentry"/>
        </w:rPr>
        <w:instrText>sumti: omitted first place in selbri-first bridi</w:instrText>
      </w:r>
      <w:r>
        <w:instrText>"</w:instrText>
      </w:r>
      <w:r>
        <w:rPr>
          <w:rStyle w:val="indexentry"/>
        </w:rPr>
        <w:fldChar w:fldCharType="end"/>
      </w:r>
      <w:r>
        <w:rPr>
          <w:rStyle w:val="indexentry"/>
        </w:rPr>
        <w:t>&lt;cx "selbri-first bridi, effect on sumti places"&gt;</w:t>
      </w:r>
      <w:r>
        <w:rPr>
          <w:rStyle w:val="indexentry"/>
        </w:rPr>
        <w:fldChar w:fldCharType="begin"/>
      </w:r>
      <w:r>
        <w:instrText>xe "</w:instrText>
      </w:r>
      <w:r>
        <w:rPr>
          <w:rStyle w:val="xeentry"/>
        </w:rPr>
        <w:instrText>selbri-first bridi: effect on sumti places</w:instrText>
      </w:r>
      <w:r>
        <w:instrText>"</w:instrText>
      </w:r>
      <w:r>
        <w:rPr>
          <w:rStyle w:val="indexentry"/>
        </w:rPr>
        <w:fldChar w:fldCharType="end"/>
      </w:r>
      <w:r>
        <w:rPr>
          <w:rStyle w:val="indexentry"/>
        </w:rPr>
        <w:t>&lt;cx "bridi, selbri-first as exceptional"&gt;</w:t>
      </w:r>
      <w:r>
        <w:rPr>
          <w:rStyle w:val="indexentry"/>
        </w:rPr>
        <w:fldChar w:fldCharType="begin"/>
      </w:r>
      <w:r>
        <w:instrText>xe "</w:instrText>
      </w:r>
      <w:r>
        <w:rPr>
          <w:rStyle w:val="xeentry"/>
        </w:rPr>
        <w:instrText>bridi: selbri-first as exceptional</w:instrText>
      </w:r>
      <w:r>
        <w:instrText>"</w:instrText>
      </w:r>
      <w:r>
        <w:rPr>
          <w:rStyle w:val="indexentry"/>
        </w:rPr>
        <w:fldChar w:fldCharType="end"/>
      </w:r>
      <w:r>
        <w:t>The general rule, then, is that the selbri may occur anywhere in the</w:t>
      </w:r>
      <w:r>
        <w:rPr>
          <w:rStyle w:val="deletedparamark"/>
        </w:rPr>
        <w:t xml:space="preserve"> </w:t>
      </w:r>
      <w:r>
        <w:t>bridi as long as the sumti maintain their order. The only excep</w:t>
      </w:r>
      <w:r>
        <w:softHyphen/>
        <w:t>tion</w:t>
      </w:r>
      <w:r>
        <w:rPr>
          <w:rStyle w:val="deletedparamark"/>
        </w:rPr>
        <w:t xml:space="preserve"> </w:t>
      </w:r>
      <w:r>
        <w:t>(and it is an important one) is that if the selbri appears first, the</w:t>
      </w:r>
      <w:r>
        <w:rPr>
          <w:rStyle w:val="deletedparamark"/>
        </w:rPr>
        <w:t xml:space="preserve"> </w:t>
      </w:r>
      <w:r>
        <w:t>x1 sumti is taken to have been omitted: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klama la bastn. la .atlantas. le dargu le karce</w:t>
      </w:r>
    </w:p>
    <w:p w:rsidR="00B72047" w:rsidRDefault="00B72047">
      <w:pPr>
        <w:pStyle w:val="examplescaled"/>
      </w:pPr>
      <w:r>
        <w:tab/>
        <w:t>A-goer to-Boston from-Atlanta via-the road using-the car.</w:t>
      </w:r>
    </w:p>
    <w:p w:rsidR="00B72047" w:rsidRDefault="00B72047">
      <w:pPr>
        <w:pStyle w:val="examplescaled"/>
      </w:pPr>
      <w:r>
        <w:tab/>
        <w:t>Goes to-Boston from-Atlanta via-the road using-the car.</w:t>
      </w:r>
    </w:p>
    <w:p w:rsidR="00B72047" w:rsidRDefault="00B72047">
      <w:pPr>
        <w:pStyle w:val="examplescaled"/>
      </w:pPr>
      <w:r>
        <w:tab/>
        <w:t>Look:  a goer to Boston from Atlanta via the road using the car!</w:t>
      </w:r>
    </w:p>
    <w:p w:rsidR="00B72047" w:rsidRDefault="00B72047">
      <w:pPr>
        <w:pStyle w:val="resumedafterexample"/>
      </w:pPr>
      <w:r>
        <w:rPr>
          <w:rStyle w:val="htmlcodes"/>
        </w:rPr>
        <w:t>&lt;/pre&gt;</w:t>
      </w:r>
      <w:r>
        <w:rPr>
          <w:rStyle w:val="indexentry"/>
        </w:rPr>
        <w:t>&lt;cx "bridi, omitting the first sumti place"&gt;</w:t>
      </w:r>
      <w:r>
        <w:rPr>
          <w:rStyle w:val="indexentry"/>
        </w:rPr>
        <w:fldChar w:fldCharType="begin"/>
      </w:r>
      <w:r>
        <w:instrText>xe "</w:instrText>
      </w:r>
      <w:r>
        <w:rPr>
          <w:rStyle w:val="xeentry"/>
        </w:rPr>
        <w:instrText>bridi: omitting the first sumti place</w:instrText>
      </w:r>
      <w:r>
        <w:instrText>"</w:instrText>
      </w:r>
      <w:r>
        <w:rPr>
          <w:rStyle w:val="indexentry"/>
        </w:rPr>
        <w:fldChar w:fldCharType="end"/>
      </w:r>
      <w:r>
        <w:rPr>
          <w:rStyle w:val="indexentry"/>
        </w:rPr>
        <w:t>&lt;cx "bridi, exception to sumti place structure in"&gt;</w:t>
      </w:r>
      <w:r>
        <w:rPr>
          <w:rStyle w:val="indexentry"/>
        </w:rPr>
        <w:fldChar w:fldCharType="begin"/>
      </w:r>
      <w:r>
        <w:instrText>xe "</w:instrText>
      </w:r>
      <w:r>
        <w:rPr>
          <w:rStyle w:val="xeentry"/>
        </w:rPr>
        <w:instrText>bridi: exception to sumti place structure in</w:instrText>
      </w:r>
      <w:r>
        <w:instrText>"</w:instrText>
      </w:r>
      <w:r>
        <w:rPr>
          <w:rStyle w:val="indexentry"/>
        </w:rPr>
        <w:fldChar w:fldCharType="end"/>
      </w:r>
      <w:r>
        <w:rPr>
          <w:rStyle w:val="indexentry"/>
        </w:rPr>
        <w:t>&lt;cx "observative, definition"&gt;</w:t>
      </w:r>
      <w:r>
        <w:rPr>
          <w:rStyle w:val="indexentry"/>
        </w:rPr>
        <w:fldChar w:fldCharType="begin"/>
      </w:r>
      <w:r>
        <w:instrText>xe "</w:instrText>
      </w:r>
      <w:r>
        <w:rPr>
          <w:rStyle w:val="xeentry"/>
        </w:rPr>
        <w:instrText>observative: definition</w:instrText>
      </w:r>
      <w:r>
        <w:instrText>"</w:instrText>
      </w:r>
      <w:r>
        <w:rPr>
          <w:rStyle w:val="indexentry"/>
        </w:rPr>
        <w:fldChar w:fldCharType="end"/>
      </w:r>
      <w:r>
        <w:rPr>
          <w:rStyle w:val="indexentry"/>
        </w:rPr>
        <w:t>&lt;cx "observative form, contrasted with command"&gt;</w:t>
      </w:r>
      <w:r>
        <w:rPr>
          <w:rStyle w:val="indexentry"/>
        </w:rPr>
        <w:fldChar w:fldCharType="begin"/>
      </w:r>
      <w:r>
        <w:instrText>xe "</w:instrText>
      </w:r>
      <w:r>
        <w:rPr>
          <w:rStyle w:val="xeentry"/>
        </w:rPr>
        <w:instrText>observative form: contrasted with command</w:instrText>
      </w:r>
      <w:r>
        <w:instrText>"</w:instrText>
      </w:r>
      <w:r>
        <w:rPr>
          <w:rStyle w:val="indexentry"/>
        </w:rPr>
        <w:fldChar w:fldCharType="end"/>
      </w:r>
      <w:r>
        <w:rPr>
          <w:rStyle w:val="indexentry"/>
        </w:rPr>
        <w:t>&lt;cx "command, contrasted with observative form"&gt;</w:t>
      </w:r>
      <w:r>
        <w:rPr>
          <w:rStyle w:val="indexentry"/>
        </w:rPr>
        <w:fldChar w:fldCharType="begin"/>
      </w:r>
      <w:r>
        <w:instrText>xe "</w:instrText>
      </w:r>
      <w:r>
        <w:rPr>
          <w:rStyle w:val="xeentry"/>
        </w:rPr>
        <w:instrText>command: contrasted with observative form</w:instrText>
      </w:r>
      <w:r>
        <w:instrText>"</w:instrText>
      </w:r>
      <w:r>
        <w:rPr>
          <w:rStyle w:val="indexentry"/>
        </w:rPr>
        <w:fldChar w:fldCharType="end"/>
      </w:r>
      <w:r>
        <w:t>Here the x1 place is empty: the listener must guess from context who is</w:t>
      </w:r>
      <w:r>
        <w:rPr>
          <w:rStyle w:val="deletedparamark"/>
        </w:rPr>
        <w:t xml:space="preserve"> </w:t>
      </w:r>
      <w:r>
        <w:t>going to Bos</w:t>
      </w:r>
      <w:r>
        <w:softHyphen/>
        <w:t xml:space="preserve">ton. In </w:t>
      </w:r>
      <w:r>
        <w:rPr>
          <w:rStyle w:val="htmlcodes"/>
        </w:rPr>
        <w:t>&lt;a href=#e2d4&gt;</w:t>
      </w:r>
      <w:r>
        <w:t>Example 2.4</w:t>
      </w:r>
      <w:r>
        <w:rPr>
          <w:rStyle w:val="htmlcodes"/>
        </w:rPr>
        <w:t>&lt;/a&gt;</w:t>
      </w:r>
      <w:r>
        <w:t>, “klama” is glossed “a goer” rather than</w:t>
      </w:r>
      <w:r>
        <w:rPr>
          <w:rStyle w:val="deletedparamark"/>
        </w:rPr>
        <w:t xml:space="preserve"> “</w:t>
      </w:r>
      <w:r>
        <w:t>go” because “Go” at the begi</w:t>
      </w:r>
      <w:r>
        <w:t>n</w:t>
      </w:r>
      <w:r>
        <w:softHyphen/>
        <w:t>ning of an English sentence would suggest a</w:t>
      </w:r>
      <w:r>
        <w:rPr>
          <w:rStyle w:val="deletedparamark"/>
        </w:rPr>
        <w:t xml:space="preserve"> </w:t>
      </w:r>
      <w:r>
        <w:t xml:space="preserve">command: “Go to Boston!”. </w:t>
      </w:r>
      <w:r>
        <w:rPr>
          <w:rStyle w:val="htmlcodes"/>
        </w:rPr>
        <w:t>&lt;a href=#e2d4&gt;</w:t>
      </w:r>
      <w:r>
        <w:t xml:space="preserve">Example 2.4 </w:t>
      </w:r>
      <w:r>
        <w:rPr>
          <w:rStyle w:val="htmlcodes"/>
        </w:rPr>
        <w:t>&lt;/a&gt;</w:t>
      </w:r>
      <w:r>
        <w:t>is not a command, simply a normal</w:t>
      </w:r>
      <w:r>
        <w:rPr>
          <w:rStyle w:val="deletedparamark"/>
        </w:rPr>
        <w:t xml:space="preserve"> </w:t>
      </w:r>
      <w:r>
        <w:t>statement with the x1 place unspecified, causing the emphasis to fall on the</w:t>
      </w:r>
      <w:r>
        <w:rPr>
          <w:rStyle w:val="deletedparamark"/>
        </w:rPr>
        <w:t xml:space="preserve"> </w:t>
      </w:r>
      <w:r>
        <w:t>selbri “klama”. Such a bridi, with empty x1, is called an “observative”,</w:t>
      </w:r>
      <w:r>
        <w:rPr>
          <w:rStyle w:val="deletedparamark"/>
        </w:rPr>
        <w:t xml:space="preserve"> </w:t>
      </w:r>
      <w:r>
        <w:t>because it usually calls on the listener to observe something in the</w:t>
      </w:r>
      <w:r>
        <w:rPr>
          <w:rStyle w:val="deletedparamark"/>
        </w:rPr>
        <w:t xml:space="preserve"> </w:t>
      </w:r>
      <w:r>
        <w:t>envi</w:t>
      </w:r>
      <w:r>
        <w:softHyphen/>
        <w:t>ronment which would belong in the x1 place. The third translation above</w:t>
      </w:r>
      <w:r>
        <w:rPr>
          <w:rStyle w:val="deletedparamark"/>
        </w:rPr>
        <w:t xml:space="preserve"> </w:t>
      </w:r>
      <w:r>
        <w:t>shows this o</w:t>
      </w:r>
      <w:r>
        <w:t>b</w:t>
      </w:r>
      <w:r>
        <w:softHyphen/>
        <w:t>servative nature. Sometimes it is the relationship itself</w:t>
      </w:r>
      <w:r>
        <w:rPr>
          <w:rStyle w:val="deletedparamark"/>
        </w:rPr>
        <w:t xml:space="preserve"> </w:t>
      </w:r>
      <w:r>
        <w:t>which the listener is asked to o</w:t>
      </w:r>
      <w:r>
        <w:t>b</w:t>
      </w:r>
      <w:r>
        <w:softHyphen/>
        <w:t>serve.</w:t>
      </w:r>
    </w:p>
    <w:p w:rsidR="00B72047" w:rsidRDefault="00B72047">
      <w:pPr>
        <w:rPr>
          <w:rStyle w:val="htmlparacode"/>
        </w:rPr>
      </w:pPr>
      <w:r>
        <w:rPr>
          <w:rStyle w:val="htmlparacode"/>
        </w:rPr>
        <w:t>&lt;p&gt;</w:t>
      </w:r>
    </w:p>
    <w:p w:rsidR="00B72047" w:rsidRDefault="00B72047">
      <w:pPr>
        <w:pStyle w:val="normalparagraph"/>
      </w:pPr>
      <w:r>
        <w:t>(There is a way to both provide a sumti for the x1 place and put the</w:t>
      </w:r>
      <w:r>
        <w:rPr>
          <w:rStyle w:val="deletedparamark"/>
        </w:rPr>
        <w:t xml:space="preserve"> </w:t>
      </w:r>
      <w:r>
        <w:t xml:space="preserve">selbri first in the bridi: see </w:t>
      </w:r>
      <w:r>
        <w:rPr>
          <w:rStyle w:val="htmlcodes"/>
        </w:rPr>
        <w:t>&lt;a href=#e3d7&gt;</w:t>
      </w:r>
      <w:r>
        <w:t>Example 3.7</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"unspecified trailing sumti, dropping"&gt;</w:t>
      </w:r>
      <w:r>
        <w:rPr>
          <w:rStyle w:val="indexentry"/>
        </w:rPr>
        <w:fldChar w:fldCharType="begin"/>
      </w:r>
      <w:r>
        <w:instrText>xe "</w:instrText>
      </w:r>
      <w:r>
        <w:rPr>
          <w:rStyle w:val="xeentry"/>
        </w:rPr>
        <w:instrText>unspecified trailing sumti: dropping</w:instrText>
      </w:r>
      <w:r>
        <w:instrText>"</w:instrText>
      </w:r>
      <w:r>
        <w:rPr>
          <w:rStyle w:val="indexentry"/>
        </w:rPr>
        <w:fldChar w:fldCharType="end"/>
      </w:r>
      <w:r>
        <w:rPr>
          <w:rStyle w:val="indexentry"/>
        </w:rPr>
        <w:t>&lt;cx "sumti, dropping trailing unspecified"&gt;</w:t>
      </w:r>
      <w:r>
        <w:rPr>
          <w:rStyle w:val="indexentry"/>
        </w:rPr>
        <w:fldChar w:fldCharType="begin"/>
      </w:r>
      <w:r>
        <w:instrText>xe "</w:instrText>
      </w:r>
      <w:r>
        <w:rPr>
          <w:rStyle w:val="xeentry"/>
        </w:rPr>
        <w:instrText>sumti: dropping trailing unspecified</w:instrText>
      </w:r>
      <w:r>
        <w:instrText>"</w:instrText>
      </w:r>
      <w:r>
        <w:rPr>
          <w:rStyle w:val="indexentry"/>
        </w:rPr>
        <w:fldChar w:fldCharType="end"/>
      </w:r>
      <w:r>
        <w:rPr>
          <w:rStyle w:val="indexentry"/>
        </w:rPr>
        <w:t>&lt;cx "bridi, leaving end sumti places unspecified in"&gt;</w:t>
      </w:r>
      <w:r>
        <w:rPr>
          <w:rStyle w:val="indexentry"/>
        </w:rPr>
        <w:fldChar w:fldCharType="begin"/>
      </w:r>
      <w:r>
        <w:instrText>xe "</w:instrText>
      </w:r>
      <w:r>
        <w:rPr>
          <w:rStyle w:val="xeentry"/>
        </w:rPr>
        <w:instrText>bridi: leaving end sumti places unspecified in</w:instrText>
      </w:r>
      <w:r>
        <w:instrText>"</w:instrText>
      </w:r>
      <w:r>
        <w:rPr>
          <w:rStyle w:val="indexentry"/>
        </w:rPr>
        <w:fldChar w:fldCharType="end"/>
      </w:r>
      <w:r>
        <w:t>Suppose the speaker desires to omit a place other than the x1 place?</w:t>
      </w:r>
      <w:r>
        <w:rPr>
          <w:rStyle w:val="deletedparamark"/>
        </w:rPr>
        <w:t xml:space="preserve"> </w:t>
      </w:r>
      <w:r>
        <w:t>(Presumably it is obvious or, for one reason or another, not worth</w:t>
      </w:r>
      <w:r>
        <w:rPr>
          <w:rStyle w:val="deletedparamark"/>
        </w:rPr>
        <w:t xml:space="preserve"> </w:t>
      </w:r>
      <w:r>
        <w:t>saying.) Places at the end may simply be dropped:</w:t>
      </w:r>
    </w:p>
    <w:p w:rsidR="00B72047" w:rsidRDefault="00B72047">
      <w:pPr>
        <w:rPr>
          <w:rStyle w:val="htmlparacode"/>
        </w:rPr>
      </w:pPr>
      <w:r>
        <w:rPr>
          <w:rStyle w:val="htmlparacode"/>
        </w:rPr>
        <w:t>&lt;p&gt;</w:t>
      </w:r>
    </w:p>
    <w:p w:rsidR="00B72047" w:rsidRDefault="00B72047">
      <w:pPr>
        <w:pStyle w:val="examplescaledpre"/>
      </w:pPr>
      <w:r>
        <w:rPr>
          <w:rStyle w:val="indexentry"/>
        </w:rPr>
        <w:t>&lt;ex "unspecified route"&gt;</w:t>
      </w:r>
      <w:r>
        <w:rPr>
          <w:rStyle w:val="indexentry"/>
        </w:rPr>
        <w:fldChar w:fldCharType="begin"/>
      </w:r>
      <w:r>
        <w:instrText>xe "</w:instrText>
      </w:r>
      <w:r>
        <w:rPr>
          <w:rStyle w:val="xeentry"/>
        </w:rPr>
        <w:instrText>unspecified route: example</w:instrText>
      </w:r>
      <w:r>
        <w:instrText>"</w:instrText>
      </w:r>
      <w:r>
        <w:rPr>
          <w:rStyle w:val="indexentry"/>
        </w:rPr>
        <w:fldChar w:fldCharType="end"/>
      </w:r>
      <w:r>
        <w:rPr>
          <w:rStyle w:val="htmlcodes"/>
        </w:rPr>
        <w:t>&lt;pre&gt;&lt;a name=e2d5&gt;</w:t>
      </w:r>
      <w:r>
        <w:t>2.5)</w:t>
      </w:r>
      <w:r>
        <w:tab/>
        <w:t>mi klama la bastn. la .atlantas.</w:t>
      </w:r>
    </w:p>
    <w:p w:rsidR="00B72047" w:rsidRDefault="00B72047">
      <w:pPr>
        <w:pStyle w:val="examplescaled"/>
      </w:pPr>
      <w:r>
        <w:tab/>
        <w:t>I go to-Boston from-Atlanta (via an unspecified route, using an unspecified</w:t>
      </w:r>
    </w:p>
    <w:p w:rsidR="00B72047" w:rsidRDefault="00B72047">
      <w:pPr>
        <w:pStyle w:val="examplescaled"/>
        <w:ind w:firstLine="576"/>
      </w:pPr>
      <w:r>
        <w:t>means).</w:t>
      </w:r>
    </w:p>
    <w:p w:rsidR="00B72047" w:rsidRDefault="00B72047">
      <w:pPr>
        <w:pStyle w:val="resumedafterexample"/>
      </w:pPr>
      <w:r>
        <w:rPr>
          <w:rStyle w:val="htmlcodes"/>
        </w:rPr>
        <w:t>&lt;/pre&gt;</w:t>
      </w:r>
      <w:r>
        <w:rPr>
          <w:rStyle w:val="indexentry"/>
        </w:rPr>
        <w:t>&lt;cx "unspecified sumti, non-trailing"&gt;</w:t>
      </w:r>
      <w:r>
        <w:rPr>
          <w:rStyle w:val="indexentry"/>
        </w:rPr>
        <w:fldChar w:fldCharType="begin"/>
      </w:r>
      <w:r>
        <w:instrText>xe "</w:instrText>
      </w:r>
      <w:r>
        <w:rPr>
          <w:rStyle w:val="xeentry"/>
        </w:rPr>
        <w:instrText>unspecified sumti: non-trailing</w:instrText>
      </w:r>
      <w:r>
        <w:instrText>"</w:instrText>
      </w:r>
      <w:r>
        <w:rPr>
          <w:rStyle w:val="indexentry"/>
        </w:rPr>
        <w:fldChar w:fldCharType="end"/>
      </w:r>
      <w:r>
        <w:rPr>
          <w:rStyle w:val="htmlcodes"/>
        </w:rPr>
        <w:t>&lt;a href=#e2d5&gt;</w:t>
      </w:r>
      <w:r>
        <w:t xml:space="preserve">Example 2.5 </w:t>
      </w:r>
      <w:r>
        <w:rPr>
          <w:rStyle w:val="htmlcodes"/>
        </w:rPr>
        <w:t>&lt;/a&gt;</w:t>
      </w:r>
      <w:r>
        <w:t>has empty x4 and x5 places: the speaker does not specify the</w:t>
      </w:r>
      <w:r>
        <w:rPr>
          <w:rStyle w:val="deletedparamark"/>
        </w:rPr>
        <w:t xml:space="preserve"> </w:t>
      </w:r>
      <w:r>
        <w:t>route or the means of transport. However, simple omis</w:t>
      </w:r>
      <w:r>
        <w:softHyphen/>
        <w:t>sion will not work</w:t>
      </w:r>
      <w:r>
        <w:rPr>
          <w:rStyle w:val="deletedparamark"/>
        </w:rPr>
        <w:t xml:space="preserve"> </w:t>
      </w:r>
      <w:r>
        <w:t>for a place when the places around it are to be specified: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name=e2d6&gt;</w:t>
      </w:r>
      <w:r>
        <w:t>2.6)</w:t>
      </w:r>
      <w:r>
        <w:tab/>
        <w:t>mi klama la bastn. la .atlantas. le karce</w:t>
      </w:r>
    </w:p>
    <w:p w:rsidR="00B72047" w:rsidRDefault="00B72047">
      <w:pPr>
        <w:pStyle w:val="examplescaled"/>
      </w:pPr>
      <w:r>
        <w:tab/>
        <w:t>I go to-Boston from-Atlanta via-the car.</w:t>
      </w:r>
    </w:p>
    <w:p w:rsidR="00B72047" w:rsidRDefault="00B72047">
      <w:pPr>
        <w:pStyle w:val="resumedafterexample"/>
      </w:pPr>
      <w:r>
        <w:rPr>
          <w:rStyle w:val="htmlcodes"/>
        </w:rPr>
        <w:t>&lt;/pre&gt;</w:t>
      </w:r>
      <w:r>
        <w:t xml:space="preserve">“le karce” occupies the x4 place, and therefore </w:t>
      </w:r>
      <w:r>
        <w:rPr>
          <w:rStyle w:val="htmlcodes"/>
        </w:rPr>
        <w:t>&lt;a href=#e2d6&gt;</w:t>
      </w:r>
      <w:r>
        <w:t xml:space="preserve">Example 2.6 </w:t>
      </w:r>
      <w:r>
        <w:rPr>
          <w:rStyle w:val="htmlcodes"/>
        </w:rPr>
        <w:t>&lt;/a&gt;</w:t>
      </w:r>
      <w:r>
        <w:t>means: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I go to Boston from Atlanta, using the car as a route.</w:t>
      </w:r>
    </w:p>
    <w:p w:rsidR="00B72047" w:rsidRDefault="00B72047">
      <w:pPr>
        <w:pStyle w:val="resumedafterexample"/>
      </w:pPr>
      <w:r>
        <w:rPr>
          <w:rStyle w:val="htmlcodes"/>
        </w:rPr>
        <w:t>&lt;/dl&gt;&lt;p&gt;</w:t>
      </w:r>
      <w:r>
        <w:t>This is nonsense, since a car cannot be a route. What the speaker</w:t>
      </w:r>
      <w:r>
        <w:rPr>
          <w:rStyle w:val="deletedparamark"/>
        </w:rPr>
        <w:t xml:space="preserve"> </w:t>
      </w:r>
      <w:r>
        <w:t>presumably meant is expressed by: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name=e2d7&gt;</w:t>
      </w:r>
      <w:r>
        <w:t>2.7)</w:t>
      </w:r>
      <w:r>
        <w:tab/>
        <w:t>mi klama la bastn. la .atlantas. zo'e le karce</w:t>
      </w:r>
    </w:p>
    <w:p w:rsidR="00B72047" w:rsidRDefault="00B72047">
      <w:pPr>
        <w:pStyle w:val="examplescaled"/>
      </w:pPr>
      <w:r>
        <w:tab/>
        <w:t>I go to-Boston from-Atlanta via-something-unspecified using-the car.</w:t>
      </w:r>
    </w:p>
    <w:p w:rsidR="00B72047" w:rsidRDefault="00B72047">
      <w:pPr>
        <w:pStyle w:val="resumedafterexample"/>
      </w:pPr>
      <w:r>
        <w:rPr>
          <w:rStyle w:val="htmlcodes"/>
        </w:rPr>
        <w:t>&lt;/pre&gt;</w:t>
      </w:r>
      <w:r>
        <w:rPr>
          <w:rStyle w:val="indexentry"/>
        </w:rPr>
        <w:t>&lt;lx "zo'e"&gt;</w:t>
      </w:r>
      <w:r>
        <w:rPr>
          <w:rStyle w:val="indexentry"/>
        </w:rPr>
        <w:fldChar w:fldCharType="begin"/>
      </w:r>
      <w:r>
        <w:instrText>xe "</w:instrText>
      </w:r>
      <w:r>
        <w:rPr>
          <w:rStyle w:val="xeentry"/>
        </w:rPr>
        <w:instrText>zo'e</w:instrText>
      </w:r>
      <w:r>
        <w:instrText>"</w:instrText>
      </w:r>
      <w:r>
        <w:rPr>
          <w:rStyle w:val="indexentry"/>
        </w:rPr>
        <w:fldChar w:fldCharType="end"/>
      </w:r>
      <w:r>
        <w:rPr>
          <w:rStyle w:val="indexentry"/>
        </w:rPr>
        <w:t>&lt;cx "unspecified sumti, using zo'e as place-holder for"&gt;</w:t>
      </w:r>
      <w:r>
        <w:rPr>
          <w:rStyle w:val="indexentry"/>
        </w:rPr>
        <w:fldChar w:fldCharType="begin"/>
      </w:r>
      <w:r>
        <w:instrText>xe "</w:instrText>
      </w:r>
      <w:r>
        <w:rPr>
          <w:rStyle w:val="xeentry"/>
        </w:rPr>
        <w:instrText>unspecified sumti: using zo'e as place-holder for</w:instrText>
      </w:r>
      <w:r>
        <w:instrText>"</w:instrText>
      </w:r>
      <w:r>
        <w:rPr>
          <w:rStyle w:val="indexentry"/>
        </w:rPr>
        <w:fldChar w:fldCharType="end"/>
      </w:r>
      <w:r>
        <w:rPr>
          <w:rStyle w:val="indexentry"/>
        </w:rPr>
        <w:t>&lt;cx "zo'e, as place-holder for unspecified sumti"&gt;</w:t>
      </w:r>
      <w:r>
        <w:rPr>
          <w:rStyle w:val="indexentry"/>
        </w:rPr>
        <w:fldChar w:fldCharType="begin"/>
      </w:r>
      <w:r>
        <w:instrText>xe "</w:instrText>
      </w:r>
      <w:r>
        <w:rPr>
          <w:rStyle w:val="xeentry"/>
        </w:rPr>
        <w:instrText>zo'e: as place-holder for unspecified sumti</w:instrText>
      </w:r>
      <w:r>
        <w:instrText>"</w:instrText>
      </w:r>
      <w:r>
        <w:rPr>
          <w:rStyle w:val="indexentry"/>
        </w:rPr>
        <w:fldChar w:fldCharType="end"/>
      </w:r>
      <w:r>
        <w:rPr>
          <w:rStyle w:val="indexentry"/>
        </w:rPr>
        <w:t>&lt;cx "bridi, leaving a sumti place unspecified in with zo'e"&gt;</w:t>
      </w:r>
      <w:r>
        <w:rPr>
          <w:rStyle w:val="indexentry"/>
        </w:rPr>
        <w:fldChar w:fldCharType="begin"/>
      </w:r>
      <w:r>
        <w:instrText>xe "</w:instrText>
      </w:r>
      <w:r>
        <w:rPr>
          <w:rStyle w:val="xeentry"/>
        </w:rPr>
        <w:instrText>bridi: leaving a sumti place unspecified in with zo'e</w:instrText>
      </w:r>
      <w:r>
        <w:instrText>"</w:instrText>
      </w:r>
      <w:r>
        <w:rPr>
          <w:rStyle w:val="indexentry"/>
        </w:rPr>
        <w:fldChar w:fldCharType="end"/>
      </w:r>
      <w:r>
        <w:rPr>
          <w:rStyle w:val="indexentry"/>
        </w:rPr>
        <w:t>&lt;cx "place structure, leaving a sumti place unspecified in with zo'e"&gt;</w:t>
      </w:r>
      <w:r>
        <w:rPr>
          <w:rStyle w:val="indexentry"/>
        </w:rPr>
        <w:fldChar w:fldCharType="begin"/>
      </w:r>
      <w:r>
        <w:instrText>xe "</w:instrText>
      </w:r>
      <w:r>
        <w:rPr>
          <w:rStyle w:val="xeentry"/>
        </w:rPr>
        <w:instrText>place structure: leaving a sumti place unspecified in with zo'e</w:instrText>
      </w:r>
      <w:r>
        <w:instrText>"</w:instrText>
      </w:r>
      <w:r>
        <w:rPr>
          <w:rStyle w:val="indexentry"/>
        </w:rPr>
        <w:fldChar w:fldCharType="end"/>
      </w:r>
      <w:r>
        <w:rPr>
          <w:rStyle w:val="indexentry"/>
        </w:rPr>
        <w:t>&lt;cx "place structures, omitting places with zo'e"&gt;</w:t>
      </w:r>
      <w:r>
        <w:rPr>
          <w:rStyle w:val="indexentry"/>
        </w:rPr>
        <w:fldChar w:fldCharType="begin"/>
      </w:r>
      <w:r>
        <w:instrText>xe "</w:instrText>
      </w:r>
      <w:r>
        <w:rPr>
          <w:rStyle w:val="xeentry"/>
        </w:rPr>
        <w:instrText>place structure: omitting places with zo'e</w:instrText>
      </w:r>
      <w:r>
        <w:instrText>"</w:instrText>
      </w:r>
      <w:r>
        <w:rPr>
          <w:rStyle w:val="indexentry"/>
        </w:rPr>
        <w:fldChar w:fldCharType="end"/>
      </w:r>
      <w:r>
        <w:t>Here the sumti cmavo “zo'e” is used to explicitly fill the x4 place;</w:t>
      </w:r>
      <w:r>
        <w:rPr>
          <w:rStyle w:val="deletedparamark"/>
        </w:rPr>
        <w:t xml:space="preserve"> “</w:t>
      </w:r>
      <w:r>
        <w:t>zo'e” means “the u</w:t>
      </w:r>
      <w:r>
        <w:t>n</w:t>
      </w:r>
      <w:r>
        <w:softHyphen/>
        <w:t>specified thing” and has the same meaning as leaving</w:t>
      </w:r>
      <w:r>
        <w:rPr>
          <w:rStyle w:val="deletedparamark"/>
        </w:rPr>
        <w:t xml:space="preserve"> </w:t>
      </w:r>
      <w:r>
        <w:t>the place empty: the listener must infer the correct meaning from context.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312" w:name="_Toc398970558"/>
      <w:r>
        <w:rPr>
          <w:rStyle w:val="Heading3Text"/>
        </w:rPr>
        <w:t>Tagging places: FA</w:t>
      </w:r>
      <w:bookmarkEnd w:id="31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fa</w:t>
      </w:r>
      <w:r>
        <w:tab/>
        <w:t>FA</w:t>
      </w:r>
      <w:r>
        <w:tab/>
        <w:t>tags x1 place</w:t>
      </w:r>
    </w:p>
    <w:p w:rsidR="00B72047" w:rsidRDefault="00B72047">
      <w:pPr>
        <w:pStyle w:val="examplescaled"/>
      </w:pPr>
      <w:r>
        <w:tab/>
        <w:t>fe</w:t>
      </w:r>
      <w:r>
        <w:tab/>
        <w:t>FA</w:t>
      </w:r>
      <w:r>
        <w:tab/>
        <w:t>tags x2 place</w:t>
      </w:r>
    </w:p>
    <w:p w:rsidR="00B72047" w:rsidRDefault="00B72047">
      <w:pPr>
        <w:pStyle w:val="examplescaled"/>
      </w:pPr>
      <w:r>
        <w:tab/>
        <w:t>fi</w:t>
      </w:r>
      <w:r>
        <w:tab/>
        <w:t>FA</w:t>
      </w:r>
      <w:r>
        <w:tab/>
        <w:t>tags x3 place</w:t>
      </w:r>
    </w:p>
    <w:p w:rsidR="00B72047" w:rsidRDefault="00B72047">
      <w:pPr>
        <w:pStyle w:val="examplescaled"/>
      </w:pPr>
      <w:r>
        <w:tab/>
        <w:t>fo</w:t>
      </w:r>
      <w:r>
        <w:tab/>
        <w:t>FA</w:t>
      </w:r>
      <w:r>
        <w:tab/>
        <w:t>tags x4 place</w:t>
      </w:r>
    </w:p>
    <w:p w:rsidR="00B72047" w:rsidRDefault="00B72047">
      <w:pPr>
        <w:pStyle w:val="examplescaled"/>
      </w:pPr>
      <w:r>
        <w:tab/>
        <w:t>fu</w:t>
      </w:r>
      <w:r>
        <w:tab/>
        <w:t>FA</w:t>
      </w:r>
      <w:r>
        <w:tab/>
        <w:t>tags x5 place</w:t>
      </w:r>
    </w:p>
    <w:p w:rsidR="00B72047" w:rsidRDefault="00B72047">
      <w:pPr>
        <w:pStyle w:val="examplescaled"/>
      </w:pPr>
      <w:r>
        <w:tab/>
        <w:t>fi'a</w:t>
      </w:r>
      <w:r>
        <w:tab/>
        <w:t>FA</w:t>
      </w:r>
      <w:r>
        <w:tab/>
        <w:t>place structure question</w:t>
      </w:r>
    </w:p>
    <w:p w:rsidR="00B72047" w:rsidRDefault="00B72047">
      <w:pPr>
        <w:pStyle w:val="normalafterexample"/>
      </w:pPr>
      <w:r>
        <w:rPr>
          <w:rStyle w:val="htmlcodes"/>
        </w:rPr>
        <w:t>&lt;/pre&gt;</w:t>
      </w:r>
      <w:r>
        <w:rPr>
          <w:rStyle w:val="indexentry"/>
        </w:rPr>
        <w:t>&lt;lx "FA"&gt;</w:t>
      </w:r>
      <w:r>
        <w:rPr>
          <w:rStyle w:val="indexentry"/>
        </w:rPr>
        <w:fldChar w:fldCharType="begin"/>
      </w:r>
      <w:r>
        <w:instrText>xe "</w:instrText>
      </w:r>
      <w:r>
        <w:rPr>
          <w:rStyle w:val="xeentry"/>
        </w:rPr>
        <w:instrText>FA selma’o</w:instrText>
      </w:r>
      <w:r>
        <w:instrText>"</w:instrText>
      </w:r>
      <w:r>
        <w:rPr>
          <w:rStyle w:val="indexentry"/>
        </w:rPr>
        <w:fldChar w:fldCharType="end"/>
      </w:r>
      <w:r>
        <w:rPr>
          <w:rStyle w:val="indexentry"/>
        </w:rPr>
        <w:t>&lt;lx "fa"&gt;</w:t>
      </w:r>
      <w:r>
        <w:rPr>
          <w:rStyle w:val="indexentry"/>
        </w:rPr>
        <w:fldChar w:fldCharType="begin"/>
      </w:r>
      <w:r>
        <w:instrText>xe "</w:instrText>
      </w:r>
      <w:r>
        <w:rPr>
          <w:rStyle w:val="xeentry"/>
        </w:rPr>
        <w:instrText>fa</w:instrText>
      </w:r>
      <w:r>
        <w:instrText>"</w:instrText>
      </w:r>
      <w:r>
        <w:rPr>
          <w:rStyle w:val="indexentry"/>
        </w:rPr>
        <w:fldChar w:fldCharType="end"/>
      </w:r>
      <w:r>
        <w:rPr>
          <w:rStyle w:val="indexentry"/>
        </w:rPr>
        <w:t>&lt;lx "fe"&gt;</w:t>
      </w:r>
      <w:r>
        <w:rPr>
          <w:rStyle w:val="indexentry"/>
        </w:rPr>
        <w:fldChar w:fldCharType="begin"/>
      </w:r>
      <w:r>
        <w:instrText>xe "</w:instrText>
      </w:r>
      <w:r>
        <w:rPr>
          <w:rStyle w:val="xeentry"/>
        </w:rPr>
        <w:instrText>fe</w:instrText>
      </w:r>
      <w:r>
        <w:instrText>"</w:instrText>
      </w:r>
      <w:r>
        <w:rPr>
          <w:rStyle w:val="indexentry"/>
        </w:rPr>
        <w:fldChar w:fldCharType="end"/>
      </w:r>
      <w:r>
        <w:rPr>
          <w:rStyle w:val="indexentry"/>
        </w:rPr>
        <w:t>&lt;lx "fi"&gt;</w:t>
      </w:r>
      <w:r>
        <w:rPr>
          <w:rStyle w:val="indexentry"/>
        </w:rPr>
        <w:fldChar w:fldCharType="begin"/>
      </w:r>
      <w:r>
        <w:instrText>xe "</w:instrText>
      </w:r>
      <w:r>
        <w:rPr>
          <w:rStyle w:val="xeentry"/>
        </w:rPr>
        <w:instrText>fi</w:instrText>
      </w:r>
      <w:r>
        <w:instrText>"</w:instrText>
      </w:r>
      <w:r>
        <w:rPr>
          <w:rStyle w:val="indexentry"/>
        </w:rPr>
        <w:fldChar w:fldCharType="end"/>
      </w:r>
      <w:r>
        <w:rPr>
          <w:rStyle w:val="indexentry"/>
        </w:rPr>
        <w:t>&lt;lx "fo"&gt;</w:t>
      </w:r>
      <w:r>
        <w:rPr>
          <w:rStyle w:val="indexentry"/>
        </w:rPr>
        <w:fldChar w:fldCharType="begin"/>
      </w:r>
      <w:r>
        <w:instrText>xe "</w:instrText>
      </w:r>
      <w:r>
        <w:rPr>
          <w:rStyle w:val="xeentry"/>
        </w:rPr>
        <w:instrText>fo</w:instrText>
      </w:r>
      <w:r>
        <w:instrText>"</w:instrText>
      </w:r>
      <w:r>
        <w:rPr>
          <w:rStyle w:val="indexentry"/>
        </w:rPr>
        <w:fldChar w:fldCharType="end"/>
      </w:r>
      <w:r>
        <w:rPr>
          <w:rStyle w:val="indexentry"/>
        </w:rPr>
        <w:t>&lt;lx "fu"&gt;</w:t>
      </w:r>
      <w:r>
        <w:rPr>
          <w:rStyle w:val="indexentry"/>
        </w:rPr>
        <w:fldChar w:fldCharType="begin"/>
      </w:r>
      <w:r>
        <w:instrText>xe "</w:instrText>
      </w:r>
      <w:r>
        <w:rPr>
          <w:rStyle w:val="xeentry"/>
        </w:rPr>
        <w:instrText>fu</w:instrText>
      </w:r>
      <w:r>
        <w:instrText>"</w:instrText>
      </w:r>
      <w:r>
        <w:rPr>
          <w:rStyle w:val="indexentry"/>
        </w:rPr>
        <w:fldChar w:fldCharType="end"/>
      </w:r>
      <w:r>
        <w:rPr>
          <w:rStyle w:val="indexentry"/>
        </w:rPr>
        <w:t>&lt;cx "FA, syntax of"&gt;</w:t>
      </w:r>
      <w:r>
        <w:rPr>
          <w:rStyle w:val="indexentry"/>
        </w:rPr>
        <w:fldChar w:fldCharType="begin"/>
      </w:r>
      <w:r>
        <w:instrText>xe "</w:instrText>
      </w:r>
      <w:r>
        <w:rPr>
          <w:rStyle w:val="xeentry"/>
        </w:rPr>
        <w:instrText>FA selma’o: syntax of</w:instrText>
      </w:r>
      <w:r>
        <w:instrText>"</w:instrText>
      </w:r>
      <w:r>
        <w:rPr>
          <w:rStyle w:val="indexentry"/>
        </w:rPr>
        <w:fldChar w:fldCharType="end"/>
      </w:r>
      <w:r>
        <w:t xml:space="preserve">In sentences like </w:t>
      </w:r>
      <w:r>
        <w:rPr>
          <w:rStyle w:val="htmlcodes"/>
        </w:rPr>
        <w:t>&lt;a href=#e2d1&gt;</w:t>
      </w:r>
      <w:r>
        <w:t>Example 2.1</w:t>
      </w:r>
      <w:r>
        <w:rPr>
          <w:rStyle w:val="htmlcodes"/>
        </w:rPr>
        <w:t>&lt;/a&gt;</w:t>
      </w:r>
      <w:r>
        <w:t>, it is easy to get lost and forget which</w:t>
      </w:r>
      <w:r>
        <w:rPr>
          <w:rStyle w:val="deletedparamark"/>
        </w:rPr>
        <w:t xml:space="preserve"> </w:t>
      </w:r>
      <w:r>
        <w:t>sumti falls in which place, especially if the sumti are more complicated</w:t>
      </w:r>
      <w:r>
        <w:rPr>
          <w:rStyle w:val="deletedparamark"/>
        </w:rPr>
        <w:t xml:space="preserve"> </w:t>
      </w:r>
      <w:r>
        <w:t>than simple names or de</w:t>
      </w:r>
      <w:r>
        <w:softHyphen/>
        <w:t>scrip</w:t>
      </w:r>
      <w:r>
        <w:softHyphen/>
        <w:t>tions. The place structure tags of selma'o</w:t>
      </w:r>
      <w:r>
        <w:rPr>
          <w:rStyle w:val="deletedparamark"/>
        </w:rPr>
        <w:t xml:space="preserve"> </w:t>
      </w:r>
      <w:r>
        <w:t>FA may be used to help clarify place structures. The five cmavo “fa”, “fe”,</w:t>
      </w:r>
      <w:r>
        <w:rPr>
          <w:rStyle w:val="deletedparamark"/>
        </w:rPr>
        <w:t xml:space="preserve"> “</w:t>
      </w:r>
      <w:r>
        <w:t>fi”, “fo”, and “fu” may be inserted just before the sumti in the x1 to</w:t>
      </w:r>
      <w:r>
        <w:rPr>
          <w:rStyle w:val="deletedparamark"/>
        </w:rPr>
        <w:t xml:space="preserve"> </w:t>
      </w:r>
      <w:r>
        <w:t>x5 places 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fa mi cu klama fe la bastn. fi la .atlantas. fo le dargu fu le karce</w:t>
      </w:r>
    </w:p>
    <w:p w:rsidR="00B72047" w:rsidRDefault="00B72047">
      <w:pPr>
        <w:pStyle w:val="examplescaled"/>
      </w:pPr>
      <w:r>
        <w:tab/>
        <w:t>x1= I  go  x2= Boston  x3= Atlanta  x4= the road  x5= the car.</w:t>
      </w:r>
    </w:p>
    <w:p w:rsidR="00B72047" w:rsidRDefault="00B72047">
      <w:pPr>
        <w:pStyle w:val="examplescaled"/>
      </w:pPr>
      <w:r>
        <w:tab/>
        <w:t>I go to Boston from Atlanta via the road using the car.</w:t>
      </w:r>
    </w:p>
    <w:p w:rsidR="00B72047" w:rsidRDefault="00B72047">
      <w:pPr>
        <w:pStyle w:val="resumedafterexample"/>
      </w:pPr>
      <w:r>
        <w:rPr>
          <w:rStyle w:val="htmlcodes"/>
        </w:rPr>
        <w:t>&lt;/pre&gt;</w:t>
      </w:r>
      <w:r>
        <w:rPr>
          <w:rStyle w:val="indexentry"/>
        </w:rPr>
        <w:t>&lt;cx "FA, effect on place structure"&gt;</w:t>
      </w:r>
      <w:r>
        <w:rPr>
          <w:rStyle w:val="indexentry"/>
        </w:rPr>
        <w:fldChar w:fldCharType="begin"/>
      </w:r>
      <w:r>
        <w:instrText>xe "</w:instrText>
      </w:r>
      <w:r>
        <w:rPr>
          <w:rStyle w:val="xeentry"/>
        </w:rPr>
        <w:instrText>FA selma’o: effect on place structure</w:instrText>
      </w:r>
      <w:r>
        <w:instrText>"</w:instrText>
      </w:r>
      <w:r>
        <w:rPr>
          <w:rStyle w:val="indexentry"/>
        </w:rPr>
        <w:fldChar w:fldCharType="end"/>
      </w:r>
      <w:r>
        <w:rPr>
          <w:rStyle w:val="indexentry"/>
        </w:rPr>
        <w:t>&lt;cx "place structure, effect of FA on"&gt;</w:t>
      </w:r>
      <w:r>
        <w:rPr>
          <w:rStyle w:val="indexentry"/>
        </w:rPr>
        <w:fldChar w:fldCharType="begin"/>
      </w:r>
      <w:r>
        <w:instrText>xe "</w:instrText>
      </w:r>
      <w:r>
        <w:rPr>
          <w:rStyle w:val="xeentry"/>
        </w:rPr>
        <w:instrText>place structure: effect of FA on</w:instrText>
      </w:r>
      <w:r>
        <w:instrText>"</w:instrText>
      </w:r>
      <w:r>
        <w:rPr>
          <w:rStyle w:val="indexentry"/>
        </w:rPr>
        <w:fldChar w:fldCharType="end"/>
      </w:r>
      <w:r>
        <w:rPr>
          <w:rStyle w:val="indexentry"/>
        </w:rPr>
        <w:t>&lt;cx "place structure, explicitly mapping sumti to place with FA"&gt;</w:t>
      </w:r>
      <w:r>
        <w:rPr>
          <w:rStyle w:val="indexentry"/>
        </w:rPr>
        <w:fldChar w:fldCharType="begin"/>
      </w:r>
      <w:r>
        <w:instrText>xe "</w:instrText>
      </w:r>
      <w:r>
        <w:rPr>
          <w:rStyle w:val="xeentry"/>
        </w:rPr>
        <w:instrText>place structure: explicitly mapping sumti to place with FA</w:instrText>
      </w:r>
      <w:r>
        <w:instrText>"</w:instrText>
      </w:r>
      <w:r>
        <w:rPr>
          <w:rStyle w:val="indexentry"/>
        </w:rPr>
        <w:fldChar w:fldCharType="end"/>
      </w:r>
      <w:r>
        <w:rPr>
          <w:rStyle w:val="indexentry"/>
        </w:rPr>
        <w:t>&lt;cx "sumti, explicitly mapping into place structure with FA"&gt;</w:t>
      </w:r>
      <w:r>
        <w:rPr>
          <w:rStyle w:val="indexentry"/>
        </w:rPr>
        <w:fldChar w:fldCharType="begin"/>
      </w:r>
      <w:r>
        <w:instrText>xe "</w:instrText>
      </w:r>
      <w:r>
        <w:rPr>
          <w:rStyle w:val="xeentry"/>
        </w:rPr>
        <w:instrText>sumti: explicitly mapping into place structure with FA</w:instrText>
      </w:r>
      <w:r>
        <w:instrText>"</w:instrText>
      </w:r>
      <w:r>
        <w:rPr>
          <w:rStyle w:val="indexentry"/>
        </w:rPr>
        <w:fldChar w:fldCharType="end"/>
      </w:r>
      <w:r>
        <w:rPr>
          <w:rStyle w:val="indexentry"/>
        </w:rPr>
        <w:t>&lt;cx "FA, for accessing a selbri place explicitly by relative number"&gt;</w:t>
      </w:r>
      <w:r>
        <w:rPr>
          <w:rStyle w:val="indexentry"/>
        </w:rPr>
        <w:fldChar w:fldCharType="begin"/>
      </w:r>
      <w:r>
        <w:instrText>xe "</w:instrText>
      </w:r>
      <w:r>
        <w:rPr>
          <w:rStyle w:val="xeentry"/>
        </w:rPr>
        <w:instrText>FA selma’o: for accessing a selbri place explicitly by relative number</w:instrText>
      </w:r>
      <w:r>
        <w:instrText>"</w:instrText>
      </w:r>
      <w:r>
        <w:rPr>
          <w:rStyle w:val="indexentry"/>
        </w:rPr>
        <w:fldChar w:fldCharType="end"/>
      </w:r>
      <w:r>
        <w:t xml:space="preserve">In </w:t>
      </w:r>
      <w:r>
        <w:rPr>
          <w:rStyle w:val="htmlcodes"/>
        </w:rPr>
        <w:t>&lt;a href=#e3d1&gt;</w:t>
      </w:r>
      <w:r>
        <w:t>Example 3.1</w:t>
      </w:r>
      <w:r>
        <w:rPr>
          <w:rStyle w:val="htmlcodes"/>
        </w:rPr>
        <w:t>&lt;/a&gt;</w:t>
      </w:r>
      <w:r>
        <w:t>, the tag “fu” before “le karce” clarifies that “le karce”</w:t>
      </w:r>
      <w:r>
        <w:rPr>
          <w:rStyle w:val="deletedparamark"/>
        </w:rPr>
        <w:t xml:space="preserve"> </w:t>
      </w:r>
      <w:r>
        <w:t>occupies the x5 place of “klama”. The use of “fu” tells us nothing about</w:t>
      </w:r>
      <w:r>
        <w:rPr>
          <w:rStyle w:val="deletedparamark"/>
        </w:rPr>
        <w:t xml:space="preserve"> </w:t>
      </w:r>
      <w:r>
        <w:t>the purpose or meaning of the x5 place; it simply says that “le karce”</w:t>
      </w:r>
      <w:r>
        <w:rPr>
          <w:rStyle w:val="deletedparamark"/>
        </w:rPr>
        <w:t xml:space="preserve"> </w:t>
      </w:r>
      <w:r>
        <w:t>occupies it.</w:t>
      </w:r>
    </w:p>
    <w:p w:rsidR="00B72047" w:rsidRDefault="00B72047">
      <w:pPr>
        <w:rPr>
          <w:rStyle w:val="htmlparacode"/>
        </w:rPr>
      </w:pPr>
      <w:r>
        <w:rPr>
          <w:rStyle w:val="htmlparacode"/>
        </w:rPr>
        <w:t>&lt;p&gt;</w:t>
      </w:r>
    </w:p>
    <w:p w:rsidR="00B72047" w:rsidRDefault="00B72047">
      <w:pPr>
        <w:pStyle w:val="normalparagraph"/>
      </w:pPr>
      <w:r>
        <w:t xml:space="preserve">In </w:t>
      </w:r>
      <w:r>
        <w:rPr>
          <w:rStyle w:val="htmlcodes"/>
        </w:rPr>
        <w:t>&lt;a href=#e3d1&gt;</w:t>
      </w:r>
      <w:r>
        <w:t>Example 3.1</w:t>
      </w:r>
      <w:r>
        <w:rPr>
          <w:rStyle w:val="htmlcodes"/>
        </w:rPr>
        <w:t>&lt;/a&gt;</w:t>
      </w:r>
      <w:r>
        <w:t xml:space="preserve">, the tags are overkill; they serve only to make </w:t>
      </w:r>
      <w:r>
        <w:rPr>
          <w:rStyle w:val="htmlcodes"/>
        </w:rPr>
        <w:t>&lt;a href=#e2d1&gt;</w:t>
      </w:r>
      <w:r>
        <w:t xml:space="preserve">Example 2.1 </w:t>
      </w:r>
      <w:r>
        <w:rPr>
          <w:rStyle w:val="htmlcodes"/>
        </w:rPr>
        <w:t>&lt;/a&gt;</w:t>
      </w:r>
      <w:r>
        <w:t>even longer than it is. Here is a better illustration of the use of FA tags</w:t>
      </w:r>
      <w:r>
        <w:rPr>
          <w:rStyle w:val="deletedparamark"/>
        </w:rPr>
        <w:t xml:space="preserve"> </w:t>
      </w:r>
      <w:r>
        <w:t>for clarification: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fa mi klama fe le zdani be mi be'o poi nurma vau fi la nu,IORK.</w:t>
      </w:r>
    </w:p>
    <w:p w:rsidR="00B72047" w:rsidRDefault="00B72047">
      <w:pPr>
        <w:pStyle w:val="examplescaled"/>
      </w:pPr>
      <w:r>
        <w:tab/>
        <w:t>x1= I  go   x2= (the house of me) which is-rural   x3= New York.</w:t>
      </w:r>
    </w:p>
    <w:p w:rsidR="00B72047" w:rsidRDefault="00B72047">
      <w:pPr>
        <w:pStyle w:val="resumedafterexample"/>
      </w:pPr>
      <w:r>
        <w:rPr>
          <w:rStyle w:val="htmlcodes"/>
        </w:rPr>
        <w:t>&lt;/pre&gt;&lt;p&gt;</w:t>
      </w:r>
      <w:r>
        <w:t xml:space="preserve">In </w:t>
      </w:r>
      <w:r>
        <w:rPr>
          <w:rStyle w:val="htmlcodes"/>
        </w:rPr>
        <w:t>&lt;a href=#e3d2&gt;</w:t>
      </w:r>
      <w:r>
        <w:t>Example 3.2</w:t>
      </w:r>
      <w:r>
        <w:rPr>
          <w:rStyle w:val="htmlcodes"/>
        </w:rPr>
        <w:t>&lt;/a&gt;</w:t>
      </w:r>
      <w:r>
        <w:t>, the place structure of “klama” is as follows:</w:t>
      </w:r>
    </w:p>
    <w:p w:rsidR="00B72047" w:rsidRDefault="00B72047">
      <w:pPr>
        <w:pStyle w:val="examplecomptabs"/>
        <w:rPr>
          <w:rStyle w:val="htmlparacode"/>
        </w:rPr>
      </w:pPr>
      <w:r>
        <w:rPr>
          <w:rStyle w:val="htmlparacode"/>
        </w:rPr>
        <w:t>&lt;p&gt;</w:t>
      </w:r>
    </w:p>
    <w:p w:rsidR="00B72047" w:rsidRDefault="00B72047">
      <w:pPr>
        <w:pStyle w:val="examplecomptabspre"/>
      </w:pPr>
      <w:r>
        <w:rPr>
          <w:rStyle w:val="htmlcodes"/>
        </w:rPr>
        <w:t>&lt;pre&gt;</w:t>
      </w:r>
      <w:r>
        <w:tab/>
        <w:t xml:space="preserve">  x1</w:t>
      </w:r>
      <w:r>
        <w:tab/>
        <w:t>agent</w:t>
      </w:r>
      <w:r>
        <w:tab/>
        <w:t>mi</w:t>
      </w:r>
    </w:p>
    <w:p w:rsidR="00B72047" w:rsidRDefault="00B72047">
      <w:pPr>
        <w:pStyle w:val="examplecomptabs"/>
      </w:pPr>
      <w:r>
        <w:tab/>
        <w:t xml:space="preserve">  x2</w:t>
      </w:r>
      <w:r>
        <w:tab/>
        <w:t>destination</w:t>
      </w:r>
      <w:r>
        <w:tab/>
        <w:t>le zdani be mi be'o poi nurma vau</w:t>
      </w:r>
    </w:p>
    <w:p w:rsidR="00B72047" w:rsidRDefault="00B72047">
      <w:pPr>
        <w:pStyle w:val="examplecomptabs"/>
      </w:pPr>
      <w:r>
        <w:tab/>
        <w:t xml:space="preserve">  x3</w:t>
      </w:r>
      <w:r>
        <w:tab/>
        <w:t>origin</w:t>
      </w:r>
      <w:r>
        <w:tab/>
        <w:t>la nu,IORK.</w:t>
      </w:r>
    </w:p>
    <w:p w:rsidR="00B72047" w:rsidRDefault="00B72047">
      <w:pPr>
        <w:pStyle w:val="examplecomptabs"/>
      </w:pPr>
      <w:r>
        <w:tab/>
        <w:t xml:space="preserve">  x4</w:t>
      </w:r>
      <w:r>
        <w:tab/>
        <w:t>route</w:t>
      </w:r>
      <w:r>
        <w:tab/>
        <w:t>(empty)</w:t>
      </w:r>
    </w:p>
    <w:p w:rsidR="00B72047" w:rsidRDefault="00B72047">
      <w:pPr>
        <w:pStyle w:val="examplecomptabs"/>
      </w:pPr>
      <w:r>
        <w:tab/>
        <w:t xml:space="preserve">  x5</w:t>
      </w:r>
      <w:r>
        <w:tab/>
        <w:t>means</w:t>
      </w:r>
      <w:r>
        <w:tab/>
        <w:t>(empty)</w:t>
      </w:r>
    </w:p>
    <w:p w:rsidR="00B72047" w:rsidRDefault="00B72047">
      <w:pPr>
        <w:pStyle w:val="resumedafterexample"/>
      </w:pPr>
      <w:r>
        <w:rPr>
          <w:rStyle w:val="htmlcodes"/>
        </w:rPr>
        <w:t>&lt;/pre&gt;</w:t>
      </w:r>
      <w:r>
        <w:rPr>
          <w:rStyle w:val="indexentry"/>
        </w:rPr>
        <w:t>&lt;cx "FA, as a reminder of place in place structure"&gt;</w:t>
      </w:r>
      <w:r>
        <w:rPr>
          <w:rStyle w:val="indexentry"/>
        </w:rPr>
        <w:fldChar w:fldCharType="begin"/>
      </w:r>
      <w:r>
        <w:instrText>xe "</w:instrText>
      </w:r>
      <w:r>
        <w:rPr>
          <w:rStyle w:val="xeentry"/>
        </w:rPr>
        <w:instrText>FA selma’o: as a reminder of place in place structure</w:instrText>
      </w:r>
      <w:r>
        <w:instrText>"</w:instrText>
      </w:r>
      <w:r>
        <w:rPr>
          <w:rStyle w:val="indexentry"/>
        </w:rPr>
        <w:fldChar w:fldCharType="end"/>
      </w:r>
      <w:r>
        <w:t>The “fi” tag serves to remind the hearer that what follows is in the x3</w:t>
      </w:r>
      <w:r>
        <w:rPr>
          <w:rStyle w:val="deletedparamark"/>
        </w:rPr>
        <w:t xml:space="preserve"> </w:t>
      </w:r>
      <w:r>
        <w:t>place of “klama”; after listening to the complex sumti occupying the x2</w:t>
      </w:r>
      <w:r>
        <w:rPr>
          <w:rStyle w:val="deletedparamark"/>
        </w:rPr>
        <w:t xml:space="preserve"> </w:t>
      </w:r>
      <w:r>
        <w:t>place, it's easy to get lost.</w:t>
      </w:r>
    </w:p>
    <w:p w:rsidR="00B72047" w:rsidRDefault="00B72047">
      <w:pPr>
        <w:rPr>
          <w:rStyle w:val="htmlparacode"/>
        </w:rPr>
      </w:pPr>
      <w:r>
        <w:rPr>
          <w:rStyle w:val="htmlparacode"/>
        </w:rPr>
        <w:t>&lt;p&gt;</w:t>
      </w:r>
    </w:p>
    <w:p w:rsidR="00B72047" w:rsidRDefault="00B72047">
      <w:pPr>
        <w:pStyle w:val="normalparagraph"/>
      </w:pPr>
      <w:r>
        <w:rPr>
          <w:rStyle w:val="indexentry"/>
        </w:rPr>
        <w:t>&lt;cx "FA, effect on place structure order"&gt;</w:t>
      </w:r>
      <w:r>
        <w:rPr>
          <w:rStyle w:val="indexentry"/>
        </w:rPr>
        <w:fldChar w:fldCharType="begin"/>
      </w:r>
      <w:r>
        <w:instrText>xe "</w:instrText>
      </w:r>
      <w:r>
        <w:rPr>
          <w:rStyle w:val="xeentry"/>
        </w:rPr>
        <w:instrText>FA selma’o: effect on place structure order</w:instrText>
      </w:r>
      <w:r>
        <w:instrText>"</w:instrText>
      </w:r>
      <w:r>
        <w:rPr>
          <w:rStyle w:val="indexentry"/>
        </w:rPr>
        <w:fldChar w:fldCharType="end"/>
      </w:r>
      <w:r>
        <w:rPr>
          <w:rStyle w:val="indexentry"/>
        </w:rPr>
        <w:t>&lt;cx "place structure order, effect of FA on"&gt;</w:t>
      </w:r>
      <w:r>
        <w:rPr>
          <w:rStyle w:val="indexentry"/>
        </w:rPr>
        <w:fldChar w:fldCharType="begin"/>
      </w:r>
      <w:r>
        <w:instrText>xe "</w:instrText>
      </w:r>
      <w:r>
        <w:rPr>
          <w:rStyle w:val="xeentry"/>
        </w:rPr>
        <w:instrText>place structure order: effect of FA on</w:instrText>
      </w:r>
      <w:r>
        <w:instrText>"</w:instrText>
      </w:r>
      <w:r>
        <w:rPr>
          <w:rStyle w:val="indexentry"/>
        </w:rPr>
        <w:fldChar w:fldCharType="end"/>
      </w:r>
      <w:r>
        <w:rPr>
          <w:rStyle w:val="indexentry"/>
        </w:rPr>
        <w:t>&lt;cx "selbri-first bridi, specifying first sumti place in with fa"&gt;</w:t>
      </w:r>
      <w:r>
        <w:rPr>
          <w:rStyle w:val="indexentry"/>
        </w:rPr>
        <w:fldChar w:fldCharType="begin"/>
      </w:r>
      <w:r>
        <w:instrText>xe "</w:instrText>
      </w:r>
      <w:r>
        <w:rPr>
          <w:rStyle w:val="xeentry"/>
        </w:rPr>
        <w:instrText>selbri-first bridi: specifying first sumti place in with fa</w:instrText>
      </w:r>
      <w:r>
        <w:instrText>"</w:instrText>
      </w:r>
      <w:r>
        <w:rPr>
          <w:rStyle w:val="indexentry"/>
        </w:rPr>
        <w:fldChar w:fldCharType="end"/>
      </w:r>
      <w:r>
        <w:rPr>
          <w:rStyle w:val="indexentry"/>
        </w:rPr>
        <w:t>&lt;cx "sumti, re-ordering with FA"&gt;</w:t>
      </w:r>
      <w:r>
        <w:rPr>
          <w:rStyle w:val="indexentry"/>
        </w:rPr>
        <w:fldChar w:fldCharType="begin"/>
      </w:r>
      <w:r>
        <w:instrText>xe "</w:instrText>
      </w:r>
      <w:r>
        <w:rPr>
          <w:rStyle w:val="xeentry"/>
        </w:rPr>
        <w:instrText>sumti: re-ordering with FA</w:instrText>
      </w:r>
      <w:r>
        <w:instrText>"</w:instrText>
      </w:r>
      <w:r>
        <w:rPr>
          <w:rStyle w:val="indexentry"/>
        </w:rPr>
        <w:fldChar w:fldCharType="end"/>
      </w:r>
      <w:r>
        <w:t>Of course, once the sumti have been tagged, the order in which they are</w:t>
      </w:r>
      <w:r>
        <w:rPr>
          <w:rStyle w:val="deletedparamark"/>
        </w:rPr>
        <w:t xml:space="preserve"> </w:t>
      </w:r>
      <w:r>
        <w:t>speci</w:t>
      </w:r>
      <w:r>
        <w:softHyphen/>
        <w:t>fied no longer carries the burden of distinguishing the places.</w:t>
      </w:r>
      <w:r>
        <w:rPr>
          <w:rStyle w:val="deletedparamark"/>
        </w:rPr>
        <w:t xml:space="preserve"> </w:t>
      </w:r>
      <w:r>
        <w:t>Therefore, it is perfectly all right to scramble them into any order</w:t>
      </w:r>
      <w:r>
        <w:rPr>
          <w:rStyle w:val="deletedparamark"/>
        </w:rPr>
        <w:t xml:space="preserve"> </w:t>
      </w:r>
      <w:r>
        <w:t>desired, and to move the selbri to anywhere in the bridi, even the</w:t>
      </w:r>
      <w:r>
        <w:rPr>
          <w:rStyle w:val="deletedparamark"/>
        </w:rPr>
        <w:t xml:space="preserve"> </w:t>
      </w:r>
      <w:r>
        <w:t>beginning: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klama fa mi fi la .atlantas. fu le karce fe la bastn. fo le dargu</w:t>
      </w:r>
    </w:p>
    <w:p w:rsidR="00B72047" w:rsidRDefault="00B72047">
      <w:pPr>
        <w:pStyle w:val="examplescaled"/>
      </w:pPr>
      <w:r>
        <w:tab/>
        <w:t>go  x1= I  x3= Atlanta  x5= the car  x2= Boston  x4= the road.</w:t>
      </w:r>
    </w:p>
    <w:p w:rsidR="00B72047" w:rsidRDefault="00B72047">
      <w:pPr>
        <w:pStyle w:val="examplescaled"/>
      </w:pPr>
      <w:r>
        <w:tab/>
        <w:t>Go I from Atlanta using the car to Boston via the road.</w:t>
      </w:r>
    </w:p>
    <w:p w:rsidR="00B72047" w:rsidRDefault="00B72047">
      <w:pPr>
        <w:pStyle w:val="resumedafterexample"/>
      </w:pPr>
      <w:r>
        <w:rPr>
          <w:rStyle w:val="htmlcodes"/>
        </w:rPr>
        <w:t>&lt;/pre&gt;</w:t>
      </w:r>
      <w:r>
        <w:rPr>
          <w:rStyle w:val="indexentry"/>
        </w:rPr>
        <w:t>&lt;lx "cu"&gt;</w:t>
      </w:r>
      <w:r>
        <w:rPr>
          <w:rStyle w:val="indexentry"/>
        </w:rPr>
        <w:fldChar w:fldCharType="begin"/>
      </w:r>
      <w:r>
        <w:instrText>xe "</w:instrText>
      </w:r>
      <w:r>
        <w:rPr>
          <w:rStyle w:val="xeentry"/>
        </w:rPr>
        <w:instrText>cu</w:instrText>
      </w:r>
      <w:r>
        <w:instrText>"</w:instrText>
      </w:r>
      <w:r>
        <w:rPr>
          <w:rStyle w:val="indexentry"/>
        </w:rPr>
        <w:fldChar w:fldCharType="end"/>
      </w:r>
      <w:r>
        <w:rPr>
          <w:rStyle w:val="indexentry"/>
        </w:rPr>
        <w:t>&lt;cx "cu, effect of selbri-first bridi on"&gt;</w:t>
      </w:r>
      <w:r>
        <w:rPr>
          <w:rStyle w:val="indexentry"/>
        </w:rPr>
        <w:fldChar w:fldCharType="begin"/>
      </w:r>
      <w:r>
        <w:instrText>xe "</w:instrText>
      </w:r>
      <w:r>
        <w:rPr>
          <w:rStyle w:val="xeentry"/>
        </w:rPr>
        <w:instrText>cu: effect of selbri-first bridi on</w:instrText>
      </w:r>
      <w:r>
        <w:instrText>"</w:instrText>
      </w:r>
      <w:r>
        <w:rPr>
          <w:rStyle w:val="indexentry"/>
        </w:rPr>
        <w:fldChar w:fldCharType="end"/>
      </w:r>
      <w:r>
        <w:rPr>
          <w:rStyle w:val="indexentry"/>
        </w:rPr>
        <w:t>&lt;cx "selbri-first bridi, effect on use of cu"&gt;</w:t>
      </w:r>
      <w:r>
        <w:rPr>
          <w:rStyle w:val="indexentry"/>
        </w:rPr>
        <w:fldChar w:fldCharType="begin"/>
      </w:r>
      <w:r>
        <w:instrText>xe "</w:instrText>
      </w:r>
      <w:r>
        <w:rPr>
          <w:rStyle w:val="xeentry"/>
        </w:rPr>
        <w:instrText>selbri-first bridi: effect on use of cu</w:instrText>
      </w:r>
      <w:r>
        <w:instrText>"</w:instrText>
      </w:r>
      <w:r>
        <w:rPr>
          <w:rStyle w:val="indexentry"/>
        </w:rPr>
        <w:fldChar w:fldCharType="end"/>
      </w:r>
      <w:r>
        <w:t xml:space="preserve">Note that no “cu” is permitted before the selbri in </w:t>
      </w:r>
      <w:r>
        <w:rPr>
          <w:rStyle w:val="htmlcodes"/>
        </w:rPr>
        <w:t>&lt;a href=#e3d3&gt;</w:t>
      </w:r>
      <w:r>
        <w:t>Example 3.3</w:t>
      </w:r>
      <w:r>
        <w:rPr>
          <w:rStyle w:val="htmlcodes"/>
        </w:rPr>
        <w:t>&lt;/a&gt;</w:t>
      </w:r>
      <w:r>
        <w:t>, be</w:t>
      </w:r>
      <w:r>
        <w:softHyphen/>
        <w:t>cause</w:t>
      </w:r>
      <w:r>
        <w:rPr>
          <w:rStyle w:val="deletedparamark"/>
        </w:rPr>
        <w:t xml:space="preserve"> “</w:t>
      </w:r>
      <w:r>
        <w:t xml:space="preserve">cu” separates the selbri from any preceding sumti, and </w:t>
      </w:r>
      <w:r>
        <w:rPr>
          <w:rStyle w:val="htmlcodes"/>
        </w:rPr>
        <w:t>&lt;a href=#e3d3&gt;</w:t>
      </w:r>
      <w:r>
        <w:t>Exam</w:t>
      </w:r>
      <w:r>
        <w:softHyphen/>
        <w:t xml:space="preserve">ple 3.3 </w:t>
      </w:r>
      <w:r>
        <w:rPr>
          <w:rStyle w:val="htmlcodes"/>
        </w:rPr>
        <w:t>&lt;/a&gt;</w:t>
      </w:r>
      <w:r>
        <w:t>has</w:t>
      </w:r>
      <w:r>
        <w:rPr>
          <w:rStyle w:val="deletedparamark"/>
        </w:rPr>
        <w:t xml:space="preserve"> </w:t>
      </w:r>
      <w:r>
        <w:t>no such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fu le karce fo le dargu fi la .atlantas. fe la bastn. cu klama fa mi</w:t>
      </w:r>
    </w:p>
    <w:p w:rsidR="00B72047" w:rsidRDefault="00B72047">
      <w:pPr>
        <w:pStyle w:val="examplescaled"/>
      </w:pPr>
      <w:r>
        <w:tab/>
        <w:t>x5= the car  x4= the road  x3= Atlanta  x2= Boston  go  x1=I</w:t>
      </w:r>
    </w:p>
    <w:p w:rsidR="00B72047" w:rsidRDefault="00B72047">
      <w:pPr>
        <w:pStyle w:val="examplescaled"/>
      </w:pPr>
      <w:r>
        <w:tab/>
        <w:t>Using the car, via the road, from Atlanta to Boston go I.</w:t>
      </w:r>
    </w:p>
    <w:p w:rsidR="00B72047" w:rsidRDefault="00B72047">
      <w:pPr>
        <w:pStyle w:val="resumedafterexample"/>
      </w:pPr>
      <w:r>
        <w:rPr>
          <w:rStyle w:val="htmlcodes"/>
        </w:rPr>
        <w:t>&lt;/pre&gt;&lt;a href=#e3d4&gt;</w:t>
      </w:r>
      <w:r>
        <w:t xml:space="preserve">Example 3.4 </w:t>
      </w:r>
      <w:r>
        <w:rPr>
          <w:rStyle w:val="htmlcodes"/>
        </w:rPr>
        <w:t>&lt;/a&gt;</w:t>
      </w:r>
      <w:r>
        <w:t>exhibits the reverse of the standard bridi form seen in</w:t>
      </w:r>
      <w:r>
        <w:rPr>
          <w:rStyle w:val="deletedparamark"/>
        </w:rPr>
        <w:t xml:space="preserve"> </w:t>
      </w:r>
      <w:r>
        <w:rPr>
          <w:rStyle w:val="htmlcodes"/>
        </w:rPr>
        <w:t>&lt;a href=#e2d{1}&gt;</w:t>
      </w:r>
      <w:r>
        <w:t xml:space="preserve">Examples 2.1 </w:t>
      </w:r>
      <w:r>
        <w:rPr>
          <w:rStyle w:val="htmlcodes"/>
        </w:rPr>
        <w:t>&lt;/a&gt;</w:t>
      </w:r>
      <w:r>
        <w:t xml:space="preserve">and </w:t>
      </w:r>
      <w:r>
        <w:rPr>
          <w:rStyle w:val="htmlcodes"/>
        </w:rPr>
        <w:t>&lt;a href=#e3d1&gt;</w:t>
      </w:r>
      <w:r>
        <w:t>3.1</w:t>
      </w:r>
      <w:r>
        <w:rPr>
          <w:rStyle w:val="htmlcodes"/>
        </w:rPr>
        <w:t>&lt;/a&gt;</w:t>
      </w:r>
      <w:r>
        <w:t>, but still means exactly the same thing. If the</w:t>
      </w:r>
      <w:r>
        <w:rPr>
          <w:rStyle w:val="deletedparamark"/>
        </w:rPr>
        <w:t xml:space="preserve"> </w:t>
      </w:r>
      <w:r>
        <w:t>FA tags were left out, however, pro</w:t>
      </w:r>
      <w:r>
        <w:softHyphen/>
        <w:t>ducing: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name=e3d5&gt;</w:t>
      </w:r>
      <w:r>
        <w:t>3.5)</w:t>
      </w:r>
      <w:r>
        <w:tab/>
        <w:t>le karce le dargu la .atlantas. la bastn. cu klama mi</w:t>
      </w:r>
    </w:p>
    <w:p w:rsidR="00B72047" w:rsidRDefault="00B72047">
      <w:pPr>
        <w:pStyle w:val="examplescaled"/>
      </w:pPr>
      <w:r>
        <w:tab/>
        <w:t>The car to-the road from-Atlanta via-Boston goes using-me.</w:t>
      </w:r>
    </w:p>
    <w:p w:rsidR="00B72047" w:rsidRDefault="00B72047">
      <w:pPr>
        <w:pStyle w:val="examplescaled"/>
      </w:pPr>
      <w:r>
        <w:tab/>
        <w:t>The car goes to the road from Atlanta, with Boston as the route, using me</w:t>
      </w:r>
    </w:p>
    <w:p w:rsidR="00B72047" w:rsidRDefault="00B72047">
      <w:pPr>
        <w:pStyle w:val="examplescaled"/>
        <w:ind w:firstLine="576"/>
      </w:pPr>
      <w:r>
        <w:t>as a means of transport.</w:t>
      </w:r>
    </w:p>
    <w:p w:rsidR="00B72047" w:rsidRDefault="00B72047">
      <w:pPr>
        <w:pStyle w:val="resumedafterexample"/>
      </w:pPr>
      <w:r>
        <w:rPr>
          <w:rStyle w:val="htmlcodes"/>
        </w:rPr>
        <w:t>&lt;/pre&gt;</w:t>
      </w:r>
      <w:r>
        <w:t>the meaning would be wholly changed, and in fact nonsensical.</w:t>
      </w:r>
    </w:p>
    <w:p w:rsidR="00B72047" w:rsidRDefault="00B72047">
      <w:pPr>
        <w:rPr>
          <w:rStyle w:val="htmlparacode"/>
        </w:rPr>
      </w:pPr>
      <w:r>
        <w:rPr>
          <w:rStyle w:val="htmlparacode"/>
        </w:rPr>
        <w:t>&lt;p&gt;</w:t>
      </w:r>
    </w:p>
    <w:p w:rsidR="00B72047" w:rsidRDefault="00B72047">
      <w:pPr>
        <w:pStyle w:val="normalparagraph"/>
      </w:pPr>
      <w:r>
        <w:rPr>
          <w:rStyle w:val="indexentry"/>
        </w:rPr>
        <w:t>&lt;cx "place structures, omitting places with FA"&gt;</w:t>
      </w:r>
      <w:r>
        <w:rPr>
          <w:rStyle w:val="indexentry"/>
        </w:rPr>
        <w:fldChar w:fldCharType="begin"/>
      </w:r>
      <w:r>
        <w:instrText>xe "</w:instrText>
      </w:r>
      <w:r>
        <w:rPr>
          <w:rStyle w:val="xeentry"/>
        </w:rPr>
        <w:instrText>place structure: omitting places with FA</w:instrText>
      </w:r>
      <w:r>
        <w:instrText>"</w:instrText>
      </w:r>
      <w:r>
        <w:rPr>
          <w:rStyle w:val="indexentry"/>
        </w:rPr>
        <w:fldChar w:fldCharType="end"/>
      </w:r>
      <w:r>
        <w:rPr>
          <w:rStyle w:val="indexentry"/>
        </w:rPr>
        <w:t>&lt;cx "FA, compared with zo'e for omitting places"&gt;</w:t>
      </w:r>
      <w:r>
        <w:rPr>
          <w:rStyle w:val="indexentry"/>
        </w:rPr>
        <w:fldChar w:fldCharType="begin"/>
      </w:r>
      <w:r>
        <w:instrText>xe "</w:instrText>
      </w:r>
      <w:r>
        <w:rPr>
          <w:rStyle w:val="xeentry"/>
        </w:rPr>
        <w:instrText>FA selma’o: compared with zo'e for omitting places</w:instrText>
      </w:r>
      <w:r>
        <w:instrText>"</w:instrText>
      </w:r>
      <w:r>
        <w:rPr>
          <w:rStyle w:val="indexentry"/>
        </w:rPr>
        <w:fldChar w:fldCharType="end"/>
      </w:r>
      <w:r>
        <w:rPr>
          <w:rStyle w:val="indexentry"/>
        </w:rPr>
        <w:t>&lt;cx "zo'e, compared with FA for omitting places"&gt;</w:t>
      </w:r>
      <w:r>
        <w:rPr>
          <w:rStyle w:val="indexentry"/>
        </w:rPr>
        <w:fldChar w:fldCharType="begin"/>
      </w:r>
      <w:r>
        <w:instrText>xe "</w:instrText>
      </w:r>
      <w:r>
        <w:rPr>
          <w:rStyle w:val="xeentry"/>
        </w:rPr>
        <w:instrText>zo'e: compared with FA for omitting places</w:instrText>
      </w:r>
      <w:r>
        <w:instrText>"</w:instrText>
      </w:r>
      <w:r>
        <w:rPr>
          <w:rStyle w:val="indexentry"/>
        </w:rPr>
        <w:fldChar w:fldCharType="end"/>
      </w:r>
      <w:r>
        <w:t>Tagging places with FA cmavo makes it easy not only to re</w:t>
      </w:r>
      <w:r>
        <w:softHyphen/>
        <w:t>order the places</w:t>
      </w:r>
      <w:r>
        <w:rPr>
          <w:rStyle w:val="deletedparamark"/>
        </w:rPr>
        <w:t xml:space="preserve"> </w:t>
      </w:r>
      <w:r>
        <w:t>but also to omit undesirable ones, without any need for “zo'e” or special</w:t>
      </w:r>
      <w:r>
        <w:rPr>
          <w:rStyle w:val="deletedparamark"/>
        </w:rPr>
        <w:t xml:space="preserve"> </w:t>
      </w:r>
      <w:r>
        <w:t>rules about the x1 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name=e3d6&gt;</w:t>
      </w:r>
      <w:r>
        <w:t>3.6)</w:t>
      </w:r>
      <w:r>
        <w:tab/>
        <w:t>klama fi la .atlantas. fe la bastn. fu le karce</w:t>
      </w:r>
    </w:p>
    <w:p w:rsidR="00B72047" w:rsidRDefault="00B72047">
      <w:pPr>
        <w:pStyle w:val="examplescaled"/>
      </w:pPr>
      <w:r>
        <w:tab/>
        <w:t>A-goer  x3= Atlanta  x2= Boston  x5 = the car.</w:t>
      </w:r>
    </w:p>
    <w:p w:rsidR="00B72047" w:rsidRDefault="00B72047">
      <w:pPr>
        <w:pStyle w:val="examplescaled"/>
      </w:pPr>
      <w:r>
        <w:tab/>
        <w:t>A goer from Atlanta to Boston using the car.</w:t>
      </w:r>
    </w:p>
    <w:p w:rsidR="00B72047" w:rsidRDefault="00B72047">
      <w:pPr>
        <w:pStyle w:val="resumedafterexample"/>
      </w:pPr>
      <w:r>
        <w:rPr>
          <w:rStyle w:val="htmlcodes"/>
        </w:rPr>
        <w:t>&lt;/pre&gt;&lt;p&gt;</w:t>
      </w:r>
      <w:r>
        <w:t>Here the x1 and x4 places are empty, and so no sumti are tagged with “fa”</w:t>
      </w:r>
      <w:r>
        <w:rPr>
          <w:rStyle w:val="deletedparamark"/>
        </w:rPr>
        <w:t xml:space="preserve"> </w:t>
      </w:r>
      <w:r>
        <w:t>or “fo”; in ad</w:t>
      </w:r>
      <w:r>
        <w:softHyphen/>
        <w:t>dition, the x2 and x3 places appear in reverse order.</w:t>
      </w:r>
    </w:p>
    <w:p w:rsidR="00B72047" w:rsidRDefault="00B72047">
      <w:pPr>
        <w:rPr>
          <w:rStyle w:val="htmlparacode"/>
        </w:rPr>
      </w:pPr>
      <w:r>
        <w:rPr>
          <w:rStyle w:val="htmlparacode"/>
        </w:rPr>
        <w:t>&lt;p&gt;</w:t>
      </w:r>
    </w:p>
    <w:p w:rsidR="00B72047" w:rsidRDefault="00B72047">
      <w:pPr>
        <w:pStyle w:val="normalparagraph"/>
      </w:pPr>
      <w:r>
        <w:rPr>
          <w:rStyle w:val="indexentry"/>
        </w:rPr>
        <w:t>&lt;cx "FA, effect on subsequent non-tagged places"&gt;</w:t>
      </w:r>
      <w:r>
        <w:rPr>
          <w:rStyle w:val="indexentry"/>
        </w:rPr>
        <w:fldChar w:fldCharType="begin"/>
      </w:r>
      <w:r>
        <w:instrText>xe "</w:instrText>
      </w:r>
      <w:r>
        <w:rPr>
          <w:rStyle w:val="xeentry"/>
        </w:rPr>
        <w:instrText>FA selma’o: effect on subsequent non-tagged places</w:instrText>
      </w:r>
      <w:r>
        <w:instrText>"</w:instrText>
      </w:r>
      <w:r>
        <w:rPr>
          <w:rStyle w:val="indexentry"/>
        </w:rPr>
        <w:fldChar w:fldCharType="end"/>
      </w:r>
      <w:r>
        <w:t>What if some sumti have FA tags and others do not? The rule is that after</w:t>
      </w:r>
      <w:r>
        <w:rPr>
          <w:rStyle w:val="deletedparamark"/>
        </w:rPr>
        <w:t xml:space="preserve"> </w:t>
      </w:r>
      <w:r>
        <w:t>a FA-tagged sumti, any sumti following it occupy the places numerically</w:t>
      </w:r>
      <w:r>
        <w:rPr>
          <w:rStyle w:val="deletedparamark"/>
        </w:rPr>
        <w:t xml:space="preserve"> </w:t>
      </w:r>
      <w:r>
        <w:t>succeeding it, subject to the proviso that an al</w:t>
      </w:r>
      <w:r>
        <w:softHyphen/>
        <w:t>ready-filled place is</w:t>
      </w:r>
      <w:r>
        <w:rPr>
          <w:rStyle w:val="deletedparamark"/>
        </w:rPr>
        <w:t xml:space="preserve"> </w:t>
      </w:r>
      <w:r>
        <w:t>skipped: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name=e3d7&gt;</w:t>
      </w:r>
      <w:r>
        <w:t>3.7)</w:t>
      </w:r>
      <w:r>
        <w:tab/>
        <w:t>klama fa mi la bastn. la .atlantas. le dargu le karce</w:t>
      </w:r>
    </w:p>
    <w:p w:rsidR="00B72047" w:rsidRDefault="00B72047">
      <w:pPr>
        <w:pStyle w:val="examplescaled"/>
      </w:pPr>
      <w:r>
        <w:tab/>
        <w:t>Go  x1= I  x2= Boston  x3= Atlanta  x4= the road  x5= the car.</w:t>
      </w:r>
    </w:p>
    <w:p w:rsidR="00B72047" w:rsidRDefault="00B72047">
      <w:pPr>
        <w:pStyle w:val="examplescaled"/>
      </w:pPr>
      <w:r>
        <w:tab/>
        <w:t>Go I to Boston from Atlanta via the road using the car.</w:t>
      </w:r>
    </w:p>
    <w:p w:rsidR="00B72047" w:rsidRDefault="00B72047">
      <w:pPr>
        <w:pStyle w:val="resumedafterexample"/>
      </w:pPr>
      <w:r>
        <w:rPr>
          <w:rStyle w:val="htmlcodes"/>
        </w:rPr>
        <w:t>&lt;/pre&gt;&lt;p&gt;</w:t>
      </w:r>
      <w:r>
        <w:t xml:space="preserve">In </w:t>
      </w:r>
      <w:r>
        <w:rPr>
          <w:rStyle w:val="htmlcodes"/>
        </w:rPr>
        <w:t>&lt;a href=#e3d7&gt;</w:t>
      </w:r>
      <w:r>
        <w:t>Example 3.7</w:t>
      </w:r>
      <w:r>
        <w:rPr>
          <w:rStyle w:val="htmlcodes"/>
        </w:rPr>
        <w:t>&lt;/a&gt;</w:t>
      </w:r>
      <w:r>
        <w:t>, the “fa” causes “mi” to occupy the x1 place, and then</w:t>
      </w:r>
      <w:r>
        <w:rPr>
          <w:rStyle w:val="deletedparamark"/>
        </w:rPr>
        <w:t xml:space="preserve"> </w:t>
      </w:r>
      <w:r>
        <w:t>the following u</w:t>
      </w:r>
      <w:r>
        <w:t>n</w:t>
      </w:r>
      <w:r>
        <w:softHyphen/>
        <w:t>tagged sumti occupy in order the x2 through x5 places.</w:t>
      </w:r>
      <w:r>
        <w:rPr>
          <w:rStyle w:val="deletedparamark"/>
        </w:rPr>
        <w:t xml:space="preserve"> </w:t>
      </w:r>
      <w:r>
        <w:t>This is the mechanism by which Lojban allows placing the selbri first</w:t>
      </w:r>
      <w:r>
        <w:rPr>
          <w:rStyle w:val="deletedparamark"/>
        </w:rPr>
        <w:t xml:space="preserve"> </w:t>
      </w:r>
      <w:r>
        <w:t>while specifying a sumti for the x1 place.</w:t>
      </w:r>
    </w:p>
    <w:p w:rsidR="00B72047" w:rsidRDefault="00B72047">
      <w:pPr>
        <w:rPr>
          <w:rStyle w:val="htmlparacode"/>
        </w:rPr>
      </w:pPr>
      <w:r>
        <w:rPr>
          <w:rStyle w:val="htmlparacode"/>
        </w:rPr>
        <w:t>&lt;p&gt;</w:t>
      </w:r>
    </w:p>
    <w:p w:rsidR="00B72047" w:rsidRDefault="00B72047">
      <w:pPr>
        <w:pStyle w:val="normalparagraph"/>
      </w:pPr>
      <w:r>
        <w:t>Here is a more complex (and more confusing)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name=e3d8&gt;</w:t>
      </w:r>
      <w:r>
        <w:t>3.8)</w:t>
      </w:r>
      <w:r>
        <w:tab/>
        <w:t>mi klama fi la .atlantas. le dargu fe la bastn. le karce</w:t>
      </w:r>
    </w:p>
    <w:p w:rsidR="00B72047" w:rsidRDefault="00B72047">
      <w:pPr>
        <w:pStyle w:val="examplescaled"/>
      </w:pPr>
      <w:r>
        <w:tab/>
        <w:t>I  go  x3= Atlanta, the road  x2= Boston, the car.</w:t>
      </w:r>
    </w:p>
    <w:p w:rsidR="00B72047" w:rsidRDefault="00B72047">
      <w:pPr>
        <w:pStyle w:val="examplescaled"/>
      </w:pPr>
      <w:r>
        <w:tab/>
        <w:t>I go from Atlanta via the road to Boston using the car.</w:t>
      </w:r>
    </w:p>
    <w:p w:rsidR="00B72047" w:rsidRDefault="00B72047">
      <w:pPr>
        <w:pStyle w:val="resumedafterexample"/>
      </w:pPr>
      <w:r>
        <w:rPr>
          <w:rStyle w:val="htmlcodes"/>
        </w:rPr>
        <w:t>&lt;/pre&gt;&lt;p&gt;</w:t>
      </w:r>
      <w:r>
        <w:t xml:space="preserve">In </w:t>
      </w:r>
      <w:r>
        <w:rPr>
          <w:rStyle w:val="htmlcodes"/>
        </w:rPr>
        <w:t>&lt;a href=#e3d8&gt;</w:t>
      </w:r>
      <w:r>
        <w:t>Example 3.8</w:t>
      </w:r>
      <w:r>
        <w:rPr>
          <w:rStyle w:val="htmlcodes"/>
        </w:rPr>
        <w:t>&lt;/a&gt;</w:t>
      </w:r>
      <w:r>
        <w:t>, “mi” occupies the x1 place because it is the first sumti</w:t>
      </w:r>
      <w:r>
        <w:rPr>
          <w:rStyle w:val="deletedparamark"/>
        </w:rPr>
        <w:t xml:space="preserve"> </w:t>
      </w:r>
      <w:r>
        <w:t>in the sentence (and is before the selbri). The second sumti, “la .atlantas.”,</w:t>
      </w:r>
      <w:r>
        <w:rPr>
          <w:rStyle w:val="deletedparamark"/>
        </w:rPr>
        <w:t xml:space="preserve"> </w:t>
      </w:r>
      <w:r>
        <w:t>occupies the x3 place by vi</w:t>
      </w:r>
      <w:r>
        <w:t>r</w:t>
      </w:r>
      <w:r>
        <w:softHyphen/>
        <w:t>tue of the tag “fi”, and “le dargu” occupies</w:t>
      </w:r>
      <w:r>
        <w:rPr>
          <w:rStyle w:val="deletedparamark"/>
        </w:rPr>
        <w:t xml:space="preserve"> </w:t>
      </w:r>
      <w:r>
        <w:t>the x4 place as a result of following “la .atlantas.”. Finally, “la bastn.”</w:t>
      </w:r>
      <w:r>
        <w:rPr>
          <w:rStyle w:val="deletedparamark"/>
        </w:rPr>
        <w:t xml:space="preserve"> </w:t>
      </w:r>
      <w:r>
        <w:t>occupies the x2 place because of its tag “fe”, and “le karce” skips over</w:t>
      </w:r>
      <w:r>
        <w:rPr>
          <w:rStyle w:val="deletedparamark"/>
        </w:rPr>
        <w:t xml:space="preserve"> </w:t>
      </w:r>
      <w:r>
        <w:t>the already-occupied x3 and x4 places to land in the x5 place.</w:t>
      </w:r>
    </w:p>
    <w:p w:rsidR="00B72047" w:rsidRDefault="00B72047">
      <w:pPr>
        <w:rPr>
          <w:rStyle w:val="htmlparacode"/>
        </w:rPr>
      </w:pPr>
      <w:r>
        <w:rPr>
          <w:rStyle w:val="htmlparacode"/>
        </w:rPr>
        <w:t>&lt;p&gt;</w:t>
      </w:r>
    </w:p>
    <w:p w:rsidR="00B72047" w:rsidRDefault="00B72047">
      <w:pPr>
        <w:pStyle w:val="normalparagraph"/>
      </w:pPr>
      <w:r>
        <w:rPr>
          <w:rStyle w:val="indexentry"/>
        </w:rPr>
        <w:t>&lt;cx "FA, avoidance of complex usage of"&gt;</w:t>
      </w:r>
      <w:r>
        <w:rPr>
          <w:rStyle w:val="indexentry"/>
        </w:rPr>
        <w:fldChar w:fldCharType="begin"/>
      </w:r>
      <w:r>
        <w:instrText>xe "</w:instrText>
      </w:r>
      <w:r>
        <w:rPr>
          <w:rStyle w:val="xeentry"/>
        </w:rPr>
        <w:instrText>FA selma’o: avoidance of complex usage of</w:instrText>
      </w:r>
      <w:r>
        <w:instrText>"</w:instrText>
      </w:r>
      <w:r>
        <w:rPr>
          <w:rStyle w:val="indexentry"/>
        </w:rPr>
        <w:fldChar w:fldCharType="end"/>
      </w:r>
      <w:r>
        <w:t xml:space="preserve">Such a convoluted use </w:t>
      </w:r>
      <w:r>
        <w:rPr>
          <w:rStyle w:val="PageNumber"/>
        </w:rPr>
        <w:t>of</w:t>
      </w:r>
      <w:r>
        <w:t xml:space="preserve"> tags should probably be avoided except when trying</w:t>
      </w:r>
      <w:r>
        <w:rPr>
          <w:rStyle w:val="deletedparamark"/>
        </w:rPr>
        <w:t xml:space="preserve"> </w:t>
      </w:r>
      <w:r>
        <w:t>for a literal translation of some English (or other natural-language) sentence;</w:t>
      </w:r>
      <w:r>
        <w:rPr>
          <w:rStyle w:val="deletedparamark"/>
        </w:rPr>
        <w:t xml:space="preserve"> </w:t>
      </w:r>
      <w:r>
        <w:t>the rules stated here are merely given so that some standard interpretation</w:t>
      </w:r>
      <w:r>
        <w:rPr>
          <w:rStyle w:val="deletedparamark"/>
        </w:rPr>
        <w:t xml:space="preserve"> </w:t>
      </w:r>
      <w:r>
        <w:t>is possible.</w:t>
      </w:r>
    </w:p>
    <w:p w:rsidR="00B72047" w:rsidRDefault="00B72047">
      <w:pPr>
        <w:rPr>
          <w:rStyle w:val="htmlparacode"/>
        </w:rPr>
      </w:pPr>
      <w:r>
        <w:rPr>
          <w:rStyle w:val="htmlparacode"/>
        </w:rPr>
        <w:t>&lt;p&gt;</w:t>
      </w:r>
    </w:p>
    <w:p w:rsidR="00B72047" w:rsidRDefault="00B72047">
      <w:pPr>
        <w:pStyle w:val="normalparagraph"/>
      </w:pPr>
      <w:r>
        <w:rPr>
          <w:rStyle w:val="indexentry"/>
        </w:rPr>
        <w:t>&lt;cx "FA, for putting more than one sumti in a single place"&gt;</w:t>
      </w:r>
      <w:r>
        <w:rPr>
          <w:rStyle w:val="indexentry"/>
        </w:rPr>
        <w:fldChar w:fldCharType="begin"/>
      </w:r>
      <w:r>
        <w:instrText>xe "</w:instrText>
      </w:r>
      <w:r>
        <w:rPr>
          <w:rStyle w:val="xeentry"/>
        </w:rPr>
        <w:instrText>FA selma’o: for putting more than one sumti in a single place</w:instrText>
      </w:r>
      <w:r>
        <w:instrText>"</w:instrText>
      </w:r>
      <w:r>
        <w:rPr>
          <w:rStyle w:val="indexentry"/>
        </w:rPr>
        <w:fldChar w:fldCharType="end"/>
      </w:r>
      <w:r>
        <w:rPr>
          <w:rStyle w:val="indexentry"/>
        </w:rPr>
        <w:t>&lt;cx "sumti, multiple in one place with FA"&gt;</w:t>
      </w:r>
      <w:r>
        <w:rPr>
          <w:rStyle w:val="indexentry"/>
        </w:rPr>
        <w:fldChar w:fldCharType="begin"/>
      </w:r>
      <w:r>
        <w:instrText>xe "</w:instrText>
      </w:r>
      <w:r>
        <w:rPr>
          <w:rStyle w:val="xeentry"/>
        </w:rPr>
        <w:instrText>sumti: multiple in one place with FA</w:instrText>
      </w:r>
      <w:r>
        <w:instrText>"</w:instrText>
      </w:r>
      <w:r>
        <w:rPr>
          <w:rStyle w:val="indexentry"/>
        </w:rPr>
        <w:fldChar w:fldCharType="end"/>
      </w:r>
      <w:r>
        <w:rPr>
          <w:rStyle w:val="indexentry"/>
        </w:rPr>
        <w:t>&lt;cx "multiple sumti in one place, meaning"&gt;</w:t>
      </w:r>
      <w:r>
        <w:rPr>
          <w:rStyle w:val="indexentry"/>
        </w:rPr>
        <w:fldChar w:fldCharType="begin"/>
      </w:r>
      <w:r>
        <w:instrText>xe "</w:instrText>
      </w:r>
      <w:r>
        <w:rPr>
          <w:rStyle w:val="xeentry"/>
        </w:rPr>
        <w:instrText>multiple sumti in one place: meaning</w:instrText>
      </w:r>
      <w:r>
        <w:instrText>"</w:instrText>
      </w:r>
      <w:r>
        <w:rPr>
          <w:rStyle w:val="indexentry"/>
        </w:rPr>
        <w:fldChar w:fldCharType="end"/>
      </w:r>
      <w:r>
        <w:t>It is grammatically permitted to tag more than one sumti with the same</w:t>
      </w:r>
      <w:r>
        <w:rPr>
          <w:rStyle w:val="deletedparamark"/>
        </w:rPr>
        <w:t xml:space="preserve"> </w:t>
      </w:r>
      <w:r>
        <w:t>FA cmavo. The effect is that of making more than one claim:</w:t>
      </w:r>
    </w:p>
    <w:p w:rsidR="00B72047" w:rsidRDefault="00B72047">
      <w:pPr>
        <w:rPr>
          <w:rStyle w:val="htmlparacode"/>
        </w:rPr>
      </w:pPr>
      <w:r>
        <w:rPr>
          <w:rStyle w:val="htmlparacode"/>
        </w:rPr>
        <w:t>&lt;p&gt;</w:t>
      </w:r>
    </w:p>
    <w:p w:rsidR="00B72047" w:rsidRDefault="00B72047">
      <w:pPr>
        <w:pStyle w:val="examplescaledpre"/>
      </w:pPr>
      <w:r>
        <w:rPr>
          <w:rStyle w:val="indexentry"/>
        </w:rPr>
        <w:t>&lt;ex "to movie, house, office"&gt;</w:t>
      </w:r>
      <w:r>
        <w:rPr>
          <w:rStyle w:val="indexentry"/>
        </w:rPr>
        <w:fldChar w:fldCharType="begin"/>
      </w:r>
      <w:r>
        <w:instrText>xe "</w:instrText>
      </w:r>
      <w:r>
        <w:rPr>
          <w:rStyle w:val="xeentry"/>
        </w:rPr>
        <w:instrText>to movie: house, office, example</w:instrText>
      </w:r>
      <w:r>
        <w:instrText>"</w:instrText>
      </w:r>
      <w:r>
        <w:rPr>
          <w:rStyle w:val="indexentry"/>
        </w:rPr>
        <w:fldChar w:fldCharType="end"/>
      </w:r>
      <w:r>
        <w:rPr>
          <w:rStyle w:val="htmlcodes"/>
        </w:rPr>
        <w:t>&lt;pre&gt;&lt;a name=e3d9&gt;</w:t>
      </w:r>
      <w:r>
        <w:t>3.9)</w:t>
      </w:r>
      <w:r>
        <w:tab/>
        <w:t>[fa] la rik. fa la djein. klama [fe] le skina fe le zdani fe le zarci</w:t>
      </w:r>
    </w:p>
    <w:p w:rsidR="00B72047" w:rsidRDefault="00B72047">
      <w:pPr>
        <w:pStyle w:val="examplescaled"/>
      </w:pPr>
      <w:r>
        <w:tab/>
        <w:t>[x1=] Rick  x1= Jane  goes-to  x2= the movie  x2= the house  x2= the office</w:t>
      </w:r>
    </w:p>
    <w:p w:rsidR="00B72047" w:rsidRDefault="00B72047">
      <w:pPr>
        <w:pStyle w:val="resumedafterexample"/>
      </w:pPr>
      <w:r>
        <w:rPr>
          <w:rStyle w:val="htmlcodes"/>
        </w:rPr>
        <w:t>&lt;/pre&gt;</w:t>
      </w:r>
      <w:r>
        <w:rPr>
          <w:rStyle w:val="indexentry"/>
        </w:rPr>
        <w:t>&lt;cx "multiple sumti in one place, avoiding"&gt;</w:t>
      </w:r>
      <w:r>
        <w:rPr>
          <w:rStyle w:val="indexentry"/>
        </w:rPr>
        <w:fldChar w:fldCharType="begin"/>
      </w:r>
      <w:r>
        <w:instrText>xe "</w:instrText>
      </w:r>
      <w:r>
        <w:rPr>
          <w:rStyle w:val="xeentry"/>
        </w:rPr>
        <w:instrText>multiple sumti in one place: avoiding</w:instrText>
      </w:r>
      <w:r>
        <w:instrText>"</w:instrText>
      </w:r>
      <w:r>
        <w:rPr>
          <w:rStyle w:val="indexentry"/>
        </w:rPr>
        <w:fldChar w:fldCharType="end"/>
      </w:r>
      <w:r>
        <w:t>may be taken to say that both Rick and Jane go to the movie, the house, and</w:t>
      </w:r>
      <w:r>
        <w:rPr>
          <w:rStyle w:val="deletedparamark"/>
        </w:rPr>
        <w:t xml:space="preserve"> </w:t>
      </w:r>
      <w:r>
        <w:t>the office, merging six claims into one. More likely, how</w:t>
      </w:r>
      <w:r>
        <w:softHyphen/>
        <w:t>ever, it will</w:t>
      </w:r>
      <w:r>
        <w:rPr>
          <w:rStyle w:val="deletedparamark"/>
        </w:rPr>
        <w:t xml:space="preserve"> </w:t>
      </w:r>
      <w:r>
        <w:t>simply confuse the listener. There are better ways, in</w:t>
      </w:r>
      <w:r>
        <w:softHyphen/>
        <w:t>volving logical</w:t>
      </w:r>
      <w:r>
        <w:rPr>
          <w:rStyle w:val="deletedparamark"/>
        </w:rPr>
        <w:t xml:space="preserve"> </w:t>
      </w:r>
      <w:r>
        <w:t xml:space="preserve">connectives (explained in </w:t>
      </w:r>
      <w:r>
        <w:rPr>
          <w:rStyle w:val="htmlcodes"/>
        </w:rPr>
        <w:t>&lt;a href=chap14.html&gt;</w:t>
      </w:r>
      <w:r>
        <w:t>Chapter 14</w:t>
      </w:r>
      <w:r>
        <w:rPr>
          <w:rStyle w:val="htmlcodes"/>
        </w:rPr>
        <w:t>&lt;/a&gt;</w:t>
      </w:r>
      <w:r>
        <w:t>), to say such things in Lojban.</w:t>
      </w:r>
      <w:r>
        <w:rPr>
          <w:rStyle w:val="deletedparamark"/>
        </w:rPr>
        <w:t xml:space="preserve"> </w:t>
      </w:r>
      <w:r>
        <w:t>In fact, putting more than one sumti into a place is odd enough that it</w:t>
      </w:r>
      <w:r>
        <w:rPr>
          <w:rStyle w:val="deletedparamark"/>
        </w:rPr>
        <w:t xml:space="preserve"> </w:t>
      </w:r>
      <w:r>
        <w:t>can only be done by explicit FA usage: this is the motivation for the</w:t>
      </w:r>
      <w:r>
        <w:rPr>
          <w:rStyle w:val="deletedparamark"/>
        </w:rPr>
        <w:t xml:space="preserve"> </w:t>
      </w:r>
      <w:r>
        <w:t>proviso above, that already-occupied places are skipped. In this way,</w:t>
      </w:r>
      <w:r>
        <w:rPr>
          <w:rStyle w:val="deletedparamark"/>
        </w:rPr>
        <w:t xml:space="preserve"> </w:t>
      </w:r>
      <w:r>
        <w:t>no sumti can be forced into a place a</w:t>
      </w:r>
      <w:r>
        <w:t>l</w:t>
      </w:r>
      <w:r>
        <w:softHyphen/>
        <w:t>ready oc</w:t>
      </w:r>
      <w:r>
        <w:softHyphen/>
        <w:t>cupied unless it has an</w:t>
      </w:r>
      <w:r>
        <w:rPr>
          <w:rStyle w:val="deletedparamark"/>
        </w:rPr>
        <w:t xml:space="preserve"> </w:t>
      </w:r>
      <w:r>
        <w:t>explicit FA cmavo tagging it.</w:t>
      </w:r>
    </w:p>
    <w:p w:rsidR="00B72047" w:rsidRDefault="00B72047">
      <w:pPr>
        <w:rPr>
          <w:rStyle w:val="htmlparacode"/>
        </w:rPr>
      </w:pPr>
      <w:r>
        <w:rPr>
          <w:rStyle w:val="htmlparacode"/>
        </w:rPr>
        <w:t>&lt;p&gt;</w:t>
      </w:r>
    </w:p>
    <w:p w:rsidR="00B72047" w:rsidRDefault="00B72047">
      <w:pPr>
        <w:pStyle w:val="normalparagraph"/>
      </w:pPr>
      <w:r>
        <w:rPr>
          <w:rStyle w:val="indexentry"/>
        </w:rPr>
        <w:t>&lt;lx "fi'a"&gt;</w:t>
      </w:r>
      <w:r>
        <w:rPr>
          <w:rStyle w:val="indexentry"/>
        </w:rPr>
        <w:fldChar w:fldCharType="begin"/>
      </w:r>
      <w:r>
        <w:instrText>xe "</w:instrText>
      </w:r>
      <w:r>
        <w:rPr>
          <w:rStyle w:val="xeentry"/>
        </w:rPr>
        <w:instrText>fi'a</w:instrText>
      </w:r>
      <w:r>
        <w:instrText>"</w:instrText>
      </w:r>
      <w:r>
        <w:rPr>
          <w:rStyle w:val="indexentry"/>
        </w:rPr>
        <w:fldChar w:fldCharType="end"/>
      </w:r>
      <w:r>
        <w:rPr>
          <w:rStyle w:val="indexentry"/>
        </w:rPr>
        <w:t>&lt;cx "place structure questions"&gt;</w:t>
      </w:r>
      <w:r>
        <w:rPr>
          <w:rStyle w:val="indexentry"/>
        </w:rPr>
        <w:fldChar w:fldCharType="begin"/>
      </w:r>
      <w:r>
        <w:instrText>xe "</w:instrText>
      </w:r>
      <w:r>
        <w:rPr>
          <w:rStyle w:val="xeentry"/>
        </w:rPr>
        <w:instrText>place structure questions</w:instrText>
      </w:r>
      <w:r>
        <w:instrText>"</w:instrText>
      </w:r>
      <w:r>
        <w:rPr>
          <w:rStyle w:val="indexentry"/>
        </w:rPr>
        <w:fldChar w:fldCharType="end"/>
      </w:r>
      <w:r>
        <w:rPr>
          <w:rStyle w:val="indexentry"/>
        </w:rPr>
        <w:t>&lt;cx "questions, place structure position"&gt;</w:t>
      </w:r>
      <w:r>
        <w:rPr>
          <w:rStyle w:val="indexentry"/>
        </w:rPr>
        <w:fldChar w:fldCharType="begin"/>
      </w:r>
      <w:r>
        <w:instrText>xe "</w:instrText>
      </w:r>
      <w:r>
        <w:rPr>
          <w:rStyle w:val="xeentry"/>
        </w:rPr>
        <w:instrText>questions: place structure position</w:instrText>
      </w:r>
      <w:r>
        <w:instrText>"</w:instrText>
      </w:r>
      <w:r>
        <w:rPr>
          <w:rStyle w:val="indexentry"/>
        </w:rPr>
        <w:fldChar w:fldCharType="end"/>
      </w:r>
      <w:r>
        <w:t>The cmavo “fi'a” also belongs to selma'o FA, and allows Loj</w:t>
      </w:r>
      <w:r>
        <w:softHyphen/>
        <w:t>ban users to</w:t>
      </w:r>
      <w:r>
        <w:rPr>
          <w:rStyle w:val="deletedparamark"/>
        </w:rPr>
        <w:t xml:space="preserve"> </w:t>
      </w:r>
      <w:r>
        <w:t>ask que</w:t>
      </w:r>
      <w:r>
        <w:t>s</w:t>
      </w:r>
      <w:r>
        <w:softHyphen/>
        <w:t>tions about place structures. A bridi containing “fi'a” is a</w:t>
      </w:r>
      <w:r>
        <w:rPr>
          <w:rStyle w:val="deletedparamark"/>
        </w:rPr>
        <w:t xml:space="preserve"> </w:t>
      </w:r>
      <w:r>
        <w:t>question, asking the lis</w:t>
      </w:r>
      <w:r>
        <w:softHyphen/>
        <w:t>tener to supply the appropriate other member of</w:t>
      </w:r>
      <w:r>
        <w:rPr>
          <w:rStyle w:val="deletedparamark"/>
        </w:rPr>
        <w:t xml:space="preserve"> </w:t>
      </w:r>
      <w:r>
        <w:t>FA which will make the bridi a true statement:</w:t>
      </w:r>
    </w:p>
    <w:p w:rsidR="00B72047" w:rsidRDefault="00B72047">
      <w:pPr>
        <w:rPr>
          <w:rStyle w:val="htmlparacode"/>
        </w:rPr>
      </w:pPr>
      <w:r>
        <w:rPr>
          <w:rStyle w:val="htmlparacode"/>
        </w:rPr>
        <w:t>&lt;p&gt;</w:t>
      </w:r>
    </w:p>
    <w:p w:rsidR="00B72047" w:rsidRDefault="00B72047">
      <w:pPr>
        <w:pStyle w:val="examplescaledpre"/>
      </w:pPr>
      <w:r>
        <w:rPr>
          <w:rStyle w:val="indexentry"/>
        </w:rPr>
        <w:t>&lt;ex "give or receive?"&gt;</w:t>
      </w:r>
      <w:r>
        <w:rPr>
          <w:rStyle w:val="indexentry"/>
        </w:rPr>
        <w:fldChar w:fldCharType="begin"/>
      </w:r>
      <w:r>
        <w:instrText>xe "</w:instrText>
      </w:r>
      <w:r>
        <w:rPr>
          <w:rStyle w:val="xeentry"/>
        </w:rPr>
        <w:instrText>give or receive?: example</w:instrText>
      </w:r>
      <w:r>
        <w:instrText>"</w:instrText>
      </w:r>
      <w:r>
        <w:rPr>
          <w:rStyle w:val="indexentry"/>
        </w:rPr>
        <w:fldChar w:fldCharType="end"/>
      </w:r>
      <w:r>
        <w:rPr>
          <w:rStyle w:val="htmlcodes"/>
        </w:rPr>
        <w:t xml:space="preserve"> &lt;pre&gt;&lt;a name=e3d10&gt;</w:t>
      </w:r>
      <w:r>
        <w:t>3.10)</w:t>
      </w:r>
      <w:r>
        <w:tab/>
        <w:t>fi'a do dunda [fe] le vi rozgu</w:t>
      </w:r>
    </w:p>
    <w:p w:rsidR="00B72047" w:rsidRDefault="00B72047">
      <w:pPr>
        <w:pStyle w:val="examplescaled"/>
      </w:pPr>
      <w:r>
        <w:tab/>
        <w:t>[what place]? you give x2= the nearby rose</w:t>
      </w:r>
    </w:p>
    <w:p w:rsidR="00B72047" w:rsidRDefault="00B72047">
      <w:pPr>
        <w:pStyle w:val="examplescaled"/>
      </w:pPr>
      <w:r>
        <w:tab/>
        <w:t>In what way are you involved in the giving of this rose?</w:t>
      </w:r>
    </w:p>
    <w:p w:rsidR="00B72047" w:rsidRDefault="00B72047">
      <w:pPr>
        <w:pStyle w:val="examplescaled"/>
      </w:pPr>
      <w:r>
        <w:tab/>
        <w:t>Are you the giver or the receiver of this rose?</w:t>
      </w:r>
    </w:p>
    <w:p w:rsidR="00B72047" w:rsidRDefault="00B72047">
      <w:pPr>
        <w:pStyle w:val="resumedafterexample"/>
      </w:pPr>
      <w:r>
        <w:rPr>
          <w:rStyle w:val="htmlcodes"/>
        </w:rPr>
        <w:t>&lt;/pre&gt;&lt;p&gt;</w:t>
      </w:r>
      <w:r>
        <w:t xml:space="preserve">In </w:t>
      </w:r>
      <w:r>
        <w:rPr>
          <w:rStyle w:val="htmlcodes"/>
        </w:rPr>
        <w:t>&lt;a href=#e3d10&gt;</w:t>
      </w:r>
      <w:r>
        <w:t>Example 3.10</w:t>
      </w:r>
      <w:r>
        <w:rPr>
          <w:rStyle w:val="htmlcodes"/>
        </w:rPr>
        <w:t>&lt;/a&gt;</w:t>
      </w:r>
      <w:r>
        <w:t>, the speaker uses the selbri “dunda”, whose place structure</w:t>
      </w:r>
      <w:r>
        <w:rPr>
          <w:rStyle w:val="deletedparamark"/>
        </w:rPr>
        <w:t xml:space="preserve"> </w:t>
      </w:r>
      <w:r>
        <w:t>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dunda:  </w:t>
      </w:r>
      <w:r>
        <w:rPr>
          <w:rStyle w:val="htmlcodes"/>
        </w:rPr>
        <w:t>&lt;dd&gt;</w:t>
      </w:r>
      <w:r>
        <w:t>x1 gives x2 to x3</w:t>
      </w:r>
    </w:p>
    <w:p w:rsidR="00B72047" w:rsidRDefault="00B72047">
      <w:pPr>
        <w:pStyle w:val="resumedafterexample"/>
      </w:pPr>
      <w:r>
        <w:rPr>
          <w:rStyle w:val="htmlcodes"/>
        </w:rPr>
        <w:t>&lt;/dl&gt;</w:t>
      </w:r>
      <w:r>
        <w:rPr>
          <w:rStyle w:val="indexentry"/>
        </w:rPr>
        <w:t>&lt;cx "answer, to place structure question"&gt;</w:t>
      </w:r>
      <w:r>
        <w:rPr>
          <w:rStyle w:val="indexentry"/>
        </w:rPr>
        <w:fldChar w:fldCharType="begin"/>
      </w:r>
      <w:r>
        <w:instrText>xe "</w:instrText>
      </w:r>
      <w:r>
        <w:rPr>
          <w:rStyle w:val="xeentry"/>
        </w:rPr>
        <w:instrText>answers: to place structure questions</w:instrText>
      </w:r>
      <w:r>
        <w:instrText>"</w:instrText>
      </w:r>
      <w:r>
        <w:rPr>
          <w:rStyle w:val="indexentry"/>
        </w:rPr>
        <w:fldChar w:fldCharType="end"/>
      </w:r>
      <w:r>
        <w:t>The tagged sumti “fi'a do” indicates that the speaker wishes to know whether</w:t>
      </w:r>
      <w:r>
        <w:rPr>
          <w:rStyle w:val="deletedparamark"/>
        </w:rPr>
        <w:t xml:space="preserve"> </w:t>
      </w:r>
      <w:r>
        <w:t>the sumti “do” falls in the x1 or the x3 place (the x2 place is already</w:t>
      </w:r>
      <w:r>
        <w:rPr>
          <w:rStyle w:val="deletedparamark"/>
        </w:rPr>
        <w:t xml:space="preserve"> </w:t>
      </w:r>
      <w:r>
        <w:t>occupied by “le rozgu”). The listener can reply with a sen</w:t>
      </w:r>
      <w:r>
        <w:softHyphen/>
        <w:t>tence consisting</w:t>
      </w:r>
      <w:r>
        <w:rPr>
          <w:rStyle w:val="deletedparamark"/>
        </w:rPr>
        <w:t xml:space="preserve"> </w:t>
      </w:r>
      <w:r>
        <w:t>solely of a FA cmavo: “fa” if the listener is the giver, “fi” if he/she</w:t>
      </w:r>
      <w:r>
        <w:rPr>
          <w:rStyle w:val="deletedparamark"/>
        </w:rPr>
        <w:t xml:space="preserve"> </w:t>
      </w:r>
      <w:r>
        <w:t>is the receiver.</w:t>
      </w:r>
    </w:p>
    <w:p w:rsidR="00B72047" w:rsidRDefault="00B72047">
      <w:pPr>
        <w:rPr>
          <w:rStyle w:val="htmlparacode"/>
        </w:rPr>
      </w:pPr>
      <w:r>
        <w:rPr>
          <w:rStyle w:val="htmlparacode"/>
        </w:rPr>
        <w:t>&lt;p&gt;</w:t>
      </w:r>
    </w:p>
    <w:p w:rsidR="00B72047" w:rsidRDefault="00B72047">
      <w:pPr>
        <w:pStyle w:val="normalparagraph"/>
      </w:pPr>
      <w:r>
        <w:rPr>
          <w:rStyle w:val="indexentry"/>
        </w:rPr>
        <w:t>&lt;cx "fi'a, effect on subsequent untagged sumti"&gt;</w:t>
      </w:r>
      <w:r>
        <w:rPr>
          <w:rStyle w:val="indexentry"/>
        </w:rPr>
        <w:fldChar w:fldCharType="begin"/>
      </w:r>
      <w:r>
        <w:instrText>xe "</w:instrText>
      </w:r>
      <w:r>
        <w:rPr>
          <w:rStyle w:val="xeentry"/>
        </w:rPr>
        <w:instrText>fi'a: effect on subsequent untagged sumti</w:instrText>
      </w:r>
      <w:r>
        <w:instrText>"</w:instrText>
      </w:r>
      <w:r>
        <w:rPr>
          <w:rStyle w:val="indexentry"/>
        </w:rPr>
        <w:fldChar w:fldCharType="end"/>
      </w:r>
      <w:r>
        <w:t xml:space="preserve">I have inserted the tag “fe” in brackets into </w:t>
      </w:r>
      <w:r>
        <w:rPr>
          <w:rStyle w:val="htmlcodes"/>
        </w:rPr>
        <w:t>&lt;a href=#e3d10&gt;</w:t>
      </w:r>
      <w:r>
        <w:t>Example 3.10</w:t>
      </w:r>
      <w:r>
        <w:rPr>
          <w:rStyle w:val="htmlcodes"/>
        </w:rPr>
        <w:t>&lt;/a&gt;</w:t>
      </w:r>
      <w:r>
        <w:t>, but it is</w:t>
      </w:r>
      <w:r>
        <w:rPr>
          <w:rStyle w:val="deletedparamark"/>
        </w:rPr>
        <w:t xml:space="preserve"> </w:t>
      </w:r>
      <w:r>
        <w:t>actually not nece</w:t>
      </w:r>
      <w:r>
        <w:t>s</w:t>
      </w:r>
      <w:r>
        <w:softHyphen/>
        <w:t>sary, because “fi'a” does not count as a nu</w:t>
      </w:r>
      <w:r>
        <w:softHyphen/>
        <w:t>meric tag;</w:t>
      </w:r>
      <w:r>
        <w:rPr>
          <w:rStyle w:val="deletedparamark"/>
        </w:rPr>
        <w:t xml:space="preserve"> </w:t>
      </w:r>
      <w:r>
        <w:t>therefore, “le vi rozgu” would nece</w:t>
      </w:r>
      <w:r>
        <w:t>s</w:t>
      </w:r>
      <w:r>
        <w:softHyphen/>
        <w:t>sarily be in the x2 place even if no tag</w:t>
      </w:r>
      <w:r>
        <w:rPr>
          <w:rStyle w:val="deletedparamark"/>
        </w:rPr>
        <w:t xml:space="preserve"> </w:t>
      </w:r>
      <w:r>
        <w:t>were present, because it immedi</w:t>
      </w:r>
      <w:r>
        <w:softHyphen/>
        <w:t>ately follows the selbri.</w:t>
      </w:r>
    </w:p>
    <w:p w:rsidR="00B72047" w:rsidRDefault="00B72047">
      <w:pPr>
        <w:rPr>
          <w:rStyle w:val="htmlparacode"/>
        </w:rPr>
      </w:pPr>
      <w:r>
        <w:rPr>
          <w:rStyle w:val="htmlparacode"/>
        </w:rPr>
        <w:t>&lt;p&gt;</w:t>
      </w:r>
    </w:p>
    <w:p w:rsidR="00B72047" w:rsidRDefault="00B72047">
      <w:pPr>
        <w:pStyle w:val="normalparagraph"/>
      </w:pPr>
      <w:r>
        <w:t>There is also another member of FA, namely “fai”, which is discussed in</w:t>
      </w:r>
      <w:r>
        <w:rPr>
          <w:rStyle w:val="deletedparamark"/>
        </w:rPr>
        <w:t xml:space="preserve"> </w:t>
      </w:r>
      <w:r>
        <w:rPr>
          <w:rStyle w:val="htmlcodes"/>
        </w:rPr>
        <w:t>&lt;a href=#s12&gt;</w:t>
      </w:r>
      <w:r>
        <w:t>Sec</w:t>
      </w:r>
      <w:r>
        <w:softHyphen/>
        <w:t>tion 12</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313" w:name="_Toc398970559"/>
      <w:r>
        <w:rPr>
          <w:rStyle w:val="Heading3Text"/>
        </w:rPr>
        <w:t>Conversion: SE</w:t>
      </w:r>
      <w:bookmarkEnd w:id="31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se</w:t>
      </w:r>
      <w:r>
        <w:tab/>
        <w:t>SE</w:t>
      </w:r>
      <w:r>
        <w:tab/>
        <w:t>2nd place conversion</w:t>
      </w:r>
    </w:p>
    <w:p w:rsidR="00B72047" w:rsidRDefault="00B72047">
      <w:pPr>
        <w:pStyle w:val="examplescaled"/>
      </w:pPr>
      <w:r>
        <w:tab/>
        <w:t>te</w:t>
      </w:r>
      <w:r>
        <w:tab/>
        <w:t>SE</w:t>
      </w:r>
      <w:r>
        <w:tab/>
        <w:t>3rd place conversion</w:t>
      </w:r>
    </w:p>
    <w:p w:rsidR="00B72047" w:rsidRDefault="00B72047">
      <w:pPr>
        <w:pStyle w:val="examplescaled"/>
      </w:pPr>
      <w:r>
        <w:tab/>
        <w:t>ve</w:t>
      </w:r>
      <w:r>
        <w:tab/>
        <w:t>SE</w:t>
      </w:r>
      <w:r>
        <w:tab/>
        <w:t>4th place conversion</w:t>
      </w:r>
    </w:p>
    <w:p w:rsidR="00B72047" w:rsidRDefault="00B72047">
      <w:pPr>
        <w:pStyle w:val="examplescaled"/>
      </w:pPr>
      <w:r>
        <w:tab/>
        <w:t>xe</w:t>
      </w:r>
      <w:r>
        <w:tab/>
        <w:t>SE</w:t>
      </w:r>
      <w:r>
        <w:tab/>
        <w:t>5th place conversion</w:t>
      </w:r>
    </w:p>
    <w:p w:rsidR="00B72047" w:rsidRDefault="00B72047">
      <w:pPr>
        <w:pStyle w:val="normalafterexample"/>
      </w:pPr>
      <w:r>
        <w:rPr>
          <w:rStyle w:val="htmlcodes"/>
        </w:rPr>
        <w:t>&lt;/pre&gt;</w:t>
      </w:r>
      <w:r>
        <w:rPr>
          <w:rStyle w:val="indexentry"/>
        </w:rPr>
        <w:t>&lt;cx "converted selbri, definition"&gt;</w:t>
      </w:r>
      <w:r>
        <w:rPr>
          <w:rStyle w:val="indexentry"/>
        </w:rPr>
        <w:fldChar w:fldCharType="begin"/>
      </w:r>
      <w:r>
        <w:instrText>xe "</w:instrText>
      </w:r>
      <w:r>
        <w:rPr>
          <w:rStyle w:val="xeentry"/>
        </w:rPr>
        <w:instrText>converted selbri: definition</w:instrText>
      </w:r>
      <w:r>
        <w:instrText>"</w:instrText>
      </w:r>
      <w:r>
        <w:rPr>
          <w:rStyle w:val="indexentry"/>
        </w:rPr>
        <w:fldChar w:fldCharType="end"/>
      </w:r>
      <w:r>
        <w:rPr>
          <w:rStyle w:val="indexentry"/>
        </w:rPr>
        <w:t>&lt;cx "converted selbri, forming with SE"&gt;</w:t>
      </w:r>
      <w:r>
        <w:rPr>
          <w:rStyle w:val="indexentry"/>
        </w:rPr>
        <w:fldChar w:fldCharType="begin"/>
      </w:r>
      <w:r>
        <w:instrText>xe "</w:instrText>
      </w:r>
      <w:r>
        <w:rPr>
          <w:rStyle w:val="xeentry"/>
        </w:rPr>
        <w:instrText>converted selbri: forming with SE</w:instrText>
      </w:r>
      <w:r>
        <w:instrText>"</w:instrText>
      </w:r>
      <w:r>
        <w:rPr>
          <w:rStyle w:val="indexentry"/>
        </w:rPr>
        <w:fldChar w:fldCharType="end"/>
      </w:r>
      <w:r>
        <w:rPr>
          <w:rStyle w:val="indexentry"/>
        </w:rPr>
        <w:t>&lt;cx "converted selbri, place structure of"&gt;</w:t>
      </w:r>
      <w:r>
        <w:rPr>
          <w:rStyle w:val="indexentry"/>
        </w:rPr>
        <w:fldChar w:fldCharType="begin"/>
      </w:r>
      <w:r>
        <w:instrText>xe "</w:instrText>
      </w:r>
      <w:r>
        <w:rPr>
          <w:rStyle w:val="xeentry"/>
        </w:rPr>
        <w:instrText>converted selbri: place structure of</w:instrText>
      </w:r>
      <w:r>
        <w:instrText>"</w:instrText>
      </w:r>
      <w:r>
        <w:rPr>
          <w:rStyle w:val="indexentry"/>
        </w:rPr>
        <w:fldChar w:fldCharType="end"/>
      </w:r>
      <w:r>
        <w:rPr>
          <w:rStyle w:val="indexentry"/>
        </w:rPr>
        <w:t>&lt;cx "converted selbri, as different selbri from unconverted"&gt;</w:t>
      </w:r>
      <w:r>
        <w:rPr>
          <w:rStyle w:val="indexentry"/>
        </w:rPr>
        <w:fldChar w:fldCharType="begin"/>
      </w:r>
      <w:r>
        <w:instrText>xe "</w:instrText>
      </w:r>
      <w:r>
        <w:rPr>
          <w:rStyle w:val="xeentry"/>
        </w:rPr>
        <w:instrText>converted selbri: as different selbri from unconverted</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indexentry"/>
        </w:rPr>
        <w:t>&lt;cx "SE, effect on selbri place structure"&gt;</w:t>
      </w:r>
      <w:r>
        <w:rPr>
          <w:rStyle w:val="indexentry"/>
        </w:rPr>
        <w:fldChar w:fldCharType="begin"/>
      </w:r>
      <w:r>
        <w:instrText>xe "</w:instrText>
      </w:r>
      <w:r>
        <w:rPr>
          <w:rStyle w:val="xeentry"/>
        </w:rPr>
        <w:instrText>SE selma’o: effect on selbri place structure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&lt;cx "SE, for converting place structure"&gt;</w:t>
      </w:r>
      <w:r>
        <w:rPr>
          <w:rStyle w:val="indexentry"/>
        </w:rPr>
        <w:fldChar w:fldCharType="begin"/>
      </w:r>
      <w:r>
        <w:instrText>xe "</w:instrText>
      </w:r>
      <w:r>
        <w:rPr>
          <w:rStyle w:val="xeentry"/>
        </w:rPr>
        <w:instrText>SE selma’o: for converting place structure</w:instrText>
      </w:r>
      <w:r>
        <w:instrText>"</w:instrText>
      </w:r>
      <w:r>
        <w:rPr>
          <w:rStyle w:val="indexentry"/>
        </w:rPr>
        <w:fldChar w:fldCharType="end"/>
      </w:r>
      <w:r>
        <w:t>So far we have seen ways to move sumti around within a bridi, but</w:t>
      </w:r>
      <w:r>
        <w:rPr>
          <w:rStyle w:val="deletedparamark"/>
        </w:rPr>
        <w:t xml:space="preserve"> </w:t>
      </w:r>
      <w:r>
        <w:t>the actual place structure of the selbri has always remained untouched.</w:t>
      </w:r>
      <w:r>
        <w:rPr>
          <w:rStyle w:val="deletedparamark"/>
        </w:rPr>
        <w:t xml:space="preserve"> </w:t>
      </w:r>
      <w:r>
        <w:t>The conversion cmavo of selma'o SE are incorporated within the selbri</w:t>
      </w:r>
      <w:r>
        <w:rPr>
          <w:rStyle w:val="deletedparamark"/>
        </w:rPr>
        <w:t xml:space="preserve"> </w:t>
      </w:r>
      <w:r>
        <w:t>itself, and produce a new selbri (called a converted selbri) with a</w:t>
      </w:r>
      <w:r>
        <w:rPr>
          <w:rStyle w:val="deletedparamark"/>
        </w:rPr>
        <w:t xml:space="preserve"> </w:t>
      </w:r>
      <w:r>
        <w:t>different place structure. In particular, after the applica</w:t>
      </w:r>
      <w:r>
        <w:softHyphen/>
        <w:t>tion of any SE</w:t>
      </w:r>
      <w:r>
        <w:rPr>
          <w:rStyle w:val="deletedparamark"/>
        </w:rPr>
        <w:t xml:space="preserve"> </w:t>
      </w:r>
      <w:r>
        <w:t>cmavo, the number and purposes of the places remain the same, but two of</w:t>
      </w:r>
      <w:r>
        <w:rPr>
          <w:rStyle w:val="deletedparamark"/>
        </w:rPr>
        <w:t xml:space="preserve"> </w:t>
      </w:r>
      <w:r>
        <w:t>them have been exchanged, the x1 place and another. Which place has been</w:t>
      </w:r>
      <w:r>
        <w:rPr>
          <w:rStyle w:val="deletedparamark"/>
        </w:rPr>
        <w:t xml:space="preserve"> </w:t>
      </w:r>
      <w:r>
        <w:t>exchanged with x1 d</w:t>
      </w:r>
      <w:r>
        <w:t>e</w:t>
      </w:r>
      <w:r>
        <w:softHyphen/>
        <w:t>pends on the cmavo chosen. Thus, for example, when “se”</w:t>
      </w:r>
      <w:r>
        <w:rPr>
          <w:rStyle w:val="deletedparamark"/>
        </w:rPr>
        <w:t xml:space="preserve"> </w:t>
      </w:r>
      <w:r>
        <w:t>is used, the x1 place is swapped with the x2 place.</w:t>
      </w:r>
    </w:p>
    <w:p w:rsidR="00B72047" w:rsidRDefault="00B72047">
      <w:pPr>
        <w:rPr>
          <w:rStyle w:val="htmlparacode"/>
        </w:rPr>
      </w:pPr>
      <w:r>
        <w:rPr>
          <w:rStyle w:val="htmlparacode"/>
        </w:rPr>
        <w:t>&lt;p&gt;</w:t>
      </w:r>
    </w:p>
    <w:p w:rsidR="00B72047" w:rsidRDefault="00B72047">
      <w:pPr>
        <w:pStyle w:val="normalparagraph"/>
      </w:pPr>
      <w:r>
        <w:rPr>
          <w:rStyle w:val="indexentry"/>
        </w:rPr>
        <w:t>&lt;cx "SE, rationale for no 1st place conversion"&gt;</w:t>
      </w:r>
      <w:r>
        <w:rPr>
          <w:rStyle w:val="indexentry"/>
        </w:rPr>
        <w:fldChar w:fldCharType="begin"/>
      </w:r>
      <w:r>
        <w:instrText>xe "</w:instrText>
      </w:r>
      <w:r>
        <w:rPr>
          <w:rStyle w:val="xeentry"/>
        </w:rPr>
        <w:instrText>SE selma’o: rationale for no 1st place conversion</w:instrText>
      </w:r>
      <w:r>
        <w:instrText>"</w:instrText>
      </w:r>
      <w:r>
        <w:rPr>
          <w:rStyle w:val="indexentry"/>
        </w:rPr>
        <w:fldChar w:fldCharType="end"/>
      </w:r>
      <w:r>
        <w:rPr>
          <w:rStyle w:val="indexentry"/>
        </w:rPr>
        <w:t>&lt;cx "SE, word formation of cmavo in"&gt;</w:t>
      </w:r>
      <w:r>
        <w:rPr>
          <w:rStyle w:val="indexentry"/>
        </w:rPr>
        <w:fldChar w:fldCharType="begin"/>
      </w:r>
      <w:r>
        <w:instrText>xe "</w:instrText>
      </w:r>
      <w:r>
        <w:rPr>
          <w:rStyle w:val="xeentry"/>
        </w:rPr>
        <w:instrText>SE selma’o: word formation of cmavo in</w:instrText>
      </w:r>
      <w:r>
        <w:instrText>"</w:instrText>
      </w:r>
      <w:r>
        <w:rPr>
          <w:rStyle w:val="indexentry"/>
        </w:rPr>
        <w:fldChar w:fldCharType="end"/>
      </w:r>
      <w:r>
        <w:t>Note that the cmavo of SE begin with consecutive conso</w:t>
      </w:r>
      <w:r>
        <w:softHyphen/>
        <w:t>nants in alphabetical</w:t>
      </w:r>
      <w:r>
        <w:rPr>
          <w:rStyle w:val="deletedparamark"/>
        </w:rPr>
        <w:t xml:space="preserve"> </w:t>
      </w:r>
      <w:r>
        <w:t>order. There is no “1st place conversion” cmavo, because exchanging the x1</w:t>
      </w:r>
      <w:r>
        <w:rPr>
          <w:rStyle w:val="deletedparamark"/>
        </w:rPr>
        <w:t xml:space="preserve"> </w:t>
      </w:r>
      <w:r>
        <w:t>place with itself is a pointless maneuver.</w:t>
      </w:r>
    </w:p>
    <w:p w:rsidR="00B72047" w:rsidRDefault="00B72047">
      <w:pPr>
        <w:rPr>
          <w:rStyle w:val="htmlparacode"/>
        </w:rPr>
      </w:pPr>
      <w:r>
        <w:rPr>
          <w:rStyle w:val="htmlparacode"/>
        </w:rPr>
        <w:t>&lt;p&gt;</w:t>
      </w:r>
    </w:p>
    <w:p w:rsidR="00B72047" w:rsidRDefault="00B72047">
      <w:pPr>
        <w:pStyle w:val="normalparagraph"/>
      </w:pPr>
      <w:r>
        <w:rPr>
          <w:rStyle w:val="indexentry"/>
        </w:rPr>
        <w:t>&lt;cx "se klama, place structure of"&gt;</w:t>
      </w:r>
      <w:r>
        <w:rPr>
          <w:rStyle w:val="indexentry"/>
        </w:rPr>
        <w:fldChar w:fldCharType="begin"/>
      </w:r>
      <w:r>
        <w:instrText>xe "</w:instrText>
      </w:r>
      <w:r>
        <w:rPr>
          <w:rStyle w:val="xeentry"/>
        </w:rPr>
        <w:instrText>se klama: place structure of</w:instrText>
      </w:r>
      <w:r>
        <w:instrText>"</w:instrText>
      </w:r>
      <w:r>
        <w:rPr>
          <w:rStyle w:val="indexentry"/>
        </w:rPr>
        <w:fldChar w:fldCharType="end"/>
      </w:r>
      <w:r>
        <w:t>Here are the place structures of “se klama”:</w:t>
      </w:r>
    </w:p>
    <w:p w:rsidR="00B72047" w:rsidRDefault="00B72047">
      <w:pPr>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&lt;dl compact&gt;&lt;dt&gt;&lt;dd&gt;</w:t>
      </w:r>
      <w:r>
        <w:t>x1 is the destination of x2's going from x3 via x4 using x5</w:t>
      </w:r>
    </w:p>
    <w:p w:rsidR="00B72047" w:rsidRDefault="00B72047">
      <w:pPr>
        <w:pStyle w:val="resumedafterexample"/>
      </w:pPr>
      <w:r>
        <w:rPr>
          <w:rStyle w:val="htmlcodes"/>
        </w:rPr>
        <w:t>&lt;/dl&gt;</w:t>
      </w:r>
      <w:r>
        <w:rPr>
          <w:rStyle w:val="indexentry"/>
        </w:rPr>
        <w:t>&lt;lx "te"&gt;</w:t>
      </w:r>
      <w:r>
        <w:rPr>
          <w:rStyle w:val="indexentry"/>
        </w:rPr>
        <w:fldChar w:fldCharType="begin"/>
      </w:r>
      <w:r>
        <w:instrText>xe "</w:instrText>
      </w:r>
      <w:r>
        <w:rPr>
          <w:rStyle w:val="xeentry"/>
        </w:rPr>
        <w:instrText>te</w:instrText>
      </w:r>
      <w:r>
        <w:instrText>"</w:instrText>
      </w:r>
      <w:r>
        <w:rPr>
          <w:rStyle w:val="indexentry"/>
        </w:rPr>
        <w:fldChar w:fldCharType="end"/>
      </w:r>
      <w:r>
        <w:t>and “te klama”:</w:t>
      </w:r>
    </w:p>
    <w:p w:rsidR="00B72047" w:rsidRDefault="00B72047">
      <w:pPr>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&lt;dl compact&gt;&lt;dt&gt;&lt;dd&gt;</w:t>
      </w:r>
      <w:r>
        <w:t>x1 is the origin and x2 the destination of x3 going via x4 using x5</w:t>
      </w:r>
    </w:p>
    <w:p w:rsidR="00B72047" w:rsidRDefault="00B72047">
      <w:pPr>
        <w:pStyle w:val="resumedafterexample"/>
      </w:pPr>
      <w:r>
        <w:rPr>
          <w:rStyle w:val="htmlcodes"/>
        </w:rPr>
        <w:t>&lt;/dl&gt;</w:t>
      </w:r>
      <w:r>
        <w:rPr>
          <w:rStyle w:val="indexentry"/>
        </w:rPr>
        <w:t>&lt;lx "ve"&gt;</w:t>
      </w:r>
      <w:r>
        <w:rPr>
          <w:rStyle w:val="indexentry"/>
        </w:rPr>
        <w:fldChar w:fldCharType="begin"/>
      </w:r>
      <w:r>
        <w:instrText>xe "</w:instrText>
      </w:r>
      <w:r>
        <w:rPr>
          <w:rStyle w:val="xeentry"/>
        </w:rPr>
        <w:instrText>ve</w:instrText>
      </w:r>
      <w:r>
        <w:instrText>"</w:instrText>
      </w:r>
      <w:r>
        <w:rPr>
          <w:rStyle w:val="indexentry"/>
        </w:rPr>
        <w:fldChar w:fldCharType="end"/>
      </w:r>
      <w:r>
        <w:t>and “ve klama”:</w:t>
      </w:r>
    </w:p>
    <w:p w:rsidR="00B72047" w:rsidRDefault="00B72047">
      <w:pPr>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&lt;dl compact&gt;&lt;dt&gt;&lt;dd&gt;</w:t>
      </w:r>
      <w:r>
        <w:t>x1 is the route to x2 from x3 used by x4 going via x5</w:t>
      </w:r>
    </w:p>
    <w:p w:rsidR="00B72047" w:rsidRDefault="00B72047">
      <w:pPr>
        <w:pStyle w:val="resumedafterexample"/>
      </w:pPr>
      <w:r>
        <w:rPr>
          <w:rStyle w:val="htmlcodes"/>
        </w:rPr>
        <w:t>&lt;/dl&gt;</w:t>
      </w:r>
      <w:r>
        <w:rPr>
          <w:rStyle w:val="indexentry"/>
        </w:rPr>
        <w:t>&lt;lx "xe"&gt;</w:t>
      </w:r>
      <w:r>
        <w:rPr>
          <w:rStyle w:val="indexentry"/>
        </w:rPr>
        <w:fldChar w:fldCharType="begin"/>
      </w:r>
      <w:r>
        <w:instrText>xe "</w:instrText>
      </w:r>
      <w:r>
        <w:rPr>
          <w:rStyle w:val="xeentry"/>
        </w:rPr>
        <w:instrText>xe</w:instrText>
      </w:r>
      <w:r>
        <w:instrText>"</w:instrText>
      </w:r>
      <w:r>
        <w:rPr>
          <w:rStyle w:val="indexentry"/>
        </w:rPr>
        <w:fldChar w:fldCharType="end"/>
      </w:r>
      <w:r>
        <w:t>and “xe klama”:</w:t>
      </w:r>
    </w:p>
    <w:p w:rsidR="00B72047" w:rsidRDefault="00B72047">
      <w:pPr>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&lt;dl compact&gt;&lt;dt&gt;&lt;dd&gt;</w:t>
      </w:r>
      <w:r>
        <w:t>x1 is the means in going to x2 from x3 via x4 employed by x5</w:t>
      </w:r>
    </w:p>
    <w:p w:rsidR="00B72047" w:rsidRDefault="00B72047">
      <w:pPr>
        <w:pStyle w:val="resumedafterexample"/>
      </w:pPr>
      <w:r>
        <w:rPr>
          <w:rStyle w:val="htmlcodes"/>
        </w:rPr>
        <w:t>&lt;/dl&gt;</w:t>
      </w:r>
      <w:r>
        <w:rPr>
          <w:rStyle w:val="indexentry"/>
        </w:rPr>
        <w:t>&lt;cx "SE, effect on place structure numbering"&gt;</w:t>
      </w:r>
      <w:r>
        <w:rPr>
          <w:rStyle w:val="indexentry"/>
        </w:rPr>
        <w:fldChar w:fldCharType="begin"/>
      </w:r>
      <w:r>
        <w:instrText>xe "</w:instrText>
      </w:r>
      <w:r>
        <w:rPr>
          <w:rStyle w:val="xeentry"/>
        </w:rPr>
        <w:instrText>SE selma’o: effect on place structure numbering</w:instrText>
      </w:r>
      <w:r>
        <w:instrText>"</w:instrText>
      </w:r>
      <w:r>
        <w:rPr>
          <w:rStyle w:val="indexentry"/>
        </w:rPr>
        <w:fldChar w:fldCharType="end"/>
      </w:r>
      <w:r>
        <w:t>Note that the place structure numbers in each case continue to be listed</w:t>
      </w:r>
      <w:r>
        <w:rPr>
          <w:rStyle w:val="deletedparamark"/>
        </w:rPr>
        <w:t xml:space="preserve"> </w:t>
      </w:r>
      <w:r>
        <w:t>in the usual or</w:t>
      </w:r>
      <w:r>
        <w:softHyphen/>
        <w:t>der, x1 to x5.</w:t>
      </w:r>
    </w:p>
    <w:p w:rsidR="00B72047" w:rsidRDefault="00B72047">
      <w:pPr>
        <w:rPr>
          <w:rStyle w:val="htmlparacode"/>
        </w:rPr>
      </w:pPr>
      <w:r>
        <w:rPr>
          <w:rStyle w:val="htmlparacode"/>
        </w:rPr>
        <w:t>&lt;p&gt;</w:t>
      </w:r>
    </w:p>
    <w:p w:rsidR="00B72047" w:rsidRDefault="00B72047">
      <w:pPr>
        <w:pStyle w:val="normalparagraph"/>
      </w:pPr>
      <w:r>
        <w:t>Consider the following pair of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la bastn. cu se klama mi</w:t>
      </w:r>
    </w:p>
    <w:p w:rsidR="00B72047" w:rsidRDefault="00B72047">
      <w:pPr>
        <w:pStyle w:val="examplescaled"/>
      </w:pPr>
      <w:r>
        <w:tab/>
        <w:t>Boston is-the-destination of-me.</w:t>
      </w:r>
    </w:p>
    <w:p w:rsidR="00B72047" w:rsidRDefault="00B72047">
      <w:pPr>
        <w:pStyle w:val="examplescaled"/>
      </w:pPr>
      <w:r>
        <w:tab/>
        <w:t>Boston is my destination.</w:t>
      </w:r>
    </w:p>
    <w:p w:rsidR="00B72047" w:rsidRDefault="00B72047">
      <w:pPr>
        <w:pStyle w:val="examplescaled"/>
      </w:pPr>
      <w:r>
        <w:tab/>
        <w:t>Boston is gone to by me.</w:t>
      </w:r>
    </w:p>
    <w:p w:rsidR="00B72047" w:rsidRDefault="00B72047">
      <w:pPr>
        <w:pStyle w:val="examplescaledpre"/>
        <w:spacing w:before="0"/>
      </w:pPr>
      <w:r>
        <w:rPr>
          <w:rStyle w:val="htmlcodes"/>
          <w:vanish w:val="0"/>
        </w:rPr>
        <w:br w:type="page"/>
      </w:r>
      <w:r>
        <w:rPr>
          <w:rStyle w:val="htmlcodes"/>
        </w:rPr>
        <w:t>&lt;a name=e4d2&gt;</w:t>
      </w:r>
      <w:r>
        <w:t>4.2)</w:t>
      </w:r>
      <w:r>
        <w:tab/>
        <w:t>fe la bastn. cu klama fa mi</w:t>
      </w:r>
    </w:p>
    <w:p w:rsidR="00B72047" w:rsidRDefault="00B72047">
      <w:pPr>
        <w:pStyle w:val="examplescaled"/>
      </w:pPr>
      <w:r>
        <w:tab/>
        <w:t>x2= Boston  go  x1=I.</w:t>
      </w:r>
    </w:p>
    <w:p w:rsidR="00B72047" w:rsidRDefault="00B72047">
      <w:pPr>
        <w:pStyle w:val="examplescaled"/>
      </w:pPr>
      <w:r>
        <w:tab/>
        <w:t>To Boston go I.</w:t>
      </w:r>
    </w:p>
    <w:p w:rsidR="00B72047" w:rsidRDefault="00B72047">
      <w:pPr>
        <w:pStyle w:val="resumedafterexample"/>
      </w:pPr>
      <w:r>
        <w:rPr>
          <w:rStyle w:val="htmlcodes"/>
        </w:rPr>
        <w:t>&lt;/pre&gt;</w:t>
      </w:r>
      <w:r>
        <w:rPr>
          <w:rStyle w:val="indexentry"/>
        </w:rPr>
        <w:t>&lt;cx "converted selbri, contrasted with selbri with FA in structure"&gt;</w:t>
      </w:r>
      <w:r>
        <w:rPr>
          <w:rStyle w:val="indexentry"/>
        </w:rPr>
        <w:fldChar w:fldCharType="begin"/>
      </w:r>
      <w:r>
        <w:instrText>xe "</w:instrText>
      </w:r>
      <w:r>
        <w:rPr>
          <w:rStyle w:val="xeentry"/>
        </w:rPr>
        <w:instrText>converted selbri: contrasted with selbri with FA in structure</w:instrText>
      </w:r>
      <w:r>
        <w:instrText>"</w:instrText>
      </w:r>
      <w:r>
        <w:rPr>
          <w:rStyle w:val="indexentry"/>
        </w:rPr>
        <w:fldChar w:fldCharType="end"/>
      </w:r>
      <w:r>
        <w:rPr>
          <w:rStyle w:val="indexentry"/>
        </w:rPr>
        <w:t>&lt;cx "FA in selbri, contrasted converted selbri with in structure"&gt;</w:t>
      </w:r>
      <w:r>
        <w:rPr>
          <w:rStyle w:val="indexentry"/>
        </w:rPr>
        <w:fldChar w:fldCharType="begin"/>
      </w:r>
      <w:r>
        <w:instrText>xe "</w:instrText>
      </w:r>
      <w:r>
        <w:rPr>
          <w:rStyle w:val="xeentry"/>
        </w:rPr>
        <w:instrText>FA in selbri: contrasted converted selbri with in structure</w:instrText>
      </w:r>
      <w:r>
        <w:instrText>"</w:instrText>
      </w:r>
      <w:r>
        <w:rPr>
          <w:rStyle w:val="indexentry"/>
        </w:rPr>
        <w:fldChar w:fldCharType="end"/>
      </w:r>
      <w:r>
        <w:rPr>
          <w:rStyle w:val="indexentry"/>
        </w:rPr>
        <w:t>&lt;cx "converted selbri, compared with selbri with FA in meaning"&gt;</w:t>
      </w:r>
      <w:r>
        <w:rPr>
          <w:rStyle w:val="indexentry"/>
        </w:rPr>
        <w:fldChar w:fldCharType="begin"/>
      </w:r>
      <w:r>
        <w:instrText>xe "</w:instrText>
      </w:r>
      <w:r>
        <w:rPr>
          <w:rStyle w:val="xeentry"/>
        </w:rPr>
        <w:instrText>converted selbri: compared with selbri with FA in meaning</w:instrText>
      </w:r>
      <w:r>
        <w:instrText>"</w:instrText>
      </w:r>
      <w:r>
        <w:rPr>
          <w:rStyle w:val="indexentry"/>
        </w:rPr>
        <w:fldChar w:fldCharType="end"/>
      </w:r>
      <w:r>
        <w:rPr>
          <w:rStyle w:val="indexentry"/>
        </w:rPr>
        <w:t>&lt;cx "FA in selbri, compared with converted selbri in meaning"&gt;</w:t>
      </w:r>
      <w:r>
        <w:rPr>
          <w:rStyle w:val="indexentry"/>
        </w:rPr>
        <w:fldChar w:fldCharType="begin"/>
      </w:r>
      <w:r>
        <w:instrText>xe "</w:instrText>
      </w:r>
      <w:r>
        <w:rPr>
          <w:rStyle w:val="xeentry"/>
        </w:rPr>
        <w:instrText>FA in selbri: compared with converted selbri in meaning</w:instrText>
      </w:r>
      <w:r>
        <w:instrText>"</w:instrText>
      </w:r>
      <w:r>
        <w:rPr>
          <w:rStyle w:val="indexentry"/>
        </w:rPr>
        <w:fldChar w:fldCharType="end"/>
      </w:r>
      <w:r>
        <w:rPr>
          <w:rStyle w:val="indexentry"/>
        </w:rPr>
        <w:t>&lt;cx "converted selbri, as resetting standard order"&gt;</w:t>
      </w:r>
      <w:r>
        <w:rPr>
          <w:rStyle w:val="indexentry"/>
        </w:rPr>
        <w:fldChar w:fldCharType="begin"/>
      </w:r>
      <w:r>
        <w:instrText>xe "</w:instrText>
      </w:r>
      <w:r>
        <w:rPr>
          <w:rStyle w:val="xeentry"/>
        </w:rPr>
        <w:instrText>converted selbri: as resetting standard order</w:instrText>
      </w:r>
      <w:r>
        <w:instrText>"</w:instrText>
      </w:r>
      <w:r>
        <w:rPr>
          <w:rStyle w:val="indexentry"/>
        </w:rPr>
        <w:fldChar w:fldCharType="end"/>
      </w:r>
      <w:r>
        <w:rPr>
          <w:rStyle w:val="htmlcodes"/>
        </w:rPr>
        <w:t>&lt;a href=#e4d1&gt;</w:t>
      </w:r>
      <w:r>
        <w:t xml:space="preserve">Example 4.1 </w:t>
      </w:r>
      <w:r>
        <w:rPr>
          <w:rStyle w:val="htmlcodes"/>
        </w:rPr>
        <w:t>&lt;/a&gt;</w:t>
      </w:r>
      <w:r>
        <w:t xml:space="preserve">and </w:t>
      </w:r>
      <w:r>
        <w:rPr>
          <w:rStyle w:val="htmlcodes"/>
        </w:rPr>
        <w:t>&lt;a href=#e4d2&gt;</w:t>
      </w:r>
      <w:r>
        <w:t xml:space="preserve">Example 4.2 </w:t>
      </w:r>
      <w:r>
        <w:rPr>
          <w:rStyle w:val="htmlcodes"/>
        </w:rPr>
        <w:t>&lt;/a&gt;</w:t>
      </w:r>
      <w:r>
        <w:t>mean the same thing, in the sense that there is a</w:t>
      </w:r>
      <w:r>
        <w:rPr>
          <w:rStyle w:val="deletedparamark"/>
        </w:rPr>
        <w:t xml:space="preserve"> </w:t>
      </w:r>
      <w:r>
        <w:t>relation</w:t>
      </w:r>
      <w:r>
        <w:softHyphen/>
        <w:t>ship of going with the speaker as the agent and Boston as the</w:t>
      </w:r>
      <w:r>
        <w:rPr>
          <w:rStyle w:val="deletedparamark"/>
        </w:rPr>
        <w:t xml:space="preserve"> </w:t>
      </w:r>
      <w:r>
        <w:t>destination (and with un</w:t>
      </w:r>
      <w:r>
        <w:softHyphen/>
        <w:t>specified origin, route, and means). Structurally,</w:t>
      </w:r>
      <w:r>
        <w:rPr>
          <w:rStyle w:val="deletedparamark"/>
        </w:rPr>
        <w:t xml:space="preserve"> </w:t>
      </w:r>
      <w:r>
        <w:t xml:space="preserve">however, they are quite different. </w:t>
      </w:r>
      <w:r>
        <w:rPr>
          <w:rStyle w:val="htmlcodes"/>
        </w:rPr>
        <w:t>&lt;a href=#e4d1&gt;</w:t>
      </w:r>
      <w:r>
        <w:t>Ex</w:t>
      </w:r>
      <w:r>
        <w:softHyphen/>
        <w:t xml:space="preserve">ample 4.1 </w:t>
      </w:r>
      <w:r>
        <w:rPr>
          <w:rStyle w:val="htmlcodes"/>
        </w:rPr>
        <w:t>&lt;/a&gt;</w:t>
      </w:r>
      <w:r>
        <w:t>has “la bastn.” in the</w:t>
      </w:r>
      <w:r>
        <w:rPr>
          <w:rStyle w:val="deletedparamark"/>
        </w:rPr>
        <w:t xml:space="preserve"> </w:t>
      </w:r>
      <w:r>
        <w:t>x1 place and “mi” in the x2 place of the selbri “se klama”, and uses</w:t>
      </w:r>
      <w:r>
        <w:rPr>
          <w:rStyle w:val="deletedparamark"/>
        </w:rPr>
        <w:t xml:space="preserve"> </w:t>
      </w:r>
      <w:r>
        <w:t xml:space="preserve">standard bridi order; </w:t>
      </w:r>
      <w:r>
        <w:rPr>
          <w:rStyle w:val="htmlcodes"/>
        </w:rPr>
        <w:t>&lt;a href=#e4d2&gt;</w:t>
      </w:r>
      <w:r>
        <w:t xml:space="preserve">Example 4.2 </w:t>
      </w:r>
      <w:r>
        <w:rPr>
          <w:rStyle w:val="htmlcodes"/>
        </w:rPr>
        <w:t>&lt;/a&gt;</w:t>
      </w:r>
      <w:r>
        <w:t>has “mi” in the x1 place and “la bastn.”</w:t>
      </w:r>
      <w:r>
        <w:rPr>
          <w:rStyle w:val="deletedparamark"/>
        </w:rPr>
        <w:t xml:space="preserve"> </w:t>
      </w:r>
      <w:r>
        <w:t>in the x2 place of the selbri “klama”, and uses a non-standard order.</w:t>
      </w:r>
    </w:p>
    <w:p w:rsidR="00B72047" w:rsidRDefault="00B72047">
      <w:pPr>
        <w:rPr>
          <w:rStyle w:val="htmlparacode"/>
        </w:rPr>
      </w:pPr>
      <w:r>
        <w:rPr>
          <w:rStyle w:val="htmlparacode"/>
        </w:rPr>
        <w:t>&lt;p&gt;</w:t>
      </w:r>
    </w:p>
    <w:p w:rsidR="00B72047" w:rsidRDefault="00B72047">
      <w:pPr>
        <w:pStyle w:val="normalparagraph"/>
      </w:pPr>
      <w:r>
        <w:rPr>
          <w:rStyle w:val="indexentry"/>
        </w:rPr>
        <w:t>&lt;cx "converted selbri, in descriptions"&gt;</w:t>
      </w:r>
      <w:r>
        <w:rPr>
          <w:rStyle w:val="indexentry"/>
        </w:rPr>
        <w:fldChar w:fldCharType="begin"/>
      </w:r>
      <w:r>
        <w:instrText>xe "</w:instrText>
      </w:r>
      <w:r>
        <w:rPr>
          <w:rStyle w:val="xeentry"/>
        </w:rPr>
        <w:instrText>converted selbri: in descriptions</w:instrText>
      </w:r>
      <w:r>
        <w:instrText>"</w:instrText>
      </w:r>
      <w:r>
        <w:rPr>
          <w:rStyle w:val="indexentry"/>
        </w:rPr>
        <w:fldChar w:fldCharType="end"/>
      </w:r>
      <w:r>
        <w:rPr>
          <w:rStyle w:val="indexentry"/>
        </w:rPr>
        <w:t>&lt;lx "LA"&gt;</w:t>
      </w:r>
      <w:r>
        <w:rPr>
          <w:rStyle w:val="indexentry"/>
        </w:rPr>
        <w:fldChar w:fldCharType="begin"/>
      </w:r>
      <w:r>
        <w:instrText>xe "</w:instrText>
      </w:r>
      <w:r>
        <w:rPr>
          <w:rStyle w:val="xeentry"/>
        </w:rPr>
        <w:instrText>LA selma’o</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 selma’o</w:instrText>
      </w:r>
      <w:r>
        <w:instrText>"</w:instrText>
      </w:r>
      <w:r>
        <w:rPr>
          <w:rStyle w:val="indexentry"/>
        </w:rPr>
        <w:fldChar w:fldCharType="end"/>
      </w:r>
      <w:r>
        <w:t>The most important use of conversion is in the construction of descriptions.</w:t>
      </w:r>
      <w:r>
        <w:rPr>
          <w:rStyle w:val="deletedparamark"/>
        </w:rPr>
        <w:t xml:space="preserve"> </w:t>
      </w:r>
      <w:r>
        <w:t>A d</w:t>
      </w:r>
      <w:r>
        <w:t>e</w:t>
      </w:r>
      <w:r>
        <w:softHyphen/>
        <w:t>scription is a sumti which begins with a cmavo of selma'o LA or LE,</w:t>
      </w:r>
      <w:r>
        <w:rPr>
          <w:rStyle w:val="deletedparamark"/>
        </w:rPr>
        <w:t xml:space="preserve"> </w:t>
      </w:r>
      <w:r>
        <w:t>called the de</w:t>
      </w:r>
      <w:r>
        <w:softHyphen/>
        <w:t>scrip</w:t>
      </w:r>
      <w:r>
        <w:softHyphen/>
        <w:t>tor, and contains (in the simplest case) a selbri. We</w:t>
      </w:r>
      <w:r>
        <w:rPr>
          <w:rStyle w:val="deletedparamark"/>
        </w:rPr>
        <w:t xml:space="preserve"> </w:t>
      </w:r>
      <w:r>
        <w:t>have already seen the descrip</w:t>
      </w:r>
      <w:r>
        <w:softHyphen/>
        <w:t>tions “le dargu” and “le karce”. To this</w:t>
      </w:r>
      <w:r>
        <w:rPr>
          <w:rStyle w:val="deletedparamark"/>
        </w:rPr>
        <w:t xml:space="preserve"> </w:t>
      </w:r>
      <w:r>
        <w:t>we could add:</w:t>
      </w:r>
    </w:p>
    <w:p w:rsidR="00B72047" w:rsidRDefault="00B72047">
      <w:pPr>
        <w:rPr>
          <w:rStyle w:val="htmlparacode"/>
        </w:rPr>
      </w:pPr>
      <w:r>
        <w:rPr>
          <w:rStyle w:val="htmlparacode"/>
        </w:rPr>
        <w:t>&lt;p&gt;</w:t>
      </w:r>
    </w:p>
    <w:p w:rsidR="00B72047" w:rsidRDefault="00B72047">
      <w:pPr>
        <w:pStyle w:val="examplescaledpre"/>
      </w:pPr>
      <w:r>
        <w:rPr>
          <w:rStyle w:val="indexentry"/>
        </w:rPr>
        <w:t>&lt;ex "the go-er"&gt;</w:t>
      </w:r>
      <w:r>
        <w:rPr>
          <w:rStyle w:val="indexentry"/>
        </w:rPr>
        <w:fldChar w:fldCharType="begin"/>
      </w:r>
      <w:r>
        <w:instrText>xe "</w:instrText>
      </w:r>
      <w:r>
        <w:rPr>
          <w:rStyle w:val="xeentry"/>
        </w:rPr>
        <w:instrText>the go-er: example</w:instrText>
      </w:r>
      <w:r>
        <w:instrText>"</w:instrText>
      </w:r>
      <w:r>
        <w:rPr>
          <w:rStyle w:val="indexentry"/>
        </w:rPr>
        <w:fldChar w:fldCharType="end"/>
      </w:r>
      <w:r>
        <w:rPr>
          <w:rStyle w:val="htmlcodes"/>
        </w:rPr>
        <w:t>&lt;pre&gt;&lt;a name=e4d3&gt;</w:t>
      </w:r>
      <w:r>
        <w:t>4.3)</w:t>
      </w:r>
      <w:r>
        <w:tab/>
        <w:t>le klama</w:t>
      </w:r>
    </w:p>
    <w:p w:rsidR="00B72047" w:rsidRDefault="00B72047">
      <w:pPr>
        <w:pStyle w:val="examplescaled"/>
      </w:pPr>
      <w:r>
        <w:tab/>
        <w:t>the go-er, the one who goes</w:t>
      </w:r>
    </w:p>
    <w:p w:rsidR="00B72047" w:rsidRDefault="00B72047">
      <w:pPr>
        <w:pStyle w:val="normalafterexample"/>
      </w:pPr>
      <w:r>
        <w:rPr>
          <w:rStyle w:val="htmlcodes"/>
        </w:rPr>
        <w:t>&lt;/pre&gt;</w:t>
      </w:r>
      <w:r>
        <w:rPr>
          <w:rStyle w:val="indexentry"/>
        </w:rPr>
        <w:t>&lt;cx "descriptions, as based on first place of following selbri"&gt;</w:t>
      </w:r>
      <w:r>
        <w:rPr>
          <w:rStyle w:val="indexentry"/>
        </w:rPr>
        <w:fldChar w:fldCharType="begin"/>
      </w:r>
      <w:r>
        <w:instrText>xe "</w:instrText>
      </w:r>
      <w:r>
        <w:rPr>
          <w:rStyle w:val="xeentry"/>
        </w:rPr>
        <w:instrText>descriptions: as based on first place of following selbri</w:instrText>
      </w:r>
      <w:r>
        <w:instrText>"</w:instrText>
      </w:r>
      <w:r>
        <w:rPr>
          <w:rStyle w:val="indexentry"/>
        </w:rPr>
        <w:fldChar w:fldCharType="end"/>
      </w:r>
      <w:r>
        <w:rPr>
          <w:rStyle w:val="indexentry"/>
        </w:rPr>
        <w:t>&lt;cx "descriptions, use of SE in"&gt;</w:t>
      </w:r>
      <w:r>
        <w:rPr>
          <w:rStyle w:val="indexentry"/>
        </w:rPr>
        <w:fldChar w:fldCharType="begin"/>
      </w:r>
      <w:r>
        <w:instrText>xe "</w:instrText>
      </w:r>
      <w:r>
        <w:rPr>
          <w:rStyle w:val="xeentry"/>
        </w:rPr>
        <w:instrText>descriptions: use of SE in</w:instrText>
      </w:r>
      <w:r>
        <w:instrText>"</w:instrText>
      </w:r>
      <w:r>
        <w:rPr>
          <w:rStyle w:val="indexentry"/>
        </w:rPr>
        <w:fldChar w:fldCharType="end"/>
      </w:r>
      <w:r>
        <w:rPr>
          <w:rStyle w:val="indexentry"/>
        </w:rPr>
        <w:t>&lt;cx "converted selbri, to access non-first place in description"&gt;</w:t>
      </w:r>
      <w:r>
        <w:rPr>
          <w:rStyle w:val="indexentry"/>
        </w:rPr>
        <w:fldChar w:fldCharType="begin"/>
      </w:r>
      <w:r>
        <w:instrText>xe "</w:instrText>
      </w:r>
      <w:r>
        <w:rPr>
          <w:rStyle w:val="xeentry"/>
        </w:rPr>
        <w:instrText>converted selbri: to access non-first place in description</w:instrText>
      </w:r>
      <w:r>
        <w:instrText>"</w:instrText>
      </w:r>
      <w:r>
        <w:rPr>
          <w:rStyle w:val="indexentry"/>
        </w:rPr>
        <w:fldChar w:fldCharType="end"/>
      </w:r>
      <w:r>
        <w:t>In every case, the description is about something which fits into the x1</w:t>
      </w:r>
      <w:r>
        <w:rPr>
          <w:rStyle w:val="deletedparamark"/>
        </w:rPr>
        <w:t xml:space="preserve"> </w:t>
      </w:r>
      <w:r>
        <w:t>place of the selbri. In order to get a description of a desti</w:t>
      </w:r>
      <w:r>
        <w:softHyphen/>
        <w:t>nation (that</w:t>
      </w:r>
      <w:r>
        <w:rPr>
          <w:rStyle w:val="deletedparamark"/>
        </w:rPr>
        <w:t xml:space="preserve"> </w:t>
      </w:r>
      <w:r>
        <w:t>is, something fitting the x2 place of “klama”), we must convert the selbri</w:t>
      </w:r>
      <w:r>
        <w:rPr>
          <w:rStyle w:val="deletedparamark"/>
        </w:rPr>
        <w:t xml:space="preserve"> </w:t>
      </w:r>
      <w:r>
        <w:t>to “se klama”, whose x1 place is a desti</w:t>
      </w:r>
      <w:r>
        <w:softHyphen/>
        <w:t>nation. The result is</w:t>
      </w:r>
    </w:p>
    <w:p w:rsidR="00B72047" w:rsidRDefault="00B72047">
      <w:pPr>
        <w:rPr>
          <w:rStyle w:val="htmlparacode"/>
        </w:rPr>
      </w:pPr>
      <w:r>
        <w:rPr>
          <w:rStyle w:val="htmlparacode"/>
        </w:rPr>
        <w:t>&lt;p&gt;</w:t>
      </w:r>
    </w:p>
    <w:p w:rsidR="00B72047" w:rsidRDefault="00B72047">
      <w:pPr>
        <w:pStyle w:val="examplescaledpre"/>
      </w:pPr>
      <w:r>
        <w:rPr>
          <w:rStyle w:val="indexentry"/>
        </w:rPr>
        <w:t>&lt;ex "the destination"&gt;</w:t>
      </w:r>
      <w:r>
        <w:rPr>
          <w:rStyle w:val="indexentry"/>
        </w:rPr>
        <w:fldChar w:fldCharType="begin"/>
      </w:r>
      <w:r>
        <w:instrText>xe "</w:instrText>
      </w:r>
      <w:r>
        <w:rPr>
          <w:rStyle w:val="xeentry"/>
        </w:rPr>
        <w:instrText>the destination: example</w:instrText>
      </w:r>
      <w:r>
        <w:instrText>"</w:instrText>
      </w:r>
      <w:r>
        <w:rPr>
          <w:rStyle w:val="indexentry"/>
        </w:rPr>
        <w:fldChar w:fldCharType="end"/>
      </w:r>
      <w:r>
        <w:rPr>
          <w:rStyle w:val="htmlcodes"/>
        </w:rPr>
        <w:t>&lt;pre&gt;&lt;a name=e4d4&gt;</w:t>
      </w:r>
      <w:r>
        <w:t>4.4)</w:t>
      </w:r>
      <w:r>
        <w:tab/>
        <w:t>le se klama</w:t>
      </w:r>
    </w:p>
    <w:p w:rsidR="00B72047" w:rsidRDefault="00B72047">
      <w:pPr>
        <w:pStyle w:val="examplescaled"/>
      </w:pPr>
      <w:r>
        <w:tab/>
        <w:t>the destination gone to by someone</w:t>
      </w:r>
    </w:p>
    <w:p w:rsidR="00B72047" w:rsidRDefault="00B72047">
      <w:pPr>
        <w:pStyle w:val="normalafterexample"/>
      </w:pPr>
      <w:r>
        <w:rPr>
          <w:rStyle w:val="htmlcodes"/>
        </w:rPr>
        <w:t>&lt;/pre&gt;&lt;p&gt;</w:t>
      </w:r>
      <w:r>
        <w:t>Likewise, we can create three more converted descriptions: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name=e4d5&gt;</w:t>
      </w:r>
      <w:r>
        <w:t>4.5)</w:t>
      </w:r>
      <w:r>
        <w:tab/>
        <w:t>le te klama</w:t>
      </w:r>
    </w:p>
    <w:p w:rsidR="00B72047" w:rsidRDefault="00B72047">
      <w:pPr>
        <w:pStyle w:val="examplescaled"/>
      </w:pPr>
      <w:r>
        <w:tab/>
        <w:t>the origin of someone's going</w:t>
      </w:r>
    </w:p>
    <w:p w:rsidR="00B72047" w:rsidRDefault="00B72047">
      <w:pPr>
        <w:pStyle w:val="examplescaledpre"/>
      </w:pPr>
      <w:r>
        <w:rPr>
          <w:rStyle w:val="htmlcodes"/>
        </w:rPr>
        <w:t>&lt;a name=e4d6&gt;</w:t>
      </w:r>
      <w:r>
        <w:t>4.6)</w:t>
      </w:r>
      <w:r>
        <w:tab/>
        <w:t>le ve klama</w:t>
      </w:r>
    </w:p>
    <w:p w:rsidR="00B72047" w:rsidRDefault="00B72047">
      <w:pPr>
        <w:pStyle w:val="examplescaled"/>
      </w:pPr>
      <w:r>
        <w:tab/>
        <w:t>the route of someone's going</w:t>
      </w:r>
    </w:p>
    <w:p w:rsidR="00B72047" w:rsidRDefault="00B72047">
      <w:pPr>
        <w:pStyle w:val="examplescaledpre"/>
      </w:pPr>
      <w:r>
        <w:rPr>
          <w:rStyle w:val="htmlcodes"/>
        </w:rPr>
        <w:t>&lt;a name=e4d7&gt;</w:t>
      </w:r>
      <w:r>
        <w:t>4.7)</w:t>
      </w:r>
      <w:r>
        <w:tab/>
        <w:t>le xe klama</w:t>
      </w:r>
    </w:p>
    <w:p w:rsidR="00B72047" w:rsidRDefault="00B72047">
      <w:pPr>
        <w:pStyle w:val="examplescaled"/>
      </w:pPr>
      <w:r>
        <w:tab/>
        <w:t>the means by which someone goes</w:t>
      </w:r>
    </w:p>
    <w:p w:rsidR="00B72047" w:rsidRDefault="00B72047">
      <w:pPr>
        <w:pStyle w:val="resumedafterexample"/>
      </w:pPr>
      <w:r>
        <w:rPr>
          <w:rStyle w:val="htmlcodes"/>
        </w:rPr>
        <w:t>&lt;/pre&gt;</w:t>
      </w:r>
      <w:r>
        <w:rPr>
          <w:rStyle w:val="indexentry"/>
        </w:rPr>
        <w:t>&lt;ex "Mars road"&gt;</w:t>
      </w:r>
      <w:r>
        <w:rPr>
          <w:rStyle w:val="indexentry"/>
        </w:rPr>
        <w:fldChar w:fldCharType="begin"/>
      </w:r>
      <w:r>
        <w:instrText>xe "</w:instrText>
      </w:r>
      <w:r>
        <w:rPr>
          <w:rStyle w:val="xeentry"/>
        </w:rPr>
        <w:instrText>Mars road: example</w:instrText>
      </w:r>
      <w:r>
        <w:instrText>"</w:instrText>
      </w:r>
      <w:r>
        <w:rPr>
          <w:rStyle w:val="indexentry"/>
        </w:rPr>
        <w:fldChar w:fldCharType="end"/>
      </w:r>
      <w:r>
        <w:rPr>
          <w:rStyle w:val="indexentry"/>
        </w:rPr>
        <w:t>&lt;cx "converted selbri, contrasted with other similar selbri"&gt;</w:t>
      </w:r>
      <w:r>
        <w:rPr>
          <w:rStyle w:val="indexentry"/>
        </w:rPr>
        <w:fldChar w:fldCharType="begin"/>
      </w:r>
      <w:r>
        <w:instrText>xe "</w:instrText>
      </w:r>
      <w:r>
        <w:rPr>
          <w:rStyle w:val="xeentry"/>
        </w:rPr>
        <w:instrText>converted selbri: contrasted with other similar selbri</w:instrText>
      </w:r>
      <w:r>
        <w:instrText>"</w:instrText>
      </w:r>
      <w:r>
        <w:rPr>
          <w:rStyle w:val="indexentry"/>
        </w:rPr>
        <w:fldChar w:fldCharType="end"/>
      </w:r>
      <w:r>
        <w:rPr>
          <w:rStyle w:val="indexentry"/>
        </w:rPr>
        <w:t>&lt;cx "converted selbri, retention of basic meaning in"&gt;</w:t>
      </w:r>
      <w:r>
        <w:rPr>
          <w:rStyle w:val="indexentry"/>
        </w:rPr>
        <w:fldChar w:fldCharType="begin"/>
      </w:r>
      <w:r>
        <w:instrText>xe "</w:instrText>
      </w:r>
      <w:r>
        <w:rPr>
          <w:rStyle w:val="xeentry"/>
        </w:rPr>
        <w:instrText>converted selbri: retention of basic meaning in</w:instrText>
      </w:r>
      <w:r>
        <w:instrText>"</w:instrText>
      </w:r>
      <w:r>
        <w:rPr>
          <w:rStyle w:val="indexentry"/>
        </w:rPr>
        <w:fldChar w:fldCharType="end"/>
      </w:r>
      <w:r>
        <w:rPr>
          <w:rStyle w:val="indexentry"/>
        </w:rPr>
        <w:t>&lt;cx "ve klama, contrasted with pluta"&gt;</w:t>
      </w:r>
      <w:r>
        <w:rPr>
          <w:rStyle w:val="indexentry"/>
        </w:rPr>
        <w:fldChar w:fldCharType="begin"/>
      </w:r>
      <w:r>
        <w:instrText>xe "</w:instrText>
      </w:r>
      <w:r>
        <w:rPr>
          <w:rStyle w:val="xeentry"/>
        </w:rPr>
        <w:instrText>ve klama: contrasted with pluta</w:instrText>
      </w:r>
      <w:r>
        <w:instrText>"</w:instrText>
      </w:r>
      <w:r>
        <w:rPr>
          <w:rStyle w:val="indexentry"/>
        </w:rPr>
        <w:fldChar w:fldCharType="end"/>
      </w:r>
      <w:r>
        <w:rPr>
          <w:rStyle w:val="indexentry"/>
        </w:rPr>
        <w:t>&lt;cx "pluta, contrasted with ve klama"&gt;</w:t>
      </w:r>
      <w:r>
        <w:rPr>
          <w:rStyle w:val="indexentry"/>
        </w:rPr>
        <w:fldChar w:fldCharType="begin"/>
      </w:r>
      <w:r>
        <w:instrText>xe "</w:instrText>
      </w:r>
      <w:r>
        <w:rPr>
          <w:rStyle w:val="xeentry"/>
        </w:rPr>
        <w:instrText>pluta: contrasted with ve klama</w:instrText>
      </w:r>
      <w:r>
        <w:instrText>"</w:instrText>
      </w:r>
      <w:r>
        <w:rPr>
          <w:rStyle w:val="indexentry"/>
        </w:rPr>
        <w:fldChar w:fldCharType="end"/>
      </w:r>
      <w:r>
        <w:rPr>
          <w:rStyle w:val="indexentry"/>
        </w:rPr>
        <w:t>&lt;lx "ve klama"&gt;</w:t>
      </w:r>
      <w:r>
        <w:rPr>
          <w:rStyle w:val="indexentry"/>
        </w:rPr>
        <w:fldChar w:fldCharType="begin"/>
      </w:r>
      <w:r>
        <w:instrText>xe "</w:instrText>
      </w:r>
      <w:r>
        <w:rPr>
          <w:rStyle w:val="xeentry"/>
        </w:rPr>
        <w:instrText>ve klama</w:instrText>
      </w:r>
      <w:r>
        <w:instrText>"</w:instrText>
      </w:r>
      <w:r>
        <w:rPr>
          <w:rStyle w:val="indexentry"/>
        </w:rPr>
        <w:fldChar w:fldCharType="end"/>
      </w:r>
      <w:r>
        <w:rPr>
          <w:rStyle w:val="indexentry"/>
        </w:rPr>
        <w:t>&lt;lx "pluta"&gt;</w:t>
      </w:r>
      <w:r>
        <w:rPr>
          <w:rStyle w:val="indexentry"/>
        </w:rPr>
        <w:fldChar w:fldCharType="begin"/>
      </w:r>
      <w:r>
        <w:instrText>xe "</w:instrText>
      </w:r>
      <w:r>
        <w:rPr>
          <w:rStyle w:val="xeentry"/>
        </w:rPr>
        <w:instrText>pluta</w:instrText>
      </w:r>
      <w:r>
        <w:instrText>"</w:instrText>
      </w:r>
      <w:r>
        <w:rPr>
          <w:rStyle w:val="indexentry"/>
        </w:rPr>
        <w:fldChar w:fldCharType="end"/>
      </w:r>
      <w:r>
        <w:rPr>
          <w:rStyle w:val="htmlcodes"/>
        </w:rPr>
        <w:t>&lt;a href=#e4d6&gt;</w:t>
      </w:r>
      <w:r>
        <w:t xml:space="preserve">Example 4.6 </w:t>
      </w:r>
      <w:r>
        <w:rPr>
          <w:rStyle w:val="htmlcodes"/>
        </w:rPr>
        <w:t>&lt;/a&gt;</w:t>
      </w:r>
      <w:r>
        <w:t>does not mean “the route” plain and simple: that is “le pluta”,</w:t>
      </w:r>
      <w:r>
        <w:rPr>
          <w:rStyle w:val="deletedparamark"/>
        </w:rPr>
        <w:t xml:space="preserve"> </w:t>
      </w:r>
      <w:r>
        <w:t>using a dif</w:t>
      </w:r>
      <w:r>
        <w:softHyphen/>
        <w:t>ferent selbri. It means a route that is used by some</w:t>
      </w:r>
      <w:r>
        <w:softHyphen/>
        <w:t>one for</w:t>
      </w:r>
      <w:r>
        <w:rPr>
          <w:rStyle w:val="deletedparamark"/>
        </w:rPr>
        <w:t xml:space="preserve"> </w:t>
      </w:r>
      <w:r>
        <w:t>an act of “klama”; that is, a journey with origin and destination.</w:t>
      </w:r>
      <w:r>
        <w:rPr>
          <w:rStyle w:val="deletedparamark"/>
        </w:rPr>
        <w:t xml:space="preserve"> </w:t>
      </w:r>
      <w:r>
        <w:t>A “road” on Mars, on which no one has traveled or is ever likely to, may</w:t>
      </w:r>
      <w:r>
        <w:rPr>
          <w:rStyle w:val="deletedparamark"/>
        </w:rPr>
        <w:t xml:space="preserve"> </w:t>
      </w:r>
      <w:r>
        <w:t>be called “le pluta”, but it cannot be “le ve klama”, since there exists</w:t>
      </w:r>
      <w:r>
        <w:rPr>
          <w:rStyle w:val="deletedparamark"/>
        </w:rPr>
        <w:t xml:space="preserve"> </w:t>
      </w:r>
      <w:r>
        <w:t>no one for whom it is “le ve klama be fo da” (the route taken in an</w:t>
      </w:r>
      <w:r>
        <w:rPr>
          <w:rStyle w:val="deletedparamark"/>
        </w:rPr>
        <w:t xml:space="preserve"> </w:t>
      </w:r>
      <w:r>
        <w:t>actual journey by someone [da]).</w:t>
      </w:r>
    </w:p>
    <w:p w:rsidR="00B72047" w:rsidRDefault="00B72047">
      <w:pPr>
        <w:rPr>
          <w:rStyle w:val="htmlparacode"/>
        </w:rPr>
      </w:pPr>
      <w:r>
        <w:rPr>
          <w:rStyle w:val="htmlparacode"/>
        </w:rPr>
        <w:t>&lt;p&gt;</w:t>
      </w:r>
    </w:p>
    <w:p w:rsidR="00B72047" w:rsidRDefault="00B72047">
      <w:pPr>
        <w:pStyle w:val="normalparagraph"/>
      </w:pPr>
      <w:r>
        <w:rPr>
          <w:rStyle w:val="indexentry"/>
        </w:rPr>
        <w:t>&lt;cx "SE, scope of"&gt;</w:t>
      </w:r>
      <w:r>
        <w:rPr>
          <w:rStyle w:val="indexentry"/>
        </w:rPr>
        <w:fldChar w:fldCharType="begin"/>
      </w:r>
      <w:r>
        <w:instrText>xe "</w:instrText>
      </w:r>
      <w:r>
        <w:rPr>
          <w:rStyle w:val="xeentry"/>
        </w:rPr>
        <w:instrText>SE selma’o: scope of</w:instrText>
      </w:r>
      <w:r>
        <w:instrText>"</w:instrText>
      </w:r>
      <w:r>
        <w:rPr>
          <w:rStyle w:val="indexentry"/>
        </w:rPr>
        <w:fldChar w:fldCharType="end"/>
      </w:r>
      <w:r>
        <w:rPr>
          <w:rStyle w:val="indexentry"/>
        </w:rPr>
        <w:t>&lt;cx "SE, extending scope of"&gt;</w:t>
      </w:r>
      <w:r>
        <w:rPr>
          <w:rStyle w:val="indexentry"/>
        </w:rPr>
        <w:fldChar w:fldCharType="begin"/>
      </w:r>
      <w:r>
        <w:instrText>xe "</w:instrText>
      </w:r>
      <w:r>
        <w:rPr>
          <w:rStyle w:val="xeentry"/>
        </w:rPr>
        <w:instrText>SE selma’o: extending scope of</w:instrText>
      </w:r>
      <w:r>
        <w:instrText>"</w:instrText>
      </w:r>
      <w:r>
        <w:rPr>
          <w:rStyle w:val="indexentry"/>
        </w:rPr>
        <w:fldChar w:fldCharType="end"/>
      </w:r>
      <w:r>
        <w:rPr>
          <w:rStyle w:val="indexentry"/>
        </w:rPr>
        <w:t>&lt;cx "conversion, scope of"&gt;</w:t>
      </w:r>
      <w:r>
        <w:rPr>
          <w:rStyle w:val="indexentry"/>
        </w:rPr>
        <w:fldChar w:fldCharType="begin"/>
      </w:r>
      <w:r>
        <w:instrText>xe "</w:instrText>
      </w:r>
      <w:r>
        <w:rPr>
          <w:rStyle w:val="xeentry"/>
        </w:rPr>
        <w:instrText>conversion: scope of</w:instrText>
      </w:r>
      <w:r>
        <w:instrText>"</w:instrText>
      </w:r>
      <w:r>
        <w:rPr>
          <w:rStyle w:val="indexentry"/>
        </w:rPr>
        <w:fldChar w:fldCharType="end"/>
      </w:r>
      <w:r>
        <w:rPr>
          <w:rStyle w:val="indexentry"/>
        </w:rPr>
        <w:t>&lt;cx "conversion, extending scope of"&gt;</w:t>
      </w:r>
      <w:r>
        <w:rPr>
          <w:rStyle w:val="indexentry"/>
        </w:rPr>
        <w:fldChar w:fldCharType="begin"/>
      </w:r>
      <w:r>
        <w:instrText>xe "</w:instrText>
      </w:r>
      <w:r>
        <w:rPr>
          <w:rStyle w:val="xeentry"/>
        </w:rPr>
        <w:instrText>conversion: extending scope of</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"ke'e"&gt;</w:t>
      </w:r>
      <w:r>
        <w:rPr>
          <w:rStyle w:val="indexentry"/>
        </w:rPr>
        <w:fldChar w:fldCharType="begin"/>
      </w:r>
      <w:r>
        <w:instrText>xe "</w:instrText>
      </w:r>
      <w:r>
        <w:rPr>
          <w:rStyle w:val="xeentry"/>
        </w:rPr>
        <w:instrText>ke'e</w:instrText>
      </w:r>
      <w:r>
        <w:instrText>"</w:instrText>
      </w:r>
      <w:r>
        <w:rPr>
          <w:rStyle w:val="indexentry"/>
        </w:rPr>
        <w:fldChar w:fldCharType="end"/>
      </w:r>
      <w:r>
        <w:t>When converting selbri that are more complex than a single brivla, it is</w:t>
      </w:r>
      <w:r>
        <w:rPr>
          <w:rStyle w:val="deletedparamark"/>
        </w:rPr>
        <w:t xml:space="preserve"> </w:t>
      </w:r>
      <w:r>
        <w:t>im</w:t>
      </w:r>
      <w:r>
        <w:softHyphen/>
        <w:t>portant to realize that the scope of a SE cmavo is only the following</w:t>
      </w:r>
      <w:r>
        <w:rPr>
          <w:rStyle w:val="deletedparamark"/>
        </w:rPr>
        <w:t xml:space="preserve"> </w:t>
      </w:r>
      <w:r>
        <w:t>brivla (or equiva</w:t>
      </w:r>
      <w:r>
        <w:softHyphen/>
        <w:t>lent unit). In order to convert an entire tanru, it is</w:t>
      </w:r>
      <w:r>
        <w:rPr>
          <w:rStyle w:val="deletedparamark"/>
        </w:rPr>
        <w:t xml:space="preserve"> </w:t>
      </w:r>
      <w:r>
        <w:t>necessary to enclose the tanru in “ke</w:t>
      </w:r>
      <w:r>
        <w:rPr>
          <w:rStyle w:val="htmlcodes"/>
        </w:rPr>
        <w:t>&lt;dots&gt;</w:t>
      </w:r>
      <w:r>
        <w:t>…</w:t>
      </w:r>
      <w:r>
        <w:rPr>
          <w:rStyle w:val="htmlcodes"/>
        </w:rPr>
        <w:t>&lt;/dots&gt;</w:t>
      </w:r>
      <w:r>
        <w:t>ke'e” brac</w:t>
      </w:r>
      <w:r>
        <w:t>k</w:t>
      </w:r>
      <w:r>
        <w:softHyphen/>
        <w:t>ets:</w:t>
      </w:r>
    </w:p>
    <w:p w:rsidR="00B72047" w:rsidRDefault="00B72047">
      <w:pPr>
        <w:rPr>
          <w:rStyle w:val="htmlparacode"/>
        </w:rPr>
      </w:pPr>
      <w:r>
        <w:rPr>
          <w:rStyle w:val="htmlparacode"/>
        </w:rPr>
        <w:t>&lt;p&gt;</w:t>
      </w:r>
    </w:p>
    <w:p w:rsidR="00B72047" w:rsidRDefault="00B72047">
      <w:pPr>
        <w:pStyle w:val="examplescaledpre"/>
      </w:pPr>
      <w:r>
        <w:rPr>
          <w:rStyle w:val="indexentry"/>
        </w:rPr>
        <w:t>&lt;ex "blue house"&gt;</w:t>
      </w:r>
      <w:r>
        <w:rPr>
          <w:rStyle w:val="indexentry"/>
        </w:rPr>
        <w:fldChar w:fldCharType="begin"/>
      </w:r>
      <w:r>
        <w:instrText>xe "</w:instrText>
      </w:r>
      <w:r>
        <w:rPr>
          <w:rStyle w:val="xeentry"/>
        </w:rPr>
        <w:instrText>blue house: example</w:instrText>
      </w:r>
      <w:r>
        <w:instrText>"</w:instrText>
      </w:r>
      <w:r>
        <w:rPr>
          <w:rStyle w:val="indexentry"/>
        </w:rPr>
        <w:fldChar w:fldCharType="end"/>
      </w:r>
      <w:r>
        <w:rPr>
          <w:rStyle w:val="htmlcodes"/>
        </w:rPr>
        <w:t>&lt;pre&gt;&lt;a name=e4d8&gt;</w:t>
      </w:r>
      <w:r>
        <w:t>4.8)</w:t>
      </w:r>
      <w:r>
        <w:tab/>
        <w:t>mi se ke blanu zdani [ke'e] ti</w:t>
      </w:r>
    </w:p>
    <w:p w:rsidR="00B72047" w:rsidRDefault="00B72047">
      <w:pPr>
        <w:pStyle w:val="examplescaled"/>
      </w:pPr>
      <w:r>
        <w:tab/>
        <w:t>I [2nd conversion] blue house this-thing</w:t>
      </w:r>
    </w:p>
    <w:p w:rsidR="00B72047" w:rsidRDefault="00B72047">
      <w:pPr>
        <w:pStyle w:val="resumedafterexample"/>
      </w:pPr>
      <w:r>
        <w:rPr>
          <w:rStyle w:val="htmlcodes"/>
        </w:rPr>
        <w:t>&lt;/pre&gt;&lt;p&gt;</w:t>
      </w:r>
      <w:r>
        <w:t>The place structure of “blanu zdani” (blue house) is the same as that</w:t>
      </w:r>
      <w:r>
        <w:rPr>
          <w:rStyle w:val="deletedparamark"/>
        </w:rPr>
        <w:t xml:space="preserve"> </w:t>
      </w:r>
      <w:r>
        <w:t xml:space="preserve">of “zdani”, by the rule given in </w:t>
      </w:r>
      <w:r>
        <w:rPr>
          <w:rStyle w:val="htmlcodes"/>
        </w:rPr>
        <w:t>&lt;a href=#s1&gt;</w:t>
      </w:r>
      <w:r>
        <w:t>Section 1</w:t>
      </w:r>
      <w:r>
        <w:rPr>
          <w:rStyle w:val="htmlcodes"/>
        </w:rPr>
        <w:t>&lt;/a&gt;</w:t>
      </w:r>
      <w:r>
        <w:t>. The place structure of “zdani”</w:t>
      </w:r>
      <w:r>
        <w:rPr>
          <w:rStyle w:val="deletedparamark"/>
        </w:rPr>
        <w:t xml:space="preserve"> </w:t>
      </w:r>
      <w:r>
        <w:t>is:</w:t>
      </w:r>
    </w:p>
    <w:p w:rsidR="00B72047" w:rsidRDefault="00B72047" w:rsidP="007E67C1">
      <w:pPr>
        <w:pStyle w:val="placestructure"/>
        <w:numPr>
          <w:ilvl w:val="0"/>
          <w:numId w:val="0"/>
        </w:numPr>
        <w:ind w:left="504" w:hanging="504"/>
        <w:rPr>
          <w:rStyle w:val="htmlparacode"/>
        </w:rPr>
      </w:pPr>
      <w:r>
        <w:rPr>
          <w:rStyle w:val="htmlparacode"/>
          <w:vanish w:val="0"/>
        </w:rPr>
        <w:t xml:space="preserve">zdani:  </w:t>
      </w: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a house/nest/lair/den for inhabitant x2</w:t>
      </w:r>
    </w:p>
    <w:p w:rsidR="00B72047" w:rsidRDefault="00B72047">
      <w:pPr>
        <w:pStyle w:val="resumedafterexample"/>
      </w:pPr>
      <w:r>
        <w:rPr>
          <w:rStyle w:val="htmlcodes"/>
        </w:rPr>
        <w:t>&lt;/dl&gt;&lt;p&gt;</w:t>
      </w:r>
      <w:r>
        <w:t>The place structure of “se ke blanu zdani [ke'e]” is therefore:</w:t>
      </w:r>
    </w:p>
    <w:p w:rsidR="00B72047" w:rsidRDefault="00B72047">
      <w:pPr>
        <w:ind w:firstLine="720"/>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the inhabitant of the blue house (etc.) x2</w:t>
      </w:r>
    </w:p>
    <w:p w:rsidR="00B72047" w:rsidRDefault="00B72047">
      <w:pPr>
        <w:pStyle w:val="resumedafterexample"/>
      </w:pPr>
      <w:r>
        <w:rPr>
          <w:rStyle w:val="htmlcodes"/>
        </w:rPr>
        <w:t>&lt;/dl&gt;&lt;p&gt;</w:t>
      </w:r>
      <w:r>
        <w:t xml:space="preserve">Consequently, </w:t>
      </w:r>
      <w:r>
        <w:rPr>
          <w:rStyle w:val="htmlcodes"/>
        </w:rPr>
        <w:t>&lt;a href=#e4d8&gt;</w:t>
      </w:r>
      <w:r>
        <w:t xml:space="preserve">Example 4.8 </w:t>
      </w:r>
      <w:r>
        <w:rPr>
          <w:rStyle w:val="htmlcodes"/>
        </w:rPr>
        <w:t>&lt;/a&gt;</w:t>
      </w:r>
      <w:r>
        <w:t>means:</w:t>
      </w:r>
    </w:p>
    <w:p w:rsidR="00B72047" w:rsidRDefault="00B72047">
      <w:pPr>
        <w:ind w:firstLine="720"/>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I am the inhabitant of the blue house which is this thing.</w:t>
      </w:r>
    </w:p>
    <w:p w:rsidR="00B72047" w:rsidRDefault="00B72047">
      <w:pPr>
        <w:pStyle w:val="normalafterexample"/>
      </w:pPr>
      <w:r>
        <w:rPr>
          <w:rStyle w:val="htmlcodes"/>
        </w:rPr>
        <w:t>&lt;/dl&gt;&lt;p&gt;</w:t>
      </w:r>
      <w:r>
        <w:t>Conversion applied to only part of a tanru has subtler effects which are</w:t>
      </w:r>
      <w:r>
        <w:rPr>
          <w:rStyle w:val="deletedparamark"/>
        </w:rPr>
        <w:t xml:space="preserve"> </w:t>
      </w:r>
      <w:r>
        <w:t>ex</w:t>
      </w:r>
      <w:r>
        <w:softHyphen/>
        <w:t xml:space="preserve">plained in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"SE, effect of multiple on a selbri"&gt;</w:t>
      </w:r>
      <w:r>
        <w:rPr>
          <w:rStyle w:val="indexentry"/>
        </w:rPr>
        <w:fldChar w:fldCharType="begin"/>
      </w:r>
      <w:r>
        <w:instrText>xe "</w:instrText>
      </w:r>
      <w:r>
        <w:rPr>
          <w:rStyle w:val="xeentry"/>
        </w:rPr>
        <w:instrText>SE selma’o: effect of multiple on a selbri</w:instrText>
      </w:r>
      <w:r>
        <w:instrText>"</w:instrText>
      </w:r>
      <w:r>
        <w:rPr>
          <w:rStyle w:val="indexentry"/>
        </w:rPr>
        <w:fldChar w:fldCharType="end"/>
      </w:r>
      <w:r>
        <w:rPr>
          <w:rStyle w:val="indexentry"/>
        </w:rPr>
        <w:t>&lt;cx "multiple SE, effect of ordering"&gt;</w:t>
      </w:r>
      <w:r>
        <w:rPr>
          <w:rStyle w:val="indexentry"/>
        </w:rPr>
        <w:fldChar w:fldCharType="begin"/>
      </w:r>
      <w:r>
        <w:instrText>xe "</w:instrText>
      </w:r>
      <w:r>
        <w:rPr>
          <w:rStyle w:val="xeentry"/>
        </w:rPr>
        <w:instrText>multiple SE: effect of ordering</w:instrText>
      </w:r>
      <w:r>
        <w:instrText>"</w:instrText>
      </w:r>
      <w:r>
        <w:rPr>
          <w:rStyle w:val="indexentry"/>
        </w:rPr>
        <w:fldChar w:fldCharType="end"/>
      </w:r>
      <w:r>
        <w:rPr>
          <w:rStyle w:val="indexentry"/>
        </w:rPr>
        <w:t>&lt;cx "conversion, effect of multiple on a selbri"&gt;</w:t>
      </w:r>
      <w:r>
        <w:rPr>
          <w:rStyle w:val="indexentry"/>
        </w:rPr>
        <w:fldChar w:fldCharType="begin"/>
      </w:r>
      <w:r>
        <w:instrText>xe "</w:instrText>
      </w:r>
      <w:r>
        <w:rPr>
          <w:rStyle w:val="xeentry"/>
        </w:rPr>
        <w:instrText>conversion: effect of multiple on a selbri</w:instrText>
      </w:r>
      <w:r>
        <w:instrText>"</w:instrText>
      </w:r>
      <w:r>
        <w:rPr>
          <w:rStyle w:val="indexentry"/>
        </w:rPr>
        <w:fldChar w:fldCharType="end"/>
      </w:r>
      <w:r>
        <w:rPr>
          <w:rStyle w:val="indexentry"/>
        </w:rPr>
        <w:t>&lt;cx "multiple conversion, effect of ordering"&gt;</w:t>
      </w:r>
      <w:r>
        <w:rPr>
          <w:rStyle w:val="indexentry"/>
        </w:rPr>
        <w:fldChar w:fldCharType="begin"/>
      </w:r>
      <w:r>
        <w:instrText>xe "</w:instrText>
      </w:r>
      <w:r>
        <w:rPr>
          <w:rStyle w:val="xeentry"/>
        </w:rPr>
        <w:instrText>multiple conversion: effect of ordering</w:instrText>
      </w:r>
      <w:r>
        <w:instrText>"</w:instrText>
      </w:r>
      <w:r>
        <w:rPr>
          <w:rStyle w:val="indexentry"/>
        </w:rPr>
        <w:fldChar w:fldCharType="end"/>
      </w:r>
      <w:r>
        <w:t>It is grammatical to convert a selbri more than once with SE; later (inner)</w:t>
      </w:r>
      <w:r>
        <w:rPr>
          <w:rStyle w:val="deletedparamark"/>
        </w:rPr>
        <w:t xml:space="preserve"> </w:t>
      </w:r>
      <w:r>
        <w:t>con</w:t>
      </w:r>
      <w:r>
        <w:softHyphen/>
        <w:t>ver</w:t>
      </w:r>
      <w:r>
        <w:softHyphen/>
        <w:t>sions are applied before earlier (outer) ones. For example, the</w:t>
      </w:r>
      <w:r>
        <w:rPr>
          <w:rStyle w:val="deletedparamark"/>
        </w:rPr>
        <w:t xml:space="preserve"> </w:t>
      </w:r>
      <w:r>
        <w:t>place structure of “se te klama” is achieved by ex</w:t>
      </w:r>
      <w:r>
        <w:softHyphen/>
        <w:t>changing the x1 and</w:t>
      </w:r>
      <w:r>
        <w:rPr>
          <w:rStyle w:val="deletedparamark"/>
        </w:rPr>
        <w:t xml:space="preserve"> </w:t>
      </w:r>
      <w:r>
        <w:t>x2 place of “te klama”, producing:</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&lt;lx "se te"&gt;</w:t>
      </w:r>
      <w:r>
        <w:rPr>
          <w:rStyle w:val="indexentry"/>
        </w:rPr>
        <w:fldChar w:fldCharType="begin"/>
      </w:r>
      <w:r>
        <w:instrText>xe "</w:instrText>
      </w:r>
      <w:r>
        <w:rPr>
          <w:rStyle w:val="xeentry"/>
        </w:rPr>
        <w:instrText>se te</w:instrText>
      </w:r>
      <w:r>
        <w:instrText>"</w:instrText>
      </w:r>
      <w:r>
        <w:rPr>
          <w:rStyle w:val="indexentry"/>
        </w:rPr>
        <w:fldChar w:fldCharType="end"/>
      </w:r>
      <w:r>
        <w:rPr>
          <w:rStyle w:val="htmlcodes"/>
        </w:rPr>
        <w:t>&lt;dl compact&gt;&lt;dt&gt;&lt;dd&gt;</w:t>
      </w:r>
      <w:r>
        <w:t>x1 is the destination and x2 is the origin of x3 going via x4 using x5</w:t>
      </w:r>
    </w:p>
    <w:p w:rsidR="00B72047" w:rsidRDefault="00B72047">
      <w:pPr>
        <w:pStyle w:val="resumedafterexample"/>
      </w:pPr>
      <w:r>
        <w:rPr>
          <w:rStyle w:val="htmlcodes"/>
        </w:rPr>
        <w:t>&lt;/dl&gt;&lt;p&gt;</w:t>
      </w:r>
      <w:r>
        <w:t>On the other hand, “te se klama” has a place structure derived from swapping</w:t>
      </w:r>
      <w:r>
        <w:rPr>
          <w:rStyle w:val="deletedparamark"/>
        </w:rPr>
        <w:t xml:space="preserve"> </w:t>
      </w:r>
      <w:r>
        <w:t>the x1 and x3 places of “se klama”:</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the origin of x2's going to x3 via x4 using x5</w:t>
      </w:r>
    </w:p>
    <w:p w:rsidR="00B72047" w:rsidRDefault="00B72047">
      <w:pPr>
        <w:pStyle w:val="resumedafterexample"/>
      </w:pPr>
      <w:r>
        <w:rPr>
          <w:rStyle w:val="htmlcodes"/>
        </w:rPr>
        <w:t>&lt;/dl&gt;</w:t>
      </w:r>
      <w:r>
        <w:rPr>
          <w:rStyle w:val="indexentry"/>
        </w:rPr>
        <w:t>&lt;cx "multiple conversion, avoiding"&gt;</w:t>
      </w:r>
      <w:r>
        <w:rPr>
          <w:rStyle w:val="indexentry"/>
        </w:rPr>
        <w:fldChar w:fldCharType="begin"/>
      </w:r>
      <w:r>
        <w:instrText>xe "</w:instrText>
      </w:r>
      <w:r>
        <w:rPr>
          <w:rStyle w:val="xeentry"/>
        </w:rPr>
        <w:instrText>multiple conversion: avoiding</w:instrText>
      </w:r>
      <w:r>
        <w:instrText>"</w:instrText>
      </w:r>
      <w:r>
        <w:rPr>
          <w:rStyle w:val="indexentry"/>
        </w:rPr>
        <w:fldChar w:fldCharType="end"/>
      </w:r>
      <w:r>
        <w:t>which is quite different. However, multiple conversions like this are</w:t>
      </w:r>
      <w:r>
        <w:rPr>
          <w:rStyle w:val="deletedparamark"/>
        </w:rPr>
        <w:t xml:space="preserve"> </w:t>
      </w:r>
      <w:r>
        <w:t>never necessary. Ar</w:t>
      </w:r>
      <w:r>
        <w:softHyphen/>
        <w:t>bitrary scrambling of places can be achieved more</w:t>
      </w:r>
      <w:r>
        <w:rPr>
          <w:rStyle w:val="deletedparamark"/>
        </w:rPr>
        <w:t xml:space="preserve"> </w:t>
      </w:r>
      <w:r>
        <w:t>easily and far more intelligibly with FA tags, and only a single</w:t>
      </w:r>
      <w:r>
        <w:rPr>
          <w:rStyle w:val="deletedparamark"/>
        </w:rPr>
        <w:t xml:space="preserve"> </w:t>
      </w:r>
      <w:r>
        <w:t>conversion is ever needed in a description.</w:t>
      </w:r>
    </w:p>
    <w:p w:rsidR="00B72047" w:rsidRDefault="00B72047">
      <w:pPr>
        <w:rPr>
          <w:rStyle w:val="htmlparacode"/>
        </w:rPr>
      </w:pPr>
      <w:r>
        <w:rPr>
          <w:rStyle w:val="htmlparacode"/>
        </w:rPr>
        <w:t>&lt;p&gt;</w:t>
      </w:r>
    </w:p>
    <w:p w:rsidR="00B72047" w:rsidRDefault="00B72047">
      <w:pPr>
        <w:pStyle w:val="normalparagraph"/>
      </w:pPr>
      <w:r>
        <w:rPr>
          <w:rStyle w:val="indexentry"/>
        </w:rPr>
        <w:t>&lt;cx "conversion, swapping non-first places"&gt;</w:t>
      </w:r>
      <w:r>
        <w:rPr>
          <w:rStyle w:val="indexentry"/>
        </w:rPr>
        <w:fldChar w:fldCharType="begin"/>
      </w:r>
      <w:r>
        <w:instrText>xe "</w:instrText>
      </w:r>
      <w:r>
        <w:rPr>
          <w:rStyle w:val="xeentry"/>
        </w:rPr>
        <w:instrText>conversion: swapping non-first places</w:instrText>
      </w:r>
      <w:r>
        <w:instrText>"</w:instrText>
      </w:r>
      <w:r>
        <w:rPr>
          <w:rStyle w:val="indexentry"/>
        </w:rPr>
        <w:fldChar w:fldCharType="end"/>
      </w:r>
      <w:r>
        <w:rPr>
          <w:rStyle w:val="indexentry"/>
        </w:rPr>
        <w:t>&lt;lx "setese"&gt;</w:t>
      </w:r>
      <w:r>
        <w:rPr>
          <w:rStyle w:val="indexentry"/>
        </w:rPr>
        <w:fldChar w:fldCharType="begin"/>
      </w:r>
      <w:r>
        <w:instrText>xe "</w:instrText>
      </w:r>
      <w:r>
        <w:rPr>
          <w:rStyle w:val="xeentry"/>
        </w:rPr>
        <w:instrText>setese</w:instrText>
      </w:r>
      <w:r>
        <w:instrText>"</w:instrText>
      </w:r>
      <w:r>
        <w:rPr>
          <w:rStyle w:val="indexentry"/>
        </w:rPr>
        <w:fldChar w:fldCharType="end"/>
      </w:r>
      <w:r>
        <w:t>(Although no one has made any real use of it, it is perhaps worth noting</w:t>
      </w:r>
      <w:r>
        <w:rPr>
          <w:rStyle w:val="deletedparamark"/>
        </w:rPr>
        <w:t xml:space="preserve"> </w:t>
      </w:r>
      <w:r>
        <w:t>that co</w:t>
      </w:r>
      <w:r>
        <w:t>m</w:t>
      </w:r>
      <w:r>
        <w:softHyphen/>
        <w:t>pound conversions of the form “setese”, where the first and third</w:t>
      </w:r>
      <w:r>
        <w:rPr>
          <w:rStyle w:val="deletedparamark"/>
        </w:rPr>
        <w:t xml:space="preserve"> </w:t>
      </w:r>
      <w:r>
        <w:t>cmavo are the same, effectively swap the two given places while leaving</w:t>
      </w:r>
      <w:r>
        <w:rPr>
          <w:rStyle w:val="deletedparamark"/>
        </w:rPr>
        <w:t xml:space="preserve"> </w:t>
      </w:r>
      <w:r>
        <w:t>the others, including x1, alone: “setese” (or equivalently “tesete”) swap</w:t>
      </w:r>
      <w:r>
        <w:rPr>
          <w:rStyle w:val="deletedparamark"/>
        </w:rPr>
        <w:t xml:space="preserve"> </w:t>
      </w:r>
      <w:r>
        <w:t>the x2 and x3 places, whereas “texete” (or “xetexe”) swap the x3 and x5</w:t>
      </w:r>
      <w:r>
        <w:rPr>
          <w:rStyle w:val="deletedparamark"/>
        </w:rPr>
        <w:t xml:space="preserve"> </w:t>
      </w:r>
      <w:r>
        <w:t>places.)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314" w:name="_Toc398970560"/>
      <w:r>
        <w:rPr>
          <w:rStyle w:val="Heading3Text"/>
        </w:rPr>
        <w:t>Modal places: FIhO, FEhU</w:t>
      </w:r>
      <w:bookmarkEnd w:id="31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fi'o</w:t>
      </w:r>
      <w:r>
        <w:tab/>
        <w:t>FIhO</w:t>
      </w:r>
      <w:r>
        <w:tab/>
        <w:t>modal place prefix</w:t>
      </w:r>
    </w:p>
    <w:p w:rsidR="00B72047" w:rsidRDefault="00B72047">
      <w:pPr>
        <w:pStyle w:val="examplescaled"/>
      </w:pPr>
      <w:r>
        <w:tab/>
        <w:t>fe'u</w:t>
      </w:r>
      <w:r>
        <w:tab/>
        <w:t>FEhU</w:t>
      </w:r>
      <w:r>
        <w:tab/>
        <w:t>modal terminator</w:t>
      </w:r>
    </w:p>
    <w:p w:rsidR="00B72047" w:rsidRDefault="00B72047">
      <w:pPr>
        <w:pStyle w:val="normalafterexample"/>
      </w:pPr>
      <w:r>
        <w:rPr>
          <w:rStyle w:val="htmlcodes"/>
        </w:rPr>
        <w:t>&lt;/pre&gt;&lt;p&gt;</w:t>
      </w:r>
      <w:r>
        <w:t>Sometimes the place structures engineered into Lojban are inadequate to</w:t>
      </w:r>
      <w:r>
        <w:rPr>
          <w:rStyle w:val="deletedparamark"/>
        </w:rPr>
        <w:t xml:space="preserve"> </w:t>
      </w:r>
      <w:r>
        <w:t>meet the needs of actual speech. Consider the gismu “viska”, whose</w:t>
      </w:r>
      <w:r>
        <w:rPr>
          <w:rStyle w:val="deletedparamark"/>
        </w:rPr>
        <w:t xml:space="preserve"> </w:t>
      </w:r>
      <w:r>
        <w:t>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&lt;lx "viska"&gt;</w:t>
      </w:r>
      <w:r>
        <w:rPr>
          <w:rStyle w:val="indexentry"/>
        </w:rPr>
        <w:fldChar w:fldCharType="begin"/>
      </w:r>
      <w:r>
        <w:instrText>xe "</w:instrText>
      </w:r>
      <w:r>
        <w:rPr>
          <w:rStyle w:val="xeentry"/>
        </w:rPr>
        <w:instrText>viska</w:instrText>
      </w:r>
      <w:r>
        <w:instrText>"</w:instrText>
      </w:r>
      <w:r>
        <w:rPr>
          <w:rStyle w:val="indexentry"/>
        </w:rPr>
        <w:fldChar w:fldCharType="end"/>
      </w:r>
      <w:r>
        <w:rPr>
          <w:rStyle w:val="htmlcodes"/>
        </w:rPr>
        <w:t>&lt;dl compact&gt;&lt;dt&gt;&lt;dd&gt;</w:t>
      </w:r>
      <w:r>
        <w:t>viska:  x1 sees x2 under conditions x3</w:t>
      </w:r>
    </w:p>
    <w:p w:rsidR="00B72047" w:rsidRDefault="00B72047">
      <w:pPr>
        <w:pStyle w:val="resumedafterexample"/>
      </w:pPr>
      <w:r>
        <w:rPr>
          <w:rStyle w:val="htmlcodes"/>
        </w:rPr>
        <w:t>&lt;/dl&gt;&lt;p&gt;</w:t>
      </w:r>
      <w:r>
        <w:t>Seeing is a threefold relationship, involving an agent (le viska), an</w:t>
      </w:r>
      <w:r>
        <w:rPr>
          <w:rStyle w:val="deletedparamark"/>
        </w:rPr>
        <w:t xml:space="preserve"> </w:t>
      </w:r>
      <w:r>
        <w:t>object of sight (le se viska), and an environment that makes seeing</w:t>
      </w:r>
      <w:r>
        <w:rPr>
          <w:rStyle w:val="deletedparamark"/>
        </w:rPr>
        <w:t xml:space="preserve"> </w:t>
      </w:r>
      <w:r>
        <w:t>possible (le te viska). Seeing is done with one or more eyes, of course;</w:t>
      </w:r>
      <w:r>
        <w:rPr>
          <w:rStyle w:val="deletedparamark"/>
        </w:rPr>
        <w:t xml:space="preserve"> </w:t>
      </w:r>
      <w:r>
        <w:t>in general, the eyes belong to the entity in the x1 place.</w:t>
      </w:r>
    </w:p>
    <w:p w:rsidR="00B72047" w:rsidRDefault="00B72047">
      <w:pPr>
        <w:rPr>
          <w:rStyle w:val="htmlparacode"/>
        </w:rPr>
      </w:pPr>
      <w:r>
        <w:rPr>
          <w:rStyle w:val="htmlparacode"/>
        </w:rPr>
        <w:t>&lt;p&gt;</w:t>
      </w:r>
    </w:p>
    <w:p w:rsidR="00B72047" w:rsidRDefault="00B72047">
      <w:pPr>
        <w:pStyle w:val="normalparagraph"/>
      </w:pPr>
      <w:r>
        <w:rPr>
          <w:rStyle w:val="indexentry"/>
        </w:rPr>
        <w:t>&lt;ex "see with left eye"&gt;</w:t>
      </w:r>
      <w:r>
        <w:rPr>
          <w:rStyle w:val="indexentry"/>
        </w:rPr>
        <w:fldChar w:fldCharType="begin"/>
      </w:r>
      <w:r>
        <w:instrText>xe "</w:instrText>
      </w:r>
      <w:r>
        <w:rPr>
          <w:rStyle w:val="xeentry"/>
        </w:rPr>
        <w:instrText>see with left eye: example</w:instrText>
      </w:r>
      <w:r>
        <w:instrText>"</w:instrText>
      </w:r>
      <w:r>
        <w:rPr>
          <w:rStyle w:val="indexentry"/>
        </w:rPr>
        <w:fldChar w:fldCharType="end"/>
      </w:r>
      <w:r>
        <w:rPr>
          <w:rStyle w:val="indexentry"/>
        </w:rPr>
        <w:t>&lt;cx "fi'o, as modal tag"&gt;</w:t>
      </w:r>
      <w:r>
        <w:rPr>
          <w:rStyle w:val="indexentry"/>
        </w:rPr>
        <w:fldChar w:fldCharType="begin"/>
      </w:r>
      <w:r>
        <w:instrText>xe "</w:instrText>
      </w:r>
      <w:r>
        <w:rPr>
          <w:rStyle w:val="xeentry"/>
        </w:rPr>
        <w:instrText>fi'o: as modal tag</w:instrText>
      </w:r>
      <w:r>
        <w:instrText>"</w:instrText>
      </w:r>
      <w:r>
        <w:rPr>
          <w:rStyle w:val="indexentry"/>
        </w:rPr>
        <w:fldChar w:fldCharType="end"/>
      </w:r>
      <w:r>
        <w:rPr>
          <w:rStyle w:val="indexentry"/>
        </w:rPr>
        <w:t>&lt;cx "place structure, adding new places to with modal sumti"&gt;</w:t>
      </w:r>
      <w:r>
        <w:rPr>
          <w:rStyle w:val="indexentry"/>
        </w:rPr>
        <w:fldChar w:fldCharType="begin"/>
      </w:r>
      <w:r>
        <w:instrText>xe "</w:instrText>
      </w:r>
      <w:r>
        <w:rPr>
          <w:rStyle w:val="xeentry"/>
        </w:rPr>
        <w:instrText>place structure: adding new places to with modal sumti</w:instrText>
      </w:r>
      <w:r>
        <w:instrText>"</w:instrText>
      </w:r>
      <w:r>
        <w:rPr>
          <w:rStyle w:val="indexentry"/>
        </w:rPr>
        <w:fldChar w:fldCharType="end"/>
      </w:r>
      <w:r>
        <w:rPr>
          <w:rStyle w:val="indexentry"/>
        </w:rPr>
        <w:t>&lt;cx "fi'o, use in adding places to place structure"&gt;</w:t>
      </w:r>
      <w:r>
        <w:rPr>
          <w:rStyle w:val="indexentry"/>
        </w:rPr>
        <w:fldChar w:fldCharType="begin"/>
      </w:r>
      <w:r>
        <w:instrText>xe "</w:instrText>
      </w:r>
      <w:r>
        <w:rPr>
          <w:rStyle w:val="xeentry"/>
        </w:rPr>
        <w:instrText>fi'o: use in adding places to place structure</w:instrText>
      </w:r>
      <w:r>
        <w:instrText>"</w:instrText>
      </w:r>
      <w:r>
        <w:rPr>
          <w:rStyle w:val="indexentry"/>
        </w:rPr>
        <w:fldChar w:fldCharType="end"/>
      </w:r>
      <w:r>
        <w:rPr>
          <w:rStyle w:val="indexentry"/>
        </w:rPr>
        <w:t>&lt;lx "fi'o"&gt;</w:t>
      </w:r>
      <w:r>
        <w:rPr>
          <w:rStyle w:val="indexentry"/>
        </w:rPr>
        <w:fldChar w:fldCharType="begin"/>
      </w:r>
      <w:r>
        <w:instrText>xe "</w:instrText>
      </w:r>
      <w:r>
        <w:rPr>
          <w:rStyle w:val="xeentry"/>
        </w:rPr>
        <w:instrText>fi'o</w:instrText>
      </w:r>
      <w:r>
        <w:instrText>"</w:instrText>
      </w:r>
      <w:r>
        <w:rPr>
          <w:rStyle w:val="indexentry"/>
        </w:rPr>
        <w:fldChar w:fldCharType="end"/>
      </w:r>
      <w:r>
        <w:rPr>
          <w:rStyle w:val="indexentry"/>
        </w:rPr>
        <w:t>&lt;lx "FIhO"&gt;</w:t>
      </w:r>
      <w:r>
        <w:rPr>
          <w:rStyle w:val="indexentry"/>
        </w:rPr>
        <w:fldChar w:fldCharType="begin"/>
      </w:r>
      <w:r>
        <w:instrText>xe "</w:instrText>
      </w:r>
      <w:r>
        <w:rPr>
          <w:rStyle w:val="xeentry"/>
        </w:rPr>
        <w:instrText>FIhO selma’o</w:instrText>
      </w:r>
      <w:r>
        <w:instrText>"</w:instrText>
      </w:r>
      <w:r>
        <w:rPr>
          <w:rStyle w:val="indexentry"/>
        </w:rPr>
        <w:fldChar w:fldCharType="end"/>
      </w:r>
      <w:r>
        <w:rPr>
          <w:rStyle w:val="indexentry"/>
        </w:rPr>
        <w:t>&lt;lx "fe'u"&gt;</w:t>
      </w:r>
      <w:r>
        <w:rPr>
          <w:rStyle w:val="indexentry"/>
        </w:rPr>
        <w:fldChar w:fldCharType="begin"/>
      </w:r>
      <w:r>
        <w:instrText>xe "</w:instrText>
      </w:r>
      <w:r>
        <w:rPr>
          <w:rStyle w:val="xeentry"/>
        </w:rPr>
        <w:instrText>fe'u</w:instrText>
      </w:r>
      <w:r>
        <w:instrText>"</w:instrText>
      </w:r>
      <w:r>
        <w:rPr>
          <w:rStyle w:val="indexentry"/>
        </w:rPr>
        <w:fldChar w:fldCharType="end"/>
      </w:r>
      <w:r>
        <w:rPr>
          <w:rStyle w:val="indexentry"/>
        </w:rPr>
        <w:t>&lt;lx "FEhU"&gt;</w:t>
      </w:r>
      <w:r>
        <w:rPr>
          <w:rStyle w:val="indexentry"/>
        </w:rPr>
        <w:fldChar w:fldCharType="begin"/>
      </w:r>
      <w:r>
        <w:instrText>xe "</w:instrText>
      </w:r>
      <w:r>
        <w:rPr>
          <w:rStyle w:val="xeentry"/>
        </w:rPr>
        <w:instrText>FEhU selma’o</w:instrText>
      </w:r>
      <w:r>
        <w:instrText>"</w:instrText>
      </w:r>
      <w:r>
        <w:rPr>
          <w:rStyle w:val="indexentry"/>
        </w:rPr>
        <w:fldChar w:fldCharType="end"/>
      </w:r>
      <w:r>
        <w:t>Suppose, however, that you are blind in one eye and are talking to someone</w:t>
      </w:r>
      <w:r>
        <w:rPr>
          <w:rStyle w:val="deletedparamark"/>
        </w:rPr>
        <w:t xml:space="preserve"> </w:t>
      </w:r>
      <w:r>
        <w:t>who doesn't know that. You might want to say, “I see you with the left</w:t>
      </w:r>
      <w:r>
        <w:rPr>
          <w:rStyle w:val="deletedparamark"/>
        </w:rPr>
        <w:t xml:space="preserve"> </w:t>
      </w:r>
      <w:r>
        <w:t>eye.” There is no place in the place structure of “viska” such as “with</w:t>
      </w:r>
      <w:r>
        <w:rPr>
          <w:rStyle w:val="deletedparamark"/>
        </w:rPr>
        <w:t xml:space="preserve"> </w:t>
      </w:r>
      <w:r>
        <w:t>eye x4” or the like. Lojban al</w:t>
      </w:r>
      <w:r>
        <w:softHyphen/>
        <w:t>lows you to solve the problem by adding</w:t>
      </w:r>
      <w:r>
        <w:rPr>
          <w:rStyle w:val="deletedparamark"/>
        </w:rPr>
        <w:t xml:space="preserve"> </w:t>
      </w:r>
      <w:r>
        <w:t>a new place, changing the relationship:</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mi viska do fi'o kanla [fe'u] le zunle</w:t>
      </w:r>
    </w:p>
    <w:p w:rsidR="00B72047" w:rsidRDefault="00B72047">
      <w:pPr>
        <w:pStyle w:val="examplescaled"/>
      </w:pPr>
      <w:r>
        <w:tab/>
        <w:t>I see you [modal] eye:  the left-thing</w:t>
      </w:r>
    </w:p>
    <w:p w:rsidR="00B72047" w:rsidRDefault="00B72047">
      <w:pPr>
        <w:pStyle w:val="examplescaled"/>
      </w:pPr>
      <w:r>
        <w:tab/>
        <w:t>I see you with the left eye.</w:t>
      </w:r>
    </w:p>
    <w:p w:rsidR="00B72047" w:rsidRDefault="00B72047">
      <w:pPr>
        <w:pStyle w:val="resumedafterexample"/>
      </w:pPr>
      <w:r>
        <w:rPr>
          <w:rStyle w:val="htmlcodes"/>
        </w:rPr>
        <w:t>&lt;/pre&gt;</w:t>
      </w:r>
      <w:r>
        <w:rPr>
          <w:rStyle w:val="indexentry"/>
        </w:rPr>
        <w:t>&lt;cx "fi'o, effect on following selbri"&gt;</w:t>
      </w:r>
      <w:r>
        <w:rPr>
          <w:rStyle w:val="indexentry"/>
        </w:rPr>
        <w:fldChar w:fldCharType="begin"/>
      </w:r>
      <w:r>
        <w:instrText>xe "</w:instrText>
      </w:r>
      <w:r>
        <w:rPr>
          <w:rStyle w:val="xeentry"/>
        </w:rPr>
        <w:instrText>fi'o: effect on following selbri</w:instrText>
      </w:r>
      <w:r>
        <w:instrText>"</w:instrText>
      </w:r>
      <w:r>
        <w:rPr>
          <w:rStyle w:val="indexentry"/>
        </w:rPr>
        <w:fldChar w:fldCharType="end"/>
      </w:r>
      <w:r>
        <w:rPr>
          <w:rStyle w:val="indexentry"/>
        </w:rPr>
        <w:t>&lt;cx "modal tag, fi'o with selbri as"&gt;</w:t>
      </w:r>
      <w:r>
        <w:rPr>
          <w:rStyle w:val="indexentry"/>
        </w:rPr>
        <w:fldChar w:fldCharType="begin"/>
      </w:r>
      <w:r>
        <w:instrText>xe "</w:instrText>
      </w:r>
      <w:r>
        <w:rPr>
          <w:rStyle w:val="xeentry"/>
        </w:rPr>
        <w:instrText>modal tag: fi'o with selbri as</w:instrText>
      </w:r>
      <w:r>
        <w:instrText>"</w:instrText>
      </w:r>
      <w:r>
        <w:rPr>
          <w:rStyle w:val="indexentry"/>
        </w:rPr>
        <w:fldChar w:fldCharType="end"/>
      </w:r>
      <w:r>
        <w:rPr>
          <w:rStyle w:val="indexentry"/>
        </w:rPr>
        <w:t>&lt;cx "fi'o with selbri, meaning of"&gt;</w:t>
      </w:r>
      <w:r>
        <w:rPr>
          <w:rStyle w:val="indexentry"/>
        </w:rPr>
        <w:fldChar w:fldCharType="begin"/>
      </w:r>
      <w:r>
        <w:instrText>xe "</w:instrText>
      </w:r>
      <w:r>
        <w:rPr>
          <w:rStyle w:val="xeentry"/>
        </w:rPr>
        <w:instrText>fi'o with selbri: meaning of</w:instrText>
      </w:r>
      <w:r>
        <w:instrText>"</w:instrText>
      </w:r>
      <w:r>
        <w:rPr>
          <w:rStyle w:val="indexentry"/>
        </w:rPr>
        <w:fldChar w:fldCharType="end"/>
      </w:r>
      <w:r>
        <w:t>The three-place relation “viska” has now acquired a fourth place specifying</w:t>
      </w:r>
      <w:r>
        <w:rPr>
          <w:rStyle w:val="deletedparamark"/>
        </w:rPr>
        <w:t xml:space="preserve"> </w:t>
      </w:r>
      <w:r>
        <w:t>the eye used for seeing. The combination of the cmavo “fi'o” (of selma'o</w:t>
      </w:r>
      <w:r>
        <w:rPr>
          <w:rStyle w:val="deletedparamark"/>
        </w:rPr>
        <w:t xml:space="preserve"> </w:t>
      </w:r>
      <w:r>
        <w:t>FIhO) followed by a selbri, in this case the gismu “kanla”, forms a tag</w:t>
      </w:r>
      <w:r>
        <w:rPr>
          <w:rStyle w:val="deletedparamark"/>
        </w:rPr>
        <w:t xml:space="preserve"> </w:t>
      </w:r>
      <w:r>
        <w:t>which is prefixed to the sumti filling the new place, namely “le zunle”.</w:t>
      </w:r>
      <w:r>
        <w:rPr>
          <w:rStyle w:val="deletedparamark"/>
        </w:rPr>
        <w:t xml:space="preserve"> </w:t>
      </w:r>
      <w:r>
        <w:t>The semantics of “fi'o kanla le zunle” is that “le zunle” fills the x1</w:t>
      </w:r>
      <w:r>
        <w:rPr>
          <w:rStyle w:val="deletedparamark"/>
        </w:rPr>
        <w:t xml:space="preserve"> </w:t>
      </w:r>
      <w:r>
        <w:t>place of “kanla”, whose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kanla:  x1 is an/the eye of body x2</w:t>
      </w:r>
    </w:p>
    <w:p w:rsidR="00B72047" w:rsidRDefault="00B72047">
      <w:pPr>
        <w:pStyle w:val="resumedafterexample"/>
      </w:pPr>
      <w:r>
        <w:rPr>
          <w:rStyle w:val="htmlcodes"/>
        </w:rPr>
        <w:t>&lt;/dl&gt;</w:t>
      </w:r>
      <w:r>
        <w:rPr>
          <w:rStyle w:val="indexentry"/>
        </w:rPr>
        <w:t>&lt;cx "modal place, relation of to selbri"&gt;</w:t>
      </w:r>
      <w:r>
        <w:rPr>
          <w:rStyle w:val="indexentry"/>
        </w:rPr>
        <w:fldChar w:fldCharType="begin"/>
      </w:r>
      <w:r>
        <w:instrText>xe "</w:instrText>
      </w:r>
      <w:r>
        <w:rPr>
          <w:rStyle w:val="xeentry"/>
        </w:rPr>
        <w:instrText>modal place: relation of to selbri</w:instrText>
      </w:r>
      <w:r>
        <w:instrText>"</w:instrText>
      </w:r>
      <w:r>
        <w:rPr>
          <w:rStyle w:val="indexentry"/>
        </w:rPr>
        <w:fldChar w:fldCharType="end"/>
      </w:r>
      <w:r>
        <w:rPr>
          <w:rStyle w:val="indexentry"/>
        </w:rPr>
        <w:t>&lt;cx "fi'o tag, relation of modal sumti following to selbri"&gt;</w:t>
      </w:r>
      <w:r>
        <w:rPr>
          <w:rStyle w:val="indexentry"/>
        </w:rPr>
        <w:fldChar w:fldCharType="begin"/>
      </w:r>
      <w:r>
        <w:instrText>xe "</w:instrText>
      </w:r>
      <w:r>
        <w:rPr>
          <w:rStyle w:val="xeentry"/>
        </w:rPr>
        <w:instrText>fi'o tag: relation of modal sumti following to selbri</w:instrText>
      </w:r>
      <w:r>
        <w:instrText>"</w:instrText>
      </w:r>
      <w:r>
        <w:rPr>
          <w:rStyle w:val="indexentry"/>
        </w:rPr>
        <w:fldChar w:fldCharType="end"/>
      </w:r>
      <w:r>
        <w:rPr>
          <w:rStyle w:val="indexentry"/>
        </w:rPr>
        <w:t>&lt;cx "modal place relation, importance of first place in"&gt;</w:t>
      </w:r>
      <w:r>
        <w:rPr>
          <w:rStyle w:val="indexentry"/>
        </w:rPr>
        <w:fldChar w:fldCharType="begin"/>
      </w:r>
      <w:r>
        <w:instrText>xe "</w:instrText>
      </w:r>
      <w:r>
        <w:rPr>
          <w:rStyle w:val="xeentry"/>
        </w:rPr>
        <w:instrText>modal place relation: importance of first place in</w:instrText>
      </w:r>
      <w:r>
        <w:instrText>"</w:instrText>
      </w:r>
      <w:r>
        <w:rPr>
          <w:rStyle w:val="indexentry"/>
        </w:rPr>
        <w:fldChar w:fldCharType="end"/>
      </w:r>
      <w:r>
        <w:rPr>
          <w:rStyle w:val="indexentry"/>
        </w:rPr>
        <w:t>&lt;cx "modal sumti, as first place of modal tag selbri"&gt;</w:t>
      </w:r>
      <w:r>
        <w:rPr>
          <w:rStyle w:val="indexentry"/>
        </w:rPr>
        <w:fldChar w:fldCharType="begin"/>
      </w:r>
      <w:r>
        <w:instrText>xe "</w:instrText>
      </w:r>
      <w:r>
        <w:rPr>
          <w:rStyle w:val="xeentry"/>
        </w:rPr>
        <w:instrText>modal sumti: as first place of modal tag selbri</w:instrText>
      </w:r>
      <w:r>
        <w:instrText>"</w:instrText>
      </w:r>
      <w:r>
        <w:rPr>
          <w:rStyle w:val="indexentry"/>
        </w:rPr>
        <w:fldChar w:fldCharType="end"/>
      </w:r>
      <w:r>
        <w:t>Thus “le zunle” is an eye. The x2 place of “kanla” is unspecified and must</w:t>
      </w:r>
      <w:r>
        <w:rPr>
          <w:rStyle w:val="deletedparamark"/>
        </w:rPr>
        <w:t xml:space="preserve"> </w:t>
      </w:r>
      <w:r>
        <w:t>be inferred from the context. It is important to remember that even though</w:t>
      </w:r>
      <w:r>
        <w:rPr>
          <w:rStyle w:val="deletedparamark"/>
        </w:rPr>
        <w:t xml:space="preserve"> “</w:t>
      </w:r>
      <w:r>
        <w:t>le zunle” is placed fol</w:t>
      </w:r>
      <w:r>
        <w:softHyphen/>
        <w:t>lowing “fi'o kanla”, semantically it belongs in the</w:t>
      </w:r>
      <w:r>
        <w:rPr>
          <w:rStyle w:val="deletedparamark"/>
        </w:rPr>
        <w:t xml:space="preserve"> </w:t>
      </w:r>
      <w:r>
        <w:t>x1 place of “kanla”. The selbri may be terminated with “fe'u” (of selma'o</w:t>
      </w:r>
      <w:r>
        <w:rPr>
          <w:rStyle w:val="deletedparamark"/>
        </w:rPr>
        <w:t xml:space="preserve"> </w:t>
      </w:r>
      <w:r>
        <w:t>FEhU), an elidable terminator which is rarely re</w:t>
      </w:r>
      <w:r>
        <w:softHyphen/>
        <w:t>quired unless a non-logical</w:t>
      </w:r>
      <w:r>
        <w:rPr>
          <w:rStyle w:val="deletedparamark"/>
        </w:rPr>
        <w:t xml:space="preserve"> </w:t>
      </w:r>
      <w:r>
        <w:t>connective follows the tag (omitting “fe'u” in that case would make the</w:t>
      </w:r>
      <w:r>
        <w:rPr>
          <w:rStyle w:val="deletedparamark"/>
        </w:rPr>
        <w:t xml:space="preserve"> </w:t>
      </w:r>
      <w:r>
        <w:t>connective affect the selbri).</w:t>
      </w:r>
    </w:p>
    <w:p w:rsidR="00B72047" w:rsidRDefault="00B72047">
      <w:pPr>
        <w:rPr>
          <w:rStyle w:val="htmlparacode"/>
        </w:rPr>
      </w:pPr>
      <w:r>
        <w:rPr>
          <w:rStyle w:val="htmlparacode"/>
        </w:rPr>
        <w:t>&lt;p&gt;</w:t>
      </w:r>
    </w:p>
    <w:p w:rsidR="00B72047" w:rsidRDefault="00B72047">
      <w:pPr>
        <w:pStyle w:val="normalparagraph"/>
      </w:pPr>
      <w:r>
        <w:rPr>
          <w:rStyle w:val="indexentry"/>
        </w:rPr>
        <w:t>&lt;cx "modal place, definition"&gt;</w:t>
      </w:r>
      <w:r>
        <w:rPr>
          <w:rStyle w:val="indexentry"/>
        </w:rPr>
        <w:fldChar w:fldCharType="begin"/>
      </w:r>
      <w:r>
        <w:instrText>xe "</w:instrText>
      </w:r>
      <w:r>
        <w:rPr>
          <w:rStyle w:val="xeentry"/>
        </w:rPr>
        <w:instrText>modal place: definition</w:instrText>
      </w:r>
      <w:r>
        <w:instrText>"</w:instrText>
      </w:r>
      <w:r>
        <w:rPr>
          <w:rStyle w:val="indexentry"/>
        </w:rPr>
        <w:fldChar w:fldCharType="end"/>
      </w:r>
      <w:r>
        <w:rPr>
          <w:rStyle w:val="indexentry"/>
        </w:rPr>
        <w:t>&lt;cx "modal place, rationale for term name"&gt;</w:t>
      </w:r>
      <w:r>
        <w:rPr>
          <w:rStyle w:val="indexentry"/>
        </w:rPr>
        <w:fldChar w:fldCharType="begin"/>
      </w:r>
      <w:r>
        <w:instrText>xe "</w:instrText>
      </w:r>
      <w:r>
        <w:rPr>
          <w:rStyle w:val="xeentry"/>
        </w:rPr>
        <w:instrText>modal place: rationale for term name</w:instrText>
      </w:r>
      <w:r>
        <w:instrText>"</w:instrText>
      </w:r>
      <w:r>
        <w:rPr>
          <w:rStyle w:val="indexentry"/>
        </w:rPr>
        <w:fldChar w:fldCharType="end"/>
      </w:r>
      <w:r>
        <w:rPr>
          <w:rStyle w:val="indexentry"/>
        </w:rPr>
        <w:t>&lt;cx "modal tag, definition (see also sumti tcita)"&gt;</w:t>
      </w:r>
      <w:r>
        <w:rPr>
          <w:rStyle w:val="indexentry"/>
        </w:rPr>
        <w:fldChar w:fldCharType="begin"/>
      </w:r>
      <w:r>
        <w:instrText>xe "</w:instrText>
      </w:r>
      <w:r>
        <w:rPr>
          <w:rStyle w:val="xeentry"/>
        </w:rPr>
        <w:instrText>modal tag: definition (see also sumti tcita)</w:instrText>
      </w:r>
      <w:r>
        <w:instrText>"</w:instrText>
      </w:r>
      <w:r>
        <w:rPr>
          <w:rStyle w:val="indexentry"/>
        </w:rPr>
        <w:fldChar w:fldCharType="end"/>
      </w:r>
      <w:r>
        <w:rPr>
          <w:rStyle w:val="indexentry"/>
        </w:rPr>
        <w:t>&lt;cx "modal sumti, definition (see also seltcita sumti)"&gt;</w:t>
      </w:r>
      <w:r>
        <w:rPr>
          <w:rStyle w:val="indexentry"/>
        </w:rPr>
        <w:fldChar w:fldCharType="begin"/>
      </w:r>
      <w:r>
        <w:instrText>xe "</w:instrText>
      </w:r>
      <w:r>
        <w:rPr>
          <w:rStyle w:val="xeentry"/>
        </w:rPr>
        <w:instrText>modal sumti: definition (see also seltcita sumti)</w:instrText>
      </w:r>
      <w:r>
        <w:instrText>"</w:instrText>
      </w:r>
      <w:r>
        <w:rPr>
          <w:rStyle w:val="indexentry"/>
        </w:rPr>
        <w:fldChar w:fldCharType="end"/>
      </w:r>
      <w:r>
        <w:rPr>
          <w:rStyle w:val="indexentry"/>
        </w:rPr>
        <w:t>&lt;cx "sumti tcita, definition (see also modal tag)"&gt;</w:t>
      </w:r>
      <w:r>
        <w:rPr>
          <w:rStyle w:val="indexentry"/>
        </w:rPr>
        <w:fldChar w:fldCharType="begin"/>
      </w:r>
      <w:r>
        <w:instrText>xe "</w:instrText>
      </w:r>
      <w:r>
        <w:rPr>
          <w:rStyle w:val="xeentry"/>
        </w:rPr>
        <w:instrText>sumti tcita: definition (see also modal tag)</w:instrText>
      </w:r>
      <w:r>
        <w:instrText>"</w:instrText>
      </w:r>
      <w:r>
        <w:rPr>
          <w:rStyle w:val="indexentry"/>
        </w:rPr>
        <w:fldChar w:fldCharType="end"/>
      </w:r>
      <w:r>
        <w:rPr>
          <w:rStyle w:val="indexentry"/>
        </w:rPr>
        <w:t>&lt;cx "seltcita sumti, definition (see also modal sumti)"&gt;</w:t>
      </w:r>
      <w:r>
        <w:rPr>
          <w:rStyle w:val="indexentry"/>
        </w:rPr>
        <w:fldChar w:fldCharType="begin"/>
      </w:r>
      <w:r>
        <w:instrText>xe "</w:instrText>
      </w:r>
      <w:r>
        <w:rPr>
          <w:rStyle w:val="xeentry"/>
        </w:rPr>
        <w:instrText>seltcita sumti: definition (see also modal sumti)</w:instrText>
      </w:r>
      <w:r>
        <w:instrText>"</w:instrText>
      </w:r>
      <w:r>
        <w:rPr>
          <w:rStyle w:val="indexentry"/>
        </w:rPr>
        <w:fldChar w:fldCharType="end"/>
      </w:r>
      <w:r>
        <w:rPr>
          <w:rStyle w:val="indexentry"/>
        </w:rPr>
        <w:t>&lt;cx "modal sumti, position in bridi"&gt;</w:t>
      </w:r>
      <w:r>
        <w:rPr>
          <w:rStyle w:val="indexentry"/>
        </w:rPr>
        <w:fldChar w:fldCharType="begin"/>
      </w:r>
      <w:r>
        <w:instrText>xe "</w:instrText>
      </w:r>
      <w:r>
        <w:rPr>
          <w:rStyle w:val="xeentry"/>
        </w:rPr>
        <w:instrText>modal sumti: position in bridi</w:instrText>
      </w:r>
      <w:r>
        <w:instrText>"</w:instrText>
      </w:r>
      <w:r>
        <w:rPr>
          <w:rStyle w:val="indexentry"/>
        </w:rPr>
        <w:fldChar w:fldCharType="end"/>
      </w:r>
      <w:r>
        <w:rPr>
          <w:rStyle w:val="indexentry"/>
        </w:rPr>
        <w:t>&lt;cx "modal sumti, effect on place structure"&gt;</w:t>
      </w:r>
      <w:r>
        <w:rPr>
          <w:rStyle w:val="indexentry"/>
        </w:rPr>
        <w:fldChar w:fldCharType="begin"/>
      </w:r>
      <w:r>
        <w:instrText>xe "</w:instrText>
      </w:r>
      <w:r>
        <w:rPr>
          <w:rStyle w:val="xeentry"/>
        </w:rPr>
        <w:instrText>modal sumti: effect on place structure</w:instrText>
      </w:r>
      <w:r>
        <w:instrText>"</w:instrText>
      </w:r>
      <w:r>
        <w:rPr>
          <w:rStyle w:val="indexentry"/>
        </w:rPr>
        <w:fldChar w:fldCharType="end"/>
      </w:r>
      <w:r>
        <w:rPr>
          <w:rStyle w:val="indexentry"/>
        </w:rPr>
        <w:t>&lt;cx "modal sumti, and FA marking"&gt;</w:t>
      </w:r>
      <w:r>
        <w:rPr>
          <w:rStyle w:val="indexentry"/>
        </w:rPr>
        <w:fldChar w:fldCharType="begin"/>
      </w:r>
      <w:r>
        <w:instrText>xe "</w:instrText>
      </w:r>
      <w:r>
        <w:rPr>
          <w:rStyle w:val="xeentry"/>
        </w:rPr>
        <w:instrText>modal sumti: and FA marking</w:instrText>
      </w:r>
      <w:r>
        <w:instrText>"</w:instrText>
      </w:r>
      <w:r>
        <w:rPr>
          <w:rStyle w:val="indexentry"/>
        </w:rPr>
        <w:fldChar w:fldCharType="end"/>
      </w:r>
      <w:r>
        <w:t>The term for such an added place is a “modal place”, as dis</w:t>
      </w:r>
      <w:r>
        <w:softHyphen/>
        <w:t>tinguished</w:t>
      </w:r>
      <w:r>
        <w:rPr>
          <w:rStyle w:val="deletedparamark"/>
        </w:rPr>
        <w:t xml:space="preserve"> </w:t>
      </w:r>
      <w:r>
        <w:t>from the reg</w:t>
      </w:r>
      <w:r>
        <w:t>u</w:t>
      </w:r>
      <w:r>
        <w:softHyphen/>
        <w:t>lar numbered places. (This use of the word “modal” is specific</w:t>
      </w:r>
      <w:r>
        <w:rPr>
          <w:rStyle w:val="deletedparamark"/>
        </w:rPr>
        <w:t xml:space="preserve"> </w:t>
      </w:r>
      <w:r>
        <w:t>to the Loglan Proj</w:t>
      </w:r>
      <w:r>
        <w:softHyphen/>
      </w:r>
      <w:r>
        <w:t>ect, and does not agree with the standard uses in either</w:t>
      </w:r>
      <w:r>
        <w:rPr>
          <w:rStyle w:val="deletedparamark"/>
        </w:rPr>
        <w:t xml:space="preserve"> </w:t>
      </w:r>
      <w:r>
        <w:t>logic or linguistics, but is now too e</w:t>
      </w:r>
      <w:r>
        <w:t>n</w:t>
      </w:r>
      <w:r>
        <w:softHyphen/>
        <w:t>trenched to change easily.) The</w:t>
      </w:r>
      <w:r>
        <w:rPr>
          <w:rStyle w:val="deletedparamark"/>
        </w:rPr>
        <w:t xml:space="preserve"> “</w:t>
      </w:r>
      <w:r>
        <w:t>fi'o” construction marking a modal place is called a “modal tag”, and the</w:t>
      </w:r>
      <w:r>
        <w:rPr>
          <w:rStyle w:val="deletedparamark"/>
        </w:rPr>
        <w:t xml:space="preserve"> </w:t>
      </w:r>
      <w:r>
        <w:t>sumti which follows it a “modal sumti”; the purely Loj</w:t>
      </w:r>
      <w:r>
        <w:softHyphen/>
        <w:t>ban terms “sumti tcita”</w:t>
      </w:r>
      <w:r>
        <w:rPr>
          <w:rStyle w:val="deletedparamark"/>
        </w:rPr>
        <w:t xml:space="preserve"> </w:t>
      </w:r>
      <w:r>
        <w:t>and “seltcita sumti”, respectively, are also commonly used. Modal sumti may</w:t>
      </w:r>
      <w:r>
        <w:rPr>
          <w:rStyle w:val="deletedparamark"/>
        </w:rPr>
        <w:t xml:space="preserve"> </w:t>
      </w:r>
      <w:r>
        <w:t>be placed anywhere within the bridi, in any order; they have no effect</w:t>
      </w:r>
      <w:r>
        <w:rPr>
          <w:rStyle w:val="deletedparamark"/>
        </w:rPr>
        <w:t xml:space="preserve"> </w:t>
      </w:r>
      <w:r>
        <w:t>whatever on the rules for assigning unmarked bridi to numbered places, and</w:t>
      </w:r>
      <w:r>
        <w:rPr>
          <w:rStyle w:val="deletedparamark"/>
        </w:rPr>
        <w:t xml:space="preserve"> </w:t>
      </w:r>
      <w:r>
        <w:t>they may not be marked with FA cmavo.</w:t>
      </w:r>
    </w:p>
    <w:p w:rsidR="00B72047" w:rsidRDefault="00B72047">
      <w:pPr>
        <w:rPr>
          <w:rStyle w:val="htmlparacode"/>
        </w:rPr>
      </w:pPr>
      <w:r>
        <w:rPr>
          <w:rStyle w:val="htmlparacode"/>
        </w:rPr>
        <w:t>&lt;p&gt;</w:t>
      </w:r>
    </w:p>
    <w:p w:rsidR="00B72047" w:rsidRDefault="00B72047">
      <w:pPr>
        <w:pStyle w:val="normalparagraph"/>
      </w:pPr>
      <w:r>
        <w:t xml:space="preserve">Consider </w:t>
      </w:r>
      <w:r>
        <w:rPr>
          <w:rStyle w:val="htmlcodes"/>
        </w:rPr>
        <w:t>&lt;a href=#e5d1&gt;</w:t>
      </w:r>
      <w:r>
        <w:t xml:space="preserve">Example 5.1 </w:t>
      </w:r>
      <w:r>
        <w:rPr>
          <w:rStyle w:val="htmlcodes"/>
        </w:rPr>
        <w:t>&lt;/a&gt;</w:t>
      </w:r>
      <w:r>
        <w:t>again. Another way to view the situa</w:t>
      </w:r>
      <w:r>
        <w:softHyphen/>
        <w:t>tion is to</w:t>
      </w:r>
      <w:r>
        <w:rPr>
          <w:rStyle w:val="deletedparamark"/>
        </w:rPr>
        <w:t xml:space="preserve"> </w:t>
      </w:r>
      <w:r>
        <w:t>consider the speaker's left eye as a tool, a tool for seeing. The</w:t>
      </w:r>
      <w:r>
        <w:rPr>
          <w:rStyle w:val="deletedparamark"/>
        </w:rPr>
        <w:t xml:space="preserve"> </w:t>
      </w:r>
      <w:r>
        <w:t>relevant selbri then becomes “pilno”, whose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pilno:  x1 uses x2 as a tool for purpose x3</w:t>
      </w:r>
    </w:p>
    <w:p w:rsidR="00B72047" w:rsidRDefault="00B72047">
      <w:pPr>
        <w:pStyle w:val="resumedafterexample"/>
      </w:pPr>
      <w:r>
        <w:rPr>
          <w:rStyle w:val="htmlcodes"/>
        </w:rPr>
        <w:t>&lt;/dl&gt;</w:t>
      </w:r>
      <w:r>
        <w:t xml:space="preserve">and we can rewrite </w:t>
      </w:r>
      <w:r>
        <w:rPr>
          <w:rStyle w:val="htmlcodes"/>
        </w:rPr>
        <w:t>&lt;a href=#e5d1&gt;</w:t>
      </w:r>
      <w:r>
        <w:t xml:space="preserve">Example 5.1 </w:t>
      </w:r>
      <w:r>
        <w:rPr>
          <w:rStyle w:val="htmlcodes"/>
        </w:rPr>
        <w:t>&lt;/a&gt;</w:t>
      </w:r>
      <w:r>
        <w:t>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mi viska do fi'o se pilno le zunle kanla</w:t>
      </w:r>
    </w:p>
    <w:p w:rsidR="00B72047" w:rsidRDefault="00B72047">
      <w:pPr>
        <w:pStyle w:val="examplescaled"/>
      </w:pPr>
      <w:r>
        <w:tab/>
        <w:t>I see you [modal] [conversion] use:  the left eye</w:t>
      </w:r>
    </w:p>
    <w:p w:rsidR="00B72047" w:rsidRDefault="00B72047">
      <w:pPr>
        <w:pStyle w:val="examplescaled"/>
      </w:pPr>
      <w:r>
        <w:tab/>
        <w:t>I see you using my left eye.</w:t>
      </w:r>
    </w:p>
    <w:p w:rsidR="00B72047" w:rsidRDefault="00B72047">
      <w:pPr>
        <w:pStyle w:val="resumedafterexample"/>
      </w:pPr>
      <w:r>
        <w:rPr>
          <w:rStyle w:val="htmlcodes"/>
        </w:rPr>
        <w:t>&lt;/pre&gt;&lt;p&gt;</w:t>
      </w:r>
      <w:r>
        <w:t>Here the selbri belonging to the modal is “se pilno”. The conversion</w:t>
      </w:r>
      <w:r>
        <w:rPr>
          <w:rStyle w:val="deletedparamark"/>
        </w:rPr>
        <w:t xml:space="preserve"> </w:t>
      </w:r>
      <w:r>
        <w:t>of “pilno” is nec</w:t>
      </w:r>
      <w:r>
        <w:softHyphen/>
        <w:t>essary in order to get the “tool” place into x1, since</w:t>
      </w:r>
      <w:r>
        <w:rPr>
          <w:rStyle w:val="deletedparamark"/>
        </w:rPr>
        <w:t xml:space="preserve"> </w:t>
      </w:r>
      <w:r>
        <w:t>only x1 can be the modal sumti. The “tool user” place is the x2 of</w:t>
      </w:r>
      <w:r>
        <w:rPr>
          <w:rStyle w:val="deletedparamark"/>
        </w:rPr>
        <w:t xml:space="preserve"> “</w:t>
      </w:r>
      <w:r>
        <w:t>se pilno” (because it is the x1 of “pilno”) and re</w:t>
      </w:r>
      <w:r>
        <w:softHyphen/>
        <w:t>mains u</w:t>
      </w:r>
      <w:r>
        <w:t>n</w:t>
      </w:r>
      <w:r>
        <w:softHyphen/>
        <w:t>specified.</w:t>
      </w:r>
      <w:r>
        <w:rPr>
          <w:rStyle w:val="deletedparamark"/>
        </w:rPr>
        <w:t xml:space="preserve"> </w:t>
      </w:r>
      <w:r>
        <w:t>The tag “fi'o pilno” would mean “with tool user”, leaving the tool</w:t>
      </w:r>
      <w:r>
        <w:rPr>
          <w:rStyle w:val="deletedparamark"/>
        </w:rPr>
        <w:t xml:space="preserve"> </w:t>
      </w:r>
      <w:r>
        <w:t>unspeci</w:t>
      </w:r>
      <w:r>
        <w:softHyphen/>
        <w:t>fied.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315" w:name="_Toc398970561"/>
      <w:r>
        <w:rPr>
          <w:rStyle w:val="Heading3Text"/>
        </w:rPr>
        <w:t>Modal tags: BAI</w:t>
      </w:r>
      <w:bookmarkEnd w:id="315"/>
      <w:r>
        <w:rPr>
          <w:rStyle w:val="htmlcodes"/>
        </w:rPr>
        <w:t>&lt;/h3&gt;</w:t>
      </w:r>
    </w:p>
    <w:p w:rsidR="00B72047" w:rsidRDefault="00B72047">
      <w:pPr>
        <w:rPr>
          <w:rStyle w:val="htmlparacode"/>
        </w:rPr>
      </w:pPr>
      <w:r>
        <w:rPr>
          <w:rStyle w:val="htmlparacode"/>
        </w:rPr>
        <w:t>&lt;p&gt;</w:t>
      </w:r>
    </w:p>
    <w:p w:rsidR="00B72047" w:rsidRDefault="00B72047">
      <w:pPr>
        <w:pStyle w:val="normalparagraph"/>
      </w:pPr>
      <w:r>
        <w:t>There are certain selbri which seem particularly useful in constructing</w:t>
      </w:r>
      <w:r>
        <w:rPr>
          <w:rStyle w:val="deletedparamark"/>
        </w:rPr>
        <w:t xml:space="preserve"> </w:t>
      </w:r>
      <w:r>
        <w:t>modal tags. In particular, “pilno” is one of them. The place structure</w:t>
      </w:r>
      <w:r>
        <w:rPr>
          <w:rStyle w:val="deletedparamark"/>
        </w:rPr>
        <w:t xml:space="preserve"> </w:t>
      </w:r>
      <w:r>
        <w:t>of “pilno”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t>pilno:  x1 uses x2 as a tool for purpose x3</w:t>
      </w:r>
    </w:p>
    <w:p w:rsidR="00B72047" w:rsidRDefault="00B72047">
      <w:pPr>
        <w:pStyle w:val="resumedafterexample"/>
      </w:pPr>
      <w:r>
        <w:rPr>
          <w:rStyle w:val="htmlcodes"/>
        </w:rPr>
        <w:t>&lt;/dl&gt;</w:t>
      </w:r>
      <w:r>
        <w:rPr>
          <w:rStyle w:val="indexentry"/>
        </w:rPr>
        <w:t>&lt;lx "sepi'o"&gt;</w:t>
      </w:r>
      <w:r>
        <w:rPr>
          <w:rStyle w:val="indexentry"/>
        </w:rPr>
        <w:fldChar w:fldCharType="begin"/>
      </w:r>
      <w:r>
        <w:instrText>xe "</w:instrText>
      </w:r>
      <w:r>
        <w:rPr>
          <w:rStyle w:val="xeentry"/>
        </w:rPr>
        <w:instrText>sepi'o</w:instrText>
      </w:r>
      <w:r>
        <w:instrText>"</w:instrText>
      </w:r>
      <w:r>
        <w:rPr>
          <w:rStyle w:val="indexentry"/>
        </w:rPr>
        <w:fldChar w:fldCharType="end"/>
      </w:r>
      <w:r>
        <w:rPr>
          <w:rStyle w:val="indexentry"/>
        </w:rPr>
        <w:t>&lt;cx "BAI modal tags, rationale for"&gt;</w:t>
      </w:r>
      <w:r>
        <w:rPr>
          <w:rStyle w:val="indexentry"/>
        </w:rPr>
        <w:fldChar w:fldCharType="begin"/>
      </w:r>
      <w:r>
        <w:instrText>xe "</w:instrText>
      </w:r>
      <w:r>
        <w:rPr>
          <w:rStyle w:val="xeentry"/>
        </w:rPr>
        <w:instrText>BAI modal tags: rationale for</w:instrText>
      </w:r>
      <w:r>
        <w:instrText>"</w:instrText>
      </w:r>
      <w:r>
        <w:rPr>
          <w:rStyle w:val="indexentry"/>
        </w:rPr>
        <w:fldChar w:fldCharType="end"/>
      </w:r>
      <w:r>
        <w:t>and almost any selbri which represents an action may need to specify a tool.</w:t>
      </w:r>
      <w:r>
        <w:rPr>
          <w:rStyle w:val="deletedparamark"/>
        </w:rPr>
        <w:t xml:space="preserve"> </w:t>
      </w:r>
      <w:r>
        <w:t>Having to say “fi'o se pilno” frequently would make many Loj</w:t>
      </w:r>
      <w:r>
        <w:softHyphen/>
        <w:t>ban sentences</w:t>
      </w:r>
      <w:r>
        <w:rPr>
          <w:rStyle w:val="deletedparamark"/>
        </w:rPr>
        <w:t xml:space="preserve"> </w:t>
      </w:r>
      <w:r>
        <w:t>unnecessarily verbose and clunky, so an abbreviation is provided in the</w:t>
      </w:r>
      <w:r>
        <w:rPr>
          <w:rStyle w:val="deletedparamark"/>
        </w:rPr>
        <w:t xml:space="preserve"> </w:t>
      </w:r>
      <w:r>
        <w:t>language design: the compound cmavo “sepi'o”.</w:t>
      </w:r>
    </w:p>
    <w:p w:rsidR="00B72047" w:rsidRDefault="00B72047">
      <w:pPr>
        <w:rPr>
          <w:rStyle w:val="htmlparacode"/>
        </w:rPr>
      </w:pPr>
      <w:r>
        <w:rPr>
          <w:rStyle w:val="htmlparacode"/>
        </w:rPr>
        <w:t>&lt;p&gt;</w:t>
      </w:r>
    </w:p>
    <w:p w:rsidR="00B72047" w:rsidRDefault="00B72047">
      <w:pPr>
        <w:pStyle w:val="normalparagraph"/>
      </w:pPr>
      <w:r>
        <w:rPr>
          <w:rStyle w:val="indexentry"/>
        </w:rPr>
        <w:t>&lt;lx "pi'o"&gt;</w:t>
      </w:r>
      <w:r>
        <w:rPr>
          <w:rStyle w:val="indexentry"/>
        </w:rPr>
        <w:fldChar w:fldCharType="begin"/>
      </w:r>
      <w:r>
        <w:instrText>xe "</w:instrText>
      </w:r>
      <w:r>
        <w:rPr>
          <w:rStyle w:val="xeentry"/>
        </w:rPr>
        <w:instrText>pi'o</w:instrText>
      </w:r>
      <w:r>
        <w:instrText>"</w:instrText>
      </w:r>
      <w:r>
        <w:rPr>
          <w:rStyle w:val="indexentry"/>
        </w:rPr>
        <w:fldChar w:fldCharType="end"/>
      </w:r>
      <w:r>
        <w:rPr>
          <w:rStyle w:val="indexentry"/>
        </w:rPr>
        <w:t>&lt;lx "BAI"&gt;</w:t>
      </w:r>
      <w:r>
        <w:rPr>
          <w:rStyle w:val="indexentry"/>
        </w:rPr>
        <w:fldChar w:fldCharType="begin"/>
      </w:r>
      <w:r>
        <w:instrText>xe "</w:instrText>
      </w:r>
      <w:r>
        <w:rPr>
          <w:rStyle w:val="xeentry"/>
        </w:rPr>
        <w:instrText>BAI selma’o</w:instrText>
      </w:r>
      <w:r>
        <w:instrText>"</w:instrText>
      </w:r>
      <w:r>
        <w:rPr>
          <w:rStyle w:val="indexentry"/>
        </w:rPr>
        <w:fldChar w:fldCharType="end"/>
      </w:r>
      <w:r>
        <w:rPr>
          <w:rStyle w:val="indexentry"/>
        </w:rPr>
        <w:t>&lt;cx "BAI, as short forms for fi'o constructs"&gt;</w:t>
      </w:r>
      <w:r>
        <w:rPr>
          <w:rStyle w:val="indexentry"/>
        </w:rPr>
        <w:fldChar w:fldCharType="begin"/>
      </w:r>
      <w:r>
        <w:instrText>xe "</w:instrText>
      </w:r>
      <w:r>
        <w:rPr>
          <w:rStyle w:val="xeentry"/>
        </w:rPr>
        <w:instrText>BAI selma’o: as short forms for fi'o constructs</w:instrText>
      </w:r>
      <w:r>
        <w:instrText>"</w:instrText>
      </w:r>
      <w:r>
        <w:rPr>
          <w:rStyle w:val="indexentry"/>
        </w:rPr>
        <w:fldChar w:fldCharType="end"/>
      </w:r>
      <w:r>
        <w:rPr>
          <w:rStyle w:val="indexentry"/>
        </w:rPr>
        <w:t>&lt;cx "fi'o constructs, short forms as BAI cmavo"&gt;</w:t>
      </w:r>
      <w:r>
        <w:rPr>
          <w:rStyle w:val="indexentry"/>
        </w:rPr>
        <w:fldChar w:fldCharType="begin"/>
      </w:r>
      <w:r>
        <w:instrText>xe "</w:instrText>
      </w:r>
      <w:r>
        <w:rPr>
          <w:rStyle w:val="xeentry"/>
        </w:rPr>
        <w:instrText>fi'o constructs: short forms as BAI</w:instrText>
      </w:r>
      <w:r>
        <w:instrText>"</w:instrText>
      </w:r>
      <w:r>
        <w:rPr>
          <w:rStyle w:val="indexentry"/>
        </w:rPr>
        <w:fldChar w:fldCharType="end"/>
      </w:r>
      <w:r>
        <w:rPr>
          <w:rStyle w:val="indexentry"/>
        </w:rPr>
        <w:t>&lt;cx "modal tags, short forms as BAI cmavo"&gt;</w:t>
      </w:r>
      <w:r>
        <w:rPr>
          <w:rStyle w:val="indexentry"/>
        </w:rPr>
        <w:fldChar w:fldCharType="begin"/>
      </w:r>
      <w:r>
        <w:instrText>xe "</w:instrText>
      </w:r>
      <w:r>
        <w:rPr>
          <w:rStyle w:val="xeentry"/>
        </w:rPr>
        <w:instrText>modal tag: short form as BAI</w:instrText>
      </w:r>
      <w:r>
        <w:instrText>"</w:instrText>
      </w:r>
      <w:r>
        <w:rPr>
          <w:rStyle w:val="indexentry"/>
        </w:rPr>
        <w:fldChar w:fldCharType="end"/>
      </w:r>
      <w:r>
        <w:rPr>
          <w:rStyle w:val="indexentry"/>
        </w:rPr>
        <w:t>&lt;cx "conversion, of BAI cmavo"&gt;</w:t>
      </w:r>
      <w:r>
        <w:rPr>
          <w:rStyle w:val="indexentry"/>
        </w:rPr>
        <w:fldChar w:fldCharType="begin"/>
      </w:r>
      <w:r>
        <w:instrText>xe "</w:instrText>
      </w:r>
      <w:r>
        <w:rPr>
          <w:rStyle w:val="xeentry"/>
        </w:rPr>
        <w:instrText>conversion: of BAI</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t>Here “se” is used before a cmavo, namely “pi'o”, rather than before a brivla.</w:t>
      </w:r>
      <w:r>
        <w:rPr>
          <w:rStyle w:val="deletedparamark"/>
        </w:rPr>
        <w:t xml:space="preserve"> </w:t>
      </w:r>
      <w:r>
        <w:t>The meaning of this cmavo, which belongs to selma'o BAI, is exactly the same</w:t>
      </w:r>
      <w:r>
        <w:rPr>
          <w:rStyle w:val="deletedparamark"/>
        </w:rPr>
        <w:t xml:space="preserve"> </w:t>
      </w:r>
      <w:r>
        <w:t>as that of “fi'o pilno fe'u”. Since what we want is a tag based on</w:t>
      </w:r>
      <w:r>
        <w:rPr>
          <w:rStyle w:val="deletedparamark"/>
        </w:rPr>
        <w:t xml:space="preserve"> “</w:t>
      </w:r>
      <w:r>
        <w:t>se pilno” rather than “pilno” — the tool, not the tool user — the grammar</w:t>
      </w:r>
      <w:r>
        <w:rPr>
          <w:rStyle w:val="deletedparamark"/>
        </w:rPr>
        <w:t xml:space="preserve"> </w:t>
      </w:r>
      <w:r>
        <w:t xml:space="preserve">allows a BAI cmavo to be converted using a SE cmavo. </w:t>
      </w:r>
      <w:r>
        <w:rPr>
          <w:rStyle w:val="htmlcodes"/>
        </w:rPr>
        <w:t>&lt;a href=#e5d2&gt;</w:t>
      </w:r>
      <w:r>
        <w:t xml:space="preserve">Example 5.2 </w:t>
      </w:r>
      <w:r>
        <w:rPr>
          <w:rStyle w:val="htmlcodes"/>
        </w:rPr>
        <w:t>&lt;/a&gt;</w:t>
      </w:r>
      <w:r>
        <w:t>may</w:t>
      </w:r>
      <w:r>
        <w:rPr>
          <w:rStyle w:val="deletedparamark"/>
        </w:rPr>
        <w:t xml:space="preserve"> </w:t>
      </w:r>
      <w:r>
        <w:t>therefore be rewritten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mi viska do sepi'o le zunle kanla</w:t>
      </w:r>
    </w:p>
    <w:p w:rsidR="00B72047" w:rsidRDefault="00B72047">
      <w:pPr>
        <w:pStyle w:val="examplescaled"/>
      </w:pPr>
      <w:r>
        <w:tab/>
        <w:t>I see you with-tool:  the left eye</w:t>
      </w:r>
    </w:p>
    <w:p w:rsidR="00B72047" w:rsidRDefault="00B72047">
      <w:pPr>
        <w:pStyle w:val="examplescaled"/>
      </w:pPr>
      <w:r>
        <w:tab/>
        <w:t>I see you using my left eye.</w:t>
      </w:r>
    </w:p>
    <w:p w:rsidR="00B72047" w:rsidRDefault="00B72047">
      <w:pPr>
        <w:pStyle w:val="normalafterexample"/>
      </w:pPr>
      <w:r>
        <w:rPr>
          <w:rStyle w:val="htmlcodes"/>
        </w:rPr>
        <w:t>&lt;/pre&gt;&lt;p&gt;</w:t>
      </w:r>
      <w:r>
        <w:t>The compound cmavo “sepi'o” is much shorter than “fi'o se pilno [fe'u]”</w:t>
      </w:r>
      <w:r>
        <w:rPr>
          <w:rStyle w:val="deletedparamark"/>
        </w:rPr>
        <w:t xml:space="preserve"> </w:t>
      </w:r>
      <w:r>
        <w:t>and can be thought of as a single word meaning “with-tool”. The modal</w:t>
      </w:r>
      <w:r>
        <w:rPr>
          <w:rStyle w:val="deletedparamark"/>
        </w:rPr>
        <w:t xml:space="preserve"> </w:t>
      </w:r>
      <w:r>
        <w:t>tag “pi'o”, with no “se”, similarly means “with-tool-user”, probably a</w:t>
      </w:r>
      <w:r>
        <w:rPr>
          <w:rStyle w:val="deletedparamark"/>
        </w:rPr>
        <w:t xml:space="preserve"> </w:t>
      </w:r>
      <w:r>
        <w:t>less useful concept. Nevertheless, the para</w:t>
      </w:r>
      <w:r>
        <w:t>l</w:t>
      </w:r>
      <w:r>
        <w:softHyphen/>
        <w:t>lelism with the place</w:t>
      </w:r>
      <w:r>
        <w:rPr>
          <w:rStyle w:val="deletedparamark"/>
        </w:rPr>
        <w:t xml:space="preserve"> </w:t>
      </w:r>
      <w:r>
        <w:t>structure of “pilno” makes the additional syllable worthwhile.</w:t>
      </w:r>
    </w:p>
    <w:p w:rsidR="00B72047" w:rsidRDefault="00B72047">
      <w:pPr>
        <w:rPr>
          <w:rStyle w:val="htmlparacode"/>
        </w:rPr>
      </w:pPr>
      <w:r>
        <w:rPr>
          <w:rStyle w:val="htmlparacode"/>
        </w:rPr>
        <w:t>&lt;p&gt;</w:t>
      </w:r>
    </w:p>
    <w:p w:rsidR="00B72047" w:rsidRDefault="00B72047">
      <w:pPr>
        <w:pStyle w:val="normalparagraph"/>
      </w:pPr>
      <w:r>
        <w:rPr>
          <w:rStyle w:val="indexentry"/>
        </w:rPr>
        <w:t>&lt;lx "ka'a"&gt;</w:t>
      </w:r>
      <w:r>
        <w:rPr>
          <w:rStyle w:val="indexentry"/>
        </w:rPr>
        <w:fldChar w:fldCharType="begin"/>
      </w:r>
      <w:r>
        <w:instrText>xe "</w:instrText>
      </w:r>
      <w:r>
        <w:rPr>
          <w:rStyle w:val="xeentry"/>
        </w:rPr>
        <w:instrText>ka'a</w:instrText>
      </w:r>
      <w:r>
        <w:instrText>"</w:instrText>
      </w:r>
      <w:r>
        <w:rPr>
          <w:rStyle w:val="indexentry"/>
        </w:rPr>
        <w:fldChar w:fldCharType="end"/>
      </w:r>
      <w:r>
        <w:rPr>
          <w:rStyle w:val="indexentry"/>
        </w:rPr>
        <w:t>&lt;cx "BAI, effect of conversion on"&gt;</w:t>
      </w:r>
      <w:r>
        <w:rPr>
          <w:rStyle w:val="indexentry"/>
        </w:rPr>
        <w:fldChar w:fldCharType="begin"/>
      </w:r>
      <w:r>
        <w:instrText>xe "</w:instrText>
      </w:r>
      <w:r>
        <w:rPr>
          <w:rStyle w:val="xeentry"/>
        </w:rPr>
        <w:instrText>BAI selma’o: effect of conversion on</w:instrText>
      </w:r>
      <w:r>
        <w:instrText>"</w:instrText>
      </w:r>
      <w:r>
        <w:rPr>
          <w:rStyle w:val="indexentry"/>
        </w:rPr>
        <w:fldChar w:fldCharType="end"/>
      </w:r>
      <w:r>
        <w:rPr>
          <w:rStyle w:val="indexentry"/>
        </w:rPr>
        <w:t>&lt;cx "conversion, effect on BAI"&gt;</w:t>
      </w:r>
      <w:r>
        <w:rPr>
          <w:rStyle w:val="indexentry"/>
        </w:rPr>
        <w:fldChar w:fldCharType="begin"/>
      </w:r>
      <w:r>
        <w:instrText>xe "</w:instrText>
      </w:r>
      <w:r>
        <w:rPr>
          <w:rStyle w:val="xeentry"/>
        </w:rPr>
        <w:instrText>conversion: effect on BAI</w:instrText>
      </w:r>
      <w:r>
        <w:instrText>"</w:instrText>
      </w:r>
      <w:r>
        <w:rPr>
          <w:rStyle w:val="indexentry"/>
        </w:rPr>
        <w:fldChar w:fldCharType="end"/>
      </w:r>
      <w:r>
        <w:t>Some BAI cmavo make sense with as well as without a SE cmavo; for exam</w:t>
      </w:r>
      <w:r>
        <w:softHyphen/>
        <w:t>ple,</w:t>
      </w:r>
      <w:r>
        <w:rPr>
          <w:rStyle w:val="deletedparamark"/>
        </w:rPr>
        <w:t xml:space="preserve"> “</w:t>
      </w:r>
      <w:r>
        <w:t>ka'a”, the BAI corresponding to the gismu “klama”, has five usable</w:t>
      </w:r>
      <w:r>
        <w:rPr>
          <w:rStyle w:val="deletedparamark"/>
        </w:rPr>
        <w:t xml:space="preserve"> </w:t>
      </w:r>
      <w:r>
        <w:t>forms corre</w:t>
      </w:r>
      <w:r>
        <w:softHyphen/>
        <w:t>sponding to the five places of “klama” respectively:</w:t>
      </w:r>
    </w:p>
    <w:p w:rsidR="00B72047" w:rsidRDefault="00B72047">
      <w:pPr>
        <w:pStyle w:val="examplecomptabs"/>
        <w:rPr>
          <w:rStyle w:val="htmlparacode"/>
        </w:rPr>
      </w:pPr>
      <w:r>
        <w:rPr>
          <w:rStyle w:val="htmlparacode"/>
        </w:rPr>
        <w:t>&lt;p&gt;</w:t>
      </w:r>
    </w:p>
    <w:p w:rsidR="00B72047" w:rsidRDefault="00B72047">
      <w:pPr>
        <w:pStyle w:val="examplecomptabspre"/>
      </w:pPr>
      <w:r>
        <w:rPr>
          <w:rStyle w:val="htmlcodes"/>
        </w:rPr>
        <w:t>&lt;pre&gt;</w:t>
      </w:r>
      <w:r>
        <w:t xml:space="preserve"> </w:t>
      </w:r>
      <w:r>
        <w:tab/>
        <w:t>ka'a</w:t>
      </w:r>
      <w:r>
        <w:tab/>
        <w:t>with-goer</w:t>
      </w:r>
    </w:p>
    <w:p w:rsidR="00B72047" w:rsidRDefault="00B72047">
      <w:pPr>
        <w:pStyle w:val="examplecomptabs"/>
      </w:pPr>
      <w:r>
        <w:tab/>
        <w:t>seka'a</w:t>
      </w:r>
      <w:r>
        <w:tab/>
        <w:t>with-destination</w:t>
      </w:r>
    </w:p>
    <w:p w:rsidR="00B72047" w:rsidRDefault="00B72047">
      <w:pPr>
        <w:pStyle w:val="examplecomptabs"/>
      </w:pPr>
      <w:r>
        <w:tab/>
        <w:t>teka'a</w:t>
      </w:r>
      <w:r>
        <w:tab/>
        <w:t>with-origin</w:t>
      </w:r>
    </w:p>
    <w:p w:rsidR="00B72047" w:rsidRDefault="00B72047">
      <w:pPr>
        <w:pStyle w:val="examplecomptabs"/>
      </w:pPr>
      <w:r>
        <w:tab/>
        <w:t>veka'a</w:t>
      </w:r>
      <w:r>
        <w:tab/>
        <w:t>with-route</w:t>
      </w:r>
    </w:p>
    <w:p w:rsidR="00B72047" w:rsidRDefault="00B72047">
      <w:pPr>
        <w:pStyle w:val="examplecomptabs"/>
      </w:pPr>
      <w:r>
        <w:tab/>
        <w:t>xeka'a</w:t>
      </w:r>
      <w:r>
        <w:tab/>
        <w:t>with-means-of-transport</w:t>
      </w:r>
    </w:p>
    <w:p w:rsidR="00B72047" w:rsidRDefault="00B72047">
      <w:pPr>
        <w:pStyle w:val="resumedafterexample"/>
      </w:pPr>
      <w:r>
        <w:rPr>
          <w:rStyle w:val="htmlcodes"/>
        </w:rPr>
        <w:t>&lt;/pre&gt;&lt;p&gt;</w:t>
      </w:r>
      <w:r>
        <w:t>Any of these tags may be used to provide modal places for bridi, as in the</w:t>
      </w:r>
      <w:r>
        <w:rPr>
          <w:rStyle w:val="deletedparamark"/>
        </w:rPr>
        <w:t xml:space="preserve"> </w:t>
      </w:r>
      <w:r>
        <w:t>following e</w:t>
      </w:r>
      <w:r>
        <w:t>x</w:t>
      </w:r>
      <w:r>
        <w:softHyphen/>
        <w:t>amples:</w:t>
      </w:r>
    </w:p>
    <w:p w:rsidR="00B72047" w:rsidRDefault="00B72047">
      <w:pPr>
        <w:rPr>
          <w:rStyle w:val="htmlparacode"/>
        </w:rPr>
      </w:pPr>
      <w:r>
        <w:rPr>
          <w:rStyle w:val="htmlparacode"/>
        </w:rPr>
        <w:t>&lt;p&gt;</w:t>
      </w:r>
    </w:p>
    <w:p w:rsidR="00B72047" w:rsidRDefault="00B72047">
      <w:pPr>
        <w:pStyle w:val="examplescaledpre"/>
      </w:pPr>
      <w:r>
        <w:rPr>
          <w:rStyle w:val="indexentry"/>
        </w:rPr>
        <w:t>&lt;ex "traveling salesperson"&gt;</w:t>
      </w:r>
      <w:r>
        <w:rPr>
          <w:rStyle w:val="indexentry"/>
        </w:rPr>
        <w:fldChar w:fldCharType="begin"/>
      </w:r>
      <w:r>
        <w:instrText>xe "</w:instrText>
      </w:r>
      <w:r>
        <w:rPr>
          <w:rStyle w:val="xeentry"/>
        </w:rPr>
        <w:instrText>traveling salesperson: example</w:instrText>
      </w:r>
      <w:r>
        <w:instrText>"</w:instrText>
      </w:r>
      <w:r>
        <w:rPr>
          <w:rStyle w:val="indexentry"/>
        </w:rPr>
        <w:fldChar w:fldCharType="end"/>
      </w:r>
      <w:r>
        <w:rPr>
          <w:rStyle w:val="indexentry"/>
        </w:rPr>
        <w:t>&lt;ex "Avon"&gt;</w:t>
      </w:r>
      <w:r>
        <w:rPr>
          <w:rStyle w:val="indexentry"/>
        </w:rPr>
        <w:fldChar w:fldCharType="begin"/>
      </w:r>
      <w:r>
        <w:instrText>xe "</w:instrText>
      </w:r>
      <w:r>
        <w:rPr>
          <w:rStyle w:val="xeentry"/>
        </w:rPr>
        <w:instrText>Avon: example</w:instrText>
      </w:r>
      <w:r>
        <w:instrText>"</w:instrText>
      </w:r>
      <w:r>
        <w:rPr>
          <w:rStyle w:val="indexentry"/>
        </w:rPr>
        <w:fldChar w:fldCharType="end"/>
      </w:r>
      <w:r>
        <w:rPr>
          <w:rStyle w:val="htmlcodes"/>
        </w:rPr>
        <w:t>&lt;pre&gt;&lt;a name=e6d2&gt;</w:t>
      </w:r>
      <w:r>
        <w:t>6.2)</w:t>
      </w:r>
      <w:r>
        <w:tab/>
        <w:t>la .eivn. cu vecnu loi flira cinta ka'a mi</w:t>
      </w:r>
    </w:p>
    <w:p w:rsidR="00B72047" w:rsidRDefault="00B72047">
      <w:pPr>
        <w:pStyle w:val="examplescaled"/>
      </w:pPr>
      <w:r>
        <w:tab/>
        <w:t>Avon sells a-mass-of face paint with-goer me.</w:t>
      </w:r>
    </w:p>
    <w:p w:rsidR="00B72047" w:rsidRDefault="00B72047">
      <w:pPr>
        <w:pStyle w:val="examplescaled"/>
      </w:pPr>
      <w:r>
        <w:tab/>
        <w:t>I am a traveling cosmetics salesperson for Avon.</w:t>
      </w:r>
    </w:p>
    <w:p w:rsidR="00B72047" w:rsidRDefault="00B72047">
      <w:pPr>
        <w:pStyle w:val="resumedafterexample"/>
      </w:pPr>
      <w:r>
        <w:rPr>
          <w:rStyle w:val="htmlcodes"/>
        </w:rPr>
        <w:t>&lt;/pre&gt;</w:t>
      </w:r>
      <w:r>
        <w:t>(</w:t>
      </w:r>
      <w:r>
        <w:rPr>
          <w:rStyle w:val="htmlcodes"/>
        </w:rPr>
        <w:t>&lt;a href=#e6d2&gt;</w:t>
      </w:r>
      <w:r>
        <w:t xml:space="preserve">Example 6.2 </w:t>
      </w:r>
      <w:r>
        <w:rPr>
          <w:rStyle w:val="htmlcodes"/>
        </w:rPr>
        <w:t>&lt;/a&gt;</w:t>
      </w:r>
      <w:r>
        <w:t>may seem a bit strained, but it illustrates the way in which an</w:t>
      </w:r>
      <w:r>
        <w:rPr>
          <w:rStyle w:val="deletedparamark"/>
        </w:rPr>
        <w:t xml:space="preserve"> </w:t>
      </w:r>
      <w:r>
        <w:t>existing se</w:t>
      </w:r>
      <w:r>
        <w:t>l</w:t>
      </w:r>
      <w:r>
        <w:softHyphen/>
        <w:t>bri, “vecnu” in this case, may have a place added to it which</w:t>
      </w:r>
      <w:r>
        <w:rPr>
          <w:rStyle w:val="deletedparamark"/>
        </w:rPr>
        <w:t xml:space="preserve"> </w:t>
      </w:r>
      <w:r>
        <w:t>might otherwise seem utterly unrelated.)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mi cadzu seka'a la bratfyd.</w:t>
      </w:r>
    </w:p>
    <w:p w:rsidR="00B72047" w:rsidRDefault="00B72047">
      <w:pPr>
        <w:pStyle w:val="examplescaled"/>
      </w:pPr>
      <w:r>
        <w:tab/>
        <w:t>I walk with-destination Bradford.</w:t>
      </w:r>
    </w:p>
    <w:p w:rsidR="00B72047" w:rsidRDefault="00B72047">
      <w:pPr>
        <w:pStyle w:val="examplescaled"/>
      </w:pPr>
      <w:r>
        <w:tab/>
        <w:t>I am walking to Bradford.</w:t>
      </w:r>
    </w:p>
    <w:p w:rsidR="00B72047" w:rsidRDefault="00B72047">
      <w:pPr>
        <w:pStyle w:val="examplescaledpre"/>
      </w:pPr>
      <w:r>
        <w:rPr>
          <w:rStyle w:val="htmlcodes"/>
        </w:rPr>
        <w:t>&lt;a name=e6d4&gt;</w:t>
      </w:r>
      <w:r>
        <w:t>6.4)</w:t>
      </w:r>
      <w:r>
        <w:tab/>
        <w:t>bloti teka'a la nu,IORK.</w:t>
      </w:r>
    </w:p>
    <w:p w:rsidR="00B72047" w:rsidRDefault="00B72047">
      <w:pPr>
        <w:pStyle w:val="examplescaled"/>
      </w:pPr>
      <w:r>
        <w:tab/>
        <w:t>[Observative:] is-a-boat with-origin New York</w:t>
      </w:r>
    </w:p>
    <w:p w:rsidR="00B72047" w:rsidRDefault="00B72047">
      <w:pPr>
        <w:pStyle w:val="examplescaled"/>
      </w:pPr>
      <w:r>
        <w:tab/>
        <w:t>A boat from New York!</w:t>
      </w:r>
    </w:p>
    <w:p w:rsidR="00B72047" w:rsidRDefault="00B72047">
      <w:pPr>
        <w:pStyle w:val="examplescaledpre"/>
      </w:pPr>
      <w:r>
        <w:rPr>
          <w:rStyle w:val="htmlcodes"/>
        </w:rPr>
        <w:t>&lt;a name=e6d5&gt;</w:t>
      </w:r>
      <w:r>
        <w:t>6.5)</w:t>
      </w:r>
      <w:r>
        <w:tab/>
        <w:t>do bajra veka'a lo djine</w:t>
      </w:r>
    </w:p>
    <w:p w:rsidR="00B72047" w:rsidRDefault="00B72047">
      <w:pPr>
        <w:pStyle w:val="examplescaled"/>
      </w:pPr>
      <w:r>
        <w:tab/>
        <w:t>You run with-route a circle.</w:t>
      </w:r>
    </w:p>
    <w:p w:rsidR="00B72047" w:rsidRDefault="00B72047">
      <w:pPr>
        <w:pStyle w:val="examplescaled"/>
      </w:pPr>
      <w:r>
        <w:tab/>
        <w:t>You are running in circles.</w:t>
      </w:r>
    </w:p>
    <w:p w:rsidR="00B72047" w:rsidRDefault="00B72047">
      <w:pPr>
        <w:pStyle w:val="examplescaledpre"/>
      </w:pPr>
      <w:r>
        <w:rPr>
          <w:rStyle w:val="htmlcodes"/>
        </w:rPr>
        <w:t>&lt;a name=e6d6&gt;</w:t>
      </w:r>
      <w:r>
        <w:t>6.6)</w:t>
      </w:r>
      <w:r>
        <w:tab/>
        <w:t>mi citka xeka'a le vinji</w:t>
      </w:r>
    </w:p>
    <w:p w:rsidR="00B72047" w:rsidRDefault="00B72047">
      <w:pPr>
        <w:pStyle w:val="examplescaled"/>
      </w:pPr>
      <w:r>
        <w:tab/>
        <w:t>I eat with-means-of-transport the airplane.</w:t>
      </w:r>
    </w:p>
    <w:p w:rsidR="00B72047" w:rsidRDefault="00B72047">
      <w:pPr>
        <w:pStyle w:val="examplescaled"/>
      </w:pPr>
      <w:r>
        <w:tab/>
        <w:t>I eat in the airplane.</w:t>
      </w:r>
    </w:p>
    <w:p w:rsidR="00B72047" w:rsidRDefault="00B72047">
      <w:pPr>
        <w:pStyle w:val="normalafterexample"/>
      </w:pPr>
      <w:r>
        <w:rPr>
          <w:rStyle w:val="htmlcodes"/>
        </w:rPr>
        <w:t>&lt;/pre&gt;</w:t>
      </w:r>
      <w:r>
        <w:rPr>
          <w:rStyle w:val="indexentry"/>
        </w:rPr>
        <w:t>&lt;cx "BAI cmavo, rationale for selection"&gt;</w:t>
      </w:r>
      <w:r>
        <w:rPr>
          <w:rStyle w:val="indexentry"/>
        </w:rPr>
        <w:fldChar w:fldCharType="begin"/>
      </w:r>
      <w:r>
        <w:instrText>xe "</w:instrText>
      </w:r>
      <w:r>
        <w:rPr>
          <w:rStyle w:val="xeentry"/>
        </w:rPr>
        <w:instrText>BAI selma’o: rationale for selection</w:instrText>
      </w:r>
      <w:r>
        <w:instrText>"</w:instrText>
      </w:r>
      <w:r>
        <w:rPr>
          <w:rStyle w:val="indexentry"/>
        </w:rPr>
        <w:fldChar w:fldCharType="end"/>
      </w:r>
      <w:r>
        <w:rPr>
          <w:rStyle w:val="indexentry"/>
        </w:rPr>
        <w:t>&lt;cx "modal tags, contrasted with English prepositions in preciseness"&gt;</w:t>
      </w:r>
      <w:r>
        <w:rPr>
          <w:rStyle w:val="indexentry"/>
        </w:rPr>
        <w:fldChar w:fldCharType="begin"/>
      </w:r>
      <w:r>
        <w:instrText>xe "</w:instrText>
      </w:r>
      <w:r>
        <w:rPr>
          <w:rStyle w:val="xeentry"/>
        </w:rPr>
        <w:instrText>modal tag: contrasted with English preposition in preciseness</w:instrText>
      </w:r>
      <w:r>
        <w:instrText>"</w:instrText>
      </w:r>
      <w:r>
        <w:rPr>
          <w:rStyle w:val="indexentry"/>
        </w:rPr>
        <w:fldChar w:fldCharType="end"/>
      </w:r>
      <w:r>
        <w:rPr>
          <w:rStyle w:val="indexentry"/>
        </w:rPr>
        <w:t>&lt;cx "English prepositions, contrasted with modal tags in preciseness"&gt;</w:t>
      </w:r>
      <w:r>
        <w:rPr>
          <w:rStyle w:val="indexentry"/>
        </w:rPr>
        <w:fldChar w:fldCharType="begin"/>
      </w:r>
      <w:r>
        <w:instrText>xe "</w:instrText>
      </w:r>
      <w:r>
        <w:rPr>
          <w:rStyle w:val="xeentry"/>
        </w:rPr>
        <w:instrText>English prepositions: contrasted with modal tags in preciseness</w:instrText>
      </w:r>
      <w:r>
        <w:instrText>"</w:instrText>
      </w:r>
      <w:r>
        <w:rPr>
          <w:rStyle w:val="indexentry"/>
        </w:rPr>
        <w:fldChar w:fldCharType="end"/>
      </w:r>
      <w:r>
        <w:t>There are sixty-odd cmavo of selma'o BAI, based on selected gismu</w:t>
      </w:r>
      <w:r>
        <w:rPr>
          <w:rStyle w:val="deletedparamark"/>
        </w:rPr>
        <w:t xml:space="preserve"> </w:t>
      </w:r>
      <w:r>
        <w:t>that seemed us</w:t>
      </w:r>
      <w:r>
        <w:t>e</w:t>
      </w:r>
      <w:r>
        <w:softHyphen/>
        <w:t>ful in a variety of settings. The list is some</w:t>
      </w:r>
      <w:r>
        <w:softHyphen/>
        <w:t>what biased</w:t>
      </w:r>
      <w:r>
        <w:rPr>
          <w:rStyle w:val="deletedparamark"/>
        </w:rPr>
        <w:t xml:space="preserve"> </w:t>
      </w:r>
      <w:r>
        <w:t>toward English, be</w:t>
      </w:r>
      <w:r>
        <w:softHyphen/>
        <w:t>cause many of the cmavo were se</w:t>
      </w:r>
      <w:r>
        <w:softHyphen/>
        <w:t>lected on the basis of</w:t>
      </w:r>
      <w:r>
        <w:rPr>
          <w:rStyle w:val="deletedparamark"/>
        </w:rPr>
        <w:t xml:space="preserve"> </w:t>
      </w:r>
      <w:r>
        <w:t>corresponding English preposi</w:t>
      </w:r>
      <w:r>
        <w:softHyphen/>
        <w:t>tions and prepo</w:t>
      </w:r>
      <w:r>
        <w:softHyphen/>
        <w:t>sition compounds such as</w:t>
      </w:r>
      <w:r>
        <w:rPr>
          <w:rStyle w:val="deletedparamark"/>
        </w:rPr>
        <w:t xml:space="preserve"> “</w:t>
      </w:r>
      <w:r>
        <w:t>with”, “without”, and “by means of”. The BAI cmavo, ho</w:t>
      </w:r>
      <w:r>
        <w:t>w</w:t>
      </w:r>
      <w:r>
        <w:softHyphen/>
        <w:t>ever, are far</w:t>
      </w:r>
      <w:r>
        <w:rPr>
          <w:rStyle w:val="deletedparamark"/>
        </w:rPr>
        <w:t xml:space="preserve"> </w:t>
      </w:r>
      <w:r>
        <w:t>more precise than English prepositions, because their meanings are fixed</w:t>
      </w:r>
      <w:r>
        <w:rPr>
          <w:rStyle w:val="deletedparamark"/>
        </w:rPr>
        <w:t xml:space="preserve"> </w:t>
      </w:r>
      <w:r>
        <w:t>by the place structures of the cor</w:t>
      </w:r>
      <w:r>
        <w:softHyphen/>
        <w:t>responding gismu.</w:t>
      </w:r>
    </w:p>
    <w:p w:rsidR="00B72047" w:rsidRDefault="00B72047">
      <w:pPr>
        <w:rPr>
          <w:rStyle w:val="htmlparacode"/>
        </w:rPr>
      </w:pPr>
      <w:r>
        <w:rPr>
          <w:rStyle w:val="htmlparacode"/>
        </w:rPr>
        <w:t>&lt;p&gt;</w:t>
      </w:r>
    </w:p>
    <w:p w:rsidR="00B72047" w:rsidRDefault="00B72047">
      <w:pPr>
        <w:pStyle w:val="normalparagraph"/>
      </w:pPr>
      <w:r>
        <w:rPr>
          <w:rStyle w:val="indexentry"/>
        </w:rPr>
        <w:t>&lt;cx "BAI, form of cmavo in"&gt;</w:t>
      </w:r>
      <w:r>
        <w:rPr>
          <w:rStyle w:val="indexentry"/>
        </w:rPr>
        <w:fldChar w:fldCharType="begin"/>
      </w:r>
      <w:r>
        <w:instrText>xe "</w:instrText>
      </w:r>
      <w:r>
        <w:rPr>
          <w:rStyle w:val="xeentry"/>
        </w:rPr>
        <w:instrText>BAI selma’o: form of cmavo in</w:instrText>
      </w:r>
      <w:r>
        <w:instrText>"</w:instrText>
      </w:r>
      <w:r>
        <w:rPr>
          <w:rStyle w:val="indexentry"/>
        </w:rPr>
        <w:fldChar w:fldCharType="end"/>
      </w:r>
      <w:r>
        <w:t>All BAI cmavo have the form CV'V or CVV. Most of them are CV'V, where</w:t>
      </w:r>
      <w:r>
        <w:rPr>
          <w:rStyle w:val="deletedparamark"/>
        </w:rPr>
        <w:t xml:space="preserve"> </w:t>
      </w:r>
      <w:r>
        <w:t>the C is the first consonant of the corresponding gismu and the two Vs are</w:t>
      </w:r>
      <w:r>
        <w:rPr>
          <w:rStyle w:val="deletedparamark"/>
        </w:rPr>
        <w:t xml:space="preserve"> </w:t>
      </w:r>
      <w:r>
        <w:t>the two vow</w:t>
      </w:r>
      <w:r>
        <w:softHyphen/>
        <w:t xml:space="preserve">els of the gismu. The table in </w:t>
      </w:r>
      <w:r>
        <w:rPr>
          <w:rStyle w:val="htmlcodes"/>
        </w:rPr>
        <w:t>&lt;a href=#s16&gt;</w:t>
      </w:r>
      <w:r>
        <w:t xml:space="preserve">Section 16 </w:t>
      </w:r>
      <w:r>
        <w:rPr>
          <w:rStyle w:val="htmlcodes"/>
        </w:rPr>
        <w:t>&lt;/a&gt;</w:t>
      </w:r>
      <w:r>
        <w:t>shows the exceptions.</w:t>
      </w:r>
    </w:p>
    <w:p w:rsidR="00B72047" w:rsidRDefault="00B72047">
      <w:pPr>
        <w:rPr>
          <w:rStyle w:val="htmlparacode"/>
        </w:rPr>
      </w:pPr>
      <w:r>
        <w:rPr>
          <w:rStyle w:val="htmlparacode"/>
        </w:rPr>
        <w:t>&lt;p&gt;</w:t>
      </w:r>
    </w:p>
    <w:p w:rsidR="00B72047" w:rsidRDefault="00B72047">
      <w:pPr>
        <w:pStyle w:val="normalparagraph"/>
      </w:pPr>
      <w:r>
        <w:rPr>
          <w:rStyle w:val="indexentry"/>
        </w:rPr>
        <w:t>&lt;cx "modal tag, for vague relationship"&gt;</w:t>
      </w:r>
      <w:r>
        <w:rPr>
          <w:rStyle w:val="indexentry"/>
        </w:rPr>
        <w:fldChar w:fldCharType="begin"/>
      </w:r>
      <w:r>
        <w:instrText>xe "</w:instrText>
      </w:r>
      <w:r>
        <w:rPr>
          <w:rStyle w:val="xeentry"/>
        </w:rPr>
        <w:instrText>modal tag: for vague relationship</w:instrText>
      </w:r>
      <w:r>
        <w:instrText>"</w:instrText>
      </w:r>
      <w:r>
        <w:rPr>
          <w:rStyle w:val="indexentry"/>
        </w:rPr>
        <w:fldChar w:fldCharType="end"/>
      </w:r>
      <w:r>
        <w:rPr>
          <w:rStyle w:val="indexentry"/>
        </w:rPr>
        <w:t>&lt;cx "vague relationship, modal tag for"&gt;</w:t>
      </w:r>
      <w:r>
        <w:rPr>
          <w:rStyle w:val="indexentry"/>
        </w:rPr>
        <w:fldChar w:fldCharType="begin"/>
      </w:r>
      <w:r>
        <w:instrText>xe "</w:instrText>
      </w:r>
      <w:r>
        <w:rPr>
          <w:rStyle w:val="xeentry"/>
        </w:rPr>
        <w:instrText>vague relationship: modal tag for</w:instrText>
      </w:r>
      <w:r>
        <w:instrText>"</w:instrText>
      </w:r>
      <w:r>
        <w:rPr>
          <w:rStyle w:val="indexentry"/>
        </w:rPr>
        <w:fldChar w:fldCharType="end"/>
      </w:r>
      <w:r>
        <w:rPr>
          <w:rStyle w:val="indexentry"/>
        </w:rPr>
        <w:t>&lt;lx "do'e"&gt;</w:t>
      </w:r>
      <w:r>
        <w:rPr>
          <w:rStyle w:val="indexentry"/>
        </w:rPr>
        <w:fldChar w:fldCharType="begin"/>
      </w:r>
      <w:r>
        <w:instrText>xe "</w:instrText>
      </w:r>
      <w:r>
        <w:rPr>
          <w:rStyle w:val="xeentry"/>
        </w:rPr>
        <w:instrText>do'e</w:instrText>
      </w:r>
      <w:r>
        <w:instrText>"</w:instrText>
      </w:r>
      <w:r>
        <w:rPr>
          <w:rStyle w:val="indexentry"/>
        </w:rPr>
        <w:fldChar w:fldCharType="end"/>
      </w:r>
      <w:r>
        <w:t>There is one additional BAI cmavo that is not derived from a gismu: “do'e”.</w:t>
      </w:r>
      <w:r>
        <w:rPr>
          <w:rStyle w:val="deletedparamark"/>
        </w:rPr>
        <w:t xml:space="preserve"> </w:t>
      </w:r>
      <w:r>
        <w:t>This cmavo is used when an extra place is needed, but it seems useful to</w:t>
      </w:r>
      <w:r>
        <w:rPr>
          <w:rStyle w:val="deletedparamark"/>
        </w:rPr>
        <w:t xml:space="preserve"> </w:t>
      </w:r>
      <w:r>
        <w:t>be vague about the semantic implications of the extra 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name=e6d7&gt;</w:t>
      </w:r>
      <w:r>
        <w:t>6.7)</w:t>
      </w:r>
      <w:r>
        <w:tab/>
        <w:t>lo nanmu be do'e le berti cu klama le tcadu</w:t>
      </w:r>
    </w:p>
    <w:p w:rsidR="00B72047" w:rsidRDefault="00B72047">
      <w:pPr>
        <w:pStyle w:val="examplescaled"/>
      </w:pPr>
      <w:r>
        <w:tab/>
        <w:t>Some man [related to] the north came to-the city.</w:t>
      </w:r>
    </w:p>
    <w:p w:rsidR="00B72047" w:rsidRDefault="00B72047">
      <w:pPr>
        <w:pStyle w:val="examplescaled"/>
      </w:pPr>
      <w:r>
        <w:tab/>
        <w:t>A man of the north came to the city.</w:t>
      </w:r>
    </w:p>
    <w:p w:rsidR="00B72047" w:rsidRDefault="00B72047">
      <w:pPr>
        <w:pStyle w:val="resumedafterexample"/>
      </w:pPr>
      <w:r>
        <w:rPr>
          <w:rStyle w:val="htmlcodes"/>
        </w:rPr>
        <w:t>&lt;/pre&gt;</w:t>
      </w:r>
      <w:r>
        <w:rPr>
          <w:rStyle w:val="indexentry"/>
        </w:rPr>
        <w:t>&lt;cx "do'e, compared with English “of”"&gt;</w:t>
      </w:r>
      <w:r>
        <w:rPr>
          <w:rStyle w:val="indexentry"/>
        </w:rPr>
        <w:fldChar w:fldCharType="begin"/>
      </w:r>
      <w:r>
        <w:instrText>xe "</w:instrText>
      </w:r>
      <w:r>
        <w:rPr>
          <w:rStyle w:val="xeentry"/>
        </w:rPr>
        <w:instrText>do'e: compared with English of</w:instrText>
      </w:r>
      <w:r>
        <w:instrText>"</w:instrText>
      </w:r>
      <w:r>
        <w:rPr>
          <w:rStyle w:val="indexentry"/>
        </w:rPr>
        <w:fldChar w:fldCharType="end"/>
      </w:r>
      <w:r>
        <w:rPr>
          <w:rStyle w:val="indexentry"/>
        </w:rPr>
        <w:t>&lt;cx "“of” in English, compared with do'e"&gt;</w:t>
      </w:r>
      <w:r>
        <w:rPr>
          <w:rStyle w:val="indexentry"/>
        </w:rPr>
        <w:fldChar w:fldCharType="begin"/>
      </w:r>
      <w:r>
        <w:instrText>xe "</w:instrText>
      </w:r>
      <w:r>
        <w:rPr>
          <w:rStyle w:val="xeentry"/>
        </w:rPr>
        <w:instrText>of: in English, compared with do'e</w:instrText>
      </w:r>
      <w:r>
        <w:instrText>"</w:instrText>
      </w:r>
      <w:r>
        <w:rPr>
          <w:rStyle w:val="indexentry"/>
        </w:rPr>
        <w:fldChar w:fldCharType="end"/>
      </w:r>
      <w:r>
        <w:rPr>
          <w:rStyle w:val="indexentry"/>
        </w:rPr>
        <w:t>&lt;cx "modal place, on description selbri"&gt;</w:t>
      </w:r>
      <w:r>
        <w:rPr>
          <w:rStyle w:val="indexentry"/>
        </w:rPr>
        <w:fldChar w:fldCharType="begin"/>
      </w:r>
      <w:r>
        <w:instrText>xe "</w:instrText>
      </w:r>
      <w:r>
        <w:rPr>
          <w:rStyle w:val="xeentry"/>
        </w:rPr>
        <w:instrText>modal place: on description selbri</w:instrText>
      </w:r>
      <w:r>
        <w:instrText>"</w:instrText>
      </w:r>
      <w:r>
        <w:rPr>
          <w:rStyle w:val="indexentry"/>
        </w:rPr>
        <w:fldChar w:fldCharType="end"/>
      </w:r>
      <w:r>
        <w:rPr>
          <w:rStyle w:val="indexentry"/>
        </w:rPr>
        <w:t>&lt;lx "be"&gt;</w:t>
      </w:r>
      <w:r>
        <w:rPr>
          <w:rStyle w:val="indexentry"/>
        </w:rPr>
        <w:fldChar w:fldCharType="begin"/>
      </w:r>
      <w:r>
        <w:instrText>xe "</w:instrText>
      </w:r>
      <w:r>
        <w:rPr>
          <w:rStyle w:val="xeentry"/>
        </w:rPr>
        <w:instrText>be</w:instrText>
      </w:r>
      <w:r>
        <w:instrText>"</w:instrText>
      </w:r>
      <w:r>
        <w:rPr>
          <w:rStyle w:val="indexentry"/>
        </w:rPr>
        <w:fldChar w:fldCharType="end"/>
      </w:r>
      <w:r>
        <w:t>Here “le berti” is provided as a modal place of the selbri “nanmu”, but</w:t>
      </w:r>
      <w:r>
        <w:rPr>
          <w:rStyle w:val="deletedparamark"/>
        </w:rPr>
        <w:t xml:space="preserve"> </w:t>
      </w:r>
      <w:r>
        <w:t>its exact signifi</w:t>
      </w:r>
      <w:r>
        <w:softHyphen/>
        <w:t>cance is vague, and is paralleled in the colloquial</w:t>
      </w:r>
      <w:r>
        <w:rPr>
          <w:rStyle w:val="deletedparamark"/>
        </w:rPr>
        <w:t xml:space="preserve"> </w:t>
      </w:r>
      <w:r>
        <w:t>translation by the vague English prep</w:t>
      </w:r>
      <w:r>
        <w:t>o</w:t>
      </w:r>
      <w:r>
        <w:softHyphen/>
        <w:t xml:space="preserve">sition “of”. </w:t>
      </w:r>
      <w:r>
        <w:rPr>
          <w:rStyle w:val="htmlcodes"/>
        </w:rPr>
        <w:t>&lt;a href=#e6d7&gt;</w:t>
      </w:r>
      <w:r>
        <w:t xml:space="preserve">Example 6.7 </w:t>
      </w:r>
      <w:r>
        <w:rPr>
          <w:rStyle w:val="htmlcodes"/>
        </w:rPr>
        <w:t>&lt;/a&gt;</w:t>
      </w:r>
      <w:r>
        <w:t>also</w:t>
      </w:r>
      <w:r>
        <w:rPr>
          <w:rStyle w:val="deletedparamark"/>
        </w:rPr>
        <w:t xml:space="preserve"> </w:t>
      </w:r>
      <w:r>
        <w:t>illustrates a modal place bound into a selbri with “be”. This construc</w:t>
      </w:r>
      <w:r>
        <w:softHyphen/>
        <w:t>tion</w:t>
      </w:r>
      <w:r>
        <w:rPr>
          <w:rStyle w:val="deletedparamark"/>
        </w:rPr>
        <w:t xml:space="preserve"> </w:t>
      </w:r>
      <w:r>
        <w:t>is useful when the selbri of a description requires a modal place; this</w:t>
      </w:r>
      <w:r>
        <w:rPr>
          <w:rStyle w:val="deletedparamark"/>
        </w:rPr>
        <w:t xml:space="preserve"> </w:t>
      </w:r>
      <w:r>
        <w:t xml:space="preserve">and other uses of “be” are more fully explained in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316" w:name="_Toc398970562"/>
      <w:r>
        <w:rPr>
          <w:rStyle w:val="Heading3Text"/>
        </w:rPr>
        <w:t>Modal sentence connection: the causals</w:t>
      </w:r>
      <w:bookmarkEnd w:id="31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indexentry"/>
        </w:rPr>
        <w:t>&lt;lx "ri'a"&gt;</w:t>
      </w:r>
      <w:r>
        <w:rPr>
          <w:rStyle w:val="indexentry"/>
        </w:rPr>
        <w:fldChar w:fldCharType="begin"/>
      </w:r>
      <w:r>
        <w:instrText>xe "</w:instrText>
      </w:r>
      <w:r>
        <w:rPr>
          <w:rStyle w:val="xeentry"/>
        </w:rPr>
        <w:instrText>ri'a</w:instrText>
      </w:r>
      <w:r>
        <w:instrText>"</w:instrText>
      </w:r>
      <w:r>
        <w:rPr>
          <w:rStyle w:val="indexentry"/>
        </w:rPr>
        <w:fldChar w:fldCharType="end"/>
      </w:r>
      <w:r>
        <w:rPr>
          <w:rStyle w:val="indexentry"/>
        </w:rPr>
        <w:t>&lt;lx "ki'u"&gt;</w:t>
      </w:r>
      <w:r>
        <w:rPr>
          <w:rStyle w:val="indexentry"/>
        </w:rPr>
        <w:fldChar w:fldCharType="begin"/>
      </w:r>
      <w:r>
        <w:instrText>xe "</w:instrText>
      </w:r>
      <w:r>
        <w:rPr>
          <w:rStyle w:val="xeentry"/>
        </w:rPr>
        <w:instrText>ki'u</w:instrText>
      </w:r>
      <w:r>
        <w:instrText>"</w:instrText>
      </w:r>
      <w:r>
        <w:rPr>
          <w:rStyle w:val="indexentry"/>
        </w:rPr>
        <w:fldChar w:fldCharType="end"/>
      </w:r>
      <w:r>
        <w:rPr>
          <w:rStyle w:val="indexentry"/>
        </w:rPr>
        <w:t>&lt;lx "mu'i"&gt;</w:t>
      </w:r>
      <w:r>
        <w:rPr>
          <w:rStyle w:val="indexentry"/>
        </w:rPr>
        <w:fldChar w:fldCharType="begin"/>
      </w:r>
      <w:r>
        <w:instrText>xe "</w:instrText>
      </w:r>
      <w:r>
        <w:rPr>
          <w:rStyle w:val="xeentry"/>
        </w:rPr>
        <w:instrText>mu'i</w:instrText>
      </w:r>
      <w:r>
        <w:instrText>"</w:instrText>
      </w:r>
      <w:r>
        <w:rPr>
          <w:rStyle w:val="indexentry"/>
        </w:rPr>
        <w:fldChar w:fldCharType="end"/>
      </w:r>
      <w:r>
        <w:rPr>
          <w:rStyle w:val="indexentry"/>
        </w:rPr>
        <w:t>&lt;lx "ni'i"&gt;</w:t>
      </w:r>
      <w:r>
        <w:rPr>
          <w:rStyle w:val="indexentry"/>
        </w:rPr>
        <w:fldChar w:fldCharType="begin"/>
      </w:r>
      <w:r>
        <w:instrText>xe "</w:instrText>
      </w:r>
      <w:r>
        <w:rPr>
          <w:rStyle w:val="xeentry"/>
        </w:rPr>
        <w:instrText>ni'i</w:instrText>
      </w:r>
      <w:r>
        <w:instrText>"</w:instrText>
      </w:r>
      <w:r>
        <w:rPr>
          <w:rStyle w:val="indexentry"/>
        </w:rPr>
        <w:fldChar w:fldCharType="end"/>
      </w:r>
      <w:r>
        <w:rPr>
          <w:rStyle w:val="htmlcodes"/>
        </w:rPr>
        <w:t>&lt;pre&gt;</w:t>
      </w:r>
      <w:r>
        <w:t xml:space="preserve"> </w:t>
      </w:r>
      <w:r>
        <w:tab/>
        <w:t>ri'a</w:t>
      </w:r>
      <w:r>
        <w:tab/>
        <w:t>BAI</w:t>
      </w:r>
      <w:r>
        <w:tab/>
        <w:t>rinka modal:  physical cause</w:t>
      </w:r>
    </w:p>
    <w:p w:rsidR="00B72047" w:rsidRDefault="00B72047">
      <w:pPr>
        <w:pStyle w:val="examplescaled"/>
      </w:pPr>
      <w:r>
        <w:tab/>
        <w:t>ki'u</w:t>
      </w:r>
      <w:r>
        <w:tab/>
        <w:t>BAI</w:t>
      </w:r>
      <w:r>
        <w:tab/>
        <w:t>krinu modal:  justification</w:t>
      </w:r>
    </w:p>
    <w:p w:rsidR="00B72047" w:rsidRDefault="00B72047">
      <w:pPr>
        <w:pStyle w:val="examplescaled"/>
      </w:pPr>
      <w:r>
        <w:tab/>
        <w:t>mu'i</w:t>
      </w:r>
      <w:r>
        <w:tab/>
        <w:t>BAI</w:t>
      </w:r>
      <w:r>
        <w:tab/>
        <w:t>mukti modal:  motivation</w:t>
      </w:r>
    </w:p>
    <w:p w:rsidR="00B72047" w:rsidRDefault="00B72047">
      <w:pPr>
        <w:pStyle w:val="examplescaled"/>
      </w:pPr>
      <w:r>
        <w:tab/>
        <w:t>ni'i</w:t>
      </w:r>
      <w:r>
        <w:tab/>
        <w:t>BAI</w:t>
      </w:r>
      <w:r>
        <w:tab/>
        <w:t>nibli modal:  logical entailment</w:t>
      </w:r>
    </w:p>
    <w:p w:rsidR="00B72047" w:rsidRDefault="00B72047">
      <w:pPr>
        <w:pStyle w:val="normalafterexample"/>
      </w:pPr>
      <w:r>
        <w:rPr>
          <w:rStyle w:val="htmlcodes"/>
        </w:rPr>
        <w:t>&lt;/pre&gt;&lt;p&gt;</w:t>
      </w:r>
      <w:r>
        <w:t>This section has two purposes. On the one hand, it explains the grammatical</w:t>
      </w:r>
      <w:r>
        <w:rPr>
          <w:rStyle w:val="deletedparamark"/>
        </w:rPr>
        <w:t xml:space="preserve"> </w:t>
      </w:r>
      <w:r>
        <w:t>co</w:t>
      </w:r>
      <w:r>
        <w:t>n</w:t>
      </w:r>
      <w:r>
        <w:softHyphen/>
        <w:t>struct called “modal sentence connection”. On the other, it exemplifies</w:t>
      </w:r>
      <w:r>
        <w:rPr>
          <w:rStyle w:val="deletedparamark"/>
        </w:rPr>
        <w:t xml:space="preserve"> </w:t>
      </w:r>
      <w:r>
        <w:t>some of the more useful BAI cmavo: the causals. (There are other BAI cmavo</w:t>
      </w:r>
      <w:r>
        <w:rPr>
          <w:rStyle w:val="deletedparamark"/>
        </w:rPr>
        <w:t xml:space="preserve"> </w:t>
      </w:r>
      <w:r>
        <w:t>which have causal implic</w:t>
      </w:r>
      <w:r>
        <w:t>a</w:t>
      </w:r>
      <w:r>
        <w:softHyphen/>
        <w:t>tions: “ja'e” means “with result”, and so “seja'e”</w:t>
      </w:r>
      <w:r>
        <w:rPr>
          <w:rStyle w:val="deletedparamark"/>
        </w:rPr>
        <w:t xml:space="preserve"> </w:t>
      </w:r>
      <w:r>
        <w:t>means “with cause of un</w:t>
      </w:r>
      <w:r>
        <w:softHyphen/>
        <w:t>speci</w:t>
      </w:r>
      <w:r>
        <w:softHyphen/>
        <w:t>fied n</w:t>
      </w:r>
      <w:r>
        <w:t>a</w:t>
      </w:r>
      <w:r>
        <w:softHyphen/>
        <w:t>ture”; likewise, “gau” means “with agent”</w:t>
      </w:r>
      <w:r>
        <w:rPr>
          <w:rStyle w:val="deletedparamark"/>
        </w:rPr>
        <w:t xml:space="preserve"> </w:t>
      </w:r>
      <w:r>
        <w:t>and “tezu'e” means “with purpose”. These other modal cmavo will not be</w:t>
      </w:r>
      <w:r>
        <w:rPr>
          <w:rStyle w:val="deletedparamark"/>
        </w:rPr>
        <w:t xml:space="preserve"> </w:t>
      </w:r>
      <w:r>
        <w:t>further discussed here, as my purpose is to explain modal sentence</w:t>
      </w:r>
      <w:r>
        <w:rPr>
          <w:rStyle w:val="deletedparamark"/>
        </w:rPr>
        <w:t xml:space="preserve"> </w:t>
      </w:r>
      <w:r>
        <w:t>connec</w:t>
      </w:r>
      <w:r>
        <w:softHyphen/>
        <w:t>tion rather than Lojbanic views of causation.)</w:t>
      </w:r>
    </w:p>
    <w:p w:rsidR="00B72047" w:rsidRDefault="00B72047">
      <w:pPr>
        <w:rPr>
          <w:rStyle w:val="htmlparacode"/>
        </w:rPr>
      </w:pPr>
      <w:r>
        <w:rPr>
          <w:rStyle w:val="htmlparacode"/>
        </w:rPr>
        <w:t>&lt;p&gt;</w:t>
      </w:r>
    </w:p>
    <w:p w:rsidR="00B72047" w:rsidRDefault="00B72047">
      <w:pPr>
        <w:pStyle w:val="normalparagraph"/>
      </w:pPr>
      <w:r>
        <w:rPr>
          <w:rStyle w:val="indexentry"/>
        </w:rPr>
        <w:t>&lt;cx "causals, gismu"&gt;</w:t>
      </w:r>
      <w:r>
        <w:rPr>
          <w:rStyle w:val="indexentry"/>
        </w:rPr>
        <w:fldChar w:fldCharType="begin"/>
      </w:r>
      <w:r>
        <w:instrText>xe "</w:instrText>
      </w:r>
      <w:r>
        <w:rPr>
          <w:rStyle w:val="xeentry"/>
        </w:rPr>
        <w:instrText>causals: gismu</w:instrText>
      </w:r>
      <w:r>
        <w:instrText>"</w:instrText>
      </w:r>
      <w:r>
        <w:rPr>
          <w:rStyle w:val="indexentry"/>
        </w:rPr>
        <w:fldChar w:fldCharType="end"/>
      </w:r>
      <w:r>
        <w:t>There are four causal gismu in Lojban, distinguishing different versions</w:t>
      </w:r>
      <w:r>
        <w:rPr>
          <w:rStyle w:val="deletedparamark"/>
        </w:rPr>
        <w:t xml:space="preserve"> </w:t>
      </w:r>
      <w:r>
        <w:t>of the rel</w:t>
      </w:r>
      <w:r>
        <w:t>a</w:t>
      </w:r>
      <w:r>
        <w:softHyphen/>
        <w:t>tionships lumped in English as “causal”:</w:t>
      </w:r>
    </w:p>
    <w:p w:rsidR="00B72047" w:rsidRDefault="00B72047" w:rsidP="007E67C1">
      <w:pPr>
        <w:pStyle w:val="placestructureleft"/>
        <w:numPr>
          <w:ilvl w:val="0"/>
          <w:numId w:val="0"/>
        </w:numPr>
        <w:ind w:left="1224" w:hanging="504"/>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&lt;dl compact&gt;&lt;dt&gt;&lt;dd&gt;</w:t>
      </w:r>
      <w:r>
        <w:t>rinka:  event x1 physically causes event x2</w:t>
      </w:r>
    </w:p>
    <w:p w:rsidR="00B72047" w:rsidRDefault="00B72047" w:rsidP="007E67C1">
      <w:pPr>
        <w:pStyle w:val="placestructcontleft"/>
        <w:numPr>
          <w:ilvl w:val="0"/>
          <w:numId w:val="0"/>
        </w:numPr>
        <w:ind w:left="1224" w:hanging="504"/>
      </w:pPr>
      <w:r>
        <w:t>krinu:  event x1 is the justification for event x2</w:t>
      </w:r>
    </w:p>
    <w:p w:rsidR="00B72047" w:rsidRDefault="00B72047" w:rsidP="007E67C1">
      <w:pPr>
        <w:pStyle w:val="placestructcontleft"/>
        <w:numPr>
          <w:ilvl w:val="0"/>
          <w:numId w:val="0"/>
        </w:numPr>
        <w:ind w:left="1224" w:hanging="504"/>
      </w:pPr>
      <w:r>
        <w:t>mukti:  event x1 is the (human) motive for event x2</w:t>
      </w:r>
    </w:p>
    <w:p w:rsidR="00B72047" w:rsidRDefault="00B72047" w:rsidP="007E67C1">
      <w:pPr>
        <w:pStyle w:val="placestructcontleft"/>
        <w:numPr>
          <w:ilvl w:val="0"/>
          <w:numId w:val="0"/>
        </w:numPr>
        <w:ind w:left="1224" w:hanging="504"/>
      </w:pPr>
      <w:r>
        <w:t>nibli:  event x1 logically entails event x2</w:t>
      </w:r>
    </w:p>
    <w:p w:rsidR="00B72047" w:rsidRDefault="00B72047">
      <w:pPr>
        <w:pStyle w:val="resumedafterexample"/>
      </w:pPr>
      <w:r>
        <w:rPr>
          <w:rStyle w:val="htmlcodes"/>
        </w:rPr>
        <w:t>&lt;/dl&gt;</w:t>
      </w:r>
      <w:r>
        <w:rPr>
          <w:rStyle w:val="indexentry"/>
        </w:rPr>
        <w:t>&lt;cx "modals, for causal gismu"&gt;</w:t>
      </w:r>
      <w:r>
        <w:rPr>
          <w:rStyle w:val="indexentry"/>
        </w:rPr>
        <w:fldChar w:fldCharType="begin"/>
      </w:r>
      <w:r>
        <w:instrText>xe "</w:instrText>
      </w:r>
      <w:r>
        <w:rPr>
          <w:rStyle w:val="xeentry"/>
        </w:rPr>
        <w:instrText>modals: for causal gismu</w:instrText>
      </w:r>
      <w:r>
        <w:instrText>"</w:instrText>
      </w:r>
      <w:r>
        <w:rPr>
          <w:rStyle w:val="indexentry"/>
        </w:rPr>
        <w:fldChar w:fldCharType="end"/>
      </w:r>
      <w:r>
        <w:rPr>
          <w:rStyle w:val="indexentry"/>
        </w:rPr>
        <w:t>&lt;cx "causals, modal"&gt;</w:t>
      </w:r>
      <w:r>
        <w:rPr>
          <w:rStyle w:val="indexentry"/>
        </w:rPr>
        <w:fldChar w:fldCharType="begin"/>
      </w:r>
      <w:r>
        <w:instrText>xe "</w:instrText>
      </w:r>
      <w:r>
        <w:rPr>
          <w:rStyle w:val="xeentry"/>
        </w:rPr>
        <w:instrText>causals: modal</w:instrText>
      </w:r>
      <w:r>
        <w:instrText>"</w:instrText>
      </w:r>
      <w:r>
        <w:rPr>
          <w:rStyle w:val="indexentry"/>
        </w:rPr>
        <w:fldChar w:fldCharType="end"/>
      </w:r>
      <w:r>
        <w:rPr>
          <w:rStyle w:val="indexentry"/>
        </w:rPr>
        <w:t>&lt;cx "modal causals, implication differences"&gt;</w:t>
      </w:r>
      <w:r>
        <w:rPr>
          <w:rStyle w:val="indexentry"/>
        </w:rPr>
        <w:fldChar w:fldCharType="begin"/>
      </w:r>
      <w:r>
        <w:instrText>xe "</w:instrText>
      </w:r>
      <w:r>
        <w:rPr>
          <w:rStyle w:val="xeentry"/>
        </w:rPr>
        <w:instrText>modal causals: implication differences</w:instrText>
      </w:r>
      <w:r>
        <w:instrText>"</w:instrText>
      </w:r>
      <w:r>
        <w:rPr>
          <w:rStyle w:val="indexentry"/>
        </w:rPr>
        <w:fldChar w:fldCharType="end"/>
      </w:r>
      <w:r>
        <w:t>Each of these gismu has a related modal: “ri'a”, “ki'u”, “mu'i”, and “ni'i”</w:t>
      </w:r>
      <w:r>
        <w:rPr>
          <w:rStyle w:val="deletedparamark"/>
        </w:rPr>
        <w:t xml:space="preserve"> </w:t>
      </w:r>
      <w:r>
        <w:t>respectively. Using these gismu and these modals, we can create</w:t>
      </w:r>
      <w:r>
        <w:rPr>
          <w:rStyle w:val="deletedparamark"/>
        </w:rPr>
        <w:t xml:space="preserve"> </w:t>
      </w:r>
      <w:r>
        <w:t>various causal sentences with dif</w:t>
      </w:r>
      <w:r>
        <w:softHyphen/>
        <w:t>fer</w:t>
      </w:r>
      <w:r>
        <w:softHyphen/>
        <w:t>ent implications:</w:t>
      </w:r>
    </w:p>
    <w:p w:rsidR="00B72047" w:rsidRDefault="00B72047">
      <w:pPr>
        <w:rPr>
          <w:rStyle w:val="htmlparacode"/>
        </w:rPr>
      </w:pPr>
      <w:r>
        <w:rPr>
          <w:rStyle w:val="htmlparacode"/>
        </w:rPr>
        <w:t>&lt;p&gt;</w:t>
      </w:r>
    </w:p>
    <w:p w:rsidR="00B72047" w:rsidRDefault="00B72047">
      <w:pPr>
        <w:pStyle w:val="examplescaledpre"/>
      </w:pPr>
      <w:r>
        <w:rPr>
          <w:rStyle w:val="indexentry"/>
        </w:rPr>
        <w:t>&lt;ex "plant grows"&gt;</w:t>
      </w:r>
      <w:r>
        <w:rPr>
          <w:rStyle w:val="indexentry"/>
        </w:rPr>
        <w:fldChar w:fldCharType="begin"/>
      </w:r>
      <w:r>
        <w:instrText>xe "</w:instrText>
      </w:r>
      <w:r>
        <w:rPr>
          <w:rStyle w:val="xeentry"/>
        </w:rPr>
        <w:instrText>plant grows: example</w:instrText>
      </w:r>
      <w:r>
        <w:instrText>"</w:instrText>
      </w:r>
      <w:r>
        <w:rPr>
          <w:rStyle w:val="indexentry"/>
        </w:rPr>
        <w:fldChar w:fldCharType="end"/>
      </w:r>
      <w:r>
        <w:rPr>
          <w:rStyle w:val="htmlcodes"/>
        </w:rPr>
        <w:t>&lt;pre&gt;&lt;a name=e7d1&gt;</w:t>
      </w:r>
      <w:r>
        <w:t>7.1)</w:t>
      </w:r>
      <w:r>
        <w:tab/>
        <w:t xml:space="preserve">le spati cu banro ri'a le nu do djacu dunda </w:t>
      </w:r>
    </w:p>
    <w:p w:rsidR="00B72047" w:rsidRDefault="00B72047">
      <w:pPr>
        <w:pStyle w:val="examplescaled"/>
        <w:ind w:firstLine="576"/>
      </w:pPr>
      <w:r>
        <w:t>fi le spati</w:t>
      </w:r>
    </w:p>
    <w:p w:rsidR="00B72047" w:rsidRDefault="00B72047">
      <w:pPr>
        <w:pStyle w:val="examplescaled"/>
      </w:pPr>
      <w:r>
        <w:tab/>
        <w:t xml:space="preserve">The plant grows with-physical-cause the event-of you water give </w:t>
      </w:r>
    </w:p>
    <w:p w:rsidR="00B72047" w:rsidRDefault="00B72047">
      <w:pPr>
        <w:pStyle w:val="examplescaled"/>
        <w:ind w:firstLine="576"/>
      </w:pPr>
      <w:r>
        <w:t>to the plant.</w:t>
      </w:r>
    </w:p>
    <w:p w:rsidR="00B72047" w:rsidRDefault="00B72047">
      <w:pPr>
        <w:pStyle w:val="examplescaled"/>
      </w:pPr>
      <w:r>
        <w:tab/>
        <w:t>The plant grows because you water it.</w:t>
      </w:r>
    </w:p>
    <w:p w:rsidR="00B72047" w:rsidRDefault="00B72047">
      <w:pPr>
        <w:pStyle w:val="examplescaledpre"/>
        <w:spacing w:before="0"/>
      </w:pPr>
      <w:r>
        <w:rPr>
          <w:rStyle w:val="htmlcodes"/>
          <w:vanish w:val="0"/>
        </w:rPr>
        <w:br w:type="page"/>
      </w:r>
      <w:r>
        <w:rPr>
          <w:rStyle w:val="htmlcodes"/>
        </w:rPr>
        <w:t>&lt;a name=e7d2&gt;</w:t>
      </w:r>
      <w:r>
        <w:t>7.2)</w:t>
      </w:r>
      <w:r>
        <w:tab/>
        <w:t>la djan. cpacu le pamoi se jinga ki'u le nu la djan. jinga</w:t>
      </w:r>
    </w:p>
    <w:p w:rsidR="00B72047" w:rsidRDefault="00B72047">
      <w:pPr>
        <w:pStyle w:val="examplescaled"/>
      </w:pPr>
      <w:r>
        <w:tab/>
        <w:t>John gets the first prize with-justification the event-of John wins.</w:t>
      </w:r>
    </w:p>
    <w:p w:rsidR="00B72047" w:rsidRDefault="00B72047">
      <w:pPr>
        <w:pStyle w:val="examplescaled"/>
      </w:pPr>
      <w:r>
        <w:tab/>
        <w:t>John got the first prize because he won.</w:t>
      </w:r>
    </w:p>
    <w:p w:rsidR="00B72047" w:rsidRDefault="00B72047">
      <w:pPr>
        <w:pStyle w:val="examplescaledpre"/>
      </w:pPr>
      <w:r>
        <w:rPr>
          <w:rStyle w:val="htmlcodes"/>
        </w:rPr>
        <w:t>&lt;a name=e7d3&gt;</w:t>
      </w:r>
      <w:r>
        <w:t>7.3)</w:t>
      </w:r>
      <w:r>
        <w:tab/>
        <w:t>mi lebna le cukta mu'i le nu mi viska le cukta</w:t>
      </w:r>
    </w:p>
    <w:p w:rsidR="00B72047" w:rsidRDefault="00B72047">
      <w:pPr>
        <w:pStyle w:val="examplescaled"/>
      </w:pPr>
      <w:r>
        <w:tab/>
        <w:t>I took the book with-motivation the event-of I saw the book.</w:t>
      </w:r>
    </w:p>
    <w:p w:rsidR="00B72047" w:rsidRDefault="00B72047">
      <w:pPr>
        <w:pStyle w:val="examplescaled"/>
      </w:pPr>
      <w:r>
        <w:tab/>
        <w:t>I took the book because I saw it.</w:t>
      </w:r>
    </w:p>
    <w:p w:rsidR="00B72047" w:rsidRDefault="00B72047">
      <w:pPr>
        <w:pStyle w:val="examplescaledpre"/>
      </w:pPr>
      <w:r>
        <w:rPr>
          <w:rStyle w:val="htmlcodes"/>
        </w:rPr>
        <w:t>&lt;/pre&gt;</w:t>
      </w:r>
      <w:r>
        <w:rPr>
          <w:rStyle w:val="indexentry"/>
        </w:rPr>
        <w:t>&lt;ex "Socrates"&gt;</w:t>
      </w:r>
      <w:r>
        <w:rPr>
          <w:rStyle w:val="indexentry"/>
        </w:rPr>
        <w:fldChar w:fldCharType="begin"/>
      </w:r>
      <w:r>
        <w:instrText>xe "</w:instrText>
      </w:r>
      <w:r>
        <w:rPr>
          <w:rStyle w:val="xeentry"/>
        </w:rPr>
        <w:instrText>Socrates: example</w:instrText>
      </w:r>
      <w:r>
        <w:instrText>"</w:instrText>
      </w:r>
      <w:r>
        <w:rPr>
          <w:rStyle w:val="indexentry"/>
        </w:rPr>
        <w:fldChar w:fldCharType="end"/>
      </w:r>
      <w:r>
        <w:rPr>
          <w:rStyle w:val="htmlcodes"/>
        </w:rPr>
        <w:t>&lt;pre&gt;&lt;a name=e7d4&gt;</w:t>
      </w:r>
      <w:r>
        <w:t>7.4)</w:t>
      </w:r>
      <w:r>
        <w:tab/>
        <w:t>la sokrates. morsi binxo ni'i le nu la sokrates. remna</w:t>
      </w:r>
    </w:p>
    <w:p w:rsidR="00B72047" w:rsidRDefault="00B72047">
      <w:pPr>
        <w:pStyle w:val="examplescaled"/>
      </w:pPr>
      <w:r>
        <w:tab/>
        <w:t>Socrates dead-became with-logical-justification Socrates is-human.</w:t>
      </w:r>
    </w:p>
    <w:p w:rsidR="00B72047" w:rsidRDefault="00B72047">
      <w:pPr>
        <w:pStyle w:val="examplescaled"/>
      </w:pPr>
      <w:r>
        <w:tab/>
        <w:t>Socrates died because Socrates is human.</w:t>
      </w:r>
    </w:p>
    <w:p w:rsidR="00B72047" w:rsidRDefault="00B72047">
      <w:pPr>
        <w:pStyle w:val="resumedafterexample"/>
      </w:pPr>
      <w:r>
        <w:rPr>
          <w:rStyle w:val="htmlcodes"/>
        </w:rPr>
        <w:t>&lt;/pre&gt;</w:t>
      </w:r>
      <w:r>
        <w:rPr>
          <w:rStyle w:val="indexentry"/>
        </w:rPr>
        <w:t>&lt;cx "“because”, four varieties of"&gt;</w:t>
      </w:r>
      <w:r>
        <w:rPr>
          <w:rStyle w:val="indexentry"/>
        </w:rPr>
        <w:fldChar w:fldCharType="begin"/>
      </w:r>
      <w:r>
        <w:instrText>xe "</w:instrText>
      </w:r>
      <w:r>
        <w:rPr>
          <w:rStyle w:val="xeentry"/>
        </w:rPr>
        <w:instrText>because: English word, four varieties of</w:instrText>
      </w:r>
      <w:r>
        <w:instrText>"</w:instrText>
      </w:r>
      <w:r>
        <w:rPr>
          <w:rStyle w:val="indexentry"/>
        </w:rPr>
        <w:fldChar w:fldCharType="end"/>
      </w:r>
      <w:r>
        <w:t xml:space="preserve">In </w:t>
      </w:r>
      <w:r>
        <w:rPr>
          <w:rStyle w:val="htmlcodes"/>
        </w:rPr>
        <w:t>&lt;a href=#e7d{1}&gt;</w:t>
      </w:r>
      <w:r>
        <w:t xml:space="preserve">Examples 7.1 </w:t>
      </w:r>
      <w:r>
        <w:rPr>
          <w:rStyle w:val="htmlcodes"/>
        </w:rPr>
        <w:t>&lt;/a&gt;</w:t>
      </w:r>
      <w:r>
        <w:t xml:space="preserve">through </w:t>
      </w:r>
      <w:r>
        <w:rPr>
          <w:rStyle w:val="htmlcodes"/>
        </w:rPr>
        <w:t>&lt;a href=#e7d4&gt;</w:t>
      </w:r>
      <w:r>
        <w:t>7.4</w:t>
      </w:r>
      <w:r>
        <w:rPr>
          <w:rStyle w:val="htmlcodes"/>
        </w:rPr>
        <w:t>&lt;/a&gt;</w:t>
      </w:r>
      <w:r>
        <w:t>, the same English word “because” is used to</w:t>
      </w:r>
      <w:r>
        <w:rPr>
          <w:rStyle w:val="deletedparamark"/>
        </w:rPr>
        <w:t xml:space="preserve"> </w:t>
      </w:r>
      <w:r>
        <w:t>translate all four modals, but the types of cause being ex</w:t>
      </w:r>
      <w:r>
        <w:softHyphen/>
        <w:t>pressed are quite</w:t>
      </w:r>
      <w:r>
        <w:rPr>
          <w:rStyle w:val="deletedparamark"/>
        </w:rPr>
        <w:t xml:space="preserve"> </w:t>
      </w:r>
      <w:r>
        <w:t>different. Let us now fo</w:t>
      </w:r>
      <w:r>
        <w:softHyphen/>
        <w:t xml:space="preserve">cus on </w:t>
      </w:r>
      <w:r>
        <w:rPr>
          <w:rStyle w:val="htmlcodes"/>
        </w:rPr>
        <w:t>&lt;a href=#e7d1&gt;</w:t>
      </w:r>
      <w:r>
        <w:t>Example 7.1</w:t>
      </w:r>
      <w:r>
        <w:rPr>
          <w:rStyle w:val="htmlcodes"/>
        </w:rPr>
        <w:t>&lt;/a&gt;</w:t>
      </w:r>
      <w:r>
        <w:t>, and explore some variations</w:t>
      </w:r>
      <w:r>
        <w:rPr>
          <w:rStyle w:val="deletedparamark"/>
        </w:rPr>
        <w:t xml:space="preserve"> </w:t>
      </w:r>
      <w:r>
        <w:t>on it.</w:t>
      </w:r>
    </w:p>
    <w:p w:rsidR="00B72047" w:rsidRDefault="00B72047">
      <w:pPr>
        <w:rPr>
          <w:rStyle w:val="htmlparacode"/>
        </w:rPr>
      </w:pPr>
      <w:r>
        <w:rPr>
          <w:rStyle w:val="htmlparacode"/>
        </w:rPr>
        <w:t>&lt;p&gt;</w:t>
      </w:r>
    </w:p>
    <w:p w:rsidR="00B72047" w:rsidRDefault="00B72047">
      <w:pPr>
        <w:pStyle w:val="normalparagraph"/>
      </w:pPr>
      <w:r>
        <w:rPr>
          <w:rStyle w:val="indexentry"/>
        </w:rPr>
        <w:t>&lt;cx "abstraction bridi, effect on claim of bridi"&gt;</w:t>
      </w:r>
      <w:r>
        <w:rPr>
          <w:rStyle w:val="indexentry"/>
        </w:rPr>
        <w:fldChar w:fldCharType="begin"/>
      </w:r>
      <w:r>
        <w:instrText>xe "</w:instrText>
      </w:r>
      <w:r>
        <w:rPr>
          <w:rStyle w:val="xeentry"/>
        </w:rPr>
        <w:instrText>abstraction bridi: effect on claim of bridi</w:instrText>
      </w:r>
      <w:r>
        <w:instrText>"</w:instrText>
      </w:r>
      <w:r>
        <w:rPr>
          <w:rStyle w:val="indexentry"/>
        </w:rPr>
        <w:fldChar w:fldCharType="end"/>
      </w:r>
      <w:r>
        <w:rPr>
          <w:rStyle w:val="indexentry"/>
        </w:rPr>
        <w:t>&lt;cx "causals, claiming the relation contrasted with claiming cause and/or effect and/or relation"&gt;</w:t>
      </w:r>
      <w:r>
        <w:rPr>
          <w:rStyle w:val="indexentry"/>
        </w:rPr>
        <w:fldChar w:fldCharType="begin"/>
      </w:r>
      <w:r>
        <w:instrText>xe "</w:instrText>
      </w:r>
      <w:r>
        <w:rPr>
          <w:rStyle w:val="xeentry"/>
        </w:rPr>
        <w:instrText>causals: claiming the relation contrasted with claiming cause and/or effect and/or relation</w:instrText>
      </w:r>
      <w:r>
        <w:instrText>"</w:instrText>
      </w:r>
      <w:r>
        <w:rPr>
          <w:rStyle w:val="indexentry"/>
        </w:rPr>
        <w:fldChar w:fldCharType="end"/>
      </w:r>
      <w:r>
        <w:t xml:space="preserve">As written, </w:t>
      </w:r>
      <w:r>
        <w:rPr>
          <w:rStyle w:val="htmlcodes"/>
        </w:rPr>
        <w:t>&lt;a href=#e7d1&gt;</w:t>
      </w:r>
      <w:r>
        <w:t xml:space="preserve">Example 7.1 </w:t>
      </w:r>
      <w:r>
        <w:rPr>
          <w:rStyle w:val="htmlcodes"/>
        </w:rPr>
        <w:t>&lt;/a&gt;</w:t>
      </w:r>
      <w:r>
        <w:t>claims that the plant grows, but only refers to</w:t>
      </w:r>
      <w:r>
        <w:rPr>
          <w:rStyle w:val="deletedparamark"/>
        </w:rPr>
        <w:t xml:space="preserve"> </w:t>
      </w:r>
      <w:r>
        <w:t>the event of watering it in an abstraction bridi (abstractions are explained</w:t>
      </w:r>
      <w:r>
        <w:rPr>
          <w:rStyle w:val="deletedparamark"/>
        </w:rPr>
        <w:t xml:space="preserve"> </w:t>
      </w:r>
      <w:r>
        <w:t xml:space="preserve">in </w:t>
      </w:r>
      <w:r>
        <w:rPr>
          <w:rStyle w:val="htmlcodes"/>
        </w:rPr>
        <w:t>&lt;a href=chap11.html&gt;</w:t>
      </w:r>
      <w:r>
        <w:t>Chapter 11</w:t>
      </w:r>
      <w:r>
        <w:rPr>
          <w:rStyle w:val="htmlcodes"/>
        </w:rPr>
        <w:t>&lt;/a&gt;</w:t>
      </w:r>
      <w:r>
        <w:t>) without act</w:t>
      </w:r>
      <w:r>
        <w:t>u</w:t>
      </w:r>
      <w:r>
        <w:softHyphen/>
        <w:t>ally making a claim. If I ex</w:t>
      </w:r>
      <w:r>
        <w:softHyphen/>
        <w:t>press</w:t>
      </w:r>
      <w:r>
        <w:rPr>
          <w:rStyle w:val="deletedparamark"/>
        </w:rPr>
        <w:t xml:space="preserve"> </w:t>
      </w:r>
      <w:r>
        <w:rPr>
          <w:rStyle w:val="htmlcodes"/>
        </w:rPr>
        <w:t>&lt;a href=#e7d1&gt;</w:t>
      </w:r>
      <w:r>
        <w:t>Example 7.1</w:t>
      </w:r>
      <w:r>
        <w:rPr>
          <w:rStyle w:val="htmlcodes"/>
        </w:rPr>
        <w:t>&lt;/a&gt;</w:t>
      </w:r>
      <w:r>
        <w:t>, I have said that the plant in fact grows, but I have not said</w:t>
      </w:r>
      <w:r>
        <w:rPr>
          <w:rStyle w:val="deletedparamark"/>
        </w:rPr>
        <w:t xml:space="preserve"> </w:t>
      </w:r>
      <w:r>
        <w:t>that you actually water it, merely that there is a causal rela</w:t>
      </w:r>
      <w:r>
        <w:softHyphen/>
        <w:t>tionship</w:t>
      </w:r>
      <w:r>
        <w:rPr>
          <w:rStyle w:val="deletedparamark"/>
        </w:rPr>
        <w:t xml:space="preserve"> </w:t>
      </w:r>
      <w:r>
        <w:t>b</w:t>
      </w:r>
      <w:r>
        <w:t>e</w:t>
      </w:r>
      <w:r>
        <w:softHyphen/>
        <w:t>tween watering and growing. This is semantically asym</w:t>
      </w:r>
      <w:r>
        <w:softHyphen/>
        <w:t>metrical. Suppose</w:t>
      </w:r>
      <w:r>
        <w:rPr>
          <w:rStyle w:val="deletedparamark"/>
        </w:rPr>
        <w:t xml:space="preserve"> </w:t>
      </w:r>
      <w:r>
        <w:t>I wanted to claim that the plant was being watered, and only mention its</w:t>
      </w:r>
      <w:r>
        <w:rPr>
          <w:rStyle w:val="deletedparamark"/>
        </w:rPr>
        <w:t xml:space="preserve"> </w:t>
      </w:r>
      <w:r>
        <w:t>growth as an</w:t>
      </w:r>
      <w:r>
        <w:softHyphen/>
        <w:t>cillary inform</w:t>
      </w:r>
      <w:r>
        <w:t>a</w:t>
      </w:r>
      <w:r>
        <w:softHyphen/>
        <w:t>tion? Then we could reverse the main bridi</w:t>
      </w:r>
      <w:r>
        <w:rPr>
          <w:rStyle w:val="deletedparamark"/>
        </w:rPr>
        <w:t xml:space="preserve"> </w:t>
      </w:r>
      <w:r>
        <w:t>and the abstraction bridi, saying: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do djacu dunda fi le spati seri'a le nu ri banro</w:t>
      </w:r>
    </w:p>
    <w:p w:rsidR="00B72047" w:rsidRDefault="00B72047">
      <w:pPr>
        <w:pStyle w:val="examplescaled"/>
      </w:pPr>
      <w:r>
        <w:tab/>
        <w:t>You water-give to the plant with-physical-effect it grows.</w:t>
      </w:r>
    </w:p>
    <w:p w:rsidR="00B72047" w:rsidRDefault="00B72047">
      <w:pPr>
        <w:pStyle w:val="examplescaled"/>
      </w:pPr>
      <w:r>
        <w:tab/>
        <w:t>You water the plant; therefore, it grows.</w:t>
      </w:r>
    </w:p>
    <w:p w:rsidR="00B72047" w:rsidRDefault="00B72047">
      <w:pPr>
        <w:pStyle w:val="resumedafterexample"/>
      </w:pPr>
      <w:r>
        <w:rPr>
          <w:rStyle w:val="htmlcodes"/>
        </w:rPr>
        <w:t>&lt;/pre&gt;</w:t>
      </w:r>
      <w:r>
        <w:t>with the “ri'a” changed to “seri'a”. In addition, there are also symmet</w:t>
      </w:r>
      <w:r>
        <w:softHyphen/>
        <w:t>rical</w:t>
      </w:r>
      <w:r>
        <w:rPr>
          <w:rStyle w:val="deletedparamark"/>
        </w:rPr>
        <w:t xml:space="preserve"> </w:t>
      </w:r>
      <w:r>
        <w:t>forms: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le nu do djacu dunda fi le spati cu rinka</w:t>
      </w:r>
    </w:p>
    <w:p w:rsidR="00B72047" w:rsidRDefault="00B72047">
      <w:pPr>
        <w:pStyle w:val="examplescaled"/>
      </w:pPr>
      <w:r>
        <w:tab/>
      </w:r>
      <w:r>
        <w:tab/>
        <w:t>le nu le spati cu banro</w:t>
      </w:r>
    </w:p>
    <w:p w:rsidR="00B72047" w:rsidRDefault="00B72047">
      <w:pPr>
        <w:pStyle w:val="examplescaled"/>
      </w:pPr>
      <w:r>
        <w:tab/>
        <w:t>The event-of (you water-give to the plant) causes</w:t>
      </w:r>
    </w:p>
    <w:p w:rsidR="00B72047" w:rsidRDefault="00B72047">
      <w:pPr>
        <w:pStyle w:val="examplescaled"/>
      </w:pPr>
      <w:r>
        <w:tab/>
      </w:r>
      <w:r>
        <w:tab/>
        <w:t>the event-of (the plant grows).</w:t>
      </w:r>
    </w:p>
    <w:p w:rsidR="00B72047" w:rsidRDefault="00B72047">
      <w:pPr>
        <w:pStyle w:val="examplescaled"/>
      </w:pPr>
      <w:r>
        <w:tab/>
        <w:t>Your watering the plant causes its growth.</w:t>
      </w:r>
    </w:p>
    <w:p w:rsidR="00B72047" w:rsidRDefault="00B72047">
      <w:pPr>
        <w:pStyle w:val="examplescaled"/>
      </w:pPr>
      <w:r>
        <w:tab/>
        <w:t>If you water the plant, then it grows.</w:t>
      </w:r>
    </w:p>
    <w:p w:rsidR="00B72047" w:rsidRDefault="00B72047">
      <w:pPr>
        <w:pStyle w:val="resumedafterexample"/>
      </w:pPr>
      <w:r>
        <w:rPr>
          <w:rStyle w:val="htmlcodes"/>
        </w:rPr>
        <w:t>&lt;/pre&gt;</w:t>
      </w:r>
      <w:r>
        <w:t>does not claim either event, but asserts only the causal relationship</w:t>
      </w:r>
      <w:r>
        <w:rPr>
          <w:rStyle w:val="deletedparamark"/>
        </w:rPr>
        <w:t xml:space="preserve"> </w:t>
      </w:r>
      <w:r>
        <w:t xml:space="preserve">between them. So in </w:t>
      </w:r>
      <w:r>
        <w:rPr>
          <w:rStyle w:val="htmlcodes"/>
        </w:rPr>
        <w:t>&lt;a href=#e7d6&gt;</w:t>
      </w:r>
      <w:r>
        <w:t>Example 7.6</w:t>
      </w:r>
      <w:r>
        <w:rPr>
          <w:rStyle w:val="htmlcodes"/>
        </w:rPr>
        <w:t>&lt;/a&gt;</w:t>
      </w:r>
      <w:r>
        <w:t>, I am not saying that the plant grows nor</w:t>
      </w:r>
      <w:r>
        <w:rPr>
          <w:rStyle w:val="deletedparamark"/>
        </w:rPr>
        <w:t xml:space="preserve"> </w:t>
      </w:r>
      <w:r>
        <w:t>that you have in fact watered it. The second colloquial translation shows a</w:t>
      </w:r>
      <w:r>
        <w:rPr>
          <w:rStyle w:val="deletedparamark"/>
        </w:rPr>
        <w:t xml:space="preserve"> </w:t>
      </w:r>
      <w:r>
        <w:t>form of “if-then” in English quite distinct from the logical connective</w:t>
      </w:r>
      <w:r>
        <w:rPr>
          <w:rStyle w:val="deletedparamark"/>
        </w:rPr>
        <w:t xml:space="preserve"> “</w:t>
      </w:r>
      <w:r>
        <w:t xml:space="preserve">if-then” explained in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Suppose we wish to claim both events as well as their causal relationship?</w:t>
      </w:r>
      <w:r>
        <w:rPr>
          <w:rStyle w:val="deletedparamark"/>
        </w:rPr>
        <w:t xml:space="preserve"> </w:t>
      </w:r>
      <w:r>
        <w:t>We can use one of two methods:</w:t>
      </w:r>
    </w:p>
    <w:p w:rsidR="00B72047" w:rsidRDefault="00B72047">
      <w:pPr>
        <w:rPr>
          <w:rStyle w:val="htmlparacode"/>
        </w:rPr>
      </w:pPr>
      <w:r>
        <w:rPr>
          <w:rStyle w:val="htmlparacode"/>
        </w:rPr>
        <w:t>&lt;p&gt;</w:t>
      </w:r>
    </w:p>
    <w:p w:rsidR="00B72047" w:rsidRDefault="00B72047">
      <w:pPr>
        <w:pStyle w:val="examplescaledpre"/>
      </w:pPr>
      <w:r>
        <w:rPr>
          <w:rStyle w:val="indexentry"/>
        </w:rPr>
        <w:t>&lt;lx ".iri'abo"&gt;</w:t>
      </w:r>
      <w:r>
        <w:rPr>
          <w:rStyle w:val="indexentry"/>
        </w:rPr>
        <w:fldChar w:fldCharType="begin"/>
      </w:r>
      <w:r>
        <w:instrText>xe "</w:instrText>
      </w:r>
      <w:r>
        <w:rPr>
          <w:rStyle w:val="xeentry"/>
        </w:rPr>
        <w:instrText>iri'abo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&lt;cx "modal sentence connection"&gt;</w:t>
      </w:r>
      <w:r>
        <w:rPr>
          <w:rStyle w:val="indexentry"/>
        </w:rPr>
        <w:fldChar w:fldCharType="begin"/>
      </w:r>
      <w:r>
        <w:instrText>xe "</w:instrText>
      </w:r>
      <w:r>
        <w:rPr>
          <w:rStyle w:val="xeentry"/>
        </w:rPr>
        <w:instrText>modal sentence connection</w:instrText>
      </w:r>
      <w:r>
        <w:instrText>"</w:instrText>
      </w:r>
      <w:r>
        <w:rPr>
          <w:rStyle w:val="indexentry"/>
        </w:rPr>
        <w:fldChar w:fldCharType="end"/>
      </w:r>
      <w:r>
        <w:rPr>
          <w:rStyle w:val="htmlcodes"/>
        </w:rPr>
        <w:t>&lt;pre&gt;&lt;a name=e7d7&gt;</w:t>
      </w:r>
      <w:r>
        <w:t>7.7)</w:t>
      </w:r>
      <w:r>
        <w:tab/>
        <w:t>le spati cu banro  .iri'abo do djacu dunda fi le spati</w:t>
      </w:r>
    </w:p>
    <w:p w:rsidR="00B72047" w:rsidRDefault="00B72047">
      <w:pPr>
        <w:pStyle w:val="examplescaled"/>
      </w:pPr>
      <w:r>
        <w:tab/>
        <w:t>The plant grows. Because you water-give to the plant.</w:t>
      </w:r>
    </w:p>
    <w:p w:rsidR="00B72047" w:rsidRDefault="00B72047">
      <w:pPr>
        <w:pStyle w:val="examplescaled"/>
      </w:pPr>
      <w:r>
        <w:tab/>
        <w:t>The plant grows because you water it.</w:t>
      </w:r>
    </w:p>
    <w:p w:rsidR="00B72047" w:rsidRDefault="00B72047">
      <w:pPr>
        <w:pStyle w:val="examplescaledpre"/>
      </w:pPr>
      <w:r>
        <w:rPr>
          <w:rStyle w:val="htmlcodes"/>
        </w:rPr>
        <w:t>&lt;a name=e7d8&gt;</w:t>
      </w:r>
      <w:r>
        <w:t>7.8)</w:t>
      </w:r>
      <w:r>
        <w:tab/>
        <w:t>do djacu dunda fi le spati  .iseri'abo le spati cu banro</w:t>
      </w:r>
    </w:p>
    <w:p w:rsidR="00B72047" w:rsidRDefault="00B72047">
      <w:pPr>
        <w:pStyle w:val="examplescaled"/>
      </w:pPr>
      <w:r>
        <w:tab/>
        <w:t>You water-give to the plant.  Therefore it grows.</w:t>
      </w:r>
    </w:p>
    <w:p w:rsidR="00B72047" w:rsidRDefault="00B72047">
      <w:pPr>
        <w:pStyle w:val="examplescaled"/>
      </w:pPr>
      <w:r>
        <w:tab/>
        <w:t>You water the plant; therefore, it grows.</w:t>
      </w:r>
    </w:p>
    <w:p w:rsidR="00B72047" w:rsidRDefault="00B72047">
      <w:pPr>
        <w:pStyle w:val="resumedafterexample"/>
      </w:pPr>
      <w:r>
        <w:rPr>
          <w:rStyle w:val="htmlcodes"/>
        </w:rPr>
        <w:t>&lt;/pre&gt;&lt;p&gt;</w:t>
      </w:r>
      <w:r>
        <w:t>The compound cmavo “.iri'abo” and “.iseri'abo” serve to connect two bridi,</w:t>
      </w:r>
      <w:r>
        <w:rPr>
          <w:rStyle w:val="deletedparamark"/>
        </w:rPr>
        <w:t xml:space="preserve"> </w:t>
      </w:r>
      <w:r>
        <w:t>as the ini</w:t>
      </w:r>
      <w:r>
        <w:softHyphen/>
        <w:t>tial “.i” indicates. The final “bo” is necessary to prevent</w:t>
      </w:r>
      <w:r>
        <w:rPr>
          <w:rStyle w:val="deletedparamark"/>
        </w:rPr>
        <w:t xml:space="preserve"> </w:t>
      </w:r>
      <w:r>
        <w:t>the modal from “taking over” the following sumti. If the “bo” were omitted</w:t>
      </w:r>
      <w:r>
        <w:rPr>
          <w:rStyle w:val="deletedparamark"/>
        </w:rPr>
        <w:t xml:space="preserve"> </w:t>
      </w:r>
      <w:r>
        <w:t xml:space="preserve">from </w:t>
      </w:r>
      <w:r>
        <w:rPr>
          <w:rStyle w:val="htmlcodes"/>
        </w:rPr>
        <w:t>&lt;a href=#e7d7&gt;</w:t>
      </w:r>
      <w:r>
        <w:t xml:space="preserve">Example 7.7 </w:t>
      </w:r>
      <w:r>
        <w:rPr>
          <w:rStyle w:val="htmlcodes"/>
        </w:rPr>
        <w:t>&lt;/a&gt;</w:t>
      </w:r>
      <w:r>
        <w:t>we would have: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name=e7d9&gt;</w:t>
      </w:r>
      <w:r>
        <w:t>7.9)</w:t>
      </w:r>
      <w:r>
        <w:tab/>
        <w:t>le spati cu banro  .i ri'a do djacu dunda fi le spati</w:t>
      </w:r>
    </w:p>
    <w:p w:rsidR="00B72047" w:rsidRDefault="00B72047">
      <w:pPr>
        <w:pStyle w:val="examplescaled"/>
      </w:pPr>
      <w:r>
        <w:tab/>
        <w:t>The plant grows.  Because of you, [something] water-gives to the plant.</w:t>
      </w:r>
    </w:p>
    <w:p w:rsidR="00B72047" w:rsidRDefault="00B72047">
      <w:pPr>
        <w:pStyle w:val="examplescaled"/>
      </w:pPr>
      <w:r>
        <w:tab/>
        <w:t>The plant grows. Because of you, water is given to the plant.</w:t>
      </w:r>
    </w:p>
    <w:p w:rsidR="00B72047" w:rsidRDefault="00B72047">
      <w:pPr>
        <w:pStyle w:val="resumedafterexample"/>
      </w:pPr>
      <w:r>
        <w:rPr>
          <w:rStyle w:val="htmlcodes"/>
        </w:rPr>
        <w:t>&lt;/pre&gt;&lt;p&gt;</w:t>
      </w:r>
      <w:r>
        <w:t xml:space="preserve">Because “ri'a do” is a modal sumti in </w:t>
      </w:r>
      <w:r>
        <w:rPr>
          <w:rStyle w:val="htmlcodes"/>
        </w:rPr>
        <w:t>&lt;a href=#e7d9&gt;</w:t>
      </w:r>
      <w:r>
        <w:t>Example 7.9</w:t>
      </w:r>
      <w:r>
        <w:rPr>
          <w:rStyle w:val="htmlcodes"/>
        </w:rPr>
        <w:t>&lt;/a&gt;</w:t>
      </w:r>
      <w:r>
        <w:t>, there is no longer an</w:t>
      </w:r>
      <w:r>
        <w:rPr>
          <w:rStyle w:val="deletedparamark"/>
        </w:rPr>
        <w:t xml:space="preserve"> </w:t>
      </w:r>
      <w:r>
        <w:t>explicit sumti in the x1 place of “djacu dunda”, and the translation must be</w:t>
      </w:r>
      <w:r>
        <w:rPr>
          <w:rStyle w:val="deletedparamark"/>
        </w:rPr>
        <w:t xml:space="preserve"> </w:t>
      </w:r>
      <w:r>
        <w:t>changed.</w:t>
      </w:r>
    </w:p>
    <w:p w:rsidR="00B72047" w:rsidRDefault="00B72047">
      <w:pPr>
        <w:rPr>
          <w:rStyle w:val="htmlparacode"/>
        </w:rPr>
      </w:pPr>
      <w:r>
        <w:rPr>
          <w:rStyle w:val="htmlparacode"/>
        </w:rPr>
        <w:t>&lt;p&gt;</w:t>
      </w:r>
    </w:p>
    <w:p w:rsidR="00B72047" w:rsidRDefault="00B72047">
      <w:pPr>
        <w:pStyle w:val="normalparagraph"/>
      </w:pPr>
      <w:r>
        <w:rPr>
          <w:rStyle w:val="indexentry"/>
        </w:rPr>
        <w:t>&lt;cx "modal sentence connection, effect on modal"&gt;</w:t>
      </w:r>
      <w:r>
        <w:rPr>
          <w:rStyle w:val="indexentry"/>
        </w:rPr>
        <w:fldChar w:fldCharType="begin"/>
      </w:r>
      <w:r>
        <w:instrText>xe "</w:instrText>
      </w:r>
      <w:r>
        <w:rPr>
          <w:rStyle w:val="xeentry"/>
        </w:rPr>
        <w:instrText>modal sentence connection: effect on modal</w:instrText>
      </w:r>
      <w:r>
        <w:instrText>"</w:instrText>
      </w:r>
      <w:r>
        <w:rPr>
          <w:rStyle w:val="indexentry"/>
        </w:rPr>
        <w:fldChar w:fldCharType="end"/>
      </w:r>
      <w:r>
        <w:rPr>
          <w:rStyle w:val="indexentry"/>
        </w:rPr>
        <w:t>&lt;cx "modal sentence connection, relation to modal of first sentence in"&gt;</w:t>
      </w:r>
      <w:r>
        <w:rPr>
          <w:rStyle w:val="indexentry"/>
        </w:rPr>
        <w:fldChar w:fldCharType="begin"/>
      </w:r>
      <w:r>
        <w:instrText>xe "</w:instrText>
      </w:r>
      <w:r>
        <w:rPr>
          <w:rStyle w:val="xeentry"/>
        </w:rPr>
        <w:instrText>modal sentence connection: relation to modal of first sentence in</w:instrText>
      </w:r>
      <w:r>
        <w:instrText>"</w:instrText>
      </w:r>
      <w:r>
        <w:rPr>
          <w:rStyle w:val="indexentry"/>
        </w:rPr>
        <w:fldChar w:fldCharType="end"/>
      </w:r>
      <w:r>
        <w:rPr>
          <w:rStyle w:val="indexentry"/>
        </w:rPr>
        <w:t>&lt;cx "modal sentence connection, relation to modal of second sentence in"&gt;</w:t>
      </w:r>
      <w:r>
        <w:rPr>
          <w:rStyle w:val="indexentry"/>
        </w:rPr>
        <w:fldChar w:fldCharType="begin"/>
      </w:r>
      <w:r>
        <w:instrText>xe "</w:instrText>
      </w:r>
      <w:r>
        <w:rPr>
          <w:rStyle w:val="xeentry"/>
        </w:rPr>
        <w:instrText>modal sentence connection: relation to modal of second sentence in</w:instrText>
      </w:r>
      <w:r>
        <w:instrText>"</w:instrText>
      </w:r>
      <w:r>
        <w:rPr>
          <w:rStyle w:val="indexentry"/>
        </w:rPr>
        <w:fldChar w:fldCharType="end"/>
      </w:r>
      <w:r>
        <w:t xml:space="preserve">The effect of sentences like </w:t>
      </w:r>
      <w:r>
        <w:rPr>
          <w:rStyle w:val="htmlcodes"/>
        </w:rPr>
        <w:t>&lt;a href=#e7d7&gt;</w:t>
      </w:r>
      <w:r>
        <w:t xml:space="preserve">Example 7.7 </w:t>
      </w:r>
      <w:r>
        <w:rPr>
          <w:rStyle w:val="htmlcodes"/>
        </w:rPr>
        <w:t>&lt;/a&gt;</w:t>
      </w:r>
      <w:r>
        <w:t xml:space="preserve">and </w:t>
      </w:r>
      <w:r>
        <w:rPr>
          <w:rStyle w:val="htmlcodes"/>
        </w:rPr>
        <w:t>&lt;a href=#e7d8&gt;</w:t>
      </w:r>
      <w:r>
        <w:t xml:space="preserve">Example 7.8 </w:t>
      </w:r>
      <w:r>
        <w:rPr>
          <w:rStyle w:val="htmlcodes"/>
        </w:rPr>
        <w:t>&lt;/a&gt;</w:t>
      </w:r>
      <w:r>
        <w:t>is that the modal,</w:t>
      </w:r>
      <w:r>
        <w:rPr>
          <w:rStyle w:val="deletedparamark"/>
        </w:rPr>
        <w:t xml:space="preserve"> “</w:t>
      </w:r>
      <w:r>
        <w:t>ri'a” in this example, no longer modifies an explicit sumti. Instead, the</w:t>
      </w:r>
      <w:r>
        <w:rPr>
          <w:rStyle w:val="deletedparamark"/>
        </w:rPr>
        <w:t xml:space="preserve"> </w:t>
      </w:r>
      <w:r>
        <w:t>sumti is im</w:t>
      </w:r>
      <w:r>
        <w:softHyphen/>
        <w:t>plicit, the event given by a full bridi. Furthermore, there is a</w:t>
      </w:r>
      <w:r>
        <w:rPr>
          <w:rStyle w:val="deletedparamark"/>
        </w:rPr>
        <w:t xml:space="preserve"> </w:t>
      </w:r>
      <w:r>
        <w:t>second implication: that the first bridi fills the x2 place of the</w:t>
      </w:r>
      <w:r>
        <w:rPr>
          <w:rStyle w:val="deletedparamark"/>
        </w:rPr>
        <w:t xml:space="preserve"> </w:t>
      </w:r>
      <w:r>
        <w:t>gismu “rinka”; it specifies an event which is the effect. I am therefore</w:t>
      </w:r>
      <w:r>
        <w:rPr>
          <w:rStyle w:val="deletedparamark"/>
        </w:rPr>
        <w:t xml:space="preserve"> </w:t>
      </w:r>
      <w:r>
        <w:t>claiming three things: that the plant grows, that you have watered it,</w:t>
      </w:r>
      <w:r>
        <w:rPr>
          <w:rStyle w:val="deletedparamark"/>
        </w:rPr>
        <w:t xml:space="preserve"> </w:t>
      </w:r>
      <w:r>
        <w:t>and that there is a cause-and-effect relationship be</w:t>
      </w:r>
      <w:r>
        <w:softHyphen/>
        <w:t>tween the two.</w:t>
      </w:r>
    </w:p>
    <w:p w:rsidR="00B72047" w:rsidRDefault="00B72047">
      <w:pPr>
        <w:rPr>
          <w:rStyle w:val="htmlparacode"/>
        </w:rPr>
      </w:pPr>
      <w:r>
        <w:rPr>
          <w:rStyle w:val="htmlparacode"/>
        </w:rPr>
        <w:t>&lt;p&gt;</w:t>
      </w:r>
    </w:p>
    <w:p w:rsidR="00B72047" w:rsidRDefault="00B72047">
      <w:pPr>
        <w:pStyle w:val="normalparagraph"/>
      </w:pPr>
      <w:r>
        <w:rPr>
          <w:rStyle w:val="indexentry"/>
        </w:rPr>
        <w:t>&lt;cx "modal sentence connection, with other than causals"&gt;</w:t>
      </w:r>
      <w:r>
        <w:rPr>
          <w:rStyle w:val="indexentry"/>
        </w:rPr>
        <w:fldChar w:fldCharType="begin"/>
      </w:r>
      <w:r>
        <w:instrText>xe "</w:instrText>
      </w:r>
      <w:r>
        <w:rPr>
          <w:rStyle w:val="xeentry"/>
        </w:rPr>
        <w:instrText>modal sentence connection: with other than causals</w:instrText>
      </w:r>
      <w:r>
        <w:instrText>"</w:instrText>
      </w:r>
      <w:r>
        <w:rPr>
          <w:rStyle w:val="indexentry"/>
        </w:rPr>
        <w:fldChar w:fldCharType="end"/>
      </w:r>
      <w:r>
        <w:t>In principle, any modal tag can appear in a sentence connec</w:t>
      </w:r>
      <w:r>
        <w:softHyphen/>
        <w:t>tive of the</w:t>
      </w:r>
      <w:r>
        <w:rPr>
          <w:rStyle w:val="deletedparamark"/>
        </w:rPr>
        <w:t xml:space="preserve"> </w:t>
      </w:r>
      <w:r>
        <w:t>type ex</w:t>
      </w:r>
      <w:r>
        <w:softHyphen/>
        <w:t>empli</w:t>
      </w:r>
      <w:r>
        <w:softHyphen/>
        <w:t xml:space="preserve">fied by </w:t>
      </w:r>
      <w:r>
        <w:rPr>
          <w:rStyle w:val="htmlcodes"/>
        </w:rPr>
        <w:t>&lt;a href=#e7d7&gt;</w:t>
      </w:r>
      <w:r>
        <w:t xml:space="preserve">Example 7.7 </w:t>
      </w:r>
      <w:r>
        <w:rPr>
          <w:rStyle w:val="htmlcodes"/>
        </w:rPr>
        <w:t>&lt;/a&gt;</w:t>
      </w:r>
      <w:r>
        <w:t xml:space="preserve">and </w:t>
      </w:r>
      <w:r>
        <w:rPr>
          <w:rStyle w:val="htmlcodes"/>
        </w:rPr>
        <w:t>&lt;a href=#e7d8&gt;</w:t>
      </w:r>
      <w:r>
        <w:t>Example 7.8</w:t>
      </w:r>
      <w:r>
        <w:rPr>
          <w:rStyle w:val="htmlcodes"/>
        </w:rPr>
        <w:t>&lt;/a&gt;</w:t>
      </w:r>
      <w:r>
        <w:t>. How</w:t>
      </w:r>
      <w:r>
        <w:softHyphen/>
        <w:t>ever, it makes little</w:t>
      </w:r>
      <w:r>
        <w:rPr>
          <w:rStyle w:val="deletedparamark"/>
        </w:rPr>
        <w:t xml:space="preserve"> </w:t>
      </w:r>
      <w:r>
        <w:t>sense to use any modals which do not expect events or other abstractions to</w:t>
      </w:r>
      <w:r>
        <w:rPr>
          <w:rStyle w:val="deletedparamark"/>
        </w:rPr>
        <w:t xml:space="preserve"> </w:t>
      </w:r>
      <w:r>
        <w:t>fill the places of the corre</w:t>
      </w:r>
      <w:r>
        <w:softHyphen/>
        <w:t>sponding gismu. The sentence connective “.ibaubo”</w:t>
      </w:r>
      <w:r>
        <w:rPr>
          <w:rStyle w:val="deletedparamark"/>
        </w:rPr>
        <w:t xml:space="preserve"> </w:t>
      </w:r>
      <w:r>
        <w:t>is perfectly grammatical, but it is hard to imagine any two sentences</w:t>
      </w:r>
      <w:r>
        <w:rPr>
          <w:rStyle w:val="deletedparamark"/>
        </w:rPr>
        <w:t xml:space="preserve"> </w:t>
      </w:r>
      <w:r>
        <w:t>which could be connected by an “in-language” mo</w:t>
      </w:r>
      <w:r>
        <w:softHyphen/>
        <w:t>dal. This is because a</w:t>
      </w:r>
      <w:r>
        <w:rPr>
          <w:rStyle w:val="deletedparamark"/>
        </w:rPr>
        <w:t xml:space="preserve"> </w:t>
      </w:r>
      <w:r>
        <w:t>sentence describes an event, and an event can be a cause or an effect, but</w:t>
      </w:r>
      <w:r>
        <w:rPr>
          <w:rStyle w:val="deletedparamark"/>
        </w:rPr>
        <w:t xml:space="preserve"> </w:t>
      </w:r>
      <w:r>
        <w:t>not a language.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317" w:name="_Toc398970563"/>
      <w:r>
        <w:rPr>
          <w:rStyle w:val="Heading3Text"/>
        </w:rPr>
        <w:t>Other modal connections</w:t>
      </w:r>
      <w:bookmarkEnd w:id="317"/>
      <w:r>
        <w:rPr>
          <w:rStyle w:val="htmlcodes"/>
        </w:rPr>
        <w:t>&lt;/h3&gt;</w:t>
      </w:r>
    </w:p>
    <w:p w:rsidR="00B72047" w:rsidRDefault="00B72047">
      <w:pPr>
        <w:rPr>
          <w:rStyle w:val="htmlparacode"/>
        </w:rPr>
      </w:pPr>
      <w:r>
        <w:rPr>
          <w:rStyle w:val="htmlparacode"/>
        </w:rPr>
        <w:t>&lt;p&gt;</w:t>
      </w:r>
    </w:p>
    <w:p w:rsidR="00B72047" w:rsidRDefault="00B72047">
      <w:pPr>
        <w:pStyle w:val="normalparagraph"/>
      </w:pPr>
      <w:r>
        <w:t>Like many Lojban grammatical constructions, sentence mo</w:t>
      </w:r>
      <w:r>
        <w:softHyphen/>
        <w:t>dal connection has</w:t>
      </w:r>
      <w:r>
        <w:rPr>
          <w:rStyle w:val="deletedparamark"/>
        </w:rPr>
        <w:t xml:space="preserve"> </w:t>
      </w:r>
      <w:r>
        <w:t xml:space="preserve">both forethought and afterthought forms. (See </w:t>
      </w:r>
      <w:r>
        <w:rPr>
          <w:rStyle w:val="htmlcodes"/>
        </w:rPr>
        <w:t>&lt;a href=chap14.html&gt;</w:t>
      </w:r>
      <w:r>
        <w:t xml:space="preserve">Chapter 14 </w:t>
      </w:r>
      <w:r>
        <w:rPr>
          <w:rStyle w:val="htmlcodes"/>
        </w:rPr>
        <w:t>&lt;/a&gt;</w:t>
      </w:r>
      <w:r>
        <w:t>for a more</w:t>
      </w:r>
      <w:r>
        <w:rPr>
          <w:rStyle w:val="deletedparamark"/>
        </w:rPr>
        <w:t xml:space="preserve"> </w:t>
      </w:r>
      <w:r>
        <w:t xml:space="preserve">detailed discussion of Lojban connectives.) </w:t>
      </w:r>
      <w:r>
        <w:rPr>
          <w:rStyle w:val="htmlcodes"/>
        </w:rPr>
        <w:t>&lt;a href=#s7&gt;</w:t>
      </w:r>
      <w:r>
        <w:t xml:space="preserve">Section 7 </w:t>
      </w:r>
      <w:r>
        <w:rPr>
          <w:rStyle w:val="htmlcodes"/>
        </w:rPr>
        <w:t>&lt;/a&gt;</w:t>
      </w:r>
      <w:r>
        <w:t>exemplifies only</w:t>
      </w:r>
      <w:r>
        <w:rPr>
          <w:rStyle w:val="deletedparamark"/>
        </w:rPr>
        <w:t xml:space="preserve"> </w:t>
      </w:r>
      <w:r>
        <w:t>afterthought modal connection, il</w:t>
      </w:r>
      <w:r>
        <w:softHyphen/>
        <w:t>lus</w:t>
      </w:r>
      <w:r>
        <w:softHyphen/>
        <w:t>trated here by:</w:t>
      </w:r>
    </w:p>
    <w:p w:rsidR="00B72047" w:rsidRDefault="00B72047">
      <w:pPr>
        <w:rPr>
          <w:rStyle w:val="htmlparacode"/>
        </w:rPr>
      </w:pPr>
      <w:r>
        <w:rPr>
          <w:rStyle w:val="htmlparacode"/>
        </w:rPr>
        <w:t>&lt;p&gt;</w:t>
      </w:r>
    </w:p>
    <w:p w:rsidR="00B72047" w:rsidRDefault="00B72047">
      <w:pPr>
        <w:pStyle w:val="examplescaledpre"/>
      </w:pPr>
      <w:r>
        <w:rPr>
          <w:rStyle w:val="indexentry"/>
        </w:rPr>
        <w:t>&lt;ex "grasp water"&gt;</w:t>
      </w:r>
      <w:r>
        <w:rPr>
          <w:rStyle w:val="indexentry"/>
        </w:rPr>
        <w:fldChar w:fldCharType="begin"/>
      </w:r>
      <w:r>
        <w:instrText>xe "</w:instrText>
      </w:r>
      <w:r>
        <w:rPr>
          <w:rStyle w:val="xeentry"/>
        </w:rPr>
        <w:instrText>grasp water: example</w:instrText>
      </w:r>
      <w:r>
        <w:instrText>"</w:instrText>
      </w:r>
      <w:r>
        <w:rPr>
          <w:rStyle w:val="indexentry"/>
        </w:rPr>
        <w:fldChar w:fldCharType="end"/>
      </w:r>
      <w:r>
        <w:rPr>
          <w:rStyle w:val="htmlcodes"/>
        </w:rPr>
        <w:t>&lt;pre&gt;&lt;a name=e8d1&gt;</w:t>
      </w:r>
      <w:r>
        <w:t>8.1)</w:t>
      </w:r>
      <w:r>
        <w:tab/>
        <w:t>mi jgari lei djacu .iri'abo mi jgari le kabri</w:t>
      </w:r>
    </w:p>
    <w:p w:rsidR="00B72047" w:rsidRDefault="00B72047">
      <w:pPr>
        <w:pStyle w:val="examplescaled"/>
      </w:pPr>
      <w:r>
        <w:tab/>
        <w:t>I grasp the-mass-of water with-physical-cause I grasp the cup.</w:t>
      </w:r>
    </w:p>
    <w:p w:rsidR="00B72047" w:rsidRDefault="00B72047">
      <w:pPr>
        <w:pStyle w:val="examplescaled"/>
      </w:pPr>
      <w:r>
        <w:tab/>
        <w:t>Causing the mass of water to be grasped by me, I grasped the cup.</w:t>
      </w:r>
    </w:p>
    <w:p w:rsidR="00B72047" w:rsidRDefault="00B72047">
      <w:pPr>
        <w:pStyle w:val="examplescaled"/>
      </w:pPr>
      <w:r>
        <w:tab/>
        <w:t>I grasp the water because I grasp the cup.</w:t>
      </w:r>
    </w:p>
    <w:p w:rsidR="00B72047" w:rsidRDefault="00B72047">
      <w:pPr>
        <w:pStyle w:val="resumedafterexample"/>
      </w:pPr>
      <w:r>
        <w:rPr>
          <w:rStyle w:val="htmlcodes"/>
        </w:rPr>
        <w:t>&lt;/pre&gt;</w:t>
      </w:r>
      <w:r>
        <w:rPr>
          <w:rStyle w:val="indexentry"/>
        </w:rPr>
        <w:t>&lt;cx "afterthought connection, definition"&gt;</w:t>
      </w:r>
      <w:r>
        <w:rPr>
          <w:rStyle w:val="indexentry"/>
        </w:rPr>
        <w:fldChar w:fldCharType="begin"/>
      </w:r>
      <w:r>
        <w:instrText>xe "</w:instrText>
      </w:r>
      <w:r>
        <w:rPr>
          <w:rStyle w:val="xeentry"/>
        </w:rPr>
        <w:instrText>afterthought connection: definition</w:instrText>
      </w:r>
      <w:r>
        <w:instrText>"</w:instrText>
      </w:r>
      <w:r>
        <w:rPr>
          <w:rStyle w:val="indexentry"/>
        </w:rPr>
        <w:fldChar w:fldCharType="end"/>
      </w:r>
      <w:r>
        <w:rPr>
          <w:rStyle w:val="indexentry"/>
        </w:rPr>
        <w:t>&lt;cx "forethought connection, definition"&gt;</w:t>
      </w:r>
      <w:r>
        <w:rPr>
          <w:rStyle w:val="indexentry"/>
        </w:rPr>
        <w:fldChar w:fldCharType="begin"/>
      </w:r>
      <w:r>
        <w:instrText>xe "</w:instrText>
      </w:r>
      <w:r>
        <w:rPr>
          <w:rStyle w:val="xeentry"/>
        </w:rPr>
        <w:instrText>forethought connection: definition</w:instrText>
      </w:r>
      <w:r>
        <w:instrText>"</w:instrText>
      </w:r>
      <w:r>
        <w:rPr>
          <w:rStyle w:val="indexentry"/>
        </w:rPr>
        <w:fldChar w:fldCharType="end"/>
      </w:r>
      <w:r>
        <w:t>An afterthought connection is one that is signaled only by a cmavo (or</w:t>
      </w:r>
      <w:r>
        <w:rPr>
          <w:rStyle w:val="deletedparamark"/>
        </w:rPr>
        <w:t xml:space="preserve"> a </w:t>
      </w:r>
      <w:r>
        <w:t>compound cmavo, in this case) between the two constructs being connected.</w:t>
      </w:r>
      <w:r>
        <w:rPr>
          <w:rStyle w:val="deletedparamark"/>
        </w:rPr>
        <w:t xml:space="preserve"> </w:t>
      </w:r>
      <w:r>
        <w:t>Forethought connec</w:t>
      </w:r>
      <w:r>
        <w:softHyphen/>
        <w:t>tion uses a signal both before the first construct and</w:t>
      </w:r>
      <w:r>
        <w:rPr>
          <w:rStyle w:val="deletedparamark"/>
        </w:rPr>
        <w:t xml:space="preserve"> </w:t>
      </w:r>
      <w:r>
        <w:t>between the two: the use of “both” and “and” in the first half of this</w:t>
      </w:r>
      <w:r>
        <w:rPr>
          <w:rStyle w:val="deletedparamark"/>
        </w:rPr>
        <w:t xml:space="preserve"> </w:t>
      </w:r>
      <w:r>
        <w:t>sentence represents a forethought connection (though not a modal one).</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modal sentence connection"&gt;</w:t>
      </w:r>
      <w:r>
        <w:rPr>
          <w:rStyle w:val="indexentry"/>
        </w:rPr>
        <w:fldChar w:fldCharType="begin"/>
      </w:r>
      <w:r>
        <w:instrText>xe "</w:instrText>
      </w:r>
      <w:r>
        <w:rPr>
          <w:rStyle w:val="xeentry"/>
        </w:rPr>
        <w:instrText>forethought modal sentence connection</w:instrText>
      </w:r>
      <w:r>
        <w:instrText>"</w:instrText>
      </w:r>
      <w:r>
        <w:rPr>
          <w:rStyle w:val="indexentry"/>
        </w:rPr>
        <w:fldChar w:fldCharType="end"/>
      </w:r>
      <w:r>
        <w:rPr>
          <w:rStyle w:val="indexentry"/>
        </w:rPr>
        <w:t>&lt;cx "modal sentence connection, forethought"&gt;</w:t>
      </w:r>
      <w:r>
        <w:rPr>
          <w:rStyle w:val="indexentry"/>
        </w:rPr>
        <w:fldChar w:fldCharType="begin"/>
      </w:r>
      <w:r>
        <w:instrText>xe "</w:instrText>
      </w:r>
      <w:r>
        <w:rPr>
          <w:rStyle w:val="xeentry"/>
        </w:rPr>
        <w:instrText>modal sentence connection: forethought</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t>To make forethought modal sentence connections in Lojban, place the modal</w:t>
      </w:r>
      <w:r>
        <w:rPr>
          <w:rStyle w:val="deletedparamark"/>
        </w:rPr>
        <w:t xml:space="preserve"> </w:t>
      </w:r>
      <w:r>
        <w:t>plus “gi” before the first bridi, and “gi” between the two. No “.i” is</w:t>
      </w:r>
      <w:r>
        <w:rPr>
          <w:rStyle w:val="deletedparamark"/>
        </w:rPr>
        <w:t xml:space="preserve"> </w:t>
      </w:r>
      <w:r>
        <w:t>used within the con</w:t>
      </w:r>
      <w:r>
        <w:softHyphen/>
        <w:t xml:space="preserve">struct. The forethought equivalent of </w:t>
      </w:r>
      <w:r>
        <w:rPr>
          <w:rStyle w:val="htmlcodes"/>
        </w:rPr>
        <w:t>&lt;a href=#e8d1&gt;</w:t>
      </w:r>
      <w:r>
        <w:t xml:space="preserve">Example 8.1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ri'agi mi jgari le kabri gi mi jgari lei djacu</w:t>
      </w:r>
    </w:p>
    <w:p w:rsidR="00B72047" w:rsidRDefault="00B72047">
      <w:pPr>
        <w:pStyle w:val="examplescaled"/>
      </w:pPr>
      <w:r>
        <w:tab/>
        <w:t>With-physical-cause I grasp the cup, I grasp the-mass-of water.</w:t>
      </w:r>
    </w:p>
    <w:p w:rsidR="00B72047" w:rsidRDefault="00B72047">
      <w:pPr>
        <w:pStyle w:val="examplescaled"/>
      </w:pPr>
      <w:r>
        <w:tab/>
        <w:t>Because I grasp the cup, I grasp the water.</w:t>
      </w:r>
    </w:p>
    <w:p w:rsidR="00B72047" w:rsidRDefault="00B72047">
      <w:pPr>
        <w:pStyle w:val="resumedafterexample"/>
      </w:pPr>
      <w:r>
        <w:rPr>
          <w:rStyle w:val="htmlcodes"/>
        </w:rPr>
        <w:t>&lt;/pre&gt;</w:t>
      </w:r>
      <w:r>
        <w:rPr>
          <w:rStyle w:val="indexentry"/>
        </w:rPr>
        <w:t>&lt;cx "forethought modal sentence connection for causals, order of cause and effect"&gt;</w:t>
      </w:r>
      <w:r>
        <w:rPr>
          <w:rStyle w:val="indexentry"/>
        </w:rPr>
        <w:fldChar w:fldCharType="begin"/>
      </w:r>
      <w:r>
        <w:instrText>xe "</w:instrText>
      </w:r>
      <w:r>
        <w:rPr>
          <w:rStyle w:val="xeentry"/>
        </w:rPr>
        <w:instrText>forethought modal sentence connection for causals: order of cause and effect</w:instrText>
      </w:r>
      <w:r>
        <w:instrText>"</w:instrText>
      </w:r>
      <w:r>
        <w:rPr>
          <w:rStyle w:val="indexentry"/>
        </w:rPr>
        <w:fldChar w:fldCharType="end"/>
      </w:r>
      <w:r>
        <w:rPr>
          <w:rStyle w:val="indexentry"/>
        </w:rPr>
        <w:t>&lt;cx "forethought modal sentence connection, relation to modal of first bridi in"&gt;</w:t>
      </w:r>
      <w:r>
        <w:rPr>
          <w:rStyle w:val="indexentry"/>
        </w:rPr>
        <w:fldChar w:fldCharType="begin"/>
      </w:r>
      <w:r>
        <w:instrText>xe "</w:instrText>
      </w:r>
      <w:r>
        <w:rPr>
          <w:rStyle w:val="xeentry"/>
        </w:rPr>
        <w:instrText>forethought modal sentence connection: relation to modal of first bridi in</w:instrText>
      </w:r>
      <w:r>
        <w:instrText>"</w:instrText>
      </w:r>
      <w:r>
        <w:rPr>
          <w:rStyle w:val="indexentry"/>
        </w:rPr>
        <w:fldChar w:fldCharType="end"/>
      </w:r>
      <w:r>
        <w:rPr>
          <w:rStyle w:val="indexentry"/>
        </w:rPr>
        <w:t>&lt;cx "forethought modal sentence connection, relation to modal of second bridi in"&gt;</w:t>
      </w:r>
      <w:r>
        <w:rPr>
          <w:rStyle w:val="indexentry"/>
        </w:rPr>
        <w:fldChar w:fldCharType="begin"/>
      </w:r>
      <w:r>
        <w:instrText>xe "</w:instrText>
      </w:r>
      <w:r>
        <w:rPr>
          <w:rStyle w:val="xeentry"/>
        </w:rPr>
        <w:instrText>forethought modal sentence connection: relation to modal of second bridi in</w:instrText>
      </w:r>
      <w:r>
        <w:instrText>"</w:instrText>
      </w:r>
      <w:r>
        <w:rPr>
          <w:rStyle w:val="indexentry"/>
        </w:rPr>
        <w:fldChar w:fldCharType="end"/>
      </w:r>
      <w:r>
        <w:t>Note that the cause, the x1 of “rinka” is now placed first. To keep the</w:t>
      </w:r>
      <w:r>
        <w:rPr>
          <w:rStyle w:val="deletedparamark"/>
        </w:rPr>
        <w:t xml:space="preserve"> </w:t>
      </w:r>
      <w:r>
        <w:t xml:space="preserve">two bridi in the original order of </w:t>
      </w:r>
      <w:r>
        <w:rPr>
          <w:rStyle w:val="htmlcodes"/>
        </w:rPr>
        <w:t>&lt;a href=#e8d1&gt;</w:t>
      </w:r>
      <w:r>
        <w:t>Example 8.1</w:t>
      </w:r>
      <w:r>
        <w:rPr>
          <w:rStyle w:val="htmlcodes"/>
        </w:rPr>
        <w:t>&lt;/a&gt;</w:t>
      </w:r>
      <w:r>
        <w:t>, we could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seri'agi mi jgari lei djacu gi mi jgari le kabri</w:t>
      </w:r>
    </w:p>
    <w:p w:rsidR="00B72047" w:rsidRDefault="00B72047">
      <w:pPr>
        <w:pStyle w:val="examplescaled"/>
      </w:pPr>
      <w:r>
        <w:tab/>
        <w:t>With-physical-effect I grasp the-mass-of water, I grasp the cup.</w:t>
      </w:r>
    </w:p>
    <w:p w:rsidR="00B72047" w:rsidRDefault="00B72047">
      <w:pPr>
        <w:pStyle w:val="resumedafterexample"/>
      </w:pPr>
      <w:r>
        <w:rPr>
          <w:rStyle w:val="htmlcodes"/>
        </w:rPr>
        <w:t>&lt;/pre&gt;&lt;p&gt;</w:t>
      </w:r>
      <w:r>
        <w:t>In English, the sentence “*Therefore I grasp the water, I grasp the cup”</w:t>
      </w:r>
      <w:r>
        <w:rPr>
          <w:rStyle w:val="deletedparamark"/>
        </w:rPr>
        <w:t xml:space="preserve"> </w:t>
      </w:r>
      <w:r>
        <w:t>is ungrammati</w:t>
      </w:r>
      <w:r>
        <w:softHyphen/>
        <w:t>cal, because “therefore” is not grammatically equivalent to</w:t>
      </w:r>
      <w:r>
        <w:rPr>
          <w:rStyle w:val="deletedparamark"/>
        </w:rPr>
        <w:t xml:space="preserve"> “</w:t>
      </w:r>
      <w:r>
        <w:t>because”. In Lojban, “seri'agi” can be used just like “ri'agi”.</w:t>
      </w:r>
    </w:p>
    <w:p w:rsidR="00B72047" w:rsidRDefault="00B72047">
      <w:pPr>
        <w:rPr>
          <w:rStyle w:val="htmlparacode"/>
        </w:rPr>
      </w:pPr>
      <w:r>
        <w:rPr>
          <w:rStyle w:val="htmlparacode"/>
        </w:rPr>
        <w:t>&lt;p&gt;</w:t>
      </w:r>
    </w:p>
    <w:p w:rsidR="00B72047" w:rsidRDefault="00B72047">
      <w:pPr>
        <w:pStyle w:val="normalparagraph"/>
      </w:pPr>
      <w:r>
        <w:rPr>
          <w:rStyle w:val="indexentry"/>
        </w:rPr>
        <w:t>&lt;cx "modal sentence connection, condensing"&gt;</w:t>
      </w:r>
      <w:r>
        <w:rPr>
          <w:rStyle w:val="indexentry"/>
        </w:rPr>
        <w:fldChar w:fldCharType="begin"/>
      </w:r>
      <w:r>
        <w:instrText>xe "</w:instrText>
      </w:r>
      <w:r>
        <w:rPr>
          <w:rStyle w:val="xeentry"/>
        </w:rPr>
        <w:instrText>modal sentence connection: condensing</w:instrText>
      </w:r>
      <w:r>
        <w:instrText>"</w:instrText>
      </w:r>
      <w:r>
        <w:rPr>
          <w:rStyle w:val="indexentry"/>
        </w:rPr>
        <w:fldChar w:fldCharType="end"/>
      </w:r>
      <w:r>
        <w:t>When the two bridi joined by a modal connection have one or more elements</w:t>
      </w:r>
      <w:r>
        <w:rPr>
          <w:rStyle w:val="deletedparamark"/>
        </w:rPr>
        <w:t xml:space="preserve"> </w:t>
      </w:r>
      <w:r>
        <w:t>(selbri or sumti or both) in common, there are various condensed forms</w:t>
      </w:r>
      <w:r>
        <w:rPr>
          <w:rStyle w:val="deletedparamark"/>
        </w:rPr>
        <w:t xml:space="preserve"> </w:t>
      </w:r>
      <w:r>
        <w:t>that can be used in place of full modal sentence connection with both</w:t>
      </w:r>
      <w:r>
        <w:rPr>
          <w:rStyle w:val="deletedparamark"/>
        </w:rPr>
        <w:t xml:space="preserve"> </w:t>
      </w:r>
      <w:r>
        <w:t>bridi completely stated.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"modal sumti connection"&gt;</w:t>
      </w:r>
      <w:r>
        <w:rPr>
          <w:rStyle w:val="indexentry"/>
        </w:rPr>
        <w:fldChar w:fldCharType="begin"/>
      </w:r>
      <w:r>
        <w:instrText>xe "</w:instrText>
      </w:r>
      <w:r>
        <w:rPr>
          <w:rStyle w:val="xeentry"/>
        </w:rPr>
        <w:instrText>modal sumti connection</w:instrText>
      </w:r>
      <w:r>
        <w:instrText>"</w:instrText>
      </w:r>
      <w:r>
        <w:rPr>
          <w:rStyle w:val="indexentry"/>
        </w:rPr>
        <w:fldChar w:fldCharType="end"/>
      </w:r>
      <w:r>
        <w:rPr>
          <w:rStyle w:val="indexentry"/>
        </w:rPr>
        <w:t>&lt;cx "sumti modal connection"&gt;</w:t>
      </w:r>
      <w:r>
        <w:rPr>
          <w:rStyle w:val="indexentry"/>
        </w:rPr>
        <w:fldChar w:fldCharType="begin"/>
      </w:r>
      <w:r>
        <w:instrText>xe "</w:instrText>
      </w:r>
      <w:r>
        <w:rPr>
          <w:rStyle w:val="xeentry"/>
        </w:rPr>
        <w:instrText>sumti modal connection</w:instrText>
      </w:r>
      <w:r>
        <w:instrText>"</w:instrText>
      </w:r>
      <w:r>
        <w:rPr>
          <w:rStyle w:val="indexentry"/>
        </w:rPr>
        <w:fldChar w:fldCharType="end"/>
      </w:r>
      <w:r>
        <w:t>When the bridi are the same except for a single sumti, as in Examples 8.1</w:t>
      </w:r>
      <w:r>
        <w:rPr>
          <w:rStyle w:val="deletedparamark"/>
        </w:rPr>
        <w:t xml:space="preserve"> </w:t>
      </w:r>
      <w:r>
        <w:t>through 8.3, then a sumti modal connection may be employed: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mi jgari ri'agi le kabri gi lei djacu</w:t>
      </w:r>
    </w:p>
    <w:p w:rsidR="00B72047" w:rsidRDefault="00B72047">
      <w:pPr>
        <w:pStyle w:val="examplescaled"/>
      </w:pPr>
      <w:r>
        <w:tab/>
        <w:t>I grasp because the cup, the-mass-of water.</w:t>
      </w:r>
    </w:p>
    <w:p w:rsidR="00B72047" w:rsidRDefault="00B72047">
      <w:pPr>
        <w:pStyle w:val="resumedafterexample"/>
      </w:pPr>
      <w:r>
        <w:rPr>
          <w:rStyle w:val="htmlcodes"/>
        </w:rPr>
        <w:t>&lt;/pre&gt;&lt;a href=#e8d4&gt;</w:t>
      </w:r>
      <w:r>
        <w:t xml:space="preserve">Example 8.4 </w:t>
      </w:r>
      <w:r>
        <w:rPr>
          <w:rStyle w:val="htmlcodes"/>
        </w:rPr>
        <w:t>&lt;/a&gt;</w:t>
      </w:r>
      <w:r>
        <w:t xml:space="preserve">means exactly the same as </w:t>
      </w:r>
      <w:r>
        <w:rPr>
          <w:rStyle w:val="htmlcodes"/>
        </w:rPr>
        <w:t>&lt;a href=#e8d{1}&gt;</w:t>
      </w:r>
      <w:r>
        <w:t xml:space="preserve">Examples 8.1 </w:t>
      </w:r>
      <w:r>
        <w:rPr>
          <w:rStyle w:val="htmlcodes"/>
        </w:rPr>
        <w:t>&lt;/a&gt;</w:t>
      </w:r>
      <w:r>
        <w:t xml:space="preserve">through </w:t>
      </w:r>
      <w:r>
        <w:rPr>
          <w:rStyle w:val="htmlcodes"/>
        </w:rPr>
        <w:t>&lt;a href=#e8d3&gt;</w:t>
      </w:r>
      <w:r>
        <w:t>8.3</w:t>
      </w:r>
      <w:r>
        <w:rPr>
          <w:rStyle w:val="htmlcodes"/>
        </w:rPr>
        <w:t>&lt;/a&gt;</w:t>
      </w:r>
      <w:r>
        <w:t>, but there</w:t>
      </w:r>
      <w:r>
        <w:rPr>
          <w:rStyle w:val="deletedparamark"/>
        </w:rPr>
        <w:t xml:space="preserve"> </w:t>
      </w:r>
      <w:r>
        <w:t>is no idio</w:t>
      </w:r>
      <w:r>
        <w:softHyphen/>
        <w:t>matic English translation that will distinguish it from them.</w:t>
      </w:r>
    </w:p>
    <w:p w:rsidR="00B72047" w:rsidRDefault="00B72047">
      <w:pPr>
        <w:rPr>
          <w:rStyle w:val="htmlparacode"/>
        </w:rPr>
      </w:pPr>
      <w:r>
        <w:rPr>
          <w:rStyle w:val="htmlparacode"/>
        </w:rPr>
        <w:t>&lt;p&gt;</w:t>
      </w:r>
    </w:p>
    <w:p w:rsidR="00B72047" w:rsidRDefault="00B72047">
      <w:pPr>
        <w:pStyle w:val="normalparagraph"/>
      </w:pPr>
      <w:r>
        <w:rPr>
          <w:rStyle w:val="indexentry"/>
        </w:rPr>
        <w:t>&lt;cx "modal termset connection"&gt;</w:t>
      </w:r>
      <w:r>
        <w:rPr>
          <w:rStyle w:val="indexentry"/>
        </w:rPr>
        <w:fldChar w:fldCharType="begin"/>
      </w:r>
      <w:r>
        <w:instrText>xe "</w:instrText>
      </w:r>
      <w:r>
        <w:rPr>
          <w:rStyle w:val="xeentry"/>
        </w:rPr>
        <w:instrText>modals: termset connection</w:instrText>
      </w:r>
      <w:r>
        <w:instrText>"</w:instrText>
      </w:r>
      <w:r>
        <w:rPr>
          <w:rStyle w:val="indexentry"/>
        </w:rPr>
        <w:fldChar w:fldCharType="end"/>
      </w:r>
      <w:r>
        <w:rPr>
          <w:rStyle w:val="indexentry"/>
        </w:rPr>
        <w:t>&lt;cx "termset modal connection"&gt;</w:t>
      </w:r>
      <w:r>
        <w:rPr>
          <w:rStyle w:val="indexentry"/>
        </w:rPr>
        <w:fldChar w:fldCharType="begin"/>
      </w:r>
      <w:r>
        <w:instrText>xe "</w:instrText>
      </w:r>
      <w:r>
        <w:rPr>
          <w:rStyle w:val="xeentry"/>
        </w:rPr>
        <w:instrText>termset modal connection</w:instrText>
      </w:r>
      <w:r>
        <w:instrText>"</w:instrText>
      </w:r>
      <w:r>
        <w:rPr>
          <w:rStyle w:val="indexentry"/>
        </w:rPr>
        <w:fldChar w:fldCharType="end"/>
      </w:r>
      <w:r>
        <w:t>If the two connected bridi are different in more than one sumti, then a</w:t>
      </w:r>
      <w:r>
        <w:rPr>
          <w:rStyle w:val="deletedparamark"/>
        </w:rPr>
        <w:t xml:space="preserve"> </w:t>
      </w:r>
      <w:r>
        <w:t xml:space="preserve">termset may be employed. Termsets are explained more fully in </w:t>
      </w:r>
      <w:r>
        <w:rPr>
          <w:rStyle w:val="htmlcodes"/>
        </w:rPr>
        <w:t>&lt;a href=chap14.html&gt;</w:t>
      </w:r>
      <w:r>
        <w:t>Chapter 14</w:t>
      </w:r>
      <w:r>
        <w:rPr>
          <w:rStyle w:val="htmlcodes"/>
        </w:rPr>
        <w:t>&lt;/a&gt;</w:t>
      </w:r>
      <w:r>
        <w:t>,</w:t>
      </w:r>
      <w:r>
        <w:rPr>
          <w:rStyle w:val="deletedparamark"/>
        </w:rPr>
        <w:t xml:space="preserve"> </w:t>
      </w:r>
      <w:r>
        <w:t>but are essentially a mech</w:t>
      </w:r>
      <w:r>
        <w:t>a</w:t>
      </w:r>
      <w:r>
        <w:softHyphen/>
        <w:t>nism for creating connections between multiple</w:t>
      </w:r>
      <w:r>
        <w:rPr>
          <w:rStyle w:val="deletedparamark"/>
        </w:rPr>
        <w:t xml:space="preserve"> </w:t>
      </w:r>
      <w:r>
        <w:t>sumti simultaneously.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mi dunda le cukta la djan.  .imu'ibo la djan. dunda lei jdini mi</w:t>
      </w:r>
    </w:p>
    <w:p w:rsidR="00B72047" w:rsidRDefault="00B72047">
      <w:pPr>
        <w:pStyle w:val="examplescaled"/>
      </w:pPr>
      <w:r>
        <w:tab/>
        <w:t>I gave the book to John.  Motivated-by John gave the-mass-of money to-me.</w:t>
      </w:r>
    </w:p>
    <w:p w:rsidR="00B72047" w:rsidRDefault="00B72047">
      <w:pPr>
        <w:pStyle w:val="examplescaled"/>
      </w:pPr>
      <w:r>
        <w:tab/>
        <w:t>I gave the book to John, because John gave money to me.</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indexentry"/>
        </w:rPr>
        <w:t>&lt;lx "nu'i"&gt;</w:t>
      </w:r>
      <w:r>
        <w:rPr>
          <w:rStyle w:val="indexentry"/>
        </w:rPr>
        <w:fldChar w:fldCharType="begin"/>
      </w:r>
      <w:r>
        <w:instrText>xe "</w:instrText>
      </w:r>
      <w:r>
        <w:rPr>
          <w:rStyle w:val="xeentry"/>
        </w:rPr>
        <w:instrText>nu'i</w:instrText>
      </w:r>
      <w:r>
        <w:instrText>"</w:instrText>
      </w:r>
      <w:r>
        <w:rPr>
          <w:rStyle w:val="indexentry"/>
        </w:rPr>
        <w:fldChar w:fldCharType="end"/>
      </w:r>
      <w:r>
        <w:rPr>
          <w:rStyle w:val="indexentry"/>
        </w:rPr>
        <w:t>&lt;lx "nu'u"&gt;</w:t>
      </w:r>
      <w:r>
        <w:rPr>
          <w:rStyle w:val="indexentry"/>
        </w:rPr>
        <w:fldChar w:fldCharType="begin"/>
      </w:r>
      <w:r>
        <w:instrText>xe "</w:instrText>
      </w:r>
      <w:r>
        <w:rPr>
          <w:rStyle w:val="xeentry"/>
        </w:rPr>
        <w:instrText>nu'u</w:instrText>
      </w:r>
      <w:r>
        <w:instrText>"</w:instrText>
      </w:r>
      <w:r>
        <w:rPr>
          <w:rStyle w:val="indexentry"/>
        </w:rPr>
        <w:fldChar w:fldCharType="end"/>
      </w:r>
      <w:r>
        <w:rPr>
          <w:rStyle w:val="htmlcodes"/>
        </w:rPr>
        <w:t>&lt;pre&gt;&lt;a name=e8d6&gt;</w:t>
      </w:r>
      <w:r>
        <w:t>8.6)</w:t>
      </w:r>
      <w:r>
        <w:tab/>
        <w:t>nu'i mu'igi mi le cukta la djan. gi la djan. lei jdini mi nu'u dunda</w:t>
      </w:r>
    </w:p>
    <w:p w:rsidR="00B72047" w:rsidRDefault="00B72047">
      <w:pPr>
        <w:pStyle w:val="examplescaled"/>
      </w:pPr>
      <w:r>
        <w:tab/>
        <w:t>[start] because I, the book, John; John, the-mass-of money, me [end] gives.</w:t>
      </w:r>
    </w:p>
    <w:p w:rsidR="00B72047" w:rsidRDefault="00B72047">
      <w:pPr>
        <w:pStyle w:val="resumedafterexample"/>
      </w:pPr>
      <w:r>
        <w:rPr>
          <w:rStyle w:val="htmlcodes"/>
        </w:rPr>
        <w:t>&lt;/pre&gt;&lt;p&gt;</w:t>
      </w:r>
      <w:r>
        <w:t>Here there are three sumti in each half of the termset, because the two</w:t>
      </w:r>
      <w:r>
        <w:rPr>
          <w:rStyle w:val="deletedparamark"/>
        </w:rPr>
        <w:t xml:space="preserve"> </w:t>
      </w:r>
      <w:r>
        <w:t>bridi share only their selbri.</w:t>
      </w:r>
    </w:p>
    <w:p w:rsidR="00B72047" w:rsidRDefault="00B72047">
      <w:pPr>
        <w:rPr>
          <w:rStyle w:val="htmlparacode"/>
        </w:rPr>
      </w:pPr>
      <w:r>
        <w:rPr>
          <w:rStyle w:val="htmlparacode"/>
        </w:rPr>
        <w:t>&lt;p&gt;</w:t>
      </w:r>
    </w:p>
    <w:p w:rsidR="00B72047" w:rsidRDefault="00B72047">
      <w:pPr>
        <w:pStyle w:val="normalparagraph"/>
      </w:pPr>
      <w:r>
        <w:rPr>
          <w:rStyle w:val="indexentry"/>
        </w:rPr>
        <w:t>&lt;cx "modal connection of selbri, using bridi-tail modal connection"&gt;</w:t>
      </w:r>
      <w:r>
        <w:rPr>
          <w:rStyle w:val="indexentry"/>
        </w:rPr>
        <w:fldChar w:fldCharType="begin"/>
      </w:r>
      <w:r>
        <w:instrText>xe "</w:instrText>
      </w:r>
      <w:r>
        <w:rPr>
          <w:rStyle w:val="xeentry"/>
        </w:rPr>
        <w:instrText>modal connection of selbri: using bridi-tail modal connection</w:instrText>
      </w:r>
      <w:r>
        <w:instrText>"</w:instrText>
      </w:r>
      <w:r>
        <w:rPr>
          <w:rStyle w:val="indexentry"/>
        </w:rPr>
        <w:fldChar w:fldCharType="end"/>
      </w:r>
      <w:r>
        <w:rPr>
          <w:rStyle w:val="indexentry"/>
        </w:rPr>
        <w:t>&lt;cx "modal bridi-tail connection"&gt;</w:t>
      </w:r>
      <w:r>
        <w:rPr>
          <w:rStyle w:val="indexentry"/>
        </w:rPr>
        <w:fldChar w:fldCharType="begin"/>
      </w:r>
      <w:r>
        <w:instrText>xe "</w:instrText>
      </w:r>
      <w:r>
        <w:rPr>
          <w:rStyle w:val="xeentry"/>
        </w:rPr>
        <w:instrText>modal bridi-tail connection</w:instrText>
      </w:r>
      <w:r>
        <w:instrText>"</w:instrText>
      </w:r>
      <w:r>
        <w:rPr>
          <w:rStyle w:val="indexentry"/>
        </w:rPr>
        <w:fldChar w:fldCharType="end"/>
      </w:r>
      <w:r>
        <w:rPr>
          <w:rStyle w:val="indexentry"/>
        </w:rPr>
        <w:t>&lt;cx "bridi-tail modal connection"&gt;</w:t>
      </w:r>
      <w:r>
        <w:rPr>
          <w:rStyle w:val="indexentry"/>
        </w:rPr>
        <w:fldChar w:fldCharType="begin"/>
      </w:r>
      <w:r>
        <w:instrText>xe "</w:instrText>
      </w:r>
      <w:r>
        <w:rPr>
          <w:rStyle w:val="xeentry"/>
        </w:rPr>
        <w:instrText>bridi-tail modal connection</w:instrText>
      </w:r>
      <w:r>
        <w:instrText>"</w:instrText>
      </w:r>
      <w:r>
        <w:rPr>
          <w:rStyle w:val="indexentry"/>
        </w:rPr>
        <w:fldChar w:fldCharType="end"/>
      </w:r>
      <w:r>
        <w:t>There is no modal connection between selbri as such: bridi which differ</w:t>
      </w:r>
      <w:r>
        <w:rPr>
          <w:rStyle w:val="deletedparamark"/>
        </w:rPr>
        <w:t xml:space="preserve"> </w:t>
      </w:r>
      <w:r>
        <w:t>only in the selbri can be modally connected using bridi-tail modal</w:t>
      </w:r>
      <w:r>
        <w:rPr>
          <w:rStyle w:val="deletedparamark"/>
        </w:rPr>
        <w:t xml:space="preserve"> </w:t>
      </w:r>
      <w:r>
        <w:t>connection. The bridi-tail co</w:t>
      </w:r>
      <w:r>
        <w:t>n</w:t>
      </w:r>
      <w:r>
        <w:softHyphen/>
        <w:t xml:space="preserve">struct is more fully explained in </w:t>
      </w:r>
      <w:r>
        <w:rPr>
          <w:rStyle w:val="htmlcodes"/>
        </w:rPr>
        <w:t>&lt;a href=chap14.html&gt;</w:t>
      </w:r>
      <w:r>
        <w:t>Chapter 14</w:t>
      </w:r>
      <w:r>
        <w:rPr>
          <w:rStyle w:val="htmlcodes"/>
        </w:rPr>
        <w:t>&lt;/a&gt;</w:t>
      </w:r>
      <w:r>
        <w:t>,</w:t>
      </w:r>
      <w:r>
        <w:rPr>
          <w:rStyle w:val="deletedparamark"/>
        </w:rPr>
        <w:t xml:space="preserve"> </w:t>
      </w:r>
      <w:r>
        <w:t>but essentially it consists of a selbri with optional sumti following it.</w:t>
      </w:r>
      <w:r>
        <w:rPr>
          <w:rStyle w:val="deletedparamark"/>
        </w:rPr>
        <w:t xml:space="preserve"> </w:t>
      </w:r>
      <w:r>
        <w:rPr>
          <w:rStyle w:val="htmlcodes"/>
        </w:rPr>
        <w:t>&lt;a href=#e7d3&gt;</w:t>
      </w:r>
      <w:r>
        <w:t xml:space="preserve">Example 7.3 </w:t>
      </w:r>
      <w:r>
        <w:rPr>
          <w:rStyle w:val="htmlcodes"/>
        </w:rPr>
        <w:t>&lt;/a&gt;</w:t>
      </w:r>
      <w:r>
        <w:t>is suitable for bridi-tail connection, and could be shortened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mi mu'igi viska le cukta gi lebna le cukta</w:t>
      </w:r>
    </w:p>
    <w:p w:rsidR="00B72047" w:rsidRDefault="00B72047">
      <w:pPr>
        <w:pStyle w:val="examplescaled"/>
      </w:pPr>
      <w:r>
        <w:tab/>
        <w:t>I, because saw the book, took the book.</w:t>
      </w:r>
    </w:p>
    <w:p w:rsidR="00B72047" w:rsidRDefault="00B72047">
      <w:pPr>
        <w:pStyle w:val="resumedafterexample"/>
      </w:pPr>
      <w:r>
        <w:rPr>
          <w:rStyle w:val="htmlcodes"/>
        </w:rPr>
        <w:t>&lt;/pre&gt;&lt;p&gt;</w:t>
      </w:r>
      <w:r>
        <w:t>Again, no straightforward English translation exists. It is even possi</w:t>
      </w:r>
      <w:r>
        <w:softHyphen/>
        <w:t>ble</w:t>
      </w:r>
      <w:r>
        <w:rPr>
          <w:rStyle w:val="deletedparamark"/>
        </w:rPr>
        <w:t xml:space="preserve"> </w:t>
      </w:r>
      <w:r>
        <w:t xml:space="preserve">to shorten </w:t>
      </w:r>
      <w:r>
        <w:rPr>
          <w:rStyle w:val="htmlcodes"/>
        </w:rPr>
        <w:t>&lt;a href=#e8d7&gt;</w:t>
      </w:r>
      <w:r>
        <w:t>Ex</w:t>
      </w:r>
      <w:r>
        <w:softHyphen/>
        <w:t>am</w:t>
      </w:r>
      <w:r>
        <w:softHyphen/>
        <w:t xml:space="preserve">ple 8.7 </w:t>
      </w:r>
      <w:r>
        <w:rPr>
          <w:rStyle w:val="htmlcodes"/>
        </w:rPr>
        <w:t>&lt;/a&gt;</w:t>
      </w:r>
      <w:r>
        <w:t>further to:</w:t>
      </w:r>
    </w:p>
    <w:p w:rsidR="00B72047" w:rsidRDefault="00B72047">
      <w:pPr>
        <w:rPr>
          <w:rStyle w:val="htmlparacode"/>
        </w:rPr>
      </w:pPr>
      <w:r>
        <w:rPr>
          <w:rStyle w:val="htmlparacode"/>
        </w:rPr>
        <w:t>&lt;p&gt;</w:t>
      </w:r>
    </w:p>
    <w:p w:rsidR="00B72047" w:rsidRDefault="00B72047">
      <w:pPr>
        <w:pStyle w:val="examplescaledpre"/>
      </w:pPr>
      <w:r>
        <w:rPr>
          <w:rStyle w:val="indexentry"/>
        </w:rPr>
        <w:t>&lt;lx "vau"&gt;</w:t>
      </w:r>
      <w:r>
        <w:rPr>
          <w:rStyle w:val="indexentry"/>
        </w:rPr>
        <w:fldChar w:fldCharType="begin"/>
      </w:r>
      <w:r>
        <w:instrText>xe "</w:instrText>
      </w:r>
      <w:r>
        <w:rPr>
          <w:rStyle w:val="xeentry"/>
        </w:rPr>
        <w:instrText>vau</w:instrText>
      </w:r>
      <w:r>
        <w:instrText>"</w:instrText>
      </w:r>
      <w:r>
        <w:rPr>
          <w:rStyle w:val="indexentry"/>
        </w:rPr>
        <w:fldChar w:fldCharType="end"/>
      </w:r>
      <w:r>
        <w:rPr>
          <w:rStyle w:val="htmlcodes"/>
        </w:rPr>
        <w:t>&lt;pre&gt;&lt;a name=e8d8&gt;</w:t>
      </w:r>
      <w:r>
        <w:t>8.8)</w:t>
      </w:r>
      <w:r>
        <w:tab/>
        <w:t>mi mu'igi viska gi lebna vau le cukta</w:t>
      </w:r>
    </w:p>
    <w:p w:rsidR="00B72047" w:rsidRDefault="00B72047">
      <w:pPr>
        <w:pStyle w:val="examplescaled"/>
      </w:pPr>
      <w:r>
        <w:tab/>
        <w:t>I because saw, therefore took, the book.</w:t>
      </w:r>
    </w:p>
    <w:p w:rsidR="00B72047" w:rsidRDefault="00B72047">
      <w:pPr>
        <w:pStyle w:val="resumedafterexample"/>
      </w:pPr>
      <w:r>
        <w:rPr>
          <w:rStyle w:val="htmlcodes"/>
        </w:rPr>
        <w:t>&lt;/pre&gt;</w:t>
      </w:r>
      <w:r>
        <w:t>where “le cukta” is set off by the non-elidable “vau” and is made to belong</w:t>
      </w:r>
      <w:r>
        <w:rPr>
          <w:rStyle w:val="deletedparamark"/>
        </w:rPr>
        <w:t xml:space="preserve"> </w:t>
      </w:r>
      <w:r>
        <w:t xml:space="preserve">to both bridi-tails — see </w:t>
      </w:r>
      <w:r>
        <w:rPr>
          <w:rStyle w:val="htmlcodes"/>
        </w:rPr>
        <w:t>&lt;a href=chap14.html&gt;</w:t>
      </w:r>
      <w:r>
        <w:t xml:space="preserve">Chapter 14 </w:t>
      </w:r>
      <w:r>
        <w:rPr>
          <w:rStyle w:val="htmlcodes"/>
        </w:rPr>
        <w:t>&lt;/a&gt;</w:t>
      </w:r>
      <w:r>
        <w:t>for more explanations.</w:t>
      </w:r>
    </w:p>
    <w:p w:rsidR="00B72047" w:rsidRDefault="00B72047">
      <w:pPr>
        <w:rPr>
          <w:rStyle w:val="htmlparacode"/>
        </w:rPr>
      </w:pPr>
      <w:r>
        <w:rPr>
          <w:rStyle w:val="htmlparacode"/>
        </w:rPr>
        <w:t>&lt;p&gt;</w:t>
      </w:r>
    </w:p>
    <w:p w:rsidR="00B72047" w:rsidRDefault="00B72047">
      <w:pPr>
        <w:pStyle w:val="normalparagraph"/>
      </w:pPr>
      <w:r>
        <w:rPr>
          <w:rStyle w:val="indexentry"/>
        </w:rPr>
        <w:t>&lt;cx "vau for shared bridi-tail sumti, avoiding"&gt;</w:t>
      </w:r>
      <w:r>
        <w:rPr>
          <w:rStyle w:val="indexentry"/>
        </w:rPr>
        <w:fldChar w:fldCharType="begin"/>
      </w:r>
      <w:r>
        <w:instrText>xe "</w:instrText>
      </w:r>
      <w:r>
        <w:rPr>
          <w:rStyle w:val="xeentry"/>
        </w:rPr>
        <w:instrText>vau for shared bridi-tail sumti: avoiding</w:instrText>
      </w:r>
      <w:r>
        <w:instrText>"</w:instrText>
      </w:r>
      <w:r>
        <w:rPr>
          <w:rStyle w:val="indexentry"/>
        </w:rPr>
        <w:fldChar w:fldCharType="end"/>
      </w:r>
      <w:r>
        <w:rPr>
          <w:rStyle w:val="indexentry"/>
        </w:rPr>
        <w:t>&lt;cx "shared bridi-tail sumti, avoiding"&gt;</w:t>
      </w:r>
      <w:r>
        <w:rPr>
          <w:rStyle w:val="indexentry"/>
        </w:rPr>
        <w:fldChar w:fldCharType="begin"/>
      </w:r>
      <w:r>
        <w:instrText>xe "</w:instrText>
      </w:r>
      <w:r>
        <w:rPr>
          <w:rStyle w:val="xeentry"/>
        </w:rPr>
        <w:instrText>shared bridi-tail sumti: avoiding</w:instrText>
      </w:r>
      <w:r>
        <w:instrText>"</w:instrText>
      </w:r>
      <w:r>
        <w:rPr>
          <w:rStyle w:val="indexentry"/>
        </w:rPr>
        <w:fldChar w:fldCharType="end"/>
      </w:r>
      <w:r>
        <w:t>Since this is a chapter on rearranging sumti, it is worth point</w:t>
      </w:r>
      <w:r>
        <w:softHyphen/>
        <w:t>ing out that</w:t>
      </w:r>
      <w:r>
        <w:rPr>
          <w:rStyle w:val="deletedparamark"/>
        </w:rPr>
        <w:t xml:space="preserve"> </w:t>
      </w:r>
      <w:r>
        <w:rPr>
          <w:rStyle w:val="htmlcodes"/>
        </w:rPr>
        <w:t>&lt;a href=#e8d8&gt;</w:t>
      </w:r>
      <w:r>
        <w:t>Ex</w:t>
      </w:r>
      <w:r>
        <w:softHyphen/>
        <w:t xml:space="preserve">ample 8.8 </w:t>
      </w:r>
      <w:r>
        <w:rPr>
          <w:rStyle w:val="htmlcodes"/>
        </w:rPr>
        <w:t>&lt;/a&gt;</w:t>
      </w:r>
      <w:r>
        <w:t>can be further rearranged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mi le cukta mu'igi viska gi lebna</w:t>
      </w:r>
    </w:p>
    <w:p w:rsidR="00B72047" w:rsidRDefault="00B72047">
      <w:pPr>
        <w:pStyle w:val="examplescaled"/>
      </w:pPr>
      <w:r>
        <w:tab/>
        <w:t>I, the book, because saw, therefore took</w:t>
      </w:r>
    </w:p>
    <w:p w:rsidR="00B72047" w:rsidRDefault="00B72047">
      <w:pPr>
        <w:pStyle w:val="resumedafterexample"/>
      </w:pPr>
      <w:r>
        <w:rPr>
          <w:rStyle w:val="htmlcodes"/>
        </w:rPr>
        <w:t>&lt;/pre&gt;</w:t>
      </w:r>
      <w:r>
        <w:t>which doesn't require the extra “vau”; all sumti before a conjunction</w:t>
      </w:r>
      <w:r>
        <w:rPr>
          <w:rStyle w:val="deletedparamark"/>
        </w:rPr>
        <w:t xml:space="preserve"> </w:t>
      </w:r>
      <w:r>
        <w:t>of bridi-tails are shared.</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"modal operand connection"&gt;</w:t>
      </w:r>
      <w:r>
        <w:rPr>
          <w:rStyle w:val="indexentry"/>
        </w:rPr>
        <w:fldChar w:fldCharType="begin"/>
      </w:r>
      <w:r>
        <w:instrText>xe "</w:instrText>
      </w:r>
      <w:r>
        <w:rPr>
          <w:rStyle w:val="xeentry"/>
        </w:rPr>
        <w:instrText>modal operand connection</w:instrText>
      </w:r>
      <w:r>
        <w:instrText>"</w:instrText>
      </w:r>
      <w:r>
        <w:rPr>
          <w:rStyle w:val="indexentry"/>
        </w:rPr>
        <w:fldChar w:fldCharType="end"/>
      </w:r>
      <w:r>
        <w:rPr>
          <w:rStyle w:val="indexentry"/>
        </w:rPr>
        <w:t>&lt;cx "operand modal connection"&gt;</w:t>
      </w:r>
      <w:r>
        <w:rPr>
          <w:rStyle w:val="indexentry"/>
        </w:rPr>
        <w:fldChar w:fldCharType="begin"/>
      </w:r>
      <w:r>
        <w:instrText>xe "</w:instrText>
      </w:r>
      <w:r>
        <w:rPr>
          <w:rStyle w:val="xeentry"/>
        </w:rPr>
        <w:instrText>operand modal connection</w:instrText>
      </w:r>
      <w:r>
        <w:instrText>"</w:instrText>
      </w:r>
      <w:r>
        <w:rPr>
          <w:rStyle w:val="indexentry"/>
        </w:rPr>
        <w:fldChar w:fldCharType="end"/>
      </w:r>
      <w:r>
        <w:t>Finally, mathematical operands can be modally connected.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name=e8d10&gt;</w:t>
      </w:r>
      <w:r>
        <w:t>8.10)</w:t>
      </w:r>
      <w:r>
        <w:tab/>
        <w:t xml:space="preserve">li ny. du li vo  </w:t>
      </w:r>
    </w:p>
    <w:p w:rsidR="00B72047" w:rsidRDefault="00B72047">
      <w:pPr>
        <w:pStyle w:val="examplescaled"/>
        <w:ind w:firstLine="576"/>
      </w:pPr>
      <w:r>
        <w:t>.ini'ibo li ny. du li re su'i re</w:t>
      </w:r>
    </w:p>
    <w:p w:rsidR="00B72047" w:rsidRDefault="00B72047">
      <w:pPr>
        <w:pStyle w:val="examplescaled"/>
      </w:pPr>
      <w:r>
        <w:tab/>
        <w:t xml:space="preserve">The number </w:t>
      </w:r>
      <w:r>
        <w:rPr>
          <w:rStyle w:val="math"/>
          <w:i/>
          <w:iCs/>
        </w:rPr>
        <w:t>n</w:t>
      </w:r>
      <w:r>
        <w:t xml:space="preserve"> = the-number </w:t>
      </w:r>
      <w:r>
        <w:rPr>
          <w:rStyle w:val="math"/>
        </w:rPr>
        <w:t>4</w:t>
      </w:r>
      <w:r>
        <w:t xml:space="preserve">.  </w:t>
      </w:r>
    </w:p>
    <w:p w:rsidR="00B72047" w:rsidRDefault="00B72047">
      <w:pPr>
        <w:pStyle w:val="examplescaled"/>
        <w:ind w:firstLine="576"/>
      </w:pPr>
      <w:r>
        <w:t xml:space="preserve">Entailed-by the-number </w:t>
      </w:r>
      <w:r>
        <w:rPr>
          <w:rStyle w:val="math"/>
          <w:i/>
          <w:iCs/>
        </w:rPr>
        <w:t>n</w:t>
      </w:r>
      <w:r>
        <w:t xml:space="preserve"> = the-number </w:t>
      </w:r>
      <w:r>
        <w:rPr>
          <w:rStyle w:val="math"/>
        </w:rPr>
        <w:t>2 + 2</w:t>
      </w:r>
      <w:r>
        <w:t>.</w:t>
      </w:r>
    </w:p>
    <w:p w:rsidR="00B72047" w:rsidRDefault="00B72047">
      <w:pPr>
        <w:pStyle w:val="examplescaled"/>
      </w:pPr>
      <w:r>
        <w:tab/>
      </w:r>
      <w:r>
        <w:rPr>
          <w:i/>
          <w:iCs/>
        </w:rPr>
        <w:t>n</w:t>
      </w:r>
      <w:r>
        <w:t xml:space="preserve"> = </w:t>
      </w:r>
      <w:r>
        <w:rPr>
          <w:rStyle w:val="math"/>
        </w:rPr>
        <w:t>4</w:t>
      </w:r>
      <w:r>
        <w:t xml:space="preserve"> because </w:t>
      </w:r>
      <w:r>
        <w:rPr>
          <w:i/>
          <w:iCs/>
        </w:rPr>
        <w:t>n</w:t>
      </w:r>
      <w:r>
        <w:t xml:space="preserve"> = </w:t>
      </w:r>
      <w:r>
        <w:rPr>
          <w:rStyle w:val="math"/>
        </w:rPr>
        <w:t>2 + 2</w:t>
      </w:r>
      <w:r>
        <w:t>.</w:t>
      </w:r>
    </w:p>
    <w:p w:rsidR="00B72047" w:rsidRDefault="00B72047">
      <w:pPr>
        <w:pStyle w:val="resumedafterexample"/>
      </w:pPr>
      <w:r>
        <w:rPr>
          <w:rStyle w:val="htmlcodes"/>
        </w:rPr>
        <w:t>&lt;/pre&gt;</w:t>
      </w:r>
      <w:r>
        <w:t>can be reduced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name=e8d11&gt;</w:t>
      </w:r>
      <w:r>
        <w:t>8.11)</w:t>
      </w:r>
      <w:r>
        <w:tab/>
        <w:t>li ny. du li ni'igi vei re su'i re [ve'o] gi vo</w:t>
      </w:r>
    </w:p>
    <w:p w:rsidR="00B72047" w:rsidRDefault="00B72047">
      <w:pPr>
        <w:pStyle w:val="examplescaled"/>
      </w:pPr>
      <w:r>
        <w:tab/>
        <w:t xml:space="preserve">The-number </w:t>
      </w:r>
      <w:r>
        <w:rPr>
          <w:rStyle w:val="math"/>
          <w:i/>
          <w:iCs/>
        </w:rPr>
        <w:t>n</w:t>
      </w:r>
      <w:r>
        <w:t xml:space="preserve"> = the-number </w:t>
      </w:r>
      <w:r>
        <w:rPr>
          <w:rStyle w:val="math"/>
        </w:rPr>
        <w:t>because ( 2 + 2 ) therefore 4</w:t>
      </w:r>
      <w:r>
        <w:t>.</w:t>
      </w:r>
    </w:p>
    <w:p w:rsidR="00B72047" w:rsidRDefault="00B72047">
      <w:pPr>
        <w:pStyle w:val="examplescaled"/>
      </w:pPr>
      <w:r>
        <w:tab/>
      </w:r>
      <w:r>
        <w:rPr>
          <w:i/>
          <w:iCs/>
        </w:rPr>
        <w:t>n</w:t>
      </w:r>
      <w:r>
        <w:t xml:space="preserve"> is </w:t>
      </w:r>
      <w:r>
        <w:rPr>
          <w:rStyle w:val="math"/>
        </w:rPr>
        <w:t>2 + 2</w:t>
      </w:r>
      <w:r>
        <w:t xml:space="preserve">, and is thus </w:t>
      </w:r>
      <w:r>
        <w:rPr>
          <w:rStyle w:val="math"/>
        </w:rPr>
        <w:t>4</w:t>
      </w:r>
      <w:r>
        <w:t>.</w:t>
      </w:r>
    </w:p>
    <w:p w:rsidR="00B72047" w:rsidRDefault="00B72047">
      <w:pPr>
        <w:pStyle w:val="resumedafterexample"/>
      </w:pPr>
      <w:r>
        <w:rPr>
          <w:rStyle w:val="htmlcodes"/>
        </w:rPr>
        <w:t>&lt;/pre&gt;</w:t>
      </w:r>
      <w:r>
        <w:rPr>
          <w:rStyle w:val="indexentry"/>
        </w:rPr>
        <w:t>&lt;lx "vei"&gt;</w:t>
      </w:r>
      <w:r>
        <w:rPr>
          <w:rStyle w:val="indexentry"/>
        </w:rPr>
        <w:fldChar w:fldCharType="begin"/>
      </w:r>
      <w:r>
        <w:instrText>xe "</w:instrText>
      </w:r>
      <w:r>
        <w:rPr>
          <w:rStyle w:val="xeentry"/>
        </w:rPr>
        <w:instrText>vei</w:instrText>
      </w:r>
      <w:r>
        <w:instrText>"</w:instrText>
      </w:r>
      <w:r>
        <w:rPr>
          <w:rStyle w:val="indexentry"/>
        </w:rPr>
        <w:fldChar w:fldCharType="end"/>
      </w:r>
      <w:r>
        <w:rPr>
          <w:rStyle w:val="indexentry"/>
        </w:rPr>
        <w:t>&lt;lx "ve'o"&gt;</w:t>
      </w:r>
      <w:r>
        <w:rPr>
          <w:rStyle w:val="indexentry"/>
        </w:rPr>
        <w:fldChar w:fldCharType="begin"/>
      </w:r>
      <w:r>
        <w:instrText>xe "</w:instrText>
      </w:r>
      <w:r>
        <w:rPr>
          <w:rStyle w:val="xeentry"/>
        </w:rPr>
        <w:instrText>ve'o</w:instrText>
      </w:r>
      <w:r>
        <w:instrText>"</w:instrText>
      </w:r>
      <w:r>
        <w:rPr>
          <w:rStyle w:val="indexentry"/>
        </w:rPr>
        <w:fldChar w:fldCharType="end"/>
      </w:r>
      <w:r>
        <w:t>The cmavo “vei” and “ve'o” represent mathematical parentheses, and are</w:t>
      </w:r>
      <w:r>
        <w:rPr>
          <w:rStyle w:val="deletedparamark"/>
        </w:rPr>
        <w:t xml:space="preserve"> </w:t>
      </w:r>
      <w:r>
        <w:t>required so that “ni'igi” affects more than just the immediately fol</w:t>
      </w:r>
      <w:r>
        <w:softHyphen/>
        <w:t>lowing</w:t>
      </w:r>
      <w:r>
        <w:rPr>
          <w:rStyle w:val="deletedparamark"/>
        </w:rPr>
        <w:t xml:space="preserve"> </w:t>
      </w:r>
      <w:r>
        <w:t>operand, namely the first “re”. (The right parenthesis, “ve'o”, is an</w:t>
      </w:r>
      <w:r>
        <w:rPr>
          <w:rStyle w:val="deletedparamark"/>
        </w:rPr>
        <w:t xml:space="preserve"> </w:t>
      </w:r>
      <w:r>
        <w:t>elidable terminator.) As usual, no English translation does</w:t>
      </w:r>
      <w:r>
        <w:rPr>
          <w:rStyle w:val="deletedparamark"/>
        </w:rPr>
        <w:t xml:space="preserve"> </w:t>
      </w:r>
      <w:r>
        <w:rPr>
          <w:rStyle w:val="htmlcodes"/>
        </w:rPr>
        <w:t>&lt;a href=#e8d11&gt;</w:t>
      </w:r>
      <w:r>
        <w:t>Exam</w:t>
      </w:r>
      <w:r>
        <w:softHyphen/>
        <w:t xml:space="preserve">ple 8.11 </w:t>
      </w:r>
      <w:r>
        <w:rPr>
          <w:rStyle w:val="htmlcodes"/>
        </w:rPr>
        <w:t>&lt;/a&gt;</w:t>
      </w:r>
      <w:r>
        <w:t>justice.</w:t>
      </w:r>
    </w:p>
    <w:p w:rsidR="00B72047" w:rsidRDefault="00B72047">
      <w:pPr>
        <w:rPr>
          <w:rStyle w:val="htmlparacode"/>
        </w:rPr>
      </w:pPr>
      <w:r>
        <w:rPr>
          <w:rStyle w:val="htmlparacode"/>
        </w:rPr>
        <w:t>&lt;p&gt;</w:t>
      </w:r>
    </w:p>
    <w:p w:rsidR="00B72047" w:rsidRDefault="00B72047">
      <w:pPr>
        <w:pStyle w:val="normalparagraph"/>
      </w:pPr>
      <w:r>
        <w:rPr>
          <w:rStyle w:val="indexentry"/>
        </w:rPr>
        <w:t>&lt;cx "fi'o, restriction on use"&gt;</w:t>
      </w:r>
      <w:r>
        <w:rPr>
          <w:rStyle w:val="indexentry"/>
        </w:rPr>
        <w:fldChar w:fldCharType="begin"/>
      </w:r>
      <w:r>
        <w:instrText>xe "</w:instrText>
      </w:r>
      <w:r>
        <w:rPr>
          <w:rStyle w:val="xeentry"/>
        </w:rPr>
        <w:instrText>fi'o: restriction on use</w:instrText>
      </w:r>
      <w:r>
        <w:instrText>"</w:instrText>
      </w:r>
      <w:r>
        <w:rPr>
          <w:rStyle w:val="indexentry"/>
        </w:rPr>
        <w:fldChar w:fldCharType="end"/>
      </w:r>
      <w:r>
        <w:rPr>
          <w:rStyle w:val="indexentry"/>
        </w:rPr>
        <w:t>&lt;cx "modal connectives, fi'o prohibited in"&gt;</w:t>
      </w:r>
      <w:r>
        <w:rPr>
          <w:rStyle w:val="indexentry"/>
        </w:rPr>
        <w:fldChar w:fldCharType="begin"/>
      </w:r>
      <w:r>
        <w:instrText>xe "</w:instrText>
      </w:r>
      <w:r>
        <w:rPr>
          <w:rStyle w:val="xeentry"/>
        </w:rPr>
        <w:instrText>modal connectives: fi'o prohibited in</w:instrText>
      </w:r>
      <w:r>
        <w:instrText>"</w:instrText>
      </w:r>
      <w:r>
        <w:rPr>
          <w:rStyle w:val="indexentry"/>
        </w:rPr>
        <w:fldChar w:fldCharType="end"/>
      </w:r>
      <w:r>
        <w:t>Note: Due to restrictions on the Lojban parsing algorithm,</w:t>
      </w:r>
      <w:r>
        <w:rPr>
          <w:rStyle w:val="deletedparamark"/>
        </w:rPr>
        <w:t xml:space="preserve"> </w:t>
      </w:r>
      <w:r>
        <w:t>it is not possible to form modal connectives using the “fi'o”-plus-selbri</w:t>
      </w:r>
      <w:r>
        <w:rPr>
          <w:rStyle w:val="deletedparamark"/>
        </w:rPr>
        <w:t xml:space="preserve"> </w:t>
      </w:r>
      <w:r>
        <w:t>form of modal. Only the predefined modals of selma'o BAI can be compounded</w:t>
      </w:r>
      <w:r>
        <w:rPr>
          <w:rStyle w:val="deletedparamark"/>
        </w:rPr>
        <w:t xml:space="preserve"> </w:t>
      </w:r>
      <w:r>
        <w:t xml:space="preserve">as shown in </w:t>
      </w:r>
      <w:r>
        <w:rPr>
          <w:rStyle w:val="htmlcodes"/>
        </w:rPr>
        <w:t>&lt;a href=#s7&gt;</w:t>
      </w:r>
      <w:r>
        <w:t xml:space="preserve">Sections 7 </w:t>
      </w:r>
      <w:r>
        <w:rPr>
          <w:rStyle w:val="htmlcodes"/>
        </w:rPr>
        <w:t>&lt;/a&gt;</w:t>
      </w:r>
      <w:r>
        <w:t xml:space="preserve">and </w:t>
      </w:r>
      <w:r>
        <w:rPr>
          <w:rStyle w:val="htmlcodes"/>
        </w:rPr>
        <w:t>&lt;a href=#s8&gt;</w:t>
      </w:r>
      <w:r>
        <w:t>8</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318" w:name="_Toc398970564"/>
      <w:r>
        <w:rPr>
          <w:rStyle w:val="Heading3Text"/>
        </w:rPr>
        <w:t>Modal selbri</w:t>
      </w:r>
      <w:bookmarkEnd w:id="318"/>
      <w:r>
        <w:rPr>
          <w:rStyle w:val="htmlcodes"/>
        </w:rPr>
        <w:t>&lt;/h3&gt;</w:t>
      </w:r>
    </w:p>
    <w:p w:rsidR="00B72047" w:rsidRDefault="00B72047">
      <w:pPr>
        <w:rPr>
          <w:rStyle w:val="htmlparacode"/>
        </w:rPr>
      </w:pPr>
      <w:r>
        <w:rPr>
          <w:rStyle w:val="htmlparacode"/>
        </w:rPr>
        <w:t>&lt;p&gt;</w:t>
      </w:r>
    </w:p>
    <w:p w:rsidR="00B72047" w:rsidRDefault="00B72047">
      <w:pPr>
        <w:pStyle w:val="normalparagraph"/>
      </w:pPr>
      <w:r>
        <w:t>Consider the example:</w:t>
      </w:r>
    </w:p>
    <w:p w:rsidR="00B72047" w:rsidRDefault="00B72047">
      <w:pPr>
        <w:rPr>
          <w:rStyle w:val="htmlparacode"/>
        </w:rPr>
      </w:pPr>
      <w:r>
        <w:rPr>
          <w:rStyle w:val="htmlparacode"/>
        </w:rPr>
        <w:t>&lt;p&gt;</w:t>
      </w:r>
    </w:p>
    <w:p w:rsidR="00B72047" w:rsidRDefault="00B72047">
      <w:pPr>
        <w:pStyle w:val="examplescaledpre"/>
      </w:pPr>
      <w:r>
        <w:rPr>
          <w:rStyle w:val="indexentry"/>
        </w:rPr>
        <w:t>&lt;ex "under compulsion"&gt;</w:t>
      </w:r>
      <w:r>
        <w:rPr>
          <w:rStyle w:val="indexentry"/>
        </w:rPr>
        <w:fldChar w:fldCharType="begin"/>
      </w:r>
      <w:r>
        <w:instrText>xe "</w:instrText>
      </w:r>
      <w:r>
        <w:rPr>
          <w:rStyle w:val="xeentry"/>
        </w:rPr>
        <w:instrText>under compulsion: example</w:instrText>
      </w:r>
      <w:r>
        <w:instrText>"</w:instrText>
      </w:r>
      <w:r>
        <w:rPr>
          <w:rStyle w:val="indexentry"/>
        </w:rPr>
        <w:fldChar w:fldCharType="end"/>
      </w:r>
      <w:r>
        <w:rPr>
          <w:rStyle w:val="indexentry"/>
        </w:rPr>
        <w:t>&lt;lx "bai"&gt;</w:t>
      </w:r>
      <w:r>
        <w:rPr>
          <w:rStyle w:val="indexentry"/>
        </w:rPr>
        <w:fldChar w:fldCharType="begin"/>
      </w:r>
      <w:r>
        <w:instrText>xe "</w:instrText>
      </w:r>
      <w:r>
        <w:rPr>
          <w:rStyle w:val="xeentry"/>
        </w:rPr>
        <w:instrText>bai</w:instrText>
      </w:r>
      <w:r>
        <w:instrText>"</w:instrText>
      </w:r>
      <w:r>
        <w:rPr>
          <w:rStyle w:val="indexentry"/>
        </w:rPr>
        <w:fldChar w:fldCharType="end"/>
      </w:r>
      <w:r>
        <w:rPr>
          <w:rStyle w:val="htmlcodes"/>
        </w:rPr>
        <w:t>&lt;pre&gt;&lt;a name=e9d1&gt;</w:t>
      </w:r>
      <w:r>
        <w:t>9.1)</w:t>
      </w:r>
      <w:r>
        <w:tab/>
        <w:t>mi tavla bau la lojban. bai tu'a la frank.</w:t>
      </w:r>
    </w:p>
    <w:p w:rsidR="00B72047" w:rsidRDefault="00B72047">
      <w:pPr>
        <w:pStyle w:val="examplescaled"/>
      </w:pPr>
      <w:r>
        <w:tab/>
        <w:t>I speak in-language Lojban with-compeller some-act-by Frank.</w:t>
      </w:r>
    </w:p>
    <w:p w:rsidR="00B72047" w:rsidRDefault="00B72047">
      <w:pPr>
        <w:pStyle w:val="examplescaled"/>
      </w:pPr>
      <w:r>
        <w:tab/>
        <w:t>I speak in Lojban, under compulsion by Frank.</w:t>
      </w:r>
    </w:p>
    <w:p w:rsidR="00B72047" w:rsidRDefault="00B72047">
      <w:pPr>
        <w:pStyle w:val="resumedafterexample"/>
      </w:pPr>
      <w:r>
        <w:rPr>
          <w:rStyle w:val="htmlcodes"/>
        </w:rPr>
        <w:t>&lt;/pre&gt;</w:t>
      </w:r>
      <w:r>
        <w:rPr>
          <w:rStyle w:val="indexentry"/>
        </w:rPr>
        <w:t>&lt;cx "modal sumti, leaving vague"&gt;</w:t>
      </w:r>
      <w:r>
        <w:rPr>
          <w:rStyle w:val="indexentry"/>
        </w:rPr>
        <w:fldChar w:fldCharType="begin"/>
      </w:r>
      <w:r>
        <w:instrText>xe "</w:instrText>
      </w:r>
      <w:r>
        <w:rPr>
          <w:rStyle w:val="xeentry"/>
        </w:rPr>
        <w:instrText>modal sumti: leaving vague</w:instrText>
      </w:r>
      <w:r>
        <w:instrText>"</w:instrText>
      </w:r>
      <w:r>
        <w:rPr>
          <w:rStyle w:val="indexentry"/>
        </w:rPr>
        <w:fldChar w:fldCharType="end"/>
      </w:r>
      <w:r>
        <w:rPr>
          <w:rStyle w:val="indexentry"/>
        </w:rPr>
        <w:t>&lt;cx "modal sumti, unspecified"&gt;</w:t>
      </w:r>
      <w:r>
        <w:rPr>
          <w:rStyle w:val="indexentry"/>
        </w:rPr>
        <w:fldChar w:fldCharType="begin"/>
      </w:r>
      <w:r>
        <w:instrText>xe "</w:instrText>
      </w:r>
      <w:r>
        <w:rPr>
          <w:rStyle w:val="xeentry"/>
        </w:rPr>
        <w:instrText>modal sumti: unspecified</w:instrText>
      </w:r>
      <w:r>
        <w:instrText>"</w:instrText>
      </w:r>
      <w:r>
        <w:rPr>
          <w:rStyle w:val="indexentry"/>
        </w:rPr>
        <w:fldChar w:fldCharType="end"/>
      </w:r>
      <w:r>
        <w:rPr>
          <w:rStyle w:val="htmlcodes"/>
        </w:rPr>
        <w:t>&lt;a href=#e9d1&gt;</w:t>
      </w:r>
      <w:r>
        <w:t xml:space="preserve">Example 9.1 </w:t>
      </w:r>
      <w:r>
        <w:rPr>
          <w:rStyle w:val="htmlcodes"/>
        </w:rPr>
        <w:t>&lt;/a&gt;</w:t>
      </w:r>
      <w:r>
        <w:t>has two modal sumti, using the modals “bau” and “bai”.</w:t>
      </w:r>
      <w:r>
        <w:rPr>
          <w:rStyle w:val="deletedparamark"/>
        </w:rPr>
        <w:t xml:space="preserve"> </w:t>
      </w:r>
      <w:r>
        <w:t>Suppose we wanted to specify the language explicitly but be vague about</w:t>
      </w:r>
      <w:r>
        <w:rPr>
          <w:rStyle w:val="deletedparamark"/>
        </w:rPr>
        <w:t xml:space="preserve"> </w:t>
      </w:r>
      <w:r>
        <w:t>who's doing the compel</w:t>
      </w:r>
      <w:r>
        <w:softHyphen/>
        <w:t xml:space="preserve">ling. We can simplify </w:t>
      </w:r>
      <w:r>
        <w:rPr>
          <w:rStyle w:val="htmlcodes"/>
        </w:rPr>
        <w:t>&lt;a href=#e9d1&gt;</w:t>
      </w:r>
      <w:r>
        <w:t xml:space="preserve">Example 9.1 </w:t>
      </w:r>
      <w:r>
        <w:rPr>
          <w:rStyle w:val="htmlcodes"/>
        </w:rPr>
        <w:t>&lt;/a&gt;</w:t>
      </w:r>
      <w:r>
        <w:t>to:</w:t>
      </w:r>
    </w:p>
    <w:p w:rsidR="00B72047" w:rsidRDefault="00B72047">
      <w:pPr>
        <w:rPr>
          <w:rStyle w:val="htmlparacode"/>
        </w:rPr>
      </w:pPr>
      <w:r>
        <w:rPr>
          <w:rStyle w:val="htmlparacode"/>
        </w:rPr>
        <w:t>&lt;p&gt;</w:t>
      </w:r>
    </w:p>
    <w:p w:rsidR="00B72047" w:rsidRDefault="00B72047">
      <w:pPr>
        <w:pStyle w:val="examplescaledpre"/>
      </w:pPr>
      <w:r>
        <w:rPr>
          <w:rStyle w:val="indexentry"/>
        </w:rPr>
        <w:t>&lt;lx "ku"&gt;</w:t>
      </w:r>
      <w:r>
        <w:rPr>
          <w:rStyle w:val="indexentry"/>
        </w:rPr>
        <w:fldChar w:fldCharType="begin"/>
      </w:r>
      <w:r>
        <w:instrText>xe "</w:instrText>
      </w:r>
      <w:r>
        <w:rPr>
          <w:rStyle w:val="xeentry"/>
        </w:rPr>
        <w:instrText>ku</w:instrText>
      </w:r>
      <w:r>
        <w:instrText>"</w:instrText>
      </w:r>
      <w:r>
        <w:rPr>
          <w:rStyle w:val="indexentry"/>
        </w:rPr>
        <w:fldChar w:fldCharType="end"/>
      </w:r>
      <w:r>
        <w:rPr>
          <w:rStyle w:val="htmlcodes"/>
        </w:rPr>
        <w:t>&lt;pre&gt;&lt;a name=e9d2&gt;</w:t>
      </w:r>
      <w:r>
        <w:t>9.2)</w:t>
      </w:r>
      <w:r>
        <w:tab/>
        <w:t>mi tavla bau la lojban. bai [ku].</w:t>
      </w:r>
    </w:p>
    <w:p w:rsidR="00B72047" w:rsidRDefault="00B72047">
      <w:pPr>
        <w:pStyle w:val="examplescaled"/>
      </w:pPr>
      <w:r>
        <w:tab/>
        <w:t>I speak in-language Lojban under-compulsion.</w:t>
      </w:r>
    </w:p>
    <w:p w:rsidR="00B72047" w:rsidRDefault="00B72047">
      <w:pPr>
        <w:pStyle w:val="resumedafterexample"/>
      </w:pPr>
      <w:r>
        <w:rPr>
          <w:rStyle w:val="htmlcodes"/>
        </w:rPr>
        <w:t>&lt;/pre&gt;&lt;p&gt;</w:t>
      </w:r>
      <w:r>
        <w:t xml:space="preserve">In </w:t>
      </w:r>
      <w:r>
        <w:rPr>
          <w:rStyle w:val="htmlcodes"/>
        </w:rPr>
        <w:t>&lt;a href=#e9d2&gt;</w:t>
      </w:r>
      <w:r>
        <w:t>Example 9.2</w:t>
      </w:r>
      <w:r>
        <w:rPr>
          <w:rStyle w:val="htmlcodes"/>
        </w:rPr>
        <w:t>&lt;/a&gt;</w:t>
      </w:r>
      <w:r>
        <w:t>, the elidable terminator “ku” has taken the place of the</w:t>
      </w:r>
      <w:r>
        <w:rPr>
          <w:rStyle w:val="deletedparamark"/>
        </w:rPr>
        <w:t xml:space="preserve"> </w:t>
      </w:r>
      <w:r>
        <w:t>sumti which would normally follow “bai”. Alternatively, we could spec</w:t>
      </w:r>
      <w:r>
        <w:softHyphen/>
        <w:t>ify</w:t>
      </w:r>
      <w:r>
        <w:rPr>
          <w:rStyle w:val="deletedparamark"/>
        </w:rPr>
        <w:t xml:space="preserve"> </w:t>
      </w:r>
      <w:r>
        <w:t>the one who compels but keep the language vague: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mi tavla bau [ku] bai tu'a la frank.</w:t>
      </w:r>
    </w:p>
    <w:p w:rsidR="00B72047" w:rsidRDefault="00B72047">
      <w:pPr>
        <w:pStyle w:val="examplescaled"/>
      </w:pPr>
      <w:r>
        <w:tab/>
        <w:t>I speak in-some-language under-compulsion-by some-act-by Frank.</w:t>
      </w:r>
    </w:p>
    <w:p w:rsidR="00B72047" w:rsidRDefault="00B72047">
      <w:pPr>
        <w:pStyle w:val="resumedafterexample"/>
      </w:pPr>
      <w:r>
        <w:rPr>
          <w:rStyle w:val="htmlcodes"/>
        </w:rPr>
        <w:t>&lt;/pre&gt;&lt;p&gt;</w:t>
      </w:r>
      <w:r>
        <w:t>We are also free to move the modal-plus-“ku” around the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bau [ku] bai ku mi tavla</w:t>
      </w:r>
    </w:p>
    <w:p w:rsidR="00B72047" w:rsidRDefault="00B72047">
      <w:pPr>
        <w:pStyle w:val="examplescaled"/>
      </w:pPr>
      <w:r>
        <w:tab/>
        <w:t>In-some-language under-compulsion I speak.</w:t>
      </w:r>
    </w:p>
    <w:p w:rsidR="00B72047" w:rsidRDefault="00B72047">
      <w:pPr>
        <w:pStyle w:val="normalafterexample"/>
      </w:pPr>
      <w:r>
        <w:rPr>
          <w:rStyle w:val="htmlcodes"/>
        </w:rPr>
        <w:t>&lt;/pre&gt;</w:t>
      </w:r>
      <w:r>
        <w:rPr>
          <w:rStyle w:val="indexentry"/>
        </w:rPr>
        <w:t>&lt;cx "modal followed by selbri, effect on eliding cu"&gt;</w:t>
      </w:r>
      <w:r>
        <w:rPr>
          <w:rStyle w:val="indexentry"/>
        </w:rPr>
        <w:fldChar w:fldCharType="begin"/>
      </w:r>
      <w:r>
        <w:instrText>xe "</w:instrText>
      </w:r>
      <w:r>
        <w:rPr>
          <w:rStyle w:val="xeentry"/>
        </w:rPr>
        <w:instrText>modal followed by selbri: effect on eliding cu</w:instrText>
      </w:r>
      <w:r>
        <w:instrText>"</w:instrText>
      </w:r>
      <w:r>
        <w:rPr>
          <w:rStyle w:val="indexentry"/>
        </w:rPr>
        <w:fldChar w:fldCharType="end"/>
      </w:r>
      <w:r>
        <w:t>An alternative to using “ku” is to place the modal cmavo right before the</w:t>
      </w:r>
      <w:r>
        <w:rPr>
          <w:rStyle w:val="deletedparamark"/>
        </w:rPr>
        <w:t xml:space="preserve"> </w:t>
      </w:r>
      <w:r>
        <w:t>sel</w:t>
      </w:r>
      <w:r>
        <w:softHyphen/>
        <w:t>bri, fo</w:t>
      </w:r>
      <w:r>
        <w:t>l</w:t>
      </w:r>
      <w:r>
        <w:softHyphen/>
        <w:t>lowing the “cu” which often appears there. When a modal is</w:t>
      </w:r>
      <w:r>
        <w:rPr>
          <w:rStyle w:val="deletedparamark"/>
        </w:rPr>
        <w:t xml:space="preserve"> </w:t>
      </w:r>
      <w:r>
        <w:t>present, the “cu” is almost never necessary.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mi bai tavla bau la lojban.</w:t>
      </w:r>
    </w:p>
    <w:p w:rsidR="00B72047" w:rsidRDefault="00B72047">
      <w:pPr>
        <w:pStyle w:val="examplescaled"/>
      </w:pPr>
      <w:r>
        <w:tab/>
        <w:t>I compelledly speak in-language Lojban.</w:t>
      </w:r>
    </w:p>
    <w:p w:rsidR="00B72047" w:rsidRDefault="00B72047">
      <w:pPr>
        <w:pStyle w:val="resumedafterexample"/>
      </w:pPr>
      <w:r>
        <w:rPr>
          <w:rStyle w:val="htmlcodes"/>
        </w:rPr>
        <w:t>&lt;/pre&gt;</w:t>
      </w:r>
      <w:r>
        <w:rPr>
          <w:rStyle w:val="indexentry"/>
        </w:rPr>
        <w:t>&lt;cx "modal followed by selbri, compared with tanru modification in meaning"&gt;</w:t>
      </w:r>
      <w:r>
        <w:rPr>
          <w:rStyle w:val="indexentry"/>
        </w:rPr>
        <w:fldChar w:fldCharType="begin"/>
      </w:r>
      <w:r>
        <w:instrText>xe "</w:instrText>
      </w:r>
      <w:r>
        <w:rPr>
          <w:rStyle w:val="xeentry"/>
        </w:rPr>
        <w:instrText>modal followed by selbri: compared with tanru modification in meaning</w:instrText>
      </w:r>
      <w:r>
        <w:instrText>"</w:instrText>
      </w:r>
      <w:r>
        <w:rPr>
          <w:rStyle w:val="indexentry"/>
        </w:rPr>
        <w:fldChar w:fldCharType="end"/>
      </w:r>
      <w:r>
        <w:rPr>
          <w:rStyle w:val="indexentry"/>
        </w:rPr>
        <w:t>&lt;cx "modal followed by selbri, contrasted with tanru modification in grammar"&gt;</w:t>
      </w:r>
      <w:r>
        <w:rPr>
          <w:rStyle w:val="indexentry"/>
        </w:rPr>
        <w:fldChar w:fldCharType="begin"/>
      </w:r>
      <w:r>
        <w:instrText>xe "</w:instrText>
      </w:r>
      <w:r>
        <w:rPr>
          <w:rStyle w:val="xeentry"/>
        </w:rPr>
        <w:instrText>modal followed by selbri: contrasted with tanru modification in grammar</w:instrText>
      </w:r>
      <w:r>
        <w:instrText>"</w:instrText>
      </w:r>
      <w:r>
        <w:rPr>
          <w:rStyle w:val="indexentry"/>
        </w:rPr>
        <w:fldChar w:fldCharType="end"/>
      </w:r>
      <w:r>
        <w:t>In this use, the modal is like a tanru modifier semantically, although</w:t>
      </w:r>
      <w:r>
        <w:rPr>
          <w:rStyle w:val="deletedparamark"/>
        </w:rPr>
        <w:t xml:space="preserve"> </w:t>
      </w:r>
      <w:r>
        <w:t xml:space="preserve">grammatically it is quite distinct. </w:t>
      </w:r>
      <w:r>
        <w:rPr>
          <w:rStyle w:val="htmlcodes"/>
        </w:rPr>
        <w:t>&lt;a href=#e9d5&gt;</w:t>
      </w:r>
      <w:r>
        <w:t xml:space="preserve">Example 9.5 </w:t>
      </w:r>
      <w:r>
        <w:rPr>
          <w:rStyle w:val="htmlcodes"/>
        </w:rPr>
        <w:t>&lt;/a&gt;</w:t>
      </w:r>
      <w:r>
        <w:t>is very similar in</w:t>
      </w:r>
      <w:r>
        <w:rPr>
          <w:rStyle w:val="deletedparamark"/>
        </w:rPr>
        <w:t xml:space="preserve"> </w:t>
      </w:r>
      <w:r>
        <w:t>mean</w:t>
      </w:r>
      <w:r>
        <w:softHyphen/>
        <w:t>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name=e9d6&gt;</w:t>
      </w:r>
      <w:r>
        <w:t>9.6)</w:t>
      </w:r>
      <w:r>
        <w:tab/>
        <w:t>mi se bapli tavla bau la lojban.</w:t>
      </w:r>
    </w:p>
    <w:p w:rsidR="00B72047" w:rsidRDefault="00B72047">
      <w:pPr>
        <w:pStyle w:val="examplescaled"/>
      </w:pPr>
      <w:r>
        <w:tab/>
        <w:t>I compelledly-speak in-language Lojban.</w:t>
      </w:r>
    </w:p>
    <w:p w:rsidR="00B72047" w:rsidRDefault="00B72047">
      <w:pPr>
        <w:pStyle w:val="resumedafterexample"/>
      </w:pPr>
      <w:r>
        <w:rPr>
          <w:rStyle w:val="htmlcodes"/>
        </w:rPr>
        <w:t>&lt;/pre&gt;&lt;p&gt;</w:t>
      </w:r>
      <w:r>
        <w:t>The “se” conversion is needed because “bapli tavla” would be a “com</w:t>
      </w:r>
      <w:r>
        <w:softHyphen/>
        <w:t>peller</w:t>
      </w:r>
      <w:r>
        <w:rPr>
          <w:rStyle w:val="deletedparamark"/>
        </w:rPr>
        <w:t xml:space="preserve"> </w:t>
      </w:r>
      <w:r>
        <w:t>type of speaker” rather than a “compelled [by someone] type of speaker”, which</w:t>
      </w:r>
      <w:r>
        <w:rPr>
          <w:rStyle w:val="deletedparamark"/>
        </w:rPr>
        <w:t xml:space="preserve"> </w:t>
      </w:r>
      <w:r>
        <w:t>is what a “bai tavla” is.</w:t>
      </w:r>
    </w:p>
    <w:p w:rsidR="00B72047" w:rsidRDefault="00B72047">
      <w:pPr>
        <w:rPr>
          <w:rStyle w:val="htmlparacode"/>
        </w:rPr>
      </w:pPr>
      <w:r>
        <w:rPr>
          <w:rStyle w:val="htmlparacode"/>
        </w:rPr>
        <w:t>&lt;p&gt;</w:t>
      </w:r>
    </w:p>
    <w:p w:rsidR="00B72047" w:rsidRDefault="00B72047">
      <w:pPr>
        <w:pStyle w:val="normalparagraph"/>
      </w:pPr>
      <w:r>
        <w:rPr>
          <w:rStyle w:val="indexentry"/>
        </w:rPr>
        <w:t>&lt;cx "fi'o modal followed by selbri, effect on eliding fe'u"&gt;</w:t>
      </w:r>
      <w:r>
        <w:rPr>
          <w:rStyle w:val="indexentry"/>
        </w:rPr>
        <w:fldChar w:fldCharType="begin"/>
      </w:r>
      <w:r>
        <w:instrText>xe "</w:instrText>
      </w:r>
      <w:r>
        <w:rPr>
          <w:rStyle w:val="xeentry"/>
        </w:rPr>
        <w:instrText>fi'o modal followed by selbri: effect on eliding fe'u</w:instrText>
      </w:r>
      <w:r>
        <w:instrText>"</w:instrText>
      </w:r>
      <w:r>
        <w:rPr>
          <w:rStyle w:val="indexentry"/>
        </w:rPr>
        <w:fldChar w:fldCharType="end"/>
      </w:r>
      <w:r>
        <w:t>If the modal preceding a selbri is constructed using “fi'o”, then “fe'u”</w:t>
      </w:r>
      <w:r>
        <w:rPr>
          <w:rStyle w:val="deletedparamark"/>
        </w:rPr>
        <w:t xml:space="preserve"> </w:t>
      </w:r>
      <w:r>
        <w:t>is re</w:t>
      </w:r>
      <w:r>
        <w:softHyphen/>
        <w:t>quired to prevent the main selbri and the modal selbri from colliding:</w:t>
      </w:r>
    </w:p>
    <w:p w:rsidR="00B72047" w:rsidRDefault="00B72047">
      <w:pPr>
        <w:rPr>
          <w:rStyle w:val="htmlparacode"/>
        </w:rPr>
      </w:pPr>
      <w:r>
        <w:rPr>
          <w:rStyle w:val="htmlparacode"/>
        </w:rPr>
        <w:t>&lt;p&gt;</w:t>
      </w:r>
    </w:p>
    <w:p w:rsidR="00B72047" w:rsidRDefault="00B72047">
      <w:pPr>
        <w:pStyle w:val="examplescaledpre"/>
      </w:pPr>
      <w:r>
        <w:rPr>
          <w:rStyle w:val="indexentry"/>
        </w:rPr>
        <w:t>&lt;ex "see with eye"&gt;</w:t>
      </w:r>
      <w:r>
        <w:rPr>
          <w:rStyle w:val="indexentry"/>
        </w:rPr>
        <w:fldChar w:fldCharType="begin"/>
      </w:r>
      <w:r>
        <w:instrText>xe "</w:instrText>
      </w:r>
      <w:r>
        <w:rPr>
          <w:rStyle w:val="xeentry"/>
        </w:rPr>
        <w:instrText>see with eye: example</w:instrText>
      </w:r>
      <w:r>
        <w:instrText>"</w:instrText>
      </w:r>
      <w:r>
        <w:rPr>
          <w:rStyle w:val="indexentry"/>
        </w:rPr>
        <w:fldChar w:fldCharType="end"/>
      </w:r>
      <w:r>
        <w:rPr>
          <w:rStyle w:val="htmlcodes"/>
        </w:rPr>
        <w:t>&lt;pre&gt;&lt;a name=e9d7&gt;</w:t>
      </w:r>
      <w:r>
        <w:t>9.7)</w:t>
      </w:r>
      <w:r>
        <w:tab/>
        <w:t>mi fi'o kanla fe'u viska do</w:t>
      </w:r>
    </w:p>
    <w:p w:rsidR="00B72047" w:rsidRDefault="00B72047">
      <w:pPr>
        <w:pStyle w:val="examplescaled"/>
      </w:pPr>
      <w:r>
        <w:tab/>
        <w:t>I with-eye see you.</w:t>
      </w:r>
    </w:p>
    <w:p w:rsidR="00B72047" w:rsidRDefault="00B72047">
      <w:pPr>
        <w:pStyle w:val="examplescaled"/>
      </w:pPr>
      <w:r>
        <w:tab/>
        <w:t>I see you with my eye(s).</w:t>
      </w:r>
    </w:p>
    <w:p w:rsidR="00B72047" w:rsidRDefault="00B72047">
      <w:pPr>
        <w:pStyle w:val="normalafterexample"/>
      </w:pPr>
      <w:r>
        <w:rPr>
          <w:rStyle w:val="htmlcodes"/>
        </w:rPr>
        <w:t>&lt;/pre&gt;</w:t>
      </w:r>
      <w:r>
        <w:rPr>
          <w:rStyle w:val="indexentry"/>
        </w:rPr>
        <w:t>&lt;cx "modal, expanding scope over logical connection with ke…ke'e"&gt;</w:t>
      </w:r>
      <w:r>
        <w:rPr>
          <w:rStyle w:val="indexentry"/>
        </w:rPr>
        <w:fldChar w:fldCharType="begin"/>
      </w:r>
      <w:r>
        <w:instrText>xe "</w:instrText>
      </w:r>
      <w:r>
        <w:rPr>
          <w:rStyle w:val="xeentry"/>
        </w:rPr>
        <w:instrText>modals: expanding scope over logical connection with ke…ke'e</w:instrText>
      </w:r>
      <w:r>
        <w:instrText>"</w:instrText>
      </w:r>
      <w:r>
        <w:rPr>
          <w:rStyle w:val="indexentry"/>
        </w:rPr>
        <w:fldChar w:fldCharType="end"/>
      </w:r>
      <w:r>
        <w:rPr>
          <w:rStyle w:val="indexentry"/>
        </w:rPr>
        <w:t>&lt;cx "modal, expanding scope over non-logical connection"&gt;</w:t>
      </w:r>
      <w:r>
        <w:rPr>
          <w:rStyle w:val="indexentry"/>
        </w:rPr>
        <w:fldChar w:fldCharType="begin"/>
      </w:r>
      <w:r>
        <w:instrText>xe "</w:instrText>
      </w:r>
      <w:r>
        <w:rPr>
          <w:rStyle w:val="xeentry"/>
        </w:rPr>
        <w:instrText>modals: expanding scope over non-logical connection</w:instrText>
      </w:r>
      <w:r>
        <w:instrText>"</w:instrText>
      </w:r>
      <w:r>
        <w:rPr>
          <w:rStyle w:val="indexentry"/>
        </w:rPr>
        <w:fldChar w:fldCharType="end"/>
      </w:r>
      <w:r>
        <w:rPr>
          <w:rStyle w:val="indexentry"/>
        </w:rPr>
        <w:t>&lt;cx "modal, expanding scope over inner modal connection"&gt;</w:t>
      </w:r>
      <w:r>
        <w:rPr>
          <w:rStyle w:val="indexentry"/>
        </w:rPr>
        <w:fldChar w:fldCharType="begin"/>
      </w:r>
      <w:r>
        <w:instrText>xe "</w:instrText>
      </w:r>
      <w:r>
        <w:rPr>
          <w:rStyle w:val="xeentry"/>
        </w:rPr>
        <w:instrText>modals: expanding scope over inner modal connection</w:instrText>
      </w:r>
      <w:r>
        <w:instrText>"</w:instrText>
      </w:r>
      <w:r>
        <w:rPr>
          <w:rStyle w:val="indexentry"/>
        </w:rPr>
        <w:fldChar w:fldCharType="end"/>
      </w:r>
      <w:r>
        <w:rPr>
          <w:rStyle w:val="indexentry"/>
        </w:rPr>
        <w:t>&lt;lx "bai ke"&gt;</w:t>
      </w:r>
      <w:r>
        <w:rPr>
          <w:rStyle w:val="indexentry"/>
        </w:rPr>
        <w:fldChar w:fldCharType="begin"/>
      </w:r>
      <w:r>
        <w:instrText>xe "</w:instrText>
      </w:r>
      <w:r>
        <w:rPr>
          <w:rStyle w:val="xeentry"/>
        </w:rPr>
        <w:instrText>bai ke</w:instrText>
      </w:r>
      <w:r>
        <w:instrText>"</w:instrText>
      </w:r>
      <w:r>
        <w:rPr>
          <w:rStyle w:val="indexentry"/>
        </w:rPr>
        <w:fldChar w:fldCharType="end"/>
      </w:r>
      <w:r>
        <w:t>There are two other uses of modals. A modal can be at</w:t>
      </w:r>
      <w:r>
        <w:softHyphen/>
        <w:t>tached to</w:t>
      </w:r>
      <w:r>
        <w:rPr>
          <w:rStyle w:val="deletedparamark"/>
        </w:rPr>
        <w:t xml:space="preserve"> </w:t>
      </w:r>
      <w:r>
        <w:t>a pair of bridi-tails that have already been connected by a logical,</w:t>
      </w:r>
      <w:r>
        <w:rPr>
          <w:rStyle w:val="deletedparamark"/>
        </w:rPr>
        <w:t xml:space="preserve"> </w:t>
      </w:r>
      <w:r>
        <w:t>non-logical, or modal connec</w:t>
      </w:r>
      <w:r>
        <w:softHyphen/>
        <w:t xml:space="preserve">tion (see </w:t>
      </w:r>
      <w:r>
        <w:rPr>
          <w:rStyle w:val="htmlcodes"/>
        </w:rPr>
        <w:t>&lt;a href=chap14.html&gt;</w:t>
      </w:r>
      <w:r>
        <w:t xml:space="preserve">Chapter 14 </w:t>
      </w:r>
      <w:r>
        <w:rPr>
          <w:rStyle w:val="htmlcodes"/>
        </w:rPr>
        <w:t>&lt;/a&gt;</w:t>
      </w:r>
      <w:r>
        <w:t>for more on logical</w:t>
      </w:r>
      <w:r>
        <w:rPr>
          <w:rStyle w:val="deletedparamark"/>
        </w:rPr>
        <w:t xml:space="preserve"> </w:t>
      </w:r>
      <w:r>
        <w:t>and non-logical connections):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name=e9d8&gt;</w:t>
      </w:r>
      <w:r>
        <w:t>9.8)</w:t>
      </w:r>
      <w:r>
        <w:tab/>
        <w:t>mi bai ke ge klama le zarci gi cadzu le bisli [ke'e]</w:t>
      </w:r>
    </w:p>
    <w:p w:rsidR="00B72047" w:rsidRDefault="00B72047">
      <w:pPr>
        <w:pStyle w:val="examplescaled"/>
      </w:pPr>
      <w:r>
        <w:tab/>
        <w:t>I under-compulsion ( both go to-the market and walk on-the ice ).</w:t>
      </w:r>
    </w:p>
    <w:p w:rsidR="00B72047" w:rsidRDefault="00B72047">
      <w:pPr>
        <w:pStyle w:val="examplescaled"/>
      </w:pPr>
      <w:r>
        <w:tab/>
        <w:t>Under compulsion, I both go to the market and walk on the ice.</w:t>
      </w:r>
    </w:p>
    <w:p w:rsidR="00B72047" w:rsidRDefault="00B72047">
      <w:pPr>
        <w:pStyle w:val="resumedafterexample"/>
      </w:pPr>
      <w:r>
        <w:rPr>
          <w:rStyle w:val="htmlcodes"/>
        </w:rPr>
        <w:t>&lt;/pre&gt;&lt;p&gt;</w:t>
      </w:r>
      <w:r>
        <w:t>Here the “bai” is spread over both “klama le zarci” and “cadzu le bisli”,</w:t>
      </w:r>
      <w:r>
        <w:rPr>
          <w:rStyle w:val="deletedparamark"/>
        </w:rPr>
        <w:t xml:space="preserve"> </w:t>
      </w:r>
      <w:r>
        <w:t>and the “ge </w:t>
      </w:r>
      <w:r>
        <w:rPr>
          <w:rStyle w:val="htmlcodes"/>
        </w:rPr>
        <w:t>&lt;dots&gt;</w:t>
      </w:r>
      <w:r>
        <w:t>…</w:t>
      </w:r>
      <w:r>
        <w:rPr>
          <w:rStyle w:val="htmlcodes"/>
        </w:rPr>
        <w:t>&lt;/dots&gt;</w:t>
      </w:r>
      <w:r>
        <w:t>gi” represents the logical connection “both-and” be</w:t>
      </w:r>
      <w:r>
        <w:softHyphen/>
        <w:t>tween the</w:t>
      </w:r>
      <w:r>
        <w:rPr>
          <w:rStyle w:val="deletedparamark"/>
        </w:rPr>
        <w:t xml:space="preserve"> </w:t>
      </w:r>
      <w:r>
        <w:t>two.</w:t>
      </w:r>
    </w:p>
    <w:p w:rsidR="00B72047" w:rsidRDefault="00B72047">
      <w:pPr>
        <w:rPr>
          <w:rStyle w:val="htmlparacode"/>
        </w:rPr>
      </w:pPr>
      <w:r>
        <w:rPr>
          <w:rStyle w:val="htmlparacode"/>
        </w:rPr>
        <w:t>&lt;p&gt;</w:t>
      </w:r>
    </w:p>
    <w:p w:rsidR="00B72047" w:rsidRDefault="00B72047">
      <w:pPr>
        <w:pStyle w:val="normalparagraph"/>
      </w:pPr>
      <w:r>
        <w:rPr>
          <w:rStyle w:val="indexentry"/>
        </w:rPr>
        <w:t>&lt;cx "modal, expanding scope over multiple sentences with tu'e…tu'u"&gt;</w:t>
      </w:r>
      <w:r>
        <w:rPr>
          <w:rStyle w:val="indexentry"/>
        </w:rPr>
        <w:fldChar w:fldCharType="begin"/>
      </w:r>
      <w:r>
        <w:instrText>xe "</w:instrText>
      </w:r>
      <w:r>
        <w:rPr>
          <w:rStyle w:val="xeentry"/>
        </w:rPr>
        <w:instrText>modals: expanding scope over multiple sentences with tu'e…tu'u</w:instrText>
      </w:r>
      <w:r>
        <w:instrText>"</w:instrText>
      </w:r>
      <w:r>
        <w:rPr>
          <w:rStyle w:val="indexentry"/>
        </w:rPr>
        <w:fldChar w:fldCharType="end"/>
      </w: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rPr>
          <w:rStyle w:val="indexentry"/>
        </w:rPr>
        <w:t>&lt;lx "tu'u"&gt;</w:t>
      </w:r>
      <w:r>
        <w:rPr>
          <w:rStyle w:val="indexentry"/>
        </w:rPr>
        <w:fldChar w:fldCharType="begin"/>
      </w:r>
      <w:r>
        <w:instrText>xe "</w:instrText>
      </w:r>
      <w:r>
        <w:rPr>
          <w:rStyle w:val="xeentry"/>
        </w:rPr>
        <w:instrText>tu'u</w:instrText>
      </w:r>
      <w:r>
        <w:instrText>"</w:instrText>
      </w:r>
      <w:r>
        <w:rPr>
          <w:rStyle w:val="indexentry"/>
        </w:rPr>
        <w:fldChar w:fldCharType="end"/>
      </w:r>
      <w:r>
        <w:t>Similarly, a modal can be attached to multiple sentences that have been</w:t>
      </w:r>
      <w:r>
        <w:rPr>
          <w:rStyle w:val="deletedparamark"/>
        </w:rPr>
        <w:t xml:space="preserve"> </w:t>
      </w:r>
      <w:r>
        <w:t>com</w:t>
      </w:r>
      <w:r>
        <w:softHyphen/>
        <w:t>bined with “tu'e” and “tu'u”, which are explained in more detail</w:t>
      </w:r>
      <w:r>
        <w:rPr>
          <w:rStyle w:val="deletedparamark"/>
        </w:rPr>
        <w:t xml:space="preserve"> </w:t>
      </w:r>
      <w:r>
        <w:t xml:space="preserve">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name=e9d9&gt;</w:t>
      </w:r>
      <w:r>
        <w:t>9.9)</w:t>
      </w:r>
      <w:r>
        <w:tab/>
        <w:t>bai tu'e mi klama le zarci  .i mi cadzu le bisli [tu'u]</w:t>
      </w:r>
    </w:p>
    <w:p w:rsidR="00B72047" w:rsidRDefault="00B72047">
      <w:pPr>
        <w:pStyle w:val="examplescaled"/>
      </w:pPr>
      <w:r>
        <w:tab/>
        <w:t>Under-compulsion [start] I go to-the market.  I walk on-the ice [end].</w:t>
      </w:r>
    </w:p>
    <w:p w:rsidR="00B72047" w:rsidRDefault="00B72047">
      <w:pPr>
        <w:pStyle w:val="resumedafterexample"/>
      </w:pPr>
      <w:r>
        <w:rPr>
          <w:rStyle w:val="htmlcodes"/>
        </w:rPr>
        <w:t>&lt;/pre&gt;</w:t>
      </w:r>
      <w:r>
        <w:t xml:space="preserve">means the same thing as </w:t>
      </w:r>
      <w:r>
        <w:rPr>
          <w:rStyle w:val="htmlcodes"/>
        </w:rPr>
        <w:t>&lt;a href=#e9d8&gt;</w:t>
      </w:r>
      <w:r>
        <w:t>Example 9.8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Note: Either BAI modals or “fi'o”-plus-selbri modals may cor</w:t>
      </w:r>
      <w:r>
        <w:softHyphen/>
        <w:t>rectly be</w:t>
      </w:r>
      <w:r>
        <w:rPr>
          <w:rStyle w:val="deletedparamark"/>
        </w:rPr>
        <w:t xml:space="preserve"> </w:t>
      </w:r>
      <w:r>
        <w:t>used in any of the constructions discussed in this section.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319" w:name="_Toc398970565"/>
      <w:r>
        <w:rPr>
          <w:rStyle w:val="Heading3Text"/>
        </w:rPr>
        <w:t>Modal relative phrases; Comparison</w:t>
      </w:r>
      <w:bookmarkEnd w:id="31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pe</w:t>
      </w:r>
      <w:r>
        <w:tab/>
        <w:t>GOI</w:t>
      </w:r>
      <w:r>
        <w:tab/>
        <w:t>restrictive relative phrase</w:t>
      </w:r>
    </w:p>
    <w:p w:rsidR="00B72047" w:rsidRDefault="00B72047">
      <w:pPr>
        <w:pStyle w:val="examplescaled"/>
      </w:pPr>
      <w:r>
        <w:tab/>
        <w:t>ne</w:t>
      </w:r>
      <w:r>
        <w:tab/>
        <w:t>GOI</w:t>
      </w:r>
      <w:r>
        <w:tab/>
        <w:t>incidental relative phrase</w:t>
      </w:r>
    </w:p>
    <w:p w:rsidR="00B72047" w:rsidRDefault="00B72047">
      <w:pPr>
        <w:pStyle w:val="examplescaled"/>
      </w:pPr>
      <w:r>
        <w:tab/>
        <w:t>mau</w:t>
      </w:r>
      <w:r>
        <w:tab/>
        <w:t>BAI</w:t>
      </w:r>
      <w:r>
        <w:tab/>
        <w:t>zmadu modal</w:t>
      </w:r>
    </w:p>
    <w:p w:rsidR="00B72047" w:rsidRDefault="00B72047">
      <w:pPr>
        <w:pStyle w:val="examplescaled"/>
      </w:pPr>
      <w:r>
        <w:tab/>
        <w:t>me'a</w:t>
      </w:r>
      <w:r>
        <w:tab/>
        <w:t>BAI</w:t>
      </w:r>
      <w:r>
        <w:tab/>
        <w:t>mleca modal</w:t>
      </w:r>
    </w:p>
    <w:p w:rsidR="00B72047" w:rsidRDefault="00B72047">
      <w:pPr>
        <w:pStyle w:val="normalafterexample"/>
      </w:pPr>
      <w:r>
        <w:rPr>
          <w:rStyle w:val="htmlcodes"/>
        </w:rPr>
        <w:t>&lt;/pre&gt;&lt;p&gt;</w:t>
      </w:r>
      <w:r>
        <w:t xml:space="preserve">Relative phrases and clauses are explained in much more detail in </w:t>
      </w:r>
      <w:r>
        <w:rPr>
          <w:rStyle w:val="htmlcodes"/>
        </w:rPr>
        <w:t>&lt;a href=chap8.html&gt;</w:t>
      </w:r>
      <w:r>
        <w:t>Chapter 8</w:t>
      </w:r>
      <w:r>
        <w:rPr>
          <w:rStyle w:val="htmlcodes"/>
        </w:rPr>
        <w:t>&lt;/a&gt;</w:t>
      </w:r>
      <w:r>
        <w:t>.</w:t>
      </w:r>
      <w:r>
        <w:rPr>
          <w:rStyle w:val="deletedparamark"/>
        </w:rPr>
        <w:t xml:space="preserve"> </w:t>
      </w:r>
      <w:r>
        <w:t>Ho</w:t>
      </w:r>
      <w:r>
        <w:t>w</w:t>
      </w:r>
      <w:r>
        <w:softHyphen/>
        <w:t>ever, there is a construction which combines a modal with a relative</w:t>
      </w:r>
      <w:r>
        <w:rPr>
          <w:rStyle w:val="deletedparamark"/>
        </w:rPr>
        <w:t xml:space="preserve"> </w:t>
      </w:r>
      <w:r>
        <w:t>phrase which is rel</w:t>
      </w:r>
      <w:r>
        <w:t>e</w:t>
      </w:r>
      <w:r>
        <w:softHyphen/>
        <w:t>vant to this chapter. Con</w:t>
      </w:r>
      <w:r>
        <w:softHyphen/>
        <w:t>sider the following examples</w:t>
      </w:r>
      <w:r>
        <w:rPr>
          <w:rStyle w:val="deletedparamark"/>
        </w:rPr>
        <w:t xml:space="preserve"> </w:t>
      </w:r>
      <w:r>
        <w:t>of relative clauses:</w:t>
      </w:r>
    </w:p>
    <w:p w:rsidR="00B72047" w:rsidRDefault="00B72047">
      <w:pPr>
        <w:rPr>
          <w:rStyle w:val="htmlparacode"/>
        </w:rPr>
      </w:pPr>
      <w:r>
        <w:rPr>
          <w:rStyle w:val="htmlparacode"/>
        </w:rPr>
        <w:t>&lt;p&gt;</w:t>
      </w:r>
    </w:p>
    <w:p w:rsidR="00B72047" w:rsidRDefault="00B72047">
      <w:pPr>
        <w:pStyle w:val="examplescaledpre"/>
      </w:pPr>
      <w:r>
        <w:rPr>
          <w:rStyle w:val="indexentry"/>
        </w:rPr>
        <w:t>&lt;ex "Appassionata"&gt;</w:t>
      </w:r>
      <w:r>
        <w:rPr>
          <w:rStyle w:val="indexentry"/>
        </w:rPr>
        <w:fldChar w:fldCharType="begin"/>
      </w:r>
      <w:r>
        <w:instrText>xe "</w:instrText>
      </w:r>
      <w:r>
        <w:rPr>
          <w:rStyle w:val="xeentry"/>
        </w:rPr>
        <w:instrText>Appassionata: example</w:instrText>
      </w:r>
      <w:r>
        <w:instrText>"</w:instrText>
      </w:r>
      <w:r>
        <w:rPr>
          <w:rStyle w:val="indexentry"/>
        </w:rPr>
        <w:fldChar w:fldCharType="end"/>
      </w:r>
      <w:r>
        <w:rPr>
          <w:rStyle w:val="indexentry"/>
        </w:rPr>
        <w:t>&lt;ex "Artur Rubenstein"&gt;</w:t>
      </w:r>
      <w:r>
        <w:rPr>
          <w:rStyle w:val="indexentry"/>
        </w:rPr>
        <w:fldChar w:fldCharType="begin"/>
      </w:r>
      <w:r>
        <w:instrText>xe "</w:instrText>
      </w:r>
      <w:r>
        <w:rPr>
          <w:rStyle w:val="xeentry"/>
        </w:rPr>
        <w:instrText>Artur Rubenstein: example</w:instrText>
      </w:r>
      <w:r>
        <w:instrText>"</w:instrText>
      </w:r>
      <w:r>
        <w:rPr>
          <w:rStyle w:val="indexentry"/>
        </w:rPr>
        <w:fldChar w:fldCharType="end"/>
      </w:r>
      <w:r>
        <w:rPr>
          <w:rStyle w:val="indexentry"/>
        </w:rPr>
        <w:t>&lt;ex "Beethoven"&gt;</w:t>
      </w:r>
      <w:r>
        <w:rPr>
          <w:rStyle w:val="indexentry"/>
        </w:rPr>
        <w:fldChar w:fldCharType="begin"/>
      </w:r>
      <w:r>
        <w:instrText>xe "</w:instrText>
      </w:r>
      <w:r>
        <w:rPr>
          <w:rStyle w:val="xeentry"/>
        </w:rPr>
        <w:instrText>Beethoven: example</w:instrText>
      </w:r>
      <w:r>
        <w:instrText>"</w:instrText>
      </w:r>
      <w:r>
        <w:rPr>
          <w:rStyle w:val="indexentry"/>
        </w:rPr>
        <w:fldChar w:fldCharType="end"/>
      </w:r>
      <w:r>
        <w:rPr>
          <w:rStyle w:val="htmlcodes"/>
        </w:rPr>
        <w:t>&lt;pre&gt;&lt;a name=e10d1&gt;</w:t>
      </w:r>
      <w:r>
        <w:t>10.1)</w:t>
      </w:r>
      <w:r>
        <w:tab/>
        <w:t>la .apasionatas. poi se cusku la .artr. rubnstain. cu se nelci mi</w:t>
      </w:r>
    </w:p>
    <w:p w:rsidR="00B72047" w:rsidRDefault="00B72047">
      <w:pPr>
        <w:pStyle w:val="examplescaled"/>
      </w:pPr>
      <w:r>
        <w:tab/>
        <w:t>The Appassionata which is-expressed-by Artur Rubenstein is-liked-by me.</w:t>
      </w:r>
    </w:p>
    <w:p w:rsidR="00B72047" w:rsidRDefault="00B72047">
      <w:pPr>
        <w:pStyle w:val="examplescaledpre"/>
      </w:pPr>
      <w:r>
        <w:rPr>
          <w:rStyle w:val="htmlcodes"/>
        </w:rPr>
        <w:t>&lt;a name=e10d2&gt;</w:t>
      </w:r>
      <w:r>
        <w:t>10.2)</w:t>
      </w:r>
      <w:r>
        <w:tab/>
        <w:t>la .apasionatas. noi se finti la betovn. cu se nelci mi</w:t>
      </w:r>
    </w:p>
    <w:p w:rsidR="00B72047" w:rsidRDefault="00B72047">
      <w:pPr>
        <w:pStyle w:val="examplescaled"/>
      </w:pPr>
      <w:r>
        <w:tab/>
        <w:t>The Appassionata, which is-created-by Beethoven, is-liked-by me.</w:t>
      </w:r>
    </w:p>
    <w:p w:rsidR="00B72047" w:rsidRDefault="00B72047">
      <w:pPr>
        <w:pStyle w:val="resumedafterexample"/>
      </w:pPr>
      <w:r>
        <w:rPr>
          <w:rStyle w:val="htmlcodes"/>
        </w:rPr>
        <w:t>&lt;/pre&gt;</w:t>
      </w:r>
      <w:r>
        <w:rPr>
          <w:rStyle w:val="indexentry"/>
        </w:rPr>
        <w:t>&lt;lx "poi"&gt;</w:t>
      </w:r>
      <w:r>
        <w:rPr>
          <w:rStyle w:val="indexentry"/>
        </w:rPr>
        <w:fldChar w:fldCharType="begin"/>
      </w:r>
      <w:r>
        <w:instrText>xe "</w:instrText>
      </w:r>
      <w:r>
        <w:rPr>
          <w:rStyle w:val="xeentry"/>
        </w:rPr>
        <w:instrText>poi</w:instrText>
      </w:r>
      <w:r>
        <w:instrText>"</w:instrText>
      </w:r>
      <w:r>
        <w:rPr>
          <w:rStyle w:val="indexentry"/>
        </w:rPr>
        <w:fldChar w:fldCharType="end"/>
      </w:r>
      <w:r>
        <w:t xml:space="preserve">In </w:t>
      </w:r>
      <w:r>
        <w:rPr>
          <w:rStyle w:val="htmlcodes"/>
        </w:rPr>
        <w:t>&lt;a href=#e10d1&gt;</w:t>
      </w:r>
      <w:r>
        <w:t>Example 10.1</w:t>
      </w:r>
      <w:r>
        <w:rPr>
          <w:rStyle w:val="htmlcodes"/>
        </w:rPr>
        <w:t>&lt;/a&gt;</w:t>
      </w:r>
      <w:r>
        <w:t>, “la .apasionatas.” refers to a particular performance</w:t>
      </w:r>
      <w:r>
        <w:rPr>
          <w:rStyle w:val="deletedparamark"/>
        </w:rPr>
        <w:t xml:space="preserve"> </w:t>
      </w:r>
      <w:r>
        <w:t>of the sonata, namely the one performed by Rubenstein. Therefore, the</w:t>
      </w:r>
      <w:r>
        <w:rPr>
          <w:rStyle w:val="deletedparamark"/>
        </w:rPr>
        <w:t xml:space="preserve"> </w:t>
      </w:r>
      <w:r>
        <w:t>relative clause “poi se cusku” uses the cmavo “poi” (of selma'o NOI) to</w:t>
      </w:r>
      <w:r>
        <w:rPr>
          <w:rStyle w:val="deletedparamark"/>
        </w:rPr>
        <w:t xml:space="preserve"> </w:t>
      </w:r>
      <w:r>
        <w:t>restrict the meaning of “la .apasionatas” to the performance in question.</w:t>
      </w:r>
    </w:p>
    <w:p w:rsidR="00B72047" w:rsidRDefault="00B72047">
      <w:pPr>
        <w:rPr>
          <w:rStyle w:val="htmlparacode"/>
        </w:rPr>
      </w:pPr>
      <w:r>
        <w:rPr>
          <w:rStyle w:val="htmlparacode"/>
        </w:rPr>
        <w:t>&lt;p&gt;</w:t>
      </w:r>
    </w:p>
    <w:p w:rsidR="00B72047" w:rsidRDefault="00B72047">
      <w:pPr>
        <w:pStyle w:val="normalparagraph"/>
      </w:pPr>
      <w:r>
        <w:rPr>
          <w:rStyle w:val="indexentry"/>
        </w:rPr>
        <w:t>&lt;lx "noi"&gt;</w:t>
      </w:r>
      <w:r>
        <w:rPr>
          <w:rStyle w:val="indexentry"/>
        </w:rPr>
        <w:fldChar w:fldCharType="begin"/>
      </w:r>
      <w:r>
        <w:instrText>xe "</w:instrText>
      </w:r>
      <w:r>
        <w:rPr>
          <w:rStyle w:val="xeentry"/>
        </w:rPr>
        <w:instrText>noi</w:instrText>
      </w:r>
      <w:r>
        <w:instrText>"</w:instrText>
      </w:r>
      <w:r>
        <w:rPr>
          <w:rStyle w:val="indexentry"/>
        </w:rPr>
        <w:fldChar w:fldCharType="end"/>
      </w:r>
      <w:r>
        <w:t xml:space="preserve">In </w:t>
      </w:r>
      <w:r>
        <w:rPr>
          <w:rStyle w:val="htmlcodes"/>
        </w:rPr>
        <w:t>&lt;a href=#e10d2&gt;</w:t>
      </w:r>
      <w:r>
        <w:t>Example 10.2</w:t>
      </w:r>
      <w:r>
        <w:rPr>
          <w:rStyle w:val="htmlcodes"/>
        </w:rPr>
        <w:t>&lt;/a&gt;</w:t>
      </w:r>
      <w:r>
        <w:t>, however, “la .apasionatas.” refers to the sonata as a whole,</w:t>
      </w:r>
      <w:r>
        <w:rPr>
          <w:rStyle w:val="deletedparamark"/>
        </w:rPr>
        <w:t xml:space="preserve"> </w:t>
      </w:r>
      <w:r>
        <w:t>and the information that it was composed by Beethoven is merely incidental.</w:t>
      </w:r>
      <w:r>
        <w:rPr>
          <w:rStyle w:val="deletedparamark"/>
        </w:rPr>
        <w:t xml:space="preserve"> </w:t>
      </w:r>
      <w:r>
        <w:t>The cmavo “noi” (also of selma'o NOI) expresses the incidental nature of</w:t>
      </w:r>
      <w:r>
        <w:rPr>
          <w:rStyle w:val="deletedparamark"/>
        </w:rPr>
        <w:t xml:space="preserve"> </w:t>
      </w:r>
      <w:r>
        <w:t>this relationship.</w:t>
      </w:r>
    </w:p>
    <w:p w:rsidR="00B72047" w:rsidRDefault="00B72047">
      <w:pPr>
        <w:rPr>
          <w:rStyle w:val="htmlparacode"/>
        </w:rPr>
      </w:pPr>
      <w:r>
        <w:rPr>
          <w:rStyle w:val="htmlparacode"/>
        </w:rPr>
        <w:t>&lt;p&gt;</w:t>
      </w:r>
    </w:p>
    <w:p w:rsidR="00B72047" w:rsidRDefault="00B72047">
      <w:pPr>
        <w:pStyle w:val="normalparagraph"/>
      </w:pPr>
      <w:r>
        <w:rPr>
          <w:rStyle w:val="indexentry"/>
        </w:rPr>
        <w:t>&lt;lx "pe"&gt;</w:t>
      </w:r>
      <w:r>
        <w:rPr>
          <w:rStyle w:val="indexentry"/>
        </w:rPr>
        <w:fldChar w:fldCharType="begin"/>
      </w:r>
      <w:r>
        <w:instrText>xe "</w:instrText>
      </w:r>
      <w:r>
        <w:rPr>
          <w:rStyle w:val="xeentry"/>
        </w:rPr>
        <w:instrText>pe</w:instrText>
      </w:r>
      <w:r>
        <w:instrText>"</w:instrText>
      </w:r>
      <w:r>
        <w:rPr>
          <w:rStyle w:val="indexentry"/>
        </w:rPr>
        <w:fldChar w:fldCharType="end"/>
      </w:r>
      <w:r>
        <w:rPr>
          <w:rStyle w:val="indexentry"/>
        </w:rPr>
        <w:t>&lt;lx "ne"&gt;</w:t>
      </w:r>
      <w:r>
        <w:rPr>
          <w:rStyle w:val="indexentry"/>
        </w:rPr>
        <w:fldChar w:fldCharType="begin"/>
      </w:r>
      <w:r>
        <w:instrText>xe "</w:instrText>
      </w:r>
      <w:r>
        <w:rPr>
          <w:rStyle w:val="xeentry"/>
        </w:rPr>
        <w:instrText>ne</w:instrText>
      </w:r>
      <w:r>
        <w:instrText>"</w:instrText>
      </w:r>
      <w:r>
        <w:rPr>
          <w:rStyle w:val="indexentry"/>
        </w:rPr>
        <w:fldChar w:fldCharType="end"/>
      </w:r>
      <w:r>
        <w:t>The cmavo “pe” and “ne” (of selma'o GOI) are roughly equivalent to “poi”</w:t>
      </w:r>
      <w:r>
        <w:rPr>
          <w:rStyle w:val="deletedparamark"/>
        </w:rPr>
        <w:t xml:space="preserve"> </w:t>
      </w:r>
      <w:r>
        <w:t>and “noi” respectively, but are followed by sumti rather than full bridi.</w:t>
      </w:r>
      <w:r>
        <w:rPr>
          <w:rStyle w:val="deletedparamark"/>
        </w:rPr>
        <w:t xml:space="preserve"> </w:t>
      </w:r>
      <w:r>
        <w:t xml:space="preserve">We can abbreviate </w:t>
      </w:r>
      <w:r>
        <w:rPr>
          <w:rStyle w:val="htmlcodes"/>
        </w:rPr>
        <w:t>&lt;a href=#e10d1&gt;</w:t>
      </w:r>
      <w:r>
        <w:t xml:space="preserve">Example 10.1 </w:t>
      </w:r>
      <w:r>
        <w:rPr>
          <w:rStyle w:val="htmlcodes"/>
        </w:rPr>
        <w:t>&lt;/a&gt;</w:t>
      </w:r>
      <w:r>
        <w:t xml:space="preserve">and </w:t>
      </w:r>
      <w:r>
        <w:rPr>
          <w:rStyle w:val="htmlcodes"/>
        </w:rPr>
        <w:t>&lt;a href=#e10d2&gt;</w:t>
      </w:r>
      <w:r>
        <w:t xml:space="preserve">Example 10.2 </w:t>
      </w:r>
      <w:r>
        <w:rPr>
          <w:rStyle w:val="htmlcodes"/>
        </w:rPr>
        <w:t>&lt;/a&gt;</w:t>
      </w:r>
      <w:r>
        <w:t>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la .apasionatas pe la .artr. rubnstain. se nelci mi</w:t>
      </w:r>
    </w:p>
    <w:p w:rsidR="00B72047" w:rsidRDefault="00B72047">
      <w:pPr>
        <w:pStyle w:val="examplescaled"/>
      </w:pPr>
      <w:r>
        <w:tab/>
        <w:t>The Appassionata of Artur Rubenstein is-liked-by me.</w:t>
      </w:r>
    </w:p>
    <w:p w:rsidR="00B72047" w:rsidRDefault="00B72047">
      <w:pPr>
        <w:pStyle w:val="examplescaledpre"/>
      </w:pPr>
      <w:r>
        <w:rPr>
          <w:rStyle w:val="htmlcodes"/>
        </w:rPr>
        <w:t>&lt;a name=e10d4&gt;</w:t>
      </w:r>
      <w:r>
        <w:t>10.4)</w:t>
      </w:r>
      <w:r>
        <w:tab/>
        <w:t>la .apasionatas ne la betovn. se nelci mi</w:t>
      </w:r>
    </w:p>
    <w:p w:rsidR="00B72047" w:rsidRDefault="00B72047">
      <w:pPr>
        <w:pStyle w:val="examplescaled"/>
      </w:pPr>
      <w:r>
        <w:tab/>
        <w:t>The Appassionata, which is of Beethoven, is-liked-by me.</w:t>
      </w:r>
    </w:p>
    <w:p w:rsidR="00B72047" w:rsidRDefault="00B72047">
      <w:pPr>
        <w:pStyle w:val="resumedafterexample"/>
      </w:pPr>
      <w:r>
        <w:rPr>
          <w:rStyle w:val="htmlcodes"/>
        </w:rPr>
        <w:t>&lt;/pre&gt;</w:t>
      </w:r>
      <w:r>
        <w:rPr>
          <w:rStyle w:val="indexentry"/>
        </w:rPr>
        <w:t>&lt;cx "relative phrases, contrasted with relative clauses in preciseness"&gt;</w:t>
      </w:r>
      <w:r>
        <w:rPr>
          <w:rStyle w:val="indexentry"/>
        </w:rPr>
        <w:fldChar w:fldCharType="begin"/>
      </w:r>
      <w:r>
        <w:instrText>xe "</w:instrText>
      </w:r>
      <w:r>
        <w:rPr>
          <w:rStyle w:val="xeentry"/>
        </w:rPr>
        <w:instrText>relative phrase: contrasted with relative clause in preciseness</w:instrText>
      </w:r>
      <w:r>
        <w:instrText>"</w:instrText>
      </w:r>
      <w:r>
        <w:rPr>
          <w:rStyle w:val="indexentry"/>
        </w:rPr>
        <w:fldChar w:fldCharType="end"/>
      </w:r>
      <w:r>
        <w:t>Here the precise selbri of the relative clauses is lost: all we can tell</w:t>
      </w:r>
      <w:r>
        <w:rPr>
          <w:rStyle w:val="deletedparamark"/>
        </w:rPr>
        <w:t xml:space="preserve"> </w:t>
      </w:r>
      <w:r>
        <w:t>is that the Appas</w:t>
      </w:r>
      <w:r>
        <w:softHyphen/>
        <w:t>sionata is connected in some way with Rubenstein (in</w:t>
      </w:r>
      <w:r>
        <w:rPr>
          <w:rStyle w:val="deletedparamark"/>
        </w:rPr>
        <w:t xml:space="preserve"> </w:t>
      </w:r>
      <w:r>
        <w:rPr>
          <w:rStyle w:val="htmlcodes"/>
        </w:rPr>
        <w:t>&lt;a href=#e10d3&gt;</w:t>
      </w:r>
      <w:r>
        <w:t>Example 10.3</w:t>
      </w:r>
      <w:r>
        <w:rPr>
          <w:rStyle w:val="htmlcodes"/>
        </w:rPr>
        <w:t>&lt;/a&gt;</w:t>
      </w:r>
      <w:r>
        <w:t xml:space="preserve">) and Beethoven (in </w:t>
      </w:r>
      <w:r>
        <w:rPr>
          <w:rStyle w:val="htmlcodes"/>
        </w:rPr>
        <w:t>&lt;a href=#e10d4&gt;</w:t>
      </w:r>
      <w:r>
        <w:t>Example 10.4</w:t>
      </w:r>
      <w:r>
        <w:rPr>
          <w:rStyle w:val="htmlcodes"/>
        </w:rPr>
        <w:t>&lt;/a&gt;</w:t>
      </w:r>
      <w:r>
        <w:t>), and that the rela</w:t>
      </w:r>
      <w:r>
        <w:softHyphen/>
        <w:t>tionships</w:t>
      </w:r>
      <w:r>
        <w:rPr>
          <w:rStyle w:val="deletedparamark"/>
        </w:rPr>
        <w:t xml:space="preserve"> </w:t>
      </w:r>
      <w:r>
        <w:t>are respectively restrictive and incidental.</w:t>
      </w:r>
    </w:p>
    <w:p w:rsidR="00B72047" w:rsidRDefault="00B72047">
      <w:pPr>
        <w:rPr>
          <w:rStyle w:val="htmlparacode"/>
        </w:rPr>
      </w:pPr>
      <w:r>
        <w:rPr>
          <w:rStyle w:val="htmlparacode"/>
        </w:rPr>
        <w:t>&lt;p&gt;</w:t>
      </w:r>
    </w:p>
    <w:p w:rsidR="00B72047" w:rsidRDefault="00B72047">
      <w:pPr>
        <w:pStyle w:val="normalparagraph"/>
      </w:pPr>
      <w:r>
        <w:rPr>
          <w:rStyle w:val="indexentry"/>
        </w:rPr>
        <w:t>&lt;lx "cu'u"&gt;</w:t>
      </w:r>
      <w:r>
        <w:rPr>
          <w:rStyle w:val="indexentry"/>
        </w:rPr>
        <w:fldChar w:fldCharType="begin"/>
      </w:r>
      <w:r>
        <w:instrText>xe "</w:instrText>
      </w:r>
      <w:r>
        <w:rPr>
          <w:rStyle w:val="xeentry"/>
        </w:rPr>
        <w:instrText>cu'u</w:instrText>
      </w:r>
      <w:r>
        <w:instrText>"</w:instrText>
      </w:r>
      <w:r>
        <w:rPr>
          <w:rStyle w:val="indexentry"/>
        </w:rPr>
        <w:fldChar w:fldCharType="end"/>
      </w:r>
      <w:r>
        <w:rPr>
          <w:rStyle w:val="indexentry"/>
        </w:rPr>
        <w:t>&lt;lx "fi'e"&gt;</w:t>
      </w:r>
      <w:r>
        <w:rPr>
          <w:rStyle w:val="indexentry"/>
        </w:rPr>
        <w:fldChar w:fldCharType="begin"/>
      </w:r>
      <w:r>
        <w:instrText>xe "</w:instrText>
      </w:r>
      <w:r>
        <w:rPr>
          <w:rStyle w:val="xeentry"/>
        </w:rPr>
        <w:instrText>fi'e</w:instrText>
      </w:r>
      <w:r>
        <w:instrText>"</w:instrText>
      </w:r>
      <w:r>
        <w:rPr>
          <w:rStyle w:val="indexentry"/>
        </w:rPr>
        <w:fldChar w:fldCharType="end"/>
      </w:r>
      <w:r>
        <w:t>It happens that both “cusku” and “finti” have BAI cmavo, namely “cu'u” and</w:t>
      </w:r>
      <w:r>
        <w:rPr>
          <w:rStyle w:val="deletedparamark"/>
        </w:rPr>
        <w:t xml:space="preserve"> “</w:t>
      </w:r>
      <w:r>
        <w:t xml:space="preserve">fi'e”. We can recast </w:t>
      </w:r>
      <w:r>
        <w:rPr>
          <w:rStyle w:val="htmlcodes"/>
        </w:rPr>
        <w:t>&lt;a href=#e10d3&gt;</w:t>
      </w:r>
      <w:r>
        <w:t xml:space="preserve">Example 10.3 </w:t>
      </w:r>
      <w:r>
        <w:rPr>
          <w:rStyle w:val="htmlcodes"/>
        </w:rPr>
        <w:t>&lt;/a&gt;</w:t>
      </w:r>
      <w:r>
        <w:t xml:space="preserve">and </w:t>
      </w:r>
      <w:r>
        <w:rPr>
          <w:rStyle w:val="htmlcodes"/>
        </w:rPr>
        <w:t>&lt;a href=#e10d4&gt;</w:t>
      </w:r>
      <w:r>
        <w:t xml:space="preserve">Example 10.4 </w:t>
      </w:r>
      <w:r>
        <w:rPr>
          <w:rStyle w:val="htmlcodes"/>
        </w:rPr>
        <w:t>&lt;/a&gt;</w:t>
      </w:r>
      <w:r>
        <w:t>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la .apasionatas pe cu'u la .artr. rubnstain. cu se nelci mi</w:t>
      </w:r>
    </w:p>
    <w:p w:rsidR="00B72047" w:rsidRDefault="00B72047">
      <w:pPr>
        <w:pStyle w:val="examplescaled"/>
      </w:pPr>
      <w:r>
        <w:tab/>
        <w:t>The Appassionata expressed-by Artur Rubenstein is-liked-by me.</w:t>
      </w:r>
    </w:p>
    <w:p w:rsidR="00B72047" w:rsidRDefault="00B72047">
      <w:pPr>
        <w:pStyle w:val="examplescaledpre"/>
      </w:pPr>
      <w:r>
        <w:rPr>
          <w:rStyle w:val="htmlcodes"/>
        </w:rPr>
        <w:t>&lt;a name=e10d6&gt;</w:t>
      </w:r>
      <w:r>
        <w:t>10.6)</w:t>
      </w:r>
      <w:r>
        <w:tab/>
        <w:t>la .apasionatas ne fi'e la betovn. cu se nelci mi</w:t>
      </w:r>
    </w:p>
    <w:p w:rsidR="00B72047" w:rsidRDefault="00B72047">
      <w:pPr>
        <w:pStyle w:val="examplescaled"/>
      </w:pPr>
      <w:r>
        <w:tab/>
        <w:t>The Appassionata, invented-by Beethoven, is-liked-by me.</w:t>
      </w:r>
    </w:p>
    <w:p w:rsidR="00B72047" w:rsidRDefault="00B72047">
      <w:pPr>
        <w:pStyle w:val="resumedafterexample"/>
      </w:pPr>
      <w:r>
        <w:rPr>
          <w:rStyle w:val="htmlcodes"/>
        </w:rPr>
        <w:t>&lt;/pre&gt;</w:t>
      </w:r>
      <w:r>
        <w:rPr>
          <w:rStyle w:val="indexentry"/>
        </w:rPr>
        <w:t>&lt;cx "relative phrases with modals, compared to relative clauses in preciseness"&gt;</w:t>
      </w:r>
      <w:r>
        <w:rPr>
          <w:rStyle w:val="indexentry"/>
        </w:rPr>
        <w:fldChar w:fldCharType="begin"/>
      </w:r>
      <w:r>
        <w:instrText>xe "</w:instrText>
      </w:r>
      <w:r>
        <w:rPr>
          <w:rStyle w:val="xeentry"/>
        </w:rPr>
        <w:instrText>relative phrases with modals: compared to relative clauses in preciseness</w:instrText>
      </w:r>
      <w:r>
        <w:instrText>"</w:instrText>
      </w:r>
      <w:r>
        <w:rPr>
          <w:rStyle w:val="indexentry"/>
        </w:rPr>
        <w:fldChar w:fldCharType="end"/>
      </w:r>
      <w:r>
        <w:rPr>
          <w:rStyle w:val="indexentry"/>
        </w:rPr>
        <w:t>&lt;cx "relative phrases, improving preciseness with modals"&gt;</w:t>
      </w:r>
      <w:r>
        <w:rPr>
          <w:rStyle w:val="indexentry"/>
        </w:rPr>
        <w:fldChar w:fldCharType="begin"/>
      </w:r>
      <w:r>
        <w:instrText>xe "</w:instrText>
      </w:r>
      <w:r>
        <w:rPr>
          <w:rStyle w:val="xeentry"/>
        </w:rPr>
        <w:instrText>relative phrase: improving preciseness with modals</w:instrText>
      </w:r>
      <w:r>
        <w:instrText>"</w:instrText>
      </w:r>
      <w:r>
        <w:rPr>
          <w:rStyle w:val="indexentry"/>
        </w:rPr>
        <w:fldChar w:fldCharType="end"/>
      </w:r>
      <w:r>
        <w:rPr>
          <w:rStyle w:val="indexentry"/>
        </w:rPr>
        <w:t>&lt;cx "modals, improving relative phrase preciseness with "&gt;</w:t>
      </w:r>
      <w:r>
        <w:rPr>
          <w:rStyle w:val="indexentry"/>
        </w:rPr>
        <w:fldChar w:fldCharType="begin"/>
      </w:r>
      <w:r>
        <w:instrText>xe "</w:instrText>
      </w:r>
      <w:r>
        <w:rPr>
          <w:rStyle w:val="xeentry"/>
        </w:rPr>
        <w:instrText xml:space="preserve">modals: improving relative phrase preciseness with </w:instrText>
      </w:r>
      <w:r>
        <w:instrText>"</w:instrText>
      </w:r>
      <w:r>
        <w:rPr>
          <w:rStyle w:val="indexentry"/>
        </w:rPr>
        <w:fldChar w:fldCharType="end"/>
      </w:r>
      <w:r>
        <w:rPr>
          <w:rStyle w:val="htmlcodes"/>
        </w:rPr>
        <w:t>&lt;a href=#e10d5&gt;</w:t>
      </w:r>
      <w:r>
        <w:t xml:space="preserve">Example 10.5 </w:t>
      </w:r>
      <w:r>
        <w:rPr>
          <w:rStyle w:val="htmlcodes"/>
        </w:rPr>
        <w:t>&lt;/a&gt;</w:t>
      </w:r>
      <w:r>
        <w:t xml:space="preserve">and </w:t>
      </w:r>
      <w:r>
        <w:rPr>
          <w:rStyle w:val="htmlcodes"/>
        </w:rPr>
        <w:t>&lt;a href=#e10d6&gt;</w:t>
      </w:r>
      <w:r>
        <w:t xml:space="preserve">Example 10.6 </w:t>
      </w:r>
      <w:r>
        <w:rPr>
          <w:rStyle w:val="htmlcodes"/>
        </w:rPr>
        <w:t>&lt;/a&gt;</w:t>
      </w:r>
      <w:r>
        <w:t>have the full semantic content of</w:t>
      </w:r>
      <w:r>
        <w:rPr>
          <w:rStyle w:val="deletedparamark"/>
        </w:rPr>
        <w:t xml:space="preserve"> </w:t>
      </w:r>
      <w:r>
        <w:rPr>
          <w:rStyle w:val="htmlcodes"/>
        </w:rPr>
        <w:t>&lt;a href=#e10d1&gt;</w:t>
      </w:r>
      <w:r>
        <w:t xml:space="preserve">Example 10.1 </w:t>
      </w:r>
      <w:r>
        <w:rPr>
          <w:rStyle w:val="htmlcodes"/>
        </w:rPr>
        <w:t>&lt;/a&gt;</w:t>
      </w:r>
      <w:r>
        <w:t xml:space="preserve">and </w:t>
      </w:r>
      <w:r>
        <w:rPr>
          <w:rStyle w:val="htmlcodes"/>
        </w:rPr>
        <w:t>&lt;a href=#e10d2&gt;</w:t>
      </w:r>
      <w:r>
        <w:t>E</w:t>
      </w:r>
      <w:r>
        <w:t>x</w:t>
      </w:r>
      <w:r>
        <w:softHyphen/>
        <w:t xml:space="preserve">ample 10.2 </w:t>
      </w:r>
      <w:r>
        <w:rPr>
          <w:rStyle w:val="htmlcodes"/>
        </w:rPr>
        <w:t>&lt;/a&gt;</w:t>
      </w:r>
      <w:r>
        <w:t>respectively.</w:t>
      </w:r>
    </w:p>
    <w:p w:rsidR="00B72047" w:rsidRDefault="00B72047">
      <w:pPr>
        <w:rPr>
          <w:rStyle w:val="htmlparacode"/>
        </w:rPr>
      </w:pPr>
      <w:r>
        <w:rPr>
          <w:rStyle w:val="htmlparacode"/>
        </w:rPr>
        <w:t>&lt;p&gt;</w:t>
      </w:r>
    </w:p>
    <w:p w:rsidR="00B72047" w:rsidRDefault="00B72047">
      <w:pPr>
        <w:pStyle w:val="normalparagraph"/>
      </w:pPr>
      <w:r>
        <w:rPr>
          <w:rStyle w:val="indexentry"/>
        </w:rPr>
        <w:t>&lt;lx "mau"&gt;</w:t>
      </w:r>
      <w:r>
        <w:rPr>
          <w:rStyle w:val="indexentry"/>
        </w:rPr>
        <w:fldChar w:fldCharType="begin"/>
      </w:r>
      <w:r>
        <w:instrText>xe "</w:instrText>
      </w:r>
      <w:r>
        <w:rPr>
          <w:rStyle w:val="xeentry"/>
        </w:rPr>
        <w:instrText>mau</w:instrText>
      </w:r>
      <w:r>
        <w:instrText>"</w:instrText>
      </w:r>
      <w:r>
        <w:rPr>
          <w:rStyle w:val="indexentry"/>
        </w:rPr>
        <w:fldChar w:fldCharType="end"/>
      </w:r>
      <w:r>
        <w:rPr>
          <w:rStyle w:val="indexentry"/>
        </w:rPr>
        <w:t>&lt;lx "me'a"&gt;</w:t>
      </w:r>
      <w:r>
        <w:rPr>
          <w:rStyle w:val="indexentry"/>
        </w:rPr>
        <w:fldChar w:fldCharType="begin"/>
      </w:r>
      <w:r>
        <w:instrText>xe "</w:instrText>
      </w:r>
      <w:r>
        <w:rPr>
          <w:rStyle w:val="xeentry"/>
        </w:rPr>
        <w:instrText>me'a</w:instrText>
      </w:r>
      <w:r>
        <w:instrText>"</w:instrText>
      </w:r>
      <w:r>
        <w:rPr>
          <w:rStyle w:val="indexentry"/>
        </w:rPr>
        <w:fldChar w:fldCharType="end"/>
      </w:r>
      <w:r>
        <w:rPr>
          <w:rStyle w:val="indexentry"/>
        </w:rPr>
        <w:t>&lt;cx "“more”, expressing with relative phrases"&gt;</w:t>
      </w:r>
      <w:r>
        <w:rPr>
          <w:rStyle w:val="indexentry"/>
        </w:rPr>
        <w:fldChar w:fldCharType="begin"/>
      </w:r>
      <w:r>
        <w:instrText>xe "</w:instrText>
      </w:r>
      <w:r>
        <w:rPr>
          <w:rStyle w:val="xeentry"/>
        </w:rPr>
        <w:instrText>more: English word, expressing with relative phrases</w:instrText>
      </w:r>
      <w:r>
        <w:instrText>"</w:instrText>
      </w:r>
      <w:r>
        <w:rPr>
          <w:rStyle w:val="indexentry"/>
        </w:rPr>
        <w:fldChar w:fldCharType="end"/>
      </w:r>
      <w:r>
        <w:rPr>
          <w:rStyle w:val="indexentry"/>
        </w:rPr>
        <w:t>&lt;cx "“less”, expressing with relative phrases"&gt;</w:t>
      </w:r>
      <w:r>
        <w:rPr>
          <w:rStyle w:val="indexentry"/>
        </w:rPr>
        <w:fldChar w:fldCharType="begin"/>
      </w:r>
      <w:r>
        <w:instrText>xe "</w:instrText>
      </w:r>
      <w:r>
        <w:rPr>
          <w:rStyle w:val="xeentry"/>
        </w:rPr>
        <w:instrText>less: English word, expressing with relative phrases</w:instrText>
      </w:r>
      <w:r>
        <w:instrText>"</w:instrText>
      </w:r>
      <w:r>
        <w:rPr>
          <w:rStyle w:val="indexentry"/>
        </w:rPr>
        <w:fldChar w:fldCharType="end"/>
      </w:r>
      <w:r>
        <w:t>Modal relative phrases are often used with the BAI cmavo “mau” and “me'a”,</w:t>
      </w:r>
      <w:r>
        <w:rPr>
          <w:rStyle w:val="deletedparamark"/>
        </w:rPr>
        <w:t xml:space="preserve"> </w:t>
      </w:r>
      <w:r>
        <w:t>which are based on the comparative gismu “zmadu” (more than) and “mleca”</w:t>
      </w:r>
      <w:r>
        <w:rPr>
          <w:rStyle w:val="deletedparamark"/>
        </w:rPr>
        <w:t xml:space="preserve"> </w:t>
      </w:r>
      <w:r>
        <w:t>(less than) respe</w:t>
      </w:r>
      <w:r>
        <w:t>c</w:t>
      </w:r>
      <w:r>
        <w:softHyphen/>
        <w:t>tively. The place structures are:</w:t>
      </w:r>
    </w:p>
    <w:p w:rsidR="00B72047" w:rsidRDefault="00B72047" w:rsidP="007E67C1">
      <w:pPr>
        <w:pStyle w:val="placestructureleft"/>
        <w:numPr>
          <w:ilvl w:val="0"/>
          <w:numId w:val="0"/>
        </w:numPr>
        <w:ind w:left="1224" w:hanging="504"/>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&lt;pre&gt;</w:t>
      </w:r>
      <w:r>
        <w:t>zmadu:  x1 is more than x2 in property/quantity x3 by amount x4</w:t>
      </w:r>
    </w:p>
    <w:p w:rsidR="00B72047" w:rsidRDefault="00B72047" w:rsidP="007E67C1">
      <w:pPr>
        <w:pStyle w:val="placestructcontleft"/>
        <w:numPr>
          <w:ilvl w:val="0"/>
          <w:numId w:val="0"/>
        </w:numPr>
        <w:ind w:left="1224" w:hanging="504"/>
      </w:pPr>
      <w:r>
        <w:t>mleca:  x1 is less than x2 in property/quantity x3 by amount x4</w:t>
      </w:r>
    </w:p>
    <w:p w:rsidR="00B72047" w:rsidRDefault="00B72047">
      <w:pPr>
        <w:pStyle w:val="resumedafterexample"/>
      </w:pPr>
      <w:r>
        <w:rPr>
          <w:rStyle w:val="htmlcodes"/>
        </w:rPr>
        <w:t>&lt;/pre&gt;&lt;p&gt;</w:t>
      </w:r>
      <w:r>
        <w:t>Here are 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&lt;ex "likes more than"&gt;</w:t>
      </w:r>
      <w:r>
        <w:rPr>
          <w:rStyle w:val="indexentry"/>
        </w:rPr>
        <w:fldChar w:fldCharType="begin"/>
      </w:r>
      <w:r>
        <w:instrText>xe "</w:instrText>
      </w:r>
      <w:r>
        <w:rPr>
          <w:rStyle w:val="xeentry"/>
        </w:rPr>
        <w:instrText>likes more than: example</w:instrText>
      </w:r>
      <w:r>
        <w:instrText>"</w:instrText>
      </w:r>
      <w:r>
        <w:rPr>
          <w:rStyle w:val="indexentry"/>
        </w:rPr>
        <w:fldChar w:fldCharType="end"/>
      </w:r>
      <w:r>
        <w:rPr>
          <w:rStyle w:val="htmlcodes"/>
        </w:rPr>
        <w:t>&lt;pre&gt;&lt;a name=e10d7&gt;</w:t>
      </w:r>
      <w:r>
        <w:t>10.7)</w:t>
      </w:r>
      <w:r>
        <w:tab/>
        <w:t>la frank. nelci la betis. ne semau la meiris.</w:t>
      </w:r>
    </w:p>
    <w:p w:rsidR="00B72047" w:rsidRDefault="00B72047">
      <w:pPr>
        <w:pStyle w:val="examplescaled"/>
      </w:pPr>
      <w:r>
        <w:tab/>
        <w:t>Frank likes Betty, which-is more-than Mary.</w:t>
      </w:r>
    </w:p>
    <w:p w:rsidR="00B72047" w:rsidRDefault="00B72047">
      <w:pPr>
        <w:pStyle w:val="examplescaled"/>
      </w:pPr>
      <w:r>
        <w:tab/>
        <w:t>Frank likes Betty more than (he likes) Mary.</w:t>
      </w:r>
    </w:p>
    <w:p w:rsidR="00B72047" w:rsidRDefault="00B72047">
      <w:pPr>
        <w:pStyle w:val="resumedafterexample"/>
      </w:pPr>
      <w:r>
        <w:rPr>
          <w:rStyle w:val="htmlcodes"/>
        </w:rPr>
        <w:t>&lt;/pre&gt;&lt;a href=#e10d7&gt;</w:t>
      </w:r>
      <w:r>
        <w:t xml:space="preserve">Example 10.7 </w:t>
      </w:r>
      <w:r>
        <w:rPr>
          <w:rStyle w:val="htmlcodes"/>
        </w:rPr>
        <w:t>&lt;/a&gt;</w:t>
      </w:r>
      <w:r>
        <w:t>requires that Frank likes Betty, but adds the informa</w:t>
      </w:r>
      <w:r>
        <w:softHyphen/>
        <w:t>tion that</w:t>
      </w:r>
      <w:r>
        <w:rPr>
          <w:rStyle w:val="deletedparamark"/>
        </w:rPr>
        <w:t xml:space="preserve"> </w:t>
      </w:r>
      <w:r>
        <w:t>his liking for Betty exceeds his liking for Mary. The modal appears in</w:t>
      </w:r>
      <w:r>
        <w:rPr>
          <w:rStyle w:val="deletedparamark"/>
        </w:rPr>
        <w:t xml:space="preserve"> </w:t>
      </w:r>
      <w:r>
        <w:t>the form “semau” because the x2 place of “zmadu” is the basis for comparison:</w:t>
      </w:r>
      <w:r>
        <w:rPr>
          <w:rStyle w:val="deletedparamark"/>
        </w:rPr>
        <w:t xml:space="preserve"> </w:t>
      </w:r>
      <w:r>
        <w:t>in this case, Frank's liking for Mary.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la frank. nelci la meiris. ne seme'a la betis.</w:t>
      </w:r>
    </w:p>
    <w:p w:rsidR="00B72047" w:rsidRDefault="00B72047">
      <w:pPr>
        <w:pStyle w:val="examplescaled"/>
      </w:pPr>
      <w:r>
        <w:tab/>
        <w:t>Frank likes Mary, which-is less-than Betty.</w:t>
      </w:r>
    </w:p>
    <w:p w:rsidR="00B72047" w:rsidRDefault="00B72047">
      <w:pPr>
        <w:pStyle w:val="examplescaled"/>
      </w:pPr>
      <w:r>
        <w:tab/>
        <w:t>Frank likes Mary less than (he likes) Betty.</w:t>
      </w:r>
    </w:p>
    <w:p w:rsidR="00B72047" w:rsidRDefault="00B72047">
      <w:pPr>
        <w:pStyle w:val="resumedafterexample"/>
      </w:pPr>
      <w:r>
        <w:rPr>
          <w:rStyle w:val="htmlcodes"/>
        </w:rPr>
        <w:t>&lt;/pre&gt;</w:t>
      </w:r>
      <w:r>
        <w:rPr>
          <w:rStyle w:val="indexentry"/>
        </w:rPr>
        <w:t>&lt;cx "mau, avoiding in favor of seme'a"&gt;</w:t>
      </w:r>
      <w:r>
        <w:rPr>
          <w:rStyle w:val="indexentry"/>
        </w:rPr>
        <w:fldChar w:fldCharType="begin"/>
      </w:r>
      <w:r>
        <w:instrText>xe "</w:instrText>
      </w:r>
      <w:r>
        <w:rPr>
          <w:rStyle w:val="xeentry"/>
        </w:rPr>
        <w:instrText>mau: avoiding in favor of seme'a</w:instrText>
      </w:r>
      <w:r>
        <w:instrText>"</w:instrText>
      </w:r>
      <w:r>
        <w:rPr>
          <w:rStyle w:val="indexentry"/>
        </w:rPr>
        <w:fldChar w:fldCharType="end"/>
      </w:r>
      <w:r>
        <w:rPr>
          <w:rStyle w:val="indexentry"/>
        </w:rPr>
        <w:t>&lt;cx "me'a, avoiding in favor of semau"&gt;</w:t>
      </w:r>
      <w:r>
        <w:rPr>
          <w:rStyle w:val="indexentry"/>
        </w:rPr>
        <w:fldChar w:fldCharType="begin"/>
      </w:r>
      <w:r>
        <w:instrText>xe "</w:instrText>
      </w:r>
      <w:r>
        <w:rPr>
          <w:rStyle w:val="xeentry"/>
        </w:rPr>
        <w:instrText>me'a: avoiding in favor of semau</w:instrText>
      </w:r>
      <w:r>
        <w:instrText>"</w:instrText>
      </w:r>
      <w:r>
        <w:rPr>
          <w:rStyle w:val="indexentry"/>
        </w:rPr>
        <w:fldChar w:fldCharType="end"/>
      </w:r>
      <w:r>
        <w:t>Here we are told that Frank likes Mary less than he likes Betty; the</w:t>
      </w:r>
      <w:r>
        <w:rPr>
          <w:rStyle w:val="deletedparamark"/>
        </w:rPr>
        <w:t xml:space="preserve"> </w:t>
      </w:r>
      <w:r>
        <w:t>information about the comparison is the same. It would be possible to</w:t>
      </w:r>
      <w:r>
        <w:rPr>
          <w:rStyle w:val="deletedparamark"/>
        </w:rPr>
        <w:t xml:space="preserve"> </w:t>
      </w:r>
      <w:r>
        <w:t xml:space="preserve">rephrase </w:t>
      </w:r>
      <w:r>
        <w:rPr>
          <w:rStyle w:val="htmlcodes"/>
        </w:rPr>
        <w:t>&lt;a href=#e10d7&gt;</w:t>
      </w:r>
      <w:r>
        <w:t xml:space="preserve">Example 10.7 </w:t>
      </w:r>
      <w:r>
        <w:rPr>
          <w:rStyle w:val="htmlcodes"/>
        </w:rPr>
        <w:t>&lt;/a&gt;</w:t>
      </w:r>
      <w:r>
        <w:t xml:space="preserve">using “me'a” rather than “semau”, and </w:t>
      </w:r>
      <w:r>
        <w:rPr>
          <w:rStyle w:val="htmlcodes"/>
        </w:rPr>
        <w:t>&lt;a href=#e10d8&gt;</w:t>
      </w:r>
      <w:r>
        <w:t>Exam</w:t>
      </w:r>
      <w:r>
        <w:softHyphen/>
        <w:t xml:space="preserve">ple 10.8 </w:t>
      </w:r>
      <w:r>
        <w:rPr>
          <w:rStyle w:val="htmlcodes"/>
        </w:rPr>
        <w:t>&lt;/a&gt;</w:t>
      </w:r>
      <w:r>
        <w:t>using “mau” rather than “seme'a”, but such us</w:t>
      </w:r>
      <w:r>
        <w:softHyphen/>
        <w:t>age would be unnecessarily</w:t>
      </w:r>
      <w:r>
        <w:rPr>
          <w:rStyle w:val="deletedparamark"/>
        </w:rPr>
        <w:t xml:space="preserve"> </w:t>
      </w:r>
      <w:r>
        <w:t>confusing. Like many BAI cmavo, “mau” and “me'a” are more useful when</w:t>
      </w:r>
      <w:r>
        <w:rPr>
          <w:rStyle w:val="deletedparamark"/>
        </w:rPr>
        <w:t xml:space="preserve"> </w:t>
      </w:r>
      <w:r>
        <w:t>converted with “se”.</w:t>
      </w:r>
    </w:p>
    <w:p w:rsidR="00B72047" w:rsidRDefault="00B72047">
      <w:pPr>
        <w:rPr>
          <w:rStyle w:val="htmlparacode"/>
        </w:rPr>
      </w:pPr>
      <w:r>
        <w:rPr>
          <w:rStyle w:val="htmlparacode"/>
        </w:rPr>
        <w:t>&lt;p&gt;</w:t>
      </w:r>
    </w:p>
    <w:p w:rsidR="00B72047" w:rsidRDefault="00B72047">
      <w:pPr>
        <w:pStyle w:val="normalparagraph"/>
      </w:pPr>
      <w:r>
        <w:rPr>
          <w:rStyle w:val="indexentry"/>
        </w:rPr>
        <w:t>&lt;cx "“more”, importance of relative phrase to"&gt;</w:t>
      </w:r>
      <w:r>
        <w:rPr>
          <w:rStyle w:val="indexentry"/>
        </w:rPr>
        <w:fldChar w:fldCharType="begin"/>
      </w:r>
      <w:r>
        <w:instrText>xe "</w:instrText>
      </w:r>
      <w:r>
        <w:rPr>
          <w:rStyle w:val="xeentry"/>
        </w:rPr>
        <w:instrText>more: English word, importance of relative phrase to</w:instrText>
      </w:r>
      <w:r>
        <w:instrText>"</w:instrText>
      </w:r>
      <w:r>
        <w:rPr>
          <w:rStyle w:val="indexentry"/>
        </w:rPr>
        <w:fldChar w:fldCharType="end"/>
      </w:r>
      <w:r>
        <w:rPr>
          <w:rStyle w:val="indexentry"/>
        </w:rPr>
        <w:t>&lt;cx "“less”, importance of relative phrase to"&gt;</w:t>
      </w:r>
      <w:r>
        <w:rPr>
          <w:rStyle w:val="indexentry"/>
        </w:rPr>
        <w:fldChar w:fldCharType="begin"/>
      </w:r>
      <w:r>
        <w:instrText>xe "</w:instrText>
      </w:r>
      <w:r>
        <w:rPr>
          <w:rStyle w:val="xeentry"/>
        </w:rPr>
        <w:instrText>less: English word, importance of relative phrase to</w:instrText>
      </w:r>
      <w:r>
        <w:instrText>"</w:instrText>
      </w:r>
      <w:r>
        <w:rPr>
          <w:rStyle w:val="indexentry"/>
        </w:rPr>
        <w:fldChar w:fldCharType="end"/>
      </w:r>
      <w:r>
        <w:t xml:space="preserve">If the “ne” were omitted in </w:t>
      </w:r>
      <w:r>
        <w:rPr>
          <w:rStyle w:val="htmlcodes"/>
        </w:rPr>
        <w:t>&lt;a href=#e10d7&gt;</w:t>
      </w:r>
      <w:r>
        <w:t xml:space="preserve">Example 10.7 </w:t>
      </w:r>
      <w:r>
        <w:rPr>
          <w:rStyle w:val="htmlcodes"/>
        </w:rPr>
        <w:t>&lt;/a&gt;</w:t>
      </w:r>
      <w:r>
        <w:t xml:space="preserve">and </w:t>
      </w:r>
      <w:r>
        <w:rPr>
          <w:rStyle w:val="htmlcodes"/>
        </w:rPr>
        <w:t>&lt;a href=#e10d8&gt;</w:t>
      </w:r>
      <w:r>
        <w:t>Example 10.8</w:t>
      </w:r>
      <w:r>
        <w:rPr>
          <w:rStyle w:val="htmlcodes"/>
        </w:rPr>
        <w:t>&lt;/a&gt;</w:t>
      </w:r>
      <w:r>
        <w:t>, the modal sumti</w:t>
      </w:r>
      <w:r>
        <w:rPr>
          <w:rStyle w:val="deletedparamark"/>
        </w:rPr>
        <w:t xml:space="preserve"> </w:t>
      </w:r>
      <w:r>
        <w:t>(“la meiris.” and “la betis.” respectively) would be</w:t>
      </w:r>
      <w:r>
        <w:softHyphen/>
        <w:t>come attached to the</w:t>
      </w:r>
      <w:r>
        <w:rPr>
          <w:rStyle w:val="deletedparamark"/>
        </w:rPr>
        <w:t xml:space="preserve"> </w:t>
      </w:r>
      <w:r>
        <w:t>bridi as a whole, pr</w:t>
      </w:r>
      <w:r>
        <w:t>o</w:t>
      </w:r>
      <w:r>
        <w:softHyphen/>
        <w:t xml:space="preserve">ducing a very different translation. </w:t>
      </w:r>
      <w:r>
        <w:rPr>
          <w:rStyle w:val="htmlcodes"/>
        </w:rPr>
        <w:t>&lt;a href=#e10d8&gt;</w:t>
      </w:r>
      <w:r>
        <w:t xml:space="preserve">Example 10.8 </w:t>
      </w:r>
      <w:r>
        <w:rPr>
          <w:rStyle w:val="htmlcodes"/>
        </w:rPr>
        <w:t>&lt;/a&gt;</w:t>
      </w:r>
      <w:r>
        <w:t>would become: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la frank. nelci la meiris. seme'a la betis.</w:t>
      </w:r>
    </w:p>
    <w:p w:rsidR="00B72047" w:rsidRDefault="00B72047">
      <w:pPr>
        <w:pStyle w:val="examplescaled"/>
      </w:pPr>
      <w:r>
        <w:tab/>
        <w:t>Frank likes Mary is-less-than Betty.</w:t>
      </w:r>
    </w:p>
    <w:p w:rsidR="00B72047" w:rsidRDefault="00B72047">
      <w:pPr>
        <w:pStyle w:val="examplescaled"/>
      </w:pPr>
      <w:r>
        <w:tab/>
        <w:t>Frank's liking Mary is less than Betty.</w:t>
      </w:r>
    </w:p>
    <w:p w:rsidR="00B72047" w:rsidRDefault="00B72047">
      <w:pPr>
        <w:pStyle w:val="resumedafterexample"/>
      </w:pPr>
      <w:r>
        <w:rPr>
          <w:rStyle w:val="htmlcodes"/>
        </w:rPr>
        <w:t>&lt;/pre&gt;</w:t>
      </w:r>
      <w:r>
        <w:t>which compares a liking with a person, and is therefore nonsense.</w:t>
      </w:r>
    </w:p>
    <w:p w:rsidR="00B72047" w:rsidRDefault="00B72047">
      <w:pPr>
        <w:rPr>
          <w:rStyle w:val="htmlparacode"/>
        </w:rPr>
      </w:pPr>
      <w:r>
        <w:rPr>
          <w:rStyle w:val="htmlparacode"/>
        </w:rPr>
        <w:t>&lt;p&gt;</w:t>
      </w:r>
    </w:p>
    <w:p w:rsidR="00B72047" w:rsidRDefault="00B72047">
      <w:pPr>
        <w:pStyle w:val="normalparagraph"/>
      </w:pPr>
      <w:r>
        <w:rPr>
          <w:rStyle w:val="indexentry"/>
        </w:rPr>
        <w:t>&lt;cx "comparison, claims related to based on form"&gt;</w:t>
      </w:r>
      <w:r>
        <w:rPr>
          <w:rStyle w:val="indexentry"/>
        </w:rPr>
        <w:fldChar w:fldCharType="begin"/>
      </w:r>
      <w:r>
        <w:instrText>xe "</w:instrText>
      </w:r>
      <w:r>
        <w:rPr>
          <w:rStyle w:val="xeentry"/>
        </w:rPr>
        <w:instrText>comparison: claims related to based on form</w:instrText>
      </w:r>
      <w:r>
        <w:instrText>"</w:instrText>
      </w:r>
      <w:r>
        <w:rPr>
          <w:rStyle w:val="indexentry"/>
        </w:rPr>
        <w:fldChar w:fldCharType="end"/>
      </w:r>
      <w:r>
        <w:rPr>
          <w:rStyle w:val="indexentry"/>
        </w:rPr>
        <w:t>&lt;cx "comparison with relative phrase, contrasted with bridi-based comparison, in claims about parts"&gt;</w:t>
      </w:r>
      <w:r>
        <w:rPr>
          <w:rStyle w:val="indexentry"/>
        </w:rPr>
        <w:fldChar w:fldCharType="begin"/>
      </w:r>
      <w:r>
        <w:instrText>xe "</w:instrText>
      </w:r>
      <w:r>
        <w:rPr>
          <w:rStyle w:val="xeentry"/>
        </w:rPr>
        <w:instrText>comparison with relative phrase: contrasted with bridi-based comparison, in claims about parts</w:instrText>
      </w:r>
      <w:r>
        <w:instrText>"</w:instrText>
      </w:r>
      <w:r>
        <w:rPr>
          <w:rStyle w:val="indexentry"/>
        </w:rPr>
        <w:fldChar w:fldCharType="end"/>
      </w:r>
      <w:r>
        <w:rPr>
          <w:rStyle w:val="indexentry"/>
        </w:rPr>
        <w:t>&lt;cx "bridi-based comparison, contrasted with comparison with relative phrase, in claims about parts"&gt;</w:t>
      </w:r>
      <w:r>
        <w:rPr>
          <w:rStyle w:val="indexentry"/>
        </w:rPr>
        <w:fldChar w:fldCharType="begin"/>
      </w:r>
      <w:r>
        <w:instrText>xe "</w:instrText>
      </w:r>
      <w:r>
        <w:rPr>
          <w:rStyle w:val="xeentry"/>
        </w:rPr>
        <w:instrText>bridi-based comparison: contrasted with comparison with relative phrase, in claims about parts</w:instrText>
      </w:r>
      <w:r>
        <w:instrText>"</w:instrText>
      </w:r>
      <w:r>
        <w:rPr>
          <w:rStyle w:val="indexentry"/>
        </w:rPr>
        <w:fldChar w:fldCharType="end"/>
      </w:r>
      <w:r>
        <w:t>Pure comparison, which states only the comparative informa</w:t>
      </w:r>
      <w:r>
        <w:softHyphen/>
        <w:t>tion but says</w:t>
      </w:r>
      <w:r>
        <w:rPr>
          <w:rStyle w:val="deletedparamark"/>
        </w:rPr>
        <w:t xml:space="preserve"> </w:t>
      </w:r>
      <w:r>
        <w:t>nothing about whether Frank actually likes either Mary or Betty (he may</w:t>
      </w:r>
      <w:r>
        <w:rPr>
          <w:rStyle w:val="deletedparamark"/>
        </w:rPr>
        <w:t xml:space="preserve"> </w:t>
      </w:r>
      <w:r>
        <w:t>like neither, but dislike Betty less), would be ex</w:t>
      </w:r>
      <w:r>
        <w:softHyphen/>
        <w:t>pressed differently,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le ni la frank. nelci la betis. cu zmadu</w:t>
      </w:r>
    </w:p>
    <w:p w:rsidR="00B72047" w:rsidRDefault="00B72047">
      <w:pPr>
        <w:pStyle w:val="examplescaled"/>
      </w:pPr>
      <w:r>
        <w:tab/>
      </w:r>
      <w:r>
        <w:tab/>
        <w:t>le ni la frank. nelci la meiris.</w:t>
      </w:r>
    </w:p>
    <w:p w:rsidR="00B72047" w:rsidRDefault="00B72047">
      <w:pPr>
        <w:pStyle w:val="examplescaled"/>
      </w:pPr>
      <w:r>
        <w:tab/>
        <w:t>The quantity-of Frank's liking Betty is-more-than</w:t>
      </w:r>
    </w:p>
    <w:p w:rsidR="00B72047" w:rsidRDefault="00B72047">
      <w:pPr>
        <w:pStyle w:val="examplescaled"/>
      </w:pPr>
      <w:r>
        <w:tab/>
      </w:r>
      <w:r>
        <w:tab/>
        <w:t>the quantity-of Frank's liking Mary.</w:t>
      </w:r>
    </w:p>
    <w:p w:rsidR="00B72047" w:rsidRDefault="00B72047">
      <w:pPr>
        <w:pStyle w:val="normalafterexample"/>
      </w:pPr>
      <w:r>
        <w:rPr>
          <w:rStyle w:val="htmlcodes"/>
        </w:rPr>
        <w:t>&lt;/pre&gt;</w:t>
      </w:r>
      <w:r>
        <w:rPr>
          <w:rStyle w:val="indexentry"/>
        </w:rPr>
        <w:t>&lt;cx "modals often attached with relative phrases, list"&gt;</w:t>
      </w:r>
      <w:r>
        <w:rPr>
          <w:rStyle w:val="indexentry"/>
        </w:rPr>
        <w:fldChar w:fldCharType="begin"/>
      </w:r>
      <w:r>
        <w:instrText>xe "</w:instrText>
      </w:r>
      <w:r>
        <w:rPr>
          <w:rStyle w:val="xeentry"/>
        </w:rPr>
        <w:instrText>modals often attached with relative phrases: list</w:instrText>
      </w:r>
      <w:r>
        <w:instrText>"</w:instrText>
      </w:r>
      <w:r>
        <w:rPr>
          <w:rStyle w:val="indexentry"/>
        </w:rPr>
        <w:fldChar w:fldCharType="end"/>
      </w:r>
      <w:r>
        <w:rPr>
          <w:rStyle w:val="indexentry"/>
        </w:rPr>
        <w:t>&lt;lx "semau"&gt;</w:t>
      </w:r>
      <w:r>
        <w:rPr>
          <w:rStyle w:val="indexentry"/>
        </w:rPr>
        <w:fldChar w:fldCharType="begin"/>
      </w:r>
      <w:r>
        <w:instrText>xe "</w:instrText>
      </w:r>
      <w:r>
        <w:rPr>
          <w:rStyle w:val="xeentry"/>
        </w:rPr>
        <w:instrText>semau</w:instrText>
      </w:r>
      <w:r>
        <w:instrText>"</w:instrText>
      </w:r>
      <w:r>
        <w:rPr>
          <w:rStyle w:val="indexentry"/>
        </w:rPr>
        <w:fldChar w:fldCharType="end"/>
      </w:r>
      <w:r>
        <w:rPr>
          <w:rStyle w:val="indexentry"/>
        </w:rPr>
        <w:t>&lt;lx "seme'a"&gt;</w:t>
      </w:r>
      <w:r>
        <w:rPr>
          <w:rStyle w:val="indexentry"/>
        </w:rPr>
        <w:fldChar w:fldCharType="begin"/>
      </w:r>
      <w:r>
        <w:instrText>xe "</w:instrText>
      </w:r>
      <w:r>
        <w:rPr>
          <w:rStyle w:val="xeentry"/>
        </w:rPr>
        <w:instrText>seme'a</w:instrText>
      </w:r>
      <w:r>
        <w:instrText>"</w:instrText>
      </w:r>
      <w:r>
        <w:rPr>
          <w:rStyle w:val="indexentry"/>
        </w:rPr>
        <w:fldChar w:fldCharType="end"/>
      </w:r>
      <w:r>
        <w:rPr>
          <w:rStyle w:val="indexentry"/>
        </w:rPr>
        <w:t>&lt;lx "seba'i"&gt;</w:t>
      </w:r>
      <w:r>
        <w:rPr>
          <w:rStyle w:val="indexentry"/>
        </w:rPr>
        <w:fldChar w:fldCharType="begin"/>
      </w:r>
      <w:r>
        <w:instrText>xe "</w:instrText>
      </w:r>
      <w:r>
        <w:rPr>
          <w:rStyle w:val="xeentry"/>
        </w:rPr>
        <w:instrText>seba'i</w:instrText>
      </w:r>
      <w:r>
        <w:instrText>"</w:instrText>
      </w:r>
      <w:r>
        <w:rPr>
          <w:rStyle w:val="indexentry"/>
        </w:rPr>
        <w:fldChar w:fldCharType="end"/>
      </w:r>
      <w:r>
        <w:rPr>
          <w:rStyle w:val="indexentry"/>
        </w:rPr>
        <w:t>&lt;lx "ci'u"&gt;</w:t>
      </w:r>
      <w:r>
        <w:rPr>
          <w:rStyle w:val="indexentry"/>
        </w:rPr>
        <w:fldChar w:fldCharType="begin"/>
      </w:r>
      <w:r>
        <w:instrText>xe "</w:instrText>
      </w:r>
      <w:r>
        <w:rPr>
          <w:rStyle w:val="xeentry"/>
        </w:rPr>
        <w:instrText>ci'u</w:instrText>
      </w:r>
      <w:r>
        <w:instrText>"</w:instrText>
      </w:r>
      <w:r>
        <w:rPr>
          <w:rStyle w:val="indexentry"/>
        </w:rPr>
        <w:fldChar w:fldCharType="end"/>
      </w:r>
      <w:r>
        <w:rPr>
          <w:rStyle w:val="indexentry"/>
        </w:rPr>
        <w:t>&lt;lx "de'i"&gt;</w:t>
      </w:r>
      <w:r>
        <w:rPr>
          <w:rStyle w:val="indexentry"/>
        </w:rPr>
        <w:fldChar w:fldCharType="begin"/>
      </w:r>
      <w:r>
        <w:instrText>xe "</w:instrText>
      </w:r>
      <w:r>
        <w:rPr>
          <w:rStyle w:val="xeentry"/>
        </w:rPr>
        <w:instrText>de'i</w:instrText>
      </w:r>
      <w:r>
        <w:instrText>"</w:instrText>
      </w:r>
      <w:r>
        <w:rPr>
          <w:rStyle w:val="indexentry"/>
        </w:rPr>
        <w:fldChar w:fldCharType="end"/>
      </w:r>
      <w:r>
        <w:rPr>
          <w:rStyle w:val="indexentry"/>
        </w:rPr>
        <w:t>&lt;lx "du'i"&gt;</w:t>
      </w:r>
      <w:r>
        <w:rPr>
          <w:rStyle w:val="indexentry"/>
        </w:rPr>
        <w:fldChar w:fldCharType="begin"/>
      </w:r>
      <w:r>
        <w:instrText>xe "</w:instrText>
      </w:r>
      <w:r>
        <w:rPr>
          <w:rStyle w:val="xeentry"/>
        </w:rPr>
        <w:instrText>du'i</w:instrText>
      </w:r>
      <w:r>
        <w:instrText>"</w:instrText>
      </w:r>
      <w:r>
        <w:rPr>
          <w:rStyle w:val="indexentry"/>
        </w:rPr>
        <w:fldChar w:fldCharType="end"/>
      </w:r>
      <w:r>
        <w:t>The mechanisms explained in this section are appropriate to many modals</w:t>
      </w:r>
      <w:r>
        <w:rPr>
          <w:rStyle w:val="deletedparamark"/>
        </w:rPr>
        <w:t xml:space="preserve"> </w:t>
      </w:r>
      <w:r>
        <w:t>other than “semau” and “seme'a”. Some other modals that are often</w:t>
      </w:r>
      <w:r>
        <w:rPr>
          <w:rStyle w:val="deletedparamark"/>
        </w:rPr>
        <w:t xml:space="preserve"> </w:t>
      </w:r>
      <w:r>
        <w:t>associated with relative phrases are: “seba'i” (“instead of”),</w:t>
      </w:r>
      <w:r>
        <w:rPr>
          <w:rStyle w:val="deletedparamark"/>
        </w:rPr>
        <w:t xml:space="preserve"> “</w:t>
      </w:r>
      <w:r>
        <w:t>ci'u” (“on scale”), “de'i” (“dated”), “du'i” (“as much as”).</w:t>
      </w:r>
      <w:r>
        <w:rPr>
          <w:rStyle w:val="deletedparamark"/>
        </w:rPr>
        <w:t xml:space="preserve"> </w:t>
      </w:r>
      <w:r>
        <w:t>Some BAI tags can be used equally well in relative phrases or attached</w:t>
      </w:r>
      <w:r>
        <w:rPr>
          <w:rStyle w:val="deletedparamark"/>
        </w:rPr>
        <w:t xml:space="preserve"> </w:t>
      </w:r>
      <w:r>
        <w:t>to bridi; others seem useful only attached to bridi. But it is also</w:t>
      </w:r>
      <w:r>
        <w:rPr>
          <w:rStyle w:val="deletedparamark"/>
        </w:rPr>
        <w:t xml:space="preserve"> </w:t>
      </w:r>
      <w:r>
        <w:t>possible that the useful</w:t>
      </w:r>
      <w:r>
        <w:softHyphen/>
        <w:t>ness of particular BAI modals is an English-speaker</w:t>
      </w:r>
      <w:r>
        <w:rPr>
          <w:rStyle w:val="deletedparamark"/>
        </w:rPr>
        <w:t xml:space="preserve"> </w:t>
      </w:r>
      <w:r>
        <w:t>bias, and that speakers of other languages may find other BAIs useful</w:t>
      </w:r>
      <w:r>
        <w:rPr>
          <w:rStyle w:val="deletedparamark"/>
        </w:rPr>
        <w:t xml:space="preserve"> </w:t>
      </w:r>
      <w:r>
        <w:t>in divergent ways.</w:t>
      </w:r>
    </w:p>
    <w:p w:rsidR="00B72047" w:rsidRDefault="00B72047">
      <w:pPr>
        <w:rPr>
          <w:rStyle w:val="htmlparacode"/>
        </w:rPr>
      </w:pPr>
      <w:r>
        <w:rPr>
          <w:rStyle w:val="htmlparacode"/>
        </w:rPr>
        <w:t>&lt;p&gt;</w:t>
      </w:r>
    </w:p>
    <w:p w:rsidR="00B72047" w:rsidRDefault="00B72047">
      <w:pPr>
        <w:pStyle w:val="normalparagraph"/>
      </w:pPr>
      <w:r>
        <w:rPr>
          <w:rStyle w:val="indexentry"/>
        </w:rPr>
        <w:t>&lt;cx "fi'o modals, usage in relative phrases"&gt;</w:t>
      </w:r>
      <w:r>
        <w:rPr>
          <w:rStyle w:val="indexentry"/>
        </w:rPr>
        <w:fldChar w:fldCharType="begin"/>
      </w:r>
      <w:r>
        <w:instrText>xe "</w:instrText>
      </w:r>
      <w:r>
        <w:rPr>
          <w:rStyle w:val="xeentry"/>
        </w:rPr>
        <w:instrText>fi'o modals: usage in relative phrases</w:instrText>
      </w:r>
      <w:r>
        <w:instrText>"</w:instrText>
      </w:r>
      <w:r>
        <w:rPr>
          <w:rStyle w:val="indexentry"/>
        </w:rPr>
        <w:fldChar w:fldCharType="end"/>
      </w:r>
      <w:r>
        <w:t>Note: The uses of modals discussed in this section are appli</w:t>
      </w:r>
      <w:r>
        <w:softHyphen/>
        <w:t>cable both to</w:t>
      </w:r>
      <w:r>
        <w:rPr>
          <w:rStyle w:val="deletedparamark"/>
        </w:rPr>
        <w:t xml:space="preserve"> </w:t>
      </w:r>
      <w:r>
        <w:t>BAI modals and to “fi'o”-plus-selbri modals.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320" w:name="_Toc398970566"/>
      <w:r>
        <w:rPr>
          <w:rStyle w:val="Heading3Text"/>
        </w:rPr>
        <w:t>Mixed modal connection</w:t>
      </w:r>
      <w:bookmarkEnd w:id="320"/>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It is possible to mix logical connection (explained in </w:t>
      </w:r>
      <w:r>
        <w:rPr>
          <w:rStyle w:val="htmlcodes"/>
        </w:rPr>
        <w:t>&lt;a href=chap14.html&gt;</w:t>
      </w:r>
      <w:r>
        <w:t>Chapter 14</w:t>
      </w:r>
      <w:r>
        <w:rPr>
          <w:rStyle w:val="htmlcodes"/>
        </w:rPr>
        <w:t>&lt;/a&gt;</w:t>
      </w:r>
      <w:r>
        <w:t>) with modal</w:t>
      </w:r>
      <w:r>
        <w:rPr>
          <w:rStyle w:val="deletedparamark"/>
        </w:rPr>
        <w:t xml:space="preserve"> </w:t>
      </w:r>
      <w:r>
        <w:t>co</w:t>
      </w:r>
      <w:r>
        <w:t>n</w:t>
      </w:r>
      <w:r>
        <w:softHyphen/>
        <w:t>nection, in a way that simultaneously asserts the logical connection</w:t>
      </w:r>
      <w:r>
        <w:rPr>
          <w:rStyle w:val="deletedparamark"/>
        </w:rPr>
        <w:t xml:space="preserve"> </w:t>
      </w:r>
      <w:r>
        <w:t>and the modal rel</w:t>
      </w:r>
      <w:r>
        <w:t>a</w:t>
      </w:r>
      <w:r>
        <w:softHyphen/>
        <w:t>tionship. Consider the sen</w:t>
      </w:r>
      <w:r>
        <w:softHyphen/>
        <w:t>tences: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mi nelci do .ije mi nelci la djein.</w:t>
      </w:r>
    </w:p>
    <w:p w:rsidR="00B72047" w:rsidRDefault="00B72047">
      <w:pPr>
        <w:pStyle w:val="examplescaled"/>
      </w:pPr>
      <w:r>
        <w:tab/>
        <w:t>I like you.  And I like Jane</w:t>
      </w:r>
    </w:p>
    <w:p w:rsidR="00B72047" w:rsidRDefault="00B72047">
      <w:pPr>
        <w:pStyle w:val="resumedafterexample"/>
      </w:pPr>
      <w:r>
        <w:rPr>
          <w:rStyle w:val="htmlcodes"/>
        </w:rPr>
        <w:t>&lt;/pre&gt;</w:t>
      </w:r>
      <w:r>
        <w:t>which is a logical connection, 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mi nelci do  .iki'ubo mi nelci la djein.</w:t>
      </w:r>
    </w:p>
    <w:p w:rsidR="00B72047" w:rsidRDefault="00B72047">
      <w:pPr>
        <w:pStyle w:val="examplescaled"/>
      </w:pPr>
      <w:r>
        <w:tab/>
        <w:t>I like you.  Justified-by I like Jane.</w:t>
      </w:r>
    </w:p>
    <w:p w:rsidR="00B72047" w:rsidRDefault="00B72047">
      <w:pPr>
        <w:pStyle w:val="normalafterexample"/>
      </w:pPr>
      <w:r>
        <w:rPr>
          <w:rStyle w:val="htmlcodes"/>
        </w:rPr>
        <w:t>&lt;/pre&gt;</w:t>
      </w:r>
      <w:r>
        <w:rPr>
          <w:rStyle w:val="indexentry"/>
        </w:rPr>
        <w:t>&lt;cx "connection, simultaneously modal and logical"&gt;</w:t>
      </w:r>
      <w:r>
        <w:rPr>
          <w:rStyle w:val="indexentry"/>
        </w:rPr>
        <w:fldChar w:fldCharType="begin"/>
      </w:r>
      <w:r>
        <w:instrText>xe "</w:instrText>
      </w:r>
      <w:r>
        <w:rPr>
          <w:rStyle w:val="xeentry"/>
        </w:rPr>
        <w:instrText>connection: simultaneously modal and logical</w:instrText>
      </w:r>
      <w:r>
        <w:instrText>"</w:instrText>
      </w:r>
      <w:r>
        <w:rPr>
          <w:rStyle w:val="indexentry"/>
        </w:rPr>
        <w:fldChar w:fldCharType="end"/>
      </w:r>
      <w:r>
        <w:rPr>
          <w:rStyle w:val="indexentry"/>
        </w:rPr>
        <w:t>&lt;cx "modal connection, simultaneous with logical"&gt;</w:t>
      </w:r>
      <w:r>
        <w:rPr>
          <w:rStyle w:val="indexentry"/>
        </w:rPr>
        <w:fldChar w:fldCharType="begin"/>
      </w:r>
      <w:r>
        <w:instrText>xe "</w:instrText>
      </w:r>
      <w:r>
        <w:rPr>
          <w:rStyle w:val="xeentry"/>
        </w:rPr>
        <w:instrText>modal connection: simultaneous with logical</w:instrText>
      </w:r>
      <w:r>
        <w:instrText>"</w:instrText>
      </w:r>
      <w:r>
        <w:rPr>
          <w:rStyle w:val="indexentry"/>
        </w:rPr>
        <w:fldChar w:fldCharType="end"/>
      </w:r>
      <w:r>
        <w:rPr>
          <w:rStyle w:val="indexentry"/>
        </w:rPr>
        <w:t>&lt;cx "mixed modal connection, of sentences"&gt;</w:t>
      </w:r>
      <w:r>
        <w:rPr>
          <w:rStyle w:val="indexentry"/>
        </w:rPr>
        <w:fldChar w:fldCharType="begin"/>
      </w:r>
      <w:r>
        <w:instrText>xe "</w:instrText>
      </w:r>
      <w:r>
        <w:rPr>
          <w:rStyle w:val="xeentry"/>
        </w:rPr>
        <w:instrText>mixed modal connection: of sentences</w:instrText>
      </w:r>
      <w:r>
        <w:instrText>"</w:instrText>
      </w:r>
      <w:r>
        <w:rPr>
          <w:rStyle w:val="indexentry"/>
        </w:rPr>
        <w:fldChar w:fldCharType="end"/>
      </w:r>
      <w:r>
        <w:t xml:space="preserve">The meanings of </w:t>
      </w:r>
      <w:r>
        <w:rPr>
          <w:rStyle w:val="htmlcodes"/>
        </w:rPr>
        <w:t>&lt;a href=#e11d1&gt;</w:t>
      </w:r>
      <w:r>
        <w:t xml:space="preserve">Example 11.1 </w:t>
      </w:r>
      <w:r>
        <w:rPr>
          <w:rStyle w:val="htmlcodes"/>
        </w:rPr>
        <w:t>&lt;/a&gt;</w:t>
      </w:r>
      <w:r>
        <w:t xml:space="preserve">and </w:t>
      </w:r>
      <w:r>
        <w:rPr>
          <w:rStyle w:val="htmlcodes"/>
        </w:rPr>
        <w:t>&lt;a href=#e11d2&gt;</w:t>
      </w:r>
      <w:r>
        <w:t xml:space="preserve">Example 11.2 </w:t>
      </w:r>
      <w:r>
        <w:rPr>
          <w:rStyle w:val="htmlcodes"/>
        </w:rPr>
        <w:t>&lt;/a&gt;</w:t>
      </w:r>
      <w:r>
        <w:t>can be si</w:t>
      </w:r>
      <w:r>
        <w:softHyphen/>
        <w:t>multaneously ex</w:t>
      </w:r>
      <w:r>
        <w:softHyphen/>
        <w:t>pressed</w:t>
      </w:r>
      <w:r>
        <w:rPr>
          <w:rStyle w:val="deletedparamark"/>
        </w:rPr>
        <w:t xml:space="preserve"> </w:t>
      </w:r>
      <w:r>
        <w:t>by combining the two compound cmavo,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mi nelci do  .ijeki'ubo mi nelci la djein.</w:t>
      </w:r>
    </w:p>
    <w:p w:rsidR="00B72047" w:rsidRDefault="00B72047">
      <w:pPr>
        <w:pStyle w:val="examplescaled"/>
      </w:pPr>
      <w:r>
        <w:tab/>
        <w:t>I like you.  And justified-by I like Jane.</w:t>
      </w:r>
    </w:p>
    <w:p w:rsidR="00B72047" w:rsidRDefault="00B72047">
      <w:pPr>
        <w:pStyle w:val="resumedafterexample"/>
      </w:pPr>
      <w:r>
        <w:rPr>
          <w:rStyle w:val="htmlcodes"/>
        </w:rPr>
        <w:t>&lt;/pre&gt;</w:t>
      </w:r>
      <w:r>
        <w:rPr>
          <w:rStyle w:val="indexentry"/>
        </w:rPr>
        <w:t>&lt;cx "mixed modal connection, definition"&gt;</w:t>
      </w:r>
      <w:r>
        <w:rPr>
          <w:rStyle w:val="indexentry"/>
        </w:rPr>
        <w:fldChar w:fldCharType="begin"/>
      </w:r>
      <w:r>
        <w:instrText>xe "</w:instrText>
      </w:r>
      <w:r>
        <w:rPr>
          <w:rStyle w:val="xeentry"/>
        </w:rPr>
        <w:instrText>mixed modal connection: definition</w:instrText>
      </w:r>
      <w:r>
        <w:instrText>"</w:instrText>
      </w:r>
      <w:r>
        <w:rPr>
          <w:rStyle w:val="indexentry"/>
        </w:rPr>
        <w:fldChar w:fldCharType="end"/>
      </w:r>
      <w:r>
        <w:t>Here the two sentences “mi nelci do” and “mi nelci la djein.” are</w:t>
      </w:r>
      <w:r>
        <w:rPr>
          <w:rStyle w:val="deletedparamark"/>
        </w:rPr>
        <w:t xml:space="preserve"> </w:t>
      </w:r>
      <w:r>
        <w:t>si</w:t>
      </w:r>
      <w:r>
        <w:softHyphen/>
        <w:t>multaneously as</w:t>
      </w:r>
      <w:r>
        <w:softHyphen/>
        <w:t>serted, their logical connection is asserted, and their</w:t>
      </w:r>
      <w:r>
        <w:rPr>
          <w:rStyle w:val="deletedparamark"/>
        </w:rPr>
        <w:t xml:space="preserve"> </w:t>
      </w:r>
      <w:r>
        <w:t>causal relationship is asserted. The logical connective “je” comes before</w:t>
      </w:r>
      <w:r>
        <w:rPr>
          <w:rStyle w:val="deletedparamark"/>
        </w:rPr>
        <w:t xml:space="preserve"> </w:t>
      </w:r>
      <w:r>
        <w:t>the modal “ki'u” in all such mixed connections.</w:t>
      </w:r>
    </w:p>
    <w:p w:rsidR="00B72047" w:rsidRDefault="00B72047">
      <w:pPr>
        <w:rPr>
          <w:rStyle w:val="htmlparacode"/>
        </w:rPr>
      </w:pPr>
      <w:r>
        <w:rPr>
          <w:rStyle w:val="htmlparacode"/>
        </w:rPr>
        <w:t>&lt;p&gt;</w:t>
      </w:r>
    </w:p>
    <w:p w:rsidR="00B72047" w:rsidRDefault="00B72047">
      <w:pPr>
        <w:pStyle w:val="normalparagraph"/>
      </w:pPr>
      <w:r>
        <w:t>Since “mi nelci do” and “mi nelci la djein.” differ only in the fi</w:t>
      </w:r>
      <w:r>
        <w:softHyphen/>
        <w:t>nal</w:t>
      </w:r>
      <w:r>
        <w:rPr>
          <w:rStyle w:val="deletedparamark"/>
        </w:rPr>
        <w:t xml:space="preserve"> </w:t>
      </w:r>
      <w:r>
        <w:t xml:space="preserve">sumti, we can transform </w:t>
      </w:r>
      <w:r>
        <w:rPr>
          <w:rStyle w:val="htmlcodes"/>
        </w:rPr>
        <w:t>&lt;a href=#e11d3&gt;</w:t>
      </w:r>
      <w:r>
        <w:t xml:space="preserve">Example 11.3 </w:t>
      </w:r>
      <w:r>
        <w:rPr>
          <w:rStyle w:val="htmlcodes"/>
        </w:rPr>
        <w:t>&lt;/a&gt;</w:t>
      </w:r>
      <w:r>
        <w:t>into a mixed sumti con</w:t>
      </w:r>
      <w:r>
        <w:softHyphen/>
        <w:t>nection:</w:t>
      </w:r>
    </w:p>
    <w:p w:rsidR="00B72047" w:rsidRDefault="00B72047">
      <w:pPr>
        <w:rPr>
          <w:rStyle w:val="htmlparacode"/>
        </w:rPr>
      </w:pPr>
      <w:r>
        <w:rPr>
          <w:rStyle w:val="htmlparacode"/>
        </w:rPr>
        <w:t>&lt;p&gt;</w:t>
      </w:r>
    </w:p>
    <w:p w:rsidR="00B72047" w:rsidRDefault="00B72047">
      <w:pPr>
        <w:pStyle w:val="examplescaledpre"/>
      </w:pPr>
      <w:r>
        <w:rPr>
          <w:rStyle w:val="indexentry"/>
        </w:rPr>
        <w:t>&lt;cx "mixed modal connection, of sumti"&gt;</w:t>
      </w:r>
      <w:r>
        <w:rPr>
          <w:rStyle w:val="indexentry"/>
        </w:rPr>
        <w:fldChar w:fldCharType="begin"/>
      </w:r>
      <w:r>
        <w:instrText>xe "</w:instrText>
      </w:r>
      <w:r>
        <w:rPr>
          <w:rStyle w:val="xeentry"/>
        </w:rPr>
        <w:instrText>mixed modal connection: of sumti</w:instrText>
      </w:r>
      <w:r>
        <w:instrText>"</w:instrText>
      </w:r>
      <w:r>
        <w:rPr>
          <w:rStyle w:val="indexentry"/>
        </w:rPr>
        <w:fldChar w:fldCharType="end"/>
      </w:r>
      <w:r>
        <w:rPr>
          <w:rStyle w:val="htmlcodes"/>
        </w:rPr>
        <w:t>&lt;pre&gt;&lt;a name=e11d4&gt;</w:t>
      </w:r>
      <w:r>
        <w:t>11.4)</w:t>
      </w:r>
      <w:r>
        <w:tab/>
        <w:t>mi nelci do .eki'ubo la djein.</w:t>
      </w:r>
    </w:p>
    <w:p w:rsidR="00B72047" w:rsidRDefault="00B72047">
      <w:pPr>
        <w:pStyle w:val="examplescaled"/>
      </w:pPr>
      <w:r>
        <w:tab/>
        <w:t>I like you and/because Jane.</w:t>
      </w:r>
    </w:p>
    <w:p w:rsidR="00B72047" w:rsidRDefault="00B72047">
      <w:pPr>
        <w:pStyle w:val="resumedafterexample"/>
      </w:pPr>
      <w:r>
        <w:rPr>
          <w:rStyle w:val="htmlcodes"/>
        </w:rPr>
        <w:t>&lt;/pre&gt;</w:t>
      </w:r>
      <w:r>
        <w:rPr>
          <w:rStyle w:val="indexentry"/>
        </w:rPr>
        <w:t>&lt;cx "mixed modal connection, afterthought"&gt;</w:t>
      </w:r>
      <w:r>
        <w:rPr>
          <w:rStyle w:val="indexentry"/>
        </w:rPr>
        <w:fldChar w:fldCharType="begin"/>
      </w:r>
      <w:r>
        <w:instrText>xe "</w:instrText>
      </w:r>
      <w:r>
        <w:rPr>
          <w:rStyle w:val="xeentry"/>
        </w:rPr>
        <w:instrText>mixed modal connection: afterthought</w:instrText>
      </w:r>
      <w:r>
        <w:instrText>"</w:instrText>
      </w:r>
      <w:r>
        <w:rPr>
          <w:rStyle w:val="indexentry"/>
        </w:rPr>
        <w:fldChar w:fldCharType="end"/>
      </w:r>
      <w:r>
        <w:rPr>
          <w:rStyle w:val="indexentry"/>
        </w:rPr>
        <w:t>&lt;cx "mixed modal connection, as proscribed in forethought"&gt;</w:t>
      </w:r>
      <w:r>
        <w:rPr>
          <w:rStyle w:val="indexentry"/>
        </w:rPr>
        <w:fldChar w:fldCharType="begin"/>
      </w:r>
      <w:r>
        <w:instrText>xe "</w:instrText>
      </w:r>
      <w:r>
        <w:rPr>
          <w:rStyle w:val="xeentry"/>
        </w:rPr>
        <w:instrText>mixed modal connection: as proscribed in forethought</w:instrText>
      </w:r>
      <w:r>
        <w:instrText>"</w:instrText>
      </w:r>
      <w:r>
        <w:rPr>
          <w:rStyle w:val="indexentry"/>
        </w:rPr>
        <w:fldChar w:fldCharType="end"/>
      </w:r>
      <w:r>
        <w:t>Note that this connection is an afterthought one. Mixed connectives are</w:t>
      </w:r>
      <w:r>
        <w:rPr>
          <w:rStyle w:val="deletedparamark"/>
        </w:rPr>
        <w:t xml:space="preserve"> </w:t>
      </w:r>
      <w:r>
        <w:t>always after</w:t>
      </w:r>
      <w:r>
        <w:softHyphen/>
        <w:t>thought; forethought connectives must be either logi</w:t>
      </w:r>
      <w:r>
        <w:softHyphen/>
        <w:t>cal or</w:t>
      </w:r>
      <w:r>
        <w:rPr>
          <w:rStyle w:val="deletedparamark"/>
        </w:rPr>
        <w:t xml:space="preserve"> </w:t>
      </w:r>
      <w:r>
        <w:t>modal.</w:t>
      </w:r>
    </w:p>
    <w:p w:rsidR="00B72047" w:rsidRDefault="00B72047">
      <w:pPr>
        <w:rPr>
          <w:rStyle w:val="htmlparacode"/>
        </w:rPr>
      </w:pPr>
      <w:r>
        <w:rPr>
          <w:rStyle w:val="htmlparacode"/>
        </w:rPr>
        <w:t>&lt;p&gt;</w:t>
      </w:r>
    </w:p>
    <w:p w:rsidR="00B72047" w:rsidRDefault="00B72047">
      <w:pPr>
        <w:pStyle w:val="normalparagraph"/>
      </w:pPr>
      <w:r>
        <w:rPr>
          <w:rStyle w:val="indexentry"/>
        </w:rPr>
        <w:t>&lt;cx "mixed modal connection, of bridi-tails"&gt;</w:t>
      </w:r>
      <w:r>
        <w:rPr>
          <w:rStyle w:val="indexentry"/>
        </w:rPr>
        <w:fldChar w:fldCharType="begin"/>
      </w:r>
      <w:r>
        <w:instrText>xe "</w:instrText>
      </w:r>
      <w:r>
        <w:rPr>
          <w:rStyle w:val="xeentry"/>
        </w:rPr>
        <w:instrText>mixed modal connection: of bridi-tails</w:instrText>
      </w:r>
      <w:r>
        <w:instrText>"</w:instrText>
      </w:r>
      <w:r>
        <w:rPr>
          <w:rStyle w:val="indexentry"/>
        </w:rPr>
        <w:fldChar w:fldCharType="end"/>
      </w:r>
      <w:r>
        <w:t>There are numerous other afterthought logical and non-logi</w:t>
      </w:r>
      <w:r>
        <w:softHyphen/>
        <w:t>cal connectives</w:t>
      </w:r>
      <w:r>
        <w:rPr>
          <w:rStyle w:val="deletedparamark"/>
        </w:rPr>
        <w:t xml:space="preserve"> </w:t>
      </w:r>
      <w:r>
        <w:t>that can have modal information planted within them. For example, a</w:t>
      </w:r>
      <w:r>
        <w:rPr>
          <w:rStyle w:val="deletedparamark"/>
        </w:rPr>
        <w:t xml:space="preserve"> </w:t>
      </w:r>
      <w:r>
        <w:t xml:space="preserve">bridi-tail connected version of </w:t>
      </w:r>
      <w:r>
        <w:rPr>
          <w:rStyle w:val="htmlcodes"/>
        </w:rPr>
        <w:t>&lt;a href=#e11d4&gt;</w:t>
      </w:r>
      <w:r>
        <w:t xml:space="preserve">Example 11.4 </w:t>
      </w:r>
      <w:r>
        <w:rPr>
          <w:rStyle w:val="htmlcodes"/>
        </w:rPr>
        <w:t>&lt;/a&gt;</w:t>
      </w:r>
      <w:r>
        <w:t>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mi nelci do gi'eki'ubo nelci la djein.</w:t>
      </w:r>
    </w:p>
    <w:p w:rsidR="00B72047" w:rsidRDefault="00B72047">
      <w:pPr>
        <w:pStyle w:val="examplescaled"/>
      </w:pPr>
      <w:r>
        <w:tab/>
        <w:t>I like you and/because like Jane.</w:t>
      </w:r>
    </w:p>
    <w:p w:rsidR="00B72047" w:rsidRDefault="00B72047">
      <w:pPr>
        <w:pStyle w:val="normalafterexample"/>
      </w:pPr>
      <w:r>
        <w:rPr>
          <w:rStyle w:val="htmlcodes"/>
        </w:rPr>
        <w:t>&lt;/pre&gt;&lt;p&gt;</w:t>
      </w:r>
      <w:r>
        <w:t>The following three complex examples all mean the same thing.</w:t>
      </w:r>
    </w:p>
    <w:p w:rsidR="00B72047" w:rsidRDefault="00B72047">
      <w:pPr>
        <w:rPr>
          <w:rStyle w:val="htmlparacode"/>
        </w:rPr>
      </w:pPr>
      <w:r>
        <w:rPr>
          <w:rStyle w:val="htmlparacode"/>
        </w:rPr>
        <w:t>&lt;p&gt;</w:t>
      </w:r>
    </w:p>
    <w:p w:rsidR="00B72047" w:rsidRDefault="00B72047">
      <w:pPr>
        <w:pStyle w:val="examplescaledpre"/>
      </w:pPr>
      <w:r>
        <w:rPr>
          <w:rStyle w:val="indexentry"/>
        </w:rPr>
        <w:t>&lt;ex "carry sack"&gt;</w:t>
      </w:r>
      <w:r>
        <w:rPr>
          <w:rStyle w:val="indexentry"/>
        </w:rPr>
        <w:fldChar w:fldCharType="begin"/>
      </w:r>
      <w:r>
        <w:instrText>xe "</w:instrText>
      </w:r>
      <w:r>
        <w:rPr>
          <w:rStyle w:val="xeentry"/>
        </w:rPr>
        <w:instrText>carry sack: example</w:instrText>
      </w:r>
      <w:r>
        <w:instrText>"</w:instrText>
      </w:r>
      <w:r>
        <w:rPr>
          <w:rStyle w:val="indexentry"/>
        </w:rPr>
        <w:fldChar w:fldCharType="end"/>
      </w:r>
      <w:r>
        <w:rPr>
          <w:rStyle w:val="htmlcodes"/>
        </w:rPr>
        <w:t>&lt;pre&gt;&lt;a name=e11d6&gt;</w:t>
      </w:r>
      <w:r>
        <w:t>11.6)</w:t>
      </w:r>
      <w:r>
        <w:tab/>
        <w:t>mi bevri le dakli</w:t>
      </w:r>
    </w:p>
    <w:p w:rsidR="00B72047" w:rsidRDefault="00B72047">
      <w:pPr>
        <w:pStyle w:val="examplescaled"/>
      </w:pPr>
      <w:r>
        <w:tab/>
      </w:r>
      <w:r>
        <w:tab/>
        <w:t>.ijeseri'abo tu'e mi bevri le gerku  .ijadu'ibo mi bevri le mlatu [tu'u]</w:t>
      </w:r>
    </w:p>
    <w:p w:rsidR="00B72047" w:rsidRDefault="00B72047">
      <w:pPr>
        <w:pStyle w:val="examplescaled"/>
      </w:pPr>
      <w:r>
        <w:tab/>
        <w:t>I carry the sack.</w:t>
      </w:r>
    </w:p>
    <w:p w:rsidR="00B72047" w:rsidRDefault="00B72047">
      <w:pPr>
        <w:pStyle w:val="examplescaled"/>
      </w:pPr>
      <w:r>
        <w:tab/>
      </w:r>
      <w:r>
        <w:tab/>
        <w:t>And [effect] (I carry the dog.  And/or [equal] I carry the cat.)</w:t>
      </w:r>
    </w:p>
    <w:p w:rsidR="00B72047" w:rsidRDefault="00B72047">
      <w:pPr>
        <w:pStyle w:val="examplescaled"/>
      </w:pPr>
      <w:r>
        <w:tab/>
        <w:t>I carry the sack.  As a result I carry the dog or I carry the cat, equally.</w:t>
      </w:r>
    </w:p>
    <w:p w:rsidR="00B72047" w:rsidRDefault="00B72047">
      <w:pPr>
        <w:pStyle w:val="examplescaledpre"/>
      </w:pPr>
      <w:r>
        <w:rPr>
          <w:rStyle w:val="htmlcodes"/>
        </w:rPr>
        <w:t>&lt;a name=e11d7&gt;</w:t>
      </w:r>
      <w:r>
        <w:t>11.7)</w:t>
      </w:r>
      <w:r>
        <w:tab/>
        <w:t>mi bevri le dakli</w:t>
      </w:r>
    </w:p>
    <w:p w:rsidR="00B72047" w:rsidRDefault="00B72047">
      <w:pPr>
        <w:pStyle w:val="examplescaled"/>
      </w:pPr>
      <w:r>
        <w:tab/>
      </w:r>
      <w:r>
        <w:tab/>
        <w:t>gi'eseri'ake bevri le gerku gi'adu'ibo bevri le mlatu [ke'e]</w:t>
      </w:r>
    </w:p>
    <w:p w:rsidR="00B72047" w:rsidRDefault="00B72047">
      <w:pPr>
        <w:pStyle w:val="examplescaled"/>
      </w:pPr>
      <w:r>
        <w:tab/>
        <w:t>I carry the sack</w:t>
      </w:r>
    </w:p>
    <w:p w:rsidR="00B72047" w:rsidRDefault="00B72047">
      <w:pPr>
        <w:pStyle w:val="examplescaled"/>
      </w:pPr>
      <w:r>
        <w:tab/>
      </w:r>
      <w:r>
        <w:tab/>
        <w:t>and [effect] (carry the dog and/or [equal] carry the cat ).</w:t>
      </w:r>
    </w:p>
    <w:p w:rsidR="00B72047" w:rsidRDefault="00B72047">
      <w:pPr>
        <w:pStyle w:val="examplescaled"/>
      </w:pPr>
      <w:r>
        <w:tab/>
        <w:t>I carry the sack and as a result carry the dog or carry the cat equally.</w:t>
      </w:r>
    </w:p>
    <w:p w:rsidR="00B72047" w:rsidRDefault="00B72047">
      <w:pPr>
        <w:pStyle w:val="examplescaledpre"/>
      </w:pPr>
      <w:r>
        <w:rPr>
          <w:rStyle w:val="htmlcodes"/>
        </w:rPr>
        <w:t>&lt;a name=e11d8&gt;</w:t>
      </w:r>
      <w:r>
        <w:t>11.8)</w:t>
      </w:r>
      <w:r>
        <w:tab/>
        <w:t>mi bevri le dakli .eseri'ake le gerku .adu'ibo le mlatu [ke'e]</w:t>
      </w:r>
    </w:p>
    <w:p w:rsidR="00B72047" w:rsidRDefault="00B72047">
      <w:pPr>
        <w:pStyle w:val="examplescaled"/>
      </w:pPr>
      <w:r>
        <w:tab/>
        <w:t>I carry the sack and [effect] (the cat and/or [equal] the dog).</w:t>
      </w:r>
    </w:p>
    <w:p w:rsidR="00B72047" w:rsidRDefault="00B72047">
      <w:pPr>
        <w:pStyle w:val="examplescaled"/>
      </w:pPr>
      <w:r>
        <w:tab/>
        <w:t>I carry the sack, and as a result the cat or the dog equally.</w:t>
      </w:r>
    </w:p>
    <w:p w:rsidR="00B72047" w:rsidRDefault="00B72047">
      <w:pPr>
        <w:pStyle w:val="resumedafterexample"/>
      </w:pPr>
      <w:r>
        <w:rPr>
          <w:rStyle w:val="htmlcodes"/>
        </w:rPr>
        <w:t>&lt;/pre&gt;</w:t>
      </w: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rPr>
          <w:rStyle w:val="indexentry"/>
        </w:rPr>
        <w:t>&lt;lx "tu'u"&gt;</w:t>
      </w:r>
      <w:r>
        <w:rPr>
          <w:rStyle w:val="indexentry"/>
        </w:rPr>
        <w:fldChar w:fldCharType="begin"/>
      </w:r>
      <w:r>
        <w:instrText>xe "</w:instrText>
      </w:r>
      <w:r>
        <w:rPr>
          <w:rStyle w:val="xeentry"/>
        </w:rPr>
        <w:instrText>tu'u</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"ke'e"&gt;</w:t>
      </w:r>
      <w:r>
        <w:rPr>
          <w:rStyle w:val="indexentry"/>
        </w:rPr>
        <w:fldChar w:fldCharType="begin"/>
      </w:r>
      <w:r>
        <w:instrText>xe "</w:instrText>
      </w:r>
      <w:r>
        <w:rPr>
          <w:rStyle w:val="xeentry"/>
        </w:rPr>
        <w:instrText>ke'e</w:instrText>
      </w:r>
      <w:r>
        <w:instrText>"</w:instrText>
      </w:r>
      <w:r>
        <w:rPr>
          <w:rStyle w:val="indexentry"/>
        </w:rPr>
        <w:fldChar w:fldCharType="end"/>
      </w:r>
      <w:r>
        <w:t xml:space="preserve">In </w:t>
      </w:r>
      <w:r>
        <w:rPr>
          <w:rStyle w:val="htmlcodes"/>
        </w:rPr>
        <w:t>&lt;a href=#e11d6&gt;</w:t>
      </w:r>
      <w:r>
        <w:t>Example 11.6</w:t>
      </w:r>
      <w:r>
        <w:rPr>
          <w:rStyle w:val="htmlcodes"/>
        </w:rPr>
        <w:t>&lt;/a&gt;</w:t>
      </w:r>
      <w:r>
        <w:t>, the “tu'e </w:t>
      </w:r>
      <w:r>
        <w:rPr>
          <w:rStyle w:val="htmlcodes"/>
        </w:rPr>
        <w:t>&lt;dots&gt;</w:t>
      </w:r>
      <w:r>
        <w:t>…</w:t>
      </w:r>
      <w:r>
        <w:rPr>
          <w:rStyle w:val="htmlcodes"/>
        </w:rPr>
        <w:t>&lt;/dots&gt;</w:t>
      </w:r>
      <w:r>
        <w:t>tu'u” brackets are the equivalent of the</w:t>
      </w:r>
      <w:r>
        <w:rPr>
          <w:rStyle w:val="deletedparamark"/>
        </w:rPr>
        <w:t xml:space="preserve"> “</w:t>
      </w:r>
      <w:r>
        <w:t>ke </w:t>
      </w:r>
      <w:r>
        <w:rPr>
          <w:rStyle w:val="htmlcodes"/>
        </w:rPr>
        <w:t>&lt;dots&gt;</w:t>
      </w:r>
      <w:r>
        <w:t>…</w:t>
      </w:r>
      <w:r>
        <w:rPr>
          <w:rStyle w:val="htmlcodes"/>
        </w:rPr>
        <w:t>&lt;/dots&gt;</w:t>
      </w:r>
      <w:r>
        <w:t>ke'e” brack</w:t>
      </w:r>
      <w:r>
        <w:softHyphen/>
        <w:t xml:space="preserve">ets in </w:t>
      </w:r>
      <w:r>
        <w:rPr>
          <w:rStyle w:val="htmlcodes"/>
        </w:rPr>
        <w:t>&lt;a href=#e11d7&gt;</w:t>
      </w:r>
      <w:r>
        <w:t xml:space="preserve">Example 11.7 </w:t>
      </w:r>
      <w:r>
        <w:rPr>
          <w:rStyle w:val="htmlcodes"/>
        </w:rPr>
        <w:t>&lt;/a&gt;</w:t>
      </w:r>
      <w:r>
        <w:t xml:space="preserve">and </w:t>
      </w:r>
      <w:r>
        <w:rPr>
          <w:rStyle w:val="htmlcodes"/>
        </w:rPr>
        <w:t>&lt;a href=#e11d8&gt;</w:t>
      </w:r>
      <w:r>
        <w:t>Example 11.8</w:t>
      </w:r>
      <w:r>
        <w:rPr>
          <w:rStyle w:val="htmlcodes"/>
        </w:rPr>
        <w:t>&lt;/a&gt;</w:t>
      </w:r>
      <w:r>
        <w:t>, because “ke </w:t>
      </w:r>
      <w:r>
        <w:rPr>
          <w:rStyle w:val="htmlcodes"/>
        </w:rPr>
        <w:t>&lt;dots&gt;</w:t>
      </w:r>
      <w:r>
        <w:t>…</w:t>
      </w:r>
      <w:r>
        <w:rPr>
          <w:rStyle w:val="htmlcodes"/>
        </w:rPr>
        <w:t>&lt;/dots&gt;</w:t>
      </w:r>
      <w:r>
        <w:t>ke'e”</w:t>
      </w:r>
      <w:r>
        <w:rPr>
          <w:rStyle w:val="deletedparamark"/>
        </w:rPr>
        <w:t xml:space="preserve"> </w:t>
      </w:r>
      <w:r>
        <w:t>cannot extend across more than one sentence. It would also be possible to</w:t>
      </w:r>
      <w:r>
        <w:rPr>
          <w:rStyle w:val="deletedparamark"/>
        </w:rPr>
        <w:t xml:space="preserve"> </w:t>
      </w:r>
      <w:r>
        <w:t>change the “.ijeseri'abo” to “.ije seri'a”, which would show that the</w:t>
      </w:r>
      <w:r>
        <w:rPr>
          <w:rStyle w:val="deletedparamark"/>
        </w:rPr>
        <w:t xml:space="preserve"> “</w:t>
      </w:r>
      <w:r>
        <w:t>tu'e </w:t>
      </w:r>
      <w:r>
        <w:rPr>
          <w:rStyle w:val="htmlcodes"/>
        </w:rPr>
        <w:t>&lt;dots&gt;</w:t>
      </w:r>
      <w:r>
        <w:t>…</w:t>
      </w:r>
      <w:r>
        <w:rPr>
          <w:rStyle w:val="htmlcodes"/>
        </w:rPr>
        <w:t>&lt;/dots&gt;</w:t>
      </w:r>
      <w:r>
        <w:t>tu'u” portion was an effect, but would not pin down the</w:t>
      </w:r>
      <w:r>
        <w:rPr>
          <w:rStyle w:val="deletedparamark"/>
        </w:rPr>
        <w:t xml:space="preserve"> “</w:t>
      </w:r>
      <w:r>
        <w:t>mi bevri le dakli” portion as the cause. It is legal for a modal (or a</w:t>
      </w:r>
      <w:r>
        <w:rPr>
          <w:rStyle w:val="deletedparamark"/>
        </w:rPr>
        <w:t xml:space="preserve"> </w:t>
      </w:r>
      <w:r>
        <w:t xml:space="preserve">tense; see </w:t>
      </w:r>
      <w:r>
        <w:rPr>
          <w:rStyle w:val="htmlcodes"/>
        </w:rPr>
        <w:t>&lt;a href=chap10.html&gt;</w:t>
      </w:r>
      <w:r>
        <w:t>Chapter 10</w:t>
      </w:r>
      <w:r>
        <w:rPr>
          <w:rStyle w:val="htmlcodes"/>
        </w:rPr>
        <w:t>&lt;/a&gt;</w:t>
      </w:r>
      <w:r>
        <w:t>) to modify the whole of a “tu'e </w:t>
      </w:r>
      <w:r>
        <w:rPr>
          <w:rStyle w:val="htmlcodes"/>
        </w:rPr>
        <w:t>&lt;dots&gt;</w:t>
      </w:r>
      <w:r>
        <w:t>…</w:t>
      </w:r>
      <w:r>
        <w:rPr>
          <w:rStyle w:val="htmlcodes"/>
        </w:rPr>
        <w:t>&lt;/dots&gt;</w:t>
      </w:r>
      <w:r>
        <w:t>tu'u” construct.</w:t>
      </w:r>
    </w:p>
    <w:p w:rsidR="00B72047" w:rsidRDefault="00B72047">
      <w:pPr>
        <w:rPr>
          <w:rStyle w:val="htmlparacode"/>
        </w:rPr>
      </w:pPr>
      <w:r>
        <w:rPr>
          <w:rStyle w:val="htmlparacode"/>
        </w:rPr>
        <w:t>&lt;p&gt;</w:t>
      </w:r>
    </w:p>
    <w:p w:rsidR="00B72047" w:rsidRDefault="00B72047">
      <w:pPr>
        <w:pStyle w:val="normalparagraph"/>
      </w:pPr>
      <w:r>
        <w:rPr>
          <w:rStyle w:val="indexentry"/>
        </w:rPr>
        <w:t>&lt;cx "fi'o, mixed modal connection with"&gt;</w:t>
      </w:r>
      <w:r>
        <w:rPr>
          <w:rStyle w:val="indexentry"/>
        </w:rPr>
        <w:fldChar w:fldCharType="begin"/>
      </w:r>
      <w:r>
        <w:instrText>xe "</w:instrText>
      </w:r>
      <w:r>
        <w:rPr>
          <w:rStyle w:val="xeentry"/>
        </w:rPr>
        <w:instrText>fi'o: mixed modal connection with</w:instrText>
      </w:r>
      <w:r>
        <w:instrText>"</w:instrText>
      </w:r>
      <w:r>
        <w:rPr>
          <w:rStyle w:val="indexentry"/>
        </w:rPr>
        <w:fldChar w:fldCharType="end"/>
      </w:r>
      <w:r>
        <w:t>Note: The uses of modals discussed in this section are appli</w:t>
      </w:r>
      <w:r>
        <w:softHyphen/>
        <w:t>cable both to</w:t>
      </w:r>
      <w:r>
        <w:rPr>
          <w:rStyle w:val="deletedparamark"/>
        </w:rPr>
        <w:t xml:space="preserve"> </w:t>
      </w:r>
      <w:r>
        <w:t>BAI modals and to “fi'o”-plus-selbri modals.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321" w:name="_Toc398970567"/>
      <w:r>
        <w:rPr>
          <w:rStyle w:val="Heading3Text"/>
        </w:rPr>
        <w:t>Modal conversion: JAI</w:t>
      </w:r>
      <w:bookmarkEnd w:id="32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jai</w:t>
      </w:r>
      <w:r>
        <w:tab/>
        <w:t>JAI</w:t>
      </w:r>
      <w:r>
        <w:tab/>
        <w:t>modal conversion</w:t>
      </w:r>
    </w:p>
    <w:p w:rsidR="00B72047" w:rsidRDefault="00B72047">
      <w:pPr>
        <w:pStyle w:val="examplescaled"/>
      </w:pPr>
      <w:r>
        <w:tab/>
        <w:t>fai</w:t>
      </w:r>
      <w:r>
        <w:tab/>
        <w:t>FA</w:t>
      </w:r>
      <w:r>
        <w:tab/>
        <w:t>modal place structure tag</w:t>
      </w:r>
    </w:p>
    <w:p w:rsidR="00B72047" w:rsidRDefault="00B72047">
      <w:pPr>
        <w:pStyle w:val="normalafterexample"/>
      </w:pPr>
      <w:r>
        <w:rPr>
          <w:rStyle w:val="htmlcodes"/>
        </w:rPr>
        <w:t>&lt;/pre&gt;</w:t>
      </w:r>
      <w:r>
        <w:rPr>
          <w:rStyle w:val="indexentry"/>
        </w:rPr>
        <w:t>&lt;cx "conversion, swapping with modal place"&gt;</w:t>
      </w:r>
      <w:r>
        <w:rPr>
          <w:rStyle w:val="indexentry"/>
        </w:rPr>
        <w:fldChar w:fldCharType="begin"/>
      </w:r>
      <w:r>
        <w:instrText>xe "</w:instrText>
      </w:r>
      <w:r>
        <w:rPr>
          <w:rStyle w:val="xeentry"/>
        </w:rPr>
        <w:instrText>conversion: swapping with modal place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indexentry"/>
        </w:rPr>
        <w:t>&lt;lx "BAI"&gt;</w:t>
      </w:r>
      <w:r>
        <w:rPr>
          <w:rStyle w:val="indexentry"/>
        </w:rPr>
        <w:fldChar w:fldCharType="begin"/>
      </w:r>
      <w:r>
        <w:instrText>xe "</w:instrText>
      </w:r>
      <w:r>
        <w:rPr>
          <w:rStyle w:val="xeentry"/>
        </w:rPr>
        <w:instrText>BAI selma’o</w:instrText>
      </w:r>
      <w:r>
        <w:instrText>"</w:instrText>
      </w:r>
      <w:r>
        <w:rPr>
          <w:rStyle w:val="indexentry"/>
        </w:rPr>
        <w:fldChar w:fldCharType="end"/>
      </w:r>
      <w:r>
        <w:t>So far, conversion of numbered bridi places with SE and the addition of</w:t>
      </w:r>
      <w:r>
        <w:rPr>
          <w:rStyle w:val="deletedparamark"/>
        </w:rPr>
        <w:t xml:space="preserve"> </w:t>
      </w:r>
      <w:r>
        <w:t>modal places with BAI have been two entirely separate operations. However,</w:t>
      </w:r>
      <w:r>
        <w:rPr>
          <w:rStyle w:val="deletedparamark"/>
        </w:rPr>
        <w:t xml:space="preserve"> </w:t>
      </w:r>
      <w:r>
        <w:t>it is possible to convert a selbri in such a way that, rather than exchanging</w:t>
      </w:r>
      <w:r>
        <w:rPr>
          <w:rStyle w:val="deletedparamark"/>
        </w:rPr>
        <w:t xml:space="preserve"> </w:t>
      </w:r>
      <w:r>
        <w:t>two numbered places, a mo</w:t>
      </w:r>
      <w:r>
        <w:softHyphen/>
        <w:t>dal place is made into a numbered place. For</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name=e12d1&gt;</w:t>
      </w:r>
      <w:r>
        <w:t>12.1)</w:t>
      </w:r>
      <w:r>
        <w:tab/>
        <w:t>mi cusku bau la lojban.</w:t>
      </w:r>
    </w:p>
    <w:p w:rsidR="00B72047" w:rsidRDefault="00B72047">
      <w:pPr>
        <w:pStyle w:val="examplescaled"/>
      </w:pPr>
      <w:r>
        <w:tab/>
        <w:t>I express [something] in-language Lojban.</w:t>
      </w:r>
    </w:p>
    <w:p w:rsidR="00B72047" w:rsidRDefault="00B72047">
      <w:pPr>
        <w:pStyle w:val="resumedafterexample"/>
      </w:pPr>
      <w:r>
        <w:rPr>
          <w:rStyle w:val="htmlcodes"/>
        </w:rPr>
        <w:t>&lt;/pre&gt;</w:t>
      </w:r>
      <w:r>
        <w:rPr>
          <w:rStyle w:val="indexentry"/>
        </w:rPr>
        <w:t>&lt;lx "jai"&gt;</w:t>
      </w:r>
      <w:r>
        <w:rPr>
          <w:rStyle w:val="indexentry"/>
        </w:rPr>
        <w:fldChar w:fldCharType="begin"/>
      </w:r>
      <w:r>
        <w:instrText>xe "</w:instrText>
      </w:r>
      <w:r>
        <w:rPr>
          <w:rStyle w:val="xeentry"/>
        </w:rPr>
        <w:instrText>jai</w:instrText>
      </w:r>
      <w:r>
        <w:instrText>"</w:instrText>
      </w:r>
      <w:r>
        <w:rPr>
          <w:rStyle w:val="indexentry"/>
        </w:rPr>
        <w:fldChar w:fldCharType="end"/>
      </w:r>
      <w:r>
        <w:rPr>
          <w:rStyle w:val="indexentry"/>
        </w:rPr>
        <w:t>&lt;lx "JAI"&gt;</w:t>
      </w:r>
      <w:r>
        <w:rPr>
          <w:rStyle w:val="indexentry"/>
        </w:rPr>
        <w:fldChar w:fldCharType="begin"/>
      </w:r>
      <w:r>
        <w:instrText>xe "</w:instrText>
      </w:r>
      <w:r>
        <w:rPr>
          <w:rStyle w:val="xeentry"/>
        </w:rPr>
        <w:instrText>JAI selma’o</w:instrText>
      </w:r>
      <w:r>
        <w:instrText>"</w:instrText>
      </w:r>
      <w:r>
        <w:rPr>
          <w:rStyle w:val="indexentry"/>
        </w:rPr>
        <w:fldChar w:fldCharType="end"/>
      </w:r>
      <w:r>
        <w:rPr>
          <w:rStyle w:val="indexentry"/>
        </w:rPr>
        <w:t>&lt;cx "modal conversion, grammar of"&gt;</w:t>
      </w:r>
      <w:r>
        <w:rPr>
          <w:rStyle w:val="indexentry"/>
        </w:rPr>
        <w:fldChar w:fldCharType="begin"/>
      </w:r>
      <w:r>
        <w:instrText>xe "</w:instrText>
      </w:r>
      <w:r>
        <w:rPr>
          <w:rStyle w:val="xeentry"/>
        </w:rPr>
        <w:instrText>modal conversion: grammar of</w:instrText>
      </w:r>
      <w:r>
        <w:instrText>"</w:instrText>
      </w:r>
      <w:r>
        <w:rPr>
          <w:rStyle w:val="indexentry"/>
        </w:rPr>
        <w:fldChar w:fldCharType="end"/>
      </w:r>
      <w:r>
        <w:rPr>
          <w:rStyle w:val="indexentry"/>
        </w:rPr>
        <w:t>&lt;cx "modal conversion, place structure of"&gt;</w:t>
      </w:r>
      <w:r>
        <w:rPr>
          <w:rStyle w:val="indexentry"/>
        </w:rPr>
        <w:fldChar w:fldCharType="begin"/>
      </w:r>
      <w:r>
        <w:instrText>xe "</w:instrText>
      </w:r>
      <w:r>
        <w:rPr>
          <w:rStyle w:val="xeentry"/>
        </w:rPr>
        <w:instrText>modal conversion: place structure of</w:instrText>
      </w:r>
      <w:r>
        <w:instrText>"</w:instrText>
      </w:r>
      <w:r>
        <w:rPr>
          <w:rStyle w:val="indexentry"/>
        </w:rPr>
        <w:fldChar w:fldCharType="end"/>
      </w:r>
      <w:r>
        <w:rPr>
          <w:rStyle w:val="indexentry"/>
        </w:rPr>
        <w:t>&lt;cx "conversion, modal"&gt;</w:t>
      </w:r>
      <w:r>
        <w:rPr>
          <w:rStyle w:val="indexentry"/>
        </w:rPr>
        <w:fldChar w:fldCharType="begin"/>
      </w:r>
      <w:r>
        <w:instrText>xe "</w:instrText>
      </w:r>
      <w:r>
        <w:rPr>
          <w:rStyle w:val="xeentry"/>
        </w:rPr>
        <w:instrText>conversion: modal</w:instrText>
      </w:r>
      <w:r>
        <w:instrText>"</w:instrText>
      </w:r>
      <w:r>
        <w:rPr>
          <w:rStyle w:val="indexentry"/>
        </w:rPr>
        <w:fldChar w:fldCharType="end"/>
      </w:r>
      <w:r>
        <w:rPr>
          <w:rStyle w:val="indexentry"/>
        </w:rPr>
        <w:t>&lt;cx "place structure, effect of modal conversion on"&gt;</w:t>
      </w:r>
      <w:r>
        <w:rPr>
          <w:rStyle w:val="indexentry"/>
        </w:rPr>
        <w:fldChar w:fldCharType="begin"/>
      </w:r>
      <w:r>
        <w:instrText>xe "</w:instrText>
      </w:r>
      <w:r>
        <w:rPr>
          <w:rStyle w:val="xeentry"/>
        </w:rPr>
        <w:instrText>place structure: effect of modal conversion on</w:instrText>
      </w:r>
      <w:r>
        <w:instrText>"</w:instrText>
      </w:r>
      <w:r>
        <w:rPr>
          <w:rStyle w:val="indexentry"/>
        </w:rPr>
        <w:fldChar w:fldCharType="end"/>
      </w:r>
      <w:r>
        <w:rPr>
          <w:rStyle w:val="indexentry"/>
        </w:rPr>
        <w:t>&lt;lx "fai"&gt;</w:t>
      </w:r>
      <w:r>
        <w:rPr>
          <w:rStyle w:val="indexentry"/>
        </w:rPr>
        <w:fldChar w:fldCharType="begin"/>
      </w:r>
      <w:r>
        <w:instrText>xe "</w:instrText>
      </w:r>
      <w:r>
        <w:rPr>
          <w:rStyle w:val="xeentry"/>
        </w:rPr>
        <w:instrText>fai</w:instrText>
      </w:r>
      <w:r>
        <w:instrText>"</w:instrText>
      </w:r>
      <w:r>
        <w:rPr>
          <w:rStyle w:val="indexentry"/>
        </w:rPr>
        <w:fldChar w:fldCharType="end"/>
      </w:r>
      <w:r>
        <w:rPr>
          <w:rStyle w:val="indexentry"/>
        </w:rPr>
        <w:t>&lt;lx "FA"&gt;</w:t>
      </w:r>
      <w:r>
        <w:rPr>
          <w:rStyle w:val="indexentry"/>
        </w:rPr>
        <w:fldChar w:fldCharType="begin"/>
      </w:r>
      <w:r>
        <w:instrText>xe "</w:instrText>
      </w:r>
      <w:r>
        <w:rPr>
          <w:rStyle w:val="xeentry"/>
        </w:rPr>
        <w:instrText>FA selma’o</w:instrText>
      </w:r>
      <w:r>
        <w:instrText>"</w:instrText>
      </w:r>
      <w:r>
        <w:rPr>
          <w:rStyle w:val="indexentry"/>
        </w:rPr>
        <w:fldChar w:fldCharType="end"/>
      </w:r>
      <w:r>
        <w:t>has an explicit x1 place occupied by “mi” and an explicit “bau” place</w:t>
      </w:r>
      <w:r>
        <w:rPr>
          <w:rStyle w:val="deletedparamark"/>
        </w:rPr>
        <w:t xml:space="preserve"> </w:t>
      </w:r>
      <w:r>
        <w:t>occupied by “la lojban.” To exchange these two, we use a modal con</w:t>
      </w:r>
      <w:r>
        <w:softHyphen/>
        <w:t>version</w:t>
      </w:r>
      <w:r>
        <w:rPr>
          <w:rStyle w:val="deletedparamark"/>
        </w:rPr>
        <w:t xml:space="preserve"> </w:t>
      </w:r>
      <w:r>
        <w:t>operator consisting of “jai” (of selma'o JAI) followed by the modal cmavo.</w:t>
      </w:r>
      <w:r>
        <w:rPr>
          <w:rStyle w:val="deletedparamark"/>
        </w:rPr>
        <w:t xml:space="preserve"> </w:t>
      </w:r>
      <w:r>
        <w:t xml:space="preserve">Thus, the modal conversion of </w:t>
      </w:r>
      <w:r>
        <w:rPr>
          <w:rStyle w:val="htmlcodes"/>
        </w:rPr>
        <w:t>&lt;a href=#e12d1&gt;</w:t>
      </w:r>
      <w:r>
        <w:t xml:space="preserve">Example 12.1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name=e12d2&gt;</w:t>
      </w:r>
      <w:r>
        <w:t>12.2)</w:t>
      </w:r>
      <w:r>
        <w:tab/>
        <w:t>la lojban. jai bau cusku fai mi</w:t>
      </w:r>
    </w:p>
    <w:p w:rsidR="00B72047" w:rsidRDefault="00B72047">
      <w:pPr>
        <w:pStyle w:val="examplescaled"/>
      </w:pPr>
      <w:r>
        <w:tab/>
        <w:t>Lojban is-the-language-of-expression used-by me.</w:t>
      </w:r>
    </w:p>
    <w:p w:rsidR="00B72047" w:rsidRDefault="00B72047">
      <w:pPr>
        <w:pStyle w:val="resumedafterexample"/>
      </w:pPr>
      <w:r>
        <w:rPr>
          <w:rStyle w:val="htmlcodes"/>
        </w:rPr>
        <w:t>&lt;/pre&gt;</w:t>
      </w:r>
      <w:r>
        <w:rPr>
          <w:rStyle w:val="indexentry"/>
        </w:rPr>
        <w:t>&lt;cx "modal conversion, access to original first place with fai"&gt;</w:t>
      </w:r>
      <w:r>
        <w:rPr>
          <w:rStyle w:val="indexentry"/>
        </w:rPr>
        <w:fldChar w:fldCharType="begin"/>
      </w:r>
      <w:r>
        <w:instrText>xe "</w:instrText>
      </w:r>
      <w:r>
        <w:rPr>
          <w:rStyle w:val="xeentry"/>
        </w:rPr>
        <w:instrText>modal conversion: access to original first place with fai</w:instrText>
      </w:r>
      <w:r>
        <w:instrText>"</w:instrText>
      </w:r>
      <w:r>
        <w:rPr>
          <w:rStyle w:val="indexentry"/>
        </w:rPr>
        <w:fldChar w:fldCharType="end"/>
      </w:r>
      <w:r>
        <w:rPr>
          <w:rStyle w:val="indexentry"/>
        </w:rPr>
        <w:t>&lt;cx "fai, as allowing access to original first place in modal conversion"&gt;</w:t>
      </w:r>
      <w:r>
        <w:rPr>
          <w:rStyle w:val="indexentry"/>
        </w:rPr>
        <w:fldChar w:fldCharType="begin"/>
      </w:r>
      <w:r>
        <w:instrText>xe "</w:instrText>
      </w:r>
      <w:r>
        <w:rPr>
          <w:rStyle w:val="xeentry"/>
        </w:rPr>
        <w:instrText>fai: as allowing access to original first place in modal conversion</w:instrText>
      </w:r>
      <w:r>
        <w:instrText>"</w:instrText>
      </w:r>
      <w:r>
        <w:rPr>
          <w:rStyle w:val="indexentry"/>
        </w:rPr>
        <w:fldChar w:fldCharType="end"/>
      </w:r>
      <w:r>
        <w:t xml:space="preserve">In </w:t>
      </w:r>
      <w:r>
        <w:rPr>
          <w:rStyle w:val="htmlcodes"/>
        </w:rPr>
        <w:t>&lt;a href=#e12d2&gt;</w:t>
      </w:r>
      <w:r>
        <w:t>Example 12.2</w:t>
      </w:r>
      <w:r>
        <w:rPr>
          <w:rStyle w:val="htmlcodes"/>
        </w:rPr>
        <w:t>&lt;/a&gt;</w:t>
      </w:r>
      <w:r>
        <w:t>, the modal place “la lojban.” has become the x1 place</w:t>
      </w:r>
      <w:r>
        <w:rPr>
          <w:rStyle w:val="deletedparamark"/>
        </w:rPr>
        <w:t xml:space="preserve"> </w:t>
      </w:r>
      <w:r>
        <w:t>of the new sel</w:t>
      </w:r>
      <w:r>
        <w:softHyphen/>
        <w:t>bri “jai bau cusku”. What has happened to the old x1 place?</w:t>
      </w:r>
      <w:r>
        <w:rPr>
          <w:rStyle w:val="deletedparamark"/>
        </w:rPr>
        <w:t xml:space="preserve"> </w:t>
      </w:r>
      <w:r>
        <w:t>There is no numbered place for it to move to, so it moves to a special</w:t>
      </w:r>
      <w:r>
        <w:rPr>
          <w:rStyle w:val="deletedparamark"/>
        </w:rPr>
        <w:t xml:space="preserve"> “</w:t>
      </w:r>
      <w:r>
        <w:t>unnumbered place” marked by the tag “fai” of selma'o FA.</w:t>
      </w:r>
    </w:p>
    <w:p w:rsidR="00B72047" w:rsidRDefault="00B72047">
      <w:pPr>
        <w:rPr>
          <w:rStyle w:val="htmlparacode"/>
        </w:rPr>
      </w:pPr>
      <w:r>
        <w:rPr>
          <w:rStyle w:val="htmlparacode"/>
        </w:rPr>
        <w:t>&lt;p&gt;</w:t>
      </w:r>
    </w:p>
    <w:p w:rsidR="00B72047" w:rsidRDefault="00B72047">
      <w:pPr>
        <w:pStyle w:val="normalparagraph"/>
      </w:pPr>
      <w:r>
        <w:rPr>
          <w:rStyle w:val="indexentry"/>
        </w:rPr>
        <w:t>&lt;cx "fai, effect on numbering of place structure places"&gt;</w:t>
      </w:r>
      <w:r>
        <w:rPr>
          <w:rStyle w:val="indexentry"/>
        </w:rPr>
        <w:fldChar w:fldCharType="begin"/>
      </w:r>
      <w:r>
        <w:instrText>xe "</w:instrText>
      </w:r>
      <w:r>
        <w:rPr>
          <w:rStyle w:val="xeentry"/>
        </w:rPr>
        <w:instrText>fai: effect on numbering of place structure places</w:instrText>
      </w:r>
      <w:r>
        <w:instrText>"</w:instrText>
      </w:r>
      <w:r>
        <w:rPr>
          <w:rStyle w:val="indexentry"/>
        </w:rPr>
        <w:fldChar w:fldCharType="end"/>
      </w:r>
      <w:r>
        <w:t>Note: For the purposes of place numbering, “fai” behaves like “fi'a”; it</w:t>
      </w:r>
      <w:r>
        <w:rPr>
          <w:rStyle w:val="deletedparamark"/>
        </w:rPr>
        <w:t xml:space="preserve"> </w:t>
      </w:r>
      <w:r>
        <w:t>does not a</w:t>
      </w:r>
      <w:r>
        <w:t>f</w:t>
      </w:r>
      <w:r>
        <w:softHyphen/>
        <w:t>fect the numbering of the other places around it.</w:t>
      </w:r>
    </w:p>
    <w:p w:rsidR="00B72047" w:rsidRDefault="00B72047">
      <w:pPr>
        <w:rPr>
          <w:rStyle w:val="htmlparacode"/>
        </w:rPr>
      </w:pPr>
      <w:r>
        <w:rPr>
          <w:rStyle w:val="htmlparacode"/>
        </w:rPr>
        <w:t>&lt;p&gt;</w:t>
      </w:r>
    </w:p>
    <w:p w:rsidR="00B72047" w:rsidRDefault="00B72047">
      <w:pPr>
        <w:pStyle w:val="normalparagraph"/>
      </w:pPr>
      <w:r>
        <w:rPr>
          <w:rStyle w:val="indexentry"/>
        </w:rPr>
        <w:t>&lt;cx "modal conversions, in descriptions"&gt;</w:t>
      </w:r>
      <w:r>
        <w:rPr>
          <w:rStyle w:val="indexentry"/>
        </w:rPr>
        <w:fldChar w:fldCharType="begin"/>
      </w:r>
      <w:r>
        <w:instrText>xe "</w:instrText>
      </w:r>
      <w:r>
        <w:rPr>
          <w:rStyle w:val="xeentry"/>
        </w:rPr>
        <w:instrText>modal conversions: in descriptions</w:instrText>
      </w:r>
      <w:r>
        <w:instrText>"</w:instrText>
      </w:r>
      <w:r>
        <w:rPr>
          <w:rStyle w:val="indexentry"/>
        </w:rPr>
        <w:fldChar w:fldCharType="end"/>
      </w:r>
      <w:r>
        <w:t>Like SE conversions, JAI conversions are especially con</w:t>
      </w:r>
      <w:r>
        <w:softHyphen/>
        <w:t>venient in descrip</w:t>
      </w:r>
      <w:r>
        <w:softHyphen/>
        <w:t>tions.</w:t>
      </w:r>
      <w:r>
        <w:rPr>
          <w:rStyle w:val="deletedparamark"/>
        </w:rPr>
        <w:t xml:space="preserve"> </w:t>
      </w:r>
      <w:r>
        <w:t>We may refer to “the language of an expres</w:t>
      </w:r>
      <w:r>
        <w:softHyphen/>
        <w:t>sion” as “le jai bau cusku”, for</w:t>
      </w:r>
      <w:r>
        <w:rPr>
          <w:rStyle w:val="deletedparamark"/>
        </w:rPr>
        <w:t xml:space="preserve"> </w:t>
      </w:r>
      <w:r>
        <w:t>exam</w:t>
      </w:r>
      <w:r>
        <w:softHyphen/>
        <w:t>ple.</w:t>
      </w:r>
    </w:p>
    <w:p w:rsidR="00B72047" w:rsidRDefault="00B72047">
      <w:pPr>
        <w:rPr>
          <w:rStyle w:val="htmlparacode"/>
        </w:rPr>
      </w:pPr>
      <w:r>
        <w:rPr>
          <w:rStyle w:val="htmlparacode"/>
        </w:rPr>
        <w:t>&lt;p&gt;</w:t>
      </w:r>
    </w:p>
    <w:p w:rsidR="00B72047" w:rsidRDefault="00B72047">
      <w:pPr>
        <w:pStyle w:val="normalparagraph"/>
      </w:pPr>
      <w:r>
        <w:rPr>
          <w:rStyle w:val="indexentry"/>
        </w:rPr>
        <w:t>&lt;cx "jai without modal, meaning"&gt;</w:t>
      </w:r>
      <w:r>
        <w:rPr>
          <w:rStyle w:val="indexentry"/>
        </w:rPr>
        <w:fldChar w:fldCharType="begin"/>
      </w:r>
      <w:r>
        <w:instrText>xe "</w:instrText>
      </w:r>
      <w:r>
        <w:rPr>
          <w:rStyle w:val="xeentry"/>
        </w:rPr>
        <w:instrText>jai without modal: meaning</w:instrText>
      </w:r>
      <w:r>
        <w:instrText>"</w:instrText>
      </w:r>
      <w:r>
        <w:rPr>
          <w:rStyle w:val="indexentry"/>
        </w:rPr>
        <w:fldChar w:fldCharType="end"/>
      </w:r>
      <w:r>
        <w:rPr>
          <w:rStyle w:val="indexentry"/>
        </w:rPr>
        <w:t>&lt;cx "modal conversion, with no modal specified"&gt;</w:t>
      </w:r>
      <w:r>
        <w:rPr>
          <w:rStyle w:val="indexentry"/>
        </w:rPr>
        <w:fldChar w:fldCharType="begin"/>
      </w:r>
      <w:r>
        <w:instrText>xe "</w:instrText>
      </w:r>
      <w:r>
        <w:rPr>
          <w:rStyle w:val="xeentry"/>
        </w:rPr>
        <w:instrText>modal conversion: with no modal specified</w:instrText>
      </w:r>
      <w:r>
        <w:instrText>"</w:instrText>
      </w:r>
      <w:r>
        <w:rPr>
          <w:rStyle w:val="indexentry"/>
        </w:rPr>
        <w:fldChar w:fldCharType="end"/>
      </w:r>
      <w:r>
        <w:t>In addition, it is grammatical to use “jai” without a following modal.</w:t>
      </w:r>
      <w:r>
        <w:rPr>
          <w:rStyle w:val="deletedparamark"/>
        </w:rPr>
        <w:t xml:space="preserve"> </w:t>
      </w:r>
      <w:r>
        <w:t>This us</w:t>
      </w:r>
      <w:r>
        <w:softHyphen/>
        <w:t>age is not related to modals, but is explained here for completeness.</w:t>
      </w:r>
      <w:r>
        <w:rPr>
          <w:rStyle w:val="deletedparamark"/>
        </w:rPr>
        <w:t xml:space="preserve"> </w:t>
      </w:r>
      <w:r>
        <w:t>The effect of “jai” by itself is to send the x1 place, which should be</w:t>
      </w:r>
      <w:r>
        <w:rPr>
          <w:rStyle w:val="deletedparamark"/>
        </w:rPr>
        <w:t xml:space="preserve"> </w:t>
      </w:r>
      <w:r>
        <w:t>an abstraction, into the “fai” position, and to raise one of the sumti</w:t>
      </w:r>
      <w:r>
        <w:rPr>
          <w:rStyle w:val="deletedparamark"/>
        </w:rPr>
        <w:t xml:space="preserve"> </w:t>
      </w:r>
      <w:r>
        <w:t>from the abstract sub-bridi into the x1 place of the main bridi.</w:t>
      </w:r>
      <w:r>
        <w:rPr>
          <w:rStyle w:val="deletedparamark"/>
        </w:rPr>
        <w:t xml:space="preserve"> </w:t>
      </w:r>
      <w:r>
        <w:t>This fe</w:t>
      </w:r>
      <w:r>
        <w:t>a</w:t>
      </w:r>
      <w:r>
        <w:softHyphen/>
        <w:t xml:space="preserve">ture is discussed in more detail in </w:t>
      </w:r>
      <w:r>
        <w:rPr>
          <w:rStyle w:val="htmlcodes"/>
        </w:rPr>
        <w:t>&lt;a href=chap11.html&gt;</w:t>
      </w:r>
      <w:r>
        <w:t>Chapter 11</w:t>
      </w:r>
      <w:r>
        <w:rPr>
          <w:rStyle w:val="htmlcodes"/>
        </w:rPr>
        <w:t>&lt;/a&gt;</w:t>
      </w:r>
      <w:r>
        <w:t>. The following two</w:t>
      </w:r>
      <w:r>
        <w:rPr>
          <w:rStyle w:val="deletedparamark"/>
        </w:rPr>
        <w:t xml:space="preserve"> </w:t>
      </w:r>
      <w:r>
        <w:t>exam</w:t>
      </w:r>
      <w:r>
        <w:softHyphen/>
        <w:t>ples mean the 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le nu mi lebna le cukta cu se krinu le nu mi viska le cukta</w:t>
      </w:r>
    </w:p>
    <w:p w:rsidR="00B72047" w:rsidRDefault="00B72047">
      <w:pPr>
        <w:pStyle w:val="examplescaled"/>
      </w:pPr>
      <w:r>
        <w:tab/>
        <w:t>The event-of (I take the book) is-justified-by the event-of (I see the book).</w:t>
      </w:r>
    </w:p>
    <w:p w:rsidR="00B72047" w:rsidRDefault="00B72047">
      <w:pPr>
        <w:pStyle w:val="examplescaled"/>
      </w:pPr>
      <w:r>
        <w:tab/>
        <w:t>My taking the book is justified by my seeing it.</w:t>
      </w:r>
    </w:p>
    <w:p w:rsidR="00B72047" w:rsidRDefault="00B72047">
      <w:pPr>
        <w:pStyle w:val="examplescaledpre"/>
      </w:pPr>
      <w:r>
        <w:rPr>
          <w:rStyle w:val="htmlcodes"/>
        </w:rPr>
        <w:t>&lt;a name=e12d4&gt;</w:t>
      </w:r>
      <w:r>
        <w:t>12.4)</w:t>
      </w:r>
      <w:r>
        <w:tab/>
        <w:t>mi jai se krinu le nu mi viska le cukta kei</w:t>
      </w:r>
    </w:p>
    <w:p w:rsidR="00B72047" w:rsidRDefault="00B72047">
      <w:pPr>
        <w:pStyle w:val="examplescaled"/>
      </w:pPr>
      <w:r>
        <w:tab/>
      </w:r>
      <w:r>
        <w:tab/>
        <w:t>[fai le nu mi lebna le cukta]</w:t>
      </w:r>
    </w:p>
    <w:p w:rsidR="00B72047" w:rsidRDefault="00B72047">
      <w:pPr>
        <w:pStyle w:val="examplescaled"/>
      </w:pPr>
      <w:r>
        <w:tab/>
        <w:t xml:space="preserve">I am-justified by the event-of (I see the book) </w:t>
      </w:r>
    </w:p>
    <w:p w:rsidR="00B72047" w:rsidRDefault="00B72047">
      <w:pPr>
        <w:pStyle w:val="examplescaled"/>
      </w:pPr>
      <w:r>
        <w:tab/>
      </w:r>
      <w:r>
        <w:tab/>
        <w:t>[namely, the event-of (I take the book)].</w:t>
      </w:r>
    </w:p>
    <w:p w:rsidR="00B72047" w:rsidRDefault="00B72047">
      <w:pPr>
        <w:pStyle w:val="examplescaled"/>
      </w:pPr>
      <w:r>
        <w:tab/>
        <w:t>I am justified in taking the book by seeing the book.</w:t>
      </w:r>
    </w:p>
    <w:p w:rsidR="00B72047" w:rsidRDefault="00B72047">
      <w:pPr>
        <w:pStyle w:val="resumedafterexample"/>
      </w:pPr>
      <w:r>
        <w:rPr>
          <w:rStyle w:val="htmlcodes"/>
        </w:rPr>
        <w:t>&lt;/pre&gt;</w:t>
      </w:r>
      <w:r>
        <w:rPr>
          <w:rStyle w:val="indexentry"/>
        </w:rPr>
        <w:t>&lt;cx "modal conversion without modal, as vague"&gt;</w:t>
      </w:r>
      <w:r>
        <w:rPr>
          <w:rStyle w:val="indexentry"/>
        </w:rPr>
        <w:fldChar w:fldCharType="begin"/>
      </w:r>
      <w:r>
        <w:instrText>xe "</w:instrText>
      </w:r>
      <w:r>
        <w:rPr>
          <w:rStyle w:val="xeentry"/>
        </w:rPr>
        <w:instrText>modal conversion without modal: as vague</w:instrText>
      </w:r>
      <w:r>
        <w:instrText>"</w:instrText>
      </w:r>
      <w:r>
        <w:rPr>
          <w:rStyle w:val="indexentry"/>
        </w:rPr>
        <w:fldChar w:fldCharType="end"/>
      </w:r>
      <w:r>
        <w:rPr>
          <w:rStyle w:val="htmlcodes"/>
        </w:rPr>
        <w:t>&lt;a href=#e12d4&gt;</w:t>
      </w:r>
      <w:r>
        <w:t>Example 12.4</w:t>
      </w:r>
      <w:r>
        <w:rPr>
          <w:rStyle w:val="htmlcodes"/>
        </w:rPr>
        <w:t>&lt;/a&gt;</w:t>
      </w:r>
      <w:r>
        <w:t>, with the bracketed part omitted, allows us to say that “I am</w:t>
      </w:r>
      <w:r>
        <w:rPr>
          <w:rStyle w:val="deletedparamark"/>
        </w:rPr>
        <w:t xml:space="preserve"> </w:t>
      </w:r>
      <w:r>
        <w:t>justified” whereas in fact it is my action that is justified. This</w:t>
      </w:r>
      <w:r>
        <w:rPr>
          <w:rStyle w:val="deletedparamark"/>
        </w:rPr>
        <w:t xml:space="preserve"> </w:t>
      </w:r>
      <w:r>
        <w:t>con</w:t>
      </w:r>
      <w:r>
        <w:softHyphen/>
        <w:t>struction is vague, but useful in representing natural-language meth</w:t>
      </w:r>
      <w:r>
        <w:softHyphen/>
        <w:t>ods</w:t>
      </w:r>
      <w:r>
        <w:rPr>
          <w:rStyle w:val="deletedparamark"/>
        </w:rPr>
        <w:t xml:space="preserve"> </w:t>
      </w:r>
      <w:r>
        <w:t>of expression.</w:t>
      </w:r>
    </w:p>
    <w:p w:rsidR="00B72047" w:rsidRDefault="00B72047">
      <w:pPr>
        <w:rPr>
          <w:rStyle w:val="htmlparacode"/>
        </w:rPr>
      </w:pPr>
      <w:r>
        <w:rPr>
          <w:rStyle w:val="htmlparacode"/>
        </w:rPr>
        <w:t>&lt;p&gt;</w:t>
      </w:r>
    </w:p>
    <w:p w:rsidR="00B72047" w:rsidRDefault="00B72047">
      <w:pPr>
        <w:pStyle w:val="normalparagraph"/>
      </w:pPr>
      <w:r>
        <w:rPr>
          <w:rStyle w:val="indexentry"/>
        </w:rPr>
        <w:t>&lt;cx "modal conversion with fi'o"&gt;</w:t>
      </w:r>
      <w:r>
        <w:rPr>
          <w:rStyle w:val="indexentry"/>
        </w:rPr>
        <w:fldChar w:fldCharType="begin"/>
      </w:r>
      <w:r>
        <w:instrText>xe "</w:instrText>
      </w:r>
      <w:r>
        <w:rPr>
          <w:rStyle w:val="xeentry"/>
        </w:rPr>
        <w:instrText>modal conversion with fi'o</w:instrText>
      </w:r>
      <w:r>
        <w:instrText>"</w:instrText>
      </w:r>
      <w:r>
        <w:rPr>
          <w:rStyle w:val="indexentry"/>
        </w:rPr>
        <w:fldChar w:fldCharType="end"/>
      </w:r>
      <w:r>
        <w:rPr>
          <w:rStyle w:val="indexentry"/>
        </w:rPr>
        <w:t>&lt;cx "fi'o, and modal conversion"&gt;</w:t>
      </w:r>
      <w:r>
        <w:rPr>
          <w:rStyle w:val="indexentry"/>
        </w:rPr>
        <w:fldChar w:fldCharType="begin"/>
      </w:r>
      <w:r>
        <w:instrText>xe "</w:instrText>
      </w:r>
      <w:r>
        <w:rPr>
          <w:rStyle w:val="xeentry"/>
        </w:rPr>
        <w:instrText>fi'o: and modal conversion</w:instrText>
      </w:r>
      <w:r>
        <w:instrText>"</w:instrText>
      </w:r>
      <w:r>
        <w:rPr>
          <w:rStyle w:val="indexentry"/>
        </w:rPr>
        <w:fldChar w:fldCharType="end"/>
      </w:r>
      <w:r>
        <w:t>Note: The uses of modals discussed in this section are appli</w:t>
      </w:r>
      <w:r>
        <w:softHyphen/>
        <w:t>cable both to</w:t>
      </w:r>
      <w:r>
        <w:rPr>
          <w:rStyle w:val="deletedparamark"/>
        </w:rPr>
        <w:t xml:space="preserve"> </w:t>
      </w:r>
      <w:r>
        <w:t>BAI modals and to “fi'o”-plus-selbri modals.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322" w:name="_Toc398970568"/>
      <w:r>
        <w:rPr>
          <w:rStyle w:val="Heading3Text"/>
        </w:rPr>
        <w:t>Modal negation</w:t>
      </w:r>
      <w:bookmarkEnd w:id="32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"negation of modals"&gt;</w:t>
      </w:r>
      <w:r>
        <w:rPr>
          <w:rStyle w:val="indexentry"/>
        </w:rPr>
        <w:fldChar w:fldCharType="begin"/>
      </w:r>
      <w:r>
        <w:instrText>xe "</w:instrText>
      </w:r>
      <w:r>
        <w:rPr>
          <w:rStyle w:val="xeentry"/>
        </w:rPr>
        <w:instrText>negation of modals</w:instrText>
      </w:r>
      <w:r>
        <w:instrText>"</w:instrText>
      </w:r>
      <w:r>
        <w:rPr>
          <w:rStyle w:val="indexentry"/>
        </w:rPr>
        <w:fldChar w:fldCharType="end"/>
      </w:r>
      <w:r>
        <w:rPr>
          <w:rStyle w:val="indexentry"/>
        </w:rPr>
        <w:t>&lt;cx "modals, negation of"&gt;</w:t>
      </w:r>
      <w:r>
        <w:rPr>
          <w:rStyle w:val="indexentry"/>
        </w:rPr>
        <w:fldChar w:fldCharType="begin"/>
      </w:r>
      <w:r>
        <w:instrText>xe "</w:instrText>
      </w:r>
      <w:r>
        <w:rPr>
          <w:rStyle w:val="xeentry"/>
        </w:rPr>
        <w:instrText>modals: negation of</w:instrText>
      </w:r>
      <w:r>
        <w:instrText>"</w:instrText>
      </w:r>
      <w:r>
        <w:rPr>
          <w:rStyle w:val="indexentry"/>
        </w:rPr>
        <w:fldChar w:fldCharType="end"/>
      </w:r>
      <w:r>
        <w:t xml:space="preserve">Negation is explained in detail in </w:t>
      </w:r>
      <w:r>
        <w:rPr>
          <w:rStyle w:val="htmlcodes"/>
        </w:rPr>
        <w:t>&lt;a href=chap15.html&gt;</w:t>
      </w:r>
      <w:r>
        <w:t>Chapter 15</w:t>
      </w:r>
      <w:r>
        <w:rPr>
          <w:rStyle w:val="htmlcodes"/>
        </w:rPr>
        <w:t>&lt;/a&gt;</w:t>
      </w:r>
      <w:r>
        <w:t>. There are two forms of</w:t>
      </w:r>
      <w:r>
        <w:rPr>
          <w:rStyle w:val="deletedparamark"/>
        </w:rPr>
        <w:t xml:space="preserve"> </w:t>
      </w:r>
      <w:r>
        <w:t>negation in Lojban: contradictory and scalar negation. Con</w:t>
      </w:r>
      <w:r>
        <w:softHyphen/>
        <w:t>tradictory</w:t>
      </w:r>
      <w:r>
        <w:rPr>
          <w:rStyle w:val="deletedparamark"/>
        </w:rPr>
        <w:t xml:space="preserve"> </w:t>
      </w:r>
      <w:r>
        <w:t>negation expresses what is false, whereas scalar negation says that</w:t>
      </w:r>
      <w:r>
        <w:rPr>
          <w:rStyle w:val="deletedparamark"/>
        </w:rPr>
        <w:t xml:space="preserve"> </w:t>
      </w:r>
      <w:r>
        <w:t>some alternative to what has been stated is true. A si</w:t>
      </w:r>
      <w:r>
        <w:t>m</w:t>
      </w:r>
      <w:r>
        <w:softHyphen/>
        <w:t>ple example</w:t>
      </w:r>
      <w:r>
        <w:rPr>
          <w:rStyle w:val="deletedparamark"/>
        </w:rPr>
        <w:t xml:space="preserve"> </w:t>
      </w:r>
      <w:r>
        <w:t>is the difference between “John didn't go to Paris” (contradictory</w:t>
      </w:r>
      <w:r>
        <w:rPr>
          <w:rStyle w:val="deletedparamark"/>
        </w:rPr>
        <w:t xml:space="preserve"> </w:t>
      </w:r>
      <w:r>
        <w:t>negation) and “John went to (somewhere) other than Paris” (scalar</w:t>
      </w:r>
      <w:r>
        <w:rPr>
          <w:rStyle w:val="deletedparamark"/>
        </w:rPr>
        <w:t xml:space="preserve"> </w:t>
      </w:r>
      <w:r>
        <w:t>negation).</w:t>
      </w:r>
    </w:p>
    <w:p w:rsidR="00B72047" w:rsidRDefault="00B72047">
      <w:pPr>
        <w:rPr>
          <w:rStyle w:val="htmlparacode"/>
        </w:rPr>
      </w:pPr>
      <w:r>
        <w:rPr>
          <w:rStyle w:val="htmlparacode"/>
        </w:rPr>
        <w:t>&lt;p&gt;</w:t>
      </w:r>
    </w:p>
    <w:p w:rsidR="00B72047" w:rsidRDefault="00B72047">
      <w:pPr>
        <w:pStyle w:val="normalparagraph"/>
      </w:pPr>
      <w:r>
        <w:rPr>
          <w:rStyle w:val="indexentry"/>
        </w:rPr>
        <w:t>&lt;cx "negation of modals, contradictory"&gt;</w:t>
      </w:r>
      <w:r>
        <w:rPr>
          <w:rStyle w:val="indexentry"/>
        </w:rPr>
        <w:fldChar w:fldCharType="begin"/>
      </w:r>
      <w:r>
        <w:instrText>xe "</w:instrText>
      </w:r>
      <w:r>
        <w:rPr>
          <w:rStyle w:val="xeentry"/>
        </w:rPr>
        <w:instrText>negation of modals: contradictory</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&lt;cx "modals, contradictory negation of"&gt;</w:t>
      </w:r>
      <w:r>
        <w:rPr>
          <w:rStyle w:val="indexentry"/>
        </w:rPr>
        <w:fldChar w:fldCharType="begin"/>
      </w:r>
      <w:r>
        <w:instrText>xe "</w:instrText>
      </w:r>
      <w:r>
        <w:rPr>
          <w:rStyle w:val="xeentry"/>
        </w:rPr>
        <w:instrText>modals: contradictory negation of</w:instrText>
      </w:r>
      <w:r>
        <w:instrText>"</w:instrText>
      </w:r>
      <w:r>
        <w:rPr>
          <w:rStyle w:val="indexentry"/>
        </w:rPr>
        <w:fldChar w:fldCharType="end"/>
      </w:r>
      <w:r>
        <w:t>Contradictory negation involving BAI cmavo is performed by appending</w:t>
      </w:r>
      <w:r>
        <w:rPr>
          <w:rStyle w:val="deletedparamark"/>
        </w:rPr>
        <w:t xml:space="preserve"> “</w:t>
      </w:r>
      <w:r>
        <w:t>-nai” (of selma'o NAI) to the BAI. A common use of mo</w:t>
      </w:r>
      <w:r>
        <w:softHyphen/>
        <w:t>dals with “-nai”</w:t>
      </w:r>
      <w:r>
        <w:rPr>
          <w:rStyle w:val="deletedparamark"/>
        </w:rPr>
        <w:t xml:space="preserve"> </w:t>
      </w:r>
      <w:r>
        <w:t>is to deny a causal rel</w:t>
      </w:r>
      <w:r>
        <w:t>a</w:t>
      </w:r>
      <w:r>
        <w:softHyphen/>
        <w:t>tionship:</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mi nelci do mu'inai le nu do nelci mi</w:t>
      </w:r>
    </w:p>
    <w:p w:rsidR="00B72047" w:rsidRDefault="00B72047">
      <w:pPr>
        <w:pStyle w:val="examplescaled"/>
      </w:pPr>
      <w:r>
        <w:tab/>
        <w:t>I like you, but not because you like me.</w:t>
      </w:r>
    </w:p>
    <w:p w:rsidR="00B72047" w:rsidRDefault="00B72047">
      <w:pPr>
        <w:pStyle w:val="resumedafterexample"/>
      </w:pPr>
      <w:r>
        <w:rPr>
          <w:rStyle w:val="htmlcodes"/>
        </w:rPr>
        <w:t>&lt;/pre&gt;</w:t>
      </w:r>
      <w:r>
        <w:rPr>
          <w:rStyle w:val="indexentry"/>
        </w:rPr>
        <w:t>&lt;cx "contradictory negation of modals, explanation of meaning"&gt;</w:t>
      </w:r>
      <w:r>
        <w:rPr>
          <w:rStyle w:val="indexentry"/>
        </w:rPr>
        <w:fldChar w:fldCharType="begin"/>
      </w:r>
      <w:r>
        <w:instrText>xe "</w:instrText>
      </w:r>
      <w:r>
        <w:rPr>
          <w:rStyle w:val="xeentry"/>
        </w:rPr>
        <w:instrText>contradictory negation of modals: explanation of meaning</w:instrText>
      </w:r>
      <w:r>
        <w:instrText>"</w:instrText>
      </w:r>
      <w:r>
        <w:rPr>
          <w:rStyle w:val="indexentry"/>
        </w:rPr>
        <w:fldChar w:fldCharType="end"/>
      </w:r>
      <w:r>
        <w:rPr>
          <w:rStyle w:val="htmlcodes"/>
        </w:rPr>
        <w:t>&lt;a href=#e13d1&gt;</w:t>
      </w:r>
      <w:r>
        <w:t xml:space="preserve">Example 13.1 </w:t>
      </w:r>
      <w:r>
        <w:rPr>
          <w:rStyle w:val="htmlcodes"/>
        </w:rPr>
        <w:t>&lt;/a&gt;</w:t>
      </w:r>
      <w:r>
        <w:t>denies that the relationship between my liking you (which is</w:t>
      </w:r>
      <w:r>
        <w:rPr>
          <w:rStyle w:val="deletedparamark"/>
        </w:rPr>
        <w:t xml:space="preserve"> </w:t>
      </w:r>
      <w:r>
        <w:t>asserted) and your liking me (which is not asserted) is one of motivation.</w:t>
      </w:r>
      <w:r>
        <w:rPr>
          <w:rStyle w:val="deletedparamark"/>
        </w:rPr>
        <w:t xml:space="preserve"> </w:t>
      </w:r>
      <w:r>
        <w:t>Nothing is said about whether you like me or not, merely that that</w:t>
      </w:r>
      <w:r>
        <w:rPr>
          <w:rStyle w:val="deletedparamark"/>
        </w:rPr>
        <w:t xml:space="preserve"> </w:t>
      </w:r>
      <w:r>
        <w:t>hypothetical liking is not the motivation for my liking you.</w:t>
      </w:r>
    </w:p>
    <w:p w:rsidR="00B72047" w:rsidRDefault="00B72047">
      <w:pPr>
        <w:rPr>
          <w:rStyle w:val="htmlparacode"/>
        </w:rPr>
      </w:pPr>
      <w:r>
        <w:rPr>
          <w:rStyle w:val="htmlparacode"/>
        </w:rPr>
        <w:t>&lt;p&gt;</w:t>
      </w:r>
    </w:p>
    <w:p w:rsidR="00B72047" w:rsidRDefault="00B72047">
      <w:pPr>
        <w:pStyle w:val="normalparagraph"/>
      </w:pPr>
      <w:r>
        <w:rPr>
          <w:rStyle w:val="indexentry"/>
        </w:rPr>
        <w:t>&lt;cx "negation of modals, scalar"&gt;</w:t>
      </w:r>
      <w:r>
        <w:rPr>
          <w:rStyle w:val="indexentry"/>
        </w:rPr>
        <w:fldChar w:fldCharType="begin"/>
      </w:r>
      <w:r>
        <w:instrText>xe "</w:instrText>
      </w:r>
      <w:r>
        <w:rPr>
          <w:rStyle w:val="xeentry"/>
        </w:rPr>
        <w:instrText>negation of modals: scalar</w:instrText>
      </w:r>
      <w:r>
        <w:instrText>"</w:instrText>
      </w:r>
      <w:r>
        <w:rPr>
          <w:rStyle w:val="indexentry"/>
        </w:rPr>
        <w:fldChar w:fldCharType="end"/>
      </w:r>
      <w:r>
        <w:rPr>
          <w:rStyle w:val="indexentry"/>
        </w:rPr>
        <w:t>&lt;lx "na'e"&gt;</w:t>
      </w:r>
      <w:r>
        <w:rPr>
          <w:rStyle w:val="indexentry"/>
        </w:rPr>
        <w:fldChar w:fldCharType="begin"/>
      </w:r>
      <w:r>
        <w:instrText>xe "</w:instrText>
      </w:r>
      <w:r>
        <w:rPr>
          <w:rStyle w:val="xeentry"/>
        </w:rPr>
        <w:instrText>na'e</w:instrText>
      </w:r>
      <w:r>
        <w:instrText>"</w:instrText>
      </w:r>
      <w:r>
        <w:rPr>
          <w:rStyle w:val="indexentry"/>
        </w:rPr>
        <w:fldChar w:fldCharType="end"/>
      </w:r>
      <w:r>
        <w:rPr>
          <w:rStyle w:val="indexentry"/>
        </w:rPr>
        <w:t>&lt;cx "modals, scalar negation of"&gt;</w:t>
      </w:r>
      <w:r>
        <w:rPr>
          <w:rStyle w:val="indexentry"/>
        </w:rPr>
        <w:fldChar w:fldCharType="begin"/>
      </w:r>
      <w:r>
        <w:instrText>xe "</w:instrText>
      </w:r>
      <w:r>
        <w:rPr>
          <w:rStyle w:val="xeentry"/>
        </w:rPr>
        <w:instrText>modals: scalar negation of</w:instrText>
      </w:r>
      <w:r>
        <w:instrText>"</w:instrText>
      </w:r>
      <w:r>
        <w:rPr>
          <w:rStyle w:val="indexentry"/>
        </w:rPr>
        <w:fldChar w:fldCharType="end"/>
      </w:r>
      <w:r>
        <w:t>Scalar negation is achieved by prefixing “na'e” (of selma'o NAhE), or any</w:t>
      </w:r>
      <w:r>
        <w:rPr>
          <w:rStyle w:val="deletedparamark"/>
        </w:rPr>
        <w:t xml:space="preserve"> </w:t>
      </w:r>
      <w:r>
        <w:t>of the other cmavo of NAhE, to the BAI cmavo.</w:t>
      </w:r>
    </w:p>
    <w:p w:rsidR="00B72047" w:rsidRDefault="00B72047">
      <w:pPr>
        <w:rPr>
          <w:rStyle w:val="htmlparacode"/>
        </w:rPr>
      </w:pPr>
      <w:r>
        <w:rPr>
          <w:rStyle w:val="htmlparacode"/>
        </w:rPr>
        <w:t>&lt;p&gt;</w:t>
      </w:r>
    </w:p>
    <w:p w:rsidR="00B72047" w:rsidRDefault="00B72047">
      <w:pPr>
        <w:pStyle w:val="examplescaledpre"/>
      </w:pPr>
      <w:r>
        <w:rPr>
          <w:rStyle w:val="indexentry"/>
        </w:rPr>
        <w:t>&lt;ex "plant grows"&gt;</w:t>
      </w:r>
      <w:r>
        <w:rPr>
          <w:rStyle w:val="indexentry"/>
        </w:rPr>
        <w:fldChar w:fldCharType="begin"/>
      </w:r>
      <w:r>
        <w:instrText>xe "</w:instrText>
      </w:r>
      <w:r>
        <w:rPr>
          <w:rStyle w:val="xeentry"/>
        </w:rPr>
        <w:instrText>plant grows: example</w:instrText>
      </w:r>
      <w:r>
        <w:instrText>"</w:instrText>
      </w:r>
      <w:r>
        <w:rPr>
          <w:rStyle w:val="indexentry"/>
        </w:rPr>
        <w:fldChar w:fldCharType="end"/>
      </w:r>
      <w:r>
        <w:rPr>
          <w:rStyle w:val="htmlcodes"/>
        </w:rPr>
        <w:t>&lt;pre&gt;&lt;a name=e13d2&gt;</w:t>
      </w:r>
      <w:r>
        <w:t>13.2)</w:t>
      </w:r>
      <w:r>
        <w:tab/>
        <w:t>le spati cu banro na'emu'i le nu</w:t>
      </w:r>
    </w:p>
    <w:p w:rsidR="00B72047" w:rsidRDefault="00B72047">
      <w:pPr>
        <w:pStyle w:val="examplescaled"/>
      </w:pPr>
      <w:r>
        <w:tab/>
      </w:r>
      <w:r>
        <w:tab/>
        <w:t>do djacu dunda fi le spati</w:t>
      </w:r>
    </w:p>
    <w:p w:rsidR="00B72047" w:rsidRDefault="00B72047">
      <w:pPr>
        <w:pStyle w:val="examplescaled"/>
      </w:pPr>
      <w:r>
        <w:tab/>
        <w:t>The plant grows other-than-motivated-by the event-of</w:t>
      </w:r>
    </w:p>
    <w:p w:rsidR="00B72047" w:rsidRDefault="00B72047">
      <w:pPr>
        <w:pStyle w:val="examplescaled"/>
      </w:pPr>
      <w:r>
        <w:tab/>
      </w:r>
      <w:r>
        <w:tab/>
        <w:t>you water-give to the plant.</w:t>
      </w:r>
    </w:p>
    <w:p w:rsidR="00B72047" w:rsidRDefault="00B72047">
      <w:pPr>
        <w:pStyle w:val="resumedafterexample"/>
      </w:pPr>
      <w:r>
        <w:rPr>
          <w:rStyle w:val="htmlcodes"/>
        </w:rPr>
        <w:t>&lt;/pre&gt;</w:t>
      </w:r>
      <w:r>
        <w:rPr>
          <w:rStyle w:val="indexentry"/>
        </w:rPr>
        <w:t>&lt;cx "scalar negation of modals, explanation of meaning"&gt;</w:t>
      </w:r>
      <w:r>
        <w:rPr>
          <w:rStyle w:val="indexentry"/>
        </w:rPr>
        <w:fldChar w:fldCharType="begin"/>
      </w:r>
      <w:r>
        <w:instrText>xe "</w:instrText>
      </w:r>
      <w:r>
        <w:rPr>
          <w:rStyle w:val="xeentry"/>
        </w:rPr>
        <w:instrText>scalar negation of modals: explanation of meaning</w:instrText>
      </w:r>
      <w:r>
        <w:instrText>"</w:instrText>
      </w:r>
      <w:r>
        <w:rPr>
          <w:rStyle w:val="indexentry"/>
        </w:rPr>
        <w:fldChar w:fldCharType="end"/>
      </w:r>
      <w:r>
        <w:rPr>
          <w:rStyle w:val="htmlcodes"/>
        </w:rPr>
        <w:t>&lt;a href=#e13d2&gt;</w:t>
      </w:r>
      <w:r>
        <w:t xml:space="preserve">Example 13.2 </w:t>
      </w:r>
      <w:r>
        <w:rPr>
          <w:rStyle w:val="htmlcodes"/>
        </w:rPr>
        <w:t>&lt;/a&gt;</w:t>
      </w:r>
      <w:r>
        <w:t>says that the relationship between the plant's growth and</w:t>
      </w:r>
      <w:r>
        <w:rPr>
          <w:rStyle w:val="deletedparamark"/>
        </w:rPr>
        <w:t xml:space="preserve"> </w:t>
      </w:r>
      <w:r>
        <w:t>your watering it is not one of motivation: the plant is not moti</w:t>
      </w:r>
      <w:r>
        <w:softHyphen/>
        <w:t>vated</w:t>
      </w:r>
      <w:r>
        <w:rPr>
          <w:rStyle w:val="deletedparamark"/>
        </w:rPr>
        <w:t xml:space="preserve"> </w:t>
      </w:r>
      <w:r>
        <w:t>to grow, as plants are not something which can have motivation as a rule.</w:t>
      </w:r>
      <w:r>
        <w:rPr>
          <w:rStyle w:val="deletedparamark"/>
        </w:rPr>
        <w:t xml:space="preserve"> </w:t>
      </w:r>
      <w:r>
        <w:t>Implicitly, some other relationship between wa</w:t>
      </w:r>
      <w:r>
        <w:softHyphen/>
        <w:t>tering and growth exists,</w:t>
      </w:r>
      <w:r>
        <w:rPr>
          <w:rStyle w:val="deletedparamark"/>
        </w:rPr>
        <w:t xml:space="preserve"> </w:t>
      </w:r>
      <w:r>
        <w:t xml:space="preserve">but </w:t>
      </w:r>
      <w:r>
        <w:rPr>
          <w:rStyle w:val="htmlcodes"/>
        </w:rPr>
        <w:t>&lt;a href=#e13d2&gt;</w:t>
      </w:r>
      <w:r>
        <w:t xml:space="preserve">Example 13.2 </w:t>
      </w:r>
      <w:r>
        <w:rPr>
          <w:rStyle w:val="htmlcodes"/>
        </w:rPr>
        <w:t>&lt;/a&gt;</w:t>
      </w:r>
      <w:r>
        <w:t>doesn't say what it is (presumably “ri'a”).</w:t>
      </w:r>
    </w:p>
    <w:p w:rsidR="00B72047" w:rsidRDefault="00B72047">
      <w:pPr>
        <w:rPr>
          <w:rStyle w:val="htmlparacode"/>
        </w:rPr>
      </w:pPr>
      <w:r>
        <w:rPr>
          <w:rStyle w:val="htmlparacode"/>
        </w:rPr>
        <w:t>&lt;p&gt;</w:t>
      </w:r>
    </w:p>
    <w:p w:rsidR="00B72047" w:rsidRDefault="00B72047">
      <w:pPr>
        <w:pStyle w:val="normalparagraph"/>
      </w:pPr>
      <w:r>
        <w:rPr>
          <w:rStyle w:val="indexentry"/>
        </w:rPr>
        <w:t>&lt;cx "negation of fi'o modals, by negating selbri"&gt;</w:t>
      </w:r>
      <w:r>
        <w:rPr>
          <w:rStyle w:val="indexentry"/>
        </w:rPr>
        <w:fldChar w:fldCharType="begin"/>
      </w:r>
      <w:r>
        <w:instrText>xe "</w:instrText>
      </w:r>
      <w:r>
        <w:rPr>
          <w:rStyle w:val="xeentry"/>
        </w:rPr>
        <w:instrText>negation of fi'o modals: by negating selbri</w:instrText>
      </w:r>
      <w:r>
        <w:instrText>"</w:instrText>
      </w:r>
      <w:r>
        <w:rPr>
          <w:rStyle w:val="indexentry"/>
        </w:rPr>
        <w:fldChar w:fldCharType="end"/>
      </w:r>
      <w:r>
        <w:rPr>
          <w:rStyle w:val="indexentry"/>
        </w:rPr>
        <w:t>&lt;cx "fi'o modals, negation of by negating selbri"&gt;</w:t>
      </w:r>
      <w:r>
        <w:rPr>
          <w:rStyle w:val="indexentry"/>
        </w:rPr>
        <w:fldChar w:fldCharType="begin"/>
      </w:r>
      <w:r>
        <w:instrText>xe "</w:instrText>
      </w:r>
      <w:r>
        <w:rPr>
          <w:rStyle w:val="xeentry"/>
        </w:rPr>
        <w:instrText>fi'o modals: negation of by negating selbri</w:instrText>
      </w:r>
      <w:r>
        <w:instrText>"</w:instrText>
      </w:r>
      <w:r>
        <w:rPr>
          <w:rStyle w:val="indexentry"/>
        </w:rPr>
        <w:fldChar w:fldCharType="end"/>
      </w:r>
      <w:r>
        <w:t>Note: Modals made with “fi'o” plus a selbri cannot be negated directly.</w:t>
      </w:r>
      <w:r>
        <w:rPr>
          <w:rStyle w:val="deletedparamark"/>
        </w:rPr>
        <w:t xml:space="preserve"> </w:t>
      </w:r>
      <w:r>
        <w:t>The selbri can itself be negated either with contradictory or with scalar</w:t>
      </w:r>
      <w:r>
        <w:rPr>
          <w:rStyle w:val="deletedparamark"/>
        </w:rPr>
        <w:t xml:space="preserve"> </w:t>
      </w:r>
      <w:r>
        <w:t>negation, however.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323" w:name="_Toc398970569"/>
      <w:r>
        <w:rPr>
          <w:rStyle w:val="Heading3Text"/>
        </w:rPr>
        <w:t>Sticky modals</w:t>
      </w:r>
      <w:bookmarkEnd w:id="32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ki</w:t>
      </w:r>
      <w:r>
        <w:tab/>
        <w:t>KI</w:t>
      </w:r>
      <w:r>
        <w:tab/>
        <w:t>stickiness flag</w:t>
      </w:r>
    </w:p>
    <w:p w:rsidR="00B72047" w:rsidRDefault="00B72047">
      <w:pPr>
        <w:pStyle w:val="normalafterexample"/>
      </w:pPr>
      <w:r>
        <w:rPr>
          <w:rStyle w:val="htmlcodes"/>
        </w:rPr>
        <w:t>&lt;/pre&gt;</w:t>
      </w:r>
      <w:r>
        <w:rPr>
          <w:rStyle w:val="indexentry"/>
        </w:rPr>
        <w:t>&lt;cx "sticky modals, definition"&gt;</w:t>
      </w:r>
      <w:r>
        <w:rPr>
          <w:rStyle w:val="indexentry"/>
        </w:rPr>
        <w:fldChar w:fldCharType="begin"/>
      </w:r>
      <w:r>
        <w:instrText>xe "</w:instrText>
      </w:r>
      <w:r>
        <w:rPr>
          <w:rStyle w:val="xeentry"/>
        </w:rPr>
        <w:instrText>sticky modals: definition</w:instrText>
      </w:r>
      <w:r>
        <w:instrText>"</w:instrText>
      </w:r>
      <w:r>
        <w:rPr>
          <w:rStyle w:val="indexentry"/>
        </w:rPr>
        <w:fldChar w:fldCharType="end"/>
      </w:r>
      <w:r>
        <w:rPr>
          <w:rStyle w:val="indexentry"/>
        </w:rPr>
        <w:t>&lt;cx "modals, making long-scope"&gt;</w:t>
      </w:r>
      <w:r>
        <w:rPr>
          <w:rStyle w:val="indexentry"/>
        </w:rPr>
        <w:fldChar w:fldCharType="begin"/>
      </w:r>
      <w:r>
        <w:instrText>xe "</w:instrText>
      </w:r>
      <w:r>
        <w:rPr>
          <w:rStyle w:val="xeentry"/>
        </w:rPr>
        <w:instrText>modals: making long-scope</w:instrText>
      </w:r>
      <w:r>
        <w:instrText>"</w:instrText>
      </w:r>
      <w:r>
        <w:rPr>
          <w:rStyle w:val="indexentry"/>
        </w:rPr>
        <w:fldChar w:fldCharType="end"/>
      </w:r>
      <w:r>
        <w:rPr>
          <w:rStyle w:val="indexentry"/>
        </w:rPr>
        <w:t>&lt;lx "ki"&gt;</w:t>
      </w:r>
      <w:r>
        <w:rPr>
          <w:rStyle w:val="indexentry"/>
        </w:rPr>
        <w:fldChar w:fldCharType="begin"/>
      </w:r>
      <w:r>
        <w:instrText>xe "</w:instrText>
      </w:r>
      <w:r>
        <w:rPr>
          <w:rStyle w:val="xeentry"/>
        </w:rPr>
        <w:instrText>ki</w:instrText>
      </w:r>
      <w:r>
        <w:instrText>"</w:instrText>
      </w:r>
      <w:r>
        <w:rPr>
          <w:rStyle w:val="indexentry"/>
        </w:rPr>
        <w:fldChar w:fldCharType="end"/>
      </w:r>
      <w:r>
        <w:rPr>
          <w:rStyle w:val="indexentry"/>
        </w:rPr>
        <w:t>&lt;cx "modals, making sticky"&gt;</w:t>
      </w:r>
      <w:r>
        <w:rPr>
          <w:rStyle w:val="indexentry"/>
        </w:rPr>
        <w:fldChar w:fldCharType="begin"/>
      </w:r>
      <w:r>
        <w:instrText>xe "</w:instrText>
      </w:r>
      <w:r>
        <w:rPr>
          <w:rStyle w:val="xeentry"/>
        </w:rPr>
        <w:instrText>modals: making sticky</w:instrText>
      </w:r>
      <w:r>
        <w:instrText>"</w:instrText>
      </w:r>
      <w:r>
        <w:rPr>
          <w:rStyle w:val="indexentry"/>
        </w:rPr>
        <w:fldChar w:fldCharType="end"/>
      </w:r>
      <w:r>
        <w:t>Like tenses, modals can be made persistent from the bridi in which they</w:t>
      </w:r>
      <w:r>
        <w:rPr>
          <w:rStyle w:val="deletedparamark"/>
        </w:rPr>
        <w:t xml:space="preserve"> </w:t>
      </w:r>
      <w:r>
        <w:t>appear to all following bridi. The effect of this “stickiness” is to</w:t>
      </w:r>
      <w:r>
        <w:rPr>
          <w:rStyle w:val="deletedparamark"/>
        </w:rPr>
        <w:t xml:space="preserve"> </w:t>
      </w:r>
      <w:r>
        <w:t>make the modal, along with its fo</w:t>
      </w:r>
      <w:r>
        <w:t>l</w:t>
      </w:r>
      <w:r>
        <w:softHyphen/>
        <w:t>lowing sumti, act as if it ap</w:t>
      </w:r>
      <w:r>
        <w:softHyphen/>
        <w:t>peared in</w:t>
      </w:r>
      <w:r>
        <w:rPr>
          <w:rStyle w:val="deletedparamark"/>
        </w:rPr>
        <w:t xml:space="preserve"> </w:t>
      </w:r>
      <w:r>
        <w:t>every successive bridi. Stickiness is put into effect by fol</w:t>
      </w:r>
      <w:r>
        <w:softHyphen/>
        <w:t>lowing the modal</w:t>
      </w:r>
      <w:r>
        <w:rPr>
          <w:rStyle w:val="deletedparamark"/>
        </w:rPr>
        <w:t xml:space="preserve"> </w:t>
      </w:r>
      <w:r>
        <w:t>(but not any following sumti) with the cmavo “ki” of selma'o KI. For</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name=e14d1&gt;</w:t>
      </w:r>
      <w:r>
        <w:t>14.1)</w:t>
      </w:r>
      <w:r>
        <w:tab/>
        <w:t>mi tavla bau la lojban. bai ki tu'a la frank.</w:t>
      </w:r>
    </w:p>
    <w:p w:rsidR="00B72047" w:rsidRDefault="00B72047">
      <w:pPr>
        <w:pStyle w:val="examplescaled"/>
      </w:pPr>
      <w:r>
        <w:tab/>
      </w:r>
      <w:r>
        <w:tab/>
        <w:t>.ibabo mi tavla bau la gliban.</w:t>
      </w:r>
    </w:p>
    <w:p w:rsidR="00B72047" w:rsidRDefault="00B72047">
      <w:pPr>
        <w:pStyle w:val="examplescaled"/>
      </w:pPr>
      <w:r>
        <w:tab/>
        <w:t>I speak in-language Lojban compelled-by some-property-of Frank.</w:t>
      </w:r>
    </w:p>
    <w:p w:rsidR="00B72047" w:rsidRDefault="00B72047">
      <w:pPr>
        <w:pStyle w:val="examplescaled"/>
      </w:pPr>
      <w:r>
        <w:tab/>
      </w:r>
      <w:r>
        <w:tab/>
        <w:t>Afterward, I speak in-language English.</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name=e14d2&gt;</w:t>
      </w:r>
      <w:r>
        <w:t>14.2)</w:t>
      </w:r>
      <w:r>
        <w:tab/>
        <w:t>mi tavla bau la lojban. bai tu'a la frank.</w:t>
      </w:r>
    </w:p>
    <w:p w:rsidR="00B72047" w:rsidRDefault="00B72047">
      <w:pPr>
        <w:pStyle w:val="examplescaled"/>
      </w:pPr>
      <w:r>
        <w:tab/>
      </w:r>
      <w:r>
        <w:tab/>
        <w:t xml:space="preserve">.ibabo mi tavla bau la gliban. </w:t>
      </w:r>
    </w:p>
    <w:p w:rsidR="00B72047" w:rsidRDefault="00B72047">
      <w:pPr>
        <w:pStyle w:val="examplescaled"/>
        <w:ind w:left="1440" w:firstLine="576"/>
      </w:pPr>
      <w:r>
        <w:t>bai tu'a la frank.</w:t>
      </w:r>
    </w:p>
    <w:p w:rsidR="00B72047" w:rsidRDefault="00B72047">
      <w:pPr>
        <w:pStyle w:val="examplescaled"/>
      </w:pPr>
      <w:r>
        <w:tab/>
        <w:t>I speak in-language Lojban compelled-by some-property-of Frank.</w:t>
      </w:r>
    </w:p>
    <w:p w:rsidR="00B72047" w:rsidRDefault="00B72047">
      <w:pPr>
        <w:pStyle w:val="examplescaled"/>
      </w:pPr>
      <w:r>
        <w:tab/>
      </w:r>
      <w:r>
        <w:tab/>
        <w:t>Afterward, I speak in-language English</w:t>
      </w:r>
    </w:p>
    <w:p w:rsidR="00B72047" w:rsidRDefault="00B72047">
      <w:pPr>
        <w:pStyle w:val="examplescaled"/>
        <w:ind w:left="1440" w:firstLine="576"/>
      </w:pPr>
      <w:r>
        <w:t>compelled-by some-property-of Frank.</w:t>
      </w:r>
    </w:p>
    <w:p w:rsidR="00B72047" w:rsidRDefault="00B72047">
      <w:pPr>
        <w:pStyle w:val="resumedafterexample"/>
      </w:pPr>
      <w:r>
        <w:rPr>
          <w:rStyle w:val="htmlcodes"/>
        </w:rPr>
        <w:t>&lt;/pre&gt;&lt;p&gt;</w:t>
      </w:r>
      <w:r>
        <w:t xml:space="preserve">In </w:t>
      </w:r>
      <w:r>
        <w:rPr>
          <w:rStyle w:val="htmlcodes"/>
        </w:rPr>
        <w:t>&lt;a href=#e14d1&gt;</w:t>
      </w:r>
      <w:r>
        <w:t>Example 14.1</w:t>
      </w:r>
      <w:r>
        <w:rPr>
          <w:rStyle w:val="htmlcodes"/>
        </w:rPr>
        <w:t>&lt;/a&gt;</w:t>
      </w:r>
      <w:r>
        <w:t>, “bai” is made sticky, and so Frank's compelling is</w:t>
      </w:r>
      <w:r>
        <w:rPr>
          <w:rStyle w:val="deletedparamark"/>
        </w:rPr>
        <w:t xml:space="preserve"> </w:t>
      </w:r>
      <w:r>
        <w:t>made applicable to every following bridi. “bau” is not sticky, and so</w:t>
      </w:r>
      <w:r>
        <w:rPr>
          <w:rStyle w:val="deletedparamark"/>
        </w:rPr>
        <w:t xml:space="preserve"> </w:t>
      </w:r>
      <w:r>
        <w:t>the language may vary from bridi to bridi, and if not specified in a par</w:t>
      </w:r>
      <w:r>
        <w:softHyphen/>
        <w:t>ticular</w:t>
      </w:r>
      <w:r>
        <w:rPr>
          <w:rStyle w:val="deletedparamark"/>
        </w:rPr>
        <w:t xml:space="preserve"> </w:t>
      </w:r>
      <w:r>
        <w:t>bridi, no assumption can safely be made about its value.</w:t>
      </w:r>
    </w:p>
    <w:p w:rsidR="00B72047" w:rsidRDefault="00B72047">
      <w:pPr>
        <w:rPr>
          <w:rStyle w:val="htmlparacode"/>
        </w:rPr>
      </w:pPr>
      <w:r>
        <w:rPr>
          <w:rStyle w:val="htmlparacode"/>
        </w:rPr>
        <w:t>&lt;p&gt;</w:t>
      </w:r>
    </w:p>
    <w:p w:rsidR="00B72047" w:rsidRDefault="00B72047">
      <w:pPr>
        <w:pStyle w:val="normalparagraph"/>
      </w:pPr>
      <w:r>
        <w:rPr>
          <w:rStyle w:val="indexentry"/>
        </w:rPr>
        <w:t>&lt;cx "sticky modal, canceling"&gt;</w:t>
      </w:r>
      <w:r>
        <w:rPr>
          <w:rStyle w:val="indexentry"/>
        </w:rPr>
        <w:fldChar w:fldCharType="begin"/>
      </w:r>
      <w:r>
        <w:instrText>xe "</w:instrText>
      </w:r>
      <w:r>
        <w:rPr>
          <w:rStyle w:val="xeentry"/>
        </w:rPr>
        <w:instrText>sticky modals: canceling</w:instrText>
      </w:r>
      <w:r>
        <w:instrText>"</w:instrText>
      </w:r>
      <w:r>
        <w:rPr>
          <w:rStyle w:val="indexentry"/>
        </w:rPr>
        <w:fldChar w:fldCharType="end"/>
      </w:r>
      <w:r>
        <w:t>To cancel stickiness, use the form “BAI ki ku”, which stops any modal</w:t>
      </w:r>
      <w:r>
        <w:rPr>
          <w:rStyle w:val="deletedparamark"/>
        </w:rPr>
        <w:t xml:space="preserve"> </w:t>
      </w:r>
      <w:r>
        <w:t>value for the specified BAI from being passed to the next bridi. To cancel</w:t>
      </w:r>
      <w:r>
        <w:rPr>
          <w:rStyle w:val="deletedparamark"/>
        </w:rPr>
        <w:t xml:space="preserve"> </w:t>
      </w:r>
      <w:r>
        <w:t>stickiness for all modals simultaneously, and also for any sticky tenses</w:t>
      </w:r>
      <w:r>
        <w:rPr>
          <w:rStyle w:val="deletedparamark"/>
        </w:rPr>
        <w:t xml:space="preserve"> </w:t>
      </w:r>
      <w:r>
        <w:t>that exist (“ki” is used for both modals and tenses), use “ki” by itself,</w:t>
      </w:r>
      <w:r>
        <w:rPr>
          <w:rStyle w:val="deletedparamark"/>
        </w:rPr>
        <w:t xml:space="preserve"> </w:t>
      </w:r>
      <w:r>
        <w:t>either before the selbri or (in the form “ki ku”) any</w:t>
      </w:r>
      <w:r>
        <w:softHyphen/>
        <w:t>where in the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name=e14d3&gt;</w:t>
      </w:r>
      <w:r>
        <w:t>14.3)</w:t>
      </w:r>
      <w:r>
        <w:tab/>
        <w:t>mi ki tavla</w:t>
      </w:r>
    </w:p>
    <w:p w:rsidR="00B72047" w:rsidRDefault="00B72047">
      <w:pPr>
        <w:pStyle w:val="examplescaled"/>
      </w:pPr>
      <w:r>
        <w:tab/>
        <w:t>I speak (no implication about language or compulsion).</w:t>
      </w:r>
    </w:p>
    <w:p w:rsidR="00B72047" w:rsidRDefault="00B72047">
      <w:pPr>
        <w:pStyle w:val="normalafterexample"/>
      </w:pPr>
      <w:r>
        <w:rPr>
          <w:rStyle w:val="htmlcodes"/>
        </w:rPr>
        <w:t>&lt;/pre&gt;</w:t>
      </w:r>
      <w:r>
        <w:rPr>
          <w:rStyle w:val="indexentry"/>
        </w:rPr>
        <w:t>&lt;cx "sticky modals, fi'o proscribed from"&gt;</w:t>
      </w:r>
      <w:r>
        <w:rPr>
          <w:rStyle w:val="indexentry"/>
        </w:rPr>
        <w:fldChar w:fldCharType="begin"/>
      </w:r>
      <w:r>
        <w:instrText>xe "</w:instrText>
      </w:r>
      <w:r>
        <w:rPr>
          <w:rStyle w:val="xeentry"/>
        </w:rPr>
        <w:instrText>sticky modals: fi'o proscribed from</w:instrText>
      </w:r>
      <w:r>
        <w:instrText>"</w:instrText>
      </w:r>
      <w:r>
        <w:rPr>
          <w:rStyle w:val="indexentry"/>
        </w:rPr>
        <w:fldChar w:fldCharType="end"/>
      </w:r>
      <w:r>
        <w:rPr>
          <w:rStyle w:val="indexentry"/>
        </w:rPr>
        <w:t>&lt;cx "fi'o, proscribed for sticky modals"&gt;</w:t>
      </w:r>
      <w:r>
        <w:rPr>
          <w:rStyle w:val="indexentry"/>
        </w:rPr>
        <w:fldChar w:fldCharType="begin"/>
      </w:r>
      <w:r>
        <w:instrText>xe "</w:instrText>
      </w:r>
      <w:r>
        <w:rPr>
          <w:rStyle w:val="xeentry"/>
        </w:rPr>
        <w:instrText>fi'o: proscribed for sticky modals</w:instrText>
      </w:r>
      <w:r>
        <w:instrText>"</w:instrText>
      </w:r>
      <w:r>
        <w:rPr>
          <w:rStyle w:val="indexentry"/>
        </w:rPr>
        <w:fldChar w:fldCharType="end"/>
      </w:r>
      <w:r>
        <w:t>Note: Modals made with “fi'o”-plus-selbri cannot be made sticky. This is</w:t>
      </w:r>
      <w:r>
        <w:rPr>
          <w:rStyle w:val="deletedparamark"/>
        </w:rPr>
        <w:t xml:space="preserve"> </w:t>
      </w:r>
      <w:r>
        <w:t>an unfort</w:t>
      </w:r>
      <w:r>
        <w:t>u</w:t>
      </w:r>
      <w:r>
        <w:softHyphen/>
        <w:t>nate, but unavoidable, restriction.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324" w:name="_Toc398970570"/>
      <w:r>
        <w:rPr>
          <w:rStyle w:val="Heading3Text"/>
        </w:rPr>
        <w:t>Logical and non-logical connection of modals</w:t>
      </w:r>
      <w:bookmarkEnd w:id="32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of modals"&gt;</w:t>
      </w:r>
      <w:r>
        <w:rPr>
          <w:rStyle w:val="indexentry"/>
        </w:rPr>
        <w:fldChar w:fldCharType="begin"/>
      </w:r>
      <w:r>
        <w:instrText>xe "</w:instrText>
      </w:r>
      <w:r>
        <w:rPr>
          <w:rStyle w:val="xeentry"/>
        </w:rPr>
        <w:instrText>logical connection: of modals</w:instrText>
      </w:r>
      <w:r>
        <w:instrText>"</w:instrText>
      </w:r>
      <w:r>
        <w:rPr>
          <w:rStyle w:val="indexentry"/>
        </w:rPr>
        <w:fldChar w:fldCharType="end"/>
      </w:r>
      <w:r>
        <w:rPr>
          <w:rStyle w:val="indexentry"/>
        </w:rPr>
        <w:t>&lt;cx "non-logical connection, of modals"&gt;</w:t>
      </w:r>
      <w:r>
        <w:rPr>
          <w:rStyle w:val="indexentry"/>
        </w:rPr>
        <w:fldChar w:fldCharType="begin"/>
      </w:r>
      <w:r>
        <w:instrText>xe "</w:instrText>
      </w:r>
      <w:r>
        <w:rPr>
          <w:rStyle w:val="xeentry"/>
        </w:rPr>
        <w:instrText>non-logical connection: of modals</w:instrText>
      </w:r>
      <w:r>
        <w:instrText>"</w:instrText>
      </w:r>
      <w:r>
        <w:rPr>
          <w:rStyle w:val="indexentry"/>
        </w:rPr>
        <w:fldChar w:fldCharType="end"/>
      </w:r>
      <w:r>
        <w:t xml:space="preserve">Logical and non-logical connectives are explained in detail in </w:t>
      </w:r>
      <w:r>
        <w:rPr>
          <w:rStyle w:val="htmlcodes"/>
        </w:rPr>
        <w:t>&lt;a href=chap14.html&gt;</w:t>
      </w:r>
      <w:r>
        <w:t>Chapter 14</w:t>
      </w:r>
      <w:r>
        <w:rPr>
          <w:rStyle w:val="htmlcodes"/>
        </w:rPr>
        <w:t>&lt;/a&gt;</w:t>
      </w:r>
      <w:r>
        <w:t>.</w:t>
      </w:r>
      <w:r>
        <w:rPr>
          <w:rStyle w:val="deletedparamark"/>
        </w:rPr>
        <w:t xml:space="preserve"> </w:t>
      </w:r>
      <w:r>
        <w:t>For the purposes of this chapter, it suffices to point out that a logical</w:t>
      </w:r>
      <w:r>
        <w:rPr>
          <w:rStyle w:val="deletedparamark"/>
        </w:rPr>
        <w:t xml:space="preserve"> </w:t>
      </w:r>
      <w:r>
        <w:t>(or non-logical) con</w:t>
      </w:r>
      <w:r>
        <w:softHyphen/>
        <w:t>nection between two bridi which dif</w:t>
      </w:r>
      <w:r>
        <w:softHyphen/>
        <w:t>fer only in a</w:t>
      </w:r>
      <w:r>
        <w:rPr>
          <w:rStyle w:val="deletedparamark"/>
        </w:rPr>
        <w:t xml:space="preserve"> </w:t>
      </w:r>
      <w:r>
        <w:t>modal can be reduced to a single bridi with a connective between the</w:t>
      </w:r>
      <w:r>
        <w:rPr>
          <w:rStyle w:val="deletedparamark"/>
        </w:rPr>
        <w:t xml:space="preserve"> </w:t>
      </w:r>
      <w:r>
        <w:t xml:space="preserve">modals. As a result, </w:t>
      </w:r>
      <w:r>
        <w:rPr>
          <w:rStyle w:val="htmlcodes"/>
        </w:rPr>
        <w:t>&lt;a href=#e15d1&gt;</w:t>
      </w:r>
      <w:r>
        <w:t xml:space="preserve">Example 15.1 </w:t>
      </w:r>
      <w:r>
        <w:rPr>
          <w:rStyle w:val="htmlcodes"/>
        </w:rPr>
        <w:t>&lt;/a&gt;</w:t>
      </w:r>
      <w:r>
        <w:t xml:space="preserve">and </w:t>
      </w:r>
      <w:r>
        <w:rPr>
          <w:rStyle w:val="htmlcodes"/>
        </w:rPr>
        <w:t>&lt;a href=#e15d2&gt;</w:t>
      </w:r>
      <w:r>
        <w:t xml:space="preserve">Example 15.2 </w:t>
      </w:r>
      <w:r>
        <w:rPr>
          <w:rStyle w:val="htmlcodes"/>
        </w:rPr>
        <w:t>&lt;/a&gt;</w:t>
      </w:r>
      <w:r>
        <w:t>mean the 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 xml:space="preserve">la frank. bajra seka'a le zdani  .ije la frank. bajra </w:t>
      </w:r>
    </w:p>
    <w:p w:rsidR="00B72047" w:rsidRDefault="00B72047">
      <w:pPr>
        <w:pStyle w:val="examplescaled"/>
        <w:ind w:firstLine="576"/>
      </w:pPr>
      <w:r>
        <w:t>teka'a le zdani</w:t>
      </w:r>
    </w:p>
    <w:p w:rsidR="00B72047" w:rsidRDefault="00B72047">
      <w:pPr>
        <w:pStyle w:val="examplescaled"/>
      </w:pPr>
      <w:r>
        <w:tab/>
        <w:t xml:space="preserve">Frank runs with-destination the house.  And Frank runs </w:t>
      </w:r>
    </w:p>
    <w:p w:rsidR="00B72047" w:rsidRDefault="00B72047">
      <w:pPr>
        <w:pStyle w:val="examplescaled"/>
        <w:ind w:firstLine="576"/>
      </w:pPr>
      <w:r>
        <w:t>with-origin the house.</w:t>
      </w:r>
    </w:p>
    <w:p w:rsidR="00B72047" w:rsidRDefault="00B72047">
      <w:pPr>
        <w:pStyle w:val="examplescaled"/>
      </w:pPr>
      <w:r>
        <w:tab/>
        <w:t>Frank runs to the house, and Frank runs from the house.</w:t>
      </w:r>
    </w:p>
    <w:p w:rsidR="00B72047" w:rsidRDefault="00B72047">
      <w:pPr>
        <w:pStyle w:val="examplescaledpre"/>
      </w:pPr>
      <w:r>
        <w:rPr>
          <w:rStyle w:val="htmlcodes"/>
        </w:rPr>
        <w:t>&lt;/pre&gt;</w:t>
      </w:r>
      <w:r>
        <w:rPr>
          <w:rStyle w:val="indexentry"/>
        </w:rPr>
        <w:t>&lt;lx "je"&gt;</w:t>
      </w:r>
      <w:r>
        <w:rPr>
          <w:rStyle w:val="indexentry"/>
        </w:rPr>
        <w:fldChar w:fldCharType="begin"/>
      </w:r>
      <w:r>
        <w:instrText>xe "</w:instrText>
      </w:r>
      <w:r>
        <w:rPr>
          <w:rStyle w:val="xeentry"/>
        </w:rPr>
        <w:instrText>je</w:instrText>
      </w:r>
      <w:r>
        <w:instrText>"</w:instrText>
      </w:r>
      <w:r>
        <w:rPr>
          <w:rStyle w:val="indexentry"/>
        </w:rPr>
        <w:fldChar w:fldCharType="end"/>
      </w:r>
      <w:r>
        <w:rPr>
          <w:rStyle w:val="htmlcodes"/>
        </w:rPr>
        <w:t>&lt;pre&gt;&lt;a name=e15d2&gt;</w:t>
      </w:r>
      <w:r>
        <w:t>15.2)</w:t>
      </w:r>
      <w:r>
        <w:tab/>
        <w:t>la frank. bajra seka'a je teka'a le zdani</w:t>
      </w:r>
    </w:p>
    <w:p w:rsidR="00B72047" w:rsidRDefault="00B72047">
      <w:pPr>
        <w:pStyle w:val="examplescaled"/>
      </w:pPr>
      <w:r>
        <w:tab/>
        <w:t>Frank runs with-destination and with-origin the house.</w:t>
      </w:r>
    </w:p>
    <w:p w:rsidR="00B72047" w:rsidRDefault="00B72047">
      <w:pPr>
        <w:pStyle w:val="examplescaled"/>
      </w:pPr>
      <w:r>
        <w:tab/>
        <w:t>Frank runs to and from the house.</w:t>
      </w:r>
    </w:p>
    <w:p w:rsidR="00B72047" w:rsidRDefault="00B72047">
      <w:pPr>
        <w:pStyle w:val="resumedafterexample"/>
      </w:pPr>
      <w:r>
        <w:rPr>
          <w:rStyle w:val="htmlcodes"/>
        </w:rPr>
        <w:t>&lt;/pre&gt;</w:t>
      </w:r>
      <w:r>
        <w:rPr>
          <w:rStyle w:val="indexentry"/>
        </w:rPr>
        <w:t>&lt;lx "ce'e"&gt;</w:t>
      </w:r>
      <w:r>
        <w:rPr>
          <w:rStyle w:val="indexentry"/>
        </w:rPr>
        <w:fldChar w:fldCharType="begin"/>
      </w:r>
      <w:r>
        <w:instrText>xe "</w:instrText>
      </w:r>
      <w:r>
        <w:rPr>
          <w:rStyle w:val="xeentry"/>
        </w:rPr>
        <w:instrText>ce'e</w:instrText>
      </w:r>
      <w:r>
        <w:instrText>"</w:instrText>
      </w:r>
      <w:r>
        <w:rPr>
          <w:rStyle w:val="indexentry"/>
        </w:rPr>
        <w:fldChar w:fldCharType="end"/>
      </w:r>
      <w:r>
        <w:t>Neither example implies whether a single act, or two acts, of running</w:t>
      </w:r>
      <w:r>
        <w:rPr>
          <w:rStyle w:val="deletedparamark"/>
        </w:rPr>
        <w:t xml:space="preserve"> </w:t>
      </w:r>
      <w:r>
        <w:t>is referred to. To compel the sentence to refer to a single act of</w:t>
      </w:r>
      <w:r>
        <w:rPr>
          <w:rStyle w:val="deletedparamark"/>
        </w:rPr>
        <w:t xml:space="preserve"> </w:t>
      </w:r>
      <w:r>
        <w:t>run</w:t>
      </w:r>
      <w:r>
        <w:softHyphen/>
        <w:t>ning, you can use the form: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name=e15d3&gt;</w:t>
      </w:r>
      <w:r>
        <w:t>15.3)</w:t>
      </w:r>
      <w:r>
        <w:tab/>
        <w:t>la frank. bajra seka'a le zdani ce'e teka'a le zdani</w:t>
      </w:r>
    </w:p>
    <w:p w:rsidR="00B72047" w:rsidRDefault="00B72047">
      <w:pPr>
        <w:pStyle w:val="examplescaled"/>
      </w:pPr>
      <w:r>
        <w:tab/>
        <w:t>Frank runs with-destination the house [joined-to] with-origin the-house.</w:t>
      </w:r>
    </w:p>
    <w:p w:rsidR="00B72047" w:rsidRDefault="00B72047">
      <w:pPr>
        <w:pStyle w:val="normalafterexample"/>
      </w:pPr>
      <w:r>
        <w:rPr>
          <w:rStyle w:val="htmlcodes"/>
        </w:rPr>
        <w:t>&lt;/pre&gt;&lt;p&gt;</w:t>
      </w:r>
      <w:r>
        <w:t>The cmavo “ce'e” creates a termset containing two terms (termsets are</w:t>
      </w:r>
      <w:r>
        <w:rPr>
          <w:rStyle w:val="deletedparamark"/>
        </w:rPr>
        <w:t xml:space="preserve"> </w:t>
      </w:r>
      <w:r>
        <w:t>ex</w:t>
      </w:r>
      <w:r>
        <w:softHyphen/>
        <w:t xml:space="preserve">plained in </w:t>
      </w:r>
      <w:r>
        <w:rPr>
          <w:rStyle w:val="htmlcodes"/>
        </w:rPr>
        <w:t>&lt;a href=chap14.html&gt;</w:t>
      </w:r>
      <w:r>
        <w:t xml:space="preserve">Chapter 14 </w:t>
      </w:r>
      <w:r>
        <w:rPr>
          <w:rStyle w:val="htmlcodes"/>
        </w:rPr>
        <w:t>&lt;/a&gt;</w:t>
      </w:r>
      <w:r>
        <w:t xml:space="preserve">and </w:t>
      </w:r>
      <w:r>
        <w:rPr>
          <w:rStyle w:val="htmlcodes"/>
        </w:rPr>
        <w:t>&lt;a href=chap16.html&gt;</w:t>
      </w:r>
      <w:r>
        <w:t>Chapter 16</w:t>
      </w:r>
      <w:r>
        <w:rPr>
          <w:rStyle w:val="htmlcodes"/>
        </w:rPr>
        <w:t>&lt;/a&gt;</w:t>
      </w:r>
      <w:r>
        <w:t>). When a termset contains more than</w:t>
      </w:r>
      <w:r>
        <w:rPr>
          <w:rStyle w:val="deletedparamark"/>
        </w:rPr>
        <w:t xml:space="preserve"> </w:t>
      </w:r>
      <w:r>
        <w:t>one modal tag derived from a single BAI, the convention is that the two tags</w:t>
      </w:r>
      <w:r>
        <w:rPr>
          <w:rStyle w:val="deletedparamark"/>
        </w:rPr>
        <w:t xml:space="preserve"> </w:t>
      </w:r>
      <w:r>
        <w:t>are derived from a common event.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325" w:name="_Toc398970571"/>
      <w:r>
        <w:rPr>
          <w:rStyle w:val="Heading3Text"/>
        </w:rPr>
        <w:t>CV'V cmavo of selma'o BAI with irregular forms</w:t>
      </w:r>
      <w:bookmarkEnd w:id="32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"modal cmavo, regular form for derivation"&gt;</w:t>
      </w:r>
      <w:r>
        <w:rPr>
          <w:rStyle w:val="indexentry"/>
        </w:rPr>
        <w:fldChar w:fldCharType="begin"/>
      </w:r>
      <w:r>
        <w:instrText>xe "</w:instrText>
      </w:r>
      <w:r>
        <w:rPr>
          <w:rStyle w:val="xeentry"/>
        </w:rPr>
        <w:instrText>modal cmavo: regular form for derivation</w:instrText>
      </w:r>
      <w:r>
        <w:instrText>"</w:instrText>
      </w:r>
      <w:r>
        <w:rPr>
          <w:rStyle w:val="indexentry"/>
        </w:rPr>
        <w:fldChar w:fldCharType="end"/>
      </w:r>
      <w:r>
        <w:t>There are 65 cmavo of selma'o BAI, of which all but one (“do'e”, discussed</w:t>
      </w:r>
      <w:r>
        <w:rPr>
          <w:rStyle w:val="deletedparamark"/>
        </w:rPr>
        <w:t xml:space="preserve"> </w:t>
      </w:r>
      <w:r>
        <w:t xml:space="preserve">in </w:t>
      </w:r>
      <w:r>
        <w:rPr>
          <w:rStyle w:val="htmlcodes"/>
        </w:rPr>
        <w:t>&lt;a href=#s6&gt;</w:t>
      </w:r>
      <w:r>
        <w:t>Se</w:t>
      </w:r>
      <w:r>
        <w:t>c</w:t>
      </w:r>
      <w:r>
        <w:softHyphen/>
        <w:t>tion 6</w:t>
      </w:r>
      <w:r>
        <w:rPr>
          <w:rStyle w:val="htmlcodes"/>
        </w:rPr>
        <w:t>&lt;/a&gt;</w:t>
      </w:r>
      <w:r>
        <w:t>), are derived directly from selected gismu. Of these 64 cmavo,</w:t>
      </w:r>
      <w:r>
        <w:rPr>
          <w:rStyle w:val="deletedparamark"/>
        </w:rPr>
        <w:t xml:space="preserve"> </w:t>
      </w:r>
      <w:r>
        <w:t>36 are entirely regular and have the form CV'V, where C is the first</w:t>
      </w:r>
      <w:r>
        <w:rPr>
          <w:rStyle w:val="deletedparamark"/>
        </w:rPr>
        <w:t xml:space="preserve"> </w:t>
      </w:r>
      <w:r>
        <w:t>consonant of the corresponding gismu, and the Vs are the two vowels of the</w:t>
      </w:r>
      <w:r>
        <w:rPr>
          <w:rStyle w:val="deletedparamark"/>
        </w:rPr>
        <w:t xml:space="preserve"> </w:t>
      </w:r>
      <w:r>
        <w:t>gismu. The remaining BAI cmavo, which are irregular in one way or another,</w:t>
      </w:r>
      <w:r>
        <w:rPr>
          <w:rStyle w:val="deletedparamark"/>
        </w:rPr>
        <w:t xml:space="preserve"> </w:t>
      </w:r>
      <w:r>
        <w:t>are listed in the table be</w:t>
      </w:r>
      <w:r>
        <w:softHyphen/>
        <w:t>low. The table is divided into sub-tables</w:t>
      </w:r>
      <w:r>
        <w:rPr>
          <w:rStyle w:val="deletedparamark"/>
        </w:rPr>
        <w:t xml:space="preserve"> </w:t>
      </w:r>
      <w:r>
        <w:t>according to the nature of the exception; some cmavo appear in more than one</w:t>
      </w:r>
      <w:r>
        <w:rPr>
          <w:rStyle w:val="deletedparamark"/>
        </w:rPr>
        <w:t xml:space="preserve"> </w:t>
      </w:r>
      <w:r>
        <w:t>sub-table, and are so noted.</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wtabspre"/>
        <w:spacing w:before="0"/>
      </w:pPr>
      <w:r>
        <w:rPr>
          <w:rStyle w:val="indexentry"/>
        </w:rPr>
        <w:t>&lt;cx "modal cmavo, list of irregular derivation"&gt;</w:t>
      </w:r>
      <w:r>
        <w:rPr>
          <w:rStyle w:val="indexentry"/>
        </w:rPr>
        <w:fldChar w:fldCharType="begin"/>
      </w:r>
      <w:r>
        <w:instrText>xe "</w:instrText>
      </w:r>
      <w:r>
        <w:rPr>
          <w:rStyle w:val="xeentry"/>
        </w:rPr>
        <w:instrText>modal cmavo: list of irregular derivation</w:instrText>
      </w:r>
      <w:r>
        <w:instrText>"</w:instrText>
      </w:r>
      <w:r>
        <w:rPr>
          <w:rStyle w:val="indexentry"/>
        </w:rPr>
        <w:fldChar w:fldCharType="end"/>
      </w:r>
      <w:r>
        <w:rPr>
          <w:rStyle w:val="htmlcodes"/>
        </w:rPr>
        <w:t>&lt;pre&gt;</w:t>
      </w:r>
      <w:r>
        <w:tab/>
        <w:t>cmavo</w:t>
      </w:r>
      <w:r>
        <w:tab/>
        <w:t>gismu</w:t>
      </w:r>
      <w:r>
        <w:tab/>
        <w:t>comments</w:t>
      </w:r>
    </w:p>
    <w:p w:rsidR="00B72047" w:rsidRDefault="00B72047" w:rsidP="007E67C1">
      <w:pPr>
        <w:pStyle w:val="Listnobullets"/>
        <w:numPr>
          <w:ilvl w:val="0"/>
          <w:numId w:val="0"/>
        </w:numPr>
        <w:ind w:left="864" w:hanging="504"/>
      </w:pPr>
      <w:r>
        <w:tab/>
      </w:r>
      <w:r>
        <w:tab/>
        <w:t>Monosyllables of the form CVV:</w:t>
      </w:r>
    </w:p>
    <w:p w:rsidR="00B72047" w:rsidRDefault="00B72047">
      <w:pPr>
        <w:pStyle w:val="examplewtabspre"/>
        <w:spacing w:before="80"/>
      </w:pPr>
      <w:r>
        <w:tab/>
        <w:t>bai</w:t>
      </w:r>
      <w:r>
        <w:tab/>
        <w:t>bapli</w:t>
      </w:r>
    </w:p>
    <w:p w:rsidR="00B72047" w:rsidRDefault="00B72047">
      <w:pPr>
        <w:pStyle w:val="exampwidetabs"/>
      </w:pPr>
      <w:r>
        <w:tab/>
        <w:t>bau</w:t>
      </w:r>
      <w:r>
        <w:tab/>
        <w:t>bangu</w:t>
      </w:r>
    </w:p>
    <w:p w:rsidR="00B72047" w:rsidRDefault="00B72047">
      <w:pPr>
        <w:pStyle w:val="exampwidetabs"/>
      </w:pPr>
      <w:r>
        <w:tab/>
        <w:t>cau</w:t>
      </w:r>
      <w:r>
        <w:tab/>
        <w:t>claxu</w:t>
      </w:r>
    </w:p>
    <w:p w:rsidR="00B72047" w:rsidRDefault="00B72047">
      <w:pPr>
        <w:pStyle w:val="exampwidetabs"/>
      </w:pPr>
      <w:r>
        <w:tab/>
        <w:t>fau</w:t>
      </w:r>
      <w:r>
        <w:tab/>
        <w:t>fasnu</w:t>
      </w:r>
    </w:p>
    <w:p w:rsidR="00B72047" w:rsidRDefault="00B72047">
      <w:pPr>
        <w:pStyle w:val="exampwidetabs"/>
      </w:pPr>
      <w:r>
        <w:tab/>
        <w:t>gau</w:t>
      </w:r>
      <w:r>
        <w:tab/>
        <w:t>gasnu</w:t>
      </w:r>
    </w:p>
    <w:p w:rsidR="00B72047" w:rsidRDefault="00B72047">
      <w:pPr>
        <w:pStyle w:val="exampwidetabs"/>
      </w:pPr>
      <w:r>
        <w:tab/>
        <w:t>kai</w:t>
      </w:r>
      <w:r>
        <w:tab/>
        <w:t>ckaji</w:t>
      </w:r>
      <w:r>
        <w:tab/>
        <w:t>uses 2nd consonant of gismu</w:t>
      </w:r>
    </w:p>
    <w:p w:rsidR="00B72047" w:rsidRDefault="00B72047">
      <w:pPr>
        <w:pStyle w:val="exampwidetabs"/>
      </w:pPr>
      <w:r>
        <w:tab/>
        <w:t>mau</w:t>
      </w:r>
      <w:r>
        <w:tab/>
        <w:t>zmadu</w:t>
      </w:r>
      <w:r>
        <w:tab/>
        <w:t>uses 2nd consonant of gismu</w:t>
      </w:r>
    </w:p>
    <w:p w:rsidR="00B72047" w:rsidRDefault="00B72047">
      <w:pPr>
        <w:pStyle w:val="exampwidetabs"/>
      </w:pPr>
      <w:r>
        <w:tab/>
        <w:t>koi</w:t>
      </w:r>
      <w:r>
        <w:tab/>
        <w:t>korbi</w:t>
      </w:r>
    </w:p>
    <w:p w:rsidR="00B72047" w:rsidRDefault="00B72047">
      <w:pPr>
        <w:pStyle w:val="exampwidetabs"/>
      </w:pPr>
      <w:r>
        <w:tab/>
        <w:t>rai</w:t>
      </w:r>
      <w:r>
        <w:tab/>
        <w:t>traji</w:t>
      </w:r>
      <w:r>
        <w:tab/>
        <w:t>uses 2nd consonant of gismu</w:t>
      </w:r>
    </w:p>
    <w:p w:rsidR="00B72047" w:rsidRDefault="00B72047">
      <w:pPr>
        <w:pStyle w:val="exampwidetabs"/>
      </w:pPr>
      <w:r>
        <w:tab/>
        <w:t>sau</w:t>
      </w:r>
      <w:r>
        <w:tab/>
        <w:t>sarcu</w:t>
      </w:r>
    </w:p>
    <w:p w:rsidR="00B72047" w:rsidRDefault="00B72047">
      <w:pPr>
        <w:pStyle w:val="exampwidetabs"/>
      </w:pPr>
      <w:r>
        <w:tab/>
        <w:t>tai</w:t>
      </w:r>
      <w:r>
        <w:tab/>
        <w:t>tamsmi</w:t>
      </w:r>
      <w:r>
        <w:tab/>
        <w:t>based on lujvo, not gismu</w:t>
      </w:r>
    </w:p>
    <w:p w:rsidR="00B72047" w:rsidRDefault="00B72047">
      <w:pPr>
        <w:pStyle w:val="exampwidetabs"/>
      </w:pPr>
      <w:r>
        <w:tab/>
        <w:t>zau</w:t>
      </w:r>
      <w:r>
        <w:tab/>
        <w:t>zanru</w:t>
      </w:r>
    </w:p>
    <w:p w:rsidR="00B72047" w:rsidRDefault="00B72047" w:rsidP="007E67C1">
      <w:pPr>
        <w:pStyle w:val="Listnobullets"/>
        <w:numPr>
          <w:ilvl w:val="0"/>
          <w:numId w:val="0"/>
        </w:numPr>
        <w:ind w:left="864" w:hanging="504"/>
      </w:pPr>
      <w:r>
        <w:tab/>
      </w:r>
      <w:r>
        <w:tab/>
        <w:t>Second consonant of the gismu as the C:</w:t>
      </w:r>
    </w:p>
    <w:p w:rsidR="00B72047" w:rsidRDefault="00B72047" w:rsidP="007E67C1">
      <w:pPr>
        <w:pStyle w:val="Listnobullcontinued"/>
        <w:numPr>
          <w:ilvl w:val="0"/>
          <w:numId w:val="0"/>
        </w:numPr>
        <w:ind w:left="864" w:hanging="504"/>
      </w:pPr>
      <w:r>
        <w:tab/>
      </w:r>
      <w:r>
        <w:tab/>
      </w:r>
      <w:r>
        <w:tab/>
        <w:t>(the gismu is always of the form CCVCV)</w:t>
      </w:r>
    </w:p>
    <w:p w:rsidR="00B72047" w:rsidRDefault="00B72047">
      <w:pPr>
        <w:pStyle w:val="examplewtabspre"/>
        <w:spacing w:before="80"/>
      </w:pPr>
      <w:r>
        <w:tab/>
        <w:t>ga'a</w:t>
      </w:r>
      <w:r>
        <w:tab/>
        <w:t>zgana</w:t>
      </w:r>
    </w:p>
    <w:p w:rsidR="00B72047" w:rsidRDefault="00B72047">
      <w:pPr>
        <w:pStyle w:val="exampwidetabs"/>
      </w:pPr>
      <w:r>
        <w:tab/>
        <w:t>kai</w:t>
      </w:r>
      <w:r>
        <w:tab/>
        <w:t>ckaji</w:t>
      </w:r>
      <w:r>
        <w:tab/>
        <w:t>has CVV form (monosyllable)</w:t>
      </w:r>
    </w:p>
    <w:p w:rsidR="00B72047" w:rsidRDefault="00B72047">
      <w:pPr>
        <w:pStyle w:val="exampwidetabs"/>
      </w:pPr>
      <w:r>
        <w:tab/>
        <w:t>ki'i</w:t>
      </w:r>
      <w:r>
        <w:tab/>
        <w:t>ckini</w:t>
      </w:r>
    </w:p>
    <w:p w:rsidR="00B72047" w:rsidRDefault="00B72047">
      <w:pPr>
        <w:pStyle w:val="exampwidetabs"/>
      </w:pPr>
      <w:r>
        <w:tab/>
        <w:t>la'u</w:t>
      </w:r>
      <w:r>
        <w:tab/>
        <w:t>klani</w:t>
      </w:r>
      <w:r>
        <w:tab/>
        <w:t>has irregular 2nd V</w:t>
      </w:r>
    </w:p>
    <w:p w:rsidR="00B72047" w:rsidRDefault="00B72047">
      <w:pPr>
        <w:pStyle w:val="exampwidetabs"/>
      </w:pPr>
      <w:r>
        <w:tab/>
        <w:t>le'a</w:t>
      </w:r>
      <w:r>
        <w:tab/>
        <w:t>klesi</w:t>
      </w:r>
      <w:r>
        <w:tab/>
        <w:t>has irregular 2nd V</w:t>
      </w:r>
    </w:p>
    <w:p w:rsidR="00B72047" w:rsidRDefault="00B72047">
      <w:pPr>
        <w:pStyle w:val="exampwidetabs"/>
      </w:pPr>
      <w:r>
        <w:tab/>
        <w:t>mau</w:t>
      </w:r>
      <w:r>
        <w:tab/>
        <w:t>zmadu</w:t>
      </w:r>
      <w:r>
        <w:tab/>
        <w:t>has CVV form (monosyllable)</w:t>
      </w:r>
    </w:p>
    <w:p w:rsidR="00B72047" w:rsidRDefault="00B72047">
      <w:pPr>
        <w:pStyle w:val="exampwidetabs"/>
      </w:pPr>
      <w:r>
        <w:tab/>
        <w:t>me'e</w:t>
      </w:r>
      <w:r>
        <w:tab/>
        <w:t>cmene</w:t>
      </w:r>
    </w:p>
    <w:p w:rsidR="00B72047" w:rsidRDefault="00B72047">
      <w:pPr>
        <w:pStyle w:val="exampwidetabs"/>
      </w:pPr>
      <w:r>
        <w:tab/>
        <w:t>ra'a</w:t>
      </w:r>
      <w:r>
        <w:tab/>
        <w:t>srana</w:t>
      </w:r>
    </w:p>
    <w:p w:rsidR="00B72047" w:rsidRDefault="00B72047">
      <w:pPr>
        <w:pStyle w:val="exampwidetabs"/>
      </w:pPr>
      <w:r>
        <w:tab/>
        <w:t>ra'i</w:t>
      </w:r>
      <w:r>
        <w:tab/>
        <w:t>krasi</w:t>
      </w:r>
    </w:p>
    <w:p w:rsidR="00B72047" w:rsidRDefault="00B72047">
      <w:pPr>
        <w:pStyle w:val="exampwidetabs"/>
      </w:pPr>
      <w:r>
        <w:tab/>
        <w:t>rai</w:t>
      </w:r>
      <w:r>
        <w:tab/>
        <w:t>traji</w:t>
      </w:r>
      <w:r>
        <w:tab/>
        <w:t>has CVV form (monosyllable)</w:t>
      </w:r>
    </w:p>
    <w:p w:rsidR="00B72047" w:rsidRDefault="00B72047">
      <w:pPr>
        <w:pStyle w:val="exampwidetabs"/>
      </w:pPr>
      <w:r>
        <w:tab/>
        <w:t>ti'i</w:t>
      </w:r>
      <w:r>
        <w:tab/>
        <w:t>stidi</w:t>
      </w:r>
    </w:p>
    <w:p w:rsidR="00B72047" w:rsidRDefault="00B72047">
      <w:pPr>
        <w:pStyle w:val="exampwidetabs"/>
      </w:pPr>
      <w:r>
        <w:tab/>
        <w:t>tu'i</w:t>
      </w:r>
      <w:r>
        <w:tab/>
        <w:t>stuzi</w:t>
      </w:r>
    </w:p>
    <w:p w:rsidR="00B72047" w:rsidRDefault="00B72047" w:rsidP="007E67C1">
      <w:pPr>
        <w:pStyle w:val="Listnobullets"/>
        <w:numPr>
          <w:ilvl w:val="0"/>
          <w:numId w:val="0"/>
        </w:numPr>
        <w:ind w:left="864" w:hanging="504"/>
      </w:pPr>
      <w:r>
        <w:tab/>
      </w:r>
      <w:r>
        <w:tab/>
        <w:t>Irregular 2nd V:</w:t>
      </w:r>
    </w:p>
    <w:p w:rsidR="00B72047" w:rsidRDefault="00B72047">
      <w:pPr>
        <w:pStyle w:val="examplewtabspre"/>
        <w:spacing w:before="80"/>
      </w:pPr>
      <w:r>
        <w:tab/>
        <w:t>fi'e</w:t>
      </w:r>
      <w:r>
        <w:tab/>
        <w:t>finti</w:t>
      </w:r>
    </w:p>
    <w:p w:rsidR="00B72047" w:rsidRDefault="00B72047">
      <w:pPr>
        <w:pStyle w:val="exampwidetabs"/>
      </w:pPr>
      <w:r>
        <w:tab/>
        <w:t>la'u</w:t>
      </w:r>
      <w:r>
        <w:tab/>
        <w:t>klani</w:t>
      </w:r>
      <w:r>
        <w:tab/>
        <w:t>uses 2nd consonant of gismu</w:t>
      </w:r>
    </w:p>
    <w:p w:rsidR="00B72047" w:rsidRDefault="00B72047">
      <w:pPr>
        <w:pStyle w:val="exampwidetabs"/>
      </w:pPr>
      <w:r>
        <w:tab/>
        <w:t>le'a</w:t>
      </w:r>
      <w:r>
        <w:tab/>
        <w:t>klesi</w:t>
      </w:r>
      <w:r>
        <w:tab/>
        <w:t>uses 2nd consonant of gismu</w:t>
      </w:r>
    </w:p>
    <w:p w:rsidR="00B72047" w:rsidRDefault="00B72047">
      <w:pPr>
        <w:pStyle w:val="exampwidetabs"/>
      </w:pPr>
      <w:r>
        <w:tab/>
        <w:t>ma'e</w:t>
      </w:r>
      <w:r>
        <w:tab/>
        <w:t>marji</w:t>
      </w:r>
    </w:p>
    <w:p w:rsidR="00B72047" w:rsidRDefault="00B72047">
      <w:pPr>
        <w:pStyle w:val="exampwidetabs"/>
      </w:pPr>
      <w:r>
        <w:tab/>
        <w:t>mu'u</w:t>
      </w:r>
      <w:r>
        <w:tab/>
        <w:t>mupli</w:t>
      </w:r>
    </w:p>
    <w:p w:rsidR="00B72047" w:rsidRDefault="00B72047">
      <w:pPr>
        <w:pStyle w:val="exampwidetabs"/>
      </w:pPr>
      <w:r>
        <w:tab/>
        <w:t>ti'u</w:t>
      </w:r>
      <w:r>
        <w:tab/>
        <w:t>tcika</w:t>
      </w:r>
    </w:p>
    <w:p w:rsidR="00B72047" w:rsidRDefault="00B72047">
      <w:pPr>
        <w:pStyle w:val="exampwidetabs"/>
      </w:pPr>
      <w:r>
        <w:tab/>
        <w:t>va'o</w:t>
      </w:r>
      <w:r>
        <w:tab/>
        <w:t>vanbi</w:t>
      </w:r>
    </w:p>
    <w:p w:rsidR="00B72047" w:rsidRDefault="00B72047" w:rsidP="007E67C1">
      <w:pPr>
        <w:pStyle w:val="Listnobullets"/>
        <w:numPr>
          <w:ilvl w:val="0"/>
          <w:numId w:val="0"/>
        </w:numPr>
        <w:ind w:left="864" w:hanging="504"/>
      </w:pPr>
      <w:r>
        <w:tab/>
      </w:r>
      <w:r>
        <w:tab/>
        <w:t>Special cases:</w:t>
      </w:r>
    </w:p>
    <w:p w:rsidR="00B72047" w:rsidRDefault="00B72047">
      <w:pPr>
        <w:pStyle w:val="examplewtabspre"/>
        <w:spacing w:before="80"/>
      </w:pPr>
      <w:r>
        <w:tab/>
        <w:t>ri'i</w:t>
      </w:r>
      <w:r>
        <w:tab/>
        <w:t>lifri</w:t>
      </w:r>
      <w:r>
        <w:tab/>
        <w:t>uses 3rd consonant of gismu</w:t>
      </w:r>
    </w:p>
    <w:p w:rsidR="00B72047" w:rsidRDefault="00B72047">
      <w:pPr>
        <w:pStyle w:val="exampwidetabs"/>
      </w:pPr>
      <w:r>
        <w:tab/>
        <w:t>tai</w:t>
      </w:r>
      <w:r>
        <w:tab/>
        <w:t>tamsmi</w:t>
      </w:r>
      <w:r>
        <w:tab/>
        <w:t>based on lujvo, not gismu</w:t>
      </w:r>
    </w:p>
    <w:p w:rsidR="00B72047" w:rsidRDefault="00B72047">
      <w:pPr>
        <w:pStyle w:val="exampwidetabs"/>
      </w:pPr>
      <w:r>
        <w:tab/>
        <w:t>va'u</w:t>
      </w:r>
      <w:r>
        <w:tab/>
        <w:t>xamgu</w:t>
      </w:r>
      <w:r>
        <w:tab/>
        <w:t>CV'V cmavo can't begin with “x”</w:t>
      </w:r>
    </w:p>
    <w:p w:rsidR="00B72047" w:rsidRDefault="00B72047">
      <w:pPr>
        <w:pStyle w:val="Heading3"/>
        <w:spacing w:before="0"/>
        <w:rPr>
          <w:rStyle w:val="Heading3Text"/>
        </w:rPr>
      </w:pPr>
      <w:r>
        <w:rPr>
          <w:rStyle w:val="htmlcodes"/>
          <w:vanish w:val="0"/>
        </w:rPr>
        <w:br w:type="page"/>
      </w:r>
      <w:r>
        <w:rPr>
          <w:rStyle w:val="htmlcodes"/>
        </w:rPr>
        <w:t>&lt;/pre&gt;&lt;a name=s17&gt;&lt;h3&gt;</w:t>
      </w:r>
      <w:bookmarkStart w:id="326" w:name="_Toc398970572"/>
      <w:r>
        <w:rPr>
          <w:rStyle w:val="Heading3Text"/>
        </w:rPr>
        <w:t>Complete table of BAI cmavo with rough English equivalents</w:t>
      </w:r>
      <w:bookmarkEnd w:id="32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"modal cmavo, table with English equivalents"&gt;</w:t>
      </w:r>
      <w:r>
        <w:rPr>
          <w:rStyle w:val="indexentry"/>
        </w:rPr>
        <w:fldChar w:fldCharType="begin"/>
      </w:r>
      <w:r>
        <w:instrText>xe "</w:instrText>
      </w:r>
      <w:r>
        <w:rPr>
          <w:rStyle w:val="xeentry"/>
        </w:rPr>
        <w:instrText>modal cmavo: table with English equivalents</w:instrText>
      </w:r>
      <w:r>
        <w:instrText>"</w:instrText>
      </w:r>
      <w:r>
        <w:rPr>
          <w:rStyle w:val="indexentry"/>
        </w:rPr>
        <w:fldChar w:fldCharType="end"/>
      </w:r>
      <w:r>
        <w:rPr>
          <w:rStyle w:val="indexentry"/>
        </w:rPr>
        <w:t>&lt;cx "modal cmavo table, format of"&gt;</w:t>
      </w:r>
      <w:r>
        <w:rPr>
          <w:rStyle w:val="indexentry"/>
        </w:rPr>
        <w:fldChar w:fldCharType="begin"/>
      </w:r>
      <w:r>
        <w:instrText>xe "</w:instrText>
      </w:r>
      <w:r>
        <w:rPr>
          <w:rStyle w:val="xeentry"/>
        </w:rPr>
        <w:instrText>modal cmavo table: format of</w:instrText>
      </w:r>
      <w:r>
        <w:instrText>"</w:instrText>
      </w:r>
      <w:r>
        <w:rPr>
          <w:rStyle w:val="indexentry"/>
        </w:rPr>
        <w:fldChar w:fldCharType="end"/>
      </w:r>
      <w:r>
        <w:t>The following table shows all the cmavo belonging to selma'o BAI, and</w:t>
      </w:r>
      <w:r>
        <w:rPr>
          <w:rStyle w:val="deletedparamark"/>
        </w:rPr>
        <w:t xml:space="preserve"> </w:t>
      </w:r>
      <w:r>
        <w:t>has five co</w:t>
      </w:r>
      <w:r>
        <w:t>l</w:t>
      </w:r>
      <w:r>
        <w:softHyphen/>
        <w:t>umns. The first column is the cmavo itself; the second</w:t>
      </w:r>
      <w:r>
        <w:rPr>
          <w:rStyle w:val="deletedparamark"/>
        </w:rPr>
        <w:t xml:space="preserve"> </w:t>
      </w:r>
      <w:r>
        <w:t>column is the gismu linked to it. The third column gives an English</w:t>
      </w:r>
      <w:r>
        <w:rPr>
          <w:rStyle w:val="deletedparamark"/>
        </w:rPr>
        <w:t xml:space="preserve"> </w:t>
      </w:r>
      <w:r>
        <w:t>phrase which indicates the meaning of the cmavo; and the fourth column</w:t>
      </w:r>
      <w:r>
        <w:rPr>
          <w:rStyle w:val="deletedparamark"/>
        </w:rPr>
        <w:t xml:space="preserve"> </w:t>
      </w:r>
      <w:r>
        <w:t>indicates its meaning when preceded by “se”.</w:t>
      </w:r>
    </w:p>
    <w:p w:rsidR="00B72047" w:rsidRDefault="00B72047">
      <w:pPr>
        <w:pStyle w:val="normalparagraph"/>
        <w:rPr>
          <w:rStyle w:val="htmlparacode"/>
        </w:rPr>
      </w:pPr>
      <w:r>
        <w:rPr>
          <w:rStyle w:val="htmlparacode"/>
        </w:rPr>
        <w:t>&lt;p&gt;</w:t>
      </w:r>
    </w:p>
    <w:p w:rsidR="00B72047" w:rsidRDefault="00B72047">
      <w:pPr>
        <w:pStyle w:val="normalparagraph"/>
      </w:pPr>
      <w:r>
        <w:t>For those cmavo with meaningful “te”, “ve”, and even “xe” conversions</w:t>
      </w:r>
      <w:r>
        <w:rPr>
          <w:rStyle w:val="deletedparamark"/>
        </w:rPr>
        <w:t xml:space="preserve"> </w:t>
      </w:r>
      <w:r>
        <w:t>(depending on the number of places of the underlying gismu), the meanings</w:t>
      </w:r>
      <w:r>
        <w:rPr>
          <w:rStyle w:val="deletedparamark"/>
        </w:rPr>
        <w:t xml:space="preserve"> </w:t>
      </w:r>
      <w:r>
        <w:t>of these are shown on one or two extra rows following the primary row</w:t>
      </w:r>
      <w:r>
        <w:rPr>
          <w:rStyle w:val="deletedparamark"/>
        </w:rPr>
        <w:t xml:space="preserve"> </w:t>
      </w:r>
      <w:r>
        <w:t>for that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"modal cmavo, basis in gismu place structure"&gt;</w:t>
      </w:r>
      <w:r>
        <w:rPr>
          <w:rStyle w:val="indexentry"/>
        </w:rPr>
        <w:fldChar w:fldCharType="begin"/>
      </w:r>
      <w:r>
        <w:instrText>xe "</w:instrText>
      </w:r>
      <w:r>
        <w:rPr>
          <w:rStyle w:val="xeentry"/>
        </w:rPr>
        <w:instrText>modal cmavo: basis in gismu place structure</w:instrText>
      </w:r>
      <w:r>
        <w:instrText>"</w:instrText>
      </w:r>
      <w:r>
        <w:rPr>
          <w:rStyle w:val="indexentry"/>
        </w:rPr>
        <w:fldChar w:fldCharType="end"/>
      </w:r>
      <w:r>
        <w:t>It should be emphasized that the place structures of the gismu control the</w:t>
      </w:r>
      <w:r>
        <w:rPr>
          <w:rStyle w:val="deletedparamark"/>
        </w:rPr>
        <w:t xml:space="preserve"> </w:t>
      </w:r>
      <w:r>
        <w:t>meanings of the BAI cmavo. The English phrases shown here are only</w:t>
      </w:r>
      <w:r>
        <w:rPr>
          <w:rStyle w:val="deletedparamark"/>
        </w:rPr>
        <w:t xml:space="preserve"> </w:t>
      </w:r>
      <w:r>
        <w:t>suggestive, and are often too broad or too nar</w:t>
      </w:r>
      <w:r>
        <w:softHyphen/>
        <w:t>row to correctly specify what</w:t>
      </w:r>
      <w:r>
        <w:rPr>
          <w:rStyle w:val="deletedparamark"/>
        </w:rPr>
        <w:t xml:space="preserve"> </w:t>
      </w:r>
      <w:r>
        <w:t>the acceptable range of uses for the modal tag are.</w:t>
      </w:r>
    </w:p>
    <w:p w:rsidR="00B72047" w:rsidRDefault="00B72047">
      <w:pPr>
        <w:pStyle w:val="examplegrouptabs"/>
        <w:rPr>
          <w:rStyle w:val="htmlparacode"/>
        </w:rPr>
      </w:pPr>
      <w:r>
        <w:rPr>
          <w:rStyle w:val="htmlparacode"/>
        </w:rPr>
        <w:t>&lt;p&gt;</w:t>
      </w:r>
    </w:p>
    <w:p w:rsidR="00B72047" w:rsidRDefault="00B72047">
      <w:pPr>
        <w:pStyle w:val="examplegtabspre"/>
        <w:spacing w:before="0"/>
      </w:pPr>
      <w:r>
        <w:rPr>
          <w:rStyle w:val="htmlcodes"/>
        </w:rPr>
        <w:t>&lt;pre&gt;</w:t>
      </w:r>
      <w:r>
        <w:t xml:space="preserve"> </w:t>
      </w:r>
      <w:r>
        <w:tab/>
        <w:t>ba'i</w:t>
      </w:r>
      <w:r>
        <w:tab/>
        <w:t>basti</w:t>
      </w:r>
      <w:r>
        <w:tab/>
        <w:t>replaced by</w:t>
      </w:r>
      <w:r>
        <w:tab/>
        <w:t>instead of</w:t>
      </w:r>
    </w:p>
    <w:p w:rsidR="00B72047" w:rsidRDefault="00B72047">
      <w:pPr>
        <w:pStyle w:val="examplegrouptabs"/>
      </w:pPr>
      <w:r>
        <w:tab/>
        <w:t>bai</w:t>
      </w:r>
      <w:r>
        <w:tab/>
        <w:t>bapli</w:t>
      </w:r>
      <w:r>
        <w:tab/>
        <w:t>compelled by</w:t>
      </w:r>
      <w:r>
        <w:tab/>
        <w:t>compelling</w:t>
      </w:r>
    </w:p>
    <w:p w:rsidR="00B72047" w:rsidRDefault="00B72047">
      <w:pPr>
        <w:pStyle w:val="examplegrouptabs"/>
      </w:pPr>
      <w:r>
        <w:tab/>
        <w:t>bau</w:t>
      </w:r>
      <w:r>
        <w:tab/>
        <w:t>bangu</w:t>
      </w:r>
      <w:r>
        <w:tab/>
        <w:t>in language</w:t>
      </w:r>
      <w:r>
        <w:tab/>
        <w:t>in language of</w:t>
      </w:r>
    </w:p>
    <w:p w:rsidR="00B72047" w:rsidRDefault="00B72047">
      <w:pPr>
        <w:pStyle w:val="examplegrouptabs"/>
        <w:spacing w:line="220" w:lineRule="exact"/>
      </w:pPr>
      <w:r>
        <w:tab/>
        <w:t>be'i</w:t>
      </w:r>
      <w:r>
        <w:tab/>
        <w:t>benji</w:t>
      </w:r>
      <w:r>
        <w:tab/>
        <w:t>sent by</w:t>
      </w:r>
      <w:r>
        <w:tab/>
        <w:t>transmitting</w:t>
      </w:r>
    </w:p>
    <w:p w:rsidR="00B72047" w:rsidRDefault="00B72047">
      <w:pPr>
        <w:pStyle w:val="examplegrouptabs"/>
        <w:spacing w:line="220" w:lineRule="exact"/>
      </w:pPr>
      <w:r>
        <w:tab/>
      </w:r>
      <w:r>
        <w:tab/>
      </w:r>
      <w:r>
        <w:tab/>
        <w:t>te=sent to</w:t>
      </w:r>
      <w:r>
        <w:tab/>
        <w:t>ve=with transmit origin</w:t>
      </w:r>
    </w:p>
    <w:p w:rsidR="00B72047" w:rsidRDefault="00B72047">
      <w:pPr>
        <w:pStyle w:val="examplegrouptabs"/>
        <w:spacing w:line="220" w:lineRule="exact"/>
      </w:pPr>
      <w:r>
        <w:tab/>
      </w:r>
      <w:r>
        <w:tab/>
      </w:r>
      <w:r>
        <w:tab/>
        <w:t>xe=transmitted via</w:t>
      </w:r>
    </w:p>
    <w:p w:rsidR="00B72047" w:rsidRDefault="00B72047">
      <w:pPr>
        <w:pStyle w:val="examplegrouptabs"/>
      </w:pPr>
      <w:r>
        <w:tab/>
        <w:t>ca'i</w:t>
      </w:r>
      <w:r>
        <w:tab/>
        <w:t>catni</w:t>
      </w:r>
      <w:r>
        <w:tab/>
        <w:t>by authority of</w:t>
      </w:r>
      <w:r>
        <w:tab/>
        <w:t>with authority over</w:t>
      </w:r>
    </w:p>
    <w:p w:rsidR="00B72047" w:rsidRDefault="00B72047">
      <w:pPr>
        <w:pStyle w:val="examplegrouptabs"/>
      </w:pPr>
      <w:r>
        <w:tab/>
        <w:t>cau</w:t>
      </w:r>
      <w:r>
        <w:tab/>
        <w:t>claxu</w:t>
      </w:r>
      <w:r>
        <w:tab/>
        <w:t>lacked by</w:t>
      </w:r>
      <w:r>
        <w:tab/>
        <w:t>without</w:t>
      </w:r>
    </w:p>
    <w:p w:rsidR="00B72047" w:rsidRDefault="00B72047">
      <w:pPr>
        <w:pStyle w:val="examplegrouptabs"/>
        <w:spacing w:line="220" w:lineRule="exact"/>
      </w:pPr>
      <w:r>
        <w:tab/>
        <w:t>ci'e</w:t>
      </w:r>
      <w:r>
        <w:tab/>
        <w:t>ciste</w:t>
      </w:r>
      <w:r>
        <w:tab/>
        <w:t>in system</w:t>
      </w:r>
      <w:r>
        <w:tab/>
        <w:t>with system function</w:t>
      </w:r>
    </w:p>
    <w:p w:rsidR="00B72047" w:rsidRDefault="00B72047">
      <w:pPr>
        <w:pStyle w:val="examplegrouptabs"/>
        <w:spacing w:line="220" w:lineRule="exact"/>
      </w:pPr>
      <w:r>
        <w:tab/>
      </w:r>
      <w:r>
        <w:tab/>
      </w:r>
      <w:r>
        <w:tab/>
        <w:t>te=of system components</w:t>
      </w:r>
    </w:p>
    <w:p w:rsidR="00B72047" w:rsidRDefault="00B72047">
      <w:pPr>
        <w:pStyle w:val="examplegrouptabs"/>
      </w:pPr>
      <w:r>
        <w:tab/>
        <w:t>ci'o</w:t>
      </w:r>
      <w:r>
        <w:tab/>
        <w:t>cinmo</w:t>
      </w:r>
      <w:r>
        <w:tab/>
        <w:t>felt by</w:t>
      </w:r>
      <w:r>
        <w:tab/>
        <w:t xml:space="preserve"> feeling emotion</w:t>
      </w:r>
    </w:p>
    <w:p w:rsidR="00B72047" w:rsidRDefault="00B72047">
      <w:pPr>
        <w:pStyle w:val="examplegrouptabs"/>
      </w:pPr>
      <w:r>
        <w:tab/>
        <w:t>ci'u</w:t>
      </w:r>
      <w:r>
        <w:tab/>
        <w:t>ckilu</w:t>
      </w:r>
      <w:r>
        <w:tab/>
        <w:t>on the scale</w:t>
      </w:r>
      <w:r>
        <w:tab/>
        <w:t>on scale measuring</w:t>
      </w:r>
    </w:p>
    <w:p w:rsidR="00B72047" w:rsidRDefault="00B72047">
      <w:pPr>
        <w:pStyle w:val="examplegrouptabs"/>
        <w:spacing w:line="220" w:lineRule="exact"/>
      </w:pPr>
      <w:r>
        <w:tab/>
        <w:t>cu'u</w:t>
      </w:r>
      <w:r>
        <w:tab/>
        <w:t>cusku</w:t>
      </w:r>
      <w:r>
        <w:tab/>
        <w:t>as said by</w:t>
      </w:r>
      <w:r>
        <w:tab/>
        <w:t>expressing</w:t>
      </w:r>
    </w:p>
    <w:p w:rsidR="00B72047" w:rsidRDefault="00B72047">
      <w:pPr>
        <w:pStyle w:val="examplegrouptabs"/>
        <w:spacing w:line="220" w:lineRule="exact"/>
      </w:pPr>
      <w:r>
        <w:tab/>
      </w:r>
      <w:r>
        <w:tab/>
      </w:r>
      <w:r>
        <w:tab/>
        <w:t>te=as told to</w:t>
      </w:r>
      <w:r>
        <w:tab/>
        <w:t>ve=expressed in medium</w:t>
      </w:r>
    </w:p>
    <w:p w:rsidR="00B72047" w:rsidRDefault="00B72047">
      <w:pPr>
        <w:pStyle w:val="examplegrouptabs"/>
      </w:pPr>
      <w:r>
        <w:tab/>
        <w:t>de'i</w:t>
      </w:r>
      <w:r>
        <w:tab/>
        <w:t>detri</w:t>
      </w:r>
      <w:r>
        <w:tab/>
        <w:t>dated</w:t>
      </w:r>
      <w:r>
        <w:tab/>
        <w:t>on the same date as</w:t>
      </w:r>
    </w:p>
    <w:p w:rsidR="00B72047" w:rsidRDefault="00B72047">
      <w:pPr>
        <w:pStyle w:val="examplegrouptabs"/>
      </w:pPr>
      <w:r>
        <w:tab/>
        <w:t>di'o</w:t>
      </w:r>
      <w:r>
        <w:tab/>
        <w:t>diklo</w:t>
      </w:r>
      <w:r>
        <w:tab/>
        <w:t xml:space="preserve">at the locus of </w:t>
      </w:r>
      <w:r>
        <w:tab/>
        <w:t>at specific locus</w:t>
      </w:r>
    </w:p>
    <w:p w:rsidR="00B72047" w:rsidRDefault="00B72047">
      <w:pPr>
        <w:pStyle w:val="examplegrouptabs"/>
      </w:pPr>
      <w:r>
        <w:tab/>
        <w:t>do'e</w:t>
      </w:r>
      <w:r>
        <w:tab/>
        <w:t>—</w:t>
      </w:r>
      <w:r>
        <w:tab/>
        <w:t>vaguely related to</w:t>
      </w:r>
    </w:p>
    <w:p w:rsidR="00B72047" w:rsidRDefault="00B72047">
      <w:pPr>
        <w:pStyle w:val="examplegrouptabs"/>
      </w:pPr>
      <w:r>
        <w:tab/>
        <w:t>du'i</w:t>
      </w:r>
      <w:r>
        <w:tab/>
        <w:t>dunli</w:t>
      </w:r>
      <w:r>
        <w:tab/>
        <w:t>as much as</w:t>
      </w:r>
      <w:r>
        <w:tab/>
        <w:t>equal to</w:t>
      </w:r>
    </w:p>
    <w:p w:rsidR="00B72047" w:rsidRDefault="00B72047">
      <w:pPr>
        <w:pStyle w:val="examplegrouptabs"/>
        <w:spacing w:line="220" w:lineRule="exact"/>
      </w:pPr>
      <w:r>
        <w:tab/>
        <w:t>du'o</w:t>
      </w:r>
      <w:r>
        <w:tab/>
        <w:t>djuno</w:t>
      </w:r>
      <w:r>
        <w:tab/>
        <w:t>according to</w:t>
      </w:r>
      <w:r>
        <w:tab/>
        <w:t>knowing facts</w:t>
      </w:r>
    </w:p>
    <w:p w:rsidR="00B72047" w:rsidRDefault="00B72047">
      <w:pPr>
        <w:pStyle w:val="examplegrouptabs"/>
        <w:spacing w:line="220" w:lineRule="exact"/>
      </w:pPr>
      <w:r>
        <w:tab/>
      </w:r>
      <w:r>
        <w:tab/>
      </w:r>
      <w:r>
        <w:tab/>
        <w:t>te=knowing about</w:t>
      </w:r>
    </w:p>
    <w:p w:rsidR="00B72047" w:rsidRDefault="00B72047">
      <w:pPr>
        <w:pStyle w:val="examplegrouptabs"/>
        <w:spacing w:line="220" w:lineRule="exact"/>
      </w:pPr>
      <w:r>
        <w:tab/>
      </w:r>
      <w:r>
        <w:tab/>
      </w:r>
      <w:r>
        <w:tab/>
        <w:t>ve=under epistemology</w:t>
      </w:r>
    </w:p>
    <w:p w:rsidR="00B72047" w:rsidRDefault="00B72047">
      <w:pPr>
        <w:pStyle w:val="examplegrouptabs"/>
      </w:pPr>
      <w:r>
        <w:tab/>
        <w:t>fa'e</w:t>
      </w:r>
      <w:r>
        <w:tab/>
        <w:t>fatne</w:t>
      </w:r>
      <w:r>
        <w:tab/>
        <w:t>reverse of</w:t>
      </w:r>
      <w:r>
        <w:tab/>
        <w:t>in reversal of</w:t>
      </w:r>
    </w:p>
    <w:p w:rsidR="00B72047" w:rsidRDefault="00B72047">
      <w:pPr>
        <w:pStyle w:val="examplegrouptabs"/>
      </w:pPr>
      <w:r>
        <w:tab/>
        <w:t>fau</w:t>
      </w:r>
      <w:r>
        <w:tab/>
        <w:t>fasnu</w:t>
      </w:r>
      <w:r>
        <w:tab/>
        <w:t>in the event of</w:t>
      </w:r>
    </w:p>
    <w:p w:rsidR="00B72047" w:rsidRDefault="00B72047">
      <w:pPr>
        <w:pStyle w:val="examplegrouptabs"/>
        <w:spacing w:line="220" w:lineRule="exact"/>
      </w:pPr>
      <w:r>
        <w:tab/>
        <w:t>fi'e</w:t>
      </w:r>
      <w:r>
        <w:tab/>
        <w:t>finti</w:t>
      </w:r>
      <w:r>
        <w:tab/>
        <w:t>created by</w:t>
      </w:r>
      <w:r>
        <w:tab/>
        <w:t>creating work</w:t>
      </w:r>
    </w:p>
    <w:p w:rsidR="00B72047" w:rsidRDefault="00B72047">
      <w:pPr>
        <w:pStyle w:val="examplegrouptabs"/>
        <w:spacing w:line="220" w:lineRule="exact"/>
      </w:pPr>
      <w:r>
        <w:tab/>
      </w:r>
      <w:r>
        <w:tab/>
      </w:r>
      <w:r>
        <w:tab/>
        <w:t>te=created for purpose</w:t>
      </w:r>
    </w:p>
    <w:p w:rsidR="00B72047" w:rsidRDefault="00B72047">
      <w:pPr>
        <w:pStyle w:val="examplegrouptabs"/>
        <w:spacing w:line="220" w:lineRule="exact"/>
      </w:pPr>
      <w:r>
        <w:tab/>
        <w:t>ga'a</w:t>
      </w:r>
      <w:r>
        <w:tab/>
        <w:t>zgana</w:t>
      </w:r>
      <w:r>
        <w:tab/>
        <w:t>to observer</w:t>
      </w:r>
      <w:r>
        <w:tab/>
        <w:t>observing</w:t>
      </w:r>
    </w:p>
    <w:p w:rsidR="00B72047" w:rsidRDefault="00B72047">
      <w:pPr>
        <w:pStyle w:val="examplegrouptabs"/>
        <w:spacing w:line="220" w:lineRule="exact"/>
      </w:pPr>
      <w:r>
        <w:tab/>
      </w:r>
      <w:r>
        <w:tab/>
      </w:r>
      <w:r>
        <w:tab/>
        <w:t>te=observed by means</w:t>
      </w:r>
    </w:p>
    <w:p w:rsidR="00B72047" w:rsidRDefault="00B72047">
      <w:pPr>
        <w:pStyle w:val="examplegrouptabs"/>
        <w:spacing w:line="220" w:lineRule="exact"/>
      </w:pPr>
      <w:r>
        <w:tab/>
      </w:r>
      <w:r>
        <w:tab/>
      </w:r>
      <w:r>
        <w:tab/>
        <w:t>ve=observed under conditions</w:t>
      </w:r>
    </w:p>
    <w:p w:rsidR="00B72047" w:rsidRDefault="00B72047">
      <w:pPr>
        <w:pStyle w:val="examplegrouptabs"/>
      </w:pPr>
      <w:r>
        <w:tab/>
        <w:t>gau</w:t>
      </w:r>
      <w:r>
        <w:tab/>
        <w:t>gasnu</w:t>
      </w:r>
      <w:r>
        <w:tab/>
        <w:t>with agent</w:t>
      </w:r>
      <w:r>
        <w:tab/>
        <w:t>as agent in doing</w:t>
      </w:r>
    </w:p>
    <w:p w:rsidR="00B72047" w:rsidRDefault="00B72047">
      <w:pPr>
        <w:pStyle w:val="examplegrouptabs"/>
      </w:pPr>
      <w:r>
        <w:tab/>
        <w:t>ja'e</w:t>
      </w:r>
      <w:r>
        <w:tab/>
        <w:t>jalge</w:t>
      </w:r>
      <w:r>
        <w:tab/>
        <w:t>resulting in</w:t>
      </w:r>
      <w:r>
        <w:tab/>
        <w:t>results because of</w:t>
      </w:r>
    </w:p>
    <w:p w:rsidR="00B72047" w:rsidRDefault="00B72047">
      <w:pPr>
        <w:pStyle w:val="examplegrouptabs"/>
      </w:pPr>
      <w:r>
        <w:tab/>
        <w:t>ja'i</w:t>
      </w:r>
      <w:r>
        <w:tab/>
        <w:t>javni</w:t>
      </w:r>
      <w:r>
        <w:tab/>
        <w:t>by rule</w:t>
      </w:r>
      <w:r>
        <w:tab/>
        <w:t>by rule prescribing</w:t>
      </w:r>
    </w:p>
    <w:p w:rsidR="00B72047" w:rsidRDefault="00B72047">
      <w:pPr>
        <w:pStyle w:val="examplegrouptabs"/>
      </w:pPr>
      <w:r>
        <w:tab/>
        <w:t>ji'e</w:t>
      </w:r>
      <w:r>
        <w:tab/>
        <w:t>jimte</w:t>
      </w:r>
      <w:r>
        <w:tab/>
        <w:t>up to limit</w:t>
      </w:r>
      <w:r>
        <w:tab/>
        <w:t>as a limit of</w:t>
      </w:r>
    </w:p>
    <w:p w:rsidR="00B72047" w:rsidRDefault="00B72047">
      <w:pPr>
        <w:pStyle w:val="examplegrouptabs"/>
      </w:pPr>
      <w:r>
        <w:tab/>
        <w:t>ji'o</w:t>
      </w:r>
      <w:r>
        <w:tab/>
        <w:t>jitro</w:t>
      </w:r>
      <w:r>
        <w:tab/>
        <w:t>under direction</w:t>
      </w:r>
      <w:r>
        <w:tab/>
        <w:t>controlling</w:t>
      </w:r>
    </w:p>
    <w:p w:rsidR="00B72047" w:rsidRDefault="00B72047">
      <w:pPr>
        <w:pStyle w:val="examplegrouptabs"/>
      </w:pPr>
      <w:r>
        <w:tab/>
        <w:t>ji'u</w:t>
      </w:r>
      <w:r>
        <w:tab/>
        <w:t>jicmu</w:t>
      </w:r>
      <w:r>
        <w:tab/>
        <w:t>based on</w:t>
      </w:r>
      <w:r>
        <w:tab/>
        <w:t>supporting</w:t>
      </w:r>
    </w:p>
    <w:p w:rsidR="00B72047" w:rsidRDefault="00B72047">
      <w:pPr>
        <w:pStyle w:val="examplegrouptabs"/>
        <w:spacing w:line="220" w:lineRule="exact"/>
      </w:pPr>
      <w:r>
        <w:br w:type="page"/>
      </w:r>
      <w:r>
        <w:tab/>
        <w:t>ka'a</w:t>
      </w:r>
      <w:r>
        <w:tab/>
        <w:t>klama</w:t>
      </w:r>
      <w:r>
        <w:tab/>
        <w:t>gone to by</w:t>
      </w:r>
      <w:r>
        <w:tab/>
        <w:t>with destination</w:t>
      </w:r>
    </w:p>
    <w:p w:rsidR="00B72047" w:rsidRDefault="00B72047">
      <w:pPr>
        <w:pStyle w:val="examplegrouptabs"/>
        <w:spacing w:line="220" w:lineRule="exact"/>
      </w:pPr>
      <w:r>
        <w:tab/>
      </w:r>
      <w:r>
        <w:tab/>
      </w:r>
      <w:r>
        <w:tab/>
        <w:t>te=with origin</w:t>
      </w:r>
      <w:r>
        <w:tab/>
        <w:t>ve=via route</w:t>
      </w:r>
    </w:p>
    <w:p w:rsidR="00B72047" w:rsidRDefault="00B72047">
      <w:pPr>
        <w:pStyle w:val="examplegrouptabs"/>
        <w:spacing w:line="220" w:lineRule="exact"/>
      </w:pPr>
      <w:r>
        <w:tab/>
      </w:r>
      <w:r>
        <w:tab/>
      </w:r>
      <w:r>
        <w:tab/>
        <w:t>xe=by transport mode</w:t>
      </w:r>
    </w:p>
    <w:p w:rsidR="00B72047" w:rsidRDefault="00B72047">
      <w:pPr>
        <w:pStyle w:val="examplegrouptabs"/>
      </w:pPr>
      <w:r>
        <w:tab/>
        <w:t>ka'i</w:t>
      </w:r>
      <w:r>
        <w:tab/>
        <w:t>krati</w:t>
      </w:r>
      <w:r>
        <w:tab/>
        <w:t>represented by</w:t>
      </w:r>
      <w:r>
        <w:tab/>
        <w:t>on behalf of</w:t>
      </w:r>
    </w:p>
    <w:p w:rsidR="00B72047" w:rsidRDefault="00B72047">
      <w:pPr>
        <w:pStyle w:val="examplegrouptabs"/>
      </w:pPr>
      <w:r>
        <w:tab/>
        <w:t>kai</w:t>
      </w:r>
      <w:r>
        <w:tab/>
        <w:t>ckaji</w:t>
      </w:r>
      <w:r>
        <w:tab/>
        <w:t>characterizing</w:t>
      </w:r>
      <w:r>
        <w:tab/>
        <w:t>with property</w:t>
      </w:r>
    </w:p>
    <w:p w:rsidR="00B72047" w:rsidRDefault="00B72047">
      <w:pPr>
        <w:pStyle w:val="examplegrouptabs"/>
        <w:spacing w:line="220" w:lineRule="exact"/>
      </w:pPr>
      <w:r>
        <w:tab/>
        <w:t>ki'i</w:t>
      </w:r>
      <w:r>
        <w:tab/>
        <w:t>ckini</w:t>
      </w:r>
      <w:r>
        <w:tab/>
        <w:t>as relation of</w:t>
      </w:r>
      <w:r>
        <w:tab/>
        <w:t>related to</w:t>
      </w:r>
    </w:p>
    <w:p w:rsidR="00B72047" w:rsidRDefault="00B72047">
      <w:pPr>
        <w:pStyle w:val="examplegrouptabs"/>
        <w:spacing w:line="220" w:lineRule="exact"/>
      </w:pPr>
      <w:r>
        <w:tab/>
      </w:r>
      <w:r>
        <w:tab/>
      </w:r>
      <w:r>
        <w:tab/>
        <w:t>te=with relation</w:t>
      </w:r>
    </w:p>
    <w:p w:rsidR="00B72047" w:rsidRDefault="00B72047">
      <w:pPr>
        <w:pStyle w:val="examplegrouptabs"/>
      </w:pPr>
      <w:r>
        <w:tab/>
        <w:t>ki'u</w:t>
      </w:r>
      <w:r>
        <w:tab/>
        <w:t>krinu</w:t>
      </w:r>
      <w:r>
        <w:tab/>
        <w:t>justified by</w:t>
      </w:r>
      <w:r>
        <w:tab/>
        <w:t>with justified result</w:t>
      </w:r>
    </w:p>
    <w:p w:rsidR="00B72047" w:rsidRDefault="00B72047">
      <w:pPr>
        <w:pStyle w:val="examplegrouptabs"/>
        <w:spacing w:line="220" w:lineRule="exact"/>
      </w:pPr>
      <w:r>
        <w:tab/>
        <w:t>koi</w:t>
      </w:r>
      <w:r>
        <w:tab/>
        <w:t>korbi</w:t>
      </w:r>
      <w:r>
        <w:tab/>
        <w:t>bounded by</w:t>
      </w:r>
      <w:r>
        <w:tab/>
        <w:t>as boundary of</w:t>
      </w:r>
    </w:p>
    <w:p w:rsidR="00B72047" w:rsidRDefault="00B72047">
      <w:pPr>
        <w:pStyle w:val="examplegrouptabs"/>
        <w:spacing w:line="220" w:lineRule="exact"/>
      </w:pPr>
      <w:r>
        <w:tab/>
      </w:r>
      <w:r>
        <w:tab/>
      </w:r>
      <w:r>
        <w:tab/>
        <w:t>te=bordering</w:t>
      </w:r>
    </w:p>
    <w:p w:rsidR="00B72047" w:rsidRDefault="00B72047">
      <w:pPr>
        <w:pStyle w:val="examplegrouptabs"/>
      </w:pPr>
      <w:r>
        <w:tab/>
        <w:t>ku'u</w:t>
      </w:r>
      <w:r>
        <w:tab/>
        <w:t>kulnu</w:t>
      </w:r>
      <w:r>
        <w:tab/>
        <w:t>in culture</w:t>
      </w:r>
      <w:r>
        <w:tab/>
        <w:t>in culture of</w:t>
      </w:r>
    </w:p>
    <w:p w:rsidR="00B72047" w:rsidRDefault="00B72047">
      <w:pPr>
        <w:pStyle w:val="examplegrouptabs"/>
      </w:pPr>
      <w:r>
        <w:tab/>
        <w:t>la'u</w:t>
      </w:r>
      <w:r>
        <w:tab/>
        <w:t>klani</w:t>
      </w:r>
      <w:r>
        <w:tab/>
        <w:t>as quantity of</w:t>
      </w:r>
      <w:r>
        <w:tab/>
        <w:t>in quantity</w:t>
      </w:r>
    </w:p>
    <w:p w:rsidR="00B72047" w:rsidRDefault="00B72047">
      <w:pPr>
        <w:pStyle w:val="examplegrouptabs"/>
        <w:spacing w:line="220" w:lineRule="exact"/>
      </w:pPr>
      <w:r>
        <w:tab/>
        <w:t>le'a</w:t>
      </w:r>
      <w:r>
        <w:tab/>
        <w:t>klesi</w:t>
      </w:r>
      <w:r>
        <w:tab/>
        <w:t>in category</w:t>
      </w:r>
      <w:r>
        <w:tab/>
        <w:t>as category of</w:t>
      </w:r>
    </w:p>
    <w:p w:rsidR="00B72047" w:rsidRDefault="00B72047">
      <w:pPr>
        <w:pStyle w:val="examplegrouptabs"/>
        <w:spacing w:line="220" w:lineRule="exact"/>
      </w:pPr>
      <w:r>
        <w:tab/>
      </w:r>
      <w:r>
        <w:tab/>
      </w:r>
      <w:r>
        <w:tab/>
        <w:t>te=defined by quality</w:t>
      </w:r>
    </w:p>
    <w:p w:rsidR="00B72047" w:rsidRDefault="00B72047">
      <w:pPr>
        <w:pStyle w:val="examplegrouptabs"/>
      </w:pPr>
      <w:r>
        <w:tab/>
        <w:t>li'e</w:t>
      </w:r>
      <w:r>
        <w:tab/>
        <w:t>lidne</w:t>
      </w:r>
      <w:r>
        <w:tab/>
        <w:t>led by</w:t>
      </w:r>
      <w:r>
        <w:tab/>
        <w:t xml:space="preserve"> leading</w:t>
      </w:r>
    </w:p>
    <w:p w:rsidR="00B72047" w:rsidRDefault="00B72047">
      <w:pPr>
        <w:pStyle w:val="examplegrouptabs"/>
        <w:keepNext/>
        <w:spacing w:line="220" w:lineRule="exact"/>
      </w:pPr>
      <w:r>
        <w:tab/>
        <w:t>ma'e</w:t>
      </w:r>
      <w:r>
        <w:tab/>
        <w:t>marji</w:t>
      </w:r>
      <w:r>
        <w:tab/>
        <w:t>of material</w:t>
      </w:r>
      <w:r>
        <w:tab/>
        <w:t>made from material</w:t>
      </w:r>
    </w:p>
    <w:p w:rsidR="00B72047" w:rsidRDefault="00B72047">
      <w:pPr>
        <w:pStyle w:val="examplegrouptabs"/>
        <w:spacing w:line="220" w:lineRule="exact"/>
      </w:pPr>
      <w:r>
        <w:tab/>
      </w:r>
      <w:r>
        <w:tab/>
      </w:r>
      <w:r>
        <w:tab/>
        <w:t>te=in material form of</w:t>
      </w:r>
    </w:p>
    <w:p w:rsidR="00B72047" w:rsidRDefault="00B72047">
      <w:pPr>
        <w:pStyle w:val="examplegrouptabs"/>
      </w:pPr>
      <w:r>
        <w:tab/>
        <w:t>ma'i</w:t>
      </w:r>
      <w:r>
        <w:tab/>
        <w:t>manri</w:t>
      </w:r>
      <w:r>
        <w:tab/>
        <w:t>in ref. frame</w:t>
      </w:r>
      <w:r>
        <w:tab/>
        <w:t>as a standard for</w:t>
      </w:r>
    </w:p>
    <w:p w:rsidR="00B72047" w:rsidRDefault="00B72047">
      <w:pPr>
        <w:pStyle w:val="examplegrouptabs"/>
      </w:pPr>
      <w:r>
        <w:tab/>
        <w:t>mau</w:t>
      </w:r>
      <w:r>
        <w:tab/>
        <w:t>zmadu</w:t>
      </w:r>
      <w:r>
        <w:tab/>
        <w:t>exceeded by</w:t>
      </w:r>
      <w:r>
        <w:tab/>
        <w:t>more than</w:t>
      </w:r>
    </w:p>
    <w:p w:rsidR="00B72047" w:rsidRDefault="00B72047">
      <w:pPr>
        <w:pStyle w:val="examplegrouptabs"/>
      </w:pPr>
      <w:r>
        <w:tab/>
        <w:t>me'a</w:t>
      </w:r>
      <w:r>
        <w:tab/>
        <w:t>mleca</w:t>
      </w:r>
      <w:r>
        <w:tab/>
        <w:t>undercut by</w:t>
      </w:r>
      <w:r>
        <w:tab/>
        <w:t>less than</w:t>
      </w:r>
    </w:p>
    <w:p w:rsidR="00B72047" w:rsidRDefault="00B72047">
      <w:pPr>
        <w:pStyle w:val="examplegrouptabs"/>
        <w:spacing w:line="220" w:lineRule="exact"/>
      </w:pPr>
      <w:r>
        <w:tab/>
        <w:t>me'e</w:t>
      </w:r>
      <w:r>
        <w:tab/>
        <w:t>cmene</w:t>
      </w:r>
      <w:r>
        <w:tab/>
        <w:t>with name</w:t>
      </w:r>
      <w:r>
        <w:tab/>
        <w:t>as a name for</w:t>
      </w:r>
    </w:p>
    <w:p w:rsidR="00B72047" w:rsidRDefault="00B72047">
      <w:pPr>
        <w:pStyle w:val="examplegrouptabs"/>
        <w:spacing w:line="220" w:lineRule="exact"/>
      </w:pPr>
      <w:r>
        <w:tab/>
      </w:r>
      <w:r>
        <w:tab/>
      </w:r>
      <w:r>
        <w:tab/>
        <w:t>te=as a name to</w:t>
      </w:r>
    </w:p>
    <w:p w:rsidR="00B72047" w:rsidRDefault="00B72047">
      <w:pPr>
        <w:pStyle w:val="examplegrouptabs"/>
      </w:pPr>
      <w:r>
        <w:tab/>
        <w:t>mu'i</w:t>
      </w:r>
      <w:r>
        <w:tab/>
        <w:t>mukti</w:t>
      </w:r>
      <w:r>
        <w:tab/>
        <w:t>motivated by</w:t>
      </w:r>
      <w:r>
        <w:tab/>
        <w:t>motive therefore</w:t>
      </w:r>
    </w:p>
    <w:p w:rsidR="00B72047" w:rsidRDefault="00B72047">
      <w:pPr>
        <w:pStyle w:val="examplegrouptabs"/>
      </w:pPr>
      <w:r>
        <w:tab/>
        <w:t>mu'u</w:t>
      </w:r>
      <w:r>
        <w:tab/>
        <w:t>mupli</w:t>
      </w:r>
      <w:r>
        <w:tab/>
        <w:t>exemplified by</w:t>
      </w:r>
      <w:r>
        <w:tab/>
        <w:t>as an example of</w:t>
      </w:r>
    </w:p>
    <w:p w:rsidR="00B72047" w:rsidRDefault="00B72047">
      <w:pPr>
        <w:pStyle w:val="examplegrouptabs"/>
      </w:pPr>
      <w:r>
        <w:tab/>
        <w:t>ni'i</w:t>
      </w:r>
      <w:r>
        <w:tab/>
        <w:t>nibli</w:t>
      </w:r>
      <w:r>
        <w:tab/>
        <w:t>entailed by</w:t>
      </w:r>
      <w:r>
        <w:tab/>
        <w:t>entails</w:t>
      </w:r>
    </w:p>
    <w:p w:rsidR="00B72047" w:rsidRDefault="00B72047">
      <w:pPr>
        <w:pStyle w:val="examplegrouptabs"/>
        <w:spacing w:line="220" w:lineRule="exact"/>
      </w:pPr>
      <w:r>
        <w:tab/>
        <w:t>pa'a</w:t>
      </w:r>
      <w:r>
        <w:tab/>
        <w:t>panra</w:t>
      </w:r>
      <w:r>
        <w:tab/>
        <w:t>in addition to</w:t>
      </w:r>
      <w:r>
        <w:tab/>
        <w:t>similar to</w:t>
      </w:r>
    </w:p>
    <w:p w:rsidR="00B72047" w:rsidRDefault="00B72047">
      <w:pPr>
        <w:pStyle w:val="examplegrouptabs"/>
        <w:spacing w:line="220" w:lineRule="exact"/>
      </w:pPr>
      <w:r>
        <w:tab/>
      </w:r>
      <w:r>
        <w:tab/>
      </w:r>
      <w:r>
        <w:tab/>
        <w:t>te=similar in pattern</w:t>
      </w:r>
    </w:p>
    <w:p w:rsidR="00B72047" w:rsidRDefault="00B72047">
      <w:pPr>
        <w:pStyle w:val="examplegrouptabs"/>
        <w:spacing w:line="220" w:lineRule="exact"/>
      </w:pPr>
      <w:r>
        <w:tab/>
      </w:r>
      <w:r>
        <w:tab/>
      </w:r>
      <w:r>
        <w:tab/>
        <w:t>ve=similar by standard</w:t>
      </w:r>
    </w:p>
    <w:p w:rsidR="00B72047" w:rsidRDefault="00B72047">
      <w:pPr>
        <w:pStyle w:val="examplegrouptabs"/>
      </w:pPr>
      <w:r>
        <w:tab/>
        <w:t>pa'u</w:t>
      </w:r>
      <w:r>
        <w:tab/>
        <w:t>pagbu</w:t>
      </w:r>
      <w:r>
        <w:tab/>
        <w:t>with component</w:t>
      </w:r>
      <w:r>
        <w:tab/>
        <w:t>as a part of</w:t>
      </w:r>
    </w:p>
    <w:p w:rsidR="00B72047" w:rsidRDefault="00B72047">
      <w:pPr>
        <w:pStyle w:val="examplegrouptabs"/>
      </w:pPr>
      <w:r>
        <w:tab/>
        <w:t>pi'o</w:t>
      </w:r>
      <w:r>
        <w:tab/>
        <w:t>pilno</w:t>
      </w:r>
      <w:r>
        <w:tab/>
        <w:t>used by</w:t>
      </w:r>
      <w:r>
        <w:tab/>
        <w:t>using tool</w:t>
      </w:r>
    </w:p>
    <w:p w:rsidR="00B72047" w:rsidRDefault="00B72047">
      <w:pPr>
        <w:pStyle w:val="examplegrouptabs"/>
      </w:pPr>
      <w:r>
        <w:tab/>
        <w:t>po'i</w:t>
      </w:r>
      <w:r>
        <w:tab/>
        <w:t>porsi</w:t>
      </w:r>
      <w:r>
        <w:tab/>
        <w:t>in the sequence</w:t>
      </w:r>
      <w:r>
        <w:tab/>
        <w:t>sequenced by rule</w:t>
      </w:r>
    </w:p>
    <w:p w:rsidR="00B72047" w:rsidRDefault="00B72047">
      <w:pPr>
        <w:pStyle w:val="examplegrouptabs"/>
      </w:pPr>
      <w:r>
        <w:tab/>
        <w:t>pu'a</w:t>
      </w:r>
      <w:r>
        <w:tab/>
        <w:t>pluka</w:t>
      </w:r>
      <w:r>
        <w:tab/>
        <w:t>pleased by</w:t>
      </w:r>
      <w:r>
        <w:tab/>
        <w:t>in order to please</w:t>
      </w:r>
    </w:p>
    <w:p w:rsidR="00B72047" w:rsidRDefault="00B72047">
      <w:pPr>
        <w:pStyle w:val="examplegrouptabs"/>
        <w:spacing w:line="220" w:lineRule="exact"/>
      </w:pPr>
      <w:r>
        <w:tab/>
        <w:t>pu'e</w:t>
      </w:r>
      <w:r>
        <w:tab/>
        <w:t>pruce</w:t>
      </w:r>
      <w:r>
        <w:tab/>
        <w:t>by process</w:t>
      </w:r>
      <w:r>
        <w:tab/>
        <w:t>processing from</w:t>
      </w:r>
    </w:p>
    <w:p w:rsidR="00B72047" w:rsidRDefault="00B72047">
      <w:pPr>
        <w:pStyle w:val="examplegrouptabs"/>
        <w:spacing w:line="220" w:lineRule="exact"/>
      </w:pPr>
      <w:r>
        <w:tab/>
      </w:r>
      <w:r>
        <w:tab/>
      </w:r>
      <w:r>
        <w:tab/>
        <w:t>te=processing into</w:t>
      </w:r>
    </w:p>
    <w:p w:rsidR="00B72047" w:rsidRDefault="00B72047">
      <w:pPr>
        <w:pStyle w:val="examplegrouptabs"/>
        <w:spacing w:line="220" w:lineRule="exact"/>
      </w:pPr>
      <w:r>
        <w:tab/>
      </w:r>
      <w:r>
        <w:tab/>
      </w:r>
      <w:r>
        <w:tab/>
        <w:t>ve=passing through stages</w:t>
      </w:r>
    </w:p>
    <w:p w:rsidR="00B72047" w:rsidRDefault="00B72047">
      <w:pPr>
        <w:pStyle w:val="examplegrouptabs"/>
      </w:pPr>
      <w:r>
        <w:tab/>
        <w:t>ra'a</w:t>
      </w:r>
      <w:r>
        <w:tab/>
        <w:t>srana</w:t>
      </w:r>
      <w:r>
        <w:tab/>
        <w:t>pertained to by</w:t>
      </w:r>
      <w:r>
        <w:tab/>
        <w:t>concerning</w:t>
      </w:r>
    </w:p>
    <w:p w:rsidR="00B72047" w:rsidRDefault="00B72047">
      <w:pPr>
        <w:pStyle w:val="examplegrouptabs"/>
      </w:pPr>
      <w:r>
        <w:tab/>
        <w:t>ra'i</w:t>
      </w:r>
      <w:r>
        <w:tab/>
        <w:t>krasi</w:t>
      </w:r>
      <w:r>
        <w:tab/>
        <w:t>from source</w:t>
      </w:r>
      <w:r>
        <w:tab/>
        <w:t>as an origin of</w:t>
      </w:r>
    </w:p>
    <w:p w:rsidR="00B72047" w:rsidRDefault="00B72047">
      <w:pPr>
        <w:pStyle w:val="examplegrouptabs"/>
      </w:pPr>
      <w:r>
        <w:tab/>
        <w:t>rai</w:t>
      </w:r>
      <w:r>
        <w:tab/>
        <w:t>traji</w:t>
      </w:r>
      <w:r>
        <w:tab/>
        <w:t>with superl.</w:t>
      </w:r>
      <w:r>
        <w:tab/>
        <w:t>superlative in</w:t>
      </w:r>
    </w:p>
    <w:p w:rsidR="00B72047" w:rsidRDefault="00B72047">
      <w:pPr>
        <w:pStyle w:val="examplegrouptabs"/>
        <w:spacing w:line="200" w:lineRule="exact"/>
      </w:pPr>
      <w:r>
        <w:tab/>
      </w:r>
      <w:r>
        <w:tab/>
      </w:r>
      <w:r>
        <w:tab/>
        <w:t>te=at extreme</w:t>
      </w:r>
      <w:r>
        <w:tab/>
        <w:t>ve=superlative among</w:t>
      </w:r>
    </w:p>
    <w:p w:rsidR="00B72047" w:rsidRDefault="00B72047">
      <w:pPr>
        <w:pStyle w:val="examplegrouptabs"/>
      </w:pPr>
      <w:r>
        <w:tab/>
        <w:t>ri'a</w:t>
      </w:r>
      <w:r>
        <w:tab/>
        <w:t>rinka</w:t>
      </w:r>
      <w:r>
        <w:tab/>
        <w:t>caused by</w:t>
      </w:r>
      <w:r>
        <w:tab/>
        <w:t>causing</w:t>
      </w:r>
    </w:p>
    <w:p w:rsidR="00B72047" w:rsidRDefault="00B72047">
      <w:pPr>
        <w:pStyle w:val="examplegrouptabs"/>
      </w:pPr>
      <w:r>
        <w:tab/>
        <w:t>ri'i</w:t>
      </w:r>
      <w:r>
        <w:tab/>
        <w:t>lifri</w:t>
      </w:r>
      <w:r>
        <w:tab/>
        <w:t>experienced by</w:t>
      </w:r>
      <w:r>
        <w:tab/>
        <w:t>experiencing</w:t>
      </w:r>
    </w:p>
    <w:p w:rsidR="00B72047" w:rsidRDefault="00B72047">
      <w:pPr>
        <w:pStyle w:val="examplegrouptabs"/>
        <w:spacing w:line="220" w:lineRule="exact"/>
      </w:pPr>
      <w:r>
        <w:tab/>
        <w:t>sau</w:t>
      </w:r>
      <w:r>
        <w:tab/>
        <w:t>sarcu</w:t>
      </w:r>
      <w:r>
        <w:tab/>
        <w:t>requiring</w:t>
      </w:r>
      <w:r>
        <w:tab/>
        <w:t>necessarily for</w:t>
      </w:r>
    </w:p>
    <w:p w:rsidR="00B72047" w:rsidRDefault="00B72047">
      <w:pPr>
        <w:pStyle w:val="examplegrouptabs"/>
        <w:spacing w:line="220" w:lineRule="exact"/>
      </w:pPr>
      <w:r>
        <w:tab/>
      </w:r>
      <w:r>
        <w:tab/>
      </w:r>
      <w:r>
        <w:tab/>
        <w:t>te=necessarily under conditions</w:t>
      </w:r>
    </w:p>
    <w:p w:rsidR="00B72047" w:rsidRDefault="00B72047">
      <w:pPr>
        <w:pStyle w:val="examplegrouptabs"/>
      </w:pPr>
      <w:r>
        <w:tab/>
        <w:t>si'u</w:t>
      </w:r>
      <w:r>
        <w:tab/>
        <w:t>sidju</w:t>
      </w:r>
      <w:r>
        <w:tab/>
        <w:t>aided by</w:t>
      </w:r>
      <w:r>
        <w:tab/>
        <w:t>assisting in</w:t>
      </w:r>
    </w:p>
    <w:p w:rsidR="00B72047" w:rsidRDefault="00B72047">
      <w:pPr>
        <w:pStyle w:val="examplegrouptabs"/>
      </w:pPr>
      <w:r>
        <w:tab/>
        <w:t>ta'i</w:t>
      </w:r>
      <w:r>
        <w:tab/>
        <w:t>tadji</w:t>
      </w:r>
      <w:r>
        <w:tab/>
        <w:t>by method</w:t>
      </w:r>
      <w:r>
        <w:tab/>
        <w:t>as a method for</w:t>
      </w:r>
    </w:p>
    <w:p w:rsidR="00B72047" w:rsidRDefault="00B72047">
      <w:pPr>
        <w:pStyle w:val="examplegrouptabs"/>
        <w:spacing w:line="220" w:lineRule="exact"/>
      </w:pPr>
      <w:r>
        <w:tab/>
        <w:t>tai</w:t>
      </w:r>
      <w:r>
        <w:tab/>
        <w:t>tamsmi</w:t>
      </w:r>
      <w:r>
        <w:tab/>
        <w:t>as a form of</w:t>
      </w:r>
      <w:r>
        <w:tab/>
        <w:t>in form</w:t>
      </w:r>
    </w:p>
    <w:p w:rsidR="00B72047" w:rsidRDefault="00B72047">
      <w:pPr>
        <w:pStyle w:val="examplegrouptabs"/>
        <w:spacing w:line="220" w:lineRule="exact"/>
      </w:pPr>
      <w:r>
        <w:tab/>
      </w:r>
      <w:r>
        <w:tab/>
      </w:r>
      <w:r>
        <w:tab/>
        <w:t>te=in form similar to</w:t>
      </w:r>
    </w:p>
    <w:p w:rsidR="00B72047" w:rsidRDefault="00B72047">
      <w:pPr>
        <w:pStyle w:val="examplegrouptabs"/>
        <w:spacing w:line="220" w:lineRule="exact"/>
      </w:pPr>
      <w:r>
        <w:tab/>
        <w:t>ti'i</w:t>
      </w:r>
      <w:r>
        <w:tab/>
        <w:t>stidi</w:t>
      </w:r>
      <w:r>
        <w:tab/>
        <w:t>suggested by</w:t>
      </w:r>
      <w:r>
        <w:tab/>
        <w:t>suggesting</w:t>
      </w:r>
    </w:p>
    <w:p w:rsidR="00B72047" w:rsidRDefault="00B72047">
      <w:pPr>
        <w:pStyle w:val="examplegrouptabs"/>
        <w:spacing w:line="220" w:lineRule="exact"/>
      </w:pPr>
      <w:r>
        <w:tab/>
      </w:r>
      <w:r>
        <w:tab/>
      </w:r>
      <w:r>
        <w:tab/>
        <w:t>te=suggested to</w:t>
      </w:r>
    </w:p>
    <w:p w:rsidR="00B72047" w:rsidRDefault="00B72047">
      <w:pPr>
        <w:pStyle w:val="examplegrouptabs"/>
      </w:pPr>
      <w:r>
        <w:tab/>
        <w:t>ti'u</w:t>
      </w:r>
      <w:r>
        <w:tab/>
        <w:t>tcika</w:t>
      </w:r>
      <w:r>
        <w:tab/>
        <w:t>with time</w:t>
      </w:r>
      <w:r>
        <w:tab/>
        <w:t>at the time of</w:t>
      </w:r>
    </w:p>
    <w:p w:rsidR="00B72047" w:rsidRDefault="00B72047">
      <w:pPr>
        <w:pStyle w:val="examplegrouptabs"/>
      </w:pPr>
      <w:r>
        <w:tab/>
        <w:t>tu'i</w:t>
      </w:r>
      <w:r>
        <w:tab/>
        <w:t>stuzi</w:t>
      </w:r>
      <w:r>
        <w:tab/>
        <w:t>with site</w:t>
      </w:r>
      <w:r>
        <w:tab/>
        <w:t>as location of</w:t>
      </w:r>
    </w:p>
    <w:p w:rsidR="00B72047" w:rsidRDefault="00B72047">
      <w:pPr>
        <w:pStyle w:val="examplegrouptabs"/>
      </w:pPr>
      <w:r>
        <w:tab/>
        <w:t>va'o</w:t>
      </w:r>
      <w:r>
        <w:tab/>
        <w:t>vanbi</w:t>
      </w:r>
      <w:r>
        <w:tab/>
        <w:t>under conditions</w:t>
      </w:r>
      <w:r>
        <w:tab/>
        <w:t>as conditions for</w:t>
      </w:r>
    </w:p>
    <w:p w:rsidR="00B72047" w:rsidRDefault="00B72047">
      <w:pPr>
        <w:pStyle w:val="examplegrouptabs"/>
      </w:pPr>
      <w:r>
        <w:tab/>
        <w:t>va'u</w:t>
      </w:r>
      <w:r>
        <w:tab/>
        <w:t>xamgu</w:t>
      </w:r>
      <w:r>
        <w:tab/>
        <w:t>benefiting from</w:t>
      </w:r>
      <w:r>
        <w:tab/>
        <w:t>with beneficiary</w:t>
      </w:r>
    </w:p>
    <w:p w:rsidR="00B72047" w:rsidRDefault="00B72047">
      <w:pPr>
        <w:pStyle w:val="examplegrouptabs"/>
      </w:pPr>
      <w:r>
        <w:tab/>
        <w:t>zau</w:t>
      </w:r>
      <w:r>
        <w:tab/>
        <w:t>zanru</w:t>
      </w:r>
      <w:r>
        <w:tab/>
        <w:t>approved by</w:t>
      </w:r>
      <w:r>
        <w:tab/>
        <w:t>approving</w:t>
      </w:r>
    </w:p>
    <w:p w:rsidR="00B72047" w:rsidRDefault="00B72047">
      <w:pPr>
        <w:pStyle w:val="examplegrouptabs"/>
        <w:spacing w:line="220" w:lineRule="exact"/>
      </w:pPr>
      <w:r>
        <w:tab/>
        <w:t>zu'e</w:t>
      </w:r>
      <w:r>
        <w:tab/>
        <w:t>zukte</w:t>
      </w:r>
      <w:r>
        <w:tab/>
        <w:t>with actor</w:t>
      </w:r>
      <w:r>
        <w:tab/>
        <w:t>with means to goal</w:t>
      </w:r>
    </w:p>
    <w:p w:rsidR="00B72047" w:rsidRDefault="00B72047">
      <w:pPr>
        <w:pStyle w:val="examplegrouptabs"/>
        <w:spacing w:line="220" w:lineRule="exact"/>
      </w:pPr>
      <w:r>
        <w:tab/>
      </w:r>
      <w:r>
        <w:tab/>
      </w:r>
      <w:r>
        <w:tab/>
        <w:t>te=with goal</w:t>
      </w:r>
    </w:p>
    <w:p w:rsidR="00B72047" w:rsidRDefault="00B72047">
      <w:pPr>
        <w:pStyle w:val="normalafterexample"/>
      </w:pPr>
      <w:r>
        <w:rPr>
          <w:rStyle w:val="htmlcodes"/>
        </w:rPr>
        <w:t>&lt;/pre&gt;&lt;p&gt;</w:t>
      </w:r>
      <w:r>
        <w:t>The lujvo “tamsmi” on which “tai” is based is derived from the tanru</w:t>
      </w:r>
      <w:r>
        <w:rPr>
          <w:rStyle w:val="deletedparamark"/>
        </w:rPr>
        <w:t xml:space="preserve"> “</w:t>
      </w:r>
      <w:r>
        <w:t>tarmi simsa” and has the place structure:</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tamsmi:  x1 has form x2, similar in form to x3 in property/quality x4</w:t>
      </w:r>
    </w:p>
    <w:p w:rsidR="00B72047" w:rsidRDefault="00B72047">
      <w:pPr>
        <w:pStyle w:val="resumedafterexample"/>
      </w:pPr>
      <w:r>
        <w:rPr>
          <w:rStyle w:val="htmlcodes"/>
        </w:rPr>
        <w:t>&lt;/dl&gt;&lt;p&gt;</w:t>
      </w:r>
      <w:r>
        <w:t>This lujvo is employed because “tarmi” does not have a place struc</w:t>
      </w:r>
      <w:r>
        <w:softHyphen/>
        <w:t>ture</w:t>
      </w:r>
      <w:r>
        <w:rPr>
          <w:rStyle w:val="deletedparamark"/>
        </w:rPr>
        <w:t xml:space="preserve"> </w:t>
      </w:r>
      <w:r>
        <w:t>useful for the m</w:t>
      </w:r>
      <w:r>
        <w:t>o</w:t>
      </w:r>
      <w:r>
        <w:softHyphen/>
        <w:t>dal's purpose.</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r>
        <w:rPr>
          <w:rStyle w:val="htmlparacode"/>
        </w:rPr>
        <w:t>&lt;p&gt;</w:t>
      </w:r>
    </w:p>
    <w:p w:rsidR="00B72047" w:rsidRDefault="00B72047">
      <w:pPr>
        <w:rPr>
          <w:rStyle w:val="htmlcodes"/>
        </w:rPr>
      </w:pPr>
      <w:r>
        <w:rPr>
          <w:rStyle w:val="htmlcodes"/>
        </w:rPr>
        <w:t>&lt;/body&gt;&lt;/html&gt;</w:t>
      </w:r>
    </w:p>
    <w:p w:rsidR="00B72047" w:rsidRDefault="00B72047">
      <w:pPr>
        <w:pStyle w:val="normalparagraph"/>
        <w:rPr>
          <w:rStyle w:val="htmlcodes"/>
        </w:rPr>
      </w:pPr>
      <w:r>
        <w:rPr>
          <w:rStyle w:val="htmlcodes"/>
        </w:rPr>
        <w:t>&lt;img src=chap10.gif alt=[Cartoon] align=center width=405 height=405&gt;</w:t>
      </w:r>
    </w:p>
    <w:p w:rsidR="00B72047" w:rsidRDefault="00B72047">
      <w:pPr>
        <w:pStyle w:val="resumedafterexample"/>
      </w:pPr>
      <w:r>
        <w:pict>
          <v:shape id="_x0000_i1034" type="#_x0000_t75" style="width:356.25pt;height:547.5pt">
            <v:imagedata r:id="rId28" o:title="" croptop="-26474f" cropbottom="-26474f" cropleft="-6323f" cropright="-6323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327" w:name="_Toc395684321"/>
      <w:bookmarkStart w:id="328" w:name="_Toc398970573"/>
      <w:r>
        <w:t>Chapter 10</w:t>
      </w:r>
      <w:bookmarkEnd w:id="327"/>
      <w:bookmarkEnd w:id="328"/>
    </w:p>
    <w:p w:rsidR="00B72047" w:rsidRDefault="00B72047">
      <w:pPr>
        <w:pStyle w:val="Heading2"/>
        <w:rPr>
          <w:rStyle w:val="htmlcodes"/>
        </w:rPr>
      </w:pPr>
      <w:r>
        <w:rPr>
          <w:rStyle w:val="htmlcodes"/>
        </w:rPr>
        <w:t>&lt;br&gt;</w:t>
      </w:r>
    </w:p>
    <w:p w:rsidR="00B72047" w:rsidRDefault="00B72047">
      <w:pPr>
        <w:pStyle w:val="Heading2"/>
      </w:pPr>
      <w:bookmarkStart w:id="329" w:name="_Toc398970574"/>
      <w:r>
        <w:t>Imaginary Journeys: The Lojban Space/Time Tense System</w:t>
      </w:r>
      <w:bookmarkEnd w:id="329"/>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330" w:name="_Toc398970575"/>
      <w:r>
        <w:rPr>
          <w:rStyle w:val="Heading3Text"/>
        </w:rPr>
        <w:t>Introductory</w:t>
      </w:r>
      <w:bookmarkEnd w:id="33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 explanation of presentation method"&gt;</w:t>
      </w:r>
      <w:r>
        <w:rPr>
          <w:rStyle w:val="indexentry"/>
        </w:rPr>
        <w:fldChar w:fldCharType="begin"/>
      </w:r>
      <w:r>
        <w:instrText>xe "</w:instrText>
      </w:r>
      <w:r>
        <w:rPr>
          <w:rStyle w:val="xeentry"/>
        </w:rPr>
        <w:instrText>tense: explanation of presentation method</w:instrText>
      </w:r>
      <w:r>
        <w:instrText>"</w:instrText>
      </w:r>
      <w:r>
        <w:rPr>
          <w:rStyle w:val="indexentry"/>
        </w:rPr>
        <w:fldChar w:fldCharType="end"/>
      </w:r>
      <w:r>
        <w:t>This chapter attempts to document and explain the space/time tense system</w:t>
      </w:r>
      <w:r>
        <w:rPr>
          <w:rStyle w:val="deletedparamark"/>
        </w:rPr>
        <w:t xml:space="preserve"> </w:t>
      </w:r>
      <w:r>
        <w:t>of L</w:t>
      </w:r>
      <w:r>
        <w:t>o</w:t>
      </w:r>
      <w:r>
        <w:t>j</w:t>
      </w:r>
      <w:r>
        <w:softHyphen/>
        <w:t>ban. It does not attempt to answer all questions of the form “How do</w:t>
      </w:r>
      <w:r>
        <w:rPr>
          <w:rStyle w:val="deletedparamark"/>
        </w:rPr>
        <w:t xml:space="preserve"> </w:t>
      </w:r>
      <w:r>
        <w:t>I say such-and-such (an English tense) in Lojban?” Instead, it explores</w:t>
      </w:r>
      <w:r>
        <w:rPr>
          <w:rStyle w:val="deletedparamark"/>
        </w:rPr>
        <w:t xml:space="preserve"> </w:t>
      </w:r>
      <w:r>
        <w:t>the Lojban tense system from the i</w:t>
      </w:r>
      <w:r>
        <w:t>n</w:t>
      </w:r>
      <w:r>
        <w:softHyphen/>
        <w:t>side, attempting to educate the reader</w:t>
      </w:r>
      <w:r>
        <w:rPr>
          <w:rStyle w:val="deletedparamark"/>
        </w:rPr>
        <w:t xml:space="preserve"> </w:t>
      </w:r>
      <w:r>
        <w:t>into a Lojbanic viewpoint. Once the overall system is understood and</w:t>
      </w:r>
      <w:r>
        <w:rPr>
          <w:rStyle w:val="deletedparamark"/>
        </w:rPr>
        <w:t xml:space="preserve"> </w:t>
      </w:r>
      <w:r>
        <w:t>the resources that it makes available are familiar, the reader should have</w:t>
      </w:r>
      <w:r>
        <w:rPr>
          <w:rStyle w:val="deletedparamark"/>
        </w:rPr>
        <w:t xml:space="preserve"> </w:t>
      </w:r>
      <w:r>
        <w:t>some hope of using appropriate tense constructs and being correctly</w:t>
      </w:r>
      <w:r>
        <w:rPr>
          <w:rStyle w:val="deletedparamark"/>
        </w:rPr>
        <w:t xml:space="preserve"> </w:t>
      </w:r>
      <w:r>
        <w:t>under</w:t>
      </w:r>
      <w:r>
        <w:softHyphen/>
        <w:t>stood.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"tense, Lojban contrasted with native languages"&gt;</w:t>
      </w:r>
      <w:r>
        <w:rPr>
          <w:rStyle w:val="indexentry"/>
        </w:rPr>
        <w:fldChar w:fldCharType="begin"/>
      </w:r>
      <w:r>
        <w:instrText>xe "</w:instrText>
      </w:r>
      <w:r>
        <w:rPr>
          <w:rStyle w:val="xeentry"/>
        </w:rPr>
        <w:instrText>tense: Lojban contrasted with native languages</w:instrText>
      </w:r>
      <w:r>
        <w:instrText>"</w:instrText>
      </w:r>
      <w:r>
        <w:rPr>
          <w:rStyle w:val="indexentry"/>
        </w:rPr>
        <w:fldChar w:fldCharType="end"/>
      </w:r>
      <w:r>
        <w:t>The system of Lojban tenses presented here may seem really complex because of</w:t>
      </w:r>
      <w:r>
        <w:rPr>
          <w:rStyle w:val="deletedparamark"/>
        </w:rPr>
        <w:t xml:space="preserve"> </w:t>
      </w:r>
      <w:r>
        <w:t>all the pieces and all the options; indeed, this chapter is the longest</w:t>
      </w:r>
      <w:r>
        <w:rPr>
          <w:rStyle w:val="deletedparamark"/>
        </w:rPr>
        <w:t xml:space="preserve"> </w:t>
      </w:r>
      <w:r>
        <w:t>one in this book. But tense is in fact com</w:t>
      </w:r>
      <w:r>
        <w:softHyphen/>
        <w:t>plex in every language. In your</w:t>
      </w:r>
      <w:r>
        <w:rPr>
          <w:rStyle w:val="deletedparamark"/>
        </w:rPr>
        <w:t xml:space="preserve"> </w:t>
      </w:r>
      <w:r>
        <w:t>native language, the subtleties of tense are intuitive. In foreign languages,</w:t>
      </w:r>
      <w:r>
        <w:rPr>
          <w:rStyle w:val="deletedparamark"/>
        </w:rPr>
        <w:t xml:space="preserve"> </w:t>
      </w:r>
      <w:r>
        <w:t>you are seldom taught the entire system until you have reached an advanced</w:t>
      </w:r>
      <w:r>
        <w:rPr>
          <w:rStyle w:val="deletedparamark"/>
        </w:rPr>
        <w:t xml:space="preserve"> </w:t>
      </w:r>
      <w:r>
        <w:t>level. Lojban tenses are extremely systematic and productive, a</w:t>
      </w:r>
      <w:r>
        <w:t>l</w:t>
      </w:r>
      <w:r>
        <w:softHyphen/>
        <w:t>lowing you</w:t>
      </w:r>
      <w:r>
        <w:rPr>
          <w:rStyle w:val="deletedparamark"/>
        </w:rPr>
        <w:t xml:space="preserve"> </w:t>
      </w:r>
      <w:r>
        <w:t>to ex</w:t>
      </w:r>
      <w:r>
        <w:softHyphen/>
        <w:t>press subtleties based on what they mean rather than on how they act</w:t>
      </w:r>
      <w:r>
        <w:rPr>
          <w:rStyle w:val="deletedparamark"/>
        </w:rPr>
        <w:t xml:space="preserve"> </w:t>
      </w:r>
      <w:r>
        <w:t>similarly to English tenses. This chapter concentrates on pre</w:t>
      </w:r>
      <w:r>
        <w:softHyphen/>
        <w:t>senting an</w:t>
      </w:r>
      <w:r>
        <w:rPr>
          <w:rStyle w:val="deletedparamark"/>
        </w:rPr>
        <w:t xml:space="preserve"> </w:t>
      </w:r>
      <w:r>
        <w:t>intuitive approach to the meaning of Lojban tense words and how they may be</w:t>
      </w:r>
      <w:r>
        <w:rPr>
          <w:rStyle w:val="deletedparamark"/>
        </w:rPr>
        <w:t xml:space="preserve"> </w:t>
      </w:r>
      <w:r>
        <w:t>crea</w:t>
      </w:r>
      <w:r>
        <w:softHyphen/>
        <w:t>tively and productively combined.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"temporal tense, historical definition"&gt;</w:t>
      </w:r>
      <w:r>
        <w:rPr>
          <w:rStyle w:val="indexentry"/>
        </w:rPr>
        <w:fldChar w:fldCharType="begin"/>
      </w:r>
      <w:r>
        <w:instrText>xe "</w:instrText>
      </w:r>
      <w:r>
        <w:rPr>
          <w:rStyle w:val="xeentry"/>
        </w:rPr>
        <w:instrText>temporal tense: historical definition</w:instrText>
      </w:r>
      <w:r>
        <w:instrText>"</w:instrText>
      </w:r>
      <w:r>
        <w:rPr>
          <w:rStyle w:val="indexentry"/>
        </w:rPr>
        <w:fldChar w:fldCharType="end"/>
      </w:r>
      <w:r>
        <w:rPr>
          <w:rStyle w:val="indexentry"/>
        </w:rPr>
        <w:t>&lt;cx "temporal tense, real relationship to time in English"&gt;</w:t>
      </w:r>
      <w:r>
        <w:rPr>
          <w:rStyle w:val="indexentry"/>
        </w:rPr>
        <w:fldChar w:fldCharType="begin"/>
      </w:r>
      <w:r>
        <w:instrText>xe "</w:instrText>
      </w:r>
      <w:r>
        <w:rPr>
          <w:rStyle w:val="xeentry"/>
        </w:rPr>
        <w:instrText>temporal tense: real relationship to time in English</w:instrText>
      </w:r>
      <w:r>
        <w:instrText>"</w:instrText>
      </w:r>
      <w:r>
        <w:rPr>
          <w:rStyle w:val="indexentry"/>
        </w:rPr>
        <w:fldChar w:fldCharType="end"/>
      </w:r>
      <w:r>
        <w:rPr>
          <w:rStyle w:val="indexentry"/>
        </w:rPr>
        <w:t>&lt;cx "temporal tense, as mandatory in English"&gt;</w:t>
      </w:r>
      <w:r>
        <w:rPr>
          <w:rStyle w:val="indexentry"/>
        </w:rPr>
        <w:fldChar w:fldCharType="begin"/>
      </w:r>
      <w:r>
        <w:instrText>xe "</w:instrText>
      </w:r>
      <w:r>
        <w:rPr>
          <w:rStyle w:val="xeentry"/>
        </w:rPr>
        <w:instrText>temporal tense: as mandatory in English</w:instrText>
      </w:r>
      <w:r>
        <w:instrText>"</w:instrText>
      </w:r>
      <w:r>
        <w:rPr>
          <w:rStyle w:val="indexentry"/>
        </w:rPr>
        <w:fldChar w:fldCharType="end"/>
      </w:r>
      <w:r>
        <w:rPr>
          <w:rStyle w:val="indexentry"/>
        </w:rPr>
        <w:t>&lt;cx "temporal tense, Lojban contrasted with English in necessity"&gt;</w:t>
      </w:r>
      <w:r>
        <w:rPr>
          <w:rStyle w:val="indexentry"/>
        </w:rPr>
        <w:fldChar w:fldCharType="begin"/>
      </w:r>
      <w:r>
        <w:instrText>xe "</w:instrText>
      </w:r>
      <w:r>
        <w:rPr>
          <w:rStyle w:val="xeentry"/>
        </w:rPr>
        <w:instrText>temporal tense: Lojban contrasted with English in necessity</w:instrText>
      </w:r>
      <w:r>
        <w:instrText>"</w:instrText>
      </w:r>
      <w:r>
        <w:rPr>
          <w:rStyle w:val="indexentry"/>
        </w:rPr>
        <w:fldChar w:fldCharType="end"/>
      </w:r>
      <w:r>
        <w:t>What is “tense”? Historically, “tense” is the attribute of verbs in English</w:t>
      </w:r>
      <w:r>
        <w:rPr>
          <w:rStyle w:val="deletedparamark"/>
        </w:rPr>
        <w:t xml:space="preserve"> </w:t>
      </w:r>
      <w:r>
        <w:t>and related languages that expresses the time of the ac</w:t>
      </w:r>
      <w:r>
        <w:softHyphen/>
        <w:t>tion. In English,</w:t>
      </w:r>
      <w:r>
        <w:rPr>
          <w:rStyle w:val="deletedparamark"/>
        </w:rPr>
        <w:t xml:space="preserve"> </w:t>
      </w:r>
      <w:r>
        <w:t>three tenses are tra</w:t>
      </w:r>
      <w:r>
        <w:softHyphen/>
        <w:t>ditionally recognized, convention</w:t>
      </w:r>
      <w:r>
        <w:softHyphen/>
        <w:t>ally called the past,</w:t>
      </w:r>
      <w:r>
        <w:rPr>
          <w:rStyle w:val="deletedparamark"/>
        </w:rPr>
        <w:t xml:space="preserve"> </w:t>
      </w:r>
      <w:r>
        <w:t>the present, and the future. There are also a vari</w:t>
      </w:r>
      <w:r>
        <w:softHyphen/>
        <w:t>ety of compound tenses</w:t>
      </w:r>
      <w:r>
        <w:rPr>
          <w:rStyle w:val="deletedparamark"/>
        </w:rPr>
        <w:t xml:space="preserve"> </w:t>
      </w:r>
      <w:r>
        <w:t>used in English. However, there is no simple re</w:t>
      </w:r>
      <w:r>
        <w:softHyphen/>
        <w:t>lationship between the</w:t>
      </w:r>
      <w:r>
        <w:rPr>
          <w:rStyle w:val="deletedparamark"/>
        </w:rPr>
        <w:t xml:space="preserve"> </w:t>
      </w:r>
      <w:r>
        <w:t>form of an English tense and the time actu</w:t>
      </w:r>
      <w:r>
        <w:softHyphen/>
        <w:t>ally expressed:</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I go to London tomorrow.</w:t>
      </w:r>
    </w:p>
    <w:p w:rsidR="00B72047" w:rsidRDefault="00B72047">
      <w:pPr>
        <w:pStyle w:val="examplescaled"/>
      </w:pPr>
      <w:r>
        <w:tab/>
        <w:t>I will go to London tomorrow.</w:t>
      </w:r>
    </w:p>
    <w:p w:rsidR="00B72047" w:rsidRDefault="00B72047">
      <w:pPr>
        <w:pStyle w:val="examplescaled"/>
      </w:pPr>
      <w:r>
        <w:tab/>
        <w:t>I am going to London tomorrow.</w:t>
      </w:r>
    </w:p>
    <w:p w:rsidR="00B72047" w:rsidRDefault="00B72047">
      <w:pPr>
        <w:pStyle w:val="resumedafterexample"/>
      </w:pPr>
      <w:r>
        <w:rPr>
          <w:rStyle w:val="htmlcodes"/>
        </w:rPr>
        <w:t>&lt;/dl&gt;</w:t>
      </w:r>
      <w:r>
        <w:t>all mean the same thing, even though the first sentence uses the pre</w:t>
      </w:r>
      <w:r>
        <w:softHyphen/>
        <w:t>sent</w:t>
      </w:r>
      <w:r>
        <w:rPr>
          <w:rStyle w:val="deletedparamark"/>
        </w:rPr>
        <w:t xml:space="preserve"> </w:t>
      </w:r>
      <w:r>
        <w:t>tense; the sec</w:t>
      </w:r>
      <w:r>
        <w:softHyphen/>
        <w:t>ond, the future tense; and the third, a compound tense usually</w:t>
      </w:r>
      <w:r>
        <w:rPr>
          <w:rStyle w:val="deletedparamark"/>
        </w:rPr>
        <w:t xml:space="preserve"> </w:t>
      </w:r>
      <w:r>
        <w:t>called “present progres</w:t>
      </w:r>
      <w:r>
        <w:softHyphen/>
        <w:t>sive”. Likewise, a newspaper headline says “JONES</w:t>
      </w:r>
      <w:r>
        <w:rPr>
          <w:rStyle w:val="deletedparamark"/>
        </w:rPr>
        <w:t xml:space="preserve"> </w:t>
      </w:r>
      <w:r>
        <w:t>DIES”, although it is obvious that the time re</w:t>
      </w:r>
      <w:r>
        <w:softHyphen/>
        <w:t>ferred to must be in the past.</w:t>
      </w:r>
      <w:r>
        <w:rPr>
          <w:rStyle w:val="deletedparamark"/>
        </w:rPr>
        <w:t xml:space="preserve"> </w:t>
      </w:r>
      <w:r>
        <w:t>Tense is a mandatory category of Eng</w:t>
      </w:r>
      <w:r>
        <w:softHyphen/>
        <w:t>lish: every sentence must be marked for</w:t>
      </w:r>
      <w:r>
        <w:rPr>
          <w:rStyle w:val="deletedparamark"/>
        </w:rPr>
        <w:t xml:space="preserve"> </w:t>
      </w:r>
      <w:r>
        <w:t>tense, even if in a way con</w:t>
      </w:r>
      <w:r>
        <w:softHyphen/>
        <w:t>trary to logic, because every main verb has a</w:t>
      </w:r>
      <w:r>
        <w:rPr>
          <w:rStyle w:val="deletedparamark"/>
        </w:rPr>
        <w:t xml:space="preserve"> </w:t>
      </w:r>
      <w:r>
        <w:t>tense marker built into to it. By contrast, Lojban brivla have no implicit tense marker attached to them.</w:t>
      </w:r>
    </w:p>
    <w:p w:rsidR="00B72047" w:rsidRDefault="00B72047">
      <w:pPr>
        <w:rPr>
          <w:rStyle w:val="htmlparacode"/>
        </w:rPr>
      </w:pPr>
      <w:r>
        <w:rPr>
          <w:rStyle w:val="htmlparacode"/>
        </w:rPr>
        <w:t>&lt;p&gt;</w:t>
      </w:r>
    </w:p>
    <w:p w:rsidR="00B72047" w:rsidRDefault="00B72047">
      <w:pPr>
        <w:pStyle w:val="normalparagraph"/>
      </w:pPr>
      <w:r>
        <w:rPr>
          <w:rStyle w:val="indexentry"/>
        </w:rPr>
        <w:t>&lt;cx "tense, selbri types applicable to"&gt;</w:t>
      </w:r>
      <w:r>
        <w:rPr>
          <w:rStyle w:val="indexentry"/>
        </w:rPr>
        <w:fldChar w:fldCharType="begin"/>
      </w:r>
      <w:r>
        <w:instrText>xe "</w:instrText>
      </w:r>
      <w:r>
        <w:rPr>
          <w:rStyle w:val="xeentry"/>
        </w:rPr>
        <w:instrText>tense: selbri types applicable to</w:instrText>
      </w:r>
      <w:r>
        <w:instrText>"</w:instrText>
      </w:r>
      <w:r>
        <w:rPr>
          <w:rStyle w:val="indexentry"/>
        </w:rPr>
        <w:fldChar w:fldCharType="end"/>
      </w:r>
      <w:r>
        <w:rPr>
          <w:rStyle w:val="indexentry"/>
        </w:rPr>
        <w:t>&lt;cx "tense system, and space location"&gt;</w:t>
      </w:r>
      <w:r>
        <w:rPr>
          <w:rStyle w:val="indexentry"/>
        </w:rPr>
        <w:fldChar w:fldCharType="begin"/>
      </w:r>
      <w:r>
        <w:instrText>xe "</w:instrText>
      </w:r>
      <w:r>
        <w:rPr>
          <w:rStyle w:val="xeentry"/>
        </w:rPr>
        <w:instrText>tense system: and space location</w:instrText>
      </w:r>
      <w:r>
        <w:instrText>"</w:instrText>
      </w:r>
      <w:r>
        <w:rPr>
          <w:rStyle w:val="indexentry"/>
        </w:rPr>
        <w:fldChar w:fldCharType="end"/>
      </w:r>
      <w:r>
        <w:rPr>
          <w:rStyle w:val="indexentry"/>
        </w:rPr>
        <w:t>&lt;cx "tense system, and space location"&gt;</w:t>
      </w:r>
      <w:r>
        <w:rPr>
          <w:rStyle w:val="indexentry"/>
        </w:rPr>
        <w:fldChar w:fldCharType="begin"/>
      </w:r>
      <w:r>
        <w:instrText>xe "</w:instrText>
      </w:r>
      <w:r>
        <w:rPr>
          <w:rStyle w:val="xeentry"/>
        </w:rPr>
        <w:instrText>tense system: and space location</w:instrText>
      </w:r>
      <w:r>
        <w:instrText>"</w:instrText>
      </w:r>
      <w:r>
        <w:rPr>
          <w:rStyle w:val="indexentry"/>
        </w:rPr>
        <w:fldChar w:fldCharType="end"/>
      </w:r>
      <w:r>
        <w:rPr>
          <w:rStyle w:val="indexentry"/>
        </w:rPr>
        <w:t>&lt;cx "time, as part of tense system (see also tense, temporal tense)"&gt;</w:t>
      </w:r>
      <w:r>
        <w:rPr>
          <w:rStyle w:val="indexentry"/>
        </w:rPr>
        <w:fldChar w:fldCharType="begin"/>
      </w:r>
      <w:r>
        <w:instrText>xe "</w:instrText>
      </w:r>
      <w:r>
        <w:rPr>
          <w:rStyle w:val="xeentry"/>
        </w:rPr>
        <w:instrText>time: as part of tense system (see also tense, temporal tense)</w:instrText>
      </w:r>
      <w:r>
        <w:instrText>"</w:instrText>
      </w:r>
      <w:r>
        <w:rPr>
          <w:rStyle w:val="indexentry"/>
        </w:rPr>
        <w:fldChar w:fldCharType="end"/>
      </w:r>
      <w:r>
        <w:rPr>
          <w:rStyle w:val="indexentry"/>
        </w:rPr>
        <w:t>&lt;cx "space location, as part of tense system (see also tense, spatial tense)"&gt;</w:t>
      </w:r>
      <w:r>
        <w:rPr>
          <w:rStyle w:val="indexentry"/>
        </w:rPr>
        <w:fldChar w:fldCharType="begin"/>
      </w:r>
      <w:r>
        <w:instrText>xe "</w:instrText>
      </w:r>
      <w:r>
        <w:rPr>
          <w:rStyle w:val="xeentry"/>
        </w:rPr>
        <w:instrText>space location: as part of tense system (see also tense, spatial tense)</w:instrText>
      </w:r>
      <w:r>
        <w:instrText>"</w:instrText>
      </w:r>
      <w:r>
        <w:rPr>
          <w:rStyle w:val="indexentry"/>
        </w:rPr>
        <w:fldChar w:fldCharType="end"/>
      </w:r>
      <w:r>
        <w:rPr>
          <w:rStyle w:val="indexentry"/>
        </w:rPr>
        <w:t>&lt;cx "elided tense, meaning of"&gt;</w:t>
      </w:r>
      <w:r>
        <w:rPr>
          <w:rStyle w:val="indexentry"/>
        </w:rPr>
        <w:fldChar w:fldCharType="begin"/>
      </w:r>
      <w:r>
        <w:instrText>xe "</w:instrText>
      </w:r>
      <w:r>
        <w:rPr>
          <w:rStyle w:val="xeentry"/>
        </w:rPr>
        <w:instrText>elided tense: meaning of</w:instrText>
      </w:r>
      <w:r>
        <w:instrText>"</w:instrText>
      </w:r>
      <w:r>
        <w:rPr>
          <w:rStyle w:val="indexentry"/>
        </w:rPr>
        <w:fldChar w:fldCharType="end"/>
      </w:r>
      <w:r>
        <w:t>In Lojban, the concept of tense extends to every selbri, not merely the</w:t>
      </w:r>
      <w:r>
        <w:rPr>
          <w:rStyle w:val="deletedparamark"/>
        </w:rPr>
        <w:t xml:space="preserve"> </w:t>
      </w:r>
      <w:r>
        <w:t>verb-like ones. In addition, tense structures provide infor</w:t>
      </w:r>
      <w:r>
        <w:softHyphen/>
        <w:t>mation about</w:t>
      </w:r>
      <w:r>
        <w:rPr>
          <w:rStyle w:val="deletedparamark"/>
        </w:rPr>
        <w:t xml:space="preserve"> </w:t>
      </w:r>
      <w:r>
        <w:t>location in space as well as in time. All tense informa</w:t>
      </w:r>
      <w:r>
        <w:softHyphen/>
        <w:t>tion is optional</w:t>
      </w:r>
      <w:r>
        <w:rPr>
          <w:rStyle w:val="deletedparamark"/>
        </w:rPr>
        <w:t xml:space="preserve"> </w:t>
      </w:r>
      <w:r>
        <w:t>in Lojban: a sentence like:</w:t>
      </w:r>
    </w:p>
    <w:p w:rsidR="00B72047" w:rsidRDefault="00B72047">
      <w:pPr>
        <w:rPr>
          <w:rStyle w:val="htmlparacode"/>
        </w:rPr>
      </w:pPr>
      <w:r>
        <w:rPr>
          <w:rStyle w:val="htmlparacode"/>
        </w:rPr>
        <w:t>&lt;p&gt;</w:t>
      </w:r>
    </w:p>
    <w:p w:rsidR="00B72047" w:rsidRDefault="00B72047">
      <w:pPr>
        <w:pStyle w:val="examplescaledpre"/>
      </w:pPr>
      <w:r>
        <w:rPr>
          <w:rStyle w:val="indexentry"/>
        </w:rPr>
        <w:t>&lt;ex "go to market"&gt;</w:t>
      </w:r>
      <w:r>
        <w:rPr>
          <w:rStyle w:val="indexentry"/>
        </w:rPr>
        <w:fldChar w:fldCharType="begin"/>
      </w:r>
      <w:r>
        <w:instrText>xe "</w:instrText>
      </w:r>
      <w:r>
        <w:rPr>
          <w:rStyle w:val="xeentry"/>
        </w:rPr>
        <w:instrText>go to market: example</w:instrText>
      </w:r>
      <w:r>
        <w:instrText>"</w:instrText>
      </w:r>
      <w:r>
        <w:rPr>
          <w:rStyle w:val="indexentry"/>
        </w:rPr>
        <w:fldChar w:fldCharType="end"/>
      </w:r>
      <w:r>
        <w:rPr>
          <w:rStyle w:val="htmlcodes"/>
        </w:rPr>
        <w:t>&lt;pre&gt;&lt;a name=e1d1&gt;</w:t>
      </w:r>
      <w:r>
        <w:t>1.1)</w:t>
      </w:r>
      <w:r>
        <w:tab/>
        <w:t>mi klama le zarci</w:t>
      </w:r>
    </w:p>
    <w:p w:rsidR="00B72047" w:rsidRDefault="00B72047">
      <w:pPr>
        <w:pStyle w:val="examplescaled"/>
      </w:pPr>
      <w:r>
        <w:tab/>
        <w:t>I go-to the market.</w:t>
      </w:r>
    </w:p>
    <w:p w:rsidR="00B72047" w:rsidRDefault="00B72047">
      <w:pPr>
        <w:pStyle w:val="resumedafterexample"/>
      </w:pPr>
      <w:r>
        <w:rPr>
          <w:rStyle w:val="htmlcodes"/>
        </w:rPr>
        <w:t>&lt;/pre&gt;</w:t>
      </w:r>
      <w:r>
        <w:t>can be understood as: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&lt;dl compact&gt;&lt;dt&gt;</w:t>
      </w:r>
      <w:r>
        <w:tab/>
      </w:r>
      <w:r>
        <w:rPr>
          <w:rStyle w:val="htmlcodes"/>
        </w:rPr>
        <w:t>&lt;dd&gt;</w:t>
      </w:r>
      <w:r>
        <w:t>I went to the market.</w:t>
      </w:r>
    </w:p>
    <w:p w:rsidR="00B72047" w:rsidRDefault="00B72047">
      <w:pPr>
        <w:pStyle w:val="examplescaled"/>
      </w:pPr>
      <w:r>
        <w:tab/>
        <w:t>I am going to the market.</w:t>
      </w:r>
    </w:p>
    <w:p w:rsidR="00B72047" w:rsidRDefault="00B72047">
      <w:pPr>
        <w:pStyle w:val="examplescaled"/>
      </w:pPr>
      <w:r>
        <w:tab/>
        <w:t>I have gone to the market.</w:t>
      </w:r>
    </w:p>
    <w:p w:rsidR="00B72047" w:rsidRDefault="00B72047">
      <w:pPr>
        <w:pStyle w:val="examplescaled"/>
      </w:pPr>
      <w:r>
        <w:tab/>
        <w:t>I will go to the market.</w:t>
      </w:r>
    </w:p>
    <w:p w:rsidR="00B72047" w:rsidRDefault="00B72047">
      <w:pPr>
        <w:pStyle w:val="examplescaled"/>
      </w:pPr>
      <w:r>
        <w:tab/>
        <w:t>I continually go to the market.</w:t>
      </w:r>
    </w:p>
    <w:p w:rsidR="00B72047" w:rsidRDefault="00B72047">
      <w:pPr>
        <w:pStyle w:val="resumedafterexample"/>
      </w:pPr>
      <w:r>
        <w:rPr>
          <w:rStyle w:val="htmlcodes"/>
        </w:rPr>
        <w:t>&lt;/dl&gt;</w:t>
      </w:r>
      <w:r>
        <w:t>as well as many other possibilities: context resolves which is correct.</w:t>
      </w:r>
    </w:p>
    <w:p w:rsidR="00B72047" w:rsidRDefault="00B72047">
      <w:pPr>
        <w:rPr>
          <w:rStyle w:val="htmlparacode"/>
        </w:rPr>
      </w:pPr>
      <w:r>
        <w:rPr>
          <w:rStyle w:val="htmlparacode"/>
        </w:rPr>
        <w:t>&lt;p&gt;</w:t>
      </w:r>
    </w:p>
    <w:p w:rsidR="00B72047" w:rsidRDefault="00B72047">
      <w:pPr>
        <w:pStyle w:val="normalparagraph"/>
      </w:pPr>
      <w:r>
        <w:rPr>
          <w:rStyle w:val="indexentry"/>
        </w:rPr>
        <w:t>&lt;cx "tense, position of in sentence"&gt;</w:t>
      </w:r>
      <w:r>
        <w:rPr>
          <w:rStyle w:val="indexentry"/>
        </w:rPr>
        <w:fldChar w:fldCharType="begin"/>
      </w:r>
      <w:r>
        <w:instrText>xe "</w:instrText>
      </w:r>
      <w:r>
        <w:rPr>
          <w:rStyle w:val="xeentry"/>
        </w:rPr>
        <w:instrText>tense: position of in sentence</w:instrText>
      </w:r>
      <w:r>
        <w:instrText>"</w:instrText>
      </w:r>
      <w:r>
        <w:rPr>
          <w:rStyle w:val="indexentry"/>
        </w:rPr>
        <w:fldChar w:fldCharType="end"/>
      </w:r>
      <w:r>
        <w:rPr>
          <w:rStyle w:val="indexentry"/>
        </w:rPr>
        <w:t>&lt;lx "cu"&gt;</w:t>
      </w:r>
      <w:r>
        <w:rPr>
          <w:rStyle w:val="indexentry"/>
        </w:rPr>
        <w:fldChar w:fldCharType="begin"/>
      </w:r>
      <w:r>
        <w:instrText>xe "</w:instrText>
      </w:r>
      <w:r>
        <w:rPr>
          <w:rStyle w:val="xeentry"/>
        </w:rPr>
        <w:instrText>cu</w:instrText>
      </w:r>
      <w:r>
        <w:instrText>"</w:instrText>
      </w:r>
      <w:r>
        <w:rPr>
          <w:rStyle w:val="indexentry"/>
        </w:rPr>
        <w:fldChar w:fldCharType="end"/>
      </w:r>
      <w:r>
        <w:rPr>
          <w:rStyle w:val="indexentry"/>
        </w:rPr>
        <w:t>&lt;cx "tense specification, effect on “cu”"&gt;</w:t>
      </w:r>
      <w:r>
        <w:rPr>
          <w:rStyle w:val="indexentry"/>
        </w:rPr>
        <w:fldChar w:fldCharType="begin"/>
      </w:r>
      <w:r>
        <w:instrText>xe "</w:instrText>
      </w:r>
      <w:r>
        <w:rPr>
          <w:rStyle w:val="xeentry"/>
        </w:rPr>
        <w:instrText>tense specification: effect on cu</w:instrText>
      </w:r>
      <w:r>
        <w:instrText>"</w:instrText>
      </w:r>
      <w:r>
        <w:rPr>
          <w:rStyle w:val="indexentry"/>
        </w:rPr>
        <w:fldChar w:fldCharType="end"/>
      </w:r>
      <w:r>
        <w:rPr>
          <w:rStyle w:val="indexentry"/>
        </w:rPr>
        <w:t>&lt;cx "tense specification, effect on elidability of terminators"&gt;</w:t>
      </w:r>
      <w:r>
        <w:rPr>
          <w:rStyle w:val="indexentry"/>
        </w:rPr>
        <w:fldChar w:fldCharType="begin"/>
      </w:r>
      <w:r>
        <w:instrText>xe "</w:instrText>
      </w:r>
      <w:r>
        <w:rPr>
          <w:rStyle w:val="xeentry"/>
        </w:rPr>
        <w:instrText>tense specification: effect on elidability of terminators</w:instrText>
      </w:r>
      <w:r>
        <w:instrText>"</w:instrText>
      </w:r>
      <w:r>
        <w:rPr>
          <w:rStyle w:val="indexentry"/>
        </w:rPr>
        <w:fldChar w:fldCharType="end"/>
      </w:r>
      <w:r>
        <w:rPr>
          <w:rStyle w:val="indexentry"/>
        </w:rPr>
        <w:t>&lt;cx "cu, effect of tense specification"&gt;</w:t>
      </w:r>
      <w:r>
        <w:rPr>
          <w:rStyle w:val="indexentry"/>
        </w:rPr>
        <w:fldChar w:fldCharType="begin"/>
      </w:r>
      <w:r>
        <w:instrText>xe "</w:instrText>
      </w:r>
      <w:r>
        <w:rPr>
          <w:rStyle w:val="xeentry"/>
        </w:rPr>
        <w:instrText>cu: effect of tense specification</w:instrText>
      </w:r>
      <w:r>
        <w:instrText>"</w:instrText>
      </w:r>
      <w:r>
        <w:rPr>
          <w:rStyle w:val="indexentry"/>
        </w:rPr>
        <w:fldChar w:fldCharType="end"/>
      </w:r>
      <w:r>
        <w:t>The placement of a tense construct within a Lojban bridi is easy: right</w:t>
      </w:r>
      <w:r>
        <w:rPr>
          <w:rStyle w:val="deletedparamark"/>
        </w:rPr>
        <w:t xml:space="preserve"> </w:t>
      </w:r>
      <w:r>
        <w:t>before the se</w:t>
      </w:r>
      <w:r>
        <w:t>l</w:t>
      </w:r>
      <w:r>
        <w:softHyphen/>
        <w:t>bri. It goes immediately after the “cu”, and can in fact always</w:t>
      </w:r>
      <w:r>
        <w:rPr>
          <w:rStyle w:val="deletedparamark"/>
        </w:rPr>
        <w:t xml:space="preserve"> </w:t>
      </w:r>
      <w:r>
        <w:t>replace the “cu” (although in very complex sen</w:t>
      </w:r>
      <w:r>
        <w:softHyphen/>
        <w:t>tences the rules for eliding</w:t>
      </w:r>
      <w:r>
        <w:rPr>
          <w:rStyle w:val="deletedparamark"/>
        </w:rPr>
        <w:t xml:space="preserve"> </w:t>
      </w:r>
      <w:r>
        <w:t>terminators may be changed as a result). In the following examples, “pu” is</w:t>
      </w:r>
      <w:r>
        <w:rPr>
          <w:rStyle w:val="deletedparamark"/>
        </w:rPr>
        <w:t xml:space="preserve"> </w:t>
      </w:r>
      <w:r>
        <w:t>the tense marker for “past time”: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name=e1d2&gt;</w:t>
      </w:r>
      <w:r>
        <w:t>1.2)</w:t>
      </w:r>
      <w:r>
        <w:tab/>
        <w:t>mi cu pu klama le zarci</w:t>
      </w:r>
    </w:p>
    <w:p w:rsidR="00B72047" w:rsidRDefault="00B72047">
      <w:pPr>
        <w:pStyle w:val="examplescaled"/>
      </w:pPr>
      <w:r>
        <w:tab/>
        <w:t>mi pu klama le zarci</w:t>
      </w:r>
    </w:p>
    <w:p w:rsidR="00B72047" w:rsidRDefault="00B72047">
      <w:pPr>
        <w:pStyle w:val="examplescaled"/>
      </w:pPr>
      <w:r>
        <w:tab/>
        <w:t>I in-the-past go-to the market.</w:t>
      </w:r>
    </w:p>
    <w:p w:rsidR="00B72047" w:rsidRDefault="00B72047">
      <w:pPr>
        <w:pStyle w:val="examplescaled"/>
      </w:pPr>
      <w:r>
        <w:tab/>
        <w:t>I went to the market.</w:t>
      </w:r>
    </w:p>
    <w:p w:rsidR="00B72047" w:rsidRDefault="00B72047">
      <w:pPr>
        <w:pStyle w:val="normalafterexample"/>
        <w:spacing w:before="120"/>
      </w:pPr>
      <w:r>
        <w:rPr>
          <w:rStyle w:val="htmlcodes"/>
        </w:rPr>
        <w:t>&lt;/pre&gt;</w:t>
      </w:r>
      <w:r>
        <w:rPr>
          <w:rStyle w:val="indexentry"/>
        </w:rPr>
        <w:t>&lt;cx "tense, position in sentence alternative"&gt;</w:t>
      </w:r>
      <w:r>
        <w:rPr>
          <w:rStyle w:val="indexentry"/>
        </w:rPr>
        <w:fldChar w:fldCharType="begin"/>
      </w:r>
      <w:r>
        <w:instrText>xe "</w:instrText>
      </w:r>
      <w:r>
        <w:rPr>
          <w:rStyle w:val="xeentry"/>
        </w:rPr>
        <w:instrText>tense: position in sentence alternative</w:instrText>
      </w:r>
      <w:r>
        <w:instrText>"</w:instrText>
      </w:r>
      <w:r>
        <w:rPr>
          <w:rStyle w:val="indexentry"/>
        </w:rPr>
        <w:fldChar w:fldCharType="end"/>
      </w:r>
      <w:r>
        <w:rPr>
          <w:rStyle w:val="indexentry"/>
        </w:rPr>
        <w:t>&lt;cx "tense, with ku"&gt;</w:t>
      </w:r>
      <w:r>
        <w:rPr>
          <w:rStyle w:val="indexentry"/>
        </w:rPr>
        <w:fldChar w:fldCharType="begin"/>
      </w:r>
      <w:r>
        <w:instrText>xe "</w:instrText>
      </w:r>
      <w:r>
        <w:rPr>
          <w:rStyle w:val="xeentry"/>
        </w:rPr>
        <w:instrText>tense: with ku</w:instrText>
      </w:r>
      <w:r>
        <w:instrText>"</w:instrText>
      </w:r>
      <w:r>
        <w:rPr>
          <w:rStyle w:val="indexentry"/>
        </w:rPr>
        <w:fldChar w:fldCharType="end"/>
      </w:r>
      <w:r>
        <w:rPr>
          <w:rStyle w:val="indexentry"/>
        </w:rPr>
        <w:t>&lt;lx "ku"&gt;</w:t>
      </w:r>
      <w:r>
        <w:rPr>
          <w:rStyle w:val="indexentry"/>
        </w:rPr>
        <w:fldChar w:fldCharType="begin"/>
      </w:r>
      <w:r>
        <w:instrText>xe "</w:instrText>
      </w:r>
      <w:r>
        <w:rPr>
          <w:rStyle w:val="xeentry"/>
        </w:rPr>
        <w:instrText>ku</w:instrText>
      </w:r>
      <w:r>
        <w:instrText>"</w:instrText>
      </w:r>
      <w:r>
        <w:rPr>
          <w:rStyle w:val="indexentry"/>
        </w:rPr>
        <w:fldChar w:fldCharType="end"/>
      </w:r>
      <w:r>
        <w:rPr>
          <w:rStyle w:val="indexentry"/>
        </w:rPr>
        <w:t>&lt;cx "ku, with tense"&gt;</w:t>
      </w:r>
      <w:r>
        <w:rPr>
          <w:rStyle w:val="indexentry"/>
        </w:rPr>
        <w:fldChar w:fldCharType="begin"/>
      </w:r>
      <w:r>
        <w:instrText>xe "</w:instrText>
      </w:r>
      <w:r>
        <w:rPr>
          <w:rStyle w:val="xeentry"/>
        </w:rPr>
        <w:instrText>ku: with tense</w:instrText>
      </w:r>
      <w:r>
        <w:instrText>"</w:instrText>
      </w:r>
      <w:r>
        <w:rPr>
          <w:rStyle w:val="indexentry"/>
        </w:rPr>
        <w:fldChar w:fldCharType="end"/>
      </w:r>
      <w:r>
        <w:t>It is also possible to put the tense somewhere else in the bridi by</w:t>
      </w:r>
      <w:r>
        <w:rPr>
          <w:rStyle w:val="deletedparamark"/>
        </w:rPr>
        <w:t xml:space="preserve"> </w:t>
      </w:r>
      <w:r>
        <w:t>adding “ku” after it. This “ku” is an elidable terminator, but it's al</w:t>
      </w:r>
      <w:r>
        <w:softHyphen/>
        <w:t>most</w:t>
      </w:r>
      <w:r>
        <w:rPr>
          <w:rStyle w:val="deletedparamark"/>
        </w:rPr>
        <w:t xml:space="preserve"> </w:t>
      </w:r>
      <w:r>
        <w:t>never possible to actually elide it e</w:t>
      </w:r>
      <w:r>
        <w:t>x</w:t>
      </w:r>
      <w:r>
        <w:softHyphen/>
        <w:t>cept at the end of the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name=e1d3&gt;</w:t>
      </w:r>
      <w:r>
        <w:t>1.3)</w:t>
      </w:r>
      <w:r>
        <w:tab/>
        <w:t>puku mi klama le zarci</w:t>
      </w:r>
    </w:p>
    <w:p w:rsidR="00B72047" w:rsidRDefault="00B72047">
      <w:pPr>
        <w:pStyle w:val="examplescaled"/>
      </w:pPr>
      <w:r>
        <w:tab/>
        <w:t>In-the-past I go-to the market.</w:t>
      </w:r>
    </w:p>
    <w:p w:rsidR="00B72047" w:rsidRDefault="00B72047">
      <w:pPr>
        <w:pStyle w:val="examplescaled"/>
      </w:pPr>
      <w:r>
        <w:tab/>
        <w:t>Earlier, I went to the market.</w:t>
      </w:r>
    </w:p>
    <w:p w:rsidR="00B72047" w:rsidRDefault="00B72047">
      <w:pPr>
        <w:pStyle w:val="examplescaledpre"/>
        <w:spacing w:before="80"/>
      </w:pPr>
      <w:r>
        <w:rPr>
          <w:rStyle w:val="htmlcodes"/>
        </w:rPr>
        <w:t>&lt;a name=e1d4&gt;</w:t>
      </w:r>
      <w:r>
        <w:t>1.4)</w:t>
      </w:r>
      <w:r>
        <w:tab/>
        <w:t>mi klama puku le zarci</w:t>
      </w:r>
    </w:p>
    <w:p w:rsidR="00B72047" w:rsidRDefault="00B72047">
      <w:pPr>
        <w:pStyle w:val="examplescaled"/>
      </w:pPr>
      <w:r>
        <w:tab/>
        <w:t>I go-to in-the-past the market.</w:t>
      </w:r>
    </w:p>
    <w:p w:rsidR="00B72047" w:rsidRDefault="00B72047">
      <w:pPr>
        <w:pStyle w:val="examplescaled"/>
      </w:pPr>
      <w:r>
        <w:tab/>
        <w:t>I went earlier to the market.</w:t>
      </w:r>
    </w:p>
    <w:p w:rsidR="00B72047" w:rsidRDefault="00B72047">
      <w:pPr>
        <w:pStyle w:val="examplescaledpre"/>
        <w:spacing w:before="80"/>
      </w:pPr>
      <w:r>
        <w:rPr>
          <w:rStyle w:val="htmlcodes"/>
        </w:rPr>
        <w:t>&lt;a name=e1d5&gt;</w:t>
      </w:r>
      <w:r>
        <w:t>1.5)</w:t>
      </w:r>
      <w:r>
        <w:tab/>
        <w:t>mi klama le zarci pu [ku]</w:t>
      </w:r>
    </w:p>
    <w:p w:rsidR="00B72047" w:rsidRDefault="00B72047">
      <w:pPr>
        <w:pStyle w:val="examplescaled"/>
      </w:pPr>
      <w:r>
        <w:tab/>
        <w:t>I go-to the market in-the-past.</w:t>
      </w:r>
    </w:p>
    <w:p w:rsidR="00B72047" w:rsidRDefault="00B72047">
      <w:pPr>
        <w:pStyle w:val="examplescaled"/>
      </w:pPr>
      <w:r>
        <w:tab/>
        <w:t>I went to the market earlier.</w:t>
      </w:r>
    </w:p>
    <w:p w:rsidR="00B72047" w:rsidRDefault="00B72047">
      <w:pPr>
        <w:pStyle w:val="resumedafterexample"/>
      </w:pPr>
      <w:r>
        <w:rPr>
          <w:rStyle w:val="htmlcodes"/>
        </w:rPr>
        <w:t>&lt;/pre&gt;</w:t>
      </w:r>
      <w:r>
        <w:rPr>
          <w:rStyle w:val="indexentry"/>
        </w:rPr>
        <w:t>&lt;cx "tense, effect of different position in sentence"&gt;</w:t>
      </w:r>
      <w:r>
        <w:rPr>
          <w:rStyle w:val="indexentry"/>
        </w:rPr>
        <w:fldChar w:fldCharType="begin"/>
      </w:r>
      <w:r>
        <w:instrText>xe "</w:instrText>
      </w:r>
      <w:r>
        <w:rPr>
          <w:rStyle w:val="xeentry"/>
        </w:rPr>
        <w:instrText>tense: effect of different position in sentence</w:instrText>
      </w:r>
      <w:r>
        <w:instrText>"</w:instrText>
      </w:r>
      <w:r>
        <w:rPr>
          <w:rStyle w:val="indexentry"/>
        </w:rPr>
        <w:fldChar w:fldCharType="end"/>
      </w:r>
      <w:r>
        <w:rPr>
          <w:rStyle w:val="indexentry"/>
        </w:rPr>
        <w:t>&lt;cx "tense, emphasizing by position in sentence"&gt;</w:t>
      </w:r>
      <w:r>
        <w:rPr>
          <w:rStyle w:val="indexentry"/>
        </w:rPr>
        <w:fldChar w:fldCharType="begin"/>
      </w:r>
      <w:r>
        <w:instrText>xe "</w:instrText>
      </w:r>
      <w:r>
        <w:rPr>
          <w:rStyle w:val="xeentry"/>
        </w:rPr>
        <w:instrText>tense: emphasizing by position in sentence</w:instrText>
      </w:r>
      <w:r>
        <w:instrText>"</w:instrText>
      </w:r>
      <w:r>
        <w:rPr>
          <w:rStyle w:val="indexentry"/>
        </w:rPr>
        <w:fldChar w:fldCharType="end"/>
      </w:r>
      <w:r>
        <w:rPr>
          <w:rStyle w:val="htmlcodes"/>
        </w:rPr>
        <w:t>&lt;a href=#e1d{2}&gt;</w:t>
      </w:r>
      <w:r>
        <w:t xml:space="preserve">Examples 1.2 </w:t>
      </w:r>
      <w:r>
        <w:rPr>
          <w:rStyle w:val="htmlcodes"/>
        </w:rPr>
        <w:t>&lt;/a&gt;</w:t>
      </w:r>
      <w:r>
        <w:t xml:space="preserve">through </w:t>
      </w:r>
      <w:r>
        <w:rPr>
          <w:rStyle w:val="htmlcodes"/>
        </w:rPr>
        <w:t>&lt;a href=#e1d5&gt;</w:t>
      </w:r>
      <w:r>
        <w:t xml:space="preserve">1.5 </w:t>
      </w:r>
      <w:r>
        <w:rPr>
          <w:rStyle w:val="htmlcodes"/>
        </w:rPr>
        <w:t>&lt;/a&gt;</w:t>
      </w:r>
      <w:r>
        <w:t>are different only in emphasis. Abnormal order,</w:t>
      </w:r>
      <w:r>
        <w:rPr>
          <w:rStyle w:val="deletedparamark"/>
        </w:rPr>
        <w:t xml:space="preserve"> </w:t>
      </w:r>
      <w:r>
        <w:t xml:space="preserve">such as </w:t>
      </w:r>
      <w:r>
        <w:rPr>
          <w:rStyle w:val="htmlcodes"/>
        </w:rPr>
        <w:t>&lt;a href=#e1d{3}&gt;</w:t>
      </w:r>
      <w:r>
        <w:t>Ex</w:t>
      </w:r>
      <w:r>
        <w:softHyphen/>
        <w:t xml:space="preserve">amples 1.3 </w:t>
      </w:r>
      <w:r>
        <w:rPr>
          <w:rStyle w:val="htmlcodes"/>
        </w:rPr>
        <w:t>&lt;/a&gt;</w:t>
      </w:r>
      <w:r>
        <w:t xml:space="preserve">through </w:t>
      </w:r>
      <w:r>
        <w:rPr>
          <w:rStyle w:val="htmlcodes"/>
        </w:rPr>
        <w:t>&lt;a href=#e1d5&gt;</w:t>
      </w:r>
      <w:r>
        <w:t xml:space="preserve">1.5 </w:t>
      </w:r>
      <w:r>
        <w:rPr>
          <w:rStyle w:val="htmlcodes"/>
        </w:rPr>
        <w:t>&lt;/a&gt;</w:t>
      </w:r>
      <w:r>
        <w:t>exhibit, adds emphasis to the words that</w:t>
      </w:r>
      <w:r>
        <w:rPr>
          <w:rStyle w:val="deletedparamark"/>
        </w:rPr>
        <w:t xml:space="preserve"> </w:t>
      </w:r>
      <w:r>
        <w:t>have been moved; in this case, the tense cmavo “pu”. Words at either end of</w:t>
      </w:r>
      <w:r>
        <w:rPr>
          <w:rStyle w:val="deletedparamark"/>
        </w:rPr>
        <w:t xml:space="preserve"> </w:t>
      </w:r>
      <w:r>
        <w:t>the sentence tend to be more notic</w:t>
      </w:r>
      <w:r>
        <w:t>e</w:t>
      </w:r>
      <w:r>
        <w:softHyphen/>
        <w:t>able.</w:t>
      </w:r>
    </w:p>
    <w:p w:rsidR="00B72047" w:rsidRDefault="00B72047">
      <w:pPr>
        <w:rPr>
          <w:rStyle w:val="htmlparacode"/>
        </w:rPr>
      </w:pPr>
      <w:r>
        <w:rPr>
          <w:rStyle w:val="htmlparacode"/>
        </w:rPr>
        <w:t>&lt;p&gt;</w:t>
      </w:r>
    </w:p>
    <w:p w:rsidR="00B72047" w:rsidRDefault="00B72047">
      <w:pPr>
        <w:pStyle w:val="Heading3"/>
        <w:spacing w:before="200"/>
        <w:rPr>
          <w:rStyle w:val="Heading3Text"/>
        </w:rPr>
      </w:pPr>
      <w:r>
        <w:rPr>
          <w:rStyle w:val="htmlcodes"/>
        </w:rPr>
        <w:t>&lt;a name=s2&gt;&lt;h3&gt;</w:t>
      </w:r>
      <w:bookmarkStart w:id="331" w:name="_Toc398970576"/>
      <w:r>
        <w:rPr>
          <w:rStyle w:val="Heading3Text"/>
        </w:rPr>
        <w:t>Spatial tenses: FAhA and VA</w:t>
      </w:r>
      <w:bookmarkEnd w:id="33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w:t>
      </w:r>
      <w:r>
        <w:t xml:space="preserve"> </w:t>
      </w:r>
      <w:r>
        <w:tab/>
        <w:t>vi</w:t>
      </w:r>
      <w:r>
        <w:tab/>
        <w:t>VA</w:t>
      </w:r>
      <w:r>
        <w:tab/>
        <w:t>short distance</w:t>
      </w:r>
    </w:p>
    <w:p w:rsidR="00B72047" w:rsidRDefault="00B72047">
      <w:pPr>
        <w:pStyle w:val="examplescaled"/>
      </w:pPr>
      <w:r>
        <w:tab/>
        <w:t>va</w:t>
      </w:r>
      <w:r>
        <w:tab/>
        <w:t>VA</w:t>
      </w:r>
      <w:r>
        <w:tab/>
        <w:t>medium distance</w:t>
      </w:r>
    </w:p>
    <w:p w:rsidR="00B72047" w:rsidRDefault="00B72047">
      <w:pPr>
        <w:pStyle w:val="examplescaled"/>
      </w:pPr>
      <w:r>
        <w:tab/>
        <w:t>vu</w:t>
      </w:r>
      <w:r>
        <w:tab/>
        <w:t>VA</w:t>
      </w:r>
      <w:r>
        <w:tab/>
        <w:t>long distance</w:t>
      </w:r>
    </w:p>
    <w:p w:rsidR="00B72047" w:rsidRDefault="00B72047">
      <w:pPr>
        <w:pStyle w:val="examplescaledpre"/>
        <w:spacing w:before="40"/>
      </w:pPr>
      <w:r>
        <w:tab/>
        <w:t>zu'a</w:t>
      </w:r>
      <w:r>
        <w:tab/>
        <w:t>FAhA</w:t>
      </w:r>
      <w:r>
        <w:tab/>
        <w:t>left</w:t>
      </w:r>
    </w:p>
    <w:p w:rsidR="00B72047" w:rsidRDefault="00B72047">
      <w:pPr>
        <w:pStyle w:val="examplescaled"/>
      </w:pPr>
      <w:r>
        <w:tab/>
        <w:t>ri'u</w:t>
      </w:r>
      <w:r>
        <w:tab/>
        <w:t>FAhA</w:t>
      </w:r>
      <w:r>
        <w:tab/>
        <w:t>right</w:t>
      </w:r>
    </w:p>
    <w:p w:rsidR="00B72047" w:rsidRDefault="00B72047">
      <w:pPr>
        <w:pStyle w:val="examplescaled"/>
      </w:pPr>
      <w:r>
        <w:tab/>
        <w:t>ga'u</w:t>
      </w:r>
      <w:r>
        <w:tab/>
        <w:t>FAhA</w:t>
      </w:r>
      <w:r>
        <w:tab/>
        <w:t>up</w:t>
      </w:r>
    </w:p>
    <w:p w:rsidR="00B72047" w:rsidRDefault="00B72047">
      <w:pPr>
        <w:pStyle w:val="examplescaled"/>
      </w:pPr>
      <w:r>
        <w:tab/>
        <w:t>ni'a</w:t>
      </w:r>
      <w:r>
        <w:tab/>
        <w:t>FAhA</w:t>
      </w:r>
      <w:r>
        <w:tab/>
        <w:t>down</w:t>
      </w:r>
    </w:p>
    <w:p w:rsidR="00B72047" w:rsidRDefault="00B72047">
      <w:pPr>
        <w:pStyle w:val="examplescaled"/>
      </w:pPr>
      <w:r>
        <w:tab/>
        <w:t>ca'u</w:t>
      </w:r>
      <w:r>
        <w:tab/>
        <w:t>FAhA</w:t>
      </w:r>
      <w:r>
        <w:tab/>
        <w:t>front</w:t>
      </w:r>
    </w:p>
    <w:p w:rsidR="00B72047" w:rsidRDefault="00B72047">
      <w:pPr>
        <w:pStyle w:val="examplescaled"/>
      </w:pPr>
      <w:r>
        <w:tab/>
        <w:t>ne'i</w:t>
      </w:r>
      <w:r>
        <w:tab/>
        <w:t>FAhA</w:t>
      </w:r>
      <w:r>
        <w:tab/>
        <w:t>within</w:t>
      </w:r>
    </w:p>
    <w:p w:rsidR="00B72047" w:rsidRDefault="00B72047">
      <w:pPr>
        <w:pStyle w:val="examplescaled"/>
      </w:pPr>
      <w:r>
        <w:tab/>
        <w:t>be'a</w:t>
      </w:r>
      <w:r>
        <w:tab/>
        <w:t>FAhA</w:t>
      </w:r>
      <w:r>
        <w:tab/>
        <w:t>north of</w:t>
      </w:r>
    </w:p>
    <w:p w:rsidR="00B72047" w:rsidRDefault="00B72047">
      <w:pPr>
        <w:pStyle w:val="resumedafterexample"/>
        <w:spacing w:before="40"/>
      </w:pPr>
      <w:r>
        <w:rPr>
          <w:rStyle w:val="htmlcodes"/>
        </w:rPr>
        <w:t>&lt;/pre&gt;</w:t>
      </w:r>
      <w:r>
        <w:t xml:space="preserve">(The complete list of FAhA cmavo can be found in </w:t>
      </w:r>
      <w:r>
        <w:rPr>
          <w:rStyle w:val="htmlcodes"/>
        </w:rPr>
        <w:t>&lt;a href=#s28&gt;</w:t>
      </w:r>
      <w:r>
        <w:t>Section 28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Why is this section about spatial tenses rather than the more familiar</w:t>
      </w:r>
      <w:r>
        <w:rPr>
          <w:rStyle w:val="deletedparamark"/>
        </w:rPr>
        <w:t xml:space="preserve"> </w:t>
      </w:r>
      <w:r>
        <w:t xml:space="preserve">time tenses of </w:t>
      </w:r>
      <w:r>
        <w:rPr>
          <w:rStyle w:val="htmlcodes"/>
        </w:rPr>
        <w:t>&lt;a href=#s1&gt;</w:t>
      </w:r>
      <w:r>
        <w:t>Section 1</w:t>
      </w:r>
      <w:r>
        <w:rPr>
          <w:rStyle w:val="htmlcodes"/>
        </w:rPr>
        <w:t>&lt;/a&gt;</w:t>
      </w:r>
      <w:r>
        <w:t>, asks the reader? Because the model to be used in</w:t>
      </w:r>
      <w:r>
        <w:rPr>
          <w:rStyle w:val="deletedparamark"/>
        </w:rPr>
        <w:t xml:space="preserve"> </w:t>
      </w:r>
      <w:r>
        <w:t>explaining both will be easier to grasp for space than for time.</w:t>
      </w:r>
      <w:r>
        <w:rPr>
          <w:rStyle w:val="deletedparamark"/>
        </w:rPr>
        <w:t xml:space="preserve"> </w:t>
      </w:r>
      <w:r>
        <w:t>The explanation of time tenses will re</w:t>
      </w:r>
      <w:r>
        <w:softHyphen/>
        <w:t xml:space="preserve">sume in </w:t>
      </w:r>
      <w:r>
        <w:rPr>
          <w:rStyle w:val="htmlcodes"/>
        </w:rPr>
        <w:t>&lt;a href=#s4&gt;</w:t>
      </w:r>
      <w:r>
        <w:t>Section 4</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"spatial tense, as optional in English"&gt;</w:t>
      </w:r>
      <w:r>
        <w:rPr>
          <w:rStyle w:val="indexentry"/>
        </w:rPr>
        <w:fldChar w:fldCharType="begin"/>
      </w:r>
      <w:r>
        <w:instrText>xe "</w:instrText>
      </w:r>
      <w:r>
        <w:rPr>
          <w:rStyle w:val="xeentry"/>
        </w:rPr>
        <w:instrText>spatial tense: as optional in English</w:instrText>
      </w:r>
      <w:r>
        <w:instrText>"</w:instrText>
      </w:r>
      <w:r>
        <w:rPr>
          <w:rStyle w:val="indexentry"/>
        </w:rPr>
        <w:fldChar w:fldCharType="end"/>
      </w:r>
      <w:r>
        <w:rPr>
          <w:rStyle w:val="indexentry"/>
        </w:rPr>
        <w:t>&lt;cx "spatial tense, compared with temporal tense in elidability"&gt;</w:t>
      </w:r>
      <w:r>
        <w:rPr>
          <w:rStyle w:val="indexentry"/>
        </w:rPr>
        <w:fldChar w:fldCharType="begin"/>
      </w:r>
      <w:r>
        <w:instrText>xe "</w:instrText>
      </w:r>
      <w:r>
        <w:rPr>
          <w:rStyle w:val="xeentry"/>
        </w:rPr>
        <w:instrText>spatial tense: compared with temporal tense in elidability</w:instrText>
      </w:r>
      <w:r>
        <w:instrText>"</w:instrText>
      </w:r>
      <w:r>
        <w:rPr>
          <w:rStyle w:val="indexentry"/>
        </w:rPr>
        <w:fldChar w:fldCharType="end"/>
      </w:r>
      <w:r>
        <w:rPr>
          <w:rStyle w:val="indexentry"/>
        </w:rPr>
        <w:t>&lt;cx "temporal tense, compared with spatial tense in elidability"&gt;</w:t>
      </w:r>
      <w:r>
        <w:rPr>
          <w:rStyle w:val="indexentry"/>
        </w:rPr>
        <w:fldChar w:fldCharType="begin"/>
      </w:r>
      <w:r>
        <w:instrText>xe "</w:instrText>
      </w:r>
      <w:r>
        <w:rPr>
          <w:rStyle w:val="xeentry"/>
        </w:rPr>
        <w:instrText>temporal tense: compared with spatial tense in elidability</w:instrText>
      </w:r>
      <w:r>
        <w:instrText>"</w:instrText>
      </w:r>
      <w:r>
        <w:rPr>
          <w:rStyle w:val="indexentry"/>
        </w:rPr>
        <w:fldChar w:fldCharType="end"/>
      </w:r>
      <w:r>
        <w:rPr>
          <w:rStyle w:val="indexentry"/>
        </w:rPr>
        <w:t>&lt;cx "temporal tense elision, compared with spatial tense elision in meaning"&gt;</w:t>
      </w:r>
      <w:r>
        <w:rPr>
          <w:rStyle w:val="indexentry"/>
        </w:rPr>
        <w:fldChar w:fldCharType="begin"/>
      </w:r>
      <w:r>
        <w:instrText>xe "</w:instrText>
      </w:r>
      <w:r>
        <w:rPr>
          <w:rStyle w:val="xeentry"/>
        </w:rPr>
        <w:instrText>temporal tense elision: compared with spatial tense elision in meaning</w:instrText>
      </w:r>
      <w:r>
        <w:instrText>"</w:instrText>
      </w:r>
      <w:r>
        <w:rPr>
          <w:rStyle w:val="indexentry"/>
        </w:rPr>
        <w:fldChar w:fldCharType="end"/>
      </w:r>
      <w:r>
        <w:t>English doesn't have mandatory spatial tenses. Although there are plenty of</w:t>
      </w:r>
      <w:r>
        <w:rPr>
          <w:rStyle w:val="deletedparamark"/>
        </w:rPr>
        <w:t xml:space="preserve"> </w:t>
      </w:r>
      <w:r>
        <w:t>ways in English of showing where an event hap</w:t>
      </w:r>
      <w:r>
        <w:softHyphen/>
        <w:t>pens, there is absolutely no</w:t>
      </w:r>
      <w:r>
        <w:rPr>
          <w:rStyle w:val="deletedparamark"/>
        </w:rPr>
        <w:t xml:space="preserve"> </w:t>
      </w:r>
      <w:r>
        <w:t>need to do so. Consi</w:t>
      </w:r>
      <w:r>
        <w:t>d</w:t>
      </w:r>
      <w:r>
        <w:softHyphen/>
        <w:t>ering this fact may give the reader a feel for what</w:t>
      </w:r>
      <w:r>
        <w:rPr>
          <w:rStyle w:val="deletedparamark"/>
        </w:rPr>
        <w:t xml:space="preserve"> </w:t>
      </w:r>
      <w:r>
        <w:t>the optional Lojban time tenses are like. From the Lojban point of view,</w:t>
      </w:r>
      <w:r>
        <w:rPr>
          <w:rStyle w:val="deletedparamark"/>
        </w:rPr>
        <w:t xml:space="preserve"> </w:t>
      </w:r>
      <w:r>
        <w:t>space and time are interchange</w:t>
      </w:r>
      <w:r>
        <w:softHyphen/>
        <w:t>able, al</w:t>
      </w:r>
      <w:r>
        <w:softHyphen/>
        <w:t>though they are not treated identically.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"spatial tense, definition"&gt;</w:t>
      </w:r>
      <w:r>
        <w:rPr>
          <w:rStyle w:val="indexentry"/>
        </w:rPr>
        <w:fldChar w:fldCharType="begin"/>
      </w:r>
      <w:r>
        <w:instrText>xe "</w:instrText>
      </w:r>
      <w:r>
        <w:rPr>
          <w:rStyle w:val="xeentry"/>
        </w:rPr>
        <w:instrText>spatial tense: definition</w:instrText>
      </w:r>
      <w:r>
        <w:instrText>"</w:instrText>
      </w:r>
      <w:r>
        <w:rPr>
          <w:rStyle w:val="indexentry"/>
        </w:rPr>
        <w:fldChar w:fldCharType="end"/>
      </w:r>
      <w:r>
        <w:rPr>
          <w:rStyle w:val="indexentry"/>
        </w:rPr>
        <w:t>&lt;cx "imaginary journey, and spatial tense"&gt;</w:t>
      </w:r>
      <w:r>
        <w:rPr>
          <w:rStyle w:val="indexentry"/>
        </w:rPr>
        <w:fldChar w:fldCharType="begin"/>
      </w:r>
      <w:r>
        <w:instrText>xe "</w:instrText>
      </w:r>
      <w:r>
        <w:rPr>
          <w:rStyle w:val="xeentry"/>
        </w:rPr>
        <w:instrText>imaginary journey: and spatial tense</w:instrText>
      </w:r>
      <w:r>
        <w:instrText>"</w:instrText>
      </w:r>
      <w:r>
        <w:rPr>
          <w:rStyle w:val="indexentry"/>
        </w:rPr>
        <w:fldChar w:fldCharType="end"/>
      </w:r>
      <w:r>
        <w:rPr>
          <w:rStyle w:val="indexentry"/>
        </w:rPr>
        <w:t>&lt;cx "spatial tense, as an imaginary journey"&gt;</w:t>
      </w:r>
      <w:r>
        <w:rPr>
          <w:rStyle w:val="indexentry"/>
        </w:rPr>
        <w:fldChar w:fldCharType="begin"/>
      </w:r>
      <w:r>
        <w:instrText>xe "</w:instrText>
      </w:r>
      <w:r>
        <w:rPr>
          <w:rStyle w:val="xeentry"/>
        </w:rPr>
        <w:instrText>spatial tense: as an imaginary journey</w:instrText>
      </w:r>
      <w:r>
        <w:instrText>"</w:instrText>
      </w:r>
      <w:r>
        <w:rPr>
          <w:rStyle w:val="indexentry"/>
        </w:rPr>
        <w:fldChar w:fldCharType="end"/>
      </w:r>
      <w:r>
        <w:rPr>
          <w:rStyle w:val="indexentry"/>
        </w:rPr>
        <w:t>&lt;cx "VA, and distance"&gt;</w:t>
      </w:r>
      <w:r>
        <w:rPr>
          <w:rStyle w:val="indexentry"/>
        </w:rPr>
        <w:fldChar w:fldCharType="begin"/>
      </w:r>
      <w:r>
        <w:instrText>xe "</w:instrText>
      </w:r>
      <w:r>
        <w:rPr>
          <w:rStyle w:val="xeentry"/>
        </w:rPr>
        <w:instrText>VA selma’o: and distance</w:instrText>
      </w:r>
      <w:r>
        <w:instrText>"</w:instrText>
      </w:r>
      <w:r>
        <w:rPr>
          <w:rStyle w:val="indexentry"/>
        </w:rPr>
        <w:fldChar w:fldCharType="end"/>
      </w:r>
      <w:r>
        <w:rPr>
          <w:rStyle w:val="indexentry"/>
        </w:rPr>
        <w:t>&lt;cx "distance, specification with VA"&gt;</w:t>
      </w:r>
      <w:r>
        <w:rPr>
          <w:rStyle w:val="indexentry"/>
        </w:rPr>
        <w:fldChar w:fldCharType="begin"/>
      </w:r>
      <w:r>
        <w:instrText>xe "</w:instrText>
      </w:r>
      <w:r>
        <w:rPr>
          <w:rStyle w:val="xeentry"/>
        </w:rPr>
        <w:instrText>distance: specification with VA</w:instrText>
      </w:r>
      <w:r>
        <w:instrText>"</w:instrText>
      </w:r>
      <w:r>
        <w:rPr>
          <w:rStyle w:val="indexentry"/>
        </w:rPr>
        <w:fldChar w:fldCharType="end"/>
      </w:r>
      <w:r>
        <w:rPr>
          <w:rStyle w:val="indexentry"/>
        </w:rPr>
        <w:t>&lt;lx "FAhA"&gt;</w:t>
      </w:r>
      <w:r>
        <w:rPr>
          <w:rStyle w:val="indexentry"/>
        </w:rPr>
        <w:fldChar w:fldCharType="begin"/>
      </w:r>
      <w:r>
        <w:instrText>xe "</w:instrText>
      </w:r>
      <w:r>
        <w:rPr>
          <w:rStyle w:val="xeentry"/>
        </w:rPr>
        <w:instrText>FAhA selma’o</w:instrText>
      </w:r>
      <w:r>
        <w:instrText>"</w:instrText>
      </w:r>
      <w:r>
        <w:rPr>
          <w:rStyle w:val="indexentry"/>
        </w:rPr>
        <w:fldChar w:fldCharType="end"/>
      </w:r>
      <w:r>
        <w:rPr>
          <w:rStyle w:val="indexentry"/>
        </w:rPr>
        <w:t>&lt;lx "VA"&gt;</w:t>
      </w:r>
      <w:r>
        <w:rPr>
          <w:rStyle w:val="indexentry"/>
        </w:rPr>
        <w:fldChar w:fldCharType="begin"/>
      </w:r>
      <w:r>
        <w:instrText>xe "</w:instrText>
      </w:r>
      <w:r>
        <w:rPr>
          <w:rStyle w:val="xeentry"/>
        </w:rPr>
        <w:instrText>VA selma’o</w:instrText>
      </w:r>
      <w:r>
        <w:instrText>"</w:instrText>
      </w:r>
      <w:r>
        <w:rPr>
          <w:rStyle w:val="indexentry"/>
        </w:rPr>
        <w:fldChar w:fldCharType="end"/>
      </w:r>
      <w:r>
        <w:rPr>
          <w:rStyle w:val="indexentry"/>
        </w:rPr>
        <w:t>&lt;cx "spatial tense, distance"&gt;</w:t>
      </w:r>
      <w:r>
        <w:rPr>
          <w:rStyle w:val="indexentry"/>
        </w:rPr>
        <w:fldChar w:fldCharType="begin"/>
      </w:r>
      <w:r>
        <w:instrText>xe "</w:instrText>
      </w:r>
      <w:r>
        <w:rPr>
          <w:rStyle w:val="xeentry"/>
        </w:rPr>
        <w:instrText>spatial tense: distance</w:instrText>
      </w:r>
      <w:r>
        <w:instrText>"</w:instrText>
      </w:r>
      <w:r>
        <w:rPr>
          <w:rStyle w:val="indexentry"/>
        </w:rPr>
        <w:fldChar w:fldCharType="end"/>
      </w:r>
      <w:r>
        <w:t>Lojban specifies the spatial tense of a bridi (the place at which it</w:t>
      </w:r>
      <w:r>
        <w:rPr>
          <w:rStyle w:val="deletedparamark"/>
        </w:rPr>
        <w:t xml:space="preserve"> </w:t>
      </w:r>
      <w:r>
        <w:t>occurs) by using words from selma'o FAhA and VA to de</w:t>
      </w:r>
      <w:r>
        <w:softHyphen/>
        <w:t>scribe an imaginary</w:t>
      </w:r>
      <w:r>
        <w:rPr>
          <w:rStyle w:val="deletedparamark"/>
        </w:rPr>
        <w:t xml:space="preserve"> </w:t>
      </w:r>
      <w:r>
        <w:t>journey from the speaker to the place referred to. FAhA cmavo specify</w:t>
      </w:r>
      <w:r>
        <w:rPr>
          <w:rStyle w:val="deletedparamark"/>
        </w:rPr>
        <w:t xml:space="preserve"> </w:t>
      </w:r>
      <w:r>
        <w:t>the direction taken in the journey, whereas VA cmavo specify the distance</w:t>
      </w:r>
      <w:r>
        <w:rPr>
          <w:rStyle w:val="deletedparamark"/>
        </w:rPr>
        <w:t xml:space="preserve"> </w:t>
      </w:r>
      <w:r>
        <w:t>gone. For example:</w:t>
      </w:r>
    </w:p>
    <w:p w:rsidR="00B72047" w:rsidRDefault="00B72047">
      <w:pPr>
        <w:rPr>
          <w:rStyle w:val="htmlparacode"/>
        </w:rPr>
      </w:pPr>
      <w:r>
        <w:rPr>
          <w:rStyle w:val="htmlparacode"/>
        </w:rPr>
        <w:t>&lt;p&gt;</w:t>
      </w:r>
    </w:p>
    <w:p w:rsidR="00B72047" w:rsidRDefault="00B72047">
      <w:pPr>
        <w:pStyle w:val="examplescaledpre"/>
      </w:pPr>
      <w:r>
        <w:rPr>
          <w:rStyle w:val="indexentry"/>
        </w:rPr>
        <w:t>&lt;cx "man biting dog"&gt;</w:t>
      </w:r>
      <w:r>
        <w:rPr>
          <w:rStyle w:val="indexentry"/>
        </w:rPr>
        <w:fldChar w:fldCharType="begin"/>
      </w:r>
      <w:r>
        <w:instrText>xe "</w:instrText>
      </w:r>
      <w:r>
        <w:rPr>
          <w:rStyle w:val="xeentry"/>
        </w:rPr>
        <w:instrText>man biting dog</w:instrText>
      </w:r>
      <w:r>
        <w:instrText>"</w:instrText>
      </w:r>
      <w:r>
        <w:rPr>
          <w:rStyle w:val="indexentry"/>
        </w:rPr>
        <w:fldChar w:fldCharType="end"/>
      </w:r>
      <w:r>
        <w:rPr>
          <w:rStyle w:val="htmlcodes"/>
        </w:rPr>
        <w:t>&lt;pre&gt;&lt;a name=e2d1&gt;</w:t>
      </w:r>
      <w:r>
        <w:t>2.1)</w:t>
      </w:r>
      <w:r>
        <w:tab/>
        <w:t>le nanmu va batci le gerku</w:t>
      </w:r>
    </w:p>
    <w:p w:rsidR="00B72047" w:rsidRDefault="00B72047">
      <w:pPr>
        <w:pStyle w:val="examplescaled"/>
      </w:pPr>
      <w:r>
        <w:tab/>
        <w:t>The man [medium distance] bites the dog.</w:t>
      </w:r>
    </w:p>
    <w:p w:rsidR="00B72047" w:rsidRDefault="00B72047">
      <w:pPr>
        <w:pStyle w:val="examplescaled"/>
      </w:pPr>
      <w:r>
        <w:tab/>
        <w:t>Over there the man is biting the dog.</w:t>
      </w:r>
    </w:p>
    <w:p w:rsidR="00B72047" w:rsidRDefault="00B72047">
      <w:pPr>
        <w:pStyle w:val="resumedafterexample"/>
      </w:pPr>
      <w:r>
        <w:rPr>
          <w:rStyle w:val="htmlcodes"/>
        </w:rPr>
        <w:t>&lt;/pre&gt;</w:t>
      </w:r>
      <w:r>
        <w:rPr>
          <w:rStyle w:val="indexentry"/>
        </w:rPr>
        <w:t>&lt;cx "imaginary journey, starting point"&gt;</w:t>
      </w:r>
      <w:r>
        <w:rPr>
          <w:rStyle w:val="indexentry"/>
        </w:rPr>
        <w:fldChar w:fldCharType="begin"/>
      </w:r>
      <w:r>
        <w:instrText>xe "</w:instrText>
      </w:r>
      <w:r>
        <w:rPr>
          <w:rStyle w:val="xeentry"/>
        </w:rPr>
        <w:instrText>imaginary journey: starting point</w:instrText>
      </w:r>
      <w:r>
        <w:instrText>"</w:instrText>
      </w:r>
      <w:r>
        <w:rPr>
          <w:rStyle w:val="indexentry"/>
        </w:rPr>
        <w:fldChar w:fldCharType="end"/>
      </w:r>
      <w:r>
        <w:rPr>
          <w:rStyle w:val="indexentry"/>
        </w:rPr>
        <w:t>&lt;cx "imaginary journey, ending point"&gt;</w:t>
      </w:r>
      <w:r>
        <w:rPr>
          <w:rStyle w:val="indexentry"/>
        </w:rPr>
        <w:fldChar w:fldCharType="begin"/>
      </w:r>
      <w:r>
        <w:instrText>xe "</w:instrText>
      </w:r>
      <w:r>
        <w:rPr>
          <w:rStyle w:val="xeentry"/>
        </w:rPr>
        <w:instrText>imaginary journey: ending point</w:instrText>
      </w:r>
      <w:r>
        <w:instrText>"</w:instrText>
      </w:r>
      <w:r>
        <w:rPr>
          <w:rStyle w:val="indexentry"/>
        </w:rPr>
        <w:fldChar w:fldCharType="end"/>
      </w:r>
      <w:r>
        <w:rPr>
          <w:rStyle w:val="indexentry"/>
        </w:rPr>
        <w:t>&lt;cx "spatial tense, referent of"&gt;</w:t>
      </w:r>
      <w:r>
        <w:rPr>
          <w:rStyle w:val="indexentry"/>
        </w:rPr>
        <w:fldChar w:fldCharType="begin"/>
      </w:r>
      <w:r>
        <w:instrText>xe "</w:instrText>
      </w:r>
      <w:r>
        <w:rPr>
          <w:rStyle w:val="xeentry"/>
        </w:rPr>
        <w:instrText>spatial tense: referent of</w:instrText>
      </w:r>
      <w:r>
        <w:instrText>"</w:instrText>
      </w:r>
      <w:r>
        <w:rPr>
          <w:rStyle w:val="indexentry"/>
        </w:rPr>
        <w:fldChar w:fldCharType="end"/>
      </w:r>
      <w:r>
        <w:rPr>
          <w:rStyle w:val="indexentry"/>
        </w:rPr>
        <w:t>&lt;cx "spatial tense, reference frame"&gt;</w:t>
      </w:r>
      <w:r>
        <w:rPr>
          <w:rStyle w:val="indexentry"/>
        </w:rPr>
        <w:fldChar w:fldCharType="begin"/>
      </w:r>
      <w:r>
        <w:instrText>xe "</w:instrText>
      </w:r>
      <w:r>
        <w:rPr>
          <w:rStyle w:val="xeentry"/>
        </w:rPr>
        <w:instrText>spatial tense: reference frame</w:instrText>
      </w:r>
      <w:r>
        <w:instrText>"</w:instrText>
      </w:r>
      <w:r>
        <w:rPr>
          <w:rStyle w:val="indexentry"/>
        </w:rPr>
        <w:fldChar w:fldCharType="end"/>
      </w:r>
      <w:r>
        <w:rPr>
          <w:rStyle w:val="indexentry"/>
        </w:rPr>
        <w:t>&lt;lx "va"&gt;</w:t>
      </w:r>
      <w:r>
        <w:rPr>
          <w:rStyle w:val="indexentry"/>
        </w:rPr>
        <w:fldChar w:fldCharType="begin"/>
      </w:r>
      <w:r>
        <w:instrText>xe "</w:instrText>
      </w:r>
      <w:r>
        <w:rPr>
          <w:rStyle w:val="xeentry"/>
        </w:rPr>
        <w:instrText>va</w:instrText>
      </w:r>
      <w:r>
        <w:instrText>"</w:instrText>
      </w:r>
      <w:r>
        <w:rPr>
          <w:rStyle w:val="indexentry"/>
        </w:rPr>
        <w:fldChar w:fldCharType="end"/>
      </w:r>
      <w:r>
        <w:t>What is at a medium distance? The event referred to by the bridi:</w:t>
      </w:r>
      <w:r>
        <w:rPr>
          <w:rStyle w:val="deletedparamark"/>
        </w:rPr>
        <w:t xml:space="preserve"> </w:t>
      </w:r>
      <w:r>
        <w:t>the man biting the dog. What is this event at a medium distance from?</w:t>
      </w:r>
      <w:r>
        <w:rPr>
          <w:rStyle w:val="deletedparamark"/>
        </w:rPr>
        <w:t xml:space="preserve"> </w:t>
      </w:r>
      <w:r>
        <w:t>The speaker's location. We can un</w:t>
      </w:r>
      <w:r>
        <w:softHyphen/>
        <w:t>derstand the “va” as saying:</w:t>
      </w:r>
      <w:r>
        <w:rPr>
          <w:rStyle w:val="deletedparamark"/>
        </w:rPr>
        <w:t xml:space="preserve"> “</w:t>
      </w:r>
      <w:r>
        <w:t>If you want to get from the speaker's location to the loca</w:t>
      </w:r>
      <w:r>
        <w:softHyphen/>
        <w:t>tion of</w:t>
      </w:r>
      <w:r>
        <w:rPr>
          <w:rStyle w:val="deletedparamark"/>
        </w:rPr>
        <w:t xml:space="preserve"> </w:t>
      </w:r>
      <w:r>
        <w:t>the bridi, journey for a medium distance (in some direction unspecified).”</w:t>
      </w:r>
      <w:r>
        <w:rPr>
          <w:rStyle w:val="deletedparamark"/>
        </w:rPr>
        <w:t xml:space="preserve"> </w:t>
      </w:r>
      <w:r>
        <w:t xml:space="preserve">This “imaginary journey” can be used to understand not only </w:t>
      </w:r>
      <w:r>
        <w:rPr>
          <w:rStyle w:val="htmlcodes"/>
        </w:rPr>
        <w:t>&lt;a href=#e2d1&gt;</w:t>
      </w:r>
      <w:r>
        <w:t>Example 2.1</w:t>
      </w:r>
      <w:r>
        <w:rPr>
          <w:rStyle w:val="htmlcodes"/>
        </w:rPr>
        <w:t>&lt;/a&gt;</w:t>
      </w:r>
      <w:r>
        <w:t>,</w:t>
      </w:r>
      <w:r>
        <w:rPr>
          <w:rStyle w:val="deletedparamark"/>
        </w:rPr>
        <w:t xml:space="preserve"> </w:t>
      </w:r>
      <w:r>
        <w:t>but also every other spatial tense construct.</w:t>
      </w:r>
    </w:p>
    <w:p w:rsidR="00B72047" w:rsidRDefault="00B72047">
      <w:pPr>
        <w:rPr>
          <w:rStyle w:val="htmlparacode"/>
        </w:rPr>
      </w:pPr>
      <w:r>
        <w:rPr>
          <w:rStyle w:val="htmlparacode"/>
        </w:rPr>
        <w:t>&lt;p&gt;</w:t>
      </w:r>
    </w:p>
    <w:p w:rsidR="00B72047" w:rsidRDefault="00B72047">
      <w:pPr>
        <w:pStyle w:val="normalparagraph"/>
      </w:pPr>
      <w:r>
        <w:rPr>
          <w:rStyle w:val="indexentry"/>
        </w:rPr>
        <w:t>&lt;cx "spatial tense, direction"&gt;</w:t>
      </w:r>
      <w:r>
        <w:rPr>
          <w:rStyle w:val="indexentry"/>
        </w:rPr>
        <w:fldChar w:fldCharType="begin"/>
      </w:r>
      <w:r>
        <w:instrText>xe "</w:instrText>
      </w:r>
      <w:r>
        <w:rPr>
          <w:rStyle w:val="xeentry"/>
        </w:rPr>
        <w:instrText>spatial tense: direction</w:instrText>
      </w:r>
      <w:r>
        <w:instrText>"</w:instrText>
      </w:r>
      <w:r>
        <w:rPr>
          <w:rStyle w:val="indexentry"/>
        </w:rPr>
        <w:fldChar w:fldCharType="end"/>
      </w:r>
      <w:r>
        <w:rPr>
          <w:rStyle w:val="indexentry"/>
        </w:rPr>
        <w:t>&lt;cx "FAhA, and direction"&gt;</w:t>
      </w:r>
      <w:r>
        <w:rPr>
          <w:rStyle w:val="indexentry"/>
        </w:rPr>
        <w:fldChar w:fldCharType="begin"/>
      </w:r>
      <w:r>
        <w:instrText>xe "</w:instrText>
      </w:r>
      <w:r>
        <w:rPr>
          <w:rStyle w:val="xeentry"/>
        </w:rPr>
        <w:instrText>FAhA selma’o: and direction</w:instrText>
      </w:r>
      <w:r>
        <w:instrText>"</w:instrText>
      </w:r>
      <w:r>
        <w:rPr>
          <w:rStyle w:val="indexentry"/>
        </w:rPr>
        <w:fldChar w:fldCharType="end"/>
      </w:r>
      <w:r>
        <w:rPr>
          <w:rStyle w:val="indexentry"/>
        </w:rPr>
        <w:t>&lt;cx "direction, specification with FAhA"&gt;</w:t>
      </w:r>
      <w:r>
        <w:rPr>
          <w:rStyle w:val="indexentry"/>
        </w:rPr>
        <w:fldChar w:fldCharType="begin"/>
      </w:r>
      <w:r>
        <w:instrText>xe "</w:instrText>
      </w:r>
      <w:r>
        <w:rPr>
          <w:rStyle w:val="xeentry"/>
        </w:rPr>
        <w:instrText>direction: specification with FAhA</w:instrText>
      </w:r>
      <w:r>
        <w:instrText>"</w:instrText>
      </w:r>
      <w:r>
        <w:rPr>
          <w:rStyle w:val="indexentry"/>
        </w:rPr>
        <w:fldChar w:fldCharType="end"/>
      </w:r>
      <w:r>
        <w:t>Suppose you specify a direction with a FAhA cmavo, rather than a distance</w:t>
      </w:r>
      <w:r>
        <w:rPr>
          <w:rStyle w:val="deletedparamark"/>
        </w:rPr>
        <w:t xml:space="preserve"> </w:t>
      </w:r>
      <w:r>
        <w:t>with a VA cmavo:</w:t>
      </w:r>
    </w:p>
    <w:p w:rsidR="00B72047" w:rsidRDefault="00B72047">
      <w:pPr>
        <w:rPr>
          <w:rStyle w:val="htmlparacode"/>
        </w:rPr>
      </w:pPr>
      <w:r>
        <w:rPr>
          <w:rStyle w:val="htmlparacode"/>
        </w:rPr>
        <w:t>&lt;p&gt;</w:t>
      </w:r>
    </w:p>
    <w:p w:rsidR="00B72047" w:rsidRDefault="00B72047">
      <w:pPr>
        <w:pStyle w:val="examplescaledpre"/>
      </w:pPr>
      <w:r>
        <w:rPr>
          <w:rStyle w:val="indexentry"/>
        </w:rPr>
        <w:t>&lt;lx "zu'a"&gt;</w:t>
      </w:r>
      <w:r>
        <w:rPr>
          <w:rStyle w:val="indexentry"/>
        </w:rPr>
        <w:fldChar w:fldCharType="begin"/>
      </w:r>
      <w:r>
        <w:instrText>xe "</w:instrText>
      </w:r>
      <w:r>
        <w:rPr>
          <w:rStyle w:val="xeentry"/>
        </w:rPr>
        <w:instrText>zu'a</w:instrText>
      </w:r>
      <w:r>
        <w:instrText>"</w:instrText>
      </w:r>
      <w:r>
        <w:rPr>
          <w:rStyle w:val="indexentry"/>
        </w:rPr>
        <w:fldChar w:fldCharType="end"/>
      </w:r>
      <w:r>
        <w:rPr>
          <w:rStyle w:val="htmlcodes"/>
        </w:rPr>
        <w:t>&lt;pre&gt;&lt;a name=e2d2&gt;</w:t>
      </w:r>
      <w:r>
        <w:t>2.2)</w:t>
      </w:r>
      <w:r>
        <w:tab/>
        <w:t>le nanmu zu'a batci le gerku</w:t>
      </w:r>
    </w:p>
    <w:p w:rsidR="00B72047" w:rsidRDefault="00B72047">
      <w:pPr>
        <w:pStyle w:val="examplescaled"/>
      </w:pPr>
      <w:r>
        <w:tab/>
        <w:t>The man [left] bites the dog.</w:t>
      </w:r>
    </w:p>
    <w:p w:rsidR="00B72047" w:rsidRDefault="00B72047">
      <w:pPr>
        <w:pStyle w:val="resumedafterexample"/>
      </w:pPr>
      <w:r>
        <w:rPr>
          <w:rStyle w:val="htmlcodes"/>
        </w:rPr>
        <w:t>&lt;/pre&gt;&lt;p&gt;</w:t>
      </w:r>
      <w:r>
        <w:t>Here the imaginary journey is again from the speaker's location to the</w:t>
      </w:r>
      <w:r>
        <w:rPr>
          <w:rStyle w:val="deletedparamark"/>
        </w:rPr>
        <w:t xml:space="preserve"> </w:t>
      </w:r>
      <w:r>
        <w:t>location of the bridi, but it is now performed by going to the left</w:t>
      </w:r>
      <w:r>
        <w:rPr>
          <w:rStyle w:val="deletedparamark"/>
        </w:rPr>
        <w:t xml:space="preserve"> </w:t>
      </w:r>
      <w:r>
        <w:t>(in the speaker's reference frame) for an unspecified distance. So</w:t>
      </w:r>
      <w:r>
        <w:rPr>
          <w:rStyle w:val="deletedparamark"/>
        </w:rPr>
        <w:t xml:space="preserve"> </w:t>
      </w:r>
      <w:r>
        <w:t>a reason</w:t>
      </w:r>
      <w:r>
        <w:softHyphen/>
        <w:t>able translation is: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To my left, the man bites the dog.</w:t>
      </w:r>
    </w:p>
    <w:p w:rsidR="00B72047" w:rsidRDefault="00B72047">
      <w:pPr>
        <w:pStyle w:val="resumedafterexample"/>
      </w:pPr>
      <w:r>
        <w:rPr>
          <w:rStyle w:val="htmlcodes"/>
        </w:rPr>
        <w:t>&lt;/dl&gt;&lt;p&gt;</w:t>
      </w:r>
      <w:r>
        <w:t>The “my” does not have an explicit equivalent in the Lojban, because</w:t>
      </w:r>
      <w:r>
        <w:rPr>
          <w:rStyle w:val="deletedparamark"/>
        </w:rPr>
        <w:t xml:space="preserve"> </w:t>
      </w:r>
      <w:r>
        <w:t>the speaker's lo</w:t>
      </w:r>
      <w:r>
        <w:softHyphen/>
        <w:t>cation is understood as the starting point.</w:t>
      </w:r>
    </w:p>
    <w:p w:rsidR="00B72047" w:rsidRDefault="00B72047">
      <w:pPr>
        <w:rPr>
          <w:rStyle w:val="htmlparacode"/>
        </w:rPr>
      </w:pPr>
      <w:r>
        <w:rPr>
          <w:rStyle w:val="htmlparacode"/>
        </w:rPr>
        <w:t>&lt;p&gt;</w:t>
      </w:r>
    </w:p>
    <w:p w:rsidR="00B72047" w:rsidRDefault="00B72047">
      <w:pPr>
        <w:pStyle w:val="normalparagraph"/>
      </w:pPr>
      <w:r>
        <w:rPr>
          <w:rStyle w:val="indexentry"/>
        </w:rPr>
        <w:t>&lt;cx "zu'a, derivation of word"&gt;</w:t>
      </w:r>
      <w:r>
        <w:rPr>
          <w:rStyle w:val="indexentry"/>
        </w:rPr>
        <w:fldChar w:fldCharType="begin"/>
      </w:r>
      <w:r>
        <w:instrText>xe "</w:instrText>
      </w:r>
      <w:r>
        <w:rPr>
          <w:rStyle w:val="xeentry"/>
        </w:rPr>
        <w:instrText>zu'a: derivation of word</w:instrText>
      </w:r>
      <w:r>
        <w:instrText>"</w:instrText>
      </w:r>
      <w:r>
        <w:rPr>
          <w:rStyle w:val="indexentry"/>
        </w:rPr>
        <w:fldChar w:fldCharType="end"/>
      </w:r>
      <w:r>
        <w:rPr>
          <w:rStyle w:val="indexentry"/>
        </w:rPr>
        <w:t>&lt;cx "VA, relation of words to ti, ta, tu"&gt;</w:t>
      </w:r>
      <w:r>
        <w:rPr>
          <w:rStyle w:val="indexentry"/>
        </w:rPr>
        <w:fldChar w:fldCharType="begin"/>
      </w:r>
      <w:r>
        <w:instrText>xe "</w:instrText>
      </w:r>
      <w:r>
        <w:rPr>
          <w:rStyle w:val="xeentry"/>
        </w:rPr>
        <w:instrText>VA selma’o: relation of words to ti, ta, tu</w:instrText>
      </w:r>
      <w:r>
        <w:instrText>"</w:instrText>
      </w:r>
      <w:r>
        <w:rPr>
          <w:rStyle w:val="indexentry"/>
        </w:rPr>
        <w:fldChar w:fldCharType="end"/>
      </w:r>
      <w:r>
        <w:rPr>
          <w:rStyle w:val="indexentry"/>
        </w:rPr>
        <w:t>&lt;lx "zu'a"&gt;</w:t>
      </w:r>
      <w:r>
        <w:rPr>
          <w:rStyle w:val="indexentry"/>
        </w:rPr>
        <w:fldChar w:fldCharType="begin"/>
      </w:r>
      <w:r>
        <w:instrText>xe "</w:instrText>
      </w:r>
      <w:r>
        <w:rPr>
          <w:rStyle w:val="xeentry"/>
        </w:rPr>
        <w:instrText>zu'a</w:instrText>
      </w:r>
      <w:r>
        <w:instrText>"</w:instrText>
      </w:r>
      <w:r>
        <w:rPr>
          <w:rStyle w:val="indexentry"/>
        </w:rPr>
        <w:fldChar w:fldCharType="end"/>
      </w:r>
      <w:r>
        <w:rPr>
          <w:rStyle w:val="indexentry"/>
        </w:rPr>
        <w:t>&lt;lx "VA"&gt;</w:t>
      </w:r>
      <w:r>
        <w:rPr>
          <w:rStyle w:val="indexentry"/>
        </w:rPr>
        <w:fldChar w:fldCharType="begin"/>
      </w:r>
      <w:r>
        <w:instrText>xe "</w:instrText>
      </w:r>
      <w:r>
        <w:rPr>
          <w:rStyle w:val="xeentry"/>
        </w:rPr>
        <w:instrText>VA selma’o</w:instrText>
      </w:r>
      <w:r>
        <w:instrText>"</w:instrText>
      </w:r>
      <w:r>
        <w:rPr>
          <w:rStyle w:val="indexentry"/>
        </w:rPr>
        <w:fldChar w:fldCharType="end"/>
      </w:r>
      <w:r>
        <w:rPr>
          <w:rStyle w:val="indexentry"/>
        </w:rPr>
        <w:t>&lt;lx "vi"&gt;</w:t>
      </w:r>
      <w:r>
        <w:rPr>
          <w:rStyle w:val="indexentry"/>
        </w:rPr>
        <w:fldChar w:fldCharType="begin"/>
      </w:r>
      <w:r>
        <w:instrText>xe "</w:instrText>
      </w:r>
      <w:r>
        <w:rPr>
          <w:rStyle w:val="xeentry"/>
        </w:rPr>
        <w:instrText>vi</w:instrText>
      </w:r>
      <w:r>
        <w:instrText>"</w:instrText>
      </w:r>
      <w:r>
        <w:rPr>
          <w:rStyle w:val="indexentry"/>
        </w:rPr>
        <w:fldChar w:fldCharType="end"/>
      </w:r>
      <w:r>
        <w:rPr>
          <w:rStyle w:val="indexentry"/>
        </w:rPr>
        <w:t>&lt;lx "va"&gt;</w:t>
      </w:r>
      <w:r>
        <w:rPr>
          <w:rStyle w:val="indexentry"/>
        </w:rPr>
        <w:fldChar w:fldCharType="begin"/>
      </w:r>
      <w:r>
        <w:instrText>xe "</w:instrText>
      </w:r>
      <w:r>
        <w:rPr>
          <w:rStyle w:val="xeentry"/>
        </w:rPr>
        <w:instrText>va</w:instrText>
      </w:r>
      <w:r>
        <w:instrText>"</w:instrText>
      </w:r>
      <w:r>
        <w:rPr>
          <w:rStyle w:val="indexentry"/>
        </w:rPr>
        <w:fldChar w:fldCharType="end"/>
      </w:r>
      <w:r>
        <w:rPr>
          <w:rStyle w:val="indexentry"/>
        </w:rPr>
        <w:t>&lt;lx "vu"&gt;</w:t>
      </w:r>
      <w:r>
        <w:rPr>
          <w:rStyle w:val="indexentry"/>
        </w:rPr>
        <w:fldChar w:fldCharType="begin"/>
      </w:r>
      <w:r>
        <w:instrText>xe "</w:instrText>
      </w:r>
      <w:r>
        <w:rPr>
          <w:rStyle w:val="xeentry"/>
        </w:rPr>
        <w:instrText>vu</w:instrText>
      </w:r>
      <w:r>
        <w:instrText>"</w:instrText>
      </w:r>
      <w:r>
        <w:rPr>
          <w:rStyle w:val="indexentry"/>
        </w:rPr>
        <w:fldChar w:fldCharType="end"/>
      </w:r>
      <w:r>
        <w:t>(Etymologically, by the way, “zu'a” is derived from “zunle”, the gismu</w:t>
      </w:r>
      <w:r>
        <w:rPr>
          <w:rStyle w:val="deletedparamark"/>
        </w:rPr>
        <w:t xml:space="preserve"> </w:t>
      </w:r>
      <w:r>
        <w:t>for “left”, whereas “vi”, “va”, and “vu” are intended to be remi</w:t>
      </w:r>
      <w:r>
        <w:softHyphen/>
        <w:t>niscent</w:t>
      </w:r>
      <w:r>
        <w:rPr>
          <w:rStyle w:val="deletedparamark"/>
        </w:rPr>
        <w:t xml:space="preserve"> </w:t>
      </w:r>
      <w:r>
        <w:t>of “ti”, “ta”, and “tu”, the demonstrative pronouns “this-here”, “that-there”,</w:t>
      </w:r>
      <w:r>
        <w:rPr>
          <w:rStyle w:val="deletedparamark"/>
        </w:rPr>
        <w:t xml:space="preserve"> </w:t>
      </w:r>
      <w:r>
        <w:t>and “that-yonder”.)</w:t>
      </w:r>
    </w:p>
    <w:p w:rsidR="00B72047" w:rsidRDefault="00B72047">
      <w:pPr>
        <w:rPr>
          <w:rStyle w:val="htmlparacode"/>
        </w:rPr>
      </w:pPr>
      <w:r>
        <w:rPr>
          <w:rStyle w:val="htmlparacode"/>
        </w:rPr>
        <w:t>&lt;p&gt;</w:t>
      </w:r>
    </w:p>
    <w:p w:rsidR="00B72047" w:rsidRDefault="00B72047">
      <w:pPr>
        <w:pStyle w:val="normalparagraph"/>
      </w:pPr>
      <w:r>
        <w:rPr>
          <w:rStyle w:val="indexentry"/>
        </w:rPr>
        <w:t>&lt;cx "tense, order of direction specification in"&gt;</w:t>
      </w:r>
      <w:r>
        <w:rPr>
          <w:rStyle w:val="indexentry"/>
        </w:rPr>
        <w:fldChar w:fldCharType="begin"/>
      </w:r>
      <w:r>
        <w:instrText>xe "</w:instrText>
      </w:r>
      <w:r>
        <w:rPr>
          <w:rStyle w:val="xeentry"/>
        </w:rPr>
        <w:instrText>tense: order of direction specification in</w:instrText>
      </w:r>
      <w:r>
        <w:instrText>"</w:instrText>
      </w:r>
      <w:r>
        <w:rPr>
          <w:rStyle w:val="indexentry"/>
        </w:rPr>
        <w:fldChar w:fldCharType="end"/>
      </w:r>
      <w:r>
        <w:rPr>
          <w:rStyle w:val="indexentry"/>
        </w:rPr>
        <w:t>&lt;cx "tense, order of distance specification in"&gt;</w:t>
      </w:r>
      <w:r>
        <w:rPr>
          <w:rStyle w:val="indexentry"/>
        </w:rPr>
        <w:fldChar w:fldCharType="begin"/>
      </w:r>
      <w:r>
        <w:instrText>xe "</w:instrText>
      </w:r>
      <w:r>
        <w:rPr>
          <w:rStyle w:val="xeentry"/>
        </w:rPr>
        <w:instrText>tense: order of distance specification in</w:instrText>
      </w:r>
      <w:r>
        <w:instrText>"</w:instrText>
      </w:r>
      <w:r>
        <w:rPr>
          <w:rStyle w:val="indexentry"/>
        </w:rPr>
        <w:fldChar w:fldCharType="end"/>
      </w:r>
      <w:r>
        <w:rPr>
          <w:rStyle w:val="indexentry"/>
        </w:rPr>
        <w:t>&lt;cx "spatial tenses, order of direction and distance specifications"&gt;</w:t>
      </w:r>
      <w:r>
        <w:rPr>
          <w:rStyle w:val="indexentry"/>
        </w:rPr>
        <w:fldChar w:fldCharType="begin"/>
      </w:r>
      <w:r>
        <w:instrText>xe "</w:instrText>
      </w:r>
      <w:r>
        <w:rPr>
          <w:rStyle w:val="xeentry"/>
        </w:rPr>
        <w:instrText>spatial tense: order of direction and distance specification</w:instrText>
      </w:r>
      <w:r>
        <w:instrText>"</w:instrText>
      </w:r>
      <w:r>
        <w:rPr>
          <w:rStyle w:val="indexentry"/>
        </w:rPr>
        <w:fldChar w:fldCharType="end"/>
      </w:r>
      <w:r>
        <w:rPr>
          <w:rStyle w:val="indexentry"/>
        </w:rPr>
        <w:t>&lt;cx "direction, order of relative to distance in spatial tenses"&gt;</w:t>
      </w:r>
      <w:r>
        <w:rPr>
          <w:rStyle w:val="indexentry"/>
        </w:rPr>
        <w:fldChar w:fldCharType="begin"/>
      </w:r>
      <w:r>
        <w:instrText>xe "</w:instrText>
      </w:r>
      <w:r>
        <w:rPr>
          <w:rStyle w:val="xeentry"/>
        </w:rPr>
        <w:instrText>direction: order of relative to distance in spatial tenses</w:instrText>
      </w:r>
      <w:r>
        <w:instrText>"</w:instrText>
      </w:r>
      <w:r>
        <w:rPr>
          <w:rStyle w:val="indexentry"/>
        </w:rPr>
        <w:fldChar w:fldCharType="end"/>
      </w:r>
      <w:r>
        <w:rPr>
          <w:rStyle w:val="indexentry"/>
        </w:rPr>
        <w:t>&lt;cx "distance, order of relative to direction in spatial tenses"&gt;</w:t>
      </w:r>
      <w:r>
        <w:rPr>
          <w:rStyle w:val="indexentry"/>
        </w:rPr>
        <w:fldChar w:fldCharType="begin"/>
      </w:r>
      <w:r>
        <w:instrText>xe "</w:instrText>
      </w:r>
      <w:r>
        <w:rPr>
          <w:rStyle w:val="xeentry"/>
        </w:rPr>
        <w:instrText>distance: order of relative to direction in spatial tenses</w:instrText>
      </w:r>
      <w:r>
        <w:instrText>"</w:instrText>
      </w:r>
      <w:r>
        <w:rPr>
          <w:rStyle w:val="indexentry"/>
        </w:rPr>
        <w:fldChar w:fldCharType="end"/>
      </w:r>
      <w:r>
        <w:t>What about specifying both a direction and a distance? The rule here</w:t>
      </w:r>
      <w:r>
        <w:rPr>
          <w:rStyle w:val="deletedparamark"/>
        </w:rPr>
        <w:t xml:space="preserve"> </w:t>
      </w:r>
      <w:r>
        <w:t>is that the d</w:t>
      </w:r>
      <w:r>
        <w:t>i</w:t>
      </w:r>
      <w:r>
        <w:softHyphen/>
        <w:t>rection must come before the distance: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le nanmu zu'avi batci le gerku</w:t>
      </w:r>
    </w:p>
    <w:p w:rsidR="00B72047" w:rsidRDefault="00B72047">
      <w:pPr>
        <w:pStyle w:val="examplescaled"/>
      </w:pPr>
      <w:r>
        <w:tab/>
        <w:t>The man [left] [short distance] bites the dog.</w:t>
      </w:r>
    </w:p>
    <w:p w:rsidR="00B72047" w:rsidRDefault="00B72047">
      <w:pPr>
        <w:pStyle w:val="examplescaled"/>
      </w:pPr>
      <w:r>
        <w:tab/>
        <w:t>Slightly to my left, the man bites the dog.</w:t>
      </w:r>
    </w:p>
    <w:p w:rsidR="00B72047" w:rsidRDefault="00B72047">
      <w:pPr>
        <w:pStyle w:val="resumedafterexample"/>
      </w:pPr>
      <w:r>
        <w:rPr>
          <w:rStyle w:val="htmlcodes"/>
        </w:rPr>
        <w:t>&lt;/pre&gt;&lt;p&gt;</w:t>
      </w:r>
      <w:r>
        <w:t xml:space="preserve">As explained in </w:t>
      </w:r>
      <w:r>
        <w:rPr>
          <w:rStyle w:val="htmlcodes"/>
        </w:rPr>
        <w:t>&lt;a href=#s1&gt;</w:t>
      </w:r>
      <w:r>
        <w:t>Section 1</w:t>
      </w:r>
      <w:r>
        <w:rPr>
          <w:rStyle w:val="htmlcodes"/>
        </w:rPr>
        <w:t>&lt;/a&gt;</w:t>
      </w:r>
      <w:r>
        <w:t>, it would be perfectly correct to use “ku” to</w:t>
      </w:r>
      <w:r>
        <w:rPr>
          <w:rStyle w:val="deletedparamark"/>
        </w:rPr>
        <w:t xml:space="preserve"> </w:t>
      </w:r>
      <w:r>
        <w:t>move this tense to the beginning or the end of the sentence to em</w:t>
      </w:r>
      <w:r>
        <w:softHyphen/>
        <w:t>phasize it: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zu'aviku le nanmu cu batci le gerku</w:t>
      </w:r>
    </w:p>
    <w:p w:rsidR="00B72047" w:rsidRDefault="00B72047">
      <w:pPr>
        <w:pStyle w:val="examplescaled"/>
      </w:pPr>
      <w:r>
        <w:tab/>
        <w:t>[Left] [short distance] the man bites the dog.</w:t>
      </w:r>
    </w:p>
    <w:p w:rsidR="00B72047" w:rsidRDefault="00B72047">
      <w:pPr>
        <w:pStyle w:val="examplescaled"/>
      </w:pPr>
      <w:r>
        <w:tab/>
        <w:t>Slightly to my left, the man bites the dog.</w:t>
      </w:r>
    </w:p>
    <w:p w:rsidR="00B72047" w:rsidRDefault="00B72047">
      <w:pPr>
        <w:pStyle w:val="Heading3"/>
        <w:rPr>
          <w:rStyle w:val="Heading3Text"/>
        </w:rPr>
      </w:pPr>
      <w:r>
        <w:rPr>
          <w:rStyle w:val="htmlcodes"/>
        </w:rPr>
        <w:t>&lt;/pre&gt;&lt;a name=s3&gt;&lt;h3&gt;</w:t>
      </w:r>
      <w:bookmarkStart w:id="332" w:name="_Toc398970577"/>
      <w:r>
        <w:rPr>
          <w:rStyle w:val="Heading3Text"/>
        </w:rPr>
        <w:t>Compound spatial tenses</w:t>
      </w:r>
      <w:bookmarkEnd w:id="33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"compound tense, definition"&gt;</w:t>
      </w:r>
      <w:r>
        <w:rPr>
          <w:rStyle w:val="indexentry"/>
        </w:rPr>
        <w:fldChar w:fldCharType="begin"/>
      </w:r>
      <w:r>
        <w:instrText>xe "</w:instrText>
      </w:r>
      <w:r>
        <w:rPr>
          <w:rStyle w:val="xeentry"/>
        </w:rPr>
        <w:instrText>compound tense: definition</w:instrText>
      </w:r>
      <w:r>
        <w:instrText>"</w:instrText>
      </w:r>
      <w:r>
        <w:rPr>
          <w:rStyle w:val="indexentry"/>
        </w:rPr>
        <w:fldChar w:fldCharType="end"/>
      </w:r>
      <w:r>
        <w:t>Humph, says the reader: this talk of “imaginary journeys” is all</w:t>
      </w:r>
      <w:r>
        <w:rPr>
          <w:rStyle w:val="deletedparamark"/>
        </w:rPr>
        <w:t xml:space="preserve"> </w:t>
      </w:r>
      <w:r>
        <w:t>very well, but what's the point of it? — “zu'a” means “on the left” and “vi”</w:t>
      </w:r>
      <w:r>
        <w:rPr>
          <w:rStyle w:val="deletedparamark"/>
        </w:rPr>
        <w:t xml:space="preserve"> </w:t>
      </w:r>
      <w:r>
        <w:t>means “nearby”, and there's no more to be said. The imagi</w:t>
      </w:r>
      <w:r>
        <w:softHyphen/>
        <w:t>nary-journey model</w:t>
      </w:r>
      <w:r>
        <w:rPr>
          <w:rStyle w:val="deletedparamark"/>
        </w:rPr>
        <w:t xml:space="preserve"> </w:t>
      </w:r>
      <w:r>
        <w:t>becomes more useful when so-called compound tenses are involved. A compound</w:t>
      </w:r>
      <w:r>
        <w:rPr>
          <w:rStyle w:val="deletedparamark"/>
        </w:rPr>
        <w:t xml:space="preserve"> </w:t>
      </w:r>
      <w:r>
        <w:t>tense is exactly like a simple tense, but has several FAhAs run together:</w:t>
      </w:r>
    </w:p>
    <w:p w:rsidR="00B72047" w:rsidRDefault="00B72047">
      <w:pPr>
        <w:rPr>
          <w:rStyle w:val="htmlparacode"/>
        </w:rPr>
      </w:pPr>
      <w:r>
        <w:rPr>
          <w:rStyle w:val="htmlparacode"/>
        </w:rPr>
        <w:t>&lt;p&gt;</w:t>
      </w:r>
    </w:p>
    <w:p w:rsidR="00B72047" w:rsidRDefault="00B72047">
      <w:pPr>
        <w:pStyle w:val="examplescaledpre"/>
      </w:pPr>
      <w:r>
        <w:rPr>
          <w:rStyle w:val="indexentry"/>
        </w:rPr>
        <w:t>&lt;ex "manhole"&gt;</w:t>
      </w:r>
      <w:r>
        <w:rPr>
          <w:rStyle w:val="indexentry"/>
        </w:rPr>
        <w:fldChar w:fldCharType="begin"/>
      </w:r>
      <w:r>
        <w:instrText>xe "</w:instrText>
      </w:r>
      <w:r>
        <w:rPr>
          <w:rStyle w:val="xeentry"/>
        </w:rPr>
        <w:instrText>manhole: example</w:instrText>
      </w:r>
      <w:r>
        <w:instrText>"</w:instrText>
      </w:r>
      <w:r>
        <w:rPr>
          <w:rStyle w:val="indexentry"/>
        </w:rPr>
        <w:fldChar w:fldCharType="end"/>
      </w:r>
      <w:r>
        <w:rPr>
          <w:rStyle w:val="htmlcodes"/>
        </w:rPr>
        <w:t>&lt;pre&gt;&lt;a name=e3d1&gt;</w:t>
      </w:r>
      <w:r>
        <w:t>3.1)</w:t>
      </w:r>
      <w:r>
        <w:tab/>
        <w:t>le nanmu ga'u zu'a batci le gerku</w:t>
      </w:r>
    </w:p>
    <w:p w:rsidR="00B72047" w:rsidRDefault="00B72047">
      <w:pPr>
        <w:pStyle w:val="examplescaled"/>
      </w:pPr>
      <w:r>
        <w:tab/>
        <w:t>The man [up] [left] bites the dog.</w:t>
      </w:r>
    </w:p>
    <w:p w:rsidR="00B72047" w:rsidRDefault="00B72047">
      <w:pPr>
        <w:pStyle w:val="resumedafterexample"/>
      </w:pPr>
      <w:r>
        <w:rPr>
          <w:rStyle w:val="htmlcodes"/>
        </w:rPr>
        <w:t>&lt;/pre&gt;</w:t>
      </w:r>
      <w:r>
        <w:rPr>
          <w:rStyle w:val="indexentry"/>
        </w:rPr>
        <w:t>&lt;cx "compound spatial tense, explanation of"&gt;</w:t>
      </w:r>
      <w:r>
        <w:rPr>
          <w:rStyle w:val="indexentry"/>
        </w:rPr>
        <w:fldChar w:fldCharType="begin"/>
      </w:r>
      <w:r>
        <w:instrText>xe "</w:instrText>
      </w:r>
      <w:r>
        <w:rPr>
          <w:rStyle w:val="xeentry"/>
        </w:rPr>
        <w:instrText>compound spatial tense: explanation of</w:instrText>
      </w:r>
      <w:r>
        <w:instrText>"</w:instrText>
      </w:r>
      <w:r>
        <w:rPr>
          <w:rStyle w:val="indexentry"/>
        </w:rPr>
        <w:fldChar w:fldCharType="end"/>
      </w:r>
      <w:r>
        <w:rPr>
          <w:rStyle w:val="indexentry"/>
        </w:rPr>
        <w:t>&lt;cx "imaginary journey, stages of in compound tenses"&gt;</w:t>
      </w:r>
      <w:r>
        <w:rPr>
          <w:rStyle w:val="indexentry"/>
        </w:rPr>
        <w:fldChar w:fldCharType="begin"/>
      </w:r>
      <w:r>
        <w:instrText>xe "</w:instrText>
      </w:r>
      <w:r>
        <w:rPr>
          <w:rStyle w:val="xeentry"/>
        </w:rPr>
        <w:instrText>imaginary journey: stages of in compound tenses</w:instrText>
      </w:r>
      <w:r>
        <w:instrText>"</w:instrText>
      </w:r>
      <w:r>
        <w:rPr>
          <w:rStyle w:val="indexentry"/>
        </w:rPr>
        <w:fldChar w:fldCharType="end"/>
      </w:r>
      <w:r>
        <w:t xml:space="preserve">The proper interpretation of </w:t>
      </w:r>
      <w:r>
        <w:rPr>
          <w:rStyle w:val="htmlcodes"/>
        </w:rPr>
        <w:t>&lt;a href=#e3d1&gt;</w:t>
      </w:r>
      <w:r>
        <w:t xml:space="preserve">Example 3.1 </w:t>
      </w:r>
      <w:r>
        <w:rPr>
          <w:rStyle w:val="htmlcodes"/>
        </w:rPr>
        <w:t>&lt;/a&gt;</w:t>
      </w:r>
      <w:r>
        <w:t>is that the imaginary journey has</w:t>
      </w:r>
      <w:r>
        <w:rPr>
          <w:rStyle w:val="deletedparamark"/>
        </w:rPr>
        <w:t xml:space="preserve"> </w:t>
      </w:r>
      <w:r>
        <w:t>two stages: first move from the speaker's location upward, and then to the</w:t>
      </w:r>
      <w:r>
        <w:rPr>
          <w:rStyle w:val="deletedparamark"/>
        </w:rPr>
        <w:t xml:space="preserve"> </w:t>
      </w:r>
      <w:r>
        <w:t>left. A translation might read:</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Left of a place above me, the man bites the dog.</w:t>
      </w:r>
    </w:p>
    <w:p w:rsidR="00B72047" w:rsidRDefault="00B72047">
      <w:pPr>
        <w:pStyle w:val="resumedafterexample"/>
      </w:pPr>
      <w:r>
        <w:rPr>
          <w:rStyle w:val="htmlcodes"/>
        </w:rPr>
        <w:t>&lt;/dl&gt;</w:t>
      </w:r>
      <w:r>
        <w:t>(Perhaps the speaker is at the bottom of a manhole, and the dog-bit</w:t>
      </w:r>
      <w:r>
        <w:softHyphen/>
        <w:t>ing</w:t>
      </w:r>
      <w:r>
        <w:rPr>
          <w:rStyle w:val="deletedparamark"/>
        </w:rPr>
        <w:t xml:space="preserve"> </w:t>
      </w:r>
      <w:r>
        <w:t>is going on at the edge of the street.)</w:t>
      </w:r>
    </w:p>
    <w:p w:rsidR="00B72047" w:rsidRDefault="00B72047">
      <w:pPr>
        <w:rPr>
          <w:rStyle w:val="htmlparacode"/>
        </w:rPr>
      </w:pPr>
      <w:r>
        <w:rPr>
          <w:rStyle w:val="htmlparacode"/>
        </w:rPr>
        <w:t>&lt;p&gt;</w:t>
      </w:r>
    </w:p>
    <w:p w:rsidR="00B72047" w:rsidRDefault="00B72047">
      <w:pPr>
        <w:pStyle w:val="normalparagraph"/>
      </w:pPr>
      <w:r>
        <w:rPr>
          <w:rStyle w:val="indexentry"/>
        </w:rPr>
        <w:t>&lt;cx "compound tense, Lojban contrasted with English in order of specification"&gt;</w:t>
      </w:r>
      <w:r>
        <w:rPr>
          <w:rStyle w:val="indexentry"/>
        </w:rPr>
        <w:fldChar w:fldCharType="begin"/>
      </w:r>
      <w:r>
        <w:instrText>xe "</w:instrText>
      </w:r>
      <w:r>
        <w:rPr>
          <w:rStyle w:val="xeentry"/>
        </w:rPr>
        <w:instrText>compound tense: Lojban contrasted with English in order of specification</w:instrText>
      </w:r>
      <w:r>
        <w:instrText>"</w:instrText>
      </w:r>
      <w:r>
        <w:rPr>
          <w:rStyle w:val="indexentry"/>
        </w:rPr>
        <w:fldChar w:fldCharType="end"/>
      </w:r>
      <w:r>
        <w:rPr>
          <w:rStyle w:val="indexentry"/>
        </w:rPr>
        <w:t>&lt;cx "compound tense ordering, Lojban contrasted with English"&gt;</w:t>
      </w:r>
      <w:r>
        <w:rPr>
          <w:rStyle w:val="indexentry"/>
        </w:rPr>
        <w:fldChar w:fldCharType="begin"/>
      </w:r>
      <w:r>
        <w:instrText>xe "</w:instrText>
      </w:r>
      <w:r>
        <w:rPr>
          <w:rStyle w:val="xeentry"/>
        </w:rPr>
        <w:instrText>compound tense ordering: Lojban contrasted with English</w:instrText>
      </w:r>
      <w:r>
        <w:instrText>"</w:instrText>
      </w:r>
      <w:r>
        <w:rPr>
          <w:rStyle w:val="indexentry"/>
        </w:rPr>
        <w:fldChar w:fldCharType="end"/>
      </w:r>
      <w:r>
        <w:t>In the English translation, the keywords “left” and “above” oc</w:t>
      </w:r>
      <w:r>
        <w:softHyphen/>
        <w:t>cur in</w:t>
      </w:r>
      <w:r>
        <w:rPr>
          <w:rStyle w:val="deletedparamark"/>
        </w:rPr>
        <w:t xml:space="preserve"> </w:t>
      </w:r>
      <w:r>
        <w:t>reverse order to the Lojban order. This effect is typical of what happens</w:t>
      </w:r>
      <w:r>
        <w:rPr>
          <w:rStyle w:val="deletedparamark"/>
        </w:rPr>
        <w:t xml:space="preserve"> </w:t>
      </w:r>
      <w:r>
        <w:t>when we “unfold” Loj</w:t>
      </w:r>
      <w:r>
        <w:softHyphen/>
        <w:t>ban co</w:t>
      </w:r>
      <w:r>
        <w:t>m</w:t>
      </w:r>
      <w:r>
        <w:softHyphen/>
        <w:t>pound tenses into their English equivalents,</w:t>
      </w:r>
      <w:r>
        <w:rPr>
          <w:rStyle w:val="deletedparamark"/>
        </w:rPr>
        <w:t xml:space="preserve"> </w:t>
      </w:r>
      <w:r>
        <w:t>and shows why it is not very useful to try to memorize a list of Lojban tense</w:t>
      </w:r>
      <w:r>
        <w:rPr>
          <w:rStyle w:val="deletedparamark"/>
        </w:rPr>
        <w:t xml:space="preserve"> </w:t>
      </w:r>
      <w:r>
        <w:t>constructs and their colloquial English equiva</w:t>
      </w:r>
      <w:r>
        <w:softHyphen/>
        <w:t>lents.</w:t>
      </w:r>
    </w:p>
    <w:p w:rsidR="00B72047" w:rsidRDefault="00B72047">
      <w:pPr>
        <w:rPr>
          <w:rStyle w:val="htmlparacode"/>
        </w:rPr>
      </w:pPr>
      <w:r>
        <w:rPr>
          <w:rStyle w:val="htmlparacode"/>
        </w:rPr>
        <w:t>&lt;p&gt;</w:t>
      </w:r>
    </w:p>
    <w:p w:rsidR="00B72047" w:rsidRDefault="00B72047">
      <w:pPr>
        <w:pStyle w:val="normalparagraph"/>
      </w:pPr>
      <w:r>
        <w:t>The opposite order also makes sense: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le nanmu zu'a ga'u batci le gerku</w:t>
      </w:r>
    </w:p>
    <w:p w:rsidR="00B72047" w:rsidRDefault="00B72047">
      <w:pPr>
        <w:pStyle w:val="examplescaled"/>
      </w:pPr>
      <w:r>
        <w:tab/>
        <w:t>The man [left] [up] bites the dog.</w:t>
      </w:r>
    </w:p>
    <w:p w:rsidR="00B72047" w:rsidRDefault="00B72047">
      <w:pPr>
        <w:pStyle w:val="examplescaled"/>
      </w:pPr>
      <w:r>
        <w:tab/>
        <w:t>Above a place to the left of me, the man bites the dog.</w:t>
      </w:r>
    </w:p>
    <w:p w:rsidR="00B72047" w:rsidRDefault="00B72047">
      <w:pPr>
        <w:pStyle w:val="resumedafterexample"/>
      </w:pPr>
      <w:r>
        <w:rPr>
          <w:rStyle w:val="htmlcodes"/>
        </w:rPr>
        <w:t>&lt;/pre&gt;</w:t>
      </w:r>
      <w:r>
        <w:rPr>
          <w:rStyle w:val="indexentry"/>
        </w:rPr>
        <w:t>&lt;cx "compound spatial tense, effect of different ordering"&gt;</w:t>
      </w:r>
      <w:r>
        <w:rPr>
          <w:rStyle w:val="indexentry"/>
        </w:rPr>
        <w:fldChar w:fldCharType="begin"/>
      </w:r>
      <w:r>
        <w:instrText>xe "</w:instrText>
      </w:r>
      <w:r>
        <w:rPr>
          <w:rStyle w:val="xeentry"/>
        </w:rPr>
        <w:instrText>compound spatial tense: effect of different ordering</w:instrText>
      </w:r>
      <w:r>
        <w:instrText>"</w:instrText>
      </w:r>
      <w:r>
        <w:rPr>
          <w:rStyle w:val="indexentry"/>
        </w:rPr>
        <w:fldChar w:fldCharType="end"/>
      </w:r>
      <w:r>
        <w:t>In ordinary space, the result of going up and then to the left is the same</w:t>
      </w:r>
      <w:r>
        <w:rPr>
          <w:rStyle w:val="deletedparamark"/>
        </w:rPr>
        <w:t xml:space="preserve"> </w:t>
      </w:r>
      <w:r>
        <w:t>as that of going left and then up, but such a simple relationship does not</w:t>
      </w:r>
      <w:r>
        <w:rPr>
          <w:rStyle w:val="deletedparamark"/>
        </w:rPr>
        <w:t xml:space="preserve"> </w:t>
      </w:r>
      <w:r>
        <w:t>apply in all environments or to all directions: going south, then east,</w:t>
      </w:r>
      <w:r>
        <w:rPr>
          <w:rStyle w:val="deletedparamark"/>
        </w:rPr>
        <w:t xml:space="preserve"> </w:t>
      </w:r>
      <w:r>
        <w:t>then north may return one to the starting point, if that point is the North</w:t>
      </w:r>
      <w:r>
        <w:rPr>
          <w:rStyle w:val="deletedparamark"/>
        </w:rPr>
        <w:t xml:space="preserve"> </w:t>
      </w:r>
      <w:r>
        <w:t>Pole.</w:t>
      </w:r>
    </w:p>
    <w:p w:rsidR="00B72047" w:rsidRDefault="00B72047">
      <w:pPr>
        <w:rPr>
          <w:rStyle w:val="htmlparacode"/>
        </w:rPr>
      </w:pPr>
      <w:r>
        <w:rPr>
          <w:rStyle w:val="htmlparacode"/>
        </w:rPr>
        <w:t>&lt;p&gt;</w:t>
      </w:r>
    </w:p>
    <w:p w:rsidR="00B72047" w:rsidRDefault="00B72047">
      <w:pPr>
        <w:pStyle w:val="normalparagraph"/>
      </w:pPr>
      <w:r>
        <w:rPr>
          <w:rStyle w:val="indexentry"/>
        </w:rPr>
        <w:t>&lt;cx "compound spatial tense, with direction and distance"&gt;</w:t>
      </w:r>
      <w:r>
        <w:rPr>
          <w:rStyle w:val="indexentry"/>
        </w:rPr>
        <w:fldChar w:fldCharType="begin"/>
      </w:r>
      <w:r>
        <w:instrText>xe "</w:instrText>
      </w:r>
      <w:r>
        <w:rPr>
          <w:rStyle w:val="xeentry"/>
        </w:rPr>
        <w:instrText>compound spatial tense: with direction and distance</w:instrText>
      </w:r>
      <w:r>
        <w:instrText>"</w:instrText>
      </w:r>
      <w:r>
        <w:rPr>
          <w:rStyle w:val="indexentry"/>
        </w:rPr>
        <w:fldChar w:fldCharType="end"/>
      </w:r>
      <w:r>
        <w:t>Each direction can have a distance following: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le nanmu zu'avi ga'uvu batci le gerku</w:t>
      </w:r>
    </w:p>
    <w:p w:rsidR="00B72047" w:rsidRDefault="00B72047">
      <w:pPr>
        <w:pStyle w:val="examplescaled"/>
      </w:pPr>
      <w:r>
        <w:tab/>
        <w:t>The man [left] [short distance] [up] [long distance] bites the dog.</w:t>
      </w:r>
    </w:p>
    <w:p w:rsidR="00B72047" w:rsidRDefault="00B72047">
      <w:pPr>
        <w:pStyle w:val="examplescaled"/>
      </w:pPr>
      <w:r>
        <w:tab/>
        <w:t>Far above a place slightly to the left of me, the man bites the dog.</w:t>
      </w:r>
    </w:p>
    <w:p w:rsidR="00B72047" w:rsidRDefault="00B72047">
      <w:pPr>
        <w:pStyle w:val="normalafterexample"/>
      </w:pPr>
      <w:r>
        <w:rPr>
          <w:rStyle w:val="htmlcodes"/>
        </w:rPr>
        <w:t>&lt;/pre&gt;</w:t>
      </w:r>
      <w:r>
        <w:rPr>
          <w:rStyle w:val="indexentry"/>
        </w:rPr>
        <w:t>&lt;cx "compound spatial tense, beginning with distance only"&gt;</w:t>
      </w:r>
      <w:r>
        <w:rPr>
          <w:rStyle w:val="indexentry"/>
        </w:rPr>
        <w:fldChar w:fldCharType="begin"/>
      </w:r>
      <w:r>
        <w:instrText>xe "</w:instrText>
      </w:r>
      <w:r>
        <w:rPr>
          <w:rStyle w:val="xeentry"/>
        </w:rPr>
        <w:instrText>compound spatial tense: beginning with distance only</w:instrText>
      </w:r>
      <w:r>
        <w:instrText>"</w:instrText>
      </w:r>
      <w:r>
        <w:rPr>
          <w:rStyle w:val="indexentry"/>
        </w:rPr>
        <w:fldChar w:fldCharType="end"/>
      </w:r>
      <w:r>
        <w:t>A distance can also come at the beginning of the tense con</w:t>
      </w:r>
      <w:r>
        <w:softHyphen/>
        <w:t>struct, without</w:t>
      </w:r>
      <w:r>
        <w:rPr>
          <w:rStyle w:val="deletedparamark"/>
        </w:rPr>
        <w:t xml:space="preserve"> </w:t>
      </w:r>
      <w:r>
        <w:t>any spec</w:t>
      </w:r>
      <w:r>
        <w:t>i</w:t>
      </w:r>
      <w:r>
        <w:softHyphen/>
        <w:t>fied direction. (</w:t>
      </w:r>
      <w:r>
        <w:rPr>
          <w:rStyle w:val="htmlcodes"/>
        </w:rPr>
        <w:t>&lt;a href=#e2d1&gt;</w:t>
      </w:r>
      <w:r>
        <w:t>Example 2.1</w:t>
      </w:r>
      <w:r>
        <w:rPr>
          <w:rStyle w:val="htmlcodes"/>
        </w:rPr>
        <w:t>&lt;/a&gt;</w:t>
      </w:r>
      <w:r>
        <w:t>, with VA alone, is really a special</w:t>
      </w:r>
      <w:r>
        <w:rPr>
          <w:rStyle w:val="deletedparamark"/>
        </w:rPr>
        <w:t xml:space="preserve"> </w:t>
      </w:r>
      <w:r>
        <w:t>case of this rule when no directions at all follow.)</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le nanmu vi zu'a batci le gerku</w:t>
      </w:r>
    </w:p>
    <w:p w:rsidR="00B72047" w:rsidRDefault="00B72047">
      <w:pPr>
        <w:pStyle w:val="examplescaled"/>
      </w:pPr>
      <w:r>
        <w:tab/>
        <w:t>The man [short distance] [left] bites the dog.</w:t>
      </w:r>
    </w:p>
    <w:p w:rsidR="00B72047" w:rsidRDefault="00B72047">
      <w:pPr>
        <w:pStyle w:val="examplescaled"/>
      </w:pPr>
      <w:r>
        <w:tab/>
        <w:t>Left of a place near me, the man bites the dog.</w:t>
      </w:r>
    </w:p>
    <w:p w:rsidR="00B72047" w:rsidRDefault="00B72047">
      <w:pPr>
        <w:pStyle w:val="normalafterexample"/>
      </w:pPr>
      <w:r>
        <w:rPr>
          <w:rStyle w:val="htmlcodes"/>
        </w:rPr>
        <w:t>&lt;/pre&gt;</w:t>
      </w:r>
      <w:r>
        <w:rPr>
          <w:rStyle w:val="indexentry"/>
        </w:rPr>
        <w:t>&lt;cx "compound spatial tense, as direction with-or-without distance"&gt;</w:t>
      </w:r>
      <w:r>
        <w:rPr>
          <w:rStyle w:val="indexentry"/>
        </w:rPr>
        <w:fldChar w:fldCharType="begin"/>
      </w:r>
      <w:r>
        <w:instrText>xe "</w:instrText>
      </w:r>
      <w:r>
        <w:rPr>
          <w:rStyle w:val="xeentry"/>
        </w:rPr>
        <w:instrText>compound spatial tense: as direction with-or-without distance</w:instrText>
      </w:r>
      <w:r>
        <w:instrText>"</w:instrText>
      </w:r>
      <w:r>
        <w:rPr>
          <w:rStyle w:val="indexentry"/>
        </w:rPr>
        <w:fldChar w:fldCharType="end"/>
      </w:r>
      <w:r>
        <w:t>Any number of directions may be used in a compound tense, with or without</w:t>
      </w:r>
      <w:r>
        <w:rPr>
          <w:rStyle w:val="deletedparamark"/>
        </w:rPr>
        <w:t xml:space="preserve"> </w:t>
      </w:r>
      <w:r>
        <w:t>spec</w:t>
      </w:r>
      <w:r>
        <w:t>i</w:t>
      </w:r>
      <w:r>
        <w:softHyphen/>
        <w:t>fied distances for each:</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name=e3d5&gt;</w:t>
      </w:r>
      <w:r>
        <w:t>3.5)</w:t>
      </w:r>
      <w:r>
        <w:tab/>
        <w:t>le nanmu ca'uvi ni'ava ri'uvu ne'i</w:t>
      </w:r>
    </w:p>
    <w:p w:rsidR="00B72047" w:rsidRDefault="00B72047">
      <w:pPr>
        <w:pStyle w:val="examplescaled"/>
      </w:pPr>
      <w:r>
        <w:tab/>
      </w:r>
      <w:r>
        <w:tab/>
        <w:t>batci le gerku</w:t>
      </w:r>
    </w:p>
    <w:p w:rsidR="00B72047" w:rsidRDefault="00B72047">
      <w:pPr>
        <w:pStyle w:val="examplescaled"/>
      </w:pPr>
      <w:r>
        <w:tab/>
        <w:t>The man [front] [short] [down] [medium] [right] [long] [within]</w:t>
      </w:r>
    </w:p>
    <w:p w:rsidR="00B72047" w:rsidRDefault="00B72047">
      <w:pPr>
        <w:pStyle w:val="examplescaled"/>
      </w:pPr>
      <w:r>
        <w:tab/>
      </w:r>
      <w:r>
        <w:tab/>
        <w:t>bites the dog.</w:t>
      </w:r>
    </w:p>
    <w:p w:rsidR="00B72047" w:rsidRDefault="00B72047">
      <w:pPr>
        <w:pStyle w:val="examplescaled"/>
      </w:pPr>
      <w:r>
        <w:tab/>
        <w:t>Within a place a long distance to the right of a place which is a medium</w:t>
      </w:r>
    </w:p>
    <w:p w:rsidR="00B72047" w:rsidRDefault="00B72047">
      <w:pPr>
        <w:pStyle w:val="examplescaled"/>
        <w:ind w:firstLine="576"/>
      </w:pPr>
      <w:r>
        <w:t xml:space="preserve">distance downward from a place a short distance in front of me, </w:t>
      </w:r>
    </w:p>
    <w:p w:rsidR="00B72047" w:rsidRDefault="00B72047">
      <w:pPr>
        <w:pStyle w:val="examplescaled"/>
        <w:ind w:firstLine="576"/>
      </w:pPr>
      <w:r>
        <w:t>the man bites the dog.</w:t>
      </w:r>
    </w:p>
    <w:p w:rsidR="00B72047" w:rsidRDefault="00B72047">
      <w:pPr>
        <w:pStyle w:val="resumedafterexample"/>
      </w:pPr>
      <w:r>
        <w:rPr>
          <w:rStyle w:val="htmlcodes"/>
        </w:rPr>
        <w:t>&lt;/pre&gt;&lt;p&gt;</w:t>
      </w:r>
      <w:r>
        <w:t>Whew! It's a good thing tense constructs are optional: having to say</w:t>
      </w:r>
      <w:r>
        <w:rPr>
          <w:rStyle w:val="deletedparamark"/>
        </w:rPr>
        <w:t xml:space="preserve"> </w:t>
      </w:r>
      <w:r>
        <w:t>all that could cer</w:t>
      </w:r>
      <w:r>
        <w:softHyphen/>
        <w:t>tainly be painful. Note, however, how much shorter</w:t>
      </w:r>
      <w:r>
        <w:rPr>
          <w:rStyle w:val="deletedparamark"/>
        </w:rPr>
        <w:t xml:space="preserve"> </w:t>
      </w:r>
      <w:r>
        <w:t xml:space="preserve">the Lojban version of </w:t>
      </w:r>
      <w:r>
        <w:rPr>
          <w:rStyle w:val="htmlcodes"/>
        </w:rPr>
        <w:t>&lt;a href=#e3d5&gt;</w:t>
      </w:r>
      <w:r>
        <w:t xml:space="preserve">Example 3.5 </w:t>
      </w:r>
      <w:r>
        <w:rPr>
          <w:rStyle w:val="htmlcodes"/>
        </w:rPr>
        <w:t>&lt;/a&gt;</w:t>
      </w:r>
      <w:r>
        <w:t>is than the English version.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333" w:name="_Toc398970578"/>
      <w:r>
        <w:rPr>
          <w:rStyle w:val="Heading3Text"/>
        </w:rPr>
        <w:t>Temporal tenses: PU and ZI</w:t>
      </w:r>
      <w:bookmarkEnd w:id="33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pu</w:t>
      </w:r>
      <w:r>
        <w:tab/>
        <w:t>PU</w:t>
      </w:r>
      <w:r>
        <w:tab/>
        <w:t>past</w:t>
      </w:r>
    </w:p>
    <w:p w:rsidR="00B72047" w:rsidRDefault="00B72047">
      <w:pPr>
        <w:pStyle w:val="examplescaled"/>
      </w:pPr>
      <w:r>
        <w:tab/>
        <w:t>ca</w:t>
      </w:r>
      <w:r>
        <w:tab/>
        <w:t>PU</w:t>
      </w:r>
      <w:r>
        <w:tab/>
        <w:t>present</w:t>
      </w:r>
    </w:p>
    <w:p w:rsidR="00B72047" w:rsidRDefault="00B72047">
      <w:pPr>
        <w:pStyle w:val="examplescaled"/>
      </w:pPr>
      <w:r>
        <w:tab/>
        <w:t>ba</w:t>
      </w:r>
      <w:r>
        <w:tab/>
        <w:t>PU</w:t>
      </w:r>
      <w:r>
        <w:tab/>
        <w:t>future</w:t>
      </w:r>
    </w:p>
    <w:p w:rsidR="00B72047" w:rsidRDefault="00B72047">
      <w:pPr>
        <w:pStyle w:val="examplescaledpre"/>
      </w:pPr>
      <w:r>
        <w:tab/>
        <w:t>zi</w:t>
      </w:r>
      <w:r>
        <w:tab/>
        <w:t>ZI</w:t>
      </w:r>
      <w:r>
        <w:tab/>
        <w:t>short time distance</w:t>
      </w:r>
    </w:p>
    <w:p w:rsidR="00B72047" w:rsidRDefault="00B72047">
      <w:pPr>
        <w:pStyle w:val="examplescaled"/>
      </w:pPr>
      <w:r>
        <w:tab/>
        <w:t>za</w:t>
      </w:r>
      <w:r>
        <w:tab/>
        <w:t>ZI</w:t>
      </w:r>
      <w:r>
        <w:tab/>
        <w:t>medium time distance</w:t>
      </w:r>
    </w:p>
    <w:p w:rsidR="00B72047" w:rsidRDefault="00B72047">
      <w:pPr>
        <w:pStyle w:val="examplescaled"/>
      </w:pPr>
      <w:r>
        <w:tab/>
        <w:t>zu</w:t>
      </w:r>
      <w:r>
        <w:tab/>
        <w:t>ZI</w:t>
      </w:r>
      <w:r>
        <w:tab/>
        <w:t>long time distance</w:t>
      </w:r>
    </w:p>
    <w:p w:rsidR="00B72047" w:rsidRDefault="00B72047">
      <w:pPr>
        <w:pStyle w:val="normalafterexample"/>
      </w:pPr>
      <w:r>
        <w:rPr>
          <w:rStyle w:val="htmlcodes"/>
        </w:rPr>
        <w:t>&lt;/pre&gt;</w:t>
      </w:r>
      <w:r>
        <w:rPr>
          <w:rStyle w:val="indexentry"/>
        </w:rPr>
        <w:t>&lt;cx "temporal tenses, compared with spatial tenses"&gt;</w:t>
      </w:r>
      <w:r>
        <w:rPr>
          <w:rStyle w:val="indexentry"/>
        </w:rPr>
        <w:fldChar w:fldCharType="begin"/>
      </w:r>
      <w:r>
        <w:instrText>xe "</w:instrText>
      </w:r>
      <w:r>
        <w:rPr>
          <w:rStyle w:val="xeentry"/>
        </w:rPr>
        <w:instrText>temporal tenses: compared with spatial tenses</w:instrText>
      </w:r>
      <w:r>
        <w:instrText>"</w:instrText>
      </w:r>
      <w:r>
        <w:rPr>
          <w:rStyle w:val="indexentry"/>
        </w:rPr>
        <w:fldChar w:fldCharType="end"/>
      </w:r>
      <w:r>
        <w:rPr>
          <w:rStyle w:val="indexentry"/>
        </w:rPr>
        <w:t>&lt;cx "PU, compared with FAhA"&gt;</w:t>
      </w:r>
      <w:r>
        <w:rPr>
          <w:rStyle w:val="indexentry"/>
        </w:rPr>
        <w:fldChar w:fldCharType="begin"/>
      </w:r>
      <w:r>
        <w:instrText>xe "</w:instrText>
      </w:r>
      <w:r>
        <w:rPr>
          <w:rStyle w:val="xeentry"/>
        </w:rPr>
        <w:instrText>PU selma’o: compared with FAhA</w:instrText>
      </w:r>
      <w:r>
        <w:instrText>"</w:instrText>
      </w:r>
      <w:r>
        <w:rPr>
          <w:rStyle w:val="indexentry"/>
        </w:rPr>
        <w:fldChar w:fldCharType="end"/>
      </w:r>
      <w:r>
        <w:rPr>
          <w:rStyle w:val="indexentry"/>
        </w:rPr>
        <w:t>&lt;cx "ZI, compared with VA"&gt;</w:t>
      </w:r>
      <w:r>
        <w:rPr>
          <w:rStyle w:val="indexentry"/>
        </w:rPr>
        <w:fldChar w:fldCharType="begin"/>
      </w:r>
      <w:r>
        <w:instrText>xe "</w:instrText>
      </w:r>
      <w:r>
        <w:rPr>
          <w:rStyle w:val="xeentry"/>
        </w:rPr>
        <w:instrText>ZI selma’o: compared with VA</w:instrText>
      </w:r>
      <w:r>
        <w:instrText>"</w:instrText>
      </w:r>
      <w:r>
        <w:rPr>
          <w:rStyle w:val="indexentry"/>
        </w:rPr>
        <w:fldChar w:fldCharType="end"/>
      </w:r>
      <w:r>
        <w:rPr>
          <w:rStyle w:val="indexentry"/>
        </w:rPr>
        <w:t>&lt;lx "PU"&gt;</w:t>
      </w:r>
      <w:r>
        <w:rPr>
          <w:rStyle w:val="indexentry"/>
        </w:rPr>
        <w:fldChar w:fldCharType="begin"/>
      </w:r>
      <w:r>
        <w:instrText>xe "</w:instrText>
      </w:r>
      <w:r>
        <w:rPr>
          <w:rStyle w:val="xeentry"/>
        </w:rPr>
        <w:instrText>PU selma’o</w:instrText>
      </w:r>
      <w:r>
        <w:instrText>"</w:instrText>
      </w:r>
      <w:r>
        <w:rPr>
          <w:rStyle w:val="indexentry"/>
        </w:rPr>
        <w:fldChar w:fldCharType="end"/>
      </w:r>
      <w:r>
        <w:rPr>
          <w:rStyle w:val="indexentry"/>
        </w:rPr>
        <w:t>&lt;lx "ZI"&gt;</w:t>
      </w:r>
      <w:r>
        <w:rPr>
          <w:rStyle w:val="indexentry"/>
        </w:rPr>
        <w:fldChar w:fldCharType="begin"/>
      </w:r>
      <w:r>
        <w:instrText>xe "</w:instrText>
      </w:r>
      <w:r>
        <w:rPr>
          <w:rStyle w:val="xeentry"/>
        </w:rPr>
        <w:instrText>ZI selma’o</w:instrText>
      </w:r>
      <w:r>
        <w:instrText>"</w:instrText>
      </w:r>
      <w:r>
        <w:rPr>
          <w:rStyle w:val="indexentry"/>
        </w:rPr>
        <w:fldChar w:fldCharType="end"/>
      </w:r>
      <w:r>
        <w:rPr>
          <w:rStyle w:val="indexentry"/>
        </w:rPr>
        <w:t>&lt;cx "tense, order of temporal and spatial in"&gt;</w:t>
      </w:r>
      <w:r>
        <w:rPr>
          <w:rStyle w:val="indexentry"/>
        </w:rPr>
        <w:fldChar w:fldCharType="begin"/>
      </w:r>
      <w:r>
        <w:instrText>xe "</w:instrText>
      </w:r>
      <w:r>
        <w:rPr>
          <w:rStyle w:val="xeentry"/>
        </w:rPr>
        <w:instrText>tense: order of temporal and spatial in</w:instrText>
      </w:r>
      <w:r>
        <w:instrText>"</w:instrText>
      </w:r>
      <w:r>
        <w:rPr>
          <w:rStyle w:val="indexentry"/>
        </w:rPr>
        <w:fldChar w:fldCharType="end"/>
      </w:r>
      <w:r>
        <w:rPr>
          <w:rStyle w:val="indexentry"/>
        </w:rPr>
        <w:t>&lt;cx "tense, rationale for relative order of temporal and spatial in"&gt;</w:t>
      </w:r>
      <w:r>
        <w:rPr>
          <w:rStyle w:val="indexentry"/>
        </w:rPr>
        <w:fldChar w:fldCharType="begin"/>
      </w:r>
      <w:r>
        <w:instrText>xe "</w:instrText>
      </w:r>
      <w:r>
        <w:rPr>
          <w:rStyle w:val="xeentry"/>
        </w:rPr>
        <w:instrText>tense: rationale for relative order of temporal and spatial in</w:instrText>
      </w:r>
      <w:r>
        <w:instrText>"</w:instrText>
      </w:r>
      <w:r>
        <w:rPr>
          <w:rStyle w:val="indexentry"/>
        </w:rPr>
        <w:fldChar w:fldCharType="end"/>
      </w:r>
      <w:r>
        <w:rPr>
          <w:rStyle w:val="indexentry"/>
        </w:rPr>
        <w:t>&lt;cx "spatial tense, order relative to temporal"&gt;</w:t>
      </w:r>
      <w:r>
        <w:rPr>
          <w:rStyle w:val="indexentry"/>
        </w:rPr>
        <w:fldChar w:fldCharType="begin"/>
      </w:r>
      <w:r>
        <w:instrText>xe "</w:instrText>
      </w:r>
      <w:r>
        <w:rPr>
          <w:rStyle w:val="xeentry"/>
        </w:rPr>
        <w:instrText>spatial tense: order relative to temporal</w:instrText>
      </w:r>
      <w:r>
        <w:instrText>"</w:instrText>
      </w:r>
      <w:r>
        <w:rPr>
          <w:rStyle w:val="indexentry"/>
        </w:rPr>
        <w:fldChar w:fldCharType="end"/>
      </w:r>
      <w:r>
        <w:rPr>
          <w:rStyle w:val="indexentry"/>
        </w:rPr>
        <w:t>&lt;cx "temporal tense, order relative to spatial"&gt;</w:t>
      </w:r>
      <w:r>
        <w:rPr>
          <w:rStyle w:val="indexentry"/>
        </w:rPr>
        <w:fldChar w:fldCharType="begin"/>
      </w:r>
      <w:r>
        <w:instrText>xe "</w:instrText>
      </w:r>
      <w:r>
        <w:rPr>
          <w:rStyle w:val="xeentry"/>
        </w:rPr>
        <w:instrText>temporal tense: order relative to spatial</w:instrText>
      </w:r>
      <w:r>
        <w:instrText>"</w:instrText>
      </w:r>
      <w:r>
        <w:rPr>
          <w:rStyle w:val="indexentry"/>
        </w:rPr>
        <w:fldChar w:fldCharType="end"/>
      </w:r>
      <w:r>
        <w:t>Now that the reader understands spatial tenses, there are only two main facts</w:t>
      </w:r>
      <w:r>
        <w:rPr>
          <w:rStyle w:val="deletedparamark"/>
        </w:rPr>
        <w:t xml:space="preserve"> </w:t>
      </w:r>
      <w:r>
        <w:t>to u</w:t>
      </w:r>
      <w:r>
        <w:t>n</w:t>
      </w:r>
      <w:r>
        <w:softHyphen/>
        <w:t>derstand about temporal tenses: they work exactly like the spatial</w:t>
      </w:r>
      <w:r>
        <w:rPr>
          <w:rStyle w:val="deletedparamark"/>
        </w:rPr>
        <w:t xml:space="preserve"> </w:t>
      </w:r>
      <w:r>
        <w:t>tenses, with sel</w:t>
      </w:r>
      <w:r>
        <w:softHyphen/>
        <w:t>ma'o PU and ZI standing in for FAhA and VA; and when both</w:t>
      </w:r>
      <w:r>
        <w:rPr>
          <w:rStyle w:val="deletedparamark"/>
        </w:rPr>
        <w:t xml:space="preserve"> </w:t>
      </w:r>
      <w:r>
        <w:t>spatial and temporal tense cmavo are given in a single tense construct, the</w:t>
      </w:r>
      <w:r>
        <w:rPr>
          <w:rStyle w:val="deletedparamark"/>
        </w:rPr>
        <w:t xml:space="preserve"> </w:t>
      </w:r>
      <w:r>
        <w:t>temporal tense is expressed first. (If space could be expressed before or after time,</w:t>
      </w:r>
      <w:r>
        <w:rPr>
          <w:rStyle w:val="deletedparamark"/>
        </w:rPr>
        <w:t xml:space="preserve"> </w:t>
      </w:r>
      <w:r>
        <w:t>then certain constructions would be a</w:t>
      </w:r>
      <w:r>
        <w:t>m</w:t>
      </w:r>
      <w:r>
        <w:t>biguous.)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le nanmu pu batci le gerku</w:t>
      </w:r>
    </w:p>
    <w:p w:rsidR="00B72047" w:rsidRDefault="00B72047">
      <w:pPr>
        <w:pStyle w:val="examplescaled"/>
      </w:pPr>
      <w:r>
        <w:tab/>
        <w:t>The man [past] bites the dog.</w:t>
      </w:r>
    </w:p>
    <w:p w:rsidR="00B72047" w:rsidRDefault="00B72047">
      <w:pPr>
        <w:pStyle w:val="examplescaled"/>
      </w:pPr>
      <w:r>
        <w:tab/>
        <w:t>The man bit the dog.</w:t>
      </w:r>
    </w:p>
    <w:p w:rsidR="00B72047" w:rsidRDefault="00B72047">
      <w:pPr>
        <w:pStyle w:val="resumedafterexample"/>
      </w:pPr>
      <w:r>
        <w:rPr>
          <w:rStyle w:val="htmlcodes"/>
        </w:rPr>
        <w:t>&lt;/pre&gt;</w:t>
      </w:r>
      <w:r>
        <w:t>means that to reach the dog-biting, you must take an imaginary jour</w:t>
      </w:r>
      <w:r>
        <w:softHyphen/>
        <w:t>ney</w:t>
      </w:r>
      <w:r>
        <w:rPr>
          <w:rStyle w:val="deletedparamark"/>
        </w:rPr>
        <w:t xml:space="preserve"> </w:t>
      </w:r>
      <w:r>
        <w:t>through time, moving towards the past an unspecified distance. (Of course,</w:t>
      </w:r>
      <w:r>
        <w:rPr>
          <w:rStyle w:val="deletedparamark"/>
        </w:rPr>
        <w:t xml:space="preserve"> </w:t>
      </w:r>
      <w:r>
        <w:t>this journey is even more imaginary than the ones talked about in the</w:t>
      </w:r>
      <w:r>
        <w:rPr>
          <w:rStyle w:val="deletedparamark"/>
        </w:rPr>
        <w:t xml:space="preserve"> </w:t>
      </w:r>
      <w:r>
        <w:t>previous sections, since time-travel is not an available option.)</w:t>
      </w:r>
    </w:p>
    <w:p w:rsidR="00B72047" w:rsidRDefault="00B72047">
      <w:pPr>
        <w:rPr>
          <w:rStyle w:val="htmlparacode"/>
        </w:rPr>
      </w:pPr>
      <w:r>
        <w:rPr>
          <w:rStyle w:val="htmlparacode"/>
        </w:rPr>
        <w:t>&lt;p&gt;</w:t>
      </w:r>
    </w:p>
    <w:p w:rsidR="00B72047" w:rsidRDefault="00B72047">
      <w:pPr>
        <w:pStyle w:val="normalparagraph"/>
      </w:pPr>
      <w:r>
        <w:rPr>
          <w:rStyle w:val="indexentry"/>
        </w:rPr>
        <w:t>&lt;lx "pu"&gt;</w:t>
      </w:r>
      <w:r>
        <w:rPr>
          <w:rStyle w:val="indexentry"/>
        </w:rPr>
        <w:fldChar w:fldCharType="begin"/>
      </w:r>
      <w:r>
        <w:instrText>xe "</w:instrText>
      </w:r>
      <w:r>
        <w:rPr>
          <w:rStyle w:val="xeentry"/>
        </w:rPr>
        <w:instrText>pu</w:instrText>
      </w:r>
      <w:r>
        <w:instrText>"</w:instrText>
      </w:r>
      <w:r>
        <w:rPr>
          <w:rStyle w:val="indexentry"/>
        </w:rPr>
        <w:fldChar w:fldCharType="end"/>
      </w:r>
      <w:r>
        <w:rPr>
          <w:rStyle w:val="indexentry"/>
        </w:rPr>
        <w:t>&lt;lx "ca"&gt;</w:t>
      </w:r>
      <w:r>
        <w:rPr>
          <w:rStyle w:val="indexentry"/>
        </w:rPr>
        <w:fldChar w:fldCharType="begin"/>
      </w:r>
      <w:r>
        <w:instrText>xe "</w:instrText>
      </w:r>
      <w:r>
        <w:rPr>
          <w:rStyle w:val="xeentry"/>
        </w:rPr>
        <w:instrText>ca</w:instrText>
      </w:r>
      <w:r>
        <w:instrText>"</w:instrText>
      </w:r>
      <w:r>
        <w:rPr>
          <w:rStyle w:val="indexentry"/>
        </w:rPr>
        <w:fldChar w:fldCharType="end"/>
      </w:r>
      <w:r>
        <w:rPr>
          <w:rStyle w:val="indexentry"/>
        </w:rPr>
        <w:t>&lt;lx "ba"&gt;</w:t>
      </w:r>
      <w:r>
        <w:rPr>
          <w:rStyle w:val="indexentry"/>
        </w:rPr>
        <w:fldChar w:fldCharType="begin"/>
      </w:r>
      <w:r>
        <w:instrText>xe "</w:instrText>
      </w:r>
      <w:r>
        <w:rPr>
          <w:rStyle w:val="xeentry"/>
        </w:rPr>
        <w:instrText>ba</w:instrText>
      </w:r>
      <w:r>
        <w:instrText>"</w:instrText>
      </w:r>
      <w:r>
        <w:rPr>
          <w:rStyle w:val="indexentry"/>
        </w:rPr>
        <w:fldChar w:fldCharType="end"/>
      </w:r>
      <w:r>
        <w:rPr>
          <w:rStyle w:val="indexentry"/>
        </w:rPr>
        <w:t>&lt;cx "time, contrasted with space in number of directions"&gt;</w:t>
      </w:r>
      <w:r>
        <w:rPr>
          <w:rStyle w:val="indexentry"/>
        </w:rPr>
        <w:fldChar w:fldCharType="begin"/>
      </w:r>
      <w:r>
        <w:instrText>xe "</w:instrText>
      </w:r>
      <w:r>
        <w:rPr>
          <w:rStyle w:val="xeentry"/>
        </w:rPr>
        <w:instrText>time: contrasted with space in number of directions</w:instrText>
      </w:r>
      <w:r>
        <w:instrText>"</w:instrText>
      </w:r>
      <w:r>
        <w:rPr>
          <w:rStyle w:val="indexentry"/>
        </w:rPr>
        <w:fldChar w:fldCharType="end"/>
      </w:r>
      <w:r>
        <w:rPr>
          <w:rStyle w:val="indexentry"/>
        </w:rPr>
        <w:t>&lt;cx "space, contrasted with time in number of directions"&gt;</w:t>
      </w:r>
      <w:r>
        <w:rPr>
          <w:rStyle w:val="indexentry"/>
        </w:rPr>
        <w:fldChar w:fldCharType="begin"/>
      </w:r>
      <w:r>
        <w:instrText>xe "</w:instrText>
      </w:r>
      <w:r>
        <w:rPr>
          <w:rStyle w:val="xeentry"/>
        </w:rPr>
        <w:instrText>space: contrasted with time in number of directions</w:instrText>
      </w:r>
      <w:r>
        <w:instrText>"</w:instrText>
      </w:r>
      <w:r>
        <w:rPr>
          <w:rStyle w:val="indexentry"/>
        </w:rPr>
        <w:fldChar w:fldCharType="end"/>
      </w:r>
      <w:r>
        <w:t>Lojban recognizes three temporal directions: “pu” for the past, “ca” for</w:t>
      </w:r>
      <w:r>
        <w:rPr>
          <w:rStyle w:val="deletedparamark"/>
        </w:rPr>
        <w:t xml:space="preserve"> </w:t>
      </w:r>
      <w:r>
        <w:t>the present, and “ba” for the future. (Etymologically, these derive from</w:t>
      </w:r>
      <w:r>
        <w:rPr>
          <w:rStyle w:val="deletedparamark"/>
        </w:rPr>
        <w:t xml:space="preserve"> </w:t>
      </w:r>
      <w:r>
        <w:t xml:space="preserve">the corresponding gismu “purci”, “cabna”, and “balvi”. See </w:t>
      </w:r>
      <w:r>
        <w:rPr>
          <w:rStyle w:val="htmlcodes"/>
        </w:rPr>
        <w:t>&lt;a href=#s23&gt;</w:t>
      </w:r>
      <w:r>
        <w:t xml:space="preserve">Section 23 </w:t>
      </w:r>
      <w:r>
        <w:rPr>
          <w:rStyle w:val="htmlcodes"/>
        </w:rPr>
        <w:t>&lt;/a&gt;</w:t>
      </w:r>
      <w:r>
        <w:t>for an explanation of the exact relationship between the cmavo and the</w:t>
      </w:r>
      <w:r>
        <w:rPr>
          <w:rStyle w:val="deletedparamark"/>
        </w:rPr>
        <w:t xml:space="preserve"> </w:t>
      </w:r>
      <w:r>
        <w:t>gismu.) There are many more spatial directions, since there are FAhA cmavo</w:t>
      </w:r>
      <w:r>
        <w:rPr>
          <w:rStyle w:val="deletedparamark"/>
        </w:rPr>
        <w:t xml:space="preserve"> </w:t>
      </w:r>
      <w:r>
        <w:t>for both absolute and relative directions as well as “direction-like</w:t>
      </w:r>
      <w:r>
        <w:rPr>
          <w:rStyle w:val="deletedparamark"/>
        </w:rPr>
        <w:t xml:space="preserve"> </w:t>
      </w:r>
      <w:r>
        <w:t>rel</w:t>
      </w:r>
      <w:r>
        <w:t>a</w:t>
      </w:r>
      <w:r>
        <w:softHyphen/>
        <w:t>tionships” like “surrounding”, “within”, “touching”, etc. (See</w:t>
      </w:r>
      <w:r>
        <w:rPr>
          <w:rStyle w:val="deletedparamark"/>
        </w:rPr>
        <w:t xml:space="preserve"> </w:t>
      </w:r>
      <w:r>
        <w:rPr>
          <w:rStyle w:val="htmlcodes"/>
        </w:rPr>
        <w:t>&lt;a href=#s28&gt;</w:t>
      </w:r>
      <w:r>
        <w:t>Sec</w:t>
      </w:r>
      <w:r>
        <w:softHyphen/>
        <w:t xml:space="preserve">tion 28 </w:t>
      </w:r>
      <w:r>
        <w:rPr>
          <w:rStyle w:val="htmlcodes"/>
        </w:rPr>
        <w:t>&lt;/a&gt;</w:t>
      </w:r>
      <w:r>
        <w:t>for a complete list.) But there are really only two directions</w:t>
      </w:r>
      <w:r>
        <w:rPr>
          <w:rStyle w:val="deletedparamark"/>
        </w:rPr>
        <w:t xml:space="preserve"> </w:t>
      </w:r>
      <w:r>
        <w:t>in time: forward and backward, toward the future and toward the past. Why,</w:t>
      </w:r>
      <w:r>
        <w:rPr>
          <w:rStyle w:val="deletedparamark"/>
        </w:rPr>
        <w:t xml:space="preserve"> </w:t>
      </w:r>
      <w:r>
        <w:t>then, are there three cmavo of sel</w:t>
      </w:r>
      <w:r>
        <w:softHyphen/>
        <w:t>ma'o PU?</w:t>
      </w:r>
    </w:p>
    <w:p w:rsidR="00B72047" w:rsidRDefault="00B72047">
      <w:pPr>
        <w:rPr>
          <w:rStyle w:val="htmlparacode"/>
        </w:rPr>
      </w:pPr>
      <w:r>
        <w:rPr>
          <w:rStyle w:val="htmlparacode"/>
        </w:rPr>
        <w:t>&lt;p&gt;</w:t>
      </w:r>
    </w:p>
    <w:p w:rsidR="00B72047" w:rsidRDefault="00B72047">
      <w:pPr>
        <w:pStyle w:val="normalparagraph"/>
      </w:pPr>
      <w:r>
        <w:rPr>
          <w:rStyle w:val="indexentry"/>
        </w:rPr>
        <w:t>&lt;cx "ca, rational for"&gt;</w:t>
      </w:r>
      <w:r>
        <w:rPr>
          <w:rStyle w:val="indexentry"/>
        </w:rPr>
        <w:fldChar w:fldCharType="begin"/>
      </w:r>
      <w:r>
        <w:instrText>xe "</w:instrText>
      </w:r>
      <w:r>
        <w:rPr>
          <w:rStyle w:val="xeentry"/>
        </w:rPr>
        <w:instrText>ca: rational for</w:instrText>
      </w:r>
      <w:r>
        <w:instrText>"</w:instrText>
      </w:r>
      <w:r>
        <w:rPr>
          <w:rStyle w:val="indexentry"/>
        </w:rPr>
        <w:fldChar w:fldCharType="end"/>
      </w:r>
      <w:r>
        <w:rPr>
          <w:rStyle w:val="indexentry"/>
        </w:rPr>
        <w:t>&lt;cx "ca, compared with bu'u"&gt;</w:t>
      </w:r>
      <w:r>
        <w:rPr>
          <w:rStyle w:val="indexentry"/>
        </w:rPr>
        <w:fldChar w:fldCharType="begin"/>
      </w:r>
      <w:r>
        <w:instrText>xe "</w:instrText>
      </w:r>
      <w:r>
        <w:rPr>
          <w:rStyle w:val="xeentry"/>
        </w:rPr>
        <w:instrText>ca: compared with bu'u</w:instrText>
      </w:r>
      <w:r>
        <w:instrText>"</w:instrText>
      </w:r>
      <w:r>
        <w:rPr>
          <w:rStyle w:val="indexentry"/>
        </w:rPr>
        <w:fldChar w:fldCharType="end"/>
      </w:r>
      <w:r>
        <w:rPr>
          <w:rStyle w:val="indexentry"/>
        </w:rPr>
        <w:t>&lt;cx "bu'u, compared with ca"&gt;</w:t>
      </w:r>
      <w:r>
        <w:rPr>
          <w:rStyle w:val="indexentry"/>
        </w:rPr>
        <w:fldChar w:fldCharType="begin"/>
      </w:r>
      <w:r>
        <w:instrText>xe "</w:instrText>
      </w:r>
      <w:r>
        <w:rPr>
          <w:rStyle w:val="xeentry"/>
        </w:rPr>
        <w:instrText>bu'u: compared with ca</w:instrText>
      </w:r>
      <w:r>
        <w:instrText>"</w:instrText>
      </w:r>
      <w:r>
        <w:rPr>
          <w:rStyle w:val="indexentry"/>
        </w:rPr>
        <w:fldChar w:fldCharType="end"/>
      </w:r>
      <w:r>
        <w:rPr>
          <w:rStyle w:val="indexentry"/>
        </w:rPr>
        <w:t>&lt;cx "tense, as subjective perception"&gt;</w:t>
      </w:r>
      <w:r>
        <w:rPr>
          <w:rStyle w:val="indexentry"/>
        </w:rPr>
        <w:fldChar w:fldCharType="begin"/>
      </w:r>
      <w:r>
        <w:instrText>xe "</w:instrText>
      </w:r>
      <w:r>
        <w:rPr>
          <w:rStyle w:val="xeentry"/>
        </w:rPr>
        <w:instrText>tense: as subjective perception</w:instrText>
      </w:r>
      <w:r>
        <w:instrText>"</w:instrText>
      </w:r>
      <w:r>
        <w:rPr>
          <w:rStyle w:val="indexentry"/>
        </w:rPr>
        <w:fldChar w:fldCharType="end"/>
      </w:r>
      <w:r>
        <w:rPr>
          <w:rStyle w:val="indexentry"/>
        </w:rPr>
        <w:t>&lt;lx "ca"&gt;</w:t>
      </w:r>
      <w:r>
        <w:rPr>
          <w:rStyle w:val="indexentry"/>
        </w:rPr>
        <w:fldChar w:fldCharType="begin"/>
      </w:r>
      <w:r>
        <w:instrText>xe "</w:instrText>
      </w:r>
      <w:r>
        <w:rPr>
          <w:rStyle w:val="xeentry"/>
        </w:rPr>
        <w:instrText>ca</w:instrText>
      </w:r>
      <w:r>
        <w:instrText>"</w:instrText>
      </w:r>
      <w:r>
        <w:rPr>
          <w:rStyle w:val="indexentry"/>
        </w:rPr>
        <w:fldChar w:fldCharType="end"/>
      </w:r>
      <w:r>
        <w:rPr>
          <w:rStyle w:val="indexentry"/>
        </w:rPr>
        <w:t>&lt;lx "bu'u"&gt;</w:t>
      </w:r>
      <w:r>
        <w:rPr>
          <w:rStyle w:val="indexentry"/>
        </w:rPr>
        <w:fldChar w:fldCharType="begin"/>
      </w:r>
      <w:r>
        <w:instrText>xe "</w:instrText>
      </w:r>
      <w:r>
        <w:rPr>
          <w:rStyle w:val="xeentry"/>
        </w:rPr>
        <w:instrText>bu'u</w:instrText>
      </w:r>
      <w:r>
        <w:instrText>"</w:instrText>
      </w:r>
      <w:r>
        <w:rPr>
          <w:rStyle w:val="indexentry"/>
        </w:rPr>
        <w:fldChar w:fldCharType="end"/>
      </w:r>
      <w:r>
        <w:t>The reason is that tense is subjective: human beings per</w:t>
      </w:r>
      <w:r>
        <w:softHyphen/>
        <w:t>ceive space and time</w:t>
      </w:r>
      <w:r>
        <w:rPr>
          <w:rStyle w:val="deletedparamark"/>
        </w:rPr>
        <w:t xml:space="preserve"> </w:t>
      </w:r>
      <w:r>
        <w:t>in a way that does not necessarily agree with objective measurements. We</w:t>
      </w:r>
      <w:r>
        <w:rPr>
          <w:rStyle w:val="deletedparamark"/>
        </w:rPr>
        <w:t xml:space="preserve"> </w:t>
      </w:r>
      <w:r>
        <w:t>have a sense of “now” which includes part of the objective past and part of</w:t>
      </w:r>
      <w:r>
        <w:rPr>
          <w:rStyle w:val="deletedparamark"/>
        </w:rPr>
        <w:t xml:space="preserve"> </w:t>
      </w:r>
      <w:r>
        <w:t>the objective future, and so we nat</w:t>
      </w:r>
      <w:r>
        <w:t>u</w:t>
      </w:r>
      <w:r>
        <w:softHyphen/>
        <w:t>rally segment the time line into three</w:t>
      </w:r>
      <w:r>
        <w:rPr>
          <w:rStyle w:val="deletedparamark"/>
        </w:rPr>
        <w:t xml:space="preserve"> </w:t>
      </w:r>
      <w:r>
        <w:t>parts. The Lojban design recognizes this human reality by providing a</w:t>
      </w:r>
      <w:r>
        <w:rPr>
          <w:rStyle w:val="deletedparamark"/>
        </w:rPr>
        <w:t xml:space="preserve"> </w:t>
      </w:r>
      <w:r>
        <w:t>separate time-direction cmavo for the “zero direction”, Similarly, there</w:t>
      </w:r>
      <w:r>
        <w:rPr>
          <w:rStyle w:val="deletedparamark"/>
        </w:rPr>
        <w:t xml:space="preserve"> </w:t>
      </w:r>
      <w:r>
        <w:t>is a FAhA cmavo for the zero space direction: “bu'u”, which means</w:t>
      </w:r>
      <w:r>
        <w:rPr>
          <w:rStyle w:val="deletedparamark"/>
        </w:rPr>
        <w:t xml:space="preserve"> </w:t>
      </w:r>
      <w:r>
        <w:t>something like “coinciding”.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"relativity theory, relation to Lojban tense system"&gt;</w:t>
      </w:r>
      <w:r>
        <w:rPr>
          <w:rStyle w:val="indexentry"/>
        </w:rPr>
        <w:fldChar w:fldCharType="begin"/>
      </w:r>
      <w:r>
        <w:instrText>xe "</w:instrText>
      </w:r>
      <w:r>
        <w:rPr>
          <w:rStyle w:val="xeentry"/>
        </w:rPr>
        <w:instrText>relativity theory: relation to Lojban tense system</w:instrText>
      </w:r>
      <w:r>
        <w:instrText>"</w:instrText>
      </w:r>
      <w:r>
        <w:rPr>
          <w:rStyle w:val="indexentry"/>
        </w:rPr>
        <w:fldChar w:fldCharType="end"/>
      </w:r>
      <w:r>
        <w:rPr>
          <w:rStyle w:val="indexentry"/>
        </w:rPr>
        <w:t>&lt;cx "tense, as observer-based"&gt;</w:t>
      </w:r>
      <w:r>
        <w:rPr>
          <w:rStyle w:val="indexentry"/>
        </w:rPr>
        <w:fldChar w:fldCharType="begin"/>
      </w:r>
      <w:r>
        <w:instrText>xe "</w:instrText>
      </w:r>
      <w:r>
        <w:rPr>
          <w:rStyle w:val="xeentry"/>
        </w:rPr>
        <w:instrText>tense: as observer-based</w:instrText>
      </w:r>
      <w:r>
        <w:instrText>"</w:instrText>
      </w:r>
      <w:r>
        <w:rPr>
          <w:rStyle w:val="indexentry"/>
        </w:rPr>
        <w:fldChar w:fldCharType="end"/>
      </w:r>
      <w:r>
        <w:t>(Technical note for readers conversant with relativity theory: The Lojban</w:t>
      </w:r>
      <w:r>
        <w:rPr>
          <w:rStyle w:val="deletedparamark"/>
        </w:rPr>
        <w:t xml:space="preserve"> </w:t>
      </w:r>
      <w:r>
        <w:t>time tenses reflect time as seen by the speaker, who is assumed to be a</w:t>
      </w:r>
      <w:r>
        <w:rPr>
          <w:rStyle w:val="deletedparamark"/>
        </w:rPr>
        <w:t xml:space="preserve"> “</w:t>
      </w:r>
      <w:r>
        <w:t>point-like observer” in the relativistic sense: they do not say anything</w:t>
      </w:r>
      <w:r>
        <w:rPr>
          <w:rStyle w:val="deletedparamark"/>
        </w:rPr>
        <w:t xml:space="preserve"> </w:t>
      </w:r>
      <w:r>
        <w:t>about physical relationships of rela</w:t>
      </w:r>
      <w:r>
        <w:softHyphen/>
        <w:t>tivistic i</w:t>
      </w:r>
      <w:r>
        <w:t>n</w:t>
      </w:r>
      <w:r>
        <w:softHyphen/>
        <w:t>terval, still less about</w:t>
      </w:r>
      <w:r>
        <w:rPr>
          <w:rStyle w:val="deletedparamark"/>
        </w:rPr>
        <w:t xml:space="preserve"> </w:t>
      </w:r>
      <w:r>
        <w:t>implicit causality. The nature of tense is not only sub</w:t>
      </w:r>
      <w:r>
        <w:softHyphen/>
        <w:t>jective but also</w:t>
      </w:r>
      <w:r>
        <w:rPr>
          <w:rStyle w:val="deletedparamark"/>
        </w:rPr>
        <w:t xml:space="preserve"> </w:t>
      </w:r>
      <w:r>
        <w:t>observer-based.)</w:t>
      </w:r>
    </w:p>
    <w:p w:rsidR="00B72047" w:rsidRDefault="00B72047">
      <w:pPr>
        <w:pStyle w:val="normalparagraph"/>
        <w:rPr>
          <w:rStyle w:val="htmlparacode"/>
        </w:rPr>
      </w:pPr>
      <w:r>
        <w:rPr>
          <w:rStyle w:val="htmlparacode"/>
        </w:rPr>
        <w:t>&lt;p&gt;</w:t>
      </w:r>
    </w:p>
    <w:p w:rsidR="00B72047" w:rsidRDefault="00B72047">
      <w:pPr>
        <w:pStyle w:val="normalparagraph"/>
      </w:pPr>
      <w:r>
        <w:t>Here are some examples of temporal tenses: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name=e4d2&gt;</w:t>
      </w:r>
      <w:r>
        <w:t>4.2)</w:t>
      </w:r>
      <w:r>
        <w:tab/>
        <w:t>le nanmu puzi batci le gerku</w:t>
      </w:r>
    </w:p>
    <w:p w:rsidR="00B72047" w:rsidRDefault="00B72047">
      <w:pPr>
        <w:pStyle w:val="examplescaled"/>
      </w:pPr>
      <w:r>
        <w:tab/>
        <w:t>The man [past] [short distance] bites the dog.</w:t>
      </w:r>
    </w:p>
    <w:p w:rsidR="00B72047" w:rsidRDefault="00B72047">
      <w:pPr>
        <w:pStyle w:val="examplescaled"/>
      </w:pPr>
      <w:r>
        <w:tab/>
        <w:t>A short time ago, the man bit the dog.</w:t>
      </w:r>
    </w:p>
    <w:p w:rsidR="00B72047" w:rsidRDefault="00B72047">
      <w:pPr>
        <w:pStyle w:val="examplescaledpre"/>
      </w:pPr>
      <w:r>
        <w:rPr>
          <w:rStyle w:val="htmlcodes"/>
        </w:rPr>
        <w:t>&lt;a name=e4d3&gt;</w:t>
      </w:r>
      <w:r>
        <w:t>4.3)</w:t>
      </w:r>
      <w:r>
        <w:tab/>
        <w:t>le nanmu pu pu batci le gerku</w:t>
      </w:r>
    </w:p>
    <w:p w:rsidR="00B72047" w:rsidRDefault="00B72047">
      <w:pPr>
        <w:pStyle w:val="examplescaled"/>
      </w:pPr>
      <w:r>
        <w:tab/>
        <w:t>The man [past] [past] bites the dog.</w:t>
      </w:r>
    </w:p>
    <w:p w:rsidR="00B72047" w:rsidRDefault="00B72047">
      <w:pPr>
        <w:pStyle w:val="examplescaled"/>
      </w:pPr>
      <w:r>
        <w:tab/>
        <w:t>Earlier than an earlier time than now, the man bit the dog.</w:t>
      </w:r>
    </w:p>
    <w:p w:rsidR="00B72047" w:rsidRDefault="00B72047">
      <w:pPr>
        <w:pStyle w:val="examplescaled"/>
      </w:pPr>
      <w:r>
        <w:tab/>
        <w:t>The man had bitten the dog.</w:t>
      </w:r>
    </w:p>
    <w:p w:rsidR="00B72047" w:rsidRDefault="00B72047">
      <w:pPr>
        <w:pStyle w:val="examplescaled"/>
      </w:pPr>
      <w:r>
        <w:tab/>
        <w:t>The man had been biting the dog.</w:t>
      </w:r>
    </w:p>
    <w:p w:rsidR="00B72047" w:rsidRDefault="00B72047">
      <w:pPr>
        <w:pStyle w:val="examplescaledpre"/>
      </w:pPr>
      <w:r>
        <w:rPr>
          <w:rStyle w:val="htmlcodes"/>
        </w:rPr>
        <w:t>&lt;a name=e4d4&gt;</w:t>
      </w:r>
      <w:r>
        <w:t>4.4)</w:t>
      </w:r>
      <w:r>
        <w:tab/>
        <w:t>le nanmu ba puzi batci le gerku</w:t>
      </w:r>
    </w:p>
    <w:p w:rsidR="00B72047" w:rsidRDefault="00B72047">
      <w:pPr>
        <w:pStyle w:val="examplescaled"/>
      </w:pPr>
      <w:r>
        <w:tab/>
        <w:t>The man [future] [past] [short] bites the dog.</w:t>
      </w:r>
    </w:p>
    <w:p w:rsidR="00B72047" w:rsidRDefault="00B72047">
      <w:pPr>
        <w:pStyle w:val="examplescaled"/>
      </w:pPr>
      <w:r>
        <w:tab/>
        <w:t>Shortly earlier than some time later than now, the man will bite the dog.</w:t>
      </w:r>
    </w:p>
    <w:p w:rsidR="00B72047" w:rsidRDefault="00B72047">
      <w:pPr>
        <w:pStyle w:val="examplescaled"/>
      </w:pPr>
      <w:r>
        <w:tab/>
        <w:t>Soon before then, the man will have bitten the dog.</w:t>
      </w:r>
    </w:p>
    <w:p w:rsidR="00B72047" w:rsidRDefault="00B72047">
      <w:pPr>
        <w:pStyle w:val="examplescaled"/>
      </w:pPr>
      <w:r>
        <w:tab/>
        <w:t>The man will have just bitten the dog.</w:t>
      </w:r>
    </w:p>
    <w:p w:rsidR="00B72047" w:rsidRDefault="00B72047">
      <w:pPr>
        <w:pStyle w:val="examplescaled"/>
      </w:pPr>
      <w:r>
        <w:tab/>
        <w:t>The man will just have been biting the dog.</w:t>
      </w:r>
    </w:p>
    <w:p w:rsidR="00B72047" w:rsidRDefault="00B72047">
      <w:pPr>
        <w:pStyle w:val="normalafterexample"/>
      </w:pPr>
      <w:r>
        <w:rPr>
          <w:rStyle w:val="htmlcodes"/>
        </w:rPr>
        <w:t>&lt;/pre&gt;</w:t>
      </w:r>
      <w:r>
        <w:rPr>
          <w:rStyle w:val="indexentry"/>
        </w:rPr>
        <w:t>&lt;cx "compound temporal tense, beginning with distance only"&gt;</w:t>
      </w:r>
      <w:r>
        <w:rPr>
          <w:rStyle w:val="indexentry"/>
        </w:rPr>
        <w:fldChar w:fldCharType="begin"/>
      </w:r>
      <w:r>
        <w:instrText>xe "</w:instrText>
      </w:r>
      <w:r>
        <w:rPr>
          <w:rStyle w:val="xeentry"/>
        </w:rPr>
        <w:instrText>compound temporal tense: beginning with distance only</w:instrText>
      </w:r>
      <w:r>
        <w:instrText>"</w:instrText>
      </w:r>
      <w:r>
        <w:rPr>
          <w:rStyle w:val="indexentry"/>
        </w:rPr>
        <w:fldChar w:fldCharType="end"/>
      </w:r>
      <w:r>
        <w:t>What about the analogue of an initial VA without a direction? Lojban</w:t>
      </w:r>
      <w:r>
        <w:rPr>
          <w:rStyle w:val="deletedparamark"/>
        </w:rPr>
        <w:t xml:space="preserve"> </w:t>
      </w:r>
      <w:r>
        <w:t>does al</w:t>
      </w:r>
      <w:r>
        <w:softHyphen/>
        <w:t>low an initial ZI with or without following PUs: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name=e4d5&gt;</w:t>
      </w:r>
      <w:r>
        <w:t>4.5)</w:t>
      </w:r>
      <w:r>
        <w:tab/>
        <w:t>le nanmu zi pu batci le gerku</w:t>
      </w:r>
    </w:p>
    <w:p w:rsidR="00B72047" w:rsidRDefault="00B72047">
      <w:pPr>
        <w:pStyle w:val="examplescaled"/>
      </w:pPr>
      <w:r>
        <w:tab/>
        <w:t>The man [short] [past] bites the dog.</w:t>
      </w:r>
    </w:p>
    <w:p w:rsidR="00B72047" w:rsidRDefault="00B72047">
      <w:pPr>
        <w:pStyle w:val="examplescaled"/>
      </w:pPr>
      <w:r>
        <w:tab/>
        <w:t>Before a short time from or before now, the man bit or will bite the dog.</w:t>
      </w:r>
    </w:p>
    <w:p w:rsidR="00B72047" w:rsidRDefault="00B72047">
      <w:pPr>
        <w:pStyle w:val="examplescaledpre"/>
      </w:pPr>
      <w:r>
        <w:rPr>
          <w:rStyle w:val="htmlcodes"/>
        </w:rPr>
        <w:t>&lt;a name=e4d6&gt;</w:t>
      </w:r>
      <w:r>
        <w:t>4.6)</w:t>
      </w:r>
      <w:r>
        <w:tab/>
        <w:t>le nanmu zu batci le gerku</w:t>
      </w:r>
    </w:p>
    <w:p w:rsidR="00B72047" w:rsidRDefault="00B72047">
      <w:pPr>
        <w:pStyle w:val="examplescaled"/>
      </w:pPr>
      <w:r>
        <w:tab/>
        <w:t>The man [long] bites the dog.</w:t>
      </w:r>
    </w:p>
    <w:p w:rsidR="00B72047" w:rsidRDefault="00B72047">
      <w:pPr>
        <w:pStyle w:val="examplescaled"/>
      </w:pPr>
      <w:r>
        <w:tab/>
        <w:t>A long time from or before now, the man will bite or bit the dog.</w:t>
      </w:r>
    </w:p>
    <w:p w:rsidR="00B72047" w:rsidRDefault="00B72047">
      <w:pPr>
        <w:pStyle w:val="resumedafterexample"/>
      </w:pPr>
      <w:r>
        <w:rPr>
          <w:rStyle w:val="htmlcodes"/>
        </w:rPr>
        <w:t>&lt;/pre&gt;</w:t>
      </w:r>
      <w:r>
        <w:rPr>
          <w:rStyle w:val="indexentry"/>
        </w:rPr>
        <w:t>&lt;cx "unspecified direction, temporal contrasted with in spatial"&gt;</w:t>
      </w:r>
      <w:r>
        <w:rPr>
          <w:rStyle w:val="indexentry"/>
        </w:rPr>
        <w:fldChar w:fldCharType="begin"/>
      </w:r>
      <w:r>
        <w:instrText>xe "</w:instrText>
      </w:r>
      <w:r>
        <w:rPr>
          <w:rStyle w:val="xeentry"/>
        </w:rPr>
        <w:instrText>unspecified direction: temporal contrasted with in spatial</w:instrText>
      </w:r>
      <w:r>
        <w:instrText>"</w:instrText>
      </w:r>
      <w:r>
        <w:rPr>
          <w:rStyle w:val="indexentry"/>
        </w:rPr>
        <w:fldChar w:fldCharType="end"/>
      </w:r>
      <w:r>
        <w:rPr>
          <w:rStyle w:val="htmlcodes"/>
        </w:rPr>
        <w:t>&lt;a href=#e4d5&gt;</w:t>
      </w:r>
      <w:r>
        <w:t xml:space="preserve">Example 4.5 </w:t>
      </w:r>
      <w:r>
        <w:rPr>
          <w:rStyle w:val="htmlcodes"/>
        </w:rPr>
        <w:t>&lt;/a&gt;</w:t>
      </w:r>
      <w:r>
        <w:t xml:space="preserve">and </w:t>
      </w:r>
      <w:r>
        <w:rPr>
          <w:rStyle w:val="htmlcodes"/>
        </w:rPr>
        <w:t>&lt;a href=#e4d6&gt;</w:t>
      </w:r>
      <w:r>
        <w:t xml:space="preserve">Example 4.6 </w:t>
      </w:r>
      <w:r>
        <w:rPr>
          <w:rStyle w:val="htmlcodes"/>
        </w:rPr>
        <w:t>&lt;/a&gt;</w:t>
      </w:r>
      <w:r>
        <w:t>are perfectly legitimate, but may not be very</w:t>
      </w:r>
      <w:r>
        <w:rPr>
          <w:rStyle w:val="deletedparamark"/>
        </w:rPr>
        <w:t xml:space="preserve"> </w:t>
      </w:r>
      <w:r>
        <w:t>much used: “zi” by itself signals an event that happens at a time close to</w:t>
      </w:r>
      <w:r>
        <w:rPr>
          <w:rStyle w:val="deletedparamark"/>
        </w:rPr>
        <w:t xml:space="preserve"> </w:t>
      </w:r>
      <w:r>
        <w:t>the present, but without saying whether it is in the past or the future.</w:t>
      </w:r>
      <w:r>
        <w:rPr>
          <w:rStyle w:val="deletedparamark"/>
        </w:rPr>
        <w:t xml:space="preserve"> </w:t>
      </w:r>
      <w:r>
        <w:t>A rough translation might be “about now, but not exactly now”.</w:t>
      </w:r>
    </w:p>
    <w:p w:rsidR="00B72047" w:rsidRDefault="00B72047">
      <w:pPr>
        <w:rPr>
          <w:rStyle w:val="htmlparacode"/>
        </w:rPr>
      </w:pPr>
      <w:r>
        <w:rPr>
          <w:rStyle w:val="htmlparacode"/>
        </w:rPr>
        <w:t>&lt;p&gt;</w:t>
      </w:r>
    </w:p>
    <w:p w:rsidR="00B72047" w:rsidRDefault="00B72047">
      <w:pPr>
        <w:pStyle w:val="normalparagraph"/>
      </w:pPr>
      <w:r>
        <w:rPr>
          <w:rStyle w:val="indexentry"/>
        </w:rPr>
        <w:t>&lt;ex "nearby in time"&gt;</w:t>
      </w:r>
      <w:r>
        <w:rPr>
          <w:rStyle w:val="indexentry"/>
        </w:rPr>
        <w:fldChar w:fldCharType="begin"/>
      </w:r>
      <w:r>
        <w:instrText>xe "</w:instrText>
      </w:r>
      <w:r>
        <w:rPr>
          <w:rStyle w:val="xeentry"/>
        </w:rPr>
        <w:instrText>nearby in time: example</w:instrText>
      </w:r>
      <w:r>
        <w:instrText>"</w:instrText>
      </w:r>
      <w:r>
        <w:rPr>
          <w:rStyle w:val="indexentry"/>
        </w:rPr>
        <w:fldChar w:fldCharType="end"/>
      </w:r>
      <w:r>
        <w:t>Because we can move in any direction in space, we are comfortable with the</w:t>
      </w:r>
      <w:r>
        <w:rPr>
          <w:rStyle w:val="deletedparamark"/>
        </w:rPr>
        <w:t xml:space="preserve"> </w:t>
      </w:r>
      <w:r>
        <w:t>idea of events happening in an unspecified space direction (“nearby” or</w:t>
      </w:r>
      <w:r>
        <w:rPr>
          <w:rStyle w:val="deletedparamark"/>
        </w:rPr>
        <w:t xml:space="preserve"> “</w:t>
      </w:r>
      <w:r>
        <w:t>far away”), but we live only from past to future, and the idea of an</w:t>
      </w:r>
      <w:r>
        <w:rPr>
          <w:rStyle w:val="deletedparamark"/>
        </w:rPr>
        <w:t xml:space="preserve"> </w:t>
      </w:r>
      <w:r>
        <w:t>event which happens “nearby in time” is a peculiar one. Lojban provides</w:t>
      </w:r>
      <w:r>
        <w:rPr>
          <w:rStyle w:val="deletedparamark"/>
        </w:rPr>
        <w:t xml:space="preserve"> </w:t>
      </w:r>
      <w:r>
        <w:t>lots of such possibilities that don't seem all that useful to</w:t>
      </w:r>
      <w:r>
        <w:rPr>
          <w:rStyle w:val="deletedparamark"/>
        </w:rPr>
        <w:t xml:space="preserve"> </w:t>
      </w:r>
      <w:r>
        <w:t>English-speakers, even though you can put them together productively;</w:t>
      </w:r>
      <w:r>
        <w:rPr>
          <w:rStyle w:val="deletedparamark"/>
        </w:rPr>
        <w:t xml:space="preserve"> </w:t>
      </w:r>
      <w:r>
        <w:t>this fact may be a limitation of English.</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"tense, with both temporal and spatial"&gt;</w:t>
      </w:r>
      <w:r>
        <w:rPr>
          <w:rStyle w:val="indexentry"/>
        </w:rPr>
        <w:fldChar w:fldCharType="begin"/>
      </w:r>
      <w:r>
        <w:instrText>xe "</w:instrText>
      </w:r>
      <w:r>
        <w:rPr>
          <w:rStyle w:val="xeentry"/>
        </w:rPr>
        <w:instrText>tense: with both temporal and spatial</w:instrText>
      </w:r>
      <w:r>
        <w:instrText>"</w:instrText>
      </w:r>
      <w:r>
        <w:rPr>
          <w:rStyle w:val="indexentry"/>
        </w:rPr>
        <w:fldChar w:fldCharType="end"/>
      </w:r>
      <w:r>
        <w:t>Finally, here are examples which combine temporal and spa</w:t>
      </w:r>
      <w:r>
        <w:softHyphen/>
        <w:t>tial tense:</w:t>
      </w:r>
    </w:p>
    <w:p w:rsidR="00B72047" w:rsidRDefault="00B72047">
      <w:pPr>
        <w:rPr>
          <w:rStyle w:val="htmlparacode"/>
        </w:rPr>
      </w:pPr>
      <w:r>
        <w:rPr>
          <w:rStyle w:val="htmlparacode"/>
        </w:rPr>
        <w:t>&lt;p&gt;</w:t>
      </w:r>
    </w:p>
    <w:p w:rsidR="00B72047" w:rsidRDefault="00B72047">
      <w:pPr>
        <w:pStyle w:val="examplescaledpre"/>
      </w:pPr>
      <w:r>
        <w:rPr>
          <w:rStyle w:val="indexentry"/>
        </w:rPr>
        <w:t>&lt;ex "long ago and far away"&gt;</w:t>
      </w:r>
      <w:r>
        <w:rPr>
          <w:rStyle w:val="indexentry"/>
        </w:rPr>
        <w:fldChar w:fldCharType="begin"/>
      </w:r>
      <w:r>
        <w:instrText>xe "</w:instrText>
      </w:r>
      <w:r>
        <w:rPr>
          <w:rStyle w:val="xeentry"/>
        </w:rPr>
        <w:instrText>long ago and far away: example</w:instrText>
      </w:r>
      <w:r>
        <w:instrText>"</w:instrText>
      </w:r>
      <w:r>
        <w:rPr>
          <w:rStyle w:val="indexentry"/>
        </w:rPr>
        <w:fldChar w:fldCharType="end"/>
      </w:r>
      <w:r>
        <w:rPr>
          <w:rStyle w:val="htmlcodes"/>
        </w:rPr>
        <w:t>&lt;pre&gt;&lt;a name=e4d7&gt;</w:t>
      </w:r>
      <w:r>
        <w:t>4.7)</w:t>
      </w:r>
      <w:r>
        <w:tab/>
        <w:t>le nanmu puzu vu batci le gerku</w:t>
      </w:r>
    </w:p>
    <w:p w:rsidR="00B72047" w:rsidRDefault="00B72047">
      <w:pPr>
        <w:pStyle w:val="examplescaled"/>
      </w:pPr>
      <w:r>
        <w:tab/>
        <w:t>The man [past] [long time] [long space] bites the dog.</w:t>
      </w:r>
    </w:p>
    <w:p w:rsidR="00B72047" w:rsidRDefault="00B72047">
      <w:pPr>
        <w:pStyle w:val="examplescaled"/>
      </w:pPr>
      <w:r>
        <w:tab/>
        <w:t>Long ago and far away, the man bit the dog.</w:t>
      </w:r>
    </w:p>
    <w:p w:rsidR="00B72047" w:rsidRDefault="00B72047">
      <w:pPr>
        <w:pStyle w:val="resumedafterexample"/>
      </w:pPr>
      <w:r>
        <w:rPr>
          <w:rStyle w:val="htmlcodes"/>
        </w:rPr>
        <w:t>&lt;/pre&gt;&lt;p&gt;</w:t>
      </w:r>
      <w:r>
        <w:t>Alternatively,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name=e4d8&gt;</w:t>
      </w:r>
      <w:r>
        <w:t>4.8)</w:t>
      </w:r>
      <w:r>
        <w:tab/>
        <w:t>le nanmu batci le gerku puzuvuku</w:t>
      </w:r>
    </w:p>
    <w:p w:rsidR="00B72047" w:rsidRDefault="00B72047">
      <w:pPr>
        <w:pStyle w:val="examplescaled"/>
      </w:pPr>
      <w:r>
        <w:tab/>
        <w:t>The man bites the dog [past] [long time] [long space].</w:t>
      </w:r>
    </w:p>
    <w:p w:rsidR="00B72047" w:rsidRDefault="00B72047">
      <w:pPr>
        <w:pStyle w:val="examplescaled"/>
      </w:pPr>
      <w:r>
        <w:tab/>
        <w:t>The man bit the dog long ago and far away.</w:t>
      </w:r>
    </w:p>
    <w:p w:rsidR="00B72047" w:rsidRDefault="00B72047">
      <w:pPr>
        <w:pStyle w:val="Heading3"/>
        <w:rPr>
          <w:rStyle w:val="Heading3Text"/>
        </w:rPr>
      </w:pPr>
      <w:r>
        <w:rPr>
          <w:rStyle w:val="htmlcodes"/>
        </w:rPr>
        <w:t>&lt;/pre&gt;&lt;a name=s5&gt;&lt;h3&gt;</w:t>
      </w:r>
      <w:bookmarkStart w:id="334" w:name="_Toc398970579"/>
      <w:r>
        <w:rPr>
          <w:rStyle w:val="Heading3Text"/>
        </w:rPr>
        <w:t>Interval sizes: VEhA and ZEhA</w:t>
      </w:r>
      <w:bookmarkEnd w:id="33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ve'i</w:t>
      </w:r>
      <w:r>
        <w:tab/>
        <w:t>VEhA</w:t>
      </w:r>
      <w:r>
        <w:tab/>
        <w:t>short space interval</w:t>
      </w:r>
    </w:p>
    <w:p w:rsidR="00B72047" w:rsidRDefault="00B72047">
      <w:pPr>
        <w:pStyle w:val="examplescaled"/>
      </w:pPr>
      <w:r>
        <w:tab/>
        <w:t>ve'a</w:t>
      </w:r>
      <w:r>
        <w:tab/>
        <w:t>VEhA</w:t>
      </w:r>
      <w:r>
        <w:tab/>
        <w:t>medium space interval</w:t>
      </w:r>
    </w:p>
    <w:p w:rsidR="00B72047" w:rsidRDefault="00B72047">
      <w:pPr>
        <w:pStyle w:val="examplescaled"/>
      </w:pPr>
      <w:r>
        <w:tab/>
        <w:t>ve'u</w:t>
      </w:r>
      <w:r>
        <w:tab/>
        <w:t>VEhA</w:t>
      </w:r>
      <w:r>
        <w:tab/>
        <w:t>long space interval</w:t>
      </w:r>
    </w:p>
    <w:p w:rsidR="00B72047" w:rsidRDefault="00B72047">
      <w:pPr>
        <w:pStyle w:val="examplescaledpre"/>
      </w:pPr>
      <w:r>
        <w:tab/>
        <w:t>ze'i</w:t>
      </w:r>
      <w:r>
        <w:tab/>
        <w:t>ZEhA</w:t>
      </w:r>
      <w:r>
        <w:tab/>
        <w:t>short time interval</w:t>
      </w:r>
    </w:p>
    <w:p w:rsidR="00B72047" w:rsidRDefault="00B72047">
      <w:pPr>
        <w:pStyle w:val="examplescaled"/>
      </w:pPr>
      <w:r>
        <w:tab/>
        <w:t>ze'a</w:t>
      </w:r>
      <w:r>
        <w:tab/>
        <w:t>ZEhA</w:t>
      </w:r>
      <w:r>
        <w:tab/>
        <w:t>medium time interval</w:t>
      </w:r>
    </w:p>
    <w:p w:rsidR="00B72047" w:rsidRDefault="00B72047">
      <w:pPr>
        <w:pStyle w:val="examplescaled"/>
      </w:pPr>
      <w:r>
        <w:tab/>
        <w:t>ze'u</w:t>
      </w:r>
      <w:r>
        <w:tab/>
        <w:t>ZEhA</w:t>
      </w:r>
      <w:r>
        <w:tab/>
        <w:t>long time interval</w:t>
      </w:r>
    </w:p>
    <w:p w:rsidR="00B72047" w:rsidRDefault="00B72047">
      <w:pPr>
        <w:pStyle w:val="normalafterexample"/>
      </w:pPr>
      <w:r>
        <w:rPr>
          <w:rStyle w:val="htmlcodes"/>
        </w:rPr>
        <w:t>&lt;/pre&gt;</w:t>
      </w:r>
      <w:r>
        <w:rPr>
          <w:rStyle w:val="indexentry"/>
        </w:rPr>
        <w:t>&lt;cx "tense, point contrasted with interval"&gt;</w:t>
      </w:r>
      <w:r>
        <w:rPr>
          <w:rStyle w:val="indexentry"/>
        </w:rPr>
        <w:fldChar w:fldCharType="begin"/>
      </w:r>
      <w:r>
        <w:instrText>xe "</w:instrText>
      </w:r>
      <w:r>
        <w:rPr>
          <w:rStyle w:val="xeentry"/>
        </w:rPr>
        <w:instrText>tense: point contrasted with interval</w:instrText>
      </w:r>
      <w:r>
        <w:instrText>"</w:instrText>
      </w:r>
      <w:r>
        <w:rPr>
          <w:rStyle w:val="indexentry"/>
        </w:rPr>
        <w:fldChar w:fldCharType="end"/>
      </w:r>
      <w:r>
        <w:rPr>
          <w:rStyle w:val="indexentry"/>
        </w:rPr>
        <w:t>&lt;cx "tense, interval contrasted with point"&gt;</w:t>
      </w:r>
      <w:r>
        <w:rPr>
          <w:rStyle w:val="indexentry"/>
        </w:rPr>
        <w:fldChar w:fldCharType="begin"/>
      </w:r>
      <w:r>
        <w:instrText>xe "</w:instrText>
      </w:r>
      <w:r>
        <w:rPr>
          <w:rStyle w:val="xeentry"/>
        </w:rPr>
        <w:instrText>tense: interval contrasted with point</w:instrText>
      </w:r>
      <w:r>
        <w:instrText>"</w:instrText>
      </w:r>
      <w:r>
        <w:rPr>
          <w:rStyle w:val="indexentry"/>
        </w:rPr>
        <w:fldChar w:fldCharType="end"/>
      </w:r>
      <w:r>
        <w:rPr>
          <w:rStyle w:val="indexentry"/>
        </w:rPr>
        <w:t>&lt;lx "VEhA"&gt;</w:t>
      </w:r>
      <w:r>
        <w:rPr>
          <w:rStyle w:val="indexentry"/>
        </w:rPr>
        <w:fldChar w:fldCharType="begin"/>
      </w:r>
      <w:r>
        <w:instrText>xe "</w:instrText>
      </w:r>
      <w:r>
        <w:rPr>
          <w:rStyle w:val="xeentry"/>
        </w:rPr>
        <w:instrText>VEhA selma’o</w:instrText>
      </w:r>
      <w:r>
        <w:instrText>"</w:instrText>
      </w:r>
      <w:r>
        <w:rPr>
          <w:rStyle w:val="indexentry"/>
        </w:rPr>
        <w:fldChar w:fldCharType="end"/>
      </w:r>
      <w:r>
        <w:rPr>
          <w:rStyle w:val="indexentry"/>
        </w:rPr>
        <w:t>&lt;lx "ZEhA"&gt;</w:t>
      </w:r>
      <w:r>
        <w:rPr>
          <w:rStyle w:val="indexentry"/>
        </w:rPr>
        <w:fldChar w:fldCharType="begin"/>
      </w:r>
      <w:r>
        <w:instrText>xe "</w:instrText>
      </w:r>
      <w:r>
        <w:rPr>
          <w:rStyle w:val="xeentry"/>
        </w:rPr>
        <w:instrText>ZEhA selma’o</w:instrText>
      </w:r>
      <w:r>
        <w:instrText>"</w:instrText>
      </w:r>
      <w:r>
        <w:rPr>
          <w:rStyle w:val="indexentry"/>
        </w:rPr>
        <w:fldChar w:fldCharType="end"/>
      </w:r>
      <w:r>
        <w:t>So far, we have considered only events that are usually thought of as</w:t>
      </w:r>
      <w:r>
        <w:rPr>
          <w:rStyle w:val="deletedparamark"/>
        </w:rPr>
        <w:t xml:space="preserve"> </w:t>
      </w:r>
      <w:r>
        <w:t>happen</w:t>
      </w:r>
      <w:r>
        <w:softHyphen/>
        <w:t>ing at a particular point in space and time: a man biting a dog</w:t>
      </w:r>
      <w:r>
        <w:rPr>
          <w:rStyle w:val="deletedparamark"/>
        </w:rPr>
        <w:t xml:space="preserve"> </w:t>
      </w:r>
      <w:r>
        <w:t>at a specified place and time. But Lojbanic events may be much more</w:t>
      </w:r>
      <w:r>
        <w:rPr>
          <w:rStyle w:val="deletedparamark"/>
        </w:rPr>
        <w:t xml:space="preserve"> “</w:t>
      </w:r>
      <w:r>
        <w:t>spread out” than that: “mi vasxu” (I breathe) is something which is true</w:t>
      </w:r>
      <w:r>
        <w:rPr>
          <w:rStyle w:val="deletedparamark"/>
        </w:rPr>
        <w:t xml:space="preserve"> </w:t>
      </w:r>
      <w:r>
        <w:t>during the whole of my life from birth to death, and over the en</w:t>
      </w:r>
      <w:r>
        <w:softHyphen/>
        <w:t>tire part of</w:t>
      </w:r>
      <w:r>
        <w:rPr>
          <w:rStyle w:val="deletedparamark"/>
        </w:rPr>
        <w:t xml:space="preserve"> </w:t>
      </w:r>
      <w:r>
        <w:t>the earth where I spend my life. The cmavo of VEhA (for space) and ZEhA</w:t>
      </w:r>
      <w:r>
        <w:rPr>
          <w:rStyle w:val="deletedparamark"/>
        </w:rPr>
        <w:t xml:space="preserve"> </w:t>
      </w:r>
      <w:r>
        <w:t>(for time) can be added to any of the tense constructs we have already</w:t>
      </w:r>
      <w:r>
        <w:rPr>
          <w:rStyle w:val="deletedparamark"/>
        </w:rPr>
        <w:t xml:space="preserve"> </w:t>
      </w:r>
      <w:r>
        <w:t>stud</w:t>
      </w:r>
      <w:r>
        <w:softHyphen/>
        <w:t>ied to specify the size of the space or length of the time over which</w:t>
      </w:r>
      <w:r>
        <w:rPr>
          <w:rStyle w:val="deletedparamark"/>
        </w:rPr>
        <w:t xml:space="preserve"> </w:t>
      </w:r>
      <w:r>
        <w:t>the bridi is claimed to be true.</w:t>
      </w:r>
    </w:p>
    <w:p w:rsidR="00B72047" w:rsidRDefault="00B72047">
      <w:pPr>
        <w:rPr>
          <w:rStyle w:val="htmlparacode"/>
        </w:rPr>
      </w:pPr>
      <w:r>
        <w:rPr>
          <w:rStyle w:val="htmlparacode"/>
        </w:rPr>
        <w:t>&lt;p&gt;</w:t>
      </w:r>
    </w:p>
    <w:p w:rsidR="00B72047" w:rsidRDefault="00B72047">
      <w:pPr>
        <w:pStyle w:val="examplescaledpre"/>
      </w:pPr>
      <w:r>
        <w:rPr>
          <w:rStyle w:val="indexentry"/>
        </w:rPr>
        <w:t>&lt;ex "child on ice"&gt;</w:t>
      </w:r>
      <w:r>
        <w:rPr>
          <w:rStyle w:val="indexentry"/>
        </w:rPr>
        <w:fldChar w:fldCharType="begin"/>
      </w:r>
      <w:r>
        <w:instrText>xe "</w:instrText>
      </w:r>
      <w:r>
        <w:rPr>
          <w:rStyle w:val="xeentry"/>
        </w:rPr>
        <w:instrText>child on ice: example</w:instrText>
      </w:r>
      <w:r>
        <w:instrText>"</w:instrText>
      </w:r>
      <w:r>
        <w:rPr>
          <w:rStyle w:val="indexentry"/>
        </w:rPr>
        <w:fldChar w:fldCharType="end"/>
      </w:r>
      <w:r>
        <w:rPr>
          <w:rStyle w:val="htmlcodes"/>
        </w:rPr>
        <w:t>&lt;pre&gt;&lt;a name=e5d1&gt;</w:t>
      </w:r>
      <w:r>
        <w:t>5.1)</w:t>
      </w:r>
      <w:r>
        <w:tab/>
        <w:t>le verba ve'i cadzu le bisli</w:t>
      </w:r>
    </w:p>
    <w:p w:rsidR="00B72047" w:rsidRDefault="00B72047">
      <w:pPr>
        <w:pStyle w:val="examplescaled"/>
      </w:pPr>
      <w:r>
        <w:tab/>
        <w:t>The child [small space interval] walks-on the ice.</w:t>
      </w:r>
    </w:p>
    <w:p w:rsidR="00B72047" w:rsidRDefault="00B72047">
      <w:pPr>
        <w:pStyle w:val="examplescaled"/>
      </w:pPr>
      <w:r>
        <w:tab/>
        <w:t>In a small space, the child walks on the ice.</w:t>
      </w:r>
    </w:p>
    <w:p w:rsidR="00B72047" w:rsidRDefault="00B72047">
      <w:pPr>
        <w:pStyle w:val="examplescaled"/>
      </w:pPr>
      <w:r>
        <w:tab/>
        <w:t>The child walks about a small area of the ice.</w:t>
      </w:r>
    </w:p>
    <w:p w:rsidR="00B72047" w:rsidRDefault="00B72047">
      <w:pPr>
        <w:pStyle w:val="resumedafterexample"/>
      </w:pPr>
      <w:r>
        <w:rPr>
          <w:rStyle w:val="htmlcodes"/>
        </w:rPr>
        <w:t>&lt;/pre&gt;</w:t>
      </w:r>
      <w:r>
        <w:t>means that her walking was done in a small area. Like the distances,</w:t>
      </w:r>
      <w:r>
        <w:rPr>
          <w:rStyle w:val="deletedparamark"/>
        </w:rPr>
        <w:t xml:space="preserve"> </w:t>
      </w:r>
      <w:r>
        <w:t>the interval sizes are classified only roughly as “small, medium, large”,</w:t>
      </w:r>
      <w:r>
        <w:rPr>
          <w:rStyle w:val="deletedparamark"/>
        </w:rPr>
        <w:t xml:space="preserve"> </w:t>
      </w:r>
      <w:r>
        <w:t>and are relative to the context: a small part of a room might be a large</w:t>
      </w:r>
      <w:r>
        <w:rPr>
          <w:rStyle w:val="deletedparamark"/>
        </w:rPr>
        <w:t xml:space="preserve"> </w:t>
      </w:r>
      <w:r>
        <w:t>part of a table in that room.</w:t>
      </w:r>
    </w:p>
    <w:p w:rsidR="00B72047" w:rsidRDefault="00B72047">
      <w:pPr>
        <w:rPr>
          <w:rStyle w:val="htmlparacode"/>
        </w:rPr>
      </w:pPr>
      <w:r>
        <w:rPr>
          <w:rStyle w:val="htmlparacode"/>
        </w:rPr>
        <w:t>&lt;p&gt;</w:t>
      </w:r>
    </w:p>
    <w:p w:rsidR="00B72047" w:rsidRDefault="00B72047">
      <w:pPr>
        <w:pStyle w:val="normalparagraph"/>
      </w:pPr>
      <w:r>
        <w:t>Here is an example using a time interval: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le verba ze'a cadzu le bisli</w:t>
      </w:r>
    </w:p>
    <w:p w:rsidR="00B72047" w:rsidRDefault="00B72047">
      <w:pPr>
        <w:pStyle w:val="examplescaled"/>
      </w:pPr>
      <w:r>
        <w:tab/>
        <w:t>The child [medium time interval] walks-on the ice.</w:t>
      </w:r>
    </w:p>
    <w:p w:rsidR="00B72047" w:rsidRDefault="00B72047">
      <w:pPr>
        <w:pStyle w:val="examplescaled"/>
      </w:pPr>
      <w:r>
        <w:tab/>
        <w:t>For a medium time, the child walks/walked/will walk on the ice.</w:t>
      </w:r>
    </w:p>
    <w:p w:rsidR="00B72047" w:rsidRDefault="00B72047">
      <w:pPr>
        <w:pStyle w:val="resumedafterexample"/>
      </w:pPr>
      <w:r>
        <w:rPr>
          <w:rStyle w:val="htmlcodes"/>
        </w:rPr>
        <w:t>&lt;/pre&gt;</w:t>
      </w:r>
      <w:r>
        <w:rPr>
          <w:rStyle w:val="indexentry"/>
        </w:rPr>
        <w:t>&lt;cx "tense, order of direction, distance and interval in"&gt;</w:t>
      </w:r>
      <w:r>
        <w:rPr>
          <w:rStyle w:val="indexentry"/>
        </w:rPr>
        <w:fldChar w:fldCharType="begin"/>
      </w:r>
      <w:r>
        <w:instrText>xe "</w:instrText>
      </w:r>
      <w:r>
        <w:rPr>
          <w:rStyle w:val="xeentry"/>
        </w:rPr>
        <w:instrText>tense: order of direction, distance and interval in</w:instrText>
      </w:r>
      <w:r>
        <w:instrText>"</w:instrText>
      </w:r>
      <w:r>
        <w:rPr>
          <w:rStyle w:val="indexentry"/>
        </w:rPr>
        <w:fldChar w:fldCharType="end"/>
      </w:r>
      <w:r>
        <w:rPr>
          <w:rStyle w:val="indexentry"/>
        </w:rPr>
        <w:t>&lt;cx "interval, relative order with direction and distance in tense"&gt;</w:t>
      </w:r>
      <w:r>
        <w:rPr>
          <w:rStyle w:val="indexentry"/>
        </w:rPr>
        <w:fldChar w:fldCharType="begin"/>
      </w:r>
      <w:r>
        <w:instrText>xe "</w:instrText>
      </w:r>
      <w:r>
        <w:rPr>
          <w:rStyle w:val="xeentry"/>
        </w:rPr>
        <w:instrText>interval: relative order with direction and distance in tense</w:instrText>
      </w:r>
      <w:r>
        <w:instrText>"</w:instrText>
      </w:r>
      <w:r>
        <w:rPr>
          <w:rStyle w:val="indexentry"/>
        </w:rPr>
        <w:fldChar w:fldCharType="end"/>
      </w:r>
      <w:r>
        <w:t xml:space="preserve">Note that with no time direction word, </w:t>
      </w:r>
      <w:r>
        <w:rPr>
          <w:rStyle w:val="htmlcodes"/>
        </w:rPr>
        <w:t>&lt;a href=#e5d2&gt;</w:t>
      </w:r>
      <w:r>
        <w:t xml:space="preserve">Example 5.2 </w:t>
      </w:r>
      <w:r>
        <w:rPr>
          <w:rStyle w:val="htmlcodes"/>
        </w:rPr>
        <w:t>&lt;/a&gt;</w:t>
      </w:r>
      <w:r>
        <w:t>does not say when the</w:t>
      </w:r>
      <w:r>
        <w:rPr>
          <w:rStyle w:val="deletedparamark"/>
        </w:rPr>
        <w:t xml:space="preserve"> </w:t>
      </w:r>
      <w:r>
        <w:t>walking ha</w:t>
      </w:r>
      <w:r>
        <w:t>p</w:t>
      </w:r>
      <w:r>
        <w:softHyphen/>
        <w:t>pened: that would be determined by context. It is possible to</w:t>
      </w:r>
      <w:r>
        <w:rPr>
          <w:rStyle w:val="deletedparamark"/>
        </w:rPr>
        <w:t xml:space="preserve"> </w:t>
      </w:r>
      <w:r>
        <w:t>specify both directions or distances and an interval, in which case the</w:t>
      </w:r>
      <w:r>
        <w:rPr>
          <w:rStyle w:val="deletedparamark"/>
        </w:rPr>
        <w:t xml:space="preserve"> </w:t>
      </w:r>
      <w:r>
        <w:t>interval always comes afterward: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le verba pu ze'a cadzu le bisli</w:t>
      </w:r>
    </w:p>
    <w:p w:rsidR="00B72047" w:rsidRDefault="00B72047">
      <w:pPr>
        <w:pStyle w:val="examplescaled"/>
      </w:pPr>
      <w:r>
        <w:tab/>
        <w:t>The child [past] [medium time interval] walks-on the ice.</w:t>
      </w:r>
    </w:p>
    <w:p w:rsidR="00B72047" w:rsidRDefault="00B72047">
      <w:pPr>
        <w:pStyle w:val="examplescaled"/>
      </w:pPr>
      <w:r>
        <w:tab/>
        <w:t>For a medium time, the child walked on the ice.</w:t>
      </w:r>
    </w:p>
    <w:p w:rsidR="00B72047" w:rsidRDefault="00B72047">
      <w:pPr>
        <w:pStyle w:val="examplescaled"/>
      </w:pPr>
      <w:r>
        <w:tab/>
        <w:t>The child walked on the ice for a while.</w:t>
      </w:r>
    </w:p>
    <w:p w:rsidR="00B72047" w:rsidRDefault="00B72047">
      <w:pPr>
        <w:pStyle w:val="normalafterexample"/>
      </w:pPr>
      <w:r>
        <w:rPr>
          <w:rStyle w:val="htmlcodes"/>
        </w:rPr>
        <w:t>&lt;/pre&gt;</w:t>
      </w:r>
      <w:r>
        <w:rPr>
          <w:rStyle w:val="indexentry"/>
        </w:rPr>
        <w:t>&lt;cx "interval, relation to point specified by direction and distance"&gt;</w:t>
      </w:r>
      <w:r>
        <w:rPr>
          <w:rStyle w:val="indexentry"/>
        </w:rPr>
        <w:fldChar w:fldCharType="begin"/>
      </w:r>
      <w:r>
        <w:instrText>xe "</w:instrText>
      </w:r>
      <w:r>
        <w:rPr>
          <w:rStyle w:val="xeentry"/>
        </w:rPr>
        <w:instrText>interval: relation to point specified by direction and distance</w:instrText>
      </w:r>
      <w:r>
        <w:instrText>"</w:instrText>
      </w:r>
      <w:r>
        <w:rPr>
          <w:rStyle w:val="indexentry"/>
        </w:rPr>
        <w:fldChar w:fldCharType="end"/>
      </w:r>
      <w:r>
        <w:rPr>
          <w:rStyle w:val="indexentry"/>
        </w:rPr>
        <w:t>&lt;cx "tense, relation of interval to point specified by direction and distance"&gt;</w:t>
      </w:r>
      <w:r>
        <w:rPr>
          <w:rStyle w:val="indexentry"/>
        </w:rPr>
        <w:fldChar w:fldCharType="begin"/>
      </w:r>
      <w:r>
        <w:instrText>xe "</w:instrText>
      </w:r>
      <w:r>
        <w:rPr>
          <w:rStyle w:val="xeentry"/>
        </w:rPr>
        <w:instrText>tense: relation of interval to point specified by direction and distance</w:instrText>
      </w:r>
      <w:r>
        <w:instrText>"</w:instrText>
      </w:r>
      <w:r>
        <w:rPr>
          <w:rStyle w:val="indexentry"/>
        </w:rPr>
        <w:fldChar w:fldCharType="end"/>
      </w:r>
      <w:r>
        <w:rPr>
          <w:rStyle w:val="indexentry"/>
        </w:rPr>
        <w:t>&lt;cx "tense, relation of point specified by direction and distance to interval"&gt;</w:t>
      </w:r>
      <w:r>
        <w:rPr>
          <w:rStyle w:val="indexentry"/>
        </w:rPr>
        <w:fldChar w:fldCharType="begin"/>
      </w:r>
      <w:r>
        <w:instrText>xe "</w:instrText>
      </w:r>
      <w:r>
        <w:rPr>
          <w:rStyle w:val="xeentry"/>
        </w:rPr>
        <w:instrText>tense: relation of point specified by direction and distance to interval</w:instrText>
      </w:r>
      <w:r>
        <w:instrText>"</w:instrText>
      </w:r>
      <w:r>
        <w:rPr>
          <w:rStyle w:val="indexentry"/>
        </w:rPr>
        <w:fldChar w:fldCharType="end"/>
      </w:r>
      <w:r>
        <w:rPr>
          <w:rStyle w:val="indexentry"/>
        </w:rPr>
        <w:t>&lt;cx "interval, specifying relation to point specified by direction and distance"&gt;</w:t>
      </w:r>
      <w:r>
        <w:rPr>
          <w:rStyle w:val="indexentry"/>
        </w:rPr>
        <w:fldChar w:fldCharType="begin"/>
      </w:r>
      <w:r>
        <w:instrText>xe "</w:instrText>
      </w:r>
      <w:r>
        <w:rPr>
          <w:rStyle w:val="xeentry"/>
        </w:rPr>
        <w:instrText>interval: specifying relation to point specified by direction and distance</w:instrText>
      </w:r>
      <w:r>
        <w:instrText>"</w:instrText>
      </w:r>
      <w:r>
        <w:rPr>
          <w:rStyle w:val="indexentry"/>
        </w:rPr>
        <w:fldChar w:fldCharType="end"/>
      </w:r>
      <w:r>
        <w:rPr>
          <w:rStyle w:val="indexentry"/>
        </w:rPr>
        <w:t>&lt;cx "tense, specifying relation of interval to point specified by direction and distance"&gt;</w:t>
      </w:r>
      <w:r>
        <w:rPr>
          <w:rStyle w:val="indexentry"/>
        </w:rPr>
        <w:fldChar w:fldCharType="begin"/>
      </w:r>
      <w:r>
        <w:instrText>xe "</w:instrText>
      </w:r>
      <w:r>
        <w:rPr>
          <w:rStyle w:val="xeentry"/>
        </w:rPr>
        <w:instrText>tense: specifying relation of interval to point specified by direction and distance</w:instrText>
      </w:r>
      <w:r>
        <w:instrText>"</w:instrText>
      </w:r>
      <w:r>
        <w:rPr>
          <w:rStyle w:val="indexentry"/>
        </w:rPr>
        <w:fldChar w:fldCharType="end"/>
      </w:r>
      <w:r>
        <w:rPr>
          <w:rStyle w:val="indexentry"/>
        </w:rPr>
        <w:t>&lt;cx "interval, followed by direction in tense construct"&gt;</w:t>
      </w:r>
      <w:r>
        <w:rPr>
          <w:rStyle w:val="indexentry"/>
        </w:rPr>
        <w:fldChar w:fldCharType="begin"/>
      </w:r>
      <w:r>
        <w:instrText>xe "</w:instrText>
      </w:r>
      <w:r>
        <w:rPr>
          <w:rStyle w:val="xeentry"/>
        </w:rPr>
        <w:instrText>interval: followed by direction in tense construct</w:instrText>
      </w:r>
      <w:r>
        <w:instrText>"</w:instrText>
      </w:r>
      <w:r>
        <w:rPr>
          <w:rStyle w:val="indexentry"/>
        </w:rPr>
        <w:fldChar w:fldCharType="end"/>
      </w:r>
      <w:r>
        <w:rPr>
          <w:rStyle w:val="indexentry"/>
        </w:rPr>
        <w:t>&lt;cx "direction, following interval in tense construct"&gt;</w:t>
      </w:r>
      <w:r>
        <w:rPr>
          <w:rStyle w:val="indexentry"/>
        </w:rPr>
        <w:fldChar w:fldCharType="begin"/>
      </w:r>
      <w:r>
        <w:instrText>xe "</w:instrText>
      </w:r>
      <w:r>
        <w:rPr>
          <w:rStyle w:val="xeentry"/>
        </w:rPr>
        <w:instrText>direction: following interval in tense construct</w:instrText>
      </w:r>
      <w:r>
        <w:instrText>"</w:instrText>
      </w:r>
      <w:r>
        <w:rPr>
          <w:rStyle w:val="indexentry"/>
        </w:rPr>
        <w:fldChar w:fldCharType="end"/>
      </w:r>
      <w:r>
        <w:rPr>
          <w:rStyle w:val="indexentry"/>
        </w:rPr>
        <w:t>&lt;cx "ca, meaning when following interval specification"&gt;</w:t>
      </w:r>
      <w:r>
        <w:rPr>
          <w:rStyle w:val="indexentry"/>
        </w:rPr>
        <w:fldChar w:fldCharType="begin"/>
      </w:r>
      <w:r>
        <w:instrText>xe "</w:instrText>
      </w:r>
      <w:r>
        <w:rPr>
          <w:rStyle w:val="xeentry"/>
        </w:rPr>
        <w:instrText>ca: meaning when following interval specification</w:instrText>
      </w:r>
      <w:r>
        <w:instrText>"</w:instrText>
      </w:r>
      <w:r>
        <w:rPr>
          <w:rStyle w:val="indexentry"/>
        </w:rPr>
        <w:fldChar w:fldCharType="end"/>
      </w:r>
      <w:r>
        <w:rPr>
          <w:rStyle w:val="indexentry"/>
        </w:rPr>
        <w:t>&lt;cx "interval direction, specifying"&gt;</w:t>
      </w:r>
      <w:r>
        <w:rPr>
          <w:rStyle w:val="indexentry"/>
        </w:rPr>
        <w:fldChar w:fldCharType="begin"/>
      </w:r>
      <w:r>
        <w:instrText>xe "</w:instrText>
      </w:r>
      <w:r>
        <w:rPr>
          <w:rStyle w:val="xeentry"/>
        </w:rPr>
        <w:instrText>interval direction: specifying</w:instrText>
      </w:r>
      <w:r>
        <w:instrText>"</w:instrText>
      </w:r>
      <w:r>
        <w:rPr>
          <w:rStyle w:val="indexentry"/>
        </w:rPr>
        <w:fldChar w:fldCharType="end"/>
      </w:r>
      <w:r>
        <w:t xml:space="preserve">In </w:t>
      </w:r>
      <w:r>
        <w:rPr>
          <w:rStyle w:val="htmlcodes"/>
        </w:rPr>
        <w:t>&lt;a href=#e5d3&gt;</w:t>
      </w:r>
      <w:r>
        <w:t>Example 5.3</w:t>
      </w:r>
      <w:r>
        <w:rPr>
          <w:rStyle w:val="htmlcodes"/>
        </w:rPr>
        <w:t>&lt;/a&gt;</w:t>
      </w:r>
      <w:r>
        <w:t>, the relationship of the interval to the speci</w:t>
      </w:r>
      <w:r>
        <w:softHyphen/>
        <w:t>fied point</w:t>
      </w:r>
      <w:r>
        <w:rPr>
          <w:rStyle w:val="deletedparamark"/>
        </w:rPr>
        <w:t xml:space="preserve"> </w:t>
      </w:r>
      <w:r>
        <w:t>in time or space is indeterminate. Does the interval start at the point,</w:t>
      </w:r>
      <w:r>
        <w:rPr>
          <w:rStyle w:val="deletedparamark"/>
        </w:rPr>
        <w:t xml:space="preserve"> </w:t>
      </w:r>
      <w:r>
        <w:t>end at the point, or is it cen</w:t>
      </w:r>
      <w:r>
        <w:softHyphen/>
        <w:t>tered on the point? By adding an additional</w:t>
      </w:r>
      <w:r>
        <w:rPr>
          <w:rStyle w:val="deletedparamark"/>
        </w:rPr>
        <w:t xml:space="preserve"> </w:t>
      </w:r>
      <w:r>
        <w:t>direction cmavo after the interval, this question can be con</w:t>
      </w:r>
      <w:r>
        <w:softHyphen/>
        <w:t>clusively</w:t>
      </w:r>
      <w:r>
        <w:rPr>
          <w:rStyle w:val="deletedparamark"/>
        </w:rPr>
        <w:t xml:space="preserve"> </w:t>
      </w:r>
      <w:r>
        <w:t>answered: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mi ca ze'ica cusku dei</w:t>
      </w:r>
    </w:p>
    <w:p w:rsidR="00B72047" w:rsidRDefault="00B72047">
      <w:pPr>
        <w:pStyle w:val="examplescaled"/>
      </w:pPr>
      <w:r>
        <w:tab/>
        <w:t>I [present] [short time interval – present] express this-utterance.</w:t>
      </w:r>
    </w:p>
    <w:p w:rsidR="00B72047" w:rsidRDefault="00B72047">
      <w:pPr>
        <w:pStyle w:val="examplescaled"/>
      </w:pPr>
      <w:r>
        <w:tab/>
        <w:t>I am now saying this sentence.</w:t>
      </w:r>
    </w:p>
    <w:p w:rsidR="00B72047" w:rsidRDefault="00B72047">
      <w:pPr>
        <w:pStyle w:val="resumedafterexample"/>
      </w:pPr>
      <w:r>
        <w:rPr>
          <w:rStyle w:val="htmlcodes"/>
        </w:rPr>
        <w:t>&lt;/pre&gt;</w:t>
      </w:r>
      <w:r>
        <w:rPr>
          <w:rStyle w:val="indexentry"/>
        </w:rPr>
        <w:t>&lt;cx "interval size, as context-dependent"&gt;</w:t>
      </w:r>
      <w:r>
        <w:rPr>
          <w:rStyle w:val="indexentry"/>
        </w:rPr>
        <w:fldChar w:fldCharType="begin"/>
      </w:r>
      <w:r>
        <w:instrText>xe "</w:instrText>
      </w:r>
      <w:r>
        <w:rPr>
          <w:rStyle w:val="xeentry"/>
        </w:rPr>
        <w:instrText>interval size: as context-dependent</w:instrText>
      </w:r>
      <w:r>
        <w:instrText>"</w:instrText>
      </w:r>
      <w:r>
        <w:rPr>
          <w:rStyle w:val="indexentry"/>
        </w:rPr>
        <w:fldChar w:fldCharType="end"/>
      </w:r>
      <w:r>
        <w:t>means that for an interval starting a short time in the past and ex</w:t>
      </w:r>
      <w:r>
        <w:softHyphen/>
        <w:t>tending</w:t>
      </w:r>
      <w:r>
        <w:rPr>
          <w:rStyle w:val="deletedparamark"/>
        </w:rPr>
        <w:t xml:space="preserve"> </w:t>
      </w:r>
      <w:r>
        <w:t>to a short time in the future, I am expressing the utterance which is</w:t>
      </w:r>
      <w:r>
        <w:rPr>
          <w:rStyle w:val="deletedparamark"/>
        </w:rPr>
        <w:t xml:space="preserve"> </w:t>
      </w:r>
      <w:r>
        <w:rPr>
          <w:rStyle w:val="htmlcodes"/>
        </w:rPr>
        <w:t>&lt;a href=#e5d4&gt;</w:t>
      </w:r>
      <w:r>
        <w:t>Example 5.4</w:t>
      </w:r>
      <w:r>
        <w:rPr>
          <w:rStyle w:val="htmlcodes"/>
        </w:rPr>
        <w:t>&lt;/a&gt;</w:t>
      </w:r>
      <w:r>
        <w:t>. Of course, “short” is rel</w:t>
      </w:r>
      <w:r>
        <w:t>a</w:t>
      </w:r>
      <w:r>
        <w:softHyphen/>
        <w:t>tive, as always in tenses. Even a</w:t>
      </w:r>
      <w:r>
        <w:rPr>
          <w:rStyle w:val="deletedparamark"/>
        </w:rPr>
        <w:t xml:space="preserve"> </w:t>
      </w:r>
      <w:r>
        <w:t>long sentence takes up only a short part of a whole day; in a geological</w:t>
      </w:r>
      <w:r>
        <w:rPr>
          <w:rStyle w:val="deletedparamark"/>
        </w:rPr>
        <w:t xml:space="preserve"> </w:t>
      </w:r>
      <w:r>
        <w:t xml:space="preserve">context, the era of </w:t>
      </w:r>
      <w:r>
        <w:rPr>
          <w:i/>
          <w:iCs/>
        </w:rPr>
        <w:t>Homo sapiens</w:t>
      </w:r>
      <w:r>
        <w:t xml:space="preserve"> would only be a “ze'i” interval.</w:t>
      </w:r>
    </w:p>
    <w:p w:rsidR="00B72047" w:rsidRDefault="00B72047">
      <w:pPr>
        <w:rPr>
          <w:rStyle w:val="htmlparacode"/>
        </w:rPr>
      </w:pPr>
      <w:r>
        <w:rPr>
          <w:rStyle w:val="htmlparacode"/>
        </w:rPr>
        <w:t>&lt;p&gt;</w:t>
      </w:r>
    </w:p>
    <w:p w:rsidR="00B72047" w:rsidRDefault="00B72047">
      <w:pPr>
        <w:pStyle w:val="normalparagraph"/>
      </w:pPr>
      <w:r>
        <w:t>By contrast,</w:t>
      </w:r>
    </w:p>
    <w:p w:rsidR="00B72047" w:rsidRDefault="00B72047">
      <w:pPr>
        <w:rPr>
          <w:rStyle w:val="htmlparacode"/>
        </w:rPr>
      </w:pPr>
      <w:r>
        <w:rPr>
          <w:rStyle w:val="htmlparacode"/>
        </w:rPr>
        <w:t>&lt;p&gt;</w:t>
      </w:r>
    </w:p>
    <w:p w:rsidR="00B72047" w:rsidRDefault="00B72047">
      <w:pPr>
        <w:pStyle w:val="examplescaledpre"/>
      </w:pPr>
      <w:r>
        <w:rPr>
          <w:rStyle w:val="indexentry"/>
        </w:rPr>
        <w:t>&lt;cx "pu, meaning when following interval specification"&gt;</w:t>
      </w:r>
      <w:r>
        <w:rPr>
          <w:rStyle w:val="indexentry"/>
        </w:rPr>
        <w:fldChar w:fldCharType="begin"/>
      </w:r>
      <w:r>
        <w:instrText>xe "</w:instrText>
      </w:r>
      <w:r>
        <w:rPr>
          <w:rStyle w:val="xeentry"/>
        </w:rPr>
        <w:instrText>pu: meaning when following interval specification</w:instrText>
      </w:r>
      <w:r>
        <w:instrText>"</w:instrText>
      </w:r>
      <w:r>
        <w:rPr>
          <w:rStyle w:val="indexentry"/>
        </w:rPr>
        <w:fldChar w:fldCharType="end"/>
      </w:r>
      <w:r>
        <w:rPr>
          <w:rStyle w:val="htmlcodes"/>
        </w:rPr>
        <w:t>&lt;pre&gt;&lt;a name=e5d5&gt;</w:t>
      </w:r>
      <w:r>
        <w:t>5.5)</w:t>
      </w:r>
      <w:r>
        <w:tab/>
        <w:t>mi ca ze'ipu cusku dei</w:t>
      </w:r>
    </w:p>
    <w:p w:rsidR="00B72047" w:rsidRDefault="00B72047">
      <w:pPr>
        <w:pStyle w:val="examplescaled"/>
      </w:pPr>
      <w:r>
        <w:tab/>
        <w:t>I [present] [short time interval – past] express this-utterance.</w:t>
      </w:r>
    </w:p>
    <w:p w:rsidR="00B72047" w:rsidRDefault="00B72047">
      <w:pPr>
        <w:pStyle w:val="examplescaled"/>
      </w:pPr>
      <w:r>
        <w:tab/>
        <w:t>I have just been saying this sentence.</w:t>
      </w:r>
    </w:p>
    <w:p w:rsidR="00B72047" w:rsidRDefault="00B72047">
      <w:pPr>
        <w:pStyle w:val="resumedafterexample"/>
      </w:pPr>
      <w:r>
        <w:rPr>
          <w:rStyle w:val="htmlcodes"/>
        </w:rPr>
        <w:t>&lt;/pre&gt;</w:t>
      </w:r>
      <w:r>
        <w:rPr>
          <w:rStyle w:val="indexentry"/>
        </w:rPr>
        <w:t>&lt;cx "imaginary journey, with interval direction"&gt;</w:t>
      </w:r>
      <w:r>
        <w:rPr>
          <w:rStyle w:val="indexentry"/>
        </w:rPr>
        <w:fldChar w:fldCharType="begin"/>
      </w:r>
      <w:r>
        <w:instrText>xe "</w:instrText>
      </w:r>
      <w:r>
        <w:rPr>
          <w:rStyle w:val="xeentry"/>
        </w:rPr>
        <w:instrText>imaginary journey: with interval direction</w:instrText>
      </w:r>
      <w:r>
        <w:instrText>"</w:instrText>
      </w:r>
      <w:r>
        <w:rPr>
          <w:rStyle w:val="indexentry"/>
        </w:rPr>
        <w:fldChar w:fldCharType="end"/>
      </w:r>
      <w:r>
        <w:t>means that for a short time interval extending from the past to the</w:t>
      </w:r>
      <w:r>
        <w:rPr>
          <w:rStyle w:val="deletedparamark"/>
        </w:rPr>
        <w:t xml:space="preserve"> </w:t>
      </w:r>
      <w:r>
        <w:t xml:space="preserve">present I have been expressing </w:t>
      </w:r>
      <w:r>
        <w:rPr>
          <w:rStyle w:val="htmlcodes"/>
        </w:rPr>
        <w:t>&lt;a href=#e5d5&gt;</w:t>
      </w:r>
      <w:r>
        <w:t>Example 5.5</w:t>
      </w:r>
      <w:r>
        <w:rPr>
          <w:rStyle w:val="htmlcodes"/>
        </w:rPr>
        <w:t>&lt;/a&gt;</w:t>
      </w:r>
      <w:r>
        <w:t>. Here the imaginary</w:t>
      </w:r>
      <w:r>
        <w:rPr>
          <w:rStyle w:val="deletedparamark"/>
        </w:rPr>
        <w:t xml:space="preserve"> </w:t>
      </w:r>
      <w:r>
        <w:t>journey starts at the present, lays down one end point of the</w:t>
      </w:r>
      <w:r>
        <w:rPr>
          <w:rStyle w:val="deletedparamark"/>
        </w:rPr>
        <w:t xml:space="preserve"> </w:t>
      </w:r>
      <w:r>
        <w:t>interval, moves into the past, and lays down the other endpoint.</w:t>
      </w:r>
      <w:r>
        <w:rPr>
          <w:rStyle w:val="deletedparamark"/>
        </w:rPr>
        <w:t xml:space="preserve"> </w:t>
      </w:r>
      <w:r>
        <w:t>An</w:t>
      </w:r>
      <w:r>
        <w:softHyphen/>
        <w:t>other ex</w:t>
      </w:r>
      <w:r>
        <w:softHyphen/>
        <w:t>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mi pu ze'aba citka le mi sanmi</w:t>
      </w:r>
    </w:p>
    <w:p w:rsidR="00B72047" w:rsidRDefault="00B72047">
      <w:pPr>
        <w:pStyle w:val="examplescaled"/>
      </w:pPr>
      <w:r>
        <w:tab/>
        <w:t>I [past] [medium time interval - future] eat my meal.</w:t>
      </w:r>
    </w:p>
    <w:p w:rsidR="00B72047" w:rsidRDefault="00B72047">
      <w:pPr>
        <w:pStyle w:val="examplescaled"/>
      </w:pPr>
      <w:r>
        <w:tab/>
        <w:t>For a medium time afterward, I ate my meal.</w:t>
      </w:r>
    </w:p>
    <w:p w:rsidR="00B72047" w:rsidRDefault="00B72047">
      <w:pPr>
        <w:pStyle w:val="examplescaled"/>
      </w:pPr>
      <w:r>
        <w:tab/>
        <w:t>I ate my meal for a while.</w:t>
      </w:r>
    </w:p>
    <w:p w:rsidR="00B72047" w:rsidRDefault="00B72047">
      <w:pPr>
        <w:pStyle w:val="resumedafterexample"/>
      </w:pPr>
      <w:r>
        <w:rPr>
          <w:rStyle w:val="htmlcodes"/>
        </w:rPr>
        <w:t>&lt;/pre&gt;&lt;p&gt;</w:t>
      </w:r>
      <w:r>
        <w:t xml:space="preserve">With “ca” instead of “ba”, </w:t>
      </w:r>
      <w:r>
        <w:rPr>
          <w:rStyle w:val="htmlcodes"/>
        </w:rPr>
        <w:t>&lt;a href=#e5d6&gt;</w:t>
      </w:r>
      <w:r>
        <w:t xml:space="preserve">Example 5.6 </w:t>
      </w:r>
      <w:r>
        <w:rPr>
          <w:rStyle w:val="htmlcodes"/>
        </w:rPr>
        <w:t>&lt;/a&gt;</w:t>
      </w:r>
      <w:r>
        <w:t xml:space="preserve">becomes </w:t>
      </w:r>
      <w:r>
        <w:rPr>
          <w:rStyle w:val="htmlcodes"/>
        </w:rPr>
        <w:t>&lt;a href=#e5d7&gt;</w:t>
      </w:r>
      <w:r>
        <w:t>Example 5.7</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mi pu ze'aca citka le mi sanmi</w:t>
      </w:r>
    </w:p>
    <w:p w:rsidR="00B72047" w:rsidRDefault="00B72047">
      <w:pPr>
        <w:pStyle w:val="examplescaled"/>
      </w:pPr>
      <w:r>
        <w:tab/>
        <w:t>I [past] [medium time interval - present] eat my meal</w:t>
      </w:r>
    </w:p>
    <w:p w:rsidR="00B72047" w:rsidRDefault="00B72047">
      <w:pPr>
        <w:pStyle w:val="examplescaled"/>
      </w:pPr>
      <w:r>
        <w:tab/>
        <w:t>For a medium time before and afterward, I ate my meal.</w:t>
      </w:r>
    </w:p>
    <w:p w:rsidR="00B72047" w:rsidRDefault="00B72047">
      <w:pPr>
        <w:pStyle w:val="examplescaled"/>
      </w:pPr>
      <w:r>
        <w:tab/>
        <w:t>I ate my meal for a while.</w:t>
      </w:r>
    </w:p>
    <w:p w:rsidR="00B72047" w:rsidRDefault="00B72047">
      <w:pPr>
        <w:pStyle w:val="resumedafterexample"/>
      </w:pPr>
      <w:r>
        <w:rPr>
          <w:rStyle w:val="htmlcodes"/>
        </w:rPr>
        <w:t>&lt;/pre&gt;</w:t>
      </w:r>
      <w:r>
        <w:t>because the interval would then be centered on the past moment</w:t>
      </w:r>
      <w:r>
        <w:rPr>
          <w:rStyle w:val="deletedparamark"/>
        </w:rPr>
        <w:t xml:space="preserve"> </w:t>
      </w:r>
      <w:r>
        <w:t>rather than oriented t</w:t>
      </w:r>
      <w:r>
        <w:t>o</w:t>
      </w:r>
      <w:r>
        <w:softHyphen/>
        <w:t>ward the future of that moment. The colloquial</w:t>
      </w:r>
      <w:r>
        <w:rPr>
          <w:rStyle w:val="deletedparamark"/>
        </w:rPr>
        <w:t xml:space="preserve"> </w:t>
      </w:r>
      <w:r>
        <w:t>English translations are the same — En</w:t>
      </w:r>
      <w:r>
        <w:t>g</w:t>
      </w:r>
      <w:r>
        <w:softHyphen/>
        <w:t>lish is not well-suited to</w:t>
      </w:r>
      <w:r>
        <w:rPr>
          <w:rStyle w:val="deletedparamark"/>
        </w:rPr>
        <w:t xml:space="preserve"> </w:t>
      </w:r>
      <w:r>
        <w:t>rep</w:t>
      </w:r>
      <w:r>
        <w:softHyphen/>
        <w:t>resenting this distinction.</w:t>
      </w:r>
    </w:p>
    <w:p w:rsidR="00B72047" w:rsidRDefault="00B72047">
      <w:pPr>
        <w:rPr>
          <w:rStyle w:val="htmlparacode"/>
        </w:rPr>
      </w:pPr>
      <w:r>
        <w:rPr>
          <w:rStyle w:val="htmlparacode"/>
        </w:rPr>
        <w:t>&lt;p&gt;</w:t>
      </w:r>
    </w:p>
    <w:p w:rsidR="00B72047" w:rsidRDefault="00B72047">
      <w:pPr>
        <w:pStyle w:val="normalparagraph"/>
      </w:pPr>
      <w:r>
        <w:t>Here are some examples of the use of space intervals with and without</w:t>
      </w:r>
      <w:r>
        <w:rPr>
          <w:rStyle w:val="deletedparamark"/>
        </w:rPr>
        <w:t xml:space="preserve"> </w:t>
      </w:r>
      <w:r>
        <w:t>speci</w:t>
      </w:r>
      <w:r>
        <w:softHyphen/>
        <w:t>fied d</w:t>
      </w:r>
      <w:r>
        <w:t>i</w:t>
      </w:r>
      <w:r>
        <w:softHyphen/>
        <w:t>rections:</w:t>
      </w:r>
    </w:p>
    <w:p w:rsidR="00B72047" w:rsidRDefault="00B72047">
      <w:pPr>
        <w:rPr>
          <w:rStyle w:val="htmlparacode"/>
        </w:rPr>
      </w:pPr>
      <w:r>
        <w:rPr>
          <w:rStyle w:val="htmlparacode"/>
        </w:rPr>
        <w:t>&lt;p&gt;</w:t>
      </w:r>
    </w:p>
    <w:p w:rsidR="00B72047" w:rsidRDefault="00B72047">
      <w:pPr>
        <w:pStyle w:val="examplescaledpre"/>
      </w:pPr>
      <w:r>
        <w:rPr>
          <w:rStyle w:val="indexentry"/>
        </w:rPr>
        <w:t>&lt;ex "fish on right"&gt;</w:t>
      </w:r>
      <w:r>
        <w:rPr>
          <w:rStyle w:val="indexentry"/>
        </w:rPr>
        <w:fldChar w:fldCharType="begin"/>
      </w:r>
      <w:r>
        <w:instrText>xe "</w:instrText>
      </w:r>
      <w:r>
        <w:rPr>
          <w:rStyle w:val="xeentry"/>
        </w:rPr>
        <w:instrText>fish on right: example</w:instrText>
      </w:r>
      <w:r>
        <w:instrText>"</w:instrText>
      </w:r>
      <w:r>
        <w:rPr>
          <w:rStyle w:val="indexentry"/>
        </w:rPr>
        <w:fldChar w:fldCharType="end"/>
      </w:r>
      <w:r>
        <w:rPr>
          <w:rStyle w:val="htmlcodes"/>
        </w:rPr>
        <w:t>&lt;pre&gt;&lt;a name=e5d8&gt;</w:t>
      </w:r>
      <w:r>
        <w:t>5.8)</w:t>
      </w:r>
      <w:r>
        <w:tab/>
        <w:t>ta ri'u ve'i finpe</w:t>
      </w:r>
    </w:p>
    <w:p w:rsidR="00B72047" w:rsidRDefault="00B72047">
      <w:pPr>
        <w:pStyle w:val="examplescaled"/>
      </w:pPr>
      <w:r>
        <w:tab/>
        <w:t>That-there [right] [short space interval] is-a-fish.</w:t>
      </w:r>
    </w:p>
    <w:p w:rsidR="00B72047" w:rsidRDefault="00B72047">
      <w:pPr>
        <w:pStyle w:val="examplescaled"/>
      </w:pPr>
      <w:r>
        <w:tab/>
        <w:t>That thing on my right is a fish.</w:t>
      </w:r>
    </w:p>
    <w:p w:rsidR="00B72047" w:rsidRDefault="00B72047">
      <w:pPr>
        <w:pStyle w:val="resumedafterexample"/>
      </w:pPr>
      <w:r>
        <w:rPr>
          <w:rStyle w:val="htmlcodes"/>
        </w:rPr>
        <w:t>&lt;/pre&gt;&lt;p&gt;</w:t>
      </w:r>
      <w:r>
        <w:t xml:space="preserve">In </w:t>
      </w:r>
      <w:r>
        <w:rPr>
          <w:rStyle w:val="htmlcodes"/>
        </w:rPr>
        <w:t>&lt;a href=#e5d8&gt;</w:t>
      </w:r>
      <w:r>
        <w:t>Example 5.8</w:t>
      </w:r>
      <w:r>
        <w:rPr>
          <w:rStyle w:val="htmlcodes"/>
        </w:rPr>
        <w:t>&lt;/a&gt;</w:t>
      </w:r>
      <w:r>
        <w:t>, there is no equivalent in the colloquial English trans</w:t>
      </w:r>
      <w:r>
        <w:softHyphen/>
        <w:t>lation</w:t>
      </w:r>
      <w:r>
        <w:rPr>
          <w:rStyle w:val="deletedparamark"/>
        </w:rPr>
        <w:t xml:space="preserve"> </w:t>
      </w:r>
      <w:r>
        <w:t>of the “small interval” which the fish occupies. Neither the Loj</w:t>
      </w:r>
      <w:r>
        <w:softHyphen/>
        <w:t>ban nor</w:t>
      </w:r>
      <w:r>
        <w:rPr>
          <w:rStyle w:val="deletedparamark"/>
        </w:rPr>
        <w:t xml:space="preserve"> </w:t>
      </w:r>
      <w:r>
        <w:t>the English expresses the ori</w:t>
      </w:r>
      <w:r>
        <w:softHyphen/>
        <w:t xml:space="preserve">entation of the fish. Compare </w:t>
      </w:r>
      <w:r>
        <w:rPr>
          <w:rStyle w:val="htmlcodes"/>
        </w:rPr>
        <w:t>&lt;a href=#e5d9&gt;</w:t>
      </w:r>
      <w:r>
        <w:t>Example 5.9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ta ri'u ve'ica'u finpe</w:t>
      </w:r>
    </w:p>
    <w:p w:rsidR="00B72047" w:rsidRDefault="00B72047">
      <w:pPr>
        <w:pStyle w:val="examplescaled"/>
      </w:pPr>
      <w:r>
        <w:tab/>
        <w:t>That-there [right] [short space interval - front] is-a-fish.</w:t>
      </w:r>
    </w:p>
    <w:p w:rsidR="00B72047" w:rsidRDefault="00B72047">
      <w:pPr>
        <w:pStyle w:val="examplescaled"/>
      </w:pPr>
      <w:r>
        <w:tab/>
        <w:t>That thing on my right extending forwards is a fish.</w:t>
      </w:r>
    </w:p>
    <w:p w:rsidR="00B72047" w:rsidRDefault="00B72047">
      <w:pPr>
        <w:pStyle w:val="resumedafterexample"/>
      </w:pPr>
      <w:r>
        <w:rPr>
          <w:rStyle w:val="htmlcodes"/>
        </w:rPr>
        <w:t>&lt;/pre&gt;&lt;p&gt;</w:t>
      </w:r>
      <w:r>
        <w:t>Here the space interval occupied by the fish extends from a point on my</w:t>
      </w:r>
      <w:r>
        <w:rPr>
          <w:rStyle w:val="deletedparamark"/>
        </w:rPr>
        <w:t xml:space="preserve"> </w:t>
      </w:r>
      <w:r>
        <w:t>right to another point in front of the first point.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335" w:name="_Toc398970580"/>
      <w:r>
        <w:rPr>
          <w:rStyle w:val="Heading3Text"/>
        </w:rPr>
        <w:t>Vague intervals and non-specific tenses</w:t>
      </w:r>
      <w:bookmarkEnd w:id="33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"interval size, unspecified"&gt;</w:t>
      </w:r>
      <w:r>
        <w:rPr>
          <w:rStyle w:val="indexentry"/>
        </w:rPr>
        <w:fldChar w:fldCharType="begin"/>
      </w:r>
      <w:r>
        <w:instrText>xe "</w:instrText>
      </w:r>
      <w:r>
        <w:rPr>
          <w:rStyle w:val="xeentry"/>
        </w:rPr>
        <w:instrText>interval size: unspecified</w:instrText>
      </w:r>
      <w:r>
        <w:instrText>"</w:instrText>
      </w:r>
      <w:r>
        <w:rPr>
          <w:rStyle w:val="indexentry"/>
        </w:rPr>
        <w:fldChar w:fldCharType="end"/>
      </w:r>
      <w:r>
        <w:rPr>
          <w:rStyle w:val="indexentry"/>
        </w:rPr>
        <w:t>&lt;cx "interval size, vague"&gt;</w:t>
      </w:r>
      <w:r>
        <w:rPr>
          <w:rStyle w:val="indexentry"/>
        </w:rPr>
        <w:fldChar w:fldCharType="begin"/>
      </w:r>
      <w:r>
        <w:instrText>xe "</w:instrText>
      </w:r>
      <w:r>
        <w:rPr>
          <w:rStyle w:val="xeentry"/>
        </w:rPr>
        <w:instrText>interval size: vague</w:instrText>
      </w:r>
      <w:r>
        <w:instrText>"</w:instrText>
      </w:r>
      <w:r>
        <w:rPr>
          <w:rStyle w:val="indexentry"/>
        </w:rPr>
        <w:fldChar w:fldCharType="end"/>
      </w:r>
      <w:r>
        <w:t>What is the significance of failing to specify an interval size of the</w:t>
      </w:r>
      <w:r>
        <w:rPr>
          <w:rStyle w:val="deletedparamark"/>
        </w:rPr>
        <w:t xml:space="preserve"> </w:t>
      </w:r>
      <w:r>
        <w:t>type dis</w:t>
      </w:r>
      <w:r>
        <w:softHyphen/>
        <w:t xml:space="preserve">cussed in </w:t>
      </w:r>
      <w:r>
        <w:rPr>
          <w:rStyle w:val="htmlcodes"/>
        </w:rPr>
        <w:t>&lt;a href=#s5&gt;</w:t>
      </w:r>
      <w:r>
        <w:t>Section 5</w:t>
      </w:r>
      <w:r>
        <w:rPr>
          <w:rStyle w:val="htmlcodes"/>
        </w:rPr>
        <w:t>&lt;/a&gt;</w:t>
      </w:r>
      <w:r>
        <w:t>? The Lojban rule is that if no interval size</w:t>
      </w:r>
      <w:r>
        <w:rPr>
          <w:rStyle w:val="deletedparamark"/>
        </w:rPr>
        <w:t xml:space="preserve"> </w:t>
      </w:r>
      <w:r>
        <w:t>is given, the size of the space or time interval is left vague by the</w:t>
      </w:r>
      <w:r>
        <w:rPr>
          <w:rStyle w:val="deletedparamark"/>
        </w:rPr>
        <w:t xml:space="preserve"> </w:t>
      </w:r>
      <w:r>
        <w:t>speaker.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mi pu klama le zarci</w:t>
      </w:r>
    </w:p>
    <w:p w:rsidR="00B72047" w:rsidRDefault="00B72047">
      <w:pPr>
        <w:pStyle w:val="examplescaled"/>
      </w:pPr>
      <w:r>
        <w:tab/>
        <w:t>I [past] go-to the market.</w:t>
      </w:r>
    </w:p>
    <w:p w:rsidR="00B72047" w:rsidRDefault="00B72047">
      <w:pPr>
        <w:pStyle w:val="resumedafterexample"/>
      </w:pPr>
      <w:r>
        <w:rPr>
          <w:rStyle w:val="htmlcodes"/>
        </w:rPr>
        <w:t>&lt;/pre&gt;</w:t>
      </w:r>
      <w:r>
        <w:t>really means:</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&lt;dl compact&gt;&lt;dt&gt;</w:t>
      </w:r>
      <w:r>
        <w:tab/>
      </w:r>
      <w:r>
        <w:rPr>
          <w:rStyle w:val="htmlcodes"/>
        </w:rPr>
        <w:t>&lt;dd&gt;</w:t>
      </w:r>
      <w:r>
        <w:t>At a moment in the past, and possibly other moments as well, the event</w:t>
      </w:r>
    </w:p>
    <w:p w:rsidR="00B72047" w:rsidRDefault="00B72047">
      <w:pPr>
        <w:pStyle w:val="examplescaled"/>
      </w:pPr>
      <w:r>
        <w:tab/>
        <w:t>“I went to the market” was in progress.</w:t>
      </w:r>
    </w:p>
    <w:p w:rsidR="00B72047" w:rsidRDefault="00B72047">
      <w:pPr>
        <w:pStyle w:val="normalafterexample"/>
        <w:spacing w:before="120"/>
      </w:pPr>
      <w:r>
        <w:rPr>
          <w:rStyle w:val="htmlcodes"/>
        </w:rPr>
        <w:t>&lt;/dl&gt;</w:t>
      </w:r>
      <w:r>
        <w:rPr>
          <w:rStyle w:val="indexentry"/>
        </w:rPr>
        <w:t>&lt;cx "past event, possible extension into present"&gt;</w:t>
      </w:r>
      <w:r>
        <w:rPr>
          <w:rStyle w:val="indexentry"/>
        </w:rPr>
        <w:fldChar w:fldCharType="begin"/>
      </w:r>
      <w:r>
        <w:instrText>xe "</w:instrText>
      </w:r>
      <w:r>
        <w:rPr>
          <w:rStyle w:val="xeentry"/>
        </w:rPr>
        <w:instrText>past event: possible extension into present</w:instrText>
      </w:r>
      <w:r>
        <w:instrText>"</w:instrText>
      </w:r>
      <w:r>
        <w:rPr>
          <w:rStyle w:val="indexentry"/>
        </w:rPr>
        <w:fldChar w:fldCharType="end"/>
      </w:r>
      <w:r>
        <w:rPr>
          <w:rStyle w:val="indexentry"/>
        </w:rPr>
        <w:t>&lt;cx "tense direction, implications on scope of event"&gt;</w:t>
      </w:r>
      <w:r>
        <w:rPr>
          <w:rStyle w:val="indexentry"/>
        </w:rPr>
        <w:fldChar w:fldCharType="begin"/>
      </w:r>
      <w:r>
        <w:instrText>xe "</w:instrText>
      </w:r>
      <w:r>
        <w:rPr>
          <w:rStyle w:val="xeentry"/>
        </w:rPr>
        <w:instrText>tense direction: implications on scope of event</w:instrText>
      </w:r>
      <w:r>
        <w:instrText>"</w:instrText>
      </w:r>
      <w:r>
        <w:rPr>
          <w:rStyle w:val="indexentry"/>
        </w:rPr>
        <w:fldChar w:fldCharType="end"/>
      </w:r>
      <w:r>
        <w:t>The vague or unspecified interval contains an instant in the speaker's past.</w:t>
      </w:r>
      <w:r>
        <w:rPr>
          <w:rStyle w:val="deletedparamark"/>
        </w:rPr>
        <w:t xml:space="preserve"> </w:t>
      </w:r>
      <w:r>
        <w:t>However, there is no indication whether or not the whole interval is in the</w:t>
      </w:r>
      <w:r>
        <w:rPr>
          <w:rStyle w:val="deletedparamark"/>
        </w:rPr>
        <w:t xml:space="preserve"> </w:t>
      </w:r>
      <w:r>
        <w:t>speaker's past! It is e</w:t>
      </w:r>
      <w:r>
        <w:t>n</w:t>
      </w:r>
      <w:r>
        <w:softHyphen/>
        <w:t>tirely possible that the interval during which the</w:t>
      </w:r>
      <w:r>
        <w:rPr>
          <w:rStyle w:val="deletedparamark"/>
        </w:rPr>
        <w:t xml:space="preserve"> </w:t>
      </w:r>
      <w:r>
        <w:t>going-to-the-market is happening stretches into the speaker's present or even</w:t>
      </w:r>
      <w:r>
        <w:rPr>
          <w:rStyle w:val="deletedparamark"/>
        </w:rPr>
        <w:t xml:space="preserve"> </w:t>
      </w:r>
      <w:r>
        <w:t>future.</w:t>
      </w:r>
    </w:p>
    <w:p w:rsidR="00B72047" w:rsidRDefault="00B72047">
      <w:pPr>
        <w:rPr>
          <w:rStyle w:val="htmlparacode"/>
        </w:rPr>
      </w:pPr>
      <w:r>
        <w:rPr>
          <w:rStyle w:val="htmlparacode"/>
        </w:rPr>
        <w:t>&lt;p&gt;</w:t>
      </w:r>
    </w:p>
    <w:p w:rsidR="00B72047" w:rsidRDefault="00B72047">
      <w:pPr>
        <w:pStyle w:val="normalparagraph"/>
      </w:pPr>
      <w:r>
        <w:rPr>
          <w:rStyle w:val="indexentry"/>
        </w:rPr>
        <w:t>&lt;cx "tense, Lojban contrasted with English in implications of completeness"&gt;</w:t>
      </w:r>
      <w:r>
        <w:rPr>
          <w:rStyle w:val="indexentry"/>
        </w:rPr>
        <w:fldChar w:fldCharType="begin"/>
      </w:r>
      <w:r>
        <w:instrText>xe "</w:instrText>
      </w:r>
      <w:r>
        <w:rPr>
          <w:rStyle w:val="xeentry"/>
        </w:rPr>
        <w:instrText>tense: Lojban contrasted with English in implications of completeness</w:instrText>
      </w:r>
      <w:r>
        <w:instrText>"</w:instrText>
      </w:r>
      <w:r>
        <w:rPr>
          <w:rStyle w:val="indexentry"/>
        </w:rPr>
        <w:fldChar w:fldCharType="end"/>
      </w:r>
      <w:r>
        <w:rPr>
          <w:rStyle w:val="htmlcodes"/>
        </w:rPr>
        <w:t>&lt;a href=#e6d1&gt;</w:t>
      </w:r>
      <w:r>
        <w:t xml:space="preserve">Example 6.1 </w:t>
      </w:r>
      <w:r>
        <w:rPr>
          <w:rStyle w:val="htmlcodes"/>
        </w:rPr>
        <w:t>&lt;/a&gt;</w:t>
      </w:r>
      <w:r>
        <w:t>points up a fundamental difference between Lojban</w:t>
      </w:r>
      <w:r>
        <w:rPr>
          <w:rStyle w:val="deletedparamark"/>
        </w:rPr>
        <w:t xml:space="preserve"> </w:t>
      </w:r>
      <w:r>
        <w:t>tenses and English tenses. An English past-tense sentence like “I went to</w:t>
      </w:r>
      <w:r>
        <w:rPr>
          <w:rStyle w:val="deletedparamark"/>
        </w:rPr>
        <w:t xml:space="preserve"> </w:t>
      </w:r>
      <w:r>
        <w:t>the market” generally signifies that the going-to-the-market is entirely in</w:t>
      </w:r>
      <w:r>
        <w:rPr>
          <w:rStyle w:val="deletedparamark"/>
        </w:rPr>
        <w:t xml:space="preserve"> </w:t>
      </w:r>
      <w:r>
        <w:t>the past; that is, that the event is complete at the time of speaking.</w:t>
      </w:r>
      <w:r>
        <w:rPr>
          <w:rStyle w:val="deletedparamark"/>
        </w:rPr>
        <w:t xml:space="preserve"> </w:t>
      </w:r>
      <w:r>
        <w:t>Lojban “pu” has no such implication.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"Classical Greek aorist tense, compared with Lojban tense"&gt;</w:t>
      </w:r>
      <w:r>
        <w:rPr>
          <w:rStyle w:val="indexentry"/>
        </w:rPr>
        <w:fldChar w:fldCharType="begin"/>
      </w:r>
      <w:r>
        <w:instrText>xe "</w:instrText>
      </w:r>
      <w:r>
        <w:rPr>
          <w:rStyle w:val="xeentry"/>
        </w:rPr>
        <w:instrText>Classical Greek aorist tense: compared with Lojban tense</w:instrText>
      </w:r>
      <w:r>
        <w:instrText>"</w:instrText>
      </w:r>
      <w:r>
        <w:rPr>
          <w:rStyle w:val="indexentry"/>
        </w:rPr>
        <w:fldChar w:fldCharType="end"/>
      </w:r>
      <w:r>
        <w:rPr>
          <w:rStyle w:val="indexentry"/>
        </w:rPr>
        <w:t>&lt;cx "aorist, definition"&gt;</w:t>
      </w:r>
      <w:r>
        <w:rPr>
          <w:rStyle w:val="indexentry"/>
        </w:rPr>
        <w:fldChar w:fldCharType="begin"/>
      </w:r>
      <w:r>
        <w:instrText>xe "</w:instrText>
      </w:r>
      <w:r>
        <w:rPr>
          <w:rStyle w:val="xeentry"/>
        </w:rPr>
        <w:instrText>aorist: definition</w:instrText>
      </w:r>
      <w:r>
        <w:instrText>"</w:instrText>
      </w:r>
      <w:r>
        <w:rPr>
          <w:rStyle w:val="indexentry"/>
        </w:rPr>
        <w:fldChar w:fldCharType="end"/>
      </w:r>
      <w:r>
        <w:rPr>
          <w:rStyle w:val="indexentry"/>
        </w:rPr>
        <w:t>&lt;cx "tense, aorist"&gt;</w:t>
      </w:r>
      <w:r>
        <w:rPr>
          <w:rStyle w:val="indexentry"/>
        </w:rPr>
        <w:fldChar w:fldCharType="begin"/>
      </w:r>
      <w:r>
        <w:instrText>xe "</w:instrText>
      </w:r>
      <w:r>
        <w:rPr>
          <w:rStyle w:val="xeentry"/>
        </w:rPr>
        <w:instrText>tense: aorist</w:instrText>
      </w:r>
      <w:r>
        <w:instrText>"</w:instrText>
      </w:r>
      <w:r>
        <w:rPr>
          <w:rStyle w:val="indexentry"/>
        </w:rPr>
        <w:fldChar w:fldCharType="end"/>
      </w:r>
      <w:r>
        <w:t>This property of a past tense is sometimes called “aorist”, in reference to</w:t>
      </w:r>
      <w:r>
        <w:rPr>
          <w:rStyle w:val="deletedparamark"/>
        </w:rPr>
        <w:t xml:space="preserve"> </w:t>
      </w:r>
      <w:r>
        <w:t>a similar concept in the tense system of Classical Greek. All of the</w:t>
      </w:r>
      <w:r>
        <w:rPr>
          <w:rStyle w:val="deletedparamark"/>
        </w:rPr>
        <w:t xml:space="preserve"> </w:t>
      </w:r>
      <w:r>
        <w:t>Lojban tenses have the same property, however:</w:t>
      </w:r>
    </w:p>
    <w:p w:rsidR="00B72047" w:rsidRDefault="00B72047">
      <w:pPr>
        <w:rPr>
          <w:rStyle w:val="htmlparacode"/>
        </w:rPr>
      </w:pPr>
      <w:r>
        <w:rPr>
          <w:rStyle w:val="htmlparacode"/>
        </w:rPr>
        <w:t>&lt;p&gt;</w:t>
      </w:r>
    </w:p>
    <w:p w:rsidR="00B72047" w:rsidRDefault="00B72047">
      <w:pPr>
        <w:pStyle w:val="examplescaledpre"/>
      </w:pPr>
      <w:r>
        <w:rPr>
          <w:rStyle w:val="indexentry"/>
        </w:rPr>
        <w:t>&lt;cx "future event, possible extension into present"&gt;</w:t>
      </w:r>
      <w:r>
        <w:rPr>
          <w:rStyle w:val="indexentry"/>
        </w:rPr>
        <w:fldChar w:fldCharType="begin"/>
      </w:r>
      <w:r>
        <w:instrText>xe "</w:instrText>
      </w:r>
      <w:r>
        <w:rPr>
          <w:rStyle w:val="xeentry"/>
        </w:rPr>
        <w:instrText>future event: possible extension into present</w:instrText>
      </w:r>
      <w:r>
        <w:instrText>"</w:instrText>
      </w:r>
      <w:r>
        <w:rPr>
          <w:rStyle w:val="indexentry"/>
        </w:rPr>
        <w:fldChar w:fldCharType="end"/>
      </w:r>
      <w:r>
        <w:rPr>
          <w:rStyle w:val="htmlcodes"/>
        </w:rPr>
        <w:t>&lt;pre&gt;&lt;a name=e6d2&gt;</w:t>
      </w:r>
      <w:r>
        <w:t>6.2)</w:t>
      </w:r>
      <w:r>
        <w:tab/>
        <w:t>le tricu ba crino</w:t>
      </w:r>
    </w:p>
    <w:p w:rsidR="00B72047" w:rsidRDefault="00B72047">
      <w:pPr>
        <w:pStyle w:val="examplescaled"/>
      </w:pPr>
      <w:r>
        <w:tab/>
        <w:t>The tree [future] is-green.</w:t>
      </w:r>
    </w:p>
    <w:p w:rsidR="00B72047" w:rsidRDefault="00B72047">
      <w:pPr>
        <w:pStyle w:val="examplescaled"/>
      </w:pPr>
      <w:r>
        <w:tab/>
        <w:t>The tree will be green.</w:t>
      </w:r>
    </w:p>
    <w:p w:rsidR="00B72047" w:rsidRDefault="00B72047">
      <w:pPr>
        <w:pStyle w:val="resumedafterexample"/>
      </w:pPr>
      <w:r>
        <w:rPr>
          <w:rStyle w:val="htmlcodes"/>
        </w:rPr>
        <w:t>&lt;/pre&gt;</w:t>
      </w:r>
      <w:r>
        <w:t>does not imply (as the colloquial English translation does) that the tree</w:t>
      </w:r>
      <w:r>
        <w:rPr>
          <w:rStyle w:val="deletedparamark"/>
        </w:rPr>
        <w:t xml:space="preserve"> </w:t>
      </w:r>
      <w:r>
        <w:t>is not green now. The vague interval throughout which the tree is, in fact,</w:t>
      </w:r>
      <w:r>
        <w:rPr>
          <w:rStyle w:val="deletedparamark"/>
        </w:rPr>
        <w:t xml:space="preserve"> </w:t>
      </w:r>
      <w:r>
        <w:t>green may have already started.</w:t>
      </w:r>
    </w:p>
    <w:p w:rsidR="00B72047" w:rsidRDefault="00B72047">
      <w:pPr>
        <w:rPr>
          <w:rStyle w:val="htmlparacode"/>
        </w:rPr>
      </w:pPr>
      <w:r>
        <w:rPr>
          <w:rStyle w:val="htmlparacode"/>
        </w:rPr>
        <w:t>&lt;p&gt;</w:t>
      </w:r>
    </w:p>
    <w:p w:rsidR="00B72047" w:rsidRDefault="00B72047">
      <w:pPr>
        <w:pStyle w:val="normalparagraph"/>
      </w:pPr>
      <w:r>
        <w:t>This general principle does not mean that Lojban has no way of indicating</w:t>
      </w:r>
      <w:r>
        <w:rPr>
          <w:rStyle w:val="deletedparamark"/>
        </w:rPr>
        <w:t xml:space="preserve"> </w:t>
      </w:r>
      <w:r>
        <w:t>that a tree will be green but is not yet green. Indeed, there are several</w:t>
      </w:r>
      <w:r>
        <w:rPr>
          <w:rStyle w:val="deletedparamark"/>
        </w:rPr>
        <w:t xml:space="preserve"> </w:t>
      </w:r>
      <w:r>
        <w:t>ways of expressing that co</w:t>
      </w:r>
      <w:r>
        <w:t>n</w:t>
      </w:r>
      <w:r>
        <w:softHyphen/>
        <w:t xml:space="preserve">cept: see </w:t>
      </w:r>
      <w:r>
        <w:rPr>
          <w:rStyle w:val="htmlcodes"/>
        </w:rPr>
        <w:t>&lt;a href=#s10&gt;</w:t>
      </w:r>
      <w:r>
        <w:t xml:space="preserve">Section 10 </w:t>
      </w:r>
      <w:r>
        <w:rPr>
          <w:rStyle w:val="htmlcodes"/>
        </w:rPr>
        <w:t>&lt;/a&gt;</w:t>
      </w:r>
      <w:r>
        <w:t>(event contours) and</w:t>
      </w:r>
      <w:r>
        <w:rPr>
          <w:rStyle w:val="deletedparamark"/>
        </w:rPr>
        <w:t xml:space="preserve"> </w:t>
      </w:r>
      <w:r>
        <w:rPr>
          <w:rStyle w:val="htmlcodes"/>
        </w:rPr>
        <w:t>&lt;a href=#s20&gt;</w:t>
      </w:r>
      <w:r>
        <w:t xml:space="preserve">Section 20 </w:t>
      </w:r>
      <w:r>
        <w:rPr>
          <w:rStyle w:val="htmlcodes"/>
        </w:rPr>
        <w:t>&lt;/a&gt;</w:t>
      </w:r>
      <w:r>
        <w:t>(logical connection be</w:t>
      </w:r>
      <w:r>
        <w:softHyphen/>
        <w:t>tween tenses).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336" w:name="_Toc398970581"/>
      <w:r>
        <w:rPr>
          <w:rStyle w:val="Heading3Text"/>
        </w:rPr>
        <w:t>Dimensionality: VIhA</w:t>
      </w:r>
      <w:bookmarkEnd w:id="33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w:t>
      </w:r>
      <w:r>
        <w:t xml:space="preserve"> </w:t>
      </w:r>
      <w:r>
        <w:tab/>
        <w:t>vi'i</w:t>
      </w:r>
      <w:r>
        <w:tab/>
        <w:t>VIhA</w:t>
      </w:r>
      <w:r>
        <w:tab/>
        <w:t>on a line</w:t>
      </w:r>
    </w:p>
    <w:p w:rsidR="00B72047" w:rsidRDefault="00B72047">
      <w:pPr>
        <w:pStyle w:val="examplescaled"/>
      </w:pPr>
      <w:r>
        <w:tab/>
        <w:t>vi'a</w:t>
      </w:r>
      <w:r>
        <w:tab/>
        <w:t>VIhA</w:t>
      </w:r>
      <w:r>
        <w:tab/>
        <w:t>in an area</w:t>
      </w:r>
    </w:p>
    <w:p w:rsidR="00B72047" w:rsidRDefault="00B72047">
      <w:pPr>
        <w:pStyle w:val="examplescaled"/>
      </w:pPr>
      <w:r>
        <w:tab/>
        <w:t>vi'u</w:t>
      </w:r>
      <w:r>
        <w:tab/>
        <w:t>VIhA</w:t>
      </w:r>
      <w:r>
        <w:tab/>
        <w:t>through a volume</w:t>
      </w:r>
    </w:p>
    <w:p w:rsidR="00B72047" w:rsidRDefault="00B72047">
      <w:pPr>
        <w:pStyle w:val="examplescaled"/>
      </w:pPr>
      <w:r>
        <w:tab/>
        <w:t>vi'e</w:t>
      </w:r>
      <w:r>
        <w:tab/>
        <w:t>VIhA</w:t>
      </w:r>
      <w:r>
        <w:tab/>
        <w:t>throughout a space/time interval</w:t>
      </w:r>
    </w:p>
    <w:p w:rsidR="00B72047" w:rsidRDefault="00B72047">
      <w:pPr>
        <w:pStyle w:val="normalafterexample"/>
      </w:pPr>
      <w:r>
        <w:rPr>
          <w:rStyle w:val="htmlcodes"/>
        </w:rPr>
        <w:t>&lt;/pre&gt;</w:t>
      </w:r>
      <w:r>
        <w:rPr>
          <w:rStyle w:val="indexentry"/>
        </w:rPr>
        <w:t>&lt;cx "spatial tense, contrasted with temporal in dimensionality"&gt;</w:t>
      </w:r>
      <w:r>
        <w:rPr>
          <w:rStyle w:val="indexentry"/>
        </w:rPr>
        <w:fldChar w:fldCharType="begin"/>
      </w:r>
      <w:r>
        <w:instrText>xe "</w:instrText>
      </w:r>
      <w:r>
        <w:rPr>
          <w:rStyle w:val="xeentry"/>
        </w:rPr>
        <w:instrText>spatial tense: contrasted with temporal in dimensionality</w:instrText>
      </w:r>
      <w:r>
        <w:instrText>"</w:instrText>
      </w:r>
      <w:r>
        <w:rPr>
          <w:rStyle w:val="indexentry"/>
        </w:rPr>
        <w:fldChar w:fldCharType="end"/>
      </w:r>
      <w:r>
        <w:rPr>
          <w:rStyle w:val="indexentry"/>
        </w:rPr>
        <w:t>&lt;cx "spatial tense, linear"&gt;</w:t>
      </w:r>
      <w:r>
        <w:rPr>
          <w:rStyle w:val="indexentry"/>
        </w:rPr>
        <w:fldChar w:fldCharType="begin"/>
      </w:r>
      <w:r>
        <w:instrText>xe "</w:instrText>
      </w:r>
      <w:r>
        <w:rPr>
          <w:rStyle w:val="xeentry"/>
        </w:rPr>
        <w:instrText>spatial tense: linear</w:instrText>
      </w:r>
      <w:r>
        <w:instrText>"</w:instrText>
      </w:r>
      <w:r>
        <w:rPr>
          <w:rStyle w:val="indexentry"/>
        </w:rPr>
        <w:fldChar w:fldCharType="end"/>
      </w:r>
      <w:r>
        <w:rPr>
          <w:rStyle w:val="indexentry"/>
        </w:rPr>
        <w:t>&lt;cx "spatial tense, planar"&gt;</w:t>
      </w:r>
      <w:r>
        <w:rPr>
          <w:rStyle w:val="indexentry"/>
        </w:rPr>
        <w:fldChar w:fldCharType="begin"/>
      </w:r>
      <w:r>
        <w:instrText>xe "</w:instrText>
      </w:r>
      <w:r>
        <w:rPr>
          <w:rStyle w:val="xeentry"/>
        </w:rPr>
        <w:instrText>spatial tense: planar</w:instrText>
      </w:r>
      <w:r>
        <w:instrText>"</w:instrText>
      </w:r>
      <w:r>
        <w:rPr>
          <w:rStyle w:val="indexentry"/>
        </w:rPr>
        <w:fldChar w:fldCharType="end"/>
      </w:r>
      <w:r>
        <w:rPr>
          <w:rStyle w:val="indexentry"/>
        </w:rPr>
        <w:t>&lt;cx "spatial tense, one-dimensional"&gt;</w:t>
      </w:r>
      <w:r>
        <w:rPr>
          <w:rStyle w:val="indexentry"/>
        </w:rPr>
        <w:fldChar w:fldCharType="begin"/>
      </w:r>
      <w:r>
        <w:instrText>xe "</w:instrText>
      </w:r>
      <w:r>
        <w:rPr>
          <w:rStyle w:val="xeentry"/>
        </w:rPr>
        <w:instrText>spatial tense: one-dimensional</w:instrText>
      </w:r>
      <w:r>
        <w:instrText>"</w:instrText>
      </w:r>
      <w:r>
        <w:rPr>
          <w:rStyle w:val="indexentry"/>
        </w:rPr>
        <w:fldChar w:fldCharType="end"/>
      </w:r>
      <w:r>
        <w:rPr>
          <w:rStyle w:val="indexentry"/>
        </w:rPr>
        <w:t>&lt;cx "spatial tense, two-dimensional"&gt;</w:t>
      </w:r>
      <w:r>
        <w:rPr>
          <w:rStyle w:val="indexentry"/>
        </w:rPr>
        <w:fldChar w:fldCharType="begin"/>
      </w:r>
      <w:r>
        <w:instrText>xe "</w:instrText>
      </w:r>
      <w:r>
        <w:rPr>
          <w:rStyle w:val="xeentry"/>
        </w:rPr>
        <w:instrText>spatial tense: two-dimensional</w:instrText>
      </w:r>
      <w:r>
        <w:instrText>"</w:instrText>
      </w:r>
      <w:r>
        <w:rPr>
          <w:rStyle w:val="indexentry"/>
        </w:rPr>
        <w:fldChar w:fldCharType="end"/>
      </w:r>
      <w:r>
        <w:rPr>
          <w:rStyle w:val="indexentry"/>
        </w:rPr>
        <w:t>&lt;cx "spatial tense, three-dimensional"&gt;</w:t>
      </w:r>
      <w:r>
        <w:rPr>
          <w:rStyle w:val="indexentry"/>
        </w:rPr>
        <w:fldChar w:fldCharType="begin"/>
      </w:r>
      <w:r>
        <w:instrText>xe "</w:instrText>
      </w:r>
      <w:r>
        <w:rPr>
          <w:rStyle w:val="xeentry"/>
        </w:rPr>
        <w:instrText>spatial tense: three-dimensional</w:instrText>
      </w:r>
      <w:r>
        <w:instrText>"</w:instrText>
      </w:r>
      <w:r>
        <w:rPr>
          <w:rStyle w:val="indexentry"/>
        </w:rPr>
        <w:fldChar w:fldCharType="end"/>
      </w:r>
      <w:r>
        <w:t>The cmavo of ZEhA are sufficient to express time intervals. One fundamental</w:t>
      </w:r>
      <w:r>
        <w:rPr>
          <w:rStyle w:val="deletedparamark"/>
        </w:rPr>
        <w:t xml:space="preserve"> </w:t>
      </w:r>
      <w:r>
        <w:t>diffe</w:t>
      </w:r>
      <w:r>
        <w:t>r</w:t>
      </w:r>
      <w:r>
        <w:softHyphen/>
        <w:t>ence between space and time, however, is that space is</w:t>
      </w:r>
      <w:r>
        <w:rPr>
          <w:rStyle w:val="deletedparamark"/>
        </w:rPr>
        <w:t xml:space="preserve"> </w:t>
      </w:r>
      <w:r>
        <w:t>multi-dimensional. Some</w:t>
      </w:r>
      <w:r>
        <w:softHyphen/>
        <w:t>times we want to say not only that something moves</w:t>
      </w:r>
      <w:r>
        <w:rPr>
          <w:rStyle w:val="deletedparamark"/>
        </w:rPr>
        <w:t xml:space="preserve"> </w:t>
      </w:r>
      <w:r>
        <w:t>over a small interval, but also per</w:t>
      </w:r>
      <w:r>
        <w:softHyphen/>
        <w:t>haps that it moves in a line. Lojban</w:t>
      </w:r>
      <w:r>
        <w:rPr>
          <w:rStyle w:val="deletedparamark"/>
        </w:rPr>
        <w:t xml:space="preserve"> </w:t>
      </w:r>
      <w:r>
        <w:t>allows for this. I can specify that a motion “in a small space” is more</w:t>
      </w:r>
      <w:r>
        <w:rPr>
          <w:rStyle w:val="deletedparamark"/>
        </w:rPr>
        <w:t xml:space="preserve"> </w:t>
      </w:r>
      <w:r>
        <w:t>specifically “in a short line”, “in a small area”, or “through a small</w:t>
      </w:r>
      <w:r>
        <w:rPr>
          <w:rStyle w:val="deletedparamark"/>
        </w:rPr>
        <w:t xml:space="preserve"> </w:t>
      </w:r>
      <w:r>
        <w:t>volume”.</w:t>
      </w:r>
    </w:p>
    <w:p w:rsidR="00B72047" w:rsidRDefault="00B72047">
      <w:pPr>
        <w:rPr>
          <w:rStyle w:val="htmlparacode"/>
        </w:rPr>
      </w:pPr>
      <w:r>
        <w:rPr>
          <w:rStyle w:val="htmlparacode"/>
        </w:rPr>
        <w:t>&lt;p&gt;</w:t>
      </w:r>
    </w:p>
    <w:p w:rsidR="00B72047" w:rsidRDefault="00B72047">
      <w:pPr>
        <w:pStyle w:val="normalparagraph"/>
      </w:pPr>
      <w:r>
        <w:rPr>
          <w:rStyle w:val="indexentry"/>
        </w:rPr>
        <w:t>&lt;lx "VIhA"&gt;</w:t>
      </w:r>
      <w:r>
        <w:rPr>
          <w:rStyle w:val="indexentry"/>
        </w:rPr>
        <w:fldChar w:fldCharType="begin"/>
      </w:r>
      <w:r>
        <w:instrText>xe "</w:instrText>
      </w:r>
      <w:r>
        <w:rPr>
          <w:rStyle w:val="xeentry"/>
        </w:rPr>
        <w:instrText>VIhA selma’o</w:instrText>
      </w:r>
      <w:r>
        <w:instrText>"</w:instrText>
      </w:r>
      <w:r>
        <w:rPr>
          <w:rStyle w:val="indexentry"/>
        </w:rPr>
        <w:fldChar w:fldCharType="end"/>
      </w:r>
      <w:r>
        <w:t xml:space="preserve">What about the child walking on the ice in </w:t>
      </w:r>
      <w:r>
        <w:rPr>
          <w:rStyle w:val="htmlcodes"/>
        </w:rPr>
        <w:t>&lt;a href=#e5d{1}&gt;</w:t>
      </w:r>
      <w:r>
        <w:t xml:space="preserve">Examples 5.1 </w:t>
      </w:r>
      <w:r>
        <w:rPr>
          <w:rStyle w:val="htmlcodes"/>
        </w:rPr>
        <w:t>&lt;/a&gt;</w:t>
      </w:r>
      <w:r>
        <w:t xml:space="preserve">through </w:t>
      </w:r>
      <w:r>
        <w:rPr>
          <w:rStyle w:val="htmlcodes"/>
        </w:rPr>
        <w:t>&lt;a href=#e5d3&gt;</w:t>
      </w:r>
      <w:r>
        <w:t>5.3</w:t>
      </w:r>
      <w:r>
        <w:rPr>
          <w:rStyle w:val="htmlcodes"/>
        </w:rPr>
        <w:t>&lt;/a&gt;</w:t>
      </w:r>
      <w:r>
        <w:t>? Given</w:t>
      </w:r>
      <w:r>
        <w:rPr>
          <w:rStyle w:val="deletedparamark"/>
        </w:rPr>
        <w:t xml:space="preserve"> </w:t>
      </w:r>
      <w:r>
        <w:t>the n</w:t>
      </w:r>
      <w:r>
        <w:t>a</w:t>
      </w:r>
      <w:r>
        <w:softHyphen/>
        <w:t>ture of ice, probably the area interpretation is most sensible. I can</w:t>
      </w:r>
      <w:r>
        <w:rPr>
          <w:rStyle w:val="deletedparamark"/>
        </w:rPr>
        <w:t xml:space="preserve"> </w:t>
      </w:r>
      <w:r>
        <w:t>make this as</w:t>
      </w:r>
      <w:r>
        <w:softHyphen/>
        <w:t>sumption explicit with the appro</w:t>
      </w:r>
      <w:r>
        <w:softHyphen/>
        <w:t>priate member of selma'o VIhA:</w:t>
      </w:r>
    </w:p>
    <w:p w:rsidR="00B72047" w:rsidRDefault="00B72047">
      <w:pPr>
        <w:rPr>
          <w:rStyle w:val="htmlparacode"/>
        </w:rPr>
      </w:pPr>
      <w:r>
        <w:rPr>
          <w:rStyle w:val="htmlparacode"/>
        </w:rPr>
        <w:t>&lt;p&gt;</w:t>
      </w:r>
    </w:p>
    <w:p w:rsidR="00B72047" w:rsidRDefault="00B72047">
      <w:pPr>
        <w:pStyle w:val="examplescaledpre"/>
      </w:pPr>
      <w:r>
        <w:rPr>
          <w:rStyle w:val="indexentry"/>
        </w:rPr>
        <w:t>&lt;lx "vi'a"&gt;</w:t>
      </w:r>
      <w:r>
        <w:rPr>
          <w:rStyle w:val="indexentry"/>
        </w:rPr>
        <w:fldChar w:fldCharType="begin"/>
      </w:r>
      <w:r>
        <w:instrText>xe "</w:instrText>
      </w:r>
      <w:r>
        <w:rPr>
          <w:rStyle w:val="xeentry"/>
        </w:rPr>
        <w:instrText>vi'a</w:instrText>
      </w:r>
      <w:r>
        <w:instrText>"</w:instrText>
      </w:r>
      <w:r>
        <w:rPr>
          <w:rStyle w:val="indexentry"/>
        </w:rPr>
        <w:fldChar w:fldCharType="end"/>
      </w:r>
      <w:r>
        <w:rPr>
          <w:rStyle w:val="htmlcodes"/>
        </w:rPr>
        <w:t>&lt;pre&gt;&lt;a name=e7d1&gt;</w:t>
      </w:r>
      <w:r>
        <w:t>7.1)</w:t>
      </w:r>
      <w:r>
        <w:tab/>
        <w:t>le verba ve'a vi'a cadzu le bisli</w:t>
      </w:r>
    </w:p>
    <w:p w:rsidR="00B72047" w:rsidRDefault="00B72047">
      <w:pPr>
        <w:pStyle w:val="examplescaled"/>
      </w:pPr>
      <w:r>
        <w:tab/>
        <w:t>The child [medium space interval] [2-dimensional] walks-on the ice.</w:t>
      </w:r>
    </w:p>
    <w:p w:rsidR="00B72047" w:rsidRDefault="00B72047">
      <w:pPr>
        <w:pStyle w:val="examplescaled"/>
      </w:pPr>
      <w:r>
        <w:tab/>
        <w:t>In a medium-sized area, the child walks on the ice.</w:t>
      </w:r>
    </w:p>
    <w:p w:rsidR="00B72047" w:rsidRDefault="00B72047">
      <w:pPr>
        <w:pStyle w:val="normalafterexample"/>
      </w:pPr>
      <w:r>
        <w:rPr>
          <w:rStyle w:val="htmlcodes"/>
        </w:rPr>
        <w:t>&lt;/pre&gt;</w:t>
      </w:r>
      <w:r>
        <w:rPr>
          <w:rStyle w:val="indexentry"/>
        </w:rPr>
        <w:t>&lt;cx "spatial tense intervals, order of VEhA and VIhA in"&gt;</w:t>
      </w:r>
      <w:r>
        <w:rPr>
          <w:rStyle w:val="indexentry"/>
        </w:rPr>
        <w:fldChar w:fldCharType="begin"/>
      </w:r>
      <w:r>
        <w:instrText>xe "</w:instrText>
      </w:r>
      <w:r>
        <w:rPr>
          <w:rStyle w:val="xeentry"/>
        </w:rPr>
        <w:instrText>spatial tense interval: order of VEhA and VIhA in</w:instrText>
      </w:r>
      <w:r>
        <w:instrText>"</w:instrText>
      </w:r>
      <w:r>
        <w:rPr>
          <w:rStyle w:val="indexentry"/>
        </w:rPr>
        <w:fldChar w:fldCharType="end"/>
      </w:r>
      <w:r>
        <w:rPr>
          <w:rStyle w:val="indexentry"/>
        </w:rPr>
        <w:t>&lt;cx "spatial tense intervals, order of size and dimensionality in"&gt;</w:t>
      </w:r>
      <w:r>
        <w:rPr>
          <w:rStyle w:val="indexentry"/>
        </w:rPr>
        <w:fldChar w:fldCharType="begin"/>
      </w:r>
      <w:r>
        <w:instrText>xe "</w:instrText>
      </w:r>
      <w:r>
        <w:rPr>
          <w:rStyle w:val="xeentry"/>
        </w:rPr>
        <w:instrText>spatial tense interval: order of size and dimensionality in</w:instrText>
      </w:r>
      <w:r>
        <w:instrText>"</w:instrText>
      </w:r>
      <w:r>
        <w:rPr>
          <w:rStyle w:val="indexentry"/>
        </w:rPr>
        <w:fldChar w:fldCharType="end"/>
      </w:r>
      <w:r>
        <w:rPr>
          <w:rStyle w:val="indexentry"/>
        </w:rPr>
        <w:t>&lt;cx "dimensionality, order with size in spatial tense intervals"&gt;</w:t>
      </w:r>
      <w:r>
        <w:rPr>
          <w:rStyle w:val="indexentry"/>
        </w:rPr>
        <w:fldChar w:fldCharType="begin"/>
      </w:r>
      <w:r>
        <w:instrText>xe "</w:instrText>
      </w:r>
      <w:r>
        <w:rPr>
          <w:rStyle w:val="xeentry"/>
        </w:rPr>
        <w:instrText>dimensionality: order with size in spatial tense intervals</w:instrText>
      </w:r>
      <w:r>
        <w:instrText>"</w:instrText>
      </w:r>
      <w:r>
        <w:rPr>
          <w:rStyle w:val="indexentry"/>
        </w:rPr>
        <w:fldChar w:fldCharType="end"/>
      </w:r>
      <w:r>
        <w:rPr>
          <w:rStyle w:val="indexentry"/>
        </w:rPr>
        <w:t>&lt;cx "size, order with dimensionality in spatial tense intervals"&gt;</w:t>
      </w:r>
      <w:r>
        <w:rPr>
          <w:rStyle w:val="indexentry"/>
        </w:rPr>
        <w:fldChar w:fldCharType="begin"/>
      </w:r>
      <w:r>
        <w:instrText>xe "</w:instrText>
      </w:r>
      <w:r>
        <w:rPr>
          <w:rStyle w:val="xeentry"/>
        </w:rPr>
        <w:instrText>size: order with dimensionality in spatial tense intervals</w:instrText>
      </w:r>
      <w:r>
        <w:instrText>"</w:instrText>
      </w:r>
      <w:r>
        <w:rPr>
          <w:rStyle w:val="indexentry"/>
        </w:rPr>
        <w:fldChar w:fldCharType="end"/>
      </w:r>
      <w:r>
        <w:t>Space intervals can contain either VEhA or VIhA or both, but if both,</w:t>
      </w:r>
      <w:r>
        <w:rPr>
          <w:rStyle w:val="deletedparamark"/>
        </w:rPr>
        <w:t xml:space="preserve"> </w:t>
      </w:r>
      <w:r>
        <w:t xml:space="preserve">VEhA must come first, as </w:t>
      </w:r>
      <w:r>
        <w:rPr>
          <w:rStyle w:val="htmlcodes"/>
        </w:rPr>
        <w:t>&lt;a href=#e7d1&gt;</w:t>
      </w:r>
      <w:r>
        <w:t xml:space="preserve">Example 7.1 </w:t>
      </w:r>
      <w:r>
        <w:rPr>
          <w:rStyle w:val="htmlcodes"/>
        </w:rPr>
        <w:t>&lt;/a&gt;</w:t>
      </w:r>
      <w:r>
        <w:t>shows.</w:t>
      </w:r>
    </w:p>
    <w:p w:rsidR="00B72047" w:rsidRDefault="00B72047">
      <w:pPr>
        <w:rPr>
          <w:rStyle w:val="htmlparacode"/>
        </w:rPr>
      </w:pPr>
      <w:r>
        <w:rPr>
          <w:rStyle w:val="htmlparacode"/>
        </w:rPr>
        <w:t>&lt;p&gt;</w:t>
      </w:r>
    </w:p>
    <w:p w:rsidR="00B72047" w:rsidRDefault="00B72047">
      <w:pPr>
        <w:pStyle w:val="normalparagraph"/>
      </w:pPr>
      <w:r>
        <w:rPr>
          <w:rStyle w:val="indexentry"/>
        </w:rPr>
        <w:t>&lt;cx "dimensionality of interval, as subjective"&gt;</w:t>
      </w:r>
      <w:r>
        <w:rPr>
          <w:rStyle w:val="indexentry"/>
        </w:rPr>
        <w:fldChar w:fldCharType="begin"/>
      </w:r>
      <w:r>
        <w:instrText>xe "</w:instrText>
      </w:r>
      <w:r>
        <w:rPr>
          <w:rStyle w:val="xeentry"/>
        </w:rPr>
        <w:instrText>dimensionality of interval: as subjective</w:instrText>
      </w:r>
      <w:r>
        <w:instrText>"</w:instrText>
      </w:r>
      <w:r>
        <w:rPr>
          <w:rStyle w:val="indexentry"/>
        </w:rPr>
        <w:fldChar w:fldCharType="end"/>
      </w:r>
      <w:r>
        <w:rPr>
          <w:rStyle w:val="indexentry"/>
        </w:rPr>
        <w:t>&lt;cx "dimensionality, of walking"&gt;</w:t>
      </w:r>
      <w:r>
        <w:rPr>
          <w:rStyle w:val="indexentry"/>
        </w:rPr>
        <w:fldChar w:fldCharType="begin"/>
      </w:r>
      <w:r>
        <w:instrText>xe "</w:instrText>
      </w:r>
      <w:r>
        <w:rPr>
          <w:rStyle w:val="xeentry"/>
        </w:rPr>
        <w:instrText>dimensionality: of walking</w:instrText>
      </w:r>
      <w:r>
        <w:instrText>"</w:instrText>
      </w:r>
      <w:r>
        <w:rPr>
          <w:rStyle w:val="indexentry"/>
        </w:rPr>
        <w:fldChar w:fldCharType="end"/>
      </w:r>
      <w:r>
        <w:t>The reader may wish to raise a philosophical point here. (Readers who don't</w:t>
      </w:r>
      <w:r>
        <w:rPr>
          <w:rStyle w:val="deletedparamark"/>
        </w:rPr>
        <w:t xml:space="preserve"> </w:t>
      </w:r>
      <w:r>
        <w:t>wish to, should skip this paragraph.) The ice may be two-dimensional, or</w:t>
      </w:r>
      <w:r>
        <w:rPr>
          <w:rStyle w:val="deletedparamark"/>
        </w:rPr>
        <w:t xml:space="preserve"> </w:t>
      </w:r>
      <w:r>
        <w:t>more accu</w:t>
      </w:r>
      <w:r>
        <w:softHyphen/>
        <w:t>rately its su</w:t>
      </w:r>
      <w:r>
        <w:t>r</w:t>
      </w:r>
      <w:r>
        <w:softHyphen/>
        <w:t>face may be, but since the child is three-dimensional,</w:t>
      </w:r>
      <w:r>
        <w:rPr>
          <w:rStyle w:val="deletedparamark"/>
        </w:rPr>
        <w:t xml:space="preserve"> </w:t>
      </w:r>
      <w:r>
        <w:t>her walking must also be. The su</w:t>
      </w:r>
      <w:r>
        <w:t>b</w:t>
      </w:r>
      <w:r>
        <w:softHyphen/>
        <w:t>jec</w:t>
      </w:r>
      <w:r>
        <w:softHyphen/>
        <w:t>tive nature of Lojban tense comes to</w:t>
      </w:r>
      <w:r>
        <w:rPr>
          <w:rStyle w:val="deletedparamark"/>
        </w:rPr>
        <w:t xml:space="preserve"> </w:t>
      </w:r>
      <w:r>
        <w:t>the rescue here: the action is essen</w:t>
      </w:r>
      <w:r>
        <w:softHyphen/>
        <w:t>tially planar, and the third dimension</w:t>
      </w:r>
      <w:r>
        <w:rPr>
          <w:rStyle w:val="deletedparamark"/>
        </w:rPr>
        <w:t xml:space="preserve"> </w:t>
      </w:r>
      <w:r>
        <w:t>of height is simply irrele</w:t>
      </w:r>
      <w:r>
        <w:softHyphen/>
        <w:t>vant to walking. Even walking on a mountain could</w:t>
      </w:r>
      <w:r>
        <w:rPr>
          <w:rStyle w:val="deletedparamark"/>
        </w:rPr>
        <w:t xml:space="preserve"> </w:t>
      </w:r>
      <w:r>
        <w:t>be called “vi'a”, because relatively speaking the mountain is associated</w:t>
      </w:r>
      <w:r>
        <w:rPr>
          <w:rStyle w:val="deletedparamark"/>
        </w:rPr>
        <w:t xml:space="preserve"> </w:t>
      </w:r>
      <w:r>
        <w:t>with an es</w:t>
      </w:r>
      <w:r>
        <w:softHyphen/>
        <w:t>sentially two-dimensional surface. Motion which is not confined</w:t>
      </w:r>
      <w:r>
        <w:rPr>
          <w:rStyle w:val="deletedparamark"/>
        </w:rPr>
        <w:t xml:space="preserve"> </w:t>
      </w:r>
      <w:r>
        <w:t>to such a su</w:t>
      </w:r>
      <w:r>
        <w:t>r</w:t>
      </w:r>
      <w:r>
        <w:softHyphen/>
        <w:t>face (e.g., flying, or walking through a three-dimensional</w:t>
      </w:r>
      <w:r>
        <w:rPr>
          <w:rStyle w:val="deletedparamark"/>
        </w:rPr>
        <w:t xml:space="preserve"> </w:t>
      </w:r>
      <w:r>
        <w:t>network of tun</w:t>
      </w:r>
      <w:r>
        <w:softHyphen/>
        <w:t>nels, or climbing among mountains rather than on a single</w:t>
      </w:r>
      <w:r>
        <w:rPr>
          <w:rStyle w:val="deletedparamark"/>
        </w:rPr>
        <w:t xml:space="preserve"> </w:t>
      </w:r>
      <w:r>
        <w:t>mountain) would be properly described with “vi'u”. So the cog</w:t>
      </w:r>
      <w:r>
        <w:softHyphen/>
        <w:t>nitive, rather</w:t>
      </w:r>
      <w:r>
        <w:rPr>
          <w:rStyle w:val="deletedparamark"/>
        </w:rPr>
        <w:t xml:space="preserve"> </w:t>
      </w:r>
      <w:r>
        <w:t>than the physical, dimensionality controls the choice of VIhA cmavo.</w:t>
      </w:r>
    </w:p>
    <w:p w:rsidR="00B72047" w:rsidRDefault="00B72047">
      <w:pPr>
        <w:rPr>
          <w:rStyle w:val="htmlparacode"/>
        </w:rPr>
      </w:pPr>
      <w:r>
        <w:rPr>
          <w:rStyle w:val="htmlparacode"/>
        </w:rPr>
        <w:t>&lt;p&gt;</w:t>
      </w:r>
    </w:p>
    <w:p w:rsidR="00B72047" w:rsidRDefault="00B72047">
      <w:pPr>
        <w:pStyle w:val="normalparagraph"/>
      </w:pPr>
      <w:r>
        <w:rPr>
          <w:rStyle w:val="indexentry"/>
        </w:rPr>
        <w:t>&lt;cx "Einsteinian, space-time intervals with 4 dimensions"&gt;</w:t>
      </w:r>
      <w:r>
        <w:rPr>
          <w:rStyle w:val="indexentry"/>
        </w:rPr>
        <w:fldChar w:fldCharType="begin"/>
      </w:r>
      <w:r>
        <w:instrText>xe "</w:instrText>
      </w:r>
      <w:r>
        <w:rPr>
          <w:rStyle w:val="xeentry"/>
        </w:rPr>
        <w:instrText>Einsteinian: space-time intervals with 4 dimensions</w:instrText>
      </w:r>
      <w:r>
        <w:instrText>"</w:instrText>
      </w:r>
      <w:r>
        <w:rPr>
          <w:rStyle w:val="indexentry"/>
        </w:rPr>
        <w:fldChar w:fldCharType="end"/>
      </w:r>
      <w:r>
        <w:rPr>
          <w:rStyle w:val="indexentry"/>
        </w:rPr>
        <w:t>&lt;lx "vi'e"&gt;</w:t>
      </w:r>
      <w:r>
        <w:rPr>
          <w:rStyle w:val="indexentry"/>
        </w:rPr>
        <w:fldChar w:fldCharType="begin"/>
      </w:r>
      <w:r>
        <w:instrText>xe "</w:instrText>
      </w:r>
      <w:r>
        <w:rPr>
          <w:rStyle w:val="xeentry"/>
        </w:rPr>
        <w:instrText>vi'e</w:instrText>
      </w:r>
      <w:r>
        <w:instrText>"</w:instrText>
      </w:r>
      <w:r>
        <w:rPr>
          <w:rStyle w:val="indexentry"/>
        </w:rPr>
        <w:fldChar w:fldCharType="end"/>
      </w:r>
      <w:r>
        <w:rPr>
          <w:rStyle w:val="indexentry"/>
        </w:rPr>
        <w:t>&lt;cx "spatial tense, four-dimensional"&gt;</w:t>
      </w:r>
      <w:r>
        <w:rPr>
          <w:rStyle w:val="indexentry"/>
        </w:rPr>
        <w:fldChar w:fldCharType="begin"/>
      </w:r>
      <w:r>
        <w:instrText>xe "</w:instrText>
      </w:r>
      <w:r>
        <w:rPr>
          <w:rStyle w:val="xeentry"/>
        </w:rPr>
        <w:instrText>spatial tense: four-dimensional</w:instrText>
      </w:r>
      <w:r>
        <w:instrText>"</w:instrText>
      </w:r>
      <w:r>
        <w:rPr>
          <w:rStyle w:val="indexentry"/>
        </w:rPr>
        <w:fldChar w:fldCharType="end"/>
      </w:r>
      <w:r>
        <w:rPr>
          <w:rStyle w:val="indexentry"/>
        </w:rPr>
        <w:t>&lt;cx "tense, space-time dimension for intervals"&gt;</w:t>
      </w:r>
      <w:r>
        <w:rPr>
          <w:rStyle w:val="indexentry"/>
        </w:rPr>
        <w:fldChar w:fldCharType="begin"/>
      </w:r>
      <w:r>
        <w:instrText>xe "</w:instrText>
      </w:r>
      <w:r>
        <w:rPr>
          <w:rStyle w:val="xeentry"/>
        </w:rPr>
        <w:instrText>tense: space-time dimension for intervals</w:instrText>
      </w:r>
      <w:r>
        <w:instrText>"</w:instrText>
      </w:r>
      <w:r>
        <w:rPr>
          <w:rStyle w:val="indexentry"/>
        </w:rPr>
        <w:fldChar w:fldCharType="end"/>
      </w:r>
      <w:r>
        <w:rPr>
          <w:rStyle w:val="indexentry"/>
        </w:rPr>
        <w:t>&lt;cx "pastward, as a spatial tense"&gt;</w:t>
      </w:r>
      <w:r>
        <w:rPr>
          <w:rStyle w:val="indexentry"/>
        </w:rPr>
        <w:fldChar w:fldCharType="begin"/>
      </w:r>
      <w:r>
        <w:instrText>xe "</w:instrText>
      </w:r>
      <w:r>
        <w:rPr>
          <w:rStyle w:val="xeentry"/>
        </w:rPr>
        <w:instrText>pastward: as a spatial tense</w:instrText>
      </w:r>
      <w:r>
        <w:instrText>"</w:instrText>
      </w:r>
      <w:r>
        <w:rPr>
          <w:rStyle w:val="indexentry"/>
        </w:rPr>
        <w:fldChar w:fldCharType="end"/>
      </w:r>
      <w:r>
        <w:rPr>
          <w:rStyle w:val="indexentry"/>
        </w:rPr>
        <w:t>&lt;cx "futureward, as a spatial tense"&gt;</w:t>
      </w:r>
      <w:r>
        <w:rPr>
          <w:rStyle w:val="indexentry"/>
        </w:rPr>
        <w:fldChar w:fldCharType="begin"/>
      </w:r>
      <w:r>
        <w:instrText>xe "</w:instrText>
      </w:r>
      <w:r>
        <w:rPr>
          <w:rStyle w:val="xeentry"/>
        </w:rPr>
        <w:instrText>futureward: as a spatial tense</w:instrText>
      </w:r>
      <w:r>
        <w:instrText>"</w:instrText>
      </w:r>
      <w:r>
        <w:rPr>
          <w:rStyle w:val="indexentry"/>
        </w:rPr>
        <w:fldChar w:fldCharType="end"/>
      </w:r>
      <w:r>
        <w:rPr>
          <w:rStyle w:val="indexentry"/>
        </w:rPr>
        <w:t>&lt;cx "temporal tense, interaction with 4-dimensional spatial tense"&gt;</w:t>
      </w:r>
      <w:r>
        <w:rPr>
          <w:rStyle w:val="indexentry"/>
        </w:rPr>
        <w:fldChar w:fldCharType="begin"/>
      </w:r>
      <w:r>
        <w:instrText>xe "</w:instrText>
      </w:r>
      <w:r>
        <w:rPr>
          <w:rStyle w:val="xeentry"/>
        </w:rPr>
        <w:instrText>temporal tense: interaction with 4-dimensional spatial tense</w:instrText>
      </w:r>
      <w:r>
        <w:instrText>"</w:instrText>
      </w:r>
      <w:r>
        <w:rPr>
          <w:rStyle w:val="indexentry"/>
        </w:rPr>
        <w:fldChar w:fldCharType="end"/>
      </w:r>
      <w:r>
        <w:rPr>
          <w:rStyle w:val="indexentry"/>
        </w:rPr>
        <w:t>&lt;cx "spatial tense, 4-dimensional interaction with temporal tense"&gt;</w:t>
      </w:r>
      <w:r>
        <w:rPr>
          <w:rStyle w:val="indexentry"/>
        </w:rPr>
        <w:fldChar w:fldCharType="begin"/>
      </w:r>
      <w:r>
        <w:instrText>xe "</w:instrText>
      </w:r>
      <w:r>
        <w:rPr>
          <w:rStyle w:val="xeentry"/>
        </w:rPr>
        <w:instrText>spatial tense: 4-dimensional interaction with temporal tense</w:instrText>
      </w:r>
      <w:r>
        <w:instrText>"</w:instrText>
      </w:r>
      <w:r>
        <w:rPr>
          <w:rStyle w:val="indexentry"/>
        </w:rPr>
        <w:fldChar w:fldCharType="end"/>
      </w:r>
      <w:r>
        <w:t>VIhA has a member “vi'e” which indicates a 4-dimensional interval, one</w:t>
      </w:r>
      <w:r>
        <w:rPr>
          <w:rStyle w:val="deletedparamark"/>
        </w:rPr>
        <w:t xml:space="preserve"> </w:t>
      </w:r>
      <w:r>
        <w:t>that i</w:t>
      </w:r>
      <w:r>
        <w:t>n</w:t>
      </w:r>
      <w:r>
        <w:softHyphen/>
        <w:t>volves both space and time. This allows the spa</w:t>
      </w:r>
      <w:r>
        <w:softHyphen/>
        <w:t>tial tenses to</w:t>
      </w:r>
      <w:r>
        <w:rPr>
          <w:rStyle w:val="deletedparamark"/>
        </w:rPr>
        <w:t xml:space="preserve"> </w:t>
      </w:r>
      <w:r>
        <w:t>invade, to some degree, the temporal tenses; it is pos</w:t>
      </w:r>
      <w:r>
        <w:softHyphen/>
        <w:t>sible to make</w:t>
      </w:r>
      <w:r>
        <w:rPr>
          <w:rStyle w:val="deletedparamark"/>
        </w:rPr>
        <w:t xml:space="preserve"> </w:t>
      </w:r>
      <w:r>
        <w:t>statements about space-time considered as an Ein</w:t>
      </w:r>
      <w:r>
        <w:softHyphen/>
        <w:t>steinian whole. (There are</w:t>
      </w:r>
      <w:r>
        <w:rPr>
          <w:rStyle w:val="deletedparamark"/>
        </w:rPr>
        <w:t xml:space="preserve"> </w:t>
      </w:r>
      <w:r>
        <w:t>presently no cmavo of FAhA assigned to “pastward” and “futureward” considered</w:t>
      </w:r>
      <w:r>
        <w:rPr>
          <w:rStyle w:val="deletedparamark"/>
        </w:rPr>
        <w:t xml:space="preserve"> </w:t>
      </w:r>
      <w:r>
        <w:t>as space rather than time directions — they could be added, though, if</w:t>
      </w:r>
      <w:r>
        <w:rPr>
          <w:rStyle w:val="deletedparamark"/>
        </w:rPr>
        <w:t xml:space="preserve"> </w:t>
      </w:r>
      <w:r>
        <w:t>Lojbanists find space-time expression useful.)</w:t>
      </w:r>
      <w:r>
        <w:rPr>
          <w:rStyle w:val="deletedparamark"/>
        </w:rPr>
        <w:t xml:space="preserve"> </w:t>
      </w:r>
      <w:r>
        <w:t>If a temporal tense cmavo is used in the same tense construct with a “vi'e”</w:t>
      </w:r>
      <w:r>
        <w:rPr>
          <w:rStyle w:val="deletedparamark"/>
        </w:rPr>
        <w:t xml:space="preserve"> </w:t>
      </w:r>
      <w:r>
        <w:t>interval, the resulting tense may be self-contradictory.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337" w:name="_Toc398970582"/>
      <w:r>
        <w:rPr>
          <w:rStyle w:val="Heading3Text"/>
        </w:rPr>
        <w:t>Movement in space: MOhI</w:t>
      </w:r>
      <w:bookmarkEnd w:id="33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mo'i</w:t>
      </w:r>
      <w:r>
        <w:tab/>
        <w:t>MOhI</w:t>
      </w:r>
      <w:r>
        <w:tab/>
        <w:t>movement flag</w:t>
      </w:r>
    </w:p>
    <w:p w:rsidR="00B72047" w:rsidRDefault="00B72047">
      <w:pPr>
        <w:pStyle w:val="normalafterexample"/>
      </w:pPr>
      <w:r>
        <w:rPr>
          <w:rStyle w:val="htmlcodes"/>
        </w:rPr>
        <w:t>&lt;/pre&gt;</w:t>
      </w:r>
      <w:r>
        <w:rPr>
          <w:rStyle w:val="indexentry"/>
        </w:rPr>
        <w:t>&lt;cx "tense, static contrasted with moving"&gt;</w:t>
      </w:r>
      <w:r>
        <w:rPr>
          <w:rStyle w:val="indexentry"/>
        </w:rPr>
        <w:fldChar w:fldCharType="begin"/>
      </w:r>
      <w:r>
        <w:instrText>xe "</w:instrText>
      </w:r>
      <w:r>
        <w:rPr>
          <w:rStyle w:val="xeentry"/>
        </w:rPr>
        <w:instrText>tense: static contrasted with moving</w:instrText>
      </w:r>
      <w:r>
        <w:instrText>"</w:instrText>
      </w:r>
      <w:r>
        <w:rPr>
          <w:rStyle w:val="indexentry"/>
        </w:rPr>
        <w:fldChar w:fldCharType="end"/>
      </w:r>
      <w:r>
        <w:rPr>
          <w:rStyle w:val="indexentry"/>
        </w:rPr>
        <w:t>&lt;lx "mo'i"&gt;</w:t>
      </w:r>
      <w:r>
        <w:rPr>
          <w:rStyle w:val="indexentry"/>
        </w:rPr>
        <w:fldChar w:fldCharType="begin"/>
      </w:r>
      <w:r>
        <w:instrText>xe "</w:instrText>
      </w:r>
      <w:r>
        <w:rPr>
          <w:rStyle w:val="xeentry"/>
        </w:rPr>
        <w:instrText>mo'i</w:instrText>
      </w:r>
      <w:r>
        <w:instrText>"</w:instrText>
      </w:r>
      <w:r>
        <w:rPr>
          <w:rStyle w:val="indexentry"/>
        </w:rPr>
        <w:fldChar w:fldCharType="end"/>
      </w:r>
      <w:r>
        <w:rPr>
          <w:rStyle w:val="indexentry"/>
        </w:rPr>
        <w:t>&lt;lx "MOhI"&gt;</w:t>
      </w:r>
      <w:r>
        <w:rPr>
          <w:rStyle w:val="indexentry"/>
        </w:rPr>
        <w:fldChar w:fldCharType="begin"/>
      </w:r>
      <w:r>
        <w:instrText>xe "</w:instrText>
      </w:r>
      <w:r>
        <w:rPr>
          <w:rStyle w:val="xeentry"/>
        </w:rPr>
        <w:instrText>MOhI selma’o</w:instrText>
      </w:r>
      <w:r>
        <w:instrText>"</w:instrText>
      </w:r>
      <w:r>
        <w:rPr>
          <w:rStyle w:val="indexentry"/>
        </w:rPr>
        <w:fldChar w:fldCharType="end"/>
      </w:r>
      <w:r>
        <w:rPr>
          <w:rStyle w:val="indexentry"/>
        </w:rPr>
        <w:t>&lt;cx "tense, expressing movement in"&gt;</w:t>
      </w:r>
      <w:r>
        <w:rPr>
          <w:rStyle w:val="indexentry"/>
        </w:rPr>
        <w:fldChar w:fldCharType="begin"/>
      </w:r>
      <w:r>
        <w:instrText>xe "</w:instrText>
      </w:r>
      <w:r>
        <w:rPr>
          <w:rStyle w:val="xeentry"/>
        </w:rPr>
        <w:instrText>tense: expressing movement in</w:instrText>
      </w:r>
      <w:r>
        <w:instrText>"</w:instrText>
      </w:r>
      <w:r>
        <w:rPr>
          <w:rStyle w:val="indexentry"/>
        </w:rPr>
        <w:fldChar w:fldCharType="end"/>
      </w:r>
      <w:r>
        <w:rPr>
          <w:rStyle w:val="indexentry"/>
        </w:rPr>
        <w:t>&lt;cx "direction, interaction with movement specification in tenses"&gt;</w:t>
      </w:r>
      <w:r>
        <w:rPr>
          <w:rStyle w:val="indexentry"/>
        </w:rPr>
        <w:fldChar w:fldCharType="begin"/>
      </w:r>
      <w:r>
        <w:instrText>xe "</w:instrText>
      </w:r>
      <w:r>
        <w:rPr>
          <w:rStyle w:val="xeentry"/>
        </w:rPr>
        <w:instrText>direction: interaction with movement specification in tenses</w:instrText>
      </w:r>
      <w:r>
        <w:instrText>"</w:instrText>
      </w:r>
      <w:r>
        <w:rPr>
          <w:rStyle w:val="indexentry"/>
        </w:rPr>
        <w:fldChar w:fldCharType="end"/>
      </w:r>
      <w:r>
        <w:rPr>
          <w:rStyle w:val="indexentry"/>
        </w:rPr>
        <w:t>&lt;cx "movement specification, interaction with direction in tenses"&gt;</w:t>
      </w:r>
      <w:r>
        <w:rPr>
          <w:rStyle w:val="indexentry"/>
        </w:rPr>
        <w:fldChar w:fldCharType="begin"/>
      </w:r>
      <w:r>
        <w:instrText>xe "</w:instrText>
      </w:r>
      <w:r>
        <w:rPr>
          <w:rStyle w:val="xeentry"/>
        </w:rPr>
        <w:instrText>movement specification: interaction with direction in tenses</w:instrText>
      </w:r>
      <w:r>
        <w:instrText>"</w:instrText>
      </w:r>
      <w:r>
        <w:rPr>
          <w:rStyle w:val="indexentry"/>
        </w:rPr>
        <w:fldChar w:fldCharType="end"/>
      </w:r>
      <w:r>
        <w:t>All the information carried by the tense constructs so far pre</w:t>
      </w:r>
      <w:r>
        <w:softHyphen/>
        <w:t>sented</w:t>
      </w:r>
      <w:r>
        <w:rPr>
          <w:rStyle w:val="deletedparamark"/>
        </w:rPr>
        <w:t xml:space="preserve"> </w:t>
      </w:r>
      <w:r>
        <w:t>has been pr</w:t>
      </w:r>
      <w:r>
        <w:t>e</w:t>
      </w:r>
      <w:r>
        <w:softHyphen/>
        <w:t>sumed to be static: the bridi is occurring some</w:t>
      </w:r>
      <w:r>
        <w:softHyphen/>
        <w:t>where or other</w:t>
      </w:r>
      <w:r>
        <w:rPr>
          <w:rStyle w:val="deletedparamark"/>
        </w:rPr>
        <w:t xml:space="preserve"> </w:t>
      </w:r>
      <w:r>
        <w:t>in space and time, more or less remote from the speaker. Suppose the truth</w:t>
      </w:r>
      <w:r>
        <w:rPr>
          <w:rStyle w:val="deletedparamark"/>
        </w:rPr>
        <w:t xml:space="preserve"> </w:t>
      </w:r>
      <w:r>
        <w:t>of the bridi itself depends on the result of a movement, or represents an</w:t>
      </w:r>
      <w:r>
        <w:rPr>
          <w:rStyle w:val="deletedparamark"/>
        </w:rPr>
        <w:t xml:space="preserve"> </w:t>
      </w:r>
      <w:r>
        <w:t>action being done while the speaker is mov</w:t>
      </w:r>
      <w:r>
        <w:softHyphen/>
        <w:t>ing? This too can be represented</w:t>
      </w:r>
      <w:r>
        <w:rPr>
          <w:rStyle w:val="deletedparamark"/>
        </w:rPr>
        <w:t xml:space="preserve"> </w:t>
      </w:r>
      <w:r>
        <w:t>by the tense system, using the cmavo “mo'i” (of sel</w:t>
      </w:r>
      <w:r>
        <w:softHyphen/>
        <w:t>ma'o MOhI) plus a spatial</w:t>
      </w:r>
      <w:r>
        <w:rPr>
          <w:rStyle w:val="deletedparamark"/>
        </w:rPr>
        <w:t xml:space="preserve"> </w:t>
      </w:r>
      <w:r>
        <w:t>direction and optional distance; the direction now refers to a direction</w:t>
      </w:r>
      <w:r>
        <w:rPr>
          <w:rStyle w:val="deletedparamark"/>
        </w:rPr>
        <w:t xml:space="preserve"> </w:t>
      </w:r>
      <w:r>
        <w:t>of motion rather than a static direction from the speaker.</w:t>
      </w:r>
    </w:p>
    <w:p w:rsidR="00B72047" w:rsidRDefault="00B72047">
      <w:pPr>
        <w:rPr>
          <w:rStyle w:val="htmlparacode"/>
        </w:rPr>
      </w:pPr>
      <w:r>
        <w:rPr>
          <w:rStyle w:val="htmlparacode"/>
        </w:rPr>
        <w:t>&lt;p&gt;</w:t>
      </w:r>
    </w:p>
    <w:p w:rsidR="00B72047" w:rsidRDefault="00B72047">
      <w:pPr>
        <w:pStyle w:val="examplescaledpre"/>
      </w:pPr>
      <w:r>
        <w:rPr>
          <w:rStyle w:val="indexentry"/>
        </w:rPr>
        <w:t>&lt;cx "toward right, contrasted with on right"&gt;</w:t>
      </w:r>
      <w:r>
        <w:rPr>
          <w:rStyle w:val="indexentry"/>
        </w:rPr>
        <w:fldChar w:fldCharType="begin"/>
      </w:r>
      <w:r>
        <w:instrText>xe "</w:instrText>
      </w:r>
      <w:r>
        <w:rPr>
          <w:rStyle w:val="xeentry"/>
        </w:rPr>
        <w:instrText>toward right: contrasted with on right</w:instrText>
      </w:r>
      <w:r>
        <w:instrText>"</w:instrText>
      </w:r>
      <w:r>
        <w:rPr>
          <w:rStyle w:val="indexentry"/>
        </w:rPr>
        <w:fldChar w:fldCharType="end"/>
      </w:r>
      <w:r>
        <w:rPr>
          <w:rStyle w:val="indexentry"/>
        </w:rPr>
        <w:t>&lt;cx "on right, contrasted with toward right"&gt;</w:t>
      </w:r>
      <w:r>
        <w:rPr>
          <w:rStyle w:val="indexentry"/>
        </w:rPr>
        <w:fldChar w:fldCharType="begin"/>
      </w:r>
      <w:r>
        <w:instrText>xe "</w:instrText>
      </w:r>
      <w:r>
        <w:rPr>
          <w:rStyle w:val="xeentry"/>
        </w:rPr>
        <w:instrText>on right: contrasted with toward right</w:instrText>
      </w:r>
      <w:r>
        <w:instrText>"</w:instrText>
      </w:r>
      <w:r>
        <w:rPr>
          <w:rStyle w:val="indexentry"/>
        </w:rPr>
        <w:fldChar w:fldCharType="end"/>
      </w:r>
      <w:r>
        <w:rPr>
          <w:rStyle w:val="indexentry"/>
        </w:rPr>
        <w:t>&lt;ex "toward my right"&gt;</w:t>
      </w:r>
      <w:r>
        <w:rPr>
          <w:rStyle w:val="indexentry"/>
        </w:rPr>
        <w:fldChar w:fldCharType="begin"/>
      </w:r>
      <w:r>
        <w:instrText>xe "</w:instrText>
      </w:r>
      <w:r>
        <w:rPr>
          <w:rStyle w:val="xeentry"/>
        </w:rPr>
        <w:instrText>toward my right: example</w:instrText>
      </w:r>
      <w:r>
        <w:instrText>"</w:instrText>
      </w:r>
      <w:r>
        <w:rPr>
          <w:rStyle w:val="indexentry"/>
        </w:rPr>
        <w:fldChar w:fldCharType="end"/>
      </w:r>
      <w:r>
        <w:rPr>
          <w:rStyle w:val="htmlcodes"/>
        </w:rPr>
        <w:t>&lt;pre&gt;&lt;a name=e8d1&gt;</w:t>
      </w:r>
      <w:r>
        <w:t>8.1)</w:t>
      </w:r>
      <w:r>
        <w:tab/>
        <w:t>le verba mo'i ri'u cadzu le bisli</w:t>
      </w:r>
    </w:p>
    <w:p w:rsidR="00B72047" w:rsidRDefault="00B72047">
      <w:pPr>
        <w:pStyle w:val="examplescaled"/>
      </w:pPr>
      <w:r>
        <w:tab/>
        <w:t>The child [movement] [right] walks-on the ice.</w:t>
      </w:r>
    </w:p>
    <w:p w:rsidR="00B72047" w:rsidRDefault="00B72047">
      <w:pPr>
        <w:pStyle w:val="examplescaled"/>
      </w:pPr>
      <w:r>
        <w:tab/>
        <w:t>The child walks toward my right on the ice.</w:t>
      </w:r>
    </w:p>
    <w:p w:rsidR="00B72047" w:rsidRDefault="00B72047">
      <w:pPr>
        <w:pStyle w:val="resumedafterexample"/>
      </w:pPr>
      <w:r>
        <w:rPr>
          <w:rStyle w:val="htmlcodes"/>
        </w:rPr>
        <w:t>&lt;/pre&gt;&lt;p&gt;</w:t>
      </w:r>
      <w:r>
        <w:t>This is quite different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le verba ri'u cadzu le bisli</w:t>
      </w:r>
    </w:p>
    <w:p w:rsidR="00B72047" w:rsidRDefault="00B72047">
      <w:pPr>
        <w:pStyle w:val="examplescaled"/>
      </w:pPr>
      <w:r>
        <w:tab/>
        <w:t>The child [right] walks-on the ice.</w:t>
      </w:r>
    </w:p>
    <w:p w:rsidR="00B72047" w:rsidRDefault="00B72047">
      <w:pPr>
        <w:pStyle w:val="examplescaled"/>
      </w:pPr>
      <w:r>
        <w:tab/>
        <w:t>To the right of me, the child walks on the ice.</w:t>
      </w:r>
    </w:p>
    <w:p w:rsidR="00B72047" w:rsidRDefault="00B72047">
      <w:pPr>
        <w:pStyle w:val="resumedafterexample"/>
      </w:pPr>
      <w:r>
        <w:rPr>
          <w:rStyle w:val="htmlcodes"/>
        </w:rPr>
        <w:t>&lt;/pre&gt;</w:t>
      </w:r>
      <w:r>
        <w:rPr>
          <w:rStyle w:val="indexentry"/>
        </w:rPr>
        <w:t>&lt;cx "reference frame for directions in tenses"&gt;</w:t>
      </w:r>
      <w:r>
        <w:rPr>
          <w:rStyle w:val="indexentry"/>
        </w:rPr>
        <w:fldChar w:fldCharType="begin"/>
      </w:r>
      <w:r>
        <w:instrText>xe "</w:instrText>
      </w:r>
      <w:r>
        <w:rPr>
          <w:rStyle w:val="xeentry"/>
        </w:rPr>
        <w:instrText>reference frame for directions in tenses</w:instrText>
      </w:r>
      <w:r>
        <w:instrText>"</w:instrText>
      </w:r>
      <w:r>
        <w:rPr>
          <w:rStyle w:val="indexentry"/>
        </w:rPr>
        <w:fldChar w:fldCharType="end"/>
      </w:r>
      <w:r>
        <w:rPr>
          <w:rStyle w:val="indexentry"/>
        </w:rPr>
        <w:t>&lt;cx "direction, reference frame for"&gt;</w:t>
      </w:r>
      <w:r>
        <w:rPr>
          <w:rStyle w:val="indexentry"/>
        </w:rPr>
        <w:fldChar w:fldCharType="begin"/>
      </w:r>
      <w:r>
        <w:instrText>xe "</w:instrText>
      </w:r>
      <w:r>
        <w:rPr>
          <w:rStyle w:val="xeentry"/>
        </w:rPr>
        <w:instrText>direction: reference frame for</w:instrText>
      </w:r>
      <w:r>
        <w:instrText>"</w:instrText>
      </w:r>
      <w:r>
        <w:rPr>
          <w:rStyle w:val="indexentry"/>
        </w:rPr>
        <w:fldChar w:fldCharType="end"/>
      </w:r>
      <w:r>
        <w:rPr>
          <w:rStyle w:val="indexentry"/>
        </w:rPr>
        <w:t>&lt;cx "reference frame, specifying for direction tenses"&gt;</w:t>
      </w:r>
      <w:r>
        <w:rPr>
          <w:rStyle w:val="indexentry"/>
        </w:rPr>
        <w:fldChar w:fldCharType="begin"/>
      </w:r>
      <w:r>
        <w:instrText>xe "</w:instrText>
      </w:r>
      <w:r>
        <w:rPr>
          <w:rStyle w:val="xeentry"/>
        </w:rPr>
        <w:instrText>reference frame: specifying for direction tenses</w:instrText>
      </w:r>
      <w:r>
        <w:instrText>"</w:instrText>
      </w:r>
      <w:r>
        <w:rPr>
          <w:rStyle w:val="indexentry"/>
        </w:rPr>
        <w:fldChar w:fldCharType="end"/>
      </w:r>
      <w:r>
        <w:rPr>
          <w:rStyle w:val="indexentry"/>
        </w:rPr>
        <w:t>&lt;lx "ma'i"&gt;</w:t>
      </w:r>
      <w:r>
        <w:rPr>
          <w:rStyle w:val="indexentry"/>
        </w:rPr>
        <w:fldChar w:fldCharType="begin"/>
      </w:r>
      <w:r>
        <w:instrText>xe "</w:instrText>
      </w:r>
      <w:r>
        <w:rPr>
          <w:rStyle w:val="xeentry"/>
        </w:rPr>
        <w:instrText>ma'i</w:instrText>
      </w:r>
      <w:r>
        <w:instrText>"</w:instrText>
      </w:r>
      <w:r>
        <w:rPr>
          <w:rStyle w:val="indexentry"/>
        </w:rPr>
        <w:fldChar w:fldCharType="end"/>
      </w:r>
      <w:r>
        <w:rPr>
          <w:rStyle w:val="indexentry"/>
        </w:rPr>
        <w:t>&lt;lx "BAI"&gt;</w:t>
      </w:r>
      <w:r>
        <w:rPr>
          <w:rStyle w:val="indexentry"/>
        </w:rPr>
        <w:fldChar w:fldCharType="begin"/>
      </w:r>
      <w:r>
        <w:instrText>xe "</w:instrText>
      </w:r>
      <w:r>
        <w:rPr>
          <w:rStyle w:val="xeentry"/>
        </w:rPr>
        <w:instrText>BAI selma’o</w:instrText>
      </w:r>
      <w:r>
        <w:instrText>"</w:instrText>
      </w:r>
      <w:r>
        <w:rPr>
          <w:rStyle w:val="indexentry"/>
        </w:rPr>
        <w:fldChar w:fldCharType="end"/>
      </w:r>
      <w:r>
        <w:t>In either case, however, the reference frame for defining “right” and “left”</w:t>
      </w:r>
      <w:r>
        <w:rPr>
          <w:rStyle w:val="deletedparamark"/>
        </w:rPr>
        <w:t xml:space="preserve"> </w:t>
      </w:r>
      <w:r>
        <w:t>is the speaker's, not the child's. This can be changed thus:</w:t>
      </w:r>
    </w:p>
    <w:p w:rsidR="00B72047" w:rsidRDefault="00B72047">
      <w:pPr>
        <w:rPr>
          <w:rStyle w:val="htmlparacode"/>
        </w:rPr>
      </w:pPr>
      <w:r>
        <w:rPr>
          <w:rStyle w:val="htmlparacode"/>
        </w:rPr>
        <w:t>&lt;p&gt;</w:t>
      </w:r>
    </w:p>
    <w:p w:rsidR="00B72047" w:rsidRDefault="00B72047">
      <w:pPr>
        <w:pStyle w:val="examplescaledpre"/>
      </w:pPr>
      <w:r>
        <w:rPr>
          <w:rStyle w:val="indexentry"/>
        </w:rPr>
        <w:t>&lt;ex "toward her right"&gt;</w:t>
      </w:r>
      <w:r>
        <w:rPr>
          <w:rStyle w:val="indexentry"/>
        </w:rPr>
        <w:fldChar w:fldCharType="begin"/>
      </w:r>
      <w:r>
        <w:instrText>xe "</w:instrText>
      </w:r>
      <w:r>
        <w:rPr>
          <w:rStyle w:val="xeentry"/>
        </w:rPr>
        <w:instrText>toward her right: example</w:instrText>
      </w:r>
      <w:r>
        <w:instrText>"</w:instrText>
      </w:r>
      <w:r>
        <w:rPr>
          <w:rStyle w:val="indexentry"/>
        </w:rPr>
        <w:fldChar w:fldCharType="end"/>
      </w:r>
      <w:r>
        <w:rPr>
          <w:rStyle w:val="htmlcodes"/>
        </w:rPr>
        <w:t>&lt;pre&gt;&lt;a name=e8d3&gt;</w:t>
      </w:r>
      <w:r>
        <w:t>8.3)</w:t>
      </w:r>
      <w:r>
        <w:tab/>
        <w:t>le verba mo'i ri'u cadzu le bisli</w:t>
      </w:r>
    </w:p>
    <w:p w:rsidR="00B72047" w:rsidRDefault="00B72047">
      <w:pPr>
        <w:pStyle w:val="examplescaled"/>
      </w:pPr>
      <w:r>
        <w:tab/>
      </w:r>
      <w:r>
        <w:tab/>
        <w:t>ma'i vo'a</w:t>
      </w:r>
    </w:p>
    <w:p w:rsidR="00B72047" w:rsidRDefault="00B72047">
      <w:pPr>
        <w:pStyle w:val="examplescaled"/>
      </w:pPr>
      <w:r>
        <w:tab/>
        <w:t>The child [movement] [right] walks on the ice</w:t>
      </w:r>
    </w:p>
    <w:p w:rsidR="00B72047" w:rsidRDefault="00B72047">
      <w:pPr>
        <w:pStyle w:val="examplescaled"/>
      </w:pPr>
      <w:r>
        <w:tab/>
      </w:r>
      <w:r>
        <w:tab/>
        <w:t>in-reference-frame the-x1-place.</w:t>
      </w:r>
    </w:p>
    <w:p w:rsidR="00B72047" w:rsidRDefault="00B72047">
      <w:pPr>
        <w:pStyle w:val="examplescaled"/>
      </w:pPr>
      <w:r>
        <w:tab/>
        <w:t>The child walks toward her right on the ice.</w:t>
      </w:r>
    </w:p>
    <w:p w:rsidR="00B72047" w:rsidRDefault="00B72047">
      <w:pPr>
        <w:pStyle w:val="resumedafterexample"/>
      </w:pPr>
      <w:r>
        <w:rPr>
          <w:rStyle w:val="htmlcodes"/>
        </w:rPr>
        <w:t>&lt;/pre&gt;&lt;a href=#e8d3&gt;</w:t>
      </w:r>
      <w:r>
        <w:t xml:space="preserve">Example 8.3 </w:t>
      </w:r>
      <w:r>
        <w:rPr>
          <w:rStyle w:val="htmlcodes"/>
        </w:rPr>
        <w:t>&lt;/a&gt;</w:t>
      </w:r>
      <w:r>
        <w:t xml:space="preserve">is analogous to </w:t>
      </w:r>
      <w:r>
        <w:rPr>
          <w:rStyle w:val="htmlcodes"/>
        </w:rPr>
        <w:t>&lt;a href=#e8d1&gt;</w:t>
      </w:r>
      <w:r>
        <w:t>Example 8.1</w:t>
      </w:r>
      <w:r>
        <w:rPr>
          <w:rStyle w:val="htmlcodes"/>
        </w:rPr>
        <w:t>&lt;/a&gt;</w:t>
      </w:r>
      <w:r>
        <w:t>. The cmavo “ma'i” belongs to</w:t>
      </w:r>
      <w:r>
        <w:rPr>
          <w:rStyle w:val="deletedparamark"/>
        </w:rPr>
        <w:t xml:space="preserve"> </w:t>
      </w:r>
      <w:r>
        <w:t xml:space="preserve">selma'o BAI (explained in </w:t>
      </w:r>
      <w:r>
        <w:rPr>
          <w:rStyle w:val="htmlcodes"/>
        </w:rPr>
        <w:t>&lt;a href=chap9.html&gt;</w:t>
      </w:r>
      <w:r>
        <w:t>Chapter 9</w:t>
      </w:r>
      <w:r>
        <w:rPr>
          <w:rStyle w:val="htmlcodes"/>
        </w:rPr>
        <w:t>&lt;/a&gt;</w:t>
      </w:r>
      <w:r>
        <w:t>), and allows specifying a ref</w:t>
      </w:r>
      <w:r>
        <w:softHyphen/>
        <w:t>erence</w:t>
      </w:r>
      <w:r>
        <w:rPr>
          <w:rStyle w:val="deletedparamark"/>
        </w:rPr>
        <w:t xml:space="preserve"> </w:t>
      </w:r>
      <w:r>
        <w:t>frame.</w:t>
      </w:r>
    </w:p>
    <w:p w:rsidR="00B72047" w:rsidRDefault="00B72047">
      <w:pPr>
        <w:rPr>
          <w:rStyle w:val="htmlparacode"/>
        </w:rPr>
      </w:pPr>
      <w:r>
        <w:rPr>
          <w:rStyle w:val="htmlparacode"/>
        </w:rPr>
        <w:t>&lt;p&gt;</w:t>
      </w:r>
    </w:p>
    <w:p w:rsidR="00B72047" w:rsidRDefault="00B72047">
      <w:pPr>
        <w:pStyle w:val="normalparagraph"/>
      </w:pPr>
      <w:r>
        <w:rPr>
          <w:rStyle w:val="indexentry"/>
        </w:rPr>
        <w:t>&lt;cx "movement, order in tense constructs"&gt;</w:t>
      </w:r>
      <w:r>
        <w:rPr>
          <w:rStyle w:val="indexentry"/>
        </w:rPr>
        <w:fldChar w:fldCharType="begin"/>
      </w:r>
      <w:r>
        <w:instrText>xe "</w:instrText>
      </w:r>
      <w:r>
        <w:rPr>
          <w:rStyle w:val="xeentry"/>
        </w:rPr>
        <w:instrText>movement: order in tense constructs</w:instrText>
      </w:r>
      <w:r>
        <w:instrText>"</w:instrText>
      </w:r>
      <w:r>
        <w:rPr>
          <w:rStyle w:val="indexentry"/>
        </w:rPr>
        <w:fldChar w:fldCharType="end"/>
      </w:r>
      <w:r>
        <w:rPr>
          <w:rStyle w:val="indexentry"/>
        </w:rPr>
        <w:t>&lt;cx "tense, order of movement specification in"&gt;</w:t>
      </w:r>
      <w:r>
        <w:rPr>
          <w:rStyle w:val="indexentry"/>
        </w:rPr>
        <w:fldChar w:fldCharType="begin"/>
      </w:r>
      <w:r>
        <w:instrText>xe "</w:instrText>
      </w:r>
      <w:r>
        <w:rPr>
          <w:rStyle w:val="xeentry"/>
        </w:rPr>
        <w:instrText>tense: order of movement specification in</w:instrText>
      </w:r>
      <w:r>
        <w:instrText>"</w:instrText>
      </w:r>
      <w:r>
        <w:rPr>
          <w:rStyle w:val="indexentry"/>
        </w:rPr>
        <w:fldChar w:fldCharType="end"/>
      </w:r>
      <w:r>
        <w:t>Both a regular and a “mo'i”-flagged spatial tense can be com</w:t>
      </w:r>
      <w:r>
        <w:softHyphen/>
        <w:t>bined, with the</w:t>
      </w:r>
      <w:r>
        <w:rPr>
          <w:rStyle w:val="deletedparamark"/>
        </w:rPr>
        <w:t xml:space="preserve"> “</w:t>
      </w:r>
      <w:r>
        <w:t>mo'i” construct coming last: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le verba zu'avu mo'i ri'uvi cadzu le bisli</w:t>
      </w:r>
    </w:p>
    <w:p w:rsidR="00B72047" w:rsidRDefault="00B72047">
      <w:pPr>
        <w:pStyle w:val="examplescaled"/>
      </w:pPr>
      <w:r>
        <w:tab/>
        <w:t>The child [left] [long] [movement] [right] [short] walks-on the ice.</w:t>
      </w:r>
    </w:p>
    <w:p w:rsidR="00B72047" w:rsidRDefault="00B72047">
      <w:pPr>
        <w:pStyle w:val="examplescaled"/>
      </w:pPr>
      <w:r>
        <w:tab/>
        <w:t xml:space="preserve">Far to the left of me, the child walks a short distance toward my right </w:t>
      </w:r>
    </w:p>
    <w:p w:rsidR="00B72047" w:rsidRDefault="00B72047">
      <w:pPr>
        <w:pStyle w:val="examplescaled"/>
        <w:ind w:firstLine="576"/>
      </w:pPr>
      <w:r>
        <w:t>on the ice.</w:t>
      </w:r>
    </w:p>
    <w:p w:rsidR="00B72047" w:rsidRDefault="00B72047">
      <w:pPr>
        <w:pStyle w:val="normalafterexample"/>
        <w:spacing w:before="120"/>
      </w:pPr>
      <w:r>
        <w:rPr>
          <w:rStyle w:val="htmlcodes"/>
        </w:rPr>
        <w:t>&lt;/pre&gt;</w:t>
      </w:r>
      <w:r>
        <w:rPr>
          <w:rStyle w:val="indexentry"/>
        </w:rPr>
        <w:t>&lt;cx "complex movements, expressing"&gt;</w:t>
      </w:r>
      <w:r>
        <w:rPr>
          <w:rStyle w:val="indexentry"/>
        </w:rPr>
        <w:fldChar w:fldCharType="begin"/>
      </w:r>
      <w:r>
        <w:instrText>xe "</w:instrText>
      </w:r>
      <w:r>
        <w:rPr>
          <w:rStyle w:val="xeentry"/>
        </w:rPr>
        <w:instrText>complex movements: expressing</w:instrText>
      </w:r>
      <w:r>
        <w:instrText>"</w:instrText>
      </w:r>
      <w:r>
        <w:rPr>
          <w:rStyle w:val="indexentry"/>
        </w:rPr>
        <w:fldChar w:fldCharType="end"/>
      </w:r>
      <w:r>
        <w:rPr>
          <w:rStyle w:val="indexentry"/>
        </w:rPr>
        <w:t>&lt;cx "directions, multiple with movement"&gt;</w:t>
      </w:r>
      <w:r>
        <w:rPr>
          <w:rStyle w:val="indexentry"/>
        </w:rPr>
        <w:fldChar w:fldCharType="begin"/>
      </w:r>
      <w:r>
        <w:instrText>xe "</w:instrText>
      </w:r>
      <w:r>
        <w:rPr>
          <w:rStyle w:val="xeentry"/>
        </w:rPr>
        <w:instrText>directions: multiple with movement</w:instrText>
      </w:r>
      <w:r>
        <w:instrText>"</w:instrText>
      </w:r>
      <w:r>
        <w:rPr>
          <w:rStyle w:val="indexentry"/>
        </w:rPr>
        <w:fldChar w:fldCharType="end"/>
      </w:r>
      <w:r>
        <w:rPr>
          <w:rStyle w:val="indexentry"/>
        </w:rPr>
        <w:t>&lt;cx "movement, with multiple directions"&gt;</w:t>
      </w:r>
      <w:r>
        <w:rPr>
          <w:rStyle w:val="indexentry"/>
        </w:rPr>
        <w:fldChar w:fldCharType="begin"/>
      </w:r>
      <w:r>
        <w:instrText>xe "</w:instrText>
      </w:r>
      <w:r>
        <w:rPr>
          <w:rStyle w:val="xeentry"/>
        </w:rPr>
        <w:instrText>movement: with multiple directions</w:instrText>
      </w:r>
      <w:r>
        <w:instrText>"</w:instrText>
      </w:r>
      <w:r>
        <w:rPr>
          <w:rStyle w:val="indexentry"/>
        </w:rPr>
        <w:fldChar w:fldCharType="end"/>
      </w:r>
      <w:r>
        <w:t>It is not grammatical to use multiple directions like “zu'a ca'u” after</w:t>
      </w:r>
      <w:r>
        <w:rPr>
          <w:rStyle w:val="deletedparamark"/>
        </w:rPr>
        <w:t xml:space="preserve"> “</w:t>
      </w:r>
      <w:r>
        <w:t>mo'i”, but co</w:t>
      </w:r>
      <w:r>
        <w:t>m</w:t>
      </w:r>
      <w:r>
        <w:softHyphen/>
        <w:t>plex movements can be expressed in a separate bridi.</w:t>
      </w:r>
    </w:p>
    <w:p w:rsidR="00B72047" w:rsidRDefault="00B72047">
      <w:pPr>
        <w:rPr>
          <w:rStyle w:val="htmlparacode"/>
        </w:rPr>
      </w:pPr>
      <w:r>
        <w:rPr>
          <w:rStyle w:val="htmlparacode"/>
        </w:rPr>
        <w:t>&lt;p&gt;</w:t>
      </w:r>
    </w:p>
    <w:p w:rsidR="00B72047" w:rsidRDefault="00B72047">
      <w:pPr>
        <w:pStyle w:val="normalparagraph"/>
      </w:pPr>
      <w:r>
        <w:t>Here is an example of a movement tense on a bridi not in</w:t>
      </w:r>
      <w:r>
        <w:softHyphen/>
        <w:t>herently involving</w:t>
      </w:r>
      <w:r>
        <w:rPr>
          <w:rStyle w:val="deletedparamark"/>
        </w:rPr>
        <w:t xml:space="preserve"> </w:t>
      </w:r>
      <w:r>
        <w:t>mov</w:t>
      </w:r>
      <w:r>
        <w:t>e</w:t>
      </w:r>
      <w:r>
        <w:softHyphen/>
        <w:t>ment:</w:t>
      </w:r>
    </w:p>
    <w:p w:rsidR="00B72047" w:rsidRDefault="00B72047">
      <w:pPr>
        <w:rPr>
          <w:rStyle w:val="htmlparacode"/>
        </w:rPr>
      </w:pPr>
      <w:r>
        <w:rPr>
          <w:rStyle w:val="htmlparacode"/>
        </w:rPr>
        <w:t>&lt;p&gt;</w:t>
      </w:r>
    </w:p>
    <w:p w:rsidR="00B72047" w:rsidRDefault="00B72047">
      <w:pPr>
        <w:pStyle w:val="examplescaledpre"/>
      </w:pPr>
      <w:r>
        <w:rPr>
          <w:rStyle w:val="indexentry"/>
        </w:rPr>
        <w:t>&lt;ex "eat in airplane"&gt;</w:t>
      </w:r>
      <w:r>
        <w:rPr>
          <w:rStyle w:val="indexentry"/>
        </w:rPr>
        <w:fldChar w:fldCharType="begin"/>
      </w:r>
      <w:r>
        <w:instrText>xe "</w:instrText>
      </w:r>
      <w:r>
        <w:rPr>
          <w:rStyle w:val="xeentry"/>
        </w:rPr>
        <w:instrText>eat in airplane: example</w:instrText>
      </w:r>
      <w:r>
        <w:instrText>"</w:instrText>
      </w:r>
      <w:r>
        <w:rPr>
          <w:rStyle w:val="indexentry"/>
        </w:rPr>
        <w:fldChar w:fldCharType="end"/>
      </w:r>
      <w:r>
        <w:rPr>
          <w:rStyle w:val="htmlcodes"/>
        </w:rPr>
        <w:t>&lt;pre&gt;&lt;a name=e8d5&gt;</w:t>
      </w:r>
      <w:r>
        <w:t>8.5)</w:t>
      </w:r>
      <w:r>
        <w:tab/>
        <w:t>mi mo'i ca'uvu citka le mi sanmi</w:t>
      </w:r>
    </w:p>
    <w:p w:rsidR="00B72047" w:rsidRDefault="00B72047">
      <w:pPr>
        <w:pStyle w:val="examplescaled"/>
      </w:pPr>
      <w:r>
        <w:tab/>
        <w:t>I [movement] [front] [long] eat my meal.</w:t>
      </w:r>
    </w:p>
    <w:p w:rsidR="00B72047" w:rsidRDefault="00B72047">
      <w:pPr>
        <w:pStyle w:val="examplescaled"/>
      </w:pPr>
      <w:r>
        <w:tab/>
        <w:t>While moving a long way forward, I eat my meal.</w:t>
      </w:r>
    </w:p>
    <w:p w:rsidR="00B72047" w:rsidRDefault="00B72047">
      <w:pPr>
        <w:pStyle w:val="resumedafterexample"/>
      </w:pPr>
      <w:r>
        <w:rPr>
          <w:rStyle w:val="htmlcodes"/>
        </w:rPr>
        <w:t>&lt;/pre&gt;</w:t>
      </w:r>
      <w:r>
        <w:t>(Perhaps I am eating in an airplane.)</w:t>
      </w:r>
    </w:p>
    <w:p w:rsidR="00B72047" w:rsidRDefault="00B72047">
      <w:pPr>
        <w:rPr>
          <w:rStyle w:val="htmlparacode"/>
        </w:rPr>
      </w:pPr>
      <w:r>
        <w:rPr>
          <w:rStyle w:val="htmlparacode"/>
        </w:rPr>
        <w:t>&lt;p&gt;</w:t>
      </w:r>
    </w:p>
    <w:p w:rsidR="00B72047" w:rsidRDefault="00B72047">
      <w:pPr>
        <w:pStyle w:val="normalparagraph"/>
      </w:pPr>
      <w:r>
        <w:rPr>
          <w:rStyle w:val="indexentry"/>
        </w:rPr>
        <w:t>&lt;cx "movement, time"&gt;</w:t>
      </w:r>
      <w:r>
        <w:rPr>
          <w:rStyle w:val="indexentry"/>
        </w:rPr>
        <w:fldChar w:fldCharType="begin"/>
      </w:r>
      <w:r>
        <w:instrText>xe "</w:instrText>
      </w:r>
      <w:r>
        <w:rPr>
          <w:rStyle w:val="xeentry"/>
        </w:rPr>
        <w:instrText>movement: time</w:instrText>
      </w:r>
      <w:r>
        <w:instrText>"</w:instrText>
      </w:r>
      <w:r>
        <w:rPr>
          <w:rStyle w:val="indexentry"/>
        </w:rPr>
        <w:fldChar w:fldCharType="end"/>
      </w:r>
      <w:r>
        <w:rPr>
          <w:rStyle w:val="indexentry"/>
        </w:rPr>
        <w:t>&lt;cx "time travel"&gt;</w:t>
      </w:r>
      <w:r>
        <w:rPr>
          <w:rStyle w:val="indexentry"/>
        </w:rPr>
        <w:fldChar w:fldCharType="begin"/>
      </w:r>
      <w:r>
        <w:instrText>xe "</w:instrText>
      </w:r>
      <w:r>
        <w:rPr>
          <w:rStyle w:val="xeentry"/>
        </w:rPr>
        <w:instrText>time travel</w:instrText>
      </w:r>
      <w:r>
        <w:instrText>"</w:instrText>
      </w:r>
      <w:r>
        <w:rPr>
          <w:rStyle w:val="indexentry"/>
        </w:rPr>
        <w:fldChar w:fldCharType="end"/>
      </w:r>
      <w:r>
        <w:t>There is no parallel facility in Lojban at present for expressing movement</w:t>
      </w:r>
      <w:r>
        <w:rPr>
          <w:rStyle w:val="deletedparamark"/>
        </w:rPr>
        <w:t xml:space="preserve"> </w:t>
      </w:r>
      <w:r>
        <w:t>in time — time travel — but one could be added easily if it ever becomes</w:t>
      </w:r>
      <w:r>
        <w:rPr>
          <w:rStyle w:val="deletedparamark"/>
        </w:rPr>
        <w:t xml:space="preserve"> </w:t>
      </w:r>
      <w:r>
        <w:t>useful.</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338" w:name="_Toc398970583"/>
      <w:r>
        <w:rPr>
          <w:rStyle w:val="Heading3Text"/>
        </w:rPr>
        <w:t>Interval properties: TAhE and “roi”</w:t>
      </w:r>
      <w:bookmarkEnd w:id="33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pStyle w:val="examplegrouptabs"/>
        <w:rPr>
          <w:rStyle w:val="htmlparacode"/>
        </w:rPr>
      </w:pPr>
      <w:r>
        <w:rPr>
          <w:rStyle w:val="htmlparacode"/>
        </w:rPr>
        <w:t>&lt;p&gt;</w:t>
      </w:r>
    </w:p>
    <w:p w:rsidR="00B72047" w:rsidRDefault="00B72047">
      <w:pPr>
        <w:pStyle w:val="examplegtabspre"/>
      </w:pPr>
      <w:r>
        <w:rPr>
          <w:rStyle w:val="htmlcodes"/>
        </w:rPr>
        <w:t>&lt;pre&gt;</w:t>
      </w:r>
      <w:r>
        <w:t xml:space="preserve"> </w:t>
      </w:r>
      <w:r>
        <w:tab/>
        <w:t>di'i</w:t>
      </w:r>
      <w:r>
        <w:tab/>
      </w:r>
      <w:r>
        <w:tab/>
        <w:t>TAhE</w:t>
      </w:r>
      <w:r>
        <w:tab/>
        <w:t>regularly</w:t>
      </w:r>
    </w:p>
    <w:p w:rsidR="00B72047" w:rsidRDefault="00B72047">
      <w:pPr>
        <w:pStyle w:val="examplegrouptabs"/>
      </w:pPr>
      <w:r>
        <w:tab/>
        <w:t>na'o</w:t>
      </w:r>
      <w:r>
        <w:tab/>
      </w:r>
      <w:r>
        <w:tab/>
        <w:t>TAhE</w:t>
      </w:r>
      <w:r>
        <w:tab/>
        <w:t>typically</w:t>
      </w:r>
    </w:p>
    <w:p w:rsidR="00B72047" w:rsidRDefault="00B72047">
      <w:pPr>
        <w:pStyle w:val="examplegrouptabs"/>
      </w:pPr>
      <w:r>
        <w:tab/>
        <w:t>ru'i</w:t>
      </w:r>
      <w:r>
        <w:tab/>
      </w:r>
      <w:r>
        <w:tab/>
        <w:t>TAhE</w:t>
      </w:r>
      <w:r>
        <w:tab/>
        <w:t>continuously</w:t>
      </w:r>
    </w:p>
    <w:p w:rsidR="00B72047" w:rsidRDefault="00B72047">
      <w:pPr>
        <w:pStyle w:val="examplegrouptabs"/>
      </w:pPr>
      <w:r>
        <w:tab/>
        <w:t>ta'e</w:t>
      </w:r>
      <w:r>
        <w:tab/>
      </w:r>
      <w:r>
        <w:tab/>
        <w:t>TAhE</w:t>
      </w:r>
      <w:r>
        <w:tab/>
        <w:t>habitually</w:t>
      </w:r>
    </w:p>
    <w:p w:rsidR="00B72047" w:rsidRDefault="00B72047">
      <w:pPr>
        <w:pStyle w:val="examplegtabspre"/>
        <w:spacing w:before="60"/>
      </w:pPr>
      <w:r>
        <w:tab/>
        <w:t>di'inai</w:t>
      </w:r>
      <w:r>
        <w:tab/>
      </w:r>
      <w:r>
        <w:tab/>
        <w:t>TAhE</w:t>
      </w:r>
      <w:r>
        <w:tab/>
        <w:t>irregularly</w:t>
      </w:r>
    </w:p>
    <w:p w:rsidR="00B72047" w:rsidRDefault="00B72047">
      <w:pPr>
        <w:pStyle w:val="examplegrouptabs"/>
      </w:pPr>
      <w:r>
        <w:tab/>
        <w:t>na'onai</w:t>
      </w:r>
      <w:r>
        <w:tab/>
        <w:t>TAhE</w:t>
      </w:r>
      <w:r>
        <w:tab/>
        <w:t>atypically</w:t>
      </w:r>
    </w:p>
    <w:p w:rsidR="00B72047" w:rsidRDefault="00B72047">
      <w:pPr>
        <w:pStyle w:val="examplegrouptabs"/>
      </w:pPr>
      <w:r>
        <w:tab/>
        <w:t>ru'inai</w:t>
      </w:r>
      <w:r>
        <w:tab/>
      </w:r>
      <w:r>
        <w:tab/>
        <w:t>TAhE</w:t>
      </w:r>
      <w:r>
        <w:tab/>
        <w:t>intermittently</w:t>
      </w:r>
    </w:p>
    <w:p w:rsidR="00B72047" w:rsidRDefault="00B72047">
      <w:pPr>
        <w:pStyle w:val="examplegrouptabs"/>
      </w:pPr>
      <w:r>
        <w:tab/>
        <w:t>ta'enai</w:t>
      </w:r>
      <w:r>
        <w:tab/>
      </w:r>
      <w:r>
        <w:tab/>
        <w:t>TAhE</w:t>
      </w:r>
      <w:r>
        <w:tab/>
        <w:t>contrary to habit</w:t>
      </w:r>
    </w:p>
    <w:p w:rsidR="00B72047" w:rsidRDefault="00B72047">
      <w:pPr>
        <w:pStyle w:val="examplegtabspre"/>
        <w:spacing w:before="60"/>
      </w:pPr>
      <w:r>
        <w:tab/>
        <w:t>roi</w:t>
      </w:r>
      <w:r>
        <w:tab/>
      </w:r>
      <w:r>
        <w:tab/>
        <w:t>ROI</w:t>
      </w:r>
      <w:r>
        <w:tab/>
        <w:t>“n” times</w:t>
      </w:r>
    </w:p>
    <w:p w:rsidR="00B72047" w:rsidRDefault="00B72047">
      <w:pPr>
        <w:pStyle w:val="examplegrouptabs"/>
      </w:pPr>
      <w:r>
        <w:tab/>
        <w:t>roinai</w:t>
      </w:r>
      <w:r>
        <w:tab/>
      </w:r>
      <w:r>
        <w:tab/>
        <w:t>ROI</w:t>
      </w:r>
      <w:r>
        <w:tab/>
        <w:t>other than “n” times</w:t>
      </w:r>
    </w:p>
    <w:p w:rsidR="00B72047" w:rsidRDefault="00B72047">
      <w:pPr>
        <w:pStyle w:val="examplegtabspre"/>
        <w:spacing w:before="60"/>
      </w:pPr>
      <w:r>
        <w:tab/>
        <w:t>ze'e</w:t>
      </w:r>
      <w:r>
        <w:tab/>
      </w:r>
      <w:r>
        <w:tab/>
        <w:t>ZEhA</w:t>
      </w:r>
      <w:r>
        <w:tab/>
        <w:t>whole time interval</w:t>
      </w:r>
    </w:p>
    <w:p w:rsidR="00B72047" w:rsidRDefault="00B72047">
      <w:pPr>
        <w:pStyle w:val="examplegtabspre"/>
        <w:spacing w:before="60"/>
      </w:pPr>
      <w:r>
        <w:tab/>
        <w:t>ve'e</w:t>
      </w:r>
      <w:r>
        <w:tab/>
      </w:r>
      <w:r>
        <w:tab/>
        <w:t>VEhA</w:t>
      </w:r>
      <w:r>
        <w:tab/>
        <w:t>whole space interval</w:t>
      </w:r>
    </w:p>
    <w:p w:rsidR="00B72047" w:rsidRDefault="00B72047">
      <w:pPr>
        <w:pStyle w:val="normalafterexample"/>
      </w:pPr>
      <w:r>
        <w:rPr>
          <w:rStyle w:val="htmlcodes"/>
        </w:rPr>
        <w:t>&lt;/pre&gt;</w:t>
      </w:r>
      <w:r>
        <w:rPr>
          <w:rStyle w:val="indexentry"/>
        </w:rPr>
        <w:t>&lt;cx "continuous, of tense intervals"&gt;</w:t>
      </w:r>
      <w:r>
        <w:rPr>
          <w:rStyle w:val="indexentry"/>
        </w:rPr>
        <w:fldChar w:fldCharType="begin"/>
      </w:r>
      <w:r>
        <w:instrText>xe "</w:instrText>
      </w:r>
      <w:r>
        <w:rPr>
          <w:rStyle w:val="xeentry"/>
        </w:rPr>
        <w:instrText>continuous: of tense intervals</w:instrText>
      </w:r>
      <w:r>
        <w:instrText>"</w:instrText>
      </w:r>
      <w:r>
        <w:rPr>
          <w:rStyle w:val="indexentry"/>
        </w:rPr>
        <w:fldChar w:fldCharType="end"/>
      </w:r>
      <w:r>
        <w:rPr>
          <w:rStyle w:val="indexentry"/>
        </w:rPr>
        <w:t>&lt;cx "discrete, of tense intervals"&gt;</w:t>
      </w:r>
      <w:r>
        <w:rPr>
          <w:rStyle w:val="indexentry"/>
        </w:rPr>
        <w:fldChar w:fldCharType="begin"/>
      </w:r>
      <w:r>
        <w:instrText>xe "</w:instrText>
      </w:r>
      <w:r>
        <w:rPr>
          <w:rStyle w:val="xeentry"/>
        </w:rPr>
        <w:instrText>discrete: of tense intervals</w:instrText>
      </w:r>
      <w:r>
        <w:instrText>"</w:instrText>
      </w:r>
      <w:r>
        <w:rPr>
          <w:rStyle w:val="indexentry"/>
        </w:rPr>
        <w:fldChar w:fldCharType="end"/>
      </w:r>
      <w:r>
        <w:rPr>
          <w:rStyle w:val="indexentry"/>
        </w:rPr>
        <w:t>&lt;lx "TAhE"&gt;</w:t>
      </w:r>
      <w:r>
        <w:rPr>
          <w:rStyle w:val="indexentry"/>
        </w:rPr>
        <w:fldChar w:fldCharType="begin"/>
      </w:r>
      <w:r>
        <w:instrText>xe "</w:instrText>
      </w:r>
      <w:r>
        <w:rPr>
          <w:rStyle w:val="xeentry"/>
        </w:rPr>
        <w:instrText>TAhE selma’o</w:instrText>
      </w:r>
      <w:r>
        <w:instrText>"</w:instrText>
      </w:r>
      <w:r>
        <w:rPr>
          <w:rStyle w:val="indexentry"/>
        </w:rPr>
        <w:fldChar w:fldCharType="end"/>
      </w:r>
      <w:r>
        <w:rPr>
          <w:rStyle w:val="indexentry"/>
        </w:rPr>
        <w:t>&lt;cx "intervals, spread of actions over"&gt;</w:t>
      </w:r>
      <w:r>
        <w:rPr>
          <w:rStyle w:val="indexentry"/>
        </w:rPr>
        <w:fldChar w:fldCharType="begin"/>
      </w:r>
      <w:r>
        <w:instrText>xe "</w:instrText>
      </w:r>
      <w:r>
        <w:rPr>
          <w:rStyle w:val="xeentry"/>
        </w:rPr>
        <w:instrText>interval: spread of actions over</w:instrText>
      </w:r>
      <w:r>
        <w:instrText>"</w:instrText>
      </w:r>
      <w:r>
        <w:rPr>
          <w:rStyle w:val="indexentry"/>
        </w:rPr>
        <w:fldChar w:fldCharType="end"/>
      </w:r>
      <w:r>
        <w:t>Consider Lojban bridi which express events taking place in time. Whether a</w:t>
      </w:r>
      <w:r>
        <w:rPr>
          <w:rStyle w:val="deletedparamark"/>
        </w:rPr>
        <w:t xml:space="preserve"> </w:t>
      </w:r>
      <w:r>
        <w:t>very short interval (a point) or a long interval of time is involved,</w:t>
      </w:r>
      <w:r>
        <w:rPr>
          <w:rStyle w:val="deletedparamark"/>
        </w:rPr>
        <w:t xml:space="preserve"> </w:t>
      </w:r>
      <w:r>
        <w:t>the event may not be spread consistently throughout that interval. Lojban</w:t>
      </w:r>
      <w:r>
        <w:rPr>
          <w:rStyle w:val="deletedparamark"/>
        </w:rPr>
        <w:t xml:space="preserve"> </w:t>
      </w:r>
      <w:r>
        <w:t>can use the cmavo of selma'o TAhE to e</w:t>
      </w:r>
      <w:r>
        <w:t>x</w:t>
      </w:r>
      <w:r>
        <w:softHyphen/>
        <w:t>press the idea of continuous or</w:t>
      </w:r>
      <w:r>
        <w:rPr>
          <w:rStyle w:val="deletedparamark"/>
        </w:rPr>
        <w:t xml:space="preserve"> </w:t>
      </w:r>
      <w:r>
        <w:t>non-continuous actions.</w:t>
      </w:r>
    </w:p>
    <w:p w:rsidR="00B72047" w:rsidRDefault="00B72047">
      <w:pPr>
        <w:rPr>
          <w:rStyle w:val="htmlparacode"/>
        </w:rPr>
      </w:pPr>
      <w:r>
        <w:rPr>
          <w:rStyle w:val="htmlparacode"/>
        </w:rPr>
        <w:t>&lt;p&gt;</w:t>
      </w:r>
    </w:p>
    <w:p w:rsidR="00B72047" w:rsidRDefault="00B72047">
      <w:pPr>
        <w:pStyle w:val="examplescaledpre"/>
      </w:pPr>
      <w:r>
        <w:rPr>
          <w:rStyle w:val="indexentry"/>
        </w:rPr>
        <w:t>&lt;ex "attend school"&gt;</w:t>
      </w:r>
      <w:r>
        <w:rPr>
          <w:rStyle w:val="indexentry"/>
        </w:rPr>
        <w:fldChar w:fldCharType="begin"/>
      </w:r>
      <w:r>
        <w:instrText>xe "</w:instrText>
      </w:r>
      <w:r>
        <w:rPr>
          <w:rStyle w:val="xeentry"/>
        </w:rPr>
        <w:instrText>attend school: example</w:instrText>
      </w:r>
      <w:r>
        <w:instrText>"</w:instrText>
      </w:r>
      <w:r>
        <w:rPr>
          <w:rStyle w:val="indexentry"/>
        </w:rPr>
        <w:fldChar w:fldCharType="end"/>
      </w:r>
      <w:r>
        <w:rPr>
          <w:rStyle w:val="htmlcodes"/>
        </w:rPr>
        <w:t>&lt;pre&gt;&lt;a name=e9d1&gt;</w:t>
      </w:r>
      <w:r>
        <w:t>9.1)</w:t>
      </w:r>
      <w:r>
        <w:tab/>
        <w:t>mi puzu ze'u velckule</w:t>
      </w:r>
    </w:p>
    <w:p w:rsidR="00B72047" w:rsidRDefault="00B72047">
      <w:pPr>
        <w:pStyle w:val="examplescaled"/>
      </w:pPr>
      <w:r>
        <w:tab/>
        <w:t>I [past] [long distance] [long interval] am-a-school-attendee (pupil).</w:t>
      </w:r>
    </w:p>
    <w:p w:rsidR="00B72047" w:rsidRDefault="00B72047">
      <w:pPr>
        <w:pStyle w:val="examplescaled"/>
      </w:pPr>
      <w:r>
        <w:tab/>
        <w:t>Long ago I attended school for a long time.</w:t>
      </w:r>
    </w:p>
    <w:p w:rsidR="00B72047" w:rsidRDefault="00B72047">
      <w:pPr>
        <w:pStyle w:val="resumedafterexample"/>
      </w:pPr>
      <w:r>
        <w:rPr>
          <w:rStyle w:val="htmlcodes"/>
        </w:rPr>
        <w:t>&lt;/pre&gt;</w:t>
      </w:r>
      <w:r>
        <w:t>probably does not mean that I attended school continuously through</w:t>
      </w:r>
      <w:r>
        <w:softHyphen/>
        <w:t>out the</w:t>
      </w:r>
      <w:r>
        <w:rPr>
          <w:rStyle w:val="deletedparamark"/>
        </w:rPr>
        <w:t xml:space="preserve"> </w:t>
      </w:r>
      <w:r>
        <w:t>whole of that long-ago interval. Actually, I attended school every day,</w:t>
      </w:r>
      <w:r>
        <w:rPr>
          <w:rStyle w:val="deletedparamark"/>
        </w:rPr>
        <w:t xml:space="preserve"> </w:t>
      </w:r>
      <w:r>
        <w:t>except for school holi</w:t>
      </w:r>
      <w:r>
        <w:softHyphen/>
        <w:t>days. More explicitly,</w:t>
      </w:r>
    </w:p>
    <w:p w:rsidR="00B72047" w:rsidRDefault="00B72047">
      <w:pPr>
        <w:rPr>
          <w:rStyle w:val="htmlparacode"/>
        </w:rPr>
      </w:pPr>
      <w:r>
        <w:rPr>
          <w:rStyle w:val="htmlparacode"/>
        </w:rPr>
        <w:t>&lt;p&gt;</w:t>
      </w:r>
    </w:p>
    <w:p w:rsidR="00B72047" w:rsidRDefault="00B72047">
      <w:pPr>
        <w:pStyle w:val="examplescaledpre"/>
      </w:pPr>
      <w:r>
        <w:rPr>
          <w:rStyle w:val="indexentry"/>
        </w:rPr>
        <w:t>&lt;ex "regularly"&gt;</w:t>
      </w:r>
      <w:r>
        <w:rPr>
          <w:rStyle w:val="indexentry"/>
        </w:rPr>
        <w:fldChar w:fldCharType="begin"/>
      </w:r>
      <w:r>
        <w:instrText>xe "</w:instrText>
      </w:r>
      <w:r>
        <w:rPr>
          <w:rStyle w:val="xeentry"/>
        </w:rPr>
        <w:instrText>regularly: example</w:instrText>
      </w:r>
      <w:r>
        <w:instrText>"</w:instrText>
      </w:r>
      <w:r>
        <w:rPr>
          <w:rStyle w:val="indexentry"/>
        </w:rPr>
        <w:fldChar w:fldCharType="end"/>
      </w:r>
      <w:r>
        <w:rPr>
          <w:rStyle w:val="htmlcodes"/>
        </w:rPr>
        <w:t>&lt;pre&gt;&lt;a name=e9d2&gt;</w:t>
      </w:r>
      <w:r>
        <w:t>9.2)</w:t>
      </w:r>
      <w:r>
        <w:tab/>
        <w:t>mi puzu ze'u di'i velckule</w:t>
      </w:r>
    </w:p>
    <w:p w:rsidR="00B72047" w:rsidRDefault="00B72047">
      <w:pPr>
        <w:pStyle w:val="examplescaled"/>
      </w:pPr>
      <w:r>
        <w:tab/>
        <w:t>I [past] [long distance] [long interval] [regularly] am-a-pupil.</w:t>
      </w:r>
    </w:p>
    <w:p w:rsidR="00B72047" w:rsidRDefault="00B72047">
      <w:pPr>
        <w:pStyle w:val="examplescaled"/>
      </w:pPr>
      <w:r>
        <w:tab/>
        <w:t>Long ago I regularly attended school for a long time.</w:t>
      </w:r>
    </w:p>
    <w:p w:rsidR="00B72047" w:rsidRDefault="00B72047">
      <w:pPr>
        <w:pStyle w:val="normalafterexample"/>
      </w:pPr>
      <w:r>
        <w:rPr>
          <w:rStyle w:val="htmlcodes"/>
        </w:rPr>
        <w:t>&lt;/pre&gt;</w:t>
      </w:r>
      <w:r>
        <w:rPr>
          <w:rStyle w:val="indexentry"/>
        </w:rPr>
        <w:t>&lt;lx "ru'i"&gt;</w:t>
      </w:r>
      <w:r>
        <w:rPr>
          <w:rStyle w:val="indexentry"/>
        </w:rPr>
        <w:fldChar w:fldCharType="begin"/>
      </w:r>
      <w:r>
        <w:instrText>xe "</w:instrText>
      </w:r>
      <w:r>
        <w:rPr>
          <w:rStyle w:val="xeentry"/>
        </w:rPr>
        <w:instrText>ru'i</w:instrText>
      </w:r>
      <w:r>
        <w:instrText>"</w:instrText>
      </w:r>
      <w:r>
        <w:rPr>
          <w:rStyle w:val="indexentry"/>
        </w:rPr>
        <w:fldChar w:fldCharType="end"/>
      </w:r>
      <w:r>
        <w:rPr>
          <w:rStyle w:val="indexentry"/>
        </w:rPr>
        <w:t>&lt;lx "di'i"&gt;</w:t>
      </w:r>
      <w:r>
        <w:rPr>
          <w:rStyle w:val="indexentry"/>
        </w:rPr>
        <w:fldChar w:fldCharType="begin"/>
      </w:r>
      <w:r>
        <w:instrText>xe "</w:instrText>
      </w:r>
      <w:r>
        <w:rPr>
          <w:rStyle w:val="xeentry"/>
        </w:rPr>
        <w:instrText>di'i</w:instrText>
      </w:r>
      <w:r>
        <w:instrText>"</w:instrText>
      </w:r>
      <w:r>
        <w:rPr>
          <w:rStyle w:val="indexentry"/>
        </w:rPr>
        <w:fldChar w:fldCharType="end"/>
      </w:r>
      <w:r>
        <w:rPr>
          <w:rStyle w:val="indexentry"/>
        </w:rPr>
        <w:t>&lt;lx "na'o"&gt;</w:t>
      </w:r>
      <w:r>
        <w:rPr>
          <w:rStyle w:val="indexentry"/>
        </w:rPr>
        <w:fldChar w:fldCharType="begin"/>
      </w:r>
      <w:r>
        <w:instrText>xe "</w:instrText>
      </w:r>
      <w:r>
        <w:rPr>
          <w:rStyle w:val="xeentry"/>
        </w:rPr>
        <w:instrText>na'o</w:instrText>
      </w:r>
      <w:r>
        <w:instrText>"</w:instrText>
      </w:r>
      <w:r>
        <w:rPr>
          <w:rStyle w:val="indexentry"/>
        </w:rPr>
        <w:fldChar w:fldCharType="end"/>
      </w:r>
      <w:r>
        <w:rPr>
          <w:rStyle w:val="indexentry"/>
        </w:rPr>
        <w:t>&lt;lx "ta'e"&gt;</w:t>
      </w:r>
      <w:r>
        <w:rPr>
          <w:rStyle w:val="indexentry"/>
        </w:rPr>
        <w:fldChar w:fldCharType="begin"/>
      </w:r>
      <w:r>
        <w:instrText>xe "</w:instrText>
      </w:r>
      <w:r>
        <w:rPr>
          <w:rStyle w:val="xeentry"/>
        </w:rPr>
        <w:instrText>ta'e</w:instrText>
      </w:r>
      <w:r>
        <w:instrText>"</w:instrText>
      </w:r>
      <w:r>
        <w:rPr>
          <w:rStyle w:val="indexentry"/>
        </w:rPr>
        <w:fldChar w:fldCharType="end"/>
      </w:r>
      <w:r>
        <w:rPr>
          <w:rStyle w:val="indexentry"/>
        </w:rPr>
        <w:t>&lt;cx "interval spread, mutually contrasted"&gt;</w:t>
      </w:r>
      <w:r>
        <w:rPr>
          <w:rStyle w:val="indexentry"/>
        </w:rPr>
        <w:fldChar w:fldCharType="begin"/>
      </w:r>
      <w:r>
        <w:instrText>xe "</w:instrText>
      </w:r>
      <w:r>
        <w:rPr>
          <w:rStyle w:val="xeentry"/>
        </w:rPr>
        <w:instrText>interval spread: mutually contrasted</w:instrText>
      </w:r>
      <w:r>
        <w:instrText>"</w:instrText>
      </w:r>
      <w:r>
        <w:rPr>
          <w:rStyle w:val="indexentry"/>
        </w:rPr>
        <w:fldChar w:fldCharType="end"/>
      </w:r>
      <w:r>
        <w:t>The four TAhE cmavo are differentiated as follows: “ru'i” cov</w:t>
      </w:r>
      <w:r>
        <w:softHyphen/>
        <w:t>ers the</w:t>
      </w:r>
      <w:r>
        <w:rPr>
          <w:rStyle w:val="deletedparamark"/>
        </w:rPr>
        <w:t xml:space="preserve"> </w:t>
      </w:r>
      <w:r>
        <w:t>entirety of the interval, “di'i” covers the parts of the interval which are</w:t>
      </w:r>
      <w:r>
        <w:rPr>
          <w:rStyle w:val="deletedparamark"/>
        </w:rPr>
        <w:t xml:space="preserve"> </w:t>
      </w:r>
      <w:r>
        <w:t>systematically spaced subinte</w:t>
      </w:r>
      <w:r>
        <w:t>r</w:t>
      </w:r>
      <w:r>
        <w:softHyphen/>
        <w:t>vals; “na'o” covers part of the interval,</w:t>
      </w:r>
      <w:r>
        <w:rPr>
          <w:rStyle w:val="deletedparamark"/>
        </w:rPr>
        <w:t xml:space="preserve"> </w:t>
      </w:r>
      <w:r>
        <w:t>but exactly which part is determined by context; “ta'e” covers</w:t>
      </w:r>
      <w:r>
        <w:rPr>
          <w:rStyle w:val="deletedparamark"/>
        </w:rPr>
        <w:t xml:space="preserve"> </w:t>
      </w:r>
      <w:r>
        <w:t>part of the interval, selected with reference to the behavior of the</w:t>
      </w:r>
      <w:r>
        <w:rPr>
          <w:rStyle w:val="deletedparamark"/>
        </w:rPr>
        <w:t xml:space="preserve"> </w:t>
      </w:r>
      <w:r>
        <w:t>actor (who often, but not always, appears in the x1 place of the bridi).</w:t>
      </w:r>
    </w:p>
    <w:p w:rsidR="00B72047" w:rsidRDefault="00B72047">
      <w:pPr>
        <w:rPr>
          <w:rStyle w:val="htmlparacode"/>
        </w:rPr>
      </w:pPr>
      <w:r>
        <w:rPr>
          <w:rStyle w:val="htmlparacode"/>
        </w:rPr>
        <w:t>&lt;p&gt;</w:t>
      </w:r>
    </w:p>
    <w:p w:rsidR="00B72047" w:rsidRDefault="00B72047">
      <w:pPr>
        <w:pStyle w:val="normalparagraph"/>
      </w:pPr>
      <w:r>
        <w:rPr>
          <w:rStyle w:val="indexentry"/>
        </w:rPr>
        <w:t>&lt;cx "interval spread, with unspecified interval"&gt;</w:t>
      </w:r>
      <w:r>
        <w:rPr>
          <w:rStyle w:val="indexentry"/>
        </w:rPr>
        <w:fldChar w:fldCharType="begin"/>
      </w:r>
      <w:r>
        <w:instrText>xe "</w:instrText>
      </w:r>
      <w:r>
        <w:rPr>
          <w:rStyle w:val="xeentry"/>
        </w:rPr>
        <w:instrText>interval spread: with unspecified interval</w:instrText>
      </w:r>
      <w:r>
        <w:instrText>"</w:instrText>
      </w:r>
      <w:r>
        <w:rPr>
          <w:rStyle w:val="indexentry"/>
        </w:rPr>
        <w:fldChar w:fldCharType="end"/>
      </w:r>
      <w:r>
        <w:t>Using TAhE does not require being so specific. Either the time</w:t>
      </w:r>
      <w:r>
        <w:rPr>
          <w:rStyle w:val="deletedparamark"/>
        </w:rPr>
        <w:t xml:space="preserve"> </w:t>
      </w:r>
      <w:r>
        <w:t>direction or the time interval or both may be omitted (in which case they</w:t>
      </w:r>
      <w:r>
        <w:rPr>
          <w:rStyle w:val="deletedparamark"/>
        </w:rPr>
        <w:t xml:space="preserve"> </w:t>
      </w:r>
      <w:r>
        <w:t>are vague).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mi ba ta'e klama le zarci</w:t>
      </w:r>
    </w:p>
    <w:p w:rsidR="00B72047" w:rsidRDefault="00B72047">
      <w:pPr>
        <w:pStyle w:val="examplescaled"/>
      </w:pPr>
      <w:r>
        <w:tab/>
        <w:t>I [future] [habitually] go-to the market.</w:t>
      </w:r>
    </w:p>
    <w:p w:rsidR="00B72047" w:rsidRDefault="00B72047">
      <w:pPr>
        <w:pStyle w:val="examplescaled"/>
      </w:pPr>
      <w:r>
        <w:tab/>
        <w:t>I will habitually go to the market.</w:t>
      </w:r>
    </w:p>
    <w:p w:rsidR="00B72047" w:rsidRDefault="00B72047">
      <w:pPr>
        <w:pStyle w:val="examplescaled"/>
      </w:pPr>
      <w:r>
        <w:tab/>
        <w:t>I will make a habit of going to the market.</w:t>
      </w:r>
    </w:p>
    <w:p w:rsidR="00B72047" w:rsidRDefault="00B72047">
      <w:pPr>
        <w:pStyle w:val="resumedafterexample"/>
      </w:pPr>
      <w:r>
        <w:rPr>
          <w:rStyle w:val="htmlcodes"/>
        </w:rPr>
        <w:t>&lt;/pre&gt;</w:t>
      </w:r>
      <w:r>
        <w:t>specifies the future, but the duration of the interval is indefinite.</w:t>
      </w:r>
      <w:r>
        <w:rPr>
          <w:rStyle w:val="deletedparamark"/>
        </w:rPr>
        <w:t xml:space="preserve"> </w:t>
      </w:r>
      <w:r>
        <w:t>Simi</w:t>
      </w:r>
      <w:r>
        <w:softHyphen/>
        <w:t>larly,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mi na'o klama le zarci</w:t>
      </w:r>
    </w:p>
    <w:p w:rsidR="00B72047" w:rsidRDefault="00B72047">
      <w:pPr>
        <w:pStyle w:val="examplescaled"/>
      </w:pPr>
      <w:r>
        <w:tab/>
        <w:t>I [typically] go-to the market</w:t>
      </w:r>
    </w:p>
    <w:p w:rsidR="00B72047" w:rsidRDefault="00B72047">
      <w:pPr>
        <w:pStyle w:val="examplescaled"/>
      </w:pPr>
      <w:r>
        <w:tab/>
        <w:t>I typically go/went/will go to the market</w:t>
      </w:r>
    </w:p>
    <w:p w:rsidR="00B72047" w:rsidRDefault="00B72047">
      <w:pPr>
        <w:pStyle w:val="resumedafterexample"/>
      </w:pPr>
      <w:r>
        <w:rPr>
          <w:rStyle w:val="htmlcodes"/>
        </w:rPr>
        <w:t>&lt;/pre&gt;</w:t>
      </w:r>
      <w:r>
        <w:t>illustrates an interval property in isolation. There are no distance</w:t>
      </w:r>
      <w:r>
        <w:rPr>
          <w:rStyle w:val="deletedparamark"/>
        </w:rPr>
        <w:t xml:space="preserve"> </w:t>
      </w:r>
      <w:r>
        <w:t>or direction cmavo, so the point of time is vague; likewise, there is no</w:t>
      </w:r>
      <w:r>
        <w:rPr>
          <w:rStyle w:val="deletedparamark"/>
        </w:rPr>
        <w:t xml:space="preserve"> </w:t>
      </w:r>
      <w:r>
        <w:t>interval cmavo, so the length of the in</w:t>
      </w:r>
      <w:r>
        <w:softHyphen/>
        <w:t>terval during which these</w:t>
      </w:r>
      <w:r>
        <w:rPr>
          <w:rStyle w:val="deletedparamark"/>
        </w:rPr>
        <w:t xml:space="preserve"> </w:t>
      </w:r>
      <w:r>
        <w:t>go</w:t>
      </w:r>
      <w:r>
        <w:softHyphen/>
        <w:t>ings-to-the-market take place is also vague. As always, co</w:t>
      </w:r>
      <w:r>
        <w:t>n</w:t>
      </w:r>
      <w:r>
        <w:softHyphen/>
        <w:t>text will</w:t>
      </w:r>
      <w:r>
        <w:rPr>
          <w:rStyle w:val="deletedparamark"/>
        </w:rPr>
        <w:t xml:space="preserve"> </w:t>
      </w:r>
      <w:r>
        <w:t>determine these vague values.</w:t>
      </w:r>
    </w:p>
    <w:p w:rsidR="00B72047" w:rsidRDefault="00B72047">
      <w:pPr>
        <w:rPr>
          <w:rStyle w:val="htmlparacode"/>
        </w:rPr>
      </w:pPr>
      <w:r>
        <w:rPr>
          <w:rStyle w:val="htmlparacode"/>
        </w:rPr>
        <w:t>&lt;p&gt;</w:t>
      </w:r>
    </w:p>
    <w:p w:rsidR="00B72047" w:rsidRDefault="00B72047">
      <w:pPr>
        <w:pStyle w:val="normalparagraph"/>
      </w:pPr>
      <w:r>
        <w:rPr>
          <w:rStyle w:val="indexentry"/>
        </w:rPr>
        <w:t>&lt;ex "intermittently"&gt;</w:t>
      </w:r>
      <w:r>
        <w:rPr>
          <w:rStyle w:val="indexentry"/>
        </w:rPr>
        <w:fldChar w:fldCharType="begin"/>
      </w:r>
      <w:r>
        <w:instrText>xe "</w:instrText>
      </w:r>
      <w:r>
        <w:rPr>
          <w:rStyle w:val="xeentry"/>
        </w:rPr>
        <w:instrText>intermittently: example</w:instrText>
      </w:r>
      <w:r>
        <w:instrText>"</w:instrText>
      </w:r>
      <w:r>
        <w:rPr>
          <w:rStyle w:val="indexentry"/>
        </w:rPr>
        <w:fldChar w:fldCharType="end"/>
      </w:r>
      <w:r>
        <w:rPr>
          <w:rStyle w:val="indexentry"/>
        </w:rPr>
        <w:t>&lt;cx "interval spread, expressing “intermittently”"&gt;</w:t>
      </w:r>
      <w:r>
        <w:rPr>
          <w:rStyle w:val="indexentry"/>
        </w:rPr>
        <w:fldChar w:fldCharType="begin"/>
      </w:r>
      <w:r>
        <w:instrText>xe "</w:instrText>
      </w:r>
      <w:r>
        <w:rPr>
          <w:rStyle w:val="xeentry"/>
        </w:rPr>
        <w:instrText>interval spread: expressing English intermittently</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w:t>
      </w:r>
      <w:r>
        <w:t>“Intermittently” is the polar opposite notion to “continuously”, and is</w:t>
      </w:r>
      <w:r>
        <w:rPr>
          <w:rStyle w:val="deletedparamark"/>
        </w:rPr>
        <w:t xml:space="preserve"> </w:t>
      </w:r>
      <w:r>
        <w:t>expressed not with its own cmavo, but by adding the negation suffix “-nai”</w:t>
      </w:r>
      <w:r>
        <w:rPr>
          <w:rStyle w:val="deletedparamark"/>
        </w:rPr>
        <w:t xml:space="preserve"> </w:t>
      </w:r>
      <w:r>
        <w:t>(which belongs to selma'o NAI) to “ru'i”.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le verba ru'inai cadzu le bisli</w:t>
      </w:r>
    </w:p>
    <w:p w:rsidR="00B72047" w:rsidRDefault="00B72047">
      <w:pPr>
        <w:pStyle w:val="examplescaled"/>
      </w:pPr>
      <w:r>
        <w:tab/>
        <w:t>The child [continuously-not] walks-on the ice.</w:t>
      </w:r>
    </w:p>
    <w:p w:rsidR="00B72047" w:rsidRDefault="00B72047">
      <w:pPr>
        <w:pStyle w:val="examplescaled"/>
      </w:pPr>
      <w:r>
        <w:tab/>
        <w:t>The child intermittently walks on the ice.</w:t>
      </w:r>
    </w:p>
    <w:p w:rsidR="00B72047" w:rsidRDefault="00B72047">
      <w:pPr>
        <w:pStyle w:val="normalafterexample"/>
      </w:pPr>
      <w:r>
        <w:rPr>
          <w:rStyle w:val="htmlcodes"/>
        </w:rPr>
        <w:t>&lt;/pre&gt;</w:t>
      </w:r>
      <w:r>
        <w:rPr>
          <w:rStyle w:val="indexentry"/>
        </w:rPr>
        <w:t>&lt;cx "interval spread, negation with nai"&gt;</w:t>
      </w:r>
      <w:r>
        <w:rPr>
          <w:rStyle w:val="indexentry"/>
        </w:rPr>
        <w:fldChar w:fldCharType="begin"/>
      </w:r>
      <w:r>
        <w:instrText>xe "</w:instrText>
      </w:r>
      <w:r>
        <w:rPr>
          <w:rStyle w:val="xeentry"/>
        </w:rPr>
        <w:instrText>interval spread: negation with nai</w:instrText>
      </w:r>
      <w:r>
        <w:instrText>"</w:instrText>
      </w:r>
      <w:r>
        <w:rPr>
          <w:rStyle w:val="indexentry"/>
        </w:rPr>
        <w:fldChar w:fldCharType="end"/>
      </w:r>
      <w:r>
        <w:t>As shown in the cmavo table above, all the cmavo of TAhE may be negated</w:t>
      </w:r>
      <w:r>
        <w:rPr>
          <w:rStyle w:val="deletedparamark"/>
        </w:rPr>
        <w:t xml:space="preserve"> </w:t>
      </w:r>
      <w:r>
        <w:t>with “-nai”; “ru'inai” and “di'inai” are probably the most useful.</w:t>
      </w:r>
    </w:p>
    <w:p w:rsidR="00B72047" w:rsidRDefault="00B72047">
      <w:pPr>
        <w:rPr>
          <w:rStyle w:val="htmlparacode"/>
        </w:rPr>
      </w:pPr>
      <w:r>
        <w:rPr>
          <w:rStyle w:val="htmlparacode"/>
        </w:rPr>
        <w:t>&lt;p&gt;</w:t>
      </w:r>
    </w:p>
    <w:p w:rsidR="00B72047" w:rsidRDefault="00B72047">
      <w:pPr>
        <w:pStyle w:val="normalparagraph"/>
      </w:pPr>
      <w:r>
        <w:rPr>
          <w:rStyle w:val="indexentry"/>
        </w:rPr>
        <w:t>&lt;cx "quantified temporal tense, definition"&gt;</w:t>
      </w:r>
      <w:r>
        <w:rPr>
          <w:rStyle w:val="indexentry"/>
        </w:rPr>
        <w:fldChar w:fldCharType="begin"/>
      </w:r>
      <w:r>
        <w:instrText>xe "</w:instrText>
      </w:r>
      <w:r>
        <w:rPr>
          <w:rStyle w:val="xeentry"/>
        </w:rPr>
        <w:instrText>quantified temporal tense: definition</w:instrText>
      </w:r>
      <w:r>
        <w:instrText>"</w:instrText>
      </w:r>
      <w:r>
        <w:rPr>
          <w:rStyle w:val="indexentry"/>
        </w:rPr>
        <w:fldChar w:fldCharType="end"/>
      </w:r>
      <w:r>
        <w:rPr>
          <w:rStyle w:val="indexentry"/>
        </w:rPr>
        <w:t>&lt;cx "tense, quantified"&gt;</w:t>
      </w:r>
      <w:r>
        <w:rPr>
          <w:rStyle w:val="indexentry"/>
        </w:rPr>
        <w:fldChar w:fldCharType="begin"/>
      </w:r>
      <w:r>
        <w:instrText>xe "</w:instrText>
      </w:r>
      <w:r>
        <w:rPr>
          <w:rStyle w:val="xeentry"/>
        </w:rPr>
        <w:instrText>tense: quantified</w:instrText>
      </w:r>
      <w:r>
        <w:instrText>"</w:instrText>
      </w:r>
      <w:r>
        <w:rPr>
          <w:rStyle w:val="indexentry"/>
        </w:rPr>
        <w:fldChar w:fldCharType="end"/>
      </w:r>
      <w:r>
        <w:rPr>
          <w:rStyle w:val="indexentry"/>
        </w:rPr>
        <w:t>&lt;ex "once"&gt;</w:t>
      </w:r>
      <w:r>
        <w:rPr>
          <w:rStyle w:val="indexentry"/>
        </w:rPr>
        <w:fldChar w:fldCharType="begin"/>
      </w:r>
      <w:r>
        <w:instrText>xe "</w:instrText>
      </w:r>
      <w:r>
        <w:rPr>
          <w:rStyle w:val="xeentry"/>
        </w:rPr>
        <w:instrText>once: example</w:instrText>
      </w:r>
      <w:r>
        <w:instrText>"</w:instrText>
      </w:r>
      <w:r>
        <w:rPr>
          <w:rStyle w:val="indexentry"/>
        </w:rPr>
        <w:fldChar w:fldCharType="end"/>
      </w:r>
      <w:r>
        <w:rPr>
          <w:rStyle w:val="indexentry"/>
        </w:rPr>
        <w:t>&lt;lx "roi"&gt;</w:t>
      </w:r>
      <w:r>
        <w:rPr>
          <w:rStyle w:val="indexentry"/>
        </w:rPr>
        <w:fldChar w:fldCharType="begin"/>
      </w:r>
      <w:r>
        <w:instrText>xe "</w:instrText>
      </w:r>
      <w:r>
        <w:rPr>
          <w:rStyle w:val="xeentry"/>
        </w:rPr>
        <w:instrText>roi</w:instrText>
      </w:r>
      <w:r>
        <w:instrText>"</w:instrText>
      </w:r>
      <w:r>
        <w:rPr>
          <w:rStyle w:val="indexentry"/>
        </w:rPr>
        <w:fldChar w:fldCharType="end"/>
      </w:r>
      <w:r>
        <w:rPr>
          <w:rStyle w:val="indexentry"/>
        </w:rPr>
        <w:t>&lt;lx "ROI"&gt;</w:t>
      </w:r>
      <w:r>
        <w:rPr>
          <w:rStyle w:val="indexentry"/>
        </w:rPr>
        <w:fldChar w:fldCharType="begin"/>
      </w:r>
      <w:r>
        <w:instrText>xe "</w:instrText>
      </w:r>
      <w:r>
        <w:rPr>
          <w:rStyle w:val="xeentry"/>
        </w:rPr>
        <w:instrText>ROI selma’o</w:instrText>
      </w:r>
      <w:r>
        <w:instrText>"</w:instrText>
      </w:r>
      <w:r>
        <w:rPr>
          <w:rStyle w:val="indexentry"/>
        </w:rPr>
        <w:fldChar w:fldCharType="end"/>
      </w:r>
      <w:r>
        <w:t>An intermittent event can also be specified by counting the number of times</w:t>
      </w:r>
      <w:r>
        <w:rPr>
          <w:rStyle w:val="deletedparamark"/>
        </w:rPr>
        <w:t xml:space="preserve"> </w:t>
      </w:r>
      <w:r>
        <w:t>during the interval that it takes place. The cmavo “roi” (which belongs to</w:t>
      </w:r>
      <w:r>
        <w:rPr>
          <w:rStyle w:val="deletedparamark"/>
        </w:rPr>
        <w:t xml:space="preserve"> </w:t>
      </w:r>
      <w:r>
        <w:t>selma'o ROI) can be appended to a number to make a quantified tense.</w:t>
      </w:r>
      <w:r>
        <w:rPr>
          <w:rStyle w:val="deletedparamark"/>
        </w:rPr>
        <w:t xml:space="preserve"> </w:t>
      </w:r>
      <w:r>
        <w:t>Quantified tenses are common in En</w:t>
      </w:r>
      <w:r>
        <w:t>g</w:t>
      </w:r>
      <w:r>
        <w:softHyphen/>
        <w:t>lish, but not so commonly named: they are</w:t>
      </w:r>
      <w:r>
        <w:rPr>
          <w:rStyle w:val="deletedparamark"/>
        </w:rPr>
        <w:t xml:space="preserve"> </w:t>
      </w:r>
      <w:r>
        <w:t>exemplified by the adverbs “never”, “once”, “twice”, “thrice”, </w:t>
      </w:r>
      <w:r>
        <w:rPr>
          <w:rStyle w:val="htmlcodes"/>
        </w:rPr>
        <w:t>&lt;dots&gt;</w:t>
      </w:r>
      <w:r>
        <w:t>…</w:t>
      </w:r>
      <w:r>
        <w:rPr>
          <w:rStyle w:val="htmlcodes"/>
        </w:rPr>
        <w:t>&lt;/dots&gt;</w:t>
      </w:r>
      <w:r>
        <w:t>“always”,</w:t>
      </w:r>
      <w:r>
        <w:rPr>
          <w:rStyle w:val="deletedparamark"/>
        </w:rPr>
        <w:t xml:space="preserve"> </w:t>
      </w:r>
      <w:r>
        <w:t>and by the related phrases “many times”, “a few times”, “too many times”, and</w:t>
      </w:r>
      <w:r>
        <w:rPr>
          <w:rStyle w:val="deletedparamark"/>
        </w:rPr>
        <w:t xml:space="preserve"> </w:t>
      </w:r>
      <w:r>
        <w:t>so on. All of these are handled in Lojban by a number plus “-roi”:</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name=e9d6&gt;</w:t>
      </w:r>
      <w:r>
        <w:t>9.6)</w:t>
      </w:r>
      <w:r>
        <w:tab/>
        <w:t>mi paroi klama le zarci</w:t>
      </w:r>
    </w:p>
    <w:p w:rsidR="00B72047" w:rsidRDefault="00B72047">
      <w:pPr>
        <w:pStyle w:val="examplescaled"/>
      </w:pPr>
      <w:r>
        <w:tab/>
        <w:t>I [one time] go-to the market.</w:t>
      </w:r>
    </w:p>
    <w:p w:rsidR="00B72047" w:rsidRDefault="00B72047">
      <w:pPr>
        <w:pStyle w:val="examplescaled"/>
      </w:pPr>
      <w:r>
        <w:tab/>
        <w:t>I go to the market once.</w:t>
      </w:r>
    </w:p>
    <w:p w:rsidR="00B72047" w:rsidRDefault="00B72047">
      <w:pPr>
        <w:pStyle w:val="examplescaledpre"/>
      </w:pPr>
      <w:r>
        <w:rPr>
          <w:rStyle w:val="htmlcodes"/>
        </w:rPr>
        <w:t>&lt;a name=e9d7&gt;</w:t>
      </w:r>
      <w:r>
        <w:t>9.7)</w:t>
      </w:r>
      <w:r>
        <w:tab/>
        <w:t>mi du'eroi klama le zarci</w:t>
      </w:r>
    </w:p>
    <w:p w:rsidR="00B72047" w:rsidRDefault="00B72047">
      <w:pPr>
        <w:pStyle w:val="examplescaled"/>
      </w:pPr>
      <w:r>
        <w:tab/>
        <w:t>I [too-many times] go-to the market.</w:t>
      </w:r>
    </w:p>
    <w:p w:rsidR="00B72047" w:rsidRDefault="00B72047">
      <w:pPr>
        <w:pStyle w:val="examplescaled"/>
      </w:pPr>
      <w:r>
        <w:tab/>
        <w:t>I go to the market too often.</w:t>
      </w:r>
    </w:p>
    <w:p w:rsidR="00B72047" w:rsidRDefault="00B72047">
      <w:pPr>
        <w:pStyle w:val="normalafterexample"/>
      </w:pPr>
      <w:r>
        <w:rPr>
          <w:rStyle w:val="htmlcodes"/>
        </w:rPr>
        <w:t>&lt;/pre&gt;</w:t>
      </w:r>
      <w:r>
        <w:rPr>
          <w:rStyle w:val="indexentry"/>
        </w:rPr>
        <w:t>&lt;cx "temporal tense, quantified with direction"&gt;</w:t>
      </w:r>
      <w:r>
        <w:rPr>
          <w:rStyle w:val="indexentry"/>
        </w:rPr>
        <w:fldChar w:fldCharType="begin"/>
      </w:r>
      <w:r>
        <w:instrText>xe "</w:instrText>
      </w:r>
      <w:r>
        <w:rPr>
          <w:rStyle w:val="xeentry"/>
        </w:rPr>
        <w:instrText>temporal tense: quantified with direction</w:instrText>
      </w:r>
      <w:r>
        <w:instrText>"</w:instrText>
      </w:r>
      <w:r>
        <w:rPr>
          <w:rStyle w:val="indexentry"/>
        </w:rPr>
        <w:fldChar w:fldCharType="end"/>
      </w:r>
      <w:r>
        <w:t>With the quantified tense alone, we don't know whether the past, the</w:t>
      </w:r>
      <w:r>
        <w:rPr>
          <w:rStyle w:val="deletedparamark"/>
        </w:rPr>
        <w:t xml:space="preserve"> </w:t>
      </w:r>
      <w:r>
        <w:t>present, or the future is intended, but of course the quanti</w:t>
      </w:r>
      <w:r>
        <w:softHyphen/>
        <w:t>fied tense</w:t>
      </w:r>
      <w:r>
        <w:rPr>
          <w:rStyle w:val="deletedparamark"/>
        </w:rPr>
        <w:t xml:space="preserve"> </w:t>
      </w:r>
      <w:r>
        <w:t>need not stand alone: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name=e9d8&gt;</w:t>
      </w:r>
      <w:r>
        <w:t>9.8)</w:t>
      </w:r>
      <w:r>
        <w:tab/>
        <w:t>mi pu reroi klama le zarci</w:t>
      </w:r>
    </w:p>
    <w:p w:rsidR="00B72047" w:rsidRDefault="00B72047">
      <w:pPr>
        <w:pStyle w:val="examplescaled"/>
      </w:pPr>
      <w:r>
        <w:tab/>
        <w:t>I [past] [two times] go-to the market.</w:t>
      </w:r>
    </w:p>
    <w:p w:rsidR="00B72047" w:rsidRDefault="00B72047">
      <w:pPr>
        <w:pStyle w:val="examplescaled"/>
      </w:pPr>
      <w:r>
        <w:tab/>
        <w:t>I went to the market twice.</w:t>
      </w:r>
    </w:p>
    <w:p w:rsidR="00B72047" w:rsidRDefault="00B72047">
      <w:pPr>
        <w:pStyle w:val="resumedafterexample"/>
      </w:pPr>
      <w:r>
        <w:rPr>
          <w:rStyle w:val="htmlcodes"/>
        </w:rPr>
        <w:t>&lt;/pre&gt;</w:t>
      </w:r>
      <w:r>
        <w:rPr>
          <w:rStyle w:val="indexentry"/>
        </w:rPr>
        <w:t>&lt;cx "quantified temporal tense with direction, Lojban contrasted with English in implications"&gt;</w:t>
      </w:r>
      <w:r>
        <w:rPr>
          <w:rStyle w:val="indexentry"/>
        </w:rPr>
        <w:fldChar w:fldCharType="begin"/>
      </w:r>
      <w:r>
        <w:instrText>xe "</w:instrText>
      </w:r>
      <w:r>
        <w:rPr>
          <w:rStyle w:val="xeentry"/>
        </w:rPr>
        <w:instrText>quantified temporal tense with direction: Lojban contrasted with English in implications</w:instrText>
      </w:r>
      <w:r>
        <w:instrText>"</w:instrText>
      </w:r>
      <w:r>
        <w:rPr>
          <w:rStyle w:val="indexentry"/>
        </w:rPr>
        <w:fldChar w:fldCharType="end"/>
      </w:r>
      <w:r>
        <w:t>The English is slightly over-specific here: it entails that both goings-to-</w:t>
      </w:r>
      <w:r>
        <w:rPr>
          <w:rStyle w:val="deletedparamark"/>
        </w:rPr>
        <w:t xml:space="preserve"> </w:t>
      </w:r>
      <w:r>
        <w:t>the-market were in the past, which may or may not be true in the Lojban</w:t>
      </w:r>
      <w:r>
        <w:rPr>
          <w:rStyle w:val="deletedparamark"/>
        </w:rPr>
        <w:t xml:space="preserve"> </w:t>
      </w:r>
      <w:r>
        <w:t>sentence, since the im</w:t>
      </w:r>
      <w:r>
        <w:softHyphen/>
        <w:t>plied inte</w:t>
      </w:r>
      <w:r>
        <w:t>r</w:t>
      </w:r>
      <w:r>
        <w:softHyphen/>
        <w:t>val is vague. Therefore, the interval may</w:t>
      </w:r>
      <w:r>
        <w:rPr>
          <w:rStyle w:val="deletedparamark"/>
        </w:rPr>
        <w:t xml:space="preserve"> </w:t>
      </w:r>
      <w:r>
        <w:t>start in the past but extend into the present or even the future.</w:t>
      </w:r>
    </w:p>
    <w:p w:rsidR="00B72047" w:rsidRDefault="00B72047">
      <w:pPr>
        <w:rPr>
          <w:rStyle w:val="htmlparacode"/>
        </w:rPr>
      </w:pPr>
      <w:r>
        <w:rPr>
          <w:rStyle w:val="htmlparacode"/>
        </w:rPr>
        <w:t>&lt;p&gt;</w:t>
      </w:r>
    </w:p>
    <w:p w:rsidR="00B72047" w:rsidRDefault="00B72047">
      <w:pPr>
        <w:pStyle w:val="normalparagraph"/>
      </w:pPr>
      <w:r>
        <w:rPr>
          <w:rStyle w:val="indexentry"/>
        </w:rPr>
        <w:t>&lt;cx "quantified temporal tense, negating with nai"&gt;</w:t>
      </w:r>
      <w:r>
        <w:rPr>
          <w:rStyle w:val="indexentry"/>
        </w:rPr>
        <w:fldChar w:fldCharType="begin"/>
      </w:r>
      <w:r>
        <w:instrText>xe "</w:instrText>
      </w:r>
      <w:r>
        <w:rPr>
          <w:rStyle w:val="xeentry"/>
        </w:rPr>
        <w:instrText>quantified temporal tense: negating with nai</w:instrText>
      </w:r>
      <w:r>
        <w:instrText>"</w:instrText>
      </w:r>
      <w:r>
        <w:rPr>
          <w:rStyle w:val="indexentry"/>
        </w:rPr>
        <w:fldChar w:fldCharType="end"/>
      </w:r>
      <w:r>
        <w:t>Adding “-nai” to “roi” is also permitted, and has the meaning “other than</w:t>
      </w:r>
      <w:r>
        <w:rPr>
          <w:rStyle w:val="deletedparamark"/>
        </w:rPr>
        <w:t xml:space="preserve"> </w:t>
      </w:r>
      <w:r>
        <w:t>(the nu</w:t>
      </w:r>
      <w:r>
        <w:t>m</w:t>
      </w:r>
      <w:r>
        <w:softHyphen/>
        <w:t>ber specified)”:</w:t>
      </w:r>
    </w:p>
    <w:p w:rsidR="00B72047" w:rsidRDefault="00B72047">
      <w:pPr>
        <w:rPr>
          <w:rStyle w:val="htmlparacode"/>
        </w:rPr>
      </w:pPr>
      <w:r>
        <w:rPr>
          <w:rStyle w:val="htmlparacode"/>
        </w:rPr>
        <w:t>&lt;p&gt;</w:t>
      </w:r>
    </w:p>
    <w:p w:rsidR="00B72047" w:rsidRDefault="00B72047">
      <w:pPr>
        <w:pStyle w:val="examplescaledpre"/>
      </w:pPr>
      <w:r>
        <w:rPr>
          <w:rStyle w:val="indexentry"/>
        </w:rPr>
        <w:t>&lt;ex "rat eats cheese"&gt;</w:t>
      </w:r>
      <w:r>
        <w:rPr>
          <w:rStyle w:val="indexentry"/>
        </w:rPr>
        <w:fldChar w:fldCharType="begin"/>
      </w:r>
      <w:r>
        <w:instrText>xe "</w:instrText>
      </w:r>
      <w:r>
        <w:rPr>
          <w:rStyle w:val="xeentry"/>
        </w:rPr>
        <w:instrText>rat eats cheese: example</w:instrText>
      </w:r>
      <w:r>
        <w:instrText>"</w:instrText>
      </w:r>
      <w:r>
        <w:rPr>
          <w:rStyle w:val="indexentry"/>
        </w:rPr>
        <w:fldChar w:fldCharType="end"/>
      </w:r>
      <w:r>
        <w:rPr>
          <w:rStyle w:val="htmlcodes"/>
        </w:rPr>
        <w:t>&lt;pre&gt;&lt;a name=e9d9&gt;</w:t>
      </w:r>
      <w:r>
        <w:t>9.9)</w:t>
      </w:r>
      <w:r>
        <w:tab/>
        <w:t>le ratcu reroinai citka le cirli</w:t>
      </w:r>
    </w:p>
    <w:p w:rsidR="00B72047" w:rsidRDefault="00B72047">
      <w:pPr>
        <w:pStyle w:val="examplescaled"/>
      </w:pPr>
      <w:r>
        <w:tab/>
        <w:t>The rat [twice-not] eats the cheese.</w:t>
      </w:r>
    </w:p>
    <w:p w:rsidR="00B72047" w:rsidRDefault="00B72047">
      <w:pPr>
        <w:pStyle w:val="examplescaled"/>
      </w:pPr>
      <w:r>
        <w:tab/>
        <w:t>The rat eats the cheese other than twice</w:t>
      </w:r>
    </w:p>
    <w:p w:rsidR="00B72047" w:rsidRDefault="00B72047">
      <w:pPr>
        <w:pStyle w:val="resumedafterexample"/>
      </w:pPr>
      <w:r>
        <w:rPr>
          <w:rStyle w:val="htmlcodes"/>
        </w:rPr>
        <w:t>&lt;/pre&gt;&lt;p&gt;</w:t>
      </w:r>
      <w:r>
        <w:t>This may mean that the rat eats the cheese fewer times, or more times, or not</w:t>
      </w:r>
      <w:r>
        <w:rPr>
          <w:rStyle w:val="deletedparamark"/>
        </w:rPr>
        <w:t xml:space="preserve"> </w:t>
      </w:r>
      <w:r>
        <w:t>at all.</w:t>
      </w:r>
    </w:p>
    <w:p w:rsidR="00B72047" w:rsidRDefault="00B72047">
      <w:pPr>
        <w:rPr>
          <w:rStyle w:val="htmlparacode"/>
        </w:rPr>
      </w:pPr>
      <w:r>
        <w:rPr>
          <w:rStyle w:val="htmlparacode"/>
        </w:rPr>
        <w:t>&lt;p&gt;</w:t>
      </w:r>
    </w:p>
    <w:p w:rsidR="00B72047" w:rsidRDefault="00B72047">
      <w:pPr>
        <w:pStyle w:val="normalparagraph"/>
      </w:pPr>
      <w:r>
        <w:rPr>
          <w:rStyle w:val="indexentry"/>
        </w:rPr>
        <w:t>&lt;ex "only once"&gt;</w:t>
      </w:r>
      <w:r>
        <w:rPr>
          <w:rStyle w:val="indexentry"/>
        </w:rPr>
        <w:fldChar w:fldCharType="begin"/>
      </w:r>
      <w:r>
        <w:instrText>xe "</w:instrText>
      </w:r>
      <w:r>
        <w:rPr>
          <w:rStyle w:val="xeentry"/>
        </w:rPr>
        <w:instrText>only once: example</w:instrText>
      </w:r>
      <w:r>
        <w:instrText>"</w:instrText>
      </w:r>
      <w:r>
        <w:rPr>
          <w:rStyle w:val="indexentry"/>
        </w:rPr>
        <w:fldChar w:fldCharType="end"/>
      </w:r>
      <w:r>
        <w:rPr>
          <w:rStyle w:val="indexentry"/>
        </w:rPr>
        <w:t>&lt;cx "quantified temporal tenses, caveat on implication of"&gt;</w:t>
      </w:r>
      <w:r>
        <w:rPr>
          <w:rStyle w:val="indexentry"/>
        </w:rPr>
        <w:fldChar w:fldCharType="begin"/>
      </w:r>
      <w:r>
        <w:instrText>xe "</w:instrText>
      </w:r>
      <w:r>
        <w:rPr>
          <w:rStyle w:val="xeentry"/>
        </w:rPr>
        <w:instrText>quantified temporal tenses: caveat on implication of</w:instrText>
      </w:r>
      <w:r>
        <w:instrText>"</w:instrText>
      </w:r>
      <w:r>
        <w:rPr>
          <w:rStyle w:val="indexentry"/>
        </w:rPr>
        <w:fldChar w:fldCharType="end"/>
      </w:r>
      <w:r>
        <w:rPr>
          <w:rStyle w:val="indexentry"/>
        </w:rPr>
        <w:t>&lt;cx "quantified temporal tenses, “once” contrasted with “only once”"&gt;</w:t>
      </w:r>
      <w:r>
        <w:rPr>
          <w:rStyle w:val="indexentry"/>
        </w:rPr>
        <w:fldChar w:fldCharType="begin"/>
      </w:r>
      <w:r>
        <w:instrText>xe "</w:instrText>
      </w:r>
      <w:r>
        <w:rPr>
          <w:rStyle w:val="xeentry"/>
        </w:rPr>
        <w:instrText>quantified temporal tenses: once contrasted with only once</w:instrText>
      </w:r>
      <w:r>
        <w:instrText>"</w:instrText>
      </w:r>
      <w:r>
        <w:rPr>
          <w:rStyle w:val="indexentry"/>
        </w:rPr>
        <w:fldChar w:fldCharType="end"/>
      </w:r>
      <w:r>
        <w:rPr>
          <w:rStyle w:val="indexentry"/>
        </w:rPr>
        <w:t>&lt;lx "ze'e"&gt;</w:t>
      </w:r>
      <w:r>
        <w:rPr>
          <w:rStyle w:val="indexentry"/>
        </w:rPr>
        <w:fldChar w:fldCharType="begin"/>
      </w:r>
      <w:r>
        <w:instrText>xe "</w:instrText>
      </w:r>
      <w:r>
        <w:rPr>
          <w:rStyle w:val="xeentry"/>
        </w:rPr>
        <w:instrText>ze'e</w:instrText>
      </w:r>
      <w:r>
        <w:instrText>"</w:instrText>
      </w:r>
      <w:r>
        <w:rPr>
          <w:rStyle w:val="indexentry"/>
        </w:rPr>
        <w:fldChar w:fldCharType="end"/>
      </w:r>
      <w:r>
        <w:rPr>
          <w:rStyle w:val="indexentry"/>
        </w:rPr>
        <w:t>&lt;cx "whole time interval, expressing"&gt;</w:t>
      </w:r>
      <w:r>
        <w:rPr>
          <w:rStyle w:val="indexentry"/>
        </w:rPr>
        <w:fldChar w:fldCharType="begin"/>
      </w:r>
      <w:r>
        <w:instrText>xe "</w:instrText>
      </w:r>
      <w:r>
        <w:rPr>
          <w:rStyle w:val="xeentry"/>
        </w:rPr>
        <w:instrText>whole time interval: expressing</w:instrText>
      </w:r>
      <w:r>
        <w:instrText>"</w:instrText>
      </w:r>
      <w:r>
        <w:rPr>
          <w:rStyle w:val="indexentry"/>
        </w:rPr>
        <w:fldChar w:fldCharType="end"/>
      </w:r>
      <w:r>
        <w:t xml:space="preserve">It is necessary to be careful with sentences like </w:t>
      </w:r>
      <w:r>
        <w:rPr>
          <w:rStyle w:val="htmlcodes"/>
        </w:rPr>
        <w:t>&lt;a href=#e9d6&gt;</w:t>
      </w:r>
      <w:r>
        <w:t xml:space="preserve">Example 9.6 </w:t>
      </w:r>
      <w:r>
        <w:rPr>
          <w:rStyle w:val="htmlcodes"/>
        </w:rPr>
        <w:t>&lt;/a&gt;</w:t>
      </w:r>
      <w:r>
        <w:t xml:space="preserve">and </w:t>
      </w:r>
      <w:r>
        <w:rPr>
          <w:rStyle w:val="htmlcodes"/>
        </w:rPr>
        <w:t>&lt;a href=#e9d8&gt;</w:t>
      </w:r>
      <w:r>
        <w:t>Example 9.8</w:t>
      </w:r>
      <w:r>
        <w:rPr>
          <w:rStyle w:val="htmlcodes"/>
        </w:rPr>
        <w:t>&lt;/a&gt;</w:t>
      </w:r>
      <w:r>
        <w:t>,</w:t>
      </w:r>
      <w:r>
        <w:rPr>
          <w:rStyle w:val="deletedparamark"/>
        </w:rPr>
        <w:t xml:space="preserve"> </w:t>
      </w:r>
      <w:r>
        <w:t>where a quantified tense appears without an inter</w:t>
      </w:r>
      <w:r>
        <w:softHyphen/>
        <w:t xml:space="preserve">val. What </w:t>
      </w:r>
      <w:r>
        <w:rPr>
          <w:rStyle w:val="htmlcodes"/>
        </w:rPr>
        <w:t>&lt;a href=#e9d8&gt;</w:t>
      </w:r>
      <w:r>
        <w:t xml:space="preserve">Example 9.8 </w:t>
      </w:r>
      <w:r>
        <w:rPr>
          <w:rStyle w:val="htmlcodes"/>
        </w:rPr>
        <w:t>&lt;/a&gt;</w:t>
      </w:r>
      <w:r>
        <w:t>really says is that du</w:t>
      </w:r>
      <w:r>
        <w:t>r</w:t>
      </w:r>
      <w:r>
        <w:softHyphen/>
        <w:t>ing an interval of un</w:t>
      </w:r>
      <w:r>
        <w:softHyphen/>
        <w:t>specified size, at least part of</w:t>
      </w:r>
      <w:r>
        <w:rPr>
          <w:rStyle w:val="deletedparamark"/>
        </w:rPr>
        <w:t xml:space="preserve"> </w:t>
      </w:r>
      <w:r>
        <w:t>which was set in the past, the event of my going to the market happened twice.</w:t>
      </w:r>
      <w:r>
        <w:rPr>
          <w:rStyle w:val="deletedparamark"/>
        </w:rPr>
        <w:t xml:space="preserve"> </w:t>
      </w:r>
      <w:r>
        <w:t>The example says nothing about what happened outside that vague time interval.</w:t>
      </w:r>
      <w:r>
        <w:rPr>
          <w:rStyle w:val="deletedparamark"/>
        </w:rPr>
        <w:t xml:space="preserve"> </w:t>
      </w:r>
      <w:r>
        <w:t>This is often less than we mean. If we want to nail down that I went to the</w:t>
      </w:r>
      <w:r>
        <w:rPr>
          <w:rStyle w:val="deletedparamark"/>
        </w:rPr>
        <w:t xml:space="preserve"> </w:t>
      </w:r>
      <w:r>
        <w:t>market once and only once, we can use the cmavo “ze'e” which repr</w:t>
      </w:r>
      <w:r>
        <w:t>e</w:t>
      </w:r>
      <w:r>
        <w:softHyphen/>
        <w:t>sents the</w:t>
      </w:r>
      <w:r>
        <w:rPr>
          <w:rStyle w:val="deletedparamark"/>
        </w:rPr>
        <w:t xml:space="preserve"> “</w:t>
      </w:r>
      <w:r>
        <w:t>whole time interval”: conceptually, an interval which stretches from time's</w:t>
      </w:r>
      <w:r>
        <w:rPr>
          <w:rStyle w:val="deletedparamark"/>
        </w:rPr>
        <w:t xml:space="preserve"> </w:t>
      </w:r>
      <w:r>
        <w:t>b</w:t>
      </w:r>
      <w:r>
        <w:t>e</w:t>
      </w:r>
      <w:r>
        <w:softHyphen/>
        <w:t>ginning to its end: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name=e9d10&gt;</w:t>
      </w:r>
      <w:r>
        <w:t>9.10)</w:t>
      </w:r>
      <w:r>
        <w:tab/>
        <w:t>mi ze'e paroi klama le zarci</w:t>
      </w:r>
    </w:p>
    <w:p w:rsidR="00B72047" w:rsidRDefault="00B72047">
      <w:pPr>
        <w:pStyle w:val="examplescaled"/>
      </w:pPr>
      <w:r>
        <w:tab/>
        <w:t>I [whole interval] [once] go-to the market.</w:t>
      </w:r>
    </w:p>
    <w:p w:rsidR="00B72047" w:rsidRDefault="00B72047">
      <w:pPr>
        <w:pStyle w:val="resumedafterexample"/>
      </w:pPr>
      <w:r>
        <w:rPr>
          <w:rStyle w:val="htmlcodes"/>
        </w:rPr>
        <w:t>&lt;/pre&gt;&lt;p&gt;</w:t>
      </w:r>
      <w:r>
        <w:t xml:space="preserve">Since specifying no ZEhA leaves the interval vague, </w:t>
      </w:r>
      <w:r>
        <w:rPr>
          <w:rStyle w:val="htmlcodes"/>
        </w:rPr>
        <w:t>&lt;a href=#e9d8&gt;</w:t>
      </w:r>
      <w:r>
        <w:t xml:space="preserve">Example 9.8 </w:t>
      </w:r>
      <w:r>
        <w:rPr>
          <w:rStyle w:val="htmlcodes"/>
        </w:rPr>
        <w:t>&lt;/a&gt;</w:t>
      </w:r>
      <w:r>
        <w:t>might in</w:t>
      </w:r>
      <w:r>
        <w:rPr>
          <w:rStyle w:val="deletedparamark"/>
        </w:rPr>
        <w:t xml:space="preserve"> </w:t>
      </w:r>
      <w:r>
        <w:t xml:space="preserve">appropriate context mean the same as </w:t>
      </w:r>
      <w:r>
        <w:rPr>
          <w:rStyle w:val="htmlcodes"/>
        </w:rPr>
        <w:t>&lt;a href=#e9d10&gt;</w:t>
      </w:r>
      <w:r>
        <w:t xml:space="preserve">Example 9.10 </w:t>
      </w:r>
      <w:r>
        <w:rPr>
          <w:rStyle w:val="htmlcodes"/>
        </w:rPr>
        <w:t>&lt;/a&gt;</w:t>
      </w:r>
      <w:r>
        <w:t>after all — but</w:t>
      </w:r>
      <w:r>
        <w:rPr>
          <w:rStyle w:val="deletedparamark"/>
        </w:rPr>
        <w:t xml:space="preserve"> </w:t>
      </w:r>
      <w:r>
        <w:rPr>
          <w:rStyle w:val="htmlcodes"/>
        </w:rPr>
        <w:t>&lt;a href=#e9d10&gt;</w:t>
      </w:r>
      <w:r>
        <w:t xml:space="preserve">Example 9.10 </w:t>
      </w:r>
      <w:r>
        <w:rPr>
          <w:rStyle w:val="htmlcodes"/>
        </w:rPr>
        <w:t>&lt;/a&gt;</w:t>
      </w:r>
      <w:r>
        <w:t>allows us to be specific when specificity is nec</w:t>
      </w:r>
      <w:r>
        <w:softHyphen/>
        <w:t>essary.</w:t>
      </w:r>
    </w:p>
    <w:p w:rsidR="00B72047" w:rsidRDefault="00B72047">
      <w:pPr>
        <w:rPr>
          <w:rStyle w:val="htmlparacode"/>
        </w:rPr>
      </w:pPr>
      <w:r>
        <w:rPr>
          <w:rStyle w:val="htmlparacode"/>
        </w:rPr>
        <w:t>&lt;p&gt;</w:t>
      </w:r>
    </w:p>
    <w:p w:rsidR="00B72047" w:rsidRDefault="00B72047">
      <w:pPr>
        <w:pStyle w:val="normalparagraph"/>
      </w:pPr>
      <w:r>
        <w:rPr>
          <w:rStyle w:val="indexentry"/>
        </w:rPr>
        <w:t>&lt;lx "PU"&gt;</w:t>
      </w:r>
      <w:r>
        <w:rPr>
          <w:rStyle w:val="indexentry"/>
        </w:rPr>
        <w:fldChar w:fldCharType="begin"/>
      </w:r>
      <w:r>
        <w:instrText>xe "</w:instrText>
      </w:r>
      <w:r>
        <w:rPr>
          <w:rStyle w:val="xeentry"/>
        </w:rPr>
        <w:instrText>PU selma’o</w:instrText>
      </w:r>
      <w:r>
        <w:instrText>"</w:instrText>
      </w:r>
      <w:r>
        <w:rPr>
          <w:rStyle w:val="indexentry"/>
        </w:rPr>
        <w:fldChar w:fldCharType="end"/>
      </w:r>
      <w:r>
        <w:rPr>
          <w:rStyle w:val="indexentry"/>
        </w:rPr>
        <w:t>&lt;cx "temporal direction, exception in meaning when following ze'e"&gt;</w:t>
      </w:r>
      <w:r>
        <w:rPr>
          <w:rStyle w:val="indexentry"/>
        </w:rPr>
        <w:fldChar w:fldCharType="begin"/>
      </w:r>
      <w:r>
        <w:instrText>xe "</w:instrText>
      </w:r>
      <w:r>
        <w:rPr>
          <w:rStyle w:val="xeentry"/>
        </w:rPr>
        <w:instrText>temporal direction: exception in meaning when following ze'e</w:instrText>
      </w:r>
      <w:r>
        <w:instrText>"</w:instrText>
      </w:r>
      <w:r>
        <w:rPr>
          <w:rStyle w:val="indexentry"/>
        </w:rPr>
        <w:fldChar w:fldCharType="end"/>
      </w:r>
      <w:r>
        <w:rPr>
          <w:rStyle w:val="indexentry"/>
        </w:rPr>
        <w:t>&lt;cx "ze'e, effect on following PU direction"&gt;</w:t>
      </w:r>
      <w:r>
        <w:rPr>
          <w:rStyle w:val="indexentry"/>
        </w:rPr>
        <w:fldChar w:fldCharType="begin"/>
      </w:r>
      <w:r>
        <w:instrText>xe "</w:instrText>
      </w:r>
      <w:r>
        <w:rPr>
          <w:rStyle w:val="xeentry"/>
        </w:rPr>
        <w:instrText>ze'e: effect on following PU direction</w:instrText>
      </w:r>
      <w:r>
        <w:instrText>"</w:instrText>
      </w:r>
      <w:r>
        <w:rPr>
          <w:rStyle w:val="indexentry"/>
        </w:rPr>
        <w:fldChar w:fldCharType="end"/>
      </w:r>
      <w:r>
        <w:rPr>
          <w:rStyle w:val="indexentry"/>
        </w:rPr>
        <w:t>&lt;lx "ze'epu"&gt;</w:t>
      </w:r>
      <w:r>
        <w:rPr>
          <w:rStyle w:val="indexentry"/>
        </w:rPr>
        <w:fldChar w:fldCharType="begin"/>
      </w:r>
      <w:r>
        <w:instrText>xe "</w:instrText>
      </w:r>
      <w:r>
        <w:rPr>
          <w:rStyle w:val="xeentry"/>
        </w:rPr>
        <w:instrText>ze'epu</w:instrText>
      </w:r>
      <w:r>
        <w:instrText>"</w:instrText>
      </w:r>
      <w:r>
        <w:rPr>
          <w:rStyle w:val="indexentry"/>
        </w:rPr>
        <w:fldChar w:fldCharType="end"/>
      </w:r>
      <w:r>
        <w:rPr>
          <w:rStyle w:val="indexentry"/>
        </w:rPr>
        <w:t>&lt;lx "ze'eba"&gt;</w:t>
      </w:r>
      <w:r>
        <w:rPr>
          <w:rStyle w:val="indexentry"/>
        </w:rPr>
        <w:fldChar w:fldCharType="begin"/>
      </w:r>
      <w:r>
        <w:instrText>xe "</w:instrText>
      </w:r>
      <w:r>
        <w:rPr>
          <w:rStyle w:val="xeentry"/>
        </w:rPr>
        <w:instrText>ze'eba</w:instrText>
      </w:r>
      <w:r>
        <w:instrText>"</w:instrText>
      </w:r>
      <w:r>
        <w:rPr>
          <w:rStyle w:val="indexentry"/>
        </w:rPr>
        <w:fldChar w:fldCharType="end"/>
      </w:r>
      <w:r>
        <w:rPr>
          <w:rStyle w:val="indexentry"/>
        </w:rPr>
        <w:t>&lt;lx "ze'eca"&gt;</w:t>
      </w:r>
      <w:r>
        <w:rPr>
          <w:rStyle w:val="indexentry"/>
        </w:rPr>
        <w:fldChar w:fldCharType="begin"/>
      </w:r>
      <w:r>
        <w:instrText>xe "</w:instrText>
      </w:r>
      <w:r>
        <w:rPr>
          <w:rStyle w:val="xeentry"/>
        </w:rPr>
        <w:instrText>ze'eca</w:instrText>
      </w:r>
      <w:r>
        <w:instrText>"</w:instrText>
      </w:r>
      <w:r>
        <w:rPr>
          <w:rStyle w:val="indexentry"/>
        </w:rPr>
        <w:fldChar w:fldCharType="end"/>
      </w:r>
      <w:r>
        <w:rPr>
          <w:rStyle w:val="indexentry"/>
        </w:rPr>
        <w:t>&lt;ex "have never"&gt;</w:t>
      </w:r>
      <w:r>
        <w:rPr>
          <w:rStyle w:val="indexentry"/>
        </w:rPr>
        <w:fldChar w:fldCharType="begin"/>
      </w:r>
      <w:r>
        <w:instrText>xe "</w:instrText>
      </w:r>
      <w:r>
        <w:rPr>
          <w:rStyle w:val="xeentry"/>
        </w:rPr>
        <w:instrText>have never: example</w:instrText>
      </w:r>
      <w:r>
        <w:instrText>"</w:instrText>
      </w:r>
      <w:r>
        <w:rPr>
          <w:rStyle w:val="indexentry"/>
        </w:rPr>
        <w:fldChar w:fldCharType="end"/>
      </w:r>
      <w:r>
        <w:rPr>
          <w:rStyle w:val="indexentry"/>
        </w:rPr>
        <w:t>&lt;cx "ze'epu, meaning of"&gt;</w:t>
      </w:r>
      <w:r>
        <w:rPr>
          <w:rStyle w:val="indexentry"/>
        </w:rPr>
        <w:fldChar w:fldCharType="begin"/>
      </w:r>
      <w:r>
        <w:instrText>xe "</w:instrText>
      </w:r>
      <w:r>
        <w:rPr>
          <w:rStyle w:val="xeentry"/>
        </w:rPr>
        <w:instrText>ze'epu: meaning of</w:instrText>
      </w:r>
      <w:r>
        <w:instrText>"</w:instrText>
      </w:r>
      <w:r>
        <w:rPr>
          <w:rStyle w:val="indexentry"/>
        </w:rPr>
        <w:fldChar w:fldCharType="end"/>
      </w:r>
      <w:r>
        <w:rPr>
          <w:rStyle w:val="indexentry"/>
        </w:rPr>
        <w:t>&lt;cx "ze'eba, meaning of"&gt;</w:t>
      </w:r>
      <w:r>
        <w:rPr>
          <w:rStyle w:val="indexentry"/>
        </w:rPr>
        <w:fldChar w:fldCharType="begin"/>
      </w:r>
      <w:r>
        <w:instrText>xe "</w:instrText>
      </w:r>
      <w:r>
        <w:rPr>
          <w:rStyle w:val="xeentry"/>
        </w:rPr>
        <w:instrText>ze'eba: meaning of</w:instrText>
      </w:r>
      <w:r>
        <w:instrText>"</w:instrText>
      </w:r>
      <w:r>
        <w:rPr>
          <w:rStyle w:val="indexentry"/>
        </w:rPr>
        <w:fldChar w:fldCharType="end"/>
      </w:r>
      <w:r>
        <w:rPr>
          <w:rStyle w:val="indexentry"/>
        </w:rPr>
        <w:t>&lt;cx "ze'eca, meaning of"&gt;</w:t>
      </w:r>
      <w:r>
        <w:rPr>
          <w:rStyle w:val="indexentry"/>
        </w:rPr>
        <w:fldChar w:fldCharType="begin"/>
      </w:r>
      <w:r>
        <w:instrText>xe "</w:instrText>
      </w:r>
      <w:r>
        <w:rPr>
          <w:rStyle w:val="xeentry"/>
        </w:rPr>
        <w:instrText>ze'eca: meaning of</w:instrText>
      </w:r>
      <w:r>
        <w:instrText>"</w:instrText>
      </w:r>
      <w:r>
        <w:rPr>
          <w:rStyle w:val="indexentry"/>
        </w:rPr>
        <w:fldChar w:fldCharType="end"/>
      </w:r>
      <w:r>
        <w:t>A PU cmavo following “ze'e” has a slightly different meaning from one</w:t>
      </w:r>
      <w:r>
        <w:rPr>
          <w:rStyle w:val="deletedparamark"/>
        </w:rPr>
        <w:t xml:space="preserve"> </w:t>
      </w:r>
      <w:r>
        <w:t>that follows another ZEhA cmavo. The compound cmavo “ze'epu” signifies</w:t>
      </w:r>
      <w:r>
        <w:rPr>
          <w:rStyle w:val="deletedparamark"/>
        </w:rPr>
        <w:t xml:space="preserve"> </w:t>
      </w:r>
      <w:r>
        <w:t>the interval stretching from the infinite past to the reference point</w:t>
      </w:r>
      <w:r>
        <w:rPr>
          <w:rStyle w:val="deletedparamark"/>
        </w:rPr>
        <w:t xml:space="preserve"> </w:t>
      </w:r>
      <w:r>
        <w:t>(wherever the imaginary journey has taken you); “ze'eba” is the interval</w:t>
      </w:r>
      <w:r>
        <w:rPr>
          <w:rStyle w:val="deletedparamark"/>
        </w:rPr>
        <w:t xml:space="preserve"> </w:t>
      </w:r>
      <w:r>
        <w:t>stretching from the reference point to the infi</w:t>
      </w:r>
      <w:r>
        <w:softHyphen/>
        <w:t>nite future. The remaining</w:t>
      </w:r>
      <w:r>
        <w:rPr>
          <w:rStyle w:val="deletedparamark"/>
        </w:rPr>
        <w:t xml:space="preserve"> </w:t>
      </w:r>
      <w:r>
        <w:t>form, “ze'eca”, makes specific the “whole of time” interpretation just</w:t>
      </w:r>
      <w:r>
        <w:rPr>
          <w:rStyle w:val="deletedparamark"/>
        </w:rPr>
        <w:t xml:space="preserve"> </w:t>
      </w:r>
      <w:r>
        <w:t>given. These compound forms make it possible to assert that something</w:t>
      </w:r>
      <w:r>
        <w:rPr>
          <w:rStyle w:val="deletedparamark"/>
        </w:rPr>
        <w:t xml:space="preserve"> </w:t>
      </w:r>
      <w:r>
        <w:t>has never happened without as</w:t>
      </w:r>
      <w:r>
        <w:softHyphen/>
        <w:t>serting that it never will.</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name=e9d11&gt;</w:t>
      </w:r>
      <w:r>
        <w:t>9.11)</w:t>
      </w:r>
      <w:r>
        <w:tab/>
        <w:t>mi ze'epu noroi klama le zarci</w:t>
      </w:r>
    </w:p>
    <w:p w:rsidR="00B72047" w:rsidRDefault="00B72047">
      <w:pPr>
        <w:pStyle w:val="examplescaled"/>
      </w:pPr>
      <w:r>
        <w:tab/>
        <w:t>I [whole interval] [past] [never] go-to the market.</w:t>
      </w:r>
    </w:p>
    <w:p w:rsidR="00B72047" w:rsidRDefault="00B72047">
      <w:pPr>
        <w:pStyle w:val="examplescaled"/>
      </w:pPr>
      <w:r>
        <w:tab/>
        <w:t>I have never gone to the market.</w:t>
      </w:r>
    </w:p>
    <w:p w:rsidR="00B72047" w:rsidRDefault="00B72047">
      <w:pPr>
        <w:pStyle w:val="resumedafterexample"/>
      </w:pPr>
      <w:r>
        <w:rPr>
          <w:rStyle w:val="htmlcodes"/>
        </w:rPr>
        <w:t>&lt;/pre&gt;</w:t>
      </w:r>
      <w:r>
        <w:t>says nothing about whether I might go in future.</w:t>
      </w:r>
    </w:p>
    <w:p w:rsidR="00B72047" w:rsidRDefault="00B72047">
      <w:pPr>
        <w:rPr>
          <w:rStyle w:val="htmlparacode"/>
        </w:rPr>
      </w:pPr>
      <w:r>
        <w:rPr>
          <w:rStyle w:val="htmlparacode"/>
        </w:rPr>
        <w:t>&lt;p&gt;</w:t>
      </w:r>
    </w:p>
    <w:p w:rsidR="00B72047" w:rsidRDefault="00B72047">
      <w:pPr>
        <w:pStyle w:val="normalparagraph"/>
      </w:pPr>
      <w:r>
        <w:rPr>
          <w:rStyle w:val="indexentry"/>
        </w:rPr>
        <w:t>&lt;cx "quantified space"&gt;</w:t>
      </w:r>
      <w:r>
        <w:rPr>
          <w:rStyle w:val="indexentry"/>
        </w:rPr>
        <w:fldChar w:fldCharType="begin"/>
      </w:r>
      <w:r>
        <w:instrText>xe "</w:instrText>
      </w:r>
      <w:r>
        <w:rPr>
          <w:rStyle w:val="xeentry"/>
        </w:rPr>
        <w:instrText>quantified space</w:instrText>
      </w:r>
      <w:r>
        <w:instrText>"</w:instrText>
      </w:r>
      <w:r>
        <w:rPr>
          <w:rStyle w:val="indexentry"/>
        </w:rPr>
        <w:fldChar w:fldCharType="end"/>
      </w:r>
      <w:r>
        <w:rPr>
          <w:rStyle w:val="indexentry"/>
        </w:rPr>
        <w:t>&lt;lx "ve'e"&gt;</w:t>
      </w:r>
      <w:r>
        <w:rPr>
          <w:rStyle w:val="indexentry"/>
        </w:rPr>
        <w:fldChar w:fldCharType="begin"/>
      </w:r>
      <w:r>
        <w:instrText>xe "</w:instrText>
      </w:r>
      <w:r>
        <w:rPr>
          <w:rStyle w:val="xeentry"/>
        </w:rPr>
        <w:instrText>ve'e</w:instrText>
      </w:r>
      <w:r>
        <w:instrText>"</w:instrText>
      </w:r>
      <w:r>
        <w:rPr>
          <w:rStyle w:val="indexentry"/>
        </w:rPr>
        <w:fldChar w:fldCharType="end"/>
      </w:r>
      <w:r>
        <w:t>The space equivalent of “ze'e” is “ve'e”, and it can be used in the same</w:t>
      </w:r>
      <w:r>
        <w:rPr>
          <w:rStyle w:val="deletedparamark"/>
        </w:rPr>
        <w:t xml:space="preserve"> </w:t>
      </w:r>
      <w:r>
        <w:t xml:space="preserve">way with a quantified space tense: see </w:t>
      </w:r>
      <w:r>
        <w:rPr>
          <w:rStyle w:val="htmlcodes"/>
        </w:rPr>
        <w:t>&lt;a href=#s11&gt;</w:t>
      </w:r>
      <w:r>
        <w:t xml:space="preserve">Section 11 </w:t>
      </w:r>
      <w:r>
        <w:rPr>
          <w:rStyle w:val="htmlcodes"/>
        </w:rPr>
        <w:t>&lt;/a&gt;</w:t>
      </w:r>
      <w:r>
        <w:t>for an explanation of</w:t>
      </w:r>
      <w:r>
        <w:rPr>
          <w:rStyle w:val="deletedparamark"/>
        </w:rPr>
        <w:t xml:space="preserve"> </w:t>
      </w:r>
      <w:r>
        <w:t>space interval modi</w:t>
      </w:r>
      <w:r>
        <w:softHyphen/>
        <w:t>fiers.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339" w:name="_Toc398970584"/>
      <w:r>
        <w:rPr>
          <w:rStyle w:val="Heading3Text"/>
        </w:rPr>
        <w:t>Event contours: ZAhO and “re'u”</w:t>
      </w:r>
      <w:bookmarkEnd w:id="33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indexentry"/>
        </w:rPr>
        <w:t>&lt;cx "inchoative event contour"&gt;</w:t>
      </w:r>
      <w:r>
        <w:rPr>
          <w:rStyle w:val="indexentry"/>
        </w:rPr>
        <w:fldChar w:fldCharType="begin"/>
      </w:r>
      <w:r>
        <w:instrText>xe "</w:instrText>
      </w:r>
      <w:r>
        <w:rPr>
          <w:rStyle w:val="xeentry"/>
        </w:rPr>
        <w:instrText>inchoative event contour</w:instrText>
      </w:r>
      <w:r>
        <w:instrText>"</w:instrText>
      </w:r>
      <w:r>
        <w:rPr>
          <w:rStyle w:val="indexentry"/>
        </w:rPr>
        <w:fldChar w:fldCharType="end"/>
      </w:r>
      <w:r>
        <w:rPr>
          <w:rStyle w:val="indexentry"/>
        </w:rPr>
        <w:t>&lt;cx "continuitive event contour"&gt;</w:t>
      </w:r>
      <w:r>
        <w:rPr>
          <w:rStyle w:val="indexentry"/>
        </w:rPr>
        <w:fldChar w:fldCharType="begin"/>
      </w:r>
      <w:r>
        <w:instrText>xe "</w:instrText>
      </w:r>
      <w:r>
        <w:rPr>
          <w:rStyle w:val="xeentry"/>
        </w:rPr>
        <w:instrText>continuitive event contour</w:instrText>
      </w:r>
      <w:r>
        <w:instrText>"</w:instrText>
      </w:r>
      <w:r>
        <w:rPr>
          <w:rStyle w:val="indexentry"/>
        </w:rPr>
        <w:fldChar w:fldCharType="end"/>
      </w:r>
      <w:r>
        <w:rPr>
          <w:rStyle w:val="indexentry"/>
        </w:rPr>
        <w:t>&lt;cx "perfective event contour"&gt;</w:t>
      </w:r>
      <w:r>
        <w:rPr>
          <w:rStyle w:val="indexentry"/>
        </w:rPr>
        <w:fldChar w:fldCharType="begin"/>
      </w:r>
      <w:r>
        <w:instrText>xe "</w:instrText>
      </w:r>
      <w:r>
        <w:rPr>
          <w:rStyle w:val="xeentry"/>
        </w:rPr>
        <w:instrText>perfective event contour</w:instrText>
      </w:r>
      <w:r>
        <w:instrText>"</w:instrText>
      </w:r>
      <w:r>
        <w:rPr>
          <w:rStyle w:val="indexentry"/>
        </w:rPr>
        <w:fldChar w:fldCharType="end"/>
      </w:r>
      <w:r>
        <w:rPr>
          <w:rStyle w:val="indexentry"/>
        </w:rPr>
        <w:t>&lt;cx "initiative event contour"&gt;</w:t>
      </w:r>
      <w:r>
        <w:rPr>
          <w:rStyle w:val="indexentry"/>
        </w:rPr>
        <w:fldChar w:fldCharType="begin"/>
      </w:r>
      <w:r>
        <w:instrText>xe "</w:instrText>
      </w:r>
      <w:r>
        <w:rPr>
          <w:rStyle w:val="xeentry"/>
        </w:rPr>
        <w:instrText>initiative event contour</w:instrText>
      </w:r>
      <w:r>
        <w:instrText>"</w:instrText>
      </w:r>
      <w:r>
        <w:rPr>
          <w:rStyle w:val="indexentry"/>
        </w:rPr>
        <w:fldChar w:fldCharType="end"/>
      </w:r>
      <w:r>
        <w:rPr>
          <w:rStyle w:val="indexentry"/>
        </w:rPr>
        <w:t>&lt;cx "cessitive event contour"&gt;</w:t>
      </w:r>
      <w:r>
        <w:rPr>
          <w:rStyle w:val="indexentry"/>
        </w:rPr>
        <w:fldChar w:fldCharType="begin"/>
      </w:r>
      <w:r>
        <w:instrText>xe "</w:instrText>
      </w:r>
      <w:r>
        <w:rPr>
          <w:rStyle w:val="xeentry"/>
        </w:rPr>
        <w:instrText>cessitive event contour</w:instrText>
      </w:r>
      <w:r>
        <w:instrText>"</w:instrText>
      </w:r>
      <w:r>
        <w:rPr>
          <w:rStyle w:val="indexentry"/>
        </w:rPr>
        <w:fldChar w:fldCharType="end"/>
      </w:r>
      <w:r>
        <w:rPr>
          <w:rStyle w:val="indexentry"/>
        </w:rPr>
        <w:t>&lt;cx "completitive event contour"&gt;</w:t>
      </w:r>
      <w:r>
        <w:rPr>
          <w:rStyle w:val="indexentry"/>
        </w:rPr>
        <w:fldChar w:fldCharType="begin"/>
      </w:r>
      <w:r>
        <w:instrText>xe "</w:instrText>
      </w:r>
      <w:r>
        <w:rPr>
          <w:rStyle w:val="xeentry"/>
        </w:rPr>
        <w:instrText>completitive event contour</w:instrText>
      </w:r>
      <w:r>
        <w:instrText>"</w:instrText>
      </w:r>
      <w:r>
        <w:rPr>
          <w:rStyle w:val="indexentry"/>
        </w:rPr>
        <w:fldChar w:fldCharType="end"/>
      </w:r>
      <w:r>
        <w:rPr>
          <w:rStyle w:val="indexentry"/>
        </w:rPr>
        <w:t>&lt;cx "superfective event contour"&gt;</w:t>
      </w:r>
      <w:r>
        <w:rPr>
          <w:rStyle w:val="indexentry"/>
        </w:rPr>
        <w:fldChar w:fldCharType="begin"/>
      </w:r>
      <w:r>
        <w:instrText>xe "</w:instrText>
      </w:r>
      <w:r>
        <w:rPr>
          <w:rStyle w:val="xeentry"/>
        </w:rPr>
        <w:instrText>superfective event contour</w:instrText>
      </w:r>
      <w:r>
        <w:instrText>"</w:instrText>
      </w:r>
      <w:r>
        <w:rPr>
          <w:rStyle w:val="indexentry"/>
        </w:rPr>
        <w:fldChar w:fldCharType="end"/>
      </w:r>
      <w:r>
        <w:rPr>
          <w:rStyle w:val="indexentry"/>
        </w:rPr>
        <w:t>&lt;cx "achievative event contour"&gt;</w:t>
      </w:r>
      <w:r>
        <w:rPr>
          <w:rStyle w:val="indexentry"/>
        </w:rPr>
        <w:fldChar w:fldCharType="begin"/>
      </w:r>
      <w:r>
        <w:instrText>xe "</w:instrText>
      </w:r>
      <w:r>
        <w:rPr>
          <w:rStyle w:val="xeentry"/>
        </w:rPr>
        <w:instrText>achievative event contour</w:instrText>
      </w:r>
      <w:r>
        <w:instrText>"</w:instrText>
      </w:r>
      <w:r>
        <w:rPr>
          <w:rStyle w:val="indexentry"/>
        </w:rPr>
        <w:fldChar w:fldCharType="end"/>
      </w:r>
      <w:r>
        <w:rPr>
          <w:rStyle w:val="indexentry"/>
        </w:rPr>
        <w:t>&lt;cx "pausative event contour"&gt;</w:t>
      </w:r>
      <w:r>
        <w:rPr>
          <w:rStyle w:val="indexentry"/>
        </w:rPr>
        <w:fldChar w:fldCharType="begin"/>
      </w:r>
      <w:r>
        <w:instrText>xe "</w:instrText>
      </w:r>
      <w:r>
        <w:rPr>
          <w:rStyle w:val="xeentry"/>
        </w:rPr>
        <w:instrText>pausative event contour</w:instrText>
      </w:r>
      <w:r>
        <w:instrText>"</w:instrText>
      </w:r>
      <w:r>
        <w:rPr>
          <w:rStyle w:val="indexentry"/>
        </w:rPr>
        <w:fldChar w:fldCharType="end"/>
      </w:r>
      <w:r>
        <w:rPr>
          <w:rStyle w:val="indexentry"/>
        </w:rPr>
        <w:t>&lt;cx "resumptive event contour"&gt;</w:t>
      </w:r>
      <w:r>
        <w:rPr>
          <w:rStyle w:val="indexentry"/>
        </w:rPr>
        <w:fldChar w:fldCharType="begin"/>
      </w:r>
      <w:r>
        <w:instrText>xe "</w:instrText>
      </w:r>
      <w:r>
        <w:rPr>
          <w:rStyle w:val="xeentry"/>
        </w:rPr>
        <w:instrText>resumptive event contour</w:instrText>
      </w:r>
      <w:r>
        <w:instrText>"</w:instrText>
      </w:r>
      <w:r>
        <w:rPr>
          <w:rStyle w:val="indexentry"/>
        </w:rPr>
        <w:fldChar w:fldCharType="end"/>
      </w:r>
      <w:r>
        <w:rPr>
          <w:rStyle w:val="htmlcodes"/>
        </w:rPr>
        <w:t>&lt;pre&gt;</w:t>
      </w:r>
      <w:r>
        <w:t xml:space="preserve"> </w:t>
      </w:r>
      <w:r>
        <w:tab/>
        <w:t>pu'o</w:t>
      </w:r>
      <w:r>
        <w:tab/>
        <w:t>ZAhO</w:t>
      </w:r>
      <w:r>
        <w:tab/>
        <w:t>inchoative</w:t>
      </w:r>
    </w:p>
    <w:p w:rsidR="00B72047" w:rsidRDefault="00B72047">
      <w:pPr>
        <w:pStyle w:val="examplescaled"/>
      </w:pPr>
      <w:r>
        <w:tab/>
        <w:t>ca'o</w:t>
      </w:r>
      <w:r>
        <w:tab/>
        <w:t>ZAhO</w:t>
      </w:r>
      <w:r>
        <w:tab/>
        <w:t>continuitive</w:t>
      </w:r>
    </w:p>
    <w:p w:rsidR="00B72047" w:rsidRDefault="00B72047">
      <w:pPr>
        <w:pStyle w:val="examplescaled"/>
      </w:pPr>
      <w:r>
        <w:tab/>
        <w:t>ba'o</w:t>
      </w:r>
      <w:r>
        <w:tab/>
        <w:t>ZAhO</w:t>
      </w:r>
      <w:r>
        <w:tab/>
        <w:t>perfective</w:t>
      </w:r>
    </w:p>
    <w:p w:rsidR="00B72047" w:rsidRDefault="00B72047">
      <w:pPr>
        <w:pStyle w:val="examplescaled"/>
      </w:pPr>
      <w:r>
        <w:tab/>
        <w:t>co'a</w:t>
      </w:r>
      <w:r>
        <w:tab/>
        <w:t>ZAhO</w:t>
      </w:r>
      <w:r>
        <w:tab/>
        <w:t>initiative</w:t>
      </w:r>
    </w:p>
    <w:p w:rsidR="00B72047" w:rsidRDefault="00B72047">
      <w:pPr>
        <w:pStyle w:val="examplescaled"/>
      </w:pPr>
      <w:r>
        <w:tab/>
        <w:t>co'u</w:t>
      </w:r>
      <w:r>
        <w:tab/>
        <w:t>ZAhO</w:t>
      </w:r>
      <w:r>
        <w:tab/>
        <w:t>cessitive</w:t>
      </w:r>
    </w:p>
    <w:p w:rsidR="00B72047" w:rsidRDefault="00B72047">
      <w:pPr>
        <w:pStyle w:val="examplescaled"/>
      </w:pPr>
      <w:r>
        <w:tab/>
        <w:t>mo'u</w:t>
      </w:r>
      <w:r>
        <w:tab/>
        <w:t>ZAhO</w:t>
      </w:r>
      <w:r>
        <w:tab/>
        <w:t>completitive</w:t>
      </w:r>
    </w:p>
    <w:p w:rsidR="00B72047" w:rsidRDefault="00B72047">
      <w:pPr>
        <w:pStyle w:val="examplescaled"/>
      </w:pPr>
      <w:r>
        <w:tab/>
        <w:t>za'o</w:t>
      </w:r>
      <w:r>
        <w:tab/>
        <w:t>ZAhO</w:t>
      </w:r>
      <w:r>
        <w:tab/>
        <w:t>superfective</w:t>
      </w:r>
    </w:p>
    <w:p w:rsidR="00B72047" w:rsidRDefault="00B72047">
      <w:pPr>
        <w:pStyle w:val="examplescaled"/>
      </w:pPr>
      <w:r>
        <w:tab/>
        <w:t>co'i</w:t>
      </w:r>
      <w:r>
        <w:tab/>
        <w:t>ZAhO</w:t>
      </w:r>
      <w:r>
        <w:tab/>
        <w:t>achievative</w:t>
      </w:r>
    </w:p>
    <w:p w:rsidR="00B72047" w:rsidRDefault="00B72047">
      <w:pPr>
        <w:pStyle w:val="examplescaled"/>
      </w:pPr>
      <w:r>
        <w:tab/>
        <w:t>de'a</w:t>
      </w:r>
      <w:r>
        <w:tab/>
        <w:t>ZAhO</w:t>
      </w:r>
      <w:r>
        <w:tab/>
        <w:t>pausative</w:t>
      </w:r>
    </w:p>
    <w:p w:rsidR="00B72047" w:rsidRDefault="00B72047">
      <w:pPr>
        <w:pStyle w:val="examplescaled"/>
      </w:pPr>
      <w:r>
        <w:tab/>
        <w:t>di'a</w:t>
      </w:r>
      <w:r>
        <w:tab/>
        <w:t>ZAhO</w:t>
      </w:r>
      <w:r>
        <w:tab/>
        <w:t>resumptive</w:t>
      </w:r>
    </w:p>
    <w:p w:rsidR="00B72047" w:rsidRDefault="00B72047">
      <w:pPr>
        <w:pStyle w:val="examplescaledpre"/>
      </w:pPr>
      <w:r>
        <w:tab/>
        <w:t>re'u</w:t>
      </w:r>
      <w:r>
        <w:tab/>
        <w:t>ROI</w:t>
      </w:r>
      <w:r>
        <w:tab/>
        <w:t>ordinal tense</w:t>
      </w:r>
    </w:p>
    <w:p w:rsidR="00B72047" w:rsidRDefault="00B72047">
      <w:pPr>
        <w:pStyle w:val="normalafterexample"/>
      </w:pPr>
      <w:r>
        <w:rPr>
          <w:rStyle w:val="htmlcodes"/>
        </w:rPr>
        <w:t>&lt;/pre&gt;</w:t>
      </w:r>
      <w:r>
        <w:rPr>
          <w:rStyle w:val="indexentry"/>
        </w:rPr>
        <w:t>&lt;cx "aspect, expressing"&gt;</w:t>
      </w:r>
      <w:r>
        <w:rPr>
          <w:rStyle w:val="indexentry"/>
        </w:rPr>
        <w:fldChar w:fldCharType="begin"/>
      </w:r>
      <w:r>
        <w:instrText>xe "</w:instrText>
      </w:r>
      <w:r>
        <w:rPr>
          <w:rStyle w:val="xeentry"/>
        </w:rPr>
        <w:instrText>aspect: expressing</w:instrText>
      </w:r>
      <w:r>
        <w:instrText>"</w:instrText>
      </w:r>
      <w:r>
        <w:rPr>
          <w:rStyle w:val="indexentry"/>
        </w:rPr>
        <w:fldChar w:fldCharType="end"/>
      </w:r>
      <w:r>
        <w:rPr>
          <w:rStyle w:val="indexentry"/>
        </w:rPr>
        <w:t>&lt;lx "ZAhO"&gt;</w:t>
      </w:r>
      <w:r>
        <w:rPr>
          <w:rStyle w:val="indexentry"/>
        </w:rPr>
        <w:fldChar w:fldCharType="begin"/>
      </w:r>
      <w:r>
        <w:instrText>xe "</w:instrText>
      </w:r>
      <w:r>
        <w:rPr>
          <w:rStyle w:val="xeentry"/>
        </w:rPr>
        <w:instrText>ZAhO selma’o</w:instrText>
      </w:r>
      <w:r>
        <w:instrText>"</w:instrText>
      </w:r>
      <w:r>
        <w:rPr>
          <w:rStyle w:val="indexentry"/>
        </w:rPr>
        <w:fldChar w:fldCharType="end"/>
      </w:r>
      <w:r>
        <w:rPr>
          <w:rStyle w:val="indexentry"/>
        </w:rPr>
        <w:t>&lt;cx "aspect, natural languages compared with respect to"&gt;</w:t>
      </w:r>
      <w:r>
        <w:rPr>
          <w:rStyle w:val="indexentry"/>
        </w:rPr>
        <w:fldChar w:fldCharType="begin"/>
      </w:r>
      <w:r>
        <w:instrText>xe "</w:instrText>
      </w:r>
      <w:r>
        <w:rPr>
          <w:rStyle w:val="xeentry"/>
        </w:rPr>
        <w:instrText>aspect: natural languages compared with respect to</w:instrText>
      </w:r>
      <w:r>
        <w:instrText>"</w:instrText>
      </w:r>
      <w:r>
        <w:rPr>
          <w:rStyle w:val="indexentry"/>
        </w:rPr>
        <w:fldChar w:fldCharType="end"/>
      </w:r>
      <w:r>
        <w:t>The cmavo of selma'o ZAhO express the Lojban version of what is tradition</w:t>
      </w:r>
      <w:r>
        <w:softHyphen/>
        <w:t>ally</w:t>
      </w:r>
      <w:r>
        <w:rPr>
          <w:rStyle w:val="deletedparamark"/>
        </w:rPr>
        <w:t xml:space="preserve"> </w:t>
      </w:r>
      <w:r>
        <w:t>called “aspect”. This is not a notion well ex</w:t>
      </w:r>
      <w:r>
        <w:softHyphen/>
        <w:t>pressed by English tenses, but</w:t>
      </w:r>
      <w:r>
        <w:rPr>
          <w:rStyle w:val="deletedparamark"/>
        </w:rPr>
        <w:t xml:space="preserve"> </w:t>
      </w:r>
      <w:r>
        <w:t>many la</w:t>
      </w:r>
      <w:r>
        <w:t>n</w:t>
      </w:r>
      <w:r>
        <w:softHyphen/>
        <w:t>guages (including Chinese and Russian among Lojban's six source</w:t>
      </w:r>
      <w:r>
        <w:rPr>
          <w:rStyle w:val="deletedparamark"/>
        </w:rPr>
        <w:t xml:space="preserve"> </w:t>
      </w:r>
      <w:r>
        <w:t>languages) con</w:t>
      </w:r>
      <w:r>
        <w:softHyphen/>
        <w:t>sider it more important than the specification of mere</w:t>
      </w:r>
      <w:r>
        <w:rPr>
          <w:rStyle w:val="deletedparamark"/>
        </w:rPr>
        <w:t xml:space="preserve"> </w:t>
      </w:r>
      <w:r>
        <w:t>position in time.</w:t>
      </w:r>
    </w:p>
    <w:p w:rsidR="00B72047" w:rsidRDefault="00B72047">
      <w:pPr>
        <w:rPr>
          <w:rStyle w:val="htmlparacode"/>
        </w:rPr>
      </w:pPr>
      <w:r>
        <w:rPr>
          <w:rStyle w:val="htmlparacode"/>
        </w:rPr>
        <w:t>&lt;p&gt;</w:t>
      </w:r>
    </w:p>
    <w:p w:rsidR="00B72047" w:rsidRDefault="00B72047">
      <w:pPr>
        <w:pStyle w:val="normalparagraph"/>
      </w:pPr>
      <w:r>
        <w:rPr>
          <w:rStyle w:val="indexentry"/>
        </w:rPr>
        <w:t>&lt;cx "event contours, definition"&gt;</w:t>
      </w:r>
      <w:r>
        <w:rPr>
          <w:rStyle w:val="indexentry"/>
        </w:rPr>
        <w:fldChar w:fldCharType="begin"/>
      </w:r>
      <w:r>
        <w:instrText>xe "</w:instrText>
      </w:r>
      <w:r>
        <w:rPr>
          <w:rStyle w:val="xeentry"/>
        </w:rPr>
        <w:instrText>event contours: definition</w:instrText>
      </w:r>
      <w:r>
        <w:instrText>"</w:instrText>
      </w:r>
      <w:r>
        <w:rPr>
          <w:rStyle w:val="indexentry"/>
        </w:rPr>
        <w:fldChar w:fldCharType="end"/>
      </w:r>
      <w:r>
        <w:rPr>
          <w:rStyle w:val="indexentry"/>
        </w:rPr>
        <w:t>&lt;cx "events, considered as a process"&gt;</w:t>
      </w:r>
      <w:r>
        <w:rPr>
          <w:rStyle w:val="indexentry"/>
        </w:rPr>
        <w:fldChar w:fldCharType="begin"/>
      </w:r>
      <w:r>
        <w:instrText>xe "</w:instrText>
      </w:r>
      <w:r>
        <w:rPr>
          <w:rStyle w:val="xeentry"/>
        </w:rPr>
        <w:instrText>events: considered as a process</w:instrText>
      </w:r>
      <w:r>
        <w:instrText>"</w:instrText>
      </w:r>
      <w:r>
        <w:rPr>
          <w:rStyle w:val="indexentry"/>
        </w:rPr>
        <w:fldChar w:fldCharType="end"/>
      </w:r>
      <w:r>
        <w:rPr>
          <w:rStyle w:val="indexentry"/>
        </w:rPr>
        <w:t>&lt;cx "event contours, syntax of"&gt;</w:t>
      </w:r>
      <w:r>
        <w:rPr>
          <w:rStyle w:val="indexentry"/>
        </w:rPr>
        <w:fldChar w:fldCharType="begin"/>
      </w:r>
      <w:r>
        <w:instrText>xe "</w:instrText>
      </w:r>
      <w:r>
        <w:rPr>
          <w:rStyle w:val="xeentry"/>
        </w:rPr>
        <w:instrText>event contours: syntax of</w:instrText>
      </w:r>
      <w:r>
        <w:instrText>"</w:instrText>
      </w:r>
      <w:r>
        <w:rPr>
          <w:rStyle w:val="indexentry"/>
        </w:rPr>
        <w:fldChar w:fldCharType="end"/>
      </w:r>
      <w:r>
        <w:rPr>
          <w:rStyle w:val="indexentry"/>
        </w:rPr>
        <w:t>&lt;cx "event contours, order with respect to TAhE and ROI"&gt;</w:t>
      </w:r>
      <w:r>
        <w:rPr>
          <w:rStyle w:val="indexentry"/>
        </w:rPr>
        <w:fldChar w:fldCharType="begin"/>
      </w:r>
      <w:r>
        <w:instrText>xe "</w:instrText>
      </w:r>
      <w:r>
        <w:rPr>
          <w:rStyle w:val="xeentry"/>
        </w:rPr>
        <w:instrText>event contours: order with respect to TAhE and ROI</w:instrText>
      </w:r>
      <w:r>
        <w:instrText>"</w:instrText>
      </w:r>
      <w:r>
        <w:rPr>
          <w:rStyle w:val="indexentry"/>
        </w:rPr>
        <w:fldChar w:fldCharType="end"/>
      </w:r>
      <w:r>
        <w:t>The “event contours” of selma'o ZAhO, with their bizarre keywords, represent</w:t>
      </w:r>
      <w:r>
        <w:rPr>
          <w:rStyle w:val="deletedparamark"/>
        </w:rPr>
        <w:t xml:space="preserve"> </w:t>
      </w:r>
      <w:r>
        <w:t>the natural portions of an event considered as a process, an occurrence with</w:t>
      </w:r>
      <w:r>
        <w:rPr>
          <w:rStyle w:val="deletedparamark"/>
        </w:rPr>
        <w:t xml:space="preserve"> </w:t>
      </w:r>
      <w:r>
        <w:t>an internal structure including a begin</w:t>
      </w:r>
      <w:r>
        <w:softHyphen/>
        <w:t>ning, a middle, and an end. Since</w:t>
      </w:r>
      <w:r>
        <w:rPr>
          <w:rStyle w:val="deletedparamark"/>
        </w:rPr>
        <w:t xml:space="preserve"> </w:t>
      </w:r>
      <w:r>
        <w:t>the keywords are scarcely self-ex</w:t>
      </w:r>
      <w:r>
        <w:softHyphen/>
        <w:t>planatory, each ZAhO will be explained</w:t>
      </w:r>
      <w:r>
        <w:rPr>
          <w:rStyle w:val="deletedparamark"/>
        </w:rPr>
        <w:t xml:space="preserve"> </w:t>
      </w:r>
      <w:r>
        <w:t>in detail here. Note that from the view</w:t>
      </w:r>
      <w:r>
        <w:softHyphen/>
        <w:t>point of Lojban syntax, ZAhOs are</w:t>
      </w:r>
      <w:r>
        <w:rPr>
          <w:rStyle w:val="deletedparamark"/>
        </w:rPr>
        <w:t xml:space="preserve"> </w:t>
      </w:r>
      <w:r>
        <w:t>interval modifiers like TAhEs or ROI compounds; if both are found in a</w:t>
      </w:r>
      <w:r>
        <w:rPr>
          <w:rStyle w:val="deletedparamark"/>
        </w:rPr>
        <w:t xml:space="preserve"> </w:t>
      </w:r>
      <w:r>
        <w:t>single tense, the TAhE/ROI comes first and the ZAhO afterward. The</w:t>
      </w:r>
      <w:r>
        <w:rPr>
          <w:rStyle w:val="deletedparamark"/>
        </w:rPr>
        <w:t xml:space="preserve"> </w:t>
      </w:r>
      <w:r>
        <w:t>imaginary jour</w:t>
      </w:r>
      <w:r>
        <w:softHyphen/>
        <w:t>ney described by other tense cmavo moves us to the portion of</w:t>
      </w:r>
      <w:r>
        <w:rPr>
          <w:rStyle w:val="deletedparamark"/>
        </w:rPr>
        <w:t xml:space="preserve"> </w:t>
      </w:r>
      <w:r>
        <w:t>the event-as-process which the ZAhO specifies.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"event contours, as timeless in perspective"&gt;</w:t>
      </w:r>
      <w:r>
        <w:rPr>
          <w:rStyle w:val="indexentry"/>
        </w:rPr>
        <w:fldChar w:fldCharType="begin"/>
      </w:r>
      <w:r>
        <w:instrText>xe "</w:instrText>
      </w:r>
      <w:r>
        <w:rPr>
          <w:rStyle w:val="xeentry"/>
        </w:rPr>
        <w:instrText>event contours: as timeless in perspective</w:instrText>
      </w:r>
      <w:r>
        <w:instrText>"</w:instrText>
      </w:r>
      <w:r>
        <w:rPr>
          <w:rStyle w:val="indexentry"/>
        </w:rPr>
        <w:fldChar w:fldCharType="end"/>
      </w:r>
      <w:r>
        <w:rPr>
          <w:rStyle w:val="indexentry"/>
        </w:rPr>
        <w:t>&lt;cx "PU tenses, contrasted with ZAhO tenses in viewpoint"&gt;</w:t>
      </w:r>
      <w:r>
        <w:rPr>
          <w:rStyle w:val="indexentry"/>
        </w:rPr>
        <w:fldChar w:fldCharType="begin"/>
      </w:r>
      <w:r>
        <w:instrText>xe "</w:instrText>
      </w:r>
      <w:r>
        <w:rPr>
          <w:rStyle w:val="xeentry"/>
        </w:rPr>
        <w:instrText>PU tenses: contrasted with ZAhO tenses in viewpoint</w:instrText>
      </w:r>
      <w:r>
        <w:instrText>"</w:instrText>
      </w:r>
      <w:r>
        <w:rPr>
          <w:rStyle w:val="indexentry"/>
        </w:rPr>
        <w:fldChar w:fldCharType="end"/>
      </w:r>
      <w:r>
        <w:rPr>
          <w:rStyle w:val="indexentry"/>
        </w:rPr>
        <w:t>&lt;cx "tenses, viewpoint of PU contrasted with viewpoint of ZAhO"&gt;</w:t>
      </w:r>
      <w:r>
        <w:rPr>
          <w:rStyle w:val="indexentry"/>
        </w:rPr>
        <w:fldChar w:fldCharType="begin"/>
      </w:r>
      <w:r>
        <w:instrText>xe "</w:instrText>
      </w:r>
      <w:r>
        <w:rPr>
          <w:rStyle w:val="xeentry"/>
        </w:rPr>
        <w:instrText>tense: viewpoint of PU contrasted with viewpoint of ZAhO</w:instrText>
      </w:r>
      <w:r>
        <w:instrText>"</w:instrText>
      </w:r>
      <w:r>
        <w:rPr>
          <w:rStyle w:val="indexentry"/>
        </w:rPr>
        <w:fldChar w:fldCharType="end"/>
      </w:r>
      <w:r>
        <w:rPr>
          <w:rStyle w:val="indexentry"/>
        </w:rPr>
        <w:t>&lt;cx "event-relative viewpoint, contrasted with speaker-relative viewpoint"&gt;</w:t>
      </w:r>
      <w:r>
        <w:rPr>
          <w:rStyle w:val="indexentry"/>
        </w:rPr>
        <w:fldChar w:fldCharType="begin"/>
      </w:r>
      <w:r>
        <w:instrText>xe "</w:instrText>
      </w:r>
      <w:r>
        <w:rPr>
          <w:rStyle w:val="xeentry"/>
        </w:rPr>
        <w:instrText>event-relative viewpoint: contrasted with speaker-relative viewpoint</w:instrText>
      </w:r>
      <w:r>
        <w:instrText>"</w:instrText>
      </w:r>
      <w:r>
        <w:rPr>
          <w:rStyle w:val="indexentry"/>
        </w:rPr>
        <w:fldChar w:fldCharType="end"/>
      </w:r>
      <w:r>
        <w:rPr>
          <w:rStyle w:val="indexentry"/>
        </w:rPr>
        <w:t>&lt;cx "speaker-relative viewpoint, contrasted with event-relative viewpoint"&gt;</w:t>
      </w:r>
      <w:r>
        <w:rPr>
          <w:rStyle w:val="indexentry"/>
        </w:rPr>
        <w:fldChar w:fldCharType="begin"/>
      </w:r>
      <w:r>
        <w:instrText>xe "</w:instrText>
      </w:r>
      <w:r>
        <w:rPr>
          <w:rStyle w:val="xeentry"/>
        </w:rPr>
        <w:instrText>speaker-relative viewpoint: contrasted with event-relative viewpoint</w:instrText>
      </w:r>
      <w:r>
        <w:instrText>"</w:instrText>
      </w:r>
      <w:r>
        <w:rPr>
          <w:rStyle w:val="indexentry"/>
        </w:rPr>
        <w:fldChar w:fldCharType="end"/>
      </w:r>
      <w:r>
        <w:rPr>
          <w:rStyle w:val="indexentry"/>
        </w:rPr>
        <w:t>&lt;cx "event contours, as characteristic portions of events"&gt;</w:t>
      </w:r>
      <w:r>
        <w:rPr>
          <w:rStyle w:val="indexentry"/>
        </w:rPr>
        <w:fldChar w:fldCharType="begin"/>
      </w:r>
      <w:r>
        <w:instrText>xe "</w:instrText>
      </w:r>
      <w:r>
        <w:rPr>
          <w:rStyle w:val="xeentry"/>
        </w:rPr>
        <w:instrText>event contours: as characteristic portions of events</w:instrText>
      </w:r>
      <w:r>
        <w:instrText>"</w:instrText>
      </w:r>
      <w:r>
        <w:rPr>
          <w:rStyle w:val="indexentry"/>
        </w:rPr>
        <w:fldChar w:fldCharType="end"/>
      </w:r>
      <w:r>
        <w:t>It is important to understand that ZAhO cmavo, unlike the other tense cmavo,</w:t>
      </w:r>
      <w:r>
        <w:rPr>
          <w:rStyle w:val="deletedparamark"/>
        </w:rPr>
        <w:t xml:space="preserve"> </w:t>
      </w:r>
      <w:r>
        <w:t>specify characteristic portions of the event, and are seen from an</w:t>
      </w:r>
      <w:r>
        <w:rPr>
          <w:rStyle w:val="deletedparamark"/>
        </w:rPr>
        <w:t xml:space="preserve"> </w:t>
      </w:r>
      <w:r>
        <w:t>essentially timeless perspective. The “beginning” of an event is the</w:t>
      </w:r>
      <w:r>
        <w:rPr>
          <w:rStyle w:val="deletedparamark"/>
        </w:rPr>
        <w:t xml:space="preserve"> </w:t>
      </w:r>
      <w:r>
        <w:t>same whether the event is in the speaker's present, past, or future.</w:t>
      </w:r>
      <w:r>
        <w:rPr>
          <w:rStyle w:val="deletedparamark"/>
        </w:rPr>
        <w:t xml:space="preserve"> </w:t>
      </w:r>
      <w:r>
        <w:t>It is especially important not to confuse the speaker-relative viewpoint</w:t>
      </w:r>
      <w:r>
        <w:rPr>
          <w:rStyle w:val="deletedparamark"/>
        </w:rPr>
        <w:t xml:space="preserve"> </w:t>
      </w:r>
      <w:r>
        <w:t>of the PU tenses with the event-relative viewpoint of the ZAhO tenses.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"pu'o"&gt;</w:t>
      </w:r>
      <w:r>
        <w:rPr>
          <w:rStyle w:val="indexentry"/>
        </w:rPr>
        <w:fldChar w:fldCharType="begin"/>
      </w:r>
      <w:r>
        <w:instrText>xe "</w:instrText>
      </w:r>
      <w:r>
        <w:rPr>
          <w:rStyle w:val="xeentry"/>
        </w:rPr>
        <w:instrText>pu'o</w:instrText>
      </w:r>
      <w:r>
        <w:instrText>"</w:instrText>
      </w:r>
      <w:r>
        <w:rPr>
          <w:rStyle w:val="indexentry"/>
        </w:rPr>
        <w:fldChar w:fldCharType="end"/>
      </w:r>
      <w:r>
        <w:rPr>
          <w:rStyle w:val="indexentry"/>
        </w:rPr>
        <w:t>&lt;lx "ca'o"&gt;</w:t>
      </w:r>
      <w:r>
        <w:rPr>
          <w:rStyle w:val="indexentry"/>
        </w:rPr>
        <w:fldChar w:fldCharType="begin"/>
      </w:r>
      <w:r>
        <w:instrText>xe "</w:instrText>
      </w:r>
      <w:r>
        <w:rPr>
          <w:rStyle w:val="xeentry"/>
        </w:rPr>
        <w:instrText>ca'o</w:instrText>
      </w:r>
      <w:r>
        <w:instrText>"</w:instrText>
      </w:r>
      <w:r>
        <w:rPr>
          <w:rStyle w:val="indexentry"/>
        </w:rPr>
        <w:fldChar w:fldCharType="end"/>
      </w:r>
      <w:r>
        <w:rPr>
          <w:rStyle w:val="indexentry"/>
        </w:rPr>
        <w:t>&lt;lx "ba'o"&gt;</w:t>
      </w:r>
      <w:r>
        <w:rPr>
          <w:rStyle w:val="indexentry"/>
        </w:rPr>
        <w:fldChar w:fldCharType="begin"/>
      </w:r>
      <w:r>
        <w:instrText>xe "</w:instrText>
      </w:r>
      <w:r>
        <w:rPr>
          <w:rStyle w:val="xeentry"/>
        </w:rPr>
        <w:instrText>ba'o</w:instrText>
      </w:r>
      <w:r>
        <w:instrText>"</w:instrText>
      </w:r>
      <w:r>
        <w:rPr>
          <w:rStyle w:val="indexentry"/>
        </w:rPr>
        <w:fldChar w:fldCharType="end"/>
      </w:r>
      <w:r>
        <w:rPr>
          <w:rStyle w:val="indexentry"/>
        </w:rPr>
        <w:t>&lt;cx "pu'o, derivation of word"&gt;</w:t>
      </w:r>
      <w:r>
        <w:rPr>
          <w:rStyle w:val="indexentry"/>
        </w:rPr>
        <w:fldChar w:fldCharType="begin"/>
      </w:r>
      <w:r>
        <w:instrText>xe "</w:instrText>
      </w:r>
      <w:r>
        <w:rPr>
          <w:rStyle w:val="xeentry"/>
        </w:rPr>
        <w:instrText>pu'o: derivation of word</w:instrText>
      </w:r>
      <w:r>
        <w:instrText>"</w:instrText>
      </w:r>
      <w:r>
        <w:rPr>
          <w:rStyle w:val="indexentry"/>
        </w:rPr>
        <w:fldChar w:fldCharType="end"/>
      </w:r>
      <w:r>
        <w:rPr>
          <w:rStyle w:val="indexentry"/>
        </w:rPr>
        <w:t>&lt;cx "ba'o, derivation of word"&gt;</w:t>
      </w:r>
      <w:r>
        <w:rPr>
          <w:rStyle w:val="indexentry"/>
        </w:rPr>
        <w:fldChar w:fldCharType="begin"/>
      </w:r>
      <w:r>
        <w:instrText>xe "</w:instrText>
      </w:r>
      <w:r>
        <w:rPr>
          <w:rStyle w:val="xeentry"/>
        </w:rPr>
        <w:instrText>ba'o: derivation of word</w:instrText>
      </w:r>
      <w:r>
        <w:instrText>"</w:instrText>
      </w:r>
      <w:r>
        <w:rPr>
          <w:rStyle w:val="indexentry"/>
        </w:rPr>
        <w:fldChar w:fldCharType="end"/>
      </w:r>
      <w:r>
        <w:rPr>
          <w:rStyle w:val="indexentry"/>
        </w:rPr>
        <w:t>&lt;cx "ca'o, derivation of word"&gt;</w:t>
      </w:r>
      <w:r>
        <w:rPr>
          <w:rStyle w:val="indexentry"/>
        </w:rPr>
        <w:fldChar w:fldCharType="begin"/>
      </w:r>
      <w:r>
        <w:instrText>xe "</w:instrText>
      </w:r>
      <w:r>
        <w:rPr>
          <w:rStyle w:val="xeentry"/>
        </w:rPr>
        <w:instrText>ca'o: derivation of word</w:instrText>
      </w:r>
      <w:r>
        <w:instrText>"</w:instrText>
      </w:r>
      <w:r>
        <w:rPr>
          <w:rStyle w:val="indexentry"/>
        </w:rPr>
        <w:fldChar w:fldCharType="end"/>
      </w:r>
      <w:r>
        <w:t>The cmavo “pu'o”, “ca'o”, and “ba'o” (etymologically derived from the PU</w:t>
      </w:r>
      <w:r>
        <w:rPr>
          <w:rStyle w:val="deletedparamark"/>
        </w:rPr>
        <w:t xml:space="preserve"> </w:t>
      </w:r>
      <w:r>
        <w:t>cmavo) refer to an event that has not yet begun, that is in progress, or</w:t>
      </w:r>
      <w:r>
        <w:rPr>
          <w:rStyle w:val="deletedparamark"/>
        </w:rPr>
        <w:t xml:space="preserve"> </w:t>
      </w:r>
      <w:r>
        <w:t>that has ended, respe</w:t>
      </w:r>
      <w:r>
        <w:t>c</w:t>
      </w:r>
      <w:r>
        <w:t>tively:</w:t>
      </w:r>
    </w:p>
    <w:p w:rsidR="00B72047" w:rsidRDefault="00B72047">
      <w:pPr>
        <w:rPr>
          <w:rStyle w:val="htmlparacode"/>
        </w:rPr>
      </w:pPr>
      <w:r>
        <w:rPr>
          <w:rStyle w:val="htmlparacode"/>
        </w:rPr>
        <w:t>&lt;p&gt;</w:t>
      </w:r>
    </w:p>
    <w:p w:rsidR="00B72047" w:rsidRDefault="00B72047">
      <w:pPr>
        <w:pStyle w:val="examplescaledpre"/>
      </w:pPr>
      <w:r>
        <w:rPr>
          <w:rStyle w:val="indexentry"/>
        </w:rPr>
        <w:t>&lt;cx "event contour, inchoative"&gt;</w:t>
      </w:r>
      <w:r>
        <w:rPr>
          <w:rStyle w:val="indexentry"/>
        </w:rPr>
        <w:fldChar w:fldCharType="begin"/>
      </w:r>
      <w:r>
        <w:instrText>xe "</w:instrText>
      </w:r>
      <w:r>
        <w:rPr>
          <w:rStyle w:val="xeentry"/>
        </w:rPr>
        <w:instrText>event contours: inchoative</w:instrText>
      </w:r>
      <w:r>
        <w:instrText>"</w:instrText>
      </w:r>
      <w:r>
        <w:rPr>
          <w:rStyle w:val="indexentry"/>
        </w:rPr>
        <w:fldChar w:fldCharType="end"/>
      </w:r>
      <w:r>
        <w:rPr>
          <w:rStyle w:val="indexentry"/>
        </w:rPr>
        <w:t>&lt;ex "on verge"&gt;</w:t>
      </w:r>
      <w:r>
        <w:rPr>
          <w:rStyle w:val="indexentry"/>
        </w:rPr>
        <w:fldChar w:fldCharType="begin"/>
      </w:r>
      <w:r>
        <w:instrText>xe "</w:instrText>
      </w:r>
      <w:r>
        <w:rPr>
          <w:rStyle w:val="xeentry"/>
        </w:rPr>
        <w:instrText>on verge: example</w:instrText>
      </w:r>
      <w:r>
        <w:instrText>"</w:instrText>
      </w:r>
      <w:r>
        <w:rPr>
          <w:rStyle w:val="indexentry"/>
        </w:rPr>
        <w:fldChar w:fldCharType="end"/>
      </w:r>
      <w:r>
        <w:rPr>
          <w:rStyle w:val="htmlcodes"/>
        </w:rPr>
        <w:t>&lt;pre&gt;&lt;a name=e10d1&gt;</w:t>
      </w:r>
      <w:r>
        <w:t>10.1)</w:t>
      </w:r>
      <w:r>
        <w:tab/>
        <w:t>mi pu'o damba</w:t>
      </w:r>
    </w:p>
    <w:p w:rsidR="00B72047" w:rsidRDefault="00B72047">
      <w:pPr>
        <w:pStyle w:val="examplescaled"/>
      </w:pPr>
      <w:r>
        <w:tab/>
        <w:t>I [inchoative] fight.</w:t>
      </w:r>
    </w:p>
    <w:p w:rsidR="00B72047" w:rsidRDefault="00B72047">
      <w:pPr>
        <w:pStyle w:val="examplescaled"/>
      </w:pPr>
      <w:r>
        <w:tab/>
        <w:t>I'm on the verge of fighting.</w:t>
      </w:r>
    </w:p>
    <w:p w:rsidR="00B72047" w:rsidRDefault="00B72047">
      <w:pPr>
        <w:pStyle w:val="examplescaledpre"/>
        <w:spacing w:before="0"/>
      </w:pPr>
      <w:r>
        <w:rPr>
          <w:rStyle w:val="htmlcodes"/>
        </w:rPr>
        <w:t>&lt;/pre&gt;</w:t>
      </w:r>
      <w:r>
        <w:rPr>
          <w:rStyle w:val="indexentry"/>
        </w:rPr>
        <w:t>&lt;ex "continues"&gt;</w:t>
      </w:r>
      <w:r>
        <w:rPr>
          <w:rStyle w:val="indexentry"/>
        </w:rPr>
        <w:fldChar w:fldCharType="begin"/>
      </w:r>
      <w:r>
        <w:instrText>xe "</w:instrText>
      </w:r>
      <w:r>
        <w:rPr>
          <w:rStyle w:val="xeentry"/>
        </w:rPr>
        <w:instrText>continues: example</w:instrText>
      </w:r>
      <w:r>
        <w:instrText>"</w:instrText>
      </w:r>
      <w:r>
        <w:rPr>
          <w:rStyle w:val="indexentry"/>
        </w:rPr>
        <w:fldChar w:fldCharType="end"/>
      </w:r>
      <w:r>
        <w:rPr>
          <w:rStyle w:val="indexentry"/>
        </w:rPr>
        <w:t>&lt;cx "event contour, continuitive"&gt;</w:t>
      </w:r>
      <w:r>
        <w:rPr>
          <w:rStyle w:val="indexentry"/>
        </w:rPr>
        <w:fldChar w:fldCharType="begin"/>
      </w:r>
      <w:r>
        <w:instrText>xe "</w:instrText>
      </w:r>
      <w:r>
        <w:rPr>
          <w:rStyle w:val="xeentry"/>
        </w:rPr>
        <w:instrText>event contours: continuitive</w:instrText>
      </w:r>
      <w:r>
        <w:instrText>"</w:instrText>
      </w:r>
      <w:r>
        <w:rPr>
          <w:rStyle w:val="indexentry"/>
        </w:rPr>
        <w:fldChar w:fldCharType="end"/>
      </w:r>
      <w:r>
        <w:rPr>
          <w:rStyle w:val="htmlcodes"/>
        </w:rPr>
        <w:t>&lt;pre&gt;&lt;a name=e10d2&gt;</w:t>
      </w:r>
      <w:r>
        <w:t>10.2)</w:t>
      </w:r>
      <w:r>
        <w:tab/>
        <w:t>la stiv. ca'o bacru</w:t>
      </w:r>
    </w:p>
    <w:p w:rsidR="00B72047" w:rsidRDefault="00B72047">
      <w:pPr>
        <w:pStyle w:val="examplescaled"/>
      </w:pPr>
      <w:r>
        <w:tab/>
        <w:t>Steve [continuitive] utters.</w:t>
      </w:r>
    </w:p>
    <w:p w:rsidR="00B72047" w:rsidRDefault="00B72047">
      <w:pPr>
        <w:pStyle w:val="examplescaled"/>
      </w:pPr>
      <w:r>
        <w:tab/>
        <w:t>Steve continues to talk.</w:t>
      </w:r>
    </w:p>
    <w:p w:rsidR="00B72047" w:rsidRDefault="00B72047">
      <w:pPr>
        <w:pStyle w:val="examplescaledpre"/>
        <w:spacing w:before="0"/>
      </w:pPr>
      <w:r>
        <w:rPr>
          <w:rStyle w:val="htmlcodes"/>
        </w:rPr>
        <w:t>&lt;/pre&gt;</w:t>
      </w:r>
      <w:r>
        <w:rPr>
          <w:rStyle w:val="indexentry"/>
        </w:rPr>
        <w:t>&lt;ex "finished"&gt;</w:t>
      </w:r>
      <w:r>
        <w:rPr>
          <w:rStyle w:val="indexentry"/>
        </w:rPr>
        <w:fldChar w:fldCharType="begin"/>
      </w:r>
      <w:r>
        <w:instrText>xe "</w:instrText>
      </w:r>
      <w:r>
        <w:rPr>
          <w:rStyle w:val="xeentry"/>
        </w:rPr>
        <w:instrText>finished: example</w:instrText>
      </w:r>
      <w:r>
        <w:instrText>"</w:instrText>
      </w:r>
      <w:r>
        <w:rPr>
          <w:rStyle w:val="indexentry"/>
        </w:rPr>
        <w:fldChar w:fldCharType="end"/>
      </w:r>
      <w:r>
        <w:rPr>
          <w:rStyle w:val="indexentry"/>
        </w:rPr>
        <w:t>&lt;cx "event contour, perfective"&gt;</w:t>
      </w:r>
      <w:r>
        <w:rPr>
          <w:rStyle w:val="indexentry"/>
        </w:rPr>
        <w:fldChar w:fldCharType="begin"/>
      </w:r>
      <w:r>
        <w:instrText>xe "</w:instrText>
      </w:r>
      <w:r>
        <w:rPr>
          <w:rStyle w:val="xeentry"/>
        </w:rPr>
        <w:instrText>event contours: perfective</w:instrText>
      </w:r>
      <w:r>
        <w:instrText>"</w:instrText>
      </w:r>
      <w:r>
        <w:rPr>
          <w:rStyle w:val="indexentry"/>
        </w:rPr>
        <w:fldChar w:fldCharType="end"/>
      </w:r>
      <w:r>
        <w:rPr>
          <w:rStyle w:val="htmlcodes"/>
        </w:rPr>
        <w:t>&lt;pre&gt;&lt;a name=e10d3&gt;</w:t>
      </w:r>
      <w:r>
        <w:t>10.3)</w:t>
      </w:r>
      <w:r>
        <w:tab/>
        <w:t>le verba ba'o cadzu le bisli</w:t>
      </w:r>
    </w:p>
    <w:p w:rsidR="00B72047" w:rsidRDefault="00B72047">
      <w:pPr>
        <w:pStyle w:val="examplescaled"/>
      </w:pPr>
      <w:r>
        <w:tab/>
        <w:t>The child [perfective] walks-on the ice.</w:t>
      </w:r>
    </w:p>
    <w:p w:rsidR="00B72047" w:rsidRDefault="00B72047">
      <w:pPr>
        <w:pStyle w:val="examplescaled"/>
      </w:pPr>
      <w:r>
        <w:tab/>
        <w:t>The child is finished walking on the ice.</w:t>
      </w:r>
    </w:p>
    <w:p w:rsidR="00B72047" w:rsidRDefault="00B72047">
      <w:pPr>
        <w:pStyle w:val="normalafterexample"/>
      </w:pPr>
      <w:r>
        <w:rPr>
          <w:rStyle w:val="htmlcodes"/>
        </w:rPr>
        <w:t>&lt;/pre&gt;</w:t>
      </w:r>
      <w:r>
        <w:rPr>
          <w:rStyle w:val="indexentry"/>
        </w:rPr>
        <w:t>&lt;cx "event contours, implications on scope of event"&gt;</w:t>
      </w:r>
      <w:r>
        <w:rPr>
          <w:rStyle w:val="indexentry"/>
        </w:rPr>
        <w:fldChar w:fldCharType="begin"/>
      </w:r>
      <w:r>
        <w:instrText>xe "</w:instrText>
      </w:r>
      <w:r>
        <w:rPr>
          <w:rStyle w:val="xeentry"/>
        </w:rPr>
        <w:instrText>event contours: implications on scope of event</w:instrText>
      </w:r>
      <w:r>
        <w:instrText>"</w:instrText>
      </w:r>
      <w:r>
        <w:rPr>
          <w:rStyle w:val="indexentry"/>
        </w:rPr>
        <w:fldChar w:fldCharType="end"/>
      </w:r>
      <w:r>
        <w:rPr>
          <w:rStyle w:val="indexentry"/>
        </w:rPr>
        <w:t>&lt;cx "event contours, contrasted with tense direction in implication of extent"&gt;</w:t>
      </w:r>
      <w:r>
        <w:rPr>
          <w:rStyle w:val="indexentry"/>
        </w:rPr>
        <w:fldChar w:fldCharType="begin"/>
      </w:r>
      <w:r>
        <w:instrText>xe "</w:instrText>
      </w:r>
      <w:r>
        <w:rPr>
          <w:rStyle w:val="xeentry"/>
        </w:rPr>
        <w:instrText>event contours: contrasted with tense direction in implication of extent</w:instrText>
      </w:r>
      <w:r>
        <w:instrText>"</w:instrText>
      </w:r>
      <w:r>
        <w:rPr>
          <w:rStyle w:val="indexentry"/>
        </w:rPr>
        <w:fldChar w:fldCharType="end"/>
      </w:r>
      <w:r>
        <w:rPr>
          <w:rStyle w:val="indexentry"/>
        </w:rPr>
        <w:t>&lt;cx "tense direction, contrasted with event contours in implication of extent"&gt;</w:t>
      </w:r>
      <w:r>
        <w:rPr>
          <w:rStyle w:val="indexentry"/>
        </w:rPr>
        <w:fldChar w:fldCharType="begin"/>
      </w:r>
      <w:r>
        <w:instrText>xe "</w:instrText>
      </w:r>
      <w:r>
        <w:rPr>
          <w:rStyle w:val="xeentry"/>
        </w:rPr>
        <w:instrText>tense direction: contrasted with event contours in implication of extent</w:instrText>
      </w:r>
      <w:r>
        <w:instrText>"</w:instrText>
      </w:r>
      <w:r>
        <w:rPr>
          <w:rStyle w:val="indexentry"/>
        </w:rPr>
        <w:fldChar w:fldCharType="end"/>
      </w:r>
      <w:r>
        <w:t xml:space="preserve">As discussed in </w:t>
      </w:r>
      <w:r>
        <w:rPr>
          <w:rStyle w:val="htmlcodes"/>
        </w:rPr>
        <w:t>&lt;a href=#s6&gt;</w:t>
      </w:r>
      <w:r>
        <w:t>Section 6</w:t>
      </w:r>
      <w:r>
        <w:rPr>
          <w:rStyle w:val="htmlcodes"/>
        </w:rPr>
        <w:t>&lt;/a&gt;</w:t>
      </w:r>
      <w:r>
        <w:t>, the simple PU cmavo make no assumptions about</w:t>
      </w:r>
      <w:r>
        <w:rPr>
          <w:rStyle w:val="deletedparamark"/>
        </w:rPr>
        <w:t xml:space="preserve"> </w:t>
      </w:r>
      <w:r>
        <w:t>whether the scope of a past, present, or future event extends into one</w:t>
      </w:r>
      <w:r>
        <w:rPr>
          <w:rStyle w:val="deletedparamark"/>
        </w:rPr>
        <w:t xml:space="preserve"> </w:t>
      </w:r>
      <w:r>
        <w:t xml:space="preserve">of the other tenses as well. </w:t>
      </w:r>
      <w:r>
        <w:rPr>
          <w:rStyle w:val="htmlcodes"/>
        </w:rPr>
        <w:t>&lt;a href=#e10d{1}&gt;</w:t>
      </w:r>
      <w:r>
        <w:t xml:space="preserve">Examples 10.1 </w:t>
      </w:r>
      <w:r>
        <w:rPr>
          <w:rStyle w:val="htmlcodes"/>
        </w:rPr>
        <w:t>&lt;/a&gt;</w:t>
      </w:r>
      <w:r>
        <w:t xml:space="preserve">through </w:t>
      </w:r>
      <w:r>
        <w:rPr>
          <w:rStyle w:val="htmlcodes"/>
        </w:rPr>
        <w:t>&lt;a href=#e10d3&gt;</w:t>
      </w:r>
      <w:r>
        <w:t xml:space="preserve">10.3 </w:t>
      </w:r>
      <w:r>
        <w:rPr>
          <w:rStyle w:val="htmlcodes"/>
        </w:rPr>
        <w:t>&lt;/a&gt;</w:t>
      </w:r>
      <w:r>
        <w:t>illustrate that</w:t>
      </w:r>
      <w:r>
        <w:rPr>
          <w:rStyle w:val="deletedparamark"/>
        </w:rPr>
        <w:t xml:space="preserve"> </w:t>
      </w:r>
      <w:r>
        <w:t>these ZAhO cmavo do make such as</w:t>
      </w:r>
      <w:r>
        <w:softHyphen/>
        <w:t>sumptions possible: the event in 10.1 has</w:t>
      </w:r>
      <w:r>
        <w:rPr>
          <w:rStyle w:val="deletedparamark"/>
        </w:rPr>
        <w:t xml:space="preserve"> </w:t>
      </w:r>
      <w:r>
        <w:t>not yet begun, definitively; likewise, the event in 10.3 is definitely</w:t>
      </w:r>
      <w:r>
        <w:rPr>
          <w:rStyle w:val="deletedparamark"/>
        </w:rPr>
        <w:t xml:space="preserve"> </w:t>
      </w:r>
      <w:r>
        <w:t>over.</w:t>
      </w:r>
    </w:p>
    <w:p w:rsidR="00B72047" w:rsidRDefault="00B72047">
      <w:pPr>
        <w:rPr>
          <w:rStyle w:val="htmlparacode"/>
        </w:rPr>
      </w:pPr>
      <w:r>
        <w:rPr>
          <w:rStyle w:val="htmlparacode"/>
        </w:rPr>
        <w:t>&lt;p&gt;</w:t>
      </w:r>
    </w:p>
    <w:p w:rsidR="00B72047" w:rsidRDefault="00B72047">
      <w:pPr>
        <w:pStyle w:val="normalparagraph"/>
      </w:pPr>
      <w:r>
        <w:rPr>
          <w:rStyle w:val="indexentry"/>
        </w:rPr>
        <w:t>&lt;cx "pu'o, explanation of derivation"&gt;</w:t>
      </w:r>
      <w:r>
        <w:rPr>
          <w:rStyle w:val="indexentry"/>
        </w:rPr>
        <w:fldChar w:fldCharType="begin"/>
      </w:r>
      <w:r>
        <w:instrText>xe "</w:instrText>
      </w:r>
      <w:r>
        <w:rPr>
          <w:rStyle w:val="xeentry"/>
        </w:rPr>
        <w:instrText>pu'o: explanation of derivation</w:instrText>
      </w:r>
      <w:r>
        <w:instrText>"</w:instrText>
      </w:r>
      <w:r>
        <w:rPr>
          <w:rStyle w:val="indexentry"/>
        </w:rPr>
        <w:fldChar w:fldCharType="end"/>
      </w:r>
      <w:r>
        <w:rPr>
          <w:rStyle w:val="indexentry"/>
        </w:rPr>
        <w:t>&lt;cx "ba'o, explanation of derivation"&gt;</w:t>
      </w:r>
      <w:r>
        <w:rPr>
          <w:rStyle w:val="indexentry"/>
        </w:rPr>
        <w:fldChar w:fldCharType="begin"/>
      </w:r>
      <w:r>
        <w:instrText>xe "</w:instrText>
      </w:r>
      <w:r>
        <w:rPr>
          <w:rStyle w:val="xeentry"/>
        </w:rPr>
        <w:instrText>ba'o: explanation of derivation</w:instrText>
      </w:r>
      <w:r>
        <w:instrText>"</w:instrText>
      </w:r>
      <w:r>
        <w:rPr>
          <w:rStyle w:val="indexentry"/>
        </w:rPr>
        <w:fldChar w:fldCharType="end"/>
      </w:r>
      <w:r>
        <w:rPr>
          <w:rStyle w:val="indexentry"/>
        </w:rPr>
        <w:t>&lt;cx "pu'o, as pastward of event"&gt;</w:t>
      </w:r>
      <w:r>
        <w:rPr>
          <w:rStyle w:val="indexentry"/>
        </w:rPr>
        <w:fldChar w:fldCharType="begin"/>
      </w:r>
      <w:r>
        <w:instrText>xe "</w:instrText>
      </w:r>
      <w:r>
        <w:rPr>
          <w:rStyle w:val="xeentry"/>
        </w:rPr>
        <w:instrText>pu'o: as pastward of event</w:instrText>
      </w:r>
      <w:r>
        <w:instrText>"</w:instrText>
      </w:r>
      <w:r>
        <w:rPr>
          <w:rStyle w:val="indexentry"/>
        </w:rPr>
        <w:fldChar w:fldCharType="end"/>
      </w:r>
      <w:r>
        <w:rPr>
          <w:rStyle w:val="indexentry"/>
        </w:rPr>
        <w:t>&lt;cx "ba'o, as futureward of event"&gt;</w:t>
      </w:r>
      <w:r>
        <w:rPr>
          <w:rStyle w:val="indexentry"/>
        </w:rPr>
        <w:fldChar w:fldCharType="begin"/>
      </w:r>
      <w:r>
        <w:instrText>xe "</w:instrText>
      </w:r>
      <w:r>
        <w:rPr>
          <w:rStyle w:val="xeentry"/>
        </w:rPr>
        <w:instrText>ba'o: as futureward of event</w:instrText>
      </w:r>
      <w:r>
        <w:instrText>"</w:instrText>
      </w:r>
      <w:r>
        <w:rPr>
          <w:rStyle w:val="indexentry"/>
        </w:rPr>
        <w:fldChar w:fldCharType="end"/>
      </w:r>
      <w:r>
        <w:t xml:space="preserve">Note that in </w:t>
      </w:r>
      <w:r>
        <w:rPr>
          <w:rStyle w:val="htmlcodes"/>
        </w:rPr>
        <w:t>&lt;a href=#e10d1&gt;</w:t>
      </w:r>
      <w:r>
        <w:t xml:space="preserve">Example 10.1 </w:t>
      </w:r>
      <w:r>
        <w:rPr>
          <w:rStyle w:val="htmlcodes"/>
        </w:rPr>
        <w:t>&lt;/a&gt;</w:t>
      </w:r>
      <w:r>
        <w:t xml:space="preserve">and </w:t>
      </w:r>
      <w:r>
        <w:rPr>
          <w:rStyle w:val="htmlcodes"/>
        </w:rPr>
        <w:t>&lt;a href=#e10d3&gt;</w:t>
      </w:r>
      <w:r>
        <w:t>Example 10.3</w:t>
      </w:r>
      <w:r>
        <w:rPr>
          <w:rStyle w:val="htmlcodes"/>
        </w:rPr>
        <w:t>&lt;/a&gt;</w:t>
      </w:r>
      <w:r>
        <w:t>, “pu'o” and “ba'o” may appear to</w:t>
      </w:r>
      <w:r>
        <w:rPr>
          <w:rStyle w:val="deletedparamark"/>
        </w:rPr>
        <w:t xml:space="preserve"> </w:t>
      </w:r>
      <w:r>
        <w:t>be r</w:t>
      </w:r>
      <w:r>
        <w:t>e</w:t>
      </w:r>
      <w:r>
        <w:softHyphen/>
        <w:t>versed: “pu'o”, although etymologically connected with “pu”, is</w:t>
      </w:r>
      <w:r>
        <w:rPr>
          <w:rStyle w:val="deletedparamark"/>
        </w:rPr>
        <w:t xml:space="preserve"> </w:t>
      </w:r>
      <w:r>
        <w:t>referring to a fu</w:t>
      </w:r>
      <w:r>
        <w:softHyphen/>
        <w:t>ture event; whereas “ba'o”, connected with “ba”, is</w:t>
      </w:r>
      <w:r>
        <w:rPr>
          <w:rStyle w:val="deletedparamark"/>
        </w:rPr>
        <w:t xml:space="preserve"> </w:t>
      </w:r>
      <w:r>
        <w:t>referring to a past event. This is the natural result of the event-centered</w:t>
      </w:r>
      <w:r>
        <w:rPr>
          <w:rStyle w:val="deletedparamark"/>
        </w:rPr>
        <w:t xml:space="preserve"> </w:t>
      </w:r>
      <w:r>
        <w:t>view of ZAhO cmavo. The inchoative, or “pu'o”, part of an event, is in the</w:t>
      </w:r>
      <w:r>
        <w:rPr>
          <w:rStyle w:val="deletedparamark"/>
        </w:rPr>
        <w:t xml:space="preserve"> “</w:t>
      </w:r>
      <w:r>
        <w:t>pastward” portion of that event, when seen from the perspec</w:t>
      </w:r>
      <w:r>
        <w:softHyphen/>
        <w:t>tive of the</w:t>
      </w:r>
      <w:r>
        <w:rPr>
          <w:rStyle w:val="deletedparamark"/>
        </w:rPr>
        <w:t xml:space="preserve"> </w:t>
      </w:r>
      <w:r>
        <w:t>event itself. It is only by infer</w:t>
      </w:r>
      <w:r>
        <w:softHyphen/>
        <w:t xml:space="preserve">ence that we suppose that </w:t>
      </w:r>
      <w:r>
        <w:rPr>
          <w:rStyle w:val="htmlcodes"/>
        </w:rPr>
        <w:t>&lt;a href=#e10d1&gt;</w:t>
      </w:r>
      <w:r>
        <w:t xml:space="preserve">Example 10.1 </w:t>
      </w:r>
      <w:r>
        <w:rPr>
          <w:rStyle w:val="htmlcodes"/>
        </w:rPr>
        <w:t>&lt;/a&gt;</w:t>
      </w:r>
      <w:r>
        <w:t>refers to the speaker's fu</w:t>
      </w:r>
      <w:r>
        <w:softHyphen/>
        <w:t>ture: in fact, no PU tense is given, so the</w:t>
      </w:r>
      <w:r>
        <w:rPr>
          <w:rStyle w:val="deletedparamark"/>
        </w:rPr>
        <w:t xml:space="preserve"> </w:t>
      </w:r>
      <w:r>
        <w:t>inchoative part of the event need not be coincident with the speaker's</w:t>
      </w:r>
      <w:r>
        <w:rPr>
          <w:rStyle w:val="deletedparamark"/>
        </w:rPr>
        <w:t xml:space="preserve"> </w:t>
      </w:r>
      <w:r>
        <w:t>present: “pu'o” is not nec</w:t>
      </w:r>
      <w:r>
        <w:softHyphen/>
        <w:t>essarily, though in fact often is, the same as</w:t>
      </w:r>
      <w:r>
        <w:rPr>
          <w:rStyle w:val="deletedparamark"/>
        </w:rPr>
        <w:t xml:space="preserve"> “</w:t>
      </w:r>
      <w:r>
        <w:t>ca pu'o”.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"event contours, points associated with"&gt;</w:t>
      </w:r>
      <w:r>
        <w:rPr>
          <w:rStyle w:val="indexentry"/>
        </w:rPr>
        <w:fldChar w:fldCharType="begin"/>
      </w:r>
      <w:r>
        <w:instrText>xe "</w:instrText>
      </w:r>
      <w:r>
        <w:rPr>
          <w:rStyle w:val="xeentry"/>
        </w:rPr>
        <w:instrText>event contours: points associated with</w:instrText>
      </w:r>
      <w:r>
        <w:instrText>"</w:instrText>
      </w:r>
      <w:r>
        <w:rPr>
          <w:rStyle w:val="indexentry"/>
        </w:rPr>
        <w:fldChar w:fldCharType="end"/>
      </w:r>
      <w:r>
        <w:rPr>
          <w:rStyle w:val="indexentry"/>
        </w:rPr>
        <w:t>&lt;cx "event contours, division of the event into"&gt;</w:t>
      </w:r>
      <w:r>
        <w:rPr>
          <w:rStyle w:val="indexentry"/>
        </w:rPr>
        <w:fldChar w:fldCharType="begin"/>
      </w:r>
      <w:r>
        <w:instrText>xe "</w:instrText>
      </w:r>
      <w:r>
        <w:rPr>
          <w:rStyle w:val="xeentry"/>
        </w:rPr>
        <w:instrText>event contours: division of the event into</w:instrText>
      </w:r>
      <w:r>
        <w:instrText>"</w:instrText>
      </w:r>
      <w:r>
        <w:rPr>
          <w:rStyle w:val="indexentry"/>
        </w:rPr>
        <w:fldChar w:fldCharType="end"/>
      </w:r>
      <w:r>
        <w:rPr>
          <w:rStyle w:val="indexentry"/>
        </w:rPr>
        <w:t>&lt;cx "event contour, initiative"&gt;</w:t>
      </w:r>
      <w:r>
        <w:rPr>
          <w:rStyle w:val="indexentry"/>
        </w:rPr>
        <w:fldChar w:fldCharType="begin"/>
      </w:r>
      <w:r>
        <w:instrText>xe "</w:instrText>
      </w:r>
      <w:r>
        <w:rPr>
          <w:rStyle w:val="xeentry"/>
        </w:rPr>
        <w:instrText>event contours: initiative</w:instrText>
      </w:r>
      <w:r>
        <w:instrText>"</w:instrText>
      </w:r>
      <w:r>
        <w:rPr>
          <w:rStyle w:val="indexentry"/>
        </w:rPr>
        <w:fldChar w:fldCharType="end"/>
      </w:r>
      <w:r>
        <w:rPr>
          <w:rStyle w:val="indexentry"/>
        </w:rPr>
        <w:t>&lt;cx "event contour, cessative"&gt;</w:t>
      </w:r>
      <w:r>
        <w:rPr>
          <w:rStyle w:val="indexentry"/>
        </w:rPr>
        <w:fldChar w:fldCharType="begin"/>
      </w:r>
      <w:r>
        <w:instrText>xe "</w:instrText>
      </w:r>
      <w:r>
        <w:rPr>
          <w:rStyle w:val="xeentry"/>
        </w:rPr>
        <w:instrText>event contours: cessative</w:instrText>
      </w:r>
      <w:r>
        <w:instrText>"</w:instrText>
      </w:r>
      <w:r>
        <w:rPr>
          <w:rStyle w:val="indexentry"/>
        </w:rPr>
        <w:fldChar w:fldCharType="end"/>
      </w:r>
      <w:r>
        <w:t xml:space="preserve">The cmavo in </w:t>
      </w:r>
      <w:r>
        <w:rPr>
          <w:rStyle w:val="htmlcodes"/>
        </w:rPr>
        <w:t>&lt;a href=#e10d{1}&gt;</w:t>
      </w:r>
      <w:r>
        <w:t xml:space="preserve">Examples 10.1 </w:t>
      </w:r>
      <w:r>
        <w:rPr>
          <w:rStyle w:val="htmlcodes"/>
        </w:rPr>
        <w:t>&lt;/a&gt;</w:t>
      </w:r>
      <w:r>
        <w:t xml:space="preserve">through </w:t>
      </w:r>
      <w:r>
        <w:rPr>
          <w:rStyle w:val="htmlcodes"/>
        </w:rPr>
        <w:t>&lt;a href=#e10d3&gt;</w:t>
      </w:r>
      <w:r>
        <w:t xml:space="preserve">10.3 </w:t>
      </w:r>
      <w:r>
        <w:rPr>
          <w:rStyle w:val="htmlcodes"/>
        </w:rPr>
        <w:t>&lt;/a&gt;</w:t>
      </w:r>
      <w:r>
        <w:t>refer to spans of time. There are</w:t>
      </w:r>
      <w:r>
        <w:rPr>
          <w:rStyle w:val="deletedparamark"/>
        </w:rPr>
        <w:t xml:space="preserve"> </w:t>
      </w:r>
      <w:r>
        <w:t>also two points of time that can be usefully associ</w:t>
      </w:r>
      <w:r>
        <w:softHyphen/>
        <w:t>ated with an event: the</w:t>
      </w:r>
      <w:r>
        <w:rPr>
          <w:rStyle w:val="deletedparamark"/>
        </w:rPr>
        <w:t xml:space="preserve"> </w:t>
      </w:r>
      <w:r>
        <w:t>beginning, marked by “co'a”, and the end, marked by “co'u”. Specifically,</w:t>
      </w:r>
      <w:r>
        <w:rPr>
          <w:rStyle w:val="deletedparamark"/>
        </w:rPr>
        <w:t xml:space="preserve"> “</w:t>
      </w:r>
      <w:r>
        <w:t>co'a” marks the bound</w:t>
      </w:r>
      <w:r>
        <w:softHyphen/>
        <w:t>ary between the “pu'o” and “ca'o” parts of an event,</w:t>
      </w:r>
      <w:r>
        <w:rPr>
          <w:rStyle w:val="deletedparamark"/>
        </w:rPr>
        <w:t xml:space="preserve"> </w:t>
      </w:r>
      <w:r>
        <w:t>and “co'u” marks the boundary between the “ca'o” and “ba'o” parts: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mi ba co'a citka le mi sanmi</w:t>
      </w:r>
    </w:p>
    <w:p w:rsidR="00B72047" w:rsidRDefault="00B72047">
      <w:pPr>
        <w:pStyle w:val="examplescaled"/>
      </w:pPr>
      <w:r>
        <w:tab/>
        <w:t>I [future] [initiative] eat my meal.</w:t>
      </w:r>
    </w:p>
    <w:p w:rsidR="00B72047" w:rsidRDefault="00B72047">
      <w:pPr>
        <w:pStyle w:val="examplescaled"/>
      </w:pPr>
      <w:r>
        <w:tab/>
        <w:t>I will begin to eat my meal.</w:t>
      </w:r>
    </w:p>
    <w:p w:rsidR="00B72047" w:rsidRDefault="00B72047">
      <w:pPr>
        <w:pStyle w:val="examplescaledpre"/>
      </w:pPr>
      <w:r>
        <w:rPr>
          <w:rStyle w:val="htmlcodes"/>
        </w:rPr>
        <w:t>&lt;a name=e10d5&gt;</w:t>
      </w:r>
      <w:r>
        <w:t>10.5)</w:t>
      </w:r>
      <w:r>
        <w:tab/>
        <w:t>mi pu co'u citka le mi sanmi</w:t>
      </w:r>
    </w:p>
    <w:p w:rsidR="00B72047" w:rsidRDefault="00B72047">
      <w:pPr>
        <w:pStyle w:val="examplescaled"/>
      </w:pPr>
      <w:r>
        <w:tab/>
        <w:t>I [past] [cessitive] eat my meal.</w:t>
      </w:r>
    </w:p>
    <w:p w:rsidR="00B72047" w:rsidRDefault="00B72047">
      <w:pPr>
        <w:pStyle w:val="examplescaled"/>
      </w:pPr>
      <w:r>
        <w:tab/>
        <w:t>I ceased eating my meal.</w:t>
      </w:r>
    </w:p>
    <w:p w:rsidR="00B72047" w:rsidRDefault="00B72047">
      <w:pPr>
        <w:pStyle w:val="resumedafterexample"/>
      </w:pPr>
      <w:r>
        <w:rPr>
          <w:rStyle w:val="htmlcodes"/>
        </w:rPr>
        <w:t>&lt;/pre&gt;&lt;p&gt;</w:t>
      </w:r>
      <w:r>
        <w:t xml:space="preserve">Compare </w:t>
      </w:r>
      <w:r>
        <w:rPr>
          <w:rStyle w:val="htmlcodes"/>
        </w:rPr>
        <w:t>&lt;a href=#e10d4&gt;</w:t>
      </w:r>
      <w:r>
        <w:t xml:space="preserve">Example 10.4 </w:t>
      </w:r>
      <w:r>
        <w:rPr>
          <w:rStyle w:val="htmlcodes"/>
        </w:rPr>
        <w:t>&lt;/a&gt;</w:t>
      </w:r>
      <w:r>
        <w:t>with: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mi ba di'i co'a bajra</w:t>
      </w:r>
    </w:p>
    <w:p w:rsidR="00B72047" w:rsidRDefault="00B72047">
      <w:pPr>
        <w:pStyle w:val="examplescaled"/>
      </w:pPr>
      <w:r>
        <w:tab/>
        <w:t>I [future] [regularly] [initiative] run.</w:t>
      </w:r>
    </w:p>
    <w:p w:rsidR="00B72047" w:rsidRDefault="00B72047">
      <w:pPr>
        <w:pStyle w:val="examplescaled"/>
      </w:pPr>
      <w:r>
        <w:tab/>
        <w:t>I will regularly begin to run.</w:t>
      </w:r>
    </w:p>
    <w:p w:rsidR="00B72047" w:rsidRDefault="00B72047">
      <w:pPr>
        <w:pStyle w:val="resumedafterexample"/>
      </w:pPr>
      <w:r>
        <w:rPr>
          <w:rStyle w:val="htmlcodes"/>
        </w:rPr>
        <w:t>&lt;/pre&gt;</w:t>
      </w:r>
      <w:r>
        <w:t>which illustrates the combination of a TAhE with a ZAhO.</w:t>
      </w:r>
    </w:p>
    <w:p w:rsidR="00B72047" w:rsidRDefault="00B72047">
      <w:pPr>
        <w:rPr>
          <w:rStyle w:val="htmlparacode"/>
        </w:rPr>
      </w:pPr>
      <w:r>
        <w:rPr>
          <w:rStyle w:val="htmlparacode"/>
        </w:rPr>
        <w:t>&lt;p&gt;</w:t>
      </w:r>
    </w:p>
    <w:p w:rsidR="00B72047" w:rsidRDefault="00B72047">
      <w:pPr>
        <w:pStyle w:val="normalparagraph"/>
      </w:pPr>
      <w:r>
        <w:rPr>
          <w:rStyle w:val="indexentry"/>
        </w:rPr>
        <w:t>&lt;cx "natural end, contrasted with actual stop"&gt;</w:t>
      </w:r>
      <w:r>
        <w:rPr>
          <w:rStyle w:val="indexentry"/>
        </w:rPr>
        <w:fldChar w:fldCharType="begin"/>
      </w:r>
      <w:r>
        <w:instrText>xe "</w:instrText>
      </w:r>
      <w:r>
        <w:rPr>
          <w:rStyle w:val="xeentry"/>
        </w:rPr>
        <w:instrText>natural end: contrasted with actual stop</w:instrText>
      </w:r>
      <w:r>
        <w:instrText>"</w:instrText>
      </w:r>
      <w:r>
        <w:rPr>
          <w:rStyle w:val="indexentry"/>
        </w:rPr>
        <w:fldChar w:fldCharType="end"/>
      </w:r>
      <w:r>
        <w:rPr>
          <w:rStyle w:val="indexentry"/>
        </w:rPr>
        <w:t>&lt;cx "actual stop, contrasted with natural end"&gt;</w:t>
      </w:r>
      <w:r>
        <w:rPr>
          <w:rStyle w:val="indexentry"/>
        </w:rPr>
        <w:fldChar w:fldCharType="begin"/>
      </w:r>
      <w:r>
        <w:instrText>xe "</w:instrText>
      </w:r>
      <w:r>
        <w:rPr>
          <w:rStyle w:val="xeentry"/>
        </w:rPr>
        <w:instrText>actual stop: contrasted with natural end</w:instrText>
      </w:r>
      <w:r>
        <w:instrText>"</w:instrText>
      </w:r>
      <w:r>
        <w:rPr>
          <w:rStyle w:val="indexentry"/>
        </w:rPr>
        <w:fldChar w:fldCharType="end"/>
      </w:r>
      <w:r>
        <w:rPr>
          <w:rStyle w:val="indexentry"/>
        </w:rPr>
        <w:t>&lt;cx "finish, contrasted with stop"&gt;</w:t>
      </w:r>
      <w:r>
        <w:rPr>
          <w:rStyle w:val="indexentry"/>
        </w:rPr>
        <w:fldChar w:fldCharType="begin"/>
      </w:r>
      <w:r>
        <w:instrText>xe "</w:instrText>
      </w:r>
      <w:r>
        <w:rPr>
          <w:rStyle w:val="xeentry"/>
        </w:rPr>
        <w:instrText>finish: contrasted with stop</w:instrText>
      </w:r>
      <w:r>
        <w:instrText>"</w:instrText>
      </w:r>
      <w:r>
        <w:rPr>
          <w:rStyle w:val="indexentry"/>
        </w:rPr>
        <w:fldChar w:fldCharType="end"/>
      </w:r>
      <w:r>
        <w:rPr>
          <w:rStyle w:val="indexentry"/>
        </w:rPr>
        <w:t>&lt;cx "stop, contrasted with finish"&gt;</w:t>
      </w:r>
      <w:r>
        <w:rPr>
          <w:rStyle w:val="indexentry"/>
        </w:rPr>
        <w:fldChar w:fldCharType="begin"/>
      </w:r>
      <w:r>
        <w:instrText>xe "</w:instrText>
      </w:r>
      <w:r>
        <w:rPr>
          <w:rStyle w:val="xeentry"/>
        </w:rPr>
        <w:instrText>stop: contrasted with finish</w:instrText>
      </w:r>
      <w:r>
        <w:instrText>"</w:instrText>
      </w:r>
      <w:r>
        <w:rPr>
          <w:rStyle w:val="indexentry"/>
        </w:rPr>
        <w:fldChar w:fldCharType="end"/>
      </w:r>
      <w:r>
        <w:rPr>
          <w:rStyle w:val="indexentry"/>
        </w:rPr>
        <w:t>&lt;cx "event contour, completitive"&gt;</w:t>
      </w:r>
      <w:r>
        <w:rPr>
          <w:rStyle w:val="indexentry"/>
        </w:rPr>
        <w:fldChar w:fldCharType="begin"/>
      </w:r>
      <w:r>
        <w:instrText>xe "</w:instrText>
      </w:r>
      <w:r>
        <w:rPr>
          <w:rStyle w:val="xeentry"/>
        </w:rPr>
        <w:instrText>event contours: completitive</w:instrText>
      </w:r>
      <w:r>
        <w:instrText>"</w:instrText>
      </w:r>
      <w:r>
        <w:rPr>
          <w:rStyle w:val="indexentry"/>
        </w:rPr>
        <w:fldChar w:fldCharType="end"/>
      </w:r>
      <w:r>
        <w:t>A process can have two end points, one reflecting the “natural end” (when</w:t>
      </w:r>
      <w:r>
        <w:rPr>
          <w:rStyle w:val="deletedparamark"/>
        </w:rPr>
        <w:t xml:space="preserve"> </w:t>
      </w:r>
      <w:r>
        <w:t>the pro</w:t>
      </w:r>
      <w:r>
        <w:t>c</w:t>
      </w:r>
      <w:r>
        <w:softHyphen/>
        <w:t>ess is complete) and the other reflecting the “actual stopping point”</w:t>
      </w:r>
      <w:r>
        <w:rPr>
          <w:rStyle w:val="deletedparamark"/>
        </w:rPr>
        <w:t xml:space="preserve"> </w:t>
      </w:r>
      <w:r>
        <w:t>(whether com</w:t>
      </w:r>
      <w:r>
        <w:softHyphen/>
        <w:t xml:space="preserve">plete or not). </w:t>
      </w:r>
      <w:r>
        <w:rPr>
          <w:rStyle w:val="htmlcodes"/>
        </w:rPr>
        <w:t>&lt;a href=#e10d5&gt;</w:t>
      </w:r>
      <w:r>
        <w:t xml:space="preserve">Example 10.5 </w:t>
      </w:r>
      <w:r>
        <w:rPr>
          <w:rStyle w:val="htmlcodes"/>
        </w:rPr>
        <w:t>&lt;/a&gt;</w:t>
      </w:r>
      <w:r>
        <w:t>may be contrasted with: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name=e10d7&gt;</w:t>
      </w:r>
      <w:r>
        <w:t>10.7)</w:t>
      </w:r>
      <w:r>
        <w:tab/>
        <w:t>mi pu mo'u citka le mi sanmi</w:t>
      </w:r>
    </w:p>
    <w:p w:rsidR="00B72047" w:rsidRDefault="00B72047">
      <w:pPr>
        <w:pStyle w:val="examplescaled"/>
      </w:pPr>
      <w:r>
        <w:tab/>
        <w:t>I [past] [completitive] eat my meal.</w:t>
      </w:r>
    </w:p>
    <w:p w:rsidR="00B72047" w:rsidRDefault="00B72047">
      <w:pPr>
        <w:pStyle w:val="examplescaled"/>
      </w:pPr>
      <w:r>
        <w:tab/>
        <w:t>I finished eating my meal.</w:t>
      </w:r>
    </w:p>
    <w:p w:rsidR="00B72047" w:rsidRDefault="00B72047">
      <w:pPr>
        <w:pStyle w:val="resumedafterexample"/>
      </w:pPr>
      <w:r>
        <w:rPr>
          <w:rStyle w:val="htmlcodes"/>
        </w:rPr>
        <w:t>&lt;/pre&gt;&lt;p&gt;</w:t>
      </w:r>
      <w:r>
        <w:t xml:space="preserve">In </w:t>
      </w:r>
      <w:r>
        <w:rPr>
          <w:rStyle w:val="htmlcodes"/>
        </w:rPr>
        <w:t>&lt;a href=#e10d7&gt;</w:t>
      </w:r>
      <w:r>
        <w:t>Example 10.7</w:t>
      </w:r>
      <w:r>
        <w:rPr>
          <w:rStyle w:val="htmlcodes"/>
        </w:rPr>
        <w:t>&lt;/a&gt;</w:t>
      </w:r>
      <w:r>
        <w:t xml:space="preserve">, the meal has reached its natural end; in </w:t>
      </w:r>
      <w:r>
        <w:rPr>
          <w:rStyle w:val="htmlcodes"/>
        </w:rPr>
        <w:t>&lt;a href=#e10d5&gt;</w:t>
      </w:r>
      <w:r>
        <w:t>Example 10.5</w:t>
      </w:r>
      <w:r>
        <w:rPr>
          <w:rStyle w:val="htmlcodes"/>
        </w:rPr>
        <w:t>&lt;/a&gt;</w:t>
      </w:r>
      <w:r>
        <w:t>, the</w:t>
      </w:r>
      <w:r>
        <w:rPr>
          <w:rStyle w:val="deletedparamark"/>
        </w:rPr>
        <w:t xml:space="preserve"> </w:t>
      </w:r>
      <w:r>
        <w:t>meal has merely ceased, without necessarily reaching its natural end.</w:t>
      </w:r>
    </w:p>
    <w:p w:rsidR="00B72047" w:rsidRDefault="00B72047">
      <w:pPr>
        <w:rPr>
          <w:rStyle w:val="htmlparacode"/>
        </w:rPr>
      </w:pPr>
      <w:r>
        <w:rPr>
          <w:rStyle w:val="htmlparacode"/>
        </w:rPr>
        <w:t>&lt;p&gt;</w:t>
      </w:r>
    </w:p>
    <w:p w:rsidR="00B72047" w:rsidRDefault="00B72047">
      <w:pPr>
        <w:pStyle w:val="normalparagraph"/>
      </w:pPr>
      <w:r>
        <w:rPr>
          <w:rStyle w:val="indexentry"/>
        </w:rPr>
        <w:t>&lt;cx "stop, contrasted with pause"&gt;</w:t>
      </w:r>
      <w:r>
        <w:rPr>
          <w:rStyle w:val="indexentry"/>
        </w:rPr>
        <w:fldChar w:fldCharType="begin"/>
      </w:r>
      <w:r>
        <w:instrText>xe "</w:instrText>
      </w:r>
      <w:r>
        <w:rPr>
          <w:rStyle w:val="xeentry"/>
        </w:rPr>
        <w:instrText>stop: contrasted with pause</w:instrText>
      </w:r>
      <w:r>
        <w:instrText>"</w:instrText>
      </w:r>
      <w:r>
        <w:rPr>
          <w:rStyle w:val="indexentry"/>
        </w:rPr>
        <w:fldChar w:fldCharType="end"/>
      </w:r>
      <w:r>
        <w:rPr>
          <w:rStyle w:val="indexentry"/>
        </w:rPr>
        <w:t>&lt;cx "pause, contrasted with stop"&gt;</w:t>
      </w:r>
      <w:r>
        <w:rPr>
          <w:rStyle w:val="indexentry"/>
        </w:rPr>
        <w:fldChar w:fldCharType="begin"/>
      </w:r>
      <w:r>
        <w:instrText>xe "</w:instrText>
      </w:r>
      <w:r>
        <w:rPr>
          <w:rStyle w:val="xeentry"/>
        </w:rPr>
        <w:instrText>pause: contrasted with stop</w:instrText>
      </w:r>
      <w:r>
        <w:instrText>"</w:instrText>
      </w:r>
      <w:r>
        <w:rPr>
          <w:rStyle w:val="indexentry"/>
        </w:rPr>
        <w:fldChar w:fldCharType="end"/>
      </w:r>
      <w:r>
        <w:rPr>
          <w:rStyle w:val="indexentry"/>
        </w:rPr>
        <w:t>&lt;cx "resume, contrasted with begin"&gt;</w:t>
      </w:r>
      <w:r>
        <w:rPr>
          <w:rStyle w:val="indexentry"/>
        </w:rPr>
        <w:fldChar w:fldCharType="begin"/>
      </w:r>
      <w:r>
        <w:instrText>xe "</w:instrText>
      </w:r>
      <w:r>
        <w:rPr>
          <w:rStyle w:val="xeentry"/>
        </w:rPr>
        <w:instrText>resume: contrasted with begin</w:instrText>
      </w:r>
      <w:r>
        <w:instrText>"</w:instrText>
      </w:r>
      <w:r>
        <w:rPr>
          <w:rStyle w:val="indexentry"/>
        </w:rPr>
        <w:fldChar w:fldCharType="end"/>
      </w:r>
      <w:r>
        <w:rPr>
          <w:rStyle w:val="indexentry"/>
        </w:rPr>
        <w:t>&lt;cx "begin, contrasted with resume"&gt;</w:t>
      </w:r>
      <w:r>
        <w:rPr>
          <w:rStyle w:val="indexentry"/>
        </w:rPr>
        <w:fldChar w:fldCharType="begin"/>
      </w:r>
      <w:r>
        <w:instrText>xe "</w:instrText>
      </w:r>
      <w:r>
        <w:rPr>
          <w:rStyle w:val="xeentry"/>
        </w:rPr>
        <w:instrText>begin: contrasted with resume</w:instrText>
      </w:r>
      <w:r>
        <w:instrText>"</w:instrText>
      </w:r>
      <w:r>
        <w:rPr>
          <w:rStyle w:val="indexentry"/>
        </w:rPr>
        <w:fldChar w:fldCharType="end"/>
      </w:r>
      <w:r>
        <w:rPr>
          <w:rStyle w:val="indexentry"/>
        </w:rPr>
        <w:t>&lt;cx "event contours, interruption"&gt;</w:t>
      </w:r>
      <w:r>
        <w:rPr>
          <w:rStyle w:val="indexentry"/>
        </w:rPr>
        <w:fldChar w:fldCharType="begin"/>
      </w:r>
      <w:r>
        <w:instrText>xe "</w:instrText>
      </w:r>
      <w:r>
        <w:rPr>
          <w:rStyle w:val="xeentry"/>
        </w:rPr>
        <w:instrText>event contours: interruption</w:instrText>
      </w:r>
      <w:r>
        <w:instrText>"</w:instrText>
      </w:r>
      <w:r>
        <w:rPr>
          <w:rStyle w:val="indexentry"/>
        </w:rPr>
        <w:fldChar w:fldCharType="end"/>
      </w:r>
      <w:r>
        <w:rPr>
          <w:rStyle w:val="indexentry"/>
        </w:rPr>
        <w:t>&lt;cx "event contours, resumption"&gt;</w:t>
      </w:r>
      <w:r>
        <w:rPr>
          <w:rStyle w:val="indexentry"/>
        </w:rPr>
        <w:fldChar w:fldCharType="begin"/>
      </w:r>
      <w:r>
        <w:instrText>xe "</w:instrText>
      </w:r>
      <w:r>
        <w:rPr>
          <w:rStyle w:val="xeentry"/>
        </w:rPr>
        <w:instrText>event contours: resumption</w:instrText>
      </w:r>
      <w:r>
        <w:instrText>"</w:instrText>
      </w:r>
      <w:r>
        <w:rPr>
          <w:rStyle w:val="indexentry"/>
        </w:rPr>
        <w:fldChar w:fldCharType="end"/>
      </w:r>
      <w:r>
        <w:rPr>
          <w:rStyle w:val="indexentry"/>
        </w:rPr>
        <w:t>&lt;lx "de'a"&gt;</w:t>
      </w:r>
      <w:r>
        <w:rPr>
          <w:rStyle w:val="indexentry"/>
        </w:rPr>
        <w:fldChar w:fldCharType="begin"/>
      </w:r>
      <w:r>
        <w:instrText>xe "</w:instrText>
      </w:r>
      <w:r>
        <w:rPr>
          <w:rStyle w:val="xeentry"/>
        </w:rPr>
        <w:instrText>de'a</w:instrText>
      </w:r>
      <w:r>
        <w:instrText>"</w:instrText>
      </w:r>
      <w:r>
        <w:rPr>
          <w:rStyle w:val="indexentry"/>
        </w:rPr>
        <w:fldChar w:fldCharType="end"/>
      </w:r>
      <w:r>
        <w:rPr>
          <w:rStyle w:val="indexentry"/>
        </w:rPr>
        <w:t>&lt;lx "di'a"&gt;</w:t>
      </w:r>
      <w:r>
        <w:rPr>
          <w:rStyle w:val="indexentry"/>
        </w:rPr>
        <w:fldChar w:fldCharType="begin"/>
      </w:r>
      <w:r>
        <w:instrText>xe "</w:instrText>
      </w:r>
      <w:r>
        <w:rPr>
          <w:rStyle w:val="xeentry"/>
        </w:rPr>
        <w:instrText>di'a</w:instrText>
      </w:r>
      <w:r>
        <w:instrText>"</w:instrText>
      </w:r>
      <w:r>
        <w:rPr>
          <w:rStyle w:val="indexentry"/>
        </w:rPr>
        <w:fldChar w:fldCharType="end"/>
      </w:r>
      <w:r>
        <w:rPr>
          <w:rStyle w:val="indexentry"/>
        </w:rPr>
        <w:t>&lt;cx "event contour, pausative"&gt;</w:t>
      </w:r>
      <w:r>
        <w:rPr>
          <w:rStyle w:val="indexentry"/>
        </w:rPr>
        <w:fldChar w:fldCharType="begin"/>
      </w:r>
      <w:r>
        <w:instrText>xe "</w:instrText>
      </w:r>
      <w:r>
        <w:rPr>
          <w:rStyle w:val="xeentry"/>
        </w:rPr>
        <w:instrText>event contours: pausative</w:instrText>
      </w:r>
      <w:r>
        <w:instrText>"</w:instrText>
      </w:r>
      <w:r>
        <w:rPr>
          <w:rStyle w:val="indexentry"/>
        </w:rPr>
        <w:fldChar w:fldCharType="end"/>
      </w:r>
      <w:r>
        <w:rPr>
          <w:rStyle w:val="indexentry"/>
        </w:rPr>
        <w:t>&lt;cx "event contour, resumptive"&gt;</w:t>
      </w:r>
      <w:r>
        <w:rPr>
          <w:rStyle w:val="indexentry"/>
        </w:rPr>
        <w:fldChar w:fldCharType="begin"/>
      </w:r>
      <w:r>
        <w:instrText>xe "</w:instrText>
      </w:r>
      <w:r>
        <w:rPr>
          <w:rStyle w:val="xeentry"/>
        </w:rPr>
        <w:instrText>event contours: resumptive</w:instrText>
      </w:r>
      <w:r>
        <w:instrText>"</w:instrText>
      </w:r>
      <w:r>
        <w:rPr>
          <w:rStyle w:val="indexentry"/>
        </w:rPr>
        <w:fldChar w:fldCharType="end"/>
      </w:r>
      <w:r>
        <w:t>A process such as eating a meal does not necessarily pro</w:t>
      </w:r>
      <w:r>
        <w:softHyphen/>
        <w:t>ceed uninterrupted.</w:t>
      </w:r>
      <w:r>
        <w:rPr>
          <w:rStyle w:val="deletedparamark"/>
        </w:rPr>
        <w:t xml:space="preserve"> </w:t>
      </w:r>
      <w:r>
        <w:t>If it is interrupted, there are two more relevant point events: the point</w:t>
      </w:r>
      <w:r>
        <w:rPr>
          <w:rStyle w:val="deletedparamark"/>
        </w:rPr>
        <w:t xml:space="preserve"> </w:t>
      </w:r>
      <w:r>
        <w:t>just before the inter</w:t>
      </w:r>
      <w:r>
        <w:softHyphen/>
        <w:t>rup</w:t>
      </w:r>
      <w:r>
        <w:softHyphen/>
        <w:t>tion, marked by “de'a”, and the point just after the</w:t>
      </w:r>
      <w:r>
        <w:rPr>
          <w:rStyle w:val="deletedparamark"/>
        </w:rPr>
        <w:t xml:space="preserve"> </w:t>
      </w:r>
      <w:r>
        <w:t>interruption, marked by “di'a”. Some ex</w:t>
      </w:r>
      <w:r>
        <w:softHyphen/>
        <w:t>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mi pu de'a citka le mi sanmi</w:t>
      </w:r>
    </w:p>
    <w:p w:rsidR="00B72047" w:rsidRDefault="00B72047">
      <w:pPr>
        <w:pStyle w:val="examplescaled"/>
      </w:pPr>
      <w:r>
        <w:tab/>
        <w:t>I [past] [pausative] eat my meal.</w:t>
      </w:r>
    </w:p>
    <w:p w:rsidR="00B72047" w:rsidRDefault="00B72047">
      <w:pPr>
        <w:pStyle w:val="examplescaled"/>
      </w:pPr>
      <w:r>
        <w:tab/>
        <w:t>I stopped eating my meal (with the intention of resuming).</w:t>
      </w:r>
    </w:p>
    <w:p w:rsidR="00B72047" w:rsidRDefault="00B72047">
      <w:pPr>
        <w:pStyle w:val="examplescaledpre"/>
      </w:pPr>
      <w:r>
        <w:rPr>
          <w:rStyle w:val="htmlcodes"/>
        </w:rPr>
        <w:t>&lt;a name=e10d9&gt;</w:t>
      </w:r>
      <w:r>
        <w:t>10.9)</w:t>
      </w:r>
      <w:r>
        <w:tab/>
        <w:t>mi ba di'a citka le mi sanmi</w:t>
      </w:r>
    </w:p>
    <w:p w:rsidR="00B72047" w:rsidRDefault="00B72047">
      <w:pPr>
        <w:pStyle w:val="examplescaled"/>
      </w:pPr>
      <w:r>
        <w:tab/>
        <w:t>I [future] [resumptive] eat my meal.</w:t>
      </w:r>
    </w:p>
    <w:p w:rsidR="00B72047" w:rsidRDefault="00B72047">
      <w:pPr>
        <w:pStyle w:val="examplescaled"/>
      </w:pPr>
      <w:r>
        <w:tab/>
        <w:t>I will resume eating my meal.</w:t>
      </w:r>
    </w:p>
    <w:p w:rsidR="00B72047" w:rsidRDefault="00B72047">
      <w:pPr>
        <w:pStyle w:val="normalafterexample"/>
      </w:pPr>
      <w:r>
        <w:rPr>
          <w:rStyle w:val="htmlcodes"/>
        </w:rPr>
        <w:t>&lt;/pre&gt;</w:t>
      </w:r>
      <w:r>
        <w:rPr>
          <w:rStyle w:val="indexentry"/>
        </w:rPr>
        <w:t>&lt;cx "natural end, continuing beyond"&gt;</w:t>
      </w:r>
      <w:r>
        <w:rPr>
          <w:rStyle w:val="indexentry"/>
        </w:rPr>
        <w:fldChar w:fldCharType="begin"/>
      </w:r>
      <w:r>
        <w:instrText>xe "</w:instrText>
      </w:r>
      <w:r>
        <w:rPr>
          <w:rStyle w:val="xeentry"/>
        </w:rPr>
        <w:instrText>natural end: continuing beyond</w:instrText>
      </w:r>
      <w:r>
        <w:instrText>"</w:instrText>
      </w:r>
      <w:r>
        <w:rPr>
          <w:rStyle w:val="indexentry"/>
        </w:rPr>
        <w:fldChar w:fldCharType="end"/>
      </w:r>
      <w:r>
        <w:rPr>
          <w:rStyle w:val="indexentry"/>
        </w:rPr>
        <w:t>&lt;lx "za'o"&gt;</w:t>
      </w:r>
      <w:r>
        <w:rPr>
          <w:rStyle w:val="indexentry"/>
        </w:rPr>
        <w:fldChar w:fldCharType="begin"/>
      </w:r>
      <w:r>
        <w:instrText>xe "</w:instrText>
      </w:r>
      <w:r>
        <w:rPr>
          <w:rStyle w:val="xeentry"/>
        </w:rPr>
        <w:instrText>za'o</w:instrText>
      </w:r>
      <w:r>
        <w:instrText>"</w:instrText>
      </w:r>
      <w:r>
        <w:rPr>
          <w:rStyle w:val="indexentry"/>
        </w:rPr>
        <w:fldChar w:fldCharType="end"/>
      </w:r>
      <w:r>
        <w:rPr>
          <w:rStyle w:val="indexentry"/>
        </w:rPr>
        <w:t>&lt;cx "event contour, superfective"&gt;</w:t>
      </w:r>
      <w:r>
        <w:rPr>
          <w:rStyle w:val="indexentry"/>
        </w:rPr>
        <w:fldChar w:fldCharType="begin"/>
      </w:r>
      <w:r>
        <w:instrText>xe "</w:instrText>
      </w:r>
      <w:r>
        <w:rPr>
          <w:rStyle w:val="xeentry"/>
        </w:rPr>
        <w:instrText>event contours: superfective</w:instrText>
      </w:r>
      <w:r>
        <w:instrText>"</w:instrText>
      </w:r>
      <w:r>
        <w:rPr>
          <w:rStyle w:val="indexentry"/>
        </w:rPr>
        <w:fldChar w:fldCharType="end"/>
      </w:r>
      <w:r>
        <w:t>In addition, it is possible for a process to continue beyond its natural</w:t>
      </w:r>
      <w:r>
        <w:rPr>
          <w:rStyle w:val="deletedparamark"/>
        </w:rPr>
        <w:t xml:space="preserve"> </w:t>
      </w:r>
      <w:r>
        <w:t>end. The span of time between the natural and the actual end points is</w:t>
      </w:r>
      <w:r>
        <w:rPr>
          <w:rStyle w:val="deletedparamark"/>
        </w:rPr>
        <w:t xml:space="preserve"> </w:t>
      </w:r>
      <w:r>
        <w:t>represented by “za'o”:</w:t>
      </w:r>
    </w:p>
    <w:p w:rsidR="00B72047" w:rsidRDefault="00B72047">
      <w:pPr>
        <w:rPr>
          <w:rStyle w:val="htmlparacode"/>
        </w:rPr>
      </w:pPr>
      <w:r>
        <w:rPr>
          <w:rStyle w:val="htmlparacode"/>
        </w:rPr>
        <w:t>&lt;p&gt;</w:t>
      </w:r>
    </w:p>
    <w:p w:rsidR="00B72047" w:rsidRDefault="00B72047">
      <w:pPr>
        <w:pStyle w:val="examplescaledpre"/>
      </w:pPr>
      <w:r>
        <w:rPr>
          <w:rStyle w:val="indexentry"/>
        </w:rPr>
        <w:t>&lt;ex "keeps on"&gt;</w:t>
      </w:r>
      <w:r>
        <w:rPr>
          <w:rStyle w:val="indexentry"/>
        </w:rPr>
        <w:fldChar w:fldCharType="begin"/>
      </w:r>
      <w:r>
        <w:instrText>xe "</w:instrText>
      </w:r>
      <w:r>
        <w:rPr>
          <w:rStyle w:val="xeentry"/>
        </w:rPr>
        <w:instrText>kept on too long: example</w:instrText>
      </w:r>
      <w:r>
        <w:instrText>"</w:instrText>
      </w:r>
      <w:r>
        <w:rPr>
          <w:rStyle w:val="indexentry"/>
        </w:rPr>
        <w:fldChar w:fldCharType="end"/>
      </w:r>
      <w:r>
        <w:rPr>
          <w:rStyle w:val="htmlcodes"/>
        </w:rPr>
        <w:t>&lt;pre&gt;&lt;a name=e10d10&gt;</w:t>
      </w:r>
      <w:r>
        <w:t>10.10)</w:t>
      </w:r>
      <w:r>
        <w:tab/>
        <w:t xml:space="preserve">le ctuca pu za'o ciksi le cmaci seldanfu </w:t>
      </w:r>
    </w:p>
    <w:p w:rsidR="00B72047" w:rsidRDefault="00B72047">
      <w:pPr>
        <w:pStyle w:val="examplescaled"/>
        <w:ind w:firstLine="576"/>
      </w:pPr>
      <w:r>
        <w:t>le tadgri</w:t>
      </w:r>
    </w:p>
    <w:p w:rsidR="00B72047" w:rsidRDefault="00B72047">
      <w:pPr>
        <w:pStyle w:val="examplescaled"/>
      </w:pPr>
      <w:r>
        <w:tab/>
        <w:t xml:space="preserve">The teacher [past] [superfective] explained the mathematics problem </w:t>
      </w:r>
    </w:p>
    <w:p w:rsidR="00B72047" w:rsidRDefault="00B72047">
      <w:pPr>
        <w:pStyle w:val="examplescaled"/>
        <w:ind w:firstLine="576"/>
      </w:pPr>
      <w:r>
        <w:t>to the student-group.</w:t>
      </w:r>
    </w:p>
    <w:p w:rsidR="00B72047" w:rsidRDefault="00B72047">
      <w:pPr>
        <w:pStyle w:val="examplescaled"/>
        <w:ind w:firstLine="0"/>
      </w:pPr>
      <w:r>
        <w:t>The teacher kept on explaining the mathematics problem to the class</w:t>
      </w:r>
    </w:p>
    <w:p w:rsidR="00B72047" w:rsidRDefault="00B72047">
      <w:pPr>
        <w:pStyle w:val="examplescaled"/>
        <w:ind w:firstLine="576"/>
      </w:pPr>
      <w:r>
        <w:t>too long.</w:t>
      </w:r>
    </w:p>
    <w:p w:rsidR="00B72047" w:rsidRDefault="00B72047">
      <w:pPr>
        <w:pStyle w:val="resumedafterexample"/>
      </w:pPr>
      <w:r>
        <w:t>That is, the teacher went on explaining after the class already understood the problem.</w:t>
      </w:r>
      <w:r>
        <w:rPr>
          <w:rStyle w:val="htmlcodes"/>
        </w:rPr>
        <w:t>&lt;/pre&gt;</w:t>
      </w:r>
    </w:p>
    <w:p w:rsidR="00B72047" w:rsidRDefault="00B72047">
      <w:pPr>
        <w:pStyle w:val="resumedafterexample"/>
        <w:rPr>
          <w:rStyle w:val="htmlparacode"/>
        </w:rPr>
      </w:pPr>
      <w:r>
        <w:rPr>
          <w:rStyle w:val="htmlparacode"/>
        </w:rPr>
        <w:t>&lt;p&gt;</w:t>
      </w:r>
    </w:p>
    <w:p w:rsidR="00B72047" w:rsidRDefault="00B72047">
      <w:pPr>
        <w:pStyle w:val="normalparagraph"/>
      </w:pPr>
      <w:r>
        <w:rPr>
          <w:rStyle w:val="indexentry"/>
        </w:rPr>
        <w:t>&lt;cx "event contour, achievative"&gt;</w:t>
      </w:r>
      <w:r>
        <w:rPr>
          <w:rStyle w:val="indexentry"/>
        </w:rPr>
        <w:fldChar w:fldCharType="begin"/>
      </w:r>
      <w:r>
        <w:instrText>xe "</w:instrText>
      </w:r>
      <w:r>
        <w:rPr>
          <w:rStyle w:val="xeentry"/>
        </w:rPr>
        <w:instrText>event contours: achievative</w:instrText>
      </w:r>
      <w:r>
        <w:instrText>"</w:instrText>
      </w:r>
      <w:r>
        <w:rPr>
          <w:rStyle w:val="indexentry"/>
        </w:rPr>
        <w:fldChar w:fldCharType="end"/>
      </w:r>
      <w:r>
        <w:rPr>
          <w:rStyle w:val="indexentry"/>
        </w:rPr>
        <w:t>&lt;cx "point, event considered as"&gt;</w:t>
      </w:r>
      <w:r>
        <w:rPr>
          <w:rStyle w:val="indexentry"/>
        </w:rPr>
        <w:fldChar w:fldCharType="begin"/>
      </w:r>
      <w:r>
        <w:instrText>xe "</w:instrText>
      </w:r>
      <w:r>
        <w:rPr>
          <w:rStyle w:val="xeentry"/>
        </w:rPr>
        <w:instrText>point: event considered as</w:instrText>
      </w:r>
      <w:r>
        <w:instrText>"</w:instrText>
      </w:r>
      <w:r>
        <w:rPr>
          <w:rStyle w:val="indexentry"/>
        </w:rPr>
        <w:fldChar w:fldCharType="end"/>
      </w:r>
      <w:r>
        <w:rPr>
          <w:rStyle w:val="indexentry"/>
        </w:rPr>
        <w:t>&lt;lx "co'i"&gt;</w:t>
      </w:r>
      <w:r>
        <w:rPr>
          <w:rStyle w:val="indexentry"/>
        </w:rPr>
        <w:fldChar w:fldCharType="begin"/>
      </w:r>
      <w:r>
        <w:instrText>xe "</w:instrText>
      </w:r>
      <w:r>
        <w:rPr>
          <w:rStyle w:val="xeentry"/>
        </w:rPr>
        <w:instrText>co'i</w:instrText>
      </w:r>
      <w:r>
        <w:instrText>"</w:instrText>
      </w:r>
      <w:r>
        <w:rPr>
          <w:rStyle w:val="indexentry"/>
        </w:rPr>
        <w:fldChar w:fldCharType="end"/>
      </w:r>
      <w:r>
        <w:t>An entire event can be treated as a single moment using the cmavo “co'i”: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name=e10d11&gt;</w:t>
      </w:r>
      <w:r>
        <w:t>10.11)</w:t>
      </w:r>
      <w:r>
        <w:tab/>
        <w:t>la djan. pu co'i catra la djim</w:t>
      </w:r>
    </w:p>
    <w:p w:rsidR="00B72047" w:rsidRDefault="00B72047">
      <w:pPr>
        <w:pStyle w:val="examplescaled"/>
      </w:pPr>
      <w:r>
        <w:tab/>
        <w:t>John [past] [achievative] kills Jim.</w:t>
      </w:r>
    </w:p>
    <w:p w:rsidR="00B72047" w:rsidRDefault="00B72047">
      <w:pPr>
        <w:pStyle w:val="examplescaled"/>
      </w:pPr>
      <w:r>
        <w:tab/>
        <w:t>John was at the point in time where he killed Jim.</w:t>
      </w:r>
    </w:p>
    <w:p w:rsidR="00B72047" w:rsidRDefault="00B72047">
      <w:pPr>
        <w:pStyle w:val="resumedafterexample"/>
      </w:pPr>
      <w:r>
        <w:rPr>
          <w:rStyle w:val="htmlcodes"/>
        </w:rPr>
        <w:t>&lt;/pre&gt;</w:t>
      </w:r>
      <w:r>
        <w:rPr>
          <w:rStyle w:val="indexentry"/>
        </w:rPr>
        <w:t>&lt;cx "ordinal tense"&gt;</w:t>
      </w:r>
      <w:r>
        <w:rPr>
          <w:rStyle w:val="indexentry"/>
        </w:rPr>
        <w:fldChar w:fldCharType="begin"/>
      </w:r>
      <w:r>
        <w:instrText>xe "</w:instrText>
      </w:r>
      <w:r>
        <w:rPr>
          <w:rStyle w:val="xeentry"/>
        </w:rPr>
        <w:instrText>ordinal tense</w:instrText>
      </w:r>
      <w:r>
        <w:instrText>"</w:instrText>
      </w:r>
      <w:r>
        <w:rPr>
          <w:rStyle w:val="indexentry"/>
        </w:rPr>
        <w:fldChar w:fldCharType="end"/>
      </w:r>
      <w:r>
        <w:rPr>
          <w:rStyle w:val="indexentry"/>
        </w:rPr>
        <w:t>&lt;lx "re'u"&gt;</w:t>
      </w:r>
      <w:r>
        <w:rPr>
          <w:rStyle w:val="indexentry"/>
        </w:rPr>
        <w:fldChar w:fldCharType="begin"/>
      </w:r>
      <w:r>
        <w:instrText>xe "</w:instrText>
      </w:r>
      <w:r>
        <w:rPr>
          <w:rStyle w:val="xeentry"/>
        </w:rPr>
        <w:instrText>re'u</w:instrText>
      </w:r>
      <w:r>
        <w:instrText>"</w:instrText>
      </w:r>
      <w:r>
        <w:rPr>
          <w:rStyle w:val="indexentry"/>
        </w:rPr>
        <w:fldChar w:fldCharType="end"/>
      </w:r>
      <w:r>
        <w:rPr>
          <w:rStyle w:val="indexentry"/>
        </w:rPr>
        <w:t>&lt;lx "ROI"&gt;</w:t>
      </w:r>
      <w:r>
        <w:rPr>
          <w:rStyle w:val="indexentry"/>
        </w:rPr>
        <w:fldChar w:fldCharType="begin"/>
      </w:r>
      <w:r>
        <w:instrText>xe "</w:instrText>
      </w:r>
      <w:r>
        <w:rPr>
          <w:rStyle w:val="xeentry"/>
        </w:rPr>
        <w:instrText>ROI selma’o</w:instrText>
      </w:r>
      <w:r>
        <w:instrText>"</w:instrText>
      </w:r>
      <w:r>
        <w:rPr>
          <w:rStyle w:val="indexentry"/>
        </w:rPr>
        <w:fldChar w:fldCharType="end"/>
      </w:r>
      <w:r>
        <w:rPr>
          <w:rStyle w:val="indexentry"/>
        </w:rPr>
        <w:t>&lt;cx "cycles"&gt;</w:t>
      </w:r>
      <w:r>
        <w:rPr>
          <w:rStyle w:val="indexentry"/>
        </w:rPr>
        <w:fldChar w:fldCharType="begin"/>
      </w:r>
      <w:r>
        <w:instrText>xe "</w:instrText>
      </w:r>
      <w:r>
        <w:rPr>
          <w:rStyle w:val="xeentry"/>
        </w:rPr>
        <w:instrText>cycles</w:instrText>
      </w:r>
      <w:r>
        <w:instrText>"</w:instrText>
      </w:r>
      <w:r>
        <w:rPr>
          <w:rStyle w:val="indexentry"/>
        </w:rPr>
        <w:fldChar w:fldCharType="end"/>
      </w:r>
      <w:r>
        <w:t>Finally, since an activity is cyclical, an individual cycle can be</w:t>
      </w:r>
      <w:r>
        <w:rPr>
          <w:rStyle w:val="deletedparamark"/>
        </w:rPr>
        <w:t xml:space="preserve"> </w:t>
      </w:r>
      <w:r>
        <w:t>referred to using a num</w:t>
      </w:r>
      <w:r>
        <w:softHyphen/>
        <w:t>ber followed by “re'u”, which is the other</w:t>
      </w:r>
      <w:r>
        <w:rPr>
          <w:rStyle w:val="deletedparamark"/>
        </w:rPr>
        <w:t xml:space="preserve"> </w:t>
      </w:r>
      <w:r>
        <w:t>cmavo of selma'o ROI: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name=e10d12&gt;</w:t>
      </w:r>
      <w:r>
        <w:t>10.12)</w:t>
      </w:r>
      <w:r>
        <w:tab/>
        <w:t>mi pare'u klama le zarci</w:t>
      </w:r>
    </w:p>
    <w:p w:rsidR="00B72047" w:rsidRDefault="00B72047">
      <w:pPr>
        <w:pStyle w:val="examplescaled"/>
      </w:pPr>
      <w:r>
        <w:tab/>
        <w:t>I [first time] go-to the store.</w:t>
      </w:r>
    </w:p>
    <w:p w:rsidR="00B72047" w:rsidRDefault="00B72047">
      <w:pPr>
        <w:pStyle w:val="examplescaled"/>
      </w:pPr>
      <w:r>
        <w:tab/>
        <w:t>I go to the store for the first time (within a vague interval).</w:t>
      </w:r>
    </w:p>
    <w:p w:rsidR="00B72047" w:rsidRDefault="00B72047">
      <w:pPr>
        <w:pStyle w:val="normalafterexample"/>
      </w:pPr>
      <w:r>
        <w:rPr>
          <w:rStyle w:val="htmlcodes"/>
        </w:rPr>
        <w:t>&lt;/pre&gt;&lt;p&gt;</w:t>
      </w:r>
      <w:r>
        <w:t>Note the difference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name=e10d13&gt;</w:t>
      </w:r>
      <w:r>
        <w:t>10.13)</w:t>
      </w:r>
      <w:r>
        <w:tab/>
        <w:t>mi pare'u paroi klama le zarci</w:t>
      </w:r>
    </w:p>
    <w:p w:rsidR="00B72047" w:rsidRDefault="00B72047">
      <w:pPr>
        <w:pStyle w:val="examplescaled"/>
      </w:pPr>
      <w:r>
        <w:tab/>
        <w:t>I [first time] [one time] go-to the store.</w:t>
      </w:r>
    </w:p>
    <w:p w:rsidR="00B72047" w:rsidRDefault="00B72047">
      <w:pPr>
        <w:pStyle w:val="examplescaled"/>
      </w:pPr>
      <w:r>
        <w:tab/>
        <w:t>For the first time, I go to the store once.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name=e10d14&gt;</w:t>
      </w:r>
      <w:r>
        <w:t>10.14)</w:t>
      </w:r>
      <w:r>
        <w:tab/>
        <w:t>mi paroi pare'u klama le zarci</w:t>
      </w:r>
    </w:p>
    <w:p w:rsidR="00B72047" w:rsidRDefault="00B72047">
      <w:pPr>
        <w:pStyle w:val="examplescaled"/>
      </w:pPr>
      <w:r>
        <w:tab/>
        <w:t>I [one time] [first time] go-to the store.</w:t>
      </w:r>
    </w:p>
    <w:p w:rsidR="00B72047" w:rsidRDefault="00B72047">
      <w:pPr>
        <w:pStyle w:val="examplescaled"/>
      </w:pPr>
      <w:r>
        <w:tab/>
        <w:t>There is one occasion on which I go to the store for the first time.</w:t>
      </w:r>
    </w:p>
    <w:p w:rsidR="00B72047" w:rsidRDefault="00B72047">
      <w:pPr>
        <w:pStyle w:val="Heading3"/>
        <w:rPr>
          <w:rStyle w:val="Heading3Text"/>
        </w:rPr>
      </w:pPr>
      <w:r>
        <w:rPr>
          <w:rStyle w:val="htmlcodes"/>
        </w:rPr>
        <w:t>&lt;/pre&gt;&lt;a name=s11&gt;&lt;h3&gt;</w:t>
      </w:r>
      <w:bookmarkStart w:id="340" w:name="_Toc398970585"/>
      <w:r>
        <w:rPr>
          <w:rStyle w:val="Heading3Text"/>
        </w:rPr>
        <w:t>Space interval modifiers: FEhE</w:t>
      </w:r>
      <w:bookmarkEnd w:id="34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fe'e</w:t>
      </w:r>
      <w:r>
        <w:tab/>
        <w:t>FEhE</w:t>
      </w:r>
      <w:r>
        <w:tab/>
        <w:t>space interval modifier flag</w:t>
      </w:r>
    </w:p>
    <w:p w:rsidR="00B72047" w:rsidRDefault="00B72047">
      <w:pPr>
        <w:pStyle w:val="normalafterexample"/>
      </w:pPr>
      <w:r>
        <w:rPr>
          <w:rStyle w:val="htmlcodes"/>
        </w:rPr>
        <w:t>&lt;/pre&gt;</w:t>
      </w:r>
      <w:r>
        <w:rPr>
          <w:rStyle w:val="indexentry"/>
        </w:rPr>
        <w:t>&lt;cx "space intervals, compared with time intervals in continuity"&gt;</w:t>
      </w:r>
      <w:r>
        <w:rPr>
          <w:rStyle w:val="indexentry"/>
        </w:rPr>
        <w:fldChar w:fldCharType="begin"/>
      </w:r>
      <w:r>
        <w:instrText>xe "</w:instrText>
      </w:r>
      <w:r>
        <w:rPr>
          <w:rStyle w:val="xeentry"/>
        </w:rPr>
        <w:instrText>space interval: compared with time intervals in continuity</w:instrText>
      </w:r>
      <w:r>
        <w:instrText>"</w:instrText>
      </w:r>
      <w:r>
        <w:rPr>
          <w:rStyle w:val="indexentry"/>
        </w:rPr>
        <w:fldChar w:fldCharType="end"/>
      </w:r>
      <w:r>
        <w:rPr>
          <w:rStyle w:val="indexentry"/>
        </w:rPr>
        <w:t>&lt;lx "fe'e"&gt;</w:t>
      </w:r>
      <w:r>
        <w:rPr>
          <w:rStyle w:val="indexentry"/>
        </w:rPr>
        <w:fldChar w:fldCharType="begin"/>
      </w:r>
      <w:r>
        <w:instrText>xe "</w:instrText>
      </w:r>
      <w:r>
        <w:rPr>
          <w:rStyle w:val="xeentry"/>
        </w:rPr>
        <w:instrText>fe'e</w:instrText>
      </w:r>
      <w:r>
        <w:instrText>"</w:instrText>
      </w:r>
      <w:r>
        <w:rPr>
          <w:rStyle w:val="indexentry"/>
        </w:rPr>
        <w:fldChar w:fldCharType="end"/>
      </w:r>
      <w:r>
        <w:rPr>
          <w:rStyle w:val="indexentry"/>
        </w:rPr>
        <w:t>&lt;lx "FEhE"&gt;</w:t>
      </w:r>
      <w:r>
        <w:rPr>
          <w:rStyle w:val="indexentry"/>
        </w:rPr>
        <w:fldChar w:fldCharType="begin"/>
      </w:r>
      <w:r>
        <w:instrText>xe "</w:instrText>
      </w:r>
      <w:r>
        <w:rPr>
          <w:rStyle w:val="xeentry"/>
        </w:rPr>
        <w:instrText>FEhE selma’o</w:instrText>
      </w:r>
      <w:r>
        <w:instrText>"</w:instrText>
      </w:r>
      <w:r>
        <w:rPr>
          <w:rStyle w:val="indexentry"/>
        </w:rPr>
        <w:fldChar w:fldCharType="end"/>
      </w:r>
      <w:r>
        <w:rPr>
          <w:rStyle w:val="indexentry"/>
        </w:rPr>
        <w:t>&lt;cx "spatial intervals, expressing degree of continuity over"&gt;</w:t>
      </w:r>
      <w:r>
        <w:rPr>
          <w:rStyle w:val="indexentry"/>
        </w:rPr>
        <w:fldChar w:fldCharType="begin"/>
      </w:r>
      <w:r>
        <w:instrText>xe "</w:instrText>
      </w:r>
      <w:r>
        <w:rPr>
          <w:rStyle w:val="xeentry"/>
        </w:rPr>
        <w:instrText>spatial interval: expressing degree of continuity over</w:instrText>
      </w:r>
      <w:r>
        <w:instrText>"</w:instrText>
      </w:r>
      <w:r>
        <w:rPr>
          <w:rStyle w:val="indexentry"/>
        </w:rPr>
        <w:fldChar w:fldCharType="end"/>
      </w:r>
      <w:r>
        <w:rPr>
          <w:rStyle w:val="indexentry"/>
        </w:rPr>
        <w:t>&lt;cx "spatial interval modifiers, order in tense"&gt;</w:t>
      </w:r>
      <w:r>
        <w:rPr>
          <w:rStyle w:val="indexentry"/>
        </w:rPr>
        <w:fldChar w:fldCharType="begin"/>
      </w:r>
      <w:r>
        <w:instrText>xe "</w:instrText>
      </w:r>
      <w:r>
        <w:rPr>
          <w:rStyle w:val="xeentry"/>
        </w:rPr>
        <w:instrText>spatial interval modifiers: order in tense</w:instrText>
      </w:r>
      <w:r>
        <w:instrText>"</w:instrText>
      </w:r>
      <w:r>
        <w:rPr>
          <w:rStyle w:val="indexentry"/>
        </w:rPr>
        <w:fldChar w:fldCharType="end"/>
      </w:r>
      <w:r>
        <w:rPr>
          <w:rStyle w:val="indexentry"/>
        </w:rPr>
        <w:t>&lt;cx "tense, order of spatial interval modifiers in "&gt;</w:t>
      </w:r>
      <w:r>
        <w:rPr>
          <w:rStyle w:val="indexentry"/>
        </w:rPr>
        <w:fldChar w:fldCharType="begin"/>
      </w:r>
      <w:r>
        <w:instrText>xe "</w:instrText>
      </w:r>
      <w:r>
        <w:rPr>
          <w:rStyle w:val="xeentry"/>
        </w:rPr>
        <w:instrText xml:space="preserve">tense: order of spatial interval modifiers in </w:instrText>
      </w:r>
      <w:r>
        <w:instrText>"</w:instrText>
      </w:r>
      <w:r>
        <w:rPr>
          <w:rStyle w:val="indexentry"/>
        </w:rPr>
        <w:fldChar w:fldCharType="end"/>
      </w:r>
      <w:r>
        <w:t>Like time intervals, space intervals can also be continuous, discontinuous,</w:t>
      </w:r>
      <w:r>
        <w:rPr>
          <w:rStyle w:val="deletedparamark"/>
        </w:rPr>
        <w:t xml:space="preserve"> </w:t>
      </w:r>
      <w:r>
        <w:t>or repet</w:t>
      </w:r>
      <w:r>
        <w:t>i</w:t>
      </w:r>
      <w:r>
        <w:softHyphen/>
        <w:t>tive. Rather than having a whole separate set of selma'o for space</w:t>
      </w:r>
      <w:r>
        <w:rPr>
          <w:rStyle w:val="deletedparamark"/>
        </w:rPr>
        <w:t xml:space="preserve"> </w:t>
      </w:r>
      <w:r>
        <w:t>interval proper</w:t>
      </w:r>
      <w:r>
        <w:softHyphen/>
        <w:t>ties, we instead prefix the flag “fe'e” to the cmavo used for</w:t>
      </w:r>
      <w:r>
        <w:rPr>
          <w:rStyle w:val="deletedparamark"/>
        </w:rPr>
        <w:t xml:space="preserve"> </w:t>
      </w:r>
      <w:r>
        <w:t>time interval properties. A space inte</w:t>
      </w:r>
      <w:r>
        <w:t>r</w:t>
      </w:r>
      <w:r>
        <w:softHyphen/>
        <w:t>val property would be placed just</w:t>
      </w:r>
      <w:r>
        <w:rPr>
          <w:rStyle w:val="deletedparamark"/>
        </w:rPr>
        <w:t xml:space="preserve"> </w:t>
      </w:r>
      <w:r>
        <w:t>after the space interval size and/or di</w:t>
      </w:r>
      <w:r>
        <w:softHyphen/>
        <w:t>men</w:t>
      </w:r>
      <w:r>
        <w:softHyphen/>
        <w:t>sionality cmavo:</w:t>
      </w:r>
    </w:p>
    <w:p w:rsidR="00B72047" w:rsidRDefault="00B72047">
      <w:pPr>
        <w:rPr>
          <w:rStyle w:val="htmlparacode"/>
        </w:rPr>
      </w:pPr>
      <w:r>
        <w:rPr>
          <w:rStyle w:val="htmlparacode"/>
        </w:rPr>
        <w:t>&lt;p&gt;</w:t>
      </w:r>
    </w:p>
    <w:p w:rsidR="00B72047" w:rsidRDefault="00B72047">
      <w:pPr>
        <w:pStyle w:val="examplescaledpre"/>
      </w:pPr>
      <w:r>
        <w:rPr>
          <w:rStyle w:val="indexentry"/>
        </w:rPr>
        <w:t>&lt;ex "sow grain"&gt;</w:t>
      </w:r>
      <w:r>
        <w:rPr>
          <w:rStyle w:val="indexentry"/>
        </w:rPr>
        <w:fldChar w:fldCharType="begin"/>
      </w:r>
      <w:r>
        <w:instrText>xe "</w:instrText>
      </w:r>
      <w:r>
        <w:rPr>
          <w:rStyle w:val="xeentry"/>
        </w:rPr>
        <w:instrText>sow grain: example</w:instrText>
      </w:r>
      <w:r>
        <w:instrText>"</w:instrText>
      </w:r>
      <w:r>
        <w:rPr>
          <w:rStyle w:val="indexentry"/>
        </w:rPr>
        <w:fldChar w:fldCharType="end"/>
      </w:r>
      <w:r>
        <w:rPr>
          <w:rStyle w:val="htmlcodes"/>
        </w:rPr>
        <w:t>&lt;pre&gt;&lt;a name=e11d1&gt;</w:t>
      </w:r>
      <w:r>
        <w:t>11.1)</w:t>
      </w:r>
      <w:r>
        <w:tab/>
        <w:t>ko vi'i fe'e di'i sombo le gurni</w:t>
      </w:r>
    </w:p>
    <w:p w:rsidR="00B72047" w:rsidRDefault="00B72047">
      <w:pPr>
        <w:pStyle w:val="examplescaled"/>
      </w:pPr>
      <w:r>
        <w:tab/>
        <w:t>You-imperative [1-dimensional] [space:] [regularly] sow the grain.</w:t>
      </w:r>
    </w:p>
    <w:p w:rsidR="00B72047" w:rsidRDefault="00B72047">
      <w:pPr>
        <w:pStyle w:val="examplescaled"/>
      </w:pPr>
      <w:r>
        <w:tab/>
        <w:t>Sow the grain in a line and evenly!</w:t>
      </w:r>
    </w:p>
    <w:p w:rsidR="00B72047" w:rsidRDefault="00B72047">
      <w:pPr>
        <w:pStyle w:val="examplescaledpre"/>
      </w:pPr>
      <w:r>
        <w:rPr>
          <w:rStyle w:val="htmlcodes"/>
        </w:rPr>
        <w:t>&lt;/pre&gt;</w:t>
      </w:r>
      <w:r>
        <w:rPr>
          <w:rStyle w:val="indexentry"/>
        </w:rPr>
        <w:t>&lt;ex "salad ingredients"&gt;</w:t>
      </w:r>
      <w:r>
        <w:rPr>
          <w:rStyle w:val="indexentry"/>
        </w:rPr>
        <w:fldChar w:fldCharType="begin"/>
      </w:r>
      <w:r>
        <w:instrText>xe "</w:instrText>
      </w:r>
      <w:r>
        <w:rPr>
          <w:rStyle w:val="xeentry"/>
        </w:rPr>
        <w:instrText>salad ingredients: example</w:instrText>
      </w:r>
      <w:r>
        <w:instrText>"</w:instrText>
      </w:r>
      <w:r>
        <w:rPr>
          <w:rStyle w:val="indexentry"/>
        </w:rPr>
        <w:fldChar w:fldCharType="end"/>
      </w:r>
      <w:r>
        <w:rPr>
          <w:rStyle w:val="htmlcodes"/>
        </w:rPr>
        <w:t>&lt;pre&gt;&lt;a name=e11d2&gt;</w:t>
      </w:r>
      <w:r>
        <w:t>11.2)</w:t>
      </w:r>
      <w:r>
        <w:tab/>
        <w:t>mi fe'e ciroi tervecnu lo selsalta</w:t>
      </w:r>
    </w:p>
    <w:p w:rsidR="00B72047" w:rsidRDefault="00B72047">
      <w:pPr>
        <w:pStyle w:val="examplescaled"/>
      </w:pPr>
      <w:r>
        <w:tab/>
        <w:t>I [space:] [three places] buy those-which-are salad-ingredients.</w:t>
      </w:r>
    </w:p>
    <w:p w:rsidR="00B72047" w:rsidRDefault="00B72047">
      <w:pPr>
        <w:pStyle w:val="examplescaled"/>
      </w:pPr>
      <w:r>
        <w:tab/>
        <w:t>I buy salad ingredients in three locations.</w:t>
      </w:r>
    </w:p>
    <w:p w:rsidR="00B72047" w:rsidRDefault="00B72047">
      <w:pPr>
        <w:pStyle w:val="examplescaledpre"/>
      </w:pPr>
      <w:r>
        <w:rPr>
          <w:rStyle w:val="htmlcodes"/>
        </w:rPr>
        <w:t>&lt;/pre&gt;</w:t>
      </w:r>
      <w:r>
        <w:rPr>
          <w:rStyle w:val="indexentry"/>
        </w:rPr>
        <w:t>&lt;ex "always and everywhere"&gt;</w:t>
      </w:r>
      <w:r>
        <w:rPr>
          <w:rStyle w:val="indexentry"/>
        </w:rPr>
        <w:fldChar w:fldCharType="begin"/>
      </w:r>
      <w:r>
        <w:instrText>xe "</w:instrText>
      </w:r>
      <w:r>
        <w:rPr>
          <w:rStyle w:val="xeentry"/>
        </w:rPr>
        <w:instrText>always and everywhere: example</w:instrText>
      </w:r>
      <w:r>
        <w:instrText>"</w:instrText>
      </w:r>
      <w:r>
        <w:rPr>
          <w:rStyle w:val="indexentry"/>
        </w:rPr>
        <w:fldChar w:fldCharType="end"/>
      </w:r>
      <w:r>
        <w:rPr>
          <w:rStyle w:val="htmlcodes"/>
        </w:rPr>
        <w:t>&lt;pre&gt;&lt;a name=e11d3&gt;</w:t>
      </w:r>
      <w:r>
        <w:t>11.3)</w:t>
      </w:r>
      <w:r>
        <w:tab/>
        <w:t>ze'e roroi ve'e fe'e roroi ku</w:t>
      </w:r>
    </w:p>
    <w:p w:rsidR="00B72047" w:rsidRDefault="00B72047">
      <w:pPr>
        <w:pStyle w:val="examplescaled"/>
      </w:pPr>
      <w:r>
        <w:tab/>
      </w:r>
      <w:r>
        <w:tab/>
        <w:t>li re su'i re du li vo</w:t>
      </w:r>
    </w:p>
    <w:p w:rsidR="00B72047" w:rsidRDefault="00B72047">
      <w:pPr>
        <w:pStyle w:val="examplescaled"/>
      </w:pPr>
      <w:r>
        <w:tab/>
        <w:t>[whole time] [all times] [whole space] [space:] [all places]</w:t>
      </w:r>
    </w:p>
    <w:p w:rsidR="00B72047" w:rsidRDefault="00B72047">
      <w:pPr>
        <w:pStyle w:val="examplescaled"/>
      </w:pPr>
      <w:r>
        <w:tab/>
      </w:r>
      <w:r>
        <w:tab/>
        <w:t xml:space="preserve">The-number </w:t>
      </w:r>
      <w:r>
        <w:rPr>
          <w:rStyle w:val="math"/>
        </w:rPr>
        <w:t>2 + 2</w:t>
      </w:r>
      <w:r>
        <w:t xml:space="preserve"> = the-number </w:t>
      </w:r>
      <w:r>
        <w:rPr>
          <w:rStyle w:val="math"/>
        </w:rPr>
        <w:t>4</w:t>
      </w:r>
      <w:r>
        <w:t>.</w:t>
      </w:r>
    </w:p>
    <w:p w:rsidR="00B72047" w:rsidRDefault="00B72047">
      <w:pPr>
        <w:pStyle w:val="examplescaled"/>
      </w:pPr>
      <w:r>
        <w:tab/>
        <w:t>Always and everywhere, two plus two is four.</w:t>
      </w:r>
    </w:p>
    <w:p w:rsidR="00B72047" w:rsidRDefault="00B72047">
      <w:pPr>
        <w:pStyle w:val="resumedafterexample"/>
      </w:pPr>
      <w:r>
        <w:rPr>
          <w:rStyle w:val="htmlcodes"/>
        </w:rPr>
        <w:t>&lt;/pre&gt;&lt;p&gt;</w:t>
      </w:r>
      <w:r>
        <w:t xml:space="preserve">As shown in </w:t>
      </w:r>
      <w:r>
        <w:rPr>
          <w:rStyle w:val="htmlcodes"/>
        </w:rPr>
        <w:t>&lt;a href=#e11d3&gt;</w:t>
      </w:r>
      <w:r>
        <w:t>Example 11.3</w:t>
      </w:r>
      <w:r>
        <w:rPr>
          <w:rStyle w:val="htmlcodes"/>
        </w:rPr>
        <w:t>&lt;/a&gt;</w:t>
      </w:r>
      <w:r>
        <w:t>, when a tense comes first in a bridi, rather than</w:t>
      </w:r>
      <w:r>
        <w:rPr>
          <w:rStyle w:val="deletedparamark"/>
        </w:rPr>
        <w:t xml:space="preserve"> </w:t>
      </w:r>
      <w:r>
        <w:t>in its normal position before the selbri (in this case “du”), it is</w:t>
      </w:r>
      <w:r>
        <w:rPr>
          <w:rStyle w:val="deletedparamark"/>
        </w:rPr>
        <w:t xml:space="preserve"> </w:t>
      </w:r>
      <w:r>
        <w:t>emphasized.</w:t>
      </w:r>
    </w:p>
    <w:p w:rsidR="00B72047" w:rsidRDefault="00B72047">
      <w:pPr>
        <w:rPr>
          <w:rStyle w:val="htmlparacode"/>
        </w:rPr>
      </w:pPr>
      <w:r>
        <w:rPr>
          <w:rStyle w:val="htmlparacode"/>
        </w:rPr>
        <w:t>&lt;p&gt;</w:t>
      </w:r>
    </w:p>
    <w:p w:rsidR="00B72047" w:rsidRDefault="00B72047">
      <w:pPr>
        <w:pStyle w:val="normalparagraph"/>
      </w:pPr>
      <w:r>
        <w:rPr>
          <w:rStyle w:val="indexentry"/>
        </w:rPr>
        <w:t>&lt;lx "fe'e"&gt;</w:t>
      </w:r>
      <w:r>
        <w:rPr>
          <w:rStyle w:val="indexentry"/>
        </w:rPr>
        <w:fldChar w:fldCharType="begin"/>
      </w:r>
      <w:r>
        <w:instrText>xe "</w:instrText>
      </w:r>
      <w:r>
        <w:rPr>
          <w:rStyle w:val="xeentry"/>
        </w:rPr>
        <w:instrText>fe'e</w:instrText>
      </w:r>
      <w:r>
        <w:instrText>"</w:instrText>
      </w:r>
      <w:r>
        <w:rPr>
          <w:rStyle w:val="indexentry"/>
        </w:rPr>
        <w:fldChar w:fldCharType="end"/>
      </w:r>
      <w:r>
        <w:rPr>
          <w:rStyle w:val="indexentry"/>
        </w:rPr>
        <w:t>&lt;lx "ZAhO"&gt;</w:t>
      </w:r>
      <w:r>
        <w:rPr>
          <w:rStyle w:val="indexentry"/>
        </w:rPr>
        <w:fldChar w:fldCharType="begin"/>
      </w:r>
      <w:r>
        <w:instrText>xe "</w:instrText>
      </w:r>
      <w:r>
        <w:rPr>
          <w:rStyle w:val="xeentry"/>
        </w:rPr>
        <w:instrText>ZAhO selma’o</w:instrText>
      </w:r>
      <w:r>
        <w:instrText>"</w:instrText>
      </w:r>
      <w:r>
        <w:rPr>
          <w:rStyle w:val="indexentry"/>
        </w:rPr>
        <w:fldChar w:fldCharType="end"/>
      </w:r>
      <w:r>
        <w:rPr>
          <w:rStyle w:val="indexentry"/>
        </w:rPr>
        <w:t>&lt;cx "spatial contours, expressing"&gt;</w:t>
      </w:r>
      <w:r>
        <w:rPr>
          <w:rStyle w:val="indexentry"/>
        </w:rPr>
        <w:fldChar w:fldCharType="begin"/>
      </w:r>
      <w:r>
        <w:instrText>xe "</w:instrText>
      </w:r>
      <w:r>
        <w:rPr>
          <w:rStyle w:val="xeentry"/>
        </w:rPr>
        <w:instrText>spatial contours: expressing</w:instrText>
      </w:r>
      <w:r>
        <w:instrText>"</w:instrText>
      </w:r>
      <w:r>
        <w:rPr>
          <w:rStyle w:val="indexentry"/>
        </w:rPr>
        <w:fldChar w:fldCharType="end"/>
      </w:r>
      <w:r>
        <w:rPr>
          <w:rStyle w:val="indexentry"/>
        </w:rPr>
        <w:t>&lt;lx "be'a"&gt;</w:t>
      </w:r>
      <w:r>
        <w:rPr>
          <w:rStyle w:val="indexentry"/>
        </w:rPr>
        <w:fldChar w:fldCharType="begin"/>
      </w:r>
      <w:r>
        <w:instrText>xe "</w:instrText>
      </w:r>
      <w:r>
        <w:rPr>
          <w:rStyle w:val="xeentry"/>
        </w:rPr>
        <w:instrText>be'a</w:instrText>
      </w:r>
      <w:r>
        <w:instrText>"</w:instrText>
      </w:r>
      <w:r>
        <w:rPr>
          <w:rStyle w:val="indexentry"/>
        </w:rPr>
        <w:fldChar w:fldCharType="end"/>
      </w:r>
      <w:r>
        <w:t>The “fe'e” marker can also be used for the same purpose before members of ZAhO.</w:t>
      </w:r>
      <w:r>
        <w:rPr>
          <w:rStyle w:val="deletedparamark"/>
        </w:rPr>
        <w:t xml:space="preserve"> </w:t>
      </w:r>
      <w:r>
        <w:t>(The cmavo “be'a” belongs to selma'o FAhA; it is the space direction meaning</w:t>
      </w:r>
      <w:r>
        <w:rPr>
          <w:rStyle w:val="deletedparamark"/>
        </w:rPr>
        <w:t xml:space="preserve"> “</w:t>
      </w:r>
      <w:r>
        <w:t>north of”.)</w:t>
      </w:r>
    </w:p>
    <w:p w:rsidR="00B72047" w:rsidRDefault="00B72047">
      <w:pPr>
        <w:rPr>
          <w:rStyle w:val="htmlparacode"/>
        </w:rPr>
      </w:pPr>
      <w:r>
        <w:rPr>
          <w:rStyle w:val="htmlparacode"/>
        </w:rPr>
        <w:t>&lt;p&gt;</w:t>
      </w:r>
    </w:p>
    <w:p w:rsidR="00B72047" w:rsidRDefault="00B72047">
      <w:pPr>
        <w:pStyle w:val="examplescaledpre"/>
      </w:pPr>
      <w:r>
        <w:rPr>
          <w:rStyle w:val="indexentry"/>
        </w:rPr>
        <w:t>&lt;ex "south face"&gt;</w:t>
      </w:r>
      <w:r>
        <w:rPr>
          <w:rStyle w:val="indexentry"/>
        </w:rPr>
        <w:fldChar w:fldCharType="begin"/>
      </w:r>
      <w:r>
        <w:instrText>xe "</w:instrText>
      </w:r>
      <w:r>
        <w:rPr>
          <w:rStyle w:val="xeentry"/>
        </w:rPr>
        <w:instrText>south face: example</w:instrText>
      </w:r>
      <w:r>
        <w:instrText>"</w:instrText>
      </w:r>
      <w:r>
        <w:rPr>
          <w:rStyle w:val="indexentry"/>
        </w:rPr>
        <w:fldChar w:fldCharType="end"/>
      </w:r>
      <w:r>
        <w:rPr>
          <w:rStyle w:val="indexentry"/>
        </w:rPr>
        <w:t>&lt;ex "rock face"&gt;</w:t>
      </w:r>
      <w:r>
        <w:rPr>
          <w:rStyle w:val="indexentry"/>
        </w:rPr>
        <w:fldChar w:fldCharType="begin"/>
      </w:r>
      <w:r>
        <w:instrText>xe "</w:instrText>
      </w:r>
      <w:r>
        <w:rPr>
          <w:rStyle w:val="xeentry"/>
        </w:rPr>
        <w:instrText>rock face: example</w:instrText>
      </w:r>
      <w:r>
        <w:instrText>"</w:instrText>
      </w:r>
      <w:r>
        <w:rPr>
          <w:rStyle w:val="indexentry"/>
        </w:rPr>
        <w:fldChar w:fldCharType="end"/>
      </w:r>
      <w:r>
        <w:rPr>
          <w:rStyle w:val="htmlcodes"/>
        </w:rPr>
        <w:t>&lt;pre&gt;&lt;a name=e11d4&gt;</w:t>
      </w:r>
      <w:r>
        <w:t>11.4)</w:t>
      </w:r>
      <w:r>
        <w:tab/>
        <w:t>tu ve'abe'a fe'e co'a rokci</w:t>
      </w:r>
    </w:p>
    <w:p w:rsidR="00B72047" w:rsidRDefault="00B72047">
      <w:pPr>
        <w:pStyle w:val="examplescaled"/>
      </w:pPr>
      <w:r>
        <w:tab/>
        <w:t>That-yonder [medium space interval - north] [space] [initiative] is-a-rock.</w:t>
      </w:r>
    </w:p>
    <w:p w:rsidR="00B72047" w:rsidRDefault="00B72047">
      <w:pPr>
        <w:pStyle w:val="examplescaled"/>
      </w:pPr>
      <w:r>
        <w:tab/>
        <w:t>That is the beginning of a rock extending to my north.</w:t>
      </w:r>
    </w:p>
    <w:p w:rsidR="00B72047" w:rsidRDefault="00B72047">
      <w:pPr>
        <w:pStyle w:val="examplescaled"/>
      </w:pPr>
      <w:r>
        <w:tab/>
        <w:t>That is the south face of a rock.</w:t>
      </w:r>
    </w:p>
    <w:p w:rsidR="00B72047" w:rsidRDefault="00B72047">
      <w:pPr>
        <w:pStyle w:val="resumedafterexample"/>
      </w:pPr>
      <w:r>
        <w:rPr>
          <w:rStyle w:val="htmlcodes"/>
        </w:rPr>
        <w:t>&lt;/pre&gt;</w:t>
      </w:r>
      <w:r>
        <w:rPr>
          <w:rStyle w:val="indexentry"/>
        </w:rPr>
        <w:t>&lt;cx "beginning point, spatial"&gt;</w:t>
      </w:r>
      <w:r>
        <w:rPr>
          <w:rStyle w:val="indexentry"/>
        </w:rPr>
        <w:fldChar w:fldCharType="begin"/>
      </w:r>
      <w:r>
        <w:instrText>xe "</w:instrText>
      </w:r>
      <w:r>
        <w:rPr>
          <w:rStyle w:val="xeentry"/>
        </w:rPr>
        <w:instrText>beginning point: spatial</w:instrText>
      </w:r>
      <w:r>
        <w:instrText>"</w:instrText>
      </w:r>
      <w:r>
        <w:rPr>
          <w:rStyle w:val="indexentry"/>
        </w:rPr>
        <w:fldChar w:fldCharType="end"/>
      </w:r>
      <w:r>
        <w:rPr>
          <w:rStyle w:val="indexentry"/>
        </w:rPr>
        <w:t>&lt;cx "spatial contours, contrasted with temporal event contours"&gt;</w:t>
      </w:r>
      <w:r>
        <w:rPr>
          <w:rStyle w:val="indexentry"/>
        </w:rPr>
        <w:fldChar w:fldCharType="begin"/>
      </w:r>
      <w:r>
        <w:instrText>xe "</w:instrText>
      </w:r>
      <w:r>
        <w:rPr>
          <w:rStyle w:val="xeentry"/>
        </w:rPr>
        <w:instrText>spatial contours: contrasted with temporal event contours</w:instrText>
      </w:r>
      <w:r>
        <w:instrText>"</w:instrText>
      </w:r>
      <w:r>
        <w:rPr>
          <w:rStyle w:val="indexentry"/>
        </w:rPr>
        <w:fldChar w:fldCharType="end"/>
      </w:r>
      <w:r>
        <w:rPr>
          <w:rStyle w:val="indexentry"/>
        </w:rPr>
        <w:t>&lt;cx "event contours, temporal contrasted with spatial"&gt;</w:t>
      </w:r>
      <w:r>
        <w:rPr>
          <w:rStyle w:val="indexentry"/>
        </w:rPr>
        <w:fldChar w:fldCharType="begin"/>
      </w:r>
      <w:r>
        <w:instrText>xe "</w:instrText>
      </w:r>
      <w:r>
        <w:rPr>
          <w:rStyle w:val="xeentry"/>
        </w:rPr>
        <w:instrText>event contours: temporal contrasted with spatial</w:instrText>
      </w:r>
      <w:r>
        <w:instrText>"</w:instrText>
      </w:r>
      <w:r>
        <w:rPr>
          <w:rStyle w:val="indexentry"/>
        </w:rPr>
        <w:fldChar w:fldCharType="end"/>
      </w:r>
      <w:r>
        <w:t>Here the notion of a “beginning point” represented by the cmavo “co'a” is</w:t>
      </w:r>
      <w:r>
        <w:rPr>
          <w:rStyle w:val="deletedparamark"/>
        </w:rPr>
        <w:t xml:space="preserve"> </w:t>
      </w:r>
      <w:r>
        <w:t>transferred from “beginning in time” to “beginning in space” under the</w:t>
      </w:r>
      <w:r>
        <w:rPr>
          <w:rStyle w:val="deletedparamark"/>
        </w:rPr>
        <w:t xml:space="preserve"> </w:t>
      </w:r>
      <w:r>
        <w:t>influence of the “fe'e” flag. Space is not inherently oriented, unlike</w:t>
      </w:r>
      <w:r>
        <w:rPr>
          <w:rStyle w:val="deletedparamark"/>
        </w:rPr>
        <w:t xml:space="preserve"> </w:t>
      </w:r>
      <w:r>
        <w:t>time, which flows from past to future: therefore, some indica</w:t>
      </w:r>
      <w:r>
        <w:softHyphen/>
        <w:t>tion of</w:t>
      </w:r>
      <w:r>
        <w:rPr>
          <w:rStyle w:val="deletedparamark"/>
        </w:rPr>
        <w:t xml:space="preserve"> </w:t>
      </w:r>
      <w:r>
        <w:t>orientation is necessary, and the “ve'abe'a” provides an orien</w:t>
      </w:r>
      <w:r>
        <w:softHyphen/>
        <w:t>tation in</w:t>
      </w:r>
      <w:r>
        <w:rPr>
          <w:rStyle w:val="deletedparamark"/>
        </w:rPr>
        <w:t xml:space="preserve"> </w:t>
      </w:r>
      <w:r>
        <w:t>which the south face is the “beginning” and the north face is the “end”,</w:t>
      </w:r>
      <w:r>
        <w:rPr>
          <w:rStyle w:val="deletedparamark"/>
        </w:rPr>
        <w:t xml:space="preserve"> </w:t>
      </w:r>
      <w:r>
        <w:t>since the rock extends from south (near me) to north (away from me).</w:t>
      </w:r>
    </w:p>
    <w:p w:rsidR="00B72047" w:rsidRDefault="00B72047">
      <w:pPr>
        <w:rPr>
          <w:rStyle w:val="htmlparacode"/>
        </w:rPr>
      </w:pPr>
      <w:r>
        <w:rPr>
          <w:rStyle w:val="htmlparacode"/>
        </w:rPr>
        <w:t>&lt;p&gt;</w:t>
      </w:r>
    </w:p>
    <w:p w:rsidR="00B72047" w:rsidRDefault="00B72047">
      <w:pPr>
        <w:pStyle w:val="normalparagraph"/>
      </w:pPr>
      <w:r>
        <w:rPr>
          <w:rStyle w:val="indexentry"/>
        </w:rPr>
        <w:t>&lt;cx "time, as space-based metaphor"&gt;</w:t>
      </w:r>
      <w:r>
        <w:rPr>
          <w:rStyle w:val="indexentry"/>
        </w:rPr>
        <w:fldChar w:fldCharType="begin"/>
      </w:r>
      <w:r>
        <w:instrText>xe "</w:instrText>
      </w:r>
      <w:r>
        <w:rPr>
          <w:rStyle w:val="xeentry"/>
        </w:rPr>
        <w:instrText>time: as space-based metaphor</w:instrText>
      </w:r>
      <w:r>
        <w:instrText>"</w:instrText>
      </w:r>
      <w:r>
        <w:rPr>
          <w:rStyle w:val="indexentry"/>
        </w:rPr>
        <w:fldChar w:fldCharType="end"/>
      </w:r>
      <w:r>
        <w:rPr>
          <w:rStyle w:val="indexentry"/>
        </w:rPr>
        <w:t>&lt;cx "space, as time-based metaphor"&gt;</w:t>
      </w:r>
      <w:r>
        <w:rPr>
          <w:rStyle w:val="indexentry"/>
        </w:rPr>
        <w:fldChar w:fldCharType="begin"/>
      </w:r>
      <w:r>
        <w:instrText>xe "</w:instrText>
      </w:r>
      <w:r>
        <w:rPr>
          <w:rStyle w:val="xeentry"/>
        </w:rPr>
        <w:instrText>space: as time-based metaphor</w:instrText>
      </w:r>
      <w:r>
        <w:instrText>"</w:instrText>
      </w:r>
      <w:r>
        <w:rPr>
          <w:rStyle w:val="indexentry"/>
        </w:rPr>
        <w:fldChar w:fldCharType="end"/>
      </w:r>
      <w:r>
        <w:rPr>
          <w:rStyle w:val="indexentry"/>
        </w:rPr>
        <w:t>&lt;cx "space/time metaphor, expressing direction mapping for"&gt;</w:t>
      </w:r>
      <w:r>
        <w:rPr>
          <w:rStyle w:val="indexentry"/>
        </w:rPr>
        <w:fldChar w:fldCharType="begin"/>
      </w:r>
      <w:r>
        <w:instrText>xe "</w:instrText>
      </w:r>
      <w:r>
        <w:rPr>
          <w:rStyle w:val="xeentry"/>
        </w:rPr>
        <w:instrText>space/time metaphor: expressing direction mapping for</w:instrText>
      </w:r>
      <w:r>
        <w:instrText>"</w:instrText>
      </w:r>
      <w:r>
        <w:rPr>
          <w:rStyle w:val="indexentry"/>
        </w:rPr>
        <w:fldChar w:fldCharType="end"/>
      </w:r>
      <w:r>
        <w:rPr>
          <w:rStyle w:val="indexentry"/>
        </w:rPr>
        <w:t>&lt;cx "FAhA, use in specifying space/time mapping direction"&gt;</w:t>
      </w:r>
      <w:r>
        <w:rPr>
          <w:rStyle w:val="indexentry"/>
        </w:rPr>
        <w:fldChar w:fldCharType="begin"/>
      </w:r>
      <w:r>
        <w:instrText>xe "</w:instrText>
      </w:r>
      <w:r>
        <w:rPr>
          <w:rStyle w:val="xeentry"/>
        </w:rPr>
        <w:instrText>FAhA selma’o: use in specifying space/time mapping direction</w:instrText>
      </w:r>
      <w:r>
        <w:instrText>"</w:instrText>
      </w:r>
      <w:r>
        <w:rPr>
          <w:rStyle w:val="indexentry"/>
        </w:rPr>
        <w:fldChar w:fldCharType="end"/>
      </w:r>
      <w:r>
        <w:t>Many natural languages represent time by a space-based metaphor: in</w:t>
      </w:r>
      <w:r>
        <w:rPr>
          <w:rStyle w:val="deletedparamark"/>
        </w:rPr>
        <w:t xml:space="preserve"> </w:t>
      </w:r>
      <w:r>
        <w:t>English, what is past is said to be “behind us”. In other languages,</w:t>
      </w:r>
      <w:r>
        <w:rPr>
          <w:rStyle w:val="deletedparamark"/>
        </w:rPr>
        <w:t xml:space="preserve"> </w:t>
      </w:r>
      <w:r>
        <w:t>the metaphor is reversed. Here, L</w:t>
      </w:r>
      <w:r>
        <w:t>o</w:t>
      </w:r>
      <w:r>
        <w:t>j</w:t>
      </w:r>
      <w:r>
        <w:softHyphen/>
        <w:t>ban is representing space (or space</w:t>
      </w:r>
      <w:r>
        <w:rPr>
          <w:rStyle w:val="deletedparamark"/>
        </w:rPr>
        <w:t xml:space="preserve"> </w:t>
      </w:r>
      <w:r>
        <w:t>interval modifiers) by a time-based meta</w:t>
      </w:r>
      <w:r>
        <w:softHyphen/>
        <w:t>phor: the choice of a FAhA cmavo</w:t>
      </w:r>
      <w:r>
        <w:rPr>
          <w:rStyle w:val="deletedparamark"/>
        </w:rPr>
        <w:t xml:space="preserve"> </w:t>
      </w:r>
      <w:r>
        <w:t>following a VEhA cmavo indicates which direction is mapped onto the</w:t>
      </w:r>
      <w:r>
        <w:rPr>
          <w:rStyle w:val="deletedparamark"/>
        </w:rPr>
        <w:t xml:space="preserve"> </w:t>
      </w:r>
      <w:r>
        <w:t>future. (The choice of future rather than past is arbitrary, but con</w:t>
      </w:r>
      <w:r>
        <w:softHyphen/>
        <w:t>venient</w:t>
      </w:r>
      <w:r>
        <w:rPr>
          <w:rStyle w:val="deletedparamark"/>
        </w:rPr>
        <w:t xml:space="preserve"> </w:t>
      </w:r>
      <w:r>
        <w:t>for English-speakers.)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"TAhE, effect of ZAhO on fe'e flag"&gt;</w:t>
      </w:r>
      <w:r>
        <w:rPr>
          <w:rStyle w:val="indexentry"/>
        </w:rPr>
        <w:fldChar w:fldCharType="begin"/>
      </w:r>
      <w:r>
        <w:instrText>xe "</w:instrText>
      </w:r>
      <w:r>
        <w:rPr>
          <w:rStyle w:val="xeentry"/>
        </w:rPr>
        <w:instrText>TAhE selma’o: effect of ZAhO on fe'e flag</w:instrText>
      </w:r>
      <w:r>
        <w:instrText>"</w:instrText>
      </w:r>
      <w:r>
        <w:rPr>
          <w:rStyle w:val="indexentry"/>
        </w:rPr>
        <w:fldChar w:fldCharType="end"/>
      </w:r>
      <w:r>
        <w:rPr>
          <w:rStyle w:val="indexentry"/>
        </w:rPr>
        <w:t>&lt;cx "ROI, effect of ZAhO on fe'e flag"&gt;</w:t>
      </w:r>
      <w:r>
        <w:rPr>
          <w:rStyle w:val="indexentry"/>
        </w:rPr>
        <w:fldChar w:fldCharType="begin"/>
      </w:r>
      <w:r>
        <w:instrText>xe "</w:instrText>
      </w:r>
      <w:r>
        <w:rPr>
          <w:rStyle w:val="xeentry"/>
        </w:rPr>
        <w:instrText>ROI selma’o: effect of ZAhO on fe'e flag</w:instrText>
      </w:r>
      <w:r>
        <w:instrText>"</w:instrText>
      </w:r>
      <w:r>
        <w:rPr>
          <w:rStyle w:val="indexentry"/>
        </w:rPr>
        <w:fldChar w:fldCharType="end"/>
      </w:r>
      <w:r>
        <w:rPr>
          <w:rStyle w:val="indexentry"/>
        </w:rPr>
        <w:t>&lt;cx "ZAhO, effect on fe'e flag for TAhE and ROI"&gt;</w:t>
      </w:r>
      <w:r>
        <w:rPr>
          <w:rStyle w:val="indexentry"/>
        </w:rPr>
        <w:fldChar w:fldCharType="begin"/>
      </w:r>
      <w:r>
        <w:instrText>xe "</w:instrText>
      </w:r>
      <w:r>
        <w:rPr>
          <w:rStyle w:val="xeentry"/>
        </w:rPr>
        <w:instrText>ZAhO selma’o: effect on fe'e flag for TAhE and ROI</w:instrText>
      </w:r>
      <w:r>
        <w:instrText>"</w:instrText>
      </w:r>
      <w:r>
        <w:rPr>
          <w:rStyle w:val="indexentry"/>
        </w:rPr>
        <w:fldChar w:fldCharType="end"/>
      </w:r>
      <w:r>
        <w:rPr>
          <w:rStyle w:val="indexentry"/>
        </w:rPr>
        <w:t>&lt;cx "fe'e, effect of TAhE/ROI with ZAhO on"&gt;</w:t>
      </w:r>
      <w:r>
        <w:rPr>
          <w:rStyle w:val="indexentry"/>
        </w:rPr>
        <w:fldChar w:fldCharType="begin"/>
      </w:r>
      <w:r>
        <w:instrText>xe "</w:instrText>
      </w:r>
      <w:r>
        <w:rPr>
          <w:rStyle w:val="xeentry"/>
        </w:rPr>
        <w:instrText>fe'e: effect of TAhE/ROI with ZAhO on</w:instrText>
      </w:r>
      <w:r>
        <w:instrText>"</w:instrText>
      </w:r>
      <w:r>
        <w:rPr>
          <w:rStyle w:val="indexentry"/>
        </w:rPr>
        <w:fldChar w:fldCharType="end"/>
      </w:r>
      <w:r>
        <w:t>If both a TAhE (or ROI) and a ZAhO are present as space interval modifiers,</w:t>
      </w:r>
      <w:r>
        <w:rPr>
          <w:rStyle w:val="deletedparamark"/>
        </w:rPr>
        <w:t xml:space="preserve"> </w:t>
      </w:r>
      <w:r>
        <w:t>the “fe'e” flag must be prefixed to each.</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341" w:name="_Toc398970586"/>
      <w:r>
        <w:rPr>
          <w:rStyle w:val="Heading3Text"/>
        </w:rPr>
        <w:t>Tenses as sumti tcita</w:t>
      </w:r>
      <w:bookmarkEnd w:id="34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"tenses, use as sumti tcita"&gt;</w:t>
      </w:r>
      <w:r>
        <w:rPr>
          <w:rStyle w:val="indexentry"/>
        </w:rPr>
        <w:fldChar w:fldCharType="begin"/>
      </w:r>
      <w:r>
        <w:instrText>xe "</w:instrText>
      </w:r>
      <w:r>
        <w:rPr>
          <w:rStyle w:val="xeentry"/>
        </w:rPr>
        <w:instrText>tense: use as sumti tcita</w:instrText>
      </w:r>
      <w:r>
        <w:instrText>"</w:instrText>
      </w:r>
      <w:r>
        <w:rPr>
          <w:rStyle w:val="indexentry"/>
        </w:rPr>
        <w:fldChar w:fldCharType="end"/>
      </w:r>
      <w:r>
        <w:rPr>
          <w:rStyle w:val="indexentry"/>
        </w:rPr>
        <w:t>&lt;cx "spatial information, adding to a sentence with tense sumti tcita"&gt;</w:t>
      </w:r>
      <w:r>
        <w:rPr>
          <w:rStyle w:val="indexentry"/>
        </w:rPr>
        <w:fldChar w:fldCharType="begin"/>
      </w:r>
      <w:r>
        <w:instrText>xe "</w:instrText>
      </w:r>
      <w:r>
        <w:rPr>
          <w:rStyle w:val="xeentry"/>
        </w:rPr>
        <w:instrText>spatial information: adding to a sentence with tense sumti tcita</w:instrText>
      </w:r>
      <w:r>
        <w:instrText>"</w:instrText>
      </w:r>
      <w:r>
        <w:rPr>
          <w:rStyle w:val="indexentry"/>
        </w:rPr>
        <w:fldChar w:fldCharType="end"/>
      </w:r>
      <w:r>
        <w:rPr>
          <w:rStyle w:val="indexentry"/>
        </w:rPr>
        <w:t>&lt;cx "temporal information, adding to a sentence with tense sumti tcita"&gt;</w:t>
      </w:r>
      <w:r>
        <w:rPr>
          <w:rStyle w:val="indexentry"/>
        </w:rPr>
        <w:fldChar w:fldCharType="begin"/>
      </w:r>
      <w:r>
        <w:instrText>xe "</w:instrText>
      </w:r>
      <w:r>
        <w:rPr>
          <w:rStyle w:val="xeentry"/>
        </w:rPr>
        <w:instrText>temporal information: adding to a sentence with tense sumti tcita</w:instrText>
      </w:r>
      <w:r>
        <w:instrText>"</w:instrText>
      </w:r>
      <w:r>
        <w:rPr>
          <w:rStyle w:val="indexentry"/>
        </w:rPr>
        <w:fldChar w:fldCharType="end"/>
      </w:r>
      <w:r>
        <w:rPr>
          <w:rStyle w:val="indexentry"/>
        </w:rPr>
        <w:t>&lt;cx "sumti tcita, based on tenses"&gt;</w:t>
      </w:r>
      <w:r>
        <w:rPr>
          <w:rStyle w:val="indexentry"/>
        </w:rPr>
        <w:fldChar w:fldCharType="begin"/>
      </w:r>
      <w:r>
        <w:instrText>xe "</w:instrText>
      </w:r>
      <w:r>
        <w:rPr>
          <w:rStyle w:val="xeentry"/>
        </w:rPr>
        <w:instrText>sumti tcita: based on tenses</w:instrText>
      </w:r>
      <w:r>
        <w:instrText>"</w:instrText>
      </w:r>
      <w:r>
        <w:rPr>
          <w:rStyle w:val="indexentry"/>
        </w:rPr>
        <w:fldChar w:fldCharType="end"/>
      </w:r>
      <w:r>
        <w:rPr>
          <w:rStyle w:val="indexentry"/>
        </w:rPr>
        <w:t>&lt;cx "argument tags, based on tenses (see also sumti tcita)"&gt;</w:t>
      </w:r>
      <w:r>
        <w:rPr>
          <w:rStyle w:val="indexentry"/>
        </w:rPr>
        <w:fldChar w:fldCharType="begin"/>
      </w:r>
      <w:r>
        <w:instrText>xe "</w:instrText>
      </w:r>
      <w:r>
        <w:rPr>
          <w:rStyle w:val="xeentry"/>
        </w:rPr>
        <w:instrText>argument tags: based on tenses (see also sumti tcita)</w:instrText>
      </w:r>
      <w:r>
        <w:instrText>"</w:instrText>
      </w:r>
      <w:r>
        <w:rPr>
          <w:rStyle w:val="indexentry"/>
        </w:rPr>
        <w:fldChar w:fldCharType="end"/>
      </w:r>
      <w:r>
        <w:t>So far, we have seen tenses only just before the selbri, or (equivalently</w:t>
      </w:r>
      <w:r>
        <w:rPr>
          <w:rStyle w:val="deletedparamark"/>
        </w:rPr>
        <w:t xml:space="preserve"> </w:t>
      </w:r>
      <w:r>
        <w:t>in meaning) floating about the bridi with “ku”. There is another major use</w:t>
      </w:r>
      <w:r>
        <w:rPr>
          <w:rStyle w:val="deletedparamark"/>
        </w:rPr>
        <w:t xml:space="preserve"> </w:t>
      </w:r>
      <w:r>
        <w:t>for tenses in Lojban: as sumti tcita, or argument tags. A tense may be</w:t>
      </w:r>
      <w:r>
        <w:rPr>
          <w:rStyle w:val="deletedparamark"/>
        </w:rPr>
        <w:t xml:space="preserve"> </w:t>
      </w:r>
      <w:r>
        <w:t>used to add spatial or temporal information to a bridi as, in effect,</w:t>
      </w:r>
      <w:r>
        <w:rPr>
          <w:rStyle w:val="deletedparamark"/>
        </w:rPr>
        <w:t xml:space="preserve"> </w:t>
      </w:r>
      <w:r>
        <w:t>an additional place: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name=e12d1&gt;</w:t>
      </w:r>
      <w:r>
        <w:t>12.1)</w:t>
      </w:r>
      <w:r>
        <w:tab/>
        <w:t>mi klama le zarci ca le nu do klama le zdani</w:t>
      </w:r>
    </w:p>
    <w:p w:rsidR="00B72047" w:rsidRDefault="00B72047">
      <w:pPr>
        <w:pStyle w:val="examplescaled"/>
      </w:pPr>
      <w:r>
        <w:tab/>
        <w:t>I go-to the market [present] the event-of you go-to the house.</w:t>
      </w:r>
    </w:p>
    <w:p w:rsidR="00B72047" w:rsidRDefault="00B72047">
      <w:pPr>
        <w:pStyle w:val="examplescaled"/>
      </w:pPr>
      <w:r>
        <w:tab/>
        <w:t>I go to the market when you go to the house.</w:t>
      </w:r>
    </w:p>
    <w:p w:rsidR="00B72047" w:rsidRDefault="00B72047">
      <w:pPr>
        <w:pStyle w:val="resumedafterexample"/>
      </w:pPr>
      <w:r>
        <w:rPr>
          <w:rStyle w:val="htmlcodes"/>
        </w:rPr>
        <w:t>&lt;/pre&gt;</w:t>
      </w:r>
      <w:r>
        <w:rPr>
          <w:rStyle w:val="indexentry"/>
        </w:rPr>
        <w:t>&lt;lx "ca"&gt;</w:t>
      </w:r>
      <w:r>
        <w:rPr>
          <w:rStyle w:val="indexentry"/>
        </w:rPr>
        <w:fldChar w:fldCharType="begin"/>
      </w:r>
      <w:r>
        <w:instrText>xe "</w:instrText>
      </w:r>
      <w:r>
        <w:rPr>
          <w:rStyle w:val="xeentry"/>
        </w:rPr>
        <w:instrText>ca</w:instrText>
      </w:r>
      <w:r>
        <w:instrText>"</w:instrText>
      </w:r>
      <w:r>
        <w:rPr>
          <w:rStyle w:val="indexentry"/>
        </w:rPr>
        <w:fldChar w:fldCharType="end"/>
      </w:r>
      <w:r>
        <w:rPr>
          <w:rStyle w:val="indexentry"/>
        </w:rPr>
        <w:t>&lt;cx "ca, meaning as a sumti tcita"&gt;</w:t>
      </w:r>
      <w:r>
        <w:rPr>
          <w:rStyle w:val="indexentry"/>
        </w:rPr>
        <w:fldChar w:fldCharType="begin"/>
      </w:r>
      <w:r>
        <w:instrText>xe "</w:instrText>
      </w:r>
      <w:r>
        <w:rPr>
          <w:rStyle w:val="xeentry"/>
        </w:rPr>
        <w:instrText>ca: meaning as a sumti tcita</w:instrText>
      </w:r>
      <w:r>
        <w:instrText>"</w:instrText>
      </w:r>
      <w:r>
        <w:rPr>
          <w:rStyle w:val="indexentry"/>
        </w:rPr>
        <w:fldChar w:fldCharType="end"/>
      </w:r>
      <w:r>
        <w:rPr>
          <w:rStyle w:val="indexentry"/>
        </w:rPr>
        <w:t>&lt;cx "tense direction, as sumti tcita"&gt;</w:t>
      </w:r>
      <w:r>
        <w:rPr>
          <w:rStyle w:val="indexentry"/>
        </w:rPr>
        <w:fldChar w:fldCharType="begin"/>
      </w:r>
      <w:r>
        <w:instrText>xe "</w:instrText>
      </w:r>
      <w:r>
        <w:rPr>
          <w:rStyle w:val="xeentry"/>
        </w:rPr>
        <w:instrText>tense direction: as sumti tcita</w:instrText>
      </w:r>
      <w:r>
        <w:instrText>"</w:instrText>
      </w:r>
      <w:r>
        <w:rPr>
          <w:rStyle w:val="indexentry"/>
        </w:rPr>
        <w:fldChar w:fldCharType="end"/>
      </w:r>
      <w:r>
        <w:rPr>
          <w:rStyle w:val="indexentry"/>
        </w:rPr>
        <w:t>&lt;cx "sumti tcita, based on tense direction"&gt;</w:t>
      </w:r>
      <w:r>
        <w:rPr>
          <w:rStyle w:val="indexentry"/>
        </w:rPr>
        <w:fldChar w:fldCharType="begin"/>
      </w:r>
      <w:r>
        <w:instrText>xe "</w:instrText>
      </w:r>
      <w:r>
        <w:rPr>
          <w:rStyle w:val="xeentry"/>
        </w:rPr>
        <w:instrText>sumti tcita: based on tense direction</w:instrText>
      </w:r>
      <w:r>
        <w:instrText>"</w:instrText>
      </w:r>
      <w:r>
        <w:rPr>
          <w:rStyle w:val="indexentry"/>
        </w:rPr>
        <w:fldChar w:fldCharType="end"/>
      </w:r>
      <w:r>
        <w:t>Here “ca” does not appear before the selbri, nor with “ku”; instead, it</w:t>
      </w:r>
      <w:r>
        <w:rPr>
          <w:rStyle w:val="deletedparamark"/>
        </w:rPr>
        <w:t xml:space="preserve"> </w:t>
      </w:r>
      <w:r>
        <w:t>governs the fol</w:t>
      </w:r>
      <w:r>
        <w:softHyphen/>
        <w:t xml:space="preserve">lowing sumti, the “le nu” construct. What </w:t>
      </w:r>
      <w:r>
        <w:rPr>
          <w:rStyle w:val="htmlcodes"/>
        </w:rPr>
        <w:t>&lt;a href=#e12d1&gt;</w:t>
      </w:r>
      <w:r>
        <w:t xml:space="preserve">Example 12.1 </w:t>
      </w:r>
      <w:r>
        <w:rPr>
          <w:rStyle w:val="htmlcodes"/>
        </w:rPr>
        <w:t>&lt;/a&gt;</w:t>
      </w:r>
      <w:r>
        <w:t>asserts is that the action of the main bridi is happening at the same time</w:t>
      </w:r>
      <w:r>
        <w:rPr>
          <w:rStyle w:val="deletedparamark"/>
        </w:rPr>
        <w:t xml:space="preserve"> </w:t>
      </w:r>
      <w:r>
        <w:t>as the event mentioned by that sumti. So “ca”, which means “now” when used</w:t>
      </w:r>
      <w:r>
        <w:rPr>
          <w:rStyle w:val="deletedparamark"/>
        </w:rPr>
        <w:t xml:space="preserve"> </w:t>
      </w:r>
      <w:r>
        <w:t>with a selbri, means “simultaneously-with” when used with a sumti.</w:t>
      </w:r>
      <w:r>
        <w:rPr>
          <w:rStyle w:val="deletedparamark"/>
        </w:rPr>
        <w:t xml:space="preserve"> </w:t>
      </w:r>
      <w:r>
        <w:t>Consider another example:</w:t>
      </w:r>
    </w:p>
    <w:p w:rsidR="00B72047" w:rsidRDefault="00B72047">
      <w:pPr>
        <w:rPr>
          <w:rStyle w:val="htmlparacode"/>
        </w:rPr>
      </w:pPr>
      <w:r>
        <w:rPr>
          <w:rStyle w:val="htmlparacode"/>
        </w:rPr>
        <w:t>&lt;p&gt;</w:t>
      </w:r>
    </w:p>
    <w:p w:rsidR="00B72047" w:rsidRDefault="00B72047">
      <w:pPr>
        <w:pStyle w:val="examplescaledpre"/>
      </w:pPr>
      <w:r>
        <w:rPr>
          <w:rStyle w:val="indexentry"/>
        </w:rPr>
        <w:t>&lt;lx "pu"&gt;</w:t>
      </w:r>
      <w:r>
        <w:rPr>
          <w:rStyle w:val="indexentry"/>
        </w:rPr>
        <w:fldChar w:fldCharType="begin"/>
      </w:r>
      <w:r>
        <w:instrText>xe "</w:instrText>
      </w:r>
      <w:r>
        <w:rPr>
          <w:rStyle w:val="xeentry"/>
        </w:rPr>
        <w:instrText>pu</w:instrText>
      </w:r>
      <w:r>
        <w:instrText>"</w:instrText>
      </w:r>
      <w:r>
        <w:rPr>
          <w:rStyle w:val="indexentry"/>
        </w:rPr>
        <w:fldChar w:fldCharType="end"/>
      </w:r>
      <w:r>
        <w:rPr>
          <w:rStyle w:val="indexentry"/>
        </w:rPr>
        <w:t>&lt;cx "pu, meaning as a sumti tcita"&gt;</w:t>
      </w:r>
      <w:r>
        <w:rPr>
          <w:rStyle w:val="indexentry"/>
        </w:rPr>
        <w:fldChar w:fldCharType="begin"/>
      </w:r>
      <w:r>
        <w:instrText>xe "</w:instrText>
      </w:r>
      <w:r>
        <w:rPr>
          <w:rStyle w:val="xeentry"/>
        </w:rPr>
        <w:instrText>pu: meaning as a sumti tcita</w:instrText>
      </w:r>
      <w:r>
        <w:instrText>"</w:instrText>
      </w:r>
      <w:r>
        <w:rPr>
          <w:rStyle w:val="indexentry"/>
        </w:rPr>
        <w:fldChar w:fldCharType="end"/>
      </w:r>
      <w:r>
        <w:rPr>
          <w:rStyle w:val="htmlcodes"/>
        </w:rPr>
        <w:t>&lt;pre&gt;&lt;a name=e12d2&gt;</w:t>
      </w:r>
      <w:r>
        <w:t>12.2)</w:t>
      </w:r>
      <w:r>
        <w:tab/>
        <w:t>mi klama le zarci pu le nu do pu klama le zdani</w:t>
      </w:r>
    </w:p>
    <w:p w:rsidR="00B72047" w:rsidRDefault="00B72047">
      <w:pPr>
        <w:pStyle w:val="examplescaled"/>
      </w:pPr>
      <w:r>
        <w:tab/>
        <w:t>I go-to the market [past] the event-of you [past] go-to the house.</w:t>
      </w:r>
    </w:p>
    <w:p w:rsidR="00B72047" w:rsidRDefault="00B72047">
      <w:pPr>
        <w:pStyle w:val="resumedafterexample"/>
      </w:pPr>
      <w:r>
        <w:rPr>
          <w:rStyle w:val="htmlcodes"/>
        </w:rPr>
        <w:t>&lt;/pre&gt;&lt;p&gt;</w:t>
      </w:r>
      <w:r>
        <w:t>The second “pu” is simply the past tense marker for the event of your</w:t>
      </w:r>
      <w:r>
        <w:rPr>
          <w:rStyle w:val="deletedparamark"/>
        </w:rPr>
        <w:t xml:space="preserve"> </w:t>
      </w:r>
      <w:r>
        <w:t>going to the house, and says that this event is in the speaker's past.</w:t>
      </w:r>
      <w:r>
        <w:rPr>
          <w:rStyle w:val="deletedparamark"/>
        </w:rPr>
        <w:t xml:space="preserve"> </w:t>
      </w:r>
      <w:r>
        <w:t>How are we to understand the first “pu”, the sumti tcita?</w:t>
      </w:r>
    </w:p>
    <w:p w:rsidR="00B72047" w:rsidRDefault="00B72047">
      <w:pPr>
        <w:rPr>
          <w:rStyle w:val="htmlparacode"/>
        </w:rPr>
      </w:pPr>
      <w:r>
        <w:rPr>
          <w:rStyle w:val="htmlparacode"/>
        </w:rPr>
        <w:t>&lt;p&gt;</w:t>
      </w:r>
    </w:p>
    <w:p w:rsidR="00B72047" w:rsidRDefault="00B72047">
      <w:pPr>
        <w:pStyle w:val="normalparagraph"/>
      </w:pPr>
      <w:r>
        <w:rPr>
          <w:rStyle w:val="indexentry"/>
        </w:rPr>
        <w:t>&lt;cx "imaginary journey, starting point"&gt;</w:t>
      </w:r>
      <w:r>
        <w:rPr>
          <w:rStyle w:val="indexentry"/>
        </w:rPr>
        <w:fldChar w:fldCharType="begin"/>
      </w:r>
      <w:r>
        <w:instrText>xe "</w:instrText>
      </w:r>
      <w:r>
        <w:rPr>
          <w:rStyle w:val="xeentry"/>
        </w:rPr>
        <w:instrText>imaginary journey: starting point</w:instrText>
      </w:r>
      <w:r>
        <w:instrText>"</w:instrText>
      </w:r>
      <w:r>
        <w:rPr>
          <w:rStyle w:val="indexentry"/>
        </w:rPr>
        <w:fldChar w:fldCharType="end"/>
      </w:r>
      <w:r>
        <w:rPr>
          <w:rStyle w:val="indexentry"/>
        </w:rPr>
        <w:t>&lt;cx "imaginary journey, starting at a different point"&gt;</w:t>
      </w:r>
      <w:r>
        <w:rPr>
          <w:rStyle w:val="indexentry"/>
        </w:rPr>
        <w:fldChar w:fldCharType="begin"/>
      </w:r>
      <w:r>
        <w:instrText>xe "</w:instrText>
      </w:r>
      <w:r>
        <w:rPr>
          <w:rStyle w:val="xeentry"/>
        </w:rPr>
        <w:instrText>imaginary journey: starting at a different point</w:instrText>
      </w:r>
      <w:r>
        <w:instrText>"</w:instrText>
      </w:r>
      <w:r>
        <w:rPr>
          <w:rStyle w:val="indexentry"/>
        </w:rPr>
        <w:fldChar w:fldCharType="end"/>
      </w:r>
      <w:r>
        <w:t>All of our imaginary journeys so far have started at the speaker's location</w:t>
      </w:r>
      <w:r>
        <w:rPr>
          <w:rStyle w:val="deletedparamark"/>
        </w:rPr>
        <w:t xml:space="preserve"> </w:t>
      </w:r>
      <w:r>
        <w:t>in space and time. Now we are specifying an imaginary journey that starts at</w:t>
      </w:r>
      <w:r>
        <w:rPr>
          <w:rStyle w:val="deletedparamark"/>
        </w:rPr>
        <w:t xml:space="preserve"> </w:t>
      </w:r>
      <w:r>
        <w:t>a different location, namely at the event of your going to the house.</w:t>
      </w:r>
      <w:r>
        <w:rPr>
          <w:rStyle w:val="deletedparamark"/>
        </w:rPr>
        <w:t xml:space="preserve"> </w:t>
      </w:r>
      <w:r>
        <w:rPr>
          <w:rStyle w:val="htmlcodes"/>
        </w:rPr>
        <w:t>&lt;a href=#e12d2&gt;</w:t>
      </w:r>
      <w:r>
        <w:t xml:space="preserve">Example 12.2 </w:t>
      </w:r>
      <w:r>
        <w:rPr>
          <w:rStyle w:val="htmlcodes"/>
        </w:rPr>
        <w:t>&lt;/a&gt;</w:t>
      </w:r>
      <w:r>
        <w:t>then says that my going to the market is in the past, relative</w:t>
      </w:r>
      <w:r>
        <w:rPr>
          <w:rStyle w:val="deletedparamark"/>
        </w:rPr>
        <w:t xml:space="preserve"> </w:t>
      </w:r>
      <w:r>
        <w:t>not to the speaker's present moment, but instead relative to the moment</w:t>
      </w:r>
      <w:r>
        <w:rPr>
          <w:rStyle w:val="deletedparamark"/>
        </w:rPr>
        <w:t xml:space="preserve"> </w:t>
      </w:r>
      <w:r>
        <w:t xml:space="preserve">when you went to the house. </w:t>
      </w:r>
      <w:r>
        <w:rPr>
          <w:rStyle w:val="htmlcodes"/>
        </w:rPr>
        <w:t>&lt;a href=#e12d2&gt;</w:t>
      </w:r>
      <w:r>
        <w:t xml:space="preserve">Example 12.2 </w:t>
      </w:r>
      <w:r>
        <w:rPr>
          <w:rStyle w:val="htmlcodes"/>
        </w:rPr>
        <w:t>&lt;/a&gt;</w:t>
      </w:r>
      <w:r>
        <w:t>can therefore be translated:</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I had gone to the market before you went to the house.</w:t>
      </w:r>
    </w:p>
    <w:p w:rsidR="00B72047" w:rsidRDefault="00B72047">
      <w:pPr>
        <w:pStyle w:val="resumedafterexample"/>
      </w:pPr>
      <w:r>
        <w:rPr>
          <w:rStyle w:val="htmlcodes"/>
        </w:rPr>
        <w:t>&lt;/dl&gt;</w:t>
      </w:r>
      <w:r>
        <w:rPr>
          <w:rStyle w:val="indexentry"/>
        </w:rPr>
        <w:t>&lt;cx "spatial tenses, as sumti tcita"&gt;</w:t>
      </w:r>
      <w:r>
        <w:rPr>
          <w:rStyle w:val="indexentry"/>
        </w:rPr>
        <w:fldChar w:fldCharType="begin"/>
      </w:r>
      <w:r>
        <w:instrText>xe "</w:instrText>
      </w:r>
      <w:r>
        <w:rPr>
          <w:rStyle w:val="xeentry"/>
        </w:rPr>
        <w:instrText>spatial tense: as sumti tcita</w:instrText>
      </w:r>
      <w:r>
        <w:instrText>"</w:instrText>
      </w:r>
      <w:r>
        <w:rPr>
          <w:rStyle w:val="indexentry"/>
        </w:rPr>
        <w:fldChar w:fldCharType="end"/>
      </w:r>
      <w:r>
        <w:rPr>
          <w:rStyle w:val="indexentry"/>
        </w:rPr>
        <w:t>&lt;cx "tense distance, as sumti tcita"&gt;</w:t>
      </w:r>
      <w:r>
        <w:rPr>
          <w:rStyle w:val="indexentry"/>
        </w:rPr>
        <w:fldChar w:fldCharType="begin"/>
      </w:r>
      <w:r>
        <w:instrText>xe "</w:instrText>
      </w:r>
      <w:r>
        <w:rPr>
          <w:rStyle w:val="xeentry"/>
        </w:rPr>
        <w:instrText>tense distance: as sumti tcita</w:instrText>
      </w:r>
      <w:r>
        <w:instrText>"</w:instrText>
      </w:r>
      <w:r>
        <w:rPr>
          <w:rStyle w:val="indexentry"/>
        </w:rPr>
        <w:fldChar w:fldCharType="end"/>
      </w:r>
      <w:r>
        <w:rPr>
          <w:rStyle w:val="indexentry"/>
        </w:rPr>
        <w:t>&lt;cx "sumti tcita, based on tense distance"&gt;</w:t>
      </w:r>
      <w:r>
        <w:rPr>
          <w:rStyle w:val="indexentry"/>
        </w:rPr>
        <w:fldChar w:fldCharType="begin"/>
      </w:r>
      <w:r>
        <w:instrText>xe "</w:instrText>
      </w:r>
      <w:r>
        <w:rPr>
          <w:rStyle w:val="xeentry"/>
        </w:rPr>
        <w:instrText>sumti tcita: based on tense distance</w:instrText>
      </w:r>
      <w:r>
        <w:instrText>"</w:instrText>
      </w:r>
      <w:r>
        <w:rPr>
          <w:rStyle w:val="indexentry"/>
        </w:rPr>
        <w:fldChar w:fldCharType="end"/>
      </w:r>
      <w:r>
        <w:t>(Other translations are possible, depending on the ever-present con</w:t>
      </w:r>
      <w:r>
        <w:softHyphen/>
        <w:t>text.)</w:t>
      </w:r>
      <w:r>
        <w:rPr>
          <w:rStyle w:val="deletedparamark"/>
        </w:rPr>
        <w:t xml:space="preserve"> </w:t>
      </w:r>
      <w:r>
        <w:t>Spatial direc</w:t>
      </w:r>
      <w:r>
        <w:softHyphen/>
        <w:t>tion and distance sumti tcita are exactly analogous:</w:t>
      </w:r>
    </w:p>
    <w:p w:rsidR="00B72047" w:rsidRDefault="00B72047">
      <w:pPr>
        <w:rPr>
          <w:rStyle w:val="htmlparacode"/>
        </w:rPr>
      </w:pPr>
      <w:r>
        <w:rPr>
          <w:rStyle w:val="htmlparacode"/>
        </w:rPr>
        <w:t>&lt;p&gt;</w:t>
      </w:r>
    </w:p>
    <w:p w:rsidR="00B72047" w:rsidRDefault="00B72047">
      <w:pPr>
        <w:pStyle w:val="examplescaledpre"/>
      </w:pPr>
      <w:r>
        <w:rPr>
          <w:rStyle w:val="indexentry"/>
        </w:rPr>
        <w:t>&lt;ex "near the park"&gt;</w:t>
      </w:r>
      <w:r>
        <w:rPr>
          <w:rStyle w:val="indexentry"/>
        </w:rPr>
        <w:fldChar w:fldCharType="begin"/>
      </w:r>
      <w:r>
        <w:instrText>xe "</w:instrText>
      </w:r>
      <w:r>
        <w:rPr>
          <w:rStyle w:val="xeentry"/>
        </w:rPr>
        <w:instrText>near the park: example</w:instrText>
      </w:r>
      <w:r>
        <w:instrText>"</w:instrText>
      </w:r>
      <w:r>
        <w:rPr>
          <w:rStyle w:val="indexentry"/>
        </w:rPr>
        <w:fldChar w:fldCharType="end"/>
      </w:r>
      <w:r>
        <w:rPr>
          <w:rStyle w:val="indexentry"/>
        </w:rPr>
        <w:t>&lt;ex "rat eats cheese"&gt;</w:t>
      </w:r>
      <w:r>
        <w:rPr>
          <w:rStyle w:val="indexentry"/>
        </w:rPr>
        <w:fldChar w:fldCharType="begin"/>
      </w:r>
      <w:r>
        <w:instrText>xe "</w:instrText>
      </w:r>
      <w:r>
        <w:rPr>
          <w:rStyle w:val="xeentry"/>
        </w:rPr>
        <w:instrText>rat eats cheese: example</w:instrText>
      </w:r>
      <w:r>
        <w:instrText>"</w:instrText>
      </w:r>
      <w:r>
        <w:rPr>
          <w:rStyle w:val="indexentry"/>
        </w:rPr>
        <w:fldChar w:fldCharType="end"/>
      </w:r>
      <w:r>
        <w:rPr>
          <w:rStyle w:val="htmlcodes"/>
        </w:rPr>
        <w:t>&lt;pre&gt;&lt;a name=e12d3&gt;</w:t>
      </w:r>
      <w:r>
        <w:t>12.3)</w:t>
      </w:r>
      <w:r>
        <w:tab/>
        <w:t>le ratcu cu citka le cirla vi le panka</w:t>
      </w:r>
    </w:p>
    <w:p w:rsidR="00B72047" w:rsidRDefault="00B72047">
      <w:pPr>
        <w:pStyle w:val="examplescaled"/>
      </w:pPr>
      <w:r>
        <w:tab/>
        <w:t>The rat eats the cheese [short distance] the park.</w:t>
      </w:r>
    </w:p>
    <w:p w:rsidR="00B72047" w:rsidRDefault="00B72047">
      <w:pPr>
        <w:pStyle w:val="examplescaled"/>
      </w:pPr>
      <w:r>
        <w:tab/>
        <w:t>The rat eats the cheese near the park.</w:t>
      </w:r>
    </w:p>
    <w:p w:rsidR="00B72047" w:rsidRDefault="00B72047">
      <w:pPr>
        <w:pStyle w:val="examplescaledpre"/>
      </w:pPr>
      <w:r>
        <w:rPr>
          <w:rStyle w:val="htmlcodes"/>
        </w:rPr>
        <w:t>&lt;a name=e12d4&gt;</w:t>
      </w:r>
      <w:r>
        <w:t>12.4)</w:t>
      </w:r>
      <w:r>
        <w:tab/>
        <w:t>le ratcu cu citka le cirla vi le vu panka</w:t>
      </w:r>
    </w:p>
    <w:p w:rsidR="00B72047" w:rsidRDefault="00B72047">
      <w:pPr>
        <w:pStyle w:val="examplescaled"/>
      </w:pPr>
      <w:r>
        <w:tab/>
        <w:t>The rat eats the cheese [short distance] the [long distance] park</w:t>
      </w:r>
    </w:p>
    <w:p w:rsidR="00B72047" w:rsidRDefault="00B72047">
      <w:pPr>
        <w:pStyle w:val="examplescaled"/>
      </w:pPr>
      <w:r>
        <w:tab/>
        <w:t>The rat eats the cheese near the faraway park.</w:t>
      </w:r>
    </w:p>
    <w:p w:rsidR="00B72047" w:rsidRDefault="00B72047">
      <w:pPr>
        <w:pStyle w:val="examplescaledpre"/>
      </w:pPr>
      <w:r>
        <w:rPr>
          <w:rStyle w:val="htmlcodes"/>
        </w:rPr>
        <w:t>&lt;a name=e12d5&gt;</w:t>
      </w:r>
      <w:r>
        <w:t>12.5)</w:t>
      </w:r>
      <w:r>
        <w:tab/>
        <w:t>le ratcu cu citka le cirla vu le vi panka</w:t>
      </w:r>
    </w:p>
    <w:p w:rsidR="00B72047" w:rsidRDefault="00B72047">
      <w:pPr>
        <w:pStyle w:val="examplescaled"/>
      </w:pPr>
      <w:r>
        <w:tab/>
        <w:t>The rat eats the cheese [long distance] the [short distance] park</w:t>
      </w:r>
    </w:p>
    <w:p w:rsidR="00B72047" w:rsidRDefault="00B72047">
      <w:pPr>
        <w:pStyle w:val="examplescaled"/>
      </w:pPr>
      <w:r>
        <w:tab/>
        <w:t>The rat eats the cheese far away from the nearby park.</w:t>
      </w:r>
    </w:p>
    <w:p w:rsidR="00B72047" w:rsidRDefault="00B72047">
      <w:pPr>
        <w:pStyle w:val="normalafterexample"/>
      </w:pPr>
      <w:r>
        <w:rPr>
          <w:rStyle w:val="htmlcodes"/>
        </w:rPr>
        <w:t>&lt;/pre&gt;</w:t>
      </w:r>
      <w:r>
        <w:rPr>
          <w:rStyle w:val="indexentry"/>
        </w:rPr>
        <w:t>&lt;cx "event contours, as sumti tcita"&gt;</w:t>
      </w:r>
      <w:r>
        <w:rPr>
          <w:rStyle w:val="indexentry"/>
        </w:rPr>
        <w:fldChar w:fldCharType="begin"/>
      </w:r>
      <w:r>
        <w:instrText>xe "</w:instrText>
      </w:r>
      <w:r>
        <w:rPr>
          <w:rStyle w:val="xeentry"/>
        </w:rPr>
        <w:instrText>event contours: as sumti tcita</w:instrText>
      </w:r>
      <w:r>
        <w:instrText>"</w:instrText>
      </w:r>
      <w:r>
        <w:rPr>
          <w:rStyle w:val="indexentry"/>
        </w:rPr>
        <w:fldChar w:fldCharType="end"/>
      </w:r>
      <w:r>
        <w:rPr>
          <w:rStyle w:val="indexentry"/>
        </w:rPr>
        <w:t>&lt;cx "sumti tcita, based on event contours"&gt;</w:t>
      </w:r>
      <w:r>
        <w:rPr>
          <w:rStyle w:val="indexentry"/>
        </w:rPr>
        <w:fldChar w:fldCharType="begin"/>
      </w:r>
      <w:r>
        <w:instrText>xe "</w:instrText>
      </w:r>
      <w:r>
        <w:rPr>
          <w:rStyle w:val="xeentry"/>
        </w:rPr>
        <w:instrText>sumti tcita: based on event contours</w:instrText>
      </w:r>
      <w:r>
        <w:instrText>"</w:instrText>
      </w:r>
      <w:r>
        <w:rPr>
          <w:rStyle w:val="indexentry"/>
        </w:rPr>
        <w:fldChar w:fldCharType="end"/>
      </w:r>
      <w:r>
        <w:rPr>
          <w:rStyle w:val="indexentry"/>
        </w:rPr>
        <w:t>&lt;cx "spatial contours, as sumti tcita"&gt;</w:t>
      </w:r>
      <w:r>
        <w:rPr>
          <w:rStyle w:val="indexentry"/>
        </w:rPr>
        <w:fldChar w:fldCharType="begin"/>
      </w:r>
      <w:r>
        <w:instrText>xe "</w:instrText>
      </w:r>
      <w:r>
        <w:rPr>
          <w:rStyle w:val="xeentry"/>
        </w:rPr>
        <w:instrText>spatial contours: as sumti tcita</w:instrText>
      </w:r>
      <w:r>
        <w:instrText>"</w:instrText>
      </w:r>
      <w:r>
        <w:rPr>
          <w:rStyle w:val="indexentry"/>
        </w:rPr>
        <w:fldChar w:fldCharType="end"/>
      </w:r>
      <w:r>
        <w:rPr>
          <w:rStyle w:val="indexentry"/>
        </w:rPr>
        <w:t>&lt;cx "sumti tcita, based on spatial contours"&gt;</w:t>
      </w:r>
      <w:r>
        <w:rPr>
          <w:rStyle w:val="indexentry"/>
        </w:rPr>
        <w:fldChar w:fldCharType="begin"/>
      </w:r>
      <w:r>
        <w:instrText>xe "</w:instrText>
      </w:r>
      <w:r>
        <w:rPr>
          <w:rStyle w:val="xeentry"/>
        </w:rPr>
        <w:instrText>sumti tcita: based on spatial contours</w:instrText>
      </w:r>
      <w:r>
        <w:instrText>"</w:instrText>
      </w:r>
      <w:r>
        <w:rPr>
          <w:rStyle w:val="indexentry"/>
        </w:rPr>
        <w:fldChar w:fldCharType="end"/>
      </w:r>
      <w:r>
        <w:rPr>
          <w:rStyle w:val="indexentry"/>
        </w:rPr>
        <w:t>&lt;lx "fe'e"&gt;</w:t>
      </w:r>
      <w:r>
        <w:rPr>
          <w:rStyle w:val="indexentry"/>
        </w:rPr>
        <w:fldChar w:fldCharType="begin"/>
      </w:r>
      <w:r>
        <w:instrText>xe "</w:instrText>
      </w:r>
      <w:r>
        <w:rPr>
          <w:rStyle w:val="xeentry"/>
        </w:rPr>
        <w:instrText>fe'e</w:instrText>
      </w:r>
      <w:r>
        <w:instrText>"</w:instrText>
      </w:r>
      <w:r>
        <w:rPr>
          <w:rStyle w:val="indexentry"/>
        </w:rPr>
        <w:fldChar w:fldCharType="end"/>
      </w:r>
      <w:r>
        <w:rPr>
          <w:rStyle w:val="indexentry"/>
        </w:rPr>
        <w:t>&lt;cx "ZAhO"&gt;</w:t>
      </w:r>
      <w:r>
        <w:rPr>
          <w:rStyle w:val="indexentry"/>
        </w:rPr>
        <w:fldChar w:fldCharType="begin"/>
      </w:r>
      <w:r>
        <w:instrText>xe "</w:instrText>
      </w:r>
      <w:r>
        <w:rPr>
          <w:rStyle w:val="xeentry"/>
        </w:rPr>
        <w:instrText>ZAhO selma’o</w:instrText>
      </w:r>
      <w:r>
        <w:instrText>"</w:instrText>
      </w:r>
      <w:r>
        <w:rPr>
          <w:rStyle w:val="indexentry"/>
        </w:rPr>
        <w:fldChar w:fldCharType="end"/>
      </w:r>
      <w:r>
        <w:rPr>
          <w:rStyle w:val="indexentry"/>
        </w:rPr>
        <w:t>&lt;cx "event contours as sumti tcita, contrasted with direction and distance"&gt;</w:t>
      </w:r>
      <w:r>
        <w:rPr>
          <w:rStyle w:val="indexentry"/>
        </w:rPr>
        <w:fldChar w:fldCharType="begin"/>
      </w:r>
      <w:r>
        <w:instrText>xe "</w:instrText>
      </w:r>
      <w:r>
        <w:rPr>
          <w:rStyle w:val="xeentry"/>
        </w:rPr>
        <w:instrText>event contours as sumti tcita: contrasted with direction and distance</w:instrText>
      </w:r>
      <w:r>
        <w:instrText>"</w:instrText>
      </w:r>
      <w:r>
        <w:rPr>
          <w:rStyle w:val="indexentry"/>
        </w:rPr>
        <w:fldChar w:fldCharType="end"/>
      </w:r>
      <w:r>
        <w:rPr>
          <w:rStyle w:val="indexentry"/>
        </w:rPr>
        <w:t>&lt;cx "tense direction/distance as sumti tcita, contrasted with event contours"&gt;</w:t>
      </w:r>
      <w:r>
        <w:rPr>
          <w:rStyle w:val="indexentry"/>
        </w:rPr>
        <w:fldChar w:fldCharType="begin"/>
      </w:r>
      <w:r>
        <w:instrText>xe "</w:instrText>
      </w:r>
      <w:r>
        <w:rPr>
          <w:rStyle w:val="xeentry"/>
        </w:rPr>
        <w:instrText>tense direction/distance as sumti tcita: contrasted with event contours</w:instrText>
      </w:r>
      <w:r>
        <w:instrText>"</w:instrText>
      </w:r>
      <w:r>
        <w:rPr>
          <w:rStyle w:val="indexentry"/>
        </w:rPr>
        <w:fldChar w:fldCharType="end"/>
      </w:r>
      <w:r>
        <w:rPr>
          <w:rStyle w:val="indexentry"/>
        </w:rPr>
        <w:t>&lt;cx "sumti tcita, event contours contrasted with direction/distance as basis for"&gt;</w:t>
      </w:r>
      <w:r>
        <w:rPr>
          <w:rStyle w:val="indexentry"/>
        </w:rPr>
        <w:fldChar w:fldCharType="begin"/>
      </w:r>
      <w:r>
        <w:instrText>xe "</w:instrText>
      </w:r>
      <w:r>
        <w:rPr>
          <w:rStyle w:val="xeentry"/>
        </w:rPr>
        <w:instrText>sumti tcita: event contours contrasted with direction/distance as basis for</w:instrText>
      </w:r>
      <w:r>
        <w:instrText>"</w:instrText>
      </w:r>
      <w:r>
        <w:rPr>
          <w:rStyle w:val="indexentry"/>
        </w:rPr>
        <w:fldChar w:fldCharType="end"/>
      </w:r>
      <w:r>
        <w:rPr>
          <w:rStyle w:val="indexentry"/>
        </w:rPr>
        <w:t>&lt;cx "sumti tcita based on event contours, relation of main bridi to sumti process in"&gt;</w:t>
      </w:r>
      <w:r>
        <w:rPr>
          <w:rStyle w:val="indexentry"/>
        </w:rPr>
        <w:fldChar w:fldCharType="begin"/>
      </w:r>
      <w:r>
        <w:instrText>xe "</w:instrText>
      </w:r>
      <w:r>
        <w:rPr>
          <w:rStyle w:val="xeentry"/>
        </w:rPr>
        <w:instrText>sumti tcita based on event contours: relation of main bridi to sumti process in</w:instrText>
      </w:r>
      <w:r>
        <w:instrText>"</w:instrText>
      </w:r>
      <w:r>
        <w:rPr>
          <w:rStyle w:val="indexentry"/>
        </w:rPr>
        <w:fldChar w:fldCharType="end"/>
      </w:r>
      <w:r>
        <w:t>The event contours of selma'o ZAhO (and their space equivalents, prefixed</w:t>
      </w:r>
      <w:r>
        <w:rPr>
          <w:rStyle w:val="deletedparamark"/>
        </w:rPr>
        <w:t xml:space="preserve"> </w:t>
      </w:r>
      <w:r>
        <w:t>with “fe'e”) are also useful as sumti tcita. The interpretation of ZAhO</w:t>
      </w:r>
      <w:r>
        <w:rPr>
          <w:rStyle w:val="deletedparamark"/>
        </w:rPr>
        <w:t xml:space="preserve"> </w:t>
      </w:r>
      <w:r>
        <w:t>tcita differs from that of FAhA, VA, PU, and ZI tcita, however. The event</w:t>
      </w:r>
      <w:r>
        <w:rPr>
          <w:rStyle w:val="deletedparamark"/>
        </w:rPr>
        <w:t xml:space="preserve"> </w:t>
      </w:r>
      <w:r>
        <w:t>described in the sumti is viewed as a proc</w:t>
      </w:r>
      <w:r>
        <w:softHyphen/>
        <w:t>ess, and the action of the main</w:t>
      </w:r>
      <w:r>
        <w:rPr>
          <w:rStyle w:val="deletedparamark"/>
        </w:rPr>
        <w:t xml:space="preserve"> </w:t>
      </w:r>
      <w:r>
        <w:t>bridi occurs at the phase of the proc</w:t>
      </w:r>
      <w:r>
        <w:softHyphen/>
        <w:t>ess which the ZAhO specifies, or at</w:t>
      </w:r>
      <w:r>
        <w:rPr>
          <w:rStyle w:val="deletedparamark"/>
        </w:rPr>
        <w:t xml:space="preserve"> </w:t>
      </w:r>
      <w:r>
        <w:t>least some part of that phase. The action of the main bridi itself is seen</w:t>
      </w:r>
      <w:r>
        <w:rPr>
          <w:rStyle w:val="deletedparamark"/>
        </w:rPr>
        <w:t xml:space="preserve"> </w:t>
      </w:r>
      <w:r>
        <w:t>as a point event, so that there is no issue about which phase of the</w:t>
      </w:r>
      <w:r>
        <w:rPr>
          <w:rStyle w:val="deletedparamark"/>
        </w:rPr>
        <w:t xml:space="preserve"> </w:t>
      </w:r>
      <w:r>
        <w:t>main bridi is i</w:t>
      </w:r>
      <w:r>
        <w:t>n</w:t>
      </w:r>
      <w:r>
        <w:softHyphen/>
        <w:t>tended.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"die after living"&gt;</w:t>
      </w:r>
      <w:r>
        <w:rPr>
          <w:rStyle w:val="indexentry"/>
        </w:rPr>
        <w:fldChar w:fldCharType="begin"/>
      </w:r>
      <w:r>
        <w:instrText>xe "</w:instrText>
      </w:r>
      <w:r>
        <w:rPr>
          <w:rStyle w:val="xeentry"/>
        </w:rPr>
        <w:instrText>die after living: example</w:instrText>
      </w:r>
      <w:r>
        <w:instrText>"</w:instrText>
      </w:r>
      <w:r>
        <w:rPr>
          <w:rStyle w:val="indexentry"/>
        </w:rPr>
        <w:fldChar w:fldCharType="end"/>
      </w:r>
      <w:r>
        <w:rPr>
          <w:rStyle w:val="indexentry"/>
        </w:rPr>
        <w:t>&lt;ex "in the aftermath"&gt;</w:t>
      </w:r>
      <w:r>
        <w:rPr>
          <w:rStyle w:val="indexentry"/>
        </w:rPr>
        <w:fldChar w:fldCharType="begin"/>
      </w:r>
      <w:r>
        <w:instrText>xe "</w:instrText>
      </w:r>
      <w:r>
        <w:rPr>
          <w:rStyle w:val="xeentry"/>
        </w:rPr>
        <w:instrText>in the aftermath: example</w:instrText>
      </w:r>
      <w:r>
        <w:instrText>"</w:instrText>
      </w:r>
      <w:r>
        <w:rPr>
          <w:rStyle w:val="indexentry"/>
        </w:rPr>
        <w:fldChar w:fldCharType="end"/>
      </w:r>
      <w:r>
        <w:rPr>
          <w:rStyle w:val="htmlcodes"/>
        </w:rPr>
        <w:t>&lt;pre&gt;&lt;a name=e12d6&gt;</w:t>
      </w:r>
      <w:r>
        <w:t>12.6)</w:t>
      </w:r>
      <w:r>
        <w:tab/>
        <w:t>mi morsi ba'o le nu mi jmive</w:t>
      </w:r>
    </w:p>
    <w:p w:rsidR="00B72047" w:rsidRDefault="00B72047">
      <w:pPr>
        <w:pStyle w:val="examplescaled"/>
      </w:pPr>
      <w:r>
        <w:tab/>
        <w:t>I am-dead [perfective] the event-of I live.</w:t>
      </w:r>
    </w:p>
    <w:p w:rsidR="00B72047" w:rsidRDefault="00B72047">
      <w:pPr>
        <w:pStyle w:val="examplescaled"/>
      </w:pPr>
      <w:r>
        <w:tab/>
        <w:t>I die in the aftermath of my living.</w:t>
      </w:r>
    </w:p>
    <w:p w:rsidR="00B72047" w:rsidRDefault="00B72047">
      <w:pPr>
        <w:pStyle w:val="resumedafterexample"/>
      </w:pPr>
      <w:r>
        <w:rPr>
          <w:rStyle w:val="htmlcodes"/>
        </w:rPr>
        <w:t>&lt;/pre&gt;&lt;p&gt;</w:t>
      </w:r>
      <w:r>
        <w:t>Here the (point-)event of my being dead is the portion of my living-process</w:t>
      </w:r>
      <w:r>
        <w:rPr>
          <w:rStyle w:val="deletedparamark"/>
        </w:rPr>
        <w:t xml:space="preserve"> </w:t>
      </w:r>
      <w:r>
        <w:t>which oc</w:t>
      </w:r>
      <w:r>
        <w:softHyphen/>
        <w:t xml:space="preserve">curs after the process is complete. Contrast </w:t>
      </w:r>
      <w:r>
        <w:rPr>
          <w:rStyle w:val="htmlcodes"/>
        </w:rPr>
        <w:t>&lt;a href=#e12d6&gt;</w:t>
      </w:r>
      <w:r>
        <w:t>Exam</w:t>
      </w:r>
      <w:r>
        <w:softHyphen/>
        <w:t xml:space="preserve">ple 12.6 </w:t>
      </w:r>
      <w:r>
        <w:rPr>
          <w:rStyle w:val="htmlcodes"/>
        </w:rPr>
        <w:t>&lt;/a&gt;</w:t>
      </w:r>
      <w:r>
        <w:t>with:</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name=e12d7&gt;</w:t>
      </w:r>
      <w:r>
        <w:t>12.7)</w:t>
      </w:r>
      <w:r>
        <w:tab/>
        <w:t>mi morsi ba le nu mi jmive</w:t>
      </w:r>
    </w:p>
    <w:p w:rsidR="00B72047" w:rsidRDefault="00B72047">
      <w:pPr>
        <w:pStyle w:val="examplescaled"/>
      </w:pPr>
      <w:r>
        <w:tab/>
        <w:t>I am-dead [future] the event-of I live.</w:t>
      </w:r>
    </w:p>
    <w:p w:rsidR="00B72047" w:rsidRDefault="00B72047">
      <w:pPr>
        <w:pStyle w:val="resumedafterexample"/>
      </w:pPr>
      <w:r>
        <w:rPr>
          <w:rStyle w:val="htmlcodes"/>
        </w:rPr>
        <w:t>&lt;/pre&gt;&lt;p&gt;</w:t>
      </w:r>
      <w:r>
        <w:t xml:space="preserve">As explained in </w:t>
      </w:r>
      <w:r>
        <w:rPr>
          <w:rStyle w:val="htmlcodes"/>
        </w:rPr>
        <w:t>&lt;a href=#s6&gt;</w:t>
      </w:r>
      <w:r>
        <w:t>Section 6</w:t>
      </w:r>
      <w:r>
        <w:rPr>
          <w:rStyle w:val="htmlcodes"/>
        </w:rPr>
        <w:t>&lt;/a&gt;</w:t>
      </w:r>
      <w:r>
        <w:t xml:space="preserve">, </w:t>
      </w:r>
      <w:r>
        <w:rPr>
          <w:rStyle w:val="htmlcodes"/>
        </w:rPr>
        <w:t>&lt;a href=#e12d7&gt;</w:t>
      </w:r>
      <w:r>
        <w:t xml:space="preserve">Example 12.7 </w:t>
      </w:r>
      <w:r>
        <w:rPr>
          <w:rStyle w:val="htmlcodes"/>
        </w:rPr>
        <w:t>&lt;/a&gt;</w:t>
      </w:r>
      <w:r>
        <w:t>does not exclude the possi</w:t>
      </w:r>
      <w:r>
        <w:softHyphen/>
        <w:t>bility</w:t>
      </w:r>
      <w:r>
        <w:rPr>
          <w:rStyle w:val="deletedparamark"/>
        </w:rPr>
        <w:t xml:space="preserve"> </w:t>
      </w:r>
      <w:r>
        <w:t>that I died b</w:t>
      </w:r>
      <w:r>
        <w:t>e</w:t>
      </w:r>
      <w:r>
        <w:softHyphen/>
        <w:t>fore I ceased to live!</w:t>
      </w:r>
    </w:p>
    <w:p w:rsidR="00B72047" w:rsidRDefault="00B72047">
      <w:pPr>
        <w:rPr>
          <w:rStyle w:val="htmlparacode"/>
        </w:rPr>
      </w:pPr>
      <w:r>
        <w:rPr>
          <w:rStyle w:val="htmlparacode"/>
        </w:rPr>
        <w:t>&lt;p&gt;</w:t>
      </w:r>
    </w:p>
    <w:p w:rsidR="00B72047" w:rsidRDefault="00B72047">
      <w:pPr>
        <w:pStyle w:val="normalparagraph"/>
      </w:pPr>
      <w:r>
        <w:t>Likewise, we might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mi klama le zarci pu'o le nu mi citka</w:t>
      </w:r>
    </w:p>
    <w:p w:rsidR="00B72047" w:rsidRDefault="00B72047">
      <w:pPr>
        <w:pStyle w:val="examplescaled"/>
      </w:pPr>
      <w:r>
        <w:tab/>
        <w:t>I go-to the store [inchoative] the event-of I eat</w:t>
      </w:r>
    </w:p>
    <w:p w:rsidR="00B72047" w:rsidRDefault="00B72047">
      <w:pPr>
        <w:pStyle w:val="resumedafterexample"/>
      </w:pPr>
      <w:r>
        <w:rPr>
          <w:rStyle w:val="htmlcodes"/>
        </w:rPr>
        <w:t>&lt;/pre&gt;</w:t>
      </w:r>
      <w:r>
        <w:t>which indicates that before my eating begins, I go to the store,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name=e12d9&gt;</w:t>
      </w:r>
      <w:r>
        <w:t>12.9)</w:t>
      </w:r>
      <w:r>
        <w:tab/>
        <w:t>mi klama le zarci ba'o le nu mi citka</w:t>
      </w:r>
    </w:p>
    <w:p w:rsidR="00B72047" w:rsidRDefault="00B72047">
      <w:pPr>
        <w:pStyle w:val="examplescaled"/>
      </w:pPr>
      <w:r>
        <w:tab/>
        <w:t>I go-to the store [perfective] the event-of I eat</w:t>
      </w:r>
    </w:p>
    <w:p w:rsidR="00B72047" w:rsidRDefault="00B72047">
      <w:pPr>
        <w:pStyle w:val="resumedafterexample"/>
      </w:pPr>
      <w:r>
        <w:rPr>
          <w:rStyle w:val="htmlcodes"/>
        </w:rPr>
        <w:t>&lt;/pre&gt;</w:t>
      </w:r>
      <w:r>
        <w:t>would indicate that I go to the store after I am finished eating.</w:t>
      </w:r>
    </w:p>
    <w:p w:rsidR="00B72047" w:rsidRDefault="00B72047">
      <w:pPr>
        <w:rPr>
          <w:rStyle w:val="htmlparacode"/>
        </w:rPr>
      </w:pPr>
      <w:r>
        <w:rPr>
          <w:rStyle w:val="htmlparacode"/>
        </w:rPr>
        <w:t>&lt;p&gt;</w:t>
      </w:r>
    </w:p>
    <w:p w:rsidR="00B72047" w:rsidRDefault="00B72047">
      <w:pPr>
        <w:pStyle w:val="normalparagraph"/>
      </w:pPr>
      <w:r>
        <w:t>Here is an example which mixes temporal ZAhO (as a tense) and spatial</w:t>
      </w:r>
      <w:r>
        <w:rPr>
          <w:rStyle w:val="deletedparamark"/>
        </w:rPr>
        <w:t xml:space="preserve"> </w:t>
      </w:r>
      <w:r>
        <w:t>ZAhO (as a sumti tcita):</w:t>
      </w:r>
    </w:p>
    <w:p w:rsidR="00B72047" w:rsidRDefault="00B72047">
      <w:pPr>
        <w:rPr>
          <w:rStyle w:val="htmlparacode"/>
        </w:rPr>
      </w:pPr>
      <w:r>
        <w:rPr>
          <w:rStyle w:val="htmlparacode"/>
        </w:rPr>
        <w:t>&lt;p&gt;</w:t>
      </w:r>
    </w:p>
    <w:p w:rsidR="00B72047" w:rsidRDefault="00B72047">
      <w:pPr>
        <w:pStyle w:val="examplescaledpre"/>
      </w:pPr>
      <w:r>
        <w:rPr>
          <w:rStyle w:val="indexentry"/>
        </w:rPr>
        <w:t>&lt;ex "boat sailed"&gt;</w:t>
      </w:r>
      <w:r>
        <w:rPr>
          <w:rStyle w:val="indexentry"/>
        </w:rPr>
        <w:fldChar w:fldCharType="begin"/>
      </w:r>
      <w:r>
        <w:instrText>xe "</w:instrText>
      </w:r>
      <w:r>
        <w:rPr>
          <w:rStyle w:val="xeentry"/>
        </w:rPr>
        <w:instrText>boat sailed: example</w:instrText>
      </w:r>
      <w:r>
        <w:instrText>"</w:instrText>
      </w:r>
      <w:r>
        <w:rPr>
          <w:rStyle w:val="indexentry"/>
        </w:rPr>
        <w:fldChar w:fldCharType="end"/>
      </w:r>
      <w:r>
        <w:rPr>
          <w:rStyle w:val="indexentry"/>
        </w:rPr>
        <w:t>&lt;ex "too long"&gt;</w:t>
      </w:r>
      <w:r>
        <w:rPr>
          <w:rStyle w:val="indexentry"/>
        </w:rPr>
        <w:fldChar w:fldCharType="begin"/>
      </w:r>
      <w:r>
        <w:instrText>xe "</w:instrText>
      </w:r>
      <w:r>
        <w:rPr>
          <w:rStyle w:val="xeentry"/>
        </w:rPr>
        <w:instrText>too long: example</w:instrText>
      </w:r>
      <w:r>
        <w:instrText>"</w:instrText>
      </w:r>
      <w:r>
        <w:rPr>
          <w:rStyle w:val="indexentry"/>
        </w:rPr>
        <w:fldChar w:fldCharType="end"/>
      </w:r>
      <w:r>
        <w:rPr>
          <w:rStyle w:val="htmlcodes"/>
        </w:rPr>
        <w:t>&lt;pre&gt;&lt;a name=e12d10&gt;</w:t>
      </w:r>
      <w:r>
        <w:t>12.10)</w:t>
      </w:r>
      <w:r>
        <w:tab/>
        <w:t xml:space="preserve">le bloti pu za'o xelklama </w:t>
      </w:r>
    </w:p>
    <w:p w:rsidR="00B72047" w:rsidRDefault="00B72047">
      <w:pPr>
        <w:pStyle w:val="examplescaled"/>
        <w:ind w:firstLine="576"/>
      </w:pPr>
      <w:r>
        <w:t>fe'e ba'o le lalxu</w:t>
      </w:r>
    </w:p>
    <w:p w:rsidR="00B72047" w:rsidRDefault="00B72047">
      <w:pPr>
        <w:pStyle w:val="examplescaled"/>
      </w:pPr>
      <w:r>
        <w:tab/>
        <w:t>The boat [past] [superfective] is-a-transport-mechanism</w:t>
      </w:r>
    </w:p>
    <w:p w:rsidR="00B72047" w:rsidRDefault="00B72047">
      <w:pPr>
        <w:pStyle w:val="examplescaled"/>
      </w:pPr>
      <w:r>
        <w:tab/>
      </w:r>
      <w:r>
        <w:tab/>
        <w:t>[space] [perfective] the lake.</w:t>
      </w:r>
    </w:p>
    <w:p w:rsidR="00B72047" w:rsidRDefault="00B72047">
      <w:pPr>
        <w:pStyle w:val="examplescaled"/>
      </w:pPr>
      <w:r>
        <w:tab/>
        <w:t>The boat sailed for too long and beyond the lake.</w:t>
      </w:r>
    </w:p>
    <w:p w:rsidR="00B72047" w:rsidRDefault="00B72047">
      <w:pPr>
        <w:pStyle w:val="resumedafterexample"/>
      </w:pPr>
      <w:r>
        <w:rPr>
          <w:rStyle w:val="htmlcodes"/>
        </w:rPr>
        <w:t>&lt;/pre&gt;&lt;p&gt;</w:t>
      </w:r>
      <w:r>
        <w:t>Probably it sailed up onto the dock. One point of clarification: al</w:t>
      </w:r>
      <w:r>
        <w:softHyphen/>
        <w:t>though</w:t>
      </w:r>
      <w:r>
        <w:rPr>
          <w:rStyle w:val="deletedparamark"/>
        </w:rPr>
        <w:t xml:space="preserve"> “</w:t>
      </w:r>
      <w:r>
        <w:t>xelklama” a</w:t>
      </w:r>
      <w:r>
        <w:t>p</w:t>
      </w:r>
      <w:r>
        <w:softHyphen/>
        <w:t>pears to mean simply “is-a-mode-of-transport”, it does not –</w:t>
      </w:r>
      <w:r>
        <w:rPr>
          <w:rStyle w:val="deletedparamark"/>
        </w:rPr>
        <w:t xml:space="preserve"> </w:t>
      </w:r>
      <w:r>
        <w:t xml:space="preserve">the bridi of </w:t>
      </w:r>
      <w:r>
        <w:rPr>
          <w:rStyle w:val="htmlcodes"/>
        </w:rPr>
        <w:t>&lt;a href=#e12d10&gt;</w:t>
      </w:r>
      <w:r>
        <w:t xml:space="preserve">Example 12.10 </w:t>
      </w:r>
      <w:r>
        <w:rPr>
          <w:rStyle w:val="htmlcodes"/>
        </w:rPr>
        <w:t>&lt;/a&gt;</w:t>
      </w:r>
      <w:r>
        <w:t>has four omitted arguments, and thus has the</w:t>
      </w:r>
      <w:r>
        <w:rPr>
          <w:rStyle w:val="deletedparamark"/>
        </w:rPr>
        <w:t xml:space="preserve"> </w:t>
      </w:r>
      <w:r>
        <w:t>(physical) journey which goes on too long as part of its meaning.</w:t>
      </w:r>
    </w:p>
    <w:p w:rsidR="00B72047" w:rsidRDefault="00B72047">
      <w:pPr>
        <w:rPr>
          <w:rStyle w:val="htmlparacode"/>
        </w:rPr>
      </w:pPr>
      <w:r>
        <w:rPr>
          <w:rStyle w:val="htmlparacode"/>
        </w:rPr>
        <w:t>&lt;p&gt;</w:t>
      </w:r>
    </w:p>
    <w:p w:rsidR="00B72047" w:rsidRDefault="00B72047">
      <w:pPr>
        <w:pStyle w:val="normalparagraph"/>
      </w:pPr>
      <w:r>
        <w:rPr>
          <w:rStyle w:val="indexentry"/>
        </w:rPr>
        <w:t>&lt;cx "interval size, meaning as sumti tcita"&gt;</w:t>
      </w:r>
      <w:r>
        <w:rPr>
          <w:rStyle w:val="indexentry"/>
        </w:rPr>
        <w:fldChar w:fldCharType="begin"/>
      </w:r>
      <w:r>
        <w:instrText>xe "</w:instrText>
      </w:r>
      <w:r>
        <w:rPr>
          <w:rStyle w:val="xeentry"/>
        </w:rPr>
        <w:instrText>interval size: meaning as sumti tcita</w:instrText>
      </w:r>
      <w:r>
        <w:instrText>"</w:instrText>
      </w:r>
      <w:r>
        <w:rPr>
          <w:rStyle w:val="indexentry"/>
        </w:rPr>
        <w:fldChar w:fldCharType="end"/>
      </w:r>
      <w:r>
        <w:rPr>
          <w:rStyle w:val="indexentry"/>
        </w:rPr>
        <w:t>&lt;cx "sumti tcita based on interval size"&gt;</w:t>
      </w:r>
      <w:r>
        <w:rPr>
          <w:rStyle w:val="indexentry"/>
        </w:rPr>
        <w:fldChar w:fldCharType="begin"/>
      </w:r>
      <w:r>
        <w:instrText>xe "</w:instrText>
      </w:r>
      <w:r>
        <w:rPr>
          <w:rStyle w:val="xeentry"/>
        </w:rPr>
        <w:instrText>sumti tcita based on interval size</w:instrText>
      </w:r>
      <w:r>
        <w:instrText>"</w:instrText>
      </w:r>
      <w:r>
        <w:rPr>
          <w:rStyle w:val="indexentry"/>
        </w:rPr>
        <w:fldChar w:fldCharType="end"/>
      </w:r>
      <w:r>
        <w:rPr>
          <w:rStyle w:val="indexentry"/>
        </w:rPr>
        <w:t>&lt;cx "dimension, meaning as sumti tcita"&gt;</w:t>
      </w:r>
      <w:r>
        <w:rPr>
          <w:rStyle w:val="indexentry"/>
        </w:rPr>
        <w:fldChar w:fldCharType="begin"/>
      </w:r>
      <w:r>
        <w:instrText>xe "</w:instrText>
      </w:r>
      <w:r>
        <w:rPr>
          <w:rStyle w:val="xeentry"/>
        </w:rPr>
        <w:instrText>dimension: meaning as sumti tcita</w:instrText>
      </w:r>
      <w:r>
        <w:instrText>"</w:instrText>
      </w:r>
      <w:r>
        <w:rPr>
          <w:rStyle w:val="indexentry"/>
        </w:rPr>
        <w:fldChar w:fldCharType="end"/>
      </w:r>
      <w:r>
        <w:rPr>
          <w:rStyle w:val="indexentry"/>
        </w:rPr>
        <w:t>&lt;cx "sumti tcita based on dimension"&gt;</w:t>
      </w:r>
      <w:r>
        <w:rPr>
          <w:rStyle w:val="indexentry"/>
        </w:rPr>
        <w:fldChar w:fldCharType="begin"/>
      </w:r>
      <w:r>
        <w:instrText>xe "</w:instrText>
      </w:r>
      <w:r>
        <w:rPr>
          <w:rStyle w:val="xeentry"/>
        </w:rPr>
        <w:instrText>sumti tcita based on dimension</w:instrText>
      </w:r>
      <w:r>
        <w:instrText>"</w:instrText>
      </w:r>
      <w:r>
        <w:rPr>
          <w:rStyle w:val="indexentry"/>
        </w:rPr>
        <w:fldChar w:fldCharType="end"/>
      </w:r>
      <w:r>
        <w:rPr>
          <w:rStyle w:val="indexentry"/>
        </w:rPr>
        <w:t>&lt;cx "interval continuousness, meaning as sumti tcita"&gt;</w:t>
      </w:r>
      <w:r>
        <w:rPr>
          <w:rStyle w:val="indexentry"/>
        </w:rPr>
        <w:fldChar w:fldCharType="begin"/>
      </w:r>
      <w:r>
        <w:instrText>xe "</w:instrText>
      </w:r>
      <w:r>
        <w:rPr>
          <w:rStyle w:val="xeentry"/>
        </w:rPr>
        <w:instrText>interval continuousness: meaning as sumti tcita</w:instrText>
      </w:r>
      <w:r>
        <w:instrText>"</w:instrText>
      </w:r>
      <w:r>
        <w:rPr>
          <w:rStyle w:val="indexentry"/>
        </w:rPr>
        <w:fldChar w:fldCharType="end"/>
      </w:r>
      <w:r>
        <w:rPr>
          <w:rStyle w:val="indexentry"/>
        </w:rPr>
        <w:t>&lt;cx "sumti tcita based on interval continuousness"&gt;</w:t>
      </w:r>
      <w:r>
        <w:rPr>
          <w:rStyle w:val="indexentry"/>
        </w:rPr>
        <w:fldChar w:fldCharType="begin"/>
      </w:r>
      <w:r>
        <w:instrText>xe "</w:instrText>
      </w:r>
      <w:r>
        <w:rPr>
          <w:rStyle w:val="xeentry"/>
        </w:rPr>
        <w:instrText>sumti tcita based on interval continuousness</w:instrText>
      </w:r>
      <w:r>
        <w:instrText>"</w:instrText>
      </w:r>
      <w:r>
        <w:rPr>
          <w:rStyle w:val="indexentry"/>
        </w:rPr>
        <w:fldChar w:fldCharType="end"/>
      </w:r>
      <w:r>
        <w:rPr>
          <w:rStyle w:val="indexentry"/>
        </w:rPr>
        <w:t>&lt;cx "interval properties, meaning as sumti tcita"&gt;</w:t>
      </w:r>
      <w:r>
        <w:rPr>
          <w:rStyle w:val="indexentry"/>
        </w:rPr>
        <w:fldChar w:fldCharType="begin"/>
      </w:r>
      <w:r>
        <w:instrText>xe "</w:instrText>
      </w:r>
      <w:r>
        <w:rPr>
          <w:rStyle w:val="xeentry"/>
        </w:rPr>
        <w:instrText>interval properties: meaning as sumti tcita</w:instrText>
      </w:r>
      <w:r>
        <w:instrText>"</w:instrText>
      </w:r>
      <w:r>
        <w:rPr>
          <w:rStyle w:val="indexentry"/>
        </w:rPr>
        <w:fldChar w:fldCharType="end"/>
      </w:r>
      <w:r>
        <w:rPr>
          <w:rStyle w:val="indexentry"/>
        </w:rPr>
        <w:t>&lt;cx "sumti tcita based on interval properties"&gt;</w:t>
      </w:r>
      <w:r>
        <w:rPr>
          <w:rStyle w:val="indexentry"/>
        </w:rPr>
        <w:fldChar w:fldCharType="begin"/>
      </w:r>
      <w:r>
        <w:instrText>xe "</w:instrText>
      </w:r>
      <w:r>
        <w:rPr>
          <w:rStyle w:val="xeentry"/>
        </w:rPr>
        <w:instrText>sumti tcita based on interval properties</w:instrText>
      </w:r>
      <w:r>
        <w:instrText>"</w:instrText>
      </w:r>
      <w:r>
        <w:rPr>
          <w:rStyle w:val="indexentry"/>
        </w:rPr>
        <w:fldChar w:fldCharType="end"/>
      </w:r>
      <w:r>
        <w:rPr>
          <w:rStyle w:val="indexentry"/>
        </w:rPr>
        <w:t>&lt;cx "quantified tenses, as sumti tcita"&gt;</w:t>
      </w:r>
      <w:r>
        <w:rPr>
          <w:rStyle w:val="indexentry"/>
        </w:rPr>
        <w:fldChar w:fldCharType="begin"/>
      </w:r>
      <w:r>
        <w:instrText>xe "</w:instrText>
      </w:r>
      <w:r>
        <w:rPr>
          <w:rStyle w:val="xeentry"/>
        </w:rPr>
        <w:instrText>quantified tenses: as sumti tcita</w:instrText>
      </w:r>
      <w:r>
        <w:instrText>"</w:instrText>
      </w:r>
      <w:r>
        <w:rPr>
          <w:rStyle w:val="indexentry"/>
        </w:rPr>
        <w:fldChar w:fldCharType="end"/>
      </w:r>
      <w:r>
        <w:rPr>
          <w:rStyle w:val="indexentry"/>
        </w:rPr>
        <w:t>&lt;cx "sumti tcita based on quantified tenses"&gt;</w:t>
      </w:r>
      <w:r>
        <w:rPr>
          <w:rStyle w:val="indexentry"/>
        </w:rPr>
        <w:fldChar w:fldCharType="begin"/>
      </w:r>
      <w:r>
        <w:instrText>xe "</w:instrText>
      </w:r>
      <w:r>
        <w:rPr>
          <w:rStyle w:val="xeentry"/>
        </w:rPr>
        <w:instrText>sumti tcita based on quantified tenses</w:instrText>
      </w:r>
      <w:r>
        <w:instrText>"</w:instrText>
      </w:r>
      <w:r>
        <w:rPr>
          <w:rStyle w:val="indexentry"/>
        </w:rPr>
        <w:fldChar w:fldCharType="end"/>
      </w:r>
      <w:r>
        <w:t>The remaining tense cmavo, which have to do with interval size, dimension,</w:t>
      </w:r>
      <w:r>
        <w:rPr>
          <w:rStyle w:val="deletedparamark"/>
        </w:rPr>
        <w:t xml:space="preserve"> </w:t>
      </w:r>
      <w:r>
        <w:t>and continuousness (or lack thereof) are interpreted to let the sumti</w:t>
      </w:r>
      <w:r>
        <w:rPr>
          <w:rStyle w:val="deletedparamark"/>
        </w:rPr>
        <w:t xml:space="preserve"> </w:t>
      </w:r>
      <w:r>
        <w:t>specify the particu</w:t>
      </w:r>
      <w:r>
        <w:softHyphen/>
        <w:t>lar i</w:t>
      </w:r>
      <w:r>
        <w:t>n</w:t>
      </w:r>
      <w:r>
        <w:softHyphen/>
        <w:t>terval over which the main bridi operates:</w:t>
      </w:r>
    </w:p>
    <w:p w:rsidR="00B72047" w:rsidRDefault="00B72047">
      <w:pPr>
        <w:rPr>
          <w:rStyle w:val="htmlparacode"/>
        </w:rPr>
      </w:pPr>
      <w:r>
        <w:rPr>
          <w:rStyle w:val="htmlparacode"/>
        </w:rPr>
        <w:t>&lt;p&gt;</w:t>
      </w:r>
    </w:p>
    <w:p w:rsidR="00B72047" w:rsidRDefault="00B72047">
      <w:pPr>
        <w:pStyle w:val="examplescaledpre"/>
      </w:pPr>
      <w:r>
        <w:rPr>
          <w:rStyle w:val="indexentry"/>
        </w:rPr>
        <w:t>&lt;ex "twice today"&gt;</w:t>
      </w:r>
      <w:r>
        <w:rPr>
          <w:rStyle w:val="indexentry"/>
        </w:rPr>
        <w:fldChar w:fldCharType="begin"/>
      </w:r>
      <w:r>
        <w:instrText>xe "</w:instrText>
      </w:r>
      <w:r>
        <w:rPr>
          <w:rStyle w:val="xeentry"/>
        </w:rPr>
        <w:instrText>twice today: example</w:instrText>
      </w:r>
      <w:r>
        <w:instrText>"</w:instrText>
      </w:r>
      <w:r>
        <w:rPr>
          <w:rStyle w:val="indexentry"/>
        </w:rPr>
        <w:fldChar w:fldCharType="end"/>
      </w:r>
      <w:r>
        <w:rPr>
          <w:rStyle w:val="htmlcodes"/>
        </w:rPr>
        <w:t>&lt;pre&gt;&lt;a name=e12d11&gt;</w:t>
      </w:r>
      <w:r>
        <w:t>12.11)</w:t>
      </w:r>
      <w:r>
        <w:tab/>
        <w:t>mi klama le zarci reroi le ca djedi</w:t>
      </w:r>
    </w:p>
    <w:p w:rsidR="00B72047" w:rsidRDefault="00B72047">
      <w:pPr>
        <w:pStyle w:val="examplescaled"/>
      </w:pPr>
      <w:r>
        <w:tab/>
        <w:t>I go-to the market [twice] the [present] day</w:t>
      </w:r>
    </w:p>
    <w:p w:rsidR="00B72047" w:rsidRDefault="00B72047">
      <w:pPr>
        <w:pStyle w:val="examplescaled"/>
      </w:pPr>
      <w:r>
        <w:tab/>
        <w:t>I go/went/will go to the market twice today.</w:t>
      </w:r>
    </w:p>
    <w:p w:rsidR="00B72047" w:rsidRDefault="00B72047">
      <w:pPr>
        <w:pStyle w:val="normalafterexample"/>
      </w:pPr>
      <w:r>
        <w:rPr>
          <w:rStyle w:val="htmlcodes"/>
        </w:rPr>
        <w:t>&lt;/pre&gt;</w:t>
      </w:r>
      <w:r>
        <w:rPr>
          <w:rStyle w:val="indexentry"/>
        </w:rPr>
        <w:t>&lt;cx "tense as sumti tcita, contrasted with tense inside sumti"&gt;</w:t>
      </w:r>
      <w:r>
        <w:rPr>
          <w:rStyle w:val="indexentry"/>
        </w:rPr>
        <w:fldChar w:fldCharType="begin"/>
      </w:r>
      <w:r>
        <w:instrText>xe "</w:instrText>
      </w:r>
      <w:r>
        <w:rPr>
          <w:rStyle w:val="xeentry"/>
        </w:rPr>
        <w:instrText>tense as sumti tcita: contrasted with tense inside sumti</w:instrText>
      </w:r>
      <w:r>
        <w:instrText>"</w:instrText>
      </w:r>
      <w:r>
        <w:rPr>
          <w:rStyle w:val="indexentry"/>
        </w:rPr>
        <w:fldChar w:fldCharType="end"/>
      </w:r>
      <w:r>
        <w:rPr>
          <w:rStyle w:val="indexentry"/>
        </w:rPr>
        <w:t>&lt;cx "tense inside sumti, contrasted with tense as sumti tcita"&gt;</w:t>
      </w:r>
      <w:r>
        <w:rPr>
          <w:rStyle w:val="indexentry"/>
        </w:rPr>
        <w:fldChar w:fldCharType="begin"/>
      </w:r>
      <w:r>
        <w:instrText>xe "</w:instrText>
      </w:r>
      <w:r>
        <w:rPr>
          <w:rStyle w:val="xeentry"/>
        </w:rPr>
        <w:instrText>tense inside sumti: contrasted with tense as sumti tcita</w:instrText>
      </w:r>
      <w:r>
        <w:instrText>"</w:instrText>
      </w:r>
      <w:r>
        <w:rPr>
          <w:rStyle w:val="indexentry"/>
        </w:rPr>
        <w:fldChar w:fldCharType="end"/>
      </w:r>
      <w:r>
        <w:t>Be careful not to confuse a tense used as a sumti tcita with a tense</w:t>
      </w:r>
      <w:r>
        <w:rPr>
          <w:rStyle w:val="deletedparamark"/>
        </w:rPr>
        <w:t xml:space="preserve"> </w:t>
      </w:r>
      <w:r>
        <w:t>used within a sel</w:t>
      </w:r>
      <w:r>
        <w:softHyphen/>
      </w:r>
      <w:r>
        <w:t>t</w:t>
      </w:r>
      <w:r>
        <w:t>ci</w:t>
      </w:r>
      <w:r>
        <w:softHyphen/>
        <w:t>ta sumti:</w:t>
      </w:r>
    </w:p>
    <w:p w:rsidR="00B72047" w:rsidRDefault="00B72047">
      <w:pPr>
        <w:rPr>
          <w:rStyle w:val="htmlparacode"/>
        </w:rPr>
      </w:pPr>
      <w:r>
        <w:rPr>
          <w:rStyle w:val="htmlparacode"/>
        </w:rPr>
        <w:t>&lt;p&gt;</w:t>
      </w:r>
    </w:p>
    <w:p w:rsidR="00B72047" w:rsidRDefault="00B72047">
      <w:pPr>
        <w:pStyle w:val="examplescaledpre"/>
      </w:pPr>
      <w:r>
        <w:rPr>
          <w:rStyle w:val="indexentry"/>
        </w:rPr>
        <w:t>&lt;ex "snow falls"&gt;</w:t>
      </w:r>
      <w:r>
        <w:rPr>
          <w:rStyle w:val="indexentry"/>
        </w:rPr>
        <w:fldChar w:fldCharType="begin"/>
      </w:r>
      <w:r>
        <w:instrText>xe "</w:instrText>
      </w:r>
      <w:r>
        <w:rPr>
          <w:rStyle w:val="xeentry"/>
        </w:rPr>
        <w:instrText>snow falls: example</w:instrText>
      </w:r>
      <w:r>
        <w:instrText>"</w:instrText>
      </w:r>
      <w:r>
        <w:rPr>
          <w:rStyle w:val="indexentry"/>
        </w:rPr>
        <w:fldChar w:fldCharType="end"/>
      </w:r>
      <w:r>
        <w:rPr>
          <w:rStyle w:val="htmlcodes"/>
        </w:rPr>
        <w:t>&lt;pre&gt;&lt;a name=e12d12&gt;</w:t>
      </w:r>
      <w:r>
        <w:t>12.12)</w:t>
      </w:r>
      <w:r>
        <w:tab/>
        <w:t>loi snime cu carvi ze'u le ca dunra</w:t>
      </w:r>
    </w:p>
    <w:p w:rsidR="00B72047" w:rsidRDefault="00B72047">
      <w:pPr>
        <w:pStyle w:val="examplescaled"/>
      </w:pPr>
      <w:r>
        <w:tab/>
        <w:t>Some-of-the-mass-of snow rains [long time interval] the [present] winter.</w:t>
      </w:r>
    </w:p>
    <w:p w:rsidR="00B72047" w:rsidRDefault="00B72047">
      <w:pPr>
        <w:pStyle w:val="examplescaled"/>
      </w:pPr>
      <w:r>
        <w:tab/>
        <w:t>Snow falls during this winter.</w:t>
      </w:r>
    </w:p>
    <w:p w:rsidR="00B72047" w:rsidRDefault="00B72047">
      <w:pPr>
        <w:pStyle w:val="resumedafterexample"/>
      </w:pPr>
      <w:r>
        <w:rPr>
          <w:rStyle w:val="htmlcodes"/>
        </w:rPr>
        <w:t>&lt;/pre&gt;</w:t>
      </w:r>
      <w:r>
        <w:t>claims that the interval specified by “this winter” is long, as events of</w:t>
      </w:r>
      <w:r>
        <w:rPr>
          <w:rStyle w:val="deletedparamark"/>
        </w:rPr>
        <w:t xml:space="preserve"> </w:t>
      </w:r>
      <w:r>
        <w:t>snowfall go,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name=e12d13&gt;</w:t>
      </w:r>
      <w:r>
        <w:t>12.13)</w:t>
      </w:r>
      <w:r>
        <w:tab/>
        <w:t>loi snime cu carvi ca le ze'u dunra</w:t>
      </w:r>
    </w:p>
    <w:p w:rsidR="00B72047" w:rsidRDefault="00B72047">
      <w:pPr>
        <w:pStyle w:val="examplescaled"/>
      </w:pPr>
      <w:r>
        <w:tab/>
        <w:t>Some-of-the-mass-of snow rains [present] the [long time] winter.</w:t>
      </w:r>
    </w:p>
    <w:p w:rsidR="00B72047" w:rsidRDefault="00B72047">
      <w:pPr>
        <w:pStyle w:val="examplescaled"/>
      </w:pPr>
      <w:r>
        <w:tab/>
        <w:t>Snow falls in the long winter.</w:t>
      </w:r>
    </w:p>
    <w:p w:rsidR="00B72047" w:rsidRDefault="00B72047">
      <w:pPr>
        <w:pStyle w:val="resumedafterexample"/>
      </w:pPr>
      <w:r>
        <w:rPr>
          <w:rStyle w:val="htmlcodes"/>
        </w:rPr>
        <w:t>&lt;/pre&gt;</w:t>
      </w:r>
      <w:r>
        <w:t>claims that during some part of the winter, which is long as winters go,</w:t>
      </w:r>
      <w:r>
        <w:rPr>
          <w:rStyle w:val="deletedparamark"/>
        </w:rPr>
        <w:t xml:space="preserve"> </w:t>
      </w:r>
      <w:r>
        <w:t>snow falls.</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name=s13&gt;&lt;h3&gt;</w:t>
      </w:r>
      <w:bookmarkStart w:id="342" w:name="_Toc398970587"/>
      <w:r>
        <w:rPr>
          <w:rStyle w:val="Heading3Text"/>
        </w:rPr>
        <w:t>Sticky and multiple tenses: KI</w:t>
      </w:r>
      <w:bookmarkEnd w:id="34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ki</w:t>
      </w:r>
      <w:r>
        <w:tab/>
        <w:t>KI</w:t>
      </w:r>
      <w:r>
        <w:tab/>
        <w:t>sticky tense set/reset</w:t>
      </w:r>
    </w:p>
    <w:p w:rsidR="00B72047" w:rsidRDefault="00B72047">
      <w:pPr>
        <w:pStyle w:val="normalafterexample"/>
      </w:pPr>
      <w:r>
        <w:rPr>
          <w:rStyle w:val="htmlcodes"/>
        </w:rPr>
        <w:t>&lt;/pre&gt;</w:t>
      </w:r>
      <w:r>
        <w:rPr>
          <w:rStyle w:val="indexentry"/>
        </w:rPr>
        <w:t>&lt;cx "tense, scope of"&gt;</w:t>
      </w:r>
      <w:r>
        <w:rPr>
          <w:rStyle w:val="indexentry"/>
        </w:rPr>
        <w:fldChar w:fldCharType="begin"/>
      </w:r>
      <w:r>
        <w:instrText>xe "</w:instrText>
      </w:r>
      <w:r>
        <w:rPr>
          <w:rStyle w:val="xeentry"/>
        </w:rPr>
        <w:instrText>tense: scope of</w:instrText>
      </w:r>
      <w:r>
        <w:instrText>"</w:instrText>
      </w:r>
      <w:r>
        <w:rPr>
          <w:rStyle w:val="indexentry"/>
        </w:rPr>
        <w:fldChar w:fldCharType="end"/>
      </w:r>
      <w:r>
        <w:rPr>
          <w:rStyle w:val="indexentry"/>
        </w:rPr>
        <w:t>&lt;cx "sticky tenses, definition"&gt;</w:t>
      </w:r>
      <w:r>
        <w:rPr>
          <w:rStyle w:val="indexentry"/>
        </w:rPr>
        <w:fldChar w:fldCharType="begin"/>
      </w:r>
      <w:r>
        <w:instrText>xe "</w:instrText>
      </w:r>
      <w:r>
        <w:rPr>
          <w:rStyle w:val="xeentry"/>
        </w:rPr>
        <w:instrText>sticky tenses: definition</w:instrText>
      </w:r>
      <w:r>
        <w:instrText>"</w:instrText>
      </w:r>
      <w:r>
        <w:rPr>
          <w:rStyle w:val="indexentry"/>
        </w:rPr>
        <w:fldChar w:fldCharType="end"/>
      </w:r>
      <w:r>
        <w:rPr>
          <w:rStyle w:val="indexentry"/>
        </w:rPr>
        <w:t>&lt;cx "sticky tense, effect on future tense meaning"&gt;</w:t>
      </w:r>
      <w:r>
        <w:rPr>
          <w:rStyle w:val="indexentry"/>
        </w:rPr>
        <w:fldChar w:fldCharType="begin"/>
      </w:r>
      <w:r>
        <w:instrText>xe "</w:instrText>
      </w:r>
      <w:r>
        <w:rPr>
          <w:rStyle w:val="xeentry"/>
        </w:rPr>
        <w:instrText>sticky tenses: effect on future tense meaning</w:instrText>
      </w:r>
      <w:r>
        <w:instrText>"</w:instrText>
      </w:r>
      <w:r>
        <w:rPr>
          <w:rStyle w:val="indexentry"/>
        </w:rPr>
        <w:fldChar w:fldCharType="end"/>
      </w:r>
      <w:r>
        <w:rPr>
          <w:rStyle w:val="indexentry"/>
        </w:rPr>
        <w:t>&lt;cx "imaginary journey origin, with sticky tenses"&gt;</w:t>
      </w:r>
      <w:r>
        <w:rPr>
          <w:rStyle w:val="indexentry"/>
        </w:rPr>
        <w:fldChar w:fldCharType="begin"/>
      </w:r>
      <w:r>
        <w:instrText>xe "</w:instrText>
      </w:r>
      <w:r>
        <w:rPr>
          <w:rStyle w:val="xeentry"/>
        </w:rPr>
        <w:instrText>imaginary journey origin: with sticky tenses</w:instrText>
      </w:r>
      <w:r>
        <w:instrText>"</w:instrText>
      </w:r>
      <w:r>
        <w:rPr>
          <w:rStyle w:val="indexentry"/>
        </w:rPr>
        <w:fldChar w:fldCharType="end"/>
      </w:r>
      <w:r>
        <w:t>So far we have only considered tenses in isolated bridi. Loj</w:t>
      </w:r>
      <w:r>
        <w:softHyphen/>
        <w:t>ban provides</w:t>
      </w:r>
      <w:r>
        <w:rPr>
          <w:rStyle w:val="deletedparamark"/>
        </w:rPr>
        <w:t xml:space="preserve"> </w:t>
      </w:r>
      <w:r>
        <w:t>sev</w:t>
      </w:r>
      <w:r>
        <w:softHyphen/>
        <w:t>eral ways for a tense to continue in effect over more than a single</w:t>
      </w:r>
      <w:r>
        <w:rPr>
          <w:rStyle w:val="deletedparamark"/>
        </w:rPr>
        <w:t xml:space="preserve"> </w:t>
      </w:r>
      <w:r>
        <w:t>bridi. This property is known as “stickiness”: the tense gets “stuck” and</w:t>
      </w:r>
      <w:r>
        <w:rPr>
          <w:rStyle w:val="deletedparamark"/>
        </w:rPr>
        <w:t xml:space="preserve"> </w:t>
      </w:r>
      <w:r>
        <w:t>remains in effect until explicitly “unstuck”. In the metaphor of the</w:t>
      </w:r>
      <w:r>
        <w:rPr>
          <w:rStyle w:val="deletedparamark"/>
        </w:rPr>
        <w:t xml:space="preserve"> </w:t>
      </w:r>
      <w:r>
        <w:t>imaginary journey, the place and time set by a sticky tense may be thought</w:t>
      </w:r>
      <w:r>
        <w:rPr>
          <w:rStyle w:val="deletedparamark"/>
        </w:rPr>
        <w:t xml:space="preserve"> </w:t>
      </w:r>
      <w:r>
        <w:t>of as a campsite or way-station: it provides a permanent origin with respect</w:t>
      </w:r>
      <w:r>
        <w:rPr>
          <w:rStyle w:val="deletedparamark"/>
        </w:rPr>
        <w:t xml:space="preserve"> </w:t>
      </w:r>
      <w:r>
        <w:t>to which other tenses are understood. Later imaginary journeys start from</w:t>
      </w:r>
      <w:r>
        <w:rPr>
          <w:rStyle w:val="deletedparamark"/>
        </w:rPr>
        <w:t xml:space="preserve"> </w:t>
      </w:r>
      <w:r>
        <w:t>that point rather than from the speaker.</w:t>
      </w:r>
    </w:p>
    <w:p w:rsidR="00B72047" w:rsidRDefault="00B72047">
      <w:pPr>
        <w:rPr>
          <w:rStyle w:val="htmlparacode"/>
        </w:rPr>
      </w:pPr>
      <w:r>
        <w:rPr>
          <w:rStyle w:val="htmlparacode"/>
        </w:rPr>
        <w:t>&lt;p&gt;</w:t>
      </w:r>
    </w:p>
    <w:p w:rsidR="00B72047" w:rsidRDefault="00B72047">
      <w:pPr>
        <w:pStyle w:val="normalparagraph"/>
      </w:pPr>
      <w:r>
        <w:rPr>
          <w:rStyle w:val="indexentry"/>
        </w:rPr>
        <w:t>&lt;lx "ki"&gt;</w:t>
      </w:r>
      <w:r>
        <w:rPr>
          <w:rStyle w:val="indexentry"/>
        </w:rPr>
        <w:fldChar w:fldCharType="begin"/>
      </w:r>
      <w:r>
        <w:instrText>xe "</w:instrText>
      </w:r>
      <w:r>
        <w:rPr>
          <w:rStyle w:val="xeentry"/>
        </w:rPr>
        <w:instrText>ki</w:instrText>
      </w:r>
      <w:r>
        <w:instrText>"</w:instrText>
      </w:r>
      <w:r>
        <w:rPr>
          <w:rStyle w:val="indexentry"/>
        </w:rPr>
        <w:fldChar w:fldCharType="end"/>
      </w:r>
      <w:r>
        <w:rPr>
          <w:rStyle w:val="indexentry"/>
        </w:rPr>
        <w:t>&lt;lx "KI"&gt;</w:t>
      </w:r>
      <w:r>
        <w:rPr>
          <w:rStyle w:val="indexentry"/>
        </w:rPr>
        <w:fldChar w:fldCharType="begin"/>
      </w:r>
      <w:r>
        <w:instrText>xe "</w:instrText>
      </w:r>
      <w:r>
        <w:rPr>
          <w:rStyle w:val="xeentry"/>
        </w:rPr>
        <w:instrText>KI selma’o</w:instrText>
      </w:r>
      <w:r>
        <w:instrText>"</w:instrText>
      </w:r>
      <w:r>
        <w:rPr>
          <w:rStyle w:val="indexentry"/>
        </w:rPr>
        <w:fldChar w:fldCharType="end"/>
      </w:r>
      <w:r>
        <w:t>To make a tense sticky, suffix “ki” to it: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mi puki klama le zarci  .i le nanmu cu batci le gerku</w:t>
      </w:r>
    </w:p>
    <w:p w:rsidR="00B72047" w:rsidRDefault="00B72047">
      <w:pPr>
        <w:pStyle w:val="examplescaled"/>
      </w:pPr>
      <w:r>
        <w:tab/>
        <w:t>I [past] [sticky] go-to the market.  The man bites the dog.</w:t>
      </w:r>
    </w:p>
    <w:p w:rsidR="00B72047" w:rsidRDefault="00B72047">
      <w:pPr>
        <w:pStyle w:val="examplescaled"/>
      </w:pPr>
      <w:r>
        <w:tab/>
        <w:t>I went to the market. The man bit the dog.</w:t>
      </w:r>
    </w:p>
    <w:p w:rsidR="00B72047" w:rsidRDefault="00B72047">
      <w:pPr>
        <w:pStyle w:val="resumedafterexample"/>
      </w:pPr>
      <w:r>
        <w:rPr>
          <w:rStyle w:val="htmlcodes"/>
        </w:rPr>
        <w:t>&lt;/pre&gt;&lt;p&gt;</w:t>
      </w:r>
      <w:r>
        <w:t>Here the use of “puki” rather than just “pu” ensures that the tense will</w:t>
      </w:r>
      <w:r>
        <w:rPr>
          <w:rStyle w:val="deletedparamark"/>
        </w:rPr>
        <w:t xml:space="preserve"> </w:t>
      </w:r>
      <w:r>
        <w:t>affect the next sentence as well. Otherwise, since the second sen</w:t>
      </w:r>
      <w:r>
        <w:softHyphen/>
        <w:t>tence</w:t>
      </w:r>
      <w:r>
        <w:rPr>
          <w:rStyle w:val="deletedparamark"/>
        </w:rPr>
        <w:t xml:space="preserve"> </w:t>
      </w:r>
      <w:r>
        <w:t>is tenseless, there would be no way of determining its tense; the event of</w:t>
      </w:r>
      <w:r>
        <w:rPr>
          <w:rStyle w:val="deletedparamark"/>
        </w:rPr>
        <w:t xml:space="preserve"> </w:t>
      </w:r>
      <w:r>
        <w:t>the second sentence might happen before, after, or si</w:t>
      </w:r>
      <w:r>
        <w:softHyphen/>
        <w:t>multaneously with</w:t>
      </w:r>
      <w:r>
        <w:rPr>
          <w:rStyle w:val="deletedparamark"/>
        </w:rPr>
        <w:t xml:space="preserve"> </w:t>
      </w:r>
      <w:r>
        <w:t>that of the first sentence.</w:t>
      </w:r>
    </w:p>
    <w:p w:rsidR="00B72047" w:rsidRDefault="00B72047">
      <w:pPr>
        <w:rPr>
          <w:rStyle w:val="htmlparacode"/>
        </w:rPr>
      </w:pPr>
      <w:r>
        <w:rPr>
          <w:rStyle w:val="htmlparacode"/>
        </w:rPr>
        <w:t>&lt;p&gt;</w:t>
      </w:r>
    </w:p>
    <w:p w:rsidR="00B72047" w:rsidRDefault="00B72047">
      <w:pPr>
        <w:pStyle w:val="normalparagraph"/>
      </w:pPr>
      <w:r>
        <w:t>(The last statement does not apply when the two sentences form part of a</w:t>
      </w:r>
      <w:r>
        <w:rPr>
          <w:rStyle w:val="deletedparamark"/>
        </w:rPr>
        <w:t xml:space="preserve"> </w:t>
      </w:r>
      <w:r>
        <w:t>nar</w:t>
      </w:r>
      <w:r>
        <w:softHyphen/>
        <w:t xml:space="preserve">rative. See </w:t>
      </w:r>
      <w:r>
        <w:rPr>
          <w:rStyle w:val="htmlcodes"/>
        </w:rPr>
        <w:t>&lt;a href=#s14&gt;</w:t>
      </w:r>
      <w:r>
        <w:t xml:space="preserve">Section 14 </w:t>
      </w:r>
      <w:r>
        <w:rPr>
          <w:rStyle w:val="htmlcodes"/>
        </w:rPr>
        <w:t>&lt;/a&gt;</w:t>
      </w:r>
      <w:r>
        <w:t>for an explanation of “story time”, which employs</w:t>
      </w:r>
      <w:r>
        <w:rPr>
          <w:rStyle w:val="deletedparamark"/>
        </w:rPr>
        <w:t xml:space="preserve"> </w:t>
      </w:r>
      <w:r>
        <w:t>a different set of co</w:t>
      </w:r>
      <w:r>
        <w:t>n</w:t>
      </w:r>
      <w:r>
        <w:softHyphen/>
        <w:t>ventions.)</w:t>
      </w:r>
    </w:p>
    <w:p w:rsidR="00B72047" w:rsidRDefault="00B72047">
      <w:pPr>
        <w:pStyle w:val="normalparagraph"/>
        <w:rPr>
          <w:rStyle w:val="htmlparacode"/>
        </w:rPr>
      </w:pPr>
      <w:r>
        <w:rPr>
          <w:rStyle w:val="htmlparacode"/>
        </w:rPr>
        <w:t>&lt;p&gt;</w:t>
      </w:r>
    </w:p>
    <w:p w:rsidR="00B72047" w:rsidRDefault="00B72047">
      <w:pPr>
        <w:pStyle w:val="normalparagraph"/>
      </w:pPr>
      <w:r>
        <w:t>What if the second sentence has a tense anyway?</w:t>
      </w:r>
    </w:p>
    <w:p w:rsidR="00B72047" w:rsidRDefault="00B72047">
      <w:pPr>
        <w:rPr>
          <w:rStyle w:val="htmlparacode"/>
        </w:rPr>
      </w:pPr>
      <w:r>
        <w:rPr>
          <w:rStyle w:val="htmlparacode"/>
        </w:rPr>
        <w:t>&lt;p&gt;</w:t>
      </w:r>
    </w:p>
    <w:p w:rsidR="00B72047" w:rsidRDefault="00B72047">
      <w:pPr>
        <w:pStyle w:val="examplescaledpre"/>
      </w:pPr>
      <w:r>
        <w:rPr>
          <w:rStyle w:val="indexentry"/>
        </w:rPr>
        <w:t>&lt;cx "tense, effect of sticky tense on"&gt;</w:t>
      </w:r>
      <w:r>
        <w:rPr>
          <w:rStyle w:val="indexentry"/>
        </w:rPr>
        <w:fldChar w:fldCharType="begin"/>
      </w:r>
      <w:r>
        <w:instrText>xe "</w:instrText>
      </w:r>
      <w:r>
        <w:rPr>
          <w:rStyle w:val="xeentry"/>
        </w:rPr>
        <w:instrText>tense: effect of sticky tense on</w:instrText>
      </w:r>
      <w:r>
        <w:instrText>"</w:instrText>
      </w:r>
      <w:r>
        <w:rPr>
          <w:rStyle w:val="indexentry"/>
        </w:rPr>
        <w:fldChar w:fldCharType="end"/>
      </w:r>
      <w:r>
        <w:rPr>
          <w:rStyle w:val="indexentry"/>
        </w:rPr>
        <w:t>&lt;ex "had earlier"&gt;</w:t>
      </w:r>
      <w:r>
        <w:rPr>
          <w:rStyle w:val="indexentry"/>
        </w:rPr>
        <w:fldChar w:fldCharType="begin"/>
      </w:r>
      <w:r>
        <w:instrText>xe "</w:instrText>
      </w:r>
      <w:r>
        <w:rPr>
          <w:rStyle w:val="xeentry"/>
        </w:rPr>
        <w:instrText>had earlier: example</w:instrText>
      </w:r>
      <w:r>
        <w:instrText>"</w:instrText>
      </w:r>
      <w:r>
        <w:rPr>
          <w:rStyle w:val="indexentry"/>
        </w:rPr>
        <w:fldChar w:fldCharType="end"/>
      </w:r>
      <w:r>
        <w:rPr>
          <w:rStyle w:val="htmlcodes"/>
        </w:rPr>
        <w:t>&lt;pre&gt;&lt;a name=e13d2&gt;</w:t>
      </w:r>
      <w:r>
        <w:t>13.2)</w:t>
      </w:r>
      <w:r>
        <w:tab/>
        <w:t>mi puki klama le zarci  .i le nanmu pu batci le gerku</w:t>
      </w:r>
    </w:p>
    <w:p w:rsidR="00B72047" w:rsidRDefault="00B72047">
      <w:pPr>
        <w:pStyle w:val="examplescaled"/>
      </w:pPr>
      <w:r>
        <w:tab/>
        <w:t>I [past] sticky go-to the market.  The man [past] bites the dog.</w:t>
      </w:r>
    </w:p>
    <w:p w:rsidR="00B72047" w:rsidRDefault="00B72047">
      <w:pPr>
        <w:pStyle w:val="resumedafterexample"/>
      </w:pPr>
      <w:r>
        <w:rPr>
          <w:rStyle w:val="htmlcodes"/>
        </w:rPr>
        <w:t>&lt;/pre&gt;&lt;p&gt;</w:t>
      </w:r>
      <w:r>
        <w:t>Here the second “pu” does not replace the sticky tense, but adds to it,</w:t>
      </w:r>
      <w:r>
        <w:rPr>
          <w:rStyle w:val="deletedparamark"/>
        </w:rPr>
        <w:t xml:space="preserve"> </w:t>
      </w:r>
      <w:r>
        <w:t>in the sense that the starting point of its imaginary journey is taken</w:t>
      </w:r>
      <w:r>
        <w:rPr>
          <w:rStyle w:val="deletedparamark"/>
        </w:rPr>
        <w:t xml:space="preserve"> </w:t>
      </w:r>
      <w:r>
        <w:t xml:space="preserve">to be the previously set sticky time. So the translation of </w:t>
      </w:r>
      <w:r>
        <w:rPr>
          <w:rStyle w:val="htmlcodes"/>
        </w:rPr>
        <w:t>&lt;a href=#e13d2&gt;</w:t>
      </w:r>
      <w:r>
        <w:t xml:space="preserve">Example 13.2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I went to the market.  The man had earlier bitten the dog.</w:t>
      </w:r>
    </w:p>
    <w:p w:rsidR="00B72047" w:rsidRDefault="00B72047">
      <w:pPr>
        <w:pStyle w:val="resumedafterexample"/>
      </w:pPr>
      <w:r>
        <w:rPr>
          <w:rStyle w:val="htmlcodes"/>
        </w:rPr>
        <w:t>&lt;/pre&gt;</w:t>
      </w:r>
      <w:r>
        <w:rPr>
          <w:rStyle w:val="indexentry"/>
        </w:rPr>
        <w:t>&lt;cx "tense in scope of sticky tense, compared with compound tense"&gt;</w:t>
      </w:r>
      <w:r>
        <w:rPr>
          <w:rStyle w:val="indexentry"/>
        </w:rPr>
        <w:fldChar w:fldCharType="begin"/>
      </w:r>
      <w:r>
        <w:instrText>xe "</w:instrText>
      </w:r>
      <w:r>
        <w:rPr>
          <w:rStyle w:val="xeentry"/>
        </w:rPr>
        <w:instrText>tense in scope of sticky tense: compared with compound tense</w:instrText>
      </w:r>
      <w:r>
        <w:instrText>"</w:instrText>
      </w:r>
      <w:r>
        <w:rPr>
          <w:rStyle w:val="indexentry"/>
        </w:rPr>
        <w:fldChar w:fldCharType="end"/>
      </w:r>
      <w:r>
        <w:rPr>
          <w:rStyle w:val="indexentry"/>
        </w:rPr>
        <w:t>&lt;cx "compound tense, compared with tense in scope of sticky tense"&gt;</w:t>
      </w:r>
      <w:r>
        <w:rPr>
          <w:rStyle w:val="indexentry"/>
        </w:rPr>
        <w:fldChar w:fldCharType="begin"/>
      </w:r>
      <w:r>
        <w:instrText>xe "</w:instrText>
      </w:r>
      <w:r>
        <w:rPr>
          <w:rStyle w:val="xeentry"/>
        </w:rPr>
        <w:instrText>compound tense: compared with tense in scope of sticky tense</w:instrText>
      </w:r>
      <w:r>
        <w:instrText>"</w:instrText>
      </w:r>
      <w:r>
        <w:rPr>
          <w:rStyle w:val="indexentry"/>
        </w:rPr>
        <w:fldChar w:fldCharType="end"/>
      </w:r>
      <w:r>
        <w:t>and it is equivalent in meaning (when considered in isolation from any other</w:t>
      </w:r>
      <w:r>
        <w:rPr>
          <w:rStyle w:val="deletedparamark"/>
        </w:rPr>
        <w:t xml:space="preserve"> </w:t>
      </w:r>
      <w:r>
        <w:t>sentences)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name=e13d4&gt;</w:t>
      </w:r>
      <w:r>
        <w:t>13.4)</w:t>
      </w:r>
      <w:r>
        <w:tab/>
        <w:t>mi pu klama le zarci  .i le nanmu pupu batci le gerku</w:t>
      </w:r>
    </w:p>
    <w:p w:rsidR="00B72047" w:rsidRDefault="00B72047">
      <w:pPr>
        <w:pStyle w:val="examplescaled"/>
      </w:pPr>
      <w:r>
        <w:tab/>
        <w:t>I [past] go-to the market.  The man [past] [past] bites the dog.</w:t>
      </w:r>
    </w:p>
    <w:p w:rsidR="00B72047" w:rsidRDefault="00B72047">
      <w:pPr>
        <w:pStyle w:val="normalafterexample"/>
      </w:pPr>
      <w:r>
        <w:rPr>
          <w:rStyle w:val="htmlcodes"/>
        </w:rPr>
        <w:t>&lt;/pre&gt;</w:t>
      </w:r>
      <w:r>
        <w:rPr>
          <w:rStyle w:val="indexentry"/>
        </w:rPr>
        <w:t>&lt;cx "tenses, multiple in sentence"&gt;</w:t>
      </w:r>
      <w:r>
        <w:rPr>
          <w:rStyle w:val="indexentry"/>
        </w:rPr>
        <w:fldChar w:fldCharType="begin"/>
      </w:r>
      <w:r>
        <w:instrText>xe "</w:instrText>
      </w:r>
      <w:r>
        <w:rPr>
          <w:rStyle w:val="xeentry"/>
        </w:rPr>
        <w:instrText>tense: multiple in sentence</w:instrText>
      </w:r>
      <w:r>
        <w:instrText>"</w:instrText>
      </w:r>
      <w:r>
        <w:rPr>
          <w:rStyle w:val="indexentry"/>
        </w:rPr>
        <w:fldChar w:fldCharType="end"/>
      </w:r>
      <w:r>
        <w:rPr>
          <w:rStyle w:val="indexentry"/>
        </w:rPr>
        <w:t>&lt;cx "tenses, multiple in sentence compared with compound tense"&gt;</w:t>
      </w:r>
      <w:r>
        <w:rPr>
          <w:rStyle w:val="indexentry"/>
        </w:rPr>
        <w:fldChar w:fldCharType="begin"/>
      </w:r>
      <w:r>
        <w:instrText>xe "</w:instrText>
      </w:r>
      <w:r>
        <w:rPr>
          <w:rStyle w:val="xeentry"/>
        </w:rPr>
        <w:instrText>tense: multiple in sentence compared with compound tense</w:instrText>
      </w:r>
      <w:r>
        <w:instrText>"</w:instrText>
      </w:r>
      <w:r>
        <w:rPr>
          <w:rStyle w:val="indexentry"/>
        </w:rPr>
        <w:fldChar w:fldCharType="end"/>
      </w:r>
      <w:r>
        <w:rPr>
          <w:rStyle w:val="indexentry"/>
        </w:rPr>
        <w:t>&lt;cx "compound tense, compared with multiple tenses in sentence"&gt;</w:t>
      </w:r>
      <w:r>
        <w:rPr>
          <w:rStyle w:val="indexentry"/>
        </w:rPr>
        <w:fldChar w:fldCharType="begin"/>
      </w:r>
      <w:r>
        <w:instrText>xe "</w:instrText>
      </w:r>
      <w:r>
        <w:rPr>
          <w:rStyle w:val="xeentry"/>
        </w:rPr>
        <w:instrText>compound tense: compared with multiple tenses in sentence</w:instrText>
      </w:r>
      <w:r>
        <w:instrText>"</w:instrText>
      </w:r>
      <w:r>
        <w:rPr>
          <w:rStyle w:val="indexentry"/>
        </w:rPr>
        <w:fldChar w:fldCharType="end"/>
      </w:r>
      <w:r>
        <w:t>The point has not been discussed so far, but it is perfectly grammatical</w:t>
      </w:r>
      <w:r>
        <w:rPr>
          <w:rStyle w:val="deletedparamark"/>
        </w:rPr>
        <w:t xml:space="preserve"> </w:t>
      </w:r>
      <w:r>
        <w:t>to have more than one tense construct in a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puku mi ba klama le zarci</w:t>
      </w:r>
    </w:p>
    <w:p w:rsidR="00B72047" w:rsidRDefault="00B72047">
      <w:pPr>
        <w:pStyle w:val="examplescaled"/>
      </w:pPr>
      <w:r>
        <w:tab/>
        <w:t>[past] I [future] go-to the market.</w:t>
      </w:r>
    </w:p>
    <w:p w:rsidR="00B72047" w:rsidRDefault="00B72047">
      <w:pPr>
        <w:pStyle w:val="examplescaled"/>
      </w:pPr>
      <w:r>
        <w:tab/>
        <w:t>Earlier, I was going to go to the market.</w:t>
      </w:r>
    </w:p>
    <w:p w:rsidR="00B72047" w:rsidRDefault="00B72047">
      <w:pPr>
        <w:pStyle w:val="resumedafterexample"/>
      </w:pPr>
      <w:r>
        <w:rPr>
          <w:rStyle w:val="htmlcodes"/>
        </w:rPr>
        <w:t>&lt;/pre&gt;&lt;p&gt;</w:t>
      </w:r>
      <w:r>
        <w:t>Here there are two tenses in the same bridi, the first floating free and</w:t>
      </w:r>
      <w:r>
        <w:rPr>
          <w:rStyle w:val="deletedparamark"/>
        </w:rPr>
        <w:t xml:space="preserve"> </w:t>
      </w:r>
      <w:r>
        <w:t>specified by “puku”, the second in the usual place and specified by “ba”.</w:t>
      </w:r>
      <w:r>
        <w:rPr>
          <w:rStyle w:val="deletedparamark"/>
        </w:rPr>
        <w:t xml:space="preserve"> </w:t>
      </w:r>
      <w:r>
        <w:t>They are considered cu</w:t>
      </w:r>
      <w:r>
        <w:softHyphen/>
        <w:t>mulative in the same way as the two tenses in</w:t>
      </w:r>
      <w:r>
        <w:rPr>
          <w:rStyle w:val="deletedparamark"/>
        </w:rPr>
        <w:t xml:space="preserve"> </w:t>
      </w:r>
      <w:r>
        <w:t xml:space="preserve">separate sentences of </w:t>
      </w:r>
      <w:r>
        <w:rPr>
          <w:rStyle w:val="htmlcodes"/>
        </w:rPr>
        <w:t>&lt;a href=#e13d4&gt;</w:t>
      </w:r>
      <w:r>
        <w:t>Example 13.4</w:t>
      </w:r>
      <w:r>
        <w:rPr>
          <w:rStyle w:val="htmlcodes"/>
        </w:rPr>
        <w:t>&lt;/a&gt;</w:t>
      </w:r>
      <w:r>
        <w:t xml:space="preserve">. </w:t>
      </w:r>
      <w:r>
        <w:rPr>
          <w:rStyle w:val="htmlcodes"/>
        </w:rPr>
        <w:t>&lt;a href=#e13d5&gt;</w:t>
      </w:r>
      <w:r>
        <w:t>Ex</w:t>
      </w:r>
      <w:r>
        <w:softHyphen/>
        <w:t xml:space="preserve">ample 13.5 </w:t>
      </w:r>
      <w:r>
        <w:rPr>
          <w:rStyle w:val="htmlcodes"/>
        </w:rPr>
        <w:t>&lt;/a&gt;</w:t>
      </w:r>
      <w:r>
        <w:t>is therefore equivalent in</w:t>
      </w:r>
      <w:r>
        <w:rPr>
          <w:rStyle w:val="deletedparamark"/>
        </w:rPr>
        <w:t xml:space="preserve"> </w:t>
      </w:r>
      <w:r>
        <w:t>meaning, except for emphasis,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name=e13d6&gt;</w:t>
      </w:r>
      <w:r>
        <w:t>13.6)</w:t>
      </w:r>
      <w:r>
        <w:tab/>
        <w:t>mi puba klama le zarci</w:t>
      </w:r>
    </w:p>
    <w:p w:rsidR="00B72047" w:rsidRDefault="00B72047">
      <w:pPr>
        <w:pStyle w:val="examplescaled"/>
      </w:pPr>
      <w:r>
        <w:tab/>
        <w:t>I [past] [future] go-to the market.</w:t>
      </w:r>
    </w:p>
    <w:p w:rsidR="00B72047" w:rsidRDefault="00B72047">
      <w:pPr>
        <w:pStyle w:val="examplescaled"/>
      </w:pPr>
      <w:r>
        <w:tab/>
        <w:t>I was going to go to the market.</w:t>
      </w:r>
    </w:p>
    <w:p w:rsidR="00B72047" w:rsidRDefault="00B72047">
      <w:pPr>
        <w:pStyle w:val="normalafterexample"/>
      </w:pPr>
      <w:r>
        <w:rPr>
          <w:rStyle w:val="htmlcodes"/>
        </w:rPr>
        <w:t>&lt;/pre&gt;</w:t>
      </w:r>
      <w:r>
        <w:rPr>
          <w:rStyle w:val="indexentry"/>
        </w:rPr>
        <w:t>&lt;cx "multiple tenses, effect of order in sentence"&gt;</w:t>
      </w:r>
      <w:r>
        <w:rPr>
          <w:rStyle w:val="indexentry"/>
        </w:rPr>
        <w:fldChar w:fldCharType="begin"/>
      </w:r>
      <w:r>
        <w:instrText>xe "</w:instrText>
      </w:r>
      <w:r>
        <w:rPr>
          <w:rStyle w:val="xeentry"/>
        </w:rPr>
        <w:instrText>multiple tenses: effect of order in sentence</w:instrText>
      </w:r>
      <w:r>
        <w:instrText>"</w:instrText>
      </w:r>
      <w:r>
        <w:rPr>
          <w:rStyle w:val="indexentry"/>
        </w:rPr>
        <w:fldChar w:fldCharType="end"/>
      </w:r>
      <w:r>
        <w:t xml:space="preserve">Compare </w:t>
      </w:r>
      <w:r>
        <w:rPr>
          <w:rStyle w:val="htmlcodes"/>
        </w:rPr>
        <w:t>&lt;a href=#e13d7&gt;</w:t>
      </w:r>
      <w:r>
        <w:t xml:space="preserve">Example 13.7 </w:t>
      </w:r>
      <w:r>
        <w:rPr>
          <w:rStyle w:val="htmlcodes"/>
        </w:rPr>
        <w:t>&lt;/a&gt;</w:t>
      </w:r>
      <w:r>
        <w:t xml:space="preserve">and </w:t>
      </w:r>
      <w:r>
        <w:rPr>
          <w:rStyle w:val="htmlcodes"/>
        </w:rPr>
        <w:t>&lt;a href=#e13d8&gt;</w:t>
      </w:r>
      <w:r>
        <w:t>Example 13.8</w:t>
      </w:r>
      <w:r>
        <w:rPr>
          <w:rStyle w:val="htmlcodes"/>
        </w:rPr>
        <w:t>&lt;/a&gt;</w:t>
      </w:r>
      <w:r>
        <w:t>, which have a different meaning from</w:t>
      </w:r>
      <w:r>
        <w:rPr>
          <w:rStyle w:val="deletedparamark"/>
        </w:rPr>
        <w:t xml:space="preserve"> </w:t>
      </w:r>
      <w:r>
        <w:rPr>
          <w:rStyle w:val="htmlcodes"/>
        </w:rPr>
        <w:t>&lt;a href=#e13d5&gt;</w:t>
      </w:r>
      <w:r>
        <w:t>E</w:t>
      </w:r>
      <w:r>
        <w:t>x</w:t>
      </w:r>
      <w:r>
        <w:softHyphen/>
        <w:t xml:space="preserve">ample 13.5 </w:t>
      </w:r>
      <w:r>
        <w:rPr>
          <w:rStyle w:val="htmlcodes"/>
        </w:rPr>
        <w:t>&lt;/a&gt;</w:t>
      </w:r>
      <w:r>
        <w:t xml:space="preserve">and </w:t>
      </w:r>
      <w:r>
        <w:rPr>
          <w:rStyle w:val="htmlcodes"/>
        </w:rPr>
        <w:t>&lt;a href=#e13d6&gt;</w:t>
      </w:r>
      <w:r>
        <w:t>Example 13.6</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name=e13d7&gt;</w:t>
      </w:r>
      <w:r>
        <w:t>13.7)</w:t>
      </w:r>
      <w:r>
        <w:tab/>
        <w:t>mi ba klama le zarci puku</w:t>
      </w:r>
    </w:p>
    <w:p w:rsidR="00B72047" w:rsidRDefault="00B72047">
      <w:pPr>
        <w:pStyle w:val="examplescaled"/>
      </w:pPr>
      <w:r>
        <w:tab/>
        <w:t>I [future] go-to the market [past].</w:t>
      </w:r>
    </w:p>
    <w:p w:rsidR="00B72047" w:rsidRDefault="00B72047">
      <w:pPr>
        <w:pStyle w:val="examplescaled"/>
      </w:pPr>
      <w:r>
        <w:tab/>
        <w:t>I will have gone to the market earlier.</w:t>
      </w:r>
    </w:p>
    <w:p w:rsidR="00B72047" w:rsidRDefault="00B72047">
      <w:pPr>
        <w:pStyle w:val="examplescaledpre"/>
      </w:pPr>
      <w:r>
        <w:rPr>
          <w:rStyle w:val="htmlcodes"/>
        </w:rPr>
        <w:t>&lt;a name=e13d8&gt;</w:t>
      </w:r>
      <w:r>
        <w:t>13.8)</w:t>
      </w:r>
      <w:r>
        <w:tab/>
        <w:t>mi bapu klama le zarci</w:t>
      </w:r>
    </w:p>
    <w:p w:rsidR="00B72047" w:rsidRDefault="00B72047">
      <w:pPr>
        <w:pStyle w:val="examplescaled"/>
      </w:pPr>
      <w:r>
        <w:tab/>
        <w:t>I [future] [past] go-to the market.</w:t>
      </w:r>
    </w:p>
    <w:p w:rsidR="00B72047" w:rsidRDefault="00B72047">
      <w:pPr>
        <w:pStyle w:val="examplescaled"/>
      </w:pPr>
      <w:r>
        <w:tab/>
        <w:t>I will have gone to the market.</w:t>
      </w:r>
    </w:p>
    <w:p w:rsidR="00B72047" w:rsidRDefault="00B72047">
      <w:pPr>
        <w:pStyle w:val="resumedafterexample"/>
      </w:pPr>
      <w:r>
        <w:rPr>
          <w:rStyle w:val="htmlcodes"/>
        </w:rPr>
        <w:t>&lt;/pre&gt;&lt;p&gt;</w:t>
      </w:r>
      <w:r>
        <w:t>So when multiple tense constructs in a single bridi are involved, order</w:t>
      </w:r>
      <w:r>
        <w:rPr>
          <w:rStyle w:val="deletedparamark"/>
        </w:rPr>
        <w:t xml:space="preserve"> </w:t>
      </w:r>
      <w:r>
        <w:t>counts — the tenses cannot be shifted around as freely as if there were</w:t>
      </w:r>
      <w:r>
        <w:rPr>
          <w:rStyle w:val="deletedparamark"/>
        </w:rPr>
        <w:t xml:space="preserve"> </w:t>
      </w:r>
      <w:r>
        <w:t>only one tense to worry about.</w:t>
      </w:r>
    </w:p>
    <w:p w:rsidR="00B72047" w:rsidRDefault="00B72047">
      <w:pPr>
        <w:rPr>
          <w:rStyle w:val="htmlparacode"/>
        </w:rPr>
      </w:pPr>
      <w:r>
        <w:rPr>
          <w:rStyle w:val="htmlparacode"/>
        </w:rPr>
        <w:t>&lt;p&gt;</w:t>
      </w:r>
    </w:p>
    <w:p w:rsidR="00B72047" w:rsidRDefault="00B72047">
      <w:pPr>
        <w:pStyle w:val="normalparagraph"/>
      </w:pPr>
      <w:r>
        <w:rPr>
          <w:rStyle w:val="indexentry"/>
        </w:rPr>
        <w:t>&lt;cx "sticky tenses, from part of a multiple tense"&gt;</w:t>
      </w:r>
      <w:r>
        <w:rPr>
          <w:rStyle w:val="indexentry"/>
        </w:rPr>
        <w:fldChar w:fldCharType="begin"/>
      </w:r>
      <w:r>
        <w:instrText>xe "</w:instrText>
      </w:r>
      <w:r>
        <w:rPr>
          <w:rStyle w:val="xeentry"/>
        </w:rPr>
        <w:instrText>sticky tenses: from part of a multiple tense</w:instrText>
      </w:r>
      <w:r>
        <w:instrText>"</w:instrText>
      </w:r>
      <w:r>
        <w:rPr>
          <w:rStyle w:val="indexentry"/>
        </w:rPr>
        <w:fldChar w:fldCharType="end"/>
      </w:r>
      <w:r>
        <w:t>But why bother to allow multiple tense constructs at all? They specify</w:t>
      </w:r>
      <w:r>
        <w:rPr>
          <w:rStyle w:val="deletedparamark"/>
        </w:rPr>
        <w:t xml:space="preserve"> </w:t>
      </w:r>
      <w:r>
        <w:t>separate po</w:t>
      </w:r>
      <w:r>
        <w:t>r</w:t>
      </w:r>
      <w:r>
        <w:softHyphen/>
        <w:t>tions of the imaginary journey, and can be useful in order to</w:t>
      </w:r>
      <w:r>
        <w:rPr>
          <w:rStyle w:val="deletedparamark"/>
        </w:rPr>
        <w:t xml:space="preserve"> </w:t>
      </w:r>
      <w:r>
        <w:t xml:space="preserve">make part of a tense sticky. Consider </w:t>
      </w:r>
      <w:r>
        <w:rPr>
          <w:rStyle w:val="htmlcodes"/>
        </w:rPr>
        <w:t>&lt;a href=#e13d9&gt;</w:t>
      </w:r>
      <w:r>
        <w:t>Example 13.9</w:t>
      </w:r>
      <w:r>
        <w:rPr>
          <w:rStyle w:val="htmlcodes"/>
        </w:rPr>
        <w:t>&lt;/a&gt;</w:t>
      </w:r>
      <w:r>
        <w:t>, which adds a second</w:t>
      </w:r>
      <w:r>
        <w:rPr>
          <w:rStyle w:val="deletedparamark"/>
        </w:rPr>
        <w:t xml:space="preserve"> </w:t>
      </w:r>
      <w:r>
        <w:t xml:space="preserve">bridi and a “ki” to </w:t>
      </w:r>
      <w:r>
        <w:rPr>
          <w:rStyle w:val="htmlcodes"/>
        </w:rPr>
        <w:t>&lt;a href=#e13d5&gt;</w:t>
      </w:r>
      <w:r>
        <w:t>Example 13.5</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13.9)</w:t>
      </w:r>
      <w:r>
        <w:tab/>
      </w:r>
      <w:r>
        <w:rPr>
          <w:rStyle w:val="htmlcodes"/>
        </w:rPr>
        <w:t>&lt;dd&gt;</w:t>
      </w:r>
      <w:r>
        <w:t>pukiku mi ba klama le zarci  .i le nanmu cu batci le gerku</w:t>
      </w:r>
    </w:p>
    <w:p w:rsidR="00B72047" w:rsidRDefault="00B72047">
      <w:pPr>
        <w:pStyle w:val="examplescaled"/>
      </w:pPr>
      <w:r>
        <w:tab/>
        <w:t>[past] [sticky] I [future] go-to the market.  The man bites the dog.</w:t>
      </w:r>
    </w:p>
    <w:p w:rsidR="00B72047" w:rsidRDefault="00B72047">
      <w:pPr>
        <w:pStyle w:val="resumedafterexample"/>
      </w:pPr>
      <w:r>
        <w:rPr>
          <w:rStyle w:val="htmlcodes"/>
        </w:rPr>
        <w:t>&lt;/dl&gt;&lt;p&gt;</w:t>
      </w:r>
      <w:r>
        <w:t>What is the implied tense of the second sentence? Not “puba”, but only</w:t>
      </w:r>
      <w:r>
        <w:rPr>
          <w:rStyle w:val="deletedparamark"/>
        </w:rPr>
        <w:t xml:space="preserve"> “</w:t>
      </w:r>
      <w:r>
        <w:t>pu”, since only “pu” was made sticky with “ki”. So the translation is: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I was going to go to the market.  The man bit the dog.</w:t>
      </w:r>
    </w:p>
    <w:p w:rsidR="00B72047" w:rsidRDefault="00B72047">
      <w:pPr>
        <w:pStyle w:val="normalafterexample"/>
      </w:pPr>
      <w:r>
        <w:rPr>
          <w:rStyle w:val="htmlcodes"/>
        </w:rPr>
        <w:t>&lt;/dl&gt;</w:t>
      </w:r>
      <w:r>
        <w:rPr>
          <w:rStyle w:val="indexentry"/>
        </w:rPr>
        <w:t>&lt;cx "tense, on embedded bridi"&gt;</w:t>
      </w:r>
      <w:r>
        <w:rPr>
          <w:rStyle w:val="indexentry"/>
        </w:rPr>
        <w:fldChar w:fldCharType="begin"/>
      </w:r>
      <w:r>
        <w:instrText>xe "</w:instrText>
      </w:r>
      <w:r>
        <w:rPr>
          <w:rStyle w:val="xeentry"/>
        </w:rPr>
        <w:instrText>tense: on embedded bridi</w:instrText>
      </w:r>
      <w:r>
        <w:instrText>"</w:instrText>
      </w:r>
      <w:r>
        <w:rPr>
          <w:rStyle w:val="indexentry"/>
        </w:rPr>
        <w:fldChar w:fldCharType="end"/>
      </w:r>
      <w:r>
        <w:rPr>
          <w:rStyle w:val="indexentry"/>
        </w:rPr>
        <w:t>&lt;cx "tense on main bridi, effect on embedded bridi tenses"&gt;</w:t>
      </w:r>
      <w:r>
        <w:rPr>
          <w:rStyle w:val="indexentry"/>
        </w:rPr>
        <w:fldChar w:fldCharType="begin"/>
      </w:r>
      <w:r>
        <w:instrText>xe "</w:instrText>
      </w:r>
      <w:r>
        <w:rPr>
          <w:rStyle w:val="xeentry"/>
        </w:rPr>
        <w:instrText>tense on main bridi: effect on embedded bridi tenses</w:instrText>
      </w:r>
      <w:r>
        <w:instrText>"</w:instrText>
      </w:r>
      <w:r>
        <w:rPr>
          <w:rStyle w:val="indexentry"/>
        </w:rPr>
        <w:fldChar w:fldCharType="end"/>
      </w:r>
      <w:r>
        <w:rPr>
          <w:rStyle w:val="indexentry"/>
        </w:rPr>
        <w:t>&lt;cx "tense on main bridi, effect on embedded sumti with tenses"&gt;</w:t>
      </w:r>
      <w:r>
        <w:rPr>
          <w:rStyle w:val="indexentry"/>
        </w:rPr>
        <w:fldChar w:fldCharType="begin"/>
      </w:r>
      <w:r>
        <w:instrText>xe "</w:instrText>
      </w:r>
      <w:r>
        <w:rPr>
          <w:rStyle w:val="xeentry"/>
        </w:rPr>
        <w:instrText>tense on main bridi: effect on embedded sumti with tenses</w:instrText>
      </w:r>
      <w:r>
        <w:instrText>"</w:instrText>
      </w:r>
      <w:r>
        <w:rPr>
          <w:rStyle w:val="indexentry"/>
        </w:rPr>
        <w:fldChar w:fldCharType="end"/>
      </w:r>
      <w:r>
        <w:rPr>
          <w:rStyle w:val="indexentry"/>
        </w:rPr>
        <w:t>&lt;cx "embedded bridi tenses, effect of main bridi tense on"&gt;</w:t>
      </w:r>
      <w:r>
        <w:rPr>
          <w:rStyle w:val="indexentry"/>
        </w:rPr>
        <w:fldChar w:fldCharType="begin"/>
      </w:r>
      <w:r>
        <w:instrText>xe "</w:instrText>
      </w:r>
      <w:r>
        <w:rPr>
          <w:rStyle w:val="xeentry"/>
        </w:rPr>
        <w:instrText>embedded bridi tenses: effect of main bridi tense on</w:instrText>
      </w:r>
      <w:r>
        <w:instrText>"</w:instrText>
      </w:r>
      <w:r>
        <w:rPr>
          <w:rStyle w:val="indexentry"/>
        </w:rPr>
        <w:fldChar w:fldCharType="end"/>
      </w:r>
      <w:r>
        <w:rPr>
          <w:rStyle w:val="indexentry"/>
        </w:rPr>
        <w:t>&lt;cx "sumti with tense, effect of main bridi tense on"&gt;</w:t>
      </w:r>
      <w:r>
        <w:rPr>
          <w:rStyle w:val="indexentry"/>
        </w:rPr>
        <w:fldChar w:fldCharType="begin"/>
      </w:r>
      <w:r>
        <w:instrText>xe "</w:instrText>
      </w:r>
      <w:r>
        <w:rPr>
          <w:rStyle w:val="xeentry"/>
        </w:rPr>
        <w:instrText>sumti with tense: effect of main bridi tense on</w:instrText>
      </w:r>
      <w:r>
        <w:instrText>"</w:instrText>
      </w:r>
      <w:r>
        <w:rPr>
          <w:rStyle w:val="indexentry"/>
        </w:rPr>
        <w:fldChar w:fldCharType="end"/>
      </w:r>
      <w:r>
        <w:t>Lojban has several ways of embedding a bridi within another bridi:</w:t>
      </w:r>
      <w:r>
        <w:rPr>
          <w:rStyle w:val="deletedparamark"/>
        </w:rPr>
        <w:t xml:space="preserve"> </w:t>
      </w:r>
      <w:r>
        <w:t>descrip</w:t>
      </w:r>
      <w:r>
        <w:softHyphen/>
        <w:t>tions, a</w:t>
      </w:r>
      <w:r>
        <w:t>b</w:t>
      </w:r>
      <w:r>
        <w:softHyphen/>
        <w:t>stractors, relative clauses. (Technically, de</w:t>
      </w:r>
      <w:r>
        <w:softHyphen/>
        <w:t>scriptions</w:t>
      </w:r>
      <w:r>
        <w:rPr>
          <w:rStyle w:val="deletedparamark"/>
        </w:rPr>
        <w:t xml:space="preserve"> </w:t>
      </w:r>
      <w:r>
        <w:t>contain selbri rather than bridi.) Any of the selbri of these subordinate</w:t>
      </w:r>
      <w:r>
        <w:rPr>
          <w:rStyle w:val="deletedparamark"/>
        </w:rPr>
        <w:t xml:space="preserve"> </w:t>
      </w:r>
      <w:r>
        <w:t>bridi may have tenses attached. These tenses are inter</w:t>
      </w:r>
      <w:r>
        <w:softHyphen/>
        <w:t>preted relative to</w:t>
      </w:r>
      <w:r>
        <w:rPr>
          <w:rStyle w:val="deletedparamark"/>
        </w:rPr>
        <w:t xml:space="preserve"> </w:t>
      </w:r>
      <w:r>
        <w:t>the tense of the main bridi:</w:t>
      </w:r>
    </w:p>
    <w:p w:rsidR="00B72047" w:rsidRDefault="00B72047">
      <w:pPr>
        <w:rPr>
          <w:rStyle w:val="htmlparacode"/>
        </w:rPr>
      </w:pPr>
      <w:r>
        <w:rPr>
          <w:rStyle w:val="htmlparacode"/>
        </w:rPr>
        <w:t>&lt;p&gt;</w:t>
      </w:r>
    </w:p>
    <w:p w:rsidR="00B72047" w:rsidRDefault="00B72047">
      <w:pPr>
        <w:pStyle w:val="examplescaledpre"/>
      </w:pPr>
      <w:r>
        <w:rPr>
          <w:rStyle w:val="indexentry"/>
        </w:rPr>
        <w:t>&lt;ex "former market"&gt;</w:t>
      </w:r>
      <w:r>
        <w:rPr>
          <w:rStyle w:val="indexentry"/>
        </w:rPr>
        <w:fldChar w:fldCharType="begin"/>
      </w:r>
      <w:r>
        <w:instrText>xe "</w:instrText>
      </w:r>
      <w:r>
        <w:rPr>
          <w:rStyle w:val="xeentry"/>
        </w:rPr>
        <w:instrText>former market: example</w:instrText>
      </w:r>
      <w:r>
        <w:instrText>"</w:instrText>
      </w:r>
      <w:r>
        <w:rPr>
          <w:rStyle w:val="indexentry"/>
        </w:rPr>
        <w:fldChar w:fldCharType="end"/>
      </w:r>
      <w:r>
        <w:rPr>
          <w:rStyle w:val="htmlcodes"/>
        </w:rPr>
        <w:t>&lt;pre&gt;&lt;a name=e13d10&gt;</w:t>
      </w:r>
      <w:r>
        <w:t>13.10)</w:t>
      </w:r>
      <w:r>
        <w:tab/>
        <w:t>mi pu klama le ba'o zarci</w:t>
      </w:r>
    </w:p>
    <w:p w:rsidR="00B72047" w:rsidRDefault="00B72047">
      <w:pPr>
        <w:pStyle w:val="examplescaled"/>
      </w:pPr>
      <w:r>
        <w:tab/>
        <w:t>I [past] go-to the [perfective] market</w:t>
      </w:r>
    </w:p>
    <w:p w:rsidR="00B72047" w:rsidRDefault="00B72047">
      <w:pPr>
        <w:pStyle w:val="examplescaled"/>
      </w:pPr>
      <w:r>
        <w:tab/>
        <w:t>I went to the former market.</w:t>
      </w:r>
    </w:p>
    <w:p w:rsidR="00B72047" w:rsidRDefault="00B72047">
      <w:pPr>
        <w:pStyle w:val="resumedafterexample"/>
      </w:pPr>
      <w:r>
        <w:rPr>
          <w:rStyle w:val="htmlcodes"/>
        </w:rPr>
        <w:t>&lt;/pre&gt;&lt;p&gt;</w:t>
      </w:r>
      <w:r>
        <w:t xml:space="preserve">The significance of the “ba'o” in </w:t>
      </w:r>
      <w:r>
        <w:rPr>
          <w:rStyle w:val="htmlcodes"/>
        </w:rPr>
        <w:t>&lt;a href=#e13d10&gt;</w:t>
      </w:r>
      <w:r>
        <w:t xml:space="preserve">Example 13.10 </w:t>
      </w:r>
      <w:r>
        <w:rPr>
          <w:rStyle w:val="htmlcodes"/>
        </w:rPr>
        <w:t>&lt;/a&gt;</w:t>
      </w:r>
      <w:r>
        <w:t>is that the speaker's</w:t>
      </w:r>
      <w:r>
        <w:rPr>
          <w:rStyle w:val="deletedparamark"/>
        </w:rPr>
        <w:t xml:space="preserve"> </w:t>
      </w:r>
      <w:r>
        <w:t>destination is de</w:t>
      </w:r>
      <w:r>
        <w:softHyphen/>
        <w:t>scribed as being “in the aftermath of being a market”; that</w:t>
      </w:r>
      <w:r>
        <w:rPr>
          <w:rStyle w:val="deletedparamark"/>
        </w:rPr>
        <w:t xml:space="preserve"> </w:t>
      </w:r>
      <w:r>
        <w:t>is, it is a market no longer. In particular, the time at which it was no</w:t>
      </w:r>
      <w:r>
        <w:rPr>
          <w:rStyle w:val="deletedparamark"/>
        </w:rPr>
        <w:t xml:space="preserve"> </w:t>
      </w:r>
      <w:r>
        <w:t>longer a market is in the speaker's past, be</w:t>
      </w:r>
      <w:r>
        <w:softHyphen/>
        <w:t>cause the “ba'o” is in</w:t>
      </w:r>
      <w:r>
        <w:softHyphen/>
        <w:t>terpreted</w:t>
      </w:r>
      <w:r>
        <w:rPr>
          <w:rStyle w:val="deletedparamark"/>
        </w:rPr>
        <w:t xml:space="preserve"> </w:t>
      </w:r>
      <w:r>
        <w:t>relative to the “pu” tense of the main bridi.</w:t>
      </w:r>
    </w:p>
    <w:p w:rsidR="00B72047" w:rsidRDefault="00B72047">
      <w:pPr>
        <w:rPr>
          <w:rStyle w:val="htmlparacode"/>
        </w:rPr>
      </w:pPr>
      <w:r>
        <w:rPr>
          <w:rStyle w:val="htmlparacode"/>
        </w:rPr>
        <w:t>&lt;p&gt;</w:t>
      </w:r>
    </w:p>
    <w:p w:rsidR="00B72047" w:rsidRDefault="00B72047">
      <w:pPr>
        <w:pStyle w:val="normalparagraph"/>
      </w:pPr>
      <w:r>
        <w:t>Here is an example involving an abstraction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name=e13d11&gt;</w:t>
      </w:r>
      <w:r>
        <w:t>13.11)</w:t>
      </w:r>
      <w:r>
        <w:tab/>
        <w:t>mi ca jinvi le du'u mi ba morsi</w:t>
      </w:r>
    </w:p>
    <w:p w:rsidR="00B72047" w:rsidRDefault="00B72047">
      <w:pPr>
        <w:pStyle w:val="examplescaled"/>
      </w:pPr>
      <w:r>
        <w:tab/>
        <w:t>I now opine the fact-that I will-be dead.</w:t>
      </w:r>
    </w:p>
    <w:p w:rsidR="00B72047" w:rsidRDefault="00B72047">
      <w:pPr>
        <w:pStyle w:val="examplescaled"/>
      </w:pPr>
      <w:r>
        <w:tab/>
        <w:t>I now believe that I will be dead.</w:t>
      </w:r>
    </w:p>
    <w:p w:rsidR="00B72047" w:rsidRDefault="00B72047">
      <w:pPr>
        <w:pStyle w:val="resumedafterexample"/>
      </w:pPr>
      <w:r>
        <w:rPr>
          <w:rStyle w:val="htmlcodes"/>
        </w:rPr>
        <w:t>&lt;/pre&gt;&lt;p&gt;</w:t>
      </w:r>
      <w:r>
        <w:t>Here the event of being dead is said to be in the future with respect</w:t>
      </w:r>
      <w:r>
        <w:rPr>
          <w:rStyle w:val="deletedparamark"/>
        </w:rPr>
        <w:t xml:space="preserve"> </w:t>
      </w:r>
      <w:r>
        <w:t>to the opinion, which is in the present.</w:t>
      </w:r>
    </w:p>
    <w:p w:rsidR="00B72047" w:rsidRDefault="00B72047">
      <w:pPr>
        <w:rPr>
          <w:rStyle w:val="htmlparacode"/>
        </w:rPr>
      </w:pPr>
      <w:r>
        <w:rPr>
          <w:rStyle w:val="htmlparacode"/>
        </w:rPr>
        <w:t>&lt;p&gt;</w:t>
      </w:r>
    </w:p>
    <w:p w:rsidR="00B72047" w:rsidRDefault="00B72047">
      <w:pPr>
        <w:pStyle w:val="normalparagraph"/>
      </w:pPr>
      <w:r>
        <w:rPr>
          <w:rStyle w:val="indexentry"/>
        </w:rPr>
        <w:t>&lt;cx "sticky tense, canceling"&gt;</w:t>
      </w:r>
      <w:r>
        <w:rPr>
          <w:rStyle w:val="indexentry"/>
        </w:rPr>
        <w:fldChar w:fldCharType="begin"/>
      </w:r>
      <w:r>
        <w:instrText>xe "</w:instrText>
      </w:r>
      <w:r>
        <w:rPr>
          <w:rStyle w:val="xeentry"/>
        </w:rPr>
        <w:instrText>sticky tenses: canceling</w:instrText>
      </w:r>
      <w:r>
        <w:instrText>"</w:instrText>
      </w:r>
      <w:r>
        <w:rPr>
          <w:rStyle w:val="indexentry"/>
        </w:rPr>
        <w:fldChar w:fldCharType="end"/>
      </w:r>
      <w:r>
        <w:rPr>
          <w:rStyle w:val="indexentry"/>
        </w:rPr>
        <w:t>&lt;cx "ki, with no tense"&gt;</w:t>
      </w:r>
      <w:r>
        <w:rPr>
          <w:rStyle w:val="indexentry"/>
        </w:rPr>
        <w:fldChar w:fldCharType="begin"/>
      </w:r>
      <w:r>
        <w:instrText>xe "</w:instrText>
      </w:r>
      <w:r>
        <w:rPr>
          <w:rStyle w:val="xeentry"/>
        </w:rPr>
        <w:instrText>ki: with no tense</w:instrText>
      </w:r>
      <w:r>
        <w:instrText>"</w:instrText>
      </w:r>
      <w:r>
        <w:rPr>
          <w:rStyle w:val="indexentry"/>
        </w:rPr>
        <w:fldChar w:fldCharType="end"/>
      </w:r>
      <w:r>
        <w:t>“ki” may also be used as a tense by itself. This cancels all stickiness</w:t>
      </w:r>
      <w:r>
        <w:rPr>
          <w:rStyle w:val="deletedparamark"/>
        </w:rPr>
        <w:t xml:space="preserve"> </w:t>
      </w:r>
      <w:r>
        <w:t>and re</w:t>
      </w:r>
      <w:r>
        <w:softHyphen/>
        <w:t>turns the bridi and all following bridi to the speaker's location in</w:t>
      </w:r>
      <w:r>
        <w:rPr>
          <w:rStyle w:val="deletedparamark"/>
        </w:rPr>
        <w:t xml:space="preserve"> </w:t>
      </w:r>
      <w:r>
        <w:t>both space and time.</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htmlcodes"/>
        </w:rPr>
        <w:t>&lt;/pre&gt;</w:t>
      </w:r>
      <w:r>
        <w:rPr>
          <w:rStyle w:val="indexentry"/>
        </w:rPr>
        <w:t>&lt;cx "subscript, for sticky tense"&gt;</w:t>
      </w:r>
      <w:r>
        <w:rPr>
          <w:rStyle w:val="indexentry"/>
        </w:rPr>
        <w:fldChar w:fldCharType="begin"/>
      </w:r>
      <w:r>
        <w:instrText>xe "</w:instrText>
      </w:r>
      <w:r>
        <w:rPr>
          <w:rStyle w:val="xeentry"/>
        </w:rPr>
        <w:instrText>subscripts: for sticky tense</w:instrText>
      </w:r>
      <w:r>
        <w:instrText>"</w:instrText>
      </w:r>
      <w:r>
        <w:rPr>
          <w:rStyle w:val="indexentry"/>
        </w:rPr>
        <w:fldChar w:fldCharType="end"/>
      </w:r>
      <w:r>
        <w:rPr>
          <w:rStyle w:val="indexentry"/>
        </w:rPr>
        <w:t>&lt;cx "tense, subscripting"&gt;</w:t>
      </w:r>
      <w:r>
        <w:rPr>
          <w:rStyle w:val="indexentry"/>
        </w:rPr>
        <w:fldChar w:fldCharType="begin"/>
      </w:r>
      <w:r>
        <w:instrText>xe "</w:instrText>
      </w:r>
      <w:r>
        <w:rPr>
          <w:rStyle w:val="xeentry"/>
        </w:rPr>
        <w:instrText>tense: subscripting</w:instrText>
      </w:r>
      <w:r>
        <w:instrText>"</w:instrText>
      </w:r>
      <w:r>
        <w:rPr>
          <w:rStyle w:val="indexentry"/>
        </w:rPr>
        <w:fldChar w:fldCharType="end"/>
      </w:r>
      <w:r>
        <w:rPr>
          <w:rStyle w:val="indexentry"/>
        </w:rPr>
        <w:t>&lt;cx "tense, handling multiple episodes"&gt;</w:t>
      </w:r>
      <w:r>
        <w:rPr>
          <w:rStyle w:val="indexentry"/>
        </w:rPr>
        <w:fldChar w:fldCharType="begin"/>
      </w:r>
      <w:r>
        <w:instrText>xe "</w:instrText>
      </w:r>
      <w:r>
        <w:rPr>
          <w:rStyle w:val="xeentry"/>
        </w:rPr>
        <w:instrText>tense: handling multiple episodes</w:instrText>
      </w:r>
      <w:r>
        <w:instrText>"</w:instrText>
      </w:r>
      <w:r>
        <w:rPr>
          <w:rStyle w:val="indexentry"/>
        </w:rPr>
        <w:fldChar w:fldCharType="end"/>
      </w:r>
      <w:r>
        <w:t>In complex descriptions, multiple tenses may be saved and then used by</w:t>
      </w:r>
      <w:r>
        <w:rPr>
          <w:rStyle w:val="deletedparamark"/>
        </w:rPr>
        <w:t xml:space="preserve"> </w:t>
      </w:r>
      <w:r>
        <w:t>adding a subscript to “ki”. A time made sticky with “kixipa” (ki-sub-1)</w:t>
      </w:r>
      <w:r>
        <w:rPr>
          <w:rStyle w:val="deletedparamark"/>
        </w:rPr>
        <w:t xml:space="preserve"> </w:t>
      </w:r>
      <w:r>
        <w:t>can be returned to by specifying “kixipa” as a tense by itself. In the</w:t>
      </w:r>
      <w:r>
        <w:rPr>
          <w:rStyle w:val="deletedparamark"/>
        </w:rPr>
        <w:t xml:space="preserve"> </w:t>
      </w:r>
      <w:r>
        <w:t>case of written expression, the writer's here-and-now is often different</w:t>
      </w:r>
      <w:r>
        <w:rPr>
          <w:rStyle w:val="deletedparamark"/>
        </w:rPr>
        <w:t xml:space="preserve"> </w:t>
      </w:r>
      <w:r>
        <w:t>from the reader's, and a pair of subscripted “ki” tenses could be used</w:t>
      </w:r>
      <w:r>
        <w:rPr>
          <w:rStyle w:val="deletedparamark"/>
        </w:rPr>
        <w:t xml:space="preserve"> </w:t>
      </w:r>
      <w:r>
        <w:t>to distinguish the two.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343" w:name="_Toc398970588"/>
      <w:r>
        <w:rPr>
          <w:rStyle w:val="Heading3Text"/>
        </w:rPr>
        <w:t>Story time</w:t>
      </w:r>
      <w:bookmarkEnd w:id="34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"story time, definition"&gt;</w:t>
      </w:r>
      <w:r>
        <w:rPr>
          <w:rStyle w:val="indexentry"/>
        </w:rPr>
        <w:fldChar w:fldCharType="begin"/>
      </w:r>
      <w:r>
        <w:instrText>xe "</w:instrText>
      </w:r>
      <w:r>
        <w:rPr>
          <w:rStyle w:val="xeentry"/>
        </w:rPr>
        <w:instrText>story time: definition</w:instrText>
      </w:r>
      <w:r>
        <w:instrText>"</w:instrText>
      </w:r>
      <w:r>
        <w:rPr>
          <w:rStyle w:val="indexentry"/>
        </w:rPr>
        <w:fldChar w:fldCharType="end"/>
      </w:r>
      <w:r>
        <w:rPr>
          <w:rStyle w:val="indexentry"/>
        </w:rPr>
        <w:t>&lt;cx "story time, rationale for"&gt;</w:t>
      </w:r>
      <w:r>
        <w:rPr>
          <w:rStyle w:val="indexentry"/>
        </w:rPr>
        <w:fldChar w:fldCharType="begin"/>
      </w:r>
      <w:r>
        <w:instrText>xe "</w:instrText>
      </w:r>
      <w:r>
        <w:rPr>
          <w:rStyle w:val="xeentry"/>
        </w:rPr>
        <w:instrText>story time: rationale for</w:instrText>
      </w:r>
      <w:r>
        <w:instrText>"</w:instrText>
      </w:r>
      <w:r>
        <w:rPr>
          <w:rStyle w:val="indexentry"/>
        </w:rPr>
        <w:fldChar w:fldCharType="end"/>
      </w:r>
      <w:r>
        <w:rPr>
          <w:rStyle w:val="indexentry"/>
        </w:rPr>
        <w:t>&lt;cx "stories, flow of time in"&gt;</w:t>
      </w:r>
      <w:r>
        <w:rPr>
          <w:rStyle w:val="indexentry"/>
        </w:rPr>
        <w:fldChar w:fldCharType="begin"/>
      </w:r>
      <w:r>
        <w:instrText>xe "</w:instrText>
      </w:r>
      <w:r>
        <w:rPr>
          <w:rStyle w:val="xeentry"/>
        </w:rPr>
        <w:instrText>stories: flow of time in</w:instrText>
      </w:r>
      <w:r>
        <w:instrText>"</w:instrText>
      </w:r>
      <w:r>
        <w:rPr>
          <w:rStyle w:val="indexentry"/>
        </w:rPr>
        <w:fldChar w:fldCharType="end"/>
      </w:r>
      <w:r>
        <w:t xml:space="preserve">Making strict use of the conventions explained in </w:t>
      </w:r>
      <w:r>
        <w:rPr>
          <w:rStyle w:val="htmlcodes"/>
        </w:rPr>
        <w:t>&lt;a href=#s13&gt;</w:t>
      </w:r>
      <w:r>
        <w:t xml:space="preserve">Section 13 </w:t>
      </w:r>
      <w:r>
        <w:rPr>
          <w:rStyle w:val="htmlcodes"/>
        </w:rPr>
        <w:t>&lt;/a&gt;</w:t>
      </w:r>
      <w:r>
        <w:t>would be</w:t>
      </w:r>
      <w:r>
        <w:rPr>
          <w:rStyle w:val="deletedparamark"/>
        </w:rPr>
        <w:t xml:space="preserve"> </w:t>
      </w:r>
      <w:r>
        <w:t>intol</w:t>
      </w:r>
      <w:r>
        <w:softHyphen/>
        <w:t>erably awkward when a story is being told. The time at which a story is</w:t>
      </w:r>
      <w:r>
        <w:rPr>
          <w:rStyle w:val="deletedparamark"/>
        </w:rPr>
        <w:t xml:space="preserve"> </w:t>
      </w:r>
      <w:r>
        <w:t>told by the nar</w:t>
      </w:r>
      <w:r>
        <w:softHyphen/>
        <w:t>rator is usually unimportant to the story. What matters</w:t>
      </w:r>
      <w:r>
        <w:rPr>
          <w:rStyle w:val="deletedparamark"/>
        </w:rPr>
        <w:t xml:space="preserve"> </w:t>
      </w:r>
      <w:r>
        <w:t>is the flow of time within the story itself. The term “story” in this section</w:t>
      </w:r>
      <w:r>
        <w:rPr>
          <w:rStyle w:val="deletedparamark"/>
        </w:rPr>
        <w:t xml:space="preserve"> </w:t>
      </w:r>
      <w:r>
        <w:t>refers to any series of statements related in more-or-less time-sequential</w:t>
      </w:r>
      <w:r>
        <w:rPr>
          <w:rStyle w:val="deletedparamark"/>
        </w:rPr>
        <w:t xml:space="preserve"> </w:t>
      </w:r>
      <w:r>
        <w:t>order, not just a fictional one.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"story time, as a convention for inferring tense"&gt;</w:t>
      </w:r>
      <w:r>
        <w:rPr>
          <w:rStyle w:val="indexentry"/>
        </w:rPr>
        <w:fldChar w:fldCharType="begin"/>
      </w:r>
      <w:r>
        <w:instrText>xe "</w:instrText>
      </w:r>
      <w:r>
        <w:rPr>
          <w:rStyle w:val="xeentry"/>
        </w:rPr>
        <w:instrText>story time: as a convention for inferring tense</w:instrText>
      </w:r>
      <w:r>
        <w:instrText>"</w:instrText>
      </w:r>
      <w:r>
        <w:rPr>
          <w:rStyle w:val="indexentry"/>
        </w:rPr>
        <w:fldChar w:fldCharType="end"/>
      </w:r>
      <w:r>
        <w:rPr>
          <w:rStyle w:val="indexentry"/>
        </w:rPr>
        <w:t>&lt;cx "tenseless sentences in story time"&gt;</w:t>
      </w:r>
      <w:r>
        <w:rPr>
          <w:rStyle w:val="indexentry"/>
        </w:rPr>
        <w:fldChar w:fldCharType="begin"/>
      </w:r>
      <w:r>
        <w:instrText>xe "</w:instrText>
      </w:r>
      <w:r>
        <w:rPr>
          <w:rStyle w:val="xeentry"/>
        </w:rPr>
        <w:instrText>tenseless sentences in story time</w:instrText>
      </w:r>
      <w:r>
        <w:instrText>"</w:instrText>
      </w:r>
      <w:r>
        <w:rPr>
          <w:rStyle w:val="indexentry"/>
        </w:rPr>
        <w:fldChar w:fldCharType="end"/>
      </w:r>
      <w:r>
        <w:rPr>
          <w:rStyle w:val="indexentry"/>
        </w:rPr>
        <w:t>&lt;cx "story time, tenseless sentences in"&gt;</w:t>
      </w:r>
      <w:r>
        <w:rPr>
          <w:rStyle w:val="indexentry"/>
        </w:rPr>
        <w:fldChar w:fldCharType="begin"/>
      </w:r>
      <w:r>
        <w:instrText>xe "</w:instrText>
      </w:r>
      <w:r>
        <w:rPr>
          <w:rStyle w:val="xeentry"/>
        </w:rPr>
        <w:instrText>story time: tenseless sentences in</w:instrText>
      </w:r>
      <w:r>
        <w:instrText>"</w:instrText>
      </w:r>
      <w:r>
        <w:rPr>
          <w:rStyle w:val="indexentry"/>
        </w:rPr>
        <w:fldChar w:fldCharType="end"/>
      </w:r>
      <w:r>
        <w:t>Lojban speakers use a different set of conventions, com</w:t>
      </w:r>
      <w:r>
        <w:softHyphen/>
        <w:t>monly called “story</w:t>
      </w:r>
      <w:r>
        <w:rPr>
          <w:rStyle w:val="deletedparamark"/>
        </w:rPr>
        <w:t xml:space="preserve"> </w:t>
      </w:r>
      <w:r>
        <w:t>time”, for inferring tense within a story. It is pre</w:t>
      </w:r>
      <w:r>
        <w:softHyphen/>
        <w:t>sumed that the event</w:t>
      </w:r>
      <w:r>
        <w:rPr>
          <w:rStyle w:val="deletedparamark"/>
        </w:rPr>
        <w:t xml:space="preserve"> </w:t>
      </w:r>
      <w:r>
        <w:t>described by each sentence takes place some time more or less</w:t>
      </w:r>
      <w:r>
        <w:rPr>
          <w:rStyle w:val="deletedparamark"/>
        </w:rPr>
        <w:t xml:space="preserve"> </w:t>
      </w:r>
      <w:r>
        <w:t>after the previous ones. Therefore, tense</w:t>
      </w:r>
      <w:r>
        <w:softHyphen/>
        <w:t>less sen</w:t>
      </w:r>
      <w:r>
        <w:softHyphen/>
        <w:t>tences are implicitly</w:t>
      </w:r>
      <w:r>
        <w:rPr>
          <w:rStyle w:val="deletedparamark"/>
        </w:rPr>
        <w:t xml:space="preserve"> </w:t>
      </w:r>
      <w:r>
        <w:t>tensed as “what happens next”. In particular, any sticky time setting</w:t>
      </w:r>
      <w:r>
        <w:rPr>
          <w:rStyle w:val="deletedparamark"/>
        </w:rPr>
        <w:t xml:space="preserve"> </w:t>
      </w:r>
      <w:r>
        <w:t>is a</w:t>
      </w:r>
      <w:r>
        <w:t>d</w:t>
      </w:r>
      <w:r>
        <w:softHyphen/>
        <w:t>vanced by each sentence.</w:t>
      </w:r>
    </w:p>
    <w:p w:rsidR="00B72047" w:rsidRDefault="00B72047">
      <w:pPr>
        <w:pStyle w:val="normalparagraph"/>
        <w:rPr>
          <w:rStyle w:val="htmlparacode"/>
        </w:rPr>
      </w:pPr>
      <w:r>
        <w:rPr>
          <w:rStyle w:val="htmlparacode"/>
        </w:rPr>
        <w:t>&lt;p&gt;</w:t>
      </w:r>
    </w:p>
    <w:p w:rsidR="00B72047" w:rsidRDefault="00B72047">
      <w:pPr>
        <w:pStyle w:val="normalparagraph"/>
      </w:pPr>
      <w:r>
        <w:t>The following mini-story illustrates the important features of story time.</w:t>
      </w:r>
      <w:r>
        <w:rPr>
          <w:rStyle w:val="deletedparamark"/>
        </w:rPr>
        <w:t xml:space="preserve"> </w:t>
      </w:r>
      <w:r>
        <w:t>A se</w:t>
      </w:r>
      <w:r>
        <w:t>n</w:t>
      </w:r>
      <w:r>
        <w:t>tence-by-sentence explication follows:</w:t>
      </w:r>
    </w:p>
    <w:p w:rsidR="00B72047" w:rsidRDefault="00B72047">
      <w:pPr>
        <w:rPr>
          <w:rStyle w:val="htmlparacode"/>
        </w:rPr>
      </w:pPr>
      <w:r>
        <w:rPr>
          <w:rStyle w:val="htmlparacode"/>
        </w:rPr>
        <w:t>&lt;p&gt;</w:t>
      </w:r>
    </w:p>
    <w:p w:rsidR="00B72047" w:rsidRDefault="00B72047">
      <w:pPr>
        <w:pStyle w:val="examplescaledpre"/>
      </w:pPr>
      <w:r>
        <w:rPr>
          <w:rStyle w:val="indexentry"/>
        </w:rPr>
        <w:t>&lt;ex "cave"&gt;</w:t>
      </w:r>
      <w:r>
        <w:rPr>
          <w:rStyle w:val="indexentry"/>
        </w:rPr>
        <w:fldChar w:fldCharType="begin"/>
      </w:r>
      <w:r>
        <w:instrText>xe "</w:instrText>
      </w:r>
      <w:r>
        <w:rPr>
          <w:rStyle w:val="xeentry"/>
        </w:rPr>
        <w:instrText>cave: example</w:instrText>
      </w:r>
      <w:r>
        <w:instrText>"</w:instrText>
      </w:r>
      <w:r>
        <w:rPr>
          <w:rStyle w:val="indexentry"/>
        </w:rPr>
        <w:fldChar w:fldCharType="end"/>
      </w:r>
      <w:r>
        <w:rPr>
          <w:rStyle w:val="htmlcodes"/>
        </w:rPr>
        <w:t>&lt;pre&gt;&lt;a name=e14d1&gt;</w:t>
      </w:r>
      <w:r>
        <w:t>14.1)</w:t>
      </w:r>
      <w:r>
        <w:tab/>
        <w:t>puzuki ku ne'iki le kevna</w:t>
      </w:r>
    </w:p>
    <w:p w:rsidR="00B72047" w:rsidRDefault="00B72047">
      <w:pPr>
        <w:pStyle w:val="examplescaled"/>
      </w:pPr>
      <w:r>
        <w:tab/>
      </w:r>
      <w:r>
        <w:tab/>
        <w:t>le ninmu goi ko'a zutse le rokci</w:t>
      </w:r>
    </w:p>
    <w:p w:rsidR="00B72047" w:rsidRDefault="00B72047">
      <w:pPr>
        <w:pStyle w:val="examplescaled"/>
      </w:pPr>
      <w:r>
        <w:tab/>
        <w:t>[past] [long] [sticky] [,] [inside] [sticky] the cave,</w:t>
      </w:r>
    </w:p>
    <w:p w:rsidR="00B72047" w:rsidRDefault="00B72047">
      <w:pPr>
        <w:pStyle w:val="examplescaled"/>
      </w:pPr>
      <w:r>
        <w:tab/>
      </w:r>
      <w:r>
        <w:tab/>
        <w:t>the woman defined-as she-1 sat-on the rock</w:t>
      </w:r>
    </w:p>
    <w:p w:rsidR="00B72047" w:rsidRDefault="00B72047">
      <w:pPr>
        <w:pStyle w:val="examplescaled"/>
      </w:pPr>
      <w:r>
        <w:tab/>
        <w:t>Long ago, in a cave, a woman sat on a rock.</w:t>
      </w:r>
    </w:p>
    <w:p w:rsidR="00B72047" w:rsidRDefault="00B72047">
      <w:pPr>
        <w:pStyle w:val="examplescaledpre"/>
      </w:pPr>
      <w:r>
        <w:rPr>
          <w:rStyle w:val="htmlcodes"/>
        </w:rPr>
        <w:t>&lt;a name=e14d2&gt;</w:t>
      </w:r>
      <w:r>
        <w:t>14.2)</w:t>
      </w:r>
      <w:r>
        <w:tab/>
        <w:t>.i ko'a citka loi kanba rectu</w:t>
      </w:r>
    </w:p>
    <w:p w:rsidR="00B72047" w:rsidRDefault="00B72047">
      <w:pPr>
        <w:pStyle w:val="examplescaled"/>
      </w:pPr>
      <w:r>
        <w:tab/>
        <w:t>She-1 [tenseless] eat some-of-the-mass-of goat flesh.</w:t>
      </w:r>
    </w:p>
    <w:p w:rsidR="00B72047" w:rsidRDefault="00B72047">
      <w:pPr>
        <w:pStyle w:val="examplescaled"/>
      </w:pPr>
      <w:r>
        <w:tab/>
        <w:t>She was eating goat's meat.</w:t>
      </w:r>
    </w:p>
    <w:p w:rsidR="00B72047" w:rsidRDefault="00B72047">
      <w:pPr>
        <w:pStyle w:val="examplescaledpre"/>
      </w:pPr>
      <w:r>
        <w:rPr>
          <w:rStyle w:val="htmlcodes"/>
        </w:rPr>
        <w:t>&lt;a name=e14d3&gt;</w:t>
      </w:r>
      <w:r>
        <w:t>14.3)</w:t>
      </w:r>
      <w:r>
        <w:tab/>
        <w:t>.i ko'a pu jukpa ri le mudyfagri</w:t>
      </w:r>
    </w:p>
    <w:p w:rsidR="00B72047" w:rsidRDefault="00B72047">
      <w:pPr>
        <w:pStyle w:val="examplescaled"/>
      </w:pPr>
      <w:r>
        <w:tab/>
        <w:t>She [past] cook the-last-mentioned by-method the wood-fire.</w:t>
      </w:r>
    </w:p>
    <w:p w:rsidR="00B72047" w:rsidRDefault="00B72047">
      <w:pPr>
        <w:pStyle w:val="examplescaled"/>
      </w:pPr>
      <w:r>
        <w:tab/>
        <w:t>She had cooked the meat over a wood fire.</w:t>
      </w:r>
    </w:p>
    <w:p w:rsidR="00B72047" w:rsidRDefault="00B72047">
      <w:pPr>
        <w:pStyle w:val="examplescaledpre"/>
      </w:pPr>
      <w:r>
        <w:rPr>
          <w:rStyle w:val="htmlcodes"/>
        </w:rPr>
        <w:t>&lt;a name=e14d4&gt;</w:t>
      </w:r>
      <w:r>
        <w:t>14.4)</w:t>
      </w:r>
      <w:r>
        <w:tab/>
        <w:t>.i lei rectu cu zanglare</w:t>
      </w:r>
    </w:p>
    <w:p w:rsidR="00B72047" w:rsidRDefault="00B72047">
      <w:pPr>
        <w:pStyle w:val="examplescaled"/>
      </w:pPr>
      <w:r>
        <w:tab/>
        <w:t>The-mass-of flesh is-(favorable)-warm.</w:t>
      </w:r>
    </w:p>
    <w:p w:rsidR="00B72047" w:rsidRDefault="00B72047">
      <w:pPr>
        <w:pStyle w:val="examplescaled"/>
      </w:pPr>
      <w:r>
        <w:tab/>
        <w:t>The meat was pleasantly warm.</w:t>
      </w:r>
    </w:p>
    <w:p w:rsidR="00B72047" w:rsidRDefault="00B72047">
      <w:pPr>
        <w:pStyle w:val="examplescaledpre"/>
      </w:pPr>
      <w:r>
        <w:rPr>
          <w:rStyle w:val="htmlcodes"/>
        </w:rPr>
        <w:t>&lt;a name=e14d5&gt;</w:t>
      </w:r>
      <w:r>
        <w:t>14.5)</w:t>
      </w:r>
      <w:r>
        <w:tab/>
        <w:t>.i le labno goi ko'e bazaki nenri klama le kevna</w:t>
      </w:r>
    </w:p>
    <w:p w:rsidR="00B72047" w:rsidRDefault="00B72047">
      <w:pPr>
        <w:pStyle w:val="examplescaled"/>
      </w:pPr>
      <w:r>
        <w:tab/>
        <w:t>The wolf defined-as it-2 [future] [medium] [sticky] within-came to-the cave.</w:t>
      </w:r>
    </w:p>
    <w:p w:rsidR="00B72047" w:rsidRDefault="00B72047">
      <w:pPr>
        <w:pStyle w:val="examplescaled"/>
      </w:pPr>
      <w:r>
        <w:tab/>
        <w:t>A while later, a wolf came into the cave.</w:t>
      </w:r>
    </w:p>
    <w:p w:rsidR="00B72047" w:rsidRDefault="00B72047">
      <w:pPr>
        <w:pStyle w:val="examplescaledpre"/>
      </w:pPr>
      <w:r>
        <w:rPr>
          <w:rStyle w:val="htmlcodes"/>
        </w:rPr>
        <w:t>&lt;a name=e14d6&gt;</w:t>
      </w:r>
      <w:r>
        <w:t>14.6)</w:t>
      </w:r>
      <w:r>
        <w:tab/>
        <w:t>.i ko'e lebna lei rectu ko'a</w:t>
      </w:r>
    </w:p>
    <w:p w:rsidR="00B72047" w:rsidRDefault="00B72047">
      <w:pPr>
        <w:pStyle w:val="examplescaled"/>
      </w:pPr>
      <w:r>
        <w:tab/>
        <w:t>It-2 [tenseless] takes the-mass-of flesh from-her-1.</w:t>
      </w:r>
    </w:p>
    <w:p w:rsidR="00B72047" w:rsidRDefault="00B72047">
      <w:pPr>
        <w:pStyle w:val="examplescaled"/>
      </w:pPr>
      <w:r>
        <w:tab/>
        <w:t>It took the meat from her.</w:t>
      </w:r>
    </w:p>
    <w:p w:rsidR="00B72047" w:rsidRDefault="00B72047">
      <w:pPr>
        <w:pStyle w:val="examplescaledpre"/>
      </w:pPr>
      <w:r>
        <w:rPr>
          <w:rStyle w:val="htmlcodes"/>
        </w:rPr>
        <w:t>&lt;a name=e14d7&gt;</w:t>
      </w:r>
      <w:r>
        <w:t>14.7)</w:t>
      </w:r>
      <w:r>
        <w:tab/>
        <w:t>.i ko'e bartu klama</w:t>
      </w:r>
    </w:p>
    <w:p w:rsidR="00B72047" w:rsidRDefault="00B72047">
      <w:pPr>
        <w:pStyle w:val="examplescaled"/>
        <w:ind w:firstLine="0"/>
      </w:pPr>
      <w:r>
        <w:t>It-2 out ran</w:t>
      </w:r>
    </w:p>
    <w:p w:rsidR="00B72047" w:rsidRDefault="00B72047">
      <w:pPr>
        <w:pStyle w:val="examplescaled"/>
      </w:pPr>
      <w:r>
        <w:tab/>
        <w:t>It ran out.</w:t>
      </w:r>
    </w:p>
    <w:p w:rsidR="00B72047" w:rsidRDefault="00B72047">
      <w:pPr>
        <w:pStyle w:val="normalafterexample"/>
      </w:pPr>
      <w:r>
        <w:rPr>
          <w:rStyle w:val="htmlcodes"/>
        </w:rPr>
        <w:t>&lt;/pre&gt;</w:t>
      </w:r>
      <w:r>
        <w:rPr>
          <w:rStyle w:val="indexentry"/>
        </w:rPr>
        <w:t>&lt;cx "story tense, Lojban convention contrasted with English convention"&gt;</w:t>
      </w:r>
      <w:r>
        <w:rPr>
          <w:rStyle w:val="indexentry"/>
        </w:rPr>
        <w:fldChar w:fldCharType="begin"/>
      </w:r>
      <w:r>
        <w:instrText>xe "</w:instrText>
      </w:r>
      <w:r>
        <w:rPr>
          <w:rStyle w:val="xeentry"/>
        </w:rPr>
        <w:instrText>story tense: Lojban convention contrasted with English convention</w:instrText>
      </w:r>
      <w:r>
        <w:instrText>"</w:instrText>
      </w:r>
      <w:r>
        <w:rPr>
          <w:rStyle w:val="indexentry"/>
        </w:rPr>
        <w:fldChar w:fldCharType="end"/>
      </w:r>
      <w:r>
        <w:rPr>
          <w:rStyle w:val="htmlcodes"/>
        </w:rPr>
        <w:t>&lt;a href=#e14d1&gt;</w:t>
      </w:r>
      <w:r>
        <w:t xml:space="preserve">Example 14.1 </w:t>
      </w:r>
      <w:r>
        <w:rPr>
          <w:rStyle w:val="htmlcodes"/>
        </w:rPr>
        <w:t>&lt;/a&gt;</w:t>
      </w:r>
      <w:r>
        <w:t>sets both the time (long ago) and the place (in a cave) using</w:t>
      </w:r>
      <w:r>
        <w:rPr>
          <w:rStyle w:val="deletedparamark"/>
        </w:rPr>
        <w:t xml:space="preserve"> “</w:t>
      </w:r>
      <w:r>
        <w:t xml:space="preserve">ki”, just like the sentence sequences in </w:t>
      </w:r>
      <w:r>
        <w:rPr>
          <w:rStyle w:val="htmlcodes"/>
        </w:rPr>
        <w:t>&lt;a href=#s13&gt;</w:t>
      </w:r>
      <w:r>
        <w:t>Section 13</w:t>
      </w:r>
      <w:r>
        <w:rPr>
          <w:rStyle w:val="htmlcodes"/>
        </w:rPr>
        <w:t>&lt;/a&gt;</w:t>
      </w:r>
      <w:r>
        <w:t>. No further space</w:t>
      </w:r>
      <w:r>
        <w:rPr>
          <w:rStyle w:val="deletedparamark"/>
        </w:rPr>
        <w:t xml:space="preserve"> </w:t>
      </w:r>
      <w:r>
        <w:t>cmavo are used in the rest of the story, so the place is assumed to remain</w:t>
      </w:r>
      <w:r>
        <w:rPr>
          <w:rStyle w:val="deletedparamark"/>
        </w:rPr>
        <w:t xml:space="preserve"> </w:t>
      </w:r>
      <w:r>
        <w:t>unchanged. The English transla</w:t>
      </w:r>
      <w:r>
        <w:softHyphen/>
        <w:t xml:space="preserve">tion of </w:t>
      </w:r>
      <w:r>
        <w:rPr>
          <w:rStyle w:val="htmlcodes"/>
        </w:rPr>
        <w:t>&lt;a href=#e14d1&gt;</w:t>
      </w:r>
      <w:r>
        <w:t>Exa</w:t>
      </w:r>
      <w:r>
        <w:t>m</w:t>
      </w:r>
      <w:r>
        <w:softHyphen/>
        <w:t xml:space="preserve">ple 14.1 </w:t>
      </w:r>
      <w:r>
        <w:rPr>
          <w:rStyle w:val="htmlcodes"/>
        </w:rPr>
        <w:t>&lt;/a&gt;</w:t>
      </w:r>
      <w:r>
        <w:t>is marked for past tense</w:t>
      </w:r>
      <w:r>
        <w:rPr>
          <w:rStyle w:val="deletedparamark"/>
        </w:rPr>
        <w:t xml:space="preserve"> </w:t>
      </w:r>
      <w:r>
        <w:t>also, as the conventions of English sto</w:t>
      </w:r>
      <w:r>
        <w:softHyphen/>
        <w:t>rytelling require: consequently, all</w:t>
      </w:r>
      <w:r>
        <w:rPr>
          <w:rStyle w:val="deletedparamark"/>
        </w:rPr>
        <w:t xml:space="preserve"> </w:t>
      </w:r>
      <w:r>
        <w:t>other English translation sentences are also in the past tense. (We don't</w:t>
      </w:r>
      <w:r>
        <w:rPr>
          <w:rStyle w:val="deletedparamark"/>
        </w:rPr>
        <w:t xml:space="preserve"> </w:t>
      </w:r>
      <w:r>
        <w:t>notice how strange this is; even stories about the future are written in past</w:t>
      </w:r>
      <w:r>
        <w:rPr>
          <w:rStyle w:val="deletedparamark"/>
        </w:rPr>
        <w:t xml:space="preserve"> </w:t>
      </w:r>
      <w:r>
        <w:t>tense!) This conventional use of past tense is not used in Lojban narratives.</w:t>
      </w:r>
    </w:p>
    <w:p w:rsidR="00B72047" w:rsidRDefault="00B72047">
      <w:pPr>
        <w:rPr>
          <w:rStyle w:val="htmlparacode"/>
        </w:rPr>
      </w:pPr>
      <w:r>
        <w:rPr>
          <w:rStyle w:val="htmlparacode"/>
        </w:rPr>
        <w:t>&lt;p&gt;</w:t>
      </w:r>
    </w:p>
    <w:p w:rsidR="00B72047" w:rsidRDefault="00B72047">
      <w:pPr>
        <w:pStyle w:val="normalparagraph"/>
      </w:pPr>
      <w:r>
        <w:rPr>
          <w:rStyle w:val="htmlcodes"/>
        </w:rPr>
        <w:t>&lt;a href=#e14d2&gt;</w:t>
      </w:r>
      <w:r>
        <w:t xml:space="preserve">Example 14.2 </w:t>
      </w:r>
      <w:r>
        <w:rPr>
          <w:rStyle w:val="htmlcodes"/>
        </w:rPr>
        <w:t>&lt;/a&gt;</w:t>
      </w:r>
      <w:r>
        <w:t>is tenseless. Outside story time, it would be assumed that</w:t>
      </w:r>
      <w:r>
        <w:rPr>
          <w:rStyle w:val="deletedparamark"/>
        </w:rPr>
        <w:t xml:space="preserve"> </w:t>
      </w:r>
      <w:r>
        <w:t xml:space="preserve">its event happens simultaneously with that of </w:t>
      </w:r>
      <w:r>
        <w:rPr>
          <w:rStyle w:val="htmlcodes"/>
        </w:rPr>
        <w:t>&lt;a href=#e14d1&gt;</w:t>
      </w:r>
      <w:r>
        <w:t>Example 14.1</w:t>
      </w:r>
      <w:r>
        <w:rPr>
          <w:rStyle w:val="htmlcodes"/>
        </w:rPr>
        <w:t>&lt;/a&gt;</w:t>
      </w:r>
      <w:r>
        <w:t>, since a sticky</w:t>
      </w:r>
      <w:r>
        <w:rPr>
          <w:rStyle w:val="deletedparamark"/>
        </w:rPr>
        <w:t xml:space="preserve"> </w:t>
      </w:r>
      <w:r>
        <w:t>tense is in ef</w:t>
      </w:r>
      <w:r>
        <w:softHyphen/>
        <w:t>fect; the rules of story time, however, imply that the event</w:t>
      </w:r>
      <w:r>
        <w:rPr>
          <w:rStyle w:val="deletedparamark"/>
        </w:rPr>
        <w:t xml:space="preserve"> </w:t>
      </w:r>
      <w:r>
        <w:t>occurs afterwards, and that the story time has advanced (changing the</w:t>
      </w:r>
      <w:r>
        <w:rPr>
          <w:rStyle w:val="deletedparamark"/>
        </w:rPr>
        <w:t xml:space="preserve"> </w:t>
      </w:r>
      <w:r>
        <w:t xml:space="preserve">sticky time set in </w:t>
      </w:r>
      <w:r>
        <w:rPr>
          <w:rStyle w:val="htmlcodes"/>
        </w:rPr>
        <w:t>&lt;a href=#e14d1&gt;</w:t>
      </w:r>
      <w:r>
        <w:t>Example 14.1</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href=#e14d3&gt;</w:t>
      </w:r>
      <w:r>
        <w:t xml:space="preserve">Example 14.3 </w:t>
      </w:r>
      <w:r>
        <w:rPr>
          <w:rStyle w:val="htmlcodes"/>
        </w:rPr>
        <w:t>&lt;/a&gt;</w:t>
      </w:r>
      <w:r>
        <w:t>has an explicit tense. This is taken relative to the latest</w:t>
      </w:r>
      <w:r>
        <w:rPr>
          <w:rStyle w:val="deletedparamark"/>
        </w:rPr>
        <w:t xml:space="preserve"> </w:t>
      </w:r>
      <w:r>
        <w:t xml:space="preserve">setting of the sticky time; therefore, the event of </w:t>
      </w:r>
      <w:r>
        <w:rPr>
          <w:rStyle w:val="htmlcodes"/>
        </w:rPr>
        <w:t>&lt;a href=#e14d3&gt;</w:t>
      </w:r>
      <w:r>
        <w:t xml:space="preserve">Example 14.3 </w:t>
      </w:r>
      <w:r>
        <w:rPr>
          <w:rStyle w:val="htmlcodes"/>
        </w:rPr>
        <w:t>&lt;/a&gt;</w:t>
      </w:r>
      <w:r>
        <w:t>happens</w:t>
      </w:r>
      <w:r>
        <w:rPr>
          <w:rStyle w:val="deletedparamark"/>
        </w:rPr>
        <w:t xml:space="preserve"> </w:t>
      </w:r>
      <w:r>
        <w:t xml:space="preserve">before that of </w:t>
      </w:r>
      <w:r>
        <w:rPr>
          <w:rStyle w:val="htmlcodes"/>
        </w:rPr>
        <w:t>&lt;a href=#e14d2&gt;</w:t>
      </w:r>
      <w:r>
        <w:t>Example 14.2</w:t>
      </w:r>
      <w:r>
        <w:rPr>
          <w:rStyle w:val="htmlcodes"/>
        </w:rPr>
        <w:t>&lt;/a&gt;</w:t>
      </w:r>
      <w:r>
        <w:t xml:space="preserve">. It cannot be determined if </w:t>
      </w:r>
      <w:r>
        <w:rPr>
          <w:rStyle w:val="htmlcodes"/>
        </w:rPr>
        <w:t>&lt;a href=#e14d3&gt;</w:t>
      </w:r>
      <w:r>
        <w:t xml:space="preserve">Example 14.3 </w:t>
      </w:r>
      <w:r>
        <w:rPr>
          <w:rStyle w:val="htmlcodes"/>
        </w:rPr>
        <w:t>&lt;/a&gt;</w:t>
      </w:r>
      <w:r>
        <w:t>happens</w:t>
      </w:r>
      <w:r>
        <w:rPr>
          <w:rStyle w:val="deletedparamark"/>
        </w:rPr>
        <w:t xml:space="preserve"> </w:t>
      </w:r>
      <w:r>
        <w:t xml:space="preserve">before or after </w:t>
      </w:r>
      <w:r>
        <w:rPr>
          <w:rStyle w:val="htmlcodes"/>
        </w:rPr>
        <w:t>&lt;a href=#e14d1&gt;</w:t>
      </w:r>
      <w:r>
        <w:t>Example 14.1</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"flashbacks in story time"&gt;</w:t>
      </w:r>
      <w:r>
        <w:rPr>
          <w:rStyle w:val="indexentry"/>
        </w:rPr>
        <w:fldChar w:fldCharType="begin"/>
      </w:r>
      <w:r>
        <w:instrText>xe "</w:instrText>
      </w:r>
      <w:r>
        <w:rPr>
          <w:rStyle w:val="xeentry"/>
        </w:rPr>
        <w:instrText>flashbacks in story time: example</w:instrText>
      </w:r>
      <w:r>
        <w:instrText>"</w:instrText>
      </w:r>
      <w:r>
        <w:rPr>
          <w:rStyle w:val="indexentry"/>
        </w:rPr>
        <w:fldChar w:fldCharType="end"/>
      </w:r>
      <w:r>
        <w:rPr>
          <w:rStyle w:val="htmlcodes"/>
        </w:rPr>
        <w:t>&lt;a href=#e14d4&gt;</w:t>
      </w:r>
      <w:r>
        <w:t xml:space="preserve">Example 14.4 </w:t>
      </w:r>
      <w:r>
        <w:rPr>
          <w:rStyle w:val="htmlcodes"/>
        </w:rPr>
        <w:t>&lt;/a&gt;</w:t>
      </w:r>
      <w:r>
        <w:t>is again tenseless. Story time was not changed by the flashback</w:t>
      </w:r>
      <w:r>
        <w:rPr>
          <w:rStyle w:val="deletedparamark"/>
        </w:rPr>
        <w:t xml:space="preserve"> </w:t>
      </w:r>
      <w:r>
        <w:t xml:space="preserve">in </w:t>
      </w:r>
      <w:r>
        <w:rPr>
          <w:rStyle w:val="htmlcodes"/>
        </w:rPr>
        <w:t>&lt;a href=#e14d3&gt;</w:t>
      </w:r>
      <w:r>
        <w:t>E</w:t>
      </w:r>
      <w:r>
        <w:t>x</w:t>
      </w:r>
      <w:r>
        <w:softHyphen/>
        <w:t>ample 14.3</w:t>
      </w:r>
      <w:r>
        <w:rPr>
          <w:rStyle w:val="htmlcodes"/>
        </w:rPr>
        <w:t>&lt;/a&gt;</w:t>
      </w:r>
      <w:r>
        <w:t xml:space="preserve">, so </w:t>
      </w:r>
      <w:r>
        <w:rPr>
          <w:rStyle w:val="htmlcodes"/>
        </w:rPr>
        <w:t>&lt;a href=#e14d4&gt;</w:t>
      </w:r>
      <w:r>
        <w:t xml:space="preserve">Example 14.4 </w:t>
      </w:r>
      <w:r>
        <w:rPr>
          <w:rStyle w:val="htmlcodes"/>
        </w:rPr>
        <w:t>&lt;/a&gt;</w:t>
      </w:r>
      <w:r>
        <w:t xml:space="preserve">happens after </w:t>
      </w:r>
      <w:r>
        <w:rPr>
          <w:rStyle w:val="htmlcodes"/>
        </w:rPr>
        <w:t>&lt;a href=#e14d2&gt;</w:t>
      </w:r>
      <w:r>
        <w:t>Example 14.2</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href=#e14d5&gt;</w:t>
      </w:r>
      <w:r>
        <w:t xml:space="preserve">Example 14.5 </w:t>
      </w:r>
      <w:r>
        <w:rPr>
          <w:rStyle w:val="htmlcodes"/>
        </w:rPr>
        <w:t>&lt;/a&gt;</w:t>
      </w:r>
      <w:r>
        <w:t xml:space="preserve">specifies the future (relative to </w:t>
      </w:r>
      <w:r>
        <w:rPr>
          <w:rStyle w:val="htmlcodes"/>
        </w:rPr>
        <w:t>&lt;a href=#e14d4&gt;</w:t>
      </w:r>
      <w:r>
        <w:t>Example 14.4</w:t>
      </w:r>
      <w:r>
        <w:rPr>
          <w:rStyle w:val="htmlcodes"/>
        </w:rPr>
        <w:t>&lt;/a&gt;</w:t>
      </w:r>
      <w:r>
        <w:t>) and makes</w:t>
      </w:r>
      <w:r>
        <w:rPr>
          <w:rStyle w:val="deletedparamark"/>
        </w:rPr>
        <w:t xml:space="preserve"> </w:t>
      </w:r>
      <w:r>
        <w:t xml:space="preserve">it sticky. So all further events happen after </w:t>
      </w:r>
      <w:r>
        <w:rPr>
          <w:rStyle w:val="htmlcodes"/>
        </w:rPr>
        <w:t>&lt;a href=#e14d5&gt;</w:t>
      </w:r>
      <w:r>
        <w:t>Example 14.5</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href=#e14d6&gt;</w:t>
      </w:r>
      <w:r>
        <w:t xml:space="preserve">Example 14.6 </w:t>
      </w:r>
      <w:r>
        <w:rPr>
          <w:rStyle w:val="htmlcodes"/>
        </w:rPr>
        <w:t>&lt;/a&gt;</w:t>
      </w:r>
      <w:r>
        <w:t xml:space="preserve">and </w:t>
      </w:r>
      <w:r>
        <w:rPr>
          <w:rStyle w:val="htmlcodes"/>
        </w:rPr>
        <w:t>&lt;a href=#e14d7&gt;</w:t>
      </w:r>
      <w:r>
        <w:t xml:space="preserve">Example 14.7 </w:t>
      </w:r>
      <w:r>
        <w:rPr>
          <w:rStyle w:val="htmlcodes"/>
        </w:rPr>
        <w:t>&lt;/a&gt;</w:t>
      </w:r>
      <w:r>
        <w:t>are again tenseless, and so happen after</w:t>
      </w:r>
      <w:r>
        <w:rPr>
          <w:rStyle w:val="deletedparamark"/>
        </w:rPr>
        <w:t xml:space="preserve"> </w:t>
      </w:r>
      <w:r>
        <w:rPr>
          <w:rStyle w:val="htmlcodes"/>
        </w:rPr>
        <w:t>&lt;a href=#e14d5&gt;</w:t>
      </w:r>
      <w:r>
        <w:t>Ex</w:t>
      </w:r>
      <w:r>
        <w:softHyphen/>
        <w:t>ample 14.5</w:t>
      </w:r>
      <w:r>
        <w:rPr>
          <w:rStyle w:val="htmlcodes"/>
        </w:rPr>
        <w:t>&lt;/a&gt;</w:t>
      </w:r>
      <w:r>
        <w:t>. (Story time is changed.)</w:t>
      </w:r>
    </w:p>
    <w:p w:rsidR="00B72047" w:rsidRDefault="00B72047">
      <w:pPr>
        <w:pStyle w:val="normalparagraph"/>
        <w:rPr>
          <w:rStyle w:val="htmlparacode"/>
        </w:rPr>
      </w:pPr>
      <w:r>
        <w:rPr>
          <w:rStyle w:val="htmlparacode"/>
        </w:rPr>
        <w:t>&lt;p&gt;</w:t>
      </w:r>
    </w:p>
    <w:p w:rsidR="00B72047" w:rsidRDefault="00B72047">
      <w:pPr>
        <w:pStyle w:val="normalparagraph"/>
      </w:pPr>
      <w:r>
        <w:t>So the overall order is 14.1 - 14.3 - 14.2 - 14.4 - (medium in</w:t>
      </w:r>
      <w:r>
        <w:softHyphen/>
        <w:t>terval) -</w:t>
      </w:r>
      <w:r>
        <w:rPr>
          <w:rStyle w:val="deletedparamark"/>
        </w:rPr>
        <w:t xml:space="preserve"> </w:t>
      </w:r>
      <w:r>
        <w:t>14.5 - 14.6 - 14.7. It is also possible that 14.3 happens be</w:t>
      </w:r>
      <w:r>
        <w:softHyphen/>
        <w:t>fore 14.1.</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"story time, with no initial sticky time"&gt;</w:t>
      </w:r>
      <w:r>
        <w:rPr>
          <w:rStyle w:val="indexentry"/>
        </w:rPr>
        <w:fldChar w:fldCharType="begin"/>
      </w:r>
      <w:r>
        <w:instrText>xe "</w:instrText>
      </w:r>
      <w:r>
        <w:rPr>
          <w:rStyle w:val="xeentry"/>
        </w:rPr>
        <w:instrText>story time: with no initial sticky time</w:instrText>
      </w:r>
      <w:r>
        <w:instrText>"</w:instrText>
      </w:r>
      <w:r>
        <w:rPr>
          <w:rStyle w:val="indexentry"/>
        </w:rPr>
        <w:fldChar w:fldCharType="end"/>
      </w:r>
      <w:r>
        <w:t>If no sticky time (or space) is set initially, the story is set at an</w:t>
      </w:r>
      <w:r>
        <w:rPr>
          <w:rStyle w:val="deletedparamark"/>
        </w:rPr>
        <w:t xml:space="preserve"> </w:t>
      </w:r>
      <w:r>
        <w:t>unspecified time (or space): the effect is like that of choosing an arbi</w:t>
      </w:r>
      <w:r>
        <w:softHyphen/>
        <w:t>trary</w:t>
      </w:r>
      <w:r>
        <w:rPr>
          <w:rStyle w:val="deletedparamark"/>
        </w:rPr>
        <w:t xml:space="preserve"> </w:t>
      </w:r>
      <w:r>
        <w:t>reference point and mak</w:t>
      </w:r>
      <w:r>
        <w:softHyphen/>
        <w:t>ing it sticky. This style is common in stories that</w:t>
      </w:r>
      <w:r>
        <w:rPr>
          <w:rStyle w:val="deletedparamark"/>
        </w:rPr>
        <w:t xml:space="preserve"> </w:t>
      </w:r>
      <w:r>
        <w:t>are jokes. The same convention may be used if the con</w:t>
      </w:r>
      <w:r>
        <w:softHyphen/>
        <w:t>text specifies the</w:t>
      </w:r>
      <w:r>
        <w:rPr>
          <w:rStyle w:val="deletedparamark"/>
        </w:rPr>
        <w:t xml:space="preserve"> </w:t>
      </w:r>
      <w:r>
        <w:t>sticky time sufficiently.</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344" w:name="_Toc398970589"/>
      <w:r>
        <w:rPr>
          <w:rStyle w:val="Heading3Text"/>
        </w:rPr>
        <w:t>Tenses in subordinate bridi</w:t>
      </w:r>
      <w:bookmarkEnd w:id="34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"subordinate clauses, tense usage rules in English"&gt;</w:t>
      </w:r>
      <w:r>
        <w:rPr>
          <w:rStyle w:val="indexentry"/>
        </w:rPr>
        <w:fldChar w:fldCharType="begin"/>
      </w:r>
      <w:r>
        <w:instrText>xe "</w:instrText>
      </w:r>
      <w:r>
        <w:rPr>
          <w:rStyle w:val="xeentry"/>
        </w:rPr>
        <w:instrText>subordinate clauses: tense usage rules in English</w:instrText>
      </w:r>
      <w:r>
        <w:instrText>"</w:instrText>
      </w:r>
      <w:r>
        <w:rPr>
          <w:rStyle w:val="indexentry"/>
        </w:rPr>
        <w:fldChar w:fldCharType="end"/>
      </w:r>
      <w:r>
        <w:t>English has a set of rules, formally known as “sequence of tense rules”,</w:t>
      </w:r>
      <w:r>
        <w:rPr>
          <w:rStyle w:val="deletedparamark"/>
        </w:rPr>
        <w:t xml:space="preserve"> </w:t>
      </w:r>
      <w:r>
        <w:t>for dete</w:t>
      </w:r>
      <w:r>
        <w:t>r</w:t>
      </w:r>
      <w:r>
        <w:softHyphen/>
        <w:t>mining what tense should be used in a subordi</w:t>
      </w:r>
      <w:r>
        <w:softHyphen/>
        <w:t>nate clause, depending</w:t>
      </w:r>
      <w:r>
        <w:rPr>
          <w:rStyle w:val="deletedparamark"/>
        </w:rPr>
        <w:t xml:space="preserve"> </w:t>
      </w:r>
      <w:r>
        <w:t>on the tense used in the main sentence. 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John says that George is going to the market.</w:t>
      </w:r>
    </w:p>
    <w:p w:rsidR="00B72047" w:rsidRDefault="00B72047">
      <w:pPr>
        <w:pStyle w:val="examplescaledpre"/>
      </w:pPr>
      <w:r>
        <w:rPr>
          <w:rStyle w:val="htmlcodes"/>
        </w:rPr>
        <w:t>&lt;a name=e15d2&gt;</w:t>
      </w:r>
      <w:r>
        <w:t>15.2)</w:t>
      </w:r>
      <w:r>
        <w:tab/>
        <w:t>John says that George went to the market.</w:t>
      </w:r>
    </w:p>
    <w:p w:rsidR="00B72047" w:rsidRDefault="00B72047">
      <w:pPr>
        <w:pStyle w:val="examplescaledpre"/>
      </w:pPr>
      <w:r>
        <w:rPr>
          <w:rStyle w:val="htmlcodes"/>
        </w:rPr>
        <w:t>&lt;a name=e15d3&gt;</w:t>
      </w:r>
      <w:r>
        <w:t>15.3)</w:t>
      </w:r>
      <w:r>
        <w:tab/>
        <w:t>John said that George went to the market.</w:t>
      </w:r>
    </w:p>
    <w:p w:rsidR="00B72047" w:rsidRDefault="00B72047">
      <w:pPr>
        <w:pStyle w:val="examplescaledpre"/>
      </w:pPr>
      <w:r>
        <w:rPr>
          <w:rStyle w:val="htmlcodes"/>
        </w:rPr>
        <w:t>&lt;a name=e15d4&gt;</w:t>
      </w:r>
      <w:r>
        <w:t>15.4)</w:t>
      </w:r>
      <w:r>
        <w:tab/>
        <w:t>John said that George had gone to the market.</w:t>
      </w:r>
    </w:p>
    <w:p w:rsidR="00B72047" w:rsidRDefault="00B72047">
      <w:pPr>
        <w:pStyle w:val="normalafterexample"/>
      </w:pPr>
      <w:r>
        <w:rPr>
          <w:rStyle w:val="htmlcodes"/>
        </w:rPr>
        <w:t>&lt;/pre&gt;&lt;p&gt;</w:t>
      </w:r>
      <w:r>
        <w:t xml:space="preserve">In </w:t>
      </w:r>
      <w:r>
        <w:rPr>
          <w:rStyle w:val="htmlcodes"/>
        </w:rPr>
        <w:t>&lt;a href=#e15d1&gt;</w:t>
      </w:r>
      <w:r>
        <w:t xml:space="preserve">Example 15.1 </w:t>
      </w:r>
      <w:r>
        <w:rPr>
          <w:rStyle w:val="htmlcodes"/>
        </w:rPr>
        <w:t>&lt;/a&gt;</w:t>
      </w:r>
      <w:r>
        <w:t xml:space="preserve">and </w:t>
      </w:r>
      <w:r>
        <w:rPr>
          <w:rStyle w:val="htmlcodes"/>
        </w:rPr>
        <w:t>&lt;a href=#e15d2&gt;</w:t>
      </w:r>
      <w:r>
        <w:t>Example 15.2</w:t>
      </w:r>
      <w:r>
        <w:rPr>
          <w:rStyle w:val="htmlcodes"/>
        </w:rPr>
        <w:t>&lt;/a&gt;</w:t>
      </w:r>
      <w:r>
        <w:t>, the tense of the main sentence is the</w:t>
      </w:r>
      <w:r>
        <w:rPr>
          <w:rStyle w:val="deletedparamark"/>
        </w:rPr>
        <w:t xml:space="preserve"> </w:t>
      </w:r>
      <w:r>
        <w:t>pres</w:t>
      </w:r>
      <w:r>
        <w:softHyphen/>
      </w:r>
      <w:r>
        <w:t>ent: “says”. If George goes when John speaks, we get the present tense</w:t>
      </w:r>
      <w:r>
        <w:rPr>
          <w:rStyle w:val="deletedparamark"/>
        </w:rPr>
        <w:t xml:space="preserve"> “</w:t>
      </w:r>
      <w:r>
        <w:t>is going” (“goes” would be unidiomatic); if George goes before John speaks,</w:t>
      </w:r>
      <w:r>
        <w:rPr>
          <w:rStyle w:val="deletedparamark"/>
        </w:rPr>
        <w:t xml:space="preserve"> </w:t>
      </w:r>
      <w:r>
        <w:t>we get the past tense “went”. But if the tense of the main sentence is</w:t>
      </w:r>
      <w:r>
        <w:rPr>
          <w:rStyle w:val="deletedparamark"/>
        </w:rPr>
        <w:t xml:space="preserve"> </w:t>
      </w:r>
      <w:r>
        <w:t>the past, with “said”, then the tense required in the subordinate clause</w:t>
      </w:r>
      <w:r>
        <w:rPr>
          <w:rStyle w:val="deletedparamark"/>
        </w:rPr>
        <w:t xml:space="preserve"> </w:t>
      </w:r>
      <w:r>
        <w:t>is different. If George goes when John speaks, we get the past tense</w:t>
      </w:r>
      <w:r>
        <w:rPr>
          <w:rStyle w:val="deletedparamark"/>
        </w:rPr>
        <w:t xml:space="preserve"> “</w:t>
      </w:r>
      <w:r>
        <w:t>went”; if George goes before John speaks, we get the past-perfect tense</w:t>
      </w:r>
      <w:r>
        <w:rPr>
          <w:rStyle w:val="deletedparamark"/>
        </w:rPr>
        <w:t xml:space="preserve"> “</w:t>
      </w:r>
      <w:r>
        <w:t>had gone”.</w:t>
      </w:r>
    </w:p>
    <w:p w:rsidR="00B72047" w:rsidRDefault="00B72047">
      <w:pPr>
        <w:rPr>
          <w:rStyle w:val="htmlparacode"/>
        </w:rPr>
      </w:pPr>
      <w:r>
        <w:rPr>
          <w:rStyle w:val="htmlparacode"/>
        </w:rPr>
        <w:t>&lt;p&gt;</w:t>
      </w:r>
    </w:p>
    <w:p w:rsidR="00B72047" w:rsidRDefault="00B72047">
      <w:pPr>
        <w:pStyle w:val="normalparagraph"/>
      </w:pPr>
      <w:r>
        <w:t>The rule of English, therefore, is that both the tense of the main sentence</w:t>
      </w:r>
      <w:r>
        <w:rPr>
          <w:rStyle w:val="deletedparamark"/>
        </w:rPr>
        <w:t xml:space="preserve"> </w:t>
      </w:r>
      <w:r>
        <w:t>and the tense of the subordinate clause are under</w:t>
      </w:r>
      <w:r>
        <w:softHyphen/>
        <w:t>stood relative to the</w:t>
      </w:r>
      <w:r>
        <w:rPr>
          <w:rStyle w:val="deletedparamark"/>
        </w:rPr>
        <w:t xml:space="preserve"> </w:t>
      </w:r>
      <w:r>
        <w:t xml:space="preserve">speaker of the main sentence (not John, but the person who speaks </w:t>
      </w:r>
      <w:r>
        <w:rPr>
          <w:rStyle w:val="htmlcodes"/>
        </w:rPr>
        <w:t>&lt;a href=#e15d{1}&gt;</w:t>
      </w:r>
      <w:r>
        <w:t xml:space="preserve">Examples 15.1 </w:t>
      </w:r>
      <w:r>
        <w:rPr>
          <w:rStyle w:val="htmlcodes"/>
        </w:rPr>
        <w:t>&lt;/a&gt;</w:t>
      </w:r>
      <w:r>
        <w:t xml:space="preserve">through </w:t>
      </w:r>
      <w:r>
        <w:rPr>
          <w:rStyle w:val="htmlcodes"/>
        </w:rPr>
        <w:t>&lt;a href=#e15d4&gt;</w:t>
      </w:r>
      <w:r>
        <w:t>15.4</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"sequence of tense rules, Lojban contrasted with English"&gt;</w:t>
      </w:r>
      <w:r>
        <w:rPr>
          <w:rStyle w:val="indexentry"/>
        </w:rPr>
        <w:fldChar w:fldCharType="begin"/>
      </w:r>
      <w:r>
        <w:instrText>xe "</w:instrText>
      </w:r>
      <w:r>
        <w:rPr>
          <w:rStyle w:val="xeentry"/>
        </w:rPr>
        <w:instrText>sequence of tense rules: Lojban contrasted with English</w:instrText>
      </w:r>
      <w:r>
        <w:instrText>"</w:instrText>
      </w:r>
      <w:r>
        <w:rPr>
          <w:rStyle w:val="indexentry"/>
        </w:rPr>
        <w:fldChar w:fldCharType="end"/>
      </w:r>
      <w:r>
        <w:rPr>
          <w:rStyle w:val="indexentry"/>
        </w:rPr>
        <w:t>&lt;cx "subordinate clause tense, Lojban contrasted with English"&gt;</w:t>
      </w:r>
      <w:r>
        <w:rPr>
          <w:rStyle w:val="indexentry"/>
        </w:rPr>
        <w:fldChar w:fldCharType="begin"/>
      </w:r>
      <w:r>
        <w:instrText>xe "</w:instrText>
      </w:r>
      <w:r>
        <w:rPr>
          <w:rStyle w:val="xeentry"/>
        </w:rPr>
        <w:instrText>subordinate clause tense: Lojban contrasted with English</w:instrText>
      </w:r>
      <w:r>
        <w:instrText>"</w:instrText>
      </w:r>
      <w:r>
        <w:rPr>
          <w:rStyle w:val="indexentry"/>
        </w:rPr>
        <w:fldChar w:fldCharType="end"/>
      </w:r>
      <w:r>
        <w:rPr>
          <w:rStyle w:val="indexentry"/>
        </w:rPr>
        <w:t>&lt;cx "subordinate clause tense, Lojban compared with Russian"&gt;</w:t>
      </w:r>
      <w:r>
        <w:rPr>
          <w:rStyle w:val="indexentry"/>
        </w:rPr>
        <w:fldChar w:fldCharType="begin"/>
      </w:r>
      <w:r>
        <w:instrText>xe "</w:instrText>
      </w:r>
      <w:r>
        <w:rPr>
          <w:rStyle w:val="xeentry"/>
        </w:rPr>
        <w:instrText>subordinate clause tense: Lojban compared with Russian</w:instrText>
      </w:r>
      <w:r>
        <w:instrText>"</w:instrText>
      </w:r>
      <w:r>
        <w:rPr>
          <w:rStyle w:val="indexentry"/>
        </w:rPr>
        <w:fldChar w:fldCharType="end"/>
      </w:r>
      <w:r>
        <w:rPr>
          <w:rStyle w:val="indexentry"/>
        </w:rPr>
        <w:t>&lt;cx "subordinate clause tense, Lojban compared with Esperanto"&gt;</w:t>
      </w:r>
      <w:r>
        <w:rPr>
          <w:rStyle w:val="indexentry"/>
        </w:rPr>
        <w:fldChar w:fldCharType="begin"/>
      </w:r>
      <w:r>
        <w:instrText>xe "</w:instrText>
      </w:r>
      <w:r>
        <w:rPr>
          <w:rStyle w:val="xeentry"/>
        </w:rPr>
        <w:instrText>subordinate clause tense: Lojban compared with Esperanto</w:instrText>
      </w:r>
      <w:r>
        <w:instrText>"</w:instrText>
      </w:r>
      <w:r>
        <w:rPr>
          <w:rStyle w:val="indexentry"/>
        </w:rPr>
        <w:fldChar w:fldCharType="end"/>
      </w:r>
      <w:r>
        <w:rPr>
          <w:rStyle w:val="indexentry"/>
        </w:rPr>
        <w:t>&lt;cx "subordinate clause tense, effect of main bridi tense on"&gt;</w:t>
      </w:r>
      <w:r>
        <w:rPr>
          <w:rStyle w:val="indexentry"/>
        </w:rPr>
        <w:fldChar w:fldCharType="begin"/>
      </w:r>
      <w:r>
        <w:instrText>xe "</w:instrText>
      </w:r>
      <w:r>
        <w:rPr>
          <w:rStyle w:val="xeentry"/>
        </w:rPr>
        <w:instrText>subordinate clause tense: effect of main bridi tense on</w:instrText>
      </w:r>
      <w:r>
        <w:instrText>"</w:instrText>
      </w:r>
      <w:r>
        <w:rPr>
          <w:rStyle w:val="indexentry"/>
        </w:rPr>
        <w:fldChar w:fldCharType="end"/>
      </w:r>
      <w:r>
        <w:t>Lojban, like Russian and Esperanto, uses a different conven</w:t>
      </w:r>
      <w:r>
        <w:softHyphen/>
        <w:t>tion. A tense</w:t>
      </w:r>
      <w:r>
        <w:rPr>
          <w:rStyle w:val="deletedparamark"/>
        </w:rPr>
        <w:t xml:space="preserve"> </w:t>
      </w:r>
      <w:r>
        <w:t>in a subo</w:t>
      </w:r>
      <w:r>
        <w:t>r</w:t>
      </w:r>
      <w:r>
        <w:softHyphen/>
        <w:t>dinate bridi is understood to be relative to the tense already</w:t>
      </w:r>
      <w:r>
        <w:rPr>
          <w:rStyle w:val="deletedparamark"/>
        </w:rPr>
        <w:t xml:space="preserve"> </w:t>
      </w:r>
      <w:r>
        <w:t xml:space="preserve">set in the main bridi. Thus </w:t>
      </w:r>
      <w:r>
        <w:rPr>
          <w:rStyle w:val="htmlcodes"/>
        </w:rPr>
        <w:t>&lt;a href=#e15d{1}&gt;</w:t>
      </w:r>
      <w:r>
        <w:t xml:space="preserve">Examples 15.1 </w:t>
      </w:r>
      <w:r>
        <w:rPr>
          <w:rStyle w:val="htmlcodes"/>
        </w:rPr>
        <w:t>&lt;/a&gt;</w:t>
      </w:r>
      <w:r>
        <w:t xml:space="preserve">through </w:t>
      </w:r>
      <w:r>
        <w:rPr>
          <w:rStyle w:val="htmlcodes"/>
        </w:rPr>
        <w:t>&lt;a href=#e15d4&gt;</w:t>
      </w:r>
      <w:r>
        <w:t xml:space="preserve">15.4 </w:t>
      </w:r>
      <w:r>
        <w:rPr>
          <w:rStyle w:val="htmlcodes"/>
        </w:rPr>
        <w:t>&lt;/a&gt;</w:t>
      </w:r>
      <w:r>
        <w:t>can be expressed</w:t>
      </w:r>
      <w:r>
        <w:rPr>
          <w:rStyle w:val="deletedparamark"/>
        </w:rPr>
        <w:t xml:space="preserve"> </w:t>
      </w:r>
      <w:r>
        <w:t>in Lojban respectively thus:</w:t>
      </w:r>
    </w:p>
    <w:p w:rsidR="00B72047" w:rsidRDefault="00B72047">
      <w:pPr>
        <w:rPr>
          <w:rStyle w:val="htmlparacode"/>
        </w:rPr>
      </w:pPr>
      <w:r>
        <w:rPr>
          <w:rStyle w:val="htmlparacode"/>
        </w:rPr>
        <w:t>&lt;p&gt;</w:t>
      </w:r>
    </w:p>
    <w:p w:rsidR="00B72047" w:rsidRDefault="00B72047">
      <w:pPr>
        <w:pStyle w:val="examplescaledpre"/>
      </w:pPr>
      <w:r>
        <w:rPr>
          <w:rStyle w:val="indexentry"/>
        </w:rPr>
        <w:t>&lt;ex "John says that George goes to market"&gt;</w:t>
      </w:r>
      <w:r>
        <w:rPr>
          <w:rStyle w:val="indexentry"/>
        </w:rPr>
        <w:fldChar w:fldCharType="begin"/>
      </w:r>
      <w:r>
        <w:instrText>xe "</w:instrText>
      </w:r>
      <w:r>
        <w:rPr>
          <w:rStyle w:val="xeentry"/>
        </w:rPr>
        <w:instrText>John says that George goes to market: example</w:instrText>
      </w:r>
      <w:r>
        <w:instrText>"</w:instrText>
      </w:r>
      <w:r>
        <w:rPr>
          <w:rStyle w:val="indexentry"/>
        </w:rPr>
        <w:fldChar w:fldCharType="end"/>
      </w:r>
      <w:r>
        <w:rPr>
          <w:rStyle w:val="htmlcodes"/>
        </w:rPr>
        <w:t>&lt;pre&gt;&lt;a name=e15d5&gt;</w:t>
      </w:r>
      <w:r>
        <w:t>15.5)</w:t>
      </w:r>
      <w:r>
        <w:tab/>
        <w:t>la djan. ca cusku le se du'u la djordj. ca klama le zarci</w:t>
      </w:r>
    </w:p>
    <w:p w:rsidR="00B72047" w:rsidRDefault="00B72047">
      <w:pPr>
        <w:pStyle w:val="examplescaled"/>
      </w:pPr>
      <w:r>
        <w:tab/>
        <w:t>John [present] says the statement-that George [present] goes-to the market.</w:t>
      </w:r>
    </w:p>
    <w:p w:rsidR="00B72047" w:rsidRDefault="00B72047">
      <w:pPr>
        <w:pStyle w:val="examplescaledpre"/>
      </w:pPr>
      <w:r>
        <w:rPr>
          <w:rStyle w:val="htmlcodes"/>
        </w:rPr>
        <w:t>&lt;a name=e15d6&gt;</w:t>
      </w:r>
      <w:r>
        <w:t>15.6)</w:t>
      </w:r>
      <w:r>
        <w:tab/>
        <w:t>la djan. ca cusku le se du'u la djordj. pu klama le zarci</w:t>
      </w:r>
    </w:p>
    <w:p w:rsidR="00B72047" w:rsidRDefault="00B72047">
      <w:pPr>
        <w:pStyle w:val="examplescaled"/>
      </w:pPr>
      <w:r>
        <w:tab/>
        <w:t>John [present] says the statement-that George [past] goes-to the market.</w:t>
      </w:r>
    </w:p>
    <w:p w:rsidR="00B72047" w:rsidRDefault="00B72047">
      <w:pPr>
        <w:pStyle w:val="examplescaledpre"/>
      </w:pPr>
      <w:r>
        <w:rPr>
          <w:rStyle w:val="htmlcodes"/>
        </w:rPr>
        <w:t>&lt;a name=e15d7&gt;</w:t>
      </w:r>
      <w:r>
        <w:t>15.7)</w:t>
      </w:r>
      <w:r>
        <w:tab/>
        <w:t>la djan. pu cusku le se du'u la djordj. ca klama le zarci</w:t>
      </w:r>
    </w:p>
    <w:p w:rsidR="00B72047" w:rsidRDefault="00B72047">
      <w:pPr>
        <w:pStyle w:val="examplescaled"/>
      </w:pPr>
      <w:r>
        <w:tab/>
        <w:t>John [past] says the statement-that George [present] goes-to the market.</w:t>
      </w:r>
    </w:p>
    <w:p w:rsidR="00B72047" w:rsidRDefault="00B72047">
      <w:pPr>
        <w:pStyle w:val="examplescaledpre"/>
      </w:pPr>
      <w:r>
        <w:rPr>
          <w:rStyle w:val="htmlcodes"/>
        </w:rPr>
        <w:t>&lt;a name=e15d8&gt;</w:t>
      </w:r>
      <w:r>
        <w:t>15.8)</w:t>
      </w:r>
      <w:r>
        <w:tab/>
        <w:t>la djan. pu cusku le se du'u la djordj. pu klama le zarci</w:t>
      </w:r>
    </w:p>
    <w:p w:rsidR="00B72047" w:rsidRDefault="00B72047">
      <w:pPr>
        <w:pStyle w:val="examplescaled"/>
      </w:pPr>
      <w:r>
        <w:tab/>
        <w:t>John [past] says the statement-that George [past] goes-to the market.</w:t>
      </w:r>
    </w:p>
    <w:p w:rsidR="00B72047" w:rsidRDefault="00B72047">
      <w:pPr>
        <w:pStyle w:val="normalafterexample"/>
      </w:pPr>
      <w:r>
        <w:rPr>
          <w:rStyle w:val="htmlcodes"/>
        </w:rPr>
        <w:t>&lt;/pre&gt;&lt;p&gt;</w:t>
      </w:r>
      <w:r>
        <w:t xml:space="preserve">Probably the most counterintuitive of the Lojban examples is </w:t>
      </w:r>
      <w:r>
        <w:rPr>
          <w:rStyle w:val="htmlcodes"/>
        </w:rPr>
        <w:t>&lt;a href=#e15d7&gt;</w:t>
      </w:r>
      <w:r>
        <w:t>Example 15.7</w:t>
      </w:r>
      <w:r>
        <w:rPr>
          <w:rStyle w:val="htmlcodes"/>
        </w:rPr>
        <w:t>&lt;/a&gt;</w:t>
      </w:r>
      <w:r>
        <w:t>.</w:t>
      </w:r>
      <w:r>
        <w:rPr>
          <w:rStyle w:val="deletedparamark"/>
        </w:rPr>
        <w:t xml:space="preserve"> </w:t>
      </w:r>
      <w:r>
        <w:t>The “ca” looks quite odd, as if George were going to the market right now,</w:t>
      </w:r>
      <w:r>
        <w:rPr>
          <w:rStyle w:val="deletedparamark"/>
        </w:rPr>
        <w:t xml:space="preserve"> </w:t>
      </w:r>
      <w:r>
        <w:t>rather than back when John spoke. But this “ca” is really a “ca” with</w:t>
      </w:r>
      <w:r>
        <w:rPr>
          <w:rStyle w:val="deletedparamark"/>
        </w:rPr>
        <w:t xml:space="preserve"> </w:t>
      </w:r>
      <w:r>
        <w:t>respect to a reference point specified by the outer “pu”. This behavior</w:t>
      </w:r>
      <w:r>
        <w:rPr>
          <w:rStyle w:val="deletedparamark"/>
        </w:rPr>
        <w:t xml:space="preserve"> </w:t>
      </w:r>
      <w:r>
        <w:t>is the same as the additive behavior of multi</w:t>
      </w:r>
      <w:r>
        <w:softHyphen/>
        <w:t>ple tenses in the same</w:t>
      </w:r>
      <w:r>
        <w:rPr>
          <w:rStyle w:val="deletedparamark"/>
        </w:rPr>
        <w:t xml:space="preserve"> </w:t>
      </w:r>
      <w:r>
        <w:t xml:space="preserve">bridi, as explained in </w:t>
      </w:r>
      <w:r>
        <w:rPr>
          <w:rStyle w:val="htmlcodes"/>
        </w:rPr>
        <w:t>&lt;a href=#s13&gt;</w:t>
      </w:r>
      <w:r>
        <w:t>Section 13</w:t>
      </w:r>
      <w:r>
        <w:rPr>
          <w:rStyle w:val="htmlcodes"/>
        </w:rPr>
        <w:t>&lt;/a&gt;</w:t>
      </w:r>
      <w:r>
        <w:t>.</w:t>
      </w:r>
    </w:p>
    <w:p w:rsidR="00B72047" w:rsidRDefault="00B72047">
      <w:pPr>
        <w:pStyle w:val="normalafterexample"/>
        <w:rPr>
          <w:rStyle w:val="htmlparacode"/>
        </w:rPr>
      </w:pPr>
      <w:r>
        <w:rPr>
          <w:rStyle w:val="htmlparacode"/>
        </w:rPr>
        <w:t>&lt;p&gt;</w:t>
      </w:r>
    </w:p>
    <w:p w:rsidR="00B72047" w:rsidRDefault="00B72047">
      <w:pPr>
        <w:pStyle w:val="normalparagraph"/>
      </w:pPr>
      <w:r>
        <w:rPr>
          <w:rStyle w:val="indexentry"/>
        </w:rPr>
        <w:t>&lt;lx "nau"&gt;</w:t>
      </w:r>
      <w:r>
        <w:rPr>
          <w:rStyle w:val="indexentry"/>
        </w:rPr>
        <w:fldChar w:fldCharType="begin"/>
      </w:r>
      <w:r>
        <w:instrText>xe "</w:instrText>
      </w:r>
      <w:r>
        <w:rPr>
          <w:rStyle w:val="xeentry"/>
        </w:rPr>
        <w:instrText>nau</w:instrText>
      </w:r>
      <w:r>
        <w:instrText>"</w:instrText>
      </w:r>
      <w:r>
        <w:rPr>
          <w:rStyle w:val="indexentry"/>
        </w:rPr>
        <w:fldChar w:fldCharType="end"/>
      </w:r>
      <w:r>
        <w:rPr>
          <w:rStyle w:val="indexentry"/>
        </w:rPr>
        <w:t>&lt;lx "CUhE"&gt;</w:t>
      </w:r>
      <w:r>
        <w:rPr>
          <w:rStyle w:val="indexentry"/>
        </w:rPr>
        <w:fldChar w:fldCharType="begin"/>
      </w:r>
      <w:r>
        <w:instrText>xe "</w:instrText>
      </w:r>
      <w:r>
        <w:rPr>
          <w:rStyle w:val="xeentry"/>
        </w:rPr>
        <w:instrText>CUhE selma’o</w:instrText>
      </w:r>
      <w:r>
        <w:instrText>"</w:instrText>
      </w:r>
      <w:r>
        <w:rPr>
          <w:rStyle w:val="indexentry"/>
        </w:rPr>
        <w:fldChar w:fldCharType="end"/>
      </w:r>
      <w:r>
        <w:rPr>
          <w:rStyle w:val="indexentry"/>
        </w:rPr>
        <w:t>&lt;cx "tense, speaker's current"&gt;</w:t>
      </w:r>
      <w:r>
        <w:rPr>
          <w:rStyle w:val="indexentry"/>
        </w:rPr>
        <w:fldChar w:fldCharType="begin"/>
      </w:r>
      <w:r>
        <w:instrText>xe "</w:instrText>
      </w:r>
      <w:r>
        <w:rPr>
          <w:rStyle w:val="xeentry"/>
        </w:rPr>
        <w:instrText>tense: speaker's current</w:instrText>
      </w:r>
      <w:r>
        <w:instrText>"</w:instrText>
      </w:r>
      <w:r>
        <w:rPr>
          <w:rStyle w:val="indexentry"/>
        </w:rPr>
        <w:fldChar w:fldCharType="end"/>
      </w:r>
      <w:r>
        <w:rPr>
          <w:rStyle w:val="indexentry"/>
        </w:rPr>
        <w:t>&lt;cx "tense, overriding to speaker's current"&gt;</w:t>
      </w:r>
      <w:r>
        <w:rPr>
          <w:rStyle w:val="indexentry"/>
        </w:rPr>
        <w:fldChar w:fldCharType="begin"/>
      </w:r>
      <w:r>
        <w:instrText>xe "</w:instrText>
      </w:r>
      <w:r>
        <w:rPr>
          <w:rStyle w:val="xeentry"/>
        </w:rPr>
        <w:instrText>tense: overriding to speaker's current</w:instrText>
      </w:r>
      <w:r>
        <w:instrText>"</w:instrText>
      </w:r>
      <w:r>
        <w:rPr>
          <w:rStyle w:val="indexentry"/>
        </w:rPr>
        <w:fldChar w:fldCharType="end"/>
      </w:r>
      <w:r>
        <w:rPr>
          <w:rStyle w:val="indexentry"/>
        </w:rPr>
        <w:t>&lt;cx "nau, syntax"&gt;</w:t>
      </w:r>
      <w:r>
        <w:rPr>
          <w:rStyle w:val="indexentry"/>
        </w:rPr>
        <w:fldChar w:fldCharType="begin"/>
      </w:r>
      <w:r>
        <w:instrText>xe "</w:instrText>
      </w:r>
      <w:r>
        <w:rPr>
          <w:rStyle w:val="xeentry"/>
        </w:rPr>
        <w:instrText>nau: syntax</w:instrText>
      </w:r>
      <w:r>
        <w:instrText>"</w:instrText>
      </w:r>
      <w:r>
        <w:rPr>
          <w:rStyle w:val="indexentry"/>
        </w:rPr>
        <w:fldChar w:fldCharType="end"/>
      </w:r>
      <w:r>
        <w:t>There is a special cmavo “nau” (of selma'o CUhE) which can be used to</w:t>
      </w:r>
      <w:r>
        <w:rPr>
          <w:rStyle w:val="deletedparamark"/>
        </w:rPr>
        <w:t xml:space="preserve"> </w:t>
      </w:r>
      <w:r>
        <w:t>over</w:t>
      </w:r>
      <w:r>
        <w:softHyphen/>
        <w:t>ride these rules and get to the speaker's current ref</w:t>
      </w:r>
      <w:r>
        <w:softHyphen/>
        <w:t>erence point.</w:t>
      </w:r>
      <w:r>
        <w:rPr>
          <w:rStyle w:val="deletedparamark"/>
        </w:rPr>
        <w:t xml:space="preserve"> </w:t>
      </w:r>
      <w:r>
        <w:t>(Yes, it sounds like English “now”.) It is not grammatical to combine</w:t>
      </w:r>
      <w:r>
        <w:rPr>
          <w:rStyle w:val="deletedparamark"/>
        </w:rPr>
        <w:t xml:space="preserve"> “</w:t>
      </w:r>
      <w:r>
        <w:t>nau” with any other cmavo in a tense, except by way of a logical or</w:t>
      </w:r>
      <w:r>
        <w:rPr>
          <w:rStyle w:val="deletedparamark"/>
        </w:rPr>
        <w:t xml:space="preserve"> </w:t>
      </w:r>
      <w:r>
        <w:t xml:space="preserve">non-logical connection (see </w:t>
      </w:r>
      <w:r>
        <w:rPr>
          <w:rStyle w:val="htmlcodes"/>
        </w:rPr>
        <w:t>&lt;a href=#s20&gt;</w:t>
      </w:r>
      <w:r>
        <w:t>Section 20</w:t>
      </w:r>
      <w:r>
        <w:rPr>
          <w:rStyle w:val="htmlcodes"/>
        </w:rPr>
        <w:t>&lt;/a&gt;</w:t>
      </w:r>
      <w:r>
        <w:t>). Here is a convo</w:t>
      </w:r>
      <w:r>
        <w:softHyphen/>
        <w:t>luted se</w:t>
      </w:r>
      <w:r>
        <w:t>n</w:t>
      </w:r>
      <w:r>
        <w:softHyphen/>
        <w:t>tence</w:t>
      </w:r>
      <w:r>
        <w:rPr>
          <w:rStyle w:val="deletedparamark"/>
        </w:rPr>
        <w:t xml:space="preserve"> </w:t>
      </w:r>
      <w:r>
        <w:t>with several nested bridi which uses “nau” at the low</w:t>
      </w:r>
      <w:r>
        <w:softHyphen/>
        <w:t>est level: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name=e15d9&gt;</w:t>
      </w:r>
      <w:r>
        <w:t>15.9)</w:t>
      </w:r>
      <w:r>
        <w:tab/>
        <w:t>la djan. pu cusku le se du'u la .alis pu cusku le se du'u</w:t>
      </w:r>
    </w:p>
    <w:p w:rsidR="00B72047" w:rsidRDefault="00B72047">
      <w:pPr>
        <w:pStyle w:val="examplescaled"/>
      </w:pPr>
      <w:r>
        <w:tab/>
      </w:r>
      <w:r>
        <w:tab/>
        <w:t>la djordj. pu cusku le se du'u la maris. nau klama le zarci</w:t>
      </w:r>
    </w:p>
    <w:p w:rsidR="00B72047" w:rsidRDefault="00B72047">
      <w:pPr>
        <w:pStyle w:val="examplescaled"/>
      </w:pPr>
      <w:r>
        <w:tab/>
        <w:t>John [past] says the statement-that Alice [past] says the statement-that</w:t>
      </w:r>
    </w:p>
    <w:p w:rsidR="00B72047" w:rsidRDefault="00B72047">
      <w:pPr>
        <w:pStyle w:val="examplescaled"/>
      </w:pPr>
      <w:r>
        <w:tab/>
      </w:r>
      <w:r>
        <w:tab/>
        <w:t>George [past] says the statement that Mary [now] goes-to the market.</w:t>
      </w:r>
    </w:p>
    <w:p w:rsidR="00B72047" w:rsidRDefault="00B72047">
      <w:pPr>
        <w:pStyle w:val="examplescaled"/>
      </w:pPr>
      <w:r>
        <w:tab/>
        <w:t>John said that Alice had said that George had earlier said that Mary is now</w:t>
      </w:r>
    </w:p>
    <w:p w:rsidR="00B72047" w:rsidRDefault="00B72047">
      <w:pPr>
        <w:pStyle w:val="examplescaled"/>
        <w:ind w:firstLine="576"/>
      </w:pPr>
      <w:r>
        <w:t>going to the market.</w:t>
      </w:r>
    </w:p>
    <w:p w:rsidR="00B72047" w:rsidRDefault="00B72047">
      <w:pPr>
        <w:pStyle w:val="resumedafterexample"/>
      </w:pPr>
      <w:r>
        <w:rPr>
          <w:rStyle w:val="htmlcodes"/>
        </w:rPr>
        <w:t>&lt;/pre&gt;</w:t>
      </w:r>
      <w:r>
        <w:rPr>
          <w:rStyle w:val="indexentry"/>
        </w:rPr>
        <w:t>&lt;cx "nau, effect on sticky tenses"&gt;</w:t>
      </w:r>
      <w:r>
        <w:rPr>
          <w:rStyle w:val="indexentry"/>
        </w:rPr>
        <w:fldChar w:fldCharType="begin"/>
      </w:r>
      <w:r>
        <w:instrText>xe "</w:instrText>
      </w:r>
      <w:r>
        <w:rPr>
          <w:rStyle w:val="xeentry"/>
        </w:rPr>
        <w:instrText>nau: effect on sticky tenses</w:instrText>
      </w:r>
      <w:r>
        <w:instrText>"</w:instrText>
      </w:r>
      <w:r>
        <w:rPr>
          <w:rStyle w:val="indexentry"/>
        </w:rPr>
        <w:fldChar w:fldCharType="end"/>
      </w:r>
      <w:r>
        <w:rPr>
          <w:rStyle w:val="indexentry"/>
        </w:rPr>
        <w:t>&lt;cx "sticky tenses, effect of nau on"&gt;</w:t>
      </w:r>
      <w:r>
        <w:rPr>
          <w:rStyle w:val="indexentry"/>
        </w:rPr>
        <w:fldChar w:fldCharType="begin"/>
      </w:r>
      <w:r>
        <w:instrText>xe "</w:instrText>
      </w:r>
      <w:r>
        <w:rPr>
          <w:rStyle w:val="xeentry"/>
        </w:rPr>
        <w:instrText>sticky tenses: effect of nau on</w:instrText>
      </w:r>
      <w:r>
        <w:instrText>"</w:instrText>
      </w:r>
      <w:r>
        <w:rPr>
          <w:rStyle w:val="indexentry"/>
        </w:rPr>
        <w:fldChar w:fldCharType="end"/>
      </w:r>
      <w:r>
        <w:t>The use of “nau” does not affect sticky tenses.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345" w:name="_Toc398970590"/>
      <w:r>
        <w:rPr>
          <w:rStyle w:val="Heading3Text"/>
        </w:rPr>
        <w:t>Tense relations between sentences</w:t>
      </w:r>
      <w:bookmarkEnd w:id="34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 with sumti tcita, asymmetry of"&gt;</w:t>
      </w:r>
      <w:r>
        <w:rPr>
          <w:rStyle w:val="indexentry"/>
        </w:rPr>
        <w:fldChar w:fldCharType="begin"/>
      </w:r>
      <w:r>
        <w:instrText>xe "</w:instrText>
      </w:r>
      <w:r>
        <w:rPr>
          <w:rStyle w:val="xeentry"/>
        </w:rPr>
        <w:instrText>tense with sumti tcita: asymmetry of</w:instrText>
      </w:r>
      <w:r>
        <w:instrText>"</w:instrText>
      </w:r>
      <w:r>
        <w:rPr>
          <w:rStyle w:val="indexentry"/>
        </w:rPr>
        <w:fldChar w:fldCharType="end"/>
      </w:r>
      <w:r>
        <w:t xml:space="preserve">The sumti tcita method, explained in </w:t>
      </w:r>
      <w:r>
        <w:rPr>
          <w:rStyle w:val="htmlcodes"/>
        </w:rPr>
        <w:t>&lt;a href=#s12&gt;</w:t>
      </w:r>
      <w:r>
        <w:t>Section 12</w:t>
      </w:r>
      <w:r>
        <w:rPr>
          <w:rStyle w:val="htmlcodes"/>
        </w:rPr>
        <w:t>&lt;/a&gt;</w:t>
      </w:r>
      <w:r>
        <w:t>, of asserting a tense</w:t>
      </w:r>
      <w:r>
        <w:rPr>
          <w:rStyle w:val="deletedparamark"/>
        </w:rPr>
        <w:t xml:space="preserve"> </w:t>
      </w:r>
      <w:r>
        <w:t>relation</w:t>
      </w:r>
      <w:r>
        <w:softHyphen/>
        <w:t>ship between two events suffers from asymmetry. Specifically,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name=e16d1&gt;</w:t>
      </w:r>
      <w:r>
        <w:t>16.1)</w:t>
      </w:r>
      <w:r>
        <w:tab/>
        <w:t>le verba cu cadzu le bisli zu'a le nu le nanmu cu batci le gerku</w:t>
      </w:r>
    </w:p>
    <w:p w:rsidR="00B72047" w:rsidRDefault="00B72047">
      <w:pPr>
        <w:pStyle w:val="examplescaled"/>
      </w:pPr>
      <w:r>
        <w:tab/>
        <w:t>The child walks-on the ice [left] the event-of the man bites the dog.</w:t>
      </w:r>
    </w:p>
    <w:p w:rsidR="00B72047" w:rsidRDefault="00B72047">
      <w:pPr>
        <w:pStyle w:val="examplescaled"/>
      </w:pPr>
      <w:r>
        <w:tab/>
        <w:t>The child walks on the ice to the left of where the man bites the dog.</w:t>
      </w:r>
    </w:p>
    <w:p w:rsidR="00B72047" w:rsidRDefault="00B72047">
      <w:pPr>
        <w:pStyle w:val="resumedafterexample"/>
      </w:pPr>
      <w:r>
        <w:rPr>
          <w:rStyle w:val="htmlcodes"/>
        </w:rPr>
        <w:t>&lt;/pre&gt;</w:t>
      </w:r>
      <w:r>
        <w:rPr>
          <w:rStyle w:val="indexentry"/>
        </w:rPr>
        <w:t>&lt;lx ".i"&gt;</w:t>
      </w:r>
      <w:r>
        <w:rPr>
          <w:rStyle w:val="indexentry"/>
        </w:rPr>
        <w:fldChar w:fldCharType="begin"/>
      </w:r>
      <w:r>
        <w:instrText>xe "</w:instrText>
      </w:r>
      <w:r>
        <w:rPr>
          <w:rStyle w:val="xeentry"/>
        </w:rPr>
        <w:instrText>i</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&lt;cx "tense, connecting sentences in with"&gt;</w:t>
      </w:r>
      <w:r>
        <w:rPr>
          <w:rStyle w:val="indexentry"/>
        </w:rPr>
        <w:fldChar w:fldCharType="begin"/>
      </w:r>
      <w:r>
        <w:instrText>xe "</w:instrText>
      </w:r>
      <w:r>
        <w:rPr>
          <w:rStyle w:val="xeentry"/>
        </w:rPr>
        <w:instrText>tense: connecting sentences in with</w:instrText>
      </w:r>
      <w:r>
        <w:instrText>"</w:instrText>
      </w:r>
      <w:r>
        <w:rPr>
          <w:rStyle w:val="indexentry"/>
        </w:rPr>
        <w:fldChar w:fldCharType="end"/>
      </w:r>
      <w:r>
        <w:rPr>
          <w:rStyle w:val="indexentry"/>
        </w:rPr>
        <w:t>&lt;cx "sentences, connecting with tense"&gt;</w:t>
      </w:r>
      <w:r>
        <w:rPr>
          <w:rStyle w:val="indexentry"/>
        </w:rPr>
        <w:fldChar w:fldCharType="begin"/>
      </w:r>
      <w:r>
        <w:instrText>xe "</w:instrText>
      </w:r>
      <w:r>
        <w:rPr>
          <w:rStyle w:val="xeentry"/>
        </w:rPr>
        <w:instrText>sentences: connecting with tense</w:instrText>
      </w:r>
      <w:r>
        <w:instrText>"</w:instrText>
      </w:r>
      <w:r>
        <w:rPr>
          <w:rStyle w:val="indexentry"/>
        </w:rPr>
        <w:fldChar w:fldCharType="end"/>
      </w:r>
      <w:r>
        <w:t>which specifies an imaginary journey leftward from the man biting the dog</w:t>
      </w:r>
      <w:r>
        <w:rPr>
          <w:rStyle w:val="deletedparamark"/>
        </w:rPr>
        <w:t xml:space="preserve"> </w:t>
      </w:r>
      <w:r>
        <w:t>to the child walking on the ice, claims only that the child walks on the ice.</w:t>
      </w:r>
      <w:r>
        <w:rPr>
          <w:rStyle w:val="deletedparamark"/>
        </w:rPr>
        <w:t xml:space="preserve"> </w:t>
      </w:r>
      <w:r>
        <w:t>By the nature of “le nu”, the man's biting the dog is merely referred to</w:t>
      </w:r>
      <w:r>
        <w:rPr>
          <w:rStyle w:val="deletedparamark"/>
        </w:rPr>
        <w:t xml:space="preserve"> </w:t>
      </w:r>
      <w:r>
        <w:t>without being claimed. If it seems desir</w:t>
      </w:r>
      <w:r>
        <w:softHyphen/>
        <w:t>able to claim both, each event can</w:t>
      </w:r>
      <w:r>
        <w:rPr>
          <w:rStyle w:val="deletedparamark"/>
        </w:rPr>
        <w:t xml:space="preserve"> </w:t>
      </w:r>
      <w:r>
        <w:t>be expressed as a main sentence bridi, with a special form of “.i” connecting</w:t>
      </w:r>
      <w:r>
        <w:rPr>
          <w:rStyle w:val="deletedparamark"/>
        </w:rPr>
        <w:t xml:space="preserve"> </w:t>
      </w:r>
      <w:r>
        <w:t>them: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name=e16d2&gt;</w:t>
      </w:r>
      <w:r>
        <w:t>16.2)</w:t>
      </w:r>
      <w:r>
        <w:tab/>
        <w:t>le nanmu cu batci le gerku  .izu'abo le verba cu cadzu le bisli</w:t>
      </w:r>
    </w:p>
    <w:p w:rsidR="00B72047" w:rsidRDefault="00B72047">
      <w:pPr>
        <w:pStyle w:val="examplescaled"/>
      </w:pPr>
      <w:r>
        <w:tab/>
        <w:t>The man bites the dog.  [Left] the child walks-on the ice.</w:t>
      </w:r>
    </w:p>
    <w:p w:rsidR="00B72047" w:rsidRDefault="00B72047">
      <w:pPr>
        <w:pStyle w:val="examplescaled"/>
      </w:pPr>
      <w:r>
        <w:tab/>
        <w:t>The man bites the dog.  To the left, the child walks on the ice.</w:t>
      </w:r>
    </w:p>
    <w:p w:rsidR="00B72047" w:rsidRDefault="00B72047">
      <w:pPr>
        <w:pStyle w:val="resumedafterexample"/>
      </w:pPr>
      <w:r>
        <w:rPr>
          <w:rStyle w:val="htmlcodes"/>
        </w:rPr>
        <w:t>&lt;/pre&gt;</w:t>
      </w:r>
      <w:r>
        <w:t>“.izu'abo” is a compound cmavo: the “.i” separates the sentences and the</w:t>
      </w:r>
      <w:r>
        <w:rPr>
          <w:rStyle w:val="deletedparamark"/>
        </w:rPr>
        <w:t xml:space="preserve"> “</w:t>
      </w:r>
      <w:r>
        <w:t>zu'a” is the tense. The “bo” is required to prevent the “zu'a” from</w:t>
      </w:r>
      <w:r>
        <w:rPr>
          <w:rStyle w:val="deletedparamark"/>
        </w:rPr>
        <w:t xml:space="preserve"> </w:t>
      </w:r>
      <w:r>
        <w:t>gobbling up the following sumti, namely “le verba”.</w:t>
      </w:r>
    </w:p>
    <w:p w:rsidR="00B72047" w:rsidRDefault="00B72047">
      <w:pPr>
        <w:rPr>
          <w:rStyle w:val="htmlparacode"/>
        </w:rPr>
      </w:pPr>
      <w:r>
        <w:rPr>
          <w:rStyle w:val="htmlparacode"/>
        </w:rPr>
        <w:t>&lt;p&gt;</w:t>
      </w:r>
    </w:p>
    <w:p w:rsidR="00B72047" w:rsidRDefault="00B72047">
      <w:pPr>
        <w:pStyle w:val="normalparagraph"/>
      </w:pPr>
      <w:r>
        <w:rPr>
          <w:rStyle w:val="indexentry"/>
        </w:rPr>
        <w:t>&lt;cx "tense connection of sentences, order of"&gt;</w:t>
      </w:r>
      <w:r>
        <w:rPr>
          <w:rStyle w:val="indexentry"/>
        </w:rPr>
        <w:fldChar w:fldCharType="begin"/>
      </w:r>
      <w:r>
        <w:instrText>xe "</w:instrText>
      </w:r>
      <w:r>
        <w:rPr>
          <w:rStyle w:val="xeentry"/>
        </w:rPr>
        <w:instrText>tense connection of sentences: order of</w:instrText>
      </w:r>
      <w:r>
        <w:instrText>"</w:instrText>
      </w:r>
      <w:r>
        <w:rPr>
          <w:rStyle w:val="indexentry"/>
        </w:rPr>
        <w:fldChar w:fldCharType="end"/>
      </w:r>
      <w:r>
        <w:rPr>
          <w:rStyle w:val="indexentry"/>
        </w:rPr>
        <w:t>&lt;cx "imaginary journey, origin of in tense-connected sentences"&gt;</w:t>
      </w:r>
      <w:r>
        <w:rPr>
          <w:rStyle w:val="indexentry"/>
        </w:rPr>
        <w:fldChar w:fldCharType="begin"/>
      </w:r>
      <w:r>
        <w:instrText>xe "</w:instrText>
      </w:r>
      <w:r>
        <w:rPr>
          <w:rStyle w:val="xeentry"/>
        </w:rPr>
        <w:instrText>imaginary journey: origin of in tense-connected sentences</w:instrText>
      </w:r>
      <w:r>
        <w:instrText>"</w:instrText>
      </w:r>
      <w:r>
        <w:rPr>
          <w:rStyle w:val="indexentry"/>
        </w:rPr>
        <w:fldChar w:fldCharType="end"/>
      </w:r>
      <w:r>
        <w:rPr>
          <w:rStyle w:val="indexentry"/>
        </w:rPr>
        <w:t>&lt;cx "tense connection of sentences, contrasted with sumti tcita form"&gt;</w:t>
      </w:r>
      <w:r>
        <w:rPr>
          <w:rStyle w:val="indexentry"/>
        </w:rPr>
        <w:fldChar w:fldCharType="begin"/>
      </w:r>
      <w:r>
        <w:instrText>xe "</w:instrText>
      </w:r>
      <w:r>
        <w:rPr>
          <w:rStyle w:val="xeentry"/>
        </w:rPr>
        <w:instrText>tense connection of sentences: contrasted with sumti tcita form</w:instrText>
      </w:r>
      <w:r>
        <w:instrText>"</w:instrText>
      </w:r>
      <w:r>
        <w:rPr>
          <w:rStyle w:val="indexentry"/>
        </w:rPr>
        <w:fldChar w:fldCharType="end"/>
      </w:r>
      <w:r>
        <w:rPr>
          <w:rStyle w:val="indexentry"/>
        </w:rPr>
        <w:t>&lt;cx "tense, sumti tcita form contrasted with connected sentences"&gt;</w:t>
      </w:r>
      <w:r>
        <w:rPr>
          <w:rStyle w:val="indexentry"/>
        </w:rPr>
        <w:fldChar w:fldCharType="begin"/>
      </w:r>
      <w:r>
        <w:instrText>xe "</w:instrText>
      </w:r>
      <w:r>
        <w:rPr>
          <w:rStyle w:val="xeentry"/>
        </w:rPr>
        <w:instrText>tense: sumti tcita form contrasted with connected sentences</w:instrText>
      </w:r>
      <w:r>
        <w:instrText>"</w:instrText>
      </w:r>
      <w:r>
        <w:rPr>
          <w:rStyle w:val="indexentry"/>
        </w:rPr>
        <w:fldChar w:fldCharType="end"/>
      </w:r>
      <w:r>
        <w:t xml:space="preserve">Note that the bridi in </w:t>
      </w:r>
      <w:r>
        <w:rPr>
          <w:rStyle w:val="htmlcodes"/>
        </w:rPr>
        <w:t>&lt;a href=#e16d2&gt;</w:t>
      </w:r>
      <w:r>
        <w:t xml:space="preserve">Example 16.2 </w:t>
      </w:r>
      <w:r>
        <w:rPr>
          <w:rStyle w:val="htmlcodes"/>
        </w:rPr>
        <w:t>&lt;/a&gt;</w:t>
      </w:r>
      <w:r>
        <w:t>appear in the reverse or</w:t>
      </w:r>
      <w:r>
        <w:softHyphen/>
        <w:t>der from</w:t>
      </w:r>
      <w:r>
        <w:rPr>
          <w:rStyle w:val="deletedparamark"/>
        </w:rPr>
        <w:t xml:space="preserve"> </w:t>
      </w:r>
      <w:r>
        <w:t>their ap</w:t>
      </w:r>
      <w:r>
        <w:softHyphen/>
        <w:t xml:space="preserve">pearance in </w:t>
      </w:r>
      <w:r>
        <w:rPr>
          <w:rStyle w:val="htmlcodes"/>
        </w:rPr>
        <w:t>&lt;a href=#e16d1&gt;</w:t>
      </w:r>
      <w:r>
        <w:t>Example 16.1</w:t>
      </w:r>
      <w:r>
        <w:rPr>
          <w:rStyle w:val="htmlcodes"/>
        </w:rPr>
        <w:t>&lt;/a&gt;</w:t>
      </w:r>
      <w:r>
        <w:t>. With “.izu'abo” (and all other</w:t>
      </w:r>
      <w:r>
        <w:rPr>
          <w:rStyle w:val="deletedparamark"/>
        </w:rPr>
        <w:t xml:space="preserve"> </w:t>
      </w:r>
      <w:r>
        <w:t>afterthought tense connec</w:t>
      </w:r>
      <w:r>
        <w:softHyphen/>
        <w:t>tives) the se</w:t>
      </w:r>
      <w:r>
        <w:t>n</w:t>
      </w:r>
      <w:r>
        <w:softHyphen/>
        <w:t>tence specifying the origin of the</w:t>
      </w:r>
      <w:r>
        <w:rPr>
          <w:rStyle w:val="deletedparamark"/>
        </w:rPr>
        <w:t xml:space="preserve"> </w:t>
      </w:r>
      <w:r>
        <w:t>journey comes first. This is a natural order for se</w:t>
      </w:r>
      <w:r>
        <w:t>n</w:t>
      </w:r>
      <w:r>
        <w:softHyphen/>
        <w:t>tences, but requires</w:t>
      </w:r>
      <w:r>
        <w:rPr>
          <w:rStyle w:val="deletedparamark"/>
        </w:rPr>
        <w:t xml:space="preserve"> </w:t>
      </w:r>
      <w:r>
        <w:t>some care when converting between this form and the sumti tcita form.</w:t>
      </w:r>
    </w:p>
    <w:p w:rsidR="00B72047" w:rsidRDefault="00B72047">
      <w:pPr>
        <w:rPr>
          <w:rStyle w:val="htmlparacode"/>
        </w:rPr>
      </w:pPr>
      <w:r>
        <w:rPr>
          <w:rStyle w:val="htmlparacode"/>
        </w:rPr>
        <w:t>&lt;p&gt;</w:t>
      </w:r>
    </w:p>
    <w:p w:rsidR="00B72047" w:rsidRDefault="00B72047">
      <w:pPr>
        <w:pStyle w:val="normalparagraph"/>
      </w:pPr>
      <w:r>
        <w:rPr>
          <w:rStyle w:val="htmlcodes"/>
        </w:rPr>
        <w:t>&lt;a href=#e16d2&gt;</w:t>
      </w:r>
      <w:r>
        <w:t xml:space="preserve">Example 16.2 </w:t>
      </w:r>
      <w:r>
        <w:rPr>
          <w:rStyle w:val="htmlcodes"/>
        </w:rPr>
        <w:t>&lt;/a&gt;</w:t>
      </w:r>
      <w:r>
        <w:t>means the same thing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name=e16d3&gt;</w:t>
      </w:r>
      <w:r>
        <w:t>16.3)</w:t>
      </w:r>
      <w:r>
        <w:tab/>
        <w:t xml:space="preserve">le nanmu cu batci le gerku  </w:t>
      </w:r>
    </w:p>
    <w:p w:rsidR="00B72047" w:rsidRDefault="00B72047">
      <w:pPr>
        <w:pStyle w:val="examplescaled"/>
      </w:pPr>
      <w:r>
        <w:tab/>
      </w:r>
      <w:r>
        <w:tab/>
        <w:t>.i zu'a la'edi'u le verba cu cadzu le bisli</w:t>
      </w:r>
    </w:p>
    <w:p w:rsidR="00B72047" w:rsidRDefault="00B72047">
      <w:pPr>
        <w:pStyle w:val="examplescaled"/>
      </w:pPr>
      <w:r>
        <w:tab/>
        <w:t>The man bites the dog.</w:t>
      </w:r>
    </w:p>
    <w:p w:rsidR="00B72047" w:rsidRDefault="00B72047">
      <w:pPr>
        <w:pStyle w:val="examplescaled"/>
      </w:pPr>
      <w:r>
        <w:tab/>
      </w:r>
      <w:r>
        <w:tab/>
        <w:t>[Left] the-referent-of-the-last-sentence the child walks-on the ice.</w:t>
      </w:r>
    </w:p>
    <w:p w:rsidR="00B72047" w:rsidRDefault="00B72047">
      <w:pPr>
        <w:pStyle w:val="examplescaled"/>
      </w:pPr>
      <w:r>
        <w:tab/>
        <w:t xml:space="preserve">The man bites the dog. Left of what I just mentioned, the child walks on </w:t>
      </w:r>
    </w:p>
    <w:p w:rsidR="00B72047" w:rsidRDefault="00B72047">
      <w:pPr>
        <w:pStyle w:val="examplescaled"/>
        <w:ind w:firstLine="576"/>
      </w:pPr>
      <w:r>
        <w:t>the ice.</w:t>
      </w:r>
    </w:p>
    <w:p w:rsidR="00B72047" w:rsidRDefault="00B72047">
      <w:pPr>
        <w:pStyle w:val="resumedafterexample"/>
      </w:pPr>
      <w:r>
        <w:rPr>
          <w:rStyle w:val="htmlcodes"/>
        </w:rPr>
        <w:t>&lt;/pre&gt;</w:t>
      </w:r>
      <w:r>
        <w:rPr>
          <w:rStyle w:val="indexentry"/>
        </w:rPr>
        <w:t>&lt;cx "tense connected sentences, importance of “bo” in"&gt;</w:t>
      </w:r>
      <w:r>
        <w:rPr>
          <w:rStyle w:val="indexentry"/>
        </w:rPr>
        <w:fldChar w:fldCharType="begin"/>
      </w:r>
      <w:r>
        <w:instrText>xe "</w:instrText>
      </w:r>
      <w:r>
        <w:rPr>
          <w:rStyle w:val="xeentry"/>
        </w:rPr>
        <w:instrText>tense connected sentences: importance of bo in</w:instrText>
      </w:r>
      <w:r>
        <w:instrText>"</w:instrText>
      </w:r>
      <w:r>
        <w:rPr>
          <w:rStyle w:val="indexentry"/>
        </w:rPr>
        <w:fldChar w:fldCharType="end"/>
      </w:r>
      <w:r>
        <w:t>If the “bo” in Example 16.2 is omitted, the meaning changes: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name=e16d4&gt;</w:t>
      </w:r>
      <w:r>
        <w:t>16.4)</w:t>
      </w:r>
      <w:r>
        <w:tab/>
        <w:t>le nanmu cu batci le gerku  .i zu'a le verba cu cadzu le bisli</w:t>
      </w:r>
    </w:p>
    <w:p w:rsidR="00B72047" w:rsidRDefault="00B72047">
      <w:pPr>
        <w:pStyle w:val="examplescaled"/>
      </w:pPr>
      <w:r>
        <w:tab/>
        <w:t>The man bites the dog.  [Left] the child [something] walks-on the ice.</w:t>
      </w:r>
    </w:p>
    <w:p w:rsidR="00B72047" w:rsidRDefault="00B72047">
      <w:pPr>
        <w:pStyle w:val="examplescaled"/>
      </w:pPr>
      <w:r>
        <w:tab/>
        <w:t>The man bites the dog. To the left of the child, something walks on the ice.</w:t>
      </w:r>
    </w:p>
    <w:p w:rsidR="00B72047" w:rsidRDefault="00B72047">
      <w:pPr>
        <w:pStyle w:val="resumedafterexample"/>
      </w:pPr>
      <w:r>
        <w:rPr>
          <w:rStyle w:val="htmlcodes"/>
        </w:rPr>
        <w:t>&lt;/pre&gt;&lt;p&gt;</w:t>
      </w:r>
      <w:r>
        <w:t>Here the first place of the second sentence is unspecified, because “zu'a”</w:t>
      </w:r>
      <w:r>
        <w:rPr>
          <w:rStyle w:val="deletedparamark"/>
        </w:rPr>
        <w:t xml:space="preserve"> </w:t>
      </w:r>
      <w:r>
        <w:t>has absorbed the sumti “le verba”.</w:t>
      </w:r>
    </w:p>
    <w:p w:rsidR="00B72047" w:rsidRDefault="00B72047">
      <w:pPr>
        <w:rPr>
          <w:rStyle w:val="htmlparacode"/>
        </w:rPr>
      </w:pPr>
      <w:r>
        <w:rPr>
          <w:rStyle w:val="htmlparacode"/>
        </w:rPr>
        <w:t>&lt;p&gt;</w:t>
      </w:r>
    </w:p>
    <w:p w:rsidR="00B72047" w:rsidRDefault="00B72047">
      <w:pPr>
        <w:pStyle w:val="normalparagraph"/>
      </w:pPr>
      <w:r>
        <w:t xml:space="preserve">Do not confuse either </w:t>
      </w:r>
      <w:r>
        <w:rPr>
          <w:rStyle w:val="htmlcodes"/>
        </w:rPr>
        <w:t>&lt;a href=#e16d2&gt;</w:t>
      </w:r>
      <w:r>
        <w:t xml:space="preserve">Example 16.2 </w:t>
      </w:r>
      <w:r>
        <w:rPr>
          <w:rStyle w:val="htmlcodes"/>
        </w:rPr>
        <w:t>&lt;/a&gt;</w:t>
      </w:r>
      <w:r>
        <w:t xml:space="preserve">or </w:t>
      </w:r>
      <w:r>
        <w:rPr>
          <w:rStyle w:val="htmlcodes"/>
        </w:rPr>
        <w:t>&lt;a href=#e16d4&gt;</w:t>
      </w:r>
      <w:r>
        <w:t xml:space="preserve">Example 16.4 </w:t>
      </w:r>
      <w:r>
        <w:rPr>
          <w:rStyle w:val="htmlcodes"/>
        </w:rPr>
        <w:t>&lt;/a&gt;</w:t>
      </w:r>
      <w:r>
        <w:t>with the following:</w:t>
      </w:r>
    </w:p>
    <w:p w:rsidR="00B72047" w:rsidRDefault="00B72047">
      <w:pPr>
        <w:rPr>
          <w:rStyle w:val="htmlparacode"/>
        </w:rPr>
      </w:pPr>
      <w:r>
        <w:rPr>
          <w:rStyle w:val="htmlparacode"/>
        </w:rPr>
        <w:t>&lt;p&gt;</w:t>
      </w:r>
    </w:p>
    <w:p w:rsidR="00B72047" w:rsidRDefault="00B72047">
      <w:pPr>
        <w:pStyle w:val="examplescaledpre"/>
      </w:pPr>
      <w:r>
        <w:rPr>
          <w:rStyle w:val="indexentry"/>
        </w:rPr>
        <w:t>&lt;cx "tense connected sentences, contrasted with separately tensed sentences"&gt;</w:t>
      </w:r>
      <w:r>
        <w:rPr>
          <w:rStyle w:val="indexentry"/>
        </w:rPr>
        <w:fldChar w:fldCharType="begin"/>
      </w:r>
      <w:r>
        <w:instrText>xe "</w:instrText>
      </w:r>
      <w:r>
        <w:rPr>
          <w:rStyle w:val="xeentry"/>
        </w:rPr>
        <w:instrText>tense connected sentences: contrasted with separately tensed sentences</w:instrText>
      </w:r>
      <w:r>
        <w:instrText>"</w:instrText>
      </w:r>
      <w:r>
        <w:rPr>
          <w:rStyle w:val="indexentry"/>
        </w:rPr>
        <w:fldChar w:fldCharType="end"/>
      </w:r>
      <w:r>
        <w:rPr>
          <w:rStyle w:val="indexentry"/>
        </w:rPr>
        <w:t>&lt;cx "separately tensed sentences, contrasted with tense connected sentences"&gt;</w:t>
      </w:r>
      <w:r>
        <w:rPr>
          <w:rStyle w:val="indexentry"/>
        </w:rPr>
        <w:fldChar w:fldCharType="begin"/>
      </w:r>
      <w:r>
        <w:instrText>xe "</w:instrText>
      </w:r>
      <w:r>
        <w:rPr>
          <w:rStyle w:val="xeentry"/>
        </w:rPr>
        <w:instrText>separately tensed sentences: contrasted with tense connected sentences</w:instrText>
      </w:r>
      <w:r>
        <w:instrText>"</w:instrText>
      </w:r>
      <w:r>
        <w:rPr>
          <w:rStyle w:val="indexentry"/>
        </w:rPr>
        <w:fldChar w:fldCharType="end"/>
      </w:r>
      <w:r>
        <w:rPr>
          <w:rStyle w:val="htmlcodes"/>
        </w:rPr>
        <w:t>&lt;pre&gt;&lt;a name=e16d5&gt;</w:t>
      </w:r>
      <w:r>
        <w:t>16.5)</w:t>
      </w:r>
      <w:r>
        <w:tab/>
        <w:t>le nanmu cu batci le gerku  .i zu'aku le verba cu cadzu le bisli</w:t>
      </w:r>
    </w:p>
    <w:p w:rsidR="00B72047" w:rsidRDefault="00B72047">
      <w:pPr>
        <w:pStyle w:val="examplescaled"/>
      </w:pPr>
      <w:r>
        <w:tab/>
        <w:t>The man bites the dog.  [Left] the child walks-on the ice.</w:t>
      </w:r>
    </w:p>
    <w:p w:rsidR="00B72047" w:rsidRDefault="00B72047">
      <w:pPr>
        <w:pStyle w:val="examplescaled"/>
      </w:pPr>
      <w:r>
        <w:tab/>
        <w:t>The man bites the dog. Left of me, the child walks on the ice.</w:t>
      </w:r>
    </w:p>
    <w:p w:rsidR="00B72047" w:rsidRDefault="00B72047">
      <w:pPr>
        <w:pStyle w:val="resumedafterexample"/>
      </w:pPr>
      <w:r>
        <w:rPr>
          <w:rStyle w:val="htmlcodes"/>
        </w:rPr>
        <w:t>&lt;/pre&gt;&lt;p&gt;</w:t>
      </w:r>
      <w:r>
        <w:t xml:space="preserve">In </w:t>
      </w:r>
      <w:r>
        <w:rPr>
          <w:rStyle w:val="htmlcodes"/>
        </w:rPr>
        <w:t>&lt;a href=#e16d5&gt;</w:t>
      </w:r>
      <w:r>
        <w:t>Example 16.5</w:t>
      </w:r>
      <w:r>
        <w:rPr>
          <w:rStyle w:val="htmlcodes"/>
        </w:rPr>
        <w:t>&lt;/a&gt;</w:t>
      </w:r>
      <w:r>
        <w:t>, the origin point is the speaker, as is usual with “zu'aku”.</w:t>
      </w:r>
      <w:r>
        <w:rPr>
          <w:rStyle w:val="deletedparamark"/>
        </w:rPr>
        <w:t xml:space="preserve"> </w:t>
      </w:r>
      <w:r>
        <w:rPr>
          <w:rStyle w:val="htmlcodes"/>
        </w:rPr>
        <w:t>&lt;a href=#e16d2&gt;</w:t>
      </w:r>
      <w:r>
        <w:t xml:space="preserve">Example 16.2 </w:t>
      </w:r>
      <w:r>
        <w:rPr>
          <w:rStyle w:val="htmlcodes"/>
        </w:rPr>
        <w:t>&lt;/a&gt;</w:t>
      </w:r>
      <w:r>
        <w:t>makes the origin point of the tense the event described by the</w:t>
      </w:r>
      <w:r>
        <w:rPr>
          <w:rStyle w:val="deletedparamark"/>
        </w:rPr>
        <w:t xml:space="preserve"> </w:t>
      </w:r>
      <w:r>
        <w:t>first sentence.</w:t>
      </w:r>
    </w:p>
    <w:p w:rsidR="00B72047" w:rsidRDefault="00B72047">
      <w:pPr>
        <w:rPr>
          <w:rStyle w:val="htmlparacode"/>
        </w:rPr>
      </w:pPr>
      <w:r>
        <w:rPr>
          <w:rStyle w:val="htmlparacode"/>
        </w:rPr>
        <w:t>&lt;p&gt;</w:t>
      </w:r>
    </w:p>
    <w:p w:rsidR="00B72047" w:rsidRDefault="00B72047">
      <w:pPr>
        <w:pStyle w:val="normalparagraph"/>
      </w:pPr>
      <w:r>
        <w:rPr>
          <w:rStyle w:val="indexentry"/>
        </w:rPr>
        <w:t>&lt;cx "tense connected sentences, forethought mode"&gt;</w:t>
      </w:r>
      <w:r>
        <w:rPr>
          <w:rStyle w:val="indexentry"/>
        </w:rPr>
        <w:fldChar w:fldCharType="begin"/>
      </w:r>
      <w:r>
        <w:instrText>xe "</w:instrText>
      </w:r>
      <w:r>
        <w:rPr>
          <w:rStyle w:val="xeentry"/>
        </w:rPr>
        <w:instrText>tense connected sentences: forethought mode</w:instrText>
      </w:r>
      <w:r>
        <w:instrText>"</w:instrText>
      </w:r>
      <w:r>
        <w:rPr>
          <w:rStyle w:val="indexentry"/>
        </w:rPr>
        <w:fldChar w:fldCharType="end"/>
      </w:r>
      <w:r>
        <w:t>Two sentences may also be connected in forethought by a tense relationship.</w:t>
      </w:r>
      <w:r>
        <w:rPr>
          <w:rStyle w:val="deletedparamark"/>
        </w:rPr>
        <w:t xml:space="preserve"> </w:t>
      </w:r>
      <w:r>
        <w:t>Just like afterthought tense connection, fore</w:t>
      </w:r>
      <w:r>
        <w:softHyphen/>
        <w:t>thought tense connection claims</w:t>
      </w:r>
      <w:r>
        <w:rPr>
          <w:rStyle w:val="deletedparamark"/>
        </w:rPr>
        <w:t xml:space="preserve"> </w:t>
      </w:r>
      <w:r>
        <w:t>both sen</w:t>
      </w:r>
      <w:r>
        <w:softHyphen/>
        <w:t>tences, and in addition claims that the time or space relationship</w:t>
      </w:r>
      <w:r>
        <w:rPr>
          <w:rStyle w:val="deletedparamark"/>
        </w:rPr>
        <w:t xml:space="preserve"> </w:t>
      </w:r>
      <w:r>
        <w:t>specified by the tense holds between the events the two sentences describe.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"forethought tense connection of sentences, order of"&gt;</w:t>
      </w:r>
      <w:r>
        <w:rPr>
          <w:rStyle w:val="indexentry"/>
        </w:rPr>
        <w:fldChar w:fldCharType="begin"/>
      </w:r>
      <w:r>
        <w:instrText>xe "</w:instrText>
      </w:r>
      <w:r>
        <w:rPr>
          <w:rStyle w:val="xeentry"/>
        </w:rPr>
        <w:instrText>forethought tense connection of sentences: order of</w:instrText>
      </w:r>
      <w:r>
        <w:instrText>"</w:instrText>
      </w:r>
      <w:r>
        <w:rPr>
          <w:rStyle w:val="indexentry"/>
        </w:rPr>
        <w:fldChar w:fldCharType="end"/>
      </w:r>
      <w:r>
        <w:rPr>
          <w:rStyle w:val="indexentry"/>
        </w:rPr>
        <w:t>&lt;cx "sentences, forethought tense connection of"&gt;</w:t>
      </w:r>
      <w:r>
        <w:rPr>
          <w:rStyle w:val="indexentry"/>
        </w:rPr>
        <w:fldChar w:fldCharType="begin"/>
      </w:r>
      <w:r>
        <w:instrText>xe "</w:instrText>
      </w:r>
      <w:r>
        <w:rPr>
          <w:rStyle w:val="xeentry"/>
        </w:rPr>
        <w:instrText>sentences: forethought tense connection of</w:instrText>
      </w:r>
      <w:r>
        <w:instrText>"</w:instrText>
      </w:r>
      <w:r>
        <w:rPr>
          <w:rStyle w:val="indexentry"/>
        </w:rPr>
        <w:fldChar w:fldCharType="end"/>
      </w:r>
      <w:r>
        <w:rPr>
          <w:rStyle w:val="indexentry"/>
        </w:rPr>
        <w:t>&lt;cx "imaginary journey, origin in tense forethought sentence connection"&gt;</w:t>
      </w:r>
      <w:r>
        <w:rPr>
          <w:rStyle w:val="indexentry"/>
        </w:rPr>
        <w:fldChar w:fldCharType="begin"/>
      </w:r>
      <w:r>
        <w:instrText>xe "</w:instrText>
      </w:r>
      <w:r>
        <w:rPr>
          <w:rStyle w:val="xeentry"/>
        </w:rPr>
        <w:instrText>imaginary journey: origin in tense forethought sentence connection</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t>The origin sentence is placed first, preceded by a tense plus “gi”. Another</w:t>
      </w:r>
      <w:r>
        <w:rPr>
          <w:rStyle w:val="deletedparamark"/>
        </w:rPr>
        <w:t xml:space="preserve"> “</w:t>
      </w:r>
      <w:r>
        <w:t>gi” is used to separate the sentences: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name=e16d6&gt;</w:t>
      </w:r>
      <w:r>
        <w:t>16.6)</w:t>
      </w:r>
      <w:r>
        <w:tab/>
        <w:t>pugi mi klama le zarci gi mi klama le zdani</w:t>
      </w:r>
    </w:p>
    <w:p w:rsidR="00B72047" w:rsidRDefault="00B72047">
      <w:pPr>
        <w:pStyle w:val="examplescaled"/>
      </w:pPr>
      <w:r>
        <w:tab/>
        <w:t>[past] I go-to the market [,] I go-to the house.</w:t>
      </w:r>
    </w:p>
    <w:p w:rsidR="00B72047" w:rsidRDefault="00B72047">
      <w:pPr>
        <w:pStyle w:val="examplescaled"/>
      </w:pPr>
      <w:r>
        <w:tab/>
        <w:t>Before I go to the market, I go to the house.</w:t>
      </w:r>
    </w:p>
    <w:p w:rsidR="00B72047" w:rsidRDefault="00B72047">
      <w:pPr>
        <w:pStyle w:val="resumedafterexample"/>
      </w:pPr>
      <w:r>
        <w:rPr>
          <w:rStyle w:val="htmlcodes"/>
        </w:rPr>
        <w:t>&lt;/pre&gt;&lt;p&gt;</w:t>
      </w:r>
      <w:r>
        <w:t>A parallel construction can be used to express a tense relationship between</w:t>
      </w:r>
      <w:r>
        <w:rPr>
          <w:rStyle w:val="deletedparamark"/>
        </w:rPr>
        <w:t xml:space="preserve"> </w:t>
      </w:r>
      <w:r>
        <w:t>sumti:</w:t>
      </w:r>
    </w:p>
    <w:p w:rsidR="00B72047" w:rsidRDefault="00B72047">
      <w:pPr>
        <w:rPr>
          <w:rStyle w:val="htmlparacode"/>
        </w:rPr>
      </w:pPr>
      <w:r>
        <w:rPr>
          <w:rStyle w:val="htmlparacode"/>
        </w:rPr>
        <w:t>&lt;p&gt;</w:t>
      </w:r>
    </w:p>
    <w:p w:rsidR="00B72047" w:rsidRDefault="00B72047">
      <w:pPr>
        <w:pStyle w:val="examplescaledpre"/>
      </w:pPr>
      <w:r>
        <w:rPr>
          <w:rStyle w:val="indexentry"/>
        </w:rPr>
        <w:t>&lt;cx "forethought tense connection of sumti, order of"&gt;</w:t>
      </w:r>
      <w:r>
        <w:rPr>
          <w:rStyle w:val="indexentry"/>
        </w:rPr>
        <w:fldChar w:fldCharType="begin"/>
      </w:r>
      <w:r>
        <w:instrText>xe "</w:instrText>
      </w:r>
      <w:r>
        <w:rPr>
          <w:rStyle w:val="xeentry"/>
        </w:rPr>
        <w:instrText>forethought tense connection of sumti: order of</w:instrText>
      </w:r>
      <w:r>
        <w:instrText>"</w:instrText>
      </w:r>
      <w:r>
        <w:rPr>
          <w:rStyle w:val="indexentry"/>
        </w:rPr>
        <w:fldChar w:fldCharType="end"/>
      </w:r>
      <w:r>
        <w:rPr>
          <w:rStyle w:val="indexentry"/>
        </w:rPr>
        <w:t>&lt;cx "imaginary journey, origin in tense forethought sumti connection"&gt;</w:t>
      </w:r>
      <w:r>
        <w:rPr>
          <w:rStyle w:val="indexentry"/>
        </w:rPr>
        <w:fldChar w:fldCharType="begin"/>
      </w:r>
      <w:r>
        <w:instrText>xe "</w:instrText>
      </w:r>
      <w:r>
        <w:rPr>
          <w:rStyle w:val="xeentry"/>
        </w:rPr>
        <w:instrText>imaginary journey: origin in tense forethought sumti connection</w:instrText>
      </w:r>
      <w:r>
        <w:instrText>"</w:instrText>
      </w:r>
      <w:r>
        <w:rPr>
          <w:rStyle w:val="indexentry"/>
        </w:rPr>
        <w:fldChar w:fldCharType="end"/>
      </w:r>
      <w:r>
        <w:rPr>
          <w:rStyle w:val="indexentry"/>
        </w:rPr>
        <w:t>&lt;cx "sumti, forethought tense connection of"&gt;</w:t>
      </w:r>
      <w:r>
        <w:rPr>
          <w:rStyle w:val="indexentry"/>
        </w:rPr>
        <w:fldChar w:fldCharType="begin"/>
      </w:r>
      <w:r>
        <w:instrText>xe "</w:instrText>
      </w:r>
      <w:r>
        <w:rPr>
          <w:rStyle w:val="xeentry"/>
        </w:rPr>
        <w:instrText>sumti: forethought tense connection of</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rPr>
          <w:rStyle w:val="htmlcodes"/>
        </w:rPr>
        <w:t>&lt;pre&gt;&lt;a name=e16d7&gt;</w:t>
      </w:r>
      <w:r>
        <w:t>16.7)</w:t>
      </w:r>
      <w:r>
        <w:tab/>
        <w:t>mi klama pugi le zarci gi le zdani</w:t>
      </w:r>
    </w:p>
    <w:p w:rsidR="00B72047" w:rsidRDefault="00B72047">
      <w:pPr>
        <w:pStyle w:val="examplescaled"/>
      </w:pPr>
      <w:r>
        <w:tab/>
        <w:t>I go-to [past] the market [,] the house.</w:t>
      </w:r>
    </w:p>
    <w:p w:rsidR="00B72047" w:rsidRDefault="00B72047">
      <w:pPr>
        <w:pStyle w:val="normalafterexample"/>
      </w:pPr>
      <w:r>
        <w:rPr>
          <w:rStyle w:val="htmlcodes"/>
        </w:rPr>
        <w:t>&lt;/pre&gt;&lt;p&gt;</w:t>
      </w:r>
      <w:r>
        <w:t>Because English does not have any direct way of expressing a tense-like</w:t>
      </w:r>
      <w:r>
        <w:rPr>
          <w:rStyle w:val="deletedparamark"/>
        </w:rPr>
        <w:t xml:space="preserve"> </w:t>
      </w:r>
      <w:r>
        <w:t>rela</w:t>
      </w:r>
      <w:r>
        <w:softHyphen/>
        <w:t xml:space="preserve">tionship between nouns, </w:t>
      </w:r>
      <w:r>
        <w:rPr>
          <w:rStyle w:val="htmlcodes"/>
        </w:rPr>
        <w:t>&lt;a href=#e16d7&gt;</w:t>
      </w:r>
      <w:r>
        <w:t xml:space="preserve">Example 16.7 </w:t>
      </w:r>
      <w:r>
        <w:rPr>
          <w:rStyle w:val="htmlcodes"/>
        </w:rPr>
        <w:t>&lt;/a&gt;</w:t>
      </w:r>
      <w:r>
        <w:t>cannot be expressed in English</w:t>
      </w:r>
      <w:r>
        <w:rPr>
          <w:rStyle w:val="deletedparamark"/>
        </w:rPr>
        <w:t xml:space="preserve"> </w:t>
      </w:r>
      <w:r>
        <w:t>without para</w:t>
      </w:r>
      <w:r>
        <w:softHyphen/>
        <w:t xml:space="preserve">phrasing it either into </w:t>
      </w:r>
      <w:r>
        <w:rPr>
          <w:rStyle w:val="htmlcodes"/>
        </w:rPr>
        <w:t>&lt;a href=#e16d6&gt;</w:t>
      </w:r>
      <w:r>
        <w:t xml:space="preserve">Example 16.6 </w:t>
      </w:r>
      <w:r>
        <w:rPr>
          <w:rStyle w:val="htmlcodes"/>
        </w:rPr>
        <w:t>&lt;/a&gt;</w:t>
      </w:r>
      <w:r>
        <w:t>or else into “I go to the</w:t>
      </w:r>
      <w:r>
        <w:rPr>
          <w:rStyle w:val="deletedparamark"/>
        </w:rPr>
        <w:t xml:space="preserve"> </w:t>
      </w:r>
      <w:r>
        <w:t>house before the market”, which is a</w:t>
      </w:r>
      <w:r>
        <w:t>m</w:t>
      </w:r>
      <w:r>
        <w:softHyphen/>
        <w:t>biguous — is the market going?</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tense connection of bridi-tails, order of"&gt;</w:t>
      </w:r>
      <w:r>
        <w:rPr>
          <w:rStyle w:val="indexentry"/>
        </w:rPr>
        <w:fldChar w:fldCharType="begin"/>
      </w:r>
      <w:r>
        <w:instrText>xe "</w:instrText>
      </w:r>
      <w:r>
        <w:rPr>
          <w:rStyle w:val="xeentry"/>
        </w:rPr>
        <w:instrText>forethought tense connection of bridi-tails: order of</w:instrText>
      </w:r>
      <w:r>
        <w:instrText>"</w:instrText>
      </w:r>
      <w:r>
        <w:rPr>
          <w:rStyle w:val="indexentry"/>
        </w:rPr>
        <w:fldChar w:fldCharType="end"/>
      </w:r>
      <w:r>
        <w:rPr>
          <w:rStyle w:val="indexentry"/>
        </w:rPr>
        <w:t>&lt;cx "imaginary journey, origin in tense forethought bridi-tail connection"&gt;</w:t>
      </w:r>
      <w:r>
        <w:rPr>
          <w:rStyle w:val="indexentry"/>
        </w:rPr>
        <w:fldChar w:fldCharType="begin"/>
      </w:r>
      <w:r>
        <w:instrText>xe "</w:instrText>
      </w:r>
      <w:r>
        <w:rPr>
          <w:rStyle w:val="xeentry"/>
        </w:rPr>
        <w:instrText>imaginary journey: origin in tense forethought bridi-tail connection</w:instrText>
      </w:r>
      <w:r>
        <w:instrText>"</w:instrText>
      </w:r>
      <w:r>
        <w:rPr>
          <w:rStyle w:val="indexentry"/>
        </w:rPr>
        <w:fldChar w:fldCharType="end"/>
      </w:r>
      <w:r>
        <w:rPr>
          <w:rStyle w:val="indexentry"/>
        </w:rPr>
        <w:t>&lt;cx "bridi-tails, forethought tense connection of"&gt;</w:t>
      </w:r>
      <w:r>
        <w:rPr>
          <w:rStyle w:val="indexentry"/>
        </w:rPr>
        <w:fldChar w:fldCharType="begin"/>
      </w:r>
      <w:r>
        <w:instrText>xe "</w:instrText>
      </w:r>
      <w:r>
        <w:rPr>
          <w:rStyle w:val="xeentry"/>
        </w:rPr>
        <w:instrText>bridi-tails: forethought tense connection of</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t>Finally, a third forethought construction expresses a tense relationship</w:t>
      </w:r>
      <w:r>
        <w:rPr>
          <w:rStyle w:val="deletedparamark"/>
        </w:rPr>
        <w:t xml:space="preserve"> </w:t>
      </w:r>
      <w:r>
        <w:t>between bridi-tails rather than whole bridi. (The construct known as a</w:t>
      </w:r>
      <w:r>
        <w:rPr>
          <w:rStyle w:val="deletedparamark"/>
        </w:rPr>
        <w:t xml:space="preserve"> “</w:t>
      </w:r>
      <w:r>
        <w:t xml:space="preserve">bridi-tail” is explained fully in </w:t>
      </w:r>
      <w:r>
        <w:rPr>
          <w:rStyle w:val="htmlcodes"/>
        </w:rPr>
        <w:t>&lt;a href=chap14.html&gt;</w:t>
      </w:r>
      <w:r>
        <w:t>Chapter 14</w:t>
      </w:r>
      <w:r>
        <w:rPr>
          <w:rStyle w:val="htmlcodes"/>
        </w:rPr>
        <w:t>&lt;/a&gt;</w:t>
      </w:r>
      <w:r>
        <w:t>; roughly speak</w:t>
      </w:r>
      <w:r>
        <w:softHyphen/>
        <w:t>ing, it is a</w:t>
      </w:r>
      <w:r>
        <w:rPr>
          <w:rStyle w:val="deletedparamark"/>
        </w:rPr>
        <w:t xml:space="preserve"> </w:t>
      </w:r>
      <w:r>
        <w:t xml:space="preserve">selbri, possibly with following sumti.) </w:t>
      </w:r>
      <w:r>
        <w:rPr>
          <w:rStyle w:val="htmlcodes"/>
        </w:rPr>
        <w:t>&lt;a href=#e16d8&gt;</w:t>
      </w:r>
      <w:r>
        <w:t xml:space="preserve">Example 16.8 </w:t>
      </w:r>
      <w:r>
        <w:rPr>
          <w:rStyle w:val="htmlcodes"/>
        </w:rPr>
        <w:t>&lt;/a&gt;</w:t>
      </w:r>
      <w:r>
        <w:t>is equivalent in</w:t>
      </w:r>
      <w:r>
        <w:rPr>
          <w:rStyle w:val="deletedparamark"/>
        </w:rPr>
        <w:t xml:space="preserve"> </w:t>
      </w:r>
      <w:r>
        <w:t xml:space="preserve">meaning to </w:t>
      </w:r>
      <w:r>
        <w:rPr>
          <w:rStyle w:val="htmlcodes"/>
        </w:rPr>
        <w:t>&lt;a href=#e16d6&gt;</w:t>
      </w:r>
      <w:r>
        <w:t xml:space="preserve">Example 16.6 </w:t>
      </w:r>
      <w:r>
        <w:rPr>
          <w:rStyle w:val="htmlcodes"/>
        </w:rPr>
        <w:t>&lt;/a&gt;</w:t>
      </w:r>
      <w:r>
        <w:t xml:space="preserve">and </w:t>
      </w:r>
      <w:r>
        <w:rPr>
          <w:rStyle w:val="htmlcodes"/>
        </w:rPr>
        <w:t>&lt;a href=#e16d7&gt;</w:t>
      </w:r>
      <w:r>
        <w:t>Example 16.7</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name=e16d8&gt;</w:t>
      </w:r>
      <w:r>
        <w:t>16.8)</w:t>
      </w:r>
      <w:r>
        <w:tab/>
        <w:t>mi pugi klama le zarci gi klama le zdani</w:t>
      </w:r>
    </w:p>
    <w:p w:rsidR="00B72047" w:rsidRDefault="00B72047">
      <w:pPr>
        <w:pStyle w:val="examplescaled"/>
      </w:pPr>
      <w:r>
        <w:tab/>
        <w:t>I [past] go-to the market [,] go-to the house.</w:t>
      </w:r>
    </w:p>
    <w:p w:rsidR="00B72047" w:rsidRDefault="00B72047">
      <w:pPr>
        <w:pStyle w:val="examplescaled"/>
      </w:pPr>
      <w:r>
        <w:tab/>
        <w:t>I, before going to the market, go to the house.</w:t>
      </w:r>
    </w:p>
    <w:p w:rsidR="00B72047" w:rsidRDefault="00B72047">
      <w:pPr>
        <w:pStyle w:val="resumedafterexample"/>
      </w:pPr>
      <w:r>
        <w:rPr>
          <w:rStyle w:val="htmlcodes"/>
        </w:rPr>
        <w:t>&lt;/pre&gt;</w:t>
      </w:r>
      <w:r>
        <w:rPr>
          <w:rStyle w:val="indexentry"/>
        </w:rPr>
        <w:t>&lt;cx "tense connection of sumti, meaning of"&gt;</w:t>
      </w:r>
      <w:r>
        <w:rPr>
          <w:rStyle w:val="indexentry"/>
        </w:rPr>
        <w:fldChar w:fldCharType="begin"/>
      </w:r>
      <w:r>
        <w:instrText>xe "</w:instrText>
      </w:r>
      <w:r>
        <w:rPr>
          <w:rStyle w:val="xeentry"/>
        </w:rPr>
        <w:instrText>tense connection of sumti: meaning of</w:instrText>
      </w:r>
      <w:r>
        <w:instrText>"</w:instrText>
      </w:r>
      <w:r>
        <w:rPr>
          <w:rStyle w:val="indexentry"/>
        </w:rPr>
        <w:fldChar w:fldCharType="end"/>
      </w:r>
      <w:r>
        <w:rPr>
          <w:rStyle w:val="indexentry"/>
        </w:rPr>
        <w:t>&lt;cx "tense connection of bridi-tails, meaning of"&gt;</w:t>
      </w:r>
      <w:r>
        <w:rPr>
          <w:rStyle w:val="indexentry"/>
        </w:rPr>
        <w:fldChar w:fldCharType="begin"/>
      </w:r>
      <w:r>
        <w:instrText>xe "</w:instrText>
      </w:r>
      <w:r>
        <w:rPr>
          <w:rStyle w:val="xeentry"/>
        </w:rPr>
        <w:instrText>tense connection of bridi-tails: meaning of</w:instrText>
      </w:r>
      <w:r>
        <w:instrText>"</w:instrText>
      </w:r>
      <w:r>
        <w:rPr>
          <w:rStyle w:val="indexentry"/>
        </w:rPr>
        <w:fldChar w:fldCharType="end"/>
      </w:r>
      <w:r>
        <w:t xml:space="preserve">In both </w:t>
      </w:r>
      <w:r>
        <w:rPr>
          <w:rStyle w:val="htmlcodes"/>
        </w:rPr>
        <w:t>&lt;a href=#e16d7&gt;</w:t>
      </w:r>
      <w:r>
        <w:t xml:space="preserve">Example 16.7 </w:t>
      </w:r>
      <w:r>
        <w:rPr>
          <w:rStyle w:val="htmlcodes"/>
        </w:rPr>
        <w:t>&lt;/a&gt;</w:t>
      </w:r>
      <w:r>
        <w:t xml:space="preserve">and </w:t>
      </w:r>
      <w:r>
        <w:rPr>
          <w:rStyle w:val="htmlcodes"/>
        </w:rPr>
        <w:t>&lt;a href=#e16d8&gt;</w:t>
      </w:r>
      <w:r>
        <w:t>Example 16.8</w:t>
      </w:r>
      <w:r>
        <w:rPr>
          <w:rStyle w:val="htmlcodes"/>
        </w:rPr>
        <w:t>&lt;/a&gt;</w:t>
      </w:r>
      <w:r>
        <w:t>, the underlying sentences “mi klama</w:t>
      </w:r>
      <w:r>
        <w:rPr>
          <w:rStyle w:val="deletedparamark"/>
        </w:rPr>
        <w:t xml:space="preserve"> </w:t>
      </w:r>
      <w:r>
        <w:t>le zarci” and “mi klama le zdani” are not claimed; only the relationship</w:t>
      </w:r>
      <w:r>
        <w:rPr>
          <w:rStyle w:val="deletedparamark"/>
        </w:rPr>
        <w:t xml:space="preserve"> </w:t>
      </w:r>
      <w:r>
        <w:t>in time between them is claimed.</w:t>
      </w:r>
    </w:p>
    <w:p w:rsidR="00B72047" w:rsidRDefault="00B72047">
      <w:pPr>
        <w:rPr>
          <w:rStyle w:val="htmlparacode"/>
        </w:rPr>
      </w:pPr>
      <w:r>
        <w:rPr>
          <w:rStyle w:val="htmlparacode"/>
        </w:rPr>
        <w:t>&lt;p&gt;</w:t>
      </w:r>
    </w:p>
    <w:p w:rsidR="00B72047" w:rsidRDefault="00B72047">
      <w:pPr>
        <w:pStyle w:val="normalparagraph"/>
      </w:pPr>
      <w:r>
        <w:rPr>
          <w:rStyle w:val="indexentry"/>
        </w:rPr>
        <w:t>&lt;cx "tense forethought connection forms, selma'o allowed"&gt;</w:t>
      </w:r>
      <w:r>
        <w:rPr>
          <w:rStyle w:val="indexentry"/>
        </w:rPr>
        <w:fldChar w:fldCharType="begin"/>
      </w:r>
      <w:r>
        <w:instrText>xe "</w:instrText>
      </w:r>
      <w:r>
        <w:rPr>
          <w:rStyle w:val="xeentry"/>
        </w:rPr>
        <w:instrText>tense forethought connection forms: selma'o allowed</w:instrText>
      </w:r>
      <w:r>
        <w:instrText>"</w:instrText>
      </w:r>
      <w:r>
        <w:rPr>
          <w:rStyle w:val="indexentry"/>
        </w:rPr>
        <w:fldChar w:fldCharType="end"/>
      </w:r>
      <w:r>
        <w:rPr>
          <w:rStyle w:val="indexentry"/>
        </w:rPr>
        <w:t>&lt;cx "tense afterthought connection forms, selma'o allowed"&gt;</w:t>
      </w:r>
      <w:r>
        <w:rPr>
          <w:rStyle w:val="indexentry"/>
        </w:rPr>
        <w:fldChar w:fldCharType="begin"/>
      </w:r>
      <w:r>
        <w:instrText>xe "</w:instrText>
      </w:r>
      <w:r>
        <w:rPr>
          <w:rStyle w:val="xeentry"/>
        </w:rPr>
        <w:instrText>tense afterthought connection forms: selma'o allowed</w:instrText>
      </w:r>
      <w:r>
        <w:instrText>"</w:instrText>
      </w:r>
      <w:r>
        <w:rPr>
          <w:rStyle w:val="indexentry"/>
        </w:rPr>
        <w:fldChar w:fldCharType="end"/>
      </w:r>
      <w:r>
        <w:t>Both the forethought and the afterthought forms are appro</w:t>
      </w:r>
      <w:r>
        <w:softHyphen/>
        <w:t>priate with PU,</w:t>
      </w:r>
      <w:r>
        <w:rPr>
          <w:rStyle w:val="deletedparamark"/>
        </w:rPr>
        <w:t xml:space="preserve"> </w:t>
      </w:r>
      <w:r>
        <w:t>ZI, FAhA, VA, and ZAhO tenses. In all cases, the equivalent forms are</w:t>
      </w:r>
      <w:r>
        <w:rPr>
          <w:rStyle w:val="deletedparamark"/>
        </w:rPr>
        <w:t xml:space="preserve"> </w:t>
      </w:r>
      <w:r>
        <w:t>(where X and Y stand for sentences, and TENSE for a tense cmavo):</w:t>
      </w:r>
    </w:p>
    <w:p w:rsidR="00B72047" w:rsidRDefault="00B72047">
      <w:pPr>
        <w:rPr>
          <w:rStyle w:val="htmlparacode"/>
        </w:rPr>
      </w:pPr>
      <w:r>
        <w:rPr>
          <w:rStyle w:val="htmlparacode"/>
        </w:rPr>
        <w:t>&lt;p&gt;</w:t>
      </w:r>
    </w:p>
    <w:p w:rsidR="00B72047" w:rsidRDefault="00B72047">
      <w:pPr>
        <w:pStyle w:val="examplescaledpre"/>
      </w:pPr>
      <w:r>
        <w:rPr>
          <w:rStyle w:val="indexentry"/>
        </w:rPr>
        <w:t>&lt;cx "tense connection, equivalent meanings"&gt;</w:t>
      </w:r>
      <w:r>
        <w:rPr>
          <w:rStyle w:val="indexentry"/>
        </w:rPr>
        <w:fldChar w:fldCharType="begin"/>
      </w:r>
      <w:r>
        <w:instrText>xe "</w:instrText>
      </w:r>
      <w:r>
        <w:rPr>
          <w:rStyle w:val="xeentry"/>
        </w:rPr>
        <w:instrText>tense connection: equivalent meanings</w:instrText>
      </w:r>
      <w:r>
        <w:instrText>"</w:instrText>
      </w:r>
      <w:r>
        <w:rPr>
          <w:rStyle w:val="indexentry"/>
        </w:rPr>
        <w:fldChar w:fldCharType="end"/>
      </w:r>
      <w:r>
        <w:rPr>
          <w:rStyle w:val="indexentry"/>
        </w:rPr>
        <w:t>&lt;cx "tense connection, expansions of"&gt;</w:t>
      </w:r>
      <w:r>
        <w:rPr>
          <w:rStyle w:val="indexentry"/>
        </w:rPr>
        <w:fldChar w:fldCharType="begin"/>
      </w:r>
      <w:r>
        <w:instrText>xe "</w:instrText>
      </w:r>
      <w:r>
        <w:rPr>
          <w:rStyle w:val="xeentry"/>
        </w:rPr>
        <w:instrText>tense connection: expansions of</w:instrText>
      </w:r>
      <w:r>
        <w:instrText>"</w:instrText>
      </w:r>
      <w:r>
        <w:rPr>
          <w:rStyle w:val="indexentry"/>
        </w:rPr>
        <w:fldChar w:fldCharType="end"/>
      </w:r>
      <w:r>
        <w:rPr>
          <w:rStyle w:val="htmlcodes"/>
        </w:rPr>
        <w:t>&lt;dl compact&gt;&lt;dt&gt;</w:t>
      </w:r>
      <w:r>
        <w:tab/>
      </w:r>
      <w:r>
        <w:rPr>
          <w:rStyle w:val="htmlcodes"/>
        </w:rPr>
        <w:t>&lt;dd&gt;</w:t>
      </w:r>
      <w:r>
        <w:t>subordinate:  X TENSE le nu Y</w:t>
      </w:r>
    </w:p>
    <w:p w:rsidR="00B72047" w:rsidRDefault="00B72047">
      <w:pPr>
        <w:pStyle w:val="examplescaled"/>
      </w:pPr>
      <w:r>
        <w:tab/>
        <w:t>afterthought coordinate:  Y  .i+TENSE+bo X</w:t>
      </w:r>
    </w:p>
    <w:p w:rsidR="00B72047" w:rsidRDefault="00B72047">
      <w:pPr>
        <w:pStyle w:val="examplescaled"/>
      </w:pPr>
      <w:r>
        <w:tab/>
        <w:t>forethought coordinate:  TENSE+gi X gi Y</w:t>
      </w:r>
    </w:p>
    <w:p w:rsidR="00B72047" w:rsidRDefault="00B72047">
      <w:pPr>
        <w:pStyle w:val="Heading3"/>
        <w:rPr>
          <w:rStyle w:val="Heading3Text"/>
        </w:rPr>
      </w:pPr>
      <w:r>
        <w:rPr>
          <w:rStyle w:val="htmlcodes"/>
        </w:rPr>
        <w:t>&lt;/dl&gt;&lt;a name=s17&gt;&lt;h3&gt;</w:t>
      </w:r>
      <w:bookmarkStart w:id="346" w:name="_Toc398970591"/>
      <w:r>
        <w:rPr>
          <w:rStyle w:val="Heading3Text"/>
        </w:rPr>
        <w:t>Tensed logical connectives</w:t>
      </w:r>
      <w:bookmarkEnd w:id="34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tensed"&gt;</w:t>
      </w:r>
      <w:r>
        <w:rPr>
          <w:rStyle w:val="indexentry"/>
        </w:rPr>
        <w:fldChar w:fldCharType="begin"/>
      </w:r>
      <w:r>
        <w:instrText>xe "</w:instrText>
      </w:r>
      <w:r>
        <w:rPr>
          <w:rStyle w:val="xeentry"/>
        </w:rPr>
        <w:instrText>logical connectives: tensed</w:instrText>
      </w:r>
      <w:r>
        <w:instrText>"</w:instrText>
      </w:r>
      <w:r>
        <w:rPr>
          <w:rStyle w:val="indexentry"/>
        </w:rPr>
        <w:fldChar w:fldCharType="end"/>
      </w:r>
      <w:r>
        <w:rPr>
          <w:rStyle w:val="indexentry"/>
        </w:rPr>
        <w:t>&lt;cx "tensed logical connectives"&gt;</w:t>
      </w:r>
      <w:r>
        <w:rPr>
          <w:rStyle w:val="indexentry"/>
        </w:rPr>
        <w:fldChar w:fldCharType="begin"/>
      </w:r>
      <w:r>
        <w:instrText>xe "</w:instrText>
      </w:r>
      <w:r>
        <w:rPr>
          <w:rStyle w:val="xeentry"/>
        </w:rPr>
        <w:instrText>tensed logical connective</w:instrText>
      </w:r>
      <w:r>
        <w:instrText>"</w:instrText>
      </w:r>
      <w:r>
        <w:rPr>
          <w:rStyle w:val="indexentry"/>
        </w:rPr>
        <w:fldChar w:fldCharType="end"/>
      </w:r>
      <w:r>
        <w:t>The Lojban tense system interacts with the Lojban logical connective system.</w:t>
      </w:r>
      <w:r>
        <w:rPr>
          <w:rStyle w:val="deletedparamark"/>
        </w:rPr>
        <w:t xml:space="preserve"> </w:t>
      </w:r>
      <w:r>
        <w:t xml:space="preserve">That system is a separate topic, explained in </w:t>
      </w:r>
      <w:r>
        <w:rPr>
          <w:rStyle w:val="htmlcodes"/>
        </w:rPr>
        <w:t>&lt;a href=chap14.html&gt;</w:t>
      </w:r>
      <w:r>
        <w:t xml:space="preserve">Chapter 14 </w:t>
      </w:r>
      <w:r>
        <w:rPr>
          <w:rStyle w:val="htmlcodes"/>
        </w:rPr>
        <w:t>&lt;/a&gt;</w:t>
      </w:r>
      <w:r>
        <w:t>and touched on only</w:t>
      </w:r>
      <w:r>
        <w:rPr>
          <w:rStyle w:val="deletedparamark"/>
        </w:rPr>
        <w:t xml:space="preserve"> </w:t>
      </w:r>
      <w:r>
        <w:t>in sum</w:t>
      </w:r>
      <w:r>
        <w:softHyphen/>
        <w:t xml:space="preserve">mary here. By the rules of the logical connective system, </w:t>
      </w:r>
      <w:r>
        <w:rPr>
          <w:rStyle w:val="htmlcodes"/>
        </w:rPr>
        <w:t>&lt;a href=#e17d1&gt;</w:t>
      </w:r>
      <w:r>
        <w:t xml:space="preserve">Example 17.1 </w:t>
      </w:r>
      <w:r>
        <w:rPr>
          <w:rStyle w:val="htmlcodes"/>
        </w:rPr>
        <w:t>&lt;/a&gt;</w:t>
      </w:r>
      <w:r>
        <w:t>through 17.3 are equivalent in 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name=e17d1&gt;</w:t>
      </w:r>
      <w:r>
        <w:t>17.1)</w:t>
      </w:r>
      <w:r>
        <w:tab/>
        <w:t>la teris. satre le mlatu  .ije la teris. satre le ractu</w:t>
      </w:r>
    </w:p>
    <w:p w:rsidR="00B72047" w:rsidRDefault="00B72047">
      <w:pPr>
        <w:pStyle w:val="examplescaled"/>
      </w:pPr>
      <w:r>
        <w:tab/>
        <w:t>Terry strokes the cat. And Terry strokes the rabbit.</w:t>
      </w:r>
    </w:p>
    <w:p w:rsidR="00B72047" w:rsidRDefault="00B72047">
      <w:pPr>
        <w:pStyle w:val="examplescaledpre"/>
      </w:pPr>
      <w:r>
        <w:rPr>
          <w:rStyle w:val="htmlcodes"/>
        </w:rPr>
        <w:t>&lt;a name=e17d2&gt;</w:t>
      </w:r>
      <w:r>
        <w:t>17.2)</w:t>
      </w:r>
      <w:r>
        <w:tab/>
        <w:t>la teris. satre le mlatu gi'e satre le ractu</w:t>
      </w:r>
    </w:p>
    <w:p w:rsidR="00B72047" w:rsidRDefault="00B72047">
      <w:pPr>
        <w:pStyle w:val="examplescaled"/>
      </w:pPr>
      <w:r>
        <w:tab/>
        <w:t>Terry strokes the cat and strokes the rabbit.</w:t>
      </w:r>
    </w:p>
    <w:p w:rsidR="00B72047" w:rsidRDefault="00B72047">
      <w:pPr>
        <w:pStyle w:val="examplescaledpre"/>
      </w:pPr>
      <w:r>
        <w:rPr>
          <w:rStyle w:val="htmlcodes"/>
        </w:rPr>
        <w:t>&lt;a name=e17d3&gt;</w:t>
      </w:r>
      <w:r>
        <w:t>17.3)</w:t>
      </w:r>
      <w:r>
        <w:tab/>
        <w:t>la teris. satre le mlatu .e le ractu</w:t>
      </w:r>
    </w:p>
    <w:p w:rsidR="00B72047" w:rsidRDefault="00B72047">
      <w:pPr>
        <w:pStyle w:val="examplescaled"/>
      </w:pPr>
      <w:r>
        <w:tab/>
        <w:t>Terry strokes the cat and the rabbit.</w:t>
      </w:r>
    </w:p>
    <w:p w:rsidR="00B72047" w:rsidRDefault="00B72047">
      <w:pPr>
        <w:pStyle w:val="normalafterexample"/>
      </w:pPr>
      <w:r>
        <w:rPr>
          <w:rStyle w:val="htmlcodes"/>
        </w:rPr>
        <w:t>&lt;/pre&gt;</w:t>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&lt;ex "and then"&gt;</w:t>
      </w:r>
      <w:r>
        <w:rPr>
          <w:rStyle w:val="indexentry"/>
        </w:rPr>
        <w:fldChar w:fldCharType="begin"/>
      </w:r>
      <w:r>
        <w:instrText>xe "</w:instrText>
      </w:r>
      <w:r>
        <w:rPr>
          <w:rStyle w:val="xeentry"/>
        </w:rPr>
        <w:instrText>and then: example</w:instrText>
      </w:r>
      <w:r>
        <w:instrText>"</w:instrText>
      </w:r>
      <w:r>
        <w:rPr>
          <w:rStyle w:val="indexentry"/>
        </w:rPr>
        <w:fldChar w:fldCharType="end"/>
      </w:r>
      <w:r>
        <w:rPr>
          <w:rStyle w:val="indexentry"/>
        </w:rPr>
        <w:t>&lt;ex "stoke cat then rabbit"&gt;</w:t>
      </w:r>
      <w:r>
        <w:rPr>
          <w:rStyle w:val="indexentry"/>
        </w:rPr>
        <w:fldChar w:fldCharType="begin"/>
      </w:r>
      <w:r>
        <w:instrText>xe "</w:instrText>
      </w:r>
      <w:r>
        <w:rPr>
          <w:rStyle w:val="xeentry"/>
        </w:rPr>
        <w:instrText>stoke cat then rabbit: example</w:instrText>
      </w:r>
      <w:r>
        <w:instrText>"</w:instrText>
      </w:r>
      <w:r>
        <w:rPr>
          <w:rStyle w:val="indexentry"/>
        </w:rPr>
        <w:fldChar w:fldCharType="end"/>
      </w:r>
      <w:r>
        <w:t>Suppose we wish to add a tense relationship to the logical connective “and”?</w:t>
      </w:r>
      <w:r>
        <w:rPr>
          <w:rStyle w:val="deletedparamark"/>
        </w:rPr>
        <w:t xml:space="preserve"> </w:t>
      </w:r>
      <w:r>
        <w:t>To say that Terry strokes the cat and later strokes the rabbit, we can</w:t>
      </w:r>
      <w:r>
        <w:rPr>
          <w:rStyle w:val="deletedparamark"/>
        </w:rPr>
        <w:t xml:space="preserve"> </w:t>
      </w:r>
      <w:r>
        <w:t>combine a logical connective with a tense connec</w:t>
      </w:r>
      <w:r>
        <w:softHyphen/>
        <w:t>tive by placing the</w:t>
      </w:r>
      <w:r>
        <w:rPr>
          <w:rStyle w:val="deletedparamark"/>
        </w:rPr>
        <w:t xml:space="preserve"> </w:t>
      </w:r>
      <w:r>
        <w:t>logical connective first, then the tense, and then the cmavo “bo”, thus:</w:t>
      </w:r>
    </w:p>
    <w:p w:rsidR="00B72047" w:rsidRDefault="00B72047">
      <w:pPr>
        <w:rPr>
          <w:rStyle w:val="htmlparacode"/>
        </w:rPr>
      </w:pPr>
      <w:r>
        <w:rPr>
          <w:rStyle w:val="htmlparacode"/>
        </w:rPr>
        <w:t>&lt;p&gt;</w:t>
      </w:r>
    </w:p>
    <w:p w:rsidR="00B72047" w:rsidRDefault="00B72047">
      <w:pPr>
        <w:pStyle w:val="examplescaledpre"/>
      </w:pPr>
      <w:r>
        <w:rPr>
          <w:rStyle w:val="indexentry"/>
        </w:rPr>
        <w:t>&lt;cx "tensed logically connected sentences"&gt;</w:t>
      </w:r>
      <w:r>
        <w:rPr>
          <w:rStyle w:val="indexentry"/>
        </w:rPr>
        <w:fldChar w:fldCharType="begin"/>
      </w:r>
      <w:r>
        <w:instrText>xe "</w:instrText>
      </w:r>
      <w:r>
        <w:rPr>
          <w:rStyle w:val="xeentry"/>
        </w:rPr>
        <w:instrText>tensed logically connected sentences</w:instrText>
      </w:r>
      <w:r>
        <w:instrText>"</w:instrText>
      </w:r>
      <w:r>
        <w:rPr>
          <w:rStyle w:val="indexentry"/>
        </w:rPr>
        <w:fldChar w:fldCharType="end"/>
      </w:r>
      <w:r>
        <w:rPr>
          <w:rStyle w:val="htmlcodes"/>
        </w:rPr>
        <w:t>&lt;pre&gt;&lt;a name=e17d4&gt;</w:t>
      </w:r>
      <w:r>
        <w:t>17.4)</w:t>
      </w:r>
      <w:r>
        <w:tab/>
        <w:t>la teris. satre le mlatu  .ijebabo la teris. satre le ractu</w:t>
      </w:r>
    </w:p>
    <w:p w:rsidR="00B72047" w:rsidRDefault="00B72047">
      <w:pPr>
        <w:pStyle w:val="examplescaled"/>
      </w:pPr>
      <w:r>
        <w:tab/>
        <w:t>Terry strokes the cat.  And then Terry strokes the rabbit.</w:t>
      </w:r>
    </w:p>
    <w:p w:rsidR="00B72047" w:rsidRDefault="00B72047">
      <w:pPr>
        <w:pStyle w:val="examplescaledpre"/>
        <w:spacing w:before="80"/>
      </w:pPr>
      <w:r>
        <w:rPr>
          <w:rStyle w:val="htmlcodes"/>
        </w:rPr>
        <w:t>&lt;/pre&gt;</w:t>
      </w:r>
      <w:r>
        <w:rPr>
          <w:rStyle w:val="indexentry"/>
        </w:rPr>
        <w:t>&lt;cx "tensed logically connected bridi-tails"&gt;</w:t>
      </w:r>
      <w:r>
        <w:rPr>
          <w:rStyle w:val="indexentry"/>
        </w:rPr>
        <w:fldChar w:fldCharType="begin"/>
      </w:r>
      <w:r>
        <w:instrText>xe "</w:instrText>
      </w:r>
      <w:r>
        <w:rPr>
          <w:rStyle w:val="xeentry"/>
        </w:rPr>
        <w:instrText>tensed logically connected bridi-tails</w:instrText>
      </w:r>
      <w:r>
        <w:instrText>"</w:instrText>
      </w:r>
      <w:r>
        <w:rPr>
          <w:rStyle w:val="indexentry"/>
        </w:rPr>
        <w:fldChar w:fldCharType="end"/>
      </w:r>
      <w:r>
        <w:rPr>
          <w:rStyle w:val="htmlcodes"/>
        </w:rPr>
        <w:t>&lt;pre&gt;&lt;a name=e17d5&gt;</w:t>
      </w:r>
      <w:r>
        <w:t>17.5)</w:t>
      </w:r>
      <w:r>
        <w:tab/>
        <w:t>la teris. satre le mlatu gi'ebabo satre le ractu</w:t>
      </w:r>
    </w:p>
    <w:p w:rsidR="00B72047" w:rsidRDefault="00B72047">
      <w:pPr>
        <w:pStyle w:val="examplescaled"/>
      </w:pPr>
      <w:r>
        <w:tab/>
        <w:t>Terry strokes the cat, and then strokes the rabbit.</w:t>
      </w:r>
    </w:p>
    <w:p w:rsidR="00B72047" w:rsidRDefault="00B72047">
      <w:pPr>
        <w:pStyle w:val="examplescaledpre"/>
        <w:spacing w:before="80"/>
      </w:pPr>
      <w:r>
        <w:rPr>
          <w:rStyle w:val="htmlcodes"/>
        </w:rPr>
        <w:t>&lt;/pre&gt;</w:t>
      </w:r>
      <w:r>
        <w:rPr>
          <w:rStyle w:val="indexentry"/>
        </w:rPr>
        <w:t>&lt;cx "tensed logically connected sumti"&gt;</w:t>
      </w:r>
      <w:r>
        <w:rPr>
          <w:rStyle w:val="indexentry"/>
        </w:rPr>
        <w:fldChar w:fldCharType="begin"/>
      </w:r>
      <w:r>
        <w:instrText>xe "</w:instrText>
      </w:r>
      <w:r>
        <w:rPr>
          <w:rStyle w:val="xeentry"/>
        </w:rPr>
        <w:instrText>tensed logically connected sumti</w:instrText>
      </w:r>
      <w:r>
        <w:instrText>"</w:instrText>
      </w:r>
      <w:r>
        <w:rPr>
          <w:rStyle w:val="indexentry"/>
        </w:rPr>
        <w:fldChar w:fldCharType="end"/>
      </w:r>
      <w:r>
        <w:rPr>
          <w:rStyle w:val="htmlcodes"/>
        </w:rPr>
        <w:t>&lt;pre&gt;&lt;a name=e17d6&gt;</w:t>
      </w:r>
      <w:r>
        <w:t>17.6)</w:t>
      </w:r>
      <w:r>
        <w:tab/>
        <w:t>la teris. satre le mlatu .ebabo le ractu</w:t>
      </w:r>
    </w:p>
    <w:p w:rsidR="00B72047" w:rsidRDefault="00B72047">
      <w:pPr>
        <w:pStyle w:val="examplescaled"/>
      </w:pPr>
      <w:r>
        <w:tab/>
        <w:t>Terry strokes the cat and then the rabbit.</w:t>
      </w:r>
    </w:p>
    <w:p w:rsidR="00B72047" w:rsidRDefault="00B72047">
      <w:pPr>
        <w:pStyle w:val="resumedafterexample"/>
      </w:pPr>
      <w:r>
        <w:rPr>
          <w:rStyle w:val="htmlcodes"/>
        </w:rPr>
        <w:t>&lt;/pre&gt;&lt;a href=#e17d4&gt;</w:t>
      </w:r>
      <w:r>
        <w:t xml:space="preserve">Example 17.4 </w:t>
      </w:r>
      <w:r>
        <w:rPr>
          <w:rStyle w:val="htmlcodes"/>
        </w:rPr>
        <w:t>&lt;/a&gt;</w:t>
      </w:r>
      <w:r>
        <w:t>through 17.6 are equivalent in meaning. They are also analogous</w:t>
      </w:r>
      <w:r>
        <w:rPr>
          <w:rStyle w:val="deletedparamark"/>
        </w:rPr>
        <w:t xml:space="preserve"> </w:t>
      </w:r>
      <w:r>
        <w:t xml:space="preserve">to </w:t>
      </w:r>
      <w:r>
        <w:rPr>
          <w:rStyle w:val="htmlcodes"/>
        </w:rPr>
        <w:t>&lt;a href=#e17d{1}&gt;</w:t>
      </w:r>
      <w:r>
        <w:t>Ex</w:t>
      </w:r>
      <w:r>
        <w:softHyphen/>
        <w:t>am</w:t>
      </w:r>
      <w:r>
        <w:softHyphen/>
        <w:t xml:space="preserve">ples 17.1 </w:t>
      </w:r>
      <w:r>
        <w:rPr>
          <w:rStyle w:val="htmlcodes"/>
        </w:rPr>
        <w:t>&lt;/a&gt;</w:t>
      </w:r>
      <w:r>
        <w:t xml:space="preserve">through </w:t>
      </w:r>
      <w:r>
        <w:rPr>
          <w:rStyle w:val="htmlcodes"/>
        </w:rPr>
        <w:t>&lt;a href=#e17d3&gt;</w:t>
      </w:r>
      <w:r>
        <w:t xml:space="preserve">17.3 </w:t>
      </w:r>
      <w:r>
        <w:rPr>
          <w:rStyle w:val="htmlcodes"/>
        </w:rPr>
        <w:t>&lt;/a&gt;</w:t>
      </w:r>
      <w:r>
        <w:t>respectively. The “bo” is required for the</w:t>
      </w:r>
      <w:r>
        <w:rPr>
          <w:rStyle w:val="deletedparamark"/>
        </w:rPr>
        <w:t xml:space="preserve"> </w:t>
      </w:r>
      <w:r>
        <w:t xml:space="preserve">same reason as in </w:t>
      </w:r>
      <w:r>
        <w:rPr>
          <w:rStyle w:val="htmlcodes"/>
        </w:rPr>
        <w:t>&lt;a href=#e16d2&gt;</w:t>
      </w:r>
      <w:r>
        <w:t>Exam</w:t>
      </w:r>
      <w:r>
        <w:softHyphen/>
        <w:t>ple 16.2</w:t>
      </w:r>
      <w:r>
        <w:rPr>
          <w:rStyle w:val="htmlcodes"/>
        </w:rPr>
        <w:t>&lt;/a&gt;</w:t>
      </w:r>
      <w:r>
        <w:t>: to prevent the “ba” from functioning as a</w:t>
      </w:r>
      <w:r>
        <w:rPr>
          <w:rStyle w:val="deletedparamark"/>
        </w:rPr>
        <w:t xml:space="preserve"> </w:t>
      </w:r>
      <w:r>
        <w:t xml:space="preserve">sumti tcita for the following sumti (or, in </w:t>
      </w:r>
      <w:r>
        <w:rPr>
          <w:rStyle w:val="htmlcodes"/>
        </w:rPr>
        <w:t>&lt;a href=#e17d5&gt;</w:t>
      </w:r>
      <w:r>
        <w:t>Exam</w:t>
      </w:r>
      <w:r>
        <w:softHyphen/>
        <w:t>ple 17.5</w:t>
      </w:r>
      <w:r>
        <w:rPr>
          <w:rStyle w:val="htmlcodes"/>
        </w:rPr>
        <w:t>&lt;/a&gt;</w:t>
      </w:r>
      <w:r>
        <w:t>, from being attached</w:t>
      </w:r>
      <w:r>
        <w:rPr>
          <w:rStyle w:val="deletedparamark"/>
        </w:rPr>
        <w:t xml:space="preserve"> </w:t>
      </w:r>
      <w:r>
        <w:t>to the following selbri).</w:t>
      </w:r>
    </w:p>
    <w:p w:rsidR="00B72047" w:rsidRDefault="00B72047">
      <w:pPr>
        <w:pStyle w:val="normalparagraph"/>
      </w:pPr>
      <w:r>
        <w:rPr>
          <w:rStyle w:val="htmlparacode"/>
        </w:rPr>
        <w:t>&lt;p&gt;</w:t>
      </w:r>
      <w:r>
        <w:rPr>
          <w:rStyle w:val="indexentry"/>
        </w:rPr>
        <w:t>&lt;cx "tensed logical connectives, with ke…ke'e"&gt;</w:t>
      </w:r>
      <w:r>
        <w:rPr>
          <w:rStyle w:val="indexentry"/>
        </w:rPr>
        <w:fldChar w:fldCharType="begin"/>
      </w:r>
      <w:r>
        <w:instrText>xe "</w:instrText>
      </w:r>
      <w:r>
        <w:rPr>
          <w:rStyle w:val="xeentry"/>
        </w:rPr>
        <w:instrText>tensed logical connective: with ke…ke'e</w:instrText>
      </w:r>
      <w:r>
        <w:instrText>"</w:instrText>
      </w:r>
      <w:r>
        <w:rPr>
          <w:rStyle w:val="indexentry"/>
        </w:rPr>
        <w:fldChar w:fldCharType="end"/>
      </w:r>
      <w:r>
        <w:rPr>
          <w:rStyle w:val="indexentry"/>
        </w:rPr>
        <w:t>&lt;cx "tensed logical connectives, with tu'e…tu'u"&gt;</w:t>
      </w:r>
      <w:r>
        <w:rPr>
          <w:rStyle w:val="indexentry"/>
        </w:rPr>
        <w:fldChar w:fldCharType="begin"/>
      </w:r>
      <w:r>
        <w:instrText>xe "</w:instrText>
      </w:r>
      <w:r>
        <w:rPr>
          <w:rStyle w:val="xeentry"/>
        </w:rPr>
        <w:instrText>tensed logical connective: with tu'e…tu'u</w:instrText>
      </w:r>
      <w:r>
        <w:instrText>"</w:instrText>
      </w:r>
      <w:r>
        <w:rPr>
          <w:rStyle w:val="indexentry"/>
        </w:rPr>
        <w:fldChar w:fldCharType="end"/>
      </w:r>
      <w:r>
        <w:t xml:space="preserve">In addition to the “bo” construction of </w:t>
      </w:r>
      <w:r>
        <w:rPr>
          <w:rStyle w:val="htmlcodes"/>
        </w:rPr>
        <w:t>&lt;a href=#e17d{4}&gt;</w:t>
      </w:r>
      <w:r>
        <w:t xml:space="preserve">Examples 17.4 </w:t>
      </w:r>
      <w:r>
        <w:rPr>
          <w:rStyle w:val="htmlcodes"/>
        </w:rPr>
        <w:t>&lt;/a&gt;</w:t>
      </w:r>
      <w:r>
        <w:t xml:space="preserve">through </w:t>
      </w:r>
      <w:r>
        <w:rPr>
          <w:rStyle w:val="htmlcodes"/>
        </w:rPr>
        <w:t>&lt;a href=#e17d6&gt;</w:t>
      </w:r>
      <w:r>
        <w:t>17.6</w:t>
      </w:r>
      <w:r>
        <w:rPr>
          <w:rStyle w:val="htmlcodes"/>
        </w:rPr>
        <w:t>&lt;/a&gt;</w:t>
      </w:r>
      <w:r>
        <w:t>, there is</w:t>
      </w:r>
      <w:r>
        <w:rPr>
          <w:rStyle w:val="deletedparamark"/>
        </w:rPr>
        <w:t xml:space="preserve"> </w:t>
      </w:r>
      <w:r>
        <w:t>also a form of tensed logical connective with “ke…ke'e” (“tu'e…tu'u” for</w:t>
      </w:r>
      <w:r>
        <w:rPr>
          <w:rStyle w:val="deletedparamark"/>
        </w:rPr>
        <w:t xml:space="preserve"> </w:t>
      </w:r>
      <w:r>
        <w:t>sentences). The log</w:t>
      </w:r>
      <w:r>
        <w:t>i</w:t>
      </w:r>
      <w:r>
        <w:softHyphen/>
        <w:t xml:space="preserve">cal connective system makes </w:t>
      </w:r>
      <w:r>
        <w:rPr>
          <w:rStyle w:val="htmlcodes"/>
        </w:rPr>
        <w:t>&lt;a href=#e17d{7}&gt;</w:t>
      </w:r>
      <w:r>
        <w:t xml:space="preserve">Examples 17.7 </w:t>
      </w:r>
      <w:r>
        <w:rPr>
          <w:rStyle w:val="htmlcodes"/>
        </w:rPr>
        <w:t>&lt;/a&gt;</w:t>
      </w:r>
      <w:r>
        <w:t xml:space="preserve">through </w:t>
      </w:r>
      <w:r>
        <w:rPr>
          <w:rStyle w:val="htmlcodes"/>
        </w:rPr>
        <w:t>&lt;a href=#e17d9&gt;</w:t>
      </w:r>
      <w:r>
        <w:t xml:space="preserve">17.9 </w:t>
      </w:r>
      <w:r>
        <w:rPr>
          <w:rStyle w:val="htmlcodes"/>
        </w:rPr>
        <w:t>&lt;/a&gt;</w:t>
      </w:r>
      <w:r>
        <w:t>equivalent in mean</w:t>
      </w:r>
      <w:r>
        <w:softHyphen/>
        <w:t>ing:</w:t>
      </w:r>
    </w:p>
    <w:p w:rsidR="00B72047" w:rsidRDefault="00B72047">
      <w:pPr>
        <w:rPr>
          <w:rStyle w:val="htmlparacode"/>
        </w:rPr>
      </w:pPr>
      <w:r>
        <w:rPr>
          <w:rStyle w:val="htmlparacode"/>
        </w:rPr>
        <w:t>&lt;p&gt;</w:t>
      </w:r>
    </w:p>
    <w:p w:rsidR="00B72047" w:rsidRDefault="00B72047">
      <w:pPr>
        <w:pStyle w:val="examplescaledpre"/>
      </w:pPr>
      <w:r>
        <w:rPr>
          <w:rStyle w:val="indexentry"/>
        </w:rPr>
        <w:t>&lt;ex "carry sack and dog"&gt;</w:t>
      </w:r>
      <w:r>
        <w:rPr>
          <w:rStyle w:val="indexentry"/>
        </w:rPr>
        <w:fldChar w:fldCharType="begin"/>
      </w:r>
      <w:r>
        <w:instrText>xe "</w:instrText>
      </w:r>
      <w:r>
        <w:rPr>
          <w:rStyle w:val="xeentry"/>
        </w:rPr>
        <w:instrText>carry sack and dog: example</w:instrText>
      </w:r>
      <w:r>
        <w:instrText>"</w:instrText>
      </w:r>
      <w:r>
        <w:rPr>
          <w:rStyle w:val="indexentry"/>
        </w:rPr>
        <w:fldChar w:fldCharType="end"/>
      </w:r>
      <w:r>
        <w:rPr>
          <w:rStyle w:val="htmlcodes"/>
        </w:rPr>
        <w:t>&lt;pre&gt;&lt;a name=e17d7&gt;</w:t>
      </w:r>
      <w:r>
        <w:t>17.7)</w:t>
      </w:r>
      <w:r>
        <w:tab/>
        <w:t>mi bevri le dakli  .ije tu'e mi bevri le gerku  .ija mi bevri le mlatu tu'u</w:t>
      </w:r>
    </w:p>
    <w:p w:rsidR="00B72047" w:rsidRDefault="00B72047">
      <w:pPr>
        <w:pStyle w:val="examplescaled"/>
      </w:pPr>
      <w:r>
        <w:tab/>
        <w:t>I carry the sack.  And (I carry the dog.  And/or I carry the cat).</w:t>
      </w:r>
    </w:p>
    <w:p w:rsidR="00B72047" w:rsidRDefault="00B72047">
      <w:pPr>
        <w:pStyle w:val="examplescaled"/>
      </w:pPr>
      <w:r>
        <w:tab/>
        <w:t>I carry the sack.  And I carry the dog, or I carry the cat, or I carry both.</w:t>
      </w:r>
    </w:p>
    <w:p w:rsidR="00B72047" w:rsidRDefault="00B72047">
      <w:pPr>
        <w:pStyle w:val="examplescaledpre"/>
      </w:pPr>
      <w:r>
        <w:rPr>
          <w:rStyle w:val="htmlcodes"/>
        </w:rPr>
        <w:t>&lt;a name=e17d8&gt;</w:t>
      </w:r>
      <w:r>
        <w:t>17.8)</w:t>
      </w:r>
      <w:r>
        <w:tab/>
        <w:t>mi bevri le dakli gi'eke bevri le gerku gi'a bevri le mlatu</w:t>
      </w:r>
    </w:p>
    <w:p w:rsidR="00B72047" w:rsidRDefault="00B72047">
      <w:pPr>
        <w:pStyle w:val="examplescaled"/>
      </w:pPr>
      <w:r>
        <w:tab/>
        <w:t>I carry the sack and (carry the dog and/or carry the cat).</w:t>
      </w:r>
    </w:p>
    <w:p w:rsidR="00B72047" w:rsidRDefault="00B72047">
      <w:pPr>
        <w:pStyle w:val="examplescaled"/>
      </w:pPr>
      <w:r>
        <w:tab/>
        <w:t>I carry the sack, and also carry the dog or carry the cat or carry both.</w:t>
      </w:r>
    </w:p>
    <w:p w:rsidR="00B72047" w:rsidRDefault="00B72047">
      <w:pPr>
        <w:pStyle w:val="examplescaledpre"/>
        <w:spacing w:before="80"/>
      </w:pPr>
      <w:r>
        <w:rPr>
          <w:rStyle w:val="htmlcodes"/>
        </w:rPr>
        <w:t>&lt;a name=e17d9&gt;</w:t>
      </w:r>
      <w:r>
        <w:t>17.9)</w:t>
      </w:r>
      <w:r>
        <w:tab/>
        <w:t>mi bevri le dakli .eke le gerku .a le mlatu</w:t>
      </w:r>
    </w:p>
    <w:p w:rsidR="00B72047" w:rsidRDefault="00B72047">
      <w:pPr>
        <w:pStyle w:val="examplescaled"/>
      </w:pPr>
      <w:r>
        <w:tab/>
        <w:t>I carry the sack and (the dog or the cat)</w:t>
      </w:r>
    </w:p>
    <w:p w:rsidR="00B72047" w:rsidRDefault="00B72047">
      <w:pPr>
        <w:pStyle w:val="examplescaled"/>
      </w:pPr>
      <w:r>
        <w:tab/>
        <w:t>I carry the sack and also the dog or the cat or both.</w:t>
      </w:r>
    </w:p>
    <w:p w:rsidR="00B72047" w:rsidRDefault="00B72047">
      <w:pPr>
        <w:pStyle w:val="resumedafterexample"/>
      </w:pPr>
      <w:r>
        <w:rPr>
          <w:rStyle w:val="htmlcodes"/>
        </w:rPr>
        <w:t>&lt;/pre&gt;&lt;p&gt;</w:t>
      </w:r>
      <w:r>
        <w:t>Note the uniformity of the Lojban, as contrasted with the variety of ways</w:t>
      </w:r>
      <w:r>
        <w:rPr>
          <w:rStyle w:val="deletedparamark"/>
        </w:rPr>
        <w:t xml:space="preserve"> </w:t>
      </w:r>
      <w:r>
        <w:t>in which the English provides for the correct grouping. In all cases,</w:t>
      </w:r>
      <w:r>
        <w:rPr>
          <w:rStyle w:val="deletedparamark"/>
        </w:rPr>
        <w:t xml:space="preserve"> </w:t>
      </w:r>
      <w:r>
        <w:t>the meaning is that I carry the sack in any case, and either the cat or</w:t>
      </w:r>
      <w:r>
        <w:rPr>
          <w:rStyle w:val="deletedparamark"/>
        </w:rPr>
        <w:t xml:space="preserve"> </w:t>
      </w:r>
      <w:r>
        <w:t>the dog or both.</w:t>
      </w:r>
    </w:p>
    <w:p w:rsidR="00B72047" w:rsidRDefault="00B72047">
      <w:pPr>
        <w:rPr>
          <w:rStyle w:val="htmlparacode"/>
        </w:rPr>
      </w:pPr>
      <w:r>
        <w:rPr>
          <w:rStyle w:val="htmlparacode"/>
        </w:rPr>
        <w:t>&lt;p&gt;</w:t>
      </w:r>
    </w:p>
    <w:p w:rsidR="00B72047" w:rsidRDefault="00B72047">
      <w:pPr>
        <w:pStyle w:val="normalparagraph"/>
      </w:pPr>
      <w:r>
        <w:t>To express that I carry the sack first (earlier in time), and then the</w:t>
      </w:r>
      <w:r>
        <w:rPr>
          <w:rStyle w:val="deletedparamark"/>
        </w:rPr>
        <w:t xml:space="preserve"> </w:t>
      </w:r>
      <w:r>
        <w:t>dog or the cat or both simultaneously, I can insert tenses to form</w:t>
      </w:r>
      <w:r>
        <w:rPr>
          <w:rStyle w:val="deletedparamark"/>
        </w:rPr>
        <w:t xml:space="preserve"> </w:t>
      </w:r>
      <w:r>
        <w:rPr>
          <w:rStyle w:val="htmlcodes"/>
        </w:rPr>
        <w:t>&lt;a href=#e17d{10}&gt;</w:t>
      </w:r>
      <w:r>
        <w:t xml:space="preserve">Examples 17.10 </w:t>
      </w:r>
      <w:r>
        <w:rPr>
          <w:rStyle w:val="htmlcodes"/>
        </w:rPr>
        <w:t>&lt;/a&gt;</w:t>
      </w:r>
      <w:r>
        <w:t xml:space="preserve">through </w:t>
      </w:r>
      <w:r>
        <w:rPr>
          <w:rStyle w:val="htmlcodes"/>
        </w:rPr>
        <w:t>&lt;a href=#e17d12&gt;</w:t>
      </w:r>
      <w:r>
        <w:t>17.12</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&lt;cx "tensed logically connected sentences, with grouping"&gt;</w:t>
      </w:r>
      <w:r>
        <w:rPr>
          <w:rStyle w:val="indexentry"/>
        </w:rPr>
        <w:fldChar w:fldCharType="begin"/>
      </w:r>
      <w:r>
        <w:instrText>xe "</w:instrText>
      </w:r>
      <w:r>
        <w:rPr>
          <w:rStyle w:val="xeentry"/>
        </w:rPr>
        <w:instrText>tensed logically connected sentences: with grouping</w:instrText>
      </w:r>
      <w:r>
        <w:instrText>"</w:instrText>
      </w:r>
      <w:r>
        <w:rPr>
          <w:rStyle w:val="indexentry"/>
        </w:rPr>
        <w:fldChar w:fldCharType="end"/>
      </w:r>
      <w:r>
        <w:rPr>
          <w:rStyle w:val="htmlcodes"/>
        </w:rPr>
        <w:t>&lt;pre&gt;&lt;a name=e17d10&gt;</w:t>
      </w:r>
      <w:r>
        <w:t>17.10)</w:t>
      </w:r>
      <w:r>
        <w:tab/>
        <w:t xml:space="preserve">mi bevri le dakli  .ije ba tu'e mi bevri le gerku  </w:t>
      </w:r>
    </w:p>
    <w:p w:rsidR="00B72047" w:rsidRDefault="00B72047">
      <w:pPr>
        <w:pStyle w:val="examplescaled"/>
        <w:ind w:firstLine="576"/>
      </w:pPr>
      <w:r>
        <w:t>.ijacabo mi bevri le mlatu tu'u</w:t>
      </w:r>
    </w:p>
    <w:p w:rsidR="00B72047" w:rsidRDefault="00B72047">
      <w:pPr>
        <w:pStyle w:val="examplescaled"/>
      </w:pPr>
      <w:r>
        <w:tab/>
        <w:t xml:space="preserve">I carry the sack.  And [future] (I carry the dog.  </w:t>
      </w:r>
    </w:p>
    <w:p w:rsidR="00B72047" w:rsidRDefault="00B72047">
      <w:pPr>
        <w:pStyle w:val="examplescaled"/>
        <w:ind w:firstLine="576"/>
      </w:pPr>
      <w:r>
        <w:t>And/or [present] I carry the cat.)</w:t>
      </w:r>
    </w:p>
    <w:p w:rsidR="00B72047" w:rsidRDefault="00B72047">
      <w:pPr>
        <w:pStyle w:val="examplescaled"/>
      </w:pPr>
      <w:r>
        <w:tab/>
        <w:t xml:space="preserve">I carry the sack.  And then I will carry the dog or I will carry the cat or </w:t>
      </w:r>
    </w:p>
    <w:p w:rsidR="00B72047" w:rsidRDefault="00B72047">
      <w:pPr>
        <w:pStyle w:val="examplescaled"/>
        <w:ind w:firstLine="576"/>
      </w:pPr>
      <w:r>
        <w:t>I will carry both at once.</w:t>
      </w:r>
    </w:p>
    <w:p w:rsidR="00B72047" w:rsidRDefault="00B72047">
      <w:pPr>
        <w:pStyle w:val="examplescaledpre"/>
        <w:spacing w:before="80"/>
      </w:pPr>
      <w:r>
        <w:rPr>
          <w:rStyle w:val="htmlcodes"/>
        </w:rPr>
        <w:t>&lt;/pre&gt;</w:t>
      </w:r>
      <w:r>
        <w:rPr>
          <w:rStyle w:val="indexentry"/>
        </w:rPr>
        <w:t>&lt;cx "tensed logically connected bridi-tails, with grouping"&gt;</w:t>
      </w:r>
      <w:r>
        <w:rPr>
          <w:rStyle w:val="indexentry"/>
        </w:rPr>
        <w:fldChar w:fldCharType="begin"/>
      </w:r>
      <w:r>
        <w:instrText>xe "</w:instrText>
      </w:r>
      <w:r>
        <w:rPr>
          <w:rStyle w:val="xeentry"/>
        </w:rPr>
        <w:instrText>tensed logically connected bridi-tails: with grouping</w:instrText>
      </w:r>
      <w:r>
        <w:instrText>"</w:instrText>
      </w:r>
      <w:r>
        <w:rPr>
          <w:rStyle w:val="indexentry"/>
        </w:rPr>
        <w:fldChar w:fldCharType="end"/>
      </w:r>
      <w:r>
        <w:rPr>
          <w:rStyle w:val="htmlcodes"/>
        </w:rPr>
        <w:t>&lt;pre&gt;&lt;a name=e17d11&gt;</w:t>
      </w:r>
      <w:r>
        <w:t>17.11)</w:t>
      </w:r>
      <w:r>
        <w:tab/>
        <w:t>mi bevri le dakli gi'ebake bevri le gerku gi'acabo bevri le mlatu</w:t>
      </w:r>
    </w:p>
    <w:p w:rsidR="00B72047" w:rsidRDefault="00B72047">
      <w:pPr>
        <w:pStyle w:val="examplescaled"/>
      </w:pPr>
      <w:r>
        <w:tab/>
        <w:t>I carry the sack and [future] (carry the dog and/or [present] carry the cat).</w:t>
      </w:r>
    </w:p>
    <w:p w:rsidR="00B72047" w:rsidRDefault="00B72047">
      <w:pPr>
        <w:pStyle w:val="examplescaled"/>
      </w:pPr>
      <w:r>
        <w:tab/>
        <w:t xml:space="preserve">I carry the sack and then will carry the dog or carry the cat or carry both </w:t>
      </w:r>
    </w:p>
    <w:p w:rsidR="00B72047" w:rsidRDefault="00B72047">
      <w:pPr>
        <w:pStyle w:val="examplescaled"/>
        <w:ind w:firstLine="576"/>
      </w:pPr>
      <w:r>
        <w:t>at once.</w:t>
      </w:r>
    </w:p>
    <w:p w:rsidR="00B72047" w:rsidRDefault="00B72047">
      <w:pPr>
        <w:pStyle w:val="examplescaledpre"/>
        <w:spacing w:before="80"/>
      </w:pPr>
      <w:r>
        <w:rPr>
          <w:rStyle w:val="htmlcodes"/>
        </w:rPr>
        <w:t>&lt;/pre&gt;</w:t>
      </w:r>
      <w:r>
        <w:rPr>
          <w:rStyle w:val="indexentry"/>
        </w:rPr>
        <w:t>&lt;cx "tensed logically connected sumti, with grouping"&gt;</w:t>
      </w:r>
      <w:r>
        <w:rPr>
          <w:rStyle w:val="indexentry"/>
        </w:rPr>
        <w:fldChar w:fldCharType="begin"/>
      </w:r>
      <w:r>
        <w:instrText>xe "</w:instrText>
      </w:r>
      <w:r>
        <w:rPr>
          <w:rStyle w:val="xeentry"/>
        </w:rPr>
        <w:instrText>tensed logically connected sumti: with grouping</w:instrText>
      </w:r>
      <w:r>
        <w:instrText>"</w:instrText>
      </w:r>
      <w:r>
        <w:rPr>
          <w:rStyle w:val="indexentry"/>
        </w:rPr>
        <w:fldChar w:fldCharType="end"/>
      </w:r>
      <w:r>
        <w:rPr>
          <w:rStyle w:val="htmlcodes"/>
        </w:rPr>
        <w:t>&lt;pre&gt;&lt;a name=e17d12&gt;</w:t>
      </w:r>
      <w:r>
        <w:t>17.12)</w:t>
      </w:r>
      <w:r>
        <w:tab/>
        <w:t>mi bevri le dakli .ebake bevri le gerku .acabo le mlatu</w:t>
      </w:r>
    </w:p>
    <w:p w:rsidR="00B72047" w:rsidRDefault="00B72047">
      <w:pPr>
        <w:pStyle w:val="examplescaled"/>
      </w:pPr>
      <w:r>
        <w:tab/>
        <w:t>I carry the sack and [future] (the cat and/or [present] the dog).</w:t>
      </w:r>
    </w:p>
    <w:p w:rsidR="00B72047" w:rsidRDefault="00B72047">
      <w:pPr>
        <w:pStyle w:val="examplescaled"/>
      </w:pPr>
      <w:r>
        <w:tab/>
        <w:t>I carry the sack, and then the cat or the dog or both at once.</w:t>
      </w:r>
    </w:p>
    <w:p w:rsidR="00B72047" w:rsidRDefault="00B72047">
      <w:pPr>
        <w:pStyle w:val="resumedafterexample"/>
      </w:pPr>
      <w:r>
        <w:rPr>
          <w:rStyle w:val="htmlcodes"/>
        </w:rPr>
        <w:t>&lt;/pre&gt;&lt;a href=#e17d{10}&gt;</w:t>
      </w:r>
      <w:r>
        <w:t xml:space="preserve">Examples 17.10 </w:t>
      </w:r>
      <w:r>
        <w:rPr>
          <w:rStyle w:val="htmlcodes"/>
        </w:rPr>
        <w:t>&lt;/a&gt;</w:t>
      </w:r>
      <w:r>
        <w:t xml:space="preserve">through </w:t>
      </w:r>
      <w:r>
        <w:rPr>
          <w:rStyle w:val="htmlcodes"/>
        </w:rPr>
        <w:t>&lt;a href=#e17d12&gt;</w:t>
      </w:r>
      <w:r>
        <w:t xml:space="preserve">17.12 </w:t>
      </w:r>
      <w:r>
        <w:rPr>
          <w:rStyle w:val="htmlcodes"/>
        </w:rPr>
        <w:t>&lt;/a&gt;</w:t>
      </w:r>
      <w:r>
        <w:t>are equivalent in meaning to each other, and</w:t>
      </w:r>
      <w:r>
        <w:rPr>
          <w:rStyle w:val="deletedparamark"/>
        </w:rPr>
        <w:t xml:space="preserve"> </w:t>
      </w:r>
      <w:r>
        <w:t xml:space="preserve">correspond to the tenseless </w:t>
      </w:r>
      <w:r>
        <w:rPr>
          <w:rStyle w:val="htmlcodes"/>
        </w:rPr>
        <w:t>&lt;a href=#e17d{7}&gt;</w:t>
      </w:r>
      <w:r>
        <w:t xml:space="preserve">Examples 17.7 </w:t>
      </w:r>
      <w:r>
        <w:rPr>
          <w:rStyle w:val="htmlcodes"/>
        </w:rPr>
        <w:t>&lt;/a&gt;</w:t>
      </w:r>
      <w:r>
        <w:t xml:space="preserve">through </w:t>
      </w:r>
      <w:r>
        <w:rPr>
          <w:rStyle w:val="htmlcodes"/>
        </w:rPr>
        <w:t>&lt;a href=#e17d9&gt;</w:t>
      </w:r>
      <w:r>
        <w:t xml:space="preserve">17.9 </w:t>
      </w:r>
      <w:r>
        <w:rPr>
          <w:rStyle w:val="htmlcodes"/>
        </w:rPr>
        <w:t>&lt;/a&gt;</w:t>
      </w:r>
      <w:r>
        <w:t>respectively.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name=s18&gt;&lt;h3&gt;</w:t>
      </w:r>
      <w:bookmarkStart w:id="347" w:name="_Toc398970592"/>
      <w:r>
        <w:rPr>
          <w:rStyle w:val="Heading3Text"/>
        </w:rPr>
        <w:t>Tense negation</w:t>
      </w:r>
      <w:bookmarkEnd w:id="34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"tenses, negating"&gt;</w:t>
      </w:r>
      <w:r>
        <w:rPr>
          <w:rStyle w:val="indexentry"/>
        </w:rPr>
        <w:fldChar w:fldCharType="begin"/>
      </w:r>
      <w:r>
        <w:instrText>xe "</w:instrText>
      </w:r>
      <w:r>
        <w:rPr>
          <w:rStyle w:val="xeentry"/>
        </w:rPr>
        <w:instrText>tense: negating</w:instrText>
      </w:r>
      <w:r>
        <w:instrText>"</w:instrText>
      </w:r>
      <w:r>
        <w:rPr>
          <w:rStyle w:val="indexentry"/>
        </w:rPr>
        <w:fldChar w:fldCharType="end"/>
      </w:r>
      <w:r>
        <w:rPr>
          <w:rStyle w:val="indexentry"/>
        </w:rPr>
        <w:t>&lt;cx "negation, of tenses"&gt;</w:t>
      </w:r>
      <w:r>
        <w:rPr>
          <w:rStyle w:val="indexentry"/>
        </w:rPr>
        <w:fldChar w:fldCharType="begin"/>
      </w:r>
      <w:r>
        <w:instrText>xe "</w:instrText>
      </w:r>
      <w:r>
        <w:rPr>
          <w:rStyle w:val="xeentry"/>
        </w:rPr>
        <w:instrText>negation: of tenses</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&lt;cx "PU, contradictory negation of"&gt;</w:t>
      </w:r>
      <w:r>
        <w:rPr>
          <w:rStyle w:val="indexentry"/>
        </w:rPr>
        <w:fldChar w:fldCharType="begin"/>
      </w:r>
      <w:r>
        <w:instrText>xe "</w:instrText>
      </w:r>
      <w:r>
        <w:rPr>
          <w:rStyle w:val="xeentry"/>
        </w:rPr>
        <w:instrText>PU selma’o: contradictory negation of</w:instrText>
      </w:r>
      <w:r>
        <w:instrText>"</w:instrText>
      </w:r>
      <w:r>
        <w:rPr>
          <w:rStyle w:val="indexentry"/>
        </w:rPr>
        <w:fldChar w:fldCharType="end"/>
      </w:r>
      <w:r>
        <w:rPr>
          <w:rStyle w:val="indexentry"/>
        </w:rPr>
        <w:t>&lt;cx "FAhA, contradictory negation of"&gt;</w:t>
      </w:r>
      <w:r>
        <w:rPr>
          <w:rStyle w:val="indexentry"/>
        </w:rPr>
        <w:fldChar w:fldCharType="begin"/>
      </w:r>
      <w:r>
        <w:instrText>xe "</w:instrText>
      </w:r>
      <w:r>
        <w:rPr>
          <w:rStyle w:val="xeentry"/>
        </w:rPr>
        <w:instrText>FAhA selma’o: contradictory negation of</w:instrText>
      </w:r>
      <w:r>
        <w:instrText>"</w:instrText>
      </w:r>
      <w:r>
        <w:rPr>
          <w:rStyle w:val="indexentry"/>
        </w:rPr>
        <w:fldChar w:fldCharType="end"/>
      </w:r>
      <w:r>
        <w:rPr>
          <w:rStyle w:val="indexentry"/>
        </w:rPr>
        <w:t>&lt;cx "ZAhO, contradictory negation of"&gt;</w:t>
      </w:r>
      <w:r>
        <w:rPr>
          <w:rStyle w:val="indexentry"/>
        </w:rPr>
        <w:fldChar w:fldCharType="begin"/>
      </w:r>
      <w:r>
        <w:instrText>xe "</w:instrText>
      </w:r>
      <w:r>
        <w:rPr>
          <w:rStyle w:val="xeentry"/>
        </w:rPr>
        <w:instrText>ZAhO selma’o: contradictory negation of</w:instrText>
      </w:r>
      <w:r>
        <w:instrText>"</w:instrText>
      </w:r>
      <w:r>
        <w:rPr>
          <w:rStyle w:val="indexentry"/>
        </w:rPr>
        <w:fldChar w:fldCharType="end"/>
      </w:r>
      <w:r>
        <w:t>Any bridi which involves tenses of selma'o PU, FAhA, or ZAhO can be</w:t>
      </w:r>
      <w:r>
        <w:rPr>
          <w:rStyle w:val="deletedparamark"/>
        </w:rPr>
        <w:t xml:space="preserve"> </w:t>
      </w:r>
      <w:r>
        <w:t>con</w:t>
      </w:r>
      <w:r>
        <w:softHyphen/>
        <w:t>tradicted by a “-nai” suffixed to the tense cmavo.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name=e18d1&gt;</w:t>
      </w:r>
      <w:r>
        <w:t>18.1)</w:t>
      </w:r>
      <w:r>
        <w:tab/>
        <w:t>mi punai klama le zarci</w:t>
      </w:r>
    </w:p>
    <w:p w:rsidR="00B72047" w:rsidRDefault="00B72047">
      <w:pPr>
        <w:pStyle w:val="examplescaled"/>
      </w:pPr>
      <w:r>
        <w:tab/>
        <w:t>I [past] [not] go-to the market.</w:t>
      </w:r>
    </w:p>
    <w:p w:rsidR="00B72047" w:rsidRDefault="00B72047">
      <w:pPr>
        <w:pStyle w:val="examplescaled"/>
      </w:pPr>
      <w:r>
        <w:tab/>
        <w:t>I didn't go to the market.</w:t>
      </w:r>
    </w:p>
    <w:p w:rsidR="00B72047" w:rsidRDefault="00B72047">
      <w:pPr>
        <w:pStyle w:val="resumedafterexample"/>
      </w:pPr>
      <w:r>
        <w:rPr>
          <w:rStyle w:val="htmlcodes"/>
        </w:rPr>
        <w:t>&lt;/pre&gt;</w:t>
      </w:r>
      <w:r>
        <w:rPr>
          <w:rStyle w:val="indexentry"/>
        </w:rPr>
        <w:t>&lt;cx "tenses, contradictory negation of with nai"&gt;</w:t>
      </w:r>
      <w:r>
        <w:rPr>
          <w:rStyle w:val="indexentry"/>
        </w:rPr>
        <w:fldChar w:fldCharType="begin"/>
      </w:r>
      <w:r>
        <w:instrText>xe "</w:instrText>
      </w:r>
      <w:r>
        <w:rPr>
          <w:rStyle w:val="xeentry"/>
        </w:rPr>
        <w:instrText>tense: contradictory negation of with nai</w:instrText>
      </w:r>
      <w:r>
        <w:instrText>"</w:instrText>
      </w:r>
      <w:r>
        <w:rPr>
          <w:rStyle w:val="indexentry"/>
        </w:rPr>
        <w:fldChar w:fldCharType="end"/>
      </w:r>
      <w:r>
        <w:rPr>
          <w:rStyle w:val="indexentry"/>
        </w:rPr>
        <w:t>&lt;cx "negation of tenses, meaning of"&gt;</w:t>
      </w:r>
      <w:r>
        <w:rPr>
          <w:rStyle w:val="indexentry"/>
        </w:rPr>
        <w:fldChar w:fldCharType="begin"/>
      </w:r>
      <w:r>
        <w:instrText>xe "</w:instrText>
      </w:r>
      <w:r>
        <w:rPr>
          <w:rStyle w:val="xeentry"/>
        </w:rPr>
        <w:instrText>negation of tenses: meaning of</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t xml:space="preserve">As a contradictory negation, </w:t>
      </w:r>
      <w:r>
        <w:rPr>
          <w:rStyle w:val="htmlcodes"/>
        </w:rPr>
        <w:t>&lt;a href=#e18d1&gt;</w:t>
      </w:r>
      <w:r>
        <w:t xml:space="preserve">Example 18.1 </w:t>
      </w:r>
      <w:r>
        <w:rPr>
          <w:rStyle w:val="htmlcodes"/>
        </w:rPr>
        <w:t>&lt;/a&gt;</w:t>
      </w:r>
      <w:r>
        <w:t>implies that the bridi as a whole</w:t>
      </w:r>
      <w:r>
        <w:rPr>
          <w:rStyle w:val="deletedparamark"/>
        </w:rPr>
        <w:t xml:space="preserve"> </w:t>
      </w:r>
      <w:r>
        <w:t>is false wit</w:t>
      </w:r>
      <w:r>
        <w:t>h</w:t>
      </w:r>
      <w:r>
        <w:softHyphen/>
        <w:t>out saying anything about what is true. When the negated</w:t>
      </w:r>
      <w:r>
        <w:rPr>
          <w:rStyle w:val="deletedparamark"/>
        </w:rPr>
        <w:t xml:space="preserve"> </w:t>
      </w:r>
      <w:r>
        <w:t>tense is a sumti tcita, “nai” n</w:t>
      </w:r>
      <w:r>
        <w:t>e</w:t>
      </w:r>
      <w:r>
        <w:softHyphen/>
        <w:t>gation indicates that the stated</w:t>
      </w:r>
      <w:r>
        <w:rPr>
          <w:rStyle w:val="deletedparamark"/>
        </w:rPr>
        <w:t xml:space="preserve"> </w:t>
      </w:r>
      <w:r>
        <w:t>relationship does not hold:</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name=e18d2&gt;</w:t>
      </w:r>
      <w:r>
        <w:t>18.2)</w:t>
      </w:r>
      <w:r>
        <w:tab/>
        <w:t>mi klama le zarci canai le nu do klama le zdani</w:t>
      </w:r>
    </w:p>
    <w:p w:rsidR="00B72047" w:rsidRDefault="00B72047">
      <w:pPr>
        <w:pStyle w:val="examplescaled"/>
      </w:pPr>
      <w:r>
        <w:tab/>
        <w:t>I go-to the market [present] [not] the event-of you go-to the house.</w:t>
      </w:r>
    </w:p>
    <w:p w:rsidR="00B72047" w:rsidRDefault="00B72047">
      <w:pPr>
        <w:pStyle w:val="examplescaled"/>
      </w:pPr>
      <w:r>
        <w:tab/>
        <w:t>It is not true that I went to the market at the same time that you went to</w:t>
      </w:r>
    </w:p>
    <w:p w:rsidR="00B72047" w:rsidRDefault="00B72047">
      <w:pPr>
        <w:pStyle w:val="examplescaled"/>
        <w:ind w:firstLine="576"/>
      </w:pPr>
      <w:r>
        <w:t>the house.</w:t>
      </w:r>
    </w:p>
    <w:p w:rsidR="00B72047" w:rsidRDefault="00B72047">
      <w:pPr>
        <w:pStyle w:val="examplescaledpre"/>
      </w:pPr>
      <w:r>
        <w:rPr>
          <w:rStyle w:val="htmlcodes"/>
        </w:rPr>
        <w:t>&lt;a name=e18d3&gt;</w:t>
      </w:r>
      <w:r>
        <w:t>18.3)</w:t>
      </w:r>
      <w:r>
        <w:tab/>
        <w:t>le nanmu batci le gerku ne'inai le kumfa</w:t>
      </w:r>
    </w:p>
    <w:p w:rsidR="00B72047" w:rsidRDefault="00B72047">
      <w:pPr>
        <w:pStyle w:val="examplescaled"/>
      </w:pPr>
      <w:r>
        <w:tab/>
        <w:t>The man bites the dog [within] [not] the room.</w:t>
      </w:r>
    </w:p>
    <w:p w:rsidR="00B72047" w:rsidRDefault="00B72047">
      <w:pPr>
        <w:pStyle w:val="examplescaled"/>
      </w:pPr>
      <w:r>
        <w:tab/>
        <w:t>The man didn't bite the dog inside the room.</w:t>
      </w:r>
    </w:p>
    <w:p w:rsidR="00B72047" w:rsidRDefault="00B72047">
      <w:pPr>
        <w:pStyle w:val="examplescaledpre"/>
      </w:pPr>
      <w:r>
        <w:rPr>
          <w:rStyle w:val="htmlcodes"/>
        </w:rPr>
        <w:t>&lt;a name=e18d4&gt;</w:t>
      </w:r>
      <w:r>
        <w:t>18.4)</w:t>
      </w:r>
      <w:r>
        <w:tab/>
        <w:t>mi morsi ca'onai le nu mi jmive</w:t>
      </w:r>
    </w:p>
    <w:p w:rsidR="00B72047" w:rsidRDefault="00B72047">
      <w:pPr>
        <w:pStyle w:val="examplescaled"/>
      </w:pPr>
      <w:r>
        <w:tab/>
        <w:t>I am-dead [continuitive - negated] the event-of I live.</w:t>
      </w:r>
    </w:p>
    <w:p w:rsidR="00B72047" w:rsidRDefault="00B72047">
      <w:pPr>
        <w:pStyle w:val="examplescaled"/>
      </w:pPr>
      <w:r>
        <w:tab/>
        <w:t>It is false that I am dead during my life.</w:t>
      </w:r>
    </w:p>
    <w:p w:rsidR="00B72047" w:rsidRDefault="00B72047">
      <w:pPr>
        <w:pStyle w:val="normalafterexample"/>
      </w:pPr>
      <w:r>
        <w:rPr>
          <w:rStyle w:val="htmlcodes"/>
        </w:rPr>
        <w:t>&lt;/pre&gt;</w:t>
      </w:r>
      <w:r>
        <w:rPr>
          <w:rStyle w:val="indexentry"/>
        </w:rPr>
        <w:t>&lt;cx "tense, scalar negation of with NAhE"&gt;</w:t>
      </w:r>
      <w:r>
        <w:rPr>
          <w:rStyle w:val="indexentry"/>
        </w:rPr>
        <w:fldChar w:fldCharType="begin"/>
      </w:r>
      <w:r>
        <w:instrText>xe "</w:instrText>
      </w:r>
      <w:r>
        <w:rPr>
          <w:rStyle w:val="xeentry"/>
        </w:rPr>
        <w:instrText>tense: scalar negation of with NAhE</w:instrText>
      </w:r>
      <w:r>
        <w:instrText>"</w:instrText>
      </w:r>
      <w:r>
        <w:rPr>
          <w:rStyle w:val="indexentry"/>
        </w:rPr>
        <w:fldChar w:fldCharType="end"/>
      </w:r>
      <w:r>
        <w:rPr>
          <w:rStyle w:val="indexentry"/>
        </w:rPr>
        <w:t>&lt;lx "NAhE"&gt;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&lt;cx "tense, scalar negation contrasted with contradictory negation of"&gt;</w:t>
      </w:r>
      <w:r>
        <w:rPr>
          <w:rStyle w:val="indexentry"/>
        </w:rPr>
        <w:fldChar w:fldCharType="begin"/>
      </w:r>
      <w:r>
        <w:instrText>xe "</w:instrText>
      </w:r>
      <w:r>
        <w:rPr>
          <w:rStyle w:val="xeentry"/>
        </w:rPr>
        <w:instrText>tense: scalar negation contrasted with contradictory negation of</w:instrText>
      </w:r>
      <w:r>
        <w:instrText>"</w:instrText>
      </w:r>
      <w:r>
        <w:rPr>
          <w:rStyle w:val="indexentry"/>
        </w:rPr>
        <w:fldChar w:fldCharType="end"/>
      </w:r>
      <w:r>
        <w:rPr>
          <w:rStyle w:val="indexentry"/>
        </w:rPr>
        <w:t>&lt;cx "tense, contradictory negation contrasted with scalar negation of"&gt;</w:t>
      </w:r>
      <w:r>
        <w:rPr>
          <w:rStyle w:val="indexentry"/>
        </w:rPr>
        <w:fldChar w:fldCharType="begin"/>
      </w:r>
      <w:r>
        <w:instrText>xe "</w:instrText>
      </w:r>
      <w:r>
        <w:rPr>
          <w:rStyle w:val="xeentry"/>
        </w:rPr>
        <w:instrText>tense: contradictory negation contrasted with scalar negation of</w:instrText>
      </w:r>
      <w:r>
        <w:instrText>"</w:instrText>
      </w:r>
      <w:r>
        <w:rPr>
          <w:rStyle w:val="indexentry"/>
        </w:rPr>
        <w:fldChar w:fldCharType="end"/>
      </w:r>
      <w:r>
        <w:t>It is also possible to perform scalar negation of whole tense constructs</w:t>
      </w:r>
      <w:r>
        <w:rPr>
          <w:rStyle w:val="deletedparamark"/>
        </w:rPr>
        <w:t xml:space="preserve"> </w:t>
      </w:r>
      <w:r>
        <w:t>by placing a member of NAhE before them. Unlike contra</w:t>
      </w:r>
      <w:r>
        <w:softHyphen/>
        <w:t>dictory negation,</w:t>
      </w:r>
      <w:r>
        <w:rPr>
          <w:rStyle w:val="deletedparamark"/>
        </w:rPr>
        <w:t xml:space="preserve"> </w:t>
      </w:r>
      <w:r>
        <w:t>scalar negation asserts a truth: that the bridi is true with some tense</w:t>
      </w:r>
      <w:r>
        <w:rPr>
          <w:rStyle w:val="deletedparamark"/>
        </w:rPr>
        <w:t xml:space="preserve"> </w:t>
      </w:r>
      <w:r>
        <w:t>other than that specified. The fol</w:t>
      </w:r>
      <w:r>
        <w:softHyphen/>
        <w:t>lowing exa</w:t>
      </w:r>
      <w:r>
        <w:t>m</w:t>
      </w:r>
      <w:r>
        <w:softHyphen/>
        <w:t>ples are scalar negation</w:t>
      </w:r>
      <w:r>
        <w:rPr>
          <w:rStyle w:val="deletedparamark"/>
        </w:rPr>
        <w:t xml:space="preserve"> </w:t>
      </w:r>
      <w:r>
        <w:t xml:space="preserve">analogues of </w:t>
      </w:r>
      <w:r>
        <w:rPr>
          <w:rStyle w:val="htmlcodes"/>
        </w:rPr>
        <w:t>&lt;a href=#e18d{1}&gt;</w:t>
      </w:r>
      <w:r>
        <w:t xml:space="preserve">Examples 18.1 </w:t>
      </w:r>
      <w:r>
        <w:rPr>
          <w:rStyle w:val="htmlcodes"/>
        </w:rPr>
        <w:t>&lt;/a&gt;</w:t>
      </w:r>
      <w:r>
        <w:t xml:space="preserve">to </w:t>
      </w:r>
      <w:r>
        <w:rPr>
          <w:rStyle w:val="htmlcodes"/>
        </w:rPr>
        <w:t>&lt;a href=#e18d3&gt;</w:t>
      </w:r>
      <w:r>
        <w:t>18.3</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name=e18d5&gt;</w:t>
      </w:r>
      <w:r>
        <w:t>18.5)</w:t>
      </w:r>
      <w:r>
        <w:tab/>
        <w:t>mi na'e pu klama le zarci</w:t>
      </w:r>
    </w:p>
    <w:p w:rsidR="00B72047" w:rsidRDefault="00B72047">
      <w:pPr>
        <w:pStyle w:val="examplescaled"/>
      </w:pPr>
      <w:r>
        <w:tab/>
        <w:t>I [non-] [past] go-to the market.</w:t>
      </w:r>
    </w:p>
    <w:p w:rsidR="00B72047" w:rsidRDefault="00B72047">
      <w:pPr>
        <w:pStyle w:val="examplescaled"/>
      </w:pPr>
      <w:r>
        <w:tab/>
        <w:t>I go to the market other than in the past.</w:t>
      </w:r>
    </w:p>
    <w:p w:rsidR="00B72047" w:rsidRDefault="00B72047">
      <w:pPr>
        <w:pStyle w:val="examplescaledpre"/>
      </w:pPr>
      <w:r>
        <w:rPr>
          <w:rStyle w:val="htmlcodes"/>
        </w:rPr>
        <w:t>&lt;a name=e18d6&gt;</w:t>
      </w:r>
      <w:r>
        <w:t>18.6)</w:t>
      </w:r>
      <w:r>
        <w:tab/>
        <w:t>le nanmu batci le gerku to'e ne'i le kumfa</w:t>
      </w:r>
    </w:p>
    <w:p w:rsidR="00B72047" w:rsidRDefault="00B72047">
      <w:pPr>
        <w:pStyle w:val="examplescaled"/>
      </w:pPr>
      <w:r>
        <w:tab/>
        <w:t>The man bites the dog [opposite-of] [within] the room.</w:t>
      </w:r>
    </w:p>
    <w:p w:rsidR="00B72047" w:rsidRDefault="00B72047">
      <w:pPr>
        <w:pStyle w:val="examplescaled"/>
      </w:pPr>
      <w:r>
        <w:tab/>
        <w:t>The man bites the dog outside the room.</w:t>
      </w:r>
    </w:p>
    <w:p w:rsidR="00B72047" w:rsidRDefault="00B72047">
      <w:pPr>
        <w:pStyle w:val="examplescaledpre"/>
      </w:pPr>
      <w:r>
        <w:rPr>
          <w:rStyle w:val="htmlcodes"/>
        </w:rPr>
        <w:t>&lt;a name=e18d7&gt;</w:t>
      </w:r>
      <w:r>
        <w:t>18.7)</w:t>
      </w:r>
      <w:r>
        <w:tab/>
        <w:t>mi klama le zarci na'e ca le nu do klama le zdani</w:t>
      </w:r>
    </w:p>
    <w:p w:rsidR="00B72047" w:rsidRDefault="00B72047">
      <w:pPr>
        <w:pStyle w:val="examplescaled"/>
      </w:pPr>
      <w:r>
        <w:tab/>
        <w:t>I go-to the market [non-] [present] the event-of you go-to the house.</w:t>
      </w:r>
    </w:p>
    <w:p w:rsidR="00B72047" w:rsidRDefault="00B72047">
      <w:pPr>
        <w:pStyle w:val="examplescaled"/>
      </w:pPr>
      <w:r>
        <w:tab/>
        <w:t xml:space="preserve">I went to the market at a time other than the time at which you went to </w:t>
      </w:r>
    </w:p>
    <w:p w:rsidR="00B72047" w:rsidRDefault="00B72047">
      <w:pPr>
        <w:pStyle w:val="examplescaled"/>
        <w:ind w:firstLine="576"/>
      </w:pPr>
      <w:r>
        <w:t>the house.</w:t>
      </w:r>
    </w:p>
    <w:p w:rsidR="00B72047" w:rsidRDefault="00B72047">
      <w:pPr>
        <w:pStyle w:val="examplescaledpre"/>
      </w:pPr>
      <w:r>
        <w:rPr>
          <w:rStyle w:val="htmlcodes"/>
        </w:rPr>
        <w:t>&lt;a name=e18d8&gt;</w:t>
      </w:r>
      <w:r>
        <w:t>18.8)</w:t>
      </w:r>
      <w:r>
        <w:tab/>
        <w:t>mi morsi na'e ca'o le nu mi jmive</w:t>
      </w:r>
    </w:p>
    <w:p w:rsidR="00B72047" w:rsidRDefault="00B72047">
      <w:pPr>
        <w:pStyle w:val="examplescaled"/>
      </w:pPr>
      <w:r>
        <w:tab/>
        <w:t>I am-dead [non-] [continuitive] the event-of I live.</w:t>
      </w:r>
    </w:p>
    <w:p w:rsidR="00B72047" w:rsidRDefault="00B72047">
      <w:pPr>
        <w:pStyle w:val="examplescaled"/>
      </w:pPr>
      <w:r>
        <w:tab/>
        <w:t>I am dead other than during my life.</w:t>
      </w:r>
    </w:p>
    <w:p w:rsidR="00B72047" w:rsidRDefault="00B72047">
      <w:pPr>
        <w:pStyle w:val="normalafterexample"/>
      </w:pPr>
      <w:r>
        <w:rPr>
          <w:rStyle w:val="htmlcodes"/>
        </w:rPr>
        <w:t>&lt;/pre&gt;</w:t>
      </w:r>
      <w:r>
        <w:rPr>
          <w:rStyle w:val="indexentry"/>
        </w:rPr>
        <w:t>&lt;cx "contradictory negation of tenses, selma'o allowed with"&gt;</w:t>
      </w:r>
      <w:r>
        <w:rPr>
          <w:rStyle w:val="indexentry"/>
        </w:rPr>
        <w:fldChar w:fldCharType="begin"/>
      </w:r>
      <w:r>
        <w:instrText>xe "</w:instrText>
      </w:r>
      <w:r>
        <w:rPr>
          <w:rStyle w:val="xeentry"/>
        </w:rPr>
        <w:instrText>contradictory negation of tenses: selma'o allowed with</w:instrText>
      </w:r>
      <w:r>
        <w:instrText>"</w:instrText>
      </w:r>
      <w:r>
        <w:rPr>
          <w:rStyle w:val="indexentry"/>
        </w:rPr>
        <w:fldChar w:fldCharType="end"/>
      </w:r>
      <w:r>
        <w:rPr>
          <w:rStyle w:val="indexentry"/>
        </w:rPr>
        <w:t>&lt;cx "scalar negation of tenses, selma'o allowed with"&gt;</w:t>
      </w:r>
      <w:r>
        <w:rPr>
          <w:rStyle w:val="indexentry"/>
        </w:rPr>
        <w:fldChar w:fldCharType="begin"/>
      </w:r>
      <w:r>
        <w:instrText>xe "</w:instrText>
      </w:r>
      <w:r>
        <w:rPr>
          <w:rStyle w:val="xeentry"/>
        </w:rPr>
        <w:instrText>scalar negation of tenses: selma'o allowed with</w:instrText>
      </w:r>
      <w:r>
        <w:instrText>"</w:instrText>
      </w:r>
      <w:r>
        <w:rPr>
          <w:rStyle w:val="indexentry"/>
        </w:rPr>
        <w:fldChar w:fldCharType="end"/>
      </w:r>
      <w:r>
        <w:rPr>
          <w:rStyle w:val="indexentry"/>
        </w:rPr>
        <w:t>&lt;lx "PU"&gt;</w:t>
      </w:r>
      <w:r>
        <w:rPr>
          <w:rStyle w:val="indexentry"/>
        </w:rPr>
        <w:fldChar w:fldCharType="begin"/>
      </w:r>
      <w:r>
        <w:instrText>xe "</w:instrText>
      </w:r>
      <w:r>
        <w:rPr>
          <w:rStyle w:val="xeentry"/>
        </w:rPr>
        <w:instrText>PU selma’o</w:instrText>
      </w:r>
      <w:r>
        <w:instrText>"</w:instrText>
      </w:r>
      <w:r>
        <w:rPr>
          <w:rStyle w:val="indexentry"/>
        </w:rPr>
        <w:fldChar w:fldCharType="end"/>
      </w:r>
      <w:r>
        <w:rPr>
          <w:rStyle w:val="indexentry"/>
        </w:rPr>
        <w:t>&lt;lx "FAhA"&gt;</w:t>
      </w:r>
      <w:r>
        <w:rPr>
          <w:rStyle w:val="indexentry"/>
        </w:rPr>
        <w:fldChar w:fldCharType="begin"/>
      </w:r>
      <w:r>
        <w:instrText>xe "</w:instrText>
      </w:r>
      <w:r>
        <w:rPr>
          <w:rStyle w:val="xeentry"/>
        </w:rPr>
        <w:instrText>FAhA selma’o</w:instrText>
      </w:r>
      <w:r>
        <w:instrText>"</w:instrText>
      </w:r>
      <w:r>
        <w:rPr>
          <w:rStyle w:val="indexentry"/>
        </w:rPr>
        <w:fldChar w:fldCharType="end"/>
      </w:r>
      <w:r>
        <w:t>Unlike “-nai” contradictory negation, scalar negation of tenses is not</w:t>
      </w:r>
      <w:r>
        <w:rPr>
          <w:rStyle w:val="deletedparamark"/>
        </w:rPr>
        <w:t xml:space="preserve"> </w:t>
      </w:r>
      <w:r>
        <w:t>limited to PU and FAhA: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name=e18d9&gt;</w:t>
      </w:r>
      <w:r>
        <w:t>18.9)</w:t>
      </w:r>
      <w:r>
        <w:tab/>
        <w:t>le verba na'e ri'u cadzu le bisli</w:t>
      </w:r>
    </w:p>
    <w:p w:rsidR="00B72047" w:rsidRDefault="00B72047">
      <w:pPr>
        <w:pStyle w:val="examplescaled"/>
      </w:pPr>
      <w:r>
        <w:tab/>
        <w:t>The child [non-] [right] walks-on the ice</w:t>
      </w:r>
    </w:p>
    <w:p w:rsidR="00B72047" w:rsidRDefault="00B72047">
      <w:pPr>
        <w:pStyle w:val="examplescaled"/>
      </w:pPr>
      <w:r>
        <w:tab/>
        <w:t>The child walks on the ice other than to my right.</w:t>
      </w:r>
    </w:p>
    <w:p w:rsidR="00B72047" w:rsidRDefault="00B72047">
      <w:pPr>
        <w:pStyle w:val="normalafterexample"/>
      </w:pPr>
      <w:r>
        <w:rPr>
          <w:rStyle w:val="htmlcodes"/>
        </w:rPr>
        <w:t>&lt;/pre&gt;</w:t>
      </w:r>
      <w:r>
        <w:rPr>
          <w:rStyle w:val="indexentry"/>
        </w:rPr>
        <w:t>&lt;cx "TAhE, scalar negation of"&gt;</w:t>
      </w:r>
      <w:r>
        <w:rPr>
          <w:rStyle w:val="indexentry"/>
        </w:rPr>
        <w:fldChar w:fldCharType="begin"/>
      </w:r>
      <w:r>
        <w:instrText>xe "</w:instrText>
      </w:r>
      <w:r>
        <w:rPr>
          <w:rStyle w:val="xeentry"/>
        </w:rPr>
        <w:instrText>TAhE selma’o: scalar negation of</w:instrText>
      </w:r>
      <w:r>
        <w:instrText>"</w:instrText>
      </w:r>
      <w:r>
        <w:rPr>
          <w:rStyle w:val="indexentry"/>
        </w:rPr>
        <w:fldChar w:fldCharType="end"/>
      </w:r>
      <w:r>
        <w:rPr>
          <w:rStyle w:val="indexentry"/>
        </w:rPr>
        <w:t>&lt;cx "ROI, scalar negation of"&gt;</w:t>
      </w:r>
      <w:r>
        <w:rPr>
          <w:rStyle w:val="indexentry"/>
        </w:rPr>
        <w:fldChar w:fldCharType="begin"/>
      </w:r>
      <w:r>
        <w:instrText>xe "</w:instrText>
      </w:r>
      <w:r>
        <w:rPr>
          <w:rStyle w:val="xeentry"/>
        </w:rPr>
        <w:instrText>ROI selma’o: scalar negation of</w:instrText>
      </w:r>
      <w:r>
        <w:instrText>"</w:instrText>
      </w:r>
      <w:r>
        <w:rPr>
          <w:rStyle w:val="indexentry"/>
        </w:rPr>
        <w:fldChar w:fldCharType="end"/>
      </w:r>
      <w:r>
        <w:t>The use of “-nai” on cmavo of TAhE and ROI has already been discussed in</w:t>
      </w:r>
      <w:r>
        <w:rPr>
          <w:rStyle w:val="deletedparamark"/>
        </w:rPr>
        <w:t xml:space="preserve"> </w:t>
      </w:r>
      <w:r>
        <w:rPr>
          <w:rStyle w:val="htmlcodes"/>
        </w:rPr>
        <w:t>&lt;a href=#s9&gt;</w:t>
      </w:r>
      <w:r>
        <w:t>Section 9</w:t>
      </w:r>
      <w:r>
        <w:rPr>
          <w:rStyle w:val="htmlcodes"/>
        </w:rPr>
        <w:t>&lt;/a&gt;</w:t>
      </w:r>
      <w:r>
        <w:t>; this use is also a scalar negation.</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name=s19&gt;&lt;h3&gt;</w:t>
      </w:r>
      <w:bookmarkStart w:id="348" w:name="_Toc398970593"/>
      <w:r>
        <w:rPr>
          <w:rStyle w:val="Heading3Text"/>
        </w:rPr>
        <w:t>Actuality, potentiality, capability: CAhA</w:t>
      </w:r>
      <w:bookmarkEnd w:id="34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ca'a</w:t>
      </w:r>
      <w:r>
        <w:tab/>
        <w:t>CAhA</w:t>
      </w:r>
      <w:r>
        <w:tab/>
        <w:t>actually is</w:t>
      </w:r>
    </w:p>
    <w:p w:rsidR="00B72047" w:rsidRDefault="00B72047">
      <w:pPr>
        <w:pStyle w:val="examplescaled"/>
      </w:pPr>
      <w:r>
        <w:tab/>
        <w:t>ka'e</w:t>
      </w:r>
      <w:r>
        <w:tab/>
        <w:t>CAhA</w:t>
      </w:r>
      <w:r>
        <w:tab/>
        <w:t>is innately capable of</w:t>
      </w:r>
    </w:p>
    <w:p w:rsidR="00B72047" w:rsidRDefault="00B72047">
      <w:pPr>
        <w:pStyle w:val="examplescaled"/>
      </w:pPr>
      <w:r>
        <w:tab/>
        <w:t>nu'o</w:t>
      </w:r>
      <w:r>
        <w:tab/>
        <w:t>CAhA</w:t>
      </w:r>
      <w:r>
        <w:tab/>
        <w:t>can but has not</w:t>
      </w:r>
    </w:p>
    <w:p w:rsidR="00B72047" w:rsidRDefault="00B72047">
      <w:pPr>
        <w:pStyle w:val="examplescaled"/>
      </w:pPr>
      <w:r>
        <w:tab/>
        <w:t>pu'i</w:t>
      </w:r>
      <w:r>
        <w:tab/>
        <w:t>CAhA</w:t>
      </w:r>
      <w:r>
        <w:tab/>
        <w:t>can and has</w:t>
      </w:r>
    </w:p>
    <w:p w:rsidR="00B72047" w:rsidRDefault="00B72047">
      <w:pPr>
        <w:pStyle w:val="normalafterexample"/>
      </w:pPr>
      <w:r>
        <w:rPr>
          <w:rStyle w:val="htmlcodes"/>
        </w:rPr>
        <w:t>&lt;/pre&gt;</w:t>
      </w:r>
      <w:r>
        <w:rPr>
          <w:rStyle w:val="indexentry"/>
        </w:rPr>
        <w:t>&lt;cx "potential events, expressing implicitly"&gt;</w:t>
      </w:r>
      <w:r>
        <w:rPr>
          <w:rStyle w:val="indexentry"/>
        </w:rPr>
        <w:fldChar w:fldCharType="begin"/>
      </w:r>
      <w:r>
        <w:instrText>xe "</w:instrText>
      </w:r>
      <w:r>
        <w:rPr>
          <w:rStyle w:val="xeentry"/>
        </w:rPr>
        <w:instrText>potential events: expressing implicitly</w:instrText>
      </w:r>
      <w:r>
        <w:instrText>"</w:instrText>
      </w:r>
      <w:r>
        <w:rPr>
          <w:rStyle w:val="indexentry"/>
        </w:rPr>
        <w:fldChar w:fldCharType="end"/>
      </w:r>
      <w:r>
        <w:rPr>
          <w:rStyle w:val="indexentry"/>
        </w:rPr>
        <w:t>&lt;cx "innate capabilities, expressing implicitly"&gt;</w:t>
      </w:r>
      <w:r>
        <w:rPr>
          <w:rStyle w:val="indexentry"/>
        </w:rPr>
        <w:fldChar w:fldCharType="begin"/>
      </w:r>
      <w:r>
        <w:instrText>xe "</w:instrText>
      </w:r>
      <w:r>
        <w:rPr>
          <w:rStyle w:val="xeentry"/>
        </w:rPr>
        <w:instrText>innate capability: expressing implicitly</w:instrText>
      </w:r>
      <w:r>
        <w:instrText>"</w:instrText>
      </w:r>
      <w:r>
        <w:rPr>
          <w:rStyle w:val="indexentry"/>
        </w:rPr>
        <w:fldChar w:fldCharType="end"/>
      </w:r>
      <w:r>
        <w:t>Lojban bridi without tense markers may not necessarily refer to actual</w:t>
      </w:r>
      <w:r>
        <w:rPr>
          <w:rStyle w:val="deletedparamark"/>
        </w:rPr>
        <w:t xml:space="preserve"> </w:t>
      </w:r>
      <w:r>
        <w:t>events: they may also refer to capabilities or potential events.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"ducks swim"&gt;</w:t>
      </w:r>
      <w:r>
        <w:rPr>
          <w:rStyle w:val="indexentry"/>
        </w:rPr>
        <w:fldChar w:fldCharType="begin"/>
      </w:r>
      <w:r>
        <w:instrText>xe "</w:instrText>
      </w:r>
      <w:r>
        <w:rPr>
          <w:rStyle w:val="xeentry"/>
        </w:rPr>
        <w:instrText>ducks swim: example</w:instrText>
      </w:r>
      <w:r>
        <w:instrText>"</w:instrText>
      </w:r>
      <w:r>
        <w:rPr>
          <w:rStyle w:val="indexentry"/>
        </w:rPr>
        <w:fldChar w:fldCharType="end"/>
      </w:r>
      <w:r>
        <w:rPr>
          <w:rStyle w:val="htmlcodes"/>
        </w:rPr>
        <w:t>&lt;pre&gt;&lt;a name=e19d1&gt;</w:t>
      </w:r>
      <w:r>
        <w:t>19.1)</w:t>
      </w:r>
      <w:r>
        <w:tab/>
        <w:t>ro datka cu flulimna</w:t>
      </w:r>
    </w:p>
    <w:p w:rsidR="00B72047" w:rsidRDefault="00B72047">
      <w:pPr>
        <w:pStyle w:val="examplescaled"/>
      </w:pPr>
      <w:r>
        <w:tab/>
        <w:t>All ducks are-float-swimmers</w:t>
      </w:r>
    </w:p>
    <w:p w:rsidR="00B72047" w:rsidRDefault="00B72047">
      <w:pPr>
        <w:pStyle w:val="examplescaled"/>
      </w:pPr>
      <w:r>
        <w:tab/>
        <w:t>All ducks swim by floating.</w:t>
      </w:r>
    </w:p>
    <w:p w:rsidR="00B72047" w:rsidRDefault="00B72047">
      <w:pPr>
        <w:pStyle w:val="resumedafterexample"/>
      </w:pPr>
      <w:r>
        <w:rPr>
          <w:rStyle w:val="htmlcodes"/>
        </w:rPr>
        <w:t>&lt;/pre&gt;</w:t>
      </w:r>
      <w:r>
        <w:rPr>
          <w:rStyle w:val="indexentry"/>
        </w:rPr>
        <w:t>&lt;cx "tense, Lojban contrasted with English in implying actuality"&gt;</w:t>
      </w:r>
      <w:r>
        <w:rPr>
          <w:rStyle w:val="indexentry"/>
        </w:rPr>
        <w:fldChar w:fldCharType="begin"/>
      </w:r>
      <w:r>
        <w:instrText>xe "</w:instrText>
      </w:r>
      <w:r>
        <w:rPr>
          <w:rStyle w:val="xeentry"/>
        </w:rPr>
        <w:instrText>tense: Lojban contrasted with English in implying actuality</w:instrText>
      </w:r>
      <w:r>
        <w:instrText>"</w:instrText>
      </w:r>
      <w:r>
        <w:rPr>
          <w:rStyle w:val="indexentry"/>
        </w:rPr>
        <w:fldChar w:fldCharType="end"/>
      </w:r>
      <w:r>
        <w:rPr>
          <w:rStyle w:val="indexentry"/>
        </w:rPr>
        <w:t>&lt;cx "actuality, Lojban contrasted with English in implying"&gt;</w:t>
      </w:r>
      <w:r>
        <w:rPr>
          <w:rStyle w:val="indexentry"/>
        </w:rPr>
        <w:fldChar w:fldCharType="begin"/>
      </w:r>
      <w:r>
        <w:instrText>xe "</w:instrText>
      </w:r>
      <w:r>
        <w:rPr>
          <w:rStyle w:val="xeentry"/>
        </w:rPr>
        <w:instrText>actuality: Lojban contrasted with English in implying</w:instrText>
      </w:r>
      <w:r>
        <w:instrText>"</w:instrText>
      </w:r>
      <w:r>
        <w:rPr>
          <w:rStyle w:val="indexentry"/>
        </w:rPr>
        <w:fldChar w:fldCharType="end"/>
      </w:r>
      <w:r>
        <w:t>is a Lojban truth, even though the colloquial English translation is false</w:t>
      </w:r>
      <w:r>
        <w:rPr>
          <w:rStyle w:val="deletedparamark"/>
        </w:rPr>
        <w:t xml:space="preserve"> </w:t>
      </w:r>
      <w:r>
        <w:t>or at best am</w:t>
      </w:r>
      <w:r>
        <w:softHyphen/>
        <w:t>biguous. This is because the tenseless Lojban bridi doesn't</w:t>
      </w:r>
      <w:r>
        <w:rPr>
          <w:rStyle w:val="deletedparamark"/>
        </w:rPr>
        <w:t xml:space="preserve"> </w:t>
      </w:r>
      <w:r>
        <w:t>necessarily claim that every duck is swimming or floating now or even at</w:t>
      </w:r>
      <w:r>
        <w:rPr>
          <w:rStyle w:val="deletedparamark"/>
        </w:rPr>
        <w:t xml:space="preserve"> </w:t>
      </w:r>
      <w:r>
        <w:t xml:space="preserve">a specific time or place. Even if we add a tense marker to </w:t>
      </w:r>
      <w:r>
        <w:rPr>
          <w:rStyle w:val="htmlcodes"/>
        </w:rPr>
        <w:t>&lt;a href=#e19d1&gt;</w:t>
      </w:r>
      <w:r>
        <w:t>Example 19.1</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name=e19d2&gt;</w:t>
      </w:r>
      <w:r>
        <w:t>19.2)</w:t>
      </w:r>
      <w:r>
        <w:tab/>
        <w:t>ro datka ca flulimna</w:t>
      </w:r>
    </w:p>
    <w:p w:rsidR="00B72047" w:rsidRDefault="00B72047">
      <w:pPr>
        <w:pStyle w:val="examplescaled"/>
      </w:pPr>
      <w:r>
        <w:tab/>
        <w:t>All ducks [present] are-float-swimmers.</w:t>
      </w:r>
    </w:p>
    <w:p w:rsidR="00B72047" w:rsidRDefault="00B72047">
      <w:pPr>
        <w:pStyle w:val="examplescaled"/>
      </w:pPr>
      <w:r>
        <w:tab/>
        <w:t>All ducks are now swimming by floating.</w:t>
      </w:r>
    </w:p>
    <w:p w:rsidR="00B72047" w:rsidRDefault="00B72047">
      <w:pPr>
        <w:pStyle w:val="resumedafterexample"/>
      </w:pPr>
      <w:r>
        <w:rPr>
          <w:rStyle w:val="htmlcodes"/>
        </w:rPr>
        <w:t>&lt;/pre&gt;</w:t>
      </w:r>
      <w:r>
        <w:t xml:space="preserve">the resulting </w:t>
      </w:r>
      <w:r>
        <w:rPr>
          <w:rStyle w:val="htmlcodes"/>
        </w:rPr>
        <w:t>&lt;a href=#e19d2&gt;</w:t>
      </w:r>
      <w:r>
        <w:t xml:space="preserve">Example 19.2 </w:t>
      </w:r>
      <w:r>
        <w:rPr>
          <w:rStyle w:val="htmlcodes"/>
        </w:rPr>
        <w:t>&lt;/a&gt;</w:t>
      </w:r>
      <w:r>
        <w:t>might still be considered a truth, even though the</w:t>
      </w:r>
      <w:r>
        <w:rPr>
          <w:rStyle w:val="deletedparamark"/>
        </w:rPr>
        <w:t xml:space="preserve"> </w:t>
      </w:r>
      <w:r>
        <w:t>colloquial English seems even more likely to be false. All ducks have the</w:t>
      </w:r>
      <w:r>
        <w:rPr>
          <w:rStyle w:val="deletedparamark"/>
        </w:rPr>
        <w:t xml:space="preserve"> </w:t>
      </w:r>
      <w:r>
        <w:t>potential of swimming even if they are not exercising that potential at</w:t>
      </w:r>
      <w:r>
        <w:rPr>
          <w:rStyle w:val="deletedparamark"/>
        </w:rPr>
        <w:t xml:space="preserve"> </w:t>
      </w:r>
      <w:r>
        <w:t>present. To get the full flavor of “All ducks are now swimming”, we must</w:t>
      </w:r>
      <w:r>
        <w:rPr>
          <w:rStyle w:val="deletedparamark"/>
        </w:rPr>
        <w:t xml:space="preserve"> </w:t>
      </w:r>
      <w:r>
        <w:t>append a marker from selma'o CAhA to the tense, and say:</w:t>
      </w:r>
    </w:p>
    <w:p w:rsidR="00B72047" w:rsidRDefault="00B72047">
      <w:pPr>
        <w:rPr>
          <w:rStyle w:val="htmlparacode"/>
        </w:rPr>
      </w:pPr>
      <w:r>
        <w:rPr>
          <w:rStyle w:val="htmlparacode"/>
        </w:rPr>
        <w:t>&lt;p&gt;</w:t>
      </w:r>
    </w:p>
    <w:p w:rsidR="00B72047" w:rsidRDefault="00B72047">
      <w:pPr>
        <w:pStyle w:val="examplescaledpre"/>
      </w:pPr>
      <w:r>
        <w:rPr>
          <w:rStyle w:val="indexentry"/>
        </w:rPr>
        <w:t>&lt;cx "actual events, explicitly expressing"&gt;</w:t>
      </w:r>
      <w:r>
        <w:rPr>
          <w:rStyle w:val="indexentry"/>
        </w:rPr>
        <w:fldChar w:fldCharType="begin"/>
      </w:r>
      <w:r>
        <w:instrText>xe "</w:instrText>
      </w:r>
      <w:r>
        <w:rPr>
          <w:rStyle w:val="xeentry"/>
        </w:rPr>
        <w:instrText>actual events: explicitly expressing</w:instrText>
      </w:r>
      <w:r>
        <w:instrText>"</w:instrText>
      </w:r>
      <w:r>
        <w:rPr>
          <w:rStyle w:val="indexentry"/>
        </w:rPr>
        <w:fldChar w:fldCharType="end"/>
      </w:r>
      <w:r>
        <w:rPr>
          <w:rStyle w:val="indexentry"/>
        </w:rPr>
        <w:t>&lt;lx "ca'a"&gt;</w:t>
      </w:r>
      <w:r>
        <w:rPr>
          <w:rStyle w:val="indexentry"/>
        </w:rPr>
        <w:fldChar w:fldCharType="begin"/>
      </w:r>
      <w:r>
        <w:instrText>xe "</w:instrText>
      </w:r>
      <w:r>
        <w:rPr>
          <w:rStyle w:val="xeentry"/>
        </w:rPr>
        <w:instrText>ca'a</w:instrText>
      </w:r>
      <w:r>
        <w:instrText>"</w:instrText>
      </w:r>
      <w:r>
        <w:rPr>
          <w:rStyle w:val="indexentry"/>
        </w:rPr>
        <w:fldChar w:fldCharType="end"/>
      </w:r>
      <w:r>
        <w:rPr>
          <w:rStyle w:val="htmlcodes"/>
        </w:rPr>
        <w:t>&lt;pre&gt;&lt;a name=e19d3&gt;</w:t>
      </w:r>
      <w:r>
        <w:t>19.3)</w:t>
      </w:r>
      <w:r>
        <w:tab/>
        <w:t>ro datka ca ca'a flulimna</w:t>
      </w:r>
    </w:p>
    <w:p w:rsidR="00B72047" w:rsidRDefault="00B72047">
      <w:pPr>
        <w:pStyle w:val="examplescaled"/>
      </w:pPr>
      <w:r>
        <w:tab/>
        <w:t>All ducks [present] [actual] are-float-swimmers</w:t>
      </w:r>
    </w:p>
    <w:p w:rsidR="00B72047" w:rsidRDefault="00B72047">
      <w:pPr>
        <w:pStyle w:val="examplescaled"/>
      </w:pPr>
      <w:r>
        <w:tab/>
        <w:t>All ducks are now actually swimming by floating.</w:t>
      </w:r>
    </w:p>
    <w:p w:rsidR="00B72047" w:rsidRDefault="00B72047">
      <w:pPr>
        <w:pStyle w:val="resumedafterexample"/>
      </w:pPr>
      <w:r>
        <w:rPr>
          <w:rStyle w:val="htmlcodes"/>
        </w:rPr>
        <w:t>&lt;/pre&gt;</w:t>
      </w:r>
      <w:r>
        <w:rPr>
          <w:rStyle w:val="indexentry"/>
        </w:rPr>
        <w:t>&lt;cx "CAhA, order in tense construct"&gt;</w:t>
      </w:r>
      <w:r>
        <w:rPr>
          <w:rStyle w:val="indexentry"/>
        </w:rPr>
        <w:fldChar w:fldCharType="begin"/>
      </w:r>
      <w:r>
        <w:instrText>xe "</w:instrText>
      </w:r>
      <w:r>
        <w:rPr>
          <w:rStyle w:val="xeentry"/>
        </w:rPr>
        <w:instrText>CAhA selma’o: order in tense construct</w:instrText>
      </w:r>
      <w:r>
        <w:instrText>"</w:instrText>
      </w:r>
      <w:r>
        <w:rPr>
          <w:rStyle w:val="indexentry"/>
        </w:rPr>
        <w:fldChar w:fldCharType="end"/>
      </w:r>
      <w:r>
        <w:rPr>
          <w:rStyle w:val="indexentry"/>
        </w:rPr>
        <w:t>&lt;lx "CAhA"&gt;</w:t>
      </w:r>
      <w:r>
        <w:rPr>
          <w:rStyle w:val="indexentry"/>
        </w:rPr>
        <w:fldChar w:fldCharType="begin"/>
      </w:r>
      <w:r>
        <w:instrText>xe "</w:instrText>
      </w:r>
      <w:r>
        <w:rPr>
          <w:rStyle w:val="xeentry"/>
        </w:rPr>
        <w:instrText>CAhA selma’o</w:instrText>
      </w:r>
      <w:r>
        <w:instrText>"</w:instrText>
      </w:r>
      <w:r>
        <w:rPr>
          <w:rStyle w:val="indexentry"/>
        </w:rPr>
        <w:fldChar w:fldCharType="end"/>
      </w:r>
      <w:r>
        <w:rPr>
          <w:rStyle w:val="indexentry"/>
        </w:rPr>
        <w:t>&lt;lx "ki"&gt;</w:t>
      </w:r>
      <w:r>
        <w:rPr>
          <w:rStyle w:val="indexentry"/>
        </w:rPr>
        <w:fldChar w:fldCharType="begin"/>
      </w:r>
      <w:r>
        <w:instrText>xe "</w:instrText>
      </w:r>
      <w:r>
        <w:rPr>
          <w:rStyle w:val="xeentry"/>
        </w:rPr>
        <w:instrText>ki</w:instrText>
      </w:r>
      <w:r>
        <w:instrText>"</w:instrText>
      </w:r>
      <w:r>
        <w:rPr>
          <w:rStyle w:val="indexentry"/>
        </w:rPr>
        <w:fldChar w:fldCharType="end"/>
      </w:r>
      <w:r>
        <w:rPr>
          <w:rStyle w:val="indexentry"/>
        </w:rPr>
        <w:t>&lt;cx "CAhA, making sticky"&gt;</w:t>
      </w:r>
      <w:r>
        <w:rPr>
          <w:rStyle w:val="indexentry"/>
        </w:rPr>
        <w:fldChar w:fldCharType="begin"/>
      </w:r>
      <w:r>
        <w:instrText>xe "</w:instrText>
      </w:r>
      <w:r>
        <w:rPr>
          <w:rStyle w:val="xeentry"/>
        </w:rPr>
        <w:instrText>CAhA selma’o: making sticky</w:instrText>
      </w:r>
      <w:r>
        <w:instrText>"</w:instrText>
      </w:r>
      <w:r>
        <w:rPr>
          <w:rStyle w:val="indexentry"/>
        </w:rPr>
        <w:fldChar w:fldCharType="end"/>
      </w:r>
      <w:r>
        <w:rPr>
          <w:rStyle w:val="indexentry"/>
        </w:rPr>
        <w:t>&lt;cx "sticky tenses, and CAhA"&gt;</w:t>
      </w:r>
      <w:r>
        <w:rPr>
          <w:rStyle w:val="indexentry"/>
        </w:rPr>
        <w:fldChar w:fldCharType="begin"/>
      </w:r>
      <w:r>
        <w:instrText>xe "</w:instrText>
      </w:r>
      <w:r>
        <w:rPr>
          <w:rStyle w:val="xeentry"/>
        </w:rPr>
        <w:instrText>sticky tenses: and CAhA</w:instrText>
      </w:r>
      <w:r>
        <w:instrText>"</w:instrText>
      </w:r>
      <w:r>
        <w:rPr>
          <w:rStyle w:val="indexentry"/>
        </w:rPr>
        <w:fldChar w:fldCharType="end"/>
      </w:r>
      <w:r>
        <w:t>A CAhA cmavo is always placed after any other tense cmavo, whether for time</w:t>
      </w:r>
      <w:r>
        <w:rPr>
          <w:rStyle w:val="deletedparamark"/>
        </w:rPr>
        <w:t xml:space="preserve"> </w:t>
      </w:r>
      <w:r>
        <w:t>or for space. However, a CAhA cmavo comes before “ki”, so that a CAhA</w:t>
      </w:r>
      <w:r>
        <w:rPr>
          <w:rStyle w:val="deletedparamark"/>
        </w:rPr>
        <w:t xml:space="preserve"> </w:t>
      </w:r>
      <w:r>
        <w:t>condition can be made sticky.</w:t>
      </w:r>
    </w:p>
    <w:p w:rsidR="00B72047" w:rsidRDefault="00B72047">
      <w:pPr>
        <w:rPr>
          <w:rStyle w:val="htmlparacode"/>
        </w:rPr>
      </w:pPr>
      <w:r>
        <w:rPr>
          <w:rStyle w:val="htmlparacode"/>
        </w:rPr>
        <w:t>&lt;p&gt;</w:t>
      </w:r>
    </w:p>
    <w:p w:rsidR="00B72047" w:rsidRDefault="00B72047">
      <w:pPr>
        <w:pStyle w:val="normalparagraph"/>
      </w:pPr>
      <w:r>
        <w:rPr>
          <w:rStyle w:val="htmlcodes"/>
        </w:rPr>
        <w:t>&lt;a href=#e19d3&gt;</w:t>
      </w:r>
      <w:r>
        <w:t xml:space="preserve">Example 19.3 </w:t>
      </w:r>
      <w:r>
        <w:rPr>
          <w:rStyle w:val="htmlcodes"/>
        </w:rPr>
        <w:t>&lt;/a&gt;</w:t>
      </w:r>
      <w:r>
        <w:t>is false in both Lojban and English, since it claims that the</w:t>
      </w:r>
      <w:r>
        <w:rPr>
          <w:rStyle w:val="deletedparamark"/>
        </w:rPr>
        <w:t xml:space="preserve"> </w:t>
      </w:r>
      <w:r>
        <w:t>swimming is an actual, present fact, true of every duck that exists, whereas</w:t>
      </w:r>
      <w:r>
        <w:rPr>
          <w:rStyle w:val="deletedparamark"/>
        </w:rPr>
        <w:t xml:space="preserve"> </w:t>
      </w:r>
      <w:r>
        <w:t>in fact there is at least one duck that is not swimming now.</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"innate capability, expressing explicitly"&gt;</w:t>
      </w:r>
      <w:r>
        <w:rPr>
          <w:rStyle w:val="indexentry"/>
        </w:rPr>
        <w:fldChar w:fldCharType="begin"/>
      </w:r>
      <w:r>
        <w:instrText>xe "</w:instrText>
      </w:r>
      <w:r>
        <w:rPr>
          <w:rStyle w:val="xeentry"/>
        </w:rPr>
        <w:instrText>innate capability: expressing explicitly</w:instrText>
      </w:r>
      <w:r>
        <w:instrText>"</w:instrText>
      </w:r>
      <w:r>
        <w:rPr>
          <w:rStyle w:val="indexentry"/>
        </w:rPr>
        <w:fldChar w:fldCharType="end"/>
      </w:r>
      <w:r>
        <w:rPr>
          <w:rStyle w:val="indexentry"/>
        </w:rPr>
        <w:t>&lt;lx "ka'e"&gt;</w:t>
      </w:r>
      <w:r>
        <w:rPr>
          <w:rStyle w:val="indexentry"/>
        </w:rPr>
        <w:fldChar w:fldCharType="begin"/>
      </w:r>
      <w:r>
        <w:instrText>xe "</w:instrText>
      </w:r>
      <w:r>
        <w:rPr>
          <w:rStyle w:val="xeentry"/>
        </w:rPr>
        <w:instrText>ka'e</w:instrText>
      </w:r>
      <w:r>
        <w:instrText>"</w:instrText>
      </w:r>
      <w:r>
        <w:rPr>
          <w:rStyle w:val="indexentry"/>
        </w:rPr>
        <w:fldChar w:fldCharType="end"/>
      </w:r>
      <w:r>
        <w:t>Furthermore, some ducks are dead (and therefore sink); some ducks have</w:t>
      </w:r>
      <w:r>
        <w:rPr>
          <w:rStyle w:val="deletedparamark"/>
        </w:rPr>
        <w:t xml:space="preserve"> </w:t>
      </w:r>
      <w:r>
        <w:t>just hatched (and do not know how to swim yet), and some ducks have been</w:t>
      </w:r>
      <w:r>
        <w:rPr>
          <w:rStyle w:val="deletedparamark"/>
        </w:rPr>
        <w:t xml:space="preserve"> </w:t>
      </w:r>
      <w:r>
        <w:t>eaten by pred</w:t>
      </w:r>
      <w:r>
        <w:t>a</w:t>
      </w:r>
      <w:r>
        <w:softHyphen/>
        <w:t>tors (and have ceased to exist as separate objects at all).</w:t>
      </w:r>
      <w:r>
        <w:rPr>
          <w:rStyle w:val="deletedparamark"/>
        </w:rPr>
        <w:t xml:space="preserve"> </w:t>
      </w:r>
      <w:r>
        <w:t>Nevertheless, all these ducks have the innate capability of swimming — it</w:t>
      </w:r>
      <w:r>
        <w:rPr>
          <w:rStyle w:val="deletedparamark"/>
        </w:rPr>
        <w:t xml:space="preserve"> </w:t>
      </w:r>
      <w:r>
        <w:t>is part of the nature of duck</w:t>
      </w:r>
      <w:r>
        <w:softHyphen/>
        <w:t>hood. The cmavo “ka'e” expresses this notion</w:t>
      </w:r>
      <w:r>
        <w:rPr>
          <w:rStyle w:val="deletedparamark"/>
        </w:rPr>
        <w:t xml:space="preserve"> </w:t>
      </w:r>
      <w:r>
        <w:t>of innate capability: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name=e19d4&gt;</w:t>
      </w:r>
      <w:r>
        <w:t>19.4)</w:t>
      </w:r>
      <w:r>
        <w:tab/>
        <w:t>ro datka ka'e flulimna</w:t>
      </w:r>
    </w:p>
    <w:p w:rsidR="00B72047" w:rsidRDefault="00B72047">
      <w:pPr>
        <w:pStyle w:val="examplescaled"/>
      </w:pPr>
      <w:r>
        <w:tab/>
        <w:t>All ducks [capable] are-float-swimmers.</w:t>
      </w:r>
    </w:p>
    <w:p w:rsidR="00B72047" w:rsidRDefault="00B72047">
      <w:pPr>
        <w:pStyle w:val="examplescaled"/>
      </w:pPr>
      <w:r>
        <w:tab/>
        <w:t>All ducks are innately capable of swimming.</w:t>
      </w:r>
    </w:p>
    <w:p w:rsidR="00B72047" w:rsidRDefault="00B72047">
      <w:pPr>
        <w:pStyle w:val="normalafterexample"/>
        <w:spacing w:before="120"/>
      </w:pPr>
      <w:r>
        <w:rPr>
          <w:rStyle w:val="htmlcodes"/>
        </w:rPr>
        <w:t>&lt;/pre&gt;</w:t>
      </w:r>
      <w:r>
        <w:rPr>
          <w:rStyle w:val="indexentry"/>
        </w:rPr>
        <w:t>&lt;cx "innate properties, extension of from mass to individuals"&gt;</w:t>
      </w:r>
      <w:r>
        <w:rPr>
          <w:rStyle w:val="indexentry"/>
        </w:rPr>
        <w:fldChar w:fldCharType="begin"/>
      </w:r>
      <w:r>
        <w:instrText>xe "</w:instrText>
      </w:r>
      <w:r>
        <w:rPr>
          <w:rStyle w:val="xeentry"/>
        </w:rPr>
        <w:instrText>innate property: extension of from mass to individuals</w:instrText>
      </w:r>
      <w:r>
        <w:instrText>"</w:instrText>
      </w:r>
      <w:r>
        <w:rPr>
          <w:rStyle w:val="indexentry"/>
        </w:rPr>
        <w:fldChar w:fldCharType="end"/>
      </w:r>
      <w:r>
        <w:t>Under some epistemologies, innate capability can be ex</w:t>
      </w:r>
      <w:r>
        <w:softHyphen/>
        <w:t>tended in order to</w:t>
      </w:r>
      <w:r>
        <w:rPr>
          <w:rStyle w:val="deletedparamark"/>
        </w:rPr>
        <w:t xml:space="preserve"> </w:t>
      </w:r>
      <w:r>
        <w:t>ap</w:t>
      </w:r>
      <w:r>
        <w:softHyphen/>
        <w:t>ply the innate properties of a mass to which certain individuals belong to</w:t>
      </w:r>
      <w:r>
        <w:rPr>
          <w:rStyle w:val="deletedparamark"/>
        </w:rPr>
        <w:t xml:space="preserve"> </w:t>
      </w:r>
      <w:r>
        <w:t>the individuals the</w:t>
      </w:r>
      <w:r>
        <w:t>m</w:t>
      </w:r>
      <w:r>
        <w:softHyphen/>
        <w:t>selves, even if those individuals are themselves not</w:t>
      </w:r>
      <w:r>
        <w:rPr>
          <w:rStyle w:val="deletedparamark"/>
        </w:rPr>
        <w:t xml:space="preserve"> </w:t>
      </w:r>
      <w:r>
        <w:t>capable of fulfilling the claim of the bridi.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"can see"&gt;</w:t>
      </w:r>
      <w:r>
        <w:rPr>
          <w:rStyle w:val="indexentry"/>
        </w:rPr>
        <w:fldChar w:fldCharType="begin"/>
      </w:r>
      <w:r>
        <w:instrText>xe "</w:instrText>
      </w:r>
      <w:r>
        <w:rPr>
          <w:rStyle w:val="xeentry"/>
        </w:rPr>
        <w:instrText>can see: example</w:instrText>
      </w:r>
      <w:r>
        <w:instrText>"</w:instrText>
      </w:r>
      <w:r>
        <w:rPr>
          <w:rStyle w:val="indexentry"/>
        </w:rPr>
        <w:fldChar w:fldCharType="end"/>
      </w:r>
      <w:r>
        <w:rPr>
          <w:rStyle w:val="htmlcodes"/>
        </w:rPr>
        <w:t>&lt;pre&gt;&lt;a name=e19d5&gt;</w:t>
      </w:r>
      <w:r>
        <w:t>19.5)</w:t>
      </w:r>
      <w:r>
        <w:tab/>
        <w:t>la djan. ka'e viska</w:t>
      </w:r>
    </w:p>
    <w:p w:rsidR="00B72047" w:rsidRDefault="00B72047">
      <w:pPr>
        <w:pStyle w:val="examplescaled"/>
      </w:pPr>
      <w:r>
        <w:tab/>
        <w:t>John [capable] sees.</w:t>
      </w:r>
    </w:p>
    <w:p w:rsidR="00B72047" w:rsidRDefault="00B72047">
      <w:pPr>
        <w:pStyle w:val="examplescaled"/>
      </w:pPr>
      <w:r>
        <w:tab/>
        <w:t>John is innately capable of seeing.</w:t>
      </w:r>
    </w:p>
    <w:p w:rsidR="00B72047" w:rsidRDefault="00B72047">
      <w:pPr>
        <w:pStyle w:val="examplescaled"/>
      </w:pPr>
      <w:r>
        <w:tab/>
        <w:t>John can see.</w:t>
      </w:r>
    </w:p>
    <w:p w:rsidR="00B72047" w:rsidRDefault="00B72047">
      <w:pPr>
        <w:pStyle w:val="resumedafterexample"/>
      </w:pPr>
      <w:r>
        <w:rPr>
          <w:rStyle w:val="htmlcodes"/>
        </w:rPr>
        <w:t>&lt;/pre&gt;</w:t>
      </w:r>
      <w:r>
        <w:rPr>
          <w:rStyle w:val="indexentry"/>
        </w:rPr>
        <w:t>&lt;cx "innate properties, extension to individuals not actually capable"&gt;</w:t>
      </w:r>
      <w:r>
        <w:rPr>
          <w:rStyle w:val="indexentry"/>
        </w:rPr>
        <w:fldChar w:fldCharType="begin"/>
      </w:r>
      <w:r>
        <w:instrText>xe "</w:instrText>
      </w:r>
      <w:r>
        <w:rPr>
          <w:rStyle w:val="xeentry"/>
        </w:rPr>
        <w:instrText>innate property: extension to individuals not actually capable</w:instrText>
      </w:r>
      <w:r>
        <w:instrText>"</w:instrText>
      </w:r>
      <w:r>
        <w:rPr>
          <w:rStyle w:val="indexentry"/>
        </w:rPr>
        <w:fldChar w:fldCharType="end"/>
      </w:r>
      <w:r>
        <w:t>might be true about a human being named John, even though he has been blind</w:t>
      </w:r>
      <w:r>
        <w:rPr>
          <w:rStyle w:val="deletedparamark"/>
        </w:rPr>
        <w:t xml:space="preserve"> </w:t>
      </w:r>
      <w:r>
        <w:t>since birth, because the ability to see is innately built into his nature as</w:t>
      </w:r>
      <w:r>
        <w:rPr>
          <w:rStyle w:val="deletedparamark"/>
        </w:rPr>
        <w:t xml:space="preserve"> </w:t>
      </w:r>
      <w:r>
        <w:t>a human being. It is theoretically possible that condi</w:t>
      </w:r>
      <w:r>
        <w:softHyphen/>
        <w:t>tions might occur</w:t>
      </w:r>
      <w:r>
        <w:rPr>
          <w:rStyle w:val="deletedparamark"/>
        </w:rPr>
        <w:t xml:space="preserve"> </w:t>
      </w:r>
      <w:r>
        <w:t>that would enable John to see (an o</w:t>
      </w:r>
      <w:r>
        <w:t>p</w:t>
      </w:r>
      <w:r>
        <w:softHyphen/>
        <w:t>eration, for example). On the other</w:t>
      </w:r>
      <w:r>
        <w:rPr>
          <w:rStyle w:val="deletedparamark"/>
        </w:rPr>
        <w:t xml:space="preserve"> </w:t>
      </w:r>
      <w:r>
        <w:t>hand,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name=e19d6&gt;</w:t>
      </w:r>
      <w:r>
        <w:t>19.6)</w:t>
      </w:r>
      <w:r>
        <w:tab/>
        <w:t>le cukta ka'e viska</w:t>
      </w:r>
    </w:p>
    <w:p w:rsidR="00B72047" w:rsidRDefault="00B72047">
      <w:pPr>
        <w:pStyle w:val="examplescaled"/>
      </w:pPr>
      <w:r>
        <w:tab/>
        <w:t>The book [capable] sees.</w:t>
      </w:r>
    </w:p>
    <w:p w:rsidR="00B72047" w:rsidRDefault="00B72047">
      <w:pPr>
        <w:pStyle w:val="examplescaled"/>
      </w:pPr>
      <w:r>
        <w:tab/>
        <w:t>The book can see.</w:t>
      </w:r>
    </w:p>
    <w:p w:rsidR="00B72047" w:rsidRDefault="00B72047">
      <w:pPr>
        <w:pStyle w:val="resumedafterexample"/>
      </w:pPr>
      <w:r>
        <w:rPr>
          <w:rStyle w:val="htmlcodes"/>
        </w:rPr>
        <w:t>&lt;/pre&gt;</w:t>
      </w:r>
      <w:r>
        <w:t>is not true in most epistemologies, since the ability to see is not part of</w:t>
      </w:r>
      <w:r>
        <w:rPr>
          <w:rStyle w:val="deletedparamark"/>
        </w:rPr>
        <w:t xml:space="preserve"> </w:t>
      </w:r>
      <w:r>
        <w:t>the innate nature of a book.</w:t>
      </w:r>
    </w:p>
    <w:p w:rsidR="00B72047" w:rsidRDefault="00B72047">
      <w:pPr>
        <w:rPr>
          <w:rStyle w:val="htmlparacode"/>
        </w:rPr>
      </w:pPr>
      <w:r>
        <w:rPr>
          <w:rStyle w:val="htmlparacode"/>
        </w:rPr>
        <w:t>&lt;p&gt;</w:t>
      </w:r>
    </w:p>
    <w:p w:rsidR="00B72047" w:rsidRDefault="00B72047">
      <w:pPr>
        <w:pStyle w:val="normalparagraph"/>
      </w:pPr>
      <w:r>
        <w:rPr>
          <w:rStyle w:val="indexentry"/>
        </w:rPr>
        <w:t>&lt;cx "undemonstrated potential, expressing"&gt;</w:t>
      </w:r>
      <w:r>
        <w:rPr>
          <w:rStyle w:val="indexentry"/>
        </w:rPr>
        <w:fldChar w:fldCharType="begin"/>
      </w:r>
      <w:r>
        <w:instrText>xe "</w:instrText>
      </w:r>
      <w:r>
        <w:rPr>
          <w:rStyle w:val="xeentry"/>
        </w:rPr>
        <w:instrText>undemonstrated potential: expressing</w:instrText>
      </w:r>
      <w:r>
        <w:instrText>"</w:instrText>
      </w:r>
      <w:r>
        <w:rPr>
          <w:rStyle w:val="indexentry"/>
        </w:rPr>
        <w:fldChar w:fldCharType="end"/>
      </w:r>
      <w:r>
        <w:t>Consider once again the newly hatched ducks mentioned earlier. They have</w:t>
      </w:r>
      <w:r>
        <w:rPr>
          <w:rStyle w:val="deletedparamark"/>
        </w:rPr>
        <w:t xml:space="preserve"> </w:t>
      </w:r>
      <w:r>
        <w:t>the p</w:t>
      </w:r>
      <w:r>
        <w:t>o</w:t>
      </w:r>
      <w:r>
        <w:softHyphen/>
        <w:t>tential of swimming, but have not yet dem</w:t>
      </w:r>
      <w:r>
        <w:softHyphen/>
        <w:t>onstrated that potential.</w:t>
      </w:r>
      <w:r>
        <w:rPr>
          <w:rStyle w:val="deletedparamark"/>
        </w:rPr>
        <w:t xml:space="preserve"> </w:t>
      </w:r>
      <w:r>
        <w:t>This may be ex</w:t>
      </w:r>
      <w:r>
        <w:softHyphen/>
        <w:t>pressed using “nu'o”, the cmavo of CAhA for undemonstrated</w:t>
      </w:r>
      <w:r>
        <w:rPr>
          <w:rStyle w:val="deletedparamark"/>
        </w:rPr>
        <w:t xml:space="preserve"> </w:t>
      </w:r>
      <w:r>
        <w:t>potential:</w:t>
      </w:r>
    </w:p>
    <w:p w:rsidR="00B72047" w:rsidRDefault="00B72047">
      <w:pPr>
        <w:rPr>
          <w:rStyle w:val="htmlparacode"/>
        </w:rPr>
      </w:pPr>
      <w:r>
        <w:rPr>
          <w:rStyle w:val="htmlparacode"/>
        </w:rPr>
        <w:t>&lt;p&gt;</w:t>
      </w:r>
    </w:p>
    <w:p w:rsidR="00B72047" w:rsidRDefault="00B72047">
      <w:pPr>
        <w:pStyle w:val="examplescaledpre"/>
      </w:pPr>
      <w:r>
        <w:rPr>
          <w:rStyle w:val="indexentry"/>
        </w:rPr>
        <w:t>&lt;ex "infant ducks"&gt;</w:t>
      </w:r>
      <w:r>
        <w:rPr>
          <w:rStyle w:val="indexentry"/>
        </w:rPr>
        <w:fldChar w:fldCharType="begin"/>
      </w:r>
      <w:r>
        <w:instrText>xe "</w:instrText>
      </w:r>
      <w:r>
        <w:rPr>
          <w:rStyle w:val="xeentry"/>
        </w:rPr>
        <w:instrText>infant ducks: example</w:instrText>
      </w:r>
      <w:r>
        <w:instrText>"</w:instrText>
      </w:r>
      <w:r>
        <w:rPr>
          <w:rStyle w:val="indexentry"/>
        </w:rPr>
        <w:fldChar w:fldCharType="end"/>
      </w:r>
      <w:r>
        <w:rPr>
          <w:rStyle w:val="indexentry"/>
        </w:rPr>
        <w:t>&lt;lx "nu'o"&gt;</w:t>
      </w:r>
      <w:r>
        <w:rPr>
          <w:rStyle w:val="indexentry"/>
        </w:rPr>
        <w:fldChar w:fldCharType="begin"/>
      </w:r>
      <w:r>
        <w:instrText>xe "</w:instrText>
      </w:r>
      <w:r>
        <w:rPr>
          <w:rStyle w:val="xeentry"/>
        </w:rPr>
        <w:instrText>nu'o</w:instrText>
      </w:r>
      <w:r>
        <w:instrText>"</w:instrText>
      </w:r>
      <w:r>
        <w:rPr>
          <w:rStyle w:val="indexentry"/>
        </w:rPr>
        <w:fldChar w:fldCharType="end"/>
      </w:r>
      <w:r>
        <w:rPr>
          <w:rStyle w:val="htmlcodes"/>
        </w:rPr>
        <w:t>&lt;pre&gt;&lt;a name=e19d7&gt;</w:t>
      </w:r>
      <w:r>
        <w:t>19.7)</w:t>
      </w:r>
      <w:r>
        <w:tab/>
        <w:t>ro cifydatka nu'o flulimna</w:t>
      </w:r>
    </w:p>
    <w:p w:rsidR="00B72047" w:rsidRDefault="00B72047">
      <w:pPr>
        <w:pStyle w:val="examplescaled"/>
      </w:pPr>
      <w:r>
        <w:tab/>
        <w:t>All infant-ducks [can but has not] are-float-swimmers.</w:t>
      </w:r>
    </w:p>
    <w:p w:rsidR="00B72047" w:rsidRDefault="00B72047">
      <w:pPr>
        <w:pStyle w:val="examplescaled"/>
      </w:pPr>
      <w:r>
        <w:tab/>
        <w:t>All infant ducks have an undemonstrated potential for swimming by floating.</w:t>
      </w:r>
    </w:p>
    <w:p w:rsidR="00B72047" w:rsidRDefault="00B72047">
      <w:pPr>
        <w:pStyle w:val="examplescaled"/>
      </w:pPr>
      <w:r>
        <w:tab/>
        <w:t>Baby ducks can swim but haven't yet.</w:t>
      </w:r>
    </w:p>
    <w:p w:rsidR="00B72047" w:rsidRDefault="00B72047">
      <w:pPr>
        <w:pStyle w:val="resumedafterexample"/>
      </w:pPr>
      <w:r>
        <w:rPr>
          <w:rStyle w:val="htmlcodes"/>
        </w:rPr>
        <w:t>&lt;/pre&gt;</w:t>
      </w:r>
      <w:r>
        <w:rPr>
          <w:rStyle w:val="indexentry"/>
        </w:rPr>
        <w:t>&lt;cx "demonstrated potential, expressing"&gt;</w:t>
      </w:r>
      <w:r>
        <w:rPr>
          <w:rStyle w:val="indexentry"/>
        </w:rPr>
        <w:fldChar w:fldCharType="begin"/>
      </w:r>
      <w:r>
        <w:instrText>xe "</w:instrText>
      </w:r>
      <w:r>
        <w:rPr>
          <w:rStyle w:val="xeentry"/>
        </w:rPr>
        <w:instrText>demonstrated potential: expressing</w:instrText>
      </w:r>
      <w:r>
        <w:instrText>"</w:instrText>
      </w:r>
      <w:r>
        <w:rPr>
          <w:rStyle w:val="indexentry"/>
        </w:rPr>
        <w:fldChar w:fldCharType="end"/>
      </w:r>
      <w:r>
        <w:t>Contrariwise, if Frank is not blind from birth, then “pu'i” is appropriate:</w:t>
      </w:r>
    </w:p>
    <w:p w:rsidR="00B72047" w:rsidRDefault="00B72047">
      <w:pPr>
        <w:rPr>
          <w:rStyle w:val="htmlparacode"/>
        </w:rPr>
      </w:pPr>
      <w:r>
        <w:rPr>
          <w:rStyle w:val="htmlparacode"/>
        </w:rPr>
        <w:t>&lt;p&gt;</w:t>
      </w:r>
    </w:p>
    <w:p w:rsidR="00B72047" w:rsidRDefault="00B72047">
      <w:pPr>
        <w:pStyle w:val="examplescaledpre"/>
      </w:pPr>
      <w:r>
        <w:rPr>
          <w:rStyle w:val="indexentry"/>
        </w:rPr>
        <w:t>&lt;lx "pu'i"&gt;</w:t>
      </w:r>
      <w:r>
        <w:rPr>
          <w:rStyle w:val="indexentry"/>
        </w:rPr>
        <w:fldChar w:fldCharType="begin"/>
      </w:r>
      <w:r>
        <w:instrText>xe "</w:instrText>
      </w:r>
      <w:r>
        <w:rPr>
          <w:rStyle w:val="xeentry"/>
        </w:rPr>
        <w:instrText>pu'i</w:instrText>
      </w:r>
      <w:r>
        <w:instrText>"</w:instrText>
      </w:r>
      <w:r>
        <w:rPr>
          <w:rStyle w:val="indexentry"/>
        </w:rPr>
        <w:fldChar w:fldCharType="end"/>
      </w:r>
      <w:r>
        <w:rPr>
          <w:rStyle w:val="htmlcodes"/>
        </w:rPr>
        <w:t>&lt;pre&gt;&lt;a name=e19d8&gt;</w:t>
      </w:r>
      <w:r>
        <w:t>19.8)</w:t>
      </w:r>
      <w:r>
        <w:tab/>
        <w:t>la frank. pu'i viska</w:t>
      </w:r>
    </w:p>
    <w:p w:rsidR="00B72047" w:rsidRDefault="00B72047">
      <w:pPr>
        <w:pStyle w:val="examplescaled"/>
      </w:pPr>
      <w:r>
        <w:tab/>
        <w:t>Frank [can and has] sees.</w:t>
      </w:r>
    </w:p>
    <w:p w:rsidR="00B72047" w:rsidRDefault="00B72047">
      <w:pPr>
        <w:pStyle w:val="examplescaled"/>
      </w:pPr>
      <w:r>
        <w:tab/>
        <w:t>Frank has demonstrated a potential for seeing.</w:t>
      </w:r>
    </w:p>
    <w:p w:rsidR="00B72047" w:rsidRDefault="00B72047">
      <w:pPr>
        <w:pStyle w:val="examplescaled"/>
      </w:pPr>
      <w:r>
        <w:tab/>
        <w:t>Frank can see and has seen.</w:t>
      </w:r>
    </w:p>
    <w:p w:rsidR="00B72047" w:rsidRDefault="00B72047">
      <w:pPr>
        <w:pStyle w:val="normalafterexample"/>
        <w:spacing w:before="120"/>
      </w:pPr>
      <w:r>
        <w:rPr>
          <w:rStyle w:val="htmlcodes"/>
        </w:rPr>
        <w:t>&lt;/pre&gt;</w:t>
      </w:r>
      <w:r>
        <w:rPr>
          <w:rStyle w:val="indexentry"/>
        </w:rPr>
        <w:t>&lt;cx "potential, expressing in past/future"&gt;</w:t>
      </w:r>
      <w:r>
        <w:rPr>
          <w:rStyle w:val="indexentry"/>
        </w:rPr>
        <w:fldChar w:fldCharType="begin"/>
      </w:r>
      <w:r>
        <w:instrText>xe "</w:instrText>
      </w:r>
      <w:r>
        <w:rPr>
          <w:rStyle w:val="xeentry"/>
        </w:rPr>
        <w:instrText>potential: expressing in past/future</w:instrText>
      </w:r>
      <w:r>
        <w:instrText>"</w:instrText>
      </w:r>
      <w:r>
        <w:rPr>
          <w:rStyle w:val="indexentry"/>
        </w:rPr>
        <w:fldChar w:fldCharType="end"/>
      </w:r>
      <w:r>
        <w:rPr>
          <w:rStyle w:val="indexentry"/>
        </w:rPr>
        <w:t>&lt;cx "actuality, expressing in past/future"&gt;</w:t>
      </w:r>
      <w:r>
        <w:rPr>
          <w:rStyle w:val="indexentry"/>
        </w:rPr>
        <w:fldChar w:fldCharType="begin"/>
      </w:r>
      <w:r>
        <w:instrText>xe "</w:instrText>
      </w:r>
      <w:r>
        <w:rPr>
          <w:rStyle w:val="xeentry"/>
        </w:rPr>
        <w:instrText>actuality: expressing in past/future</w:instrText>
      </w:r>
      <w:r>
        <w:instrText>"</w:instrText>
      </w:r>
      <w:r>
        <w:rPr>
          <w:rStyle w:val="indexentry"/>
        </w:rPr>
        <w:fldChar w:fldCharType="end"/>
      </w:r>
      <w:r>
        <w:t>Note that the glosses given at the beginning of this section for “ca'a”,</w:t>
      </w:r>
      <w:r>
        <w:rPr>
          <w:rStyle w:val="deletedparamark"/>
        </w:rPr>
        <w:t xml:space="preserve"> “</w:t>
      </w:r>
      <w:r>
        <w:t>nu'o”, and “pu'i” incorporate “ca” into their meaning, and are really</w:t>
      </w:r>
      <w:r>
        <w:rPr>
          <w:rStyle w:val="deletedparamark"/>
        </w:rPr>
        <w:t xml:space="preserve"> </w:t>
      </w:r>
      <w:r>
        <w:t>correct for “ca ca'a”, “ca nu'o”, and “ca pu'i”. However, the CAhA cmavo</w:t>
      </w:r>
      <w:r>
        <w:rPr>
          <w:rStyle w:val="deletedparamark"/>
        </w:rPr>
        <w:t xml:space="preserve"> </w:t>
      </w:r>
      <w:r>
        <w:t>are perfectly meaningful with other tenses than the pre</w:t>
      </w:r>
      <w:r>
        <w:softHyphen/>
        <w:t>sent: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name=e19d9&gt;</w:t>
      </w:r>
      <w:r>
        <w:t>19.9)</w:t>
      </w:r>
      <w:r>
        <w:tab/>
        <w:t>mi pu ca'a klama le zarci</w:t>
      </w:r>
    </w:p>
    <w:p w:rsidR="00B72047" w:rsidRDefault="00B72047">
      <w:pPr>
        <w:pStyle w:val="examplescaled"/>
      </w:pPr>
      <w:r>
        <w:tab/>
        <w:t>I [past] [actual] go-to the store.</w:t>
      </w:r>
    </w:p>
    <w:p w:rsidR="00B72047" w:rsidRDefault="00B72047">
      <w:pPr>
        <w:pStyle w:val="examplescaled"/>
      </w:pPr>
      <w:r>
        <w:tab/>
        <w:t>I actually went to the store.</w:t>
      </w:r>
    </w:p>
    <w:p w:rsidR="00B72047" w:rsidRDefault="00B72047">
      <w:pPr>
        <w:pStyle w:val="examplescaledpre"/>
        <w:spacing w:before="80"/>
      </w:pPr>
      <w:r>
        <w:rPr>
          <w:rStyle w:val="htmlcodes"/>
        </w:rPr>
        <w:t>&lt;a name=e19d10&gt;</w:t>
      </w:r>
      <w:r>
        <w:t>19.10)</w:t>
      </w:r>
      <w:r>
        <w:tab/>
        <w:t>la frank. ba nu'o klama le zdani</w:t>
      </w:r>
    </w:p>
    <w:p w:rsidR="00B72047" w:rsidRDefault="00B72047">
      <w:pPr>
        <w:pStyle w:val="examplescaled"/>
      </w:pPr>
      <w:r>
        <w:tab/>
        <w:t>Frank [future] [can but has not] goes-to the store.</w:t>
      </w:r>
    </w:p>
    <w:p w:rsidR="00B72047" w:rsidRDefault="00B72047">
      <w:pPr>
        <w:pStyle w:val="examplescaled"/>
      </w:pPr>
      <w:r>
        <w:tab/>
        <w:t>Frank could have, but will not have, gone to the store (at some understood</w:t>
      </w:r>
    </w:p>
    <w:p w:rsidR="00B72047" w:rsidRDefault="00B72047">
      <w:pPr>
        <w:pStyle w:val="examplescaled"/>
        <w:ind w:firstLine="576"/>
      </w:pPr>
      <w:r>
        <w:t>moment in the future).</w:t>
      </w:r>
    </w:p>
    <w:p w:rsidR="00B72047" w:rsidRDefault="00B72047">
      <w:pPr>
        <w:pStyle w:val="normalafterexample"/>
      </w:pPr>
      <w:r>
        <w:rPr>
          <w:rStyle w:val="htmlcodes"/>
        </w:rPr>
        <w:t>&lt;/pre&gt;</w:t>
      </w:r>
      <w:r>
        <w:rPr>
          <w:rStyle w:val="indexentry"/>
        </w:rPr>
        <w:t>&lt;cx "tenses with elided CAhA, meaning"&gt;</w:t>
      </w:r>
      <w:r>
        <w:rPr>
          <w:rStyle w:val="indexentry"/>
        </w:rPr>
        <w:fldChar w:fldCharType="begin"/>
      </w:r>
      <w:r>
        <w:instrText>xe "</w:instrText>
      </w:r>
      <w:r>
        <w:rPr>
          <w:rStyle w:val="xeentry"/>
        </w:rPr>
        <w:instrText>tense with elided CAhA: meaning</w:instrText>
      </w:r>
      <w:r>
        <w:instrText>"</w:instrText>
      </w:r>
      <w:r>
        <w:rPr>
          <w:rStyle w:val="indexentry"/>
        </w:rPr>
        <w:fldChar w:fldCharType="end"/>
      </w:r>
      <w:r>
        <w:t>As always in Lojban tenses, a missing CAhA can have an in</w:t>
      </w:r>
      <w:r>
        <w:softHyphen/>
        <w:t>determinate</w:t>
      </w:r>
      <w:r>
        <w:rPr>
          <w:rStyle w:val="deletedparamark"/>
        </w:rPr>
        <w:t xml:space="preserve"> </w:t>
      </w:r>
      <w:r>
        <w:t>meaning, or the context can be enough to disambiguate it. Saying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name=e19d11&gt;</w:t>
      </w:r>
      <w:r>
        <w:t>19.11)</w:t>
      </w:r>
      <w:r>
        <w:tab/>
        <w:t>ta jelca</w:t>
      </w:r>
    </w:p>
    <w:p w:rsidR="00B72047" w:rsidRDefault="00B72047">
      <w:pPr>
        <w:pStyle w:val="examplescaled"/>
      </w:pPr>
      <w:r>
        <w:tab/>
        <w:t>That burns/is-burning/might-burn/will-burn.</w:t>
      </w:r>
    </w:p>
    <w:p w:rsidR="00B72047" w:rsidRDefault="00B72047">
      <w:pPr>
        <w:pStyle w:val="resumedafterexample"/>
      </w:pPr>
      <w:r>
        <w:rPr>
          <w:rStyle w:val="htmlcodes"/>
        </w:rPr>
        <w:t>&lt;/pre&gt;</w:t>
      </w:r>
      <w:r>
        <w:rPr>
          <w:rStyle w:val="indexentry"/>
        </w:rPr>
        <w:t>&lt;ex "inflammable"&gt;</w:t>
      </w:r>
      <w:r>
        <w:rPr>
          <w:rStyle w:val="indexentry"/>
        </w:rPr>
        <w:fldChar w:fldCharType="begin"/>
      </w:r>
      <w:r>
        <w:instrText>xe "</w:instrText>
      </w:r>
      <w:r>
        <w:rPr>
          <w:rStyle w:val="xeentry"/>
        </w:rPr>
        <w:instrText>inflammable: example</w:instrText>
      </w:r>
      <w:r>
        <w:instrText>"</w:instrText>
      </w:r>
      <w:r>
        <w:rPr>
          <w:rStyle w:val="indexentry"/>
        </w:rPr>
        <w:fldChar w:fldCharType="end"/>
      </w:r>
      <w:r>
        <w:t>with no CAhA specified can translate the two very different English</w:t>
      </w:r>
      <w:r>
        <w:rPr>
          <w:rStyle w:val="deletedparamark"/>
        </w:rPr>
        <w:t xml:space="preserve"> </w:t>
      </w:r>
      <w:r>
        <w:t>sentences “That is on fire” and “That is inflammable.” The first</w:t>
      </w:r>
      <w:r>
        <w:rPr>
          <w:rStyle w:val="deletedparamark"/>
        </w:rPr>
        <w:t xml:space="preserve"> </w:t>
      </w:r>
      <w:r>
        <w:t>de</w:t>
      </w:r>
      <w:r>
        <w:softHyphen/>
        <w:t>mands immediate action (usually), whereas the second merely de</w:t>
      </w:r>
      <w:r>
        <w:softHyphen/>
        <w:t>mands</w:t>
      </w:r>
      <w:r>
        <w:rPr>
          <w:rStyle w:val="deletedparamark"/>
        </w:rPr>
        <w:t xml:space="preserve"> </w:t>
      </w:r>
      <w:r>
        <w:t>caution. The two cases can be disambiguated with: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name=e19d12&gt;</w:t>
      </w:r>
      <w:r>
        <w:t>19.12)</w:t>
      </w:r>
      <w:r>
        <w:tab/>
        <w:t>ta ca ca'a jelca</w:t>
      </w:r>
    </w:p>
    <w:p w:rsidR="00B72047" w:rsidRDefault="00B72047">
      <w:pPr>
        <w:pStyle w:val="examplescaled"/>
      </w:pPr>
      <w:r>
        <w:tab/>
        <w:t>That [present] [actual] burns.</w:t>
      </w:r>
    </w:p>
    <w:p w:rsidR="00B72047" w:rsidRDefault="00B72047">
      <w:pPr>
        <w:pStyle w:val="examplescaled"/>
      </w:pPr>
      <w:r>
        <w:tab/>
        <w:t>That is on fire.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&lt;pre&gt;&lt;a name=e19d13&gt;</w:t>
      </w:r>
      <w:r>
        <w:t>19.13)</w:t>
      </w:r>
      <w:r>
        <w:tab/>
        <w:t>ta ka'e jelca</w:t>
      </w:r>
    </w:p>
    <w:p w:rsidR="00B72047" w:rsidRDefault="00B72047">
      <w:pPr>
        <w:pStyle w:val="examplescaled"/>
      </w:pPr>
      <w:r>
        <w:tab/>
        <w:t>That [capable] burns.</w:t>
      </w:r>
    </w:p>
    <w:p w:rsidR="00B72047" w:rsidRDefault="00B72047">
      <w:pPr>
        <w:pStyle w:val="examplescaled"/>
      </w:pPr>
      <w:r>
        <w:tab/>
        <w:t>That is capable of burning.</w:t>
      </w:r>
    </w:p>
    <w:p w:rsidR="00B72047" w:rsidRDefault="00B72047">
      <w:pPr>
        <w:pStyle w:val="examplescaled"/>
      </w:pPr>
      <w:r>
        <w:tab/>
        <w:t>That is inflammable.</w:t>
      </w:r>
    </w:p>
    <w:p w:rsidR="00B72047" w:rsidRDefault="00B72047">
      <w:pPr>
        <w:pStyle w:val="resumedafterexample"/>
      </w:pPr>
      <w:r>
        <w:rPr>
          <w:rStyle w:val="htmlcodes"/>
        </w:rPr>
        <w:t>&lt;/pre&gt;</w:t>
      </w:r>
      <w:r>
        <w:rPr>
          <w:rStyle w:val="indexentry"/>
        </w:rPr>
        <w:t>&lt;cx "observative with elided CAhA, convention"&gt;</w:t>
      </w:r>
      <w:r>
        <w:rPr>
          <w:rStyle w:val="indexentry"/>
        </w:rPr>
        <w:fldChar w:fldCharType="begin"/>
      </w:r>
      <w:r>
        <w:instrText>xe "</w:instrText>
      </w:r>
      <w:r>
        <w:rPr>
          <w:rStyle w:val="xeentry"/>
        </w:rPr>
        <w:instrText>observative with elided CAhA: convention</w:instrText>
      </w:r>
      <w:r>
        <w:instrText>"</w:instrText>
      </w:r>
      <w:r>
        <w:rPr>
          <w:rStyle w:val="indexentry"/>
        </w:rPr>
        <w:fldChar w:fldCharType="end"/>
      </w:r>
      <w:r>
        <w:t>When no indication is given, as in the simple observative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name=e19d14&gt;</w:t>
      </w:r>
      <w:r>
        <w:t>19.14)</w:t>
      </w:r>
      <w:r>
        <w:tab/>
        <w:t>jelca</w:t>
      </w:r>
    </w:p>
    <w:p w:rsidR="00B72047" w:rsidRDefault="00B72047">
      <w:pPr>
        <w:pStyle w:val="examplescaled"/>
      </w:pPr>
      <w:r>
        <w:tab/>
        <w:t>It burns!</w:t>
      </w:r>
    </w:p>
    <w:p w:rsidR="00B72047" w:rsidRDefault="00B72047">
      <w:pPr>
        <w:pStyle w:val="resumedafterexample"/>
        <w:spacing w:before="40"/>
      </w:pPr>
      <w:r>
        <w:rPr>
          <w:rStyle w:val="htmlcodes"/>
        </w:rPr>
        <w:t>&lt;/pre&gt;</w:t>
      </w:r>
      <w:r>
        <w:t>the prudent Lojbanist will assume the meaning “Fire!”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name=s20&gt;&lt;h3&gt;</w:t>
      </w:r>
      <w:bookmarkStart w:id="349" w:name="_Toc398970594"/>
      <w:r>
        <w:rPr>
          <w:rStyle w:val="Heading3Text"/>
        </w:rPr>
        <w:t>Logical and non-logical connections between tenses</w:t>
      </w:r>
      <w:bookmarkEnd w:id="349"/>
      <w:r>
        <w:rPr>
          <w:rStyle w:val="htmlcodes"/>
        </w:rPr>
        <w:t>&lt;/h3&gt;</w:t>
      </w:r>
    </w:p>
    <w:p w:rsidR="00B72047" w:rsidRDefault="00B72047">
      <w:pPr>
        <w:rPr>
          <w:rStyle w:val="htmlparacode"/>
        </w:rPr>
      </w:pPr>
      <w:r>
        <w:rPr>
          <w:rStyle w:val="htmlparacode"/>
        </w:rPr>
        <w:t>&lt;p&gt;</w:t>
      </w:r>
    </w:p>
    <w:p w:rsidR="00B72047" w:rsidRDefault="00B72047">
      <w:pPr>
        <w:pStyle w:val="normalparagraph"/>
      </w:pPr>
      <w:r>
        <w:t>Like many things in Lojban, tenses may be logically con</w:t>
      </w:r>
      <w:r>
        <w:softHyphen/>
        <w:t>nected; logical</w:t>
      </w:r>
      <w:r>
        <w:rPr>
          <w:rStyle w:val="deletedparamark"/>
        </w:rPr>
        <w:t xml:space="preserve"> </w:t>
      </w:r>
      <w:r>
        <w:t>con</w:t>
      </w:r>
      <w:r>
        <w:softHyphen/>
        <w:t xml:space="preserve">nection is explained in more detail in </w:t>
      </w:r>
      <w:r>
        <w:rPr>
          <w:rStyle w:val="htmlcodes"/>
        </w:rPr>
        <w:t>&lt;a href=chap14.html&gt;</w:t>
      </w:r>
      <w:r>
        <w:t>Chapter 14</w:t>
      </w:r>
      <w:r>
        <w:rPr>
          <w:rStyle w:val="htmlcodes"/>
        </w:rPr>
        <w:t>&lt;/a&gt;</w:t>
      </w:r>
      <w:r>
        <w:t>. Some of the terminology</w:t>
      </w:r>
      <w:r>
        <w:rPr>
          <w:rStyle w:val="deletedparamark"/>
        </w:rPr>
        <w:t xml:space="preserve"> </w:t>
      </w:r>
      <w:r>
        <w:t>in this sec</w:t>
      </w:r>
      <w:r>
        <w:softHyphen/>
        <w:t>tion will be clear only if you al</w:t>
      </w:r>
      <w:r>
        <w:softHyphen/>
        <w:t>ready understand logical</w:t>
      </w:r>
      <w:r>
        <w:rPr>
          <w:rStyle w:val="deletedparamark"/>
        </w:rPr>
        <w:t xml:space="preserve"> </w:t>
      </w:r>
      <w:r>
        <w:t>connectives.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&lt;cx "logically connected tenses, with JA"&gt;</w:t>
      </w:r>
      <w:r>
        <w:rPr>
          <w:rStyle w:val="indexentry"/>
        </w:rPr>
        <w:fldChar w:fldCharType="begin"/>
      </w:r>
      <w:r>
        <w:instrText>xe "</w:instrText>
      </w:r>
      <w:r>
        <w:rPr>
          <w:rStyle w:val="xeentry"/>
        </w:rPr>
        <w:instrText>logically connected tenses: with JA</w:instrText>
      </w:r>
      <w:r>
        <w:instrText>"</w:instrText>
      </w:r>
      <w:r>
        <w:rPr>
          <w:rStyle w:val="indexentry"/>
        </w:rPr>
        <w:fldChar w:fldCharType="end"/>
      </w:r>
      <w:r>
        <w:rPr>
          <w:rStyle w:val="indexentry"/>
        </w:rPr>
        <w:t>&lt;cx "tenses, logically connected with JA"&gt;</w:t>
      </w:r>
      <w:r>
        <w:rPr>
          <w:rStyle w:val="indexentry"/>
        </w:rPr>
        <w:fldChar w:fldCharType="begin"/>
      </w:r>
      <w:r>
        <w:instrText>xe "</w:instrText>
      </w:r>
      <w:r>
        <w:rPr>
          <w:rStyle w:val="xeentry"/>
        </w:rPr>
        <w:instrText>tense: logically connected with JA</w:instrText>
      </w:r>
      <w:r>
        <w:instrText>"</w:instrText>
      </w:r>
      <w:r>
        <w:rPr>
          <w:rStyle w:val="indexentry"/>
        </w:rPr>
        <w:fldChar w:fldCharType="end"/>
      </w:r>
      <w:r>
        <w:rPr>
          <w:rStyle w:val="indexentry"/>
        </w:rPr>
        <w:t>&lt;cx "logically connected tenses, expansion to sentences"&gt;</w:t>
      </w:r>
      <w:r>
        <w:rPr>
          <w:rStyle w:val="indexentry"/>
        </w:rPr>
        <w:fldChar w:fldCharType="begin"/>
      </w:r>
      <w:r>
        <w:instrText>xe "</w:instrText>
      </w:r>
      <w:r>
        <w:rPr>
          <w:rStyle w:val="xeentry"/>
        </w:rPr>
        <w:instrText>logically connected tenses: expansion to sentences</w:instrText>
      </w:r>
      <w:r>
        <w:instrText>"</w:instrText>
      </w:r>
      <w:r>
        <w:rPr>
          <w:rStyle w:val="indexentry"/>
        </w:rPr>
        <w:fldChar w:fldCharType="end"/>
      </w:r>
      <w:r>
        <w:t>The appropriate logical connectives belong to selma'o JA. A logical</w:t>
      </w:r>
      <w:r>
        <w:rPr>
          <w:rStyle w:val="deletedparamark"/>
        </w:rPr>
        <w:t xml:space="preserve"> </w:t>
      </w:r>
      <w:r>
        <w:t>connective b</w:t>
      </w:r>
      <w:r>
        <w:t>e</w:t>
      </w:r>
      <w:r>
        <w:softHyphen/>
        <w:t>tween tenses can always be expanded to one between sentences: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name=e20d1&gt;</w:t>
      </w:r>
      <w:r>
        <w:t>20.1)</w:t>
      </w:r>
      <w:r>
        <w:tab/>
        <w:t>mi pu je ba klama le zarci</w:t>
      </w:r>
    </w:p>
    <w:p w:rsidR="00B72047" w:rsidRDefault="00B72047">
      <w:pPr>
        <w:pStyle w:val="examplescaled"/>
      </w:pPr>
      <w:r>
        <w:tab/>
        <w:t>I [past] and [future] go-to the market.</w:t>
      </w:r>
    </w:p>
    <w:p w:rsidR="00B72047" w:rsidRDefault="00B72047">
      <w:pPr>
        <w:pStyle w:val="examplescaled"/>
      </w:pPr>
      <w:r>
        <w:tab/>
        <w:t>I went and will go to the market.</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name=e20d2&gt;</w:t>
      </w:r>
      <w:r>
        <w:t>20.2)</w:t>
      </w:r>
      <w:r>
        <w:tab/>
        <w:t>mi pu klama le zarci  .ije mi ba klama le zarci</w:t>
      </w:r>
    </w:p>
    <w:p w:rsidR="00B72047" w:rsidRDefault="00B72047">
      <w:pPr>
        <w:pStyle w:val="examplescaled"/>
      </w:pPr>
      <w:r>
        <w:tab/>
        <w:t>I [past] go-to the market.  And I [future] go-to the market.</w:t>
      </w:r>
    </w:p>
    <w:p w:rsidR="00B72047" w:rsidRDefault="00B72047">
      <w:pPr>
        <w:pStyle w:val="examplescaled"/>
      </w:pPr>
      <w:r>
        <w:tab/>
        <w:t>I went to the market, and I will go to the market.</w:t>
      </w:r>
    </w:p>
    <w:p w:rsidR="00B72047" w:rsidRDefault="00B72047">
      <w:pPr>
        <w:pStyle w:val="normalafterexample"/>
      </w:pPr>
      <w:r>
        <w:rPr>
          <w:rStyle w:val="htmlcodes"/>
        </w:rPr>
        <w:t>&lt;/pre&gt;</w:t>
      </w:r>
      <w:r>
        <w:rPr>
          <w:rStyle w:val="indexentry"/>
        </w:rPr>
        <w:t>&lt;cx "tenses, connected, with negation"&gt;</w:t>
      </w:r>
      <w:r>
        <w:rPr>
          <w:rStyle w:val="indexentry"/>
        </w:rPr>
        <w:fldChar w:fldCharType="begin"/>
      </w:r>
      <w:r>
        <w:instrText>xe "</w:instrText>
      </w:r>
      <w:r>
        <w:rPr>
          <w:rStyle w:val="xeentry"/>
        </w:rPr>
        <w:instrText>tense: connected, with negation</w:instrText>
      </w:r>
      <w:r>
        <w:instrText>"</w:instrText>
      </w:r>
      <w:r>
        <w:rPr>
          <w:rStyle w:val="indexentry"/>
        </w:rPr>
        <w:fldChar w:fldCharType="end"/>
      </w:r>
      <w:r>
        <w:t>Tense connection and tense negation are combined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name=e20d3&gt;</w:t>
      </w:r>
      <w:r>
        <w:t>20.3)</w:t>
      </w:r>
      <w:r>
        <w:tab/>
        <w:t>mi punai je canai je ba klama le zarci</w:t>
      </w:r>
    </w:p>
    <w:p w:rsidR="00B72047" w:rsidRDefault="00B72047">
      <w:pPr>
        <w:pStyle w:val="examplescaled"/>
      </w:pPr>
      <w:r>
        <w:tab/>
        <w:t>I [past] [not] and [present] [not] and [future] go-to the market.</w:t>
      </w:r>
    </w:p>
    <w:p w:rsidR="00B72047" w:rsidRDefault="00B72047">
      <w:pPr>
        <w:pStyle w:val="examplescaled"/>
      </w:pPr>
      <w:r>
        <w:tab/>
        <w:t>I haven't yet gone to the market, but I will in future.</w:t>
      </w:r>
    </w:p>
    <w:p w:rsidR="00B72047" w:rsidRDefault="00B72047">
      <w:pPr>
        <w:pStyle w:val="resumedafterexample"/>
      </w:pPr>
      <w:r>
        <w:rPr>
          <w:rStyle w:val="htmlcodes"/>
        </w:rPr>
        <w:t>&lt;/pre&gt;&lt;a href=#e20d3&gt;</w:t>
      </w:r>
      <w:r>
        <w:t xml:space="preserve">Example 20.3 </w:t>
      </w:r>
      <w:r>
        <w:rPr>
          <w:rStyle w:val="htmlcodes"/>
        </w:rPr>
        <w:t>&lt;/a&gt;</w:t>
      </w:r>
      <w:r>
        <w:t>is far more specific than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name=e20d4&gt;</w:t>
      </w:r>
      <w:r>
        <w:t>20.4)</w:t>
      </w:r>
      <w:r>
        <w:tab/>
        <w:t>mi ba klama le zarci</w:t>
      </w:r>
    </w:p>
    <w:p w:rsidR="00B72047" w:rsidRDefault="00B72047">
      <w:pPr>
        <w:pStyle w:val="examplescaled"/>
      </w:pPr>
      <w:r>
        <w:tab/>
        <w:t>I [future] go-to the market.</w:t>
      </w:r>
    </w:p>
    <w:p w:rsidR="00B72047" w:rsidRDefault="00B72047">
      <w:pPr>
        <w:pStyle w:val="resumedafterexample"/>
      </w:pPr>
      <w:r>
        <w:rPr>
          <w:rStyle w:val="htmlcodes"/>
        </w:rPr>
        <w:t>&lt;/pre&gt;</w:t>
      </w:r>
      <w:r>
        <w:t>which only says that I will go, without claiming anything about my past</w:t>
      </w:r>
      <w:r>
        <w:rPr>
          <w:rStyle w:val="deletedparamark"/>
        </w:rPr>
        <w:t xml:space="preserve"> </w:t>
      </w:r>
      <w:r>
        <w:t>or present. “ba” does not imply “punai” or “canai”; to compel that</w:t>
      </w:r>
      <w:r>
        <w:rPr>
          <w:rStyle w:val="deletedparamark"/>
        </w:rPr>
        <w:t xml:space="preserve"> </w:t>
      </w:r>
      <w:r>
        <w:t>in</w:t>
      </w:r>
      <w:r>
        <w:softHyphen/>
        <w:t>terpretation, either a logical con</w:t>
      </w:r>
      <w:r>
        <w:softHyphen/>
        <w:t>nec</w:t>
      </w:r>
      <w:r>
        <w:softHyphen/>
        <w:t>tion or a ZAhO is needed.</w:t>
      </w:r>
    </w:p>
    <w:p w:rsidR="00B72047" w:rsidRDefault="00B72047">
      <w:pPr>
        <w:rPr>
          <w:rStyle w:val="htmlparacode"/>
        </w:rPr>
      </w:pPr>
      <w:r>
        <w:rPr>
          <w:rStyle w:val="htmlparacode"/>
        </w:rPr>
        <w:t>&lt;p&gt;</w:t>
      </w:r>
    </w:p>
    <w:p w:rsidR="00B72047" w:rsidRDefault="00B72047">
      <w:pPr>
        <w:pStyle w:val="normalparagraph"/>
      </w:pPr>
      <w:r>
        <w:rPr>
          <w:rStyle w:val="indexentry"/>
        </w:rPr>
        <w:t>&lt;cx "connected tenses, negation of compared with negation in connective"&gt;</w:t>
      </w:r>
      <w:r>
        <w:rPr>
          <w:rStyle w:val="indexentry"/>
        </w:rPr>
        <w:fldChar w:fldCharType="begin"/>
      </w:r>
      <w:r>
        <w:instrText>xe "</w:instrText>
      </w:r>
      <w:r>
        <w:rPr>
          <w:rStyle w:val="xeentry"/>
        </w:rPr>
        <w:instrText>connected tenses: negation of compared with negation in connective</w:instrText>
      </w:r>
      <w:r>
        <w:instrText>"</w:instrText>
      </w:r>
      <w:r>
        <w:rPr>
          <w:rStyle w:val="indexentry"/>
        </w:rPr>
        <w:fldChar w:fldCharType="end"/>
      </w:r>
      <w:r>
        <w:t>Tense negation can often be removed in favor of negation in the logical</w:t>
      </w:r>
      <w:r>
        <w:rPr>
          <w:rStyle w:val="deletedparamark"/>
        </w:rPr>
        <w:t xml:space="preserve"> </w:t>
      </w:r>
      <w:r>
        <w:t>con</w:t>
      </w:r>
      <w:r>
        <w:softHyphen/>
        <w:t>nective itself. The following examples are equivalent in 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name=e20d5&gt;</w:t>
      </w:r>
      <w:r>
        <w:t>20.5)</w:t>
      </w:r>
      <w:r>
        <w:tab/>
        <w:t>mi mo'izu'anai je mo'iri'u cadzu</w:t>
      </w:r>
    </w:p>
    <w:p w:rsidR="00B72047" w:rsidRDefault="00B72047">
      <w:pPr>
        <w:pStyle w:val="examplescaled"/>
      </w:pPr>
      <w:r>
        <w:tab/>
        <w:t>I [motion] [left-not] and [motion] [right] walk.</w:t>
      </w:r>
    </w:p>
    <w:p w:rsidR="00B72047" w:rsidRDefault="00B72047">
      <w:pPr>
        <w:pStyle w:val="examplescaled"/>
      </w:pPr>
      <w:r>
        <w:tab/>
        <w:t>I walk not leftward but rightward.</w:t>
      </w:r>
    </w:p>
    <w:p w:rsidR="00B72047" w:rsidRDefault="00B72047">
      <w:pPr>
        <w:pStyle w:val="examplescaledpre"/>
      </w:pPr>
      <w:r>
        <w:rPr>
          <w:rStyle w:val="htmlcodes"/>
        </w:rPr>
        <w:t>&lt;a name=e20d6&gt;</w:t>
      </w:r>
      <w:r>
        <w:t>20.6)</w:t>
      </w:r>
      <w:r>
        <w:tab/>
        <w:t>mi mo'izu'a naje mo'iri'u cadzu</w:t>
      </w:r>
    </w:p>
    <w:p w:rsidR="00B72047" w:rsidRDefault="00B72047">
      <w:pPr>
        <w:pStyle w:val="examplescaled"/>
      </w:pPr>
      <w:r>
        <w:tab/>
        <w:t>I [motion] [left] not-and [motion] [right] walk.</w:t>
      </w:r>
    </w:p>
    <w:p w:rsidR="00B72047" w:rsidRDefault="00B72047">
      <w:pPr>
        <w:pStyle w:val="examplescaled"/>
      </w:pPr>
      <w:r>
        <w:tab/>
        <w:t>I walk not leftward but rightward.</w:t>
      </w:r>
    </w:p>
    <w:p w:rsidR="00B72047" w:rsidRDefault="00B72047">
      <w:pPr>
        <w:pStyle w:val="normalafterexample"/>
      </w:pPr>
      <w:r>
        <w:rPr>
          <w:rStyle w:val="htmlcodes"/>
        </w:rPr>
        <w:t>&lt;/pre&gt;</w:t>
      </w:r>
      <w:r>
        <w:rPr>
          <w:rStyle w:val="indexentry"/>
        </w:rPr>
        <w:t>&lt;cx "tenses, forethought logical connections"&gt;</w:t>
      </w:r>
      <w:r>
        <w:rPr>
          <w:rStyle w:val="indexentry"/>
        </w:rPr>
        <w:fldChar w:fldCharType="begin"/>
      </w:r>
      <w:r>
        <w:instrText>xe "</w:instrText>
      </w:r>
      <w:r>
        <w:rPr>
          <w:rStyle w:val="xeentry"/>
        </w:rPr>
        <w:instrText>tense: forethought logical connections</w:instrText>
      </w:r>
      <w:r>
        <w:instrText>"</w:instrText>
      </w:r>
      <w:r>
        <w:rPr>
          <w:rStyle w:val="indexentry"/>
        </w:rPr>
        <w:fldChar w:fldCharType="end"/>
      </w:r>
      <w:r>
        <w:rPr>
          <w:rStyle w:val="indexentry"/>
        </w:rPr>
        <w:t>&lt;cx "tenses, possible groupings of"&gt;</w:t>
      </w:r>
      <w:r>
        <w:rPr>
          <w:rStyle w:val="indexentry"/>
        </w:rPr>
        <w:fldChar w:fldCharType="begin"/>
      </w:r>
      <w:r>
        <w:instrText>xe "</w:instrText>
      </w:r>
      <w:r>
        <w:rPr>
          <w:rStyle w:val="xeentry"/>
        </w:rPr>
        <w:instrText>tense: possible groupings of</w:instrText>
      </w:r>
      <w:r>
        <w:instrText>"</w:instrText>
      </w:r>
      <w:r>
        <w:rPr>
          <w:rStyle w:val="indexentry"/>
        </w:rPr>
        <w:fldChar w:fldCharType="end"/>
      </w:r>
      <w:r>
        <w:t>There are no forethought logical connections between tenses allowed by the</w:t>
      </w:r>
      <w:r>
        <w:rPr>
          <w:rStyle w:val="deletedparamark"/>
        </w:rPr>
        <w:t xml:space="preserve"> </w:t>
      </w:r>
      <w:r>
        <w:t>gra</w:t>
      </w:r>
      <w:r>
        <w:t>m</w:t>
      </w:r>
      <w:r>
        <w:softHyphen/>
        <w:t>mar, to keep tenses simpler. Nor is there any way to override simple</w:t>
      </w:r>
      <w:r>
        <w:rPr>
          <w:rStyle w:val="deletedparamark"/>
        </w:rPr>
        <w:t xml:space="preserve"> </w:t>
      </w:r>
      <w:r>
        <w:t>left-grouping of the connectives, the Lojban default.</w:t>
      </w:r>
    </w:p>
    <w:p w:rsidR="00B72047" w:rsidRDefault="00B72047">
      <w:pPr>
        <w:rPr>
          <w:rStyle w:val="htmlparacode"/>
        </w:rPr>
      </w:pPr>
      <w:r>
        <w:rPr>
          <w:rStyle w:val="htmlparacode"/>
        </w:rPr>
        <w:t>&lt;p&gt;</w:t>
      </w:r>
    </w:p>
    <w:p w:rsidR="00B72047" w:rsidRDefault="00B72047">
      <w:pPr>
        <w:pStyle w:val="normalparagraph"/>
      </w:pPr>
      <w:r>
        <w:rPr>
          <w:rStyle w:val="indexentry"/>
        </w:rPr>
        <w:t>&lt;cx "tenses, non-logical connection of"&gt;</w:t>
      </w:r>
      <w:r>
        <w:rPr>
          <w:rStyle w:val="indexentry"/>
        </w:rPr>
        <w:fldChar w:fldCharType="begin"/>
      </w:r>
      <w:r>
        <w:instrText>xe "</w:instrText>
      </w:r>
      <w:r>
        <w:rPr>
          <w:rStyle w:val="xeentry"/>
        </w:rPr>
        <w:instrText>tense: non-logical connection of</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"BIhI"&gt;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&lt;lx "GAhO"&gt;</w:t>
      </w:r>
      <w:r>
        <w:rPr>
          <w:rStyle w:val="indexentry"/>
        </w:rPr>
        <w:fldChar w:fldCharType="begin"/>
      </w:r>
      <w:r>
        <w:instrText>xe "</w:instrText>
      </w:r>
      <w:r>
        <w:rPr>
          <w:rStyle w:val="xeentry"/>
        </w:rPr>
        <w:instrText>GAhO selma’o</w:instrText>
      </w:r>
      <w:r>
        <w:instrText>"</w:instrText>
      </w:r>
      <w:r>
        <w:rPr>
          <w:rStyle w:val="indexentry"/>
        </w:rPr>
        <w:fldChar w:fldCharType="end"/>
      </w:r>
      <w:r>
        <w:rPr>
          <w:rStyle w:val="indexentry"/>
        </w:rPr>
        <w:t>&lt;cx "intervals, expressing by endpoints with bi'o"&gt;</w:t>
      </w:r>
      <w:r>
        <w:rPr>
          <w:rStyle w:val="indexentry"/>
        </w:rPr>
        <w:fldChar w:fldCharType="begin"/>
      </w:r>
      <w:r>
        <w:instrText>xe "</w:instrText>
      </w:r>
      <w:r>
        <w:rPr>
          <w:rStyle w:val="xeentry"/>
        </w:rPr>
        <w:instrText>interval: expressing by endpoints with bi'o</w:instrText>
      </w:r>
      <w:r>
        <w:instrText>"</w:instrText>
      </w:r>
      <w:r>
        <w:rPr>
          <w:rStyle w:val="indexentry"/>
        </w:rPr>
        <w:fldChar w:fldCharType="end"/>
      </w:r>
      <w:r>
        <w:t>The non-logical connectives of selma'o JOI, BIhI, and GAhO are also permit</w:t>
      </w:r>
      <w:r>
        <w:softHyphen/>
        <w:t>ted</w:t>
      </w:r>
      <w:r>
        <w:rPr>
          <w:rStyle w:val="deletedparamark"/>
        </w:rPr>
        <w:t xml:space="preserve"> </w:t>
      </w:r>
      <w:r>
        <w:t>b</w:t>
      </w:r>
      <w:r>
        <w:t>e</w:t>
      </w:r>
      <w:r>
        <w:softHyphen/>
        <w:t>tween tenses. One application is to specify in</w:t>
      </w:r>
      <w:r>
        <w:softHyphen/>
        <w:t>tervals not by size, but</w:t>
      </w:r>
      <w:r>
        <w:rPr>
          <w:rStyle w:val="deletedparamark"/>
        </w:rPr>
        <w:t xml:space="preserve"> </w:t>
      </w:r>
      <w:r>
        <w:t>by their end-points (“bi'o” belongs to selma'o BIhI, and connects the</w:t>
      </w:r>
      <w:r>
        <w:rPr>
          <w:rStyle w:val="deletedparamark"/>
        </w:rPr>
        <w:t xml:space="preserve"> </w:t>
      </w:r>
      <w:r>
        <w:t>end-points of an ordered inter</w:t>
      </w:r>
      <w:r>
        <w:softHyphen/>
        <w:t>val, like English “from </w:t>
      </w:r>
      <w:r>
        <w:rPr>
          <w:rStyle w:val="htmlcodes"/>
        </w:rPr>
        <w:t>&lt;dots&gt;</w:t>
      </w:r>
      <w:r>
        <w:t>…</w:t>
      </w:r>
      <w:r>
        <w:rPr>
          <w:rStyle w:val="htmlcodes"/>
        </w:rPr>
        <w:t>&lt;/dots&gt;</w:t>
      </w:r>
      <w:r>
        <w:t>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name=e20d7&gt;</w:t>
      </w:r>
      <w:r>
        <w:t>20.7)</w:t>
      </w:r>
      <w:r>
        <w:tab/>
        <w:t>mi puza bi'o bazu vasxu</w:t>
      </w:r>
    </w:p>
    <w:p w:rsidR="00B72047" w:rsidRDefault="00B72047">
      <w:pPr>
        <w:pStyle w:val="examplescaled"/>
      </w:pPr>
      <w:r>
        <w:tab/>
        <w:t>I [past] [medium] from </w:t>
      </w:r>
      <w:r>
        <w:rPr>
          <w:rStyle w:val="htmlcodes"/>
        </w:rPr>
        <w:t>&lt;dots&gt;</w:t>
      </w:r>
      <w:r>
        <w:t>…</w:t>
      </w:r>
      <w:r>
        <w:rPr>
          <w:rStyle w:val="htmlcodes"/>
        </w:rPr>
        <w:t>&lt;/dots&gt;</w:t>
      </w:r>
      <w:r>
        <w:t>to [future] [long] breathe.</w:t>
      </w:r>
    </w:p>
    <w:p w:rsidR="00B72047" w:rsidRDefault="00B72047">
      <w:pPr>
        <w:pStyle w:val="examplescaled"/>
      </w:pPr>
      <w:r>
        <w:tab/>
        <w:t>I breathe from a medium time ago till a long time to come.</w:t>
      </w:r>
    </w:p>
    <w:p w:rsidR="00B72047" w:rsidRDefault="00B72047">
      <w:pPr>
        <w:pStyle w:val="resumedafterexample"/>
      </w:pPr>
      <w:r>
        <w:rPr>
          <w:rStyle w:val="htmlcodes"/>
        </w:rPr>
        <w:t>&lt;/pre&gt;</w:t>
      </w:r>
      <w:r>
        <w:t>(It is to be hoped that I have a long life ahead of me.)</w:t>
      </w:r>
    </w:p>
    <w:p w:rsidR="00B72047" w:rsidRDefault="00B72047">
      <w:pPr>
        <w:rPr>
          <w:rStyle w:val="htmlparacode"/>
        </w:rPr>
      </w:pPr>
      <w:r>
        <w:rPr>
          <w:rStyle w:val="htmlparacode"/>
        </w:rPr>
        <w:t>&lt;p&gt;</w:t>
      </w:r>
    </w:p>
    <w:p w:rsidR="00B72047" w:rsidRDefault="00B72047">
      <w:pPr>
        <w:pStyle w:val="normalparagraph"/>
      </w:pPr>
      <w:r>
        <w:t>One additional use of non-logical connectives within tenses is discussed in</w:t>
      </w:r>
      <w:r>
        <w:rPr>
          <w:rStyle w:val="deletedparamark"/>
        </w:rPr>
        <w:t xml:space="preserve"> </w:t>
      </w:r>
      <w:r>
        <w:rPr>
          <w:rStyle w:val="htmlcodes"/>
        </w:rPr>
        <w:t>&lt;a href=#s21&gt;</w:t>
      </w:r>
      <w:r>
        <w:t>Section 21</w:t>
      </w:r>
      <w:r>
        <w:rPr>
          <w:rStyle w:val="htmlcodes"/>
        </w:rPr>
        <w:t>&lt;/a&gt;</w:t>
      </w:r>
      <w:r>
        <w:t>. Other uses will probably be identified in fu</w:t>
      </w:r>
      <w:r>
        <w:softHyphen/>
        <w:t>ture.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name=s21&gt;&lt;h3&gt;</w:t>
      </w:r>
      <w:bookmarkStart w:id="350" w:name="_Toc398970595"/>
      <w:r>
        <w:rPr>
          <w:rStyle w:val="Heading3Text"/>
        </w:rPr>
        <w:t>Sub-events</w:t>
      </w:r>
      <w:bookmarkEnd w:id="35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&lt;ex "six-shooter"&gt;</w:t>
      </w:r>
      <w:r>
        <w:rPr>
          <w:rStyle w:val="indexentry"/>
        </w:rPr>
        <w:fldChar w:fldCharType="begin"/>
      </w:r>
      <w:r>
        <w:instrText>xe "</w:instrText>
      </w:r>
      <w:r>
        <w:rPr>
          <w:rStyle w:val="xeentry"/>
        </w:rPr>
        <w:instrText>six-shooter: example</w:instrText>
      </w:r>
      <w:r>
        <w:instrText>"</w:instrText>
      </w:r>
      <w:r>
        <w:rPr>
          <w:rStyle w:val="indexentry"/>
        </w:rPr>
        <w:fldChar w:fldCharType="end"/>
      </w:r>
      <w:r>
        <w:rPr>
          <w:rStyle w:val="indexentry"/>
        </w:rPr>
        <w:t>&lt;cx "tenses, non-logical connection of for sub-events"&gt;</w:t>
      </w:r>
      <w:r>
        <w:rPr>
          <w:rStyle w:val="indexentry"/>
        </w:rPr>
        <w:fldChar w:fldCharType="begin"/>
      </w:r>
      <w:r>
        <w:instrText>xe "</w:instrText>
      </w:r>
      <w:r>
        <w:rPr>
          <w:rStyle w:val="xeentry"/>
        </w:rPr>
        <w:instrText>tense: non-logical connection of for sub-events</w:instrText>
      </w:r>
      <w:r>
        <w:instrText>"</w:instrText>
      </w:r>
      <w:r>
        <w:rPr>
          <w:rStyle w:val="indexentry"/>
        </w:rPr>
        <w:fldChar w:fldCharType="end"/>
      </w:r>
      <w:r>
        <w:t>Another application of non-logical tense connection is to talk about</w:t>
      </w:r>
      <w:r>
        <w:rPr>
          <w:rStyle w:val="deletedparamark"/>
        </w:rPr>
        <w:t xml:space="preserve"> </w:t>
      </w:r>
      <w:r>
        <w:t>sub-events of events. Consider a six-shooter: a gun which can fire six</w:t>
      </w:r>
      <w:r>
        <w:rPr>
          <w:rStyle w:val="deletedparamark"/>
        </w:rPr>
        <w:t xml:space="preserve"> </w:t>
      </w:r>
      <w:r>
        <w:t>bullets in succession before r</w:t>
      </w:r>
      <w:r>
        <w:t>e</w:t>
      </w:r>
      <w:r>
        <w:softHyphen/>
        <w:t>loading. If I fire off the entire magazine</w:t>
      </w:r>
      <w:r>
        <w:rPr>
          <w:rStyle w:val="deletedparamark"/>
        </w:rPr>
        <w:t xml:space="preserve"> </w:t>
      </w:r>
      <w:r>
        <w:t>twice, I can express the fact in Lojban thus:</w:t>
      </w:r>
    </w:p>
    <w:p w:rsidR="00B72047" w:rsidRDefault="00B72047">
      <w:pPr>
        <w:rPr>
          <w:rStyle w:val="htmlparacode"/>
        </w:rPr>
      </w:pPr>
      <w:r>
        <w:rPr>
          <w:rStyle w:val="htmlparacode"/>
        </w:rPr>
        <w:t>&lt;p&gt;</w:t>
      </w:r>
    </w:p>
    <w:p w:rsidR="00B72047" w:rsidRDefault="00B72047">
      <w:pPr>
        <w:pStyle w:val="examplescaledpre"/>
      </w:pPr>
      <w:r>
        <w:rPr>
          <w:rStyle w:val="indexentry"/>
        </w:rPr>
        <w:t>&lt;ex "on two occasions"&gt;</w:t>
      </w:r>
      <w:r>
        <w:rPr>
          <w:rStyle w:val="indexentry"/>
        </w:rPr>
        <w:fldChar w:fldCharType="begin"/>
      </w:r>
      <w:r>
        <w:instrText>xe "</w:instrText>
      </w:r>
      <w:r>
        <w:rPr>
          <w:rStyle w:val="xeentry"/>
        </w:rPr>
        <w:instrText>on two occasions: example</w:instrText>
      </w:r>
      <w:r>
        <w:instrText>"</w:instrText>
      </w:r>
      <w:r>
        <w:rPr>
          <w:rStyle w:val="indexentry"/>
        </w:rPr>
        <w:fldChar w:fldCharType="end"/>
      </w:r>
      <w:r>
        <w:rPr>
          <w:rStyle w:val="htmlcodes"/>
        </w:rPr>
        <w:t>&lt;pre&gt;&lt;a name=e21d1&gt;</w:t>
      </w:r>
      <w:r>
        <w:t>21.1)</w:t>
      </w:r>
      <w:r>
        <w:tab/>
        <w:t>mi reroi pi'u xaroi cecla le seldanti</w:t>
      </w:r>
    </w:p>
    <w:p w:rsidR="00B72047" w:rsidRDefault="00B72047">
      <w:pPr>
        <w:pStyle w:val="examplescaled"/>
      </w:pPr>
      <w:r>
        <w:tab/>
        <w:t>I [twice] [cross-product] [six times] shoot the projectile-launcher.</w:t>
      </w:r>
    </w:p>
    <w:p w:rsidR="00B72047" w:rsidRDefault="00B72047">
      <w:pPr>
        <w:pStyle w:val="examplescaled"/>
      </w:pPr>
      <w:r>
        <w:tab/>
        <w:t>On two occasions, I fire the gun six times.</w:t>
      </w:r>
    </w:p>
    <w:p w:rsidR="00B72047" w:rsidRDefault="00B72047">
      <w:pPr>
        <w:pStyle w:val="resumedafterexample"/>
      </w:pPr>
      <w:r>
        <w:rPr>
          <w:rStyle w:val="htmlcodes"/>
        </w:rPr>
        <w:t>&lt;/pre&gt;</w:t>
      </w:r>
      <w:r>
        <w:rPr>
          <w:rStyle w:val="indexentry"/>
        </w:rPr>
        <w:t>&lt;lx "pi'u"&gt;</w:t>
      </w:r>
      <w:r>
        <w:rPr>
          <w:rStyle w:val="indexentry"/>
        </w:rPr>
        <w:fldChar w:fldCharType="begin"/>
      </w:r>
      <w:r>
        <w:instrText>xe "</w:instrText>
      </w:r>
      <w:r>
        <w:rPr>
          <w:rStyle w:val="xeentry"/>
        </w:rPr>
        <w:instrText>pi'u</w:instrText>
      </w:r>
      <w:r>
        <w:instrText>"</w:instrText>
      </w:r>
      <w:r>
        <w:rPr>
          <w:rStyle w:val="indexentry"/>
        </w:rPr>
        <w:fldChar w:fldCharType="end"/>
      </w:r>
      <w:r>
        <w:rPr>
          <w:rStyle w:val="indexentry"/>
        </w:rPr>
        <w:t>&lt;cx "pi'u, use in connecting tenses"&gt;</w:t>
      </w:r>
      <w:r>
        <w:rPr>
          <w:rStyle w:val="indexentry"/>
        </w:rPr>
        <w:fldChar w:fldCharType="begin"/>
      </w:r>
      <w:r>
        <w:instrText>xe "</w:instrText>
      </w:r>
      <w:r>
        <w:rPr>
          <w:rStyle w:val="xeentry"/>
        </w:rPr>
        <w:instrText>pi'u: use in connecting tenses</w:instrText>
      </w:r>
      <w:r>
        <w:instrText>"</w:instrText>
      </w:r>
      <w:r>
        <w:rPr>
          <w:rStyle w:val="indexentry"/>
        </w:rPr>
        <w:fldChar w:fldCharType="end"/>
      </w:r>
      <w:r>
        <w:rPr>
          <w:rStyle w:val="indexentry"/>
        </w:rPr>
        <w:t>&lt;cx "Cartesian product, with tenses"&gt;</w:t>
      </w:r>
      <w:r>
        <w:rPr>
          <w:rStyle w:val="indexentry"/>
        </w:rPr>
        <w:fldChar w:fldCharType="begin"/>
      </w:r>
      <w:r>
        <w:instrText>xe "</w:instrText>
      </w:r>
      <w:r>
        <w:rPr>
          <w:rStyle w:val="xeentry"/>
        </w:rPr>
        <w:instrText>Cartesian product: with tenses</w:instrText>
      </w:r>
      <w:r>
        <w:instrText>"</w:instrText>
      </w:r>
      <w:r>
        <w:rPr>
          <w:rStyle w:val="indexentry"/>
        </w:rPr>
        <w:fldChar w:fldCharType="end"/>
      </w:r>
      <w:r>
        <w:rPr>
          <w:rStyle w:val="indexentry"/>
        </w:rPr>
        <w:t>&lt;cx "cross product, with tenses"&gt;</w:t>
      </w:r>
      <w:r>
        <w:rPr>
          <w:rStyle w:val="indexentry"/>
        </w:rPr>
        <w:fldChar w:fldCharType="begin"/>
      </w:r>
      <w:r>
        <w:instrText>xe "</w:instrText>
      </w:r>
      <w:r>
        <w:rPr>
          <w:rStyle w:val="xeentry"/>
        </w:rPr>
        <w:instrText>cross product: with tenses</w:instrText>
      </w:r>
      <w:r>
        <w:instrText>"</w:instrText>
      </w:r>
      <w:r>
        <w:rPr>
          <w:rStyle w:val="indexentry"/>
        </w:rPr>
        <w:fldChar w:fldCharType="end"/>
      </w:r>
      <w:r>
        <w:t>It would be confusing, though grammatical, to run the “reroi” and</w:t>
      </w:r>
      <w:r>
        <w:rPr>
          <w:rStyle w:val="deletedparamark"/>
        </w:rPr>
        <w:t xml:space="preserve"> </w:t>
      </w:r>
      <w:r>
        <w:t>the “xaroi” directly together. However, the non-logical connective</w:t>
      </w:r>
      <w:r>
        <w:rPr>
          <w:rStyle w:val="deletedparamark"/>
        </w:rPr>
        <w:t xml:space="preserve"> “</w:t>
      </w:r>
      <w:r>
        <w:t>pi'u” expresses a Cartesian product (also known as a cross product)</w:t>
      </w:r>
      <w:r>
        <w:rPr>
          <w:rStyle w:val="deletedparamark"/>
        </w:rPr>
        <w:t xml:space="preserve"> </w:t>
      </w:r>
      <w:r>
        <w:t>of two sets. In this case, there is a set of two firings each of which</w:t>
      </w:r>
      <w:r>
        <w:rPr>
          <w:rStyle w:val="deletedparamark"/>
        </w:rPr>
        <w:t xml:space="preserve"> </w:t>
      </w:r>
      <w:r>
        <w:t>is represented by a set of six shots, for twelve shots in all (hence</w:t>
      </w:r>
      <w:r>
        <w:rPr>
          <w:rStyle w:val="deletedparamark"/>
        </w:rPr>
        <w:t xml:space="preserve"> </w:t>
      </w:r>
      <w:r>
        <w:t>the name “product”: the product of 2 and 6 is 12). Its use specifies</w:t>
      </w:r>
      <w:r>
        <w:rPr>
          <w:rStyle w:val="deletedparamark"/>
        </w:rPr>
        <w:t xml:space="preserve"> </w:t>
      </w:r>
      <w:r>
        <w:t>very precisely what oc</w:t>
      </w:r>
      <w:r>
        <w:softHyphen/>
        <w:t>curs.</w:t>
      </w:r>
    </w:p>
    <w:p w:rsidR="00B72047" w:rsidRDefault="00B72047">
      <w:pPr>
        <w:rPr>
          <w:rStyle w:val="htmlparacode"/>
        </w:rPr>
      </w:pPr>
      <w:r>
        <w:rPr>
          <w:rStyle w:val="htmlparacode"/>
        </w:rPr>
        <w:t>&lt;p&gt;</w:t>
      </w:r>
    </w:p>
    <w:p w:rsidR="00B72047" w:rsidRDefault="00B72047">
      <w:pPr>
        <w:pStyle w:val="normalparagraph"/>
      </w:pPr>
      <w:r>
        <w:rPr>
          <w:rStyle w:val="indexentry"/>
        </w:rPr>
        <w:t>&lt;cx "interval properties, strings of"&gt;</w:t>
      </w:r>
      <w:r>
        <w:rPr>
          <w:rStyle w:val="indexentry"/>
        </w:rPr>
        <w:fldChar w:fldCharType="begin"/>
      </w:r>
      <w:r>
        <w:instrText>xe "</w:instrText>
      </w:r>
      <w:r>
        <w:rPr>
          <w:rStyle w:val="xeentry"/>
        </w:rPr>
        <w:instrText>interval properties: strings of</w:instrText>
      </w:r>
      <w:r>
        <w:instrText>"</w:instrText>
      </w:r>
      <w:r>
        <w:rPr>
          <w:rStyle w:val="indexentry"/>
        </w:rPr>
        <w:fldChar w:fldCharType="end"/>
      </w:r>
      <w:r>
        <w:rPr>
          <w:rStyle w:val="indexentry"/>
        </w:rPr>
        <w:t>&lt;cx "event contours, strings of"&gt;</w:t>
      </w:r>
      <w:r>
        <w:rPr>
          <w:rStyle w:val="indexentry"/>
        </w:rPr>
        <w:fldChar w:fldCharType="begin"/>
      </w:r>
      <w:r>
        <w:instrText>xe "</w:instrText>
      </w:r>
      <w:r>
        <w:rPr>
          <w:rStyle w:val="xeentry"/>
        </w:rPr>
        <w:instrText>event contours: strings of</w:instrText>
      </w:r>
      <w:r>
        <w:instrText>"</w:instrText>
      </w:r>
      <w:r>
        <w:rPr>
          <w:rStyle w:val="indexentry"/>
        </w:rPr>
        <w:fldChar w:fldCharType="end"/>
      </w:r>
      <w:r>
        <w:t>In fact, you can specify strings of interval properties and event contours</w:t>
      </w:r>
      <w:r>
        <w:rPr>
          <w:rStyle w:val="deletedparamark"/>
        </w:rPr>
        <w:t xml:space="preserve"> </w:t>
      </w:r>
      <w:r>
        <w:t>within a si</w:t>
      </w:r>
      <w:r>
        <w:t>n</w:t>
      </w:r>
      <w:r>
        <w:softHyphen/>
        <w:t>gle tense without the use of a logical or non-logical connective</w:t>
      </w:r>
      <w:r>
        <w:rPr>
          <w:rStyle w:val="deletedparamark"/>
        </w:rPr>
        <w:t xml:space="preserve"> </w:t>
      </w:r>
      <w:r>
        <w:t>cmavo. This allows tenses of the type: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name=e21d2&gt;</w:t>
      </w:r>
      <w:r>
        <w:t>21.2)</w:t>
      </w:r>
      <w:r>
        <w:tab/>
        <w:t>la djordj. ca'o co'a ciska</w:t>
      </w:r>
    </w:p>
    <w:p w:rsidR="00B72047" w:rsidRDefault="00B72047">
      <w:pPr>
        <w:pStyle w:val="examplescaled"/>
      </w:pPr>
      <w:r>
        <w:tab/>
        <w:t>George [continuitive] [initiative] writes.</w:t>
      </w:r>
    </w:p>
    <w:p w:rsidR="00B72047" w:rsidRDefault="00B72047">
      <w:pPr>
        <w:pStyle w:val="examplescaled"/>
      </w:pPr>
      <w:r>
        <w:tab/>
        <w:t>George continues to start to write.</w:t>
      </w:r>
    </w:p>
    <w:p w:rsidR="00B72047" w:rsidRDefault="00B72047">
      <w:pPr>
        <w:pStyle w:val="examplescaledpre"/>
      </w:pPr>
      <w:r>
        <w:rPr>
          <w:rStyle w:val="htmlcodes"/>
        </w:rPr>
        <w:t>&lt;a name=e21d3&gt;</w:t>
      </w:r>
      <w:r>
        <w:t>21.3)</w:t>
      </w:r>
      <w:r>
        <w:tab/>
        <w:t>mi reroi ca'o xaroi darxi le damri</w:t>
      </w:r>
    </w:p>
    <w:p w:rsidR="00B72047" w:rsidRDefault="00B72047">
      <w:pPr>
        <w:pStyle w:val="examplescaled"/>
      </w:pPr>
      <w:r>
        <w:tab/>
        <w:t>I [twice] [continuitive] [six times] hit the drum.</w:t>
      </w:r>
    </w:p>
    <w:p w:rsidR="00B72047" w:rsidRDefault="00B72047">
      <w:pPr>
        <w:pStyle w:val="examplescaled"/>
      </w:pPr>
      <w:r>
        <w:tab/>
        <w:t>On two occasions, I continue to beat the drum six times.</w:t>
      </w:r>
    </w:p>
    <w:p w:rsidR="00B72047" w:rsidRDefault="00B72047">
      <w:pPr>
        <w:pStyle w:val="Heading3"/>
        <w:rPr>
          <w:rStyle w:val="Heading3Text"/>
        </w:rPr>
      </w:pPr>
      <w:r>
        <w:rPr>
          <w:rStyle w:val="htmlcodes"/>
        </w:rPr>
        <w:t>&lt;/pre&gt;&lt;a name=s22&gt;&lt;h3&gt;</w:t>
      </w:r>
      <w:bookmarkStart w:id="351" w:name="_Toc398970596"/>
      <w:r>
        <w:rPr>
          <w:rStyle w:val="Heading3Text"/>
        </w:rPr>
        <w:t>Conversion of sumti tcita: JAI</w:t>
      </w:r>
      <w:bookmarkEnd w:id="35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jai</w:t>
      </w:r>
      <w:r>
        <w:tab/>
        <w:t>JAI</w:t>
      </w:r>
      <w:r>
        <w:tab/>
        <w:t>tense conversion</w:t>
      </w:r>
    </w:p>
    <w:p w:rsidR="00B72047" w:rsidRDefault="00B72047">
      <w:pPr>
        <w:pStyle w:val="examplescaled"/>
      </w:pPr>
      <w:r>
        <w:tab/>
        <w:t>fai</w:t>
      </w:r>
      <w:r>
        <w:tab/>
        <w:t>FA</w:t>
      </w:r>
      <w:r>
        <w:tab/>
        <w:t>indefinite place</w:t>
      </w:r>
    </w:p>
    <w:p w:rsidR="00B72047" w:rsidRDefault="00B72047">
      <w:pPr>
        <w:pStyle w:val="normalafterexample"/>
      </w:pPr>
      <w:r>
        <w:rPr>
          <w:rStyle w:val="htmlcodes"/>
        </w:rPr>
        <w:t>&lt;/pre&gt;</w:t>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indexentry"/>
        </w:rPr>
        <w:t>&lt;cx "conversion, definition"&gt;</w:t>
      </w:r>
      <w:r>
        <w:rPr>
          <w:rStyle w:val="indexentry"/>
        </w:rPr>
        <w:fldChar w:fldCharType="begin"/>
      </w:r>
      <w:r>
        <w:instrText>xe "</w:instrText>
      </w:r>
      <w:r>
        <w:rPr>
          <w:rStyle w:val="xeentry"/>
        </w:rPr>
        <w:instrText>conversion: definition</w:instrText>
      </w:r>
      <w:r>
        <w:instrText>"</w:instrText>
      </w:r>
      <w:r>
        <w:rPr>
          <w:rStyle w:val="indexentry"/>
        </w:rPr>
        <w:fldChar w:fldCharType="end"/>
      </w:r>
      <w:r>
        <w:t>Conversion is the regular Lojban process of moving around the places of</w:t>
      </w:r>
      <w:r>
        <w:rPr>
          <w:rStyle w:val="deletedparamark"/>
        </w:rPr>
        <w:t xml:space="preserve"> </w:t>
      </w:r>
      <w:r>
        <w:t>a place structure. The cmavo of selma'o SE serve this purpose, exchanging</w:t>
      </w:r>
      <w:r>
        <w:rPr>
          <w:rStyle w:val="deletedparamark"/>
        </w:rPr>
        <w:t xml:space="preserve"> </w:t>
      </w:r>
      <w:r>
        <w:t>the first place with one of the others: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name=e22d1&gt;</w:t>
      </w:r>
      <w:r>
        <w:t>22.1)</w:t>
      </w:r>
      <w:r>
        <w:tab/>
        <w:t>mi cu klama le zarci</w:t>
      </w:r>
    </w:p>
    <w:p w:rsidR="00B72047" w:rsidRDefault="00B72047">
      <w:pPr>
        <w:pStyle w:val="examplescaled"/>
      </w:pPr>
      <w:r>
        <w:tab/>
        <w:t>I go-to the market.</w:t>
      </w:r>
    </w:p>
    <w:p w:rsidR="00B72047" w:rsidRDefault="00B72047">
      <w:pPr>
        <w:pStyle w:val="examplescaledpre"/>
      </w:pPr>
      <w:r>
        <w:rPr>
          <w:rStyle w:val="htmlcodes"/>
        </w:rPr>
        <w:t>&lt;a name=e22d2&gt;</w:t>
      </w:r>
      <w:r>
        <w:t>22.2)</w:t>
      </w:r>
      <w:r>
        <w:tab/>
        <w:t>le zarci cu se klama mi</w:t>
      </w:r>
    </w:p>
    <w:p w:rsidR="00B72047" w:rsidRDefault="00B72047">
      <w:pPr>
        <w:pStyle w:val="examplescaled"/>
      </w:pPr>
      <w:r>
        <w:tab/>
        <w:t>The market is-gone-to by-me.</w:t>
      </w:r>
    </w:p>
    <w:p w:rsidR="00B72047" w:rsidRDefault="00B72047">
      <w:pPr>
        <w:pStyle w:val="normalafterexample"/>
      </w:pPr>
      <w:r>
        <w:rPr>
          <w:rStyle w:val="htmlcodes"/>
        </w:rPr>
        <w:t>&lt;/pre&gt;</w:t>
      </w:r>
      <w:r>
        <w:rPr>
          <w:rStyle w:val="indexentry"/>
        </w:rPr>
        <w:t>&lt;cx "conversion, accessing tense of bridi with jai"&gt;</w:t>
      </w:r>
      <w:r>
        <w:rPr>
          <w:rStyle w:val="indexentry"/>
        </w:rPr>
        <w:fldChar w:fldCharType="begin"/>
      </w:r>
      <w:r>
        <w:instrText>xe "</w:instrText>
      </w:r>
      <w:r>
        <w:rPr>
          <w:rStyle w:val="xeentry"/>
        </w:rPr>
        <w:instrText>conversion: accessing tense of bridi with jai</w:instrText>
      </w:r>
      <w:r>
        <w:instrText>"</w:instrText>
      </w:r>
      <w:r>
        <w:rPr>
          <w:rStyle w:val="indexentry"/>
        </w:rPr>
        <w:fldChar w:fldCharType="end"/>
      </w:r>
      <w:r>
        <w:rPr>
          <w:rStyle w:val="indexentry"/>
        </w:rPr>
        <w:t>&lt;cx "tense conversion, accessing tense of bridi with jai"&gt;</w:t>
      </w:r>
      <w:r>
        <w:rPr>
          <w:rStyle w:val="indexentry"/>
        </w:rPr>
        <w:fldChar w:fldCharType="begin"/>
      </w:r>
      <w:r>
        <w:instrText>xe "</w:instrText>
      </w:r>
      <w:r>
        <w:rPr>
          <w:rStyle w:val="xeentry"/>
        </w:rPr>
        <w:instrText>tense conversion: accessing tense of bridi with jai</w:instrText>
      </w:r>
      <w:r>
        <w:instrText>"</w:instrText>
      </w:r>
      <w:r>
        <w:rPr>
          <w:rStyle w:val="indexentry"/>
        </w:rPr>
        <w:fldChar w:fldCharType="end"/>
      </w:r>
      <w:r>
        <w:rPr>
          <w:rStyle w:val="indexentry"/>
        </w:rPr>
        <w:t>&lt;lx "jai"&gt;</w:t>
      </w:r>
      <w:r>
        <w:rPr>
          <w:rStyle w:val="indexentry"/>
        </w:rPr>
        <w:fldChar w:fldCharType="begin"/>
      </w:r>
      <w:r>
        <w:instrText>xe "</w:instrText>
      </w:r>
      <w:r>
        <w:rPr>
          <w:rStyle w:val="xeentry"/>
        </w:rPr>
        <w:instrText>jai</w:instrText>
      </w:r>
      <w:r>
        <w:instrText>"</w:instrText>
      </w:r>
      <w:r>
        <w:rPr>
          <w:rStyle w:val="indexentry"/>
        </w:rPr>
        <w:fldChar w:fldCharType="end"/>
      </w:r>
      <w:r>
        <w:rPr>
          <w:rStyle w:val="indexentry"/>
        </w:rPr>
        <w:t>&lt;cx "jai with tense, as equivalent of SE in grammar"&gt;</w:t>
      </w:r>
      <w:r>
        <w:rPr>
          <w:rStyle w:val="indexentry"/>
        </w:rPr>
        <w:fldChar w:fldCharType="begin"/>
      </w:r>
      <w:r>
        <w:instrText>xe "</w:instrText>
      </w:r>
      <w:r>
        <w:rPr>
          <w:rStyle w:val="xeentry"/>
        </w:rPr>
        <w:instrText>jai with tense: as equivalent of SE in grammar</w:instrText>
      </w:r>
      <w:r>
        <w:instrText>"</w:instrText>
      </w:r>
      <w:r>
        <w:rPr>
          <w:rStyle w:val="indexentry"/>
        </w:rPr>
        <w:fldChar w:fldCharType="end"/>
      </w:r>
      <w:r>
        <w:t>It is also possible to bring a place that is specified by a sumti tcita</w:t>
      </w:r>
      <w:r>
        <w:rPr>
          <w:rStyle w:val="deletedparamark"/>
        </w:rPr>
        <w:t xml:space="preserve"> </w:t>
      </w:r>
      <w:r>
        <w:t>(for the pur</w:t>
      </w:r>
      <w:r>
        <w:softHyphen/>
        <w:t>poses of this chapter, a tense sumti tcita) to the front, by</w:t>
      </w:r>
      <w:r>
        <w:rPr>
          <w:rStyle w:val="deletedparamark"/>
        </w:rPr>
        <w:t xml:space="preserve"> </w:t>
      </w:r>
      <w:r>
        <w:t>using “jai” plus the tense as the gra</w:t>
      </w:r>
      <w:r>
        <w:t>m</w:t>
      </w:r>
      <w:r>
        <w:softHyphen/>
        <w:t>matical equivalent of SE:</w:t>
      </w:r>
    </w:p>
    <w:p w:rsidR="00B72047" w:rsidRDefault="00B72047">
      <w:pPr>
        <w:rPr>
          <w:rStyle w:val="htmlparacode"/>
        </w:rPr>
      </w:pPr>
      <w:r>
        <w:rPr>
          <w:rStyle w:val="htmlparacode"/>
        </w:rPr>
        <w:t>&lt;p&gt;</w:t>
      </w:r>
    </w:p>
    <w:p w:rsidR="00B72047" w:rsidRDefault="00B72047">
      <w:pPr>
        <w:pStyle w:val="examplescaledpre"/>
      </w:pPr>
      <w:r>
        <w:rPr>
          <w:rStyle w:val="indexentry"/>
        </w:rPr>
        <w:t>&lt;ex "rat eats cheese in park"&gt;</w:t>
      </w:r>
      <w:r>
        <w:rPr>
          <w:rStyle w:val="indexentry"/>
        </w:rPr>
        <w:fldChar w:fldCharType="begin"/>
      </w:r>
      <w:r>
        <w:instrText>xe "</w:instrText>
      </w:r>
      <w:r>
        <w:rPr>
          <w:rStyle w:val="xeentry"/>
        </w:rPr>
        <w:instrText>rat eats cheese in park: example</w:instrText>
      </w:r>
      <w:r>
        <w:instrText>"</w:instrText>
      </w:r>
      <w:r>
        <w:rPr>
          <w:rStyle w:val="indexentry"/>
        </w:rPr>
        <w:fldChar w:fldCharType="end"/>
      </w:r>
      <w:r>
        <w:rPr>
          <w:rStyle w:val="htmlcodes"/>
        </w:rPr>
        <w:t>&lt;pre&gt;&lt;a name=e22d3&gt;</w:t>
      </w:r>
      <w:r>
        <w:t>22.3)</w:t>
      </w:r>
      <w:r>
        <w:tab/>
        <w:t>le ratcu cu citka le cirla vi le panka</w:t>
      </w:r>
    </w:p>
    <w:p w:rsidR="00B72047" w:rsidRDefault="00B72047">
      <w:pPr>
        <w:pStyle w:val="examplescaled"/>
      </w:pPr>
      <w:r>
        <w:tab/>
        <w:t>The rat eats the cheese [short distance] the park.</w:t>
      </w:r>
    </w:p>
    <w:p w:rsidR="00B72047" w:rsidRDefault="00B72047">
      <w:pPr>
        <w:pStyle w:val="examplescaled"/>
      </w:pPr>
      <w:r>
        <w:tab/>
        <w:t>The rat eats the cheese in the park.</w:t>
      </w:r>
    </w:p>
    <w:p w:rsidR="00B72047" w:rsidRDefault="00B72047">
      <w:pPr>
        <w:pStyle w:val="examplescaledpre"/>
      </w:pPr>
      <w:r>
        <w:rPr>
          <w:rStyle w:val="htmlcodes"/>
        </w:rPr>
        <w:t>&lt;a name=e22d4&gt;</w:t>
      </w:r>
      <w:r>
        <w:t>22.4)</w:t>
      </w:r>
      <w:r>
        <w:tab/>
        <w:t>le panka cu jai vi citka le cirla fai le ratcu</w:t>
      </w:r>
    </w:p>
    <w:p w:rsidR="00B72047" w:rsidRDefault="00B72047">
      <w:pPr>
        <w:pStyle w:val="examplescaled"/>
      </w:pPr>
      <w:r>
        <w:tab/>
        <w:t>The park is-the-place-of eating the cheese by-the rat.</w:t>
      </w:r>
    </w:p>
    <w:p w:rsidR="00B72047" w:rsidRDefault="00B72047">
      <w:pPr>
        <w:pStyle w:val="examplescaled"/>
      </w:pPr>
      <w:r>
        <w:tab/>
        <w:t>The park is where the rat eats the cheese.</w:t>
      </w:r>
    </w:p>
    <w:p w:rsidR="00B72047" w:rsidRDefault="00B72047">
      <w:pPr>
        <w:pStyle w:val="resumedafterexample"/>
      </w:pPr>
      <w:r>
        <w:rPr>
          <w:rStyle w:val="htmlcodes"/>
        </w:rPr>
        <w:t>&lt;/pre&gt;</w:t>
      </w:r>
      <w:r>
        <w:rPr>
          <w:rStyle w:val="indexentry"/>
        </w:rPr>
        <w:t>&lt;cx "tense conversion, accessing original first place with fai"&gt;</w:t>
      </w:r>
      <w:r>
        <w:rPr>
          <w:rStyle w:val="indexentry"/>
        </w:rPr>
        <w:fldChar w:fldCharType="begin"/>
      </w:r>
      <w:r>
        <w:instrText>xe "</w:instrText>
      </w:r>
      <w:r>
        <w:rPr>
          <w:rStyle w:val="xeentry"/>
        </w:rPr>
        <w:instrText>tense conversion: accessing original first place with fai</w:instrText>
      </w:r>
      <w:r>
        <w:instrText>"</w:instrText>
      </w:r>
      <w:r>
        <w:rPr>
          <w:rStyle w:val="indexentry"/>
        </w:rPr>
        <w:fldChar w:fldCharType="end"/>
      </w:r>
      <w:r>
        <w:rPr>
          <w:rStyle w:val="indexentry"/>
        </w:rPr>
        <w:t>&lt;lx "fai"&gt;</w:t>
      </w:r>
      <w:r>
        <w:rPr>
          <w:rStyle w:val="indexentry"/>
        </w:rPr>
        <w:fldChar w:fldCharType="begin"/>
      </w:r>
      <w:r>
        <w:instrText>xe "</w:instrText>
      </w:r>
      <w:r>
        <w:rPr>
          <w:rStyle w:val="xeentry"/>
        </w:rPr>
        <w:instrText>fai</w:instrText>
      </w:r>
      <w:r>
        <w:instrText>"</w:instrText>
      </w:r>
      <w:r>
        <w:rPr>
          <w:rStyle w:val="indexentry"/>
        </w:rPr>
        <w:fldChar w:fldCharType="end"/>
      </w:r>
      <w:r>
        <w:rPr>
          <w:rStyle w:val="indexentry"/>
        </w:rPr>
        <w:t>&lt;lx "FA"&gt;</w:t>
      </w:r>
      <w:r>
        <w:rPr>
          <w:rStyle w:val="indexentry"/>
        </w:rPr>
        <w:fldChar w:fldCharType="begin"/>
      </w:r>
      <w:r>
        <w:instrText>xe "</w:instrText>
      </w:r>
      <w:r>
        <w:rPr>
          <w:rStyle w:val="xeentry"/>
        </w:rPr>
        <w:instrText>FA selma’o</w:instrText>
      </w:r>
      <w:r>
        <w:instrText>"</w:instrText>
      </w:r>
      <w:r>
        <w:rPr>
          <w:rStyle w:val="indexentry"/>
        </w:rPr>
        <w:fldChar w:fldCharType="end"/>
      </w:r>
      <w:r>
        <w:t xml:space="preserve">In </w:t>
      </w:r>
      <w:r>
        <w:rPr>
          <w:rStyle w:val="htmlcodes"/>
        </w:rPr>
        <w:t>&lt;a href=#e22d4&gt;</w:t>
      </w:r>
      <w:r>
        <w:t>Example 22.4</w:t>
      </w:r>
      <w:r>
        <w:rPr>
          <w:rStyle w:val="htmlcodes"/>
        </w:rPr>
        <w:t>&lt;/a&gt;</w:t>
      </w:r>
      <w:r>
        <w:t>, the construction JAI+tense converts the location sumti into</w:t>
      </w:r>
      <w:r>
        <w:rPr>
          <w:rStyle w:val="deletedparamark"/>
        </w:rPr>
        <w:t xml:space="preserve"> </w:t>
      </w:r>
      <w:r>
        <w:t>the first place. The previous first place has nowhere to go, since the</w:t>
      </w:r>
      <w:r>
        <w:rPr>
          <w:rStyle w:val="deletedparamark"/>
        </w:rPr>
        <w:t xml:space="preserve"> </w:t>
      </w:r>
      <w:r>
        <w:t>location sumti is not a num</w:t>
      </w:r>
      <w:r>
        <w:softHyphen/>
        <w:t>bered place; however, it can be inserted back</w:t>
      </w:r>
      <w:r>
        <w:rPr>
          <w:rStyle w:val="deletedparamark"/>
        </w:rPr>
        <w:t xml:space="preserve"> </w:t>
      </w:r>
      <w:r>
        <w:t>into the bridi with “fai”, the indefinite member of selma'o FA.</w:t>
      </w:r>
    </w:p>
    <w:p w:rsidR="00B72047" w:rsidRDefault="00B72047">
      <w:pPr>
        <w:rPr>
          <w:rStyle w:val="htmlparacode"/>
        </w:rPr>
      </w:pPr>
      <w:r>
        <w:rPr>
          <w:rStyle w:val="htmlparacode"/>
        </w:rPr>
        <w:t>&lt;p&gt;</w:t>
      </w:r>
    </w:p>
    <w:p w:rsidR="00B72047" w:rsidRDefault="00B72047">
      <w:pPr>
        <w:pStyle w:val="normalparagraph"/>
      </w:pPr>
      <w:r>
        <w:t>(The other members of FA are used to mark the first, second, etc. places</w:t>
      </w:r>
      <w:r>
        <w:rPr>
          <w:rStyle w:val="deletedparamark"/>
        </w:rPr>
        <w:t xml:space="preserve"> </w:t>
      </w:r>
      <w:r>
        <w:t>of a bridi explicitly: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name=e22d5&gt;</w:t>
      </w:r>
      <w:r>
        <w:t>22.5)</w:t>
      </w:r>
      <w:r>
        <w:tab/>
        <w:t>fa mi cu klama fe le zarci</w:t>
      </w:r>
    </w:p>
    <w:p w:rsidR="00B72047" w:rsidRDefault="00B72047">
      <w:pPr>
        <w:pStyle w:val="resumedafterexample"/>
      </w:pPr>
      <w:r>
        <w:rPr>
          <w:rStyle w:val="htmlcodes"/>
        </w:rPr>
        <w:t>&lt;/pre&gt;</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name=e22d6&gt;</w:t>
      </w:r>
      <w:r>
        <w:t>22.6)</w:t>
      </w:r>
      <w:r>
        <w:tab/>
        <w:t>fe le zarci cu klama fa mi</w:t>
      </w:r>
    </w:p>
    <w:p w:rsidR="00B72047" w:rsidRDefault="00B72047">
      <w:pPr>
        <w:pStyle w:val="resumedafterexample"/>
      </w:pPr>
      <w:r>
        <w:rPr>
          <w:rStyle w:val="htmlcodes"/>
        </w:rPr>
        <w:t>&lt;/pre&gt;</w:t>
      </w:r>
      <w:r>
        <w:t>as well as the simple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name=e22d7&gt;</w:t>
      </w:r>
      <w:r>
        <w:t>22.7)</w:t>
      </w:r>
      <w:r>
        <w:tab/>
        <w:t>mi cu klama le zarci</w:t>
      </w:r>
    </w:p>
    <w:p w:rsidR="00B72047" w:rsidRDefault="00B72047">
      <w:pPr>
        <w:pStyle w:val="resumedafterexample"/>
      </w:pPr>
      <w:r>
        <w:rPr>
          <w:rStyle w:val="htmlcodes"/>
        </w:rPr>
        <w:t>&lt;/pre&gt;</w:t>
      </w:r>
      <w:r>
        <w:t>in which the place structure is determined by position.)</w:t>
      </w:r>
    </w:p>
    <w:p w:rsidR="00B72047" w:rsidRDefault="00B72047">
      <w:pPr>
        <w:rPr>
          <w:rStyle w:val="htmlparacode"/>
        </w:rPr>
      </w:pPr>
      <w:r>
        <w:rPr>
          <w:rStyle w:val="htmlparacode"/>
        </w:rPr>
        <w:t>&lt;p&gt;</w:t>
      </w:r>
    </w:p>
    <w:p w:rsidR="00B72047" w:rsidRDefault="00B72047">
      <w:pPr>
        <w:pStyle w:val="normalparagraph"/>
      </w:pPr>
      <w:r>
        <w:rPr>
          <w:rStyle w:val="indexentry"/>
        </w:rPr>
        <w:t>&lt;cx "tense conversion, use in sumti descriptions"&gt;</w:t>
      </w:r>
      <w:r>
        <w:rPr>
          <w:rStyle w:val="indexentry"/>
        </w:rPr>
        <w:fldChar w:fldCharType="begin"/>
      </w:r>
      <w:r>
        <w:instrText>xe "</w:instrText>
      </w:r>
      <w:r>
        <w:rPr>
          <w:rStyle w:val="xeentry"/>
        </w:rPr>
        <w:instrText>tense conversion: use in sumti descriptions</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 selma’o</w:instrText>
      </w:r>
      <w:r>
        <w:instrText>"</w:instrText>
      </w:r>
      <w:r>
        <w:rPr>
          <w:rStyle w:val="indexentry"/>
        </w:rPr>
        <w:fldChar w:fldCharType="end"/>
      </w:r>
      <w:r>
        <w:t>Like SE conversion, JAI+tense conversion is especially use</w:t>
      </w:r>
      <w:r>
        <w:softHyphen/>
        <w:t>ful in</w:t>
      </w:r>
      <w:r>
        <w:rPr>
          <w:rStyle w:val="deletedparamark"/>
        </w:rPr>
        <w:t xml:space="preserve"> </w:t>
      </w:r>
      <w:r>
        <w:t>descriptions with LE selma'o:</w:t>
      </w:r>
    </w:p>
    <w:p w:rsidR="00B72047" w:rsidRDefault="00B72047">
      <w:pPr>
        <w:rPr>
          <w:rStyle w:val="htmlparacode"/>
        </w:rPr>
      </w:pPr>
      <w:r>
        <w:rPr>
          <w:rStyle w:val="htmlparacode"/>
        </w:rPr>
        <w:t>&lt;p&gt;</w:t>
      </w:r>
    </w:p>
    <w:p w:rsidR="00B72047" w:rsidRDefault="00B72047">
      <w:pPr>
        <w:pStyle w:val="examplescaledpre"/>
      </w:pPr>
      <w:r>
        <w:rPr>
          <w:rStyle w:val="indexentry"/>
        </w:rPr>
        <w:t>&lt;ex "place of eating"&gt;</w:t>
      </w:r>
      <w:r>
        <w:rPr>
          <w:rStyle w:val="indexentry"/>
        </w:rPr>
        <w:fldChar w:fldCharType="begin"/>
      </w:r>
      <w:r>
        <w:instrText>xe "</w:instrText>
      </w:r>
      <w:r>
        <w:rPr>
          <w:rStyle w:val="xeentry"/>
        </w:rPr>
        <w:instrText>place of eating: example</w:instrText>
      </w:r>
      <w:r>
        <w:instrText>"</w:instrText>
      </w:r>
      <w:r>
        <w:rPr>
          <w:rStyle w:val="indexentry"/>
        </w:rPr>
        <w:fldChar w:fldCharType="end"/>
      </w:r>
      <w:r>
        <w:rPr>
          <w:rStyle w:val="htmlcodes"/>
        </w:rPr>
        <w:t>&lt;pre&gt;&lt;a name=e22d8&gt;</w:t>
      </w:r>
      <w:r>
        <w:t>22.8)</w:t>
      </w:r>
      <w:r>
        <w:tab/>
        <w:t>mi viska le jai vi citka be le cirla</w:t>
      </w:r>
    </w:p>
    <w:p w:rsidR="00B72047" w:rsidRDefault="00B72047">
      <w:pPr>
        <w:pStyle w:val="examplescaled"/>
      </w:pPr>
      <w:r>
        <w:tab/>
        <w:t>I saw the place-of eating the cheese.</w:t>
      </w:r>
    </w:p>
    <w:p w:rsidR="00B72047" w:rsidRDefault="00B72047">
      <w:pPr>
        <w:pStyle w:val="resumedafterexample"/>
      </w:pPr>
      <w:r>
        <w:rPr>
          <w:rStyle w:val="htmlcodes"/>
        </w:rPr>
        <w:t>&lt;/pre&gt;&lt;p&gt;</w:t>
      </w:r>
      <w:r>
        <w:t>Here the eater of the cheese is elided, so no “fai” appears.</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"tense conversion, of temporal tenses"&gt;</w:t>
      </w:r>
      <w:r>
        <w:rPr>
          <w:rStyle w:val="indexentry"/>
        </w:rPr>
        <w:fldChar w:fldCharType="begin"/>
      </w:r>
      <w:r>
        <w:instrText>xe "</w:instrText>
      </w:r>
      <w:r>
        <w:rPr>
          <w:rStyle w:val="xeentry"/>
        </w:rPr>
        <w:instrText>tense conversion: of temporal tenses</w:instrText>
      </w:r>
      <w:r>
        <w:instrText>"</w:instrText>
      </w:r>
      <w:r>
        <w:rPr>
          <w:rStyle w:val="indexentry"/>
        </w:rPr>
        <w:fldChar w:fldCharType="end"/>
      </w:r>
      <w:r>
        <w:t>Of course, temporal tenses are also usable with JAI:</w:t>
      </w:r>
    </w:p>
    <w:p w:rsidR="00B72047" w:rsidRDefault="00B72047">
      <w:pPr>
        <w:rPr>
          <w:rStyle w:val="htmlparacode"/>
        </w:rPr>
      </w:pPr>
      <w:r>
        <w:rPr>
          <w:rStyle w:val="htmlparacode"/>
        </w:rPr>
        <w:t>&lt;p&gt;</w:t>
      </w:r>
    </w:p>
    <w:p w:rsidR="00B72047" w:rsidRDefault="00B72047">
      <w:pPr>
        <w:pStyle w:val="examplescaledpre"/>
      </w:pPr>
      <w:r>
        <w:rPr>
          <w:rStyle w:val="indexentry"/>
        </w:rPr>
        <w:t>&lt;ex "time of death"&gt;</w:t>
      </w:r>
      <w:r>
        <w:rPr>
          <w:rStyle w:val="indexentry"/>
        </w:rPr>
        <w:fldChar w:fldCharType="begin"/>
      </w:r>
      <w:r>
        <w:instrText>xe "</w:instrText>
      </w:r>
      <w:r>
        <w:rPr>
          <w:rStyle w:val="xeentry"/>
        </w:rPr>
        <w:instrText>time of death: example</w:instrText>
      </w:r>
      <w:r>
        <w:instrText>"</w:instrText>
      </w:r>
      <w:r>
        <w:rPr>
          <w:rStyle w:val="indexentry"/>
        </w:rPr>
        <w:fldChar w:fldCharType="end"/>
      </w:r>
      <w:r>
        <w:rPr>
          <w:rStyle w:val="htmlcodes"/>
        </w:rPr>
        <w:t>&lt;pre&gt;&lt;a name=e22d9&gt;</w:t>
      </w:r>
      <w:r>
        <w:t>22.9)</w:t>
      </w:r>
      <w:r>
        <w:tab/>
        <w:t>mi djuno fi le jai ca morsi be fai la djan.</w:t>
      </w:r>
    </w:p>
    <w:p w:rsidR="00B72047" w:rsidRDefault="00B72047">
      <w:pPr>
        <w:pStyle w:val="examplescaled"/>
      </w:pPr>
      <w:r>
        <w:tab/>
        <w:t>I know about the [present] is-dead of-the-one-called “John”</w:t>
      </w:r>
    </w:p>
    <w:p w:rsidR="00B72047" w:rsidRDefault="00B72047">
      <w:pPr>
        <w:pStyle w:val="examplescaled"/>
      </w:pPr>
      <w:r>
        <w:tab/>
        <w:t>I know the time of John's death.</w:t>
      </w:r>
    </w:p>
    <w:p w:rsidR="00B72047" w:rsidRDefault="00B72047">
      <w:pPr>
        <w:pStyle w:val="examplescaled"/>
      </w:pPr>
      <w:r>
        <w:tab/>
        <w:t>I know when John died.</w:t>
      </w:r>
    </w:p>
    <w:p w:rsidR="00B72047" w:rsidRDefault="00B72047">
      <w:pPr>
        <w:pStyle w:val="Heading3"/>
        <w:rPr>
          <w:rStyle w:val="Heading3Text"/>
        </w:rPr>
      </w:pPr>
      <w:r>
        <w:rPr>
          <w:rStyle w:val="htmlcodes"/>
        </w:rPr>
        <w:t>&lt;/pre&gt;&lt;a name=s23&gt;&lt;h3&gt;</w:t>
      </w:r>
      <w:bookmarkStart w:id="352" w:name="_Toc398970597"/>
      <w:r>
        <w:rPr>
          <w:rStyle w:val="Heading3Text"/>
        </w:rPr>
        <w:t>Tenses versus modals</w:t>
      </w:r>
      <w:bookmarkEnd w:id="35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"tenses, compared with modals in syntax"&gt;</w:t>
      </w:r>
      <w:r>
        <w:rPr>
          <w:rStyle w:val="indexentry"/>
        </w:rPr>
        <w:fldChar w:fldCharType="begin"/>
      </w:r>
      <w:r>
        <w:instrText>xe "</w:instrText>
      </w:r>
      <w:r>
        <w:rPr>
          <w:rStyle w:val="xeentry"/>
        </w:rPr>
        <w:instrText>tense: compared with modals in syntax</w:instrText>
      </w:r>
      <w:r>
        <w:instrText>"</w:instrText>
      </w:r>
      <w:r>
        <w:rPr>
          <w:rStyle w:val="indexentry"/>
        </w:rPr>
        <w:fldChar w:fldCharType="end"/>
      </w:r>
      <w:r>
        <w:rPr>
          <w:rStyle w:val="indexentry"/>
        </w:rPr>
        <w:t>&lt;cx "modals, compared with tenses in syntax"&gt;</w:t>
      </w:r>
      <w:r>
        <w:rPr>
          <w:rStyle w:val="indexentry"/>
        </w:rPr>
        <w:fldChar w:fldCharType="begin"/>
      </w:r>
      <w:r>
        <w:instrText>xe "</w:instrText>
      </w:r>
      <w:r>
        <w:rPr>
          <w:rStyle w:val="xeentry"/>
        </w:rPr>
        <w:instrText>modals: compared with tenses in syntax</w:instrText>
      </w:r>
      <w:r>
        <w:instrText>"</w:instrText>
      </w:r>
      <w:r>
        <w:rPr>
          <w:rStyle w:val="indexentry"/>
        </w:rPr>
        <w:fldChar w:fldCharType="end"/>
      </w:r>
      <w:r>
        <w:rPr>
          <w:rStyle w:val="indexentry"/>
        </w:rPr>
        <w:t>&lt;cx "tenses, contrasted with modals in semantics"&gt;</w:t>
      </w:r>
      <w:r>
        <w:rPr>
          <w:rStyle w:val="indexentry"/>
        </w:rPr>
        <w:fldChar w:fldCharType="begin"/>
      </w:r>
      <w:r>
        <w:instrText>xe "</w:instrText>
      </w:r>
      <w:r>
        <w:rPr>
          <w:rStyle w:val="xeentry"/>
        </w:rPr>
        <w:instrText>tense: contrasted with modals in semantics</w:instrText>
      </w:r>
      <w:r>
        <w:instrText>"</w:instrText>
      </w:r>
      <w:r>
        <w:rPr>
          <w:rStyle w:val="indexentry"/>
        </w:rPr>
        <w:fldChar w:fldCharType="end"/>
      </w:r>
      <w:r>
        <w:rPr>
          <w:rStyle w:val="indexentry"/>
        </w:rPr>
        <w:t>&lt;cx "modals, contrasted with tenses in semantics"&gt;</w:t>
      </w:r>
      <w:r>
        <w:rPr>
          <w:rStyle w:val="indexentry"/>
        </w:rPr>
        <w:fldChar w:fldCharType="begin"/>
      </w:r>
      <w:r>
        <w:instrText>xe "</w:instrText>
      </w:r>
      <w:r>
        <w:rPr>
          <w:rStyle w:val="xeentry"/>
        </w:rPr>
        <w:instrText>modals: contrasted with tenses in semantics</w:instrText>
      </w:r>
      <w:r>
        <w:instrText>"</w:instrText>
      </w:r>
      <w:r>
        <w:rPr>
          <w:rStyle w:val="indexentry"/>
        </w:rPr>
        <w:fldChar w:fldCharType="end"/>
      </w:r>
      <w:r>
        <w:t>Grammatically, every use of tenses seen so far is exactly paralleled by</w:t>
      </w:r>
      <w:r>
        <w:rPr>
          <w:rStyle w:val="deletedparamark"/>
        </w:rPr>
        <w:t xml:space="preserve"> </w:t>
      </w:r>
      <w:r>
        <w:t xml:space="preserve">some use of modals as explained in </w:t>
      </w:r>
      <w:r>
        <w:rPr>
          <w:rStyle w:val="htmlcodes"/>
        </w:rPr>
        <w:t>&lt;a href=chap9.html&gt;</w:t>
      </w:r>
      <w:r>
        <w:t>Chapter 9</w:t>
      </w:r>
      <w:r>
        <w:rPr>
          <w:rStyle w:val="htmlcodes"/>
        </w:rPr>
        <w:t>&lt;/a&gt;</w:t>
      </w:r>
      <w:r>
        <w:t>. Modals and tenses alike</w:t>
      </w:r>
      <w:r>
        <w:rPr>
          <w:rStyle w:val="deletedparamark"/>
        </w:rPr>
        <w:t xml:space="preserve"> </w:t>
      </w:r>
      <w:r>
        <w:t>can be followed by sumti, can appear before the</w:t>
      </w:r>
      <w:r>
        <w:rPr>
          <w:rStyle w:val="deletedparamark"/>
        </w:rPr>
        <w:t xml:space="preserve"> </w:t>
      </w:r>
      <w:r>
        <w:t>sel</w:t>
      </w:r>
      <w:r>
        <w:softHyphen/>
        <w:t>bri, can be used in pure and mixed connections, can participate in</w:t>
      </w:r>
      <w:r>
        <w:rPr>
          <w:rStyle w:val="deletedparamark"/>
        </w:rPr>
        <w:t xml:space="preserve"> </w:t>
      </w:r>
      <w:r>
        <w:t>JAI conversions. The parallelism is perfect. However, there is a deep</w:t>
      </w:r>
      <w:r>
        <w:rPr>
          <w:rStyle w:val="deletedparamark"/>
        </w:rPr>
        <w:t xml:space="preserve"> </w:t>
      </w:r>
      <w:r>
        <w:t>dif</w:t>
      </w:r>
      <w:r>
        <w:softHyphen/>
        <w:t>ference in the semantics of tense constructs and modal constructs,</w:t>
      </w:r>
      <w:r>
        <w:rPr>
          <w:rStyle w:val="deletedparamark"/>
        </w:rPr>
        <w:t xml:space="preserve"> </w:t>
      </w:r>
      <w:r>
        <w:t>grounded in histori</w:t>
      </w:r>
      <w:r>
        <w:softHyphen/>
        <w:t>cal differences between the two forms. Originally,</w:t>
      </w:r>
      <w:r>
        <w:rPr>
          <w:rStyle w:val="deletedparamark"/>
        </w:rPr>
        <w:t xml:space="preserve"> </w:t>
      </w:r>
      <w:r>
        <w:t>modals and tenses were utterly dif</w:t>
      </w:r>
      <w:r>
        <w:softHyphen/>
        <w:t>ferent things in ea</w:t>
      </w:r>
      <w:r>
        <w:t>r</w:t>
      </w:r>
      <w:r>
        <w:softHyphen/>
        <w:t>lier versions of</w:t>
      </w:r>
      <w:r>
        <w:rPr>
          <w:rStyle w:val="deletedparamark"/>
        </w:rPr>
        <w:t xml:space="preserve"> </w:t>
      </w:r>
      <w:r>
        <w:t>Loglan; only in Lojban have they become grammati</w:t>
      </w:r>
      <w:r>
        <w:softHyphen/>
        <w:t>cally interchange</w:t>
      </w:r>
      <w:r>
        <w:softHyphen/>
        <w:t>able.</w:t>
      </w:r>
      <w:r>
        <w:rPr>
          <w:rStyle w:val="deletedparamark"/>
        </w:rPr>
        <w:t xml:space="preserve"> </w:t>
      </w:r>
      <w:r>
        <w:t>And even now, differences in semantics continue to be main</w:t>
      </w:r>
      <w:r>
        <w:softHyphen/>
        <w:t>tained.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"modals, importance of 1st sumti place for sumti tcita use"&gt;</w:t>
      </w:r>
      <w:r>
        <w:rPr>
          <w:rStyle w:val="indexentry"/>
        </w:rPr>
        <w:fldChar w:fldCharType="begin"/>
      </w:r>
      <w:r>
        <w:instrText>xe "</w:instrText>
      </w:r>
      <w:r>
        <w:rPr>
          <w:rStyle w:val="xeentry"/>
        </w:rPr>
        <w:instrText>modals: importance of 1st sumti place for sumti tcita use</w:instrText>
      </w:r>
      <w:r>
        <w:instrText>"</w:instrText>
      </w:r>
      <w:r>
        <w:rPr>
          <w:rStyle w:val="indexentry"/>
        </w:rPr>
        <w:fldChar w:fldCharType="end"/>
      </w:r>
      <w:r>
        <w:t>The core distinction is that whereas the modal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name=e23d1&gt;</w:t>
      </w:r>
      <w:r>
        <w:t>23.1)</w:t>
      </w:r>
      <w:r>
        <w:tab/>
        <w:t>mi nelci do mu'i le nu do nelci mi</w:t>
      </w:r>
    </w:p>
    <w:p w:rsidR="00B72047" w:rsidRDefault="00B72047">
      <w:pPr>
        <w:pStyle w:val="examplescaled"/>
      </w:pPr>
      <w:r>
        <w:tab/>
        <w:t>I like you with-motivation the event-of you like me.</w:t>
      </w:r>
    </w:p>
    <w:p w:rsidR="00B72047" w:rsidRDefault="00B72047">
      <w:pPr>
        <w:pStyle w:val="examplescaled"/>
      </w:pPr>
      <w:r>
        <w:tab/>
        <w:t>I like you because you like me.</w:t>
      </w:r>
    </w:p>
    <w:p w:rsidR="00B72047" w:rsidRDefault="00B72047">
      <w:pPr>
        <w:pStyle w:val="resumedafterexample"/>
      </w:pPr>
      <w:r>
        <w:rPr>
          <w:rStyle w:val="htmlcodes"/>
        </w:rPr>
        <w:t>&lt;/pre&gt;</w:t>
      </w:r>
      <w:r>
        <w:t>places the “le nu” sumti in the x1 place of the gismu “mukti” (which underlies</w:t>
      </w:r>
      <w:r>
        <w:rPr>
          <w:rStyle w:val="deletedparamark"/>
        </w:rPr>
        <w:t xml:space="preserve"> </w:t>
      </w:r>
      <w:r>
        <w:t>the mo</w:t>
      </w:r>
      <w:r>
        <w:softHyphen/>
        <w:t>dal “mu'i”), namely the motivating event, the tensed bridi</w:t>
      </w:r>
    </w:p>
    <w:p w:rsidR="00B72047" w:rsidRDefault="00B72047">
      <w:pPr>
        <w:rPr>
          <w:rStyle w:val="htmlparacode"/>
        </w:rPr>
      </w:pPr>
      <w:r>
        <w:rPr>
          <w:rStyle w:val="htmlparacode"/>
        </w:rPr>
        <w:t>&lt;p&gt;</w:t>
      </w:r>
    </w:p>
    <w:p w:rsidR="00B72047" w:rsidRDefault="00B72047">
      <w:pPr>
        <w:pStyle w:val="examplescaledpre"/>
      </w:pPr>
      <w:r>
        <w:rPr>
          <w:rStyle w:val="indexentry"/>
        </w:rPr>
        <w:t>&lt;cx "tenses, importance of 2nd sumti place for sumti tcita use"&gt;</w:t>
      </w:r>
      <w:r>
        <w:rPr>
          <w:rStyle w:val="indexentry"/>
        </w:rPr>
        <w:fldChar w:fldCharType="begin"/>
      </w:r>
      <w:r>
        <w:instrText>xe "</w:instrText>
      </w:r>
      <w:r>
        <w:rPr>
          <w:rStyle w:val="xeentry"/>
        </w:rPr>
        <w:instrText>tense: importance of 2nd sumti place for sumti tcita use</w:instrText>
      </w:r>
      <w:r>
        <w:instrText>"</w:instrText>
      </w:r>
      <w:r>
        <w:rPr>
          <w:rStyle w:val="indexentry"/>
        </w:rPr>
        <w:fldChar w:fldCharType="end"/>
      </w:r>
      <w:r>
        <w:rPr>
          <w:rStyle w:val="htmlcodes"/>
        </w:rPr>
        <w:t>&lt;pre&gt;&lt;a name=e23d2&gt;</w:t>
      </w:r>
      <w:r>
        <w:t>23.2)</w:t>
      </w:r>
      <w:r>
        <w:tab/>
        <w:t>mi nelci do ba le nu do nelci mi</w:t>
      </w:r>
    </w:p>
    <w:p w:rsidR="00B72047" w:rsidRDefault="00B72047">
      <w:pPr>
        <w:pStyle w:val="examplescaled"/>
      </w:pPr>
      <w:r>
        <w:tab/>
        <w:t>I like you after the event-of you like me.</w:t>
      </w:r>
    </w:p>
    <w:p w:rsidR="00B72047" w:rsidRDefault="00B72047">
      <w:pPr>
        <w:pStyle w:val="examplescaled"/>
      </w:pPr>
      <w:r>
        <w:tab/>
        <w:t>I like you after you like me.</w:t>
      </w:r>
    </w:p>
    <w:p w:rsidR="00B72047" w:rsidRDefault="00B72047">
      <w:pPr>
        <w:pStyle w:val="resumedafterexample"/>
      </w:pPr>
      <w:r>
        <w:rPr>
          <w:rStyle w:val="htmlcodes"/>
        </w:rPr>
        <w:t>&lt;/pre&gt;</w:t>
      </w:r>
      <w:r>
        <w:t>places the “le nu” sumti in the x2 place of the gismu “balvi” (which</w:t>
      </w:r>
      <w:r>
        <w:rPr>
          <w:rStyle w:val="deletedparamark"/>
        </w:rPr>
        <w:t xml:space="preserve"> </w:t>
      </w:r>
      <w:r>
        <w:t>underlies the tense “ba”), namely the point of reference for the future</w:t>
      </w:r>
      <w:r>
        <w:rPr>
          <w:rStyle w:val="deletedparamark"/>
        </w:rPr>
        <w:t xml:space="preserve"> </w:t>
      </w:r>
      <w:r>
        <w:t xml:space="preserve">tense. Paraphrases of </w:t>
      </w:r>
      <w:r>
        <w:rPr>
          <w:rStyle w:val="htmlcodes"/>
        </w:rPr>
        <w:t>&lt;a href=#e23d1&gt;</w:t>
      </w:r>
      <w:r>
        <w:t xml:space="preserve">Example 23.1 </w:t>
      </w:r>
      <w:r>
        <w:rPr>
          <w:rStyle w:val="htmlcodes"/>
        </w:rPr>
        <w:t>&lt;/a&gt;</w:t>
      </w:r>
      <w:r>
        <w:t xml:space="preserve">and </w:t>
      </w:r>
      <w:r>
        <w:rPr>
          <w:rStyle w:val="htmlcodes"/>
        </w:rPr>
        <w:t>&lt;a href=#e23d2&gt;</w:t>
      </w:r>
      <w:r>
        <w:t>Example 23.2</w:t>
      </w:r>
      <w:r>
        <w:rPr>
          <w:rStyle w:val="htmlcodes"/>
        </w:rPr>
        <w:t>&lt;/a&gt;</w:t>
      </w:r>
      <w:r>
        <w:t>, employing the brivla</w:t>
      </w:r>
      <w:r>
        <w:rPr>
          <w:rStyle w:val="deletedparamark"/>
        </w:rPr>
        <w:t xml:space="preserve"> “</w:t>
      </w:r>
      <w:r>
        <w:t>mukti” and “balvi” explicitly,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name=e23d3&gt;</w:t>
      </w:r>
      <w:r>
        <w:t>23.3)</w:t>
      </w:r>
      <w:r>
        <w:tab/>
        <w:t>le nu do nelci mi cu mukti le nu mi nelci do</w:t>
      </w:r>
    </w:p>
    <w:p w:rsidR="00B72047" w:rsidRDefault="00B72047">
      <w:pPr>
        <w:pStyle w:val="examplescaled"/>
      </w:pPr>
      <w:r>
        <w:tab/>
        <w:t>The event-of you like me motivates the event-of I like you</w:t>
      </w:r>
    </w:p>
    <w:p w:rsidR="00B72047" w:rsidRDefault="00B72047">
      <w:pPr>
        <w:pStyle w:val="examplescaled"/>
      </w:pPr>
      <w:r>
        <w:tab/>
        <w:t>Your liking me is the motive for my liking you.</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name=e23d4&gt;</w:t>
      </w:r>
      <w:r>
        <w:t>23.4)</w:t>
      </w:r>
      <w:r>
        <w:tab/>
        <w:t>le nu mi nelci do cu balvi le nu do nelci mi</w:t>
      </w:r>
    </w:p>
    <w:p w:rsidR="00B72047" w:rsidRDefault="00B72047">
      <w:pPr>
        <w:pStyle w:val="examplescaled"/>
      </w:pPr>
      <w:r>
        <w:tab/>
        <w:t>The event-of I like you is after the event of you like me.</w:t>
      </w:r>
    </w:p>
    <w:p w:rsidR="00B72047" w:rsidRDefault="00B72047">
      <w:pPr>
        <w:pStyle w:val="examplescaled"/>
      </w:pPr>
      <w:r>
        <w:tab/>
        <w:t>My liking you follows (in time) your liking me.</w:t>
      </w:r>
    </w:p>
    <w:p w:rsidR="00B72047" w:rsidRDefault="00B72047">
      <w:pPr>
        <w:pStyle w:val="resumedafterexample"/>
      </w:pPr>
      <w:r>
        <w:rPr>
          <w:rStyle w:val="htmlcodes"/>
        </w:rPr>
        <w:t>&lt;/pre&gt;</w:t>
      </w:r>
      <w:r>
        <w:t>(Note that the paraphrase is not perfect due to the difference in what</w:t>
      </w:r>
      <w:r>
        <w:rPr>
          <w:rStyle w:val="deletedparamark"/>
        </w:rPr>
        <w:t xml:space="preserve"> </w:t>
      </w:r>
      <w:r>
        <w:t xml:space="preserve">is claimed; </w:t>
      </w:r>
      <w:r>
        <w:rPr>
          <w:rStyle w:val="htmlcodes"/>
        </w:rPr>
        <w:t>&lt;a href=#e23d3&gt;</w:t>
      </w:r>
      <w:r>
        <w:t>Exam</w:t>
      </w:r>
      <w:r>
        <w:softHyphen/>
        <w:t xml:space="preserve">ple 23.3 </w:t>
      </w:r>
      <w:r>
        <w:rPr>
          <w:rStyle w:val="htmlcodes"/>
        </w:rPr>
        <w:t>&lt;/a&gt;</w:t>
      </w:r>
      <w:r>
        <w:t xml:space="preserve">and </w:t>
      </w:r>
      <w:r>
        <w:rPr>
          <w:rStyle w:val="htmlcodes"/>
        </w:rPr>
        <w:t>&lt;a href=#e23d4&gt;</w:t>
      </w:r>
      <w:r>
        <w:t xml:space="preserve">Example 23.4 </w:t>
      </w:r>
      <w:r>
        <w:rPr>
          <w:rStyle w:val="htmlcodes"/>
        </w:rPr>
        <w:t>&lt;/a&gt;</w:t>
      </w:r>
      <w:r>
        <w:t>claim only the causal and</w:t>
      </w:r>
      <w:r>
        <w:rPr>
          <w:rStyle w:val="deletedparamark"/>
        </w:rPr>
        <w:t xml:space="preserve"> </w:t>
      </w:r>
      <w:r>
        <w:t>temporal relationships between the events, not the existence of the</w:t>
      </w:r>
      <w:r>
        <w:rPr>
          <w:rStyle w:val="deletedparamark"/>
        </w:rPr>
        <w:t xml:space="preserve"> </w:t>
      </w:r>
      <w:r>
        <w:t>events themselves.)</w:t>
      </w:r>
    </w:p>
    <w:p w:rsidR="00B72047" w:rsidRDefault="00B72047">
      <w:pPr>
        <w:rPr>
          <w:rStyle w:val="htmlparacode"/>
        </w:rPr>
      </w:pPr>
      <w:r>
        <w:rPr>
          <w:rStyle w:val="htmlparacode"/>
        </w:rPr>
        <w:t>&lt;p&gt;</w:t>
      </w:r>
    </w:p>
    <w:p w:rsidR="00B72047" w:rsidRDefault="00B72047">
      <w:pPr>
        <w:pStyle w:val="normalparagraph"/>
      </w:pPr>
      <w:r>
        <w:rPr>
          <w:rStyle w:val="indexentry"/>
        </w:rPr>
        <w:t>&lt;cx "afterthought sentence connection, modal contrasted with tense"&gt;</w:t>
      </w:r>
      <w:r>
        <w:rPr>
          <w:rStyle w:val="indexentry"/>
        </w:rPr>
        <w:fldChar w:fldCharType="begin"/>
      </w:r>
      <w:r>
        <w:instrText>xe "</w:instrText>
      </w:r>
      <w:r>
        <w:rPr>
          <w:rStyle w:val="xeentry"/>
        </w:rPr>
        <w:instrText>afterthought sentence connection: modal contrasted with tense</w:instrText>
      </w:r>
      <w:r>
        <w:instrText>"</w:instrText>
      </w:r>
      <w:r>
        <w:rPr>
          <w:rStyle w:val="indexentry"/>
        </w:rPr>
        <w:fldChar w:fldCharType="end"/>
      </w:r>
      <w:r>
        <w:t xml:space="preserve">As a result, the afterthought sentence-connective forms of </w:t>
      </w:r>
      <w:r>
        <w:rPr>
          <w:rStyle w:val="htmlcodes"/>
        </w:rPr>
        <w:t>&lt;a href=#e23d1&gt;</w:t>
      </w:r>
      <w:r>
        <w:t xml:space="preserve">Example 23.1 </w:t>
      </w:r>
      <w:r>
        <w:rPr>
          <w:rStyle w:val="htmlcodes"/>
        </w:rPr>
        <w:t>&lt;/a&gt;</w:t>
      </w:r>
      <w:r>
        <w:t xml:space="preserve">and </w:t>
      </w:r>
      <w:r>
        <w:rPr>
          <w:rStyle w:val="htmlcodes"/>
        </w:rPr>
        <w:t>&lt;a href=#e23d2&gt;</w:t>
      </w:r>
      <w:r>
        <w:t>Exa</w:t>
      </w:r>
      <w:r>
        <w:t>m</w:t>
      </w:r>
      <w:r>
        <w:softHyphen/>
        <w:t xml:space="preserve">ple 23.2 </w:t>
      </w:r>
      <w:r>
        <w:rPr>
          <w:rStyle w:val="htmlcodes"/>
        </w:rPr>
        <w:t>&lt;/a&gt;</w:t>
      </w:r>
      <w:r>
        <w:t>are, 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name=e23d5&gt;</w:t>
      </w:r>
      <w:r>
        <w:t>23.5)</w:t>
      </w:r>
      <w:r>
        <w:tab/>
        <w:t>mi nelci do .imu'ibo do nelci mi</w:t>
      </w:r>
    </w:p>
    <w:p w:rsidR="00B72047" w:rsidRDefault="00B72047">
      <w:pPr>
        <w:pStyle w:val="examplescaled"/>
      </w:pPr>
      <w:r>
        <w:tab/>
        <w:t>I like you. [That is] Because you like me.</w:t>
      </w:r>
    </w:p>
    <w:p w:rsidR="00B72047" w:rsidRDefault="00B72047">
      <w:pPr>
        <w:pStyle w:val="examplescaledpre"/>
      </w:pPr>
      <w:r>
        <w:rPr>
          <w:rStyle w:val="htmlcodes"/>
        </w:rPr>
        <w:t>&lt;a name=e23d6&gt;</w:t>
      </w:r>
      <w:r>
        <w:t>23.6)</w:t>
      </w:r>
      <w:r>
        <w:tab/>
        <w:t>do nelci mi .ibabo mi nelci do</w:t>
      </w:r>
    </w:p>
    <w:p w:rsidR="00B72047" w:rsidRDefault="00B72047">
      <w:pPr>
        <w:pStyle w:val="examplescaled"/>
      </w:pPr>
      <w:r>
        <w:tab/>
        <w:t>You like me. Afterward, I like you.</w:t>
      </w:r>
    </w:p>
    <w:p w:rsidR="00B72047" w:rsidRDefault="00B72047">
      <w:pPr>
        <w:pStyle w:val="normalafterexample"/>
      </w:pPr>
      <w:r>
        <w:rPr>
          <w:rStyle w:val="htmlcodes"/>
        </w:rPr>
        <w:t>&lt;/pre&gt;&lt;p&gt;</w:t>
      </w:r>
      <w:r>
        <w:t xml:space="preserve">In </w:t>
      </w:r>
      <w:r>
        <w:rPr>
          <w:rStyle w:val="htmlcodes"/>
        </w:rPr>
        <w:t>&lt;a href=#e23d5&gt;</w:t>
      </w:r>
      <w:r>
        <w:t>Example 23.5</w:t>
      </w:r>
      <w:r>
        <w:rPr>
          <w:rStyle w:val="htmlcodes"/>
        </w:rPr>
        <w:t>&lt;/a&gt;</w:t>
      </w:r>
      <w:r>
        <w:t>, the order of the two bridi “mi nelci do” and “do nelci mi”</w:t>
      </w:r>
      <w:r>
        <w:rPr>
          <w:rStyle w:val="deletedparamark"/>
        </w:rPr>
        <w:t xml:space="preserve"> </w:t>
      </w:r>
      <w:r>
        <w:t xml:space="preserve">is the same as in </w:t>
      </w:r>
      <w:r>
        <w:rPr>
          <w:rStyle w:val="htmlcodes"/>
        </w:rPr>
        <w:t>&lt;a href=#e23d1&gt;</w:t>
      </w:r>
      <w:r>
        <w:t>Example 23.1</w:t>
      </w:r>
      <w:r>
        <w:rPr>
          <w:rStyle w:val="htmlcodes"/>
        </w:rPr>
        <w:t>&lt;/a&gt;</w:t>
      </w:r>
      <w:r>
        <w:t xml:space="preserve">. In </w:t>
      </w:r>
      <w:r>
        <w:rPr>
          <w:rStyle w:val="htmlcodes"/>
        </w:rPr>
        <w:t>&lt;a href=#e23d6&gt;</w:t>
      </w:r>
      <w:r>
        <w:t>Example 23.6</w:t>
      </w:r>
      <w:r>
        <w:rPr>
          <w:rStyle w:val="htmlcodes"/>
        </w:rPr>
        <w:t>&lt;/a&gt;</w:t>
      </w:r>
      <w:r>
        <w:t>, how</w:t>
      </w:r>
      <w:r>
        <w:softHyphen/>
        <w:t>ever, the order is</w:t>
      </w:r>
      <w:r>
        <w:rPr>
          <w:rStyle w:val="deletedparamark"/>
        </w:rPr>
        <w:t xml:space="preserve"> </w:t>
      </w:r>
      <w:r>
        <w:t>reversed: the ori</w:t>
      </w:r>
      <w:r>
        <w:softHyphen/>
        <w:t>gin point “do nelci mi” physically appears before the</w:t>
      </w:r>
      <w:r>
        <w:rPr>
          <w:rStyle w:val="deletedparamark"/>
        </w:rPr>
        <w:t xml:space="preserve"> </w:t>
      </w:r>
      <w:r>
        <w:t>future-time event “mi nelci do”. In both cases, the bridi characterizing</w:t>
      </w:r>
      <w:r>
        <w:rPr>
          <w:rStyle w:val="deletedparamark"/>
        </w:rPr>
        <w:t xml:space="preserve"> </w:t>
      </w:r>
      <w:r>
        <w:t>the event in the x2 place appears before the bridi chara</w:t>
      </w:r>
      <w:r>
        <w:t>c</w:t>
      </w:r>
      <w:r>
        <w:softHyphen/>
        <w:t>terizing the event</w:t>
      </w:r>
      <w:r>
        <w:rPr>
          <w:rStyle w:val="deletedparamark"/>
        </w:rPr>
        <w:t xml:space="preserve"> </w:t>
      </w:r>
      <w:r>
        <w:t>in the x1 place of “mukti” or “balvi”.</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connections, modal compared with tense in semantics"&gt;</w:t>
      </w:r>
      <w:r>
        <w:rPr>
          <w:rStyle w:val="indexentry"/>
        </w:rPr>
        <w:fldChar w:fldCharType="begin"/>
      </w:r>
      <w:r>
        <w:instrText>xe "</w:instrText>
      </w:r>
      <w:r>
        <w:rPr>
          <w:rStyle w:val="xeentry"/>
        </w:rPr>
        <w:instrText>forethought connections: modal compared with tense in semantics</w:instrText>
      </w:r>
      <w:r>
        <w:instrText>"</w:instrText>
      </w:r>
      <w:r>
        <w:rPr>
          <w:rStyle w:val="indexentry"/>
        </w:rPr>
        <w:fldChar w:fldCharType="end"/>
      </w:r>
      <w:r>
        <w:rPr>
          <w:rStyle w:val="indexentry"/>
        </w:rPr>
        <w:t>&lt;cx "forethought tense connection, contrasted with afterthought in likeness to modal connection"&gt;</w:t>
      </w:r>
      <w:r>
        <w:rPr>
          <w:rStyle w:val="indexentry"/>
        </w:rPr>
        <w:fldChar w:fldCharType="begin"/>
      </w:r>
      <w:r>
        <w:instrText>xe "</w:instrText>
      </w:r>
      <w:r>
        <w:rPr>
          <w:rStyle w:val="xeentry"/>
        </w:rPr>
        <w:instrText>forethought tense connection: contrasted with afterthought in likeness to modal connection</w:instrText>
      </w:r>
      <w:r>
        <w:instrText>"</w:instrText>
      </w:r>
      <w:r>
        <w:rPr>
          <w:rStyle w:val="indexentry"/>
        </w:rPr>
        <w:fldChar w:fldCharType="end"/>
      </w:r>
      <w:r>
        <w:rPr>
          <w:rStyle w:val="indexentry"/>
        </w:rPr>
        <w:t>&lt;cx "afterthought tense connection, contrasted with forethought in likeness to modal connection"&gt;</w:t>
      </w:r>
      <w:r>
        <w:rPr>
          <w:rStyle w:val="indexentry"/>
        </w:rPr>
        <w:fldChar w:fldCharType="begin"/>
      </w:r>
      <w:r>
        <w:instrText>xe "</w:instrText>
      </w:r>
      <w:r>
        <w:rPr>
          <w:rStyle w:val="xeentry"/>
        </w:rPr>
        <w:instrText>afterthought tense connection: contrasted with forethought in likeness to modal connection</w:instrText>
      </w:r>
      <w:r>
        <w:instrText>"</w:instrText>
      </w:r>
      <w:r>
        <w:rPr>
          <w:rStyle w:val="indexentry"/>
        </w:rPr>
        <w:fldChar w:fldCharType="end"/>
      </w:r>
      <w:r>
        <w:t>In forethought connections, however, the asymmetry be</w:t>
      </w:r>
      <w:r>
        <w:softHyphen/>
        <w:t>tween modals and</w:t>
      </w:r>
      <w:r>
        <w:rPr>
          <w:rStyle w:val="deletedparamark"/>
        </w:rPr>
        <w:t xml:space="preserve"> </w:t>
      </w:r>
      <w:r>
        <w:t xml:space="preserve">tenses is not found. The forethought equivalents of </w:t>
      </w:r>
      <w:r>
        <w:rPr>
          <w:rStyle w:val="htmlcodes"/>
        </w:rPr>
        <w:t>&lt;a href=#e23d5&gt;</w:t>
      </w:r>
      <w:r>
        <w:t xml:space="preserve">Example 23.5 </w:t>
      </w:r>
      <w:r>
        <w:rPr>
          <w:rStyle w:val="htmlcodes"/>
        </w:rPr>
        <w:t>&lt;/a&gt;</w:t>
      </w:r>
      <w:r>
        <w:t>and</w:t>
      </w:r>
      <w:r>
        <w:rPr>
          <w:rStyle w:val="deletedparamark"/>
        </w:rPr>
        <w:t xml:space="preserve"> </w:t>
      </w:r>
      <w:r>
        <w:rPr>
          <w:rStyle w:val="htmlcodes"/>
        </w:rPr>
        <w:t>&lt;a href=#e23d6&gt;</w:t>
      </w:r>
      <w:r>
        <w:t xml:space="preserve">Example 23.6 </w:t>
      </w:r>
      <w:r>
        <w:rPr>
          <w:rStyle w:val="htmlcodes"/>
        </w:rPr>
        <w:t>&lt;/a&gt;</w:t>
      </w:r>
      <w:r>
        <w:t>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name=e23d7&gt;</w:t>
      </w:r>
      <w:r>
        <w:t>23.7)</w:t>
      </w:r>
      <w:r>
        <w:tab/>
        <w:t>mu'igi do nelci mi gi mi nelci do</w:t>
      </w:r>
    </w:p>
    <w:p w:rsidR="00B72047" w:rsidRDefault="00B72047">
      <w:pPr>
        <w:pStyle w:val="examplescaled"/>
      </w:pPr>
      <w:r>
        <w:tab/>
        <w:t>Because you like me, I like you.</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name=e23d8&gt;</w:t>
      </w:r>
      <w:r>
        <w:t>23.8)</w:t>
      </w:r>
      <w:r>
        <w:tab/>
        <w:t>bagi do nelci mi gi mi nelci do</w:t>
      </w:r>
    </w:p>
    <w:p w:rsidR="00B72047" w:rsidRDefault="00B72047">
      <w:pPr>
        <w:pStyle w:val="examplescaled"/>
      </w:pPr>
      <w:r>
        <w:tab/>
        <w:t>After you like me, I like you.</w:t>
      </w:r>
    </w:p>
    <w:p w:rsidR="00B72047" w:rsidRDefault="00B72047">
      <w:pPr>
        <w:pStyle w:val="resumedafterexample"/>
      </w:pPr>
      <w:r>
        <w:rPr>
          <w:rStyle w:val="htmlcodes"/>
        </w:rPr>
        <w:t>&lt;/pre&gt;</w:t>
      </w:r>
      <w:r>
        <w:t>respectively.</w:t>
      </w:r>
    </w:p>
    <w:p w:rsidR="00B72047" w:rsidRDefault="00B72047">
      <w:pPr>
        <w:rPr>
          <w:rStyle w:val="htmlparacode"/>
        </w:rPr>
      </w:pPr>
      <w:r>
        <w:rPr>
          <w:rStyle w:val="htmlparacode"/>
        </w:rPr>
        <w:t>&lt;p&gt;</w:t>
      </w:r>
    </w:p>
    <w:p w:rsidR="00B72047" w:rsidRDefault="00B72047">
      <w:pPr>
        <w:pStyle w:val="normalparagraph"/>
      </w:pPr>
      <w:r>
        <w:rPr>
          <w:rStyle w:val="indexentry"/>
        </w:rPr>
        <w:t>&lt;cx "modal sentence connection, table of equivalent schemata"&gt;</w:t>
      </w:r>
      <w:r>
        <w:rPr>
          <w:rStyle w:val="indexentry"/>
        </w:rPr>
        <w:fldChar w:fldCharType="begin"/>
      </w:r>
      <w:r>
        <w:instrText>xe "</w:instrText>
      </w:r>
      <w:r>
        <w:rPr>
          <w:rStyle w:val="xeentry"/>
        </w:rPr>
        <w:instrText>modal sentence connection: table of equivalent schemata</w:instrText>
      </w:r>
      <w:r>
        <w:instrText>"</w:instrText>
      </w:r>
      <w:r>
        <w:rPr>
          <w:rStyle w:val="indexentry"/>
        </w:rPr>
        <w:fldChar w:fldCharType="end"/>
      </w:r>
      <w:r>
        <w:t>The following modal sentence schemata (where X and Y rep</w:t>
      </w:r>
      <w:r>
        <w:softHyphen/>
        <w:t>resent sentences)</w:t>
      </w:r>
      <w:r>
        <w:rPr>
          <w:rStyle w:val="deletedparamark"/>
        </w:rPr>
        <w:t xml:space="preserve"> </w:t>
      </w:r>
      <w:r>
        <w:t>all have the same meaning:</w:t>
      </w:r>
    </w:p>
    <w:p w:rsidR="00B72047" w:rsidRDefault="00B72047" w:rsidP="007E67C1">
      <w:pPr>
        <w:pStyle w:val="placestructure"/>
        <w:numPr>
          <w:ilvl w:val="0"/>
          <w:numId w:val="0"/>
        </w:numPr>
        <w:ind w:left="504" w:hanging="504"/>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  .i BAI bo Y</w:t>
      </w:r>
    </w:p>
    <w:p w:rsidR="00B72047" w:rsidRDefault="00B72047" w:rsidP="007E67C1">
      <w:pPr>
        <w:pStyle w:val="placestructcont"/>
        <w:numPr>
          <w:ilvl w:val="0"/>
          <w:numId w:val="0"/>
        </w:numPr>
        <w:ind w:left="504" w:hanging="504"/>
      </w:pPr>
      <w:r>
        <w:t>BAI gi Y gi X</w:t>
      </w:r>
    </w:p>
    <w:p w:rsidR="00B72047" w:rsidRDefault="00B72047" w:rsidP="007E67C1">
      <w:pPr>
        <w:pStyle w:val="placestructcont"/>
        <w:numPr>
          <w:ilvl w:val="0"/>
          <w:numId w:val="0"/>
        </w:numPr>
        <w:ind w:left="504" w:hanging="504"/>
      </w:pPr>
      <w:r>
        <w:t>X BAI le nu Y</w:t>
      </w:r>
    </w:p>
    <w:p w:rsidR="00B72047" w:rsidRDefault="00B72047">
      <w:pPr>
        <w:pStyle w:val="resumedafterexample"/>
      </w:pPr>
      <w:r>
        <w:rPr>
          <w:rStyle w:val="htmlcodes"/>
        </w:rPr>
        <w:t>&lt;/dl&gt;</w:t>
      </w:r>
      <w:r>
        <w:rPr>
          <w:rStyle w:val="indexentry"/>
        </w:rPr>
        <w:t>&lt;cx "tense sentence connection, table of equivalent schemata"&gt;</w:t>
      </w:r>
      <w:r>
        <w:rPr>
          <w:rStyle w:val="indexentry"/>
        </w:rPr>
        <w:fldChar w:fldCharType="begin"/>
      </w:r>
      <w:r>
        <w:instrText>xe "</w:instrText>
      </w:r>
      <w:r>
        <w:rPr>
          <w:rStyle w:val="xeentry"/>
        </w:rPr>
        <w:instrText>tense sentence connection: table of equivalent schemata</w:instrText>
      </w:r>
      <w:r>
        <w:instrText>"</w:instrText>
      </w:r>
      <w:r>
        <w:rPr>
          <w:rStyle w:val="indexentry"/>
        </w:rPr>
        <w:fldChar w:fldCharType="end"/>
      </w:r>
      <w:r>
        <w:t>whereas the following tensed sentence schemata also have the same meaning:</w:t>
      </w:r>
    </w:p>
    <w:p w:rsidR="00B72047" w:rsidRDefault="00B72047" w:rsidP="007E67C1">
      <w:pPr>
        <w:pStyle w:val="placestructure"/>
        <w:numPr>
          <w:ilvl w:val="0"/>
          <w:numId w:val="0"/>
        </w:numPr>
        <w:ind w:left="504" w:hanging="504"/>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  .i TENSE bo Y</w:t>
      </w:r>
    </w:p>
    <w:p w:rsidR="00B72047" w:rsidRDefault="00B72047" w:rsidP="007E67C1">
      <w:pPr>
        <w:pStyle w:val="placestructcont"/>
        <w:numPr>
          <w:ilvl w:val="0"/>
          <w:numId w:val="0"/>
        </w:numPr>
        <w:ind w:left="504" w:hanging="504"/>
      </w:pPr>
      <w:r>
        <w:t>TENSE gi X gi Y</w:t>
      </w:r>
    </w:p>
    <w:p w:rsidR="00B72047" w:rsidRDefault="00B72047" w:rsidP="007E67C1">
      <w:pPr>
        <w:pStyle w:val="placestructcont"/>
        <w:numPr>
          <w:ilvl w:val="0"/>
          <w:numId w:val="0"/>
        </w:numPr>
        <w:ind w:left="504" w:hanging="504"/>
      </w:pPr>
      <w:r>
        <w:t>Y TENSE le nu X</w:t>
      </w:r>
    </w:p>
    <w:p w:rsidR="00B72047" w:rsidRDefault="00B72047">
      <w:pPr>
        <w:pStyle w:val="resumedafterexample"/>
      </w:pPr>
      <w:r>
        <w:rPr>
          <w:rStyle w:val="htmlcodes"/>
        </w:rPr>
        <w:t>&lt;/dl&gt;</w:t>
      </w:r>
      <w:r>
        <w:t>neglecting the question of what is claimed. In the modal sentence</w:t>
      </w:r>
      <w:r>
        <w:rPr>
          <w:rStyle w:val="deletedparamark"/>
        </w:rPr>
        <w:t xml:space="preserve"> </w:t>
      </w:r>
      <w:r>
        <w:t>schemata, the modal tag is always followed by Y, the sentence rep</w:t>
      </w:r>
      <w:r>
        <w:softHyphen/>
        <w:t>resenting</w:t>
      </w:r>
      <w:r>
        <w:rPr>
          <w:rStyle w:val="deletedparamark"/>
        </w:rPr>
        <w:t xml:space="preserve"> </w:t>
      </w:r>
      <w:r>
        <w:t>the event in the x1 place of the gismu that underlies the BAI. In the</w:t>
      </w:r>
      <w:r>
        <w:rPr>
          <w:rStyle w:val="deletedparamark"/>
        </w:rPr>
        <w:t xml:space="preserve"> </w:t>
      </w:r>
      <w:r>
        <w:t>tensed sentences, no such simple rule exists.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name=s24&gt;&lt;h3&gt;</w:t>
      </w:r>
      <w:bookmarkStart w:id="353" w:name="_Toc398970598"/>
      <w:r>
        <w:rPr>
          <w:rStyle w:val="Heading3Text"/>
        </w:rPr>
        <w:t>Tense questions: “cu'e”</w:t>
      </w:r>
      <w:bookmarkEnd w:id="35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cu'e</w:t>
      </w:r>
      <w:r>
        <w:tab/>
        <w:t>CUhE</w:t>
      </w:r>
      <w:r>
        <w:tab/>
        <w:t>tense question</w:t>
      </w:r>
    </w:p>
    <w:p w:rsidR="00B72047" w:rsidRDefault="00B72047">
      <w:pPr>
        <w:pStyle w:val="normalafterexample"/>
      </w:pPr>
      <w:r>
        <w:rPr>
          <w:rStyle w:val="htmlcodes"/>
        </w:rPr>
        <w:t>&lt;/pre&gt;</w:t>
      </w:r>
      <w:r>
        <w:rPr>
          <w:rStyle w:val="indexentry"/>
        </w:rPr>
        <w:t>&lt;lx "ma"&gt;</w:t>
      </w:r>
      <w:r>
        <w:rPr>
          <w:rStyle w:val="indexentry"/>
        </w:rPr>
        <w:fldChar w:fldCharType="begin"/>
      </w:r>
      <w:r>
        <w:instrText>xe "</w:instrText>
      </w:r>
      <w:r>
        <w:rPr>
          <w:rStyle w:val="xeentry"/>
        </w:rPr>
        <w:instrText>ma</w:instrText>
      </w:r>
      <w:r>
        <w:instrText>"</w:instrText>
      </w:r>
      <w:r>
        <w:rPr>
          <w:rStyle w:val="indexentry"/>
        </w:rPr>
        <w:fldChar w:fldCharType="end"/>
      </w:r>
      <w:r>
        <w:rPr>
          <w:rStyle w:val="indexentry"/>
        </w:rPr>
        <w:t>&lt;cx "tense questions, methods of asking"&gt;</w:t>
      </w:r>
      <w:r>
        <w:rPr>
          <w:rStyle w:val="indexentry"/>
        </w:rPr>
        <w:fldChar w:fldCharType="begin"/>
      </w:r>
      <w:r>
        <w:instrText>xe "</w:instrText>
      </w:r>
      <w:r>
        <w:rPr>
          <w:rStyle w:val="xeentry"/>
        </w:rPr>
        <w:instrText>tense questions: methods of asking</w:instrText>
      </w:r>
      <w:r>
        <w:instrText>"</w:instrText>
      </w:r>
      <w:r>
        <w:rPr>
          <w:rStyle w:val="indexentry"/>
        </w:rPr>
        <w:fldChar w:fldCharType="end"/>
      </w:r>
      <w:r>
        <w:rPr>
          <w:rStyle w:val="indexentry"/>
        </w:rPr>
        <w:t>&lt;cx "tense questions with ma"&gt;</w:t>
      </w:r>
      <w:r>
        <w:rPr>
          <w:rStyle w:val="indexentry"/>
        </w:rPr>
        <w:fldChar w:fldCharType="begin"/>
      </w:r>
      <w:r>
        <w:instrText>xe "</w:instrText>
      </w:r>
      <w:r>
        <w:rPr>
          <w:rStyle w:val="xeentry"/>
        </w:rPr>
        <w:instrText>tense questions with ma</w:instrText>
      </w:r>
      <w:r>
        <w:instrText>"</w:instrText>
      </w:r>
      <w:r>
        <w:rPr>
          <w:rStyle w:val="indexentry"/>
        </w:rPr>
        <w:fldChar w:fldCharType="end"/>
      </w:r>
      <w:r>
        <w:rPr>
          <w:rStyle w:val="indexentry"/>
        </w:rPr>
        <w:t>&lt;cx "ma, for tense questions"&gt;</w:t>
      </w:r>
      <w:r>
        <w:rPr>
          <w:rStyle w:val="indexentry"/>
        </w:rPr>
        <w:fldChar w:fldCharType="begin"/>
      </w:r>
      <w:r>
        <w:instrText>xe "</w:instrText>
      </w:r>
      <w:r>
        <w:rPr>
          <w:rStyle w:val="xeentry"/>
        </w:rPr>
        <w:instrText>ma: for tense questions</w:instrText>
      </w:r>
      <w:r>
        <w:instrText>"</w:instrText>
      </w:r>
      <w:r>
        <w:rPr>
          <w:rStyle w:val="indexentry"/>
        </w:rPr>
        <w:fldChar w:fldCharType="end"/>
      </w:r>
      <w:r>
        <w:t>There are two main ways to ask questions about tense. The main English</w:t>
      </w:r>
      <w:r>
        <w:rPr>
          <w:rStyle w:val="deletedparamark"/>
        </w:rPr>
        <w:t xml:space="preserve"> </w:t>
      </w:r>
      <w:r>
        <w:t>tense que</w:t>
      </w:r>
      <w:r>
        <w:t>s</w:t>
      </w:r>
      <w:r>
        <w:softHyphen/>
        <w:t>tion words are “When?” and “Where?”. These may be paraphrased</w:t>
      </w:r>
      <w:r>
        <w:rPr>
          <w:rStyle w:val="deletedparamark"/>
        </w:rPr>
        <w:t xml:space="preserve"> </w:t>
      </w:r>
      <w:r>
        <w:t>respectively as “At what time?” and “At what place?” In these forms,</w:t>
      </w:r>
      <w:r>
        <w:rPr>
          <w:rStyle w:val="deletedparamark"/>
        </w:rPr>
        <w:t xml:space="preserve"> </w:t>
      </w:r>
      <w:r>
        <w:t>their Lojban equivalents simply i</w:t>
      </w:r>
      <w:r>
        <w:t>n</w:t>
      </w:r>
      <w:r>
        <w:softHyphen/>
        <w:t>volve a tense plus “ma”, the Lojban</w:t>
      </w:r>
      <w:r>
        <w:rPr>
          <w:rStyle w:val="deletedparamark"/>
        </w:rPr>
        <w:t xml:space="preserve"> </w:t>
      </w:r>
      <w:r>
        <w:t>sumti question:</w:t>
      </w:r>
    </w:p>
    <w:p w:rsidR="00B72047" w:rsidRDefault="00B72047">
      <w:pPr>
        <w:rPr>
          <w:rStyle w:val="htmlparacode"/>
        </w:rPr>
      </w:pPr>
      <w:r>
        <w:rPr>
          <w:rStyle w:val="htmlparacode"/>
        </w:rPr>
        <w:t>&lt;p&gt;</w:t>
      </w:r>
    </w:p>
    <w:p w:rsidR="00B72047" w:rsidRDefault="00B72047">
      <w:pPr>
        <w:pStyle w:val="examplescaledpre"/>
      </w:pPr>
      <w:r>
        <w:rPr>
          <w:rStyle w:val="indexentry"/>
        </w:rPr>
        <w:t>&lt;ex "when"&gt;</w:t>
      </w:r>
      <w:r>
        <w:rPr>
          <w:rStyle w:val="indexentry"/>
        </w:rPr>
        <w:fldChar w:fldCharType="begin"/>
      </w:r>
      <w:r>
        <w:instrText>xe "</w:instrText>
      </w:r>
      <w:r>
        <w:rPr>
          <w:rStyle w:val="xeentry"/>
        </w:rPr>
        <w:instrText>when: example</w:instrText>
      </w:r>
      <w:r>
        <w:instrText>"</w:instrText>
      </w:r>
      <w:r>
        <w:rPr>
          <w:rStyle w:val="indexentry"/>
        </w:rPr>
        <w:fldChar w:fldCharType="end"/>
      </w:r>
      <w:r>
        <w:rPr>
          <w:rStyle w:val="htmlcodes"/>
        </w:rPr>
        <w:t>&lt;pre&gt;&lt;a name=e24d1&gt;</w:t>
      </w:r>
      <w:r>
        <w:t>24.1)</w:t>
      </w:r>
      <w:r>
        <w:tab/>
        <w:t>do klama le zdani ca ma</w:t>
      </w:r>
    </w:p>
    <w:p w:rsidR="00B72047" w:rsidRDefault="00B72047">
      <w:pPr>
        <w:pStyle w:val="examplescaled"/>
      </w:pPr>
      <w:r>
        <w:tab/>
        <w:t>You go-to the house [present] [what sumti?].</w:t>
      </w:r>
    </w:p>
    <w:p w:rsidR="00B72047" w:rsidRDefault="00B72047">
      <w:pPr>
        <w:pStyle w:val="examplescaled"/>
      </w:pPr>
      <w:r>
        <w:tab/>
        <w:t>You go to the house at what time?</w:t>
      </w:r>
    </w:p>
    <w:p w:rsidR="00B72047" w:rsidRDefault="00B72047">
      <w:pPr>
        <w:pStyle w:val="examplescaled"/>
      </w:pPr>
      <w:r>
        <w:tab/>
        <w:t>When do you go to the house?</w:t>
      </w:r>
    </w:p>
    <w:p w:rsidR="00B72047" w:rsidRDefault="00B72047">
      <w:pPr>
        <w:pStyle w:val="examplescaledpre"/>
      </w:pPr>
      <w:r>
        <w:rPr>
          <w:rStyle w:val="htmlcodes"/>
        </w:rPr>
        <w:t>&lt;/pre&gt;</w:t>
      </w:r>
      <w:r>
        <w:rPr>
          <w:rStyle w:val="indexentry"/>
        </w:rPr>
        <w:t>&lt;ex "where"&gt;</w:t>
      </w:r>
      <w:r>
        <w:rPr>
          <w:rStyle w:val="indexentry"/>
        </w:rPr>
        <w:fldChar w:fldCharType="begin"/>
      </w:r>
      <w:r>
        <w:instrText>xe "</w:instrText>
      </w:r>
      <w:r>
        <w:rPr>
          <w:rStyle w:val="xeentry"/>
        </w:rPr>
        <w:instrText>where: example</w:instrText>
      </w:r>
      <w:r>
        <w:instrText>"</w:instrText>
      </w:r>
      <w:r>
        <w:rPr>
          <w:rStyle w:val="indexentry"/>
        </w:rPr>
        <w:fldChar w:fldCharType="end"/>
      </w:r>
      <w:r>
        <w:rPr>
          <w:rStyle w:val="htmlcodes"/>
        </w:rPr>
        <w:t>&lt;pre&gt;&lt;a name=e24d2&gt;</w:t>
      </w:r>
      <w:r>
        <w:t>24.2)</w:t>
      </w:r>
      <w:r>
        <w:tab/>
        <w:t>le verba vi ma pu cadzu le bisli</w:t>
      </w:r>
    </w:p>
    <w:p w:rsidR="00B72047" w:rsidRDefault="00B72047">
      <w:pPr>
        <w:pStyle w:val="examplescaled"/>
      </w:pPr>
      <w:r>
        <w:tab/>
        <w:t>The child [short space] [what sumti?] [past] walks-on the ice.</w:t>
      </w:r>
    </w:p>
    <w:p w:rsidR="00B72047" w:rsidRDefault="00B72047">
      <w:pPr>
        <w:pStyle w:val="examplescaled"/>
      </w:pPr>
      <w:r>
        <w:tab/>
        <w:t>The child at/near what place walked on the ice?</w:t>
      </w:r>
    </w:p>
    <w:p w:rsidR="00B72047" w:rsidRDefault="00B72047">
      <w:pPr>
        <w:pStyle w:val="examplescaled"/>
      </w:pPr>
      <w:r>
        <w:tab/>
        <w:t>Where did the child walk on the ice?</w:t>
      </w:r>
    </w:p>
    <w:p w:rsidR="00B72047" w:rsidRDefault="00B72047">
      <w:pPr>
        <w:pStyle w:val="normalafterexample"/>
      </w:pPr>
      <w:r>
        <w:rPr>
          <w:rStyle w:val="htmlcodes"/>
        </w:rPr>
        <w:t>&lt;/pre&gt;</w:t>
      </w:r>
      <w:r>
        <w:rPr>
          <w:rStyle w:val="indexentry"/>
        </w:rPr>
        <w:t>&lt;cx "tense-or-modal questions, with cu'e"&gt;</w:t>
      </w:r>
      <w:r>
        <w:rPr>
          <w:rStyle w:val="indexentry"/>
        </w:rPr>
        <w:fldChar w:fldCharType="begin"/>
      </w:r>
      <w:r>
        <w:instrText>xe "</w:instrText>
      </w:r>
      <w:r>
        <w:rPr>
          <w:rStyle w:val="xeentry"/>
        </w:rPr>
        <w:instrText>tense-or-modal questions: with cu'e</w:instrText>
      </w:r>
      <w:r>
        <w:instrText>"</w:instrText>
      </w:r>
      <w:r>
        <w:rPr>
          <w:rStyle w:val="indexentry"/>
        </w:rPr>
        <w:fldChar w:fldCharType="end"/>
      </w:r>
      <w:r>
        <w:rPr>
          <w:rStyle w:val="indexentry"/>
        </w:rPr>
        <w:t>&lt;cx "modal-or-tense question, with cu'e"&gt;</w:t>
      </w:r>
      <w:r>
        <w:rPr>
          <w:rStyle w:val="indexentry"/>
        </w:rPr>
        <w:fldChar w:fldCharType="begin"/>
      </w:r>
      <w:r>
        <w:instrText>xe "</w:instrText>
      </w:r>
      <w:r>
        <w:rPr>
          <w:rStyle w:val="xeentry"/>
        </w:rPr>
        <w:instrText>modal-or-tense question: with cu'e</w:instrText>
      </w:r>
      <w:r>
        <w:instrText>"</w:instrText>
      </w:r>
      <w:r>
        <w:rPr>
          <w:rStyle w:val="indexentry"/>
        </w:rPr>
        <w:fldChar w:fldCharType="end"/>
      </w:r>
      <w:r>
        <w:t>There is also a non-specific tense and modal question, “cu'e”, belonging to</w:t>
      </w:r>
      <w:r>
        <w:rPr>
          <w:rStyle w:val="deletedparamark"/>
        </w:rPr>
        <w:t xml:space="preserve"> </w:t>
      </w:r>
      <w:r>
        <w:t>selma'o CUhE. This can be used wherever a tense or modal construct can be</w:t>
      </w:r>
      <w:r>
        <w:rPr>
          <w:rStyle w:val="deletedparamark"/>
        </w:rPr>
        <w:t xml:space="preserve"> </w:t>
      </w:r>
      <w:r>
        <w:t>used.</w:t>
      </w:r>
    </w:p>
    <w:p w:rsidR="00B72047" w:rsidRDefault="00B72047">
      <w:pPr>
        <w:rPr>
          <w:rStyle w:val="htmlparacode"/>
        </w:rPr>
      </w:pPr>
      <w:r>
        <w:rPr>
          <w:rStyle w:val="htmlparacode"/>
        </w:rPr>
        <w:t>&lt;p&gt;</w:t>
      </w:r>
    </w:p>
    <w:p w:rsidR="00B72047" w:rsidRDefault="00B72047">
      <w:pPr>
        <w:pStyle w:val="examplescaledpre"/>
      </w:pPr>
      <w:r>
        <w:rPr>
          <w:rStyle w:val="indexentry"/>
        </w:rPr>
        <w:t>&lt;ex "when/where/how"&gt;</w:t>
      </w:r>
      <w:r>
        <w:rPr>
          <w:rStyle w:val="indexentry"/>
        </w:rPr>
        <w:fldChar w:fldCharType="begin"/>
      </w:r>
      <w:r>
        <w:instrText>xe "</w:instrText>
      </w:r>
      <w:r>
        <w:rPr>
          <w:rStyle w:val="xeentry"/>
        </w:rPr>
        <w:instrText>when/where/how: example</w:instrText>
      </w:r>
      <w:r>
        <w:instrText>"</w:instrText>
      </w:r>
      <w:r>
        <w:rPr>
          <w:rStyle w:val="indexentry"/>
        </w:rPr>
        <w:fldChar w:fldCharType="end"/>
      </w:r>
      <w:r>
        <w:rPr>
          <w:rStyle w:val="htmlcodes"/>
        </w:rPr>
        <w:t>&lt;pre&gt;&lt;a name=e24d3&gt;</w:t>
      </w:r>
      <w:r>
        <w:t>24.3)</w:t>
      </w:r>
      <w:r>
        <w:tab/>
        <w:t>le nanmu cu'e batci le gerku</w:t>
      </w:r>
    </w:p>
    <w:p w:rsidR="00B72047" w:rsidRDefault="00B72047">
      <w:pPr>
        <w:pStyle w:val="examplescaled"/>
      </w:pPr>
      <w:r>
        <w:tab/>
        <w:t>The man [what tense?] bites the dog.</w:t>
      </w:r>
    </w:p>
    <w:p w:rsidR="00B72047" w:rsidRDefault="00B72047">
      <w:pPr>
        <w:pStyle w:val="examplescaled"/>
      </w:pPr>
      <w:r>
        <w:tab/>
        <w:t>When/Where/How does the man bite the dog?</w:t>
      </w:r>
    </w:p>
    <w:p w:rsidR="00B72047" w:rsidRDefault="00B72047">
      <w:pPr>
        <w:pStyle w:val="resumedafterexample"/>
      </w:pPr>
      <w:r>
        <w:rPr>
          <w:rStyle w:val="htmlcodes"/>
        </w:rPr>
        <w:t>&lt;/pre&gt;</w:t>
      </w:r>
      <w:r>
        <w:rPr>
          <w:rStyle w:val="indexentry"/>
        </w:rPr>
        <w:t>&lt;cx "answers, to tense-or-modal questions"&gt;</w:t>
      </w:r>
      <w:r>
        <w:rPr>
          <w:rStyle w:val="indexentry"/>
        </w:rPr>
        <w:fldChar w:fldCharType="begin"/>
      </w:r>
      <w:r>
        <w:instrText>xe "</w:instrText>
      </w:r>
      <w:r>
        <w:rPr>
          <w:rStyle w:val="xeentry"/>
        </w:rPr>
        <w:instrText>answers: to tense-or-modal questions</w:instrText>
      </w:r>
      <w:r>
        <w:instrText>"</w:instrText>
      </w:r>
      <w:r>
        <w:rPr>
          <w:rStyle w:val="indexentry"/>
        </w:rPr>
        <w:fldChar w:fldCharType="end"/>
      </w:r>
      <w:r>
        <w:t xml:space="preserve">Possible answers to </w:t>
      </w:r>
      <w:r>
        <w:rPr>
          <w:rStyle w:val="htmlcodes"/>
        </w:rPr>
        <w:t>&lt;a href=#e24d3&gt;</w:t>
      </w:r>
      <w:r>
        <w:t xml:space="preserve">Example 24.3 </w:t>
      </w:r>
      <w:r>
        <w:rPr>
          <w:rStyle w:val="htmlcodes"/>
        </w:rPr>
        <w:t>&lt;/a&gt;</w:t>
      </w:r>
      <w:r>
        <w:t>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name=e24d4&gt;</w:t>
      </w:r>
      <w:r>
        <w:t>24.4)</w:t>
      </w:r>
      <w:r>
        <w:tab/>
        <w:t>va</w:t>
      </w:r>
    </w:p>
    <w:p w:rsidR="00B72047" w:rsidRDefault="00B72047">
      <w:pPr>
        <w:pStyle w:val="examplescaled"/>
      </w:pPr>
      <w:r>
        <w:tab/>
        <w:t>[medium space].</w:t>
      </w:r>
    </w:p>
    <w:p w:rsidR="00B72047" w:rsidRDefault="00B72047">
      <w:pPr>
        <w:pStyle w:val="examplescaled"/>
      </w:pPr>
      <w:r>
        <w:tab/>
        <w:t>Some ways from here.</w:t>
      </w:r>
    </w:p>
    <w:p w:rsidR="00B72047" w:rsidRDefault="00B72047">
      <w:pPr>
        <w:pStyle w:val="examplescaledpre"/>
      </w:pPr>
      <w:r>
        <w:rPr>
          <w:rStyle w:val="htmlcodes"/>
        </w:rPr>
        <w:t>&lt;a name=e24d5&gt;</w:t>
      </w:r>
      <w:r>
        <w:t>24.5)</w:t>
      </w:r>
      <w:r>
        <w:tab/>
        <w:t>puzu</w:t>
      </w:r>
    </w:p>
    <w:p w:rsidR="00B72047" w:rsidRDefault="00B72047">
      <w:pPr>
        <w:pStyle w:val="examplescaled"/>
      </w:pPr>
      <w:r>
        <w:tab/>
        <w:t>[past] [long time].</w:t>
      </w:r>
    </w:p>
    <w:p w:rsidR="00B72047" w:rsidRDefault="00B72047">
      <w:pPr>
        <w:pStyle w:val="examplescaled"/>
      </w:pPr>
      <w:r>
        <w:tab/>
        <w:t>A long time ago.</w:t>
      </w:r>
    </w:p>
    <w:p w:rsidR="00B72047" w:rsidRDefault="00B72047">
      <w:pPr>
        <w:pStyle w:val="examplescaledpre"/>
      </w:pPr>
      <w:r>
        <w:rPr>
          <w:rStyle w:val="htmlcodes"/>
        </w:rPr>
        <w:t>&lt;a name=e24d6&gt;</w:t>
      </w:r>
      <w:r>
        <w:t>24.6)</w:t>
      </w:r>
      <w:r>
        <w:tab/>
        <w:t>vi le lunra</w:t>
      </w:r>
    </w:p>
    <w:p w:rsidR="00B72047" w:rsidRDefault="00B72047">
      <w:pPr>
        <w:pStyle w:val="examplescaled"/>
      </w:pPr>
      <w:r>
        <w:tab/>
        <w:t>[short space] The moon.</w:t>
      </w:r>
    </w:p>
    <w:p w:rsidR="00B72047" w:rsidRDefault="00B72047">
      <w:pPr>
        <w:pStyle w:val="examplescaled"/>
      </w:pPr>
      <w:r>
        <w:tab/>
        <w:t>On the moon.</w:t>
      </w:r>
    </w:p>
    <w:p w:rsidR="00B72047" w:rsidRDefault="00B72047">
      <w:pPr>
        <w:pStyle w:val="examplescaledpre"/>
      </w:pPr>
      <w:r>
        <w:rPr>
          <w:rStyle w:val="htmlcodes"/>
        </w:rPr>
        <w:t>&lt;a name=e24d7&gt;</w:t>
      </w:r>
      <w:r>
        <w:t>24.7)</w:t>
      </w:r>
      <w:r>
        <w:tab/>
        <w:t>pu'o</w:t>
      </w:r>
    </w:p>
    <w:p w:rsidR="00B72047" w:rsidRDefault="00B72047">
      <w:pPr>
        <w:pStyle w:val="examplescaled"/>
      </w:pPr>
      <w:r>
        <w:tab/>
        <w:t>[inchoative]</w:t>
      </w:r>
    </w:p>
    <w:p w:rsidR="00B72047" w:rsidRDefault="00B72047">
      <w:pPr>
        <w:pStyle w:val="examplescaled"/>
      </w:pPr>
      <w:r>
        <w:tab/>
        <w:t>He hasn't yet done so.</w:t>
      </w:r>
    </w:p>
    <w:p w:rsidR="00B72047" w:rsidRDefault="00B72047">
      <w:pPr>
        <w:pStyle w:val="resumedafterexample"/>
      </w:pPr>
      <w:r>
        <w:rPr>
          <w:rStyle w:val="htmlcodes"/>
        </w:rPr>
        <w:t>&lt;/pre&gt;</w:t>
      </w:r>
      <w:r>
        <w:t xml:space="preserve">or even the modal reply (from selma'o BAI; see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name=e24d8&gt;</w:t>
      </w:r>
      <w:r>
        <w:t>24.8)</w:t>
      </w:r>
      <w:r>
        <w:tab/>
        <w:t>seka’a le briju</w:t>
      </w:r>
    </w:p>
    <w:p w:rsidR="00B72047" w:rsidRDefault="00B72047">
      <w:pPr>
        <w:pStyle w:val="examplescaled"/>
      </w:pPr>
      <w:r>
        <w:tab/>
        <w:t>With-destination the office..</w:t>
      </w:r>
    </w:p>
    <w:p w:rsidR="00B72047" w:rsidRDefault="00B72047">
      <w:pPr>
        <w:pStyle w:val="normalafterexample"/>
      </w:pPr>
      <w:r>
        <w:rPr>
          <w:rStyle w:val="htmlcodes"/>
        </w:rPr>
        <w:t>&lt;/pre&gt;</w:t>
      </w:r>
      <w:r>
        <w:rPr>
          <w:rStyle w:val="indexentry"/>
        </w:rPr>
        <w:t>&lt;cx "cu'e, combining with other tense cmavo"&gt;</w:t>
      </w:r>
      <w:r>
        <w:rPr>
          <w:rStyle w:val="indexentry"/>
        </w:rPr>
        <w:fldChar w:fldCharType="begin"/>
      </w:r>
      <w:r>
        <w:instrText>xe "</w:instrText>
      </w:r>
      <w:r>
        <w:rPr>
          <w:rStyle w:val="xeentry"/>
        </w:rPr>
        <w:instrText>cu'e: combining with other tense cmavo</w:instrText>
      </w:r>
      <w:r>
        <w:instrText>"</w:instrText>
      </w:r>
      <w:r>
        <w:rPr>
          <w:rStyle w:val="indexentry"/>
        </w:rPr>
        <w:fldChar w:fldCharType="end"/>
      </w:r>
      <w:r>
        <w:rPr>
          <w:rStyle w:val="indexentry"/>
        </w:rPr>
        <w:t xml:space="preserve">&lt;cx "tense-or-modal questions, </w:t>
      </w:r>
      <w:r>
        <w:rPr>
          <w:rStyle w:val="htmlcodes"/>
        </w:rPr>
        <w:t>pre</w:t>
      </w:r>
      <w:r>
        <w:rPr>
          <w:rStyle w:val="indexentry"/>
        </w:rPr>
        <w:t xml:space="preserve">-specifying some information"&gt;&lt;cx "modal-or-tense questions, </w:t>
      </w:r>
      <w:r>
        <w:rPr>
          <w:rStyle w:val="htmlcodes"/>
        </w:rPr>
        <w:t>pre</w:t>
      </w:r>
      <w:r>
        <w:rPr>
          <w:rStyle w:val="indexentry"/>
        </w:rPr>
        <w:t>-specifying some information"&gt;</w:t>
      </w:r>
      <w:r>
        <w:t>The only way to combine “cu'e” with other tense cmavo is through logical</w:t>
      </w:r>
      <w:r>
        <w:rPr>
          <w:rStyle w:val="deletedparamark"/>
        </w:rPr>
        <w:t xml:space="preserve"> </w:t>
      </w:r>
      <w:r>
        <w:t>conne</w:t>
      </w:r>
      <w:r>
        <w:t>c</w:t>
      </w:r>
      <w:r>
        <w:softHyphen/>
        <w:t xml:space="preserve">tion, which makes a question that </w:t>
      </w:r>
      <w:r>
        <w:rPr>
          <w:rStyle w:val="htmlcodes"/>
        </w:rPr>
        <w:t>pre</w:t>
      </w:r>
      <w:r>
        <w:t>-specifies some information:</w:t>
      </w:r>
    </w:p>
    <w:p w:rsidR="00B72047" w:rsidRDefault="00B72047">
      <w:pPr>
        <w:rPr>
          <w:rStyle w:val="htmlparacode"/>
        </w:rPr>
      </w:pPr>
      <w:r>
        <w:rPr>
          <w:rStyle w:val="htmlparacode"/>
        </w:rPr>
        <w:t>&lt;p&gt;</w:t>
      </w:r>
    </w:p>
    <w:p w:rsidR="00B72047" w:rsidRDefault="00B72047">
      <w:pPr>
        <w:pStyle w:val="examplescaledpre"/>
      </w:pPr>
      <w:r>
        <w:rPr>
          <w:rStyle w:val="indexentry"/>
        </w:rPr>
        <w:t>&lt;ex "sowed grain"&gt;</w:t>
      </w:r>
      <w:r>
        <w:rPr>
          <w:rStyle w:val="indexentry"/>
        </w:rPr>
        <w:fldChar w:fldCharType="begin"/>
      </w:r>
      <w:r>
        <w:instrText>xe "</w:instrText>
      </w:r>
      <w:r>
        <w:rPr>
          <w:rStyle w:val="xeentry"/>
        </w:rPr>
        <w:instrText>sowed grain: example</w:instrText>
      </w:r>
      <w:r>
        <w:instrText>"</w:instrText>
      </w:r>
      <w:r>
        <w:rPr>
          <w:rStyle w:val="indexentry"/>
        </w:rPr>
        <w:fldChar w:fldCharType="end"/>
      </w:r>
      <w:r>
        <w:rPr>
          <w:rStyle w:val="indexentry"/>
        </w:rPr>
        <w:t>&lt;ex "when else"&gt;</w:t>
      </w:r>
      <w:r>
        <w:rPr>
          <w:rStyle w:val="indexentry"/>
        </w:rPr>
        <w:fldChar w:fldCharType="begin"/>
      </w:r>
      <w:r>
        <w:instrText>xe "</w:instrText>
      </w:r>
      <w:r>
        <w:rPr>
          <w:rStyle w:val="xeentry"/>
        </w:rPr>
        <w:instrText>when else: example</w:instrText>
      </w:r>
      <w:r>
        <w:instrText>"</w:instrText>
      </w:r>
      <w:r>
        <w:rPr>
          <w:rStyle w:val="indexentry"/>
        </w:rPr>
        <w:fldChar w:fldCharType="end"/>
      </w:r>
      <w:r>
        <w:rPr>
          <w:rStyle w:val="htmlcodes"/>
        </w:rPr>
        <w:t>&lt;pre&gt;&lt;a name=e24d9&gt;</w:t>
      </w:r>
      <w:r>
        <w:t>24.9)</w:t>
      </w:r>
      <w:r>
        <w:tab/>
        <w:t>do puzi je cu'e sombo le gurni</w:t>
      </w:r>
    </w:p>
    <w:p w:rsidR="00B72047" w:rsidRDefault="00B72047">
      <w:pPr>
        <w:pStyle w:val="examplescaled"/>
      </w:pPr>
      <w:r>
        <w:tab/>
        <w:t>You [past] [short] and [when?] sow the grain?</w:t>
      </w:r>
    </w:p>
    <w:p w:rsidR="00B72047" w:rsidRDefault="00B72047">
      <w:pPr>
        <w:pStyle w:val="examplescaled"/>
      </w:pPr>
      <w:r>
        <w:tab/>
        <w:t>You sowed the grain a little while ago; when else do you sow it?</w:t>
      </w:r>
    </w:p>
    <w:p w:rsidR="00B72047" w:rsidRDefault="00B72047">
      <w:pPr>
        <w:pStyle w:val="normalafterexample"/>
      </w:pPr>
      <w:r>
        <w:rPr>
          <w:rStyle w:val="htmlcodes"/>
        </w:rPr>
        <w:t>&lt;/pre&gt;&lt;p&gt;</w:t>
      </w:r>
      <w:r>
        <w:t>Additionally, the logical connective itself can be replaced by a question</w:t>
      </w:r>
      <w:r>
        <w:rPr>
          <w:rStyle w:val="deletedparamark"/>
        </w:rPr>
        <w:t xml:space="preserve"> </w:t>
      </w:r>
      <w:r>
        <w:t>word:</w:t>
      </w:r>
    </w:p>
    <w:p w:rsidR="00B72047" w:rsidRDefault="00B72047">
      <w:pPr>
        <w:rPr>
          <w:rStyle w:val="htmlparacode"/>
        </w:rPr>
      </w:pPr>
      <w:r>
        <w:rPr>
          <w:rStyle w:val="htmlparacode"/>
        </w:rPr>
        <w:t>&lt;p&gt;</w:t>
      </w:r>
    </w:p>
    <w:p w:rsidR="00B72047" w:rsidRDefault="00B72047">
      <w:pPr>
        <w:pStyle w:val="examplescaledpre"/>
      </w:pPr>
      <w:r>
        <w:rPr>
          <w:rStyle w:val="indexentry"/>
        </w:rPr>
        <w:t>&lt;cx "tense questions, by using logical connective question"&gt;</w:t>
      </w:r>
      <w:r>
        <w:rPr>
          <w:rStyle w:val="indexentry"/>
        </w:rPr>
        <w:fldChar w:fldCharType="begin"/>
      </w:r>
      <w:r>
        <w:instrText>xe "</w:instrText>
      </w:r>
      <w:r>
        <w:rPr>
          <w:rStyle w:val="xeentry"/>
        </w:rPr>
        <w:instrText>tense questions: by using logical connective question</w:instrText>
      </w:r>
      <w:r>
        <w:instrText>"</w:instrText>
      </w:r>
      <w:r>
        <w:rPr>
          <w:rStyle w:val="indexentry"/>
        </w:rPr>
        <w:fldChar w:fldCharType="end"/>
      </w:r>
      <w:r>
        <w:rPr>
          <w:rStyle w:val="htmlcodes"/>
        </w:rPr>
        <w:t>&lt;pre&gt;&lt;a name=e24d10&gt;</w:t>
      </w:r>
      <w:r>
        <w:t>24.10)</w:t>
      </w:r>
      <w:r>
        <w:tab/>
        <w:t>la .artr. pu je'i ba nolraitru</w:t>
      </w:r>
    </w:p>
    <w:p w:rsidR="00B72047" w:rsidRDefault="00B72047">
      <w:pPr>
        <w:pStyle w:val="examplescaled"/>
      </w:pPr>
      <w:r>
        <w:tab/>
        <w:t>Arthur [past] [which?] [future] is-a-king</w:t>
      </w:r>
    </w:p>
    <w:p w:rsidR="00B72047" w:rsidRDefault="00B72047">
      <w:pPr>
        <w:pStyle w:val="examplescaled"/>
      </w:pPr>
      <w:r>
        <w:tab/>
        <w:t>Was Arthur a king or will he be?</w:t>
      </w:r>
    </w:p>
    <w:p w:rsidR="00B72047" w:rsidRDefault="00B72047">
      <w:pPr>
        <w:pStyle w:val="resumedafterexample"/>
      </w:pPr>
      <w:r>
        <w:rPr>
          <w:rStyle w:val="htmlcodes"/>
        </w:rPr>
        <w:t>&lt;/pre&gt;&lt;p&gt;</w:t>
      </w:r>
      <w:r>
        <w:t xml:space="preserve">Answers to </w:t>
      </w:r>
      <w:r>
        <w:rPr>
          <w:rStyle w:val="htmlcodes"/>
        </w:rPr>
        <w:t>&lt;a href=#e24d10&gt;</w:t>
      </w:r>
      <w:r>
        <w:t xml:space="preserve">Example 24.10 </w:t>
      </w:r>
      <w:r>
        <w:rPr>
          <w:rStyle w:val="htmlcodes"/>
        </w:rPr>
        <w:t>&lt;/a&gt;</w:t>
      </w:r>
      <w:r>
        <w:t>would be logical connectives such as “je”, meaning</w:t>
      </w:r>
      <w:r>
        <w:rPr>
          <w:rStyle w:val="deletedparamark"/>
        </w:rPr>
        <w:t xml:space="preserve"> “</w:t>
      </w:r>
      <w:r>
        <w:t>both”, “naje” meaning “the latter”, or “jenai” meaning “the former”.</w:t>
      </w:r>
    </w:p>
    <w:p w:rsidR="00B72047" w:rsidRDefault="00B72047">
      <w:pPr>
        <w:rPr>
          <w:rStyle w:val="htmlparacode"/>
        </w:rPr>
      </w:pPr>
      <w:r>
        <w:rPr>
          <w:rStyle w:val="htmlparacode"/>
        </w:rPr>
        <w:t>&lt;p&gt;</w:t>
      </w:r>
    </w:p>
    <w:p w:rsidR="00B72047" w:rsidRDefault="00B72047">
      <w:pPr>
        <w:pStyle w:val="Heading3"/>
        <w:rPr>
          <w:rStyle w:val="Heading3Text"/>
        </w:rPr>
      </w:pPr>
      <w:bookmarkStart w:id="354" w:name="_Toc398970599"/>
      <w:r>
        <w:rPr>
          <w:rStyle w:val="Heading3Text"/>
        </w:rPr>
        <w:t>Explicit magnitudes</w:t>
      </w:r>
      <w:bookmarkEnd w:id="354"/>
      <w:r>
        <w:rPr>
          <w:rStyle w:val="htmlcodes"/>
        </w:rPr>
        <w:t>&lt;/h3&gt;</w:t>
      </w:r>
    </w:p>
    <w:p w:rsidR="00B72047" w:rsidRDefault="00B72047">
      <w:pPr>
        <w:rPr>
          <w:rStyle w:val="htmlparacode"/>
        </w:rPr>
      </w:pPr>
      <w:r>
        <w:rPr>
          <w:rStyle w:val="htmlparacode"/>
        </w:rPr>
        <w:t>&lt;p&gt;</w:t>
      </w:r>
      <w:r>
        <w:rPr>
          <w:rStyle w:val="indexentry"/>
        </w:rPr>
        <w:t>&lt;cx "explicit magnitude"&gt;</w:t>
      </w:r>
      <w:r>
        <w:rPr>
          <w:rStyle w:val="indexentry"/>
        </w:rPr>
        <w:fldChar w:fldCharType="begin"/>
      </w:r>
      <w:r>
        <w:instrText>xe "</w:instrText>
      </w:r>
      <w:r>
        <w:rPr>
          <w:rStyle w:val="xeentry"/>
        </w:rPr>
        <w:instrText>explicit magnitude</w:instrText>
      </w:r>
      <w:r>
        <w:instrText>"</w:instrText>
      </w:r>
      <w:r>
        <w:rPr>
          <w:rStyle w:val="indexentry"/>
        </w:rPr>
        <w:fldChar w:fldCharType="end"/>
      </w:r>
      <w:r>
        <w:rPr>
          <w:rStyle w:val="indexentry"/>
        </w:rPr>
        <w:t>&lt;cx "tense magnitude"&gt;</w:t>
      </w:r>
      <w:r>
        <w:rPr>
          <w:rStyle w:val="indexentry"/>
        </w:rPr>
        <w:fldChar w:fldCharType="begin"/>
      </w:r>
      <w:r>
        <w:instrText>xe "</w:instrText>
      </w:r>
      <w:r>
        <w:rPr>
          <w:rStyle w:val="xeentry"/>
        </w:rPr>
        <w:instrText>tense magnitude</w:instrText>
      </w:r>
      <w:r>
        <w:instrText>"</w:instrText>
      </w:r>
      <w:r>
        <w:rPr>
          <w:rStyle w:val="indexentry"/>
        </w:rPr>
        <w:fldChar w:fldCharType="end"/>
      </w:r>
      <w:r>
        <w:rPr>
          <w:rStyle w:val="indexentry"/>
        </w:rPr>
        <w:t>&lt;cx "magnitude, tense"&gt;</w:t>
      </w:r>
      <w:r>
        <w:rPr>
          <w:rStyle w:val="indexentry"/>
        </w:rPr>
        <w:fldChar w:fldCharType="begin"/>
      </w:r>
      <w:r>
        <w:instrText>xe "</w:instrText>
      </w:r>
      <w:r>
        <w:rPr>
          <w:rStyle w:val="xeentry"/>
        </w:rPr>
        <w:instrText>magnitude: tense</w:instrText>
      </w:r>
      <w:r>
        <w:instrText>"</w:instrText>
      </w:r>
      <w:r>
        <w:rPr>
          <w:rStyle w:val="indexentry"/>
        </w:rPr>
        <w:fldChar w:fldCharType="end"/>
      </w:r>
      <w:r>
        <w:rPr>
          <w:rStyle w:val="htmlcodes"/>
        </w:rPr>
        <w:t>&lt;a name=s25&gt;&lt;h3&gt;</w:t>
      </w:r>
    </w:p>
    <w:p w:rsidR="00B72047" w:rsidRDefault="00B72047">
      <w:pPr>
        <w:pStyle w:val="normalparagraph"/>
      </w:pPr>
      <w:r>
        <w:t>It is a limitation of the VA and ZI system of specifying mag</w:t>
      </w:r>
      <w:r>
        <w:softHyphen/>
        <w:t>nitudes</w:t>
      </w:r>
      <w:r>
        <w:rPr>
          <w:rStyle w:val="deletedparamark"/>
        </w:rPr>
        <w:t xml:space="preserve"> </w:t>
      </w:r>
      <w:r>
        <w:t>that they can only prescribe vague magnitudes: small, me</w:t>
      </w:r>
      <w:r>
        <w:softHyphen/>
        <w:t>dium, or large.</w:t>
      </w:r>
      <w:r>
        <w:rPr>
          <w:rStyle w:val="deletedparamark"/>
        </w:rPr>
        <w:t xml:space="preserve"> </w:t>
      </w:r>
      <w:r>
        <w:t>In order to express both an origin point and an exact distance, the Lojban</w:t>
      </w:r>
      <w:r>
        <w:rPr>
          <w:rStyle w:val="deletedparamark"/>
        </w:rPr>
        <w:t xml:space="preserve"> </w:t>
      </w:r>
      <w:r>
        <w:t>construction called a “termset” is em</w:t>
      </w:r>
      <w:r>
        <w:softHyphen/>
        <w:t>ployed. (Termsets are explained</w:t>
      </w:r>
      <w:r>
        <w:rPr>
          <w:rStyle w:val="deletedparamark"/>
        </w:rPr>
        <w:t xml:space="preserve"> </w:t>
      </w:r>
      <w:r>
        <w:t xml:space="preserve">further in </w:t>
      </w:r>
      <w:r>
        <w:rPr>
          <w:rStyle w:val="htmlcodes"/>
        </w:rPr>
        <w:t>&lt;a href=chap14.html&gt;</w:t>
      </w:r>
      <w:r>
        <w:t xml:space="preserve">Chapter 14 </w:t>
      </w:r>
      <w:r>
        <w:rPr>
          <w:rStyle w:val="htmlcodes"/>
        </w:rPr>
        <w:t>&lt;/a&gt;</w:t>
      </w:r>
      <w:r>
        <w:t xml:space="preserve">and </w:t>
      </w:r>
      <w:r>
        <w:rPr>
          <w:rStyle w:val="htmlcodes"/>
        </w:rPr>
        <w:t>&lt;a href=chap16.html&gt;</w:t>
      </w:r>
      <w:r>
        <w:t>Chapter 16</w:t>
      </w:r>
      <w:r>
        <w:rPr>
          <w:rStyle w:val="htmlcodes"/>
        </w:rPr>
        <w:t>&lt;/a&gt;</w:t>
      </w:r>
      <w:r>
        <w:t>.) It is grammati</w:t>
      </w:r>
      <w:r>
        <w:softHyphen/>
        <w:t>cal for a termset to</w:t>
      </w:r>
      <w:r>
        <w:rPr>
          <w:rStyle w:val="deletedparamark"/>
        </w:rPr>
        <w:t xml:space="preserve"> </w:t>
      </w:r>
      <w:r>
        <w:t>be placed after a tense or modal tag rather than a sumti, which al</w:t>
      </w:r>
      <w:r>
        <w:softHyphen/>
        <w:t>lows both</w:t>
      </w:r>
      <w:r>
        <w:rPr>
          <w:rStyle w:val="deletedparamark"/>
        </w:rPr>
        <w:t xml:space="preserve"> </w:t>
      </w:r>
      <w:r>
        <w:t>the origin of the imaginary journey and its distance to be specified.</w:t>
      </w:r>
      <w:r>
        <w:rPr>
          <w:rStyle w:val="deletedparamark"/>
        </w:rPr>
        <w:t xml:space="preserve"> </w:t>
      </w:r>
      <w:r>
        <w:t>Here is an example: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name=e25d1&gt;</w:t>
      </w:r>
      <w:r>
        <w:t>25.1)</w:t>
      </w:r>
      <w:r>
        <w:tab/>
        <w:t>la frank. sanli zu'a nu'i la djordj.</w:t>
      </w:r>
    </w:p>
    <w:p w:rsidR="00B72047" w:rsidRDefault="00B72047">
      <w:pPr>
        <w:pStyle w:val="examplescaled"/>
      </w:pPr>
      <w:r>
        <w:tab/>
      </w:r>
      <w:r>
        <w:tab/>
        <w:t>lu'a lo mitre be li mu [nu'u]</w:t>
      </w:r>
    </w:p>
    <w:p w:rsidR="00B72047" w:rsidRDefault="00B72047">
      <w:pPr>
        <w:pStyle w:val="examplescaled"/>
      </w:pPr>
      <w:r>
        <w:tab/>
        <w:t>Frank stands [left] [start termset] George</w:t>
      </w:r>
    </w:p>
    <w:p w:rsidR="00B72047" w:rsidRDefault="00B72047">
      <w:pPr>
        <w:pStyle w:val="examplescaled"/>
      </w:pPr>
      <w:r>
        <w:tab/>
      </w:r>
      <w:r>
        <w:tab/>
        <w:t>[quantity] a thing-measuring-in-meters the-number 5 [end termset].</w:t>
      </w:r>
    </w:p>
    <w:p w:rsidR="00B72047" w:rsidRDefault="00B72047">
      <w:pPr>
        <w:pStyle w:val="examplescaled"/>
      </w:pPr>
      <w:r>
        <w:tab/>
        <w:t>Frank is standing five meters to the left of George.</w:t>
      </w:r>
    </w:p>
    <w:p w:rsidR="00B72047" w:rsidRDefault="00B72047">
      <w:pPr>
        <w:pStyle w:val="resumedafterexample"/>
      </w:pPr>
      <w:r>
        <w:rPr>
          <w:rStyle w:val="htmlcodes"/>
        </w:rPr>
        <w:t>&lt;/pre&gt;&lt;p&gt;</w:t>
      </w:r>
      <w:r>
        <w:t>Here the termset extends from the “nu'i” to the implicit “nu'u”</w:t>
      </w:r>
      <w:r>
        <w:rPr>
          <w:rStyle w:val="deletedparamark"/>
        </w:rPr>
        <w:t xml:space="preserve"> </w:t>
      </w:r>
      <w:r>
        <w:t>at the end of the sen</w:t>
      </w:r>
      <w:r>
        <w:softHyphen/>
        <w:t>tence, and includes the terms “la djordj.”, which</w:t>
      </w:r>
      <w:r>
        <w:rPr>
          <w:rStyle w:val="deletedparamark"/>
        </w:rPr>
        <w:t xml:space="preserve"> </w:t>
      </w:r>
      <w:r>
        <w:t>is the unmarked origin point, and the tagged sumti “lo mitre be li mu”,</w:t>
      </w:r>
      <w:r>
        <w:rPr>
          <w:rStyle w:val="deletedparamark"/>
        </w:rPr>
        <w:t xml:space="preserve"> </w:t>
      </w:r>
      <w:r>
        <w:t>which the cmavo “la'u” (of selma'o BAI, and meaning “with quantity”;</w:t>
      </w:r>
      <w:r>
        <w:rPr>
          <w:rStyle w:val="deletedparamark"/>
        </w:rPr>
        <w:t xml:space="preserve"> </w:t>
      </w:r>
      <w:r>
        <w:t xml:space="preserve">see </w:t>
      </w:r>
      <w:r>
        <w:rPr>
          <w:rStyle w:val="htmlcodes"/>
        </w:rPr>
        <w:t>&lt;a href=chap9.html&gt;</w:t>
      </w:r>
      <w:r>
        <w:t>Chapter 9</w:t>
      </w:r>
      <w:r>
        <w:rPr>
          <w:rStyle w:val="htmlcodes"/>
        </w:rPr>
        <w:t>&lt;/a&gt;</w:t>
      </w:r>
      <w:r>
        <w:t>) marks as a quantity. Both terms are governed by the tag</w:t>
      </w:r>
      <w:r>
        <w:rPr>
          <w:rStyle w:val="deletedparamark"/>
        </w:rPr>
        <w:t xml:space="preserve"> “</w:t>
      </w:r>
      <w:r>
        <w:t>zu'a”.</w:t>
      </w:r>
    </w:p>
    <w:p w:rsidR="00B72047" w:rsidRDefault="00B72047">
      <w:pPr>
        <w:rPr>
          <w:rStyle w:val="htmlparacode"/>
        </w:rPr>
      </w:pPr>
      <w:r>
        <w:rPr>
          <w:rStyle w:val="htmlparacode"/>
        </w:rPr>
        <w:t>&lt;p&gt;</w:t>
      </w:r>
    </w:p>
    <w:p w:rsidR="00B72047" w:rsidRDefault="00B72047">
      <w:pPr>
        <w:pStyle w:val="normalparagraph"/>
      </w:pPr>
      <w:r>
        <w:t>It is not necessary to have both an origin point and an explicit magnitude:</w:t>
      </w:r>
      <w:r>
        <w:rPr>
          <w:rStyle w:val="deletedparamark"/>
        </w:rPr>
        <w:t xml:space="preserve"> </w:t>
      </w:r>
      <w:r>
        <w:t>a termset may have only a single term in it. A less precise version of</w:t>
      </w:r>
      <w:r>
        <w:rPr>
          <w:rStyle w:val="deletedparamark"/>
        </w:rPr>
        <w:t xml:space="preserve"> </w:t>
      </w:r>
      <w:r>
        <w:rPr>
          <w:rStyle w:val="htmlcodes"/>
        </w:rPr>
        <w:t>&lt;a href=#e25d1&gt;</w:t>
      </w:r>
      <w:r>
        <w:t xml:space="preserve">Example 25.1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name=e25d2&gt;</w:t>
      </w:r>
      <w:r>
        <w:t>25.2)</w:t>
      </w:r>
      <w:r>
        <w:tab/>
        <w:t>la frank. sanli zu'a nu'i lu'a</w:t>
      </w:r>
    </w:p>
    <w:p w:rsidR="00B72047" w:rsidRDefault="00B72047">
      <w:pPr>
        <w:pStyle w:val="examplescaled"/>
      </w:pPr>
      <w:r>
        <w:tab/>
      </w:r>
      <w:r>
        <w:tab/>
        <w:t>lo mitre be li mu</w:t>
      </w:r>
    </w:p>
    <w:p w:rsidR="00B72047" w:rsidRDefault="00B72047">
      <w:pPr>
        <w:pStyle w:val="examplescaled"/>
      </w:pPr>
      <w:r>
        <w:tab/>
        <w:t xml:space="preserve">Frank stands [left] [termset] [quantity] </w:t>
      </w:r>
    </w:p>
    <w:p w:rsidR="00B72047" w:rsidRDefault="00B72047">
      <w:pPr>
        <w:pStyle w:val="examplescaled"/>
      </w:pPr>
      <w:r>
        <w:tab/>
      </w:r>
      <w:r>
        <w:tab/>
        <w:t xml:space="preserve">a thing-measuring-in-meters the-number </w:t>
      </w:r>
      <w:r>
        <w:rPr>
          <w:rStyle w:val="math"/>
        </w:rPr>
        <w:t>5</w:t>
      </w:r>
      <w:r>
        <w:t>.</w:t>
      </w:r>
    </w:p>
    <w:p w:rsidR="00B72047" w:rsidRDefault="00B72047">
      <w:pPr>
        <w:pStyle w:val="examplescaled"/>
      </w:pPr>
      <w:r>
        <w:tab/>
        <w:t>Frank stands five meters to the left.</w:t>
      </w:r>
    </w:p>
    <w:p w:rsidR="00B72047" w:rsidRDefault="00B72047">
      <w:pPr>
        <w:pStyle w:val="Heading3"/>
        <w:rPr>
          <w:rStyle w:val="Heading3Text"/>
        </w:rPr>
      </w:pPr>
      <w:r>
        <w:rPr>
          <w:rStyle w:val="htmlcodes"/>
        </w:rPr>
        <w:t>&lt;/pre&gt;&lt;a name=s26&gt;&lt;h3&gt;</w:t>
      </w:r>
      <w:bookmarkStart w:id="355" w:name="_Toc398970600"/>
      <w:r>
        <w:rPr>
          <w:rStyle w:val="Heading3Text"/>
        </w:rPr>
        <w:t>Finally (an exercise for the much-tried reader)</w:t>
      </w:r>
      <w:bookmarkEnd w:id="355"/>
      <w:r>
        <w:rPr>
          <w:rStyle w:val="htmlcodes"/>
        </w:rPr>
        <w:t>&lt;/h3&gt;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name=e26d1&gt;</w:t>
      </w:r>
      <w:r>
        <w:t>26.1)</w:t>
      </w:r>
      <w:r>
        <w:tab/>
        <w:t>a'o do pu seju ba roroi ca'o fe'e su'oroi jimpe</w:t>
      </w:r>
    </w:p>
    <w:p w:rsidR="00B72047" w:rsidRDefault="00B72047">
      <w:pPr>
        <w:pStyle w:val="examplescaled"/>
      </w:pPr>
      <w:r>
        <w:tab/>
      </w:r>
      <w:r>
        <w:tab/>
        <w:t>fi le lojbo temci selsku ciste</w:t>
      </w:r>
    </w:p>
    <w:p w:rsidR="00B72047" w:rsidRDefault="00B72047">
      <w:pPr>
        <w:pStyle w:val="Heading3"/>
        <w:spacing w:before="0"/>
        <w:rPr>
          <w:rStyle w:val="Heading3Text"/>
        </w:rPr>
      </w:pPr>
      <w:r>
        <w:rPr>
          <w:rStyle w:val="htmlcodes"/>
          <w:vanish w:val="0"/>
        </w:rPr>
        <w:br w:type="page"/>
      </w:r>
      <w:r>
        <w:rPr>
          <w:rStyle w:val="htmlcodes"/>
        </w:rPr>
        <w:t>&lt;/pre&gt;&lt;a name=s27&gt;&lt;h3&gt;</w:t>
      </w:r>
      <w:bookmarkStart w:id="356" w:name="_Toc398970601"/>
      <w:r>
        <w:rPr>
          <w:rStyle w:val="Heading3Text"/>
        </w:rPr>
        <w:t>Summary of tense selma'o</w:t>
      </w:r>
      <w:bookmarkEnd w:id="356"/>
      <w:r>
        <w:rPr>
          <w:rStyle w:val="htmlcodes"/>
        </w:rPr>
        <w:t>&lt;/h3&gt;</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"tense selma'o, summary of"&gt;</w:t>
      </w:r>
      <w:r>
        <w:rPr>
          <w:rStyle w:val="indexentry"/>
        </w:rPr>
        <w:fldChar w:fldCharType="begin"/>
      </w:r>
      <w:r>
        <w:instrText>xe "</w:instrText>
      </w:r>
      <w:r>
        <w:rPr>
          <w:rStyle w:val="xeentry"/>
        </w:rPr>
        <w:instrText>tense selma'o: summary of</w:instrText>
      </w:r>
      <w:r>
        <w:instrText>"</w:instrText>
      </w:r>
      <w:r>
        <w:rPr>
          <w:rStyle w:val="indexentry"/>
        </w:rPr>
        <w:fldChar w:fldCharType="end"/>
      </w:r>
      <w:r>
        <w:rPr>
          <w:rStyle w:val="htmlcodes"/>
        </w:rPr>
        <w:t>&lt;dl compact&gt;&lt;dt&gt;</w:t>
      </w:r>
      <w:r>
        <w:t>PU</w:t>
      </w:r>
      <w:r>
        <w:tab/>
      </w:r>
      <w:r>
        <w:rPr>
          <w:rStyle w:val="htmlcodes"/>
        </w:rPr>
        <w:t>&lt;dd&gt;</w:t>
      </w:r>
      <w:r>
        <w:t>temporal direction</w:t>
      </w:r>
    </w:p>
    <w:p w:rsidR="00B72047" w:rsidRDefault="00B72047" w:rsidP="007E67C1">
      <w:pPr>
        <w:pStyle w:val="Listnobullcontinued"/>
        <w:numPr>
          <w:ilvl w:val="0"/>
          <w:numId w:val="0"/>
        </w:numPr>
        <w:ind w:left="864" w:hanging="504"/>
        <w:rPr>
          <w:rStyle w:val="deletedparamark"/>
        </w:rPr>
      </w:pPr>
      <w:r>
        <w:tab/>
      </w:r>
      <w:r>
        <w:tab/>
        <w:t>pu = past, ca = present, ba = future</w:t>
      </w:r>
      <w:r>
        <w:rPr>
          <w:rStyle w:val="deletedparamark"/>
        </w:rPr>
        <w:t xml:space="preserve"> </w:t>
      </w:r>
    </w:p>
    <w:p w:rsidR="00B72047" w:rsidRDefault="00B72047" w:rsidP="007E67C1">
      <w:pPr>
        <w:pStyle w:val="Listnobullets"/>
        <w:numPr>
          <w:ilvl w:val="0"/>
          <w:numId w:val="0"/>
        </w:numPr>
        <w:ind w:left="864" w:hanging="504"/>
      </w:pPr>
      <w:r>
        <w:t>ZI</w:t>
      </w:r>
      <w:r>
        <w:tab/>
        <w:t>temporal distance</w:t>
      </w:r>
    </w:p>
    <w:p w:rsidR="00B72047" w:rsidRDefault="00B72047" w:rsidP="007E67C1">
      <w:pPr>
        <w:pStyle w:val="Listnobullcontinued"/>
        <w:numPr>
          <w:ilvl w:val="0"/>
          <w:numId w:val="0"/>
        </w:numPr>
        <w:ind w:left="864" w:hanging="504"/>
        <w:rPr>
          <w:rStyle w:val="deletedparamark"/>
        </w:rPr>
      </w:pPr>
      <w:r>
        <w:tab/>
      </w:r>
      <w:r>
        <w:tab/>
        <w:t>zi = short, za = medium, zu = long</w:t>
      </w:r>
      <w:r>
        <w:rPr>
          <w:rStyle w:val="deletedparamark"/>
        </w:rPr>
        <w:t xml:space="preserve"> </w:t>
      </w:r>
    </w:p>
    <w:p w:rsidR="00B72047" w:rsidRDefault="00B72047" w:rsidP="007E67C1">
      <w:pPr>
        <w:pStyle w:val="Listnobullets"/>
        <w:numPr>
          <w:ilvl w:val="0"/>
          <w:numId w:val="0"/>
        </w:numPr>
        <w:ind w:left="864" w:hanging="504"/>
      </w:pPr>
      <w:r>
        <w:t>ZEhA</w:t>
      </w:r>
      <w:r>
        <w:tab/>
        <w:t>temporal interval</w:t>
      </w:r>
    </w:p>
    <w:p w:rsidR="00B72047" w:rsidRDefault="00B72047" w:rsidP="007E67C1">
      <w:pPr>
        <w:pStyle w:val="Listnobullcontinued"/>
        <w:numPr>
          <w:ilvl w:val="0"/>
          <w:numId w:val="0"/>
        </w:numPr>
        <w:ind w:left="864" w:hanging="504"/>
        <w:rPr>
          <w:rStyle w:val="deletedparamark"/>
        </w:rPr>
      </w:pPr>
      <w:r>
        <w:tab/>
      </w:r>
      <w:r>
        <w:tab/>
        <w:t>ze'i = short, ze'a = medium, ze'u = long, ze'e = infinite</w:t>
      </w:r>
      <w:r>
        <w:rPr>
          <w:rStyle w:val="deletedparamark"/>
        </w:rPr>
        <w:t xml:space="preserve"> </w:t>
      </w:r>
    </w:p>
    <w:p w:rsidR="00B72047" w:rsidRDefault="00B72047" w:rsidP="007E67C1">
      <w:pPr>
        <w:pStyle w:val="Listnobullets"/>
        <w:numPr>
          <w:ilvl w:val="0"/>
          <w:numId w:val="0"/>
        </w:numPr>
        <w:ind w:left="864" w:hanging="504"/>
      </w:pPr>
      <w:r>
        <w:t>ROI</w:t>
      </w:r>
      <w:r>
        <w:tab/>
        <w:t>objective quantified tense flag</w:t>
      </w:r>
    </w:p>
    <w:p w:rsidR="00B72047" w:rsidRDefault="00B72047" w:rsidP="007E67C1">
      <w:pPr>
        <w:pStyle w:val="Listnobullcontinued"/>
        <w:numPr>
          <w:ilvl w:val="0"/>
          <w:numId w:val="0"/>
        </w:numPr>
        <w:ind w:left="864" w:hanging="504"/>
        <w:rPr>
          <w:rStyle w:val="deletedparamark"/>
        </w:rPr>
      </w:pPr>
      <w:r>
        <w:tab/>
      </w:r>
      <w:r>
        <w:tab/>
        <w:t>noroi = never, paroi = once, </w:t>
      </w:r>
      <w:r>
        <w:rPr>
          <w:rStyle w:val="htmlcodes"/>
        </w:rPr>
        <w:t>&lt;dots&gt;</w:t>
      </w:r>
      <w:r>
        <w:t>…</w:t>
      </w:r>
      <w:r>
        <w:rPr>
          <w:rStyle w:val="htmlcodes"/>
        </w:rPr>
        <w:t>&lt;/dots&gt;</w:t>
      </w:r>
      <w:r>
        <w:t>, roroi = always, etc.</w:t>
      </w:r>
      <w:r>
        <w:rPr>
          <w:rStyle w:val="deletedparamark"/>
        </w:rPr>
        <w:t xml:space="preserve"> </w:t>
      </w:r>
    </w:p>
    <w:p w:rsidR="00B72047" w:rsidRDefault="00B72047" w:rsidP="007E67C1">
      <w:pPr>
        <w:pStyle w:val="Listnobullcontinued"/>
        <w:numPr>
          <w:ilvl w:val="0"/>
          <w:numId w:val="0"/>
        </w:numPr>
        <w:ind w:left="864" w:hanging="504"/>
        <w:rPr>
          <w:rStyle w:val="deletedparamark"/>
        </w:rPr>
      </w:pPr>
      <w:r>
        <w:rPr>
          <w:rStyle w:val="deletedparamark"/>
        </w:rPr>
        <w:tab/>
      </w:r>
      <w:r>
        <w:rPr>
          <w:rStyle w:val="deletedparamark"/>
        </w:rPr>
        <w:tab/>
        <w:t>pare’u = the first time, rere’u = the second time, etc.</w:t>
      </w:r>
    </w:p>
    <w:p w:rsidR="00B72047" w:rsidRDefault="00B72047" w:rsidP="007E67C1">
      <w:pPr>
        <w:pStyle w:val="Listnobullets"/>
        <w:numPr>
          <w:ilvl w:val="0"/>
          <w:numId w:val="0"/>
        </w:numPr>
        <w:ind w:left="864" w:hanging="504"/>
      </w:pPr>
      <w:r>
        <w:t>TAhE</w:t>
      </w:r>
      <w:r>
        <w:tab/>
        <w:t>subjective quantified tense</w:t>
      </w:r>
    </w:p>
    <w:p w:rsidR="00B72047" w:rsidRDefault="00B72047" w:rsidP="007E67C1">
      <w:pPr>
        <w:pStyle w:val="Listnobullcontinued"/>
        <w:numPr>
          <w:ilvl w:val="0"/>
          <w:numId w:val="0"/>
        </w:numPr>
        <w:ind w:left="864" w:hanging="504"/>
        <w:rPr>
          <w:rStyle w:val="deletedparamark"/>
        </w:rPr>
      </w:pPr>
      <w:r>
        <w:tab/>
      </w:r>
      <w:r>
        <w:tab/>
        <w:t>di'i = regularly, na'o = typically, ru'i = continuously, ta'e = habitually</w:t>
      </w:r>
      <w:r>
        <w:rPr>
          <w:rStyle w:val="deletedparamark"/>
        </w:rPr>
        <w:t xml:space="preserve"> </w:t>
      </w:r>
    </w:p>
    <w:p w:rsidR="00B72047" w:rsidRDefault="00B72047" w:rsidP="007E67C1">
      <w:pPr>
        <w:pStyle w:val="Listnobullets"/>
        <w:numPr>
          <w:ilvl w:val="0"/>
          <w:numId w:val="0"/>
        </w:numPr>
        <w:ind w:left="864" w:hanging="504"/>
      </w:pPr>
      <w:r>
        <w:t>ZAhO</w:t>
      </w:r>
      <w:r>
        <w:tab/>
        <w:t>event contours</w:t>
      </w:r>
    </w:p>
    <w:p w:rsidR="00B72047" w:rsidRDefault="00B72047" w:rsidP="007E67C1">
      <w:pPr>
        <w:pStyle w:val="Listnobullcontinued"/>
        <w:numPr>
          <w:ilvl w:val="0"/>
          <w:numId w:val="0"/>
        </w:numPr>
        <w:ind w:left="864" w:hanging="504"/>
      </w:pPr>
      <w:r>
        <w:tab/>
      </w:r>
      <w:r>
        <w:tab/>
        <w:t xml:space="preserve">see </w:t>
      </w:r>
      <w:r>
        <w:rPr>
          <w:rStyle w:val="htmlcodes"/>
        </w:rPr>
        <w:t>&lt;a href=#s10&gt;</w:t>
      </w:r>
      <w:r>
        <w:t xml:space="preserve">Section 10 </w:t>
      </w:r>
      <w:r>
        <w:rPr>
          <w:rStyle w:val="htmlcodes"/>
        </w:rPr>
        <w:t>&lt;/a&gt;</w:t>
      </w:r>
    </w:p>
    <w:p w:rsidR="00B72047" w:rsidRDefault="00B72047" w:rsidP="007E67C1">
      <w:pPr>
        <w:pStyle w:val="Listnobullets"/>
        <w:numPr>
          <w:ilvl w:val="0"/>
          <w:numId w:val="0"/>
        </w:numPr>
        <w:ind w:left="864" w:hanging="504"/>
      </w:pPr>
      <w:r>
        <w:rPr>
          <w:rStyle w:val="htmlcodes"/>
        </w:rPr>
        <w:t>&lt;p&gt;&lt;dt&gt;</w:t>
      </w:r>
      <w:r>
        <w:t>FAhA</w:t>
      </w:r>
      <w:r>
        <w:tab/>
      </w:r>
      <w:r>
        <w:rPr>
          <w:rStyle w:val="htmlcodes"/>
        </w:rPr>
        <w:t>&lt;dd&gt;</w:t>
      </w:r>
      <w:r>
        <w:t>spatial direction</w:t>
      </w:r>
    </w:p>
    <w:p w:rsidR="00B72047" w:rsidRDefault="00B72047" w:rsidP="007E67C1">
      <w:pPr>
        <w:pStyle w:val="Listnobullcontinued"/>
        <w:numPr>
          <w:ilvl w:val="0"/>
          <w:numId w:val="0"/>
        </w:numPr>
        <w:ind w:left="864" w:hanging="504"/>
      </w:pPr>
      <w:r>
        <w:tab/>
      </w:r>
      <w:r>
        <w:tab/>
        <w:t xml:space="preserve">see </w:t>
      </w:r>
      <w:r>
        <w:rPr>
          <w:rStyle w:val="htmlcodes"/>
        </w:rPr>
        <w:t>&lt;a href=#s27&gt;</w:t>
      </w:r>
      <w:r>
        <w:t xml:space="preserve">Section 28 </w:t>
      </w:r>
    </w:p>
    <w:p w:rsidR="00B72047" w:rsidRDefault="00B72047" w:rsidP="007E67C1">
      <w:pPr>
        <w:pStyle w:val="Listnobullets"/>
        <w:numPr>
          <w:ilvl w:val="0"/>
          <w:numId w:val="0"/>
        </w:numPr>
        <w:ind w:left="864" w:hanging="504"/>
      </w:pPr>
      <w:r>
        <w:rPr>
          <w:rStyle w:val="htmlcodes"/>
        </w:rPr>
        <w:t>&lt;/a&gt;</w:t>
      </w:r>
      <w:r>
        <w:t>VA</w:t>
      </w:r>
      <w:r>
        <w:tab/>
        <w:t>spatial distance</w:t>
      </w:r>
    </w:p>
    <w:p w:rsidR="00B72047" w:rsidRDefault="00B72047" w:rsidP="007E67C1">
      <w:pPr>
        <w:pStyle w:val="Listnobullcontinued"/>
        <w:numPr>
          <w:ilvl w:val="0"/>
          <w:numId w:val="0"/>
        </w:numPr>
        <w:ind w:left="864" w:hanging="504"/>
        <w:rPr>
          <w:rStyle w:val="deletedparamark"/>
        </w:rPr>
      </w:pPr>
      <w:r>
        <w:tab/>
      </w:r>
      <w:r>
        <w:tab/>
        <w:t>vi = short, va = medium, vu = long</w:t>
      </w:r>
      <w:r>
        <w:rPr>
          <w:rStyle w:val="deletedparamark"/>
        </w:rPr>
        <w:t xml:space="preserve"> </w:t>
      </w:r>
    </w:p>
    <w:p w:rsidR="00B72047" w:rsidRDefault="00B72047" w:rsidP="007E67C1">
      <w:pPr>
        <w:pStyle w:val="Listnobullets"/>
        <w:numPr>
          <w:ilvl w:val="0"/>
          <w:numId w:val="0"/>
        </w:numPr>
        <w:ind w:left="864" w:hanging="504"/>
      </w:pPr>
      <w:r>
        <w:t>VEhA</w:t>
      </w:r>
      <w:r>
        <w:tab/>
        <w:t>spatial interval</w:t>
      </w:r>
    </w:p>
    <w:p w:rsidR="00B72047" w:rsidRDefault="00B72047" w:rsidP="007E67C1">
      <w:pPr>
        <w:pStyle w:val="Listnobullcontinued"/>
        <w:numPr>
          <w:ilvl w:val="0"/>
          <w:numId w:val="0"/>
        </w:numPr>
        <w:ind w:left="864" w:hanging="504"/>
        <w:rPr>
          <w:rStyle w:val="deletedparamark"/>
        </w:rPr>
      </w:pPr>
      <w:r>
        <w:tab/>
      </w:r>
      <w:r>
        <w:tab/>
        <w:t>ve'i = short, ve'a = medium, ve'u = long, ve'e = infinite</w:t>
      </w:r>
      <w:r>
        <w:rPr>
          <w:rStyle w:val="deletedparamark"/>
        </w:rPr>
        <w:t xml:space="preserve"> </w:t>
      </w:r>
    </w:p>
    <w:p w:rsidR="00B72047" w:rsidRDefault="00B72047" w:rsidP="007E67C1">
      <w:pPr>
        <w:pStyle w:val="Listnobullets"/>
        <w:numPr>
          <w:ilvl w:val="0"/>
          <w:numId w:val="0"/>
        </w:numPr>
        <w:ind w:left="864" w:hanging="504"/>
      </w:pPr>
      <w:r>
        <w:t>VIhA</w:t>
      </w:r>
      <w:r>
        <w:tab/>
        <w:t>spatial dimensionality</w:t>
      </w:r>
    </w:p>
    <w:p w:rsidR="00B72047" w:rsidRDefault="00B72047" w:rsidP="007E67C1">
      <w:pPr>
        <w:pStyle w:val="Listnobullcontinued"/>
        <w:numPr>
          <w:ilvl w:val="0"/>
          <w:numId w:val="0"/>
        </w:numPr>
        <w:ind w:left="864" w:hanging="504"/>
        <w:rPr>
          <w:rStyle w:val="deletedparamark"/>
        </w:rPr>
      </w:pPr>
      <w:r>
        <w:tab/>
      </w:r>
      <w:r>
        <w:tab/>
        <w:t>vi'i = line, vi'a = plane, vi'u = space, vi'e = space-time</w:t>
      </w:r>
      <w:r>
        <w:rPr>
          <w:rStyle w:val="deletedparamark"/>
        </w:rPr>
        <w:t xml:space="preserve"> </w:t>
      </w:r>
    </w:p>
    <w:p w:rsidR="00B72047" w:rsidRDefault="00B72047" w:rsidP="007E67C1">
      <w:pPr>
        <w:pStyle w:val="Listnobullets"/>
        <w:numPr>
          <w:ilvl w:val="0"/>
          <w:numId w:val="0"/>
        </w:numPr>
        <w:ind w:left="864" w:hanging="504"/>
      </w:pPr>
      <w:r>
        <w:t>FEhE</w:t>
      </w:r>
      <w:r>
        <w:tab/>
        <w:t>spatial interval modifier flag</w:t>
      </w:r>
    </w:p>
    <w:p w:rsidR="00B72047" w:rsidRDefault="00B72047" w:rsidP="007E67C1">
      <w:pPr>
        <w:pStyle w:val="Listnobullcontinued"/>
        <w:numPr>
          <w:ilvl w:val="0"/>
          <w:numId w:val="0"/>
        </w:numPr>
        <w:ind w:left="864" w:hanging="504"/>
        <w:rPr>
          <w:rStyle w:val="deletedparamark"/>
        </w:rPr>
      </w:pPr>
      <w:r>
        <w:tab/>
      </w:r>
      <w:r>
        <w:tab/>
        <w:t>fe'enoroi = nowhere, fe'eroroi = everywhere, fe'eba'o = beyond, etc.</w:t>
      </w:r>
      <w:r>
        <w:rPr>
          <w:rStyle w:val="deletedparamark"/>
        </w:rPr>
        <w:t xml:space="preserve"> </w:t>
      </w:r>
    </w:p>
    <w:p w:rsidR="00B72047" w:rsidRDefault="00B72047" w:rsidP="007E67C1">
      <w:pPr>
        <w:pStyle w:val="Listnobullets"/>
        <w:numPr>
          <w:ilvl w:val="0"/>
          <w:numId w:val="0"/>
        </w:numPr>
        <w:ind w:left="864" w:hanging="504"/>
      </w:pPr>
      <w:r>
        <w:t>MOhI</w:t>
      </w:r>
      <w:r>
        <w:tab/>
        <w:t>spatial movement flag</w:t>
      </w:r>
    </w:p>
    <w:p w:rsidR="00B72047" w:rsidRDefault="00B72047" w:rsidP="007E67C1">
      <w:pPr>
        <w:pStyle w:val="Listnobullcontinued"/>
        <w:numPr>
          <w:ilvl w:val="0"/>
          <w:numId w:val="0"/>
        </w:numPr>
        <w:ind w:left="864" w:hanging="504"/>
      </w:pPr>
      <w:r>
        <w:tab/>
      </w:r>
      <w:r>
        <w:tab/>
        <w:t xml:space="preserve">mo'i = motion; see </w:t>
      </w:r>
      <w:r>
        <w:rPr>
          <w:rStyle w:val="htmlcodes"/>
        </w:rPr>
        <w:t>&lt;a href=#s27&gt;</w:t>
      </w:r>
      <w:r>
        <w:t xml:space="preserve">Section 27 </w:t>
      </w:r>
      <w:r>
        <w:rPr>
          <w:rStyle w:val="htmlcodes"/>
        </w:rPr>
        <w:t>&lt;/a&gt;</w:t>
      </w:r>
    </w:p>
    <w:p w:rsidR="00B72047" w:rsidRDefault="00B72047" w:rsidP="007E67C1">
      <w:pPr>
        <w:pStyle w:val="Listnobullets"/>
        <w:numPr>
          <w:ilvl w:val="0"/>
          <w:numId w:val="0"/>
        </w:numPr>
        <w:ind w:left="864" w:hanging="504"/>
      </w:pPr>
      <w:r>
        <w:rPr>
          <w:rStyle w:val="htmlcodes"/>
        </w:rPr>
        <w:t>&lt;p&gt;&lt;dt&gt;</w:t>
      </w:r>
      <w:r>
        <w:t>KI</w:t>
      </w:r>
      <w:r>
        <w:tab/>
      </w:r>
      <w:r>
        <w:rPr>
          <w:rStyle w:val="htmlcodes"/>
        </w:rPr>
        <w:t>&lt;dd&gt;</w:t>
      </w:r>
      <w:r>
        <w:t>set or reset sticky tense</w:t>
      </w:r>
    </w:p>
    <w:p w:rsidR="00B72047" w:rsidRDefault="00B72047" w:rsidP="007E67C1">
      <w:pPr>
        <w:pStyle w:val="Listnobullcontinued"/>
        <w:numPr>
          <w:ilvl w:val="0"/>
          <w:numId w:val="0"/>
        </w:numPr>
        <w:ind w:left="864" w:hanging="504"/>
        <w:rPr>
          <w:rStyle w:val="deletedparamark"/>
        </w:rPr>
      </w:pPr>
      <w:r>
        <w:tab/>
      </w:r>
      <w:r>
        <w:tab/>
        <w:t>tense+“ki” = set, “ki” alone = reset</w:t>
      </w:r>
      <w:r>
        <w:rPr>
          <w:rStyle w:val="deletedparamark"/>
        </w:rPr>
        <w:t xml:space="preserve"> </w:t>
      </w:r>
    </w:p>
    <w:p w:rsidR="00B72047" w:rsidRDefault="00B72047" w:rsidP="007E67C1">
      <w:pPr>
        <w:pStyle w:val="Listnobullets"/>
        <w:numPr>
          <w:ilvl w:val="0"/>
          <w:numId w:val="0"/>
        </w:numPr>
        <w:ind w:left="864" w:hanging="504"/>
      </w:pPr>
      <w:r>
        <w:t>CUhE</w:t>
      </w:r>
      <w:r>
        <w:tab/>
        <w:t>tense question, reference point</w:t>
      </w:r>
    </w:p>
    <w:p w:rsidR="00B72047" w:rsidRDefault="00B72047" w:rsidP="007E67C1">
      <w:pPr>
        <w:pStyle w:val="Listnobullcontinued"/>
        <w:numPr>
          <w:ilvl w:val="0"/>
          <w:numId w:val="0"/>
        </w:numPr>
        <w:ind w:left="864" w:hanging="504"/>
        <w:rPr>
          <w:rStyle w:val="deletedparamark"/>
        </w:rPr>
      </w:pPr>
      <w:r>
        <w:tab/>
      </w:r>
      <w:r>
        <w:tab/>
        <w:t>cu'e = asks for a tense or aspect, nau = use speaker's reference point</w:t>
      </w:r>
      <w:r>
        <w:rPr>
          <w:rStyle w:val="deletedparamark"/>
        </w:rPr>
        <w:t xml:space="preserve"> </w:t>
      </w:r>
    </w:p>
    <w:p w:rsidR="00B72047" w:rsidRDefault="00B72047" w:rsidP="007E67C1">
      <w:pPr>
        <w:pStyle w:val="Listnobullets"/>
        <w:numPr>
          <w:ilvl w:val="0"/>
          <w:numId w:val="0"/>
        </w:numPr>
        <w:ind w:left="864" w:hanging="504"/>
      </w:pPr>
      <w:r>
        <w:t>JAI</w:t>
      </w:r>
      <w:r>
        <w:tab/>
        <w:t>tense conversion</w:t>
      </w:r>
    </w:p>
    <w:p w:rsidR="00B72047" w:rsidRDefault="00B72047" w:rsidP="007E67C1">
      <w:pPr>
        <w:pStyle w:val="Listnobullcontinued"/>
        <w:numPr>
          <w:ilvl w:val="0"/>
          <w:numId w:val="0"/>
        </w:numPr>
        <w:ind w:left="864" w:hanging="504"/>
      </w:pPr>
      <w:r>
        <w:tab/>
      </w:r>
      <w:r>
        <w:tab/>
        <w:t>jaica = the time of, jaivi = the place of, etc.</w:t>
      </w:r>
    </w:p>
    <w:p w:rsidR="00B72047" w:rsidRDefault="00B72047">
      <w:pPr>
        <w:pStyle w:val="Heading3"/>
        <w:spacing w:before="0"/>
        <w:rPr>
          <w:rStyle w:val="Heading3Text"/>
        </w:rPr>
      </w:pPr>
      <w:r>
        <w:rPr>
          <w:rStyle w:val="htmlcodes"/>
          <w:vanish w:val="0"/>
        </w:rPr>
        <w:br w:type="page"/>
      </w:r>
      <w:r>
        <w:rPr>
          <w:rStyle w:val="htmlcodes"/>
        </w:rPr>
        <w:t>&lt;/dl&gt;&lt;a name=s28&gt;&lt;h3&gt;</w:t>
      </w:r>
      <w:bookmarkStart w:id="357" w:name="_Toc398970602"/>
      <w:r>
        <w:rPr>
          <w:rStyle w:val="Heading3Text"/>
        </w:rPr>
        <w:t>List of spatial directions and direction-like relations</w:t>
      </w:r>
      <w:bookmarkEnd w:id="35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"spatial directions, list of"&gt;</w:t>
      </w:r>
      <w:r>
        <w:rPr>
          <w:rStyle w:val="indexentry"/>
        </w:rPr>
        <w:fldChar w:fldCharType="begin"/>
      </w:r>
      <w:r>
        <w:instrText>xe "</w:instrText>
      </w:r>
      <w:r>
        <w:rPr>
          <w:rStyle w:val="xeentry"/>
        </w:rPr>
        <w:instrText>spatial directions: list of</w:instrText>
      </w:r>
      <w:r>
        <w:instrText>"</w:instrText>
      </w:r>
      <w:r>
        <w:rPr>
          <w:rStyle w:val="indexentry"/>
        </w:rPr>
        <w:fldChar w:fldCharType="end"/>
      </w:r>
      <w:r>
        <w:t>The following list of FAhA cmavo gives rough English glosses for the</w:t>
      </w:r>
      <w:r>
        <w:rPr>
          <w:rStyle w:val="deletedparamark"/>
        </w:rPr>
        <w:t xml:space="preserve"> </w:t>
      </w:r>
      <w:r>
        <w:t>cmavo, first when used without “mo'i” to express a direction, and</w:t>
      </w:r>
      <w:r>
        <w:rPr>
          <w:rStyle w:val="deletedparamark"/>
        </w:rPr>
        <w:t xml:space="preserve"> </w:t>
      </w:r>
      <w:r>
        <w:t>then when used with “mo'i” to e</w:t>
      </w:r>
      <w:r>
        <w:t>x</w:t>
      </w:r>
      <w:r>
        <w:softHyphen/>
        <w:t>press movement in the direction.</w:t>
      </w:r>
      <w:r>
        <w:rPr>
          <w:rStyle w:val="deletedparamark"/>
        </w:rPr>
        <w:t xml:space="preserve"> </w:t>
      </w:r>
      <w:r>
        <w:t>When possible, the gismu from which the cmavo is d</w:t>
      </w:r>
      <w:r>
        <w:t>e</w:t>
      </w:r>
      <w:r>
        <w:softHyphen/>
        <w:t>rived is also listed.</w:t>
      </w:r>
    </w:p>
    <w:p w:rsidR="00B72047" w:rsidRDefault="00B72047" w:rsidP="007E67C1">
      <w:pPr>
        <w:pStyle w:val="Listnobullcontinued"/>
        <w:numPr>
          <w:ilvl w:val="0"/>
          <w:numId w:val="0"/>
        </w:numPr>
        <w:ind w:left="864" w:hanging="504"/>
        <w:rPr>
          <w:rStyle w:val="htmlparacode"/>
          <w:u w:val="single"/>
        </w:rPr>
      </w:pPr>
      <w:r>
        <w:rPr>
          <w:rStyle w:val="htmlparacode"/>
          <w:u w:val="single"/>
        </w:rPr>
        <w:t>&lt;p&gt;</w:t>
      </w:r>
    </w:p>
    <w:p w:rsidR="00B72047" w:rsidRDefault="00B72047">
      <w:pPr>
        <w:pStyle w:val="tensetablepre"/>
        <w:spacing w:before="80"/>
      </w:pPr>
      <w:r>
        <w:rPr>
          <w:rStyle w:val="htmlcodes"/>
          <w:u w:val="single"/>
        </w:rPr>
        <w:t>&lt;pre&gt;</w:t>
      </w:r>
      <w:r>
        <w:rPr>
          <w:u w:val="single"/>
        </w:rPr>
        <w:t>cmavo</w:t>
      </w:r>
      <w:r>
        <w:tab/>
      </w:r>
      <w:r>
        <w:rPr>
          <w:u w:val="single"/>
        </w:rPr>
        <w:t>gismu</w:t>
      </w:r>
      <w:r>
        <w:tab/>
      </w:r>
      <w:r>
        <w:rPr>
          <w:u w:val="single"/>
        </w:rPr>
        <w:t>without mo'i</w:t>
      </w:r>
      <w:r>
        <w:tab/>
      </w:r>
      <w:r>
        <w:rPr>
          <w:u w:val="single"/>
        </w:rPr>
        <w:t>with mo'i</w:t>
      </w:r>
    </w:p>
    <w:p w:rsidR="00B72047" w:rsidRDefault="00B72047">
      <w:pPr>
        <w:pStyle w:val="tensetablepre"/>
        <w:spacing w:before="80"/>
        <w:rPr>
          <w:rStyle w:val="deletedparamark"/>
        </w:rPr>
      </w:pPr>
      <w:r>
        <w:t>ca'u</w:t>
      </w:r>
      <w:r>
        <w:tab/>
        <w:t>crane</w:t>
      </w:r>
      <w:r>
        <w:tab/>
        <w:t>in front (of)</w:t>
      </w:r>
      <w:r>
        <w:tab/>
        <w:t>forward</w:t>
      </w:r>
      <w:r>
        <w:rPr>
          <w:rStyle w:val="deletedparamark"/>
        </w:rPr>
        <w:t xml:space="preserve"> </w:t>
      </w:r>
    </w:p>
    <w:p w:rsidR="00B72047" w:rsidRDefault="00B72047">
      <w:pPr>
        <w:pStyle w:val="tensetable"/>
        <w:rPr>
          <w:rStyle w:val="deletedparamark"/>
        </w:rPr>
      </w:pPr>
      <w:r>
        <w:t>ti'a</w:t>
      </w:r>
      <w:r>
        <w:tab/>
        <w:t>trixe</w:t>
      </w:r>
      <w:r>
        <w:tab/>
        <w:t>behind</w:t>
      </w:r>
      <w:r>
        <w:tab/>
        <w:t>backward</w:t>
      </w:r>
      <w:r>
        <w:rPr>
          <w:rStyle w:val="deletedparamark"/>
        </w:rPr>
        <w:t xml:space="preserve"> </w:t>
      </w:r>
    </w:p>
    <w:p w:rsidR="00B72047" w:rsidRDefault="00B72047">
      <w:pPr>
        <w:pStyle w:val="tensetable"/>
        <w:rPr>
          <w:rStyle w:val="deletedparamark"/>
        </w:rPr>
      </w:pPr>
      <w:r>
        <w:t>zu'a</w:t>
      </w:r>
      <w:r>
        <w:tab/>
        <w:t>zunle</w:t>
      </w:r>
      <w:r>
        <w:tab/>
        <w:t>on the left (of)</w:t>
      </w:r>
      <w:r>
        <w:tab/>
        <w:t>leftward</w:t>
      </w:r>
      <w:r>
        <w:rPr>
          <w:rStyle w:val="deletedparamark"/>
        </w:rPr>
        <w:t xml:space="preserve"> </w:t>
      </w:r>
    </w:p>
    <w:p w:rsidR="00B72047" w:rsidRDefault="00B72047">
      <w:pPr>
        <w:pStyle w:val="tensetable"/>
        <w:rPr>
          <w:rStyle w:val="deletedparamark"/>
        </w:rPr>
      </w:pPr>
      <w:r>
        <w:t>ri'u</w:t>
      </w:r>
      <w:r>
        <w:tab/>
        <w:t>pritu</w:t>
      </w:r>
      <w:r>
        <w:tab/>
        <w:t>on the right (of)</w:t>
      </w:r>
      <w:r>
        <w:tab/>
        <w:t>rightward</w:t>
      </w:r>
      <w:r>
        <w:rPr>
          <w:rStyle w:val="deletedparamark"/>
        </w:rPr>
        <w:t xml:space="preserve"> </w:t>
      </w:r>
    </w:p>
    <w:p w:rsidR="00B72047" w:rsidRDefault="00B72047">
      <w:pPr>
        <w:pStyle w:val="tensetable"/>
        <w:rPr>
          <w:rStyle w:val="deletedparamark"/>
        </w:rPr>
      </w:pPr>
      <w:r>
        <w:t>ga'u</w:t>
      </w:r>
      <w:r>
        <w:tab/>
        <w:t>gapru</w:t>
      </w:r>
      <w:r>
        <w:tab/>
        <w:t>above</w:t>
      </w:r>
      <w:r>
        <w:tab/>
        <w:t>upward(ly)</w:t>
      </w:r>
      <w:r>
        <w:rPr>
          <w:rStyle w:val="deletedparamark"/>
        </w:rPr>
        <w:t xml:space="preserve"> </w:t>
      </w:r>
    </w:p>
    <w:p w:rsidR="00B72047" w:rsidRDefault="00B72047">
      <w:pPr>
        <w:pStyle w:val="tensetable"/>
        <w:rPr>
          <w:rStyle w:val="deletedparamark"/>
        </w:rPr>
      </w:pPr>
      <w:r>
        <w:t>ni'a</w:t>
      </w:r>
      <w:r>
        <w:tab/>
        <w:t>cnita</w:t>
      </w:r>
      <w:r>
        <w:tab/>
        <w:t>below</w:t>
      </w:r>
      <w:r>
        <w:tab/>
        <w:t>downward(ly)</w:t>
      </w:r>
      <w:r>
        <w:rPr>
          <w:rStyle w:val="deletedparamark"/>
        </w:rPr>
        <w:t xml:space="preserve"> </w:t>
      </w:r>
    </w:p>
    <w:p w:rsidR="00B72047" w:rsidRDefault="00B72047">
      <w:pPr>
        <w:pStyle w:val="tensetable"/>
        <w:rPr>
          <w:rStyle w:val="deletedparamark"/>
        </w:rPr>
      </w:pPr>
      <w:r>
        <w:t>ne'i</w:t>
      </w:r>
      <w:r>
        <w:tab/>
        <w:t>nenri</w:t>
      </w:r>
      <w:r>
        <w:tab/>
        <w:t>within</w:t>
      </w:r>
      <w:r>
        <w:tab/>
        <w:t>into</w:t>
      </w:r>
      <w:r>
        <w:rPr>
          <w:rStyle w:val="deletedparamark"/>
        </w:rPr>
        <w:t xml:space="preserve"> </w:t>
      </w:r>
    </w:p>
    <w:p w:rsidR="00B72047" w:rsidRDefault="00B72047">
      <w:pPr>
        <w:pStyle w:val="tensetable"/>
        <w:rPr>
          <w:rStyle w:val="deletedparamark"/>
        </w:rPr>
      </w:pPr>
      <w:r>
        <w:t>ru'u</w:t>
      </w:r>
      <w:r>
        <w:tab/>
        <w:t>sruri</w:t>
      </w:r>
      <w:r>
        <w:tab/>
        <w:t>surrounding</w:t>
      </w:r>
      <w:r>
        <w:tab/>
        <w:t>orbiting</w:t>
      </w:r>
      <w:r>
        <w:rPr>
          <w:rStyle w:val="deletedparamark"/>
        </w:rPr>
        <w:t xml:space="preserve"> </w:t>
      </w:r>
    </w:p>
    <w:p w:rsidR="00B72047" w:rsidRDefault="00B72047">
      <w:pPr>
        <w:pStyle w:val="tensetable"/>
        <w:rPr>
          <w:rStyle w:val="deletedparamark"/>
        </w:rPr>
      </w:pPr>
      <w:r>
        <w:t>pa'o</w:t>
      </w:r>
      <w:r>
        <w:tab/>
        <w:t>pagre</w:t>
      </w:r>
      <w:r>
        <w:tab/>
        <w:t>transfixing</w:t>
      </w:r>
      <w:r>
        <w:tab/>
        <w:t>passing through</w:t>
      </w:r>
      <w:r>
        <w:rPr>
          <w:rStyle w:val="deletedparamark"/>
        </w:rPr>
        <w:t xml:space="preserve"> </w:t>
      </w:r>
    </w:p>
    <w:p w:rsidR="00B72047" w:rsidRDefault="00B72047">
      <w:pPr>
        <w:pStyle w:val="tensetable"/>
        <w:rPr>
          <w:rStyle w:val="deletedparamark"/>
        </w:rPr>
      </w:pPr>
      <w:r>
        <w:t>ne'a</w:t>
      </w:r>
      <w:r>
        <w:tab/>
      </w:r>
      <w:r>
        <w:tab/>
        <w:t>next to</w:t>
      </w:r>
      <w:r>
        <w:tab/>
        <w:t>moving while next to</w:t>
      </w:r>
      <w:r>
        <w:rPr>
          <w:rStyle w:val="deletedparamark"/>
        </w:rPr>
        <w:t xml:space="preserve"> </w:t>
      </w:r>
    </w:p>
    <w:p w:rsidR="00B72047" w:rsidRDefault="00B72047">
      <w:pPr>
        <w:pStyle w:val="tensetable"/>
        <w:rPr>
          <w:rStyle w:val="deletedparamark"/>
        </w:rPr>
      </w:pPr>
      <w:r>
        <w:t>te'e</w:t>
      </w:r>
      <w:r>
        <w:tab/>
      </w:r>
      <w:r>
        <w:tab/>
        <w:t>bordering</w:t>
      </w:r>
      <w:r>
        <w:tab/>
        <w:t>moving along the border (of)</w:t>
      </w:r>
    </w:p>
    <w:p w:rsidR="00B72047" w:rsidRDefault="00B72047">
      <w:pPr>
        <w:pStyle w:val="tensetable"/>
        <w:rPr>
          <w:rStyle w:val="deletedparamark"/>
        </w:rPr>
      </w:pPr>
      <w:r>
        <w:t>re'o</w:t>
      </w:r>
      <w:r>
        <w:tab/>
      </w:r>
      <w:r>
        <w:tab/>
        <w:t>adjacent (to)</w:t>
      </w:r>
      <w:r>
        <w:tab/>
        <w:t>along</w:t>
      </w:r>
      <w:r>
        <w:rPr>
          <w:rStyle w:val="deletedparamark"/>
        </w:rPr>
        <w:t xml:space="preserve"> </w:t>
      </w:r>
    </w:p>
    <w:p w:rsidR="00B72047" w:rsidRDefault="00B72047">
      <w:pPr>
        <w:pStyle w:val="tensetable"/>
        <w:rPr>
          <w:rStyle w:val="deletedparamark"/>
        </w:rPr>
      </w:pPr>
      <w:r>
        <w:t>fa'a</w:t>
      </w:r>
      <w:r>
        <w:tab/>
        <w:t>farna</w:t>
      </w:r>
      <w:r>
        <w:tab/>
        <w:t>towards</w:t>
      </w:r>
      <w:r>
        <w:tab/>
        <w:t>arriving at</w:t>
      </w:r>
      <w:r>
        <w:rPr>
          <w:rStyle w:val="deletedparamark"/>
        </w:rPr>
        <w:t xml:space="preserve"> </w:t>
      </w:r>
    </w:p>
    <w:p w:rsidR="00B72047" w:rsidRDefault="00B72047">
      <w:pPr>
        <w:pStyle w:val="tensetable"/>
        <w:rPr>
          <w:rStyle w:val="deletedparamark"/>
        </w:rPr>
      </w:pPr>
      <w:r>
        <w:t>to'o</w:t>
      </w:r>
      <w:r>
        <w:tab/>
      </w:r>
      <w:r>
        <w:tab/>
        <w:t>away from</w:t>
      </w:r>
      <w:r>
        <w:tab/>
        <w:t>departing from</w:t>
      </w:r>
      <w:r>
        <w:rPr>
          <w:rStyle w:val="deletedparamark"/>
        </w:rPr>
        <w:t xml:space="preserve"> </w:t>
      </w:r>
    </w:p>
    <w:p w:rsidR="00B72047" w:rsidRDefault="00B72047">
      <w:pPr>
        <w:pStyle w:val="tensetable"/>
        <w:rPr>
          <w:rStyle w:val="deletedparamark"/>
        </w:rPr>
      </w:pPr>
      <w:r>
        <w:t>zo'i</w:t>
      </w:r>
      <w:r>
        <w:tab/>
      </w:r>
      <w:r>
        <w:tab/>
        <w:t>inward (from)</w:t>
      </w:r>
      <w:r>
        <w:tab/>
        <w:t>approaching</w:t>
      </w:r>
      <w:r>
        <w:rPr>
          <w:rStyle w:val="deletedparamark"/>
        </w:rPr>
        <w:t xml:space="preserve"> </w:t>
      </w:r>
    </w:p>
    <w:p w:rsidR="00B72047" w:rsidRDefault="00B72047">
      <w:pPr>
        <w:pStyle w:val="tensetable"/>
        <w:rPr>
          <w:rStyle w:val="deletedparamark"/>
        </w:rPr>
      </w:pPr>
      <w:r>
        <w:t>ze'o</w:t>
      </w:r>
      <w:r>
        <w:tab/>
      </w:r>
      <w:r>
        <w:tab/>
        <w:t>outward (from)</w:t>
      </w:r>
      <w:r>
        <w:tab/>
        <w:t>receding from</w:t>
      </w:r>
      <w:r>
        <w:rPr>
          <w:rStyle w:val="deletedparamark"/>
        </w:rPr>
        <w:t xml:space="preserve"> </w:t>
      </w:r>
    </w:p>
    <w:p w:rsidR="00B72047" w:rsidRDefault="00B72047">
      <w:pPr>
        <w:pStyle w:val="tensetable"/>
        <w:rPr>
          <w:rStyle w:val="deletedparamark"/>
        </w:rPr>
      </w:pPr>
      <w:r>
        <w:t>zo'a</w:t>
      </w:r>
      <w:r>
        <w:tab/>
      </w:r>
      <w:r>
        <w:tab/>
        <w:t>tangential (to)</w:t>
      </w:r>
      <w:r>
        <w:tab/>
        <w:t>passing (by)</w:t>
      </w:r>
      <w:r>
        <w:rPr>
          <w:rStyle w:val="deletedparamark"/>
        </w:rPr>
        <w:t xml:space="preserve"> </w:t>
      </w:r>
    </w:p>
    <w:p w:rsidR="00B72047" w:rsidRDefault="00B72047">
      <w:pPr>
        <w:pStyle w:val="tensetable"/>
        <w:rPr>
          <w:rStyle w:val="deletedparamark"/>
        </w:rPr>
      </w:pPr>
      <w:r>
        <w:t>bu'u</w:t>
      </w:r>
      <w:r>
        <w:tab/>
      </w:r>
      <w:r>
        <w:tab/>
        <w:t>coincident (with)</w:t>
      </w:r>
      <w:r>
        <w:tab/>
        <w:t>moving to coincide with</w:t>
      </w:r>
      <w:r>
        <w:rPr>
          <w:rStyle w:val="deletedparamark"/>
        </w:rPr>
        <w:t xml:space="preserve"> </w:t>
      </w:r>
    </w:p>
    <w:p w:rsidR="00B72047" w:rsidRDefault="00B72047">
      <w:pPr>
        <w:pStyle w:val="tensetable"/>
        <w:rPr>
          <w:rStyle w:val="deletedparamark"/>
        </w:rPr>
      </w:pPr>
      <w:r>
        <w:t>be'a</w:t>
      </w:r>
      <w:r>
        <w:tab/>
        <w:t>berti</w:t>
      </w:r>
      <w:r>
        <w:tab/>
        <w:t>north (of)</w:t>
      </w:r>
      <w:r>
        <w:tab/>
        <w:t>northward(ly)</w:t>
      </w:r>
      <w:r>
        <w:rPr>
          <w:rStyle w:val="deletedparamark"/>
        </w:rPr>
        <w:t xml:space="preserve"> </w:t>
      </w:r>
    </w:p>
    <w:p w:rsidR="00B72047" w:rsidRDefault="00B72047">
      <w:pPr>
        <w:pStyle w:val="tensetable"/>
        <w:rPr>
          <w:rStyle w:val="deletedparamark"/>
        </w:rPr>
      </w:pPr>
      <w:r>
        <w:t>ne'u</w:t>
      </w:r>
      <w:r>
        <w:tab/>
        <w:t>snanu</w:t>
      </w:r>
      <w:r>
        <w:tab/>
        <w:t>south (of)</w:t>
      </w:r>
      <w:r>
        <w:tab/>
        <w:t>southward(ly)</w:t>
      </w:r>
      <w:r>
        <w:rPr>
          <w:rStyle w:val="deletedparamark"/>
        </w:rPr>
        <w:t xml:space="preserve"> </w:t>
      </w:r>
    </w:p>
    <w:p w:rsidR="00B72047" w:rsidRDefault="00B72047">
      <w:pPr>
        <w:pStyle w:val="tensetable"/>
        <w:rPr>
          <w:rStyle w:val="deletedparamark"/>
        </w:rPr>
      </w:pPr>
      <w:r>
        <w:t>du'a</w:t>
      </w:r>
      <w:r>
        <w:tab/>
        <w:t>stuna</w:t>
      </w:r>
      <w:r>
        <w:tab/>
        <w:t>east (of)</w:t>
      </w:r>
      <w:r>
        <w:tab/>
        <w:t>eastward(ly)</w:t>
      </w:r>
      <w:r>
        <w:rPr>
          <w:rStyle w:val="deletedparamark"/>
        </w:rPr>
        <w:t xml:space="preserve"> </w:t>
      </w:r>
    </w:p>
    <w:p w:rsidR="00B72047" w:rsidRDefault="00B72047">
      <w:pPr>
        <w:pStyle w:val="tensetable"/>
      </w:pPr>
      <w:r>
        <w:t>vu'a</w:t>
      </w:r>
      <w:r>
        <w:tab/>
      </w:r>
      <w:r>
        <w:tab/>
        <w:t>west (of)</w:t>
      </w:r>
      <w:r>
        <w:tab/>
        <w:t>westward(ly)</w:t>
      </w:r>
    </w:p>
    <w:p w:rsidR="00B72047" w:rsidRDefault="00B72047">
      <w:pPr>
        <w:pStyle w:val="resumedafterexample"/>
      </w:pPr>
      <w:r>
        <w:rPr>
          <w:rStyle w:val="htmlcodes"/>
        </w:rPr>
        <w:t>&lt;/pre&gt;</w:t>
      </w:r>
      <w:r>
        <w:rPr>
          <w:rStyle w:val="indexentry"/>
        </w:rPr>
        <w:t>&lt;cx "fa'a, special note on direction orientation"&gt;</w:t>
      </w:r>
      <w:r>
        <w:rPr>
          <w:rStyle w:val="indexentry"/>
        </w:rPr>
        <w:fldChar w:fldCharType="begin"/>
      </w:r>
      <w:r>
        <w:instrText>xe "</w:instrText>
      </w:r>
      <w:r>
        <w:rPr>
          <w:rStyle w:val="xeentry"/>
        </w:rPr>
        <w:instrText>fa'a: special note on direction orientation</w:instrText>
      </w:r>
      <w:r>
        <w:instrText>"</w:instrText>
      </w:r>
      <w:r>
        <w:rPr>
          <w:rStyle w:val="indexentry"/>
        </w:rPr>
        <w:fldChar w:fldCharType="end"/>
      </w:r>
      <w:r>
        <w:rPr>
          <w:rStyle w:val="indexentry"/>
        </w:rPr>
        <w:t>&lt;cx "to'o, special note on direction orientation"&gt;</w:t>
      </w:r>
      <w:r>
        <w:rPr>
          <w:rStyle w:val="indexentry"/>
        </w:rPr>
        <w:fldChar w:fldCharType="begin"/>
      </w:r>
      <w:r>
        <w:instrText>xe "</w:instrText>
      </w:r>
      <w:r>
        <w:rPr>
          <w:rStyle w:val="xeentry"/>
        </w:rPr>
        <w:instrText>to'o: special note on direction orientation</w:instrText>
      </w:r>
      <w:r>
        <w:instrText>"</w:instrText>
      </w:r>
      <w:r>
        <w:rPr>
          <w:rStyle w:val="indexentry"/>
        </w:rPr>
        <w:fldChar w:fldCharType="end"/>
      </w:r>
      <w:r>
        <w:rPr>
          <w:rStyle w:val="indexentry"/>
        </w:rPr>
        <w:t>&lt;cx "zo'i, special note on direction orientation"&gt;</w:t>
      </w:r>
      <w:r>
        <w:rPr>
          <w:rStyle w:val="indexentry"/>
        </w:rPr>
        <w:fldChar w:fldCharType="begin"/>
      </w:r>
      <w:r>
        <w:instrText>xe "</w:instrText>
      </w:r>
      <w:r>
        <w:rPr>
          <w:rStyle w:val="xeentry"/>
        </w:rPr>
        <w:instrText>zo'i: special note on direction orientation</w:instrText>
      </w:r>
      <w:r>
        <w:instrText>"</w:instrText>
      </w:r>
      <w:r>
        <w:rPr>
          <w:rStyle w:val="indexentry"/>
        </w:rPr>
        <w:fldChar w:fldCharType="end"/>
      </w:r>
      <w:r>
        <w:rPr>
          <w:rStyle w:val="indexentry"/>
        </w:rPr>
        <w:t>&lt;cx "ze'o, special note on direction orientation"&gt;</w:t>
      </w:r>
      <w:r>
        <w:rPr>
          <w:rStyle w:val="indexentry"/>
        </w:rPr>
        <w:fldChar w:fldCharType="begin"/>
      </w:r>
      <w:r>
        <w:instrText>xe "</w:instrText>
      </w:r>
      <w:r>
        <w:rPr>
          <w:rStyle w:val="xeentry"/>
        </w:rPr>
        <w:instrText>ze'o: special note on direction orientation</w:instrText>
      </w:r>
      <w:r>
        <w:instrText>"</w:instrText>
      </w:r>
      <w:r>
        <w:rPr>
          <w:rStyle w:val="indexentry"/>
        </w:rPr>
        <w:fldChar w:fldCharType="end"/>
      </w:r>
      <w:r>
        <w:t>Special note on “fa'a”, “to'o”, “zo'i”, and “ze'o”:</w:t>
      </w:r>
    </w:p>
    <w:p w:rsidR="00B72047" w:rsidRDefault="00B72047">
      <w:pPr>
        <w:rPr>
          <w:rStyle w:val="htmlparacode"/>
        </w:rPr>
      </w:pPr>
      <w:r>
        <w:rPr>
          <w:rStyle w:val="htmlparacode"/>
        </w:rPr>
        <w:t>&lt;p&gt;</w:t>
      </w:r>
    </w:p>
    <w:p w:rsidR="00B72047" w:rsidRDefault="00B72047">
      <w:pPr>
        <w:pStyle w:val="normalparagraph"/>
      </w:pPr>
      <w:r>
        <w:t>“zo'i” and “ze'o” refer to direction towards or away from the speaker's</w:t>
      </w:r>
      <w:r>
        <w:rPr>
          <w:rStyle w:val="deletedparamark"/>
        </w:rPr>
        <w:t xml:space="preserve"> </w:t>
      </w:r>
      <w:r>
        <w:t>loca</w:t>
      </w:r>
      <w:r>
        <w:softHyphen/>
        <w:t>tion, or whatever the origin is.</w:t>
      </w:r>
    </w:p>
    <w:p w:rsidR="00B72047" w:rsidRDefault="00B72047">
      <w:pPr>
        <w:pStyle w:val="normalparagraph"/>
        <w:rPr>
          <w:rStyle w:val="htmlparacode"/>
        </w:rPr>
      </w:pPr>
      <w:r>
        <w:rPr>
          <w:rStyle w:val="htmlparacode"/>
        </w:rPr>
        <w:t>&lt;p&gt;</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r>
        <w:t>“fa'a” and “to'o” refer to direction towards or away from some other point.</w:t>
      </w:r>
    </w:p>
    <w:p w:rsidR="00B72047" w:rsidRDefault="00B72047">
      <w:pPr>
        <w:rPr>
          <w:rStyle w:val="htmlcodes"/>
        </w:rPr>
      </w:pPr>
      <w:r>
        <w:rPr>
          <w:rStyle w:val="htmlparacode"/>
        </w:rPr>
        <w:t>&lt;p</w:t>
      </w:r>
      <w:r>
        <w:rPr>
          <w:rStyle w:val="htmlcodes"/>
        </w:rPr>
        <w:t>&gt;</w:t>
      </w:r>
    </w:p>
    <w:p w:rsidR="00B72047" w:rsidRDefault="00B72047">
      <w:pPr>
        <w:rPr>
          <w:rStyle w:val="htmlcodes"/>
        </w:rPr>
      </w:pPr>
      <w:r>
        <w:rPr>
          <w:rStyle w:val="htmlcodes"/>
        </w:rPr>
        <w:t>&lt;/body&gt;&lt;/html&gt;</w:t>
      </w:r>
    </w:p>
    <w:p w:rsidR="00B72047" w:rsidRDefault="00B72047">
      <w:pPr>
        <w:rPr>
          <w:rStyle w:val="htmlcodes"/>
        </w:rPr>
      </w:pPr>
      <w:r>
        <w:rPr>
          <w:rStyle w:val="htmlcodes"/>
        </w:rPr>
        <w:t>&lt;img src=chap11.gif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object w:dxaOrig="5961" w:dyaOrig="6053">
          <v:shape id="_x0000_i1035" type="#_x0000_t75" style="width:355.5pt;height:548.25pt" o:ole="">
            <v:imagedata r:id="rId29" o:title="" croptop="-26505f" cropbottom="-26505f" cropleft="-6333f" cropright="-6333f"/>
          </v:shape>
          <o:OLEObject Type="Embed" ProgID="Word.Picture.8" ShapeID="_x0000_i1035" DrawAspect="Content" ObjectID="_1316276192" r:id="rId30"/>
        </w:object>
      </w:r>
    </w:p>
    <w:p w:rsidR="00B72047" w:rsidRDefault="00B72047">
      <w:pPr>
        <w:pStyle w:val="Heading2"/>
      </w:pPr>
      <w:r>
        <w:rPr>
          <w:rStyle w:val="htmlcodes"/>
        </w:rPr>
        <w:t>&lt;h2&gt;</w:t>
      </w:r>
      <w:bookmarkStart w:id="358" w:name="_Toc395684351"/>
      <w:bookmarkStart w:id="359" w:name="_Toc398970603"/>
      <w:r>
        <w:t>Chapter 11</w:t>
      </w:r>
      <w:bookmarkEnd w:id="358"/>
      <w:bookmarkEnd w:id="359"/>
    </w:p>
    <w:p w:rsidR="00B72047" w:rsidRDefault="00B72047">
      <w:pPr>
        <w:pStyle w:val="Heading2"/>
        <w:rPr>
          <w:rStyle w:val="htmlcodes"/>
        </w:rPr>
      </w:pPr>
      <w:r>
        <w:rPr>
          <w:rStyle w:val="htmlcodes"/>
        </w:rPr>
        <w:t>&lt;br&gt;</w:t>
      </w:r>
    </w:p>
    <w:p w:rsidR="00B72047" w:rsidRDefault="00B72047">
      <w:pPr>
        <w:pStyle w:val="Heading2"/>
      </w:pPr>
      <w:bookmarkStart w:id="360" w:name="_Toc398970604"/>
      <w:r>
        <w:t>Events, Qualities, Quantities, And Other Vague Words: On Lojban Abstraction</w:t>
      </w:r>
      <w:bookmarkEnd w:id="360"/>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bookmarkStart w:id="361" w:name="_Toc398970605"/>
      <w:r>
        <w:rPr>
          <w:rStyle w:val="Heading3Text"/>
        </w:rPr>
        <w:t>The syntax of abstraction</w:t>
      </w:r>
      <w:bookmarkEnd w:id="361"/>
      <w:r>
        <w:rPr>
          <w:rStyle w:val="htmlcodes"/>
        </w:rPr>
        <w:t>&lt;/h3&gt;</w:t>
      </w:r>
    </w:p>
    <w:p w:rsidR="00B72047" w:rsidRDefault="00B72047">
      <w:pPr>
        <w:rPr>
          <w:rStyle w:val="htmlparacode"/>
        </w:rPr>
      </w:pPr>
      <w:r>
        <w:rPr>
          <w:rStyle w:val="htmlparacode"/>
        </w:rPr>
        <w:t>&lt;p&gt;</w:t>
      </w:r>
      <w:r>
        <w:rPr>
          <w:rStyle w:val="indexentry"/>
        </w:rPr>
        <w:t>&lt;cx "abstraction, syntax"&gt;</w:t>
      </w:r>
      <w:r>
        <w:rPr>
          <w:rStyle w:val="indexentry"/>
        </w:rPr>
        <w:fldChar w:fldCharType="begin"/>
      </w:r>
      <w:r>
        <w:instrText>xe "</w:instrText>
      </w:r>
      <w:r>
        <w:rPr>
          <w:rStyle w:val="xeentry"/>
        </w:rPr>
        <w:instrText>abstraction(s): syntax</w:instrText>
      </w:r>
      <w:r>
        <w:instrText>"</w:instrText>
      </w:r>
      <w:r>
        <w:rPr>
          <w:rStyle w:val="indexentry"/>
        </w:rPr>
        <w:fldChar w:fldCharType="end"/>
      </w:r>
      <w:r>
        <w:rPr>
          <w:rStyle w:val="indexentry"/>
        </w:rPr>
        <w:t>&lt;cx "NU, syntax"&gt;</w:t>
      </w:r>
      <w:r>
        <w:rPr>
          <w:rStyle w:val="indexentry"/>
        </w:rPr>
        <w:fldChar w:fldCharType="begin"/>
      </w:r>
      <w:r>
        <w:instrText>xe "</w:instrText>
      </w:r>
      <w:r>
        <w:rPr>
          <w:rStyle w:val="xeentry"/>
        </w:rPr>
        <w:instrText>NU selma’o: syntax</w:instrText>
      </w:r>
      <w:r>
        <w:instrText>"</w:instrText>
      </w:r>
      <w:r>
        <w:rPr>
          <w:rStyle w:val="indexentry"/>
        </w:rPr>
        <w:fldChar w:fldCharType="end"/>
      </w:r>
      <w:r>
        <w:rPr>
          <w:rStyle w:val="htmlcodes"/>
        </w:rPr>
        <w:t>&lt;a name=s1&gt;&lt;h3&gt;</w:t>
      </w:r>
    </w:p>
    <w:p w:rsidR="00B72047" w:rsidRDefault="00B72047">
      <w:pPr>
        <w:pStyle w:val="normalparagraph"/>
      </w:pPr>
      <w:r>
        <w:rPr>
          <w:rStyle w:val="indexentry"/>
        </w:rPr>
        <w:t>&lt;cx "clause, subordinate using abstraction"&gt;</w:t>
      </w:r>
      <w:r>
        <w:rPr>
          <w:rStyle w:val="indexentry"/>
        </w:rPr>
        <w:fldChar w:fldCharType="begin"/>
      </w:r>
      <w:r>
        <w:instrText>xe "</w:instrText>
      </w:r>
      <w:r>
        <w:rPr>
          <w:rStyle w:val="xeentry"/>
        </w:rPr>
        <w:instrText>clause: subordinate using abstraction</w:instrText>
      </w:r>
      <w:r>
        <w:instrText>"</w:instrText>
      </w:r>
      <w:r>
        <w:rPr>
          <w:rStyle w:val="indexentry"/>
        </w:rPr>
        <w:fldChar w:fldCharType="end"/>
      </w:r>
      <w:r>
        <w:rPr>
          <w:rStyle w:val="indexentry"/>
        </w:rPr>
        <w:t>&lt;cx "gerund, using abstraction"&gt;</w:t>
      </w:r>
      <w:r>
        <w:rPr>
          <w:rStyle w:val="indexentry"/>
        </w:rPr>
        <w:fldChar w:fldCharType="begin"/>
      </w:r>
      <w:r>
        <w:instrText>xe "</w:instrText>
      </w:r>
      <w:r>
        <w:rPr>
          <w:rStyle w:val="xeentry"/>
        </w:rPr>
        <w:instrText>gerund: using abstraction</w:instrText>
      </w:r>
      <w:r>
        <w:instrText>"</w:instrText>
      </w:r>
      <w:r>
        <w:rPr>
          <w:rStyle w:val="indexentry"/>
        </w:rPr>
        <w:fldChar w:fldCharType="end"/>
      </w:r>
      <w:r>
        <w:t>The purpose of the feature of Lojban known as “abstraction” is to provide</w:t>
      </w:r>
      <w:r>
        <w:rPr>
          <w:rStyle w:val="deletedparamark"/>
        </w:rPr>
        <w:t xml:space="preserve"> </w:t>
      </w:r>
      <w:r>
        <w:t>a means for taking whole bridi and packaging them up, as it were, into</w:t>
      </w:r>
      <w:r>
        <w:rPr>
          <w:rStyle w:val="deletedparamark"/>
        </w:rPr>
        <w:t xml:space="preserve"> </w:t>
      </w:r>
      <w:r>
        <w:t>simple selbri. Syntactically, abstractions are very sim</w:t>
      </w:r>
      <w:r>
        <w:softHyphen/>
        <w:t>ple and uniform;</w:t>
      </w:r>
      <w:r>
        <w:rPr>
          <w:rStyle w:val="deletedparamark"/>
        </w:rPr>
        <w:t xml:space="preserve"> </w:t>
      </w:r>
      <w:r>
        <w:t>semantically, they are rich and complex, with few features in common</w:t>
      </w:r>
      <w:r>
        <w:rPr>
          <w:rStyle w:val="deletedparamark"/>
        </w:rPr>
        <w:t xml:space="preserve"> </w:t>
      </w:r>
      <w:r>
        <w:t>between one variety of abstraction and another. We will begin by discussing</w:t>
      </w:r>
      <w:r>
        <w:rPr>
          <w:rStyle w:val="deletedparamark"/>
        </w:rPr>
        <w:t xml:space="preserve"> </w:t>
      </w:r>
      <w:r>
        <w:t>syntax without regard to semantics; as a result, the notion of abstraction</w:t>
      </w:r>
      <w:r>
        <w:rPr>
          <w:rStyle w:val="deletedparamark"/>
        </w:rPr>
        <w:t xml:space="preserve"> </w:t>
      </w:r>
      <w:r>
        <w:t xml:space="preserve">may seem unmotivated at first. Bear with this difficulty until </w:t>
      </w:r>
      <w:r>
        <w:rPr>
          <w:rStyle w:val="htmlcodes"/>
        </w:rPr>
        <w:t>&lt;a href=#s2&gt;</w:t>
      </w:r>
      <w:r>
        <w:t>Section 2</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 selma’o</w:instrText>
      </w:r>
      <w:r>
        <w:instrText>"</w:instrText>
      </w:r>
      <w:r>
        <w:rPr>
          <w:rStyle w:val="indexentry"/>
        </w:rPr>
        <w:fldChar w:fldCharType="end"/>
      </w:r>
      <w:r>
        <w:t>An abstraction selbri is formed by taking a full bridi and pre</w:t>
      </w:r>
      <w:r>
        <w:softHyphen/>
        <w:t>ceding it</w:t>
      </w:r>
      <w:r>
        <w:rPr>
          <w:rStyle w:val="deletedparamark"/>
        </w:rPr>
        <w:t xml:space="preserve"> </w:t>
      </w:r>
      <w:r>
        <w:t>by any cmavo of selma'o NU. There are twelve such cmavo; they are known</w:t>
      </w:r>
      <w:r>
        <w:rPr>
          <w:rStyle w:val="deletedparamark"/>
        </w:rPr>
        <w:t xml:space="preserve"> </w:t>
      </w:r>
      <w:r>
        <w:t>as “abstractors”. The bridi is closed by the elidable terminator “kei”,</w:t>
      </w:r>
      <w:r>
        <w:rPr>
          <w:rStyle w:val="deletedparamark"/>
        </w:rPr>
        <w:t xml:space="preserve"> </w:t>
      </w:r>
      <w:r>
        <w:t>of selma'o KEI. Thus, to change the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mi klama le zarci</w:t>
      </w:r>
    </w:p>
    <w:p w:rsidR="00B72047" w:rsidRDefault="00B72047">
      <w:pPr>
        <w:pStyle w:val="examplescaled"/>
      </w:pPr>
      <w:r>
        <w:tab/>
        <w:t>I go-to the store.</w:t>
      </w:r>
    </w:p>
    <w:p w:rsidR="00B72047" w:rsidRDefault="00B72047">
      <w:pPr>
        <w:pStyle w:val="resumedafterexample"/>
      </w:pPr>
      <w:r>
        <w:rPr>
          <w:rStyle w:val="htmlcodes"/>
        </w:rPr>
        <w:t>&lt;/pre&gt;</w:t>
      </w:r>
      <w:r>
        <w:t>into an abstraction using “nu”, one of the members of selma'o NU, we</w:t>
      </w:r>
      <w:r>
        <w:rPr>
          <w:rStyle w:val="deletedparamark"/>
        </w:rPr>
        <w:t xml:space="preserve"> </w:t>
      </w:r>
      <w:r>
        <w:t>change it into</w:t>
      </w:r>
    </w:p>
    <w:p w:rsidR="00B72047" w:rsidRDefault="00B72047">
      <w:pPr>
        <w:rPr>
          <w:rStyle w:val="htmlparacode"/>
        </w:rPr>
      </w:pPr>
      <w:r>
        <w:rPr>
          <w:rStyle w:val="htmlparacode"/>
        </w:rPr>
        <w:t>&lt;p&gt;</w:t>
      </w:r>
    </w:p>
    <w:p w:rsidR="00B72047" w:rsidRDefault="00B72047">
      <w:pPr>
        <w:pStyle w:val="examplescaledpre"/>
      </w:pPr>
      <w:r>
        <w:rPr>
          <w:rStyle w:val="indexentry"/>
        </w:rPr>
        <w:t>&lt;cx "observatives, and abstractions"&gt;</w:t>
      </w:r>
      <w:r>
        <w:rPr>
          <w:rStyle w:val="indexentry"/>
        </w:rPr>
        <w:fldChar w:fldCharType="begin"/>
      </w:r>
      <w:r>
        <w:instrText>xe "</w:instrText>
      </w:r>
      <w:r>
        <w:rPr>
          <w:rStyle w:val="xeentry"/>
        </w:rPr>
        <w:instrText>observatives: and abstractions</w:instrText>
      </w:r>
      <w:r>
        <w:instrText>"</w:instrText>
      </w:r>
      <w:r>
        <w:rPr>
          <w:rStyle w:val="indexentry"/>
        </w:rPr>
        <w:fldChar w:fldCharType="end"/>
      </w:r>
      <w:r>
        <w:rPr>
          <w:rStyle w:val="htmlcodes"/>
        </w:rPr>
        <w:t>&lt;pre&gt;&lt;a name=e1d2&gt;</w:t>
      </w:r>
      <w:r>
        <w:t>1.2)</w:t>
      </w:r>
      <w:r>
        <w:tab/>
        <w:t>nu mi klama le zarci [kei]</w:t>
      </w:r>
    </w:p>
    <w:p w:rsidR="00B72047" w:rsidRDefault="00B72047">
      <w:pPr>
        <w:pStyle w:val="examplescaled"/>
      </w:pPr>
      <w:r>
        <w:tab/>
        <w:t>an-event-of my going-to the store</w:t>
      </w:r>
    </w:p>
    <w:p w:rsidR="00B72047" w:rsidRDefault="00B72047">
      <w:pPr>
        <w:pStyle w:val="resumedafterexample"/>
      </w:pPr>
      <w:r>
        <w:rPr>
          <w:rStyle w:val="htmlcodes"/>
        </w:rPr>
        <w:t>&lt;/pre&gt;</w:t>
      </w:r>
      <w:r>
        <w:rPr>
          <w:rStyle w:val="indexentry"/>
        </w:rPr>
        <w:t>&lt;cx "KEI, eliding"&gt;</w:t>
      </w:r>
      <w:r>
        <w:rPr>
          <w:rStyle w:val="indexentry"/>
        </w:rPr>
        <w:fldChar w:fldCharType="begin"/>
      </w:r>
      <w:r>
        <w:instrText>xe "</w:instrText>
      </w:r>
      <w:r>
        <w:rPr>
          <w:rStyle w:val="xeentry"/>
        </w:rPr>
        <w:instrText>KEI selma’o: eliding</w:instrText>
      </w:r>
      <w:r>
        <w:instrText>"</w:instrText>
      </w:r>
      <w:r>
        <w:rPr>
          <w:rStyle w:val="indexentry"/>
        </w:rPr>
        <w:fldChar w:fldCharType="end"/>
      </w:r>
      <w:r>
        <w:t>The bridi may be a simple selbri, or it may have associated sumti, as</w:t>
      </w:r>
      <w:r>
        <w:rPr>
          <w:rStyle w:val="deletedparamark"/>
        </w:rPr>
        <w:t xml:space="preserve"> </w:t>
      </w:r>
      <w:r>
        <w:t>here. It is impor</w:t>
      </w:r>
      <w:r>
        <w:softHyphen/>
        <w:t>tant to beware of eliding “kei” improperly, as</w:t>
      </w:r>
      <w:r>
        <w:rPr>
          <w:rStyle w:val="deletedparamark"/>
        </w:rPr>
        <w:t xml:space="preserve"> </w:t>
      </w:r>
      <w:r>
        <w:t>many of the common uses of abstraction selbri involve following them</w:t>
      </w:r>
      <w:r>
        <w:rPr>
          <w:rStyle w:val="deletedparamark"/>
        </w:rPr>
        <w:t xml:space="preserve"> </w:t>
      </w:r>
      <w:r>
        <w:t>with words that would appear to be part of the abstraction if “kei”</w:t>
      </w:r>
      <w:r>
        <w:rPr>
          <w:rStyle w:val="deletedparamark"/>
        </w:rPr>
        <w:t xml:space="preserve"> </w:t>
      </w:r>
      <w:r>
        <w:t>had been elided.</w:t>
      </w:r>
    </w:p>
    <w:p w:rsidR="00B72047" w:rsidRDefault="00B72047">
      <w:pPr>
        <w:rPr>
          <w:rStyle w:val="htmlparacode"/>
        </w:rPr>
      </w:pPr>
      <w:r>
        <w:rPr>
          <w:rStyle w:val="htmlparacode"/>
        </w:rPr>
        <w:t>&lt;p&gt;</w:t>
      </w:r>
    </w:p>
    <w:p w:rsidR="00B72047" w:rsidRDefault="00B72047">
      <w:pPr>
        <w:pStyle w:val="normalparagraph"/>
      </w:pPr>
      <w:r>
        <w:t>(Technically, “kei” is never necessary, because the elidable terminator</w:t>
      </w:r>
      <w:r>
        <w:rPr>
          <w:rStyle w:val="deletedparamark"/>
        </w:rPr>
        <w:t xml:space="preserve"> “</w:t>
      </w:r>
      <w:r>
        <w:t>vau” that closes every bridi can substitute for it; however, “kei” is</w:t>
      </w:r>
      <w:r>
        <w:rPr>
          <w:rStyle w:val="deletedparamark"/>
        </w:rPr>
        <w:t xml:space="preserve"> </w:t>
      </w:r>
      <w:r>
        <w:t>specific to abstractions, and u</w:t>
      </w:r>
      <w:r>
        <w:t>s</w:t>
      </w:r>
      <w:r>
        <w:softHyphen/>
        <w:t>ing it is almost always clearer.)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"abstraction, grammatical uses"&gt;</w:t>
      </w:r>
      <w:r>
        <w:rPr>
          <w:rStyle w:val="indexentry"/>
        </w:rPr>
        <w:fldChar w:fldCharType="begin"/>
      </w:r>
      <w:r>
        <w:instrText>xe "</w:instrText>
      </w:r>
      <w:r>
        <w:rPr>
          <w:rStyle w:val="xeentry"/>
        </w:rPr>
        <w:instrText>abstraction(s): grammatical uses</w:instrText>
      </w:r>
      <w:r>
        <w:instrText>"</w:instrText>
      </w:r>
      <w:r>
        <w:rPr>
          <w:rStyle w:val="indexentry"/>
        </w:rPr>
        <w:fldChar w:fldCharType="end"/>
      </w:r>
      <w:r>
        <w:rPr>
          <w:rStyle w:val="indexentry"/>
        </w:rPr>
        <w:t>&lt;cx "tanru, and abstractions"&gt;</w:t>
      </w:r>
      <w:r>
        <w:rPr>
          <w:rStyle w:val="indexentry"/>
        </w:rPr>
        <w:fldChar w:fldCharType="begin"/>
      </w:r>
      <w:r>
        <w:instrText>xe "</w:instrText>
      </w:r>
      <w:r>
        <w:rPr>
          <w:rStyle w:val="xeentry"/>
        </w:rPr>
        <w:instrText>tanru: and abstractions</w:instrText>
      </w:r>
      <w:r>
        <w:instrText>"</w:instrText>
      </w:r>
      <w:r>
        <w:rPr>
          <w:rStyle w:val="indexentry"/>
        </w:rPr>
        <w:fldChar w:fldCharType="end"/>
      </w:r>
      <w:r>
        <w:t>The grammatical uses of an abstraction selbri are exactly the same as</w:t>
      </w:r>
      <w:r>
        <w:rPr>
          <w:rStyle w:val="deletedparamark"/>
        </w:rPr>
        <w:t xml:space="preserve"> </w:t>
      </w:r>
      <w:r>
        <w:t>those of a si</w:t>
      </w:r>
      <w:r>
        <w:t>m</w:t>
      </w:r>
      <w:r>
        <w:softHyphen/>
        <w:t>ple brivla. In particular, abstraction selbri may be</w:t>
      </w:r>
      <w:r>
        <w:rPr>
          <w:rStyle w:val="deletedparamark"/>
        </w:rPr>
        <w:t xml:space="preserve"> </w:t>
      </w:r>
      <w:r>
        <w:t xml:space="preserve">used as observatives, as in </w:t>
      </w:r>
      <w:r>
        <w:rPr>
          <w:rStyle w:val="htmlcodes"/>
        </w:rPr>
        <w:t>&lt;a href=#e1d2&gt;</w:t>
      </w:r>
      <w:r>
        <w:t>Ex</w:t>
      </w:r>
      <w:r>
        <w:softHyphen/>
        <w:t>ample 1.2</w:t>
      </w:r>
      <w:r>
        <w:rPr>
          <w:rStyle w:val="htmlcodes"/>
        </w:rPr>
        <w:t>&lt;/a&gt;</w:t>
      </w:r>
      <w:r>
        <w:t>, or used in tanru:</w:t>
      </w:r>
    </w:p>
    <w:p w:rsidR="00B72047" w:rsidRDefault="00B72047">
      <w:pPr>
        <w:rPr>
          <w:rStyle w:val="htmlparacode"/>
        </w:rPr>
      </w:pPr>
      <w:r>
        <w:rPr>
          <w:rStyle w:val="htmlparacode"/>
        </w:rPr>
        <w:t>&lt;p&gt;</w:t>
      </w:r>
    </w:p>
    <w:p w:rsidR="00B72047" w:rsidRDefault="00B72047">
      <w:pPr>
        <w:pStyle w:val="examplescaledpre"/>
      </w:pPr>
      <w:r>
        <w:rPr>
          <w:rStyle w:val="indexentry"/>
        </w:rPr>
        <w:t>&lt;ex "want to be a soldier"&gt;</w:t>
      </w:r>
      <w:r>
        <w:rPr>
          <w:rStyle w:val="indexentry"/>
        </w:rPr>
        <w:fldChar w:fldCharType="begin"/>
      </w:r>
      <w:r>
        <w:instrText>xe "</w:instrText>
      </w:r>
      <w:r>
        <w:rPr>
          <w:rStyle w:val="xeentry"/>
        </w:rPr>
        <w:instrText>want to be a soldier: example</w:instrText>
      </w:r>
      <w:r>
        <w:instrText>"</w:instrText>
      </w:r>
      <w:r>
        <w:rPr>
          <w:rStyle w:val="indexentry"/>
        </w:rPr>
        <w:fldChar w:fldCharType="end"/>
      </w:r>
      <w:r>
        <w:rPr>
          <w:rStyle w:val="htmlcodes"/>
        </w:rPr>
        <w:t>&lt;pre&gt;&lt;a name=e1d3&gt;</w:t>
      </w:r>
      <w:r>
        <w:t>1.3)</w:t>
      </w:r>
      <w:r>
        <w:tab/>
        <w:t>la djan. cu nu sonci kei djica</w:t>
      </w:r>
    </w:p>
    <w:p w:rsidR="00B72047" w:rsidRDefault="00B72047">
      <w:pPr>
        <w:pStyle w:val="examplescaled"/>
      </w:pPr>
      <w:r>
        <w:tab/>
        <w:t>John is-an-(event-of being-a-soldier) type-of desirer.</w:t>
      </w:r>
    </w:p>
    <w:p w:rsidR="00B72047" w:rsidRDefault="00B72047">
      <w:pPr>
        <w:pStyle w:val="examplescaled"/>
      </w:pPr>
      <w:r>
        <w:tab/>
        <w:t>John wants to be a soldier.</w:t>
      </w:r>
    </w:p>
    <w:p w:rsidR="00B72047" w:rsidRDefault="00B72047">
      <w:pPr>
        <w:pStyle w:val="normalafterexample"/>
      </w:pPr>
      <w:r>
        <w:rPr>
          <w:rStyle w:val="htmlcodes"/>
        </w:rPr>
        <w:t>&lt;/pre&gt;</w:t>
      </w:r>
      <w:r>
        <w:rPr>
          <w:rStyle w:val="indexentry"/>
        </w:rPr>
        <w:t>&lt;cx "descriptions, and abstractions"&gt;</w:t>
      </w:r>
      <w:r>
        <w:rPr>
          <w:rStyle w:val="indexentry"/>
        </w:rPr>
        <w:fldChar w:fldCharType="begin"/>
      </w:r>
      <w:r>
        <w:instrText>xe "</w:instrText>
      </w:r>
      <w:r>
        <w:rPr>
          <w:rStyle w:val="xeentry"/>
        </w:rPr>
        <w:instrText>descriptions: and abstractions</w:instrText>
      </w:r>
      <w:r>
        <w:instrText>"</w:instrText>
      </w:r>
      <w:r>
        <w:rPr>
          <w:rStyle w:val="indexentry"/>
        </w:rPr>
        <w:fldChar w:fldCharType="end"/>
      </w:r>
      <w:r>
        <w:t>Abstraction selbri may also be used in descriptions, preceded by “le”</w:t>
      </w:r>
      <w:r>
        <w:rPr>
          <w:rStyle w:val="deletedparamark"/>
        </w:rPr>
        <w:t xml:space="preserve"> </w:t>
      </w:r>
      <w:r>
        <w:t>(or any other member of selma'o 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name=e1d4&gt;</w:t>
      </w:r>
      <w:r>
        <w:t>1.4)</w:t>
      </w:r>
      <w:r>
        <w:tab/>
        <w:t>la djan. cu djica le nu sonci [kei]</w:t>
      </w:r>
    </w:p>
    <w:p w:rsidR="00B72047" w:rsidRDefault="00B72047">
      <w:pPr>
        <w:pStyle w:val="examplescaled"/>
      </w:pPr>
      <w:r>
        <w:tab/>
        <w:t>John desires the event-of being-a-soldier.</w:t>
      </w:r>
    </w:p>
    <w:p w:rsidR="00B72047" w:rsidRDefault="00B72047">
      <w:pPr>
        <w:pStyle w:val="resumedafterexample"/>
      </w:pPr>
      <w:r>
        <w:rPr>
          <w:rStyle w:val="htmlcodes"/>
        </w:rPr>
        <w:t>&lt;/pre&gt;&lt;p&gt;</w:t>
      </w:r>
      <w:r>
        <w:t>We will most often use descriptions containing abstraction either at the</w:t>
      </w:r>
      <w:r>
        <w:rPr>
          <w:rStyle w:val="deletedparamark"/>
        </w:rPr>
        <w:t xml:space="preserve"> </w:t>
      </w:r>
      <w:r>
        <w:t>end of a bridi, or just before the main selbri with its “cu”; in either of</w:t>
      </w:r>
      <w:r>
        <w:rPr>
          <w:rStyle w:val="deletedparamark"/>
        </w:rPr>
        <w:t xml:space="preserve"> </w:t>
      </w:r>
      <w:r>
        <w:t>these circumstances, “kei” can no</w:t>
      </w:r>
      <w:r>
        <w:t>r</w:t>
      </w:r>
      <w:r>
        <w:softHyphen/>
        <w:t>mally be elided.</w:t>
      </w:r>
    </w:p>
    <w:p w:rsidR="00B72047" w:rsidRDefault="00B72047">
      <w:pPr>
        <w:rPr>
          <w:rStyle w:val="htmlparacode"/>
        </w:rPr>
      </w:pPr>
      <w:r>
        <w:rPr>
          <w:rStyle w:val="htmlparacode"/>
        </w:rPr>
        <w:t>&lt;p&gt;</w:t>
      </w:r>
    </w:p>
    <w:p w:rsidR="00B72047" w:rsidRDefault="00B72047">
      <w:pPr>
        <w:pStyle w:val="normalparagraph"/>
      </w:pPr>
      <w:r>
        <w:rPr>
          <w:rStyle w:val="indexentry"/>
        </w:rPr>
        <w:t>&lt;cx "abstractions, place structure"&gt;</w:t>
      </w:r>
      <w:r>
        <w:rPr>
          <w:rStyle w:val="indexentry"/>
        </w:rPr>
        <w:fldChar w:fldCharType="begin"/>
      </w:r>
      <w:r>
        <w:instrText>xe "</w:instrText>
      </w:r>
      <w:r>
        <w:rPr>
          <w:rStyle w:val="xeentry"/>
        </w:rPr>
        <w:instrText>abstraction(s): place structure</w:instrText>
      </w:r>
      <w:r>
        <w:instrText>"</w:instrText>
      </w:r>
      <w:r>
        <w:rPr>
          <w:rStyle w:val="indexentry"/>
        </w:rPr>
        <w:fldChar w:fldCharType="end"/>
      </w:r>
      <w:r>
        <w:t>The place structure of an abstraction selbri depends on the particular</w:t>
      </w:r>
      <w:r>
        <w:rPr>
          <w:rStyle w:val="deletedparamark"/>
        </w:rPr>
        <w:t xml:space="preserve"> </w:t>
      </w:r>
      <w:r>
        <w:t>abstrac</w:t>
      </w:r>
      <w:r>
        <w:softHyphen/>
        <w:t>tor, and will be explained individually in the following sections.</w:t>
      </w:r>
    </w:p>
    <w:p w:rsidR="00B72047" w:rsidRDefault="00B72047">
      <w:pPr>
        <w:rPr>
          <w:rStyle w:val="htmlparacode"/>
        </w:rPr>
      </w:pPr>
      <w:r>
        <w:rPr>
          <w:rStyle w:val="htmlparacode"/>
        </w:rPr>
        <w:t>&lt;p&gt;</w:t>
      </w:r>
    </w:p>
    <w:p w:rsidR="00B72047" w:rsidRDefault="00B72047">
      <w:pPr>
        <w:pStyle w:val="normalparagraph"/>
      </w:pPr>
      <w:r>
        <w:t>Note: In glosses of bridi within abstractions, the grammatical form</w:t>
      </w:r>
      <w:r>
        <w:rPr>
          <w:rStyle w:val="deletedparamark"/>
        </w:rPr>
        <w:t xml:space="preserve"> </w:t>
      </w:r>
      <w:r>
        <w:t>used in the En</w:t>
      </w:r>
      <w:r>
        <w:t>g</w:t>
      </w:r>
      <w:r>
        <w:softHyphen/>
        <w:t xml:space="preserve">lish changes. Thus, in the gloss of </w:t>
      </w:r>
      <w:r>
        <w:rPr>
          <w:rStyle w:val="htmlcodes"/>
        </w:rPr>
        <w:t>&lt;a href=#e1d2&gt;</w:t>
      </w:r>
      <w:r>
        <w:t xml:space="preserve">Example 1.2 </w:t>
      </w:r>
      <w:r>
        <w:rPr>
          <w:rStyle w:val="htmlcodes"/>
        </w:rPr>
        <w:t>&lt;/a&gt;</w:t>
      </w:r>
      <w:r>
        <w:t>we see</w:t>
      </w:r>
      <w:r>
        <w:rPr>
          <w:rStyle w:val="deletedparamark"/>
        </w:rPr>
        <w:t xml:space="preserve"> “</w:t>
      </w:r>
      <w:r>
        <w:t>my going-to the store” rather than “I go-to the store”; like</w:t>
      </w:r>
      <w:r>
        <w:softHyphen/>
        <w:t>wise,</w:t>
      </w:r>
      <w:r>
        <w:rPr>
          <w:rStyle w:val="deletedparamark"/>
        </w:rPr>
        <w:t xml:space="preserve"> </w:t>
      </w:r>
      <w:r>
        <w:t xml:space="preserve">in the glosses of </w:t>
      </w:r>
      <w:r>
        <w:rPr>
          <w:rStyle w:val="htmlcodes"/>
        </w:rPr>
        <w:t>&lt;a href=#e1d3&gt;</w:t>
      </w:r>
      <w:r>
        <w:t xml:space="preserve">Example 1.3 </w:t>
      </w:r>
      <w:r>
        <w:rPr>
          <w:rStyle w:val="htmlcodes"/>
        </w:rPr>
        <w:t>&lt;/a&gt;</w:t>
      </w:r>
      <w:r>
        <w:t xml:space="preserve">and </w:t>
      </w:r>
      <w:r>
        <w:rPr>
          <w:rStyle w:val="htmlcodes"/>
        </w:rPr>
        <w:t>&lt;a href=#e1d4&gt;</w:t>
      </w:r>
      <w:r>
        <w:t xml:space="preserve">Example 1.4 </w:t>
      </w:r>
      <w:r>
        <w:rPr>
          <w:rStyle w:val="htmlcodes"/>
        </w:rPr>
        <w:t>&lt;/a&gt;</w:t>
      </w:r>
      <w:r>
        <w:t>we see “being-a-soldier”</w:t>
      </w:r>
      <w:r>
        <w:rPr>
          <w:rStyle w:val="deletedparamark"/>
        </w:rPr>
        <w:t xml:space="preserve"> </w:t>
      </w:r>
      <w:r>
        <w:t>rather than “is-a-soldier”. This procedure reflects the desire for</w:t>
      </w:r>
      <w:r>
        <w:rPr>
          <w:rStyle w:val="deletedparamark"/>
        </w:rPr>
        <w:t xml:space="preserve"> </w:t>
      </w:r>
      <w:r>
        <w:t>more understandable glosses, and does not indicate any change in the Lojban</w:t>
      </w:r>
      <w:r>
        <w:rPr>
          <w:rStyle w:val="deletedparamark"/>
        </w:rPr>
        <w:t xml:space="preserve"> </w:t>
      </w:r>
      <w:r>
        <w:t>form. A bridi is a bridi, and undergoes no change when it is used as</w:t>
      </w:r>
      <w:r>
        <w:rPr>
          <w:rStyle w:val="deletedparamark"/>
        </w:rPr>
        <w:t xml:space="preserve"> </w:t>
      </w:r>
      <w:r>
        <w:t>part of an abstraction selbri.</w:t>
      </w:r>
    </w:p>
    <w:p w:rsidR="00B72047" w:rsidRDefault="00B72047">
      <w:pPr>
        <w:rPr>
          <w:rStyle w:val="htmlparacode"/>
        </w:rPr>
      </w:pPr>
      <w:r>
        <w:rPr>
          <w:rStyle w:val="htmlparacode"/>
        </w:rPr>
        <w:t>&lt;p&gt;</w:t>
      </w:r>
    </w:p>
    <w:p w:rsidR="00B72047" w:rsidRDefault="00B72047">
      <w:pPr>
        <w:pStyle w:val="Heading3"/>
        <w:rPr>
          <w:rStyle w:val="Heading3Text"/>
        </w:rPr>
      </w:pPr>
      <w:bookmarkStart w:id="362" w:name="_Toc398970606"/>
      <w:r>
        <w:rPr>
          <w:rStyle w:val="Heading3Text"/>
        </w:rPr>
        <w:t>Event abstraction</w:t>
      </w:r>
      <w:bookmarkEnd w:id="362"/>
      <w:r>
        <w:rPr>
          <w:rStyle w:val="htmlcodes"/>
        </w:rPr>
        <w:t>&lt;/h3&gt;</w:t>
      </w:r>
    </w:p>
    <w:p w:rsidR="00B72047" w:rsidRDefault="00B72047">
      <w:pPr>
        <w:rPr>
          <w:rStyle w:val="htmlparacode"/>
        </w:rPr>
      </w:pPr>
      <w:r>
        <w:rPr>
          <w:rStyle w:val="htmlparacode"/>
        </w:rPr>
        <w:t>&lt;p&gt;</w:t>
      </w:r>
      <w:r>
        <w:rPr>
          <w:rStyle w:val="indexentry"/>
        </w:rPr>
        <w:t>&lt;cx "event abstractions"&gt;</w:t>
      </w:r>
      <w:r>
        <w:rPr>
          <w:rStyle w:val="indexentry"/>
        </w:rPr>
        <w:fldChar w:fldCharType="begin"/>
      </w:r>
      <w:r>
        <w:instrText>xe "</w:instrText>
      </w:r>
      <w:r>
        <w:rPr>
          <w:rStyle w:val="xeentry"/>
        </w:rPr>
        <w:instrText>event abstractions</w:instrText>
      </w:r>
      <w:r>
        <w:instrText>"</w:instrText>
      </w:r>
      <w:r>
        <w:rPr>
          <w:rStyle w:val="indexentry"/>
        </w:rPr>
        <w:fldChar w:fldCharType="end"/>
      </w:r>
      <w:r>
        <w:rPr>
          <w:rStyle w:val="indexentry"/>
        </w:rPr>
        <w:t>&lt;cx "abstractions, event"&gt;</w:t>
      </w:r>
      <w:r>
        <w:rPr>
          <w:rStyle w:val="indexentry"/>
        </w:rPr>
        <w:fldChar w:fldCharType="begin"/>
      </w:r>
      <w:r>
        <w:instrText>xe "</w:instrText>
      </w:r>
      <w:r>
        <w:rPr>
          <w:rStyle w:val="xeentry"/>
        </w:rPr>
        <w:instrText>abstraction(s): event</w:instrText>
      </w:r>
      <w:r>
        <w:instrText>"</w:instrText>
      </w:r>
      <w:r>
        <w:rPr>
          <w:rStyle w:val="indexentry"/>
        </w:rPr>
        <w:fldChar w:fldCharType="end"/>
      </w:r>
      <w:r>
        <w:rPr>
          <w:rStyle w:val="htmlcodes"/>
        </w:rPr>
        <w:t>&lt;a name=s2&gt;&lt;h3&gt;</w:t>
      </w:r>
    </w:p>
    <w:p w:rsidR="00B72047" w:rsidRDefault="00B72047">
      <w:pPr>
        <w:pStyle w:val="normalparagraph"/>
        <w:spacing w:before="0"/>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nu</w:t>
      </w:r>
      <w:r>
        <w:tab/>
        <w:t>NU</w:t>
      </w:r>
      <w:r>
        <w:tab/>
        <w:t>event abstractor</w:t>
      </w:r>
    </w:p>
    <w:p w:rsidR="00B72047" w:rsidRDefault="00B72047">
      <w:pPr>
        <w:pStyle w:val="normalparagraph"/>
      </w:pPr>
      <w:r>
        <w:rPr>
          <w:rStyle w:val="htmlcodes"/>
        </w:rPr>
        <w:t>&lt;/pre</w:t>
      </w:r>
      <w:r>
        <w:rPr>
          <w:rStyle w:val="indexentry"/>
        </w:rPr>
        <w:t>&gt;&lt;cx "common abstractor"&gt;</w:t>
      </w:r>
      <w:r>
        <w:rPr>
          <w:rStyle w:val="indexentry"/>
        </w:rPr>
        <w:fldChar w:fldCharType="begin"/>
      </w:r>
      <w:r>
        <w:instrText>xe "</w:instrText>
      </w:r>
      <w:r>
        <w:rPr>
          <w:rStyle w:val="xeentry"/>
        </w:rPr>
        <w:instrText>common abstractor</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&lt;cx "nu, definition"&gt;</w:t>
      </w:r>
      <w:r>
        <w:rPr>
          <w:rStyle w:val="indexentry"/>
        </w:rPr>
        <w:fldChar w:fldCharType="begin"/>
      </w:r>
      <w:r>
        <w:instrText>xe "</w:instrText>
      </w:r>
      <w:r>
        <w:rPr>
          <w:rStyle w:val="xeentry"/>
        </w:rPr>
        <w:instrText>nu: definition</w:instrText>
      </w:r>
      <w:r>
        <w:instrText>"</w:instrText>
      </w:r>
      <w:r>
        <w:rPr>
          <w:rStyle w:val="indexentry"/>
        </w:rPr>
        <w:fldChar w:fldCharType="end"/>
      </w:r>
      <w:r>
        <w:rPr>
          <w:rStyle w:val="indexentry"/>
        </w:rPr>
        <w:t>&lt;cx "le nu, definition"&gt;</w:t>
      </w:r>
      <w:r>
        <w:rPr>
          <w:rStyle w:val="indexentry"/>
        </w:rPr>
        <w:fldChar w:fldCharType="begin"/>
      </w:r>
      <w:r>
        <w:instrText>xe "</w:instrText>
      </w:r>
      <w:r>
        <w:rPr>
          <w:rStyle w:val="xeentry"/>
        </w:rPr>
        <w:instrText>le nu: definition</w:instrText>
      </w:r>
      <w:r>
        <w:instrText>"</w:instrText>
      </w:r>
      <w:r>
        <w:rPr>
          <w:rStyle w:val="indexentry"/>
        </w:rPr>
        <w:fldChar w:fldCharType="end"/>
      </w:r>
      <w:r>
        <w:t xml:space="preserve">The examples in </w:t>
      </w:r>
      <w:r>
        <w:rPr>
          <w:rStyle w:val="htmlcodes"/>
        </w:rPr>
        <w:t>&lt;a href=#s1&gt;</w:t>
      </w:r>
      <w:r>
        <w:t xml:space="preserve">Section 1 </w:t>
      </w:r>
      <w:r>
        <w:rPr>
          <w:rStyle w:val="htmlcodes"/>
        </w:rPr>
        <w:t>&lt;/a&gt;</w:t>
      </w:r>
      <w:r>
        <w:t>made use of “nu” as the abstrac</w:t>
      </w:r>
      <w:r>
        <w:softHyphen/>
        <w:t>tor, and it is</w:t>
      </w:r>
      <w:r>
        <w:rPr>
          <w:rStyle w:val="deletedparamark"/>
        </w:rPr>
        <w:t xml:space="preserve"> </w:t>
      </w:r>
      <w:r>
        <w:t>cer</w:t>
      </w:r>
      <w:r>
        <w:softHyphen/>
        <w:t>tainly the most common abstractor in Lojban text. Its purpose is</w:t>
      </w:r>
      <w:r>
        <w:rPr>
          <w:rStyle w:val="deletedparamark"/>
        </w:rPr>
        <w:t xml:space="preserve"> </w:t>
      </w:r>
      <w:r>
        <w:t>to capture the event or state of the bridi considered as a whole.</w:t>
      </w:r>
      <w:r>
        <w:rPr>
          <w:rStyle w:val="deletedparamark"/>
        </w:rPr>
        <w:t xml:space="preserve"> </w:t>
      </w:r>
      <w:r>
        <w:t>Do not confuse the “le” description built on a “nu” abstra</w:t>
      </w:r>
      <w:r>
        <w:t>c</w:t>
      </w:r>
      <w:r>
        <w:softHyphen/>
        <w:t>tion with</w:t>
      </w:r>
      <w:r>
        <w:rPr>
          <w:rStyle w:val="deletedparamark"/>
        </w:rPr>
        <w:t xml:space="preserve"> </w:t>
      </w:r>
      <w:r>
        <w:t>ordinary descriptions based on “le” alone. The following sumti are</w:t>
      </w:r>
      <w:r>
        <w:rPr>
          <w:rStyle w:val="deletedparamark"/>
        </w:rPr>
        <w:t xml:space="preserve"> </w:t>
      </w:r>
      <w:r>
        <w:t>quite di</w:t>
      </w:r>
      <w:r>
        <w:t>s</w:t>
      </w:r>
      <w:r>
        <w:softHyphen/>
        <w:t>tinct: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le klama</w:t>
      </w:r>
    </w:p>
    <w:p w:rsidR="00B72047" w:rsidRDefault="00B72047">
      <w:pPr>
        <w:pStyle w:val="examplescaled"/>
      </w:pPr>
      <w:r>
        <w:tab/>
        <w:t>the comer, that which comes</w:t>
      </w:r>
    </w:p>
    <w:p w:rsidR="00B72047" w:rsidRDefault="00B72047">
      <w:pPr>
        <w:pStyle w:val="examplescaledpre"/>
        <w:spacing w:before="80"/>
      </w:pPr>
      <w:r>
        <w:rPr>
          <w:rStyle w:val="htmlcodes"/>
        </w:rPr>
        <w:t>&lt;a name=e2d2&gt;</w:t>
      </w:r>
      <w:r>
        <w:t>2.2)</w:t>
      </w:r>
      <w:r>
        <w:tab/>
        <w:t>le se klama</w:t>
      </w:r>
    </w:p>
    <w:p w:rsidR="00B72047" w:rsidRDefault="00B72047">
      <w:pPr>
        <w:pStyle w:val="examplescaled"/>
      </w:pPr>
      <w:r>
        <w:tab/>
        <w:t>the destination</w:t>
      </w:r>
    </w:p>
    <w:p w:rsidR="00B72047" w:rsidRDefault="00B72047">
      <w:pPr>
        <w:pStyle w:val="examplescaledpre"/>
        <w:spacing w:before="80"/>
      </w:pPr>
      <w:r>
        <w:rPr>
          <w:rStyle w:val="htmlcodes"/>
        </w:rPr>
        <w:t>&lt;a name=e2d3&gt;</w:t>
      </w:r>
      <w:r>
        <w:t>2.3)</w:t>
      </w:r>
      <w:r>
        <w:tab/>
        <w:t>le te klama</w:t>
      </w:r>
    </w:p>
    <w:p w:rsidR="00B72047" w:rsidRDefault="00B72047">
      <w:pPr>
        <w:pStyle w:val="examplescaled"/>
      </w:pPr>
      <w:r>
        <w:tab/>
        <w:t>the origin</w:t>
      </w:r>
    </w:p>
    <w:p w:rsidR="00B72047" w:rsidRDefault="00B72047">
      <w:pPr>
        <w:pStyle w:val="examplescaledpre"/>
        <w:spacing w:before="80"/>
      </w:pPr>
      <w:r>
        <w:rPr>
          <w:rStyle w:val="htmlcodes"/>
        </w:rPr>
        <w:t>&lt;a name=e2d4&gt;</w:t>
      </w:r>
      <w:r>
        <w:t>2.4)</w:t>
      </w:r>
      <w:r>
        <w:tab/>
        <w:t>le ve klama</w:t>
      </w:r>
    </w:p>
    <w:p w:rsidR="00B72047" w:rsidRDefault="00B72047">
      <w:pPr>
        <w:pStyle w:val="examplescaled"/>
      </w:pPr>
      <w:r>
        <w:tab/>
        <w:t>the route</w:t>
      </w:r>
    </w:p>
    <w:p w:rsidR="00B72047" w:rsidRDefault="00B72047">
      <w:pPr>
        <w:pStyle w:val="examplescaledpre"/>
        <w:spacing w:before="80"/>
      </w:pPr>
      <w:r>
        <w:rPr>
          <w:rStyle w:val="htmlcodes"/>
        </w:rPr>
        <w:t>&lt;a name=e2d5&gt;</w:t>
      </w:r>
      <w:r>
        <w:t>2.5)</w:t>
      </w:r>
      <w:r>
        <w:tab/>
        <w:t>le xe klama</w:t>
      </w:r>
    </w:p>
    <w:p w:rsidR="00B72047" w:rsidRDefault="00B72047">
      <w:pPr>
        <w:pStyle w:val="examplescaled"/>
      </w:pPr>
      <w:r>
        <w:tab/>
        <w:t>the means of transportation</w:t>
      </w:r>
    </w:p>
    <w:p w:rsidR="00B72047" w:rsidRDefault="00B72047">
      <w:pPr>
        <w:pStyle w:val="examplescaledpre"/>
        <w:spacing w:before="80"/>
      </w:pPr>
      <w:r>
        <w:rPr>
          <w:rStyle w:val="htmlcodes"/>
        </w:rPr>
        <w:t>&lt;a name=e2d6&gt;</w:t>
      </w:r>
      <w:r>
        <w:t>2.6)</w:t>
      </w:r>
      <w:r>
        <w:tab/>
        <w:t>le nu klama</w:t>
      </w:r>
    </w:p>
    <w:p w:rsidR="00B72047" w:rsidRDefault="00B72047">
      <w:pPr>
        <w:pStyle w:val="examplescaled"/>
      </w:pPr>
      <w:r>
        <w:tab/>
        <w:t>the event of someone coming to somewhere from somewhere by some route</w:t>
      </w:r>
    </w:p>
    <w:p w:rsidR="00B72047" w:rsidRDefault="00B72047">
      <w:pPr>
        <w:pStyle w:val="examplescaled"/>
        <w:ind w:firstLine="576"/>
      </w:pPr>
      <w:r>
        <w:t>using some means</w:t>
      </w:r>
    </w:p>
    <w:p w:rsidR="00B72047" w:rsidRDefault="00B72047">
      <w:pPr>
        <w:pStyle w:val="resumedafterexample"/>
      </w:pPr>
      <w:r>
        <w:rPr>
          <w:rStyle w:val="htmlcodes"/>
        </w:rPr>
        <w:t>&lt;/pre&gt;&lt;a href=#e2d{1}&gt;</w:t>
      </w:r>
      <w:r>
        <w:t xml:space="preserve">Examples 2.1 </w:t>
      </w:r>
      <w:r>
        <w:rPr>
          <w:rStyle w:val="htmlcodes"/>
        </w:rPr>
        <w:t>&lt;/a&gt;</w:t>
      </w:r>
      <w:r>
        <w:t xml:space="preserve">through </w:t>
      </w:r>
      <w:r>
        <w:rPr>
          <w:rStyle w:val="htmlcodes"/>
        </w:rPr>
        <w:t>&lt;a href=#e2d5&gt;</w:t>
      </w:r>
      <w:r>
        <w:t xml:space="preserve">2.5 </w:t>
      </w:r>
      <w:r>
        <w:rPr>
          <w:rStyle w:val="htmlcodes"/>
        </w:rPr>
        <w:t>&lt;/a&gt;</w:t>
      </w:r>
      <w:r>
        <w:t>are descriptions that isolate the five indi</w:t>
      </w:r>
      <w:r>
        <w:softHyphen/>
        <w:t>vidual</w:t>
      </w:r>
      <w:r>
        <w:rPr>
          <w:rStyle w:val="deletedparamark"/>
        </w:rPr>
        <w:t xml:space="preserve"> </w:t>
      </w:r>
      <w:r>
        <w:t xml:space="preserve">sumti places of the selbri “klama”. </w:t>
      </w:r>
      <w:r>
        <w:rPr>
          <w:rStyle w:val="htmlcodes"/>
        </w:rPr>
        <w:t>&lt;a href=#e2d6&gt;</w:t>
      </w:r>
      <w:r>
        <w:t xml:space="preserve">Example 2.6 </w:t>
      </w:r>
      <w:r>
        <w:rPr>
          <w:rStyle w:val="htmlcodes"/>
        </w:rPr>
        <w:t>&lt;/a&gt;</w:t>
      </w:r>
      <w:r>
        <w:t>describes something associated</w:t>
      </w:r>
      <w:r>
        <w:rPr>
          <w:rStyle w:val="deletedparamark"/>
        </w:rPr>
        <w:t xml:space="preserve"> </w:t>
      </w:r>
      <w:r>
        <w:t>with the bridi as a whole: the event of it.</w:t>
      </w:r>
    </w:p>
    <w:p w:rsidR="00B72047" w:rsidRDefault="00B72047">
      <w:pPr>
        <w:rPr>
          <w:rStyle w:val="htmlparacode"/>
        </w:rPr>
      </w:pPr>
      <w:r>
        <w:rPr>
          <w:rStyle w:val="htmlparacode"/>
        </w:rPr>
        <w:t>&lt;p&gt;</w:t>
      </w:r>
    </w:p>
    <w:p w:rsidR="00B72047" w:rsidRDefault="00B72047">
      <w:pPr>
        <w:pStyle w:val="normalparagraph"/>
      </w:pPr>
      <w:r>
        <w:rPr>
          <w:rStyle w:val="indexentry"/>
        </w:rPr>
        <w:t>&lt;cx "events, duration"&gt;</w:t>
      </w:r>
      <w:r>
        <w:rPr>
          <w:rStyle w:val="indexentry"/>
        </w:rPr>
        <w:fldChar w:fldCharType="begin"/>
      </w:r>
      <w:r>
        <w:instrText>xe "</w:instrText>
      </w:r>
      <w:r>
        <w:rPr>
          <w:rStyle w:val="xeentry"/>
        </w:rPr>
        <w:instrText>events: duration</w:instrText>
      </w:r>
      <w:r>
        <w:instrText>"</w:instrText>
      </w:r>
      <w:r>
        <w:rPr>
          <w:rStyle w:val="indexentry"/>
        </w:rPr>
        <w:fldChar w:fldCharType="end"/>
      </w:r>
      <w:r>
        <w:t>In Lojban, the term “event” is divorced from its ordinary Eng</w:t>
      </w:r>
      <w:r>
        <w:softHyphen/>
        <w:t>lish sense of</w:t>
      </w:r>
      <w:r>
        <w:rPr>
          <w:rStyle w:val="deletedparamark"/>
        </w:rPr>
        <w:t xml:space="preserve"> </w:t>
      </w:r>
      <w:r>
        <w:t>something that happens over a short period of time. The description: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name=e2d7&gt;</w:t>
      </w:r>
      <w:r>
        <w:t>2.7)</w:t>
      </w:r>
      <w:r>
        <w:tab/>
        <w:t>le nu mi vasxu</w:t>
      </w:r>
    </w:p>
    <w:p w:rsidR="00B72047" w:rsidRDefault="00B72047">
      <w:pPr>
        <w:pStyle w:val="examplescaled"/>
      </w:pPr>
      <w:r>
        <w:tab/>
        <w:t>the event-of my breathing</w:t>
      </w:r>
    </w:p>
    <w:p w:rsidR="00B72047" w:rsidRDefault="00B72047">
      <w:pPr>
        <w:pStyle w:val="resumedafterexample"/>
      </w:pPr>
      <w:r>
        <w:rPr>
          <w:rStyle w:val="htmlcodes"/>
        </w:rPr>
        <w:t>&lt;/pre&gt;</w:t>
      </w:r>
      <w:r>
        <w:t>is an event which lasts for the whole of my life (under normal circum</w:t>
      </w:r>
      <w:r>
        <w:softHyphen/>
        <w:t>stances).</w:t>
      </w:r>
      <w:r>
        <w:rPr>
          <w:rStyle w:val="deletedparamark"/>
        </w:rPr>
        <w:t xml:space="preserve"> </w:t>
      </w:r>
      <w:r>
        <w:t>On the other hand,</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"kissing Jane, example"</w:instrText>
      </w:r>
      <w:r>
        <w:rPr>
          <w:rStyle w:val="xeentry"/>
        </w:rPr>
        <w:fldChar w:fldCharType="end"/>
      </w:r>
      <w:r>
        <w:rPr>
          <w:rStyle w:val="htmlcodes"/>
        </w:rPr>
        <w:t>&lt;pre&gt;&lt;a name=e2d8&gt;</w:t>
      </w:r>
      <w:r>
        <w:t>2.8)</w:t>
      </w:r>
      <w:r>
        <w:tab/>
        <w:t>le nu la djan. cinba la djein.</w:t>
      </w:r>
    </w:p>
    <w:p w:rsidR="00B72047" w:rsidRDefault="00B72047">
      <w:pPr>
        <w:pStyle w:val="examplescaled"/>
      </w:pPr>
      <w:r>
        <w:tab/>
        <w:t>the event-of John kissing Jane</w:t>
      </w:r>
    </w:p>
    <w:p w:rsidR="00B72047" w:rsidRDefault="00B72047">
      <w:pPr>
        <w:pStyle w:val="resumedafterexample"/>
      </w:pPr>
      <w:r>
        <w:rPr>
          <w:rStyle w:val="htmlcodes"/>
        </w:rPr>
        <w:t>&lt;/pre&gt;</w:t>
      </w:r>
      <w:r>
        <w:rPr>
          <w:rStyle w:val="indexentry"/>
        </w:rPr>
        <w:t>&lt;cx "normal circumstances"&gt;</w:t>
      </w:r>
      <w:r>
        <w:rPr>
          <w:rStyle w:val="indexentry"/>
        </w:rPr>
        <w:fldChar w:fldCharType="begin"/>
      </w:r>
      <w:r>
        <w:instrText>xe "</w:instrText>
      </w:r>
      <w:r>
        <w:rPr>
          <w:rStyle w:val="xeentry"/>
        </w:rPr>
        <w:instrText>normal circumstances</w:instrText>
      </w:r>
      <w:r>
        <w:instrText>"</w:instrText>
      </w:r>
      <w:r>
        <w:rPr>
          <w:rStyle w:val="indexentry"/>
        </w:rPr>
        <w:fldChar w:fldCharType="end"/>
      </w:r>
      <w:r>
        <w:t>is relatively brief by comparison (again, under normal circumstances).</w:t>
      </w:r>
    </w:p>
    <w:p w:rsidR="00B72047" w:rsidRDefault="00B72047">
      <w:pPr>
        <w:rPr>
          <w:rStyle w:val="htmlparacode"/>
        </w:rPr>
      </w:pPr>
      <w:r>
        <w:rPr>
          <w:rStyle w:val="htmlparacode"/>
        </w:rPr>
        <w:t>&lt;p&gt;</w:t>
      </w:r>
    </w:p>
    <w:p w:rsidR="00B72047" w:rsidRDefault="00B72047">
      <w:pPr>
        <w:pStyle w:val="normalparagraph"/>
      </w:pPr>
      <w:r>
        <w:rPr>
          <w:rStyle w:val="indexentry"/>
        </w:rPr>
        <w:t>&lt;cx "abstraction, sumti ellipsis in"&gt;</w:t>
      </w:r>
      <w:r>
        <w:rPr>
          <w:rStyle w:val="indexentry"/>
        </w:rPr>
        <w:fldChar w:fldCharType="begin"/>
      </w:r>
      <w:r>
        <w:instrText>xe "</w:instrText>
      </w:r>
      <w:r>
        <w:rPr>
          <w:rStyle w:val="xeentry"/>
        </w:rPr>
        <w:instrText>abstraction(s): sumti ellipsis in</w:instrText>
      </w:r>
      <w:r>
        <w:instrText>"</w:instrText>
      </w:r>
      <w:r>
        <w:rPr>
          <w:rStyle w:val="indexentry"/>
        </w:rPr>
        <w:fldChar w:fldCharType="end"/>
      </w:r>
      <w:r>
        <w:t xml:space="preserve">We can see from </w:t>
      </w:r>
      <w:r>
        <w:rPr>
          <w:rStyle w:val="htmlcodes"/>
        </w:rPr>
        <w:t>&lt;a href=#e2d{6}&gt;</w:t>
      </w:r>
      <w:r>
        <w:t xml:space="preserve">Examples 2.6 </w:t>
      </w:r>
      <w:r>
        <w:rPr>
          <w:rStyle w:val="htmlcodes"/>
        </w:rPr>
        <w:t>&lt;/a&gt;</w:t>
      </w:r>
      <w:r>
        <w:t xml:space="preserve">through </w:t>
      </w:r>
      <w:r>
        <w:rPr>
          <w:rStyle w:val="htmlcodes"/>
        </w:rPr>
        <w:t>&lt;a href=#e2d8&gt;</w:t>
      </w:r>
      <w:r>
        <w:t xml:space="preserve">2.8 </w:t>
      </w:r>
      <w:r>
        <w:rPr>
          <w:rStyle w:val="htmlcodes"/>
        </w:rPr>
        <w:t>&lt;/a&gt;</w:t>
      </w:r>
      <w:r>
        <w:t>that ellipsis of sumti is valid in</w:t>
      </w:r>
      <w:r>
        <w:rPr>
          <w:rStyle w:val="deletedparamark"/>
        </w:rPr>
        <w:t xml:space="preserve"> </w:t>
      </w:r>
      <w:r>
        <w:t>the bridi of abstraction selbri, just as in the main bridi of a sentence.</w:t>
      </w:r>
      <w:r>
        <w:rPr>
          <w:rStyle w:val="deletedparamark"/>
        </w:rPr>
        <w:t xml:space="preserve"> </w:t>
      </w:r>
      <w:r>
        <w:t>Any sumti may be ellipsized if the listener will be able to figure out from</w:t>
      </w:r>
      <w:r>
        <w:rPr>
          <w:rStyle w:val="deletedparamark"/>
        </w:rPr>
        <w:t xml:space="preserve"> </w:t>
      </w:r>
      <w:r>
        <w:t>context what the proper value of it is, or else to rec</w:t>
      </w:r>
      <w:r>
        <w:softHyphen/>
        <w:t>ognize that the proper</w:t>
      </w:r>
      <w:r>
        <w:rPr>
          <w:rStyle w:val="deletedparamark"/>
        </w:rPr>
        <w:t xml:space="preserve"> </w:t>
      </w:r>
      <w:r>
        <w:t>value is unimportant. It is extremely common for “nu” a</w:t>
      </w:r>
      <w:r>
        <w:t>b</w:t>
      </w:r>
      <w:r>
        <w:softHyphen/>
        <w:t>stractions in</w:t>
      </w:r>
      <w:r>
        <w:rPr>
          <w:rStyle w:val="deletedparamark"/>
        </w:rPr>
        <w:t xml:space="preserve"> </w:t>
      </w:r>
      <w:r>
        <w:t>descriptions to have the x1 place ellipsized: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name=e2d9&gt;</w:t>
      </w:r>
      <w:r>
        <w:t>2.9)</w:t>
      </w:r>
      <w:r>
        <w:tab/>
        <w:t>mi nelci le nu limna</w:t>
      </w:r>
    </w:p>
    <w:p w:rsidR="00B72047" w:rsidRDefault="00B72047">
      <w:pPr>
        <w:pStyle w:val="examplescaled"/>
      </w:pPr>
      <w:r>
        <w:tab/>
        <w:t>I like the event-of swimming.</w:t>
      </w:r>
    </w:p>
    <w:p w:rsidR="00B72047" w:rsidRDefault="00B72047">
      <w:pPr>
        <w:pStyle w:val="examplescaled"/>
      </w:pPr>
      <w:r>
        <w:tab/>
        <w:t>I like swimming.</w:t>
      </w:r>
    </w:p>
    <w:p w:rsidR="00B72047" w:rsidRDefault="00B72047">
      <w:pPr>
        <w:pStyle w:val="resumedafterexample"/>
      </w:pPr>
      <w:r>
        <w:rPr>
          <w:rStyle w:val="htmlcodes"/>
        </w:rPr>
        <w:t>&lt;/pre&gt;</w:t>
      </w:r>
      <w:r>
        <w:t>is elliptical, and most probably 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name=e2d10&gt;</w:t>
      </w:r>
      <w:r>
        <w:t>2.10)</w:t>
      </w:r>
      <w:r>
        <w:tab/>
        <w:t>mi nelci le nu mi limna</w:t>
      </w:r>
    </w:p>
    <w:p w:rsidR="00B72047" w:rsidRDefault="00B72047">
      <w:pPr>
        <w:pStyle w:val="examplescaled"/>
      </w:pPr>
      <w:r>
        <w:tab/>
        <w:t>I like the event-of I swim.</w:t>
      </w:r>
    </w:p>
    <w:p w:rsidR="00B72047" w:rsidRDefault="00B72047">
      <w:pPr>
        <w:pStyle w:val="resumedafterexample"/>
      </w:pPr>
      <w:r>
        <w:rPr>
          <w:rStyle w:val="htmlcodes"/>
        </w:rPr>
        <w:t>&lt;/pre&gt;&lt;p&gt;</w:t>
      </w:r>
      <w:r>
        <w:t xml:space="preserve">In the proper context, of course, </w:t>
      </w:r>
      <w:r>
        <w:rPr>
          <w:rStyle w:val="htmlcodes"/>
        </w:rPr>
        <w:t>&lt;a href=#e2d9&gt;</w:t>
      </w:r>
      <w:r>
        <w:t xml:space="preserve">Example 2.9 </w:t>
      </w:r>
      <w:r>
        <w:rPr>
          <w:rStyle w:val="htmlcodes"/>
        </w:rPr>
        <w:t>&lt;/a&gt;</w:t>
      </w:r>
      <w:r>
        <w:t>could refer to the event of</w:t>
      </w:r>
      <w:r>
        <w:rPr>
          <w:rStyle w:val="deletedparamark"/>
        </w:rPr>
        <w:t xml:space="preserve"> </w:t>
      </w:r>
      <w:r>
        <w:t>somebody else swimming. Its English equivalent, “I like swimming”, can't be</w:t>
      </w:r>
      <w:r>
        <w:rPr>
          <w:rStyle w:val="deletedparamark"/>
        </w:rPr>
        <w:t xml:space="preserve"> </w:t>
      </w:r>
      <w:r>
        <w:t>interpreted as “I like Frank's swimming”; this is a fundamental distinction</w:t>
      </w:r>
      <w:r>
        <w:rPr>
          <w:rStyle w:val="deletedparamark"/>
        </w:rPr>
        <w:t xml:space="preserve"> </w:t>
      </w:r>
      <w:r>
        <w:t>between English and Lojban. In Lojban, an omitted sumti can mean whatever</w:t>
      </w:r>
      <w:r>
        <w:rPr>
          <w:rStyle w:val="deletedparamark"/>
        </w:rPr>
        <w:t xml:space="preserve"> </w:t>
      </w:r>
      <w:r>
        <w:t>the context indicates that it should mean.</w:t>
      </w:r>
    </w:p>
    <w:p w:rsidR="00B72047" w:rsidRDefault="00B72047">
      <w:pPr>
        <w:rPr>
          <w:rStyle w:val="htmlparacode"/>
        </w:rPr>
      </w:pPr>
      <w:r>
        <w:rPr>
          <w:rStyle w:val="htmlparacode"/>
        </w:rPr>
        <w:t>&lt;p&gt;</w:t>
      </w:r>
    </w:p>
    <w:p w:rsidR="00B72047" w:rsidRDefault="00B72047">
      <w:pPr>
        <w:pStyle w:val="normalparagraph"/>
      </w:pPr>
      <w:r>
        <w:rPr>
          <w:rStyle w:val="indexentry"/>
        </w:rPr>
        <w:t>&lt;cx "abstraction, implicit in sumti"&gt;</w:t>
      </w:r>
      <w:r>
        <w:rPr>
          <w:rStyle w:val="indexentry"/>
        </w:rPr>
        <w:fldChar w:fldCharType="begin"/>
      </w:r>
      <w:r>
        <w:instrText>xe "</w:instrText>
      </w:r>
      <w:r>
        <w:rPr>
          <w:rStyle w:val="xeentry"/>
        </w:rPr>
        <w:instrText>abstraction(s): implicit in sumti</w:instrText>
      </w:r>
      <w:r>
        <w:instrText>"</w:instrText>
      </w:r>
      <w:r>
        <w:rPr>
          <w:rStyle w:val="indexentry"/>
        </w:rPr>
        <w:fldChar w:fldCharType="end"/>
      </w:r>
      <w:r>
        <w:t>Note that the lack of an explicit NU cmavo in a sumti can sometimes hide</w:t>
      </w:r>
      <w:r>
        <w:rPr>
          <w:rStyle w:val="deletedparamark"/>
        </w:rPr>
        <w:t xml:space="preserve"> </w:t>
      </w:r>
      <w:r>
        <w:t xml:space="preserve">an implicit abstraction. In the context of </w:t>
      </w:r>
      <w:r>
        <w:rPr>
          <w:rStyle w:val="htmlcodes"/>
        </w:rPr>
        <w:t>&lt;a href=#e2d10&gt;</w:t>
      </w:r>
      <w:r>
        <w:t>Example 2.10</w:t>
      </w:r>
      <w:r>
        <w:rPr>
          <w:rStyle w:val="htmlcodes"/>
        </w:rPr>
        <w:t>&lt;/a&gt;</w:t>
      </w:r>
      <w:r>
        <w:t>, the appearance</w:t>
      </w:r>
      <w:r>
        <w:rPr>
          <w:rStyle w:val="deletedparamark"/>
        </w:rPr>
        <w:t xml:space="preserve"> </w:t>
      </w:r>
      <w:r>
        <w:t>of “le se nelci” (“that which is liked”) is in effect an abstraction: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name=e2d11&gt;</w:t>
      </w:r>
      <w:r>
        <w:t>2.11)</w:t>
      </w:r>
      <w:r>
        <w:tab/>
        <w:t>le se nelci cu cafne</w:t>
      </w:r>
    </w:p>
    <w:p w:rsidR="00B72047" w:rsidRDefault="00B72047">
      <w:pPr>
        <w:pStyle w:val="examplescaled"/>
      </w:pPr>
      <w:r>
        <w:tab/>
        <w:t>The liked-thing is-frequent.</w:t>
      </w:r>
    </w:p>
    <w:p w:rsidR="00B72047" w:rsidRDefault="00B72047">
      <w:pPr>
        <w:pStyle w:val="examplescaled"/>
      </w:pPr>
      <w:r>
        <w:tab/>
        <w:t>The thing which I like happens often.</w:t>
      </w:r>
    </w:p>
    <w:p w:rsidR="00B72047" w:rsidRDefault="00B72047">
      <w:pPr>
        <w:pStyle w:val="resumedafterexample"/>
      </w:pPr>
      <w:r>
        <w:rPr>
          <w:rStyle w:val="htmlcodes"/>
        </w:rPr>
        <w:t>&lt;/pre&gt;</w:t>
      </w:r>
      <w:r>
        <w:t>which in this context means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My swimming happens often.</w:t>
      </w:r>
    </w:p>
    <w:p w:rsidR="00B72047" w:rsidRDefault="00B72047">
      <w:pPr>
        <w:pStyle w:val="normalafterexample"/>
      </w:pPr>
      <w:r>
        <w:rPr>
          <w:rStyle w:val="htmlcodes"/>
        </w:rPr>
        <w:t>&lt;/dl&gt;&lt;p&gt;</w:t>
      </w:r>
      <w:r>
        <w:t>Event descriptions with “le nu” are commonly used to fill the “under</w:t>
      </w:r>
      <w:r>
        <w:rPr>
          <w:rStyle w:val="deletedparamark"/>
        </w:rPr>
        <w:t xml:space="preserve"> </w:t>
      </w:r>
      <w:r>
        <w:t>condi</w:t>
      </w:r>
      <w:r>
        <w:softHyphen/>
        <w:t>tions </w:t>
      </w:r>
      <w:r>
        <w:rPr>
          <w:rStyle w:val="htmlcodes"/>
        </w:rPr>
        <w:t>&lt;dots&gt;</w:t>
      </w:r>
      <w:r>
        <w:t>…</w:t>
      </w:r>
      <w:r>
        <w:rPr>
          <w:rStyle w:val="htmlcodes"/>
        </w:rPr>
        <w:t>&lt;/dots&gt;</w:t>
      </w:r>
      <w:r>
        <w:t>” places, among others, of gismu and lujvo place structures:</w:t>
      </w:r>
    </w:p>
    <w:p w:rsidR="00B72047" w:rsidRDefault="00B72047">
      <w:pPr>
        <w:rPr>
          <w:rStyle w:val="htmlparacode"/>
        </w:rPr>
      </w:pPr>
      <w:r>
        <w:rPr>
          <w:rStyle w:val="htmlparacode"/>
        </w:rPr>
        <w:t>&lt;p&gt;</w:t>
      </w:r>
    </w:p>
    <w:p w:rsidR="00B72047" w:rsidRDefault="00B72047">
      <w:pPr>
        <w:pStyle w:val="examplescaledpre"/>
      </w:pPr>
      <w:r>
        <w:rPr>
          <w:rStyle w:val="indexentry"/>
        </w:rPr>
        <w:t>&lt;ex "under conditions"&gt;</w:t>
      </w:r>
      <w:r>
        <w:rPr>
          <w:rStyle w:val="indexentry"/>
        </w:rPr>
        <w:fldChar w:fldCharType="begin"/>
      </w:r>
      <w:r>
        <w:instrText>xe "</w:instrText>
      </w:r>
      <w:r>
        <w:rPr>
          <w:rStyle w:val="xeentry"/>
        </w:rPr>
        <w:instrText>under conditions: example</w:instrText>
      </w:r>
      <w:r>
        <w:instrText>"</w:instrText>
      </w:r>
      <w:r>
        <w:rPr>
          <w:rStyle w:val="indexentry"/>
        </w:rPr>
        <w:fldChar w:fldCharType="end"/>
      </w:r>
      <w:r>
        <w:rPr>
          <w:rStyle w:val="htmlcodes"/>
        </w:rPr>
        <w:t>&lt;pre&gt;&lt;a name=e2d12&gt;</w:t>
      </w:r>
      <w:r>
        <w:t>2.12)</w:t>
      </w:r>
      <w:r>
        <w:tab/>
        <w:t>la lojban. cu frili mi le nu mi tadni [kei]</w:t>
      </w:r>
    </w:p>
    <w:p w:rsidR="00B72047" w:rsidRDefault="00B72047">
      <w:pPr>
        <w:pStyle w:val="examplescaled"/>
      </w:pPr>
      <w:r>
        <w:tab/>
        <w:t>Lojban is-easy for-me under-conditions-the event-of I study</w:t>
      </w:r>
    </w:p>
    <w:p w:rsidR="00B72047" w:rsidRDefault="00B72047">
      <w:pPr>
        <w:pStyle w:val="examplescaled"/>
      </w:pPr>
      <w:r>
        <w:tab/>
        <w:t>Lojban is easy for me when I study.</w:t>
      </w:r>
    </w:p>
    <w:p w:rsidR="00B72047" w:rsidRDefault="00B72047">
      <w:pPr>
        <w:pStyle w:val="resumedafterexample"/>
      </w:pPr>
      <w:r>
        <w:rPr>
          <w:rStyle w:val="htmlcodes"/>
        </w:rPr>
        <w:t>&lt;/pre&gt;</w:t>
      </w:r>
      <w:r>
        <w:t>(The “when” of the English would also be appropriate for a construc</w:t>
      </w:r>
      <w:r>
        <w:softHyphen/>
        <w:t>tion</w:t>
      </w:r>
      <w:r>
        <w:rPr>
          <w:rStyle w:val="deletedparamark"/>
        </w:rPr>
        <w:t xml:space="preserve"> </w:t>
      </w:r>
      <w:r>
        <w:t>involving a L</w:t>
      </w:r>
      <w:r>
        <w:t>o</w:t>
      </w:r>
      <w:r>
        <w:t>j</w:t>
      </w:r>
      <w:r>
        <w:softHyphen/>
        <w:t>ban tense, but the Lojban sentence says more than that the</w:t>
      </w:r>
      <w:r>
        <w:rPr>
          <w:rStyle w:val="deletedparamark"/>
        </w:rPr>
        <w:t xml:space="preserve"> </w:t>
      </w:r>
      <w:r>
        <w:t>studying is concurrent with the ease.)</w:t>
      </w:r>
    </w:p>
    <w:p w:rsidR="00B72047" w:rsidRDefault="00B72047">
      <w:pPr>
        <w:rPr>
          <w:rStyle w:val="htmlparacode"/>
        </w:rPr>
      </w:pPr>
      <w:r>
        <w:rPr>
          <w:rStyle w:val="htmlparacode"/>
        </w:rPr>
        <w:t>&lt;p&gt;</w:t>
      </w:r>
    </w:p>
    <w:p w:rsidR="00B72047" w:rsidRDefault="00B72047">
      <w:pPr>
        <w:pStyle w:val="normalparagraph"/>
      </w:pPr>
      <w:r>
        <w:rPr>
          <w:rStyle w:val="indexentry"/>
        </w:rPr>
        <w:t>&lt;cx "events, place structure"&gt;</w:t>
      </w:r>
      <w:r>
        <w:rPr>
          <w:rStyle w:val="indexentry"/>
        </w:rPr>
        <w:fldChar w:fldCharType="begin"/>
      </w:r>
      <w:r>
        <w:instrText>xe "</w:instrText>
      </w:r>
      <w:r>
        <w:rPr>
          <w:rStyle w:val="xeentry"/>
        </w:rPr>
        <w:instrText>events: place structure</w:instrText>
      </w:r>
      <w:r>
        <w:instrText>"</w:instrText>
      </w:r>
      <w:r>
        <w:rPr>
          <w:rStyle w:val="indexentry"/>
        </w:rPr>
        <w:fldChar w:fldCharType="end"/>
      </w:r>
      <w:r>
        <w:rPr>
          <w:rStyle w:val="indexentry"/>
        </w:rPr>
        <w:t>&lt;cx "nu, place structure"&gt;</w:t>
      </w:r>
      <w:r>
        <w:rPr>
          <w:rStyle w:val="indexentry"/>
        </w:rPr>
        <w:fldChar w:fldCharType="begin"/>
      </w:r>
      <w:r>
        <w:instrText>xe "</w:instrText>
      </w:r>
      <w:r>
        <w:rPr>
          <w:rStyle w:val="xeentry"/>
        </w:rPr>
        <w:instrText>nu: place structure</w:instrText>
      </w:r>
      <w:r>
        <w:instrText>"</w:instrText>
      </w:r>
      <w:r>
        <w:rPr>
          <w:rStyle w:val="indexentry"/>
        </w:rPr>
        <w:fldChar w:fldCharType="end"/>
      </w:r>
      <w:r>
        <w:t>The place structure of a “nu” abstraction selbri is simply:</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nu:  x1 is an event of (the bridi)</w:t>
      </w:r>
    </w:p>
    <w:p w:rsidR="00B72047" w:rsidRDefault="00B72047">
      <w:pPr>
        <w:pStyle w:val="Heading3"/>
        <w:rPr>
          <w:rStyle w:val="Heading3Text"/>
        </w:rPr>
      </w:pPr>
      <w:bookmarkStart w:id="363" w:name="_Toc398970607"/>
      <w:r>
        <w:rPr>
          <w:rStyle w:val="Heading3Text"/>
        </w:rPr>
        <w:t>Types of event abstractions</w:t>
      </w:r>
      <w:bookmarkEnd w:id="363"/>
      <w:r>
        <w:rPr>
          <w:rStyle w:val="htmlcodes"/>
        </w:rPr>
        <w:t>&lt;/h3&gt;</w:t>
      </w:r>
    </w:p>
    <w:p w:rsidR="00B72047" w:rsidRDefault="00B72047">
      <w:pPr>
        <w:rPr>
          <w:rStyle w:val="htmlparacode"/>
        </w:rPr>
      </w:pPr>
      <w:r>
        <w:rPr>
          <w:rStyle w:val="htmlparacode"/>
        </w:rPr>
        <w:t>&lt;p&gt;</w:t>
      </w:r>
      <w:r>
        <w:rPr>
          <w:rStyle w:val="htmlcodes"/>
        </w:rPr>
        <w:t>&lt;/dl&gt;</w:t>
      </w:r>
      <w:r>
        <w:rPr>
          <w:rStyle w:val="indexentry"/>
        </w:rPr>
        <w:t>&lt;cx "event abstractions, types"&gt;</w:t>
      </w:r>
      <w:r>
        <w:rPr>
          <w:rStyle w:val="indexentry"/>
        </w:rPr>
        <w:fldChar w:fldCharType="begin"/>
      </w:r>
      <w:r>
        <w:instrText>xe "</w:instrText>
      </w:r>
      <w:r>
        <w:rPr>
          <w:rStyle w:val="xeentry"/>
        </w:rPr>
        <w:instrText>event abstraction(s): types</w:instrText>
      </w:r>
      <w:r>
        <w:instrText>"</w:instrText>
      </w:r>
      <w:r>
        <w:rPr>
          <w:rStyle w:val="indexentry"/>
        </w:rPr>
        <w:fldChar w:fldCharType="end"/>
      </w:r>
      <w:r>
        <w:rPr>
          <w:rStyle w:val="htmlcodes"/>
        </w:rPr>
        <w:t>&lt;a name=s3&gt;&lt;h3&gt;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indexentry"/>
        </w:rPr>
        <w:t>&lt;lx "mu'e"&gt;</w:t>
      </w:r>
      <w:r>
        <w:rPr>
          <w:rStyle w:val="indexentry"/>
        </w:rPr>
        <w:fldChar w:fldCharType="begin"/>
      </w:r>
      <w:r>
        <w:instrText>xe "</w:instrText>
      </w:r>
      <w:r>
        <w:rPr>
          <w:rStyle w:val="xeentry"/>
        </w:rPr>
        <w:instrText>mu'e</w:instrText>
      </w:r>
      <w:r>
        <w:instrText>"</w:instrText>
      </w:r>
      <w:r>
        <w:rPr>
          <w:rStyle w:val="indexentry"/>
        </w:rPr>
        <w:fldChar w:fldCharType="end"/>
      </w:r>
      <w:r>
        <w:rPr>
          <w:rStyle w:val="indexentry"/>
        </w:rPr>
        <w:t>&lt;lx "pu'u"&gt;</w:t>
      </w:r>
      <w:r>
        <w:rPr>
          <w:rStyle w:val="indexentry"/>
        </w:rPr>
        <w:fldChar w:fldCharType="begin"/>
      </w:r>
      <w:r>
        <w:instrText>xe "</w:instrText>
      </w:r>
      <w:r>
        <w:rPr>
          <w:rStyle w:val="xeentry"/>
        </w:rPr>
        <w:instrText>pu'u</w:instrText>
      </w:r>
      <w:r>
        <w:instrText>"</w:instrText>
      </w:r>
      <w:r>
        <w:rPr>
          <w:rStyle w:val="indexentry"/>
        </w:rPr>
        <w:fldChar w:fldCharType="end"/>
      </w:r>
      <w:r>
        <w:rPr>
          <w:rStyle w:val="indexentry"/>
        </w:rPr>
        <w:t>&lt;lx "zu'o"&gt;</w:t>
      </w:r>
      <w:r>
        <w:rPr>
          <w:rStyle w:val="indexentry"/>
        </w:rPr>
        <w:fldChar w:fldCharType="begin"/>
      </w:r>
      <w:r>
        <w:instrText>xe "</w:instrText>
      </w:r>
      <w:r>
        <w:rPr>
          <w:rStyle w:val="xeentry"/>
        </w:rPr>
        <w:instrText>zu'o</w:instrText>
      </w:r>
      <w:r>
        <w:instrText>"</w:instrText>
      </w:r>
      <w:r>
        <w:rPr>
          <w:rStyle w:val="indexentry"/>
        </w:rPr>
        <w:fldChar w:fldCharType="end"/>
      </w:r>
      <w:r>
        <w:rPr>
          <w:rStyle w:val="indexentry"/>
        </w:rPr>
        <w:t>&lt;lx "za'i"&gt;</w:t>
      </w:r>
      <w:r>
        <w:rPr>
          <w:rStyle w:val="indexentry"/>
        </w:rPr>
        <w:fldChar w:fldCharType="begin"/>
      </w:r>
      <w:r>
        <w:instrText>xe "</w:instrText>
      </w:r>
      <w:r>
        <w:rPr>
          <w:rStyle w:val="xeentry"/>
        </w:rPr>
        <w:instrText>za'i</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htmlcodes"/>
        </w:rPr>
        <w:t>&lt;pre&gt;</w:t>
      </w:r>
      <w:r>
        <w:t xml:space="preserve"> </w:t>
      </w:r>
      <w:r>
        <w:tab/>
        <w:t>mu'e</w:t>
      </w:r>
      <w:r>
        <w:tab/>
        <w:t>NU</w:t>
      </w:r>
      <w:r>
        <w:tab/>
        <w:t>point-event abstractor</w:t>
      </w:r>
    </w:p>
    <w:p w:rsidR="00B72047" w:rsidRDefault="00B72047">
      <w:pPr>
        <w:pStyle w:val="examplescaled"/>
      </w:pPr>
      <w:r>
        <w:tab/>
        <w:t>pu'u</w:t>
      </w:r>
      <w:r>
        <w:tab/>
        <w:t>NU</w:t>
      </w:r>
      <w:r>
        <w:tab/>
        <w:t>process abstractor</w:t>
      </w:r>
    </w:p>
    <w:p w:rsidR="00B72047" w:rsidRDefault="00B72047">
      <w:pPr>
        <w:pStyle w:val="examplescaled"/>
      </w:pPr>
      <w:r>
        <w:tab/>
        <w:t>zu'o</w:t>
      </w:r>
      <w:r>
        <w:tab/>
        <w:t>NU</w:t>
      </w:r>
      <w:r>
        <w:tab/>
        <w:t>activity abstractor</w:t>
      </w:r>
    </w:p>
    <w:p w:rsidR="00B72047" w:rsidRDefault="00B72047">
      <w:pPr>
        <w:pStyle w:val="examplescaled"/>
      </w:pPr>
      <w:r>
        <w:tab/>
        <w:t>za'i</w:t>
      </w:r>
      <w:r>
        <w:tab/>
        <w:t>NU</w:t>
      </w:r>
      <w:r>
        <w:tab/>
        <w:t>state abstractor</w:t>
      </w:r>
    </w:p>
    <w:p w:rsidR="00B72047" w:rsidRDefault="00B72047">
      <w:pPr>
        <w:pStyle w:val="normalparagraph"/>
      </w:pPr>
      <w:r>
        <w:rPr>
          <w:rStyle w:val="htmlcodes"/>
        </w:rPr>
        <w:t>&lt;/pre&gt;&lt;p&gt;</w:t>
      </w:r>
      <w:r>
        <w:t>Event abstractions with “nu” suffice to express all kinds of events, whether</w:t>
      </w:r>
      <w:r>
        <w:rPr>
          <w:rStyle w:val="deletedparamark"/>
        </w:rPr>
        <w:t xml:space="preserve"> </w:t>
      </w:r>
      <w:r>
        <w:t>long, short, unique, repetitive, or whatever. Lojban also has more finely</w:t>
      </w:r>
      <w:r>
        <w:rPr>
          <w:rStyle w:val="deletedparamark"/>
        </w:rPr>
        <w:t xml:space="preserve"> </w:t>
      </w:r>
      <w:r>
        <w:t>discriminating machi</w:t>
      </w:r>
      <w:r>
        <w:t>n</w:t>
      </w:r>
      <w:r>
        <w:softHyphen/>
        <w:t>ery for talking about events, however. There are four</w:t>
      </w:r>
      <w:r>
        <w:rPr>
          <w:rStyle w:val="deletedparamark"/>
        </w:rPr>
        <w:t xml:space="preserve"> </w:t>
      </w:r>
      <w:r>
        <w:t>other abstractors of sel</w:t>
      </w:r>
      <w:r>
        <w:softHyphen/>
        <w:t>ma'o NU for talking about four specific types of</w:t>
      </w:r>
      <w:r>
        <w:rPr>
          <w:rStyle w:val="deletedparamark"/>
        </w:rPr>
        <w:t xml:space="preserve"> </w:t>
      </w:r>
      <w:r>
        <w:t>events, or four ways of looking at the same event.</w:t>
      </w:r>
    </w:p>
    <w:p w:rsidR="00B72047" w:rsidRDefault="00B72047">
      <w:pPr>
        <w:rPr>
          <w:rStyle w:val="htmlparacode"/>
        </w:rPr>
      </w:pPr>
      <w:r>
        <w:rPr>
          <w:rStyle w:val="htmlparacode"/>
        </w:rPr>
        <w:t>&lt;p&gt;</w:t>
      </w:r>
    </w:p>
    <w:p w:rsidR="00B72047" w:rsidRDefault="00B72047">
      <w:pPr>
        <w:pStyle w:val="normalparagraph"/>
      </w:pPr>
      <w:r>
        <w:rPr>
          <w:rStyle w:val="indexentry"/>
        </w:rPr>
        <w:t>&lt;cx "point-event abstractor"&gt;</w:t>
      </w:r>
      <w:r>
        <w:rPr>
          <w:rStyle w:val="indexentry"/>
        </w:rPr>
        <w:fldChar w:fldCharType="begin"/>
      </w:r>
      <w:r>
        <w:instrText>xe "</w:instrText>
      </w:r>
      <w:r>
        <w:rPr>
          <w:rStyle w:val="xeentry"/>
        </w:rPr>
        <w:instrText>point-event abstractor</w:instrText>
      </w:r>
      <w:r>
        <w:instrText>"</w:instrText>
      </w:r>
      <w:r>
        <w:rPr>
          <w:rStyle w:val="indexentry"/>
        </w:rPr>
        <w:fldChar w:fldCharType="end"/>
      </w:r>
      <w:r>
        <w:rPr>
          <w:rStyle w:val="indexentry"/>
        </w:rPr>
        <w:t>&lt;cx "triumph"&gt;</w:t>
      </w:r>
      <w:r>
        <w:rPr>
          <w:rStyle w:val="indexentry"/>
        </w:rPr>
        <w:fldChar w:fldCharType="begin"/>
      </w:r>
      <w:r>
        <w:instrText>xe "</w:instrText>
      </w:r>
      <w:r>
        <w:rPr>
          <w:rStyle w:val="xeentry"/>
        </w:rPr>
        <w:instrText>triumph</w:instrText>
      </w:r>
      <w:r>
        <w:instrText>"</w:instrText>
      </w:r>
      <w:r>
        <w:rPr>
          <w:rStyle w:val="indexentry"/>
        </w:rPr>
        <w:fldChar w:fldCharType="end"/>
      </w:r>
      <w:r>
        <w:rPr>
          <w:rStyle w:val="indexentry"/>
        </w:rPr>
        <w:t>&lt;cx "abstraction, point-event"&gt;</w:t>
      </w:r>
      <w:r>
        <w:rPr>
          <w:rStyle w:val="indexentry"/>
        </w:rPr>
        <w:fldChar w:fldCharType="begin"/>
      </w:r>
      <w:r>
        <w:instrText>xe "</w:instrText>
      </w:r>
      <w:r>
        <w:rPr>
          <w:rStyle w:val="xeentry"/>
        </w:rPr>
        <w:instrText>abstraction(s): point-event</w:instrText>
      </w:r>
      <w:r>
        <w:instrText>"</w:instrText>
      </w:r>
      <w:r>
        <w:rPr>
          <w:rStyle w:val="indexentry"/>
        </w:rPr>
        <w:fldChar w:fldCharType="end"/>
      </w:r>
      <w:r>
        <w:rPr>
          <w:rStyle w:val="indexentry"/>
        </w:rPr>
        <w:t>&lt;cx "abstraction, achievement"&gt;</w:t>
      </w:r>
      <w:r>
        <w:rPr>
          <w:rStyle w:val="indexentry"/>
        </w:rPr>
        <w:fldChar w:fldCharType="begin"/>
      </w:r>
      <w:r>
        <w:instrText>xe "</w:instrText>
      </w:r>
      <w:r>
        <w:rPr>
          <w:rStyle w:val="xeentry"/>
        </w:rPr>
        <w:instrText>abstraction(s): achievement</w:instrText>
      </w:r>
      <w:r>
        <w:instrText>"</w:instrText>
      </w:r>
      <w:r>
        <w:rPr>
          <w:rStyle w:val="indexentry"/>
        </w:rPr>
        <w:fldChar w:fldCharType="end"/>
      </w:r>
      <w:r>
        <w:rPr>
          <w:rStyle w:val="indexentry"/>
        </w:rPr>
        <w:t>&lt;cx "point-event abstraction, definition"&gt;</w:t>
      </w:r>
      <w:r>
        <w:rPr>
          <w:rStyle w:val="indexentry"/>
        </w:rPr>
        <w:fldChar w:fldCharType="begin"/>
      </w:r>
      <w:r>
        <w:instrText>xe "</w:instrText>
      </w:r>
      <w:r>
        <w:rPr>
          <w:rStyle w:val="xeentry"/>
        </w:rPr>
        <w:instrText>point-event abstraction(s): definition</w:instrText>
      </w:r>
      <w:r>
        <w:instrText>"</w:instrText>
      </w:r>
      <w:r>
        <w:rPr>
          <w:rStyle w:val="indexentry"/>
        </w:rPr>
        <w:fldChar w:fldCharType="end"/>
      </w:r>
      <w:r>
        <w:rPr>
          <w:rStyle w:val="indexentry"/>
        </w:rPr>
        <w:t>&lt;cx "achievement abstraction, definition"&gt;</w:t>
      </w:r>
      <w:r>
        <w:rPr>
          <w:rStyle w:val="indexentry"/>
        </w:rPr>
        <w:fldChar w:fldCharType="begin"/>
      </w:r>
      <w:r>
        <w:instrText>xe "</w:instrText>
      </w:r>
      <w:r>
        <w:rPr>
          <w:rStyle w:val="xeentry"/>
        </w:rPr>
        <w:instrText>achievement abstraction(s): definition</w:instrText>
      </w:r>
      <w:r>
        <w:instrText>"</w:instrText>
      </w:r>
      <w:r>
        <w:rPr>
          <w:rStyle w:val="indexentry"/>
        </w:rPr>
        <w:fldChar w:fldCharType="end"/>
      </w:r>
      <w:r>
        <w:rPr>
          <w:rStyle w:val="indexentry"/>
        </w:rPr>
        <w:t>&lt;lx "mu'e"&gt;</w:t>
      </w:r>
      <w:r>
        <w:rPr>
          <w:rStyle w:val="indexentry"/>
        </w:rPr>
        <w:fldChar w:fldCharType="begin"/>
      </w:r>
      <w:r>
        <w:instrText>xe "</w:instrText>
      </w:r>
      <w:r>
        <w:rPr>
          <w:rStyle w:val="xeentry"/>
        </w:rPr>
        <w:instrText>mu'e</w:instrText>
      </w:r>
      <w:r>
        <w:instrText>"</w:instrText>
      </w:r>
      <w:r>
        <w:rPr>
          <w:rStyle w:val="indexentry"/>
        </w:rPr>
        <w:fldChar w:fldCharType="end"/>
      </w:r>
      <w:r>
        <w:t>An event considered as a point in time is called a “point-event”, or</w:t>
      </w:r>
      <w:r>
        <w:rPr>
          <w:rStyle w:val="deletedparamark"/>
        </w:rPr>
        <w:t xml:space="preserve"> </w:t>
      </w:r>
      <w:r>
        <w:t>sometimes an “achievement”. (This latter word should be divorced, in this</w:t>
      </w:r>
      <w:r>
        <w:rPr>
          <w:rStyle w:val="deletedparamark"/>
        </w:rPr>
        <w:t xml:space="preserve"> </w:t>
      </w:r>
      <w:r>
        <w:t>context, from all con</w:t>
      </w:r>
      <w:r>
        <w:softHyphen/>
        <w:t>nota</w:t>
      </w:r>
      <w:r>
        <w:softHyphen/>
        <w:t>tions of success or triumph.) A point-event can be</w:t>
      </w:r>
      <w:r>
        <w:rPr>
          <w:rStyle w:val="deletedparamark"/>
        </w:rPr>
        <w:t xml:space="preserve"> </w:t>
      </w:r>
      <w:r>
        <w:t>extended in duration, but it is still a point-event if it is thought of as</w:t>
      </w:r>
      <w:r>
        <w:rPr>
          <w:rStyle w:val="deletedparamark"/>
        </w:rPr>
        <w:t xml:space="preserve"> </w:t>
      </w:r>
      <w:r>
        <w:t>unitary, having no internal structure. The ab</w:t>
      </w:r>
      <w:r>
        <w:softHyphen/>
        <w:t>stractor “mu'e” means</w:t>
      </w:r>
      <w:r>
        <w:rPr>
          <w:rStyle w:val="deletedparamark"/>
        </w:rPr>
        <w:t xml:space="preserve"> “</w:t>
      </w:r>
      <w:r>
        <w:t>point-event-of”:</w:t>
      </w:r>
    </w:p>
    <w:p w:rsidR="00B72047" w:rsidRDefault="00B72047">
      <w:pPr>
        <w:rPr>
          <w:rStyle w:val="htmlparacode"/>
        </w:rPr>
      </w:pPr>
      <w:r>
        <w:rPr>
          <w:rStyle w:val="htmlparacode"/>
        </w:rPr>
        <w:t>&lt;p&gt;</w:t>
      </w:r>
    </w:p>
    <w:p w:rsidR="00B72047" w:rsidRDefault="00B72047">
      <w:pPr>
        <w:pStyle w:val="examplescaledpre"/>
      </w:pPr>
      <w:r>
        <w:rPr>
          <w:rStyle w:val="indexentry"/>
        </w:rPr>
        <w:t>&lt;cx "killing Jim"&gt;</w:t>
      </w:r>
      <w:r>
        <w:rPr>
          <w:rStyle w:val="indexentry"/>
        </w:rPr>
        <w:fldChar w:fldCharType="begin"/>
      </w:r>
      <w:r>
        <w:instrText>xe "</w:instrText>
      </w:r>
      <w:r>
        <w:rPr>
          <w:rStyle w:val="xeentry"/>
        </w:rPr>
        <w:instrText>killing Jim</w:instrText>
      </w:r>
      <w:r>
        <w:instrText>"</w:instrText>
      </w:r>
      <w:r>
        <w:rPr>
          <w:rStyle w:val="indexentry"/>
        </w:rPr>
        <w:fldChar w:fldCharType="end"/>
      </w:r>
      <w:r>
        <w:rPr>
          <w:rStyle w:val="indexentry"/>
        </w:rPr>
        <w:t>&lt;ex "killing Jim"&gt;</w:t>
      </w:r>
      <w:r>
        <w:rPr>
          <w:rStyle w:val="indexentry"/>
        </w:rPr>
        <w:fldChar w:fldCharType="begin"/>
      </w:r>
      <w:r>
        <w:instrText>xe "</w:instrText>
      </w:r>
      <w:r>
        <w:rPr>
          <w:rStyle w:val="xeentry"/>
        </w:rPr>
        <w:instrText>killing Jim: example</w:instrText>
      </w:r>
      <w:r>
        <w:instrText>"</w:instrText>
      </w:r>
      <w:r>
        <w:rPr>
          <w:rStyle w:val="indexentry"/>
        </w:rPr>
        <w:fldChar w:fldCharType="end"/>
      </w:r>
      <w:r>
        <w:rPr>
          <w:rStyle w:val="htmlcodes"/>
        </w:rPr>
        <w:t>&lt;pre&gt;&lt;a name=e3d1&gt;</w:t>
      </w:r>
      <w:r>
        <w:t>3.1)</w:t>
      </w:r>
      <w:r>
        <w:tab/>
        <w:t>le mu'e la djan. catra la djim. cu zekri</w:t>
      </w:r>
    </w:p>
    <w:p w:rsidR="00B72047" w:rsidRDefault="00B72047">
      <w:pPr>
        <w:pStyle w:val="examplescaled"/>
      </w:pPr>
      <w:r>
        <w:tab/>
        <w:t>The point-event-of (John kills Jim) is-a-crime</w:t>
      </w:r>
    </w:p>
    <w:p w:rsidR="00B72047" w:rsidRDefault="00B72047">
      <w:pPr>
        <w:pStyle w:val="examplescaled"/>
      </w:pPr>
      <w:r>
        <w:tab/>
        <w:t>John's killing Jim (considered as a point in time) is a crime.</w:t>
      </w:r>
    </w:p>
    <w:p w:rsidR="00B72047" w:rsidRDefault="00B72047">
      <w:pPr>
        <w:pStyle w:val="normalafterexample"/>
      </w:pPr>
      <w:r>
        <w:rPr>
          <w:rStyle w:val="htmlcodes"/>
        </w:rPr>
        <w:t>&lt;/pre&gt;</w:t>
      </w:r>
      <w:r>
        <w:rPr>
          <w:rStyle w:val="indexentry"/>
        </w:rPr>
        <w:t>&lt;cx "process abstractor"&gt;</w:t>
      </w:r>
      <w:r>
        <w:rPr>
          <w:rStyle w:val="indexentry"/>
        </w:rPr>
        <w:fldChar w:fldCharType="begin"/>
      </w:r>
      <w:r>
        <w:instrText>xe "</w:instrText>
      </w:r>
      <w:r>
        <w:rPr>
          <w:rStyle w:val="xeentry"/>
        </w:rPr>
        <w:instrText>process abstractor</w:instrText>
      </w:r>
      <w:r>
        <w:instrText>"</w:instrText>
      </w:r>
      <w:r>
        <w:rPr>
          <w:rStyle w:val="indexentry"/>
        </w:rPr>
        <w:fldChar w:fldCharType="end"/>
      </w:r>
      <w:r>
        <w:rPr>
          <w:rStyle w:val="indexentry"/>
        </w:rPr>
        <w:t>&lt;cx "process abstraction, definition"&gt;</w:t>
      </w:r>
      <w:r>
        <w:rPr>
          <w:rStyle w:val="indexentry"/>
        </w:rPr>
        <w:fldChar w:fldCharType="begin"/>
      </w:r>
      <w:r>
        <w:instrText>xe "</w:instrText>
      </w:r>
      <w:r>
        <w:rPr>
          <w:rStyle w:val="xeentry"/>
        </w:rPr>
        <w:instrText>process abstraction(s): definition</w:instrText>
      </w:r>
      <w:r>
        <w:instrText>"</w:instrText>
      </w:r>
      <w:r>
        <w:rPr>
          <w:rStyle w:val="indexentry"/>
        </w:rPr>
        <w:fldChar w:fldCharType="end"/>
      </w:r>
      <w:r>
        <w:rPr>
          <w:rStyle w:val="indexentry"/>
        </w:rPr>
        <w:t>&lt;cx "abstraction, process"&gt;</w:t>
      </w:r>
      <w:r>
        <w:rPr>
          <w:rStyle w:val="indexentry"/>
        </w:rPr>
        <w:fldChar w:fldCharType="begin"/>
      </w:r>
      <w:r>
        <w:instrText>xe "</w:instrText>
      </w:r>
      <w:r>
        <w:rPr>
          <w:rStyle w:val="xeentry"/>
        </w:rPr>
        <w:instrText>abstraction(s): process</w:instrText>
      </w:r>
      <w:r>
        <w:instrText>"</w:instrText>
      </w:r>
      <w:r>
        <w:rPr>
          <w:rStyle w:val="indexentry"/>
        </w:rPr>
        <w:fldChar w:fldCharType="end"/>
      </w:r>
      <w:r>
        <w:rPr>
          <w:rStyle w:val="indexentry"/>
        </w:rPr>
        <w:t>&lt;lx "pu'u"&gt;</w:t>
      </w:r>
      <w:r>
        <w:rPr>
          <w:rStyle w:val="indexentry"/>
        </w:rPr>
        <w:fldChar w:fldCharType="begin"/>
      </w:r>
      <w:r>
        <w:instrText>xe "</w:instrText>
      </w:r>
      <w:r>
        <w:rPr>
          <w:rStyle w:val="xeentry"/>
        </w:rPr>
        <w:instrText>pu'u</w:instrText>
      </w:r>
      <w:r>
        <w:instrText>"</w:instrText>
      </w:r>
      <w:r>
        <w:rPr>
          <w:rStyle w:val="indexentry"/>
        </w:rPr>
        <w:fldChar w:fldCharType="end"/>
      </w:r>
      <w:r>
        <w:t>An event considered as extended in time, and structured with a beginning,</w:t>
      </w:r>
      <w:r>
        <w:rPr>
          <w:rStyle w:val="deletedparamark"/>
        </w:rPr>
        <w:t xml:space="preserve"> </w:t>
      </w:r>
      <w:r>
        <w:t>a middle containing one or more stages, and an end, is called a “process”.</w:t>
      </w:r>
      <w:r>
        <w:rPr>
          <w:rStyle w:val="deletedparamark"/>
        </w:rPr>
        <w:t xml:space="preserve"> </w:t>
      </w:r>
      <w:r>
        <w:t>The abstractor “pu'u” means “process-of”:</w:t>
      </w:r>
    </w:p>
    <w:p w:rsidR="00B72047" w:rsidRDefault="00B72047">
      <w:pPr>
        <w:rPr>
          <w:rStyle w:val="htmlparacode"/>
        </w:rPr>
      </w:pPr>
      <w:r>
        <w:rPr>
          <w:rStyle w:val="htmlparacode"/>
        </w:rPr>
        <w:t>&lt;p&gt;</w:t>
      </w:r>
    </w:p>
    <w:p w:rsidR="00B72047" w:rsidRDefault="00B72047">
      <w:pPr>
        <w:pStyle w:val="examplescaledpre"/>
      </w:pPr>
      <w:r>
        <w:rPr>
          <w:rStyle w:val="indexentry"/>
        </w:rPr>
        <w:t>&lt;cx "Roman Empire"&gt;</w:t>
      </w:r>
      <w:r>
        <w:rPr>
          <w:rStyle w:val="indexentry"/>
        </w:rPr>
        <w:fldChar w:fldCharType="begin"/>
      </w:r>
      <w:r>
        <w:instrText>xe "</w:instrText>
      </w:r>
      <w:r>
        <w:rPr>
          <w:rStyle w:val="xeentry"/>
        </w:rPr>
        <w:instrText>Roman Empire</w:instrText>
      </w:r>
      <w:r>
        <w:instrText>"</w:instrText>
      </w:r>
      <w:r>
        <w:rPr>
          <w:rStyle w:val="indexentry"/>
        </w:rPr>
        <w:fldChar w:fldCharType="end"/>
      </w:r>
      <w:r>
        <w:rPr>
          <w:rStyle w:val="indexentry"/>
        </w:rPr>
        <w:t>&lt;ex "Roman Empire"&gt;</w:t>
      </w:r>
      <w:r>
        <w:rPr>
          <w:rStyle w:val="indexentry"/>
        </w:rPr>
        <w:fldChar w:fldCharType="begin"/>
      </w:r>
      <w:r>
        <w:instrText>xe "</w:instrText>
      </w:r>
      <w:r>
        <w:rPr>
          <w:rStyle w:val="xeentry"/>
        </w:rPr>
        <w:instrText>Roman Empire: example</w:instrText>
      </w:r>
      <w:r>
        <w:instrText>"</w:instrText>
      </w:r>
      <w:r>
        <w:rPr>
          <w:rStyle w:val="indexentry"/>
        </w:rPr>
        <w:fldChar w:fldCharType="end"/>
      </w:r>
      <w:r>
        <w:rPr>
          <w:rStyle w:val="htmlcodes"/>
        </w:rPr>
        <w:t>&lt;pre&gt;&lt;a name=e3d2&gt;</w:t>
      </w:r>
      <w:r>
        <w:t>3.2)</w:t>
      </w:r>
      <w:r>
        <w:tab/>
        <w:t>ca'o le pu'u le latmo balje'a cu porpi kei</w:t>
      </w:r>
    </w:p>
    <w:p w:rsidR="00B72047" w:rsidRDefault="00B72047">
      <w:pPr>
        <w:pStyle w:val="examplescaled"/>
      </w:pPr>
      <w:r>
        <w:tab/>
      </w:r>
      <w:r>
        <w:tab/>
        <w:t>so'i je'atru cu selcatra</w:t>
      </w:r>
    </w:p>
    <w:p w:rsidR="00B72047" w:rsidRDefault="00B72047">
      <w:pPr>
        <w:pStyle w:val="examplescaled"/>
      </w:pPr>
      <w:r>
        <w:tab/>
        <w:t>[continuitive] The process-of-(the Latin great-state breaking-up)</w:t>
      </w:r>
    </w:p>
    <w:p w:rsidR="00B72047" w:rsidRDefault="00B72047">
      <w:pPr>
        <w:pStyle w:val="examplescaled"/>
      </w:pPr>
      <w:r>
        <w:tab/>
      </w:r>
      <w:r>
        <w:tab/>
        <w:t>many state-rulers were-killed.</w:t>
      </w:r>
    </w:p>
    <w:p w:rsidR="00B72047" w:rsidRDefault="00B72047">
      <w:pPr>
        <w:pStyle w:val="examplescaled"/>
      </w:pPr>
      <w:r>
        <w:tab/>
        <w:t>During the fall of the Roman Empire, many Emperors were killed.</w:t>
      </w:r>
    </w:p>
    <w:p w:rsidR="00B72047" w:rsidRDefault="00B72047">
      <w:pPr>
        <w:pStyle w:val="normalafterexample"/>
      </w:pPr>
      <w:r>
        <w:rPr>
          <w:rStyle w:val="htmlcodes"/>
        </w:rPr>
        <w:t>&lt;/pre&gt;</w:t>
      </w:r>
      <w:r>
        <w:rPr>
          <w:rStyle w:val="indexentry"/>
        </w:rPr>
        <w:t>&lt;cx "activity abstractor"&gt;</w:t>
      </w:r>
      <w:r>
        <w:rPr>
          <w:rStyle w:val="indexentry"/>
        </w:rPr>
        <w:fldChar w:fldCharType="begin"/>
      </w:r>
      <w:r>
        <w:instrText>xe "</w:instrText>
      </w:r>
      <w:r>
        <w:rPr>
          <w:rStyle w:val="xeentry"/>
        </w:rPr>
        <w:instrText>activity abstractor</w:instrText>
      </w:r>
      <w:r>
        <w:instrText>"</w:instrText>
      </w:r>
      <w:r>
        <w:rPr>
          <w:rStyle w:val="indexentry"/>
        </w:rPr>
        <w:fldChar w:fldCharType="end"/>
      </w:r>
      <w:r>
        <w:rPr>
          <w:rStyle w:val="indexentry"/>
        </w:rPr>
        <w:t>&lt;cx "activity abstraction, definition"&gt;</w:t>
      </w:r>
      <w:r>
        <w:rPr>
          <w:rStyle w:val="indexentry"/>
        </w:rPr>
        <w:fldChar w:fldCharType="begin"/>
      </w:r>
      <w:r>
        <w:instrText>xe "</w:instrText>
      </w:r>
      <w:r>
        <w:rPr>
          <w:rStyle w:val="xeentry"/>
        </w:rPr>
        <w:instrText>activity abstraction(s): definition</w:instrText>
      </w:r>
      <w:r>
        <w:instrText>"</w:instrText>
      </w:r>
      <w:r>
        <w:rPr>
          <w:rStyle w:val="indexentry"/>
        </w:rPr>
        <w:fldChar w:fldCharType="end"/>
      </w:r>
      <w:r>
        <w:rPr>
          <w:rStyle w:val="indexentry"/>
        </w:rPr>
        <w:t>&lt;cx "abstraction, activity"&gt;</w:t>
      </w:r>
      <w:r>
        <w:rPr>
          <w:rStyle w:val="indexentry"/>
        </w:rPr>
        <w:fldChar w:fldCharType="begin"/>
      </w:r>
      <w:r>
        <w:instrText>xe "</w:instrText>
      </w:r>
      <w:r>
        <w:rPr>
          <w:rStyle w:val="xeentry"/>
        </w:rPr>
        <w:instrText>abstraction(s): activity</w:instrText>
      </w:r>
      <w:r>
        <w:instrText>"</w:instrText>
      </w:r>
      <w:r>
        <w:rPr>
          <w:rStyle w:val="indexentry"/>
        </w:rPr>
        <w:fldChar w:fldCharType="end"/>
      </w:r>
      <w:r>
        <w:rPr>
          <w:rStyle w:val="indexentry"/>
        </w:rPr>
        <w:t>&lt;lx "zu'o"&gt;</w:t>
      </w:r>
      <w:r>
        <w:rPr>
          <w:rStyle w:val="indexentry"/>
        </w:rPr>
        <w:fldChar w:fldCharType="begin"/>
      </w:r>
      <w:r>
        <w:instrText>xe "</w:instrText>
      </w:r>
      <w:r>
        <w:rPr>
          <w:rStyle w:val="xeentry"/>
        </w:rPr>
        <w:instrText>zu'o</w:instrText>
      </w:r>
      <w:r>
        <w:instrText>"</w:instrText>
      </w:r>
      <w:r>
        <w:rPr>
          <w:rStyle w:val="indexentry"/>
        </w:rPr>
        <w:fldChar w:fldCharType="end"/>
      </w:r>
      <w:r>
        <w:t>An event considered as extended in time and cyclic or repeti</w:t>
      </w:r>
      <w:r>
        <w:softHyphen/>
        <w:t>tive is called</w:t>
      </w:r>
      <w:r>
        <w:rPr>
          <w:rStyle w:val="deletedparamark"/>
        </w:rPr>
        <w:t xml:space="preserve"> </w:t>
      </w:r>
      <w:r>
        <w:t>an “activity”. The abstractor “zu'o” means “activity-of”: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mi tatpi ri'a le zu'o mi plipe</w:t>
      </w:r>
    </w:p>
    <w:p w:rsidR="00B72047" w:rsidRDefault="00B72047">
      <w:pPr>
        <w:pStyle w:val="examplescaled"/>
      </w:pPr>
      <w:r>
        <w:tab/>
        <w:t>I am-tired because-of the activity-of (I jump)</w:t>
      </w:r>
    </w:p>
    <w:p w:rsidR="00B72047" w:rsidRDefault="00B72047">
      <w:pPr>
        <w:pStyle w:val="examplescaled"/>
      </w:pPr>
      <w:r>
        <w:tab/>
        <w:t>I am tired because I jump.</w:t>
      </w:r>
    </w:p>
    <w:p w:rsidR="00B72047" w:rsidRDefault="00B72047">
      <w:pPr>
        <w:pStyle w:val="normalafterexample"/>
      </w:pPr>
      <w:r>
        <w:rPr>
          <w:rStyle w:val="htmlcodes"/>
        </w:rPr>
        <w:t>&lt;/pre&gt;</w:t>
      </w:r>
      <w:r>
        <w:rPr>
          <w:rStyle w:val="indexentry"/>
        </w:rPr>
        <w:t>&lt;cx "state abstractor"&gt;</w:t>
      </w:r>
      <w:r>
        <w:rPr>
          <w:rStyle w:val="indexentry"/>
        </w:rPr>
        <w:fldChar w:fldCharType="begin"/>
      </w:r>
      <w:r>
        <w:instrText>xe "</w:instrText>
      </w:r>
      <w:r>
        <w:rPr>
          <w:rStyle w:val="xeentry"/>
        </w:rPr>
        <w:instrText>state abstractor</w:instrText>
      </w:r>
      <w:r>
        <w:instrText>"</w:instrText>
      </w:r>
      <w:r>
        <w:rPr>
          <w:rStyle w:val="indexentry"/>
        </w:rPr>
        <w:fldChar w:fldCharType="end"/>
      </w:r>
      <w:r>
        <w:rPr>
          <w:rStyle w:val="indexentry"/>
        </w:rPr>
        <w:t>&lt;cx "state abstraction, definition"&gt;</w:t>
      </w:r>
      <w:r>
        <w:rPr>
          <w:rStyle w:val="indexentry"/>
        </w:rPr>
        <w:fldChar w:fldCharType="begin"/>
      </w:r>
      <w:r>
        <w:instrText>xe "</w:instrText>
      </w:r>
      <w:r>
        <w:rPr>
          <w:rStyle w:val="xeentry"/>
        </w:rPr>
        <w:instrText>state abstraction(s): definition</w:instrText>
      </w:r>
      <w:r>
        <w:instrText>"</w:instrText>
      </w:r>
      <w:r>
        <w:rPr>
          <w:rStyle w:val="indexentry"/>
        </w:rPr>
        <w:fldChar w:fldCharType="end"/>
      </w:r>
      <w:r>
        <w:rPr>
          <w:rStyle w:val="indexentry"/>
        </w:rPr>
        <w:t>&lt;cx "abstraction, state"&gt;</w:t>
      </w:r>
      <w:r>
        <w:rPr>
          <w:rStyle w:val="indexentry"/>
        </w:rPr>
        <w:fldChar w:fldCharType="begin"/>
      </w:r>
      <w:r>
        <w:instrText>xe "</w:instrText>
      </w:r>
      <w:r>
        <w:rPr>
          <w:rStyle w:val="xeentry"/>
        </w:rPr>
        <w:instrText>abstraction(s): state</w:instrText>
      </w:r>
      <w:r>
        <w:instrText>"</w:instrText>
      </w:r>
      <w:r>
        <w:rPr>
          <w:rStyle w:val="indexentry"/>
        </w:rPr>
        <w:fldChar w:fldCharType="end"/>
      </w:r>
      <w:r>
        <w:rPr>
          <w:rStyle w:val="indexentry"/>
        </w:rPr>
        <w:t>&lt;lx "za'i"&gt;</w:t>
      </w:r>
      <w:r>
        <w:rPr>
          <w:rStyle w:val="indexentry"/>
        </w:rPr>
        <w:fldChar w:fldCharType="begin"/>
      </w:r>
      <w:r>
        <w:instrText>xe "</w:instrText>
      </w:r>
      <w:r>
        <w:rPr>
          <w:rStyle w:val="xeentry"/>
        </w:rPr>
        <w:instrText>za'i</w:instrText>
      </w:r>
      <w:r>
        <w:instrText>"</w:instrText>
      </w:r>
      <w:r>
        <w:rPr>
          <w:rStyle w:val="indexentry"/>
        </w:rPr>
        <w:fldChar w:fldCharType="end"/>
      </w:r>
      <w:r>
        <w:t>An event considered as something that is either happening or not happening,</w:t>
      </w:r>
      <w:r>
        <w:rPr>
          <w:rStyle w:val="deletedparamark"/>
        </w:rPr>
        <w:t xml:space="preserve"> </w:t>
      </w:r>
      <w:r>
        <w:t>with sharp boundaries, is called a “state”. The ab</w:t>
      </w:r>
      <w:r>
        <w:softHyphen/>
        <w:t>stractor “za'i” means</w:t>
      </w:r>
      <w:r>
        <w:rPr>
          <w:rStyle w:val="deletedparamark"/>
        </w:rPr>
        <w:t xml:space="preserve"> “</w:t>
      </w:r>
      <w:r>
        <w:t>state-of”:</w:t>
      </w:r>
    </w:p>
    <w:p w:rsidR="00B72047" w:rsidRDefault="00B72047">
      <w:pPr>
        <w:rPr>
          <w:rStyle w:val="htmlparacode"/>
        </w:rPr>
      </w:pPr>
      <w:r>
        <w:rPr>
          <w:rStyle w:val="htmlparacode"/>
        </w:rPr>
        <w:t>&lt;p&gt;</w:t>
      </w:r>
    </w:p>
    <w:p w:rsidR="00B72047" w:rsidRDefault="00B72047">
      <w:pPr>
        <w:pStyle w:val="examplescaledpre"/>
      </w:pPr>
      <w:r>
        <w:rPr>
          <w:rStyle w:val="indexentry"/>
        </w:rPr>
        <w:t>&lt;ex "being alive"&gt;</w:t>
      </w:r>
      <w:r>
        <w:rPr>
          <w:rStyle w:val="indexentry"/>
        </w:rPr>
        <w:fldChar w:fldCharType="begin"/>
      </w:r>
      <w:r>
        <w:instrText>xe "</w:instrText>
      </w:r>
      <w:r>
        <w:rPr>
          <w:rStyle w:val="xeentry"/>
        </w:rPr>
        <w:instrText>being alive: example</w:instrText>
      </w:r>
      <w:r>
        <w:instrText>"</w:instrText>
      </w:r>
      <w:r>
        <w:rPr>
          <w:rStyle w:val="indexentry"/>
        </w:rPr>
        <w:fldChar w:fldCharType="end"/>
      </w:r>
      <w:r>
        <w:rPr>
          <w:rStyle w:val="htmlcodes"/>
        </w:rPr>
        <w:t>&lt;pre&gt;&lt;a name=e3d4&gt;</w:t>
      </w:r>
      <w:r>
        <w:t>3.4)</w:t>
      </w:r>
      <w:r>
        <w:tab/>
        <w:t>le za'i mi jmive cu ckape do</w:t>
      </w:r>
    </w:p>
    <w:p w:rsidR="00B72047" w:rsidRDefault="00B72047">
      <w:pPr>
        <w:pStyle w:val="examplescaled"/>
      </w:pPr>
      <w:r>
        <w:tab/>
        <w:t>The state-of (I am-alive) is-dangerous-to you</w:t>
      </w:r>
    </w:p>
    <w:p w:rsidR="00B72047" w:rsidRDefault="00B72047">
      <w:pPr>
        <w:pStyle w:val="examplescaled"/>
      </w:pPr>
      <w:r>
        <w:tab/>
        <w:t>My being alive is dangerous to you.</w:t>
      </w:r>
    </w:p>
    <w:p w:rsidR="00B72047" w:rsidRDefault="00B72047">
      <w:pPr>
        <w:pStyle w:val="normalafterexample"/>
      </w:pPr>
      <w:r>
        <w:rPr>
          <w:rStyle w:val="htmlcodes"/>
        </w:rPr>
        <w:t>&lt;/pre&gt;</w:t>
      </w:r>
      <w:r>
        <w:rPr>
          <w:rStyle w:val="indexentry"/>
        </w:rPr>
        <w:t>&lt;cx "event types, described"&gt;</w:t>
      </w:r>
      <w:r>
        <w:rPr>
          <w:rStyle w:val="indexentry"/>
        </w:rPr>
        <w:fldChar w:fldCharType="begin"/>
      </w:r>
      <w:r>
        <w:instrText>xe "</w:instrText>
      </w:r>
      <w:r>
        <w:rPr>
          <w:rStyle w:val="xeentry"/>
        </w:rPr>
        <w:instrText>event types: described</w:instrText>
      </w:r>
      <w:r>
        <w:instrText>"</w:instrText>
      </w:r>
      <w:r>
        <w:rPr>
          <w:rStyle w:val="indexentry"/>
        </w:rPr>
        <w:fldChar w:fldCharType="end"/>
      </w:r>
      <w:r>
        <w:t xml:space="preserve">The abstractors in </w:t>
      </w:r>
      <w:r>
        <w:rPr>
          <w:rStyle w:val="htmlcodes"/>
        </w:rPr>
        <w:t>&lt;a href=#e3d{1}&gt;</w:t>
      </w:r>
      <w:r>
        <w:t xml:space="preserve">Examples 3.1 </w:t>
      </w:r>
      <w:r>
        <w:rPr>
          <w:rStyle w:val="htmlcodes"/>
        </w:rPr>
        <w:t>&lt;/a&gt;</w:t>
      </w:r>
      <w:r>
        <w:t xml:space="preserve">through </w:t>
      </w:r>
      <w:r>
        <w:rPr>
          <w:rStyle w:val="htmlcodes"/>
        </w:rPr>
        <w:t>&lt;a href=#e3d4&gt;</w:t>
      </w:r>
      <w:r>
        <w:t xml:space="preserve">3.4 </w:t>
      </w:r>
      <w:r>
        <w:rPr>
          <w:rStyle w:val="htmlcodes"/>
        </w:rPr>
        <w:t>&lt;/a&gt;</w:t>
      </w:r>
      <w:r>
        <w:t>could all have been replaced by</w:t>
      </w:r>
      <w:r>
        <w:rPr>
          <w:rStyle w:val="deletedparamark"/>
        </w:rPr>
        <w:t xml:space="preserve"> “</w:t>
      </w:r>
      <w:r>
        <w:t>nu”, with some loss of precision. Note that Lojban allows every sort of</w:t>
      </w:r>
      <w:r>
        <w:rPr>
          <w:rStyle w:val="deletedparamark"/>
        </w:rPr>
        <w:t xml:space="preserve"> </w:t>
      </w:r>
      <w:r>
        <w:t>event to be viewed in any of these four ways:</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"state event, described"&gt;</w:t>
      </w:r>
      <w:r>
        <w:rPr>
          <w:rStyle w:val="indexentry"/>
        </w:rPr>
        <w:fldChar w:fldCharType="begin"/>
      </w:r>
      <w:r>
        <w:instrText>xe "</w:instrText>
      </w:r>
      <w:r>
        <w:rPr>
          <w:rStyle w:val="xeentry"/>
        </w:rPr>
        <w:instrText>state event: described</w:instrText>
      </w:r>
      <w:r>
        <w:instrText>"</w:instrText>
      </w:r>
      <w:r>
        <w:rPr>
          <w:rStyle w:val="indexentry"/>
        </w:rPr>
        <w:fldChar w:fldCharType="end"/>
      </w:r>
      <w:r>
        <w:rPr>
          <w:rStyle w:val="htmlcodes"/>
        </w:rPr>
        <w:t>&lt;dl compact&gt;&lt;dt&gt;&lt;dd&gt;</w:t>
      </w:r>
      <w:r>
        <w:t>the “state of running” begins when the runner starts and ends when the runner stops;</w:t>
      </w:r>
    </w:p>
    <w:p w:rsidR="00B72047" w:rsidRDefault="00B72047" w:rsidP="007E67C1">
      <w:pPr>
        <w:pStyle w:val="Listjustified"/>
        <w:numPr>
          <w:ilvl w:val="0"/>
          <w:numId w:val="2"/>
        </w:numPr>
        <w:ind w:left="792" w:hanging="432"/>
      </w:pPr>
      <w:r>
        <w:rPr>
          <w:rStyle w:val="htmlcodes"/>
        </w:rPr>
        <w:t>&lt;/dl&gt;</w:t>
      </w:r>
      <w:r>
        <w:rPr>
          <w:rStyle w:val="indexentry"/>
        </w:rPr>
        <w:t>&lt;cx "activity event, described"&gt;</w:t>
      </w:r>
      <w:r>
        <w:rPr>
          <w:rStyle w:val="indexentry"/>
        </w:rPr>
        <w:fldChar w:fldCharType="begin"/>
      </w:r>
      <w:r>
        <w:instrText>xe "</w:instrText>
      </w:r>
      <w:r>
        <w:rPr>
          <w:rStyle w:val="xeentry"/>
        </w:rPr>
        <w:instrText>activity event: described</w:instrText>
      </w:r>
      <w:r>
        <w:instrText>"</w:instrText>
      </w:r>
      <w:r>
        <w:rPr>
          <w:rStyle w:val="indexentry"/>
        </w:rPr>
        <w:fldChar w:fldCharType="end"/>
      </w:r>
      <w:r>
        <w:rPr>
          <w:rStyle w:val="htmlcodes"/>
        </w:rPr>
        <w:t>&lt;dl compact&gt;&lt;dt&gt;&lt;dd&gt;</w:t>
      </w:r>
      <w:r>
        <w:t>the “activity of running” consists of the cycle “lift leg, step forward, drop leg, lift other leg </w:t>
      </w:r>
      <w:r>
        <w:rPr>
          <w:rStyle w:val="htmlcodes"/>
        </w:rPr>
        <w:t>&lt;dots&gt;</w:t>
      </w:r>
      <w:r>
        <w:t>…</w:t>
      </w:r>
      <w:r>
        <w:rPr>
          <w:rStyle w:val="htmlcodes"/>
        </w:rPr>
        <w:t>&lt;/dots&gt;</w:t>
      </w:r>
      <w:r>
        <w:t>” (each such cycle is a process, but the activity con</w:t>
      </w:r>
      <w:r>
        <w:softHyphen/>
        <w:t>sists in the repetition of the cycle);</w:t>
      </w:r>
    </w:p>
    <w:p w:rsidR="00B72047" w:rsidRDefault="00B72047" w:rsidP="007E67C1">
      <w:pPr>
        <w:pStyle w:val="Listjustified"/>
        <w:numPr>
          <w:ilvl w:val="0"/>
          <w:numId w:val="2"/>
        </w:numPr>
        <w:ind w:left="792" w:hanging="432"/>
      </w:pPr>
      <w:r>
        <w:rPr>
          <w:rStyle w:val="htmlcodes"/>
        </w:rPr>
        <w:t>&lt;/dl&gt;</w:t>
      </w:r>
      <w:r>
        <w:rPr>
          <w:rStyle w:val="indexentry"/>
        </w:rPr>
        <w:t>&lt;cx "steady speed"&gt;</w:t>
      </w:r>
      <w:r>
        <w:rPr>
          <w:rStyle w:val="indexentry"/>
        </w:rPr>
        <w:fldChar w:fldCharType="begin"/>
      </w:r>
      <w:r>
        <w:instrText>xe "</w:instrText>
      </w:r>
      <w:r>
        <w:rPr>
          <w:rStyle w:val="xeentry"/>
        </w:rPr>
        <w:instrText>steady speed</w:instrText>
      </w:r>
      <w:r>
        <w:instrText>"</w:instrText>
      </w:r>
      <w:r>
        <w:rPr>
          <w:rStyle w:val="indexentry"/>
        </w:rPr>
        <w:fldChar w:fldCharType="end"/>
      </w:r>
      <w:r>
        <w:rPr>
          <w:rStyle w:val="indexentry"/>
        </w:rPr>
        <w:t>&lt;cx "slowdown"&gt;</w:t>
      </w:r>
      <w:r>
        <w:rPr>
          <w:rStyle w:val="indexentry"/>
        </w:rPr>
        <w:fldChar w:fldCharType="begin"/>
      </w:r>
      <w:r>
        <w:instrText>xe "</w:instrText>
      </w:r>
      <w:r>
        <w:rPr>
          <w:rStyle w:val="xeentry"/>
        </w:rPr>
        <w:instrText>slowdown</w:instrText>
      </w:r>
      <w:r>
        <w:instrText>"</w:instrText>
      </w:r>
      <w:r>
        <w:rPr>
          <w:rStyle w:val="indexentry"/>
        </w:rPr>
        <w:fldChar w:fldCharType="end"/>
      </w:r>
      <w:r>
        <w:rPr>
          <w:rStyle w:val="indexentry"/>
        </w:rPr>
        <w:t>&lt;cx "process event, described"&gt;</w:t>
      </w:r>
      <w:r>
        <w:rPr>
          <w:rStyle w:val="indexentry"/>
        </w:rPr>
        <w:fldChar w:fldCharType="begin"/>
      </w:r>
      <w:r>
        <w:instrText>xe "</w:instrText>
      </w:r>
      <w:r>
        <w:rPr>
          <w:rStyle w:val="xeentry"/>
        </w:rPr>
        <w:instrText>process event: described</w:instrText>
      </w:r>
      <w:r>
        <w:instrText>"</w:instrText>
      </w:r>
      <w:r>
        <w:rPr>
          <w:rStyle w:val="indexentry"/>
        </w:rPr>
        <w:fldChar w:fldCharType="end"/>
      </w:r>
      <w:r>
        <w:rPr>
          <w:rStyle w:val="htmlcodes"/>
        </w:rPr>
        <w:t>&lt;dl compact&gt;&lt;dt&gt;&lt;dd&gt;</w:t>
      </w:r>
      <w:r>
        <w:t>the “process of running” puts emphasis on the initial sprint, the steady speed, and the final slowdown;</w:t>
      </w:r>
    </w:p>
    <w:p w:rsidR="00B72047" w:rsidRDefault="00B72047" w:rsidP="007E67C1">
      <w:pPr>
        <w:pStyle w:val="Listjustified"/>
        <w:numPr>
          <w:ilvl w:val="0"/>
          <w:numId w:val="2"/>
        </w:numPr>
        <w:ind w:left="792" w:hanging="432"/>
      </w:pPr>
      <w:r>
        <w:rPr>
          <w:rStyle w:val="htmlcodes"/>
        </w:rPr>
        <w:t>&lt;/dl&gt;</w:t>
      </w:r>
      <w:r>
        <w:rPr>
          <w:rStyle w:val="indexentry"/>
        </w:rPr>
        <w:t>&lt;cx "Pheidippides"&gt;</w:t>
      </w:r>
      <w:r>
        <w:rPr>
          <w:rStyle w:val="indexentry"/>
        </w:rPr>
        <w:fldChar w:fldCharType="begin"/>
      </w:r>
      <w:r>
        <w:instrText>xe "</w:instrText>
      </w:r>
      <w:r>
        <w:rPr>
          <w:rStyle w:val="xeentry"/>
        </w:rPr>
        <w:instrText>Pheidippides</w:instrText>
      </w:r>
      <w:r>
        <w:instrText>"</w:instrText>
      </w:r>
      <w:r>
        <w:rPr>
          <w:rStyle w:val="indexentry"/>
        </w:rPr>
        <w:fldChar w:fldCharType="end"/>
      </w:r>
      <w:r>
        <w:rPr>
          <w:rStyle w:val="indexentry"/>
        </w:rPr>
        <w:t>&lt;cx "marathon"&gt;</w:t>
      </w:r>
      <w:r>
        <w:rPr>
          <w:rStyle w:val="indexentry"/>
        </w:rPr>
        <w:fldChar w:fldCharType="begin"/>
      </w:r>
      <w:r>
        <w:instrText>xe "</w:instrText>
      </w:r>
      <w:r>
        <w:rPr>
          <w:rStyle w:val="xeentry"/>
        </w:rPr>
        <w:instrText>marathon</w:instrText>
      </w:r>
      <w:r>
        <w:instrText>"</w:instrText>
      </w:r>
      <w:r>
        <w:rPr>
          <w:rStyle w:val="indexentry"/>
        </w:rPr>
        <w:fldChar w:fldCharType="end"/>
      </w:r>
      <w:r>
        <w:rPr>
          <w:rStyle w:val="indexentry"/>
        </w:rPr>
        <w:t>&lt;cx "indivisible"&gt;</w:t>
      </w:r>
      <w:r>
        <w:rPr>
          <w:rStyle w:val="indexentry"/>
        </w:rPr>
        <w:fldChar w:fldCharType="begin"/>
      </w:r>
      <w:r>
        <w:instrText>xe "</w:instrText>
      </w:r>
      <w:r>
        <w:rPr>
          <w:rStyle w:val="xeentry"/>
        </w:rPr>
        <w:instrText>indivisible</w:instrText>
      </w:r>
      <w:r>
        <w:instrText>"</w:instrText>
      </w:r>
      <w:r>
        <w:rPr>
          <w:rStyle w:val="indexentry"/>
        </w:rPr>
        <w:fldChar w:fldCharType="end"/>
      </w:r>
      <w:r>
        <w:rPr>
          <w:rStyle w:val="indexentry"/>
        </w:rPr>
        <w:t>&lt;cx "Athens"&gt;</w:t>
      </w:r>
      <w:r>
        <w:rPr>
          <w:rStyle w:val="indexentry"/>
        </w:rPr>
        <w:fldChar w:fldCharType="begin"/>
      </w:r>
      <w:r>
        <w:instrText>xe "</w:instrText>
      </w:r>
      <w:r>
        <w:rPr>
          <w:rStyle w:val="xeentry"/>
        </w:rPr>
        <w:instrText>Athens</w:instrText>
      </w:r>
      <w:r>
        <w:instrText>"</w:instrText>
      </w:r>
      <w:r>
        <w:rPr>
          <w:rStyle w:val="indexentry"/>
        </w:rPr>
        <w:fldChar w:fldCharType="end"/>
      </w:r>
      <w:r>
        <w:rPr>
          <w:rStyle w:val="indexentry"/>
        </w:rPr>
        <w:t>&lt;cx "achievement event, described"&gt;</w:t>
      </w:r>
      <w:r>
        <w:rPr>
          <w:rStyle w:val="indexentry"/>
        </w:rPr>
        <w:fldChar w:fldCharType="begin"/>
      </w:r>
      <w:r>
        <w:instrText>xe "</w:instrText>
      </w:r>
      <w:r>
        <w:rPr>
          <w:rStyle w:val="xeentry"/>
        </w:rPr>
        <w:instrText>achievement event: described</w:instrText>
      </w:r>
      <w:r>
        <w:instrText>"</w:instrText>
      </w:r>
      <w:r>
        <w:rPr>
          <w:rStyle w:val="indexentry"/>
        </w:rPr>
        <w:fldChar w:fldCharType="end"/>
      </w:r>
      <w:r>
        <w:rPr>
          <w:rStyle w:val="htmlcodes"/>
        </w:rPr>
        <w:t>&lt;dl compact&gt;&lt;dt&gt;&lt;dd&gt;</w:t>
      </w:r>
      <w:r>
        <w:t>the “achievement of running” is most alien to English, but sees the event of running as a single indivisible thing, like “Pheidippides' run from Mara</w:t>
      </w:r>
      <w:r>
        <w:softHyphen/>
        <w:t>thon to Athens” (the original marathon).</w:t>
      </w:r>
    </w:p>
    <w:p w:rsidR="00B72047" w:rsidRDefault="00B72047">
      <w:pPr>
        <w:pStyle w:val="resumedafterexample"/>
      </w:pPr>
      <w:r>
        <w:rPr>
          <w:rStyle w:val="htmlcodes"/>
        </w:rPr>
        <w:t>&lt;/dl&gt;&lt;p&gt;</w:t>
      </w:r>
      <w:r>
        <w:t xml:space="preserve">Further information on types of events can be found in </w:t>
      </w:r>
      <w:r>
        <w:rPr>
          <w:rStyle w:val="htmlcodes"/>
        </w:rPr>
        <w:t>&lt;a href=#s12&gt;</w:t>
      </w:r>
      <w:r>
        <w:t>Sec</w:t>
      </w:r>
      <w:r>
        <w:softHyphen/>
        <w:t>tion 12</w:t>
      </w:r>
      <w:r>
        <w:rPr>
          <w:rStyle w:val="htmlcodes"/>
        </w:rPr>
        <w:t>&lt;/a&gt;</w:t>
      </w:r>
      <w:r>
        <w:t>.</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The four event type abstractors have the following place structures: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&lt;cx "achievement, place structure"&gt;</w:t>
      </w:r>
      <w:r>
        <w:rPr>
          <w:rStyle w:val="indexentry"/>
        </w:rPr>
        <w:fldChar w:fldCharType="begin"/>
      </w:r>
      <w:r>
        <w:instrText>xe "</w:instrText>
      </w:r>
      <w:r>
        <w:rPr>
          <w:rStyle w:val="xeentry"/>
        </w:rPr>
        <w:instrText>achievement abstraction: place structure</w:instrText>
      </w:r>
      <w:r>
        <w:instrText>"</w:instrText>
      </w:r>
      <w:r>
        <w:rPr>
          <w:rStyle w:val="indexentry"/>
        </w:rPr>
        <w:fldChar w:fldCharType="end"/>
      </w:r>
      <w:r>
        <w:rPr>
          <w:rStyle w:val="indexentry"/>
        </w:rPr>
        <w:t>&lt;cx "point-event, place structure"&gt;</w:t>
      </w:r>
      <w:r>
        <w:rPr>
          <w:rStyle w:val="indexentry"/>
        </w:rPr>
        <w:fldChar w:fldCharType="begin"/>
      </w:r>
      <w:r>
        <w:instrText>xe "</w:instrText>
      </w:r>
      <w:r>
        <w:rPr>
          <w:rStyle w:val="xeentry"/>
        </w:rPr>
        <w:instrText>point-event abstraction: place structure</w:instrText>
      </w:r>
      <w:r>
        <w:instrText>"</w:instrText>
      </w:r>
      <w:r>
        <w:rPr>
          <w:rStyle w:val="indexentry"/>
        </w:rPr>
        <w:fldChar w:fldCharType="end"/>
      </w:r>
      <w:r>
        <w:rPr>
          <w:rStyle w:val="indexentry"/>
        </w:rPr>
        <w:t>&lt;cx "mu'e, place structure"&gt;</w:t>
      </w:r>
      <w:r>
        <w:rPr>
          <w:rStyle w:val="indexentry"/>
        </w:rPr>
        <w:fldChar w:fldCharType="begin"/>
      </w:r>
      <w:r>
        <w:instrText>xe "</w:instrText>
      </w:r>
      <w:r>
        <w:rPr>
          <w:rStyle w:val="xeentry"/>
        </w:rPr>
        <w:instrText>mu'e: place structure</w:instrText>
      </w:r>
      <w:r>
        <w:instrText>"</w:instrText>
      </w:r>
      <w:r>
        <w:rPr>
          <w:rStyle w:val="indexentry"/>
        </w:rPr>
        <w:fldChar w:fldCharType="end"/>
      </w:r>
      <w:r>
        <w:rPr>
          <w:rStyle w:val="htmlcodes"/>
        </w:rPr>
        <w:t>&lt;dl compact&gt;&lt;dt&gt;&lt;dd&gt;</w:t>
      </w:r>
      <w:r>
        <w:t>“mu'e”:  x1 is a point event of (the bridi)</w:t>
      </w:r>
    </w:p>
    <w:p w:rsidR="00B72047" w:rsidRDefault="00B72047" w:rsidP="007E67C1">
      <w:pPr>
        <w:pStyle w:val="placestructcont"/>
        <w:numPr>
          <w:ilvl w:val="0"/>
          <w:numId w:val="0"/>
        </w:numPr>
        <w:ind w:left="504" w:hanging="504"/>
      </w:pPr>
      <w:r>
        <w:rPr>
          <w:rStyle w:val="indexentry"/>
        </w:rPr>
        <w:t>&lt;cx "process, place structure"&gt;</w:t>
      </w:r>
      <w:r>
        <w:rPr>
          <w:rStyle w:val="indexentry"/>
        </w:rPr>
        <w:fldChar w:fldCharType="begin"/>
      </w:r>
      <w:r>
        <w:instrText>xe "</w:instrText>
      </w:r>
      <w:r>
        <w:rPr>
          <w:rStyle w:val="xeentry"/>
        </w:rPr>
        <w:instrText>process abstraction: place structure</w:instrText>
      </w:r>
      <w:r>
        <w:instrText>"</w:instrText>
      </w:r>
      <w:r>
        <w:rPr>
          <w:rStyle w:val="indexentry"/>
        </w:rPr>
        <w:fldChar w:fldCharType="end"/>
      </w:r>
      <w:r>
        <w:rPr>
          <w:rStyle w:val="indexentry"/>
        </w:rPr>
        <w:t>&lt;cx "pu'u, place structure"&gt;</w:t>
      </w:r>
      <w:r>
        <w:rPr>
          <w:rStyle w:val="indexentry"/>
        </w:rPr>
        <w:fldChar w:fldCharType="begin"/>
      </w:r>
      <w:r>
        <w:instrText>xe "</w:instrText>
      </w:r>
      <w:r>
        <w:rPr>
          <w:rStyle w:val="xeentry"/>
        </w:rPr>
        <w:instrText>pu'u: place structure</w:instrText>
      </w:r>
      <w:r>
        <w:instrText>"</w:instrText>
      </w:r>
      <w:r>
        <w:rPr>
          <w:rStyle w:val="indexentry"/>
        </w:rPr>
        <w:fldChar w:fldCharType="end"/>
      </w:r>
      <w:r>
        <w:t>“pu'u”:  x1 is a process of (the bridi) with stages x2</w:t>
      </w:r>
    </w:p>
    <w:p w:rsidR="00B72047" w:rsidRDefault="00B72047" w:rsidP="007E67C1">
      <w:pPr>
        <w:pStyle w:val="placestructcont"/>
        <w:numPr>
          <w:ilvl w:val="0"/>
          <w:numId w:val="0"/>
        </w:numPr>
        <w:ind w:left="504" w:hanging="504"/>
      </w:pPr>
      <w:r>
        <w:rPr>
          <w:rStyle w:val="indexentry"/>
        </w:rPr>
        <w:t>&lt;cx "state, place structure"&gt;</w:t>
      </w:r>
      <w:r>
        <w:rPr>
          <w:rStyle w:val="indexentry"/>
        </w:rPr>
        <w:fldChar w:fldCharType="begin"/>
      </w:r>
      <w:r>
        <w:instrText>xe "</w:instrText>
      </w:r>
      <w:r>
        <w:rPr>
          <w:rStyle w:val="xeentry"/>
        </w:rPr>
        <w:instrText>state abstraction: place structure</w:instrText>
      </w:r>
      <w:r>
        <w:instrText>"</w:instrText>
      </w:r>
      <w:r>
        <w:rPr>
          <w:rStyle w:val="indexentry"/>
        </w:rPr>
        <w:fldChar w:fldCharType="end"/>
      </w:r>
      <w:r>
        <w:rPr>
          <w:rStyle w:val="indexentry"/>
        </w:rPr>
        <w:t>&lt;cx "za'i, place structure"&gt;</w:t>
      </w:r>
      <w:r>
        <w:rPr>
          <w:rStyle w:val="indexentry"/>
        </w:rPr>
        <w:fldChar w:fldCharType="begin"/>
      </w:r>
      <w:r>
        <w:instrText>xe "</w:instrText>
      </w:r>
      <w:r>
        <w:rPr>
          <w:rStyle w:val="xeentry"/>
        </w:rPr>
        <w:instrText>za'i: place structure</w:instrText>
      </w:r>
      <w:r>
        <w:instrText>"</w:instrText>
      </w:r>
      <w:r>
        <w:rPr>
          <w:rStyle w:val="indexentry"/>
        </w:rPr>
        <w:fldChar w:fldCharType="end"/>
      </w:r>
      <w:r>
        <w:t>“za'i”:  x1 is a continuous state of (the bridi) being true</w:t>
      </w:r>
    </w:p>
    <w:p w:rsidR="00B72047" w:rsidRDefault="00B72047" w:rsidP="007E67C1">
      <w:pPr>
        <w:pStyle w:val="placestructcont"/>
        <w:numPr>
          <w:ilvl w:val="0"/>
          <w:numId w:val="0"/>
        </w:numPr>
        <w:ind w:left="504" w:hanging="504"/>
      </w:pPr>
      <w:r>
        <w:rPr>
          <w:rStyle w:val="indexentry"/>
        </w:rPr>
        <w:t>&lt;cx "activity, place structure"&gt;</w:t>
      </w:r>
      <w:r>
        <w:rPr>
          <w:rStyle w:val="indexentry"/>
        </w:rPr>
        <w:fldChar w:fldCharType="begin"/>
      </w:r>
      <w:r>
        <w:instrText>xe "</w:instrText>
      </w:r>
      <w:r>
        <w:rPr>
          <w:rStyle w:val="xeentry"/>
        </w:rPr>
        <w:instrText>activity abstraction: place structure</w:instrText>
      </w:r>
      <w:r>
        <w:instrText>"</w:instrText>
      </w:r>
      <w:r>
        <w:rPr>
          <w:rStyle w:val="indexentry"/>
        </w:rPr>
        <w:fldChar w:fldCharType="end"/>
      </w:r>
      <w:r>
        <w:rPr>
          <w:rStyle w:val="indexentry"/>
        </w:rPr>
        <w:t>&lt;cx "zu'o, place structure"&gt;</w:t>
      </w:r>
      <w:r>
        <w:rPr>
          <w:rStyle w:val="indexentry"/>
        </w:rPr>
        <w:fldChar w:fldCharType="begin"/>
      </w:r>
      <w:r>
        <w:instrText>xe "</w:instrText>
      </w:r>
      <w:r>
        <w:rPr>
          <w:rStyle w:val="xeentry"/>
        </w:rPr>
        <w:instrText>zu'o: place structure</w:instrText>
      </w:r>
      <w:r>
        <w:instrText>"</w:instrText>
      </w:r>
      <w:r>
        <w:rPr>
          <w:rStyle w:val="indexentry"/>
        </w:rPr>
        <w:fldChar w:fldCharType="end"/>
      </w:r>
      <w:r>
        <w:t>“zu'o”:  x1 is an activity of (the bridi) consisting of repeated actions x2</w:t>
      </w:r>
    </w:p>
    <w:p w:rsidR="00B72047" w:rsidRDefault="00B72047">
      <w:pPr>
        <w:pStyle w:val="Heading3"/>
        <w:rPr>
          <w:rStyle w:val="Heading3Text"/>
        </w:rPr>
      </w:pPr>
      <w:bookmarkStart w:id="364" w:name="_Toc398970608"/>
      <w:r>
        <w:rPr>
          <w:rStyle w:val="Heading3Text"/>
        </w:rPr>
        <w:t>Property abstractions</w:t>
      </w:r>
      <w:bookmarkEnd w:id="364"/>
      <w:r>
        <w:rPr>
          <w:rStyle w:val="htmlcodes"/>
        </w:rPr>
        <w:t>&lt;/h3&gt;</w:t>
      </w:r>
    </w:p>
    <w:p w:rsidR="00B72047" w:rsidRDefault="00B72047">
      <w:pPr>
        <w:rPr>
          <w:rStyle w:val="htmlparacode"/>
        </w:rPr>
      </w:pPr>
      <w:r>
        <w:rPr>
          <w:rStyle w:val="htmlcodes"/>
        </w:rPr>
        <w:t>&lt;/dl&gt;</w:t>
      </w:r>
      <w:r>
        <w:rPr>
          <w:rStyle w:val="indexentry"/>
        </w:rPr>
        <w:t>&lt;cx "property abstractions"&gt;</w:t>
      </w:r>
      <w:r>
        <w:rPr>
          <w:rStyle w:val="indexentry"/>
        </w:rPr>
        <w:fldChar w:fldCharType="begin"/>
      </w:r>
      <w:r>
        <w:instrText>xe "</w:instrText>
      </w:r>
      <w:r>
        <w:rPr>
          <w:rStyle w:val="xeentry"/>
        </w:rPr>
        <w:instrText>property abstraction</w:instrText>
      </w:r>
      <w:r>
        <w:instrText>"</w:instrText>
      </w:r>
      <w:r>
        <w:rPr>
          <w:rStyle w:val="indexentry"/>
        </w:rPr>
        <w:fldChar w:fldCharType="end"/>
      </w:r>
      <w:r>
        <w:rPr>
          <w:rStyle w:val="indexentry"/>
        </w:rPr>
        <w:t>&lt;cx "abstractions, property"&gt;</w:t>
      </w:r>
      <w:r>
        <w:rPr>
          <w:rStyle w:val="indexentry"/>
        </w:rPr>
        <w:fldChar w:fldCharType="begin"/>
      </w:r>
      <w:r>
        <w:instrText>xe "</w:instrText>
      </w:r>
      <w:r>
        <w:rPr>
          <w:rStyle w:val="xeentry"/>
        </w:rPr>
        <w:instrText>abstraction(s): property</w:instrText>
      </w:r>
      <w:r>
        <w:instrText>"</w:instrText>
      </w:r>
      <w:r>
        <w:rPr>
          <w:rStyle w:val="indexentry"/>
        </w:rPr>
        <w:fldChar w:fldCharType="end"/>
      </w:r>
      <w:r>
        <w:rPr>
          <w:rStyle w:val="htmlcodes"/>
        </w:rPr>
        <w:t>&lt;a name=s4&gt;&lt;h3&gt;</w:t>
      </w:r>
      <w:r>
        <w:rPr>
          <w:rStyle w:val="htmlparacode"/>
        </w:rPr>
        <w:t>&lt;p&gt;</w:t>
      </w:r>
    </w:p>
    <w:p w:rsidR="00B72047" w:rsidRDefault="00B72047">
      <w:pPr>
        <w:pStyle w:val="normalparagraph"/>
        <w:rPr>
          <w:rStyle w:val="deletedparamark"/>
        </w:rPr>
      </w:pPr>
      <w:r>
        <w:t>The following cmavo are discussed in this section:</w:t>
      </w:r>
      <w:r>
        <w:rPr>
          <w:rStyle w:val="deletedparamark"/>
        </w:rPr>
        <w:t xml:space="preserve"> </w:t>
      </w:r>
    </w:p>
    <w:p w:rsidR="00B72047" w:rsidRDefault="00B72047">
      <w:pPr>
        <w:pStyle w:val="examplescaledpre"/>
      </w:pPr>
      <w:r>
        <w:rPr>
          <w:rStyle w:val="xeentry"/>
        </w:rPr>
        <w:fldChar w:fldCharType="begin"/>
      </w:r>
      <w:r>
        <w:rPr>
          <w:rStyle w:val="xeentry"/>
        </w:rPr>
        <w:instrText>xe "ka"</w:instrText>
      </w:r>
      <w:r>
        <w:rPr>
          <w:rStyle w:val="xeentry"/>
        </w:rPr>
        <w:fldChar w:fldCharType="end"/>
      </w:r>
      <w:r>
        <w:rPr>
          <w:rStyle w:val="xeentry"/>
        </w:rPr>
        <w:fldChar w:fldCharType="begin"/>
      </w:r>
      <w:r>
        <w:rPr>
          <w:rStyle w:val="xeentry"/>
        </w:rPr>
        <w:instrText>xe "NU"</w:instrText>
      </w:r>
      <w:r>
        <w:rPr>
          <w:rStyle w:val="xeentry"/>
        </w:rPr>
        <w:fldChar w:fldCharType="end"/>
      </w:r>
      <w:r>
        <w:rPr>
          <w:rStyle w:val="xeentry"/>
        </w:rPr>
        <w:fldChar w:fldCharType="begin"/>
      </w:r>
      <w:r>
        <w:rPr>
          <w:rStyle w:val="xeentry"/>
        </w:rPr>
        <w:instrText>xe "property abstractor"</w:instrText>
      </w:r>
      <w:r>
        <w:rPr>
          <w:rStyle w:val="xeentry"/>
        </w:rPr>
        <w:fldChar w:fldCharType="end"/>
      </w:r>
      <w:r>
        <w:rPr>
          <w:rStyle w:val="htmlcodes"/>
        </w:rPr>
        <w:t>&lt;pre&gt;</w:t>
      </w:r>
      <w:r>
        <w:tab/>
        <w:t>ka</w:t>
      </w:r>
      <w:r>
        <w:tab/>
        <w:t>NU</w:t>
      </w:r>
      <w:r>
        <w:tab/>
        <w:t>property abstractor</w:t>
      </w:r>
    </w:p>
    <w:p w:rsidR="00B72047" w:rsidRDefault="00B72047">
      <w:pPr>
        <w:pStyle w:val="examplescaled"/>
      </w:pPr>
      <w:r>
        <w:tab/>
        <w:t>ce'u</w:t>
      </w:r>
      <w:r>
        <w:tab/>
        <w:t>KOhA</w:t>
      </w:r>
      <w:r>
        <w:tab/>
        <w:t>abstraction focus</w:t>
      </w:r>
    </w:p>
    <w:p w:rsidR="00B72047" w:rsidRDefault="00B72047">
      <w:pPr>
        <w:pStyle w:val="normalafterexample"/>
      </w:pPr>
      <w:r>
        <w:rPr>
          <w:rStyle w:val="htmlcodes"/>
        </w:rPr>
        <w:t>&lt;/pre&gt;&lt;p&gt;</w:t>
      </w:r>
      <w:r>
        <w:t>The things described by “le nu” descriptions (or, to put it an</w:t>
      </w:r>
      <w:r>
        <w:softHyphen/>
        <w:t>other way,</w:t>
      </w:r>
      <w:r>
        <w:rPr>
          <w:rStyle w:val="deletedparamark"/>
        </w:rPr>
        <w:t xml:space="preserve"> </w:t>
      </w:r>
      <w:r>
        <w:t>the things of which “nu” selbri may correctly be predicated) are only</w:t>
      </w:r>
      <w:r>
        <w:rPr>
          <w:rStyle w:val="deletedparamark"/>
        </w:rPr>
        <w:t xml:space="preserve"> </w:t>
      </w:r>
      <w:r>
        <w:t>moderately “abstract”. They are still closely tied to happen</w:t>
      </w:r>
      <w:r>
        <w:softHyphen/>
        <w:t>ings in</w:t>
      </w:r>
      <w:r>
        <w:rPr>
          <w:rStyle w:val="deletedparamark"/>
        </w:rPr>
        <w:t xml:space="preserve"> </w:t>
      </w:r>
      <w:r>
        <w:t>space and time. Properties, how</w:t>
      </w:r>
      <w:r>
        <w:softHyphen/>
        <w:t>ever, are much more ethereal. What is</w:t>
      </w:r>
      <w:r>
        <w:rPr>
          <w:rStyle w:val="deletedparamark"/>
        </w:rPr>
        <w:t xml:space="preserve"> “</w:t>
      </w:r>
      <w:r>
        <w:t>the property of being blue”, or “the property of being a go-er”?</w:t>
      </w:r>
      <w:r>
        <w:rPr>
          <w:rStyle w:val="deletedparamark"/>
        </w:rPr>
        <w:t xml:space="preserve"> </w:t>
      </w:r>
      <w:r>
        <w:t>They are what logicians call “intensions”. If John has a heart, then</w:t>
      </w:r>
      <w:r>
        <w:rPr>
          <w:rStyle w:val="deletedparamark"/>
        </w:rPr>
        <w:t xml:space="preserve"> “</w:t>
      </w:r>
      <w:r>
        <w:t>the property of having a heart” is an abstract object which, when applied</w:t>
      </w:r>
      <w:r>
        <w:rPr>
          <w:rStyle w:val="deletedparamark"/>
        </w:rPr>
        <w:t xml:space="preserve"> </w:t>
      </w:r>
      <w:r>
        <w:t>to John, is true. In fact,</w:t>
      </w:r>
    </w:p>
    <w:p w:rsidR="00B72047" w:rsidRDefault="00B72047">
      <w:pPr>
        <w:rPr>
          <w:rStyle w:val="htmlparacode"/>
        </w:rPr>
      </w:pPr>
      <w:r>
        <w:rPr>
          <w:rStyle w:val="htmlparacode"/>
        </w:rPr>
        <w:t>&lt;p&gt;</w:t>
      </w:r>
    </w:p>
    <w:p w:rsidR="00B72047" w:rsidRDefault="00B72047">
      <w:pPr>
        <w:pStyle w:val="examplescaledpre"/>
      </w:pPr>
      <w:r>
        <w:rPr>
          <w:rStyle w:val="indexentry"/>
        </w:rPr>
        <w:t>&lt;ex "has a heart"&gt;</w:t>
      </w:r>
      <w:r>
        <w:rPr>
          <w:rStyle w:val="indexentry"/>
        </w:rPr>
        <w:fldChar w:fldCharType="begin"/>
      </w:r>
      <w:r>
        <w:instrText>xe "</w:instrText>
      </w:r>
      <w:r>
        <w:rPr>
          <w:rStyle w:val="xeentry"/>
        </w:rPr>
        <w:instrText>has a heart: example</w:instrText>
      </w:r>
      <w:r>
        <w:instrText>"</w:instrText>
      </w:r>
      <w:r>
        <w:rPr>
          <w:rStyle w:val="indexentry"/>
        </w:rPr>
        <w:fldChar w:fldCharType="end"/>
      </w:r>
      <w:r>
        <w:rPr>
          <w:rStyle w:val="htmlcodes"/>
        </w:rPr>
        <w:t>&lt;pre&gt;&lt;a name=e4d1&gt;</w:t>
      </w:r>
      <w:r>
        <w:t>4.1)</w:t>
      </w:r>
      <w:r>
        <w:tab/>
        <w:t>la djan. cu se risna zo'e</w:t>
      </w:r>
    </w:p>
    <w:p w:rsidR="00B72047" w:rsidRDefault="00B72047">
      <w:pPr>
        <w:pStyle w:val="examplescaled"/>
      </w:pPr>
      <w:r>
        <w:tab/>
        <w:t>John has-as-heart something-unspecified.</w:t>
      </w:r>
    </w:p>
    <w:p w:rsidR="00B72047" w:rsidRDefault="00B72047">
      <w:pPr>
        <w:pStyle w:val="examplescaled"/>
      </w:pPr>
      <w:r>
        <w:tab/>
        <w:t>John has a heart.</w:t>
      </w:r>
    </w:p>
    <w:p w:rsidR="00B72047" w:rsidRDefault="00B72047">
      <w:pPr>
        <w:pStyle w:val="resumedafterexample"/>
      </w:pPr>
      <w:r>
        <w:rPr>
          <w:rStyle w:val="htmlcodes"/>
        </w:rPr>
        <w:t>&lt;/pre&gt;</w:t>
      </w:r>
      <w:r>
        <w:t>has the same truth conditions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name=e4d2&gt;</w:t>
      </w:r>
      <w:r>
        <w:t>4.2)</w:t>
      </w:r>
      <w:r>
        <w:tab/>
        <w:t>la djan. cu ckaji le ka se risna [zo'e] [kei]</w:t>
      </w:r>
    </w:p>
    <w:p w:rsidR="00B72047" w:rsidRDefault="00B72047">
      <w:pPr>
        <w:pStyle w:val="examplescaled"/>
      </w:pPr>
      <w:r>
        <w:tab/>
        <w:t>John has-the-property the property-of having-as-heart something.</w:t>
      </w:r>
    </w:p>
    <w:p w:rsidR="00B72047" w:rsidRDefault="00B72047">
      <w:pPr>
        <w:pStyle w:val="examplescaled"/>
      </w:pPr>
      <w:r>
        <w:tab/>
        <w:t>John has the property of having a heart.</w:t>
      </w:r>
    </w:p>
    <w:p w:rsidR="00B72047" w:rsidRDefault="00B72047">
      <w:pPr>
        <w:pStyle w:val="resumedafterexample"/>
      </w:pPr>
      <w:r>
        <w:rPr>
          <w:rStyle w:val="htmlcodes"/>
        </w:rPr>
        <w:t>&lt;/pre&gt;</w:t>
      </w:r>
      <w:r>
        <w:rPr>
          <w:rStyle w:val="indexentry"/>
        </w:rPr>
        <w:t>&lt;cx "having, of properties"&gt;</w:t>
      </w:r>
      <w:r>
        <w:rPr>
          <w:rStyle w:val="indexentry"/>
        </w:rPr>
        <w:fldChar w:fldCharType="begin"/>
      </w:r>
      <w:r>
        <w:instrText>xe "</w:instrText>
      </w:r>
      <w:r>
        <w:rPr>
          <w:rStyle w:val="xeentry"/>
        </w:rPr>
        <w:instrText>having: of properties</w:instrText>
      </w:r>
      <w:r>
        <w:instrText>"</w:instrText>
      </w:r>
      <w:r>
        <w:rPr>
          <w:rStyle w:val="indexentry"/>
        </w:rPr>
        <w:fldChar w:fldCharType="end"/>
      </w:r>
      <w:r>
        <w:t>(The English word “have” frequently appears in any discussion of Loj</w:t>
      </w:r>
      <w:r>
        <w:softHyphen/>
        <w:t>ban</w:t>
      </w:r>
      <w:r>
        <w:rPr>
          <w:rStyle w:val="deletedparamark"/>
        </w:rPr>
        <w:t xml:space="preserve"> </w:t>
      </w:r>
      <w:r>
        <w:t>properties: things are said to “have” properties, but this is not the same</w:t>
      </w:r>
      <w:r>
        <w:rPr>
          <w:rStyle w:val="deletedparamark"/>
        </w:rPr>
        <w:t xml:space="preserve"> </w:t>
      </w:r>
      <w:r>
        <w:t>sense of “have” as in “I have money”, which is possession.)</w:t>
      </w:r>
    </w:p>
    <w:p w:rsidR="00B72047" w:rsidRDefault="00B72047">
      <w:pPr>
        <w:rPr>
          <w:rStyle w:val="htmlparacode"/>
        </w:rPr>
      </w:pPr>
      <w:r>
        <w:rPr>
          <w:rStyle w:val="htmlparacode"/>
        </w:rPr>
        <w:t>&lt;p&gt;</w:t>
      </w:r>
    </w:p>
    <w:p w:rsidR="00B72047" w:rsidRDefault="00B72047">
      <w:pPr>
        <w:pStyle w:val="normalparagraph"/>
      </w:pPr>
      <w:r>
        <w:t>Property descriptions, like event descriptions, are often wanted to fill</w:t>
      </w:r>
      <w:r>
        <w:rPr>
          <w:rStyle w:val="deletedparamark"/>
        </w:rPr>
        <w:t xml:space="preserve"> </w:t>
      </w:r>
      <w:r>
        <w:t>places in brivla place structures: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name=e4d3&gt;</w:t>
      </w:r>
      <w:r>
        <w:t>4.3)</w:t>
      </w:r>
      <w:r>
        <w:tab/>
        <w:t>do cnino mi le ka xunre [kei]</w:t>
      </w:r>
    </w:p>
    <w:p w:rsidR="00B72047" w:rsidRDefault="00B72047">
      <w:pPr>
        <w:pStyle w:val="examplescaled"/>
      </w:pPr>
      <w:r>
        <w:tab/>
        <w:t>You are-new to-me in-the-quality-of-the property-of being-red.</w:t>
      </w:r>
    </w:p>
    <w:p w:rsidR="00B72047" w:rsidRDefault="00B72047">
      <w:pPr>
        <w:pStyle w:val="examplescaled"/>
      </w:pPr>
      <w:r>
        <w:tab/>
        <w:t>You are new to me in redness.</w:t>
      </w:r>
    </w:p>
    <w:p w:rsidR="00B72047" w:rsidRDefault="00B72047">
      <w:pPr>
        <w:pStyle w:val="resumedafterexample"/>
      </w:pPr>
      <w:r>
        <w:rPr>
          <w:rStyle w:val="htmlcodes"/>
        </w:rPr>
        <w:t>&lt;/pre&gt;</w:t>
      </w:r>
      <w:r>
        <w:rPr>
          <w:rStyle w:val="indexentry"/>
        </w:rPr>
        <w:t>&lt;cx "-ness"&gt;</w:t>
      </w:r>
      <w:r>
        <w:rPr>
          <w:rStyle w:val="indexentry"/>
        </w:rPr>
        <w:fldChar w:fldCharType="begin"/>
      </w:r>
      <w:r>
        <w:instrText>xe "</w:instrText>
      </w:r>
      <w:r>
        <w:rPr>
          <w:rStyle w:val="xeentry"/>
        </w:rPr>
        <w:instrText>-ness</w:instrText>
      </w:r>
      <w:r>
        <w:instrText>"</w:instrText>
      </w:r>
      <w:r>
        <w:rPr>
          <w:rStyle w:val="indexentry"/>
        </w:rPr>
        <w:fldChar w:fldCharType="end"/>
      </w:r>
      <w:r>
        <w:rPr>
          <w:rStyle w:val="indexentry"/>
        </w:rPr>
        <w:t>&lt;cx "-ity"&gt;</w:t>
      </w:r>
      <w:r>
        <w:rPr>
          <w:rStyle w:val="indexentry"/>
        </w:rPr>
        <w:fldChar w:fldCharType="begin"/>
      </w:r>
      <w:r>
        <w:instrText>xe "</w:instrText>
      </w:r>
      <w:r>
        <w:rPr>
          <w:rStyle w:val="xeentry"/>
        </w:rPr>
        <w:instrText>-ity</w:instrText>
      </w:r>
      <w:r>
        <w:instrText>"</w:instrText>
      </w:r>
      <w:r>
        <w:rPr>
          <w:rStyle w:val="indexentry"/>
        </w:rPr>
        <w:fldChar w:fldCharType="end"/>
      </w:r>
      <w:r>
        <w:t>(The English suffix “-ness” often signals a property abstraction, as does</w:t>
      </w:r>
      <w:r>
        <w:rPr>
          <w:rStyle w:val="deletedparamark"/>
        </w:rPr>
        <w:t xml:space="preserve"> </w:t>
      </w:r>
      <w:r>
        <w:t>the suffix “</w:t>
      </w:r>
      <w:r>
        <w:noBreakHyphen/>
        <w:t>ity”.)</w:t>
      </w:r>
    </w:p>
    <w:p w:rsidR="00B72047" w:rsidRDefault="00B72047">
      <w:pPr>
        <w:rPr>
          <w:rStyle w:val="htmlparacode"/>
        </w:rPr>
      </w:pPr>
      <w:r>
        <w:rPr>
          <w:rStyle w:val="htmlparacode"/>
        </w:rPr>
        <w:t>&lt;p&gt;</w:t>
      </w:r>
    </w:p>
    <w:p w:rsidR="00B72047" w:rsidRDefault="00B72047">
      <w:pPr>
        <w:pStyle w:val="normalparagraph"/>
      </w:pPr>
      <w:r>
        <w:rPr>
          <w:rStyle w:val="indexentry"/>
        </w:rPr>
        <w:t>&lt;cx "property description"&gt;</w:t>
      </w:r>
      <w:r>
        <w:rPr>
          <w:rStyle w:val="indexentry"/>
        </w:rPr>
        <w:fldChar w:fldCharType="begin"/>
      </w:r>
      <w:r>
        <w:instrText>xe "</w:instrText>
      </w:r>
      <w:r>
        <w:rPr>
          <w:rStyle w:val="xeentry"/>
        </w:rPr>
        <w:instrText>property description</w:instrText>
      </w:r>
      <w:r>
        <w:instrText>"</w:instrText>
      </w:r>
      <w:r>
        <w:rPr>
          <w:rStyle w:val="indexentry"/>
        </w:rPr>
        <w:fldChar w:fldCharType="end"/>
      </w:r>
      <w:r>
        <w:t xml:space="preserve">We can also move the property description to the x1 place of </w:t>
      </w:r>
      <w:r>
        <w:rPr>
          <w:rStyle w:val="htmlcodes"/>
        </w:rPr>
        <w:t>&lt;a href=#e4d3&gt;</w:t>
      </w:r>
      <w:r>
        <w:t>Example 4.3</w:t>
      </w:r>
      <w:r>
        <w:rPr>
          <w:rStyle w:val="htmlcodes"/>
        </w:rPr>
        <w:t>&lt;/a&gt;</w:t>
      </w:r>
      <w:r>
        <w:t>,</w:t>
      </w:r>
      <w:r>
        <w:rPr>
          <w:rStyle w:val="deletedparamark"/>
        </w:rPr>
        <w:t xml:space="preserve"> </w:t>
      </w:r>
      <w:r>
        <w:t>produ</w:t>
      </w:r>
      <w:r>
        <w:t>c</w:t>
      </w:r>
      <w:r>
        <w:softHyphen/>
        <w:t>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name=e4d4&gt;</w:t>
      </w:r>
      <w:r>
        <w:t>4.4)</w:t>
      </w:r>
      <w:r>
        <w:tab/>
        <w:t>le ka do xunre [kei] cu cnino mi</w:t>
      </w:r>
    </w:p>
    <w:p w:rsidR="00B72047" w:rsidRDefault="00B72047">
      <w:pPr>
        <w:pStyle w:val="examplescaled"/>
      </w:pPr>
      <w:r>
        <w:tab/>
        <w:t>The property-of your being-red is-new to me.</w:t>
      </w:r>
    </w:p>
    <w:p w:rsidR="00B72047" w:rsidRDefault="00B72047">
      <w:pPr>
        <w:pStyle w:val="examplescaled"/>
      </w:pPr>
      <w:r>
        <w:tab/>
        <w:t>Your redness is new to me.</w:t>
      </w:r>
    </w:p>
    <w:p w:rsidR="00B72047" w:rsidRDefault="00B72047">
      <w:pPr>
        <w:pStyle w:val="resumedafterexample"/>
      </w:pPr>
      <w:r>
        <w:rPr>
          <w:rStyle w:val="htmlcodes"/>
        </w:rPr>
        <w:t>&lt;/pre&gt;</w:t>
      </w:r>
      <w:r>
        <w:rPr>
          <w:rStyle w:val="indexentry"/>
        </w:rPr>
        <w:t>&lt;cx "sunburn"&gt;</w:t>
      </w:r>
      <w:r>
        <w:rPr>
          <w:rStyle w:val="indexentry"/>
        </w:rPr>
        <w:fldChar w:fldCharType="begin"/>
      </w:r>
      <w:r>
        <w:instrText>xe "</w:instrText>
      </w:r>
      <w:r>
        <w:rPr>
          <w:rStyle w:val="xeentry"/>
        </w:rPr>
        <w:instrText>sunburn: example</w:instrText>
      </w:r>
      <w:r>
        <w:instrText>"</w:instrText>
      </w:r>
      <w:r>
        <w:rPr>
          <w:rStyle w:val="indexentry"/>
        </w:rPr>
        <w:fldChar w:fldCharType="end"/>
      </w:r>
      <w:r>
        <w:rPr>
          <w:rStyle w:val="indexentry"/>
        </w:rPr>
        <w:t>&lt;cx "beach"&gt;</w:t>
      </w:r>
      <w:r>
        <w:rPr>
          <w:rStyle w:val="indexentry"/>
        </w:rPr>
        <w:fldChar w:fldCharType="begin"/>
      </w:r>
      <w:r>
        <w:instrText>xe "</w:instrText>
      </w:r>
      <w:r>
        <w:rPr>
          <w:rStyle w:val="xeentry"/>
        </w:rPr>
        <w:instrText>beach: example</w:instrText>
      </w:r>
      <w:r>
        <w:instrText>"</w:instrText>
      </w:r>
      <w:r>
        <w:rPr>
          <w:rStyle w:val="indexentry"/>
        </w:rPr>
        <w:fldChar w:fldCharType="end"/>
      </w:r>
      <w:r>
        <w:t xml:space="preserve">It would be suitable to use </w:t>
      </w:r>
      <w:r>
        <w:rPr>
          <w:rStyle w:val="htmlcodes"/>
        </w:rPr>
        <w:t>&lt;a href=#e4d{3}&gt;</w:t>
      </w:r>
      <w:r>
        <w:t xml:space="preserve">Examples 4.3 </w:t>
      </w:r>
      <w:r>
        <w:rPr>
          <w:rStyle w:val="htmlcodes"/>
        </w:rPr>
        <w:t>&lt;/a&gt;</w:t>
      </w:r>
      <w:r>
        <w:t xml:space="preserve">and </w:t>
      </w:r>
      <w:r>
        <w:rPr>
          <w:rStyle w:val="htmlcodes"/>
        </w:rPr>
        <w:t>&lt;a href=#e4d4&gt;</w:t>
      </w:r>
      <w:r>
        <w:t xml:space="preserve">4.4 </w:t>
      </w:r>
      <w:r>
        <w:rPr>
          <w:rStyle w:val="htmlcodes"/>
        </w:rPr>
        <w:t>&lt;/a&gt;</w:t>
      </w:r>
      <w:r>
        <w:t>to someone who has returned</w:t>
      </w:r>
      <w:r>
        <w:rPr>
          <w:rStyle w:val="deletedparamark"/>
        </w:rPr>
        <w:t xml:space="preserve"> </w:t>
      </w:r>
      <w:r>
        <w:t>from the beach with a sunburn.</w:t>
      </w:r>
    </w:p>
    <w:p w:rsidR="00B72047" w:rsidRDefault="00B72047">
      <w:pPr>
        <w:rPr>
          <w:rStyle w:val="htmlparacode"/>
        </w:rPr>
      </w:pPr>
      <w:r>
        <w:rPr>
          <w:rStyle w:val="htmlparacode"/>
        </w:rPr>
        <w:t>&lt;p&gt;</w:t>
      </w:r>
    </w:p>
    <w:p w:rsidR="00B72047" w:rsidRDefault="00B72047">
      <w:pPr>
        <w:pStyle w:val="normalparagraph"/>
      </w:pPr>
      <w:r>
        <w:rPr>
          <w:rStyle w:val="indexentry"/>
        </w:rPr>
        <w:t>&lt;cx "property abstraction, sumti ellipsis in"&gt;</w:t>
      </w:r>
      <w:r>
        <w:rPr>
          <w:rStyle w:val="indexentry"/>
        </w:rPr>
        <w:fldChar w:fldCharType="begin"/>
      </w:r>
      <w:r>
        <w:instrText>xe "</w:instrText>
      </w:r>
      <w:r>
        <w:rPr>
          <w:rStyle w:val="xeentry"/>
        </w:rPr>
        <w:instrText>property abstraction(s): sumti ellipsis in</w:instrText>
      </w:r>
      <w:r>
        <w:instrText>"</w:instrText>
      </w:r>
      <w:r>
        <w:rPr>
          <w:rStyle w:val="indexentry"/>
        </w:rPr>
        <w:fldChar w:fldCharType="end"/>
      </w:r>
      <w:r>
        <w:rPr>
          <w:rStyle w:val="indexentry"/>
        </w:rPr>
        <w:t>&lt;cx "property abstraction, specifying determining place by sumti ellipsis"&gt;</w:t>
      </w:r>
      <w:r>
        <w:rPr>
          <w:rStyle w:val="indexentry"/>
        </w:rPr>
        <w:fldChar w:fldCharType="begin"/>
      </w:r>
      <w:r>
        <w:instrText>xe "</w:instrText>
      </w:r>
      <w:r>
        <w:rPr>
          <w:rStyle w:val="xeentry"/>
        </w:rPr>
        <w:instrText>property abstraction(s): specifying determining place by sumti ellipsis</w:instrText>
      </w:r>
      <w:r>
        <w:instrText>"</w:instrText>
      </w:r>
      <w:r>
        <w:rPr>
          <w:rStyle w:val="indexentry"/>
        </w:rPr>
        <w:fldChar w:fldCharType="end"/>
      </w:r>
      <w:r>
        <w:t>There are several different properties that can be extracted from a bridi,</w:t>
      </w:r>
      <w:r>
        <w:rPr>
          <w:rStyle w:val="deletedparamark"/>
        </w:rPr>
        <w:t xml:space="preserve"> </w:t>
      </w:r>
      <w:r>
        <w:t>de</w:t>
      </w:r>
      <w:r>
        <w:softHyphen/>
        <w:t>pending on which place of the bridi is “understood” as being specified</w:t>
      </w:r>
      <w:r>
        <w:rPr>
          <w:rStyle w:val="deletedparamark"/>
        </w:rPr>
        <w:t xml:space="preserve"> </w:t>
      </w:r>
      <w:r>
        <w:t>externally. Thus: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"property of loving"&gt;</w:t>
      </w:r>
      <w:r>
        <w:rPr>
          <w:rStyle w:val="indexentry"/>
        </w:rPr>
        <w:fldChar w:fldCharType="begin"/>
      </w:r>
      <w:r>
        <w:instrText>xe "</w:instrText>
      </w:r>
      <w:r>
        <w:rPr>
          <w:rStyle w:val="xeentry"/>
        </w:rPr>
        <w:instrText>property of loving: example</w:instrText>
      </w:r>
      <w:r>
        <w:instrText>"</w:instrText>
      </w:r>
      <w:r>
        <w:rPr>
          <w:rStyle w:val="indexentry"/>
        </w:rPr>
        <w:fldChar w:fldCharType="end"/>
      </w:r>
      <w:r>
        <w:rPr>
          <w:rStyle w:val="htmlcodes"/>
        </w:rPr>
        <w:t>&lt;pre&gt;&lt;a name=e4d5&gt;</w:t>
      </w:r>
      <w:r>
        <w:t>4.5)</w:t>
      </w:r>
      <w:r>
        <w:tab/>
        <w:t>ka mi prami [zo'e] [kei]</w:t>
      </w:r>
    </w:p>
    <w:p w:rsidR="00B72047" w:rsidRDefault="00B72047">
      <w:pPr>
        <w:pStyle w:val="examplescaled"/>
      </w:pPr>
      <w:r>
        <w:tab/>
        <w:t>a-property-of me loving something-unspecified</w:t>
      </w:r>
    </w:p>
    <w:p w:rsidR="00B72047" w:rsidRDefault="00B72047">
      <w:pPr>
        <w:pStyle w:val="resumedafterexample"/>
      </w:pPr>
      <w:r>
        <w:rPr>
          <w:rStyle w:val="htmlcodes"/>
        </w:rPr>
        <w:t>&lt;/pre&gt;</w:t>
      </w:r>
      <w:r>
        <w:t>is quite different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name=e4d6&gt;</w:t>
      </w:r>
      <w:r>
        <w:t>4.6)</w:t>
      </w:r>
      <w:r>
        <w:tab/>
        <w:t>ka [zo'e] prami mi [kei]</w:t>
      </w:r>
    </w:p>
    <w:p w:rsidR="00B72047" w:rsidRDefault="00B72047">
      <w:pPr>
        <w:pStyle w:val="examplescaled"/>
      </w:pPr>
      <w:r>
        <w:tab/>
        <w:t>a-property-of something-unspecified loving me</w:t>
      </w:r>
    </w:p>
    <w:p w:rsidR="00B72047" w:rsidRDefault="00B72047">
      <w:pPr>
        <w:pStyle w:val="normalafterexample"/>
      </w:pPr>
      <w:r>
        <w:rPr>
          <w:rStyle w:val="htmlcodes"/>
        </w:rPr>
        <w:t>&lt;/pre&gt;&lt;p&gt;</w:t>
      </w:r>
      <w:r>
        <w:t xml:space="preserve">In particular, sentences like </w:t>
      </w:r>
      <w:r>
        <w:rPr>
          <w:rStyle w:val="htmlcodes"/>
        </w:rPr>
        <w:t>&lt;a href=#e4d7&gt;</w:t>
      </w:r>
      <w:r>
        <w:t xml:space="preserve">Example 4.7 </w:t>
      </w:r>
      <w:r>
        <w:rPr>
          <w:rStyle w:val="htmlcodes"/>
        </w:rPr>
        <w:t>&lt;/a&gt;</w:t>
      </w:r>
      <w:r>
        <w:t xml:space="preserve">and </w:t>
      </w:r>
      <w:r>
        <w:rPr>
          <w:rStyle w:val="htmlcodes"/>
        </w:rPr>
        <w:t>&lt;a href=#e4d8&gt;</w:t>
      </w:r>
      <w:r>
        <w:t xml:space="preserve">Example 4.8 </w:t>
      </w:r>
      <w:r>
        <w:rPr>
          <w:rStyle w:val="htmlcodes"/>
        </w:rPr>
        <w:t>&lt;/a&gt;</w:t>
      </w:r>
      <w:r>
        <w:t>are quite</w:t>
      </w:r>
      <w:r>
        <w:rPr>
          <w:rStyle w:val="deletedparamark"/>
        </w:rPr>
        <w:t xml:space="preserve"> </w:t>
      </w:r>
      <w:r>
        <w:t>different in meaning:</w:t>
      </w:r>
    </w:p>
    <w:p w:rsidR="00B72047" w:rsidRDefault="00B72047">
      <w:pPr>
        <w:rPr>
          <w:rStyle w:val="htmlparacode"/>
        </w:rPr>
      </w:pPr>
      <w:r>
        <w:rPr>
          <w:rStyle w:val="htmlparacode"/>
        </w:rPr>
        <w:t>&lt;p&gt;</w:t>
      </w:r>
    </w:p>
    <w:p w:rsidR="00B72047" w:rsidRDefault="00B72047">
      <w:pPr>
        <w:pStyle w:val="examplescaledpre"/>
      </w:pPr>
      <w:r>
        <w:rPr>
          <w:rStyle w:val="indexentry"/>
        </w:rPr>
        <w:t>&lt;ex "love more"&gt;</w:t>
      </w:r>
      <w:r>
        <w:rPr>
          <w:rStyle w:val="indexentry"/>
        </w:rPr>
        <w:fldChar w:fldCharType="begin"/>
      </w:r>
      <w:r>
        <w:instrText>xe "</w:instrText>
      </w:r>
      <w:r>
        <w:rPr>
          <w:rStyle w:val="xeentry"/>
        </w:rPr>
        <w:instrText>love more: example</w:instrText>
      </w:r>
      <w:r>
        <w:instrText>"</w:instrText>
      </w:r>
      <w:r>
        <w:rPr>
          <w:rStyle w:val="indexentry"/>
        </w:rPr>
        <w:fldChar w:fldCharType="end"/>
      </w:r>
      <w:r>
        <w:rPr>
          <w:rStyle w:val="htmlcodes"/>
        </w:rPr>
        <w:t>&lt;pre&gt;&lt;a name=e4d7&gt;</w:t>
      </w:r>
      <w:r>
        <w:t>4.7)</w:t>
      </w:r>
      <w:r>
        <w:tab/>
        <w:t>la djan. cu zmadu la djordj. le ka mi prami</w:t>
      </w:r>
    </w:p>
    <w:p w:rsidR="00B72047" w:rsidRDefault="00B72047">
      <w:pPr>
        <w:pStyle w:val="examplescaled"/>
      </w:pPr>
      <w:r>
        <w:tab/>
        <w:t>John exceeds George in-the property-of (I love X)</w:t>
      </w:r>
    </w:p>
    <w:p w:rsidR="00B72047" w:rsidRDefault="00B72047">
      <w:pPr>
        <w:pStyle w:val="examplescaled"/>
      </w:pPr>
      <w:r>
        <w:tab/>
        <w:t>I love John more than I love George.</w:t>
      </w:r>
    </w:p>
    <w:p w:rsidR="00B72047" w:rsidRDefault="00B72047">
      <w:pPr>
        <w:pStyle w:val="examplescaledpre"/>
      </w:pPr>
      <w:r>
        <w:rPr>
          <w:rStyle w:val="htmlcodes"/>
        </w:rPr>
        <w:t>&lt;a name=e4d8&gt;</w:t>
      </w:r>
      <w:r>
        <w:t>4.8)</w:t>
      </w:r>
      <w:r>
        <w:tab/>
        <w:t>la djan. cu zmadu la djordj. le ka prami mi</w:t>
      </w:r>
    </w:p>
    <w:p w:rsidR="00B72047" w:rsidRDefault="00B72047">
      <w:pPr>
        <w:pStyle w:val="examplescaled"/>
      </w:pPr>
      <w:r>
        <w:tab/>
        <w:t>John exceeds George in the property of (X loves me).</w:t>
      </w:r>
    </w:p>
    <w:p w:rsidR="00B72047" w:rsidRDefault="00B72047">
      <w:pPr>
        <w:pStyle w:val="examplescaled"/>
      </w:pPr>
      <w:r>
        <w:tab/>
        <w:t>John loves me more than George loves me.</w:t>
      </w:r>
    </w:p>
    <w:p w:rsidR="00B72047" w:rsidRDefault="00B72047">
      <w:pPr>
        <w:pStyle w:val="resumedafterexample"/>
        <w:rPr>
          <w:rStyle w:val="htmlparacode"/>
        </w:rPr>
      </w:pPr>
      <w:r>
        <w:rPr>
          <w:rStyle w:val="htmlcodes"/>
        </w:rPr>
        <w:t>&lt;/pre&gt;</w:t>
      </w:r>
      <w:r>
        <w:rPr>
          <w:rStyle w:val="indexentry"/>
        </w:rPr>
        <w:t>&lt;lx "ce'u"&gt;</w:t>
      </w:r>
      <w:r>
        <w:rPr>
          <w:rStyle w:val="indexentry"/>
        </w:rPr>
        <w:fldChar w:fldCharType="begin"/>
      </w:r>
      <w:r>
        <w:instrText>xe "</w:instrText>
      </w:r>
      <w:r>
        <w:rPr>
          <w:rStyle w:val="xeentry"/>
        </w:rPr>
        <w:instrText>ce'u</w:instrText>
      </w:r>
      <w:r>
        <w:instrText>"</w:instrText>
      </w:r>
      <w:r>
        <w:rPr>
          <w:rStyle w:val="indexentry"/>
        </w:rPr>
        <w:fldChar w:fldCharType="end"/>
      </w:r>
      <w:r>
        <w:rPr>
          <w:rStyle w:val="indexentry"/>
        </w:rPr>
        <w:t>&lt;lx "KOhA"&gt;</w:t>
      </w:r>
      <w:r>
        <w:rPr>
          <w:rStyle w:val="indexentry"/>
        </w:rPr>
        <w:fldChar w:fldCharType="begin"/>
      </w:r>
      <w:r>
        <w:instrText>xe "</w:instrText>
      </w:r>
      <w:r>
        <w:rPr>
          <w:rStyle w:val="xeentry"/>
        </w:rPr>
        <w:instrText>KOhA selma’o</w:instrText>
      </w:r>
      <w:r>
        <w:instrText>"</w:instrText>
      </w:r>
      <w:r>
        <w:rPr>
          <w:rStyle w:val="indexentry"/>
        </w:rPr>
        <w:fldChar w:fldCharType="end"/>
      </w:r>
      <w:r>
        <w:rPr>
          <w:rStyle w:val="htmlparacode"/>
        </w:rPr>
        <w:t>&lt;p&gt;</w:t>
      </w:r>
    </w:p>
    <w:p w:rsidR="00B72047" w:rsidRDefault="00B72047">
      <w:pPr>
        <w:pStyle w:val="resumedafterexample"/>
      </w:pPr>
      <w:r>
        <w:rPr>
          <w:rStyle w:val="indexentry"/>
        </w:rPr>
        <w:t>&lt;cx "property abstraction, specifying determining place with ce'u"&gt;</w:t>
      </w:r>
      <w:r>
        <w:rPr>
          <w:rStyle w:val="indexentry"/>
        </w:rPr>
        <w:fldChar w:fldCharType="begin"/>
      </w:r>
      <w:r>
        <w:instrText>xe "</w:instrText>
      </w:r>
      <w:r>
        <w:rPr>
          <w:rStyle w:val="xeentry"/>
        </w:rPr>
        <w:instrText>property abstraction(s): specifying determining place with ce'u</w:instrText>
      </w:r>
      <w:r>
        <w:instrText>"</w:instrText>
      </w:r>
      <w:r>
        <w:rPr>
          <w:rStyle w:val="indexentry"/>
        </w:rPr>
        <w:fldChar w:fldCharType="end"/>
      </w:r>
      <w:r>
        <w:t xml:space="preserve">The “X” used in the glosses of </w:t>
      </w:r>
      <w:r>
        <w:rPr>
          <w:rStyle w:val="htmlcodes"/>
        </w:rPr>
        <w:t>&lt;a href=#e4d{7}&gt;</w:t>
      </w:r>
      <w:r>
        <w:t xml:space="preserve">Examples 4.7 </w:t>
      </w:r>
      <w:r>
        <w:rPr>
          <w:rStyle w:val="htmlcodes"/>
        </w:rPr>
        <w:t>&lt;/a&gt;</w:t>
      </w:r>
      <w:r>
        <w:t xml:space="preserve">through </w:t>
      </w:r>
      <w:r>
        <w:rPr>
          <w:rStyle w:val="htmlcodes"/>
        </w:rPr>
        <w:t>&lt;a href=#e4d8&gt;</w:t>
      </w:r>
      <w:r>
        <w:t xml:space="preserve">4.8 </w:t>
      </w:r>
      <w:r>
        <w:rPr>
          <w:rStyle w:val="htmlcodes"/>
        </w:rPr>
        <w:t>&lt;/a&gt;</w:t>
      </w:r>
      <w:r>
        <w:t>as a place-holder</w:t>
      </w:r>
      <w:r>
        <w:rPr>
          <w:rStyle w:val="deletedparamark"/>
        </w:rPr>
        <w:t xml:space="preserve"> </w:t>
      </w:r>
      <w:r>
        <w:t>cannot be re</w:t>
      </w:r>
      <w:r>
        <w:t>p</w:t>
      </w:r>
      <w:r>
        <w:softHyphen/>
        <w:t>resented only by ellipsis in Lojban, because el</w:t>
      </w:r>
      <w:r>
        <w:softHyphen/>
        <w:t>lipsis means that</w:t>
      </w:r>
      <w:r>
        <w:rPr>
          <w:rStyle w:val="deletedparamark"/>
        </w:rPr>
        <w:t xml:space="preserve"> </w:t>
      </w:r>
      <w:r>
        <w:t>there must be a spe</w:t>
      </w:r>
      <w:r>
        <w:softHyphen/>
        <w:t>cific value that can fill the ellip</w:t>
      </w:r>
      <w:r>
        <w:softHyphen/>
        <w:t>sis, as mentioned</w:t>
      </w:r>
      <w:r>
        <w:rPr>
          <w:rStyle w:val="deletedparamark"/>
        </w:rPr>
        <w:t xml:space="preserve"> </w:t>
      </w:r>
      <w:r>
        <w:t xml:space="preserve">in </w:t>
      </w:r>
      <w:r>
        <w:rPr>
          <w:rStyle w:val="htmlcodes"/>
        </w:rPr>
        <w:t>&lt;a href=#s2&gt;</w:t>
      </w:r>
      <w:r>
        <w:t>Section 2</w:t>
      </w:r>
      <w:r>
        <w:rPr>
          <w:rStyle w:val="htmlcodes"/>
        </w:rPr>
        <w:t>&lt;/a&gt;</w:t>
      </w:r>
      <w:r>
        <w:t>. Instead, the cmavo “ce'u” of selma'o KOhA is employed when</w:t>
      </w:r>
      <w:r>
        <w:rPr>
          <w:rStyle w:val="deletedparamark"/>
        </w:rPr>
        <w:t xml:space="preserve"> </w:t>
      </w:r>
      <w:r>
        <w:t>an explicit sumti is wanted. (The form “X” will be used in literal</w:t>
      </w:r>
      <w:r>
        <w:rPr>
          <w:rStyle w:val="deletedparamark"/>
        </w:rPr>
        <w:t xml:space="preserve"> </w:t>
      </w:r>
      <w:r>
        <w:t>translations.)</w:t>
      </w:r>
    </w:p>
    <w:p w:rsidR="00B72047" w:rsidRDefault="00B72047">
      <w:pPr>
        <w:rPr>
          <w:rStyle w:val="htmlparacode"/>
        </w:rPr>
      </w:pPr>
      <w:r>
        <w:rPr>
          <w:rStyle w:val="htmlparacode"/>
        </w:rPr>
        <w:t>&lt;p&gt;</w:t>
      </w:r>
    </w:p>
    <w:p w:rsidR="00B72047" w:rsidRDefault="00B72047">
      <w:pPr>
        <w:pStyle w:val="normalparagraph"/>
      </w:pPr>
      <w:r>
        <w:t xml:space="preserve">Therefore, an explicit equivalent of </w:t>
      </w:r>
      <w:r>
        <w:rPr>
          <w:rStyle w:val="htmlcodes"/>
        </w:rPr>
        <w:t>&lt;a href=#e4d7&gt;</w:t>
      </w:r>
      <w:r>
        <w:t>Example 4.7</w:t>
      </w:r>
      <w:r>
        <w:rPr>
          <w:rStyle w:val="htmlcodes"/>
        </w:rPr>
        <w:t>&lt;/a&gt;</w:t>
      </w:r>
      <w:r>
        <w:t>, with no el</w:t>
      </w:r>
      <w:r>
        <w:softHyphen/>
        <w:t>lipsis,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name=e4d9&gt;</w:t>
      </w:r>
      <w:r>
        <w:t>4.9)</w:t>
      </w:r>
      <w:r>
        <w:tab/>
        <w:t>la djan. cu zmadu la djordj. le ka mi prami ce'u</w:t>
      </w:r>
    </w:p>
    <w:p w:rsidR="00B72047" w:rsidRDefault="00B72047">
      <w:pPr>
        <w:pStyle w:val="examplescaled"/>
      </w:pPr>
      <w:r>
        <w:tab/>
        <w:t>John exceeds George in-the property-of (I love X).</w:t>
      </w:r>
    </w:p>
    <w:p w:rsidR="00B72047" w:rsidRDefault="00B72047">
      <w:pPr>
        <w:pStyle w:val="resumedafterexample"/>
      </w:pPr>
      <w:r>
        <w:rPr>
          <w:rStyle w:val="htmlcodes"/>
        </w:rPr>
        <w:t>&lt;/pre&gt;</w:t>
      </w:r>
      <w:r>
        <w:t xml:space="preserve">and of </w:t>
      </w:r>
      <w:r>
        <w:rPr>
          <w:rStyle w:val="htmlcodes"/>
        </w:rPr>
        <w:t>&lt;a href=#e4d8&gt;</w:t>
      </w:r>
      <w:r>
        <w:t xml:space="preserve">Example 4.8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name=e4d10&gt;</w:t>
      </w:r>
      <w:r>
        <w:t>4.10)</w:t>
      </w:r>
      <w:r>
        <w:tab/>
        <w:t>la djan. cu zmadu la djordj. le ka ce'u prami mi</w:t>
      </w:r>
    </w:p>
    <w:p w:rsidR="00B72047" w:rsidRDefault="00B72047">
      <w:pPr>
        <w:pStyle w:val="examplescaled"/>
      </w:pPr>
      <w:r>
        <w:tab/>
        <w:t>John exceeds George in-the property-of (X loves me).</w:t>
      </w:r>
    </w:p>
    <w:p w:rsidR="00B72047" w:rsidRDefault="00B72047">
      <w:pPr>
        <w:pStyle w:val="resumedafterexample"/>
      </w:pPr>
      <w:r>
        <w:rPr>
          <w:rStyle w:val="htmlcodes"/>
        </w:rPr>
        <w:t>&lt;/pre&gt;&lt;p&gt;</w:t>
      </w:r>
      <w:r>
        <w:t>This convention allows disambiguation of cases like:</w:t>
      </w:r>
    </w:p>
    <w:p w:rsidR="00B72047" w:rsidRDefault="00B72047">
      <w:pPr>
        <w:rPr>
          <w:rStyle w:val="htmlparacode"/>
        </w:rPr>
      </w:pPr>
      <w:r>
        <w:rPr>
          <w:rStyle w:val="htmlparacode"/>
        </w:rPr>
        <w:t>&lt;p&gt;</w:t>
      </w:r>
    </w:p>
    <w:p w:rsidR="00B72047" w:rsidRDefault="00B72047">
      <w:pPr>
        <w:pStyle w:val="examplescaledpre"/>
      </w:pPr>
      <w:r>
        <w:rPr>
          <w:rStyle w:val="indexentry"/>
        </w:rPr>
        <w:t>&lt;ex "giving the horse"&gt;</w:t>
      </w:r>
      <w:r>
        <w:rPr>
          <w:rStyle w:val="indexentry"/>
        </w:rPr>
        <w:fldChar w:fldCharType="begin"/>
      </w:r>
      <w:r>
        <w:instrText>xe "</w:instrText>
      </w:r>
      <w:r>
        <w:rPr>
          <w:rStyle w:val="xeentry"/>
        </w:rPr>
        <w:instrText>giving the horse: example</w:instrText>
      </w:r>
      <w:r>
        <w:instrText>"</w:instrText>
      </w:r>
      <w:r>
        <w:rPr>
          <w:rStyle w:val="indexentry"/>
        </w:rPr>
        <w:fldChar w:fldCharType="end"/>
      </w:r>
      <w:r>
        <w:rPr>
          <w:rStyle w:val="htmlcodes"/>
        </w:rPr>
        <w:t>&lt;pre&gt;&lt;a name=e4d11&gt;</w:t>
      </w:r>
      <w:r>
        <w:t>4.11)</w:t>
      </w:r>
      <w:r>
        <w:tab/>
        <w:t>le ka [zo'e] dunda le xirma [zo'e] [kei]</w:t>
      </w:r>
    </w:p>
    <w:p w:rsidR="00B72047" w:rsidRDefault="00B72047">
      <w:pPr>
        <w:pStyle w:val="examplescaled"/>
      </w:pPr>
      <w:r>
        <w:tab/>
        <w:t>the property-of giving the horse</w:t>
      </w:r>
    </w:p>
    <w:p w:rsidR="00B72047" w:rsidRDefault="00B72047">
      <w:pPr>
        <w:pStyle w:val="resumedafterexample"/>
      </w:pPr>
      <w:r>
        <w:rPr>
          <w:rStyle w:val="htmlcodes"/>
        </w:rPr>
        <w:t>&lt;/pre&gt;</w:t>
      </w:r>
      <w:r>
        <w:t>into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name=e4d12&gt;</w:t>
      </w:r>
      <w:r>
        <w:t>4.12)</w:t>
      </w:r>
      <w:r>
        <w:tab/>
        <w:t>le ka ce'u dunda le xirma [zo'e] [kei]</w:t>
      </w:r>
    </w:p>
    <w:p w:rsidR="00B72047" w:rsidRDefault="00B72047">
      <w:pPr>
        <w:pStyle w:val="examplescaled"/>
      </w:pPr>
      <w:r>
        <w:tab/>
        <w:t>the property-of (X is-a-giver of-the horse to someone-unspecified)</w:t>
      </w:r>
    </w:p>
    <w:p w:rsidR="00B72047" w:rsidRDefault="00B72047">
      <w:pPr>
        <w:pStyle w:val="examplescaled"/>
      </w:pPr>
      <w:r>
        <w:tab/>
        <w:t>the property of being a giver of the horse</w:t>
      </w:r>
    </w:p>
    <w:p w:rsidR="00B72047" w:rsidRDefault="00B72047">
      <w:pPr>
        <w:pStyle w:val="resumedafterexample"/>
      </w:pPr>
      <w:r>
        <w:rPr>
          <w:rStyle w:val="htmlcodes"/>
        </w:rPr>
        <w:t>&lt;/pre&gt;</w:t>
      </w:r>
      <w:r>
        <w:t xml:space="preserve">which is the most natural interpretation of </w:t>
      </w:r>
      <w:r>
        <w:rPr>
          <w:rStyle w:val="htmlcodes"/>
        </w:rPr>
        <w:t>&lt;a href=#e4d11&gt;</w:t>
      </w:r>
      <w:r>
        <w:t>Example 4.11</w:t>
      </w:r>
      <w:r>
        <w:rPr>
          <w:rStyle w:val="htmlcodes"/>
        </w:rPr>
        <w:t>&lt;/a&gt;</w:t>
      </w:r>
      <w:r>
        <w:t>, versus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name=e4d13&gt;</w:t>
      </w:r>
      <w:r>
        <w:t>4.13)</w:t>
      </w:r>
      <w:r>
        <w:tab/>
        <w:t>le ka [zo'e] dunda le xirma ce'u [kei]</w:t>
      </w:r>
    </w:p>
    <w:p w:rsidR="00B72047" w:rsidRDefault="00B72047">
      <w:pPr>
        <w:pStyle w:val="examplescaled"/>
      </w:pPr>
      <w:r>
        <w:tab/>
        <w:t>the property-of (someone-unspecified is-a-giver of-the horse to X)</w:t>
      </w:r>
    </w:p>
    <w:p w:rsidR="00B72047" w:rsidRDefault="00B72047">
      <w:pPr>
        <w:pStyle w:val="examplescaled"/>
      </w:pPr>
      <w:r>
        <w:tab/>
        <w:t>the property of being one to whom the horse is given</w:t>
      </w:r>
    </w:p>
    <w:p w:rsidR="00B72047" w:rsidRDefault="00B72047">
      <w:pPr>
        <w:pStyle w:val="resumedafterexample"/>
      </w:pPr>
      <w:r>
        <w:rPr>
          <w:rStyle w:val="htmlcodes"/>
        </w:rPr>
        <w:t>&lt;/pre&gt;</w:t>
      </w:r>
      <w:r>
        <w:t>which is also a possible interpretation.</w:t>
      </w:r>
    </w:p>
    <w:p w:rsidR="00B72047" w:rsidRDefault="00B72047">
      <w:pPr>
        <w:rPr>
          <w:rStyle w:val="htmlparacode"/>
        </w:rPr>
      </w:pPr>
      <w:r>
        <w:rPr>
          <w:rStyle w:val="htmlparacode"/>
        </w:rPr>
        <w:t>&lt;p&gt;</w:t>
      </w:r>
    </w:p>
    <w:p w:rsidR="00B72047" w:rsidRDefault="00B72047">
      <w:pPr>
        <w:pStyle w:val="normalparagraph"/>
      </w:pPr>
      <w:r>
        <w:rPr>
          <w:rStyle w:val="indexentry"/>
        </w:rPr>
        <w:t>&lt;cx "relationship abstraction"&gt;</w:t>
      </w:r>
      <w:r>
        <w:rPr>
          <w:rStyle w:val="indexentry"/>
        </w:rPr>
        <w:fldChar w:fldCharType="begin"/>
      </w:r>
      <w:r>
        <w:instrText>xe "</w:instrText>
      </w:r>
      <w:r>
        <w:rPr>
          <w:rStyle w:val="xeentry"/>
        </w:rPr>
        <w:instrText>relationship abstraction</w:instrText>
      </w:r>
      <w:r>
        <w:instrText>"</w:instrText>
      </w:r>
      <w:r>
        <w:rPr>
          <w:rStyle w:val="indexentry"/>
        </w:rPr>
        <w:fldChar w:fldCharType="end"/>
      </w:r>
      <w:r>
        <w:rPr>
          <w:rStyle w:val="indexentry"/>
        </w:rPr>
        <w:t>&lt;cx "property abstractions for relationships"&gt;</w:t>
      </w:r>
      <w:r>
        <w:rPr>
          <w:rStyle w:val="indexentry"/>
        </w:rPr>
        <w:fldChar w:fldCharType="begin"/>
      </w:r>
      <w:r>
        <w:instrText>xe "</w:instrText>
      </w:r>
      <w:r>
        <w:rPr>
          <w:rStyle w:val="xeentry"/>
        </w:rPr>
        <w:instrText>property abstraction: use of multiple ce’u for relationship abstraction</w:instrText>
      </w:r>
      <w:r>
        <w:instrText>"</w:instrText>
      </w:r>
      <w:r>
        <w:rPr>
          <w:rStyle w:val="indexentry"/>
        </w:rPr>
        <w:fldChar w:fldCharType="end"/>
      </w:r>
      <w:r>
        <w:t>It is also possible to have more than one “ce'u” in a “ka” ab</w:t>
      </w:r>
      <w:r>
        <w:softHyphen/>
        <w:t>straction,</w:t>
      </w:r>
      <w:r>
        <w:rPr>
          <w:rStyle w:val="deletedparamark"/>
        </w:rPr>
        <w:t xml:space="preserve"> </w:t>
      </w:r>
      <w:r>
        <w:t>which tran</w:t>
      </w:r>
      <w:r>
        <w:t>s</w:t>
      </w:r>
      <w:r>
        <w:softHyphen/>
        <w:t>forms it from a property abstraction into a rela</w:t>
      </w:r>
      <w:r>
        <w:softHyphen/>
        <w:t>tionship</w:t>
      </w:r>
      <w:r>
        <w:rPr>
          <w:rStyle w:val="deletedparamark"/>
        </w:rPr>
        <w:t xml:space="preserve"> </w:t>
      </w:r>
      <w:r>
        <w:t>abstraction.  Relationship abstra</w:t>
      </w:r>
      <w:r>
        <w:t>c</w:t>
      </w:r>
      <w:r>
        <w:softHyphen/>
        <w:t>tions “package up” a complex relationship for future use; such an abstraction can be translated back into a selbri by placing it in the x2 place of the selbri “bridi”, whose place structure is:</w:t>
      </w:r>
    </w:p>
    <w:p w:rsidR="00B72047" w:rsidRDefault="00B72047" w:rsidP="007E67C1">
      <w:pPr>
        <w:pStyle w:val="placestructure"/>
        <w:numPr>
          <w:ilvl w:val="0"/>
          <w:numId w:val="0"/>
        </w:numPr>
        <w:ind w:left="504" w:hanging="504"/>
      </w:pPr>
      <w:r>
        <w:t>“bridi”: x1 is a predicate relationship with relation x2 (abstraction)</w:t>
      </w:r>
    </w:p>
    <w:p w:rsidR="00B72047" w:rsidRDefault="00B72047" w:rsidP="007E67C1">
      <w:pPr>
        <w:pStyle w:val="placestructcont"/>
        <w:numPr>
          <w:ilvl w:val="0"/>
          <w:numId w:val="0"/>
        </w:numPr>
        <w:ind w:left="504" w:hanging="504"/>
      </w:pPr>
      <w:r>
        <w:t>among arguments (sequence/set) x3</w:t>
      </w:r>
    </w:p>
    <w:p w:rsidR="00B72047" w:rsidRDefault="00B72047">
      <w:pPr>
        <w:pStyle w:val="normalparagraph"/>
        <w:rPr>
          <w:rStyle w:val="htmlparacode"/>
        </w:rPr>
      </w:pPr>
      <w:r>
        <w:rPr>
          <w:rStyle w:val="htmlparacode"/>
        </w:rPr>
        <w:t>&lt;p&gt;</w:t>
      </w:r>
    </w:p>
    <w:p w:rsidR="00B72047" w:rsidRDefault="00B72047">
      <w:pPr>
        <w:pStyle w:val="normalafterexample"/>
      </w:pPr>
      <w:r>
        <w:rPr>
          <w:rStyle w:val="indexentry"/>
        </w:rPr>
        <w:t>&lt;cx "properties, place structure"&gt;</w:t>
      </w:r>
      <w:r>
        <w:rPr>
          <w:rStyle w:val="indexentry"/>
        </w:rPr>
        <w:fldChar w:fldCharType="begin"/>
      </w:r>
      <w:r>
        <w:instrText>xe "</w:instrText>
      </w:r>
      <w:r>
        <w:rPr>
          <w:rStyle w:val="xeentry"/>
        </w:rPr>
        <w:instrText>properties: place structure</w:instrText>
      </w:r>
      <w:r>
        <w:instrText>"</w:instrText>
      </w:r>
      <w:r>
        <w:rPr>
          <w:rStyle w:val="indexentry"/>
        </w:rPr>
        <w:fldChar w:fldCharType="end"/>
      </w:r>
      <w:r>
        <w:t>The place structure of “ka” abstraction selbri is simply:</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ka:  </w:t>
      </w:r>
      <w:r>
        <w:rPr>
          <w:rStyle w:val="htmlcodes"/>
        </w:rPr>
        <w:t>&lt;dd&gt;</w:t>
      </w:r>
      <w:r>
        <w:t>x1 is a property of (the bridi)</w:t>
      </w:r>
    </w:p>
    <w:p w:rsidR="00B72047" w:rsidRDefault="00B72047">
      <w:pPr>
        <w:pStyle w:val="Heading3"/>
        <w:rPr>
          <w:rStyle w:val="Heading3Text"/>
        </w:rPr>
      </w:pPr>
      <w:bookmarkStart w:id="365" w:name="_Toc398970609"/>
      <w:r>
        <w:rPr>
          <w:rStyle w:val="Heading3Text"/>
        </w:rPr>
        <w:t>Amount abstractions</w:t>
      </w:r>
      <w:bookmarkEnd w:id="365"/>
      <w:r>
        <w:rPr>
          <w:rStyle w:val="htmlcodes"/>
        </w:rPr>
        <w:t>&lt;/h3&gt;</w:t>
      </w:r>
    </w:p>
    <w:p w:rsidR="00B72047" w:rsidRDefault="00B72047">
      <w:pPr>
        <w:rPr>
          <w:rStyle w:val="htmlparacode"/>
        </w:rPr>
      </w:pPr>
      <w:r>
        <w:rPr>
          <w:rStyle w:val="htmlparacode"/>
        </w:rPr>
        <w:t>&lt;p&gt;</w:t>
      </w:r>
      <w:r>
        <w:rPr>
          <w:rStyle w:val="htmlcodes"/>
        </w:rPr>
        <w:t>&lt;/dl&gt;</w:t>
      </w:r>
      <w:r>
        <w:rPr>
          <w:rStyle w:val="indexentry"/>
        </w:rPr>
        <w:t>&lt;cx "amount abstraction"&gt;</w:t>
      </w:r>
      <w:r>
        <w:rPr>
          <w:rStyle w:val="indexentry"/>
        </w:rPr>
        <w:fldChar w:fldCharType="begin"/>
      </w:r>
      <w:r>
        <w:instrText>xe "</w:instrText>
      </w:r>
      <w:r>
        <w:rPr>
          <w:rStyle w:val="xeentry"/>
        </w:rPr>
        <w:instrText>amount abstraction</w:instrText>
      </w:r>
      <w:r>
        <w:instrText>"</w:instrText>
      </w:r>
      <w:r>
        <w:rPr>
          <w:rStyle w:val="indexentry"/>
        </w:rPr>
        <w:fldChar w:fldCharType="end"/>
      </w:r>
      <w:r>
        <w:rPr>
          <w:rStyle w:val="indexentry"/>
        </w:rPr>
        <w:t>&lt;cx "abstraction, amount"&gt;</w:t>
      </w:r>
      <w:r>
        <w:rPr>
          <w:rStyle w:val="indexentry"/>
        </w:rPr>
        <w:fldChar w:fldCharType="begin"/>
      </w:r>
      <w:r>
        <w:instrText>xe "</w:instrText>
      </w:r>
      <w:r>
        <w:rPr>
          <w:rStyle w:val="xeentry"/>
        </w:rPr>
        <w:instrText>abstraction(s): amount</w:instrText>
      </w:r>
      <w:r>
        <w:instrText>"</w:instrText>
      </w:r>
      <w:r>
        <w:rPr>
          <w:rStyle w:val="indexentry"/>
        </w:rPr>
        <w:fldChar w:fldCharType="end"/>
      </w:r>
      <w:r>
        <w:rPr>
          <w:rStyle w:val="htmlcodes"/>
        </w:rPr>
        <w:t>&lt;a name=s5&gt;&lt;h3&gt;</w:t>
      </w:r>
    </w:p>
    <w:p w:rsidR="00B72047" w:rsidRDefault="00B72047">
      <w:pPr>
        <w:pStyle w:val="normalparagraph"/>
      </w:pPr>
      <w:r>
        <w:t>The following cmavo is discussed in this section:</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"ni"</w:instrText>
      </w:r>
      <w:r>
        <w:rPr>
          <w:rStyle w:val="xeentry"/>
        </w:rPr>
        <w:fldChar w:fldCharType="end"/>
      </w:r>
      <w:r>
        <w:rPr>
          <w:rStyle w:val="xeentry"/>
        </w:rPr>
        <w:fldChar w:fldCharType="begin"/>
      </w:r>
      <w:r>
        <w:rPr>
          <w:rStyle w:val="xeentry"/>
        </w:rPr>
        <w:instrText>xe "NU"</w:instrText>
      </w:r>
      <w:r>
        <w:rPr>
          <w:rStyle w:val="xeentry"/>
        </w:rPr>
        <w:fldChar w:fldCharType="end"/>
      </w:r>
      <w:r>
        <w:rPr>
          <w:rStyle w:val="xeentry"/>
        </w:rPr>
        <w:fldChar w:fldCharType="begin"/>
      </w:r>
      <w:r>
        <w:rPr>
          <w:rStyle w:val="xeentry"/>
        </w:rPr>
        <w:instrText>xe "amount abstraction"</w:instrText>
      </w:r>
      <w:r>
        <w:rPr>
          <w:rStyle w:val="xeentry"/>
        </w:rPr>
        <w:fldChar w:fldCharType="end"/>
      </w:r>
      <w:r>
        <w:rPr>
          <w:rStyle w:val="htmlcodes"/>
        </w:rPr>
        <w:t>&lt;pre&gt;</w:t>
      </w:r>
      <w:r>
        <w:t xml:space="preserve"> </w:t>
      </w:r>
      <w:r>
        <w:tab/>
        <w:t>ni</w:t>
      </w:r>
      <w:r>
        <w:tab/>
        <w:t>NU</w:t>
      </w:r>
      <w:r>
        <w:tab/>
        <w:t>amount abstraction</w:t>
      </w:r>
    </w:p>
    <w:p w:rsidR="00B72047" w:rsidRDefault="00B72047">
      <w:pPr>
        <w:pStyle w:val="normalparagraph"/>
      </w:pPr>
      <w:r>
        <w:rPr>
          <w:rStyle w:val="htmlcodes"/>
        </w:rPr>
        <w:t>&lt;/pre&gt;&lt;p&gt;</w:t>
      </w:r>
      <w:r>
        <w:t>Amount abstractions are far more limited than event or prop</w:t>
      </w:r>
      <w:r>
        <w:softHyphen/>
        <w:t>erty abstractions.</w:t>
      </w:r>
      <w:r>
        <w:rPr>
          <w:rStyle w:val="deletedparamark"/>
        </w:rPr>
        <w:t xml:space="preserve"> </w:t>
      </w:r>
      <w:r>
        <w:t>They really make sense only if the selbri of the ab</w:t>
      </w:r>
      <w:r>
        <w:softHyphen/>
        <w:t>stracted bridi is</w:t>
      </w:r>
      <w:r>
        <w:rPr>
          <w:rStyle w:val="deletedparamark"/>
        </w:rPr>
        <w:t xml:space="preserve"> </w:t>
      </w:r>
      <w:r>
        <w:t>subject to measure</w:t>
      </w:r>
      <w:r>
        <w:softHyphen/>
        <w:t>ment of some sort. Thus we can speak of:</w:t>
      </w:r>
    </w:p>
    <w:p w:rsidR="00B72047" w:rsidRDefault="00B72047">
      <w:pPr>
        <w:rPr>
          <w:rStyle w:val="htmlparacode"/>
        </w:rPr>
      </w:pPr>
      <w:r>
        <w:rPr>
          <w:rStyle w:val="htmlparacode"/>
        </w:rPr>
        <w:t>&lt;p&gt;</w:t>
      </w:r>
    </w:p>
    <w:p w:rsidR="00B72047" w:rsidRDefault="00B72047">
      <w:pPr>
        <w:pStyle w:val="examplescaledpre"/>
      </w:pPr>
      <w:r>
        <w:rPr>
          <w:rStyle w:val="indexentry"/>
        </w:rPr>
        <w:t>&lt;ex "blueness"&gt;</w:t>
      </w:r>
      <w:r>
        <w:rPr>
          <w:rStyle w:val="indexentry"/>
        </w:rPr>
        <w:fldChar w:fldCharType="begin"/>
      </w:r>
      <w:r>
        <w:instrText>xe "</w:instrText>
      </w:r>
      <w:r>
        <w:rPr>
          <w:rStyle w:val="xeentry"/>
        </w:rPr>
        <w:instrText>blueness: example</w:instrText>
      </w:r>
      <w:r>
        <w:instrText>"</w:instrText>
      </w:r>
      <w:r>
        <w:rPr>
          <w:rStyle w:val="indexentry"/>
        </w:rPr>
        <w:fldChar w:fldCharType="end"/>
      </w:r>
      <w:r>
        <w:rPr>
          <w:rStyle w:val="htmlcodes"/>
        </w:rPr>
        <w:t>&lt;pre&gt;&lt;a name=e5d1&gt;</w:t>
      </w:r>
      <w:r>
        <w:t>5.1)</w:t>
      </w:r>
      <w:r>
        <w:tab/>
        <w:t>le ni le pixra cu blanu [kei]</w:t>
      </w:r>
    </w:p>
    <w:p w:rsidR="00B72047" w:rsidRDefault="00B72047">
      <w:pPr>
        <w:pStyle w:val="examplescaled"/>
      </w:pPr>
      <w:r>
        <w:tab/>
        <w:t>the amount-of (the picture being-blue)</w:t>
      </w:r>
    </w:p>
    <w:p w:rsidR="00B72047" w:rsidRDefault="00B72047">
      <w:pPr>
        <w:pStyle w:val="examplescaled"/>
      </w:pPr>
      <w:r>
        <w:tab/>
        <w:t>the amount of blueness in the picture</w:t>
      </w:r>
    </w:p>
    <w:p w:rsidR="00B72047" w:rsidRDefault="00B72047">
      <w:pPr>
        <w:pStyle w:val="resumedafterexample"/>
      </w:pPr>
      <w:r>
        <w:rPr>
          <w:rStyle w:val="htmlcodes"/>
        </w:rPr>
        <w:t>&lt;/pre&gt;</w:t>
      </w:r>
      <w:r>
        <w:rPr>
          <w:rStyle w:val="indexentry"/>
        </w:rPr>
        <w:t>&lt;cx "colorimeter"&gt;</w:t>
      </w:r>
      <w:r>
        <w:rPr>
          <w:rStyle w:val="indexentry"/>
        </w:rPr>
        <w:fldChar w:fldCharType="begin"/>
      </w:r>
      <w:r>
        <w:instrText>xe "</w:instrText>
      </w:r>
      <w:r>
        <w:rPr>
          <w:rStyle w:val="xeentry"/>
        </w:rPr>
        <w:instrText>colorimeter</w:instrText>
      </w:r>
      <w:r>
        <w:instrText>"</w:instrText>
      </w:r>
      <w:r>
        <w:rPr>
          <w:rStyle w:val="indexentry"/>
        </w:rPr>
        <w:fldChar w:fldCharType="end"/>
      </w:r>
      <w:r>
        <w:t>because “blueness” could be measured with a colorimeter or a similar</w:t>
      </w:r>
      <w:r>
        <w:rPr>
          <w:rStyle w:val="deletedparamark"/>
        </w:rPr>
        <w:t xml:space="preserve"> </w:t>
      </w:r>
      <w:r>
        <w:t>device. However,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le ni la djein. cu mamta [kei]</w:t>
      </w:r>
    </w:p>
    <w:p w:rsidR="00B72047" w:rsidRDefault="00B72047">
      <w:pPr>
        <w:pStyle w:val="examplescaled"/>
      </w:pPr>
      <w:r>
        <w:tab/>
        <w:t>the amount-of (Jane being-a-mother)</w:t>
      </w:r>
    </w:p>
    <w:p w:rsidR="00B72047" w:rsidRDefault="00B72047">
      <w:pPr>
        <w:pStyle w:val="examplescaled"/>
      </w:pPr>
      <w:r>
        <w:tab/>
        <w:t>the amount of Jane's mother-ness (?)</w:t>
      </w:r>
    </w:p>
    <w:p w:rsidR="00B72047" w:rsidRDefault="00B72047">
      <w:pPr>
        <w:pStyle w:val="examplescaled"/>
      </w:pPr>
      <w:r>
        <w:tab/>
        <w:t>the amount of mother-ness in Jane (?)</w:t>
      </w:r>
    </w:p>
    <w:p w:rsidR="00B72047" w:rsidRDefault="00B72047">
      <w:pPr>
        <w:pStyle w:val="resumedafterexample"/>
      </w:pPr>
      <w:r>
        <w:rPr>
          <w:rStyle w:val="htmlcodes"/>
        </w:rPr>
        <w:t>&lt;/pre&gt;</w:t>
      </w:r>
      <w:r>
        <w:rPr>
          <w:rStyle w:val="indexentry"/>
        </w:rPr>
        <w:t>&lt;cx "measurement scale"&gt;</w:t>
      </w:r>
      <w:r>
        <w:rPr>
          <w:rStyle w:val="indexentry"/>
        </w:rPr>
        <w:fldChar w:fldCharType="begin"/>
      </w:r>
      <w:r>
        <w:instrText>xe "</w:instrText>
      </w:r>
      <w:r>
        <w:rPr>
          <w:rStyle w:val="xeentry"/>
        </w:rPr>
        <w:instrText>measurement scale</w:instrText>
      </w:r>
      <w:r>
        <w:instrText>"</w:instrText>
      </w:r>
      <w:r>
        <w:rPr>
          <w:rStyle w:val="indexentry"/>
        </w:rPr>
        <w:fldChar w:fldCharType="end"/>
      </w:r>
      <w:r>
        <w:t>makes very little sense in either Lojban or English. We simply do not</w:t>
      </w:r>
      <w:r>
        <w:rPr>
          <w:rStyle w:val="deletedparamark"/>
        </w:rPr>
        <w:t xml:space="preserve"> </w:t>
      </w:r>
      <w:r>
        <w:t>have any sort of measurement scale for being a mother.</w:t>
      </w:r>
    </w:p>
    <w:p w:rsidR="00B72047" w:rsidRDefault="00B72047">
      <w:pPr>
        <w:rPr>
          <w:rStyle w:val="htmlparacode"/>
        </w:rPr>
      </w:pPr>
      <w:r>
        <w:rPr>
          <w:rStyle w:val="htmlparacode"/>
        </w:rPr>
        <w:t>&lt;p&gt;</w:t>
      </w:r>
    </w:p>
    <w:p w:rsidR="00B72047" w:rsidRDefault="00B72047">
      <w:pPr>
        <w:pStyle w:val="normalparagraph"/>
      </w:pPr>
      <w:r>
        <w:rPr>
          <w:rStyle w:val="indexentry"/>
        </w:rPr>
        <w:t>&lt;cx "amount abstraction and mathematics"&gt;</w:t>
      </w:r>
      <w:r>
        <w:rPr>
          <w:rStyle w:val="indexentry"/>
        </w:rPr>
        <w:fldChar w:fldCharType="begin"/>
      </w:r>
      <w:r>
        <w:instrText>xe "</w:instrText>
      </w:r>
      <w:r>
        <w:rPr>
          <w:rStyle w:val="xeentry"/>
        </w:rPr>
        <w:instrText>amount abstraction and mathematics</w:instrText>
      </w:r>
      <w:r>
        <w:instrText>"</w:instrText>
      </w:r>
      <w:r>
        <w:rPr>
          <w:rStyle w:val="indexentry"/>
        </w:rPr>
        <w:fldChar w:fldCharType="end"/>
      </w:r>
      <w:r>
        <w:t>Semantically, a sumti with “le ni” is a number; however, it cannot be</w:t>
      </w:r>
      <w:r>
        <w:rPr>
          <w:rStyle w:val="deletedparamark"/>
        </w:rPr>
        <w:t xml:space="preserve"> </w:t>
      </w:r>
      <w:r>
        <w:t>treated gra</w:t>
      </w:r>
      <w:r>
        <w:t>m</w:t>
      </w:r>
      <w:r>
        <w:softHyphen/>
        <w:t>matically as a quantifier in Lojban unless pre</w:t>
      </w:r>
      <w:r>
        <w:softHyphen/>
        <w:t>fixed by the</w:t>
      </w:r>
      <w:r>
        <w:rPr>
          <w:rStyle w:val="deletedparamark"/>
        </w:rPr>
        <w:t xml:space="preserve"> </w:t>
      </w:r>
      <w:r>
        <w:t>mathematical cmavo “mo'e”: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li pa vu'u mo'e le ni le pixra cu blanu [kei]</w:t>
      </w:r>
    </w:p>
    <w:p w:rsidR="00B72047" w:rsidRDefault="00B72047">
      <w:pPr>
        <w:pStyle w:val="examplescaled"/>
      </w:pPr>
      <w:r>
        <w:tab/>
        <w:t>The-number 1 minus the-operand the amount-of (the picture being-blue)</w:t>
      </w:r>
    </w:p>
    <w:p w:rsidR="00B72047" w:rsidRDefault="00B72047">
      <w:pPr>
        <w:pStyle w:val="examplescaled"/>
      </w:pPr>
      <w:r>
        <w:tab/>
      </w:r>
      <w:r>
        <w:rPr>
          <w:rStyle w:val="math"/>
        </w:rPr>
        <w:t xml:space="preserve">1 - </w:t>
      </w:r>
      <w:r>
        <w:rPr>
          <w:rStyle w:val="math"/>
          <w:i/>
          <w:iCs/>
        </w:rPr>
        <w:t>B</w:t>
      </w:r>
      <w:r>
        <w:t>, where</w:t>
      </w:r>
      <w:r>
        <w:rPr>
          <w:rStyle w:val="math"/>
        </w:rPr>
        <w:t xml:space="preserve"> </w:t>
      </w:r>
      <w:r>
        <w:rPr>
          <w:rStyle w:val="math"/>
          <w:i/>
          <w:iCs/>
        </w:rPr>
        <w:t>B</w:t>
      </w:r>
      <w:r>
        <w:t xml:space="preserve"> = blueness of the picture</w:t>
      </w:r>
    </w:p>
    <w:p w:rsidR="00B72047" w:rsidRDefault="00B72047">
      <w:pPr>
        <w:pStyle w:val="resumedafterexample"/>
      </w:pPr>
      <w:r>
        <w:rPr>
          <w:rStyle w:val="htmlcodes"/>
        </w:rPr>
        <w:t>&lt;/pre&gt;&lt;p&gt;</w:t>
      </w:r>
      <w:r>
        <w:t>Mathematical Lojban is beyond the scope of this chapter, and is ex</w:t>
      </w:r>
      <w:r>
        <w:softHyphen/>
        <w:t>plained</w:t>
      </w:r>
      <w:r>
        <w:rPr>
          <w:rStyle w:val="deletedparamark"/>
        </w:rPr>
        <w:t xml:space="preserve"> </w:t>
      </w:r>
      <w:r>
        <w:t xml:space="preserve">more fully in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"amount abstraction, specifying determining place with ce'u"&gt;</w:t>
      </w:r>
      <w:r>
        <w:rPr>
          <w:rStyle w:val="indexentry"/>
        </w:rPr>
        <w:fldChar w:fldCharType="begin"/>
      </w:r>
      <w:r>
        <w:instrText>xe "</w:instrText>
      </w:r>
      <w:r>
        <w:rPr>
          <w:rStyle w:val="xeentry"/>
        </w:rPr>
        <w:instrText>amount abstraction(s): specifying determining place with ce'u</w:instrText>
      </w:r>
      <w:r>
        <w:instrText>"</w:instrText>
      </w:r>
      <w:r>
        <w:rPr>
          <w:rStyle w:val="indexentry"/>
        </w:rPr>
        <w:fldChar w:fldCharType="end"/>
      </w:r>
      <w:r>
        <w:rPr>
          <w:rStyle w:val="indexentry"/>
        </w:rPr>
        <w:t>&lt;lx "ce'u"&gt;</w:t>
      </w:r>
      <w:r>
        <w:rPr>
          <w:rStyle w:val="indexentry"/>
        </w:rPr>
        <w:fldChar w:fldCharType="begin"/>
      </w:r>
      <w:r>
        <w:instrText>xe "</w:instrText>
      </w:r>
      <w:r>
        <w:rPr>
          <w:rStyle w:val="xeentry"/>
        </w:rPr>
        <w:instrText>ce'u</w:instrText>
      </w:r>
      <w:r>
        <w:instrText>"</w:instrText>
      </w:r>
      <w:r>
        <w:rPr>
          <w:rStyle w:val="indexentry"/>
        </w:rPr>
        <w:fldChar w:fldCharType="end"/>
      </w:r>
      <w:r>
        <w:rPr>
          <w:rStyle w:val="indexentry"/>
        </w:rPr>
        <w:t>&lt;cx "abstraction, amount contrasted with property"&gt;</w:t>
      </w:r>
      <w:r>
        <w:rPr>
          <w:rStyle w:val="indexentry"/>
        </w:rPr>
        <w:fldChar w:fldCharType="begin"/>
      </w:r>
      <w:r>
        <w:instrText>xe "</w:instrText>
      </w:r>
      <w:r>
        <w:rPr>
          <w:rStyle w:val="xeentry"/>
        </w:rPr>
        <w:instrText>abstraction(s): amount contrasted with property</w:instrText>
      </w:r>
      <w:r>
        <w:instrText>"</w:instrText>
      </w:r>
      <w:r>
        <w:rPr>
          <w:rStyle w:val="indexentry"/>
        </w:rPr>
        <w:fldChar w:fldCharType="end"/>
      </w:r>
      <w:r>
        <w:rPr>
          <w:rStyle w:val="indexentry"/>
        </w:rPr>
        <w:t>&lt;cx "property abstraction, contrasted with amount abstraction"&gt;</w:t>
      </w:r>
      <w:r>
        <w:rPr>
          <w:rStyle w:val="indexentry"/>
        </w:rPr>
        <w:fldChar w:fldCharType="begin"/>
      </w:r>
      <w:r>
        <w:instrText>xe "</w:instrText>
      </w:r>
      <w:r>
        <w:rPr>
          <w:rStyle w:val="xeentry"/>
        </w:rPr>
        <w:instrText>property abstraction(s): contrasted with amount abstraction</w:instrText>
      </w:r>
      <w:r>
        <w:instrText>"</w:instrText>
      </w:r>
      <w:r>
        <w:rPr>
          <w:rStyle w:val="indexentry"/>
        </w:rPr>
        <w:fldChar w:fldCharType="end"/>
      </w:r>
      <w:r>
        <w:t>There are contexts where either property or amount abstrac</w:t>
      </w:r>
      <w:r>
        <w:softHyphen/>
        <w:t>tions make sense,</w:t>
      </w:r>
      <w:r>
        <w:rPr>
          <w:rStyle w:val="deletedparamark"/>
        </w:rPr>
        <w:t xml:space="preserve"> </w:t>
      </w:r>
      <w:r>
        <w:t>and in such constructions, amount abstractions can make use of “ce'u”</w:t>
      </w:r>
      <w:r>
        <w:rPr>
          <w:rStyle w:val="deletedparamark"/>
        </w:rPr>
        <w:t xml:space="preserve"> </w:t>
      </w:r>
      <w:r>
        <w:t>just like property a</w:t>
      </w:r>
      <w:r>
        <w:t>b</w:t>
      </w:r>
      <w:r>
        <w:softHyphen/>
        <w:t>stractors. Thus,</w:t>
      </w:r>
    </w:p>
    <w:p w:rsidR="00B72047" w:rsidRDefault="00B72047">
      <w:pPr>
        <w:rPr>
          <w:rStyle w:val="htmlparacode"/>
        </w:rPr>
      </w:pPr>
      <w:r>
        <w:rPr>
          <w:rStyle w:val="htmlparacode"/>
        </w:rPr>
        <w:t>&lt;p&gt;</w:t>
      </w:r>
    </w:p>
    <w:p w:rsidR="00B72047" w:rsidRDefault="00B72047">
      <w:pPr>
        <w:pStyle w:val="examplescaledpre"/>
      </w:pPr>
      <w:r>
        <w:rPr>
          <w:rStyle w:val="indexentry"/>
        </w:rPr>
        <w:t>&lt;ex "blueness varying"&gt;</w:t>
      </w:r>
      <w:r>
        <w:rPr>
          <w:rStyle w:val="indexentry"/>
        </w:rPr>
        <w:fldChar w:fldCharType="begin"/>
      </w:r>
      <w:r>
        <w:instrText>xe "</w:instrText>
      </w:r>
      <w:r>
        <w:rPr>
          <w:rStyle w:val="xeentry"/>
        </w:rPr>
        <w:instrText>blueness varying: example</w:instrText>
      </w:r>
      <w:r>
        <w:instrText>"</w:instrText>
      </w:r>
      <w:r>
        <w:rPr>
          <w:rStyle w:val="indexentry"/>
        </w:rPr>
        <w:fldChar w:fldCharType="end"/>
      </w:r>
      <w:r>
        <w:rPr>
          <w:rStyle w:val="htmlcodes"/>
        </w:rPr>
        <w:t>&lt;pre&gt;&lt;a name=e5d4&gt;</w:t>
      </w:r>
      <w:r>
        <w:t>5.4)</w:t>
      </w:r>
      <w:r>
        <w:tab/>
        <w:t>le pixra cu cenba le ka ce'u blanu [kei]</w:t>
      </w:r>
    </w:p>
    <w:p w:rsidR="00B72047" w:rsidRDefault="00B72047">
      <w:pPr>
        <w:pStyle w:val="examplescaled"/>
      </w:pPr>
      <w:r>
        <w:tab/>
        <w:t>The picture varies in-the property-of (X is blue)</w:t>
      </w:r>
    </w:p>
    <w:p w:rsidR="00B72047" w:rsidRDefault="00B72047">
      <w:pPr>
        <w:pStyle w:val="examplescaled"/>
      </w:pPr>
      <w:r>
        <w:tab/>
        <w:t>The picture varies in being blue.</w:t>
      </w:r>
    </w:p>
    <w:p w:rsidR="00B72047" w:rsidRDefault="00B72047">
      <w:pPr>
        <w:pStyle w:val="examplescaled"/>
      </w:pPr>
      <w:r>
        <w:tab/>
        <w:t>The picture varies in blueness.</w:t>
      </w:r>
    </w:p>
    <w:p w:rsidR="00B72047" w:rsidRDefault="00B72047">
      <w:pPr>
        <w:pStyle w:val="resumedafterexample"/>
      </w:pPr>
      <w:r>
        <w:rPr>
          <w:rStyle w:val="htmlcodes"/>
        </w:rPr>
        <w:t>&lt;/pre&gt;</w:t>
      </w:r>
      <w:r>
        <w:t>is not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le pixra cu cenba le ni ce'u blanu [kei]</w:t>
      </w:r>
    </w:p>
    <w:p w:rsidR="00B72047" w:rsidRDefault="00B72047">
      <w:pPr>
        <w:pStyle w:val="examplescaled"/>
      </w:pPr>
      <w:r>
        <w:tab/>
        <w:t>The picture varies in-the amount-of (X is blue)</w:t>
      </w:r>
    </w:p>
    <w:p w:rsidR="00B72047" w:rsidRDefault="00B72047">
      <w:pPr>
        <w:pStyle w:val="examplescaled"/>
      </w:pPr>
      <w:r>
        <w:tab/>
        <w:t>The picture varies in how blue it is.</w:t>
      </w:r>
    </w:p>
    <w:p w:rsidR="00B72047" w:rsidRDefault="00B72047">
      <w:pPr>
        <w:pStyle w:val="examplescaled"/>
      </w:pPr>
      <w:r>
        <w:tab/>
        <w:t>The picture varies in blueness.</w:t>
      </w:r>
    </w:p>
    <w:p w:rsidR="00B72047" w:rsidRDefault="00B72047">
      <w:pPr>
        <w:pStyle w:val="resumedafterexample"/>
      </w:pPr>
      <w:r>
        <w:rPr>
          <w:rStyle w:val="htmlcodes"/>
        </w:rPr>
        <w:t>&lt;/pre&gt;&lt;a href=#e5d4&gt;</w:t>
      </w:r>
      <w:r>
        <w:t xml:space="preserve">Example 5.4 </w:t>
      </w:r>
      <w:r>
        <w:rPr>
          <w:rStyle w:val="htmlcodes"/>
        </w:rPr>
        <w:t>&lt;/a&gt;</w:t>
      </w:r>
      <w:r>
        <w:t xml:space="preserve">conveys that the blueness comes and goes, whereas </w:t>
      </w:r>
      <w:r>
        <w:rPr>
          <w:rStyle w:val="htmlcodes"/>
        </w:rPr>
        <w:t>&lt;a href=#e5d5&gt;</w:t>
      </w:r>
      <w:r>
        <w:t xml:space="preserve">Example 5.5 </w:t>
      </w:r>
      <w:r>
        <w:rPr>
          <w:rStyle w:val="htmlcodes"/>
        </w:rPr>
        <w:t>&lt;/a&gt;</w:t>
      </w:r>
      <w:r>
        <w:t>conveys that its quantity changes over time.</w:t>
      </w:r>
    </w:p>
    <w:p w:rsidR="00B72047" w:rsidRDefault="00B72047">
      <w:pPr>
        <w:rPr>
          <w:rStyle w:val="htmlparacode"/>
        </w:rPr>
      </w:pPr>
      <w:r>
        <w:rPr>
          <w:rStyle w:val="htmlparacode"/>
        </w:rPr>
        <w:t>&lt;p&gt;</w:t>
      </w:r>
    </w:p>
    <w:p w:rsidR="00B72047" w:rsidRDefault="00B72047">
      <w:pPr>
        <w:pStyle w:val="normalparagraph"/>
      </w:pPr>
      <w:r>
        <w:rPr>
          <w:rStyle w:val="indexentry"/>
        </w:rPr>
        <w:t>&lt;cx "amount abstraction, scale"&gt;</w:t>
      </w:r>
      <w:r>
        <w:rPr>
          <w:rStyle w:val="indexentry"/>
        </w:rPr>
        <w:fldChar w:fldCharType="begin"/>
      </w:r>
      <w:r>
        <w:instrText>xe "</w:instrText>
      </w:r>
      <w:r>
        <w:rPr>
          <w:rStyle w:val="xeentry"/>
        </w:rPr>
        <w:instrText>amount abstraction(s): scale</w:instrText>
      </w:r>
      <w:r>
        <w:instrText>"</w:instrText>
      </w:r>
      <w:r>
        <w:rPr>
          <w:rStyle w:val="indexentry"/>
        </w:rPr>
        <w:fldChar w:fldCharType="end"/>
      </w:r>
      <w:r>
        <w:rPr>
          <w:rStyle w:val="indexentry"/>
        </w:rPr>
        <w:t>&lt;cx "amount abstraction, place structure"&gt;</w:t>
      </w:r>
      <w:r>
        <w:rPr>
          <w:rStyle w:val="indexentry"/>
        </w:rPr>
        <w:fldChar w:fldCharType="begin"/>
      </w:r>
      <w:r>
        <w:instrText>xe "</w:instrText>
      </w:r>
      <w:r>
        <w:rPr>
          <w:rStyle w:val="xeentry"/>
        </w:rPr>
        <w:instrText>amount abstraction(s): place structure</w:instrText>
      </w:r>
      <w:r>
        <w:instrText>"</w:instrText>
      </w:r>
      <w:r>
        <w:rPr>
          <w:rStyle w:val="indexentry"/>
        </w:rPr>
        <w:fldChar w:fldCharType="end"/>
      </w:r>
      <w:r>
        <w:t>Whenever we talk of measurement of an amount, there is some sort of</w:t>
      </w:r>
      <w:r>
        <w:rPr>
          <w:rStyle w:val="deletedparamark"/>
        </w:rPr>
        <w:t xml:space="preserve"> </w:t>
      </w:r>
      <w:r>
        <w:t>scale, and so the place structure of “ni” abstraction sel</w:t>
      </w:r>
      <w:r>
        <w:softHyphen/>
        <w:t>bri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ni:  </w:t>
      </w:r>
      <w:r>
        <w:rPr>
          <w:rStyle w:val="htmlcodes"/>
        </w:rPr>
        <w:t>&lt;dd&gt;</w:t>
      </w:r>
      <w:r>
        <w:t>x1 is the amount of (the bridi) on scale x2</w:t>
      </w:r>
    </w:p>
    <w:p w:rsidR="00B72047" w:rsidRDefault="00B72047">
      <w:pPr>
        <w:pStyle w:val="resumedafterexample"/>
      </w:pPr>
      <w:r>
        <w:rPr>
          <w:rStyle w:val="htmlcodes"/>
        </w:rPr>
        <w:t>&lt;/dl&gt;</w:t>
      </w:r>
      <w:r>
        <w:rPr>
          <w:rStyle w:val="indexentry"/>
        </w:rPr>
        <w:t>&lt;lx "ni"&gt;</w:t>
      </w:r>
      <w:r>
        <w:rPr>
          <w:rStyle w:val="indexentry"/>
        </w:rPr>
        <w:fldChar w:fldCharType="begin"/>
      </w:r>
      <w:r>
        <w:instrText>xe "</w:instrText>
      </w:r>
      <w:r>
        <w:rPr>
          <w:rStyle w:val="xeentry"/>
        </w:rPr>
        <w:instrText>ni</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w:instrText>
      </w:r>
      <w:r>
        <w:instrText>"</w:instrText>
      </w:r>
      <w:r>
        <w:rPr>
          <w:rStyle w:val="indexentry"/>
        </w:rPr>
        <w:fldChar w:fldCharType="end"/>
      </w:r>
      <w:r>
        <w:rPr>
          <w:rStyle w:val="indexentry"/>
        </w:rPr>
        <w:t>&lt;lx "be"&gt;</w:t>
      </w:r>
      <w:r>
        <w:rPr>
          <w:rStyle w:val="indexentry"/>
        </w:rPr>
        <w:fldChar w:fldCharType="begin"/>
      </w:r>
      <w:r>
        <w:instrText>xe "</w:instrText>
      </w:r>
      <w:r>
        <w:rPr>
          <w:rStyle w:val="xeentry"/>
        </w:rPr>
        <w:instrText>be</w:instrText>
      </w:r>
      <w:r>
        <w:instrText>"</w:instrText>
      </w:r>
      <w:r>
        <w:rPr>
          <w:rStyle w:val="indexentry"/>
        </w:rPr>
        <w:fldChar w:fldCharType="end"/>
      </w:r>
      <w:r>
        <w:t>Note: the best way to express the x2 places of abstract</w:t>
      </w:r>
      <w:r>
        <w:rPr>
          <w:rStyle w:val="deletedparamark"/>
        </w:rPr>
        <w:t xml:space="preserve"> </w:t>
      </w:r>
      <w:r>
        <w:t>sumti is to use something like “le ni </w:t>
      </w:r>
      <w:r>
        <w:rPr>
          <w:rStyle w:val="htmlcodes"/>
        </w:rPr>
        <w:t>&lt;dots&gt;</w:t>
      </w:r>
      <w:r>
        <w:t>…</w:t>
      </w:r>
      <w:r>
        <w:rPr>
          <w:rStyle w:val="htmlcodes"/>
        </w:rPr>
        <w:t>&lt;/dots&gt;</w:t>
      </w:r>
      <w:r>
        <w:t>kei be”. See</w:t>
      </w:r>
      <w:r>
        <w:rPr>
          <w:rStyle w:val="deletedparamark"/>
        </w:rPr>
        <w:t xml:space="preserve"> </w:t>
      </w:r>
      <w:r>
        <w:rPr>
          <w:rStyle w:val="htmlcodes"/>
        </w:rPr>
        <w:t>&lt;a href=#e9d5&gt;</w:t>
      </w:r>
      <w:r>
        <w:t xml:space="preserve">Example 9.5 </w:t>
      </w:r>
      <w:r>
        <w:rPr>
          <w:rStyle w:val="htmlcodes"/>
        </w:rPr>
        <w:t>&lt;/a&gt;</w:t>
      </w:r>
      <w:r>
        <w:t>for the use of this construction.</w:t>
      </w:r>
    </w:p>
    <w:p w:rsidR="00B72047" w:rsidRDefault="00B72047">
      <w:pPr>
        <w:rPr>
          <w:rStyle w:val="htmlparacode"/>
        </w:rPr>
      </w:pPr>
      <w:r>
        <w:rPr>
          <w:rStyle w:val="htmlparacode"/>
        </w:rPr>
        <w:t>&lt;p&gt;</w:t>
      </w:r>
    </w:p>
    <w:p w:rsidR="00B72047" w:rsidRDefault="00B72047">
      <w:pPr>
        <w:pStyle w:val="Heading3"/>
        <w:rPr>
          <w:rStyle w:val="Heading3Text"/>
        </w:rPr>
      </w:pPr>
      <w:bookmarkStart w:id="366" w:name="_Toc398970610"/>
      <w:r>
        <w:rPr>
          <w:rStyle w:val="Heading3Text"/>
        </w:rPr>
        <w:t>Truth-value abstraction: “jei”</w:t>
      </w:r>
      <w:bookmarkEnd w:id="366"/>
      <w:r>
        <w:rPr>
          <w:rStyle w:val="htmlcodes"/>
        </w:rPr>
        <w:t>&lt;/h3&gt;</w:t>
      </w:r>
    </w:p>
    <w:p w:rsidR="00B72047" w:rsidRDefault="00B72047">
      <w:pPr>
        <w:rPr>
          <w:rStyle w:val="htmlparacode"/>
        </w:rPr>
      </w:pPr>
      <w:r>
        <w:rPr>
          <w:rStyle w:val="htmlparacode"/>
        </w:rPr>
        <w:t>&lt;p&gt;</w:t>
      </w:r>
      <w:r>
        <w:rPr>
          <w:rStyle w:val="indexentry"/>
        </w:rPr>
        <w:t>&lt;cx "value abstraction"&gt;</w:t>
      </w:r>
      <w:r>
        <w:rPr>
          <w:rStyle w:val="indexentry"/>
        </w:rPr>
        <w:fldChar w:fldCharType="begin"/>
      </w:r>
      <w:r>
        <w:instrText>xe "</w:instrText>
      </w:r>
      <w:r>
        <w:rPr>
          <w:rStyle w:val="xeentry"/>
        </w:rPr>
        <w:instrText>value abstraction</w:instrText>
      </w:r>
      <w:r>
        <w:instrText>"</w:instrText>
      </w:r>
      <w:r>
        <w:rPr>
          <w:rStyle w:val="indexentry"/>
        </w:rPr>
        <w:fldChar w:fldCharType="end"/>
      </w:r>
      <w:r>
        <w:rPr>
          <w:rStyle w:val="indexentry"/>
        </w:rPr>
        <w:t>&lt;cx "truth-value abstraction"&gt;</w:t>
      </w:r>
      <w:r>
        <w:rPr>
          <w:rStyle w:val="indexentry"/>
        </w:rPr>
        <w:fldChar w:fldCharType="begin"/>
      </w:r>
      <w:r>
        <w:instrText>xe "</w:instrText>
      </w:r>
      <w:r>
        <w:rPr>
          <w:rStyle w:val="xeentry"/>
        </w:rPr>
        <w:instrText>truth-value abstraction</w:instrText>
      </w:r>
      <w:r>
        <w:instrText>"</w:instrText>
      </w:r>
      <w:r>
        <w:rPr>
          <w:rStyle w:val="indexentry"/>
        </w:rPr>
        <w:fldChar w:fldCharType="end"/>
      </w:r>
      <w:r>
        <w:rPr>
          <w:rStyle w:val="indexentry"/>
        </w:rPr>
        <w:t>&lt;cx "abstraction, truth-value"&gt;</w:t>
      </w:r>
      <w:r>
        <w:rPr>
          <w:rStyle w:val="indexentry"/>
        </w:rPr>
        <w:fldChar w:fldCharType="begin"/>
      </w:r>
      <w:r>
        <w:instrText>xe "</w:instrText>
      </w:r>
      <w:r>
        <w:rPr>
          <w:rStyle w:val="xeentry"/>
        </w:rPr>
        <w:instrText>abstraction(s): truth-value</w:instrText>
      </w:r>
      <w:r>
        <w:instrText>"</w:instrText>
      </w:r>
      <w:r>
        <w:rPr>
          <w:rStyle w:val="indexentry"/>
        </w:rPr>
        <w:fldChar w:fldCharType="end"/>
      </w:r>
      <w:r>
        <w:rPr>
          <w:rStyle w:val="htmlcodes"/>
        </w:rPr>
        <w:t>&lt;a name=s6&gt;&lt;h3&gt;</w:t>
      </w:r>
    </w:p>
    <w:p w:rsidR="00B72047" w:rsidRDefault="00B72047">
      <w:pPr>
        <w:pStyle w:val="normalparagraph"/>
      </w:pPr>
      <w:r>
        <w:rPr>
          <w:rStyle w:val="indexentry"/>
        </w:rPr>
        <w:t>&lt;lx "jei"&gt;</w:t>
      </w:r>
      <w:r>
        <w:rPr>
          <w:rStyle w:val="indexentry"/>
        </w:rPr>
        <w:fldChar w:fldCharType="begin"/>
      </w:r>
      <w:r>
        <w:instrText>xe "</w:instrText>
      </w:r>
      <w:r>
        <w:rPr>
          <w:rStyle w:val="xeentry"/>
        </w:rPr>
        <w:instrText>jei</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&lt;cx "abstraction, truth-value  contrasted with amount"&gt;</w:t>
      </w:r>
      <w:r>
        <w:rPr>
          <w:rStyle w:val="indexentry"/>
        </w:rPr>
        <w:fldChar w:fldCharType="begin"/>
      </w:r>
      <w:r>
        <w:instrText>xe "</w:instrText>
      </w:r>
      <w:r>
        <w:rPr>
          <w:rStyle w:val="xeentry"/>
        </w:rPr>
        <w:instrText>abstraction(s): truth-value  contrasted with amount</w:instrText>
      </w:r>
      <w:r>
        <w:instrText>"</w:instrText>
      </w:r>
      <w:r>
        <w:rPr>
          <w:rStyle w:val="indexentry"/>
        </w:rPr>
        <w:fldChar w:fldCharType="end"/>
      </w:r>
      <w:r>
        <w:t xml:space="preserve">The “blueness of the picture” discussed in </w:t>
      </w:r>
      <w:r>
        <w:rPr>
          <w:rStyle w:val="htmlcodes"/>
        </w:rPr>
        <w:t>&lt;a href=#s5&gt;</w:t>
      </w:r>
      <w:r>
        <w:t xml:space="preserve">Section 5 </w:t>
      </w:r>
      <w:r>
        <w:rPr>
          <w:rStyle w:val="htmlcodes"/>
        </w:rPr>
        <w:t>&lt;/a&gt;</w:t>
      </w:r>
      <w:r>
        <w:t>refers to the measurable</w:t>
      </w:r>
      <w:r>
        <w:rPr>
          <w:rStyle w:val="deletedparamark"/>
        </w:rPr>
        <w:t xml:space="preserve"> </w:t>
      </w:r>
      <w:r>
        <w:t>amount of blue pigment (or other source of blue</w:t>
      </w:r>
      <w:r>
        <w:softHyphen/>
        <w:t>ness), not to the degree of</w:t>
      </w:r>
      <w:r>
        <w:rPr>
          <w:rStyle w:val="deletedparamark"/>
        </w:rPr>
        <w:t xml:space="preserve"> </w:t>
      </w:r>
      <w:r>
        <w:t>truth of the claim that blueness is present. That abstraction is</w:t>
      </w:r>
      <w:r>
        <w:rPr>
          <w:rStyle w:val="deletedparamark"/>
        </w:rPr>
        <w:t xml:space="preserve"> </w:t>
      </w:r>
      <w:r>
        <w:t>expressed in Lojban using “jei”, which is closely related semantically</w:t>
      </w:r>
      <w:r>
        <w:rPr>
          <w:rStyle w:val="deletedparamark"/>
        </w:rPr>
        <w:t xml:space="preserve"> </w:t>
      </w:r>
      <w:r>
        <w:t>to “ni”. In the simplest cases, “le jei” produces not a number but a</w:t>
      </w:r>
      <w:r>
        <w:rPr>
          <w:rStyle w:val="deletedparamark"/>
        </w:rPr>
        <w:t xml:space="preserve"> </w:t>
      </w:r>
      <w:r>
        <w:t>truth value:</w:t>
      </w:r>
    </w:p>
    <w:p w:rsidR="00B72047" w:rsidRDefault="00B72047">
      <w:pPr>
        <w:rPr>
          <w:rStyle w:val="htmlparacode"/>
        </w:rPr>
      </w:pPr>
      <w:r>
        <w:rPr>
          <w:rStyle w:val="htmlparacode"/>
        </w:rPr>
        <w:t>&lt;p&gt;</w:t>
      </w:r>
    </w:p>
    <w:p w:rsidR="00B72047" w:rsidRDefault="00B72047">
      <w:pPr>
        <w:pStyle w:val="examplescaledpre"/>
      </w:pPr>
      <w:r>
        <w:rPr>
          <w:rStyle w:val="indexentry"/>
        </w:rPr>
        <w:t>&lt;ex "2 + 2"&gt;</w:t>
      </w:r>
      <w:r>
        <w:rPr>
          <w:rStyle w:val="indexentry"/>
        </w:rPr>
        <w:fldChar w:fldCharType="begin"/>
      </w:r>
      <w:r>
        <w:instrText>xe "</w:instrText>
      </w:r>
      <w:r>
        <w:rPr>
          <w:rStyle w:val="xeentry"/>
        </w:rPr>
        <w:instrText>2 + 2: example</w:instrText>
      </w:r>
      <w:r>
        <w:instrText>"</w:instrText>
      </w:r>
      <w:r>
        <w:rPr>
          <w:rStyle w:val="indexentry"/>
        </w:rPr>
        <w:fldChar w:fldCharType="end"/>
      </w:r>
      <w:r>
        <w:rPr>
          <w:rStyle w:val="htmlcodes"/>
        </w:rPr>
        <w:t>&lt;pre&gt;&lt;a name=e6d1&gt;</w:t>
      </w:r>
      <w:r>
        <w:t>6.1)</w:t>
      </w:r>
      <w:r>
        <w:tab/>
        <w:t>le jei li re su'i re du li vo [kei]</w:t>
      </w:r>
    </w:p>
    <w:p w:rsidR="00B72047" w:rsidRDefault="00B72047">
      <w:pPr>
        <w:pStyle w:val="examplescaled"/>
      </w:pPr>
      <w:r>
        <w:tab/>
        <w:t xml:space="preserve">the truth-value-of the-number </w:t>
      </w:r>
      <w:r>
        <w:rPr>
          <w:rStyle w:val="math"/>
        </w:rPr>
        <w:t>2 + 2</w:t>
      </w:r>
      <w:r>
        <w:t xml:space="preserve"> = the-number </w:t>
      </w:r>
      <w:r>
        <w:rPr>
          <w:rStyle w:val="math"/>
        </w:rPr>
        <w:t>4</w:t>
      </w:r>
    </w:p>
    <w:p w:rsidR="00B72047" w:rsidRDefault="00B72047">
      <w:pPr>
        <w:pStyle w:val="examplescaled"/>
      </w:pPr>
      <w:r>
        <w:tab/>
        <w:t xml:space="preserve">the truth of </w:t>
      </w:r>
      <w:r>
        <w:rPr>
          <w:rStyle w:val="math"/>
        </w:rPr>
        <w:t>2 + 2</w:t>
      </w:r>
      <w:r>
        <w:t xml:space="preserve"> being </w:t>
      </w:r>
      <w:r>
        <w:rPr>
          <w:rStyle w:val="math"/>
        </w:rPr>
        <w:t>4</w:t>
      </w:r>
    </w:p>
    <w:p w:rsidR="00B72047" w:rsidRDefault="00B72047">
      <w:pPr>
        <w:pStyle w:val="resumedafterexample"/>
      </w:pPr>
      <w:r>
        <w:rPr>
          <w:rStyle w:val="htmlcodes"/>
        </w:rPr>
        <w:t>&lt;/pre&gt;</w:t>
      </w:r>
      <w:r>
        <w:t>is equivalent to “truth”, 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le jei li re su'i re du li mu [kei]</w:t>
      </w:r>
    </w:p>
    <w:p w:rsidR="00B72047" w:rsidRDefault="00B72047">
      <w:pPr>
        <w:pStyle w:val="examplescaled"/>
      </w:pPr>
      <w:r>
        <w:tab/>
        <w:t xml:space="preserve">the truth-value-of the-number </w:t>
      </w:r>
      <w:r>
        <w:rPr>
          <w:rStyle w:val="math"/>
        </w:rPr>
        <w:t>2 + 2</w:t>
      </w:r>
      <w:r>
        <w:t xml:space="preserve"> = the-number</w:t>
      </w:r>
      <w:r>
        <w:rPr>
          <w:rStyle w:val="math"/>
        </w:rPr>
        <w:t xml:space="preserve"> 5</w:t>
      </w:r>
    </w:p>
    <w:p w:rsidR="00B72047" w:rsidRDefault="00B72047">
      <w:pPr>
        <w:pStyle w:val="examplescaled"/>
      </w:pPr>
      <w:r>
        <w:tab/>
        <w:t xml:space="preserve">the truth of </w:t>
      </w:r>
      <w:r>
        <w:rPr>
          <w:rStyle w:val="math"/>
        </w:rPr>
        <w:t>2 + 2</w:t>
      </w:r>
      <w:r>
        <w:t xml:space="preserve"> being </w:t>
      </w:r>
      <w:r>
        <w:rPr>
          <w:rStyle w:val="math"/>
        </w:rPr>
        <w:t>5</w:t>
      </w:r>
    </w:p>
    <w:p w:rsidR="00B72047" w:rsidRDefault="00B72047">
      <w:pPr>
        <w:pStyle w:val="resumedafterexample"/>
      </w:pPr>
      <w:r>
        <w:rPr>
          <w:rStyle w:val="htmlcodes"/>
        </w:rPr>
        <w:t>&lt;/pre&gt;</w:t>
      </w:r>
      <w:r>
        <w:t>is equivalent to “falsehood”.</w:t>
      </w:r>
    </w:p>
    <w:p w:rsidR="00B72047" w:rsidRDefault="00B72047">
      <w:pPr>
        <w:rPr>
          <w:rStyle w:val="htmlparacode"/>
        </w:rPr>
      </w:pPr>
      <w:r>
        <w:rPr>
          <w:rStyle w:val="htmlparacode"/>
        </w:rPr>
        <w:t>&lt;p&gt;</w:t>
      </w:r>
    </w:p>
    <w:p w:rsidR="00B72047" w:rsidRDefault="00B72047">
      <w:pPr>
        <w:pStyle w:val="normalparagraph"/>
      </w:pPr>
      <w:r>
        <w:t>However, not everything in life (or even in Lojban) is simply true or</w:t>
      </w:r>
      <w:r>
        <w:rPr>
          <w:rStyle w:val="deletedparamark"/>
        </w:rPr>
        <w:t xml:space="preserve"> </w:t>
      </w:r>
      <w:r>
        <w:t>false. There are shades of gray even in truth value, and “jei” is</w:t>
      </w:r>
      <w:r>
        <w:rPr>
          <w:rStyle w:val="deletedparamark"/>
        </w:rPr>
        <w:t xml:space="preserve"> </w:t>
      </w:r>
      <w:r>
        <w:t>Lojban's mechanism for indi</w:t>
      </w:r>
      <w:r>
        <w:softHyphen/>
        <w:t>cating the shade of grey intended:</w:t>
      </w:r>
    </w:p>
    <w:p w:rsidR="00B72047" w:rsidRDefault="00B72047">
      <w:pPr>
        <w:rPr>
          <w:rStyle w:val="htmlparacode"/>
        </w:rPr>
      </w:pPr>
      <w:r>
        <w:rPr>
          <w:rStyle w:val="htmlparacode"/>
        </w:rPr>
        <w:t>&lt;p&gt;</w:t>
      </w:r>
    </w:p>
    <w:p w:rsidR="00B72047" w:rsidRDefault="00B72047">
      <w:pPr>
        <w:pStyle w:val="examplescaledpre"/>
      </w:pPr>
      <w:r>
        <w:rPr>
          <w:rStyle w:val="indexentry"/>
        </w:rPr>
        <w:t>&lt;ex "whether criminal"&gt;</w:t>
      </w:r>
      <w:r>
        <w:rPr>
          <w:rStyle w:val="indexentry"/>
        </w:rPr>
        <w:fldChar w:fldCharType="begin"/>
      </w:r>
      <w:r>
        <w:instrText>xe "</w:instrText>
      </w:r>
      <w:r>
        <w:rPr>
          <w:rStyle w:val="xeentry"/>
        </w:rPr>
        <w:instrText>whether criminal: example</w:instrText>
      </w:r>
      <w:r>
        <w:instrText>"</w:instrText>
      </w:r>
      <w:r>
        <w:rPr>
          <w:rStyle w:val="indexentry"/>
        </w:rPr>
        <w:fldChar w:fldCharType="end"/>
      </w:r>
      <w:r>
        <w:rPr>
          <w:rStyle w:val="htmlcodes"/>
        </w:rPr>
        <w:t>&lt;pre&gt;&lt;a name=e6d3&gt;</w:t>
      </w:r>
      <w:r>
        <w:t>6.3)</w:t>
      </w:r>
      <w:r>
        <w:tab/>
        <w:t>mi ba jdice le jei la djordj. cu zekri gasnu [kei]</w:t>
      </w:r>
    </w:p>
    <w:p w:rsidR="00B72047" w:rsidRDefault="00B72047">
      <w:pPr>
        <w:pStyle w:val="examplescaled"/>
      </w:pPr>
      <w:r>
        <w:tab/>
        <w:t>I [future] decide the truth-value of (George being-a-(crime doer)).</w:t>
      </w:r>
    </w:p>
    <w:p w:rsidR="00B72047" w:rsidRDefault="00B72047">
      <w:pPr>
        <w:pStyle w:val="examplescaled"/>
      </w:pPr>
      <w:r>
        <w:tab/>
        <w:t>I will decide whether George is a criminal.</w:t>
      </w:r>
    </w:p>
    <w:p w:rsidR="00B72047" w:rsidRDefault="00B72047">
      <w:pPr>
        <w:pStyle w:val="resumedafterexample"/>
      </w:pPr>
      <w:r>
        <w:rPr>
          <w:rStyle w:val="htmlcodes"/>
        </w:rPr>
        <w:t>&lt;/pre&gt;</w:t>
      </w:r>
      <w:r>
        <w:rPr>
          <w:rStyle w:val="indexentry"/>
        </w:rPr>
        <w:t>&lt;cx "legal system"&gt;</w:t>
      </w:r>
      <w:r>
        <w:rPr>
          <w:rStyle w:val="indexentry"/>
        </w:rPr>
        <w:fldChar w:fldCharType="begin"/>
      </w:r>
      <w:r>
        <w:instrText>xe "</w:instrText>
      </w:r>
      <w:r>
        <w:rPr>
          <w:rStyle w:val="xeentry"/>
        </w:rPr>
        <w:instrText>legal system</w:instrText>
      </w:r>
      <w:r>
        <w:instrText>"</w:instrText>
      </w:r>
      <w:r>
        <w:rPr>
          <w:rStyle w:val="indexentry"/>
        </w:rPr>
        <w:fldChar w:fldCharType="end"/>
      </w:r>
      <w:r>
        <w:rPr>
          <w:rStyle w:val="indexentry"/>
        </w:rPr>
        <w:t>&lt;cx "truth-value abstraction, place structure"&gt;</w:t>
      </w:r>
      <w:r>
        <w:rPr>
          <w:rStyle w:val="indexentry"/>
        </w:rPr>
        <w:fldChar w:fldCharType="begin"/>
      </w:r>
      <w:r>
        <w:instrText>xe "</w:instrText>
      </w:r>
      <w:r>
        <w:rPr>
          <w:rStyle w:val="xeentry"/>
        </w:rPr>
        <w:instrText>truth-value abstraction(s): place structure</w:instrText>
      </w:r>
      <w:r>
        <w:instrText>"</w:instrText>
      </w:r>
      <w:r>
        <w:rPr>
          <w:rStyle w:val="indexentry"/>
        </w:rPr>
        <w:fldChar w:fldCharType="end"/>
      </w:r>
      <w:r>
        <w:rPr>
          <w:rStyle w:val="indexentry"/>
        </w:rPr>
        <w:t>&lt;cx "jei, place structure"&gt;</w:t>
      </w:r>
      <w:r>
        <w:rPr>
          <w:rStyle w:val="indexentry"/>
        </w:rPr>
        <w:fldChar w:fldCharType="begin"/>
      </w:r>
      <w:r>
        <w:instrText>xe "</w:instrText>
      </w:r>
      <w:r>
        <w:rPr>
          <w:rStyle w:val="xeentry"/>
        </w:rPr>
        <w:instrText>jei: place structure</w:instrText>
      </w:r>
      <w:r>
        <w:instrText>"</w:instrText>
      </w:r>
      <w:r>
        <w:rPr>
          <w:rStyle w:val="indexentry"/>
        </w:rPr>
        <w:fldChar w:fldCharType="end"/>
      </w:r>
      <w:r>
        <w:rPr>
          <w:rStyle w:val="htmlcodes"/>
        </w:rPr>
        <w:t>&lt;a href=#e6d3&gt;</w:t>
      </w:r>
      <w:r>
        <w:t xml:space="preserve">Example 6.3 </w:t>
      </w:r>
      <w:r>
        <w:rPr>
          <w:rStyle w:val="htmlcodes"/>
        </w:rPr>
        <w:t>&lt;/a&gt;</w:t>
      </w:r>
      <w:r>
        <w:t>does not imply that George is, or is not, definitely a criminal.</w:t>
      </w:r>
      <w:r>
        <w:rPr>
          <w:rStyle w:val="deletedparamark"/>
        </w:rPr>
        <w:t xml:space="preserve"> </w:t>
      </w:r>
      <w:r>
        <w:t>Depending on the legal system I am using, I may make some intermediate</w:t>
      </w:r>
      <w:r>
        <w:rPr>
          <w:rStyle w:val="deletedparamark"/>
        </w:rPr>
        <w:t xml:space="preserve"> </w:t>
      </w:r>
      <w:r>
        <w:t>decision. As a result, “jei” requires an x2 place analogous to that of “ni”:</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jei:  </w:t>
      </w:r>
      <w:r>
        <w:rPr>
          <w:rStyle w:val="htmlcodes"/>
        </w:rPr>
        <w:t>&lt;dd&gt;</w:t>
      </w:r>
      <w:r>
        <w:t>x1 is the truth value of (the bridi) under epistemology x2</w:t>
      </w:r>
    </w:p>
    <w:p w:rsidR="00B72047" w:rsidRDefault="00B72047">
      <w:pPr>
        <w:pStyle w:val="normalafterexample"/>
      </w:pPr>
      <w:r>
        <w:rPr>
          <w:rStyle w:val="htmlcodes"/>
        </w:rPr>
        <w:t>&lt;/dl&gt;</w:t>
      </w:r>
      <w:r>
        <w:rPr>
          <w:rStyle w:val="indexentry"/>
        </w:rPr>
        <w:t>&lt;cx "abstraction, truth-value and fuzzy logic"&gt;</w:t>
      </w:r>
      <w:r>
        <w:rPr>
          <w:rStyle w:val="indexentry"/>
        </w:rPr>
        <w:fldChar w:fldCharType="begin"/>
      </w:r>
      <w:r>
        <w:instrText>xe "</w:instrText>
      </w:r>
      <w:r>
        <w:rPr>
          <w:rStyle w:val="xeentry"/>
        </w:rPr>
        <w:instrText>abstraction(s): truth-value and fuzzy logic</w:instrText>
      </w:r>
      <w:r>
        <w:instrText>"</w:instrText>
      </w:r>
      <w:r>
        <w:rPr>
          <w:rStyle w:val="indexentry"/>
        </w:rPr>
        <w:fldChar w:fldCharType="end"/>
      </w:r>
      <w:r>
        <w:rPr>
          <w:rStyle w:val="indexentry"/>
        </w:rPr>
        <w:t>&lt;cx "fuzzy logic and truth-value abstraction"&gt;</w:t>
      </w:r>
      <w:r>
        <w:rPr>
          <w:rStyle w:val="indexentry"/>
        </w:rPr>
        <w:fldChar w:fldCharType="begin"/>
      </w:r>
      <w:r>
        <w:instrText>xe "</w:instrText>
      </w:r>
      <w:r>
        <w:rPr>
          <w:rStyle w:val="xeentry"/>
        </w:rPr>
        <w:instrText>fuzzy logic and truth-value abstraction</w:instrText>
      </w:r>
      <w:r>
        <w:instrText>"</w:instrText>
      </w:r>
      <w:r>
        <w:rPr>
          <w:rStyle w:val="indexentry"/>
        </w:rPr>
        <w:fldChar w:fldCharType="end"/>
      </w:r>
      <w:r>
        <w:t>Abstractions using “jei” are the mechanism for fuzzy logic in Lojban;</w:t>
      </w:r>
      <w:r>
        <w:rPr>
          <w:rStyle w:val="deletedparamark"/>
        </w:rPr>
        <w:t xml:space="preserve"> </w:t>
      </w:r>
      <w:r>
        <w:t>the “jei” a</w:t>
      </w:r>
      <w:r>
        <w:t>b</w:t>
      </w:r>
      <w:r>
        <w:softHyphen/>
        <w:t>straction refers to a number between 0 and 1 in</w:t>
      </w:r>
      <w:r>
        <w:softHyphen/>
        <w:t>clusive</w:t>
      </w:r>
      <w:r>
        <w:rPr>
          <w:rStyle w:val="deletedparamark"/>
        </w:rPr>
        <w:t xml:space="preserve"> </w:t>
      </w:r>
      <w:r>
        <w:t>(as distinct from “ni” abstrac</w:t>
      </w:r>
      <w:r>
        <w:softHyphen/>
        <w:t>tions, which are often on open-ended scales).</w:t>
      </w:r>
      <w:r>
        <w:rPr>
          <w:rStyle w:val="deletedparamark"/>
        </w:rPr>
        <w:t xml:space="preserve"> </w:t>
      </w:r>
      <w:r>
        <w:t>The detailed conventions for using “jei” in fuzzy-logic contexts have not yet</w:t>
      </w:r>
      <w:r>
        <w:rPr>
          <w:rStyle w:val="deletedparamark"/>
        </w:rPr>
        <w:t xml:space="preserve"> </w:t>
      </w:r>
      <w:r>
        <w:t>been established.</w:t>
      </w:r>
    </w:p>
    <w:p w:rsidR="00B72047" w:rsidRDefault="00B72047">
      <w:pPr>
        <w:rPr>
          <w:rStyle w:val="htmlparacode"/>
        </w:rPr>
      </w:pPr>
      <w:r>
        <w:rPr>
          <w:rStyle w:val="htmlparacode"/>
        </w:rPr>
        <w:t>&lt;p&gt;</w:t>
      </w:r>
    </w:p>
    <w:p w:rsidR="00B72047" w:rsidRDefault="00B72047">
      <w:pPr>
        <w:pStyle w:val="Heading3"/>
        <w:spacing w:before="0"/>
        <w:rPr>
          <w:rStyle w:val="Heading3Text"/>
        </w:rPr>
      </w:pPr>
      <w:bookmarkStart w:id="367" w:name="_Toc398970611"/>
      <w:r>
        <w:rPr>
          <w:rStyle w:val="Heading3Text"/>
        </w:rPr>
        <w:t>Predication/sentence abstraction</w:t>
      </w:r>
      <w:bookmarkEnd w:id="367"/>
      <w:r>
        <w:rPr>
          <w:rStyle w:val="htmlcodes"/>
        </w:rPr>
        <w:t>&lt;/h3&gt;</w:t>
      </w:r>
    </w:p>
    <w:p w:rsidR="00B72047" w:rsidRDefault="00B72047">
      <w:pPr>
        <w:rPr>
          <w:rStyle w:val="htmlparacode"/>
        </w:rPr>
      </w:pPr>
      <w:r>
        <w:rPr>
          <w:rStyle w:val="htmlparacode"/>
        </w:rPr>
        <w:t>&lt;p&gt;</w:t>
      </w:r>
      <w:r>
        <w:rPr>
          <w:rStyle w:val="indexentry"/>
        </w:rPr>
        <w:t>&lt;cx "predication abstraction"&gt;</w:t>
      </w:r>
      <w:r>
        <w:rPr>
          <w:rStyle w:val="indexentry"/>
        </w:rPr>
        <w:fldChar w:fldCharType="begin"/>
      </w:r>
      <w:r>
        <w:instrText>xe "</w:instrText>
      </w:r>
      <w:r>
        <w:rPr>
          <w:rStyle w:val="xeentry"/>
        </w:rPr>
        <w:instrText>predication abstraction</w:instrText>
      </w:r>
      <w:r>
        <w:instrText>"</w:instrText>
      </w:r>
      <w:r>
        <w:rPr>
          <w:rStyle w:val="indexentry"/>
        </w:rPr>
        <w:fldChar w:fldCharType="end"/>
      </w:r>
      <w:r>
        <w:rPr>
          <w:rStyle w:val="indexentry"/>
        </w:rPr>
        <w:t>&lt;cx "sentence abstraction"&gt;</w:t>
      </w:r>
      <w:r>
        <w:rPr>
          <w:rStyle w:val="indexentry"/>
        </w:rPr>
        <w:fldChar w:fldCharType="begin"/>
      </w:r>
      <w:r>
        <w:instrText>xe "</w:instrText>
      </w:r>
      <w:r>
        <w:rPr>
          <w:rStyle w:val="xeentry"/>
        </w:rPr>
        <w:instrText>sentence abstraction</w:instrText>
      </w:r>
      <w:r>
        <w:instrText>"</w:instrText>
      </w:r>
      <w:r>
        <w:rPr>
          <w:rStyle w:val="indexentry"/>
        </w:rPr>
        <w:fldChar w:fldCharType="end"/>
      </w:r>
      <w:r>
        <w:rPr>
          <w:rStyle w:val="indexentry"/>
        </w:rPr>
        <w:t>&lt;cx "abstraction, predication/sentence"&gt;</w:t>
      </w:r>
      <w:r>
        <w:rPr>
          <w:rStyle w:val="indexentry"/>
        </w:rPr>
        <w:fldChar w:fldCharType="begin"/>
      </w:r>
      <w:r>
        <w:instrText>xe "</w:instrText>
      </w:r>
      <w:r>
        <w:rPr>
          <w:rStyle w:val="xeentry"/>
        </w:rPr>
        <w:instrText>abstraction(s): predication/sentence</w:instrText>
      </w:r>
      <w:r>
        <w:instrText>"</w:instrText>
      </w:r>
      <w:r>
        <w:rPr>
          <w:rStyle w:val="indexentry"/>
        </w:rPr>
        <w:fldChar w:fldCharType="end"/>
      </w:r>
      <w:r>
        <w:rPr>
          <w:rStyle w:val="htmlcodes"/>
        </w:rPr>
        <w:t>&lt;a name=s7&gt;&lt;h3&gt;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du'u</w:t>
      </w:r>
      <w:r>
        <w:tab/>
        <w:t>NU</w:t>
      </w:r>
      <w:r>
        <w:tab/>
        <w:t>predication abstraction</w:t>
      </w:r>
    </w:p>
    <w:p w:rsidR="00B72047" w:rsidRDefault="00B72047">
      <w:pPr>
        <w:pStyle w:val="normalafterexample"/>
      </w:pPr>
      <w:r>
        <w:rPr>
          <w:rStyle w:val="htmlcodes"/>
        </w:rPr>
        <w:t>&lt;/pre&gt;</w:t>
      </w:r>
      <w:r>
        <w:rPr>
          <w:rStyle w:val="indexentry"/>
        </w:rPr>
        <w:t>&lt;cx "propositional attitudes"&gt;</w:t>
      </w:r>
      <w:r>
        <w:rPr>
          <w:rStyle w:val="indexentry"/>
        </w:rPr>
        <w:fldChar w:fldCharType="begin"/>
      </w:r>
      <w:r>
        <w:instrText>xe "</w:instrText>
      </w:r>
      <w:r>
        <w:rPr>
          <w:rStyle w:val="xeentry"/>
        </w:rPr>
        <w:instrText>propositional attitudes</w:instrText>
      </w:r>
      <w:r>
        <w:instrText>"</w:instrText>
      </w:r>
      <w:r>
        <w:rPr>
          <w:rStyle w:val="indexentry"/>
        </w:rPr>
        <w:fldChar w:fldCharType="end"/>
      </w:r>
      <w:r>
        <w:rPr>
          <w:rStyle w:val="indexentry"/>
        </w:rPr>
        <w:t>&lt;cx "abstraction, with knowing, believing, etc."&gt;</w:t>
      </w:r>
      <w:r>
        <w:rPr>
          <w:rStyle w:val="indexentry"/>
        </w:rPr>
        <w:fldChar w:fldCharType="begin"/>
      </w:r>
      <w:r>
        <w:instrText>xe "</w:instrText>
      </w:r>
      <w:r>
        <w:rPr>
          <w:rStyle w:val="xeentry"/>
        </w:rPr>
        <w:instrText>abstraction(s): with knowing, believing, etc.</w:instrText>
      </w:r>
      <w:r>
        <w:instrText>"</w:instrText>
      </w:r>
      <w:r>
        <w:rPr>
          <w:rStyle w:val="indexentry"/>
        </w:rPr>
        <w:fldChar w:fldCharType="end"/>
      </w:r>
      <w:r>
        <w:rPr>
          <w:rStyle w:val="indexentry"/>
        </w:rPr>
        <w:t>&lt;cx "abstraction, mental activity"&gt;</w:t>
      </w:r>
      <w:r>
        <w:rPr>
          <w:rStyle w:val="indexentry"/>
        </w:rPr>
        <w:fldChar w:fldCharType="begin"/>
      </w:r>
      <w:r>
        <w:instrText>xe "</w:instrText>
      </w:r>
      <w:r>
        <w:rPr>
          <w:rStyle w:val="xeentry"/>
        </w:rPr>
        <w:instrText>abstraction(s): mental activity</w:instrText>
      </w:r>
      <w:r>
        <w:instrText>"</w:instrText>
      </w:r>
      <w:r>
        <w:rPr>
          <w:rStyle w:val="indexentry"/>
        </w:rPr>
        <w:fldChar w:fldCharType="end"/>
      </w:r>
      <w:r>
        <w:t>There are some selbri which demand an entire predication as a sumti; they</w:t>
      </w:r>
      <w:r>
        <w:rPr>
          <w:rStyle w:val="deletedparamark"/>
        </w:rPr>
        <w:t xml:space="preserve"> </w:t>
      </w:r>
      <w:r>
        <w:t>make claims about some predication considered as a whole. Logicians call</w:t>
      </w:r>
      <w:r>
        <w:rPr>
          <w:rStyle w:val="deletedparamark"/>
        </w:rPr>
        <w:t xml:space="preserve"> </w:t>
      </w:r>
      <w:r>
        <w:t>these the “propositional attitudes”, and they in</w:t>
      </w:r>
      <w:r>
        <w:softHyphen/>
        <w:t>clude (in English) things</w:t>
      </w:r>
      <w:r>
        <w:rPr>
          <w:rStyle w:val="deletedparamark"/>
        </w:rPr>
        <w:t xml:space="preserve"> </w:t>
      </w:r>
      <w:r>
        <w:t>like knowing, believing, learning, seeing, hearing, and the like. Consider</w:t>
      </w:r>
      <w:r>
        <w:rPr>
          <w:rStyle w:val="deletedparamark"/>
        </w:rPr>
        <w:t xml:space="preserve"> </w:t>
      </w:r>
      <w:r>
        <w:t>the English sentence:</w:t>
      </w:r>
    </w:p>
    <w:p w:rsidR="00B72047" w:rsidRDefault="00B72047">
      <w:pPr>
        <w:rPr>
          <w:rStyle w:val="htmlparacode"/>
        </w:rPr>
      </w:pPr>
      <w:r>
        <w:rPr>
          <w:rStyle w:val="htmlparacode"/>
        </w:rPr>
        <w:t>&lt;p&gt;</w:t>
      </w:r>
    </w:p>
    <w:p w:rsidR="00B72047" w:rsidRDefault="00B72047">
      <w:pPr>
        <w:pStyle w:val="examplescaledpre"/>
      </w:pPr>
      <w:r>
        <w:rPr>
          <w:rStyle w:val="indexentry"/>
        </w:rPr>
        <w:t>&lt;ex "know"&gt;</w:t>
      </w:r>
      <w:r>
        <w:rPr>
          <w:rStyle w:val="indexentry"/>
        </w:rPr>
        <w:fldChar w:fldCharType="begin"/>
      </w:r>
      <w:r>
        <w:instrText>xe "</w:instrText>
      </w:r>
      <w:r>
        <w:rPr>
          <w:rStyle w:val="xeentry"/>
        </w:rPr>
        <w:instrText>know: example</w:instrText>
      </w:r>
      <w:r>
        <w:instrText>"</w:instrText>
      </w:r>
      <w:r>
        <w:rPr>
          <w:rStyle w:val="indexentry"/>
        </w:rPr>
        <w:fldChar w:fldCharType="end"/>
      </w:r>
      <w:r>
        <w:rPr>
          <w:rStyle w:val="indexentry"/>
        </w:rPr>
        <w:t>&lt;ex "Frank is a fool"&gt;</w:t>
      </w:r>
      <w:r>
        <w:rPr>
          <w:rStyle w:val="indexentry"/>
        </w:rPr>
        <w:fldChar w:fldCharType="begin"/>
      </w:r>
      <w:r>
        <w:instrText>xe "</w:instrText>
      </w:r>
      <w:r>
        <w:rPr>
          <w:rStyle w:val="xeentry"/>
        </w:rPr>
        <w:instrText>Frank is a fool: example</w:instrText>
      </w:r>
      <w:r>
        <w:instrText>"</w:instrText>
      </w:r>
      <w:r>
        <w:rPr>
          <w:rStyle w:val="indexentry"/>
        </w:rPr>
        <w:fldChar w:fldCharType="end"/>
      </w:r>
      <w:r>
        <w:rPr>
          <w:rStyle w:val="htmlcodes"/>
        </w:rPr>
        <w:t>&lt;pre&gt;&lt;a name=e7d1&gt;</w:t>
      </w:r>
      <w:r>
        <w:t>7.1)</w:t>
      </w:r>
      <w:r>
        <w:tab/>
        <w:t>I know that Frank is a fool.</w:t>
      </w:r>
    </w:p>
    <w:p w:rsidR="00B72047" w:rsidRDefault="00B72047">
      <w:pPr>
        <w:pStyle w:val="resumedafterexample"/>
      </w:pPr>
      <w:r>
        <w:rPr>
          <w:rStyle w:val="htmlcodes"/>
        </w:rPr>
        <w:t>&lt;/pre&gt;&lt;p&gt;</w:t>
      </w:r>
      <w:r>
        <w:t>How's that in Lojban? Let us try: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mi djuno le nu la frank. cu bebna [kei]</w:t>
      </w:r>
    </w:p>
    <w:p w:rsidR="00B72047" w:rsidRDefault="00B72047">
      <w:pPr>
        <w:pStyle w:val="examplescaled"/>
      </w:pPr>
      <w:r>
        <w:tab/>
        <w:t>I know the event of Frank being a fool.</w:t>
      </w:r>
    </w:p>
    <w:p w:rsidR="00B72047" w:rsidRDefault="00B72047">
      <w:pPr>
        <w:pStyle w:val="resumedafterexample"/>
      </w:pPr>
      <w:r>
        <w:rPr>
          <w:rStyle w:val="htmlcodes"/>
        </w:rPr>
        <w:t>&lt;/pre&gt;</w:t>
      </w:r>
      <w:r>
        <w:rPr>
          <w:rStyle w:val="indexentry"/>
        </w:rPr>
        <w:t>&lt;cx "mental activity"&gt;</w:t>
      </w:r>
      <w:r>
        <w:rPr>
          <w:rStyle w:val="indexentry"/>
        </w:rPr>
        <w:fldChar w:fldCharType="begin"/>
      </w:r>
      <w:r>
        <w:instrText>xe "</w:instrText>
      </w:r>
      <w:r>
        <w:rPr>
          <w:rStyle w:val="xeentry"/>
        </w:rPr>
        <w:instrText>mental activity</w:instrText>
      </w:r>
      <w:r>
        <w:instrText>"</w:instrText>
      </w:r>
      <w:r>
        <w:rPr>
          <w:rStyle w:val="indexentry"/>
        </w:rPr>
        <w:fldChar w:fldCharType="end"/>
      </w:r>
      <w:r>
        <w:t>Not quite right. Events are actually or potentially physical, and can't be</w:t>
      </w:r>
      <w:r>
        <w:rPr>
          <w:rStyle w:val="deletedparamark"/>
        </w:rPr>
        <w:t xml:space="preserve"> </w:t>
      </w:r>
      <w:r>
        <w:t>contained inside one's mind, except for events of thinking, feeling, and the</w:t>
      </w:r>
      <w:r>
        <w:rPr>
          <w:rStyle w:val="deletedparamark"/>
        </w:rPr>
        <w:t xml:space="preserve"> </w:t>
      </w:r>
      <w:r>
        <w:t xml:space="preserve">like; </w:t>
      </w:r>
      <w:r>
        <w:rPr>
          <w:rStyle w:val="htmlcodes"/>
        </w:rPr>
        <w:t>&lt;a href=#e7d2&gt;</w:t>
      </w:r>
      <w:r>
        <w:t xml:space="preserve">Example 7.2 </w:t>
      </w:r>
      <w:r>
        <w:rPr>
          <w:rStyle w:val="htmlcodes"/>
        </w:rPr>
        <w:t>&lt;/a&gt;</w:t>
      </w:r>
      <w:r>
        <w:t>comes close to claiming that Frank's being-a-fool is</w:t>
      </w:r>
      <w:r>
        <w:rPr>
          <w:rStyle w:val="deletedparamark"/>
        </w:rPr>
        <w:t xml:space="preserve"> </w:t>
      </w:r>
      <w:r>
        <w:t xml:space="preserve">purely a mental activity on the part of the speaker. (In fact, </w:t>
      </w:r>
      <w:r>
        <w:rPr>
          <w:rStyle w:val="htmlcodes"/>
        </w:rPr>
        <w:t>&lt;a href=#e7d2&gt;</w:t>
      </w:r>
      <w:r>
        <w:t xml:space="preserve">Example 7.2 </w:t>
      </w:r>
      <w:r>
        <w:rPr>
          <w:rStyle w:val="htmlcodes"/>
        </w:rPr>
        <w:t>&lt;/a&gt;</w:t>
      </w:r>
      <w:r>
        <w:t>is an instance of improperly marked “sumti raising”, a concept di</w:t>
      </w:r>
      <w:r>
        <w:t>s</w:t>
      </w:r>
      <w:r>
        <w:softHyphen/>
        <w:t>cussed</w:t>
      </w:r>
      <w:r>
        <w:rPr>
          <w:rStyle w:val="deletedparamark"/>
        </w:rPr>
        <w:t xml:space="preserve"> </w:t>
      </w:r>
      <w:r>
        <w:t xml:space="preserve">further in </w:t>
      </w:r>
      <w:r>
        <w:rPr>
          <w:rStyle w:val="htmlcodes"/>
        </w:rPr>
        <w:t>&lt;a href=#s10&gt;</w:t>
      </w:r>
      <w:r>
        <w:t>Section 10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Try again: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mi djuno le jei la frank. cu bebna [kei]</w:t>
      </w:r>
    </w:p>
    <w:p w:rsidR="00B72047" w:rsidRDefault="00B72047">
      <w:pPr>
        <w:pStyle w:val="examplescaled"/>
      </w:pPr>
      <w:r>
        <w:tab/>
        <w:t>I know the truth-value of Frank being a fool.</w:t>
      </w:r>
    </w:p>
    <w:p w:rsidR="00B72047" w:rsidRDefault="00B72047">
      <w:pPr>
        <w:pStyle w:val="resumedafterexample"/>
      </w:pPr>
      <w:r>
        <w:rPr>
          <w:rStyle w:val="htmlcodes"/>
        </w:rPr>
        <w:t>&lt;/pre&gt;&lt;p&gt;</w:t>
      </w:r>
      <w:r>
        <w:t xml:space="preserve">Closer. </w:t>
      </w:r>
      <w:r>
        <w:rPr>
          <w:rStyle w:val="htmlcodes"/>
        </w:rPr>
        <w:t>&lt;a href=#e7d3&gt;</w:t>
      </w:r>
      <w:r>
        <w:t xml:space="preserve">Example 7.3 </w:t>
      </w:r>
      <w:r>
        <w:rPr>
          <w:rStyle w:val="htmlcodes"/>
        </w:rPr>
        <w:t>&lt;/a&gt;</w:t>
      </w:r>
      <w:r>
        <w:t>says that I know whether or not Frank is a fool, but</w:t>
      </w:r>
      <w:r>
        <w:rPr>
          <w:rStyle w:val="deletedparamark"/>
        </w:rPr>
        <w:t xml:space="preserve"> </w:t>
      </w:r>
      <w:r>
        <w:t xml:space="preserve">doesn't say that he is one, as </w:t>
      </w:r>
      <w:r>
        <w:rPr>
          <w:rStyle w:val="htmlcodes"/>
        </w:rPr>
        <w:t>&lt;a href=#e7d1&gt;</w:t>
      </w:r>
      <w:r>
        <w:t xml:space="preserve">Example 7.1 </w:t>
      </w:r>
      <w:r>
        <w:rPr>
          <w:rStyle w:val="htmlcodes"/>
        </w:rPr>
        <w:t>&lt;/a&gt;</w:t>
      </w:r>
      <w:r>
        <w:t>does. To catch that nuance,</w:t>
      </w:r>
      <w:r>
        <w:rPr>
          <w:rStyle w:val="deletedparamark"/>
        </w:rPr>
        <w:t xml:space="preserve"> </w:t>
      </w:r>
      <w:r>
        <w:t>we must say:</w:t>
      </w:r>
    </w:p>
    <w:p w:rsidR="00B72047" w:rsidRDefault="00B72047">
      <w:pPr>
        <w:rPr>
          <w:rStyle w:val="htmlparacode"/>
        </w:rPr>
      </w:pPr>
      <w:r>
        <w:rPr>
          <w:rStyle w:val="htmlparacode"/>
        </w:rPr>
        <w:t>&lt;p&gt;</w:t>
      </w:r>
    </w:p>
    <w:p w:rsidR="00B72047" w:rsidRDefault="00B72047">
      <w:pPr>
        <w:pStyle w:val="examplescaledpre"/>
      </w:pPr>
      <w:r>
        <w:rPr>
          <w:rStyle w:val="indexentry"/>
        </w:rPr>
        <w:t>&lt;lx "du'u"&gt;</w:t>
      </w:r>
      <w:r>
        <w:rPr>
          <w:rStyle w:val="indexentry"/>
        </w:rPr>
        <w:fldChar w:fldCharType="begin"/>
      </w:r>
      <w:r>
        <w:instrText>xe "</w:instrText>
      </w:r>
      <w:r>
        <w:rPr>
          <w:rStyle w:val="xeentry"/>
        </w:rPr>
        <w:instrText>du'u</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htmlcodes"/>
        </w:rPr>
        <w:t>&lt;pre&gt;&lt;a name=e7d4&gt;</w:t>
      </w:r>
      <w:r>
        <w:t>7.4)</w:t>
      </w:r>
      <w:r>
        <w:tab/>
        <w:t>mi djuno le du'u la frank. cu bebna [kei]</w:t>
      </w:r>
    </w:p>
    <w:p w:rsidR="00B72047" w:rsidRDefault="00B72047">
      <w:pPr>
        <w:pStyle w:val="examplescaled"/>
      </w:pPr>
      <w:r>
        <w:tab/>
        <w:t>I know the predication that Frank is a fool.</w:t>
      </w:r>
    </w:p>
    <w:p w:rsidR="00B72047" w:rsidRDefault="00B72047">
      <w:pPr>
        <w:pStyle w:val="resumedafterexample"/>
      </w:pPr>
      <w:r>
        <w:rPr>
          <w:rStyle w:val="htmlcodes"/>
        </w:rPr>
        <w:t>&lt;/pre&gt;&lt;p&gt;</w:t>
      </w:r>
      <w:r>
        <w:t>Now we have it. Note that the implied assertion “Frank is a fool” is</w:t>
      </w:r>
      <w:r>
        <w:rPr>
          <w:rStyle w:val="deletedparamark"/>
        </w:rPr>
        <w:t xml:space="preserve"> </w:t>
      </w:r>
      <w:r>
        <w:t>not a property of “le du'u” abstraction, but of “djuno”; we can only</w:t>
      </w:r>
      <w:r>
        <w:rPr>
          <w:rStyle w:val="deletedparamark"/>
        </w:rPr>
        <w:t xml:space="preserve"> </w:t>
      </w:r>
      <w:r>
        <w:t>know what is in fact true. (As a re</w:t>
      </w:r>
      <w:r>
        <w:softHyphen/>
        <w:t>sult, “djuno” like “jei” has a place</w:t>
      </w:r>
      <w:r>
        <w:rPr>
          <w:rStyle w:val="deletedparamark"/>
        </w:rPr>
        <w:t xml:space="preserve"> </w:t>
      </w:r>
      <w:r>
        <w:t xml:space="preserve">for epistemology, which specifies how we know.) </w:t>
      </w:r>
      <w:r>
        <w:rPr>
          <w:rStyle w:val="htmlcodes"/>
        </w:rPr>
        <w:t>&lt;a href=#e7d5&gt;</w:t>
      </w:r>
      <w:r>
        <w:t xml:space="preserve">Example 7.5 </w:t>
      </w:r>
      <w:r>
        <w:rPr>
          <w:rStyle w:val="htmlcodes"/>
        </w:rPr>
        <w:t>&lt;/a&gt;</w:t>
      </w:r>
      <w:r>
        <w:t>has no</w:t>
      </w:r>
      <w:r>
        <w:rPr>
          <w:rStyle w:val="deletedparamark"/>
        </w:rPr>
        <w:t xml:space="preserve"> </w:t>
      </w:r>
      <w:r>
        <w:t>such implied assertion:</w:t>
      </w:r>
    </w:p>
    <w:p w:rsidR="00B72047" w:rsidRDefault="00B72047">
      <w:pPr>
        <w:rPr>
          <w:rStyle w:val="htmlparacode"/>
        </w:rPr>
      </w:pPr>
      <w:r>
        <w:rPr>
          <w:rStyle w:val="htmlparacode"/>
        </w:rPr>
        <w:t>&lt;p&gt;</w:t>
      </w:r>
    </w:p>
    <w:p w:rsidR="00B72047" w:rsidRDefault="00B72047">
      <w:pPr>
        <w:pStyle w:val="examplescaledpre"/>
      </w:pPr>
      <w:r>
        <w:rPr>
          <w:rStyle w:val="indexentry"/>
        </w:rPr>
        <w:t>&lt;cx "curious"&gt;</w:t>
      </w:r>
      <w:r>
        <w:rPr>
          <w:rStyle w:val="indexentry"/>
        </w:rPr>
        <w:fldChar w:fldCharType="begin"/>
      </w:r>
      <w:r>
        <w:instrText>xe "</w:instrText>
      </w:r>
      <w:r>
        <w:rPr>
          <w:rStyle w:val="xeentry"/>
        </w:rPr>
        <w:instrText>curious</w:instrText>
      </w:r>
      <w:r>
        <w:instrText>"</w:instrText>
      </w:r>
      <w:r>
        <w:rPr>
          <w:rStyle w:val="indexentry"/>
        </w:rPr>
        <w:fldChar w:fldCharType="end"/>
      </w:r>
      <w:r>
        <w:rPr>
          <w:rStyle w:val="indexentry"/>
        </w:rPr>
        <w:t>&lt;ex "curious"&gt;</w:t>
      </w:r>
      <w:r>
        <w:rPr>
          <w:rStyle w:val="indexentry"/>
        </w:rPr>
        <w:fldChar w:fldCharType="begin"/>
      </w:r>
      <w:r>
        <w:instrText>xe "</w:instrText>
      </w:r>
      <w:r>
        <w:rPr>
          <w:rStyle w:val="xeentry"/>
        </w:rPr>
        <w:instrText>curious: example</w:instrText>
      </w:r>
      <w:r>
        <w:instrText>"</w:instrText>
      </w:r>
      <w:r>
        <w:rPr>
          <w:rStyle w:val="indexentry"/>
        </w:rPr>
        <w:fldChar w:fldCharType="end"/>
      </w:r>
      <w:r>
        <w:rPr>
          <w:rStyle w:val="indexentry"/>
        </w:rPr>
        <w:t>&lt;ex "Frank is a fool"&gt;</w:t>
      </w:r>
      <w:r>
        <w:rPr>
          <w:rStyle w:val="indexentry"/>
        </w:rPr>
        <w:fldChar w:fldCharType="begin"/>
      </w:r>
      <w:r>
        <w:instrText>xe "</w:instrText>
      </w:r>
      <w:r>
        <w:rPr>
          <w:rStyle w:val="xeentry"/>
        </w:rPr>
        <w:instrText>Frank is a fool: example</w:instrText>
      </w:r>
      <w:r>
        <w:instrText>"</w:instrText>
      </w:r>
      <w:r>
        <w:rPr>
          <w:rStyle w:val="indexentry"/>
        </w:rPr>
        <w:fldChar w:fldCharType="end"/>
      </w:r>
      <w:r>
        <w:rPr>
          <w:rStyle w:val="htmlcodes"/>
        </w:rPr>
        <w:t>&lt;pre&gt;&lt;a name=e7d5&gt;</w:t>
      </w:r>
      <w:r>
        <w:t>7.5)</w:t>
      </w:r>
      <w:r>
        <w:tab/>
        <w:t>mi kucli le du'u la frank. cu bebna [kei]</w:t>
      </w:r>
    </w:p>
    <w:p w:rsidR="00B72047" w:rsidRDefault="00B72047">
      <w:pPr>
        <w:pStyle w:val="examplescaled"/>
      </w:pPr>
      <w:r>
        <w:tab/>
        <w:t>I am curious about whether Frank is a fool.</w:t>
      </w:r>
    </w:p>
    <w:p w:rsidR="00B72047" w:rsidRDefault="00B72047">
      <w:pPr>
        <w:pStyle w:val="resumedafterexample"/>
      </w:pPr>
      <w:r>
        <w:rPr>
          <w:rStyle w:val="htmlcodes"/>
        </w:rPr>
        <w:t>&lt;/pre&gt;</w:t>
      </w:r>
      <w:r>
        <w:t>and here “du'u” could probably be replaced by “jei” without much change</w:t>
      </w:r>
      <w:r>
        <w:rPr>
          <w:rStyle w:val="deletedparamark"/>
        </w:rPr>
        <w:t xml:space="preserve"> </w:t>
      </w:r>
      <w:r>
        <w:t>in meaning:</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"curious:example"</w:instrText>
      </w:r>
      <w:r>
        <w:rPr>
          <w:rStyle w:val="xeentry"/>
        </w:rPr>
        <w:fldChar w:fldCharType="end"/>
      </w:r>
      <w:r>
        <w:rPr>
          <w:rStyle w:val="htmlcodes"/>
        </w:rPr>
        <w:t>&lt;pre&gt;&lt;a name=e7d6&gt;</w:t>
      </w:r>
      <w:r>
        <w:t>7.6)</w:t>
      </w:r>
      <w:r>
        <w:tab/>
        <w:t>mi kucli le jei la frank. cu bebna [kei]</w:t>
      </w:r>
    </w:p>
    <w:p w:rsidR="00B72047" w:rsidRDefault="00B72047">
      <w:pPr>
        <w:pStyle w:val="examplescaled"/>
      </w:pPr>
      <w:r>
        <w:tab/>
        <w:t>I am curious about how true it is that Frank is a fool.</w:t>
      </w:r>
    </w:p>
    <w:p w:rsidR="00B72047" w:rsidRDefault="00B72047">
      <w:pPr>
        <w:pStyle w:val="normalafterexample"/>
      </w:pPr>
      <w:r>
        <w:rPr>
          <w:rStyle w:val="htmlcodes"/>
        </w:rPr>
        <w:t>&lt;/pre&gt;</w:t>
      </w:r>
      <w:r>
        <w:rPr>
          <w:rStyle w:val="indexentry"/>
        </w:rPr>
        <w:t>&lt;cx "truth-value abstraction, place structure"&gt;</w:t>
      </w:r>
      <w:r>
        <w:rPr>
          <w:rStyle w:val="indexentry"/>
        </w:rPr>
        <w:fldChar w:fldCharType="begin"/>
      </w:r>
      <w:r>
        <w:instrText>xe "</w:instrText>
      </w:r>
      <w:r>
        <w:rPr>
          <w:rStyle w:val="xeentry"/>
        </w:rPr>
        <w:instrText>truth-value abstraction(s): place structure</w:instrText>
      </w:r>
      <w:r>
        <w:instrText>"</w:instrText>
      </w:r>
      <w:r>
        <w:rPr>
          <w:rStyle w:val="indexentry"/>
        </w:rPr>
        <w:fldChar w:fldCharType="end"/>
      </w:r>
      <w:r>
        <w:t>As a matter of convenience rather than logical necessity, “du'u” has been</w:t>
      </w:r>
      <w:r>
        <w:rPr>
          <w:rStyle w:val="deletedparamark"/>
        </w:rPr>
        <w:t xml:space="preserve"> </w:t>
      </w:r>
      <w:r>
        <w:t>given an x2 place, which is a sentence (piece of lan</w:t>
      </w:r>
      <w:r>
        <w:softHyphen/>
        <w:t>guage) expressing</w:t>
      </w:r>
      <w:r>
        <w:rPr>
          <w:rStyle w:val="deletedparamark"/>
        </w:rPr>
        <w:t xml:space="preserve"> </w:t>
      </w:r>
      <w:r>
        <w:t>the bridi:</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du’u:  </w:t>
      </w:r>
      <w:r>
        <w:rPr>
          <w:rStyle w:val="htmlcodes"/>
        </w:rPr>
        <w:t>&lt;dd&gt;</w:t>
      </w:r>
      <w:r>
        <w:t>x1 is the predication (the bridi) expressed in sentence x2</w:t>
      </w:r>
    </w:p>
    <w:p w:rsidR="00B72047" w:rsidRDefault="00B72047">
      <w:pPr>
        <w:pStyle w:val="resumedafterexample"/>
      </w:pPr>
      <w:r>
        <w:rPr>
          <w:rStyle w:val="htmlcodes"/>
        </w:rPr>
        <w:t>&lt;/dl&gt;</w:t>
      </w:r>
      <w:r>
        <w:rPr>
          <w:rStyle w:val="indexentry"/>
        </w:rPr>
        <w:t>&lt;cx "linguistic behavior"&gt;</w:t>
      </w:r>
      <w:r>
        <w:rPr>
          <w:rStyle w:val="indexentry"/>
        </w:rPr>
        <w:fldChar w:fldCharType="begin"/>
      </w:r>
      <w:r>
        <w:instrText>xe "</w:instrText>
      </w:r>
      <w:r>
        <w:rPr>
          <w:rStyle w:val="xeentry"/>
        </w:rPr>
        <w:instrText>linguistic behavior</w:instrText>
      </w:r>
      <w:r>
        <w:instrText>"</w:instrText>
      </w:r>
      <w:r>
        <w:rPr>
          <w:rStyle w:val="indexentry"/>
        </w:rPr>
        <w:fldChar w:fldCharType="end"/>
      </w:r>
      <w:r>
        <w:rPr>
          <w:rStyle w:val="indexentry"/>
        </w:rPr>
        <w:t>&lt;cx "se du'u"&gt;</w:t>
      </w:r>
      <w:r>
        <w:rPr>
          <w:rStyle w:val="indexentry"/>
        </w:rPr>
        <w:fldChar w:fldCharType="begin"/>
      </w:r>
      <w:r>
        <w:instrText>xe "</w:instrText>
      </w:r>
      <w:r>
        <w:rPr>
          <w:rStyle w:val="xeentry"/>
        </w:rPr>
        <w:instrText>se du'u</w:instrText>
      </w:r>
      <w:r>
        <w:instrText>"</w:instrText>
      </w:r>
      <w:r>
        <w:rPr>
          <w:rStyle w:val="indexentry"/>
        </w:rPr>
        <w:fldChar w:fldCharType="end"/>
      </w:r>
      <w:r>
        <w:rPr>
          <w:rStyle w:val="indexentry"/>
        </w:rPr>
        <w:t>&lt;cx "abstraction, speaking, writing, etc."&gt;</w:t>
      </w:r>
      <w:r>
        <w:rPr>
          <w:rStyle w:val="indexentry"/>
        </w:rPr>
        <w:fldChar w:fldCharType="begin"/>
      </w:r>
      <w:r>
        <w:instrText>xe "</w:instrText>
      </w:r>
      <w:r>
        <w:rPr>
          <w:rStyle w:val="xeentry"/>
        </w:rPr>
        <w:instrText>abstraction(s): speaking, writing, etc.</w:instrText>
      </w:r>
      <w:r>
        <w:instrText>"</w:instrText>
      </w:r>
      <w:r>
        <w:rPr>
          <w:rStyle w:val="indexentry"/>
        </w:rPr>
        <w:fldChar w:fldCharType="end"/>
      </w:r>
      <w:r>
        <w:t>and “le se du'u </w:t>
      </w:r>
      <w:r>
        <w:rPr>
          <w:rStyle w:val="htmlcodes"/>
        </w:rPr>
        <w:t>&lt;dots&gt;</w:t>
      </w:r>
      <w:r>
        <w:t>…</w:t>
      </w:r>
      <w:r>
        <w:rPr>
          <w:rStyle w:val="htmlcodes"/>
        </w:rPr>
        <w:t>&lt;/dots&gt;</w:t>
      </w:r>
      <w:r>
        <w:t>” is very useful in filling places of selbri which refer</w:t>
      </w:r>
      <w:r>
        <w:rPr>
          <w:rStyle w:val="deletedparamark"/>
        </w:rPr>
        <w:t xml:space="preserve"> </w:t>
      </w:r>
      <w:r>
        <w:t>to speaking, wri</w:t>
      </w:r>
      <w:r>
        <w:t>t</w:t>
      </w:r>
      <w:r>
        <w:softHyphen/>
        <w:t>ing, or other linguistic behavior regarding bridi:</w:t>
      </w:r>
    </w:p>
    <w:p w:rsidR="00B72047" w:rsidRDefault="00B72047">
      <w:pPr>
        <w:rPr>
          <w:rStyle w:val="htmlparacode"/>
        </w:rPr>
      </w:pPr>
      <w:r>
        <w:rPr>
          <w:rStyle w:val="htmlparacode"/>
        </w:rPr>
        <w:t>&lt;p&gt;</w:t>
      </w:r>
    </w:p>
    <w:p w:rsidR="00B72047" w:rsidRDefault="00B72047">
      <w:pPr>
        <w:pStyle w:val="examplescaledpre"/>
      </w:pPr>
      <w:r>
        <w:rPr>
          <w:rStyle w:val="indexentry"/>
        </w:rPr>
        <w:t>&lt;cx "abstraction of sentences, contrasted with quotation"&gt;</w:t>
      </w:r>
      <w:r>
        <w:rPr>
          <w:rStyle w:val="indexentry"/>
        </w:rPr>
        <w:fldChar w:fldCharType="begin"/>
      </w:r>
      <w:r>
        <w:instrText>xe "</w:instrText>
      </w:r>
      <w:r>
        <w:rPr>
          <w:rStyle w:val="xeentry"/>
        </w:rPr>
        <w:instrText>abstraction(s): sentence, contrasted with quotation</w:instrText>
      </w:r>
      <w:r>
        <w:instrText>"</w:instrText>
      </w:r>
      <w:r>
        <w:rPr>
          <w:rStyle w:val="indexentry"/>
        </w:rPr>
        <w:fldChar w:fldCharType="end"/>
      </w:r>
      <w:r>
        <w:rPr>
          <w:rStyle w:val="indexentry"/>
        </w:rPr>
        <w:t>&lt;cx "quotation, contrasted with sentence abstraction"&gt;</w:t>
      </w:r>
      <w:r>
        <w:rPr>
          <w:rStyle w:val="indexentry"/>
        </w:rPr>
        <w:fldChar w:fldCharType="begin"/>
      </w:r>
      <w:r>
        <w:instrText>xe "</w:instrText>
      </w:r>
      <w:r>
        <w:rPr>
          <w:rStyle w:val="xeentry"/>
        </w:rPr>
        <w:instrText>quotation: contrasted with sentence abstraction</w:instrText>
      </w:r>
      <w:r>
        <w:instrText>"</w:instrText>
      </w:r>
      <w:r>
        <w:rPr>
          <w:rStyle w:val="indexentry"/>
        </w:rPr>
        <w:fldChar w:fldCharType="end"/>
      </w:r>
      <w:r>
        <w:rPr>
          <w:rStyle w:val="htmlcodes"/>
        </w:rPr>
        <w:t>&lt;pre&gt;&lt;a name=e7d7&gt;</w:t>
      </w:r>
      <w:r>
        <w:t>7.7)</w:t>
      </w:r>
      <w:r>
        <w:tab/>
        <w:t>la djan. cusku le se du'u la djordj. klama le zarci [kei]</w:t>
      </w:r>
    </w:p>
    <w:p w:rsidR="00B72047" w:rsidRDefault="00B72047">
      <w:pPr>
        <w:pStyle w:val="examplescaled"/>
      </w:pPr>
      <w:r>
        <w:tab/>
        <w:t>John expresses the sentence-expressing-that George goes-to the store</w:t>
      </w:r>
    </w:p>
    <w:p w:rsidR="00B72047" w:rsidRDefault="00B72047">
      <w:pPr>
        <w:pStyle w:val="examplescaled"/>
      </w:pPr>
      <w:r>
        <w:tab/>
        <w:t>John says that George goes to the store.</w:t>
      </w:r>
    </w:p>
    <w:p w:rsidR="00B72047" w:rsidRDefault="00B72047">
      <w:pPr>
        <w:pStyle w:val="resumedafterexample"/>
      </w:pPr>
      <w:r>
        <w:rPr>
          <w:rStyle w:val="htmlcodes"/>
        </w:rPr>
        <w:t>&lt;/pre&gt;&lt;a href=#e7d7&gt;</w:t>
      </w:r>
      <w:r>
        <w:t xml:space="preserve">Example 7.7 </w:t>
      </w:r>
      <w:r>
        <w:rPr>
          <w:rStyle w:val="htmlcodes"/>
        </w:rPr>
        <w:t>&lt;/a&gt;</w:t>
      </w:r>
      <w:r>
        <w:t>differs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la djan cusku lu la djordj. klama le zarci li'u</w:t>
      </w:r>
    </w:p>
    <w:p w:rsidR="00B72047" w:rsidRDefault="00B72047">
      <w:pPr>
        <w:pStyle w:val="examplescaled"/>
      </w:pPr>
      <w:r>
        <w:tab/>
        <w:t>John expresses, quote, George goes to the store, unquote.</w:t>
      </w:r>
    </w:p>
    <w:p w:rsidR="00B72047" w:rsidRDefault="00B72047">
      <w:pPr>
        <w:pStyle w:val="examplescaled"/>
      </w:pPr>
      <w:r>
        <w:tab/>
        <w:t>John says “George goes to the store”.</w:t>
      </w:r>
    </w:p>
    <w:p w:rsidR="00B72047" w:rsidRDefault="00B72047">
      <w:pPr>
        <w:pStyle w:val="resumedafterexample"/>
      </w:pPr>
      <w:r>
        <w:rPr>
          <w:rStyle w:val="htmlcodes"/>
        </w:rPr>
        <w:t>&lt;/pre&gt;</w:t>
      </w:r>
      <w:r>
        <w:t xml:space="preserve">because </w:t>
      </w:r>
      <w:r>
        <w:rPr>
          <w:rStyle w:val="htmlcodes"/>
        </w:rPr>
        <w:t>&lt;a href=#e7d8&gt;</w:t>
      </w:r>
      <w:r>
        <w:t xml:space="preserve">Example 7.8 </w:t>
      </w:r>
      <w:r>
        <w:rPr>
          <w:rStyle w:val="htmlcodes"/>
        </w:rPr>
        <w:t>&lt;/a&gt;</w:t>
      </w:r>
      <w:r>
        <w:t>claims that John actually said the quoted words,</w:t>
      </w:r>
      <w:r>
        <w:rPr>
          <w:rStyle w:val="deletedparamark"/>
        </w:rPr>
        <w:t xml:space="preserve"> </w:t>
      </w:r>
      <w:r>
        <w:t xml:space="preserve">whereas </w:t>
      </w:r>
      <w:r>
        <w:rPr>
          <w:rStyle w:val="htmlcodes"/>
        </w:rPr>
        <w:t>&lt;a href=#e7d7&gt;</w:t>
      </w:r>
      <w:r>
        <w:t xml:space="preserve">Example 7.7 </w:t>
      </w:r>
      <w:r>
        <w:rPr>
          <w:rStyle w:val="htmlcodes"/>
        </w:rPr>
        <w:t>&lt;/a&gt;</w:t>
      </w:r>
      <w:r>
        <w:t>claims only that he said some words or other which were</w:t>
      </w:r>
      <w:r>
        <w:rPr>
          <w:rStyle w:val="deletedparamark"/>
        </w:rPr>
        <w:t xml:space="preserve"> </w:t>
      </w:r>
      <w:r>
        <w:t>to the same purpose.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"lu'e"&gt;</w:t>
      </w:r>
      <w:r>
        <w:rPr>
          <w:rStyle w:val="indexentry"/>
        </w:rPr>
        <w:fldChar w:fldCharType="begin"/>
      </w:r>
      <w:r>
        <w:instrText>xe "</w:instrText>
      </w:r>
      <w:r>
        <w:rPr>
          <w:rStyle w:val="xeentry"/>
        </w:rPr>
        <w:instrText>lu'e</w:instrText>
      </w:r>
      <w:r>
        <w:instrText>"</w:instrText>
      </w:r>
      <w:r>
        <w:rPr>
          <w:rStyle w:val="indexentry"/>
        </w:rPr>
        <w:fldChar w:fldCharType="end"/>
      </w:r>
      <w:r>
        <w:t>“le se du'u” is much the same as “lu'e le du'u”, a symbol for the</w:t>
      </w:r>
      <w:r>
        <w:rPr>
          <w:rStyle w:val="deletedparamark"/>
        </w:rPr>
        <w:t xml:space="preserve"> </w:t>
      </w:r>
      <w:r>
        <w:t>predication, but “se du'u” can be used as a selbri, whereas “lu'e” is</w:t>
      </w:r>
      <w:r>
        <w:rPr>
          <w:rStyle w:val="deletedparamark"/>
        </w:rPr>
        <w:t xml:space="preserve"> </w:t>
      </w:r>
      <w:r>
        <w:t xml:space="preserve">ungrammatical in a selbri. (See </w:t>
      </w:r>
      <w:r>
        <w:rPr>
          <w:rStyle w:val="htmlcodes"/>
        </w:rPr>
        <w:t>&lt;a href=chap5.html&gt;</w:t>
      </w:r>
      <w:r>
        <w:t xml:space="preserve">Chapter 5 </w:t>
      </w:r>
      <w:r>
        <w:rPr>
          <w:rStyle w:val="htmlcodes"/>
        </w:rPr>
        <w:t>&lt;/a&gt;</w:t>
      </w:r>
      <w:r>
        <w:t>for a discussion of “lu'e”.)</w:t>
      </w:r>
    </w:p>
    <w:p w:rsidR="00B72047" w:rsidRDefault="00B72047">
      <w:pPr>
        <w:rPr>
          <w:rStyle w:val="htmlparacode"/>
        </w:rPr>
      </w:pPr>
      <w:r>
        <w:rPr>
          <w:rStyle w:val="htmlparacode"/>
        </w:rPr>
        <w:t>&lt;p&gt;</w:t>
      </w:r>
    </w:p>
    <w:p w:rsidR="00B72047" w:rsidRDefault="00B72047">
      <w:pPr>
        <w:pStyle w:val="Heading3"/>
        <w:rPr>
          <w:rStyle w:val="Heading3Text"/>
        </w:rPr>
      </w:pPr>
      <w:bookmarkStart w:id="368" w:name="_Toc398970612"/>
      <w:r>
        <w:rPr>
          <w:rStyle w:val="Heading3Text"/>
        </w:rPr>
        <w:t>Indirect questions</w:t>
      </w:r>
      <w:bookmarkEnd w:id="368"/>
      <w:r>
        <w:rPr>
          <w:rStyle w:val="htmlcodes"/>
        </w:rPr>
        <w:t>&lt;/h3&gt;</w:t>
      </w:r>
    </w:p>
    <w:p w:rsidR="00B72047" w:rsidRDefault="00B72047">
      <w:pPr>
        <w:rPr>
          <w:rStyle w:val="htmlparacode"/>
        </w:rPr>
      </w:pPr>
      <w:r>
        <w:rPr>
          <w:rStyle w:val="htmlparacode"/>
        </w:rPr>
        <w:t>&lt;p&gt;</w:t>
      </w:r>
      <w:r>
        <w:rPr>
          <w:rStyle w:val="indexentry"/>
        </w:rPr>
        <w:t>&lt;cx "indirect questions"&gt;</w:t>
      </w:r>
      <w:r>
        <w:rPr>
          <w:rStyle w:val="indexentry"/>
        </w:rPr>
        <w:fldChar w:fldCharType="begin"/>
      </w:r>
      <w:r>
        <w:instrText>xe "</w:instrText>
      </w:r>
      <w:r>
        <w:rPr>
          <w:rStyle w:val="xeentry"/>
        </w:rPr>
        <w:instrText>indirect questions</w:instrText>
      </w:r>
      <w:r>
        <w:instrText>"</w:instrText>
      </w:r>
      <w:r>
        <w:rPr>
          <w:rStyle w:val="indexentry"/>
        </w:rPr>
        <w:fldChar w:fldCharType="end"/>
      </w:r>
      <w:r>
        <w:rPr>
          <w:rStyle w:val="indexentry"/>
        </w:rPr>
        <w:t>&lt;cx "questions, indirect"&gt;</w:t>
      </w:r>
      <w:r>
        <w:rPr>
          <w:rStyle w:val="indexentry"/>
        </w:rPr>
        <w:fldChar w:fldCharType="begin"/>
      </w:r>
      <w:r>
        <w:instrText>xe "</w:instrText>
      </w:r>
      <w:r>
        <w:rPr>
          <w:rStyle w:val="xeentry"/>
        </w:rPr>
        <w:instrText>questions: indirect</w:instrText>
      </w:r>
      <w:r>
        <w:instrText>"</w:instrText>
      </w:r>
      <w:r>
        <w:rPr>
          <w:rStyle w:val="indexentry"/>
        </w:rPr>
        <w:fldChar w:fldCharType="end"/>
      </w:r>
      <w:r>
        <w:rPr>
          <w:rStyle w:val="htmlcodes"/>
        </w:rPr>
        <w:t>&lt;a name=s8&gt;&lt;h3&gt;</w:t>
      </w:r>
    </w:p>
    <w:p w:rsidR="00B72047" w:rsidRDefault="00B72047">
      <w:pPr>
        <w:pStyle w:val="normalparagraph"/>
        <w:spacing w:before="0"/>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w:t>
      </w:r>
      <w:r>
        <w:t xml:space="preserve"> </w:t>
      </w:r>
      <w:r>
        <w:tab/>
        <w:t>kau</w:t>
      </w:r>
      <w:r>
        <w:tab/>
        <w:t>UI</w:t>
      </w:r>
      <w:r>
        <w:tab/>
        <w:t>indirect question marker</w:t>
      </w:r>
    </w:p>
    <w:p w:rsidR="00B72047" w:rsidRDefault="00B72047">
      <w:pPr>
        <w:pStyle w:val="normalafterexample"/>
        <w:spacing w:before="120"/>
      </w:pPr>
      <w:r>
        <w:rPr>
          <w:rStyle w:val="htmlcodes"/>
        </w:rPr>
        <w:t>&lt;/pre&gt;</w:t>
      </w:r>
      <w:r>
        <w:rPr>
          <w:rStyle w:val="indexentry"/>
        </w:rPr>
        <w:t>&lt;lx "du'u"&gt;</w:t>
      </w:r>
      <w:r>
        <w:rPr>
          <w:rStyle w:val="indexentry"/>
        </w:rPr>
        <w:fldChar w:fldCharType="begin"/>
      </w:r>
      <w:r>
        <w:instrText>xe "</w:instrText>
      </w:r>
      <w:r>
        <w:rPr>
          <w:rStyle w:val="xeentry"/>
        </w:rPr>
        <w:instrText>du'u</w:instrText>
      </w:r>
      <w:r>
        <w:instrText>"</w:instrText>
      </w:r>
      <w:r>
        <w:rPr>
          <w:rStyle w:val="indexentry"/>
        </w:rPr>
        <w:fldChar w:fldCharType="end"/>
      </w:r>
      <w:r>
        <w:t>There is an alternative type of sentence involving “du'u” and a selbri</w:t>
      </w:r>
      <w:r>
        <w:rPr>
          <w:rStyle w:val="deletedparamark"/>
        </w:rPr>
        <w:t xml:space="preserve"> </w:t>
      </w:r>
      <w:r>
        <w:t>express</w:t>
      </w:r>
      <w:r>
        <w:softHyphen/>
        <w:t>ing a propositional attitude. In addition to sentences 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I know that John went to the store.</w:t>
      </w:r>
    </w:p>
    <w:p w:rsidR="00B72047" w:rsidRDefault="00B72047">
      <w:pPr>
        <w:pStyle w:val="resumedafterexample"/>
      </w:pPr>
      <w:r>
        <w:rPr>
          <w:rStyle w:val="htmlcodes"/>
        </w:rPr>
        <w:t>&lt;/pre&gt;</w:t>
      </w:r>
      <w:r>
        <w:t>we can also say things like</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"know who"&gt;</w:t>
      </w:r>
      <w:r>
        <w:rPr>
          <w:rStyle w:val="indexentry"/>
        </w:rPr>
        <w:fldChar w:fldCharType="begin"/>
      </w:r>
      <w:r>
        <w:instrText>xe "</w:instrText>
      </w:r>
      <w:r>
        <w:rPr>
          <w:rStyle w:val="xeentry"/>
        </w:rPr>
        <w:instrText>know who: example</w:instrText>
      </w:r>
      <w:r>
        <w:instrText>"</w:instrText>
      </w:r>
      <w:r>
        <w:rPr>
          <w:rStyle w:val="indexentry"/>
        </w:rPr>
        <w:fldChar w:fldCharType="end"/>
      </w:r>
      <w:r>
        <w:rPr>
          <w:rStyle w:val="htmlcodes"/>
        </w:rPr>
        <w:t>&lt;pre&gt;&lt;a name=e8d2&gt;</w:t>
      </w:r>
      <w:r>
        <w:t>8.2)</w:t>
      </w:r>
      <w:r>
        <w:tab/>
        <w:t>I know who went to the store.</w:t>
      </w:r>
    </w:p>
    <w:p w:rsidR="00B72047" w:rsidRDefault="00B72047">
      <w:pPr>
        <w:pStyle w:val="resumedafterexample"/>
      </w:pPr>
      <w:r>
        <w:rPr>
          <w:rStyle w:val="htmlcodes"/>
        </w:rPr>
        <w:t>&lt;/pre&gt;</w:t>
      </w:r>
      <w:r>
        <w:rPr>
          <w:rStyle w:val="indexentry"/>
        </w:rPr>
        <w:t>&lt;cx "abstraction, with wonder, doubt, etc."&gt;</w:t>
      </w:r>
      <w:r>
        <w:rPr>
          <w:rStyle w:val="indexentry"/>
        </w:rPr>
        <w:fldChar w:fldCharType="begin"/>
      </w:r>
      <w:r>
        <w:instrText>xe "</w:instrText>
      </w:r>
      <w:r>
        <w:rPr>
          <w:rStyle w:val="xeentry"/>
        </w:rPr>
        <w:instrText>abstraction(s): with wonder, doubt, etc.</w:instrText>
      </w:r>
      <w:r>
        <w:instrText>"</w:instrText>
      </w:r>
      <w:r>
        <w:rPr>
          <w:rStyle w:val="indexentry"/>
        </w:rPr>
        <w:fldChar w:fldCharType="end"/>
      </w:r>
      <w:r>
        <w:t>This form is called an “indirect question” in English because the em</w:t>
      </w:r>
      <w:r>
        <w:softHyphen/>
        <w:t>bedded</w:t>
      </w:r>
      <w:r>
        <w:rPr>
          <w:rStyle w:val="deletedparamark"/>
        </w:rPr>
        <w:t xml:space="preserve"> </w:t>
      </w:r>
      <w:r>
        <w:t>English se</w:t>
      </w:r>
      <w:r>
        <w:t>n</w:t>
      </w:r>
      <w:r>
        <w:softHyphen/>
        <w:t>tence is a question: “Who went to the store?” A person who</w:t>
      </w:r>
      <w:r>
        <w:rPr>
          <w:rStyle w:val="deletedparamark"/>
        </w:rPr>
        <w:t xml:space="preserve"> </w:t>
      </w:r>
      <w:r>
        <w:t xml:space="preserve">says </w:t>
      </w:r>
      <w:r>
        <w:rPr>
          <w:rStyle w:val="htmlcodes"/>
        </w:rPr>
        <w:t>&lt;a href=#e8d2&gt;</w:t>
      </w:r>
      <w:r>
        <w:t xml:space="preserve">Example 8.2 </w:t>
      </w:r>
      <w:r>
        <w:rPr>
          <w:rStyle w:val="htmlcodes"/>
        </w:rPr>
        <w:t>&lt;/a&gt;</w:t>
      </w:r>
      <w:r>
        <w:t>is claiming to know the answer to this question. Indirect</w:t>
      </w:r>
      <w:r>
        <w:rPr>
          <w:rStyle w:val="deletedparamark"/>
        </w:rPr>
        <w:t xml:space="preserve"> </w:t>
      </w:r>
      <w:r>
        <w:t>questions can occur with many other English verbs as well: I can wonder, or</w:t>
      </w:r>
      <w:r>
        <w:rPr>
          <w:rStyle w:val="deletedparamark"/>
        </w:rPr>
        <w:t xml:space="preserve"> </w:t>
      </w:r>
      <w:r>
        <w:t>doubt, or see, or hear, as well as know who went to the store.</w:t>
      </w:r>
    </w:p>
    <w:p w:rsidR="00B72047" w:rsidRDefault="00B72047">
      <w:pPr>
        <w:rPr>
          <w:rStyle w:val="htmlparacode"/>
        </w:rPr>
      </w:pPr>
      <w:r>
        <w:rPr>
          <w:rStyle w:val="htmlparacode"/>
        </w:rPr>
        <w:t>&lt;p&gt;</w:t>
      </w:r>
    </w:p>
    <w:p w:rsidR="00B72047" w:rsidRDefault="00B72047">
      <w:pPr>
        <w:pStyle w:val="normalparagraph"/>
      </w:pPr>
      <w:r>
        <w:rPr>
          <w:rStyle w:val="indexentry"/>
        </w:rPr>
        <w:t>&lt;lx "kau"&gt;</w:t>
      </w:r>
      <w:r>
        <w:rPr>
          <w:rStyle w:val="indexentry"/>
        </w:rPr>
        <w:fldChar w:fldCharType="begin"/>
      </w:r>
      <w:r>
        <w:instrText>xe "</w:instrText>
      </w:r>
      <w:r>
        <w:rPr>
          <w:rStyle w:val="xeentry"/>
        </w:rPr>
        <w:instrText>kau</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To express indirect questions in Lojban, we use a “le du'u” abstraction,</w:t>
      </w:r>
      <w:r>
        <w:rPr>
          <w:rStyle w:val="deletedparamark"/>
        </w:rPr>
        <w:t xml:space="preserve"> </w:t>
      </w:r>
      <w:r>
        <w:t>but rather than using a question word like “who” (“ma” in Lojban), we use</w:t>
      </w:r>
      <w:r>
        <w:rPr>
          <w:rStyle w:val="deletedparamark"/>
        </w:rPr>
        <w:t xml:space="preserve"> </w:t>
      </w:r>
      <w:r>
        <w:t>any word that will fit grammatically and mark it with the suffix particle</w:t>
      </w:r>
      <w:r>
        <w:rPr>
          <w:rStyle w:val="deletedparamark"/>
        </w:rPr>
        <w:t xml:space="preserve"> “</w:t>
      </w:r>
      <w:r>
        <w:t>kau”. This cmavo belongs to selma'o UI, so gram</w:t>
      </w:r>
      <w:r>
        <w:softHyphen/>
        <w:t>matically it can appear</w:t>
      </w:r>
      <w:r>
        <w:rPr>
          <w:rStyle w:val="deletedparamark"/>
        </w:rPr>
        <w:t xml:space="preserve"> </w:t>
      </w:r>
      <w:r>
        <w:t xml:space="preserve">anywhere. The simplest Lojban translation of </w:t>
      </w:r>
      <w:r>
        <w:rPr>
          <w:rStyle w:val="htmlcodes"/>
        </w:rPr>
        <w:t>&lt;a href=#e8d2&gt;</w:t>
      </w:r>
      <w:r>
        <w:t xml:space="preserve">Example 8.2 </w:t>
      </w:r>
      <w:r>
        <w:rPr>
          <w:rStyle w:val="htmlcodes"/>
        </w:rPr>
        <w:t>&lt;/a&gt;</w:t>
      </w:r>
      <w:r>
        <w:t>is therefore: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mi djuno le du'u makau pu klama le zarci</w:t>
      </w:r>
    </w:p>
    <w:p w:rsidR="00B72047" w:rsidRDefault="00B72047">
      <w:pPr>
        <w:pStyle w:val="examplescaled"/>
      </w:pPr>
      <w:r>
        <w:tab/>
        <w:t>I know the predication-of X [indirect question] [past] going to the store.</w:t>
      </w:r>
    </w:p>
    <w:p w:rsidR="00B72047" w:rsidRDefault="00B72047">
      <w:pPr>
        <w:pStyle w:val="resumedafterexample"/>
      </w:pPr>
      <w:r>
        <w:rPr>
          <w:rStyle w:val="indexentry"/>
        </w:rPr>
        <w:t>&lt;cx "kau, “ma kau” contrasted with “la djan. kau”"&gt;</w:t>
      </w:r>
      <w:r>
        <w:rPr>
          <w:rStyle w:val="indexentry"/>
        </w:rPr>
        <w:fldChar w:fldCharType="begin"/>
      </w:r>
      <w:r>
        <w:instrText>xe "</w:instrText>
      </w:r>
      <w:r>
        <w:rPr>
          <w:rStyle w:val="xeentry"/>
        </w:rPr>
        <w:instrText>kau: ma kau, contrasted with la djan. kau</w:instrText>
      </w:r>
      <w:r>
        <w:instrText>"</w:instrText>
      </w:r>
      <w:r>
        <w:rPr>
          <w:rStyle w:val="indexentry"/>
        </w:rPr>
        <w:fldChar w:fldCharType="end"/>
      </w:r>
      <w:r>
        <w:rPr>
          <w:rStyle w:val="indexentry"/>
        </w:rPr>
        <w:t>&lt;cx "Indirect questions, “ma kau” contrasted with “la djan. kau”"&gt;</w:t>
      </w:r>
      <w:r>
        <w:rPr>
          <w:rStyle w:val="indexentry"/>
        </w:rPr>
        <w:fldChar w:fldCharType="begin"/>
      </w:r>
      <w:r>
        <w:instrText>xe "</w:instrText>
      </w:r>
      <w:r>
        <w:rPr>
          <w:rStyle w:val="xeentry"/>
        </w:rPr>
        <w:instrText>indirect questions: ma kau contrasted with la djan. kau</w:instrText>
      </w:r>
      <w:r>
        <w:instrText>"</w:instrText>
      </w:r>
      <w:r>
        <w:rPr>
          <w:rStyle w:val="indexentry"/>
        </w:rPr>
        <w:fldChar w:fldCharType="end"/>
      </w:r>
      <w:r>
        <w:rPr>
          <w:rStyle w:val="indexentry"/>
        </w:rPr>
        <w:t>&lt;cx "know who, contrasted with know that"&gt;</w:t>
      </w:r>
      <w:r>
        <w:rPr>
          <w:rStyle w:val="indexentry"/>
        </w:rPr>
        <w:fldChar w:fldCharType="begin"/>
      </w:r>
      <w:r>
        <w:instrText>xe "</w:instrText>
      </w:r>
      <w:r>
        <w:rPr>
          <w:rStyle w:val="xeentry"/>
        </w:rPr>
        <w:instrText>know who: contrasted with know that</w:instrText>
      </w:r>
      <w:r>
        <w:instrText>"</w:instrText>
      </w:r>
      <w:r>
        <w:rPr>
          <w:rStyle w:val="indexentry"/>
        </w:rPr>
        <w:fldChar w:fldCharType="end"/>
      </w:r>
      <w:r>
        <w:t xml:space="preserve">In </w:t>
      </w:r>
      <w:r>
        <w:rPr>
          <w:rStyle w:val="htmlcodes"/>
        </w:rPr>
        <w:t>&lt;a href=#e8d3&gt;</w:t>
      </w:r>
      <w:r>
        <w:t>Example 8.3</w:t>
      </w:r>
      <w:r>
        <w:rPr>
          <w:rStyle w:val="htmlcodes"/>
        </w:rPr>
        <w:t>&lt;/a&gt;</w:t>
      </w:r>
      <w:r>
        <w:t>, we have chosen to use “ma” as the word marked by “kau”.</w:t>
      </w:r>
      <w:r>
        <w:rPr>
          <w:rStyle w:val="deletedparamark"/>
        </w:rPr>
        <w:t xml:space="preserve"> </w:t>
      </w:r>
      <w:r>
        <w:t>In fact, any other sumti would have done as well: “zo'e” or “da” or</w:t>
      </w:r>
      <w:r>
        <w:rPr>
          <w:rStyle w:val="deletedparamark"/>
        </w:rPr>
        <w:t xml:space="preserve"> </w:t>
      </w:r>
      <w:r>
        <w:t>even “la djan.”. Using “la djan.” would suggest that it was John who</w:t>
      </w:r>
      <w:r>
        <w:rPr>
          <w:rStyle w:val="deletedparamark"/>
        </w:rPr>
        <w:t xml:space="preserve"> </w:t>
      </w:r>
      <w:r>
        <w:t>I knew had gone to the store, however: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 xml:space="preserve">mi djuno le du'u la djan. kau pu klama </w:t>
      </w:r>
    </w:p>
    <w:p w:rsidR="00B72047" w:rsidRDefault="00B72047">
      <w:pPr>
        <w:pStyle w:val="examplescaled"/>
        <w:ind w:firstLine="576"/>
      </w:pPr>
      <w:r>
        <w:t>le zarci</w:t>
      </w:r>
    </w:p>
    <w:p w:rsidR="00B72047" w:rsidRDefault="00B72047">
      <w:pPr>
        <w:pStyle w:val="examplescaled"/>
      </w:pPr>
      <w:r>
        <w:tab/>
        <w:t xml:space="preserve">I know the predication-of/fact-that John [indirect question] [past] going </w:t>
      </w:r>
    </w:p>
    <w:p w:rsidR="00B72047" w:rsidRDefault="00B72047">
      <w:pPr>
        <w:pStyle w:val="examplescaled"/>
        <w:ind w:firstLine="576"/>
      </w:pPr>
      <w:r>
        <w:t>to the store.</w:t>
      </w:r>
    </w:p>
    <w:p w:rsidR="00B72047" w:rsidRDefault="00B72047">
      <w:pPr>
        <w:pStyle w:val="examplescaled"/>
      </w:pPr>
      <w:r>
        <w:tab/>
        <w:t>I know who went to the store, namely John.</w:t>
      </w:r>
    </w:p>
    <w:p w:rsidR="00B72047" w:rsidRDefault="00B72047">
      <w:pPr>
        <w:pStyle w:val="examplescaled"/>
      </w:pPr>
      <w:r>
        <w:tab/>
        <w:t>I know that it was John who went to the store.</w:t>
      </w:r>
    </w:p>
    <w:p w:rsidR="00B72047" w:rsidRDefault="00B72047">
      <w:pPr>
        <w:pStyle w:val="resumedafterexample"/>
      </w:pPr>
      <w:r>
        <w:rPr>
          <w:rStyle w:val="htmlcodes"/>
        </w:rPr>
        <w:t>&lt;/pre&gt;&lt;p&gt;</w:t>
      </w:r>
      <w:r>
        <w:t>Using one of the indefinite pro-sumti such as “ma”, “zo'e”, or “da” does</w:t>
      </w:r>
      <w:r>
        <w:rPr>
          <w:rStyle w:val="deletedparamark"/>
        </w:rPr>
        <w:t xml:space="preserve"> </w:t>
      </w:r>
      <w:r>
        <w:t>not suggest any particular value.</w:t>
      </w:r>
    </w:p>
    <w:p w:rsidR="00B72047" w:rsidRDefault="00B72047">
      <w:pPr>
        <w:rPr>
          <w:rStyle w:val="htmlparacode"/>
        </w:rPr>
      </w:pPr>
      <w:r>
        <w:rPr>
          <w:rStyle w:val="htmlparacode"/>
        </w:rPr>
        <w:t>&lt;p&gt;</w:t>
      </w:r>
    </w:p>
    <w:p w:rsidR="00B72047" w:rsidRDefault="00B72047">
      <w:pPr>
        <w:pStyle w:val="normalparagraph"/>
      </w:pPr>
      <w:r>
        <w:t>Why does Lojban require the “kau” marker, rather than using “ma” as English</w:t>
      </w:r>
      <w:r>
        <w:rPr>
          <w:rStyle w:val="deletedparamark"/>
        </w:rPr>
        <w:t xml:space="preserve"> </w:t>
      </w:r>
      <w:r>
        <w:t>and Chinese and many other languages do? Be</w:t>
      </w:r>
      <w:r>
        <w:softHyphen/>
        <w:t>cause “ma” always signals a</w:t>
      </w:r>
      <w:r>
        <w:rPr>
          <w:rStyle w:val="deletedparamark"/>
        </w:rPr>
        <w:t xml:space="preserve"> </w:t>
      </w:r>
      <w:r>
        <w:t>direct ques</w:t>
      </w:r>
      <w:r>
        <w:softHyphen/>
        <w:t>tion, and so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mi djuno le du'u ma pu klama le zarci</w:t>
      </w:r>
    </w:p>
    <w:p w:rsidR="00B72047" w:rsidRDefault="00B72047">
      <w:pPr>
        <w:pStyle w:val="examplescaled"/>
      </w:pPr>
      <w:r>
        <w:tab/>
        <w:t>I know the predication-of [what sumti?] [past] goes-to the store</w:t>
      </w:r>
    </w:p>
    <w:p w:rsidR="00B72047" w:rsidRDefault="00B72047">
      <w:pPr>
        <w:pStyle w:val="resumedafterexample"/>
      </w:pPr>
      <w:r>
        <w:rPr>
          <w:rStyle w:val="htmlcodes"/>
        </w:rPr>
        <w:t>&lt;/pre&gt;</w:t>
      </w:r>
      <w:r>
        <w:t>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Who is it that I know goes to the store?</w:t>
      </w:r>
    </w:p>
    <w:p w:rsidR="00B72047" w:rsidRDefault="00B72047">
      <w:pPr>
        <w:pStyle w:val="resumedafterexample"/>
      </w:pPr>
      <w:r>
        <w:rPr>
          <w:rStyle w:val="htmlcodes"/>
        </w:rPr>
        <w:t>&lt;/pre&gt;</w:t>
      </w:r>
      <w:r>
        <w:rPr>
          <w:rStyle w:val="indexentry"/>
        </w:rPr>
        <w:t>&lt;cx "indirect question involving sumti"&gt;</w:t>
      </w:r>
      <w:r>
        <w:rPr>
          <w:rStyle w:val="indexentry"/>
        </w:rPr>
        <w:fldChar w:fldCharType="begin"/>
      </w:r>
      <w:r>
        <w:instrText>xe "</w:instrText>
      </w:r>
      <w:r>
        <w:rPr>
          <w:rStyle w:val="xeentry"/>
        </w:rPr>
        <w:instrText>indirect question involving sumti</w:instrText>
      </w:r>
      <w:r>
        <w:instrText>"</w:instrText>
      </w:r>
      <w:r>
        <w:rPr>
          <w:rStyle w:val="indexentry"/>
        </w:rPr>
        <w:fldChar w:fldCharType="end"/>
      </w:r>
      <w:r>
        <w:rPr>
          <w:rStyle w:val="indexentry"/>
        </w:rPr>
        <w:t>&lt;cx "indirect questions without “kau”"&gt;</w:t>
      </w:r>
      <w:r>
        <w:rPr>
          <w:rStyle w:val="indexentry"/>
        </w:rPr>
        <w:fldChar w:fldCharType="begin"/>
      </w:r>
      <w:r>
        <w:instrText>xe "</w:instrText>
      </w:r>
      <w:r>
        <w:rPr>
          <w:rStyle w:val="xeentry"/>
        </w:rPr>
        <w:instrText>indirect questions without kau</w:instrText>
      </w:r>
      <w:r>
        <w:instrText>"</w:instrText>
      </w:r>
      <w:r>
        <w:rPr>
          <w:rStyle w:val="indexentry"/>
        </w:rPr>
        <w:fldChar w:fldCharType="end"/>
      </w:r>
      <w:r>
        <w:t>It is actually not necessary to use “le du'u” and “kau” at all if the</w:t>
      </w:r>
      <w:r>
        <w:rPr>
          <w:rStyle w:val="deletedparamark"/>
        </w:rPr>
        <w:t xml:space="preserve"> </w:t>
      </w:r>
      <w:r>
        <w:t>indi</w:t>
      </w:r>
      <w:r>
        <w:softHyphen/>
        <w:t>rect question in</w:t>
      </w:r>
      <w:r>
        <w:softHyphen/>
        <w:t>volves a sumti; there is generally a paraphrase of the</w:t>
      </w:r>
      <w:r>
        <w:rPr>
          <w:rStyle w:val="deletedparamark"/>
        </w:rPr>
        <w:t xml:space="preserve"> </w:t>
      </w:r>
      <w:r>
        <w:t>type: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mi djuno fi le pu klama be le zarci</w:t>
      </w:r>
    </w:p>
    <w:p w:rsidR="00B72047" w:rsidRDefault="00B72047">
      <w:pPr>
        <w:pStyle w:val="examplescaled"/>
      </w:pPr>
      <w:r>
        <w:tab/>
        <w:t>I know about the [past] goer to-the store.</w:t>
      </w:r>
    </w:p>
    <w:p w:rsidR="00B72047" w:rsidRDefault="00B72047">
      <w:pPr>
        <w:pStyle w:val="examplescaled"/>
      </w:pPr>
      <w:r>
        <w:tab/>
        <w:t>I know something about the one who went to the store (namely, his</w:t>
      </w:r>
    </w:p>
    <w:p w:rsidR="00B72047" w:rsidRDefault="00B72047">
      <w:pPr>
        <w:pStyle w:val="examplescaled"/>
        <w:ind w:firstLine="576"/>
      </w:pPr>
      <w:r>
        <w:t>identity).</w:t>
      </w:r>
    </w:p>
    <w:p w:rsidR="00B72047" w:rsidRDefault="00B72047">
      <w:pPr>
        <w:pStyle w:val="resumedafterexample"/>
      </w:pPr>
      <w:r>
        <w:rPr>
          <w:rStyle w:val="htmlcodes"/>
        </w:rPr>
        <w:t>&lt;/pre&gt;</w:t>
      </w:r>
      <w:r>
        <w:t>because the x3 place of “djuno” is the subject of knowledge, as op</w:t>
      </w:r>
      <w:r>
        <w:softHyphen/>
        <w:t>posed</w:t>
      </w:r>
      <w:r>
        <w:rPr>
          <w:rStyle w:val="deletedparamark"/>
        </w:rPr>
        <w:t xml:space="preserve"> </w:t>
      </w:r>
      <w:r>
        <w:t>to the fact that is known. But when the questioned point is not a sumti,</w:t>
      </w:r>
      <w:r>
        <w:rPr>
          <w:rStyle w:val="deletedparamark"/>
        </w:rPr>
        <w:t xml:space="preserve"> </w:t>
      </w:r>
      <w:r>
        <w:t>but (say) a logical connection, then there is no good alterna</w:t>
      </w:r>
      <w:r>
        <w:softHyphen/>
        <w:t>tive to “kau”: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t xml:space="preserve">mi ba zgana le du'u la djan. </w:t>
      </w:r>
    </w:p>
    <w:p w:rsidR="00B72047" w:rsidRDefault="00B72047">
      <w:pPr>
        <w:pStyle w:val="examplescaled"/>
        <w:ind w:firstLine="576"/>
      </w:pPr>
      <w:r>
        <w:t>jikau la djordj. cu zvati le panka</w:t>
      </w:r>
    </w:p>
    <w:p w:rsidR="00B72047" w:rsidRDefault="00B72047">
      <w:pPr>
        <w:pStyle w:val="examplescaled"/>
      </w:pPr>
      <w:r>
        <w:tab/>
        <w:t xml:space="preserve">I [future] observe the predication-of/fact-that John </w:t>
      </w:r>
    </w:p>
    <w:p w:rsidR="00B72047" w:rsidRDefault="00B72047">
      <w:pPr>
        <w:pStyle w:val="examplescaled"/>
        <w:ind w:firstLine="576"/>
      </w:pPr>
      <w:r>
        <w:t>[connective indirect question] George is-at the park.</w:t>
      </w:r>
    </w:p>
    <w:p w:rsidR="00B72047" w:rsidRDefault="00B72047">
      <w:pPr>
        <w:pStyle w:val="examplescaled"/>
      </w:pPr>
      <w:r>
        <w:tab/>
        <w:t>I will see whether John or George (or both) is at the park.</w:t>
      </w:r>
    </w:p>
    <w:p w:rsidR="00B72047" w:rsidRDefault="00B72047">
      <w:pPr>
        <w:pStyle w:val="resumedafterexample"/>
      </w:pPr>
      <w:r>
        <w:rPr>
          <w:rStyle w:val="htmlcodes"/>
        </w:rPr>
        <w:t>&lt;/pre&gt;&lt;p&gt;</w:t>
      </w:r>
      <w:r>
        <w:t xml:space="preserve">In addition, </w:t>
      </w:r>
      <w:r>
        <w:rPr>
          <w:rStyle w:val="htmlcodes"/>
        </w:rPr>
        <w:t>&lt;a href=#e8d7&gt;</w:t>
      </w:r>
      <w:r>
        <w:t xml:space="preserve">Example 8.7 </w:t>
      </w:r>
      <w:r>
        <w:rPr>
          <w:rStyle w:val="htmlcodes"/>
        </w:rPr>
        <w:t>&lt;/a&gt;</w:t>
      </w:r>
      <w:r>
        <w:t xml:space="preserve">is only a loose paraphrase of </w:t>
      </w:r>
      <w:r>
        <w:rPr>
          <w:rStyle w:val="htmlcodes"/>
        </w:rPr>
        <w:t>&lt;a href=#e8d3&gt;</w:t>
      </w:r>
      <w:r>
        <w:t>Example 8.3</w:t>
      </w:r>
      <w:r>
        <w:rPr>
          <w:rStyle w:val="htmlcodes"/>
        </w:rPr>
        <w:t>&lt;/a&gt;</w:t>
      </w:r>
      <w:r>
        <w:t>, because</w:t>
      </w:r>
      <w:r>
        <w:rPr>
          <w:rStyle w:val="deletedparamark"/>
        </w:rPr>
        <w:t xml:space="preserve"> </w:t>
      </w:r>
      <w:r>
        <w:t>it is left to the listener's insight to realize that what is known about</w:t>
      </w:r>
      <w:r>
        <w:rPr>
          <w:rStyle w:val="deletedparamark"/>
        </w:rPr>
        <w:t xml:space="preserve"> </w:t>
      </w:r>
      <w:r>
        <w:t>the goer-to-the-store is his ide</w:t>
      </w:r>
      <w:r>
        <w:t>n</w:t>
      </w:r>
      <w:r>
        <w:softHyphen/>
        <w:t>tity rather than some other of his</w:t>
      </w:r>
      <w:r>
        <w:rPr>
          <w:rStyle w:val="deletedparamark"/>
        </w:rPr>
        <w:t xml:space="preserve"> </w:t>
      </w:r>
      <w:r>
        <w:t>attributes.</w:t>
      </w:r>
    </w:p>
    <w:p w:rsidR="00B72047" w:rsidRDefault="00B72047">
      <w:pPr>
        <w:rPr>
          <w:rStyle w:val="htmlparacode"/>
        </w:rPr>
      </w:pPr>
      <w:r>
        <w:rPr>
          <w:rStyle w:val="htmlparacode"/>
        </w:rPr>
        <w:t>&lt;p&gt;</w:t>
      </w:r>
    </w:p>
    <w:p w:rsidR="00B72047" w:rsidRDefault="00B72047">
      <w:pPr>
        <w:pStyle w:val="Heading3"/>
        <w:rPr>
          <w:rStyle w:val="Heading3Text"/>
        </w:rPr>
      </w:pPr>
      <w:bookmarkStart w:id="369" w:name="_Toc398970613"/>
      <w:r>
        <w:rPr>
          <w:rStyle w:val="Heading3Text"/>
        </w:rPr>
        <w:t>Minor abstraction types</w:t>
      </w:r>
      <w:bookmarkEnd w:id="369"/>
      <w:r>
        <w:rPr>
          <w:rStyle w:val="htmlcodes"/>
        </w:rPr>
        <w:t>&lt;/h3&gt;</w:t>
      </w:r>
    </w:p>
    <w:p w:rsidR="00B72047" w:rsidRDefault="00B72047">
      <w:pPr>
        <w:rPr>
          <w:rStyle w:val="htmlparacode"/>
        </w:rPr>
      </w:pPr>
      <w:r>
        <w:rPr>
          <w:rStyle w:val="htmlparacode"/>
        </w:rPr>
        <w:t>&lt;p&gt;</w:t>
      </w:r>
      <w:r>
        <w:rPr>
          <w:rStyle w:val="indexentry"/>
        </w:rPr>
        <w:t>&lt;cx "abstraction types"&gt;</w:t>
      </w:r>
      <w:r>
        <w:rPr>
          <w:rStyle w:val="indexentry"/>
        </w:rPr>
        <w:fldChar w:fldCharType="begin"/>
      </w:r>
      <w:r>
        <w:instrText>xe "</w:instrText>
      </w:r>
      <w:r>
        <w:rPr>
          <w:rStyle w:val="xeentry"/>
        </w:rPr>
        <w:instrText>abstraction(s): types</w:instrText>
      </w:r>
      <w:r>
        <w:instrText>"</w:instrText>
      </w:r>
      <w:r>
        <w:rPr>
          <w:rStyle w:val="indexentry"/>
        </w:rPr>
        <w:fldChar w:fldCharType="end"/>
      </w:r>
      <w:r>
        <w:rPr>
          <w:rStyle w:val="htmlcodes"/>
        </w:rPr>
        <w:t>&lt;a name=s9&gt;&lt;h3&gt;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li'i</w:t>
      </w:r>
      <w:r>
        <w:tab/>
        <w:t>NU</w:t>
      </w:r>
      <w:r>
        <w:tab/>
        <w:t>experience abstractor</w:t>
      </w:r>
    </w:p>
    <w:p w:rsidR="00B72047" w:rsidRDefault="00B72047">
      <w:pPr>
        <w:pStyle w:val="examplescaled"/>
      </w:pPr>
      <w:r>
        <w:tab/>
        <w:t>si'o</w:t>
      </w:r>
      <w:r>
        <w:tab/>
        <w:t>NU</w:t>
      </w:r>
      <w:r>
        <w:tab/>
        <w:t>concept abstractor</w:t>
      </w:r>
    </w:p>
    <w:p w:rsidR="00B72047" w:rsidRDefault="00B72047">
      <w:pPr>
        <w:pStyle w:val="examplescaled"/>
      </w:pPr>
      <w:r>
        <w:tab/>
        <w:t>su'u</w:t>
      </w:r>
      <w:r>
        <w:tab/>
        <w:t>NU</w:t>
      </w:r>
      <w:r>
        <w:tab/>
        <w:t>general abstractor</w:t>
      </w:r>
    </w:p>
    <w:p w:rsidR="00B72047" w:rsidRDefault="00B72047">
      <w:pPr>
        <w:pStyle w:val="normalafterexample"/>
      </w:pPr>
      <w:r>
        <w:rPr>
          <w:rStyle w:val="htmlcodes"/>
        </w:rPr>
        <w:t>&lt;/pre&gt;</w:t>
      </w:r>
      <w:r>
        <w:rPr>
          <w:rStyle w:val="indexentry"/>
        </w:rPr>
        <w:t>&lt;cx "experience abstractor"&gt;</w:t>
      </w:r>
      <w:r>
        <w:rPr>
          <w:rStyle w:val="indexentry"/>
        </w:rPr>
        <w:fldChar w:fldCharType="begin"/>
      </w:r>
      <w:r>
        <w:instrText>xe "</w:instrText>
      </w:r>
      <w:r>
        <w:rPr>
          <w:rStyle w:val="xeentry"/>
        </w:rPr>
        <w:instrText>experience abstractor</w:instrText>
      </w:r>
      <w:r>
        <w:instrText>"</w:instrText>
      </w:r>
      <w:r>
        <w:rPr>
          <w:rStyle w:val="indexentry"/>
        </w:rPr>
        <w:fldChar w:fldCharType="end"/>
      </w:r>
      <w:r>
        <w:rPr>
          <w:rStyle w:val="indexentry"/>
        </w:rPr>
        <w:t>&lt;cx "experience abstraction"&gt;</w:t>
      </w:r>
      <w:r>
        <w:rPr>
          <w:rStyle w:val="indexentry"/>
        </w:rPr>
        <w:fldChar w:fldCharType="begin"/>
      </w:r>
      <w:r>
        <w:instrText>xe "</w:instrText>
      </w:r>
      <w:r>
        <w:rPr>
          <w:rStyle w:val="xeentry"/>
        </w:rPr>
        <w:instrText>experience abstraction</w:instrText>
      </w:r>
      <w:r>
        <w:instrText>"</w:instrText>
      </w:r>
      <w:r>
        <w:rPr>
          <w:rStyle w:val="indexentry"/>
        </w:rPr>
        <w:fldChar w:fldCharType="end"/>
      </w:r>
      <w:r>
        <w:rPr>
          <w:rStyle w:val="indexentry"/>
        </w:rPr>
        <w:t>&lt;cx "abstraction, experience"&gt;</w:t>
      </w:r>
      <w:r>
        <w:rPr>
          <w:rStyle w:val="indexentry"/>
        </w:rPr>
        <w:fldChar w:fldCharType="begin"/>
      </w:r>
      <w:r>
        <w:instrText>xe "</w:instrText>
      </w:r>
      <w:r>
        <w:rPr>
          <w:rStyle w:val="xeentry"/>
        </w:rPr>
        <w:instrText>abstraction(s): experience</w:instrText>
      </w:r>
      <w:r>
        <w:instrText>"</w:instrText>
      </w:r>
      <w:r>
        <w:rPr>
          <w:rStyle w:val="indexentry"/>
        </w:rPr>
        <w:fldChar w:fldCharType="end"/>
      </w:r>
      <w:r>
        <w:rPr>
          <w:rStyle w:val="indexentry"/>
        </w:rPr>
        <w:t>&lt;lx "li'i"&gt;</w:t>
      </w:r>
      <w:r>
        <w:rPr>
          <w:rStyle w:val="indexentry"/>
        </w:rPr>
        <w:fldChar w:fldCharType="begin"/>
      </w:r>
      <w:r>
        <w:instrText>xe "</w:instrText>
      </w:r>
      <w:r>
        <w:rPr>
          <w:rStyle w:val="xeentry"/>
        </w:rPr>
        <w:instrText>li'i</w:instrText>
      </w:r>
      <w:r>
        <w:instrText>"</w:instrText>
      </w:r>
      <w:r>
        <w:rPr>
          <w:rStyle w:val="indexentry"/>
        </w:rPr>
        <w:fldChar w:fldCharType="end"/>
      </w:r>
      <w:r>
        <w:t>There are three more abstractors in Lojban, all of them little used so far.</w:t>
      </w:r>
      <w:r>
        <w:rPr>
          <w:rStyle w:val="deletedparamark"/>
        </w:rPr>
        <w:t xml:space="preserve"> </w:t>
      </w:r>
      <w:r>
        <w:t>The a</w:t>
      </w:r>
      <w:r>
        <w:t>b</w:t>
      </w:r>
      <w:r>
        <w:softHyphen/>
        <w:t>stractor “li'i” expresses experience: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mi morji le li'i mi verba</w:t>
      </w:r>
    </w:p>
    <w:p w:rsidR="00B72047" w:rsidRDefault="00B72047">
      <w:pPr>
        <w:pStyle w:val="examplescaled"/>
      </w:pPr>
      <w:r>
        <w:tab/>
        <w:t>I remember the experience-of (my being-a-child)</w:t>
      </w:r>
    </w:p>
    <w:p w:rsidR="00B72047" w:rsidRDefault="00B72047">
      <w:pPr>
        <w:pStyle w:val="normalafterexample"/>
      </w:pPr>
      <w:r>
        <w:rPr>
          <w:rStyle w:val="htmlcodes"/>
        </w:rPr>
        <w:t>&lt;/pre&gt;</w:t>
      </w:r>
      <w:r>
        <w:rPr>
          <w:rStyle w:val="indexentry"/>
        </w:rPr>
        <w:t>&lt;cx "concept abstractor"&gt;</w:t>
      </w:r>
      <w:r>
        <w:rPr>
          <w:rStyle w:val="indexentry"/>
        </w:rPr>
        <w:fldChar w:fldCharType="begin"/>
      </w:r>
      <w:r>
        <w:instrText>xe "</w:instrText>
      </w:r>
      <w:r>
        <w:rPr>
          <w:rStyle w:val="xeentry"/>
        </w:rPr>
        <w:instrText>concept abstractor</w:instrText>
      </w:r>
      <w:r>
        <w:instrText>"</w:instrText>
      </w:r>
      <w:r>
        <w:rPr>
          <w:rStyle w:val="indexentry"/>
        </w:rPr>
        <w:fldChar w:fldCharType="end"/>
      </w:r>
      <w:r>
        <w:rPr>
          <w:rStyle w:val="indexentry"/>
        </w:rPr>
        <w:t>&lt;cx "idea abstraction"&gt;</w:t>
      </w:r>
      <w:r>
        <w:rPr>
          <w:rStyle w:val="indexentry"/>
        </w:rPr>
        <w:fldChar w:fldCharType="begin"/>
      </w:r>
      <w:r>
        <w:instrText>xe "</w:instrText>
      </w:r>
      <w:r>
        <w:rPr>
          <w:rStyle w:val="xeentry"/>
        </w:rPr>
        <w:instrText>idea abstraction</w:instrText>
      </w:r>
      <w:r>
        <w:instrText>"</w:instrText>
      </w:r>
      <w:r>
        <w:rPr>
          <w:rStyle w:val="indexentry"/>
        </w:rPr>
        <w:fldChar w:fldCharType="end"/>
      </w:r>
      <w:r>
        <w:rPr>
          <w:rStyle w:val="indexentry"/>
        </w:rPr>
        <w:t>&lt;cx "concept abstraction"&gt;</w:t>
      </w:r>
      <w:r>
        <w:rPr>
          <w:rStyle w:val="indexentry"/>
        </w:rPr>
        <w:fldChar w:fldCharType="begin"/>
      </w:r>
      <w:r>
        <w:instrText>xe "</w:instrText>
      </w:r>
      <w:r>
        <w:rPr>
          <w:rStyle w:val="xeentry"/>
        </w:rPr>
        <w:instrText>concept abstraction</w:instrText>
      </w:r>
      <w:r>
        <w:instrText>"</w:instrText>
      </w:r>
      <w:r>
        <w:rPr>
          <w:rStyle w:val="indexentry"/>
        </w:rPr>
        <w:fldChar w:fldCharType="end"/>
      </w:r>
      <w:r>
        <w:rPr>
          <w:rStyle w:val="indexentry"/>
        </w:rPr>
        <w:t>&lt;cx "abstraction, idea"&gt;</w:t>
      </w:r>
      <w:r>
        <w:rPr>
          <w:rStyle w:val="indexentry"/>
        </w:rPr>
        <w:fldChar w:fldCharType="begin"/>
      </w:r>
      <w:r>
        <w:instrText>xe "</w:instrText>
      </w:r>
      <w:r>
        <w:rPr>
          <w:rStyle w:val="xeentry"/>
        </w:rPr>
        <w:instrText>abstraction(s): idea</w:instrText>
      </w:r>
      <w:r>
        <w:instrText>"</w:instrText>
      </w:r>
      <w:r>
        <w:rPr>
          <w:rStyle w:val="indexentry"/>
        </w:rPr>
        <w:fldChar w:fldCharType="end"/>
      </w:r>
      <w:r>
        <w:rPr>
          <w:rStyle w:val="indexentry"/>
        </w:rPr>
        <w:t>&lt;cx "abstraction, concept"&gt;</w:t>
      </w:r>
      <w:r>
        <w:rPr>
          <w:rStyle w:val="indexentry"/>
        </w:rPr>
        <w:fldChar w:fldCharType="begin"/>
      </w:r>
      <w:r>
        <w:instrText>xe "</w:instrText>
      </w:r>
      <w:r>
        <w:rPr>
          <w:rStyle w:val="xeentry"/>
        </w:rPr>
        <w:instrText>abstraction(s): concept</w:instrText>
      </w:r>
      <w:r>
        <w:instrText>"</w:instrText>
      </w:r>
      <w:r>
        <w:rPr>
          <w:rStyle w:val="indexentry"/>
        </w:rPr>
        <w:fldChar w:fldCharType="end"/>
      </w:r>
      <w:r>
        <w:rPr>
          <w:rStyle w:val="indexentry"/>
        </w:rPr>
        <w:t>&lt;lx "si'o"&gt;</w:t>
      </w:r>
      <w:r>
        <w:rPr>
          <w:rStyle w:val="indexentry"/>
        </w:rPr>
        <w:fldChar w:fldCharType="begin"/>
      </w:r>
      <w:r>
        <w:instrText>xe "</w:instrText>
      </w:r>
      <w:r>
        <w:rPr>
          <w:rStyle w:val="xeentry"/>
        </w:rPr>
        <w:instrText>si'o</w:instrText>
      </w:r>
      <w:r>
        <w:instrText>"</w:instrText>
      </w:r>
      <w:r>
        <w:rPr>
          <w:rStyle w:val="indexentry"/>
        </w:rPr>
        <w:fldChar w:fldCharType="end"/>
      </w:r>
      <w:r>
        <w:t>The abstractor “si'o” expresses a mental image, a concept, an idea: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mi nelci le si'o la lojban. cu mulno</w:t>
      </w:r>
    </w:p>
    <w:p w:rsidR="00B72047" w:rsidRDefault="00B72047">
      <w:pPr>
        <w:pStyle w:val="examplescaled"/>
      </w:pPr>
      <w:r>
        <w:tab/>
        <w:t>I enjoy the concept-of Lojban being-complete.</w:t>
      </w:r>
    </w:p>
    <w:p w:rsidR="00B72047" w:rsidRDefault="00B72047">
      <w:pPr>
        <w:pStyle w:val="normalafterexample"/>
      </w:pPr>
      <w:r>
        <w:rPr>
          <w:rStyle w:val="htmlcodes"/>
        </w:rPr>
        <w:t>&lt;/pre&gt;</w:t>
      </w:r>
      <w:r>
        <w:rPr>
          <w:rStyle w:val="indexentry"/>
        </w:rPr>
        <w:t>&lt;cx "vague abstractor"&gt;</w:t>
      </w:r>
      <w:r>
        <w:rPr>
          <w:rStyle w:val="indexentry"/>
        </w:rPr>
        <w:fldChar w:fldCharType="begin"/>
      </w:r>
      <w:r>
        <w:instrText>xe "</w:instrText>
      </w:r>
      <w:r>
        <w:rPr>
          <w:rStyle w:val="xeentry"/>
        </w:rPr>
        <w:instrText>vague abstractor</w:instrText>
      </w:r>
      <w:r>
        <w:instrText>"</w:instrText>
      </w:r>
      <w:r>
        <w:rPr>
          <w:rStyle w:val="indexentry"/>
        </w:rPr>
        <w:fldChar w:fldCharType="end"/>
      </w:r>
      <w:r>
        <w:rPr>
          <w:rStyle w:val="indexentry"/>
        </w:rPr>
        <w:t>&lt;cx "vague abstraction"&gt;</w:t>
      </w:r>
      <w:r>
        <w:rPr>
          <w:rStyle w:val="indexentry"/>
        </w:rPr>
        <w:fldChar w:fldCharType="begin"/>
      </w:r>
      <w:r>
        <w:instrText>xe "</w:instrText>
      </w:r>
      <w:r>
        <w:rPr>
          <w:rStyle w:val="xeentry"/>
        </w:rPr>
        <w:instrText>vague abstraction</w:instrText>
      </w:r>
      <w:r>
        <w:instrText>"</w:instrText>
      </w:r>
      <w:r>
        <w:rPr>
          <w:rStyle w:val="indexentry"/>
        </w:rPr>
        <w:fldChar w:fldCharType="end"/>
      </w:r>
      <w:r>
        <w:rPr>
          <w:rStyle w:val="indexentry"/>
        </w:rPr>
        <w:t>&lt;cx "abstraction, vague"&gt;</w:t>
      </w:r>
      <w:r>
        <w:rPr>
          <w:rStyle w:val="indexentry"/>
        </w:rPr>
        <w:fldChar w:fldCharType="begin"/>
      </w:r>
      <w:r>
        <w:instrText>xe "</w:instrText>
      </w:r>
      <w:r>
        <w:rPr>
          <w:rStyle w:val="xeentry"/>
        </w:rPr>
        <w:instrText>abstraction(s): vague</w:instrText>
      </w:r>
      <w:r>
        <w:instrText>"</w:instrText>
      </w:r>
      <w:r>
        <w:rPr>
          <w:rStyle w:val="indexentry"/>
        </w:rPr>
        <w:fldChar w:fldCharType="end"/>
      </w:r>
      <w:r>
        <w:rPr>
          <w:rStyle w:val="indexentry"/>
        </w:rPr>
        <w:t>&lt;lx "su'u"&gt;</w:t>
      </w:r>
      <w:r>
        <w:rPr>
          <w:rStyle w:val="indexentry"/>
        </w:rPr>
        <w:fldChar w:fldCharType="begin"/>
      </w:r>
      <w:r>
        <w:instrText>xe "</w:instrText>
      </w:r>
      <w:r>
        <w:rPr>
          <w:rStyle w:val="xeentry"/>
        </w:rPr>
        <w:instrText>su'u</w:instrText>
      </w:r>
      <w:r>
        <w:instrText>"</w:instrText>
      </w:r>
      <w:r>
        <w:rPr>
          <w:rStyle w:val="indexentry"/>
        </w:rPr>
        <w:fldChar w:fldCharType="end"/>
      </w:r>
      <w:r>
        <w:t>Finally, the abstractor “su'u” is a vague abstractor, whose meaning must</w:t>
      </w:r>
      <w:r>
        <w:rPr>
          <w:rStyle w:val="deletedparamark"/>
        </w:rPr>
        <w:t xml:space="preserve"> </w:t>
      </w:r>
      <w:r>
        <w:t>be grasped from context:</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"mice: example"</w:instrText>
      </w:r>
      <w:r>
        <w:rPr>
          <w:rStyle w:val="xeentry"/>
        </w:rPr>
        <w:fldChar w:fldCharType="end"/>
      </w:r>
      <w:r>
        <w:rPr>
          <w:rStyle w:val="htmlcodes"/>
        </w:rPr>
        <w:t>&lt;pre&gt;&lt;a name=e9d3&gt;</w:t>
      </w:r>
      <w:r>
        <w:t>9.3)</w:t>
      </w:r>
      <w:r>
        <w:tab/>
        <w:t>ko zgana le su'u le ci smacu cu bajra</w:t>
      </w:r>
    </w:p>
    <w:p w:rsidR="00B72047" w:rsidRDefault="00B72047">
      <w:pPr>
        <w:pStyle w:val="examplescaled"/>
      </w:pPr>
      <w:r>
        <w:tab/>
        <w:t>You [imperative] observe the abstract-nature-of the three mice running</w:t>
      </w:r>
    </w:p>
    <w:p w:rsidR="00B72047" w:rsidRDefault="00B72047">
      <w:pPr>
        <w:pStyle w:val="examplescaled"/>
      </w:pPr>
      <w:r>
        <w:tab/>
        <w:t>See how the three mice run!</w:t>
      </w:r>
    </w:p>
    <w:p w:rsidR="00B72047" w:rsidRDefault="00B72047">
      <w:pPr>
        <w:pStyle w:val="normalafterexample"/>
      </w:pPr>
      <w:r>
        <w:rPr>
          <w:rStyle w:val="htmlcodes"/>
        </w:rPr>
        <w:t>&lt;/pre&gt;</w:t>
      </w:r>
      <w:r>
        <w:rPr>
          <w:rStyle w:val="indexentry"/>
        </w:rPr>
        <w:t>&lt;cx "experience abstraction, place structure"&gt;</w:t>
      </w:r>
      <w:r>
        <w:rPr>
          <w:rStyle w:val="indexentry"/>
        </w:rPr>
        <w:fldChar w:fldCharType="begin"/>
      </w:r>
      <w:r>
        <w:instrText>xe "</w:instrText>
      </w:r>
      <w:r>
        <w:rPr>
          <w:rStyle w:val="xeentry"/>
        </w:rPr>
        <w:instrText>experience abstraction(s): place structure</w:instrText>
      </w:r>
      <w:r>
        <w:instrText>"</w:instrText>
      </w:r>
      <w:r>
        <w:rPr>
          <w:rStyle w:val="indexentry"/>
        </w:rPr>
        <w:fldChar w:fldCharType="end"/>
      </w:r>
      <w:r>
        <w:t>All three of these abstractors have an x2 place. An experi</w:t>
      </w:r>
      <w:r>
        <w:softHyphen/>
        <w:t>ence requires</w:t>
      </w:r>
      <w:r>
        <w:rPr>
          <w:rStyle w:val="deletedparamark"/>
        </w:rPr>
        <w:t xml:space="preserve"> </w:t>
      </w:r>
      <w:r>
        <w:t>an ex</w:t>
      </w:r>
      <w:r>
        <w:softHyphen/>
        <w:t>peri</w:t>
      </w:r>
      <w:r>
        <w:softHyphen/>
        <w:t>encer, so the place structure of “li'i”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li’i:  </w:t>
      </w:r>
      <w:r>
        <w:rPr>
          <w:rStyle w:val="htmlcodes"/>
        </w:rPr>
        <w:t>&lt;dd&gt;</w:t>
      </w:r>
      <w:r>
        <w:t>x1 is the experience of (the bridi) as experienced by x2</w:t>
      </w:r>
    </w:p>
    <w:p w:rsidR="00B72047" w:rsidRDefault="00B72047">
      <w:pPr>
        <w:pStyle w:val="resumedafterexample"/>
      </w:pPr>
      <w:r>
        <w:rPr>
          <w:rStyle w:val="htmlcodes"/>
        </w:rPr>
        <w:t>&lt;/dl&gt;</w:t>
      </w:r>
      <w:r>
        <w:rPr>
          <w:rStyle w:val="indexentry"/>
        </w:rPr>
        <w:t>&lt;cx "concept abstraction, place structure"&gt;</w:t>
      </w:r>
      <w:r>
        <w:rPr>
          <w:rStyle w:val="indexentry"/>
        </w:rPr>
        <w:fldChar w:fldCharType="begin"/>
      </w:r>
      <w:r>
        <w:instrText>xe "</w:instrText>
      </w:r>
      <w:r>
        <w:rPr>
          <w:rStyle w:val="xeentry"/>
        </w:rPr>
        <w:instrText>concept abstraction(s): place structure</w:instrText>
      </w:r>
      <w:r>
        <w:instrText>"</w:instrText>
      </w:r>
      <w:r>
        <w:rPr>
          <w:rStyle w:val="indexentry"/>
        </w:rPr>
        <w:fldChar w:fldCharType="end"/>
      </w:r>
      <w:r>
        <w:rPr>
          <w:rStyle w:val="indexentry"/>
        </w:rPr>
        <w:t>&lt;cx "idea abstraction, place structure"&gt;</w:t>
      </w:r>
      <w:r>
        <w:rPr>
          <w:rStyle w:val="indexentry"/>
        </w:rPr>
        <w:fldChar w:fldCharType="begin"/>
      </w:r>
      <w:r>
        <w:instrText>xe "</w:instrText>
      </w:r>
      <w:r>
        <w:rPr>
          <w:rStyle w:val="xeentry"/>
        </w:rPr>
        <w:instrText>idea abstraction(s): place structure</w:instrText>
      </w:r>
      <w:r>
        <w:instrText>"</w:instrText>
      </w:r>
      <w:r>
        <w:rPr>
          <w:rStyle w:val="indexentry"/>
        </w:rPr>
        <w:fldChar w:fldCharType="end"/>
      </w:r>
      <w:r>
        <w:t>Similarly, an idea requires a mind to hold it, so the place structure of</w:t>
      </w:r>
      <w:r>
        <w:rPr>
          <w:rStyle w:val="deletedparamark"/>
        </w:rPr>
        <w:t xml:space="preserve"> “</w:t>
      </w:r>
      <w:r>
        <w:t>si'o”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si’o:  </w:t>
      </w:r>
      <w:r>
        <w:rPr>
          <w:rStyle w:val="htmlcodes"/>
        </w:rPr>
        <w:t>&lt;dd&gt;</w:t>
      </w:r>
      <w:r>
        <w:t>x1 is the idea/concept of (the bridi) in the mind of x2</w:t>
      </w:r>
    </w:p>
    <w:p w:rsidR="00B72047" w:rsidRDefault="00B72047">
      <w:pPr>
        <w:pStyle w:val="resumedafterexample"/>
      </w:pPr>
      <w:r>
        <w:rPr>
          <w:rStyle w:val="htmlcodes"/>
        </w:rPr>
        <w:t>&lt;/dl&gt;</w:t>
      </w:r>
      <w:r>
        <w:rPr>
          <w:rStyle w:val="indexentry"/>
        </w:rPr>
        <w:t>&lt;cx "vague abstraction, place structure"&gt;</w:t>
      </w:r>
      <w:r>
        <w:rPr>
          <w:rStyle w:val="indexentry"/>
        </w:rPr>
        <w:fldChar w:fldCharType="begin"/>
      </w:r>
      <w:r>
        <w:instrText>xe "</w:instrText>
      </w:r>
      <w:r>
        <w:rPr>
          <w:rStyle w:val="xeentry"/>
        </w:rPr>
        <w:instrText>vague abstraction(s): place structure</w:instrText>
      </w:r>
      <w:r>
        <w:instrText>"</w:instrText>
      </w:r>
      <w:r>
        <w:rPr>
          <w:rStyle w:val="indexentry"/>
        </w:rPr>
        <w:fldChar w:fldCharType="end"/>
      </w:r>
      <w:r>
        <w:t>Finally, there needs to be some way of specifying just what sort of</w:t>
      </w:r>
      <w:r>
        <w:rPr>
          <w:rStyle w:val="deletedparamark"/>
        </w:rPr>
        <w:t xml:space="preserve"> </w:t>
      </w:r>
      <w:r>
        <w:t>abstraction “su'u” is representing, so its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su’u:  </w:t>
      </w:r>
      <w:r>
        <w:rPr>
          <w:rStyle w:val="htmlcodes"/>
        </w:rPr>
        <w:t>&lt;dd&gt;</w:t>
      </w:r>
      <w:r>
        <w:t>x1 is an abstract nature of (the bridi) of type x2</w:t>
      </w:r>
    </w:p>
    <w:p w:rsidR="00B72047" w:rsidRDefault="00B72047">
      <w:pPr>
        <w:pStyle w:val="resumedafterexample"/>
      </w:pPr>
      <w:r>
        <w:rPr>
          <w:rStyle w:val="htmlcodes"/>
        </w:rPr>
        <w:t>&lt;/dl&gt;</w:t>
      </w:r>
      <w:r>
        <w:rPr>
          <w:rStyle w:val="indexentry"/>
        </w:rPr>
        <w:t>&lt;cx "template"&gt;</w:t>
      </w:r>
      <w:r>
        <w:rPr>
          <w:rStyle w:val="indexentry"/>
        </w:rPr>
        <w:fldChar w:fldCharType="begin"/>
      </w:r>
      <w:r>
        <w:instrText>xe "</w:instrText>
      </w:r>
      <w:r>
        <w:rPr>
          <w:rStyle w:val="xeentry"/>
        </w:rPr>
        <w:instrText>template</w:instrText>
      </w:r>
      <w:r>
        <w:instrText>"</w:instrText>
      </w:r>
      <w:r>
        <w:rPr>
          <w:rStyle w:val="indexentry"/>
        </w:rPr>
        <w:fldChar w:fldCharType="end"/>
      </w:r>
      <w:r>
        <w:rPr>
          <w:rStyle w:val="indexentry"/>
        </w:rPr>
        <w:t>&lt;cx "abstraction, creating new types"&gt;</w:t>
      </w:r>
      <w:r>
        <w:rPr>
          <w:rStyle w:val="indexentry"/>
        </w:rPr>
        <w:fldChar w:fldCharType="begin"/>
      </w:r>
      <w:r>
        <w:instrText>xe "</w:instrText>
      </w:r>
      <w:r>
        <w:rPr>
          <w:rStyle w:val="xeentry"/>
        </w:rPr>
        <w:instrText>abstraction(s): creating new types</w:instrText>
      </w:r>
      <w:r>
        <w:instrText>"</w:instrText>
      </w:r>
      <w:r>
        <w:rPr>
          <w:rStyle w:val="indexentry"/>
        </w:rPr>
        <w:fldChar w:fldCharType="end"/>
      </w:r>
      <w:r>
        <w:t>The x2 place of “su'u” allows it to serve as a substitute for any of</w:t>
      </w:r>
      <w:r>
        <w:rPr>
          <w:rStyle w:val="deletedparamark"/>
        </w:rPr>
        <w:t xml:space="preserve"> </w:t>
      </w:r>
      <w:r>
        <w:t>the other abstractors, or as a template for creating new ones. For</w:t>
      </w:r>
      <w:r>
        <w:rPr>
          <w:rStyle w:val="deletedparamark"/>
        </w:rPr>
        <w:t xml:space="preserve"> </w:t>
      </w:r>
      <w:r>
        <w:t>exam</w:t>
      </w:r>
      <w:r>
        <w:softHyphen/>
        <w:t>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le nu mi klama</w:t>
      </w:r>
    </w:p>
    <w:p w:rsidR="00B72047" w:rsidRDefault="00B72047">
      <w:pPr>
        <w:pStyle w:val="examplescaled"/>
      </w:pPr>
      <w:r>
        <w:tab/>
        <w:t>the event-of my going</w:t>
      </w:r>
    </w:p>
    <w:p w:rsidR="00B72047" w:rsidRDefault="00B72047">
      <w:pPr>
        <w:pStyle w:val="resumedafterexample"/>
      </w:pPr>
      <w:r>
        <w:rPr>
          <w:rStyle w:val="htmlcodes"/>
        </w:rPr>
        <w:t>&lt;/pre&gt;</w:t>
      </w:r>
      <w:r>
        <w:t>can be paraphrased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le su'u mi klama kei be lo fasnu</w:t>
      </w:r>
    </w:p>
    <w:p w:rsidR="00B72047" w:rsidRDefault="00B72047">
      <w:pPr>
        <w:pStyle w:val="examplescaled"/>
      </w:pPr>
      <w:r>
        <w:tab/>
        <w:t>the abstract-nature-of (my going) of-type an event</w:t>
      </w:r>
    </w:p>
    <w:p w:rsidR="00B72047" w:rsidRDefault="00B72047">
      <w:pPr>
        <w:pStyle w:val="resumedafterexample"/>
      </w:pPr>
      <w:r>
        <w:rPr>
          <w:rStyle w:val="htmlcodes"/>
        </w:rPr>
        <w:t>&lt;/pre&gt;</w:t>
      </w:r>
      <w:r>
        <w:t>and there is a book whose title might be rendered in Lojban as:</w:t>
      </w:r>
    </w:p>
    <w:p w:rsidR="00B72047" w:rsidRDefault="00B72047">
      <w:pPr>
        <w:rPr>
          <w:rStyle w:val="htmlparacode"/>
        </w:rPr>
      </w:pPr>
      <w:r>
        <w:rPr>
          <w:rStyle w:val="htmlparacode"/>
        </w:rPr>
        <w:t>&lt;p&gt;</w:t>
      </w:r>
    </w:p>
    <w:p w:rsidR="00B72047" w:rsidRDefault="00B72047">
      <w:pPr>
        <w:pStyle w:val="examplescaledpre"/>
      </w:pPr>
      <w:r>
        <w:rPr>
          <w:rStyle w:val="indexentry"/>
        </w:rPr>
        <w:t>&lt;cx "Jesus"&gt;</w:t>
      </w:r>
      <w:r>
        <w:rPr>
          <w:rStyle w:val="indexentry"/>
        </w:rPr>
        <w:fldChar w:fldCharType="begin"/>
      </w:r>
      <w:r>
        <w:instrText>xe "</w:instrText>
      </w:r>
      <w:r>
        <w:rPr>
          <w:rStyle w:val="xeentry"/>
        </w:rPr>
        <w:instrText>Jesus</w:instrText>
      </w:r>
      <w:r>
        <w:instrText>"</w:instrText>
      </w:r>
      <w:r>
        <w:rPr>
          <w:rStyle w:val="indexentry"/>
        </w:rPr>
        <w:fldChar w:fldCharType="end"/>
      </w:r>
      <w:r>
        <w:rPr>
          <w:rStyle w:val="indexentry"/>
        </w:rPr>
        <w:t>&lt;cx "intersect"&gt;</w:t>
      </w:r>
      <w:r>
        <w:rPr>
          <w:rStyle w:val="indexentry"/>
        </w:rPr>
        <w:fldChar w:fldCharType="begin"/>
      </w:r>
      <w:r>
        <w:instrText>xe "</w:instrText>
      </w:r>
      <w:r>
        <w:rPr>
          <w:rStyle w:val="xeentry"/>
        </w:rPr>
        <w:instrText>intersect</w:instrText>
      </w:r>
      <w:r>
        <w:instrText>"</w:instrText>
      </w:r>
      <w:r>
        <w:rPr>
          <w:rStyle w:val="indexentry"/>
        </w:rPr>
        <w:fldChar w:fldCharType="end"/>
      </w:r>
      <w:r>
        <w:rPr>
          <w:rStyle w:val="indexentry"/>
        </w:rPr>
        <w:t>&lt;ex "Jesus"&gt;</w:t>
      </w:r>
      <w:r>
        <w:rPr>
          <w:rStyle w:val="indexentry"/>
        </w:rPr>
        <w:fldChar w:fldCharType="begin"/>
      </w:r>
      <w:r>
        <w:instrText>xe "</w:instrText>
      </w:r>
      <w:r>
        <w:rPr>
          <w:rStyle w:val="xeentry"/>
        </w:rPr>
        <w:instrText>Jesus: example</w:instrText>
      </w:r>
      <w:r>
        <w:instrText>"</w:instrText>
      </w:r>
      <w:r>
        <w:rPr>
          <w:rStyle w:val="indexentry"/>
        </w:rPr>
        <w:fldChar w:fldCharType="end"/>
      </w:r>
      <w:r>
        <w:rPr>
          <w:rStyle w:val="indexentry"/>
        </w:rPr>
        <w:t>&lt;ex "bicycle race"&gt;</w:t>
      </w:r>
      <w:r>
        <w:rPr>
          <w:rStyle w:val="indexentry"/>
        </w:rPr>
        <w:fldChar w:fldCharType="begin"/>
      </w:r>
      <w:r>
        <w:instrText>xe "</w:instrText>
      </w:r>
      <w:r>
        <w:rPr>
          <w:rStyle w:val="xeentry"/>
        </w:rPr>
        <w:instrText>bicycle race: example</w:instrText>
      </w:r>
      <w:r>
        <w:instrText>"</w:instrText>
      </w:r>
      <w:r>
        <w:rPr>
          <w:rStyle w:val="indexentry"/>
        </w:rPr>
        <w:fldChar w:fldCharType="end"/>
      </w:r>
      <w:r>
        <w:rPr>
          <w:rStyle w:val="htmlcodes"/>
        </w:rPr>
        <w:t>&lt;pre&gt;&lt;a name=e9d6&gt;</w:t>
      </w:r>
      <w:r>
        <w:t>9.6)</w:t>
      </w:r>
      <w:r>
        <w:tab/>
        <w:t>le su'u la .iecuas. kuctra selcatra kei</w:t>
      </w:r>
    </w:p>
    <w:p w:rsidR="00B72047" w:rsidRDefault="00B72047">
      <w:pPr>
        <w:pStyle w:val="examplescaled"/>
      </w:pPr>
      <w:r>
        <w:tab/>
      </w:r>
      <w:r>
        <w:tab/>
        <w:t xml:space="preserve">be lo sao'rdzifa'a </w:t>
      </w:r>
    </w:p>
    <w:p w:rsidR="00B72047" w:rsidRDefault="00B72047">
      <w:pPr>
        <w:pStyle w:val="examplescaled"/>
        <w:ind w:left="1440" w:firstLine="576"/>
      </w:pPr>
      <w:r>
        <w:t>ke nalmatma'e sutyterjvi</w:t>
      </w:r>
    </w:p>
    <w:p w:rsidR="00B72047" w:rsidRDefault="00B72047">
      <w:pPr>
        <w:pStyle w:val="examplescaled"/>
      </w:pPr>
      <w:r>
        <w:tab/>
        <w:t xml:space="preserve">The abstract-nature-of (Jesus is-an-intersect-shape type-of-killed-one) </w:t>
      </w:r>
    </w:p>
    <w:p w:rsidR="00B72047" w:rsidRDefault="00B72047">
      <w:pPr>
        <w:pStyle w:val="examplescaled"/>
        <w:ind w:firstLine="576"/>
      </w:pPr>
      <w:r>
        <w:t xml:space="preserve">of-type a slope-low-direction </w:t>
      </w:r>
    </w:p>
    <w:p w:rsidR="00B72047" w:rsidRDefault="00B72047">
      <w:pPr>
        <w:pStyle w:val="examplescaled"/>
        <w:ind w:left="1440" w:firstLine="576"/>
      </w:pPr>
      <w:r>
        <w:t>type-of non-motor-vehicle speed-competition</w:t>
      </w:r>
    </w:p>
    <w:p w:rsidR="00B72047" w:rsidRDefault="00B72047">
      <w:pPr>
        <w:pStyle w:val="examplescaled"/>
      </w:pPr>
      <w:r>
        <w:tab/>
        <w:t>The Crucifixion of Jesus Considered As A Downhill Bicycle Race</w:t>
      </w:r>
    </w:p>
    <w:p w:rsidR="00B72047" w:rsidRDefault="00B72047">
      <w:pPr>
        <w:pStyle w:val="resumedafterexample"/>
      </w:pPr>
      <w:r>
        <w:rPr>
          <w:rStyle w:val="htmlcodes"/>
        </w:rPr>
        <w:t>&lt;/pre&gt;&lt;p&gt;</w:t>
      </w:r>
      <w:r>
        <w:t>Note the importance of using “kei” after “su'u” when the x2 of “su'u”</w:t>
      </w:r>
      <w:r>
        <w:rPr>
          <w:rStyle w:val="deletedparamark"/>
        </w:rPr>
        <w:t xml:space="preserve"> </w:t>
      </w:r>
      <w:r>
        <w:t>(or any other ab</w:t>
      </w:r>
      <w:r>
        <w:softHyphen/>
        <w:t>stractor) is being specified; otherwise, the “be lo” ends</w:t>
      </w:r>
      <w:r>
        <w:rPr>
          <w:rStyle w:val="deletedparamark"/>
        </w:rPr>
        <w:t xml:space="preserve"> </w:t>
      </w:r>
      <w:r>
        <w:t>up inside the abstraction bridi.</w:t>
      </w:r>
    </w:p>
    <w:p w:rsidR="00B72047" w:rsidRDefault="00B72047">
      <w:pPr>
        <w:rPr>
          <w:rStyle w:val="htmlparacode"/>
        </w:rPr>
      </w:pPr>
      <w:r>
        <w:rPr>
          <w:rStyle w:val="htmlparacode"/>
        </w:rPr>
        <w:t>&lt;p&gt;</w:t>
      </w:r>
    </w:p>
    <w:p w:rsidR="00B72047" w:rsidRDefault="00B72047">
      <w:pPr>
        <w:pStyle w:val="Heading3"/>
        <w:rPr>
          <w:rStyle w:val="Heading3Text"/>
        </w:rPr>
      </w:pPr>
      <w:bookmarkStart w:id="370" w:name="_Toc398970614"/>
      <w:r>
        <w:rPr>
          <w:rStyle w:val="Heading3Text"/>
        </w:rPr>
        <w:t>Lojban sumti raising</w:t>
      </w:r>
      <w:bookmarkEnd w:id="370"/>
      <w:r>
        <w:rPr>
          <w:rStyle w:val="htmlcodes"/>
        </w:rPr>
        <w:t>&lt;/h3&gt;</w:t>
      </w:r>
    </w:p>
    <w:p w:rsidR="00B72047" w:rsidRDefault="00B72047">
      <w:pPr>
        <w:rPr>
          <w:rStyle w:val="htmlparacode"/>
        </w:rPr>
      </w:pPr>
      <w:r>
        <w:rPr>
          <w:rStyle w:val="htmlparacode"/>
        </w:rPr>
        <w:t>&lt;p&gt;</w:t>
      </w:r>
      <w:r>
        <w:rPr>
          <w:rStyle w:val="indexentry"/>
        </w:rPr>
        <w:t>&lt;cx "sumti raising"&gt;</w:t>
      </w:r>
      <w:r>
        <w:rPr>
          <w:rStyle w:val="indexentry"/>
        </w:rPr>
        <w:fldChar w:fldCharType="begin"/>
      </w:r>
      <w:r>
        <w:instrText>xe "</w:instrText>
      </w:r>
      <w:r>
        <w:rPr>
          <w:rStyle w:val="xeentry"/>
        </w:rPr>
        <w:instrText>sumti raising</w:instrText>
      </w:r>
      <w:r>
        <w:instrText>"</w:instrText>
      </w:r>
      <w:r>
        <w:rPr>
          <w:rStyle w:val="indexentry"/>
        </w:rPr>
        <w:fldChar w:fldCharType="end"/>
      </w:r>
      <w:r>
        <w:rPr>
          <w:rStyle w:val="indexentry"/>
        </w:rPr>
        <w:t>&lt;cx "abstraction, simplification to sumti"&gt;</w:t>
      </w:r>
      <w:r>
        <w:rPr>
          <w:rStyle w:val="indexentry"/>
        </w:rPr>
        <w:fldChar w:fldCharType="begin"/>
      </w:r>
      <w:r>
        <w:instrText>xe "</w:instrText>
      </w:r>
      <w:r>
        <w:rPr>
          <w:rStyle w:val="xeentry"/>
        </w:rPr>
        <w:instrText>abstraction(s): simplification to sumti</w:instrText>
      </w:r>
      <w:r>
        <w:instrText>"</w:instrText>
      </w:r>
      <w:r>
        <w:rPr>
          <w:rStyle w:val="indexentry"/>
        </w:rPr>
        <w:fldChar w:fldCharType="end"/>
      </w:r>
      <w:r>
        <w:rPr>
          <w:rStyle w:val="htmlcodes"/>
        </w:rPr>
        <w:t>&lt;a name=s10&gt;&lt;h3&gt;</w:t>
      </w:r>
    </w:p>
    <w:p w:rsidR="00B72047" w:rsidRDefault="00B72047">
      <w:pPr>
        <w:pStyle w:val="normalparagraph"/>
      </w:pPr>
      <w:r>
        <w:t>The following cmavo are discussed in this section:</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"abstraction conversion"</w:instrText>
      </w:r>
      <w:r>
        <w:rPr>
          <w:rStyle w:val="xeentry"/>
        </w:rPr>
        <w:fldChar w:fldCharType="end"/>
      </w:r>
      <w:r>
        <w:rPr>
          <w:rStyle w:val="htmlcodes"/>
        </w:rPr>
        <w:t>&lt;pre&gt;</w:t>
      </w:r>
      <w:r>
        <w:tab/>
        <w:t>tu'a</w:t>
      </w:r>
      <w:r>
        <w:tab/>
        <w:t>LAhE</w:t>
      </w:r>
      <w:r>
        <w:tab/>
        <w:t>an abstraction involving</w:t>
      </w:r>
    </w:p>
    <w:p w:rsidR="00B72047" w:rsidRDefault="00B72047">
      <w:pPr>
        <w:pStyle w:val="examplescaled"/>
      </w:pPr>
      <w:r>
        <w:tab/>
        <w:t>jai</w:t>
      </w:r>
      <w:r>
        <w:tab/>
        <w:t>JAI</w:t>
      </w:r>
      <w:r>
        <w:tab/>
        <w:t>abstraction conversion</w:t>
      </w:r>
    </w:p>
    <w:p w:rsidR="00B72047" w:rsidRDefault="00B72047">
      <w:pPr>
        <w:pStyle w:val="normalafterexample"/>
      </w:pPr>
      <w:r>
        <w:rPr>
          <w:rStyle w:val="htmlcodes"/>
        </w:rPr>
        <w:t>&lt;/pre&gt;</w:t>
      </w:r>
      <w:r>
        <w:rPr>
          <w:rStyle w:val="indexentry"/>
        </w:rPr>
        <w:t>&lt;cx "abstract description"&gt;</w:t>
      </w:r>
      <w:r>
        <w:rPr>
          <w:rStyle w:val="indexentry"/>
        </w:rPr>
        <w:fldChar w:fldCharType="begin"/>
      </w:r>
      <w:r>
        <w:instrText>xe "</w:instrText>
      </w:r>
      <w:r>
        <w:rPr>
          <w:rStyle w:val="xeentry"/>
        </w:rPr>
        <w:instrText>abstract description</w:instrText>
      </w:r>
      <w:r>
        <w:instrText>"</w:instrText>
      </w:r>
      <w:r>
        <w:rPr>
          <w:rStyle w:val="indexentry"/>
        </w:rPr>
        <w:fldChar w:fldCharType="end"/>
      </w:r>
      <w:r>
        <w:t>It is sometimes inconvenient, in a situation where an abstract description</w:t>
      </w:r>
      <w:r>
        <w:rPr>
          <w:rStyle w:val="deletedparamark"/>
        </w:rPr>
        <w:t xml:space="preserve"> </w:t>
      </w:r>
      <w:r>
        <w:t>is logically required, to express the abstraction. In English we can</w:t>
      </w:r>
      <w:r>
        <w:rPr>
          <w:rStyle w:val="deletedparamark"/>
        </w:rPr>
        <w:t xml:space="preserve"> </w:t>
      </w:r>
      <w:r>
        <w:t>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I try to open the door.</w:t>
      </w:r>
    </w:p>
    <w:p w:rsidR="00B72047" w:rsidRDefault="00B72047">
      <w:pPr>
        <w:pStyle w:val="resumedafterexample"/>
      </w:pPr>
      <w:r>
        <w:rPr>
          <w:rStyle w:val="htmlcodes"/>
        </w:rPr>
        <w:t>&lt;/pre&gt;</w:t>
      </w:r>
      <w:r>
        <w:t>which in Lojban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mi troci le nu [mi] gasnu le nu le vorme cu karbi'o</w:t>
      </w:r>
    </w:p>
    <w:p w:rsidR="00B72047" w:rsidRDefault="00B72047">
      <w:pPr>
        <w:pStyle w:val="examplescaled"/>
      </w:pPr>
      <w:r>
        <w:tab/>
        <w:t>I try the event-of (I am-agent-in the event-of (the door open-becomes)).</w:t>
      </w:r>
    </w:p>
    <w:p w:rsidR="00B72047" w:rsidRDefault="00B72047">
      <w:pPr>
        <w:pStyle w:val="resumedafterexample"/>
      </w:pPr>
      <w:r>
        <w:rPr>
          <w:rStyle w:val="htmlcodes"/>
        </w:rPr>
        <w:t>&lt;/pre&gt;</w:t>
      </w:r>
      <w:r>
        <w:t>which has an abstract description within an abstract description,</w:t>
      </w:r>
      <w:r>
        <w:rPr>
          <w:rStyle w:val="deletedparamark"/>
        </w:rPr>
        <w:t xml:space="preserve"> </w:t>
      </w:r>
      <w:r>
        <w:t>quite a complex struc</w:t>
      </w:r>
      <w:r>
        <w:softHyphen/>
        <w:t>ture. In English (but not in all other languages),</w:t>
      </w:r>
      <w:r>
        <w:rPr>
          <w:rStyle w:val="deletedparamark"/>
        </w:rPr>
        <w:t xml:space="preserve"> </w:t>
      </w:r>
      <w:r>
        <w:t>we may also say:</w:t>
      </w:r>
    </w:p>
    <w:p w:rsidR="00B72047" w:rsidRDefault="00B72047">
      <w:pPr>
        <w:rPr>
          <w:rStyle w:val="htmlparacode"/>
        </w:rPr>
      </w:pPr>
      <w:r>
        <w:rPr>
          <w:rStyle w:val="htmlparacode"/>
        </w:rPr>
        <w:t>&lt;p&gt;</w:t>
      </w:r>
    </w:p>
    <w:p w:rsidR="00B72047" w:rsidRDefault="00B72047">
      <w:pPr>
        <w:pStyle w:val="examplescaledpre"/>
      </w:pPr>
      <w:r>
        <w:rPr>
          <w:rStyle w:val="indexentry"/>
        </w:rPr>
        <w:t>&lt;cx "abstraction, simplification to sumti with tu'a"&gt;</w:t>
      </w:r>
      <w:r>
        <w:rPr>
          <w:rStyle w:val="indexentry"/>
        </w:rPr>
        <w:fldChar w:fldCharType="begin"/>
      </w:r>
      <w:r>
        <w:instrText>xe "</w:instrText>
      </w:r>
      <w:r>
        <w:rPr>
          <w:rStyle w:val="xeentry"/>
        </w:rPr>
        <w:instrText>abstraction(s): simplification to sumti with tu'a</w:instrText>
      </w:r>
      <w:r>
        <w:instrText>"</w:instrText>
      </w:r>
      <w:r>
        <w:rPr>
          <w:rStyle w:val="indexentry"/>
        </w:rPr>
        <w:fldChar w:fldCharType="end"/>
      </w:r>
      <w:r>
        <w:rPr>
          <w:rStyle w:val="indexentry"/>
        </w:rPr>
        <w:t>&lt;lx "tu'a"&gt;</w:t>
      </w:r>
      <w:r>
        <w:rPr>
          <w:rStyle w:val="indexentry"/>
        </w:rPr>
        <w:fldChar w:fldCharType="begin"/>
      </w:r>
      <w:r>
        <w:instrText>xe "</w:instrText>
      </w:r>
      <w:r>
        <w:rPr>
          <w:rStyle w:val="xeentry"/>
        </w:rPr>
        <w:instrText>tu'a</w:instrText>
      </w:r>
      <w:r>
        <w:instrText>"</w:instrText>
      </w:r>
      <w:r>
        <w:rPr>
          <w:rStyle w:val="indexentry"/>
        </w:rPr>
        <w:fldChar w:fldCharType="end"/>
      </w:r>
      <w:r>
        <w:rPr>
          <w:rStyle w:val="indexentry"/>
        </w:rPr>
        <w:t>&lt;lx "LAhE"&gt;</w:t>
      </w:r>
      <w:r>
        <w:rPr>
          <w:rStyle w:val="indexentry"/>
        </w:rPr>
        <w:fldChar w:fldCharType="begin"/>
      </w:r>
      <w:r>
        <w:instrText>xe "</w:instrText>
      </w:r>
      <w:r>
        <w:rPr>
          <w:rStyle w:val="xeentry"/>
        </w:rPr>
        <w:instrText>LAhE selma’o</w:instrText>
      </w:r>
      <w:r>
        <w:instrText>"</w:instrText>
      </w:r>
      <w:r>
        <w:rPr>
          <w:rStyle w:val="indexentry"/>
        </w:rPr>
        <w:fldChar w:fldCharType="end"/>
      </w:r>
      <w:r>
        <w:rPr>
          <w:rStyle w:val="indexentry"/>
        </w:rPr>
        <w:t>&lt;ex "try the door"&gt;</w:t>
      </w:r>
      <w:r>
        <w:rPr>
          <w:rStyle w:val="indexentry"/>
        </w:rPr>
        <w:fldChar w:fldCharType="begin"/>
      </w:r>
      <w:r>
        <w:instrText>xe "</w:instrText>
      </w:r>
      <w:r>
        <w:rPr>
          <w:rStyle w:val="xeentry"/>
        </w:rPr>
        <w:instrText>try the door: example</w:instrText>
      </w:r>
      <w:r>
        <w:instrText>"</w:instrText>
      </w:r>
      <w:r>
        <w:rPr>
          <w:rStyle w:val="indexentry"/>
        </w:rPr>
        <w:fldChar w:fldCharType="end"/>
      </w:r>
      <w:r>
        <w:rPr>
          <w:rStyle w:val="htmlcodes"/>
        </w:rPr>
        <w:t>&lt;pre&gt;&lt;a name=e10d3&gt;</w:t>
      </w:r>
      <w:r>
        <w:t>10.3)</w:t>
      </w:r>
      <w:r>
        <w:tab/>
        <w:t>I try the door.</w:t>
      </w:r>
    </w:p>
    <w:p w:rsidR="00B72047" w:rsidRDefault="00B72047">
      <w:pPr>
        <w:pStyle w:val="resumedafterexample"/>
      </w:pPr>
      <w:r>
        <w:rPr>
          <w:rStyle w:val="htmlcodes"/>
        </w:rPr>
        <w:t>&lt;/pre&gt;</w:t>
      </w:r>
      <w:r>
        <w:t>where it is understood that what I try is actually not the door itself,</w:t>
      </w:r>
      <w:r>
        <w:rPr>
          <w:rStyle w:val="deletedparamark"/>
        </w:rPr>
        <w:t xml:space="preserve"> </w:t>
      </w:r>
      <w:r>
        <w:t>but the act of open</w:t>
      </w:r>
      <w:r>
        <w:softHyphen/>
        <w:t>ing it. The same simplification can be done in Lojban,</w:t>
      </w:r>
      <w:r>
        <w:rPr>
          <w:rStyle w:val="deletedparamark"/>
        </w:rPr>
        <w:t xml:space="preserve"> </w:t>
      </w:r>
      <w:r>
        <w:t>but it must be marked explicitly using a cmavo. The relevant cmavo is</w:t>
      </w:r>
      <w:r>
        <w:rPr>
          <w:rStyle w:val="deletedparamark"/>
        </w:rPr>
        <w:t xml:space="preserve"> “</w:t>
      </w:r>
      <w:r>
        <w:t>tu'a”, which belongs to selma'o LAhE. The Loj</w:t>
      </w:r>
      <w:r>
        <w:softHyphen/>
        <w:t>ban equivalent of</w:t>
      </w:r>
      <w:r>
        <w:rPr>
          <w:rStyle w:val="deletedparamark"/>
        </w:rPr>
        <w:t xml:space="preserve"> </w:t>
      </w:r>
      <w:r>
        <w:rPr>
          <w:rStyle w:val="htmlcodes"/>
        </w:rPr>
        <w:t>&lt;a href=#e10d3&gt;</w:t>
      </w:r>
      <w:r>
        <w:t>Ex</w:t>
      </w:r>
      <w:r>
        <w:softHyphen/>
        <w:t xml:space="preserve">ample 10.3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mi troci tu'a le vorme</w:t>
      </w:r>
    </w:p>
    <w:p w:rsidR="00B72047" w:rsidRDefault="00B72047">
      <w:pPr>
        <w:pStyle w:val="examplescaled"/>
      </w:pPr>
      <w:r>
        <w:tab/>
        <w:t>I try some-action-to-do-with the door.</w:t>
      </w:r>
    </w:p>
    <w:p w:rsidR="00B72047" w:rsidRDefault="00B72047">
      <w:pPr>
        <w:pStyle w:val="resumedafterexample"/>
      </w:pPr>
      <w:r>
        <w:rPr>
          <w:rStyle w:val="htmlcodes"/>
        </w:rPr>
        <w:t>&lt;/pre&gt;</w:t>
      </w:r>
      <w:r>
        <w:rPr>
          <w:rStyle w:val="indexentry"/>
        </w:rPr>
        <w:t>&lt;cx "intermediate abstraction"&gt;</w:t>
      </w:r>
      <w:r>
        <w:rPr>
          <w:rStyle w:val="indexentry"/>
        </w:rPr>
        <w:fldChar w:fldCharType="begin"/>
      </w:r>
      <w:r>
        <w:instrText>xe "</w:instrText>
      </w:r>
      <w:r>
        <w:rPr>
          <w:rStyle w:val="xeentry"/>
        </w:rPr>
        <w:instrText>intermediate abstraction</w:instrText>
      </w:r>
      <w:r>
        <w:instrText>"</w:instrText>
      </w:r>
      <w:r>
        <w:rPr>
          <w:rStyle w:val="indexentry"/>
        </w:rPr>
        <w:fldChar w:fldCharType="end"/>
      </w:r>
      <w:r>
        <w:t>The term “sumti-raising”, as in the title of this section, signifies that a</w:t>
      </w:r>
      <w:r>
        <w:rPr>
          <w:rStyle w:val="deletedparamark"/>
        </w:rPr>
        <w:t xml:space="preserve"> </w:t>
      </w:r>
      <w:r>
        <w:t>sumti which log</w:t>
      </w:r>
      <w:r>
        <w:t>i</w:t>
      </w:r>
      <w:r>
        <w:softHyphen/>
        <w:t>cally belongs within an abstraction (or even within an</w:t>
      </w:r>
      <w:r>
        <w:rPr>
          <w:rStyle w:val="deletedparamark"/>
        </w:rPr>
        <w:t xml:space="preserve"> </w:t>
      </w:r>
      <w:r>
        <w:t>abstraction which is itself inside an intermediate abstraction) is “raised”</w:t>
      </w:r>
      <w:r>
        <w:rPr>
          <w:rStyle w:val="deletedparamark"/>
        </w:rPr>
        <w:t xml:space="preserve"> </w:t>
      </w:r>
      <w:r>
        <w:t>to the main bridi level. This transforma</w:t>
      </w:r>
      <w:r>
        <w:softHyphen/>
        <w:t xml:space="preserve">tion from </w:t>
      </w:r>
      <w:r>
        <w:rPr>
          <w:rStyle w:val="htmlcodes"/>
        </w:rPr>
        <w:t>&lt;a href=#e10d2&gt;</w:t>
      </w:r>
      <w:r>
        <w:t xml:space="preserve">Example 10.2 </w:t>
      </w:r>
      <w:r>
        <w:rPr>
          <w:rStyle w:val="htmlcodes"/>
        </w:rPr>
        <w:t>&lt;/a&gt;</w:t>
      </w:r>
      <w:r>
        <w:t>to</w:t>
      </w:r>
      <w:r>
        <w:rPr>
          <w:rStyle w:val="deletedparamark"/>
        </w:rPr>
        <w:t xml:space="preserve"> </w:t>
      </w:r>
      <w:r>
        <w:rPr>
          <w:rStyle w:val="htmlcodes"/>
        </w:rPr>
        <w:t>&lt;a href=#e10d4&gt;</w:t>
      </w:r>
      <w:r>
        <w:t xml:space="preserve">Example 10.4 </w:t>
      </w:r>
      <w:r>
        <w:rPr>
          <w:rStyle w:val="htmlcodes"/>
        </w:rPr>
        <w:t>&lt;/a&gt;</w:t>
      </w:r>
      <w:r>
        <w:t>loses information: nothing except convention tells us what the</w:t>
      </w:r>
      <w:r>
        <w:rPr>
          <w:rStyle w:val="deletedparamark"/>
        </w:rPr>
        <w:t xml:space="preserve"> </w:t>
      </w:r>
      <w:r>
        <w:t>abstraction was.</w:t>
      </w:r>
    </w:p>
    <w:p w:rsidR="00B72047" w:rsidRDefault="00B72047">
      <w:pPr>
        <w:rPr>
          <w:rStyle w:val="htmlparacode"/>
        </w:rPr>
      </w:pPr>
      <w:r>
        <w:rPr>
          <w:rStyle w:val="htmlparacode"/>
        </w:rPr>
        <w:t>&lt;p&gt;</w:t>
      </w:r>
    </w:p>
    <w:p w:rsidR="00B72047" w:rsidRDefault="00B72047">
      <w:pPr>
        <w:pStyle w:val="normalparagraph"/>
      </w:pPr>
      <w:r>
        <w:t>Using “tu'a” is a kind of laziness: it makes speaking easier at the</w:t>
      </w:r>
      <w:r>
        <w:rPr>
          <w:rStyle w:val="deletedparamark"/>
        </w:rPr>
        <w:t xml:space="preserve"> </w:t>
      </w:r>
      <w:r>
        <w:t>possible ex</w:t>
      </w:r>
      <w:r>
        <w:softHyphen/>
        <w:t>pense of clarity for the listener. The speaker must be</w:t>
      </w:r>
      <w:r>
        <w:rPr>
          <w:rStyle w:val="deletedparamark"/>
        </w:rPr>
        <w:t xml:space="preserve"> </w:t>
      </w:r>
      <w:r>
        <w:t>prepared for the listener to respond something like:</w:t>
      </w:r>
    </w:p>
    <w:p w:rsidR="00B72047" w:rsidRDefault="00B72047">
      <w:pPr>
        <w:rPr>
          <w:rStyle w:val="htmlparacode"/>
        </w:rPr>
      </w:pPr>
      <w:r>
        <w:rPr>
          <w:rStyle w:val="htmlparacode"/>
        </w:rPr>
        <w:t>&lt;p&gt;</w:t>
      </w:r>
    </w:p>
    <w:p w:rsidR="00B72047" w:rsidRDefault="00B72047">
      <w:pPr>
        <w:pStyle w:val="examplescaledpre"/>
      </w:pPr>
      <w:r>
        <w:rPr>
          <w:rStyle w:val="indexentry"/>
        </w:rPr>
        <w:t>&lt;lx "lu'u"&gt;</w:t>
      </w:r>
      <w:r>
        <w:rPr>
          <w:rStyle w:val="indexentry"/>
        </w:rPr>
        <w:fldChar w:fldCharType="begin"/>
      </w:r>
      <w:r>
        <w:instrText>xe "</w:instrText>
      </w:r>
      <w:r>
        <w:rPr>
          <w:rStyle w:val="xeentry"/>
        </w:rPr>
        <w:instrText>lu'u</w:instrText>
      </w:r>
      <w:r>
        <w:instrText>"</w:instrText>
      </w:r>
      <w:r>
        <w:rPr>
          <w:rStyle w:val="indexentry"/>
        </w:rPr>
        <w:fldChar w:fldCharType="end"/>
      </w:r>
      <w:r>
        <w:rPr>
          <w:rStyle w:val="indexentry"/>
        </w:rPr>
        <w:t>&lt;lx "LUhU"&gt;</w:t>
      </w:r>
      <w:r>
        <w:rPr>
          <w:rStyle w:val="indexentry"/>
        </w:rPr>
        <w:fldChar w:fldCharType="begin"/>
      </w:r>
      <w:r>
        <w:instrText>xe "</w:instrText>
      </w:r>
      <w:r>
        <w:rPr>
          <w:rStyle w:val="xeentry"/>
        </w:rPr>
        <w:instrText>LUhU selma’o</w:instrText>
      </w:r>
      <w:r>
        <w:instrText>"</w:instrText>
      </w:r>
      <w:r>
        <w:rPr>
          <w:rStyle w:val="indexentry"/>
        </w:rPr>
        <w:fldChar w:fldCharType="end"/>
      </w:r>
      <w:r>
        <w:rPr>
          <w:rStyle w:val="htmlcodes"/>
        </w:rPr>
        <w:t>&lt;pre&gt;&lt;a name=e10d5&gt;</w:t>
      </w:r>
      <w:r>
        <w:t>10.5)</w:t>
      </w:r>
      <w:r>
        <w:tab/>
        <w:t>tu'a le vorme lu'u ki'a</w:t>
      </w:r>
    </w:p>
    <w:p w:rsidR="00B72047" w:rsidRDefault="00B72047">
      <w:pPr>
        <w:pStyle w:val="examplescaled"/>
      </w:pPr>
      <w:r>
        <w:tab/>
        <w:t>something-to-do-with the door [terminator] [confusion!]</w:t>
      </w:r>
    </w:p>
    <w:p w:rsidR="00B72047" w:rsidRDefault="00B72047">
      <w:pPr>
        <w:pStyle w:val="resumedafterexample"/>
      </w:pPr>
      <w:r>
        <w:rPr>
          <w:rStyle w:val="htmlcodes"/>
        </w:rPr>
        <w:t>&lt;/pre&gt;</w:t>
      </w:r>
      <w:r>
        <w:t>which indicates that “tu'a le vorme” cannot be understood. (The ter</w:t>
      </w:r>
      <w:r>
        <w:softHyphen/>
        <w:t>minator</w:t>
      </w:r>
      <w:r>
        <w:rPr>
          <w:rStyle w:val="deletedparamark"/>
        </w:rPr>
        <w:t xml:space="preserve"> </w:t>
      </w:r>
      <w:r>
        <w:t xml:space="preserve">for “tu'a” is “lu'u”, and is used in </w:t>
      </w:r>
      <w:r>
        <w:rPr>
          <w:rStyle w:val="htmlcodes"/>
        </w:rPr>
        <w:t>&lt;a href=#e10d5&gt;</w:t>
      </w:r>
      <w:r>
        <w:t xml:space="preserve">Example 10.5 </w:t>
      </w:r>
      <w:r>
        <w:rPr>
          <w:rStyle w:val="htmlcodes"/>
        </w:rPr>
        <w:t>&lt;/a&gt;</w:t>
      </w:r>
      <w:r>
        <w:t>to make clear just what</w:t>
      </w:r>
      <w:r>
        <w:rPr>
          <w:rStyle w:val="deletedparamark"/>
        </w:rPr>
        <w:t xml:space="preserve"> </w:t>
      </w:r>
      <w:r>
        <w:t>is being questioned: the sumti-raising, rather than the word “vorme” as such.)</w:t>
      </w:r>
      <w:r>
        <w:rPr>
          <w:rStyle w:val="deletedparamark"/>
        </w:rPr>
        <w:t xml:space="preserve"> </w:t>
      </w:r>
      <w:r>
        <w:t>An example of a confusing raised sumti 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tu'a la djan. cu cafne</w:t>
      </w:r>
    </w:p>
    <w:p w:rsidR="00B72047" w:rsidRDefault="00B72047">
      <w:pPr>
        <w:pStyle w:val="examplescaled"/>
      </w:pPr>
      <w:r>
        <w:tab/>
        <w:t>Something-to-do-with John frequently-occurs</w:t>
      </w:r>
    </w:p>
    <w:p w:rsidR="00B72047" w:rsidRDefault="00B72047">
      <w:pPr>
        <w:pStyle w:val="resumedafterexample"/>
      </w:pPr>
      <w:r>
        <w:rPr>
          <w:rStyle w:val="htmlcodes"/>
        </w:rPr>
        <w:t>&lt;/pre&gt;&lt;p&gt;</w:t>
      </w:r>
      <w:r>
        <w:t>This must mean that something which John does, or which happens to John,</w:t>
      </w:r>
      <w:r>
        <w:rPr>
          <w:rStyle w:val="deletedparamark"/>
        </w:rPr>
        <w:t xml:space="preserve"> </w:t>
      </w:r>
      <w:r>
        <w:t>occurs fre</w:t>
      </w:r>
      <w:r>
        <w:softHyphen/>
        <w:t>quently: but without more context there is no way to figure out</w:t>
      </w:r>
      <w:r>
        <w:rPr>
          <w:rStyle w:val="deletedparamark"/>
        </w:rPr>
        <w:t xml:space="preserve"> </w:t>
      </w:r>
      <w:r>
        <w:t xml:space="preserve">what. Note that without the “tu'a”, </w:t>
      </w:r>
      <w:r>
        <w:rPr>
          <w:rStyle w:val="htmlcodes"/>
        </w:rPr>
        <w:t>&lt;a href=#e10d6&gt;</w:t>
      </w:r>
      <w:r>
        <w:t xml:space="preserve">Example 10.6 </w:t>
      </w:r>
      <w:r>
        <w:rPr>
          <w:rStyle w:val="htmlcodes"/>
        </w:rPr>
        <w:t>&lt;/a&gt;</w:t>
      </w:r>
      <w:r>
        <w:t>would mean that John</w:t>
      </w:r>
      <w:r>
        <w:rPr>
          <w:rStyle w:val="deletedparamark"/>
        </w:rPr>
        <w:t xml:space="preserve"> </w:t>
      </w:r>
      <w:r>
        <w:t>considered as an event frequently oc</w:t>
      </w:r>
      <w:r>
        <w:softHyphen/>
        <w:t>curs — in other words, that John has</w:t>
      </w:r>
      <w:r>
        <w:rPr>
          <w:rStyle w:val="deletedparamark"/>
        </w:rPr>
        <w:t xml:space="preserve"> </w:t>
      </w:r>
      <w:r>
        <w:t>some sort of on-and-off existence! Normally we do not think of people as</w:t>
      </w:r>
      <w:r>
        <w:rPr>
          <w:rStyle w:val="deletedparamark"/>
        </w:rPr>
        <w:t xml:space="preserve"> </w:t>
      </w:r>
      <w:r>
        <w:t>events in English, but the x1 place of “cafne” is an event, and if som</w:t>
      </w:r>
      <w:r>
        <w:t>e</w:t>
      </w:r>
      <w:r>
        <w:softHyphen/>
        <w:t>thing</w:t>
      </w:r>
      <w:r>
        <w:rPr>
          <w:rStyle w:val="deletedparamark"/>
        </w:rPr>
        <w:t xml:space="preserve"> </w:t>
      </w:r>
      <w:r>
        <w:t>that does not seem to be an event is put there, the Lojbanic listener will</w:t>
      </w:r>
      <w:r>
        <w:rPr>
          <w:rStyle w:val="deletedparamark"/>
        </w:rPr>
        <w:t xml:space="preserve"> </w:t>
      </w:r>
      <w:r>
        <w:t>attempt to construe it as one. (Of course, this analysis assumes that</w:t>
      </w:r>
      <w:r>
        <w:rPr>
          <w:rStyle w:val="deletedparamark"/>
        </w:rPr>
        <w:t xml:space="preserve"> “</w:t>
      </w:r>
      <w:r>
        <w:t>djan.” is the name of a person, and not the name of some event.)</w:t>
      </w:r>
    </w:p>
    <w:p w:rsidR="00B72047" w:rsidRDefault="00B72047">
      <w:pPr>
        <w:rPr>
          <w:rStyle w:val="htmlparacode"/>
        </w:rPr>
      </w:pPr>
      <w:r>
        <w:rPr>
          <w:rStyle w:val="htmlparacode"/>
        </w:rPr>
        <w:t>&lt;p&gt;</w:t>
      </w:r>
    </w:p>
    <w:p w:rsidR="00B72047" w:rsidRDefault="00B72047">
      <w:pPr>
        <w:pStyle w:val="normalparagraph"/>
      </w:pPr>
      <w:r>
        <w:rPr>
          <w:rStyle w:val="indexentry"/>
        </w:rPr>
        <w:t>&lt;lx "jai"&gt;</w:t>
      </w:r>
      <w:r>
        <w:rPr>
          <w:rStyle w:val="indexentry"/>
        </w:rPr>
        <w:fldChar w:fldCharType="begin"/>
      </w:r>
      <w:r>
        <w:instrText>xe "</w:instrText>
      </w:r>
      <w:r>
        <w:rPr>
          <w:rStyle w:val="xeentry"/>
        </w:rPr>
        <w:instrText>jai</w:instrText>
      </w:r>
      <w:r>
        <w:instrText>"</w:instrText>
      </w:r>
      <w:r>
        <w:rPr>
          <w:rStyle w:val="indexentry"/>
        </w:rPr>
        <w:fldChar w:fldCharType="end"/>
      </w:r>
      <w:r>
        <w:rPr>
          <w:rStyle w:val="indexentry"/>
        </w:rPr>
        <w:t>&lt;lx "JAI"&gt;</w:t>
      </w:r>
      <w:r>
        <w:rPr>
          <w:rStyle w:val="indexentry"/>
        </w:rPr>
        <w:fldChar w:fldCharType="begin"/>
      </w:r>
      <w:r>
        <w:instrText>xe "</w:instrText>
      </w:r>
      <w:r>
        <w:rPr>
          <w:rStyle w:val="xeentry"/>
        </w:rPr>
        <w:instrText>JAI selma’o</w:instrText>
      </w:r>
      <w:r>
        <w:instrText>"</w:instrText>
      </w:r>
      <w:r>
        <w:rPr>
          <w:rStyle w:val="indexentry"/>
        </w:rPr>
        <w:fldChar w:fldCharType="end"/>
      </w:r>
      <w:r>
        <w:rPr>
          <w:rStyle w:val="indexentry"/>
        </w:rPr>
        <w:t>&lt;cx "abstraction, making concrete"&gt;</w:t>
      </w:r>
      <w:r>
        <w:rPr>
          <w:rStyle w:val="indexentry"/>
        </w:rPr>
        <w:fldChar w:fldCharType="begin"/>
      </w:r>
      <w:r>
        <w:instrText>xe "</w:instrText>
      </w:r>
      <w:r>
        <w:rPr>
          <w:rStyle w:val="xeentry"/>
        </w:rPr>
        <w:instrText>abstraction(s): making concrete</w:instrText>
      </w:r>
      <w:r>
        <w:instrText>"</w:instrText>
      </w:r>
      <w:r>
        <w:rPr>
          <w:rStyle w:val="indexentry"/>
        </w:rPr>
        <w:fldChar w:fldCharType="end"/>
      </w:r>
      <w:r>
        <w:rPr>
          <w:rStyle w:val="indexentry"/>
        </w:rPr>
        <w:t>&lt;cx "abstraction, simplification to sumti with jai"&gt;</w:t>
      </w:r>
      <w:r>
        <w:rPr>
          <w:rStyle w:val="indexentry"/>
        </w:rPr>
        <w:fldChar w:fldCharType="begin"/>
      </w:r>
      <w:r>
        <w:instrText>xe "</w:instrText>
      </w:r>
      <w:r>
        <w:rPr>
          <w:rStyle w:val="xeentry"/>
        </w:rPr>
        <w:instrText>abstraction(s): simplification to sumti with jai</w:instrText>
      </w:r>
      <w:r>
        <w:instrText>"</w:instrText>
      </w:r>
      <w:r>
        <w:rPr>
          <w:rStyle w:val="indexentry"/>
        </w:rPr>
        <w:fldChar w:fldCharType="end"/>
      </w:r>
      <w:r>
        <w:t>Logically, a counterpart of some sort is needed to “tu'a” which transposes</w:t>
      </w:r>
      <w:r>
        <w:rPr>
          <w:rStyle w:val="deletedparamark"/>
        </w:rPr>
        <w:t xml:space="preserve"> </w:t>
      </w:r>
      <w:r>
        <w:t>an abstract sumti into a concrete one. This is achieved at the selbri</w:t>
      </w:r>
      <w:r>
        <w:rPr>
          <w:rStyle w:val="deletedparamark"/>
        </w:rPr>
        <w:t xml:space="preserve"> </w:t>
      </w:r>
      <w:r>
        <w:t>level by the cmavo “jai” (of se</w:t>
      </w:r>
      <w:r>
        <w:t>l</w:t>
      </w:r>
      <w:r>
        <w:softHyphen/>
        <w:t>ma'o JAI). This cmavo has more than</w:t>
      </w:r>
      <w:r>
        <w:rPr>
          <w:rStyle w:val="deletedparamark"/>
        </w:rPr>
        <w:t xml:space="preserve"> </w:t>
      </w:r>
      <w:r>
        <w:t xml:space="preserve">one function, discussed in </w:t>
      </w:r>
      <w:r>
        <w:rPr>
          <w:rStyle w:val="htmlcodes"/>
        </w:rPr>
        <w:t>&lt;a href=chap9.html&gt;</w:t>
      </w:r>
      <w:r>
        <w:t xml:space="preserve">Chapter 9 </w:t>
      </w:r>
      <w:r>
        <w:rPr>
          <w:rStyle w:val="htmlcodes"/>
        </w:rPr>
        <w:t>&lt;/a&gt;</w:t>
      </w:r>
      <w:r>
        <w:t xml:space="preserve">and </w:t>
      </w:r>
      <w:r>
        <w:rPr>
          <w:rStyle w:val="htmlcodes"/>
        </w:rPr>
        <w:t>&lt;a href=chap11.html&gt;</w:t>
      </w:r>
      <w:r>
        <w:t>Chapter 11</w:t>
      </w:r>
      <w:r>
        <w:rPr>
          <w:rStyle w:val="htmlcodes"/>
        </w:rPr>
        <w:t>&lt;/a&gt;</w:t>
      </w:r>
      <w:r>
        <w:t>; for the purposes of</w:t>
      </w:r>
      <w:r>
        <w:rPr>
          <w:rStyle w:val="deletedparamark"/>
        </w:rPr>
        <w:t xml:space="preserve"> </w:t>
      </w:r>
      <w:r>
        <w:t>this chapter, it operates as a conversion of selbri, similarly to the cmavo</w:t>
      </w:r>
      <w:r>
        <w:rPr>
          <w:rStyle w:val="deletedparamark"/>
        </w:rPr>
        <w:t xml:space="preserve"> </w:t>
      </w:r>
      <w:r>
        <w:t>of selma'o SE. This conversion changes</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"cause death"&gt;</w:t>
      </w:r>
      <w:r>
        <w:rPr>
          <w:rStyle w:val="indexentry"/>
        </w:rPr>
        <w:fldChar w:fldCharType="begin"/>
      </w:r>
      <w:r>
        <w:instrText>xe "</w:instrText>
      </w:r>
      <w:r>
        <w:rPr>
          <w:rStyle w:val="xeentry"/>
        </w:rPr>
        <w:instrText>cause death: example</w:instrText>
      </w:r>
      <w:r>
        <w:instrText>"</w:instrText>
      </w:r>
      <w:r>
        <w:rPr>
          <w:rStyle w:val="indexentry"/>
        </w:rPr>
        <w:fldChar w:fldCharType="end"/>
      </w:r>
      <w:r>
        <w:rPr>
          <w:rStyle w:val="htmlcodes"/>
        </w:rPr>
        <w:t>&lt;pre&gt;&lt;a name=e10d7&gt;</w:t>
      </w:r>
      <w:r>
        <w:t>10.7)</w:t>
      </w:r>
      <w:r>
        <w:tab/>
        <w:t>tu'a mi rinka le nu do morsi</w:t>
      </w:r>
    </w:p>
    <w:p w:rsidR="00B72047" w:rsidRDefault="00B72047">
      <w:pPr>
        <w:pStyle w:val="examplescaled"/>
      </w:pPr>
      <w:r>
        <w:tab/>
        <w:t>Something-to-do-with me causes the event-of you are-dead</w:t>
      </w:r>
    </w:p>
    <w:p w:rsidR="00B72047" w:rsidRDefault="00B72047">
      <w:pPr>
        <w:pStyle w:val="examplescaled"/>
      </w:pPr>
      <w:r>
        <w:tab/>
        <w:t>My action causes your death.</w:t>
      </w:r>
    </w:p>
    <w:p w:rsidR="00B72047" w:rsidRDefault="00B72047">
      <w:pPr>
        <w:pStyle w:val="resumedafterexample"/>
      </w:pPr>
      <w:r>
        <w:rPr>
          <w:rStyle w:val="htmlcodes"/>
        </w:rPr>
        <w:t>&lt;/pre&gt;</w:t>
      </w:r>
      <w:r>
        <w:t>into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mi jai rinka le nu do morsi</w:t>
      </w:r>
    </w:p>
    <w:p w:rsidR="00B72047" w:rsidRDefault="00B72047">
      <w:pPr>
        <w:pStyle w:val="examplescaled"/>
      </w:pPr>
      <w:r>
        <w:tab/>
        <w:t>I am-associated-with causing the event-of your death.</w:t>
      </w:r>
    </w:p>
    <w:p w:rsidR="00B72047" w:rsidRDefault="00B72047">
      <w:pPr>
        <w:pStyle w:val="examplescaled"/>
      </w:pPr>
      <w:r>
        <w:tab/>
        <w:t>I cause your death.</w:t>
      </w:r>
    </w:p>
    <w:p w:rsidR="00B72047" w:rsidRDefault="00B72047">
      <w:pPr>
        <w:pStyle w:val="resumedafterexample"/>
      </w:pPr>
      <w:r>
        <w:rPr>
          <w:rStyle w:val="htmlcodes"/>
        </w:rPr>
        <w:t>&lt;/pre&gt;&lt;p&gt;</w:t>
      </w:r>
      <w:r>
        <w:t>In English, the subject of “cause” can either be the actual cause (an event),</w:t>
      </w:r>
      <w:r>
        <w:rPr>
          <w:rStyle w:val="deletedparamark"/>
        </w:rPr>
        <w:t xml:space="preserve"> </w:t>
      </w:r>
      <w:r>
        <w:t>or else the agent of the cause (a person, typically); not so in Lojban,</w:t>
      </w:r>
      <w:r>
        <w:rPr>
          <w:rStyle w:val="deletedparamark"/>
        </w:rPr>
        <w:t xml:space="preserve"> </w:t>
      </w:r>
      <w:r>
        <w:t>where the x1 of “rinka” is a</w:t>
      </w:r>
      <w:r>
        <w:t>l</w:t>
      </w:r>
      <w:r>
        <w:softHyphen/>
        <w:t xml:space="preserve">ways an event. </w:t>
      </w:r>
      <w:r>
        <w:rPr>
          <w:rStyle w:val="htmlcodes"/>
        </w:rPr>
        <w:t>&lt;a href=#e10d7&gt;</w:t>
      </w:r>
      <w:r>
        <w:t xml:space="preserve">Example 10.7 </w:t>
      </w:r>
      <w:r>
        <w:rPr>
          <w:rStyle w:val="htmlcodes"/>
        </w:rPr>
        <w:t>&lt;/a&gt;</w:t>
      </w:r>
      <w:r>
        <w:t xml:space="preserve">and </w:t>
      </w:r>
      <w:r>
        <w:rPr>
          <w:rStyle w:val="htmlcodes"/>
        </w:rPr>
        <w:t>&lt;a href=#e10d8&gt;</w:t>
      </w:r>
      <w:r>
        <w:t xml:space="preserve">Example 10.8 </w:t>
      </w:r>
      <w:r>
        <w:rPr>
          <w:rStyle w:val="htmlcodes"/>
        </w:rPr>
        <w:t>&lt;/a&gt;</w:t>
      </w:r>
      <w:r>
        <w:t>look equally convenient (or incon</w:t>
      </w:r>
      <w:r>
        <w:softHyphen/>
        <w:t>ven</w:t>
      </w:r>
      <w:r>
        <w:softHyphen/>
        <w:t>ient), but in mak</w:t>
      </w:r>
      <w:r>
        <w:softHyphen/>
        <w:t>ing descriptions,</w:t>
      </w:r>
      <w:r>
        <w:rPr>
          <w:rStyle w:val="deletedparamark"/>
        </w:rPr>
        <w:t xml:space="preserve"> </w:t>
      </w:r>
      <w:r>
        <w:rPr>
          <w:rStyle w:val="htmlcodes"/>
        </w:rPr>
        <w:t>&lt;a href=#e10d8&gt;</w:t>
      </w:r>
      <w:r>
        <w:t xml:space="preserve">Example 10.8 </w:t>
      </w:r>
      <w:r>
        <w:rPr>
          <w:rStyle w:val="htmlcodes"/>
        </w:rPr>
        <w:t>&lt;/a&gt;</w:t>
      </w:r>
      <w:r>
        <w:t>can be altered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le jai rinka be le nu do morsi</w:t>
      </w:r>
    </w:p>
    <w:p w:rsidR="00B72047" w:rsidRDefault="00B72047">
      <w:pPr>
        <w:pStyle w:val="examplescaled"/>
      </w:pPr>
      <w:r>
        <w:tab/>
        <w:t>that-which-is associated-with causing (the event-of your death)</w:t>
      </w:r>
    </w:p>
    <w:p w:rsidR="00B72047" w:rsidRDefault="00B72047">
      <w:pPr>
        <w:pStyle w:val="examplescaled"/>
      </w:pPr>
      <w:r>
        <w:tab/>
        <w:t>the one who caused your death</w:t>
      </w:r>
    </w:p>
    <w:p w:rsidR="00B72047" w:rsidRDefault="00B72047">
      <w:pPr>
        <w:pStyle w:val="resumedafterexample"/>
      </w:pPr>
      <w:r>
        <w:rPr>
          <w:rStyle w:val="htmlcodes"/>
        </w:rPr>
        <w:t>&lt;/pre&gt;</w:t>
      </w:r>
      <w:r>
        <w:t>because “jai” modifies the selbri and can be incorporated into the</w:t>
      </w:r>
      <w:r>
        <w:rPr>
          <w:rStyle w:val="deletedparamark"/>
        </w:rPr>
        <w:t xml:space="preserve"> </w:t>
      </w:r>
      <w:r>
        <w:t>de</w:t>
      </w:r>
      <w:r>
        <w:softHyphen/>
        <w:t>scription — not so for “tu'a”.</w:t>
      </w:r>
    </w:p>
    <w:p w:rsidR="00B72047" w:rsidRDefault="00B72047">
      <w:pPr>
        <w:rPr>
          <w:rStyle w:val="htmlparacode"/>
        </w:rPr>
      </w:pPr>
      <w:r>
        <w:rPr>
          <w:rStyle w:val="htmlparacode"/>
        </w:rPr>
        <w:t>&lt;p&gt;</w:t>
      </w:r>
    </w:p>
    <w:p w:rsidR="00B72047" w:rsidRDefault="00B72047">
      <w:pPr>
        <w:pStyle w:val="normalparagraph"/>
      </w:pPr>
      <w:r>
        <w:t>The weakness of “jai” used in descriptions in this way is that it does</w:t>
      </w:r>
      <w:r>
        <w:rPr>
          <w:rStyle w:val="deletedparamark"/>
        </w:rPr>
        <w:t xml:space="preserve"> </w:t>
      </w:r>
      <w:r>
        <w:t>not spec</w:t>
      </w:r>
      <w:r>
        <w:softHyphen/>
        <w:t>ify which argument of the implicit abstraction is being raised</w:t>
      </w:r>
      <w:r>
        <w:rPr>
          <w:rStyle w:val="deletedparamark"/>
        </w:rPr>
        <w:t xml:space="preserve"> </w:t>
      </w:r>
      <w:r>
        <w:t>into the x1 place of the d</w:t>
      </w:r>
      <w:r>
        <w:t>e</w:t>
      </w:r>
      <w:r>
        <w:softHyphen/>
        <w:t>scription selbri. One can be more specific</w:t>
      </w:r>
      <w:r>
        <w:rPr>
          <w:rStyle w:val="deletedparamark"/>
        </w:rPr>
        <w:t xml:space="preserve"> </w:t>
      </w:r>
      <w:r>
        <w:t xml:space="preserve">by using the modal form of “jai” explained in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le jai gau rinka be le nu do morsi</w:t>
      </w:r>
    </w:p>
    <w:p w:rsidR="00B72047" w:rsidRDefault="00B72047">
      <w:pPr>
        <w:pStyle w:val="examplescaled"/>
      </w:pPr>
      <w:r>
        <w:tab/>
        <w:t>that-which-is agent-in causing (the event-of your death)</w:t>
      </w:r>
    </w:p>
    <w:p w:rsidR="00B72047" w:rsidRDefault="00B72047">
      <w:pPr>
        <w:pStyle w:val="Heading3"/>
        <w:rPr>
          <w:rStyle w:val="Heading3Text"/>
        </w:rPr>
      </w:pPr>
      <w:bookmarkStart w:id="371" w:name="_Toc398970615"/>
      <w:r>
        <w:rPr>
          <w:rStyle w:val="Heading3Text"/>
        </w:rPr>
        <w:t>Event-type abstractors and event contour tenses</w:t>
      </w:r>
      <w:bookmarkEnd w:id="371"/>
      <w:r>
        <w:rPr>
          <w:rStyle w:val="htmlcodes"/>
        </w:rPr>
        <w:t>&lt;/h3&gt;</w:t>
      </w:r>
    </w:p>
    <w:p w:rsidR="00B72047" w:rsidRDefault="00B72047">
      <w:pPr>
        <w:rPr>
          <w:rStyle w:val="htmlparacode"/>
        </w:rPr>
      </w:pPr>
      <w:r>
        <w:rPr>
          <w:rStyle w:val="htmlparacode"/>
        </w:rPr>
        <w:t>&lt;p&gt;</w:t>
      </w:r>
      <w:r>
        <w:rPr>
          <w:rStyle w:val="htmlcodes"/>
        </w:rPr>
        <w:t>&lt;/pre&gt;</w:t>
      </w:r>
      <w:r>
        <w:rPr>
          <w:rStyle w:val="indexentry"/>
        </w:rPr>
        <w:t>&lt;cx "abstraction contours, compared with contour tenses"&gt;</w:t>
      </w:r>
      <w:r>
        <w:rPr>
          <w:rStyle w:val="indexentry"/>
        </w:rPr>
        <w:fldChar w:fldCharType="begin"/>
      </w:r>
      <w:r>
        <w:instrText>xe "</w:instrText>
      </w:r>
      <w:r>
        <w:rPr>
          <w:rStyle w:val="xeentry"/>
        </w:rPr>
        <w:instrText>abstraction contours: compared with contour tenses</w:instrText>
      </w:r>
      <w:r>
        <w:instrText>"</w:instrText>
      </w:r>
      <w:r>
        <w:rPr>
          <w:rStyle w:val="indexentry"/>
        </w:rPr>
        <w:fldChar w:fldCharType="end"/>
      </w:r>
      <w:r>
        <w:rPr>
          <w:rStyle w:val="indexentry"/>
        </w:rPr>
        <w:t>&lt;cx "tense contours, compared with event abstraction contours"&gt;</w:t>
      </w:r>
      <w:r>
        <w:rPr>
          <w:rStyle w:val="indexentry"/>
        </w:rPr>
        <w:fldChar w:fldCharType="begin"/>
      </w:r>
      <w:r>
        <w:instrText>xe "</w:instrText>
      </w:r>
      <w:r>
        <w:rPr>
          <w:rStyle w:val="xeentry"/>
        </w:rPr>
        <w:instrText>tense contours: compared with event abstraction contours</w:instrText>
      </w:r>
      <w:r>
        <w:instrText>"</w:instrText>
      </w:r>
      <w:r>
        <w:rPr>
          <w:rStyle w:val="indexentry"/>
        </w:rPr>
        <w:fldChar w:fldCharType="end"/>
      </w:r>
      <w:r>
        <w:rPr>
          <w:rStyle w:val="indexentry"/>
        </w:rPr>
        <w:t>&lt;cx "NU compared with ZAhO"&gt;</w:t>
      </w:r>
      <w:r>
        <w:rPr>
          <w:rStyle w:val="indexentry"/>
        </w:rPr>
        <w:fldChar w:fldCharType="begin"/>
      </w:r>
      <w:r>
        <w:instrText>xe "</w:instrText>
      </w:r>
      <w:r>
        <w:rPr>
          <w:rStyle w:val="xeentry"/>
        </w:rPr>
        <w:instrText>NU compared with ZAhO</w:instrText>
      </w:r>
      <w:r>
        <w:instrText>"</w:instrText>
      </w:r>
      <w:r>
        <w:rPr>
          <w:rStyle w:val="indexentry"/>
        </w:rPr>
        <w:fldChar w:fldCharType="end"/>
      </w:r>
      <w:r>
        <w:rPr>
          <w:rStyle w:val="indexentry"/>
        </w:rPr>
        <w:t>&lt;cx "ZAhO compared with NU"&gt;</w:t>
      </w:r>
      <w:r>
        <w:rPr>
          <w:rStyle w:val="indexentry"/>
        </w:rPr>
        <w:fldChar w:fldCharType="begin"/>
      </w:r>
      <w:r>
        <w:instrText>xe "</w:instrText>
      </w:r>
      <w:r>
        <w:rPr>
          <w:rStyle w:val="xeentry"/>
        </w:rPr>
        <w:instrText>ZAhO compared with NU</w:instrText>
      </w:r>
      <w:r>
        <w:instrText>"</w:instrText>
      </w:r>
      <w:r>
        <w:rPr>
          <w:rStyle w:val="indexentry"/>
        </w:rPr>
        <w:fldChar w:fldCharType="end"/>
      </w:r>
      <w:r>
        <w:rPr>
          <w:rStyle w:val="htmlcodes"/>
        </w:rPr>
        <w:t>&lt;a name=s11&gt;&lt;h3&gt;</w:t>
      </w:r>
    </w:p>
    <w:p w:rsidR="00B72047" w:rsidRDefault="00B72047">
      <w:pPr>
        <w:pStyle w:val="normalparagraph"/>
      </w:pPr>
      <w:r>
        <w:t xml:space="preserve">This section is a logical continuation of </w:t>
      </w:r>
      <w:r>
        <w:rPr>
          <w:rStyle w:val="htmlcodes"/>
        </w:rPr>
        <w:t>&lt;a href=#s3&gt;</w:t>
      </w:r>
      <w:r>
        <w:t>Section 3</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&lt;lx "ZAhO"&gt;</w:t>
      </w:r>
      <w:r>
        <w:rPr>
          <w:rStyle w:val="indexentry"/>
        </w:rPr>
        <w:fldChar w:fldCharType="begin"/>
      </w:r>
      <w:r>
        <w:instrText>xe "</w:instrText>
      </w:r>
      <w:r>
        <w:rPr>
          <w:rStyle w:val="xeentry"/>
        </w:rPr>
        <w:instrText>ZAhO selma’o</w:instrText>
      </w:r>
      <w:r>
        <w:instrText>"</w:instrText>
      </w:r>
      <w:r>
        <w:rPr>
          <w:rStyle w:val="indexentry"/>
        </w:rPr>
        <w:fldChar w:fldCharType="end"/>
      </w:r>
      <w:r>
        <w:t>There exists a relationship between the four types of events explained</w:t>
      </w:r>
      <w:r>
        <w:rPr>
          <w:rStyle w:val="deletedparamark"/>
        </w:rPr>
        <w:t xml:space="preserve"> </w:t>
      </w:r>
      <w:r>
        <w:t xml:space="preserve">in </w:t>
      </w:r>
      <w:r>
        <w:rPr>
          <w:rStyle w:val="htmlcodes"/>
        </w:rPr>
        <w:t>&lt;a href=#s3&gt;</w:t>
      </w:r>
      <w:r>
        <w:t>Sec</w:t>
      </w:r>
      <w:r>
        <w:softHyphen/>
        <w:t xml:space="preserve">tion 3 </w:t>
      </w:r>
      <w:r>
        <w:rPr>
          <w:rStyle w:val="htmlcodes"/>
        </w:rPr>
        <w:t>&lt;/a&gt;</w:t>
      </w:r>
      <w:r>
        <w:t>and the event contour tense cmavo of selma'o ZAhO. The</w:t>
      </w:r>
      <w:r>
        <w:rPr>
          <w:rStyle w:val="deletedparamark"/>
        </w:rPr>
        <w:t xml:space="preserve"> </w:t>
      </w:r>
      <w:r>
        <w:t>specific cmavo of NU and of ZAhO are mutually interde</w:t>
      </w:r>
      <w:r>
        <w:softHyphen/>
        <w:t>fining; the ZAhO</w:t>
      </w:r>
      <w:r>
        <w:rPr>
          <w:rStyle w:val="deletedparamark"/>
        </w:rPr>
        <w:t xml:space="preserve"> </w:t>
      </w:r>
      <w:r>
        <w:t>contours were chosen to fit the needs of the NU event types and vice versa.</w:t>
      </w:r>
      <w:r>
        <w:rPr>
          <w:rStyle w:val="deletedparamark"/>
        </w:rPr>
        <w:t xml:space="preserve"> </w:t>
      </w:r>
      <w:r>
        <w:t xml:space="preserve">Event contours are explained in full in </w:t>
      </w:r>
      <w:r>
        <w:rPr>
          <w:rStyle w:val="htmlcodes"/>
        </w:rPr>
        <w:t>&lt;a href=chap10.html&gt;</w:t>
      </w:r>
      <w:r>
        <w:t>Chapter 10</w:t>
      </w:r>
      <w:r>
        <w:rPr>
          <w:rStyle w:val="htmlcodes"/>
        </w:rPr>
        <w:t>&lt;/a&gt;</w:t>
      </w:r>
      <w:r>
        <w:t>, and only summarized here.</w:t>
      </w:r>
    </w:p>
    <w:p w:rsidR="00B72047" w:rsidRDefault="00B72047">
      <w:pPr>
        <w:pStyle w:val="normalparagraph"/>
        <w:rPr>
          <w:rStyle w:val="htmlparacode"/>
        </w:rPr>
      </w:pPr>
      <w:r>
        <w:rPr>
          <w:rStyle w:val="htmlparacode"/>
        </w:rPr>
        <w:t>&lt;p&gt;</w:t>
      </w:r>
    </w:p>
    <w:p w:rsidR="00B72047" w:rsidRDefault="00B72047">
      <w:pPr>
        <w:pStyle w:val="normalparagraph"/>
      </w:pPr>
      <w:r>
        <w:t>The purpose of ZAhO cmavo is to represent the natural por</w:t>
      </w:r>
      <w:r>
        <w:softHyphen/>
        <w:t>tions of an</w:t>
      </w:r>
      <w:r>
        <w:rPr>
          <w:rStyle w:val="deletedparamark"/>
        </w:rPr>
        <w:t xml:space="preserve"> </w:t>
      </w:r>
      <w:r>
        <w:t>event, such as the beginning, the middle, and the end. They fall into</w:t>
      </w:r>
      <w:r>
        <w:rPr>
          <w:rStyle w:val="deletedparamark"/>
        </w:rPr>
        <w:t xml:space="preserve"> </w:t>
      </w:r>
      <w:r>
        <w:t>several groups:</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"process abstraction, related tense contours"&gt;</w:t>
      </w:r>
      <w:r>
        <w:rPr>
          <w:rStyle w:val="indexentry"/>
        </w:rPr>
        <w:fldChar w:fldCharType="begin"/>
      </w:r>
      <w:r>
        <w:instrText>xe "</w:instrText>
      </w:r>
      <w:r>
        <w:rPr>
          <w:rStyle w:val="xeentry"/>
        </w:rPr>
        <w:instrText>process abstraction(s): related tense contours</w:instrText>
      </w:r>
      <w:r>
        <w:instrText>"</w:instrText>
      </w:r>
      <w:r>
        <w:rPr>
          <w:rStyle w:val="indexentry"/>
        </w:rPr>
        <w:fldChar w:fldCharType="end"/>
      </w:r>
      <w:r>
        <w:rPr>
          <w:rStyle w:val="htmlcodes"/>
        </w:rPr>
        <w:t>&lt;dl compact&gt;&lt;dt&gt;&lt;dd&gt;</w:t>
      </w:r>
      <w:r>
        <w:t>The cmavo “pu'o”, “ca'o”, and “ba'o” represent spans of time: before an event begins, while it is going on, and after it is over, respectively.</w:t>
      </w:r>
    </w:p>
    <w:p w:rsidR="00B72047" w:rsidRDefault="00B72047" w:rsidP="007E67C1">
      <w:pPr>
        <w:pStyle w:val="Listjustified"/>
        <w:numPr>
          <w:ilvl w:val="0"/>
          <w:numId w:val="2"/>
        </w:numPr>
        <w:ind w:left="792" w:hanging="432"/>
      </w:pPr>
      <w:r>
        <w:rPr>
          <w:rStyle w:val="htmlcodes"/>
        </w:rPr>
        <w:t>&lt;p&gt;&lt;dt&gt;&lt;dd&gt;</w:t>
      </w:r>
      <w:r>
        <w:t>The cmavo “co'a”, “de'a”, “di'a”, and “co'u” represent points of time: the start of an event, the temporary stop</w:t>
      </w:r>
      <w:r>
        <w:softHyphen/>
        <w:t>ping of an event, the resumption of an event after a stop, and the end of an event, respectively. Not all events can have breaks in them, in which case “de'a” and “di'a” do not apply.</w:t>
      </w:r>
    </w:p>
    <w:p w:rsidR="00B72047" w:rsidRDefault="00B72047" w:rsidP="007E67C1">
      <w:pPr>
        <w:pStyle w:val="Listjustified"/>
        <w:numPr>
          <w:ilvl w:val="0"/>
          <w:numId w:val="2"/>
        </w:numPr>
        <w:ind w:left="792" w:hanging="432"/>
      </w:pPr>
      <w:r>
        <w:rPr>
          <w:rStyle w:val="htmlcodes"/>
        </w:rPr>
        <w:t>&lt;p&gt;&lt;dt&gt;&lt;dd&gt;</w:t>
      </w:r>
      <w:r>
        <w:t>The cmavo “mo'u” and “za'o” correspond to “co'u” and “ba'o” respectively, in the case of those events which have a natural ending point that may not be the same as the actual ending point: “mo'u” refers to the natural end</w:t>
      </w:r>
      <w:r>
        <w:softHyphen/>
        <w:t>ing point, and “za'o” to the time between the natural ending point and the actual ending point (the “excessive” or “superfective” part of the event).</w:t>
      </w:r>
    </w:p>
    <w:p w:rsidR="00B72047" w:rsidRDefault="00B72047" w:rsidP="007E67C1">
      <w:pPr>
        <w:pStyle w:val="Listjustified"/>
        <w:numPr>
          <w:ilvl w:val="0"/>
          <w:numId w:val="2"/>
        </w:numPr>
        <w:ind w:left="792" w:hanging="432"/>
      </w:pPr>
      <w:r>
        <w:rPr>
          <w:rStyle w:val="htmlcodes"/>
        </w:rPr>
        <w:t>&lt;p&gt;&lt;dt&gt;&lt;dd&gt;</w:t>
      </w:r>
      <w:r>
        <w:t>The cmavo “co'i” represents an entire event considered as a point-event or achievement.</w:t>
      </w:r>
    </w:p>
    <w:p w:rsidR="00B72047" w:rsidRDefault="00B72047">
      <w:pPr>
        <w:pStyle w:val="normalafterexample"/>
      </w:pPr>
      <w:r>
        <w:rPr>
          <w:rStyle w:val="htmlcodes"/>
        </w:rPr>
        <w:t>&lt;/dl&gt;</w:t>
      </w:r>
      <w:r>
        <w:rPr>
          <w:rStyle w:val="indexentry"/>
        </w:rPr>
        <w:t>&lt;lx "pu'u"&gt;</w:t>
      </w:r>
      <w:r>
        <w:rPr>
          <w:rStyle w:val="indexentry"/>
        </w:rPr>
        <w:fldChar w:fldCharType="begin"/>
      </w:r>
      <w:r>
        <w:instrText>xe "</w:instrText>
      </w:r>
      <w:r>
        <w:rPr>
          <w:rStyle w:val="xeentry"/>
        </w:rPr>
        <w:instrText>pu'u</w:instrText>
      </w:r>
      <w:r>
        <w:instrText>"</w:instrText>
      </w:r>
      <w:r>
        <w:rPr>
          <w:rStyle w:val="indexentry"/>
        </w:rPr>
        <w:fldChar w:fldCharType="end"/>
      </w:r>
      <w:r>
        <w:t>All these cmavo are applicable to events seen as processes and abstracted</w:t>
      </w:r>
      <w:r>
        <w:rPr>
          <w:rStyle w:val="deletedparamark"/>
        </w:rPr>
        <w:t xml:space="preserve"> </w:t>
      </w:r>
      <w:r>
        <w:t>with “pu'u”. Only processes have enough internal structure to make</w:t>
      </w:r>
      <w:r>
        <w:rPr>
          <w:rStyle w:val="deletedparamark"/>
        </w:rPr>
        <w:t xml:space="preserve"> </w:t>
      </w:r>
      <w:r>
        <w:t>all these points and spans of time meaningful.</w:t>
      </w:r>
    </w:p>
    <w:p w:rsidR="00B72047" w:rsidRDefault="00B72047">
      <w:pPr>
        <w:rPr>
          <w:rStyle w:val="htmlparacode"/>
        </w:rPr>
      </w:pPr>
      <w:r>
        <w:rPr>
          <w:rStyle w:val="htmlparacode"/>
        </w:rPr>
        <w:t>&lt;p&gt;</w:t>
      </w:r>
    </w:p>
    <w:p w:rsidR="00B72047" w:rsidRDefault="00B72047">
      <w:pPr>
        <w:pStyle w:val="normalparagraph"/>
      </w:pPr>
      <w:r>
        <w:rPr>
          <w:rStyle w:val="indexentry"/>
        </w:rPr>
        <w:t>&lt;cx "state abstraction, related tense contours"&gt;</w:t>
      </w:r>
      <w:r>
        <w:rPr>
          <w:rStyle w:val="indexentry"/>
        </w:rPr>
        <w:fldChar w:fldCharType="begin"/>
      </w:r>
      <w:r>
        <w:instrText>xe "</w:instrText>
      </w:r>
      <w:r>
        <w:rPr>
          <w:rStyle w:val="xeentry"/>
        </w:rPr>
        <w:instrText>state abstraction(s): related tense contours</w:instrText>
      </w:r>
      <w:r>
        <w:instrText>"</w:instrText>
      </w:r>
      <w:r>
        <w:rPr>
          <w:rStyle w:val="indexentry"/>
        </w:rPr>
        <w:fldChar w:fldCharType="end"/>
      </w:r>
      <w:r>
        <w:rPr>
          <w:rStyle w:val="indexentry"/>
        </w:rPr>
        <w:t>&lt;lx "za'i"&gt;</w:t>
      </w:r>
      <w:r>
        <w:rPr>
          <w:rStyle w:val="indexentry"/>
        </w:rPr>
        <w:fldChar w:fldCharType="begin"/>
      </w:r>
      <w:r>
        <w:instrText>xe "</w:instrText>
      </w:r>
      <w:r>
        <w:rPr>
          <w:rStyle w:val="xeentry"/>
        </w:rPr>
        <w:instrText>za'i</w:instrText>
      </w:r>
      <w:r>
        <w:instrText>"</w:instrText>
      </w:r>
      <w:r>
        <w:rPr>
          <w:rStyle w:val="indexentry"/>
        </w:rPr>
        <w:fldChar w:fldCharType="end"/>
      </w:r>
      <w:r>
        <w:t>For events seen as states and abstracted with “za'i”, the meaningful</w:t>
      </w:r>
      <w:r>
        <w:rPr>
          <w:rStyle w:val="deletedparamark"/>
        </w:rPr>
        <w:t xml:space="preserve"> </w:t>
      </w:r>
      <w:r>
        <w:t>event con</w:t>
      </w:r>
      <w:r>
        <w:softHyphen/>
        <w:t>tours are the spans “pu'o”, “ca'o”, and “ba'o”; the starting</w:t>
      </w:r>
      <w:r>
        <w:rPr>
          <w:rStyle w:val="deletedparamark"/>
        </w:rPr>
        <w:t xml:space="preserve"> </w:t>
      </w:r>
      <w:r>
        <w:t>and ending points “co'a” and “co'u”, and the achievement contour “co'i”.</w:t>
      </w:r>
      <w:r>
        <w:rPr>
          <w:rStyle w:val="deletedparamark"/>
        </w:rPr>
        <w:t xml:space="preserve"> </w:t>
      </w:r>
      <w:r>
        <w:t>States do not have natural endings distinct from their actual endings.</w:t>
      </w:r>
      <w:r>
        <w:rPr>
          <w:rStyle w:val="deletedparamark"/>
        </w:rPr>
        <w:t xml:space="preserve"> </w:t>
      </w:r>
      <w:r>
        <w:t>(It is an open question whether states can be stopped and re</w:t>
      </w:r>
      <w:r>
        <w:softHyphen/>
        <w:t>sumed.)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"activity abstraction, related tense contours"&gt;</w:t>
      </w:r>
      <w:r>
        <w:rPr>
          <w:rStyle w:val="indexentry"/>
        </w:rPr>
        <w:fldChar w:fldCharType="begin"/>
      </w:r>
      <w:r>
        <w:instrText>xe "</w:instrText>
      </w:r>
      <w:r>
        <w:rPr>
          <w:rStyle w:val="xeentry"/>
        </w:rPr>
        <w:instrText>activity abstraction(s): related tense contours</w:instrText>
      </w:r>
      <w:r>
        <w:instrText>"</w:instrText>
      </w:r>
      <w:r>
        <w:rPr>
          <w:rStyle w:val="indexentry"/>
        </w:rPr>
        <w:fldChar w:fldCharType="end"/>
      </w:r>
      <w:r>
        <w:rPr>
          <w:rStyle w:val="indexentry"/>
        </w:rPr>
        <w:t>&lt;lx "zu'o"&gt;</w:t>
      </w:r>
      <w:r>
        <w:rPr>
          <w:rStyle w:val="indexentry"/>
        </w:rPr>
        <w:fldChar w:fldCharType="begin"/>
      </w:r>
      <w:r>
        <w:instrText>xe "</w:instrText>
      </w:r>
      <w:r>
        <w:rPr>
          <w:rStyle w:val="xeentry"/>
        </w:rPr>
        <w:instrText>zu'o</w:instrText>
      </w:r>
      <w:r>
        <w:instrText>"</w:instrText>
      </w:r>
      <w:r>
        <w:rPr>
          <w:rStyle w:val="indexentry"/>
        </w:rPr>
        <w:fldChar w:fldCharType="end"/>
      </w:r>
      <w:r>
        <w:t>For events seen as activities and abstracted with “zu'o”, the meaningful</w:t>
      </w:r>
      <w:r>
        <w:rPr>
          <w:rStyle w:val="deletedparamark"/>
        </w:rPr>
        <w:t xml:space="preserve"> </w:t>
      </w:r>
      <w:r>
        <w:t>event co</w:t>
      </w:r>
      <w:r>
        <w:t>n</w:t>
      </w:r>
      <w:r>
        <w:softHyphen/>
        <w:t>tours are the spans “pu'o”, “ca'o”, and “ba'o”, and the achievement</w:t>
      </w:r>
      <w:r>
        <w:rPr>
          <w:rStyle w:val="deletedparamark"/>
        </w:rPr>
        <w:t xml:space="preserve"> </w:t>
      </w:r>
      <w:r>
        <w:t>contour “co'i”. B</w:t>
      </w:r>
      <w:r>
        <w:t>e</w:t>
      </w:r>
      <w:r>
        <w:softHyphen/>
        <w:t>cause activities are inherently cyclic and repetitive,</w:t>
      </w:r>
      <w:r>
        <w:rPr>
          <w:rStyle w:val="deletedparamark"/>
        </w:rPr>
        <w:t xml:space="preserve"> </w:t>
      </w:r>
      <w:r>
        <w:t>the beginning and ending points are not well-defined: you do not know</w:t>
      </w:r>
      <w:r>
        <w:rPr>
          <w:rStyle w:val="deletedparamark"/>
        </w:rPr>
        <w:t xml:space="preserve"> </w:t>
      </w:r>
      <w:r>
        <w:t>whether an activity has truly begun until it be</w:t>
      </w:r>
      <w:r>
        <w:softHyphen/>
        <w:t>gins to repeat.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"point-event abstraction, related tense contours"&gt;</w:t>
      </w:r>
      <w:r>
        <w:rPr>
          <w:rStyle w:val="indexentry"/>
        </w:rPr>
        <w:fldChar w:fldCharType="begin"/>
      </w:r>
      <w:r>
        <w:instrText>xe "</w:instrText>
      </w:r>
      <w:r>
        <w:rPr>
          <w:rStyle w:val="xeentry"/>
        </w:rPr>
        <w:instrText>point-event abstraction(s): related tense contours</w:instrText>
      </w:r>
      <w:r>
        <w:instrText>"</w:instrText>
      </w:r>
      <w:r>
        <w:rPr>
          <w:rStyle w:val="indexentry"/>
        </w:rPr>
        <w:fldChar w:fldCharType="end"/>
      </w:r>
      <w:r>
        <w:rPr>
          <w:rStyle w:val="indexentry"/>
        </w:rPr>
        <w:t>&lt;cx "achievement abstraction, related tense contours"&gt;</w:t>
      </w:r>
      <w:r>
        <w:rPr>
          <w:rStyle w:val="indexentry"/>
        </w:rPr>
        <w:fldChar w:fldCharType="begin"/>
      </w:r>
      <w:r>
        <w:instrText>xe "</w:instrText>
      </w:r>
      <w:r>
        <w:rPr>
          <w:rStyle w:val="xeentry"/>
        </w:rPr>
        <w:instrText>achievement abstraction(s): related tense contours</w:instrText>
      </w:r>
      <w:r>
        <w:instrText>"</w:instrText>
      </w:r>
      <w:r>
        <w:rPr>
          <w:rStyle w:val="indexentry"/>
        </w:rPr>
        <w:fldChar w:fldCharType="end"/>
      </w:r>
      <w:r>
        <w:t>For events seen as point-events and abstracted with “mu'e”, the meaningful</w:t>
      </w:r>
      <w:r>
        <w:rPr>
          <w:rStyle w:val="deletedparamark"/>
        </w:rPr>
        <w:t xml:space="preserve"> </w:t>
      </w:r>
      <w:r>
        <w:t>event contours are the spans “pu'o” and “ba'o” but not “ca'o” (a point-event</w:t>
      </w:r>
      <w:r>
        <w:rPr>
          <w:rStyle w:val="deletedparamark"/>
        </w:rPr>
        <w:t xml:space="preserve"> </w:t>
      </w:r>
      <w:r>
        <w:t>has no du</w:t>
      </w:r>
      <w:r>
        <w:softHyphen/>
        <w:t>ration), and the achievement contour “co'i”.</w:t>
      </w:r>
    </w:p>
    <w:p w:rsidR="00B72047" w:rsidRDefault="00B72047">
      <w:pPr>
        <w:pStyle w:val="normalparagraph"/>
        <w:rPr>
          <w:rStyle w:val="htmlparacode"/>
        </w:rPr>
      </w:pPr>
      <w:r>
        <w:rPr>
          <w:rStyle w:val="htmlparacode"/>
        </w:rPr>
        <w:t>&lt;p&gt;</w:t>
      </w:r>
    </w:p>
    <w:p w:rsidR="00B72047" w:rsidRDefault="00B72047">
      <w:pPr>
        <w:pStyle w:val="normalparagraph"/>
      </w:pPr>
      <w:r>
        <w:t>Note that the parts of events are themselves events, and may be treated</w:t>
      </w:r>
      <w:r>
        <w:rPr>
          <w:rStyle w:val="deletedparamark"/>
        </w:rPr>
        <w:t xml:space="preserve"> </w:t>
      </w:r>
      <w:r>
        <w:t>as such. The points in time may be seen as “mu'e” point-events; the spans</w:t>
      </w:r>
      <w:r>
        <w:rPr>
          <w:rStyle w:val="deletedparamark"/>
        </w:rPr>
        <w:t xml:space="preserve"> </w:t>
      </w:r>
      <w:r>
        <w:t>of time may constitute pro</w:t>
      </w:r>
      <w:r>
        <w:t>c</w:t>
      </w:r>
      <w:r>
        <w:softHyphen/>
        <w:t>esses or activities. Therefore, Lojban allows us</w:t>
      </w:r>
      <w:r>
        <w:rPr>
          <w:rStyle w:val="deletedparamark"/>
        </w:rPr>
        <w:t xml:space="preserve"> </w:t>
      </w:r>
      <w:r>
        <w:t>to refer to processes within proc</w:t>
      </w:r>
      <w:r>
        <w:softHyphen/>
        <w:t>esses, activities within states, and many</w:t>
      </w:r>
      <w:r>
        <w:rPr>
          <w:rStyle w:val="deletedparamark"/>
        </w:rPr>
        <w:t xml:space="preserve"> </w:t>
      </w:r>
      <w:r>
        <w:t>other complicated abstract things.</w:t>
      </w:r>
    </w:p>
    <w:p w:rsidR="00B72047" w:rsidRDefault="00B72047">
      <w:pPr>
        <w:rPr>
          <w:rStyle w:val="htmlparacode"/>
        </w:rPr>
      </w:pPr>
      <w:r>
        <w:rPr>
          <w:rStyle w:val="htmlparacode"/>
        </w:rPr>
        <w:t>&lt;p&gt;</w:t>
      </w:r>
    </w:p>
    <w:p w:rsidR="00B72047" w:rsidRDefault="00B72047">
      <w:pPr>
        <w:pStyle w:val="Heading3"/>
        <w:rPr>
          <w:rStyle w:val="Heading3Text"/>
        </w:rPr>
      </w:pPr>
      <w:bookmarkStart w:id="372" w:name="_Toc398970616"/>
      <w:r>
        <w:rPr>
          <w:rStyle w:val="Heading3Text"/>
        </w:rPr>
        <w:t>Abstractor connection</w:t>
      </w:r>
      <w:bookmarkEnd w:id="372"/>
      <w:r>
        <w:rPr>
          <w:rStyle w:val="htmlcodes"/>
        </w:rPr>
        <w:t>&lt;/h3&gt;</w:t>
      </w:r>
    </w:p>
    <w:p w:rsidR="00B72047" w:rsidRDefault="00B72047">
      <w:pPr>
        <w:rPr>
          <w:rStyle w:val="htmlparacode"/>
        </w:rPr>
      </w:pPr>
      <w:r>
        <w:rPr>
          <w:rStyle w:val="htmlparacode"/>
        </w:rPr>
        <w:t>&lt;p&gt;</w:t>
      </w:r>
      <w:r>
        <w:rPr>
          <w:rStyle w:val="indexentry"/>
        </w:rPr>
        <w:t>&lt;cx "abstractions, connection"&gt;</w:t>
      </w:r>
      <w:r>
        <w:rPr>
          <w:rStyle w:val="indexentry"/>
        </w:rPr>
        <w:fldChar w:fldCharType="begin"/>
      </w:r>
      <w:r>
        <w:instrText>xe "</w:instrText>
      </w:r>
      <w:r>
        <w:rPr>
          <w:rStyle w:val="xeentry"/>
        </w:rPr>
        <w:instrText>abstraction(s): connection</w:instrText>
      </w:r>
      <w:r>
        <w:instrText>"</w:instrText>
      </w:r>
      <w:r>
        <w:rPr>
          <w:rStyle w:val="indexentry"/>
        </w:rPr>
        <w:fldChar w:fldCharType="end"/>
      </w:r>
      <w:r>
        <w:rPr>
          <w:rStyle w:val="indexentry"/>
        </w:rPr>
        <w:t>&lt;cx "connectives, for abstractions"&gt;</w:t>
      </w:r>
      <w:r>
        <w:rPr>
          <w:rStyle w:val="indexentry"/>
        </w:rPr>
        <w:fldChar w:fldCharType="begin"/>
      </w:r>
      <w:r>
        <w:instrText>xe "</w:instrText>
      </w:r>
      <w:r>
        <w:rPr>
          <w:rStyle w:val="xeentry"/>
        </w:rPr>
        <w:instrText>connectives: for abstractions</w:instrText>
      </w:r>
      <w:r>
        <w:instrText>"</w:instrText>
      </w:r>
      <w:r>
        <w:rPr>
          <w:rStyle w:val="indexentry"/>
        </w:rPr>
        <w:fldChar w:fldCharType="end"/>
      </w:r>
      <w:r>
        <w:rPr>
          <w:rStyle w:val="htmlcodes"/>
        </w:rPr>
        <w:t>&lt;a name=s12&gt;&lt;h3&gt;</w:t>
      </w:r>
    </w:p>
    <w:p w:rsidR="00B72047" w:rsidRDefault="00B72047">
      <w:pPr>
        <w:pStyle w:val="normalparagraph"/>
      </w:pPr>
      <w:r>
        <w:t>An abstractor may be replaced by two or more abstractors joined by logical</w:t>
      </w:r>
      <w:r>
        <w:rPr>
          <w:rStyle w:val="deletedparamark"/>
        </w:rPr>
        <w:t xml:space="preserve"> </w:t>
      </w:r>
      <w:r>
        <w:t>or non-logical connectives. Connectives are ex</w:t>
      </w:r>
      <w:r>
        <w:softHyphen/>
        <w:t xml:space="preserve">plained in detail in </w:t>
      </w:r>
      <w:r>
        <w:rPr>
          <w:rStyle w:val="htmlcodes"/>
        </w:rPr>
        <w:t>&lt;a href=chap14.html&gt;</w:t>
      </w:r>
      <w:r>
        <w:t>Chapter 14</w:t>
      </w:r>
      <w:r>
        <w:rPr>
          <w:rStyle w:val="htmlcodes"/>
        </w:rPr>
        <w:t>&lt;/a&gt;</w:t>
      </w:r>
      <w:r>
        <w:t>.</w:t>
      </w:r>
      <w:r>
        <w:rPr>
          <w:rStyle w:val="deletedparamark"/>
        </w:rPr>
        <w:t xml:space="preserve"> </w:t>
      </w:r>
      <w:r>
        <w:t>The con</w:t>
      </w:r>
      <w:r>
        <w:softHyphen/>
        <w:t>nection can be expanded to one between two bridi which differ only in</w:t>
      </w:r>
      <w:r>
        <w:rPr>
          <w:rStyle w:val="deletedparamark"/>
        </w:rPr>
        <w:t xml:space="preserve"> </w:t>
      </w:r>
      <w:r>
        <w:t xml:space="preserve">abstraction marker. </w:t>
      </w:r>
      <w:r>
        <w:rPr>
          <w:rStyle w:val="htmlcodes"/>
        </w:rPr>
        <w:t>&lt;a href=#e13d1&gt;</w:t>
      </w:r>
      <w:r>
        <w:t>E</w:t>
      </w:r>
      <w:r>
        <w:t>x</w:t>
      </w:r>
      <w:r>
        <w:t>am</w:t>
      </w:r>
      <w:r>
        <w:softHyphen/>
        <w:t xml:space="preserve">ple 13.1 </w:t>
      </w:r>
      <w:r>
        <w:rPr>
          <w:rStyle w:val="htmlcodes"/>
        </w:rPr>
        <w:t>&lt;/a&gt;</w:t>
      </w:r>
      <w:r>
        <w:t xml:space="preserve">and </w:t>
      </w:r>
      <w:r>
        <w:rPr>
          <w:rStyle w:val="htmlcodes"/>
        </w:rPr>
        <w:t>&lt;a href=#e13d2&gt;</w:t>
      </w:r>
      <w:r>
        <w:t xml:space="preserve">Example 13.2 </w:t>
      </w:r>
      <w:r>
        <w:rPr>
          <w:rStyle w:val="htmlcodes"/>
        </w:rPr>
        <w:t>&lt;/a&gt;</w:t>
      </w:r>
      <w:r>
        <w:t>are equivalent in 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le ka la frank. ciska cu xlali</w:t>
      </w:r>
    </w:p>
    <w:p w:rsidR="00B72047" w:rsidRDefault="00B72047">
      <w:pPr>
        <w:pStyle w:val="examplescaled"/>
      </w:pPr>
      <w:r>
        <w:tab/>
      </w:r>
      <w:r>
        <w:tab/>
        <w:t>.ije le ni la frank. ciska cu xlali</w:t>
      </w:r>
    </w:p>
    <w:p w:rsidR="00B72047" w:rsidRDefault="00B72047">
      <w:pPr>
        <w:pStyle w:val="examplescaled"/>
      </w:pPr>
      <w:r>
        <w:tab/>
        <w:t xml:space="preserve">The quality-of Frank's writing is bad, </w:t>
      </w:r>
    </w:p>
    <w:p w:rsidR="00B72047" w:rsidRDefault="00B72047">
      <w:pPr>
        <w:pStyle w:val="examplescaled"/>
      </w:pPr>
      <w:r>
        <w:tab/>
      </w:r>
      <w:r>
        <w:tab/>
        <w:t>and the quantity of Frank's writing is bad.</w:t>
      </w:r>
    </w:p>
    <w:p w:rsidR="00B72047" w:rsidRDefault="00B72047">
      <w:pPr>
        <w:pStyle w:val="examplescaledpre"/>
      </w:pPr>
      <w:r>
        <w:rPr>
          <w:rStyle w:val="htmlcodes"/>
        </w:rPr>
        <w:t>&lt;a name=e13d2&gt;</w:t>
      </w:r>
      <w:r>
        <w:t>13.2)</w:t>
      </w:r>
      <w:r>
        <w:tab/>
        <w:t>le ka je ni la frank. ciska cu xlali</w:t>
      </w:r>
    </w:p>
    <w:p w:rsidR="00B72047" w:rsidRDefault="00B72047">
      <w:pPr>
        <w:pStyle w:val="examplescaled"/>
      </w:pPr>
      <w:r>
        <w:tab/>
        <w:t>The quality and quantity of Frank's writing is bad.</w:t>
      </w:r>
    </w:p>
    <w:p w:rsidR="00B72047" w:rsidRDefault="00B72047">
      <w:pPr>
        <w:pStyle w:val="resumedafterexample"/>
      </w:pPr>
      <w:r>
        <w:rPr>
          <w:rStyle w:val="htmlcodes"/>
        </w:rPr>
        <w:t>&lt;/pre&gt;&lt;p&gt;</w:t>
      </w:r>
      <w:r>
        <w:t>This feature of Lojban has hardly ever been used, and nobody knows what uses</w:t>
      </w:r>
      <w:r>
        <w:rPr>
          <w:rStyle w:val="deletedparamark"/>
        </w:rPr>
        <w:t xml:space="preserve"> </w:t>
      </w:r>
      <w:r>
        <w:t>it may eventually have.</w:t>
      </w:r>
    </w:p>
    <w:p w:rsidR="00B72047" w:rsidRDefault="00B72047">
      <w:pPr>
        <w:rPr>
          <w:rStyle w:val="htmlparacode"/>
        </w:rPr>
      </w:pPr>
      <w:r>
        <w:rPr>
          <w:rStyle w:val="htmlparacode"/>
        </w:rPr>
        <w:t>&lt;p&gt;</w:t>
      </w:r>
    </w:p>
    <w:p w:rsidR="00B72047" w:rsidRDefault="00B72047">
      <w:pPr>
        <w:pStyle w:val="Heading3"/>
        <w:rPr>
          <w:rStyle w:val="Heading3Text"/>
        </w:rPr>
      </w:pPr>
      <w:bookmarkStart w:id="373" w:name="_Toc398970617"/>
      <w:r>
        <w:rPr>
          <w:rStyle w:val="Heading3Text"/>
        </w:rPr>
        <w:t>Table of abstractors</w:t>
      </w:r>
      <w:bookmarkEnd w:id="373"/>
      <w:r>
        <w:rPr>
          <w:rStyle w:val="htmlcodes"/>
        </w:rPr>
        <w:t>&lt;/h3&gt;</w:t>
      </w:r>
    </w:p>
    <w:p w:rsidR="00B72047" w:rsidRDefault="00B72047">
      <w:pPr>
        <w:rPr>
          <w:rStyle w:val="htmlparacode"/>
        </w:rPr>
      </w:pPr>
      <w:r>
        <w:rPr>
          <w:rStyle w:val="htmlparacode"/>
        </w:rPr>
        <w:t>&lt;p&gt;</w:t>
      </w:r>
      <w:r>
        <w:rPr>
          <w:rStyle w:val="indexentry"/>
        </w:rPr>
        <w:t>&lt;cx "abstraction, table"&gt;</w:t>
      </w:r>
      <w:r>
        <w:rPr>
          <w:rStyle w:val="indexentry"/>
        </w:rPr>
        <w:fldChar w:fldCharType="begin"/>
      </w:r>
      <w:r>
        <w:instrText>xe "</w:instrText>
      </w:r>
      <w:r>
        <w:rPr>
          <w:rStyle w:val="xeentry"/>
        </w:rPr>
        <w:instrText>abstraction(s): table</w:instrText>
      </w:r>
      <w:r>
        <w:instrText>"</w:instrText>
      </w:r>
      <w:r>
        <w:rPr>
          <w:rStyle w:val="indexentry"/>
        </w:rPr>
        <w:fldChar w:fldCharType="end"/>
      </w:r>
      <w:r>
        <w:rPr>
          <w:rStyle w:val="htmlcodes"/>
        </w:rPr>
        <w:t>&lt;a name=s13&gt;&lt;h3&gt;</w:t>
      </w:r>
    </w:p>
    <w:p w:rsidR="00B72047" w:rsidRDefault="00B72047">
      <w:pPr>
        <w:pStyle w:val="normalparagraph"/>
      </w:pPr>
      <w:r>
        <w:t>The following table gives each abstractor, an English gloss for it, a</w:t>
      </w:r>
      <w:r>
        <w:rPr>
          <w:rStyle w:val="deletedparamark"/>
        </w:rPr>
        <w:t xml:space="preserve"> </w:t>
      </w:r>
      <w:r>
        <w:t>Lojban gismu which is connected with it (more or less re</w:t>
      </w:r>
      <w:r>
        <w:softHyphen/>
        <w:t>motely: the</w:t>
      </w:r>
      <w:r>
        <w:rPr>
          <w:rStyle w:val="deletedparamark"/>
        </w:rPr>
        <w:t xml:space="preserve"> </w:t>
      </w:r>
      <w:r>
        <w:t>associations between ab</w:t>
      </w:r>
      <w:r>
        <w:softHyphen/>
        <w:t>stractors and gismu are meant more as memory hooks</w:t>
      </w:r>
      <w:r>
        <w:rPr>
          <w:rStyle w:val="deletedparamark"/>
        </w:rPr>
        <w:t xml:space="preserve"> </w:t>
      </w:r>
      <w:r>
        <w:t>than for any kind of inference), the rafsi as</w:t>
      </w:r>
      <w:r>
        <w:softHyphen/>
        <w:t>sociated with it, and (on</w:t>
      </w:r>
      <w:r>
        <w:rPr>
          <w:rStyle w:val="deletedparamark"/>
        </w:rPr>
        <w:t xml:space="preserve"> </w:t>
      </w:r>
      <w:r>
        <w:t>the following line) its place structure.</w:t>
      </w:r>
    </w:p>
    <w:p w:rsidR="00B72047" w:rsidRDefault="00B72047" w:rsidP="007E67C1">
      <w:pPr>
        <w:pStyle w:val="Listnobullcontinued"/>
        <w:numPr>
          <w:ilvl w:val="0"/>
          <w:numId w:val="0"/>
        </w:numPr>
        <w:ind w:left="864" w:hanging="504"/>
        <w:rPr>
          <w:rStyle w:val="htmlparacode"/>
        </w:rPr>
      </w:pPr>
      <w:r>
        <w:rPr>
          <w:rStyle w:val="htmlparacode"/>
        </w:rPr>
        <w:t>&lt;p&gt;</w:t>
      </w:r>
    </w:p>
    <w:p w:rsidR="00B72047" w:rsidRDefault="00B72047">
      <w:pPr>
        <w:pStyle w:val="examplecomptabspre"/>
      </w:pPr>
      <w:r>
        <w:rPr>
          <w:rStyle w:val="htmlcodes"/>
        </w:rPr>
        <w:t>&lt;pre&gt;</w:t>
      </w:r>
      <w:r>
        <w:t xml:space="preserve">nu </w:t>
      </w:r>
      <w:r>
        <w:tab/>
        <w:t>event of</w:t>
      </w:r>
      <w:r>
        <w:tab/>
      </w:r>
      <w:r>
        <w:tab/>
        <w:t>fasnu</w:t>
      </w:r>
      <w:r>
        <w:tab/>
      </w:r>
      <w:r>
        <w:tab/>
        <w:t>nun</w:t>
      </w:r>
    </w:p>
    <w:p w:rsidR="00B72047" w:rsidRDefault="00B72047">
      <w:pPr>
        <w:pStyle w:val="examplecomptabs"/>
        <w:rPr>
          <w:rStyle w:val="deletedparamark"/>
        </w:rPr>
      </w:pPr>
      <w:r>
        <w:tab/>
      </w:r>
      <w:r>
        <w:tab/>
        <w:t>x1 is an event of (the bridi)</w:t>
      </w:r>
      <w:r>
        <w:rPr>
          <w:rStyle w:val="deletedparamark"/>
        </w:rPr>
        <w:t xml:space="preserve"> </w:t>
      </w:r>
    </w:p>
    <w:p w:rsidR="00B72047" w:rsidRDefault="00B72047">
      <w:pPr>
        <w:pStyle w:val="examplecomptabspre"/>
      </w:pPr>
      <w:r>
        <w:t>ka</w:t>
      </w:r>
      <w:r>
        <w:tab/>
        <w:t>property of</w:t>
      </w:r>
      <w:r>
        <w:tab/>
        <w:t>ckaji</w:t>
      </w:r>
      <w:r>
        <w:tab/>
      </w:r>
      <w:r>
        <w:tab/>
        <w:t>kam</w:t>
      </w:r>
    </w:p>
    <w:p w:rsidR="00B72047" w:rsidRDefault="00B72047">
      <w:pPr>
        <w:pStyle w:val="examplecomptabs"/>
        <w:rPr>
          <w:rStyle w:val="deletedparamark"/>
        </w:rPr>
      </w:pPr>
      <w:r>
        <w:tab/>
      </w:r>
      <w:r>
        <w:tab/>
        <w:t>x1 is a property of (the bridi)</w:t>
      </w:r>
      <w:r>
        <w:rPr>
          <w:rStyle w:val="deletedparamark"/>
        </w:rPr>
        <w:t xml:space="preserve"> </w:t>
      </w:r>
    </w:p>
    <w:p w:rsidR="00B72047" w:rsidRDefault="00B72047">
      <w:pPr>
        <w:pStyle w:val="examplecomptabspre"/>
      </w:pPr>
      <w:r>
        <w:t>ni</w:t>
      </w:r>
      <w:r>
        <w:tab/>
        <w:t>amount of</w:t>
      </w:r>
      <w:r>
        <w:tab/>
        <w:t>klani</w:t>
      </w:r>
      <w:r>
        <w:tab/>
      </w:r>
      <w:r>
        <w:tab/>
        <w:t>nil</w:t>
      </w:r>
    </w:p>
    <w:p w:rsidR="00B72047" w:rsidRDefault="00B72047">
      <w:pPr>
        <w:pStyle w:val="examplecomptabs"/>
        <w:rPr>
          <w:rStyle w:val="deletedparamark"/>
        </w:rPr>
      </w:pPr>
      <w:r>
        <w:tab/>
      </w:r>
      <w:r>
        <w:tab/>
        <w:t>x1 is an amount of (the bridi) measured on scale x2</w:t>
      </w:r>
      <w:r>
        <w:rPr>
          <w:rStyle w:val="deletedparamark"/>
        </w:rPr>
        <w:t xml:space="preserve"> </w:t>
      </w:r>
    </w:p>
    <w:p w:rsidR="00B72047" w:rsidRDefault="00B72047">
      <w:pPr>
        <w:pStyle w:val="examplecomptabspre"/>
      </w:pPr>
      <w:r>
        <w:t>jei</w:t>
      </w:r>
      <w:r>
        <w:tab/>
        <w:t>truth-value of</w:t>
      </w:r>
      <w:r>
        <w:tab/>
        <w:t>jetnu</w:t>
      </w:r>
      <w:r>
        <w:tab/>
      </w:r>
      <w:r>
        <w:tab/>
        <w:t>jez</w:t>
      </w:r>
    </w:p>
    <w:p w:rsidR="00B72047" w:rsidRDefault="00B72047">
      <w:pPr>
        <w:pStyle w:val="examplecomptabs"/>
        <w:rPr>
          <w:rStyle w:val="deletedparamark"/>
        </w:rPr>
      </w:pPr>
      <w:r>
        <w:tab/>
      </w:r>
      <w:r>
        <w:tab/>
        <w:t>x1 is a truth-value of (the bridi) under epistemology x2</w:t>
      </w:r>
      <w:r>
        <w:rPr>
          <w:rStyle w:val="deletedparamark"/>
        </w:rPr>
        <w:t xml:space="preserve"> </w:t>
      </w:r>
    </w:p>
    <w:p w:rsidR="00B72047" w:rsidRDefault="00B72047">
      <w:pPr>
        <w:pStyle w:val="examplecomptabspre"/>
      </w:pPr>
      <w:r>
        <w:t>li'i</w:t>
      </w:r>
      <w:r>
        <w:tab/>
        <w:t>experience of</w:t>
      </w:r>
      <w:r>
        <w:tab/>
        <w:t>lifri</w:t>
      </w:r>
      <w:r>
        <w:tab/>
      </w:r>
      <w:r>
        <w:tab/>
        <w:t>liz</w:t>
      </w:r>
    </w:p>
    <w:p w:rsidR="00B72047" w:rsidRDefault="00B72047">
      <w:pPr>
        <w:pStyle w:val="examplecomptabs"/>
        <w:rPr>
          <w:rStyle w:val="deletedparamark"/>
        </w:rPr>
      </w:pPr>
      <w:r>
        <w:tab/>
      </w:r>
      <w:r>
        <w:tab/>
        <w:t>x1 is an experience of (the bridi) to experiencer x2</w:t>
      </w:r>
      <w:r>
        <w:rPr>
          <w:rStyle w:val="deletedparamark"/>
        </w:rPr>
        <w:t xml:space="preserve"> </w:t>
      </w:r>
    </w:p>
    <w:p w:rsidR="00B72047" w:rsidRDefault="00B72047">
      <w:pPr>
        <w:pStyle w:val="examplecomptabspre"/>
      </w:pPr>
      <w:r>
        <w:t>si'o</w:t>
      </w:r>
      <w:r>
        <w:tab/>
        <w:t>idea of</w:t>
      </w:r>
      <w:r>
        <w:tab/>
      </w:r>
      <w:r>
        <w:tab/>
        <w:t>sidbo</w:t>
      </w:r>
      <w:r>
        <w:tab/>
      </w:r>
      <w:r>
        <w:tab/>
        <w:t>siz</w:t>
      </w:r>
    </w:p>
    <w:p w:rsidR="00B72047" w:rsidRDefault="00B72047">
      <w:pPr>
        <w:pStyle w:val="examplecomptabs"/>
        <w:rPr>
          <w:rStyle w:val="deletedparamark"/>
        </w:rPr>
      </w:pPr>
      <w:r>
        <w:tab/>
      </w:r>
      <w:r>
        <w:tab/>
        <w:t>x1 is an idea/concept of (the bridi) in the mind of x2</w:t>
      </w:r>
      <w:r>
        <w:rPr>
          <w:rStyle w:val="deletedparamark"/>
        </w:rPr>
        <w:t xml:space="preserve"> </w:t>
      </w:r>
    </w:p>
    <w:p w:rsidR="00B72047" w:rsidRDefault="00B72047">
      <w:pPr>
        <w:pStyle w:val="examplecomptabspre"/>
      </w:pPr>
      <w:r>
        <w:t>du'u</w:t>
      </w:r>
      <w:r>
        <w:tab/>
        <w:t>predication of</w:t>
      </w:r>
      <w:r>
        <w:tab/>
        <w:t>—–</w:t>
      </w:r>
      <w:r>
        <w:tab/>
      </w:r>
      <w:r>
        <w:tab/>
        <w:t>dum</w:t>
      </w:r>
    </w:p>
    <w:p w:rsidR="00B72047" w:rsidRDefault="00B72047">
      <w:pPr>
        <w:pStyle w:val="examplecomptabs"/>
        <w:rPr>
          <w:rStyle w:val="deletedparamark"/>
        </w:rPr>
      </w:pPr>
      <w:r>
        <w:tab/>
      </w:r>
      <w:r>
        <w:tab/>
        <w:t>x1 is the bridi (the bridi) expressed by sentence x2</w:t>
      </w:r>
      <w:r>
        <w:rPr>
          <w:rStyle w:val="deletedparamark"/>
        </w:rPr>
        <w:t xml:space="preserve"> </w:t>
      </w:r>
    </w:p>
    <w:p w:rsidR="00B72047" w:rsidRDefault="00B72047">
      <w:pPr>
        <w:pStyle w:val="examplecomptabspre"/>
        <w:spacing w:before="0"/>
      </w:pPr>
      <w:r>
        <w:br w:type="page"/>
        <w:t>su'u</w:t>
      </w:r>
      <w:r>
        <w:tab/>
        <w:t>abstraction of</w:t>
      </w:r>
      <w:r>
        <w:tab/>
        <w:t>sucta</w:t>
      </w:r>
      <w:r>
        <w:tab/>
      </w:r>
      <w:r>
        <w:tab/>
        <w:t>sus</w:t>
      </w:r>
    </w:p>
    <w:p w:rsidR="00B72047" w:rsidRDefault="00B72047">
      <w:pPr>
        <w:pStyle w:val="examplecomptabs"/>
        <w:rPr>
          <w:rStyle w:val="deletedparamark"/>
        </w:rPr>
      </w:pPr>
      <w:r>
        <w:tab/>
      </w:r>
      <w:r>
        <w:tab/>
        <w:t>x1 is an abstract nature of (the bridi)</w:t>
      </w:r>
      <w:r>
        <w:rPr>
          <w:rStyle w:val="deletedparamark"/>
        </w:rPr>
        <w:t xml:space="preserve"> </w:t>
      </w:r>
    </w:p>
    <w:p w:rsidR="00B72047" w:rsidRDefault="00B72047">
      <w:pPr>
        <w:pStyle w:val="examplecomptabspre"/>
      </w:pPr>
      <w:r>
        <w:t>za'i</w:t>
      </w:r>
      <w:r>
        <w:tab/>
        <w:t>state of</w:t>
      </w:r>
      <w:r>
        <w:tab/>
      </w:r>
      <w:r>
        <w:tab/>
        <w:t>zasti</w:t>
      </w:r>
      <w:r>
        <w:tab/>
      </w:r>
      <w:r>
        <w:tab/>
        <w:t>zam</w:t>
      </w:r>
    </w:p>
    <w:p w:rsidR="00B72047" w:rsidRDefault="00B72047">
      <w:pPr>
        <w:pStyle w:val="examplecomptabs"/>
        <w:rPr>
          <w:rStyle w:val="deletedparamark"/>
        </w:rPr>
      </w:pPr>
      <w:r>
        <w:tab/>
      </w:r>
      <w:r>
        <w:tab/>
        <w:t>x1 is a state of (the bridi)</w:t>
      </w:r>
      <w:r>
        <w:rPr>
          <w:rStyle w:val="deletedparamark"/>
        </w:rPr>
        <w:t xml:space="preserve"> </w:t>
      </w:r>
    </w:p>
    <w:p w:rsidR="00B72047" w:rsidRDefault="00B72047">
      <w:pPr>
        <w:pStyle w:val="examplecomptabspre"/>
      </w:pPr>
      <w:r>
        <w:t>zu'o</w:t>
      </w:r>
      <w:r>
        <w:tab/>
        <w:t>activity of</w:t>
      </w:r>
      <w:r>
        <w:tab/>
        <w:t>zukte</w:t>
      </w:r>
      <w:r>
        <w:tab/>
      </w:r>
      <w:r>
        <w:tab/>
        <w:t>zum</w:t>
      </w:r>
    </w:p>
    <w:p w:rsidR="00B72047" w:rsidRDefault="00B72047">
      <w:pPr>
        <w:pStyle w:val="examplecomptabs"/>
        <w:rPr>
          <w:rStyle w:val="deletedparamark"/>
        </w:rPr>
      </w:pPr>
      <w:r>
        <w:tab/>
      </w:r>
      <w:r>
        <w:tab/>
        <w:t>x1 is an activity of (the bridi)</w:t>
      </w:r>
      <w:r>
        <w:rPr>
          <w:rStyle w:val="deletedparamark"/>
        </w:rPr>
        <w:t xml:space="preserve"> </w:t>
      </w:r>
    </w:p>
    <w:p w:rsidR="00B72047" w:rsidRDefault="00B72047">
      <w:pPr>
        <w:pStyle w:val="examplecomptabspre"/>
      </w:pPr>
      <w:r>
        <w:t>pu'u</w:t>
      </w:r>
      <w:r>
        <w:tab/>
        <w:t>process of</w:t>
      </w:r>
      <w:r>
        <w:tab/>
        <w:t>pruce</w:t>
      </w:r>
      <w:r>
        <w:tab/>
      </w:r>
      <w:r>
        <w:tab/>
        <w:t>pup</w:t>
      </w:r>
    </w:p>
    <w:p w:rsidR="00B72047" w:rsidRDefault="00B72047">
      <w:pPr>
        <w:pStyle w:val="examplecomptabs"/>
        <w:rPr>
          <w:rStyle w:val="deletedparamark"/>
        </w:rPr>
      </w:pPr>
      <w:r>
        <w:tab/>
      </w:r>
      <w:r>
        <w:tab/>
        <w:t>x1 is a process of (the bridi)</w:t>
      </w:r>
      <w:r>
        <w:rPr>
          <w:rStyle w:val="deletedparamark"/>
        </w:rPr>
        <w:t xml:space="preserve"> </w:t>
      </w:r>
    </w:p>
    <w:p w:rsidR="00B72047" w:rsidRDefault="00B72047">
      <w:pPr>
        <w:pStyle w:val="examplecomptabspre"/>
      </w:pPr>
      <w:r>
        <w:t>mu'e</w:t>
      </w:r>
      <w:r>
        <w:tab/>
        <w:t>point-event of</w:t>
      </w:r>
      <w:r>
        <w:tab/>
        <w:t>mulno</w:t>
      </w:r>
      <w:r>
        <w:tab/>
      </w:r>
      <w:r>
        <w:tab/>
        <w:t>mub</w:t>
      </w:r>
    </w:p>
    <w:p w:rsidR="00B72047" w:rsidRDefault="00B72047">
      <w:pPr>
        <w:pStyle w:val="examplecomptabs"/>
      </w:pPr>
      <w:r>
        <w:tab/>
      </w:r>
      <w:r>
        <w:tab/>
        <w:t>x1 is a point-event/achievement of (the bridi)</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codes"/>
        </w:rPr>
        <w:t>&lt;/body&gt;&lt;/html&gt;</w:t>
      </w:r>
    </w:p>
    <w:p w:rsidR="00B72047" w:rsidRDefault="00B72047">
      <w:pPr>
        <w:pStyle w:val="normalparagraph"/>
        <w:rPr>
          <w:rStyle w:val="htmlcodes"/>
        </w:rPr>
      </w:pPr>
      <w:r>
        <w:rPr>
          <w:rStyle w:val="htmlcodes"/>
        </w:rPr>
        <w:t>&lt;img src=chap12.gif alt=[Cartoon] align=center width=405 height=405&gt;</w:t>
      </w:r>
    </w:p>
    <w:p w:rsidR="00B72047" w:rsidRDefault="00B72047">
      <w:pPr>
        <w:pStyle w:val="resumedafterexample"/>
      </w:pPr>
      <w:r>
        <w:object w:dxaOrig="5961" w:dyaOrig="6067">
          <v:shape id="_x0000_i1036" type="#_x0000_t75" style="width:355.5pt;height:547.5pt" o:ole="">
            <v:imagedata r:id="rId31" o:title="" croptop="-26443f" cropbottom="-26443f" cropleft="-6333f" cropright="-6333f"/>
          </v:shape>
          <o:OLEObject Type="Embed" ProgID="Word.Picture.8" ShapeID="_x0000_i1036" DrawAspect="Content" ObjectID="_1316276193" r:id="rId32"/>
        </w:obje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374" w:name="_Toc395684366"/>
      <w:bookmarkStart w:id="375" w:name="_Toc398970618"/>
      <w:r>
        <w:t>Chapter 12</w:t>
      </w:r>
      <w:bookmarkEnd w:id="374"/>
      <w:bookmarkEnd w:id="375"/>
    </w:p>
    <w:p w:rsidR="00B72047" w:rsidRDefault="00B72047">
      <w:pPr>
        <w:pStyle w:val="Heading2"/>
        <w:rPr>
          <w:rStyle w:val="htmlcodes"/>
        </w:rPr>
      </w:pPr>
      <w:r>
        <w:rPr>
          <w:rStyle w:val="htmlcodes"/>
        </w:rPr>
        <w:t>&lt;br&gt;</w:t>
      </w:r>
    </w:p>
    <w:p w:rsidR="00B72047" w:rsidRDefault="00B72047">
      <w:pPr>
        <w:pStyle w:val="Heading2"/>
      </w:pPr>
      <w:bookmarkStart w:id="376" w:name="_Toc398970619"/>
      <w:r>
        <w:t>Dog House And White House: Determining lujvo Place Stru</w:t>
      </w:r>
      <w:r>
        <w:t>c</w:t>
      </w:r>
      <w:r>
        <w:softHyphen/>
        <w:t>tures</w:t>
      </w:r>
      <w:bookmarkEnd w:id="376"/>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pStyle w:val="Heading3"/>
        <w:rPr>
          <w:rStyle w:val="Heading3Text"/>
        </w:rPr>
      </w:pPr>
      <w:bookmarkStart w:id="377" w:name="_Toc398970620"/>
      <w:r>
        <w:rPr>
          <w:rStyle w:val="Heading3Text"/>
        </w:rPr>
        <w:t>Why have lujvo?</w:t>
      </w:r>
      <w:bookmarkEnd w:id="377"/>
      <w:r>
        <w:rPr>
          <w:rStyle w:val="htmlcodes"/>
        </w:rPr>
        <w:t>&lt;/h3&gt;</w:t>
      </w:r>
    </w:p>
    <w:p w:rsidR="00B72047" w:rsidRDefault="00B72047">
      <w:pPr>
        <w:rPr>
          <w:rStyle w:val="htmlparacode"/>
        </w:rPr>
      </w:pPr>
      <w:r>
        <w:rPr>
          <w:rStyle w:val="htmlparacode"/>
        </w:rPr>
        <w:t>&lt;p&gt;</w:t>
      </w:r>
      <w:r>
        <w:rPr>
          <w:rStyle w:val="indexentry"/>
        </w:rPr>
        <w:t>&lt;cx "lujvo, place structure of"&gt;</w:t>
      </w:r>
      <w:r>
        <w:rPr>
          <w:rStyle w:val="indexentry"/>
        </w:rPr>
        <w:fldChar w:fldCharType="begin"/>
      </w:r>
      <w:r>
        <w:instrText>xe "</w:instrText>
      </w:r>
      <w:r>
        <w:rPr>
          <w:rStyle w:val="xeentry"/>
        </w:rPr>
        <w:instrText>lujvo: place structure of</w:instrText>
      </w:r>
      <w:r>
        <w:instrText>"</w:instrText>
      </w:r>
      <w:r>
        <w:rPr>
          <w:rStyle w:val="indexentry"/>
        </w:rPr>
        <w:fldChar w:fldCharType="end"/>
      </w:r>
      <w:r>
        <w:rPr>
          <w:rStyle w:val="htmlcodes"/>
        </w:rPr>
        <w:t>&lt;a name=s1&gt;&lt;h3&gt;</w:t>
      </w:r>
    </w:p>
    <w:p w:rsidR="00B72047" w:rsidRDefault="00B72047">
      <w:pPr>
        <w:pStyle w:val="normalparagraph"/>
      </w:pPr>
      <w:r>
        <w:rPr>
          <w:rStyle w:val="indexentry"/>
        </w:rPr>
        <w:t>&lt;cx "world's languages"&gt;</w:t>
      </w:r>
      <w:r>
        <w:rPr>
          <w:rStyle w:val="indexentry"/>
        </w:rPr>
        <w:fldChar w:fldCharType="begin"/>
      </w:r>
      <w:r>
        <w:instrText>xe "</w:instrText>
      </w:r>
      <w:r>
        <w:rPr>
          <w:rStyle w:val="xeentry"/>
        </w:rPr>
        <w:instrText>world's languages</w:instrText>
      </w:r>
      <w:r>
        <w:instrText>"</w:instrText>
      </w:r>
      <w:r>
        <w:rPr>
          <w:rStyle w:val="indexentry"/>
        </w:rPr>
        <w:fldChar w:fldCharType="end"/>
      </w:r>
      <w:r>
        <w:rPr>
          <w:rStyle w:val="indexentry"/>
        </w:rPr>
        <w:t>&lt;cx "word lists"&gt;</w:t>
      </w:r>
      <w:r>
        <w:rPr>
          <w:rStyle w:val="indexentry"/>
        </w:rPr>
        <w:fldChar w:fldCharType="begin"/>
      </w:r>
      <w:r>
        <w:instrText>xe "</w:instrText>
      </w:r>
      <w:r>
        <w:rPr>
          <w:rStyle w:val="xeentry"/>
        </w:rPr>
        <w:instrText>word lists</w:instrText>
      </w:r>
      <w:r>
        <w:instrText>"</w:instrText>
      </w:r>
      <w:r>
        <w:rPr>
          <w:rStyle w:val="indexentry"/>
        </w:rPr>
        <w:fldChar w:fldCharType="end"/>
      </w:r>
      <w:r>
        <w:rPr>
          <w:rStyle w:val="indexentry"/>
        </w:rPr>
        <w:t>&lt;cx "semantic primitives"&gt;</w:t>
      </w:r>
      <w:r>
        <w:rPr>
          <w:rStyle w:val="indexentry"/>
        </w:rPr>
        <w:fldChar w:fldCharType="begin"/>
      </w:r>
      <w:r>
        <w:instrText>xe "</w:instrText>
      </w:r>
      <w:r>
        <w:rPr>
          <w:rStyle w:val="xeentry"/>
        </w:rPr>
        <w:instrText>semantic primitives</w:instrText>
      </w:r>
      <w:r>
        <w:instrText>"</w:instrText>
      </w:r>
      <w:r>
        <w:rPr>
          <w:rStyle w:val="indexentry"/>
        </w:rPr>
        <w:fldChar w:fldCharType="end"/>
      </w:r>
      <w:r>
        <w:rPr>
          <w:rStyle w:val="indexentry"/>
        </w:rPr>
        <w:t>&lt;cx "minimal list"&gt;</w:t>
      </w:r>
      <w:r>
        <w:rPr>
          <w:rStyle w:val="indexentry"/>
        </w:rPr>
        <w:fldChar w:fldCharType="begin"/>
      </w:r>
      <w:r>
        <w:instrText>xe "</w:instrText>
      </w:r>
      <w:r>
        <w:rPr>
          <w:rStyle w:val="xeentry"/>
        </w:rPr>
        <w:instrText>minimal list</w:instrText>
      </w:r>
      <w:r>
        <w:instrText>"</w:instrText>
      </w:r>
      <w:r>
        <w:rPr>
          <w:rStyle w:val="indexentry"/>
        </w:rPr>
        <w:fldChar w:fldCharType="end"/>
      </w:r>
      <w:r>
        <w:rPr>
          <w:rStyle w:val="indexentry"/>
        </w:rPr>
        <w:t>&lt;cx "gismu, rationale for"&gt;</w:t>
      </w:r>
      <w:r>
        <w:rPr>
          <w:rStyle w:val="indexentry"/>
        </w:rPr>
        <w:fldChar w:fldCharType="begin"/>
      </w:r>
      <w:r>
        <w:instrText>xe "</w:instrText>
      </w:r>
      <w:r>
        <w:rPr>
          <w:rStyle w:val="xeentry"/>
        </w:rPr>
        <w:instrText>gismu: rationale for</w:instrText>
      </w:r>
      <w:r>
        <w:instrText>"</w:instrText>
      </w:r>
      <w:r>
        <w:rPr>
          <w:rStyle w:val="indexentry"/>
        </w:rPr>
        <w:fldChar w:fldCharType="end"/>
      </w:r>
      <w:r>
        <w:rPr>
          <w:rStyle w:val="indexentry"/>
        </w:rPr>
        <w:t>&lt;cx "lujvo, grammar of"&gt;</w:t>
      </w:r>
      <w:r>
        <w:rPr>
          <w:rStyle w:val="indexentry"/>
        </w:rPr>
        <w:fldChar w:fldCharType="begin"/>
      </w:r>
      <w:r>
        <w:instrText>xe "</w:instrText>
      </w:r>
      <w:r>
        <w:rPr>
          <w:rStyle w:val="xeentry"/>
        </w:rPr>
        <w:instrText>lujvo: grammar of</w:instrText>
      </w:r>
      <w:r>
        <w:instrText>"</w:instrText>
      </w:r>
      <w:r>
        <w:rPr>
          <w:rStyle w:val="indexentry"/>
        </w:rPr>
        <w:fldChar w:fldCharType="end"/>
      </w:r>
      <w:r>
        <w:rPr>
          <w:rStyle w:val="indexentry"/>
        </w:rPr>
        <w:t>&lt;cx "compound words"&gt;</w:t>
      </w:r>
      <w:r>
        <w:rPr>
          <w:rStyle w:val="indexentry"/>
        </w:rPr>
        <w:fldChar w:fldCharType="begin"/>
      </w:r>
      <w:r>
        <w:instrText>xe "</w:instrText>
      </w:r>
      <w:r>
        <w:rPr>
          <w:rStyle w:val="xeentry"/>
        </w:rPr>
        <w:instrText>compound words</w:instrText>
      </w:r>
      <w:r>
        <w:instrText>"</w:instrText>
      </w:r>
      <w:r>
        <w:rPr>
          <w:rStyle w:val="indexentry"/>
        </w:rPr>
        <w:fldChar w:fldCharType="end"/>
      </w:r>
      <w:r>
        <w:t>The Lojban vocabulary is founded on its list of 1350-plus gismu, made up by</w:t>
      </w:r>
      <w:r>
        <w:rPr>
          <w:rStyle w:val="deletedparamark"/>
        </w:rPr>
        <w:t xml:space="preserve"> </w:t>
      </w:r>
      <w:r>
        <w:t>co</w:t>
      </w:r>
      <w:r>
        <w:t>m</w:t>
      </w:r>
      <w:r>
        <w:softHyphen/>
        <w:t>bining word lists from various sources. These gismu are not intended to</w:t>
      </w:r>
      <w:r>
        <w:rPr>
          <w:rStyle w:val="deletedparamark"/>
        </w:rPr>
        <w:t xml:space="preserve"> </w:t>
      </w:r>
      <w:r>
        <w:t>be either a co</w:t>
      </w:r>
      <w:r>
        <w:t>m</w:t>
      </w:r>
      <w:r>
        <w:softHyphen/>
        <w:t>plete vocabulary for the language nor a minimal list of</w:t>
      </w:r>
      <w:r>
        <w:rPr>
          <w:rStyle w:val="deletedparamark"/>
        </w:rPr>
        <w:t xml:space="preserve"> </w:t>
      </w:r>
      <w:r>
        <w:t>semantic primitives. In</w:t>
      </w:r>
      <w:r>
        <w:softHyphen/>
        <w:t>stead, the gismu list serves as a basis for the</w:t>
      </w:r>
      <w:r>
        <w:rPr>
          <w:rStyle w:val="deletedparamark"/>
        </w:rPr>
        <w:t xml:space="preserve"> </w:t>
      </w:r>
      <w:r>
        <w:t>creation of compound words, or lujvo. The intention is that (except in</w:t>
      </w:r>
      <w:r>
        <w:rPr>
          <w:rStyle w:val="deletedparamark"/>
        </w:rPr>
        <w:t xml:space="preserve"> </w:t>
      </w:r>
      <w:r>
        <w:t>certain semantically broad but shallow fields such as cul</w:t>
      </w:r>
      <w:r>
        <w:softHyphen/>
        <w:t>tures, nations,</w:t>
      </w:r>
      <w:r>
        <w:rPr>
          <w:rStyle w:val="deletedparamark"/>
        </w:rPr>
        <w:t xml:space="preserve"> </w:t>
      </w:r>
      <w:r>
        <w:t>foods, plants, and animals) suitable lujvo can be devised to cover the</w:t>
      </w:r>
      <w:r>
        <w:rPr>
          <w:rStyle w:val="deletedparamark"/>
        </w:rPr>
        <w:t xml:space="preserve"> </w:t>
      </w:r>
      <w:r>
        <w:t>ten million or so concepts expressi</w:t>
      </w:r>
      <w:r>
        <w:softHyphen/>
        <w:t>ble in all the world's languages taken</w:t>
      </w:r>
      <w:r>
        <w:rPr>
          <w:rStyle w:val="deletedparamark"/>
        </w:rPr>
        <w:t xml:space="preserve"> </w:t>
      </w:r>
      <w:r>
        <w:t>together. Gram</w:t>
      </w:r>
      <w:r>
        <w:softHyphen/>
        <w:t>matically, lujvo behave just like gismu: they have place</w:t>
      </w:r>
      <w:r>
        <w:rPr>
          <w:rStyle w:val="deletedparamark"/>
        </w:rPr>
        <w:t xml:space="preserve"> </w:t>
      </w:r>
      <w:r>
        <w:t>structures and function as sel</w:t>
      </w:r>
      <w:r>
        <w:softHyphen/>
        <w:t>bri.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compared with tanru"&gt;</w:t>
      </w:r>
      <w:r>
        <w:rPr>
          <w:rStyle w:val="indexentry"/>
        </w:rPr>
        <w:fldChar w:fldCharType="begin"/>
      </w:r>
      <w:r>
        <w:instrText>xe "</w:instrText>
      </w:r>
      <w:r>
        <w:rPr>
          <w:rStyle w:val="xeentry"/>
        </w:rPr>
        <w:instrText>lujvo: compared with tanru</w:instrText>
      </w:r>
      <w:r>
        <w:instrText>"</w:instrText>
      </w:r>
      <w:r>
        <w:rPr>
          <w:rStyle w:val="indexentry"/>
        </w:rPr>
        <w:fldChar w:fldCharType="end"/>
      </w:r>
      <w:r>
        <w:t>There is a close relationship between lujvo and tanru. In fact, lujvo are</w:t>
      </w:r>
      <w:r>
        <w:rPr>
          <w:rStyle w:val="deletedparamark"/>
        </w:rPr>
        <w:t xml:space="preserve"> </w:t>
      </w:r>
      <w:r>
        <w:t>con</w:t>
      </w:r>
      <w:r>
        <w:softHyphen/>
        <w:t>densed forms of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ti fagri festi</w:t>
      </w:r>
    </w:p>
    <w:p w:rsidR="00B72047" w:rsidRDefault="00B72047">
      <w:pPr>
        <w:pStyle w:val="examplescaled"/>
      </w:pPr>
      <w:r>
        <w:tab/>
        <w:t>That is-fire waste.</w:t>
      </w:r>
    </w:p>
    <w:p w:rsidR="00B72047" w:rsidRDefault="00B72047">
      <w:pPr>
        <w:pStyle w:val="resumedafterexample"/>
      </w:pPr>
      <w:r>
        <w:rPr>
          <w:rStyle w:val="htmlcodes"/>
        </w:rPr>
        <w:t>&lt;/pre&gt;</w:t>
      </w:r>
      <w:r>
        <w:t>contains a tanru which can be reduced to the lujvo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name=e1d2&gt;</w:t>
      </w:r>
      <w:r>
        <w:t>1.2)</w:t>
      </w:r>
      <w:r>
        <w:tab/>
        <w:t>ti fagyfesti</w:t>
      </w:r>
    </w:p>
    <w:p w:rsidR="00B72047" w:rsidRDefault="00B72047">
      <w:pPr>
        <w:pStyle w:val="examplescaled"/>
      </w:pPr>
      <w:r>
        <w:tab/>
        <w:t>That is-fire-waste.</w:t>
      </w:r>
    </w:p>
    <w:p w:rsidR="00B72047" w:rsidRDefault="00B72047">
      <w:pPr>
        <w:pStyle w:val="examplescaled"/>
      </w:pPr>
      <w:r>
        <w:tab/>
        <w:t>That is-ashes.</w:t>
      </w:r>
    </w:p>
    <w:p w:rsidR="00B72047" w:rsidRDefault="00B72047">
      <w:pPr>
        <w:pStyle w:val="resumedafterexample"/>
      </w:pPr>
      <w:r>
        <w:rPr>
          <w:rStyle w:val="htmlcodes"/>
        </w:rPr>
        <w:t>&lt;/pre&gt;&lt;p&gt;</w:t>
      </w:r>
      <w:r>
        <w:t>Although the lujvo “fagyfesti” is derived from the tanru “fagri festi”, it</w:t>
      </w:r>
      <w:r>
        <w:rPr>
          <w:rStyle w:val="deletedparamark"/>
        </w:rPr>
        <w:t xml:space="preserve"> </w:t>
      </w:r>
      <w:r>
        <w:t>is not equivalent in meaning to it. In particular, “fagyfesti” has a</w:t>
      </w:r>
      <w:r>
        <w:rPr>
          <w:rStyle w:val="deletedparamark"/>
        </w:rPr>
        <w:t xml:space="preserve"> </w:t>
      </w:r>
      <w:r>
        <w:t>distinct place structure of its own, not the same as that of “festi”.</w:t>
      </w:r>
      <w:r>
        <w:rPr>
          <w:rStyle w:val="deletedparamark"/>
        </w:rPr>
        <w:t xml:space="preserve"> </w:t>
      </w:r>
      <w:r>
        <w:t>(In contrast, the tanru does have the same place structure as “festi”.)</w:t>
      </w:r>
      <w:r>
        <w:rPr>
          <w:rStyle w:val="deletedparamark"/>
        </w:rPr>
        <w:t xml:space="preserve"> </w:t>
      </w:r>
      <w:r>
        <w:t>The lujvo needs to take account of the places of “fagri” as well. When</w:t>
      </w:r>
      <w:r>
        <w:rPr>
          <w:rStyle w:val="deletedparamark"/>
        </w:rPr>
        <w:t xml:space="preserve"> </w:t>
      </w:r>
      <w:r>
        <w:t>a tanru is made into a lujvo, there is no equivalent of “be </w:t>
      </w:r>
      <w:r>
        <w:rPr>
          <w:rStyle w:val="htmlcodes"/>
        </w:rPr>
        <w:t>&lt;dots&gt;</w:t>
      </w:r>
      <w:r>
        <w:t>…</w:t>
      </w:r>
      <w:r>
        <w:rPr>
          <w:rStyle w:val="htmlcodes"/>
        </w:rPr>
        <w:t>&lt;/dots&gt;</w:t>
      </w:r>
      <w:r>
        <w:t>bei </w:t>
      </w:r>
      <w:r>
        <w:rPr>
          <w:rStyle w:val="htmlcodes"/>
        </w:rPr>
        <w:t>&lt;dots&gt;</w:t>
      </w:r>
      <w:r>
        <w:t>…</w:t>
      </w:r>
      <w:r>
        <w:rPr>
          <w:rStyle w:val="htmlcodes"/>
        </w:rPr>
        <w:t>&lt;/dots&gt;</w:t>
      </w:r>
      <w:r>
        <w:t>be'o”</w:t>
      </w:r>
      <w:r>
        <w:rPr>
          <w:rStyle w:val="deletedparamark"/>
        </w:rPr>
        <w:t xml:space="preserve"> </w:t>
      </w:r>
      <w:r>
        <w:t xml:space="preserve">(described in </w:t>
      </w:r>
      <w:r>
        <w:rPr>
          <w:rStyle w:val="htmlcodes"/>
        </w:rPr>
        <w:t>&lt;a href=chap5.html&gt;</w:t>
      </w:r>
      <w:r>
        <w:t>Chapter 5</w:t>
      </w:r>
      <w:r>
        <w:rPr>
          <w:rStyle w:val="htmlcodes"/>
        </w:rPr>
        <w:t>&lt;/a&gt;</w:t>
      </w:r>
      <w:r>
        <w:t>) to incorporate sumti into the middle of the lujvo.</w:t>
      </w:r>
    </w:p>
    <w:p w:rsidR="00B72047" w:rsidRDefault="00B72047">
      <w:pPr>
        <w:rPr>
          <w:rStyle w:val="htmlparacode"/>
        </w:rPr>
      </w:pPr>
      <w:r>
        <w:rPr>
          <w:rStyle w:val="htmlparacode"/>
        </w:rPr>
        <w:t>&lt;p&gt;</w:t>
      </w:r>
    </w:p>
    <w:p w:rsidR="00B72047" w:rsidRDefault="00B72047">
      <w:pPr>
        <w:pStyle w:val="normalparagraph"/>
      </w:pPr>
      <w:r>
        <w:rPr>
          <w:rStyle w:val="indexentry"/>
        </w:rPr>
        <w:t>&lt;cx "creative understanding"&gt;</w:t>
      </w:r>
      <w:r>
        <w:rPr>
          <w:rStyle w:val="indexentry"/>
        </w:rPr>
        <w:fldChar w:fldCharType="begin"/>
      </w:r>
      <w:r>
        <w:instrText>xe "</w:instrText>
      </w:r>
      <w:r>
        <w:rPr>
          <w:rStyle w:val="xeentry"/>
        </w:rPr>
        <w:instrText>creative understanding</w:instrText>
      </w:r>
      <w:r>
        <w:instrText>"</w:instrText>
      </w:r>
      <w:r>
        <w:rPr>
          <w:rStyle w:val="indexentry"/>
        </w:rPr>
        <w:fldChar w:fldCharType="end"/>
      </w:r>
      <w:r>
        <w:rPr>
          <w:rStyle w:val="indexentry"/>
        </w:rPr>
        <w:t>&lt;cx "lujvo, rationale for"&gt;</w:t>
      </w:r>
      <w:r>
        <w:rPr>
          <w:rStyle w:val="indexentry"/>
        </w:rPr>
        <w:fldChar w:fldCharType="begin"/>
      </w:r>
      <w:r>
        <w:instrText>xe "</w:instrText>
      </w:r>
      <w:r>
        <w:rPr>
          <w:rStyle w:val="xeentry"/>
        </w:rPr>
        <w:instrText>lujvo: rationale for</w:instrText>
      </w:r>
      <w:r>
        <w:instrText>"</w:instrText>
      </w:r>
      <w:r>
        <w:rPr>
          <w:rStyle w:val="indexentry"/>
        </w:rPr>
        <w:fldChar w:fldCharType="end"/>
      </w:r>
      <w:r>
        <w:t>So why have lujvo? Primarily to reduce semantic ambiguity. On hearing a</w:t>
      </w:r>
      <w:r>
        <w:rPr>
          <w:rStyle w:val="deletedparamark"/>
        </w:rPr>
        <w:t xml:space="preserve"> </w:t>
      </w:r>
      <w:r>
        <w:t>tanru, there is a burden on the listener to figure out what the tanru</w:t>
      </w:r>
      <w:r>
        <w:rPr>
          <w:rStyle w:val="deletedparamark"/>
        </w:rPr>
        <w:t xml:space="preserve"> </w:t>
      </w:r>
      <w:r>
        <w:t>might mean. Adding further terms to the tanru reduces ambiguity in one</w:t>
      </w:r>
      <w:r>
        <w:rPr>
          <w:rStyle w:val="deletedparamark"/>
        </w:rPr>
        <w:t xml:space="preserve"> </w:t>
      </w:r>
      <w:r>
        <w:t>sense, by providing more informa</w:t>
      </w:r>
      <w:r>
        <w:softHyphen/>
        <w:t>tion; but it in</w:t>
      </w:r>
      <w:r>
        <w:softHyphen/>
        <w:t>creases ambiguity in another</w:t>
      </w:r>
      <w:r>
        <w:rPr>
          <w:rStyle w:val="deletedparamark"/>
        </w:rPr>
        <w:t xml:space="preserve"> </w:t>
      </w:r>
      <w:r>
        <w:t>sense, because there are more and more tanru joints, each with an ambiguous</w:t>
      </w:r>
      <w:r>
        <w:rPr>
          <w:rStyle w:val="deletedparamark"/>
        </w:rPr>
        <w:t xml:space="preserve"> </w:t>
      </w:r>
      <w:r>
        <w:t>significance. Since lujvo, like other brivla, have a fixed place stru</w:t>
      </w:r>
      <w:r>
        <w:t>c</w:t>
      </w:r>
      <w:r>
        <w:softHyphen/>
        <w:t>ture</w:t>
      </w:r>
      <w:r>
        <w:rPr>
          <w:rStyle w:val="deletedparamark"/>
        </w:rPr>
        <w:t xml:space="preserve"> </w:t>
      </w:r>
      <w:r>
        <w:t>and a single meaning, encapsulating a commonly-used tanru into a lujvo</w:t>
      </w:r>
      <w:r>
        <w:rPr>
          <w:rStyle w:val="deletedparamark"/>
        </w:rPr>
        <w:t xml:space="preserve"> </w:t>
      </w:r>
      <w:r>
        <w:t>relieves the listener of the burden of creative understanding. In addition,</w:t>
      </w:r>
      <w:r>
        <w:rPr>
          <w:rStyle w:val="deletedparamark"/>
        </w:rPr>
        <w:t xml:space="preserve"> </w:t>
      </w:r>
      <w:r>
        <w:t>lujvo are typi</w:t>
      </w:r>
      <w:r>
        <w:softHyphen/>
        <w:t>cally shorter than the corresponding tanru.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"alternative guidelines"&gt;</w:t>
      </w:r>
      <w:r>
        <w:rPr>
          <w:rStyle w:val="indexentry"/>
        </w:rPr>
        <w:fldChar w:fldCharType="begin"/>
      </w:r>
      <w:r>
        <w:instrText>xe "</w:instrText>
      </w:r>
      <w:r>
        <w:rPr>
          <w:rStyle w:val="xeentry"/>
        </w:rPr>
        <w:instrText>alternative guidelines</w:instrText>
      </w:r>
      <w:r>
        <w:instrText>"</w:instrText>
      </w:r>
      <w:r>
        <w:rPr>
          <w:rStyle w:val="indexentry"/>
        </w:rPr>
        <w:fldChar w:fldCharType="end"/>
      </w:r>
      <w:r>
        <w:rPr>
          <w:rStyle w:val="indexentry"/>
        </w:rPr>
        <w:t>&lt;cx "absolute laws"&gt;</w:t>
      </w:r>
      <w:r>
        <w:rPr>
          <w:rStyle w:val="indexentry"/>
        </w:rPr>
        <w:fldChar w:fldCharType="begin"/>
      </w:r>
      <w:r>
        <w:instrText>xe "</w:instrText>
      </w:r>
      <w:r>
        <w:rPr>
          <w:rStyle w:val="xeentry"/>
        </w:rPr>
        <w:instrText>absolute laws</w:instrText>
      </w:r>
      <w:r>
        <w:instrText>"</w:instrText>
      </w:r>
      <w:r>
        <w:rPr>
          <w:rStyle w:val="indexentry"/>
        </w:rPr>
        <w:fldChar w:fldCharType="end"/>
      </w:r>
      <w:r>
        <w:rPr>
          <w:rStyle w:val="indexentry"/>
        </w:rPr>
        <w:t>&lt;cx "lujvo, guidelines for place structure"&gt;</w:t>
      </w:r>
      <w:r>
        <w:rPr>
          <w:rStyle w:val="indexentry"/>
        </w:rPr>
        <w:fldChar w:fldCharType="begin"/>
      </w:r>
      <w:r>
        <w:instrText>xe "</w:instrText>
      </w:r>
      <w:r>
        <w:rPr>
          <w:rStyle w:val="xeentry"/>
        </w:rPr>
        <w:instrText>lujvo: guidelines for place structure</w:instrText>
      </w:r>
      <w:r>
        <w:instrText>"</w:instrText>
      </w:r>
      <w:r>
        <w:rPr>
          <w:rStyle w:val="indexentry"/>
        </w:rPr>
        <w:fldChar w:fldCharType="end"/>
      </w:r>
      <w:r>
        <w:rPr>
          <w:rStyle w:val="indexentry"/>
        </w:rPr>
        <w:t>&lt;cx "lujvo place structure, guidelines"&gt;</w:t>
      </w:r>
      <w:r>
        <w:rPr>
          <w:rStyle w:val="indexentry"/>
        </w:rPr>
        <w:fldChar w:fldCharType="begin"/>
      </w:r>
      <w:r>
        <w:instrText>xe "</w:instrText>
      </w:r>
      <w:r>
        <w:rPr>
          <w:rStyle w:val="xeentry"/>
        </w:rPr>
        <w:instrText>lujvo place structure: guidelines</w:instrText>
      </w:r>
      <w:r>
        <w:instrText>"</w:instrText>
      </w:r>
      <w:r>
        <w:rPr>
          <w:rStyle w:val="indexentry"/>
        </w:rPr>
        <w:fldChar w:fldCharType="end"/>
      </w:r>
      <w:r>
        <w:t>There are no absolute laws fixing the place structure of a newly</w:t>
      </w:r>
      <w:r>
        <w:rPr>
          <w:rStyle w:val="deletedparamark"/>
        </w:rPr>
        <w:t xml:space="preserve"> </w:t>
      </w:r>
      <w:r>
        <w:t>created lujvo. The maker must consider the place structures of all the</w:t>
      </w:r>
      <w:r>
        <w:rPr>
          <w:rStyle w:val="deletedparamark"/>
        </w:rPr>
        <w:t xml:space="preserve"> </w:t>
      </w:r>
      <w:r>
        <w:t>components of the tanru and then d</w:t>
      </w:r>
      <w:r>
        <w:t>e</w:t>
      </w:r>
      <w:r>
        <w:softHyphen/>
        <w:t>cide which are still rele</w:t>
      </w:r>
      <w:r>
        <w:softHyphen/>
        <w:t>vant and which</w:t>
      </w:r>
      <w:r>
        <w:rPr>
          <w:rStyle w:val="deletedparamark"/>
        </w:rPr>
        <w:t xml:space="preserve"> </w:t>
      </w:r>
      <w:r>
        <w:t>can be removed. What is said in this chapter repre</w:t>
      </w:r>
      <w:r>
        <w:softHyphen/>
        <w:t>sents guidelines,</w:t>
      </w:r>
      <w:r>
        <w:rPr>
          <w:rStyle w:val="deletedparamark"/>
        </w:rPr>
        <w:t xml:space="preserve"> </w:t>
      </w:r>
      <w:r>
        <w:t>presented as one possible standard, not necessarily com</w:t>
      </w:r>
      <w:r>
        <w:softHyphen/>
        <w:t>plete, and not the</w:t>
      </w:r>
      <w:r>
        <w:rPr>
          <w:rStyle w:val="deletedparamark"/>
        </w:rPr>
        <w:t xml:space="preserve"> </w:t>
      </w:r>
      <w:r>
        <w:t>only possible standard. There may well be lujvo that are built without</w:t>
      </w:r>
      <w:r>
        <w:rPr>
          <w:rStyle w:val="deletedparamark"/>
        </w:rPr>
        <w:t xml:space="preserve"> </w:t>
      </w:r>
      <w:r>
        <w:t>regard for these guidelines, or in accordance with entirely different</w:t>
      </w:r>
      <w:r>
        <w:rPr>
          <w:rStyle w:val="deletedparamark"/>
        </w:rPr>
        <w:t xml:space="preserve"> </w:t>
      </w:r>
      <w:r>
        <w:t>guidelines, should such alternative guidelines someday be developed. The</w:t>
      </w:r>
      <w:r>
        <w:rPr>
          <w:rStyle w:val="deletedparamark"/>
        </w:rPr>
        <w:t xml:space="preserve"> </w:t>
      </w:r>
      <w:r>
        <w:t>reason for presenting any guidelines at all is so that Lojbanists have a</w:t>
      </w:r>
      <w:r>
        <w:rPr>
          <w:rStyle w:val="deletedparamark"/>
        </w:rPr>
        <w:t xml:space="preserve"> </w:t>
      </w:r>
      <w:r>
        <w:t>starting point for deciding on a likely place structure — one that others</w:t>
      </w:r>
      <w:r>
        <w:rPr>
          <w:rStyle w:val="deletedparamark"/>
        </w:rPr>
        <w:t xml:space="preserve"> </w:t>
      </w:r>
      <w:r>
        <w:t>seeing the same word can also arrive at by similar consid</w:t>
      </w:r>
      <w:r>
        <w:softHyphen/>
        <w:t>eration.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cmavo incorporation"&gt;</w:t>
      </w:r>
      <w:r>
        <w:rPr>
          <w:rStyle w:val="indexentry"/>
        </w:rPr>
        <w:fldChar w:fldCharType="begin"/>
      </w:r>
      <w:r>
        <w:instrText>xe "</w:instrText>
      </w:r>
      <w:r>
        <w:rPr>
          <w:rStyle w:val="xeentry"/>
        </w:rPr>
        <w:instrText>lujvo: cmavo incorporation</w:instrText>
      </w:r>
      <w:r>
        <w:instrText>"</w:instrText>
      </w:r>
      <w:r>
        <w:rPr>
          <w:rStyle w:val="indexentry"/>
        </w:rPr>
        <w:fldChar w:fldCharType="end"/>
      </w:r>
      <w:r>
        <w:t>If the tanru includes connective cmavo such as “bo”, “ke”, “ke'e”,</w:t>
      </w:r>
      <w:r>
        <w:rPr>
          <w:rStyle w:val="deletedparamark"/>
        </w:rPr>
        <w:t xml:space="preserve"> </w:t>
      </w:r>
      <w:r>
        <w:t>or “je”, or conve</w:t>
      </w:r>
      <w:r>
        <w:t>r</w:t>
      </w:r>
      <w:r>
        <w:softHyphen/>
        <w:t>sion or abstraction cmavo such as “se” or “nu”,</w:t>
      </w:r>
      <w:r>
        <w:rPr>
          <w:rStyle w:val="deletedparamark"/>
        </w:rPr>
        <w:t xml:space="preserve"> </w:t>
      </w:r>
      <w:r>
        <w:t>there are ways of incorporating them into the lujvo as well. Sometimes</w:t>
      </w:r>
      <w:r>
        <w:rPr>
          <w:rStyle w:val="deletedparamark"/>
        </w:rPr>
        <w:t xml:space="preserve"> </w:t>
      </w:r>
      <w:r>
        <w:t>this makes the lujvo excessively long; if so, the cmavo may be dropped.</w:t>
      </w:r>
      <w:r>
        <w:rPr>
          <w:rStyle w:val="deletedparamark"/>
        </w:rPr>
        <w:t xml:space="preserve"> </w:t>
      </w:r>
      <w:r>
        <w:t>This leads to the possibility that more than one tanru could produce the</w:t>
      </w:r>
      <w:r>
        <w:rPr>
          <w:rStyle w:val="deletedparamark"/>
        </w:rPr>
        <w:t xml:space="preserve"> </w:t>
      </w:r>
      <w:r>
        <w:t>same lujvo. Typically, however, only one of the possible tanru is</w:t>
      </w:r>
      <w:r>
        <w:rPr>
          <w:rStyle w:val="deletedparamark"/>
        </w:rPr>
        <w:t xml:space="preserve"> </w:t>
      </w:r>
      <w:r>
        <w:t>useful enough to justify ma</w:t>
      </w:r>
      <w:r>
        <w:t>k</w:t>
      </w:r>
      <w:r>
        <w:softHyphen/>
        <w:t>ing a lujvo for it.</w:t>
      </w:r>
    </w:p>
    <w:p w:rsidR="00B72047" w:rsidRDefault="00B72047">
      <w:pPr>
        <w:pStyle w:val="normalparagraph"/>
        <w:rPr>
          <w:rStyle w:val="htmlparacode"/>
        </w:rPr>
      </w:pPr>
      <w:r>
        <w:rPr>
          <w:rStyle w:val="htmlparacode"/>
        </w:rPr>
        <w:t>&lt;p&gt;</w:t>
      </w:r>
    </w:p>
    <w:p w:rsidR="00B72047" w:rsidRDefault="00B72047">
      <w:pPr>
        <w:pStyle w:val="normalparagraph"/>
      </w:pPr>
      <w:r>
        <w:t>The exact workings of the lujvo-making algorithm, which takes a tanru</w:t>
      </w:r>
      <w:r>
        <w:rPr>
          <w:rStyle w:val="deletedparamark"/>
        </w:rPr>
        <w:t xml:space="preserve"> </w:t>
      </w:r>
      <w:r>
        <w:t>built from gismu (and possibly cmavo) and produces a lujvo from it, are</w:t>
      </w:r>
      <w:r>
        <w:rPr>
          <w:rStyle w:val="deletedparamark"/>
        </w:rPr>
        <w:t xml:space="preserve"> </w:t>
      </w:r>
      <w:r>
        <w:t xml:space="preserve">described in </w:t>
      </w:r>
      <w:r>
        <w:rPr>
          <w:rStyle w:val="htmlcodes"/>
        </w:rPr>
        <w:t>&lt;a href=chap4.html&gt;</w:t>
      </w:r>
      <w:r>
        <w:t>Chapter 4</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bookmarkStart w:id="378" w:name="_Toc398970621"/>
      <w:r>
        <w:rPr>
          <w:rStyle w:val="Heading3Text"/>
        </w:rPr>
        <w:t>The meaning of tanru: a necessary detour</w:t>
      </w:r>
      <w:bookmarkEnd w:id="378"/>
      <w:r>
        <w:rPr>
          <w:rStyle w:val="htmlcodes"/>
        </w:rPr>
        <w:t>&lt;/h3&gt;</w:t>
      </w:r>
    </w:p>
    <w:p w:rsidR="00B72047" w:rsidRDefault="00B72047">
      <w:pPr>
        <w:rPr>
          <w:rStyle w:val="htmlparacode"/>
        </w:rPr>
      </w:pPr>
      <w:r>
        <w:rPr>
          <w:rStyle w:val="htmlparacode"/>
        </w:rPr>
        <w:t>&lt;p&gt;</w:t>
      </w:r>
      <w:r>
        <w:rPr>
          <w:rStyle w:val="indexentry"/>
        </w:rPr>
        <w:t>&lt;cx "necessary detour"&gt;</w:t>
      </w:r>
      <w:r>
        <w:rPr>
          <w:rStyle w:val="indexentry"/>
        </w:rPr>
        <w:fldChar w:fldCharType="begin"/>
      </w:r>
      <w:r>
        <w:instrText>xe "</w:instrText>
      </w:r>
      <w:r>
        <w:rPr>
          <w:rStyle w:val="xeentry"/>
        </w:rPr>
        <w:instrText>necessary detour</w:instrText>
      </w:r>
      <w:r>
        <w:instrText>"</w:instrText>
      </w:r>
      <w:r>
        <w:rPr>
          <w:rStyle w:val="indexentry"/>
        </w:rPr>
        <w:fldChar w:fldCharType="end"/>
      </w:r>
      <w:r>
        <w:rPr>
          <w:rStyle w:val="htmlcodes"/>
        </w:rPr>
        <w:t>&lt;a name=s2&gt;&lt;h3&gt;</w:t>
      </w:r>
    </w:p>
    <w:p w:rsidR="00B72047" w:rsidRDefault="00B72047">
      <w:pPr>
        <w:pStyle w:val="normalparagraph"/>
      </w:pPr>
      <w:r>
        <w:rPr>
          <w:rStyle w:val="indexentry"/>
        </w:rPr>
        <w:t>&lt;cx "lujvo meaning"&gt;</w:t>
      </w:r>
      <w:r>
        <w:rPr>
          <w:rStyle w:val="indexentry"/>
        </w:rPr>
        <w:fldChar w:fldCharType="begin"/>
      </w:r>
      <w:r>
        <w:instrText>xe "</w:instrText>
      </w:r>
      <w:r>
        <w:rPr>
          <w:rStyle w:val="xeentry"/>
        </w:rPr>
        <w:instrText>lujvo meaning</w:instrText>
      </w:r>
      <w:r>
        <w:instrText>"</w:instrText>
      </w:r>
      <w:r>
        <w:rPr>
          <w:rStyle w:val="indexentry"/>
        </w:rPr>
        <w:fldChar w:fldCharType="end"/>
      </w:r>
      <w:r>
        <w:rPr>
          <w:rStyle w:val="indexentry"/>
        </w:rPr>
        <w:t>&lt;cx "veljvo, definition"&gt;</w:t>
      </w:r>
      <w:r>
        <w:rPr>
          <w:rStyle w:val="indexentry"/>
        </w:rPr>
        <w:fldChar w:fldCharType="begin"/>
      </w:r>
      <w:r>
        <w:instrText>xe "</w:instrText>
      </w:r>
      <w:r>
        <w:rPr>
          <w:rStyle w:val="xeentry"/>
        </w:rPr>
        <w:instrText>veljvo: definition</w:instrText>
      </w:r>
      <w:r>
        <w:instrText>"</w:instrText>
      </w:r>
      <w:r>
        <w:rPr>
          <w:rStyle w:val="indexentry"/>
        </w:rPr>
        <w:fldChar w:fldCharType="end"/>
      </w:r>
      <w:r>
        <w:rPr>
          <w:rStyle w:val="indexentry"/>
        </w:rPr>
        <w:t>&lt;cx "seltau, definition"&gt;</w:t>
      </w:r>
      <w:r>
        <w:rPr>
          <w:rStyle w:val="indexentry"/>
        </w:rPr>
        <w:fldChar w:fldCharType="begin"/>
      </w:r>
      <w:r>
        <w:instrText>xe "</w:instrText>
      </w:r>
      <w:r>
        <w:rPr>
          <w:rStyle w:val="xeentry"/>
        </w:rPr>
        <w:instrText>seltau: definition</w:instrText>
      </w:r>
      <w:r>
        <w:instrText>"</w:instrText>
      </w:r>
      <w:r>
        <w:rPr>
          <w:rStyle w:val="indexentry"/>
        </w:rPr>
        <w:fldChar w:fldCharType="end"/>
      </w:r>
      <w:r>
        <w:rPr>
          <w:rStyle w:val="indexentry"/>
        </w:rPr>
        <w:t>&lt;cx "tertau, definition"&gt;</w:t>
      </w:r>
      <w:r>
        <w:rPr>
          <w:rStyle w:val="indexentry"/>
        </w:rPr>
        <w:fldChar w:fldCharType="begin"/>
      </w:r>
      <w:r>
        <w:instrText>xe "</w:instrText>
      </w:r>
      <w:r>
        <w:rPr>
          <w:rStyle w:val="xeentry"/>
        </w:rPr>
        <w:instrText>tertau: definition</w:instrText>
      </w:r>
      <w:r>
        <w:instrText>"</w:instrText>
      </w:r>
      <w:r>
        <w:rPr>
          <w:rStyle w:val="indexentry"/>
        </w:rPr>
        <w:fldChar w:fldCharType="end"/>
      </w:r>
      <w:r>
        <w:rPr>
          <w:rStyle w:val="indexentry"/>
        </w:rPr>
        <w:t>&lt;cx "modifier, of a tanru"&gt;</w:t>
      </w:r>
      <w:r>
        <w:rPr>
          <w:rStyle w:val="indexentry"/>
        </w:rPr>
        <w:fldChar w:fldCharType="begin"/>
      </w:r>
      <w:r>
        <w:instrText>xe "</w:instrText>
      </w:r>
      <w:r>
        <w:rPr>
          <w:rStyle w:val="xeentry"/>
        </w:rPr>
        <w:instrText>modifier: of a tanru</w:instrText>
      </w:r>
      <w:r>
        <w:instrText>"</w:instrText>
      </w:r>
      <w:r>
        <w:rPr>
          <w:rStyle w:val="indexentry"/>
        </w:rPr>
        <w:fldChar w:fldCharType="end"/>
      </w:r>
      <w:r>
        <w:rPr>
          <w:rStyle w:val="indexentry"/>
        </w:rPr>
        <w:t>&lt;cx "modified, of a tanru"&gt;</w:t>
      </w:r>
      <w:r>
        <w:rPr>
          <w:rStyle w:val="indexentry"/>
        </w:rPr>
        <w:fldChar w:fldCharType="begin"/>
      </w:r>
      <w:r>
        <w:instrText>xe "</w:instrText>
      </w:r>
      <w:r>
        <w:rPr>
          <w:rStyle w:val="xeentry"/>
        </w:rPr>
        <w:instrText>modified: of a tanru</w:instrText>
      </w:r>
      <w:r>
        <w:instrText>"</w:instrText>
      </w:r>
      <w:r>
        <w:rPr>
          <w:rStyle w:val="indexentry"/>
        </w:rPr>
        <w:fldChar w:fldCharType="end"/>
      </w:r>
      <w:r>
        <w:t>The meaning of a lujvo is controlled by — but is not the same as — the</w:t>
      </w:r>
      <w:r>
        <w:rPr>
          <w:rStyle w:val="deletedparamark"/>
        </w:rPr>
        <w:t xml:space="preserve"> </w:t>
      </w:r>
      <w:r>
        <w:t>meaning of the tanru from which the lujvo was constructed. The tanru</w:t>
      </w:r>
      <w:r>
        <w:rPr>
          <w:rStyle w:val="deletedparamark"/>
        </w:rPr>
        <w:t xml:space="preserve"> </w:t>
      </w:r>
      <w:r>
        <w:t>corresponding to a lujvo is called its “veljvo” in Lojban, and since there</w:t>
      </w:r>
      <w:r>
        <w:rPr>
          <w:rStyle w:val="deletedparamark"/>
        </w:rPr>
        <w:t xml:space="preserve"> </w:t>
      </w:r>
      <w:r>
        <w:t>is no concise English equivalent, that term will be used in this chapter.</w:t>
      </w:r>
      <w:r>
        <w:rPr>
          <w:rStyle w:val="deletedparamark"/>
        </w:rPr>
        <w:t xml:space="preserve"> </w:t>
      </w:r>
      <w:r>
        <w:t>Furthermore, the left (modifier) part of a tanru will be called the</w:t>
      </w:r>
      <w:r>
        <w:rPr>
          <w:rStyle w:val="deletedparamark"/>
        </w:rPr>
        <w:t xml:space="preserve"> “</w:t>
      </w:r>
      <w:r>
        <w:t>seltau”, and the right (modified) part the “tertau”, following the</w:t>
      </w:r>
      <w:r>
        <w:rPr>
          <w:rStyle w:val="deletedparamark"/>
        </w:rPr>
        <w:t xml:space="preserve"> </w:t>
      </w:r>
      <w:r>
        <w:t>us</w:t>
      </w:r>
      <w:r>
        <w:softHyphen/>
        <w:t xml:space="preserve">age of </w:t>
      </w:r>
      <w:r>
        <w:rPr>
          <w:rStyle w:val="htmlcodes"/>
        </w:rPr>
        <w:t>&lt;a href=chap5.html&gt;</w:t>
      </w:r>
      <w:r>
        <w:t>Chapter 5</w:t>
      </w:r>
      <w:r>
        <w:rPr>
          <w:rStyle w:val="htmlcodes"/>
        </w:rPr>
        <w:t>&lt;/a&gt;</w:t>
      </w:r>
      <w:r>
        <w:t>. For brevity, we will speak of the seltau or tertau</w:t>
      </w:r>
      <w:r>
        <w:rPr>
          <w:rStyle w:val="deletedparamark"/>
        </w:rPr>
        <w:t xml:space="preserve"> </w:t>
      </w:r>
      <w:r>
        <w:t>of a lujvo, meaning of course the seltau or tertau of the veljvo</w:t>
      </w:r>
      <w:r>
        <w:rPr>
          <w:rStyle w:val="deletedparamark"/>
        </w:rPr>
        <w:t xml:space="preserve"> </w:t>
      </w:r>
      <w:r>
        <w:t>of that lujvo. (If this terminology is confus</w:t>
      </w:r>
      <w:r>
        <w:softHyphen/>
        <w:t>ing, substituting “modifier”</w:t>
      </w:r>
      <w:r>
        <w:rPr>
          <w:rStyle w:val="deletedparamark"/>
        </w:rPr>
        <w:t xml:space="preserve"> </w:t>
      </w:r>
      <w:r>
        <w:t>for “seltau” and “modified” for “tertau” may help.)</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"tanru, place structure of"&gt;</w:t>
      </w:r>
      <w:r>
        <w:rPr>
          <w:rStyle w:val="indexentry"/>
        </w:rPr>
        <w:fldChar w:fldCharType="begin"/>
      </w:r>
      <w:r>
        <w:instrText>xe "</w:instrText>
      </w:r>
      <w:r>
        <w:rPr>
          <w:rStyle w:val="xeentry"/>
        </w:rPr>
        <w:instrText>tanru: place structure of</w:instrText>
      </w:r>
      <w:r>
        <w:instrText>"</w:instrText>
      </w:r>
      <w:r>
        <w:rPr>
          <w:rStyle w:val="indexentry"/>
        </w:rPr>
        <w:fldChar w:fldCharType="end"/>
      </w:r>
      <w:r>
        <w:t>The place structure of a tanru is always the same as the place structure</w:t>
      </w:r>
      <w:r>
        <w:rPr>
          <w:rStyle w:val="deletedparamark"/>
        </w:rPr>
        <w:t xml:space="preserve"> </w:t>
      </w:r>
      <w:r>
        <w:t>of its tertau. As a result, the meaning of the tanru is a modified</w:t>
      </w:r>
      <w:r>
        <w:rPr>
          <w:rStyle w:val="deletedparamark"/>
        </w:rPr>
        <w:t xml:space="preserve"> </w:t>
      </w:r>
      <w:r>
        <w:t>version of the meaning of the tertau; the tanru will typically, but not</w:t>
      </w:r>
      <w:r>
        <w:rPr>
          <w:rStyle w:val="deletedparamark"/>
        </w:rPr>
        <w:t xml:space="preserve"> </w:t>
      </w:r>
      <w:r>
        <w:t>always, refer to a subset of the things referred to by the ter</w:t>
      </w:r>
      <w:r>
        <w:softHyphen/>
        <w:t>tau.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"wine-dark sea"&gt;</w:t>
      </w:r>
      <w:r>
        <w:rPr>
          <w:rStyle w:val="indexentry"/>
        </w:rPr>
        <w:fldChar w:fldCharType="begin"/>
      </w:r>
      <w:r>
        <w:instrText>xe "</w:instrText>
      </w:r>
      <w:r>
        <w:rPr>
          <w:rStyle w:val="xeentry"/>
        </w:rPr>
        <w:instrText>wine-dark sea</w:instrText>
      </w:r>
      <w:r>
        <w:instrText>"</w:instrText>
      </w:r>
      <w:r>
        <w:rPr>
          <w:rStyle w:val="indexentry"/>
        </w:rPr>
        <w:fldChar w:fldCharType="end"/>
      </w:r>
      <w:r>
        <w:rPr>
          <w:rStyle w:val="indexentry"/>
        </w:rPr>
        <w:t>&lt;cx "tanru, purpose"&gt;</w:t>
      </w:r>
      <w:r>
        <w:rPr>
          <w:rStyle w:val="indexentry"/>
        </w:rPr>
        <w:fldChar w:fldCharType="begin"/>
      </w:r>
      <w:r>
        <w:instrText>xe "</w:instrText>
      </w:r>
      <w:r>
        <w:rPr>
          <w:rStyle w:val="xeentry"/>
        </w:rPr>
        <w:instrText>tanru: purpose</w:instrText>
      </w:r>
      <w:r>
        <w:instrText>"</w:instrText>
      </w:r>
      <w:r>
        <w:rPr>
          <w:rStyle w:val="indexentry"/>
        </w:rPr>
        <w:fldChar w:fldCharType="end"/>
      </w:r>
      <w:r>
        <w:t>The purpose of a tanru is to join concepts together without necessarily</w:t>
      </w:r>
      <w:r>
        <w:rPr>
          <w:rStyle w:val="deletedparamark"/>
        </w:rPr>
        <w:t xml:space="preserve"> </w:t>
      </w:r>
      <w:r>
        <w:t>focusing on the exact meaning of the seltau. For exam</w:t>
      </w:r>
      <w:r>
        <w:softHyphen/>
        <w:t>ple, in the</w:t>
      </w:r>
      <w:r>
        <w:rPr>
          <w:rStyle w:val="deletedparamark"/>
        </w:rPr>
        <w:t xml:space="preserve"> </w:t>
      </w:r>
      <w:r>
        <w:rPr>
          <w:rStyle w:val="htmlcodes"/>
        </w:rPr>
        <w:t>&lt;cite&gt;</w:t>
      </w:r>
      <w:r>
        <w:rPr>
          <w:rStyle w:val="cite"/>
        </w:rPr>
        <w:t>Iliad</w:t>
      </w:r>
      <w:r>
        <w:rPr>
          <w:rStyle w:val="htmlcodes"/>
        </w:rPr>
        <w:t>&lt;/cite&gt;</w:t>
      </w:r>
      <w:r>
        <w:t>, the poet talks about “the wine-dark sea”, in which</w:t>
      </w:r>
      <w:r>
        <w:rPr>
          <w:rStyle w:val="deletedparamark"/>
        </w:rPr>
        <w:t xml:space="preserve"> “</w:t>
      </w:r>
      <w:r>
        <w:t>wine” is a seltau relative to “dark”, and the pair of words is a seltau</w:t>
      </w:r>
      <w:r>
        <w:rPr>
          <w:rStyle w:val="deletedparamark"/>
        </w:rPr>
        <w:t xml:space="preserve"> </w:t>
      </w:r>
      <w:r>
        <w:t>relative to “sea”. We're talking about the sea, not about wine or color.</w:t>
      </w:r>
      <w:r>
        <w:rPr>
          <w:rStyle w:val="deletedparamark"/>
        </w:rPr>
        <w:t xml:space="preserve"> </w:t>
      </w:r>
      <w:r>
        <w:t>The other words are there to paint a scene in the listener's mind, in which</w:t>
      </w:r>
      <w:r>
        <w:rPr>
          <w:rStyle w:val="deletedparamark"/>
        </w:rPr>
        <w:t xml:space="preserve"> </w:t>
      </w:r>
      <w:r>
        <w:t>the real action will oc</w:t>
      </w:r>
      <w:r>
        <w:softHyphen/>
        <w:t>cur, and to evoke relations to other sagas of the</w:t>
      </w:r>
      <w:r>
        <w:rPr>
          <w:rStyle w:val="deletedparamark"/>
        </w:rPr>
        <w:t xml:space="preserve"> </w:t>
      </w:r>
      <w:r>
        <w:t>time similarly describing the sea. Logi</w:t>
      </w:r>
      <w:r>
        <w:softHyphen/>
        <w:t>cal inferences about wine or color</w:t>
      </w:r>
      <w:r>
        <w:rPr>
          <w:rStyle w:val="deletedparamark"/>
        </w:rPr>
        <w:t xml:space="preserve"> </w:t>
      </w:r>
      <w:r>
        <w:t>will be rejected as irrelevant.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"goer-house"&gt;</w:t>
      </w:r>
      <w:r>
        <w:rPr>
          <w:rStyle w:val="indexentry"/>
        </w:rPr>
        <w:fldChar w:fldCharType="begin"/>
      </w:r>
      <w:r>
        <w:instrText>xe "</w:instrText>
      </w:r>
      <w:r>
        <w:rPr>
          <w:rStyle w:val="xeentry"/>
        </w:rPr>
        <w:instrText>goer-house: example</w:instrText>
      </w:r>
      <w:r>
        <w:instrText>"</w:instrText>
      </w:r>
      <w:r>
        <w:rPr>
          <w:rStyle w:val="indexentry"/>
        </w:rPr>
        <w:fldChar w:fldCharType="end"/>
      </w:r>
      <w:r>
        <w:t>As a simple example, consider the rather non-obvious tanru “klama zdani”,</w:t>
      </w:r>
      <w:r>
        <w:rPr>
          <w:rStyle w:val="deletedparamark"/>
        </w:rPr>
        <w:t xml:space="preserve"> </w:t>
      </w:r>
      <w:r>
        <w:t>or “goer-house”. The gismu “zdani” has two places: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x1 is a nest/house/lair/den for inhabitant x2</w:t>
      </w:r>
    </w:p>
    <w:p w:rsidR="00B72047" w:rsidRDefault="00B72047">
      <w:pPr>
        <w:pStyle w:val="resumedafterexample"/>
      </w:pPr>
      <w:r>
        <w:rPr>
          <w:rStyle w:val="htmlcodes"/>
        </w:rPr>
        <w:t>&lt;/pre&gt;</w:t>
      </w:r>
      <w:r>
        <w:t>(but in this chapter we will use simply “house”, for brevity), and the gismu</w:t>
      </w:r>
      <w:r>
        <w:rPr>
          <w:rStyle w:val="deletedparamark"/>
        </w:rPr>
        <w:t xml:space="preserve"> “</w:t>
      </w:r>
      <w:r>
        <w:t>klama” has five: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name=e2d2&gt;</w:t>
      </w:r>
      <w:r>
        <w:t>2.2)</w:t>
      </w:r>
      <w:r>
        <w:tab/>
        <w:t>x1 goes to destination x2 from origin point x3 via route x4 using means x5</w:t>
      </w:r>
    </w:p>
    <w:p w:rsidR="00B72047" w:rsidRDefault="00B72047">
      <w:pPr>
        <w:pStyle w:val="normalafterexample"/>
      </w:pPr>
      <w:r>
        <w:rPr>
          <w:rStyle w:val="htmlcodes"/>
        </w:rPr>
        <w:t>&lt;/pre&gt;&lt;p&gt;</w:t>
      </w:r>
      <w:r>
        <w:t>The tanru “klama zdani” will also have two places, namely those of “zdani”.</w:t>
      </w:r>
      <w:r>
        <w:rPr>
          <w:rStyle w:val="deletedparamark"/>
        </w:rPr>
        <w:t xml:space="preserve"> </w:t>
      </w:r>
      <w:r>
        <w:t>Since a “klama zdani” is a type of “zdani”, we can assume that all</w:t>
      </w:r>
      <w:r>
        <w:rPr>
          <w:rStyle w:val="deletedparamark"/>
        </w:rPr>
        <w:t xml:space="preserve"> </w:t>
      </w:r>
      <w:r>
        <w:t>goer-houses — whatever they may be — are also houses.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"fleas"&gt;</w:t>
      </w:r>
      <w:r>
        <w:rPr>
          <w:rStyle w:val="indexentry"/>
        </w:rPr>
        <w:fldChar w:fldCharType="begin"/>
      </w:r>
      <w:r>
        <w:instrText>xe "</w:instrText>
      </w:r>
      <w:r>
        <w:rPr>
          <w:rStyle w:val="xeentry"/>
        </w:rPr>
        <w:instrText>fleas</w:instrText>
      </w:r>
      <w:r>
        <w:instrText>"</w:instrText>
      </w:r>
      <w:r>
        <w:rPr>
          <w:rStyle w:val="indexentry"/>
        </w:rPr>
        <w:fldChar w:fldCharType="end"/>
      </w:r>
      <w:r>
        <w:rPr>
          <w:rStyle w:val="indexentry"/>
        </w:rPr>
        <w:t>&lt;ex "dog house"&gt;</w:t>
      </w:r>
      <w:r>
        <w:rPr>
          <w:rStyle w:val="indexentry"/>
        </w:rPr>
        <w:fldChar w:fldCharType="begin"/>
      </w:r>
      <w:r>
        <w:instrText>xe "</w:instrText>
      </w:r>
      <w:r>
        <w:rPr>
          <w:rStyle w:val="xeentry"/>
        </w:rPr>
        <w:instrText>dog house: example</w:instrText>
      </w:r>
      <w:r>
        <w:instrText>"</w:instrText>
      </w:r>
      <w:r>
        <w:rPr>
          <w:rStyle w:val="indexentry"/>
        </w:rPr>
        <w:fldChar w:fldCharType="end"/>
      </w:r>
      <w:r>
        <w:rPr>
          <w:rStyle w:val="indexentry"/>
        </w:rPr>
        <w:t>&lt;cx "tanru, possible meanings of"&gt;</w:t>
      </w:r>
      <w:r>
        <w:rPr>
          <w:rStyle w:val="indexentry"/>
        </w:rPr>
        <w:fldChar w:fldCharType="begin"/>
      </w:r>
      <w:r>
        <w:instrText>xe "</w:instrText>
      </w:r>
      <w:r>
        <w:rPr>
          <w:rStyle w:val="xeentry"/>
        </w:rPr>
        <w:instrText>tanru: possible meanings of</w:instrText>
      </w:r>
      <w:r>
        <w:instrText>"</w:instrText>
      </w:r>
      <w:r>
        <w:rPr>
          <w:rStyle w:val="indexentry"/>
        </w:rPr>
        <w:fldChar w:fldCharType="end"/>
      </w:r>
      <w:r>
        <w:t>But is knowing the places of the tertau everything that is needed to</w:t>
      </w:r>
      <w:r>
        <w:rPr>
          <w:rStyle w:val="deletedparamark"/>
        </w:rPr>
        <w:t xml:space="preserve"> </w:t>
      </w:r>
      <w:r>
        <w:t>understand the meaning of a tanru? No. To see why, let us switch to a</w:t>
      </w:r>
      <w:r>
        <w:rPr>
          <w:rStyle w:val="deletedparamark"/>
        </w:rPr>
        <w:t xml:space="preserve"> </w:t>
      </w:r>
      <w:r>
        <w:t>less unlikely tanru: “gerku zdani”, literally “dog house”. A tanru</w:t>
      </w:r>
      <w:r>
        <w:rPr>
          <w:rStyle w:val="deletedparamark"/>
        </w:rPr>
        <w:t xml:space="preserve"> </w:t>
      </w:r>
      <w:r>
        <w:t>expresses a very loose relation: a “gerku zdani” is a house that has</w:t>
      </w:r>
      <w:r>
        <w:rPr>
          <w:rStyle w:val="deletedparamark"/>
        </w:rPr>
        <w:t xml:space="preserve"> </w:t>
      </w:r>
      <w:r>
        <w:t>something to do with some dog or dogs. What the precise rela</w:t>
      </w:r>
      <w:r>
        <w:softHyphen/>
        <w:t>tion might be</w:t>
      </w:r>
      <w:r>
        <w:rPr>
          <w:rStyle w:val="deletedparamark"/>
        </w:rPr>
        <w:t xml:space="preserve"> </w:t>
      </w:r>
      <w:r>
        <w:t>is left unstated. Thus, the meaning of “lo gerku zdani” can include all</w:t>
      </w:r>
      <w:r>
        <w:rPr>
          <w:rStyle w:val="deletedparamark"/>
        </w:rPr>
        <w:t xml:space="preserve"> </w:t>
      </w:r>
      <w:r>
        <w:t>of the following: houses occupied by dogs, houses shaped by dogs, dogs which</w:t>
      </w:r>
      <w:r>
        <w:rPr>
          <w:rStyle w:val="deletedparamark"/>
        </w:rPr>
        <w:t xml:space="preserve"> </w:t>
      </w:r>
      <w:r>
        <w:t>are also houses (e.g. houses for fleas), houses named after dogs, and so on.</w:t>
      </w:r>
      <w:r>
        <w:rPr>
          <w:rStyle w:val="deletedparamark"/>
        </w:rPr>
        <w:t xml:space="preserve"> </w:t>
      </w:r>
      <w:r>
        <w:t>All that is essential is that the place structure of “zdani” continues to</w:t>
      </w:r>
      <w:r>
        <w:rPr>
          <w:rStyle w:val="deletedparamark"/>
        </w:rPr>
        <w:t xml:space="preserve"> </w:t>
      </w:r>
      <w:r>
        <w:t>apply.</w:t>
      </w:r>
    </w:p>
    <w:p w:rsidR="00B72047" w:rsidRDefault="00B72047">
      <w:pPr>
        <w:pStyle w:val="normalparagraph"/>
        <w:rPr>
          <w:rStyle w:val="htmlparacode"/>
        </w:rPr>
      </w:pPr>
      <w:r>
        <w:rPr>
          <w:rStyle w:val="htmlparacode"/>
        </w:rPr>
        <w:t>&lt;p&gt;</w:t>
      </w:r>
    </w:p>
    <w:p w:rsidR="00B72047" w:rsidRDefault="00B72047">
      <w:pPr>
        <w:pStyle w:val="normalparagraph"/>
      </w:pPr>
      <w:r>
        <w:t>For something (call it z1) to qualify as a “gerku zdani” in</w:t>
      </w:r>
      <w:r>
        <w:rPr>
          <w:rStyle w:val="deletedparamark"/>
        </w:rPr>
        <w:t xml:space="preserve"> </w:t>
      </w:r>
      <w:r>
        <w:t>Loj</w:t>
      </w:r>
      <w:r>
        <w:softHyphen/>
        <w:t>ban, it's got to be a house, first of all. For it to be a house, it's</w:t>
      </w:r>
      <w:r>
        <w:rPr>
          <w:rStyle w:val="deletedparamark"/>
        </w:rPr>
        <w:t xml:space="preserve"> </w:t>
      </w:r>
      <w:r>
        <w:t>got to house someone (call that z2). Fur</w:t>
      </w:r>
      <w:r>
        <w:softHyphen/>
        <w:t>ther</w:t>
      </w:r>
      <w:r>
        <w:softHyphen/>
        <w:t>more, there's got to be a dog</w:t>
      </w:r>
      <w:r>
        <w:rPr>
          <w:rStyle w:val="deletedparamark"/>
        </w:rPr>
        <w:t xml:space="preserve"> </w:t>
      </w:r>
      <w:r>
        <w:t>somewhere (called g1). For g1 to count as a dog in L</w:t>
      </w:r>
      <w:r>
        <w:t>o</w:t>
      </w:r>
      <w:r>
        <w:t>jban, it's got to belong</w:t>
      </w:r>
      <w:r>
        <w:rPr>
          <w:rStyle w:val="deletedparamark"/>
        </w:rPr>
        <w:t xml:space="preserve"> </w:t>
      </w:r>
      <w:r>
        <w:t>to some breed as well (called g2). And finally, for z1 to be in the first</w:t>
      </w:r>
      <w:r>
        <w:rPr>
          <w:rStyle w:val="deletedparamark"/>
        </w:rPr>
        <w:t xml:space="preserve"> </w:t>
      </w:r>
      <w:r>
        <w:t>place of “gerku zdani”, as opposed to just “zdani”, there's got to be some</w:t>
      </w:r>
      <w:r>
        <w:rPr>
          <w:rStyle w:val="deletedparamark"/>
        </w:rPr>
        <w:t xml:space="preserve"> </w:t>
      </w:r>
      <w:r>
        <w:t>rela</w:t>
      </w:r>
      <w:r>
        <w:softHyphen/>
        <w:t>tionship (called r) between some place of “zdani” and some</w:t>
      </w:r>
      <w:r>
        <w:rPr>
          <w:rStyle w:val="deletedparamark"/>
        </w:rPr>
        <w:t xml:space="preserve"> </w:t>
      </w:r>
      <w:r>
        <w:t>place of “gerku”. It doesn't matter which places, because if there's a</w:t>
      </w:r>
      <w:r>
        <w:rPr>
          <w:rStyle w:val="deletedparamark"/>
        </w:rPr>
        <w:t xml:space="preserve"> </w:t>
      </w:r>
      <w:r>
        <w:t>relationship between some place of “zdani” and any place of “gerku”, then</w:t>
      </w:r>
      <w:r>
        <w:rPr>
          <w:rStyle w:val="deletedparamark"/>
        </w:rPr>
        <w:t xml:space="preserve"> </w:t>
      </w:r>
      <w:r>
        <w:t>that relationship can be compounded with the relation</w:t>
      </w:r>
      <w:r>
        <w:softHyphen/>
        <w:t>ship between the places</w:t>
      </w:r>
      <w:r>
        <w:rPr>
          <w:rStyle w:val="deletedparamark"/>
        </w:rPr>
        <w:t xml:space="preserve"> </w:t>
      </w:r>
      <w:r>
        <w:t>of “gerku” — namely, “gerku” itself — to reach any of the other “gerku”</w:t>
      </w:r>
      <w:r>
        <w:rPr>
          <w:rStyle w:val="deletedparamark"/>
        </w:rPr>
        <w:t xml:space="preserve"> </w:t>
      </w:r>
      <w:r>
        <w:t>places. Thus, if the relationship turns out to be between z2 and g2, we</w:t>
      </w:r>
      <w:r>
        <w:rPr>
          <w:rStyle w:val="deletedparamark"/>
        </w:rPr>
        <w:t xml:space="preserve"> </w:t>
      </w:r>
      <w:r>
        <w:t>can still state r in terms of z1 and g1: “the relationship involves the</w:t>
      </w:r>
      <w:r>
        <w:rPr>
          <w:rStyle w:val="deletedparamark"/>
        </w:rPr>
        <w:t xml:space="preserve"> </w:t>
      </w:r>
      <w:r>
        <w:t>dog g1, whose breed has to do with the occupant of the house z1”.</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"Bill Clinton"&gt;</w:t>
      </w:r>
      <w:r>
        <w:rPr>
          <w:rStyle w:val="indexentry"/>
        </w:rPr>
        <w:fldChar w:fldCharType="begin"/>
      </w:r>
      <w:r>
        <w:instrText>xe "</w:instrText>
      </w:r>
      <w:r>
        <w:rPr>
          <w:rStyle w:val="xeentry"/>
        </w:rPr>
        <w:instrText>Bill Clinton: example</w:instrText>
      </w:r>
      <w:r>
        <w:instrText>"</w:instrText>
      </w:r>
      <w:r>
        <w:rPr>
          <w:rStyle w:val="indexentry"/>
        </w:rPr>
        <w:fldChar w:fldCharType="end"/>
      </w:r>
      <w:r>
        <w:t>Doubtless to the relief of the reader, here's an illustration. We want</w:t>
      </w:r>
      <w:r>
        <w:rPr>
          <w:rStyle w:val="deletedparamark"/>
        </w:rPr>
        <w:t xml:space="preserve"> </w:t>
      </w:r>
      <w:r>
        <w:t>to find out whether the White House (the one in which the U. S. President</w:t>
      </w:r>
      <w:r>
        <w:rPr>
          <w:rStyle w:val="deletedparamark"/>
        </w:rPr>
        <w:t xml:space="preserve"> </w:t>
      </w:r>
      <w:r>
        <w:t>lives, that is) counts as a “gerku zdani”. We go through the five variables.</w:t>
      </w:r>
      <w:r>
        <w:rPr>
          <w:rStyle w:val="deletedparamark"/>
        </w:rPr>
        <w:t xml:space="preserve"> </w:t>
      </w:r>
      <w:r>
        <w:t>The White House is the z1. It houses Bill Clinton as z2, as of this writing,</w:t>
      </w:r>
      <w:r>
        <w:rPr>
          <w:rStyle w:val="deletedparamark"/>
        </w:rPr>
        <w:t xml:space="preserve"> </w:t>
      </w:r>
      <w:r>
        <w:t>so it counts as a “zdani”. Let's take a dog — say, Spot (g1). Spot has to</w:t>
      </w:r>
      <w:r>
        <w:rPr>
          <w:rStyle w:val="deletedparamark"/>
        </w:rPr>
        <w:t xml:space="preserve"> </w:t>
      </w:r>
      <w:r>
        <w:t>have a breed; let's say it's a Saint Bernard (g2). Now, the White House</w:t>
      </w:r>
      <w:r>
        <w:rPr>
          <w:rStyle w:val="deletedparamark"/>
        </w:rPr>
        <w:t xml:space="preserve"> </w:t>
      </w:r>
      <w:r>
        <w:t>counts as a “gerku zdani” if there is any relationship (r) at all between</w:t>
      </w:r>
      <w:r>
        <w:rPr>
          <w:rStyle w:val="deletedparamark"/>
        </w:rPr>
        <w:t xml:space="preserve"> </w:t>
      </w:r>
      <w:r>
        <w:t>the White House and Spot. (We'll choose the g1 and z1 places to relate by r;</w:t>
      </w:r>
      <w:r>
        <w:rPr>
          <w:rStyle w:val="deletedparamark"/>
        </w:rPr>
        <w:t xml:space="preserve"> </w:t>
      </w:r>
      <w:r>
        <w:t>we could have cho</w:t>
      </w:r>
      <w:r>
        <w:softHyphen/>
        <w:t>sen any other pair of places, and simply gotten a different</w:t>
      </w:r>
      <w:r>
        <w:rPr>
          <w:rStyle w:val="deletedparamark"/>
        </w:rPr>
        <w:t xml:space="preserve"> </w:t>
      </w:r>
      <w:r>
        <w:t>relationship.)</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"Chelsea Clinton"&gt;</w:t>
      </w:r>
      <w:r>
        <w:rPr>
          <w:rStyle w:val="indexentry"/>
        </w:rPr>
        <w:fldChar w:fldCharType="begin"/>
      </w:r>
      <w:r>
        <w:instrText>xe "</w:instrText>
      </w:r>
      <w:r>
        <w:rPr>
          <w:rStyle w:val="xeentry"/>
        </w:rPr>
        <w:instrText>Chelsea Clinton</w:instrText>
      </w:r>
      <w:r>
        <w:instrText>"</w:instrText>
      </w:r>
      <w:r>
        <w:rPr>
          <w:rStyle w:val="indexentry"/>
        </w:rPr>
        <w:fldChar w:fldCharType="end"/>
      </w:r>
      <w:r>
        <w:t>The sky is the limit for r; it can be as complicated as “The other day,</w:t>
      </w:r>
      <w:r>
        <w:rPr>
          <w:rStyle w:val="deletedparamark"/>
        </w:rPr>
        <w:t xml:space="preserve"> </w:t>
      </w:r>
      <w:r>
        <w:t>g1 (Spot) chased Socks, who is owned by Chelsea Clin</w:t>
      </w:r>
      <w:r>
        <w:softHyphen/>
        <w:t>ton, who is the daughter</w:t>
      </w:r>
      <w:r>
        <w:rPr>
          <w:rStyle w:val="deletedparamark"/>
        </w:rPr>
        <w:t xml:space="preserve"> </w:t>
      </w:r>
      <w:r>
        <w:t>of Bill Clinton, who lives in z1 (the White House)” or even worse. If no</w:t>
      </w:r>
      <w:r>
        <w:rPr>
          <w:rStyle w:val="deletedparamark"/>
        </w:rPr>
        <w:t xml:space="preserve"> </w:t>
      </w:r>
      <w:r>
        <w:t>such r can be found, well, you take an</w:t>
      </w:r>
      <w:r>
        <w:softHyphen/>
        <w:t>other dog, and keep going until no</w:t>
      </w:r>
      <w:r>
        <w:rPr>
          <w:rStyle w:val="deletedparamark"/>
        </w:rPr>
        <w:t xml:space="preserve"> </w:t>
      </w:r>
      <w:r>
        <w:t>more dogs can be found. Only then can we say that the White House cannot fit</w:t>
      </w:r>
      <w:r>
        <w:rPr>
          <w:rStyle w:val="deletedparamark"/>
        </w:rPr>
        <w:t xml:space="preserve"> </w:t>
      </w:r>
      <w:r>
        <w:t>into the first place of “gerku zdani”.</w:t>
      </w:r>
    </w:p>
    <w:p w:rsidR="00B72047" w:rsidRDefault="00B72047">
      <w:pPr>
        <w:pStyle w:val="normalparagraph"/>
        <w:rPr>
          <w:rStyle w:val="htmlparacode"/>
        </w:rPr>
      </w:pPr>
      <w:r>
        <w:rPr>
          <w:rStyle w:val="htmlparacode"/>
        </w:rPr>
        <w:t>&lt;p&gt;</w:t>
      </w:r>
    </w:p>
    <w:p w:rsidR="00B72047" w:rsidRDefault="00B72047">
      <w:pPr>
        <w:pStyle w:val="normalparagraph"/>
      </w:pPr>
      <w:r>
        <w:t>As we have seen, no less than five elements are involved in the definition</w:t>
      </w:r>
      <w:r>
        <w:rPr>
          <w:rStyle w:val="deletedparamark"/>
        </w:rPr>
        <w:t xml:space="preserve"> </w:t>
      </w:r>
      <w:r>
        <w:t>of “gerku zdani”: the house, the house dweller, the dog, the dog breed</w:t>
      </w:r>
      <w:r>
        <w:rPr>
          <w:rStyle w:val="deletedparamark"/>
        </w:rPr>
        <w:t xml:space="preserve"> </w:t>
      </w:r>
      <w:r>
        <w:t>(everywhere a dog goes in Lojban, a dog breed fol</w:t>
      </w:r>
      <w:r>
        <w:softHyphen/>
        <w:t>lows), and the relationship</w:t>
      </w:r>
      <w:r>
        <w:rPr>
          <w:rStyle w:val="deletedparamark"/>
        </w:rPr>
        <w:t xml:space="preserve"> </w:t>
      </w:r>
      <w:r>
        <w:t>between the house and the dog. Since tanru are explicitly ambiguous in</w:t>
      </w:r>
      <w:r>
        <w:rPr>
          <w:rStyle w:val="deletedparamark"/>
        </w:rPr>
        <w:t xml:space="preserve"> </w:t>
      </w:r>
      <w:r>
        <w:t>Lojban, the relationship r cannot be ex</w:t>
      </w:r>
      <w:r>
        <w:softHyphen/>
        <w:t>pressed within a tanru (if it</w:t>
      </w:r>
      <w:r>
        <w:rPr>
          <w:rStyle w:val="deletedparamark"/>
        </w:rPr>
        <w:t xml:space="preserve"> </w:t>
      </w:r>
      <w:r>
        <w:t>could, it wouldn't be a tanru any more!) All the other places, however, can</w:t>
      </w:r>
      <w:r>
        <w:rPr>
          <w:rStyle w:val="deletedparamark"/>
        </w:rPr>
        <w:t xml:space="preserve"> </w:t>
      </w:r>
      <w:r>
        <w:t>be expressed —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la blabi zdani cu gerku be fa la spot. bei la sankt. berNARD. be'o</w:t>
      </w:r>
    </w:p>
    <w:p w:rsidR="00B72047" w:rsidRDefault="00B72047">
      <w:pPr>
        <w:pStyle w:val="examplescaled"/>
      </w:pPr>
      <w:r>
        <w:tab/>
      </w:r>
      <w:r>
        <w:tab/>
        <w:t>zdani la bil. klinton.</w:t>
      </w:r>
    </w:p>
    <w:p w:rsidR="00B72047" w:rsidRDefault="00B72047">
      <w:pPr>
        <w:pStyle w:val="examplescaled"/>
      </w:pPr>
      <w:r>
        <w:tab/>
        <w:t>The White House is-a-dog (namely Spot of-breed Saint Bernard)</w:t>
      </w:r>
    </w:p>
    <w:p w:rsidR="00B72047" w:rsidRDefault="00B72047">
      <w:pPr>
        <w:pStyle w:val="examplescaled"/>
      </w:pPr>
      <w:r>
        <w:tab/>
      </w:r>
      <w:r>
        <w:tab/>
        <w:t>type-of-house-for Bill Clinton.</w:t>
      </w:r>
    </w:p>
    <w:p w:rsidR="00B72047" w:rsidRDefault="00B72047">
      <w:pPr>
        <w:pStyle w:val="resumedafterexample"/>
      </w:pPr>
      <w:r>
        <w:rPr>
          <w:rStyle w:val="htmlcodes"/>
        </w:rPr>
        <w:t>&lt;/pre&gt;</w:t>
      </w:r>
      <w:r>
        <w:rPr>
          <w:rStyle w:val="indexentry"/>
        </w:rPr>
        <w:t>&lt;cx "derogatory terms"&gt;</w:t>
      </w:r>
      <w:r>
        <w:rPr>
          <w:rStyle w:val="indexentry"/>
        </w:rPr>
        <w:fldChar w:fldCharType="begin"/>
      </w:r>
      <w:r>
        <w:instrText>xe "</w:instrText>
      </w:r>
      <w:r>
        <w:rPr>
          <w:rStyle w:val="xeentry"/>
        </w:rPr>
        <w:instrText>derogatory terms</w:instrText>
      </w:r>
      <w:r>
        <w:instrText>"</w:instrText>
      </w:r>
      <w:r>
        <w:rPr>
          <w:rStyle w:val="indexentry"/>
        </w:rPr>
        <w:fldChar w:fldCharType="end"/>
      </w:r>
      <w:r>
        <w:t>Not the most elegant sentence ever written in either Lojban or Eng</w:t>
      </w:r>
      <w:r>
        <w:softHyphen/>
        <w:t>lish.</w:t>
      </w:r>
      <w:r>
        <w:rPr>
          <w:rStyle w:val="deletedparamark"/>
        </w:rPr>
        <w:t xml:space="preserve"> </w:t>
      </w:r>
      <w:r>
        <w:t>Yet if there is any relation at all between Spot and the White House,</w:t>
      </w:r>
      <w:r>
        <w:rPr>
          <w:rStyle w:val="deletedparamark"/>
        </w:rPr>
        <w:t xml:space="preserve"> </w:t>
      </w:r>
      <w:r>
        <w:rPr>
          <w:rStyle w:val="htmlcodes"/>
        </w:rPr>
        <w:t>&lt;a href=#e2d4&gt;</w:t>
      </w:r>
      <w:r>
        <w:t xml:space="preserve">Example 2.4 </w:t>
      </w:r>
      <w:r>
        <w:rPr>
          <w:rStyle w:val="htmlcodes"/>
        </w:rPr>
        <w:t>&lt;/a&gt;</w:t>
      </w:r>
      <w:r>
        <w:t>is arguably true. If we concentrate on just one type of relation in</w:t>
      </w:r>
      <w:r>
        <w:rPr>
          <w:rStyle w:val="deletedparamark"/>
        </w:rPr>
        <w:t xml:space="preserve"> </w:t>
      </w:r>
      <w:r>
        <w:t>interpreting the tanru “gerku zdani”, then the meaning of “gerku</w:t>
      </w:r>
      <w:r>
        <w:rPr>
          <w:rStyle w:val="deletedparamark"/>
        </w:rPr>
        <w:t xml:space="preserve"> </w:t>
      </w:r>
      <w:r>
        <w:t>zdani” changes. So if we understand “gerku zdani” as having the same</w:t>
      </w:r>
      <w:r>
        <w:rPr>
          <w:rStyle w:val="deletedparamark"/>
        </w:rPr>
        <w:t xml:space="preserve"> </w:t>
      </w:r>
      <w:r>
        <w:t>meaning as the English word “doghouse”, the White House would no longer be</w:t>
      </w:r>
      <w:r>
        <w:rPr>
          <w:rStyle w:val="deletedparamark"/>
        </w:rPr>
        <w:t xml:space="preserve"> </w:t>
      </w:r>
      <w:r>
        <w:t>a “gerku zdani” with respect to Spot, because as far as we know Spot does</w:t>
      </w:r>
      <w:r>
        <w:rPr>
          <w:rStyle w:val="deletedparamark"/>
        </w:rPr>
        <w:t xml:space="preserve"> </w:t>
      </w:r>
      <w:r>
        <w:t>not actually live in the White House, and the White House is not a doghouse</w:t>
      </w:r>
      <w:r>
        <w:rPr>
          <w:rStyle w:val="deletedparamark"/>
        </w:rPr>
        <w:t xml:space="preserve"> </w:t>
      </w:r>
      <w:r>
        <w:t>(derogatory terms for incumbents notwithstanding).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379" w:name="_Toc398970622"/>
      <w:r>
        <w:rPr>
          <w:rStyle w:val="Heading3Text"/>
        </w:rPr>
        <w:t>The meaning of lujvo</w:t>
      </w:r>
      <w:bookmarkEnd w:id="379"/>
      <w:r>
        <w:rPr>
          <w:rStyle w:val="htmlcodes"/>
        </w:rPr>
        <w:t>&lt;/h3&gt;</w:t>
      </w:r>
    </w:p>
    <w:p w:rsidR="00B72047" w:rsidRDefault="00B72047">
      <w:pPr>
        <w:rPr>
          <w:rStyle w:val="htmlparacode"/>
        </w:rPr>
      </w:pPr>
      <w:r>
        <w:rPr>
          <w:rStyle w:val="htmlparacode"/>
        </w:rPr>
        <w:t>&lt;p&gt;</w:t>
      </w:r>
    </w:p>
    <w:p w:rsidR="00B72047" w:rsidRDefault="00B72047">
      <w:pPr>
        <w:pStyle w:val="normalparagraph"/>
      </w:pPr>
      <w:r>
        <w:t>This is a fairly long way to go to try and work out how to say “doghouse”!</w:t>
      </w:r>
      <w:r>
        <w:rPr>
          <w:rStyle w:val="deletedparamark"/>
        </w:rPr>
        <w:t xml:space="preserve"> </w:t>
      </w:r>
      <w:r>
        <w:t>The reader can take heart; we're nearly there. Recall that one of the</w:t>
      </w:r>
      <w:r>
        <w:rPr>
          <w:rStyle w:val="deletedparamark"/>
        </w:rPr>
        <w:t xml:space="preserve"> </w:t>
      </w:r>
      <w:r>
        <w:t>components involved in fixing the meaning of a tanru — the one left</w:t>
      </w:r>
      <w:r>
        <w:rPr>
          <w:rStyle w:val="deletedparamark"/>
        </w:rPr>
        <w:t xml:space="preserve"> </w:t>
      </w:r>
      <w:r>
        <w:t>deliberately vague — is the precise rela</w:t>
      </w:r>
      <w:r>
        <w:softHyphen/>
        <w:t>tion between the tertau and the</w:t>
      </w:r>
      <w:r>
        <w:rPr>
          <w:rStyle w:val="deletedparamark"/>
        </w:rPr>
        <w:t xml:space="preserve"> </w:t>
      </w:r>
      <w:r>
        <w:t>seltau. Indeed, fixing this relation is tantamount to giv</w:t>
      </w:r>
      <w:r>
        <w:softHyphen/>
        <w:t>ing an</w:t>
      </w:r>
      <w:r>
        <w:rPr>
          <w:rStyle w:val="deletedparamark"/>
        </w:rPr>
        <w:t xml:space="preserve"> </w:t>
      </w:r>
      <w:r>
        <w:t>interpretation to the ambiguous tanru.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"disambiguated instance"&gt;</w:t>
      </w:r>
      <w:r>
        <w:rPr>
          <w:rStyle w:val="indexentry"/>
        </w:rPr>
        <w:fldChar w:fldCharType="begin"/>
      </w:r>
      <w:r>
        <w:instrText>xe "</w:instrText>
      </w:r>
      <w:r>
        <w:rPr>
          <w:rStyle w:val="xeentry"/>
        </w:rPr>
        <w:instrText>disambiguated instance</w:instrText>
      </w:r>
      <w:r>
        <w:instrText>"</w:instrText>
      </w:r>
      <w:r>
        <w:rPr>
          <w:rStyle w:val="indexentry"/>
        </w:rPr>
        <w:fldChar w:fldCharType="end"/>
      </w:r>
      <w:r>
        <w:rPr>
          <w:rStyle w:val="indexentry"/>
        </w:rPr>
        <w:t>&lt;cx "lujvo, interpreting"&gt;</w:t>
      </w:r>
      <w:r>
        <w:rPr>
          <w:rStyle w:val="indexentry"/>
        </w:rPr>
        <w:fldChar w:fldCharType="begin"/>
      </w:r>
      <w:r>
        <w:instrText>xe "</w:instrText>
      </w:r>
      <w:r>
        <w:rPr>
          <w:rStyle w:val="xeentry"/>
        </w:rPr>
        <w:instrText>lujvo: interpreting</w:instrText>
      </w:r>
      <w:r>
        <w:instrText>"</w:instrText>
      </w:r>
      <w:r>
        <w:rPr>
          <w:rStyle w:val="indexentry"/>
        </w:rPr>
        <w:fldChar w:fldCharType="end"/>
      </w:r>
      <w:r>
        <w:rPr>
          <w:rStyle w:val="indexentry"/>
        </w:rPr>
        <w:t>&lt;cx "lujvo, and seltau/tertau relationship"&gt;</w:t>
      </w:r>
      <w:r>
        <w:rPr>
          <w:rStyle w:val="indexentry"/>
        </w:rPr>
        <w:fldChar w:fldCharType="begin"/>
      </w:r>
      <w:r>
        <w:instrText>xe "</w:instrText>
      </w:r>
      <w:r>
        <w:rPr>
          <w:rStyle w:val="xeentry"/>
        </w:rPr>
        <w:instrText>lujvo: and seltau/tertau relationship</w:instrText>
      </w:r>
      <w:r>
        <w:instrText>"</w:instrText>
      </w:r>
      <w:r>
        <w:rPr>
          <w:rStyle w:val="indexentry"/>
        </w:rPr>
        <w:fldChar w:fldCharType="end"/>
      </w:r>
      <w:r>
        <w:t>A lujvo is defined by a single disambiguated instance of a tanru. That is</w:t>
      </w:r>
      <w:r>
        <w:rPr>
          <w:rStyle w:val="deletedparamark"/>
        </w:rPr>
        <w:t xml:space="preserve"> </w:t>
      </w:r>
      <w:r>
        <w:t>to say, when we try to design the place structure of a lujvo, we don't need</w:t>
      </w:r>
      <w:r>
        <w:rPr>
          <w:rStyle w:val="deletedparamark"/>
        </w:rPr>
        <w:t xml:space="preserve"> </w:t>
      </w:r>
      <w:r>
        <w:t>to try to discover the relation between the tertau and the seltau.</w:t>
      </w:r>
      <w:r>
        <w:rPr>
          <w:rStyle w:val="deletedparamark"/>
        </w:rPr>
        <w:t xml:space="preserve"> </w:t>
      </w:r>
      <w:r>
        <w:t>We already know what kind of relation we're looking for; it's given by</w:t>
      </w:r>
      <w:r>
        <w:rPr>
          <w:rStyle w:val="deletedparamark"/>
        </w:rPr>
        <w:t xml:space="preserve"> </w:t>
      </w:r>
      <w:r>
        <w:t>the specific need we wish to express, and it deter</w:t>
      </w:r>
      <w:r>
        <w:softHyphen/>
        <w:t>mines the place stru</w:t>
      </w:r>
      <w:r>
        <w:t>c</w:t>
      </w:r>
      <w:r>
        <w:softHyphen/>
        <w:t>ture</w:t>
      </w:r>
      <w:r>
        <w:rPr>
          <w:rStyle w:val="deletedparamark"/>
        </w:rPr>
        <w:t xml:space="preserve"> </w:t>
      </w:r>
      <w:r>
        <w:t>of the lujvo itself.</w:t>
      </w:r>
    </w:p>
    <w:p w:rsidR="00B72047" w:rsidRDefault="00B72047">
      <w:pPr>
        <w:pStyle w:val="normalparagraph"/>
        <w:rPr>
          <w:rStyle w:val="htmlparacode"/>
        </w:rPr>
      </w:pPr>
      <w:r>
        <w:rPr>
          <w:rStyle w:val="htmlparacode"/>
        </w:rPr>
        <w:t>&lt;p&gt;</w:t>
      </w:r>
    </w:p>
    <w:p w:rsidR="00B72047" w:rsidRDefault="00B72047">
      <w:pPr>
        <w:pStyle w:val="normalparagraph"/>
      </w:pPr>
      <w:r>
        <w:t>Therefore, it is generally not appropriate to simply devise luj</w:t>
      </w:r>
      <w:r>
        <w:softHyphen/>
        <w:t>vo and decide</w:t>
      </w:r>
      <w:r>
        <w:rPr>
          <w:rStyle w:val="deletedparamark"/>
        </w:rPr>
        <w:t xml:space="preserve"> </w:t>
      </w:r>
      <w:r>
        <w:t>on place structures for them without considering one or more specific</w:t>
      </w:r>
      <w:r>
        <w:rPr>
          <w:rStyle w:val="deletedparamark"/>
        </w:rPr>
        <w:t xml:space="preserve"> </w:t>
      </w:r>
      <w:r>
        <w:t>usages for the coin</w:t>
      </w:r>
      <w:r>
        <w:softHyphen/>
        <w:t>age. If one does not consider spe</w:t>
      </w:r>
      <w:r>
        <w:softHyphen/>
        <w:t>cifics, one will</w:t>
      </w:r>
      <w:r>
        <w:rPr>
          <w:rStyle w:val="deletedparamark"/>
        </w:rPr>
        <w:t xml:space="preserve"> </w:t>
      </w:r>
      <w:r>
        <w:t>be likely to make erroneous generaliza</w:t>
      </w:r>
      <w:r>
        <w:softHyphen/>
        <w:t>tions on the re</w:t>
      </w:r>
      <w:r>
        <w:softHyphen/>
        <w:t>lationship 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design consideration for relationship"&gt;</w:t>
      </w:r>
      <w:r>
        <w:rPr>
          <w:rStyle w:val="indexentry"/>
        </w:rPr>
        <w:fldChar w:fldCharType="begin"/>
      </w:r>
      <w:r>
        <w:instrText>xe "</w:instrText>
      </w:r>
      <w:r>
        <w:rPr>
          <w:rStyle w:val="xeentry"/>
        </w:rPr>
        <w:instrText>lujvo: design consideration for relationship</w:instrText>
      </w:r>
      <w:r>
        <w:instrText>"</w:instrText>
      </w:r>
      <w:r>
        <w:rPr>
          <w:rStyle w:val="indexentry"/>
        </w:rPr>
        <w:fldChar w:fldCharType="end"/>
      </w:r>
      <w:r>
        <w:t>The insight driving the rest of this chapter is this: while the relation</w:t>
      </w:r>
      <w:r>
        <w:rPr>
          <w:rStyle w:val="deletedparamark"/>
        </w:rPr>
        <w:t xml:space="preserve"> </w:t>
      </w:r>
      <w:r>
        <w:t>expressed by a tanru can be very distant (e.g. Spot chasing Socks, above),</w:t>
      </w:r>
      <w:r>
        <w:rPr>
          <w:rStyle w:val="deletedparamark"/>
        </w:rPr>
        <w:t xml:space="preserve"> </w:t>
      </w:r>
      <w:r>
        <w:t>the relationship singled out for disambiguation in a lujvo should be</w:t>
      </w:r>
      <w:r>
        <w:rPr>
          <w:rStyle w:val="deletedparamark"/>
        </w:rPr>
        <w:t xml:space="preserve"> </w:t>
      </w:r>
      <w:r>
        <w:t>quite close. This is because lujvo-making, paralleling natural language</w:t>
      </w:r>
      <w:r>
        <w:rPr>
          <w:rStyle w:val="deletedparamark"/>
        </w:rPr>
        <w:t xml:space="preserve"> </w:t>
      </w:r>
      <w:r>
        <w:t>compounding, picks out the most salient relationship r between a tertau place</w:t>
      </w:r>
      <w:r>
        <w:rPr>
          <w:rStyle w:val="deletedparamark"/>
        </w:rPr>
        <w:t xml:space="preserve"> </w:t>
      </w:r>
      <w:r>
        <w:t>and a seltau place to be expressed in a sin</w:t>
      </w:r>
      <w:r>
        <w:softHyphen/>
        <w:t>gle word. The relation</w:t>
      </w:r>
      <w:r>
        <w:softHyphen/>
        <w:t>ship</w:t>
      </w:r>
      <w:r>
        <w:rPr>
          <w:rStyle w:val="deletedparamark"/>
        </w:rPr>
        <w:t xml:space="preserve"> “</w:t>
      </w:r>
      <w:r>
        <w:t>dog chases cat owned by daughter of per</w:t>
      </w:r>
      <w:r>
        <w:softHyphen/>
        <w:t>son living in house” is too</w:t>
      </w:r>
      <w:r>
        <w:rPr>
          <w:rStyle w:val="deletedparamark"/>
        </w:rPr>
        <w:t xml:space="preserve"> </w:t>
      </w:r>
      <w:r>
        <w:t>distant, and too incidental, to be likely to need expression as a single short</w:t>
      </w:r>
      <w:r>
        <w:rPr>
          <w:rStyle w:val="deletedparamark"/>
        </w:rPr>
        <w:t xml:space="preserve"> </w:t>
      </w:r>
      <w:r>
        <w:t>word; the relationship “dog lives in house” is not. From all the various</w:t>
      </w:r>
      <w:r>
        <w:rPr>
          <w:rStyle w:val="deletedparamark"/>
        </w:rPr>
        <w:t xml:space="preserve"> </w:t>
      </w:r>
      <w:r>
        <w:t>interpretations of “gerku zdani”, the person creating “gerzda” should pick</w:t>
      </w:r>
      <w:r>
        <w:rPr>
          <w:rStyle w:val="deletedparamark"/>
        </w:rPr>
        <w:t xml:space="preserve"> </w:t>
      </w:r>
      <w:r>
        <w:t>the most useful value of r. The most useful one is usually going to be the</w:t>
      </w:r>
      <w:r>
        <w:rPr>
          <w:rStyle w:val="deletedparamark"/>
        </w:rPr>
        <w:t xml:space="preserve"> </w:t>
      </w:r>
      <w:r>
        <w:t>most obvious one, and the most obvious one is usually the clos</w:t>
      </w:r>
      <w:r>
        <w:softHyphen/>
        <w:t>est one.</w:t>
      </w:r>
    </w:p>
    <w:p w:rsidR="00B72047" w:rsidRDefault="00B72047">
      <w:pPr>
        <w:pStyle w:val="normalparagraph"/>
        <w:rPr>
          <w:rStyle w:val="htmlparacode"/>
        </w:rPr>
      </w:pPr>
      <w:r>
        <w:rPr>
          <w:rStyle w:val="htmlparacode"/>
        </w:rPr>
        <w:t>&lt;p&gt;</w:t>
      </w:r>
    </w:p>
    <w:p w:rsidR="00B72047" w:rsidRDefault="00B72047">
      <w:pPr>
        <w:pStyle w:val="normalparagraph"/>
      </w:pPr>
      <w:r>
        <w:t>In fact, the relationship will almost always be so close that the predicate</w:t>
      </w:r>
      <w:r>
        <w:rPr>
          <w:rStyle w:val="deletedparamark"/>
        </w:rPr>
        <w:t xml:space="preserve"> </w:t>
      </w:r>
      <w:r>
        <w:t>ex</w:t>
      </w:r>
      <w:r>
        <w:softHyphen/>
        <w:t>pressing r will be either the seltau or the tertau predicate itself.</w:t>
      </w:r>
      <w:r>
        <w:rPr>
          <w:rStyle w:val="deletedparamark"/>
        </w:rPr>
        <w:t xml:space="preserve"> </w:t>
      </w:r>
      <w:r>
        <w:t>This should come as no surprise, given that a word like “zdani” in Lojban is</w:t>
      </w:r>
      <w:r>
        <w:rPr>
          <w:rStyle w:val="deletedparamark"/>
        </w:rPr>
        <w:t xml:space="preserve"> </w:t>
      </w:r>
      <w:r>
        <w:t>a predicate. Predicates express re</w:t>
      </w:r>
      <w:r>
        <w:softHyphen/>
        <w:t>lations; so when you're looking for a</w:t>
      </w:r>
      <w:r>
        <w:rPr>
          <w:rStyle w:val="deletedparamark"/>
        </w:rPr>
        <w:t xml:space="preserve"> </w:t>
      </w:r>
      <w:r>
        <w:t>relation to tie together “le zdani” and “le gerku”, the most o</w:t>
      </w:r>
      <w:r>
        <w:t>b</w:t>
      </w:r>
      <w:r>
        <w:softHyphen/>
        <w:t>vious</w:t>
      </w:r>
      <w:r>
        <w:rPr>
          <w:rStyle w:val="deletedparamark"/>
        </w:rPr>
        <w:t xml:space="preserve"> </w:t>
      </w:r>
      <w:r>
        <w:t>relation to pick is the very relation named by the tertau, “zdani”: the</w:t>
      </w:r>
      <w:r>
        <w:rPr>
          <w:rStyle w:val="deletedparamark"/>
        </w:rPr>
        <w:t xml:space="preserve"> </w:t>
      </w:r>
      <w:r>
        <w:t>relation b</w:t>
      </w:r>
      <w:r>
        <w:t>e</w:t>
      </w:r>
      <w:r>
        <w:softHyphen/>
        <w:t>tween a home and its dweller. As a result, the object which</w:t>
      </w:r>
      <w:r>
        <w:rPr>
          <w:rStyle w:val="deletedparamark"/>
        </w:rPr>
        <w:t xml:space="preserve"> </w:t>
      </w:r>
      <w:r>
        <w:t>fills the first place of “gerku” (the dog) also fills the sec</w:t>
      </w:r>
      <w:r>
        <w:softHyphen/>
        <w:t>ond place of</w:t>
      </w:r>
      <w:r>
        <w:rPr>
          <w:rStyle w:val="deletedparamark"/>
        </w:rPr>
        <w:t xml:space="preserve"> “</w:t>
      </w:r>
      <w:r>
        <w:t>zdani” (the house-dweller).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dropping redundant places"&gt;</w:t>
      </w:r>
      <w:r>
        <w:rPr>
          <w:rStyle w:val="indexentry"/>
        </w:rPr>
        <w:fldChar w:fldCharType="begin"/>
      </w:r>
      <w:r>
        <w:instrText>xe "</w:instrText>
      </w:r>
      <w:r>
        <w:rPr>
          <w:rStyle w:val="xeentry"/>
        </w:rPr>
        <w:instrText>lujvo place structure: dropping redundant places</w:instrText>
      </w:r>
      <w:r>
        <w:instrText>"</w:instrText>
      </w:r>
      <w:r>
        <w:rPr>
          <w:rStyle w:val="indexentry"/>
        </w:rPr>
        <w:fldChar w:fldCharType="end"/>
      </w:r>
      <w:r>
        <w:t>The seltau-tertau relationship in the veljvo is expressed by the seltau or</w:t>
      </w:r>
      <w:r>
        <w:rPr>
          <w:rStyle w:val="deletedparamark"/>
        </w:rPr>
        <w:t xml:space="preserve"> </w:t>
      </w:r>
      <w:r>
        <w:t>tertau pred</w:t>
      </w:r>
      <w:r>
        <w:t>i</w:t>
      </w:r>
      <w:r>
        <w:softHyphen/>
        <w:t>cate itself. Therefore, at least one of the seltau places is</w:t>
      </w:r>
      <w:r>
        <w:rPr>
          <w:rStyle w:val="deletedparamark"/>
        </w:rPr>
        <w:t xml:space="preserve"> </w:t>
      </w:r>
      <w:r>
        <w:t>going to be equivalent to a tertau place. This place is thus redundant, and</w:t>
      </w:r>
      <w:r>
        <w:rPr>
          <w:rStyle w:val="deletedparamark"/>
        </w:rPr>
        <w:t xml:space="preserve"> </w:t>
      </w:r>
      <w:r>
        <w:t>can be dropped from the place structure of the lujvo. As a corollary, the</w:t>
      </w:r>
      <w:r>
        <w:rPr>
          <w:rStyle w:val="deletedparamark"/>
        </w:rPr>
        <w:t xml:space="preserve"> </w:t>
      </w:r>
      <w:r>
        <w:t>precise relationship between the veljvo com</w:t>
      </w:r>
      <w:r>
        <w:softHyphen/>
        <w:t>ponents can be i</w:t>
      </w:r>
      <w:r>
        <w:t>m</w:t>
      </w:r>
      <w:r>
        <w:softHyphen/>
        <w:t>plicitly</w:t>
      </w:r>
      <w:r>
        <w:rPr>
          <w:rStyle w:val="deletedparamark"/>
        </w:rPr>
        <w:t xml:space="preserve"> </w:t>
      </w:r>
      <w:r>
        <w:t>determined by finding one or more places to overlap in this way.</w:t>
      </w:r>
    </w:p>
    <w:p w:rsidR="00B72047" w:rsidRDefault="00B72047">
      <w:pPr>
        <w:pStyle w:val="normalparagraph"/>
        <w:rPr>
          <w:rStyle w:val="htmlparacode"/>
        </w:rPr>
      </w:pPr>
      <w:r>
        <w:rPr>
          <w:rStyle w:val="htmlparacode"/>
        </w:rPr>
        <w:t>&lt;p&gt;</w:t>
      </w:r>
    </w:p>
    <w:p w:rsidR="00B72047" w:rsidRDefault="00B72047">
      <w:pPr>
        <w:pStyle w:val="normalparagraph"/>
      </w:pPr>
      <w:r>
        <w:t>So what is the place structure of “gerzda”? We're left with three places,</w:t>
      </w:r>
      <w:r>
        <w:rPr>
          <w:rStyle w:val="deletedparamark"/>
        </w:rPr>
        <w:t xml:space="preserve"> </w:t>
      </w:r>
      <w:r>
        <w:t>since the dweller, the “se zdani”, turned out to be identi</w:t>
      </w:r>
      <w:r>
        <w:softHyphen/>
        <w:t>cal to the dog,</w:t>
      </w:r>
      <w:r>
        <w:rPr>
          <w:rStyle w:val="deletedparamark"/>
        </w:rPr>
        <w:t xml:space="preserve"> </w:t>
      </w:r>
      <w:r>
        <w:t>the “gerku”. We can proceed as follows: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notation conventions"&gt;</w:t>
      </w:r>
      <w:r>
        <w:rPr>
          <w:rStyle w:val="indexentry"/>
        </w:rPr>
        <w:fldChar w:fldCharType="begin"/>
      </w:r>
      <w:r>
        <w:instrText>xe "</w:instrText>
      </w:r>
      <w:r>
        <w:rPr>
          <w:rStyle w:val="xeentry"/>
        </w:rPr>
        <w:instrText>lujvo place structure: notation conventions</w:instrText>
      </w:r>
      <w:r>
        <w:instrText>"</w:instrText>
      </w:r>
      <w:r>
        <w:rPr>
          <w:rStyle w:val="indexentry"/>
        </w:rPr>
        <w:fldChar w:fldCharType="end"/>
      </w:r>
      <w:r>
        <w:t xml:space="preserve">(The notation introduced casually in </w:t>
      </w:r>
      <w:r>
        <w:rPr>
          <w:rStyle w:val="htmlcodes"/>
        </w:rPr>
        <w:t>&lt;a href=#s2&gt;</w:t>
      </w:r>
      <w:r>
        <w:t xml:space="preserve">Section 2 </w:t>
      </w:r>
      <w:r>
        <w:rPr>
          <w:rStyle w:val="htmlcodes"/>
        </w:rPr>
        <w:t>&lt;/a&gt;</w:t>
      </w:r>
      <w:r>
        <w:t>will be useful in the</w:t>
      </w:r>
      <w:r>
        <w:rPr>
          <w:rStyle w:val="deletedparamark"/>
        </w:rPr>
        <w:t xml:space="preserve"> </w:t>
      </w:r>
      <w:r>
        <w:t>rest of this cha</w:t>
      </w:r>
      <w:r>
        <w:t>p</w:t>
      </w:r>
      <w:r>
        <w:softHyphen/>
        <w:t>ter. Rather than using the regular x1, x2, etc. to</w:t>
      </w:r>
      <w:r>
        <w:rPr>
          <w:rStyle w:val="deletedparamark"/>
        </w:rPr>
        <w:t xml:space="preserve"> </w:t>
      </w:r>
      <w:r>
        <w:t>represent places, we'll use the first letter of the relevant gismu</w:t>
      </w:r>
      <w:r>
        <w:rPr>
          <w:rStyle w:val="deletedparamark"/>
        </w:rPr>
        <w:t xml:space="preserve"> </w:t>
      </w:r>
      <w:r>
        <w:t>in place of the “x”, or more than one letter where necessary to r</w:t>
      </w:r>
      <w:r>
        <w:t>e</w:t>
      </w:r>
      <w:r>
        <w:softHyphen/>
        <w:t>solve</w:t>
      </w:r>
      <w:r>
        <w:rPr>
          <w:rStyle w:val="deletedparamark"/>
        </w:rPr>
        <w:t xml:space="preserve"> </w:t>
      </w:r>
      <w:r>
        <w:t>ambiguities. Thus, z1 is the first place of “zdani”, and g2 is</w:t>
      </w:r>
      <w:r>
        <w:rPr>
          <w:rStyle w:val="deletedparamark"/>
        </w:rPr>
        <w:t xml:space="preserve"> </w:t>
      </w:r>
      <w:r>
        <w:t>the sec</w:t>
      </w:r>
      <w:r>
        <w:softHyphen/>
        <w:t>ond place of “gerku”.)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"new notation"&gt;</w:t>
      </w:r>
      <w:r>
        <w:rPr>
          <w:rStyle w:val="indexentry"/>
        </w:rPr>
        <w:fldChar w:fldCharType="begin"/>
      </w:r>
      <w:r>
        <w:instrText>xe "</w:instrText>
      </w:r>
      <w:r>
        <w:rPr>
          <w:rStyle w:val="xeentry"/>
        </w:rPr>
        <w:instrText>new notation</w:instrText>
      </w:r>
      <w:r>
        <w:instrText>"</w:instrText>
      </w:r>
      <w:r>
        <w:rPr>
          <w:rStyle w:val="indexentry"/>
        </w:rPr>
        <w:fldChar w:fldCharType="end"/>
      </w:r>
      <w:r>
        <w:rPr>
          <w:rStyle w:val="indexentry"/>
        </w:rPr>
        <w:t>&lt;cx "lujvo place structure, explicated walk-through"&gt;</w:t>
      </w:r>
      <w:r>
        <w:rPr>
          <w:rStyle w:val="indexentry"/>
        </w:rPr>
        <w:fldChar w:fldCharType="begin"/>
      </w:r>
      <w:r>
        <w:instrText>xe "</w:instrText>
      </w:r>
      <w:r>
        <w:rPr>
          <w:rStyle w:val="xeentry"/>
        </w:rPr>
        <w:instrText>lujvo place structure: explicated walk-through</w:instrText>
      </w:r>
      <w:r>
        <w:instrText>"</w:instrText>
      </w:r>
      <w:r>
        <w:rPr>
          <w:rStyle w:val="indexentry"/>
        </w:rPr>
        <w:fldChar w:fldCharType="end"/>
      </w:r>
      <w:r>
        <w:t xml:space="preserve">The place structure of “zdani” is given as </w:t>
      </w:r>
      <w:r>
        <w:rPr>
          <w:rStyle w:val="htmlcodes"/>
        </w:rPr>
        <w:t>&lt;a href=#e2d1&gt;</w:t>
      </w:r>
      <w:r>
        <w:t>Example 2.1</w:t>
      </w:r>
      <w:r>
        <w:rPr>
          <w:rStyle w:val="htmlcodes"/>
        </w:rPr>
        <w:t>&lt;/a&gt;</w:t>
      </w:r>
      <w:r>
        <w:t>, but is repeated</w:t>
      </w:r>
      <w:r>
        <w:rPr>
          <w:rStyle w:val="deletedparamark"/>
        </w:rPr>
        <w:t xml:space="preserve"> </w:t>
      </w:r>
      <w:r>
        <w:t>here using the new notation:</w:t>
      </w:r>
    </w:p>
    <w:p w:rsidR="00B72047" w:rsidRDefault="00B72047">
      <w:pPr>
        <w:rPr>
          <w:rStyle w:val="htmlparacode"/>
        </w:rPr>
      </w:pPr>
      <w:r>
        <w:rPr>
          <w:rStyle w:val="htmlparacode"/>
        </w:rPr>
        <w:t>&lt;p&gt;</w:t>
      </w:r>
    </w:p>
    <w:p w:rsidR="00B72047" w:rsidRDefault="00B72047">
      <w:pPr>
        <w:pStyle w:val="examplescaledpre"/>
      </w:pPr>
      <w:r>
        <w:rPr>
          <w:rStyle w:val="indexentry"/>
        </w:rPr>
        <w:t>&lt;ex "doghouse"&gt;</w:t>
      </w:r>
      <w:r>
        <w:rPr>
          <w:rStyle w:val="indexentry"/>
        </w:rPr>
        <w:fldChar w:fldCharType="begin"/>
      </w:r>
      <w:r>
        <w:instrText>xe "</w:instrText>
      </w:r>
      <w:r>
        <w:rPr>
          <w:rStyle w:val="xeentry"/>
        </w:rPr>
        <w:instrText>doghouse: example</w:instrText>
      </w:r>
      <w:r>
        <w:instrText>"</w:instrText>
      </w:r>
      <w:r>
        <w:rPr>
          <w:rStyle w:val="indexentry"/>
        </w:rPr>
        <w:fldChar w:fldCharType="end"/>
      </w:r>
      <w:r>
        <w:rPr>
          <w:rStyle w:val="htmlcodes"/>
        </w:rPr>
        <w:t>&lt;pre&gt;&lt;a name=e3d1&gt;</w:t>
      </w:r>
      <w:r>
        <w:t>3.1)</w:t>
      </w:r>
      <w:r>
        <w:tab/>
        <w:t>z1 is a nest/house/lair/den of z2</w:t>
      </w:r>
    </w:p>
    <w:p w:rsidR="00B72047" w:rsidRDefault="00B72047">
      <w:pPr>
        <w:pStyle w:val="resumedafterexample"/>
      </w:pPr>
      <w:r>
        <w:rPr>
          <w:rStyle w:val="htmlcodes"/>
        </w:rPr>
        <w:t>&lt;/pre&gt;&lt;p&gt;</w:t>
      </w:r>
      <w:r>
        <w:t>The place structure of “gerku”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g1 is a dog of breed g2</w:t>
      </w:r>
    </w:p>
    <w:p w:rsidR="00B72047" w:rsidRDefault="00B72047">
      <w:pPr>
        <w:pStyle w:val="resumedafterexample"/>
      </w:pPr>
      <w:r>
        <w:rPr>
          <w:rStyle w:val="htmlcodes"/>
        </w:rPr>
        <w:t>&lt;/pre&gt;&lt;p&gt;</w:t>
      </w:r>
      <w:r>
        <w:t>But z2 is the same as g1; therefore, the tentative place structure for</w:t>
      </w:r>
      <w:r>
        <w:rPr>
          <w:rStyle w:val="deletedparamark"/>
        </w:rPr>
        <w:t xml:space="preserve"> “</w:t>
      </w:r>
      <w:r>
        <w:t>gerzda” now be</w:t>
      </w:r>
      <w:r>
        <w:softHyphen/>
        <w:t>comes: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z1 is a house for dweller z2 of breed g2</w:t>
      </w:r>
    </w:p>
    <w:p w:rsidR="00B72047" w:rsidRDefault="00B72047">
      <w:pPr>
        <w:pStyle w:val="resumedafterexample"/>
      </w:pPr>
      <w:r>
        <w:rPr>
          <w:rStyle w:val="htmlcodes"/>
        </w:rPr>
        <w:t>&lt;/pre&gt;</w:t>
      </w:r>
      <w:r>
        <w:t>which can also be written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z1 is a house for dog g1 of breed g2</w:t>
      </w:r>
    </w:p>
    <w:p w:rsidR="00B72047" w:rsidRDefault="00B72047">
      <w:pPr>
        <w:pStyle w:val="resumedafterexample"/>
      </w:pPr>
      <w:r>
        <w:rPr>
          <w:rStyle w:val="htmlcodes"/>
        </w:rPr>
        <w:t>&lt;/pre&gt;</w:t>
      </w:r>
      <w:r>
        <w:t>or more comprehensively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name=e3d5&gt;</w:t>
      </w:r>
      <w:r>
        <w:t>3.5)</w:t>
      </w:r>
      <w:r>
        <w:tab/>
        <w:t>z1 is a house for dweller/dog z2=g1 of breed g2</w:t>
      </w:r>
    </w:p>
    <w:p w:rsidR="00B72047" w:rsidRDefault="00B72047">
      <w:pPr>
        <w:pStyle w:val="normalafterexample"/>
      </w:pPr>
      <w:r>
        <w:rPr>
          <w:rStyle w:val="htmlcodes"/>
        </w:rPr>
        <w:t>&lt;/pre&gt;&lt;p&gt;</w:t>
      </w:r>
      <w:r>
        <w:t xml:space="preserve">Despite the apparently conclusive nature of </w:t>
      </w:r>
      <w:r>
        <w:rPr>
          <w:rStyle w:val="htmlcodes"/>
        </w:rPr>
        <w:t>&lt;a href=#e3d5&gt;</w:t>
      </w:r>
      <w:r>
        <w:t>Example 3.5</w:t>
      </w:r>
      <w:r>
        <w:rPr>
          <w:rStyle w:val="htmlcodes"/>
        </w:rPr>
        <w:t>&lt;/a&gt;</w:t>
      </w:r>
      <w:r>
        <w:t>, our task is not yet</w:t>
      </w:r>
      <w:r>
        <w:rPr>
          <w:rStyle w:val="deletedparamark"/>
        </w:rPr>
        <w:t xml:space="preserve"> </w:t>
      </w:r>
      <w:r>
        <w:t>done: we still need to decide whether any of the re</w:t>
      </w:r>
      <w:r>
        <w:softHyphen/>
        <w:t>maining places should</w:t>
      </w:r>
      <w:r>
        <w:rPr>
          <w:rStyle w:val="deletedparamark"/>
        </w:rPr>
        <w:t xml:space="preserve"> </w:t>
      </w:r>
      <w:r>
        <w:t>also be elimi</w:t>
      </w:r>
      <w:r>
        <w:softHyphen/>
        <w:t>nated, and what order the lujvo places should appear in. These</w:t>
      </w:r>
      <w:r>
        <w:rPr>
          <w:rStyle w:val="deletedparamark"/>
        </w:rPr>
        <w:t xml:space="preserve"> </w:t>
      </w:r>
      <w:r>
        <w:t>concerns will be ad</w:t>
      </w:r>
      <w:r>
        <w:softHyphen/>
        <w:t>dressed in the re</w:t>
      </w:r>
      <w:r>
        <w:softHyphen/>
        <w:t>mainder of the chapter; but we are now</w:t>
      </w:r>
      <w:r>
        <w:rPr>
          <w:rStyle w:val="deletedparamark"/>
        </w:rPr>
        <w:t xml:space="preserve"> </w:t>
      </w:r>
      <w:r>
        <w:t>equipped with the terminol</w:t>
      </w:r>
      <w:r>
        <w:softHyphen/>
        <w:t>ogy needed for those discussions.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380" w:name="_Toc398970623"/>
      <w:r>
        <w:rPr>
          <w:rStyle w:val="Heading3Text"/>
        </w:rPr>
        <w:t>Selecting places</w:t>
      </w:r>
      <w:bookmarkEnd w:id="38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structure, basis of"&gt;</w:t>
      </w:r>
      <w:r>
        <w:rPr>
          <w:rStyle w:val="indexentry"/>
        </w:rPr>
        <w:fldChar w:fldCharType="begin"/>
      </w:r>
      <w:r>
        <w:instrText>xe "</w:instrText>
      </w:r>
      <w:r>
        <w:rPr>
          <w:rStyle w:val="xeentry"/>
        </w:rPr>
        <w:instrText>lujvo place structure: basis of</w:instrText>
      </w:r>
      <w:r>
        <w:instrText>"</w:instrText>
      </w:r>
      <w:r>
        <w:rPr>
          <w:rStyle w:val="indexentry"/>
        </w:rPr>
        <w:fldChar w:fldCharType="end"/>
      </w:r>
      <w:r>
        <w:t>The set of places of an ordinary lujvo are selected from the places of its</w:t>
      </w:r>
      <w:r>
        <w:rPr>
          <w:rStyle w:val="deletedparamark"/>
        </w:rPr>
        <w:t xml:space="preserve"> </w:t>
      </w:r>
      <w:r>
        <w:t>com</w:t>
      </w:r>
      <w:r>
        <w:softHyphen/>
        <w:t>ponent gismu. More precisely, the places of such a lujvo are derived from</w:t>
      </w:r>
      <w:r>
        <w:rPr>
          <w:rStyle w:val="deletedparamark"/>
        </w:rPr>
        <w:t xml:space="preserve"> </w:t>
      </w:r>
      <w:r>
        <w:t>the set of places of the component gismu by eliminating unnecessary places,</w:t>
      </w:r>
      <w:r>
        <w:rPr>
          <w:rStyle w:val="deletedparamark"/>
        </w:rPr>
        <w:t xml:space="preserve"> </w:t>
      </w:r>
      <w:r>
        <w:t>until just enough places remain to give an appropriate meaning to the lujvo.</w:t>
      </w:r>
      <w:r>
        <w:rPr>
          <w:rStyle w:val="deletedparamark"/>
        </w:rPr>
        <w:t xml:space="preserve"> </w:t>
      </w:r>
      <w:r>
        <w:t>In general, including a place makes the concept expressed by a lujvo more</w:t>
      </w:r>
      <w:r>
        <w:rPr>
          <w:rStyle w:val="deletedparamark"/>
        </w:rPr>
        <w:t xml:space="preserve"> </w:t>
      </w:r>
      <w:r>
        <w:t>general; excluding a place makes the con</w:t>
      </w:r>
      <w:r>
        <w:softHyphen/>
        <w:t>cept more specific, because omitting</w:t>
      </w:r>
      <w:r>
        <w:rPr>
          <w:rStyle w:val="deletedparamark"/>
        </w:rPr>
        <w:t xml:space="preserve"> </w:t>
      </w:r>
      <w:r>
        <w:t>the place requires assuming a standard value or range of values for it.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rationale for standardization"&gt;</w:t>
      </w:r>
      <w:r>
        <w:rPr>
          <w:rStyle w:val="indexentry"/>
        </w:rPr>
        <w:fldChar w:fldCharType="begin"/>
      </w:r>
      <w:r>
        <w:instrText>xe "</w:instrText>
      </w:r>
      <w:r>
        <w:rPr>
          <w:rStyle w:val="xeentry"/>
        </w:rPr>
        <w:instrText>lujvo place structure: rationale for standardization</w:instrText>
      </w:r>
      <w:r>
        <w:instrText>"</w:instrText>
      </w:r>
      <w:r>
        <w:rPr>
          <w:rStyle w:val="indexentry"/>
        </w:rPr>
        <w:fldChar w:fldCharType="end"/>
      </w:r>
      <w:r>
        <w:t>It would be possible to design the place structure of a lujvo from scratch,</w:t>
      </w:r>
      <w:r>
        <w:rPr>
          <w:rStyle w:val="deletedparamark"/>
        </w:rPr>
        <w:t xml:space="preserve"> </w:t>
      </w:r>
      <w:r>
        <w:t>treating it as if it were a gismu, and working out what arguments contribute</w:t>
      </w:r>
      <w:r>
        <w:rPr>
          <w:rStyle w:val="deletedparamark"/>
        </w:rPr>
        <w:t xml:space="preserve"> </w:t>
      </w:r>
      <w:r>
        <w:t>to the no</w:t>
      </w:r>
      <w:r>
        <w:softHyphen/>
        <w:t>tion to be e</w:t>
      </w:r>
      <w:r>
        <w:t>x</w:t>
      </w:r>
      <w:r>
        <w:softHyphen/>
        <w:t>pressed by the lujvo. There are two reasons arguing</w:t>
      </w:r>
      <w:r>
        <w:rPr>
          <w:rStyle w:val="deletedparamark"/>
        </w:rPr>
        <w:t xml:space="preserve"> </w:t>
      </w:r>
      <w:r>
        <w:t>against doing so and in favor of the procedure detailed in this chapter.</w:t>
      </w:r>
    </w:p>
    <w:p w:rsidR="00B72047" w:rsidRDefault="00B72047">
      <w:pPr>
        <w:pStyle w:val="normalparagraph"/>
        <w:rPr>
          <w:rStyle w:val="htmlparacode"/>
        </w:rPr>
      </w:pPr>
      <w:r>
        <w:rPr>
          <w:rStyle w:val="htmlparacode"/>
        </w:rPr>
        <w:t>&lt;p&gt;</w:t>
      </w:r>
    </w:p>
    <w:p w:rsidR="00B72047" w:rsidRDefault="00B72047">
      <w:pPr>
        <w:pStyle w:val="normalparagraph"/>
      </w:pPr>
      <w:r>
        <w:t>The first is that it might be very difficult for a hearer or reader, who</w:t>
      </w:r>
      <w:r>
        <w:rPr>
          <w:rStyle w:val="deletedparamark"/>
        </w:rPr>
        <w:t xml:space="preserve"> </w:t>
      </w:r>
      <w:r>
        <w:t>has no preco</w:t>
      </w:r>
      <w:r>
        <w:t>n</w:t>
      </w:r>
      <w:r>
        <w:softHyphen/>
        <w:t>ceived idea of what concept the lujvo is intended to convey,</w:t>
      </w:r>
      <w:r>
        <w:rPr>
          <w:rStyle w:val="deletedparamark"/>
        </w:rPr>
        <w:t xml:space="preserve"> </w:t>
      </w:r>
      <w:r>
        <w:t>to work out what the place structure actually is. Instead, he or she would</w:t>
      </w:r>
      <w:r>
        <w:rPr>
          <w:rStyle w:val="deletedparamark"/>
        </w:rPr>
        <w:t xml:space="preserve"> </w:t>
      </w:r>
      <w:r>
        <w:t>have to make use of a lujvo diction</w:t>
      </w:r>
      <w:r>
        <w:softHyphen/>
        <w:t>ary every time a lujvo is encountered in</w:t>
      </w:r>
      <w:r>
        <w:rPr>
          <w:rStyle w:val="deletedparamark"/>
        </w:rPr>
        <w:t xml:space="preserve"> </w:t>
      </w:r>
      <w:r>
        <w:t>order to work out what a “se jbopli” or a “te klagau” is. But this would</w:t>
      </w:r>
      <w:r>
        <w:rPr>
          <w:rStyle w:val="deletedparamark"/>
        </w:rPr>
        <w:t xml:space="preserve"> </w:t>
      </w:r>
      <w:r>
        <w:t>mean that, rather than having to learn just the 1300-odd gismu place structures,</w:t>
      </w:r>
      <w:r>
        <w:rPr>
          <w:rStyle w:val="deletedparamark"/>
        </w:rPr>
        <w:t xml:space="preserve"> </w:t>
      </w:r>
      <w:r>
        <w:t>a Lojbanist would also have to learn myriads of lujvo place structures</w:t>
      </w:r>
      <w:r>
        <w:rPr>
          <w:rStyle w:val="deletedparamark"/>
        </w:rPr>
        <w:t xml:space="preserve"> </w:t>
      </w:r>
      <w:r>
        <w:t>with little or no apparent pattern or regularity to them. The purpose of</w:t>
      </w:r>
      <w:r>
        <w:rPr>
          <w:rStyle w:val="deletedparamark"/>
        </w:rPr>
        <w:t xml:space="preserve"> </w:t>
      </w:r>
      <w:r>
        <w:t>the guidelines doc</w:t>
      </w:r>
      <w:r>
        <w:t>u</w:t>
      </w:r>
      <w:r>
        <w:softHyphen/>
        <w:t>mented in this chapter is to apply regularity and to make</w:t>
      </w:r>
      <w:r>
        <w:rPr>
          <w:rStyle w:val="deletedparamark"/>
        </w:rPr>
        <w:t xml:space="preserve"> </w:t>
      </w:r>
      <w:r>
        <w:t>it conventional wherever poss</w:t>
      </w:r>
      <w:r>
        <w:t>i</w:t>
      </w:r>
      <w:r>
        <w:softHyphen/>
        <w:t>ble.</w:t>
      </w:r>
    </w:p>
    <w:p w:rsidR="00B72047" w:rsidRDefault="00B72047">
      <w:pPr>
        <w:pStyle w:val="normalparagraph"/>
        <w:rPr>
          <w:rStyle w:val="htmlparacode"/>
        </w:rPr>
      </w:pPr>
      <w:r>
        <w:rPr>
          <w:rStyle w:val="htmlparacode"/>
        </w:rPr>
        <w:t>&lt;p&gt;</w:t>
      </w:r>
    </w:p>
    <w:p w:rsidR="00B72047" w:rsidRDefault="00B72047">
      <w:pPr>
        <w:pStyle w:val="normalparagraph"/>
      </w:pPr>
      <w:r>
        <w:t>The second reason is related to the first: if the veljvo of the lujvo</w:t>
      </w:r>
      <w:r>
        <w:rPr>
          <w:rStyle w:val="deletedparamark"/>
        </w:rPr>
        <w:t xml:space="preserve"> </w:t>
      </w:r>
      <w:r>
        <w:t>has not been pro</w:t>
      </w:r>
      <w:r>
        <w:t>p</w:t>
      </w:r>
      <w:r>
        <w:softHyphen/>
        <w:t>erly selected, and the places for the lujvo are formulated</w:t>
      </w:r>
      <w:r>
        <w:rPr>
          <w:rStyle w:val="deletedparamark"/>
        </w:rPr>
        <w:t xml:space="preserve"> </w:t>
      </w:r>
      <w:r>
        <w:t>from scratch, then there is a risk that some of the places formulated</w:t>
      </w:r>
      <w:r>
        <w:rPr>
          <w:rStyle w:val="deletedparamark"/>
        </w:rPr>
        <w:t xml:space="preserve"> </w:t>
      </w:r>
      <w:r>
        <w:t>may not correspond to any of the places of the gismu used in the veljvo of</w:t>
      </w:r>
      <w:r>
        <w:rPr>
          <w:rStyle w:val="deletedparamark"/>
        </w:rPr>
        <w:t xml:space="preserve"> </w:t>
      </w:r>
      <w:r>
        <w:t>the lujvo. If that is the case — that is to say, if the lujvo places are</w:t>
      </w:r>
      <w:r>
        <w:rPr>
          <w:rStyle w:val="deletedparamark"/>
        </w:rPr>
        <w:t xml:space="preserve"> </w:t>
      </w:r>
      <w:r>
        <w:t>not a subset of the veljvo gismu places — then it will be very difficult</w:t>
      </w:r>
      <w:r>
        <w:rPr>
          <w:rStyle w:val="deletedparamark"/>
        </w:rPr>
        <w:t xml:space="preserve"> </w:t>
      </w:r>
      <w:r>
        <w:t>for the hearer or reader to understand what a par</w:t>
      </w:r>
      <w:r>
        <w:softHyphen/>
        <w:t>ticular place means, and</w:t>
      </w:r>
      <w:r>
        <w:rPr>
          <w:rStyle w:val="deletedparamark"/>
        </w:rPr>
        <w:t xml:space="preserve"> </w:t>
      </w:r>
      <w:r>
        <w:t>what it is doing in that particular lujvo. This is a topic that will be</w:t>
      </w:r>
      <w:r>
        <w:rPr>
          <w:rStyle w:val="deletedparamark"/>
        </w:rPr>
        <w:t xml:space="preserve"> </w:t>
      </w:r>
      <w:r>
        <w:t xml:space="preserve">further discussed in </w:t>
      </w:r>
      <w:r>
        <w:rPr>
          <w:rStyle w:val="htmlcodes"/>
        </w:rPr>
        <w:t>&lt;a href=#s14&gt;</w:t>
      </w:r>
      <w:r>
        <w:t>Section 14</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t>However, second-guessing the place structure of the lujvo is useful in</w:t>
      </w:r>
      <w:r>
        <w:rPr>
          <w:rStyle w:val="deletedparamark"/>
        </w:rPr>
        <w:t xml:space="preserve"> </w:t>
      </w:r>
      <w:r>
        <w:t>guiding the process of subsequently eliminating places from the veljvo.</w:t>
      </w:r>
      <w:r>
        <w:rPr>
          <w:rStyle w:val="deletedparamark"/>
        </w:rPr>
        <w:t xml:space="preserve"> </w:t>
      </w:r>
      <w:r>
        <w:t>If the Lojbanist has an idea of what the final place structure should look</w:t>
      </w:r>
      <w:r>
        <w:rPr>
          <w:rStyle w:val="deletedparamark"/>
        </w:rPr>
        <w:t xml:space="preserve"> </w:t>
      </w:r>
      <w:r>
        <w:t>like, he or she should be able to pick an appr</w:t>
      </w:r>
      <w:r>
        <w:t>o</w:t>
      </w:r>
      <w:r>
        <w:softHyphen/>
        <w:t>priate vel</w:t>
      </w:r>
      <w:r>
        <w:softHyphen/>
        <w:t>jvo to begin with,</w:t>
      </w:r>
      <w:r>
        <w:rPr>
          <w:rStyle w:val="deletedparamark"/>
        </w:rPr>
        <w:t xml:space="preserve"> </w:t>
      </w:r>
      <w:r>
        <w:t>in order to express the idea, and then to decide which places are relevant</w:t>
      </w:r>
      <w:r>
        <w:rPr>
          <w:rStyle w:val="deletedparamark"/>
        </w:rPr>
        <w:t xml:space="preserve"> </w:t>
      </w:r>
      <w:r>
        <w:t>or not relevant to expressing that idea.</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381" w:name="_Toc398970624"/>
      <w:r>
        <w:rPr>
          <w:rStyle w:val="Heading3Text"/>
        </w:rPr>
        <w:t>Symmetrical and asymmetrical lujvo</w:t>
      </w:r>
      <w:bookmarkEnd w:id="38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symmetrical"&gt;</w:t>
      </w:r>
      <w:r>
        <w:rPr>
          <w:rStyle w:val="indexentry"/>
        </w:rPr>
        <w:fldChar w:fldCharType="begin"/>
      </w:r>
      <w:r>
        <w:instrText>xe "</w:instrText>
      </w:r>
      <w:r>
        <w:rPr>
          <w:rStyle w:val="xeentry"/>
        </w:rPr>
        <w:instrText>lujvo: symmetrical</w:instrText>
      </w:r>
      <w:r>
        <w:instrText>"</w:instrText>
      </w:r>
      <w:r>
        <w:rPr>
          <w:rStyle w:val="indexentry"/>
        </w:rPr>
        <w:fldChar w:fldCharType="end"/>
      </w:r>
      <w:r>
        <w:rPr>
          <w:rStyle w:val="indexentry"/>
        </w:rPr>
        <w:t>&lt;cx "veljvo, symmetrical"&gt;</w:t>
      </w:r>
      <w:r>
        <w:rPr>
          <w:rStyle w:val="indexentry"/>
        </w:rPr>
        <w:fldChar w:fldCharType="begin"/>
      </w:r>
      <w:r>
        <w:instrText>xe "</w:instrText>
      </w:r>
      <w:r>
        <w:rPr>
          <w:rStyle w:val="xeentry"/>
        </w:rPr>
        <w:instrText>veljvo: symmetrical</w:instrText>
      </w:r>
      <w:r>
        <w:instrText>"</w:instrText>
      </w:r>
      <w:r>
        <w:rPr>
          <w:rStyle w:val="indexentry"/>
        </w:rPr>
        <w:fldChar w:fldCharType="end"/>
      </w:r>
      <w:r>
        <w:rPr>
          <w:rStyle w:val="indexentry"/>
        </w:rPr>
        <w:t>&lt;ex "great soldier"&gt;</w:t>
      </w:r>
      <w:r>
        <w:rPr>
          <w:rStyle w:val="indexentry"/>
        </w:rPr>
        <w:fldChar w:fldCharType="begin"/>
      </w:r>
      <w:r>
        <w:instrText>xe "</w:instrText>
      </w:r>
      <w:r>
        <w:rPr>
          <w:rStyle w:val="xeentry"/>
        </w:rPr>
        <w:instrText>great soldier: example</w:instrText>
      </w:r>
      <w:r>
        <w:instrText>"</w:instrText>
      </w:r>
      <w:r>
        <w:rPr>
          <w:rStyle w:val="indexentry"/>
        </w:rPr>
        <w:fldChar w:fldCharType="end"/>
      </w:r>
      <w:r>
        <w:rPr>
          <w:rStyle w:val="indexentry"/>
        </w:rPr>
        <w:t>&lt;cx "lujvo place structure, when first places redundant"&gt;</w:t>
      </w:r>
      <w:r>
        <w:rPr>
          <w:rStyle w:val="indexentry"/>
        </w:rPr>
        <w:fldChar w:fldCharType="begin"/>
      </w:r>
      <w:r>
        <w:instrText>xe "</w:instrText>
      </w:r>
      <w:r>
        <w:rPr>
          <w:rStyle w:val="xeentry"/>
        </w:rPr>
        <w:instrText>lujvo place structure: when first places redundant</w:instrText>
      </w:r>
      <w:r>
        <w:instrText>"</w:instrText>
      </w:r>
      <w:r>
        <w:rPr>
          <w:rStyle w:val="indexentry"/>
        </w:rPr>
        <w:fldChar w:fldCharType="end"/>
      </w:r>
      <w:r>
        <w:t>A common pattern, perhaps the most common pattern, of luj</w:t>
      </w:r>
      <w:r>
        <w:softHyphen/>
        <w:t>vo-making creates</w:t>
      </w:r>
      <w:r>
        <w:rPr>
          <w:rStyle w:val="deletedparamark"/>
        </w:rPr>
        <w:t xml:space="preserve"> </w:t>
      </w:r>
      <w:r>
        <w:t>what is called a “symmetrical lujvo”. A symmetrical lujvo is one based on</w:t>
      </w:r>
      <w:r>
        <w:rPr>
          <w:rStyle w:val="deletedparamark"/>
        </w:rPr>
        <w:t xml:space="preserve"> </w:t>
      </w:r>
      <w:r>
        <w:t>a tanru in</w:t>
      </w:r>
      <w:r>
        <w:softHyphen/>
        <w:t>terpreta</w:t>
      </w:r>
      <w:r>
        <w:softHyphen/>
        <w:t>tion such that the first place of the seltau is equivalent</w:t>
      </w:r>
      <w:r>
        <w:rPr>
          <w:rStyle w:val="deletedparamark"/>
        </w:rPr>
        <w:t xml:space="preserve"> </w:t>
      </w:r>
      <w:r>
        <w:t>to the first place of the te</w:t>
      </w:r>
      <w:r>
        <w:t>r</w:t>
      </w:r>
      <w:r>
        <w:t>tau: each compo</w:t>
      </w:r>
      <w:r>
        <w:softHyphen/>
        <w:t>nent of the tanru characterizes</w:t>
      </w:r>
      <w:r>
        <w:rPr>
          <w:rStyle w:val="deletedparamark"/>
        </w:rPr>
        <w:t xml:space="preserve"> </w:t>
      </w:r>
      <w:r>
        <w:t>the same object. As an illustration of this, consider the lujvo “balsoi”:</w:t>
      </w:r>
      <w:r>
        <w:rPr>
          <w:rStyle w:val="deletedparamark"/>
        </w:rPr>
        <w:t xml:space="preserve"> </w:t>
      </w:r>
      <w:r>
        <w:t>it is intended to mean “both great and a soldier” — that is, “great sol</w:t>
      </w:r>
      <w:r>
        <w:softHyphen/>
        <w:t>dier”,</w:t>
      </w:r>
      <w:r>
        <w:rPr>
          <w:rStyle w:val="deletedparamark"/>
        </w:rPr>
        <w:t xml:space="preserve"> </w:t>
      </w:r>
      <w:r>
        <w:t>which is the interpretation we would tend to give its veljvo, “banli sonci”.</w:t>
      </w:r>
      <w:r>
        <w:rPr>
          <w:rStyle w:val="deletedparamark"/>
        </w:rPr>
        <w:t xml:space="preserve"> </w:t>
      </w:r>
      <w:r>
        <w:t>The un</w:t>
      </w:r>
      <w:r>
        <w:softHyphen/>
        <w:t>derlying gismu place structures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“banli”:  b1 is great in property b2 by standard b3</w:t>
      </w:r>
    </w:p>
    <w:p w:rsidR="00B72047" w:rsidRDefault="00B72047">
      <w:pPr>
        <w:pStyle w:val="examplescaled"/>
      </w:pPr>
      <w:r>
        <w:tab/>
        <w:t>“sonci”:  s1 is a soldier of army s2</w:t>
      </w:r>
    </w:p>
    <w:p w:rsidR="00B72047" w:rsidRDefault="00B72047">
      <w:pPr>
        <w:pStyle w:val="resumedafterexample"/>
      </w:pPr>
      <w:r>
        <w:rPr>
          <w:rStyle w:val="htmlcodes"/>
        </w:rPr>
        <w:t>&lt;/pre&gt;&lt;p&gt;</w:t>
      </w:r>
      <w:r>
        <w:t>In this case the s1 place of “sonci” is redundant, since it is equivalent to</w:t>
      </w:r>
      <w:r>
        <w:rPr>
          <w:rStyle w:val="deletedparamark"/>
        </w:rPr>
        <w:t xml:space="preserve"> </w:t>
      </w:r>
      <w:r>
        <w:t>the b1 place of “banli”. Therefore the place structure of “balsoi” need not</w:t>
      </w:r>
      <w:r>
        <w:rPr>
          <w:rStyle w:val="deletedparamark"/>
        </w:rPr>
        <w:t xml:space="preserve"> </w:t>
      </w:r>
      <w:r>
        <w:t>include places for both s1 and b1, as they refer to the same thing. So the</w:t>
      </w:r>
      <w:r>
        <w:rPr>
          <w:rStyle w:val="deletedparamark"/>
        </w:rPr>
        <w:t xml:space="preserve"> </w:t>
      </w:r>
      <w:r>
        <w:t>place structure of “balsoi” is at most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b1=s1 is a great soldier of army s2 in property b2 by standard b3</w:t>
      </w:r>
    </w:p>
    <w:p w:rsidR="00B72047" w:rsidRDefault="00B72047">
      <w:pPr>
        <w:pStyle w:val="normalafterexample"/>
      </w:pPr>
      <w:r>
        <w:rPr>
          <w:rStyle w:val="htmlcodes"/>
        </w:rPr>
        <w:t>&lt;/pre&gt;</w:t>
      </w:r>
      <w:r>
        <w:rPr>
          <w:rStyle w:val="indexentry"/>
        </w:rPr>
        <w:t>&lt;cx "symmetrical veljvo"&gt;</w:t>
      </w:r>
      <w:r>
        <w:rPr>
          <w:rStyle w:val="indexentry"/>
        </w:rPr>
        <w:fldChar w:fldCharType="begin"/>
      </w:r>
      <w:r>
        <w:instrText>xe "</w:instrText>
      </w:r>
      <w:r>
        <w:rPr>
          <w:rStyle w:val="xeentry"/>
        </w:rPr>
        <w:instrText>symmetrical veljvo</w:instrText>
      </w:r>
      <w:r>
        <w:instrText>"</w:instrText>
      </w:r>
      <w:r>
        <w:rPr>
          <w:rStyle w:val="indexentry"/>
        </w:rPr>
        <w:fldChar w:fldCharType="end"/>
      </w:r>
      <w:r>
        <w:rPr>
          <w:rStyle w:val="indexentry"/>
        </w:rPr>
        <w:t>&lt;ex "listen attentively"&gt;</w:t>
      </w:r>
      <w:r>
        <w:rPr>
          <w:rStyle w:val="indexentry"/>
        </w:rPr>
        <w:fldChar w:fldCharType="begin"/>
      </w:r>
      <w:r>
        <w:instrText>xe "</w:instrText>
      </w:r>
      <w:r>
        <w:rPr>
          <w:rStyle w:val="xeentry"/>
        </w:rPr>
        <w:instrText>listen attentively: example</w:instrText>
      </w:r>
      <w:r>
        <w:instrText>"</w:instrText>
      </w:r>
      <w:r>
        <w:rPr>
          <w:rStyle w:val="indexentry"/>
        </w:rPr>
        <w:fldChar w:fldCharType="end"/>
      </w:r>
      <w:r>
        <w:rPr>
          <w:rStyle w:val="indexentry"/>
        </w:rPr>
        <w:t>&lt;cx "lujvo place structure, when first places redundant plus others"&gt;</w:t>
      </w:r>
      <w:r>
        <w:rPr>
          <w:rStyle w:val="indexentry"/>
        </w:rPr>
        <w:fldChar w:fldCharType="begin"/>
      </w:r>
      <w:r>
        <w:instrText>xe "</w:instrText>
      </w:r>
      <w:r>
        <w:rPr>
          <w:rStyle w:val="xeentry"/>
        </w:rPr>
        <w:instrText>lujvo place structure: when first places redundant plus others</w:instrText>
      </w:r>
      <w:r>
        <w:instrText>"</w:instrText>
      </w:r>
      <w:r>
        <w:rPr>
          <w:rStyle w:val="indexentry"/>
        </w:rPr>
        <w:fldChar w:fldCharType="end"/>
      </w:r>
      <w:r>
        <w:t>Some symmetrical veljvo have further equivalent places in addition to the</w:t>
      </w:r>
      <w:r>
        <w:rPr>
          <w:rStyle w:val="deletedparamark"/>
        </w:rPr>
        <w:t xml:space="preserve"> </w:t>
      </w:r>
      <w:r>
        <w:t>re</w:t>
      </w:r>
      <w:r>
        <w:softHyphen/>
        <w:t>spective first places. Consider the lujvo “tinju'i”, “to listen” (“to</w:t>
      </w:r>
      <w:r>
        <w:rPr>
          <w:rStyle w:val="deletedparamark"/>
        </w:rPr>
        <w:t xml:space="preserve"> </w:t>
      </w:r>
      <w:r>
        <w:t>hear attentively, to hear and pay attention”). The place structures of</w:t>
      </w:r>
      <w:r>
        <w:rPr>
          <w:rStyle w:val="deletedparamark"/>
        </w:rPr>
        <w:t xml:space="preserve"> </w:t>
      </w:r>
      <w:r>
        <w:t>the gismu “tirna” and “jundi” are:</w:t>
      </w:r>
    </w:p>
    <w:p w:rsidR="00B72047" w:rsidRDefault="00B72047">
      <w:pPr>
        <w:rPr>
          <w:rStyle w:val="htmlparacode"/>
        </w:rPr>
      </w:pPr>
      <w:r>
        <w:rPr>
          <w:rStyle w:val="htmlparacode"/>
        </w:rPr>
        <w:t>&lt;p&gt;</w:t>
      </w:r>
    </w:p>
    <w:p w:rsidR="00B72047" w:rsidRDefault="00B72047">
      <w:pPr>
        <w:pStyle w:val="examplescaledpre"/>
      </w:pPr>
      <w:r>
        <w:rPr>
          <w:rStyle w:val="indexentry"/>
        </w:rPr>
        <w:t>&lt;cx "background noise"&gt;</w:t>
      </w:r>
      <w:r>
        <w:rPr>
          <w:rStyle w:val="indexentry"/>
        </w:rPr>
        <w:fldChar w:fldCharType="begin"/>
      </w:r>
      <w:r>
        <w:instrText>xe "</w:instrText>
      </w:r>
      <w:r>
        <w:rPr>
          <w:rStyle w:val="xeentry"/>
        </w:rPr>
        <w:instrText>background noise</w:instrText>
      </w:r>
      <w:r>
        <w:instrText>"</w:instrText>
      </w:r>
      <w:r>
        <w:rPr>
          <w:rStyle w:val="indexentry"/>
        </w:rPr>
        <w:fldChar w:fldCharType="end"/>
      </w:r>
      <w:r>
        <w:rPr>
          <w:rStyle w:val="htmlcodes"/>
        </w:rPr>
        <w:t>&lt;pre&gt;&lt;a name=e5d3&gt;</w:t>
      </w:r>
      <w:r>
        <w:t>5.3)</w:t>
      </w:r>
      <w:r>
        <w:tab/>
        <w:t>“tirna”:  t1 hears sound t2 against background noise t3</w:t>
      </w:r>
    </w:p>
    <w:p w:rsidR="00B72047" w:rsidRDefault="00B72047">
      <w:pPr>
        <w:pStyle w:val="examplescaled"/>
      </w:pPr>
      <w:r>
        <w:tab/>
        <w:t>“jundi”:  j1 pays attention to j2</w:t>
      </w:r>
    </w:p>
    <w:p w:rsidR="00B72047" w:rsidRDefault="00B72047">
      <w:pPr>
        <w:pStyle w:val="resumedafterexample"/>
      </w:pPr>
      <w:r>
        <w:rPr>
          <w:rStyle w:val="htmlcodes"/>
        </w:rPr>
        <w:t>&lt;/pre&gt;</w:t>
      </w:r>
      <w:r>
        <w:t>and the place structure of the lujvo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j1=t1 listens to j2=t2 against background noise t3</w:t>
      </w:r>
    </w:p>
    <w:p w:rsidR="00B72047" w:rsidRDefault="00B72047">
      <w:pPr>
        <w:pStyle w:val="resumedafterexample"/>
      </w:pPr>
      <w:r>
        <w:rPr>
          <w:rStyle w:val="htmlcodes"/>
        </w:rPr>
        <w:t>&lt;/pre&gt;&lt;p&gt;</w:t>
      </w:r>
      <w:r>
        <w:t>Why so? Because not only is the j1 place (the one who pays atten</w:t>
      </w:r>
      <w:r>
        <w:softHyphen/>
        <w:t>tion)</w:t>
      </w:r>
      <w:r>
        <w:rPr>
          <w:rStyle w:val="deletedparamark"/>
        </w:rPr>
        <w:t xml:space="preserve"> </w:t>
      </w:r>
      <w:r>
        <w:t>equivalent to the t1 place (the hearer), but the j2 place (the thing</w:t>
      </w:r>
      <w:r>
        <w:rPr>
          <w:rStyle w:val="deletedparamark"/>
        </w:rPr>
        <w:t xml:space="preserve"> </w:t>
      </w:r>
      <w:r>
        <w:t>paid attention to) is equivalent to the t2 place (the thing heard).</w:t>
      </w:r>
    </w:p>
    <w:p w:rsidR="00B72047" w:rsidRDefault="00B72047">
      <w:pPr>
        <w:rPr>
          <w:rStyle w:val="htmlparacode"/>
        </w:rPr>
      </w:pPr>
      <w:r>
        <w:rPr>
          <w:rStyle w:val="htmlparacode"/>
        </w:rPr>
        <w:t>&lt;p&gt;</w:t>
      </w:r>
    </w:p>
    <w:p w:rsidR="00B72047" w:rsidRDefault="00B72047">
      <w:pPr>
        <w:pStyle w:val="normalparagraph"/>
      </w:pPr>
      <w:r>
        <w:rPr>
          <w:rStyle w:val="indexentry"/>
        </w:rPr>
        <w:t>&lt;cx "lujvo, asymmetrical"&gt;</w:t>
      </w:r>
      <w:r>
        <w:rPr>
          <w:rStyle w:val="indexentry"/>
        </w:rPr>
        <w:fldChar w:fldCharType="begin"/>
      </w:r>
      <w:r>
        <w:instrText>xe "</w:instrText>
      </w:r>
      <w:r>
        <w:rPr>
          <w:rStyle w:val="xeentry"/>
        </w:rPr>
        <w:instrText>lujvo: asymmetrical</w:instrText>
      </w:r>
      <w:r>
        <w:instrText>"</w:instrText>
      </w:r>
      <w:r>
        <w:rPr>
          <w:rStyle w:val="indexentry"/>
        </w:rPr>
        <w:fldChar w:fldCharType="end"/>
      </w:r>
      <w:r>
        <w:rPr>
          <w:rStyle w:val="indexentry"/>
        </w:rPr>
        <w:t>&lt;cx "lujvo place structure, when first place redundant with non-first"&gt;</w:t>
      </w:r>
      <w:r>
        <w:rPr>
          <w:rStyle w:val="indexentry"/>
        </w:rPr>
        <w:fldChar w:fldCharType="begin"/>
      </w:r>
      <w:r>
        <w:instrText>xe "</w:instrText>
      </w:r>
      <w:r>
        <w:rPr>
          <w:rStyle w:val="xeentry"/>
        </w:rPr>
        <w:instrText>lujvo place structure: when first place redundant with non-first</w:instrText>
      </w:r>
      <w:r>
        <w:instrText>"</w:instrText>
      </w:r>
      <w:r>
        <w:rPr>
          <w:rStyle w:val="indexentry"/>
        </w:rPr>
        <w:fldChar w:fldCharType="end"/>
      </w:r>
      <w:r>
        <w:t>A substantial minority of lujvo have the property that the first place of</w:t>
      </w:r>
      <w:r>
        <w:rPr>
          <w:rStyle w:val="deletedparamark"/>
        </w:rPr>
        <w:t xml:space="preserve"> </w:t>
      </w:r>
      <w:r>
        <w:t>the sel</w:t>
      </w:r>
      <w:r>
        <w:softHyphen/>
        <w:t>tau (“gerku” in this case) is equivalent to a place other than</w:t>
      </w:r>
      <w:r>
        <w:rPr>
          <w:rStyle w:val="deletedparamark"/>
        </w:rPr>
        <w:t xml:space="preserve"> </w:t>
      </w:r>
      <w:r>
        <w:t>the first place of the tertau; such lujvo are said to be “asymmetrical”.</w:t>
      </w:r>
      <w:r>
        <w:rPr>
          <w:rStyle w:val="deletedparamark"/>
        </w:rPr>
        <w:t xml:space="preserve"> </w:t>
      </w:r>
      <w:r>
        <w:t>(There is a deliberate parallel here with the terms “asymmetrical tanru”</w:t>
      </w:r>
      <w:r>
        <w:rPr>
          <w:rStyle w:val="deletedparamark"/>
        </w:rPr>
        <w:t xml:space="preserve"> </w:t>
      </w:r>
      <w:r>
        <w:t xml:space="preserve">and “symmetrical tanru” used in </w:t>
      </w:r>
      <w:r>
        <w:rPr>
          <w:rStyle w:val="htmlcodes"/>
        </w:rPr>
        <w:t>&lt;a href=chap5.html&gt;</w:t>
      </w:r>
      <w:r>
        <w:t>Chapter 5</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effect of “SE”"&gt;</w:t>
      </w:r>
      <w:r>
        <w:rPr>
          <w:rStyle w:val="indexentry"/>
        </w:rPr>
        <w:fldChar w:fldCharType="begin"/>
      </w:r>
      <w:r>
        <w:instrText>xe "</w:instrText>
      </w:r>
      <w:r>
        <w:rPr>
          <w:rStyle w:val="xeentry"/>
        </w:rPr>
        <w:instrText>lujvo place structure: effect of SE</w:instrText>
      </w:r>
      <w:r>
        <w:instrText>"</w:instrText>
      </w:r>
      <w:r>
        <w:rPr>
          <w:rStyle w:val="indexentry"/>
        </w:rPr>
        <w:fldChar w:fldCharType="end"/>
      </w:r>
      <w:r>
        <w:t>In principle any asymmetrical lujvo could be expressed as a symmetrical</w:t>
      </w:r>
      <w:r>
        <w:rPr>
          <w:rStyle w:val="deletedparamark"/>
        </w:rPr>
        <w:t xml:space="preserve"> </w:t>
      </w:r>
      <w:r>
        <w:t>lujvo. Co</w:t>
      </w:r>
      <w:r>
        <w:t>n</w:t>
      </w:r>
      <w:r>
        <w:softHyphen/>
        <w:t xml:space="preserve">sider “gerzda”, discussed in </w:t>
      </w:r>
      <w:r>
        <w:rPr>
          <w:rStyle w:val="htmlcodes"/>
        </w:rPr>
        <w:t>&lt;a href=#s3&gt;</w:t>
      </w:r>
      <w:r>
        <w:t>Section 3</w:t>
      </w:r>
      <w:r>
        <w:rPr>
          <w:rStyle w:val="htmlcodes"/>
        </w:rPr>
        <w:t>&lt;/a&gt;</w:t>
      </w:r>
      <w:r>
        <w:t>, where we learned that the</w:t>
      </w:r>
      <w:r>
        <w:rPr>
          <w:rStyle w:val="deletedparamark"/>
        </w:rPr>
        <w:t xml:space="preserve"> </w:t>
      </w:r>
      <w:r>
        <w:t>g1 place was equivalent to the z2 place. In order to get the places</w:t>
      </w:r>
      <w:r>
        <w:rPr>
          <w:rStyle w:val="deletedparamark"/>
        </w:rPr>
        <w:t xml:space="preserve"> </w:t>
      </w:r>
      <w:r>
        <w:t>aligned, we could convert “zdani” to “se zdani” (or “selzda” when</w:t>
      </w:r>
      <w:r>
        <w:rPr>
          <w:rStyle w:val="deletedparamark"/>
        </w:rPr>
        <w:t xml:space="preserve"> </w:t>
      </w:r>
      <w:r>
        <w:t>expressed as a lujvo). The place structure of “selzda”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s1 is housed by nest s2</w:t>
      </w:r>
    </w:p>
    <w:p w:rsidR="00B72047" w:rsidRDefault="00B72047">
      <w:pPr>
        <w:pStyle w:val="resumedafterexample"/>
      </w:pPr>
      <w:r>
        <w:rPr>
          <w:rStyle w:val="htmlcodes"/>
        </w:rPr>
        <w:t>&lt;/pre&gt;</w:t>
      </w:r>
      <w:r>
        <w:t>and so the three-part lujvo “gerselzda” would have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s1=g1 is a dog housed in nest s2 of dog breed g2</w:t>
      </w:r>
    </w:p>
    <w:p w:rsidR="00B72047" w:rsidRDefault="00B72047">
      <w:pPr>
        <w:pStyle w:val="resumedafterexample"/>
      </w:pPr>
      <w:r>
        <w:rPr>
          <w:rStyle w:val="htmlcodes"/>
        </w:rPr>
        <w:t>&lt;/pre&gt;&lt;p&gt;</w:t>
      </w:r>
      <w:r>
        <w:t>However, although “gerselzda” is a valid lujvo, it doesn't translate</w:t>
      </w:r>
      <w:r>
        <w:rPr>
          <w:rStyle w:val="deletedparamark"/>
        </w:rPr>
        <w:t xml:space="preserve"> “</w:t>
      </w:r>
      <w:r>
        <w:t>doghouse”; its first place is the dog, not the doghouse. Furthermore, it</w:t>
      </w:r>
      <w:r>
        <w:rPr>
          <w:rStyle w:val="deletedparamark"/>
        </w:rPr>
        <w:t xml:space="preserve"> </w:t>
      </w:r>
      <w:r>
        <w:t>is more complicated than necessary; “gerzda” is simpler than “gerselzda”.</w:t>
      </w:r>
    </w:p>
    <w:p w:rsidR="00B72047" w:rsidRDefault="00B72047">
      <w:pPr>
        <w:rPr>
          <w:rStyle w:val="htmlparacode"/>
        </w:rPr>
      </w:pPr>
      <w:r>
        <w:rPr>
          <w:rStyle w:val="htmlparacode"/>
        </w:rPr>
        <w:t>&lt;p&gt;</w:t>
      </w:r>
    </w:p>
    <w:p w:rsidR="00B72047" w:rsidRDefault="00B72047">
      <w:pPr>
        <w:pStyle w:val="normalparagraph"/>
      </w:pPr>
      <w:r>
        <w:t>From the reader's or listener's point of view, it may not al</w:t>
      </w:r>
      <w:r>
        <w:softHyphen/>
        <w:t>ways be obvious</w:t>
      </w:r>
      <w:r>
        <w:rPr>
          <w:rStyle w:val="deletedparamark"/>
        </w:rPr>
        <w:t xml:space="preserve"> </w:t>
      </w:r>
      <w:r>
        <w:t>whether a newly met lujvo is symmetrical or asym</w:t>
      </w:r>
      <w:r>
        <w:softHyphen/>
        <w:t>metrical, and if the latter,</w:t>
      </w:r>
      <w:r>
        <w:rPr>
          <w:rStyle w:val="deletedparamark"/>
        </w:rPr>
        <w:t xml:space="preserve"> </w:t>
      </w:r>
      <w:r>
        <w:t>what kind of asymme</w:t>
      </w:r>
      <w:r>
        <w:t>t</w:t>
      </w:r>
      <w:r>
        <w:softHyphen/>
        <w:t>rical lujvo. If the place structure of the lujvo isn't</w:t>
      </w:r>
      <w:r>
        <w:rPr>
          <w:rStyle w:val="deletedparamark"/>
        </w:rPr>
        <w:t xml:space="preserve"> </w:t>
      </w:r>
      <w:r>
        <w:t>given in a dictionary or elsewhere, then plausibility must be applied, just</w:t>
      </w:r>
      <w:r>
        <w:rPr>
          <w:rStyle w:val="deletedparamark"/>
        </w:rPr>
        <w:t xml:space="preserve"> </w:t>
      </w:r>
      <w:r>
        <w:t>as in interpreting tanru.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"car goer"&gt;</w:t>
      </w:r>
      <w:r>
        <w:rPr>
          <w:rStyle w:val="indexentry"/>
        </w:rPr>
        <w:fldChar w:fldCharType="begin"/>
      </w:r>
      <w:r>
        <w:instrText>xe "</w:instrText>
      </w:r>
      <w:r>
        <w:rPr>
          <w:rStyle w:val="xeentry"/>
        </w:rPr>
        <w:instrText>car goer: example</w:instrText>
      </w:r>
      <w:r>
        <w:instrText>"</w:instrText>
      </w:r>
      <w:r>
        <w:rPr>
          <w:rStyle w:val="indexentry"/>
        </w:rPr>
        <w:fldChar w:fldCharType="end"/>
      </w:r>
      <w:r>
        <w:t>The lujvo “karcykla”, for example, is based on “karce klama”, or “car goer”.</w:t>
      </w:r>
      <w:r>
        <w:rPr>
          <w:rStyle w:val="deletedparamark"/>
        </w:rPr>
        <w:t xml:space="preserve"> </w:t>
      </w:r>
      <w:r>
        <w:t>The place structure of “karce”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karce:  ka1 is a car carrying ka2 propelled by ka3</w:t>
      </w:r>
    </w:p>
    <w:p w:rsidR="00B72047" w:rsidRDefault="00B72047">
      <w:pPr>
        <w:pStyle w:val="normalafterexample"/>
      </w:pPr>
      <w:r>
        <w:rPr>
          <w:rStyle w:val="htmlcodes"/>
        </w:rPr>
        <w:t>&lt;/pre&gt;&lt;p&gt;</w:t>
      </w:r>
      <w:r>
        <w:t>An asymmetrical interpretation of “karcykla” that is strictly analogous to the</w:t>
      </w:r>
      <w:r>
        <w:rPr>
          <w:rStyle w:val="deletedparamark"/>
        </w:rPr>
        <w:t xml:space="preserve"> </w:t>
      </w:r>
      <w:r>
        <w:t>place structure of “gerzda”, equating the kl2 (destination) and ka1 (car)</w:t>
      </w:r>
      <w:r>
        <w:rPr>
          <w:rStyle w:val="deletedparamark"/>
        </w:rPr>
        <w:t xml:space="preserve"> </w:t>
      </w:r>
      <w:r>
        <w:t>places, would lead to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kl1 goes to car kl2=ka1 which carries ka2 propelled by ka3 from origin kl3</w:t>
      </w:r>
    </w:p>
    <w:p w:rsidR="00B72047" w:rsidRDefault="00B72047">
      <w:pPr>
        <w:pStyle w:val="examplescaled"/>
      </w:pPr>
      <w:r>
        <w:tab/>
      </w:r>
      <w:r>
        <w:tab/>
        <w:t>via route kl4 by means of kl5</w:t>
      </w:r>
    </w:p>
    <w:p w:rsidR="00B72047" w:rsidRDefault="00B72047">
      <w:pPr>
        <w:pStyle w:val="resumedafterexample"/>
      </w:pPr>
      <w:r>
        <w:rPr>
          <w:rStyle w:val="htmlcodes"/>
        </w:rPr>
        <w:t>&lt;/pre&gt;&lt;p&gt;</w:t>
      </w:r>
      <w:r>
        <w:t>But in general we go about in cars, rather than going to cars, so a far</w:t>
      </w:r>
      <w:r>
        <w:rPr>
          <w:rStyle w:val="deletedparamark"/>
        </w:rPr>
        <w:t xml:space="preserve"> </w:t>
      </w:r>
      <w:r>
        <w:t>more likely place structure treats the ka1 place as equivalent to the kl5</w:t>
      </w:r>
      <w:r>
        <w:rPr>
          <w:rStyle w:val="deletedparamark"/>
        </w:rPr>
        <w:t xml:space="preserve"> </w:t>
      </w:r>
      <w:r>
        <w:t>place, leading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 xml:space="preserve">kl1 goes to destination kl2 from origin kl3 via route kl4 </w:t>
      </w:r>
    </w:p>
    <w:p w:rsidR="00B72047" w:rsidRDefault="00B72047">
      <w:pPr>
        <w:pStyle w:val="examplescaled"/>
        <w:ind w:firstLine="576"/>
      </w:pPr>
      <w:r>
        <w:t>by means of car kl5=ka1 carrying ka2 propelled by ka3.</w:t>
      </w:r>
    </w:p>
    <w:p w:rsidR="00B72047" w:rsidRDefault="00B72047">
      <w:pPr>
        <w:pStyle w:val="resumedafterexample"/>
      </w:pPr>
      <w:r>
        <w:rPr>
          <w:rStyle w:val="htmlcodes"/>
        </w:rPr>
        <w:t>&lt;/pre&gt;</w:t>
      </w:r>
      <w:r>
        <w:t>instead.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382" w:name="_Toc398970625"/>
      <w:r>
        <w:rPr>
          <w:rStyle w:val="Heading3Text"/>
        </w:rPr>
        <w:t>Dependent places</w:t>
      </w:r>
      <w:bookmarkEnd w:id="38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structure, dependent places"&gt;</w:t>
      </w:r>
      <w:r>
        <w:rPr>
          <w:rStyle w:val="indexentry"/>
        </w:rPr>
        <w:fldChar w:fldCharType="begin"/>
      </w:r>
      <w:r>
        <w:instrText>xe "</w:instrText>
      </w:r>
      <w:r>
        <w:rPr>
          <w:rStyle w:val="xeentry"/>
        </w:rPr>
        <w:instrText>lujvo place structure: dependent places</w:instrText>
      </w:r>
      <w:r>
        <w:instrText>"</w:instrText>
      </w:r>
      <w:r>
        <w:rPr>
          <w:rStyle w:val="indexentry"/>
        </w:rPr>
        <w:fldChar w:fldCharType="end"/>
      </w:r>
      <w:r>
        <w:t>In order to understand which places, if any, should be com</w:t>
      </w:r>
      <w:r>
        <w:softHyphen/>
        <w:t>pletely</w:t>
      </w:r>
      <w:r>
        <w:rPr>
          <w:rStyle w:val="deletedparamark"/>
        </w:rPr>
        <w:t xml:space="preserve"> </w:t>
      </w:r>
      <w:r>
        <w:t>removed from a lujvo place structure, we need to understand the concept of</w:t>
      </w:r>
      <w:r>
        <w:rPr>
          <w:rStyle w:val="deletedparamark"/>
        </w:rPr>
        <w:t xml:space="preserve"> </w:t>
      </w:r>
      <w:r>
        <w:t>dependent places. One place of a brivla is said to be dependent on another</w:t>
      </w:r>
      <w:r>
        <w:rPr>
          <w:rStyle w:val="deletedparamark"/>
        </w:rPr>
        <w:t xml:space="preserve"> </w:t>
      </w:r>
      <w:r>
        <w:t>if its value can be predicted from the values of one or more of the other</w:t>
      </w:r>
      <w:r>
        <w:rPr>
          <w:rStyle w:val="deletedparamark"/>
        </w:rPr>
        <w:t xml:space="preserve"> </w:t>
      </w:r>
      <w:r>
        <w:t>places. For example, the g2 place of “gerku” is dependent on the g1 place.</w:t>
      </w:r>
      <w:r>
        <w:rPr>
          <w:rStyle w:val="deletedparamark"/>
        </w:rPr>
        <w:t xml:space="preserve"> </w:t>
      </w:r>
      <w:r>
        <w:t>Why? Because when we know what fits in the g1 place (Spot, let us say,</w:t>
      </w:r>
      <w:r>
        <w:rPr>
          <w:rStyle w:val="deletedparamark"/>
        </w:rPr>
        <w:t xml:space="preserve"> </w:t>
      </w:r>
      <w:r>
        <w:t>a well-known dog), then we know what fits in the g2 place (“St. Bernard”,</w:t>
      </w:r>
      <w:r>
        <w:rPr>
          <w:rStyle w:val="deletedparamark"/>
        </w:rPr>
        <w:t xml:space="preserve"> </w:t>
      </w:r>
      <w:r>
        <w:t>let us say). In other words, when the value of the g1 place has been</w:t>
      </w:r>
      <w:r>
        <w:rPr>
          <w:rStyle w:val="deletedparamark"/>
        </w:rPr>
        <w:t xml:space="preserve"> </w:t>
      </w:r>
      <w:r>
        <w:t>specified, the value of the g2 place is determined by it. Conversely, since</w:t>
      </w:r>
      <w:r>
        <w:rPr>
          <w:rStyle w:val="deletedparamark"/>
        </w:rPr>
        <w:t xml:space="preserve"> </w:t>
      </w:r>
      <w:r>
        <w:t>each dog has only one breed, but each breed co</w:t>
      </w:r>
      <w:r>
        <w:t>n</w:t>
      </w:r>
      <w:r>
        <w:softHyphen/>
        <w:t>tains many dogs, the g1 place</w:t>
      </w:r>
      <w:r>
        <w:rPr>
          <w:rStyle w:val="deletedparamark"/>
        </w:rPr>
        <w:t xml:space="preserve"> </w:t>
      </w:r>
      <w:r>
        <w:t>is not dependent on the g2 place; if we know only that some dog is a St.</w:t>
      </w:r>
      <w:r>
        <w:rPr>
          <w:rStyle w:val="deletedparamark"/>
        </w:rPr>
        <w:t xml:space="preserve"> </w:t>
      </w:r>
      <w:r>
        <w:t>Bernard, we cannot tell by that fact alone which dog is meant.</w:t>
      </w:r>
    </w:p>
    <w:p w:rsidR="00B72047" w:rsidRDefault="00B72047">
      <w:pPr>
        <w:pStyle w:val="normalparagraph"/>
        <w:rPr>
          <w:rStyle w:val="htmlparacode"/>
        </w:rPr>
      </w:pPr>
      <w:r>
        <w:rPr>
          <w:rStyle w:val="htmlparacode"/>
        </w:rPr>
        <w:t>&lt;p&gt;</w:t>
      </w:r>
    </w:p>
    <w:p w:rsidR="00B72047" w:rsidRDefault="00B72047">
      <w:pPr>
        <w:pStyle w:val="normalparagraph"/>
      </w:pPr>
      <w:r>
        <w:t>For “zdani”, on the other hand, there is no dependency be</w:t>
      </w:r>
      <w:r>
        <w:softHyphen/>
        <w:t>tween the places.</w:t>
      </w:r>
      <w:r>
        <w:rPr>
          <w:rStyle w:val="deletedparamark"/>
        </w:rPr>
        <w:t xml:space="preserve"> </w:t>
      </w:r>
      <w:r>
        <w:t>When we know the identity of a house-dweller, we have not determined the</w:t>
      </w:r>
      <w:r>
        <w:rPr>
          <w:rStyle w:val="deletedparamark"/>
        </w:rPr>
        <w:t xml:space="preserve"> </w:t>
      </w:r>
      <w:r>
        <w:t>house, be</w:t>
      </w:r>
      <w:r>
        <w:softHyphen/>
        <w:t>cause a dweller may dwell in more than one house. By the same</w:t>
      </w:r>
      <w:r>
        <w:rPr>
          <w:rStyle w:val="deletedparamark"/>
        </w:rPr>
        <w:t xml:space="preserve"> </w:t>
      </w:r>
      <w:r>
        <w:t>token, when we know the ide</w:t>
      </w:r>
      <w:r>
        <w:t>n</w:t>
      </w:r>
      <w:r>
        <w:softHyphen/>
        <w:t>tity of a house, we do not know the identity of</w:t>
      </w:r>
      <w:r>
        <w:rPr>
          <w:rStyle w:val="deletedparamark"/>
        </w:rPr>
        <w:t xml:space="preserve"> </w:t>
      </w:r>
      <w:r>
        <w:t>its dweller, for a house may contain more than one dweller.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dropping dependent seltau places"&gt;</w:t>
      </w:r>
      <w:r>
        <w:rPr>
          <w:rStyle w:val="indexentry"/>
        </w:rPr>
        <w:fldChar w:fldCharType="begin"/>
      </w:r>
      <w:r>
        <w:instrText>xe "</w:instrText>
      </w:r>
      <w:r>
        <w:rPr>
          <w:rStyle w:val="xeentry"/>
        </w:rPr>
        <w:instrText>lujvo place structure: dropping dependent seltau places</w:instrText>
      </w:r>
      <w:r>
        <w:instrText>"</w:instrText>
      </w:r>
      <w:r>
        <w:rPr>
          <w:rStyle w:val="indexentry"/>
        </w:rPr>
        <w:fldChar w:fldCharType="end"/>
      </w:r>
      <w:r>
        <w:t>The rule for eliminating places from a lujvo is that dependent places</w:t>
      </w:r>
      <w:r>
        <w:rPr>
          <w:rStyle w:val="deletedparamark"/>
        </w:rPr>
        <w:t xml:space="preserve"> </w:t>
      </w:r>
      <w:r>
        <w:t>provided by the seltau are eliminated. Therefore, in “gerzda” the</w:t>
      </w:r>
      <w:r>
        <w:rPr>
          <w:rStyle w:val="deletedparamark"/>
        </w:rPr>
        <w:t xml:space="preserve"> </w:t>
      </w:r>
      <w:r>
        <w:t>dependent g2 place is removed from the tentative place structure given</w:t>
      </w:r>
      <w:r>
        <w:rPr>
          <w:rStyle w:val="deletedparamark"/>
        </w:rPr>
        <w:t xml:space="preserve"> </w:t>
      </w:r>
      <w:r>
        <w:t xml:space="preserve">in </w:t>
      </w:r>
      <w:r>
        <w:rPr>
          <w:rStyle w:val="htmlcodes"/>
        </w:rPr>
        <w:t>&lt;a href=#e3d5&gt;</w:t>
      </w:r>
      <w:r>
        <w:t>Example 3.5</w:t>
      </w:r>
      <w:r>
        <w:rPr>
          <w:rStyle w:val="htmlcodes"/>
        </w:rPr>
        <w:t>&lt;/a&gt;</w:t>
      </w:r>
      <w:r>
        <w:t>, leaving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z1 is the house dwelt in by dog z2=g1</w:t>
      </w:r>
    </w:p>
    <w:p w:rsidR="00B72047" w:rsidRDefault="00B72047">
      <w:pPr>
        <w:pStyle w:val="resumedafterexample"/>
      </w:pPr>
      <w:r>
        <w:rPr>
          <w:rStyle w:val="htmlcodes"/>
        </w:rPr>
        <w:t>&lt;/pre&gt;&lt;p&gt;</w:t>
      </w:r>
      <w:r>
        <w:t>Informally put, the reason this has happened — and it happens a lot with</w:t>
      </w:r>
      <w:r>
        <w:rPr>
          <w:rStyle w:val="deletedparamark"/>
        </w:rPr>
        <w:t xml:space="preserve"> </w:t>
      </w:r>
      <w:r>
        <w:t>seltau places — is that the third place was describing not the doghouse,</w:t>
      </w:r>
      <w:r>
        <w:rPr>
          <w:rStyle w:val="deletedparamark"/>
        </w:rPr>
        <w:t xml:space="preserve"> </w:t>
      </w:r>
      <w:r>
        <w:t>but the dog who lives in it. The sentence</w:t>
      </w:r>
    </w:p>
    <w:p w:rsidR="00B72047" w:rsidRDefault="00B72047">
      <w:pPr>
        <w:rPr>
          <w:rStyle w:val="htmlparacode"/>
        </w:rPr>
      </w:pPr>
      <w:r>
        <w:rPr>
          <w:rStyle w:val="htmlparacode"/>
        </w:rPr>
        <w:t>&lt;p&gt;</w:t>
      </w:r>
    </w:p>
    <w:p w:rsidR="00B72047" w:rsidRDefault="00B72047">
      <w:pPr>
        <w:pStyle w:val="examplescaledpre"/>
      </w:pPr>
      <w:r>
        <w:rPr>
          <w:rStyle w:val="indexentry"/>
        </w:rPr>
        <w:t>&lt;ex "Mon Repos"&gt;</w:t>
      </w:r>
      <w:r>
        <w:rPr>
          <w:rStyle w:val="indexentry"/>
        </w:rPr>
        <w:fldChar w:fldCharType="begin"/>
      </w:r>
      <w:r>
        <w:instrText>xe "</w:instrText>
      </w:r>
      <w:r>
        <w:rPr>
          <w:rStyle w:val="xeentry"/>
        </w:rPr>
        <w:instrText>Mon Repos: example</w:instrText>
      </w:r>
      <w:r>
        <w:instrText>"</w:instrText>
      </w:r>
      <w:r>
        <w:rPr>
          <w:rStyle w:val="indexentry"/>
        </w:rPr>
        <w:fldChar w:fldCharType="end"/>
      </w:r>
      <w:r>
        <w:rPr>
          <w:rStyle w:val="htmlcodes"/>
        </w:rPr>
        <w:t>&lt;pre&gt;&lt;a name=e6d2&gt;</w:t>
      </w:r>
      <w:r>
        <w:t>6.2)</w:t>
      </w:r>
      <w:r>
        <w:tab/>
        <w:t>la mon. rePOS. gerzda la spat.</w:t>
      </w:r>
    </w:p>
    <w:p w:rsidR="00B72047" w:rsidRDefault="00B72047">
      <w:pPr>
        <w:pStyle w:val="examplescaled"/>
      </w:pPr>
      <w:r>
        <w:tab/>
        <w:t>Mon Repos is a doghouse of Spot.</w:t>
      </w:r>
    </w:p>
    <w:p w:rsidR="00B72047" w:rsidRDefault="00B72047">
      <w:pPr>
        <w:pStyle w:val="resumedafterexample"/>
      </w:pPr>
      <w:r>
        <w:rPr>
          <w:rStyle w:val="htmlcodes"/>
        </w:rPr>
        <w:t>&lt;/pre&gt;</w:t>
      </w:r>
      <w:r>
        <w:t>really 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la mon. rePOS. zdani la spat. noi gerku</w:t>
      </w:r>
    </w:p>
    <w:p w:rsidR="00B72047" w:rsidRDefault="00B72047">
      <w:pPr>
        <w:pStyle w:val="examplescaled"/>
      </w:pPr>
      <w:r>
        <w:tab/>
        <w:t>Mon Repos is a house of Spot, who is a dog.</w:t>
      </w:r>
    </w:p>
    <w:p w:rsidR="00B72047" w:rsidRDefault="00B72047">
      <w:pPr>
        <w:pStyle w:val="resumedafterexample"/>
      </w:pPr>
      <w:r>
        <w:rPr>
          <w:rStyle w:val="htmlcodes"/>
        </w:rPr>
        <w:t>&lt;/pre&gt;</w:t>
      </w:r>
      <w:r>
        <w:t>since that is the interpretation we have given “gerzda”. But that in turn</w:t>
      </w:r>
      <w:r>
        <w:rPr>
          <w:rStyle w:val="deletedparamark"/>
        </w:rPr>
        <w:t xml:space="preserve"> </w:t>
      </w:r>
      <w:r>
        <w:t>means</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"unspecified breed:example"</w:instrText>
      </w:r>
      <w:r>
        <w:rPr>
          <w:rStyle w:val="xeentry"/>
        </w:rPr>
        <w:fldChar w:fldCharType="end"/>
      </w:r>
      <w:r>
        <w:rPr>
          <w:rStyle w:val="htmlcodes"/>
        </w:rPr>
        <w:t>&lt;pre&gt;&lt;a name=e6d4&gt;</w:t>
      </w:r>
      <w:r>
        <w:t>6.4)</w:t>
      </w:r>
      <w:r>
        <w:tab/>
        <w:t>la mon. rePOS. zdani la spat noi ke'a gerku zo'e</w:t>
      </w:r>
    </w:p>
    <w:p w:rsidR="00B72047" w:rsidRDefault="00B72047">
      <w:pPr>
        <w:pStyle w:val="examplescaled"/>
      </w:pPr>
      <w:r>
        <w:tab/>
        <w:t>Mon Repos is a house of Spot, who is a dog of unspecified breed.</w:t>
      </w:r>
    </w:p>
    <w:p w:rsidR="00B72047" w:rsidRDefault="00B72047">
      <w:pPr>
        <w:pStyle w:val="resumedafterexample"/>
      </w:pPr>
      <w:r>
        <w:rPr>
          <w:rStyle w:val="htmlcodes"/>
        </w:rPr>
        <w:t>&lt;/pre&gt;&lt;p&gt;</w:t>
      </w:r>
      <w:r>
        <w:t>Specifically,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la mon. rePOS. zdani la spat. noi ke'a gerku la sankt. berNARD.</w:t>
      </w:r>
    </w:p>
    <w:p w:rsidR="00B72047" w:rsidRDefault="00B72047">
      <w:pPr>
        <w:pStyle w:val="examplescaled"/>
      </w:pPr>
      <w:r>
        <w:tab/>
        <w:t>Mon Repos is a house of Spot, who is a dog of breed St. Bernard.</w:t>
      </w:r>
    </w:p>
    <w:p w:rsidR="00B72047" w:rsidRDefault="00B72047">
      <w:pPr>
        <w:pStyle w:val="resumedafterexample"/>
      </w:pPr>
      <w:r>
        <w:rPr>
          <w:rStyle w:val="htmlcodes"/>
        </w:rPr>
        <w:t>&lt;/pre&gt;</w:t>
      </w:r>
      <w:r>
        <w:t>and in that case, it makes little sense to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la mon. rePOS. gerzda la spat.noi ke'a gerku la sankt. berNARD. ku'o</w:t>
      </w:r>
    </w:p>
    <w:p w:rsidR="00B72047" w:rsidRDefault="00B72047">
      <w:pPr>
        <w:pStyle w:val="examplescaled"/>
        <w:ind w:firstLine="576"/>
      </w:pPr>
      <w:r>
        <w:t>la sankt. berNARD.</w:t>
      </w:r>
    </w:p>
    <w:p w:rsidR="00B72047" w:rsidRDefault="00B72047">
      <w:pPr>
        <w:pStyle w:val="examplescaled"/>
      </w:pPr>
      <w:r>
        <w:tab/>
        <w:t>Mon Repos is a doghouse of Spot, who is a dog of breed St. Bernard,</w:t>
      </w:r>
    </w:p>
    <w:p w:rsidR="00B72047" w:rsidRDefault="00B72047">
      <w:pPr>
        <w:pStyle w:val="examplescaled"/>
        <w:ind w:firstLine="576"/>
      </w:pPr>
      <w:r>
        <w:t>of breed St. Bernard.</w:t>
      </w:r>
    </w:p>
    <w:p w:rsidR="00B72047" w:rsidRDefault="00B72047">
      <w:pPr>
        <w:pStyle w:val="resumedafterexample"/>
      </w:pPr>
      <w:r>
        <w:rPr>
          <w:rStyle w:val="htmlcodes"/>
        </w:rPr>
        <w:t>&lt;/pre&gt;</w:t>
      </w:r>
      <w:r>
        <w:rPr>
          <w:rStyle w:val="indexentry"/>
        </w:rPr>
        <w:t>&lt;cx "supplementary information"&gt;</w:t>
      </w:r>
      <w:r>
        <w:rPr>
          <w:rStyle w:val="indexentry"/>
        </w:rPr>
        <w:fldChar w:fldCharType="begin"/>
      </w:r>
      <w:r>
        <w:instrText>xe "</w:instrText>
      </w:r>
      <w:r>
        <w:rPr>
          <w:rStyle w:val="xeentry"/>
        </w:rPr>
        <w:instrText>supplementary information</w:instrText>
      </w:r>
      <w:r>
        <w:instrText>"</w:instrText>
      </w:r>
      <w:r>
        <w:rPr>
          <w:rStyle w:val="indexentry"/>
        </w:rPr>
        <w:fldChar w:fldCharType="end"/>
      </w:r>
      <w:r>
        <w:t xml:space="preserve">employing the over-ample place structure of </w:t>
      </w:r>
      <w:r>
        <w:rPr>
          <w:rStyle w:val="htmlcodes"/>
        </w:rPr>
        <w:t>&lt;a href=#e3d5&gt;</w:t>
      </w:r>
      <w:r>
        <w:t>Example 3.5</w:t>
      </w:r>
      <w:r>
        <w:rPr>
          <w:rStyle w:val="htmlcodes"/>
        </w:rPr>
        <w:t>&lt;/a&gt;</w:t>
      </w:r>
      <w:r>
        <w:t>. The dog breed is</w:t>
      </w:r>
      <w:r>
        <w:rPr>
          <w:rStyle w:val="deletedparamark"/>
        </w:rPr>
        <w:t xml:space="preserve"> </w:t>
      </w:r>
      <w:r>
        <w:t>redundantly given both in the main selbri and in the relative clause, and</w:t>
      </w:r>
      <w:r>
        <w:rPr>
          <w:rStyle w:val="deletedparamark"/>
        </w:rPr>
        <w:t xml:space="preserve"> </w:t>
      </w:r>
      <w:r>
        <w:t>(intuitively speaking) is r</w:t>
      </w:r>
      <w:r>
        <w:t>e</w:t>
      </w:r>
      <w:r>
        <w:softHyphen/>
        <w:t>peated in the wrong place, since the dog breed is</w:t>
      </w:r>
      <w:r>
        <w:rPr>
          <w:rStyle w:val="deletedparamark"/>
        </w:rPr>
        <w:t xml:space="preserve"> </w:t>
      </w:r>
      <w:r>
        <w:t>supplementary information about the dog, and not about the doghouse.</w:t>
      </w:r>
    </w:p>
    <w:p w:rsidR="00B72047" w:rsidRDefault="00B72047">
      <w:pPr>
        <w:rPr>
          <w:rStyle w:val="htmlparacode"/>
        </w:rPr>
      </w:pPr>
      <w:r>
        <w:rPr>
          <w:rStyle w:val="htmlparacode"/>
        </w:rPr>
        <w:t>&lt;p&gt;</w:t>
      </w:r>
    </w:p>
    <w:p w:rsidR="00B72047" w:rsidRDefault="00B72047">
      <w:pPr>
        <w:pStyle w:val="normalparagraph"/>
      </w:pPr>
      <w:r>
        <w:rPr>
          <w:rStyle w:val="indexentry"/>
        </w:rPr>
        <w:t>&lt;ex "beetle"&gt;</w:t>
      </w:r>
      <w:r>
        <w:rPr>
          <w:rStyle w:val="indexentry"/>
        </w:rPr>
        <w:fldChar w:fldCharType="begin"/>
      </w:r>
      <w:r>
        <w:instrText>xe "</w:instrText>
      </w:r>
      <w:r>
        <w:rPr>
          <w:rStyle w:val="xeentry"/>
        </w:rPr>
        <w:instrText>beetle: example</w:instrText>
      </w:r>
      <w:r>
        <w:instrText>"</w:instrText>
      </w:r>
      <w:r>
        <w:rPr>
          <w:rStyle w:val="indexentry"/>
        </w:rPr>
        <w:fldChar w:fldCharType="end"/>
      </w:r>
      <w:r>
        <w:t>As a further example, take “cakcinki”, the lujvo for “beetle”, based on the</w:t>
      </w:r>
      <w:r>
        <w:rPr>
          <w:rStyle w:val="deletedparamark"/>
        </w:rPr>
        <w:t xml:space="preserve"> </w:t>
      </w:r>
      <w:r>
        <w:t>tanru “calku cinki”, or “shell-insect”. The gismu place structures are:</w:t>
      </w:r>
    </w:p>
    <w:p w:rsidR="00B72047" w:rsidRDefault="00B72047">
      <w:pPr>
        <w:rPr>
          <w:rStyle w:val="htmlparacode"/>
        </w:rPr>
      </w:pPr>
      <w:r>
        <w:rPr>
          <w:rStyle w:val="htmlparacode"/>
        </w:rPr>
        <w:t>&lt;p&gt;</w:t>
      </w:r>
    </w:p>
    <w:p w:rsidR="00B72047" w:rsidRDefault="00B72047">
      <w:pPr>
        <w:pStyle w:val="examplescaledpre"/>
      </w:pPr>
      <w:r>
        <w:rPr>
          <w:rStyle w:val="indexentry"/>
        </w:rPr>
        <w:t>&lt;cx "arthropod"&gt;</w:t>
      </w:r>
      <w:r>
        <w:rPr>
          <w:rStyle w:val="indexentry"/>
        </w:rPr>
        <w:fldChar w:fldCharType="begin"/>
      </w:r>
      <w:r>
        <w:instrText>xe "</w:instrText>
      </w:r>
      <w:r>
        <w:rPr>
          <w:rStyle w:val="xeentry"/>
        </w:rPr>
        <w:instrText>arthropod</w:instrText>
      </w:r>
      <w:r>
        <w:instrText>"</w:instrText>
      </w:r>
      <w:r>
        <w:rPr>
          <w:rStyle w:val="indexentry"/>
        </w:rPr>
        <w:fldChar w:fldCharType="end"/>
      </w:r>
      <w:r>
        <w:rPr>
          <w:rStyle w:val="htmlcodes"/>
        </w:rPr>
        <w:t>&lt;pre&gt;&lt;a name=e6d7&gt;</w:t>
      </w:r>
      <w:r>
        <w:t>6.7)</w:t>
      </w:r>
      <w:r>
        <w:tab/>
        <w:t>“calku”:  ca1 is a shell/husk around ca2 made of ca3</w:t>
      </w:r>
    </w:p>
    <w:p w:rsidR="00B72047" w:rsidRDefault="00B72047">
      <w:pPr>
        <w:pStyle w:val="examplescaled"/>
      </w:pPr>
      <w:r>
        <w:tab/>
        <w:t>“cinki”:  ci1 is an insect/arthropod of species ci2</w:t>
      </w:r>
    </w:p>
    <w:p w:rsidR="00B72047" w:rsidRDefault="00B72047">
      <w:pPr>
        <w:pStyle w:val="resumedafterexample"/>
      </w:pPr>
      <w:r>
        <w:rPr>
          <w:rStyle w:val="htmlcodes"/>
        </w:rPr>
        <w:t>&lt;/pre&gt;</w:t>
      </w:r>
      <w:r>
        <w:rPr>
          <w:rStyle w:val="indexentry"/>
        </w:rPr>
        <w:t>&lt;cx "cross-dependency"&gt;</w:t>
      </w:r>
      <w:r>
        <w:rPr>
          <w:rStyle w:val="indexentry"/>
        </w:rPr>
        <w:fldChar w:fldCharType="begin"/>
      </w:r>
      <w:r>
        <w:instrText>xe "</w:instrText>
      </w:r>
      <w:r>
        <w:rPr>
          <w:rStyle w:val="xeentry"/>
        </w:rPr>
        <w:instrText>cross-dependency</w:instrText>
      </w:r>
      <w:r>
        <w:instrText>"</w:instrText>
      </w:r>
      <w:r>
        <w:rPr>
          <w:rStyle w:val="indexentry"/>
        </w:rPr>
        <w:fldChar w:fldCharType="end"/>
      </w:r>
      <w:r>
        <w:rPr>
          <w:rStyle w:val="indexentry"/>
        </w:rPr>
        <w:t>&lt;cx "lujvo place structure, cross-dependent places"&gt;</w:t>
      </w:r>
      <w:r>
        <w:rPr>
          <w:rStyle w:val="indexentry"/>
        </w:rPr>
        <w:fldChar w:fldCharType="begin"/>
      </w:r>
      <w:r>
        <w:instrText>xe "</w:instrText>
      </w:r>
      <w:r>
        <w:rPr>
          <w:rStyle w:val="xeentry"/>
        </w:rPr>
        <w:instrText>lujvo place structure: cross-dependent places</w:instrText>
      </w:r>
      <w:r>
        <w:instrText>"</w:instrText>
      </w:r>
      <w:r>
        <w:rPr>
          <w:rStyle w:val="indexentry"/>
        </w:rPr>
        <w:fldChar w:fldCharType="end"/>
      </w:r>
      <w:r>
        <w:rPr>
          <w:rStyle w:val="indexentry"/>
        </w:rPr>
        <w:t>&lt;cx "lujvo place structure, dropping cross-dependent places"&gt;</w:t>
      </w:r>
      <w:r>
        <w:rPr>
          <w:rStyle w:val="indexentry"/>
        </w:rPr>
        <w:fldChar w:fldCharType="begin"/>
      </w:r>
      <w:r>
        <w:instrText>xe "</w:instrText>
      </w:r>
      <w:r>
        <w:rPr>
          <w:rStyle w:val="xeentry"/>
        </w:rPr>
        <w:instrText>lujvo place structure: dropping cross-dependent places</w:instrText>
      </w:r>
      <w:r>
        <w:instrText>"</w:instrText>
      </w:r>
      <w:r>
        <w:rPr>
          <w:rStyle w:val="indexentry"/>
        </w:rPr>
        <w:fldChar w:fldCharType="end"/>
      </w:r>
      <w:r>
        <w:t>This example illustrates a cross-dependency between a place of one gismu</w:t>
      </w:r>
      <w:r>
        <w:rPr>
          <w:rStyle w:val="deletedparamark"/>
        </w:rPr>
        <w:t xml:space="preserve"> </w:t>
      </w:r>
      <w:r>
        <w:t>and a place of the other. The ca3 place is dependent on ci1, because all</w:t>
      </w:r>
      <w:r>
        <w:rPr>
          <w:rStyle w:val="deletedparamark"/>
        </w:rPr>
        <w:t xml:space="preserve"> </w:t>
      </w:r>
      <w:r>
        <w:t>insects (which fit into ci1) have shells made of chitin (which fits into ca3).</w:t>
      </w:r>
      <w:r>
        <w:rPr>
          <w:rStyle w:val="deletedparamark"/>
        </w:rPr>
        <w:t xml:space="preserve"> </w:t>
      </w:r>
      <w:r>
        <w:t>Furthermore, ca1 is dependent on ci1 as well, because each insect has only a</w:t>
      </w:r>
      <w:r>
        <w:rPr>
          <w:rStyle w:val="deletedparamark"/>
        </w:rPr>
        <w:t xml:space="preserve"> </w:t>
      </w:r>
      <w:r>
        <w:t>single shell. And since ca2 (the thing with the shell) is equivalent to ci1</w:t>
      </w:r>
      <w:r>
        <w:rPr>
          <w:rStyle w:val="deletedparamark"/>
        </w:rPr>
        <w:t xml:space="preserve"> </w:t>
      </w:r>
      <w:r>
        <w:t>(the insect), the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ci1=ca2 is a beetle of species ci2</w:t>
      </w:r>
    </w:p>
    <w:p w:rsidR="00B72047" w:rsidRDefault="00B72047">
      <w:pPr>
        <w:pStyle w:val="resumedafterexample"/>
      </w:pPr>
      <w:r>
        <w:rPr>
          <w:rStyle w:val="htmlcodes"/>
        </w:rPr>
        <w:t>&lt;/pre&gt;</w:t>
      </w:r>
      <w:r>
        <w:t>with not a single place of “calku” surviving independently!</w:t>
      </w:r>
    </w:p>
    <w:p w:rsidR="00B72047" w:rsidRDefault="00B72047">
      <w:pPr>
        <w:rPr>
          <w:rStyle w:val="htmlparacode"/>
        </w:rPr>
      </w:pPr>
      <w:r>
        <w:rPr>
          <w:rStyle w:val="htmlparacode"/>
        </w:rPr>
        <w:t>&lt;p&gt;</w:t>
      </w:r>
    </w:p>
    <w:p w:rsidR="00B72047" w:rsidRDefault="00B72047">
      <w:pPr>
        <w:pStyle w:val="normalparagraph"/>
      </w:pPr>
      <w:r>
        <w:rPr>
          <w:rStyle w:val="indexentry"/>
        </w:rPr>
        <w:t>&lt;cx "Coleoptera"&gt;</w:t>
      </w:r>
      <w:r>
        <w:rPr>
          <w:rStyle w:val="indexentry"/>
        </w:rPr>
        <w:fldChar w:fldCharType="begin"/>
      </w:r>
      <w:r>
        <w:instrText>xe "</w:instrText>
      </w:r>
      <w:r>
        <w:rPr>
          <w:rStyle w:val="xeentry"/>
        </w:rPr>
        <w:instrText>Coleoptera</w:instrText>
      </w:r>
      <w:r>
        <w:instrText>"</w:instrText>
      </w:r>
      <w:r>
        <w:rPr>
          <w:rStyle w:val="indexentry"/>
        </w:rPr>
        <w:fldChar w:fldCharType="end"/>
      </w:r>
      <w:r>
        <w:rPr>
          <w:rStyle w:val="indexentry"/>
        </w:rPr>
        <w:t>&lt;cx "beetles"&gt;</w:t>
      </w:r>
      <w:r>
        <w:rPr>
          <w:rStyle w:val="indexentry"/>
        </w:rPr>
        <w:fldChar w:fldCharType="begin"/>
      </w:r>
      <w:r>
        <w:instrText>xe "</w:instrText>
      </w:r>
      <w:r>
        <w:rPr>
          <w:rStyle w:val="xeentry"/>
        </w:rPr>
        <w:instrText>beetles</w:instrText>
      </w:r>
      <w:r>
        <w:instrText>"</w:instrText>
      </w:r>
      <w:r>
        <w:rPr>
          <w:rStyle w:val="indexentry"/>
        </w:rPr>
        <w:fldChar w:fldCharType="end"/>
      </w:r>
      <w:r>
        <w:t>(Note that there is nothing in this explanation that tells us just why</w:t>
      </w:r>
      <w:r>
        <w:rPr>
          <w:rStyle w:val="deletedparamark"/>
        </w:rPr>
        <w:t xml:space="preserve"> “</w:t>
      </w:r>
      <w:r>
        <w:t>cakcinki” means “beetle” (member of Coleoptera), since all in</w:t>
      </w:r>
      <w:r>
        <w:softHyphen/>
        <w:t>sects in</w:t>
      </w:r>
      <w:r>
        <w:rPr>
          <w:rStyle w:val="deletedparamark"/>
        </w:rPr>
        <w:t xml:space="preserve"> </w:t>
      </w:r>
      <w:r>
        <w:t>their adult forms have chi</w:t>
      </w:r>
      <w:r>
        <w:softHyphen/>
        <w:t>tin shells of some sort. The answer, which is</w:t>
      </w:r>
      <w:r>
        <w:rPr>
          <w:rStyle w:val="deletedparamark"/>
        </w:rPr>
        <w:t xml:space="preserve"> </w:t>
      </w:r>
      <w:r>
        <w:t>in no way predictable, is that the shell is a prominent, highly noticeable</w:t>
      </w:r>
      <w:r>
        <w:rPr>
          <w:rStyle w:val="deletedparamark"/>
        </w:rPr>
        <w:t xml:space="preserve"> </w:t>
      </w:r>
      <w:r>
        <w:t>feature of beetles in particular.)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dropping dependent tertau places"&gt;</w:t>
      </w:r>
      <w:r>
        <w:rPr>
          <w:rStyle w:val="indexentry"/>
        </w:rPr>
        <w:fldChar w:fldCharType="begin"/>
      </w:r>
      <w:r>
        <w:instrText>xe "</w:instrText>
      </w:r>
      <w:r>
        <w:rPr>
          <w:rStyle w:val="xeentry"/>
        </w:rPr>
        <w:instrText>lujvo place structure: dropping dependent tertau places</w:instrText>
      </w:r>
      <w:r>
        <w:instrText>"</w:instrText>
      </w:r>
      <w:r>
        <w:rPr>
          <w:rStyle w:val="indexentry"/>
        </w:rPr>
        <w:fldChar w:fldCharType="end"/>
      </w:r>
      <w:r>
        <w:t>What about the dependency of ci2 on ci1? After all, no beetle belongs to</w:t>
      </w:r>
      <w:r>
        <w:rPr>
          <w:rStyle w:val="deletedparamark"/>
        </w:rPr>
        <w:t xml:space="preserve"> </w:t>
      </w:r>
      <w:r>
        <w:t>more than one species, so it would seem that the ci2 place of “cakcinki”</w:t>
      </w:r>
      <w:r>
        <w:rPr>
          <w:rStyle w:val="deletedparamark"/>
        </w:rPr>
        <w:t xml:space="preserve"> </w:t>
      </w:r>
      <w:r>
        <w:t>could be eliminated on the same reasoning that allowed us to eliminate the</w:t>
      </w:r>
      <w:r>
        <w:rPr>
          <w:rStyle w:val="deletedparamark"/>
        </w:rPr>
        <w:t xml:space="preserve"> </w:t>
      </w:r>
      <w:r>
        <w:t>g2 place of “gerzda” above. However, it is a rule that dependent places</w:t>
      </w:r>
      <w:r>
        <w:rPr>
          <w:rStyle w:val="deletedparamark"/>
        </w:rPr>
        <w:t xml:space="preserve"> </w:t>
      </w:r>
      <w:r>
        <w:t>are not eliminated from a lujvo when they are derived from the tertau of</w:t>
      </w:r>
      <w:r>
        <w:rPr>
          <w:rStyle w:val="deletedparamark"/>
        </w:rPr>
        <w:t xml:space="preserve"> </w:t>
      </w:r>
      <w:r>
        <w:t>its veljvo. This rule is imposed to keep the place struc</w:t>
      </w:r>
      <w:r>
        <w:softHyphen/>
        <w:t>tures of lujvo from</w:t>
      </w:r>
      <w:r>
        <w:rPr>
          <w:rStyle w:val="deletedparamark"/>
        </w:rPr>
        <w:t xml:space="preserve"> </w:t>
      </w:r>
      <w:r>
        <w:t>drifting too far from the tertau place structure; if a place is necessary</w:t>
      </w:r>
      <w:r>
        <w:rPr>
          <w:rStyle w:val="deletedparamark"/>
        </w:rPr>
        <w:t xml:space="preserve"> </w:t>
      </w:r>
      <w:r>
        <w:t>in the tertau, it's treated as neces</w:t>
      </w:r>
      <w:r>
        <w:softHyphen/>
        <w:t>sary in the lujvo as well.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"wrong concept"&gt;</w:t>
      </w:r>
      <w:r>
        <w:rPr>
          <w:rStyle w:val="indexentry"/>
        </w:rPr>
        <w:fldChar w:fldCharType="begin"/>
      </w:r>
      <w:r>
        <w:instrText>xe "</w:instrText>
      </w:r>
      <w:r>
        <w:rPr>
          <w:rStyle w:val="xeentry"/>
        </w:rPr>
        <w:instrText>wrong concept</w:instrText>
      </w:r>
      <w:r>
        <w:instrText>"</w:instrText>
      </w:r>
      <w:r>
        <w:rPr>
          <w:rStyle w:val="indexentry"/>
        </w:rPr>
        <w:fldChar w:fldCharType="end"/>
      </w:r>
      <w:r>
        <w:rPr>
          <w:rStyle w:val="indexentry"/>
        </w:rPr>
        <w:t>&lt;cx "shoehorn"&gt;</w:t>
      </w:r>
      <w:r>
        <w:rPr>
          <w:rStyle w:val="indexentry"/>
        </w:rPr>
        <w:fldChar w:fldCharType="begin"/>
      </w:r>
      <w:r>
        <w:instrText>xe "</w:instrText>
      </w:r>
      <w:r>
        <w:rPr>
          <w:rStyle w:val="xeentry"/>
        </w:rPr>
        <w:instrText>shoehorn</w:instrText>
      </w:r>
      <w:r>
        <w:instrText>"</w:instrText>
      </w:r>
      <w:r>
        <w:rPr>
          <w:rStyle w:val="indexentry"/>
        </w:rPr>
        <w:fldChar w:fldCharType="end"/>
      </w:r>
      <w:r>
        <w:rPr>
          <w:rStyle w:val="indexentry"/>
        </w:rPr>
        <w:t>&lt;cx "lujvo place structure, selecting tertau"&gt;</w:t>
      </w:r>
      <w:r>
        <w:rPr>
          <w:rStyle w:val="indexentry"/>
        </w:rPr>
        <w:fldChar w:fldCharType="begin"/>
      </w:r>
      <w:r>
        <w:instrText>xe "</w:instrText>
      </w:r>
      <w:r>
        <w:rPr>
          <w:rStyle w:val="xeentry"/>
        </w:rPr>
        <w:instrText>lujvo place structure: selecting tertau</w:instrText>
      </w:r>
      <w:r>
        <w:instrText>"</w:instrText>
      </w:r>
      <w:r>
        <w:rPr>
          <w:rStyle w:val="indexentry"/>
        </w:rPr>
        <w:fldChar w:fldCharType="end"/>
      </w:r>
      <w:r>
        <w:t>In general, the desire to remove places coming from the ter</w:t>
      </w:r>
      <w:r>
        <w:softHyphen/>
        <w:t>tau is a sign</w:t>
      </w:r>
      <w:r>
        <w:rPr>
          <w:rStyle w:val="deletedparamark"/>
        </w:rPr>
        <w:t xml:space="preserve"> </w:t>
      </w:r>
      <w:r>
        <w:t>that the ve</w:t>
      </w:r>
      <w:r>
        <w:t>l</w:t>
      </w:r>
      <w:r>
        <w:softHyphen/>
        <w:t>jvo selected is simply wrong. Different place structures imply</w:t>
      </w:r>
      <w:r>
        <w:rPr>
          <w:rStyle w:val="deletedparamark"/>
        </w:rPr>
        <w:t xml:space="preserve"> </w:t>
      </w:r>
      <w:r>
        <w:t>different concepts, and the lujvo maker may be trying to shoehorn the</w:t>
      </w:r>
      <w:r>
        <w:rPr>
          <w:rStyle w:val="deletedparamark"/>
        </w:rPr>
        <w:t xml:space="preserve"> </w:t>
      </w:r>
      <w:r>
        <w:t>wrong concept into the place structure of his or her choosing. This is</w:t>
      </w:r>
      <w:r>
        <w:rPr>
          <w:rStyle w:val="deletedparamark"/>
        </w:rPr>
        <w:t xml:space="preserve"> </w:t>
      </w:r>
      <w:r>
        <w:t>obvious when someone tries to shoe-horn a “klama” tertau into a “litru”</w:t>
      </w:r>
      <w:r>
        <w:rPr>
          <w:rStyle w:val="deletedparamark"/>
        </w:rPr>
        <w:t xml:space="preserve"> </w:t>
      </w:r>
      <w:r>
        <w:t>or “cliva” concept, for example: these gismu differ in their number of</w:t>
      </w:r>
      <w:r>
        <w:rPr>
          <w:rStyle w:val="deletedparamark"/>
        </w:rPr>
        <w:t xml:space="preserve"> </w:t>
      </w:r>
      <w:r>
        <w:t>ar</w:t>
      </w:r>
      <w:r>
        <w:softHyphen/>
        <w:t>guments, and suppressing places of “klama” in a lujvo doesn't make any</w:t>
      </w:r>
      <w:r>
        <w:rPr>
          <w:rStyle w:val="deletedparamark"/>
        </w:rPr>
        <w:t xml:space="preserve"> </w:t>
      </w:r>
      <w:r>
        <w:t>sense if the resulting modified place structure is that of “litru”</w:t>
      </w:r>
      <w:r>
        <w:rPr>
          <w:rStyle w:val="deletedparamark"/>
        </w:rPr>
        <w:t xml:space="preserve"> </w:t>
      </w:r>
      <w:r>
        <w:t>or “cliva”.</w:t>
      </w:r>
    </w:p>
    <w:p w:rsidR="00B72047" w:rsidRDefault="00B72047">
      <w:pPr>
        <w:pStyle w:val="normalparagraph"/>
        <w:rPr>
          <w:rStyle w:val="htmlparacode"/>
        </w:rPr>
      </w:pPr>
      <w:r>
        <w:rPr>
          <w:rStyle w:val="htmlparacode"/>
        </w:rPr>
        <w:t>&lt;p&gt;</w:t>
      </w:r>
    </w:p>
    <w:p w:rsidR="00B72047" w:rsidRDefault="00B72047">
      <w:pPr>
        <w:pStyle w:val="normalparagraph"/>
      </w:pPr>
      <w:r>
        <w:t>Sometimes the dependency is between a single place of the tertau and</w:t>
      </w:r>
      <w:r>
        <w:rPr>
          <w:rStyle w:val="deletedparamark"/>
        </w:rPr>
        <w:t xml:space="preserve"> </w:t>
      </w:r>
      <w:r>
        <w:t>the whole event described by the seltau. Such cases are discussed</w:t>
      </w:r>
      <w:r>
        <w:rPr>
          <w:rStyle w:val="deletedparamark"/>
        </w:rPr>
        <w:t xml:space="preserve"> </w:t>
      </w:r>
      <w:r>
        <w:t xml:space="preserve">further in </w:t>
      </w:r>
      <w:r>
        <w:rPr>
          <w:rStyle w:val="htmlcodes"/>
        </w:rPr>
        <w:t>&lt;a href=#s13&gt;</w:t>
      </w:r>
      <w:r>
        <w:t>Section 13</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"recital rooms"&gt;</w:t>
      </w:r>
      <w:r>
        <w:rPr>
          <w:rStyle w:val="indexentry"/>
        </w:rPr>
        <w:fldChar w:fldCharType="begin"/>
      </w:r>
      <w:r>
        <w:instrText>xe "</w:instrText>
      </w:r>
      <w:r>
        <w:rPr>
          <w:rStyle w:val="xeentry"/>
        </w:rPr>
        <w:instrText>recital rooms</w:instrText>
      </w:r>
      <w:r>
        <w:instrText>"</w:instrText>
      </w:r>
      <w:r>
        <w:rPr>
          <w:rStyle w:val="indexentry"/>
        </w:rPr>
        <w:fldChar w:fldCharType="end"/>
      </w:r>
      <w:r>
        <w:rPr>
          <w:rStyle w:val="indexentry"/>
        </w:rPr>
        <w:t>&lt;cx "playgrounds"&gt;</w:t>
      </w:r>
      <w:r>
        <w:rPr>
          <w:rStyle w:val="indexentry"/>
        </w:rPr>
        <w:fldChar w:fldCharType="begin"/>
      </w:r>
      <w:r>
        <w:instrText>xe "</w:instrText>
      </w:r>
      <w:r>
        <w:rPr>
          <w:rStyle w:val="xeentry"/>
        </w:rPr>
        <w:instrText>playgrounds</w:instrText>
      </w:r>
      <w:r>
        <w:instrText>"</w:instrText>
      </w:r>
      <w:r>
        <w:rPr>
          <w:rStyle w:val="indexentry"/>
        </w:rPr>
        <w:fldChar w:fldCharType="end"/>
      </w:r>
      <w:r>
        <w:rPr>
          <w:rStyle w:val="indexentry"/>
        </w:rPr>
        <w:t>&lt;cx "elementary schools"&gt;</w:t>
      </w:r>
      <w:r>
        <w:rPr>
          <w:rStyle w:val="indexentry"/>
        </w:rPr>
        <w:fldChar w:fldCharType="begin"/>
      </w:r>
      <w:r>
        <w:instrText>xe "</w:instrText>
      </w:r>
      <w:r>
        <w:rPr>
          <w:rStyle w:val="xeentry"/>
        </w:rPr>
        <w:instrText>elementary schools</w:instrText>
      </w:r>
      <w:r>
        <w:instrText>"</w:instrText>
      </w:r>
      <w:r>
        <w:rPr>
          <w:rStyle w:val="indexentry"/>
        </w:rPr>
        <w:fldChar w:fldCharType="end"/>
      </w:r>
      <w:r>
        <w:rPr>
          <w:rStyle w:val="indexentry"/>
        </w:rPr>
        <w:t>&lt;cx "auditoriums"&gt;</w:t>
      </w:r>
      <w:r>
        <w:rPr>
          <w:rStyle w:val="indexentry"/>
        </w:rPr>
        <w:fldChar w:fldCharType="begin"/>
      </w:r>
      <w:r>
        <w:instrText>xe "</w:instrText>
      </w:r>
      <w:r>
        <w:rPr>
          <w:rStyle w:val="xeentry"/>
        </w:rPr>
        <w:instrText>auditoriums</w:instrText>
      </w:r>
      <w:r>
        <w:instrText>"</w:instrText>
      </w:r>
      <w:r>
        <w:rPr>
          <w:rStyle w:val="indexentry"/>
        </w:rPr>
        <w:fldChar w:fldCharType="end"/>
      </w:r>
      <w:r>
        <w:rPr>
          <w:rStyle w:val="indexentry"/>
        </w:rPr>
        <w:t>&lt;ex "school building"&gt;</w:t>
      </w:r>
      <w:r>
        <w:rPr>
          <w:rStyle w:val="indexentry"/>
        </w:rPr>
        <w:fldChar w:fldCharType="begin"/>
      </w:r>
      <w:r>
        <w:instrText>xe "</w:instrText>
      </w:r>
      <w:r>
        <w:rPr>
          <w:rStyle w:val="xeentry"/>
        </w:rPr>
        <w:instrText>school building: example</w:instrText>
      </w:r>
      <w:r>
        <w:instrText>"</w:instrText>
      </w:r>
      <w:r>
        <w:rPr>
          <w:rStyle w:val="indexentry"/>
        </w:rPr>
        <w:fldChar w:fldCharType="end"/>
      </w:r>
      <w:r>
        <w:rPr>
          <w:rStyle w:val="indexentry"/>
        </w:rPr>
        <w:t>&lt;cx "lujvo place structure, dropping dependent places, caveat"&gt;</w:t>
      </w:r>
      <w:r>
        <w:rPr>
          <w:rStyle w:val="indexentry"/>
        </w:rPr>
        <w:fldChar w:fldCharType="begin"/>
      </w:r>
      <w:r>
        <w:instrText>xe "</w:instrText>
      </w:r>
      <w:r>
        <w:rPr>
          <w:rStyle w:val="xeentry"/>
        </w:rPr>
        <w:instrText>lujvo place structure: dropping dependent places, caveat</w:instrText>
      </w:r>
      <w:r>
        <w:instrText>"</w:instrText>
      </w:r>
      <w:r>
        <w:rPr>
          <w:rStyle w:val="indexentry"/>
        </w:rPr>
        <w:fldChar w:fldCharType="end"/>
      </w:r>
      <w:r>
        <w:t>Unfortunately, not all dependent places in the seltau can be safely</w:t>
      </w:r>
      <w:r>
        <w:rPr>
          <w:rStyle w:val="deletedparamark"/>
        </w:rPr>
        <w:t xml:space="preserve"> </w:t>
      </w:r>
      <w:r>
        <w:t>removed: some of them are necessary to interpreting the luj</w:t>
      </w:r>
      <w:r>
        <w:softHyphen/>
        <w:t>vo's meaning</w:t>
      </w:r>
      <w:r>
        <w:rPr>
          <w:rStyle w:val="deletedparamark"/>
        </w:rPr>
        <w:t xml:space="preserve"> </w:t>
      </w:r>
      <w:r>
        <w:t>in context. It doesn't matter much to a doghouse what breed of dog inhabits</w:t>
      </w:r>
      <w:r>
        <w:rPr>
          <w:rStyle w:val="deletedparamark"/>
        </w:rPr>
        <w:t xml:space="preserve"> </w:t>
      </w:r>
      <w:r>
        <w:t>it, but it can make quite a lot of difference to the construction of a school</w:t>
      </w:r>
      <w:r>
        <w:rPr>
          <w:rStyle w:val="deletedparamark"/>
        </w:rPr>
        <w:t xml:space="preserve"> </w:t>
      </w:r>
      <w:r>
        <w:t>building what kind of school is in it! Music schools need audit</w:t>
      </w:r>
      <w:r>
        <w:t>o</w:t>
      </w:r>
      <w:r>
        <w:softHyphen/>
        <w:t>riums and</w:t>
      </w:r>
      <w:r>
        <w:rPr>
          <w:rStyle w:val="deletedparamark"/>
        </w:rPr>
        <w:t xml:space="preserve"> </w:t>
      </w:r>
      <w:r>
        <w:t>recital rooms, elementary schools need playgrounds, and so on: therefore,</w:t>
      </w:r>
      <w:r>
        <w:rPr>
          <w:rStyle w:val="deletedparamark"/>
        </w:rPr>
        <w:t xml:space="preserve"> </w:t>
      </w:r>
      <w:r>
        <w:t>the place structure of “kuldi'u” (from “ckule dinju”, and meaning “school</w:t>
      </w:r>
      <w:r>
        <w:rPr>
          <w:rStyle w:val="deletedparamark"/>
        </w:rPr>
        <w:t xml:space="preserve"> </w:t>
      </w:r>
      <w:r>
        <w:t>building”) needs to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name=e6d9&gt;</w:t>
      </w:r>
      <w:r>
        <w:t>6.9)</w:t>
      </w:r>
      <w:r>
        <w:tab/>
        <w:t>d1 is a building housing school c1 teaching subject c3 to audience c4</w:t>
      </w:r>
    </w:p>
    <w:p w:rsidR="00B72047" w:rsidRDefault="00B72047">
      <w:pPr>
        <w:pStyle w:val="resumedafterexample"/>
      </w:pPr>
      <w:r>
        <w:rPr>
          <w:rStyle w:val="htmlcodes"/>
        </w:rPr>
        <w:t>&lt;/pre&gt;</w:t>
      </w:r>
      <w:r>
        <w:t>even though c3 and c4 are plainly dependent on c1. The other places of</w:t>
      </w:r>
      <w:r>
        <w:rPr>
          <w:rStyle w:val="deletedparamark"/>
        </w:rPr>
        <w:t xml:space="preserve"> “</w:t>
      </w:r>
      <w:r>
        <w:t>ckule”, the loc</w:t>
      </w:r>
      <w:r>
        <w:t>a</w:t>
      </w:r>
      <w:r>
        <w:softHyphen/>
        <w:t>tion (c2) and operators (c5), don't seem to be nec</w:t>
      </w:r>
      <w:r>
        <w:softHyphen/>
        <w:t>essary</w:t>
      </w:r>
      <w:r>
        <w:rPr>
          <w:rStyle w:val="deletedparamark"/>
        </w:rPr>
        <w:t xml:space="preserve"> </w:t>
      </w:r>
      <w:r>
        <w:t>to the concept “school building”, and are dependent on c1 to boot, so</w:t>
      </w:r>
      <w:r>
        <w:rPr>
          <w:rStyle w:val="deletedparamark"/>
        </w:rPr>
        <w:t xml:space="preserve"> </w:t>
      </w:r>
      <w:r>
        <w:t>they are omitted. Again, the need for case-by-case consid</w:t>
      </w:r>
      <w:r>
        <w:softHyphen/>
        <w:t>eration of</w:t>
      </w:r>
      <w:r>
        <w:rPr>
          <w:rStyle w:val="deletedparamark"/>
        </w:rPr>
        <w:t xml:space="preserve"> </w:t>
      </w:r>
      <w:r>
        <w:t>place structures is demonstrated.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383" w:name="_Toc398970626"/>
      <w:r>
        <w:rPr>
          <w:rStyle w:val="Heading3Text"/>
        </w:rPr>
        <w:t>Ordering lujvo places</w:t>
      </w:r>
      <w:bookmarkEnd w:id="38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order"&gt;</w:t>
      </w:r>
      <w:r>
        <w:rPr>
          <w:rStyle w:val="indexentry"/>
        </w:rPr>
        <w:fldChar w:fldCharType="begin"/>
      </w:r>
      <w:r>
        <w:instrText>xe "</w:instrText>
      </w:r>
      <w:r>
        <w:rPr>
          <w:rStyle w:val="xeentry"/>
        </w:rPr>
        <w:instrText>lujvo place order</w:instrText>
      </w:r>
      <w:r>
        <w:instrText>"</w:instrText>
      </w:r>
      <w:r>
        <w:rPr>
          <w:rStyle w:val="indexentry"/>
        </w:rPr>
        <w:fldChar w:fldCharType="end"/>
      </w:r>
      <w:r>
        <w:t>So far, we have concentrated on selecting the places to go into the place</w:t>
      </w:r>
      <w:r>
        <w:rPr>
          <w:rStyle w:val="deletedparamark"/>
        </w:rPr>
        <w:t xml:space="preserve"> </w:t>
      </w:r>
      <w:r>
        <w:t>structure of a lujvo. However, this is only half the story. In using selbri</w:t>
      </w:r>
      <w:r>
        <w:rPr>
          <w:rStyle w:val="deletedparamark"/>
        </w:rPr>
        <w:t xml:space="preserve"> </w:t>
      </w:r>
      <w:r>
        <w:t>in Lojban, it is important to remember the right order of the sumti.</w:t>
      </w:r>
      <w:r>
        <w:rPr>
          <w:rStyle w:val="deletedparamark"/>
        </w:rPr>
        <w:t xml:space="preserve"> </w:t>
      </w:r>
      <w:r>
        <w:t>With lujvo, the need to attend to the order of sumti be</w:t>
      </w:r>
      <w:r>
        <w:softHyphen/>
        <w:t>comes critical: the</w:t>
      </w:r>
      <w:r>
        <w:rPr>
          <w:rStyle w:val="deletedparamark"/>
        </w:rPr>
        <w:t xml:space="preserve"> </w:t>
      </w:r>
      <w:r>
        <w:t>set of places selected should be ordered in such a way that a reader</w:t>
      </w:r>
      <w:r>
        <w:rPr>
          <w:rStyle w:val="deletedparamark"/>
        </w:rPr>
        <w:t xml:space="preserve"> </w:t>
      </w:r>
      <w:r>
        <w:t>unfamiliar with the lujvo should be able to tell which place is which.</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order, rationale for standardization"&gt;</w:t>
      </w:r>
      <w:r>
        <w:rPr>
          <w:rStyle w:val="indexentry"/>
        </w:rPr>
        <w:fldChar w:fldCharType="begin"/>
      </w:r>
      <w:r>
        <w:instrText>xe "</w:instrText>
      </w:r>
      <w:r>
        <w:rPr>
          <w:rStyle w:val="xeentry"/>
        </w:rPr>
        <w:instrText>lujvo place order: rationale for standardization</w:instrText>
      </w:r>
      <w:r>
        <w:instrText>"</w:instrText>
      </w:r>
      <w:r>
        <w:rPr>
          <w:rStyle w:val="indexentry"/>
        </w:rPr>
        <w:fldChar w:fldCharType="end"/>
      </w:r>
      <w:r>
        <w:rPr>
          <w:rStyle w:val="indexentry"/>
        </w:rPr>
        <w:t>&lt;ex "prayer"&gt;</w:t>
      </w:r>
      <w:r>
        <w:rPr>
          <w:rStyle w:val="indexentry"/>
        </w:rPr>
        <w:fldChar w:fldCharType="begin"/>
      </w:r>
      <w:r>
        <w:instrText>xe "</w:instrText>
      </w:r>
      <w:r>
        <w:rPr>
          <w:rStyle w:val="xeentry"/>
        </w:rPr>
        <w:instrText>prayer: example</w:instrText>
      </w:r>
      <w:r>
        <w:instrText>"</w:instrText>
      </w:r>
      <w:r>
        <w:rPr>
          <w:rStyle w:val="indexentry"/>
        </w:rPr>
        <w:fldChar w:fldCharType="end"/>
      </w:r>
      <w:r>
        <w:t>If we aim to make understandable lujvo, then, we should make the order</w:t>
      </w:r>
      <w:r>
        <w:rPr>
          <w:rStyle w:val="deletedparamark"/>
        </w:rPr>
        <w:t xml:space="preserve"> </w:t>
      </w:r>
      <w:r>
        <w:t>of places in the place structure follow some conven</w:t>
      </w:r>
      <w:r>
        <w:softHyphen/>
        <w:t>tions. If this does not</w:t>
      </w:r>
      <w:r>
        <w:rPr>
          <w:rStyle w:val="deletedparamark"/>
        </w:rPr>
        <w:t xml:space="preserve"> </w:t>
      </w:r>
      <w:r>
        <w:t>occur, very real ambiguities can turn up. Take for example the lujvo</w:t>
      </w:r>
      <w:r>
        <w:rPr>
          <w:rStyle w:val="deletedparamark"/>
        </w:rPr>
        <w:t xml:space="preserve"> “</w:t>
      </w:r>
      <w:r>
        <w:t>jdaselsku”, meaning “prayer”. In the sentence</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"Dong: example"</w:instrText>
      </w:r>
      <w:r>
        <w:rPr>
          <w:rStyle w:val="xeentry"/>
        </w:rPr>
        <w:fldChar w:fldCharType="end"/>
      </w:r>
      <w:r>
        <w:rPr>
          <w:rStyle w:val="htmlcodes"/>
        </w:rPr>
        <w:t>&lt;pre&gt;&lt;a name=e7d1&gt;</w:t>
      </w:r>
      <w:r>
        <w:t>7.1)</w:t>
      </w:r>
      <w:r>
        <w:tab/>
        <w:t>di'e jdaselsku la dong.</w:t>
      </w:r>
    </w:p>
    <w:p w:rsidR="00B72047" w:rsidRDefault="00B72047">
      <w:pPr>
        <w:pStyle w:val="examplescaled"/>
      </w:pPr>
      <w:r>
        <w:tab/>
        <w:t>This-utterance is-a-prayer somehow-related-to-Dong.</w:t>
      </w:r>
    </w:p>
    <w:p w:rsidR="00B72047" w:rsidRDefault="00B72047">
      <w:pPr>
        <w:pStyle w:val="resumedafterexample"/>
      </w:pPr>
      <w:r>
        <w:rPr>
          <w:rStyle w:val="htmlcodes"/>
        </w:rPr>
        <w:t>&lt;/pre&gt;</w:t>
      </w:r>
      <w:r>
        <w:t>we must be able to know if Dong is the person making the prayer, giving the</w:t>
      </w:r>
      <w:r>
        <w:rPr>
          <w:rStyle w:val="deletedparamark"/>
        </w:rPr>
        <w:t xml:space="preserve"> </w:t>
      </w:r>
      <w:r>
        <w:t>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This is a prayer by Dong.</w:t>
      </w:r>
    </w:p>
    <w:p w:rsidR="00B72047" w:rsidRDefault="00B72047">
      <w:pPr>
        <w:pStyle w:val="resumedafterexample"/>
      </w:pPr>
      <w:r>
        <w:rPr>
          <w:rStyle w:val="htmlcodes"/>
        </w:rPr>
        <w:t>&lt;/pre&gt;</w:t>
      </w:r>
      <w:r>
        <w:t>or is the entity being prayed to, resulting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This is a prayer to Dong.</w:t>
      </w:r>
    </w:p>
    <w:p w:rsidR="00B72047" w:rsidRDefault="00B72047">
      <w:pPr>
        <w:pStyle w:val="normalafterexample"/>
      </w:pPr>
      <w:r>
        <w:rPr>
          <w:rStyle w:val="htmlcodes"/>
        </w:rPr>
        <w:t>&lt;/pre&gt;&lt;p&gt;</w:t>
      </w:r>
      <w:r>
        <w:t>We could resolve such problems on a case-by-case basis for each lujvo</w:t>
      </w:r>
      <w:r>
        <w:rPr>
          <w:rStyle w:val="deletedparamark"/>
        </w:rPr>
        <w:t xml:space="preserve"> </w:t>
      </w:r>
      <w:r>
        <w:t>(</w:t>
      </w:r>
      <w:r>
        <w:rPr>
          <w:rStyle w:val="htmlcodes"/>
        </w:rPr>
        <w:t>&lt;a href=#s14&gt;</w:t>
      </w:r>
      <w:r>
        <w:t xml:space="preserve">Section 14 </w:t>
      </w:r>
      <w:r>
        <w:rPr>
          <w:rStyle w:val="htmlcodes"/>
        </w:rPr>
        <w:t>&lt;/a&gt;</w:t>
      </w:r>
      <w:r>
        <w:t>discusses when this is actually necessary), but case-by-case</w:t>
      </w:r>
      <w:r>
        <w:rPr>
          <w:rStyle w:val="deletedparamark"/>
        </w:rPr>
        <w:t xml:space="preserve"> </w:t>
      </w:r>
      <w:r>
        <w:t>resolution for run-of-the-mill lujvo makes the task of learning lujvo place</w:t>
      </w:r>
      <w:r>
        <w:rPr>
          <w:rStyle w:val="deletedparamark"/>
        </w:rPr>
        <w:t xml:space="preserve"> </w:t>
      </w:r>
      <w:r>
        <w:t>structures unmanageable. People need consis</w:t>
      </w:r>
      <w:r>
        <w:softHyphen/>
        <w:t>tent patterns to make sense of</w:t>
      </w:r>
      <w:r>
        <w:rPr>
          <w:rStyle w:val="deletedparamark"/>
        </w:rPr>
        <w:t xml:space="preserve"> </w:t>
      </w:r>
      <w:r>
        <w:t>what they learn. Such patterns can be found across gismu place structures</w:t>
      </w:r>
      <w:r>
        <w:rPr>
          <w:rStyle w:val="deletedparamark"/>
        </w:rPr>
        <w:t xml:space="preserve"> </w:t>
      </w:r>
      <w:r>
        <w:t xml:space="preserve">(see </w:t>
      </w:r>
      <w:r>
        <w:rPr>
          <w:rStyle w:val="htmlcodes"/>
        </w:rPr>
        <w:t>&lt;a href=#s16&gt;</w:t>
      </w:r>
      <w:r>
        <w:t>Section 16</w:t>
      </w:r>
      <w:r>
        <w:rPr>
          <w:rStyle w:val="htmlcodes"/>
        </w:rPr>
        <w:t>&lt;/a&gt;</w:t>
      </w:r>
      <w:r>
        <w:t>), and are even more necessary in lujvo place structures.</w:t>
      </w:r>
      <w:r>
        <w:rPr>
          <w:rStyle w:val="deletedparamark"/>
        </w:rPr>
        <w:t xml:space="preserve"> </w:t>
      </w:r>
      <w:r>
        <w:t>Case-by-case consideration is still necessary; lujvo creation is a subtle art,</w:t>
      </w:r>
      <w:r>
        <w:rPr>
          <w:rStyle w:val="deletedparamark"/>
        </w:rPr>
        <w:t xml:space="preserve"> </w:t>
      </w:r>
      <w:r>
        <w:t>after all. But it is help</w:t>
      </w:r>
      <w:r>
        <w:softHyphen/>
        <w:t>ful to take advantage of any available regularities.</w:t>
      </w:r>
    </w:p>
    <w:p w:rsidR="00B72047" w:rsidRDefault="00B72047">
      <w:pPr>
        <w:rPr>
          <w:rStyle w:val="htmlparacode"/>
        </w:rPr>
      </w:pPr>
      <w:r>
        <w:rPr>
          <w:rStyle w:val="htmlparacode"/>
        </w:rPr>
        <w:t>&lt;p&gt;</w:t>
      </w:r>
    </w:p>
    <w:p w:rsidR="00B72047" w:rsidRDefault="00B72047">
      <w:pPr>
        <w:pStyle w:val="normalparagraph"/>
      </w:pPr>
      <w:r>
        <w:rPr>
          <w:rStyle w:val="indexentry"/>
        </w:rPr>
        <w:t>&lt;cx "elimination process"&gt;</w:t>
      </w:r>
      <w:r>
        <w:rPr>
          <w:rStyle w:val="indexentry"/>
        </w:rPr>
        <w:fldChar w:fldCharType="begin"/>
      </w:r>
      <w:r>
        <w:instrText>xe "</w:instrText>
      </w:r>
      <w:r>
        <w:rPr>
          <w:rStyle w:val="xeentry"/>
        </w:rPr>
        <w:instrText>elimination process</w:instrText>
      </w:r>
      <w:r>
        <w:instrText>"</w:instrText>
      </w:r>
      <w:r>
        <w:rPr>
          <w:rStyle w:val="indexentry"/>
        </w:rPr>
        <w:fldChar w:fldCharType="end"/>
      </w:r>
      <w:r>
        <w:rPr>
          <w:rStyle w:val="indexentry"/>
        </w:rPr>
        <w:t>&lt;cx "lujvo place order, symmetrical lujvo"&gt;</w:t>
      </w:r>
      <w:r>
        <w:rPr>
          <w:rStyle w:val="indexentry"/>
        </w:rPr>
        <w:fldChar w:fldCharType="begin"/>
      </w:r>
      <w:r>
        <w:instrText>xe "</w:instrText>
      </w:r>
      <w:r>
        <w:rPr>
          <w:rStyle w:val="xeentry"/>
        </w:rPr>
        <w:instrText>lujvo place order: symmetrical lujvo</w:instrText>
      </w:r>
      <w:r>
        <w:instrText>"</w:instrText>
      </w:r>
      <w:r>
        <w:rPr>
          <w:rStyle w:val="indexentry"/>
        </w:rPr>
        <w:fldChar w:fldCharType="end"/>
      </w:r>
      <w:r>
        <w:rPr>
          <w:rStyle w:val="indexentry"/>
        </w:rPr>
        <w:t>&lt;ex "great soldier"&gt;</w:t>
      </w:r>
      <w:r>
        <w:rPr>
          <w:rStyle w:val="indexentry"/>
        </w:rPr>
        <w:fldChar w:fldCharType="begin"/>
      </w:r>
      <w:r>
        <w:instrText>xe "</w:instrText>
      </w:r>
      <w:r>
        <w:rPr>
          <w:rStyle w:val="xeentry"/>
        </w:rPr>
        <w:instrText>great soldier: example</w:instrText>
      </w:r>
      <w:r>
        <w:instrText>"</w:instrText>
      </w:r>
      <w:r>
        <w:rPr>
          <w:rStyle w:val="indexentry"/>
        </w:rPr>
        <w:fldChar w:fldCharType="end"/>
      </w:r>
      <w:r>
        <w:t>We use two different ordering rules: one for symmetrical lujvo and</w:t>
      </w:r>
      <w:r>
        <w:rPr>
          <w:rStyle w:val="deletedparamark"/>
        </w:rPr>
        <w:t xml:space="preserve"> </w:t>
      </w:r>
      <w:r>
        <w:t>one for asymme</w:t>
      </w:r>
      <w:r>
        <w:t>t</w:t>
      </w:r>
      <w:r>
        <w:softHyphen/>
        <w:t xml:space="preserve">rical ones. A symmetrical lujvo like “balsoi” (from </w:t>
      </w:r>
      <w:r>
        <w:rPr>
          <w:rStyle w:val="htmlcodes"/>
        </w:rPr>
        <w:t>&lt;a href=#s5&gt;</w:t>
      </w:r>
      <w:r>
        <w:t>Section 5</w:t>
      </w:r>
      <w:r>
        <w:rPr>
          <w:rStyle w:val="htmlcodes"/>
        </w:rPr>
        <w:t>&lt;/a&gt;</w:t>
      </w:r>
      <w:r>
        <w:t>)</w:t>
      </w:r>
      <w:r>
        <w:rPr>
          <w:rStyle w:val="deletedparamark"/>
        </w:rPr>
        <w:t xml:space="preserve"> </w:t>
      </w:r>
      <w:r>
        <w:t>has the places of its tertau followed by whatever places of the seltau</w:t>
      </w:r>
      <w:r>
        <w:rPr>
          <w:rStyle w:val="deletedparamark"/>
        </w:rPr>
        <w:t xml:space="preserve"> </w:t>
      </w:r>
      <w:r>
        <w:t>survive the elimination process. For “balsoi”, the surviving places of</w:t>
      </w:r>
      <w:r>
        <w:rPr>
          <w:rStyle w:val="deletedparamark"/>
        </w:rPr>
        <w:t xml:space="preserve"> “</w:t>
      </w:r>
      <w:r>
        <w:t>banli” are b2 and b3, leading to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b1=s1 is a great soldier of army s2 in property b2 by standard b3</w:t>
      </w:r>
    </w:p>
    <w:p w:rsidR="00B72047" w:rsidRDefault="00B72047">
      <w:pPr>
        <w:pStyle w:val="resumedafterexample"/>
      </w:pPr>
      <w:r>
        <w:rPr>
          <w:rStyle w:val="htmlcodes"/>
        </w:rPr>
        <w:t>&lt;/pre&gt;</w:t>
      </w:r>
      <w:r>
        <w:t xml:space="preserve">just what appears in </w:t>
      </w:r>
      <w:r>
        <w:rPr>
          <w:rStyle w:val="htmlcodes"/>
        </w:rPr>
        <w:t>&lt;a href=#e5d1&gt;</w:t>
      </w:r>
      <w:r>
        <w:t>Example 5.1</w:t>
      </w:r>
      <w:r>
        <w:rPr>
          <w:rStyle w:val="htmlcodes"/>
        </w:rPr>
        <w:t>&lt;/a&gt;</w:t>
      </w:r>
      <w:r>
        <w:t>. In fact, all place structures shown</w:t>
      </w:r>
      <w:r>
        <w:rPr>
          <w:rStyle w:val="deletedparamark"/>
        </w:rPr>
        <w:t xml:space="preserve"> </w:t>
      </w:r>
      <w:r>
        <w:t>until now have been in the correct order by the conventions of this section,</w:t>
      </w:r>
      <w:r>
        <w:rPr>
          <w:rStyle w:val="deletedparamark"/>
        </w:rPr>
        <w:t xml:space="preserve"> </w:t>
      </w:r>
      <w:r>
        <w:t>though the fact has been left tacit until now.</w:t>
      </w:r>
    </w:p>
    <w:p w:rsidR="00B72047" w:rsidRDefault="00B72047">
      <w:pPr>
        <w:rPr>
          <w:rStyle w:val="htmlparacode"/>
        </w:rPr>
      </w:pPr>
      <w:r>
        <w:rPr>
          <w:rStyle w:val="htmlparacode"/>
        </w:rPr>
        <w:t>&lt;p&gt;</w:t>
      </w:r>
    </w:p>
    <w:p w:rsidR="00B72047" w:rsidRDefault="00B72047">
      <w:pPr>
        <w:pStyle w:val="normalparagraph"/>
      </w:pPr>
      <w:r>
        <w:t>The motivation for this rule is the parallelism between the luj</w:t>
      </w:r>
      <w:r>
        <w:softHyphen/>
        <w:t>vo bridi-schema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b1 bansoi s2 b2 b3</w:t>
      </w:r>
    </w:p>
    <w:p w:rsidR="00B72047" w:rsidRDefault="00B72047">
      <w:pPr>
        <w:pStyle w:val="examplescaled"/>
      </w:pPr>
      <w:r>
        <w:tab/>
        <w:t>b1 is-a-great-soldier of-army-s2 in-property-b2 by-standard-b3</w:t>
      </w:r>
    </w:p>
    <w:p w:rsidR="00B72047" w:rsidRDefault="00B72047">
      <w:pPr>
        <w:pStyle w:val="resumedafterexample"/>
      </w:pPr>
      <w:r>
        <w:rPr>
          <w:rStyle w:val="htmlcodes"/>
        </w:rPr>
        <w:t>&lt;/pre&gt;</w:t>
      </w:r>
      <w:r>
        <w:t>and the more or less equivalent bridi-schema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b1 sonci s2 gi'e banli b2 b3</w:t>
      </w:r>
    </w:p>
    <w:p w:rsidR="00B72047" w:rsidRDefault="00B72047">
      <w:pPr>
        <w:pStyle w:val="examplescaled"/>
      </w:pPr>
      <w:r>
        <w:tab/>
        <w:t>b1 is-a-soldier of-army-s2 and is-great in-property-b2 by-standard-b3</w:t>
      </w:r>
    </w:p>
    <w:p w:rsidR="00B72047" w:rsidRDefault="00B72047">
      <w:pPr>
        <w:pStyle w:val="resumedafterexample"/>
      </w:pPr>
      <w:r>
        <w:rPr>
          <w:rStyle w:val="htmlcodes"/>
        </w:rPr>
        <w:t>&lt;/pre&gt;</w:t>
      </w:r>
      <w:r>
        <w:t>where “gi'e” is the Lojban word for “and” when placed between two partial</w:t>
      </w:r>
      <w:r>
        <w:rPr>
          <w:rStyle w:val="deletedparamark"/>
        </w:rPr>
        <w:t xml:space="preserve"> </w:t>
      </w:r>
      <w:r>
        <w:t>bridi, as e</w:t>
      </w:r>
      <w:r>
        <w:t>x</w:t>
      </w:r>
      <w:r>
        <w:softHyphen/>
        <w:t xml:space="preserve">plained in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"animal doctor"&gt;</w:t>
      </w:r>
      <w:r>
        <w:rPr>
          <w:rStyle w:val="indexentry"/>
        </w:rPr>
        <w:fldChar w:fldCharType="begin"/>
      </w:r>
      <w:r>
        <w:instrText>xe "</w:instrText>
      </w:r>
      <w:r>
        <w:rPr>
          <w:rStyle w:val="xeentry"/>
        </w:rPr>
        <w:instrText>animal doctor: example</w:instrText>
      </w:r>
      <w:r>
        <w:instrText>"</w:instrText>
      </w:r>
      <w:r>
        <w:rPr>
          <w:rStyle w:val="indexentry"/>
        </w:rPr>
        <w:fldChar w:fldCharType="end"/>
      </w:r>
      <w:r>
        <w:rPr>
          <w:rStyle w:val="indexentry"/>
        </w:rPr>
        <w:t>&lt;cx "lujvo place order, asymmetrical lujvo"&gt;</w:t>
      </w:r>
      <w:r>
        <w:rPr>
          <w:rStyle w:val="indexentry"/>
        </w:rPr>
        <w:fldChar w:fldCharType="begin"/>
      </w:r>
      <w:r>
        <w:instrText>xe "</w:instrText>
      </w:r>
      <w:r>
        <w:rPr>
          <w:rStyle w:val="xeentry"/>
        </w:rPr>
        <w:instrText>lujvo place order: asymmetrical lujvo</w:instrText>
      </w:r>
      <w:r>
        <w:instrText>"</w:instrText>
      </w:r>
      <w:r>
        <w:rPr>
          <w:rStyle w:val="indexentry"/>
        </w:rPr>
        <w:fldChar w:fldCharType="end"/>
      </w:r>
      <w:r>
        <w:rPr>
          <w:rStyle w:val="indexentry"/>
        </w:rPr>
        <w:t>&lt;ex "veterinarian"&gt;</w:t>
      </w:r>
      <w:r>
        <w:rPr>
          <w:rStyle w:val="indexentry"/>
        </w:rPr>
        <w:fldChar w:fldCharType="begin"/>
      </w:r>
      <w:r>
        <w:instrText>xe "</w:instrText>
      </w:r>
      <w:r>
        <w:rPr>
          <w:rStyle w:val="xeentry"/>
        </w:rPr>
        <w:instrText>veterinarian: example</w:instrText>
      </w:r>
      <w:r>
        <w:instrText>"</w:instrText>
      </w:r>
      <w:r>
        <w:rPr>
          <w:rStyle w:val="indexentry"/>
        </w:rPr>
        <w:fldChar w:fldCharType="end"/>
      </w:r>
      <w:r>
        <w:t>Asymmetrical lujvo like “gerzda”, on the other hand, employ a different</w:t>
      </w:r>
      <w:r>
        <w:rPr>
          <w:rStyle w:val="deletedparamark"/>
        </w:rPr>
        <w:t xml:space="preserve"> </w:t>
      </w:r>
      <w:r>
        <w:t>rule. The seltau places are inserted not at the end of the place</w:t>
      </w:r>
      <w:r>
        <w:rPr>
          <w:rStyle w:val="deletedparamark"/>
        </w:rPr>
        <w:t xml:space="preserve"> </w:t>
      </w:r>
      <w:r>
        <w:t>structure, but rather immedi</w:t>
      </w:r>
      <w:r>
        <w:softHyphen/>
        <w:t>ately after the tertau place which is</w:t>
      </w:r>
      <w:r>
        <w:rPr>
          <w:rStyle w:val="deletedparamark"/>
        </w:rPr>
        <w:t xml:space="preserve"> </w:t>
      </w:r>
      <w:r>
        <w:t>equivalent to the first place of the seltau. Consider “dalmikce”, meaning</w:t>
      </w:r>
      <w:r>
        <w:rPr>
          <w:rStyle w:val="deletedparamark"/>
        </w:rPr>
        <w:t xml:space="preserve"> “</w:t>
      </w:r>
      <w:r>
        <w:t>veterinarian”: its veljvo is “danlu mikce”, or “animal doctor”. The place</w:t>
      </w:r>
      <w:r>
        <w:rPr>
          <w:rStyle w:val="deletedparamark"/>
        </w:rPr>
        <w:t xml:space="preserve"> </w:t>
      </w:r>
      <w:r>
        <w:t>stru</w:t>
      </w:r>
      <w:r>
        <w:t>c</w:t>
      </w:r>
      <w:r>
        <w:softHyphen/>
        <w:t>tures for those gismu are:</w:t>
      </w:r>
    </w:p>
    <w:p w:rsidR="00B72047" w:rsidRDefault="00B72047">
      <w:pPr>
        <w:rPr>
          <w:rStyle w:val="htmlparacode"/>
        </w:rPr>
      </w:pPr>
      <w:r>
        <w:rPr>
          <w:rStyle w:val="htmlparacode"/>
        </w:rPr>
        <w:t>&lt;p&gt;</w:t>
      </w:r>
    </w:p>
    <w:p w:rsidR="00B72047" w:rsidRDefault="00B72047">
      <w:pPr>
        <w:pStyle w:val="examplescaledpre"/>
      </w:pPr>
      <w:r>
        <w:rPr>
          <w:rStyle w:val="indexentry"/>
        </w:rPr>
        <w:t>&lt;cx "ailment"&gt;</w:t>
      </w:r>
      <w:r>
        <w:rPr>
          <w:rStyle w:val="indexentry"/>
        </w:rPr>
        <w:fldChar w:fldCharType="begin"/>
      </w:r>
      <w:r>
        <w:instrText>xe "</w:instrText>
      </w:r>
      <w:r>
        <w:rPr>
          <w:rStyle w:val="xeentry"/>
        </w:rPr>
        <w:instrText>ailment</w:instrText>
      </w:r>
      <w:r>
        <w:instrText>"</w:instrText>
      </w:r>
      <w:r>
        <w:rPr>
          <w:rStyle w:val="indexentry"/>
        </w:rPr>
        <w:fldChar w:fldCharType="end"/>
      </w:r>
      <w:r>
        <w:rPr>
          <w:rStyle w:val="htmlcodes"/>
        </w:rPr>
        <w:t>&lt;pre&gt;&lt;a name=e7d7&gt;</w:t>
      </w:r>
      <w:r>
        <w:t>7.7)</w:t>
      </w:r>
      <w:r>
        <w:tab/>
        <w:t>“danlu”:  d1 is an animal of species d2</w:t>
      </w:r>
    </w:p>
    <w:p w:rsidR="00B72047" w:rsidRDefault="00B72047">
      <w:pPr>
        <w:pStyle w:val="examplescaled"/>
      </w:pPr>
      <w:r>
        <w:tab/>
        <w:t>“mikce”:  m1 is a doctor to patient m2 for ailment m3 using treatment m4</w:t>
      </w:r>
    </w:p>
    <w:p w:rsidR="00B72047" w:rsidRDefault="00B72047">
      <w:pPr>
        <w:pStyle w:val="resumedafterexample"/>
      </w:pPr>
      <w:r>
        <w:rPr>
          <w:rStyle w:val="htmlcodes"/>
        </w:rPr>
        <w:t>&lt;/pre&gt;</w:t>
      </w:r>
      <w:r>
        <w:t>and the lujvo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m1 is a doctor for animal m2=d1 of species d2 for ailment m3</w:t>
      </w:r>
    </w:p>
    <w:p w:rsidR="00B72047" w:rsidRDefault="00B72047">
      <w:pPr>
        <w:pStyle w:val="examplescaled"/>
        <w:ind w:firstLine="576"/>
      </w:pPr>
      <w:r>
        <w:t xml:space="preserve"> using treatment m4</w:t>
      </w:r>
    </w:p>
    <w:p w:rsidR="00B72047" w:rsidRDefault="00B72047">
      <w:pPr>
        <w:pStyle w:val="resumedafterexample"/>
      </w:pPr>
      <w:r>
        <w:rPr>
          <w:rStyle w:val="htmlcodes"/>
        </w:rPr>
        <w:t>&lt;/pre&gt;</w:t>
      </w:r>
      <w:r>
        <w:rPr>
          <w:rStyle w:val="indexentry"/>
        </w:rPr>
        <w:t>&lt;cx "animal patient"&gt;</w:t>
      </w:r>
      <w:r>
        <w:rPr>
          <w:rStyle w:val="indexentry"/>
        </w:rPr>
        <w:fldChar w:fldCharType="begin"/>
      </w:r>
      <w:r>
        <w:instrText>xe "</w:instrText>
      </w:r>
      <w:r>
        <w:rPr>
          <w:rStyle w:val="xeentry"/>
        </w:rPr>
        <w:instrText>animal patient</w:instrText>
      </w:r>
      <w:r>
        <w:instrText>"</w:instrText>
      </w:r>
      <w:r>
        <w:rPr>
          <w:rStyle w:val="indexentry"/>
        </w:rPr>
        <w:fldChar w:fldCharType="end"/>
      </w:r>
      <w:r>
        <w:t>Since the shared place is m2=d1, the animal patient, the remaining seltau</w:t>
      </w:r>
      <w:r>
        <w:rPr>
          <w:rStyle w:val="deletedparamark"/>
        </w:rPr>
        <w:t xml:space="preserve"> </w:t>
      </w:r>
      <w:r>
        <w:t>place d2 is i</w:t>
      </w:r>
      <w:r>
        <w:t>n</w:t>
      </w:r>
      <w:r>
        <w:softHyphen/>
        <w:t>serted immediately after the shared place; then the remaining</w:t>
      </w:r>
      <w:r>
        <w:rPr>
          <w:rStyle w:val="deletedparamark"/>
        </w:rPr>
        <w:t xml:space="preserve"> </w:t>
      </w:r>
      <w:r>
        <w:t>tertau places form the last two places of the lujvo.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384" w:name="_Toc398970627"/>
      <w:r>
        <w:rPr>
          <w:rStyle w:val="Heading3Text"/>
        </w:rPr>
        <w:t>lujvo with more than two parts</w:t>
      </w:r>
      <w:bookmarkEnd w:id="38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order, based on 3-or-more part veljvo"&gt;</w:t>
      </w:r>
      <w:r>
        <w:rPr>
          <w:rStyle w:val="indexentry"/>
        </w:rPr>
        <w:fldChar w:fldCharType="begin"/>
      </w:r>
      <w:r>
        <w:instrText>xe "</w:instrText>
      </w:r>
      <w:r>
        <w:rPr>
          <w:rStyle w:val="xeentry"/>
        </w:rPr>
        <w:instrText>lujvo place order: based on 3-or-more part veljvo</w:instrText>
      </w:r>
      <w:r>
        <w:instrText>"</w:instrText>
      </w:r>
      <w:r>
        <w:rPr>
          <w:rStyle w:val="indexentry"/>
        </w:rPr>
        <w:fldChar w:fldCharType="end"/>
      </w:r>
      <w:r>
        <w:rPr>
          <w:rStyle w:val="indexentry"/>
        </w:rPr>
        <w:t>&lt;ex "tomorrow"&gt;</w:t>
      </w:r>
      <w:r>
        <w:rPr>
          <w:rStyle w:val="indexentry"/>
        </w:rPr>
        <w:fldChar w:fldCharType="begin"/>
      </w:r>
      <w:r>
        <w:instrText>xe "</w:instrText>
      </w:r>
      <w:r>
        <w:rPr>
          <w:rStyle w:val="xeentry"/>
        </w:rPr>
        <w:instrText>tomorrow: example</w:instrText>
      </w:r>
      <w:r>
        <w:instrText>"</w:instrText>
      </w:r>
      <w:r>
        <w:rPr>
          <w:rStyle w:val="indexentry"/>
        </w:rPr>
        <w:fldChar w:fldCharType="end"/>
      </w:r>
      <w:r>
        <w:t>The theory we have outlined so far is an account of lujvo with two parts.</w:t>
      </w:r>
      <w:r>
        <w:rPr>
          <w:rStyle w:val="deletedparamark"/>
        </w:rPr>
        <w:t xml:space="preserve"> </w:t>
      </w:r>
      <w:r>
        <w:t>But often lujvo are made containing more than two parts. An example is</w:t>
      </w:r>
      <w:r>
        <w:rPr>
          <w:rStyle w:val="deletedparamark"/>
        </w:rPr>
        <w:t xml:space="preserve"> “</w:t>
      </w:r>
      <w:r>
        <w:t>bavlamdei”, “tomorrow”: it is composed of the rafsi for “future”, “adjacent”,</w:t>
      </w:r>
      <w:r>
        <w:rPr>
          <w:rStyle w:val="deletedparamark"/>
        </w:rPr>
        <w:t xml:space="preserve"> </w:t>
      </w:r>
      <w:r>
        <w:t>and “day”. How does the account we have given apply to lujvo like this?</w:t>
      </w:r>
    </w:p>
    <w:p w:rsidR="00B72047" w:rsidRDefault="00B72047">
      <w:pPr>
        <w:pStyle w:val="normalparagraph"/>
        <w:rPr>
          <w:rStyle w:val="htmlparacode"/>
        </w:rPr>
      </w:pPr>
      <w:r>
        <w:rPr>
          <w:rStyle w:val="htmlparacode"/>
        </w:rPr>
        <w:t>&lt;p&gt;</w:t>
      </w:r>
    </w:p>
    <w:p w:rsidR="00B72047" w:rsidRDefault="00B72047">
      <w:pPr>
        <w:pStyle w:val="normalparagraph"/>
      </w:pPr>
      <w:r>
        <w:t>The best way to approach such lujvo is to continue to classify them as based</w:t>
      </w:r>
      <w:r>
        <w:rPr>
          <w:rStyle w:val="deletedparamark"/>
        </w:rPr>
        <w:t xml:space="preserve"> </w:t>
      </w:r>
      <w:r>
        <w:t>on b</w:t>
      </w:r>
      <w:r>
        <w:t>i</w:t>
      </w:r>
      <w:r>
        <w:softHyphen/>
        <w:t>nary tanru, the only difference being that the seltau or the tertau</w:t>
      </w:r>
      <w:r>
        <w:rPr>
          <w:rStyle w:val="deletedparamark"/>
        </w:rPr>
        <w:t xml:space="preserve"> </w:t>
      </w:r>
      <w:r>
        <w:t>or both is itself a lujvo. So it is easiest to make sense of “bavlamdei”</w:t>
      </w:r>
      <w:r>
        <w:rPr>
          <w:rStyle w:val="deletedparamark"/>
        </w:rPr>
        <w:t xml:space="preserve"> </w:t>
      </w:r>
      <w:r>
        <w:t>as having two components: “bavla'i”, “next”, and “djedi”. If we know</w:t>
      </w:r>
      <w:r>
        <w:rPr>
          <w:rStyle w:val="deletedparamark"/>
        </w:rPr>
        <w:t xml:space="preserve"> </w:t>
      </w:r>
      <w:r>
        <w:t>or invent the lujvo place structure for the compo</w:t>
      </w:r>
      <w:r>
        <w:softHyphen/>
        <w:t>nents, we can</w:t>
      </w:r>
      <w:r>
        <w:rPr>
          <w:rStyle w:val="deletedparamark"/>
        </w:rPr>
        <w:t xml:space="preserve"> </w:t>
      </w:r>
      <w:r>
        <w:t>compose the new lujvo place structure in the usual way.</w:t>
      </w:r>
    </w:p>
    <w:p w:rsidR="00B72047" w:rsidRDefault="00B72047">
      <w:pPr>
        <w:pStyle w:val="normalparagraph"/>
        <w:rPr>
          <w:rStyle w:val="htmlparacode"/>
        </w:rPr>
      </w:pPr>
      <w:r>
        <w:rPr>
          <w:rStyle w:val="htmlparacode"/>
        </w:rPr>
        <w:t>&lt;p&gt;</w:t>
      </w:r>
    </w:p>
    <w:p w:rsidR="00B72047" w:rsidRDefault="00B72047">
      <w:pPr>
        <w:pStyle w:val="normalparagraph"/>
      </w:pPr>
      <w:r>
        <w:t>In this case, “bavla'i” is given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b1=l1 is next after b2=l2</w:t>
      </w:r>
    </w:p>
    <w:p w:rsidR="00B72047" w:rsidRDefault="00B72047">
      <w:pPr>
        <w:pStyle w:val="resumedafterexample"/>
      </w:pPr>
      <w:r>
        <w:rPr>
          <w:rStyle w:val="htmlcodes"/>
        </w:rPr>
        <w:t>&lt;/pre&gt;</w:t>
      </w:r>
      <w:r>
        <w:t>making it a symmetrical lujvo. We combine this with “djedi”, which has the</w:t>
      </w:r>
      <w:r>
        <w:rPr>
          <w:rStyle w:val="deletedparamark"/>
        </w:rPr>
        <w:t xml:space="preserve"> </w:t>
      </w:r>
      <w:r>
        <w:t>place stru</w:t>
      </w:r>
      <w:r>
        <w:t>c</w:t>
      </w:r>
      <w:r>
        <w:softHyphen/>
        <w:t>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duration d1 is d2 days long (default 1) by standard d3</w:t>
      </w:r>
    </w:p>
    <w:p w:rsidR="00B72047" w:rsidRDefault="00B72047">
      <w:pPr>
        <w:pStyle w:val="resumedafterexample"/>
      </w:pPr>
      <w:r>
        <w:rPr>
          <w:rStyle w:val="htmlcodes"/>
        </w:rPr>
        <w:t>&lt;/pre&gt;</w:t>
      </w:r>
      <w:r>
        <w:rPr>
          <w:rStyle w:val="indexentry"/>
        </w:rPr>
        <w:t>&lt;cx "anomalous ordering of lujvo places"&gt;</w:t>
      </w:r>
      <w:r>
        <w:rPr>
          <w:rStyle w:val="indexentry"/>
        </w:rPr>
        <w:fldChar w:fldCharType="begin"/>
      </w:r>
      <w:r>
        <w:instrText>xe "</w:instrText>
      </w:r>
      <w:r>
        <w:rPr>
          <w:rStyle w:val="xeentry"/>
        </w:rPr>
        <w:instrText>anomalous ordering of lujvo places</w:instrText>
      </w:r>
      <w:r>
        <w:instrText>"</w:instrText>
      </w:r>
      <w:r>
        <w:rPr>
          <w:rStyle w:val="indexentry"/>
        </w:rPr>
        <w:fldChar w:fldCharType="end"/>
      </w:r>
      <w:r>
        <w:t>While symmetrical lujvo normally put any trailing tertau places</w:t>
      </w:r>
      <w:r>
        <w:rPr>
          <w:rStyle w:val="deletedparamark"/>
        </w:rPr>
        <w:t xml:space="preserve"> </w:t>
      </w:r>
      <w:r>
        <w:t>before any seltau places, the day standard is a much less important concept</w:t>
      </w:r>
      <w:r>
        <w:rPr>
          <w:rStyle w:val="deletedparamark"/>
        </w:rPr>
        <w:t xml:space="preserve"> </w:t>
      </w:r>
      <w:r>
        <w:t>than the day the tomorrow follows, in the definition of “bavlamdei”.</w:t>
      </w:r>
      <w:r>
        <w:rPr>
          <w:rStyle w:val="deletedparamark"/>
        </w:rPr>
        <w:t xml:space="preserve"> </w:t>
      </w:r>
      <w:r>
        <w:t>This is an example of how the guidelines pre</w:t>
      </w:r>
      <w:r>
        <w:softHyphen/>
        <w:t>sented for selecting and</w:t>
      </w:r>
      <w:r>
        <w:rPr>
          <w:rStyle w:val="deletedparamark"/>
        </w:rPr>
        <w:t xml:space="preserve"> </w:t>
      </w:r>
      <w:r>
        <w:t>ordering lujvo places are just that, not laws that must be rigidly ad</w:t>
      </w:r>
      <w:r>
        <w:softHyphen/>
        <w:t>hered</w:t>
      </w:r>
      <w:r>
        <w:rPr>
          <w:rStyle w:val="deletedparamark"/>
        </w:rPr>
        <w:t xml:space="preserve"> </w:t>
      </w:r>
      <w:r>
        <w:t>to. In this case, we choose to rank places in order of relative importance.</w:t>
      </w:r>
      <w:r>
        <w:rPr>
          <w:rStyle w:val="deletedparamark"/>
        </w:rPr>
        <w:t xml:space="preserve"> </w:t>
      </w:r>
      <w:r>
        <w:t>The resulting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d1=b1=l1 is a day following b2=l2, d2 days later (default 1) by standard d3</w:t>
      </w:r>
    </w:p>
    <w:p w:rsidR="00B72047" w:rsidRDefault="00B72047">
      <w:pPr>
        <w:pStyle w:val="normalafterexample"/>
      </w:pPr>
      <w:r>
        <w:rPr>
          <w:rStyle w:val="htmlcodes"/>
        </w:rPr>
        <w:t>&lt;/pre&gt;</w:t>
      </w:r>
      <w:r>
        <w:rPr>
          <w:rStyle w:val="indexentry"/>
        </w:rPr>
        <w:t>&lt;cx "medieval weapon"&gt;</w:t>
      </w:r>
      <w:r>
        <w:rPr>
          <w:rStyle w:val="indexentry"/>
        </w:rPr>
        <w:fldChar w:fldCharType="begin"/>
      </w:r>
      <w:r>
        <w:instrText>xe "</w:instrText>
      </w:r>
      <w:r>
        <w:rPr>
          <w:rStyle w:val="xeentry"/>
        </w:rPr>
        <w:instrText>medieval weapon</w:instrText>
      </w:r>
      <w:r>
        <w:instrText>"</w:instrText>
      </w:r>
      <w:r>
        <w:rPr>
          <w:rStyle w:val="indexentry"/>
        </w:rPr>
        <w:fldChar w:fldCharType="end"/>
      </w:r>
      <w:r>
        <w:rPr>
          <w:rStyle w:val="indexentry"/>
        </w:rPr>
        <w:t>&lt;ex "long-sword"&gt;</w:t>
      </w:r>
      <w:r>
        <w:rPr>
          <w:rStyle w:val="indexentry"/>
        </w:rPr>
        <w:fldChar w:fldCharType="begin"/>
      </w:r>
      <w:r>
        <w:instrText>xe "</w:instrText>
      </w:r>
      <w:r>
        <w:rPr>
          <w:rStyle w:val="xeentry"/>
        </w:rPr>
        <w:instrText>long-sword: example</w:instrText>
      </w:r>
      <w:r>
        <w:instrText>"</w:instrText>
      </w:r>
      <w:r>
        <w:rPr>
          <w:rStyle w:val="indexentry"/>
        </w:rPr>
        <w:fldChar w:fldCharType="end"/>
      </w:r>
      <w:r>
        <w:t>Here is another example of a multi-part lujvo: “cladakyxa'i”, meaning</w:t>
      </w:r>
      <w:r>
        <w:rPr>
          <w:rStyle w:val="deletedparamark"/>
        </w:rPr>
        <w:t xml:space="preserve"> “</w:t>
      </w:r>
      <w:r>
        <w:t>long-sword”, a specific type of medieval weapon. The gismu place structures</w:t>
      </w:r>
      <w:r>
        <w:rPr>
          <w:rStyle w:val="deletedparamark"/>
        </w:rPr>
        <w:t xml:space="preserve"> </w:t>
      </w:r>
      <w:r>
        <w:t>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“clani”:  c1 is long in direction c2 by standard c3</w:t>
      </w:r>
    </w:p>
    <w:p w:rsidR="00B72047" w:rsidRDefault="00B72047">
      <w:pPr>
        <w:pStyle w:val="examplescaled"/>
      </w:pPr>
      <w:r>
        <w:tab/>
        <w:t>“dakfu”:  d1 is a knife for cutting d2 with blade made of d3</w:t>
      </w:r>
    </w:p>
    <w:p w:rsidR="00B72047" w:rsidRDefault="00B72047">
      <w:pPr>
        <w:pStyle w:val="examplescaled"/>
      </w:pPr>
      <w:r>
        <w:tab/>
        <w:t>“xarci”:  xa1 is a weapon for use against xa2 by wielder xa3</w:t>
      </w:r>
    </w:p>
    <w:p w:rsidR="00B72047" w:rsidRDefault="00B72047">
      <w:pPr>
        <w:pStyle w:val="resumedafterexample"/>
      </w:pPr>
      <w:r>
        <w:rPr>
          <w:rStyle w:val="htmlcodes"/>
        </w:rPr>
        <w:t>&lt;/pre&gt;</w:t>
      </w:r>
      <w:r>
        <w:rPr>
          <w:rStyle w:val="indexentry"/>
        </w:rPr>
        <w:t>&lt;cx "sword blade"&gt;</w:t>
      </w:r>
      <w:r>
        <w:rPr>
          <w:rStyle w:val="indexentry"/>
        </w:rPr>
        <w:fldChar w:fldCharType="begin"/>
      </w:r>
      <w:r>
        <w:instrText>xe "</w:instrText>
      </w:r>
      <w:r>
        <w:rPr>
          <w:rStyle w:val="xeentry"/>
        </w:rPr>
        <w:instrText>sword blade</w:instrText>
      </w:r>
      <w:r>
        <w:instrText>"</w:instrText>
      </w:r>
      <w:r>
        <w:rPr>
          <w:rStyle w:val="indexentry"/>
        </w:rPr>
        <w:fldChar w:fldCharType="end"/>
      </w:r>
      <w:r>
        <w:t>Since “cladakyxa'i” is a symmetrical lujvo based on “cladakfu xarci”, and</w:t>
      </w:r>
      <w:r>
        <w:rPr>
          <w:rStyle w:val="deletedparamark"/>
        </w:rPr>
        <w:t xml:space="preserve"> “</w:t>
      </w:r>
      <w:r>
        <w:t>cladakfu” is itself a symmetrical lujvo, we can do the necessary analyses</w:t>
      </w:r>
      <w:r>
        <w:rPr>
          <w:rStyle w:val="deletedparamark"/>
        </w:rPr>
        <w:t xml:space="preserve"> </w:t>
      </w:r>
      <w:r>
        <w:t>all at once. Plainly c1 (the long thing), d1 (the knife), and xa1 (the</w:t>
      </w:r>
      <w:r>
        <w:rPr>
          <w:rStyle w:val="deletedparamark"/>
        </w:rPr>
        <w:t xml:space="preserve"> </w:t>
      </w:r>
      <w:r>
        <w:t>weapon) are all the same. Likewise, the d2 place (the thing cut) is the</w:t>
      </w:r>
      <w:r>
        <w:rPr>
          <w:rStyle w:val="deletedparamark"/>
        </w:rPr>
        <w:t xml:space="preserve"> </w:t>
      </w:r>
      <w:r>
        <w:t>same as the xa2 place (the target of the weapon), given that swords are</w:t>
      </w:r>
      <w:r>
        <w:rPr>
          <w:rStyle w:val="deletedparamark"/>
        </w:rPr>
        <w:t xml:space="preserve"> </w:t>
      </w:r>
      <w:r>
        <w:t>used to cut victims. Finally, the c2 place (direction of length) is always</w:t>
      </w:r>
      <w:r>
        <w:rPr>
          <w:rStyle w:val="deletedparamark"/>
        </w:rPr>
        <w:t xml:space="preserve"> </w:t>
      </w:r>
      <w:r>
        <w:t>along the sword blade in a longsword, by definition, and so is dependent</w:t>
      </w:r>
      <w:r>
        <w:rPr>
          <w:rStyle w:val="deletedparamark"/>
        </w:rPr>
        <w:t xml:space="preserve"> </w:t>
      </w:r>
      <w:r>
        <w:t>on c1=d1=xa1. Adding on the places of the re</w:t>
      </w:r>
      <w:r>
        <w:softHyphen/>
        <w:t>maining gismu in right-to-left</w:t>
      </w:r>
      <w:r>
        <w:rPr>
          <w:rStyle w:val="deletedparamark"/>
        </w:rPr>
        <w:t xml:space="preserve"> </w:t>
      </w:r>
      <w:r>
        <w:t>order 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 xml:space="preserve">xa1=d1=c1 is a long-sword for use against xa2=d2 by wielder xa3, </w:t>
      </w:r>
    </w:p>
    <w:p w:rsidR="00B72047" w:rsidRDefault="00B72047">
      <w:pPr>
        <w:pStyle w:val="examplescaled"/>
        <w:ind w:firstLine="576"/>
      </w:pPr>
      <w:r>
        <w:t>with a blade made of d3, length measured by standard c3.</w:t>
      </w:r>
    </w:p>
    <w:p w:rsidR="00B72047" w:rsidRDefault="00B72047">
      <w:pPr>
        <w:pStyle w:val="resumedafterexample"/>
      </w:pPr>
      <w:r>
        <w:rPr>
          <w:rStyle w:val="htmlcodes"/>
        </w:rPr>
        <w:t>&lt;/pre&gt;&lt;p&gt;</w:t>
      </w:r>
      <w:r>
        <w:t>If the last place sounds unimportant to you, notice that what counts</w:t>
      </w:r>
      <w:r>
        <w:rPr>
          <w:rStyle w:val="deletedparamark"/>
        </w:rPr>
        <w:t xml:space="preserve"> </w:t>
      </w:r>
      <w:r>
        <w:t>legally as a “sword”, rather than just a “knife”, depends on the length</w:t>
      </w:r>
      <w:r>
        <w:rPr>
          <w:rStyle w:val="deletedparamark"/>
        </w:rPr>
        <w:t xml:space="preserve"> </w:t>
      </w:r>
      <w:r>
        <w:t>of the blade (the legal limit varies in di</w:t>
      </w:r>
      <w:r>
        <w:t>f</w:t>
      </w:r>
      <w:r>
        <w:softHyphen/>
        <w:t>ferent jurisdictions). This</w:t>
      </w:r>
      <w:r>
        <w:rPr>
          <w:rStyle w:val="deletedparamark"/>
        </w:rPr>
        <w:t xml:space="preserve"> </w:t>
      </w:r>
      <w:r>
        <w:t>fifth place of “cladakyxa'i” may not often be ex</w:t>
      </w:r>
      <w:r>
        <w:softHyphen/>
        <w:t>plicitly filled, but it is</w:t>
      </w:r>
      <w:r>
        <w:rPr>
          <w:rStyle w:val="deletedparamark"/>
        </w:rPr>
        <w:t xml:space="preserve"> </w:t>
      </w:r>
      <w:r>
        <w:t>still useful on occasion. Because it is so seldom important, it is best</w:t>
      </w:r>
      <w:r>
        <w:rPr>
          <w:rStyle w:val="deletedparamark"/>
        </w:rPr>
        <w:t xml:space="preserve"> </w:t>
      </w:r>
      <w:r>
        <w:t>that it be last.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385" w:name="_Toc398970628"/>
      <w:r>
        <w:rPr>
          <w:rStyle w:val="Heading3Text"/>
        </w:rPr>
        <w:t>Eliding SE rafsi from seltau</w:t>
      </w:r>
      <w:bookmarkEnd w:id="38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dropping SE rafsi"&gt;</w:t>
      </w:r>
      <w:r>
        <w:rPr>
          <w:rStyle w:val="indexentry"/>
        </w:rPr>
        <w:fldChar w:fldCharType="begin"/>
      </w:r>
      <w:r>
        <w:instrText>xe "</w:instrText>
      </w:r>
      <w:r>
        <w:rPr>
          <w:rStyle w:val="xeentry"/>
        </w:rPr>
        <w:instrText>lujvo: dropping SE rafsi</w:instrText>
      </w:r>
      <w:r>
        <w:instrText>"</w:instrText>
      </w:r>
      <w:r>
        <w:rPr>
          <w:rStyle w:val="indexentry"/>
        </w:rPr>
        <w:fldChar w:fldCharType="end"/>
      </w:r>
      <w:r>
        <w:t>It is common to form lujvo that omit the rafsi based on cmavo of selma'o SE,</w:t>
      </w:r>
      <w:r>
        <w:rPr>
          <w:rStyle w:val="deletedparamark"/>
        </w:rPr>
        <w:t xml:space="preserve"> </w:t>
      </w:r>
      <w:r>
        <w:t>as well as other cmavo rafsi. Doing so makes lujvo construction for common</w:t>
      </w:r>
      <w:r>
        <w:rPr>
          <w:rStyle w:val="deletedparamark"/>
        </w:rPr>
        <w:t xml:space="preserve"> </w:t>
      </w:r>
      <w:r>
        <w:t>or useful constru</w:t>
      </w:r>
      <w:r>
        <w:t>c</w:t>
      </w:r>
      <w:r>
        <w:softHyphen/>
        <w:t>tions shorter. Since it puts more strain on the listener</w:t>
      </w:r>
      <w:r>
        <w:rPr>
          <w:rStyle w:val="deletedparamark"/>
        </w:rPr>
        <w:t xml:space="preserve"> </w:t>
      </w:r>
      <w:r>
        <w:t>who has not heard the lujvo before, the shortness of the word should not</w:t>
      </w:r>
      <w:r>
        <w:rPr>
          <w:rStyle w:val="deletedparamark"/>
        </w:rPr>
        <w:t xml:space="preserve"> </w:t>
      </w:r>
      <w:r>
        <w:t>necessarily outweigh ease in under</w:t>
      </w:r>
      <w:r>
        <w:softHyphen/>
        <w:t>standing, esp</w:t>
      </w:r>
      <w:r>
        <w:t>e</w:t>
      </w:r>
      <w:r>
        <w:softHyphen/>
        <w:t>cially if the lujvo refers</w:t>
      </w:r>
      <w:r>
        <w:rPr>
          <w:rStyle w:val="deletedparamark"/>
        </w:rPr>
        <w:t xml:space="preserve"> </w:t>
      </w:r>
      <w:r>
        <w:t>to a rare or unusual concept.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"proposed law"&gt;</w:t>
      </w:r>
      <w:r>
        <w:rPr>
          <w:rStyle w:val="indexentry"/>
        </w:rPr>
        <w:fldChar w:fldCharType="begin"/>
      </w:r>
      <w:r>
        <w:instrText>xe "</w:instrText>
      </w:r>
      <w:r>
        <w:rPr>
          <w:rStyle w:val="xeentry"/>
        </w:rPr>
        <w:instrText>proposed law</w:instrText>
      </w:r>
      <w:r>
        <w:instrText>"</w:instrText>
      </w:r>
      <w:r>
        <w:rPr>
          <w:rStyle w:val="indexentry"/>
        </w:rPr>
        <w:fldChar w:fldCharType="end"/>
      </w:r>
      <w:r>
        <w:t>Consider as an example the lujvo “ti'ifla”, from the veljvo “stidi flalu”,</w:t>
      </w:r>
      <w:r>
        <w:rPr>
          <w:rStyle w:val="deletedparamark"/>
        </w:rPr>
        <w:t xml:space="preserve"> </w:t>
      </w:r>
      <w:r>
        <w:t>and meaning “bill, proposed law”. The gismu place structures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“stidi”:  agent st1 suggests idea/action st2 to audience st3</w:t>
      </w:r>
    </w:p>
    <w:p w:rsidR="00B72047" w:rsidRDefault="00B72047">
      <w:pPr>
        <w:pStyle w:val="examplescaled"/>
      </w:pPr>
      <w:r>
        <w:tab/>
        <w:t>“flalu”:  f1 is a law specifying f2 for community f3 under conditions f4</w:t>
      </w:r>
    </w:p>
    <w:p w:rsidR="00B72047" w:rsidRDefault="00B72047">
      <w:pPr>
        <w:pStyle w:val="examplescaled"/>
        <w:ind w:firstLine="576"/>
      </w:pPr>
      <w:r>
        <w:t>by lawgiver f5</w:t>
      </w:r>
    </w:p>
    <w:p w:rsidR="00B72047" w:rsidRDefault="00B72047">
      <w:pPr>
        <w:pStyle w:val="resumedafterexample"/>
      </w:pPr>
      <w:r>
        <w:rPr>
          <w:rStyle w:val="htmlcodes"/>
        </w:rPr>
        <w:t>&lt;/pre&gt;</w:t>
      </w:r>
      <w:r>
        <w:rPr>
          <w:rStyle w:val="indexentry"/>
        </w:rPr>
        <w:t>&lt;cx "lined up"&gt;</w:t>
      </w:r>
      <w:r>
        <w:rPr>
          <w:rStyle w:val="indexentry"/>
        </w:rPr>
        <w:fldChar w:fldCharType="begin"/>
      </w:r>
      <w:r>
        <w:instrText>xe "</w:instrText>
      </w:r>
      <w:r>
        <w:rPr>
          <w:rStyle w:val="xeentry"/>
        </w:rPr>
        <w:instrText>lined up</w:instrText>
      </w:r>
      <w:r>
        <w:instrText>"</w:instrText>
      </w:r>
      <w:r>
        <w:rPr>
          <w:rStyle w:val="indexentry"/>
        </w:rPr>
        <w:fldChar w:fldCharType="end"/>
      </w:r>
      <w:r>
        <w:t>This lujvo does not fit any of our existing molds: it is the second</w:t>
      </w:r>
      <w:r>
        <w:rPr>
          <w:rStyle w:val="deletedparamark"/>
        </w:rPr>
        <w:t xml:space="preserve"> </w:t>
      </w:r>
      <w:r>
        <w:t>sel</w:t>
      </w:r>
      <w:r>
        <w:softHyphen/>
        <w:t>tau place, st2, that is equivalent to one of the tertau places,</w:t>
      </w:r>
      <w:r>
        <w:rPr>
          <w:rStyle w:val="deletedparamark"/>
        </w:rPr>
        <w:t xml:space="preserve"> </w:t>
      </w:r>
      <w:r>
        <w:t>namely f1. However, if we understand “ti'ifla” as an abbreviation for</w:t>
      </w:r>
      <w:r>
        <w:rPr>
          <w:rStyle w:val="deletedparamark"/>
        </w:rPr>
        <w:t xml:space="preserve"> </w:t>
      </w:r>
      <w:r>
        <w:t>the lujvo “selti'ifla”, then we get the first places of seltau and</w:t>
      </w:r>
      <w:r>
        <w:rPr>
          <w:rStyle w:val="deletedparamark"/>
        </w:rPr>
        <w:t xml:space="preserve"> </w:t>
      </w:r>
      <w:r>
        <w:t>tertau lined up. The place structure of “selti'i” is:</w:t>
      </w:r>
      <w:r>
        <w:rPr>
          <w:rStyle w:val="deletedparamark"/>
        </w:rPr>
        <w:t xml:space="preserve"> </w:t>
      </w:r>
      <w:r>
        <w:rPr>
          <w:rStyle w:val="htmlcodes"/>
        </w:rPr>
        <w:t>&lt;dl compact&gt;&lt;dt&gt;</w:t>
      </w:r>
      <w:r>
        <w:tab/>
      </w:r>
      <w:r>
        <w:tab/>
      </w:r>
      <w:r>
        <w:rPr>
          <w:rStyle w:val="htmlcodes"/>
        </w:rPr>
        <w:t>&lt;dd&gt;</w:t>
      </w:r>
    </w:p>
    <w:p w:rsidR="00B72047" w:rsidRDefault="00B72047">
      <w:pPr>
        <w:pStyle w:val="examplescaledpre"/>
      </w:pPr>
      <w:r>
        <w:rPr>
          <w:rStyle w:val="htmlcodes"/>
        </w:rPr>
        <w:t>&lt;a name=e9d2&gt;</w:t>
      </w:r>
      <w:r>
        <w:t>9.2)</w:t>
      </w:r>
      <w:r>
        <w:tab/>
        <w:t>“selti'i”:  idea/action se1 is suggested by agent se2 to audience se3</w:t>
      </w:r>
    </w:p>
    <w:p w:rsidR="00B72047" w:rsidRDefault="00B72047">
      <w:pPr>
        <w:pStyle w:val="resumedafterexample"/>
      </w:pPr>
      <w:r>
        <w:rPr>
          <w:rStyle w:val="htmlcodes"/>
        </w:rPr>
        <w:t>&lt;/dl&gt;&lt;p&gt;</w:t>
      </w:r>
      <w:r>
        <w:t>Here we can see that se1 (what is suggested) is equivalent to f1 (the law),</w:t>
      </w:r>
      <w:r>
        <w:rPr>
          <w:rStyle w:val="deletedparamark"/>
        </w:rPr>
        <w:t xml:space="preserve"> </w:t>
      </w:r>
      <w:r>
        <w:t>and we get a normal symmetrical lujvo. The final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f1=se1 is a bill specifying f2 for community f3 under conditions f4</w:t>
      </w:r>
    </w:p>
    <w:p w:rsidR="00B72047" w:rsidRDefault="00B72047">
      <w:pPr>
        <w:pStyle w:val="examplescaled"/>
        <w:ind w:firstLine="576"/>
      </w:pPr>
      <w:r>
        <w:t>by suggester se2 to audience/lawgivers f5=se3</w:t>
      </w:r>
    </w:p>
    <w:p w:rsidR="00B72047" w:rsidRDefault="00B72047">
      <w:pPr>
        <w:pStyle w:val="resumedafterexample"/>
      </w:pPr>
      <w:r>
        <w:rPr>
          <w:rStyle w:val="htmlcodes"/>
        </w:rPr>
        <w:t>&lt;/pre&gt;</w:t>
      </w:r>
      <w:r>
        <w:t>or, relabeling the places,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f1=st2 is a bill specifying f2 for community f3 under conditions f4</w:t>
      </w:r>
    </w:p>
    <w:p w:rsidR="00B72047" w:rsidRDefault="00B72047">
      <w:pPr>
        <w:pStyle w:val="examplescaled"/>
        <w:ind w:left="1440" w:firstLine="0"/>
      </w:pPr>
      <w:r>
        <w:t>by suggester st1 to audience/lawgivers f5=st3</w:t>
      </w:r>
    </w:p>
    <w:p w:rsidR="00B72047" w:rsidRDefault="00B72047">
      <w:pPr>
        <w:pStyle w:val="resumedafterexample"/>
      </w:pPr>
      <w:r>
        <w:rPr>
          <w:rStyle w:val="htmlcodes"/>
        </w:rPr>
        <w:t>&lt;/pre&gt;</w:t>
      </w:r>
      <w:r>
        <w:t>where the last place (st3) is probably some sort of legislature.</w:t>
      </w:r>
    </w:p>
    <w:p w:rsidR="00B72047" w:rsidRDefault="00B72047">
      <w:pPr>
        <w:rPr>
          <w:rStyle w:val="htmlparacode"/>
        </w:rPr>
      </w:pPr>
      <w:r>
        <w:rPr>
          <w:rStyle w:val="htmlparacode"/>
        </w:rPr>
        <w:t>&lt;p&gt;</w:t>
      </w:r>
    </w:p>
    <w:p w:rsidR="00B72047" w:rsidRDefault="00B72047">
      <w:pPr>
        <w:pStyle w:val="normalparagraph"/>
      </w:pPr>
      <w:r>
        <w:rPr>
          <w:rStyle w:val="indexentry"/>
        </w:rPr>
        <w:t>&lt;cx "lujvo, abbreviated"&gt;</w:t>
      </w:r>
      <w:r>
        <w:rPr>
          <w:rStyle w:val="indexentry"/>
        </w:rPr>
        <w:fldChar w:fldCharType="begin"/>
      </w:r>
      <w:r>
        <w:instrText>xe "</w:instrText>
      </w:r>
      <w:r>
        <w:rPr>
          <w:rStyle w:val="xeentry"/>
        </w:rPr>
        <w:instrText>lujvo: abbreviated</w:instrText>
      </w:r>
      <w:r>
        <w:instrText>"</w:instrText>
      </w:r>
      <w:r>
        <w:rPr>
          <w:rStyle w:val="indexentry"/>
        </w:rPr>
        <w:fldChar w:fldCharType="end"/>
      </w:r>
      <w:r>
        <w:t>Abbreviated lujvo like “ti'ifla” are more intuitive (for the lujvo-maker)</w:t>
      </w:r>
      <w:r>
        <w:rPr>
          <w:rStyle w:val="deletedparamark"/>
        </w:rPr>
        <w:t xml:space="preserve"> </w:t>
      </w:r>
      <w:r>
        <w:t>than their more explicit counterparts like “selti'ifla” (as well as</w:t>
      </w:r>
      <w:r>
        <w:rPr>
          <w:rStyle w:val="deletedparamark"/>
        </w:rPr>
        <w:t xml:space="preserve"> </w:t>
      </w:r>
      <w:r>
        <w:t>shorter). They don't require the coiner to sit down and work out the precise</w:t>
      </w:r>
      <w:r>
        <w:rPr>
          <w:rStyle w:val="deletedparamark"/>
        </w:rPr>
        <w:t xml:space="preserve"> </w:t>
      </w:r>
      <w:r>
        <w:t>relation between the seltau and the ter</w:t>
      </w:r>
      <w:r>
        <w:softHyphen/>
        <w:t>tau: he or she can just rattle off a</w:t>
      </w:r>
      <w:r>
        <w:rPr>
          <w:rStyle w:val="deletedparamark"/>
        </w:rPr>
        <w:t xml:space="preserve"> </w:t>
      </w:r>
      <w:r>
        <w:t>rafsi pair. But should the lujvo get to the stage where a place structure</w:t>
      </w:r>
      <w:r>
        <w:rPr>
          <w:rStyle w:val="deletedparamark"/>
        </w:rPr>
        <w:t xml:space="preserve"> </w:t>
      </w:r>
      <w:r>
        <w:t>needs to be worked out, then the precise relation does need to be speci</w:t>
      </w:r>
      <w:r>
        <w:softHyphen/>
        <w:t>fied.</w:t>
      </w:r>
      <w:r>
        <w:rPr>
          <w:rStyle w:val="deletedparamark"/>
        </w:rPr>
        <w:t xml:space="preserve"> </w:t>
      </w:r>
      <w:r>
        <w:t>And in that case, such abbreviated lujvo form a trap in lujvo place ordering,</w:t>
      </w:r>
      <w:r>
        <w:rPr>
          <w:rStyle w:val="deletedparamark"/>
        </w:rPr>
        <w:t xml:space="preserve"> </w:t>
      </w:r>
      <w:r>
        <w:t>since they obscure the most straightforward relation between the seltau and</w:t>
      </w:r>
      <w:r>
        <w:rPr>
          <w:rStyle w:val="deletedparamark"/>
        </w:rPr>
        <w:t xml:space="preserve"> </w:t>
      </w:r>
      <w:r>
        <w:t>tertau. To give our lujvo-making guidelines as wide an application as</w:t>
      </w:r>
      <w:r>
        <w:rPr>
          <w:rStyle w:val="deletedparamark"/>
        </w:rPr>
        <w:t xml:space="preserve"> </w:t>
      </w:r>
      <w:r>
        <w:t>possible, and to encourage ana</w:t>
      </w:r>
      <w:r>
        <w:softHyphen/>
        <w:t>lyzing the seltau-tertau relation in lujvo,</w:t>
      </w:r>
      <w:r>
        <w:rPr>
          <w:rStyle w:val="deletedparamark"/>
        </w:rPr>
        <w:t xml:space="preserve"> </w:t>
      </w:r>
      <w:r>
        <w:t>lujvo like “ti'ifla” are given the place structure they would have with the</w:t>
      </w:r>
      <w:r>
        <w:rPr>
          <w:rStyle w:val="deletedparamark"/>
        </w:rPr>
        <w:t xml:space="preserve"> </w:t>
      </w:r>
      <w:r>
        <w:t>appro</w:t>
      </w:r>
      <w:r>
        <w:softHyphen/>
        <w:t>priate SE added to the seltau.</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"implausible"&gt;</w:t>
      </w:r>
      <w:r>
        <w:rPr>
          <w:rStyle w:val="indexentry"/>
        </w:rPr>
        <w:fldChar w:fldCharType="begin"/>
      </w:r>
      <w:r>
        <w:instrText>xe "</w:instrText>
      </w:r>
      <w:r>
        <w:rPr>
          <w:rStyle w:val="xeentry"/>
        </w:rPr>
        <w:instrText>implausible</w:instrText>
      </w:r>
      <w:r>
        <w:instrText>"</w:instrText>
      </w:r>
      <w:r>
        <w:rPr>
          <w:rStyle w:val="indexentry"/>
        </w:rPr>
        <w:fldChar w:fldCharType="end"/>
      </w:r>
      <w:r>
        <w:rPr>
          <w:rStyle w:val="indexentry"/>
        </w:rPr>
        <w:t>&lt;cx "abbreviated lujvo and plausibility"&gt;</w:t>
      </w:r>
      <w:r>
        <w:rPr>
          <w:rStyle w:val="indexentry"/>
        </w:rPr>
        <w:fldChar w:fldCharType="begin"/>
      </w:r>
      <w:r>
        <w:instrText>xe "</w:instrText>
      </w:r>
      <w:r>
        <w:rPr>
          <w:rStyle w:val="xeentry"/>
        </w:rPr>
        <w:instrText>abbreviated lujvo and plausibility</w:instrText>
      </w:r>
      <w:r>
        <w:instrText>"</w:instrText>
      </w:r>
      <w:r>
        <w:rPr>
          <w:rStyle w:val="indexentry"/>
        </w:rPr>
        <w:fldChar w:fldCharType="end"/>
      </w:r>
      <w:r>
        <w:rPr>
          <w:rStyle w:val="indexentry"/>
        </w:rPr>
        <w:t>&lt;cx "plausibility, in abbreviated lujvo"&gt;</w:t>
      </w:r>
      <w:r>
        <w:rPr>
          <w:rStyle w:val="indexentry"/>
        </w:rPr>
        <w:fldChar w:fldCharType="begin"/>
      </w:r>
      <w:r>
        <w:instrText>xe "</w:instrText>
      </w:r>
      <w:r>
        <w:rPr>
          <w:rStyle w:val="xeentry"/>
        </w:rPr>
        <w:instrText>plausibility: in abbreviated lujvo</w:instrText>
      </w:r>
      <w:r>
        <w:instrText>"</w:instrText>
      </w:r>
      <w:r>
        <w:rPr>
          <w:rStyle w:val="indexentry"/>
        </w:rPr>
        <w:fldChar w:fldCharType="end"/>
      </w:r>
      <w:r>
        <w:t>Note that, with these lujvo, an interpretation requiring SE in</w:t>
      </w:r>
      <w:r>
        <w:softHyphen/>
        <w:t>sertion</w:t>
      </w:r>
      <w:r>
        <w:rPr>
          <w:rStyle w:val="deletedparamark"/>
        </w:rPr>
        <w:t xml:space="preserve"> </w:t>
      </w:r>
      <w:r>
        <w:t>is safe only if the alternatives are either implausible or unlikely to</w:t>
      </w:r>
      <w:r>
        <w:rPr>
          <w:rStyle w:val="deletedparamark"/>
        </w:rPr>
        <w:t xml:space="preserve"> </w:t>
      </w:r>
      <w:r>
        <w:t>be needed as a lujvo. This may not a</w:t>
      </w:r>
      <w:r>
        <w:t>l</w:t>
      </w:r>
      <w:r>
        <w:softHyphen/>
        <w:t>ways be the case, and Loj</w:t>
      </w:r>
      <w:r>
        <w:softHyphen/>
        <w:t>banists</w:t>
      </w:r>
      <w:r>
        <w:rPr>
          <w:rStyle w:val="deletedparamark"/>
        </w:rPr>
        <w:t xml:space="preserve"> </w:t>
      </w:r>
      <w:r>
        <w:t>should be aware of the risk of ambiguity.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386" w:name="_Toc398970629"/>
      <w:r>
        <w:rPr>
          <w:rStyle w:val="Heading3Text"/>
        </w:rPr>
        <w:t>Eliding SE rafsi from tertau</w:t>
      </w:r>
      <w:bookmarkEnd w:id="38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structure, effect of “SE”-dropping in tertau"&gt;</w:t>
      </w:r>
      <w:r>
        <w:rPr>
          <w:rStyle w:val="indexentry"/>
        </w:rPr>
        <w:fldChar w:fldCharType="begin"/>
      </w:r>
      <w:r>
        <w:instrText>xe "</w:instrText>
      </w:r>
      <w:r>
        <w:rPr>
          <w:rStyle w:val="xeentry"/>
        </w:rPr>
        <w:instrText>lujvo place structure: effect of SE-dropping in tertau</w:instrText>
      </w:r>
      <w:r>
        <w:instrText>"</w:instrText>
      </w:r>
      <w:r>
        <w:rPr>
          <w:rStyle w:val="indexentry"/>
        </w:rPr>
        <w:fldChar w:fldCharType="end"/>
      </w:r>
      <w:r>
        <w:t>Eliding SE rafsi from tertau gets us into much more trouble. To understand</w:t>
      </w:r>
      <w:r>
        <w:rPr>
          <w:rStyle w:val="deletedparamark"/>
        </w:rPr>
        <w:t xml:space="preserve"> </w:t>
      </w:r>
      <w:r>
        <w:t>why, r</w:t>
      </w:r>
      <w:r>
        <w:t>e</w:t>
      </w:r>
      <w:r>
        <w:softHyphen/>
        <w:t>call that lujvo, following their veljvo, describe some type of whatever</w:t>
      </w:r>
      <w:r>
        <w:rPr>
          <w:rStyle w:val="deletedparamark"/>
        </w:rPr>
        <w:t xml:space="preserve"> </w:t>
      </w:r>
      <w:r>
        <w:t>their ter</w:t>
      </w:r>
      <w:r>
        <w:softHyphen/>
        <w:t>tau d</w:t>
      </w:r>
      <w:r>
        <w:t>e</w:t>
      </w:r>
      <w:r>
        <w:softHyphen/>
        <w:t>scribe. Thus, “posydji” describes a type of “djica”, “gerzda”</w:t>
      </w:r>
      <w:r>
        <w:rPr>
          <w:rStyle w:val="deletedparamark"/>
        </w:rPr>
        <w:t xml:space="preserve"> </w:t>
      </w:r>
      <w:r>
        <w:t>describes a type of “zdani”, and so on. What is certain is that “gerzda” does</w:t>
      </w:r>
      <w:r>
        <w:rPr>
          <w:rStyle w:val="deletedparamark"/>
        </w:rPr>
        <w:t xml:space="preserve"> </w:t>
      </w:r>
      <w:r>
        <w:t>not describe a “se zdani” — it is not a word that could be used to</w:t>
      </w:r>
      <w:r>
        <w:rPr>
          <w:rStyle w:val="deletedparamark"/>
        </w:rPr>
        <w:t xml:space="preserve"> </w:t>
      </w:r>
      <w:r>
        <w:t>describe an inhabitant such as a dog.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"blue-eyed"&gt;</w:t>
      </w:r>
      <w:r>
        <w:rPr>
          <w:rStyle w:val="indexentry"/>
        </w:rPr>
        <w:fldChar w:fldCharType="begin"/>
      </w:r>
      <w:r>
        <w:instrText>xe "</w:instrText>
      </w:r>
      <w:r>
        <w:rPr>
          <w:rStyle w:val="xeentry"/>
        </w:rPr>
        <w:instrText>blue-eyed: example</w:instrText>
      </w:r>
      <w:r>
        <w:instrText>"</w:instrText>
      </w:r>
      <w:r>
        <w:rPr>
          <w:rStyle w:val="indexentry"/>
        </w:rPr>
        <w:fldChar w:fldCharType="end"/>
      </w:r>
      <w:r>
        <w:t>Now consider how we would translate the word “blue-eyed”. Let's tentatively</w:t>
      </w:r>
      <w:r>
        <w:rPr>
          <w:rStyle w:val="deletedparamark"/>
        </w:rPr>
        <w:t xml:space="preserve"> </w:t>
      </w:r>
      <w:r>
        <w:t>tran</w:t>
      </w:r>
      <w:r>
        <w:t>s</w:t>
      </w:r>
      <w:r>
        <w:softHyphen/>
        <w:t>late this word as “blakanla” (from “blanu kanla”, meaning “blue eye”).</w:t>
      </w:r>
      <w:r>
        <w:rPr>
          <w:rStyle w:val="deletedparamark"/>
        </w:rPr>
        <w:t xml:space="preserve"> </w:t>
      </w:r>
      <w:r>
        <w:t>But imme</w:t>
      </w:r>
      <w:r>
        <w:softHyphen/>
        <w:t>diately we are in trouble: we cannot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la djak. cu blakanla</w:t>
      </w:r>
    </w:p>
    <w:p w:rsidR="00B72047" w:rsidRDefault="00B72047">
      <w:pPr>
        <w:pStyle w:val="examplescaled"/>
      </w:pPr>
      <w:r>
        <w:tab/>
        <w:t>Jack is-a-blue-eye</w:t>
      </w:r>
    </w:p>
    <w:p w:rsidR="00B72047" w:rsidRDefault="00B72047">
      <w:pPr>
        <w:pStyle w:val="resumedafterexample"/>
      </w:pPr>
      <w:r>
        <w:rPr>
          <w:rStyle w:val="htmlcodes"/>
        </w:rPr>
        <w:t>&lt;/pre&gt;</w:t>
      </w:r>
      <w:r>
        <w:t>because Jack is not an eye, “kanla”, but someone with an eye, “se kanla”.</w:t>
      </w:r>
      <w:r>
        <w:rPr>
          <w:rStyle w:val="deletedparamark"/>
        </w:rPr>
        <w:t xml:space="preserve"> </w:t>
      </w:r>
      <w:r>
        <w:t>At best we can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la djak. cu se blakanla</w:t>
      </w:r>
    </w:p>
    <w:p w:rsidR="00B72047" w:rsidRDefault="00B72047">
      <w:pPr>
        <w:pStyle w:val="examplescaled"/>
      </w:pPr>
      <w:r>
        <w:tab/>
        <w:t>Jack is-the-bearer-of-blue-eyes</w:t>
      </w:r>
    </w:p>
    <w:p w:rsidR="00B72047" w:rsidRDefault="00B72047">
      <w:pPr>
        <w:pStyle w:val="resumedafterexample"/>
      </w:pPr>
      <w:r>
        <w:rPr>
          <w:rStyle w:val="htmlcodes"/>
        </w:rPr>
        <w:t>&lt;/pre&gt;&lt;p&gt;</w:t>
      </w:r>
      <w:r>
        <w:t>But look now at the place structure of “blakanla”: it is a symmetrical lujvo,</w:t>
      </w:r>
      <w:r>
        <w:rPr>
          <w:rStyle w:val="deletedparamark"/>
        </w:rPr>
        <w:t xml:space="preserve"> </w:t>
      </w:r>
      <w:r>
        <w:t>so the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bl1=k1 is a blue eye of bl2=k2</w:t>
      </w:r>
    </w:p>
    <w:p w:rsidR="00B72047" w:rsidRDefault="00B72047">
      <w:pPr>
        <w:pStyle w:val="resumedafterexample"/>
      </w:pPr>
      <w:r>
        <w:rPr>
          <w:rStyle w:val="htmlcodes"/>
        </w:rPr>
        <w:t>&lt;/pre&gt;&lt;p&gt;</w:t>
      </w:r>
      <w:r>
        <w:t>We end up being most interested in talking about the second place, not the</w:t>
      </w:r>
      <w:r>
        <w:rPr>
          <w:rStyle w:val="deletedparamark"/>
        </w:rPr>
        <w:t xml:space="preserve"> </w:t>
      </w:r>
      <w:r>
        <w:t>first (we talk much more of people than of their eyes), so “se” would</w:t>
      </w:r>
      <w:r>
        <w:rPr>
          <w:rStyle w:val="deletedparamark"/>
        </w:rPr>
        <w:t xml:space="preserve"> </w:t>
      </w:r>
      <w:r>
        <w:t>almost always be required.</w:t>
      </w:r>
    </w:p>
    <w:p w:rsidR="00B72047" w:rsidRDefault="00B72047">
      <w:pPr>
        <w:rPr>
          <w:rStyle w:val="htmlparacode"/>
        </w:rPr>
      </w:pPr>
      <w:r>
        <w:rPr>
          <w:rStyle w:val="htmlparacode"/>
        </w:rPr>
        <w:t>&lt;p&gt;</w:t>
      </w:r>
    </w:p>
    <w:p w:rsidR="00B72047" w:rsidRDefault="00B72047">
      <w:pPr>
        <w:pStyle w:val="normalparagraph"/>
      </w:pPr>
      <w:r>
        <w:t>What is happening here is that we are translating the tertau wrongly,</w:t>
      </w:r>
      <w:r>
        <w:rPr>
          <w:rStyle w:val="deletedparamark"/>
        </w:rPr>
        <w:t xml:space="preserve"> </w:t>
      </w:r>
      <w:r>
        <w:t>under the infl</w:t>
      </w:r>
      <w:r>
        <w:t>u</w:t>
      </w:r>
      <w:r>
        <w:softHyphen/>
        <w:t>ence of English. The English suffix “-eyed” does not mean</w:t>
      </w:r>
      <w:r>
        <w:rPr>
          <w:rStyle w:val="deletedparamark"/>
        </w:rPr>
        <w:t xml:space="preserve"> “</w:t>
      </w:r>
      <w:r>
        <w:t>eye”, but someone with an eye, which is “selkanla”.</w:t>
      </w:r>
    </w:p>
    <w:p w:rsidR="00B72047" w:rsidRDefault="00B72047">
      <w:pPr>
        <w:pStyle w:val="normalparagraph"/>
        <w:rPr>
          <w:rStyle w:val="htmlparacode"/>
        </w:rPr>
      </w:pPr>
      <w:r>
        <w:rPr>
          <w:rStyle w:val="htmlparacode"/>
        </w:rPr>
        <w:t>&lt;p&gt;</w:t>
      </w:r>
    </w:p>
    <w:p w:rsidR="00B72047" w:rsidRDefault="00B72047">
      <w:pPr>
        <w:pStyle w:val="normalparagraph"/>
      </w:pPr>
      <w:r>
        <w:t>Because we've got the wrong tertau (eliding a “se” that really should be</w:t>
      </w:r>
      <w:r>
        <w:rPr>
          <w:rStyle w:val="deletedparamark"/>
        </w:rPr>
        <w:t xml:space="preserve"> </w:t>
      </w:r>
      <w:r>
        <w:t>there), any attempt to accommodate the resulting lujvo into our guidelines</w:t>
      </w:r>
      <w:r>
        <w:rPr>
          <w:rStyle w:val="deletedparamark"/>
        </w:rPr>
        <w:t xml:space="preserve"> </w:t>
      </w:r>
      <w:r>
        <w:t>for place structure is fi</w:t>
      </w:r>
      <w:r>
        <w:t>t</w:t>
      </w:r>
      <w:r>
        <w:softHyphen/>
        <w:t>ting a square peg in a round hole. Since they can</w:t>
      </w:r>
      <w:r>
        <w:rPr>
          <w:rStyle w:val="deletedparamark"/>
        </w:rPr>
        <w:t xml:space="preserve"> </w:t>
      </w:r>
      <w:r>
        <w:t>be so misleading, lujvo with SE rafsi elided from the tertau should be</w:t>
      </w:r>
      <w:r>
        <w:rPr>
          <w:rStyle w:val="deletedparamark"/>
        </w:rPr>
        <w:t xml:space="preserve"> </w:t>
      </w:r>
      <w:r>
        <w:t>avoided in favor of their more explicit counter</w:t>
      </w:r>
      <w:r>
        <w:softHyphen/>
        <w:t>parts: in this case,</w:t>
      </w:r>
      <w:r>
        <w:rPr>
          <w:rStyle w:val="deletedparamark"/>
        </w:rPr>
        <w:t xml:space="preserve"> “</w:t>
      </w:r>
      <w:r>
        <w:t>blaselkanla”.</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387" w:name="_Toc398970630"/>
      <w:r>
        <w:rPr>
          <w:rStyle w:val="Heading3Text"/>
        </w:rPr>
        <w:t>Eliding KE and KEhE rafsi from lujvo</w:t>
      </w:r>
      <w:bookmarkEnd w:id="38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structure, dropping “KE”"&gt;</w:t>
      </w:r>
      <w:r>
        <w:rPr>
          <w:rStyle w:val="indexentry"/>
        </w:rPr>
        <w:fldChar w:fldCharType="begin"/>
      </w:r>
      <w:r>
        <w:instrText>xe "</w:instrText>
      </w:r>
      <w:r>
        <w:rPr>
          <w:rStyle w:val="xeentry"/>
        </w:rPr>
        <w:instrText>lujvo place structure: dropping KE</w:instrText>
      </w:r>
      <w:r>
        <w:instrText>"</w:instrText>
      </w:r>
      <w:r>
        <w:rPr>
          <w:rStyle w:val="indexentry"/>
        </w:rPr>
        <w:fldChar w:fldCharType="end"/>
      </w:r>
      <w:r>
        <w:rPr>
          <w:rStyle w:val="indexentry"/>
        </w:rPr>
        <w:t>&lt;cx "lujvo place structure, dropping “KEhE”"&gt;</w:t>
      </w:r>
      <w:r>
        <w:rPr>
          <w:rStyle w:val="indexentry"/>
        </w:rPr>
        <w:fldChar w:fldCharType="begin"/>
      </w:r>
      <w:r>
        <w:instrText>xe "</w:instrText>
      </w:r>
      <w:r>
        <w:rPr>
          <w:rStyle w:val="xeentry"/>
        </w:rPr>
        <w:instrText>lujvo place structure: dropping KEhE</w:instrText>
      </w:r>
      <w:r>
        <w:instrText>"</w:instrText>
      </w:r>
      <w:r>
        <w:rPr>
          <w:rStyle w:val="indexentry"/>
        </w:rPr>
        <w:fldChar w:fldCharType="end"/>
      </w:r>
      <w:r>
        <w:t>People constructing lujvo usually want them to be as short as possible. To</w:t>
      </w:r>
      <w:r>
        <w:rPr>
          <w:rStyle w:val="deletedparamark"/>
        </w:rPr>
        <w:t xml:space="preserve"> </w:t>
      </w:r>
      <w:r>
        <w:t>that end, they will discard any cmavo they regard as ni</w:t>
      </w:r>
      <w:r>
        <w:softHyphen/>
        <w:t>ceties. The first</w:t>
      </w:r>
      <w:r>
        <w:rPr>
          <w:rStyle w:val="deletedparamark"/>
        </w:rPr>
        <w:t xml:space="preserve"> </w:t>
      </w:r>
      <w:r>
        <w:t>such cmavo to get thrown out are usually “ke” and “ke'e”, the cmavo used</w:t>
      </w:r>
      <w:r>
        <w:rPr>
          <w:rStyle w:val="deletedparamark"/>
        </w:rPr>
        <w:t xml:space="preserve"> </w:t>
      </w:r>
      <w:r>
        <w:t>to structure and group tanru. We can us</w:t>
      </w:r>
      <w:r>
        <w:t>u</w:t>
      </w:r>
      <w:r>
        <w:softHyphen/>
        <w:t>ally get away with this, because</w:t>
      </w:r>
      <w:r>
        <w:rPr>
          <w:rStyle w:val="deletedparamark"/>
        </w:rPr>
        <w:t xml:space="preserve"> </w:t>
      </w:r>
      <w:r>
        <w:t>the interpretation of the tertau with “ke” and “ke'e” missing is less</w:t>
      </w:r>
      <w:r>
        <w:rPr>
          <w:rStyle w:val="deletedparamark"/>
        </w:rPr>
        <w:t xml:space="preserve"> </w:t>
      </w:r>
      <w:r>
        <w:t>plausible than that with the cmavo inserted, or because the distinction</w:t>
      </w:r>
      <w:r>
        <w:rPr>
          <w:rStyle w:val="deletedparamark"/>
        </w:rPr>
        <w:t xml:space="preserve"> </w:t>
      </w:r>
      <w:r>
        <w:t>isn't really important.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"beefsteak"&gt;</w:t>
      </w:r>
      <w:r>
        <w:rPr>
          <w:rStyle w:val="indexentry"/>
        </w:rPr>
        <w:fldChar w:fldCharType="begin"/>
      </w:r>
      <w:r>
        <w:instrText>xe "</w:instrText>
      </w:r>
      <w:r>
        <w:rPr>
          <w:rStyle w:val="xeentry"/>
        </w:rPr>
        <w:instrText>beefsteak</w:instrText>
      </w:r>
      <w:r>
        <w:instrText>"</w:instrText>
      </w:r>
      <w:r>
        <w:rPr>
          <w:rStyle w:val="indexentry"/>
        </w:rPr>
        <w:fldChar w:fldCharType="end"/>
      </w:r>
      <w:r>
        <w:rPr>
          <w:rStyle w:val="indexentry"/>
        </w:rPr>
        <w:t>&lt;ex "beefsteak"&gt;</w:t>
      </w:r>
      <w:r>
        <w:rPr>
          <w:rStyle w:val="indexentry"/>
        </w:rPr>
        <w:fldChar w:fldCharType="begin"/>
      </w:r>
      <w:r>
        <w:instrText>xe "</w:instrText>
      </w:r>
      <w:r>
        <w:rPr>
          <w:rStyle w:val="xeentry"/>
        </w:rPr>
        <w:instrText>beefsteak: example</w:instrText>
      </w:r>
      <w:r>
        <w:instrText>"</w:instrText>
      </w:r>
      <w:r>
        <w:rPr>
          <w:rStyle w:val="indexentry"/>
        </w:rPr>
        <w:fldChar w:fldCharType="end"/>
      </w:r>
      <w:r>
        <w:t>For example, in “bakrecpa'o”, meaning “beefsteak”, the veljvo is</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"bovine: example"</w:instrText>
      </w:r>
      <w:r>
        <w:rPr>
          <w:rStyle w:val="xeentry"/>
        </w:rPr>
        <w:fldChar w:fldCharType="end"/>
      </w:r>
      <w:r>
        <w:rPr>
          <w:rStyle w:val="htmlcodes"/>
        </w:rPr>
        <w:t>&lt;pre&gt;&lt;a name=e11d1&gt;</w:t>
      </w:r>
      <w:r>
        <w:t>11.1)</w:t>
      </w:r>
      <w:r>
        <w:tab/>
        <w:t>[ke] bakni rectu [ke'e] panlo</w:t>
      </w:r>
    </w:p>
    <w:p w:rsidR="00B72047" w:rsidRDefault="00B72047">
      <w:pPr>
        <w:pStyle w:val="examplescaled"/>
      </w:pPr>
      <w:r>
        <w:tab/>
        <w:t>( bovine meat ) slice</w:t>
      </w:r>
    </w:p>
    <w:p w:rsidR="00B72047" w:rsidRDefault="00B72047">
      <w:pPr>
        <w:pStyle w:val="resumedafterexample"/>
      </w:pPr>
      <w:r>
        <w:rPr>
          <w:rStyle w:val="htmlcodes"/>
        </w:rPr>
        <w:t>&lt;/pre&gt;</w:t>
      </w:r>
      <w:r>
        <w:t>because of the usual Lojban left-grouping rule. But there doesn't seem to be</w:t>
      </w:r>
      <w:r>
        <w:rPr>
          <w:rStyle w:val="deletedparamark"/>
        </w:rPr>
        <w:t xml:space="preserve"> </w:t>
      </w:r>
      <w:r>
        <w:t>much dif</w:t>
      </w:r>
      <w:r>
        <w:softHyphen/>
        <w:t>ference between that veljvo and</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"meat slice: example"</w:instrText>
      </w:r>
      <w:r>
        <w:rPr>
          <w:rStyle w:val="xeentry"/>
        </w:rPr>
        <w:fldChar w:fldCharType="end"/>
      </w:r>
      <w:r>
        <w:rPr>
          <w:rStyle w:val="htmlcodes"/>
        </w:rPr>
        <w:t>&lt;pre&gt;&lt;a name=e11d2&gt;</w:t>
      </w:r>
      <w:r>
        <w:t>11.2)</w:t>
      </w:r>
      <w:r>
        <w:tab/>
        <w:t>bakni ke rectu panlo [ke'e]</w:t>
      </w:r>
    </w:p>
    <w:p w:rsidR="00B72047" w:rsidRDefault="00B72047">
      <w:pPr>
        <w:pStyle w:val="examplescaled"/>
      </w:pPr>
      <w:r>
        <w:tab/>
        <w:t>bovine ( meat slice )</w:t>
      </w:r>
    </w:p>
    <w:p w:rsidR="00B72047" w:rsidRDefault="00B72047">
      <w:pPr>
        <w:pStyle w:val="normalafterexample"/>
      </w:pPr>
      <w:r>
        <w:rPr>
          <w:rStyle w:val="htmlcodes"/>
        </w:rPr>
        <w:t>&lt;/pre&gt;</w:t>
      </w:r>
      <w:r>
        <w:rPr>
          <w:rStyle w:val="indexentry"/>
        </w:rPr>
        <w:t>&lt;ex "sneak in"&gt;</w:t>
      </w:r>
      <w:r>
        <w:rPr>
          <w:rStyle w:val="indexentry"/>
        </w:rPr>
        <w:fldChar w:fldCharType="begin"/>
      </w:r>
      <w:r>
        <w:instrText>xe "</w:instrText>
      </w:r>
      <w:r>
        <w:rPr>
          <w:rStyle w:val="xeentry"/>
        </w:rPr>
        <w:instrText>sneak in: example</w:instrText>
      </w:r>
      <w:r>
        <w:instrText>"</w:instrText>
      </w:r>
      <w:r>
        <w:rPr>
          <w:rStyle w:val="indexentry"/>
        </w:rPr>
        <w:fldChar w:fldCharType="end"/>
      </w:r>
      <w:r>
        <w:t>On the other hand, the lujvo “zernerkla”, meaning “to sneak in”, almost</w:t>
      </w:r>
      <w:r>
        <w:rPr>
          <w:rStyle w:val="deletedparamark"/>
        </w:rPr>
        <w:t xml:space="preserve"> </w:t>
      </w:r>
      <w:r>
        <w:t>cer</w:t>
      </w:r>
      <w:r>
        <w:softHyphen/>
        <w:t>tainly was formed from the veljvo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zekri ke nenri klama [ke'e]</w:t>
      </w:r>
    </w:p>
    <w:p w:rsidR="00B72047" w:rsidRDefault="00B72047">
      <w:pPr>
        <w:pStyle w:val="examplescaled"/>
      </w:pPr>
      <w:r>
        <w:tab/>
        <w:t>crime ( inside go )</w:t>
      </w:r>
    </w:p>
    <w:p w:rsidR="00B72047" w:rsidRDefault="00B72047">
      <w:pPr>
        <w:pStyle w:val="examplescaled"/>
      </w:pPr>
      <w:r>
        <w:tab/>
        <w:t>to go within, criminally</w:t>
      </w:r>
    </w:p>
    <w:p w:rsidR="00B72047" w:rsidRDefault="00B72047">
      <w:pPr>
        <w:pStyle w:val="resumedafterexample"/>
      </w:pPr>
      <w:r>
        <w:rPr>
          <w:rStyle w:val="htmlcodes"/>
        </w:rPr>
        <w:t>&lt;/pre&gt;</w:t>
      </w:r>
      <w:r>
        <w:t>because the alternative,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[ke] zekri nenri [ke'e] klama</w:t>
      </w:r>
    </w:p>
    <w:p w:rsidR="00B72047" w:rsidRDefault="00B72047">
      <w:pPr>
        <w:pStyle w:val="examplescaled"/>
      </w:pPr>
      <w:r>
        <w:tab/>
        <w:t>(crime inside) go</w:t>
      </w:r>
    </w:p>
    <w:p w:rsidR="00B72047" w:rsidRDefault="00B72047">
      <w:pPr>
        <w:pStyle w:val="resumedafterexample"/>
      </w:pPr>
      <w:r>
        <w:rPr>
          <w:rStyle w:val="htmlcodes"/>
        </w:rPr>
        <w:t>&lt;/pre&gt;</w:t>
      </w:r>
      <w:r>
        <w:t>doesn't make much sense. (To go to the inside of a crime? To go into a place</w:t>
      </w:r>
      <w:r>
        <w:rPr>
          <w:rStyle w:val="deletedparamark"/>
        </w:rPr>
        <w:t xml:space="preserve"> </w:t>
      </w:r>
      <w:r>
        <w:t>where it is criminal to be inside — an interpretation almost identical</w:t>
      </w:r>
      <w:r>
        <w:rPr>
          <w:rStyle w:val="deletedparamark"/>
        </w:rPr>
        <w:t xml:space="preserve"> </w:t>
      </w:r>
      <w:r>
        <w:t xml:space="preserve">with </w:t>
      </w:r>
      <w:r>
        <w:rPr>
          <w:rStyle w:val="htmlcodes"/>
        </w:rPr>
        <w:t>&lt;a href=#e11d3&gt;</w:t>
      </w:r>
      <w:r>
        <w:t xml:space="preserve">Example 11.3 </w:t>
      </w:r>
      <w:r>
        <w:rPr>
          <w:rStyle w:val="htmlcodes"/>
        </w:rPr>
        <w:t>&lt;/a&gt;</w:t>
      </w:r>
      <w:r>
        <w:t>anyway?)</w:t>
      </w:r>
    </w:p>
    <w:p w:rsidR="00B72047" w:rsidRDefault="00B72047">
      <w:pPr>
        <w:rPr>
          <w:rStyle w:val="htmlparacode"/>
        </w:rPr>
      </w:pPr>
      <w:r>
        <w:rPr>
          <w:rStyle w:val="htmlparacode"/>
        </w:rPr>
        <w:t>&lt;p&gt;</w:t>
      </w:r>
    </w:p>
    <w:p w:rsidR="00B72047" w:rsidRDefault="00B72047">
      <w:pPr>
        <w:pStyle w:val="normalparagraph"/>
      </w:pPr>
      <w:r>
        <w:rPr>
          <w:rStyle w:val="indexentry"/>
        </w:rPr>
        <w:t>&lt;cx "shellfish"&gt;</w:t>
      </w:r>
      <w:r>
        <w:rPr>
          <w:rStyle w:val="indexentry"/>
        </w:rPr>
        <w:fldChar w:fldCharType="begin"/>
      </w:r>
      <w:r>
        <w:instrText>xe "</w:instrText>
      </w:r>
      <w:r>
        <w:rPr>
          <w:rStyle w:val="xeentry"/>
        </w:rPr>
        <w:instrText>shellfish</w:instrText>
      </w:r>
      <w:r>
        <w:instrText>"</w:instrText>
      </w:r>
      <w:r>
        <w:rPr>
          <w:rStyle w:val="indexentry"/>
        </w:rPr>
        <w:fldChar w:fldCharType="end"/>
      </w:r>
      <w:r>
        <w:rPr>
          <w:rStyle w:val="indexentry"/>
        </w:rPr>
        <w:t>&lt;ex "shellfish"&gt;</w:t>
      </w:r>
      <w:r>
        <w:rPr>
          <w:rStyle w:val="indexentry"/>
        </w:rPr>
        <w:fldChar w:fldCharType="begin"/>
      </w:r>
      <w:r>
        <w:instrText>xe "</w:instrText>
      </w:r>
      <w:r>
        <w:rPr>
          <w:rStyle w:val="xeentry"/>
        </w:rPr>
        <w:instrText>shellfish: example</w:instrText>
      </w:r>
      <w:r>
        <w:instrText>"</w:instrText>
      </w:r>
      <w:r>
        <w:rPr>
          <w:rStyle w:val="indexentry"/>
        </w:rPr>
        <w:fldChar w:fldCharType="end"/>
      </w:r>
      <w:r>
        <w:t>There are cases, however, where omitting a KE or KEhE rafsi can produce</w:t>
      </w:r>
      <w:r>
        <w:rPr>
          <w:rStyle w:val="deletedparamark"/>
        </w:rPr>
        <w:t xml:space="preserve"> </w:t>
      </w:r>
      <w:r>
        <w:t>an</w:t>
      </w:r>
      <w:r>
        <w:softHyphen/>
        <w:t>other lujvo, equally useful. For example, “xaskemcakcurnu” means</w:t>
      </w:r>
      <w:r>
        <w:rPr>
          <w:rStyle w:val="deletedparamark"/>
        </w:rPr>
        <w:t xml:space="preserve"> “</w:t>
      </w:r>
      <w:r>
        <w:t>oceanic shellfish”, and has the veljvo</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"shell worm: example"</w:instrText>
      </w:r>
      <w:r>
        <w:rPr>
          <w:rStyle w:val="xeentry"/>
        </w:rPr>
        <w:fldChar w:fldCharType="end"/>
      </w:r>
      <w:r>
        <w:rPr>
          <w:rStyle w:val="htmlcodes"/>
        </w:rPr>
        <w:t>&lt;pre&gt;&lt;a name=e11d5&gt;</w:t>
      </w:r>
      <w:r>
        <w:t>11.5)</w:t>
      </w:r>
      <w:r>
        <w:tab/>
        <w:t>xamsi ke calku curnu</w:t>
      </w:r>
    </w:p>
    <w:p w:rsidR="00B72047" w:rsidRDefault="00B72047">
      <w:pPr>
        <w:pStyle w:val="examplescaled"/>
      </w:pPr>
      <w:r>
        <w:tab/>
        <w:t>ocean type-of (shell worm)</w:t>
      </w:r>
    </w:p>
    <w:p w:rsidR="00B72047" w:rsidRDefault="00B72047">
      <w:pPr>
        <w:pStyle w:val="resumedafterexample"/>
      </w:pPr>
      <w:r>
        <w:rPr>
          <w:rStyle w:val="htmlcodes"/>
        </w:rPr>
        <w:t>&lt;/pre&gt;</w:t>
      </w:r>
      <w:r>
        <w:rPr>
          <w:rStyle w:val="indexentry"/>
        </w:rPr>
        <w:t>&lt;cx "invertebrate"&gt;</w:t>
      </w:r>
      <w:r>
        <w:rPr>
          <w:rStyle w:val="indexentry"/>
        </w:rPr>
        <w:fldChar w:fldCharType="begin"/>
      </w:r>
      <w:r>
        <w:instrText>xe "</w:instrText>
      </w:r>
      <w:r>
        <w:rPr>
          <w:rStyle w:val="xeentry"/>
        </w:rPr>
        <w:instrText>invertebrate</w:instrText>
      </w:r>
      <w:r>
        <w:instrText>"</w:instrText>
      </w:r>
      <w:r>
        <w:rPr>
          <w:rStyle w:val="indexentry"/>
        </w:rPr>
        <w:fldChar w:fldCharType="end"/>
      </w:r>
      <w:r>
        <w:t>(“worm” in Lojban refers to any invertebrate), but “xascakcurnu” has</w:t>
      </w:r>
      <w:r>
        <w:rPr>
          <w:rStyle w:val="deletedparamark"/>
        </w:rPr>
        <w:t xml:space="preserve"> </w:t>
      </w:r>
      <w:r>
        <w:t>the veljvo</w:t>
      </w:r>
    </w:p>
    <w:p w:rsidR="00B72047" w:rsidRDefault="00B72047">
      <w:pPr>
        <w:rPr>
          <w:rStyle w:val="htmlcodes"/>
        </w:rPr>
      </w:pPr>
      <w:r>
        <w:rPr>
          <w:rStyle w:val="htmlcodes"/>
          <w:vanish w:val="0"/>
        </w:rPr>
        <w:br w:type="page"/>
      </w:r>
      <w:r>
        <w:rPr>
          <w:rStyle w:val="htmlcodes"/>
        </w:rPr>
        <w:t>&lt;p&gt;</w:t>
      </w:r>
    </w:p>
    <w:p w:rsidR="00B72047" w:rsidRDefault="00B72047">
      <w:pPr>
        <w:pStyle w:val="examplescaledpre"/>
        <w:spacing w:before="0"/>
      </w:pPr>
      <w:r>
        <w:rPr>
          <w:rStyle w:val="xeentry"/>
        </w:rPr>
        <w:fldChar w:fldCharType="begin"/>
      </w:r>
      <w:r>
        <w:rPr>
          <w:rStyle w:val="xeentry"/>
        </w:rPr>
        <w:instrText>xe "ocean shell: example"</w:instrText>
      </w:r>
      <w:r>
        <w:rPr>
          <w:rStyle w:val="xeentry"/>
        </w:rPr>
        <w:fldChar w:fldCharType="end"/>
      </w:r>
      <w:r>
        <w:rPr>
          <w:rStyle w:val="htmlcodes"/>
        </w:rPr>
        <w:t>&lt;pre&gt;&lt;a name=e11d6&gt;</w:t>
      </w:r>
      <w:r>
        <w:t>11.6)</w:t>
      </w:r>
      <w:r>
        <w:tab/>
        <w:t>[ke] xamsi calku [ke'e] curnu</w:t>
      </w:r>
    </w:p>
    <w:p w:rsidR="00B72047" w:rsidRDefault="00B72047">
      <w:pPr>
        <w:pStyle w:val="examplescaled"/>
      </w:pPr>
      <w:r>
        <w:tab/>
        <w:t>(ocean shell) type-of worm</w:t>
      </w:r>
    </w:p>
    <w:p w:rsidR="00B72047" w:rsidRDefault="00B72047">
      <w:pPr>
        <w:pStyle w:val="resumedafterexample"/>
      </w:pPr>
      <w:r>
        <w:rPr>
          <w:rStyle w:val="htmlcodes"/>
        </w:rPr>
        <w:t>&lt;/pre&gt;</w:t>
      </w:r>
      <w:r>
        <w:rPr>
          <w:rStyle w:val="indexentry"/>
        </w:rPr>
        <w:t>&lt;cx "parasitic worms"&gt;</w:t>
      </w:r>
      <w:r>
        <w:rPr>
          <w:rStyle w:val="indexentry"/>
        </w:rPr>
        <w:fldChar w:fldCharType="begin"/>
      </w:r>
      <w:r>
        <w:instrText>xe "</w:instrText>
      </w:r>
      <w:r>
        <w:rPr>
          <w:rStyle w:val="xeentry"/>
        </w:rPr>
        <w:instrText>parasitic worms: example</w:instrText>
      </w:r>
      <w:r>
        <w:instrText>"</w:instrText>
      </w:r>
      <w:r>
        <w:rPr>
          <w:rStyle w:val="indexentry"/>
        </w:rPr>
        <w:fldChar w:fldCharType="end"/>
      </w:r>
      <w:r>
        <w:rPr>
          <w:rStyle w:val="indexentry"/>
        </w:rPr>
        <w:t>&lt;cx "clamshells"&gt;</w:t>
      </w:r>
      <w:r>
        <w:rPr>
          <w:rStyle w:val="indexentry"/>
        </w:rPr>
        <w:fldChar w:fldCharType="begin"/>
      </w:r>
      <w:r>
        <w:instrText>xe "</w:instrText>
      </w:r>
      <w:r>
        <w:rPr>
          <w:rStyle w:val="xeentry"/>
        </w:rPr>
        <w:instrText>clamshells</w:instrText>
      </w:r>
      <w:r>
        <w:instrText>"</w:instrText>
      </w:r>
      <w:r>
        <w:rPr>
          <w:rStyle w:val="indexentry"/>
        </w:rPr>
        <w:fldChar w:fldCharType="end"/>
      </w:r>
      <w:r>
        <w:t>and might refer to the parasitic worms that infest clamshells.</w:t>
      </w:r>
    </w:p>
    <w:p w:rsidR="00B72047" w:rsidRDefault="00B72047">
      <w:pPr>
        <w:rPr>
          <w:rStyle w:val="htmlparacode"/>
        </w:rPr>
      </w:pPr>
      <w:r>
        <w:rPr>
          <w:rStyle w:val="htmlparacode"/>
        </w:rPr>
        <w:t>&lt;p&gt;</w:t>
      </w:r>
    </w:p>
    <w:p w:rsidR="00B72047" w:rsidRDefault="00B72047">
      <w:pPr>
        <w:pStyle w:val="normalparagraph"/>
      </w:pPr>
      <w:r>
        <w:rPr>
          <w:rStyle w:val="indexentry"/>
        </w:rPr>
        <w:t>&lt;cx "misinterpretation"&gt;</w:t>
      </w:r>
      <w:r>
        <w:rPr>
          <w:rStyle w:val="indexentry"/>
        </w:rPr>
        <w:fldChar w:fldCharType="begin"/>
      </w:r>
      <w:r>
        <w:instrText>xe "</w:instrText>
      </w:r>
      <w:r>
        <w:rPr>
          <w:rStyle w:val="xeentry"/>
        </w:rPr>
        <w:instrText>misinterpretation</w:instrText>
      </w:r>
      <w:r>
        <w:instrText>"</w:instrText>
      </w:r>
      <w:r>
        <w:rPr>
          <w:rStyle w:val="indexentry"/>
        </w:rPr>
        <w:fldChar w:fldCharType="end"/>
      </w:r>
      <w:r>
        <w:rPr>
          <w:rStyle w:val="indexentry"/>
        </w:rPr>
        <w:t>&lt;cx "lujvo creation, interaction of KE with SE"&gt;</w:t>
      </w:r>
      <w:r>
        <w:rPr>
          <w:rStyle w:val="indexentry"/>
        </w:rPr>
        <w:fldChar w:fldCharType="begin"/>
      </w:r>
      <w:r>
        <w:instrText>xe "</w:instrText>
      </w:r>
      <w:r>
        <w:rPr>
          <w:rStyle w:val="xeentry"/>
        </w:rPr>
        <w:instrText>lujvo creation: interaction of KE with SE</w:instrText>
      </w:r>
      <w:r>
        <w:instrText>"</w:instrText>
      </w:r>
      <w:r>
        <w:rPr>
          <w:rStyle w:val="indexentry"/>
        </w:rPr>
        <w:fldChar w:fldCharType="end"/>
      </w:r>
      <w:r>
        <w:rPr>
          <w:rStyle w:val="indexentry"/>
        </w:rPr>
        <w:t>&lt;cx "lujvo creation, interaction of KE with NAhE"&gt;</w:t>
      </w:r>
      <w:r>
        <w:rPr>
          <w:rStyle w:val="indexentry"/>
        </w:rPr>
        <w:fldChar w:fldCharType="begin"/>
      </w:r>
      <w:r>
        <w:instrText>xe "</w:instrText>
      </w:r>
      <w:r>
        <w:rPr>
          <w:rStyle w:val="xeentry"/>
        </w:rPr>
        <w:instrText>lujvo creation: interaction of KE with NAhE</w:instrText>
      </w:r>
      <w:r>
        <w:instrText>"</w:instrText>
      </w:r>
      <w:r>
        <w:rPr>
          <w:rStyle w:val="indexentry"/>
        </w:rPr>
        <w:fldChar w:fldCharType="end"/>
      </w:r>
      <w:r>
        <w:t>Such misinterpretation is more likely than not in a lujvo start</w:t>
      </w:r>
      <w:r>
        <w:softHyphen/>
        <w:t>ing</w:t>
      </w:r>
      <w:r>
        <w:rPr>
          <w:rStyle w:val="deletedparamark"/>
        </w:rPr>
        <w:t xml:space="preserve"> </w:t>
      </w:r>
      <w:r>
        <w:t>with “sel-” (from “se”), “nal-” (from “na'e”) or “tol-” (from “to'e”):</w:t>
      </w:r>
      <w:r>
        <w:rPr>
          <w:rStyle w:val="deletedparamark"/>
        </w:rPr>
        <w:t xml:space="preserve"> </w:t>
      </w:r>
      <w:r>
        <w:t>the scope of the rafsi will like</w:t>
      </w:r>
      <w:r>
        <w:softHyphen/>
        <w:t>liest be presumed to be as narrow as</w:t>
      </w:r>
      <w:r>
        <w:rPr>
          <w:rStyle w:val="deletedparamark"/>
        </w:rPr>
        <w:t xml:space="preserve"> </w:t>
      </w:r>
      <w:r>
        <w:t>possi</w:t>
      </w:r>
      <w:r>
        <w:softHyphen/>
        <w:t>ble, since all of these cmavo normally bind only to the following brivla</w:t>
      </w:r>
      <w:r>
        <w:rPr>
          <w:rStyle w:val="deletedparamark"/>
        </w:rPr>
        <w:t xml:space="preserve"> </w:t>
      </w:r>
      <w:r>
        <w:t>or “ke </w:t>
      </w:r>
      <w:r>
        <w:rPr>
          <w:rStyle w:val="htmlcodes"/>
        </w:rPr>
        <w:t>&lt;dots&gt;</w:t>
      </w:r>
      <w:r>
        <w:t>…</w:t>
      </w:r>
      <w:r>
        <w:rPr>
          <w:rStyle w:val="htmlcodes"/>
        </w:rPr>
        <w:t>&lt;/dots&gt;</w:t>
      </w:r>
      <w:r>
        <w:t>ke'e” group. For that reason, if we want to modify an entire lujvo</w:t>
      </w:r>
      <w:r>
        <w:rPr>
          <w:rStyle w:val="deletedparamark"/>
        </w:rPr>
        <w:t xml:space="preserve"> </w:t>
      </w:r>
      <w:r>
        <w:t>by putting “se”, “na'e” or “to'e” before it, it's better to leave the result</w:t>
      </w:r>
      <w:r>
        <w:rPr>
          <w:rStyle w:val="deletedparamark"/>
        </w:rPr>
        <w:t xml:space="preserve"> </w:t>
      </w:r>
      <w:r>
        <w:t>as two words, or else to insert “ke”, than to just stick the SE or NAhE</w:t>
      </w:r>
      <w:r>
        <w:rPr>
          <w:rStyle w:val="deletedparamark"/>
        </w:rPr>
        <w:t xml:space="preserve"> </w:t>
      </w:r>
      <w:r>
        <w:t>rafsi on.</w:t>
      </w:r>
    </w:p>
    <w:p w:rsidR="00B72047" w:rsidRDefault="00B72047">
      <w:pPr>
        <w:rPr>
          <w:rStyle w:val="htmlparacode"/>
        </w:rPr>
      </w:pPr>
      <w:r>
        <w:rPr>
          <w:rStyle w:val="htmlparacode"/>
        </w:rPr>
        <w:t>&lt;p&gt;</w:t>
      </w:r>
    </w:p>
    <w:p w:rsidR="00B72047" w:rsidRDefault="00B72047">
      <w:pPr>
        <w:pStyle w:val="normalparagraph"/>
      </w:pPr>
      <w:r>
        <w:t>It is all right to replace the phrase “se klama” with “selkla”, and</w:t>
      </w:r>
      <w:r>
        <w:rPr>
          <w:rStyle w:val="deletedparamark"/>
        </w:rPr>
        <w:t xml:space="preserve"> </w:t>
      </w:r>
      <w:r>
        <w:t>the places of “selkla” are exactly those of “se klama”. But con</w:t>
      </w:r>
      <w:r>
        <w:softHyphen/>
        <w:t>sider the</w:t>
      </w:r>
      <w:r>
        <w:rPr>
          <w:rStyle w:val="deletedparamark"/>
        </w:rPr>
        <w:t xml:space="preserve"> </w:t>
      </w:r>
      <w:r>
        <w:t>related lujvo “dzukla”, meaning “to walk to somewhere”. It is a symmmetrical</w:t>
      </w:r>
      <w:r>
        <w:rPr>
          <w:rStyle w:val="deletedparamark"/>
        </w:rPr>
        <w:t xml:space="preserve"> </w:t>
      </w:r>
      <w:r>
        <w:t>lujvo, derived from the veljvo “cadzu klama” as fol</w:t>
      </w:r>
      <w:r>
        <w:softHyphen/>
        <w:t>lows:</w:t>
      </w:r>
    </w:p>
    <w:p w:rsidR="00B72047" w:rsidRDefault="00B72047">
      <w:pPr>
        <w:rPr>
          <w:rStyle w:val="htmlparacode"/>
        </w:rPr>
      </w:pPr>
      <w:r>
        <w:rPr>
          <w:rStyle w:val="htmlparacode"/>
        </w:rPr>
        <w:t>&lt;p&gt;</w:t>
      </w:r>
    </w:p>
    <w:p w:rsidR="00B72047" w:rsidRDefault="00B72047" w:rsidP="007E67C1">
      <w:pPr>
        <w:pStyle w:val="placestructureleft"/>
        <w:numPr>
          <w:ilvl w:val="0"/>
          <w:numId w:val="0"/>
        </w:numPr>
        <w:ind w:left="1224" w:hanging="504"/>
      </w:pPr>
      <w:r>
        <w:rPr>
          <w:rStyle w:val="htmlcodes"/>
        </w:rPr>
        <w:t>&lt;pre&gt;&lt;a name=e11d7&gt;</w:t>
      </w:r>
      <w:r>
        <w:tab/>
        <w:t>“cadzu”:  c1 walks on surface c2 using limbs c3</w:t>
      </w:r>
    </w:p>
    <w:p w:rsidR="00B72047" w:rsidRDefault="00B72047" w:rsidP="007E67C1">
      <w:pPr>
        <w:pStyle w:val="placestructcontleft"/>
        <w:numPr>
          <w:ilvl w:val="0"/>
          <w:numId w:val="0"/>
        </w:numPr>
        <w:ind w:left="1224" w:hanging="504"/>
      </w:pPr>
      <w:r>
        <w:tab/>
        <w:t>“klama”:  k1 goes to k2 from k3 via route k4 using k5</w:t>
      </w:r>
    </w:p>
    <w:p w:rsidR="00B72047" w:rsidRDefault="00B72047" w:rsidP="007E67C1">
      <w:pPr>
        <w:pStyle w:val="placestructcontleft"/>
        <w:numPr>
          <w:ilvl w:val="0"/>
          <w:numId w:val="0"/>
        </w:numPr>
        <w:ind w:left="1224" w:hanging="504"/>
      </w:pPr>
      <w:r>
        <w:tab/>
        <w:t>“dzukla”:  c1=k1 walks to k2 from k3 via route k4 using limbs k5=c3</w:t>
      </w:r>
    </w:p>
    <w:p w:rsidR="00B72047" w:rsidRDefault="00B72047" w:rsidP="007E67C1">
      <w:pPr>
        <w:pStyle w:val="placestructcontleft"/>
        <w:numPr>
          <w:ilvl w:val="0"/>
          <w:numId w:val="0"/>
        </w:numPr>
        <w:ind w:left="1224" w:hanging="504"/>
      </w:pPr>
      <w:r>
        <w:tab/>
      </w:r>
      <w:r>
        <w:tab/>
        <w:t>on surface c2</w:t>
      </w:r>
    </w:p>
    <w:p w:rsidR="00B72047" w:rsidRDefault="00B72047">
      <w:pPr>
        <w:pStyle w:val="resumedafterexample"/>
      </w:pPr>
      <w:r>
        <w:rPr>
          <w:rStyle w:val="htmlcodes"/>
        </w:rPr>
        <w:t>&lt;/pre&gt;&lt;p&gt;</w:t>
      </w:r>
      <w:r>
        <w:t>We can swap the k1 and k2 places using “se dzukla”, but we cannot directly</w:t>
      </w:r>
      <w:r>
        <w:rPr>
          <w:rStyle w:val="deletedparamark"/>
        </w:rPr>
        <w:t xml:space="preserve"> </w:t>
      </w:r>
      <w:r>
        <w:t>make “se dzukla” into “seldzukla”, which would represent the veljvo</w:t>
      </w:r>
      <w:r>
        <w:rPr>
          <w:rStyle w:val="deletedparamark"/>
        </w:rPr>
        <w:t xml:space="preserve"> “</w:t>
      </w:r>
      <w:r>
        <w:t>selcadzu klama” and plau</w:t>
      </w:r>
      <w:r>
        <w:softHyphen/>
        <w:t>sibly mean something like “to go to a walking</w:t>
      </w:r>
      <w:r>
        <w:rPr>
          <w:rStyle w:val="deletedparamark"/>
        </w:rPr>
        <w:t xml:space="preserve"> </w:t>
      </w:r>
      <w:r>
        <w:t>surface”. Instead, we would need “selkemdzukla”, with an explicit rafsi</w:t>
      </w:r>
      <w:r>
        <w:rPr>
          <w:rStyle w:val="deletedparamark"/>
        </w:rPr>
        <w:t xml:space="preserve"> </w:t>
      </w:r>
      <w:r>
        <w:t>for “ke”. Similarly, “nalbrablo” (from “na'e barda bloti”) means</w:t>
      </w:r>
      <w:r>
        <w:rPr>
          <w:rStyle w:val="deletedparamark"/>
        </w:rPr>
        <w:t xml:space="preserve"> “</w:t>
      </w:r>
      <w:r>
        <w:t>non-big boat”, whereas “na'e brablo” means “other than a big boat”.</w:t>
      </w:r>
    </w:p>
    <w:p w:rsidR="00B72047" w:rsidRDefault="00B72047">
      <w:pPr>
        <w:rPr>
          <w:rStyle w:val="htmlparacode"/>
        </w:rPr>
      </w:pPr>
      <w:r>
        <w:rPr>
          <w:rStyle w:val="htmlparacode"/>
        </w:rPr>
        <w:t>&lt;p&gt;</w:t>
      </w:r>
    </w:p>
    <w:p w:rsidR="00B72047" w:rsidRDefault="00B72047">
      <w:pPr>
        <w:pStyle w:val="normalparagraph"/>
      </w:pPr>
      <w:r>
        <w:rPr>
          <w:rStyle w:val="indexentry"/>
        </w:rPr>
        <w:t>&lt;cx "lujvo creation, use of multiple SE in"&gt;</w:t>
      </w:r>
      <w:r>
        <w:rPr>
          <w:rStyle w:val="indexentry"/>
        </w:rPr>
        <w:fldChar w:fldCharType="begin"/>
      </w:r>
      <w:r>
        <w:instrText>xe "</w:instrText>
      </w:r>
      <w:r>
        <w:rPr>
          <w:rStyle w:val="xeentry"/>
        </w:rPr>
        <w:instrText>lujvo creation: use of multiple SE in</w:instrText>
      </w:r>
      <w:r>
        <w:instrText>"</w:instrText>
      </w:r>
      <w:r>
        <w:rPr>
          <w:rStyle w:val="indexentry"/>
        </w:rPr>
        <w:fldChar w:fldCharType="end"/>
      </w:r>
      <w:r>
        <w:t>If the lujvo we want to modify with SE has a seltau already</w:t>
      </w:r>
      <w:r>
        <w:rPr>
          <w:rStyle w:val="deletedparamark"/>
        </w:rPr>
        <w:t xml:space="preserve"> </w:t>
      </w:r>
      <w:r>
        <w:t>starting with a SE rafsi, we can take a shortcut. For instance, “gekmau”</w:t>
      </w:r>
      <w:r>
        <w:rPr>
          <w:rStyle w:val="deletedparamark"/>
        </w:rPr>
        <w:t xml:space="preserve"> </w:t>
      </w:r>
      <w:r>
        <w:t>means “happier than”, while “selgekmau” means “making people happier</w:t>
      </w:r>
      <w:r>
        <w:rPr>
          <w:rStyle w:val="deletedparamark"/>
        </w:rPr>
        <w:t xml:space="preserve"> </w:t>
      </w:r>
      <w:r>
        <w:t>than, more enjoyable than, more of a 'se gleki' than”. If something is less</w:t>
      </w:r>
      <w:r>
        <w:rPr>
          <w:rStyle w:val="deletedparamark"/>
        </w:rPr>
        <w:t xml:space="preserve"> </w:t>
      </w:r>
      <w:r>
        <w:t>enjoyable than something else, we can say it is “se selgekmau”.</w:t>
      </w:r>
    </w:p>
    <w:p w:rsidR="00B72047" w:rsidRDefault="00B72047">
      <w:pPr>
        <w:pStyle w:val="normalparagraph"/>
        <w:rPr>
          <w:rStyle w:val="htmlparacode"/>
        </w:rPr>
      </w:pPr>
      <w:r>
        <w:rPr>
          <w:rStyle w:val="htmlparacode"/>
        </w:rPr>
        <w:t>&lt;p&gt;</w:t>
      </w:r>
    </w:p>
    <w:p w:rsidR="00B72047" w:rsidRDefault="00B72047">
      <w:pPr>
        <w:pStyle w:val="normalparagraph"/>
      </w:pPr>
      <w:r>
        <w:t>But we can also say it is “selselgekmau”. Two “se” cmavo in a row</w:t>
      </w:r>
      <w:r>
        <w:rPr>
          <w:rStyle w:val="deletedparamark"/>
        </w:rPr>
        <w:t xml:space="preserve"> </w:t>
      </w:r>
      <w:r>
        <w:t>cancel each other (“se se gleki” means the same as just “gleki”), so there</w:t>
      </w:r>
      <w:r>
        <w:rPr>
          <w:rStyle w:val="deletedparamark"/>
        </w:rPr>
        <w:t xml:space="preserve"> </w:t>
      </w:r>
      <w:r>
        <w:t>would be no good reason to have “selsel” in a lujvo with that meaning.</w:t>
      </w:r>
      <w:r>
        <w:rPr>
          <w:rStyle w:val="deletedparamark"/>
        </w:rPr>
        <w:t xml:space="preserve"> </w:t>
      </w:r>
      <w:r>
        <w:t>Instead, we can feel free to inter</w:t>
      </w:r>
      <w:r>
        <w:softHyphen/>
        <w:t>pret “selsel-” as “selkemsel-”. The rafsi</w:t>
      </w:r>
      <w:r>
        <w:rPr>
          <w:rStyle w:val="deletedparamark"/>
        </w:rPr>
        <w:t xml:space="preserve"> </w:t>
      </w:r>
      <w:r>
        <w:t>combinations “terter-”, “velvel-” and “xelxel-” work in the same way.</w:t>
      </w:r>
    </w:p>
    <w:p w:rsidR="00B72047" w:rsidRDefault="00B72047">
      <w:pPr>
        <w:pStyle w:val="normalparagraph"/>
        <w:rPr>
          <w:rStyle w:val="htmlparacode"/>
        </w:rPr>
      </w:pPr>
      <w:r>
        <w:rPr>
          <w:rStyle w:val="htmlparacode"/>
        </w:rPr>
        <w:t>&lt;p&gt;</w:t>
      </w:r>
    </w:p>
    <w:p w:rsidR="00B72047" w:rsidRDefault="00B72047">
      <w:pPr>
        <w:pStyle w:val="normalparagraph"/>
      </w:pPr>
      <w:r>
        <w:t>Other SE combinations like “selter-”, although they might conceivably mean</w:t>
      </w:r>
      <w:r>
        <w:rPr>
          <w:rStyle w:val="deletedparamark"/>
        </w:rPr>
        <w:t xml:space="preserve"> “</w:t>
      </w:r>
      <w:r>
        <w:t>se te”, more than likely should be interpreted in the same way, namely</w:t>
      </w:r>
      <w:r>
        <w:rPr>
          <w:rStyle w:val="deletedparamark"/>
        </w:rPr>
        <w:t xml:space="preserve"> </w:t>
      </w:r>
      <w:r>
        <w:t>as “se ke te”, since there is no need to re-or</w:t>
      </w:r>
      <w:r>
        <w:softHyphen/>
        <w:t>der places in the way</w:t>
      </w:r>
      <w:r>
        <w:rPr>
          <w:rStyle w:val="deletedparamark"/>
        </w:rPr>
        <w:t xml:space="preserve"> </w:t>
      </w:r>
      <w:r>
        <w:t xml:space="preserve">that “se te” provides. (See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388" w:name="_Toc398970631"/>
      <w:r>
        <w:rPr>
          <w:rStyle w:val="Heading3Text"/>
        </w:rPr>
        <w:t>Abstract lujvo</w:t>
      </w:r>
      <w:bookmarkEnd w:id="38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abstract"&gt;</w:t>
      </w:r>
      <w:r>
        <w:rPr>
          <w:rStyle w:val="indexentry"/>
        </w:rPr>
        <w:fldChar w:fldCharType="begin"/>
      </w:r>
      <w:r>
        <w:instrText>xe "</w:instrText>
      </w:r>
      <w:r>
        <w:rPr>
          <w:rStyle w:val="xeentry"/>
        </w:rPr>
        <w:instrText>lujvo: abstract</w:instrText>
      </w:r>
      <w:r>
        <w:instrText>"</w:instrText>
      </w:r>
      <w:r>
        <w:rPr>
          <w:rStyle w:val="indexentry"/>
        </w:rPr>
        <w:fldChar w:fldCharType="end"/>
      </w:r>
      <w:r>
        <w:rPr>
          <w:rStyle w:val="indexentry"/>
        </w:rPr>
        <w:t>&lt;cx "abstract lujvo"&gt;</w:t>
      </w:r>
      <w:r>
        <w:rPr>
          <w:rStyle w:val="indexentry"/>
        </w:rPr>
        <w:fldChar w:fldCharType="begin"/>
      </w:r>
      <w:r>
        <w:instrText>xe "</w:instrText>
      </w:r>
      <w:r>
        <w:rPr>
          <w:rStyle w:val="xeentry"/>
        </w:rPr>
        <w:instrText>abstract lujvo</w:instrText>
      </w:r>
      <w:r>
        <w:instrText>"</w:instrText>
      </w:r>
      <w:r>
        <w:rPr>
          <w:rStyle w:val="indexentry"/>
        </w:rPr>
        <w:fldChar w:fldCharType="end"/>
      </w:r>
      <w:r>
        <w:rPr>
          <w:rStyle w:val="indexentry"/>
        </w:rPr>
        <w:t>&lt;cx "lujvo place structure, “nu” lujvo"&gt;</w:t>
      </w:r>
      <w:r>
        <w:rPr>
          <w:rStyle w:val="indexentry"/>
        </w:rPr>
        <w:fldChar w:fldCharType="begin"/>
      </w:r>
      <w:r>
        <w:instrText>xe "</w:instrText>
      </w:r>
      <w:r>
        <w:rPr>
          <w:rStyle w:val="xeentry"/>
        </w:rPr>
        <w:instrText>lujvo place structure: nu lujvo</w:instrText>
      </w:r>
      <w:r>
        <w:instrText>"</w:instrText>
      </w:r>
      <w:r>
        <w:rPr>
          <w:rStyle w:val="indexentry"/>
        </w:rPr>
        <w:fldChar w:fldCharType="end"/>
      </w:r>
      <w:r>
        <w:t>The cmavo of NU can participate in the construction of lujvo of a particularly</w:t>
      </w:r>
      <w:r>
        <w:rPr>
          <w:rStyle w:val="deletedparamark"/>
        </w:rPr>
        <w:t xml:space="preserve"> </w:t>
      </w:r>
      <w:r>
        <w:t>simple and well-patterned kind. Consider that old standard example, “klama”: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name=e12d1&gt;</w:t>
      </w:r>
      <w:r>
        <w:t>12.1)</w:t>
      </w:r>
      <w:r>
        <w:tab/>
        <w:t>k1 comes/goes to k2 from k3 via route k4 by means k5.</w:t>
      </w:r>
    </w:p>
    <w:p w:rsidR="00B72047" w:rsidRDefault="00B72047">
      <w:pPr>
        <w:pStyle w:val="resumedafterexample"/>
      </w:pPr>
      <w:r>
        <w:rPr>
          <w:rStyle w:val="htmlcodes"/>
        </w:rPr>
        <w:t>&lt;/pre&gt;&lt;p&gt;</w:t>
      </w:r>
      <w:r>
        <w:t>The selbri “nu klama [kei]” has only one place, the event-of-going, but</w:t>
      </w:r>
      <w:r>
        <w:rPr>
          <w:rStyle w:val="deletedparamark"/>
        </w:rPr>
        <w:t xml:space="preserve"> </w:t>
      </w:r>
      <w:r>
        <w:t>the full five places exist implicitly between “nu” and “kei”, since a full</w:t>
      </w:r>
      <w:r>
        <w:rPr>
          <w:rStyle w:val="deletedparamark"/>
        </w:rPr>
        <w:t xml:space="preserve"> </w:t>
      </w:r>
      <w:r>
        <w:t>bridi with all sumti may be placed there. In a lujvo, there is no room</w:t>
      </w:r>
      <w:r>
        <w:rPr>
          <w:rStyle w:val="deletedparamark"/>
        </w:rPr>
        <w:t xml:space="preserve"> </w:t>
      </w:r>
      <w:r>
        <w:t>for such inside places, and consequently the lujvo “nunkla” (“nun-” is</w:t>
      </w:r>
      <w:r>
        <w:rPr>
          <w:rStyle w:val="deletedparamark"/>
        </w:rPr>
        <w:t xml:space="preserve"> </w:t>
      </w:r>
      <w:r>
        <w:t>the rafsi for “nu”), needs to have six places: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name=e12d2&gt;</w:t>
      </w:r>
      <w:r>
        <w:t>12.2)</w:t>
      </w:r>
      <w:r>
        <w:tab/>
        <w:t xml:space="preserve">nu1 is the event of k1's coming/going to k2 from k3 via route k4 </w:t>
      </w:r>
    </w:p>
    <w:p w:rsidR="00B72047" w:rsidRDefault="00B72047">
      <w:pPr>
        <w:pStyle w:val="examplescaled"/>
        <w:ind w:firstLine="576"/>
      </w:pPr>
      <w:r>
        <w:t>by means k5.</w:t>
      </w:r>
    </w:p>
    <w:p w:rsidR="00B72047" w:rsidRDefault="00B72047">
      <w:pPr>
        <w:pStyle w:val="resumedafterexample"/>
      </w:pPr>
      <w:r>
        <w:rPr>
          <w:rStyle w:val="htmlcodes"/>
        </w:rPr>
        <w:t>&lt;/pre&gt;&lt;p&gt;</w:t>
      </w:r>
      <w:r>
        <w:t>Here the first place of “nunklama” is the first and only place of “nu”, and</w:t>
      </w:r>
      <w:r>
        <w:rPr>
          <w:rStyle w:val="deletedparamark"/>
        </w:rPr>
        <w:t xml:space="preserve"> </w:t>
      </w:r>
      <w:r>
        <w:t>the other five places have been pushed down by one to occupy the second</w:t>
      </w:r>
      <w:r>
        <w:rPr>
          <w:rStyle w:val="deletedparamark"/>
        </w:rPr>
        <w:t xml:space="preserve"> </w:t>
      </w:r>
      <w:r>
        <w:t>through the sixth places. Full information on “nu”, as well as the other</w:t>
      </w:r>
      <w:r>
        <w:rPr>
          <w:rStyle w:val="deletedparamark"/>
        </w:rPr>
        <w:t xml:space="preserve"> </w:t>
      </w:r>
      <w:r>
        <w:t xml:space="preserve">abstractors mentioned in this section, is given in </w:t>
      </w:r>
      <w:r>
        <w:rPr>
          <w:rStyle w:val="htmlcodes"/>
        </w:rPr>
        <w:t>&lt;a href=chap11.html&gt;</w:t>
      </w:r>
      <w:r>
        <w:t>Chapter 11</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structure, “ni” lujvo"&gt;</w:t>
      </w:r>
      <w:r>
        <w:rPr>
          <w:rStyle w:val="indexentry"/>
        </w:rPr>
        <w:fldChar w:fldCharType="begin"/>
      </w:r>
      <w:r>
        <w:instrText>xe "</w:instrText>
      </w:r>
      <w:r>
        <w:rPr>
          <w:rStyle w:val="xeentry"/>
        </w:rPr>
        <w:instrText>lujvo place structure: ni lujvo</w:instrText>
      </w:r>
      <w:r>
        <w:instrText>"</w:instrText>
      </w:r>
      <w:r>
        <w:rPr>
          <w:rStyle w:val="indexentry"/>
        </w:rPr>
        <w:fldChar w:fldCharType="end"/>
      </w:r>
      <w:r>
        <w:rPr>
          <w:rStyle w:val="indexentry"/>
        </w:rPr>
        <w:t>&lt;cx "lujvo place structure, multi-place abstraction lujvo"&gt;</w:t>
      </w:r>
      <w:r>
        <w:rPr>
          <w:rStyle w:val="indexentry"/>
        </w:rPr>
        <w:fldChar w:fldCharType="begin"/>
      </w:r>
      <w:r>
        <w:instrText>xe "</w:instrText>
      </w:r>
      <w:r>
        <w:rPr>
          <w:rStyle w:val="xeentry"/>
        </w:rPr>
        <w:instrText>lujvo place structure: multi-place abstraction lujvo</w:instrText>
      </w:r>
      <w:r>
        <w:instrText>"</w:instrText>
      </w:r>
      <w:r>
        <w:rPr>
          <w:rStyle w:val="indexentry"/>
        </w:rPr>
        <w:fldChar w:fldCharType="end"/>
      </w:r>
      <w:r>
        <w:t>For those abstractors which have a second place as well, the standard</w:t>
      </w:r>
      <w:r>
        <w:rPr>
          <w:rStyle w:val="deletedparamark"/>
        </w:rPr>
        <w:t xml:space="preserve"> </w:t>
      </w:r>
      <w:r>
        <w:t>conven</w:t>
      </w:r>
      <w:r>
        <w:softHyphen/>
        <w:t>tion is to place this place after, rather than before, the</w:t>
      </w:r>
      <w:r>
        <w:rPr>
          <w:rStyle w:val="deletedparamark"/>
        </w:rPr>
        <w:t xml:space="preserve"> </w:t>
      </w:r>
      <w:r>
        <w:t>places of the brivla being ab</w:t>
      </w:r>
      <w:r>
        <w:softHyphen/>
        <w:t>stracted. The place structure of “nilkla”,</w:t>
      </w:r>
      <w:r>
        <w:rPr>
          <w:rStyle w:val="deletedparamark"/>
        </w:rPr>
        <w:t xml:space="preserve"> </w:t>
      </w:r>
      <w:r>
        <w:t>the lujvo derived from “ni klama”, is the im</w:t>
      </w:r>
      <w:r>
        <w:softHyphen/>
        <w:t>posing: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 xml:space="preserve">ni1 is the amount of k1's coming/going to k2 from k3 via route k4 </w:t>
      </w:r>
    </w:p>
    <w:p w:rsidR="00B72047" w:rsidRDefault="00B72047">
      <w:pPr>
        <w:pStyle w:val="examplescaled"/>
        <w:ind w:firstLine="576"/>
      </w:pPr>
      <w:r>
        <w:t>by means k5, measured on scale ni2.</w:t>
      </w:r>
    </w:p>
    <w:p w:rsidR="00B72047" w:rsidRDefault="00B72047">
      <w:pPr>
        <w:pStyle w:val="normalafterexample"/>
      </w:pPr>
      <w:r>
        <w:rPr>
          <w:rStyle w:val="htmlcodes"/>
        </w:rPr>
        <w:t>&lt;/pre&gt;&lt;p&gt;</w:t>
      </w:r>
      <w:r>
        <w:t>It is not uncommon for abstractors to participate in the mak</w:t>
      </w:r>
      <w:r>
        <w:softHyphen/>
        <w:t>ing of more</w:t>
      </w:r>
      <w:r>
        <w:rPr>
          <w:rStyle w:val="deletedparamark"/>
        </w:rPr>
        <w:t xml:space="preserve"> </w:t>
      </w:r>
      <w:r>
        <w:t>com</w:t>
      </w:r>
      <w:r>
        <w:softHyphen/>
        <w:t>plex l</w:t>
      </w:r>
      <w:r>
        <w:t>u</w:t>
      </w:r>
      <w:r>
        <w:t>j</w:t>
      </w:r>
      <w:r>
        <w:softHyphen/>
        <w:t>vo as well. For example, “nunsoidji”, from the veljvo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nu sonci kei djica</w:t>
      </w:r>
    </w:p>
    <w:p w:rsidR="00B72047" w:rsidRDefault="00B72047">
      <w:pPr>
        <w:pStyle w:val="examplescaled"/>
      </w:pPr>
      <w:r>
        <w:tab/>
        <w:t>event-of being-a-soldier desirer</w:t>
      </w:r>
    </w:p>
    <w:p w:rsidR="00B72047" w:rsidRDefault="00B72047">
      <w:pPr>
        <w:pStyle w:val="resumedafterexample"/>
      </w:pPr>
      <w:r>
        <w:rPr>
          <w:rStyle w:val="htmlcodes"/>
        </w:rPr>
        <w:t>&lt;/pre&gt;</w:t>
      </w:r>
      <w:r>
        <w:t>has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name=e12d5&gt;</w:t>
      </w:r>
      <w:r>
        <w:t>12.5)</w:t>
      </w:r>
      <w:r>
        <w:tab/>
        <w:t>d1 desires the event of (s1 being a soldier of army s2) for purpose d3</w:t>
      </w:r>
    </w:p>
    <w:p w:rsidR="00B72047" w:rsidRDefault="00B72047">
      <w:pPr>
        <w:pStyle w:val="resumedafterexample"/>
      </w:pPr>
      <w:r>
        <w:rPr>
          <w:rStyle w:val="htmlcodes"/>
        </w:rPr>
        <w:t>&lt;/pre&gt;</w:t>
      </w:r>
      <w:r>
        <w:rPr>
          <w:rStyle w:val="indexentry"/>
        </w:rPr>
        <w:t>&lt;cx "lujvo place order, multi-part with “NU”"&gt;</w:t>
      </w:r>
      <w:r>
        <w:rPr>
          <w:rStyle w:val="indexentry"/>
        </w:rPr>
        <w:fldChar w:fldCharType="begin"/>
      </w:r>
      <w:r>
        <w:instrText>xe "</w:instrText>
      </w:r>
      <w:r>
        <w:rPr>
          <w:rStyle w:val="xeentry"/>
        </w:rPr>
        <w:instrText>lujvo place order: multi-part with NU</w:instrText>
      </w:r>
      <w:r>
        <w:instrText>"</w:instrText>
      </w:r>
      <w:r>
        <w:rPr>
          <w:rStyle w:val="indexentry"/>
        </w:rPr>
        <w:fldChar w:fldCharType="end"/>
      </w:r>
      <w:r>
        <w:t>where the d2 place has disappeared altogether, being replaced by the</w:t>
      </w:r>
      <w:r>
        <w:rPr>
          <w:rStyle w:val="deletedparamark"/>
        </w:rPr>
        <w:t xml:space="preserve"> </w:t>
      </w:r>
      <w:r>
        <w:t>places of the sel</w:t>
      </w:r>
      <w:r>
        <w:softHyphen/>
        <w:t xml:space="preserve">tau. As shown in </w:t>
      </w:r>
      <w:r>
        <w:rPr>
          <w:rStyle w:val="htmlcodes"/>
        </w:rPr>
        <w:t>&lt;a href=#e12d5&gt;</w:t>
      </w:r>
      <w:r>
        <w:t>Example 12.5</w:t>
      </w:r>
      <w:r>
        <w:rPr>
          <w:rStyle w:val="htmlcodes"/>
        </w:rPr>
        <w:t>&lt;/a&gt;</w:t>
      </w:r>
      <w:r>
        <w:t>, the ordering follows</w:t>
      </w:r>
      <w:r>
        <w:rPr>
          <w:rStyle w:val="deletedparamark"/>
        </w:rPr>
        <w:t xml:space="preserve"> </w:t>
      </w:r>
      <w:r>
        <w:t>this idea of replacement: the seltau places are inserted at the point</w:t>
      </w:r>
      <w:r>
        <w:rPr>
          <w:rStyle w:val="deletedparamark"/>
        </w:rPr>
        <w:t xml:space="preserve"> </w:t>
      </w:r>
      <w:r>
        <w:t>where the omitted abstraction place exists in the tertau.</w:t>
      </w:r>
    </w:p>
    <w:p w:rsidR="00B72047" w:rsidRDefault="00B72047">
      <w:pPr>
        <w:rPr>
          <w:rStyle w:val="htmlparacode"/>
        </w:rPr>
      </w:pPr>
      <w:r>
        <w:rPr>
          <w:rStyle w:val="htmlparacode"/>
        </w:rPr>
        <w:t>&lt;p&gt;</w:t>
      </w:r>
    </w:p>
    <w:p w:rsidR="00B72047" w:rsidRDefault="00B72047">
      <w:pPr>
        <w:pStyle w:val="normalparagraph"/>
      </w:pPr>
      <w:r>
        <w:rPr>
          <w:rStyle w:val="indexentry"/>
        </w:rPr>
        <w:t>&lt;cx "asymmetric lujvo"&gt;</w:t>
      </w:r>
      <w:r>
        <w:rPr>
          <w:rStyle w:val="indexentry"/>
        </w:rPr>
        <w:fldChar w:fldCharType="begin"/>
      </w:r>
      <w:r>
        <w:instrText>xe "</w:instrText>
      </w:r>
      <w:r>
        <w:rPr>
          <w:rStyle w:val="xeentry"/>
        </w:rPr>
        <w:instrText>asymmetric lujvo</w:instrText>
      </w:r>
      <w:r>
        <w:instrText>"</w:instrText>
      </w:r>
      <w:r>
        <w:rPr>
          <w:rStyle w:val="indexentry"/>
        </w:rPr>
        <w:fldChar w:fldCharType="end"/>
      </w:r>
      <w:r>
        <w:t>The lujvo “nunsoidji” is quite different from the ordinary asymmetric lujvo</w:t>
      </w:r>
      <w:r>
        <w:rPr>
          <w:rStyle w:val="deletedparamark"/>
        </w:rPr>
        <w:t xml:space="preserve"> “</w:t>
      </w:r>
      <w:r>
        <w:t>soidji”, a “soldier desirer”, whose place structure is just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name=e12d6&gt;</w:t>
      </w:r>
      <w:r>
        <w:t>12.6)</w:t>
      </w:r>
      <w:r>
        <w:tab/>
        <w:t>d1 desires (a soldier of army s2) for purpose d3</w:t>
      </w:r>
    </w:p>
    <w:p w:rsidR="00B72047" w:rsidRDefault="00B72047">
      <w:pPr>
        <w:pStyle w:val="resumedafterexample"/>
      </w:pPr>
      <w:r>
        <w:rPr>
          <w:rStyle w:val="htmlcodes"/>
        </w:rPr>
        <w:t>&lt;/pre&gt;&lt;p&gt;</w:t>
      </w:r>
      <w:r>
        <w:t>A “nunsoidji” might be someone who is about to enlist, whereas a “soidji”</w:t>
      </w:r>
      <w:r>
        <w:rPr>
          <w:rStyle w:val="deletedparamark"/>
        </w:rPr>
        <w:t xml:space="preserve"> </w:t>
      </w:r>
      <w:r>
        <w:t>might be a camp-follower.</w:t>
      </w:r>
    </w:p>
    <w:p w:rsidR="00B72047" w:rsidRDefault="00B72047">
      <w:pPr>
        <w:rPr>
          <w:rStyle w:val="htmlparacode"/>
        </w:rPr>
      </w:pPr>
      <w:r>
        <w:rPr>
          <w:rStyle w:val="htmlparacode"/>
        </w:rPr>
        <w:t>&lt;p&gt;</w:t>
      </w:r>
    </w:p>
    <w:p w:rsidR="00B72047" w:rsidRDefault="00B72047">
      <w:pPr>
        <w:pStyle w:val="normalparagraph"/>
      </w:pPr>
      <w:r>
        <w:rPr>
          <w:rStyle w:val="indexentry"/>
        </w:rPr>
        <w:t>&lt;cx "abstract lujvo, contrasted with abstract bridi"&gt;</w:t>
      </w:r>
      <w:r>
        <w:rPr>
          <w:rStyle w:val="indexentry"/>
        </w:rPr>
        <w:fldChar w:fldCharType="begin"/>
      </w:r>
      <w:r>
        <w:instrText>xe "</w:instrText>
      </w:r>
      <w:r>
        <w:rPr>
          <w:rStyle w:val="xeentry"/>
        </w:rPr>
        <w:instrText>abstract lujvo: contrasted with abstract bridi</w:instrText>
      </w:r>
      <w:r>
        <w:instrText>"</w:instrText>
      </w:r>
      <w:r>
        <w:rPr>
          <w:rStyle w:val="indexentry"/>
        </w:rPr>
        <w:fldChar w:fldCharType="end"/>
      </w:r>
      <w:r>
        <w:t>One use of abstract lujvo is to eliminate the need for explicit “kei” in</w:t>
      </w:r>
      <w:r>
        <w:rPr>
          <w:rStyle w:val="deletedparamark"/>
        </w:rPr>
        <w:t xml:space="preserve"> </w:t>
      </w:r>
      <w:r>
        <w:t>tanru: “nunkalri gasnu” means much the same as “nu kalri kei gasnu”, but is</w:t>
      </w:r>
      <w:r>
        <w:rPr>
          <w:rStyle w:val="deletedparamark"/>
        </w:rPr>
        <w:t xml:space="preserve"> </w:t>
      </w:r>
      <w:r>
        <w:t>shorter. In addi</w:t>
      </w:r>
      <w:r>
        <w:softHyphen/>
        <w:t>tion, many English words ending in “-hood” are represented</w:t>
      </w:r>
      <w:r>
        <w:rPr>
          <w:rStyle w:val="deletedparamark"/>
        </w:rPr>
        <w:t xml:space="preserve"> </w:t>
      </w:r>
      <w:r>
        <w:t>with “nun-” lujvo, and other words ending in “-ness” or “-dom” are</w:t>
      </w:r>
      <w:r>
        <w:rPr>
          <w:rStyle w:val="deletedparamark"/>
        </w:rPr>
        <w:t xml:space="preserve"> </w:t>
      </w:r>
      <w:r>
        <w:t>often representable with “kam-” lujvo (“kam-” is the rafsi for “ka”);</w:t>
      </w:r>
      <w:r>
        <w:rPr>
          <w:rStyle w:val="deletedparamark"/>
        </w:rPr>
        <w:t xml:space="preserve"> “</w:t>
      </w:r>
      <w:r>
        <w:t>kambla” is “blueness”.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scope abstraction in underlying veljvo"&gt;</w:t>
      </w:r>
      <w:r>
        <w:rPr>
          <w:rStyle w:val="indexentry"/>
        </w:rPr>
        <w:fldChar w:fldCharType="begin"/>
      </w:r>
      <w:r>
        <w:instrText>xe "</w:instrText>
      </w:r>
      <w:r>
        <w:rPr>
          <w:rStyle w:val="xeentry"/>
        </w:rPr>
        <w:instrText>lujvo: scope abstraction in underlying veljvo</w:instrText>
      </w:r>
      <w:r>
        <w:instrText>"</w:instrText>
      </w:r>
      <w:r>
        <w:rPr>
          <w:rStyle w:val="indexentry"/>
        </w:rPr>
        <w:fldChar w:fldCharType="end"/>
      </w:r>
      <w:r>
        <w:t>Even though the cmavo of NU are long-scope in nature, gov</w:t>
      </w:r>
      <w:r>
        <w:softHyphen/>
        <w:t>erning the</w:t>
      </w:r>
      <w:r>
        <w:rPr>
          <w:rStyle w:val="deletedparamark"/>
        </w:rPr>
        <w:t xml:space="preserve"> </w:t>
      </w:r>
      <w:r>
        <w:t>whole fo</w:t>
      </w:r>
      <w:r>
        <w:t>l</w:t>
      </w:r>
      <w:r>
        <w:softHyphen/>
        <w:t>lowing bridi, the NU rafsi should generally be used as short-scope</w:t>
      </w:r>
      <w:r>
        <w:rPr>
          <w:rStyle w:val="deletedparamark"/>
        </w:rPr>
        <w:t xml:space="preserve"> </w:t>
      </w:r>
      <w:r>
        <w:t xml:space="preserve">modifiers, like the SE and NAhE rafsi discussed in </w:t>
      </w:r>
      <w:r>
        <w:rPr>
          <w:rStyle w:val="htmlcodes"/>
        </w:rPr>
        <w:t>&lt;a href=#s9&gt;</w:t>
      </w:r>
      <w:r>
        <w:t>Section 9</w:t>
      </w:r>
      <w:r>
        <w:rPr>
          <w:rStyle w:val="htmlcodes"/>
        </w:rPr>
        <w:t>&lt;/a&gt;</w:t>
      </w:r>
      <w:r>
        <w:t>.</w:t>
      </w:r>
    </w:p>
    <w:p w:rsidR="00B72047" w:rsidRDefault="00B72047">
      <w:pPr>
        <w:pStyle w:val="normalparagraph"/>
        <w:spacing w:before="0"/>
        <w:rPr>
          <w:rStyle w:val="htmlparacode"/>
        </w:rPr>
      </w:pPr>
      <w:r>
        <w:rPr>
          <w:rStyle w:val="htmlparacode"/>
        </w:rPr>
        <w:t>&lt;p&gt;</w:t>
      </w:r>
    </w:p>
    <w:p w:rsidR="00B72047" w:rsidRDefault="00B72047">
      <w:pPr>
        <w:pStyle w:val="normalparagraph"/>
      </w:pPr>
      <w:r>
        <w:rPr>
          <w:rStyle w:val="indexentry"/>
        </w:rPr>
        <w:t>&lt;cx "lujvo, with “jai”"&gt;</w:t>
      </w:r>
      <w:r>
        <w:rPr>
          <w:rStyle w:val="indexentry"/>
        </w:rPr>
        <w:fldChar w:fldCharType="begin"/>
      </w:r>
      <w:r>
        <w:instrText>xe "</w:instrText>
      </w:r>
      <w:r>
        <w:rPr>
          <w:rStyle w:val="xeentry"/>
        </w:rPr>
        <w:instrText>lujvo: with jai</w:instrText>
      </w:r>
      <w:r>
        <w:instrText>"</w:instrText>
      </w:r>
      <w:r>
        <w:rPr>
          <w:rStyle w:val="indexentry"/>
        </w:rPr>
        <w:fldChar w:fldCharType="end"/>
      </w:r>
      <w:r>
        <w:t>There is also a rafsi for the cmavo “jai”, namely “jax”, which allows</w:t>
      </w:r>
      <w:r>
        <w:rPr>
          <w:rStyle w:val="deletedparamark"/>
        </w:rPr>
        <w:t xml:space="preserve"> </w:t>
      </w:r>
      <w:r>
        <w:t>sentences like</w:t>
      </w:r>
    </w:p>
    <w:p w:rsidR="00B72047" w:rsidRDefault="00B72047">
      <w:pPr>
        <w:rPr>
          <w:rStyle w:val="htmlparacode"/>
        </w:rPr>
      </w:pPr>
      <w:r>
        <w:rPr>
          <w:rStyle w:val="htmlparacode"/>
        </w:rPr>
        <w:t>&lt;p&gt;</w:t>
      </w:r>
    </w:p>
    <w:p w:rsidR="00B72047" w:rsidRDefault="00B72047">
      <w:pPr>
        <w:pStyle w:val="examplescaledpre"/>
      </w:pPr>
      <w:r>
        <w:rPr>
          <w:rStyle w:val="indexentry"/>
        </w:rPr>
        <w:t>&lt;ex "cause death"&gt;</w:t>
      </w:r>
      <w:r>
        <w:rPr>
          <w:rStyle w:val="indexentry"/>
        </w:rPr>
        <w:fldChar w:fldCharType="begin"/>
      </w:r>
      <w:r>
        <w:instrText>xe "</w:instrText>
      </w:r>
      <w:r>
        <w:rPr>
          <w:rStyle w:val="xeentry"/>
        </w:rPr>
        <w:instrText>cause death: example</w:instrText>
      </w:r>
      <w:r>
        <w:instrText>"</w:instrText>
      </w:r>
      <w:r>
        <w:rPr>
          <w:rStyle w:val="indexentry"/>
        </w:rPr>
        <w:fldChar w:fldCharType="end"/>
      </w:r>
      <w:r>
        <w:rPr>
          <w:rStyle w:val="htmlcodes"/>
        </w:rPr>
        <w:t>&lt;pre&gt;&lt;a name=e12d7&gt;</w:t>
      </w:r>
      <w:r>
        <w:t>12.7)</w:t>
      </w:r>
      <w:r>
        <w:tab/>
        <w:t>mi jai rinka le nu do morsi</w:t>
      </w:r>
    </w:p>
    <w:p w:rsidR="00B72047" w:rsidRDefault="00B72047">
      <w:pPr>
        <w:pStyle w:val="examplescaled"/>
      </w:pPr>
      <w:r>
        <w:tab/>
        <w:t>I am-associated-with causing the event-of your death.</w:t>
      </w:r>
    </w:p>
    <w:p w:rsidR="00B72047" w:rsidRDefault="00B72047">
      <w:pPr>
        <w:pStyle w:val="examplescaled"/>
      </w:pPr>
      <w:r>
        <w:tab/>
        <w:t>I cause your death.</w:t>
      </w:r>
    </w:p>
    <w:p w:rsidR="00B72047" w:rsidRDefault="00B72047">
      <w:pPr>
        <w:pStyle w:val="resumedafterexample"/>
      </w:pPr>
      <w:r>
        <w:rPr>
          <w:rStyle w:val="htmlcodes"/>
        </w:rPr>
        <w:t>&lt;/pre&gt;</w:t>
      </w:r>
      <w:r>
        <w:t xml:space="preserve">explained in </w:t>
      </w:r>
      <w:r>
        <w:rPr>
          <w:rStyle w:val="htmlcodes"/>
        </w:rPr>
        <w:t>&lt;a href=chap11.html&gt;</w:t>
      </w:r>
      <w:r>
        <w:t>Chapter 11</w:t>
      </w:r>
      <w:r>
        <w:rPr>
          <w:rStyle w:val="htmlcodes"/>
        </w:rPr>
        <w:t>&lt;/a&gt;</w:t>
      </w:r>
      <w:r>
        <w:t>, to be rendered with lujvo: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mi jaxri'a le nu do morsi</w:t>
      </w:r>
    </w:p>
    <w:p w:rsidR="00B72047" w:rsidRDefault="00B72047">
      <w:pPr>
        <w:pStyle w:val="examplescaled"/>
      </w:pPr>
      <w:r>
        <w:tab/>
        <w:t>I am-part-of-the-cause-of the event-of your dying.</w:t>
      </w:r>
    </w:p>
    <w:p w:rsidR="00B72047" w:rsidRDefault="00B72047">
      <w:pPr>
        <w:pStyle w:val="normalafterexample"/>
      </w:pPr>
      <w:r>
        <w:rPr>
          <w:rStyle w:val="htmlcodes"/>
        </w:rPr>
        <w:t>&lt;/pre&gt;</w:t>
      </w:r>
      <w:r>
        <w:rPr>
          <w:rStyle w:val="indexentry"/>
        </w:rPr>
        <w:t>&lt;cx "lujvo place structure, with “jai” lujvo"&gt;</w:t>
      </w:r>
      <w:r>
        <w:rPr>
          <w:rStyle w:val="indexentry"/>
        </w:rPr>
        <w:fldChar w:fldCharType="begin"/>
      </w:r>
      <w:r>
        <w:instrText>xe "</w:instrText>
      </w:r>
      <w:r>
        <w:rPr>
          <w:rStyle w:val="xeentry"/>
        </w:rPr>
        <w:instrText>lujvo place structure: with jai lujvo</w:instrText>
      </w:r>
      <w:r>
        <w:instrText>"</w:instrText>
      </w:r>
      <w:r>
        <w:rPr>
          <w:rStyle w:val="indexentry"/>
        </w:rPr>
        <w:fldChar w:fldCharType="end"/>
      </w:r>
      <w:r>
        <w:rPr>
          <w:rStyle w:val="indexentry"/>
        </w:rPr>
        <w:t>&lt;lx "fai"&gt;</w:t>
      </w:r>
      <w:r>
        <w:rPr>
          <w:rStyle w:val="indexentry"/>
        </w:rPr>
        <w:fldChar w:fldCharType="begin"/>
      </w:r>
      <w:r>
        <w:instrText>xe "</w:instrText>
      </w:r>
      <w:r>
        <w:rPr>
          <w:rStyle w:val="xeentry"/>
        </w:rPr>
        <w:instrText>fai</w:instrText>
      </w:r>
      <w:r>
        <w:instrText>"</w:instrText>
      </w:r>
      <w:r>
        <w:rPr>
          <w:rStyle w:val="indexentry"/>
        </w:rPr>
        <w:fldChar w:fldCharType="end"/>
      </w:r>
      <w:r>
        <w:rPr>
          <w:rStyle w:val="indexentry"/>
        </w:rPr>
        <w:t>&lt;lx "jai"&gt;</w:t>
      </w:r>
      <w:r>
        <w:rPr>
          <w:rStyle w:val="indexentry"/>
        </w:rPr>
        <w:fldChar w:fldCharType="begin"/>
      </w:r>
      <w:r>
        <w:instrText>xe "</w:instrText>
      </w:r>
      <w:r>
        <w:rPr>
          <w:rStyle w:val="xeentry"/>
        </w:rPr>
        <w:instrText>jai</w:instrText>
      </w:r>
      <w:r>
        <w:instrText>"</w:instrText>
      </w:r>
      <w:r>
        <w:rPr>
          <w:rStyle w:val="indexentry"/>
        </w:rPr>
        <w:fldChar w:fldCharType="end"/>
      </w:r>
      <w:r>
        <w:t>In making a lujvo that contains “jax-” for a selbri that contains “jai”, the</w:t>
      </w:r>
      <w:r>
        <w:rPr>
          <w:rStyle w:val="deletedparamark"/>
        </w:rPr>
        <w:t xml:space="preserve"> </w:t>
      </w:r>
      <w:r>
        <w:t>rule is to leave the “fai” place as a “fai” place of the lujvo; it does not</w:t>
      </w:r>
      <w:r>
        <w:rPr>
          <w:rStyle w:val="deletedparamark"/>
        </w:rPr>
        <w:t xml:space="preserve"> </w:t>
      </w:r>
      <w:r>
        <w:t>participate in the regular luj</w:t>
      </w:r>
      <w:r>
        <w:softHyphen/>
        <w:t>vo place structure. (The use of “fai” is</w:t>
      </w:r>
      <w:r>
        <w:rPr>
          <w:rStyle w:val="deletedparamark"/>
        </w:rPr>
        <w:t xml:space="preserve"> </w:t>
      </w:r>
      <w:r>
        <w:t xml:space="preserve">also explained in </w:t>
      </w:r>
      <w:r>
        <w:rPr>
          <w:rStyle w:val="htmlcodes"/>
        </w:rPr>
        <w:t>&lt;a href=chap11.html&gt;</w:t>
      </w:r>
      <w:r>
        <w:t>Chapter 11</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389" w:name="_Toc398970632"/>
      <w:r>
        <w:rPr>
          <w:rStyle w:val="Heading3Text"/>
        </w:rPr>
        <w:t>Implicit-abstraction lujvo</w:t>
      </w:r>
      <w:bookmarkEnd w:id="38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dropping NU rafsi"&gt;</w:t>
      </w:r>
      <w:r>
        <w:rPr>
          <w:rStyle w:val="indexentry"/>
        </w:rPr>
        <w:fldChar w:fldCharType="begin"/>
      </w:r>
      <w:r>
        <w:instrText>xe "</w:instrText>
      </w:r>
      <w:r>
        <w:rPr>
          <w:rStyle w:val="xeentry"/>
        </w:rPr>
        <w:instrText>lujvo: dropping NU rafsi</w:instrText>
      </w:r>
      <w:r>
        <w:instrText>"</w:instrText>
      </w:r>
      <w:r>
        <w:rPr>
          <w:rStyle w:val="indexentry"/>
        </w:rPr>
        <w:fldChar w:fldCharType="end"/>
      </w:r>
      <w:r>
        <w:t>Eliding NU rafsi involves the same restrictions as eliding SE rafsi,</w:t>
      </w:r>
      <w:r>
        <w:rPr>
          <w:rStyle w:val="deletedparamark"/>
        </w:rPr>
        <w:t xml:space="preserve"> </w:t>
      </w:r>
      <w:r>
        <w:t>plus addi</w:t>
      </w:r>
      <w:r>
        <w:softHyphen/>
        <w:t>tional ones. In general, NU rafsi should not be elided</w:t>
      </w:r>
      <w:r>
        <w:rPr>
          <w:rStyle w:val="deletedparamark"/>
        </w:rPr>
        <w:t xml:space="preserve"> </w:t>
      </w:r>
      <w:r>
        <w:t>from the tertau, since that changes the kind of thing the lujvo is</w:t>
      </w:r>
      <w:r>
        <w:rPr>
          <w:rStyle w:val="deletedparamark"/>
        </w:rPr>
        <w:t xml:space="preserve"> </w:t>
      </w:r>
      <w:r>
        <w:t>talk</w:t>
      </w:r>
      <w:r>
        <w:softHyphen/>
        <w:t>ing about from an abstraction to a concrete sumti. However, they may</w:t>
      </w:r>
      <w:r>
        <w:rPr>
          <w:rStyle w:val="deletedparamark"/>
        </w:rPr>
        <w:t xml:space="preserve"> </w:t>
      </w:r>
      <w:r>
        <w:t>be elided from the seltau if no reasonable ambiguity would result.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NU-dropping contrasted with SE-dropping"&gt;</w:t>
      </w:r>
      <w:r>
        <w:rPr>
          <w:rStyle w:val="indexentry"/>
        </w:rPr>
        <w:fldChar w:fldCharType="begin"/>
      </w:r>
      <w:r>
        <w:instrText>xe "</w:instrText>
      </w:r>
      <w:r>
        <w:rPr>
          <w:rStyle w:val="xeentry"/>
        </w:rPr>
        <w:instrText>lujvo: NU-dropping contrasted with SE-dropping</w:instrText>
      </w:r>
      <w:r>
        <w:instrText>"</w:instrText>
      </w:r>
      <w:r>
        <w:rPr>
          <w:rStyle w:val="indexentry"/>
        </w:rPr>
        <w:fldChar w:fldCharType="end"/>
      </w:r>
      <w:r>
        <w:rPr>
          <w:rStyle w:val="indexentry"/>
        </w:rPr>
        <w:t>&lt;cx "lujvo, implicit-abstraction"&gt;</w:t>
      </w:r>
      <w:r>
        <w:rPr>
          <w:rStyle w:val="indexentry"/>
        </w:rPr>
        <w:fldChar w:fldCharType="begin"/>
      </w:r>
      <w:r>
        <w:instrText>xe "</w:instrText>
      </w:r>
      <w:r>
        <w:rPr>
          <w:rStyle w:val="xeentry"/>
        </w:rPr>
        <w:instrText>lujvo: implicit-abstraction</w:instrText>
      </w:r>
      <w:r>
        <w:instrText>"</w:instrText>
      </w:r>
      <w:r>
        <w:rPr>
          <w:rStyle w:val="indexentry"/>
        </w:rPr>
        <w:fldChar w:fldCharType="end"/>
      </w:r>
      <w:r>
        <w:t>A major difference, however, between SE elision and NU eli</w:t>
      </w:r>
      <w:r>
        <w:softHyphen/>
        <w:t>sion is that the</w:t>
      </w:r>
      <w:r>
        <w:rPr>
          <w:rStyle w:val="deletedparamark"/>
        </w:rPr>
        <w:t xml:space="preserve"> </w:t>
      </w:r>
      <w:r>
        <w:t>former is a rather sparse process, providing a few convenient shortenings.</w:t>
      </w:r>
      <w:r>
        <w:rPr>
          <w:rStyle w:val="deletedparamark"/>
        </w:rPr>
        <w:t xml:space="preserve"> </w:t>
      </w:r>
      <w:r>
        <w:t>Eliding “nu”, however, is extremely important in producing a class</w:t>
      </w:r>
      <w:r>
        <w:rPr>
          <w:rStyle w:val="deletedparamark"/>
        </w:rPr>
        <w:t xml:space="preserve"> </w:t>
      </w:r>
      <w:r>
        <w:t>of lujvo called “implicit-abstrac</w:t>
      </w:r>
      <w:r>
        <w:softHyphen/>
        <w:t>tion lujvo”.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"feed"&gt;</w:t>
      </w:r>
      <w:r>
        <w:rPr>
          <w:rStyle w:val="indexentry"/>
        </w:rPr>
        <w:fldChar w:fldCharType="begin"/>
      </w:r>
      <w:r>
        <w:instrText>xe "</w:instrText>
      </w:r>
      <w:r>
        <w:rPr>
          <w:rStyle w:val="xeentry"/>
        </w:rPr>
        <w:instrText>feed: example</w:instrText>
      </w:r>
      <w:r>
        <w:instrText>"</w:instrText>
      </w:r>
      <w:r>
        <w:rPr>
          <w:rStyle w:val="indexentry"/>
        </w:rPr>
        <w:fldChar w:fldCharType="end"/>
      </w:r>
      <w:r>
        <w:t>Let us make a detailed analysis of the lujvo “nunctikezgau”, meaning “to</w:t>
      </w:r>
      <w:r>
        <w:rPr>
          <w:rStyle w:val="deletedparamark"/>
        </w:rPr>
        <w:t xml:space="preserve"> </w:t>
      </w:r>
      <w:r>
        <w:t>feed”. (If you think this lujvo is excessively longwinded, be patient.)</w:t>
      </w:r>
      <w:r>
        <w:rPr>
          <w:rStyle w:val="deletedparamark"/>
        </w:rPr>
        <w:t xml:space="preserve"> </w:t>
      </w:r>
      <w:r>
        <w:t>The veljvo of “nunctikezgau” is “nu citka kei gasnu”. The relevant place</w:t>
      </w:r>
      <w:r>
        <w:rPr>
          <w:rStyle w:val="deletedparamark"/>
        </w:rPr>
        <w:t xml:space="preserve"> </w:t>
      </w:r>
      <w:r>
        <w:t>structures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“nu”:  n1 is an event</w:t>
      </w:r>
    </w:p>
    <w:p w:rsidR="00B72047" w:rsidRDefault="00B72047">
      <w:pPr>
        <w:pStyle w:val="examplescaled"/>
      </w:pPr>
      <w:r>
        <w:tab/>
        <w:t>“citka”:  c1 eats c2</w:t>
      </w:r>
    </w:p>
    <w:p w:rsidR="00B72047" w:rsidRDefault="00B72047">
      <w:pPr>
        <w:pStyle w:val="examplescaled"/>
      </w:pPr>
      <w:r>
        <w:tab/>
        <w:t>“gasnu”:  g1 does action/is the agent of event g2</w:t>
      </w:r>
    </w:p>
    <w:p w:rsidR="00B72047" w:rsidRDefault="00B72047">
      <w:pPr>
        <w:pStyle w:val="normalafterexample"/>
      </w:pPr>
      <w:r>
        <w:rPr>
          <w:rStyle w:val="htmlcodes"/>
        </w:rPr>
        <w:t>&lt;/pre&gt;&lt;p&gt;</w:t>
      </w:r>
      <w:r>
        <w:t>In accordance with the procedure for analyzing three-part luj</w:t>
      </w:r>
      <w:r>
        <w:softHyphen/>
        <w:t>vo given</w:t>
      </w:r>
      <w:r>
        <w:rPr>
          <w:rStyle w:val="deletedparamark"/>
        </w:rPr>
        <w:t xml:space="preserve"> </w:t>
      </w:r>
      <w:r>
        <w:t xml:space="preserve">in </w:t>
      </w:r>
      <w:r>
        <w:rPr>
          <w:rStyle w:val="htmlcodes"/>
        </w:rPr>
        <w:t>&lt;a href=#s8&gt;</w:t>
      </w:r>
      <w:r>
        <w:t>Sec</w:t>
      </w:r>
      <w:r>
        <w:softHyphen/>
        <w:t>tion 8</w:t>
      </w:r>
      <w:r>
        <w:rPr>
          <w:rStyle w:val="htmlcodes"/>
        </w:rPr>
        <w:t>&lt;/a&gt;</w:t>
      </w:r>
      <w:r>
        <w:t>, we will first create an intermediate lujvo, “nuncti”, whose</w:t>
      </w:r>
      <w:r>
        <w:rPr>
          <w:rStyle w:val="deletedparamark"/>
        </w:rPr>
        <w:t xml:space="preserve"> </w:t>
      </w:r>
      <w:r>
        <w:t xml:space="preserve">veljvo is “nu citka [kei]”. By the rules given in </w:t>
      </w:r>
      <w:r>
        <w:rPr>
          <w:rStyle w:val="htmlcodes"/>
        </w:rPr>
        <w:t>&lt;a href=#s12&gt;</w:t>
      </w:r>
      <w:r>
        <w:t>Section 12</w:t>
      </w:r>
      <w:r>
        <w:rPr>
          <w:rStyle w:val="htmlcodes"/>
        </w:rPr>
        <w:t>&lt;/a&gt;</w:t>
      </w:r>
      <w:r>
        <w:t>, “nuncti” has</w:t>
      </w:r>
      <w:r>
        <w:rPr>
          <w:rStyle w:val="deletedparamark"/>
        </w:rPr>
        <w:t xml:space="preserve"> </w:t>
      </w:r>
      <w:r>
        <w:t>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n1 is the event of c1 eating c2</w:t>
      </w:r>
    </w:p>
    <w:p w:rsidR="00B72047" w:rsidRDefault="00B72047">
      <w:pPr>
        <w:pStyle w:val="normalafterexample"/>
      </w:pPr>
      <w:r>
        <w:rPr>
          <w:rStyle w:val="htmlcodes"/>
        </w:rPr>
        <w:t>&lt;/pre&gt;</w:t>
      </w:r>
      <w:r>
        <w:rPr>
          <w:rStyle w:val="indexentry"/>
        </w:rPr>
        <w:t>&lt;cx "lujvo place structure, dropping first place of NU"&gt;</w:t>
      </w:r>
      <w:r>
        <w:rPr>
          <w:rStyle w:val="indexentry"/>
        </w:rPr>
        <w:fldChar w:fldCharType="begin"/>
      </w:r>
      <w:r>
        <w:instrText>xe "</w:instrText>
      </w:r>
      <w:r>
        <w:rPr>
          <w:rStyle w:val="xeentry"/>
        </w:rPr>
        <w:instrText>lujvo place structure: dropping first place of NU</w:instrText>
      </w:r>
      <w:r>
        <w:instrText>"</w:instrText>
      </w:r>
      <w:r>
        <w:rPr>
          <w:rStyle w:val="indexentry"/>
        </w:rPr>
        <w:fldChar w:fldCharType="end"/>
      </w:r>
      <w:r>
        <w:t>Now we can transform the veljvo of “nunctikezgau” into “nuncti gasnu”. The</w:t>
      </w:r>
      <w:r>
        <w:rPr>
          <w:rStyle w:val="deletedparamark"/>
        </w:rPr>
        <w:t xml:space="preserve"> </w:t>
      </w:r>
      <w:r>
        <w:t>g2 place (what is brought about by the actor g1) obviously denotes the</w:t>
      </w:r>
      <w:r>
        <w:rPr>
          <w:rStyle w:val="deletedparamark"/>
        </w:rPr>
        <w:t xml:space="preserve"> </w:t>
      </w:r>
      <w:r>
        <w:t>same thing as n1 (the event of eating). So we can eliminate g2 as redundant,</w:t>
      </w:r>
      <w:r>
        <w:rPr>
          <w:rStyle w:val="deletedparamark"/>
        </w:rPr>
        <w:t xml:space="preserve"> </w:t>
      </w:r>
      <w:r>
        <w:t>leaving us with a tentative place structure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g1 is the actor in the event n1=g2 of c1 eating c2</w:t>
      </w:r>
    </w:p>
    <w:p w:rsidR="00B72047" w:rsidRDefault="00B72047">
      <w:pPr>
        <w:pStyle w:val="normalafterexample"/>
      </w:pPr>
      <w:r>
        <w:rPr>
          <w:rStyle w:val="htmlcodes"/>
        </w:rPr>
        <w:t>&lt;/pre&gt;&lt;p&gt;</w:t>
      </w:r>
      <w:r>
        <w:t>But it is also possible to omit the n1 place itself! The n1 place describes</w:t>
      </w:r>
      <w:r>
        <w:rPr>
          <w:rStyle w:val="deletedparamark"/>
        </w:rPr>
        <w:t xml:space="preserve"> </w:t>
      </w:r>
      <w:r>
        <w:t>the event brought about; an event in Lojban is described as a bridi,</w:t>
      </w:r>
      <w:r>
        <w:rPr>
          <w:rStyle w:val="deletedparamark"/>
        </w:rPr>
        <w:t xml:space="preserve"> </w:t>
      </w:r>
      <w:r>
        <w:t>by a selbri and its sumti; the selbri is already known (it's the seltau),</w:t>
      </w:r>
      <w:r>
        <w:rPr>
          <w:rStyle w:val="deletedparamark"/>
        </w:rPr>
        <w:t xml:space="preserve"> </w:t>
      </w:r>
      <w:r>
        <w:t>and the sumti are also already known (they're in the lujvo place structure).</w:t>
      </w:r>
      <w:r>
        <w:rPr>
          <w:rStyle w:val="deletedparamark"/>
        </w:rPr>
        <w:t xml:space="preserve"> </w:t>
      </w:r>
      <w:r>
        <w:t>So n1 would not give us any information we didn't already know.</w:t>
      </w:r>
      <w:r>
        <w:rPr>
          <w:rStyle w:val="deletedparamark"/>
        </w:rPr>
        <w:t xml:space="preserve"> </w:t>
      </w:r>
      <w:r>
        <w:t>In fact, the n1=g2 place is dependent on c1 and c2 jointly — it does not</w:t>
      </w:r>
      <w:r>
        <w:rPr>
          <w:rStyle w:val="deletedparamark"/>
        </w:rPr>
        <w:t xml:space="preserve"> </w:t>
      </w:r>
      <w:r>
        <w:t>depend on either c1 or c2 by itself. Being de</w:t>
      </w:r>
      <w:r>
        <w:softHyphen/>
        <w:t>pendent and derived from the</w:t>
      </w:r>
      <w:r>
        <w:rPr>
          <w:rStyle w:val="deletedparamark"/>
        </w:rPr>
        <w:t xml:space="preserve"> </w:t>
      </w:r>
      <w:r>
        <w:t>seltau, it is omissible.</w:t>
      </w:r>
    </w:p>
    <w:p w:rsidR="00B72047" w:rsidRDefault="00B72047">
      <w:pPr>
        <w:pStyle w:val="resumedafterexample"/>
        <w:spacing w:before="0"/>
      </w:pPr>
      <w:r>
        <w:t>So the final place structure of “nunctikezgau”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name=e13d4&gt;</w:t>
      </w:r>
      <w:r>
        <w:t>13.4)</w:t>
      </w:r>
      <w:r>
        <w:tab/>
        <w:t>g1 is the actor in the event of c1 eating c2</w:t>
      </w:r>
    </w:p>
    <w:p w:rsidR="00B72047" w:rsidRDefault="00B72047">
      <w:pPr>
        <w:pStyle w:val="normalafterexample"/>
      </w:pPr>
      <w:r>
        <w:rPr>
          <w:rStyle w:val="htmlcodes"/>
        </w:rPr>
        <w:t>&lt;/pre&gt;</w:t>
      </w:r>
      <w:r>
        <w:rPr>
          <w:rStyle w:val="indexentry"/>
        </w:rPr>
        <w:t>&lt;cx "lujvo, asymmetric abstraction"&gt;</w:t>
      </w:r>
      <w:r>
        <w:rPr>
          <w:rStyle w:val="indexentry"/>
        </w:rPr>
        <w:fldChar w:fldCharType="begin"/>
      </w:r>
      <w:r>
        <w:instrText>xe "</w:instrText>
      </w:r>
      <w:r>
        <w:rPr>
          <w:rStyle w:val="xeentry"/>
        </w:rPr>
        <w:instrText>lujvo: asymmetric abstraction</w:instrText>
      </w:r>
      <w:r>
        <w:instrText>"</w:instrText>
      </w:r>
      <w:r>
        <w:rPr>
          <w:rStyle w:val="indexentry"/>
        </w:rPr>
        <w:fldChar w:fldCharType="end"/>
      </w:r>
      <w:r>
        <w:rPr>
          <w:rStyle w:val="indexentry"/>
        </w:rPr>
        <w:t>&lt;cx "abstraction lujvo, asymmetric"&gt;</w:t>
      </w:r>
      <w:r>
        <w:rPr>
          <w:rStyle w:val="indexentry"/>
        </w:rPr>
        <w:fldChar w:fldCharType="begin"/>
      </w:r>
      <w:r>
        <w:instrText>xe "</w:instrText>
      </w:r>
      <w:r>
        <w:rPr>
          <w:rStyle w:val="xeentry"/>
        </w:rPr>
        <w:instrText>abstraction lujvo: asymmetric</w:instrText>
      </w:r>
      <w:r>
        <w:instrText>"</w:instrText>
      </w:r>
      <w:r>
        <w:rPr>
          <w:rStyle w:val="indexentry"/>
        </w:rPr>
        <w:fldChar w:fldCharType="end"/>
      </w:r>
      <w:r>
        <w:t>There is one further step that can be taken. As we have al</w:t>
      </w:r>
      <w:r>
        <w:softHyphen/>
        <w:t>ready seen with</w:t>
      </w:r>
      <w:r>
        <w:rPr>
          <w:rStyle w:val="deletedparamark"/>
        </w:rPr>
        <w:t xml:space="preserve"> “</w:t>
      </w:r>
      <w:r>
        <w:t xml:space="preserve">balsoi” in </w:t>
      </w:r>
      <w:r>
        <w:rPr>
          <w:rStyle w:val="htmlcodes"/>
        </w:rPr>
        <w:t>&lt;a href=#s5&gt;</w:t>
      </w:r>
      <w:r>
        <w:t>Section 5</w:t>
      </w:r>
      <w:r>
        <w:rPr>
          <w:rStyle w:val="htmlcodes"/>
        </w:rPr>
        <w:t>&lt;/a&gt;</w:t>
      </w:r>
      <w:r>
        <w:t>, the interpretation of lujvo is constrained by the</w:t>
      </w:r>
      <w:r>
        <w:rPr>
          <w:rStyle w:val="deletedparamark"/>
        </w:rPr>
        <w:t xml:space="preserve"> </w:t>
      </w:r>
      <w:r>
        <w:t>semantics of gismu and of their sumti places. Now, any asymmetrical lujvo</w:t>
      </w:r>
      <w:r>
        <w:rPr>
          <w:rStyle w:val="deletedparamark"/>
        </w:rPr>
        <w:t xml:space="preserve"> </w:t>
      </w:r>
      <w:r>
        <w:t>with “gasnu” as its tertau will involve an event abstraction either</w:t>
      </w:r>
      <w:r>
        <w:rPr>
          <w:rStyle w:val="deletedparamark"/>
        </w:rPr>
        <w:t xml:space="preserve"> </w:t>
      </w:r>
      <w:r>
        <w:t>implicitly or explicitly, since that is how the g2 place of “gasnu” is</w:t>
      </w:r>
      <w:r>
        <w:rPr>
          <w:rStyle w:val="deletedparamark"/>
        </w:rPr>
        <w:t xml:space="preserve"> </w:t>
      </w:r>
      <w:r>
        <w:t>defined.</w:t>
      </w:r>
    </w:p>
    <w:p w:rsidR="00B72047" w:rsidRDefault="00B72047">
      <w:pPr>
        <w:rPr>
          <w:rStyle w:val="htmlparacode"/>
        </w:rPr>
      </w:pPr>
      <w:r>
        <w:rPr>
          <w:rStyle w:val="htmlparacode"/>
        </w:rPr>
        <w:t>&lt;p&gt;</w:t>
      </w:r>
    </w:p>
    <w:p w:rsidR="00B72047" w:rsidRDefault="00B72047">
      <w:pPr>
        <w:pStyle w:val="normalparagraph"/>
      </w:pPr>
      <w:r>
        <w:rPr>
          <w:rStyle w:val="indexentry"/>
        </w:rPr>
        <w:t>&lt;cx "lujvo, dropping NU in implicit abstractions"&gt;</w:t>
      </w:r>
      <w:r>
        <w:rPr>
          <w:rStyle w:val="indexentry"/>
        </w:rPr>
        <w:fldChar w:fldCharType="begin"/>
      </w:r>
      <w:r>
        <w:instrText>xe "</w:instrText>
      </w:r>
      <w:r>
        <w:rPr>
          <w:rStyle w:val="xeentry"/>
        </w:rPr>
        <w:instrText>lujvo: dropping NU in implicit abstractions</w:instrText>
      </w:r>
      <w:r>
        <w:instrText>"</w:instrText>
      </w:r>
      <w:r>
        <w:rPr>
          <w:rStyle w:val="indexentry"/>
        </w:rPr>
        <w:fldChar w:fldCharType="end"/>
      </w:r>
      <w:r>
        <w:t>Therefore, if we assume that “nu” is the type of abstraction one would</w:t>
      </w:r>
      <w:r>
        <w:rPr>
          <w:rStyle w:val="deletedparamark"/>
        </w:rPr>
        <w:t xml:space="preserve"> </w:t>
      </w:r>
      <w:r>
        <w:t>expect to be a “se gasnu”, then the rafsi “nun” and “kez” in “nunctikezgau”</w:t>
      </w:r>
      <w:r>
        <w:rPr>
          <w:rStyle w:val="deletedparamark"/>
        </w:rPr>
        <w:t xml:space="preserve"> </w:t>
      </w:r>
      <w:r>
        <w:t>are only telling us what we would already have guessed — that the seltau</w:t>
      </w:r>
      <w:r>
        <w:rPr>
          <w:rStyle w:val="deletedparamark"/>
        </w:rPr>
        <w:t xml:space="preserve"> </w:t>
      </w:r>
      <w:r>
        <w:t>of a “gasnu” lujvo is an event. If we drop these rafsi out, and use instead</w:t>
      </w:r>
      <w:r>
        <w:rPr>
          <w:rStyle w:val="deletedparamark"/>
        </w:rPr>
        <w:t xml:space="preserve"> </w:t>
      </w:r>
      <w:r>
        <w:t>the shorter lujvo “ctigau”, rejecting its symmet</w:t>
      </w:r>
      <w:r>
        <w:softHyphen/>
        <w:t>rical inte</w:t>
      </w:r>
      <w:r>
        <w:t>r</w:t>
      </w:r>
      <w:r>
        <w:softHyphen/>
        <w:t>pretation</w:t>
      </w:r>
      <w:r>
        <w:rPr>
          <w:rStyle w:val="deletedparamark"/>
        </w:rPr>
        <w:t xml:space="preserve"> </w:t>
      </w:r>
      <w:r>
        <w:t>(“someone who both does and eats”; “an eating doer”), we can still deduce</w:t>
      </w:r>
      <w:r>
        <w:rPr>
          <w:rStyle w:val="deletedparamark"/>
        </w:rPr>
        <w:t xml:space="preserve"> </w:t>
      </w:r>
      <w:r>
        <w:t>that the seltau refers to an event.</w:t>
      </w:r>
    </w:p>
    <w:p w:rsidR="00B72047" w:rsidRDefault="00B72047">
      <w:pPr>
        <w:pStyle w:val="normalparagraph"/>
        <w:rPr>
          <w:rStyle w:val="htmlparacode"/>
        </w:rPr>
      </w:pPr>
      <w:r>
        <w:rPr>
          <w:rStyle w:val="htmlparacode"/>
        </w:rPr>
        <w:t>&lt;p&gt;</w:t>
      </w:r>
    </w:p>
    <w:p w:rsidR="00B72047" w:rsidRDefault="00B72047">
      <w:pPr>
        <w:pStyle w:val="normalparagraph"/>
      </w:pPr>
      <w:r>
        <w:t>(You can't “do an eater”/“gasnu lo citka”, with the meaning of “do” as</w:t>
      </w:r>
      <w:r>
        <w:rPr>
          <w:rStyle w:val="deletedparamark"/>
        </w:rPr>
        <w:t xml:space="preserve"> “</w:t>
      </w:r>
      <w:r>
        <w:t>bring about an event”; so the seltau must refer to an event, “nu citka”.</w:t>
      </w:r>
      <w:r>
        <w:rPr>
          <w:rStyle w:val="deletedparamark"/>
        </w:rPr>
        <w:t xml:space="preserve"> </w:t>
      </w:r>
      <w:r>
        <w:t>The English slang meanings of “do someone”, namely “socialize with someone”</w:t>
      </w:r>
      <w:r>
        <w:rPr>
          <w:rStyle w:val="deletedparamark"/>
        </w:rPr>
        <w:t xml:space="preserve"> </w:t>
      </w:r>
      <w:r>
        <w:t>and “have sex with someone”, are not rele</w:t>
      </w:r>
      <w:r>
        <w:softHyphen/>
        <w:t>vant to “gasnu”.)</w:t>
      </w:r>
    </w:p>
    <w:p w:rsidR="00B72047" w:rsidRDefault="00B72047">
      <w:pPr>
        <w:pStyle w:val="normalparagraph"/>
        <w:rPr>
          <w:rStyle w:val="htmlparacode"/>
        </w:rPr>
      </w:pPr>
      <w:r>
        <w:rPr>
          <w:rStyle w:val="htmlparacode"/>
        </w:rPr>
        <w:t>&lt;p&gt;</w:t>
      </w:r>
    </w:p>
    <w:p w:rsidR="00B72047" w:rsidRDefault="00B72047">
      <w:pPr>
        <w:pStyle w:val="normalparagraph"/>
      </w:pPr>
      <w:r>
        <w:t>So we can simply use “ctigau” with the same place structure as “nunctikezgau”: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agent g1 causes c1 to eat c2</w:t>
      </w:r>
    </w:p>
    <w:p w:rsidR="00B72047" w:rsidRDefault="00B72047">
      <w:pPr>
        <w:pStyle w:val="examplescaled"/>
      </w:pPr>
      <w:r>
        <w:tab/>
        <w:t>g1 feeds c2 to c1.</w:t>
      </w:r>
    </w:p>
    <w:p w:rsidR="00B72047" w:rsidRDefault="00B72047">
      <w:pPr>
        <w:pStyle w:val="normalafterexample"/>
      </w:pPr>
      <w:r>
        <w:rPr>
          <w:rStyle w:val="htmlcodes"/>
        </w:rPr>
        <w:t>&lt;/pre&gt;</w:t>
      </w:r>
      <w:r>
        <w:rPr>
          <w:rStyle w:val="indexentry"/>
        </w:rPr>
        <w:t>&lt;cx "implicit-abstraction lujvo, definition"&gt;</w:t>
      </w:r>
      <w:r>
        <w:rPr>
          <w:rStyle w:val="indexentry"/>
        </w:rPr>
        <w:fldChar w:fldCharType="begin"/>
      </w:r>
      <w:r>
        <w:instrText>xe "</w:instrText>
      </w:r>
      <w:r>
        <w:rPr>
          <w:rStyle w:val="xeentry"/>
        </w:rPr>
        <w:instrText>implicit-abstraction lujvo: definition</w:instrText>
      </w:r>
      <w:r>
        <w:instrText>"</w:instrText>
      </w:r>
      <w:r>
        <w:rPr>
          <w:rStyle w:val="indexentry"/>
        </w:rPr>
        <w:fldChar w:fldCharType="end"/>
      </w:r>
      <w:r>
        <w:t>This particular kind of asymmetrical lujvo, in which the seltau serves as</w:t>
      </w:r>
      <w:r>
        <w:rPr>
          <w:rStyle w:val="deletedparamark"/>
        </w:rPr>
        <w:t xml:space="preserve"> </w:t>
      </w:r>
      <w:r>
        <w:t>the selbri of an abstraction which is a place of the tertau, is called</w:t>
      </w:r>
      <w:r>
        <w:rPr>
          <w:rStyle w:val="deletedparamark"/>
        </w:rPr>
        <w:t xml:space="preserve"> </w:t>
      </w:r>
      <w:r>
        <w:t>an implicit-abstraction lujvo, b</w:t>
      </w:r>
      <w:r>
        <w:t>e</w:t>
      </w:r>
      <w:r>
        <w:softHyphen/>
        <w:t>cause one deduces the pres</w:t>
      </w:r>
      <w:r>
        <w:softHyphen/>
        <w:t>ence of an</w:t>
      </w:r>
      <w:r>
        <w:rPr>
          <w:rStyle w:val="deletedparamark"/>
        </w:rPr>
        <w:t xml:space="preserve"> </w:t>
      </w:r>
      <w:r>
        <w:t>abstraction which is unexpressed (implicit).</w:t>
      </w:r>
    </w:p>
    <w:p w:rsidR="00B72047" w:rsidRDefault="00B72047">
      <w:pPr>
        <w:rPr>
          <w:rStyle w:val="htmlparacode"/>
        </w:rPr>
      </w:pPr>
      <w:r>
        <w:rPr>
          <w:rStyle w:val="htmlparacode"/>
        </w:rPr>
        <w:t>&lt;p&gt;</w:t>
      </w:r>
    </w:p>
    <w:p w:rsidR="00B72047" w:rsidRDefault="00B72047">
      <w:pPr>
        <w:pStyle w:val="normalparagraph"/>
      </w:pPr>
      <w:r>
        <w:rPr>
          <w:rStyle w:val="indexentry"/>
        </w:rPr>
        <w:t>&lt;ex "replace"&gt;</w:t>
      </w:r>
      <w:r>
        <w:rPr>
          <w:rStyle w:val="indexentry"/>
        </w:rPr>
        <w:fldChar w:fldCharType="begin"/>
      </w:r>
      <w:r>
        <w:instrText>xe "</w:instrText>
      </w:r>
      <w:r>
        <w:rPr>
          <w:rStyle w:val="xeentry"/>
        </w:rPr>
        <w:instrText>replace: example</w:instrText>
      </w:r>
      <w:r>
        <w:instrText>"</w:instrText>
      </w:r>
      <w:r>
        <w:rPr>
          <w:rStyle w:val="indexentry"/>
        </w:rPr>
        <w:fldChar w:fldCharType="end"/>
      </w:r>
      <w:r>
        <w:t>To give another example: the gismu “basti”, whose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name=e13d6&gt;</w:t>
      </w:r>
      <w:r>
        <w:t>13.6)</w:t>
      </w:r>
      <w:r>
        <w:tab/>
        <w:t>b1 replaces b2 in circumstances b3</w:t>
      </w:r>
    </w:p>
    <w:p w:rsidR="00B72047" w:rsidRDefault="00B72047">
      <w:pPr>
        <w:pStyle w:val="resumedafterexample"/>
      </w:pPr>
      <w:r>
        <w:rPr>
          <w:rStyle w:val="htmlcodes"/>
        </w:rPr>
        <w:t>&lt;/pre&gt;</w:t>
      </w:r>
      <w:r>
        <w:t>can form the lujvo “basygau”, with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name=e13d7&gt;</w:t>
      </w:r>
      <w:r>
        <w:t>13.7)</w:t>
      </w:r>
      <w:r>
        <w:tab/>
        <w:t>g1 (agent) replaces b1 with b2 in circumstances b3</w:t>
      </w:r>
    </w:p>
    <w:p w:rsidR="00B72047" w:rsidRDefault="00B72047">
      <w:pPr>
        <w:pStyle w:val="resumedafterexample"/>
      </w:pPr>
      <w:r>
        <w:rPr>
          <w:rStyle w:val="htmlcodes"/>
        </w:rPr>
        <w:t>&lt;/pre&gt;</w:t>
      </w:r>
      <w:r>
        <w:t>where both “basti” and “basygau” are translated “replace” in English,</w:t>
      </w:r>
      <w:r>
        <w:rPr>
          <w:rStyle w:val="deletedparamark"/>
        </w:rPr>
        <w:t xml:space="preserve"> </w:t>
      </w:r>
      <w:r>
        <w:t>but represent dif</w:t>
      </w:r>
      <w:r>
        <w:softHyphen/>
        <w:t>ferent relations: “basti” may be used with no mention</w:t>
      </w:r>
      <w:r>
        <w:rPr>
          <w:rStyle w:val="deletedparamark"/>
        </w:rPr>
        <w:t xml:space="preserve"> </w:t>
      </w:r>
      <w:r>
        <w:t>of any agent doing the replacing.</w:t>
      </w:r>
    </w:p>
    <w:p w:rsidR="00B72047" w:rsidRDefault="00B72047">
      <w:pPr>
        <w:rPr>
          <w:rStyle w:val="htmlparacode"/>
        </w:rPr>
      </w:pPr>
      <w:r>
        <w:rPr>
          <w:rStyle w:val="htmlparacode"/>
        </w:rPr>
        <w:t>&lt;p&gt;</w:t>
      </w:r>
    </w:p>
    <w:p w:rsidR="00B72047" w:rsidRDefault="00B72047">
      <w:pPr>
        <w:pStyle w:val="normalparagraph"/>
      </w:pPr>
      <w:r>
        <w:t>In addition, “gasnu”-based lujvo can be built from what we would consider</w:t>
      </w:r>
      <w:r>
        <w:rPr>
          <w:rStyle w:val="deletedparamark"/>
        </w:rPr>
        <w:t xml:space="preserve"> </w:t>
      </w:r>
      <w:r>
        <w:t>nouns or adjectives in English. In Lojban, everything is a predicate, so</w:t>
      </w:r>
      <w:r>
        <w:rPr>
          <w:rStyle w:val="deletedparamark"/>
        </w:rPr>
        <w:t xml:space="preserve"> </w:t>
      </w:r>
      <w:r>
        <w:t>adjectives, nouns and verbs are all treated in the same way. This is</w:t>
      </w:r>
      <w:r>
        <w:rPr>
          <w:rStyle w:val="deletedparamark"/>
        </w:rPr>
        <w:t xml:space="preserve"> </w:t>
      </w:r>
      <w:r>
        <w:t>consistent with the use of similar causative affixes in other languages.</w:t>
      </w:r>
      <w:r>
        <w:rPr>
          <w:rStyle w:val="deletedparamark"/>
        </w:rPr>
        <w:t xml:space="preserve"> </w:t>
      </w:r>
      <w:r>
        <w:t>For example, the gismu “litki”, meaning “liquid”, with the place</w:t>
      </w:r>
      <w:r>
        <w:rPr>
          <w:rStyle w:val="deletedparamark"/>
        </w:rPr>
        <w:t xml:space="preserve"> </w:t>
      </w:r>
      <w:r>
        <w:t>structure</w:t>
      </w:r>
    </w:p>
    <w:p w:rsidR="00B72047" w:rsidRDefault="00B72047">
      <w:pPr>
        <w:rPr>
          <w:rStyle w:val="htmlparacode"/>
        </w:rPr>
      </w:pPr>
      <w:r>
        <w:rPr>
          <w:rStyle w:val="htmlparacode"/>
        </w:rPr>
        <w:t>&lt;p&gt;</w:t>
      </w:r>
    </w:p>
    <w:p w:rsidR="00B72047" w:rsidRDefault="00B72047">
      <w:pPr>
        <w:pStyle w:val="examplescaledpre"/>
      </w:pPr>
      <w:r>
        <w:rPr>
          <w:rStyle w:val="indexentry"/>
        </w:rPr>
        <w:t>&lt;ex "liquefy"&gt;</w:t>
      </w:r>
      <w:r>
        <w:rPr>
          <w:rStyle w:val="indexentry"/>
        </w:rPr>
        <w:fldChar w:fldCharType="begin"/>
      </w:r>
      <w:r>
        <w:instrText>xe "</w:instrText>
      </w:r>
      <w:r>
        <w:rPr>
          <w:rStyle w:val="xeentry"/>
        </w:rPr>
        <w:instrText>liquefy: example</w:instrText>
      </w:r>
      <w:r>
        <w:instrText>"</w:instrText>
      </w:r>
      <w:r>
        <w:rPr>
          <w:rStyle w:val="indexentry"/>
        </w:rPr>
        <w:fldChar w:fldCharType="end"/>
      </w:r>
      <w:r>
        <w:rPr>
          <w:rStyle w:val="htmlcodes"/>
        </w:rPr>
        <w:t>&lt;pre&gt;&lt;a name=e13d8&gt;</w:t>
      </w:r>
      <w:r>
        <w:t>13.8)</w:t>
      </w:r>
      <w:r>
        <w:tab/>
        <w:t>l1 is a quantity of liquid of composition l2 under conditions l3</w:t>
      </w:r>
    </w:p>
    <w:p w:rsidR="00B72047" w:rsidRDefault="00B72047">
      <w:pPr>
        <w:pStyle w:val="resumedafterexample"/>
      </w:pPr>
      <w:r>
        <w:rPr>
          <w:rStyle w:val="htmlcodes"/>
        </w:rPr>
        <w:t>&lt;/pre&gt;</w:t>
      </w:r>
      <w:r>
        <w:t>can give “likygau”, meaning “to liquefy”: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name=e13d9&gt;</w:t>
      </w:r>
      <w:r>
        <w:t>13.9)</w:t>
      </w:r>
      <w:r>
        <w:tab/>
        <w:t>g1 (agent) causes l1 to be a quantity of liquid of composition l2</w:t>
      </w:r>
    </w:p>
    <w:p w:rsidR="00B72047" w:rsidRDefault="00B72047">
      <w:pPr>
        <w:pStyle w:val="examplescaled"/>
        <w:ind w:firstLine="576"/>
      </w:pPr>
      <w:r>
        <w:t>under conditions l3.</w:t>
      </w:r>
    </w:p>
    <w:p w:rsidR="00B72047" w:rsidRDefault="00B72047">
      <w:pPr>
        <w:pStyle w:val="normalafterexample"/>
      </w:pPr>
      <w:r>
        <w:rPr>
          <w:rStyle w:val="htmlcodes"/>
        </w:rPr>
        <w:t>&lt;/pre&gt;&lt;p&gt;</w:t>
      </w:r>
      <w:r>
        <w:t>While “likygau” correctly represents “causes to be a liquid”, a different</w:t>
      </w:r>
      <w:r>
        <w:rPr>
          <w:rStyle w:val="deletedparamark"/>
        </w:rPr>
        <w:t xml:space="preserve"> </w:t>
      </w:r>
      <w:r>
        <w:t>lujvo based on “galfi” (meaning “modify”) may be more ap</w:t>
      </w:r>
      <w:r>
        <w:softHyphen/>
        <w:t>propriate for</w:t>
      </w:r>
      <w:r>
        <w:rPr>
          <w:rStyle w:val="deletedparamark"/>
        </w:rPr>
        <w:t xml:space="preserve"> “</w:t>
      </w:r>
      <w:r>
        <w:t>causes to become a liquid”. On the other hand, “fetsygau” is potentially confusing,</w:t>
      </w:r>
      <w:r>
        <w:rPr>
          <w:rStyle w:val="deletedparamark"/>
        </w:rPr>
        <w:t xml:space="preserve"> </w:t>
      </w:r>
      <w:r>
        <w:t>because it could mean “agent in the event of something becoming female”</w:t>
      </w:r>
      <w:r>
        <w:rPr>
          <w:rStyle w:val="deletedparamark"/>
        </w:rPr>
        <w:t xml:space="preserve"> </w:t>
      </w:r>
      <w:r>
        <w:t>(the implicit-abstraction interpretation) or sim</w:t>
      </w:r>
      <w:r>
        <w:softHyphen/>
        <w:t>ply “female agent” (the</w:t>
      </w:r>
      <w:r>
        <w:rPr>
          <w:rStyle w:val="deletedparamark"/>
        </w:rPr>
        <w:t xml:space="preserve"> </w:t>
      </w:r>
      <w:r>
        <w:t>parallel interpretation), so using implicit-abstraction lujvo is al</w:t>
      </w:r>
      <w:r>
        <w:softHyphen/>
        <w:t>ways</w:t>
      </w:r>
      <w:r>
        <w:rPr>
          <w:rStyle w:val="deletedparamark"/>
        </w:rPr>
        <w:t xml:space="preserve"> </w:t>
      </w:r>
      <w:r>
        <w:t>accomp</w:t>
      </w:r>
      <w:r>
        <w:t>a</w:t>
      </w:r>
      <w:r>
        <w:softHyphen/>
        <w:t>nied with some risk of being mis</w:t>
      </w:r>
      <w:r>
        <w:softHyphen/>
        <w:t>understood.</w:t>
      </w:r>
    </w:p>
    <w:p w:rsidR="00B72047" w:rsidRDefault="00B72047">
      <w:pPr>
        <w:rPr>
          <w:rStyle w:val="htmlparacode"/>
        </w:rPr>
      </w:pPr>
      <w:r>
        <w:rPr>
          <w:rStyle w:val="htmlparacode"/>
        </w:rPr>
        <w:t>&lt;p&gt;</w:t>
      </w:r>
    </w:p>
    <w:p w:rsidR="00B72047" w:rsidRDefault="00B72047">
      <w:pPr>
        <w:pStyle w:val="normalparagraph"/>
      </w:pPr>
      <w:r>
        <w:rPr>
          <w:rStyle w:val="indexentry"/>
        </w:rPr>
        <w:t>&lt;ex "sun liquefies"&gt;</w:t>
      </w:r>
      <w:r>
        <w:rPr>
          <w:rStyle w:val="indexentry"/>
        </w:rPr>
        <w:fldChar w:fldCharType="begin"/>
      </w:r>
      <w:r>
        <w:instrText>xe "</w:instrText>
      </w:r>
      <w:r>
        <w:rPr>
          <w:rStyle w:val="xeentry"/>
        </w:rPr>
        <w:instrText>sun liquefies: example</w:instrText>
      </w:r>
      <w:r>
        <w:instrText>"</w:instrText>
      </w:r>
      <w:r>
        <w:rPr>
          <w:rStyle w:val="indexentry"/>
        </w:rPr>
        <w:fldChar w:fldCharType="end"/>
      </w:r>
      <w:r>
        <w:t>Many other Lojban gismu have places for event abstractions, and therefore</w:t>
      </w:r>
      <w:r>
        <w:rPr>
          <w:rStyle w:val="deletedparamark"/>
        </w:rPr>
        <w:t xml:space="preserve"> </w:t>
      </w:r>
      <w:r>
        <w:t>are good candidates for the tertau of an implicit-ab</w:t>
      </w:r>
      <w:r>
        <w:softHyphen/>
        <w:t>straction lujvo.</w:t>
      </w:r>
      <w:r>
        <w:rPr>
          <w:rStyle w:val="deletedparamark"/>
        </w:rPr>
        <w:t xml:space="preserve"> </w:t>
      </w:r>
      <w:r>
        <w:t>For example, lujvo based on “rinka”, with its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name=e13d10&gt;</w:t>
      </w:r>
      <w:r>
        <w:t>13.10)</w:t>
      </w:r>
      <w:r>
        <w:tab/>
        <w:t>event r1 causes event r2 to occur</w:t>
      </w:r>
    </w:p>
    <w:p w:rsidR="00B72047" w:rsidRDefault="00B72047">
      <w:pPr>
        <w:pStyle w:val="resumedafterexample"/>
      </w:pPr>
      <w:r>
        <w:rPr>
          <w:rStyle w:val="htmlcodes"/>
        </w:rPr>
        <w:t>&lt;/pre&gt;</w:t>
      </w:r>
      <w:r>
        <w:t>are closely related to those based on “gasnu”. However, “rinka” is less</w:t>
      </w:r>
      <w:r>
        <w:rPr>
          <w:rStyle w:val="deletedparamark"/>
        </w:rPr>
        <w:t xml:space="preserve"> </w:t>
      </w:r>
      <w:r>
        <w:t>generally useful than “gasnu”, because its r1 place is another event rather</w:t>
      </w:r>
      <w:r>
        <w:rPr>
          <w:rStyle w:val="deletedparamark"/>
        </w:rPr>
        <w:t xml:space="preserve"> </w:t>
      </w:r>
      <w:r>
        <w:t>than a person: “lo rinka” is a cause, not a causer. Thus the place</w:t>
      </w:r>
      <w:r>
        <w:rPr>
          <w:rStyle w:val="deletedparamark"/>
        </w:rPr>
        <w:t xml:space="preserve"> </w:t>
      </w:r>
      <w:r>
        <w:t>structure of “likyri'a”, a lujvo analogous to “likygau”,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name=e13d11&gt;</w:t>
      </w:r>
      <w:r>
        <w:t>13.11)</w:t>
      </w:r>
      <w:r>
        <w:tab/>
        <w:t>event r1 causes l1 to be a quantity of liquid of composition l2</w:t>
      </w:r>
    </w:p>
    <w:p w:rsidR="00B72047" w:rsidRDefault="00B72047">
      <w:pPr>
        <w:pStyle w:val="examplescaled"/>
        <w:ind w:firstLine="576"/>
      </w:pPr>
      <w:r>
        <w:t>under conditions l3</w:t>
      </w:r>
    </w:p>
    <w:p w:rsidR="00B72047" w:rsidRDefault="00B72047">
      <w:pPr>
        <w:pStyle w:val="resumedafterexample"/>
      </w:pPr>
      <w:r>
        <w:rPr>
          <w:rStyle w:val="htmlcodes"/>
        </w:rPr>
        <w:t>&lt;/pre&gt;</w:t>
      </w:r>
      <w:r>
        <w:t>and would be useful in translating sentences like “The heat of the sun</w:t>
      </w:r>
      <w:r>
        <w:rPr>
          <w:rStyle w:val="deletedparamark"/>
        </w:rPr>
        <w:t xml:space="preserve"> </w:t>
      </w:r>
      <w:r>
        <w:t>liquefied the block of ice.”</w:t>
      </w:r>
    </w:p>
    <w:p w:rsidR="00B72047" w:rsidRDefault="00B72047">
      <w:pPr>
        <w:rPr>
          <w:rStyle w:val="htmlparacode"/>
        </w:rPr>
      </w:pPr>
      <w:r>
        <w:rPr>
          <w:rStyle w:val="htmlparacode"/>
        </w:rPr>
        <w:t>&lt;p&gt;</w:t>
      </w:r>
    </w:p>
    <w:p w:rsidR="00B72047" w:rsidRDefault="00B72047">
      <w:pPr>
        <w:pStyle w:val="normalparagraph"/>
      </w:pPr>
      <w:r>
        <w:rPr>
          <w:rStyle w:val="indexentry"/>
        </w:rPr>
        <w:t>&lt;cx "expressive power"&gt;</w:t>
      </w:r>
      <w:r>
        <w:rPr>
          <w:rStyle w:val="indexentry"/>
        </w:rPr>
        <w:fldChar w:fldCharType="begin"/>
      </w:r>
      <w:r>
        <w:instrText>xe "</w:instrText>
      </w:r>
      <w:r>
        <w:rPr>
          <w:rStyle w:val="xeentry"/>
        </w:rPr>
        <w:instrText>expressive power</w:instrText>
      </w:r>
      <w:r>
        <w:instrText>"</w:instrText>
      </w:r>
      <w:r>
        <w:rPr>
          <w:rStyle w:val="indexentry"/>
        </w:rPr>
        <w:fldChar w:fldCharType="end"/>
      </w:r>
      <w:r>
        <w:t>Implicit-abstraction lujvo are a powerful means in the lan</w:t>
      </w:r>
      <w:r>
        <w:softHyphen/>
        <w:t>guage of rendering</w:t>
      </w:r>
      <w:r>
        <w:rPr>
          <w:rStyle w:val="deletedparamark"/>
        </w:rPr>
        <w:t xml:space="preserve"> </w:t>
      </w:r>
      <w:r>
        <w:t>quite verbose bridi into succinct and manageable concepts, and increasing the</w:t>
      </w:r>
      <w:r>
        <w:rPr>
          <w:rStyle w:val="deletedparamark"/>
        </w:rPr>
        <w:t xml:space="preserve"> </w:t>
      </w:r>
      <w:r>
        <w:t>expres</w:t>
      </w:r>
      <w:r>
        <w:softHyphen/>
        <w:t>sive power of the language.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390" w:name="_Toc398970633"/>
      <w:r>
        <w:rPr>
          <w:rStyle w:val="Heading3Text"/>
        </w:rPr>
        <w:t>Anomalous lujvo</w:t>
      </w:r>
      <w:bookmarkEnd w:id="39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"unusual position"&gt;</w:t>
      </w:r>
      <w:r>
        <w:rPr>
          <w:rStyle w:val="indexentry"/>
        </w:rPr>
        <w:fldChar w:fldCharType="begin"/>
      </w:r>
      <w:r>
        <w:instrText>xe "</w:instrText>
      </w:r>
      <w:r>
        <w:rPr>
          <w:rStyle w:val="xeentry"/>
        </w:rPr>
        <w:instrText>unusual position</w:instrText>
      </w:r>
      <w:r>
        <w:instrText>"</w:instrText>
      </w:r>
      <w:r>
        <w:rPr>
          <w:rStyle w:val="indexentry"/>
        </w:rPr>
        <w:fldChar w:fldCharType="end"/>
      </w:r>
      <w:r>
        <w:rPr>
          <w:rStyle w:val="indexentry"/>
        </w:rPr>
        <w:t>&lt;cx "lujvo, anomalous"&gt;</w:t>
      </w:r>
      <w:r>
        <w:rPr>
          <w:rStyle w:val="indexentry"/>
        </w:rPr>
        <w:fldChar w:fldCharType="begin"/>
      </w:r>
      <w:r>
        <w:instrText>xe "</w:instrText>
      </w:r>
      <w:r>
        <w:rPr>
          <w:rStyle w:val="xeentry"/>
        </w:rPr>
        <w:instrText>lujvo: anomalous</w:instrText>
      </w:r>
      <w:r>
        <w:instrText>"</w:instrText>
      </w:r>
      <w:r>
        <w:rPr>
          <w:rStyle w:val="indexentry"/>
        </w:rPr>
        <w:fldChar w:fldCharType="end"/>
      </w:r>
      <w:r>
        <w:t>Some lujvo that have been coined and actually employed in Lojban writing</w:t>
      </w:r>
      <w:r>
        <w:rPr>
          <w:rStyle w:val="deletedparamark"/>
        </w:rPr>
        <w:t xml:space="preserve"> </w:t>
      </w:r>
      <w:r>
        <w:t>do not follow the guidelines expressed above, either because</w:t>
      </w:r>
      <w:r>
        <w:rPr>
          <w:rStyle w:val="deletedparamark"/>
        </w:rPr>
        <w:t xml:space="preserve"> </w:t>
      </w:r>
      <w:r>
        <w:t>the places that are equivalent in the seltau and the tertau are in an</w:t>
      </w:r>
      <w:r>
        <w:rPr>
          <w:rStyle w:val="deletedparamark"/>
        </w:rPr>
        <w:t xml:space="preserve"> </w:t>
      </w:r>
      <w:r>
        <w:t>unusual position, or because the seltau and tertau are re</w:t>
      </w:r>
      <w:r>
        <w:softHyphen/>
        <w:t>lated in a</w:t>
      </w:r>
      <w:r>
        <w:rPr>
          <w:rStyle w:val="deletedparamark"/>
        </w:rPr>
        <w:t xml:space="preserve"> </w:t>
      </w:r>
      <w:r>
        <w:t>complex way, or both. An example of the first kind is “jdaselsku”, meaning</w:t>
      </w:r>
      <w:r>
        <w:rPr>
          <w:rStyle w:val="deletedparamark"/>
        </w:rPr>
        <w:t xml:space="preserve"> “</w:t>
      </w:r>
      <w:r>
        <w:t xml:space="preserve">prayer”, which was mentioned in </w:t>
      </w:r>
      <w:r>
        <w:rPr>
          <w:rStyle w:val="htmlcodes"/>
        </w:rPr>
        <w:t>&lt;a href=#s7&gt;</w:t>
      </w:r>
      <w:r>
        <w:t>Section 7</w:t>
      </w:r>
      <w:r>
        <w:rPr>
          <w:rStyle w:val="htmlcodes"/>
        </w:rPr>
        <w:t>&lt;/a&gt;</w:t>
      </w:r>
      <w:r>
        <w:t>. The gismu places are:</w:t>
      </w:r>
    </w:p>
    <w:p w:rsidR="00B72047" w:rsidRDefault="00B72047">
      <w:pPr>
        <w:rPr>
          <w:rStyle w:val="htmlparacode"/>
        </w:rPr>
      </w:pPr>
      <w:r>
        <w:rPr>
          <w:rStyle w:val="htmlparacode"/>
        </w:rPr>
        <w:t>&lt;p&gt;</w:t>
      </w:r>
    </w:p>
    <w:p w:rsidR="00B72047" w:rsidRDefault="00B72047">
      <w:pPr>
        <w:pStyle w:val="examplescaledpre"/>
      </w:pPr>
      <w:r>
        <w:rPr>
          <w:rStyle w:val="indexentry"/>
        </w:rPr>
        <w:t>&lt;cx "lujvo place order, redundant non-first places"&gt;</w:t>
      </w:r>
      <w:r>
        <w:rPr>
          <w:rStyle w:val="indexentry"/>
        </w:rPr>
        <w:fldChar w:fldCharType="begin"/>
      </w:r>
      <w:r>
        <w:instrText>xe "</w:instrText>
      </w:r>
      <w:r>
        <w:rPr>
          <w:rStyle w:val="xeentry"/>
        </w:rPr>
        <w:instrText>lujvo place order: redundant non-first places</w:instrText>
      </w:r>
      <w:r>
        <w:instrText>"</w:instrText>
      </w:r>
      <w:r>
        <w:rPr>
          <w:rStyle w:val="indexentry"/>
        </w:rPr>
        <w:fldChar w:fldCharType="end"/>
      </w:r>
      <w:r>
        <w:rPr>
          <w:rStyle w:val="indexentry"/>
        </w:rPr>
        <w:t>&lt;ex "prayer"&gt;</w:t>
      </w:r>
      <w:r>
        <w:rPr>
          <w:rStyle w:val="indexentry"/>
        </w:rPr>
        <w:fldChar w:fldCharType="begin"/>
      </w:r>
      <w:r>
        <w:instrText>xe "</w:instrText>
      </w:r>
      <w:r>
        <w:rPr>
          <w:rStyle w:val="xeentry"/>
        </w:rPr>
        <w:instrText>prayer: example</w:instrText>
      </w:r>
      <w:r>
        <w:instrText>"</w:instrText>
      </w:r>
      <w:r>
        <w:rPr>
          <w:rStyle w:val="indexentry"/>
        </w:rPr>
        <w:fldChar w:fldCharType="end"/>
      </w:r>
      <w:r>
        <w:rPr>
          <w:rStyle w:val="htmlcodes"/>
        </w:rPr>
        <w:t>&lt;pre&gt;&lt;a name=e14d1&gt;</w:t>
      </w:r>
      <w:r>
        <w:t>14.1)</w:t>
      </w:r>
      <w:r>
        <w:tab/>
        <w:t>“lijda”:  l1 is a religion with believers l2 and beliefs l3</w:t>
      </w:r>
    </w:p>
    <w:p w:rsidR="00B72047" w:rsidRDefault="00B72047">
      <w:pPr>
        <w:pStyle w:val="examplescaled"/>
      </w:pPr>
      <w:r>
        <w:tab/>
        <w:t>“cusku”:  c1 expresses text c2 to audience c3 in medium c4</w:t>
      </w:r>
    </w:p>
    <w:p w:rsidR="00B72047" w:rsidRDefault="00B72047">
      <w:pPr>
        <w:pStyle w:val="resumedafterexample"/>
      </w:pPr>
      <w:r>
        <w:rPr>
          <w:rStyle w:val="htmlcodes"/>
        </w:rPr>
        <w:t>&lt;/pre&gt;</w:t>
      </w:r>
      <w:r>
        <w:t>and “selsku”, the tertau of “jdaselsku”, has the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name=e14d2&gt;</w:t>
      </w:r>
      <w:r>
        <w:t>14.2)</w:t>
      </w:r>
      <w:r>
        <w:tab/>
        <w:t>s1 is a text expressed by s2 to audience s3 in medium s4</w:t>
      </w:r>
    </w:p>
    <w:p w:rsidR="00B72047" w:rsidRDefault="00B72047">
      <w:pPr>
        <w:pStyle w:val="normalafterexample"/>
        <w:spacing w:before="120"/>
      </w:pPr>
      <w:r>
        <w:t>Now it is easy to see that the l2 and s2 places are equivalent: the</w:t>
      </w:r>
      <w:r>
        <w:rPr>
          <w:rStyle w:val="deletedparamark"/>
        </w:rPr>
        <w:t xml:space="preserve"> </w:t>
      </w:r>
      <w:r>
        <w:t>believer in the r</w:t>
      </w:r>
      <w:r>
        <w:t>e</w:t>
      </w:r>
      <w:r>
        <w:softHyphen/>
        <w:t>ligion (l2) is the one who expresses the prayer (s2).</w:t>
      </w:r>
      <w:r>
        <w:rPr>
          <w:rStyle w:val="deletedparamark"/>
        </w:rPr>
        <w:t xml:space="preserve"> </w:t>
      </w:r>
      <w:r>
        <w:t>This is not one of the cases for which a place ordering rule has been</w:t>
      </w:r>
      <w:r>
        <w:rPr>
          <w:rStyle w:val="deletedparamark"/>
        </w:rPr>
        <w:t xml:space="preserve"> </w:t>
      </w:r>
      <w:r>
        <w:t xml:space="preserve">given in </w:t>
      </w:r>
      <w:r>
        <w:rPr>
          <w:rStyle w:val="htmlcodes"/>
        </w:rPr>
        <w:t>&lt;a href=#s7&gt;</w:t>
      </w:r>
      <w:r>
        <w:t xml:space="preserve">Section 7 </w:t>
      </w:r>
      <w:r>
        <w:rPr>
          <w:rStyle w:val="htmlcodes"/>
        </w:rPr>
        <w:t>&lt;/a&gt;</w:t>
      </w:r>
      <w:r>
        <w:t xml:space="preserve">or </w:t>
      </w:r>
      <w:r>
        <w:rPr>
          <w:rStyle w:val="htmlcodes"/>
        </w:rPr>
        <w:t>&lt;a href=#s13&gt;</w:t>
      </w:r>
      <w:r>
        <w:t>Section 13</w:t>
      </w:r>
      <w:r>
        <w:rPr>
          <w:rStyle w:val="htmlcodes"/>
        </w:rPr>
        <w:t>&lt;/a&gt;</w:t>
      </w:r>
      <w:r>
        <w:t>; therefore, for lack of a better rule,</w:t>
      </w:r>
      <w:r>
        <w:rPr>
          <w:rStyle w:val="deletedparamark"/>
        </w:rPr>
        <w:t xml:space="preserve"> </w:t>
      </w:r>
      <w:r>
        <w:t>we put the tertau places first and the remaining seltau places after them,</w:t>
      </w:r>
      <w:r>
        <w:rPr>
          <w:rStyle w:val="deletedparamark"/>
        </w:rPr>
        <w:t xml:space="preserve"> </w:t>
      </w:r>
      <w:r>
        <w:t>lea</w:t>
      </w:r>
      <w:r>
        <w:t>d</w:t>
      </w:r>
      <w:r>
        <w:softHyphen/>
        <w:t>ing to the place structure:</w:t>
      </w:r>
    </w:p>
    <w:p w:rsidR="00B72047" w:rsidRDefault="00B72047">
      <w:pPr>
        <w:pStyle w:val="examplescaledpre"/>
      </w:pPr>
      <w:r>
        <w:rPr>
          <w:rStyle w:val="htmlcodes"/>
        </w:rPr>
        <w:t>&lt;a name=e14d3&gt;</w:t>
      </w:r>
      <w:r>
        <w:t>14.3)</w:t>
      </w:r>
      <w:r>
        <w:tab/>
        <w:t xml:space="preserve">s1 is a prayer expressed by s2=l2 to audience s3 in medium s4 </w:t>
      </w:r>
    </w:p>
    <w:p w:rsidR="00B72047" w:rsidRDefault="00B72047">
      <w:pPr>
        <w:pStyle w:val="examplescaled"/>
        <w:ind w:firstLine="576"/>
      </w:pPr>
      <w:r>
        <w:t>pertaining to religion l1</w:t>
      </w:r>
    </w:p>
    <w:p w:rsidR="00B72047" w:rsidRDefault="00B72047">
      <w:pPr>
        <w:pStyle w:val="resumedafterexample"/>
      </w:pPr>
      <w:r>
        <w:rPr>
          <w:rStyle w:val="htmlcodes"/>
        </w:rPr>
        <w:t>&lt;/pre&gt;&lt;p&gt;</w:t>
      </w:r>
      <w:r>
        <w:t>The l3 place (the beliefs of the religion) is dependent on the l1 place</w:t>
      </w:r>
      <w:r>
        <w:rPr>
          <w:rStyle w:val="deletedparamark"/>
        </w:rPr>
        <w:t xml:space="preserve"> </w:t>
      </w:r>
      <w:r>
        <w:t>(the religion) and so is omitted.</w:t>
      </w:r>
    </w:p>
    <w:p w:rsidR="00B72047" w:rsidRDefault="00B72047">
      <w:pPr>
        <w:rPr>
          <w:rStyle w:val="htmlparacode"/>
        </w:rPr>
      </w:pPr>
      <w:r>
        <w:rPr>
          <w:rStyle w:val="htmlparacode"/>
        </w:rPr>
        <w:t>&lt;p&gt;</w:t>
      </w:r>
    </w:p>
    <w:p w:rsidR="00B72047" w:rsidRDefault="00B72047">
      <w:pPr>
        <w:pStyle w:val="normalparagraph"/>
      </w:pPr>
      <w:r>
        <w:t>We could make this lujvo less messy by replacing it with “se seljdasku”,</w:t>
      </w:r>
      <w:r>
        <w:rPr>
          <w:rStyle w:val="deletedparamark"/>
        </w:rPr>
        <w:t xml:space="preserve"> </w:t>
      </w:r>
      <w:r>
        <w:t>where “seljdasku” is a normal symmetrical lujvo with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name=e14d4&gt;</w:t>
      </w:r>
      <w:r>
        <w:t>14.4)</w:t>
      </w:r>
      <w:r>
        <w:tab/>
        <w:t xml:space="preserve">c1=l2 religiously expresses prayer c2 to audience c3 in medium s4 </w:t>
      </w:r>
    </w:p>
    <w:p w:rsidR="00B72047" w:rsidRDefault="00B72047">
      <w:pPr>
        <w:pStyle w:val="examplescaled"/>
        <w:ind w:firstLine="576"/>
      </w:pPr>
      <w:r>
        <w:t>pertaining to religion l1</w:t>
      </w:r>
    </w:p>
    <w:p w:rsidR="00B72047" w:rsidRDefault="00B72047">
      <w:pPr>
        <w:pStyle w:val="resumedafterexample"/>
      </w:pPr>
      <w:r>
        <w:rPr>
          <w:rStyle w:val="htmlcodes"/>
        </w:rPr>
        <w:t>&lt;/pre&gt;</w:t>
      </w:r>
      <w:r>
        <w:t xml:space="preserve">which, according to the rule expressed in </w:t>
      </w:r>
      <w:r>
        <w:rPr>
          <w:rStyle w:val="htmlcodes"/>
        </w:rPr>
        <w:t>&lt;a href=#s9&gt;</w:t>
      </w:r>
      <w:r>
        <w:t>Section 9</w:t>
      </w:r>
      <w:r>
        <w:rPr>
          <w:rStyle w:val="htmlcodes"/>
        </w:rPr>
        <w:t>&lt;/a&gt;</w:t>
      </w:r>
      <w:r>
        <w:t>, can be further</w:t>
      </w:r>
      <w:r>
        <w:rPr>
          <w:rStyle w:val="deletedparamark"/>
        </w:rPr>
        <w:t xml:space="preserve"> </w:t>
      </w:r>
      <w:r>
        <w:t>expressed as “selseljdasku”. However, there is no need for the ugly</w:t>
      </w:r>
      <w:r>
        <w:rPr>
          <w:rStyle w:val="deletedparamark"/>
        </w:rPr>
        <w:t xml:space="preserve"> “</w:t>
      </w:r>
      <w:r>
        <w:t>selsel-” prefix just to get the rules right: “jdaselsku” is a reasonable,</w:t>
      </w:r>
      <w:r>
        <w:rPr>
          <w:rStyle w:val="deletedparamark"/>
        </w:rPr>
        <w:t xml:space="preserve"> </w:t>
      </w:r>
      <w:r>
        <w:t>if anomalous, lujvo.</w:t>
      </w:r>
    </w:p>
    <w:p w:rsidR="00B72047" w:rsidRDefault="00B72047">
      <w:pPr>
        <w:rPr>
          <w:rStyle w:val="htmlparacode"/>
        </w:rPr>
      </w:pPr>
      <w:r>
        <w:rPr>
          <w:rStyle w:val="htmlparacode"/>
        </w:rPr>
        <w:t>&lt;p&gt;</w:t>
      </w:r>
    </w:p>
    <w:p w:rsidR="00B72047" w:rsidRDefault="00B72047">
      <w:pPr>
        <w:pStyle w:val="normalparagraph"/>
      </w:pPr>
      <w:r>
        <w:t>However, there is a further problem with “jdaselsku”, not re</w:t>
      </w:r>
      <w:r>
        <w:softHyphen/>
        <w:t>solvable by using</w:t>
      </w:r>
      <w:r>
        <w:rPr>
          <w:rStyle w:val="deletedparamark"/>
        </w:rPr>
        <w:t xml:space="preserve"> “</w:t>
      </w:r>
      <w:r>
        <w:t>seljdasku”. No veljvo involving just the two gismu “lijda” and “cusku”</w:t>
      </w:r>
      <w:r>
        <w:rPr>
          <w:rStyle w:val="deletedparamark"/>
        </w:rPr>
        <w:t xml:space="preserve"> </w:t>
      </w:r>
      <w:r>
        <w:t>can fully ex</w:t>
      </w:r>
      <w:r>
        <w:softHyphen/>
        <w:t>press the relationship implicit in prayer. A prayer is not just</w:t>
      </w:r>
      <w:r>
        <w:rPr>
          <w:rStyle w:val="deletedparamark"/>
        </w:rPr>
        <w:t xml:space="preserve"> </w:t>
      </w:r>
      <w:r>
        <w:t>anything said by the adher</w:t>
      </w:r>
      <w:r>
        <w:softHyphen/>
        <w:t>ents of a religion; nor is it even anything said</w:t>
      </w:r>
      <w:r>
        <w:rPr>
          <w:rStyle w:val="deletedparamark"/>
        </w:rPr>
        <w:t xml:space="preserve"> </w:t>
      </w:r>
      <w:r>
        <w:t>by them acting as adherents of that religion. Rather, it is what they say</w:t>
      </w:r>
      <w:r>
        <w:rPr>
          <w:rStyle w:val="deletedparamark"/>
        </w:rPr>
        <w:t xml:space="preserve"> </w:t>
      </w:r>
      <w:r>
        <w:t>under the authority of that religion, or using the religion as a medium, or</w:t>
      </w:r>
      <w:r>
        <w:rPr>
          <w:rStyle w:val="deletedparamark"/>
        </w:rPr>
        <w:t xml:space="preserve"> </w:t>
      </w:r>
      <w:r>
        <w:t>following the rules associated with the religion, or something of the</w:t>
      </w:r>
      <w:r>
        <w:rPr>
          <w:rStyle w:val="deletedparamark"/>
        </w:rPr>
        <w:t xml:space="preserve"> </w:t>
      </w:r>
      <w:r>
        <w:t>kind. So the veljvo is somewhat elliptical.</w:t>
      </w:r>
    </w:p>
    <w:p w:rsidR="00B72047" w:rsidRDefault="00B72047">
      <w:pPr>
        <w:pStyle w:val="normalparagraph"/>
        <w:rPr>
          <w:rStyle w:val="htmlparacode"/>
        </w:rPr>
      </w:pPr>
      <w:r>
        <w:rPr>
          <w:rStyle w:val="htmlparacode"/>
        </w:rPr>
        <w:t>&lt;p&gt;</w:t>
      </w:r>
    </w:p>
    <w:p w:rsidR="00B72047" w:rsidRDefault="00B72047">
      <w:pPr>
        <w:pStyle w:val="normalparagraph"/>
      </w:pPr>
      <w:r>
        <w:t>As a result, both “seljdasku” and “jdaselsku” belong to the second class</w:t>
      </w:r>
      <w:r>
        <w:rPr>
          <w:rStyle w:val="deletedparamark"/>
        </w:rPr>
        <w:t xml:space="preserve"> </w:t>
      </w:r>
      <w:r>
        <w:t>of anom</w:t>
      </w:r>
      <w:r>
        <w:t>a</w:t>
      </w:r>
      <w:r>
        <w:softHyphen/>
        <w:t>lous lujvo: the veljvo doesn't really supply all that the lujvo</w:t>
      </w:r>
      <w:r>
        <w:rPr>
          <w:rStyle w:val="deletedparamark"/>
        </w:rPr>
        <w:t xml:space="preserve"> </w:t>
      </w:r>
      <w:r>
        <w:t>requires.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"sheepdog"&gt;</w:t>
      </w:r>
      <w:r>
        <w:rPr>
          <w:rStyle w:val="indexentry"/>
        </w:rPr>
        <w:fldChar w:fldCharType="begin"/>
      </w:r>
      <w:r>
        <w:instrText>xe "</w:instrText>
      </w:r>
      <w:r>
        <w:rPr>
          <w:rStyle w:val="xeentry"/>
        </w:rPr>
        <w:instrText>sheepdog</w:instrText>
      </w:r>
      <w:r>
        <w:instrText>"</w:instrText>
      </w:r>
      <w:r>
        <w:rPr>
          <w:rStyle w:val="indexentry"/>
        </w:rPr>
        <w:fldChar w:fldCharType="end"/>
      </w:r>
      <w:r>
        <w:rPr>
          <w:rStyle w:val="indexentry"/>
        </w:rPr>
        <w:t>&lt;ex "sheepdog"&gt;</w:t>
      </w:r>
      <w:r>
        <w:rPr>
          <w:rStyle w:val="indexentry"/>
        </w:rPr>
        <w:fldChar w:fldCharType="begin"/>
      </w:r>
      <w:r>
        <w:instrText>xe "</w:instrText>
      </w:r>
      <w:r>
        <w:rPr>
          <w:rStyle w:val="xeentry"/>
        </w:rPr>
        <w:instrText>sheepdog: example</w:instrText>
      </w:r>
      <w:r>
        <w:instrText>"</w:instrText>
      </w:r>
      <w:r>
        <w:rPr>
          <w:rStyle w:val="indexentry"/>
        </w:rPr>
        <w:fldChar w:fldCharType="end"/>
      </w:r>
      <w:r>
        <w:rPr>
          <w:rStyle w:val="indexentry"/>
        </w:rPr>
        <w:t>&lt;cx "sheep breed"&gt;</w:t>
      </w:r>
      <w:r>
        <w:rPr>
          <w:rStyle w:val="indexentry"/>
        </w:rPr>
        <w:fldChar w:fldCharType="begin"/>
      </w:r>
      <w:r>
        <w:instrText>xe "</w:instrText>
      </w:r>
      <w:r>
        <w:rPr>
          <w:rStyle w:val="xeentry"/>
        </w:rPr>
        <w:instrText>sheep breed</w:instrText>
      </w:r>
      <w:r>
        <w:instrText>"</w:instrText>
      </w:r>
      <w:r>
        <w:rPr>
          <w:rStyle w:val="indexentry"/>
        </w:rPr>
        <w:fldChar w:fldCharType="end"/>
      </w:r>
      <w:r>
        <w:rPr>
          <w:rStyle w:val="indexentry"/>
        </w:rPr>
        <w:t>&lt;cx "lujvo place order, non-overlapping place structures"&gt;</w:t>
      </w:r>
      <w:r>
        <w:rPr>
          <w:rStyle w:val="indexentry"/>
        </w:rPr>
        <w:fldChar w:fldCharType="begin"/>
      </w:r>
      <w:r>
        <w:instrText>xe "</w:instrText>
      </w:r>
      <w:r>
        <w:rPr>
          <w:rStyle w:val="xeentry"/>
        </w:rPr>
        <w:instrText>lujvo place order: non-overlapping place structures</w:instrText>
      </w:r>
      <w:r>
        <w:instrText>"</w:instrText>
      </w:r>
      <w:r>
        <w:rPr>
          <w:rStyle w:val="indexentry"/>
        </w:rPr>
        <w:fldChar w:fldCharType="end"/>
      </w:r>
      <w:r>
        <w:rPr>
          <w:rStyle w:val="indexentry"/>
        </w:rPr>
        <w:t>&lt;cx "lujvo place order, complex relation"&gt;</w:t>
      </w:r>
      <w:r>
        <w:rPr>
          <w:rStyle w:val="indexentry"/>
        </w:rPr>
        <w:fldChar w:fldCharType="begin"/>
      </w:r>
      <w:r>
        <w:instrText>xe "</w:instrText>
      </w:r>
      <w:r>
        <w:rPr>
          <w:rStyle w:val="xeentry"/>
        </w:rPr>
        <w:instrText>lujvo place order: complex relation</w:instrText>
      </w:r>
      <w:r>
        <w:instrText>"</w:instrText>
      </w:r>
      <w:r>
        <w:rPr>
          <w:rStyle w:val="indexentry"/>
        </w:rPr>
        <w:fldChar w:fldCharType="end"/>
      </w:r>
      <w:r>
        <w:t>Another example of this kind of anomalous lujvo, drawn from the tanru lists</w:t>
      </w:r>
      <w:r>
        <w:rPr>
          <w:rStyle w:val="deletedparamark"/>
        </w:rPr>
        <w:t xml:space="preserve"> </w:t>
      </w:r>
      <w:r>
        <w:t xml:space="preserve">in </w:t>
      </w:r>
      <w:r>
        <w:rPr>
          <w:rStyle w:val="htmlcodes"/>
        </w:rPr>
        <w:t>&lt;a href=chap5.html&gt;</w:t>
      </w:r>
      <w:r>
        <w:t>Chapter 5</w:t>
      </w:r>
      <w:r>
        <w:rPr>
          <w:rStyle w:val="htmlcodes"/>
        </w:rPr>
        <w:t>&lt;/a&gt;</w:t>
      </w:r>
      <w:r>
        <w:t>, is “lange'u”, meaning “sheepdog”. Clearly a sheepdog is not a</w:t>
      </w:r>
      <w:r>
        <w:rPr>
          <w:rStyle w:val="deletedparamark"/>
        </w:rPr>
        <w:t xml:space="preserve"> </w:t>
      </w:r>
      <w:r>
        <w:t>dog which is a sheep (the symmetrical interpre</w:t>
      </w:r>
      <w:r>
        <w:softHyphen/>
        <w:t>tation is wrong), nor a dog of</w:t>
      </w:r>
      <w:r>
        <w:rPr>
          <w:rStyle w:val="deletedparamark"/>
        </w:rPr>
        <w:t xml:space="preserve"> </w:t>
      </w:r>
      <w:r>
        <w:t>the sheep breed (the asy</w:t>
      </w:r>
      <w:r>
        <w:t>m</w:t>
      </w:r>
      <w:r>
        <w:softHyphen/>
        <w:t>metrical in</w:t>
      </w:r>
      <w:r>
        <w:softHyphen/>
        <w:t>terpretation is wrong). Indeed, there is</w:t>
      </w:r>
      <w:r>
        <w:rPr>
          <w:rStyle w:val="deletedparamark"/>
        </w:rPr>
        <w:t xml:space="preserve"> </w:t>
      </w:r>
      <w:r>
        <w:t>simply no overlap in the places of “lanme” and “gerku” at all. Rather, the</w:t>
      </w:r>
      <w:r>
        <w:rPr>
          <w:rStyle w:val="deletedparamark"/>
        </w:rPr>
        <w:t xml:space="preserve"> </w:t>
      </w:r>
      <w:r>
        <w:t>lujvo refers to a dog which controls sheep flocks, a “terlanme jitro gerku”,</w:t>
      </w:r>
      <w:r>
        <w:rPr>
          <w:rStyle w:val="deletedparamark"/>
        </w:rPr>
        <w:t xml:space="preserve"> </w:t>
      </w:r>
      <w:r>
        <w:t>the lujvo from which is “terlantroge'u” with place structure:</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"sheep flock: example"</w:instrText>
      </w:r>
      <w:r>
        <w:rPr>
          <w:rStyle w:val="xeentry"/>
        </w:rPr>
        <w:fldChar w:fldCharType="end"/>
      </w:r>
      <w:r>
        <w:rPr>
          <w:rStyle w:val="htmlcodes"/>
        </w:rPr>
        <w:t>&lt;pre&gt;&lt;a name=e14d5&gt;</w:t>
      </w:r>
      <w:r>
        <w:t>14.5)</w:t>
      </w:r>
      <w:r>
        <w:tab/>
        <w:t xml:space="preserve">g1=j1 is a dog that controls sheep flock l3=j2 made up of sheep l1 </w:t>
      </w:r>
    </w:p>
    <w:p w:rsidR="00B72047" w:rsidRDefault="00B72047">
      <w:pPr>
        <w:pStyle w:val="examplescaled"/>
        <w:ind w:firstLine="576"/>
      </w:pPr>
      <w:r>
        <w:t>in activity j3 of dog breed g2</w:t>
      </w:r>
    </w:p>
    <w:p w:rsidR="00B72047" w:rsidRDefault="00B72047">
      <w:pPr>
        <w:pStyle w:val="resumedafterexample"/>
      </w:pPr>
      <w:r>
        <w:rPr>
          <w:rStyle w:val="htmlcodes"/>
        </w:rPr>
        <w:t>&lt;/pre&gt;</w:t>
      </w:r>
      <w:r>
        <w:t>based on the gismu place structures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name=e14d6&gt;</w:t>
      </w:r>
      <w:r>
        <w:t>14.6)</w:t>
      </w:r>
      <w:r>
        <w:tab/>
        <w:t>“lanme”:  l1 is a sheep of breed l2 belonging to flock l3</w:t>
      </w:r>
    </w:p>
    <w:p w:rsidR="00B72047" w:rsidRDefault="00B72047">
      <w:pPr>
        <w:pStyle w:val="examplescaled"/>
      </w:pPr>
      <w:r>
        <w:tab/>
        <w:t>“gerku”:  g1 is a dog of breed g2</w:t>
      </w:r>
    </w:p>
    <w:p w:rsidR="00B72047" w:rsidRDefault="00B72047">
      <w:pPr>
        <w:pStyle w:val="examplescaled"/>
      </w:pPr>
      <w:r>
        <w:tab/>
        <w:t>“jitro”:  j1 controls j2 in activity j3</w:t>
      </w:r>
    </w:p>
    <w:p w:rsidR="00B72047" w:rsidRDefault="00B72047">
      <w:pPr>
        <w:pStyle w:val="normalafterexample"/>
      </w:pPr>
      <w:r>
        <w:rPr>
          <w:rStyle w:val="htmlcodes"/>
        </w:rPr>
        <w:t>&lt;/pre&gt;&lt;p&gt;</w:t>
      </w:r>
      <w:r>
        <w:t>Note that this lujvo is symmetrical between “lantro” (sheep-controller) and</w:t>
      </w:r>
      <w:r>
        <w:rPr>
          <w:rStyle w:val="deletedparamark"/>
        </w:rPr>
        <w:t xml:space="preserve"> “</w:t>
      </w:r>
      <w:r>
        <w:t>gerku”, but “lantro” is itself a asymmetrical lujvo. The l2 place,</w:t>
      </w:r>
      <w:r>
        <w:rPr>
          <w:rStyle w:val="deletedparamark"/>
        </w:rPr>
        <w:t xml:space="preserve"> </w:t>
      </w:r>
      <w:r>
        <w:t>the breed of sheep, is removed as dependent on l1. How</w:t>
      </w:r>
      <w:r>
        <w:softHyphen/>
        <w:t>ever, the</w:t>
      </w:r>
      <w:r>
        <w:rPr>
          <w:rStyle w:val="deletedparamark"/>
        </w:rPr>
        <w:t xml:space="preserve"> </w:t>
      </w:r>
      <w:r>
        <w:t>lujvo “lange'u” is both shorter than “terlantroge'u” and suffi</w:t>
      </w:r>
      <w:r>
        <w:softHyphen/>
        <w:t>ciently</w:t>
      </w:r>
      <w:r>
        <w:rPr>
          <w:rStyle w:val="deletedparamark"/>
        </w:rPr>
        <w:t xml:space="preserve"> </w:t>
      </w:r>
      <w:r>
        <w:t>clear to warrant its use: its place structure, however, should be</w:t>
      </w:r>
      <w:r>
        <w:rPr>
          <w:rStyle w:val="deletedparamark"/>
        </w:rPr>
        <w:t xml:space="preserve"> </w:t>
      </w:r>
      <w:r>
        <w:t>the same as that of the longer lujvo, for which “lange'u” can be under</w:t>
      </w:r>
      <w:r>
        <w:softHyphen/>
        <w:t>stood</w:t>
      </w:r>
      <w:r>
        <w:rPr>
          <w:rStyle w:val="deletedparamark"/>
        </w:rPr>
        <w:t xml:space="preserve"> </w:t>
      </w:r>
      <w:r>
        <w:t>as an abbreviation.</w:t>
      </w:r>
    </w:p>
    <w:p w:rsidR="00B72047" w:rsidRDefault="00B72047">
      <w:pPr>
        <w:rPr>
          <w:rStyle w:val="htmlparacode"/>
        </w:rPr>
      </w:pPr>
      <w:r>
        <w:rPr>
          <w:rStyle w:val="htmlparacode"/>
        </w:rPr>
        <w:t>&lt;p&gt;</w:t>
      </w:r>
    </w:p>
    <w:p w:rsidR="00B72047" w:rsidRDefault="00B72047">
      <w:pPr>
        <w:pStyle w:val="normalparagraph"/>
      </w:pPr>
      <w:r>
        <w:rPr>
          <w:rStyle w:val="indexentry"/>
        </w:rPr>
        <w:t>&lt;ex "beckon"&gt;</w:t>
      </w:r>
      <w:r>
        <w:rPr>
          <w:rStyle w:val="indexentry"/>
        </w:rPr>
        <w:fldChar w:fldCharType="begin"/>
      </w:r>
      <w:r>
        <w:instrText>xe "</w:instrText>
      </w:r>
      <w:r>
        <w:rPr>
          <w:rStyle w:val="xeentry"/>
        </w:rPr>
        <w:instrText>beckon: example</w:instrText>
      </w:r>
      <w:r>
        <w:instrText>"</w:instrText>
      </w:r>
      <w:r>
        <w:rPr>
          <w:rStyle w:val="indexentry"/>
        </w:rPr>
        <w:fldChar w:fldCharType="end"/>
      </w:r>
      <w:r>
        <w:rPr>
          <w:rStyle w:val="indexentry"/>
        </w:rPr>
        <w:t>&lt;cx "lujvo place order, elliptical lujvo"&gt;</w:t>
      </w:r>
      <w:r>
        <w:rPr>
          <w:rStyle w:val="indexentry"/>
        </w:rPr>
        <w:fldChar w:fldCharType="begin"/>
      </w:r>
      <w:r>
        <w:instrText>xe "</w:instrText>
      </w:r>
      <w:r>
        <w:rPr>
          <w:rStyle w:val="xeentry"/>
        </w:rPr>
        <w:instrText>lujvo place order: elliptical lujvo</w:instrText>
      </w:r>
      <w:r>
        <w:instrText>"</w:instrText>
      </w:r>
      <w:r>
        <w:rPr>
          <w:rStyle w:val="indexentry"/>
        </w:rPr>
        <w:fldChar w:fldCharType="end"/>
      </w:r>
      <w:r>
        <w:t>Another example is “xanmi'e”, “to command by hand, to beckon”. The</w:t>
      </w:r>
      <w:r>
        <w:rPr>
          <w:rStyle w:val="deletedparamark"/>
        </w:rPr>
        <w:t xml:space="preserve"> </w:t>
      </w:r>
      <w:r>
        <w:t>com</w:t>
      </w:r>
      <w:r>
        <w:softHyphen/>
        <w:t>ponent place structures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name=e14d7&gt;</w:t>
      </w:r>
      <w:r>
        <w:t>14.7)</w:t>
      </w:r>
      <w:r>
        <w:tab/>
        <w:t>“xance”:  xa1 is the hand of xa2</w:t>
      </w:r>
    </w:p>
    <w:p w:rsidR="00B72047" w:rsidRDefault="00B72047">
      <w:pPr>
        <w:pStyle w:val="examplescaled"/>
      </w:pPr>
      <w:r>
        <w:tab/>
        <w:t>“minde”:  m1 gives commands to m2 to cause m3 to happen</w:t>
      </w:r>
    </w:p>
    <w:p w:rsidR="00B72047" w:rsidRDefault="00B72047">
      <w:pPr>
        <w:pStyle w:val="resumedafterexample"/>
      </w:pPr>
      <w:r>
        <w:rPr>
          <w:rStyle w:val="htmlcodes"/>
        </w:rPr>
        <w:t>&lt;/pre&gt;&lt;p&gt;</w:t>
      </w:r>
      <w:r>
        <w:t>The relation between the seltau and tertau is close enough for there to be</w:t>
      </w:r>
      <w:r>
        <w:rPr>
          <w:rStyle w:val="deletedparamark"/>
        </w:rPr>
        <w:t xml:space="preserve"> </w:t>
      </w:r>
      <w:r>
        <w:t>an overlap: xa2 (the person with the hand) is the same as m1 (the one</w:t>
      </w:r>
      <w:r>
        <w:rPr>
          <w:rStyle w:val="deletedparamark"/>
        </w:rPr>
        <w:t xml:space="preserve"> </w:t>
      </w:r>
      <w:r>
        <w:t>who commands). But inter</w:t>
      </w:r>
      <w:r>
        <w:softHyphen/>
        <w:t>preting “xanmi'e” as a symmetrical lujvo with an</w:t>
      </w:r>
      <w:r>
        <w:rPr>
          <w:rStyle w:val="deletedparamark"/>
        </w:rPr>
        <w:t xml:space="preserve"> </w:t>
      </w:r>
      <w:r>
        <w:t>elided “sel-” in the seltau, as if from “se xance mindu”, misses</w:t>
      </w:r>
      <w:r>
        <w:rPr>
          <w:rStyle w:val="deletedparamark"/>
        </w:rPr>
        <w:t xml:space="preserve"> </w:t>
      </w:r>
      <w:r>
        <w:t>the point: the real relation expressed by the lujvo is not just “one who</w:t>
      </w:r>
      <w:r>
        <w:rPr>
          <w:rStyle w:val="deletedparamark"/>
        </w:rPr>
        <w:t xml:space="preserve"> </w:t>
      </w:r>
      <w:r>
        <w:t>commands and has a hand”, but “to command using the hand”. The concept of</w:t>
      </w:r>
      <w:r>
        <w:rPr>
          <w:rStyle w:val="deletedparamark"/>
        </w:rPr>
        <w:t xml:space="preserve"> “</w:t>
      </w:r>
      <w:r>
        <w:t>using” suggests the gismu “pilno”, with place 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name=e14d8&gt;</w:t>
      </w:r>
      <w:r>
        <w:t>14.8)</w:t>
      </w:r>
      <w:r>
        <w:tab/>
        <w:t>p1 uses tool p2 for purpose p3</w:t>
      </w:r>
    </w:p>
    <w:p w:rsidR="00B72047" w:rsidRDefault="00B72047">
      <w:pPr>
        <w:pStyle w:val="resumedafterexample"/>
      </w:pPr>
      <w:r>
        <w:rPr>
          <w:rStyle w:val="htmlcodes"/>
        </w:rPr>
        <w:t>&lt;/pre&gt;&lt;p&gt;</w:t>
      </w:r>
      <w:r>
        <w:t>Some possible three-part vel</w:t>
      </w:r>
      <w:r>
        <w:rPr>
          <w:rStyle w:val="PageNumber"/>
        </w:rPr>
        <w:t>j</w:t>
      </w:r>
      <w:r>
        <w:t>vo are (depending on how strictly you want to</w:t>
      </w:r>
      <w:r>
        <w:rPr>
          <w:rStyle w:val="deletedparamark"/>
        </w:rPr>
        <w:t xml:space="preserve"> </w:t>
      </w:r>
      <w:r>
        <w:t>constrain the veljvo)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name=e14d9&gt;</w:t>
      </w:r>
      <w:r>
        <w:t>14.9)</w:t>
      </w:r>
      <w:r>
        <w:tab/>
        <w:t>[ke] xance pilno [ke'e] minde</w:t>
      </w:r>
    </w:p>
    <w:p w:rsidR="00B72047" w:rsidRDefault="00B72047">
      <w:pPr>
        <w:pStyle w:val="examplescaled"/>
      </w:pPr>
      <w:r>
        <w:tab/>
        <w:t>(hand user) type-of commander</w:t>
      </w:r>
    </w:p>
    <w:p w:rsidR="00B72047" w:rsidRDefault="00B72047">
      <w:pPr>
        <w:pStyle w:val="examplescaledpre"/>
      </w:pPr>
      <w:r>
        <w:rPr>
          <w:rStyle w:val="htmlcodes"/>
        </w:rPr>
        <w:t>&lt;a name=e14d10&gt;</w:t>
      </w:r>
      <w:r>
        <w:t>14.10)</w:t>
      </w:r>
      <w:r>
        <w:tab/>
        <w:t>[ke] minde xance [ke'e] pilno</w:t>
      </w:r>
    </w:p>
    <w:p w:rsidR="00B72047" w:rsidRDefault="00B72047">
      <w:pPr>
        <w:pStyle w:val="examplescaled"/>
      </w:pPr>
      <w:r>
        <w:tab/>
        <w:t>(commander hand) type-of user</w:t>
      </w:r>
    </w:p>
    <w:p w:rsidR="00B72047" w:rsidRDefault="00B72047">
      <w:pPr>
        <w:pStyle w:val="resumedafterexample"/>
      </w:pPr>
      <w:r>
        <w:rPr>
          <w:rStyle w:val="htmlcodes"/>
        </w:rPr>
        <w:t>&lt;/pre&gt;</w:t>
      </w:r>
      <w:r>
        <w:t>or even</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&lt;pre&gt;&lt;a name=e14d11&gt;</w:t>
      </w:r>
      <w:r>
        <w:t>14.11)</w:t>
      </w:r>
      <w:r>
        <w:tab/>
        <w:t>minde ke xance pilno [ke'e]</w:t>
      </w:r>
    </w:p>
    <w:p w:rsidR="00B72047" w:rsidRDefault="00B72047">
      <w:pPr>
        <w:pStyle w:val="examplescaled"/>
      </w:pPr>
      <w:r>
        <w:tab/>
        <w:t>commander type-of (hand user)</w:t>
      </w:r>
    </w:p>
    <w:p w:rsidR="00B72047" w:rsidRDefault="00B72047">
      <w:pPr>
        <w:pStyle w:val="resumedafterexample"/>
      </w:pPr>
      <w:r>
        <w:rPr>
          <w:rStyle w:val="htmlcodes"/>
        </w:rPr>
        <w:t>&lt;/pre&gt;</w:t>
      </w:r>
      <w:r>
        <w:t>which lead to the three different lujvo “xanplimi'e”, “mi'erxanpli”,</w:t>
      </w:r>
      <w:r>
        <w:rPr>
          <w:rStyle w:val="deletedparamark"/>
        </w:rPr>
        <w:t xml:space="preserve"> </w:t>
      </w:r>
      <w:r>
        <w:t>and “minkemxanpli” respectively.</w:t>
      </w:r>
    </w:p>
    <w:p w:rsidR="00B72047" w:rsidRDefault="00B72047">
      <w:pPr>
        <w:rPr>
          <w:rStyle w:val="htmlparacode"/>
        </w:rPr>
      </w:pPr>
      <w:r>
        <w:rPr>
          <w:rStyle w:val="htmlparacode"/>
        </w:rPr>
        <w:t>&lt;p&gt;</w:t>
      </w:r>
    </w:p>
    <w:p w:rsidR="00B72047" w:rsidRDefault="00B72047">
      <w:pPr>
        <w:pStyle w:val="normalparagraph"/>
      </w:pPr>
      <w:r>
        <w:rPr>
          <w:rStyle w:val="indexentry"/>
        </w:rPr>
        <w:t>&lt;cx "latent component"&gt;</w:t>
      </w:r>
      <w:r>
        <w:rPr>
          <w:rStyle w:val="indexentry"/>
        </w:rPr>
        <w:fldChar w:fldCharType="begin"/>
      </w:r>
      <w:r>
        <w:instrText>xe "</w:instrText>
      </w:r>
      <w:r>
        <w:rPr>
          <w:rStyle w:val="xeentry"/>
        </w:rPr>
        <w:instrText>latent component</w:instrText>
      </w:r>
      <w:r>
        <w:instrText>"</w:instrText>
      </w:r>
      <w:r>
        <w:rPr>
          <w:rStyle w:val="indexentry"/>
        </w:rPr>
        <w:fldChar w:fldCharType="end"/>
      </w:r>
      <w:r>
        <w:t>Does this make “xanmi'e” wrong? By no means. But it does mean that</w:t>
      </w:r>
      <w:r>
        <w:rPr>
          <w:rStyle w:val="deletedparamark"/>
        </w:rPr>
        <w:t xml:space="preserve"> </w:t>
      </w:r>
      <w:r>
        <w:t>there is a l</w:t>
      </w:r>
      <w:r>
        <w:t>a</w:t>
      </w:r>
      <w:r>
        <w:softHyphen/>
        <w:t>tent component to the meaning of “xanmi'e”, the gismu “pilno”,</w:t>
      </w:r>
      <w:r>
        <w:rPr>
          <w:rStyle w:val="deletedparamark"/>
        </w:rPr>
        <w:t xml:space="preserve"> </w:t>
      </w:r>
      <w:r>
        <w:t>which is not ex</w:t>
      </w:r>
      <w:r>
        <w:softHyphen/>
        <w:t>plicit in the veljvo. And it also means that, for a place</w:t>
      </w:r>
      <w:r>
        <w:rPr>
          <w:rStyle w:val="deletedparamark"/>
        </w:rPr>
        <w:t xml:space="preserve"> </w:t>
      </w:r>
      <w:r>
        <w:t>structure derivation that actually makes sense, rather than being ad-hoc,</w:t>
      </w:r>
      <w:r>
        <w:rPr>
          <w:rStyle w:val="deletedparamark"/>
        </w:rPr>
        <w:t xml:space="preserve"> </w:t>
      </w:r>
      <w:r>
        <w:t>the Lojbanist should probably go through a deri</w:t>
      </w:r>
      <w:r>
        <w:softHyphen/>
        <w:t>va</w:t>
      </w:r>
      <w:r>
        <w:softHyphen/>
        <w:t>tion for “xancypliminde”</w:t>
      </w:r>
      <w:r>
        <w:rPr>
          <w:rStyle w:val="deletedparamark"/>
        </w:rPr>
        <w:t xml:space="preserve"> </w:t>
      </w:r>
      <w:r>
        <w:t>or one of the other possibilities that is analo</w:t>
      </w:r>
      <w:r>
        <w:softHyphen/>
        <w:t>gous to the analysis of</w:t>
      </w:r>
      <w:r>
        <w:rPr>
          <w:rStyle w:val="deletedparamark"/>
        </w:rPr>
        <w:t xml:space="preserve"> “</w:t>
      </w:r>
      <w:r>
        <w:t>terlantroge'u” above, even if he or she de</w:t>
      </w:r>
      <w:r>
        <w:softHyphen/>
        <w:t>cides to stick with a shorter,</w:t>
      </w:r>
      <w:r>
        <w:rPr>
          <w:rStyle w:val="deletedparamark"/>
        </w:rPr>
        <w:t xml:space="preserve"> </w:t>
      </w:r>
      <w:r>
        <w:t>more convenient form like “xanmi'e”. In addition, of course, the</w:t>
      </w:r>
      <w:r>
        <w:rPr>
          <w:rStyle w:val="deletedparamark"/>
        </w:rPr>
        <w:t xml:space="preserve"> </w:t>
      </w:r>
      <w:r>
        <w:t>possibilities of elliptical luj</w:t>
      </w:r>
      <w:r>
        <w:softHyphen/>
        <w:t>vo increase their potential ambiguity</w:t>
      </w:r>
      <w:r>
        <w:rPr>
          <w:rStyle w:val="deletedparamark"/>
        </w:rPr>
        <w:t xml:space="preserve"> </w:t>
      </w:r>
      <w:r>
        <w:t>enormously — an unavoidable fact which should be borne in mind.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391" w:name="_Toc398970634"/>
      <w:r>
        <w:rPr>
          <w:rStyle w:val="Heading3Text"/>
        </w:rPr>
        <w:t>Comparatives and superlatives</w:t>
      </w:r>
      <w:bookmarkEnd w:id="39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"lujvo, comparatives"&gt;</w:t>
      </w:r>
      <w:r>
        <w:rPr>
          <w:rStyle w:val="indexentry"/>
        </w:rPr>
        <w:fldChar w:fldCharType="begin"/>
      </w:r>
      <w:r>
        <w:instrText>xe "</w:instrText>
      </w:r>
      <w:r>
        <w:rPr>
          <w:rStyle w:val="xeentry"/>
        </w:rPr>
        <w:instrText>lujvo: comparatives</w:instrText>
      </w:r>
      <w:r>
        <w:instrText>"</w:instrText>
      </w:r>
      <w:r>
        <w:rPr>
          <w:rStyle w:val="indexentry"/>
        </w:rPr>
        <w:fldChar w:fldCharType="end"/>
      </w:r>
      <w:r>
        <w:rPr>
          <w:rStyle w:val="indexentry"/>
        </w:rPr>
        <w:t>&lt;cx "lujvo, superlatives"&gt;</w:t>
      </w:r>
      <w:r>
        <w:rPr>
          <w:rStyle w:val="indexentry"/>
        </w:rPr>
        <w:fldChar w:fldCharType="begin"/>
      </w:r>
      <w:r>
        <w:instrText>xe "</w:instrText>
      </w:r>
      <w:r>
        <w:rPr>
          <w:rStyle w:val="xeentry"/>
        </w:rPr>
        <w:instrText>lujvo: superlatives</w:instrText>
      </w:r>
      <w:r>
        <w:instrText>"</w:instrText>
      </w:r>
      <w:r>
        <w:rPr>
          <w:rStyle w:val="indexentry"/>
        </w:rPr>
        <w:fldChar w:fldCharType="end"/>
      </w:r>
      <w:r>
        <w:t>English has the concepts of “comparative adjectives” and “superlative</w:t>
      </w:r>
      <w:r>
        <w:rPr>
          <w:rStyle w:val="deletedparamark"/>
        </w:rPr>
        <w:t xml:space="preserve"> </w:t>
      </w:r>
      <w:r>
        <w:t>adjec</w:t>
      </w:r>
      <w:r>
        <w:softHyphen/>
        <w:t>tives” which can be formed from other adjectives, either by adding</w:t>
      </w:r>
      <w:r>
        <w:rPr>
          <w:rStyle w:val="deletedparamark"/>
        </w:rPr>
        <w:t xml:space="preserve"> </w:t>
      </w:r>
      <w:r>
        <w:t>the suffixes “-er” and “-est” or by using the words “more” and “most”,</w:t>
      </w:r>
      <w:r>
        <w:rPr>
          <w:rStyle w:val="deletedparamark"/>
        </w:rPr>
        <w:t xml:space="preserve"> </w:t>
      </w:r>
      <w:r>
        <w:t>respectively. The Lojbanic equivalents, which can be made from any</w:t>
      </w:r>
      <w:r>
        <w:rPr>
          <w:rStyle w:val="deletedparamark"/>
        </w:rPr>
        <w:t xml:space="preserve"> </w:t>
      </w:r>
      <w:r>
        <w:t>brivla, are lujvo with the tertau “zmadu”, “mleca”, “zenba”, “jdika”,</w:t>
      </w:r>
      <w:r>
        <w:rPr>
          <w:rStyle w:val="deletedparamark"/>
        </w:rPr>
        <w:t xml:space="preserve"> </w:t>
      </w:r>
      <w:r>
        <w:t>and “traji”. In order to make these lujvo regular and easy to make,</w:t>
      </w:r>
      <w:r>
        <w:rPr>
          <w:rStyle w:val="deletedparamark"/>
        </w:rPr>
        <w:t xml:space="preserve"> </w:t>
      </w:r>
      <w:r>
        <w:t>certain special guidelines are imposed.</w:t>
      </w:r>
    </w:p>
    <w:p w:rsidR="00B72047" w:rsidRDefault="00B72047">
      <w:pPr>
        <w:pStyle w:val="normalparagraph"/>
        <w:rPr>
          <w:rStyle w:val="htmlparacode"/>
        </w:rPr>
      </w:pPr>
      <w:r>
        <w:rPr>
          <w:rStyle w:val="htmlparacode"/>
        </w:rPr>
        <w:t>&lt;p&gt;</w:t>
      </w:r>
    </w:p>
    <w:p w:rsidR="00B72047" w:rsidRDefault="00B72047">
      <w:pPr>
        <w:pStyle w:val="normalparagraph"/>
      </w:pPr>
      <w:r>
        <w:t>We will begin with lujvo based on “zmadu” and “mleca”, whose place struc</w:t>
      </w:r>
      <w:r>
        <w:softHyphen/>
        <w:t>tures</w:t>
      </w:r>
      <w:r>
        <w:rPr>
          <w:rStyle w:val="deletedparamark"/>
        </w:rPr>
        <w:t xml:space="preserve"> </w:t>
      </w:r>
      <w:r>
        <w:t>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“zmadu”:  z1 is more than z2 in property z3 in quantity z4</w:t>
      </w:r>
    </w:p>
    <w:p w:rsidR="00B72047" w:rsidRDefault="00B72047">
      <w:pPr>
        <w:pStyle w:val="examplescaled"/>
      </w:pPr>
      <w:r>
        <w:tab/>
        <w:t>“mleca”:  m1 is less than m2 in property m3 in quantity m4</w:t>
      </w:r>
    </w:p>
    <w:p w:rsidR="00B72047" w:rsidRDefault="00B72047">
      <w:pPr>
        <w:pStyle w:val="resumedafterexample"/>
      </w:pPr>
      <w:r>
        <w:rPr>
          <w:rStyle w:val="htmlcodes"/>
        </w:rPr>
        <w:t>&lt;/pre&gt;&lt;p&gt;</w:t>
      </w:r>
      <w:r>
        <w:t>For example, the concept “young” is expressed by the gismu “citno”,</w:t>
      </w:r>
      <w:r>
        <w:rPr>
          <w:rStyle w:val="deletedparamark"/>
        </w:rPr>
        <w:t xml:space="preserve"> </w:t>
      </w:r>
      <w:r>
        <w:t>with place struc</w:t>
      </w:r>
      <w:r>
        <w:softHyphen/>
        <w:t>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name=e15d2&gt;</w:t>
      </w:r>
      <w:r>
        <w:t>15.2)</w:t>
      </w:r>
      <w:r>
        <w:tab/>
        <w:t>“citno”:  c1 is young</w:t>
      </w:r>
    </w:p>
    <w:p w:rsidR="00B72047" w:rsidRDefault="00B72047">
      <w:pPr>
        <w:pStyle w:val="normalafterexample"/>
      </w:pPr>
      <w:r>
        <w:rPr>
          <w:rStyle w:val="htmlcodes"/>
        </w:rPr>
        <w:t>&lt;/pre&gt;</w:t>
      </w:r>
      <w:r>
        <w:rPr>
          <w:rStyle w:val="indexentry"/>
        </w:rPr>
        <w:t>&lt;cx "lujvo place order, comparatives"&gt;</w:t>
      </w:r>
      <w:r>
        <w:rPr>
          <w:rStyle w:val="indexentry"/>
        </w:rPr>
        <w:fldChar w:fldCharType="begin"/>
      </w:r>
      <w:r>
        <w:instrText>xe "</w:instrText>
      </w:r>
      <w:r>
        <w:rPr>
          <w:rStyle w:val="xeentry"/>
        </w:rPr>
        <w:instrText>lujvo place order: comparatives</w:instrText>
      </w:r>
      <w:r>
        <w:instrText>"</w:instrText>
      </w:r>
      <w:r>
        <w:rPr>
          <w:rStyle w:val="indexentry"/>
        </w:rPr>
        <w:fldChar w:fldCharType="end"/>
      </w:r>
      <w:r>
        <w:rPr>
          <w:rStyle w:val="indexentry"/>
        </w:rPr>
        <w:t>&lt;ex "younger"&gt;</w:t>
      </w:r>
      <w:r>
        <w:rPr>
          <w:rStyle w:val="indexentry"/>
        </w:rPr>
        <w:fldChar w:fldCharType="begin"/>
      </w:r>
      <w:r>
        <w:instrText>xe "</w:instrText>
      </w:r>
      <w:r>
        <w:rPr>
          <w:rStyle w:val="xeentry"/>
        </w:rPr>
        <w:instrText>younger: example</w:instrText>
      </w:r>
      <w:r>
        <w:instrText>"</w:instrText>
      </w:r>
      <w:r>
        <w:rPr>
          <w:rStyle w:val="indexentry"/>
        </w:rPr>
        <w:fldChar w:fldCharType="end"/>
      </w:r>
      <w:r>
        <w:t>The comparative concept “younger” can be expressed by the lujvo</w:t>
      </w:r>
      <w:r>
        <w:rPr>
          <w:rStyle w:val="deletedparamark"/>
        </w:rPr>
        <w:t xml:space="preserve"> “</w:t>
      </w:r>
      <w:r>
        <w:t>citmau” (based on the veljvo “citno zmadu”, meaning “young more-than”).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name=e15d3&gt;</w:t>
      </w:r>
      <w:r>
        <w:t>15.3)</w:t>
      </w:r>
      <w:r>
        <w:tab/>
        <w:t>mi citmau do lo nanca be li xa</w:t>
      </w:r>
    </w:p>
    <w:p w:rsidR="00B72047" w:rsidRDefault="00B72047">
      <w:pPr>
        <w:pStyle w:val="examplescaled"/>
      </w:pPr>
      <w:r>
        <w:tab/>
        <w:t>I am-younger-than you by-years the-number six.</w:t>
      </w:r>
    </w:p>
    <w:p w:rsidR="00B72047" w:rsidRDefault="00B72047">
      <w:pPr>
        <w:pStyle w:val="examplescaled"/>
      </w:pPr>
      <w:r>
        <w:tab/>
        <w:t>I am six years younger than you.</w:t>
      </w:r>
    </w:p>
    <w:p w:rsidR="00B72047" w:rsidRDefault="00B72047">
      <w:pPr>
        <w:pStyle w:val="resumedafterexample"/>
      </w:pPr>
      <w:r>
        <w:rPr>
          <w:rStyle w:val="htmlcodes"/>
        </w:rPr>
        <w:t>&lt;/pre&gt;&lt;p&gt;</w:t>
      </w:r>
      <w:r>
        <w:t>The place structure for “citmau”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name=e15d4&gt;</w:t>
      </w:r>
      <w:r>
        <w:t>15.4)</w:t>
      </w:r>
      <w:r>
        <w:tab/>
        <w:t>z1=c1 is younger than z2=c1 by amount z4</w:t>
      </w:r>
    </w:p>
    <w:p w:rsidR="00B72047" w:rsidRDefault="00B72047">
      <w:pPr>
        <w:pStyle w:val="normalafterexample"/>
      </w:pPr>
      <w:r>
        <w:rPr>
          <w:rStyle w:val="htmlcodes"/>
        </w:rPr>
        <w:t>&lt;/pre&gt;&lt;p&gt;</w:t>
      </w:r>
      <w:r>
        <w:t>Similarly, in Lojban you can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name=e15d5&gt;</w:t>
      </w:r>
      <w:r>
        <w:t>15.5)</w:t>
      </w:r>
      <w:r>
        <w:tab/>
        <w:t>do citme'a mi lo nanca be li xa</w:t>
      </w:r>
    </w:p>
    <w:p w:rsidR="00B72047" w:rsidRDefault="00B72047">
      <w:pPr>
        <w:pStyle w:val="examplescaled"/>
      </w:pPr>
      <w:r>
        <w:tab/>
        <w:t>You are-less-young-than me by-years the-number six.</w:t>
      </w:r>
    </w:p>
    <w:p w:rsidR="00B72047" w:rsidRDefault="00B72047">
      <w:pPr>
        <w:pStyle w:val="examplescaled"/>
      </w:pPr>
      <w:r>
        <w:tab/>
        <w:t>You are six years less young than me.</w:t>
      </w:r>
    </w:p>
    <w:p w:rsidR="00B72047" w:rsidRDefault="00B72047">
      <w:pPr>
        <w:pStyle w:val="resumedafterexample"/>
      </w:pPr>
      <w:r>
        <w:rPr>
          <w:rStyle w:val="htmlcodes"/>
        </w:rPr>
        <w:t>&lt;/pre&gt;&lt;p&gt;</w:t>
      </w:r>
      <w:r>
        <w:t>In English, “more” comparatives are easier to make and use than “less”</w:t>
      </w:r>
      <w:r>
        <w:rPr>
          <w:rStyle w:val="deletedparamark"/>
        </w:rPr>
        <w:t xml:space="preserve"> </w:t>
      </w:r>
      <w:r>
        <w:t>comparatives, but in Lojban the two forms are equally easy.</w:t>
      </w:r>
    </w:p>
    <w:p w:rsidR="00B72047" w:rsidRDefault="00B72047">
      <w:pPr>
        <w:rPr>
          <w:rStyle w:val="htmlparacode"/>
        </w:rPr>
      </w:pPr>
      <w:r>
        <w:rPr>
          <w:rStyle w:val="htmlparacode"/>
        </w:rPr>
        <w:t>&lt;p&gt;</w:t>
      </w:r>
    </w:p>
    <w:p w:rsidR="00B72047" w:rsidRDefault="00B72047">
      <w:pPr>
        <w:pStyle w:val="normalparagraph"/>
      </w:pPr>
      <w:r>
        <w:t>Because of their much simpler place structure, lujvo ending in “mau” and</w:t>
      </w:r>
      <w:r>
        <w:rPr>
          <w:rStyle w:val="deletedparamark"/>
        </w:rPr>
        <w:t xml:space="preserve"> “</w:t>
      </w:r>
      <w:r>
        <w:t>me'a” are in fact used much more frequently than “zmadu” and “mleca”</w:t>
      </w:r>
      <w:r>
        <w:rPr>
          <w:rStyle w:val="deletedparamark"/>
        </w:rPr>
        <w:t xml:space="preserve"> </w:t>
      </w:r>
      <w:r>
        <w:t>themselves as selbri. It is highly unlikely for such lujvo to be construed</w:t>
      </w:r>
      <w:r>
        <w:rPr>
          <w:rStyle w:val="deletedparamark"/>
        </w:rPr>
        <w:t xml:space="preserve"> </w:t>
      </w:r>
      <w:r>
        <w:t>as anything other than im</w:t>
      </w:r>
      <w:r>
        <w:softHyphen/>
        <w:t>plicit-abstraction lujvo. But there is another type</w:t>
      </w:r>
      <w:r>
        <w:rPr>
          <w:rStyle w:val="deletedparamark"/>
        </w:rPr>
        <w:t xml:space="preserve"> </w:t>
      </w:r>
      <w:r>
        <w:t>of ambiguity relevant to these lujvo, and which has to do with what is being</w:t>
      </w:r>
      <w:r>
        <w:rPr>
          <w:rStyle w:val="deletedparamark"/>
        </w:rPr>
        <w:t xml:space="preserve"> </w:t>
      </w:r>
      <w:r>
        <w:t>compared.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"comparative lujvo, potential ambiguity in"&gt;</w:t>
      </w:r>
      <w:r>
        <w:rPr>
          <w:rStyle w:val="indexentry"/>
        </w:rPr>
        <w:fldChar w:fldCharType="begin"/>
      </w:r>
      <w:r>
        <w:instrText>xe "</w:instrText>
      </w:r>
      <w:r>
        <w:rPr>
          <w:rStyle w:val="xeentry"/>
        </w:rPr>
        <w:instrText>comparative lujvo: potential ambiguity in</w:instrText>
      </w:r>
      <w:r>
        <w:instrText>"</w:instrText>
      </w:r>
      <w:r>
        <w:rPr>
          <w:rStyle w:val="indexentry"/>
        </w:rPr>
        <w:fldChar w:fldCharType="end"/>
      </w:r>
      <w:r>
        <w:t>For example, does “nelcymau” mean “X likes Y more than X likes Z”, or</w:t>
      </w:r>
      <w:r>
        <w:rPr>
          <w:rStyle w:val="deletedparamark"/>
        </w:rPr>
        <w:t xml:space="preserve"> “</w:t>
      </w:r>
      <w:r>
        <w:t>X likes Y more than Z likes Y”? Does “klamau” mean: “X goes to Y more</w:t>
      </w:r>
      <w:r>
        <w:rPr>
          <w:rStyle w:val="deletedparamark"/>
        </w:rPr>
        <w:t xml:space="preserve"> </w:t>
      </w:r>
      <w:r>
        <w:t>than to Z”, “X goes to Y more than Z does”, “X goes to Y from Z more than</w:t>
      </w:r>
      <w:r>
        <w:rPr>
          <w:rStyle w:val="deletedparamark"/>
        </w:rPr>
        <w:t xml:space="preserve"> </w:t>
      </w:r>
      <w:r>
        <w:t>from W”, or what?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"comparative lujvo, standardized meanings"&gt;</w:t>
      </w:r>
      <w:r>
        <w:rPr>
          <w:rStyle w:val="indexentry"/>
        </w:rPr>
        <w:fldChar w:fldCharType="begin"/>
      </w:r>
      <w:r>
        <w:instrText>xe "</w:instrText>
      </w:r>
      <w:r>
        <w:rPr>
          <w:rStyle w:val="xeentry"/>
        </w:rPr>
        <w:instrText>comparative lujvo: standardized meanings</w:instrText>
      </w:r>
      <w:r>
        <w:instrText>"</w:instrText>
      </w:r>
      <w:r>
        <w:rPr>
          <w:rStyle w:val="indexentry"/>
        </w:rPr>
        <w:fldChar w:fldCharType="end"/>
      </w:r>
      <w:r>
        <w:rPr>
          <w:rStyle w:val="indexentry"/>
        </w:rPr>
        <w:t>&lt;cx "lujvo place structure, comparative lujvo"&gt;</w:t>
      </w:r>
      <w:r>
        <w:rPr>
          <w:rStyle w:val="indexentry"/>
        </w:rPr>
        <w:fldChar w:fldCharType="begin"/>
      </w:r>
      <w:r>
        <w:instrText>xe "</w:instrText>
      </w:r>
      <w:r>
        <w:rPr>
          <w:rStyle w:val="xeentry"/>
        </w:rPr>
        <w:instrText>lujvo place structure: comparative lujvo</w:instrText>
      </w:r>
      <w:r>
        <w:instrText>"</w:instrText>
      </w:r>
      <w:r>
        <w:rPr>
          <w:rStyle w:val="indexentry"/>
        </w:rPr>
        <w:fldChar w:fldCharType="end"/>
      </w:r>
      <w:r>
        <w:t>We answer this concern by putting regularity above any con</w:t>
      </w:r>
      <w:r>
        <w:softHyphen/>
        <w:t>siderations of</w:t>
      </w:r>
      <w:r>
        <w:rPr>
          <w:rStyle w:val="deletedparamark"/>
        </w:rPr>
        <w:t xml:space="preserve"> </w:t>
      </w:r>
      <w:r>
        <w:t>con</w:t>
      </w:r>
      <w:r>
        <w:softHyphen/>
        <w:t>cept usefulness: by convention, the two things be</w:t>
      </w:r>
      <w:r>
        <w:softHyphen/>
        <w:t>ing compared always fit</w:t>
      </w:r>
      <w:r>
        <w:rPr>
          <w:rStyle w:val="deletedparamark"/>
        </w:rPr>
        <w:t xml:space="preserve"> </w:t>
      </w:r>
      <w:r>
        <w:t>into the first place of the seltau. In that way, each of the different</w:t>
      </w:r>
      <w:r>
        <w:rPr>
          <w:rStyle w:val="deletedparamark"/>
        </w:rPr>
        <w:t xml:space="preserve"> </w:t>
      </w:r>
      <w:r>
        <w:t>possible interpretations can be ex</w:t>
      </w:r>
      <w:r>
        <w:softHyphen/>
        <w:t>pressed by SE-converting the seltau, and</w:t>
      </w:r>
      <w:r>
        <w:rPr>
          <w:rStyle w:val="deletedparamark"/>
        </w:rPr>
        <w:t xml:space="preserve"> </w:t>
      </w:r>
      <w:r>
        <w:t>making the required place the new first place. As a result, we get the</w:t>
      </w:r>
      <w:r>
        <w:rPr>
          <w:rStyle w:val="deletedparamark"/>
        </w:rPr>
        <w:t xml:space="preserve"> </w:t>
      </w:r>
      <w:r>
        <w:t>following comparative lujvo place structures: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name=e15d6&gt;</w:t>
      </w:r>
      <w:r>
        <w:t>15.6)</w:t>
      </w:r>
      <w:r>
        <w:tab/>
        <w:t>“nelcymau”:  z1, more than z2, likes n2 by amount z4</w:t>
      </w:r>
    </w:p>
    <w:p w:rsidR="00B72047" w:rsidRDefault="00B72047">
      <w:pPr>
        <w:pStyle w:val="examplescaled"/>
      </w:pPr>
      <w:r>
        <w:tab/>
        <w:t>“selnelcymau”:  z1, more than z2, is liked by n1 in amount z4</w:t>
      </w:r>
    </w:p>
    <w:p w:rsidR="00B72047" w:rsidRDefault="00B72047">
      <w:pPr>
        <w:pStyle w:val="examplescaled"/>
      </w:pPr>
      <w:r>
        <w:tab/>
        <w:t>“klamau”:  z1, more than z2, goes to k2 from k3 via k4 by means of k5</w:t>
      </w:r>
    </w:p>
    <w:p w:rsidR="00B72047" w:rsidRDefault="00B72047">
      <w:pPr>
        <w:pStyle w:val="examplescaled"/>
      </w:pPr>
      <w:r>
        <w:tab/>
        <w:t xml:space="preserve">“selklamau”:  z1, more than z2, is gone to by k1 from k3 via k4 </w:t>
      </w:r>
    </w:p>
    <w:p w:rsidR="00B72047" w:rsidRDefault="00B72047">
      <w:pPr>
        <w:pStyle w:val="examplescaled"/>
        <w:ind w:firstLine="576"/>
      </w:pPr>
      <w:r>
        <w:t>by means of k5</w:t>
      </w:r>
    </w:p>
    <w:p w:rsidR="00B72047" w:rsidRDefault="00B72047">
      <w:pPr>
        <w:pStyle w:val="examplescaled"/>
      </w:pPr>
      <w:r>
        <w:tab/>
        <w:t xml:space="preserve">“terklamau”:  z1, more than z2, is an origin point from destination k2 </w:t>
      </w:r>
    </w:p>
    <w:p w:rsidR="00B72047" w:rsidRDefault="00B72047">
      <w:pPr>
        <w:pStyle w:val="examplescaled"/>
        <w:ind w:firstLine="576"/>
      </w:pPr>
      <w:r>
        <w:t>for k1's going via k4 by means of k5</w:t>
      </w:r>
    </w:p>
    <w:p w:rsidR="00B72047" w:rsidRDefault="00B72047">
      <w:pPr>
        <w:pStyle w:val="resumedafterexample"/>
      </w:pPr>
      <w:r>
        <w:rPr>
          <w:rStyle w:val="htmlcodes"/>
        </w:rPr>
        <w:t>&lt;/pre&gt;</w:t>
      </w:r>
      <w:r>
        <w:t xml:space="preserve">(See </w:t>
      </w:r>
      <w:r>
        <w:rPr>
          <w:rStyle w:val="htmlcodes"/>
        </w:rPr>
        <w:t>&lt;a href=chap11.html&gt;</w:t>
      </w:r>
      <w:r>
        <w:t xml:space="preserve">Chapter 11 </w:t>
      </w:r>
      <w:r>
        <w:rPr>
          <w:rStyle w:val="htmlcodes"/>
        </w:rPr>
        <w:t>&lt;/a&gt;</w:t>
      </w:r>
      <w:r>
        <w:t>for the way in which this problem is resolved when lujvo</w:t>
      </w:r>
      <w:r>
        <w:rPr>
          <w:rStyle w:val="deletedparamark"/>
        </w:rPr>
        <w:t xml:space="preserve"> </w:t>
      </w:r>
      <w:r>
        <w:t>aren't used.)</w:t>
      </w:r>
    </w:p>
    <w:p w:rsidR="00B72047" w:rsidRDefault="00B72047">
      <w:pPr>
        <w:rPr>
          <w:rStyle w:val="htmlparacode"/>
        </w:rPr>
      </w:pPr>
      <w:r>
        <w:rPr>
          <w:rStyle w:val="htmlparacode"/>
        </w:rPr>
        <w:t>&lt;p&gt;</w:t>
      </w:r>
    </w:p>
    <w:p w:rsidR="00B72047" w:rsidRDefault="00B72047">
      <w:pPr>
        <w:pStyle w:val="normalparagraph"/>
      </w:pPr>
      <w:r>
        <w:t>The ordering rule places the things being compared first, and the other</w:t>
      </w:r>
      <w:r>
        <w:rPr>
          <w:rStyle w:val="deletedparamark"/>
        </w:rPr>
        <w:t xml:space="preserve"> </w:t>
      </w:r>
      <w:r>
        <w:t>seltau places following. Unfortunately the z4 place, which expresses by</w:t>
      </w:r>
      <w:r>
        <w:rPr>
          <w:rStyle w:val="deletedparamark"/>
        </w:rPr>
        <w:t xml:space="preserve"> </w:t>
      </w:r>
      <w:r>
        <w:t>how much one entity exceeds the other, is displaced into a lujvo place whose</w:t>
      </w:r>
      <w:r>
        <w:rPr>
          <w:rStyle w:val="deletedparamark"/>
        </w:rPr>
        <w:t xml:space="preserve"> </w:t>
      </w:r>
      <w:r>
        <w:t>number is different for each lujvo. For exam</w:t>
      </w:r>
      <w:r>
        <w:softHyphen/>
        <w:t>ple, while “nelcymau” has z4 as</w:t>
      </w:r>
      <w:r>
        <w:rPr>
          <w:rStyle w:val="deletedparamark"/>
        </w:rPr>
        <w:t xml:space="preserve"> </w:t>
      </w:r>
      <w:r>
        <w:t>its fourth place, “klamau” has it as its sixth place. In any sentence</w:t>
      </w:r>
      <w:r>
        <w:rPr>
          <w:rStyle w:val="deletedparamark"/>
        </w:rPr>
        <w:t xml:space="preserve"> </w:t>
      </w:r>
      <w:r>
        <w:t>where a difficulty arises, this amount-place can be redun</w:t>
      </w:r>
      <w:r>
        <w:softHyphen/>
        <w:t>dantly tagged</w:t>
      </w:r>
      <w:r>
        <w:rPr>
          <w:rStyle w:val="deletedparamark"/>
        </w:rPr>
        <w:t xml:space="preserve"> </w:t>
      </w:r>
      <w:r>
        <w:t>with “vemau” (for “zmadu”) or “veme'a” (for “mleca”) to help make the</w:t>
      </w:r>
      <w:r>
        <w:rPr>
          <w:rStyle w:val="deletedparamark"/>
        </w:rPr>
        <w:t xml:space="preserve"> </w:t>
      </w:r>
      <w:r>
        <w:t>speaker's inte</w:t>
      </w:r>
      <w:r>
        <w:t>n</w:t>
      </w:r>
      <w:r>
        <w:softHyphen/>
        <w:t>tion clear.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"nonagenarian"&gt;</w:t>
      </w:r>
      <w:r>
        <w:rPr>
          <w:rStyle w:val="indexentry"/>
        </w:rPr>
        <w:fldChar w:fldCharType="begin"/>
      </w:r>
      <w:r>
        <w:instrText>xe "</w:instrText>
      </w:r>
      <w:r>
        <w:rPr>
          <w:rStyle w:val="xeentry"/>
        </w:rPr>
        <w:instrText>nonagenarian</w:instrText>
      </w:r>
      <w:r>
        <w:instrText>"</w:instrText>
      </w:r>
      <w:r>
        <w:rPr>
          <w:rStyle w:val="indexentry"/>
        </w:rPr>
        <w:fldChar w:fldCharType="end"/>
      </w:r>
      <w:r>
        <w:rPr>
          <w:rStyle w:val="indexentry"/>
        </w:rPr>
        <w:t>&lt;cx "octogenarian"&gt;</w:t>
      </w:r>
      <w:r>
        <w:rPr>
          <w:rStyle w:val="indexentry"/>
        </w:rPr>
        <w:fldChar w:fldCharType="begin"/>
      </w:r>
      <w:r>
        <w:instrText>xe "</w:instrText>
      </w:r>
      <w:r>
        <w:rPr>
          <w:rStyle w:val="xeentry"/>
        </w:rPr>
        <w:instrText>octogenarian</w:instrText>
      </w:r>
      <w:r>
        <w:instrText>"</w:instrText>
      </w:r>
      <w:r>
        <w:rPr>
          <w:rStyle w:val="indexentry"/>
        </w:rPr>
        <w:fldChar w:fldCharType="end"/>
      </w:r>
      <w:r>
        <w:rPr>
          <w:rStyle w:val="indexentry"/>
        </w:rPr>
        <w:t>&lt;cx "comparative lujvo, and seltau presupposition"&gt;</w:t>
      </w:r>
      <w:r>
        <w:rPr>
          <w:rStyle w:val="indexentry"/>
        </w:rPr>
        <w:fldChar w:fldCharType="begin"/>
      </w:r>
      <w:r>
        <w:instrText>xe "</w:instrText>
      </w:r>
      <w:r>
        <w:rPr>
          <w:rStyle w:val="xeentry"/>
        </w:rPr>
        <w:instrText>comparative lujvo: and seltau presupposition</w:instrText>
      </w:r>
      <w:r>
        <w:instrText>"</w:instrText>
      </w:r>
      <w:r>
        <w:rPr>
          <w:rStyle w:val="indexentry"/>
        </w:rPr>
        <w:fldChar w:fldCharType="end"/>
      </w:r>
      <w:r>
        <w:t>It is important to realize that such comparative lujvo do not presuppose</w:t>
      </w:r>
      <w:r>
        <w:rPr>
          <w:rStyle w:val="deletedparamark"/>
        </w:rPr>
        <w:t xml:space="preserve"> </w:t>
      </w:r>
      <w:r>
        <w:t>their seltau. Just as in English, saying someone is younger than someone</w:t>
      </w:r>
      <w:r>
        <w:rPr>
          <w:rStyle w:val="deletedparamark"/>
        </w:rPr>
        <w:t xml:space="preserve"> </w:t>
      </w:r>
      <w:r>
        <w:t>else doesn't imply that they're young in the first place: an octogenarian,</w:t>
      </w:r>
      <w:r>
        <w:rPr>
          <w:rStyle w:val="deletedparamark"/>
        </w:rPr>
        <w:t xml:space="preserve"> </w:t>
      </w:r>
      <w:r>
        <w:t>after all, is still younger than a nonage</w:t>
      </w:r>
      <w:r>
        <w:softHyphen/>
        <w:t>narian. Rather, the 80-year-old has</w:t>
      </w:r>
      <w:r>
        <w:rPr>
          <w:rStyle w:val="deletedparamark"/>
        </w:rPr>
        <w:t xml:space="preserve"> </w:t>
      </w:r>
      <w:r>
        <w:t>a greater “ni citno” than the 90-year-old. Similarly, a 5-year-old is</w:t>
      </w:r>
      <w:r>
        <w:rPr>
          <w:rStyle w:val="deletedparamark"/>
        </w:rPr>
        <w:t xml:space="preserve"> </w:t>
      </w:r>
      <w:r>
        <w:t>older than a 1-year-old, but is not considered “old” by most standards.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"former state"&gt;</w:t>
      </w:r>
      <w:r>
        <w:rPr>
          <w:rStyle w:val="indexentry"/>
        </w:rPr>
        <w:fldChar w:fldCharType="begin"/>
      </w:r>
      <w:r>
        <w:instrText>xe "</w:instrText>
      </w:r>
      <w:r>
        <w:rPr>
          <w:rStyle w:val="xeentry"/>
        </w:rPr>
        <w:instrText>former state</w:instrText>
      </w:r>
      <w:r>
        <w:instrText>"</w:instrText>
      </w:r>
      <w:r>
        <w:rPr>
          <w:rStyle w:val="indexentry"/>
        </w:rPr>
        <w:fldChar w:fldCharType="end"/>
      </w:r>
      <w:r>
        <w:rPr>
          <w:rStyle w:val="indexentry"/>
        </w:rPr>
        <w:t>&lt;cx "comparative lujvo, against former state"&gt;</w:t>
      </w:r>
      <w:r>
        <w:rPr>
          <w:rStyle w:val="indexentry"/>
        </w:rPr>
        <w:fldChar w:fldCharType="begin"/>
      </w:r>
      <w:r>
        <w:instrText>xe "</w:instrText>
      </w:r>
      <w:r>
        <w:rPr>
          <w:rStyle w:val="xeentry"/>
        </w:rPr>
        <w:instrText>comparative lujvo: against former state</w:instrText>
      </w:r>
      <w:r>
        <w:instrText>"</w:instrText>
      </w:r>
      <w:r>
        <w:rPr>
          <w:rStyle w:val="indexentry"/>
        </w:rPr>
        <w:fldChar w:fldCharType="end"/>
      </w:r>
      <w:r>
        <w:t>There are some comparative concepts which are in which the “se zmadu” is</w:t>
      </w:r>
      <w:r>
        <w:rPr>
          <w:rStyle w:val="deletedparamark"/>
        </w:rPr>
        <w:t xml:space="preserve"> </w:t>
      </w:r>
      <w:r>
        <w:t>difficult to specify. Typically, these involve comparisons implicitly made</w:t>
      </w:r>
      <w:r>
        <w:rPr>
          <w:rStyle w:val="deletedparamark"/>
        </w:rPr>
        <w:t xml:space="preserve"> </w:t>
      </w:r>
      <w:r>
        <w:t>with a former state of affairs, where stating a z2 place explicitly would</w:t>
      </w:r>
      <w:r>
        <w:rPr>
          <w:rStyle w:val="deletedparamark"/>
        </w:rPr>
        <w:t xml:space="preserve"> </w:t>
      </w:r>
      <w:r>
        <w:t>be problematic.</w:t>
      </w:r>
    </w:p>
    <w:p w:rsidR="00B72047" w:rsidRDefault="00B72047">
      <w:pPr>
        <w:pStyle w:val="normalparagraph"/>
        <w:rPr>
          <w:rStyle w:val="htmlparacode"/>
        </w:rPr>
      </w:pPr>
      <w:r>
        <w:rPr>
          <w:rStyle w:val="htmlparacode"/>
        </w:rPr>
        <w:t>&lt;p&gt;</w:t>
      </w:r>
    </w:p>
    <w:p w:rsidR="00B72047" w:rsidRDefault="00B72047">
      <w:pPr>
        <w:pStyle w:val="normalparagraph"/>
      </w:pPr>
      <w:r>
        <w:t>In such cases, it is best not to use “zmadu” and leave the comparison hanging,</w:t>
      </w:r>
      <w:r>
        <w:rPr>
          <w:rStyle w:val="deletedparamark"/>
        </w:rPr>
        <w:t xml:space="preserve"> </w:t>
      </w:r>
      <w:r>
        <w:t>but to use instead the gismu “zenba”, meaning “increase” (and “jdika”, meaning</w:t>
      </w:r>
      <w:r>
        <w:rPr>
          <w:rStyle w:val="deletedparamark"/>
        </w:rPr>
        <w:t xml:space="preserve"> “</w:t>
      </w:r>
      <w:r>
        <w:t>decrease”, in place of “mleca”). The gismu “zenba” was included in the</w:t>
      </w:r>
      <w:r>
        <w:rPr>
          <w:rStyle w:val="deletedparamark"/>
        </w:rPr>
        <w:t xml:space="preserve"> </w:t>
      </w:r>
      <w:r>
        <w:t>language pre</w:t>
      </w:r>
      <w:r>
        <w:softHyphen/>
        <w:t>cisely in order to capture those notions of increase which</w:t>
      </w:r>
      <w:r>
        <w:rPr>
          <w:rStyle w:val="deletedparamark"/>
        </w:rPr>
        <w:t xml:space="preserve"> “</w:t>
      </w:r>
      <w:r>
        <w:t>zmadu” can't quite cope with; in addition, we don't have to waste a place</w:t>
      </w:r>
      <w:r>
        <w:rPr>
          <w:rStyle w:val="deletedparamark"/>
        </w:rPr>
        <w:t xml:space="preserve"> </w:t>
      </w:r>
      <w:r>
        <w:t>in lujvo or tanru on something that we'd never fill in with a value anyway.</w:t>
      </w:r>
      <w:r>
        <w:rPr>
          <w:rStyle w:val="deletedparamark"/>
        </w:rPr>
        <w:t xml:space="preserve"> </w:t>
      </w:r>
      <w:r>
        <w:t>So we can translate “I'm stronger now” not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name=e15d7&gt;</w:t>
      </w:r>
      <w:r>
        <w:t>15.7)</w:t>
      </w:r>
      <w:r>
        <w:tab/>
        <w:t>mi ca tsamau</w:t>
      </w:r>
    </w:p>
    <w:p w:rsidR="00B72047" w:rsidRDefault="00B72047">
      <w:pPr>
        <w:pStyle w:val="examplescaled"/>
      </w:pPr>
      <w:r>
        <w:tab/>
        <w:t>I now am-stronger.</w:t>
      </w:r>
    </w:p>
    <w:p w:rsidR="00B72047" w:rsidRDefault="00B72047">
      <w:pPr>
        <w:pStyle w:val="resumedafterexample"/>
      </w:pPr>
      <w:r>
        <w:rPr>
          <w:rStyle w:val="htmlcodes"/>
        </w:rPr>
        <w:t>&lt;/pre&gt;</w:t>
      </w:r>
      <w:r>
        <w:t>which implies that I'm currently stronger than somebody else (the elided occu</w:t>
      </w:r>
      <w:r>
        <w:softHyphen/>
        <w:t>pant</w:t>
      </w:r>
      <w:r>
        <w:rPr>
          <w:rStyle w:val="deletedparamark"/>
        </w:rPr>
        <w:t xml:space="preserve"> </w:t>
      </w:r>
      <w:r>
        <w:t>of the second or z2 place), but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name=e15d8&gt;</w:t>
      </w:r>
      <w:r>
        <w:t>15.8)</w:t>
      </w:r>
      <w:r>
        <w:tab/>
        <w:t>mi ca tsaze'a</w:t>
      </w:r>
    </w:p>
    <w:p w:rsidR="00B72047" w:rsidRDefault="00B72047">
      <w:pPr>
        <w:pStyle w:val="examplescaled"/>
      </w:pPr>
      <w:r>
        <w:tab/>
        <w:t>I increase in strength.</w:t>
      </w:r>
    </w:p>
    <w:p w:rsidR="00B72047" w:rsidRDefault="00B72047">
      <w:pPr>
        <w:pStyle w:val="normalafterexample"/>
      </w:pPr>
      <w:r>
        <w:rPr>
          <w:rStyle w:val="htmlcodes"/>
        </w:rPr>
        <w:t>&lt;/pre&gt;&lt;p&gt;</w:t>
      </w:r>
      <w:r>
        <w:t>Finally, lujvo with a tertau of “traji” are used to build superla</w:t>
      </w:r>
      <w:r>
        <w:softHyphen/>
        <w:t>tives.</w:t>
      </w:r>
      <w:r>
        <w:rPr>
          <w:rStyle w:val="deletedparamark"/>
        </w:rPr>
        <w:t xml:space="preserve"> </w:t>
      </w:r>
      <w:r>
        <w:t>The place stru</w:t>
      </w:r>
      <w:r>
        <w:t>c</w:t>
      </w:r>
      <w:r>
        <w:softHyphen/>
        <w:t>ture of “traji”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name=e15d9&gt;</w:t>
      </w:r>
      <w:r>
        <w:t>15.9)</w:t>
      </w:r>
      <w:r>
        <w:tab/>
        <w:t xml:space="preserve">t1 is superlative in property t2, being the t3 extremum (largest by default) </w:t>
      </w:r>
    </w:p>
    <w:p w:rsidR="00B72047" w:rsidRDefault="00B72047">
      <w:pPr>
        <w:pStyle w:val="examplescaled"/>
        <w:ind w:firstLine="576"/>
      </w:pPr>
      <w:r>
        <w:t>of set t4</w:t>
      </w:r>
    </w:p>
    <w:p w:rsidR="00B72047" w:rsidRDefault="00B72047">
      <w:pPr>
        <w:pStyle w:val="resumedafterexample"/>
      </w:pPr>
      <w:r>
        <w:rPr>
          <w:rStyle w:val="htmlcodes"/>
        </w:rPr>
        <w:t>&lt;/pre&gt;&lt;p&gt;</w:t>
      </w:r>
      <w:r>
        <w:t>Consider the gismu “xamgu”, whose place structure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name=e15d10&gt;</w:t>
      </w:r>
      <w:r>
        <w:t>15.10)</w:t>
      </w:r>
      <w:r>
        <w:tab/>
        <w:t>xa1 is good for xa2 by standard xa3</w:t>
      </w:r>
    </w:p>
    <w:p w:rsidR="00B72047" w:rsidRDefault="00B72047">
      <w:pPr>
        <w:pStyle w:val="resumedafterexample"/>
      </w:pPr>
      <w:r>
        <w:rPr>
          <w:rStyle w:val="htmlcodes"/>
        </w:rPr>
        <w:t>&lt;/pre&gt;</w:t>
      </w:r>
      <w:r>
        <w:rPr>
          <w:rStyle w:val="indexentry"/>
        </w:rPr>
        <w:t>&lt;ex "better"&gt;</w:t>
      </w:r>
      <w:r>
        <w:rPr>
          <w:rStyle w:val="indexentry"/>
        </w:rPr>
        <w:fldChar w:fldCharType="begin"/>
      </w:r>
      <w:r>
        <w:instrText>xe "</w:instrText>
      </w:r>
      <w:r>
        <w:rPr>
          <w:rStyle w:val="xeentry"/>
        </w:rPr>
        <w:instrText>better: example</w:instrText>
      </w:r>
      <w:r>
        <w:instrText>"</w:instrText>
      </w:r>
      <w:r>
        <w:rPr>
          <w:rStyle w:val="indexentry"/>
        </w:rPr>
        <w:fldChar w:fldCharType="end"/>
      </w:r>
      <w:r>
        <w:t>The comparative form is “xagmau”, corresponding to English “better”,</w:t>
      </w:r>
      <w:r>
        <w:rPr>
          <w:rStyle w:val="deletedparamark"/>
        </w:rPr>
        <w:t xml:space="preserve"> </w:t>
      </w:r>
      <w:r>
        <w:t>with a place structure (by the rules given above)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name=e15d11&gt;</w:t>
      </w:r>
      <w:r>
        <w:t>15.11)</w:t>
      </w:r>
      <w:r>
        <w:tab/>
        <w:t>z1 is better than z2 for xa2 by standard xa3 in amount z4</w:t>
      </w:r>
    </w:p>
    <w:p w:rsidR="00B72047" w:rsidRDefault="00B72047">
      <w:pPr>
        <w:pStyle w:val="resumedafterexample"/>
      </w:pPr>
      <w:r>
        <w:rPr>
          <w:rStyle w:val="htmlcodes"/>
        </w:rPr>
        <w:t>&lt;/pre&gt;</w:t>
      </w:r>
      <w:r>
        <w:rPr>
          <w:rStyle w:val="indexentry"/>
        </w:rPr>
        <w:t>&lt;cx "lujvo place structure, superlatives"&gt;</w:t>
      </w:r>
      <w:r>
        <w:rPr>
          <w:rStyle w:val="indexentry"/>
        </w:rPr>
        <w:fldChar w:fldCharType="begin"/>
      </w:r>
      <w:r>
        <w:instrText>xe "</w:instrText>
      </w:r>
      <w:r>
        <w:rPr>
          <w:rStyle w:val="xeentry"/>
        </w:rPr>
        <w:instrText>lujvo place structure: superlatives</w:instrText>
      </w:r>
      <w:r>
        <w:instrText>"</w:instrText>
      </w:r>
      <w:r>
        <w:rPr>
          <w:rStyle w:val="indexentry"/>
        </w:rPr>
        <w:fldChar w:fldCharType="end"/>
      </w:r>
      <w:r>
        <w:rPr>
          <w:rStyle w:val="indexentry"/>
        </w:rPr>
        <w:t>&lt;cx "lujvo place order, superlatives"&gt;</w:t>
      </w:r>
      <w:r>
        <w:rPr>
          <w:rStyle w:val="indexentry"/>
        </w:rPr>
        <w:fldChar w:fldCharType="begin"/>
      </w:r>
      <w:r>
        <w:instrText>xe "</w:instrText>
      </w:r>
      <w:r>
        <w:rPr>
          <w:rStyle w:val="xeentry"/>
        </w:rPr>
        <w:instrText>lujvo place order: superlatives</w:instrText>
      </w:r>
      <w:r>
        <w:instrText>"</w:instrText>
      </w:r>
      <w:r>
        <w:rPr>
          <w:rStyle w:val="indexentry"/>
        </w:rPr>
        <w:fldChar w:fldCharType="end"/>
      </w:r>
      <w:r>
        <w:t>We would expect the place structure of “xagrai”, the superlative form, to</w:t>
      </w:r>
      <w:r>
        <w:rPr>
          <w:rStyle w:val="deletedparamark"/>
        </w:rPr>
        <w:t xml:space="preserve"> </w:t>
      </w:r>
      <w:r>
        <w:t>somehow mir</w:t>
      </w:r>
      <w:r>
        <w:softHyphen/>
        <w:t>ror that, given that comparatives and superlatives are comparable</w:t>
      </w:r>
      <w:r>
        <w:rPr>
          <w:rStyle w:val="deletedparamark"/>
        </w:rPr>
        <w:t xml:space="preserve"> </w:t>
      </w:r>
      <w:r>
        <w:t>concepts, resulting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name=e15d12&gt;</w:t>
      </w:r>
      <w:r>
        <w:t>15.12)</w:t>
      </w:r>
      <w:r>
        <w:tab/>
        <w:t>xa1=t1 is the best of the set t4 for xa2 by standard xa3.</w:t>
      </w:r>
    </w:p>
    <w:p w:rsidR="00B72047" w:rsidRDefault="00B72047">
      <w:pPr>
        <w:pStyle w:val="resumedafterexample"/>
      </w:pPr>
      <w:r>
        <w:rPr>
          <w:rStyle w:val="htmlcodes"/>
        </w:rPr>
        <w:t>&lt;/pre&gt;&lt;p&gt;</w:t>
      </w:r>
      <w:r>
        <w:t>The t2 place in “traji”, normally filled by a property abstraction, is</w:t>
      </w:r>
      <w:r>
        <w:rPr>
          <w:rStyle w:val="deletedparamark"/>
        </w:rPr>
        <w:t xml:space="preserve"> </w:t>
      </w:r>
      <w:r>
        <w:t>re</w:t>
      </w:r>
      <w:r>
        <w:softHyphen/>
        <w:t>placed by the sel</w:t>
      </w:r>
      <w:r>
        <w:softHyphen/>
        <w:t>tau places, and the t3 place specifying the extremum of</w:t>
      </w:r>
      <w:r>
        <w:rPr>
          <w:rStyle w:val="deletedparamark"/>
        </w:rPr>
        <w:t xml:space="preserve"> “</w:t>
      </w:r>
      <w:r>
        <w:t>traji” (whether the most or the least, that is) is presumed by default</w:t>
      </w:r>
      <w:r>
        <w:rPr>
          <w:rStyle w:val="deletedparamark"/>
        </w:rPr>
        <w:t xml:space="preserve"> </w:t>
      </w:r>
      <w:r>
        <w:t>to be “the most”.</w:t>
      </w:r>
    </w:p>
    <w:p w:rsidR="00B72047" w:rsidRDefault="00B72047">
      <w:pPr>
        <w:rPr>
          <w:rStyle w:val="htmlparacode"/>
        </w:rPr>
      </w:pPr>
      <w:r>
        <w:rPr>
          <w:rStyle w:val="htmlparacode"/>
        </w:rPr>
        <w:t>&lt;p&gt;</w:t>
      </w:r>
    </w:p>
    <w:p w:rsidR="00B72047" w:rsidRDefault="00B72047">
      <w:pPr>
        <w:pStyle w:val="normalparagraph"/>
      </w:pPr>
      <w:r>
        <w:rPr>
          <w:rStyle w:val="indexentry"/>
        </w:rPr>
        <w:t>&lt;cx "lujvo place order, superlatives as exceptions"&gt;</w:t>
      </w:r>
      <w:r>
        <w:rPr>
          <w:rStyle w:val="indexentry"/>
        </w:rPr>
        <w:fldChar w:fldCharType="begin"/>
      </w:r>
      <w:r>
        <w:instrText>xe "</w:instrText>
      </w:r>
      <w:r>
        <w:rPr>
          <w:rStyle w:val="xeentry"/>
        </w:rPr>
        <w:instrText>lujvo place order: superlatives as exceptions</w:instrText>
      </w:r>
      <w:r>
        <w:instrText>"</w:instrText>
      </w:r>
      <w:r>
        <w:rPr>
          <w:rStyle w:val="indexentry"/>
        </w:rPr>
        <w:fldChar w:fldCharType="end"/>
      </w:r>
      <w:r>
        <w:t>But the set against which the t1 place of “traji” is compared is not the t2</w:t>
      </w:r>
      <w:r>
        <w:rPr>
          <w:rStyle w:val="deletedparamark"/>
        </w:rPr>
        <w:t xml:space="preserve"> </w:t>
      </w:r>
      <w:r>
        <w:t>place (which would make the place structure of “traji” fully parallel to</w:t>
      </w:r>
      <w:r>
        <w:rPr>
          <w:rStyle w:val="deletedparamark"/>
        </w:rPr>
        <w:t xml:space="preserve"> </w:t>
      </w:r>
      <w:r>
        <w:t>that of “zmadu”), but rather the t4 place. Nevertheless, by a special</w:t>
      </w:r>
      <w:r>
        <w:rPr>
          <w:rStyle w:val="deletedparamark"/>
        </w:rPr>
        <w:t xml:space="preserve"> </w:t>
      </w:r>
      <w:r>
        <w:t>exception to the rules of place ordering, the t4 place of “traji”-based lujvo</w:t>
      </w:r>
      <w:r>
        <w:rPr>
          <w:rStyle w:val="deletedparamark"/>
        </w:rPr>
        <w:t xml:space="preserve"> </w:t>
      </w:r>
      <w:r>
        <w:t>becomes the second place of the lujvo. Some exam</w:t>
      </w:r>
      <w:r>
        <w:softHyphen/>
        <w:t>ples:</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"Judy: example"</w:instrText>
      </w:r>
      <w:r>
        <w:rPr>
          <w:rStyle w:val="xeentry"/>
        </w:rPr>
        <w:fldChar w:fldCharType="end"/>
      </w:r>
      <w:r>
        <w:rPr>
          <w:rStyle w:val="htmlcodes"/>
        </w:rPr>
        <w:t>&lt;pre&gt;&lt;a name=e15d12&gt;</w:t>
      </w:r>
      <w:r>
        <w:t>15.13)</w:t>
      </w:r>
      <w:r>
        <w:tab/>
        <w:t>la djudis. cu citrai lo'i lobypli</w:t>
      </w:r>
    </w:p>
    <w:p w:rsidR="00B72047" w:rsidRDefault="00B72047">
      <w:pPr>
        <w:pStyle w:val="examplescaled"/>
      </w:pPr>
      <w:r>
        <w:tab/>
        <w:t>Judy is the youngest of all Lojbanists.</w:t>
      </w:r>
    </w:p>
    <w:p w:rsidR="00B72047" w:rsidRDefault="00B72047">
      <w:pPr>
        <w:pStyle w:val="examplescaledpre"/>
        <w:spacing w:before="80"/>
      </w:pPr>
      <w:r>
        <w:rPr>
          <w:rStyle w:val="xeentry"/>
        </w:rPr>
        <w:fldChar w:fldCharType="begin"/>
      </w:r>
      <w:r>
        <w:rPr>
          <w:rStyle w:val="xeentry"/>
        </w:rPr>
        <w:instrText>xe "Einstein: example"</w:instrText>
      </w:r>
      <w:r>
        <w:rPr>
          <w:rStyle w:val="xeentry"/>
        </w:rPr>
        <w:fldChar w:fldCharType="end"/>
      </w:r>
      <w:r>
        <w:rPr>
          <w:rStyle w:val="htmlcodes"/>
        </w:rPr>
        <w:t>&lt;pre&gt;&lt;a name=e15d13&gt;</w:t>
      </w:r>
      <w:r>
        <w:t>15.14)</w:t>
      </w:r>
      <w:r>
        <w:tab/>
        <w:t>la ainctain. cu balrai lo'i skegunka</w:t>
      </w:r>
    </w:p>
    <w:p w:rsidR="00B72047" w:rsidRDefault="00B72047">
      <w:pPr>
        <w:pStyle w:val="examplescaled"/>
      </w:pPr>
      <w:r>
        <w:tab/>
        <w:t>Einstein was the greatest of all scientists.</w:t>
      </w:r>
    </w:p>
    <w:p w:rsidR="00B72047" w:rsidRDefault="00B72047">
      <w:pPr>
        <w:pStyle w:val="Heading3"/>
        <w:rPr>
          <w:rStyle w:val="Heading3Text"/>
        </w:rPr>
      </w:pPr>
      <w:r>
        <w:rPr>
          <w:rStyle w:val="htmlcodes"/>
        </w:rPr>
        <w:t>&lt;/pre&gt;&lt;a name=s16&gt;&lt;h3&gt;</w:t>
      </w:r>
      <w:bookmarkStart w:id="392" w:name="_Toc398970635"/>
      <w:r>
        <w:rPr>
          <w:rStyle w:val="Heading3Text"/>
        </w:rPr>
        <w:t>Notes on gismu place structures</w:t>
      </w:r>
      <w:bookmarkEnd w:id="39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"gismu place structures"&gt;</w:t>
      </w:r>
      <w:r>
        <w:rPr>
          <w:rStyle w:val="indexentry"/>
        </w:rPr>
        <w:fldChar w:fldCharType="begin"/>
      </w:r>
      <w:r>
        <w:instrText>xe "</w:instrText>
      </w:r>
      <w:r>
        <w:rPr>
          <w:rStyle w:val="xeentry"/>
        </w:rPr>
        <w:instrText>gismu: place structures</w:instrText>
      </w:r>
      <w:r>
        <w:instrText>"</w:instrText>
      </w:r>
      <w:r>
        <w:rPr>
          <w:rStyle w:val="indexentry"/>
        </w:rPr>
        <w:fldChar w:fldCharType="end"/>
      </w:r>
      <w:r>
        <w:rPr>
          <w:rStyle w:val="indexentry"/>
        </w:rPr>
        <w:t>&lt;cx "place structure, gismu"&gt;</w:t>
      </w:r>
      <w:r>
        <w:rPr>
          <w:rStyle w:val="indexentry"/>
        </w:rPr>
        <w:fldChar w:fldCharType="begin"/>
      </w:r>
      <w:r>
        <w:instrText>xe "</w:instrText>
      </w:r>
      <w:r>
        <w:rPr>
          <w:rStyle w:val="xeentry"/>
        </w:rPr>
        <w:instrText>place structure: gismu</w:instrText>
      </w:r>
      <w:r>
        <w:instrText>"</w:instrText>
      </w:r>
      <w:r>
        <w:rPr>
          <w:rStyle w:val="indexentry"/>
        </w:rPr>
        <w:fldChar w:fldCharType="end"/>
      </w:r>
      <w:r>
        <w:t>Unlike the place structures of lujvo, the place structures of gismu were</w:t>
      </w:r>
      <w:r>
        <w:rPr>
          <w:rStyle w:val="deletedparamark"/>
        </w:rPr>
        <w:t xml:space="preserve"> </w:t>
      </w:r>
      <w:r>
        <w:t>as</w:t>
      </w:r>
      <w:r>
        <w:softHyphen/>
        <w:t>signed in a far less systematic way through a detailed case-by-case</w:t>
      </w:r>
      <w:r>
        <w:rPr>
          <w:rStyle w:val="deletedparamark"/>
        </w:rPr>
        <w:t xml:space="preserve"> </w:t>
      </w:r>
      <w:r>
        <w:t>analysis and re</w:t>
      </w:r>
      <w:r>
        <w:softHyphen/>
        <w:t>peated reviews with associated changes. (The gismu list</w:t>
      </w:r>
      <w:r>
        <w:rPr>
          <w:rStyle w:val="deletedparamark"/>
        </w:rPr>
        <w:t xml:space="preserve"> </w:t>
      </w:r>
      <w:r>
        <w:t>is now baselined, so no further changes are co</w:t>
      </w:r>
      <w:r>
        <w:t>n</w:t>
      </w:r>
      <w:r>
        <w:softHyphen/>
        <w:t>templated.) Nevertheless,</w:t>
      </w:r>
      <w:r>
        <w:rPr>
          <w:rStyle w:val="deletedparamark"/>
        </w:rPr>
        <w:t xml:space="preserve"> </w:t>
      </w:r>
      <w:r>
        <w:t>certain regularities were imposed both in the choice of places and in the</w:t>
      </w:r>
      <w:r>
        <w:rPr>
          <w:rStyle w:val="deletedparamark"/>
        </w:rPr>
        <w:t xml:space="preserve"> </w:t>
      </w:r>
      <w:r>
        <w:t>ordering of places which may be helpful to the learner and the lujvo-maker,</w:t>
      </w:r>
      <w:r>
        <w:rPr>
          <w:rStyle w:val="deletedparamark"/>
        </w:rPr>
        <w:t xml:space="preserve"> </w:t>
      </w:r>
      <w:r>
        <w:t>and which are therefore discussed here.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"gismu place structures, rationale"&gt;</w:t>
      </w:r>
      <w:r>
        <w:rPr>
          <w:rStyle w:val="indexentry"/>
        </w:rPr>
        <w:fldChar w:fldCharType="begin"/>
      </w:r>
      <w:r>
        <w:instrText>xe "</w:instrText>
      </w:r>
      <w:r>
        <w:rPr>
          <w:rStyle w:val="xeentry"/>
        </w:rPr>
        <w:instrText>gismu: place structures, rationale</w:instrText>
      </w:r>
      <w:r>
        <w:instrText>"</w:instrText>
      </w:r>
      <w:r>
        <w:rPr>
          <w:rStyle w:val="indexentry"/>
        </w:rPr>
        <w:fldChar w:fldCharType="end"/>
      </w:r>
      <w:r>
        <w:t>The choice of gismu places results from the varying outcome of four different</w:t>
      </w:r>
      <w:r>
        <w:rPr>
          <w:rStyle w:val="deletedparamark"/>
        </w:rPr>
        <w:t xml:space="preserve"> </w:t>
      </w:r>
      <w:r>
        <w:t>pre</w:t>
      </w:r>
      <w:r>
        <w:t>s</w:t>
      </w:r>
      <w:r>
        <w:softHyphen/>
        <w:t>sures: brevity, convenience, metaphysical ne</w:t>
      </w:r>
      <w:r>
        <w:softHyphen/>
        <w:t>cessity, and regularity.</w:t>
      </w:r>
      <w:r>
        <w:rPr>
          <w:rStyle w:val="deletedparamark"/>
        </w:rPr>
        <w:t xml:space="preserve"> </w:t>
      </w:r>
      <w:r>
        <w:t>(These are also to some extent the underlying factors in the lujvo place</w:t>
      </w:r>
      <w:r>
        <w:rPr>
          <w:rStyle w:val="deletedparamark"/>
        </w:rPr>
        <w:t xml:space="preserve"> </w:t>
      </w:r>
      <w:r>
        <w:t>structures generated by the methods of this chapter.) The implications of</w:t>
      </w:r>
      <w:r>
        <w:rPr>
          <w:rStyle w:val="deletedparamark"/>
        </w:rPr>
        <w:t xml:space="preserve"> </w:t>
      </w:r>
      <w:r>
        <w:t>each are roughly as follows:</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 xml:space="preserve">Brevity tends to remove places: the fewer places a gismu has, the easier it is to learn, and the less specific it is. As mentioned in </w:t>
      </w:r>
      <w:r>
        <w:rPr>
          <w:rStyle w:val="htmlcodes"/>
        </w:rPr>
        <w:t>&lt;a href=#s4&gt;</w:t>
      </w:r>
      <w:r>
        <w:t>Section 4</w:t>
      </w:r>
      <w:r>
        <w:rPr>
          <w:rStyle w:val="htmlcodes"/>
        </w:rPr>
        <w:t>&lt;/a&gt;</w:t>
      </w:r>
      <w:r>
        <w:t>, a brivla with fewer place structures is less specific, and generality is a virtue in gismu, because they must thoroughly blanket all of se</w:t>
      </w:r>
      <w:r>
        <w:softHyphen/>
        <w:t>mantic space.</w:t>
      </w:r>
    </w:p>
    <w:p w:rsidR="00B72047" w:rsidRDefault="00B72047" w:rsidP="007E67C1">
      <w:pPr>
        <w:pStyle w:val="Listjustified"/>
        <w:numPr>
          <w:ilvl w:val="0"/>
          <w:numId w:val="2"/>
        </w:numPr>
        <w:ind w:left="792" w:hanging="432"/>
      </w:pPr>
      <w:r>
        <w:rPr>
          <w:rStyle w:val="htmlcodes"/>
        </w:rPr>
        <w:t>&lt;p&gt;&lt;dt&gt;&lt;dd&gt;</w:t>
      </w:r>
      <w:r>
        <w:t>Convenience tends to increase the number of places: if a concept can be expressed as a place of some existing gismu, there is no need to make an</w:t>
      </w:r>
      <w:r>
        <w:softHyphen/>
        <w:t>other gismu, a lujvo or a fu'ivla for it.</w:t>
      </w:r>
    </w:p>
    <w:p w:rsidR="00B72047" w:rsidRDefault="00B72047" w:rsidP="007E67C1">
      <w:pPr>
        <w:pStyle w:val="Listjustified"/>
        <w:numPr>
          <w:ilvl w:val="0"/>
          <w:numId w:val="2"/>
        </w:numPr>
        <w:ind w:left="792" w:hanging="432"/>
      </w:pPr>
      <w:r>
        <w:rPr>
          <w:rStyle w:val="htmlcodes"/>
        </w:rPr>
        <w:t>&lt;p&gt;&lt;dt&gt;&lt;dd&gt;</w:t>
      </w:r>
      <w:r>
        <w:t>Metaphysical necessity can either increase or decrease places: it is a pres</w:t>
      </w:r>
      <w:r>
        <w:softHyphen/>
        <w:t>sure tending to provide the “right number” of places. If something is part of the essential nature of a concept, then a place must be made for it; on the other hand, if instances of the concept need not have some property, then this pressure will tend to re</w:t>
      </w:r>
      <w:r>
        <w:softHyphen/>
        <w:t>move the place.</w:t>
      </w:r>
    </w:p>
    <w:p w:rsidR="00B72047" w:rsidRDefault="00B72047" w:rsidP="007E67C1">
      <w:pPr>
        <w:pStyle w:val="Listjustified"/>
        <w:numPr>
          <w:ilvl w:val="0"/>
          <w:numId w:val="2"/>
        </w:numPr>
        <w:ind w:left="792" w:hanging="432"/>
      </w:pPr>
      <w:r>
        <w:rPr>
          <w:rStyle w:val="htmlcodes"/>
        </w:rPr>
        <w:t>&lt;p&gt;&lt;dt&gt;&lt;dd&gt;</w:t>
      </w:r>
      <w:r>
        <w:t>Regularity is a pressure which can also either increase or decrease places. If a gismu has a given place, then gismu which are semantically related to it are likely to have the place also.</w:t>
      </w:r>
    </w:p>
    <w:p w:rsidR="00B72047" w:rsidRDefault="00B72047">
      <w:pPr>
        <w:pStyle w:val="normalafterexample"/>
        <w:spacing w:before="80"/>
      </w:pPr>
      <w:r>
        <w:rPr>
          <w:rStyle w:val="htmlcodes"/>
        </w:rPr>
        <w:t>&lt;/dl&gt;&lt;p&gt;</w:t>
      </w:r>
      <w:r>
        <w:t>Here are some examples of gismu place structures, with a discussion of</w:t>
      </w:r>
      <w:r>
        <w:rPr>
          <w:rStyle w:val="deletedparamark"/>
        </w:rPr>
        <w:t xml:space="preserve"> </w:t>
      </w:r>
      <w:r>
        <w:t>the pressures operating on them: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name=e16d1&gt;</w:t>
      </w:r>
      <w:r>
        <w:t>16.1)</w:t>
      </w:r>
      <w:r>
        <w:tab/>
        <w:t>“xekri”:  xe1 is black</w:t>
      </w:r>
    </w:p>
    <w:p w:rsidR="00B72047" w:rsidRDefault="00B72047">
      <w:pPr>
        <w:pStyle w:val="resumedafterexample"/>
      </w:pPr>
      <w:r>
        <w:rPr>
          <w:rStyle w:val="htmlcodes"/>
        </w:rPr>
        <w:t>&lt;/pre&gt;</w:t>
      </w:r>
      <w:r>
        <w:rPr>
          <w:rStyle w:val="indexentry"/>
        </w:rPr>
        <w:t>&lt;cx "color standards"&gt;</w:t>
      </w:r>
      <w:r>
        <w:rPr>
          <w:rStyle w:val="indexentry"/>
        </w:rPr>
        <w:fldChar w:fldCharType="begin"/>
      </w:r>
      <w:r>
        <w:instrText>xe "</w:instrText>
      </w:r>
      <w:r>
        <w:rPr>
          <w:rStyle w:val="xeentry"/>
        </w:rPr>
        <w:instrText>color standards</w:instrText>
      </w:r>
      <w:r>
        <w:instrText>"</w:instrText>
      </w:r>
      <w:r>
        <w:rPr>
          <w:rStyle w:val="indexentry"/>
        </w:rPr>
        <w:fldChar w:fldCharType="end"/>
      </w:r>
      <w:r>
        <w:t>Brevity was the most important goal here, reinforced by one inter</w:t>
      </w:r>
      <w:r>
        <w:softHyphen/>
        <w:t>pretation</w:t>
      </w:r>
      <w:r>
        <w:rPr>
          <w:rStyle w:val="deletedparamark"/>
        </w:rPr>
        <w:t xml:space="preserve"> </w:t>
      </w:r>
      <w:r>
        <w:t>of meta</w:t>
      </w:r>
      <w:r>
        <w:softHyphen/>
        <w:t>physi</w:t>
      </w:r>
      <w:r>
        <w:softHyphen/>
        <w:t>cal necessity. There is no mention of color standards here,</w:t>
      </w:r>
      <w:r>
        <w:rPr>
          <w:rStyle w:val="deletedparamark"/>
        </w:rPr>
        <w:t xml:space="preserve"> </w:t>
      </w:r>
      <w:r>
        <w:t>as many people have pointed out; like all color gismu, “xekri” is explicitly</w:t>
      </w:r>
      <w:r>
        <w:rPr>
          <w:rStyle w:val="deletedparamark"/>
        </w:rPr>
        <w:t xml:space="preserve"> </w:t>
      </w:r>
      <w:r>
        <w:t>subjective. Objective color stan</w:t>
      </w:r>
      <w:r>
        <w:softHyphen/>
        <w:t>dards can be brought in by an appropriate</w:t>
      </w:r>
      <w:r>
        <w:rPr>
          <w:rStyle w:val="deletedparamark"/>
        </w:rPr>
        <w:t xml:space="preserve"> </w:t>
      </w:r>
      <w:r>
        <w:t xml:space="preserve">BAI tag such as “ci'u” (“in system”; see </w:t>
      </w:r>
      <w:r>
        <w:rPr>
          <w:rStyle w:val="htmlcodes"/>
        </w:rPr>
        <w:t>&lt;a href=chap9.html&gt;</w:t>
      </w:r>
      <w:r>
        <w:t>Cha</w:t>
      </w:r>
      <w:r>
        <w:t>p</w:t>
      </w:r>
      <w:r>
        <w:t>ter 9</w:t>
      </w:r>
      <w:r>
        <w:rPr>
          <w:rStyle w:val="htmlcodes"/>
        </w:rPr>
        <w:t>&lt;/a&gt;</w:t>
      </w:r>
      <w:r>
        <w:t>) or by making a lujvo.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name=e16d2&gt;</w:t>
      </w:r>
      <w:r>
        <w:t>16.2)</w:t>
      </w:r>
      <w:r>
        <w:tab/>
        <w:t>“jbena”:  j1 is born to j2 at time j3 and location j4</w:t>
      </w:r>
    </w:p>
    <w:p w:rsidR="00B72047" w:rsidRDefault="00B72047">
      <w:pPr>
        <w:pStyle w:val="resumedafterexample"/>
      </w:pPr>
      <w:r>
        <w:rPr>
          <w:rStyle w:val="htmlcodes"/>
        </w:rPr>
        <w:t>&lt;/pre&gt;&lt;p&gt;</w:t>
      </w:r>
      <w:r>
        <w:t>The gismu “jbena” contains places for time and location, which few other</w:t>
      </w:r>
      <w:r>
        <w:rPr>
          <w:rStyle w:val="deletedparamark"/>
        </w:rPr>
        <w:t xml:space="preserve"> </w:t>
      </w:r>
      <w:r>
        <w:t>gismu have: normally, the time and place at which something is done is</w:t>
      </w:r>
      <w:r>
        <w:rPr>
          <w:rStyle w:val="deletedparamark"/>
        </w:rPr>
        <w:t xml:space="preserve"> </w:t>
      </w:r>
      <w:r>
        <w:t xml:space="preserve">supplied by a tense tag (see </w:t>
      </w:r>
      <w:r>
        <w:rPr>
          <w:rStyle w:val="htmlcodes"/>
        </w:rPr>
        <w:t>&lt;a href=chap10.html&gt;</w:t>
      </w:r>
      <w:r>
        <w:t>Chapter 10</w:t>
      </w:r>
      <w:r>
        <w:rPr>
          <w:rStyle w:val="htmlcodes"/>
        </w:rPr>
        <w:t>&lt;/a&gt;</w:t>
      </w:r>
      <w:r>
        <w:t>). However, providing these places</w:t>
      </w:r>
      <w:r>
        <w:rPr>
          <w:rStyle w:val="deletedparamark"/>
        </w:rPr>
        <w:t xml:space="preserve"> </w:t>
      </w:r>
      <w:r>
        <w:t>makes “le te jbena” a simple term for “birthday” and “le ve jbena” for</w:t>
      </w:r>
      <w:r>
        <w:rPr>
          <w:rStyle w:val="deletedparamark"/>
        </w:rPr>
        <w:t xml:space="preserve"> “</w:t>
      </w:r>
      <w:r>
        <w:t>birthplace”, so these places were provided despite their lack of</w:t>
      </w:r>
      <w:r>
        <w:rPr>
          <w:rStyle w:val="deletedparamark"/>
        </w:rPr>
        <w:t xml:space="preserve"> </w:t>
      </w:r>
      <w:r>
        <w:t>metaphysical necessity.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name=e16d3&gt;</w:t>
      </w:r>
      <w:r>
        <w:t>16.3)</w:t>
      </w:r>
      <w:r>
        <w:tab/>
        <w:t>“rinka”:  event r1 is the cause of event r2</w:t>
      </w:r>
    </w:p>
    <w:p w:rsidR="00B72047" w:rsidRDefault="00B72047">
      <w:pPr>
        <w:pStyle w:val="resumedafterexample"/>
      </w:pPr>
      <w:r>
        <w:rPr>
          <w:rStyle w:val="htmlcodes"/>
        </w:rPr>
        <w:t>&lt;/pre&gt;</w:t>
      </w:r>
      <w:r>
        <w:rPr>
          <w:rStyle w:val="indexentry"/>
        </w:rPr>
        <w:t>&lt;cx "melting"&gt;</w:t>
      </w:r>
      <w:r>
        <w:rPr>
          <w:rStyle w:val="indexentry"/>
        </w:rPr>
        <w:fldChar w:fldCharType="begin"/>
      </w:r>
      <w:r>
        <w:instrText>xe "</w:instrText>
      </w:r>
      <w:r>
        <w:rPr>
          <w:rStyle w:val="xeentry"/>
        </w:rPr>
        <w:instrText>melting</w:instrText>
      </w:r>
      <w:r>
        <w:instrText>"</w:instrText>
      </w:r>
      <w:r>
        <w:rPr>
          <w:rStyle w:val="indexentry"/>
        </w:rPr>
        <w:fldChar w:fldCharType="end"/>
      </w:r>
      <w:r>
        <w:t>The place structure of “rinka” does not have a place for the agent, the</w:t>
      </w:r>
      <w:r>
        <w:rPr>
          <w:rStyle w:val="deletedparamark"/>
        </w:rPr>
        <w:t xml:space="preserve"> </w:t>
      </w:r>
      <w:r>
        <w:t>one who causes, as a result of the pressure toward metaphysical ne</w:t>
      </w:r>
      <w:r>
        <w:softHyphen/>
        <w:t>cessity.</w:t>
      </w:r>
      <w:r>
        <w:rPr>
          <w:rStyle w:val="deletedparamark"/>
        </w:rPr>
        <w:t xml:space="preserve"> </w:t>
      </w:r>
      <w:r>
        <w:t>A cause-effect relationship does not have to include an agent: an event</w:t>
      </w:r>
      <w:r>
        <w:rPr>
          <w:rStyle w:val="deletedparamark"/>
        </w:rPr>
        <w:t xml:space="preserve"> </w:t>
      </w:r>
      <w:r>
        <w:t>(such as snow melting in the mountains) may cause another event (such as</w:t>
      </w:r>
      <w:r>
        <w:rPr>
          <w:rStyle w:val="deletedparamark"/>
        </w:rPr>
        <w:t xml:space="preserve"> </w:t>
      </w:r>
      <w:r>
        <w:t>the flooding of the Nile) without any human inter</w:t>
      </w:r>
      <w:r>
        <w:softHyphen/>
        <w:t>vention or even knowledge.</w:t>
      </w:r>
    </w:p>
    <w:p w:rsidR="00B72047" w:rsidRDefault="00B72047">
      <w:pPr>
        <w:rPr>
          <w:rStyle w:val="htmlparacode"/>
        </w:rPr>
      </w:pPr>
      <w:r>
        <w:rPr>
          <w:rStyle w:val="htmlparacode"/>
        </w:rPr>
        <w:t>&lt;p&gt;</w:t>
      </w:r>
    </w:p>
    <w:p w:rsidR="00B72047" w:rsidRDefault="00B72047">
      <w:pPr>
        <w:pStyle w:val="normalparagraph"/>
      </w:pPr>
      <w:r>
        <w:rPr>
          <w:rStyle w:val="indexentry"/>
        </w:rPr>
        <w:t>&lt;cx "lujvo, as suppliers of agent place"&gt;</w:t>
      </w:r>
      <w:r>
        <w:rPr>
          <w:rStyle w:val="indexentry"/>
        </w:rPr>
        <w:fldChar w:fldCharType="begin"/>
      </w:r>
      <w:r>
        <w:instrText>xe "</w:instrText>
      </w:r>
      <w:r>
        <w:rPr>
          <w:rStyle w:val="xeentry"/>
        </w:rPr>
        <w:instrText>lujvo: as suppliers of agent place</w:instrText>
      </w:r>
      <w:r>
        <w:instrText>"</w:instrText>
      </w:r>
      <w:r>
        <w:rPr>
          <w:rStyle w:val="indexentry"/>
        </w:rPr>
        <w:fldChar w:fldCharType="end"/>
      </w:r>
      <w:r>
        <w:t>Indeed, there is a general tendency to omit agent places from most gismu</w:t>
      </w:r>
      <w:r>
        <w:rPr>
          <w:rStyle w:val="deletedparamark"/>
        </w:rPr>
        <w:t xml:space="preserve"> </w:t>
      </w:r>
      <w:r>
        <w:t>ex</w:t>
      </w:r>
      <w:r>
        <w:softHyphen/>
        <w:t>cept for a few such as “gasnu” and “zukte” which are then used as tertau</w:t>
      </w:r>
      <w:r>
        <w:rPr>
          <w:rStyle w:val="deletedparamark"/>
        </w:rPr>
        <w:t xml:space="preserve"> </w:t>
      </w:r>
      <w:r>
        <w:t xml:space="preserve">in order to restore the agent place when needed: see </w:t>
      </w:r>
      <w:r>
        <w:rPr>
          <w:rStyle w:val="htmlcodes"/>
        </w:rPr>
        <w:t>&lt;a href=#s13&gt;</w:t>
      </w:r>
      <w:r>
        <w:t>Section 13</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name=e16d4&gt;</w:t>
      </w:r>
      <w:r>
        <w:t>16.4)</w:t>
      </w:r>
      <w:r>
        <w:tab/>
        <w:t>“cinfo”:  c1 is a lion of species/breed c2</w:t>
      </w:r>
    </w:p>
    <w:p w:rsidR="00B72047" w:rsidRDefault="00B72047">
      <w:pPr>
        <w:pStyle w:val="resumedafterexample"/>
      </w:pPr>
      <w:r>
        <w:rPr>
          <w:rStyle w:val="htmlcodes"/>
        </w:rPr>
        <w:t>&lt;/pre&gt;</w:t>
      </w:r>
      <w:r>
        <w:rPr>
          <w:rStyle w:val="indexentry"/>
        </w:rPr>
        <w:t>&lt;cx "general terms"&gt;</w:t>
      </w:r>
      <w:r>
        <w:rPr>
          <w:rStyle w:val="indexentry"/>
        </w:rPr>
        <w:fldChar w:fldCharType="begin"/>
      </w:r>
      <w:r>
        <w:instrText>xe "</w:instrText>
      </w:r>
      <w:r>
        <w:rPr>
          <w:rStyle w:val="xeentry"/>
        </w:rPr>
        <w:instrText>general terms</w:instrText>
      </w:r>
      <w:r>
        <w:instrText>"</w:instrText>
      </w:r>
      <w:r>
        <w:rPr>
          <w:rStyle w:val="indexentry"/>
        </w:rPr>
        <w:fldChar w:fldCharType="end"/>
      </w:r>
      <w:r>
        <w:rPr>
          <w:rStyle w:val="indexentry"/>
        </w:rPr>
        <w:t>&lt;cx "diversified species"&gt;</w:t>
      </w:r>
      <w:r>
        <w:rPr>
          <w:rStyle w:val="indexentry"/>
        </w:rPr>
        <w:fldChar w:fldCharType="begin"/>
      </w:r>
      <w:r>
        <w:instrText>xe "</w:instrText>
      </w:r>
      <w:r>
        <w:rPr>
          <w:rStyle w:val="xeentry"/>
        </w:rPr>
        <w:instrText>diversified species</w:instrText>
      </w:r>
      <w:r>
        <w:instrText>"</w:instrText>
      </w:r>
      <w:r>
        <w:rPr>
          <w:rStyle w:val="indexentry"/>
        </w:rPr>
        <w:fldChar w:fldCharType="end"/>
      </w:r>
      <w:r>
        <w:t>The c2 place of “cinfo” is provided as a result of the pressure toward</w:t>
      </w:r>
      <w:r>
        <w:rPr>
          <w:rStyle w:val="deletedparamark"/>
        </w:rPr>
        <w:t xml:space="preserve"> </w:t>
      </w:r>
      <w:r>
        <w:t>regularity. All an</w:t>
      </w:r>
      <w:r>
        <w:t>i</w:t>
      </w:r>
      <w:r>
        <w:softHyphen/>
        <w:t>mal and plant gismu have such an x2 place; al</w:t>
      </w:r>
      <w:r>
        <w:softHyphen/>
        <w:t>though</w:t>
      </w:r>
      <w:r>
        <w:rPr>
          <w:rStyle w:val="deletedparamark"/>
        </w:rPr>
        <w:t xml:space="preserve"> </w:t>
      </w:r>
      <w:r>
        <w:t>there is in fact only one species of lion, and breeds of lion, though</w:t>
      </w:r>
      <w:r>
        <w:rPr>
          <w:rStyle w:val="deletedparamark"/>
        </w:rPr>
        <w:t xml:space="preserve"> </w:t>
      </w:r>
      <w:r>
        <w:t>they exist, aren't all that important in talking about lions. The</w:t>
      </w:r>
      <w:r>
        <w:rPr>
          <w:rStyle w:val="deletedparamark"/>
        </w:rPr>
        <w:t xml:space="preserve"> </w:t>
      </w:r>
      <w:r>
        <w:t>species/breed place must exist for such diversified species as dogs,</w:t>
      </w:r>
      <w:r>
        <w:rPr>
          <w:rStyle w:val="deletedparamark"/>
        </w:rPr>
        <w:t xml:space="preserve"> </w:t>
      </w:r>
      <w:r>
        <w:t>and for general terms like “cinki” (insect), and are provided for all</w:t>
      </w:r>
      <w:r>
        <w:rPr>
          <w:rStyle w:val="deletedparamark"/>
        </w:rPr>
        <w:t xml:space="preserve"> </w:t>
      </w:r>
      <w:r>
        <w:t>other animals and plants as a matter of regularity.</w:t>
      </w:r>
    </w:p>
    <w:p w:rsidR="00B72047" w:rsidRDefault="00B72047">
      <w:pPr>
        <w:rPr>
          <w:rStyle w:val="htmlparacode"/>
        </w:rPr>
      </w:pPr>
      <w:r>
        <w:rPr>
          <w:rStyle w:val="htmlparacode"/>
        </w:rPr>
        <w:t>&lt;p&gt;</w:t>
      </w:r>
    </w:p>
    <w:p w:rsidR="00B72047" w:rsidRDefault="00B72047">
      <w:pPr>
        <w:pStyle w:val="normalparagraph"/>
      </w:pPr>
      <w:r>
        <w:rPr>
          <w:rStyle w:val="indexentry"/>
        </w:rPr>
        <w:t>&lt;cx "gismu place order, rationale"&gt;</w:t>
      </w:r>
      <w:r>
        <w:rPr>
          <w:rStyle w:val="indexentry"/>
        </w:rPr>
        <w:fldChar w:fldCharType="begin"/>
      </w:r>
      <w:r>
        <w:instrText>xe "</w:instrText>
      </w:r>
      <w:r>
        <w:rPr>
          <w:rStyle w:val="xeentry"/>
        </w:rPr>
        <w:instrText>gismu: place order, rationale</w:instrText>
      </w:r>
      <w:r>
        <w:instrText>"</w:instrText>
      </w:r>
      <w:r>
        <w:rPr>
          <w:rStyle w:val="indexentry"/>
        </w:rPr>
        <w:fldChar w:fldCharType="end"/>
      </w:r>
      <w:r>
        <w:t>Less can be said about gismu place structure ordering, but some regularities</w:t>
      </w:r>
      <w:r>
        <w:rPr>
          <w:rStyle w:val="deletedparamark"/>
        </w:rPr>
        <w:t xml:space="preserve"> </w:t>
      </w:r>
      <w:r>
        <w:t>are a</w:t>
      </w:r>
      <w:r>
        <w:t>p</w:t>
      </w:r>
      <w:r>
        <w:softHyphen/>
        <w:t>parent. The places tend to appear in de</w:t>
      </w:r>
      <w:r>
        <w:softHyphen/>
        <w:t>creasing order of psychological</w:t>
      </w:r>
      <w:r>
        <w:rPr>
          <w:rStyle w:val="deletedparamark"/>
        </w:rPr>
        <w:t xml:space="preserve"> </w:t>
      </w:r>
      <w:r>
        <w:t>saliency or impo</w:t>
      </w:r>
      <w:r>
        <w:t>r</w:t>
      </w:r>
      <w:r>
        <w:softHyphen/>
        <w:t>tance. There is an implication within the place structure</w:t>
      </w:r>
      <w:r>
        <w:rPr>
          <w:rStyle w:val="deletedparamark"/>
        </w:rPr>
        <w:t xml:space="preserve"> </w:t>
      </w:r>
      <w:r>
        <w:t>of “klama”, for example, that “lo klama” (the one going) will be talked about</w:t>
      </w:r>
      <w:r>
        <w:rPr>
          <w:rStyle w:val="deletedparamark"/>
        </w:rPr>
        <w:t xml:space="preserve"> </w:t>
      </w:r>
      <w:r>
        <w:t>more often, and is thus more im</w:t>
      </w:r>
      <w:r>
        <w:softHyphen/>
        <w:t>portant, than “lo se klama” (the destination),</w:t>
      </w:r>
      <w:r>
        <w:rPr>
          <w:rStyle w:val="deletedparamark"/>
        </w:rPr>
        <w:t xml:space="preserve"> </w:t>
      </w:r>
      <w:r>
        <w:t>which is in turn more important than “lo xe klama” (the means of transport).</w:t>
      </w:r>
    </w:p>
    <w:p w:rsidR="00B72047" w:rsidRDefault="00B72047">
      <w:pPr>
        <w:rPr>
          <w:rStyle w:val="htmlparacode"/>
        </w:rPr>
      </w:pPr>
      <w:r>
        <w:rPr>
          <w:rStyle w:val="htmlparacode"/>
        </w:rPr>
        <w:t>&lt;p&gt;</w:t>
      </w:r>
    </w:p>
    <w:p w:rsidR="00B72047" w:rsidRDefault="00B72047">
      <w:pPr>
        <w:pStyle w:val="normalparagraph"/>
      </w:pPr>
      <w:r>
        <w:t>Some specific tendencies (not really rules) can also be ob</w:t>
      </w:r>
      <w:r>
        <w:softHyphen/>
        <w:t>served.</w:t>
      </w:r>
      <w:r>
        <w:rPr>
          <w:rStyle w:val="deletedparamark"/>
        </w:rPr>
        <w:t xml:space="preserve"> </w:t>
      </w:r>
      <w:r>
        <w:t>For example, when there is an agent place, it tends to be</w:t>
      </w:r>
      <w:r>
        <w:rPr>
          <w:rStyle w:val="deletedparamark"/>
        </w:rPr>
        <w:t xml:space="preserve"> </w:t>
      </w:r>
      <w:r>
        <w:t>the first place. Similarly, when a destination and an origin point are</w:t>
      </w:r>
      <w:r>
        <w:rPr>
          <w:rStyle w:val="deletedparamark"/>
        </w:rPr>
        <w:t xml:space="preserve"> </w:t>
      </w:r>
      <w:r>
        <w:t>men</w:t>
      </w:r>
      <w:r>
        <w:softHyphen/>
        <w:t>tioned, the destination is always placed just before the ori</w:t>
      </w:r>
      <w:r>
        <w:softHyphen/>
        <w:t>gin</w:t>
      </w:r>
      <w:r>
        <w:rPr>
          <w:rStyle w:val="deletedparamark"/>
        </w:rPr>
        <w:t xml:space="preserve"> </w:t>
      </w:r>
      <w:r>
        <w:t>point. Places such as “under conditions” and “by standard”, which often</w:t>
      </w:r>
      <w:r>
        <w:rPr>
          <w:rStyle w:val="deletedparamark"/>
        </w:rPr>
        <w:t xml:space="preserve"> </w:t>
      </w:r>
      <w:r>
        <w:t>go unfilled, are moved to near the end of the place structure.</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codes"/>
        </w:rPr>
        <w:t>&lt;p&gt;</w:t>
      </w:r>
    </w:p>
    <w:p w:rsidR="00B72047" w:rsidRDefault="00B72047">
      <w:pPr>
        <w:pStyle w:val="normalparagraph"/>
        <w:rPr>
          <w:rStyle w:val="htmlcodes"/>
        </w:rPr>
      </w:pPr>
      <w:r>
        <w:rPr>
          <w:rStyle w:val="htmlcodes"/>
        </w:rPr>
        <w:t>&lt;/body&gt;&lt;/html&gt;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7" type="#_x0000_t75" style="width:351pt;height:545.25pt">
            <v:imagedata r:id="rId33" o:title="" croptop="-18790f" cropbottom="-18790f" cropleft="-1585f"/>
          </v:shape>
        </w:pict>
      </w:r>
    </w:p>
    <w:p w:rsidR="00B72047" w:rsidRDefault="00B72047">
      <w:pPr>
        <w:pStyle w:val="resumedafterexample"/>
        <w:rPr>
          <w:rStyle w:val="htmlcodes"/>
        </w:rPr>
      </w:pPr>
      <w:r>
        <w:rPr>
          <w:rStyle w:val="htmlcodes"/>
        </w:rPr>
        <w:t>&lt;img src=chap13.gif alt=[Cartoon] align=center width=405 height=405&gt;</w:t>
      </w:r>
    </w:p>
    <w:p w:rsidR="00B72047" w:rsidRDefault="00B72047">
      <w:pPr>
        <w:pStyle w:val="resumedafterexample"/>
      </w:pPr>
    </w:p>
    <w:p w:rsidR="00B72047" w:rsidRDefault="00B72047">
      <w:pPr>
        <w:pStyle w:val="Heading2"/>
      </w:pPr>
      <w:r>
        <w:rPr>
          <w:rStyle w:val="htmlcodes"/>
        </w:rPr>
        <w:t>&lt;h2&gt;</w:t>
      </w:r>
      <w:bookmarkStart w:id="393" w:name="_Toc395684384"/>
      <w:bookmarkStart w:id="394" w:name="_Toc398970636"/>
      <w:r>
        <w:t>Chapter 13</w:t>
      </w:r>
      <w:bookmarkEnd w:id="393"/>
      <w:bookmarkEnd w:id="394"/>
    </w:p>
    <w:p w:rsidR="00B72047" w:rsidRDefault="00B72047">
      <w:pPr>
        <w:pStyle w:val="Heading2"/>
        <w:rPr>
          <w:rStyle w:val="htmlcodes"/>
        </w:rPr>
      </w:pPr>
      <w:r>
        <w:rPr>
          <w:rStyle w:val="htmlcodes"/>
        </w:rPr>
        <w:t>&lt;br&gt;</w:t>
      </w:r>
    </w:p>
    <w:p w:rsidR="00B72047" w:rsidRDefault="00B72047">
      <w:pPr>
        <w:pStyle w:val="Heading2"/>
      </w:pPr>
      <w:bookmarkStart w:id="395" w:name="_Toc398970637"/>
      <w:r>
        <w:t>Oooh! Arrgh! Ugh! Yecch! Attitudinal and Emotional Indica</w:t>
      </w:r>
      <w:r>
        <w:softHyphen/>
        <w:t>tors</w:t>
      </w:r>
      <w:bookmarkEnd w:id="395"/>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396" w:name="_Toc398970638"/>
      <w:r>
        <w:rPr>
          <w:rStyle w:val="Heading3Text"/>
        </w:rPr>
        <w:t>What are attitudinal indicators?</w:t>
      </w:r>
      <w:bookmarkEnd w:id="396"/>
      <w:r>
        <w:rPr>
          <w:rStyle w:val="htmlcodes"/>
        </w:rPr>
        <w:t>&lt;/h3&gt;</w:t>
      </w:r>
    </w:p>
    <w:p w:rsidR="00B72047" w:rsidRDefault="00B72047">
      <w:pPr>
        <w:pStyle w:val="normalparagraph"/>
      </w:pPr>
      <w:r>
        <w:rPr>
          <w:rStyle w:val="indexentry"/>
        </w:rPr>
        <w:t>&lt;cx "attitude"&gt;</w:t>
      </w:r>
      <w:r>
        <w:rPr>
          <w:rStyle w:val="indexentry"/>
        </w:rPr>
        <w:fldChar w:fldCharType="begin"/>
      </w:r>
      <w:r>
        <w:instrText>xe "</w:instrText>
      </w:r>
      <w:r>
        <w:rPr>
          <w:rStyle w:val="xeentry"/>
        </w:rPr>
        <w:instrText>attitude</w:instrText>
      </w:r>
      <w:r>
        <w:instrText>"</w:instrText>
      </w:r>
      <w:r>
        <w:rPr>
          <w:rStyle w:val="indexentry"/>
        </w:rPr>
        <w:fldChar w:fldCharType="end"/>
      </w:r>
      <w:r>
        <w:rPr>
          <w:rStyle w:val="indexentry"/>
        </w:rPr>
        <w:t>&lt;cx "punctuation"&gt;</w:t>
      </w:r>
      <w:r>
        <w:rPr>
          <w:rStyle w:val="indexentry"/>
        </w:rPr>
        <w:fldChar w:fldCharType="begin"/>
      </w:r>
      <w:r>
        <w:instrText>xe "</w:instrText>
      </w:r>
      <w:r>
        <w:rPr>
          <w:rStyle w:val="xeentry"/>
        </w:rPr>
        <w:instrText>punctuation</w:instrText>
      </w:r>
      <w:r>
        <w:instrText>"</w:instrText>
      </w:r>
      <w:r>
        <w:rPr>
          <w:rStyle w:val="indexentry"/>
        </w:rPr>
        <w:fldChar w:fldCharType="end"/>
      </w:r>
      <w:r>
        <w:rPr>
          <w:rStyle w:val="indexentry"/>
        </w:rPr>
        <w:t>&lt;cx "tone of voice"&gt;</w:t>
      </w:r>
      <w:r>
        <w:rPr>
          <w:rStyle w:val="indexentry"/>
        </w:rPr>
        <w:fldChar w:fldCharType="begin"/>
      </w:r>
      <w:r>
        <w:instrText>xe "</w:instrText>
      </w:r>
      <w:r>
        <w:rPr>
          <w:rStyle w:val="xeentry"/>
        </w:rPr>
        <w:instrText>tone of voice</w:instrText>
      </w:r>
      <w:r>
        <w:instrText>"</w:instrText>
      </w:r>
      <w:r>
        <w:rPr>
          <w:rStyle w:val="indexentry"/>
        </w:rPr>
        <w:fldChar w:fldCharType="end"/>
      </w:r>
      <w:r>
        <w:rPr>
          <w:rStyle w:val="indexentry"/>
        </w:rPr>
        <w:t>&lt;cx "feeling"&gt;</w:t>
      </w:r>
      <w:r>
        <w:rPr>
          <w:rStyle w:val="indexentry"/>
        </w:rPr>
        <w:fldChar w:fldCharType="begin"/>
      </w:r>
      <w:r>
        <w:instrText>xe "</w:instrText>
      </w:r>
      <w:r>
        <w:rPr>
          <w:rStyle w:val="xeentry"/>
        </w:rPr>
        <w:instrText>feeling</w:instrText>
      </w:r>
      <w:r>
        <w:instrText>"</w:instrText>
      </w:r>
      <w:r>
        <w:rPr>
          <w:rStyle w:val="indexentry"/>
        </w:rPr>
        <w:fldChar w:fldCharType="end"/>
      </w:r>
      <w:r>
        <w:rPr>
          <w:rStyle w:val="indexentry"/>
        </w:rPr>
        <w:t>&lt;cx "emotion"&gt;</w:t>
      </w:r>
      <w:r>
        <w:rPr>
          <w:rStyle w:val="indexentry"/>
        </w:rPr>
        <w:fldChar w:fldCharType="begin"/>
      </w:r>
      <w:r>
        <w:instrText>xe "</w:instrText>
      </w:r>
      <w:r>
        <w:rPr>
          <w:rStyle w:val="xeentry"/>
        </w:rPr>
        <w:instrText>emotion</w:instrText>
      </w:r>
      <w:r>
        <w:instrText>"</w:instrText>
      </w:r>
      <w:r>
        <w:rPr>
          <w:rStyle w:val="indexentry"/>
        </w:rPr>
        <w:fldChar w:fldCharType="end"/>
      </w:r>
      <w:r>
        <w:t>This chapter explains the various words that Lojban provides for expressing</w:t>
      </w:r>
      <w:r>
        <w:rPr>
          <w:rStyle w:val="deletedparamark"/>
        </w:rPr>
        <w:t xml:space="preserve"> </w:t>
      </w:r>
      <w:r>
        <w:t>attitude and related notions. In natural languages, at</w:t>
      </w:r>
      <w:r>
        <w:softHyphen/>
        <w:t>titudes are usually</w:t>
      </w:r>
      <w:r>
        <w:rPr>
          <w:rStyle w:val="deletedparamark"/>
        </w:rPr>
        <w:t xml:space="preserve"> </w:t>
      </w:r>
      <w:r>
        <w:t>expressed by the tone of voice when speaking, and (very imperfectly) by</w:t>
      </w:r>
      <w:r>
        <w:rPr>
          <w:rStyle w:val="deletedparamark"/>
        </w:rPr>
        <w:t xml:space="preserve"> </w:t>
      </w:r>
      <w:r>
        <w:t>punctuation when writing. For example, the bare words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John is coming.</w:t>
      </w:r>
    </w:p>
    <w:p w:rsidR="00B72047" w:rsidRDefault="00B72047">
      <w:pPr>
        <w:pStyle w:val="resumedafterexample"/>
      </w:pPr>
      <w:r>
        <w:rPr>
          <w:rStyle w:val="htmlcodes"/>
        </w:rPr>
        <w:t>&lt;/pre&gt;</w:t>
      </w:r>
      <w:r>
        <w:t>can be made, through tone of voice, to express the speaker's feeling of</w:t>
      </w:r>
      <w:r>
        <w:rPr>
          <w:rStyle w:val="deletedparamark"/>
        </w:rPr>
        <w:t xml:space="preserve"> </w:t>
      </w:r>
      <w:r>
        <w:t>happiness, pity, hope, surprise, or disbelief. These fine points of tone</w:t>
      </w:r>
      <w:r>
        <w:rPr>
          <w:rStyle w:val="deletedparamark"/>
        </w:rPr>
        <w:t xml:space="preserve"> </w:t>
      </w:r>
      <w:r>
        <w:t>cannot be expressed in writing. A</w:t>
      </w:r>
      <w:r>
        <w:t>t</w:t>
      </w:r>
      <w:r>
        <w:softHyphen/>
        <w:t>titudes are also expressed with various</w:t>
      </w:r>
      <w:r>
        <w:rPr>
          <w:rStyle w:val="deletedparamark"/>
        </w:rPr>
        <w:t xml:space="preserve"> </w:t>
      </w:r>
      <w:r>
        <w:t>sounds which show up in print as oddly spelled words, such as the “Oooh!”,</w:t>
      </w:r>
      <w:r>
        <w:rPr>
          <w:rStyle w:val="deletedparamark"/>
        </w:rPr>
        <w:t xml:space="preserve"> “</w:t>
      </w:r>
      <w:r>
        <w:t>Arrgh!”, “Ugh!”, and “Yecch!” in the title. These are part of the English</w:t>
      </w:r>
      <w:r>
        <w:rPr>
          <w:rStyle w:val="deletedparamark"/>
        </w:rPr>
        <w:t xml:space="preserve"> </w:t>
      </w:r>
      <w:r>
        <w:t>language; people born to other languages use a different set; yet you won't</w:t>
      </w:r>
      <w:r>
        <w:rPr>
          <w:rStyle w:val="deletedparamark"/>
        </w:rPr>
        <w:t xml:space="preserve"> </w:t>
      </w:r>
      <w:r>
        <w:t>find any of these words in a dictionary.</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 indicators"&gt;</w:t>
      </w:r>
      <w:r>
        <w:rPr>
          <w:rStyle w:val="indexentry"/>
        </w:rPr>
        <w:fldChar w:fldCharType="begin"/>
      </w:r>
      <w:r>
        <w:instrText>xe "</w:instrText>
      </w:r>
      <w:r>
        <w:rPr>
          <w:rStyle w:val="xeentry"/>
        </w:rPr>
        <w:instrText>attitudinal indicators</w:instrText>
      </w:r>
      <w:r>
        <w:instrText>"</w:instrText>
      </w:r>
      <w:r>
        <w:rPr>
          <w:rStyle w:val="indexentry"/>
        </w:rPr>
        <w:fldChar w:fldCharType="end"/>
      </w:r>
      <w:r>
        <w:t>In Lojban, everything that can be spoken can also be written. Therefore,</w:t>
      </w:r>
      <w:r>
        <w:rPr>
          <w:rStyle w:val="deletedparamark"/>
        </w:rPr>
        <w:t xml:space="preserve"> </w:t>
      </w:r>
      <w:r>
        <w:t>these tones of voice must be represented by explicit words known as</w:t>
      </w:r>
      <w:r>
        <w:rPr>
          <w:rStyle w:val="deletedparamark"/>
        </w:rPr>
        <w:t xml:space="preserve"> “</w:t>
      </w:r>
      <w:r>
        <w:t>attitudinal indicators”, or just “attitudinals”. This rule seems awkward</w:t>
      </w:r>
      <w:r>
        <w:rPr>
          <w:rStyle w:val="deletedparamark"/>
        </w:rPr>
        <w:t xml:space="preserve"> </w:t>
      </w:r>
      <w:r>
        <w:t>and clunky to English-speakers at first, but is an essential part of the</w:t>
      </w:r>
      <w:r>
        <w:rPr>
          <w:rStyle w:val="deletedparamark"/>
        </w:rPr>
        <w:t xml:space="preserve"> </w:t>
      </w:r>
      <w:r>
        <w:t>Lojbanic way of doing things.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"attitidinals, prevailing attitude"&gt;</w:t>
      </w:r>
      <w:r>
        <w:rPr>
          <w:rStyle w:val="indexentry"/>
        </w:rPr>
        <w:fldChar w:fldCharType="begin"/>
      </w:r>
      <w:r>
        <w:instrText>xe "</w:instrText>
      </w:r>
      <w:r>
        <w:rPr>
          <w:rStyle w:val="xeentry"/>
        </w:rPr>
        <w:instrText>attitudinals: prevailing attitude</w:instrText>
      </w:r>
      <w:r>
        <w:instrText>"</w:instrText>
      </w:r>
      <w:r>
        <w:rPr>
          <w:rStyle w:val="indexentry"/>
        </w:rPr>
        <w:fldChar w:fldCharType="end"/>
      </w:r>
      <w:r>
        <w:rPr>
          <w:rStyle w:val="indexentry"/>
        </w:rPr>
        <w:t>&lt;cx "attitidinals, placement for prevailing attitude"&gt;</w:t>
      </w:r>
      <w:r>
        <w:rPr>
          <w:rStyle w:val="indexentry"/>
        </w:rPr>
        <w:fldChar w:fldCharType="begin"/>
      </w:r>
      <w:r>
        <w:instrText>xe "</w:instrText>
      </w:r>
      <w:r>
        <w:rPr>
          <w:rStyle w:val="xeentry"/>
        </w:rPr>
        <w:instrText>attitudinals: placement for prevailing attitude</w:instrText>
      </w:r>
      <w:r>
        <w:instrText>"</w:instrText>
      </w:r>
      <w:r>
        <w:rPr>
          <w:rStyle w:val="indexentry"/>
        </w:rPr>
        <w:fldChar w:fldCharType="end"/>
      </w:r>
      <w:r>
        <w:t>The simplest way to use attitudinal indicators is to place them at the</w:t>
      </w:r>
      <w:r>
        <w:rPr>
          <w:rStyle w:val="deletedparamark"/>
        </w:rPr>
        <w:t xml:space="preserve"> </w:t>
      </w:r>
      <w:r>
        <w:t>beginning of a text. In that case, they express the speaker's prevailing</w:t>
      </w:r>
      <w:r>
        <w:rPr>
          <w:rStyle w:val="deletedparamark"/>
        </w:rPr>
        <w:t xml:space="preserve"> </w:t>
      </w:r>
      <w:r>
        <w:t>attitude. Here are some ex</w:t>
      </w:r>
      <w:r>
        <w:softHyphen/>
        <w:t>amples, correlated with the atti</w:t>
      </w:r>
      <w:r>
        <w:softHyphen/>
        <w:t>tudes mentioned</w:t>
      </w:r>
      <w:r>
        <w:rPr>
          <w:rStyle w:val="deletedparamark"/>
        </w:rPr>
        <w:t xml:space="preserve"> </w:t>
      </w:r>
      <w:r>
        <w:t xml:space="preserve">following </w:t>
      </w:r>
      <w:r>
        <w:rPr>
          <w:rStyle w:val="htmlcodes"/>
        </w:rPr>
        <w:t>&lt;a href=#e1d1&gt;</w:t>
      </w:r>
      <w:r>
        <w:t>Example 1.1</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&lt;ex "John is coming"&gt;</w:t>
      </w:r>
      <w:r>
        <w:rPr>
          <w:rStyle w:val="indexentry"/>
        </w:rPr>
        <w:fldChar w:fldCharType="begin"/>
      </w:r>
      <w:r>
        <w:instrText>xe "</w:instrText>
      </w:r>
      <w:r>
        <w:rPr>
          <w:rStyle w:val="xeentry"/>
        </w:rPr>
        <w:instrText>John is coming: example</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w:instrText>
      </w:r>
      <w:r>
        <w:instrText>"</w:instrText>
      </w:r>
      <w:r>
        <w:rPr>
          <w:rStyle w:val="indexentry"/>
        </w:rPr>
        <w:fldChar w:fldCharType="end"/>
      </w:r>
      <w:r>
        <w:rPr>
          <w:rStyle w:val="htmlcodes"/>
        </w:rPr>
        <w:t>&lt;pre&gt;&lt;a name=e1d2&gt;</w:t>
      </w:r>
      <w:r>
        <w:t>1.2)</w:t>
      </w:r>
      <w:r>
        <w:tab/>
        <w:t>.ui la djan klama</w:t>
      </w:r>
    </w:p>
    <w:p w:rsidR="00B72047" w:rsidRDefault="00B72047">
      <w:pPr>
        <w:pStyle w:val="examplescaled"/>
      </w:pPr>
      <w:r>
        <w:tab/>
        <w:t>[Whee!] John is coming!</w:t>
      </w:r>
    </w:p>
    <w:p w:rsidR="00B72047" w:rsidRDefault="00B72047">
      <w:pPr>
        <w:pStyle w:val="examplescaledpre"/>
      </w:pPr>
      <w:r>
        <w:rPr>
          <w:rStyle w:val="htmlcodes"/>
        </w:rPr>
        <w:t>&lt;/pre&gt;</w:t>
      </w:r>
      <w:r>
        <w:rPr>
          <w:rStyle w:val="indexentry"/>
        </w:rPr>
        <w:t>&lt;lx ".uu"&gt;</w:t>
      </w:r>
      <w:r>
        <w:rPr>
          <w:rStyle w:val="indexentry"/>
        </w:rPr>
        <w:fldChar w:fldCharType="begin"/>
      </w:r>
      <w:r>
        <w:instrText>xe "</w:instrText>
      </w:r>
      <w:r>
        <w:rPr>
          <w:rStyle w:val="xeentry"/>
        </w:rPr>
        <w:instrText>uu</w:instrText>
      </w:r>
      <w:r>
        <w:instrText>"</w:instrText>
      </w:r>
      <w:r>
        <w:rPr>
          <w:rStyle w:val="indexentry"/>
        </w:rPr>
        <w:fldChar w:fldCharType="end"/>
      </w:r>
      <w:r>
        <w:rPr>
          <w:rStyle w:val="htmlcodes"/>
        </w:rPr>
        <w:t>&lt;pre&gt;&lt;a name=e1d3&gt;</w:t>
      </w:r>
      <w:r>
        <w:t>1.3)</w:t>
      </w:r>
      <w:r>
        <w:tab/>
        <w:t>.uu la djan klama</w:t>
      </w:r>
    </w:p>
    <w:p w:rsidR="00B72047" w:rsidRDefault="00B72047">
      <w:pPr>
        <w:pStyle w:val="examplescaled"/>
      </w:pPr>
      <w:r>
        <w:tab/>
        <w:t>[Alas!] John is coming.</w:t>
      </w:r>
    </w:p>
    <w:p w:rsidR="00B72047" w:rsidRDefault="00B72047">
      <w:pPr>
        <w:pStyle w:val="examplescaledpre"/>
      </w:pPr>
      <w:r>
        <w:rPr>
          <w:rStyle w:val="htmlcodes"/>
        </w:rPr>
        <w:t>&lt;/pre&gt;</w:t>
      </w:r>
      <w:r>
        <w:rPr>
          <w:rStyle w:val="indexentry"/>
        </w:rPr>
        <w:t>&lt;lx ".a'o"&gt;</w:t>
      </w:r>
      <w:r>
        <w:rPr>
          <w:rStyle w:val="indexentry"/>
        </w:rPr>
        <w:fldChar w:fldCharType="begin"/>
      </w:r>
      <w:r>
        <w:instrText>xe "</w:instrText>
      </w:r>
      <w:r>
        <w:rPr>
          <w:rStyle w:val="xeentry"/>
        </w:rPr>
        <w:instrText>a'o</w:instrText>
      </w:r>
      <w:r>
        <w:instrText>"</w:instrText>
      </w:r>
      <w:r>
        <w:rPr>
          <w:rStyle w:val="indexentry"/>
        </w:rPr>
        <w:fldChar w:fldCharType="end"/>
      </w:r>
      <w:r>
        <w:rPr>
          <w:rStyle w:val="htmlcodes"/>
        </w:rPr>
        <w:t>&lt;pre&gt;&lt;a name=e1d4&gt;</w:t>
      </w:r>
      <w:r>
        <w:t>1.4)</w:t>
      </w:r>
      <w:r>
        <w:tab/>
        <w:t>.a'o la djan klama</w:t>
      </w:r>
    </w:p>
    <w:p w:rsidR="00B72047" w:rsidRDefault="00B72047">
      <w:pPr>
        <w:pStyle w:val="examplescaled"/>
      </w:pPr>
      <w:r>
        <w:tab/>
        <w:t>[Hopefully] John is coming.</w:t>
      </w:r>
    </w:p>
    <w:p w:rsidR="00B72047" w:rsidRDefault="00B72047">
      <w:pPr>
        <w:pStyle w:val="examplescaledpre"/>
      </w:pPr>
      <w:r>
        <w:rPr>
          <w:rStyle w:val="htmlcodes"/>
        </w:rPr>
        <w:t>&lt;/pre&gt;</w:t>
      </w:r>
      <w:r>
        <w:rPr>
          <w:rStyle w:val="indexentry"/>
        </w:rPr>
        <w:t>&lt;lx ".ue"&gt;</w:t>
      </w:r>
      <w:r>
        <w:rPr>
          <w:rStyle w:val="indexentry"/>
        </w:rPr>
        <w:fldChar w:fldCharType="begin"/>
      </w:r>
      <w:r>
        <w:instrText>xe "</w:instrText>
      </w:r>
      <w:r>
        <w:rPr>
          <w:rStyle w:val="xeentry"/>
        </w:rPr>
        <w:instrText>ue</w:instrText>
      </w:r>
      <w:r>
        <w:instrText>"</w:instrText>
      </w:r>
      <w:r>
        <w:rPr>
          <w:rStyle w:val="indexentry"/>
        </w:rPr>
        <w:fldChar w:fldCharType="end"/>
      </w:r>
      <w:r>
        <w:rPr>
          <w:rStyle w:val="htmlcodes"/>
        </w:rPr>
        <w:t>&lt;pre&gt;&lt;a name=e1d5&gt;</w:t>
      </w:r>
      <w:r>
        <w:t>1.5)</w:t>
      </w:r>
      <w:r>
        <w:tab/>
        <w:t>.ue la djan klama</w:t>
      </w:r>
    </w:p>
    <w:p w:rsidR="00B72047" w:rsidRDefault="00B72047">
      <w:pPr>
        <w:pStyle w:val="examplescaled"/>
      </w:pPr>
      <w:r>
        <w:tab/>
        <w:t>[Wow!] John is coming!</w:t>
      </w:r>
    </w:p>
    <w:p w:rsidR="00B72047" w:rsidRDefault="00B72047">
      <w:pPr>
        <w:pStyle w:val="examplescaledpre"/>
      </w:pPr>
      <w:r>
        <w:rPr>
          <w:rStyle w:val="htmlcodes"/>
        </w:rPr>
        <w:t>&lt;/pre&gt;</w:t>
      </w:r>
      <w:r>
        <w:rPr>
          <w:rStyle w:val="indexentry"/>
        </w:rPr>
        <w:t>&lt;lx ".ianai"&gt;</w:t>
      </w:r>
      <w:r>
        <w:rPr>
          <w:rStyle w:val="indexentry"/>
        </w:rPr>
        <w:fldChar w:fldCharType="begin"/>
      </w:r>
      <w:r>
        <w:instrText>xe "</w:instrText>
      </w:r>
      <w:r>
        <w:rPr>
          <w:rStyle w:val="xeentry"/>
        </w:rPr>
        <w:instrText>ianai</w:instrText>
      </w:r>
      <w:r>
        <w:instrText>"</w:instrText>
      </w:r>
      <w:r>
        <w:rPr>
          <w:rStyle w:val="indexentry"/>
        </w:rPr>
        <w:fldChar w:fldCharType="end"/>
      </w:r>
      <w:r>
        <w:rPr>
          <w:rStyle w:val="htmlcodes"/>
        </w:rPr>
        <w:t>&lt;pre&gt;&lt;a name=e1d6&gt;</w:t>
      </w:r>
      <w:r>
        <w:t>1.6)</w:t>
      </w:r>
      <w:r>
        <w:tab/>
        <w:t>.ianai la djan klama</w:t>
      </w:r>
    </w:p>
    <w:p w:rsidR="00B72047" w:rsidRDefault="00B72047">
      <w:pPr>
        <w:pStyle w:val="examplescaled"/>
      </w:pPr>
      <w:r>
        <w:tab/>
        <w:t>[Nonsense!] John is coming.</w:t>
      </w:r>
    </w:p>
    <w:p w:rsidR="00B72047" w:rsidRDefault="00B72047">
      <w:pPr>
        <w:pStyle w:val="normalafterexample"/>
      </w:pPr>
      <w:r>
        <w:rPr>
          <w:rStyle w:val="htmlcodes"/>
        </w:rPr>
        <w:t>&lt;/pre&gt;</w:t>
      </w:r>
      <w:r>
        <w:rPr>
          <w:rStyle w:val="indexentry"/>
        </w:rPr>
        <w:t>&lt;cx "attitudinals, word-form for primary"&gt;</w:t>
      </w:r>
      <w:r>
        <w:rPr>
          <w:rStyle w:val="indexentry"/>
        </w:rPr>
        <w:fldChar w:fldCharType="begin"/>
      </w:r>
      <w:r>
        <w:instrText>xe "</w:instrText>
      </w:r>
      <w:r>
        <w:rPr>
          <w:rStyle w:val="xeentry"/>
        </w:rPr>
        <w:instrText>attitudinals: word-form for primary</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The primary Lojban attitudinals are all the cmavo of the form VV or V'V:</w:t>
      </w:r>
      <w:r>
        <w:rPr>
          <w:rStyle w:val="deletedparamark"/>
        </w:rPr>
        <w:t xml:space="preserve"> </w:t>
      </w:r>
      <w:r>
        <w:t>one of the few cases where cmavo have been classified solely by their form.</w:t>
      </w:r>
      <w:r>
        <w:rPr>
          <w:rStyle w:val="deletedparamark"/>
        </w:rPr>
        <w:t xml:space="preserve"> </w:t>
      </w:r>
      <w:r>
        <w:t>There are 39 of these cmavo: all 25 possible vowel pairs of the form V'V,</w:t>
      </w:r>
      <w:r>
        <w:rPr>
          <w:rStyle w:val="deletedparamark"/>
        </w:rPr>
        <w:t xml:space="preserve"> </w:t>
      </w:r>
      <w:r>
        <w:t>the four standard diphthongs (“.ai”, “.au”, “.ei”, and “.oi”), and the ten</w:t>
      </w:r>
      <w:r>
        <w:rPr>
          <w:rStyle w:val="deletedparamark"/>
        </w:rPr>
        <w:t xml:space="preserve"> </w:t>
      </w:r>
      <w:r>
        <w:t>more diphthongs that are permitted only in these att</w:t>
      </w:r>
      <w:r>
        <w:t>i</w:t>
      </w:r>
      <w:r>
        <w:softHyphen/>
        <w:t>tudinal indicators and</w:t>
      </w:r>
      <w:r>
        <w:rPr>
          <w:rStyle w:val="deletedparamark"/>
        </w:rPr>
        <w:t xml:space="preserve"> </w:t>
      </w:r>
      <w:r>
        <w:t>in names and borrowings (“.ia”, “.ie”, “.ii”, “.io”, “.iu”, “.ua”, “.ue”, “.ui”, “.uo”, and “.uu”). Note that each of these cmavo has a period before</w:t>
      </w:r>
      <w:r>
        <w:rPr>
          <w:rStyle w:val="deletedparamark"/>
        </w:rPr>
        <w:t xml:space="preserve"> </w:t>
      </w:r>
      <w:r>
        <w:t>it, marking the pause that is man</w:t>
      </w:r>
      <w:r>
        <w:softHyphen/>
        <w:t>datory before every word beginning with a</w:t>
      </w:r>
      <w:r>
        <w:rPr>
          <w:rStyle w:val="deletedparamark"/>
        </w:rPr>
        <w:t xml:space="preserve"> </w:t>
      </w:r>
      <w:r>
        <w:t>vowel. At</w:t>
      </w:r>
      <w:r>
        <w:softHyphen/>
        <w:t>titudi</w:t>
      </w:r>
      <w:r>
        <w:softHyphen/>
        <w:t>nals, like most of the other kinds of indicators</w:t>
      </w:r>
      <w:r>
        <w:rPr>
          <w:rStyle w:val="deletedparamark"/>
        </w:rPr>
        <w:t xml:space="preserve"> </w:t>
      </w:r>
      <w:r>
        <w:t>described in this chapter, belong to selma'o UI.</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compound"&gt;</w:t>
      </w:r>
      <w:r>
        <w:rPr>
          <w:rStyle w:val="indexentry"/>
        </w:rPr>
        <w:fldChar w:fldCharType="begin"/>
      </w:r>
      <w:r>
        <w:instrText>xe "</w:instrText>
      </w:r>
      <w:r>
        <w:rPr>
          <w:rStyle w:val="xeentry"/>
        </w:rPr>
        <w:instrText>attitudinals: compound</w:instrText>
      </w:r>
      <w:r>
        <w:instrText>"</w:instrText>
      </w:r>
      <w:r>
        <w:rPr>
          <w:rStyle w:val="indexentry"/>
        </w:rPr>
        <w:fldChar w:fldCharType="end"/>
      </w:r>
      <w:r>
        <w:t>Attitudinals can also be compound cmavo, of the types ex</w:t>
      </w:r>
      <w:r>
        <w:softHyphen/>
        <w:t>plained in Sections</w:t>
      </w:r>
      <w:r>
        <w:rPr>
          <w:rStyle w:val="deletedparamark"/>
        </w:rPr>
        <w:t xml:space="preserve"> </w:t>
      </w:r>
      <w:r>
        <w:t xml:space="preserve">4-8; </w:t>
      </w:r>
      <w:r>
        <w:rPr>
          <w:rStyle w:val="htmlcodes"/>
        </w:rPr>
        <w:t>&lt;a href=#e1d6&gt;</w:t>
      </w:r>
      <w:r>
        <w:t xml:space="preserve">Example 1.6 </w:t>
      </w:r>
      <w:r>
        <w:rPr>
          <w:rStyle w:val="htmlcodes"/>
        </w:rPr>
        <w:t>&lt;/a&gt;</w:t>
      </w:r>
      <w:r>
        <w:t>illustrates one such possibility, the compound</w:t>
      </w:r>
      <w:r>
        <w:rPr>
          <w:rStyle w:val="deletedparamark"/>
        </w:rPr>
        <w:t xml:space="preserve"> </w:t>
      </w:r>
      <w:r>
        <w:t>attitudinal “.ianai”. In attit</w:t>
      </w:r>
      <w:r>
        <w:t>u</w:t>
      </w:r>
      <w:r>
        <w:softHyphen/>
        <w:t>dinals, “-nai” indicates polar negation: the</w:t>
      </w:r>
      <w:r>
        <w:rPr>
          <w:rStyle w:val="deletedparamark"/>
        </w:rPr>
        <w:t xml:space="preserve"> </w:t>
      </w:r>
      <w:r>
        <w:t>opposite of the simple attitudinal with</w:t>
      </w:r>
      <w:r>
        <w:softHyphen/>
        <w:t>out the “-nai”. Thus, as you might</w:t>
      </w:r>
      <w:r>
        <w:rPr>
          <w:rStyle w:val="deletedparamark"/>
        </w:rPr>
        <w:t xml:space="preserve"> </w:t>
      </w:r>
      <w:r>
        <w:t>suppose, “.ia” expresses belief, since “.ianai” ex</w:t>
      </w:r>
      <w:r>
        <w:softHyphen/>
        <w:t>presses disb</w:t>
      </w:r>
      <w:r>
        <w:t>e</w:t>
      </w:r>
      <w:r>
        <w:softHyphen/>
        <w:t>lief.</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"indicators"&gt;</w:t>
      </w:r>
      <w:r>
        <w:rPr>
          <w:rStyle w:val="indexentry"/>
        </w:rPr>
        <w:fldChar w:fldCharType="begin"/>
      </w:r>
      <w:r>
        <w:instrText>xe "</w:instrText>
      </w:r>
      <w:r>
        <w:rPr>
          <w:rStyle w:val="xeentry"/>
        </w:rPr>
        <w:instrText>indicators</w:instrText>
      </w:r>
      <w:r>
        <w:instrText>"</w:instrText>
      </w:r>
      <w:r>
        <w:rPr>
          <w:rStyle w:val="indexentry"/>
        </w:rPr>
        <w:fldChar w:fldCharType="end"/>
      </w:r>
      <w:r>
        <w:rPr>
          <w:rStyle w:val="indexentry"/>
        </w:rPr>
        <w:t>&lt;cx "indicators, types of"&gt;</w:t>
      </w:r>
      <w:r>
        <w:rPr>
          <w:rStyle w:val="indexentry"/>
        </w:rPr>
        <w:fldChar w:fldCharType="begin"/>
      </w:r>
      <w:r>
        <w:instrText>xe "</w:instrText>
      </w:r>
      <w:r>
        <w:rPr>
          <w:rStyle w:val="xeentry"/>
        </w:rPr>
        <w:instrText>indicators: types of</w:instrText>
      </w:r>
      <w:r>
        <w:instrText>"</w:instrText>
      </w:r>
      <w:r>
        <w:rPr>
          <w:rStyle w:val="indexentry"/>
        </w:rPr>
        <w:fldChar w:fldCharType="end"/>
      </w:r>
      <w:r>
        <w:t>In addition to the attitudinals, there are other classes of indi</w:t>
      </w:r>
      <w:r>
        <w:softHyphen/>
        <w:t>cators:</w:t>
      </w:r>
      <w:r>
        <w:rPr>
          <w:rStyle w:val="deletedparamark"/>
        </w:rPr>
        <w:t xml:space="preserve"> </w:t>
      </w:r>
      <w:r>
        <w:t>intensity markers, emotion categories, attitudinal modifiers, observationals,</w:t>
      </w:r>
      <w:r>
        <w:rPr>
          <w:rStyle w:val="deletedparamark"/>
        </w:rPr>
        <w:t xml:space="preserve"> </w:t>
      </w:r>
      <w:r>
        <w:t>and discursives. All of them are grammatically equivalent, which is why</w:t>
      </w:r>
      <w:r>
        <w:rPr>
          <w:rStyle w:val="deletedparamark"/>
        </w:rPr>
        <w:t xml:space="preserve"> </w:t>
      </w:r>
      <w:r>
        <w:t>they are treated together in this chapter.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"indicators, placement of"&gt;</w:t>
      </w:r>
      <w:r>
        <w:rPr>
          <w:rStyle w:val="indexentry"/>
        </w:rPr>
        <w:fldChar w:fldCharType="begin"/>
      </w:r>
      <w:r>
        <w:instrText>xe "</w:instrText>
      </w:r>
      <w:r>
        <w:rPr>
          <w:rStyle w:val="xeentry"/>
        </w:rPr>
        <w:instrText>indicators: placement of</w:instrText>
      </w:r>
      <w:r>
        <w:instrText>"</w:instrText>
      </w:r>
      <w:r>
        <w:rPr>
          <w:rStyle w:val="indexentry"/>
        </w:rPr>
        <w:fldChar w:fldCharType="end"/>
      </w:r>
      <w:r>
        <w:t>Every indicator behaves in more or less the same way with respect to</w:t>
      </w:r>
      <w:r>
        <w:rPr>
          <w:rStyle w:val="deletedparamark"/>
        </w:rPr>
        <w:t xml:space="preserve"> </w:t>
      </w:r>
      <w:r>
        <w:t>the grammar of the rest of the language. In general, one or more</w:t>
      </w:r>
      <w:r>
        <w:rPr>
          <w:rStyle w:val="deletedparamark"/>
        </w:rPr>
        <w:t xml:space="preserve"> </w:t>
      </w:r>
      <w:r>
        <w:t>indicators can be inserted at the begi</w:t>
      </w:r>
      <w:r>
        <w:t>n</w:t>
      </w:r>
      <w:r>
        <w:softHyphen/>
        <w:t>ning of an utterance or after</w:t>
      </w:r>
      <w:r>
        <w:rPr>
          <w:rStyle w:val="deletedparamark"/>
        </w:rPr>
        <w:t xml:space="preserve"> </w:t>
      </w:r>
      <w:r>
        <w:t>any word. Indicators at the beginning apply to the whole u</w:t>
      </w:r>
      <w:r>
        <w:t>t</w:t>
      </w:r>
      <w:r>
        <w:softHyphen/>
        <w:t>ter</w:t>
      </w:r>
      <w:r>
        <w:softHyphen/>
        <w:t>ance;</w:t>
      </w:r>
      <w:r>
        <w:rPr>
          <w:rStyle w:val="deletedparamark"/>
        </w:rPr>
        <w:t xml:space="preserve"> </w:t>
      </w:r>
      <w:r>
        <w:t>otherwise, they apply to the word that they follow. More details can be</w:t>
      </w:r>
      <w:r>
        <w:rPr>
          <w:rStyle w:val="deletedparamark"/>
        </w:rPr>
        <w:t xml:space="preserve"> </w:t>
      </w:r>
      <w:r>
        <w:t xml:space="preserve">found in </w:t>
      </w:r>
      <w:r>
        <w:rPr>
          <w:rStyle w:val="htmlcodes"/>
        </w:rPr>
        <w:t>&lt;a href=#s9&gt;</w:t>
      </w:r>
      <w:r>
        <w:t>Section 9</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 tables, format convention"&gt;</w:t>
      </w:r>
      <w:r>
        <w:rPr>
          <w:rStyle w:val="indexentry"/>
        </w:rPr>
        <w:fldChar w:fldCharType="begin"/>
      </w:r>
      <w:r>
        <w:instrText>xe "</w:instrText>
      </w:r>
      <w:r>
        <w:rPr>
          <w:rStyle w:val="xeentry"/>
        </w:rPr>
        <w:instrText>indicator tables: format convention</w:instrText>
      </w:r>
      <w:r>
        <w:instrText>"</w:instrText>
      </w:r>
      <w:r>
        <w:rPr>
          <w:rStyle w:val="indexentry"/>
        </w:rPr>
        <w:fldChar w:fldCharType="end"/>
      </w:r>
      <w:r>
        <w:t>Throughout this chapter, tables of indicators will be written in four</w:t>
      </w:r>
      <w:r>
        <w:rPr>
          <w:rStyle w:val="deletedparamark"/>
        </w:rPr>
        <w:t xml:space="preserve"> </w:t>
      </w:r>
      <w:r>
        <w:t>columns. The first column is the cmavo itself. The second col</w:t>
      </w:r>
      <w:r>
        <w:softHyphen/>
        <w:t>umn is a</w:t>
      </w:r>
      <w:r>
        <w:rPr>
          <w:rStyle w:val="deletedparamark"/>
        </w:rPr>
        <w:t xml:space="preserve"> </w:t>
      </w:r>
      <w:r>
        <w:t>corresponding English word, not necessarily a literal transla</w:t>
      </w:r>
      <w:r>
        <w:softHyphen/>
        <w:t>tion. The</w:t>
      </w:r>
      <w:r>
        <w:rPr>
          <w:rStyle w:val="deletedparamark"/>
        </w:rPr>
        <w:t xml:space="preserve"> </w:t>
      </w:r>
      <w:r>
        <w:t>fourth column represents the opposite of the second col</w:t>
      </w:r>
      <w:r>
        <w:softHyphen/>
        <w:t>umn, and shows</w:t>
      </w:r>
      <w:r>
        <w:rPr>
          <w:rStyle w:val="deletedparamark"/>
        </w:rPr>
        <w:t xml:space="preserve"> </w:t>
      </w:r>
      <w:r>
        <w:t>the approximate meaning of the attitudinal when suf</w:t>
      </w:r>
      <w:r>
        <w:softHyphen/>
        <w:t>fixed with “-nai”.</w:t>
      </w:r>
      <w:r>
        <w:rPr>
          <w:rStyle w:val="deletedparamark"/>
        </w:rPr>
        <w:t xml:space="preserve"> </w:t>
      </w:r>
      <w:r>
        <w:t>The third column, which is sometimes omitted, indicates a neutral point</w:t>
      </w:r>
      <w:r>
        <w:rPr>
          <w:rStyle w:val="deletedparamark"/>
        </w:rPr>
        <w:t xml:space="preserve"> </w:t>
      </w:r>
      <w:r>
        <w:t>between the se</w:t>
      </w:r>
      <w:r>
        <w:t>c</w:t>
      </w:r>
      <w:r>
        <w:softHyphen/>
        <w:t>ond and fourth columns, and shows the approximate meaning</w:t>
      </w:r>
      <w:r>
        <w:rPr>
          <w:rStyle w:val="deletedparamark"/>
        </w:rPr>
        <w:t xml:space="preserve"> </w:t>
      </w:r>
      <w:r>
        <w:t>of the attitudinal when it is suffixed with “-cu'i”. The cmavo “cu'i”</w:t>
      </w:r>
      <w:r>
        <w:rPr>
          <w:rStyle w:val="deletedparamark"/>
        </w:rPr>
        <w:t xml:space="preserve"> </w:t>
      </w:r>
      <w:r>
        <w:t xml:space="preserve">belongs to selma'o CAI, and is explained more fully in </w:t>
      </w:r>
      <w:r>
        <w:rPr>
          <w:rStyle w:val="htmlcodes"/>
        </w:rPr>
        <w:t>&lt;a href=#s4&gt;</w:t>
      </w:r>
      <w:r>
        <w:t>Section 4</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"feelings, expression of contrasted with talking about"&gt;</w:t>
      </w:r>
      <w:r>
        <w:rPr>
          <w:rStyle w:val="indexentry"/>
        </w:rPr>
        <w:fldChar w:fldCharType="begin"/>
      </w:r>
      <w:r>
        <w:instrText>xe "</w:instrText>
      </w:r>
      <w:r>
        <w:rPr>
          <w:rStyle w:val="xeentry"/>
        </w:rPr>
        <w:instrText>feelings: expression of contrasted with talking about</w:instrText>
      </w:r>
      <w:r>
        <w:instrText>"</w:instrText>
      </w:r>
      <w:r>
        <w:rPr>
          <w:rStyle w:val="indexentry"/>
        </w:rPr>
        <w:fldChar w:fldCharType="end"/>
      </w:r>
      <w:r>
        <w:rPr>
          <w:rStyle w:val="indexentry"/>
        </w:rPr>
        <w:t>&lt;cx "claims, contrasted with expression of feelings"&gt;</w:t>
      </w:r>
      <w:r>
        <w:rPr>
          <w:rStyle w:val="indexentry"/>
        </w:rPr>
        <w:fldChar w:fldCharType="begin"/>
      </w:r>
      <w:r>
        <w:instrText>xe "</w:instrText>
      </w:r>
      <w:r>
        <w:rPr>
          <w:rStyle w:val="xeentry"/>
        </w:rPr>
        <w:instrText>claims: contrasted with expression of feelings</w:instrText>
      </w:r>
      <w:r>
        <w:instrText>"</w:instrText>
      </w:r>
      <w:r>
        <w:rPr>
          <w:rStyle w:val="indexentry"/>
        </w:rPr>
        <w:fldChar w:fldCharType="end"/>
      </w:r>
      <w:r>
        <w:t>One flaw that the English glosses are particularly subject to is that in</w:t>
      </w:r>
      <w:r>
        <w:rPr>
          <w:rStyle w:val="deletedparamark"/>
        </w:rPr>
        <w:t xml:space="preserve"> </w:t>
      </w:r>
      <w:r>
        <w:t>English it is often difficult to distinguish between expressing your</w:t>
      </w:r>
      <w:r>
        <w:rPr>
          <w:rStyle w:val="deletedparamark"/>
        </w:rPr>
        <w:t xml:space="preserve"> </w:t>
      </w:r>
      <w:r>
        <w:t>feelings and talking about them, particularly with the limited re</w:t>
      </w:r>
      <w:r>
        <w:softHyphen/>
        <w:t>source</w:t>
      </w:r>
      <w:r>
        <w:rPr>
          <w:rStyle w:val="deletedparamark"/>
        </w:rPr>
        <w:t xml:space="preserve"> </w:t>
      </w:r>
      <w:r>
        <w:t>of the written word. So the gloss for “.ui” should not really be “happiness”</w:t>
      </w:r>
      <w:r>
        <w:rPr>
          <w:rStyle w:val="deletedparamark"/>
        </w:rPr>
        <w:t xml:space="preserve"> </w:t>
      </w:r>
      <w:r>
        <w:t>but some sound or tone that expresses happiness. How</w:t>
      </w:r>
      <w:r>
        <w:softHyphen/>
        <w:t>ever, there aren't</w:t>
      </w:r>
      <w:r>
        <w:rPr>
          <w:rStyle w:val="deletedparamark"/>
        </w:rPr>
        <w:t xml:space="preserve"> </w:t>
      </w:r>
      <w:r>
        <w:t>nearly enough of those that have unambiguous or obvious meanings in En</w:t>
      </w:r>
      <w:r>
        <w:t>g</w:t>
      </w:r>
      <w:r>
        <w:softHyphen/>
        <w:t>lish</w:t>
      </w:r>
      <w:r>
        <w:rPr>
          <w:rStyle w:val="deletedparamark"/>
        </w:rPr>
        <w:t xml:space="preserve"> </w:t>
      </w:r>
      <w:r>
        <w:t>to go around for all the many, many dif</w:t>
      </w:r>
      <w:r>
        <w:softHyphen/>
        <w:t>ferent emotions Lojban speakers can</w:t>
      </w:r>
      <w:r>
        <w:rPr>
          <w:rStyle w:val="deletedparamark"/>
        </w:rPr>
        <w:t xml:space="preserve"> </w:t>
      </w:r>
      <w:r>
        <w:t>readily express.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"indicators, derived from gismu"&gt;</w:t>
      </w:r>
      <w:r>
        <w:rPr>
          <w:rStyle w:val="indexentry"/>
        </w:rPr>
        <w:fldChar w:fldCharType="begin"/>
      </w:r>
      <w:r>
        <w:instrText>xe "</w:instrText>
      </w:r>
      <w:r>
        <w:rPr>
          <w:rStyle w:val="xeentry"/>
        </w:rPr>
        <w:instrText>indicators: derived from gismu</w:instrText>
      </w:r>
      <w:r>
        <w:instrText>"</w:instrText>
      </w:r>
      <w:r>
        <w:rPr>
          <w:rStyle w:val="indexentry"/>
        </w:rPr>
        <w:fldChar w:fldCharType="end"/>
      </w:r>
      <w:r>
        <w:rPr>
          <w:rStyle w:val="indexentry"/>
        </w:rPr>
        <w:t>&lt;cx "indicators derived from gismu, notation convention"&gt;</w:t>
      </w:r>
      <w:r>
        <w:rPr>
          <w:rStyle w:val="indexentry"/>
        </w:rPr>
        <w:fldChar w:fldCharType="begin"/>
      </w:r>
      <w:r>
        <w:instrText>xe "</w:instrText>
      </w:r>
      <w:r>
        <w:rPr>
          <w:rStyle w:val="xeentry"/>
        </w:rPr>
        <w:instrText>indicators derived from gismu: notation convention</w:instrText>
      </w:r>
      <w:r>
        <w:instrText>"</w:instrText>
      </w:r>
      <w:r>
        <w:rPr>
          <w:rStyle w:val="indexentry"/>
        </w:rPr>
        <w:fldChar w:fldCharType="end"/>
      </w:r>
      <w:r>
        <w:t>Many indicators of CV'V form are loosely derived from spe</w:t>
      </w:r>
      <w:r>
        <w:softHyphen/>
        <w:t>cific gismu.</w:t>
      </w:r>
      <w:r>
        <w:rPr>
          <w:rStyle w:val="deletedparamark"/>
        </w:rPr>
        <w:t xml:space="preserve"> </w:t>
      </w:r>
      <w:r>
        <w:t>The gismu should be thought of as a memory hook, not an equivalent of the</w:t>
      </w:r>
      <w:r>
        <w:rPr>
          <w:rStyle w:val="deletedparamark"/>
        </w:rPr>
        <w:t xml:space="preserve"> </w:t>
      </w:r>
      <w:r>
        <w:t>cmavo. Such gismu are shown in this chapter between square brackets, thus:</w:t>
      </w:r>
      <w:r>
        <w:rPr>
          <w:rStyle w:val="deletedparamark"/>
        </w:rPr>
        <w:t xml:space="preserve"> </w:t>
      </w:r>
      <w:r>
        <w:t>[gismu].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397" w:name="_Toc398970639"/>
      <w:r>
        <w:rPr>
          <w:rStyle w:val="Heading3Text"/>
        </w:rPr>
        <w:t>Pure emotion indicators</w:t>
      </w:r>
      <w:bookmarkEnd w:id="39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and claims"&gt;</w:t>
      </w:r>
      <w:r>
        <w:rPr>
          <w:rStyle w:val="indexentry"/>
        </w:rPr>
        <w:fldChar w:fldCharType="begin"/>
      </w:r>
      <w:r>
        <w:instrText>xe "</w:instrText>
      </w:r>
      <w:r>
        <w:rPr>
          <w:rStyle w:val="xeentry"/>
        </w:rPr>
        <w:instrText>attitudinals and claims</w:instrText>
      </w:r>
      <w:r>
        <w:instrText>"</w:instrText>
      </w:r>
      <w:r>
        <w:rPr>
          <w:rStyle w:val="indexentry"/>
        </w:rPr>
        <w:fldChar w:fldCharType="end"/>
      </w:r>
      <w:r>
        <w:rPr>
          <w:rStyle w:val="indexentry"/>
        </w:rPr>
        <w:t>&lt;cx "attitudinals and truth value"&gt;</w:t>
      </w:r>
      <w:r>
        <w:rPr>
          <w:rStyle w:val="indexentry"/>
        </w:rPr>
        <w:fldChar w:fldCharType="begin"/>
      </w:r>
      <w:r>
        <w:instrText>xe "</w:instrText>
      </w:r>
      <w:r>
        <w:rPr>
          <w:rStyle w:val="xeentry"/>
        </w:rPr>
        <w:instrText>attitudinals and truth value</w:instrText>
      </w:r>
      <w:r>
        <w:instrText>"</w:instrText>
      </w:r>
      <w:r>
        <w:rPr>
          <w:rStyle w:val="indexentry"/>
        </w:rPr>
        <w:fldChar w:fldCharType="end"/>
      </w:r>
      <w:r>
        <w:t>Attitudinals make no claim: they are expressions of attitude, not of facts</w:t>
      </w:r>
      <w:r>
        <w:rPr>
          <w:rStyle w:val="deletedparamark"/>
        </w:rPr>
        <w:t xml:space="preserve"> </w:t>
      </w:r>
      <w:r>
        <w:t>or al</w:t>
      </w:r>
      <w:r>
        <w:softHyphen/>
        <w:t>leged facts. As a result, attitudinals themselves have no truth value,</w:t>
      </w:r>
      <w:r>
        <w:rPr>
          <w:rStyle w:val="deletedparamark"/>
        </w:rPr>
        <w:t xml:space="preserve"> </w:t>
      </w:r>
      <w:r>
        <w:t>nor do they directly affect the truth value of a bridi that they modify.</w:t>
      </w:r>
      <w:r>
        <w:rPr>
          <w:rStyle w:val="deletedparamark"/>
        </w:rPr>
        <w:t xml:space="preserve"> </w:t>
      </w:r>
      <w:r>
        <w:t>However, since emotional attitudes are carried in your mind, they reflect</w:t>
      </w:r>
      <w:r>
        <w:rPr>
          <w:rStyle w:val="deletedparamark"/>
        </w:rPr>
        <w:t xml:space="preserve"> </w:t>
      </w:r>
      <w:r>
        <w:t>reactions to that version of the world that the mind is thinking about; this</w:t>
      </w:r>
      <w:r>
        <w:rPr>
          <w:rStyle w:val="deletedparamark"/>
        </w:rPr>
        <w:t xml:space="preserve"> </w:t>
      </w:r>
      <w:r>
        <w:t>is seldom identical with the real world. At times, we are thinking about</w:t>
      </w:r>
      <w:r>
        <w:rPr>
          <w:rStyle w:val="deletedparamark"/>
        </w:rPr>
        <w:t xml:space="preserve"> </w:t>
      </w:r>
      <w:r>
        <w:t>our idealized version of the real world; at other times we are thinking</w:t>
      </w:r>
      <w:r>
        <w:rPr>
          <w:rStyle w:val="deletedparamark"/>
        </w:rPr>
        <w:t xml:space="preserve"> </w:t>
      </w:r>
      <w:r>
        <w:t>about a potential world that might or might not ever exist.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pure emotion"&gt;</w:t>
      </w:r>
      <w:r>
        <w:rPr>
          <w:rStyle w:val="indexentry"/>
        </w:rPr>
        <w:fldChar w:fldCharType="begin"/>
      </w:r>
      <w:r>
        <w:instrText>xe "</w:instrText>
      </w:r>
      <w:r>
        <w:rPr>
          <w:rStyle w:val="xeentry"/>
        </w:rPr>
        <w:instrText>attitudinals: pure emotion</w:instrText>
      </w:r>
      <w:r>
        <w:instrText>"</w:instrText>
      </w:r>
      <w:r>
        <w:rPr>
          <w:rStyle w:val="indexentry"/>
        </w:rPr>
        <w:fldChar w:fldCharType="end"/>
      </w:r>
      <w:r>
        <w:rPr>
          <w:rStyle w:val="indexentry"/>
        </w:rPr>
        <w:t>&lt;cx "attitudinals, u- series"&gt;</w:t>
      </w:r>
      <w:r>
        <w:rPr>
          <w:rStyle w:val="indexentry"/>
        </w:rPr>
        <w:fldChar w:fldCharType="begin"/>
      </w:r>
      <w:r>
        <w:instrText>xe "</w:instrText>
      </w:r>
      <w:r>
        <w:rPr>
          <w:rStyle w:val="xeentry"/>
        </w:rPr>
        <w:instrText>attitudinals: u- series</w:instrText>
      </w:r>
      <w:r>
        <w:instrText>"</w:instrText>
      </w:r>
      <w:r>
        <w:rPr>
          <w:rStyle w:val="indexentry"/>
        </w:rPr>
        <w:fldChar w:fldCharType="end"/>
      </w:r>
      <w:r>
        <w:rPr>
          <w:rStyle w:val="indexentry"/>
        </w:rPr>
        <w:t>&lt;cx "attitudinals, o- series"&gt;</w:t>
      </w:r>
      <w:r>
        <w:rPr>
          <w:rStyle w:val="indexentry"/>
        </w:rPr>
        <w:fldChar w:fldCharType="begin"/>
      </w:r>
      <w:r>
        <w:instrText>xe "</w:instrText>
      </w:r>
      <w:r>
        <w:rPr>
          <w:rStyle w:val="xeentry"/>
        </w:rPr>
        <w:instrText>attitudinals: o- series</w:instrText>
      </w:r>
      <w:r>
        <w:instrText>"</w:instrText>
      </w:r>
      <w:r>
        <w:rPr>
          <w:rStyle w:val="indexentry"/>
        </w:rPr>
        <w:fldChar w:fldCharType="end"/>
      </w:r>
      <w:r>
        <w:rPr>
          <w:rStyle w:val="indexentry"/>
        </w:rPr>
        <w:t>&lt;cx "attitudinals, i- series"&gt;</w:t>
      </w:r>
      <w:r>
        <w:rPr>
          <w:rStyle w:val="indexentry"/>
        </w:rPr>
        <w:fldChar w:fldCharType="begin"/>
      </w:r>
      <w:r>
        <w:instrText>xe "</w:instrText>
      </w:r>
      <w:r>
        <w:rPr>
          <w:rStyle w:val="xeentry"/>
        </w:rPr>
        <w:instrText>attitudinals: i- series</w:instrText>
      </w:r>
      <w:r>
        <w:instrText>"</w:instrText>
      </w:r>
      <w:r>
        <w:rPr>
          <w:rStyle w:val="indexentry"/>
        </w:rPr>
        <w:fldChar w:fldCharType="end"/>
      </w:r>
      <w:r>
        <w:t>Therefore, there are two groups of attitudinals in Lojban. The “pure emotion</w:t>
      </w:r>
      <w:r>
        <w:rPr>
          <w:rStyle w:val="deletedparamark"/>
        </w:rPr>
        <w:t xml:space="preserve"> </w:t>
      </w:r>
      <w:r>
        <w:t>indic</w:t>
      </w:r>
      <w:r>
        <w:t>a</w:t>
      </w:r>
      <w:r>
        <w:softHyphen/>
        <w:t>tors” express the way the speaker is feeling, without direct reference</w:t>
      </w:r>
      <w:r>
        <w:rPr>
          <w:rStyle w:val="deletedparamark"/>
        </w:rPr>
        <w:t xml:space="preserve"> </w:t>
      </w:r>
      <w:r>
        <w:t>to what else is said. These indicators com</w:t>
      </w:r>
      <w:r>
        <w:softHyphen/>
        <w:t>prise the attitudinals which</w:t>
      </w:r>
      <w:r>
        <w:rPr>
          <w:rStyle w:val="deletedparamark"/>
        </w:rPr>
        <w:t xml:space="preserve"> </w:t>
      </w:r>
      <w:r>
        <w:t>begin with “u” or “o” and many of those beginning with “i”.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for emotional reaction"&gt;</w:t>
      </w:r>
      <w:r>
        <w:rPr>
          <w:rStyle w:val="indexentry"/>
        </w:rPr>
        <w:fldChar w:fldCharType="begin"/>
      </w:r>
      <w:r>
        <w:instrText>xe "</w:instrText>
      </w:r>
      <w:r>
        <w:rPr>
          <w:rStyle w:val="xeentry"/>
        </w:rPr>
        <w:instrText>attitudinals for emotional reaction</w:instrText>
      </w:r>
      <w:r>
        <w:instrText>"</w:instrText>
      </w:r>
      <w:r>
        <w:rPr>
          <w:rStyle w:val="indexentry"/>
        </w:rPr>
        <w:fldChar w:fldCharType="end"/>
      </w:r>
      <w:r>
        <w:t>The cmavo beginning with “u” are simple emotions, which represent the</w:t>
      </w:r>
      <w:r>
        <w:rPr>
          <w:rStyle w:val="deletedparamark"/>
        </w:rPr>
        <w:t xml:space="preserve"> </w:t>
      </w:r>
      <w:r>
        <w:t>speaker's reaction to the world as it is, or as it is per</w:t>
      </w:r>
      <w:r>
        <w:softHyphen/>
        <w:t>ceived to be.</w:t>
      </w:r>
    </w:p>
    <w:p w:rsidR="00B72047" w:rsidRDefault="00B72047">
      <w:pPr>
        <w:pStyle w:val="examplewtabspre"/>
        <w:rPr>
          <w:rStyle w:val="htmlparacode"/>
        </w:rPr>
      </w:pPr>
      <w:r>
        <w:rPr>
          <w:rStyle w:val="htmlparacode"/>
        </w:rPr>
        <w:t>&lt;p&gt;</w:t>
      </w:r>
    </w:p>
    <w:p w:rsidR="00B72047" w:rsidRDefault="00B72047">
      <w:pPr>
        <w:pStyle w:val="examplewtabspre"/>
      </w:pPr>
      <w:r>
        <w:rPr>
          <w:rStyle w:val="htmlcodes"/>
        </w:rPr>
        <w:t>&lt;pre&gt;</w:t>
      </w:r>
      <w:r>
        <w:t xml:space="preserve"> </w:t>
      </w:r>
      <w:r>
        <w:tab/>
        <w:t>.ua</w:t>
      </w:r>
      <w:r>
        <w:tab/>
        <w:t>discovery</w:t>
      </w:r>
      <w:r>
        <w:tab/>
      </w:r>
      <w:r>
        <w:tab/>
        <w:t>confusion</w:t>
      </w:r>
    </w:p>
    <w:p w:rsidR="00B72047" w:rsidRDefault="00B72047">
      <w:pPr>
        <w:pStyle w:val="exampwidetabs"/>
      </w:pPr>
      <w:r>
        <w:tab/>
        <w:t>.u'a</w:t>
      </w:r>
      <w:r>
        <w:tab/>
        <w:t>gain</w:t>
      </w:r>
      <w:r>
        <w:tab/>
      </w:r>
      <w:r>
        <w:tab/>
        <w:t>loss</w:t>
      </w:r>
    </w:p>
    <w:p w:rsidR="00B72047" w:rsidRDefault="00B72047">
      <w:pPr>
        <w:pStyle w:val="exampwidetabs"/>
      </w:pPr>
      <w:r>
        <w:tab/>
        <w:t>.ue</w:t>
      </w:r>
      <w:r>
        <w:tab/>
        <w:t>surprise</w:t>
      </w:r>
      <w:r>
        <w:tab/>
        <w:t>no surprise</w:t>
      </w:r>
      <w:r>
        <w:tab/>
        <w:t>expectation</w:t>
      </w:r>
    </w:p>
    <w:p w:rsidR="00B72047" w:rsidRDefault="00B72047">
      <w:pPr>
        <w:pStyle w:val="exampwidetabs"/>
      </w:pPr>
      <w:r>
        <w:tab/>
        <w:t>.u'e</w:t>
      </w:r>
      <w:r>
        <w:tab/>
        <w:t>wonder</w:t>
      </w:r>
      <w:r>
        <w:tab/>
      </w:r>
      <w:r>
        <w:tab/>
        <w:t>commonplace</w:t>
      </w:r>
    </w:p>
    <w:p w:rsidR="00B72047" w:rsidRDefault="00B72047">
      <w:pPr>
        <w:pStyle w:val="exampwidetabs"/>
      </w:pPr>
      <w:r>
        <w:tab/>
        <w:t>.ui</w:t>
      </w:r>
      <w:r>
        <w:tab/>
        <w:t>happiness</w:t>
      </w:r>
      <w:r>
        <w:tab/>
      </w:r>
      <w:r>
        <w:tab/>
        <w:t>unhappiness</w:t>
      </w:r>
    </w:p>
    <w:p w:rsidR="00B72047" w:rsidRDefault="00B72047">
      <w:pPr>
        <w:pStyle w:val="exampwidetabs"/>
      </w:pPr>
      <w:r>
        <w:tab/>
        <w:t>.u'i</w:t>
      </w:r>
      <w:r>
        <w:tab/>
        <w:t>amusement</w:t>
      </w:r>
      <w:r>
        <w:tab/>
      </w:r>
      <w:r>
        <w:tab/>
        <w:t>weariness</w:t>
      </w:r>
    </w:p>
    <w:p w:rsidR="00B72047" w:rsidRDefault="00B72047">
      <w:pPr>
        <w:pStyle w:val="exampwidetabs"/>
      </w:pPr>
      <w:r>
        <w:tab/>
        <w:t>.uo</w:t>
      </w:r>
      <w:r>
        <w:tab/>
        <w:t>completion</w:t>
      </w:r>
      <w:r>
        <w:tab/>
      </w:r>
      <w:r>
        <w:tab/>
        <w:t>incompleteness</w:t>
      </w:r>
    </w:p>
    <w:p w:rsidR="00B72047" w:rsidRDefault="00B72047">
      <w:pPr>
        <w:pStyle w:val="exampwidetabs"/>
      </w:pPr>
      <w:r>
        <w:tab/>
        <w:t>.u'o</w:t>
      </w:r>
      <w:r>
        <w:tab/>
        <w:t>courage</w:t>
      </w:r>
      <w:r>
        <w:tab/>
        <w:t xml:space="preserve"> timidity</w:t>
      </w:r>
      <w:r>
        <w:tab/>
        <w:t>cowardice</w:t>
      </w:r>
    </w:p>
    <w:p w:rsidR="00B72047" w:rsidRDefault="00B72047">
      <w:pPr>
        <w:pStyle w:val="exampwidetabs"/>
      </w:pPr>
      <w:r>
        <w:tab/>
        <w:t>.uu</w:t>
      </w:r>
      <w:r>
        <w:tab/>
        <w:t>pity</w:t>
      </w:r>
      <w:r>
        <w:tab/>
      </w:r>
      <w:r>
        <w:tab/>
        <w:t>cruelty</w:t>
      </w:r>
    </w:p>
    <w:p w:rsidR="00B72047" w:rsidRDefault="00B72047">
      <w:pPr>
        <w:pStyle w:val="exampwidetabs"/>
      </w:pPr>
      <w:r>
        <w:tab/>
        <w:t>.u'u</w:t>
      </w:r>
      <w:r>
        <w:tab/>
        <w:t>repentance</w:t>
      </w:r>
      <w:r>
        <w:tab/>
        <w:t>lack of regret</w:t>
      </w:r>
      <w:r>
        <w:tab/>
        <w:t>innocence</w:t>
      </w:r>
    </w:p>
    <w:p w:rsidR="00B72047" w:rsidRDefault="00B72047">
      <w:pPr>
        <w:pStyle w:val="normalafterexample"/>
      </w:pPr>
      <w:r>
        <w:rPr>
          <w:rStyle w:val="htmlcodes"/>
        </w:rPr>
        <w:t>&lt;/pre&gt;&lt;p&gt;</w:t>
      </w:r>
      <w:r>
        <w:t>Here are some typical uses of the “u” attitudinals:</w:t>
      </w:r>
    </w:p>
    <w:p w:rsidR="00B72047" w:rsidRDefault="00B72047">
      <w:pPr>
        <w:rPr>
          <w:rStyle w:val="htmlparacode"/>
        </w:rPr>
      </w:pPr>
      <w:r>
        <w:rPr>
          <w:rStyle w:val="htmlparacode"/>
        </w:rPr>
        <w:t>&lt;p&gt;</w:t>
      </w:r>
    </w:p>
    <w:p w:rsidR="00B72047" w:rsidRDefault="00B72047">
      <w:pPr>
        <w:pStyle w:val="examplescaledpre"/>
      </w:pPr>
      <w:r>
        <w:rPr>
          <w:rStyle w:val="indexentry"/>
        </w:rPr>
        <w:t>&lt;ex "Eureka!"&gt;</w:t>
      </w:r>
      <w:r>
        <w:rPr>
          <w:rStyle w:val="indexentry"/>
        </w:rPr>
        <w:fldChar w:fldCharType="begin"/>
      </w:r>
      <w:r>
        <w:instrText>xe "</w:instrText>
      </w:r>
      <w:r>
        <w:rPr>
          <w:rStyle w:val="xeentry"/>
        </w:rPr>
        <w:instrText>Eureka!: example</w:instrText>
      </w:r>
      <w:r>
        <w:instrText>"</w:instrText>
      </w:r>
      <w:r>
        <w:rPr>
          <w:rStyle w:val="indexentry"/>
        </w:rPr>
        <w:fldChar w:fldCharType="end"/>
      </w:r>
      <w:r>
        <w:rPr>
          <w:rStyle w:val="htmlcodes"/>
        </w:rPr>
        <w:t xml:space="preserve"> &lt;pre&gt;&lt;a name=e2d1&gt;</w:t>
      </w:r>
      <w:r>
        <w:t>2.1)</w:t>
      </w:r>
      <w:r>
        <w:tab/>
        <w:t>.ua mi facki fi le mi mapku</w:t>
      </w:r>
    </w:p>
    <w:p w:rsidR="00B72047" w:rsidRDefault="00B72047">
      <w:pPr>
        <w:pStyle w:val="examplescaled"/>
      </w:pPr>
      <w:r>
        <w:tab/>
        <w:t>[Eureka!] I found my hat!  [emphasizes the discovery of the hat]</w:t>
      </w:r>
    </w:p>
    <w:p w:rsidR="00B72047" w:rsidRDefault="00B72047">
      <w:pPr>
        <w:pStyle w:val="examplescaledpre"/>
      </w:pPr>
      <w:r>
        <w:rPr>
          <w:rStyle w:val="htmlcodes"/>
        </w:rPr>
        <w:t>&lt;a name=e2d2&gt;</w:t>
      </w:r>
      <w:r>
        <w:t>2.2)</w:t>
      </w:r>
      <w:r>
        <w:tab/>
        <w:t>.u'a mi facki fi le mi mapku</w:t>
      </w:r>
    </w:p>
    <w:p w:rsidR="00B72047" w:rsidRDefault="00B72047">
      <w:pPr>
        <w:pStyle w:val="examplescaled"/>
      </w:pPr>
      <w:r>
        <w:tab/>
        <w:t>[Gain!] I found my hat!  [emphasizes the obtaining of the hat]</w:t>
      </w:r>
    </w:p>
    <w:p w:rsidR="00B72047" w:rsidRDefault="00B72047">
      <w:pPr>
        <w:pStyle w:val="examplescaledpre"/>
      </w:pPr>
      <w:r>
        <w:rPr>
          <w:rStyle w:val="htmlcodes"/>
        </w:rPr>
        <w:t>&lt;/pre&gt;</w:t>
      </w:r>
      <w:r>
        <w:rPr>
          <w:rStyle w:val="indexentry"/>
        </w:rPr>
        <w:t>&lt;ex "Yay!"&gt;</w:t>
      </w:r>
      <w:r>
        <w:rPr>
          <w:rStyle w:val="indexentry"/>
        </w:rPr>
        <w:fldChar w:fldCharType="begin"/>
      </w:r>
      <w:r>
        <w:instrText>xe "</w:instrText>
      </w:r>
      <w:r>
        <w:rPr>
          <w:rStyle w:val="xeentry"/>
        </w:rPr>
        <w:instrText>Yay!: example</w:instrText>
      </w:r>
      <w:r>
        <w:instrText>"</w:instrText>
      </w:r>
      <w:r>
        <w:rPr>
          <w:rStyle w:val="indexentry"/>
        </w:rPr>
        <w:fldChar w:fldCharType="end"/>
      </w:r>
      <w:r>
        <w:rPr>
          <w:rStyle w:val="indexentry"/>
        </w:rPr>
        <w:t>&lt;ex "Hooray!"&gt;</w:t>
      </w:r>
      <w:r>
        <w:rPr>
          <w:rStyle w:val="indexentry"/>
        </w:rPr>
        <w:fldChar w:fldCharType="begin"/>
      </w:r>
      <w:r>
        <w:instrText>xe "</w:instrText>
      </w:r>
      <w:r>
        <w:rPr>
          <w:rStyle w:val="xeentry"/>
        </w:rPr>
        <w:instrText>Hooray!: example</w:instrText>
      </w:r>
      <w:r>
        <w:instrText>"</w:instrText>
      </w:r>
      <w:r>
        <w:rPr>
          <w:rStyle w:val="indexentry"/>
        </w:rPr>
        <w:fldChar w:fldCharType="end"/>
      </w:r>
      <w:r>
        <w:rPr>
          <w:rStyle w:val="htmlcodes"/>
        </w:rPr>
        <w:t>&lt;pre&gt;&lt;a name=e2d3&gt;</w:t>
      </w:r>
      <w:r>
        <w:t>2.3)</w:t>
      </w:r>
      <w:r>
        <w:tab/>
        <w:t>.ui mi facki fi le mi mapku</w:t>
      </w:r>
    </w:p>
    <w:p w:rsidR="00B72047" w:rsidRDefault="00B72047">
      <w:pPr>
        <w:pStyle w:val="examplescaled"/>
      </w:pPr>
      <w:r>
        <w:tab/>
        <w:t>[Yay!] I found my hat!  [emphasizes the feeling of happiness]</w:t>
      </w:r>
    </w:p>
    <w:p w:rsidR="00B72047" w:rsidRDefault="00B72047">
      <w:pPr>
        <w:pStyle w:val="examplescaledpre"/>
      </w:pPr>
      <w:r>
        <w:rPr>
          <w:rStyle w:val="htmlcodes"/>
        </w:rPr>
        <w:t>&lt;a name=e2d4&gt;</w:t>
      </w:r>
      <w:r>
        <w:t>2.4)</w:t>
      </w:r>
      <w:r>
        <w:tab/>
        <w:t>.uo mi facki fi le mi mapku</w:t>
      </w:r>
    </w:p>
    <w:p w:rsidR="00B72047" w:rsidRDefault="00B72047">
      <w:pPr>
        <w:pStyle w:val="examplescaled"/>
      </w:pPr>
      <w:r>
        <w:tab/>
        <w:t>[At last!] I found my hat!  [emphasizes that the finding is complete]</w:t>
      </w:r>
    </w:p>
    <w:p w:rsidR="00B72047" w:rsidRDefault="00B72047">
      <w:pPr>
        <w:pStyle w:val="examplescaledpre"/>
      </w:pPr>
      <w:r>
        <w:rPr>
          <w:rStyle w:val="htmlcodes"/>
        </w:rPr>
        <w:t>&lt;/pre&gt;</w:t>
      </w:r>
      <w:r>
        <w:rPr>
          <w:rStyle w:val="indexentry"/>
        </w:rPr>
        <w:t>&lt;ex "sympathy"&gt;</w:t>
      </w:r>
      <w:r>
        <w:rPr>
          <w:rStyle w:val="indexentry"/>
        </w:rPr>
        <w:fldChar w:fldCharType="begin"/>
      </w:r>
      <w:r>
        <w:instrText>xe "</w:instrText>
      </w:r>
      <w:r>
        <w:rPr>
          <w:rStyle w:val="xeentry"/>
        </w:rPr>
        <w:instrText>sympathy: example</w:instrText>
      </w:r>
      <w:r>
        <w:instrText>"</w:instrText>
      </w:r>
      <w:r>
        <w:rPr>
          <w:rStyle w:val="indexentry"/>
        </w:rPr>
        <w:fldChar w:fldCharType="end"/>
      </w:r>
      <w:r>
        <w:rPr>
          <w:rStyle w:val="htmlcodes"/>
        </w:rPr>
        <w:t>&lt;pre&gt;&lt;a name=e2d5&gt;</w:t>
      </w:r>
      <w:r>
        <w:t>2.5)</w:t>
      </w:r>
      <w:r>
        <w:tab/>
        <w:t>.uu do cortu</w:t>
      </w:r>
    </w:p>
    <w:p w:rsidR="00B72047" w:rsidRDefault="00B72047">
      <w:pPr>
        <w:pStyle w:val="examplescaled"/>
      </w:pPr>
      <w:r>
        <w:tab/>
        <w:t>[Pity!] You feel-pain.  [expresses speaker's sympathy]</w:t>
      </w:r>
    </w:p>
    <w:p w:rsidR="00B72047" w:rsidRDefault="00B72047">
      <w:pPr>
        <w:pStyle w:val="examplescaledpre"/>
      </w:pPr>
      <w:r>
        <w:rPr>
          <w:rStyle w:val="htmlcodes"/>
        </w:rPr>
        <w:t>&lt;a name=e2d6&gt;</w:t>
      </w:r>
      <w:r>
        <w:t>2.6)</w:t>
      </w:r>
      <w:r>
        <w:tab/>
        <w:t>.u'u do cortu</w:t>
      </w:r>
    </w:p>
    <w:p w:rsidR="00B72047" w:rsidRDefault="00B72047">
      <w:pPr>
        <w:pStyle w:val="examplescaled"/>
      </w:pPr>
      <w:r>
        <w:tab/>
        <w:t>[Repentance!] You feel-pain.  [expresses that speaker feels guilty]</w:t>
      </w:r>
    </w:p>
    <w:p w:rsidR="00B72047" w:rsidRDefault="00B72047">
      <w:pPr>
        <w:pStyle w:val="normalafterexample"/>
      </w:pPr>
      <w:r>
        <w:rPr>
          <w:rStyle w:val="htmlcodes"/>
        </w:rPr>
        <w:t>&lt;/pre&gt;</w:t>
      </w:r>
      <w:r>
        <w:rPr>
          <w:rStyle w:val="indexentry"/>
        </w:rPr>
        <w:t>&lt;cx "attitudinal phrase"&gt;</w:t>
      </w:r>
      <w:r>
        <w:rPr>
          <w:rStyle w:val="indexentry"/>
        </w:rPr>
        <w:fldChar w:fldCharType="begin"/>
      </w:r>
      <w:r>
        <w:instrText>xe "</w:instrText>
      </w:r>
      <w:r>
        <w:rPr>
          <w:rStyle w:val="xeentry"/>
        </w:rPr>
        <w:instrText>attitudinal phrase</w:instrText>
      </w:r>
      <w:r>
        <w:instrText>"</w:instrText>
      </w:r>
      <w:r>
        <w:rPr>
          <w:rStyle w:val="indexentry"/>
        </w:rPr>
        <w:fldChar w:fldCharType="end"/>
      </w:r>
      <w:r>
        <w:t xml:space="preserve">In </w:t>
      </w:r>
      <w:r>
        <w:rPr>
          <w:rStyle w:val="htmlcodes"/>
        </w:rPr>
        <w:t>&lt;a href=#e2d4&gt;</w:t>
      </w:r>
      <w:r>
        <w:t>Example 2.4</w:t>
      </w:r>
      <w:r>
        <w:rPr>
          <w:rStyle w:val="htmlcodes"/>
        </w:rPr>
        <w:t>&lt;/a&gt;</w:t>
      </w:r>
      <w:r>
        <w:t>, note that the attitudinal “.uo” is translated by an</w:t>
      </w:r>
      <w:r>
        <w:rPr>
          <w:rStyle w:val="deletedparamark"/>
        </w:rPr>
        <w:t xml:space="preserve"> </w:t>
      </w:r>
      <w:r>
        <w:t>English non-attitu</w:t>
      </w:r>
      <w:r>
        <w:softHyphen/>
        <w:t>dinal phrase: “At last!” It is common for the Eng</w:t>
      </w:r>
      <w:r>
        <w:softHyphen/>
        <w:t>lish</w:t>
      </w:r>
      <w:r>
        <w:rPr>
          <w:rStyle w:val="deletedparamark"/>
        </w:rPr>
        <w:t xml:space="preserve"> </w:t>
      </w:r>
      <w:r>
        <w:t>equivalents of Lojban attitu</w:t>
      </w:r>
      <w:r>
        <w:softHyphen/>
        <w:t>dinals to be short phrases of this sort,</w:t>
      </w:r>
      <w:r>
        <w:rPr>
          <w:rStyle w:val="deletedparamark"/>
        </w:rPr>
        <w:t xml:space="preserve"> </w:t>
      </w:r>
      <w:r>
        <w:t>with more or less normal grammar, but actually expressions of emo</w:t>
      </w:r>
      <w:r>
        <w:softHyphen/>
        <w:t>tion.</w:t>
      </w:r>
    </w:p>
    <w:p w:rsidR="00B72047" w:rsidRDefault="00B72047">
      <w:pPr>
        <w:rPr>
          <w:rStyle w:val="htmlparacode"/>
        </w:rPr>
      </w:pPr>
      <w:r>
        <w:rPr>
          <w:rStyle w:val="htmlparacode"/>
        </w:rPr>
        <w:t>&lt;p&gt;</w:t>
      </w:r>
    </w:p>
    <w:p w:rsidR="00B72047" w:rsidRDefault="00B72047">
      <w:pPr>
        <w:pStyle w:val="normalparagraph"/>
      </w:pPr>
      <w:r>
        <w:rPr>
          <w:rStyle w:val="indexentry"/>
        </w:rPr>
        <w:t>&lt;lx "uu"&gt;</w:t>
      </w:r>
      <w:r>
        <w:rPr>
          <w:rStyle w:val="indexentry"/>
        </w:rPr>
        <w:fldChar w:fldCharType="begin"/>
      </w:r>
      <w:r>
        <w:instrText>xe "</w:instrText>
      </w:r>
      <w:r>
        <w:rPr>
          <w:rStyle w:val="xeentry"/>
        </w:rPr>
        <w:instrText>uu</w:instrText>
      </w:r>
      <w:r>
        <w:instrText>"</w:instrText>
      </w:r>
      <w:r>
        <w:rPr>
          <w:rStyle w:val="indexentry"/>
        </w:rPr>
        <w:fldChar w:fldCharType="end"/>
      </w:r>
      <w:r>
        <w:rPr>
          <w:rStyle w:val="indexentry"/>
        </w:rPr>
        <w:t>&lt;lx "u'u"&gt;</w:t>
      </w:r>
      <w:r>
        <w:rPr>
          <w:rStyle w:val="indexentry"/>
        </w:rPr>
        <w:fldChar w:fldCharType="begin"/>
      </w:r>
      <w:r>
        <w:instrText>xe "</w:instrText>
      </w:r>
      <w:r>
        <w:rPr>
          <w:rStyle w:val="xeentry"/>
        </w:rPr>
        <w:instrText>u'u</w:instrText>
      </w:r>
      <w:r>
        <w:instrText>"</w:instrText>
      </w:r>
      <w:r>
        <w:rPr>
          <w:rStyle w:val="indexentry"/>
        </w:rPr>
        <w:fldChar w:fldCharType="end"/>
      </w:r>
      <w:r>
        <w:rPr>
          <w:rStyle w:val="indexentry"/>
        </w:rPr>
        <w:t>&lt;cx "uu, contrasted with u'u"&gt;</w:t>
      </w:r>
      <w:r>
        <w:rPr>
          <w:rStyle w:val="indexentry"/>
        </w:rPr>
        <w:fldChar w:fldCharType="begin"/>
      </w:r>
      <w:r>
        <w:instrText>xe "</w:instrText>
      </w:r>
      <w:r>
        <w:rPr>
          <w:rStyle w:val="xeentry"/>
        </w:rPr>
        <w:instrText>uu: contrasted with u'u</w:instrText>
      </w:r>
      <w:r>
        <w:instrText>"</w:instrText>
      </w:r>
      <w:r>
        <w:rPr>
          <w:rStyle w:val="indexentry"/>
        </w:rPr>
        <w:fldChar w:fldCharType="end"/>
      </w:r>
      <w:r>
        <w:rPr>
          <w:rStyle w:val="indexentry"/>
        </w:rPr>
        <w:t>&lt;cx "u'u, contrasted with uu"&gt;</w:t>
      </w:r>
      <w:r>
        <w:rPr>
          <w:rStyle w:val="indexentry"/>
        </w:rPr>
        <w:fldChar w:fldCharType="begin"/>
      </w:r>
      <w:r>
        <w:instrText>xe "</w:instrText>
      </w:r>
      <w:r>
        <w:rPr>
          <w:rStyle w:val="xeentry"/>
        </w:rPr>
        <w:instrText>u'u: contrasted with uu</w:instrText>
      </w:r>
      <w:r>
        <w:instrText>"</w:instrText>
      </w:r>
      <w:r>
        <w:rPr>
          <w:rStyle w:val="indexentry"/>
        </w:rPr>
        <w:fldChar w:fldCharType="end"/>
      </w:r>
      <w:r>
        <w:t>In particular, both “.uu” and “.u'u” can be translated into Eng</w:t>
      </w:r>
      <w:r>
        <w:softHyphen/>
        <w:t>lish as</w:t>
      </w:r>
      <w:r>
        <w:rPr>
          <w:rStyle w:val="deletedparamark"/>
        </w:rPr>
        <w:t xml:space="preserve"> “</w:t>
      </w:r>
      <w:r>
        <w:t>I'm sorry”; the difference between these two attitudes fre</w:t>
      </w:r>
      <w:r>
        <w:softHyphen/>
        <w:t>quently causes</w:t>
      </w:r>
      <w:r>
        <w:rPr>
          <w:rStyle w:val="deletedparamark"/>
        </w:rPr>
        <w:t xml:space="preserve"> </w:t>
      </w:r>
      <w:r>
        <w:t>confusion among English-speak</w:t>
      </w:r>
      <w:r>
        <w:softHyphen/>
        <w:t>ers who use this phrase, leading to responses</w:t>
      </w:r>
      <w:r>
        <w:rPr>
          <w:rStyle w:val="deletedparamark"/>
        </w:rPr>
        <w:t xml:space="preserve"> </w:t>
      </w:r>
      <w:r>
        <w:t>like “Why are you sorry? It's not your fault!”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and irony"&gt;</w:t>
      </w:r>
      <w:r>
        <w:rPr>
          <w:rStyle w:val="indexentry"/>
        </w:rPr>
        <w:fldChar w:fldCharType="begin"/>
      </w:r>
      <w:r>
        <w:instrText>xe "</w:instrText>
      </w:r>
      <w:r>
        <w:rPr>
          <w:rStyle w:val="xeentry"/>
        </w:rPr>
        <w:instrText>attitudinals and irony</w:instrText>
      </w:r>
      <w:r>
        <w:instrText>"</w:instrText>
      </w:r>
      <w:r>
        <w:rPr>
          <w:rStyle w:val="indexentry"/>
        </w:rPr>
        <w:fldChar w:fldCharType="end"/>
      </w:r>
      <w:r>
        <w:t>It is important to realize that “.uu”, and indeed all attitudinals, are</w:t>
      </w:r>
      <w:r>
        <w:rPr>
          <w:rStyle w:val="deletedparamark"/>
        </w:rPr>
        <w:t xml:space="preserve"> </w:t>
      </w:r>
      <w:r>
        <w:t>meant to be used sincerely, not ironically. In English, the excla</w:t>
      </w:r>
      <w:r>
        <w:softHyphen/>
        <w:t>mation</w:t>
      </w:r>
      <w:r>
        <w:rPr>
          <w:rStyle w:val="deletedparamark"/>
        </w:rPr>
        <w:t xml:space="preserve"> “</w:t>
      </w:r>
      <w:r>
        <w:t>Pity!” is just as likely to be iron</w:t>
      </w:r>
      <w:r>
        <w:t>i</w:t>
      </w:r>
      <w:r>
        <w:softHyphen/>
        <w:t>cally intended, but this usage does</w:t>
      </w:r>
      <w:r>
        <w:rPr>
          <w:rStyle w:val="deletedparamark"/>
        </w:rPr>
        <w:t xml:space="preserve"> </w:t>
      </w:r>
      <w:r>
        <w:t>not extend to Lojban. Lying with attitudinals is (normally) as in</w:t>
      </w:r>
      <w:r>
        <w:softHyphen/>
        <w:t>appropriate</w:t>
      </w:r>
      <w:r>
        <w:rPr>
          <w:rStyle w:val="deletedparamark"/>
        </w:rPr>
        <w:t xml:space="preserve"> </w:t>
      </w:r>
      <w:r>
        <w:t>to Lojban discourse as any other kind of lying: perhaps worse, because</w:t>
      </w:r>
      <w:r>
        <w:rPr>
          <w:rStyle w:val="deletedparamark"/>
        </w:rPr>
        <w:t xml:space="preserve"> </w:t>
      </w:r>
      <w:r>
        <w:t>misunderstood emotions can cause even greater problems than misun</w:t>
      </w:r>
      <w:r>
        <w:softHyphen/>
        <w:t>der</w:t>
      </w:r>
      <w:r>
        <w:softHyphen/>
        <w:t>stood</w:t>
      </w:r>
      <w:r>
        <w:rPr>
          <w:rStyle w:val="deletedparamark"/>
        </w:rPr>
        <w:t xml:space="preserve"> </w:t>
      </w:r>
      <w:r>
        <w:t>statements.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"cu'i"&gt;</w:t>
      </w:r>
      <w:r>
        <w:rPr>
          <w:rStyle w:val="indexentry"/>
        </w:rPr>
        <w:fldChar w:fldCharType="begin"/>
      </w:r>
      <w:r>
        <w:instrText>xe "</w:instrText>
      </w:r>
      <w:r>
        <w:rPr>
          <w:rStyle w:val="xeentry"/>
        </w:rPr>
        <w:instrText>cu'i</w:instrText>
      </w:r>
      <w:r>
        <w:instrText>"</w:instrText>
      </w:r>
      <w:r>
        <w:rPr>
          <w:rStyle w:val="indexentry"/>
        </w:rPr>
        <w:fldChar w:fldCharType="end"/>
      </w:r>
      <w:r>
        <w:rPr>
          <w:rStyle w:val="indexentry"/>
        </w:rPr>
        <w:t>&lt;cx "attitudinals, effect of nai"&gt;</w:t>
      </w:r>
      <w:r>
        <w:rPr>
          <w:rStyle w:val="indexentry"/>
        </w:rPr>
        <w:fldChar w:fldCharType="begin"/>
      </w:r>
      <w:r>
        <w:instrText>xe "</w:instrText>
      </w:r>
      <w:r>
        <w:rPr>
          <w:rStyle w:val="xeentry"/>
        </w:rPr>
        <w:instrText>attitudinals: effect of nai</w:instrText>
      </w:r>
      <w:r>
        <w:instrText>"</w:instrText>
      </w:r>
      <w:r>
        <w:rPr>
          <w:rStyle w:val="indexentry"/>
        </w:rPr>
        <w:fldChar w:fldCharType="end"/>
      </w:r>
      <w:r>
        <w:rPr>
          <w:rStyle w:val="indexentry"/>
        </w:rPr>
        <w:t>&lt;cx "attitudinals, effect of cu'i"&gt;</w:t>
      </w:r>
      <w:r>
        <w:rPr>
          <w:rStyle w:val="indexentry"/>
        </w:rPr>
        <w:fldChar w:fldCharType="begin"/>
      </w:r>
      <w:r>
        <w:instrText>xe "</w:instrText>
      </w:r>
      <w:r>
        <w:rPr>
          <w:rStyle w:val="xeentry"/>
        </w:rPr>
        <w:instrText>attitudinals: effect of cu'i</w:instrText>
      </w:r>
      <w:r>
        <w:instrText>"</w:instrText>
      </w:r>
      <w:r>
        <w:rPr>
          <w:rStyle w:val="indexentry"/>
        </w:rPr>
        <w:fldChar w:fldCharType="end"/>
      </w:r>
      <w:r>
        <w:t>The following examples display the effects of “nai” and “cu'i” when</w:t>
      </w:r>
      <w:r>
        <w:rPr>
          <w:rStyle w:val="deletedparamark"/>
        </w:rPr>
        <w:t xml:space="preserve"> </w:t>
      </w:r>
      <w:r>
        <w:t>suffixed to an attitudinal:</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name=e2d7&gt;</w:t>
      </w:r>
      <w:r>
        <w:t>2.7)</w:t>
      </w:r>
      <w:r>
        <w:tab/>
        <w:t>.ue la djan. klama</w:t>
      </w:r>
    </w:p>
    <w:p w:rsidR="00B72047" w:rsidRDefault="00B72047">
      <w:pPr>
        <w:pStyle w:val="examplescaled"/>
      </w:pPr>
      <w:r>
        <w:tab/>
        <w:t>[Surprise!] John comes.</w:t>
      </w:r>
    </w:p>
    <w:p w:rsidR="00B72047" w:rsidRDefault="00B72047">
      <w:pPr>
        <w:pStyle w:val="examplescaledpre"/>
      </w:pPr>
      <w:r>
        <w:rPr>
          <w:rStyle w:val="htmlcodes"/>
        </w:rPr>
        <w:t>&lt;a name=e2d8&gt;</w:t>
      </w:r>
      <w:r>
        <w:t>2.8)</w:t>
      </w:r>
      <w:r>
        <w:tab/>
        <w:t>.uecu'i la djan. klama</w:t>
      </w:r>
    </w:p>
    <w:p w:rsidR="00B72047" w:rsidRDefault="00B72047">
      <w:pPr>
        <w:pStyle w:val="examplescaled"/>
      </w:pPr>
      <w:r>
        <w:tab/>
        <w:t>[Ho hum.] John comes.</w:t>
      </w:r>
    </w:p>
    <w:p w:rsidR="00B72047" w:rsidRDefault="00B72047">
      <w:pPr>
        <w:pStyle w:val="examplescaledpre"/>
      </w:pPr>
      <w:r>
        <w:rPr>
          <w:rStyle w:val="htmlcodes"/>
        </w:rPr>
        <w:t>&lt;a name=e2d9&gt;</w:t>
      </w:r>
      <w:r>
        <w:t>2.9)</w:t>
      </w:r>
      <w:r>
        <w:tab/>
        <w:t>.uenai la djan. klama</w:t>
      </w:r>
    </w:p>
    <w:p w:rsidR="00B72047" w:rsidRDefault="00B72047">
      <w:pPr>
        <w:pStyle w:val="examplescaled"/>
      </w:pPr>
      <w:r>
        <w:tab/>
        <w:t>[Expected!] John comes.</w:t>
      </w:r>
    </w:p>
    <w:p w:rsidR="00B72047" w:rsidRDefault="00B72047">
      <w:pPr>
        <w:pStyle w:val="resumedafterexample"/>
      </w:pPr>
      <w:r>
        <w:rPr>
          <w:rStyle w:val="htmlcodes"/>
        </w:rPr>
        <w:t>&lt;/pre&gt;&lt;p&gt;</w:t>
      </w:r>
      <w:r>
        <w:t xml:space="preserve">In </w:t>
      </w:r>
      <w:r>
        <w:rPr>
          <w:rStyle w:val="htmlcodes"/>
        </w:rPr>
        <w:t>&lt;a href=#e2d9&gt;</w:t>
      </w:r>
      <w:r>
        <w:t>Example 2.9</w:t>
      </w:r>
      <w:r>
        <w:rPr>
          <w:rStyle w:val="htmlcodes"/>
        </w:rPr>
        <w:t>&lt;/a&gt;</w:t>
      </w:r>
      <w:r>
        <w:t>, John's coming has been anticipated by the speaker.</w:t>
      </w:r>
      <w:r>
        <w:rPr>
          <w:rStyle w:val="deletedparamark"/>
        </w:rPr>
        <w:t xml:space="preserve"> </w:t>
      </w:r>
      <w:r>
        <w:t xml:space="preserve">In </w:t>
      </w:r>
      <w:r>
        <w:rPr>
          <w:rStyle w:val="htmlcodes"/>
        </w:rPr>
        <w:t>&lt;a href=#e2d7&gt;</w:t>
      </w:r>
      <w:r>
        <w:t xml:space="preserve">Example 2.7 </w:t>
      </w:r>
      <w:r>
        <w:rPr>
          <w:rStyle w:val="htmlcodes"/>
        </w:rPr>
        <w:t>&lt;/a&gt;</w:t>
      </w:r>
      <w:r>
        <w:t xml:space="preserve">and </w:t>
      </w:r>
      <w:r>
        <w:rPr>
          <w:rStyle w:val="htmlcodes"/>
        </w:rPr>
        <w:t>&lt;a href=#e2d8&gt;</w:t>
      </w:r>
      <w:r>
        <w:t>Example 2.8</w:t>
      </w:r>
      <w:r>
        <w:rPr>
          <w:rStyle w:val="htmlcodes"/>
        </w:rPr>
        <w:t>&lt;/a&gt;</w:t>
      </w:r>
      <w:r>
        <w:t>, no such anticipation has been made, but in</w:t>
      </w:r>
      <w:r>
        <w:rPr>
          <w:rStyle w:val="deletedparamark"/>
        </w:rPr>
        <w:t xml:space="preserve"> </w:t>
      </w:r>
      <w:r>
        <w:rPr>
          <w:rStyle w:val="htmlcodes"/>
        </w:rPr>
        <w:t>&lt;a href=#e2d7&gt;</w:t>
      </w:r>
      <w:r>
        <w:t xml:space="preserve">Example 2.7 </w:t>
      </w:r>
      <w:r>
        <w:rPr>
          <w:rStyle w:val="htmlcodes"/>
        </w:rPr>
        <w:t>&lt;/a&gt;</w:t>
      </w:r>
      <w:r>
        <w:t>the lack-of-an</w:t>
      </w:r>
      <w:r>
        <w:softHyphen/>
        <w:t>tici</w:t>
      </w:r>
      <w:r>
        <w:softHyphen/>
        <w:t xml:space="preserve">pation goes no further — in </w:t>
      </w:r>
      <w:r>
        <w:rPr>
          <w:rStyle w:val="htmlcodes"/>
        </w:rPr>
        <w:t>&lt;a href=#e2d8&gt;</w:t>
      </w:r>
      <w:r>
        <w:t>Example 2.8</w:t>
      </w:r>
      <w:r>
        <w:rPr>
          <w:rStyle w:val="htmlcodes"/>
        </w:rPr>
        <w:t>&lt;/a&gt;</w:t>
      </w:r>
      <w:r>
        <w:t>,</w:t>
      </w:r>
      <w:r>
        <w:rPr>
          <w:rStyle w:val="deletedparamark"/>
        </w:rPr>
        <w:t xml:space="preserve"> </w:t>
      </w:r>
      <w:r>
        <w:t>it amounts to actual surprise.</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complex emotion words"&gt;</w:t>
      </w:r>
      <w:r>
        <w:rPr>
          <w:rStyle w:val="indexentry"/>
        </w:rPr>
        <w:fldChar w:fldCharType="begin"/>
      </w:r>
      <w:r>
        <w:instrText>xe "</w:instrText>
      </w:r>
      <w:r>
        <w:rPr>
          <w:rStyle w:val="xeentry"/>
        </w:rPr>
        <w:instrText>attitudinals: complex emotion words</w:instrText>
      </w:r>
      <w:r>
        <w:instrText>"</w:instrText>
      </w:r>
      <w:r>
        <w:rPr>
          <w:rStyle w:val="indexentry"/>
        </w:rPr>
        <w:fldChar w:fldCharType="end"/>
      </w:r>
      <w:r>
        <w:rPr>
          <w:rStyle w:val="indexentry"/>
        </w:rPr>
        <w:t>&lt;cx "attitudinals, ambivalent emotion words"&gt;</w:t>
      </w:r>
      <w:r>
        <w:rPr>
          <w:rStyle w:val="indexentry"/>
        </w:rPr>
        <w:fldChar w:fldCharType="begin"/>
      </w:r>
      <w:r>
        <w:instrText>xe "</w:instrText>
      </w:r>
      <w:r>
        <w:rPr>
          <w:rStyle w:val="xeentry"/>
        </w:rPr>
        <w:instrText>attitudinals: ambivalent emotion words</w:instrText>
      </w:r>
      <w:r>
        <w:instrText>"</w:instrText>
      </w:r>
      <w:r>
        <w:rPr>
          <w:rStyle w:val="indexentry"/>
        </w:rPr>
        <w:fldChar w:fldCharType="end"/>
      </w:r>
      <w:r>
        <w:rPr>
          <w:rStyle w:val="indexentry"/>
        </w:rPr>
        <w:t>&lt;cx "attitudinals, difficult emotion words"&gt;</w:t>
      </w:r>
      <w:r>
        <w:rPr>
          <w:rStyle w:val="indexentry"/>
        </w:rPr>
        <w:fldChar w:fldCharType="begin"/>
      </w:r>
      <w:r>
        <w:instrText>xe "</w:instrText>
      </w:r>
      <w:r>
        <w:rPr>
          <w:rStyle w:val="xeentry"/>
        </w:rPr>
        <w:instrText>attitudinals: difficult emotion words</w:instrText>
      </w:r>
      <w:r>
        <w:instrText>"</w:instrText>
      </w:r>
      <w:r>
        <w:rPr>
          <w:rStyle w:val="indexentry"/>
        </w:rPr>
        <w:fldChar w:fldCharType="end"/>
      </w:r>
      <w:r>
        <w:t>It is not possible to firmly distinguish the pure emotion words beginning</w:t>
      </w:r>
      <w:r>
        <w:rPr>
          <w:rStyle w:val="deletedparamark"/>
        </w:rPr>
        <w:t xml:space="preserve"> </w:t>
      </w:r>
      <w:r>
        <w:t>with “o” or “i” from those beginning with “u”, but in general they represent</w:t>
      </w:r>
      <w:r>
        <w:rPr>
          <w:rStyle w:val="deletedparamark"/>
        </w:rPr>
        <w:t xml:space="preserve"> </w:t>
      </w:r>
      <w:r>
        <w:t>more complex, more ambivalent, or more difficult emotions.</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 xml:space="preserve"> </w:t>
      </w:r>
      <w:r>
        <w:tab/>
        <w:t>.o'a</w:t>
      </w:r>
      <w:r>
        <w:tab/>
        <w:t>pride</w:t>
      </w:r>
      <w:r>
        <w:tab/>
        <w:t>modesty</w:t>
      </w:r>
      <w:r>
        <w:tab/>
        <w:t>shame</w:t>
      </w:r>
    </w:p>
    <w:p w:rsidR="00B72047" w:rsidRDefault="00B72047">
      <w:pPr>
        <w:pStyle w:val="exampwidetabs"/>
      </w:pPr>
      <w:r>
        <w:tab/>
        <w:t>.o'e</w:t>
      </w:r>
      <w:r>
        <w:tab/>
        <w:t>closeness</w:t>
      </w:r>
      <w:r>
        <w:tab/>
        <w:t>detachment</w:t>
      </w:r>
      <w:r>
        <w:tab/>
        <w:t>distance</w:t>
      </w:r>
    </w:p>
    <w:p w:rsidR="00B72047" w:rsidRDefault="00B72047">
      <w:pPr>
        <w:pStyle w:val="exampwidetabs"/>
      </w:pPr>
      <w:r>
        <w:tab/>
        <w:t>.oi</w:t>
      </w:r>
      <w:r>
        <w:tab/>
        <w:t>complaint/pain</w:t>
      </w:r>
      <w:r>
        <w:tab/>
        <w:t>doing OK</w:t>
      </w:r>
      <w:r>
        <w:tab/>
        <w:t>pleasure</w:t>
      </w:r>
    </w:p>
    <w:p w:rsidR="00B72047" w:rsidRDefault="00B72047">
      <w:pPr>
        <w:pStyle w:val="exampwidetabs"/>
      </w:pPr>
      <w:r>
        <w:tab/>
        <w:t>.o'i</w:t>
      </w:r>
      <w:r>
        <w:tab/>
        <w:t>caution</w:t>
      </w:r>
      <w:r>
        <w:tab/>
        <w:t>boldness</w:t>
      </w:r>
      <w:r>
        <w:tab/>
        <w:t>rashness</w:t>
      </w:r>
    </w:p>
    <w:p w:rsidR="00B72047" w:rsidRDefault="00B72047">
      <w:pPr>
        <w:pStyle w:val="exampwidetabs"/>
      </w:pPr>
      <w:r>
        <w:tab/>
        <w:t>.o'o</w:t>
      </w:r>
      <w:r>
        <w:tab/>
        <w:t>patience</w:t>
      </w:r>
      <w:r>
        <w:tab/>
        <w:t>mere tolerance</w:t>
      </w:r>
      <w:r>
        <w:tab/>
        <w:t>anger</w:t>
      </w:r>
    </w:p>
    <w:p w:rsidR="00B72047" w:rsidRDefault="00B72047">
      <w:pPr>
        <w:pStyle w:val="exampwidetabs"/>
      </w:pPr>
      <w:r>
        <w:tab/>
        <w:t>.o'u</w:t>
      </w:r>
      <w:r>
        <w:tab/>
        <w:t>relaxation</w:t>
      </w:r>
      <w:r>
        <w:tab/>
        <w:t>composure</w:t>
      </w:r>
      <w:r>
        <w:tab/>
        <w:t>stress</w:t>
      </w:r>
    </w:p>
    <w:p w:rsidR="00B72047" w:rsidRDefault="00B72047">
      <w:pPr>
        <w:pStyle w:val="resumedafterexample"/>
      </w:pPr>
      <w:r>
        <w:rPr>
          <w:rStyle w:val="htmlcodes"/>
        </w:rPr>
        <w:t>&lt;/pre&gt;&lt;p&gt;</w:t>
      </w:r>
      <w:r>
        <w:t>Here are 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&lt;ex ".oi"&gt;</w:t>
      </w:r>
      <w:r>
        <w:rPr>
          <w:rStyle w:val="indexentry"/>
        </w:rPr>
        <w:fldChar w:fldCharType="begin"/>
      </w:r>
      <w:r>
        <w:instrText>xe "</w:instrText>
      </w:r>
      <w:r>
        <w:rPr>
          <w:rStyle w:val="xeentry"/>
        </w:rPr>
        <w:instrText>oi: example</w:instrText>
      </w:r>
      <w:r>
        <w:instrText>"</w:instrText>
      </w:r>
      <w:r>
        <w:rPr>
          <w:rStyle w:val="indexentry"/>
        </w:rPr>
        <w:fldChar w:fldCharType="end"/>
      </w:r>
      <w:r>
        <w:rPr>
          <w:rStyle w:val="htmlcodes"/>
        </w:rPr>
        <w:t>&lt;pre&gt;&lt;a name=e2d10&gt;</w:t>
      </w:r>
      <w:r>
        <w:t>2.10)</w:t>
      </w:r>
      <w:r>
        <w:tab/>
        <w:t>.oi la djan. klama</w:t>
      </w:r>
    </w:p>
    <w:p w:rsidR="00B72047" w:rsidRDefault="00B72047">
      <w:pPr>
        <w:pStyle w:val="examplescaled"/>
      </w:pPr>
      <w:r>
        <w:tab/>
        <w:t>[Complaint!] John is coming.</w:t>
      </w:r>
    </w:p>
    <w:p w:rsidR="00B72047" w:rsidRDefault="00B72047">
      <w:pPr>
        <w:pStyle w:val="resumedafterexample"/>
      </w:pPr>
      <w:r>
        <w:rPr>
          <w:rStyle w:val="htmlcodes"/>
        </w:rPr>
        <w:t>&lt;/pre&gt;&lt;p&gt;</w:t>
      </w:r>
      <w:r>
        <w:t>Here the speaker is distressed or discomfited over John's coming. The word “.oi” is de</w:t>
      </w:r>
      <w:r>
        <w:softHyphen/>
        <w:t>rived from the Yiddish word “oy” of similar mean</w:t>
      </w:r>
      <w:r>
        <w:softHyphen/>
        <w:t>ing. It is the</w:t>
      </w:r>
      <w:r>
        <w:rPr>
          <w:rStyle w:val="deletedparamark"/>
        </w:rPr>
        <w:t xml:space="preserve"> </w:t>
      </w:r>
      <w:r>
        <w:t>only cmavo with a Yid</w:t>
      </w:r>
      <w:r>
        <w:softHyphen/>
        <w:t>dish origin.</w:t>
      </w:r>
    </w:p>
    <w:p w:rsidR="00B72047" w:rsidRDefault="00B72047">
      <w:pPr>
        <w:rPr>
          <w:rStyle w:val="htmlparacode"/>
        </w:rPr>
      </w:pPr>
      <w:r>
        <w:rPr>
          <w:rStyle w:val="htmlparacode"/>
        </w:rPr>
        <w:t>&lt;p&gt;</w:t>
      </w:r>
    </w:p>
    <w:p w:rsidR="00B72047" w:rsidRDefault="00B72047">
      <w:pPr>
        <w:pStyle w:val="examplescaledpre"/>
      </w:pPr>
      <w:r>
        <w:rPr>
          <w:rStyle w:val="indexentry"/>
        </w:rPr>
        <w:t>&lt;ex ".o'onai"&gt;</w:t>
      </w:r>
      <w:r>
        <w:rPr>
          <w:rStyle w:val="indexentry"/>
        </w:rPr>
        <w:fldChar w:fldCharType="begin"/>
      </w:r>
      <w:r>
        <w:instrText>xe "</w:instrText>
      </w:r>
      <w:r>
        <w:rPr>
          <w:rStyle w:val="xeentry"/>
        </w:rPr>
        <w:instrText>o'onai: example</w:instrText>
      </w:r>
      <w:r>
        <w:instrText>"</w:instrText>
      </w:r>
      <w:r>
        <w:rPr>
          <w:rStyle w:val="indexentry"/>
        </w:rPr>
        <w:fldChar w:fldCharType="end"/>
      </w:r>
      <w:r>
        <w:rPr>
          <w:rStyle w:val="htmlcodes"/>
        </w:rPr>
        <w:t>&lt;pre&gt;&lt;a name=e2d11&gt;</w:t>
      </w:r>
      <w:r>
        <w:t>2.11)</w:t>
      </w:r>
      <w:r>
        <w:tab/>
        <w:t>.o'onai la djan. klama</w:t>
      </w:r>
    </w:p>
    <w:p w:rsidR="00B72047" w:rsidRDefault="00B72047">
      <w:pPr>
        <w:pStyle w:val="examplescaled"/>
      </w:pPr>
      <w:r>
        <w:tab/>
        <w:t>[Anger!] John is coming!</w:t>
      </w:r>
    </w:p>
    <w:p w:rsidR="00B72047" w:rsidRDefault="00B72047">
      <w:pPr>
        <w:pStyle w:val="resumedafterexample"/>
      </w:pPr>
      <w:r>
        <w:rPr>
          <w:rStyle w:val="htmlcodes"/>
        </w:rPr>
        <w:t>&lt;/pre&gt;&lt;p&gt;</w:t>
      </w:r>
      <w:r>
        <w:t>Here the speaker feels anger over John's coming.</w:t>
      </w:r>
    </w:p>
    <w:p w:rsidR="00B72047" w:rsidRDefault="00B72047">
      <w:pPr>
        <w:rPr>
          <w:rStyle w:val="htmlparacode"/>
        </w:rPr>
      </w:pPr>
      <w:r>
        <w:rPr>
          <w:rStyle w:val="htmlparacode"/>
        </w:rPr>
        <w:t>&lt;p&gt;</w:t>
      </w:r>
    </w:p>
    <w:p w:rsidR="00B72047" w:rsidRDefault="00B72047">
      <w:pPr>
        <w:pStyle w:val="examplescaledpre"/>
      </w:pPr>
      <w:r>
        <w:rPr>
          <w:rStyle w:val="indexentry"/>
        </w:rPr>
        <w:t>&lt;ex ".o'i"&gt;</w:t>
      </w:r>
      <w:r>
        <w:rPr>
          <w:rStyle w:val="indexentry"/>
        </w:rPr>
        <w:fldChar w:fldCharType="begin"/>
      </w:r>
      <w:r>
        <w:instrText>xe "</w:instrText>
      </w:r>
      <w:r>
        <w:rPr>
          <w:rStyle w:val="xeentry"/>
        </w:rPr>
        <w:instrText>o'i: example</w:instrText>
      </w:r>
      <w:r>
        <w:instrText>"</w:instrText>
      </w:r>
      <w:r>
        <w:rPr>
          <w:rStyle w:val="indexentry"/>
        </w:rPr>
        <w:fldChar w:fldCharType="end"/>
      </w:r>
      <w:r>
        <w:rPr>
          <w:rStyle w:val="htmlcodes"/>
        </w:rPr>
        <w:t>&lt;pre&gt;&lt;a name=e2d12&gt;</w:t>
      </w:r>
      <w:r>
        <w:t>2.12)</w:t>
      </w:r>
      <w:r>
        <w:tab/>
        <w:t>.o'i la djan. klama</w:t>
      </w:r>
    </w:p>
    <w:p w:rsidR="00B72047" w:rsidRDefault="00B72047">
      <w:pPr>
        <w:pStyle w:val="examplescaled"/>
      </w:pPr>
      <w:r>
        <w:tab/>
        <w:t>[Beware!] John is coming.</w:t>
      </w:r>
    </w:p>
    <w:p w:rsidR="00B72047" w:rsidRDefault="00B72047">
      <w:pPr>
        <w:pStyle w:val="resumedafterexample"/>
      </w:pPr>
      <w:r>
        <w:rPr>
          <w:rStyle w:val="htmlcodes"/>
        </w:rPr>
        <w:t>&lt;/pre&gt;&lt;p&gt;</w:t>
      </w:r>
      <w:r>
        <w:t>Here there is a sense of danger in John's arrival.</w:t>
      </w:r>
    </w:p>
    <w:p w:rsidR="00B72047" w:rsidRDefault="00B72047">
      <w:pPr>
        <w:rPr>
          <w:rStyle w:val="htmlparacode"/>
        </w:rPr>
      </w:pPr>
      <w:r>
        <w:rPr>
          <w:rStyle w:val="htmlparacode"/>
        </w:rPr>
        <w:t>&lt;p&gt;</w:t>
      </w:r>
    </w:p>
    <w:p w:rsidR="00B72047" w:rsidRDefault="00B72047">
      <w:pPr>
        <w:pStyle w:val="examplescaledpre"/>
      </w:pPr>
      <w:r>
        <w:rPr>
          <w:rStyle w:val="indexentry"/>
        </w:rPr>
        <w:t>&lt;ex ".o'ecu'i"&gt;</w:t>
      </w:r>
      <w:r>
        <w:rPr>
          <w:rStyle w:val="indexentry"/>
        </w:rPr>
        <w:fldChar w:fldCharType="begin"/>
      </w:r>
      <w:r>
        <w:instrText>xe "</w:instrText>
      </w:r>
      <w:r>
        <w:rPr>
          <w:rStyle w:val="xeentry"/>
        </w:rPr>
        <w:instrText>o'ecu'i: example</w:instrText>
      </w:r>
      <w:r>
        <w:instrText>"</w:instrText>
      </w:r>
      <w:r>
        <w:rPr>
          <w:rStyle w:val="indexentry"/>
        </w:rPr>
        <w:fldChar w:fldCharType="end"/>
      </w:r>
      <w:r>
        <w:rPr>
          <w:rStyle w:val="htmlcodes"/>
        </w:rPr>
        <w:t>&lt;pre&gt;&lt;a name=e2d13&gt;</w:t>
      </w:r>
      <w:r>
        <w:t>2.13)</w:t>
      </w:r>
      <w:r>
        <w:tab/>
        <w:t>.o'ecu'i la djan. klama</w:t>
      </w:r>
    </w:p>
    <w:p w:rsidR="00B72047" w:rsidRDefault="00B72047">
      <w:pPr>
        <w:pStyle w:val="examplescaled"/>
      </w:pPr>
      <w:r>
        <w:tab/>
        <w:t>[Detachment!] John is coming.</w:t>
      </w:r>
    </w:p>
    <w:p w:rsidR="00B72047" w:rsidRDefault="00B72047">
      <w:pPr>
        <w:pStyle w:val="examplescaledpre"/>
      </w:pPr>
      <w:r>
        <w:rPr>
          <w:rStyle w:val="htmlcodes"/>
        </w:rPr>
        <w:t>&lt;/pre&gt;</w:t>
      </w:r>
      <w:r>
        <w:rPr>
          <w:rStyle w:val="indexentry"/>
        </w:rPr>
        <w:t>&lt;ex ".o'u"&gt;</w:t>
      </w:r>
      <w:r>
        <w:rPr>
          <w:rStyle w:val="indexentry"/>
        </w:rPr>
        <w:fldChar w:fldCharType="begin"/>
      </w:r>
      <w:r>
        <w:instrText>xe "</w:instrText>
      </w:r>
      <w:r>
        <w:rPr>
          <w:rStyle w:val="xeentry"/>
        </w:rPr>
        <w:instrText>o'u: example</w:instrText>
      </w:r>
      <w:r>
        <w:instrText>"</w:instrText>
      </w:r>
      <w:r>
        <w:rPr>
          <w:rStyle w:val="indexentry"/>
        </w:rPr>
        <w:fldChar w:fldCharType="end"/>
      </w:r>
      <w:r>
        <w:rPr>
          <w:rStyle w:val="htmlcodes"/>
        </w:rPr>
        <w:t>&lt;pre&gt;&lt;a name=e2d14&gt;</w:t>
      </w:r>
      <w:r>
        <w:t>2.14)</w:t>
      </w:r>
      <w:r>
        <w:tab/>
        <w:t>.o'u la djan. klama</w:t>
      </w:r>
    </w:p>
    <w:p w:rsidR="00B72047" w:rsidRDefault="00B72047">
      <w:pPr>
        <w:pStyle w:val="examplescaled"/>
      </w:pPr>
      <w:r>
        <w:tab/>
        <w:t>[Phew!] John is coming.</w:t>
      </w:r>
    </w:p>
    <w:p w:rsidR="00B72047" w:rsidRDefault="00B72047">
      <w:pPr>
        <w:pStyle w:val="resumedafterexample"/>
      </w:pPr>
      <w:r>
        <w:rPr>
          <w:rStyle w:val="htmlcodes"/>
        </w:rPr>
        <w:t>&lt;/pre&gt;&lt;p&gt;</w:t>
      </w:r>
      <w:r>
        <w:t xml:space="preserve">In </w:t>
      </w:r>
      <w:r>
        <w:rPr>
          <w:rStyle w:val="htmlcodes"/>
        </w:rPr>
        <w:t>&lt;a href=#e2d13&gt;</w:t>
      </w:r>
      <w:r>
        <w:t xml:space="preserve">Example 2.13 </w:t>
      </w:r>
      <w:r>
        <w:rPr>
          <w:rStyle w:val="htmlcodes"/>
        </w:rPr>
        <w:t>&lt;/a&gt;</w:t>
      </w:r>
      <w:r>
        <w:t xml:space="preserve">and </w:t>
      </w:r>
      <w:r>
        <w:rPr>
          <w:rStyle w:val="htmlcodes"/>
        </w:rPr>
        <w:t>&lt;a href=#e2d14&gt;</w:t>
      </w:r>
      <w:r>
        <w:t>Example 2.14</w:t>
      </w:r>
      <w:r>
        <w:rPr>
          <w:rStyle w:val="htmlcodes"/>
        </w:rPr>
        <w:t>&lt;/a&gt;</w:t>
      </w:r>
      <w:r>
        <w:t>, John's arrival is no problem: in the former</w:t>
      </w:r>
      <w:r>
        <w:rPr>
          <w:rStyle w:val="deletedparamark"/>
        </w:rPr>
        <w:t xml:space="preserve"> </w:t>
      </w:r>
      <w:r>
        <w:t>exam</w:t>
      </w:r>
      <w:r>
        <w:softHyphen/>
        <w:t>ple, the speaker feels emotional distance from the situation; in</w:t>
      </w:r>
      <w:r>
        <w:rPr>
          <w:rStyle w:val="deletedparamark"/>
        </w:rPr>
        <w:t xml:space="preserve"> </w:t>
      </w:r>
      <w:r>
        <w:t>the latter example, John's coming is actually a relief of some kind.</w:t>
      </w:r>
    </w:p>
    <w:p w:rsidR="00B72047" w:rsidRDefault="00B72047">
      <w:pPr>
        <w:rPr>
          <w:rStyle w:val="htmlparacode"/>
        </w:rPr>
      </w:pPr>
      <w:r>
        <w:rPr>
          <w:rStyle w:val="htmlparacode"/>
        </w:rPr>
        <w:t>&lt;p&gt;</w:t>
      </w:r>
    </w:p>
    <w:p w:rsidR="00B72047" w:rsidRDefault="00B72047">
      <w:pPr>
        <w:pStyle w:val="normalparagraph"/>
      </w:pPr>
      <w:r>
        <w:t>The pure emotion indicators beginning with “i” are those which could not be</w:t>
      </w:r>
      <w:r>
        <w:rPr>
          <w:rStyle w:val="deletedparamark"/>
        </w:rPr>
        <w:t xml:space="preserve"> </w:t>
      </w:r>
      <w:r>
        <w:t>fitted into the “u” or “o” groups because there was a lack of room, so they</w:t>
      </w:r>
      <w:r>
        <w:rPr>
          <w:rStyle w:val="deletedparamark"/>
        </w:rPr>
        <w:t xml:space="preserve"> </w:t>
      </w:r>
      <w:r>
        <w:t>are a mixed lot. “.ia”, “.i'a”, “.ie”, and “.i'e” do not appear here,</w:t>
      </w:r>
      <w:r>
        <w:rPr>
          <w:rStyle w:val="deletedparamark"/>
        </w:rPr>
        <w:t xml:space="preserve"> </w:t>
      </w:r>
      <w:r>
        <w:t xml:space="preserve">as they belong in </w:t>
      </w:r>
      <w:r>
        <w:rPr>
          <w:rStyle w:val="htmlcodes"/>
        </w:rPr>
        <w:t>&lt;a href=#s3&gt;</w:t>
      </w:r>
      <w:r>
        <w:t xml:space="preserve">Section 3 </w:t>
      </w:r>
      <w:r>
        <w:rPr>
          <w:rStyle w:val="htmlcodes"/>
        </w:rPr>
        <w:t>&lt;/a&gt;</w:t>
      </w:r>
      <w:r>
        <w:t>instead.</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wtabspre"/>
        <w:spacing w:before="0"/>
      </w:pPr>
      <w:r>
        <w:rPr>
          <w:rStyle w:val="htmlcodes"/>
        </w:rPr>
        <w:t>&lt;pre&gt;</w:t>
      </w:r>
      <w:r>
        <w:t xml:space="preserve"> </w:t>
      </w:r>
      <w:r>
        <w:tab/>
        <w:t>.ii</w:t>
      </w:r>
      <w:r>
        <w:tab/>
        <w:t>fear</w:t>
      </w:r>
      <w:r>
        <w:tab/>
        <w:t>nervousness</w:t>
      </w:r>
      <w:r>
        <w:tab/>
        <w:t>security</w:t>
      </w:r>
    </w:p>
    <w:p w:rsidR="00B72047" w:rsidRDefault="00B72047">
      <w:pPr>
        <w:pStyle w:val="exampwidetabs"/>
      </w:pPr>
      <w:r>
        <w:tab/>
        <w:t>.i'i</w:t>
      </w:r>
      <w:r>
        <w:tab/>
        <w:t>togetherness</w:t>
      </w:r>
      <w:r>
        <w:tab/>
      </w:r>
      <w:r>
        <w:tab/>
        <w:t>privacy</w:t>
      </w:r>
    </w:p>
    <w:p w:rsidR="00B72047" w:rsidRDefault="00B72047">
      <w:pPr>
        <w:pStyle w:val="exampwidetabs"/>
      </w:pPr>
      <w:r>
        <w:tab/>
        <w:t>.io</w:t>
      </w:r>
      <w:r>
        <w:tab/>
        <w:t>respect</w:t>
      </w:r>
      <w:r>
        <w:tab/>
      </w:r>
      <w:r>
        <w:tab/>
        <w:t>disrespect</w:t>
      </w:r>
    </w:p>
    <w:p w:rsidR="00B72047" w:rsidRDefault="00B72047">
      <w:pPr>
        <w:pStyle w:val="exampwidetabs"/>
      </w:pPr>
      <w:r>
        <w:tab/>
        <w:t>.i'o</w:t>
      </w:r>
      <w:r>
        <w:tab/>
        <w:t>appreciation</w:t>
      </w:r>
      <w:r>
        <w:tab/>
      </w:r>
      <w:r>
        <w:tab/>
        <w:t>envy</w:t>
      </w:r>
    </w:p>
    <w:p w:rsidR="00B72047" w:rsidRDefault="00B72047">
      <w:pPr>
        <w:pStyle w:val="exampwidetabs"/>
      </w:pPr>
      <w:r>
        <w:tab/>
        <w:t>.iu</w:t>
      </w:r>
      <w:r>
        <w:tab/>
        <w:t>love</w:t>
      </w:r>
      <w:r>
        <w:tab/>
        <w:t>no love lost</w:t>
      </w:r>
      <w:r>
        <w:tab/>
        <w:t>hatred</w:t>
      </w:r>
    </w:p>
    <w:p w:rsidR="00B72047" w:rsidRDefault="00B72047">
      <w:pPr>
        <w:pStyle w:val="exampwidetabs"/>
      </w:pPr>
      <w:r>
        <w:tab/>
        <w:t>.i'u</w:t>
      </w:r>
      <w:r>
        <w:tab/>
        <w:t>familiarity</w:t>
      </w:r>
      <w:r>
        <w:tab/>
      </w:r>
      <w:r>
        <w:tab/>
        <w:t>mystery</w:t>
      </w:r>
    </w:p>
    <w:p w:rsidR="00B72047" w:rsidRDefault="00B72047">
      <w:pPr>
        <w:pStyle w:val="resumedafterexample"/>
      </w:pPr>
      <w:r>
        <w:rPr>
          <w:rStyle w:val="htmlcodes"/>
        </w:rPr>
        <w:t>&lt;/pre&gt;&lt;p&gt;</w:t>
      </w:r>
      <w:r>
        <w:t>Here are some examples:</w:t>
      </w:r>
    </w:p>
    <w:p w:rsidR="00B72047" w:rsidRDefault="00B72047">
      <w:pPr>
        <w:pStyle w:val="examplescaledpre"/>
      </w:pPr>
      <w:r>
        <w:rPr>
          <w:rStyle w:val="indexentry"/>
        </w:rPr>
        <w:t>&lt;lx ".ii"&gt;</w:t>
      </w:r>
      <w:r>
        <w:rPr>
          <w:rStyle w:val="indexentry"/>
        </w:rPr>
        <w:fldChar w:fldCharType="begin"/>
      </w:r>
      <w:r>
        <w:instrText>xe "</w:instrText>
      </w:r>
      <w:r>
        <w:rPr>
          <w:rStyle w:val="xeentry"/>
        </w:rPr>
        <w:instrText>ii</w:instrText>
      </w:r>
      <w:r>
        <w:instrText>"</w:instrText>
      </w:r>
      <w:r>
        <w:rPr>
          <w:rStyle w:val="indexentry"/>
        </w:rPr>
        <w:fldChar w:fldCharType="end"/>
      </w:r>
      <w:r>
        <w:rPr>
          <w:rStyle w:val="indexentry"/>
        </w:rPr>
        <w:t>&lt;ex "Eek!"&gt;</w:t>
      </w:r>
      <w:r>
        <w:rPr>
          <w:rStyle w:val="indexentry"/>
        </w:rPr>
        <w:fldChar w:fldCharType="begin"/>
      </w:r>
      <w:r>
        <w:instrText>xe "</w:instrText>
      </w:r>
      <w:r>
        <w:rPr>
          <w:rStyle w:val="xeentry"/>
        </w:rPr>
        <w:instrText>Eek!: example</w:instrText>
      </w:r>
      <w:r>
        <w:instrText>"</w:instrText>
      </w:r>
      <w:r>
        <w:rPr>
          <w:rStyle w:val="indexentry"/>
        </w:rPr>
        <w:fldChar w:fldCharType="end"/>
      </w:r>
      <w:r>
        <w:rPr>
          <w:rStyle w:val="htmlcodes"/>
        </w:rPr>
        <w:t>&lt;pre&gt;&lt;a name=e2d15&gt;</w:t>
      </w:r>
      <w:r>
        <w:t>2.15)</w:t>
      </w:r>
      <w:r>
        <w:tab/>
        <w:t>.ii smacu</w:t>
      </w:r>
    </w:p>
    <w:p w:rsidR="00B72047" w:rsidRDefault="00B72047">
      <w:pPr>
        <w:pStyle w:val="examplescaled"/>
      </w:pPr>
      <w:r>
        <w:tab/>
        <w:t>[Fear!] [Observative:] a-mouse</w:t>
      </w:r>
    </w:p>
    <w:p w:rsidR="00B72047" w:rsidRDefault="00B72047">
      <w:pPr>
        <w:pStyle w:val="examplescaled"/>
      </w:pPr>
      <w:r>
        <w:tab/>
        <w:t>Eek! A mouse!</w:t>
      </w:r>
    </w:p>
    <w:p w:rsidR="00B72047" w:rsidRDefault="00B72047">
      <w:pPr>
        <w:pStyle w:val="examplescaledpre"/>
      </w:pPr>
      <w:r>
        <w:rPr>
          <w:rStyle w:val="htmlcodes"/>
        </w:rPr>
        <w:t>&lt;/pre&gt;</w:t>
      </w:r>
      <w:r>
        <w:rPr>
          <w:rStyle w:val="indexentry"/>
        </w:rPr>
        <w:t>&lt;lx ".iu"&gt;</w:t>
      </w:r>
      <w:r>
        <w:rPr>
          <w:rStyle w:val="indexentry"/>
        </w:rPr>
        <w:fldChar w:fldCharType="begin"/>
      </w:r>
      <w:r>
        <w:instrText>xe "</w:instrText>
      </w:r>
      <w:r>
        <w:rPr>
          <w:rStyle w:val="xeentry"/>
        </w:rPr>
        <w:instrText>iu</w:instrText>
      </w:r>
      <w:r>
        <w:instrText>"</w:instrText>
      </w:r>
      <w:r>
        <w:rPr>
          <w:rStyle w:val="indexentry"/>
        </w:rPr>
        <w:fldChar w:fldCharType="end"/>
      </w:r>
      <w:r>
        <w:rPr>
          <w:rStyle w:val="htmlcodes"/>
        </w:rPr>
        <w:t>&lt;pre&gt;&lt;a name=e2d16&gt;</w:t>
      </w:r>
      <w:r>
        <w:t>2.16)</w:t>
      </w:r>
      <w:r>
        <w:tab/>
        <w:t>la djan. .iu klama</w:t>
      </w:r>
    </w:p>
    <w:p w:rsidR="00B72047" w:rsidRDefault="00B72047">
      <w:pPr>
        <w:pStyle w:val="examplescaled"/>
      </w:pPr>
      <w:r>
        <w:tab/>
        <w:t>John [love!] is coming.</w:t>
      </w:r>
    </w:p>
    <w:p w:rsidR="00B72047" w:rsidRDefault="00B72047">
      <w:pPr>
        <w:pStyle w:val="examplescaledpre"/>
      </w:pPr>
      <w:r>
        <w:rPr>
          <w:rStyle w:val="htmlcodes"/>
        </w:rPr>
        <w:t>&lt;/pre&gt;</w:t>
      </w:r>
      <w:r>
        <w:rPr>
          <w:rStyle w:val="indexentry"/>
        </w:rPr>
        <w:t>&lt;lx ".ionai"&gt;</w:t>
      </w:r>
      <w:r>
        <w:rPr>
          <w:rStyle w:val="indexentry"/>
        </w:rPr>
        <w:fldChar w:fldCharType="begin"/>
      </w:r>
      <w:r>
        <w:instrText>xe "</w:instrText>
      </w:r>
      <w:r>
        <w:rPr>
          <w:rStyle w:val="xeentry"/>
        </w:rPr>
        <w:instrText>ionai</w:instrText>
      </w:r>
      <w:r>
        <w:instrText>"</w:instrText>
      </w:r>
      <w:r>
        <w:rPr>
          <w:rStyle w:val="indexentry"/>
        </w:rPr>
        <w:fldChar w:fldCharType="end"/>
      </w:r>
      <w:r>
        <w:rPr>
          <w:rStyle w:val="htmlcodes"/>
        </w:rPr>
        <w:t>&lt;pre&gt;&lt;a name=e2d17&gt;</w:t>
      </w:r>
      <w:r>
        <w:t>2.17)</w:t>
      </w:r>
      <w:r>
        <w:tab/>
        <w:t>la djan. .ionai klama</w:t>
      </w:r>
    </w:p>
    <w:p w:rsidR="00B72047" w:rsidRDefault="00B72047">
      <w:pPr>
        <w:pStyle w:val="examplescaled"/>
      </w:pPr>
      <w:r>
        <w:tab/>
        <w:t>John [disrespect!] is coming.</w:t>
      </w:r>
    </w:p>
    <w:p w:rsidR="00B72047" w:rsidRDefault="00B72047">
      <w:pPr>
        <w:pStyle w:val="resumedafterexample"/>
      </w:pPr>
      <w:r>
        <w:rPr>
          <w:rStyle w:val="htmlcodes"/>
        </w:rPr>
        <w:t>&lt;/pre&gt;&lt;a href=#e2d15&gt;</w:t>
      </w:r>
      <w:r>
        <w:t xml:space="preserve">Example 2.15 </w:t>
      </w:r>
      <w:r>
        <w:rPr>
          <w:rStyle w:val="htmlcodes"/>
        </w:rPr>
        <w:t>&lt;/a&gt;</w:t>
      </w:r>
      <w:r>
        <w:t>shows an attitude-colored observative; the attitudinal</w:t>
      </w:r>
      <w:r>
        <w:rPr>
          <w:rStyle w:val="deletedparamark"/>
        </w:rPr>
        <w:t xml:space="preserve"> </w:t>
      </w:r>
      <w:r>
        <w:t>modifies the situa</w:t>
      </w:r>
      <w:r>
        <w:softHyphen/>
        <w:t>tion described by the observative, namely the</w:t>
      </w:r>
      <w:r>
        <w:rPr>
          <w:rStyle w:val="deletedparamark"/>
        </w:rPr>
        <w:t xml:space="preserve"> </w:t>
      </w:r>
      <w:r>
        <w:t>mouse that is causing the emotion. Loj</w:t>
      </w:r>
      <w:r>
        <w:softHyphen/>
        <w:t>ban-speaking toddlers, if there</w:t>
      </w:r>
      <w:r>
        <w:rPr>
          <w:rStyle w:val="deletedparamark"/>
        </w:rPr>
        <w:t xml:space="preserve"> </w:t>
      </w:r>
      <w:r>
        <w:t xml:space="preserve">ever are any, will probably use sentences like </w:t>
      </w:r>
      <w:r>
        <w:rPr>
          <w:rStyle w:val="htmlcodes"/>
        </w:rPr>
        <w:t>&lt;a href=#e2d15&gt;</w:t>
      </w:r>
      <w:r>
        <w:t xml:space="preserve">Example 2.15 </w:t>
      </w:r>
      <w:r>
        <w:rPr>
          <w:rStyle w:val="htmlcodes"/>
        </w:rPr>
        <w:t>&lt;/a&gt;</w:t>
      </w:r>
      <w:r>
        <w:t>a lot.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comparison of meaning based on position"&gt;</w:t>
      </w:r>
      <w:r>
        <w:rPr>
          <w:rStyle w:val="indexentry"/>
        </w:rPr>
        <w:fldChar w:fldCharType="begin"/>
      </w:r>
      <w:r>
        <w:instrText>xe "</w:instrText>
      </w:r>
      <w:r>
        <w:rPr>
          <w:rStyle w:val="xeentry"/>
        </w:rPr>
        <w:instrText>attitudinals: comparison of meaning based on position</w:instrText>
      </w:r>
      <w:r>
        <w:instrText>"</w:instrText>
      </w:r>
      <w:r>
        <w:rPr>
          <w:rStyle w:val="indexentry"/>
        </w:rPr>
        <w:fldChar w:fldCharType="end"/>
      </w:r>
      <w:r>
        <w:rPr>
          <w:rStyle w:val="htmlcodes"/>
        </w:rPr>
        <w:t>&lt;a href=#e2d16&gt;</w:t>
      </w:r>
      <w:r>
        <w:t xml:space="preserve">Example 2.16 </w:t>
      </w:r>
      <w:r>
        <w:rPr>
          <w:rStyle w:val="htmlcodes"/>
        </w:rPr>
        <w:t>&lt;/a&gt;</w:t>
      </w:r>
      <w:r>
        <w:t xml:space="preserve">and </w:t>
      </w:r>
      <w:r>
        <w:rPr>
          <w:rStyle w:val="htmlcodes"/>
        </w:rPr>
        <w:t>&lt;a href=#e2d17&gt;</w:t>
      </w:r>
      <w:r>
        <w:t xml:space="preserve">Example 2.17 </w:t>
      </w:r>
      <w:r>
        <w:rPr>
          <w:rStyle w:val="htmlcodes"/>
        </w:rPr>
        <w:t>&lt;/a&gt;</w:t>
      </w:r>
      <w:r>
        <w:t>use attitudinals that follow “la djan.” rather</w:t>
      </w:r>
      <w:r>
        <w:rPr>
          <w:rStyle w:val="deletedparamark"/>
        </w:rPr>
        <w:t xml:space="preserve"> </w:t>
      </w:r>
      <w:r>
        <w:t>than being at the beginning of the sentence. This form means that the</w:t>
      </w:r>
      <w:r>
        <w:rPr>
          <w:rStyle w:val="deletedparamark"/>
        </w:rPr>
        <w:t xml:space="preserve"> </w:t>
      </w:r>
      <w:r>
        <w:t>attitude is at</w:t>
      </w:r>
      <w:r>
        <w:softHyphen/>
        <w:t>tached to John rather than the event of his coming; the</w:t>
      </w:r>
      <w:r>
        <w:rPr>
          <w:rStyle w:val="deletedparamark"/>
        </w:rPr>
        <w:t xml:space="preserve"> </w:t>
      </w:r>
      <w:r>
        <w:t>speaker loves or disrespects John specif</w:t>
      </w:r>
      <w:r>
        <w:t>i</w:t>
      </w:r>
      <w:r>
        <w:softHyphen/>
        <w:t>cally. Compare: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name=e2d18&gt;</w:t>
      </w:r>
      <w:r>
        <w:t>2.18)</w:t>
      </w:r>
      <w:r>
        <w:tab/>
        <w:t>la djan. klama .iu</w:t>
      </w:r>
    </w:p>
    <w:p w:rsidR="00B72047" w:rsidRDefault="00B72047">
      <w:pPr>
        <w:pStyle w:val="examplescaled"/>
      </w:pPr>
      <w:r>
        <w:tab/>
        <w:t>John is-coming [love!]</w:t>
      </w:r>
    </w:p>
    <w:p w:rsidR="00B72047" w:rsidRDefault="00B72047">
      <w:pPr>
        <w:pStyle w:val="resumedafterexample"/>
      </w:pPr>
      <w:r>
        <w:rPr>
          <w:rStyle w:val="htmlcodes"/>
        </w:rPr>
        <w:t>&lt;/pre&gt;</w:t>
      </w:r>
      <w:r>
        <w:t>where it is specifically the coming of John that inspires the feeling.</w:t>
      </w:r>
    </w:p>
    <w:p w:rsidR="00B72047" w:rsidRDefault="00B72047">
      <w:pPr>
        <w:rPr>
          <w:rStyle w:val="htmlparacode"/>
        </w:rPr>
      </w:pPr>
      <w:r>
        <w:rPr>
          <w:rStyle w:val="htmlparacode"/>
        </w:rPr>
        <w:t>&lt;p&gt;</w:t>
      </w:r>
    </w:p>
    <w:p w:rsidR="00B72047" w:rsidRDefault="00B72047">
      <w:pPr>
        <w:pStyle w:val="normalparagraph"/>
      </w:pPr>
      <w:r>
        <w:rPr>
          <w:rStyle w:val="htmlcodes"/>
        </w:rPr>
        <w:t>&lt;a href=#e2d17&gt;</w:t>
      </w:r>
      <w:r>
        <w:t xml:space="preserve">Example 2.17 </w:t>
      </w:r>
      <w:r>
        <w:rPr>
          <w:rStyle w:val="htmlcodes"/>
        </w:rPr>
        <w:t>&lt;/a&gt;</w:t>
      </w:r>
      <w:r>
        <w:t>is a compact way of swearing at John: you could translate</w:t>
      </w:r>
      <w:r>
        <w:rPr>
          <w:rStyle w:val="deletedparamark"/>
        </w:rPr>
        <w:t xml:space="preserve"> </w:t>
      </w:r>
      <w:r>
        <w:t>it as “That good-for-nothing John is coming.”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398" w:name="_Toc398970640"/>
      <w:r>
        <w:rPr>
          <w:rStyle w:val="Heading3Text"/>
        </w:rPr>
        <w:t>Propositional attitude indicators</w:t>
      </w:r>
      <w:bookmarkEnd w:id="39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propositional indicators"&gt;</w:t>
      </w:r>
      <w:r>
        <w:rPr>
          <w:rStyle w:val="indexentry"/>
        </w:rPr>
        <w:fldChar w:fldCharType="begin"/>
      </w:r>
      <w:r>
        <w:instrText>xe "</w:instrText>
      </w:r>
      <w:r>
        <w:rPr>
          <w:rStyle w:val="xeentry"/>
        </w:rPr>
        <w:instrText>attitudinals: propositional indicators</w:instrText>
      </w:r>
      <w:r>
        <w:instrText>"</w:instrText>
      </w:r>
      <w:r>
        <w:rPr>
          <w:rStyle w:val="indexentry"/>
        </w:rPr>
        <w:fldChar w:fldCharType="end"/>
      </w:r>
      <w:r>
        <w:rPr>
          <w:rStyle w:val="indexentry"/>
        </w:rPr>
        <w:t>&lt;cx "propositional, of attitudinals"&gt;</w:t>
      </w:r>
      <w:r>
        <w:rPr>
          <w:rStyle w:val="indexentry"/>
        </w:rPr>
        <w:fldChar w:fldCharType="begin"/>
      </w:r>
      <w:r>
        <w:instrText>xe "</w:instrText>
      </w:r>
      <w:r>
        <w:rPr>
          <w:rStyle w:val="xeentry"/>
        </w:rPr>
        <w:instrText>propositional: of attitudinals</w:instrText>
      </w:r>
      <w:r>
        <w:instrText>"</w:instrText>
      </w:r>
      <w:r>
        <w:rPr>
          <w:rStyle w:val="indexentry"/>
        </w:rPr>
        <w:fldChar w:fldCharType="end"/>
      </w:r>
      <w:r>
        <w:rPr>
          <w:rStyle w:val="indexentry"/>
        </w:rPr>
        <w:t>&lt;cx "internal world"&gt;</w:t>
      </w:r>
      <w:r>
        <w:rPr>
          <w:rStyle w:val="indexentry"/>
        </w:rPr>
        <w:fldChar w:fldCharType="begin"/>
      </w:r>
      <w:r>
        <w:instrText>xe "</w:instrText>
      </w:r>
      <w:r>
        <w:rPr>
          <w:rStyle w:val="xeentry"/>
        </w:rPr>
        <w:instrText>internal world</w:instrText>
      </w:r>
      <w:r>
        <w:instrText>"</w:instrText>
      </w:r>
      <w:r>
        <w:rPr>
          <w:rStyle w:val="indexentry"/>
        </w:rPr>
        <w:fldChar w:fldCharType="end"/>
      </w:r>
      <w:r>
        <w:rPr>
          <w:rStyle w:val="indexentry"/>
        </w:rPr>
        <w:t>&lt;cx "hypothetical world"&gt;</w:t>
      </w:r>
      <w:r>
        <w:rPr>
          <w:rStyle w:val="indexentry"/>
        </w:rPr>
        <w:fldChar w:fldCharType="begin"/>
      </w:r>
      <w:r>
        <w:instrText>xe "</w:instrText>
      </w:r>
      <w:r>
        <w:rPr>
          <w:rStyle w:val="xeentry"/>
        </w:rPr>
        <w:instrText>hypothetical world</w:instrText>
      </w:r>
      <w:r>
        <w:instrText>"</w:instrText>
      </w:r>
      <w:r>
        <w:rPr>
          <w:rStyle w:val="indexentry"/>
        </w:rPr>
        <w:fldChar w:fldCharType="end"/>
      </w:r>
      <w:r>
        <w:t xml:space="preserve">As mentioned at the beginning of </w:t>
      </w:r>
      <w:r>
        <w:rPr>
          <w:rStyle w:val="htmlcodes"/>
        </w:rPr>
        <w:t>&lt;a href=#s2&gt;</w:t>
      </w:r>
      <w:r>
        <w:t>Section 2</w:t>
      </w:r>
      <w:r>
        <w:rPr>
          <w:rStyle w:val="htmlcodes"/>
        </w:rPr>
        <w:t>&lt;/a&gt;</w:t>
      </w:r>
      <w:r>
        <w:t>, attitudinals may be divided</w:t>
      </w:r>
      <w:r>
        <w:rPr>
          <w:rStyle w:val="deletedparamark"/>
        </w:rPr>
        <w:t xml:space="preserve"> </w:t>
      </w:r>
      <w:r>
        <w:t>into two groups, the pure emotion indicators explained in that section,</w:t>
      </w:r>
      <w:r>
        <w:rPr>
          <w:rStyle w:val="deletedparamark"/>
        </w:rPr>
        <w:t xml:space="preserve"> </w:t>
      </w:r>
      <w:r>
        <w:t>and a contrasting group which may be called the “propositional attitude</w:t>
      </w:r>
      <w:r>
        <w:rPr>
          <w:rStyle w:val="deletedparamark"/>
        </w:rPr>
        <w:t xml:space="preserve"> </w:t>
      </w:r>
      <w:r>
        <w:t>indicators”. These indicators es</w:t>
      </w:r>
      <w:r>
        <w:softHyphen/>
        <w:t>tablish an inter</w:t>
      </w:r>
      <w:r>
        <w:softHyphen/>
        <w:t>nal, hypothetical world</w:t>
      </w:r>
      <w:r>
        <w:rPr>
          <w:rStyle w:val="deletedparamark"/>
        </w:rPr>
        <w:t xml:space="preserve"> </w:t>
      </w:r>
      <w:r>
        <w:t>which the speaker is reacting to, distinct from the world as it really is.</w:t>
      </w:r>
      <w:r>
        <w:rPr>
          <w:rStyle w:val="deletedparamark"/>
        </w:rPr>
        <w:t xml:space="preserve"> </w:t>
      </w:r>
      <w:r>
        <w:t>Thus we may be expressing our attitude to</w:t>
      </w:r>
      <w:r>
        <w:softHyphen/>
        <w:t>wards “what the world would be like</w:t>
      </w:r>
      <w:r>
        <w:rPr>
          <w:rStyle w:val="deletedparamark"/>
        </w:rPr>
        <w:t xml:space="preserve"> </w:t>
      </w:r>
      <w:r>
        <w:t>if </w:t>
      </w:r>
      <w:r>
        <w:rPr>
          <w:rStyle w:val="htmlcodes"/>
        </w:rPr>
        <w:t>&lt;dots&gt;</w:t>
      </w:r>
      <w:r>
        <w:t>…</w:t>
      </w:r>
      <w:r>
        <w:rPr>
          <w:rStyle w:val="htmlcodes"/>
        </w:rPr>
        <w:t>&lt;/dots&gt;</w:t>
      </w:r>
      <w:r>
        <w:t>”, or more directly stating our attitude towards making the potential</w:t>
      </w:r>
      <w:r>
        <w:rPr>
          <w:rStyle w:val="deletedparamark"/>
        </w:rPr>
        <w:t xml:space="preserve"> </w:t>
      </w:r>
      <w:r>
        <w:t>world a reality.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emotional contrasted with propositional"&gt;</w:t>
      </w:r>
      <w:r>
        <w:rPr>
          <w:rStyle w:val="indexentry"/>
        </w:rPr>
        <w:fldChar w:fldCharType="begin"/>
      </w:r>
      <w:r>
        <w:instrText>xe "</w:instrText>
      </w:r>
      <w:r>
        <w:rPr>
          <w:rStyle w:val="xeentry"/>
        </w:rPr>
        <w:instrText>attitudinals: emotional contrasted with propositional</w:instrText>
      </w:r>
      <w:r>
        <w:instrText>"</w:instrText>
      </w:r>
      <w:r>
        <w:rPr>
          <w:rStyle w:val="indexentry"/>
        </w:rPr>
        <w:fldChar w:fldCharType="end"/>
      </w:r>
      <w:r>
        <w:rPr>
          <w:rStyle w:val="indexentry"/>
        </w:rPr>
        <w:t>&lt;cx "attitudinals, propositional contrasted with emotional"&gt;</w:t>
      </w:r>
      <w:r>
        <w:rPr>
          <w:rStyle w:val="indexentry"/>
        </w:rPr>
        <w:fldChar w:fldCharType="begin"/>
      </w:r>
      <w:r>
        <w:instrText>xe "</w:instrText>
      </w:r>
      <w:r>
        <w:rPr>
          <w:rStyle w:val="xeentry"/>
        </w:rPr>
        <w:instrText>attitudinals: propositional contrasted with emotional</w:instrText>
      </w:r>
      <w:r>
        <w:instrText>"</w:instrText>
      </w:r>
      <w:r>
        <w:rPr>
          <w:rStyle w:val="indexentry"/>
        </w:rPr>
        <w:fldChar w:fldCharType="end"/>
      </w:r>
      <w:r>
        <w:rPr>
          <w:rStyle w:val="indexentry"/>
        </w:rPr>
        <w:t>&lt;cx "attitudinals, propositional effect on claim"&gt;</w:t>
      </w:r>
      <w:r>
        <w:rPr>
          <w:rStyle w:val="indexentry"/>
        </w:rPr>
        <w:fldChar w:fldCharType="begin"/>
      </w:r>
      <w:r>
        <w:instrText>xe "</w:instrText>
      </w:r>
      <w:r>
        <w:rPr>
          <w:rStyle w:val="xeentry"/>
        </w:rPr>
        <w:instrText>attitudinals: propositional effect on claim</w:instrText>
      </w:r>
      <w:r>
        <w:instrText>"</w:instrText>
      </w:r>
      <w:r>
        <w:rPr>
          <w:rStyle w:val="indexentry"/>
        </w:rPr>
        <w:fldChar w:fldCharType="end"/>
      </w:r>
      <w:r>
        <w:t>In general, the bridi paraphrases of pure emotions look (in English)</w:t>
      </w:r>
      <w:r>
        <w:rPr>
          <w:rStyle w:val="deletedparamark"/>
        </w:rPr>
        <w:t xml:space="preserve"> </w:t>
      </w:r>
      <w:r>
        <w:t>something like “I'm going to the market, and I'm happy about it”. The</w:t>
      </w:r>
      <w:r>
        <w:rPr>
          <w:rStyle w:val="deletedparamark"/>
        </w:rPr>
        <w:t xml:space="preserve"> </w:t>
      </w:r>
      <w:r>
        <w:t>emotion is present with the subject of the primary claim, but is logically</w:t>
      </w:r>
      <w:r>
        <w:rPr>
          <w:rStyle w:val="deletedparamark"/>
        </w:rPr>
        <w:t xml:space="preserve"> </w:t>
      </w:r>
      <w:r>
        <w:t>independent of it. Propositional attitudes, though, look more like “I</w:t>
      </w:r>
      <w:r>
        <w:rPr>
          <w:rStyle w:val="deletedparamark"/>
        </w:rPr>
        <w:t xml:space="preserve"> </w:t>
      </w:r>
      <w:r>
        <w:t>intend to go to the market”, where the main claim is logically subord</w:t>
      </w:r>
      <w:r>
        <w:t>i</w:t>
      </w:r>
      <w:r>
        <w:softHyphen/>
        <w:t>nate</w:t>
      </w:r>
      <w:r>
        <w:rPr>
          <w:rStyle w:val="deletedparamark"/>
        </w:rPr>
        <w:t xml:space="preserve"> </w:t>
      </w:r>
      <w:r>
        <w:t>to the intention: I am not claiming that I am actually going to the market,</w:t>
      </w:r>
      <w:r>
        <w:rPr>
          <w:rStyle w:val="deletedparamark"/>
        </w:rPr>
        <w:t xml:space="preserve"> </w:t>
      </w:r>
      <w:r>
        <w:t>but merely that I intend to.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a- series"&gt;</w:t>
      </w:r>
      <w:r>
        <w:rPr>
          <w:rStyle w:val="indexentry"/>
        </w:rPr>
        <w:fldChar w:fldCharType="begin"/>
      </w:r>
      <w:r>
        <w:instrText>xe "</w:instrText>
      </w:r>
      <w:r>
        <w:rPr>
          <w:rStyle w:val="xeentry"/>
        </w:rPr>
        <w:instrText>attitudinals: a- series</w:instrText>
      </w:r>
      <w:r>
        <w:instrText>"</w:instrText>
      </w:r>
      <w:r>
        <w:rPr>
          <w:rStyle w:val="indexentry"/>
        </w:rPr>
        <w:fldChar w:fldCharType="end"/>
      </w:r>
      <w:r>
        <w:rPr>
          <w:rStyle w:val="indexentry"/>
        </w:rPr>
        <w:t>&lt;cx "attitudinals, e- series"&gt;</w:t>
      </w:r>
      <w:r>
        <w:rPr>
          <w:rStyle w:val="indexentry"/>
        </w:rPr>
        <w:fldChar w:fldCharType="begin"/>
      </w:r>
      <w:r>
        <w:instrText>xe "</w:instrText>
      </w:r>
      <w:r>
        <w:rPr>
          <w:rStyle w:val="xeentry"/>
        </w:rPr>
        <w:instrText>attitudinals: e- series</w:instrText>
      </w:r>
      <w:r>
        <w:instrText>"</w:instrText>
      </w:r>
      <w:r>
        <w:rPr>
          <w:rStyle w:val="indexentry"/>
        </w:rPr>
        <w:fldChar w:fldCharType="end"/>
      </w:r>
      <w:r>
        <w:rPr>
          <w:rStyle w:val="indexentry"/>
        </w:rPr>
        <w:t>&lt;cx "attitudinals, i- series"&gt;</w:t>
      </w:r>
      <w:r>
        <w:rPr>
          <w:rStyle w:val="indexentry"/>
        </w:rPr>
        <w:fldChar w:fldCharType="begin"/>
      </w:r>
      <w:r>
        <w:instrText>xe "</w:instrText>
      </w:r>
      <w:r>
        <w:rPr>
          <w:rStyle w:val="xeentry"/>
        </w:rPr>
        <w:instrText>attitudinals: i- series</w:instrText>
      </w:r>
      <w:r>
        <w:instrText>"</w:instrText>
      </w:r>
      <w:r>
        <w:rPr>
          <w:rStyle w:val="indexentry"/>
        </w:rPr>
        <w:fldChar w:fldCharType="end"/>
      </w:r>
      <w:r>
        <w:t>There is no sharp distinction between attitudinals beginning with “a” and</w:t>
      </w:r>
      <w:r>
        <w:rPr>
          <w:rStyle w:val="deletedparamark"/>
        </w:rPr>
        <w:t xml:space="preserve"> </w:t>
      </w:r>
      <w:r>
        <w:t>those b</w:t>
      </w:r>
      <w:r>
        <w:t>e</w:t>
      </w:r>
      <w:r>
        <w:softHyphen/>
        <w:t>ginning with “e”; however, the original intent (not entirely</w:t>
      </w:r>
      <w:r>
        <w:rPr>
          <w:rStyle w:val="deletedparamark"/>
        </w:rPr>
        <w:t xml:space="preserve"> </w:t>
      </w:r>
      <w:r>
        <w:t>realized due to the need to cram too many attitudes into too little space)</w:t>
      </w:r>
      <w:r>
        <w:rPr>
          <w:rStyle w:val="deletedparamark"/>
        </w:rPr>
        <w:t xml:space="preserve"> </w:t>
      </w:r>
      <w:r>
        <w:t>was to make the members of the “a”-series the purer, more attitudinal</w:t>
      </w:r>
      <w:r>
        <w:rPr>
          <w:rStyle w:val="deletedparamark"/>
        </w:rPr>
        <w:t xml:space="preserve"> </w:t>
      </w:r>
      <w:r>
        <w:t>realizers of a potential world, while the members of the “e”-series were</w:t>
      </w:r>
      <w:r>
        <w:rPr>
          <w:rStyle w:val="deletedparamark"/>
        </w:rPr>
        <w:t xml:space="preserve"> </w:t>
      </w:r>
      <w:r>
        <w:t>more ambivalent or complex about the speaker's intention with regard to the</w:t>
      </w:r>
      <w:r>
        <w:rPr>
          <w:rStyle w:val="deletedparamark"/>
        </w:rPr>
        <w:t xml:space="preserve"> </w:t>
      </w:r>
      <w:r>
        <w:t>predication. The relationship between the “a”-series and the</w:t>
      </w:r>
      <w:r>
        <w:rPr>
          <w:rStyle w:val="deletedparamark"/>
        </w:rPr>
        <w:t xml:space="preserve"> “</w:t>
      </w:r>
      <w:r>
        <w:t>e”-series is similar to that between the “u”-series and the “o”-series,</w:t>
      </w:r>
      <w:r>
        <w:rPr>
          <w:rStyle w:val="deletedparamark"/>
        </w:rPr>
        <w:t xml:space="preserve"> </w:t>
      </w:r>
      <w:r>
        <w:t>respectively. A few propositional attitude ind</w:t>
      </w:r>
      <w:r>
        <w:t>i</w:t>
      </w:r>
      <w:r>
        <w:softHyphen/>
        <w:t>cators overflowed into the</w:t>
      </w:r>
      <w:r>
        <w:rPr>
          <w:rStyle w:val="deletedparamark"/>
        </w:rPr>
        <w:t xml:space="preserve"> “</w:t>
      </w:r>
      <w:r>
        <w:t>i”-series as well.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emotional/propositional caveat"&gt;</w:t>
      </w:r>
      <w:r>
        <w:rPr>
          <w:rStyle w:val="indexentry"/>
        </w:rPr>
        <w:fldChar w:fldCharType="begin"/>
      </w:r>
      <w:r>
        <w:instrText>xe "</w:instrText>
      </w:r>
      <w:r>
        <w:rPr>
          <w:rStyle w:val="xeentry"/>
        </w:rPr>
        <w:instrText>attitudinals: emotional/propositional caveat</w:instrText>
      </w:r>
      <w:r>
        <w:instrText>"</w:instrText>
      </w:r>
      <w:r>
        <w:rPr>
          <w:rStyle w:val="indexentry"/>
        </w:rPr>
        <w:fldChar w:fldCharType="end"/>
      </w:r>
      <w:r>
        <w:rPr>
          <w:rStyle w:val="indexentry"/>
        </w:rPr>
        <w:t>&lt;cx "attitudinals, propositional/emotional caveat"&gt;</w:t>
      </w:r>
      <w:r>
        <w:rPr>
          <w:rStyle w:val="indexentry"/>
        </w:rPr>
        <w:fldChar w:fldCharType="begin"/>
      </w:r>
      <w:r>
        <w:instrText>xe "</w:instrText>
      </w:r>
      <w:r>
        <w:rPr>
          <w:rStyle w:val="xeentry"/>
        </w:rPr>
        <w:instrText>attitudinals: propositional/emotional caveat</w:instrText>
      </w:r>
      <w:r>
        <w:instrText>"</w:instrText>
      </w:r>
      <w:r>
        <w:rPr>
          <w:rStyle w:val="indexentry"/>
        </w:rPr>
        <w:fldChar w:fldCharType="end"/>
      </w:r>
      <w:r>
        <w:rPr>
          <w:rStyle w:val="indexentry"/>
        </w:rPr>
        <w:t>&lt;cx "attitudinals, logical language and"&gt;</w:t>
      </w:r>
      <w:r>
        <w:rPr>
          <w:rStyle w:val="indexentry"/>
        </w:rPr>
        <w:fldChar w:fldCharType="begin"/>
      </w:r>
      <w:r>
        <w:instrText>xe "</w:instrText>
      </w:r>
      <w:r>
        <w:rPr>
          <w:rStyle w:val="xeentry"/>
        </w:rPr>
        <w:instrText>attitudinals: logical language and</w:instrText>
      </w:r>
      <w:r>
        <w:instrText>"</w:instrText>
      </w:r>
      <w:r>
        <w:rPr>
          <w:rStyle w:val="indexentry"/>
        </w:rPr>
        <w:fldChar w:fldCharType="end"/>
      </w:r>
      <w:r>
        <w:t>In fact, the entire distinction between pure emotions and propositional</w:t>
      </w:r>
      <w:r>
        <w:rPr>
          <w:rStyle w:val="deletedparamark"/>
        </w:rPr>
        <w:t xml:space="preserve"> </w:t>
      </w:r>
      <w:r>
        <w:t>attitudes is i</w:t>
      </w:r>
      <w:r>
        <w:t>t</w:t>
      </w:r>
      <w:r>
        <w:softHyphen/>
        <w:t>self a bit shaky: “.u'u” can be seen as a propositional</w:t>
      </w:r>
      <w:r>
        <w:rPr>
          <w:rStyle w:val="deletedparamark"/>
        </w:rPr>
        <w:t xml:space="preserve"> </w:t>
      </w:r>
      <w:r>
        <w:t>attitude indicator meaning “I regret that </w:t>
      </w:r>
      <w:r>
        <w:rPr>
          <w:rStyle w:val="htmlcodes"/>
        </w:rPr>
        <w:t>&lt;dots&gt;</w:t>
      </w:r>
      <w:r>
        <w:t>…</w:t>
      </w:r>
      <w:r>
        <w:rPr>
          <w:rStyle w:val="htmlcodes"/>
        </w:rPr>
        <w:t>&lt;/dots&gt;</w:t>
      </w:r>
      <w:r>
        <w:t>”, and “a'e” (discussed below)</w:t>
      </w:r>
      <w:r>
        <w:rPr>
          <w:rStyle w:val="deletedparamark"/>
        </w:rPr>
        <w:t xml:space="preserve"> </w:t>
      </w:r>
      <w:r>
        <w:t>can be seen as a pure emotion meaning “I'm awake/aware”. The division</w:t>
      </w:r>
      <w:r>
        <w:rPr>
          <w:rStyle w:val="deletedparamark"/>
        </w:rPr>
        <w:t xml:space="preserve"> </w:t>
      </w:r>
      <w:r>
        <w:t>of the attitudinals into pure-emotion and propositional-at</w:t>
      </w:r>
      <w:r>
        <w:softHyphen/>
        <w:t>titude classes</w:t>
      </w:r>
      <w:r>
        <w:rPr>
          <w:rStyle w:val="deletedparamark"/>
        </w:rPr>
        <w:t xml:space="preserve"> </w:t>
      </w:r>
      <w:r>
        <w:t>in this chapter is mostly by way of ex</w:t>
      </w:r>
      <w:r>
        <w:softHyphen/>
        <w:t>planation; it is not intended to</w:t>
      </w:r>
      <w:r>
        <w:rPr>
          <w:rStyle w:val="deletedparamark"/>
        </w:rPr>
        <w:t xml:space="preserve"> </w:t>
      </w:r>
      <w:r>
        <w:t>per</w:t>
      </w:r>
      <w:r>
        <w:softHyphen/>
        <w:t>mit firm rulings on specific points. Attitudinals are the part of</w:t>
      </w:r>
      <w:r>
        <w:rPr>
          <w:rStyle w:val="deletedparamark"/>
        </w:rPr>
        <w:t xml:space="preserve"> </w:t>
      </w:r>
      <w:r>
        <w:t>Lojban most distant from the “logical lan</w:t>
      </w:r>
      <w:r>
        <w:softHyphen/>
        <w:t>guage” aspect.</w:t>
      </w:r>
    </w:p>
    <w:p w:rsidR="00B72047" w:rsidRDefault="00B72047">
      <w:pPr>
        <w:pStyle w:val="normalparagraph"/>
        <w:rPr>
          <w:rStyle w:val="htmlparacode"/>
        </w:rPr>
      </w:pPr>
      <w:r>
        <w:rPr>
          <w:rStyle w:val="htmlparacode"/>
        </w:rPr>
        <w:t>&lt;p&gt;</w:t>
      </w:r>
    </w:p>
    <w:p w:rsidR="00B72047" w:rsidRDefault="00B72047">
      <w:pPr>
        <w:pStyle w:val="normalparagraph"/>
      </w:pPr>
      <w:r>
        <w:t>Here is the list of propositional attitude indicators grouped by initial</w:t>
      </w:r>
      <w:r>
        <w:rPr>
          <w:rStyle w:val="deletedparamark"/>
        </w:rPr>
        <w:t xml:space="preserve"> </w:t>
      </w:r>
      <w:r>
        <w:t>letter, starting with those beginning with “a”:</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 xml:space="preserve"> </w:t>
      </w:r>
      <w:r>
        <w:tab/>
        <w:t>.a'a</w:t>
      </w:r>
      <w:r>
        <w:tab/>
        <w:t>attentive</w:t>
      </w:r>
      <w:r>
        <w:tab/>
        <w:t>inattentive</w:t>
      </w:r>
      <w:r>
        <w:tab/>
        <w:t>avoiding</w:t>
      </w:r>
    </w:p>
    <w:p w:rsidR="00B72047" w:rsidRDefault="00B72047">
      <w:pPr>
        <w:pStyle w:val="exampwidetabs"/>
      </w:pPr>
      <w:r>
        <w:tab/>
        <w:t>.a'e</w:t>
      </w:r>
      <w:r>
        <w:tab/>
        <w:t>alertness</w:t>
      </w:r>
      <w:r>
        <w:tab/>
      </w:r>
      <w:r>
        <w:tab/>
        <w:t>exhaustion</w:t>
      </w:r>
    </w:p>
    <w:p w:rsidR="00B72047" w:rsidRDefault="00B72047">
      <w:pPr>
        <w:pStyle w:val="exampwidetabs"/>
      </w:pPr>
      <w:r>
        <w:tab/>
        <w:t>.ai</w:t>
      </w:r>
      <w:r>
        <w:tab/>
        <w:t>intent</w:t>
      </w:r>
      <w:r>
        <w:tab/>
        <w:t>indecision</w:t>
      </w:r>
      <w:r>
        <w:tab/>
        <w:t>refusal</w:t>
      </w:r>
    </w:p>
    <w:p w:rsidR="00B72047" w:rsidRDefault="00B72047">
      <w:pPr>
        <w:pStyle w:val="exampwidetabs"/>
      </w:pPr>
      <w:r>
        <w:tab/>
        <w:t>.a'i</w:t>
      </w:r>
      <w:r>
        <w:tab/>
        <w:t>effort</w:t>
      </w:r>
      <w:r>
        <w:tab/>
        <w:t>no real effort</w:t>
      </w:r>
      <w:r>
        <w:tab/>
        <w:t>repose</w:t>
      </w:r>
    </w:p>
    <w:p w:rsidR="00B72047" w:rsidRDefault="00B72047">
      <w:pPr>
        <w:pStyle w:val="exampwidetabs"/>
      </w:pPr>
      <w:r>
        <w:tab/>
        <w:t>.a'o</w:t>
      </w:r>
      <w:r>
        <w:tab/>
        <w:t>hope</w:t>
      </w:r>
      <w:r>
        <w:tab/>
      </w:r>
      <w:r>
        <w:tab/>
        <w:t>despair</w:t>
      </w:r>
    </w:p>
    <w:p w:rsidR="00B72047" w:rsidRDefault="00B72047">
      <w:pPr>
        <w:pStyle w:val="exampwidetabs"/>
      </w:pPr>
      <w:r>
        <w:tab/>
        <w:t>.au</w:t>
      </w:r>
      <w:r>
        <w:tab/>
        <w:t>desire</w:t>
      </w:r>
      <w:r>
        <w:tab/>
        <w:t>indifference</w:t>
      </w:r>
      <w:r>
        <w:tab/>
        <w:t>reluctance</w:t>
      </w:r>
    </w:p>
    <w:p w:rsidR="00B72047" w:rsidRDefault="00B72047">
      <w:pPr>
        <w:pStyle w:val="exampwidetabs"/>
      </w:pPr>
      <w:r>
        <w:tab/>
        <w:t>.a'u</w:t>
      </w:r>
      <w:r>
        <w:tab/>
        <w:t>interest</w:t>
      </w:r>
      <w:r>
        <w:tab/>
        <w:t>no interest</w:t>
      </w:r>
      <w:r>
        <w:tab/>
        <w:t>repulsion</w:t>
      </w:r>
    </w:p>
    <w:p w:rsidR="00B72047" w:rsidRDefault="00B72047">
      <w:pPr>
        <w:pStyle w:val="resumedafterexample"/>
      </w:pPr>
      <w:r>
        <w:rPr>
          <w:rStyle w:val="htmlcodes"/>
        </w:rPr>
        <w:t>&lt;/pre&gt;&lt;p&gt;</w:t>
      </w:r>
      <w:r>
        <w:t>Some examples (of a parental kind):</w:t>
      </w:r>
    </w:p>
    <w:p w:rsidR="00B72047" w:rsidRDefault="00B72047">
      <w:pPr>
        <w:rPr>
          <w:rStyle w:val="htmlparacode"/>
        </w:rPr>
      </w:pPr>
      <w:r>
        <w:rPr>
          <w:rStyle w:val="htmlparacode"/>
        </w:rPr>
        <w:t>&lt;p&gt;</w:t>
      </w:r>
    </w:p>
    <w:p w:rsidR="00B72047" w:rsidRDefault="00B72047">
      <w:pPr>
        <w:pStyle w:val="examplescaledpre"/>
      </w:pPr>
      <w:r>
        <w:rPr>
          <w:rStyle w:val="indexentry"/>
        </w:rPr>
        <w:t>&lt;lx ".a'a"&gt;</w:t>
      </w:r>
      <w:r>
        <w:rPr>
          <w:rStyle w:val="indexentry"/>
        </w:rPr>
        <w:fldChar w:fldCharType="begin"/>
      </w:r>
      <w:r>
        <w:instrText>xe "</w:instrText>
      </w:r>
      <w:r>
        <w:rPr>
          <w:rStyle w:val="xeentry"/>
        </w:rPr>
        <w:instrText>a'a</w:instrText>
      </w:r>
      <w:r>
        <w:instrText>"</w:instrText>
      </w:r>
      <w:r>
        <w:rPr>
          <w:rStyle w:val="indexentry"/>
        </w:rPr>
        <w:fldChar w:fldCharType="end"/>
      </w:r>
      <w:r>
        <w:rPr>
          <w:rStyle w:val="htmlcodes"/>
        </w:rPr>
        <w:t>&lt;pre&gt;&lt;a name=e3d1&gt;</w:t>
      </w:r>
      <w:r>
        <w:t>3.1)</w:t>
      </w:r>
      <w:r>
        <w:tab/>
        <w:t>.a'a do zgana le veltivni</w:t>
      </w:r>
    </w:p>
    <w:p w:rsidR="00B72047" w:rsidRDefault="00B72047">
      <w:pPr>
        <w:pStyle w:val="examplescaled"/>
      </w:pPr>
      <w:r>
        <w:tab/>
        <w:t>[attentive] you observe the television-receiver.</w:t>
      </w:r>
    </w:p>
    <w:p w:rsidR="00B72047" w:rsidRDefault="00B72047">
      <w:pPr>
        <w:pStyle w:val="examplescaled"/>
      </w:pPr>
      <w:r>
        <w:tab/>
        <w:t>I'm noticing that you are watching the TV.</w:t>
      </w:r>
    </w:p>
    <w:p w:rsidR="00B72047" w:rsidRDefault="00B72047">
      <w:pPr>
        <w:pStyle w:val="examplescaledpre"/>
      </w:pPr>
      <w:r>
        <w:rPr>
          <w:rStyle w:val="htmlcodes"/>
        </w:rPr>
        <w:t>&lt;/pre&gt;</w:t>
      </w:r>
      <w:r>
        <w:rPr>
          <w:rStyle w:val="indexentry"/>
        </w:rPr>
        <w:t>&lt;lx ".a'enai"&gt;</w:t>
      </w:r>
      <w:r>
        <w:rPr>
          <w:rStyle w:val="indexentry"/>
        </w:rPr>
        <w:fldChar w:fldCharType="begin"/>
      </w:r>
      <w:r>
        <w:instrText>xe "</w:instrText>
      </w:r>
      <w:r>
        <w:rPr>
          <w:rStyle w:val="xeentry"/>
        </w:rPr>
        <w:instrText>a'enai</w:instrText>
      </w:r>
      <w:r>
        <w:instrText>"</w:instrText>
      </w:r>
      <w:r>
        <w:rPr>
          <w:rStyle w:val="indexentry"/>
        </w:rPr>
        <w:fldChar w:fldCharType="end"/>
      </w:r>
      <w:r>
        <w:rPr>
          <w:rStyle w:val="htmlcodes"/>
        </w:rPr>
        <w:t>&lt;pre&gt;&lt;a name=e3d2&gt;</w:t>
      </w:r>
      <w:r>
        <w:t>3.2)</w:t>
      </w:r>
      <w:r>
        <w:tab/>
        <w:t>.a'enai do ranji bacru</w:t>
      </w:r>
    </w:p>
    <w:p w:rsidR="00B72047" w:rsidRDefault="00B72047">
      <w:pPr>
        <w:pStyle w:val="examplescaled"/>
      </w:pPr>
      <w:r>
        <w:tab/>
        <w:t>[exhaustion] you continuously utter.</w:t>
      </w:r>
    </w:p>
    <w:p w:rsidR="00B72047" w:rsidRDefault="00B72047">
      <w:pPr>
        <w:pStyle w:val="examplescaled"/>
      </w:pPr>
      <w:r>
        <w:tab/>
        <w:t>I'm worn out by your continuous talking.</w:t>
      </w:r>
    </w:p>
    <w:p w:rsidR="00B72047" w:rsidRDefault="00B72047">
      <w:pPr>
        <w:pStyle w:val="examplescaledpre"/>
      </w:pPr>
      <w:r>
        <w:rPr>
          <w:rStyle w:val="htmlcodes"/>
        </w:rPr>
        <w:t>&lt;/pre&gt;</w:t>
      </w:r>
      <w:r>
        <w:rPr>
          <w:rStyle w:val="indexentry"/>
        </w:rPr>
        <w:t>&lt;lx ".ai"&gt;</w:t>
      </w:r>
      <w:r>
        <w:rPr>
          <w:rStyle w:val="indexentry"/>
        </w:rPr>
        <w:fldChar w:fldCharType="begin"/>
      </w:r>
      <w:r>
        <w:instrText>xe "</w:instrText>
      </w:r>
      <w:r>
        <w:rPr>
          <w:rStyle w:val="xeentry"/>
        </w:rPr>
        <w:instrText>ai</w:instrText>
      </w:r>
      <w:r>
        <w:instrText>"</w:instrText>
      </w:r>
      <w:r>
        <w:rPr>
          <w:rStyle w:val="indexentry"/>
        </w:rPr>
        <w:fldChar w:fldCharType="end"/>
      </w:r>
      <w:r>
        <w:rPr>
          <w:rStyle w:val="htmlcodes"/>
        </w:rPr>
        <w:t>&lt;pre&gt;&lt;a name=e3d3&gt;</w:t>
      </w:r>
      <w:r>
        <w:t>3.3)</w:t>
      </w:r>
      <w:r>
        <w:tab/>
        <w:t>.ai mi benji do le ckana</w:t>
      </w:r>
    </w:p>
    <w:p w:rsidR="00B72047" w:rsidRDefault="00B72047">
      <w:pPr>
        <w:pStyle w:val="examplescaled"/>
      </w:pPr>
      <w:r>
        <w:tab/>
        <w:t>[intent] I transfer you to-the bed.</w:t>
      </w:r>
    </w:p>
    <w:p w:rsidR="00B72047" w:rsidRDefault="00B72047">
      <w:pPr>
        <w:pStyle w:val="examplescaled"/>
      </w:pPr>
      <w:r>
        <w:tab/>
        <w:t>I'm putting you to bed.</w:t>
      </w:r>
    </w:p>
    <w:p w:rsidR="00B72047" w:rsidRDefault="00B72047">
      <w:pPr>
        <w:pStyle w:val="examplescaledpre"/>
      </w:pPr>
      <w:r>
        <w:rPr>
          <w:rStyle w:val="htmlcodes"/>
        </w:rPr>
        <w:t>&lt;/pre&gt;</w:t>
      </w:r>
      <w:r>
        <w:rPr>
          <w:rStyle w:val="indexentry"/>
        </w:rPr>
        <w:t>&lt;lx ".a'i"&gt;</w:t>
      </w:r>
      <w:r>
        <w:rPr>
          <w:rStyle w:val="indexentry"/>
        </w:rPr>
        <w:fldChar w:fldCharType="begin"/>
      </w:r>
      <w:r>
        <w:instrText>xe "</w:instrText>
      </w:r>
      <w:r>
        <w:rPr>
          <w:rStyle w:val="xeentry"/>
        </w:rPr>
        <w:instrText>a'i</w:instrText>
      </w:r>
      <w:r>
        <w:instrText>"</w:instrText>
      </w:r>
      <w:r>
        <w:rPr>
          <w:rStyle w:val="indexentry"/>
        </w:rPr>
        <w:fldChar w:fldCharType="end"/>
      </w:r>
      <w:r>
        <w:rPr>
          <w:rStyle w:val="htmlcodes"/>
        </w:rPr>
        <w:t>&lt;pre&gt;&lt;a name=e3d4&gt;</w:t>
      </w:r>
      <w:r>
        <w:t>3.4)</w:t>
      </w:r>
      <w:r>
        <w:tab/>
        <w:t>.a'i mi ba gasnu le nu do cikna binxo</w:t>
      </w:r>
    </w:p>
    <w:p w:rsidR="00B72047" w:rsidRDefault="00B72047">
      <w:pPr>
        <w:pStyle w:val="examplescaled"/>
      </w:pPr>
      <w:r>
        <w:tab/>
        <w:t>[effort] I [future] am-the-actor-in the event-of you awake-ly become.</w:t>
      </w:r>
    </w:p>
    <w:p w:rsidR="00B72047" w:rsidRDefault="00B72047">
      <w:pPr>
        <w:pStyle w:val="examplescaled"/>
      </w:pPr>
      <w:r>
        <w:tab/>
        <w:t>It'll be hard for me to wake you up.</w:t>
      </w:r>
    </w:p>
    <w:p w:rsidR="00B72047" w:rsidRDefault="00B72047">
      <w:pPr>
        <w:pStyle w:val="examplescaledpre"/>
      </w:pPr>
      <w:r>
        <w:rPr>
          <w:rStyle w:val="htmlcodes"/>
        </w:rPr>
        <w:t>&lt;/pre&gt;</w:t>
      </w:r>
      <w:r>
        <w:rPr>
          <w:rStyle w:val="indexentry"/>
        </w:rPr>
        <w:t>&lt;lx ".a'o"&gt;</w:t>
      </w:r>
      <w:r>
        <w:rPr>
          <w:rStyle w:val="indexentry"/>
        </w:rPr>
        <w:fldChar w:fldCharType="begin"/>
      </w:r>
      <w:r>
        <w:instrText>xe "</w:instrText>
      </w:r>
      <w:r>
        <w:rPr>
          <w:rStyle w:val="xeentry"/>
        </w:rPr>
        <w:instrText>a'o</w:instrText>
      </w:r>
      <w:r>
        <w:instrText>"</w:instrText>
      </w:r>
      <w:r>
        <w:rPr>
          <w:rStyle w:val="indexentry"/>
        </w:rPr>
        <w:fldChar w:fldCharType="end"/>
      </w:r>
      <w:r>
        <w:rPr>
          <w:rStyle w:val="htmlcodes"/>
        </w:rPr>
        <w:t>&lt;pre&gt;&lt;a name=e3d5&gt;</w:t>
      </w:r>
      <w:r>
        <w:t>3.5)</w:t>
      </w:r>
      <w:r>
        <w:tab/>
        <w:t>.a'o mi kanryze'a ca le bavlamdei</w:t>
      </w:r>
    </w:p>
    <w:p w:rsidR="00B72047" w:rsidRDefault="00B72047">
      <w:pPr>
        <w:pStyle w:val="examplescaled"/>
      </w:pPr>
      <w:r>
        <w:tab/>
        <w:t>[hope] I am-health-increased at-time the future-adjacent-day.</w:t>
      </w:r>
    </w:p>
    <w:p w:rsidR="00B72047" w:rsidRDefault="00B72047">
      <w:pPr>
        <w:pStyle w:val="examplescaled"/>
      </w:pPr>
      <w:r>
        <w:tab/>
        <w:t>I hope I feel better tomorrow!</w:t>
      </w:r>
    </w:p>
    <w:p w:rsidR="00B72047" w:rsidRDefault="00B72047">
      <w:pPr>
        <w:pStyle w:val="examplescaledpre"/>
      </w:pPr>
      <w:r>
        <w:rPr>
          <w:rStyle w:val="htmlcodes"/>
        </w:rPr>
        <w:t>&lt;/pre&gt;</w:t>
      </w:r>
      <w:r>
        <w:rPr>
          <w:rStyle w:val="indexentry"/>
        </w:rPr>
        <w:t>&lt;lx ".au"&gt;</w:t>
      </w:r>
      <w:r>
        <w:rPr>
          <w:rStyle w:val="indexentry"/>
        </w:rPr>
        <w:fldChar w:fldCharType="begin"/>
      </w:r>
      <w:r>
        <w:instrText>xe "</w:instrText>
      </w:r>
      <w:r>
        <w:rPr>
          <w:rStyle w:val="xeentry"/>
        </w:rPr>
        <w:instrText>au</w:instrText>
      </w:r>
      <w:r>
        <w:instrText>"</w:instrText>
      </w:r>
      <w:r>
        <w:rPr>
          <w:rStyle w:val="indexentry"/>
        </w:rPr>
        <w:fldChar w:fldCharType="end"/>
      </w:r>
      <w:r>
        <w:rPr>
          <w:rStyle w:val="htmlcodes"/>
        </w:rPr>
        <w:t>&lt;pre&gt;&lt;a name=e3d6&gt;</w:t>
      </w:r>
      <w:r>
        <w:t>3.6)</w:t>
      </w:r>
      <w:r>
        <w:tab/>
        <w:t>.au mi sipna</w:t>
      </w:r>
    </w:p>
    <w:p w:rsidR="00B72047" w:rsidRDefault="00B72047">
      <w:pPr>
        <w:pStyle w:val="examplescaled"/>
      </w:pPr>
      <w:r>
        <w:tab/>
        <w:t>[desire] I sleep.</w:t>
      </w:r>
    </w:p>
    <w:p w:rsidR="00B72047" w:rsidRDefault="00B72047">
      <w:pPr>
        <w:pStyle w:val="examplescaled"/>
      </w:pPr>
      <w:r>
        <w:tab/>
        <w:t>I want to sleep.</w:t>
      </w:r>
    </w:p>
    <w:p w:rsidR="00B72047" w:rsidRDefault="00B72047">
      <w:pPr>
        <w:pStyle w:val="examplescaledpre"/>
      </w:pPr>
      <w:r>
        <w:rPr>
          <w:rStyle w:val="htmlcodes"/>
        </w:rPr>
        <w:t>&lt;/pre&gt;</w:t>
      </w:r>
      <w:r>
        <w:rPr>
          <w:rStyle w:val="indexentry"/>
        </w:rPr>
        <w:t>&lt;lx ".a'ucu'i"&gt;</w:t>
      </w:r>
      <w:r>
        <w:rPr>
          <w:rStyle w:val="indexentry"/>
        </w:rPr>
        <w:fldChar w:fldCharType="begin"/>
      </w:r>
      <w:r>
        <w:instrText>xe "</w:instrText>
      </w:r>
      <w:r>
        <w:rPr>
          <w:rStyle w:val="xeentry"/>
        </w:rPr>
        <w:instrText>a'ucu'i</w:instrText>
      </w:r>
      <w:r>
        <w:instrText>"</w:instrText>
      </w:r>
      <w:r>
        <w:rPr>
          <w:rStyle w:val="indexentry"/>
        </w:rPr>
        <w:fldChar w:fldCharType="end"/>
      </w:r>
      <w:r>
        <w:rPr>
          <w:rStyle w:val="htmlcodes"/>
        </w:rPr>
        <w:t>&lt;pre&gt;&lt;a name=e3d7&gt;</w:t>
      </w:r>
      <w:r>
        <w:t>3.7)</w:t>
      </w:r>
      <w:r>
        <w:tab/>
        <w:t>a'ucu'i do pante</w:t>
      </w:r>
    </w:p>
    <w:p w:rsidR="00B72047" w:rsidRDefault="00B72047">
      <w:pPr>
        <w:pStyle w:val="examplescaled"/>
      </w:pPr>
      <w:r>
        <w:tab/>
        <w:t>[no interest] you complain</w:t>
      </w:r>
    </w:p>
    <w:p w:rsidR="00B72047" w:rsidRDefault="00B72047">
      <w:pPr>
        <w:pStyle w:val="examplescaled"/>
      </w:pPr>
      <w:r>
        <w:tab/>
        <w:t>I have no interest in your complaints.</w:t>
      </w:r>
    </w:p>
    <w:p w:rsidR="00B72047" w:rsidRDefault="00B72047">
      <w:pPr>
        <w:pStyle w:val="resumedafterexample"/>
      </w:pPr>
      <w:r>
        <w:rPr>
          <w:rStyle w:val="htmlcodes"/>
        </w:rPr>
        <w:t>&lt;/pre&gt;</w:t>
      </w:r>
      <w:r>
        <w:t>(In a real-life situation, Examples 3.1-3.7 would also be decorated by</w:t>
      </w:r>
      <w:r>
        <w:rPr>
          <w:rStyle w:val="deletedparamark"/>
        </w:rPr>
        <w:t xml:space="preserve"> </w:t>
      </w:r>
      <w:r>
        <w:t>various pure em</w:t>
      </w:r>
      <w:r>
        <w:t>o</w:t>
      </w:r>
      <w:r>
        <w:softHyphen/>
        <w:t>tion indicators, certainly including “.oicai”, but probably</w:t>
      </w:r>
      <w:r>
        <w:rPr>
          <w:rStyle w:val="deletedparamark"/>
        </w:rPr>
        <w:t xml:space="preserve"> </w:t>
      </w:r>
      <w:r>
        <w:t>also “.iucai”.)</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contrasted with bridi"&gt;</w:t>
      </w:r>
      <w:r>
        <w:rPr>
          <w:rStyle w:val="indexentry"/>
        </w:rPr>
        <w:fldChar w:fldCharType="begin"/>
      </w:r>
      <w:r>
        <w:instrText>xe "</w:instrText>
      </w:r>
      <w:r>
        <w:rPr>
          <w:rStyle w:val="xeentry"/>
        </w:rPr>
        <w:instrText>attitudinals: contrasted with bridi</w:instrText>
      </w:r>
      <w:r>
        <w:instrText>"</w:instrText>
      </w:r>
      <w:r>
        <w:rPr>
          <w:rStyle w:val="indexentry"/>
        </w:rPr>
        <w:fldChar w:fldCharType="end"/>
      </w:r>
      <w:r>
        <w:rPr>
          <w:rStyle w:val="indexentry"/>
        </w:rPr>
        <w:t>&lt;cx "attitudinals, rationale for"&gt;</w:t>
      </w:r>
      <w:r>
        <w:rPr>
          <w:rStyle w:val="indexentry"/>
        </w:rPr>
        <w:fldChar w:fldCharType="begin"/>
      </w:r>
      <w:r>
        <w:instrText>xe "</w:instrText>
      </w:r>
      <w:r>
        <w:rPr>
          <w:rStyle w:val="xeentry"/>
        </w:rPr>
        <w:instrText>attitudinals: rationale for</w:instrText>
      </w:r>
      <w:r>
        <w:instrText>"</w:instrText>
      </w:r>
      <w:r>
        <w:rPr>
          <w:rStyle w:val="indexentry"/>
        </w:rPr>
        <w:fldChar w:fldCharType="end"/>
      </w:r>
      <w:r>
        <w:t>Splitting off the attitude into an indicator allows the regular bridi</w:t>
      </w:r>
      <w:r>
        <w:rPr>
          <w:rStyle w:val="deletedparamark"/>
        </w:rPr>
        <w:t xml:space="preserve"> </w:t>
      </w:r>
      <w:r>
        <w:t>grammar to do what it does best: express the relationships be</w:t>
      </w:r>
      <w:r>
        <w:softHyphen/>
        <w:t>tween</w:t>
      </w:r>
      <w:r>
        <w:rPr>
          <w:rStyle w:val="deletedparamark"/>
        </w:rPr>
        <w:t xml:space="preserve"> </w:t>
      </w:r>
      <w:r>
        <w:t>concepts that are intended, de</w:t>
      </w:r>
      <w:r>
        <w:softHyphen/>
        <w:t>sired, hoped for, or whatever. Rephrasing</w:t>
      </w:r>
      <w:r>
        <w:rPr>
          <w:rStyle w:val="deletedparamark"/>
        </w:rPr>
        <w:t xml:space="preserve"> </w:t>
      </w:r>
      <w:r>
        <w:t>these examples to express the attitude as the main selbri would make for</w:t>
      </w:r>
      <w:r>
        <w:rPr>
          <w:rStyle w:val="deletedparamark"/>
        </w:rPr>
        <w:t xml:space="preserve"> </w:t>
      </w:r>
      <w:r>
        <w:t>unacceptably heavyweight grammar.</w:t>
      </w:r>
    </w:p>
    <w:p w:rsidR="00B72047" w:rsidRDefault="00B72047">
      <w:pPr>
        <w:pStyle w:val="normalparagraph"/>
        <w:rPr>
          <w:rStyle w:val="htmlparacode"/>
        </w:rPr>
      </w:pPr>
      <w:r>
        <w:rPr>
          <w:rStyle w:val="htmlparacode"/>
        </w:rPr>
        <w:t>&lt;p&gt;</w:t>
      </w:r>
    </w:p>
    <w:p w:rsidR="00B72047" w:rsidRDefault="00B72047">
      <w:pPr>
        <w:pStyle w:val="normalparagraph"/>
      </w:pPr>
      <w:r>
        <w:t>Here are the propositional attitude indicators beginning with “e”, which</w:t>
      </w:r>
      <w:r>
        <w:rPr>
          <w:rStyle w:val="deletedparamark"/>
        </w:rPr>
        <w:t xml:space="preserve"> </w:t>
      </w:r>
      <w:r>
        <w:t>stand roughly in the relation to those beginning with “a” as the pure-emotion</w:t>
      </w:r>
      <w:r>
        <w:rPr>
          <w:rStyle w:val="deletedparamark"/>
        </w:rPr>
        <w:t xml:space="preserve"> </w:t>
      </w:r>
      <w:r>
        <w:t>indicators be</w:t>
      </w:r>
      <w:r>
        <w:softHyphen/>
        <w:t>gin</w:t>
      </w:r>
      <w:r>
        <w:softHyphen/>
        <w:t>ning with “o” do to those beginning with “u” — they are</w:t>
      </w:r>
      <w:r>
        <w:rPr>
          <w:rStyle w:val="deletedparamark"/>
        </w:rPr>
        <w:t xml:space="preserve"> </w:t>
      </w:r>
      <w:r>
        <w:t>more complex or difficult:</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 xml:space="preserve"> </w:t>
      </w:r>
      <w:r>
        <w:tab/>
        <w:t>.e'a</w:t>
      </w:r>
      <w:r>
        <w:tab/>
        <w:t>permission</w:t>
      </w:r>
      <w:r>
        <w:tab/>
      </w:r>
      <w:r>
        <w:tab/>
        <w:t>prohibition</w:t>
      </w:r>
    </w:p>
    <w:p w:rsidR="00B72047" w:rsidRDefault="00B72047">
      <w:pPr>
        <w:pStyle w:val="exampwidetabs"/>
      </w:pPr>
      <w:r>
        <w:tab/>
        <w:t>.e'e</w:t>
      </w:r>
      <w:r>
        <w:tab/>
        <w:t>competence</w:t>
      </w:r>
      <w:r>
        <w:tab/>
      </w:r>
      <w:r>
        <w:tab/>
        <w:t>incompetence</w:t>
      </w:r>
    </w:p>
    <w:p w:rsidR="00B72047" w:rsidRDefault="00B72047">
      <w:pPr>
        <w:pStyle w:val="exampwidetabs"/>
      </w:pPr>
      <w:r>
        <w:tab/>
        <w:t>.ei</w:t>
      </w:r>
      <w:r>
        <w:tab/>
        <w:t>obligation</w:t>
      </w:r>
      <w:r>
        <w:tab/>
      </w:r>
      <w:r>
        <w:tab/>
        <w:t>freedom</w:t>
      </w:r>
    </w:p>
    <w:p w:rsidR="00B72047" w:rsidRDefault="00B72047">
      <w:pPr>
        <w:pStyle w:val="exampwidetabs"/>
      </w:pPr>
      <w:r>
        <w:tab/>
        <w:t>.e'i</w:t>
      </w:r>
      <w:r>
        <w:tab/>
        <w:t>constraint</w:t>
      </w:r>
      <w:r>
        <w:tab/>
        <w:t>independence</w:t>
      </w:r>
      <w:r>
        <w:tab/>
        <w:t>resistance to constraint</w:t>
      </w:r>
    </w:p>
    <w:p w:rsidR="00B72047" w:rsidRDefault="00B72047">
      <w:pPr>
        <w:pStyle w:val="exampwidetabs"/>
      </w:pPr>
      <w:r>
        <w:tab/>
        <w:t>.e'o</w:t>
      </w:r>
      <w:r>
        <w:tab/>
        <w:t>request</w:t>
      </w:r>
      <w:r>
        <w:tab/>
      </w:r>
      <w:r>
        <w:tab/>
        <w:t>negative request</w:t>
      </w:r>
    </w:p>
    <w:p w:rsidR="00B72047" w:rsidRDefault="00B72047">
      <w:pPr>
        <w:pStyle w:val="exampwidetabs"/>
      </w:pPr>
      <w:r>
        <w:tab/>
        <w:t>.e'u</w:t>
      </w:r>
      <w:r>
        <w:tab/>
        <w:t>suggestion</w:t>
      </w:r>
      <w:r>
        <w:tab/>
        <w:t>no suggestion</w:t>
      </w:r>
      <w:r>
        <w:tab/>
        <w:t>warning</w:t>
      </w:r>
    </w:p>
    <w:p w:rsidR="00B72047" w:rsidRDefault="00B72047">
      <w:pPr>
        <w:pStyle w:val="resumedafterexample"/>
      </w:pPr>
      <w:r>
        <w:rPr>
          <w:rStyle w:val="htmlcodes"/>
        </w:rPr>
        <w:t>&lt;/pre&gt;</w:t>
      </w:r>
      <w:r>
        <w:rPr>
          <w:rStyle w:val="indexentry"/>
        </w:rPr>
        <w:t>&lt;ex "after sleep"&gt;</w:t>
      </w:r>
      <w:r>
        <w:rPr>
          <w:rStyle w:val="indexentry"/>
        </w:rPr>
        <w:fldChar w:fldCharType="begin"/>
      </w:r>
      <w:r>
        <w:instrText>xe "</w:instrText>
      </w:r>
      <w:r>
        <w:rPr>
          <w:rStyle w:val="xeentry"/>
        </w:rPr>
        <w:instrText>after sleep: example</w:instrText>
      </w:r>
      <w:r>
        <w:instrText>"</w:instrText>
      </w:r>
      <w:r>
        <w:rPr>
          <w:rStyle w:val="indexentry"/>
        </w:rPr>
        <w:fldChar w:fldCharType="end"/>
      </w:r>
      <w:r>
        <w:t>More examples (after a good night's sleep):</w:t>
      </w:r>
    </w:p>
    <w:p w:rsidR="00B72047" w:rsidRDefault="00B72047">
      <w:pPr>
        <w:rPr>
          <w:rStyle w:val="htmlparacode"/>
        </w:rPr>
      </w:pPr>
      <w:r>
        <w:rPr>
          <w:rStyle w:val="htmlparacode"/>
        </w:rPr>
        <w:t>&lt;p&gt;</w:t>
      </w:r>
    </w:p>
    <w:p w:rsidR="00B72047" w:rsidRDefault="00B72047">
      <w:pPr>
        <w:pStyle w:val="examplescaledpre"/>
      </w:pPr>
      <w:r>
        <w:rPr>
          <w:rStyle w:val="indexentry"/>
        </w:rPr>
        <w:t>&lt;lx ".e'a"&gt;</w:t>
      </w:r>
      <w:r>
        <w:rPr>
          <w:rStyle w:val="indexentry"/>
        </w:rPr>
        <w:fldChar w:fldCharType="begin"/>
      </w:r>
      <w:r>
        <w:instrText>xe "</w:instrText>
      </w:r>
      <w:r>
        <w:rPr>
          <w:rStyle w:val="xeentry"/>
        </w:rPr>
        <w:instrText>e'a</w:instrText>
      </w:r>
      <w:r>
        <w:instrText>"</w:instrText>
      </w:r>
      <w:r>
        <w:rPr>
          <w:rStyle w:val="indexentry"/>
        </w:rPr>
        <w:fldChar w:fldCharType="end"/>
      </w:r>
      <w:r>
        <w:rPr>
          <w:rStyle w:val="htmlcodes"/>
        </w:rPr>
        <w:t>&lt;pre&gt;&lt;a name=e3d8&gt;</w:t>
      </w:r>
      <w:r>
        <w:t>3.8)</w:t>
      </w:r>
      <w:r>
        <w:tab/>
        <w:t>.e'a do sazri le karce</w:t>
      </w:r>
    </w:p>
    <w:p w:rsidR="00B72047" w:rsidRDefault="00B72047">
      <w:pPr>
        <w:pStyle w:val="examplescaled"/>
      </w:pPr>
      <w:r>
        <w:tab/>
        <w:t>[permission] You drive the car.</w:t>
      </w:r>
    </w:p>
    <w:p w:rsidR="00B72047" w:rsidRDefault="00B72047">
      <w:pPr>
        <w:pStyle w:val="examplescaled"/>
      </w:pPr>
      <w:r>
        <w:tab/>
        <w:t>Sure, you can drive the car.</w:t>
      </w:r>
    </w:p>
    <w:p w:rsidR="00B72047" w:rsidRDefault="00B72047">
      <w:pPr>
        <w:pStyle w:val="examplescaledpre"/>
      </w:pPr>
      <w:r>
        <w:rPr>
          <w:rStyle w:val="htmlcodes"/>
        </w:rPr>
        <w:t>&lt;/pre&gt;</w:t>
      </w:r>
      <w:r>
        <w:rPr>
          <w:rStyle w:val="indexentry"/>
        </w:rPr>
        <w:t>&lt;lx ".e'e"&gt;</w:t>
      </w:r>
      <w:r>
        <w:rPr>
          <w:rStyle w:val="indexentry"/>
        </w:rPr>
        <w:fldChar w:fldCharType="begin"/>
      </w:r>
      <w:r>
        <w:instrText>xe "</w:instrText>
      </w:r>
      <w:r>
        <w:rPr>
          <w:rStyle w:val="xeentry"/>
        </w:rPr>
        <w:instrText>e'e</w:instrText>
      </w:r>
      <w:r>
        <w:instrText>"</w:instrText>
      </w:r>
      <w:r>
        <w:rPr>
          <w:rStyle w:val="indexentry"/>
        </w:rPr>
        <w:fldChar w:fldCharType="end"/>
      </w:r>
      <w:r>
        <w:rPr>
          <w:rStyle w:val="htmlcodes"/>
        </w:rPr>
        <w:t>&lt;pre&gt;&lt;a name=e3d9&gt;</w:t>
      </w:r>
      <w:r>
        <w:t>3.9)</w:t>
      </w:r>
      <w:r>
        <w:tab/>
        <w:t>e'e mi lifri tu'a do</w:t>
      </w:r>
    </w:p>
    <w:p w:rsidR="00B72047" w:rsidRDefault="00B72047">
      <w:pPr>
        <w:pStyle w:val="examplescaled"/>
      </w:pPr>
      <w:r>
        <w:tab/>
        <w:t>[competence] I experience something-related-to you</w:t>
      </w:r>
    </w:p>
    <w:p w:rsidR="00B72047" w:rsidRDefault="00B72047">
      <w:pPr>
        <w:pStyle w:val="examplescaled"/>
      </w:pPr>
      <w:r>
        <w:tab/>
        <w:t>I feel up to dealing with you.</w:t>
      </w:r>
    </w:p>
    <w:p w:rsidR="00B72047" w:rsidRDefault="00B72047">
      <w:pPr>
        <w:pStyle w:val="examplescaledpre"/>
      </w:pPr>
      <w:r>
        <w:rPr>
          <w:rStyle w:val="htmlcodes"/>
        </w:rPr>
        <w:t>&lt;/pre&gt;</w:t>
      </w:r>
      <w:r>
        <w:rPr>
          <w:rStyle w:val="indexentry"/>
        </w:rPr>
        <w:t>&lt;lx ".ei"&gt;</w:t>
      </w:r>
      <w:r>
        <w:rPr>
          <w:rStyle w:val="indexentry"/>
        </w:rPr>
        <w:fldChar w:fldCharType="begin"/>
      </w:r>
      <w:r>
        <w:instrText>xe "</w:instrText>
      </w:r>
      <w:r>
        <w:rPr>
          <w:rStyle w:val="xeentry"/>
        </w:rPr>
        <w:instrText>ei</w:instrText>
      </w:r>
      <w:r>
        <w:instrText>"</w:instrText>
      </w:r>
      <w:r>
        <w:rPr>
          <w:rStyle w:val="indexentry"/>
        </w:rPr>
        <w:fldChar w:fldCharType="end"/>
      </w:r>
      <w:r>
        <w:rPr>
          <w:rStyle w:val="htmlcodes"/>
        </w:rPr>
        <w:t>&lt;pre&gt;&lt;a name=e3d10&gt;</w:t>
      </w:r>
      <w:r>
        <w:t>3.10)</w:t>
      </w:r>
      <w:r>
        <w:tab/>
        <w:t>.ei mi tisna le karce ctilyvau</w:t>
      </w:r>
    </w:p>
    <w:p w:rsidR="00B72047" w:rsidRDefault="00B72047">
      <w:pPr>
        <w:pStyle w:val="examplescaled"/>
      </w:pPr>
      <w:r>
        <w:tab/>
        <w:t>[obligation] I fill the car-type-of petroleum-container.</w:t>
      </w:r>
    </w:p>
    <w:p w:rsidR="00B72047" w:rsidRDefault="00B72047">
      <w:pPr>
        <w:pStyle w:val="examplescaled"/>
      </w:pPr>
      <w:r>
        <w:tab/>
        <w:t>I should fill the car's gas tank.</w:t>
      </w:r>
    </w:p>
    <w:p w:rsidR="00B72047" w:rsidRDefault="00B72047">
      <w:pPr>
        <w:pStyle w:val="examplescaledpre"/>
      </w:pPr>
      <w:r>
        <w:rPr>
          <w:rStyle w:val="htmlcodes"/>
        </w:rPr>
        <w:t>&lt;/pre&gt;</w:t>
      </w:r>
      <w:r>
        <w:rPr>
          <w:rStyle w:val="indexentry"/>
        </w:rPr>
        <w:t>&lt;lx ".e'o"&gt;</w:t>
      </w:r>
      <w:r>
        <w:rPr>
          <w:rStyle w:val="indexentry"/>
        </w:rPr>
        <w:fldChar w:fldCharType="begin"/>
      </w:r>
      <w:r>
        <w:instrText>xe "</w:instrText>
      </w:r>
      <w:r>
        <w:rPr>
          <w:rStyle w:val="xeentry"/>
        </w:rPr>
        <w:instrText>e'o</w:instrText>
      </w:r>
      <w:r>
        <w:instrText>"</w:instrText>
      </w:r>
      <w:r>
        <w:rPr>
          <w:rStyle w:val="indexentry"/>
        </w:rPr>
        <w:fldChar w:fldCharType="end"/>
      </w:r>
      <w:r>
        <w:rPr>
          <w:rStyle w:val="htmlcodes"/>
        </w:rPr>
        <w:t>&lt;pre&gt;&lt;a name=e3d11&gt;</w:t>
      </w:r>
      <w:r>
        <w:t>3.11)</w:t>
      </w:r>
      <w:r>
        <w:tab/>
        <w:t>.e'o ko ko kurji</w:t>
      </w:r>
    </w:p>
    <w:p w:rsidR="00B72047" w:rsidRDefault="00B72047">
      <w:pPr>
        <w:pStyle w:val="examplescaled"/>
      </w:pPr>
      <w:r>
        <w:tab/>
        <w:t>[request] You-imperative of-you-imperative take-care.</w:t>
      </w:r>
    </w:p>
    <w:p w:rsidR="00B72047" w:rsidRDefault="00B72047">
      <w:pPr>
        <w:pStyle w:val="examplescaled"/>
      </w:pPr>
      <w:r>
        <w:tab/>
        <w:t>Please take care of yourself!</w:t>
      </w:r>
    </w:p>
    <w:p w:rsidR="00B72047" w:rsidRDefault="00B72047">
      <w:pPr>
        <w:pStyle w:val="examplescaledpre"/>
      </w:pPr>
      <w:r>
        <w:rPr>
          <w:rStyle w:val="htmlcodes"/>
        </w:rPr>
        <w:t>&lt;/pre&gt;</w:t>
      </w:r>
      <w:r>
        <w:rPr>
          <w:rStyle w:val="indexentry"/>
        </w:rPr>
        <w:t>&lt;lx ".e'u"&gt;</w:t>
      </w:r>
      <w:r>
        <w:rPr>
          <w:rStyle w:val="indexentry"/>
        </w:rPr>
        <w:fldChar w:fldCharType="begin"/>
      </w:r>
      <w:r>
        <w:instrText>xe "</w:instrText>
      </w:r>
      <w:r>
        <w:rPr>
          <w:rStyle w:val="xeentry"/>
        </w:rPr>
        <w:instrText>e'u</w:instrText>
      </w:r>
      <w:r>
        <w:instrText>"</w:instrText>
      </w:r>
      <w:r>
        <w:rPr>
          <w:rStyle w:val="indexentry"/>
        </w:rPr>
        <w:fldChar w:fldCharType="end"/>
      </w:r>
      <w:r>
        <w:rPr>
          <w:rStyle w:val="htmlcodes"/>
        </w:rPr>
        <w:t>&lt;pre&gt;&lt;a name=e3d12&gt;</w:t>
      </w:r>
      <w:r>
        <w:t>3.12)</w:t>
      </w:r>
      <w:r>
        <w:tab/>
        <w:t>.e'u do klama le panka</w:t>
      </w:r>
    </w:p>
    <w:p w:rsidR="00B72047" w:rsidRDefault="00B72047">
      <w:pPr>
        <w:pStyle w:val="examplescaled"/>
      </w:pPr>
      <w:r>
        <w:tab/>
        <w:t>[suggestion] You go to-the park.</w:t>
      </w:r>
    </w:p>
    <w:p w:rsidR="00B72047" w:rsidRDefault="00B72047">
      <w:pPr>
        <w:pStyle w:val="examplescaled"/>
      </w:pPr>
      <w:r>
        <w:tab/>
        <w:t>I suggest going to the park.</w:t>
      </w:r>
    </w:p>
    <w:p w:rsidR="00B72047" w:rsidRDefault="00B72047">
      <w:pPr>
        <w:pStyle w:val="normalafterexample"/>
      </w:pPr>
      <w:r>
        <w:rPr>
          <w:rStyle w:val="htmlcodes"/>
        </w:rPr>
        <w:t>&lt;/pre&gt;&lt;p&gt;</w:t>
      </w:r>
      <w:r>
        <w:t>Finally, the propositional attitude indicators beginning with “i”, which</w:t>
      </w:r>
      <w:r>
        <w:rPr>
          <w:rStyle w:val="deletedparamark"/>
        </w:rPr>
        <w:t xml:space="preserve"> </w:t>
      </w:r>
      <w:r>
        <w:t>are the ove</w:t>
      </w:r>
      <w:r>
        <w:t>r</w:t>
      </w:r>
      <w:r>
        <w:softHyphen/>
        <w:t>flow from the other sets:</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ab/>
        <w:t>.ia</w:t>
      </w:r>
      <w:r>
        <w:tab/>
        <w:t>belief</w:t>
      </w:r>
      <w:r>
        <w:tab/>
        <w:t>skepticism</w:t>
      </w:r>
      <w:r>
        <w:tab/>
        <w:t>disbelief</w:t>
      </w:r>
    </w:p>
    <w:p w:rsidR="00B72047" w:rsidRDefault="00B72047">
      <w:pPr>
        <w:pStyle w:val="exampwidetabs"/>
      </w:pPr>
      <w:r>
        <w:tab/>
        <w:t>.i'a</w:t>
      </w:r>
      <w:r>
        <w:tab/>
        <w:t>acceptance</w:t>
      </w:r>
      <w:r>
        <w:tab/>
      </w:r>
      <w:r>
        <w:tab/>
        <w:t>blame</w:t>
      </w:r>
    </w:p>
    <w:p w:rsidR="00B72047" w:rsidRDefault="00B72047">
      <w:pPr>
        <w:pStyle w:val="exampwidetabs"/>
      </w:pPr>
      <w:r>
        <w:tab/>
        <w:t>.ie</w:t>
      </w:r>
      <w:r>
        <w:tab/>
        <w:t>agreement</w:t>
      </w:r>
      <w:r>
        <w:tab/>
      </w:r>
      <w:r>
        <w:tab/>
        <w:t>disagreement</w:t>
      </w:r>
    </w:p>
    <w:p w:rsidR="00B72047" w:rsidRDefault="00B72047">
      <w:pPr>
        <w:pStyle w:val="exampwidetabs"/>
      </w:pPr>
      <w:r>
        <w:tab/>
        <w:t>.i'e</w:t>
      </w:r>
      <w:r>
        <w:tab/>
        <w:t>approval</w:t>
      </w:r>
      <w:r>
        <w:tab/>
        <w:t>non-approval</w:t>
      </w:r>
      <w:r>
        <w:tab/>
        <w:t>disapproval</w:t>
      </w:r>
    </w:p>
    <w:p w:rsidR="00B72047" w:rsidRDefault="00B72047">
      <w:pPr>
        <w:pStyle w:val="resumedafterexample"/>
      </w:pPr>
      <w:r>
        <w:rPr>
          <w:rStyle w:val="htmlcodes"/>
        </w:rPr>
        <w:t>&lt;/pre&gt;&lt;p&gt;</w:t>
      </w:r>
      <w:r>
        <w:t>Still more examples (much, much later):</w:t>
      </w:r>
    </w:p>
    <w:p w:rsidR="00B72047" w:rsidRDefault="00B72047">
      <w:pPr>
        <w:rPr>
          <w:rStyle w:val="htmlparacode"/>
        </w:rPr>
      </w:pPr>
      <w:r>
        <w:rPr>
          <w:rStyle w:val="htmlparacode"/>
        </w:rPr>
        <w:t>&lt;p&gt;</w:t>
      </w:r>
    </w:p>
    <w:p w:rsidR="00B72047" w:rsidRDefault="00B72047">
      <w:pPr>
        <w:pStyle w:val="examplescaledpre"/>
      </w:pPr>
      <w:r>
        <w:rPr>
          <w:rStyle w:val="indexentry"/>
        </w:rPr>
        <w:t>&lt;lx ".ianai"&gt;</w:t>
      </w:r>
      <w:r>
        <w:rPr>
          <w:rStyle w:val="indexentry"/>
        </w:rPr>
        <w:fldChar w:fldCharType="begin"/>
      </w:r>
      <w:r>
        <w:instrText>xe "</w:instrText>
      </w:r>
      <w:r>
        <w:rPr>
          <w:rStyle w:val="xeentry"/>
        </w:rPr>
        <w:instrText>ianai</w:instrText>
      </w:r>
      <w:r>
        <w:instrText>"</w:instrText>
      </w:r>
      <w:r>
        <w:rPr>
          <w:rStyle w:val="indexentry"/>
        </w:rPr>
        <w:fldChar w:fldCharType="end"/>
      </w:r>
      <w:r>
        <w:rPr>
          <w:rStyle w:val="htmlcodes"/>
        </w:rPr>
        <w:t>&lt;pre&gt;&lt;a name=e3d13&gt;</w:t>
      </w:r>
      <w:r>
        <w:t>3.13)</w:t>
      </w:r>
      <w:r>
        <w:tab/>
        <w:t>.ianai do pu pensi le nu tcica mi</w:t>
      </w:r>
    </w:p>
    <w:p w:rsidR="00B72047" w:rsidRDefault="00B72047">
      <w:pPr>
        <w:pStyle w:val="examplescaled"/>
      </w:pPr>
      <w:r>
        <w:tab/>
        <w:t>[disbelief] You [past] think the event-of deceiving me.</w:t>
      </w:r>
    </w:p>
    <w:p w:rsidR="00B72047" w:rsidRDefault="00B72047">
      <w:pPr>
        <w:pStyle w:val="examplescaled"/>
      </w:pPr>
      <w:r>
        <w:tab/>
        <w:t>I can't believe you thought you could fool me.</w:t>
      </w:r>
    </w:p>
    <w:p w:rsidR="00B72047" w:rsidRDefault="00B72047">
      <w:pPr>
        <w:pStyle w:val="examplescaledpre"/>
        <w:spacing w:before="0"/>
      </w:pPr>
      <w:r>
        <w:rPr>
          <w:rStyle w:val="htmlcodes"/>
          <w:vanish w:val="0"/>
        </w:rPr>
        <w:br w:type="page"/>
      </w:r>
      <w:r>
        <w:rPr>
          <w:rStyle w:val="htmlcodes"/>
        </w:rPr>
        <w:t>&lt;/pre&gt;</w:t>
      </w:r>
      <w:r>
        <w:rPr>
          <w:rStyle w:val="indexentry"/>
        </w:rPr>
        <w:t>&lt;lx ".i'anai"&gt;</w:t>
      </w:r>
      <w:r>
        <w:rPr>
          <w:rStyle w:val="indexentry"/>
        </w:rPr>
        <w:fldChar w:fldCharType="begin"/>
      </w:r>
      <w:r>
        <w:instrText>xe "</w:instrText>
      </w:r>
      <w:r>
        <w:rPr>
          <w:rStyle w:val="xeentry"/>
        </w:rPr>
        <w:instrText>i'anai</w:instrText>
      </w:r>
      <w:r>
        <w:instrText>"</w:instrText>
      </w:r>
      <w:r>
        <w:rPr>
          <w:rStyle w:val="indexentry"/>
        </w:rPr>
        <w:fldChar w:fldCharType="end"/>
      </w:r>
      <w:r>
        <w:rPr>
          <w:rStyle w:val="htmlcodes"/>
        </w:rPr>
        <w:t>&lt;pre&gt;&lt;a name=e3d14&gt;</w:t>
      </w:r>
      <w:r>
        <w:t>3.14)</w:t>
      </w:r>
      <w:r>
        <w:tab/>
        <w:t>do .i'anai na xruti do le zdani</w:t>
      </w:r>
    </w:p>
    <w:p w:rsidR="00B72047" w:rsidRDefault="00B72047">
      <w:pPr>
        <w:pStyle w:val="examplescaled"/>
      </w:pPr>
      <w:r>
        <w:tab/>
        <w:t>You [blame] did-not return you to-the house</w:t>
      </w:r>
    </w:p>
    <w:p w:rsidR="00B72047" w:rsidRDefault="00B72047">
      <w:pPr>
        <w:pStyle w:val="examplescaled"/>
      </w:pPr>
      <w:r>
        <w:tab/>
        <w:t>I blame you for not coming home.</w:t>
      </w:r>
    </w:p>
    <w:p w:rsidR="00B72047" w:rsidRDefault="00B72047">
      <w:pPr>
        <w:pStyle w:val="examplescaledpre"/>
      </w:pPr>
      <w:r>
        <w:rPr>
          <w:rStyle w:val="htmlcodes"/>
        </w:rPr>
        <w:t>&lt;/pre&gt;</w:t>
      </w:r>
      <w:r>
        <w:rPr>
          <w:rStyle w:val="indexentry"/>
        </w:rPr>
        <w:t>&lt;lx ".ie"&gt;</w:t>
      </w:r>
      <w:r>
        <w:rPr>
          <w:rStyle w:val="indexentry"/>
        </w:rPr>
        <w:fldChar w:fldCharType="begin"/>
      </w:r>
      <w:r>
        <w:instrText>xe "</w:instrText>
      </w:r>
      <w:r>
        <w:rPr>
          <w:rStyle w:val="xeentry"/>
        </w:rPr>
        <w:instrText>ie</w:instrText>
      </w:r>
      <w:r>
        <w:instrText>"</w:instrText>
      </w:r>
      <w:r>
        <w:rPr>
          <w:rStyle w:val="indexentry"/>
        </w:rPr>
        <w:fldChar w:fldCharType="end"/>
      </w:r>
      <w:r>
        <w:rPr>
          <w:rStyle w:val="htmlcodes"/>
        </w:rPr>
        <w:t>&lt;pre&gt;&lt;a name=e3d15&gt;</w:t>
      </w:r>
      <w:r>
        <w:t>3.15)</w:t>
      </w:r>
      <w:r>
        <w:tab/>
        <w:t>.ie mi na cusku lu'e le tcika</w:t>
      </w:r>
    </w:p>
    <w:p w:rsidR="00B72047" w:rsidRDefault="00B72047">
      <w:pPr>
        <w:pStyle w:val="examplescaled"/>
      </w:pPr>
      <w:r>
        <w:tab/>
      </w:r>
      <w:r>
        <w:tab/>
        <w:t>be le nu xruti</w:t>
      </w:r>
    </w:p>
    <w:p w:rsidR="00B72047" w:rsidRDefault="00B72047">
      <w:pPr>
        <w:pStyle w:val="examplescaled"/>
      </w:pPr>
      <w:r>
        <w:tab/>
        <w:t xml:space="preserve">[agreement] I did-not express a-symbol-for the time-of-day </w:t>
      </w:r>
    </w:p>
    <w:p w:rsidR="00B72047" w:rsidRDefault="00B72047">
      <w:pPr>
        <w:pStyle w:val="examplescaled"/>
      </w:pPr>
      <w:r>
        <w:tab/>
      </w:r>
      <w:r>
        <w:tab/>
        <w:t>of the event-of (you return)</w:t>
      </w:r>
    </w:p>
    <w:p w:rsidR="00B72047" w:rsidRDefault="00B72047">
      <w:pPr>
        <w:pStyle w:val="examplescaled"/>
      </w:pPr>
      <w:r>
        <w:tab/>
        <w:t>It's true I didn't tell you when to come back.</w:t>
      </w:r>
    </w:p>
    <w:p w:rsidR="00B72047" w:rsidRDefault="00B72047">
      <w:pPr>
        <w:pStyle w:val="examplescaledpre"/>
      </w:pPr>
      <w:r>
        <w:rPr>
          <w:rStyle w:val="htmlcodes"/>
        </w:rPr>
        <w:t>&lt;/pre&gt;</w:t>
      </w:r>
      <w:r>
        <w:rPr>
          <w:rStyle w:val="indexentry"/>
        </w:rPr>
        <w:t>&lt;lx ".i'enai"&gt;</w:t>
      </w:r>
      <w:r>
        <w:rPr>
          <w:rStyle w:val="indexentry"/>
        </w:rPr>
        <w:fldChar w:fldCharType="begin"/>
      </w:r>
      <w:r>
        <w:instrText>xe "</w:instrText>
      </w:r>
      <w:r>
        <w:rPr>
          <w:rStyle w:val="xeentry"/>
        </w:rPr>
        <w:instrText>i'enai</w:instrText>
      </w:r>
      <w:r>
        <w:instrText>"</w:instrText>
      </w:r>
      <w:r>
        <w:rPr>
          <w:rStyle w:val="indexentry"/>
        </w:rPr>
        <w:fldChar w:fldCharType="end"/>
      </w:r>
      <w:r>
        <w:rPr>
          <w:rStyle w:val="indexentry"/>
        </w:rPr>
        <w:t>&lt;lx ".i'e"&gt;</w:t>
      </w:r>
      <w:r>
        <w:rPr>
          <w:rStyle w:val="indexentry"/>
        </w:rPr>
        <w:fldChar w:fldCharType="begin"/>
      </w:r>
      <w:r>
        <w:instrText>xe "</w:instrText>
      </w:r>
      <w:r>
        <w:rPr>
          <w:rStyle w:val="xeentry"/>
        </w:rPr>
        <w:instrText>i'e</w:instrText>
      </w:r>
      <w:r>
        <w:instrText>"</w:instrText>
      </w:r>
      <w:r>
        <w:rPr>
          <w:rStyle w:val="indexentry"/>
        </w:rPr>
        <w:fldChar w:fldCharType="end"/>
      </w:r>
      <w:r>
        <w:rPr>
          <w:rStyle w:val="htmlcodes"/>
        </w:rPr>
        <w:t>&lt;pre&gt;&lt;a name=e3d16&gt;</w:t>
      </w:r>
      <w:r>
        <w:t>3.16)</w:t>
      </w:r>
      <w:r>
        <w:tab/>
        <w:t>.i'enai do .i'e zukte</w:t>
      </w:r>
    </w:p>
    <w:p w:rsidR="00B72047" w:rsidRDefault="00B72047">
      <w:pPr>
        <w:pStyle w:val="examplescaled"/>
      </w:pPr>
      <w:r>
        <w:tab/>
        <w:t>[disapproval] you [approval] act</w:t>
      </w:r>
    </w:p>
    <w:p w:rsidR="00B72047" w:rsidRDefault="00B72047">
      <w:pPr>
        <w:pStyle w:val="examplescaled"/>
      </w:pPr>
      <w:r>
        <w:tab/>
        <w:t>I don't approve of what you did, but I approve of you.</w:t>
      </w:r>
    </w:p>
    <w:p w:rsidR="00B72047" w:rsidRDefault="00B72047">
      <w:pPr>
        <w:pStyle w:val="resumedafterexample"/>
      </w:pPr>
      <w:r>
        <w:rPr>
          <w:rStyle w:val="htmlcodes"/>
        </w:rPr>
        <w:t>&lt;/pre&gt;&lt;a href=#e3d16&gt;</w:t>
      </w:r>
      <w:r>
        <w:t xml:space="preserve">Example 3.16 </w:t>
      </w:r>
      <w:r>
        <w:rPr>
          <w:rStyle w:val="htmlcodes"/>
        </w:rPr>
        <w:t>&lt;/a&gt;</w:t>
      </w:r>
      <w:r>
        <w:t>illustrates the use of a propositional attitude indicator,</w:t>
      </w:r>
      <w:r>
        <w:rPr>
          <w:rStyle w:val="deletedparamark"/>
        </w:rPr>
        <w:t xml:space="preserve"> “</w:t>
      </w:r>
      <w:r>
        <w:t>i'e”, in both the usual sense (at the beginning of the bridi) and as</w:t>
      </w:r>
      <w:r>
        <w:rPr>
          <w:rStyle w:val="deletedparamark"/>
        </w:rPr>
        <w:t xml:space="preserve"> </w:t>
      </w:r>
      <w:r>
        <w:t>a pure emotion (attached to “do”). The event expressed by the main</w:t>
      </w:r>
      <w:r>
        <w:rPr>
          <w:rStyle w:val="deletedparamark"/>
        </w:rPr>
        <w:t xml:space="preserve"> </w:t>
      </w:r>
      <w:r>
        <w:t>bridi is disapproved of by the speaker, but the referent of the sumti</w:t>
      </w:r>
      <w:r>
        <w:rPr>
          <w:rStyle w:val="deletedparamark"/>
        </w:rPr>
        <w:t xml:space="preserve"> </w:t>
      </w:r>
      <w:r>
        <w:t>in the x1 place (namely the listener) is approved of.</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 signaling as non-propositional"&gt;</w:t>
      </w:r>
      <w:r>
        <w:rPr>
          <w:rStyle w:val="indexentry"/>
        </w:rPr>
        <w:fldChar w:fldCharType="begin"/>
      </w:r>
      <w:r>
        <w:instrText>xe "</w:instrText>
      </w:r>
      <w:r>
        <w:rPr>
          <w:rStyle w:val="xeentry"/>
        </w:rPr>
        <w:instrText>attitudinal: signaling as non-propositional</w:instrText>
      </w:r>
      <w:r>
        <w:instrText>"</w:instrText>
      </w:r>
      <w:r>
        <w:rPr>
          <w:rStyle w:val="indexentry"/>
        </w:rPr>
        <w:fldChar w:fldCharType="end"/>
      </w:r>
      <w:r>
        <w:t>To indicate that an attitudinal discussed in this section is not meant</w:t>
      </w:r>
      <w:r>
        <w:rPr>
          <w:rStyle w:val="deletedparamark"/>
        </w:rPr>
        <w:t xml:space="preserve"> </w:t>
      </w:r>
      <w:r>
        <w:t>to indicate a propositional attitude, the simplest expedient is to split the</w:t>
      </w:r>
      <w:r>
        <w:rPr>
          <w:rStyle w:val="deletedparamark"/>
        </w:rPr>
        <w:t xml:space="preserve"> </w:t>
      </w:r>
      <w:r>
        <w:t>attitudinal off into a sepa</w:t>
      </w:r>
      <w:r>
        <w:softHyphen/>
        <w:t xml:space="preserve">rate sentence. Thus, a version of </w:t>
      </w:r>
      <w:r>
        <w:rPr>
          <w:rStyle w:val="htmlcodes"/>
        </w:rPr>
        <w:t>&lt;a href=#e3d8&gt;</w:t>
      </w:r>
      <w:r>
        <w:t xml:space="preserve">Example 3.8 </w:t>
      </w:r>
      <w:r>
        <w:rPr>
          <w:rStyle w:val="htmlcodes"/>
        </w:rPr>
        <w:t>&lt;/a&gt;</w:t>
      </w:r>
      <w:r>
        <w:t>which actually claimed that the listener was or would be driving the</w:t>
      </w:r>
      <w:r>
        <w:rPr>
          <w:rStyle w:val="deletedparamark"/>
        </w:rPr>
        <w:t xml:space="preserve"> </w:t>
      </w:r>
      <w:r>
        <w:t>car 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name=e3d17&gt;</w:t>
      </w:r>
      <w:r>
        <w:t>3.17)</w:t>
      </w:r>
      <w:r>
        <w:tab/>
        <w:t>do sazri le karce .i e'a</w:t>
      </w:r>
    </w:p>
    <w:p w:rsidR="00B72047" w:rsidRDefault="00B72047">
      <w:pPr>
        <w:pStyle w:val="examplescaled"/>
      </w:pPr>
      <w:r>
        <w:tab/>
        <w:t>You drive the car. [Permission].</w:t>
      </w:r>
    </w:p>
    <w:p w:rsidR="00B72047" w:rsidRDefault="00B72047">
      <w:pPr>
        <w:pStyle w:val="examplescaled"/>
      </w:pPr>
      <w:r>
        <w:tab/>
        <w:t>You're driving (or will drive) the car, and that's fine.</w:t>
      </w:r>
    </w:p>
    <w:p w:rsidR="00B72047" w:rsidRDefault="00B72047">
      <w:pPr>
        <w:pStyle w:val="Heading3"/>
        <w:rPr>
          <w:rStyle w:val="Heading3Text"/>
        </w:rPr>
      </w:pPr>
      <w:r>
        <w:rPr>
          <w:rStyle w:val="htmlcodes"/>
        </w:rPr>
        <w:t>&lt;/pre&gt;&lt;a name=s4&gt;&lt;h3&gt;</w:t>
      </w:r>
      <w:bookmarkStart w:id="399" w:name="_Toc398970641"/>
      <w:r>
        <w:rPr>
          <w:rStyle w:val="Heading3Text"/>
        </w:rPr>
        <w:t>Attitudes as scales</w:t>
      </w:r>
      <w:bookmarkEnd w:id="39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scale of"&gt;</w:t>
      </w:r>
      <w:r>
        <w:rPr>
          <w:rStyle w:val="indexentry"/>
        </w:rPr>
        <w:fldChar w:fldCharType="begin"/>
      </w:r>
      <w:r>
        <w:instrText>xe "</w:instrText>
      </w:r>
      <w:r>
        <w:rPr>
          <w:rStyle w:val="xeentry"/>
        </w:rPr>
        <w:instrText>attitudinals: scale of</w:instrText>
      </w:r>
      <w:r>
        <w:instrText>"</w:instrText>
      </w:r>
      <w:r>
        <w:rPr>
          <w:rStyle w:val="indexentry"/>
        </w:rPr>
        <w:fldChar w:fldCharType="end"/>
      </w:r>
      <w:r>
        <w:rPr>
          <w:rStyle w:val="indexentry"/>
        </w:rPr>
        <w:t>&lt;cx "attitudinals, positive"&gt;</w:t>
      </w:r>
      <w:r>
        <w:rPr>
          <w:rStyle w:val="indexentry"/>
        </w:rPr>
        <w:fldChar w:fldCharType="begin"/>
      </w:r>
      <w:r>
        <w:instrText>xe "</w:instrText>
      </w:r>
      <w:r>
        <w:rPr>
          <w:rStyle w:val="xeentry"/>
        </w:rPr>
        <w:instrText>attitudinals: positive</w:instrText>
      </w:r>
      <w:r>
        <w:instrText>"</w:instrText>
      </w:r>
      <w:r>
        <w:rPr>
          <w:rStyle w:val="indexentry"/>
        </w:rPr>
        <w:fldChar w:fldCharType="end"/>
      </w:r>
      <w:r>
        <w:rPr>
          <w:rStyle w:val="indexentry"/>
        </w:rPr>
        <w:t>&lt;cx "attitudinals, negative"&gt;</w:t>
      </w:r>
      <w:r>
        <w:rPr>
          <w:rStyle w:val="indexentry"/>
        </w:rPr>
        <w:fldChar w:fldCharType="begin"/>
      </w:r>
      <w:r>
        <w:instrText>xe "</w:instrText>
      </w:r>
      <w:r>
        <w:rPr>
          <w:rStyle w:val="xeentry"/>
        </w:rPr>
        <w:instrText>attitudinals: negative</w:instrText>
      </w:r>
      <w:r>
        <w:instrText>"</w:instrText>
      </w:r>
      <w:r>
        <w:rPr>
          <w:rStyle w:val="indexentry"/>
        </w:rPr>
        <w:fldChar w:fldCharType="end"/>
      </w:r>
      <w:r>
        <w:rPr>
          <w:rStyle w:val="indexentry"/>
        </w:rPr>
        <w:t>&lt;cx "attitudinals, neutral"&gt;</w:t>
      </w:r>
      <w:r>
        <w:rPr>
          <w:rStyle w:val="indexentry"/>
        </w:rPr>
        <w:fldChar w:fldCharType="begin"/>
      </w:r>
      <w:r>
        <w:instrText>xe "</w:instrText>
      </w:r>
      <w:r>
        <w:rPr>
          <w:rStyle w:val="xeentry"/>
        </w:rPr>
        <w:instrText>attitudinals: neutral</w:instrText>
      </w:r>
      <w:r>
        <w:instrText>"</w:instrText>
      </w:r>
      <w:r>
        <w:rPr>
          <w:rStyle w:val="indexentry"/>
        </w:rPr>
        <w:fldChar w:fldCharType="end"/>
      </w:r>
      <w:r>
        <w:t>In Lojban, all emotions and attitudes are scales. These scales</w:t>
      </w:r>
      <w:r>
        <w:rPr>
          <w:rStyle w:val="deletedparamark"/>
        </w:rPr>
        <w:t xml:space="preserve"> </w:t>
      </w:r>
      <w:r>
        <w:t>run from some extreme value (which we'll call “positive”) to an oppo</w:t>
      </w:r>
      <w:r>
        <w:softHyphen/>
        <w:t>site</w:t>
      </w:r>
      <w:r>
        <w:rPr>
          <w:rStyle w:val="deletedparamark"/>
        </w:rPr>
        <w:t xml:space="preserve"> </w:t>
      </w:r>
      <w:r>
        <w:t>extreme (which we'll call “negative”). In the tables above, we have seen</w:t>
      </w:r>
      <w:r>
        <w:rPr>
          <w:rStyle w:val="deletedparamark"/>
        </w:rPr>
        <w:t xml:space="preserve"> </w:t>
      </w:r>
      <w:r>
        <w:t>three points on the scale: “positive”, neutral, and “negative”. The</w:t>
      </w:r>
      <w:r>
        <w:rPr>
          <w:rStyle w:val="deletedparamark"/>
        </w:rPr>
        <w:t xml:space="preserve"> </w:t>
      </w:r>
      <w:r>
        <w:t>terms “positive” and “negative” are put into quotation marks because they are</w:t>
      </w:r>
      <w:r>
        <w:rPr>
          <w:rStyle w:val="deletedparamark"/>
        </w:rPr>
        <w:t xml:space="preserve"> </w:t>
      </w:r>
      <w:r>
        <w:t>loaded words when applied to emotions, and the attitudinal system reflects</w:t>
      </w:r>
      <w:r>
        <w:rPr>
          <w:rStyle w:val="deletedparamark"/>
        </w:rPr>
        <w:t xml:space="preserve"> </w:t>
      </w:r>
      <w:r>
        <w:t>this loa</w:t>
      </w:r>
      <w:r>
        <w:t>d</w:t>
      </w:r>
      <w:r>
        <w:softHyphen/>
        <w:t>ing, which is a known cul</w:t>
      </w:r>
      <w:r>
        <w:softHyphen/>
        <w:t>tural bias. Only two of the “positive”</w:t>
      </w:r>
      <w:r>
        <w:rPr>
          <w:rStyle w:val="deletedparamark"/>
        </w:rPr>
        <w:t xml:space="preserve"> </w:t>
      </w:r>
      <w:r>
        <w:t>words, namely “.ii” (fear) and “.oi” (pain/complaint), represent emotions</w:t>
      </w:r>
      <w:r>
        <w:rPr>
          <w:rStyle w:val="deletedparamark"/>
        </w:rPr>
        <w:t xml:space="preserve"> </w:t>
      </w:r>
      <w:r>
        <w:t>commonly thought of as less “virtuous” in most cases than their negative</w:t>
      </w:r>
      <w:r>
        <w:rPr>
          <w:rStyle w:val="deletedparamark"/>
        </w:rPr>
        <w:t xml:space="preserve"> </w:t>
      </w:r>
      <w:r>
        <w:t>counterparts. But these two were felt to be instinctive, di</w:t>
      </w:r>
      <w:r>
        <w:t>s</w:t>
      </w:r>
      <w:r>
        <w:softHyphen/>
        <w:t>tinct, and very</w:t>
      </w:r>
      <w:r>
        <w:rPr>
          <w:rStyle w:val="deletedparamark"/>
        </w:rPr>
        <w:t xml:space="preserve"> </w:t>
      </w:r>
      <w:r>
        <w:t>powerful emotions that needed to be expressible in a mono</w:t>
      </w:r>
      <w:r>
        <w:softHyphen/>
        <w:t>syllable when</w:t>
      </w:r>
      <w:r>
        <w:rPr>
          <w:rStyle w:val="deletedparamark"/>
        </w:rPr>
        <w:t xml:space="preserve"> </w:t>
      </w:r>
      <w:r>
        <w:t>necessary, while their counterparts are less commonly expressed.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scales, rationale for assignment"&gt;</w:t>
      </w:r>
      <w:r>
        <w:rPr>
          <w:rStyle w:val="indexentry"/>
        </w:rPr>
        <w:fldChar w:fldCharType="begin"/>
      </w:r>
      <w:r>
        <w:instrText>xe "</w:instrText>
      </w:r>
      <w:r>
        <w:rPr>
          <w:rStyle w:val="xeentry"/>
        </w:rPr>
        <w:instrText>attitudinal scales: rationale for assignment</w:instrText>
      </w:r>
      <w:r>
        <w:instrText>"</w:instrText>
      </w:r>
      <w:r>
        <w:rPr>
          <w:rStyle w:val="indexentry"/>
        </w:rPr>
        <w:fldChar w:fldCharType="end"/>
      </w:r>
      <w:r>
        <w:t>(Why the overt bias? Because there are a lot of attitudinals and they</w:t>
      </w:r>
      <w:r>
        <w:rPr>
          <w:rStyle w:val="deletedparamark"/>
        </w:rPr>
        <w:t xml:space="preserve"> </w:t>
      </w:r>
      <w:r>
        <w:t>will be difficult to learn as an entire set. By aligning our scales</w:t>
      </w:r>
      <w:r>
        <w:rPr>
          <w:rStyle w:val="deletedparamark"/>
        </w:rPr>
        <w:t xml:space="preserve"> </w:t>
      </w:r>
      <w:r>
        <w:t>arbitrarily, we give the mono</w:t>
      </w:r>
      <w:r>
        <w:softHyphen/>
        <w:t>syllable “nai” a useful meaning and make it</w:t>
      </w:r>
      <w:r>
        <w:rPr>
          <w:rStyle w:val="deletedparamark"/>
        </w:rPr>
        <w:t xml:space="preserve"> </w:t>
      </w:r>
      <w:r>
        <w:t>easier for a novice to recognize at least the positive or negative</w:t>
      </w:r>
      <w:r>
        <w:rPr>
          <w:rStyle w:val="deletedparamark"/>
        </w:rPr>
        <w:t xml:space="preserve"> </w:t>
      </w:r>
      <w:r>
        <w:t>alignment of an indicator, if not the specific word. Other choices</w:t>
      </w:r>
      <w:r>
        <w:rPr>
          <w:rStyle w:val="deletedparamark"/>
        </w:rPr>
        <w:t xml:space="preserve"> </w:t>
      </w:r>
      <w:r>
        <w:t>considered were “random” orientation, which would have un</w:t>
      </w:r>
      <w:r>
        <w:softHyphen/>
        <w:t>known biases and</w:t>
      </w:r>
      <w:r>
        <w:rPr>
          <w:rStyle w:val="deletedparamark"/>
        </w:rPr>
        <w:t xml:space="preserve"> </w:t>
      </w:r>
      <w:r>
        <w:t>be diffi</w:t>
      </w:r>
      <w:r>
        <w:softHyphen/>
        <w:t>cult to learn, and orientation based on our guesses as to which</w:t>
      </w:r>
      <w:r>
        <w:rPr>
          <w:rStyle w:val="deletedparamark"/>
        </w:rPr>
        <w:t xml:space="preserve"> </w:t>
      </w:r>
      <w:r>
        <w:t>scale orientations made the most fr</w:t>
      </w:r>
      <w:r>
        <w:t>e</w:t>
      </w:r>
      <w:r>
        <w:softHyphen/>
        <w:t>quent us</w:t>
      </w:r>
      <w:r>
        <w:softHyphen/>
        <w:t>ages shorter, which</w:t>
      </w:r>
      <w:r>
        <w:rPr>
          <w:rStyle w:val="deletedparamark"/>
        </w:rPr>
        <w:t xml:space="preserve"> </w:t>
      </w:r>
      <w:r>
        <w:t>would be biased in favor of American percep</w:t>
      </w:r>
      <w:r>
        <w:softHyphen/>
        <w:t>tions of “usefulness”.</w:t>
      </w:r>
      <w:r>
        <w:rPr>
          <w:rStyle w:val="deletedparamark"/>
        </w:rPr>
        <w:t xml:space="preserve"> </w:t>
      </w:r>
      <w:r>
        <w:t>If bias must exist in our indicator set, it might as well be a known</w:t>
      </w:r>
      <w:r>
        <w:rPr>
          <w:rStyle w:val="deletedparamark"/>
        </w:rPr>
        <w:t xml:space="preserve"> </w:t>
      </w:r>
      <w:r>
        <w:t>bias that eases learning, and in addition might as well favor a</w:t>
      </w:r>
      <w:r>
        <w:rPr>
          <w:rStyle w:val="deletedparamark"/>
        </w:rPr>
        <w:t xml:space="preserve"> </w:t>
      </w:r>
      <w:r>
        <w:t>harmonious and positive world-view.)</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"emotional scale"&gt;</w:t>
      </w:r>
      <w:r>
        <w:rPr>
          <w:rStyle w:val="indexentry"/>
        </w:rPr>
        <w:fldChar w:fldCharType="begin"/>
      </w:r>
      <w:r>
        <w:instrText>xe "</w:instrText>
      </w:r>
      <w:r>
        <w:rPr>
          <w:rStyle w:val="xeentry"/>
        </w:rPr>
        <w:instrText>emotional scale</w:instrText>
      </w:r>
      <w:r>
        <w:instrText>"</w:instrText>
      </w:r>
      <w:r>
        <w:rPr>
          <w:rStyle w:val="indexentry"/>
        </w:rPr>
        <w:fldChar w:fldCharType="end"/>
      </w:r>
      <w:r>
        <w:rPr>
          <w:rStyle w:val="indexentry"/>
        </w:rPr>
        <w:t>&lt;cx "attitudinal scale, seven-position"&gt;</w:t>
      </w:r>
      <w:r>
        <w:rPr>
          <w:rStyle w:val="indexentry"/>
        </w:rPr>
        <w:fldChar w:fldCharType="begin"/>
      </w:r>
      <w:r>
        <w:instrText>xe "</w:instrText>
      </w:r>
      <w:r>
        <w:rPr>
          <w:rStyle w:val="xeentry"/>
        </w:rPr>
        <w:instrText>attitudinal scale: seven-position</w:instrText>
      </w:r>
      <w:r>
        <w:instrText>"</w:instrText>
      </w:r>
      <w:r>
        <w:rPr>
          <w:rStyle w:val="indexentry"/>
        </w:rPr>
        <w:fldChar w:fldCharType="end"/>
      </w:r>
      <w:r>
        <w:rPr>
          <w:rStyle w:val="indexentry"/>
        </w:rPr>
        <w:t>&lt;lx "cai"&gt;</w:t>
      </w:r>
      <w:r>
        <w:rPr>
          <w:rStyle w:val="indexentry"/>
        </w:rPr>
        <w:fldChar w:fldCharType="begin"/>
      </w:r>
      <w:r>
        <w:instrText>xe "</w:instrText>
      </w:r>
      <w:r>
        <w:rPr>
          <w:rStyle w:val="xeentry"/>
        </w:rPr>
        <w:instrText>cai</w:instrText>
      </w:r>
      <w:r>
        <w:instrText>"</w:instrText>
      </w:r>
      <w:r>
        <w:rPr>
          <w:rStyle w:val="indexentry"/>
        </w:rPr>
        <w:fldChar w:fldCharType="end"/>
      </w:r>
      <w:r>
        <w:rPr>
          <w:rStyle w:val="indexentry"/>
        </w:rPr>
        <w:t>&lt;lx "sai"&gt;</w:t>
      </w:r>
      <w:r>
        <w:rPr>
          <w:rStyle w:val="indexentry"/>
        </w:rPr>
        <w:fldChar w:fldCharType="begin"/>
      </w:r>
      <w:r>
        <w:instrText>xe "</w:instrText>
      </w:r>
      <w:r>
        <w:rPr>
          <w:rStyle w:val="xeentry"/>
        </w:rPr>
        <w:instrText>sai</w:instrText>
      </w:r>
      <w:r>
        <w:instrText>"</w:instrText>
      </w:r>
      <w:r>
        <w:rPr>
          <w:rStyle w:val="indexentry"/>
        </w:rPr>
        <w:fldChar w:fldCharType="end"/>
      </w:r>
      <w:r>
        <w:rPr>
          <w:rStyle w:val="indexentry"/>
        </w:rPr>
        <w:t>&lt;lx "ru'e"&gt;</w:t>
      </w:r>
      <w:r>
        <w:rPr>
          <w:rStyle w:val="indexentry"/>
        </w:rPr>
        <w:fldChar w:fldCharType="begin"/>
      </w:r>
      <w:r>
        <w:instrText>xe "</w:instrText>
      </w:r>
      <w:r>
        <w:rPr>
          <w:rStyle w:val="xeentry"/>
        </w:rPr>
        <w:instrText>ru'e</w:instrText>
      </w:r>
      <w:r>
        <w:instrText>"</w:instrText>
      </w:r>
      <w:r>
        <w:rPr>
          <w:rStyle w:val="indexentry"/>
        </w:rPr>
        <w:fldChar w:fldCharType="end"/>
      </w:r>
      <w:r>
        <w:rPr>
          <w:rStyle w:val="indexentry"/>
        </w:rPr>
        <w:t>&lt;lx "cu'i"&gt;</w:t>
      </w:r>
      <w:r>
        <w:rPr>
          <w:rStyle w:val="indexentry"/>
        </w:rPr>
        <w:fldChar w:fldCharType="begin"/>
      </w:r>
      <w:r>
        <w:instrText>xe "</w:instrText>
      </w:r>
      <w:r>
        <w:rPr>
          <w:rStyle w:val="xeentry"/>
        </w:rPr>
        <w:instrText>cu'i</w:instrText>
      </w:r>
      <w:r>
        <w:instrText>"</w:instrText>
      </w:r>
      <w:r>
        <w:rPr>
          <w:rStyle w:val="indexentry"/>
        </w:rPr>
        <w:fldChar w:fldCharType="end"/>
      </w:r>
      <w:r>
        <w:rPr>
          <w:rStyle w:val="indexentry"/>
        </w:rPr>
        <w:t>&lt;lx "nairu'e"&gt;</w:t>
      </w:r>
      <w:r>
        <w:rPr>
          <w:rStyle w:val="indexentry"/>
        </w:rPr>
        <w:fldChar w:fldCharType="begin"/>
      </w:r>
      <w:r>
        <w:instrText>xe "</w:instrText>
      </w:r>
      <w:r>
        <w:rPr>
          <w:rStyle w:val="xeentry"/>
        </w:rPr>
        <w:instrText>nairu'e</w:instrText>
      </w:r>
      <w:r>
        <w:instrText>"</w:instrText>
      </w:r>
      <w:r>
        <w:rPr>
          <w:rStyle w:val="indexentry"/>
        </w:rPr>
        <w:fldChar w:fldCharType="end"/>
      </w:r>
      <w:r>
        <w:rPr>
          <w:rStyle w:val="indexentry"/>
        </w:rPr>
        <w:t>&lt;lx "naisai"&gt;</w:t>
      </w:r>
      <w:r>
        <w:rPr>
          <w:rStyle w:val="indexentry"/>
        </w:rPr>
        <w:fldChar w:fldCharType="begin"/>
      </w:r>
      <w:r>
        <w:instrText>xe "</w:instrText>
      </w:r>
      <w:r>
        <w:rPr>
          <w:rStyle w:val="xeentry"/>
        </w:rPr>
        <w:instrText>naisai</w:instrText>
      </w:r>
      <w:r>
        <w:instrText>"</w:instrText>
      </w:r>
      <w:r>
        <w:rPr>
          <w:rStyle w:val="indexentry"/>
        </w:rPr>
        <w:fldChar w:fldCharType="end"/>
      </w:r>
      <w:r>
        <w:rPr>
          <w:rStyle w:val="indexentry"/>
        </w:rPr>
        <w:t>&lt;lx "naicai"&gt;</w:t>
      </w:r>
      <w:r>
        <w:rPr>
          <w:rStyle w:val="indexentry"/>
        </w:rPr>
        <w:fldChar w:fldCharType="begin"/>
      </w:r>
      <w:r>
        <w:instrText>xe "</w:instrText>
      </w:r>
      <w:r>
        <w:rPr>
          <w:rStyle w:val="xeentry"/>
        </w:rPr>
        <w:instrText>naicai</w:instrText>
      </w:r>
      <w:r>
        <w:instrText>"</w:instrText>
      </w:r>
      <w:r>
        <w:rPr>
          <w:rStyle w:val="indexentry"/>
        </w:rPr>
        <w:fldChar w:fldCharType="end"/>
      </w:r>
      <w:r>
        <w:rPr>
          <w:rStyle w:val="indexentry"/>
        </w:rPr>
        <w:t>&lt;lx "CAI"&gt;</w:t>
      </w:r>
      <w:r>
        <w:rPr>
          <w:rStyle w:val="indexentry"/>
        </w:rPr>
        <w:fldChar w:fldCharType="begin"/>
      </w:r>
      <w:r>
        <w:instrText>xe "</w:instrText>
      </w:r>
      <w:r>
        <w:rPr>
          <w:rStyle w:val="xeentry"/>
        </w:rPr>
        <w:instrText>CAI selma’o</w:instrText>
      </w:r>
      <w:r>
        <w:instrText>"</w:instrText>
      </w:r>
      <w:r>
        <w:rPr>
          <w:rStyle w:val="indexentry"/>
        </w:rPr>
        <w:fldChar w:fldCharType="end"/>
      </w:r>
      <w:r>
        <w:t>In fact, though, each emotional scale has seven positions de</w:t>
      </w:r>
      <w:r>
        <w:softHyphen/>
        <w:t>fined, three</w:t>
      </w:r>
      <w:r>
        <w:rPr>
          <w:rStyle w:val="deletedparamark"/>
        </w:rPr>
        <w:t xml:space="preserve"> “</w:t>
      </w:r>
      <w:r>
        <w:t>positive” ones (shown below on the left), three “negative” ones (shown</w:t>
      </w:r>
      <w:r>
        <w:rPr>
          <w:rStyle w:val="deletedparamark"/>
        </w:rPr>
        <w:t xml:space="preserve"> </w:t>
      </w:r>
      <w:r>
        <w:t>below on the right), and a neutral one indicating that no particular</w:t>
      </w:r>
      <w:r>
        <w:rPr>
          <w:rStyle w:val="deletedparamark"/>
        </w:rPr>
        <w:t xml:space="preserve"> </w:t>
      </w:r>
      <w:r>
        <w:t>attitude on this scale is felt. The following chart indicates the seven</w:t>
      </w:r>
      <w:r>
        <w:rPr>
          <w:rStyle w:val="deletedparamark"/>
        </w:rPr>
        <w:t xml:space="preserve"> </w:t>
      </w:r>
      <w:r>
        <w:t>positions of the scale and the associated cmavo. All of these cmavo, except</w:t>
      </w:r>
      <w:r>
        <w:rPr>
          <w:rStyle w:val="deletedparamark"/>
        </w:rPr>
        <w:t xml:space="preserve"> “</w:t>
      </w:r>
      <w:r>
        <w:t>nai”, are in selma'o CAI.</w:t>
      </w:r>
    </w:p>
    <w:p w:rsidR="00B72047" w:rsidRDefault="00B72047">
      <w:pPr>
        <w:ind w:firstLine="720"/>
        <w:rPr>
          <w:rStyle w:val="htmlparacode"/>
        </w:rPr>
      </w:pPr>
      <w:r>
        <w:rPr>
          <w:rStyle w:val="htmlparacode"/>
        </w:rPr>
        <w:t>&lt;p&gt;</w:t>
      </w:r>
    </w:p>
    <w:p w:rsidR="00B72047" w:rsidRDefault="00B72047">
      <w:pPr>
        <w:pStyle w:val="normalafterexample"/>
      </w:pPr>
      <w:r>
        <w:rPr>
          <w:rStyle w:val="htmlcodes"/>
        </w:rPr>
        <w:t>&lt;pre&gt;</w:t>
      </w:r>
      <w:r>
        <w:t>cai</w:t>
      </w:r>
      <w:r>
        <w:tab/>
        <w:t>sai</w:t>
      </w:r>
      <w:r>
        <w:tab/>
        <w:t>ru'e</w:t>
      </w:r>
      <w:r>
        <w:tab/>
        <w:t>cu'i</w:t>
      </w:r>
      <w:r>
        <w:tab/>
        <w:t>nairu'e</w:t>
      </w:r>
      <w:r>
        <w:tab/>
        <w:t>naisai</w:t>
      </w:r>
      <w:r>
        <w:tab/>
        <w:t>naicai</w:t>
      </w:r>
    </w:p>
    <w:p w:rsidR="00B72047" w:rsidRDefault="00B72047">
      <w:pPr>
        <w:pStyle w:val="normalparagraph"/>
      </w:pPr>
      <w:r>
        <w:t>[carmi]</w:t>
      </w:r>
      <w:r>
        <w:tab/>
        <w:t>[tsali]</w:t>
      </w:r>
      <w:r>
        <w:tab/>
        <w:t>[ruble]</w:t>
      </w:r>
      <w:r>
        <w:tab/>
        <w:t>[cumki]</w:t>
      </w:r>
    </w:p>
    <w:p w:rsidR="00B72047" w:rsidRDefault="00B72047">
      <w:pPr>
        <w:pStyle w:val="normalafterexample"/>
      </w:pPr>
      <w:r>
        <w:rPr>
          <w:rStyle w:val="htmlcodes"/>
        </w:rPr>
        <w:t>&lt;/pre&gt;</w:t>
      </w:r>
      <w:r>
        <w:rPr>
          <w:rStyle w:val="indexentry"/>
        </w:rPr>
        <w:t>&lt;cx "scalar attitude"&gt;</w:t>
      </w:r>
      <w:r>
        <w:rPr>
          <w:rStyle w:val="indexentry"/>
        </w:rPr>
        <w:fldChar w:fldCharType="begin"/>
      </w:r>
      <w:r>
        <w:instrText>xe "</w:instrText>
      </w:r>
      <w:r>
        <w:rPr>
          <w:rStyle w:val="xeentry"/>
        </w:rPr>
        <w:instrText>scalar attitude</w:instrText>
      </w:r>
      <w:r>
        <w:instrText>"</w:instrText>
      </w:r>
      <w:r>
        <w:rPr>
          <w:rStyle w:val="indexentry"/>
        </w:rPr>
        <w:fldChar w:fldCharType="end"/>
      </w:r>
      <w:r>
        <w:rPr>
          <w:rStyle w:val="indexentry"/>
        </w:rPr>
        <w:t>&lt;cx "attitude, scalar"&gt;</w:t>
      </w:r>
      <w:r>
        <w:rPr>
          <w:rStyle w:val="indexentry"/>
        </w:rPr>
        <w:fldChar w:fldCharType="begin"/>
      </w:r>
      <w:r>
        <w:instrText>xe "</w:instrText>
      </w:r>
      <w:r>
        <w:rPr>
          <w:rStyle w:val="xeentry"/>
        </w:rPr>
        <w:instrText>attitude: scalar</w:instrText>
      </w:r>
      <w:r>
        <w:instrText>"</w:instrText>
      </w:r>
      <w:r>
        <w:rPr>
          <w:rStyle w:val="indexentry"/>
        </w:rPr>
        <w:fldChar w:fldCharType="end"/>
      </w:r>
      <w:r>
        <w:t>A scalar attitude is expressed by using the attitudinal word, and then</w:t>
      </w:r>
      <w:r>
        <w:rPr>
          <w:rStyle w:val="deletedparamark"/>
        </w:rPr>
        <w:t xml:space="preserve"> </w:t>
      </w:r>
      <w:r>
        <w:t>following it by the desired scalar intensity. The bias creeps in</w:t>
      </w:r>
      <w:r>
        <w:rPr>
          <w:rStyle w:val="deletedparamark"/>
        </w:rPr>
        <w:t xml:space="preserve"> </w:t>
      </w:r>
      <w:r>
        <w:t>because the “negative” emotions take the extra syllable “nai” to</w:t>
      </w:r>
      <w:r>
        <w:rPr>
          <w:rStyle w:val="deletedparamark"/>
        </w:rPr>
        <w:t xml:space="preserve"> </w:t>
      </w:r>
      <w:r>
        <w:t>in</w:t>
      </w:r>
      <w:r>
        <w:softHyphen/>
        <w:t>dicate their negative position on the axis, and thus re</w:t>
      </w:r>
      <w:r>
        <w:softHyphen/>
        <w:t>quire a bit</w:t>
      </w:r>
      <w:r>
        <w:rPr>
          <w:rStyle w:val="deletedparamark"/>
        </w:rPr>
        <w:t xml:space="preserve"> </w:t>
      </w:r>
      <w:r>
        <w:t>more effort to express.</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 scale, usage"&gt;</w:t>
      </w:r>
      <w:r>
        <w:rPr>
          <w:rStyle w:val="indexentry"/>
        </w:rPr>
        <w:fldChar w:fldCharType="begin"/>
      </w:r>
      <w:r>
        <w:instrText>xe "</w:instrText>
      </w:r>
      <w:r>
        <w:rPr>
          <w:rStyle w:val="xeentry"/>
        </w:rPr>
        <w:instrText>attitudinal scale: usage</w:instrText>
      </w:r>
      <w:r>
        <w:instrText>"</w:instrText>
      </w:r>
      <w:r>
        <w:rPr>
          <w:rStyle w:val="indexentry"/>
        </w:rPr>
        <w:fldChar w:fldCharType="end"/>
      </w:r>
      <w:r>
        <w:t>Much of this system is optional. You can express an attitude</w:t>
      </w:r>
      <w:r>
        <w:rPr>
          <w:rStyle w:val="deletedparamark"/>
        </w:rPr>
        <w:t xml:space="preserve"> </w:t>
      </w:r>
      <w:r>
        <w:t>without a scale indic</w:t>
      </w:r>
      <w:r>
        <w:t>a</w:t>
      </w:r>
      <w:r>
        <w:softHyphen/>
        <w:t>tor, if you don't want to stop and think about how</w:t>
      </w:r>
      <w:r>
        <w:rPr>
          <w:rStyle w:val="deletedparamark"/>
        </w:rPr>
        <w:t xml:space="preserve"> </w:t>
      </w:r>
      <w:r>
        <w:t>strongly you feel. Indeed, for most a</w:t>
      </w:r>
      <w:r>
        <w:t>t</w:t>
      </w:r>
      <w:r>
        <w:softHyphen/>
        <w:t>titudinals, we've found that</w:t>
      </w:r>
      <w:r>
        <w:rPr>
          <w:rStyle w:val="deletedparamark"/>
        </w:rPr>
        <w:t xml:space="preserve"> </w:t>
      </w:r>
      <w:r>
        <w:t>either no scalar value is used, or “cai” is used to in</w:t>
      </w:r>
      <w:r>
        <w:softHyphen/>
        <w:t>dicate e</w:t>
      </w:r>
      <w:r>
        <w:t>s</w:t>
      </w:r>
      <w:r>
        <w:softHyphen/>
        <w:t>pecially</w:t>
      </w:r>
      <w:r>
        <w:rPr>
          <w:rStyle w:val="deletedparamark"/>
        </w:rPr>
        <w:t xml:space="preserve"> </w:t>
      </w:r>
      <w:r>
        <w:t>high intensity. Less often, “ru'e” is used for a recognizably weak</w:t>
      </w:r>
      <w:r>
        <w:rPr>
          <w:rStyle w:val="deletedparamark"/>
        </w:rPr>
        <w:t xml:space="preserve"> </w:t>
      </w:r>
      <w:r>
        <w:t>in</w:t>
      </w:r>
      <w:r>
        <w:softHyphen/>
        <w:t>tensity, and “cu'i” is used in response to the attitudinal question “pei”</w:t>
      </w:r>
      <w:r>
        <w:rPr>
          <w:rStyle w:val="deletedparamark"/>
        </w:rPr>
        <w:t xml:space="preserve"> </w:t>
      </w:r>
      <w:r>
        <w:t xml:space="preserve">(see </w:t>
      </w:r>
      <w:r>
        <w:rPr>
          <w:rStyle w:val="htmlcodes"/>
        </w:rPr>
        <w:t>&lt;a href=#s10&gt;</w:t>
      </w:r>
      <w:r>
        <w:t>Section 10</w:t>
      </w:r>
      <w:r>
        <w:rPr>
          <w:rStyle w:val="htmlcodes"/>
        </w:rPr>
        <w:t>&lt;/a&gt;</w:t>
      </w:r>
      <w:r>
        <w:t>) to indicate that the emotion is not felt.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example of scale effect"&gt;</w:t>
      </w:r>
      <w:r>
        <w:rPr>
          <w:rStyle w:val="indexentry"/>
        </w:rPr>
        <w:fldChar w:fldCharType="begin"/>
      </w:r>
      <w:r>
        <w:instrText>xe "</w:instrText>
      </w:r>
      <w:r>
        <w:rPr>
          <w:rStyle w:val="xeentry"/>
        </w:rPr>
        <w:instrText>attitudinal: example of scale effect</w:instrText>
      </w:r>
      <w:r>
        <w:instrText>"</w:instrText>
      </w:r>
      <w:r>
        <w:rPr>
          <w:rStyle w:val="indexentry"/>
        </w:rPr>
        <w:fldChar w:fldCharType="end"/>
      </w:r>
      <w:r>
        <w:t>The following shows the variations resulting from intensity variation:</w:t>
      </w:r>
    </w:p>
    <w:p w:rsidR="00B72047" w:rsidRDefault="00B72047">
      <w:pPr>
        <w:rPr>
          <w:rStyle w:val="htmlparacode"/>
        </w:rPr>
      </w:pPr>
      <w:r>
        <w:rPr>
          <w:rStyle w:val="htmlparacode"/>
        </w:rPr>
        <w:t>&lt;p&gt;</w:t>
      </w:r>
    </w:p>
    <w:p w:rsidR="00B72047" w:rsidRDefault="00B72047">
      <w:pPr>
        <w:pStyle w:val="examplescaledpre"/>
      </w:pPr>
      <w:r>
        <w:rPr>
          <w:rStyle w:val="indexentry"/>
        </w:rPr>
        <w:t>&lt;lx ".ei"&gt;</w:t>
      </w:r>
      <w:r>
        <w:rPr>
          <w:rStyle w:val="indexentry"/>
        </w:rPr>
        <w:fldChar w:fldCharType="begin"/>
      </w:r>
      <w:r>
        <w:instrText>xe "</w:instrText>
      </w:r>
      <w:r>
        <w:rPr>
          <w:rStyle w:val="xeentry"/>
        </w:rPr>
        <w:instrText>ei</w:instrText>
      </w:r>
      <w:r>
        <w:instrText>"</w:instrText>
      </w:r>
      <w:r>
        <w:rPr>
          <w:rStyle w:val="indexentry"/>
        </w:rPr>
        <w:fldChar w:fldCharType="end"/>
      </w:r>
      <w:r>
        <w:rPr>
          <w:rStyle w:val="htmlcodes"/>
        </w:rPr>
        <w:t>&lt;pre&gt;&lt;a name=e4d1&gt;</w:t>
      </w:r>
      <w:r>
        <w:t>4.1)</w:t>
      </w:r>
      <w:r>
        <w:tab/>
        <w:t>.ei</w:t>
      </w:r>
    </w:p>
    <w:p w:rsidR="00B72047" w:rsidRDefault="00B72047">
      <w:pPr>
        <w:pStyle w:val="examplescaled"/>
      </w:pPr>
      <w:r>
        <w:tab/>
        <w:t>I ought to</w:t>
      </w:r>
    </w:p>
    <w:p w:rsidR="00B72047" w:rsidRDefault="00B72047">
      <w:pPr>
        <w:pStyle w:val="examplescaled"/>
      </w:pPr>
      <w:r>
        <w:tab/>
        <w:t>(a non-specific obligation)</w:t>
      </w:r>
    </w:p>
    <w:p w:rsidR="00B72047" w:rsidRDefault="00B72047">
      <w:pPr>
        <w:pStyle w:val="examplescaledpre"/>
      </w:pPr>
      <w:r>
        <w:rPr>
          <w:rStyle w:val="htmlcodes"/>
        </w:rPr>
        <w:t>&lt;/pre&gt;</w:t>
      </w:r>
      <w:r>
        <w:rPr>
          <w:rStyle w:val="indexentry"/>
        </w:rPr>
        <w:t>&lt;lx ".eicai"&gt;</w:t>
      </w:r>
      <w:r>
        <w:rPr>
          <w:rStyle w:val="indexentry"/>
        </w:rPr>
        <w:fldChar w:fldCharType="begin"/>
      </w:r>
      <w:r>
        <w:instrText>xe "</w:instrText>
      </w:r>
      <w:r>
        <w:rPr>
          <w:rStyle w:val="xeentry"/>
        </w:rPr>
        <w:instrText>eicai</w:instrText>
      </w:r>
      <w:r>
        <w:instrText>"</w:instrText>
      </w:r>
      <w:r>
        <w:rPr>
          <w:rStyle w:val="indexentry"/>
        </w:rPr>
        <w:fldChar w:fldCharType="end"/>
      </w:r>
      <w:r>
        <w:rPr>
          <w:rStyle w:val="htmlcodes"/>
        </w:rPr>
        <w:t>&lt;pre&gt;&lt;a name=e4d2&gt;</w:t>
      </w:r>
      <w:r>
        <w:t>4.2)</w:t>
      </w:r>
      <w:r>
        <w:tab/>
        <w:t>.eicai</w:t>
      </w:r>
    </w:p>
    <w:p w:rsidR="00B72047" w:rsidRDefault="00B72047">
      <w:pPr>
        <w:pStyle w:val="examplescaled"/>
      </w:pPr>
      <w:r>
        <w:tab/>
        <w:t>I shall/must</w:t>
      </w:r>
    </w:p>
    <w:p w:rsidR="00B72047" w:rsidRDefault="00B72047">
      <w:pPr>
        <w:pStyle w:val="examplescaled"/>
      </w:pPr>
      <w:r>
        <w:tab/>
        <w:t>(an intense obligation or requirement, possibly a formal one)</w:t>
      </w:r>
    </w:p>
    <w:p w:rsidR="00B72047" w:rsidRDefault="00B72047">
      <w:pPr>
        <w:pStyle w:val="examplescaledpre"/>
      </w:pPr>
      <w:r>
        <w:rPr>
          <w:rStyle w:val="htmlcodes"/>
        </w:rPr>
        <w:t>&lt;/pre&gt;</w:t>
      </w:r>
      <w:r>
        <w:rPr>
          <w:rStyle w:val="indexentry"/>
        </w:rPr>
        <w:t>&lt;lx ".eisai"&gt;</w:t>
      </w:r>
      <w:r>
        <w:rPr>
          <w:rStyle w:val="indexentry"/>
        </w:rPr>
        <w:fldChar w:fldCharType="begin"/>
      </w:r>
      <w:r>
        <w:instrText>xe "</w:instrText>
      </w:r>
      <w:r>
        <w:rPr>
          <w:rStyle w:val="xeentry"/>
        </w:rPr>
        <w:instrText>eisai</w:instrText>
      </w:r>
      <w:r>
        <w:instrText>"</w:instrText>
      </w:r>
      <w:r>
        <w:rPr>
          <w:rStyle w:val="indexentry"/>
        </w:rPr>
        <w:fldChar w:fldCharType="end"/>
      </w:r>
      <w:r>
        <w:rPr>
          <w:rStyle w:val="indexentry"/>
        </w:rPr>
        <w:t>&lt;ex "formal requirement"&gt;</w:t>
      </w:r>
      <w:r>
        <w:rPr>
          <w:rStyle w:val="indexentry"/>
        </w:rPr>
        <w:fldChar w:fldCharType="begin"/>
      </w:r>
      <w:r>
        <w:instrText>xe "</w:instrText>
      </w:r>
      <w:r>
        <w:rPr>
          <w:rStyle w:val="xeentry"/>
        </w:rPr>
        <w:instrText>formal requirement: example</w:instrText>
      </w:r>
      <w:r>
        <w:instrText>"</w:instrText>
      </w:r>
      <w:r>
        <w:rPr>
          <w:rStyle w:val="indexentry"/>
        </w:rPr>
        <w:fldChar w:fldCharType="end"/>
      </w:r>
      <w:r>
        <w:rPr>
          <w:rStyle w:val="htmlcodes"/>
        </w:rPr>
        <w:t>&lt;pre&gt;&lt;a name=e4d3&gt;</w:t>
      </w:r>
      <w:r>
        <w:t>4.3)</w:t>
      </w:r>
      <w:r>
        <w:tab/>
        <w:t>.eisai</w:t>
      </w:r>
    </w:p>
    <w:p w:rsidR="00B72047" w:rsidRDefault="00B72047">
      <w:pPr>
        <w:pStyle w:val="examplescaled"/>
      </w:pPr>
      <w:r>
        <w:tab/>
        <w:t>I should</w:t>
      </w:r>
    </w:p>
    <w:p w:rsidR="00B72047" w:rsidRDefault="00B72047">
      <w:pPr>
        <w:pStyle w:val="examplescaled"/>
      </w:pPr>
      <w:r>
        <w:tab/>
        <w:t>(a strong obligation or necessity, possibly an implied but not formal</w:t>
      </w:r>
    </w:p>
    <w:p w:rsidR="00B72047" w:rsidRDefault="00B72047">
      <w:pPr>
        <w:pStyle w:val="examplescaled"/>
        <w:ind w:firstLine="576"/>
      </w:pPr>
      <w:r>
        <w:t>requirement)</w:t>
      </w:r>
    </w:p>
    <w:p w:rsidR="00B72047" w:rsidRDefault="00B72047">
      <w:pPr>
        <w:pStyle w:val="examplescaledpre"/>
      </w:pPr>
      <w:r>
        <w:rPr>
          <w:rStyle w:val="htmlcodes"/>
        </w:rPr>
        <w:t>&lt;/pre&gt;</w:t>
      </w:r>
      <w:r>
        <w:rPr>
          <w:rStyle w:val="indexentry"/>
        </w:rPr>
        <w:t>&lt;lx ".eiru'e"&gt;</w:t>
      </w:r>
      <w:r>
        <w:rPr>
          <w:rStyle w:val="indexentry"/>
        </w:rPr>
        <w:fldChar w:fldCharType="begin"/>
      </w:r>
      <w:r>
        <w:instrText>xe "</w:instrText>
      </w:r>
      <w:r>
        <w:rPr>
          <w:rStyle w:val="xeentry"/>
        </w:rPr>
        <w:instrText>eiru'e</w:instrText>
      </w:r>
      <w:r>
        <w:instrText>"</w:instrText>
      </w:r>
      <w:r>
        <w:rPr>
          <w:rStyle w:val="indexentry"/>
        </w:rPr>
        <w:fldChar w:fldCharType="end"/>
      </w:r>
      <w:r>
        <w:rPr>
          <w:rStyle w:val="htmlcodes"/>
        </w:rPr>
        <w:t>&lt;pre&gt;&lt;a name=e4d4&gt;</w:t>
      </w:r>
      <w:r>
        <w:t>4.4)</w:t>
      </w:r>
      <w:r>
        <w:tab/>
        <w:t>.eiru'e</w:t>
      </w:r>
    </w:p>
    <w:p w:rsidR="00B72047" w:rsidRDefault="00B72047">
      <w:pPr>
        <w:pStyle w:val="examplescaled"/>
      </w:pPr>
      <w:r>
        <w:tab/>
        <w:t>I might</w:t>
      </w:r>
    </w:p>
    <w:p w:rsidR="00B72047" w:rsidRDefault="00B72047">
      <w:pPr>
        <w:pStyle w:val="examplescaled"/>
      </w:pPr>
      <w:r>
        <w:tab/>
        <w:t>(a weak obligation — in English often mixed with permission and desire)</w:t>
      </w:r>
    </w:p>
    <w:p w:rsidR="00B72047" w:rsidRDefault="00B72047">
      <w:pPr>
        <w:pStyle w:val="examplescaledpre"/>
      </w:pPr>
      <w:r>
        <w:rPr>
          <w:rStyle w:val="htmlcodes"/>
        </w:rPr>
        <w:t>&lt;/pre&gt;</w:t>
      </w:r>
      <w:r>
        <w:rPr>
          <w:rStyle w:val="indexentry"/>
        </w:rPr>
        <w:t>&lt;lx ".eicu'i"&gt;</w:t>
      </w:r>
      <w:r>
        <w:rPr>
          <w:rStyle w:val="indexentry"/>
        </w:rPr>
        <w:fldChar w:fldCharType="begin"/>
      </w:r>
      <w:r>
        <w:instrText>xe "</w:instrText>
      </w:r>
      <w:r>
        <w:rPr>
          <w:rStyle w:val="xeentry"/>
        </w:rPr>
        <w:instrText>eicu'i</w:instrText>
      </w:r>
      <w:r>
        <w:instrText>"</w:instrText>
      </w:r>
      <w:r>
        <w:rPr>
          <w:rStyle w:val="indexentry"/>
        </w:rPr>
        <w:fldChar w:fldCharType="end"/>
      </w:r>
      <w:r>
        <w:rPr>
          <w:rStyle w:val="htmlcodes"/>
        </w:rPr>
        <w:t>&lt;pre&gt;&lt;a name=e4d5&gt;</w:t>
      </w:r>
      <w:r>
        <w:t>4.5)</w:t>
      </w:r>
      <w:r>
        <w:tab/>
        <w:t>.eicu'i</w:t>
      </w:r>
    </w:p>
    <w:p w:rsidR="00B72047" w:rsidRDefault="00B72047">
      <w:pPr>
        <w:pStyle w:val="examplescaled"/>
      </w:pPr>
      <w:r>
        <w:tab/>
        <w:t>No matter</w:t>
      </w:r>
    </w:p>
    <w:p w:rsidR="00B72047" w:rsidRDefault="00B72047">
      <w:pPr>
        <w:pStyle w:val="examplescaled"/>
      </w:pPr>
      <w:r>
        <w:tab/>
        <w:t>(no particular obligation)</w:t>
      </w:r>
    </w:p>
    <w:p w:rsidR="00B72047" w:rsidRDefault="00B72047">
      <w:pPr>
        <w:pStyle w:val="examplescaledpre"/>
      </w:pPr>
      <w:r>
        <w:rPr>
          <w:rStyle w:val="htmlcodes"/>
        </w:rPr>
        <w:t>&lt;/pre&gt;</w:t>
      </w:r>
      <w:r>
        <w:rPr>
          <w:rStyle w:val="indexentry"/>
        </w:rPr>
        <w:t>&lt;lx ".einai"&gt;</w:t>
      </w:r>
      <w:r>
        <w:rPr>
          <w:rStyle w:val="indexentry"/>
        </w:rPr>
        <w:fldChar w:fldCharType="begin"/>
      </w:r>
      <w:r>
        <w:instrText>xe "</w:instrText>
      </w:r>
      <w:r>
        <w:rPr>
          <w:rStyle w:val="xeentry"/>
        </w:rPr>
        <w:instrText>einai</w:instrText>
      </w:r>
      <w:r>
        <w:instrText>"</w:instrText>
      </w:r>
      <w:r>
        <w:rPr>
          <w:rStyle w:val="indexentry"/>
        </w:rPr>
        <w:fldChar w:fldCharType="end"/>
      </w:r>
      <w:r>
        <w:rPr>
          <w:rStyle w:val="htmlcodes"/>
        </w:rPr>
        <w:t>&lt;pre&gt;&lt;a name=e4d6&gt;</w:t>
      </w:r>
      <w:r>
        <w:t>4.6)</w:t>
      </w:r>
      <w:r>
        <w:tab/>
        <w:t>.einai</w:t>
      </w:r>
    </w:p>
    <w:p w:rsidR="00B72047" w:rsidRDefault="00B72047">
      <w:pPr>
        <w:pStyle w:val="examplescaled"/>
      </w:pPr>
      <w:r>
        <w:tab/>
        <w:t>I need not</w:t>
      </w:r>
    </w:p>
    <w:p w:rsidR="00B72047" w:rsidRDefault="00B72047">
      <w:pPr>
        <w:pStyle w:val="examplescaled"/>
      </w:pPr>
      <w:r>
        <w:tab/>
        <w:t>(a non-obligation)</w:t>
      </w:r>
    </w:p>
    <w:p w:rsidR="00B72047" w:rsidRDefault="00B72047">
      <w:pPr>
        <w:pStyle w:val="normalafterexample"/>
      </w:pPr>
      <w:r>
        <w:rPr>
          <w:rStyle w:val="htmlcodes"/>
        </w:rPr>
        <w:t>&lt;/pre&gt;</w:t>
      </w:r>
      <w:r>
        <w:rPr>
          <w:rStyle w:val="indexentry"/>
        </w:rPr>
        <w:t>&lt;cx "attitudinal scale, stand-alone usage"&gt;</w:t>
      </w:r>
      <w:r>
        <w:rPr>
          <w:rStyle w:val="indexentry"/>
        </w:rPr>
        <w:fldChar w:fldCharType="begin"/>
      </w:r>
      <w:r>
        <w:instrText>xe "</w:instrText>
      </w:r>
      <w:r>
        <w:rPr>
          <w:rStyle w:val="xeentry"/>
        </w:rPr>
        <w:instrText>attitudinal scale: stand-alone usage</w:instrText>
      </w:r>
      <w:r>
        <w:instrText>"</w:instrText>
      </w:r>
      <w:r>
        <w:rPr>
          <w:rStyle w:val="indexentry"/>
        </w:rPr>
        <w:fldChar w:fldCharType="end"/>
      </w:r>
      <w:r>
        <w:t>You can also utter a scale indicator without a specific emo</w:t>
      </w:r>
      <w:r>
        <w:softHyphen/>
        <w:t>tion.</w:t>
      </w:r>
      <w:r>
        <w:rPr>
          <w:rStyle w:val="deletedparamark"/>
        </w:rPr>
        <w:t xml:space="preserve"> </w:t>
      </w:r>
      <w:r>
        <w:t>This is often used in the language: in order to emphasize a point about</w:t>
      </w:r>
      <w:r>
        <w:rPr>
          <w:rStyle w:val="deletedparamark"/>
        </w:rPr>
        <w:t xml:space="preserve"> </w:t>
      </w:r>
      <w:r>
        <w:t>which you feel strongly, you mark what you are saying with the scale</w:t>
      </w:r>
      <w:r>
        <w:rPr>
          <w:rStyle w:val="deletedparamark"/>
        </w:rPr>
        <w:t xml:space="preserve"> </w:t>
      </w:r>
      <w:r>
        <w:t>indicator “cai”. You could also indicate that you don't care using</w:t>
      </w:r>
      <w:r>
        <w:rPr>
          <w:rStyle w:val="deletedparamark"/>
        </w:rPr>
        <w:t xml:space="preserve"> “</w:t>
      </w:r>
      <w:r>
        <w:t>cu'i” by itself.</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400" w:name="_Toc398970642"/>
      <w:r>
        <w:rPr>
          <w:rStyle w:val="Heading3Text"/>
        </w:rPr>
        <w:t>The space of emotions</w:t>
      </w:r>
      <w:bookmarkEnd w:id="40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 scale, as axis in emotion-space"&gt;</w:t>
      </w:r>
      <w:r>
        <w:rPr>
          <w:rStyle w:val="indexentry"/>
        </w:rPr>
        <w:fldChar w:fldCharType="begin"/>
      </w:r>
      <w:r>
        <w:instrText>xe "</w:instrText>
      </w:r>
      <w:r>
        <w:rPr>
          <w:rStyle w:val="xeentry"/>
        </w:rPr>
        <w:instrText>attitudinal scale: as axis in emotion-space</w:instrText>
      </w:r>
      <w:r>
        <w:instrText>"</w:instrText>
      </w:r>
      <w:r>
        <w:rPr>
          <w:rStyle w:val="indexentry"/>
        </w:rPr>
        <w:fldChar w:fldCharType="end"/>
      </w:r>
      <w:r>
        <w:t>Each of the attitude scales constitutes an axis in a multi-di</w:t>
      </w:r>
      <w:r>
        <w:softHyphen/>
        <w:t>mensional</w:t>
      </w:r>
      <w:r>
        <w:rPr>
          <w:rStyle w:val="deletedparamark"/>
        </w:rPr>
        <w:t xml:space="preserve"> </w:t>
      </w:r>
      <w:r>
        <w:t>space. In effect, given our total so far of 39 scales, we have a</w:t>
      </w:r>
      <w:r>
        <w:rPr>
          <w:rStyle w:val="deletedparamark"/>
        </w:rPr>
        <w:t xml:space="preserve"> </w:t>
      </w:r>
      <w:r>
        <w:t>39-dimensional space. At any given time, our emotions and attitudes are</w:t>
      </w:r>
      <w:r>
        <w:rPr>
          <w:rStyle w:val="deletedparamark"/>
        </w:rPr>
        <w:t xml:space="preserve"> </w:t>
      </w:r>
      <w:r>
        <w:t>represented by a point in this 39-dimensional space, with the intensity</w:t>
      </w:r>
      <w:r>
        <w:rPr>
          <w:rStyle w:val="deletedparamark"/>
        </w:rPr>
        <w:t xml:space="preserve"> </w:t>
      </w:r>
      <w:r>
        <w:t>indicators serving as coordinates along each dimen</w:t>
      </w:r>
      <w:r>
        <w:softHyphen/>
        <w:t>sion. A complete</w:t>
      </w:r>
      <w:r>
        <w:rPr>
          <w:rStyle w:val="deletedparamark"/>
        </w:rPr>
        <w:t xml:space="preserve"> </w:t>
      </w:r>
      <w:r>
        <w:t>attitud</w:t>
      </w:r>
      <w:r>
        <w:t>i</w:t>
      </w:r>
      <w:r>
        <w:softHyphen/>
        <w:t>nal inventory, should one decide to express it, would consist of</w:t>
      </w:r>
      <w:r>
        <w:rPr>
          <w:rStyle w:val="deletedparamark"/>
        </w:rPr>
        <w:t xml:space="preserve"> </w:t>
      </w:r>
      <w:r>
        <w:t>reading off each of the scale values for each of the emotions, with the</w:t>
      </w:r>
      <w:r>
        <w:rPr>
          <w:rStyle w:val="deletedparamark"/>
        </w:rPr>
        <w:t xml:space="preserve"> </w:t>
      </w:r>
      <w:r>
        <w:t>vector sum serving as a distinct single point, which is our attitude.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emotions"&gt;</w:t>
      </w:r>
      <w:r>
        <w:rPr>
          <w:rStyle w:val="indexentry"/>
        </w:rPr>
        <w:fldChar w:fldCharType="begin"/>
      </w:r>
      <w:r>
        <w:instrText>xe "</w:instrText>
      </w:r>
      <w:r>
        <w:rPr>
          <w:rStyle w:val="xeentry"/>
        </w:rPr>
        <w:instrText>compound emotions</w:instrText>
      </w:r>
      <w:r>
        <w:instrText>"</w:instrText>
      </w:r>
      <w:r>
        <w:rPr>
          <w:rStyle w:val="indexentry"/>
        </w:rPr>
        <w:fldChar w:fldCharType="end"/>
      </w:r>
      <w:r>
        <w:rPr>
          <w:rStyle w:val="indexentry"/>
        </w:rPr>
        <w:t>&lt;cx "emotions, compound"&gt;</w:t>
      </w:r>
      <w:r>
        <w:rPr>
          <w:rStyle w:val="indexentry"/>
        </w:rPr>
        <w:fldChar w:fldCharType="begin"/>
      </w:r>
      <w:r>
        <w:instrText>xe "</w:instrText>
      </w:r>
      <w:r>
        <w:rPr>
          <w:rStyle w:val="xeentry"/>
        </w:rPr>
        <w:instrText>emotions: compound</w:instrText>
      </w:r>
      <w:r>
        <w:instrText>"</w:instrText>
      </w:r>
      <w:r>
        <w:rPr>
          <w:rStyle w:val="indexentry"/>
        </w:rPr>
        <w:fldChar w:fldCharType="end"/>
      </w:r>
      <w:r>
        <w:rPr>
          <w:rStyle w:val="indexentry"/>
        </w:rPr>
        <w:t>&lt;cx "emotion, insights"&gt;</w:t>
      </w:r>
      <w:r>
        <w:rPr>
          <w:rStyle w:val="indexentry"/>
        </w:rPr>
        <w:fldChar w:fldCharType="begin"/>
      </w:r>
      <w:r>
        <w:instrText>xe "</w:instrText>
      </w:r>
      <w:r>
        <w:rPr>
          <w:rStyle w:val="xeentry"/>
        </w:rPr>
        <w:instrText>emotions: insights</w:instrText>
      </w:r>
      <w:r>
        <w:instrText>"</w:instrText>
      </w:r>
      <w:r>
        <w:rPr>
          <w:rStyle w:val="indexentry"/>
        </w:rPr>
        <w:fldChar w:fldCharType="end"/>
      </w:r>
      <w:r>
        <w:rPr>
          <w:rStyle w:val="indexentry"/>
        </w:rPr>
        <w:t>&lt;cx "emotion, when expressed"&gt;</w:t>
      </w:r>
      <w:r>
        <w:rPr>
          <w:rStyle w:val="indexentry"/>
        </w:rPr>
        <w:fldChar w:fldCharType="begin"/>
      </w:r>
      <w:r>
        <w:instrText>xe "</w:instrText>
      </w:r>
      <w:r>
        <w:rPr>
          <w:rStyle w:val="xeentry"/>
        </w:rPr>
        <w:instrText>emotions: when expressed</w:instrText>
      </w:r>
      <w:r>
        <w:instrText>"</w:instrText>
      </w:r>
      <w:r>
        <w:rPr>
          <w:rStyle w:val="indexentry"/>
        </w:rPr>
        <w:fldChar w:fldCharType="end"/>
      </w:r>
      <w:r>
        <w:t>Now no one is going to ever utter a string of 100-odd attitudi</w:t>
      </w:r>
      <w:r>
        <w:softHyphen/>
        <w:t>nals to</w:t>
      </w:r>
      <w:r>
        <w:rPr>
          <w:rStyle w:val="deletedparamark"/>
        </w:rPr>
        <w:t xml:space="preserve"> </w:t>
      </w:r>
      <w:r>
        <w:t>express their emotions. If asked, we normally do not recog</w:t>
      </w:r>
      <w:r>
        <w:softHyphen/>
        <w:t>nize more</w:t>
      </w:r>
      <w:r>
        <w:rPr>
          <w:rStyle w:val="deletedparamark"/>
        </w:rPr>
        <w:t xml:space="preserve"> </w:t>
      </w:r>
      <w:r>
        <w:t>than one or two emotions at a time — usually the ones that are strongest</w:t>
      </w:r>
      <w:r>
        <w:rPr>
          <w:rStyle w:val="deletedparamark"/>
        </w:rPr>
        <w:t xml:space="preserve"> </w:t>
      </w:r>
      <w:r>
        <w:t>or which most recently changed in some si</w:t>
      </w:r>
      <w:r>
        <w:t>g</w:t>
      </w:r>
      <w:r>
        <w:softHyphen/>
        <w:t>nificant way. But the scale</w:t>
      </w:r>
      <w:r>
        <w:rPr>
          <w:rStyle w:val="deletedparamark"/>
        </w:rPr>
        <w:t xml:space="preserve"> </w:t>
      </w:r>
      <w:r>
        <w:t>system provides some useful insights into a possi</w:t>
      </w:r>
      <w:r>
        <w:softHyphen/>
        <w:t>ble the</w:t>
      </w:r>
      <w:r>
        <w:softHyphen/>
        <w:t>ory of emotion</w:t>
      </w:r>
      <w:r>
        <w:rPr>
          <w:rStyle w:val="deletedparamark"/>
        </w:rPr>
        <w:t xml:space="preserve"> </w:t>
      </w:r>
      <w:r>
        <w:t>(which might be testable using Lojban), and incidentally explains how</w:t>
      </w:r>
      <w:r>
        <w:rPr>
          <w:rStyle w:val="deletedparamark"/>
        </w:rPr>
        <w:t xml:space="preserve"> </w:t>
      </w:r>
      <w:r>
        <w:t>Lojba</w:t>
      </w:r>
      <w:r>
        <w:t>n</w:t>
      </w:r>
      <w:r>
        <w:softHyphen/>
        <w:t>ists express compound emotions when they do recognize them.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scale, neutral compared with positive + negative"&gt;</w:t>
      </w:r>
      <w:r>
        <w:rPr>
          <w:rStyle w:val="indexentry"/>
        </w:rPr>
        <w:fldChar w:fldCharType="begin"/>
      </w:r>
      <w:r>
        <w:instrText>xe "</w:instrText>
      </w:r>
      <w:r>
        <w:rPr>
          <w:rStyle w:val="xeentry"/>
        </w:rPr>
        <w:instrText>attitudinal scale: neutral compared with positive + negative</w:instrText>
      </w:r>
      <w:r>
        <w:instrText>"</w:instrText>
      </w:r>
      <w:r>
        <w:rPr>
          <w:rStyle w:val="indexentry"/>
        </w:rPr>
        <w:fldChar w:fldCharType="end"/>
      </w:r>
      <w:r>
        <w:t>The existence of 39 scales highlights the complexity of emo</w:t>
      </w:r>
      <w:r>
        <w:softHyphen/>
        <w:t>tion. We</w:t>
      </w:r>
      <w:r>
        <w:rPr>
          <w:rStyle w:val="deletedparamark"/>
        </w:rPr>
        <w:t xml:space="preserve"> </w:t>
      </w:r>
      <w:r>
        <w:t xml:space="preserve">also aren't bound to the 39. There are modifiers described in </w:t>
      </w:r>
      <w:r>
        <w:rPr>
          <w:rStyle w:val="htmlcodes"/>
        </w:rPr>
        <w:t>&lt;a href=#s6&gt;</w:t>
      </w:r>
      <w:r>
        <w:t xml:space="preserve">Section 6 </w:t>
      </w:r>
      <w:r>
        <w:rPr>
          <w:rStyle w:val="htmlcodes"/>
        </w:rPr>
        <w:t>&lt;/a&gt;</w:t>
      </w:r>
      <w:r>
        <w:t>that multiply the set of scales by an order of magnitude. You can</w:t>
      </w:r>
      <w:r>
        <w:rPr>
          <w:rStyle w:val="deletedparamark"/>
        </w:rPr>
        <w:t xml:space="preserve"> </w:t>
      </w:r>
      <w:r>
        <w:t>also have mixed feelings on a scale, which might be ex</w:t>
      </w:r>
      <w:r>
        <w:softHyphen/>
        <w:t>pressed by “cu'i”,</w:t>
      </w:r>
      <w:r>
        <w:rPr>
          <w:rStyle w:val="deletedparamark"/>
        </w:rPr>
        <w:t xml:space="preserve"> </w:t>
      </w:r>
      <w:r>
        <w:t>but could also be expressed by using both the “positive” and “negative”</w:t>
      </w:r>
      <w:r>
        <w:rPr>
          <w:rStyle w:val="deletedparamark"/>
        </w:rPr>
        <w:t xml:space="preserve"> </w:t>
      </w:r>
      <w:r>
        <w:t>scale emotions at once. One expression of “fortitude” might be “.ii.iinai”</w:t>
      </w:r>
      <w:r>
        <w:rPr>
          <w:rStyle w:val="deletedparamark"/>
        </w:rPr>
        <w:t xml:space="preserve"> </w:t>
      </w:r>
      <w:r>
        <w:t>— fear coupled with security.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order of"&gt;</w:t>
      </w:r>
      <w:r>
        <w:rPr>
          <w:rStyle w:val="indexentry"/>
        </w:rPr>
        <w:fldChar w:fldCharType="begin"/>
      </w:r>
      <w:r>
        <w:instrText>xe "</w:instrText>
      </w:r>
      <w:r>
        <w:rPr>
          <w:rStyle w:val="xeentry"/>
        </w:rPr>
        <w:instrText>attitudinals: order of</w:instrText>
      </w:r>
      <w:r>
        <w:instrText>"</w:instrText>
      </w:r>
      <w:r>
        <w:rPr>
          <w:rStyle w:val="indexentry"/>
        </w:rPr>
        <w:fldChar w:fldCharType="end"/>
      </w:r>
      <w:r>
        <w:rPr>
          <w:rStyle w:val="indexentry"/>
        </w:rPr>
        <w:t>&lt;cx "attitudinals, contrasted with rationalizations of emotion"&gt;</w:t>
      </w:r>
      <w:r>
        <w:rPr>
          <w:rStyle w:val="indexentry"/>
        </w:rPr>
        <w:fldChar w:fldCharType="begin"/>
      </w:r>
      <w:r>
        <w:instrText>xe "</w:instrText>
      </w:r>
      <w:r>
        <w:rPr>
          <w:rStyle w:val="xeentry"/>
        </w:rPr>
        <w:instrText>attitudinals: contrasted with rationalizations of emotion</w:instrText>
      </w:r>
      <w:r>
        <w:instrText>"</w:instrText>
      </w:r>
      <w:r>
        <w:rPr>
          <w:rStyle w:val="indexentry"/>
        </w:rPr>
        <w:fldChar w:fldCharType="end"/>
      </w:r>
      <w:r>
        <w:t>Uttering one or more attitudinals to express an emotion re</w:t>
      </w:r>
      <w:r>
        <w:softHyphen/>
        <w:t>flects several</w:t>
      </w:r>
      <w:r>
        <w:rPr>
          <w:rStyle w:val="deletedparamark"/>
        </w:rPr>
        <w:t xml:space="preserve"> </w:t>
      </w:r>
      <w:r>
        <w:t>things. We will tend to utter emotions in their immediate order of</w:t>
      </w:r>
      <w:r>
        <w:rPr>
          <w:rStyle w:val="deletedparamark"/>
        </w:rPr>
        <w:t xml:space="preserve"> </w:t>
      </w:r>
      <w:r>
        <w:t>importance to us. We feel several emotions at once, and our expression</w:t>
      </w:r>
      <w:r>
        <w:rPr>
          <w:rStyle w:val="deletedparamark"/>
        </w:rPr>
        <w:t xml:space="preserve"> </w:t>
      </w:r>
      <w:r>
        <w:t>reflects these emotions simultaneously, although their order of importance</w:t>
      </w:r>
      <w:r>
        <w:rPr>
          <w:rStyle w:val="deletedparamark"/>
        </w:rPr>
        <w:t xml:space="preserve"> </w:t>
      </w:r>
      <w:r>
        <w:t>to us is also revealing — of our attitude towards our attitude, so to speak.</w:t>
      </w:r>
      <w:r>
        <w:rPr>
          <w:rStyle w:val="deletedparamark"/>
        </w:rPr>
        <w:t xml:space="preserve"> </w:t>
      </w:r>
      <w:r>
        <w:t>There is little analysis necessary; for those emotions you feel, you express</w:t>
      </w:r>
      <w:r>
        <w:rPr>
          <w:rStyle w:val="deletedparamark"/>
        </w:rPr>
        <w:t xml:space="preserve"> </w:t>
      </w:r>
      <w:r>
        <w:t>them; the “vector sum” naturally ex</w:t>
      </w:r>
      <w:r>
        <w:softHyphen/>
        <w:t>presses the result. This is vital to</w:t>
      </w:r>
      <w:r>
        <w:rPr>
          <w:rStyle w:val="deletedparamark"/>
        </w:rPr>
        <w:t xml:space="preserve"> </w:t>
      </w:r>
      <w:r>
        <w:t>their na</w:t>
      </w:r>
      <w:r>
        <w:softHyphen/>
        <w:t>ture as attitudinals — if you had to stop and think about them, or</w:t>
      </w:r>
      <w:r>
        <w:rPr>
          <w:rStyle w:val="deletedparamark"/>
        </w:rPr>
        <w:t xml:space="preserve"> </w:t>
      </w:r>
      <w:r>
        <w:t>to worry about gram</w:t>
      </w:r>
      <w:r>
        <w:softHyphen/>
        <w:t>mar, they wouldn't be emotions but rationalizations.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contrasted with bridi"&gt;</w:t>
      </w:r>
      <w:r>
        <w:rPr>
          <w:rStyle w:val="indexentry"/>
        </w:rPr>
        <w:fldChar w:fldCharType="begin"/>
      </w:r>
      <w:r>
        <w:instrText>xe "</w:instrText>
      </w:r>
      <w:r>
        <w:rPr>
          <w:rStyle w:val="xeentry"/>
        </w:rPr>
        <w:instrText>attitudinals: contrasted with bridi</w:instrText>
      </w:r>
      <w:r>
        <w:instrText>"</w:instrText>
      </w:r>
      <w:r>
        <w:rPr>
          <w:rStyle w:val="indexentry"/>
        </w:rPr>
        <w:fldChar w:fldCharType="end"/>
      </w:r>
      <w:r>
        <w:t>People have proposed that attitudinals be expressed as bridi just like</w:t>
      </w:r>
      <w:r>
        <w:rPr>
          <w:rStyle w:val="deletedparamark"/>
        </w:rPr>
        <w:t xml:space="preserve"> </w:t>
      </w:r>
      <w:r>
        <w:t>everything else; but emotions aren't logical or analytical — saying “I'm</w:t>
      </w:r>
      <w:r>
        <w:rPr>
          <w:rStyle w:val="deletedparamark"/>
        </w:rPr>
        <w:t xml:space="preserve"> </w:t>
      </w:r>
      <w:r>
        <w:t>awed” is not the same as saying “Wow!!!”. The Lojban system is intended to</w:t>
      </w:r>
      <w:r>
        <w:rPr>
          <w:rStyle w:val="deletedparamark"/>
        </w:rPr>
        <w:t xml:space="preserve"> </w:t>
      </w:r>
      <w:r>
        <w:t>give the effects of an analytical system without the thought involved. Thus,</w:t>
      </w:r>
      <w:r>
        <w:rPr>
          <w:rStyle w:val="deletedparamark"/>
        </w:rPr>
        <w:t xml:space="preserve"> </w:t>
      </w:r>
      <w:r>
        <w:t>you can simply feel in Lojban.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design benefit"&gt;</w:t>
      </w:r>
      <w:r>
        <w:rPr>
          <w:rStyle w:val="indexentry"/>
        </w:rPr>
        <w:fldChar w:fldCharType="begin"/>
      </w:r>
      <w:r>
        <w:instrText>xe "</w:instrText>
      </w:r>
      <w:r>
        <w:rPr>
          <w:rStyle w:val="xeentry"/>
        </w:rPr>
        <w:instrText>attitudinals: design benefit</w:instrText>
      </w:r>
      <w:r>
        <w:instrText>"</w:instrText>
      </w:r>
      <w:r>
        <w:rPr>
          <w:rStyle w:val="indexentry"/>
        </w:rPr>
        <w:fldChar w:fldCharType="end"/>
      </w:r>
      <w:r>
        <w:t>A nice feature of this design is that you can be simple or complex, and</w:t>
      </w:r>
      <w:r>
        <w:rPr>
          <w:rStyle w:val="deletedparamark"/>
        </w:rPr>
        <w:t xml:space="preserve"> </w:t>
      </w:r>
      <w:r>
        <w:t>the system works the same way. The most immediate benefit is in</w:t>
      </w:r>
      <w:r>
        <w:rPr>
          <w:rStyle w:val="deletedparamark"/>
        </w:rPr>
        <w:t xml:space="preserve"> </w:t>
      </w:r>
      <w:r>
        <w:t>learning. You only need to learn a couple of the scale words and a couple</w:t>
      </w:r>
      <w:r>
        <w:rPr>
          <w:rStyle w:val="deletedparamark"/>
        </w:rPr>
        <w:t xml:space="preserve"> </w:t>
      </w:r>
      <w:r>
        <w:t>of attitude words, and you're ready to express your emotions Lojbanically.</w:t>
      </w:r>
      <w:r>
        <w:rPr>
          <w:rStyle w:val="deletedparamark"/>
        </w:rPr>
        <w:t xml:space="preserve"> </w:t>
      </w:r>
      <w:r>
        <w:t>As you learn more, you can express your emotions more tho</w:t>
      </w:r>
      <w:r>
        <w:t>r</w:t>
      </w:r>
      <w:r>
        <w:softHyphen/>
        <w:t>oughly and more</w:t>
      </w:r>
      <w:r>
        <w:rPr>
          <w:rStyle w:val="deletedparamark"/>
        </w:rPr>
        <w:t xml:space="preserve"> </w:t>
      </w:r>
      <w:r>
        <w:t>precisely, but even a limited vo</w:t>
      </w:r>
      <w:r>
        <w:softHyphen/>
        <w:t>cabulary offers a broad range of expre</w:t>
      </w:r>
      <w:r>
        <w:t>s</w:t>
      </w:r>
      <w:r>
        <w:softHyphen/>
        <w:t>sion.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401" w:name="_Toc398970643"/>
      <w:r>
        <w:rPr>
          <w:rStyle w:val="Heading3Text"/>
        </w:rPr>
        <w:t>Emotional categories</w:t>
      </w:r>
      <w:bookmarkEnd w:id="40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"emotional categories"&gt;</w:t>
      </w:r>
      <w:r>
        <w:rPr>
          <w:rStyle w:val="indexentry"/>
        </w:rPr>
        <w:fldChar w:fldCharType="begin"/>
      </w:r>
      <w:r>
        <w:instrText>xe "</w:instrText>
      </w:r>
      <w:r>
        <w:rPr>
          <w:rStyle w:val="xeentry"/>
        </w:rPr>
        <w:instrText>emotional categories</w:instrText>
      </w:r>
      <w:r>
        <w:instrText>"</w:instrText>
      </w:r>
      <w:r>
        <w:rPr>
          <w:rStyle w:val="indexentry"/>
        </w:rPr>
        <w:fldChar w:fldCharType="end"/>
      </w:r>
      <w:r>
        <w:rPr>
          <w:rStyle w:val="indexentry"/>
        </w:rPr>
        <w:t>&lt;cx "attitudinal categories"&gt;</w:t>
      </w:r>
      <w:r>
        <w:rPr>
          <w:rStyle w:val="indexentry"/>
        </w:rPr>
        <w:fldChar w:fldCharType="begin"/>
      </w:r>
      <w:r>
        <w:instrText>xe "</w:instrText>
      </w:r>
      <w:r>
        <w:rPr>
          <w:rStyle w:val="xeentry"/>
        </w:rPr>
        <w:instrText>attitudinal categories</w:instrText>
      </w:r>
      <w:r>
        <w:instrText>"</w:instrText>
      </w:r>
      <w:r>
        <w:rPr>
          <w:rStyle w:val="indexentry"/>
        </w:rPr>
        <w:fldChar w:fldCharType="end"/>
      </w:r>
      <w:r>
        <w:rPr>
          <w:rStyle w:val="indexentry"/>
        </w:rPr>
        <w:t>&lt;cx "attitudinal categories, rationale"&gt;</w:t>
      </w:r>
      <w:r>
        <w:rPr>
          <w:rStyle w:val="indexentry"/>
        </w:rPr>
        <w:fldChar w:fldCharType="begin"/>
      </w:r>
      <w:r>
        <w:instrText>xe "</w:instrText>
      </w:r>
      <w:r>
        <w:rPr>
          <w:rStyle w:val="xeentry"/>
        </w:rPr>
        <w:instrText>attitudinal categories: rationale</w:instrText>
      </w:r>
      <w:r>
        <w:instrText>"</w:instrText>
      </w:r>
      <w:r>
        <w:rPr>
          <w:rStyle w:val="indexentry"/>
        </w:rPr>
        <w:fldChar w:fldCharType="end"/>
      </w:r>
      <w:r>
        <w:t>The Lojban attitudinal system was designed by starting with a long list</w:t>
      </w:r>
      <w:r>
        <w:rPr>
          <w:rStyle w:val="deletedparamark"/>
        </w:rPr>
        <w:t xml:space="preserve"> </w:t>
      </w:r>
      <w:r>
        <w:t>of English emotion words, far too many to fit into the 39 available VV-form</w:t>
      </w:r>
      <w:r>
        <w:rPr>
          <w:rStyle w:val="deletedparamark"/>
        </w:rPr>
        <w:t xml:space="preserve"> </w:t>
      </w:r>
      <w:r>
        <w:t>cmavo. To keep the number of cmavo limited, the emotion words in the list</w:t>
      </w:r>
      <w:r>
        <w:rPr>
          <w:rStyle w:val="deletedparamark"/>
        </w:rPr>
        <w:t xml:space="preserve"> </w:t>
      </w:r>
      <w:r>
        <w:t>were grouped together by co</w:t>
      </w:r>
      <w:r>
        <w:t>m</w:t>
      </w:r>
      <w:r>
        <w:softHyphen/>
        <w:t>mon features: each group was then assigned a</w:t>
      </w:r>
      <w:r>
        <w:rPr>
          <w:rStyle w:val="deletedparamark"/>
        </w:rPr>
        <w:t xml:space="preserve"> </w:t>
      </w:r>
      <w:r>
        <w:t>separate cmavo. This was like making tanru in reverse, and the result</w:t>
      </w:r>
      <w:r>
        <w:rPr>
          <w:rStyle w:val="deletedparamark"/>
        </w:rPr>
        <w:t xml:space="preserve"> </w:t>
      </w:r>
      <w:r>
        <w:t>is a collection of indicators that can be com</w:t>
      </w:r>
      <w:r>
        <w:softHyphen/>
        <w:t>bined, like tanru, to</w:t>
      </w:r>
      <w:r>
        <w:rPr>
          <w:rStyle w:val="deletedparamark"/>
        </w:rPr>
        <w:t xml:space="preserve"> </w:t>
      </w:r>
      <w:r>
        <w:t>express very complex emotions. Some examples in a moment.</w:t>
      </w:r>
    </w:p>
    <w:p w:rsidR="00B72047" w:rsidRDefault="00B72047">
      <w:pPr>
        <w:pStyle w:val="normalparagraph"/>
        <w:rPr>
          <w:rStyle w:val="htmlparacode"/>
        </w:rPr>
      </w:pPr>
      <w:r>
        <w:rPr>
          <w:rStyle w:val="htmlparacode"/>
        </w:rPr>
        <w:t>&lt;p&gt;</w:t>
      </w:r>
    </w:p>
    <w:p w:rsidR="00B72047" w:rsidRDefault="00B72047">
      <w:pPr>
        <w:pStyle w:val="normalparagraph"/>
      </w:pPr>
      <w:r>
        <w:t>The most significant “common feature” we identified was that the</w:t>
      </w:r>
      <w:r>
        <w:rPr>
          <w:rStyle w:val="deletedparamark"/>
        </w:rPr>
        <w:t xml:space="preserve"> </w:t>
      </w:r>
      <w:r>
        <w:t>emotional words on the list could easily be broken down into six major</w:t>
      </w:r>
      <w:r>
        <w:rPr>
          <w:rStyle w:val="deletedparamark"/>
        </w:rPr>
        <w:t xml:space="preserve"> </w:t>
      </w:r>
      <w:r>
        <w:t>groups, each of which was assigned its own cmavo:</w:t>
      </w:r>
    </w:p>
    <w:p w:rsidR="00B72047" w:rsidRDefault="00B72047">
      <w:pPr>
        <w:rPr>
          <w:rStyle w:val="htmlparacode"/>
        </w:rPr>
      </w:pPr>
      <w:r>
        <w:rPr>
          <w:rStyle w:val="htmlparacode"/>
        </w:rPr>
        <w:t>&lt;p&gt;</w:t>
      </w:r>
    </w:p>
    <w:p w:rsidR="00B72047" w:rsidRDefault="00B72047">
      <w:pPr>
        <w:pStyle w:val="examplewtabspre"/>
      </w:pPr>
      <w:r>
        <w:rPr>
          <w:rStyle w:val="indexentry"/>
        </w:rPr>
        <w:t>&lt;lx "ro'a"&gt;</w:t>
      </w:r>
      <w:r>
        <w:rPr>
          <w:rStyle w:val="indexentry"/>
        </w:rPr>
        <w:fldChar w:fldCharType="begin"/>
      </w:r>
      <w:r>
        <w:instrText>xe "</w:instrText>
      </w:r>
      <w:r>
        <w:rPr>
          <w:rStyle w:val="xeentry"/>
        </w:rPr>
        <w:instrText>ro'a</w:instrText>
      </w:r>
      <w:r>
        <w:instrText>"</w:instrText>
      </w:r>
      <w:r>
        <w:rPr>
          <w:rStyle w:val="indexentry"/>
        </w:rPr>
        <w:fldChar w:fldCharType="end"/>
      </w:r>
      <w:r>
        <w:rPr>
          <w:rStyle w:val="indexentry"/>
        </w:rPr>
        <w:t>&lt;lx "ro'e"&gt;</w:t>
      </w:r>
      <w:r>
        <w:rPr>
          <w:rStyle w:val="indexentry"/>
        </w:rPr>
        <w:fldChar w:fldCharType="begin"/>
      </w:r>
      <w:r>
        <w:instrText>xe "</w:instrText>
      </w:r>
      <w:r>
        <w:rPr>
          <w:rStyle w:val="xeentry"/>
        </w:rPr>
        <w:instrText>ro'e</w:instrText>
      </w:r>
      <w:r>
        <w:instrText>"</w:instrText>
      </w:r>
      <w:r>
        <w:rPr>
          <w:rStyle w:val="indexentry"/>
        </w:rPr>
        <w:fldChar w:fldCharType="end"/>
      </w:r>
      <w:r>
        <w:rPr>
          <w:rStyle w:val="indexentry"/>
        </w:rPr>
        <w:t>&lt;lx "ro'i"&gt;</w:t>
      </w:r>
      <w:r>
        <w:rPr>
          <w:rStyle w:val="indexentry"/>
        </w:rPr>
        <w:fldChar w:fldCharType="begin"/>
      </w:r>
      <w:r>
        <w:instrText>xe "</w:instrText>
      </w:r>
      <w:r>
        <w:rPr>
          <w:rStyle w:val="xeentry"/>
        </w:rPr>
        <w:instrText>ro'i</w:instrText>
      </w:r>
      <w:r>
        <w:instrText>"</w:instrText>
      </w:r>
      <w:r>
        <w:rPr>
          <w:rStyle w:val="indexentry"/>
        </w:rPr>
        <w:fldChar w:fldCharType="end"/>
      </w:r>
      <w:r>
        <w:rPr>
          <w:rStyle w:val="indexentry"/>
        </w:rPr>
        <w:t>&lt;lx "ro'o"&gt;</w:t>
      </w:r>
      <w:r>
        <w:rPr>
          <w:rStyle w:val="indexentry"/>
        </w:rPr>
        <w:fldChar w:fldCharType="begin"/>
      </w:r>
      <w:r>
        <w:instrText>xe "</w:instrText>
      </w:r>
      <w:r>
        <w:rPr>
          <w:rStyle w:val="xeentry"/>
        </w:rPr>
        <w:instrText>ro'o</w:instrText>
      </w:r>
      <w:r>
        <w:instrText>"</w:instrText>
      </w:r>
      <w:r>
        <w:rPr>
          <w:rStyle w:val="indexentry"/>
        </w:rPr>
        <w:fldChar w:fldCharType="end"/>
      </w:r>
      <w:r>
        <w:rPr>
          <w:rStyle w:val="indexentry"/>
        </w:rPr>
        <w:t>&lt;lx "ro'u"&gt;</w:t>
      </w:r>
      <w:r>
        <w:rPr>
          <w:rStyle w:val="indexentry"/>
        </w:rPr>
        <w:fldChar w:fldCharType="begin"/>
      </w:r>
      <w:r>
        <w:instrText>xe "</w:instrText>
      </w:r>
      <w:r>
        <w:rPr>
          <w:rStyle w:val="xeentry"/>
        </w:rPr>
        <w:instrText>ro'u</w:instrText>
      </w:r>
      <w:r>
        <w:instrText>"</w:instrText>
      </w:r>
      <w:r>
        <w:rPr>
          <w:rStyle w:val="indexentry"/>
        </w:rPr>
        <w:fldChar w:fldCharType="end"/>
      </w:r>
      <w:r>
        <w:rPr>
          <w:rStyle w:val="indexentry"/>
        </w:rPr>
        <w:t>&lt;lx "re'e"&gt;</w:t>
      </w:r>
      <w:r>
        <w:rPr>
          <w:rStyle w:val="indexentry"/>
        </w:rPr>
        <w:fldChar w:fldCharType="begin"/>
      </w:r>
      <w:r>
        <w:instrText>xe "</w:instrText>
      </w:r>
      <w:r>
        <w:rPr>
          <w:rStyle w:val="xeentry"/>
        </w:rPr>
        <w:instrText>re'e</w:instrText>
      </w:r>
      <w:r>
        <w:instrText>"</w:instrText>
      </w:r>
      <w:r>
        <w:rPr>
          <w:rStyle w:val="indexentry"/>
        </w:rPr>
        <w:fldChar w:fldCharType="end"/>
      </w:r>
      <w:r>
        <w:rPr>
          <w:rStyle w:val="htmlcodes"/>
        </w:rPr>
        <w:t>&lt;pre&gt;</w:t>
      </w:r>
      <w:r>
        <w:tab/>
        <w:t>ro'a</w:t>
      </w:r>
      <w:r>
        <w:tab/>
        <w:t>social</w:t>
      </w:r>
      <w:r>
        <w:tab/>
        <w:t>asocial</w:t>
      </w:r>
      <w:r>
        <w:tab/>
        <w:t>antisocial</w:t>
      </w:r>
    </w:p>
    <w:p w:rsidR="00B72047" w:rsidRDefault="00B72047">
      <w:pPr>
        <w:pStyle w:val="exampwidetabs"/>
      </w:pPr>
      <w:r>
        <w:tab/>
        <w:t>ro'e</w:t>
      </w:r>
      <w:r>
        <w:tab/>
        <w:t>mental</w:t>
      </w:r>
      <w:r>
        <w:tab/>
      </w:r>
      <w:r>
        <w:tab/>
        <w:t>mindless</w:t>
      </w:r>
    </w:p>
    <w:p w:rsidR="00B72047" w:rsidRDefault="00B72047">
      <w:pPr>
        <w:pStyle w:val="exampwidetabs"/>
      </w:pPr>
      <w:r>
        <w:tab/>
        <w:t>ro'i</w:t>
      </w:r>
      <w:r>
        <w:tab/>
        <w:t>emotional</w:t>
      </w:r>
      <w:r>
        <w:tab/>
      </w:r>
      <w:r>
        <w:tab/>
        <w:t>denying emotion</w:t>
      </w:r>
    </w:p>
    <w:p w:rsidR="00B72047" w:rsidRDefault="00B72047">
      <w:pPr>
        <w:pStyle w:val="exampwidetabs"/>
      </w:pPr>
      <w:r>
        <w:tab/>
        <w:t>ro'o</w:t>
      </w:r>
      <w:r>
        <w:tab/>
        <w:t>physical</w:t>
      </w:r>
      <w:r>
        <w:tab/>
      </w:r>
      <w:r>
        <w:tab/>
        <w:t>denying physical</w:t>
      </w:r>
    </w:p>
    <w:p w:rsidR="00B72047" w:rsidRDefault="00B72047">
      <w:pPr>
        <w:pStyle w:val="exampwidetabs"/>
      </w:pPr>
      <w:r>
        <w:tab/>
        <w:t>ro'u</w:t>
      </w:r>
      <w:r>
        <w:tab/>
        <w:t>sexual</w:t>
      </w:r>
      <w:r>
        <w:tab/>
      </w:r>
      <w:r>
        <w:tab/>
        <w:t>sexual abstinence</w:t>
      </w:r>
    </w:p>
    <w:p w:rsidR="00B72047" w:rsidRDefault="00B72047">
      <w:pPr>
        <w:pStyle w:val="exampwidetabs"/>
      </w:pPr>
      <w:r>
        <w:tab/>
        <w:t>re'e</w:t>
      </w:r>
      <w:r>
        <w:tab/>
        <w:t>spiritual</w:t>
      </w:r>
      <w:r>
        <w:tab/>
        <w:t>secular</w:t>
      </w:r>
      <w:r>
        <w:tab/>
        <w:t>sacrilegious</w:t>
      </w:r>
    </w:p>
    <w:p w:rsidR="00B72047" w:rsidRDefault="00B72047">
      <w:pPr>
        <w:pStyle w:val="normalafterexample"/>
      </w:pPr>
      <w:r>
        <w:rPr>
          <w:rStyle w:val="htmlcodes"/>
        </w:rPr>
        <w:t>&lt;/pre&gt;&lt;p&gt;</w:t>
      </w:r>
      <w:r>
        <w:t>Using these, we were able to assign “o'u” to mark a scale of what we might</w:t>
      </w:r>
      <w:r>
        <w:rPr>
          <w:rStyle w:val="deletedparamark"/>
        </w:rPr>
        <w:t xml:space="preserve"> </w:t>
      </w:r>
      <w:r>
        <w:t>call “generalized comfort”. When you are comfortable, relaxed, satisfied,</w:t>
      </w:r>
      <w:r>
        <w:rPr>
          <w:rStyle w:val="deletedparamark"/>
        </w:rPr>
        <w:t xml:space="preserve"> </w:t>
      </w:r>
      <w:r>
        <w:t>you express comfort with “o'u”, possibly followed by a scale indicator to</w:t>
      </w:r>
      <w:r>
        <w:rPr>
          <w:rStyle w:val="deletedparamark"/>
        </w:rPr>
        <w:t xml:space="preserve"> </w:t>
      </w:r>
      <w:r>
        <w:t>indicate how comfortable you are. The six cmavo given above allow you to</w:t>
      </w:r>
      <w:r>
        <w:rPr>
          <w:rStyle w:val="deletedparamark"/>
        </w:rPr>
        <w:t xml:space="preserve"> </w:t>
      </w:r>
      <w:r>
        <w:t>turn this scale into six separate ones, should you wish.</w:t>
      </w:r>
    </w:p>
    <w:p w:rsidR="00B72047" w:rsidRDefault="00B72047">
      <w:pPr>
        <w:rPr>
          <w:rStyle w:val="htmlparacode"/>
        </w:rPr>
      </w:pPr>
      <w:r>
        <w:rPr>
          <w:rStyle w:val="htmlparacode"/>
        </w:rPr>
        <w:t>&lt;p&gt;</w:t>
      </w:r>
    </w:p>
    <w:p w:rsidR="00B72047" w:rsidRDefault="00B72047">
      <w:pPr>
        <w:pStyle w:val="normalparagraph"/>
      </w:pPr>
      <w:r>
        <w:rPr>
          <w:rStyle w:val="indexentry"/>
        </w:rPr>
        <w:t>&lt;ex "sexual discomfort"&gt;</w:t>
      </w:r>
      <w:r>
        <w:rPr>
          <w:rStyle w:val="indexentry"/>
        </w:rPr>
        <w:fldChar w:fldCharType="begin"/>
      </w:r>
      <w:r>
        <w:instrText>xe "</w:instrText>
      </w:r>
      <w:r>
        <w:rPr>
          <w:rStyle w:val="xeentry"/>
        </w:rPr>
        <w:instrText>sexual discomfort: example</w:instrText>
      </w:r>
      <w:r>
        <w:instrText>"</w:instrText>
      </w:r>
      <w:r>
        <w:rPr>
          <w:rStyle w:val="indexentry"/>
        </w:rPr>
        <w:fldChar w:fldCharType="end"/>
      </w:r>
      <w:r>
        <w:rPr>
          <w:rStyle w:val="indexentry"/>
        </w:rPr>
        <w:t>&lt;ex "spiritual discomfort"&gt;</w:t>
      </w:r>
      <w:r>
        <w:rPr>
          <w:rStyle w:val="indexentry"/>
        </w:rPr>
        <w:fldChar w:fldCharType="begin"/>
      </w:r>
      <w:r>
        <w:instrText>xe "</w:instrText>
      </w:r>
      <w:r>
        <w:rPr>
          <w:rStyle w:val="xeentry"/>
        </w:rPr>
        <w:instrText>spiritual discomfort: example</w:instrText>
      </w:r>
      <w:r>
        <w:instrText>"</w:instrText>
      </w:r>
      <w:r>
        <w:rPr>
          <w:rStyle w:val="indexentry"/>
        </w:rPr>
        <w:fldChar w:fldCharType="end"/>
      </w:r>
      <w:r>
        <w:rPr>
          <w:rStyle w:val="indexentry"/>
        </w:rPr>
        <w:t>&lt;ex "embarrassment"&gt;</w:t>
      </w:r>
      <w:r>
        <w:rPr>
          <w:rStyle w:val="indexentry"/>
        </w:rPr>
        <w:fldChar w:fldCharType="begin"/>
      </w:r>
      <w:r>
        <w:instrText>xe "</w:instrText>
      </w:r>
      <w:r>
        <w:rPr>
          <w:rStyle w:val="xeentry"/>
        </w:rPr>
        <w:instrText>embarrassment: example</w:instrText>
      </w:r>
      <w:r>
        <w:instrText>"</w:instrText>
      </w:r>
      <w:r>
        <w:rPr>
          <w:rStyle w:val="indexentry"/>
        </w:rPr>
        <w:fldChar w:fldCharType="end"/>
      </w:r>
      <w:r>
        <w:rPr>
          <w:rStyle w:val="indexentry"/>
        </w:rPr>
        <w:t>&lt;ex "stress"&gt;</w:t>
      </w:r>
      <w:r>
        <w:rPr>
          <w:rStyle w:val="indexentry"/>
        </w:rPr>
        <w:fldChar w:fldCharType="begin"/>
      </w:r>
      <w:r>
        <w:instrText>xe "</w:instrText>
      </w:r>
      <w:r>
        <w:rPr>
          <w:rStyle w:val="xeentry"/>
        </w:rPr>
        <w:instrText>stress: example</w:instrText>
      </w:r>
      <w:r>
        <w:instrText>"</w:instrText>
      </w:r>
      <w:r>
        <w:rPr>
          <w:rStyle w:val="indexentry"/>
        </w:rPr>
        <w:fldChar w:fldCharType="end"/>
      </w:r>
      <w:r>
        <w:rPr>
          <w:rStyle w:val="indexentry"/>
        </w:rPr>
        <w:t>&lt;ex "physical distress"&gt;</w:t>
      </w:r>
      <w:r>
        <w:rPr>
          <w:rStyle w:val="indexentry"/>
        </w:rPr>
        <w:fldChar w:fldCharType="begin"/>
      </w:r>
      <w:r>
        <w:instrText>xe "</w:instrText>
      </w:r>
      <w:r>
        <w:rPr>
          <w:rStyle w:val="xeentry"/>
        </w:rPr>
        <w:instrText>physical distress: example</w:instrText>
      </w:r>
      <w:r>
        <w:instrText>"</w:instrText>
      </w:r>
      <w:r>
        <w:rPr>
          <w:rStyle w:val="indexentry"/>
        </w:rPr>
        <w:fldChar w:fldCharType="end"/>
      </w:r>
      <w:r>
        <w:rPr>
          <w:rStyle w:val="indexentry"/>
        </w:rPr>
        <w:t>&lt;ex "mental discomfort"&gt;</w:t>
      </w:r>
      <w:r>
        <w:rPr>
          <w:rStyle w:val="indexentry"/>
        </w:rPr>
        <w:fldChar w:fldCharType="begin"/>
      </w:r>
      <w:r>
        <w:instrText>xe "</w:instrText>
      </w:r>
      <w:r>
        <w:rPr>
          <w:rStyle w:val="xeentry"/>
        </w:rPr>
        <w:instrText>mental discomfort: example</w:instrText>
      </w:r>
      <w:r>
        <w:instrText>"</w:instrText>
      </w:r>
      <w:r>
        <w:rPr>
          <w:rStyle w:val="indexentry"/>
        </w:rPr>
        <w:fldChar w:fldCharType="end"/>
      </w:r>
      <w:r>
        <w:rPr>
          <w:rStyle w:val="indexentry"/>
        </w:rPr>
        <w:t>&lt;cx "attitudinal categories, example of effect"&gt;</w:t>
      </w:r>
      <w:r>
        <w:rPr>
          <w:rStyle w:val="indexentry"/>
        </w:rPr>
        <w:fldChar w:fldCharType="begin"/>
      </w:r>
      <w:r>
        <w:instrText>xe "</w:instrText>
      </w:r>
      <w:r>
        <w:rPr>
          <w:rStyle w:val="xeentry"/>
        </w:rPr>
        <w:instrText>attitudinal categories: example of effect</w:instrText>
      </w:r>
      <w:r>
        <w:instrText>"</w:instrText>
      </w:r>
      <w:r>
        <w:rPr>
          <w:rStyle w:val="indexentry"/>
        </w:rPr>
        <w:fldChar w:fldCharType="end"/>
      </w:r>
      <w:r>
        <w:t>For example, embarrassment is a social discomfort, ex</w:t>
      </w:r>
      <w:r>
        <w:softHyphen/>
        <w:t>pressible as “.o'unairo'a”. Some emotions that we label “stress” in English are</w:t>
      </w:r>
      <w:r>
        <w:rPr>
          <w:rStyle w:val="deletedparamark"/>
        </w:rPr>
        <w:t xml:space="preserve"> </w:t>
      </w:r>
      <w:r>
        <w:t>expressed in Lojban with “.o'unairo'i”. Physical distress can be expressed</w:t>
      </w:r>
      <w:r>
        <w:rPr>
          <w:rStyle w:val="deletedparamark"/>
        </w:rPr>
        <w:t xml:space="preserve"> </w:t>
      </w:r>
      <w:r>
        <w:t>with “.o'unairo'o”, which makes a nice groan if you say it with feeling.</w:t>
      </w:r>
      <w:r>
        <w:rPr>
          <w:rStyle w:val="deletedparamark"/>
        </w:rPr>
        <w:t xml:space="preserve"> </w:t>
      </w:r>
      <w:r>
        <w:t>Mental discomfort might be what you feel when you don't know the answer to</w:t>
      </w:r>
      <w:r>
        <w:rPr>
          <w:rStyle w:val="deletedparamark"/>
        </w:rPr>
        <w:t xml:space="preserve"> </w:t>
      </w:r>
      <w:r>
        <w:t>the test question, but feel that you should. Most adults can recall some</w:t>
      </w:r>
      <w:r>
        <w:rPr>
          <w:rStyle w:val="deletedparamark"/>
        </w:rPr>
        <w:t xml:space="preserve"> </w:t>
      </w:r>
      <w:r>
        <w:t>instance where we felt sexual discomfort, “o'unairo'u”. Spiritual</w:t>
      </w:r>
      <w:r>
        <w:rPr>
          <w:rStyle w:val="deletedparamark"/>
        </w:rPr>
        <w:t xml:space="preserve"> </w:t>
      </w:r>
      <w:r>
        <w:t>discomfort, “o'unaire'e”, might be felt by a church-goer who has wandered</w:t>
      </w:r>
      <w:r>
        <w:rPr>
          <w:rStyle w:val="deletedparamark"/>
        </w:rPr>
        <w:t xml:space="preserve"> </w:t>
      </w:r>
      <w:r>
        <w:t>into the wrong kind of religious building.</w:t>
      </w:r>
    </w:p>
    <w:p w:rsidR="00B72047" w:rsidRDefault="00B72047">
      <w:pPr>
        <w:pStyle w:val="normalparagraph"/>
        <w:rPr>
          <w:rStyle w:val="htmlparacode"/>
        </w:rPr>
      </w:pPr>
      <w:r>
        <w:rPr>
          <w:rStyle w:val="htmlparacode"/>
        </w:rPr>
        <w:t>&lt;p&gt;</w:t>
      </w:r>
    </w:p>
    <w:p w:rsidR="00B72047" w:rsidRDefault="00B72047">
      <w:pPr>
        <w:pStyle w:val="normalparagraph"/>
      </w:pPr>
      <w:r>
        <w:t>Most of the time when expressing an emotion, you won't categorize it</w:t>
      </w:r>
      <w:r>
        <w:rPr>
          <w:rStyle w:val="deletedparamark"/>
        </w:rPr>
        <w:t xml:space="preserve"> </w:t>
      </w:r>
      <w:r>
        <w:t>with these words. Emotional expressions should be quickly expressible</w:t>
      </w:r>
      <w:r>
        <w:rPr>
          <w:rStyle w:val="deletedparamark"/>
        </w:rPr>
        <w:t xml:space="preserve"> </w:t>
      </w:r>
      <w:r>
        <w:t>without having to think about them. However, we sometimes have mixed</w:t>
      </w:r>
      <w:r>
        <w:rPr>
          <w:rStyle w:val="deletedparamark"/>
        </w:rPr>
        <w:t xml:space="preserve"> </w:t>
      </w:r>
      <w:r>
        <w:t>emotions within this set, as for example emo</w:t>
      </w:r>
      <w:r>
        <w:softHyphen/>
        <w:t>tional discomfort coupled</w:t>
      </w:r>
      <w:r>
        <w:rPr>
          <w:rStyle w:val="deletedparamark"/>
        </w:rPr>
        <w:t xml:space="preserve"> </w:t>
      </w:r>
      <w:r>
        <w:t>with physical comfort or vice versa.</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".eiro'u"&gt;</w:t>
      </w:r>
      <w:r>
        <w:rPr>
          <w:rStyle w:val="indexentry"/>
        </w:rPr>
        <w:fldChar w:fldCharType="begin"/>
      </w:r>
      <w:r>
        <w:instrText>xe "</w:instrText>
      </w:r>
      <w:r>
        <w:rPr>
          <w:rStyle w:val="xeentry"/>
        </w:rPr>
        <w:instrText>eiro'u</w:instrText>
      </w:r>
      <w:r>
        <w:instrText>"</w:instrText>
      </w:r>
      <w:r>
        <w:rPr>
          <w:rStyle w:val="indexentry"/>
        </w:rPr>
        <w:fldChar w:fldCharType="end"/>
      </w:r>
      <w:r>
        <w:t>Coupling these six words with our 39 attitude scales, each of which has a</w:t>
      </w:r>
      <w:r>
        <w:rPr>
          <w:rStyle w:val="deletedparamark"/>
        </w:rPr>
        <w:t xml:space="preserve"> </w:t>
      </w:r>
      <w:r>
        <w:t>posi</w:t>
      </w:r>
      <w:r>
        <w:softHyphen/>
        <w:t>tive and negative side, already gives you far more emotional</w:t>
      </w:r>
      <w:r>
        <w:rPr>
          <w:rStyle w:val="deletedparamark"/>
        </w:rPr>
        <w:t xml:space="preserve"> </w:t>
      </w:r>
      <w:r>
        <w:t>expression words than we have emotional labels in Eng</w:t>
      </w:r>
      <w:r>
        <w:softHyphen/>
        <w:t>lish. Thus, you'll</w:t>
      </w:r>
      <w:r>
        <w:rPr>
          <w:rStyle w:val="deletedparamark"/>
        </w:rPr>
        <w:t xml:space="preserve"> </w:t>
      </w:r>
      <w:r>
        <w:t>never see a Lojban-English emotional dictionary that covers all the</w:t>
      </w:r>
      <w:r>
        <w:rPr>
          <w:rStyle w:val="deletedparamark"/>
        </w:rPr>
        <w:t xml:space="preserve"> </w:t>
      </w:r>
      <w:r>
        <w:t>Lojban possibilities. Some may be useless, but others con</w:t>
      </w:r>
      <w:r>
        <w:softHyphen/>
        <w:t>vey</w:t>
      </w:r>
      <w:r>
        <w:rPr>
          <w:rStyle w:val="deletedparamark"/>
        </w:rPr>
        <w:t xml:space="preserve"> </w:t>
      </w:r>
      <w:r>
        <w:t>emotions that probably never had a word for them before, though many</w:t>
      </w:r>
      <w:r>
        <w:rPr>
          <w:rStyle w:val="deletedparamark"/>
        </w:rPr>
        <w:t xml:space="preserve"> </w:t>
      </w:r>
      <w:r>
        <w:t>have felt them (“.eiro'u”, for example — look it up).</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categories with scale markers"&gt;</w:t>
      </w:r>
      <w:r>
        <w:rPr>
          <w:rStyle w:val="indexentry"/>
        </w:rPr>
        <w:fldChar w:fldCharType="begin"/>
      </w:r>
      <w:r>
        <w:instrText>xe "</w:instrText>
      </w:r>
      <w:r>
        <w:rPr>
          <w:rStyle w:val="xeentry"/>
        </w:rPr>
        <w:instrText>attitudinals: categories with scale markers</w:instrText>
      </w:r>
      <w:r>
        <w:instrText>"</w:instrText>
      </w:r>
      <w:r>
        <w:rPr>
          <w:rStyle w:val="indexentry"/>
        </w:rPr>
        <w:fldChar w:fldCharType="end"/>
      </w:r>
      <w:r>
        <w:rPr>
          <w:rStyle w:val="indexentry"/>
        </w:rPr>
        <w:t>&lt;cx "attitudinals, categories with nai"&gt;</w:t>
      </w:r>
      <w:r>
        <w:rPr>
          <w:rStyle w:val="indexentry"/>
        </w:rPr>
        <w:fldChar w:fldCharType="begin"/>
      </w:r>
      <w:r>
        <w:instrText>xe "</w:instrText>
      </w:r>
      <w:r>
        <w:rPr>
          <w:rStyle w:val="xeentry"/>
        </w:rPr>
        <w:instrText>attitudinals: categories with nai</w:instrText>
      </w:r>
      <w:r>
        <w:instrText>"</w:instrText>
      </w:r>
      <w:r>
        <w:rPr>
          <w:rStyle w:val="indexentry"/>
        </w:rPr>
        <w:fldChar w:fldCharType="end"/>
      </w:r>
      <w:r>
        <w:rPr>
          <w:rStyle w:val="indexentry"/>
        </w:rPr>
        <w:t>&lt;cx "attitudinals, stand-alone categories"&gt;</w:t>
      </w:r>
      <w:r>
        <w:rPr>
          <w:rStyle w:val="indexentry"/>
        </w:rPr>
        <w:fldChar w:fldCharType="begin"/>
      </w:r>
      <w:r>
        <w:instrText>xe "</w:instrText>
      </w:r>
      <w:r>
        <w:rPr>
          <w:rStyle w:val="xeentry"/>
        </w:rPr>
        <w:instrText>attitudinals: stand-alone categories</w:instrText>
      </w:r>
      <w:r>
        <w:instrText>"</w:instrText>
      </w:r>
      <w:r>
        <w:rPr>
          <w:rStyle w:val="indexentry"/>
        </w:rPr>
        <w:fldChar w:fldCharType="end"/>
      </w:r>
      <w:r>
        <w:rPr>
          <w:rStyle w:val="indexentry"/>
        </w:rPr>
        <w:t>&lt;ex "ro'anai"&gt;</w:t>
      </w:r>
      <w:r>
        <w:rPr>
          <w:rStyle w:val="indexentry"/>
        </w:rPr>
        <w:fldChar w:fldCharType="begin"/>
      </w:r>
      <w:r>
        <w:instrText>xe "</w:instrText>
      </w:r>
      <w:r>
        <w:rPr>
          <w:rStyle w:val="xeentry"/>
        </w:rPr>
        <w:instrText>ro'anai: example</w:instrText>
      </w:r>
      <w:r>
        <w:instrText>"</w:instrText>
      </w:r>
      <w:r>
        <w:rPr>
          <w:rStyle w:val="indexentry"/>
        </w:rPr>
        <w:fldChar w:fldCharType="end"/>
      </w:r>
      <w:r>
        <w:t>You can use scale markers and “nai” on these six category words, and you can</w:t>
      </w:r>
      <w:r>
        <w:rPr>
          <w:rStyle w:val="deletedparamark"/>
        </w:rPr>
        <w:t xml:space="preserve"> </w:t>
      </w:r>
      <w:r>
        <w:t>also use category words without specifying the emotion. Thus, “I'm trying</w:t>
      </w:r>
      <w:r>
        <w:rPr>
          <w:rStyle w:val="deletedparamark"/>
        </w:rPr>
        <w:t xml:space="preserve"> </w:t>
      </w:r>
      <w:r>
        <w:t>to concen</w:t>
      </w:r>
      <w:r>
        <w:softHyphen/>
        <w:t>trate” could be expressed simply as “ro'e”, and if you are feeling</w:t>
      </w:r>
      <w:r>
        <w:rPr>
          <w:rStyle w:val="deletedparamark"/>
        </w:rPr>
        <w:t xml:space="preserve"> </w:t>
      </w:r>
      <w:r>
        <w:t>anti-social in some non-spe</w:t>
      </w:r>
      <w:r>
        <w:softHyphen/>
        <w:t>cific way, “ro'anai” will express it.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categories, mnemonic for"&gt;</w:t>
      </w:r>
      <w:r>
        <w:rPr>
          <w:rStyle w:val="indexentry"/>
        </w:rPr>
        <w:fldChar w:fldCharType="begin"/>
      </w:r>
      <w:r>
        <w:instrText>xe "</w:instrText>
      </w:r>
      <w:r>
        <w:rPr>
          <w:rStyle w:val="xeentry"/>
        </w:rPr>
        <w:instrText>attitudinal categories: mnemonic for</w:instrText>
      </w:r>
      <w:r>
        <w:instrText>"</w:instrText>
      </w:r>
      <w:r>
        <w:rPr>
          <w:rStyle w:val="indexentry"/>
        </w:rPr>
        <w:fldChar w:fldCharType="end"/>
      </w:r>
      <w:r>
        <w:t>There is a mnemonic device for the six emotion categories, based on moving</w:t>
      </w:r>
      <w:r>
        <w:rPr>
          <w:rStyle w:val="deletedparamark"/>
        </w:rPr>
        <w:t xml:space="preserve"> </w:t>
      </w:r>
      <w:r>
        <w:t>your arms about. In the following table, your hands begin above your head</w:t>
      </w:r>
      <w:r>
        <w:rPr>
          <w:rStyle w:val="deletedparamark"/>
        </w:rPr>
        <w:t xml:space="preserve"> </w:t>
      </w:r>
      <w:r>
        <w:t>and move down your body in sequence.</w:t>
      </w:r>
    </w:p>
    <w:p w:rsidR="00B72047" w:rsidRDefault="00B72047">
      <w:pPr>
        <w:rPr>
          <w:rStyle w:val="htmlparacode"/>
        </w:rPr>
      </w:pPr>
      <w:r>
        <w:rPr>
          <w:rStyle w:val="htmlparacode"/>
        </w:rPr>
        <w:t>&lt;p&gt;</w:t>
      </w:r>
    </w:p>
    <w:p w:rsidR="00B72047" w:rsidRDefault="00B72047">
      <w:pPr>
        <w:pStyle w:val="examplegtabspre"/>
      </w:pPr>
      <w:r>
        <w:rPr>
          <w:rStyle w:val="htmlcodes"/>
        </w:rPr>
        <w:t>&lt;pre&gt;</w:t>
      </w:r>
      <w:r>
        <w:t xml:space="preserve"> </w:t>
      </w:r>
      <w:r>
        <w:tab/>
        <w:t>ro'a</w:t>
      </w:r>
      <w:r>
        <w:tab/>
        <w:t>hands above head</w:t>
      </w:r>
      <w:r>
        <w:tab/>
        <w:t>social</w:t>
      </w:r>
    </w:p>
    <w:p w:rsidR="00B72047" w:rsidRDefault="00B72047">
      <w:pPr>
        <w:pStyle w:val="examplegrouptabs"/>
      </w:pPr>
      <w:r>
        <w:tab/>
        <w:t>ro'e</w:t>
      </w:r>
      <w:r>
        <w:tab/>
        <w:t>hands on head</w:t>
      </w:r>
      <w:r>
        <w:tab/>
        <w:t>intellectual</w:t>
      </w:r>
    </w:p>
    <w:p w:rsidR="00B72047" w:rsidRDefault="00B72047">
      <w:pPr>
        <w:pStyle w:val="examplegrouptabs"/>
      </w:pPr>
      <w:r>
        <w:tab/>
        <w:t>ro'i</w:t>
      </w:r>
      <w:r>
        <w:tab/>
        <w:t>hands on heart</w:t>
      </w:r>
      <w:r>
        <w:tab/>
        <w:t>emotional</w:t>
      </w:r>
    </w:p>
    <w:p w:rsidR="00B72047" w:rsidRDefault="00B72047">
      <w:pPr>
        <w:pStyle w:val="examplegrouptabs"/>
      </w:pPr>
      <w:r>
        <w:tab/>
        <w:t>ro'o</w:t>
      </w:r>
      <w:r>
        <w:tab/>
        <w:t>hands on belly</w:t>
      </w:r>
      <w:r>
        <w:tab/>
        <w:t>physical</w:t>
      </w:r>
    </w:p>
    <w:p w:rsidR="00B72047" w:rsidRDefault="00B72047">
      <w:pPr>
        <w:pStyle w:val="examplegrouptabs"/>
      </w:pPr>
      <w:r>
        <w:tab/>
        <w:t>ro'u</w:t>
      </w:r>
      <w:r>
        <w:tab/>
        <w:t>hands on groin</w:t>
      </w:r>
      <w:r>
        <w:tab/>
        <w:t>sexual</w:t>
      </w:r>
    </w:p>
    <w:p w:rsidR="00B72047" w:rsidRDefault="00B72047">
      <w:pPr>
        <w:pStyle w:val="examplegrouptabs"/>
      </w:pPr>
      <w:r>
        <w:tab/>
        <w:t>re'e</w:t>
      </w:r>
      <w:r>
        <w:tab/>
        <w:t>hands moving around</w:t>
      </w:r>
      <w:r>
        <w:tab/>
        <w:t>spiritual</w:t>
      </w:r>
    </w:p>
    <w:p w:rsidR="00B72047" w:rsidRDefault="00B72047">
      <w:pPr>
        <w:pStyle w:val="resumedafterexample"/>
      </w:pPr>
      <w:r>
        <w:rPr>
          <w:rStyle w:val="htmlcodes"/>
        </w:rPr>
        <w:t>&lt;/pre&gt;&lt;p&gt;</w:t>
      </w:r>
      <w:r>
        <w:t>The implicit metaphors “heart” for emotional and “belly” for physical</w:t>
      </w:r>
      <w:r>
        <w:rPr>
          <w:rStyle w:val="deletedparamark"/>
        </w:rPr>
        <w:t xml:space="preserve"> </w:t>
      </w:r>
      <w:r>
        <w:t>are not really L</w:t>
      </w:r>
      <w:r>
        <w:t>o</w:t>
      </w:r>
      <w:r>
        <w:t>j</w:t>
      </w:r>
      <w:r>
        <w:softHyphen/>
        <w:t>banic, but they work fine for English-speakers.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402" w:name="_Toc398970644"/>
      <w:r>
        <w:rPr>
          <w:rStyle w:val="Heading3Text"/>
        </w:rPr>
        <w:t>Attitudinal modifiers</w:t>
      </w:r>
      <w:bookmarkEnd w:id="40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wtabspre"/>
        <w:spacing w:line="220" w:lineRule="exact"/>
      </w:pPr>
      <w:r>
        <w:rPr>
          <w:rStyle w:val="indexentry"/>
        </w:rPr>
        <w:t>&lt;ex "self-orientation"&gt;</w:t>
      </w:r>
      <w:r>
        <w:rPr>
          <w:rStyle w:val="indexentry"/>
        </w:rPr>
        <w:fldChar w:fldCharType="begin"/>
      </w:r>
      <w:r>
        <w:instrText>xe "</w:instrText>
      </w:r>
      <w:r>
        <w:rPr>
          <w:rStyle w:val="xeentry"/>
        </w:rPr>
        <w:instrText>self-orientation: example</w:instrText>
      </w:r>
      <w:r>
        <w:instrText>"</w:instrText>
      </w:r>
      <w:r>
        <w:rPr>
          <w:rStyle w:val="indexentry"/>
        </w:rPr>
        <w:fldChar w:fldCharType="end"/>
      </w:r>
      <w:r>
        <w:rPr>
          <w:rStyle w:val="htmlcodes"/>
        </w:rPr>
        <w:t>&lt;pre&gt;</w:t>
      </w:r>
      <w:r>
        <w:t>ga'i</w:t>
      </w:r>
      <w:r>
        <w:tab/>
        <w:t>[galtu]</w:t>
      </w:r>
      <w:r>
        <w:tab/>
        <w:t>hauteur</w:t>
      </w:r>
      <w:r>
        <w:tab/>
        <w:t>equal rank</w:t>
      </w:r>
      <w:r>
        <w:tab/>
        <w:t>meekness</w:t>
      </w:r>
    </w:p>
    <w:p w:rsidR="00B72047" w:rsidRDefault="00B72047">
      <w:pPr>
        <w:pStyle w:val="exampwidetabs"/>
        <w:spacing w:line="220" w:lineRule="exact"/>
      </w:pPr>
      <w:r>
        <w:tab/>
      </w:r>
      <w:r>
        <w:tab/>
        <w:t>rank</w:t>
      </w:r>
      <w:r>
        <w:tab/>
      </w:r>
      <w:r>
        <w:tab/>
        <w:t>lack of rank</w:t>
      </w:r>
    </w:p>
    <w:p w:rsidR="00B72047" w:rsidRDefault="00B72047">
      <w:pPr>
        <w:pStyle w:val="examplewtabspre"/>
      </w:pPr>
      <w:r>
        <w:t>le'o</w:t>
      </w:r>
      <w:r>
        <w:tab/>
      </w:r>
      <w:r>
        <w:tab/>
        <w:t>aggressive</w:t>
      </w:r>
      <w:r>
        <w:tab/>
        <w:t>passive</w:t>
      </w:r>
      <w:r>
        <w:tab/>
        <w:t>defensive</w:t>
      </w:r>
    </w:p>
    <w:p w:rsidR="00B72047" w:rsidRDefault="00B72047">
      <w:pPr>
        <w:pStyle w:val="examplewtabspre"/>
      </w:pPr>
      <w:r>
        <w:t>vu'e</w:t>
      </w:r>
      <w:r>
        <w:tab/>
        <w:t>[vrude]</w:t>
      </w:r>
      <w:r>
        <w:tab/>
        <w:t>virtue (zabna)</w:t>
      </w:r>
      <w:r>
        <w:tab/>
      </w:r>
      <w:r>
        <w:tab/>
        <w:t>sin (mabla)</w:t>
      </w:r>
    </w:p>
    <w:p w:rsidR="00B72047" w:rsidRDefault="00B72047">
      <w:pPr>
        <w:pStyle w:val="examplewtabspre"/>
      </w:pPr>
      <w:r>
        <w:t>se'i</w:t>
      </w:r>
      <w:r>
        <w:tab/>
        <w:t>[sevzi]</w:t>
      </w:r>
      <w:r>
        <w:tab/>
        <w:t>self-orientation</w:t>
      </w:r>
      <w:r>
        <w:tab/>
      </w:r>
      <w:r>
        <w:tab/>
        <w:t>other-orientation</w:t>
      </w:r>
    </w:p>
    <w:p w:rsidR="00B72047" w:rsidRDefault="00B72047">
      <w:pPr>
        <w:pStyle w:val="examplewtabspre"/>
      </w:pPr>
      <w:r>
        <w:t>ri'e</w:t>
      </w:r>
      <w:r>
        <w:tab/>
        <w:t>[zifre]</w:t>
      </w:r>
      <w:r>
        <w:tab/>
        <w:t>release</w:t>
      </w:r>
      <w:r>
        <w:tab/>
        <w:t>restraint</w:t>
      </w:r>
      <w:r>
        <w:tab/>
        <w:t>control</w:t>
      </w:r>
    </w:p>
    <w:p w:rsidR="00B72047" w:rsidRDefault="00B72047">
      <w:pPr>
        <w:pStyle w:val="examplewtabspre"/>
        <w:spacing w:line="220" w:lineRule="exact"/>
      </w:pPr>
      <w:r>
        <w:t>fu'i</w:t>
      </w:r>
      <w:r>
        <w:tab/>
        <w:t>[frili]</w:t>
      </w:r>
      <w:r>
        <w:tab/>
        <w:t>with help</w:t>
      </w:r>
      <w:r>
        <w:tab/>
        <w:t>without help</w:t>
      </w:r>
      <w:r>
        <w:tab/>
        <w:t>with opposition</w:t>
      </w:r>
    </w:p>
    <w:p w:rsidR="00B72047" w:rsidRDefault="00B72047">
      <w:pPr>
        <w:pStyle w:val="exampwidetabs"/>
        <w:spacing w:line="220" w:lineRule="exact"/>
      </w:pPr>
      <w:r>
        <w:tab/>
      </w:r>
      <w:r>
        <w:tab/>
        <w:t>easily</w:t>
      </w:r>
      <w:r>
        <w:tab/>
      </w:r>
      <w:r>
        <w:tab/>
        <w:t>with difficulty</w:t>
      </w:r>
    </w:p>
    <w:p w:rsidR="00B72047" w:rsidRDefault="00B72047">
      <w:pPr>
        <w:pStyle w:val="examplewtabspre"/>
        <w:spacing w:line="220" w:lineRule="exact"/>
      </w:pPr>
      <w:r>
        <w:t>be'u</w:t>
      </w:r>
      <w:r>
        <w:tab/>
      </w:r>
      <w:r>
        <w:tab/>
        <w:t>lack</w:t>
      </w:r>
      <w:r>
        <w:tab/>
        <w:t>presence</w:t>
      </w:r>
      <w:r>
        <w:tab/>
        <w:t>satiation</w:t>
      </w:r>
    </w:p>
    <w:p w:rsidR="00B72047" w:rsidRDefault="00B72047">
      <w:pPr>
        <w:pStyle w:val="exampwidetabs"/>
        <w:spacing w:line="220" w:lineRule="exact"/>
      </w:pPr>
      <w:r>
        <w:tab/>
      </w:r>
      <w:r>
        <w:tab/>
        <w:t>need</w:t>
      </w:r>
      <w:r>
        <w:tab/>
        <w:t>satisfaction</w:t>
      </w:r>
      <w:r>
        <w:tab/>
      </w:r>
    </w:p>
    <w:p w:rsidR="00B72047" w:rsidRDefault="00B72047">
      <w:pPr>
        <w:pStyle w:val="examplewtabspre"/>
      </w:pPr>
      <w:r>
        <w:t>se'a</w:t>
      </w:r>
      <w:r>
        <w:tab/>
        <w:t>[sevzi]</w:t>
      </w:r>
      <w:r>
        <w:tab/>
        <w:t>self-sufficiency</w:t>
      </w:r>
      <w:r>
        <w:tab/>
      </w:r>
      <w:r>
        <w:tab/>
        <w:t>dependency</w:t>
      </w:r>
    </w:p>
    <w:p w:rsidR="00B72047" w:rsidRDefault="00B72047">
      <w:pPr>
        <w:pStyle w:val="exampwidetabs"/>
      </w:pPr>
      <w:r>
        <w:tab/>
      </w:r>
      <w:r>
        <w:tab/>
      </w:r>
      <w:r>
        <w:tab/>
      </w:r>
    </w:p>
    <w:p w:rsidR="00B72047" w:rsidRDefault="00B72047">
      <w:pPr>
        <w:pStyle w:val="resumedafterexample"/>
      </w:pPr>
      <w:r>
        <w:rPr>
          <w:rStyle w:val="htmlcodes"/>
        </w:rPr>
        <w:t>&lt;/pre&gt;</w:t>
      </w:r>
      <w:r>
        <w:rPr>
          <w:rStyle w:val="indexentry"/>
        </w:rPr>
        <w:t>&lt;cx "attitudinal modifiers"&gt;</w:t>
      </w:r>
      <w:r>
        <w:rPr>
          <w:rStyle w:val="indexentry"/>
        </w:rPr>
        <w:fldChar w:fldCharType="begin"/>
      </w:r>
      <w:r>
        <w:instrText>xe "</w:instrText>
      </w:r>
      <w:r>
        <w:rPr>
          <w:rStyle w:val="xeentry"/>
        </w:rPr>
        <w:instrText>attitudinal modifiers</w:instrText>
      </w:r>
      <w:r>
        <w:instrText>"</w:instrText>
      </w:r>
      <w:r>
        <w:rPr>
          <w:rStyle w:val="indexentry"/>
        </w:rPr>
        <w:fldChar w:fldCharType="end"/>
      </w:r>
      <w:r>
        <w:t>It turned out that, once we had devised the six emotion categories, we</w:t>
      </w:r>
      <w:r>
        <w:rPr>
          <w:rStyle w:val="deletedparamark"/>
        </w:rPr>
        <w:t xml:space="preserve"> </w:t>
      </w:r>
      <w:r>
        <w:t>also recognized some other commonalities among emotions. These tended to fit</w:t>
      </w:r>
      <w:r>
        <w:rPr>
          <w:rStyle w:val="deletedparamark"/>
        </w:rPr>
        <w:t xml:space="preserve"> </w:t>
      </w:r>
      <w:r>
        <w:t>nicely on scales of their own, but generally tend not to be thought of as</w:t>
      </w:r>
      <w:r>
        <w:rPr>
          <w:rStyle w:val="deletedparamark"/>
        </w:rPr>
        <w:t xml:space="preserve"> </w:t>
      </w:r>
      <w:r>
        <w:t>separate emotions. Some of these are self-explanatory, some need to be</w:t>
      </w:r>
      <w:r>
        <w:rPr>
          <w:rStyle w:val="deletedparamark"/>
        </w:rPr>
        <w:t xml:space="preserve"> </w:t>
      </w:r>
      <w:r>
        <w:t>placed in context. Some of these tend to go well with only a few of the</w:t>
      </w:r>
      <w:r>
        <w:rPr>
          <w:rStyle w:val="deletedparamark"/>
        </w:rPr>
        <w:t xml:space="preserve"> </w:t>
      </w:r>
      <w:r>
        <w:t>attitudinals, others go with nearly all of them. To really understand these</w:t>
      </w:r>
      <w:r>
        <w:rPr>
          <w:rStyle w:val="deletedparamark"/>
        </w:rPr>
        <w:t xml:space="preserve"> </w:t>
      </w:r>
      <w:r>
        <w:t>mod</w:t>
      </w:r>
      <w:r>
        <w:t>i</w:t>
      </w:r>
      <w:r>
        <w:softHyphen/>
        <w:t>fiers, try to use them in combination with one or two of the</w:t>
      </w:r>
      <w:r>
        <w:rPr>
          <w:rStyle w:val="deletedparamark"/>
        </w:rPr>
        <w:t xml:space="preserve"> </w:t>
      </w:r>
      <w:r>
        <w:t xml:space="preserve">attitudinals found in </w:t>
      </w:r>
      <w:r>
        <w:rPr>
          <w:rStyle w:val="htmlcodes"/>
        </w:rPr>
        <w:t>&lt;a href=#s2&gt;</w:t>
      </w:r>
      <w:r>
        <w:t xml:space="preserve">Sections 2 </w:t>
      </w:r>
      <w:r>
        <w:rPr>
          <w:rStyle w:val="htmlcodes"/>
        </w:rPr>
        <w:t>&lt;/a&gt;</w:t>
      </w:r>
      <w:r>
        <w:t xml:space="preserve">and </w:t>
      </w:r>
      <w:r>
        <w:rPr>
          <w:rStyle w:val="htmlcodes"/>
        </w:rPr>
        <w:t>&lt;a href=#s3&gt;</w:t>
      </w:r>
      <w:r>
        <w:t>3</w:t>
      </w:r>
      <w:r>
        <w:rPr>
          <w:rStyle w:val="htmlcodes"/>
        </w:rPr>
        <w:t>&lt;/a&gt;</w:t>
      </w:r>
      <w:r>
        <w:t>, and see what emotional pictures</w:t>
      </w:r>
      <w:r>
        <w:rPr>
          <w:rStyle w:val="deletedparamark"/>
        </w:rPr>
        <w:t xml:space="preserve"> </w:t>
      </w:r>
      <w:r>
        <w:t>you can build:</w:t>
      </w:r>
    </w:p>
    <w:p w:rsidR="00B72047" w:rsidRDefault="00B72047">
      <w:pPr>
        <w:rPr>
          <w:rStyle w:val="htmlparacode"/>
        </w:rPr>
      </w:pPr>
      <w:r>
        <w:rPr>
          <w:rStyle w:val="htmlparacode"/>
        </w:rPr>
        <w:t>&lt;p&gt;</w:t>
      </w:r>
    </w:p>
    <w:p w:rsidR="00B72047" w:rsidRDefault="00B72047">
      <w:pPr>
        <w:pStyle w:val="normalparagraph"/>
      </w:pPr>
      <w:r>
        <w:rPr>
          <w:rStyle w:val="indexentry"/>
        </w:rPr>
        <w:t>&lt;ex "inferior"&gt;</w:t>
      </w:r>
      <w:r>
        <w:rPr>
          <w:rStyle w:val="indexentry"/>
        </w:rPr>
        <w:fldChar w:fldCharType="begin"/>
      </w:r>
      <w:r>
        <w:instrText>xe "</w:instrText>
      </w:r>
      <w:r>
        <w:rPr>
          <w:rStyle w:val="xeentry"/>
        </w:rPr>
        <w:instrText>inferior: example</w:instrText>
      </w:r>
      <w:r>
        <w:instrText>"</w:instrText>
      </w:r>
      <w:r>
        <w:rPr>
          <w:rStyle w:val="indexentry"/>
        </w:rPr>
        <w:fldChar w:fldCharType="end"/>
      </w:r>
      <w:r>
        <w:rPr>
          <w:rStyle w:val="indexentry"/>
        </w:rPr>
        <w:t>&lt;ex "deference"&gt;</w:t>
      </w:r>
      <w:r>
        <w:rPr>
          <w:rStyle w:val="indexentry"/>
        </w:rPr>
        <w:fldChar w:fldCharType="begin"/>
      </w:r>
      <w:r>
        <w:instrText>xe "</w:instrText>
      </w:r>
      <w:r>
        <w:rPr>
          <w:rStyle w:val="xeentry"/>
        </w:rPr>
        <w:instrText>deference: example</w:instrText>
      </w:r>
      <w:r>
        <w:instrText>"</w:instrText>
      </w:r>
      <w:r>
        <w:rPr>
          <w:rStyle w:val="indexentry"/>
        </w:rPr>
        <w:fldChar w:fldCharType="end"/>
      </w:r>
      <w:r>
        <w:rPr>
          <w:rStyle w:val="indexentry"/>
        </w:rPr>
        <w:t>&lt;ex "condescension"&gt;</w:t>
      </w:r>
      <w:r>
        <w:rPr>
          <w:rStyle w:val="indexentry"/>
        </w:rPr>
        <w:fldChar w:fldCharType="begin"/>
      </w:r>
      <w:r>
        <w:instrText>xe "</w:instrText>
      </w:r>
      <w:r>
        <w:rPr>
          <w:rStyle w:val="xeentry"/>
        </w:rPr>
        <w:instrText>condescension: example</w:instrText>
      </w:r>
      <w:r>
        <w:instrText>"</w:instrText>
      </w:r>
      <w:r>
        <w:rPr>
          <w:rStyle w:val="indexentry"/>
        </w:rPr>
        <w:fldChar w:fldCharType="end"/>
      </w:r>
      <w:r>
        <w:rPr>
          <w:rStyle w:val="indexentry"/>
        </w:rPr>
        <w:t>&lt;lx "ga'i"&gt;</w:t>
      </w:r>
      <w:r>
        <w:rPr>
          <w:rStyle w:val="indexentry"/>
        </w:rPr>
        <w:fldChar w:fldCharType="begin"/>
      </w:r>
      <w:r>
        <w:instrText>xe "</w:instrText>
      </w:r>
      <w:r>
        <w:rPr>
          <w:rStyle w:val="xeentry"/>
        </w:rPr>
        <w:instrText>ga'i</w:instrText>
      </w:r>
      <w:r>
        <w:instrText>"</w:instrText>
      </w:r>
      <w:r>
        <w:rPr>
          <w:rStyle w:val="indexentry"/>
        </w:rPr>
        <w:fldChar w:fldCharType="end"/>
      </w:r>
      <w:r>
        <w:rPr>
          <w:rStyle w:val="indexentry"/>
        </w:rPr>
        <w:t>&lt;lx "ga'inai"&gt;</w:t>
      </w:r>
      <w:r>
        <w:rPr>
          <w:rStyle w:val="indexentry"/>
        </w:rPr>
        <w:fldChar w:fldCharType="begin"/>
      </w:r>
      <w:r>
        <w:instrText>xe "</w:instrText>
      </w:r>
      <w:r>
        <w:rPr>
          <w:rStyle w:val="xeentry"/>
        </w:rPr>
        <w:instrText>ga'inai</w:instrText>
      </w:r>
      <w:r>
        <w:instrText>"</w:instrText>
      </w:r>
      <w:r>
        <w:rPr>
          <w:rStyle w:val="indexentry"/>
        </w:rPr>
        <w:fldChar w:fldCharType="end"/>
      </w:r>
      <w:r>
        <w:t>The cmavo “ga'i” expresses the scale used to indicate con</w:t>
      </w:r>
      <w:r>
        <w:softHyphen/>
        <w:t>descension or polite</w:t>
      </w:r>
      <w:r>
        <w:rPr>
          <w:rStyle w:val="deletedparamark"/>
        </w:rPr>
        <w:t xml:space="preserve"> </w:t>
      </w:r>
      <w:r>
        <w:t>defe</w:t>
      </w:r>
      <w:r>
        <w:t>r</w:t>
      </w:r>
      <w:r>
        <w:softHyphen/>
        <w:t>ence; it is not respect in general, which is “.io”. Whatever it is</w:t>
      </w:r>
      <w:r>
        <w:rPr>
          <w:rStyle w:val="deletedparamark"/>
        </w:rPr>
        <w:t xml:space="preserve"> </w:t>
      </w:r>
      <w:r>
        <w:t>attached to is marked as being below (for “ga'i”) or above (for “ga'inai”)</w:t>
      </w:r>
      <w:r>
        <w:rPr>
          <w:rStyle w:val="deletedparamark"/>
        </w:rPr>
        <w:t xml:space="preserve"> </w:t>
      </w:r>
      <w:r>
        <w:t>the speaker's rank or social position. Note that it is always the referent,</w:t>
      </w:r>
      <w:r>
        <w:rPr>
          <w:rStyle w:val="deletedparamark"/>
        </w:rPr>
        <w:t xml:space="preserve"> </w:t>
      </w:r>
      <w:r>
        <w:t>not the speaker or listener, who is so marked: in order to mark the</w:t>
      </w:r>
      <w:r>
        <w:rPr>
          <w:rStyle w:val="deletedparamark"/>
        </w:rPr>
        <w:t xml:space="preserve"> </w:t>
      </w:r>
      <w:r>
        <w:t>listener, the listener must appear in the sentence, as with “doi ga'inai”,</w:t>
      </w:r>
      <w:r>
        <w:rPr>
          <w:rStyle w:val="deletedparamark"/>
        </w:rPr>
        <w:t xml:space="preserve"> </w:t>
      </w:r>
      <w:r>
        <w:t>which can be appended to a statement addressed to a social superior.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name=e7d1&gt;</w:t>
      </w:r>
      <w:r>
        <w:t>7.1)</w:t>
      </w:r>
      <w:r>
        <w:tab/>
        <w:t>ko ga'inai nenri klama le mi zdani</w:t>
      </w:r>
    </w:p>
    <w:p w:rsidR="00B72047" w:rsidRDefault="00B72047">
      <w:pPr>
        <w:pStyle w:val="examplescaled"/>
      </w:pPr>
      <w:r>
        <w:tab/>
        <w:t>You-imperative [low-rank!] enter-type-of come-to my house.</w:t>
      </w:r>
    </w:p>
    <w:p w:rsidR="00B72047" w:rsidRDefault="00B72047">
      <w:pPr>
        <w:pStyle w:val="examplescaled"/>
      </w:pPr>
      <w:r>
        <w:tab/>
        <w:t>I would be honored if you would enter my residence.</w:t>
      </w:r>
    </w:p>
    <w:p w:rsidR="00B72047" w:rsidRDefault="00B72047">
      <w:pPr>
        <w:pStyle w:val="resumedafterexample"/>
      </w:pPr>
      <w:r>
        <w:rPr>
          <w:rStyle w:val="htmlcodes"/>
        </w:rPr>
        <w:t>&lt;/pre&gt;</w:t>
      </w:r>
      <w:r>
        <w:rPr>
          <w:rStyle w:val="indexentry"/>
        </w:rPr>
        <w:t>&lt;cx "imperatives, attitude"&gt;</w:t>
      </w:r>
      <w:r>
        <w:rPr>
          <w:rStyle w:val="indexentry"/>
        </w:rPr>
        <w:fldChar w:fldCharType="begin"/>
      </w:r>
      <w:r>
        <w:instrText>xe "</w:instrText>
      </w:r>
      <w:r>
        <w:rPr>
          <w:rStyle w:val="xeentry"/>
        </w:rPr>
        <w:instrText>imperatives: attitude</w:instrText>
      </w:r>
      <w:r>
        <w:instrText>"</w:instrText>
      </w:r>
      <w:r>
        <w:rPr>
          <w:rStyle w:val="indexentry"/>
        </w:rPr>
        <w:fldChar w:fldCharType="end"/>
      </w:r>
      <w:r>
        <w:t>Note that imperatives in Lojban need not be imperious! Correspond</w:t>
      </w:r>
      <w:r>
        <w:softHyphen/>
        <w:t>ing</w:t>
      </w:r>
      <w:r>
        <w:rPr>
          <w:rStyle w:val="deletedparamark"/>
        </w:rPr>
        <w:t xml:space="preserve"> </w:t>
      </w:r>
      <w:r>
        <w:t>examples with “ga'icu'i” and “ga'inai”: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ko ga'icu'i nenri klama le mi zdani</w:t>
      </w:r>
    </w:p>
    <w:p w:rsidR="00B72047" w:rsidRDefault="00B72047">
      <w:pPr>
        <w:pStyle w:val="examplescaled"/>
      </w:pPr>
      <w:r>
        <w:tab/>
        <w:t>You-imperative [equal-rank!] enter-type-of come-to my house.</w:t>
      </w:r>
    </w:p>
    <w:p w:rsidR="00B72047" w:rsidRDefault="00B72047">
      <w:pPr>
        <w:pStyle w:val="examplescaled"/>
      </w:pPr>
      <w:r>
        <w:tab/>
        <w:t>Come on in to my place.</w:t>
      </w:r>
    </w:p>
    <w:p w:rsidR="00B72047" w:rsidRDefault="00B72047">
      <w:pPr>
        <w:pStyle w:val="examplescaledpre"/>
      </w:pPr>
      <w:r>
        <w:rPr>
          <w:rStyle w:val="htmlcodes"/>
        </w:rPr>
        <w:t>&lt;a name=e7d3&gt;</w:t>
      </w:r>
      <w:r>
        <w:t>7.3)</w:t>
      </w:r>
      <w:r>
        <w:tab/>
        <w:t>ko ga'i nenri klama le mi zdani</w:t>
      </w:r>
    </w:p>
    <w:p w:rsidR="00B72047" w:rsidRDefault="00B72047">
      <w:pPr>
        <w:pStyle w:val="examplescaled"/>
      </w:pPr>
      <w:r>
        <w:tab/>
        <w:t>You-imperative [high-rank!] enter-type-of come-to my house.</w:t>
      </w:r>
    </w:p>
    <w:p w:rsidR="00B72047" w:rsidRDefault="00B72047">
      <w:pPr>
        <w:pStyle w:val="examplescaled"/>
      </w:pPr>
      <w:r>
        <w:tab/>
        <w:t>You! Get inside!</w:t>
      </w:r>
    </w:p>
    <w:p w:rsidR="00B72047" w:rsidRDefault="00B72047">
      <w:pPr>
        <w:pStyle w:val="resumedafterexample"/>
      </w:pPr>
      <w:r>
        <w:rPr>
          <w:rStyle w:val="htmlcodes"/>
        </w:rPr>
        <w:t>&lt;/pre&gt;&lt;p&gt;</w:t>
      </w:r>
      <w:r>
        <w:t>Since “ga'i” expresses the relative rank of the speaker and the refer</w:t>
      </w:r>
      <w:r>
        <w:softHyphen/>
        <w:t>ent,</w:t>
      </w:r>
      <w:r>
        <w:rPr>
          <w:rStyle w:val="deletedparamark"/>
        </w:rPr>
        <w:t xml:space="preserve"> </w:t>
      </w:r>
      <w:r>
        <w:t>it does not make much sense to attach it to “mi”, unless the speaker is</w:t>
      </w:r>
      <w:r>
        <w:rPr>
          <w:rStyle w:val="deletedparamark"/>
        </w:rPr>
        <w:t xml:space="preserve"> </w:t>
      </w:r>
      <w:r>
        <w:t>using “mi” to refer to a group (as in English “we”), or a past or future</w:t>
      </w:r>
      <w:r>
        <w:rPr>
          <w:rStyle w:val="deletedparamark"/>
        </w:rPr>
        <w:t xml:space="preserve"> </w:t>
      </w:r>
      <w:r>
        <w:t>version of himself with a different rank.</w:t>
      </w:r>
    </w:p>
    <w:p w:rsidR="00B72047" w:rsidRDefault="00B72047">
      <w:pPr>
        <w:rPr>
          <w:rStyle w:val="htmlparacode"/>
        </w:rPr>
      </w:pPr>
      <w:r>
        <w:rPr>
          <w:rStyle w:val="htmlparacode"/>
        </w:rPr>
        <w:t>&lt;p&gt;</w:t>
      </w:r>
    </w:p>
    <w:p w:rsidR="00B72047" w:rsidRDefault="00B72047">
      <w:pPr>
        <w:pStyle w:val="normalparagraph"/>
      </w:pPr>
      <w:r>
        <w:t>It is also possible to attach “ga'i” to a whole bridi, in which case it</w:t>
      </w:r>
      <w:r>
        <w:rPr>
          <w:rStyle w:val="deletedparamark"/>
        </w:rPr>
        <w:t xml:space="preserve"> </w:t>
      </w:r>
      <w:r>
        <w:t>expresses the speaker's superiority to the event the bridi re</w:t>
      </w:r>
      <w:r>
        <w:softHyphen/>
        <w:t>fers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ga'i le xarju pu citka</w:t>
      </w:r>
    </w:p>
    <w:p w:rsidR="00B72047" w:rsidRDefault="00B72047">
      <w:pPr>
        <w:pStyle w:val="examplescaled"/>
      </w:pPr>
      <w:r>
        <w:tab/>
        <w:t>[High-rank!] The pig [past] eats.</w:t>
      </w:r>
    </w:p>
    <w:p w:rsidR="00B72047" w:rsidRDefault="00B72047">
      <w:pPr>
        <w:pStyle w:val="examplescaled"/>
      </w:pPr>
      <w:r>
        <w:tab/>
        <w:t>The pig ate (which is an event beneath my notice).</w:t>
      </w:r>
    </w:p>
    <w:p w:rsidR="00B72047" w:rsidRDefault="00B72047">
      <w:pPr>
        <w:pStyle w:val="normalafterexample"/>
      </w:pPr>
      <w:r>
        <w:rPr>
          <w:rStyle w:val="htmlcodes"/>
        </w:rPr>
        <w:t>&lt;/pre&gt;</w:t>
      </w:r>
      <w:r>
        <w:rPr>
          <w:rStyle w:val="indexentry"/>
        </w:rPr>
        <w:t>&lt;lx "ga'icai"&gt;</w:t>
      </w:r>
      <w:r>
        <w:rPr>
          <w:rStyle w:val="indexentry"/>
        </w:rPr>
        <w:fldChar w:fldCharType="begin"/>
      </w:r>
      <w:r>
        <w:instrText>xe "</w:instrText>
      </w:r>
      <w:r>
        <w:rPr>
          <w:rStyle w:val="xeentry"/>
        </w:rPr>
        <w:instrText>ga'icai</w:instrText>
      </w:r>
      <w:r>
        <w:instrText>"</w:instrText>
      </w:r>
      <w:r>
        <w:rPr>
          <w:rStyle w:val="indexentry"/>
        </w:rPr>
        <w:fldChar w:fldCharType="end"/>
      </w:r>
      <w:r>
        <w:t>When used without being attached to any bridi, “ga'i” ex</w:t>
      </w:r>
      <w:r>
        <w:softHyphen/>
        <w:t>presses the speaker's</w:t>
      </w:r>
      <w:r>
        <w:rPr>
          <w:rStyle w:val="deletedparamark"/>
        </w:rPr>
        <w:t xml:space="preserve"> </w:t>
      </w:r>
      <w:r>
        <w:t>super</w:t>
      </w:r>
      <w:r>
        <w:t>i</w:t>
      </w:r>
      <w:r>
        <w:softHyphen/>
        <w:t>ority to things in general, which may rep</w:t>
      </w:r>
      <w:r>
        <w:softHyphen/>
        <w:t>resent an absolute social</w:t>
      </w:r>
      <w:r>
        <w:rPr>
          <w:rStyle w:val="deletedparamark"/>
        </w:rPr>
        <w:t xml:space="preserve"> </w:t>
      </w:r>
      <w:r>
        <w:t>rank: “ga'icai” is an appropriate opening word for an emperor's address from</w:t>
      </w:r>
      <w:r>
        <w:rPr>
          <w:rStyle w:val="deletedparamark"/>
        </w:rPr>
        <w:t xml:space="preserve"> </w:t>
      </w:r>
      <w:r>
        <w:t>the throne.</w:t>
      </w:r>
    </w:p>
    <w:p w:rsidR="00B72047" w:rsidRDefault="00B72047">
      <w:pPr>
        <w:rPr>
          <w:rStyle w:val="htmlparacode"/>
        </w:rPr>
      </w:pPr>
      <w:r>
        <w:rPr>
          <w:rStyle w:val="htmlparacode"/>
        </w:rPr>
        <w:t>&lt;p&gt;</w:t>
      </w:r>
    </w:p>
    <w:p w:rsidR="00B72047" w:rsidRDefault="00B72047">
      <w:pPr>
        <w:pStyle w:val="normalparagraph"/>
      </w:pPr>
      <w:r>
        <w:rPr>
          <w:rStyle w:val="indexentry"/>
        </w:rPr>
        <w:t>&lt;lx "le'o"&gt;</w:t>
      </w:r>
      <w:r>
        <w:rPr>
          <w:rStyle w:val="indexentry"/>
        </w:rPr>
        <w:fldChar w:fldCharType="begin"/>
      </w:r>
      <w:r>
        <w:instrText>xe "</w:instrText>
      </w:r>
      <w:r>
        <w:rPr>
          <w:rStyle w:val="xeentry"/>
        </w:rPr>
        <w:instrText>le'o</w:instrText>
      </w:r>
      <w:r>
        <w:instrText>"</w:instrText>
      </w:r>
      <w:r>
        <w:rPr>
          <w:rStyle w:val="indexentry"/>
        </w:rPr>
        <w:fldChar w:fldCharType="end"/>
      </w:r>
      <w:r>
        <w:t>The cmavo “le'o” represents the scale of aggressiveness. We seldom overtly</w:t>
      </w:r>
      <w:r>
        <w:rPr>
          <w:rStyle w:val="deletedparamark"/>
        </w:rPr>
        <w:t xml:space="preserve"> </w:t>
      </w:r>
      <w:r>
        <w:t>reco</w:t>
      </w:r>
      <w:r>
        <w:t>g</w:t>
      </w:r>
      <w:r>
        <w:softHyphen/>
        <w:t>nize that we are feeling aggressive or defensive,</w:t>
      </w:r>
      <w:r>
        <w:rPr>
          <w:rStyle w:val="deletedparamark"/>
        </w:rPr>
        <w:t xml:space="preserve"> </w:t>
      </w:r>
      <w:r>
        <w:t>but perhaps in counseling ses</w:t>
      </w:r>
      <w:r>
        <w:softHyphen/>
        <w:t>sions, a psychologist might encourage</w:t>
      </w:r>
      <w:r>
        <w:rPr>
          <w:rStyle w:val="deletedparamark"/>
        </w:rPr>
        <w:t xml:space="preserve"> </w:t>
      </w:r>
      <w:r>
        <w:t>someone to express these feelings on this scale. And foo</w:t>
      </w:r>
      <w:r>
        <w:t>t</w:t>
      </w:r>
      <w:r>
        <w:softHyphen/>
        <w:t>ball</w:t>
      </w:r>
      <w:r>
        <w:rPr>
          <w:rStyle w:val="deletedparamark"/>
        </w:rPr>
        <w:t xml:space="preserve"> </w:t>
      </w:r>
      <w:r>
        <w:t>teams could be urged on by their coach using “ro'ole'o”. “le'o” is</w:t>
      </w:r>
      <w:r>
        <w:rPr>
          <w:rStyle w:val="deletedparamark"/>
        </w:rPr>
        <w:t xml:space="preserve"> </w:t>
      </w:r>
      <w:r>
        <w:t>also use</w:t>
      </w:r>
      <w:r>
        <w:softHyphen/>
        <w:t>ful in threats as an alternative to “o'onai”, which expresses</w:t>
      </w:r>
      <w:r>
        <w:rPr>
          <w:rStyle w:val="deletedparamark"/>
        </w:rPr>
        <w:t xml:space="preserve"> </w:t>
      </w:r>
      <w:r>
        <w:t>anger.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"righteous indignation"&gt;</w:t>
      </w:r>
      <w:r>
        <w:rPr>
          <w:rStyle w:val="indexentry"/>
        </w:rPr>
        <w:fldChar w:fldCharType="begin"/>
      </w:r>
      <w:r>
        <w:instrText>xe "</w:instrText>
      </w:r>
      <w:r>
        <w:rPr>
          <w:rStyle w:val="xeentry"/>
        </w:rPr>
        <w:instrText>righteous indignation: example</w:instrText>
      </w:r>
      <w:r>
        <w:instrText>"</w:instrText>
      </w:r>
      <w:r>
        <w:rPr>
          <w:rStyle w:val="indexentry"/>
        </w:rPr>
        <w:fldChar w:fldCharType="end"/>
      </w:r>
      <w:r>
        <w:rPr>
          <w:rStyle w:val="indexentry"/>
        </w:rPr>
        <w:t>&lt;lx "vu'e"&gt;</w:t>
      </w:r>
      <w:r>
        <w:rPr>
          <w:rStyle w:val="indexentry"/>
        </w:rPr>
        <w:fldChar w:fldCharType="begin"/>
      </w:r>
      <w:r>
        <w:instrText>xe "</w:instrText>
      </w:r>
      <w:r>
        <w:rPr>
          <w:rStyle w:val="xeentry"/>
        </w:rPr>
        <w:instrText>vu'e</w:instrText>
      </w:r>
      <w:r>
        <w:instrText>"</w:instrText>
      </w:r>
      <w:r>
        <w:rPr>
          <w:rStyle w:val="indexentry"/>
        </w:rPr>
        <w:fldChar w:fldCharType="end"/>
      </w:r>
      <w:r>
        <w:rPr>
          <w:rStyle w:val="indexentry"/>
        </w:rPr>
        <w:t>&lt;ex "virtue"&gt;</w:t>
      </w:r>
      <w:r>
        <w:rPr>
          <w:rStyle w:val="indexentry"/>
        </w:rPr>
        <w:fldChar w:fldCharType="begin"/>
      </w:r>
      <w:r>
        <w:instrText>xe "</w:instrText>
      </w:r>
      <w:r>
        <w:rPr>
          <w:rStyle w:val="xeentry"/>
        </w:rPr>
        <w:instrText>virtue: example</w:instrText>
      </w:r>
      <w:r>
        <w:instrText>"</w:instrText>
      </w:r>
      <w:r>
        <w:rPr>
          <w:rStyle w:val="indexentry"/>
        </w:rPr>
        <w:fldChar w:fldCharType="end"/>
      </w:r>
      <w:r>
        <w:rPr>
          <w:rStyle w:val="indexentry"/>
        </w:rPr>
        <w:t>&lt;ex "sinful"&gt;</w:t>
      </w:r>
      <w:r>
        <w:rPr>
          <w:rStyle w:val="indexentry"/>
        </w:rPr>
        <w:fldChar w:fldCharType="begin"/>
      </w:r>
      <w:r>
        <w:instrText>xe "</w:instrText>
      </w:r>
      <w:r>
        <w:rPr>
          <w:rStyle w:val="xeentry"/>
        </w:rPr>
        <w:instrText>sinful: example</w:instrText>
      </w:r>
      <w:r>
        <w:instrText>"</w:instrText>
      </w:r>
      <w:r>
        <w:rPr>
          <w:rStyle w:val="indexentry"/>
        </w:rPr>
        <w:fldChar w:fldCharType="end"/>
      </w:r>
      <w:r>
        <w:t>The cmavo “vu'e” represents ethical virtue or its absence. An excess of</w:t>
      </w:r>
      <w:r>
        <w:rPr>
          <w:rStyle w:val="deletedparamark"/>
        </w:rPr>
        <w:t xml:space="preserve"> </w:t>
      </w:r>
      <w:r>
        <w:t>almost any emotion is usually somewhat “sinful” in the eyes</w:t>
      </w:r>
      <w:r>
        <w:rPr>
          <w:rStyle w:val="deletedparamark"/>
        </w:rPr>
        <w:t xml:space="preserve"> </w:t>
      </w:r>
      <w:r>
        <w:t>of most ethical systems. On the other hand, we often feel virtuous</w:t>
      </w:r>
      <w:r>
        <w:rPr>
          <w:rStyle w:val="deletedparamark"/>
        </w:rPr>
        <w:t xml:space="preserve"> </w:t>
      </w:r>
      <w:r>
        <w:t>about our feelings — what we call righteous indigna</w:t>
      </w:r>
      <w:r>
        <w:softHyphen/>
        <w:t>tion might be</w:t>
      </w:r>
      <w:r>
        <w:rPr>
          <w:rStyle w:val="deletedparamark"/>
        </w:rPr>
        <w:t xml:space="preserve"> “</w:t>
      </w:r>
      <w:r>
        <w:t>o'onaivu'e”. Note that this is distinct from lack of guilt: “.u'unai”.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"se'i"&gt;</w:t>
      </w:r>
      <w:r>
        <w:rPr>
          <w:rStyle w:val="indexentry"/>
        </w:rPr>
        <w:fldChar w:fldCharType="begin"/>
      </w:r>
      <w:r>
        <w:instrText>xe "</w:instrText>
      </w:r>
      <w:r>
        <w:rPr>
          <w:rStyle w:val="xeentry"/>
        </w:rPr>
        <w:instrText>se'i</w:instrText>
      </w:r>
      <w:r>
        <w:instrText>"</w:instrText>
      </w:r>
      <w:r>
        <w:rPr>
          <w:rStyle w:val="indexentry"/>
        </w:rPr>
        <w:fldChar w:fldCharType="end"/>
      </w:r>
      <w:r>
        <w:t>The cmavo “se'i” expresses the difference between selfishness and generosity, for</w:t>
      </w:r>
      <w:r>
        <w:rPr>
          <w:rStyle w:val="deletedparamark"/>
        </w:rPr>
        <w:t xml:space="preserve"> </w:t>
      </w:r>
      <w:r>
        <w:t>example (in combination with “.au”):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ause'i</w:t>
      </w:r>
    </w:p>
    <w:p w:rsidR="00B72047" w:rsidRDefault="00B72047">
      <w:pPr>
        <w:pStyle w:val="examplescaled"/>
      </w:pPr>
      <w:r>
        <w:tab/>
        <w:t>[desire] [self]</w:t>
      </w:r>
    </w:p>
    <w:p w:rsidR="00B72047" w:rsidRDefault="00B72047">
      <w:pPr>
        <w:pStyle w:val="examplescaled"/>
      </w:pPr>
      <w:r>
        <w:tab/>
        <w:t>I want it!</w:t>
      </w:r>
    </w:p>
    <w:p w:rsidR="00B72047" w:rsidRDefault="00B72047">
      <w:pPr>
        <w:pStyle w:val="examplescaledpre"/>
      </w:pPr>
      <w:r>
        <w:rPr>
          <w:rStyle w:val="htmlcodes"/>
        </w:rPr>
        <w:t>&lt;a name=e7d6&gt;</w:t>
      </w:r>
      <w:r>
        <w:t>7.6)</w:t>
      </w:r>
      <w:r>
        <w:tab/>
        <w:t>ause'inai</w:t>
      </w:r>
    </w:p>
    <w:p w:rsidR="00B72047" w:rsidRDefault="00B72047">
      <w:pPr>
        <w:pStyle w:val="examplescaled"/>
      </w:pPr>
      <w:r>
        <w:tab/>
        <w:t>[desire] [other]</w:t>
      </w:r>
    </w:p>
    <w:p w:rsidR="00B72047" w:rsidRDefault="00B72047">
      <w:pPr>
        <w:pStyle w:val="examplescaled"/>
      </w:pPr>
      <w:r>
        <w:tab/>
        <w:t>I want you to have it!</w:t>
      </w:r>
    </w:p>
    <w:p w:rsidR="00B72047" w:rsidRDefault="00B72047">
      <w:pPr>
        <w:pStyle w:val="resumedafterexample"/>
      </w:pPr>
      <w:r>
        <w:rPr>
          <w:rStyle w:val="htmlcodes"/>
        </w:rPr>
        <w:t>&lt;/pre&gt;&lt;p&gt;</w:t>
      </w:r>
      <w:r>
        <w:t>In both cases, the English “it” is vague, reflecting the absence of a</w:t>
      </w:r>
      <w:r>
        <w:rPr>
          <w:rStyle w:val="deletedparamark"/>
        </w:rPr>
        <w:t xml:space="preserve"> </w:t>
      </w:r>
      <w:r>
        <w:t xml:space="preserve">bridi. </w:t>
      </w:r>
      <w:r>
        <w:rPr>
          <w:rStyle w:val="htmlcodes"/>
        </w:rPr>
        <w:t>&lt;a href=#e7d5&gt;</w:t>
      </w:r>
      <w:r>
        <w:t xml:space="preserve">Example 7.5 </w:t>
      </w:r>
      <w:r>
        <w:rPr>
          <w:rStyle w:val="htmlcodes"/>
        </w:rPr>
        <w:t>&lt;/a&gt;</w:t>
      </w:r>
      <w:r>
        <w:t xml:space="preserve">and </w:t>
      </w:r>
      <w:r>
        <w:rPr>
          <w:rStyle w:val="htmlcodes"/>
        </w:rPr>
        <w:t>&lt;a href=#e7d6&gt;</w:t>
      </w:r>
      <w:r>
        <w:t xml:space="preserve">Example 7.6 </w:t>
      </w:r>
      <w:r>
        <w:rPr>
          <w:rStyle w:val="htmlcodes"/>
        </w:rPr>
        <w:t>&lt;/a&gt;</w:t>
      </w:r>
      <w:r>
        <w:t>are pure expressions of attitude.</w:t>
      </w:r>
      <w:r>
        <w:rPr>
          <w:rStyle w:val="deletedparamark"/>
        </w:rPr>
        <w:t xml:space="preserve"> </w:t>
      </w:r>
      <w:r>
        <w:t>Analogously, “.uuse'i” is self-pity, whereas “.uuse'inai” is pity for</w:t>
      </w:r>
      <w:r>
        <w:rPr>
          <w:rStyle w:val="deletedparamark"/>
        </w:rPr>
        <w:t xml:space="preserve"> </w:t>
      </w:r>
      <w:r>
        <w:t>someone else.</w:t>
      </w:r>
    </w:p>
    <w:p w:rsidR="00B72047" w:rsidRDefault="00B72047">
      <w:pPr>
        <w:rPr>
          <w:rStyle w:val="htmlparacode"/>
        </w:rPr>
      </w:pPr>
      <w:r>
        <w:rPr>
          <w:rStyle w:val="htmlparacode"/>
        </w:rPr>
        <w:t>&lt;p&gt;</w:t>
      </w:r>
    </w:p>
    <w:p w:rsidR="00B72047" w:rsidRDefault="00B72047">
      <w:pPr>
        <w:pStyle w:val="normalparagraph"/>
      </w:pPr>
      <w:r>
        <w:rPr>
          <w:rStyle w:val="indexentry"/>
        </w:rPr>
        <w:t>&lt;lx "ri'e"&gt;</w:t>
      </w:r>
      <w:r>
        <w:rPr>
          <w:rStyle w:val="indexentry"/>
        </w:rPr>
        <w:fldChar w:fldCharType="begin"/>
      </w:r>
      <w:r>
        <w:instrText>xe "</w:instrText>
      </w:r>
      <w:r>
        <w:rPr>
          <w:rStyle w:val="xeentry"/>
        </w:rPr>
        <w:instrText>ri'e</w:instrText>
      </w:r>
      <w:r>
        <w:instrText>"</w:instrText>
      </w:r>
      <w:r>
        <w:rPr>
          <w:rStyle w:val="indexentry"/>
        </w:rPr>
        <w:fldChar w:fldCharType="end"/>
      </w:r>
      <w:r>
        <w:t>The modifier “ri'e” indicates emotional release versus emo</w:t>
      </w:r>
      <w:r>
        <w:softHyphen/>
        <w:t>tional control.</w:t>
      </w:r>
      <w:r>
        <w:rPr>
          <w:rStyle w:val="deletedparamark"/>
        </w:rPr>
        <w:t xml:space="preserve"> “</w:t>
      </w:r>
      <w:r>
        <w:t>I will not let him know how angry I am”, you say to yourself before</w:t>
      </w:r>
      <w:r>
        <w:rPr>
          <w:rStyle w:val="deletedparamark"/>
        </w:rPr>
        <w:t xml:space="preserve"> </w:t>
      </w:r>
      <w:r>
        <w:t>entering the room. The Lojban is much shorter: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name=e7d7&gt;</w:t>
      </w:r>
      <w:r>
        <w:t>7.7)</w:t>
      </w:r>
      <w:r>
        <w:tab/>
        <w:t>.o'onai ri'enai</w:t>
      </w:r>
    </w:p>
    <w:p w:rsidR="00B72047" w:rsidRDefault="00B72047">
      <w:pPr>
        <w:pStyle w:val="examplescaled"/>
      </w:pPr>
      <w:r>
        <w:tab/>
        <w:t>[anger] [control]</w:t>
      </w:r>
    </w:p>
    <w:p w:rsidR="00B72047" w:rsidRDefault="00B72047">
      <w:pPr>
        <w:pStyle w:val="resumedafterexample"/>
      </w:pPr>
      <w:r>
        <w:rPr>
          <w:rStyle w:val="htmlcodes"/>
        </w:rPr>
        <w:t>&lt;/pre&gt;&lt;p&gt;</w:t>
      </w:r>
      <w:r>
        <w:t>On the other hand, “ri'e” can be used by itself to signal an emotional</w:t>
      </w:r>
      <w:r>
        <w:rPr>
          <w:rStyle w:val="deletedparamark"/>
        </w:rPr>
        <w:t xml:space="preserve"> </w:t>
      </w:r>
      <w:r>
        <w:t>outburst.</w:t>
      </w:r>
    </w:p>
    <w:p w:rsidR="00B72047" w:rsidRDefault="00B72047">
      <w:pPr>
        <w:rPr>
          <w:rStyle w:val="htmlparacode"/>
        </w:rPr>
      </w:pPr>
      <w:r>
        <w:rPr>
          <w:rStyle w:val="htmlparacode"/>
        </w:rPr>
        <w:t>&lt;p&gt;</w:t>
      </w:r>
    </w:p>
    <w:p w:rsidR="00B72047" w:rsidRDefault="00B72047">
      <w:pPr>
        <w:pStyle w:val="normalparagraph"/>
      </w:pPr>
      <w:r>
        <w:rPr>
          <w:rStyle w:val="indexentry"/>
        </w:rPr>
        <w:t>&lt;lx "fu'i"&gt;</w:t>
      </w:r>
      <w:r>
        <w:rPr>
          <w:rStyle w:val="indexentry"/>
        </w:rPr>
        <w:fldChar w:fldCharType="begin"/>
      </w:r>
      <w:r>
        <w:instrText>xe "</w:instrText>
      </w:r>
      <w:r>
        <w:rPr>
          <w:rStyle w:val="xeentry"/>
        </w:rPr>
        <w:instrText>fu'i</w:instrText>
      </w:r>
      <w:r>
        <w:instrText>"</w:instrText>
      </w:r>
      <w:r>
        <w:rPr>
          <w:rStyle w:val="indexentry"/>
        </w:rPr>
        <w:fldChar w:fldCharType="end"/>
      </w:r>
      <w:r>
        <w:t>The cmavo “fu'i” may express a reason for feeling the way we do, as opposed to</w:t>
      </w:r>
      <w:r>
        <w:rPr>
          <w:rStyle w:val="deletedparamark"/>
        </w:rPr>
        <w:t xml:space="preserve"> </w:t>
      </w:r>
      <w:r>
        <w:t>a feeling in itself; but it is a reason that is more emotionally determined</w:t>
      </w:r>
      <w:r>
        <w:rPr>
          <w:rStyle w:val="deletedparamark"/>
        </w:rPr>
        <w:t xml:space="preserve"> </w:t>
      </w:r>
      <w:r>
        <w:t>than most. For e</w:t>
      </w:r>
      <w:r>
        <w:t>x</w:t>
      </w:r>
      <w:r>
        <w:softHyphen/>
        <w:t>ample, it could show the difference between the mental</w:t>
      </w:r>
      <w:r>
        <w:rPr>
          <w:rStyle w:val="deletedparamark"/>
        </w:rPr>
        <w:t xml:space="preserve"> </w:t>
      </w:r>
      <w:r>
        <w:t xml:space="preserve">discomfort mentioned in </w:t>
      </w:r>
      <w:r>
        <w:rPr>
          <w:rStyle w:val="htmlcodes"/>
        </w:rPr>
        <w:t>&lt;a href=#s6&gt;</w:t>
      </w:r>
      <w:r>
        <w:t xml:space="preserve">Section 6 </w:t>
      </w:r>
      <w:r>
        <w:rPr>
          <w:rStyle w:val="htmlcodes"/>
        </w:rPr>
        <w:t>&lt;/a&gt;</w:t>
      </w:r>
      <w:r>
        <w:t>when it is felt on an easy test, as</w:t>
      </w:r>
      <w:r>
        <w:rPr>
          <w:rStyle w:val="deletedparamark"/>
        </w:rPr>
        <w:t xml:space="preserve"> </w:t>
      </w:r>
      <w:r>
        <w:t>opposed to on a hard test. When someone gives you a back massage, you could</w:t>
      </w:r>
      <w:r>
        <w:rPr>
          <w:rStyle w:val="deletedparamark"/>
        </w:rPr>
        <w:t xml:space="preserve"> </w:t>
      </w:r>
      <w:r>
        <w:t>use “.o'ufu'i” to show appreciation for the assis</w:t>
      </w:r>
      <w:r>
        <w:softHyphen/>
        <w:t>tance in your comfort.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"be'u"&gt;</w:t>
      </w:r>
      <w:r>
        <w:rPr>
          <w:rStyle w:val="indexentry"/>
        </w:rPr>
        <w:fldChar w:fldCharType="begin"/>
      </w:r>
      <w:r>
        <w:instrText>xe "</w:instrText>
      </w:r>
      <w:r>
        <w:rPr>
          <w:rStyle w:val="xeentry"/>
        </w:rPr>
        <w:instrText>be'u</w:instrText>
      </w:r>
      <w:r>
        <w:instrText>"</w:instrText>
      </w:r>
      <w:r>
        <w:rPr>
          <w:rStyle w:val="indexentry"/>
        </w:rPr>
        <w:fldChar w:fldCharType="end"/>
      </w:r>
      <w:r>
        <w:t>The cmavo “be'u” expresses, roughly speaking, whether the emotion it modi</w:t>
      </w:r>
      <w:r>
        <w:softHyphen/>
        <w:t>fies</w:t>
      </w:r>
      <w:r>
        <w:rPr>
          <w:rStyle w:val="deletedparamark"/>
        </w:rPr>
        <w:t xml:space="preserve"> </w:t>
      </w:r>
      <w:r>
        <w:t>is in response to something you don't have enough of, something you have</w:t>
      </w:r>
      <w:r>
        <w:rPr>
          <w:rStyle w:val="deletedparamark"/>
        </w:rPr>
        <w:t xml:space="preserve"> </w:t>
      </w:r>
      <w:r>
        <w:t>enough of, or something you have too much of. It is more or less the</w:t>
      </w:r>
      <w:r>
        <w:rPr>
          <w:rStyle w:val="deletedparamark"/>
        </w:rPr>
        <w:t xml:space="preserve"> </w:t>
      </w:r>
      <w:r>
        <w:t>attitudinal equivalent of the su</w:t>
      </w:r>
      <w:r>
        <w:t>b</w:t>
      </w:r>
      <w:r>
        <w:softHyphen/>
        <w:t>jec</w:t>
      </w:r>
      <w:r>
        <w:softHyphen/>
        <w:t>tive quantifier cmavo “mo'a”, “rau”, and</w:t>
      </w:r>
      <w:r>
        <w:rPr>
          <w:rStyle w:val="deletedparamark"/>
        </w:rPr>
        <w:t xml:space="preserve"> “</w:t>
      </w:r>
      <w:r>
        <w:t>du'e” (these belong to sel</w:t>
      </w:r>
      <w:r>
        <w:softHyphen/>
        <w:t xml:space="preserve">ma'o PA, and are discussed in </w:t>
      </w:r>
      <w:r>
        <w:rPr>
          <w:rStyle w:val="htmlcodes"/>
        </w:rPr>
        <w:t>&lt;a href=chap18.html&gt;</w:t>
      </w:r>
      <w:r>
        <w:t>Chapter 18</w:t>
      </w:r>
      <w:r>
        <w:rPr>
          <w:rStyle w:val="htmlcodes"/>
        </w:rPr>
        <w:t>&lt;/a&gt;</w:t>
      </w:r>
      <w:r>
        <w:t>). For</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.uiro'obe'unai</w:t>
      </w:r>
    </w:p>
    <w:p w:rsidR="00B72047" w:rsidRDefault="00B72047">
      <w:pPr>
        <w:pStyle w:val="examplescaled"/>
      </w:pPr>
      <w:r>
        <w:tab/>
        <w:t>[Yay!] [physical] [Enough!]</w:t>
      </w:r>
    </w:p>
    <w:p w:rsidR="00B72047" w:rsidRDefault="00B72047">
      <w:pPr>
        <w:pStyle w:val="resumedafterexample"/>
      </w:pPr>
      <w:r>
        <w:rPr>
          <w:rStyle w:val="htmlcodes"/>
        </w:rPr>
        <w:t>&lt;/pre&gt;</w:t>
      </w:r>
      <w:r>
        <w:rPr>
          <w:rStyle w:val="indexentry"/>
        </w:rPr>
        <w:t>&lt;ex "large meal"&gt;</w:t>
      </w:r>
      <w:r>
        <w:rPr>
          <w:rStyle w:val="indexentry"/>
        </w:rPr>
        <w:fldChar w:fldCharType="begin"/>
      </w:r>
      <w:r>
        <w:instrText>xe "</w:instrText>
      </w:r>
      <w:r>
        <w:rPr>
          <w:rStyle w:val="xeentry"/>
        </w:rPr>
        <w:instrText>large meal: example</w:instrText>
      </w:r>
      <w:r>
        <w:instrText>"</w:instrText>
      </w:r>
      <w:r>
        <w:rPr>
          <w:rStyle w:val="indexentry"/>
        </w:rPr>
        <w:fldChar w:fldCharType="end"/>
      </w:r>
      <w:r>
        <w:t>might be something you say after a large meal which you enjoyed.</w:t>
      </w:r>
    </w:p>
    <w:p w:rsidR="00B72047" w:rsidRDefault="00B72047">
      <w:pPr>
        <w:rPr>
          <w:rStyle w:val="htmlparacode"/>
        </w:rPr>
      </w:pPr>
      <w:r>
        <w:rPr>
          <w:rStyle w:val="htmlparacode"/>
        </w:rPr>
        <w:t>&lt;p&gt;</w:t>
      </w:r>
    </w:p>
    <w:p w:rsidR="00B72047" w:rsidRDefault="00B72047">
      <w:pPr>
        <w:pStyle w:val="normalparagraph"/>
      </w:pPr>
      <w:r>
        <w:t>Like all modifiers, “be'u” can be used alone: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name=e7d9&gt;</w:t>
      </w:r>
      <w:r>
        <w:t>7.9)</w:t>
      </w:r>
      <w:r>
        <w:tab/>
        <w:t>le cukta be'u cu zvati ma</w:t>
      </w:r>
    </w:p>
    <w:p w:rsidR="00B72047" w:rsidRDefault="00B72047">
      <w:pPr>
        <w:pStyle w:val="examplescaled"/>
      </w:pPr>
      <w:r>
        <w:tab/>
        <w:t>The book [Needed!] is at-location [what sumti?]</w:t>
      </w:r>
    </w:p>
    <w:p w:rsidR="00B72047" w:rsidRDefault="00B72047">
      <w:pPr>
        <w:pStyle w:val="examplescaled"/>
      </w:pPr>
      <w:r>
        <w:tab/>
        <w:t>Where's the book? — I need it!</w:t>
      </w:r>
    </w:p>
    <w:p w:rsidR="00B72047" w:rsidRDefault="00B72047">
      <w:pPr>
        <w:pStyle w:val="normalafterexample"/>
      </w:pPr>
      <w:r>
        <w:rPr>
          <w:rStyle w:val="htmlcodes"/>
        </w:rPr>
        <w:t>&lt;/pre&gt;</w:t>
      </w:r>
      <w:r>
        <w:rPr>
          <w:rStyle w:val="indexentry"/>
        </w:rPr>
        <w:t>&lt;lx "se'a"&gt;</w:t>
      </w:r>
      <w:r>
        <w:rPr>
          <w:rStyle w:val="indexentry"/>
        </w:rPr>
        <w:fldChar w:fldCharType="begin"/>
      </w:r>
      <w:r>
        <w:instrText>xe "</w:instrText>
      </w:r>
      <w:r>
        <w:rPr>
          <w:rStyle w:val="xeentry"/>
        </w:rPr>
        <w:instrText>se'a</w:instrText>
      </w:r>
      <w:r>
        <w:instrText>"</w:instrText>
      </w:r>
      <w:r>
        <w:rPr>
          <w:rStyle w:val="indexentry"/>
        </w:rPr>
        <w:fldChar w:fldCharType="end"/>
      </w:r>
      <w:r>
        <w:t>Lastly, the modifier “se'a” shows whether the feeling is asso</w:t>
      </w:r>
      <w:r>
        <w:softHyphen/>
        <w:t>ciated with</w:t>
      </w:r>
      <w:r>
        <w:rPr>
          <w:rStyle w:val="deletedparamark"/>
        </w:rPr>
        <w:t xml:space="preserve"> </w:t>
      </w:r>
      <w:r>
        <w:t>self-suffi</w:t>
      </w:r>
      <w:r>
        <w:softHyphen/>
        <w:t>ciency or with dependence on others.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name=e7d10&gt;</w:t>
      </w:r>
      <w:r>
        <w:t>7.10)</w:t>
      </w:r>
      <w:r>
        <w:tab/>
        <w:t>.e'ese'a</w:t>
      </w:r>
    </w:p>
    <w:p w:rsidR="00B72047" w:rsidRDefault="00B72047">
      <w:pPr>
        <w:pStyle w:val="examplescaled"/>
      </w:pPr>
      <w:r>
        <w:tab/>
        <w:t>[I can!] [self-sufficient!]</w:t>
      </w:r>
    </w:p>
    <w:p w:rsidR="00B72047" w:rsidRDefault="00B72047">
      <w:pPr>
        <w:pStyle w:val="examplescaled"/>
      </w:pPr>
      <w:r>
        <w:tab/>
        <w:t>I can do it all by myself!</w:t>
      </w:r>
    </w:p>
    <w:p w:rsidR="00B72047" w:rsidRDefault="00B72047">
      <w:pPr>
        <w:pStyle w:val="resumedafterexample"/>
      </w:pPr>
      <w:r>
        <w:rPr>
          <w:rStyle w:val="htmlcodes"/>
        </w:rPr>
        <w:t>&lt;/pre&gt;</w:t>
      </w:r>
      <w:r>
        <w:t>is something a Lojban-speaking child might say. On the other hand,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name=e7d11&gt;</w:t>
      </w:r>
      <w:r>
        <w:t>7.11)</w:t>
      </w:r>
      <w:r>
        <w:tab/>
        <w:t>.e'ese'anai</w:t>
      </w:r>
    </w:p>
    <w:p w:rsidR="00B72047" w:rsidRDefault="00B72047">
      <w:pPr>
        <w:pStyle w:val="examplescaled"/>
      </w:pPr>
      <w:r>
        <w:tab/>
        <w:t>[I can!] [dependent]</w:t>
      </w:r>
    </w:p>
    <w:p w:rsidR="00B72047" w:rsidRDefault="00B72047">
      <w:pPr>
        <w:pStyle w:val="examplescaled"/>
      </w:pPr>
      <w:r>
        <w:tab/>
        <w:t>I can do it if you help me.</w:t>
      </w:r>
    </w:p>
    <w:p w:rsidR="00B72047" w:rsidRDefault="00B72047">
      <w:pPr>
        <w:pStyle w:val="resumedafterexample"/>
      </w:pPr>
      <w:r>
        <w:rPr>
          <w:rStyle w:val="htmlcodes"/>
        </w:rPr>
        <w:t>&lt;/pre&gt;</w:t>
      </w:r>
      <w:r>
        <w:t>from the same child would indicate a (hopefully temporary) loss of self-</w:t>
      </w:r>
      <w:r>
        <w:rPr>
          <w:rStyle w:val="deletedparamark"/>
        </w:rPr>
        <w:t xml:space="preserve"> </w:t>
      </w:r>
      <w:r>
        <w:t xml:space="preserve">confidence. It is also possible to negate the “.e'e” in </w:t>
      </w:r>
      <w:r>
        <w:rPr>
          <w:rStyle w:val="htmlcodes"/>
        </w:rPr>
        <w:t>&lt;a href=#e7d10&gt;</w:t>
      </w:r>
      <w:r>
        <w:t xml:space="preserve">Example 7.10 </w:t>
      </w:r>
      <w:r>
        <w:rPr>
          <w:rStyle w:val="htmlcodes"/>
        </w:rPr>
        <w:t>&lt;/a&gt;</w:t>
      </w:r>
      <w:r>
        <w:t>and</w:t>
      </w:r>
      <w:r>
        <w:rPr>
          <w:rStyle w:val="deletedparamark"/>
        </w:rPr>
        <w:t xml:space="preserve"> </w:t>
      </w:r>
      <w:r>
        <w:rPr>
          <w:rStyle w:val="htmlcodes"/>
        </w:rPr>
        <w:t>&lt;a href=#e7d11&gt;</w:t>
      </w:r>
      <w:r>
        <w:t>Example 7.11</w:t>
      </w:r>
      <w:r>
        <w:rPr>
          <w:rStyle w:val="htmlcodes"/>
        </w:rPr>
        <w:t>&lt;/a&gt;</w:t>
      </w:r>
      <w:r>
        <w:t>, leading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name=e7d12&gt;</w:t>
      </w:r>
      <w:r>
        <w:t>7.12)</w:t>
      </w:r>
      <w:r>
        <w:tab/>
        <w:t>.e'enaise'a</w:t>
      </w:r>
    </w:p>
    <w:p w:rsidR="00B72047" w:rsidRDefault="00B72047">
      <w:pPr>
        <w:pStyle w:val="examplescaled"/>
      </w:pPr>
      <w:r>
        <w:tab/>
        <w:t>[I can't!] [self-sufficient]</w:t>
      </w:r>
    </w:p>
    <w:p w:rsidR="00B72047" w:rsidRDefault="00B72047">
      <w:pPr>
        <w:pStyle w:val="examplescaled"/>
      </w:pPr>
      <w:r>
        <w:tab/>
        <w:t>I can't do it if you insist on “helping” me!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name=e7d13&gt;</w:t>
      </w:r>
      <w:r>
        <w:t>7.13)</w:t>
      </w:r>
      <w:r>
        <w:tab/>
        <w:t>.e'enaise'anai</w:t>
      </w:r>
    </w:p>
    <w:p w:rsidR="00B72047" w:rsidRDefault="00B72047">
      <w:pPr>
        <w:pStyle w:val="examplescaled"/>
      </w:pPr>
      <w:r>
        <w:tab/>
        <w:t>[I can't!] [dependent]</w:t>
      </w:r>
    </w:p>
    <w:p w:rsidR="00B72047" w:rsidRDefault="00B72047">
      <w:pPr>
        <w:pStyle w:val="examplescaled"/>
      </w:pPr>
      <w:r>
        <w:tab/>
        <w:t>I can't do it by myself!</w:t>
      </w:r>
    </w:p>
    <w:p w:rsidR="00B72047" w:rsidRDefault="00B72047">
      <w:pPr>
        <w:pStyle w:val="normalafterexample"/>
      </w:pPr>
      <w:r>
        <w:rPr>
          <w:rStyle w:val="htmlcodes"/>
        </w:rPr>
        <w:t>&lt;/pre&gt;</w:t>
      </w:r>
      <w:r>
        <w:rPr>
          <w:rStyle w:val="indexentry"/>
        </w:rPr>
        <w:t>&lt;cx "attitudinals, complexity"&gt;</w:t>
      </w:r>
      <w:r>
        <w:rPr>
          <w:rStyle w:val="indexentry"/>
        </w:rPr>
        <w:fldChar w:fldCharType="begin"/>
      </w:r>
      <w:r>
        <w:instrText>xe "</w:instrText>
      </w:r>
      <w:r>
        <w:rPr>
          <w:rStyle w:val="xeentry"/>
        </w:rPr>
        <w:instrText>attitudinals: complexity</w:instrText>
      </w:r>
      <w:r>
        <w:instrText>"</w:instrText>
      </w:r>
      <w:r>
        <w:rPr>
          <w:rStyle w:val="indexentry"/>
        </w:rPr>
        <w:fldChar w:fldCharType="end"/>
      </w:r>
      <w:r>
        <w:t>Some of the emotional expressions may seem too compli</w:t>
      </w:r>
      <w:r>
        <w:softHyphen/>
        <w:t>cated to use. They</w:t>
      </w:r>
      <w:r>
        <w:rPr>
          <w:rStyle w:val="deletedparamark"/>
        </w:rPr>
        <w:t xml:space="preserve"> </w:t>
      </w:r>
      <w:r>
        <w:t>might be for most circumstances. It is likely that most combinations will</w:t>
      </w:r>
      <w:r>
        <w:rPr>
          <w:rStyle w:val="deletedparamark"/>
        </w:rPr>
        <w:t xml:space="preserve"> </w:t>
      </w:r>
      <w:r>
        <w:t>never get used. But if one person uses one of these expressions, another</w:t>
      </w:r>
      <w:r>
        <w:rPr>
          <w:rStyle w:val="deletedparamark"/>
        </w:rPr>
        <w:t xml:space="preserve"> </w:t>
      </w:r>
      <w:r>
        <w:t>person can understand (as un</w:t>
      </w:r>
      <w:r>
        <w:softHyphen/>
        <w:t>ambigu</w:t>
      </w:r>
      <w:r>
        <w:softHyphen/>
        <w:t>ously as the expresser intends) what</w:t>
      </w:r>
      <w:r>
        <w:rPr>
          <w:rStyle w:val="deletedparamark"/>
        </w:rPr>
        <w:t xml:space="preserve"> </w:t>
      </w:r>
      <w:r>
        <w:t>emotion is being expressed. Most probably as the system becomes well-known</w:t>
      </w:r>
      <w:r>
        <w:rPr>
          <w:rStyle w:val="deletedparamark"/>
        </w:rPr>
        <w:t xml:space="preserve"> </w:t>
      </w:r>
      <w:r>
        <w:t>and internalized by Lojban-speakers, particular at</w:t>
      </w:r>
      <w:r>
        <w:softHyphen/>
        <w:t>titudinal comb</w:t>
      </w:r>
      <w:r>
        <w:t>i</w:t>
      </w:r>
      <w:r>
        <w:softHyphen/>
        <w:t>nations</w:t>
      </w:r>
      <w:r>
        <w:rPr>
          <w:rStyle w:val="deletedparamark"/>
        </w:rPr>
        <w:t xml:space="preserve"> </w:t>
      </w:r>
      <w:r>
        <w:t>will come to be standard expressions (if not cliches) of emotion.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403" w:name="_Toc398970645"/>
      <w:r>
        <w:rPr>
          <w:rStyle w:val="Heading3Text"/>
        </w:rPr>
        <w:t>Compound indicators</w:t>
      </w:r>
      <w:bookmarkEnd w:id="40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"indicators, grammar for compounding"&gt;</w:t>
      </w:r>
      <w:r>
        <w:rPr>
          <w:rStyle w:val="indexentry"/>
        </w:rPr>
        <w:fldChar w:fldCharType="begin"/>
      </w:r>
      <w:r>
        <w:instrText>xe "</w:instrText>
      </w:r>
      <w:r>
        <w:rPr>
          <w:rStyle w:val="xeentry"/>
        </w:rPr>
        <w:instrText>indicators: grammar for compounding</w:instrText>
      </w:r>
      <w:r>
        <w:instrText>"</w:instrText>
      </w:r>
      <w:r>
        <w:rPr>
          <w:rStyle w:val="indexentry"/>
        </w:rPr>
        <w:fldChar w:fldCharType="end"/>
      </w:r>
      <w:r>
        <w:rPr>
          <w:rStyle w:val="indexentry"/>
        </w:rPr>
        <w:t>&lt;cx "indicators, meaning when compounded"&gt;</w:t>
      </w:r>
      <w:r>
        <w:rPr>
          <w:rStyle w:val="indexentry"/>
        </w:rPr>
        <w:fldChar w:fldCharType="begin"/>
      </w:r>
      <w:r>
        <w:instrText>xe "</w:instrText>
      </w:r>
      <w:r>
        <w:rPr>
          <w:rStyle w:val="xeentry"/>
        </w:rPr>
        <w:instrText>indicators: meaning when compounded</w:instrText>
      </w:r>
      <w:r>
        <w:instrText>"</w:instrText>
      </w:r>
      <w:r>
        <w:rPr>
          <w:rStyle w:val="indexentry"/>
        </w:rPr>
        <w:fldChar w:fldCharType="end"/>
      </w:r>
      <w:r>
        <w:t>The grammar of indicators is quite simple; almost all facets are optional.</w:t>
      </w:r>
      <w:r>
        <w:rPr>
          <w:rStyle w:val="deletedparamark"/>
        </w:rPr>
        <w:t xml:space="preserve"> </w:t>
      </w:r>
      <w:r>
        <w:t>You can combine indicators in any order, and they are still grammatical.</w:t>
      </w:r>
      <w:r>
        <w:rPr>
          <w:rStyle w:val="deletedparamark"/>
        </w:rPr>
        <w:t xml:space="preserve"> </w:t>
      </w:r>
      <w:r>
        <w:t>The presumed de</w:t>
      </w:r>
      <w:r>
        <w:softHyphen/>
        <w:t>notation is additive; thus the whole is the sum of the</w:t>
      </w:r>
      <w:r>
        <w:rPr>
          <w:rStyle w:val="deletedparamark"/>
        </w:rPr>
        <w:t xml:space="preserve"> </w:t>
      </w:r>
      <w:r>
        <w:t>parts regardless of the order ex</w:t>
      </w:r>
      <w:r>
        <w:softHyphen/>
        <w:t>pressed, a</w:t>
      </w:r>
      <w:r>
        <w:t>l</w:t>
      </w:r>
      <w:r>
        <w:softHyphen/>
        <w:t>though the first expressed is</w:t>
      </w:r>
      <w:r>
        <w:rPr>
          <w:rStyle w:val="deletedparamark"/>
        </w:rPr>
        <w:t xml:space="preserve"> </w:t>
      </w:r>
      <w:r>
        <w:t>presumed most important to the speaker. Every possible string of UI</w:t>
      </w:r>
      <w:r>
        <w:rPr>
          <w:rStyle w:val="deletedparamark"/>
        </w:rPr>
        <w:t xml:space="preserve"> </w:t>
      </w:r>
      <w:r>
        <w:t>cmavo has some meaning.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"unspecified emotion"&gt;</w:t>
      </w:r>
      <w:r>
        <w:rPr>
          <w:rStyle w:val="indexentry"/>
        </w:rPr>
        <w:fldChar w:fldCharType="begin"/>
      </w:r>
      <w:r>
        <w:instrText>xe "</w:instrText>
      </w:r>
      <w:r>
        <w:rPr>
          <w:rStyle w:val="xeentry"/>
        </w:rPr>
        <w:instrText>unspecified emotion</w:instrText>
      </w:r>
      <w:r>
        <w:instrText>"</w:instrText>
      </w:r>
      <w:r>
        <w:rPr>
          <w:rStyle w:val="indexentry"/>
        </w:rPr>
        <w:fldChar w:fldCharType="end"/>
      </w:r>
      <w:r>
        <w:rPr>
          <w:rStyle w:val="indexentry"/>
        </w:rPr>
        <w:t>&lt;cx "attitudinal indicators, conventions of interpretation"&gt;</w:t>
      </w:r>
      <w:r>
        <w:rPr>
          <w:rStyle w:val="indexentry"/>
        </w:rPr>
        <w:fldChar w:fldCharType="begin"/>
      </w:r>
      <w:r>
        <w:instrText>xe "</w:instrText>
      </w:r>
      <w:r>
        <w:rPr>
          <w:rStyle w:val="xeentry"/>
        </w:rPr>
        <w:instrText>attitudinal indicators: conventions of interpretation</w:instrText>
      </w:r>
      <w:r>
        <w:instrText>"</w:instrText>
      </w:r>
      <w:r>
        <w:rPr>
          <w:rStyle w:val="indexentry"/>
        </w:rPr>
        <w:fldChar w:fldCharType="end"/>
      </w:r>
      <w:r>
        <w:rPr>
          <w:rStyle w:val="indexentry"/>
        </w:rPr>
        <w:t>&lt;lx "ge'e"&gt;</w:t>
      </w:r>
      <w:r>
        <w:rPr>
          <w:rStyle w:val="indexentry"/>
        </w:rPr>
        <w:fldChar w:fldCharType="begin"/>
      </w:r>
      <w:r>
        <w:instrText>xe "</w:instrText>
      </w:r>
      <w:r>
        <w:rPr>
          <w:rStyle w:val="xeentry"/>
        </w:rPr>
        <w:instrText>ge'e</w:instrText>
      </w:r>
      <w:r>
        <w:instrText>"</w:instrText>
      </w:r>
      <w:r>
        <w:rPr>
          <w:rStyle w:val="indexentry"/>
        </w:rPr>
        <w:fldChar w:fldCharType="end"/>
      </w:r>
      <w:r>
        <w:rPr>
          <w:rStyle w:val="indexentry"/>
        </w:rPr>
        <w:t>&lt;cx "attitudinal indicator, unspecified"&gt;</w:t>
      </w:r>
      <w:r>
        <w:rPr>
          <w:rStyle w:val="indexentry"/>
        </w:rPr>
        <w:fldChar w:fldCharType="begin"/>
      </w:r>
      <w:r>
        <w:instrText>xe "</w:instrText>
      </w:r>
      <w:r>
        <w:rPr>
          <w:rStyle w:val="xeentry"/>
        </w:rPr>
        <w:instrText>attitudinal indicator: unspecified</w:instrText>
      </w:r>
      <w:r>
        <w:instrText>"</w:instrText>
      </w:r>
      <w:r>
        <w:rPr>
          <w:rStyle w:val="indexentry"/>
        </w:rPr>
        <w:fldChar w:fldCharType="end"/>
      </w:r>
      <w:r>
        <w:t>Within a string of indicators, there will be conventions of in</w:t>
      </w:r>
      <w:r>
        <w:softHyphen/>
        <w:t>terpretation</w:t>
      </w:r>
      <w:r>
        <w:rPr>
          <w:rStyle w:val="deletedparamark"/>
        </w:rPr>
        <w:t xml:space="preserve"> </w:t>
      </w:r>
      <w:r>
        <w:t>which amount to a kind of second-order grammar. Each of the modifier words</w:t>
      </w:r>
      <w:r>
        <w:rPr>
          <w:rStyle w:val="deletedparamark"/>
        </w:rPr>
        <w:t xml:space="preserve"> </w:t>
      </w:r>
      <w:r>
        <w:t>is presumed to modify an indicator to the left, if there is one. (There is</w:t>
      </w:r>
      <w:r>
        <w:rPr>
          <w:rStyle w:val="deletedparamark"/>
        </w:rPr>
        <w:t xml:space="preserve"> </w:t>
      </w:r>
      <w:r>
        <w:t>an “unspecified emotion” word, “ge'e”, re</w:t>
      </w:r>
      <w:r>
        <w:softHyphen/>
        <w:t>served to ensure that if you want</w:t>
      </w:r>
      <w:r>
        <w:rPr>
          <w:rStyle w:val="deletedparamark"/>
        </w:rPr>
        <w:t xml:space="preserve"> </w:t>
      </w:r>
      <w:r>
        <w:t>to express a modifier without a root emotion, it doesn't attach to and</w:t>
      </w:r>
      <w:r>
        <w:rPr>
          <w:rStyle w:val="deletedparamark"/>
        </w:rPr>
        <w:t xml:space="preserve"> </w:t>
      </w:r>
      <w:r>
        <w:t>modify a previous but distinct emo</w:t>
      </w:r>
      <w:r>
        <w:softHyphen/>
        <w:t>tional expression.)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"unstated emotion"&gt;</w:t>
      </w:r>
      <w:r>
        <w:rPr>
          <w:rStyle w:val="indexentry"/>
        </w:rPr>
        <w:fldChar w:fldCharType="begin"/>
      </w:r>
      <w:r>
        <w:instrText>xe "</w:instrText>
      </w:r>
      <w:r>
        <w:rPr>
          <w:rStyle w:val="xeentry"/>
        </w:rPr>
        <w:instrText>unstated emotion</w:instrText>
      </w:r>
      <w:r>
        <w:instrText>"</w:instrText>
      </w:r>
      <w:r>
        <w:rPr>
          <w:rStyle w:val="indexentry"/>
        </w:rPr>
        <w:fldChar w:fldCharType="end"/>
      </w:r>
      <w:r>
        <w:rPr>
          <w:rStyle w:val="indexentry"/>
        </w:rPr>
        <w:t>&lt;cx "unspecified level of emotion"&gt;</w:t>
      </w:r>
      <w:r>
        <w:rPr>
          <w:rStyle w:val="indexentry"/>
        </w:rPr>
        <w:fldChar w:fldCharType="begin"/>
      </w:r>
      <w:r>
        <w:instrText>xe "</w:instrText>
      </w:r>
      <w:r>
        <w:rPr>
          <w:rStyle w:val="xeentry"/>
        </w:rPr>
        <w:instrText>unspecified level of emotion</w:instrText>
      </w:r>
      <w:r>
        <w:instrText>"</w:instrText>
      </w:r>
      <w:r>
        <w:rPr>
          <w:rStyle w:val="indexentry"/>
        </w:rPr>
        <w:fldChar w:fldCharType="end"/>
      </w:r>
      <w:r>
        <w:t>For example, “.ieru'e” expresses a weak positive value on the scale of</w:t>
      </w:r>
      <w:r>
        <w:rPr>
          <w:rStyle w:val="deletedparamark"/>
        </w:rPr>
        <w:t xml:space="preserve"> </w:t>
      </w:r>
      <w:r>
        <w:t>agree</w:t>
      </w:r>
      <w:r>
        <w:softHyphen/>
        <w:t>ment: the speaker agrees (presumably with the listener or with something</w:t>
      </w:r>
      <w:r>
        <w:rPr>
          <w:rStyle w:val="deletedparamark"/>
        </w:rPr>
        <w:t xml:space="preserve"> </w:t>
      </w:r>
      <w:r>
        <w:t>else just stated), but with the least possible degree of intensity. But “.ie ge'eru'e” expresses agreement (at an u</w:t>
      </w:r>
      <w:r>
        <w:t>n</w:t>
      </w:r>
      <w:r>
        <w:softHyphen/>
        <w:t>specified level), followed by</w:t>
      </w:r>
      <w:r>
        <w:rPr>
          <w:rStyle w:val="deletedparamark"/>
        </w:rPr>
        <w:t xml:space="preserve"> </w:t>
      </w:r>
      <w:r>
        <w:t>some other unstated emotion which is felt at a weak level. A rough English</w:t>
      </w:r>
      <w:r>
        <w:rPr>
          <w:rStyle w:val="deletedparamark"/>
        </w:rPr>
        <w:t xml:space="preserve"> </w:t>
      </w:r>
      <w:r>
        <w:t>equivalent of “.ie ge'eru'e” might be “I agree, but </w:t>
      </w:r>
      <w:r>
        <w:rPr>
          <w:rStyle w:val="htmlcodes"/>
        </w:rPr>
        <w:t>&lt;dots&gt;</w:t>
      </w:r>
      <w:r>
        <w:t>…</w:t>
      </w:r>
      <w:r>
        <w:rPr>
          <w:rStyle w:val="htmlcodes"/>
        </w:rPr>
        <w:t>&lt;/dots&gt;</w:t>
      </w:r>
      <w:r>
        <w:t>” where the “but”</w:t>
      </w:r>
      <w:r>
        <w:rPr>
          <w:rStyle w:val="deletedparamark"/>
        </w:rPr>
        <w:t xml:space="preserve"> </w:t>
      </w:r>
      <w:r>
        <w:t>is left hanging. (Again, attitudes aren't always expressed in English by</w:t>
      </w:r>
      <w:r>
        <w:rPr>
          <w:rStyle w:val="deletedparamark"/>
        </w:rPr>
        <w:t xml:space="preserve"> </w:t>
      </w:r>
      <w:r>
        <w:t>English attitudinals.)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indicators, placement of scale in"&gt;</w:t>
      </w:r>
      <w:r>
        <w:rPr>
          <w:rStyle w:val="indexentry"/>
        </w:rPr>
        <w:fldChar w:fldCharType="begin"/>
      </w:r>
      <w:r>
        <w:instrText>xe "</w:instrText>
      </w:r>
      <w:r>
        <w:rPr>
          <w:rStyle w:val="xeentry"/>
        </w:rPr>
        <w:instrText>attitudinal indicators: placement of scale in</w:instrText>
      </w:r>
      <w:r>
        <w:instrText>"</w:instrText>
      </w:r>
      <w:r>
        <w:rPr>
          <w:rStyle w:val="indexentry"/>
        </w:rPr>
        <w:fldChar w:fldCharType="end"/>
      </w:r>
      <w:r>
        <w:t>A scale variable similarly modifies the previous emotion word. You put the</w:t>
      </w:r>
      <w:r>
        <w:rPr>
          <w:rStyle w:val="deletedparamark"/>
        </w:rPr>
        <w:t xml:space="preserve"> </w:t>
      </w:r>
      <w:r>
        <w:t>scale word for a root emotion word before a modifier, since the latter can</w:t>
      </w:r>
      <w:r>
        <w:rPr>
          <w:rStyle w:val="deletedparamark"/>
        </w:rPr>
        <w:t xml:space="preserve"> </w:t>
      </w:r>
      <w:r>
        <w:t>have its own scale word. This merely maximizes the amount of information</w:t>
      </w:r>
      <w:r>
        <w:rPr>
          <w:rStyle w:val="deletedparamark"/>
        </w:rPr>
        <w:t xml:space="preserve"> </w:t>
      </w:r>
      <w:r>
        <w:t>expressible. For exam</w:t>
      </w:r>
      <w:r>
        <w:softHyphen/>
        <w:t>ple, “.oinaicu'i ro'u</w:t>
      </w:r>
      <w:r>
        <w:softHyphen/>
        <w:t>cai” expresses a feeling midway</w:t>
      </w:r>
      <w:r>
        <w:rPr>
          <w:rStyle w:val="deletedparamark"/>
        </w:rPr>
        <w:t xml:space="preserve"> </w:t>
      </w:r>
      <w:r>
        <w:t>between pain (“.oi”) and pleasure (“.oinai”) which is intensely sexual</w:t>
      </w:r>
      <w:r>
        <w:rPr>
          <w:rStyle w:val="deletedparamark"/>
        </w:rPr>
        <w:t xml:space="preserve"> </w:t>
      </w:r>
      <w:r>
        <w:t>(“ro'u”) in nature.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indicators, placement of “nai” in"&gt;</w:t>
      </w:r>
      <w:r>
        <w:rPr>
          <w:rStyle w:val="indexentry"/>
        </w:rPr>
        <w:fldChar w:fldCharType="begin"/>
      </w:r>
      <w:r>
        <w:instrText>xe "</w:instrText>
      </w:r>
      <w:r>
        <w:rPr>
          <w:rStyle w:val="xeentry"/>
        </w:rPr>
        <w:instrText>attitudinal indicators: placement of nai in</w:instrText>
      </w:r>
      <w:r>
        <w:instrText>"</w:instrText>
      </w:r>
      <w:r>
        <w:rPr>
          <w:rStyle w:val="indexentry"/>
        </w:rPr>
        <w:fldChar w:fldCharType="end"/>
      </w:r>
      <w:r>
        <w:rPr>
          <w:rStyle w:val="indexentry"/>
        </w:rPr>
        <w:t>&lt;cx "attitudinals, placement in sentences with “nai”"&gt;</w:t>
      </w:r>
      <w:r>
        <w:rPr>
          <w:rStyle w:val="indexentry"/>
        </w:rPr>
        <w:fldChar w:fldCharType="begin"/>
      </w:r>
      <w:r>
        <w:instrText>xe "</w:instrText>
      </w:r>
      <w:r>
        <w:rPr>
          <w:rStyle w:val="xeentry"/>
        </w:rPr>
        <w:instrText>attitudinals: placement in sentences with nai</w:instrText>
      </w:r>
      <w:r>
        <w:instrText>"</w:instrText>
      </w:r>
      <w:r>
        <w:rPr>
          <w:rStyle w:val="indexentry"/>
        </w:rPr>
        <w:fldChar w:fldCharType="end"/>
      </w:r>
      <w:r>
        <w:t>The cmavo “nai” is the most tightly bound modifier in the lan</w:t>
      </w:r>
      <w:r>
        <w:softHyphen/>
        <w:t>guage: it</w:t>
      </w:r>
      <w:r>
        <w:rPr>
          <w:rStyle w:val="deletedparamark"/>
        </w:rPr>
        <w:t xml:space="preserve"> </w:t>
      </w:r>
      <w:r>
        <w:t>always n</w:t>
      </w:r>
      <w:r>
        <w:t>e</w:t>
      </w:r>
      <w:r>
        <w:softHyphen/>
        <w:t>gates exactly one word — the preceding one. Of all the words</w:t>
      </w:r>
      <w:r>
        <w:rPr>
          <w:rStyle w:val="deletedparamark"/>
        </w:rPr>
        <w:t xml:space="preserve"> </w:t>
      </w:r>
      <w:r>
        <w:t>used in indicator con</w:t>
      </w:r>
      <w:r>
        <w:softHyphen/>
        <w:t>structs, “nai” is the only one with any meaning</w:t>
      </w:r>
      <w:r>
        <w:rPr>
          <w:rStyle w:val="deletedparamark"/>
        </w:rPr>
        <w:t xml:space="preserve"> </w:t>
      </w:r>
      <w:r>
        <w:t>outside the indicator system. If you try to put an indica</w:t>
      </w:r>
      <w:r>
        <w:softHyphen/>
        <w:t>tor between</w:t>
      </w:r>
      <w:r>
        <w:rPr>
          <w:rStyle w:val="deletedparamark"/>
        </w:rPr>
        <w:t xml:space="preserve"> </w:t>
      </w:r>
      <w:r>
        <w:t>a non-indicator cmavo and its “nai” negator, the “nai” will end up</w:t>
      </w:r>
      <w:r>
        <w:rPr>
          <w:rStyle w:val="deletedparamark"/>
        </w:rPr>
        <w:t xml:space="preserve"> </w:t>
      </w:r>
      <w:r>
        <w:t>negating the last word of the indicator. The result, though</w:t>
      </w:r>
      <w:r>
        <w:rPr>
          <w:rStyle w:val="deletedparamark"/>
        </w:rPr>
        <w:t xml:space="preserve"> </w:t>
      </w:r>
      <w:r>
        <w:t>un</w:t>
      </w:r>
      <w:r>
        <w:softHyphen/>
        <w:t>ambiguous, is not what you want.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mi .e .ui nai do</w:t>
      </w:r>
    </w:p>
    <w:p w:rsidR="00B72047" w:rsidRDefault="00B72047">
      <w:pPr>
        <w:pStyle w:val="examplescaled"/>
      </w:pPr>
      <w:r>
        <w:tab/>
        <w:t>I and [Yay!] [Not!] you</w:t>
      </w:r>
    </w:p>
    <w:p w:rsidR="00B72047" w:rsidRDefault="00B72047">
      <w:pPr>
        <w:pStyle w:val="resumedafterexample"/>
      </w:pPr>
      <w:r>
        <w:rPr>
          <w:rStyle w:val="htmlcodes"/>
        </w:rPr>
        <w:t>&lt;/pre&gt;</w:t>
      </w:r>
      <w:r>
        <w:t>means “I and (unfortunately) you”,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mi .e nai .ui do</w:t>
      </w:r>
    </w:p>
    <w:p w:rsidR="00B72047" w:rsidRDefault="00B72047">
      <w:pPr>
        <w:pStyle w:val="examplescaled"/>
      </w:pPr>
      <w:r>
        <w:tab/>
        <w:t>I and [Not!] [Yay!] you</w:t>
      </w:r>
    </w:p>
    <w:p w:rsidR="00B72047" w:rsidRDefault="00B72047">
      <w:pPr>
        <w:pStyle w:val="resumedafterexample"/>
      </w:pPr>
      <w:r>
        <w:rPr>
          <w:rStyle w:val="htmlcodes"/>
        </w:rPr>
        <w:t>&lt;/pre&gt;</w:t>
      </w:r>
      <w:r>
        <w:t>means “I but (fortunately) not you”. Attitudinal “nai” expresses a “scalar</w:t>
      </w:r>
      <w:r>
        <w:rPr>
          <w:rStyle w:val="deletedparamark"/>
        </w:rPr>
        <w:t xml:space="preserve"> </w:t>
      </w:r>
      <w:r>
        <w:t xml:space="preserve">negation”, a concept explained in </w:t>
      </w:r>
      <w:r>
        <w:rPr>
          <w:rStyle w:val="htmlcodes"/>
        </w:rPr>
        <w:t>&lt;a href=chap15.html&gt;</w:t>
      </w:r>
      <w:r>
        <w:t>Chapter 15</w:t>
      </w:r>
      <w:r>
        <w:rPr>
          <w:rStyle w:val="htmlcodes"/>
        </w:rPr>
        <w:t>&lt;/a&gt;</w:t>
      </w:r>
      <w:r>
        <w:t>; since every at</w:t>
      </w:r>
      <w:r>
        <w:softHyphen/>
        <w:t>titudinal word</w:t>
      </w:r>
      <w:r>
        <w:rPr>
          <w:rStyle w:val="deletedparamark"/>
        </w:rPr>
        <w:t xml:space="preserve"> </w:t>
      </w:r>
      <w:r>
        <w:t>implies exactly one scale, the effect of “nai” on each should be obvious.</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internal grammar, complete"&gt;</w:t>
      </w:r>
      <w:r>
        <w:rPr>
          <w:rStyle w:val="indexentry"/>
        </w:rPr>
        <w:fldChar w:fldCharType="begin"/>
      </w:r>
      <w:r>
        <w:instrText>xe "</w:instrText>
      </w:r>
      <w:r>
        <w:rPr>
          <w:rStyle w:val="xeentry"/>
        </w:rPr>
        <w:instrText>attitudinals: internal grammar, complete</w:instrText>
      </w:r>
      <w:r>
        <w:instrText>"</w:instrText>
      </w:r>
      <w:r>
        <w:rPr>
          <w:rStyle w:val="indexentry"/>
        </w:rPr>
        <w:fldChar w:fldCharType="end"/>
      </w:r>
      <w:r>
        <w:rPr>
          <w:rStyle w:val="indexentry"/>
        </w:rPr>
        <w:t>&lt;cx "attitudinals, grammar of internal compounding"&gt;</w:t>
      </w:r>
      <w:r>
        <w:rPr>
          <w:rStyle w:val="indexentry"/>
        </w:rPr>
        <w:fldChar w:fldCharType="begin"/>
      </w:r>
      <w:r>
        <w:instrText>xe "</w:instrText>
      </w:r>
      <w:r>
        <w:rPr>
          <w:rStyle w:val="xeentry"/>
        </w:rPr>
        <w:instrText>attitudinals: grammar of internal compounding</w:instrText>
      </w:r>
      <w:r>
        <w:instrText>"</w:instrText>
      </w:r>
      <w:r>
        <w:rPr>
          <w:rStyle w:val="indexentry"/>
        </w:rPr>
        <w:fldChar w:fldCharType="end"/>
      </w:r>
      <w:r>
        <w:t>Thus, the complete internal grammar of UI is as follows, with each</w:t>
      </w:r>
      <w:r>
        <w:rPr>
          <w:rStyle w:val="deletedparamark"/>
        </w:rPr>
        <w:t xml:space="preserve"> </w:t>
      </w:r>
      <w:r>
        <w:t>listed part optio</w:t>
      </w:r>
      <w:r>
        <w:t>n</w:t>
      </w:r>
      <w:r>
        <w:softHyphen/>
        <w:t>ally present or absent without affecting</w:t>
      </w:r>
      <w:r>
        <w:rPr>
          <w:rStyle w:val="deletedparamark"/>
        </w:rPr>
        <w:t xml:space="preserve"> </w:t>
      </w:r>
      <w:r>
        <w:t>gram</w:t>
      </w:r>
      <w:r>
        <w:softHyphen/>
        <w:t>maticality, though it obviously would affect meaning.</w:t>
      </w:r>
    </w:p>
    <w:p w:rsidR="00B72047" w:rsidRDefault="00B72047">
      <w:pPr>
        <w:pStyle w:val="resumedafterexample"/>
        <w:ind w:left="720" w:firstLine="720"/>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attitudinal  “nai”  intensity-word  “nai”  modifier  “nai”  intensity-word  “nai”</w:t>
      </w:r>
    </w:p>
    <w:p w:rsidR="00B72047" w:rsidRDefault="00B72047" w:rsidP="007E67C1">
      <w:pPr>
        <w:pStyle w:val="placestructcont"/>
        <w:numPr>
          <w:ilvl w:val="0"/>
          <w:numId w:val="0"/>
        </w:numPr>
        <w:ind w:left="504" w:hanging="504"/>
      </w:pPr>
      <w:r>
        <w:tab/>
      </w:r>
      <w:r>
        <w:tab/>
        <w:t>(possibly repeated)</w:t>
      </w:r>
    </w:p>
    <w:p w:rsidR="00B72047" w:rsidRDefault="00B72047">
      <w:pPr>
        <w:pStyle w:val="normalafterexample"/>
      </w:pPr>
      <w:r>
        <w:rPr>
          <w:rStyle w:val="htmlcodes"/>
        </w:rPr>
        <w:t>&lt;/dl&gt;</w:t>
      </w:r>
      <w:r>
        <w:t>“ge'e”, the non-specific emotion word, functions as an attitu</w:t>
      </w:r>
      <w:r>
        <w:softHyphen/>
        <w:t>dinal.</w:t>
      </w:r>
      <w:r>
        <w:rPr>
          <w:rStyle w:val="deletedparamark"/>
        </w:rPr>
        <w:t xml:space="preserve"> </w:t>
      </w:r>
      <w:r>
        <w:t>If multiple att</w:t>
      </w:r>
      <w:r>
        <w:t>i</w:t>
      </w:r>
      <w:r>
        <w:softHyphen/>
        <w:t>tudes are being expressed at once, then in</w:t>
      </w:r>
      <w:r>
        <w:rPr>
          <w:rStyle w:val="deletedparamark"/>
        </w:rPr>
        <w:t xml:space="preserve"> </w:t>
      </w:r>
      <w:r>
        <w:t>the 2nd or greater position, either “ge'e” or a VV word must be used to</w:t>
      </w:r>
      <w:r>
        <w:rPr>
          <w:rStyle w:val="deletedparamark"/>
        </w:rPr>
        <w:t xml:space="preserve"> </w:t>
      </w:r>
      <w:r>
        <w:t>prevent any modifiers from modifying the previous atti</w:t>
      </w:r>
      <w:r>
        <w:softHyphen/>
        <w:t>tudinal.</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name=s9&gt;&lt;h3&gt;</w:t>
      </w:r>
      <w:bookmarkStart w:id="404" w:name="_Toc398970646"/>
      <w:r>
        <w:rPr>
          <w:rStyle w:val="Heading3Text"/>
        </w:rPr>
        <w:t>The uses of indicators</w:t>
      </w:r>
      <w:bookmarkEnd w:id="40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grammar of placement in bridi"&gt;</w:t>
      </w:r>
      <w:r>
        <w:rPr>
          <w:rStyle w:val="indexentry"/>
        </w:rPr>
        <w:fldChar w:fldCharType="begin"/>
      </w:r>
      <w:r>
        <w:instrText>xe "</w:instrText>
      </w:r>
      <w:r>
        <w:rPr>
          <w:rStyle w:val="xeentry"/>
        </w:rPr>
        <w:instrText>attitudinals: grammar of placement in bridi</w:instrText>
      </w:r>
      <w:r>
        <w:instrText>"</w:instrText>
      </w:r>
      <w:r>
        <w:rPr>
          <w:rStyle w:val="indexentry"/>
        </w:rPr>
        <w:fldChar w:fldCharType="end"/>
      </w:r>
      <w:r>
        <w:rPr>
          <w:rStyle w:val="indexentry"/>
        </w:rPr>
        <w:t>&lt;cx "attitudinals, external grammar"&gt;</w:t>
      </w:r>
      <w:r>
        <w:rPr>
          <w:rStyle w:val="indexentry"/>
        </w:rPr>
        <w:fldChar w:fldCharType="begin"/>
      </w:r>
      <w:r>
        <w:instrText>xe "</w:instrText>
      </w:r>
      <w:r>
        <w:rPr>
          <w:rStyle w:val="xeentry"/>
        </w:rPr>
        <w:instrText>attitudinals: external grammar</w:instrText>
      </w:r>
      <w:r>
        <w:instrText>"</w:instrText>
      </w:r>
      <w:r>
        <w:rPr>
          <w:rStyle w:val="indexentry"/>
        </w:rPr>
        <w:fldChar w:fldCharType="end"/>
      </w:r>
      <w:r>
        <w:rPr>
          <w:rStyle w:val="indexentry"/>
        </w:rPr>
        <w:t>&lt;lx "si"&gt;</w:t>
      </w:r>
      <w:r>
        <w:rPr>
          <w:rStyle w:val="indexentry"/>
        </w:rPr>
        <w:fldChar w:fldCharType="begin"/>
      </w:r>
      <w:r>
        <w:instrText>xe "</w:instrText>
      </w:r>
      <w:r>
        <w:rPr>
          <w:rStyle w:val="xeentry"/>
        </w:rPr>
        <w:instrText>si</w:instrText>
      </w:r>
      <w:r>
        <w:instrText>"</w:instrText>
      </w:r>
      <w:r>
        <w:rPr>
          <w:rStyle w:val="indexentry"/>
        </w:rPr>
        <w:fldChar w:fldCharType="end"/>
      </w:r>
      <w:r>
        <w:rPr>
          <w:rStyle w:val="indexentry"/>
        </w:rPr>
        <w:t>&lt;lx "sa"&gt;</w:t>
      </w:r>
      <w:r>
        <w:rPr>
          <w:rStyle w:val="indexentry"/>
        </w:rPr>
        <w:fldChar w:fldCharType="begin"/>
      </w:r>
      <w:r>
        <w:instrText>xe "</w:instrText>
      </w:r>
      <w:r>
        <w:rPr>
          <w:rStyle w:val="xeentry"/>
        </w:rPr>
        <w:instrText>sa</w:instrText>
      </w:r>
      <w:r>
        <w:instrText>"</w:instrText>
      </w:r>
      <w:r>
        <w:rPr>
          <w:rStyle w:val="indexentry"/>
        </w:rPr>
        <w:fldChar w:fldCharType="end"/>
      </w:r>
      <w:r>
        <w:rPr>
          <w:rStyle w:val="indexentry"/>
        </w:rPr>
        <w:t>&lt;lx "su"&gt;</w:t>
      </w:r>
      <w:r>
        <w:rPr>
          <w:rStyle w:val="indexentry"/>
        </w:rPr>
        <w:fldChar w:fldCharType="begin"/>
      </w:r>
      <w:r>
        <w:instrText>xe "</w:instrText>
      </w:r>
      <w:r>
        <w:rPr>
          <w:rStyle w:val="xeentry"/>
        </w:rPr>
        <w:instrText>su</w:instrText>
      </w:r>
      <w:r>
        <w:instrText>"</w:instrText>
      </w:r>
      <w:r>
        <w:rPr>
          <w:rStyle w:val="indexentry"/>
        </w:rPr>
        <w:fldChar w:fldCharType="end"/>
      </w:r>
      <w:r>
        <w:t>The behavior of indicators in the “outside grammar” is nearly as simple</w:t>
      </w:r>
      <w:r>
        <w:rPr>
          <w:rStyle w:val="deletedparamark"/>
        </w:rPr>
        <w:t xml:space="preserve"> </w:t>
      </w:r>
      <w:r>
        <w:t>as their i</w:t>
      </w:r>
      <w:r>
        <w:t>n</w:t>
      </w:r>
      <w:r>
        <w:softHyphen/>
        <w:t>ternal structure. Indicator groupings are identified immediately</w:t>
      </w:r>
      <w:r>
        <w:rPr>
          <w:rStyle w:val="deletedparamark"/>
        </w:rPr>
        <w:t xml:space="preserve"> </w:t>
      </w:r>
      <w:r>
        <w:t>after the metal</w:t>
      </w:r>
      <w:r>
        <w:softHyphen/>
        <w:t>inguistic erasers “si”, “sa”, and “su” and some, though</w:t>
      </w:r>
      <w:r>
        <w:rPr>
          <w:rStyle w:val="deletedparamark"/>
        </w:rPr>
        <w:t xml:space="preserve"> </w:t>
      </w:r>
      <w:r>
        <w:t>not all, kinds of quotations. The details of such interac</w:t>
      </w:r>
      <w:r>
        <w:softHyphen/>
        <w:t>tions are discussed</w:t>
      </w:r>
      <w:r>
        <w:rPr>
          <w:rStyle w:val="deletedparamark"/>
        </w:rPr>
        <w:t xml:space="preserve"> </w:t>
      </w:r>
      <w:r>
        <w:t xml:space="preserve">in </w:t>
      </w:r>
      <w:r>
        <w:rPr>
          <w:rStyle w:val="htmlcodes"/>
        </w:rPr>
        <w:t>&lt;a href=chap19.html&gt;</w:t>
      </w:r>
      <w:r>
        <w:t>Chapter 19</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"zo"&gt;</w:t>
      </w:r>
      <w:r>
        <w:rPr>
          <w:rStyle w:val="indexentry"/>
        </w:rPr>
        <w:fldChar w:fldCharType="begin"/>
      </w:r>
      <w:r>
        <w:instrText>xe "</w:instrText>
      </w:r>
      <w:r>
        <w:rPr>
          <w:rStyle w:val="xeentry"/>
        </w:rPr>
        <w:instrText>zo</w:instrText>
      </w:r>
      <w:r>
        <w:instrText>"</w:instrText>
      </w:r>
      <w:r>
        <w:rPr>
          <w:rStyle w:val="indexentry"/>
        </w:rPr>
        <w:fldChar w:fldCharType="end"/>
      </w:r>
      <w:r>
        <w:t>A group of indicators may appear anywhere that a single in</w:t>
      </w:r>
      <w:r>
        <w:softHyphen/>
        <w:t>dicator may,</w:t>
      </w:r>
      <w:r>
        <w:rPr>
          <w:rStyle w:val="deletedparamark"/>
        </w:rPr>
        <w:t xml:space="preserve"> </w:t>
      </w:r>
      <w:r>
        <w:t>except in those few situations (as in “zo” quotation, ex</w:t>
      </w:r>
      <w:r>
        <w:softHyphen/>
        <w:t xml:space="preserve">plained in </w:t>
      </w:r>
      <w:r>
        <w:rPr>
          <w:rStyle w:val="htmlcodes"/>
        </w:rPr>
        <w:t>&lt;a href=chap19.html&gt;</w:t>
      </w:r>
      <w:r>
        <w:t>Chapter 19</w:t>
      </w:r>
      <w:r>
        <w:rPr>
          <w:rStyle w:val="htmlcodes"/>
        </w:rPr>
        <w:t>&lt;/a&gt;</w:t>
      </w:r>
      <w:r>
        <w:t>)</w:t>
      </w:r>
      <w:r>
        <w:rPr>
          <w:rStyle w:val="deletedparamark"/>
        </w:rPr>
        <w:t xml:space="preserve"> </w:t>
      </w:r>
      <w:r>
        <w:t>where compound cmavo may not be used.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at beginning of text"&gt;</w:t>
      </w:r>
      <w:r>
        <w:rPr>
          <w:rStyle w:val="indexentry"/>
        </w:rPr>
        <w:fldChar w:fldCharType="begin"/>
      </w:r>
      <w:r>
        <w:instrText>xe "</w:instrText>
      </w:r>
      <w:r>
        <w:rPr>
          <w:rStyle w:val="xeentry"/>
        </w:rPr>
        <w:instrText>attitudinals: at beginning of text</w:instrText>
      </w:r>
      <w:r>
        <w:instrText>"</w:instrText>
      </w:r>
      <w:r>
        <w:rPr>
          <w:rStyle w:val="indexentry"/>
        </w:rPr>
        <w:fldChar w:fldCharType="end"/>
      </w:r>
      <w:r>
        <w:t>At the beginning of a text, indicators modify everything fol</w:t>
      </w:r>
      <w:r>
        <w:softHyphen/>
        <w:t>lowing them</w:t>
      </w:r>
      <w:r>
        <w:rPr>
          <w:rStyle w:val="deletedparamark"/>
        </w:rPr>
        <w:t xml:space="preserve"> </w:t>
      </w:r>
      <w:r>
        <w:t>in</w:t>
      </w:r>
      <w:r>
        <w:softHyphen/>
        <w:t>definitely: such a usage is taken as a raw emotional expression, and we</w:t>
      </w:r>
      <w:r>
        <w:rPr>
          <w:rStyle w:val="deletedparamark"/>
        </w:rPr>
        <w:t xml:space="preserve"> </w:t>
      </w:r>
      <w:r>
        <w:t>normally don't turn off our emotions when we start and stop sentences.</w:t>
      </w:r>
      <w:r>
        <w:rPr>
          <w:rStyle w:val="deletedparamark"/>
        </w:rPr>
        <w:t xml:space="preserve"> </w:t>
      </w:r>
      <w:r>
        <w:t>In every other place in an utter</w:t>
      </w:r>
      <w:r>
        <w:softHyphen/>
        <w:t>ance, the ind</w:t>
      </w:r>
      <w:r>
        <w:t>i</w:t>
      </w:r>
      <w:r>
        <w:softHyphen/>
        <w:t>cator (or group) attaches to</w:t>
      </w:r>
      <w:r>
        <w:rPr>
          <w:rStyle w:val="deletedparamark"/>
        </w:rPr>
        <w:t xml:space="preserve"> </w:t>
      </w:r>
      <w:r>
        <w:t>the word immediately to its left, and indicates that the attitude is being</w:t>
      </w:r>
      <w:r>
        <w:rPr>
          <w:rStyle w:val="deletedparamark"/>
        </w:rPr>
        <w:t xml:space="preserve"> </w:t>
      </w:r>
      <w:r>
        <w:t>expressed concerning the object or concept to which the word refers.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affecting whole grammatical structures"&gt;</w:t>
      </w:r>
      <w:r>
        <w:rPr>
          <w:rStyle w:val="indexentry"/>
        </w:rPr>
        <w:fldChar w:fldCharType="begin"/>
      </w:r>
      <w:r>
        <w:instrText>xe "</w:instrText>
      </w:r>
      <w:r>
        <w:rPr>
          <w:rStyle w:val="xeentry"/>
        </w:rPr>
        <w:instrText>attitudinals: affecting whole grammatical structures</w:instrText>
      </w:r>
      <w:r>
        <w:instrText>"</w:instrText>
      </w:r>
      <w:r>
        <w:rPr>
          <w:rStyle w:val="indexentry"/>
        </w:rPr>
        <w:fldChar w:fldCharType="end"/>
      </w:r>
      <w:r>
        <w:t>If the word that an indicator (or group) attaches to is itself a cmavo which</w:t>
      </w:r>
      <w:r>
        <w:rPr>
          <w:rStyle w:val="deletedparamark"/>
        </w:rPr>
        <w:t xml:space="preserve"> </w:t>
      </w:r>
      <w:r>
        <w:t>gov</w:t>
      </w:r>
      <w:r>
        <w:softHyphen/>
        <w:t>erns a grammatical structure, then the indicator construct pertains to</w:t>
      </w:r>
      <w:r>
        <w:rPr>
          <w:rStyle w:val="deletedparamark"/>
        </w:rPr>
        <w:t xml:space="preserve"> </w:t>
      </w:r>
      <w:r>
        <w:t>the referent of the entire structure. There is also a mechanism, discussed</w:t>
      </w:r>
      <w:r>
        <w:rPr>
          <w:rStyle w:val="deletedparamark"/>
        </w:rPr>
        <w:t xml:space="preserve"> </w:t>
      </w:r>
      <w:r>
        <w:t xml:space="preserve">in </w:t>
      </w:r>
      <w:r>
        <w:rPr>
          <w:rStyle w:val="htmlcodes"/>
        </w:rPr>
        <w:t>&lt;a href=chap19.html&gt;</w:t>
      </w:r>
      <w:r>
        <w:t>Chapter 19</w:t>
      </w:r>
      <w:r>
        <w:rPr>
          <w:rStyle w:val="htmlcodes"/>
        </w:rPr>
        <w:t>&lt;/a&gt;</w:t>
      </w:r>
      <w:r>
        <w:t>, for explicitly marking the range of words to which an indicator</w:t>
      </w:r>
      <w:r>
        <w:rPr>
          <w:rStyle w:val="deletedparamark"/>
        </w:rPr>
        <w:t xml:space="preserve"> </w:t>
      </w:r>
      <w:r>
        <w:t>applies.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referent uncertainty"&gt;</w:t>
      </w:r>
      <w:r>
        <w:rPr>
          <w:rStyle w:val="indexentry"/>
        </w:rPr>
        <w:fldChar w:fldCharType="begin"/>
      </w:r>
      <w:r>
        <w:instrText>xe "</w:instrText>
      </w:r>
      <w:r>
        <w:rPr>
          <w:rStyle w:val="xeentry"/>
        </w:rPr>
        <w:instrText>attitudinals: referent uncertainty</w:instrText>
      </w:r>
      <w:r>
        <w:instrText>"</w:instrText>
      </w:r>
      <w:r>
        <w:rPr>
          <w:rStyle w:val="indexentry"/>
        </w:rPr>
        <w:fldChar w:fldCharType="end"/>
      </w:r>
      <w:r>
        <w:t>More details about the uses of indicators, and the way they interact</w:t>
      </w:r>
      <w:r>
        <w:rPr>
          <w:rStyle w:val="deletedparamark"/>
        </w:rPr>
        <w:t xml:space="preserve"> </w:t>
      </w:r>
      <w:r>
        <w:t>with other sp</w:t>
      </w:r>
      <w:r>
        <w:t>e</w:t>
      </w:r>
      <w:r>
        <w:softHyphen/>
        <w:t xml:space="preserve">cialized cmavo, are given in </w:t>
      </w:r>
      <w:r>
        <w:rPr>
          <w:rStyle w:val="htmlcodes"/>
        </w:rPr>
        <w:t>&lt;a href=chap19.html&gt;</w:t>
      </w:r>
      <w:r>
        <w:t>Chapter 19</w:t>
      </w:r>
      <w:r>
        <w:rPr>
          <w:rStyle w:val="htmlcodes"/>
        </w:rPr>
        <w:t>&lt;/a&gt;</w:t>
      </w:r>
      <w:r>
        <w:t>. It is worth</w:t>
      </w:r>
      <w:r>
        <w:rPr>
          <w:rStyle w:val="deletedparamark"/>
        </w:rPr>
        <w:t xml:space="preserve"> </w:t>
      </w:r>
      <w:r>
        <w:t>mentioning that real-world in</w:t>
      </w:r>
      <w:r>
        <w:softHyphen/>
        <w:t>terpre</w:t>
      </w:r>
      <w:r>
        <w:softHyphen/>
        <w:t>tation is not necessarily con</w:t>
      </w:r>
      <w:r>
        <w:softHyphen/>
        <w:t>sistent with</w:t>
      </w:r>
      <w:r>
        <w:rPr>
          <w:rStyle w:val="deletedparamark"/>
        </w:rPr>
        <w:t xml:space="preserve"> </w:t>
      </w:r>
      <w:r>
        <w:t>the formal scope rules. People generally express emo</w:t>
      </w:r>
      <w:r>
        <w:softHyphen/>
        <w:t>tions when they feel</w:t>
      </w:r>
      <w:r>
        <w:rPr>
          <w:rStyle w:val="deletedparamark"/>
        </w:rPr>
        <w:t xml:space="preserve"> </w:t>
      </w:r>
      <w:r>
        <w:t>them, with only a minimum of grammatical con</w:t>
      </w:r>
      <w:r>
        <w:softHyphen/>
        <w:t>straint on that expression;</w:t>
      </w:r>
      <w:r>
        <w:rPr>
          <w:rStyle w:val="deletedparamark"/>
        </w:rPr>
        <w:t xml:space="preserve"> </w:t>
      </w:r>
      <w:r>
        <w:t>complexities of emotional expression are seldom logically analyz</w:t>
      </w:r>
      <w:r>
        <w:softHyphen/>
        <w:t>able.</w:t>
      </w:r>
      <w:r>
        <w:rPr>
          <w:rStyle w:val="deletedparamark"/>
        </w:rPr>
        <w:t xml:space="preserve"> </w:t>
      </w:r>
      <w:r>
        <w:t>Lojban attempts to provide a systematic reference that could possibly be</w:t>
      </w:r>
      <w:r>
        <w:rPr>
          <w:rStyle w:val="deletedparamark"/>
        </w:rPr>
        <w:t xml:space="preserve"> </w:t>
      </w:r>
      <w:r>
        <w:t>ingrained to an instinc</w:t>
      </w:r>
      <w:r>
        <w:softHyphen/>
        <w:t>tive level. However, it should always be assumed</w:t>
      </w:r>
      <w:r>
        <w:rPr>
          <w:rStyle w:val="deletedparamark"/>
        </w:rPr>
        <w:t xml:space="preserve"> </w:t>
      </w:r>
      <w:r>
        <w:t>that the referent of an indica</w:t>
      </w:r>
      <w:r>
        <w:softHyphen/>
        <w:t>tor has some uncertainty.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"multiple indicators"&gt;</w:t>
      </w:r>
      <w:r>
        <w:rPr>
          <w:rStyle w:val="indexentry"/>
        </w:rPr>
        <w:fldChar w:fldCharType="begin"/>
      </w:r>
      <w:r>
        <w:instrText>xe "</w:instrText>
      </w:r>
      <w:r>
        <w:rPr>
          <w:rStyle w:val="xeentry"/>
        </w:rPr>
        <w:instrText>multiple indicators</w:instrText>
      </w:r>
      <w:r>
        <w:instrText>"</w:instrText>
      </w:r>
      <w:r>
        <w:rPr>
          <w:rStyle w:val="indexentry"/>
        </w:rPr>
        <w:fldChar w:fldCharType="end"/>
      </w:r>
      <w:r>
        <w:t>For example, in cases of multiple indicators expressed to</w:t>
      </w:r>
      <w:r>
        <w:softHyphen/>
        <w:t>gether, the</w:t>
      </w:r>
      <w:r>
        <w:rPr>
          <w:rStyle w:val="deletedparamark"/>
        </w:rPr>
        <w:t xml:space="preserve"> </w:t>
      </w:r>
      <w:r>
        <w:t>combined form has some ambiguity of interpretation. It is possible to</w:t>
      </w:r>
      <w:r>
        <w:rPr>
          <w:rStyle w:val="deletedparamark"/>
        </w:rPr>
        <w:t xml:space="preserve"> </w:t>
      </w:r>
      <w:r>
        <w:t>interpret the second indica</w:t>
      </w:r>
      <w:r>
        <w:softHyphen/>
        <w:t>tor as expressing an attitude about the first, or</w:t>
      </w:r>
      <w:r>
        <w:rPr>
          <w:rStyle w:val="deletedparamark"/>
        </w:rPr>
        <w:t xml:space="preserve"> </w:t>
      </w:r>
      <w:r>
        <w:t>to interpret both as expressing attitudes about the common referent.</w:t>
      </w:r>
      <w:r>
        <w:rPr>
          <w:rStyle w:val="deletedparamark"/>
        </w:rPr>
        <w:t xml:space="preserve"> </w:t>
      </w:r>
      <w:r>
        <w:t>For example, 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mi pu tavla do .o'onai .oi</w:t>
      </w:r>
    </w:p>
    <w:p w:rsidR="00B72047" w:rsidRDefault="00B72047">
      <w:pPr>
        <w:pStyle w:val="examplescaled"/>
      </w:pPr>
      <w:r>
        <w:tab/>
        <w:t>I [past] talk-to you [Grrr!] [Oy!]</w:t>
      </w:r>
    </w:p>
    <w:p w:rsidR="00B72047" w:rsidRDefault="00B72047">
      <w:pPr>
        <w:pStyle w:val="resumedafterexample"/>
      </w:pPr>
      <w:r>
        <w:rPr>
          <w:rStyle w:val="htmlcodes"/>
        </w:rPr>
        <w:t>&lt;/pre&gt;</w:t>
      </w:r>
      <w:r>
        <w:t>can be interpreted as expressing complaint about the anger, in which case</w:t>
      </w:r>
      <w:r>
        <w:rPr>
          <w:rStyle w:val="deletedparamark"/>
        </w:rPr>
        <w:t xml:space="preserve"> </w:t>
      </w:r>
      <w:r>
        <w:t>it means “Damn, I snapped at you”; or as expressing both anger and complaint</w:t>
      </w:r>
      <w:r>
        <w:rPr>
          <w:rStyle w:val="deletedparamark"/>
        </w:rPr>
        <w:t xml:space="preserve"> </w:t>
      </w:r>
      <w:r>
        <w:t>about the listener, in which case it means “I told you, you pest!”</w:t>
      </w:r>
    </w:p>
    <w:p w:rsidR="00B72047" w:rsidRDefault="00B72047">
      <w:pPr>
        <w:rPr>
          <w:rStyle w:val="htmlparacode"/>
        </w:rPr>
      </w:pPr>
      <w:r>
        <w:rPr>
          <w:rStyle w:val="htmlparacode"/>
        </w:rPr>
        <w:t>&lt;p&gt;</w:t>
      </w:r>
    </w:p>
    <w:p w:rsidR="00B72047" w:rsidRDefault="00B72047">
      <w:pPr>
        <w:pStyle w:val="normalparagraph"/>
      </w:pPr>
      <w:r>
        <w:t>Similarly, an indicator after the final brivla of a tanru may be</w:t>
      </w:r>
      <w:r>
        <w:rPr>
          <w:rStyle w:val="deletedparamark"/>
        </w:rPr>
        <w:t xml:space="preserve"> </w:t>
      </w:r>
      <w:r>
        <w:t>taken to express an a</w:t>
      </w:r>
      <w:r>
        <w:t>t</w:t>
      </w:r>
      <w:r>
        <w:softHyphen/>
        <w:t>titude about the particular brivla placed there — as</w:t>
      </w:r>
      <w:r>
        <w:rPr>
          <w:rStyle w:val="deletedparamark"/>
        </w:rPr>
        <w:t xml:space="preserve"> </w:t>
      </w:r>
      <w:r>
        <w:t>the rules have it — or about the entire bridi which hinges on that brivla.</w:t>
      </w:r>
      <w:r>
        <w:rPr>
          <w:rStyle w:val="deletedparamark"/>
        </w:rPr>
        <w:t xml:space="preserve"> </w:t>
      </w:r>
      <w:r>
        <w:t>Remembering that indicators are supposedly direct e</w:t>
      </w:r>
      <w:r>
        <w:t>x</w:t>
      </w:r>
      <w:r>
        <w:softHyphen/>
        <w:t>pres</w:t>
      </w:r>
      <w:r>
        <w:softHyphen/>
        <w:t>sions of emotion,</w:t>
      </w:r>
      <w:r>
        <w:rPr>
          <w:rStyle w:val="deletedparamark"/>
        </w:rPr>
        <w:t xml:space="preserve"> </w:t>
      </w:r>
      <w:r>
        <w:t>this ambiguity is acceptable.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"attitudinals, benefit in written expression"&gt;</w:t>
      </w:r>
      <w:r>
        <w:rPr>
          <w:rStyle w:val="indexentry"/>
        </w:rPr>
        <w:fldChar w:fldCharType="begin"/>
      </w:r>
      <w:r>
        <w:instrText>xe "</w:instrText>
      </w:r>
      <w:r>
        <w:rPr>
          <w:rStyle w:val="xeentry"/>
        </w:rPr>
        <w:instrText>attitudinals: benefit in written expression</w:instrText>
      </w:r>
      <w:r>
        <w:instrText>"</w:instrText>
      </w:r>
      <w:r>
        <w:rPr>
          <w:rStyle w:val="indexentry"/>
        </w:rPr>
        <w:fldChar w:fldCharType="end"/>
      </w:r>
      <w:r>
        <w:t>Even if the scope rules given for indicators turn out to be im</w:t>
      </w:r>
      <w:r>
        <w:softHyphen/>
        <w:t>practical</w:t>
      </w:r>
      <w:r>
        <w:rPr>
          <w:rStyle w:val="deletedparamark"/>
        </w:rPr>
        <w:t xml:space="preserve"> </w:t>
      </w:r>
      <w:r>
        <w:t>or unin</w:t>
      </w:r>
      <w:r>
        <w:softHyphen/>
        <w:t>tuitive for use in conversation, they are still useful in written</w:t>
      </w:r>
      <w:r>
        <w:rPr>
          <w:rStyle w:val="deletedparamark"/>
        </w:rPr>
        <w:t xml:space="preserve"> </w:t>
      </w:r>
      <w:r>
        <w:t>expression. There, where you can go back and put in markers or move words</w:t>
      </w:r>
      <w:r>
        <w:rPr>
          <w:rStyle w:val="deletedparamark"/>
        </w:rPr>
        <w:t xml:space="preserve"> </w:t>
      </w:r>
      <w:r>
        <w:t>around, the scope rules can be used in lieu of elabo</w:t>
      </w:r>
      <w:r>
        <w:softHyphen/>
        <w:t>rate nuances of body</w:t>
      </w:r>
      <w:r>
        <w:rPr>
          <w:rStyle w:val="deletedparamark"/>
        </w:rPr>
        <w:t xml:space="preserve"> </w:t>
      </w:r>
      <w:r>
        <w:t>language and intonation to convey the writer's in</w:t>
      </w:r>
      <w:r>
        <w:softHyphen/>
        <w:t>tent.</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name=s10&gt;&lt;h3&gt;</w:t>
      </w:r>
      <w:bookmarkStart w:id="405" w:name="_Toc398970647"/>
      <w:r>
        <w:rPr>
          <w:rStyle w:val="Heading3Text"/>
        </w:rPr>
        <w:t>Attitude questions; empathy; attitude contours</w:t>
      </w:r>
      <w:bookmarkEnd w:id="405"/>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 xml:space="preserve"> </w:t>
      </w:r>
      <w:r>
        <w:tab/>
        <w:t>pei</w:t>
      </w:r>
      <w:r>
        <w:tab/>
        <w:t>attitude question</w:t>
      </w:r>
    </w:p>
    <w:p w:rsidR="00B72047" w:rsidRDefault="00B72047">
      <w:pPr>
        <w:pStyle w:val="exampwidetabs"/>
      </w:pPr>
      <w:r>
        <w:tab/>
        <w:t>dai</w:t>
      </w:r>
      <w:r>
        <w:tab/>
        <w:t>empathy</w:t>
      </w:r>
    </w:p>
    <w:p w:rsidR="00B72047" w:rsidRDefault="00B72047">
      <w:pPr>
        <w:pStyle w:val="exampwidetabs"/>
      </w:pPr>
      <w:r>
        <w:tab/>
        <w:t>bu'o</w:t>
      </w:r>
      <w:r>
        <w:tab/>
        <w:t>start emotion</w:t>
      </w:r>
      <w:r>
        <w:tab/>
        <w:t>continue emotion</w:t>
      </w:r>
      <w:r>
        <w:tab/>
        <w:t>end emotion</w:t>
      </w:r>
    </w:p>
    <w:p w:rsidR="00B72047" w:rsidRDefault="00B72047">
      <w:pPr>
        <w:pStyle w:val="normalafterexample"/>
      </w:pPr>
      <w:r>
        <w:rPr>
          <w:rStyle w:val="htmlcodes"/>
        </w:rPr>
        <w:t>&lt;/pre&gt;&lt;p&gt;</w:t>
      </w:r>
      <w:r>
        <w:t>You can ask someone how they are feeling with a normal bridi sentence,</w:t>
      </w:r>
      <w:r>
        <w:rPr>
          <w:rStyle w:val="deletedparamark"/>
        </w:rPr>
        <w:t xml:space="preserve"> </w:t>
      </w:r>
      <w:r>
        <w:t>but you will get a normal bridi answer in response, one which may be</w:t>
      </w:r>
      <w:r>
        <w:rPr>
          <w:rStyle w:val="deletedparamark"/>
        </w:rPr>
        <w:t xml:space="preserve"> </w:t>
      </w:r>
      <w:r>
        <w:t>true or false. Since the response to a question about emotions is no</w:t>
      </w:r>
      <w:r>
        <w:rPr>
          <w:rStyle w:val="deletedparamark"/>
        </w:rPr>
        <w:t xml:space="preserve"> </w:t>
      </w:r>
      <w:r>
        <w:t>more logical than the emotion itself, this isn't appropri</w:t>
      </w:r>
      <w:r>
        <w:softHyphen/>
        <w:t>ate.</w:t>
      </w:r>
    </w:p>
    <w:p w:rsidR="00B72047" w:rsidRDefault="00B72047">
      <w:pPr>
        <w:rPr>
          <w:rStyle w:val="htmlparacode"/>
        </w:rPr>
      </w:pPr>
      <w:r>
        <w:rPr>
          <w:rStyle w:val="htmlparacode"/>
        </w:rPr>
        <w:t>&lt;p&gt;</w:t>
      </w:r>
    </w:p>
    <w:p w:rsidR="00B72047" w:rsidRDefault="00B72047">
      <w:pPr>
        <w:pStyle w:val="normalparagraph"/>
      </w:pPr>
      <w:r>
        <w:rPr>
          <w:rStyle w:val="indexentry"/>
        </w:rPr>
        <w:t>&lt;lx "pei"&gt;</w:t>
      </w:r>
      <w:r>
        <w:rPr>
          <w:rStyle w:val="indexentry"/>
        </w:rPr>
        <w:fldChar w:fldCharType="begin"/>
      </w:r>
      <w:r>
        <w:instrText>xe "</w:instrText>
      </w:r>
      <w:r>
        <w:rPr>
          <w:rStyle w:val="xeentry"/>
        </w:rPr>
        <w:instrText>pei</w:instrText>
      </w:r>
      <w:r>
        <w:instrText>"</w:instrText>
      </w:r>
      <w:r>
        <w:rPr>
          <w:rStyle w:val="indexentry"/>
        </w:rPr>
        <w:fldChar w:fldCharType="end"/>
      </w:r>
      <w:r>
        <w:rPr>
          <w:rStyle w:val="indexentry"/>
        </w:rPr>
        <w:t>&lt;cx "attitudinal questions"&gt;</w:t>
      </w:r>
      <w:r>
        <w:rPr>
          <w:rStyle w:val="indexentry"/>
        </w:rPr>
        <w:fldChar w:fldCharType="begin"/>
      </w:r>
      <w:r>
        <w:instrText>xe "</w:instrText>
      </w:r>
      <w:r>
        <w:rPr>
          <w:rStyle w:val="xeentry"/>
        </w:rPr>
        <w:instrText>attitudinal questions</w:instrText>
      </w:r>
      <w:r>
        <w:instrText>"</w:instrText>
      </w:r>
      <w:r>
        <w:rPr>
          <w:rStyle w:val="indexentry"/>
        </w:rPr>
        <w:fldChar w:fldCharType="end"/>
      </w:r>
      <w:r>
        <w:t>The word “pei” is therefore reserved for attitude questions. Asked by</w:t>
      </w:r>
      <w:r>
        <w:rPr>
          <w:rStyle w:val="deletedparamark"/>
        </w:rPr>
        <w:t xml:space="preserve"> </w:t>
      </w:r>
      <w:r>
        <w:t>itself, it ca</w:t>
      </w:r>
      <w:r>
        <w:t>p</w:t>
      </w:r>
      <w:r>
        <w:softHyphen/>
        <w:t>tures all of the denotation of English “How are you?”</w:t>
      </w:r>
      <w:r>
        <w:rPr>
          <w:rStyle w:val="deletedparamark"/>
        </w:rPr>
        <w:t xml:space="preserve"> </w:t>
      </w:r>
      <w:r>
        <w:t>coupled with “How do you feel?” (which has a slightly different range of</w:t>
      </w:r>
      <w:r>
        <w:rPr>
          <w:rStyle w:val="deletedparamark"/>
        </w:rPr>
        <w:t xml:space="preserve"> </w:t>
      </w:r>
      <w:r>
        <w:t>usage).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answers, plausibility"&gt;</w:t>
      </w:r>
      <w:r>
        <w:rPr>
          <w:rStyle w:val="indexentry"/>
        </w:rPr>
        <w:fldChar w:fldCharType="begin"/>
      </w:r>
      <w:r>
        <w:instrText>xe "</w:instrText>
      </w:r>
      <w:r>
        <w:rPr>
          <w:rStyle w:val="xeentry"/>
        </w:rPr>
        <w:instrText>attitudinal answers: plausibility</w:instrText>
      </w:r>
      <w:r>
        <w:instrText>"</w:instrText>
      </w:r>
      <w:r>
        <w:rPr>
          <w:rStyle w:val="indexentry"/>
        </w:rPr>
        <w:fldChar w:fldCharType="end"/>
      </w:r>
      <w:r>
        <w:t>When asked in the context of discourse, “pei” acts like other Lojban</w:t>
      </w:r>
      <w:r>
        <w:rPr>
          <w:rStyle w:val="deletedparamark"/>
        </w:rPr>
        <w:t xml:space="preserve"> </w:t>
      </w:r>
      <w:r>
        <w:t>question words — it requests the respondent to “fill in the blank”, in</w:t>
      </w:r>
      <w:r>
        <w:rPr>
          <w:rStyle w:val="deletedparamark"/>
        </w:rPr>
        <w:t xml:space="preserve"> </w:t>
      </w:r>
      <w:r>
        <w:t>this case with an appropri</w:t>
      </w:r>
      <w:r>
        <w:softHyphen/>
        <w:t>ate attit</w:t>
      </w:r>
      <w:r>
        <w:t>u</w:t>
      </w:r>
      <w:r>
        <w:softHyphen/>
        <w:t>dinal describing the re</w:t>
      </w:r>
      <w:r>
        <w:softHyphen/>
        <w:t>spondent's</w:t>
      </w:r>
      <w:r>
        <w:rPr>
          <w:rStyle w:val="deletedparamark"/>
        </w:rPr>
        <w:t xml:space="preserve"> </w:t>
      </w:r>
      <w:r>
        <w:t>feeling about the referent expression. As with other ques</w:t>
      </w:r>
      <w:r>
        <w:softHyphen/>
        <w:t>tions,</w:t>
      </w:r>
      <w:r>
        <w:rPr>
          <w:rStyle w:val="deletedparamark"/>
        </w:rPr>
        <w:t xml:space="preserve"> </w:t>
      </w:r>
      <w:r>
        <w:t>plausibility is polite; if you answer with an irrelevant UI cmavo, such as a</w:t>
      </w:r>
      <w:r>
        <w:rPr>
          <w:rStyle w:val="deletedparamark"/>
        </w:rPr>
        <w:t xml:space="preserve"> </w:t>
      </w:r>
      <w:r>
        <w:t>di</w:t>
      </w:r>
      <w:r>
        <w:t>s</w:t>
      </w:r>
      <w:r>
        <w:softHyphen/>
        <w:t>cursive, you are probably making fun of the questioner. (A “ge'e”,</w:t>
      </w:r>
      <w:r>
        <w:rPr>
          <w:rStyle w:val="deletedparamark"/>
        </w:rPr>
        <w:t xml:space="preserve"> </w:t>
      </w:r>
      <w:r>
        <w:t>however, is always in order — you are not required to an</w:t>
      </w:r>
      <w:r>
        <w:softHyphen/>
        <w:t>swer emotionally.</w:t>
      </w:r>
      <w:r>
        <w:rPr>
          <w:rStyle w:val="deletedparamark"/>
        </w:rPr>
        <w:t xml:space="preserve"> </w:t>
      </w:r>
      <w:r>
        <w:t>This is not the same as “.i'inai”, which is privacy as the reverse of</w:t>
      </w:r>
      <w:r>
        <w:rPr>
          <w:rStyle w:val="deletedparamark"/>
        </w:rPr>
        <w:t xml:space="preserve"> </w:t>
      </w:r>
      <w:r>
        <w:t>conviviality.)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"attitudinal questions, asking intensity"&gt;</w:t>
      </w:r>
      <w:r>
        <w:rPr>
          <w:rStyle w:val="indexentry"/>
        </w:rPr>
        <w:fldChar w:fldCharType="begin"/>
      </w:r>
      <w:r>
        <w:instrText>xe "</w:instrText>
      </w:r>
      <w:r>
        <w:rPr>
          <w:rStyle w:val="xeentry"/>
        </w:rPr>
        <w:instrText>attitudinal questions: asking intensity</w:instrText>
      </w:r>
      <w:r>
        <w:instrText>"</w:instrText>
      </w:r>
      <w:r>
        <w:rPr>
          <w:rStyle w:val="indexentry"/>
        </w:rPr>
        <w:fldChar w:fldCharType="end"/>
      </w:r>
      <w:r>
        <w:t>Most often, however, the asker will use “pei” as a place holder for</w:t>
      </w:r>
      <w:r>
        <w:rPr>
          <w:rStyle w:val="deletedparamark"/>
        </w:rPr>
        <w:t xml:space="preserve"> </w:t>
      </w:r>
      <w:r>
        <w:t>an intensity marker. (As a result, “pei” is placed in selma'o CAI, although</w:t>
      </w:r>
      <w:r>
        <w:rPr>
          <w:rStyle w:val="deletedparamark"/>
        </w:rPr>
        <w:t xml:space="preserve"> </w:t>
      </w:r>
      <w:r>
        <w:t>selma'o UI would have been almost as appropriate. Grammatically, there is</w:t>
      </w:r>
      <w:r>
        <w:rPr>
          <w:rStyle w:val="deletedparamark"/>
        </w:rPr>
        <w:t xml:space="preserve"> </w:t>
      </w:r>
      <w:r>
        <w:t>no difference between UI and CAI.) Such us</w:t>
      </w:r>
      <w:r>
        <w:softHyphen/>
        <w:t>age corresponds to a whole range</w:t>
      </w:r>
      <w:r>
        <w:rPr>
          <w:rStyle w:val="deletedparamark"/>
        </w:rPr>
        <w:t xml:space="preserve"> </w:t>
      </w:r>
      <w:r>
        <w:t>of idiomatic usages in natural lan</w:t>
      </w:r>
      <w:r>
        <w:softHyphen/>
        <w:t>guages: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.iepei</w:t>
      </w:r>
    </w:p>
    <w:p w:rsidR="00B72047" w:rsidRDefault="00B72047">
      <w:pPr>
        <w:pStyle w:val="examplescaled"/>
      </w:pPr>
      <w:r>
        <w:tab/>
        <w:t>[agreement] [question]</w:t>
      </w:r>
    </w:p>
    <w:p w:rsidR="00B72047" w:rsidRDefault="00B72047">
      <w:pPr>
        <w:pStyle w:val="examplescaled"/>
      </w:pPr>
      <w:r>
        <w:tab/>
        <w:t>Do you agree?</w:t>
      </w:r>
    </w:p>
    <w:p w:rsidR="00B72047" w:rsidRDefault="00B72047">
      <w:pPr>
        <w:pStyle w:val="examplescaledpre"/>
      </w:pPr>
      <w:r>
        <w:rPr>
          <w:rStyle w:val="htmlcodes"/>
        </w:rPr>
        <w:t>&lt;a name=e10d2&gt;</w:t>
      </w:r>
      <w:r>
        <w:t>10.2)</w:t>
      </w:r>
      <w:r>
        <w:tab/>
        <w:t>.iare'epei</w:t>
      </w:r>
    </w:p>
    <w:p w:rsidR="00B72047" w:rsidRDefault="00B72047">
      <w:pPr>
        <w:pStyle w:val="examplescaled"/>
      </w:pPr>
      <w:r>
        <w:tab/>
        <w:t>[belief] [spiritual] [question]</w:t>
      </w:r>
    </w:p>
    <w:p w:rsidR="00B72047" w:rsidRDefault="00B72047">
      <w:pPr>
        <w:pStyle w:val="examplescaled"/>
      </w:pPr>
      <w:r>
        <w:tab/>
        <w:t>Are you a Believer?</w:t>
      </w:r>
    </w:p>
    <w:p w:rsidR="00B72047" w:rsidRDefault="00B72047">
      <w:pPr>
        <w:pStyle w:val="examplescaledpre"/>
      </w:pPr>
      <w:r>
        <w:rPr>
          <w:rStyle w:val="htmlcodes"/>
        </w:rPr>
        <w:t>&lt;a name=e10d3&gt;</w:t>
      </w:r>
      <w:r>
        <w:t>10.3)</w:t>
      </w:r>
      <w:r>
        <w:tab/>
        <w:t>.aipei</w:t>
      </w:r>
    </w:p>
    <w:p w:rsidR="00B72047" w:rsidRDefault="00B72047">
      <w:pPr>
        <w:pStyle w:val="examplescaled"/>
      </w:pPr>
      <w:r>
        <w:tab/>
        <w:t>[intention] [question]</w:t>
      </w:r>
    </w:p>
    <w:p w:rsidR="00B72047" w:rsidRDefault="00B72047">
      <w:pPr>
        <w:pStyle w:val="examplescaled"/>
      </w:pPr>
      <w:r>
        <w:tab/>
        <w:t>Are you going to do it?</w:t>
      </w:r>
    </w:p>
    <w:p w:rsidR="00B72047" w:rsidRDefault="00B72047">
      <w:pPr>
        <w:pStyle w:val="resumedafterexample"/>
      </w:pPr>
      <w:r>
        <w:rPr>
          <w:rStyle w:val="htmlcodes"/>
        </w:rPr>
        <w:t>&lt;/pre&gt;&lt;a href=#e10d3&gt;</w:t>
      </w:r>
      <w:r>
        <w:t xml:space="preserve">Example 10.3 </w:t>
      </w:r>
      <w:r>
        <w:rPr>
          <w:rStyle w:val="htmlcodes"/>
        </w:rPr>
        <w:t>&lt;/a&gt;</w:t>
      </w:r>
      <w:r>
        <w:t>might appear at the end of a command, to which the response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.aicai</w:t>
      </w:r>
    </w:p>
    <w:p w:rsidR="00B72047" w:rsidRDefault="00B72047">
      <w:pPr>
        <w:pStyle w:val="examplescaled"/>
      </w:pPr>
      <w:r>
        <w:tab/>
        <w:t>[intention] [maximal]</w:t>
      </w:r>
    </w:p>
    <w:p w:rsidR="00B72047" w:rsidRDefault="00B72047">
      <w:pPr>
        <w:pStyle w:val="resumedafterexample"/>
      </w:pPr>
      <w:r>
        <w:rPr>
          <w:rStyle w:val="htmlcodes"/>
        </w:rPr>
        <w:t>&lt;/pre&gt;</w:t>
      </w:r>
      <w:r>
        <w:t>corresponds to “Aye! Aye!” (hence the choice of cmavo).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.e'apei</w:t>
      </w:r>
    </w:p>
    <w:p w:rsidR="00B72047" w:rsidRDefault="00B72047">
      <w:pPr>
        <w:pStyle w:val="examplescaled"/>
      </w:pPr>
      <w:r>
        <w:tab/>
        <w:t>[permission] [question]</w:t>
      </w:r>
    </w:p>
    <w:p w:rsidR="00B72047" w:rsidRDefault="00B72047">
      <w:pPr>
        <w:pStyle w:val="examplescaled"/>
      </w:pPr>
      <w:r>
        <w:tab/>
        <w:t>Please, Mommy! Can I??</w:t>
      </w:r>
    </w:p>
    <w:p w:rsidR="00B72047" w:rsidRDefault="00B72047">
      <w:pPr>
        <w:pStyle w:val="normalafterexample"/>
      </w:pPr>
      <w:r>
        <w:rPr>
          <w:rStyle w:val="htmlcodes"/>
        </w:rPr>
        <w:t>&lt;/pre&gt;</w:t>
      </w:r>
      <w:r>
        <w:rPr>
          <w:rStyle w:val="indexentry"/>
        </w:rPr>
        <w:t>&lt;cx "attitudinal questions, asking about specific attitude"&gt;</w:t>
      </w:r>
      <w:r>
        <w:rPr>
          <w:rStyle w:val="indexentry"/>
        </w:rPr>
        <w:fldChar w:fldCharType="begin"/>
      </w:r>
      <w:r>
        <w:instrText>xe "</w:instrText>
      </w:r>
      <w:r>
        <w:rPr>
          <w:rStyle w:val="xeentry"/>
        </w:rPr>
        <w:instrText>attitudinal questions: asking about specific attitude</w:instrText>
      </w:r>
      <w:r>
        <w:instrText>"</w:instrText>
      </w:r>
      <w:r>
        <w:rPr>
          <w:rStyle w:val="indexentry"/>
        </w:rPr>
        <w:fldChar w:fldCharType="end"/>
      </w:r>
      <w:r>
        <w:t>Additionally, when “pei” is used at the beginning of an indi</w:t>
      </w:r>
      <w:r>
        <w:softHyphen/>
        <w:t>cator construct, it</w:t>
      </w:r>
      <w:r>
        <w:rPr>
          <w:rStyle w:val="deletedparamark"/>
        </w:rPr>
        <w:t xml:space="preserve"> </w:t>
      </w:r>
      <w:r>
        <w:t>asks specifically if that construct reflects the atti</w:t>
      </w:r>
      <w:r>
        <w:softHyphen/>
        <w:t>tude of the respondent,</w:t>
      </w:r>
      <w:r>
        <w:rPr>
          <w:rStyle w:val="deletedparamark"/>
        </w:rPr>
        <w:t xml:space="preserve"> </w:t>
      </w:r>
      <w:r>
        <w:t>as in (asked of som</w:t>
      </w:r>
      <w:r>
        <w:t>e</w:t>
      </w:r>
      <w:r>
        <w:softHyphen/>
        <w:t>one who has been ill or in pain):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pei.o'u</w:t>
      </w:r>
    </w:p>
    <w:p w:rsidR="00B72047" w:rsidRDefault="00B72047">
      <w:pPr>
        <w:pStyle w:val="examplescaled"/>
      </w:pPr>
      <w:r>
        <w:tab/>
        <w:t>[question] [comfort]</w:t>
      </w:r>
    </w:p>
    <w:p w:rsidR="00B72047" w:rsidRDefault="00B72047">
      <w:pPr>
        <w:pStyle w:val="examplescaled"/>
      </w:pPr>
      <w:r>
        <w:tab/>
        <w:t>Are you comfortable?</w:t>
      </w:r>
    </w:p>
    <w:p w:rsidR="00B72047" w:rsidRDefault="00B72047">
      <w:pPr>
        <w:pStyle w:val="examplescaledpre"/>
      </w:pPr>
      <w:r>
        <w:rPr>
          <w:rStyle w:val="htmlcodes"/>
        </w:rPr>
        <w:t>&lt;a name=e10d7&gt;</w:t>
      </w:r>
      <w:r>
        <w:t>10.7)</w:t>
      </w:r>
      <w:r>
        <w:tab/>
        <w:t>pei.o'ucu'i</w:t>
      </w:r>
    </w:p>
    <w:p w:rsidR="00B72047" w:rsidRDefault="00B72047">
      <w:pPr>
        <w:pStyle w:val="examplescaled"/>
      </w:pPr>
      <w:r>
        <w:tab/>
        <w:t>[question] [comfort] [neutral]</w:t>
      </w:r>
    </w:p>
    <w:p w:rsidR="00B72047" w:rsidRDefault="00B72047">
      <w:pPr>
        <w:pStyle w:val="examplescaled"/>
      </w:pPr>
      <w:r>
        <w:tab/>
        <w:t>Are you no longer in pain?</w:t>
      </w:r>
    </w:p>
    <w:p w:rsidR="00B72047" w:rsidRDefault="00B72047">
      <w:pPr>
        <w:pStyle w:val="examplescaledpre"/>
      </w:pPr>
      <w:r>
        <w:rPr>
          <w:rStyle w:val="htmlcodes"/>
        </w:rPr>
        <w:t>&lt;a name=e10d8&gt;</w:t>
      </w:r>
      <w:r>
        <w:t>10.8)</w:t>
      </w:r>
      <w:r>
        <w:tab/>
        <w:t>pei.o'usai</w:t>
      </w:r>
    </w:p>
    <w:p w:rsidR="00B72047" w:rsidRDefault="00B72047">
      <w:pPr>
        <w:pStyle w:val="examplescaled"/>
      </w:pPr>
      <w:r>
        <w:tab/>
        <w:t>[question] [comfort] [strong]</w:t>
      </w:r>
    </w:p>
    <w:p w:rsidR="00B72047" w:rsidRDefault="00B72047">
      <w:pPr>
        <w:pStyle w:val="examplescaled"/>
      </w:pPr>
      <w:r>
        <w:tab/>
        <w:t>Are you again healthy?</w:t>
      </w:r>
    </w:p>
    <w:p w:rsidR="00B72047" w:rsidRDefault="00B72047">
      <w:pPr>
        <w:pStyle w:val="normalafterexample"/>
      </w:pPr>
      <w:r>
        <w:rPr>
          <w:rStyle w:val="htmlcodes"/>
        </w:rPr>
        <w:t>&lt;/pre&gt;</w:t>
      </w:r>
      <w:r>
        <w:rPr>
          <w:rStyle w:val="indexentry"/>
        </w:rPr>
        <w:t>&lt;ex "empathy"&gt;</w:t>
      </w:r>
      <w:r>
        <w:rPr>
          <w:rStyle w:val="indexentry"/>
        </w:rPr>
        <w:fldChar w:fldCharType="begin"/>
      </w:r>
      <w:r>
        <w:instrText>xe "</w:instrText>
      </w:r>
      <w:r>
        <w:rPr>
          <w:rStyle w:val="xeentry"/>
        </w:rPr>
        <w:instrText>empathy: example</w:instrText>
      </w:r>
      <w:r>
        <w:instrText>"</w:instrText>
      </w:r>
      <w:r>
        <w:rPr>
          <w:rStyle w:val="indexentry"/>
        </w:rPr>
        <w:fldChar w:fldCharType="end"/>
      </w:r>
      <w:r>
        <w:rPr>
          <w:rStyle w:val="indexentry"/>
        </w:rPr>
        <w:t>&lt;ex "sympathy"&gt;</w:t>
      </w:r>
      <w:r>
        <w:rPr>
          <w:rStyle w:val="indexentry"/>
        </w:rPr>
        <w:fldChar w:fldCharType="begin"/>
      </w:r>
      <w:r>
        <w:instrText>xe "</w:instrText>
      </w:r>
      <w:r>
        <w:rPr>
          <w:rStyle w:val="xeentry"/>
        </w:rPr>
        <w:instrText>sympathy: example</w:instrText>
      </w:r>
      <w:r>
        <w:instrText>"</w:instrText>
      </w:r>
      <w:r>
        <w:rPr>
          <w:rStyle w:val="indexentry"/>
        </w:rPr>
        <w:fldChar w:fldCharType="end"/>
      </w:r>
      <w:r>
        <w:rPr>
          <w:rStyle w:val="indexentry"/>
        </w:rPr>
        <w:t>&lt;cx "attitudinals, attributing emotion to others"&gt;</w:t>
      </w:r>
      <w:r>
        <w:rPr>
          <w:rStyle w:val="indexentry"/>
        </w:rPr>
        <w:fldChar w:fldCharType="begin"/>
      </w:r>
      <w:r>
        <w:instrText>xe "</w:instrText>
      </w:r>
      <w:r>
        <w:rPr>
          <w:rStyle w:val="xeentry"/>
        </w:rPr>
        <w:instrText>attitudinals: attributing emotion to others</w:instrText>
      </w:r>
      <w:r>
        <w:instrText>"</w:instrText>
      </w:r>
      <w:r>
        <w:rPr>
          <w:rStyle w:val="indexentry"/>
        </w:rPr>
        <w:fldChar w:fldCharType="end"/>
      </w:r>
      <w:r>
        <w:rPr>
          <w:rStyle w:val="indexentry"/>
        </w:rPr>
        <w:t>&lt;cx "attitudes, empathy contrasted with sympathy"&gt;</w:t>
      </w:r>
      <w:r>
        <w:rPr>
          <w:rStyle w:val="indexentry"/>
        </w:rPr>
        <w:fldChar w:fldCharType="begin"/>
      </w:r>
      <w:r>
        <w:instrText>xe "</w:instrText>
      </w:r>
      <w:r>
        <w:rPr>
          <w:rStyle w:val="xeentry"/>
        </w:rPr>
        <w:instrText>attitudes: empathy contrasted with sympathy</w:instrText>
      </w:r>
      <w:r>
        <w:instrText>"</w:instrText>
      </w:r>
      <w:r>
        <w:rPr>
          <w:rStyle w:val="indexentry"/>
        </w:rPr>
        <w:fldChar w:fldCharType="end"/>
      </w:r>
      <w:r>
        <w:rPr>
          <w:rStyle w:val="indexentry"/>
        </w:rPr>
        <w:t>&lt;lx "dai"&gt;</w:t>
      </w:r>
      <w:r>
        <w:rPr>
          <w:rStyle w:val="indexentry"/>
        </w:rPr>
        <w:fldChar w:fldCharType="begin"/>
      </w:r>
      <w:r>
        <w:instrText>xe "</w:instrText>
      </w:r>
      <w:r>
        <w:rPr>
          <w:rStyle w:val="xeentry"/>
        </w:rPr>
        <w:instrText>dai</w:instrText>
      </w:r>
      <w:r>
        <w:instrText>"</w:instrText>
      </w:r>
      <w:r>
        <w:rPr>
          <w:rStyle w:val="indexentry"/>
        </w:rPr>
        <w:fldChar w:fldCharType="end"/>
      </w:r>
      <w:r>
        <w:rPr>
          <w:rStyle w:val="indexentry"/>
        </w:rPr>
        <w:t>&lt;lx ".uuse'inai"&gt;</w:t>
      </w:r>
      <w:r>
        <w:rPr>
          <w:rStyle w:val="indexentry"/>
        </w:rPr>
        <w:fldChar w:fldCharType="begin"/>
      </w:r>
      <w:r>
        <w:instrText>xe "</w:instrText>
      </w:r>
      <w:r>
        <w:rPr>
          <w:rStyle w:val="xeentry"/>
        </w:rPr>
        <w:instrText>uuse'inai</w:instrText>
      </w:r>
      <w:r>
        <w:instrText>"</w:instrText>
      </w:r>
      <w:r>
        <w:rPr>
          <w:rStyle w:val="indexentry"/>
        </w:rPr>
        <w:fldChar w:fldCharType="end"/>
      </w:r>
      <w:r>
        <w:t>Empathy, which is not really an emotion, is expressed by the indicator</w:t>
      </w:r>
      <w:r>
        <w:rPr>
          <w:rStyle w:val="deletedparamark"/>
        </w:rPr>
        <w:t xml:space="preserve"> “</w:t>
      </w:r>
      <w:r>
        <w:t>dai”. (Don't confuse empathy with sympathy, which is “.uuse'inai”.)</w:t>
      </w:r>
      <w:r>
        <w:rPr>
          <w:rStyle w:val="deletedparamark"/>
        </w:rPr>
        <w:t xml:space="preserve"> </w:t>
      </w:r>
      <w:r>
        <w:t>Sometimes, as when telling a story, you want to attribute emotion to someone</w:t>
      </w:r>
      <w:r>
        <w:rPr>
          <w:rStyle w:val="deletedparamark"/>
        </w:rPr>
        <w:t xml:space="preserve"> </w:t>
      </w:r>
      <w:r>
        <w:t>else. You can of course make a bridi claim that so-and-so felt such-and-such</w:t>
      </w:r>
      <w:r>
        <w:rPr>
          <w:rStyle w:val="deletedparamark"/>
        </w:rPr>
        <w:t xml:space="preserve"> </w:t>
      </w:r>
      <w:r>
        <w:t>an emotion, but you can also make use of the a</w:t>
      </w:r>
      <w:r>
        <w:t>t</w:t>
      </w:r>
      <w:r>
        <w:softHyphen/>
        <w:t>titudinal system by adding</w:t>
      </w:r>
      <w:r>
        <w:rPr>
          <w:rStyle w:val="deletedparamark"/>
        </w:rPr>
        <w:t xml:space="preserve"> </w:t>
      </w:r>
      <w:r>
        <w:t>the indicator “dai”, which attributes the preceding attitudinal to someone</w:t>
      </w:r>
      <w:r>
        <w:rPr>
          <w:rStyle w:val="deletedparamark"/>
        </w:rPr>
        <w:t xml:space="preserve"> </w:t>
      </w:r>
      <w:r>
        <w:t>else — exactly whom, must be determined from context. You can also</w:t>
      </w:r>
      <w:r>
        <w:rPr>
          <w:rStyle w:val="deletedparamark"/>
        </w:rPr>
        <w:t xml:space="preserve"> </w:t>
      </w:r>
      <w:r>
        <w:t>use “dai” conversationally when you empathize, or feel someone else's</w:t>
      </w:r>
      <w:r>
        <w:rPr>
          <w:rStyle w:val="deletedparamark"/>
        </w:rPr>
        <w:t xml:space="preserve"> </w:t>
      </w:r>
      <w:r>
        <w:t>emo</w:t>
      </w:r>
      <w:r>
        <w:softHyphen/>
        <w:t>tion as if it were your own: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.oiro'odai</w:t>
      </w:r>
    </w:p>
    <w:p w:rsidR="00B72047" w:rsidRDefault="00B72047">
      <w:pPr>
        <w:pStyle w:val="examplescaled"/>
      </w:pPr>
      <w:r>
        <w:tab/>
        <w:t>[Pain!] [physical] [empathy]</w:t>
      </w:r>
    </w:p>
    <w:p w:rsidR="00B72047" w:rsidRDefault="00B72047">
      <w:pPr>
        <w:pStyle w:val="examplescaled"/>
      </w:pPr>
      <w:r>
        <w:tab/>
        <w:t>Ouch, that must have hurt!</w:t>
      </w:r>
    </w:p>
    <w:p w:rsidR="00B72047" w:rsidRDefault="00B72047">
      <w:pPr>
        <w:pStyle w:val="normalafterexample"/>
      </w:pPr>
      <w:r>
        <w:rPr>
          <w:rStyle w:val="htmlcodes"/>
        </w:rPr>
        <w:t>&lt;/pre&gt;&lt;p&gt;</w:t>
      </w:r>
      <w:r>
        <w:t>It is even possible to “empathize” with a non-living object:</w:t>
      </w:r>
    </w:p>
    <w:p w:rsidR="00B72047" w:rsidRDefault="00B72047">
      <w:pPr>
        <w:rPr>
          <w:rStyle w:val="htmlparacode"/>
        </w:rPr>
      </w:pPr>
      <w:r>
        <w:rPr>
          <w:rStyle w:val="htmlparacode"/>
        </w:rPr>
        <w:t>&lt;p&gt;</w:t>
      </w:r>
    </w:p>
    <w:p w:rsidR="00B72047" w:rsidRDefault="00B72047">
      <w:pPr>
        <w:pStyle w:val="examplescaledpre"/>
      </w:pPr>
      <w:r>
        <w:rPr>
          <w:rStyle w:val="indexentry"/>
        </w:rPr>
        <w:t>&lt;ex "ship sank"&gt;</w:t>
      </w:r>
      <w:r>
        <w:rPr>
          <w:rStyle w:val="indexentry"/>
        </w:rPr>
        <w:fldChar w:fldCharType="begin"/>
      </w:r>
      <w:r>
        <w:instrText>xe "</w:instrText>
      </w:r>
      <w:r>
        <w:rPr>
          <w:rStyle w:val="xeentry"/>
        </w:rPr>
        <w:instrText>ship sank: example</w:instrText>
      </w:r>
      <w:r>
        <w:instrText>"</w:instrText>
      </w:r>
      <w:r>
        <w:rPr>
          <w:rStyle w:val="indexentry"/>
        </w:rPr>
        <w:fldChar w:fldCharType="end"/>
      </w:r>
      <w:r>
        <w:rPr>
          <w:rStyle w:val="htmlcodes"/>
        </w:rPr>
        <w:t>&lt;pre&gt;&lt;a name=e10d10&gt;</w:t>
      </w:r>
      <w:r>
        <w:t>10.10)</w:t>
      </w:r>
      <w:r>
        <w:tab/>
        <w:t>le bloti .iidai .uu pu klama le xasloi</w:t>
      </w:r>
    </w:p>
    <w:p w:rsidR="00B72047" w:rsidRDefault="00B72047">
      <w:pPr>
        <w:pStyle w:val="examplescaled"/>
      </w:pPr>
      <w:r>
        <w:tab/>
        <w:t>The ship [fear!] [empathy] [pity!] [past] goes-to the ocean-floor</w:t>
      </w:r>
    </w:p>
    <w:p w:rsidR="00B72047" w:rsidRDefault="00B72047">
      <w:pPr>
        <w:pStyle w:val="examplescaled"/>
      </w:pPr>
      <w:r>
        <w:tab/>
        <w:t>Fearfully the ship, poor thing, sank.</w:t>
      </w:r>
    </w:p>
    <w:p w:rsidR="00B72047" w:rsidRDefault="00B72047">
      <w:pPr>
        <w:pStyle w:val="resumedafterexample"/>
      </w:pPr>
      <w:r>
        <w:rPr>
          <w:rStyle w:val="htmlcodes"/>
        </w:rPr>
        <w:t>&lt;/pre&gt;</w:t>
      </w:r>
      <w:r>
        <w:t>suggesting that the ship felt fear at its impending destruction,</w:t>
      </w:r>
      <w:r>
        <w:rPr>
          <w:rStyle w:val="deletedparamark"/>
        </w:rPr>
        <w:t xml:space="preserve"> </w:t>
      </w:r>
      <w:r>
        <w:t>and simultaneously re</w:t>
      </w:r>
      <w:r>
        <w:softHyphen/>
        <w:t>port</w:t>
      </w:r>
      <w:r>
        <w:softHyphen/>
        <w:t>ing the speaker's pity for it.</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"attitudinals, exceptions"&gt;</w:t>
      </w:r>
      <w:r>
        <w:rPr>
          <w:rStyle w:val="indexentry"/>
        </w:rPr>
        <w:fldChar w:fldCharType="begin"/>
      </w:r>
      <w:r>
        <w:instrText>xe "</w:instrText>
      </w:r>
      <w:r>
        <w:rPr>
          <w:rStyle w:val="xeentry"/>
        </w:rPr>
        <w:instrText>attitudinals: exceptions</w:instrText>
      </w:r>
      <w:r>
        <w:instrText>"</w:instrText>
      </w:r>
      <w:r>
        <w:rPr>
          <w:rStyle w:val="indexentry"/>
        </w:rPr>
        <w:fldChar w:fldCharType="end"/>
      </w:r>
      <w:r>
        <w:rPr>
          <w:rStyle w:val="indexentry"/>
        </w:rPr>
        <w:t>&lt;cx "attitudinals, non-speaker attitudes"&gt;</w:t>
      </w:r>
      <w:r>
        <w:rPr>
          <w:rStyle w:val="indexentry"/>
        </w:rPr>
        <w:fldChar w:fldCharType="begin"/>
      </w:r>
      <w:r>
        <w:instrText>xe "</w:instrText>
      </w:r>
      <w:r>
        <w:rPr>
          <w:rStyle w:val="xeentry"/>
        </w:rPr>
        <w:instrText>attitudinals: non-speaker attitudes</w:instrText>
      </w:r>
      <w:r>
        <w:instrText>"</w:instrText>
      </w:r>
      <w:r>
        <w:rPr>
          <w:rStyle w:val="indexentry"/>
        </w:rPr>
        <w:fldChar w:fldCharType="end"/>
      </w:r>
      <w:r>
        <w:t>Both “pei” and “dai” represent exceptions to the normal rule that</w:t>
      </w:r>
      <w:r>
        <w:rPr>
          <w:rStyle w:val="deletedparamark"/>
        </w:rPr>
        <w:t xml:space="preserve"> </w:t>
      </w:r>
      <w:r>
        <w:t>attitudinals reflect the speaker's attitude.</w:t>
      </w:r>
    </w:p>
    <w:p w:rsidR="00B72047" w:rsidRDefault="00B72047">
      <w:pPr>
        <w:rPr>
          <w:rStyle w:val="htmlparacode"/>
        </w:rPr>
      </w:pPr>
      <w:r>
        <w:rPr>
          <w:rStyle w:val="htmlparacode"/>
        </w:rPr>
        <w:t>&lt;p&gt;</w:t>
      </w:r>
    </w:p>
    <w:p w:rsidR="00B72047" w:rsidRDefault="00B72047">
      <w:pPr>
        <w:pStyle w:val="normalparagraph"/>
      </w:pPr>
      <w:r>
        <w:rPr>
          <w:rStyle w:val="indexentry"/>
        </w:rPr>
        <w:t>&lt;cx "attitudes, expressing changes in"&gt;</w:t>
      </w:r>
      <w:r>
        <w:rPr>
          <w:rStyle w:val="indexentry"/>
        </w:rPr>
        <w:fldChar w:fldCharType="begin"/>
      </w:r>
      <w:r>
        <w:instrText>xe "</w:instrText>
      </w:r>
      <w:r>
        <w:rPr>
          <w:rStyle w:val="xeentry"/>
        </w:rPr>
        <w:instrText>attitudes: expressing changes in</w:instrText>
      </w:r>
      <w:r>
        <w:instrText>"</w:instrText>
      </w:r>
      <w:r>
        <w:rPr>
          <w:rStyle w:val="indexentry"/>
        </w:rPr>
        <w:fldChar w:fldCharType="end"/>
      </w:r>
      <w:r>
        <w:rPr>
          <w:rStyle w:val="indexentry"/>
        </w:rPr>
        <w:t>&lt;cx "attitudinals, contours"&gt;</w:t>
      </w:r>
      <w:r>
        <w:rPr>
          <w:rStyle w:val="indexentry"/>
        </w:rPr>
        <w:fldChar w:fldCharType="begin"/>
      </w:r>
      <w:r>
        <w:instrText>xe "</w:instrText>
      </w:r>
      <w:r>
        <w:rPr>
          <w:rStyle w:val="xeentry"/>
        </w:rPr>
        <w:instrText>attitudinals: contours</w:instrText>
      </w:r>
      <w:r>
        <w:instrText>"</w:instrText>
      </w:r>
      <w:r>
        <w:rPr>
          <w:rStyle w:val="indexentry"/>
        </w:rPr>
        <w:fldChar w:fldCharType="end"/>
      </w:r>
      <w:r>
        <w:rPr>
          <w:rStyle w:val="indexentry"/>
        </w:rPr>
        <w:t>&lt;cx "attitudes, continuing"&gt;</w:t>
      </w:r>
      <w:r>
        <w:rPr>
          <w:rStyle w:val="indexentry"/>
        </w:rPr>
        <w:fldChar w:fldCharType="begin"/>
      </w:r>
      <w:r>
        <w:instrText>xe "</w:instrText>
      </w:r>
      <w:r>
        <w:rPr>
          <w:rStyle w:val="xeentry"/>
        </w:rPr>
        <w:instrText>attitudes: continuing</w:instrText>
      </w:r>
      <w:r>
        <w:instrText>"</w:instrText>
      </w:r>
      <w:r>
        <w:rPr>
          <w:rStyle w:val="indexentry"/>
        </w:rPr>
        <w:fldChar w:fldCharType="end"/>
      </w:r>
      <w:r>
        <w:rPr>
          <w:rStyle w:val="indexentry"/>
        </w:rPr>
        <w:t>&lt;cx "attitudes, beginning"&gt;</w:t>
      </w:r>
      <w:r>
        <w:rPr>
          <w:rStyle w:val="indexentry"/>
        </w:rPr>
        <w:fldChar w:fldCharType="begin"/>
      </w:r>
      <w:r>
        <w:instrText>xe "</w:instrText>
      </w:r>
      <w:r>
        <w:rPr>
          <w:rStyle w:val="xeentry"/>
        </w:rPr>
        <w:instrText>attitudes: beginning</w:instrText>
      </w:r>
      <w:r>
        <w:instrText>"</w:instrText>
      </w:r>
      <w:r>
        <w:rPr>
          <w:rStyle w:val="indexentry"/>
        </w:rPr>
        <w:fldChar w:fldCharType="end"/>
      </w:r>
      <w:r>
        <w:rPr>
          <w:rStyle w:val="indexentry"/>
        </w:rPr>
        <w:t>&lt;cx "attitudes, ceasing"&gt;</w:t>
      </w:r>
      <w:r>
        <w:rPr>
          <w:rStyle w:val="indexentry"/>
        </w:rPr>
        <w:fldChar w:fldCharType="begin"/>
      </w:r>
      <w:r>
        <w:instrText>xe "</w:instrText>
      </w:r>
      <w:r>
        <w:rPr>
          <w:rStyle w:val="xeentry"/>
        </w:rPr>
        <w:instrText>attitudes: ceasing</w:instrText>
      </w:r>
      <w:r>
        <w:instrText>"</w:instrText>
      </w:r>
      <w:r>
        <w:rPr>
          <w:rStyle w:val="indexentry"/>
        </w:rPr>
        <w:fldChar w:fldCharType="end"/>
      </w:r>
      <w:r>
        <w:rPr>
          <w:rStyle w:val="indexentry"/>
        </w:rPr>
        <w:t>&lt;lx "bu'o"&gt;</w:t>
      </w:r>
      <w:r>
        <w:rPr>
          <w:rStyle w:val="indexentry"/>
        </w:rPr>
        <w:fldChar w:fldCharType="begin"/>
      </w:r>
      <w:r>
        <w:instrText>xe "</w:instrText>
      </w:r>
      <w:r>
        <w:rPr>
          <w:rStyle w:val="xeentry"/>
        </w:rPr>
        <w:instrText>bu'o</w:instrText>
      </w:r>
      <w:r>
        <w:instrText>"</w:instrText>
      </w:r>
      <w:r>
        <w:rPr>
          <w:rStyle w:val="indexentry"/>
        </w:rPr>
        <w:fldChar w:fldCharType="end"/>
      </w:r>
      <w:r>
        <w:rPr>
          <w:rStyle w:val="indexentry"/>
        </w:rPr>
        <w:t>&lt;lx "bu'onai"&gt;</w:t>
      </w:r>
      <w:r>
        <w:rPr>
          <w:rStyle w:val="indexentry"/>
        </w:rPr>
        <w:fldChar w:fldCharType="begin"/>
      </w:r>
      <w:r>
        <w:instrText>xe "</w:instrText>
      </w:r>
      <w:r>
        <w:rPr>
          <w:rStyle w:val="xeentry"/>
        </w:rPr>
        <w:instrText>bu'onai</w:instrText>
      </w:r>
      <w:r>
        <w:instrText>"</w:instrText>
      </w:r>
      <w:r>
        <w:rPr>
          <w:rStyle w:val="indexentry"/>
        </w:rPr>
        <w:fldChar w:fldCharType="end"/>
      </w:r>
      <w:r>
        <w:t>Finally, we often want to report how our attitudes are chang</w:t>
      </w:r>
      <w:r>
        <w:softHyphen/>
        <w:t>ing. If our</w:t>
      </w:r>
      <w:r>
        <w:rPr>
          <w:rStyle w:val="deletedparamark"/>
        </w:rPr>
        <w:t xml:space="preserve"> </w:t>
      </w:r>
      <w:r>
        <w:t>attitude has not changed, we can just repeat the attitudinal. (Therefore, “.ui .ui .ui” is not the same as “.uicai”, but simply means that we</w:t>
      </w:r>
      <w:r>
        <w:rPr>
          <w:rStyle w:val="deletedparamark"/>
        </w:rPr>
        <w:t xml:space="preserve"> </w:t>
      </w:r>
      <w:r>
        <w:t>are continuing to be happy.) If we want to report that we are beginning</w:t>
      </w:r>
      <w:r>
        <w:rPr>
          <w:rStyle w:val="deletedparamark"/>
        </w:rPr>
        <w:t xml:space="preserve"> </w:t>
      </w:r>
      <w:r>
        <w:t>to feel, continuing to feel, or ceasing to feel an emotion, we can use</w:t>
      </w:r>
      <w:r>
        <w:rPr>
          <w:rStyle w:val="deletedparamark"/>
        </w:rPr>
        <w:t xml:space="preserve"> </w:t>
      </w:r>
      <w:r>
        <w:t>the attitudinal contour cmavo “bu'o”.</w:t>
      </w:r>
    </w:p>
    <w:p w:rsidR="00B72047" w:rsidRDefault="00B72047">
      <w:pPr>
        <w:rPr>
          <w:rStyle w:val="htmlparacode"/>
        </w:rPr>
      </w:pPr>
      <w:r>
        <w:rPr>
          <w:rStyle w:val="htmlparacode"/>
        </w:rPr>
        <w:t>&lt;p&gt;</w:t>
      </w:r>
    </w:p>
    <w:p w:rsidR="00B72047" w:rsidRDefault="00B72047">
      <w:pPr>
        <w:pStyle w:val="normalparagraph"/>
      </w:pPr>
      <w:r>
        <w:t>When attached to an attitudinal, “bu'o” means that you are starting to</w:t>
      </w:r>
      <w:r>
        <w:rPr>
          <w:rStyle w:val="deletedparamark"/>
        </w:rPr>
        <w:t xml:space="preserve"> </w:t>
      </w:r>
      <w:r>
        <w:t>have that att</w:t>
      </w:r>
      <w:r>
        <w:t>i</w:t>
      </w:r>
      <w:r>
        <w:softHyphen/>
        <w:t>tude, “bu'ocu'i” that you are continuing to have it, and</w:t>
      </w:r>
      <w:r>
        <w:rPr>
          <w:rStyle w:val="deletedparamark"/>
        </w:rPr>
        <w:t xml:space="preserve"> “</w:t>
      </w:r>
      <w:r>
        <w:t>bu'onai” that you are ceasing to have it.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name=e10d11&gt;</w:t>
      </w:r>
      <w:r>
        <w:t>10.11)</w:t>
      </w:r>
      <w:r>
        <w:tab/>
        <w:t>o'onai bu'o</w:t>
      </w:r>
    </w:p>
    <w:p w:rsidR="00B72047" w:rsidRDefault="00B72047">
      <w:pPr>
        <w:pStyle w:val="examplescaled"/>
      </w:pPr>
      <w:r>
        <w:tab/>
        <w:t>[Anger!] [start emotion]</w:t>
      </w:r>
    </w:p>
    <w:p w:rsidR="00B72047" w:rsidRDefault="00B72047">
      <w:pPr>
        <w:pStyle w:val="examplescaled"/>
      </w:pPr>
      <w:r>
        <w:tab/>
        <w:t>I'm getting angry!</w:t>
      </w:r>
    </w:p>
    <w:p w:rsidR="00B72047" w:rsidRDefault="00B72047">
      <w:pPr>
        <w:pStyle w:val="examplescaledpre"/>
      </w:pPr>
      <w:r>
        <w:rPr>
          <w:rStyle w:val="htmlcodes"/>
        </w:rPr>
        <w:t>&lt;a name=e10d12&gt;</w:t>
      </w:r>
      <w:r>
        <w:t>10.12)</w:t>
      </w:r>
      <w:r>
        <w:tab/>
        <w:t>.iu bu'onai .uinai</w:t>
      </w:r>
    </w:p>
    <w:p w:rsidR="00B72047" w:rsidRDefault="00B72047">
      <w:pPr>
        <w:pStyle w:val="examplescaled"/>
      </w:pPr>
      <w:r>
        <w:tab/>
        <w:t>[Love!] [end emotion] [unhappiness!]</w:t>
      </w:r>
    </w:p>
    <w:p w:rsidR="00B72047" w:rsidRDefault="00B72047">
      <w:pPr>
        <w:pStyle w:val="examplescaled"/>
      </w:pPr>
      <w:r>
        <w:tab/>
        <w:t>I don't love you any more; I'm sad.</w:t>
      </w:r>
    </w:p>
    <w:p w:rsidR="00B72047" w:rsidRDefault="00B72047">
      <w:pPr>
        <w:pStyle w:val="resumedafterexample"/>
        <w:spacing w:before="0"/>
      </w:pPr>
      <w:r>
        <w:rPr>
          <w:rStyle w:val="htmlcodes"/>
          <w:vanish w:val="0"/>
        </w:rPr>
        <w:br w:type="page"/>
      </w:r>
      <w:r>
        <w:rPr>
          <w:rStyle w:val="htmlcodes"/>
        </w:rPr>
        <w:t>&lt;/pre&gt;&lt;p&gt;</w:t>
      </w:r>
      <w:r>
        <w:t xml:space="preserve">Note the difference in effect between </w:t>
      </w:r>
      <w:r>
        <w:rPr>
          <w:rStyle w:val="htmlcodes"/>
        </w:rPr>
        <w:t>&lt;a href=#e10d12&gt;</w:t>
      </w:r>
      <w:r>
        <w:t xml:space="preserve">Example 10.12 </w:t>
      </w:r>
      <w:r>
        <w:rPr>
          <w:rStyle w:val="htmlcodes"/>
        </w:rPr>
        <w:t>&lt;/a&gt;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name=e10d13&gt;</w:t>
      </w:r>
      <w:r>
        <w:t>10.13)</w:t>
      </w:r>
      <w:r>
        <w:tab/>
        <w:t>mi ca ba'o prami do ja'e le nu mi badri</w:t>
      </w:r>
    </w:p>
    <w:p w:rsidR="00B72047" w:rsidRDefault="00B72047">
      <w:pPr>
        <w:pStyle w:val="examplescaled"/>
      </w:pPr>
      <w:r>
        <w:tab/>
        <w:t>I [present] [cessitive] love you with-result the event-of (I am-sad).</w:t>
      </w:r>
    </w:p>
    <w:p w:rsidR="00B72047" w:rsidRDefault="00B72047">
      <w:pPr>
        <w:pStyle w:val="examplescaled"/>
      </w:pPr>
      <w:r>
        <w:tab/>
        <w:t>I no longer love you; therefore, I am sad.</w:t>
      </w:r>
    </w:p>
    <w:p w:rsidR="00B72047" w:rsidRDefault="00B72047">
      <w:pPr>
        <w:pStyle w:val="resumedafterexample"/>
      </w:pPr>
      <w:r>
        <w:rPr>
          <w:rStyle w:val="htmlcodes"/>
        </w:rPr>
        <w:t>&lt;/pre&gt;</w:t>
      </w:r>
      <w:r>
        <w:t xml:space="preserve">which is a straightforward bridi claim. </w:t>
      </w:r>
      <w:r>
        <w:rPr>
          <w:rStyle w:val="htmlcodes"/>
        </w:rPr>
        <w:t>&lt;a href=#e10d13&gt;</w:t>
      </w:r>
      <w:r>
        <w:t xml:space="preserve">Example 10.13 </w:t>
      </w:r>
      <w:r>
        <w:rPr>
          <w:rStyle w:val="htmlcodes"/>
        </w:rPr>
        <w:t>&lt;/a&gt;</w:t>
      </w:r>
      <w:r>
        <w:t>states that</w:t>
      </w:r>
      <w:r>
        <w:rPr>
          <w:rStyle w:val="deletedparamark"/>
        </w:rPr>
        <w:t xml:space="preserve"> </w:t>
      </w:r>
      <w:r>
        <w:t xml:space="preserve">you have (or have had) certain emotions; </w:t>
      </w:r>
      <w:r>
        <w:rPr>
          <w:rStyle w:val="htmlcodes"/>
        </w:rPr>
        <w:t>&lt;a href=#e10d12&gt;</w:t>
      </w:r>
      <w:r>
        <w:t xml:space="preserve">Example 10.12 </w:t>
      </w:r>
      <w:r>
        <w:rPr>
          <w:rStyle w:val="htmlcodes"/>
        </w:rPr>
        <w:t>&lt;/a&gt;</w:t>
      </w:r>
      <w:r>
        <w:t>expresses those</w:t>
      </w:r>
      <w:r>
        <w:rPr>
          <w:rStyle w:val="deletedparamark"/>
        </w:rPr>
        <w:t xml:space="preserve"> </w:t>
      </w:r>
      <w:r>
        <w:t>emotions directly.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406" w:name="_Toc398970648"/>
      <w:r>
        <w:rPr>
          <w:rStyle w:val="Heading3Text"/>
        </w:rPr>
        <w:t>Evidentials</w:t>
      </w:r>
      <w:bookmarkEnd w:id="40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pStyle w:val="exampwidetabs"/>
        <w:rPr>
          <w:rStyle w:val="htmlparacode"/>
        </w:rPr>
      </w:pPr>
      <w:r>
        <w:rPr>
          <w:rStyle w:val="htmlparacode"/>
        </w:rPr>
        <w:t>&lt;p&gt;</w:t>
      </w:r>
    </w:p>
    <w:p w:rsidR="00B72047" w:rsidRDefault="00B72047">
      <w:pPr>
        <w:pStyle w:val="examplewtabspre"/>
      </w:pPr>
      <w:r>
        <w:rPr>
          <w:rStyle w:val="htmlcodes"/>
        </w:rPr>
        <w:t>&lt;pre&gt;</w:t>
      </w:r>
      <w:r>
        <w:t>ja'o</w:t>
      </w:r>
      <w:r>
        <w:tab/>
        <w:t>[jalge]</w:t>
      </w:r>
      <w:r>
        <w:tab/>
        <w:t>I conclude</w:t>
      </w:r>
    </w:p>
    <w:p w:rsidR="00B72047" w:rsidRDefault="00B72047">
      <w:pPr>
        <w:pStyle w:val="exampwidetabs"/>
      </w:pPr>
      <w:r>
        <w:t>ca'e</w:t>
      </w:r>
      <w:r>
        <w:tab/>
      </w:r>
      <w:r>
        <w:tab/>
        <w:t>I define</w:t>
      </w:r>
    </w:p>
    <w:p w:rsidR="00B72047" w:rsidRDefault="00B72047">
      <w:pPr>
        <w:pStyle w:val="exampwidetabs"/>
      </w:pPr>
      <w:r>
        <w:t>ba'a</w:t>
      </w:r>
      <w:r>
        <w:tab/>
        <w:t>[balvi]</w:t>
      </w:r>
      <w:r>
        <w:tab/>
        <w:t>I expect</w:t>
      </w:r>
      <w:r>
        <w:tab/>
        <w:t>I experience</w:t>
      </w:r>
      <w:r>
        <w:tab/>
        <w:t>I remember</w:t>
      </w:r>
    </w:p>
    <w:p w:rsidR="00B72047" w:rsidRDefault="00B72047">
      <w:pPr>
        <w:pStyle w:val="exampwidetabs"/>
      </w:pPr>
      <w:r>
        <w:t>su'a</w:t>
      </w:r>
      <w:r>
        <w:tab/>
        <w:t>[sucta]</w:t>
      </w:r>
      <w:r>
        <w:tab/>
        <w:t>I generalize</w:t>
      </w:r>
      <w:r>
        <w:tab/>
      </w:r>
      <w:r>
        <w:tab/>
        <w:t>I particularize</w:t>
      </w:r>
    </w:p>
    <w:p w:rsidR="00B72047" w:rsidRDefault="00B72047">
      <w:pPr>
        <w:pStyle w:val="exampwidetabs"/>
      </w:pPr>
      <w:r>
        <w:t>ti'e</w:t>
      </w:r>
      <w:r>
        <w:tab/>
        <w:t>[tirna]</w:t>
      </w:r>
      <w:r>
        <w:tab/>
        <w:t>I hear (hearsay)</w:t>
      </w:r>
    </w:p>
    <w:p w:rsidR="00B72047" w:rsidRDefault="00B72047">
      <w:pPr>
        <w:pStyle w:val="exampwidetabs"/>
      </w:pPr>
      <w:r>
        <w:t>ka'u</w:t>
      </w:r>
      <w:r>
        <w:tab/>
        <w:t>[kulnu]</w:t>
      </w:r>
      <w:r>
        <w:tab/>
        <w:t>I know by cultural means</w:t>
      </w:r>
    </w:p>
    <w:p w:rsidR="00B72047" w:rsidRDefault="00B72047">
      <w:pPr>
        <w:pStyle w:val="exampwidetabs"/>
      </w:pPr>
      <w:r>
        <w:t>se'o</w:t>
      </w:r>
      <w:r>
        <w:tab/>
        <w:t>[senva]</w:t>
      </w:r>
      <w:r>
        <w:tab/>
        <w:t>I know by internal experience</w:t>
      </w:r>
    </w:p>
    <w:p w:rsidR="00B72047" w:rsidRDefault="00B72047">
      <w:pPr>
        <w:pStyle w:val="exampwidetabs"/>
      </w:pPr>
      <w:r>
        <w:t>za'a</w:t>
      </w:r>
      <w:r>
        <w:tab/>
        <w:t>[zgana]</w:t>
      </w:r>
      <w:r>
        <w:tab/>
        <w:t>I observe</w:t>
      </w:r>
    </w:p>
    <w:p w:rsidR="00B72047" w:rsidRDefault="00B72047">
      <w:pPr>
        <w:pStyle w:val="exampwidetabs"/>
      </w:pPr>
      <w:r>
        <w:t>pe'i</w:t>
      </w:r>
      <w:r>
        <w:tab/>
        <w:t>[pensi]</w:t>
      </w:r>
      <w:r>
        <w:tab/>
        <w:t>I opine</w:t>
      </w:r>
    </w:p>
    <w:p w:rsidR="00B72047" w:rsidRDefault="00B72047">
      <w:pPr>
        <w:pStyle w:val="exampwidetabs"/>
      </w:pPr>
      <w:r>
        <w:t>ru'a</w:t>
      </w:r>
      <w:r>
        <w:tab/>
        <w:t>[sruma]</w:t>
      </w:r>
      <w:r>
        <w:tab/>
        <w:t>I postulate</w:t>
      </w:r>
    </w:p>
    <w:p w:rsidR="00B72047" w:rsidRDefault="00B72047">
      <w:pPr>
        <w:pStyle w:val="exampwidetabs"/>
      </w:pPr>
      <w:r>
        <w:t>ju'a</w:t>
      </w:r>
      <w:r>
        <w:tab/>
        <w:t>[jufra]</w:t>
      </w:r>
      <w:r>
        <w:tab/>
        <w:t>I state</w:t>
      </w:r>
    </w:p>
    <w:p w:rsidR="00B72047" w:rsidRDefault="00B72047">
      <w:pPr>
        <w:pStyle w:val="normalafterexample"/>
      </w:pPr>
      <w:r>
        <w:rPr>
          <w:rStyle w:val="htmlcodes"/>
        </w:rPr>
        <w:t>&lt;/pre&gt;</w:t>
      </w:r>
      <w:r>
        <w:rPr>
          <w:rStyle w:val="indexentry"/>
        </w:rPr>
        <w:t>&lt;cx "Elgin, Suzette Haden and evidentials"&gt;</w:t>
      </w:r>
      <w:r>
        <w:rPr>
          <w:rStyle w:val="indexentry"/>
        </w:rPr>
        <w:fldChar w:fldCharType="begin"/>
      </w:r>
      <w:r>
        <w:instrText>xe "</w:instrText>
      </w:r>
      <w:r>
        <w:rPr>
          <w:rStyle w:val="xeentry"/>
        </w:rPr>
        <w:instrText>Elgin: Suzette Haden and evidentials</w:instrText>
      </w:r>
      <w:r>
        <w:instrText>"</w:instrText>
      </w:r>
      <w:r>
        <w:rPr>
          <w:rStyle w:val="indexentry"/>
        </w:rPr>
        <w:fldChar w:fldCharType="end"/>
      </w:r>
      <w:r>
        <w:rPr>
          <w:rStyle w:val="indexentry"/>
        </w:rPr>
        <w:t>&lt;cx "American Indian languages and evidentials"&gt;</w:t>
      </w:r>
      <w:r>
        <w:rPr>
          <w:rStyle w:val="indexentry"/>
        </w:rPr>
        <w:fldChar w:fldCharType="begin"/>
      </w:r>
      <w:r>
        <w:instrText>xe "</w:instrText>
      </w:r>
      <w:r>
        <w:rPr>
          <w:rStyle w:val="xeentry"/>
        </w:rPr>
        <w:instrText>American Indian languages and evidentials</w:instrText>
      </w:r>
      <w:r>
        <w:instrText>"</w:instrText>
      </w:r>
      <w:r>
        <w:rPr>
          <w:rStyle w:val="indexentry"/>
        </w:rPr>
        <w:fldChar w:fldCharType="end"/>
      </w:r>
      <w:r>
        <w:rPr>
          <w:rStyle w:val="indexentry"/>
        </w:rPr>
        <w:t>&lt;cx "Lá</w:t>
      </w:r>
      <w:r>
        <w:rPr>
          <w:rStyle w:val="htmlcodes"/>
        </w:rPr>
        <w:t>&amp;aacute;</w:t>
      </w:r>
      <w:r>
        <w:rPr>
          <w:rStyle w:val="indexentry"/>
        </w:rPr>
        <w:t>adan evidentials"&gt;&lt;cx "evidentials, definition"&gt;</w:t>
      </w:r>
      <w:r>
        <w:rPr>
          <w:rStyle w:val="indexentry"/>
        </w:rPr>
        <w:fldChar w:fldCharType="begin"/>
      </w:r>
      <w:r>
        <w:instrText>xe "</w:instrText>
      </w:r>
      <w:r>
        <w:rPr>
          <w:rStyle w:val="xeentry"/>
        </w:rPr>
        <w:instrText>evidentials: definition</w:instrText>
      </w:r>
      <w:r>
        <w:instrText>"</w:instrText>
      </w:r>
      <w:r>
        <w:rPr>
          <w:rStyle w:val="indexentry"/>
        </w:rPr>
        <w:fldChar w:fldCharType="end"/>
      </w:r>
      <w:r>
        <w:rPr>
          <w:rStyle w:val="indexentry"/>
        </w:rPr>
        <w:t>&lt;cx "evidentials, inspiration for"&gt;</w:t>
      </w:r>
      <w:r>
        <w:rPr>
          <w:rStyle w:val="indexentry"/>
        </w:rPr>
        <w:fldChar w:fldCharType="begin"/>
      </w:r>
      <w:r>
        <w:instrText>xe "</w:instrText>
      </w:r>
      <w:r>
        <w:rPr>
          <w:rStyle w:val="xeentry"/>
        </w:rPr>
        <w:instrText>evidentials: inspiration for</w:instrText>
      </w:r>
      <w:r>
        <w:instrText>"</w:instrText>
      </w:r>
      <w:r>
        <w:rPr>
          <w:rStyle w:val="indexentry"/>
        </w:rPr>
        <w:fldChar w:fldCharType="end"/>
      </w:r>
      <w:r>
        <w:t>Now we proceed from the attitudinal indicators and their rela</w:t>
      </w:r>
      <w:r>
        <w:softHyphen/>
        <w:t>tives to the</w:t>
      </w:r>
      <w:r>
        <w:rPr>
          <w:rStyle w:val="deletedparamark"/>
        </w:rPr>
        <w:t xml:space="preserve"> </w:t>
      </w:r>
      <w:r>
        <w:t>other, s</w:t>
      </w:r>
      <w:r>
        <w:t>e</w:t>
      </w:r>
      <w:r>
        <w:softHyphen/>
        <w:t>mantically unrelated, categories of indicators. The indicators</w:t>
      </w:r>
      <w:r>
        <w:rPr>
          <w:rStyle w:val="deletedparamark"/>
        </w:rPr>
        <w:t xml:space="preserve"> </w:t>
      </w:r>
      <w:r>
        <w:t>known as “evidentials” show how the speaker came to say the utterance; i.e.</w:t>
      </w:r>
      <w:r>
        <w:rPr>
          <w:rStyle w:val="deletedparamark"/>
        </w:rPr>
        <w:t xml:space="preserve"> </w:t>
      </w:r>
      <w:r>
        <w:t>the source of the information or the idea. Loj</w:t>
      </w:r>
      <w:r>
        <w:softHyphen/>
        <w:t>ban's list of evidentials was</w:t>
      </w:r>
      <w:r>
        <w:rPr>
          <w:rStyle w:val="deletedparamark"/>
        </w:rPr>
        <w:t xml:space="preserve"> </w:t>
      </w:r>
      <w:r>
        <w:t>derived from lists describing several American I</w:t>
      </w:r>
      <w:r>
        <w:t>n</w:t>
      </w:r>
      <w:r>
        <w:softHyphen/>
        <w:t>dian languages. Evidentials</w:t>
      </w:r>
      <w:r>
        <w:rPr>
          <w:rStyle w:val="deletedparamark"/>
        </w:rPr>
        <w:t xml:space="preserve"> </w:t>
      </w:r>
      <w:r>
        <w:t>are also essential to the con</w:t>
      </w:r>
      <w:r>
        <w:softHyphen/>
        <w:t>structed language Lá</w:t>
      </w:r>
      <w:r>
        <w:rPr>
          <w:rStyle w:val="htmlcodes"/>
        </w:rPr>
        <w:t>&amp;aacute;</w:t>
      </w:r>
      <w:r>
        <w:t>adan, d</w:t>
      </w:r>
      <w:r>
        <w:t>e</w:t>
      </w:r>
      <w:r>
        <w:softHyphen/>
        <w:t>signed by the</w:t>
      </w:r>
      <w:r>
        <w:rPr>
          <w:rStyle w:val="deletedparamark"/>
        </w:rPr>
        <w:t xml:space="preserve"> </w:t>
      </w:r>
      <w:r>
        <w:t>linguist and novelist Su</w:t>
      </w:r>
      <w:r>
        <w:softHyphen/>
        <w:t>zette Haden Elgin. Lá</w:t>
      </w:r>
      <w:r>
        <w:rPr>
          <w:rStyle w:val="htmlcodes"/>
        </w:rPr>
        <w:t>&amp;aacute;</w:t>
      </w:r>
      <w:r>
        <w:t>adan's set of indicators was</w:t>
      </w:r>
      <w:r>
        <w:rPr>
          <w:rStyle w:val="deletedparamark"/>
        </w:rPr>
        <w:t xml:space="preserve"> </w:t>
      </w:r>
      <w:r>
        <w:t>drawn on exten</w:t>
      </w:r>
      <w:r>
        <w:softHyphen/>
        <w:t>sively in developing the Lojban indicator system.</w:t>
      </w:r>
    </w:p>
    <w:p w:rsidR="00B72047" w:rsidRDefault="00B72047">
      <w:pPr>
        <w:rPr>
          <w:rStyle w:val="htmlparacode"/>
        </w:rPr>
      </w:pPr>
      <w:r>
        <w:rPr>
          <w:rStyle w:val="htmlparacode"/>
        </w:rPr>
        <w:t>&lt;p&gt;</w:t>
      </w:r>
    </w:p>
    <w:p w:rsidR="00B72047" w:rsidRDefault="00B72047">
      <w:pPr>
        <w:pStyle w:val="normalparagraph"/>
      </w:pPr>
      <w:r>
        <w:rPr>
          <w:rStyle w:val="indexentry"/>
        </w:rPr>
        <w:t>&lt;cx "evidentials in English"&gt;</w:t>
      </w:r>
      <w:r>
        <w:rPr>
          <w:rStyle w:val="indexentry"/>
        </w:rPr>
        <w:fldChar w:fldCharType="begin"/>
      </w:r>
      <w:r>
        <w:instrText>xe "</w:instrText>
      </w:r>
      <w:r>
        <w:rPr>
          <w:rStyle w:val="xeentry"/>
        </w:rPr>
        <w:instrText>evidentials: in English</w:instrText>
      </w:r>
      <w:r>
        <w:instrText>"</w:instrText>
      </w:r>
      <w:r>
        <w:rPr>
          <w:rStyle w:val="indexentry"/>
        </w:rPr>
        <w:fldChar w:fldCharType="end"/>
      </w:r>
      <w:r>
        <w:t>It is important to realize, however, that evidentials are not some odd system</w:t>
      </w:r>
      <w:r>
        <w:rPr>
          <w:rStyle w:val="deletedparamark"/>
        </w:rPr>
        <w:t xml:space="preserve"> </w:t>
      </w:r>
      <w:r>
        <w:t>used by some strange people who live at the other end of nowhere: although</w:t>
      </w:r>
      <w:r>
        <w:rPr>
          <w:rStyle w:val="deletedparamark"/>
        </w:rPr>
        <w:t xml:space="preserve"> </w:t>
      </w:r>
      <w:r>
        <w:t>their Eng</w:t>
      </w:r>
      <w:r>
        <w:softHyphen/>
        <w:t>lish equivalents aren't single words, English-speakers have vivid</w:t>
      </w:r>
      <w:r>
        <w:rPr>
          <w:rStyle w:val="deletedparamark"/>
        </w:rPr>
        <w:t xml:space="preserve"> </w:t>
      </w:r>
      <w:r>
        <w:t>notions of what con</w:t>
      </w:r>
      <w:r>
        <w:softHyphen/>
        <w:t>stitutes evi</w:t>
      </w:r>
      <w:r>
        <w:softHyphen/>
        <w:t>dence, and of the different kinds of evidence.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"evidentials, grammar"&gt;</w:t>
      </w:r>
      <w:r>
        <w:rPr>
          <w:rStyle w:val="indexentry"/>
        </w:rPr>
        <w:fldChar w:fldCharType="begin"/>
      </w:r>
      <w:r>
        <w:instrText>xe "</w:instrText>
      </w:r>
      <w:r>
        <w:rPr>
          <w:rStyle w:val="xeentry"/>
        </w:rPr>
        <w:instrText>evidentials: grammar</w:instrText>
      </w:r>
      <w:r>
        <w:instrText>"</w:instrText>
      </w:r>
      <w:r>
        <w:rPr>
          <w:rStyle w:val="indexentry"/>
        </w:rPr>
        <w:fldChar w:fldCharType="end"/>
      </w:r>
      <w:r>
        <w:rPr>
          <w:rStyle w:val="indexentry"/>
        </w:rPr>
        <w:t>&lt;cx "evidentials, scales"&gt;</w:t>
      </w:r>
      <w:r>
        <w:rPr>
          <w:rStyle w:val="indexentry"/>
        </w:rPr>
        <w:fldChar w:fldCharType="begin"/>
      </w:r>
      <w:r>
        <w:instrText>xe "</w:instrText>
      </w:r>
      <w:r>
        <w:rPr>
          <w:rStyle w:val="xeentry"/>
        </w:rPr>
        <w:instrText>evidentials: scales</w:instrText>
      </w:r>
      <w:r>
        <w:instrText>"</w:instrText>
      </w:r>
      <w:r>
        <w:rPr>
          <w:rStyle w:val="indexentry"/>
        </w:rPr>
        <w:fldChar w:fldCharType="end"/>
      </w:r>
      <w:r>
        <w:t>Like the attitudinal indicators, the evidentials belong to sel</w:t>
      </w:r>
      <w:r>
        <w:softHyphen/>
        <w:t>ma'o UI, and</w:t>
      </w:r>
      <w:r>
        <w:rPr>
          <w:rStyle w:val="deletedparamark"/>
        </w:rPr>
        <w:t xml:space="preserve"> </w:t>
      </w:r>
      <w:r>
        <w:t>may be treated identically for grammatical purposes. Most of them are not</w:t>
      </w:r>
      <w:r>
        <w:rPr>
          <w:rStyle w:val="deletedparamark"/>
        </w:rPr>
        <w:t xml:space="preserve"> </w:t>
      </w:r>
      <w:r>
        <w:t>usually consid</w:t>
      </w:r>
      <w:r>
        <w:softHyphen/>
        <w:t>ered scalar in nature, but a few have associated scales.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"indisputable bridi"&gt;</w:t>
      </w:r>
      <w:r>
        <w:rPr>
          <w:rStyle w:val="indexentry"/>
        </w:rPr>
        <w:fldChar w:fldCharType="begin"/>
      </w:r>
      <w:r>
        <w:instrText>xe "</w:instrText>
      </w:r>
      <w:r>
        <w:rPr>
          <w:rStyle w:val="xeentry"/>
        </w:rPr>
        <w:instrText>indisputable bridi</w:instrText>
      </w:r>
      <w:r>
        <w:instrText>"</w:instrText>
      </w:r>
      <w:r>
        <w:rPr>
          <w:rStyle w:val="indexentry"/>
        </w:rPr>
        <w:fldChar w:fldCharType="end"/>
      </w:r>
      <w:r>
        <w:rPr>
          <w:rStyle w:val="indexentry"/>
        </w:rPr>
        <w:t>&lt;cx "evidential, indisputable bridi"&gt;</w:t>
      </w:r>
      <w:r>
        <w:rPr>
          <w:rStyle w:val="indexentry"/>
        </w:rPr>
        <w:fldChar w:fldCharType="begin"/>
      </w:r>
      <w:r>
        <w:instrText>xe "</w:instrText>
      </w:r>
      <w:r>
        <w:rPr>
          <w:rStyle w:val="xeentry"/>
        </w:rPr>
        <w:instrText>evidentials: indisputable bridi</w:instrText>
      </w:r>
      <w:r>
        <w:instrText>"</w:instrText>
      </w:r>
      <w:r>
        <w:rPr>
          <w:rStyle w:val="indexentry"/>
        </w:rPr>
        <w:fldChar w:fldCharType="end"/>
      </w:r>
      <w:r>
        <w:rPr>
          <w:rStyle w:val="indexentry"/>
        </w:rPr>
        <w:t>&lt;cx "evidential, rhetorical flavor"&gt;</w:t>
      </w:r>
      <w:r>
        <w:rPr>
          <w:rStyle w:val="indexentry"/>
        </w:rPr>
        <w:fldChar w:fldCharType="begin"/>
      </w:r>
      <w:r>
        <w:instrText>xe "</w:instrText>
      </w:r>
      <w:r>
        <w:rPr>
          <w:rStyle w:val="xeentry"/>
        </w:rPr>
        <w:instrText>evidentials: rhetorical flavor</w:instrText>
      </w:r>
      <w:r>
        <w:instrText>"</w:instrText>
      </w:r>
      <w:r>
        <w:rPr>
          <w:rStyle w:val="indexentry"/>
        </w:rPr>
        <w:fldChar w:fldCharType="end"/>
      </w:r>
      <w:r>
        <w:t>A bridi with an evidential in it becomes “indisputable”, in the sense that</w:t>
      </w:r>
      <w:r>
        <w:rPr>
          <w:rStyle w:val="deletedparamark"/>
        </w:rPr>
        <w:t xml:space="preserve"> </w:t>
      </w:r>
      <w:r>
        <w:t>the speaker is saying “how it is with him or her”, which is beyond argument.</w:t>
      </w:r>
      <w:r>
        <w:rPr>
          <w:rStyle w:val="deletedparamark"/>
        </w:rPr>
        <w:t xml:space="preserve"> </w:t>
      </w:r>
      <w:r>
        <w:t>Claims about one's own mental states may be true or false, but are hardly</w:t>
      </w:r>
      <w:r>
        <w:rPr>
          <w:rStyle w:val="deletedparamark"/>
        </w:rPr>
        <w:t xml:space="preserve"> </w:t>
      </w:r>
      <w:r>
        <w:t>subject to other people's examination. If you say that you think, or</w:t>
      </w:r>
      <w:r>
        <w:rPr>
          <w:rStyle w:val="deletedparamark"/>
        </w:rPr>
        <w:t xml:space="preserve"> </w:t>
      </w:r>
      <w:r>
        <w:t>perceive, or postulate such-and-such a predi</w:t>
      </w:r>
      <w:r>
        <w:softHyphen/>
        <w:t>ca</w:t>
      </w:r>
      <w:r>
        <w:softHyphen/>
        <w:t>tion, who can contradict you?</w:t>
      </w:r>
      <w:r>
        <w:rPr>
          <w:rStyle w:val="deletedparamark"/>
        </w:rPr>
        <w:t xml:space="preserve"> </w:t>
      </w:r>
      <w:r>
        <w:t>Discourse that uses evidentials has therefore a different rhetorical flavor</w:t>
      </w:r>
      <w:r>
        <w:rPr>
          <w:rStyle w:val="deletedparamark"/>
        </w:rPr>
        <w:t xml:space="preserve"> </w:t>
      </w:r>
      <w:r>
        <w:t>than discourse that does not; arguments tend to become what can be called</w:t>
      </w:r>
      <w:r>
        <w:rPr>
          <w:rStyle w:val="deletedparamark"/>
        </w:rPr>
        <w:t xml:space="preserve"> </w:t>
      </w:r>
      <w:r>
        <w:t>dialogues or alternat</w:t>
      </w:r>
      <w:r>
        <w:softHyphen/>
        <w:t>ing monologues, depending on your prejudices.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"evidentials, placement in bridi"&gt;</w:t>
      </w:r>
      <w:r>
        <w:rPr>
          <w:rStyle w:val="indexentry"/>
        </w:rPr>
        <w:fldChar w:fldCharType="begin"/>
      </w:r>
      <w:r>
        <w:instrText>xe "</w:instrText>
      </w:r>
      <w:r>
        <w:rPr>
          <w:rStyle w:val="xeentry"/>
        </w:rPr>
        <w:instrText>evidentials: placement in bridi</w:instrText>
      </w:r>
      <w:r>
        <w:instrText>"</w:instrText>
      </w:r>
      <w:r>
        <w:rPr>
          <w:rStyle w:val="indexentry"/>
        </w:rPr>
        <w:fldChar w:fldCharType="end"/>
      </w:r>
      <w:r>
        <w:t>Evidentials are most often placed at the beginning of sen</w:t>
      </w:r>
      <w:r>
        <w:softHyphen/>
        <w:t>tences, and are</w:t>
      </w:r>
      <w:r>
        <w:rPr>
          <w:rStyle w:val="deletedparamark"/>
        </w:rPr>
        <w:t xml:space="preserve"> </w:t>
      </w:r>
      <w:r>
        <w:t>often a</w:t>
      </w:r>
      <w:r>
        <w:t>t</w:t>
      </w:r>
      <w:r>
        <w:softHyphen/>
        <w:t>tached to the “.i” that separates sentences in connected discourse.</w:t>
      </w:r>
      <w:r>
        <w:rPr>
          <w:rStyle w:val="deletedparamark"/>
        </w:rPr>
        <w:t xml:space="preserve"> </w:t>
      </w:r>
      <w:r>
        <w:t>It is in the nature of an evidential to affect the entire bridi in which</w:t>
      </w:r>
      <w:r>
        <w:rPr>
          <w:rStyle w:val="deletedparamark"/>
        </w:rPr>
        <w:t xml:space="preserve"> </w:t>
      </w:r>
      <w:r>
        <w:t>it is placed: like the propositional atti</w:t>
      </w:r>
      <w:r>
        <w:softHyphen/>
        <w:t>tude indica</w:t>
      </w:r>
      <w:r>
        <w:softHyphen/>
        <w:t>tors, they strongly</w:t>
      </w:r>
      <w:r>
        <w:rPr>
          <w:rStyle w:val="deletedparamark"/>
        </w:rPr>
        <w:t xml:space="preserve"> </w:t>
      </w:r>
      <w:r>
        <w:t>affect the claim made by the main bridi.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"ja'o"&gt;</w:t>
      </w:r>
      <w:r>
        <w:rPr>
          <w:rStyle w:val="indexentry"/>
        </w:rPr>
        <w:fldChar w:fldCharType="begin"/>
      </w:r>
      <w:r>
        <w:instrText>xe "</w:instrText>
      </w:r>
      <w:r>
        <w:rPr>
          <w:rStyle w:val="xeentry"/>
        </w:rPr>
        <w:instrText>ja'o</w:instrText>
      </w:r>
      <w:r>
        <w:instrText>"</w:instrText>
      </w:r>
      <w:r>
        <w:rPr>
          <w:rStyle w:val="indexentry"/>
        </w:rPr>
        <w:fldChar w:fldCharType="end"/>
      </w:r>
      <w:r>
        <w:rPr>
          <w:rStyle w:val="indexentry"/>
        </w:rPr>
        <w:t>&lt;ex "thus"&gt;</w:t>
      </w:r>
      <w:r>
        <w:rPr>
          <w:rStyle w:val="indexentry"/>
        </w:rPr>
        <w:fldChar w:fldCharType="begin"/>
      </w:r>
      <w:r>
        <w:instrText>xe "</w:instrText>
      </w:r>
      <w:r>
        <w:rPr>
          <w:rStyle w:val="xeentry"/>
        </w:rPr>
        <w:instrText>thus: example</w:instrText>
      </w:r>
      <w:r>
        <w:instrText>"</w:instrText>
      </w:r>
      <w:r>
        <w:rPr>
          <w:rStyle w:val="indexentry"/>
        </w:rPr>
        <w:fldChar w:fldCharType="end"/>
      </w:r>
      <w:r>
        <w:rPr>
          <w:rStyle w:val="indexentry"/>
        </w:rPr>
        <w:t>&lt;ex "deduction"&gt;</w:t>
      </w:r>
      <w:r>
        <w:rPr>
          <w:rStyle w:val="indexentry"/>
        </w:rPr>
        <w:fldChar w:fldCharType="begin"/>
      </w:r>
      <w:r>
        <w:instrText>xe "</w:instrText>
      </w:r>
      <w:r>
        <w:rPr>
          <w:rStyle w:val="xeentry"/>
        </w:rPr>
        <w:instrText>deduction: example</w:instrText>
      </w:r>
      <w:r>
        <w:instrText>"</w:instrText>
      </w:r>
      <w:r>
        <w:rPr>
          <w:rStyle w:val="indexentry"/>
        </w:rPr>
        <w:fldChar w:fldCharType="end"/>
      </w:r>
      <w:r>
        <w:t>A bridi marked by “ja'o” is a conclusion by the speaker based on other</w:t>
      </w:r>
      <w:r>
        <w:rPr>
          <w:rStyle w:val="deletedparamark"/>
        </w:rPr>
        <w:t xml:space="preserve"> </w:t>
      </w:r>
      <w:r>
        <w:t>(stated or u</w:t>
      </w:r>
      <w:r>
        <w:t>n</w:t>
      </w:r>
      <w:r>
        <w:softHyphen/>
        <w:t>stated) information or ideas. Rough English equivalents of</w:t>
      </w:r>
      <w:r>
        <w:rPr>
          <w:rStyle w:val="deletedparamark"/>
        </w:rPr>
        <w:t xml:space="preserve"> “</w:t>
      </w:r>
      <w:r>
        <w:t>ja'o” are “thus” and “therefore”.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"husband and wife"&gt;</w:t>
      </w:r>
      <w:r>
        <w:rPr>
          <w:rStyle w:val="indexentry"/>
        </w:rPr>
        <w:fldChar w:fldCharType="begin"/>
      </w:r>
      <w:r>
        <w:instrText>xe "</w:instrText>
      </w:r>
      <w:r>
        <w:rPr>
          <w:rStyle w:val="xeentry"/>
        </w:rPr>
        <w:instrText>husband and wife: example</w:instrText>
      </w:r>
      <w:r>
        <w:instrText>"</w:instrText>
      </w:r>
      <w:r>
        <w:rPr>
          <w:rStyle w:val="indexentry"/>
        </w:rPr>
        <w:fldChar w:fldCharType="end"/>
      </w:r>
      <w:r>
        <w:rPr>
          <w:rStyle w:val="indexentry"/>
        </w:rPr>
        <w:t>&lt;lx "ca'e"&gt;</w:t>
      </w:r>
      <w:r>
        <w:rPr>
          <w:rStyle w:val="indexentry"/>
        </w:rPr>
        <w:fldChar w:fldCharType="begin"/>
      </w:r>
      <w:r>
        <w:instrText>xe "</w:instrText>
      </w:r>
      <w:r>
        <w:rPr>
          <w:rStyle w:val="xeentry"/>
        </w:rPr>
        <w:instrText>ca'e</w:instrText>
      </w:r>
      <w:r>
        <w:instrText>"</w:instrText>
      </w:r>
      <w:r>
        <w:rPr>
          <w:rStyle w:val="indexentry"/>
        </w:rPr>
        <w:fldChar w:fldCharType="end"/>
      </w:r>
      <w:r>
        <w:rPr>
          <w:rStyle w:val="indexentry"/>
        </w:rPr>
        <w:t>&lt;ex "pronouncement"&gt;</w:t>
      </w:r>
      <w:r>
        <w:rPr>
          <w:rStyle w:val="indexentry"/>
        </w:rPr>
        <w:fldChar w:fldCharType="begin"/>
      </w:r>
      <w:r>
        <w:instrText>xe "</w:instrText>
      </w:r>
      <w:r>
        <w:rPr>
          <w:rStyle w:val="xeentry"/>
        </w:rPr>
        <w:instrText>pronouncement: example</w:instrText>
      </w:r>
      <w:r>
        <w:instrText>"</w:instrText>
      </w:r>
      <w:r>
        <w:rPr>
          <w:rStyle w:val="indexentry"/>
        </w:rPr>
        <w:fldChar w:fldCharType="end"/>
      </w:r>
      <w:r>
        <w:t>A bridi marked by “ca'e” is true because the speaker says so. In addition</w:t>
      </w:r>
      <w:r>
        <w:rPr>
          <w:rStyle w:val="deletedparamark"/>
        </w:rPr>
        <w:t xml:space="preserve"> </w:t>
      </w:r>
      <w:r>
        <w:t>to defin</w:t>
      </w:r>
      <w:r>
        <w:t>i</w:t>
      </w:r>
      <w:r>
        <w:softHyphen/>
        <w:t>tions of words, “ca'e” is also appropriate in what are called</w:t>
      </w:r>
      <w:r>
        <w:rPr>
          <w:rStyle w:val="deletedparamark"/>
        </w:rPr>
        <w:t xml:space="preserve"> </w:t>
      </w:r>
      <w:r>
        <w:t>performatives, where the very act of speaking the words makes them true.</w:t>
      </w:r>
      <w:r>
        <w:rPr>
          <w:rStyle w:val="deletedparamark"/>
        </w:rPr>
        <w:t xml:space="preserve"> </w:t>
      </w:r>
      <w:r>
        <w:t>An English example is “I now pro</w:t>
      </w:r>
      <w:r>
        <w:softHyphen/>
        <w:t>nounce you hus</w:t>
      </w:r>
      <w:r>
        <w:softHyphen/>
        <w:t>band and wife”, where the very</w:t>
      </w:r>
      <w:r>
        <w:rPr>
          <w:rStyle w:val="deletedparamark"/>
        </w:rPr>
        <w:t xml:space="preserve"> </w:t>
      </w:r>
      <w:r>
        <w:t>act of uttering the words makes the lis</w:t>
      </w:r>
      <w:r>
        <w:softHyphen/>
        <w:t>teners into hu</w:t>
      </w:r>
      <w:r>
        <w:t>s</w:t>
      </w:r>
      <w:r>
        <w:softHyphen/>
        <w:t>band and wife.</w:t>
      </w:r>
      <w:r>
        <w:rPr>
          <w:rStyle w:val="deletedparamark"/>
        </w:rPr>
        <w:t xml:space="preserve"> </w:t>
      </w:r>
      <w:r>
        <w:t>A Lojban translation 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ca'e le re do cu simxu speni</w:t>
      </w:r>
    </w:p>
    <w:p w:rsidR="00B72047" w:rsidRDefault="00B72047">
      <w:pPr>
        <w:pStyle w:val="examplescaled"/>
      </w:pPr>
      <w:r>
        <w:tab/>
        <w:t>[I define!] The two of-you are-mutual spouses.</w:t>
      </w:r>
    </w:p>
    <w:p w:rsidR="00B72047" w:rsidRDefault="00B72047">
      <w:pPr>
        <w:pStyle w:val="normalafterexample"/>
      </w:pPr>
      <w:r>
        <w:rPr>
          <w:rStyle w:val="htmlcodes"/>
        </w:rPr>
        <w:t>&lt;/pre&gt;</w:t>
      </w:r>
      <w:r>
        <w:rPr>
          <w:rStyle w:val="indexentry"/>
        </w:rPr>
        <w:t>&lt;lx "ba'a"&gt;</w:t>
      </w:r>
      <w:r>
        <w:rPr>
          <w:rStyle w:val="indexentry"/>
        </w:rPr>
        <w:fldChar w:fldCharType="begin"/>
      </w:r>
      <w:r>
        <w:instrText>xe "</w:instrText>
      </w:r>
      <w:r>
        <w:rPr>
          <w:rStyle w:val="xeentry"/>
        </w:rPr>
        <w:instrText>ba'a</w:instrText>
      </w:r>
      <w:r>
        <w:instrText>"</w:instrText>
      </w:r>
      <w:r>
        <w:rPr>
          <w:rStyle w:val="indexentry"/>
        </w:rPr>
        <w:fldChar w:fldCharType="end"/>
      </w:r>
      <w:r>
        <w:rPr>
          <w:rStyle w:val="indexentry"/>
        </w:rPr>
        <w:t>&lt;lx "ba'acu'i"&gt;</w:t>
      </w:r>
      <w:r>
        <w:rPr>
          <w:rStyle w:val="indexentry"/>
        </w:rPr>
        <w:fldChar w:fldCharType="begin"/>
      </w:r>
      <w:r>
        <w:instrText>xe "</w:instrText>
      </w:r>
      <w:r>
        <w:rPr>
          <w:rStyle w:val="xeentry"/>
        </w:rPr>
        <w:instrText>ba'acu'i</w:instrText>
      </w:r>
      <w:r>
        <w:instrText>"</w:instrText>
      </w:r>
      <w:r>
        <w:rPr>
          <w:rStyle w:val="indexentry"/>
        </w:rPr>
        <w:fldChar w:fldCharType="end"/>
      </w:r>
      <w:r>
        <w:rPr>
          <w:rStyle w:val="indexentry"/>
        </w:rPr>
        <w:t>&lt;lx "ba'anai"&gt;</w:t>
      </w:r>
      <w:r>
        <w:rPr>
          <w:rStyle w:val="indexentry"/>
        </w:rPr>
        <w:fldChar w:fldCharType="begin"/>
      </w:r>
      <w:r>
        <w:instrText>xe "</w:instrText>
      </w:r>
      <w:r>
        <w:rPr>
          <w:rStyle w:val="xeentry"/>
        </w:rPr>
        <w:instrText>ba'anai</w:instrText>
      </w:r>
      <w:r>
        <w:instrText>"</w:instrText>
      </w:r>
      <w:r>
        <w:rPr>
          <w:rStyle w:val="indexentry"/>
        </w:rPr>
        <w:fldChar w:fldCharType="end"/>
      </w:r>
      <w:r>
        <w:rPr>
          <w:rStyle w:val="indexentry"/>
        </w:rPr>
        <w:t>&lt;cx "evidentials, ba'a scale"&gt;</w:t>
      </w:r>
      <w:r>
        <w:rPr>
          <w:rStyle w:val="indexentry"/>
        </w:rPr>
        <w:fldChar w:fldCharType="begin"/>
      </w:r>
      <w:r>
        <w:instrText>xe "</w:instrText>
      </w:r>
      <w:r>
        <w:rPr>
          <w:rStyle w:val="xeentry"/>
        </w:rPr>
        <w:instrText>evidentials: ba'a scale</w:instrText>
      </w:r>
      <w:r>
        <w:instrText>"</w:instrText>
      </w:r>
      <w:r>
        <w:rPr>
          <w:rStyle w:val="indexentry"/>
        </w:rPr>
        <w:fldChar w:fldCharType="end"/>
      </w:r>
      <w:r>
        <w:rPr>
          <w:rStyle w:val="indexentry"/>
        </w:rPr>
        <w:t>&lt;ex "anticipated"&gt;</w:t>
      </w:r>
      <w:r>
        <w:rPr>
          <w:rStyle w:val="indexentry"/>
        </w:rPr>
        <w:fldChar w:fldCharType="begin"/>
      </w:r>
      <w:r>
        <w:instrText>xe "</w:instrText>
      </w:r>
      <w:r>
        <w:rPr>
          <w:rStyle w:val="xeentry"/>
        </w:rPr>
        <w:instrText>anticipated: example</w:instrText>
      </w:r>
      <w:r>
        <w:instrText>"</w:instrText>
      </w:r>
      <w:r>
        <w:rPr>
          <w:rStyle w:val="indexentry"/>
        </w:rPr>
        <w:fldChar w:fldCharType="end"/>
      </w:r>
      <w:r>
        <w:rPr>
          <w:rStyle w:val="indexentry"/>
        </w:rPr>
        <w:t>&lt;ex "remembered"&gt;</w:t>
      </w:r>
      <w:r>
        <w:rPr>
          <w:rStyle w:val="indexentry"/>
        </w:rPr>
        <w:fldChar w:fldCharType="begin"/>
      </w:r>
      <w:r>
        <w:instrText>xe "</w:instrText>
      </w:r>
      <w:r>
        <w:rPr>
          <w:rStyle w:val="xeentry"/>
        </w:rPr>
        <w:instrText>remembered: example</w:instrText>
      </w:r>
      <w:r>
        <w:instrText>"</w:instrText>
      </w:r>
      <w:r>
        <w:rPr>
          <w:rStyle w:val="indexentry"/>
        </w:rPr>
        <w:fldChar w:fldCharType="end"/>
      </w:r>
      <w:r>
        <w:rPr>
          <w:rStyle w:val="indexentry"/>
        </w:rPr>
        <w:t>&lt;ex "experienced"&gt;</w:t>
      </w:r>
      <w:r>
        <w:rPr>
          <w:rStyle w:val="indexentry"/>
        </w:rPr>
        <w:fldChar w:fldCharType="begin"/>
      </w:r>
      <w:r>
        <w:instrText>xe "</w:instrText>
      </w:r>
      <w:r>
        <w:rPr>
          <w:rStyle w:val="xeentry"/>
        </w:rPr>
        <w:instrText>experienced: example</w:instrText>
      </w:r>
      <w:r>
        <w:instrText>"</w:instrText>
      </w:r>
      <w:r>
        <w:rPr>
          <w:rStyle w:val="indexentry"/>
        </w:rPr>
        <w:fldChar w:fldCharType="end"/>
      </w:r>
      <w:r>
        <w:t>The three scale positions of “ba'a”, when attached to a bridi, indicate</w:t>
      </w:r>
      <w:r>
        <w:rPr>
          <w:rStyle w:val="deletedparamark"/>
        </w:rPr>
        <w:t xml:space="preserve"> </w:t>
      </w:r>
      <w:r>
        <w:t>that it is based on the speaker's view of the real world. Thus “ba'a”</w:t>
      </w:r>
      <w:r>
        <w:rPr>
          <w:rStyle w:val="deletedparamark"/>
        </w:rPr>
        <w:t xml:space="preserve"> </w:t>
      </w:r>
      <w:r>
        <w:t>means that the statement rep</w:t>
      </w:r>
      <w:r>
        <w:softHyphen/>
        <w:t>resents a future event as antici</w:t>
      </w:r>
      <w:r>
        <w:softHyphen/>
        <w:t>pated</w:t>
      </w:r>
      <w:r>
        <w:rPr>
          <w:rStyle w:val="deletedparamark"/>
        </w:rPr>
        <w:t xml:space="preserve"> </w:t>
      </w:r>
      <w:r>
        <w:t>by the speaker; “ba'acu'i”, a present event as expe</w:t>
      </w:r>
      <w:r>
        <w:softHyphen/>
        <w:t>rienced by the speaker;</w:t>
      </w:r>
      <w:r>
        <w:rPr>
          <w:rStyle w:val="deletedparamark"/>
        </w:rPr>
        <w:t xml:space="preserve"> “</w:t>
      </w:r>
      <w:r>
        <w:t>ba'anai”, a past event as remembered by the speaker. It is acci</w:t>
      </w:r>
      <w:r>
        <w:softHyphen/>
        <w:t>dental</w:t>
      </w:r>
      <w:r>
        <w:rPr>
          <w:rStyle w:val="deletedparamark"/>
        </w:rPr>
        <w:t xml:space="preserve"> </w:t>
      </w:r>
      <w:r>
        <w:t>that this scale runs from future to past instead of past to future.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ba'acu'i le tuple be mi cu se cortu</w:t>
      </w:r>
    </w:p>
    <w:p w:rsidR="00B72047" w:rsidRDefault="00B72047">
      <w:pPr>
        <w:pStyle w:val="examplescaled"/>
      </w:pPr>
      <w:r>
        <w:tab/>
        <w:t>[I experience!] The leg of me is-the-locus-of-pain.</w:t>
      </w:r>
    </w:p>
    <w:p w:rsidR="00B72047" w:rsidRDefault="00B72047">
      <w:pPr>
        <w:pStyle w:val="examplescaled"/>
      </w:pPr>
      <w:r>
        <w:tab/>
        <w:t>My leg hurts.</w:t>
      </w:r>
    </w:p>
    <w:p w:rsidR="00B72047" w:rsidRDefault="00B72047">
      <w:pPr>
        <w:pStyle w:val="normalafterexample"/>
      </w:pPr>
      <w:r>
        <w:rPr>
          <w:rStyle w:val="htmlcodes"/>
        </w:rPr>
        <w:t>&lt;/pre&gt;</w:t>
      </w:r>
      <w:r>
        <w:rPr>
          <w:rStyle w:val="indexentry"/>
        </w:rPr>
        <w:t>&lt;ex "induction"&gt;</w:t>
      </w:r>
      <w:r>
        <w:rPr>
          <w:rStyle w:val="indexentry"/>
        </w:rPr>
        <w:fldChar w:fldCharType="begin"/>
      </w:r>
      <w:r>
        <w:instrText>xe "</w:instrText>
      </w:r>
      <w:r>
        <w:rPr>
          <w:rStyle w:val="xeentry"/>
        </w:rPr>
        <w:instrText>induction: example</w:instrText>
      </w:r>
      <w:r>
        <w:instrText>"</w:instrText>
      </w:r>
      <w:r>
        <w:rPr>
          <w:rStyle w:val="indexentry"/>
        </w:rPr>
        <w:fldChar w:fldCharType="end"/>
      </w:r>
      <w:r>
        <w:rPr>
          <w:rStyle w:val="indexentry"/>
        </w:rPr>
        <w:t>&lt;lx "su'a"&gt;</w:t>
      </w:r>
      <w:r>
        <w:rPr>
          <w:rStyle w:val="indexentry"/>
        </w:rPr>
        <w:fldChar w:fldCharType="begin"/>
      </w:r>
      <w:r>
        <w:instrText>xe "</w:instrText>
      </w:r>
      <w:r>
        <w:rPr>
          <w:rStyle w:val="xeentry"/>
        </w:rPr>
        <w:instrText>su'a</w:instrText>
      </w:r>
      <w:r>
        <w:instrText>"</w:instrText>
      </w:r>
      <w:r>
        <w:rPr>
          <w:rStyle w:val="indexentry"/>
        </w:rPr>
        <w:fldChar w:fldCharType="end"/>
      </w:r>
      <w:r>
        <w:rPr>
          <w:rStyle w:val="indexentry"/>
        </w:rPr>
        <w:t>&lt;cx "evidentials, su'a contrasted with ja'o"&gt;</w:t>
      </w:r>
      <w:r>
        <w:rPr>
          <w:rStyle w:val="indexentry"/>
        </w:rPr>
        <w:fldChar w:fldCharType="begin"/>
      </w:r>
      <w:r>
        <w:instrText>xe "</w:instrText>
      </w:r>
      <w:r>
        <w:rPr>
          <w:rStyle w:val="xeentry"/>
        </w:rPr>
        <w:instrText>evidentials: su'a contrasted with ja'o</w:instrText>
      </w:r>
      <w:r>
        <w:instrText>"</w:instrText>
      </w:r>
      <w:r>
        <w:rPr>
          <w:rStyle w:val="indexentry"/>
        </w:rPr>
        <w:fldChar w:fldCharType="end"/>
      </w:r>
      <w:r>
        <w:rPr>
          <w:rStyle w:val="indexentry"/>
        </w:rPr>
        <w:t>&lt;cx "evidentials, ja'o contrasted with su'a"&gt;</w:t>
      </w:r>
      <w:r>
        <w:rPr>
          <w:rStyle w:val="indexentry"/>
        </w:rPr>
        <w:fldChar w:fldCharType="begin"/>
      </w:r>
      <w:r>
        <w:instrText>xe "</w:instrText>
      </w:r>
      <w:r>
        <w:rPr>
          <w:rStyle w:val="xeentry"/>
        </w:rPr>
        <w:instrText>evidentials: ja'o contrasted with su'a</w:instrText>
      </w:r>
      <w:r>
        <w:instrText>"</w:instrText>
      </w:r>
      <w:r>
        <w:rPr>
          <w:rStyle w:val="indexentry"/>
        </w:rPr>
        <w:fldChar w:fldCharType="end"/>
      </w:r>
      <w:r>
        <w:t>A bridi marked by “su'a” is a generalization by the speaker based on other</w:t>
      </w:r>
      <w:r>
        <w:rPr>
          <w:rStyle w:val="deletedparamark"/>
        </w:rPr>
        <w:t xml:space="preserve"> </w:t>
      </w:r>
      <w:r>
        <w:t>(stated or unstated) information or ideas. The differ</w:t>
      </w:r>
      <w:r>
        <w:softHyphen/>
        <w:t>ence between “su'a”</w:t>
      </w:r>
      <w:r>
        <w:rPr>
          <w:rStyle w:val="deletedparamark"/>
        </w:rPr>
        <w:t xml:space="preserve"> </w:t>
      </w:r>
      <w:r>
        <w:t>and “ja'o” is that “ja'o” suggests some sort of reasoning or deduction</w:t>
      </w:r>
      <w:r>
        <w:rPr>
          <w:rStyle w:val="deletedparamark"/>
        </w:rPr>
        <w:t xml:space="preserve"> </w:t>
      </w:r>
      <w:r>
        <w:t>(not necessarily rigorous), whereas “su'a” suggests some sort of induction</w:t>
      </w:r>
      <w:r>
        <w:rPr>
          <w:rStyle w:val="deletedparamark"/>
        </w:rPr>
        <w:t xml:space="preserve"> </w:t>
      </w:r>
      <w:r>
        <w:t>or pattern recognition from existing ex</w:t>
      </w:r>
      <w:r>
        <w:softHyphen/>
        <w:t>amples (not nece</w:t>
      </w:r>
      <w:r>
        <w:t>s</w:t>
      </w:r>
      <w:r>
        <w:softHyphen/>
        <w:t>sarily rigorous).</w:t>
      </w:r>
    </w:p>
    <w:p w:rsidR="00B72047" w:rsidRDefault="00B72047">
      <w:pPr>
        <w:rPr>
          <w:rStyle w:val="htmlparacode"/>
        </w:rPr>
      </w:pPr>
      <w:r>
        <w:rPr>
          <w:rStyle w:val="htmlparacode"/>
        </w:rPr>
        <w:t>&lt;p&gt;</w:t>
      </w:r>
    </w:p>
    <w:p w:rsidR="00B72047" w:rsidRDefault="00B72047">
      <w:pPr>
        <w:pStyle w:val="normalparagraph"/>
      </w:pPr>
      <w:r>
        <w:rPr>
          <w:rStyle w:val="indexentry"/>
        </w:rPr>
        <w:t>&lt;ex "abduction"&gt;</w:t>
      </w:r>
      <w:r>
        <w:rPr>
          <w:rStyle w:val="indexentry"/>
        </w:rPr>
        <w:fldChar w:fldCharType="begin"/>
      </w:r>
      <w:r>
        <w:instrText>xe "</w:instrText>
      </w:r>
      <w:r>
        <w:rPr>
          <w:rStyle w:val="xeentry"/>
        </w:rPr>
        <w:instrText>abduction: example</w:instrText>
      </w:r>
      <w:r>
        <w:instrText>"</w:instrText>
      </w:r>
      <w:r>
        <w:rPr>
          <w:rStyle w:val="indexentry"/>
        </w:rPr>
        <w:fldChar w:fldCharType="end"/>
      </w:r>
      <w:r>
        <w:rPr>
          <w:rStyle w:val="indexentry"/>
        </w:rPr>
        <w:t>&lt;lx "su'anai"&gt;</w:t>
      </w:r>
      <w:r>
        <w:rPr>
          <w:rStyle w:val="indexentry"/>
        </w:rPr>
        <w:fldChar w:fldCharType="begin"/>
      </w:r>
      <w:r>
        <w:instrText>xe "</w:instrText>
      </w:r>
      <w:r>
        <w:rPr>
          <w:rStyle w:val="xeentry"/>
        </w:rPr>
        <w:instrText>su'anai</w:instrText>
      </w:r>
      <w:r>
        <w:instrText>"</w:instrText>
      </w:r>
      <w:r>
        <w:rPr>
          <w:rStyle w:val="indexentry"/>
        </w:rPr>
        <w:fldChar w:fldCharType="end"/>
      </w:r>
      <w:r>
        <w:t>The opposite point of the scale, “su'anai”, indicates abduc</w:t>
      </w:r>
      <w:r>
        <w:softHyphen/>
        <w:t>tion, or drawing</w:t>
      </w:r>
      <w:r>
        <w:rPr>
          <w:rStyle w:val="deletedparamark"/>
        </w:rPr>
        <w:t xml:space="preserve"> </w:t>
      </w:r>
      <w:r>
        <w:t>spe</w:t>
      </w:r>
      <w:r>
        <w:softHyphen/>
        <w:t>cific conclusions from general premises or pat</w:t>
      </w:r>
      <w:r>
        <w:softHyphen/>
        <w:t>terns.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"discursive, su'a as"&gt;</w:t>
      </w:r>
      <w:r>
        <w:rPr>
          <w:rStyle w:val="indexentry"/>
        </w:rPr>
        <w:fldChar w:fldCharType="begin"/>
      </w:r>
      <w:r>
        <w:instrText>xe "</w:instrText>
      </w:r>
      <w:r>
        <w:rPr>
          <w:rStyle w:val="xeentry"/>
        </w:rPr>
        <w:instrText>discursives: su'a</w:instrText>
      </w:r>
      <w:r>
        <w:instrText>"</w:instrText>
      </w:r>
      <w:r>
        <w:rPr>
          <w:rStyle w:val="indexentry"/>
        </w:rPr>
        <w:fldChar w:fldCharType="end"/>
      </w:r>
      <w:r>
        <w:t xml:space="preserve">This cmavo can also function as a discursive (see </w:t>
      </w:r>
      <w:r>
        <w:rPr>
          <w:rStyle w:val="htmlcodes"/>
        </w:rPr>
        <w:t>&lt;a href=#s12&gt;</w:t>
      </w:r>
      <w:r>
        <w:t>Section 12</w:t>
      </w:r>
      <w:r>
        <w:rPr>
          <w:rStyle w:val="htmlcodes"/>
        </w:rPr>
        <w:t>&lt;/a&gt;</w:t>
      </w:r>
      <w:r>
        <w:t>), in which</w:t>
      </w:r>
      <w:r>
        <w:rPr>
          <w:rStyle w:val="deletedparamark"/>
        </w:rPr>
        <w:t xml:space="preserve"> </w:t>
      </w:r>
      <w:r>
        <w:t>case “su'a” means “abstractly” or “in general”, and “su'anai” means</w:t>
      </w:r>
      <w:r>
        <w:rPr>
          <w:rStyle w:val="deletedparamark"/>
        </w:rPr>
        <w:t xml:space="preserve"> “</w:t>
      </w:r>
      <w:r>
        <w:t>concretely” or “in par</w:t>
      </w:r>
      <w:r>
        <w:softHyphen/>
        <w:t>ticular”.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"ti'e"&gt;</w:t>
      </w:r>
      <w:r>
        <w:rPr>
          <w:rStyle w:val="indexentry"/>
        </w:rPr>
        <w:fldChar w:fldCharType="begin"/>
      </w:r>
      <w:r>
        <w:instrText>xe "</w:instrText>
      </w:r>
      <w:r>
        <w:rPr>
          <w:rStyle w:val="xeentry"/>
        </w:rPr>
        <w:instrText>ti'e</w:instrText>
      </w:r>
      <w:r>
        <w:instrText>"</w:instrText>
      </w:r>
      <w:r>
        <w:rPr>
          <w:rStyle w:val="indexentry"/>
        </w:rPr>
        <w:fldChar w:fldCharType="end"/>
      </w:r>
      <w:r>
        <w:rPr>
          <w:rStyle w:val="indexentry"/>
        </w:rPr>
        <w:t>&lt;ex "hearsay"&gt;</w:t>
      </w:r>
      <w:r>
        <w:rPr>
          <w:rStyle w:val="indexentry"/>
        </w:rPr>
        <w:fldChar w:fldCharType="begin"/>
      </w:r>
      <w:r>
        <w:instrText>xe "</w:instrText>
      </w:r>
      <w:r>
        <w:rPr>
          <w:rStyle w:val="xeentry"/>
        </w:rPr>
        <w:instrText>hearsay: example</w:instrText>
      </w:r>
      <w:r>
        <w:instrText>"</w:instrText>
      </w:r>
      <w:r>
        <w:rPr>
          <w:rStyle w:val="indexentry"/>
        </w:rPr>
        <w:fldChar w:fldCharType="end"/>
      </w:r>
      <w:r>
        <w:t>A bridi marked by “ti'e” is relayed information from some source other than</w:t>
      </w:r>
      <w:r>
        <w:rPr>
          <w:rStyle w:val="deletedparamark"/>
        </w:rPr>
        <w:t xml:space="preserve"> </w:t>
      </w:r>
      <w:r>
        <w:t>the speaker. There is no necessary implication that the information was</w:t>
      </w:r>
      <w:r>
        <w:rPr>
          <w:rStyle w:val="deletedparamark"/>
        </w:rPr>
        <w:t xml:space="preserve"> </w:t>
      </w:r>
      <w:r>
        <w:t>relayed via the speaker's ears; what we read in a newspaper is an equally</w:t>
      </w:r>
      <w:r>
        <w:rPr>
          <w:rStyle w:val="deletedparamark"/>
        </w:rPr>
        <w:t xml:space="preserve"> </w:t>
      </w:r>
      <w:r>
        <w:t>good example of “ti'e”, unless we have per</w:t>
      </w:r>
      <w:r>
        <w:softHyphen/>
        <w:t>sonal knowledge of the content.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ti'e la .uengas cu zergau</w:t>
      </w:r>
    </w:p>
    <w:p w:rsidR="00B72047" w:rsidRDefault="00B72047">
      <w:pPr>
        <w:pStyle w:val="examplescaled"/>
      </w:pPr>
      <w:r>
        <w:tab/>
        <w:t>[I hear!] Wenga is-a-criminal-doer.</w:t>
      </w:r>
    </w:p>
    <w:p w:rsidR="00B72047" w:rsidRDefault="00B72047">
      <w:pPr>
        <w:pStyle w:val="examplescaled"/>
      </w:pPr>
      <w:r>
        <w:tab/>
        <w:t>I hear that Wenga is a crook.</w:t>
      </w:r>
    </w:p>
    <w:p w:rsidR="00B72047" w:rsidRDefault="00B72047">
      <w:pPr>
        <w:pStyle w:val="normalafterexample"/>
      </w:pPr>
      <w:r>
        <w:rPr>
          <w:rStyle w:val="htmlcodes"/>
        </w:rPr>
        <w:t>&lt;/pre&gt;</w:t>
      </w:r>
      <w:r>
        <w:rPr>
          <w:rStyle w:val="indexentry"/>
        </w:rPr>
        <w:t>&lt;ex "myth"&gt;</w:t>
      </w:r>
      <w:r>
        <w:rPr>
          <w:rStyle w:val="indexentry"/>
        </w:rPr>
        <w:fldChar w:fldCharType="begin"/>
      </w:r>
      <w:r>
        <w:instrText>xe "</w:instrText>
      </w:r>
      <w:r>
        <w:rPr>
          <w:rStyle w:val="xeentry"/>
        </w:rPr>
        <w:instrText>myth: example</w:instrText>
      </w:r>
      <w:r>
        <w:instrText>"</w:instrText>
      </w:r>
      <w:r>
        <w:rPr>
          <w:rStyle w:val="indexentry"/>
        </w:rPr>
        <w:fldChar w:fldCharType="end"/>
      </w:r>
      <w:r>
        <w:rPr>
          <w:rStyle w:val="indexentry"/>
        </w:rPr>
        <w:t>&lt;lx "ka'u"&gt;</w:t>
      </w:r>
      <w:r>
        <w:rPr>
          <w:rStyle w:val="indexentry"/>
        </w:rPr>
        <w:fldChar w:fldCharType="begin"/>
      </w:r>
      <w:r>
        <w:instrText>xe "</w:instrText>
      </w:r>
      <w:r>
        <w:rPr>
          <w:rStyle w:val="xeentry"/>
        </w:rPr>
        <w:instrText>ka'u</w:instrText>
      </w:r>
      <w:r>
        <w:instrText>"</w:instrText>
      </w:r>
      <w:r>
        <w:rPr>
          <w:rStyle w:val="indexentry"/>
        </w:rPr>
        <w:fldChar w:fldCharType="end"/>
      </w:r>
      <w:r>
        <w:rPr>
          <w:rStyle w:val="indexentry"/>
        </w:rPr>
        <w:t>&lt;ex "cultural knowledge"&gt;</w:t>
      </w:r>
      <w:r>
        <w:rPr>
          <w:rStyle w:val="indexentry"/>
        </w:rPr>
        <w:fldChar w:fldCharType="begin"/>
      </w:r>
      <w:r>
        <w:instrText>xe "</w:instrText>
      </w:r>
      <w:r>
        <w:rPr>
          <w:rStyle w:val="xeentry"/>
        </w:rPr>
        <w:instrText>cultural knowledge: example</w:instrText>
      </w:r>
      <w:r>
        <w:instrText>"</w:instrText>
      </w:r>
      <w:r>
        <w:rPr>
          <w:rStyle w:val="indexentry"/>
        </w:rPr>
        <w:fldChar w:fldCharType="end"/>
      </w:r>
      <w:r>
        <w:t>A bridi marked by “ka'u” is one held to be true in the speaker's cultural</w:t>
      </w:r>
      <w:r>
        <w:rPr>
          <w:rStyle w:val="deletedparamark"/>
        </w:rPr>
        <w:t xml:space="preserve"> </w:t>
      </w:r>
      <w:r>
        <w:t>con</w:t>
      </w:r>
      <w:r>
        <w:softHyphen/>
        <w:t>text, as a matter of myth or custom, for exam</w:t>
      </w:r>
      <w:r>
        <w:softHyphen/>
        <w:t>ple. Such statements should</w:t>
      </w:r>
      <w:r>
        <w:rPr>
          <w:rStyle w:val="deletedparamark"/>
        </w:rPr>
        <w:t xml:space="preserve"> </w:t>
      </w:r>
      <w:r>
        <w:t>be agreed on by a co</w:t>
      </w:r>
      <w:r>
        <w:t>m</w:t>
      </w:r>
      <w:r>
        <w:softHyphen/>
        <w:t>munity of people — you cannot just make up your own</w:t>
      </w:r>
      <w:r>
        <w:rPr>
          <w:rStyle w:val="deletedparamark"/>
        </w:rPr>
        <w:t xml:space="preserve"> </w:t>
      </w:r>
      <w:r>
        <w:t>cultural context — although “objectivity” in the sense of actual</w:t>
      </w:r>
      <w:r>
        <w:rPr>
          <w:rStyle w:val="deletedparamark"/>
        </w:rPr>
        <w:t xml:space="preserve"> </w:t>
      </w:r>
      <w:r>
        <w:t>correspondence with the facts is certainly not required.</w:t>
      </w:r>
    </w:p>
    <w:p w:rsidR="00B72047" w:rsidRDefault="00B72047">
      <w:pPr>
        <w:rPr>
          <w:rStyle w:val="htmlparacode"/>
        </w:rPr>
      </w:pPr>
      <w:r>
        <w:rPr>
          <w:rStyle w:val="htmlparacode"/>
        </w:rPr>
        <w:t>&lt;p&gt;</w:t>
      </w:r>
    </w:p>
    <w:p w:rsidR="00B72047" w:rsidRDefault="00B72047">
      <w:pPr>
        <w:pStyle w:val="normalparagraph"/>
      </w:pPr>
      <w:r>
        <w:rPr>
          <w:rStyle w:val="indexentry"/>
        </w:rPr>
        <w:t>&lt;ex "revelation"&gt;</w:t>
      </w:r>
      <w:r>
        <w:rPr>
          <w:rStyle w:val="indexentry"/>
        </w:rPr>
        <w:fldChar w:fldCharType="begin"/>
      </w:r>
      <w:r>
        <w:instrText>xe "</w:instrText>
      </w:r>
      <w:r>
        <w:rPr>
          <w:rStyle w:val="xeentry"/>
        </w:rPr>
        <w:instrText>revelation: example</w:instrText>
      </w:r>
      <w:r>
        <w:instrText>"</w:instrText>
      </w:r>
      <w:r>
        <w:rPr>
          <w:rStyle w:val="indexentry"/>
        </w:rPr>
        <w:fldChar w:fldCharType="end"/>
      </w:r>
      <w:r>
        <w:rPr>
          <w:rStyle w:val="indexentry"/>
        </w:rPr>
        <w:t>&lt;ex "dream"&gt;</w:t>
      </w:r>
      <w:r>
        <w:rPr>
          <w:rStyle w:val="indexentry"/>
        </w:rPr>
        <w:fldChar w:fldCharType="begin"/>
      </w:r>
      <w:r>
        <w:instrText>xe "</w:instrText>
      </w:r>
      <w:r>
        <w:rPr>
          <w:rStyle w:val="xeentry"/>
        </w:rPr>
        <w:instrText>dream: example</w:instrText>
      </w:r>
      <w:r>
        <w:instrText>"</w:instrText>
      </w:r>
      <w:r>
        <w:rPr>
          <w:rStyle w:val="indexentry"/>
        </w:rPr>
        <w:fldChar w:fldCharType="end"/>
      </w:r>
      <w:r>
        <w:rPr>
          <w:rStyle w:val="indexentry"/>
        </w:rPr>
        <w:t>&lt;lx "se'o"&gt;</w:t>
      </w:r>
      <w:r>
        <w:rPr>
          <w:rStyle w:val="indexentry"/>
        </w:rPr>
        <w:fldChar w:fldCharType="begin"/>
      </w:r>
      <w:r>
        <w:instrText>xe "</w:instrText>
      </w:r>
      <w:r>
        <w:rPr>
          <w:rStyle w:val="xeentry"/>
        </w:rPr>
        <w:instrText>se'o</w:instrText>
      </w:r>
      <w:r>
        <w:instrText>"</w:instrText>
      </w:r>
      <w:r>
        <w:rPr>
          <w:rStyle w:val="indexentry"/>
        </w:rPr>
        <w:fldChar w:fldCharType="end"/>
      </w:r>
      <w:r>
        <w:rPr>
          <w:rStyle w:val="indexentry"/>
        </w:rPr>
        <w:t>&lt;lx "ka'u"&gt;</w:t>
      </w:r>
      <w:r>
        <w:rPr>
          <w:rStyle w:val="indexentry"/>
        </w:rPr>
        <w:fldChar w:fldCharType="begin"/>
      </w:r>
      <w:r>
        <w:instrText>xe "</w:instrText>
      </w:r>
      <w:r>
        <w:rPr>
          <w:rStyle w:val="xeentry"/>
        </w:rPr>
        <w:instrText>ka'u</w:instrText>
      </w:r>
      <w:r>
        <w:instrText>"</w:instrText>
      </w:r>
      <w:r>
        <w:rPr>
          <w:rStyle w:val="indexentry"/>
        </w:rPr>
        <w:fldChar w:fldCharType="end"/>
      </w:r>
      <w:r>
        <w:rPr>
          <w:rStyle w:val="indexentry"/>
        </w:rPr>
        <w:t>&lt;cx "evidentials, se'o contrasted with ka'u"&gt;</w:t>
      </w:r>
      <w:r>
        <w:rPr>
          <w:rStyle w:val="indexentry"/>
        </w:rPr>
        <w:fldChar w:fldCharType="begin"/>
      </w:r>
      <w:r>
        <w:instrText>xe "</w:instrText>
      </w:r>
      <w:r>
        <w:rPr>
          <w:rStyle w:val="xeentry"/>
        </w:rPr>
        <w:instrText>evidentials: se'o contrasted with ka'u</w:instrText>
      </w:r>
      <w:r>
        <w:instrText>"</w:instrText>
      </w:r>
      <w:r>
        <w:rPr>
          <w:rStyle w:val="indexentry"/>
        </w:rPr>
        <w:fldChar w:fldCharType="end"/>
      </w:r>
      <w:r>
        <w:rPr>
          <w:rStyle w:val="indexentry"/>
        </w:rPr>
        <w:t>&lt;cx "evidentials, ka'u contrasted with se'o"&gt;</w:t>
      </w:r>
      <w:r>
        <w:rPr>
          <w:rStyle w:val="indexentry"/>
        </w:rPr>
        <w:fldChar w:fldCharType="begin"/>
      </w:r>
      <w:r>
        <w:instrText>xe "</w:instrText>
      </w:r>
      <w:r>
        <w:rPr>
          <w:rStyle w:val="xeentry"/>
        </w:rPr>
        <w:instrText>evidentials: ka'u contrasted with se'o</w:instrText>
      </w:r>
      <w:r>
        <w:instrText>"</w:instrText>
      </w:r>
      <w:r>
        <w:rPr>
          <w:rStyle w:val="indexentry"/>
        </w:rPr>
        <w:fldChar w:fldCharType="end"/>
      </w:r>
      <w:r>
        <w:t>On the other hand, “se'o” marks a bridi whose truth is as</w:t>
      </w:r>
      <w:r>
        <w:softHyphen/>
        <w:t>serted by the</w:t>
      </w:r>
      <w:r>
        <w:rPr>
          <w:rStyle w:val="deletedparamark"/>
        </w:rPr>
        <w:t xml:space="preserve"> </w:t>
      </w:r>
      <w:r>
        <w:t>speaker as a r</w:t>
      </w:r>
      <w:r>
        <w:t>e</w:t>
      </w:r>
      <w:r>
        <w:softHyphen/>
        <w:t>sult of an internal experience not directly available</w:t>
      </w:r>
      <w:r>
        <w:rPr>
          <w:rStyle w:val="deletedparamark"/>
        </w:rPr>
        <w:t xml:space="preserve"> </w:t>
      </w:r>
      <w:r>
        <w:t>to others, such as a dream, vision, or personal revelation. In some</w:t>
      </w:r>
      <w:r>
        <w:rPr>
          <w:rStyle w:val="deletedparamark"/>
        </w:rPr>
        <w:t xml:space="preserve"> </w:t>
      </w:r>
      <w:r>
        <w:t>cultures, the line between “ka'u” and “se'o” is fuzzy or even nonexistent.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"za'a"&gt;</w:t>
      </w:r>
      <w:r>
        <w:rPr>
          <w:rStyle w:val="indexentry"/>
        </w:rPr>
        <w:fldChar w:fldCharType="begin"/>
      </w:r>
      <w:r>
        <w:instrText>xe "</w:instrText>
      </w:r>
      <w:r>
        <w:rPr>
          <w:rStyle w:val="xeentry"/>
        </w:rPr>
        <w:instrText>za'a</w:instrText>
      </w:r>
      <w:r>
        <w:instrText>"</w:instrText>
      </w:r>
      <w:r>
        <w:rPr>
          <w:rStyle w:val="indexentry"/>
        </w:rPr>
        <w:fldChar w:fldCharType="end"/>
      </w:r>
      <w:r>
        <w:rPr>
          <w:rStyle w:val="indexentry"/>
        </w:rPr>
        <w:t>&lt;ex "observation"&gt;</w:t>
      </w:r>
      <w:r>
        <w:rPr>
          <w:rStyle w:val="indexentry"/>
        </w:rPr>
        <w:fldChar w:fldCharType="begin"/>
      </w:r>
      <w:r>
        <w:instrText>xe "</w:instrText>
      </w:r>
      <w:r>
        <w:rPr>
          <w:rStyle w:val="xeentry"/>
        </w:rPr>
        <w:instrText>observation: example</w:instrText>
      </w:r>
      <w:r>
        <w:instrText>"</w:instrText>
      </w:r>
      <w:r>
        <w:rPr>
          <w:rStyle w:val="indexentry"/>
        </w:rPr>
        <w:fldChar w:fldCharType="end"/>
      </w:r>
      <w:r>
        <w:rPr>
          <w:rStyle w:val="indexentry"/>
        </w:rPr>
        <w:t>&lt;cx "observative, contrasted with observation evidential"&gt;</w:t>
      </w:r>
      <w:r>
        <w:rPr>
          <w:rStyle w:val="indexentry"/>
        </w:rPr>
        <w:fldChar w:fldCharType="begin"/>
      </w:r>
      <w:r>
        <w:instrText>xe "</w:instrText>
      </w:r>
      <w:r>
        <w:rPr>
          <w:rStyle w:val="xeentry"/>
        </w:rPr>
        <w:instrText>observative: contrasted with observation evidential</w:instrText>
      </w:r>
      <w:r>
        <w:instrText>"</w:instrText>
      </w:r>
      <w:r>
        <w:rPr>
          <w:rStyle w:val="indexentry"/>
        </w:rPr>
        <w:fldChar w:fldCharType="end"/>
      </w:r>
      <w:r>
        <w:rPr>
          <w:rStyle w:val="indexentry"/>
        </w:rPr>
        <w:t>&lt;cx "observation evidential, contrasted with observative "&gt;</w:t>
      </w:r>
      <w:r>
        <w:rPr>
          <w:rStyle w:val="indexentry"/>
        </w:rPr>
        <w:fldChar w:fldCharType="begin"/>
      </w:r>
      <w:r>
        <w:instrText>xe "</w:instrText>
      </w:r>
      <w:r>
        <w:rPr>
          <w:rStyle w:val="xeentry"/>
        </w:rPr>
        <w:instrText xml:space="preserve">observation evidential: contrasted with observative </w:instrText>
      </w:r>
      <w:r>
        <w:instrText>"</w:instrText>
      </w:r>
      <w:r>
        <w:rPr>
          <w:rStyle w:val="indexentry"/>
        </w:rPr>
        <w:fldChar w:fldCharType="end"/>
      </w:r>
      <w:r>
        <w:t>A bridi marked by “za'a” is based on perception or direct ob</w:t>
      </w:r>
      <w:r>
        <w:softHyphen/>
        <w:t>servation by</w:t>
      </w:r>
      <w:r>
        <w:rPr>
          <w:rStyle w:val="deletedparamark"/>
        </w:rPr>
        <w:t xml:space="preserve"> </w:t>
      </w:r>
      <w:r>
        <w:t>the speaker. This use of “observe” is not connected with the Lojban</w:t>
      </w:r>
      <w:r>
        <w:rPr>
          <w:rStyle w:val="deletedparamark"/>
        </w:rPr>
        <w:t xml:space="preserve"> “</w:t>
      </w:r>
      <w:r>
        <w:t>observative”, or bridi with the first sumti omitted. The lat</w:t>
      </w:r>
      <w:r>
        <w:softHyphen/>
        <w:t>ter has no</w:t>
      </w:r>
      <w:r>
        <w:rPr>
          <w:rStyle w:val="deletedparamark"/>
        </w:rPr>
        <w:t xml:space="preserve"> </w:t>
      </w:r>
      <w:r>
        <w:t>explicit aspect, and could be a direct ob</w:t>
      </w:r>
      <w:r>
        <w:softHyphen/>
        <w:t>servation, a con</w:t>
      </w:r>
      <w:r>
        <w:softHyphen/>
        <w:t>clusion, an</w:t>
      </w:r>
      <w:r>
        <w:rPr>
          <w:rStyle w:val="deletedparamark"/>
        </w:rPr>
        <w:t xml:space="preserve"> </w:t>
      </w:r>
      <w:r>
        <w:t>opinion, or other aspectual point of view.</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za'a do tatpi</w:t>
      </w:r>
    </w:p>
    <w:p w:rsidR="00B72047" w:rsidRDefault="00B72047">
      <w:pPr>
        <w:pStyle w:val="examplescaled"/>
      </w:pPr>
      <w:r>
        <w:tab/>
        <w:t>[I observe!] You are-tired.</w:t>
      </w:r>
    </w:p>
    <w:p w:rsidR="00B72047" w:rsidRDefault="00B72047">
      <w:pPr>
        <w:pStyle w:val="examplescaled"/>
      </w:pPr>
      <w:r>
        <w:tab/>
        <w:t>I see you are tired.</w:t>
      </w:r>
    </w:p>
    <w:p w:rsidR="00B72047" w:rsidRDefault="00B72047">
      <w:pPr>
        <w:pStyle w:val="normalafterexample"/>
      </w:pPr>
      <w:r>
        <w:rPr>
          <w:rStyle w:val="htmlcodes"/>
        </w:rPr>
        <w:t>&lt;/pre&gt;</w:t>
      </w:r>
      <w:r>
        <w:rPr>
          <w:rStyle w:val="indexentry"/>
        </w:rPr>
        <w:t>&lt;lx "pe'i"&gt;</w:t>
      </w:r>
      <w:r>
        <w:rPr>
          <w:rStyle w:val="indexentry"/>
        </w:rPr>
        <w:fldChar w:fldCharType="begin"/>
      </w:r>
      <w:r>
        <w:instrText>xe "</w:instrText>
      </w:r>
      <w:r>
        <w:rPr>
          <w:rStyle w:val="xeentry"/>
        </w:rPr>
        <w:instrText>pe'i</w:instrText>
      </w:r>
      <w:r>
        <w:instrText>"</w:instrText>
      </w:r>
      <w:r>
        <w:rPr>
          <w:rStyle w:val="indexentry"/>
        </w:rPr>
        <w:fldChar w:fldCharType="end"/>
      </w:r>
      <w:r>
        <w:rPr>
          <w:rStyle w:val="indexentry"/>
        </w:rPr>
        <w:t>&lt;ex "opinion"&gt;</w:t>
      </w:r>
      <w:r>
        <w:rPr>
          <w:rStyle w:val="indexentry"/>
        </w:rPr>
        <w:fldChar w:fldCharType="begin"/>
      </w:r>
      <w:r>
        <w:instrText>xe "</w:instrText>
      </w:r>
      <w:r>
        <w:rPr>
          <w:rStyle w:val="xeentry"/>
        </w:rPr>
        <w:instrText>opinion: example</w:instrText>
      </w:r>
      <w:r>
        <w:instrText>"</w:instrText>
      </w:r>
      <w:r>
        <w:rPr>
          <w:rStyle w:val="indexentry"/>
        </w:rPr>
        <w:fldChar w:fldCharType="end"/>
      </w:r>
      <w:r>
        <w:rPr>
          <w:rStyle w:val="indexentry"/>
        </w:rPr>
        <w:t>&lt;lx "pe'ipei"&gt;</w:t>
      </w:r>
      <w:r>
        <w:rPr>
          <w:rStyle w:val="indexentry"/>
        </w:rPr>
        <w:fldChar w:fldCharType="begin"/>
      </w:r>
      <w:r>
        <w:instrText>xe "</w:instrText>
      </w:r>
      <w:r>
        <w:rPr>
          <w:rStyle w:val="xeentry"/>
        </w:rPr>
        <w:instrText>pe'ipei</w:instrText>
      </w:r>
      <w:r>
        <w:instrText>"</w:instrText>
      </w:r>
      <w:r>
        <w:rPr>
          <w:rStyle w:val="indexentry"/>
        </w:rPr>
        <w:fldChar w:fldCharType="end"/>
      </w:r>
      <w:r>
        <w:t>A bridi marked by “pe'i” is the opinion of the speaker. The form “pe'ipei”</w:t>
      </w:r>
      <w:r>
        <w:rPr>
          <w:rStyle w:val="deletedparamark"/>
        </w:rPr>
        <w:t xml:space="preserve"> </w:t>
      </w:r>
      <w:r>
        <w:t>is co</w:t>
      </w:r>
      <w:r>
        <w:t>m</w:t>
      </w:r>
      <w:r>
        <w:softHyphen/>
        <w:t>mon, meaning “Is this your opinion?”. (Strictly, this should be</w:t>
      </w:r>
      <w:r>
        <w:rPr>
          <w:rStyle w:val="deletedparamark"/>
        </w:rPr>
        <w:t xml:space="preserve"> “</w:t>
      </w:r>
      <w:r>
        <w:t>peipe'i”, in accor</w:t>
      </w:r>
      <w:r>
        <w:softHyphen/>
        <w:t>dance with the distinction explained in Examples</w:t>
      </w:r>
      <w:r>
        <w:rPr>
          <w:rStyle w:val="deletedparamark"/>
        </w:rPr>
        <w:t xml:space="preserve"> </w:t>
      </w:r>
      <w:r>
        <w:t>10.6-10.8, but since “pe'i” is not really a scale, there is no real</w:t>
      </w:r>
      <w:r>
        <w:rPr>
          <w:rStyle w:val="deletedparamark"/>
        </w:rPr>
        <w:t xml:space="preserve"> </w:t>
      </w:r>
      <w:r>
        <w:t>difference between the two orders.)</w:t>
      </w:r>
    </w:p>
    <w:p w:rsidR="00B72047" w:rsidRDefault="00B72047">
      <w:pPr>
        <w:rPr>
          <w:rStyle w:val="htmlparacode"/>
        </w:rPr>
      </w:pPr>
      <w:r>
        <w:rPr>
          <w:rStyle w:val="htmlparacode"/>
        </w:rPr>
        <w:t>&lt;p&gt;</w:t>
      </w:r>
    </w:p>
    <w:p w:rsidR="00B72047" w:rsidRDefault="00B72047">
      <w:pPr>
        <w:pStyle w:val="examplescaledpre"/>
      </w:pPr>
      <w:r>
        <w:rPr>
          <w:rStyle w:val="indexentry"/>
        </w:rPr>
        <w:t>&lt;ex "Carthage destroyed"&gt;</w:t>
      </w:r>
      <w:r>
        <w:rPr>
          <w:rStyle w:val="indexentry"/>
        </w:rPr>
        <w:fldChar w:fldCharType="begin"/>
      </w:r>
      <w:r>
        <w:instrText>xe "</w:instrText>
      </w:r>
      <w:r>
        <w:rPr>
          <w:rStyle w:val="xeentry"/>
        </w:rPr>
        <w:instrText>Carthage destroyed: example</w:instrText>
      </w:r>
      <w:r>
        <w:instrText>"</w:instrText>
      </w:r>
      <w:r>
        <w:rPr>
          <w:rStyle w:val="indexentry"/>
        </w:rPr>
        <w:fldChar w:fldCharType="end"/>
      </w:r>
      <w:r>
        <w:rPr>
          <w:rStyle w:val="htmlcodes"/>
        </w:rPr>
        <w:t>&lt;pre&gt;&lt;a name=e11d5&gt;</w:t>
      </w:r>
      <w:r>
        <w:t>11.5)</w:t>
      </w:r>
      <w:r>
        <w:tab/>
        <w:t>pe'i la kartagos. .ei se daspo</w:t>
      </w:r>
    </w:p>
    <w:p w:rsidR="00B72047" w:rsidRDefault="00B72047">
      <w:pPr>
        <w:pStyle w:val="examplescaled"/>
      </w:pPr>
      <w:r>
        <w:tab/>
        <w:t>[I opine!] Carthage [obligation] is-destroyed.</w:t>
      </w:r>
    </w:p>
    <w:p w:rsidR="00B72047" w:rsidRDefault="00B72047">
      <w:pPr>
        <w:pStyle w:val="examplescaled"/>
      </w:pPr>
      <w:r>
        <w:tab/>
        <w:t>In my opinion, Carthage should be destroyed.</w:t>
      </w:r>
    </w:p>
    <w:p w:rsidR="00B72047" w:rsidRDefault="00B72047">
      <w:pPr>
        <w:pStyle w:val="normalafterexample"/>
      </w:pPr>
      <w:r>
        <w:rPr>
          <w:rStyle w:val="htmlcodes"/>
        </w:rPr>
        <w:t>&lt;/pre&gt;</w:t>
      </w:r>
      <w:r>
        <w:rPr>
          <w:rStyle w:val="indexentry"/>
        </w:rPr>
        <w:t>&lt;lx "ru'a"&gt;</w:t>
      </w:r>
      <w:r>
        <w:rPr>
          <w:rStyle w:val="indexentry"/>
        </w:rPr>
        <w:fldChar w:fldCharType="begin"/>
      </w:r>
      <w:r>
        <w:instrText>xe "</w:instrText>
      </w:r>
      <w:r>
        <w:rPr>
          <w:rStyle w:val="xeentry"/>
        </w:rPr>
        <w:instrText>ru'a</w:instrText>
      </w:r>
      <w:r>
        <w:instrText>"</w:instrText>
      </w:r>
      <w:r>
        <w:rPr>
          <w:rStyle w:val="indexentry"/>
        </w:rPr>
        <w:fldChar w:fldCharType="end"/>
      </w:r>
      <w:r>
        <w:rPr>
          <w:rStyle w:val="indexentry"/>
        </w:rPr>
        <w:t>&lt;cx "ru'a, compared with e'u"&gt;</w:t>
      </w:r>
      <w:r>
        <w:rPr>
          <w:rStyle w:val="indexentry"/>
        </w:rPr>
        <w:fldChar w:fldCharType="begin"/>
      </w:r>
      <w:r>
        <w:instrText>xe "</w:instrText>
      </w:r>
      <w:r>
        <w:rPr>
          <w:rStyle w:val="xeentry"/>
        </w:rPr>
        <w:instrText>ru'a: compared with e'u</w:instrText>
      </w:r>
      <w:r>
        <w:instrText>"</w:instrText>
      </w:r>
      <w:r>
        <w:rPr>
          <w:rStyle w:val="indexentry"/>
        </w:rPr>
        <w:fldChar w:fldCharType="end"/>
      </w:r>
      <w:r>
        <w:rPr>
          <w:rStyle w:val="indexentry"/>
        </w:rPr>
        <w:t>&lt;cx "e'u, compared with ru'a"&gt;</w:t>
      </w:r>
      <w:r>
        <w:rPr>
          <w:rStyle w:val="indexentry"/>
        </w:rPr>
        <w:fldChar w:fldCharType="begin"/>
      </w:r>
      <w:r>
        <w:instrText>xe "</w:instrText>
      </w:r>
      <w:r>
        <w:rPr>
          <w:rStyle w:val="xeentry"/>
        </w:rPr>
        <w:instrText>e'u: compared with ru'a</w:instrText>
      </w:r>
      <w:r>
        <w:instrText>"</w:instrText>
      </w:r>
      <w:r>
        <w:rPr>
          <w:rStyle w:val="indexentry"/>
        </w:rPr>
        <w:fldChar w:fldCharType="end"/>
      </w:r>
      <w:r>
        <w:rPr>
          <w:rStyle w:val="indexentry"/>
        </w:rPr>
        <w:t>&lt;lx "e'u"&gt;</w:t>
      </w:r>
      <w:r>
        <w:rPr>
          <w:rStyle w:val="indexentry"/>
        </w:rPr>
        <w:fldChar w:fldCharType="begin"/>
      </w:r>
      <w:r>
        <w:instrText>xe "</w:instrText>
      </w:r>
      <w:r>
        <w:rPr>
          <w:rStyle w:val="xeentry"/>
        </w:rPr>
        <w:instrText>e'u</w:instrText>
      </w:r>
      <w:r>
        <w:instrText>"</w:instrText>
      </w:r>
      <w:r>
        <w:rPr>
          <w:rStyle w:val="indexentry"/>
        </w:rPr>
        <w:fldChar w:fldCharType="end"/>
      </w:r>
      <w:r>
        <w:rPr>
          <w:rStyle w:val="indexentry"/>
        </w:rPr>
        <w:t>&lt;ex "assumption"&gt;</w:t>
      </w:r>
      <w:r>
        <w:rPr>
          <w:rStyle w:val="indexentry"/>
        </w:rPr>
        <w:fldChar w:fldCharType="begin"/>
      </w:r>
      <w:r>
        <w:instrText>xe "</w:instrText>
      </w:r>
      <w:r>
        <w:rPr>
          <w:rStyle w:val="xeentry"/>
        </w:rPr>
        <w:instrText>assumption: example</w:instrText>
      </w:r>
      <w:r>
        <w:instrText>"</w:instrText>
      </w:r>
      <w:r>
        <w:rPr>
          <w:rStyle w:val="indexentry"/>
        </w:rPr>
        <w:fldChar w:fldCharType="end"/>
      </w:r>
      <w:r>
        <w:t>A bridi marked by “ru'a” is an assumption made by the speaker. This is</w:t>
      </w:r>
      <w:r>
        <w:rPr>
          <w:rStyle w:val="deletedparamark"/>
        </w:rPr>
        <w:t xml:space="preserve"> </w:t>
      </w:r>
      <w:r>
        <w:t>similar to one possible use of “.e'u”.</w:t>
      </w:r>
    </w:p>
    <w:p w:rsidR="00B72047" w:rsidRDefault="00B72047">
      <w:pPr>
        <w:rPr>
          <w:rStyle w:val="htmlparacode"/>
        </w:rPr>
      </w:pPr>
      <w:r>
        <w:rPr>
          <w:rStyle w:val="htmlparacode"/>
        </w:rPr>
        <w:t>&lt;p&gt;</w:t>
      </w:r>
    </w:p>
    <w:p w:rsidR="00B72047" w:rsidRDefault="00B72047">
      <w:pPr>
        <w:pStyle w:val="examplescaledpre"/>
      </w:pPr>
      <w:r>
        <w:rPr>
          <w:rStyle w:val="indexentry"/>
        </w:rPr>
        <w:t>&lt;ex "Livingston"&gt;</w:t>
      </w:r>
      <w:r>
        <w:rPr>
          <w:rStyle w:val="indexentry"/>
        </w:rPr>
        <w:fldChar w:fldCharType="begin"/>
      </w:r>
      <w:r>
        <w:instrText>xe "</w:instrText>
      </w:r>
      <w:r>
        <w:rPr>
          <w:rStyle w:val="xeentry"/>
        </w:rPr>
        <w:instrText>Livingston: example</w:instrText>
      </w:r>
      <w:r>
        <w:instrText>"</w:instrText>
      </w:r>
      <w:r>
        <w:rPr>
          <w:rStyle w:val="indexentry"/>
        </w:rPr>
        <w:fldChar w:fldCharType="end"/>
      </w:r>
      <w:r>
        <w:rPr>
          <w:rStyle w:val="htmlcodes"/>
        </w:rPr>
        <w:t>&lt;pre&gt;&lt;a name=e11d6&gt;</w:t>
      </w:r>
      <w:r>
        <w:t>11.6)</w:t>
      </w:r>
      <w:r>
        <w:tab/>
        <w:t>ru'a doi livinston.</w:t>
      </w:r>
    </w:p>
    <w:p w:rsidR="00B72047" w:rsidRDefault="00B72047">
      <w:pPr>
        <w:pStyle w:val="examplescaled"/>
      </w:pPr>
      <w:r>
        <w:tab/>
        <w:t xml:space="preserve">Dr. Livingstone, I presume?  </w:t>
      </w:r>
    </w:p>
    <w:p w:rsidR="00B72047" w:rsidRDefault="00B72047">
      <w:pPr>
        <w:pStyle w:val="examplescaled"/>
      </w:pPr>
      <w:r>
        <w:tab/>
      </w:r>
      <w:r>
        <w:tab/>
        <w:t>(A rhetorical question:  Stanley knew who he was.)</w:t>
      </w:r>
    </w:p>
    <w:p w:rsidR="00B72047" w:rsidRDefault="00B72047">
      <w:pPr>
        <w:pStyle w:val="normalafterexample"/>
        <w:spacing w:before="80"/>
      </w:pPr>
      <w:r>
        <w:rPr>
          <w:rStyle w:val="htmlcodes"/>
        </w:rPr>
        <w:t>&lt;/pre&gt;</w:t>
      </w:r>
      <w:r>
        <w:rPr>
          <w:rStyle w:val="indexentry"/>
        </w:rPr>
        <w:t>&lt;lx "ju'a"&gt;</w:t>
      </w:r>
      <w:r>
        <w:rPr>
          <w:rStyle w:val="indexentry"/>
        </w:rPr>
        <w:fldChar w:fldCharType="begin"/>
      </w:r>
      <w:r>
        <w:instrText>xe "</w:instrText>
      </w:r>
      <w:r>
        <w:rPr>
          <w:rStyle w:val="xeentry"/>
        </w:rPr>
        <w:instrText>ju'a</w:instrText>
      </w:r>
      <w:r>
        <w:instrText>"</w:instrText>
      </w:r>
      <w:r>
        <w:rPr>
          <w:rStyle w:val="indexentry"/>
        </w:rPr>
        <w:fldChar w:fldCharType="end"/>
      </w:r>
      <w:r>
        <w:rPr>
          <w:rStyle w:val="indexentry"/>
        </w:rPr>
        <w:t>&lt;ex "basis"&gt;</w:t>
      </w:r>
      <w:r>
        <w:rPr>
          <w:rStyle w:val="indexentry"/>
        </w:rPr>
        <w:fldChar w:fldCharType="begin"/>
      </w:r>
      <w:r>
        <w:instrText>xe "</w:instrText>
      </w:r>
      <w:r>
        <w:rPr>
          <w:rStyle w:val="xeentry"/>
        </w:rPr>
        <w:instrText>basis: example</w:instrText>
      </w:r>
      <w:r>
        <w:instrText>"</w:instrText>
      </w:r>
      <w:r>
        <w:rPr>
          <w:rStyle w:val="indexentry"/>
        </w:rPr>
        <w:fldChar w:fldCharType="end"/>
      </w:r>
      <w:r>
        <w:rPr>
          <w:rStyle w:val="indexentry"/>
        </w:rPr>
        <w:t>&lt;lx "ju'apei"&gt;</w:t>
      </w:r>
      <w:r>
        <w:rPr>
          <w:rStyle w:val="indexentry"/>
        </w:rPr>
        <w:fldChar w:fldCharType="begin"/>
      </w:r>
      <w:r>
        <w:instrText>xe "</w:instrText>
      </w:r>
      <w:r>
        <w:rPr>
          <w:rStyle w:val="xeentry"/>
        </w:rPr>
        <w:instrText>ju'apei</w:instrText>
      </w:r>
      <w:r>
        <w:instrText>"</w:instrText>
      </w:r>
      <w:r>
        <w:rPr>
          <w:rStyle w:val="indexentry"/>
        </w:rPr>
        <w:fldChar w:fldCharType="end"/>
      </w:r>
      <w:r>
        <w:t>Finally, the evidential “ju'a” is used to avoid stating a specific basis for</w:t>
      </w:r>
      <w:r>
        <w:rPr>
          <w:rStyle w:val="deletedparamark"/>
        </w:rPr>
        <w:t xml:space="preserve"> </w:t>
      </w:r>
      <w:r>
        <w:t>a statement. It can also be used when the basis for the speaker's statement</w:t>
      </w:r>
      <w:r>
        <w:rPr>
          <w:rStyle w:val="deletedparamark"/>
        </w:rPr>
        <w:t xml:space="preserve"> </w:t>
      </w:r>
      <w:r>
        <w:t>is not covered by any other evidential. For the most part, using “ju'a” is</w:t>
      </w:r>
      <w:r>
        <w:rPr>
          <w:rStyle w:val="deletedparamark"/>
        </w:rPr>
        <w:t xml:space="preserve"> </w:t>
      </w:r>
      <w:r>
        <w:t>equivalent to using no eviden</w:t>
      </w:r>
      <w:r>
        <w:softHyphen/>
        <w:t>tial at all, but in question form it can be</w:t>
      </w:r>
      <w:r>
        <w:rPr>
          <w:rStyle w:val="deletedparamark"/>
        </w:rPr>
        <w:t xml:space="preserve"> </w:t>
      </w:r>
      <w:r>
        <w:t>useful: “ju'apei” means “What is the basis for your statement?” and serves</w:t>
      </w:r>
      <w:r>
        <w:rPr>
          <w:rStyle w:val="deletedparamark"/>
        </w:rPr>
        <w:t xml:space="preserve"> </w:t>
      </w:r>
      <w:r>
        <w:t>as an evidential, as distinct from emo</w:t>
      </w:r>
      <w:r>
        <w:softHyphen/>
        <w:t>tional, question.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407" w:name="_Toc398970649"/>
      <w:r>
        <w:rPr>
          <w:rStyle w:val="Heading3Text"/>
        </w:rPr>
        <w:t>Discursives</w:t>
      </w:r>
      <w:bookmarkEnd w:id="40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"discursive, definition"&gt;</w:t>
      </w:r>
      <w:r>
        <w:rPr>
          <w:rStyle w:val="indexentry"/>
        </w:rPr>
        <w:fldChar w:fldCharType="begin"/>
      </w:r>
      <w:r>
        <w:instrText>xe "</w:instrText>
      </w:r>
      <w:r>
        <w:rPr>
          <w:rStyle w:val="xeentry"/>
        </w:rPr>
        <w:instrText>discursives: definition</w:instrText>
      </w:r>
      <w:r>
        <w:instrText>"</w:instrText>
      </w:r>
      <w:r>
        <w:rPr>
          <w:rStyle w:val="indexentry"/>
        </w:rPr>
        <w:fldChar w:fldCharType="end"/>
      </w:r>
      <w:r>
        <w:rPr>
          <w:rStyle w:val="indexentry"/>
        </w:rPr>
        <w:t>&lt;cx "utterance, expressing relation to discourse"&gt;</w:t>
      </w:r>
      <w:r>
        <w:rPr>
          <w:rStyle w:val="indexentry"/>
        </w:rPr>
        <w:fldChar w:fldCharType="begin"/>
      </w:r>
      <w:r>
        <w:instrText>xe "</w:instrText>
      </w:r>
      <w:r>
        <w:rPr>
          <w:rStyle w:val="xeentry"/>
        </w:rPr>
        <w:instrText>utterance: expressing relation to discourse</w:instrText>
      </w:r>
      <w:r>
        <w:instrText>"</w:instrText>
      </w:r>
      <w:r>
        <w:rPr>
          <w:rStyle w:val="indexentry"/>
        </w:rPr>
        <w:fldChar w:fldCharType="end"/>
      </w:r>
      <w:r>
        <w:rPr>
          <w:rStyle w:val="indexentry"/>
        </w:rPr>
        <w:t>&lt;cx "discourse, expressing utterance relation to"&gt;</w:t>
      </w:r>
      <w:r>
        <w:rPr>
          <w:rStyle w:val="indexentry"/>
        </w:rPr>
        <w:fldChar w:fldCharType="begin"/>
      </w:r>
      <w:r>
        <w:instrText>xe "</w:instrText>
      </w:r>
      <w:r>
        <w:rPr>
          <w:rStyle w:val="xeentry"/>
        </w:rPr>
        <w:instrText>discourse: expressing utterance relation to</w:instrText>
      </w:r>
      <w:r>
        <w:instrText>"</w:instrText>
      </w:r>
      <w:r>
        <w:rPr>
          <w:rStyle w:val="indexentry"/>
        </w:rPr>
        <w:fldChar w:fldCharType="end"/>
      </w:r>
      <w:r>
        <w:t>The term “discursive” is used for those members of selma'o UI that</w:t>
      </w:r>
      <w:r>
        <w:rPr>
          <w:rStyle w:val="deletedparamark"/>
        </w:rPr>
        <w:t xml:space="preserve"> </w:t>
      </w:r>
      <w:r>
        <w:t>provide structure to the discourse, and which show how a given word or</w:t>
      </w:r>
      <w:r>
        <w:rPr>
          <w:rStyle w:val="deletedparamark"/>
        </w:rPr>
        <w:t xml:space="preserve"> </w:t>
      </w:r>
      <w:r>
        <w:t>utterance relates to the whole di</w:t>
      </w:r>
      <w:r>
        <w:t>s</w:t>
      </w:r>
      <w:r>
        <w:softHyphen/>
        <w:t>course. To express these concepts in</w:t>
      </w:r>
      <w:r>
        <w:rPr>
          <w:rStyle w:val="deletedparamark"/>
        </w:rPr>
        <w:t xml:space="preserve"> </w:t>
      </w:r>
      <w:r>
        <w:t>regular bridi would involve extra layers of nesting: rather than asserting</w:t>
      </w:r>
      <w:r>
        <w:rPr>
          <w:rStyle w:val="deletedparamark"/>
        </w:rPr>
        <w:t xml:space="preserve"> </w:t>
      </w:r>
      <w:r>
        <w:t>that “I also came”, we would have to say “I came; fur</w:t>
      </w:r>
      <w:r>
        <w:softHyphen/>
        <w:t>thermore, the event of</w:t>
      </w:r>
      <w:r>
        <w:rPr>
          <w:rStyle w:val="deletedparamark"/>
        </w:rPr>
        <w:t xml:space="preserve"> </w:t>
      </w:r>
      <w:r>
        <w:t>my coming is an additional instance of the relationship expressed by the</w:t>
      </w:r>
      <w:r>
        <w:rPr>
          <w:rStyle w:val="deletedparamark"/>
        </w:rPr>
        <w:t xml:space="preserve"> </w:t>
      </w:r>
      <w:r>
        <w:t>previous sentence”, which is in</w:t>
      </w:r>
      <w:r>
        <w:softHyphen/>
        <w:t>tolerably clumsy. Typical English equivalents</w:t>
      </w:r>
      <w:r>
        <w:rPr>
          <w:rStyle w:val="deletedparamark"/>
        </w:rPr>
        <w:t xml:space="preserve"> </w:t>
      </w:r>
      <w:r>
        <w:t>of discursives are words or phrases like “however”, “summarizing”, “in</w:t>
      </w:r>
      <w:r>
        <w:rPr>
          <w:rStyle w:val="deletedparamark"/>
        </w:rPr>
        <w:t xml:space="preserve"> </w:t>
      </w:r>
      <w:r>
        <w:t>conclusion”, and “for example”.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"discursives, contrasted with attitudinals"&gt;</w:t>
      </w:r>
      <w:r>
        <w:rPr>
          <w:rStyle w:val="indexentry"/>
        </w:rPr>
        <w:fldChar w:fldCharType="begin"/>
      </w:r>
      <w:r>
        <w:instrText>xe "</w:instrText>
      </w:r>
      <w:r>
        <w:rPr>
          <w:rStyle w:val="xeentry"/>
        </w:rPr>
        <w:instrText>discursives: contrasted with attitudinals</w:instrText>
      </w:r>
      <w:r>
        <w:instrText>"</w:instrText>
      </w:r>
      <w:r>
        <w:rPr>
          <w:rStyle w:val="indexentry"/>
        </w:rPr>
        <w:fldChar w:fldCharType="end"/>
      </w:r>
      <w:r>
        <w:rPr>
          <w:rStyle w:val="indexentry"/>
        </w:rPr>
        <w:t>&lt;cx "attitudinals, contrasted with discursives"&gt;</w:t>
      </w:r>
      <w:r>
        <w:rPr>
          <w:rStyle w:val="indexentry"/>
        </w:rPr>
        <w:fldChar w:fldCharType="begin"/>
      </w:r>
      <w:r>
        <w:instrText>xe "</w:instrText>
      </w:r>
      <w:r>
        <w:rPr>
          <w:rStyle w:val="xeentry"/>
        </w:rPr>
        <w:instrText>attitudinals: contrasted with discursives</w:instrText>
      </w:r>
      <w:r>
        <w:instrText>"</w:instrText>
      </w:r>
      <w:r>
        <w:rPr>
          <w:rStyle w:val="indexentry"/>
        </w:rPr>
        <w:fldChar w:fldCharType="end"/>
      </w:r>
      <w:r>
        <w:rPr>
          <w:rStyle w:val="indexentry"/>
        </w:rPr>
        <w:t>&lt;cx "discursives, as metalinguistic claims"&gt;</w:t>
      </w:r>
      <w:r>
        <w:rPr>
          <w:rStyle w:val="indexentry"/>
        </w:rPr>
        <w:fldChar w:fldCharType="begin"/>
      </w:r>
      <w:r>
        <w:instrText>xe "</w:instrText>
      </w:r>
      <w:r>
        <w:rPr>
          <w:rStyle w:val="xeentry"/>
        </w:rPr>
        <w:instrText>discursives: as metalinguistic claims</w:instrText>
      </w:r>
      <w:r>
        <w:instrText>"</w:instrText>
      </w:r>
      <w:r>
        <w:rPr>
          <w:rStyle w:val="indexentry"/>
        </w:rPr>
        <w:fldChar w:fldCharType="end"/>
      </w:r>
      <w:r>
        <w:t>Discursives are not attitudinals: they express no particular emotion.</w:t>
      </w:r>
      <w:r>
        <w:rPr>
          <w:rStyle w:val="deletedparamark"/>
        </w:rPr>
        <w:t xml:space="preserve"> </w:t>
      </w:r>
      <w:r>
        <w:t>Rather, they are abbreviations for metalinguistic claims that reference</w:t>
      </w:r>
      <w:r>
        <w:rPr>
          <w:rStyle w:val="deletedparamark"/>
        </w:rPr>
        <w:t xml:space="preserve"> </w:t>
      </w:r>
      <w:r>
        <w:t>the sentence or text they are found in.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"discursives, placement in sentence"&gt;</w:t>
      </w:r>
      <w:r>
        <w:rPr>
          <w:rStyle w:val="indexentry"/>
        </w:rPr>
        <w:fldChar w:fldCharType="begin"/>
      </w:r>
      <w:r>
        <w:instrText>xe "</w:instrText>
      </w:r>
      <w:r>
        <w:rPr>
          <w:rStyle w:val="xeentry"/>
        </w:rPr>
        <w:instrText>discursives: placement in sentence</w:instrText>
      </w:r>
      <w:r>
        <w:instrText>"</w:instrText>
      </w:r>
      <w:r>
        <w:rPr>
          <w:rStyle w:val="indexentry"/>
        </w:rPr>
        <w:fldChar w:fldCharType="end"/>
      </w:r>
      <w:r>
        <w:t>Discursives are most often used at the beginning of sen</w:t>
      </w:r>
      <w:r>
        <w:softHyphen/>
        <w:t>tences, often</w:t>
      </w:r>
      <w:r>
        <w:rPr>
          <w:rStyle w:val="deletedparamark"/>
        </w:rPr>
        <w:t xml:space="preserve"> </w:t>
      </w:r>
      <w:r>
        <w:t>attached to the “.i” that separates sentences in running discourse, but can</w:t>
      </w:r>
      <w:r>
        <w:rPr>
          <w:rStyle w:val="deletedparamark"/>
        </w:rPr>
        <w:t xml:space="preserve"> </w:t>
      </w:r>
      <w:r>
        <w:t>(like all other indicators) be attached to single words when it seems</w:t>
      </w:r>
      <w:r>
        <w:rPr>
          <w:rStyle w:val="deletedparamark"/>
        </w:rPr>
        <w:t xml:space="preserve"> </w:t>
      </w:r>
      <w:r>
        <w:t>necessary or useful.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"discursives for consecutive discourse"&gt;</w:t>
      </w:r>
      <w:r>
        <w:rPr>
          <w:rStyle w:val="indexentry"/>
        </w:rPr>
        <w:fldChar w:fldCharType="begin"/>
      </w:r>
      <w:r>
        <w:instrText>xe "</w:instrText>
      </w:r>
      <w:r>
        <w:rPr>
          <w:rStyle w:val="xeentry"/>
        </w:rPr>
        <w:instrText>discursives for consecutive discourse</w:instrText>
      </w:r>
      <w:r>
        <w:instrText>"</w:instrText>
      </w:r>
      <w:r>
        <w:rPr>
          <w:rStyle w:val="indexentry"/>
        </w:rPr>
        <w:fldChar w:fldCharType="end"/>
      </w:r>
      <w:r>
        <w:t>The discursives discussed in this section are given in groups, roughly</w:t>
      </w:r>
      <w:r>
        <w:rPr>
          <w:rStyle w:val="deletedparamark"/>
        </w:rPr>
        <w:t xml:space="preserve"> </w:t>
      </w:r>
      <w:r>
        <w:t>organ</w:t>
      </w:r>
      <w:r>
        <w:softHyphen/>
        <w:t>ized by function. First, the “consecutive discourse” group:</w:t>
      </w:r>
    </w:p>
    <w:p w:rsidR="00B72047" w:rsidRDefault="00B72047">
      <w:pPr>
        <w:rPr>
          <w:rStyle w:val="htmlparacode"/>
        </w:rPr>
      </w:pPr>
      <w:r>
        <w:rPr>
          <w:rStyle w:val="htmlparacode"/>
        </w:rPr>
        <w:t>&lt;p&gt;</w:t>
      </w:r>
    </w:p>
    <w:p w:rsidR="00B72047" w:rsidRDefault="00B72047">
      <w:pPr>
        <w:pStyle w:val="examplewtabspre"/>
      </w:pPr>
      <w:r>
        <w:rPr>
          <w:rStyle w:val="indexentry"/>
        </w:rPr>
        <w:t>&lt;lx "ku'i"&gt;</w:t>
      </w:r>
      <w:r>
        <w:rPr>
          <w:rStyle w:val="indexentry"/>
        </w:rPr>
        <w:fldChar w:fldCharType="begin"/>
      </w:r>
      <w:r>
        <w:instrText>xe "</w:instrText>
      </w:r>
      <w:r>
        <w:rPr>
          <w:rStyle w:val="xeentry"/>
        </w:rPr>
        <w:instrText>ku'i</w:instrText>
      </w:r>
      <w:r>
        <w:instrText>"</w:instrText>
      </w:r>
      <w:r>
        <w:rPr>
          <w:rStyle w:val="indexentry"/>
        </w:rPr>
        <w:fldChar w:fldCharType="end"/>
      </w:r>
      <w:r>
        <w:rPr>
          <w:rStyle w:val="indexentry"/>
        </w:rPr>
        <w:t>&lt;lx "ji'a"&gt;</w:t>
      </w:r>
      <w:r>
        <w:rPr>
          <w:rStyle w:val="indexentry"/>
        </w:rPr>
        <w:fldChar w:fldCharType="begin"/>
      </w:r>
      <w:r>
        <w:instrText>xe "</w:instrText>
      </w:r>
      <w:r>
        <w:rPr>
          <w:rStyle w:val="xeentry"/>
        </w:rPr>
        <w:instrText>ji'a</w:instrText>
      </w:r>
      <w:r>
        <w:instrText>"</w:instrText>
      </w:r>
      <w:r>
        <w:rPr>
          <w:rStyle w:val="indexentry"/>
        </w:rPr>
        <w:fldChar w:fldCharType="end"/>
      </w:r>
      <w:r>
        <w:rPr>
          <w:rStyle w:val="indexentry"/>
        </w:rPr>
        <w:t>&lt;lx "si'a"&gt;</w:t>
      </w:r>
      <w:r>
        <w:rPr>
          <w:rStyle w:val="indexentry"/>
        </w:rPr>
        <w:fldChar w:fldCharType="begin"/>
      </w:r>
      <w:r>
        <w:instrText>xe "</w:instrText>
      </w:r>
      <w:r>
        <w:rPr>
          <w:rStyle w:val="xeentry"/>
        </w:rPr>
        <w:instrText>si'a</w:instrText>
      </w:r>
      <w:r>
        <w:instrText>"</w:instrText>
      </w:r>
      <w:r>
        <w:rPr>
          <w:rStyle w:val="indexentry"/>
        </w:rPr>
        <w:fldChar w:fldCharType="end"/>
      </w:r>
      <w:r>
        <w:rPr>
          <w:rStyle w:val="indexentry"/>
        </w:rPr>
        <w:t>&lt;lx "mi'u"&gt;</w:t>
      </w:r>
      <w:r>
        <w:rPr>
          <w:rStyle w:val="indexentry"/>
        </w:rPr>
        <w:fldChar w:fldCharType="begin"/>
      </w:r>
      <w:r>
        <w:instrText>xe "</w:instrText>
      </w:r>
      <w:r>
        <w:rPr>
          <w:rStyle w:val="xeentry"/>
        </w:rPr>
        <w:instrText>mi'u</w:instrText>
      </w:r>
      <w:r>
        <w:instrText>"</w:instrText>
      </w:r>
      <w:r>
        <w:rPr>
          <w:rStyle w:val="indexentry"/>
        </w:rPr>
        <w:fldChar w:fldCharType="end"/>
      </w:r>
      <w:r>
        <w:rPr>
          <w:rStyle w:val="indexentry"/>
        </w:rPr>
        <w:t>&lt;lx "po'o"&gt;</w:t>
      </w:r>
      <w:r>
        <w:rPr>
          <w:rStyle w:val="indexentry"/>
        </w:rPr>
        <w:fldChar w:fldCharType="begin"/>
      </w:r>
      <w:r>
        <w:instrText>xe "</w:instrText>
      </w:r>
      <w:r>
        <w:rPr>
          <w:rStyle w:val="xeentry"/>
        </w:rPr>
        <w:instrText>po'o</w:instrText>
      </w:r>
      <w:r>
        <w:instrText>"</w:instrText>
      </w:r>
      <w:r>
        <w:rPr>
          <w:rStyle w:val="indexentry"/>
        </w:rPr>
        <w:fldChar w:fldCharType="end"/>
      </w:r>
      <w:r>
        <w:rPr>
          <w:rStyle w:val="htmlcodes"/>
        </w:rPr>
        <w:t>&lt;pre&gt;</w:t>
      </w:r>
      <w:r>
        <w:t>ku'i</w:t>
      </w:r>
      <w:r>
        <w:tab/>
        <w:t>[karbi]</w:t>
      </w:r>
      <w:r>
        <w:tab/>
        <w:t>however/but/in contrast</w:t>
      </w:r>
      <w:r>
        <w:tab/>
      </w:r>
    </w:p>
    <w:p w:rsidR="00B72047" w:rsidRDefault="00B72047">
      <w:pPr>
        <w:pStyle w:val="exampwidetabs"/>
      </w:pPr>
      <w:r>
        <w:t>ji'a</w:t>
      </w:r>
      <w:r>
        <w:tab/>
        <w:t>[jmina]</w:t>
      </w:r>
      <w:r>
        <w:tab/>
        <w:t>additionally</w:t>
      </w:r>
      <w:r>
        <w:tab/>
      </w:r>
      <w:r>
        <w:tab/>
      </w:r>
    </w:p>
    <w:p w:rsidR="00B72047" w:rsidRDefault="00B72047">
      <w:pPr>
        <w:pStyle w:val="exampwidetabs"/>
      </w:pPr>
      <w:r>
        <w:t>si'a</w:t>
      </w:r>
      <w:r>
        <w:tab/>
        <w:t>[simsa]</w:t>
      </w:r>
      <w:r>
        <w:tab/>
        <w:t>similarly</w:t>
      </w:r>
      <w:r>
        <w:tab/>
      </w:r>
      <w:r>
        <w:tab/>
      </w:r>
    </w:p>
    <w:p w:rsidR="00B72047" w:rsidRDefault="00B72047">
      <w:pPr>
        <w:pStyle w:val="exampwidetabs"/>
      </w:pPr>
      <w:r>
        <w:t>mi'u</w:t>
      </w:r>
      <w:r>
        <w:tab/>
        <w:t>[mintu]</w:t>
      </w:r>
      <w:r>
        <w:tab/>
        <w:t>ditto</w:t>
      </w:r>
      <w:r>
        <w:tab/>
      </w:r>
      <w:r>
        <w:tab/>
      </w:r>
    </w:p>
    <w:p w:rsidR="00B72047" w:rsidRDefault="00B72047">
      <w:pPr>
        <w:pStyle w:val="exampwidetabs"/>
      </w:pPr>
      <w:r>
        <w:t>po'o</w:t>
      </w:r>
      <w:r>
        <w:tab/>
      </w:r>
      <w:r>
        <w:tab/>
        <w:t>the only relevant case</w:t>
      </w:r>
    </w:p>
    <w:p w:rsidR="00B72047" w:rsidRDefault="00B72047">
      <w:pPr>
        <w:pStyle w:val="normalafterexample"/>
        <w:spacing w:before="80"/>
      </w:pPr>
      <w:r>
        <w:rPr>
          <w:rStyle w:val="htmlcodes"/>
        </w:rPr>
        <w:t>&lt;/pre&gt;</w:t>
      </w:r>
      <w:r>
        <w:rPr>
          <w:rStyle w:val="indexentry"/>
        </w:rPr>
        <w:t>&lt;cx "discursives for consecutive discourse, contrasted"&gt;</w:t>
      </w:r>
      <w:r>
        <w:rPr>
          <w:rStyle w:val="indexentry"/>
        </w:rPr>
        <w:fldChar w:fldCharType="begin"/>
      </w:r>
      <w:r>
        <w:instrText>xe "</w:instrText>
      </w:r>
      <w:r>
        <w:rPr>
          <w:rStyle w:val="xeentry"/>
        </w:rPr>
        <w:instrText>discursives for consecutive discourse: contrasted</w:instrText>
      </w:r>
      <w:r>
        <w:instrText>"</w:instrText>
      </w:r>
      <w:r>
        <w:rPr>
          <w:rStyle w:val="indexentry"/>
        </w:rPr>
        <w:fldChar w:fldCharType="end"/>
      </w:r>
      <w:r>
        <w:rPr>
          <w:rStyle w:val="indexentry"/>
        </w:rPr>
        <w:t>&lt;cx "mi'u, contrasted with go'i"&gt;</w:t>
      </w:r>
      <w:r>
        <w:rPr>
          <w:rStyle w:val="indexentry"/>
        </w:rPr>
        <w:fldChar w:fldCharType="begin"/>
      </w:r>
      <w:r>
        <w:instrText>xe "</w:instrText>
      </w:r>
      <w:r>
        <w:rPr>
          <w:rStyle w:val="xeentry"/>
        </w:rPr>
        <w:instrText>mi'u: contrasted with go'i</w:instrText>
      </w:r>
      <w:r>
        <w:instrText>"</w:instrText>
      </w:r>
      <w:r>
        <w:rPr>
          <w:rStyle w:val="indexentry"/>
        </w:rPr>
        <w:fldChar w:fldCharType="end"/>
      </w:r>
      <w:r>
        <w:rPr>
          <w:rStyle w:val="indexentry"/>
        </w:rPr>
        <w:t>&lt;cx "go'i, contrasted with mi'u"&gt;</w:t>
      </w:r>
      <w:r>
        <w:rPr>
          <w:rStyle w:val="indexentry"/>
        </w:rPr>
        <w:fldChar w:fldCharType="begin"/>
      </w:r>
      <w:r>
        <w:instrText>xe "</w:instrText>
      </w:r>
      <w:r>
        <w:rPr>
          <w:rStyle w:val="xeentry"/>
        </w:rPr>
        <w:instrText>go'i: contrasted with mi'u</w:instrText>
      </w:r>
      <w:r>
        <w:instrText>"</w:instrText>
      </w:r>
      <w:r>
        <w:rPr>
          <w:rStyle w:val="indexentry"/>
        </w:rPr>
        <w:fldChar w:fldCharType="end"/>
      </w: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rPr>
          <w:rStyle w:val="indexentry"/>
        </w:rPr>
        <w:t>&lt;ex "ditto"&gt;</w:t>
      </w:r>
      <w:r>
        <w:rPr>
          <w:rStyle w:val="indexentry"/>
        </w:rPr>
        <w:fldChar w:fldCharType="begin"/>
      </w:r>
      <w:r>
        <w:instrText>xe "</w:instrText>
      </w:r>
      <w:r>
        <w:rPr>
          <w:rStyle w:val="xeentry"/>
        </w:rPr>
        <w:instrText>ditto: example</w:instrText>
      </w:r>
      <w:r>
        <w:instrText>"</w:instrText>
      </w:r>
      <w:r>
        <w:rPr>
          <w:rStyle w:val="indexentry"/>
        </w:rPr>
        <w:fldChar w:fldCharType="end"/>
      </w:r>
      <w:r>
        <w:rPr>
          <w:rStyle w:val="indexentry"/>
        </w:rPr>
        <w:t>&lt;ex "but"&gt;</w:t>
      </w:r>
      <w:r>
        <w:rPr>
          <w:rStyle w:val="indexentry"/>
        </w:rPr>
        <w:fldChar w:fldCharType="begin"/>
      </w:r>
      <w:r>
        <w:instrText>xe "</w:instrText>
      </w:r>
      <w:r>
        <w:rPr>
          <w:rStyle w:val="xeentry"/>
        </w:rPr>
        <w:instrText>but: example</w:instrText>
      </w:r>
      <w:r>
        <w:instrText>"</w:instrText>
      </w:r>
      <w:r>
        <w:rPr>
          <w:rStyle w:val="indexentry"/>
        </w:rPr>
        <w:fldChar w:fldCharType="end"/>
      </w:r>
      <w:r>
        <w:rPr>
          <w:rStyle w:val="indexentry"/>
        </w:rPr>
        <w:t>&lt;ex "too"&gt;</w:t>
      </w:r>
      <w:r>
        <w:rPr>
          <w:rStyle w:val="indexentry"/>
        </w:rPr>
        <w:fldChar w:fldCharType="begin"/>
      </w:r>
      <w:r>
        <w:instrText>xe "</w:instrText>
      </w:r>
      <w:r>
        <w:rPr>
          <w:rStyle w:val="xeentry"/>
        </w:rPr>
        <w:instrText>too: example</w:instrText>
      </w:r>
      <w:r>
        <w:instrText>"</w:instrText>
      </w:r>
      <w:r>
        <w:rPr>
          <w:rStyle w:val="indexentry"/>
        </w:rPr>
        <w:fldChar w:fldCharType="end"/>
      </w:r>
      <w:r>
        <w:t>These five discursives are mutually exclusive, and therefore they are not</w:t>
      </w:r>
      <w:r>
        <w:rPr>
          <w:rStyle w:val="deletedparamark"/>
        </w:rPr>
        <w:t xml:space="preserve"> </w:t>
      </w:r>
      <w:r>
        <w:t>usu</w:t>
      </w:r>
      <w:r>
        <w:softHyphen/>
        <w:t>ally co</w:t>
      </w:r>
      <w:r>
        <w:t>n</w:t>
      </w:r>
      <w:r>
        <w:softHyphen/>
        <w:t>sidered as scales. The first four are used in consecutive</w:t>
      </w:r>
      <w:r>
        <w:rPr>
          <w:rStyle w:val="deletedparamark"/>
        </w:rPr>
        <w:t xml:space="preserve"> </w:t>
      </w:r>
      <w:r>
        <w:t>discourse. The first, “ku'i”, makes an exception to the previous argument.</w:t>
      </w:r>
      <w:r>
        <w:rPr>
          <w:rStyle w:val="deletedparamark"/>
        </w:rPr>
        <w:t xml:space="preserve"> </w:t>
      </w:r>
      <w:r>
        <w:t>The second, “ji'a”, adds weight to the previous argument. The third, “si'a”,</w:t>
      </w:r>
      <w:r>
        <w:rPr>
          <w:rStyle w:val="deletedparamark"/>
        </w:rPr>
        <w:t xml:space="preserve"> </w:t>
      </w:r>
      <w:r>
        <w:t>adds quantity to the previous argument, enu</w:t>
      </w:r>
      <w:r>
        <w:softHyphen/>
        <w:t>merating an add</w:t>
      </w:r>
      <w:r>
        <w:t>i</w:t>
      </w:r>
      <w:r>
        <w:softHyphen/>
        <w:t>tional example.</w:t>
      </w:r>
      <w:r>
        <w:rPr>
          <w:rStyle w:val="deletedparamark"/>
        </w:rPr>
        <w:t xml:space="preserve"> </w:t>
      </w:r>
      <w:r>
        <w:t>The fourth, “mi'u”, adds a parallel case to the previous argument, and can</w:t>
      </w:r>
      <w:r>
        <w:rPr>
          <w:rStyle w:val="deletedparamark"/>
        </w:rPr>
        <w:t xml:space="preserve"> </w:t>
      </w:r>
      <w:r>
        <w:t>also be used in tables or the like to show that something is being repeated</w:t>
      </w:r>
      <w:r>
        <w:rPr>
          <w:rStyle w:val="deletedparamark"/>
        </w:rPr>
        <w:t xml:space="preserve"> </w:t>
      </w:r>
      <w:r>
        <w:t>from the prev</w:t>
      </w:r>
      <w:r>
        <w:t>i</w:t>
      </w:r>
      <w:r>
        <w:softHyphen/>
        <w:t>ous col</w:t>
      </w:r>
      <w:r>
        <w:softHyphen/>
        <w:t>umn. It is distinct from “go'i” (of selma'o GOhA,</w:t>
      </w:r>
      <w:r>
        <w:rPr>
          <w:rStyle w:val="deletedparamark"/>
        </w:rPr>
        <w:t xml:space="preserve"> </w:t>
      </w:r>
      <w:r>
        <w:t>dis</w:t>
      </w:r>
      <w:r>
        <w:softHyphen/>
        <w:t xml:space="preserve">cussed in </w:t>
      </w:r>
      <w:r>
        <w:rPr>
          <w:rStyle w:val="htmlcodes"/>
        </w:rPr>
        <w:t>&lt;a href=chap7.html&gt;</w:t>
      </w:r>
      <w:r>
        <w:t>Chapter 7</w:t>
      </w:r>
      <w:r>
        <w:rPr>
          <w:rStyle w:val="htmlcodes"/>
        </w:rPr>
        <w:t>&lt;/a&gt;</w:t>
      </w:r>
      <w:r>
        <w:t>), which is a non-discursive version of “ditto” that</w:t>
      </w:r>
      <w:r>
        <w:rPr>
          <w:rStyle w:val="deletedparamark"/>
        </w:rPr>
        <w:t xml:space="preserve"> </w:t>
      </w:r>
      <w:r>
        <w:t>explicitly repeats the claim of the previous bridi.</w:t>
      </w:r>
    </w:p>
    <w:p w:rsidR="00B72047" w:rsidRDefault="00B72047">
      <w:pPr>
        <w:rPr>
          <w:rStyle w:val="htmlparacode"/>
        </w:rPr>
      </w:pPr>
      <w:r>
        <w:rPr>
          <w:rStyle w:val="htmlparacode"/>
        </w:rPr>
        <w:t>&lt;p&gt;</w:t>
      </w:r>
    </w:p>
    <w:p w:rsidR="00B72047" w:rsidRDefault="00B72047">
      <w:pPr>
        <w:pStyle w:val="normalparagraph"/>
      </w:pPr>
      <w:r>
        <w:rPr>
          <w:rStyle w:val="indexentry"/>
        </w:rPr>
        <w:t>&lt;ex "only"&gt;</w:t>
      </w:r>
      <w:r>
        <w:rPr>
          <w:rStyle w:val="indexentry"/>
        </w:rPr>
        <w:fldChar w:fldCharType="begin"/>
      </w:r>
      <w:r>
        <w:instrText>xe "</w:instrText>
      </w:r>
      <w:r>
        <w:rPr>
          <w:rStyle w:val="xeentry"/>
        </w:rPr>
        <w:instrText>only: example</w:instrText>
      </w:r>
      <w:r>
        <w:instrText>"</w:instrText>
      </w:r>
      <w:r>
        <w:rPr>
          <w:rStyle w:val="indexentry"/>
        </w:rPr>
        <w:fldChar w:fldCharType="end"/>
      </w:r>
      <w:r>
        <w:t>Lastly, “po'o” is used when there is no other comparable case, and thus</w:t>
      </w:r>
      <w:r>
        <w:rPr>
          <w:rStyle w:val="deletedparamark"/>
        </w:rPr>
        <w:t xml:space="preserve"> </w:t>
      </w:r>
      <w:r>
        <w:t>corre</w:t>
      </w:r>
      <w:r>
        <w:softHyphen/>
        <w:t>sponds to some of the uses of “only”, a word dif</w:t>
      </w:r>
      <w:r>
        <w:softHyphen/>
        <w:t>ficult to express</w:t>
      </w:r>
      <w:r>
        <w:rPr>
          <w:rStyle w:val="deletedparamark"/>
        </w:rPr>
        <w:t xml:space="preserve"> </w:t>
      </w:r>
      <w:r>
        <w:t>in pure bridi form:</w:t>
      </w:r>
    </w:p>
    <w:p w:rsidR="00B72047" w:rsidRDefault="00B72047">
      <w:pPr>
        <w:rPr>
          <w:rStyle w:val="htmlparacode"/>
        </w:rPr>
      </w:pPr>
      <w:r>
        <w:rPr>
          <w:rStyle w:val="htmlparacode"/>
        </w:rPr>
        <w:t>&lt;p&gt;</w:t>
      </w:r>
    </w:p>
    <w:p w:rsidR="00B72047" w:rsidRDefault="00B72047">
      <w:pPr>
        <w:pStyle w:val="examplescaledpre"/>
      </w:pPr>
      <w:r>
        <w:rPr>
          <w:rStyle w:val="indexentry"/>
        </w:rPr>
        <w:t>&lt;ex "hit cousin"&gt;</w:t>
      </w:r>
      <w:r>
        <w:rPr>
          <w:rStyle w:val="indexentry"/>
        </w:rPr>
        <w:fldChar w:fldCharType="begin"/>
      </w:r>
      <w:r>
        <w:instrText>xe "</w:instrText>
      </w:r>
      <w:r>
        <w:rPr>
          <w:rStyle w:val="xeentry"/>
        </w:rPr>
        <w:instrText>hit cousin: example</w:instrText>
      </w:r>
      <w:r>
        <w:instrText>"</w:instrText>
      </w:r>
      <w:r>
        <w:rPr>
          <w:rStyle w:val="indexentry"/>
        </w:rPr>
        <w:fldChar w:fldCharType="end"/>
      </w:r>
      <w:r>
        <w:rPr>
          <w:rStyle w:val="indexentry"/>
        </w:rPr>
        <w:t>&lt;ex "hit nose"&gt;</w:t>
      </w:r>
      <w:r>
        <w:rPr>
          <w:rStyle w:val="indexentry"/>
        </w:rPr>
        <w:fldChar w:fldCharType="begin"/>
      </w:r>
      <w:r>
        <w:instrText>xe "</w:instrText>
      </w:r>
      <w:r>
        <w:rPr>
          <w:rStyle w:val="xeentry"/>
        </w:rPr>
        <w:instrText>hit nose: example</w:instrText>
      </w:r>
      <w:r>
        <w:instrText>"</w:instrText>
      </w:r>
      <w:r>
        <w:rPr>
          <w:rStyle w:val="indexentry"/>
        </w:rPr>
        <w:fldChar w:fldCharType="end"/>
      </w:r>
      <w:r>
        <w:rPr>
          <w:rStyle w:val="htmlcodes"/>
        </w:rPr>
        <w:t>&lt;pre&gt;&lt;a name=e12d1&gt;</w:t>
      </w:r>
      <w:r>
        <w:t>12.1)</w:t>
      </w:r>
      <w:r>
        <w:tab/>
        <w:t>mi po'o darxi le mi tamne fo le nazbi</w:t>
      </w:r>
    </w:p>
    <w:p w:rsidR="00B72047" w:rsidRDefault="00B72047">
      <w:pPr>
        <w:pStyle w:val="examplescaled"/>
      </w:pPr>
      <w:r>
        <w:tab/>
        <w:t>I [only] hit my cousin at-locus the nose.</w:t>
      </w:r>
    </w:p>
    <w:p w:rsidR="00B72047" w:rsidRDefault="00B72047">
      <w:pPr>
        <w:pStyle w:val="examplescaled"/>
      </w:pPr>
      <w:r>
        <w:tab/>
        <w:t>Only I (nobody else) hit my cousin on his nose.</w:t>
      </w:r>
    </w:p>
    <w:p w:rsidR="00B72047" w:rsidRDefault="00B72047">
      <w:pPr>
        <w:pStyle w:val="examplescaledpre"/>
      </w:pPr>
      <w:r>
        <w:rPr>
          <w:rStyle w:val="htmlcodes"/>
        </w:rPr>
        <w:t>&lt;a name=e12d2&gt;</w:t>
      </w:r>
      <w:r>
        <w:t>12.2)</w:t>
      </w:r>
      <w:r>
        <w:tab/>
        <w:t>mi darxi po'o le mi tamne fo le nazbi</w:t>
      </w:r>
    </w:p>
    <w:p w:rsidR="00B72047" w:rsidRDefault="00B72047">
      <w:pPr>
        <w:pStyle w:val="examplescaled"/>
      </w:pPr>
      <w:r>
        <w:tab/>
        <w:t>I hit [only] my cousin at-locus the nose.</w:t>
      </w:r>
    </w:p>
    <w:p w:rsidR="00B72047" w:rsidRDefault="00B72047">
      <w:pPr>
        <w:pStyle w:val="examplescaled"/>
      </w:pPr>
      <w:r>
        <w:tab/>
        <w:t>I only hit my cousin on his nose (I did nothing else to him).</w:t>
      </w:r>
    </w:p>
    <w:p w:rsidR="00B72047" w:rsidRDefault="00B72047">
      <w:pPr>
        <w:pStyle w:val="examplescaledpre"/>
      </w:pPr>
      <w:r>
        <w:rPr>
          <w:rStyle w:val="htmlcodes"/>
        </w:rPr>
        <w:t>&lt;a name=e12d3&gt;</w:t>
      </w:r>
      <w:r>
        <w:t>12.3)</w:t>
      </w:r>
      <w:r>
        <w:tab/>
        <w:t>mi darxi le mi tamne po'o fo le nazbi</w:t>
      </w:r>
    </w:p>
    <w:p w:rsidR="00B72047" w:rsidRDefault="00B72047">
      <w:pPr>
        <w:pStyle w:val="examplescaled"/>
      </w:pPr>
      <w:r>
        <w:tab/>
        <w:t>I hit my cousin [only] at-locus the nose.</w:t>
      </w:r>
    </w:p>
    <w:p w:rsidR="00B72047" w:rsidRDefault="00B72047">
      <w:pPr>
        <w:pStyle w:val="examplescaled"/>
      </w:pPr>
      <w:r>
        <w:tab/>
        <w:t>I hit only my cousin on his nose (no one else).</w:t>
      </w:r>
    </w:p>
    <w:p w:rsidR="00B72047" w:rsidRDefault="00B72047">
      <w:pPr>
        <w:pStyle w:val="examplescaledpre"/>
      </w:pPr>
      <w:r>
        <w:rPr>
          <w:rStyle w:val="htmlcodes"/>
        </w:rPr>
        <w:t>&lt;a name=e12d4&gt;</w:t>
      </w:r>
      <w:r>
        <w:t>12.4)</w:t>
      </w:r>
      <w:r>
        <w:tab/>
        <w:t>mi darxi le mi tamne fo le nazbi po'o</w:t>
      </w:r>
    </w:p>
    <w:p w:rsidR="00B72047" w:rsidRDefault="00B72047">
      <w:pPr>
        <w:pStyle w:val="examplescaled"/>
      </w:pPr>
      <w:r>
        <w:tab/>
        <w:t>I hit my cousin at-locus the nose [only].</w:t>
      </w:r>
    </w:p>
    <w:p w:rsidR="00B72047" w:rsidRDefault="00B72047">
      <w:pPr>
        <w:pStyle w:val="examplescaled"/>
      </w:pPr>
      <w:r>
        <w:tab/>
        <w:t>I hit my cousin only on his nose (nowhere else).</w:t>
      </w:r>
    </w:p>
    <w:p w:rsidR="00B72047" w:rsidRDefault="00B72047">
      <w:pPr>
        <w:pStyle w:val="resumedafterexample"/>
      </w:pPr>
      <w:r>
        <w:rPr>
          <w:rStyle w:val="htmlcodes"/>
        </w:rPr>
        <w:t>&lt;/pre&gt;</w:t>
      </w:r>
      <w:r>
        <w:rPr>
          <w:rStyle w:val="indexentry"/>
        </w:rPr>
        <w:t>&lt;cx "po'o, placement in sentence"&gt;</w:t>
      </w:r>
      <w:r>
        <w:rPr>
          <w:rStyle w:val="indexentry"/>
        </w:rPr>
        <w:fldChar w:fldCharType="begin"/>
      </w:r>
      <w:r>
        <w:instrText>xe "</w:instrText>
      </w:r>
      <w:r>
        <w:rPr>
          <w:rStyle w:val="xeentry"/>
        </w:rPr>
        <w:instrText>po'o: placement in sentence</w:instrText>
      </w:r>
      <w:r>
        <w:instrText>"</w:instrText>
      </w:r>
      <w:r>
        <w:rPr>
          <w:rStyle w:val="indexentry"/>
        </w:rPr>
        <w:fldChar w:fldCharType="end"/>
      </w:r>
      <w:r>
        <w:t>Note that “only” can go before or after what it modifies in English, but</w:t>
      </w:r>
      <w:r>
        <w:rPr>
          <w:rStyle w:val="deletedparamark"/>
        </w:rPr>
        <w:t xml:space="preserve"> “</w:t>
      </w:r>
      <w:r>
        <w:t>po'o”, as an ind</w:t>
      </w:r>
      <w:r>
        <w:t>i</w:t>
      </w:r>
      <w:r>
        <w:softHyphen/>
        <w:t>cator, always comes afterward.</w:t>
      </w:r>
    </w:p>
    <w:p w:rsidR="00B72047" w:rsidRDefault="00B72047">
      <w:pPr>
        <w:rPr>
          <w:rStyle w:val="htmlparacode"/>
        </w:rPr>
      </w:pPr>
      <w:r>
        <w:rPr>
          <w:rStyle w:val="htmlparacode"/>
        </w:rPr>
        <w:t>&lt;p&gt;</w:t>
      </w:r>
    </w:p>
    <w:p w:rsidR="00B72047" w:rsidRDefault="00B72047">
      <w:pPr>
        <w:pStyle w:val="normalparagraph"/>
      </w:pPr>
      <w:r>
        <w:t>Next, the “commentary on words” group:</w:t>
      </w:r>
    </w:p>
    <w:p w:rsidR="00B72047" w:rsidRDefault="00B72047">
      <w:pPr>
        <w:pStyle w:val="exampwidetabs"/>
        <w:rPr>
          <w:rStyle w:val="htmlparacode"/>
        </w:rPr>
      </w:pPr>
      <w:r>
        <w:rPr>
          <w:rStyle w:val="htmlparacode"/>
        </w:rPr>
        <w:t>&lt;p&gt;</w:t>
      </w:r>
    </w:p>
    <w:p w:rsidR="00B72047" w:rsidRDefault="00B72047">
      <w:pPr>
        <w:pStyle w:val="examplewtabspre"/>
      </w:pPr>
      <w:r>
        <w:rPr>
          <w:rStyle w:val="indexentry"/>
        </w:rPr>
        <w:t>&lt;lx "va'i"&gt;</w:t>
      </w:r>
      <w:r>
        <w:rPr>
          <w:rStyle w:val="indexentry"/>
        </w:rPr>
        <w:fldChar w:fldCharType="begin"/>
      </w:r>
      <w:r>
        <w:instrText>xe "</w:instrText>
      </w:r>
      <w:r>
        <w:rPr>
          <w:rStyle w:val="xeentry"/>
        </w:rPr>
        <w:instrText>va'i</w:instrText>
      </w:r>
      <w:r>
        <w:instrText>"</w:instrText>
      </w:r>
      <w:r>
        <w:rPr>
          <w:rStyle w:val="indexentry"/>
        </w:rPr>
        <w:fldChar w:fldCharType="end"/>
      </w:r>
      <w:r>
        <w:rPr>
          <w:rStyle w:val="indexentry"/>
        </w:rPr>
        <w:t>&lt;lx "ta'u"&gt;</w:t>
      </w:r>
      <w:r>
        <w:rPr>
          <w:rStyle w:val="indexentry"/>
        </w:rPr>
        <w:fldChar w:fldCharType="begin"/>
      </w:r>
      <w:r>
        <w:instrText>xe "</w:instrText>
      </w:r>
      <w:r>
        <w:rPr>
          <w:rStyle w:val="xeentry"/>
        </w:rPr>
        <w:instrText>ta'u</w:instrText>
      </w:r>
      <w:r>
        <w:instrText>"</w:instrText>
      </w:r>
      <w:r>
        <w:rPr>
          <w:rStyle w:val="indexentry"/>
        </w:rPr>
        <w:fldChar w:fldCharType="end"/>
      </w:r>
      <w:r>
        <w:rPr>
          <w:rStyle w:val="htmlcodes"/>
        </w:rPr>
        <w:t>&lt;pre&gt;</w:t>
      </w:r>
      <w:r>
        <w:t>va'i</w:t>
      </w:r>
      <w:r>
        <w:tab/>
        <w:t>[valsi]</w:t>
      </w:r>
      <w:r>
        <w:tab/>
        <w:t>in other words</w:t>
      </w:r>
      <w:r>
        <w:tab/>
      </w:r>
      <w:r>
        <w:tab/>
        <w:t>in the same words</w:t>
      </w:r>
    </w:p>
    <w:p w:rsidR="00B72047" w:rsidRDefault="00B72047">
      <w:pPr>
        <w:pStyle w:val="exampwidetabs"/>
      </w:pPr>
      <w:r>
        <w:t>ta'u</w:t>
      </w:r>
      <w:r>
        <w:tab/>
        <w:t>[tanru]</w:t>
      </w:r>
      <w:r>
        <w:tab/>
        <w:t>expanding a tanru</w:t>
      </w:r>
      <w:r>
        <w:tab/>
        <w:t>making a tanru</w:t>
      </w:r>
    </w:p>
    <w:p w:rsidR="00B72047" w:rsidRDefault="00B72047">
      <w:pPr>
        <w:pStyle w:val="normalafterexample"/>
      </w:pPr>
      <w:r>
        <w:rPr>
          <w:rStyle w:val="htmlcodes"/>
        </w:rPr>
        <w:t>&lt;/pre&gt;</w:t>
      </w:r>
      <w:r>
        <w:rPr>
          <w:rStyle w:val="indexentry"/>
        </w:rPr>
        <w:t>&lt;cx "discursives, word-level"&gt;</w:t>
      </w:r>
      <w:r>
        <w:rPr>
          <w:rStyle w:val="indexentry"/>
        </w:rPr>
        <w:fldChar w:fldCharType="begin"/>
      </w:r>
      <w:r>
        <w:instrText>xe "</w:instrText>
      </w:r>
      <w:r>
        <w:rPr>
          <w:rStyle w:val="xeentry"/>
        </w:rPr>
        <w:instrText>discursives: word-level</w:instrText>
      </w:r>
      <w:r>
        <w:instrText>"</w:instrText>
      </w:r>
      <w:r>
        <w:rPr>
          <w:rStyle w:val="indexentry"/>
        </w:rPr>
        <w:fldChar w:fldCharType="end"/>
      </w:r>
      <w:r>
        <w:rPr>
          <w:rStyle w:val="indexentry"/>
        </w:rPr>
        <w:t>&lt;cx "discursives, expressing how things are said"&gt;</w:t>
      </w:r>
      <w:r>
        <w:rPr>
          <w:rStyle w:val="indexentry"/>
        </w:rPr>
        <w:fldChar w:fldCharType="begin"/>
      </w:r>
      <w:r>
        <w:instrText>xe "</w:instrText>
      </w:r>
      <w:r>
        <w:rPr>
          <w:rStyle w:val="xeentry"/>
        </w:rPr>
        <w:instrText>discursives: expressing how things are said</w:instrText>
      </w:r>
      <w:r>
        <w:instrText>"</w:instrText>
      </w:r>
      <w:r>
        <w:rPr>
          <w:rStyle w:val="indexentry"/>
        </w:rPr>
        <w:fldChar w:fldCharType="end"/>
      </w:r>
      <w:r>
        <w:t>The discursives “va'i” and “ta'u” operate at the level of words, rather than</w:t>
      </w:r>
      <w:r>
        <w:rPr>
          <w:rStyle w:val="deletedparamark"/>
        </w:rPr>
        <w:t xml:space="preserve"> </w:t>
      </w:r>
      <w:r>
        <w:t>dis</w:t>
      </w:r>
      <w:r>
        <w:softHyphen/>
        <w:t>course proper, or if you like, they deal with how things are said.</w:t>
      </w:r>
      <w:r>
        <w:rPr>
          <w:rStyle w:val="deletedparamark"/>
        </w:rPr>
        <w:t xml:space="preserve"> </w:t>
      </w:r>
      <w:r>
        <w:t>An alternative English expre</w:t>
      </w:r>
      <w:r>
        <w:t>s</w:t>
      </w:r>
      <w:r>
        <w:softHyphen/>
        <w:t>sion for “va'i” is “rephrasing”; for “va'inai”,</w:t>
      </w:r>
      <w:r>
        <w:rPr>
          <w:rStyle w:val="deletedparamark"/>
        </w:rPr>
        <w:t xml:space="preserve"> “</w:t>
      </w:r>
      <w:r>
        <w:t>repeating”. Also compare “va'i” with “ke'u”, discussed below.</w:t>
      </w:r>
    </w:p>
    <w:p w:rsidR="00B72047" w:rsidRDefault="00B72047">
      <w:pPr>
        <w:rPr>
          <w:rStyle w:val="htmlparacode"/>
        </w:rPr>
      </w:pPr>
      <w:r>
        <w:rPr>
          <w:rStyle w:val="htmlparacode"/>
        </w:rPr>
        <w:t>&lt;p&gt;</w:t>
      </w:r>
    </w:p>
    <w:p w:rsidR="00B72047" w:rsidRDefault="00B72047">
      <w:pPr>
        <w:pStyle w:val="normalparagraph"/>
      </w:pPr>
      <w:r>
        <w:rPr>
          <w:rStyle w:val="indexentry"/>
        </w:rPr>
        <w:t>&lt;cx "tanru, expanding"&gt;</w:t>
      </w:r>
      <w:r>
        <w:rPr>
          <w:rStyle w:val="indexentry"/>
        </w:rPr>
        <w:fldChar w:fldCharType="begin"/>
      </w:r>
      <w:r>
        <w:instrText>xe "</w:instrText>
      </w:r>
      <w:r>
        <w:rPr>
          <w:rStyle w:val="xeentry"/>
        </w:rPr>
        <w:instrText>tanru: expanding</w:instrText>
      </w:r>
      <w:r>
        <w:instrText>"</w:instrText>
      </w:r>
      <w:r>
        <w:rPr>
          <w:rStyle w:val="indexentry"/>
        </w:rPr>
        <w:fldChar w:fldCharType="end"/>
      </w:r>
      <w:r>
        <w:rPr>
          <w:rStyle w:val="indexentry"/>
        </w:rPr>
        <w:t>&lt;cx "tanru, explicating"&gt;</w:t>
      </w:r>
      <w:r>
        <w:rPr>
          <w:rStyle w:val="indexentry"/>
        </w:rPr>
        <w:fldChar w:fldCharType="begin"/>
      </w:r>
      <w:r>
        <w:instrText>xe "</w:instrText>
      </w:r>
      <w:r>
        <w:rPr>
          <w:rStyle w:val="xeentry"/>
        </w:rPr>
        <w:instrText>tanru: explicating</w:instrText>
      </w:r>
      <w:r>
        <w:instrText>"</w:instrText>
      </w:r>
      <w:r>
        <w:rPr>
          <w:rStyle w:val="indexentry"/>
        </w:rPr>
        <w:fldChar w:fldCharType="end"/>
      </w:r>
      <w:r>
        <w:rPr>
          <w:rStyle w:val="indexentry"/>
        </w:rPr>
        <w:t>&lt;cx "tanru, explicitly defining"&gt;</w:t>
      </w:r>
      <w:r>
        <w:rPr>
          <w:rStyle w:val="indexentry"/>
        </w:rPr>
        <w:fldChar w:fldCharType="begin"/>
      </w:r>
      <w:r>
        <w:instrText>xe "</w:instrText>
      </w:r>
      <w:r>
        <w:rPr>
          <w:rStyle w:val="xeentry"/>
        </w:rPr>
        <w:instrText>tanru: explicitly defining</w:instrText>
      </w:r>
      <w:r>
        <w:instrText>"</w:instrText>
      </w:r>
      <w:r>
        <w:rPr>
          <w:rStyle w:val="indexentry"/>
        </w:rPr>
        <w:fldChar w:fldCharType="end"/>
      </w:r>
      <w:r>
        <w:rPr>
          <w:rStyle w:val="indexentry"/>
        </w:rPr>
        <w:t>&lt;lx "ta'unai"&gt;</w:t>
      </w:r>
      <w:r>
        <w:rPr>
          <w:rStyle w:val="indexentry"/>
        </w:rPr>
        <w:fldChar w:fldCharType="begin"/>
      </w:r>
      <w:r>
        <w:instrText>xe "</w:instrText>
      </w:r>
      <w:r>
        <w:rPr>
          <w:rStyle w:val="xeentry"/>
        </w:rPr>
        <w:instrText>ta'unai</w:instrText>
      </w:r>
      <w:r>
        <w:instrText>"</w:instrText>
      </w:r>
      <w:r>
        <w:rPr>
          <w:rStyle w:val="indexentry"/>
        </w:rPr>
        <w:fldChar w:fldCharType="end"/>
      </w:r>
      <w:r>
        <w:t>The cmavo “ta'u” is a discursive unique to Lojban; it ex</w:t>
      </w:r>
      <w:r>
        <w:softHyphen/>
        <w:t>presses the</w:t>
      </w:r>
      <w:r>
        <w:rPr>
          <w:rStyle w:val="deletedparamark"/>
        </w:rPr>
        <w:t xml:space="preserve"> </w:t>
      </w:r>
      <w:r>
        <w:t>particularly L</w:t>
      </w:r>
      <w:r>
        <w:t>o</w:t>
      </w:r>
      <w:r>
        <w:softHyphen/>
        <w:t>j</w:t>
      </w:r>
      <w:r>
        <w:softHyphen/>
        <w:t>banic device of tanru. Since tanru are se</w:t>
      </w:r>
      <w:r>
        <w:softHyphen/>
        <w:t>mantically</w:t>
      </w:r>
      <w:r>
        <w:rPr>
          <w:rStyle w:val="deletedparamark"/>
        </w:rPr>
        <w:t xml:space="preserve"> </w:t>
      </w:r>
      <w:r>
        <w:t>ambiguous, they are subject to mi</w:t>
      </w:r>
      <w:r>
        <w:t>s</w:t>
      </w:r>
      <w:r>
        <w:softHyphen/>
        <w:t>understanding. This ambiguity can be</w:t>
      </w:r>
      <w:r>
        <w:rPr>
          <w:rStyle w:val="deletedparamark"/>
        </w:rPr>
        <w:t xml:space="preserve"> </w:t>
      </w:r>
      <w:r>
        <w:t>removed by expanding the tanru into some seman</w:t>
      </w:r>
      <w:r>
        <w:softHyphen/>
        <w:t>tically unambiguous</w:t>
      </w:r>
      <w:r>
        <w:rPr>
          <w:rStyle w:val="deletedparamark"/>
        </w:rPr>
        <w:t xml:space="preserve"> </w:t>
      </w:r>
      <w:r>
        <w:t>structure, often involving relative clauses or the introduction of</w:t>
      </w:r>
      <w:r>
        <w:rPr>
          <w:rStyle w:val="deletedparamark"/>
        </w:rPr>
        <w:t xml:space="preserve"> </w:t>
      </w:r>
      <w:r>
        <w:t>a</w:t>
      </w:r>
      <w:r>
        <w:t>d</w:t>
      </w:r>
      <w:r>
        <w:softHyphen/>
        <w:t>ditional brivla. The discursive “ta'u” marks the tran</w:t>
      </w:r>
      <w:r>
        <w:softHyphen/>
        <w:t>sition from the use</w:t>
      </w:r>
      <w:r>
        <w:rPr>
          <w:rStyle w:val="deletedparamark"/>
        </w:rPr>
        <w:t xml:space="preserve"> </w:t>
      </w:r>
      <w:r>
        <w:t>of a brief but po</w:t>
      </w:r>
      <w:r>
        <w:t>s</w:t>
      </w:r>
      <w:r>
        <w:softHyphen/>
        <w:t>sibly confusing tanru to its fuller, clearer expansion;</w:t>
      </w:r>
      <w:r>
        <w:rPr>
          <w:rStyle w:val="deletedparamark"/>
        </w:rPr>
        <w:t xml:space="preserve"> </w:t>
      </w:r>
      <w:r>
        <w:t>the discursive “ta'unai” marks a tra</w:t>
      </w:r>
      <w:r>
        <w:t>n</w:t>
      </w:r>
      <w:r>
        <w:softHyphen/>
        <w:t>sition in the reverse direction.</w:t>
      </w:r>
    </w:p>
    <w:p w:rsidR="00B72047" w:rsidRDefault="00B72047">
      <w:pPr>
        <w:pStyle w:val="normalparagraph"/>
        <w:rPr>
          <w:rStyle w:val="htmlparacode"/>
        </w:rPr>
      </w:pPr>
      <w:r>
        <w:rPr>
          <w:rStyle w:val="htmlparacode"/>
        </w:rPr>
        <w:t>&lt;p&gt;</w:t>
      </w:r>
    </w:p>
    <w:p w:rsidR="00B72047" w:rsidRDefault="00B72047">
      <w:pPr>
        <w:pStyle w:val="normalparagraph"/>
      </w:pPr>
      <w:r>
        <w:t>Next, the “commentary on discourse” group:</w:t>
      </w:r>
    </w:p>
    <w:p w:rsidR="00B72047" w:rsidRDefault="00B72047">
      <w:pPr>
        <w:rPr>
          <w:rStyle w:val="htmlparacode"/>
        </w:rPr>
      </w:pPr>
      <w:r>
        <w:rPr>
          <w:rStyle w:val="htmlparacode"/>
        </w:rPr>
        <w:t>&lt;p&gt;</w:t>
      </w:r>
    </w:p>
    <w:p w:rsidR="00B72047" w:rsidRDefault="00B72047">
      <w:pPr>
        <w:pStyle w:val="examplewtabspre"/>
      </w:pPr>
      <w:r>
        <w:rPr>
          <w:rStyle w:val="indexentry"/>
        </w:rPr>
        <w:t>&lt;lx "li'a"&gt;</w:t>
      </w:r>
      <w:r>
        <w:rPr>
          <w:rStyle w:val="indexentry"/>
        </w:rPr>
        <w:fldChar w:fldCharType="begin"/>
      </w:r>
      <w:r>
        <w:instrText>xe "</w:instrText>
      </w:r>
      <w:r>
        <w:rPr>
          <w:rStyle w:val="xeentry"/>
        </w:rPr>
        <w:instrText>li'a</w:instrText>
      </w:r>
      <w:r>
        <w:instrText>"</w:instrText>
      </w:r>
      <w:r>
        <w:rPr>
          <w:rStyle w:val="indexentry"/>
        </w:rPr>
        <w:fldChar w:fldCharType="end"/>
      </w:r>
      <w:r>
        <w:rPr>
          <w:rStyle w:val="indexentry"/>
        </w:rPr>
        <w:t>&lt;lx "ba'u"&gt;</w:t>
      </w:r>
      <w:r>
        <w:rPr>
          <w:rStyle w:val="indexentry"/>
        </w:rPr>
        <w:fldChar w:fldCharType="begin"/>
      </w:r>
      <w:r>
        <w:instrText>xe "</w:instrText>
      </w:r>
      <w:r>
        <w:rPr>
          <w:rStyle w:val="xeentry"/>
        </w:rPr>
        <w:instrText>ba'u</w:instrText>
      </w:r>
      <w:r>
        <w:instrText>"</w:instrText>
      </w:r>
      <w:r>
        <w:rPr>
          <w:rStyle w:val="indexentry"/>
        </w:rPr>
        <w:fldChar w:fldCharType="end"/>
      </w:r>
      <w:r>
        <w:rPr>
          <w:rStyle w:val="indexentry"/>
        </w:rPr>
        <w:t>&lt;lx "zo'o"&gt;</w:t>
      </w:r>
      <w:r>
        <w:rPr>
          <w:rStyle w:val="indexentry"/>
        </w:rPr>
        <w:fldChar w:fldCharType="begin"/>
      </w:r>
      <w:r>
        <w:instrText>xe "</w:instrText>
      </w:r>
      <w:r>
        <w:rPr>
          <w:rStyle w:val="xeentry"/>
        </w:rPr>
        <w:instrText>zo'o</w:instrText>
      </w:r>
      <w:r>
        <w:instrText>"</w:instrText>
      </w:r>
      <w:r>
        <w:rPr>
          <w:rStyle w:val="indexentry"/>
        </w:rPr>
        <w:fldChar w:fldCharType="end"/>
      </w:r>
      <w:r>
        <w:rPr>
          <w:rStyle w:val="indexentry"/>
        </w:rPr>
        <w:t>&lt;lx "sa'e"&gt;</w:t>
      </w:r>
      <w:r>
        <w:rPr>
          <w:rStyle w:val="indexentry"/>
        </w:rPr>
        <w:fldChar w:fldCharType="begin"/>
      </w:r>
      <w:r>
        <w:instrText>xe "</w:instrText>
      </w:r>
      <w:r>
        <w:rPr>
          <w:rStyle w:val="xeentry"/>
        </w:rPr>
        <w:instrText>sa'e</w:instrText>
      </w:r>
      <w:r>
        <w:instrText>"</w:instrText>
      </w:r>
      <w:r>
        <w:rPr>
          <w:rStyle w:val="indexentry"/>
        </w:rPr>
        <w:fldChar w:fldCharType="end"/>
      </w:r>
      <w:r>
        <w:rPr>
          <w:rStyle w:val="indexentry"/>
        </w:rPr>
        <w:t>&lt;lx "to'u"&gt;</w:t>
      </w:r>
      <w:r>
        <w:rPr>
          <w:rStyle w:val="indexentry"/>
        </w:rPr>
        <w:fldChar w:fldCharType="begin"/>
      </w:r>
      <w:r>
        <w:instrText>xe "</w:instrText>
      </w:r>
      <w:r>
        <w:rPr>
          <w:rStyle w:val="xeentry"/>
        </w:rPr>
        <w:instrText>to'u</w:instrText>
      </w:r>
      <w:r>
        <w:instrText>"</w:instrText>
      </w:r>
      <w:r>
        <w:rPr>
          <w:rStyle w:val="indexentry"/>
        </w:rPr>
        <w:fldChar w:fldCharType="end"/>
      </w:r>
      <w:r>
        <w:rPr>
          <w:rStyle w:val="indexentry"/>
        </w:rPr>
        <w:t>&lt;lx "do'a"&gt;</w:t>
      </w:r>
      <w:r>
        <w:rPr>
          <w:rStyle w:val="indexentry"/>
        </w:rPr>
        <w:fldChar w:fldCharType="begin"/>
      </w:r>
      <w:r>
        <w:instrText>xe "</w:instrText>
      </w:r>
      <w:r>
        <w:rPr>
          <w:rStyle w:val="xeentry"/>
        </w:rPr>
        <w:instrText>do'a</w:instrText>
      </w:r>
      <w:r>
        <w:instrText>"</w:instrText>
      </w:r>
      <w:r>
        <w:rPr>
          <w:rStyle w:val="indexentry"/>
        </w:rPr>
        <w:fldChar w:fldCharType="end"/>
      </w:r>
      <w:r>
        <w:rPr>
          <w:rStyle w:val="indexentry"/>
        </w:rPr>
        <w:t>&lt;lx "sa'u"&gt;</w:t>
      </w:r>
      <w:r>
        <w:rPr>
          <w:rStyle w:val="indexentry"/>
        </w:rPr>
        <w:fldChar w:fldCharType="begin"/>
      </w:r>
      <w:r>
        <w:instrText>xe "</w:instrText>
      </w:r>
      <w:r>
        <w:rPr>
          <w:rStyle w:val="xeentry"/>
        </w:rPr>
        <w:instrText>sa'u</w:instrText>
      </w:r>
      <w:r>
        <w:instrText>"</w:instrText>
      </w:r>
      <w:r>
        <w:rPr>
          <w:rStyle w:val="indexentry"/>
        </w:rPr>
        <w:fldChar w:fldCharType="end"/>
      </w:r>
      <w:r>
        <w:rPr>
          <w:rStyle w:val="indexentry"/>
        </w:rPr>
        <w:t>&lt;lx "pa'e"&gt;</w:t>
      </w:r>
      <w:r>
        <w:rPr>
          <w:rStyle w:val="indexentry"/>
        </w:rPr>
        <w:fldChar w:fldCharType="begin"/>
      </w:r>
      <w:r>
        <w:instrText>xe "</w:instrText>
      </w:r>
      <w:r>
        <w:rPr>
          <w:rStyle w:val="xeentry"/>
        </w:rPr>
        <w:instrText>pa'e</w:instrText>
      </w:r>
      <w:r>
        <w:instrText>"</w:instrText>
      </w:r>
      <w:r>
        <w:rPr>
          <w:rStyle w:val="indexentry"/>
        </w:rPr>
        <w:fldChar w:fldCharType="end"/>
      </w:r>
      <w:r>
        <w:rPr>
          <w:rStyle w:val="indexentry"/>
        </w:rPr>
        <w:t>&lt;lx "ge'u"&gt;</w:t>
      </w:r>
      <w:r>
        <w:rPr>
          <w:rStyle w:val="indexentry"/>
        </w:rPr>
        <w:fldChar w:fldCharType="begin"/>
      </w:r>
      <w:r>
        <w:instrText>xe "</w:instrText>
      </w:r>
      <w:r>
        <w:rPr>
          <w:rStyle w:val="xeentry"/>
        </w:rPr>
        <w:instrText>ge'u</w:instrText>
      </w:r>
      <w:r>
        <w:instrText>"</w:instrText>
      </w:r>
      <w:r>
        <w:rPr>
          <w:rStyle w:val="indexentry"/>
        </w:rPr>
        <w:fldChar w:fldCharType="end"/>
      </w:r>
      <w:r>
        <w:rPr>
          <w:rStyle w:val="htmlcodes"/>
        </w:rPr>
        <w:t>&lt;pre&gt;</w:t>
      </w:r>
      <w:r>
        <w:t xml:space="preserve"> li'a</w:t>
      </w:r>
      <w:r>
        <w:tab/>
        <w:t>[klina]</w:t>
      </w:r>
      <w:r>
        <w:tab/>
        <w:t>clearly</w:t>
      </w:r>
      <w:r>
        <w:tab/>
      </w:r>
      <w:r>
        <w:tab/>
        <w:t>obscurely</w:t>
      </w:r>
    </w:p>
    <w:p w:rsidR="00B72047" w:rsidRDefault="00B72047">
      <w:pPr>
        <w:pStyle w:val="exampwidetabs"/>
      </w:pPr>
      <w:r>
        <w:tab/>
      </w:r>
      <w:r>
        <w:tab/>
        <w:t>obviously</w:t>
      </w:r>
      <w:r>
        <w:tab/>
      </w:r>
    </w:p>
    <w:p w:rsidR="00B72047" w:rsidRDefault="00B72047">
      <w:pPr>
        <w:pStyle w:val="exampwidetabs"/>
      </w:pPr>
      <w:r>
        <w:t>ba'u</w:t>
      </w:r>
      <w:r>
        <w:tab/>
        <w:t>[banli]</w:t>
      </w:r>
      <w:r>
        <w:tab/>
        <w:t>exaggeration</w:t>
      </w:r>
      <w:r>
        <w:tab/>
        <w:t>accuracy</w:t>
      </w:r>
      <w:r>
        <w:tab/>
        <w:t>understatement</w:t>
      </w:r>
    </w:p>
    <w:p w:rsidR="00B72047" w:rsidRDefault="00B72047">
      <w:pPr>
        <w:pStyle w:val="exampwidetabs"/>
      </w:pPr>
      <w:r>
        <w:t>zo'o</w:t>
      </w:r>
      <w:r>
        <w:tab/>
      </w:r>
      <w:r>
        <w:tab/>
        <w:t>humorously</w:t>
      </w:r>
      <w:r>
        <w:tab/>
        <w:t>dully</w:t>
      </w:r>
      <w:r>
        <w:tab/>
        <w:t>seriously</w:t>
      </w:r>
    </w:p>
    <w:p w:rsidR="00B72047" w:rsidRDefault="00B72047">
      <w:pPr>
        <w:pStyle w:val="exampwidetabs"/>
      </w:pPr>
      <w:r>
        <w:t>sa'e</w:t>
      </w:r>
      <w:r>
        <w:tab/>
        <w:t>[satci]</w:t>
      </w:r>
      <w:r>
        <w:tab/>
        <w:t>precisely speaking</w:t>
      </w:r>
      <w:r>
        <w:tab/>
        <w:t>loosely speaking</w:t>
      </w:r>
    </w:p>
    <w:p w:rsidR="00B72047" w:rsidRDefault="00B72047">
      <w:pPr>
        <w:pStyle w:val="exampwidetabs"/>
      </w:pPr>
      <w:r>
        <w:t>to'u</w:t>
      </w:r>
      <w:r>
        <w:tab/>
        <w:t>[tordu]</w:t>
      </w:r>
      <w:r>
        <w:tab/>
        <w:t>in brief</w:t>
      </w:r>
      <w:r>
        <w:tab/>
      </w:r>
      <w:r>
        <w:tab/>
        <w:t>in detail</w:t>
      </w:r>
    </w:p>
    <w:p w:rsidR="00B72047" w:rsidRDefault="00B72047">
      <w:pPr>
        <w:pStyle w:val="exampwidetabs"/>
      </w:pPr>
      <w:r>
        <w:t>do'a</w:t>
      </w:r>
      <w:r>
        <w:tab/>
        <w:t>[dunda]</w:t>
      </w:r>
      <w:r>
        <w:tab/>
        <w:t>generously</w:t>
      </w:r>
      <w:r>
        <w:tab/>
      </w:r>
      <w:r>
        <w:tab/>
        <w:t>parsimoniously</w:t>
      </w:r>
    </w:p>
    <w:p w:rsidR="00B72047" w:rsidRDefault="00B72047">
      <w:pPr>
        <w:pStyle w:val="exampwidetabs"/>
      </w:pPr>
      <w:r>
        <w:t>sa'u</w:t>
      </w:r>
      <w:r>
        <w:tab/>
        <w:t>[sampu]</w:t>
      </w:r>
      <w:r>
        <w:tab/>
        <w:t>simply</w:t>
      </w:r>
      <w:r>
        <w:tab/>
      </w:r>
      <w:r>
        <w:tab/>
        <w:t>elaborating</w:t>
      </w:r>
    </w:p>
    <w:p w:rsidR="00B72047" w:rsidRDefault="00B72047">
      <w:pPr>
        <w:pStyle w:val="exampwidetabs"/>
      </w:pPr>
      <w:r>
        <w:t>pa'e</w:t>
      </w:r>
      <w:r>
        <w:tab/>
        <w:t>[pajni]</w:t>
      </w:r>
      <w:r>
        <w:tab/>
        <w:t>justice</w:t>
      </w:r>
      <w:r>
        <w:tab/>
      </w:r>
      <w:r>
        <w:tab/>
        <w:t>prejudice</w:t>
      </w:r>
    </w:p>
    <w:p w:rsidR="00B72047" w:rsidRDefault="00B72047">
      <w:pPr>
        <w:pStyle w:val="exampwidetabs"/>
      </w:pPr>
      <w:r>
        <w:t>je'u</w:t>
      </w:r>
      <w:r>
        <w:tab/>
        <w:t>[jetnu]</w:t>
      </w:r>
      <w:r>
        <w:tab/>
        <w:t>truly</w:t>
      </w:r>
      <w:r>
        <w:tab/>
      </w:r>
      <w:r>
        <w:tab/>
        <w:t>falsely</w:t>
      </w:r>
    </w:p>
    <w:p w:rsidR="00B72047" w:rsidRDefault="00B72047">
      <w:pPr>
        <w:pStyle w:val="normalafterexample"/>
      </w:pPr>
      <w:r>
        <w:rPr>
          <w:rStyle w:val="htmlcodes"/>
        </w:rPr>
        <w:t>&lt;/pre&gt;</w:t>
      </w:r>
      <w:r>
        <w:rPr>
          <w:rStyle w:val="indexentry"/>
        </w:rPr>
        <w:t>&lt;lx "zo'o"&gt;</w:t>
      </w:r>
      <w:r>
        <w:rPr>
          <w:rStyle w:val="indexentry"/>
        </w:rPr>
        <w:fldChar w:fldCharType="begin"/>
      </w:r>
      <w:r>
        <w:instrText>xe "</w:instrText>
      </w:r>
      <w:r>
        <w:rPr>
          <w:rStyle w:val="xeentry"/>
        </w:rPr>
        <w:instrText>zo'o</w:instrText>
      </w:r>
      <w:r>
        <w:instrText>"</w:instrText>
      </w:r>
      <w:r>
        <w:rPr>
          <w:rStyle w:val="indexentry"/>
        </w:rPr>
        <w:fldChar w:fldCharType="end"/>
      </w:r>
      <w:r>
        <w:rPr>
          <w:rStyle w:val="indexentry"/>
        </w:rPr>
        <w:t>&lt;cx "discursives, discourse commentary"&gt;</w:t>
      </w:r>
      <w:r>
        <w:rPr>
          <w:rStyle w:val="indexentry"/>
        </w:rPr>
        <w:fldChar w:fldCharType="begin"/>
      </w:r>
      <w:r>
        <w:instrText>xe "</w:instrText>
      </w:r>
      <w:r>
        <w:rPr>
          <w:rStyle w:val="xeentry"/>
        </w:rPr>
        <w:instrText>discursives: discourse commentary</w:instrText>
      </w:r>
      <w:r>
        <w:instrText>"</w:instrText>
      </w:r>
      <w:r>
        <w:rPr>
          <w:rStyle w:val="indexentry"/>
        </w:rPr>
        <w:fldChar w:fldCharType="end"/>
      </w:r>
      <w:r>
        <w:rPr>
          <w:rStyle w:val="indexentry"/>
        </w:rPr>
        <w:t>&lt;cx "discourse, commentary on"&gt;</w:t>
      </w:r>
      <w:r>
        <w:rPr>
          <w:rStyle w:val="indexentry"/>
        </w:rPr>
        <w:fldChar w:fldCharType="begin"/>
      </w:r>
      <w:r>
        <w:instrText>xe "</w:instrText>
      </w:r>
      <w:r>
        <w:rPr>
          <w:rStyle w:val="xeentry"/>
        </w:rPr>
        <w:instrText>discourse: commentary on</w:instrText>
      </w:r>
      <w:r>
        <w:instrText>"</w:instrText>
      </w:r>
      <w:r>
        <w:rPr>
          <w:rStyle w:val="indexentry"/>
        </w:rPr>
        <w:fldChar w:fldCharType="end"/>
      </w:r>
      <w:r>
        <w:rPr>
          <w:rStyle w:val="indexentry"/>
        </w:rPr>
        <w:t>&lt;cx "discourse, tone of voice markers"&gt;</w:t>
      </w:r>
      <w:r>
        <w:rPr>
          <w:rStyle w:val="indexentry"/>
        </w:rPr>
        <w:fldChar w:fldCharType="begin"/>
      </w:r>
      <w:r>
        <w:instrText>xe "</w:instrText>
      </w:r>
      <w:r>
        <w:rPr>
          <w:rStyle w:val="xeentry"/>
        </w:rPr>
        <w:instrText>discourse: tone of voice markers</w:instrText>
      </w:r>
      <w:r>
        <w:instrText>"</w:instrText>
      </w:r>
      <w:r>
        <w:rPr>
          <w:rStyle w:val="indexentry"/>
        </w:rPr>
        <w:fldChar w:fldCharType="end"/>
      </w:r>
      <w:r>
        <w:rPr>
          <w:rStyle w:val="indexentry"/>
        </w:rPr>
        <w:t>&lt;cx "discourse, gesture markers"&gt;</w:t>
      </w:r>
      <w:r>
        <w:rPr>
          <w:rStyle w:val="indexentry"/>
        </w:rPr>
        <w:fldChar w:fldCharType="begin"/>
      </w:r>
      <w:r>
        <w:instrText>xe "</w:instrText>
      </w:r>
      <w:r>
        <w:rPr>
          <w:rStyle w:val="xeentry"/>
        </w:rPr>
        <w:instrText>discourse: gesture markers</w:instrText>
      </w:r>
      <w:r>
        <w:instrText>"</w:instrText>
      </w:r>
      <w:r>
        <w:rPr>
          <w:rStyle w:val="indexentry"/>
        </w:rPr>
        <w:fldChar w:fldCharType="end"/>
      </w:r>
      <w:r>
        <w:t>This group is used by the speaker to characterize the nature of the</w:t>
      </w:r>
      <w:r>
        <w:rPr>
          <w:rStyle w:val="deletedparamark"/>
        </w:rPr>
        <w:t xml:space="preserve"> </w:t>
      </w:r>
      <w:r>
        <w:t>discourse, so as to prevent misunderstanding. It is well-known that</w:t>
      </w:r>
      <w:r>
        <w:rPr>
          <w:rStyle w:val="deletedparamark"/>
        </w:rPr>
        <w:t xml:space="preserve"> </w:t>
      </w:r>
      <w:r>
        <w:t>listeners often fail to recognize a humo</w:t>
      </w:r>
      <w:r>
        <w:t>r</w:t>
      </w:r>
      <w:r>
        <w:softHyphen/>
        <w:t>ous statement and take it</w:t>
      </w:r>
      <w:r>
        <w:rPr>
          <w:rStyle w:val="deletedparamark"/>
        </w:rPr>
        <w:t xml:space="preserve"> </w:t>
      </w:r>
      <w:r>
        <w:t>seriously, or miss an exaggeration, or try to read more into a state</w:t>
      </w:r>
      <w:r>
        <w:softHyphen/>
        <w:t>ment</w:t>
      </w:r>
      <w:r>
        <w:rPr>
          <w:rStyle w:val="deletedparamark"/>
        </w:rPr>
        <w:t xml:space="preserve"> </w:t>
      </w:r>
      <w:r>
        <w:t>than the speaker intends to put there. In speech, the tone of voice</w:t>
      </w:r>
      <w:r>
        <w:rPr>
          <w:rStyle w:val="deletedparamark"/>
        </w:rPr>
        <w:t xml:space="preserve"> </w:t>
      </w:r>
      <w:r>
        <w:t>often provides the necessary cue, but the reader of ironic or understated</w:t>
      </w:r>
      <w:r>
        <w:rPr>
          <w:rStyle w:val="deletedparamark"/>
        </w:rPr>
        <w:t xml:space="preserve"> </w:t>
      </w:r>
      <w:r>
        <w:t>or imprecise dis</w:t>
      </w:r>
      <w:r>
        <w:softHyphen/>
        <w:t>course is often simply clueless. As with the attitudinals,</w:t>
      </w:r>
      <w:r>
        <w:rPr>
          <w:rStyle w:val="deletedparamark"/>
        </w:rPr>
        <w:t xml:space="preserve"> </w:t>
      </w:r>
      <w:r>
        <w:t>the use of these cmavo may seem fussy to new Loj</w:t>
      </w:r>
      <w:r>
        <w:softHyphen/>
        <w:t>banists, but it is</w:t>
      </w:r>
      <w:r>
        <w:rPr>
          <w:rStyle w:val="deletedparamark"/>
        </w:rPr>
        <w:t xml:space="preserve"> </w:t>
      </w:r>
      <w:r>
        <w:t>important to remember that “zo'o”, for example, is the equivalent of</w:t>
      </w:r>
      <w:r>
        <w:rPr>
          <w:rStyle w:val="deletedparamark"/>
        </w:rPr>
        <w:t xml:space="preserve"> </w:t>
      </w:r>
      <w:r>
        <w:t>smiling while you speak, not the equivalent of a flat declaration like “What</w:t>
      </w:r>
      <w:r>
        <w:rPr>
          <w:rStyle w:val="deletedparamark"/>
        </w:rPr>
        <w:t xml:space="preserve"> </w:t>
      </w:r>
      <w:r>
        <w:t>I'm about to say is supposed to be funny.”</w:t>
      </w:r>
    </w:p>
    <w:p w:rsidR="00B72047" w:rsidRDefault="00B72047">
      <w:pPr>
        <w:rPr>
          <w:rStyle w:val="htmlparacode"/>
        </w:rPr>
      </w:pPr>
      <w:r>
        <w:rPr>
          <w:rStyle w:val="htmlparacode"/>
        </w:rPr>
        <w:t>&lt;p&gt;</w:t>
      </w:r>
    </w:p>
    <w:p w:rsidR="00B72047" w:rsidRDefault="00B72047">
      <w:pPr>
        <w:pStyle w:val="normalparagraph"/>
      </w:pPr>
      <w:r>
        <w:rPr>
          <w:rStyle w:val="indexentry"/>
        </w:rPr>
        <w:t>&lt;lx "sa'enai"&gt;</w:t>
      </w:r>
      <w:r>
        <w:rPr>
          <w:rStyle w:val="indexentry"/>
        </w:rPr>
        <w:fldChar w:fldCharType="begin"/>
      </w:r>
      <w:r>
        <w:instrText>xe "</w:instrText>
      </w:r>
      <w:r>
        <w:rPr>
          <w:rStyle w:val="xeentry"/>
        </w:rPr>
        <w:instrText>sa'enai</w:instrText>
      </w:r>
      <w:r>
        <w:instrText>"</w:instrText>
      </w:r>
      <w:r>
        <w:rPr>
          <w:rStyle w:val="indexentry"/>
        </w:rPr>
        <w:fldChar w:fldCharType="end"/>
      </w:r>
      <w:r>
        <w:t>A few additional English equivalents: for “sa'enai”, “roughly speaking” or</w:t>
      </w:r>
      <w:r>
        <w:rPr>
          <w:rStyle w:val="deletedparamark"/>
        </w:rPr>
        <w:t xml:space="preserve"> “</w:t>
      </w:r>
      <w:r>
        <w:t>approximately speaking”; for “sa'unai”, “furthermore”; for “to'u”,</w:t>
      </w:r>
      <w:r>
        <w:rPr>
          <w:rStyle w:val="deletedparamark"/>
        </w:rPr>
        <w:t xml:space="preserve"> “</w:t>
      </w:r>
      <w:r>
        <w:t>in short” or “skipping details”; for “do'a”, “broadly construed”; for</w:t>
      </w:r>
      <w:r>
        <w:rPr>
          <w:rStyle w:val="deletedparamark"/>
        </w:rPr>
        <w:t xml:space="preserve"> “</w:t>
      </w:r>
      <w:r>
        <w:t>do'anai” (as you might expect), “narrowly construed”.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"pa'e"&gt;</w:t>
      </w:r>
      <w:r>
        <w:rPr>
          <w:rStyle w:val="indexentry"/>
        </w:rPr>
        <w:fldChar w:fldCharType="begin"/>
      </w:r>
      <w:r>
        <w:instrText>xe "</w:instrText>
      </w:r>
      <w:r>
        <w:rPr>
          <w:rStyle w:val="xeentry"/>
        </w:rPr>
        <w:instrText>pa'e</w:instrText>
      </w:r>
      <w:r>
        <w:instrText>"</w:instrText>
      </w:r>
      <w:r>
        <w:rPr>
          <w:rStyle w:val="indexentry"/>
        </w:rPr>
        <w:fldChar w:fldCharType="end"/>
      </w:r>
      <w:r>
        <w:rPr>
          <w:rStyle w:val="indexentry"/>
        </w:rPr>
        <w:t>&lt;lx "pa'enai"&gt;</w:t>
      </w:r>
      <w:r>
        <w:rPr>
          <w:rStyle w:val="indexentry"/>
        </w:rPr>
        <w:fldChar w:fldCharType="begin"/>
      </w:r>
      <w:r>
        <w:instrText>xe "</w:instrText>
      </w:r>
      <w:r>
        <w:rPr>
          <w:rStyle w:val="xeentry"/>
        </w:rPr>
        <w:instrText>pa'enai</w:instrText>
      </w:r>
      <w:r>
        <w:instrText>"</w:instrText>
      </w:r>
      <w:r>
        <w:rPr>
          <w:rStyle w:val="indexentry"/>
        </w:rPr>
        <w:fldChar w:fldCharType="end"/>
      </w:r>
      <w:r>
        <w:t>The cmavo “pa'e” is used to claim (truly or falsely) that one is being</w:t>
      </w:r>
      <w:r>
        <w:rPr>
          <w:rStyle w:val="deletedparamark"/>
        </w:rPr>
        <w:t xml:space="preserve"> </w:t>
      </w:r>
      <w:r>
        <w:t>fair or just to all parties mentioned, whereas “pa'enai” admits (or proclaims)</w:t>
      </w:r>
      <w:r>
        <w:rPr>
          <w:rStyle w:val="deletedparamark"/>
        </w:rPr>
        <w:t xml:space="preserve"> </w:t>
      </w:r>
      <w:r>
        <w:t>a bias in favor of one party.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&lt;ex "sarcasm"&gt;</w:t>
      </w:r>
      <w:r>
        <w:rPr>
          <w:rStyle w:val="indexentry"/>
        </w:rPr>
        <w:fldChar w:fldCharType="begin"/>
      </w:r>
      <w:r>
        <w:instrText>xe "</w:instrText>
      </w:r>
      <w:r>
        <w:rPr>
          <w:rStyle w:val="xeentry"/>
        </w:rPr>
        <w:instrText>sarcasm: example</w:instrText>
      </w:r>
      <w:r>
        <w:instrText>"</w:instrText>
      </w:r>
      <w:r>
        <w:rPr>
          <w:rStyle w:val="indexentry"/>
        </w:rPr>
        <w:fldChar w:fldCharType="end"/>
      </w:r>
      <w:r>
        <w:rPr>
          <w:rStyle w:val="indexentry"/>
        </w:rPr>
        <w:t>&lt;ex "irony"&gt;</w:t>
      </w:r>
      <w:r>
        <w:rPr>
          <w:rStyle w:val="indexentry"/>
        </w:rPr>
        <w:fldChar w:fldCharType="begin"/>
      </w:r>
      <w:r>
        <w:instrText>xe "</w:instrText>
      </w:r>
      <w:r>
        <w:rPr>
          <w:rStyle w:val="xeentry"/>
        </w:rPr>
        <w:instrText>irony: example</w:instrText>
      </w:r>
      <w:r>
        <w:instrText>"</w:instrText>
      </w:r>
      <w:r>
        <w:rPr>
          <w:rStyle w:val="indexentry"/>
        </w:rPr>
        <w:fldChar w:fldCharType="end"/>
      </w:r>
      <w:r>
        <w:rPr>
          <w:rStyle w:val="indexentry"/>
        </w:rPr>
        <w:t>&lt;cx "sarcasm, expressing"&gt;</w:t>
      </w:r>
      <w:r>
        <w:rPr>
          <w:rStyle w:val="indexentry"/>
        </w:rPr>
        <w:fldChar w:fldCharType="begin"/>
      </w:r>
      <w:r>
        <w:instrText>xe "</w:instrText>
      </w:r>
      <w:r>
        <w:rPr>
          <w:rStyle w:val="xeentry"/>
        </w:rPr>
        <w:instrText>sarcasm: expressing</w:instrText>
      </w:r>
      <w:r>
        <w:instrText>"</w:instrText>
      </w:r>
      <w:r>
        <w:rPr>
          <w:rStyle w:val="indexentry"/>
        </w:rPr>
        <w:fldChar w:fldCharType="end"/>
      </w:r>
      <w:r>
        <w:rPr>
          <w:rStyle w:val="indexentry"/>
        </w:rPr>
        <w:t>&lt;cx "irony, expressing"&gt;</w:t>
      </w:r>
      <w:r>
        <w:rPr>
          <w:rStyle w:val="indexentry"/>
        </w:rPr>
        <w:fldChar w:fldCharType="begin"/>
      </w:r>
      <w:r>
        <w:instrText>xe "</w:instrText>
      </w:r>
      <w:r>
        <w:rPr>
          <w:rStyle w:val="xeentry"/>
        </w:rPr>
        <w:instrText>irony: expressing</w:instrText>
      </w:r>
      <w:r>
        <w:instrText>"</w:instrText>
      </w:r>
      <w:r>
        <w:rPr>
          <w:rStyle w:val="indexentry"/>
        </w:rPr>
        <w:fldChar w:fldCharType="end"/>
      </w:r>
      <w:r>
        <w:rPr>
          <w:rStyle w:val="indexentry"/>
        </w:rPr>
        <w:t>&lt;lx "zo'o"&gt;</w:t>
      </w:r>
      <w:r>
        <w:rPr>
          <w:rStyle w:val="indexentry"/>
        </w:rPr>
        <w:fldChar w:fldCharType="begin"/>
      </w:r>
      <w:r>
        <w:instrText>xe "</w:instrText>
      </w:r>
      <w:r>
        <w:rPr>
          <w:rStyle w:val="xeentry"/>
        </w:rPr>
        <w:instrText>zo'o</w:instrText>
      </w:r>
      <w:r>
        <w:instrText>"</w:instrText>
      </w:r>
      <w:r>
        <w:rPr>
          <w:rStyle w:val="indexentry"/>
        </w:rPr>
        <w:fldChar w:fldCharType="end"/>
      </w:r>
      <w:r>
        <w:rPr>
          <w:rStyle w:val="indexentry"/>
        </w:rPr>
        <w:t>&lt;lx ".ianai"&gt;</w:t>
      </w:r>
      <w:r>
        <w:rPr>
          <w:rStyle w:val="indexentry"/>
        </w:rPr>
        <w:fldChar w:fldCharType="begin"/>
      </w:r>
      <w:r>
        <w:instrText>xe "</w:instrText>
      </w:r>
      <w:r>
        <w:rPr>
          <w:rStyle w:val="xeentry"/>
        </w:rPr>
        <w:instrText>ianai</w:instrText>
      </w:r>
      <w:r>
        <w:instrText>"</w:instrText>
      </w:r>
      <w:r>
        <w:rPr>
          <w:rStyle w:val="indexentry"/>
        </w:rPr>
        <w:fldChar w:fldCharType="end"/>
      </w:r>
      <w:r>
        <w:t>The scale of “je'u” and “je'unai” is a little different from the others</w:t>
      </w:r>
      <w:r>
        <w:rPr>
          <w:rStyle w:val="deletedparamark"/>
        </w:rPr>
        <w:t xml:space="preserve"> </w:t>
      </w:r>
      <w:r>
        <w:t>in the group. By default, we assume that people speak the truth — or at</w:t>
      </w:r>
      <w:r>
        <w:rPr>
          <w:rStyle w:val="deletedparamark"/>
        </w:rPr>
        <w:t xml:space="preserve"> </w:t>
      </w:r>
      <w:r>
        <w:t>least, that if they are lying, they will do their best to con</w:t>
      </w:r>
      <w:r>
        <w:softHyphen/>
        <w:t>ceal it from</w:t>
      </w:r>
      <w:r>
        <w:rPr>
          <w:rStyle w:val="deletedparamark"/>
        </w:rPr>
        <w:t xml:space="preserve"> </w:t>
      </w:r>
      <w:r>
        <w:t>us. So under what circumstances would “je'unai” be used, or “je'u” be</w:t>
      </w:r>
      <w:r>
        <w:rPr>
          <w:rStyle w:val="deletedparamark"/>
        </w:rPr>
        <w:t xml:space="preserve"> </w:t>
      </w:r>
      <w:r>
        <w:t>useful? For one thing, “je'u” can be used to mark a tau</w:t>
      </w:r>
      <w:r>
        <w:softHyphen/>
        <w:t>tol</w:t>
      </w:r>
      <w:r>
        <w:softHyphen/>
        <w:t>ogy: a se</w:t>
      </w:r>
      <w:r>
        <w:t>n</w:t>
      </w:r>
      <w:r>
        <w:softHyphen/>
        <w:t>tence</w:t>
      </w:r>
      <w:r>
        <w:rPr>
          <w:rStyle w:val="deletedparamark"/>
        </w:rPr>
        <w:t xml:space="preserve"> </w:t>
      </w:r>
      <w:r>
        <w:t>that is a truth of logic, like “All cats are cats.” Its counterpart</w:t>
      </w:r>
      <w:r>
        <w:rPr>
          <w:rStyle w:val="deletedparamark"/>
        </w:rPr>
        <w:t xml:space="preserve"> “</w:t>
      </w:r>
      <w:r>
        <w:t>je'unai” then serves to mark a logical contradiction. In addition,</w:t>
      </w:r>
      <w:r>
        <w:rPr>
          <w:rStyle w:val="deletedparamark"/>
        </w:rPr>
        <w:t xml:space="preserve"> “</w:t>
      </w:r>
      <w:r>
        <w:t>je'unai” can be used to express one kind of sarcasm or irony, where the</w:t>
      </w:r>
      <w:r>
        <w:rPr>
          <w:rStyle w:val="deletedparamark"/>
        </w:rPr>
        <w:t xml:space="preserve"> </w:t>
      </w:r>
      <w:r>
        <w:t>speaker pretends to believe what he/she says, but actually wishes the</w:t>
      </w:r>
      <w:r>
        <w:rPr>
          <w:rStyle w:val="deletedparamark"/>
        </w:rPr>
        <w:t xml:space="preserve"> </w:t>
      </w:r>
      <w:r>
        <w:t>listener to infer a contrary opinion. Other forms of irony can be marked</w:t>
      </w:r>
      <w:r>
        <w:rPr>
          <w:rStyle w:val="deletedparamark"/>
        </w:rPr>
        <w:t xml:space="preserve"> </w:t>
      </w:r>
      <w:r>
        <w:t>with “zo'o” (humor) or “.ianai” (disbelief).</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"su'a"&gt;</w:t>
      </w:r>
      <w:r>
        <w:rPr>
          <w:rStyle w:val="indexentry"/>
        </w:rPr>
        <w:fldChar w:fldCharType="begin"/>
      </w:r>
      <w:r>
        <w:instrText>xe "</w:instrText>
      </w:r>
      <w:r>
        <w:rPr>
          <w:rStyle w:val="xeentry"/>
        </w:rPr>
        <w:instrText>su'a</w:instrText>
      </w:r>
      <w:r>
        <w:instrText>"</w:instrText>
      </w:r>
      <w:r>
        <w:rPr>
          <w:rStyle w:val="indexentry"/>
        </w:rPr>
        <w:fldChar w:fldCharType="end"/>
      </w:r>
      <w:r>
        <w:t xml:space="preserve">When used as a discursive, “su'a” (see </w:t>
      </w:r>
      <w:r>
        <w:rPr>
          <w:rStyle w:val="htmlcodes"/>
        </w:rPr>
        <w:t>&lt;a href=#s11&gt;</w:t>
      </w:r>
      <w:r>
        <w:t>Section 11</w:t>
      </w:r>
      <w:r>
        <w:rPr>
          <w:rStyle w:val="htmlcodes"/>
        </w:rPr>
        <w:t>&lt;/a&gt;</w:t>
      </w:r>
      <w:r>
        <w:t>) belongs to this group.</w:t>
      </w:r>
    </w:p>
    <w:p w:rsidR="00B72047" w:rsidRDefault="00B72047">
      <w:pPr>
        <w:pStyle w:val="normalparagraph"/>
        <w:rPr>
          <w:rStyle w:val="htmlparacode"/>
        </w:rPr>
      </w:pPr>
      <w:r>
        <w:rPr>
          <w:rStyle w:val="htmlparacode"/>
        </w:rPr>
        <w:t>&lt;p&gt;</w:t>
      </w:r>
    </w:p>
    <w:p w:rsidR="00B72047" w:rsidRDefault="00B72047">
      <w:pPr>
        <w:pStyle w:val="normalparagraph"/>
      </w:pPr>
      <w:r>
        <w:t>Next, the “knowledge” group:</w:t>
      </w:r>
    </w:p>
    <w:p w:rsidR="00B72047" w:rsidRDefault="00B72047">
      <w:pPr>
        <w:pStyle w:val="examplewtabspre"/>
        <w:rPr>
          <w:rStyle w:val="htmlparacode"/>
        </w:rPr>
      </w:pPr>
      <w:r>
        <w:rPr>
          <w:rStyle w:val="htmlparacode"/>
        </w:rPr>
        <w:t>&lt;p&gt;</w:t>
      </w:r>
    </w:p>
    <w:p w:rsidR="00B72047" w:rsidRDefault="00B72047">
      <w:pPr>
        <w:pStyle w:val="examplewtabspre"/>
      </w:pPr>
      <w:r>
        <w:rPr>
          <w:rStyle w:val="indexentry"/>
        </w:rPr>
        <w:t>&lt;cx "knowledge discursives"&gt;</w:t>
      </w:r>
      <w:r>
        <w:rPr>
          <w:rStyle w:val="indexentry"/>
        </w:rPr>
        <w:fldChar w:fldCharType="begin"/>
      </w:r>
      <w:r>
        <w:instrText>xe "</w:instrText>
      </w:r>
      <w:r>
        <w:rPr>
          <w:rStyle w:val="xeentry"/>
        </w:rPr>
        <w:instrText>knowledge discursives</w:instrText>
      </w:r>
      <w:r>
        <w:instrText>"</w:instrText>
      </w:r>
      <w:r>
        <w:rPr>
          <w:rStyle w:val="indexentry"/>
        </w:rPr>
        <w:fldChar w:fldCharType="end"/>
      </w:r>
      <w:r>
        <w:rPr>
          <w:rStyle w:val="indexentry"/>
        </w:rPr>
        <w:t>&lt;cx "discursives, knowledge"&gt;</w:t>
      </w:r>
      <w:r>
        <w:rPr>
          <w:rStyle w:val="indexentry"/>
        </w:rPr>
        <w:fldChar w:fldCharType="begin"/>
      </w:r>
      <w:r>
        <w:instrText>xe "</w:instrText>
      </w:r>
      <w:r>
        <w:rPr>
          <w:rStyle w:val="xeentry"/>
        </w:rPr>
        <w:instrText>discursives: knowledge</w:instrText>
      </w:r>
      <w:r>
        <w:instrText>"</w:instrText>
      </w:r>
      <w:r>
        <w:rPr>
          <w:rStyle w:val="indexentry"/>
        </w:rPr>
        <w:fldChar w:fldCharType="end"/>
      </w:r>
      <w:r>
        <w:rPr>
          <w:rStyle w:val="indexentry"/>
        </w:rPr>
        <w:t>&lt;lx "ju'o"&gt;</w:t>
      </w:r>
      <w:r>
        <w:rPr>
          <w:rStyle w:val="indexentry"/>
        </w:rPr>
        <w:fldChar w:fldCharType="begin"/>
      </w:r>
      <w:r>
        <w:instrText>xe "</w:instrText>
      </w:r>
      <w:r>
        <w:rPr>
          <w:rStyle w:val="xeentry"/>
        </w:rPr>
        <w:instrText>ju'o</w:instrText>
      </w:r>
      <w:r>
        <w:instrText>"</w:instrText>
      </w:r>
      <w:r>
        <w:rPr>
          <w:rStyle w:val="indexentry"/>
        </w:rPr>
        <w:fldChar w:fldCharType="end"/>
      </w:r>
      <w:r>
        <w:rPr>
          <w:rStyle w:val="indexentry"/>
        </w:rPr>
        <w:t>&lt;lx "la'a"&gt;</w:t>
      </w:r>
      <w:r>
        <w:rPr>
          <w:rStyle w:val="indexentry"/>
        </w:rPr>
        <w:fldChar w:fldCharType="begin"/>
      </w:r>
      <w:r>
        <w:instrText>xe "</w:instrText>
      </w:r>
      <w:r>
        <w:rPr>
          <w:rStyle w:val="xeentry"/>
        </w:rPr>
        <w:instrText>la'a</w:instrText>
      </w:r>
      <w:r>
        <w:instrText>"</w:instrText>
      </w:r>
      <w:r>
        <w:rPr>
          <w:rStyle w:val="indexentry"/>
        </w:rPr>
        <w:fldChar w:fldCharType="end"/>
      </w:r>
      <w:r>
        <w:rPr>
          <w:rStyle w:val="htmlcodes"/>
        </w:rPr>
        <w:t>&lt;pre&gt;</w:t>
      </w:r>
      <w:r>
        <w:t>ju'o</w:t>
      </w:r>
      <w:r>
        <w:tab/>
        <w:t>[djuno]</w:t>
      </w:r>
      <w:r>
        <w:tab/>
        <w:t>certainly</w:t>
      </w:r>
      <w:r>
        <w:tab/>
        <w:t>uncertain</w:t>
      </w:r>
      <w:r>
        <w:tab/>
        <w:t>certainly not</w:t>
      </w:r>
    </w:p>
    <w:p w:rsidR="00B72047" w:rsidRDefault="00B72047">
      <w:pPr>
        <w:pStyle w:val="exampwidetabs"/>
      </w:pPr>
      <w:r>
        <w:t>la'a</w:t>
      </w:r>
      <w:r>
        <w:tab/>
        <w:t>[lakne]</w:t>
      </w:r>
      <w:r>
        <w:tab/>
        <w:t>probably</w:t>
      </w:r>
      <w:r>
        <w:tab/>
      </w:r>
      <w:r>
        <w:tab/>
        <w:t>improbably</w:t>
      </w:r>
    </w:p>
    <w:p w:rsidR="00B72047" w:rsidRDefault="00B72047">
      <w:pPr>
        <w:pStyle w:val="normalafterexample"/>
      </w:pPr>
      <w:r>
        <w:rPr>
          <w:rStyle w:val="htmlcodes"/>
        </w:rPr>
        <w:t>&lt;/pre&gt;</w:t>
      </w:r>
      <w:r>
        <w:rPr>
          <w:rStyle w:val="indexentry"/>
        </w:rPr>
        <w:t>&lt;cx "speaker's state of knowledge"&gt;</w:t>
      </w:r>
      <w:r>
        <w:rPr>
          <w:rStyle w:val="indexentry"/>
        </w:rPr>
        <w:fldChar w:fldCharType="begin"/>
      </w:r>
      <w:r>
        <w:instrText>xe "</w:instrText>
      </w:r>
      <w:r>
        <w:rPr>
          <w:rStyle w:val="xeentry"/>
        </w:rPr>
        <w:instrText>speaker's state of knowledge</w:instrText>
      </w:r>
      <w:r>
        <w:instrText>"</w:instrText>
      </w:r>
      <w:r>
        <w:rPr>
          <w:rStyle w:val="indexentry"/>
        </w:rPr>
        <w:fldChar w:fldCharType="end"/>
      </w:r>
      <w:r>
        <w:rPr>
          <w:rStyle w:val="indexentry"/>
        </w:rPr>
        <w:t>&lt;cx "propositional attitudes, compared with knowledge discursives"&gt;</w:t>
      </w:r>
      <w:r>
        <w:rPr>
          <w:rStyle w:val="indexentry"/>
        </w:rPr>
        <w:fldChar w:fldCharType="begin"/>
      </w:r>
      <w:r>
        <w:instrText>xe "</w:instrText>
      </w:r>
      <w:r>
        <w:rPr>
          <w:rStyle w:val="xeentry"/>
        </w:rPr>
        <w:instrText>propositional attitudes: compared with knowledge discursives</w:instrText>
      </w:r>
      <w:r>
        <w:instrText>"</w:instrText>
      </w:r>
      <w:r>
        <w:rPr>
          <w:rStyle w:val="indexentry"/>
        </w:rPr>
        <w:fldChar w:fldCharType="end"/>
      </w:r>
      <w:r>
        <w:rPr>
          <w:rStyle w:val="indexentry"/>
        </w:rPr>
        <w:t>&lt;cx "knowledge discursives, compared with propositional attitudes"&gt;</w:t>
      </w:r>
      <w:r>
        <w:rPr>
          <w:rStyle w:val="indexentry"/>
        </w:rPr>
        <w:fldChar w:fldCharType="begin"/>
      </w:r>
      <w:r>
        <w:instrText>xe "</w:instrText>
      </w:r>
      <w:r>
        <w:rPr>
          <w:rStyle w:val="xeentry"/>
        </w:rPr>
        <w:instrText>knowledge discursives: compared with propositional attitudes</w:instrText>
      </w:r>
      <w:r>
        <w:instrText>"</w:instrText>
      </w:r>
      <w:r>
        <w:rPr>
          <w:rStyle w:val="indexentry"/>
        </w:rPr>
        <w:fldChar w:fldCharType="end"/>
      </w:r>
      <w:r>
        <w:t>These two discursives describe the speaker's state of knowl</w:t>
      </w:r>
      <w:r>
        <w:softHyphen/>
        <w:t>edge about the</w:t>
      </w:r>
      <w:r>
        <w:rPr>
          <w:rStyle w:val="deletedparamark"/>
        </w:rPr>
        <w:t xml:space="preserve"> </w:t>
      </w:r>
      <w:r>
        <w:t>claim of the associated bridi. They are similar to the propositional</w:t>
      </w:r>
      <w:r>
        <w:rPr>
          <w:rStyle w:val="deletedparamark"/>
        </w:rPr>
        <w:t xml:space="preserve"> </w:t>
      </w:r>
      <w:r>
        <w:t xml:space="preserve">attitudes of </w:t>
      </w:r>
      <w:r>
        <w:rPr>
          <w:rStyle w:val="htmlcodes"/>
        </w:rPr>
        <w:t>&lt;a href=#s3&gt;</w:t>
      </w:r>
      <w:r>
        <w:t>Section 3</w:t>
      </w:r>
      <w:r>
        <w:rPr>
          <w:rStyle w:val="htmlcodes"/>
        </w:rPr>
        <w:t>&lt;/a&gt;</w:t>
      </w:r>
      <w:r>
        <w:t>, as they create a hypothetical world. We may be</w:t>
      </w:r>
      <w:r>
        <w:rPr>
          <w:rStyle w:val="deletedparamark"/>
        </w:rPr>
        <w:t xml:space="preserve"> </w:t>
      </w:r>
      <w:r>
        <w:t>quite certain that something is true, and label our bridi with “ju'o”; but</w:t>
      </w:r>
      <w:r>
        <w:rPr>
          <w:rStyle w:val="deletedparamark"/>
        </w:rPr>
        <w:t xml:space="preserve"> </w:t>
      </w:r>
      <w:r>
        <w:t>it may be false all the same.</w:t>
      </w:r>
    </w:p>
    <w:p w:rsidR="00B72047" w:rsidRDefault="00B72047">
      <w:pPr>
        <w:rPr>
          <w:rStyle w:val="htmlparacode"/>
        </w:rPr>
      </w:pPr>
      <w:r>
        <w:rPr>
          <w:rStyle w:val="htmlparacode"/>
        </w:rPr>
        <w:t>&lt;p&gt;</w:t>
      </w:r>
    </w:p>
    <w:p w:rsidR="00B72047" w:rsidRDefault="00B72047">
      <w:pPr>
        <w:pStyle w:val="normalparagraph"/>
      </w:pPr>
      <w:r>
        <w:t>Next, the “discourse management” group:</w:t>
      </w:r>
    </w:p>
    <w:p w:rsidR="00B72047" w:rsidRDefault="00B72047">
      <w:pPr>
        <w:rPr>
          <w:rStyle w:val="htmlparacode"/>
        </w:rPr>
      </w:pPr>
      <w:r>
        <w:rPr>
          <w:rStyle w:val="htmlparacode"/>
        </w:rPr>
        <w:t>&lt;p&gt;</w:t>
      </w:r>
    </w:p>
    <w:p w:rsidR="00B72047" w:rsidRDefault="00B72047">
      <w:pPr>
        <w:pStyle w:val="examplewtabspre"/>
      </w:pPr>
      <w:r>
        <w:rPr>
          <w:rStyle w:val="indexentry"/>
        </w:rPr>
        <w:t>&lt;lx "ta'o"&gt;</w:t>
      </w:r>
      <w:r>
        <w:rPr>
          <w:rStyle w:val="indexentry"/>
        </w:rPr>
        <w:fldChar w:fldCharType="begin"/>
      </w:r>
      <w:r>
        <w:instrText>xe "</w:instrText>
      </w:r>
      <w:r>
        <w:rPr>
          <w:rStyle w:val="xeentry"/>
        </w:rPr>
        <w:instrText>ta'o</w:instrText>
      </w:r>
      <w:r>
        <w:instrText>"</w:instrText>
      </w:r>
      <w:r>
        <w:rPr>
          <w:rStyle w:val="indexentry"/>
        </w:rPr>
        <w:fldChar w:fldCharType="end"/>
      </w:r>
      <w:r>
        <w:rPr>
          <w:rStyle w:val="indexentry"/>
        </w:rPr>
        <w:t>&lt;lx "ra'u"&gt;</w:t>
      </w:r>
      <w:r>
        <w:rPr>
          <w:rStyle w:val="indexentry"/>
        </w:rPr>
        <w:fldChar w:fldCharType="begin"/>
      </w:r>
      <w:r>
        <w:instrText>xe "</w:instrText>
      </w:r>
      <w:r>
        <w:rPr>
          <w:rStyle w:val="xeentry"/>
        </w:rPr>
        <w:instrText>ra'u</w:instrText>
      </w:r>
      <w:r>
        <w:instrText>"</w:instrText>
      </w:r>
      <w:r>
        <w:rPr>
          <w:rStyle w:val="indexentry"/>
        </w:rPr>
        <w:fldChar w:fldCharType="end"/>
      </w:r>
      <w:r>
        <w:rPr>
          <w:rStyle w:val="indexentry"/>
        </w:rPr>
        <w:t>&lt;lx "mu'a"&gt;</w:t>
      </w:r>
      <w:r>
        <w:rPr>
          <w:rStyle w:val="indexentry"/>
        </w:rPr>
        <w:fldChar w:fldCharType="begin"/>
      </w:r>
      <w:r>
        <w:instrText>xe "</w:instrText>
      </w:r>
      <w:r>
        <w:rPr>
          <w:rStyle w:val="xeentry"/>
        </w:rPr>
        <w:instrText>mu'a</w:instrText>
      </w:r>
      <w:r>
        <w:instrText>"</w:instrText>
      </w:r>
      <w:r>
        <w:rPr>
          <w:rStyle w:val="indexentry"/>
        </w:rPr>
        <w:fldChar w:fldCharType="end"/>
      </w:r>
      <w:r>
        <w:rPr>
          <w:rStyle w:val="indexentry"/>
        </w:rPr>
        <w:t>&lt;lx "zu'u"&gt;</w:t>
      </w:r>
      <w:r>
        <w:rPr>
          <w:rStyle w:val="indexentry"/>
        </w:rPr>
        <w:fldChar w:fldCharType="begin"/>
      </w:r>
      <w:r>
        <w:instrText>xe "</w:instrText>
      </w:r>
      <w:r>
        <w:rPr>
          <w:rStyle w:val="xeentry"/>
        </w:rPr>
        <w:instrText>zu'u</w:instrText>
      </w:r>
      <w:r>
        <w:instrText>"</w:instrText>
      </w:r>
      <w:r>
        <w:rPr>
          <w:rStyle w:val="indexentry"/>
        </w:rPr>
        <w:fldChar w:fldCharType="end"/>
      </w:r>
      <w:r>
        <w:rPr>
          <w:rStyle w:val="indexentry"/>
        </w:rPr>
        <w:t>&lt;lx "ke'u"&gt;</w:t>
      </w:r>
      <w:r>
        <w:rPr>
          <w:rStyle w:val="indexentry"/>
        </w:rPr>
        <w:fldChar w:fldCharType="begin"/>
      </w:r>
      <w:r>
        <w:instrText>xe "</w:instrText>
      </w:r>
      <w:r>
        <w:rPr>
          <w:rStyle w:val="xeentry"/>
        </w:rPr>
        <w:instrText>ke'u</w:instrText>
      </w:r>
      <w:r>
        <w:instrText>"</w:instrText>
      </w:r>
      <w:r>
        <w:rPr>
          <w:rStyle w:val="indexentry"/>
        </w:rPr>
        <w:fldChar w:fldCharType="end"/>
      </w:r>
      <w:r>
        <w:rPr>
          <w:rStyle w:val="indexentry"/>
        </w:rPr>
        <w:t>&lt;lx "da'i"&gt;</w:t>
      </w:r>
      <w:r>
        <w:rPr>
          <w:rStyle w:val="indexentry"/>
        </w:rPr>
        <w:fldChar w:fldCharType="begin"/>
      </w:r>
      <w:r>
        <w:instrText>xe "</w:instrText>
      </w:r>
      <w:r>
        <w:rPr>
          <w:rStyle w:val="xeentry"/>
        </w:rPr>
        <w:instrText>da'i</w:instrText>
      </w:r>
      <w:r>
        <w:instrText>"</w:instrText>
      </w:r>
      <w:r>
        <w:rPr>
          <w:rStyle w:val="indexentry"/>
        </w:rPr>
        <w:fldChar w:fldCharType="end"/>
      </w:r>
      <w:r>
        <w:rPr>
          <w:rStyle w:val="htmlcodes"/>
        </w:rPr>
        <w:t>&lt;pre&gt;</w:t>
      </w:r>
      <w:r>
        <w:t>ta'o</w:t>
      </w:r>
      <w:r>
        <w:tab/>
        <w:t>[tanjo]</w:t>
      </w:r>
      <w:r>
        <w:tab/>
        <w:t>by the way</w:t>
      </w:r>
      <w:r>
        <w:tab/>
      </w:r>
      <w:r>
        <w:tab/>
        <w:t>returning to point</w:t>
      </w:r>
    </w:p>
    <w:p w:rsidR="00B72047" w:rsidRDefault="00B72047">
      <w:pPr>
        <w:pStyle w:val="exampwidetabs"/>
      </w:pPr>
      <w:r>
        <w:t>ra'u</w:t>
      </w:r>
      <w:r>
        <w:tab/>
        <w:t>[ralju]</w:t>
      </w:r>
      <w:r>
        <w:tab/>
        <w:t>chiefly</w:t>
      </w:r>
      <w:r>
        <w:tab/>
        <w:t>equally</w:t>
      </w:r>
      <w:r>
        <w:tab/>
        <w:t>incidentally</w:t>
      </w:r>
    </w:p>
    <w:p w:rsidR="00B72047" w:rsidRDefault="00B72047">
      <w:pPr>
        <w:pStyle w:val="exampwidetabs"/>
      </w:pPr>
      <w:r>
        <w:t>mu'a</w:t>
      </w:r>
      <w:r>
        <w:tab/>
        <w:t>[mupli]</w:t>
      </w:r>
      <w:r>
        <w:tab/>
        <w:t>for example</w:t>
      </w:r>
      <w:r>
        <w:tab/>
        <w:t>omitting</w:t>
      </w:r>
      <w:r>
        <w:tab/>
        <w:t>end examples</w:t>
      </w:r>
    </w:p>
    <w:p w:rsidR="00B72047" w:rsidRDefault="00B72047">
      <w:pPr>
        <w:pStyle w:val="exampwidetabs"/>
      </w:pPr>
      <w:r>
        <w:tab/>
      </w:r>
      <w:r>
        <w:tab/>
      </w:r>
      <w:r>
        <w:tab/>
        <w:t xml:space="preserve">  examples</w:t>
      </w:r>
    </w:p>
    <w:p w:rsidR="00B72047" w:rsidRDefault="00B72047">
      <w:pPr>
        <w:pStyle w:val="exampwidetabs"/>
      </w:pPr>
      <w:r>
        <w:t>zu'u</w:t>
      </w:r>
      <w:r>
        <w:tab/>
      </w:r>
      <w:r>
        <w:tab/>
        <w:t>on the one hand</w:t>
      </w:r>
      <w:r>
        <w:tab/>
      </w:r>
      <w:r>
        <w:tab/>
        <w:t>on the other hand</w:t>
      </w:r>
      <w:r>
        <w:tab/>
      </w:r>
      <w:r>
        <w:tab/>
        <w:t xml:space="preserve">   </w:t>
      </w:r>
    </w:p>
    <w:p w:rsidR="00B72047" w:rsidRDefault="00B72047">
      <w:pPr>
        <w:pStyle w:val="exampwidetabs"/>
      </w:pPr>
      <w:r>
        <w:t>ke'u</w:t>
      </w:r>
      <w:r>
        <w:tab/>
        <w:t>[krefu]</w:t>
      </w:r>
      <w:r>
        <w:tab/>
        <w:t>repeating</w:t>
      </w:r>
      <w:r>
        <w:tab/>
      </w:r>
      <w:r>
        <w:tab/>
        <w:t>continuing</w:t>
      </w:r>
    </w:p>
    <w:p w:rsidR="00B72047" w:rsidRDefault="00B72047">
      <w:pPr>
        <w:pStyle w:val="exampwidetabs"/>
      </w:pPr>
      <w:r>
        <w:t>da'i</w:t>
      </w:r>
      <w:r>
        <w:tab/>
      </w:r>
      <w:r>
        <w:tab/>
        <w:t>supposing</w:t>
      </w:r>
      <w:r>
        <w:tab/>
      </w:r>
      <w:r>
        <w:tab/>
        <w:t>in fact</w:t>
      </w:r>
    </w:p>
    <w:p w:rsidR="00B72047" w:rsidRDefault="00B72047">
      <w:pPr>
        <w:pStyle w:val="normalafterexample"/>
      </w:pPr>
      <w:r>
        <w:rPr>
          <w:rStyle w:val="htmlcodes"/>
        </w:rPr>
        <w:t>&lt;/pre&gt;</w:t>
      </w:r>
      <w:r>
        <w:rPr>
          <w:rStyle w:val="indexentry"/>
        </w:rPr>
        <w:t>&lt;cx "discursives, discourse management"&gt;</w:t>
      </w:r>
      <w:r>
        <w:rPr>
          <w:rStyle w:val="indexentry"/>
        </w:rPr>
        <w:fldChar w:fldCharType="begin"/>
      </w:r>
      <w:r>
        <w:instrText>xe "</w:instrText>
      </w:r>
      <w:r>
        <w:rPr>
          <w:rStyle w:val="xeentry"/>
        </w:rPr>
        <w:instrText>discursives: discourse management</w:instrText>
      </w:r>
      <w:r>
        <w:instrText>"</w:instrText>
      </w:r>
      <w:r>
        <w:rPr>
          <w:rStyle w:val="indexentry"/>
        </w:rPr>
        <w:fldChar w:fldCharType="end"/>
      </w:r>
      <w:r>
        <w:rPr>
          <w:rStyle w:val="indexentry"/>
        </w:rPr>
        <w:t>&lt;cx "discursives for managing discourse flow"&gt;</w:t>
      </w:r>
      <w:r>
        <w:rPr>
          <w:rStyle w:val="indexentry"/>
        </w:rPr>
        <w:fldChar w:fldCharType="begin"/>
      </w:r>
      <w:r>
        <w:instrText>xe "</w:instrText>
      </w:r>
      <w:r>
        <w:rPr>
          <w:rStyle w:val="xeentry"/>
        </w:rPr>
        <w:instrText>discursives for managing discourse flow</w:instrText>
      </w:r>
      <w:r>
        <w:instrText>"</w:instrText>
      </w:r>
      <w:r>
        <w:rPr>
          <w:rStyle w:val="indexentry"/>
        </w:rPr>
        <w:fldChar w:fldCharType="end"/>
      </w:r>
      <w:r>
        <w:rPr>
          <w:rStyle w:val="indexentry"/>
        </w:rPr>
        <w:t>&lt;cx "flow of discourse, managing with discursives"&gt;</w:t>
      </w:r>
      <w:r>
        <w:rPr>
          <w:rStyle w:val="indexentry"/>
        </w:rPr>
        <w:fldChar w:fldCharType="begin"/>
      </w:r>
      <w:r>
        <w:instrText>xe "</w:instrText>
      </w:r>
      <w:r>
        <w:rPr>
          <w:rStyle w:val="xeentry"/>
        </w:rPr>
        <w:instrText>flow of discourse: managing with discursives</w:instrText>
      </w:r>
      <w:r>
        <w:instrText>"</w:instrText>
      </w:r>
      <w:r>
        <w:rPr>
          <w:rStyle w:val="indexentry"/>
        </w:rPr>
        <w:fldChar w:fldCharType="end"/>
      </w:r>
      <w:r>
        <w:t>This final group is used to perform what may be called “managing the</w:t>
      </w:r>
      <w:r>
        <w:rPr>
          <w:rStyle w:val="deletedparamark"/>
        </w:rPr>
        <w:t xml:space="preserve"> </w:t>
      </w:r>
      <w:r>
        <w:t>dis</w:t>
      </w:r>
      <w:r>
        <w:softHyphen/>
        <w:t>course”: providing reference points to help the lis</w:t>
      </w:r>
      <w:r>
        <w:softHyphen/>
        <w:t>tener understand</w:t>
      </w:r>
      <w:r>
        <w:rPr>
          <w:rStyle w:val="deletedparamark"/>
        </w:rPr>
        <w:t xml:space="preserve"> </w:t>
      </w:r>
      <w:r>
        <w:t>the flow from one sentence to the next.</w:t>
      </w:r>
    </w:p>
    <w:p w:rsidR="00B72047" w:rsidRDefault="00B72047">
      <w:pPr>
        <w:rPr>
          <w:rStyle w:val="htmlparacode"/>
        </w:rPr>
      </w:pPr>
      <w:r>
        <w:rPr>
          <w:rStyle w:val="htmlparacode"/>
        </w:rPr>
        <w:t>&lt;p&gt;</w:t>
      </w:r>
    </w:p>
    <w:p w:rsidR="00B72047" w:rsidRDefault="00B72047">
      <w:pPr>
        <w:pStyle w:val="normalparagraph"/>
      </w:pPr>
      <w:r>
        <w:rPr>
          <w:rStyle w:val="indexentry"/>
        </w:rPr>
        <w:t>&lt;lx "ta'onao"&gt;</w:t>
      </w:r>
      <w:r>
        <w:rPr>
          <w:rStyle w:val="indexentry"/>
        </w:rPr>
        <w:fldChar w:fldCharType="begin"/>
      </w:r>
      <w:r>
        <w:instrText>xe "</w:instrText>
      </w:r>
      <w:r>
        <w:rPr>
          <w:rStyle w:val="xeentry"/>
        </w:rPr>
        <w:instrText>ta'onao</w:instrText>
      </w:r>
      <w:r>
        <w:instrText>"</w:instrText>
      </w:r>
      <w:r>
        <w:rPr>
          <w:rStyle w:val="indexentry"/>
        </w:rPr>
        <w:fldChar w:fldCharType="end"/>
      </w:r>
      <w:r>
        <w:t>Other English equivalents of “ta'onai” are “anyway”, “anyhow”, “in any case”,</w:t>
      </w:r>
      <w:r>
        <w:rPr>
          <w:rStyle w:val="deletedparamark"/>
        </w:rPr>
        <w:t xml:space="preserve"> “</w:t>
      </w:r>
      <w:r>
        <w:t>in any event”, “as I was saying”, and “continuing”.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"importance of point, scale with ra'u"&gt;</w:t>
      </w:r>
      <w:r>
        <w:rPr>
          <w:rStyle w:val="indexentry"/>
        </w:rPr>
        <w:fldChar w:fldCharType="begin"/>
      </w:r>
      <w:r>
        <w:instrText>xe "</w:instrText>
      </w:r>
      <w:r>
        <w:rPr>
          <w:rStyle w:val="xeentry"/>
        </w:rPr>
        <w:instrText>importance of point: scale with ra'u</w:instrText>
      </w:r>
      <w:r>
        <w:instrText>"</w:instrText>
      </w:r>
      <w:r>
        <w:rPr>
          <w:rStyle w:val="indexentry"/>
        </w:rPr>
        <w:fldChar w:fldCharType="end"/>
      </w:r>
      <w:r>
        <w:rPr>
          <w:rStyle w:val="indexentry"/>
        </w:rPr>
        <w:t>&lt;cx "ra'u, scale of importance"&gt;</w:t>
      </w:r>
      <w:r>
        <w:rPr>
          <w:rStyle w:val="indexentry"/>
        </w:rPr>
        <w:fldChar w:fldCharType="begin"/>
      </w:r>
      <w:r>
        <w:instrText>xe "</w:instrText>
      </w:r>
      <w:r>
        <w:rPr>
          <w:rStyle w:val="xeentry"/>
        </w:rPr>
        <w:instrText>ra'u: scale of importance</w:instrText>
      </w:r>
      <w:r>
        <w:instrText>"</w:instrText>
      </w:r>
      <w:r>
        <w:rPr>
          <w:rStyle w:val="indexentry"/>
        </w:rPr>
        <w:fldChar w:fldCharType="end"/>
      </w:r>
      <w:r>
        <w:t>The scale of “ra'u” has to do with the importance of the point being, or</w:t>
      </w:r>
      <w:r>
        <w:rPr>
          <w:rStyle w:val="deletedparamark"/>
        </w:rPr>
        <w:t xml:space="preserve"> </w:t>
      </w:r>
      <w:r>
        <w:t>about to be, expressed: “ra'u” is the most important point, “ra'ucu'i” is</w:t>
      </w:r>
      <w:r>
        <w:rPr>
          <w:rStyle w:val="deletedparamark"/>
        </w:rPr>
        <w:t xml:space="preserve"> </w:t>
      </w:r>
      <w:r>
        <w:t>a point of equal im</w:t>
      </w:r>
      <w:r>
        <w:softHyphen/>
        <w:t>portance, and “ra'unai” is a lesser point. Other English</w:t>
      </w:r>
      <w:r>
        <w:rPr>
          <w:rStyle w:val="deletedparamark"/>
        </w:rPr>
        <w:t xml:space="preserve"> </w:t>
      </w:r>
      <w:r>
        <w:t>equivalents of “ra'u” are “above all” and “primarily”.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"va'i, contrasted with ke'u"&gt;</w:t>
      </w:r>
      <w:r>
        <w:rPr>
          <w:rStyle w:val="indexentry"/>
        </w:rPr>
        <w:fldChar w:fldCharType="begin"/>
      </w:r>
      <w:r>
        <w:instrText>xe "</w:instrText>
      </w:r>
      <w:r>
        <w:rPr>
          <w:rStyle w:val="xeentry"/>
        </w:rPr>
        <w:instrText>va'i: contrasted with ke'u</w:instrText>
      </w:r>
      <w:r>
        <w:instrText>"</w:instrText>
      </w:r>
      <w:r>
        <w:rPr>
          <w:rStyle w:val="indexentry"/>
        </w:rPr>
        <w:fldChar w:fldCharType="end"/>
      </w:r>
      <w:r>
        <w:rPr>
          <w:rStyle w:val="indexentry"/>
        </w:rPr>
        <w:t>&lt;cx "ke'u, contrasted with va'i"&gt;</w:t>
      </w:r>
      <w:r>
        <w:rPr>
          <w:rStyle w:val="indexentry"/>
        </w:rPr>
        <w:fldChar w:fldCharType="begin"/>
      </w:r>
      <w:r>
        <w:instrText>xe "</w:instrText>
      </w:r>
      <w:r>
        <w:rPr>
          <w:rStyle w:val="xeentry"/>
        </w:rPr>
        <w:instrText>ke'u: contrasted with va'i</w:instrText>
      </w:r>
      <w:r>
        <w:instrText>"</w:instrText>
      </w:r>
      <w:r>
        <w:rPr>
          <w:rStyle w:val="indexentry"/>
        </w:rPr>
        <w:fldChar w:fldCharType="end"/>
      </w:r>
      <w:r>
        <w:rPr>
          <w:rStyle w:val="indexentry"/>
        </w:rPr>
        <w:t>&lt;lx "va'i"&gt;</w:t>
      </w:r>
      <w:r>
        <w:rPr>
          <w:rStyle w:val="indexentry"/>
        </w:rPr>
        <w:fldChar w:fldCharType="begin"/>
      </w:r>
      <w:r>
        <w:instrText>xe "</w:instrText>
      </w:r>
      <w:r>
        <w:rPr>
          <w:rStyle w:val="xeentry"/>
        </w:rPr>
        <w:instrText>va'i</w:instrText>
      </w:r>
      <w:r>
        <w:instrText>"</w:instrText>
      </w:r>
      <w:r>
        <w:rPr>
          <w:rStyle w:val="indexentry"/>
        </w:rPr>
        <w:fldChar w:fldCharType="end"/>
      </w:r>
      <w:r>
        <w:rPr>
          <w:rStyle w:val="indexentry"/>
        </w:rPr>
        <w:t>&lt;lx "va'inai"&gt;</w:t>
      </w:r>
      <w:r>
        <w:rPr>
          <w:rStyle w:val="indexentry"/>
        </w:rPr>
        <w:fldChar w:fldCharType="begin"/>
      </w:r>
      <w:r>
        <w:instrText>xe "</w:instrText>
      </w:r>
      <w:r>
        <w:rPr>
          <w:rStyle w:val="xeentry"/>
        </w:rPr>
        <w:instrText>va'inai</w:instrText>
      </w:r>
      <w:r>
        <w:instrText>"</w:instrText>
      </w:r>
      <w:r>
        <w:rPr>
          <w:rStyle w:val="indexentry"/>
        </w:rPr>
        <w:fldChar w:fldCharType="end"/>
      </w:r>
      <w:r>
        <w:rPr>
          <w:rStyle w:val="indexentry"/>
        </w:rPr>
        <w:t>&lt;lx "ke'unai"&gt;</w:t>
      </w:r>
      <w:r>
        <w:rPr>
          <w:rStyle w:val="indexentry"/>
        </w:rPr>
        <w:fldChar w:fldCharType="begin"/>
      </w:r>
      <w:r>
        <w:instrText>xe "</w:instrText>
      </w:r>
      <w:r>
        <w:rPr>
          <w:rStyle w:val="xeentry"/>
        </w:rPr>
        <w:instrText>ke'unai</w:instrText>
      </w:r>
      <w:r>
        <w:instrText>"</w:instrText>
      </w:r>
      <w:r>
        <w:rPr>
          <w:rStyle w:val="indexentry"/>
        </w:rPr>
        <w:fldChar w:fldCharType="end"/>
      </w:r>
      <w:r>
        <w:t>The cmavo “ke'u” is very similar to “va'i”, although “ke'unai” and “va'inai”</w:t>
      </w:r>
      <w:r>
        <w:rPr>
          <w:rStyle w:val="deletedparamark"/>
        </w:rPr>
        <w:t xml:space="preserve"> </w:t>
      </w:r>
      <w:r>
        <w:t>are quite different. Both “ke'u” and “va'i” indicate that the same idea</w:t>
      </w:r>
      <w:r>
        <w:rPr>
          <w:rStyle w:val="deletedparamark"/>
        </w:rPr>
        <w:t xml:space="preserve"> </w:t>
      </w:r>
      <w:r>
        <w:t>is going to be ex</w:t>
      </w:r>
      <w:r>
        <w:softHyphen/>
        <w:t>pressed using different words, but the two cmavo differ</w:t>
      </w:r>
      <w:r>
        <w:rPr>
          <w:rStyle w:val="deletedparamark"/>
        </w:rPr>
        <w:t xml:space="preserve"> </w:t>
      </w:r>
      <w:r>
        <w:t>in emphasis. Using “ke'u” em</w:t>
      </w:r>
      <w:r>
        <w:softHyphen/>
        <w:t>phasizes that the content is the same; using</w:t>
      </w:r>
      <w:r>
        <w:rPr>
          <w:rStyle w:val="deletedparamark"/>
        </w:rPr>
        <w:t xml:space="preserve"> “</w:t>
      </w:r>
      <w:r>
        <w:t>va'i” emphasizes that the words are differ</w:t>
      </w:r>
      <w:r>
        <w:softHyphen/>
        <w:t>ent. Therefore, “ke'unai” shows</w:t>
      </w:r>
      <w:r>
        <w:rPr>
          <w:rStyle w:val="deletedparamark"/>
        </w:rPr>
        <w:t xml:space="preserve"> </w:t>
      </w:r>
      <w:r>
        <w:t>that the content is new (and therefore the words are also); “va'inai” shows</w:t>
      </w:r>
      <w:r>
        <w:rPr>
          <w:rStyle w:val="deletedparamark"/>
        </w:rPr>
        <w:t xml:space="preserve"> </w:t>
      </w:r>
      <w:r>
        <w:t>that the words are the same (and therefore so is the content). One English</w:t>
      </w:r>
      <w:r>
        <w:rPr>
          <w:rStyle w:val="deletedparamark"/>
        </w:rPr>
        <w:t xml:space="preserve"> </w:t>
      </w:r>
      <w:r>
        <w:t>equiv</w:t>
      </w:r>
      <w:r>
        <w:t>a</w:t>
      </w:r>
      <w:r>
        <w:softHyphen/>
        <w:t>lent of “ke'unai” is “furthermore”.</w:t>
      </w:r>
    </w:p>
    <w:p w:rsidR="00B72047" w:rsidRDefault="00B72047">
      <w:pPr>
        <w:rPr>
          <w:rStyle w:val="htmlparacode"/>
        </w:rPr>
      </w:pPr>
      <w:r>
        <w:rPr>
          <w:rStyle w:val="htmlparacode"/>
        </w:rPr>
        <w:t>&lt;p&gt;</w:t>
      </w:r>
    </w:p>
    <w:p w:rsidR="00B72047" w:rsidRDefault="00B72047">
      <w:pPr>
        <w:pStyle w:val="normalparagraph"/>
      </w:pPr>
      <w:r>
        <w:rPr>
          <w:rStyle w:val="indexentry"/>
        </w:rPr>
        <w:t>&lt;cx "real world point of view"&gt;</w:t>
      </w:r>
      <w:r>
        <w:rPr>
          <w:rStyle w:val="indexentry"/>
        </w:rPr>
        <w:fldChar w:fldCharType="begin"/>
      </w:r>
      <w:r>
        <w:instrText>xe "</w:instrText>
      </w:r>
      <w:r>
        <w:rPr>
          <w:rStyle w:val="xeentry"/>
        </w:rPr>
        <w:instrText>real world point of view</w:instrText>
      </w:r>
      <w:r>
        <w:instrText>"</w:instrText>
      </w:r>
      <w:r>
        <w:rPr>
          <w:rStyle w:val="indexentry"/>
        </w:rPr>
        <w:fldChar w:fldCharType="end"/>
      </w:r>
      <w:r>
        <w:rPr>
          <w:rStyle w:val="indexentry"/>
        </w:rPr>
        <w:t>&lt;cx "hypothetical world point of view"&gt;</w:t>
      </w:r>
      <w:r>
        <w:rPr>
          <w:rStyle w:val="indexentry"/>
        </w:rPr>
        <w:fldChar w:fldCharType="begin"/>
      </w:r>
      <w:r>
        <w:instrText>xe "</w:instrText>
      </w:r>
      <w:r>
        <w:rPr>
          <w:rStyle w:val="xeentry"/>
        </w:rPr>
        <w:instrText>hypothetical world point of view</w:instrText>
      </w:r>
      <w:r>
        <w:instrText>"</w:instrText>
      </w:r>
      <w:r>
        <w:rPr>
          <w:rStyle w:val="indexentry"/>
        </w:rPr>
        <w:fldChar w:fldCharType="end"/>
      </w:r>
      <w:r>
        <w:rPr>
          <w:rStyle w:val="indexentry"/>
        </w:rPr>
        <w:t>&lt;cx "if, expressing hypothetical world"&gt;</w:t>
      </w:r>
      <w:r>
        <w:rPr>
          <w:rStyle w:val="indexentry"/>
        </w:rPr>
        <w:fldChar w:fldCharType="begin"/>
      </w:r>
      <w:r>
        <w:instrText>xe "</w:instrText>
      </w:r>
      <w:r>
        <w:rPr>
          <w:rStyle w:val="xeentry"/>
        </w:rPr>
        <w:instrText>if, expressing hypothetical world</w:instrText>
      </w:r>
      <w:r>
        <w:instrText>"</w:instrText>
      </w:r>
      <w:r>
        <w:rPr>
          <w:rStyle w:val="indexentry"/>
        </w:rPr>
        <w:fldChar w:fldCharType="end"/>
      </w:r>
      <w:r>
        <w:rPr>
          <w:rStyle w:val="indexentry"/>
        </w:rPr>
        <w:t>&lt;cx "if, expressing real world"&gt;</w:t>
      </w:r>
      <w:r>
        <w:rPr>
          <w:rStyle w:val="indexentry"/>
        </w:rPr>
        <w:fldChar w:fldCharType="begin"/>
      </w:r>
      <w:r>
        <w:instrText>xe "</w:instrText>
      </w:r>
      <w:r>
        <w:rPr>
          <w:rStyle w:val="xeentry"/>
        </w:rPr>
        <w:instrText>if: expressing real world</w:instrText>
      </w:r>
      <w:r>
        <w:instrText>"</w:instrText>
      </w:r>
      <w:r>
        <w:rPr>
          <w:rStyle w:val="indexentry"/>
        </w:rPr>
        <w:fldChar w:fldCharType="end"/>
      </w:r>
      <w:r>
        <w:t>The discursive “da'i” marks the discourse as possibly taking a non-real-world</w:t>
      </w:r>
      <w:r>
        <w:rPr>
          <w:rStyle w:val="deletedparamark"/>
        </w:rPr>
        <w:t xml:space="preserve"> </w:t>
      </w:r>
      <w:r>
        <w:t>vie</w:t>
      </w:r>
      <w:r>
        <w:t>w</w:t>
      </w:r>
      <w:r>
        <w:softHyphen/>
        <w:t>point (“Supposing that”, “By hypothesis”), whereas “da'inai” insists on</w:t>
      </w:r>
      <w:r>
        <w:rPr>
          <w:rStyle w:val="deletedparamark"/>
        </w:rPr>
        <w:t xml:space="preserve"> </w:t>
      </w:r>
      <w:r>
        <w:t>the real-world point of view (“In fact”, “In truth”, “According to the facts”).</w:t>
      </w:r>
      <w:r>
        <w:rPr>
          <w:rStyle w:val="deletedparamark"/>
        </w:rPr>
        <w:t xml:space="preserve"> </w:t>
      </w:r>
      <w:r>
        <w:t>A common use of “da'i” is to distinguish between:</w:t>
      </w:r>
    </w:p>
    <w:p w:rsidR="00B72047" w:rsidRDefault="00B72047">
      <w:pPr>
        <w:rPr>
          <w:rStyle w:val="htmlparacode"/>
        </w:rPr>
      </w:pPr>
      <w:r>
        <w:rPr>
          <w:rStyle w:val="htmlparacode"/>
        </w:rPr>
        <w:t>&lt;p&gt;</w:t>
      </w:r>
    </w:p>
    <w:p w:rsidR="00B72047" w:rsidRDefault="00B72047">
      <w:pPr>
        <w:pStyle w:val="examplescaledpre"/>
      </w:pPr>
      <w:r>
        <w:rPr>
          <w:rStyle w:val="indexentry"/>
        </w:rPr>
        <w:t>&lt;ex "sister pregnant"&gt;</w:t>
      </w:r>
      <w:r>
        <w:rPr>
          <w:rStyle w:val="indexentry"/>
        </w:rPr>
        <w:fldChar w:fldCharType="begin"/>
      </w:r>
      <w:r>
        <w:instrText>xe "</w:instrText>
      </w:r>
      <w:r>
        <w:rPr>
          <w:rStyle w:val="xeentry"/>
        </w:rPr>
        <w:instrText>sister pregnant: example</w:instrText>
      </w:r>
      <w:r>
        <w:instrText>"</w:instrText>
      </w:r>
      <w:r>
        <w:rPr>
          <w:rStyle w:val="indexentry"/>
        </w:rPr>
        <w:fldChar w:fldCharType="end"/>
      </w:r>
      <w:r>
        <w:rPr>
          <w:rStyle w:val="indexentry"/>
        </w:rPr>
        <w:t>&lt;ex "pregnant sister"&gt;</w:t>
      </w:r>
      <w:r>
        <w:rPr>
          <w:rStyle w:val="indexentry"/>
        </w:rPr>
        <w:fldChar w:fldCharType="begin"/>
      </w:r>
      <w:r>
        <w:instrText>xe "</w:instrText>
      </w:r>
      <w:r>
        <w:rPr>
          <w:rStyle w:val="xeentry"/>
        </w:rPr>
        <w:instrText>pregnant sister: example</w:instrText>
      </w:r>
      <w:r>
        <w:instrText>"</w:instrText>
      </w:r>
      <w:r>
        <w:rPr>
          <w:rStyle w:val="indexentry"/>
        </w:rPr>
        <w:fldChar w:fldCharType="end"/>
      </w:r>
      <w:r>
        <w:rPr>
          <w:rStyle w:val="indexentry"/>
        </w:rPr>
        <w:t>&lt;cx "real world, contrasted with hypothetical world, example"&gt;</w:t>
      </w:r>
      <w:r>
        <w:rPr>
          <w:rStyle w:val="indexentry"/>
        </w:rPr>
        <w:fldChar w:fldCharType="begin"/>
      </w:r>
      <w:r>
        <w:instrText>xe "</w:instrText>
      </w:r>
      <w:r>
        <w:rPr>
          <w:rStyle w:val="xeentry"/>
        </w:rPr>
        <w:instrText>real world: contrasted with hypothetical world, example</w:instrText>
      </w:r>
      <w:r>
        <w:instrText>"</w:instrText>
      </w:r>
      <w:r>
        <w:rPr>
          <w:rStyle w:val="indexentry"/>
        </w:rPr>
        <w:fldChar w:fldCharType="end"/>
      </w:r>
      <w:r>
        <w:rPr>
          <w:rStyle w:val="indexentry"/>
        </w:rPr>
        <w:t>&lt;cx "hypothetical world, contrasted with real world, example"&gt;</w:t>
      </w:r>
      <w:r>
        <w:rPr>
          <w:rStyle w:val="indexentry"/>
        </w:rPr>
        <w:fldChar w:fldCharType="begin"/>
      </w:r>
      <w:r>
        <w:instrText>xe "</w:instrText>
      </w:r>
      <w:r>
        <w:rPr>
          <w:rStyle w:val="xeentry"/>
        </w:rPr>
        <w:instrText>hypothetical world: contrasted with real world, example</w:instrText>
      </w:r>
      <w:r>
        <w:instrText>"</w:instrText>
      </w:r>
      <w:r>
        <w:rPr>
          <w:rStyle w:val="indexentry"/>
        </w:rPr>
        <w:fldChar w:fldCharType="end"/>
      </w:r>
      <w:r>
        <w:rPr>
          <w:rStyle w:val="htmlcodes"/>
        </w:rPr>
        <w:t>&lt;pre&gt;&lt;a name=e12d5&gt;</w:t>
      </w:r>
      <w:r>
        <w:t>12.5)</w:t>
      </w:r>
      <w:r>
        <w:tab/>
        <w:t xml:space="preserve">ganai da'i do viska le mi citno mensi gi ju'o do djuno </w:t>
      </w:r>
    </w:p>
    <w:p w:rsidR="00B72047" w:rsidRDefault="00B72047">
      <w:pPr>
        <w:pStyle w:val="examplescaled"/>
        <w:ind w:firstLine="576"/>
      </w:pPr>
      <w:r>
        <w:t>le du'u ri pazvau</w:t>
      </w:r>
    </w:p>
    <w:p w:rsidR="00B72047" w:rsidRDefault="00B72047">
      <w:pPr>
        <w:pStyle w:val="examplescaled"/>
      </w:pPr>
      <w:r>
        <w:tab/>
        <w:t>If you [hypothetical] see my young sister, then [certain] you know that</w:t>
      </w:r>
    </w:p>
    <w:p w:rsidR="00B72047" w:rsidRDefault="00B72047">
      <w:pPr>
        <w:pStyle w:val="examplescaled"/>
        <w:ind w:firstLine="576"/>
      </w:pPr>
      <w:r>
        <w:t>she is-pregnant.</w:t>
      </w:r>
    </w:p>
    <w:p w:rsidR="00B72047" w:rsidRDefault="00B72047">
      <w:pPr>
        <w:pStyle w:val="examplescaled"/>
      </w:pPr>
      <w:r>
        <w:tab/>
        <w:t xml:space="preserve">If you were to see my younger sister, you would certainly know she </w:t>
      </w:r>
    </w:p>
    <w:p w:rsidR="00B72047" w:rsidRDefault="00B72047">
      <w:pPr>
        <w:pStyle w:val="examplescaled"/>
        <w:ind w:firstLine="576"/>
      </w:pPr>
      <w:r>
        <w:t>is pregnant.</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name=e12d6&gt;</w:t>
      </w:r>
      <w:r>
        <w:t>12.6)</w:t>
      </w:r>
      <w:r>
        <w:tab/>
        <w:t xml:space="preserve">ganai da'inai do viska le mi citno mensi gi ju'o do djuno </w:t>
      </w:r>
    </w:p>
    <w:p w:rsidR="00B72047" w:rsidRDefault="00B72047">
      <w:pPr>
        <w:pStyle w:val="examplescaled"/>
        <w:ind w:firstLine="576"/>
      </w:pPr>
      <w:r>
        <w:t>le du'u ri pazvau</w:t>
      </w:r>
    </w:p>
    <w:p w:rsidR="00B72047" w:rsidRDefault="00B72047">
      <w:pPr>
        <w:pStyle w:val="examplescaled"/>
      </w:pPr>
      <w:r>
        <w:tab/>
        <w:t xml:space="preserve">If you [factual] see my young sister, then [certainty] you know that </w:t>
      </w:r>
    </w:p>
    <w:p w:rsidR="00B72047" w:rsidRDefault="00B72047">
      <w:pPr>
        <w:pStyle w:val="examplescaled"/>
        <w:ind w:firstLine="576"/>
      </w:pPr>
      <w:r>
        <w:t>she is-pregnant.</w:t>
      </w:r>
    </w:p>
    <w:p w:rsidR="00B72047" w:rsidRDefault="00B72047">
      <w:pPr>
        <w:pStyle w:val="examplescaled"/>
      </w:pPr>
      <w:r>
        <w:tab/>
        <w:t>If you saw my younger sister, you would certainly know she is pregnant.</w:t>
      </w:r>
    </w:p>
    <w:p w:rsidR="00B72047" w:rsidRDefault="00B72047">
      <w:pPr>
        <w:pStyle w:val="normalafterexample"/>
      </w:pPr>
      <w:r>
        <w:rPr>
          <w:rStyle w:val="htmlcodes"/>
        </w:rPr>
        <w:t>&lt;/pre&gt;&lt;p&gt;</w:t>
      </w:r>
      <w:r>
        <w:t>It is also perfectly correct to omit the discursive altogether, and leave</w:t>
      </w:r>
      <w:r>
        <w:rPr>
          <w:rStyle w:val="deletedparamark"/>
        </w:rPr>
        <w:t xml:space="preserve"> </w:t>
      </w:r>
      <w:r>
        <w:t>the con</w:t>
      </w:r>
      <w:r>
        <w:softHyphen/>
        <w:t>text to indicate which significance is meant. (Chinese always</w:t>
      </w:r>
      <w:r>
        <w:rPr>
          <w:rStyle w:val="deletedparamark"/>
        </w:rPr>
        <w:t xml:space="preserve"> </w:t>
      </w:r>
      <w:r>
        <w:t>leaves this distinction to the co</w:t>
      </w:r>
      <w:r>
        <w:t>n</w:t>
      </w:r>
      <w:r>
        <w:softHyphen/>
        <w:t>text: the Chinese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name=e12d7&gt;</w:t>
      </w:r>
      <w:r>
        <w:t>12.7)</w:t>
      </w:r>
      <w:r>
        <w:tab/>
        <w:t>ru</w:t>
      </w:r>
      <w:r>
        <w:rPr>
          <w:rStyle w:val="Superscript"/>
        </w:rPr>
        <w:t>2</w:t>
      </w:r>
      <w:r>
        <w:rPr>
          <w:rStyle w:val="htmlcodes"/>
        </w:rPr>
        <w:t>&lt;sup&gt;2&lt;/sup&gt;</w:t>
      </w:r>
      <w:r>
        <w:t>guo</w:t>
      </w:r>
      <w:r>
        <w:rPr>
          <w:rStyle w:val="Superscript"/>
        </w:rPr>
        <w:t>3</w:t>
      </w:r>
      <w:r>
        <w:t xml:space="preserve"> ni</w:t>
      </w:r>
      <w:r>
        <w:rPr>
          <w:rStyle w:val="Superscript"/>
        </w:rPr>
        <w:t>3</w:t>
      </w:r>
      <w:r>
        <w:t xml:space="preserve"> kan</w:t>
      </w:r>
      <w:r>
        <w:rPr>
          <w:rStyle w:val="Superscript"/>
        </w:rPr>
        <w:t>4</w:t>
      </w:r>
      <w:r>
        <w:rPr>
          <w:rStyle w:val="htmlcodes"/>
        </w:rPr>
        <w:t>&lt;sup&gt;4&lt;/sup&gt;</w:t>
      </w:r>
      <w:r>
        <w:t>dao</w:t>
      </w:r>
      <w:r>
        <w:rPr>
          <w:rStyle w:val="Superscript"/>
        </w:rPr>
        <w:t>4</w:t>
      </w:r>
      <w:r>
        <w:t xml:space="preserve"> wo</w:t>
      </w:r>
      <w:r>
        <w:rPr>
          <w:rStyle w:val="Superscript"/>
        </w:rPr>
        <w:t>3</w:t>
      </w:r>
      <w:r>
        <w:t xml:space="preserve"> mei</w:t>
      </w:r>
      <w:r>
        <w:rPr>
          <w:rStyle w:val="Superscript"/>
        </w:rPr>
        <w:t>4</w:t>
      </w:r>
      <w:r>
        <w:rPr>
          <w:rStyle w:val="htmlcodes"/>
        </w:rPr>
        <w:t>&lt;sup&gt;4&lt;/sup&gt;</w:t>
      </w:r>
      <w:r>
        <w:t>mei, ni</w:t>
      </w:r>
      <w:r>
        <w:rPr>
          <w:rStyle w:val="Superscript"/>
        </w:rPr>
        <w:t>3</w:t>
      </w:r>
      <w:r>
        <w:t xml:space="preserve"> yi</w:t>
      </w:r>
      <w:r>
        <w:rPr>
          <w:rStyle w:val="Superscript"/>
        </w:rPr>
        <w:t>2</w:t>
      </w:r>
      <w:r>
        <w:rPr>
          <w:rStyle w:val="htmlcodes"/>
        </w:rPr>
        <w:t>&lt;sup&gt;2&lt;/sup&gt;</w:t>
      </w:r>
      <w:r>
        <w:t>ding</w:t>
      </w:r>
      <w:r>
        <w:rPr>
          <w:rStyle w:val="Superscript"/>
        </w:rPr>
        <w:t>4</w:t>
      </w:r>
      <w:r>
        <w:t xml:space="preserve"> zhi</w:t>
      </w:r>
      <w:r>
        <w:rPr>
          <w:rStyle w:val="Superscript"/>
        </w:rPr>
        <w:t>1</w:t>
      </w:r>
      <w:r>
        <w:rPr>
          <w:rStyle w:val="htmlcodes"/>
        </w:rPr>
        <w:t>&lt;sup&gt;1&lt;/sup&gt;</w:t>
      </w:r>
      <w:r>
        <w:t>dao</w:t>
      </w:r>
      <w:r>
        <w:rPr>
          <w:rStyle w:val="Superscript"/>
        </w:rPr>
        <w:t>4</w:t>
      </w:r>
      <w:r>
        <w:t xml:space="preserve"> ta</w:t>
      </w:r>
      <w:r>
        <w:rPr>
          <w:rStyle w:val="Superscript"/>
        </w:rPr>
        <w:t>1</w:t>
      </w:r>
      <w:r>
        <w:t xml:space="preserve"> huai</w:t>
      </w:r>
      <w:r>
        <w:rPr>
          <w:rStyle w:val="Superscript"/>
        </w:rPr>
        <w:t>2</w:t>
      </w:r>
      <w:r>
        <w:rPr>
          <w:rStyle w:val="htmlcodes"/>
        </w:rPr>
        <w:t>&lt;sup&gt;2&lt;/sup&gt;</w:t>
      </w:r>
      <w:r>
        <w:t>yun</w:t>
      </w:r>
      <w:r>
        <w:rPr>
          <w:rStyle w:val="Superscript"/>
        </w:rPr>
        <w:t>4</w:t>
      </w:r>
      <w:r>
        <w:t xml:space="preserve"> le</w:t>
      </w:r>
    </w:p>
    <w:p w:rsidR="00B72047" w:rsidRDefault="00B72047">
      <w:pPr>
        <w:pStyle w:val="examplescaled"/>
      </w:pPr>
      <w:r>
        <w:tab/>
        <w:t>if you see-arrive my younger-sister, you certainly know she pregnant</w:t>
      </w:r>
    </w:p>
    <w:p w:rsidR="00B72047" w:rsidRDefault="00B72047">
      <w:pPr>
        <w:pStyle w:val="resumedafterexample"/>
      </w:pPr>
      <w:r>
        <w:rPr>
          <w:rStyle w:val="htmlcodes"/>
        </w:rPr>
        <w:t>&lt;/pre&gt;</w:t>
      </w:r>
      <w:r>
        <w:t xml:space="preserve">is the equivalent of either </w:t>
      </w:r>
      <w:r>
        <w:rPr>
          <w:rStyle w:val="htmlcodes"/>
        </w:rPr>
        <w:t>&lt;a href=#e12d5&gt;</w:t>
      </w:r>
      <w:r>
        <w:t xml:space="preserve">Example 12.5 </w:t>
      </w:r>
      <w:r>
        <w:rPr>
          <w:rStyle w:val="htmlcodes"/>
        </w:rPr>
        <w:t>&lt;/a&gt;</w:t>
      </w:r>
      <w:r>
        <w:t xml:space="preserve">or </w:t>
      </w:r>
      <w:r>
        <w:rPr>
          <w:rStyle w:val="htmlcodes"/>
        </w:rPr>
        <w:t>&lt;a href=#e12d6&gt;</w:t>
      </w:r>
      <w:r>
        <w:t>Example 12.6</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408" w:name="_Toc398970650"/>
      <w:r>
        <w:rPr>
          <w:rStyle w:val="Heading3Text"/>
        </w:rPr>
        <w:t>Miscellaneous indicators</w:t>
      </w:r>
      <w:bookmarkEnd w:id="408"/>
      <w:r>
        <w:rPr>
          <w:rStyle w:val="htmlcodes"/>
        </w:rPr>
        <w:t>&lt;/h3&gt;</w:t>
      </w:r>
    </w:p>
    <w:p w:rsidR="00B72047" w:rsidRDefault="00B72047">
      <w:pPr>
        <w:rPr>
          <w:rStyle w:val="htmlparacode"/>
        </w:rPr>
      </w:pPr>
      <w:r>
        <w:rPr>
          <w:rStyle w:val="htmlparacode"/>
        </w:rPr>
        <w:t>&lt;p&gt;</w:t>
      </w:r>
    </w:p>
    <w:p w:rsidR="00B72047" w:rsidRDefault="00B72047">
      <w:pPr>
        <w:pStyle w:val="normalparagraph"/>
      </w:pPr>
      <w:r>
        <w:t>Some indicators do not fall neatly into the categories of atti</w:t>
      </w:r>
      <w:r>
        <w:softHyphen/>
        <w:t>tudinal,</w:t>
      </w:r>
      <w:r>
        <w:rPr>
          <w:rStyle w:val="deletedparamark"/>
        </w:rPr>
        <w:t xml:space="preserve"> </w:t>
      </w:r>
      <w:r>
        <w:t>evidential, or di</w:t>
      </w:r>
      <w:r>
        <w:t>s</w:t>
      </w:r>
      <w:r>
        <w:softHyphen/>
        <w:t>cursive. This section discusses the following</w:t>
      </w:r>
      <w:r>
        <w:rPr>
          <w:rStyle w:val="deletedparamark"/>
        </w:rPr>
        <w:t xml:space="preserve"> </w:t>
      </w:r>
      <w:r>
        <w:t>miscellaneous indicators:</w:t>
      </w:r>
    </w:p>
    <w:p w:rsidR="00B72047" w:rsidRDefault="00B72047">
      <w:pPr>
        <w:rPr>
          <w:rStyle w:val="htmlparacode"/>
        </w:rPr>
      </w:pPr>
      <w:r>
        <w:rPr>
          <w:rStyle w:val="htmlparacode"/>
        </w:rPr>
        <w:t>&lt;p&gt;</w:t>
      </w:r>
    </w:p>
    <w:p w:rsidR="00B72047" w:rsidRDefault="00B72047">
      <w:pPr>
        <w:pStyle w:val="examplegtabspre"/>
      </w:pPr>
      <w:r>
        <w:rPr>
          <w:rStyle w:val="htmlcodes"/>
        </w:rPr>
        <w:t>&lt;pre&gt;</w:t>
      </w:r>
      <w:r>
        <w:t xml:space="preserve"> </w:t>
      </w:r>
      <w:r>
        <w:tab/>
        <w:t>ki'a</w:t>
      </w:r>
      <w:r>
        <w:tab/>
        <w:t>metalinguistic confusion</w:t>
      </w:r>
    </w:p>
    <w:p w:rsidR="00B72047" w:rsidRDefault="00B72047">
      <w:pPr>
        <w:pStyle w:val="examplegrouptabs"/>
      </w:pPr>
      <w:r>
        <w:tab/>
        <w:t>na'i</w:t>
      </w:r>
      <w:r>
        <w:tab/>
        <w:t>metalinguistic negator</w:t>
      </w:r>
    </w:p>
    <w:p w:rsidR="00B72047" w:rsidRDefault="00B72047">
      <w:pPr>
        <w:pStyle w:val="examplegrouptabs"/>
      </w:pPr>
      <w:r>
        <w:tab/>
        <w:t>jo'a</w:t>
      </w:r>
      <w:r>
        <w:tab/>
        <w:t>metalinguistic affirmer</w:t>
      </w:r>
    </w:p>
    <w:p w:rsidR="00B72047" w:rsidRDefault="00B72047">
      <w:pPr>
        <w:pStyle w:val="examplegrouptabs"/>
      </w:pPr>
      <w:r>
        <w:tab/>
        <w:t>li'o</w:t>
      </w:r>
      <w:r>
        <w:tab/>
        <w:t>omitted text (quoted material)</w:t>
      </w:r>
    </w:p>
    <w:p w:rsidR="00B72047" w:rsidRDefault="00B72047">
      <w:pPr>
        <w:pStyle w:val="examplegrouptabs"/>
      </w:pPr>
      <w:r>
        <w:tab/>
        <w:t>sa'a</w:t>
      </w:r>
      <w:r>
        <w:tab/>
        <w:t>material inserted by editor/narrator</w:t>
      </w:r>
    </w:p>
    <w:p w:rsidR="00B72047" w:rsidRDefault="00B72047">
      <w:pPr>
        <w:pStyle w:val="examplegrouptabs"/>
      </w:pPr>
      <w:r>
        <w:tab/>
        <w:t>xu</w:t>
      </w:r>
      <w:r>
        <w:tab/>
        <w:t>true-false question</w:t>
      </w:r>
    </w:p>
    <w:p w:rsidR="00B72047" w:rsidRDefault="00B72047">
      <w:pPr>
        <w:pStyle w:val="examplegrouptabs"/>
      </w:pPr>
      <w:r>
        <w:tab/>
        <w:t>pau</w:t>
      </w:r>
      <w:r>
        <w:tab/>
        <w:t>question premarker</w:t>
      </w:r>
      <w:r>
        <w:tab/>
      </w:r>
      <w:r>
        <w:tab/>
      </w:r>
      <w:r>
        <w:tab/>
        <w:t>rhetorical question</w:t>
      </w:r>
    </w:p>
    <w:p w:rsidR="00B72047" w:rsidRDefault="00B72047">
      <w:pPr>
        <w:pStyle w:val="examplegrouptabs"/>
      </w:pPr>
      <w:r>
        <w:tab/>
        <w:t>pe'a</w:t>
      </w:r>
      <w:r>
        <w:tab/>
        <w:t>figurative language</w:t>
      </w:r>
      <w:r>
        <w:tab/>
      </w:r>
      <w:r>
        <w:tab/>
      </w:r>
      <w:r>
        <w:tab/>
        <w:t>literal language</w:t>
      </w:r>
    </w:p>
    <w:p w:rsidR="00B72047" w:rsidRDefault="00B72047">
      <w:pPr>
        <w:pStyle w:val="examplegrouptabs"/>
      </w:pPr>
      <w:r>
        <w:tab/>
        <w:t>bi'u</w:t>
      </w:r>
      <w:r>
        <w:tab/>
        <w:t>new information</w:t>
      </w:r>
      <w:r>
        <w:tab/>
      </w:r>
      <w:r>
        <w:tab/>
      </w:r>
      <w:r>
        <w:tab/>
        <w:t>old information</w:t>
      </w:r>
    </w:p>
    <w:p w:rsidR="00B72047" w:rsidRDefault="00B72047">
      <w:pPr>
        <w:pStyle w:val="examplegrouptabs"/>
      </w:pPr>
      <w:r>
        <w:tab/>
        <w:t>ge'e</w:t>
      </w:r>
      <w:r>
        <w:tab/>
        <w:t>non-specific indicator</w:t>
      </w:r>
    </w:p>
    <w:p w:rsidR="00B72047" w:rsidRDefault="00B72047">
      <w:pPr>
        <w:pStyle w:val="normalafterexample"/>
      </w:pPr>
      <w:r>
        <w:rPr>
          <w:rStyle w:val="htmlcodes"/>
        </w:rPr>
        <w:t>&lt;/pre&gt;</w:t>
      </w:r>
      <w:r>
        <w:rPr>
          <w:rStyle w:val="indexentry"/>
        </w:rPr>
        <w:t>&lt;lx "ki'a"&gt;</w:t>
      </w:r>
      <w:r>
        <w:rPr>
          <w:rStyle w:val="indexentry"/>
        </w:rPr>
        <w:fldChar w:fldCharType="begin"/>
      </w:r>
      <w:r>
        <w:instrText>xe "</w:instrText>
      </w:r>
      <w:r>
        <w:rPr>
          <w:rStyle w:val="xeentry"/>
        </w:rPr>
        <w:instrText>ki'a</w:instrText>
      </w:r>
      <w:r>
        <w:instrText>"</w:instrText>
      </w:r>
      <w:r>
        <w:rPr>
          <w:rStyle w:val="indexentry"/>
        </w:rPr>
        <w:fldChar w:fldCharType="end"/>
      </w:r>
      <w:r>
        <w:rPr>
          <w:rStyle w:val="indexentry"/>
        </w:rPr>
        <w:t>&lt;ex "huh?"&gt;</w:t>
      </w:r>
      <w:r>
        <w:rPr>
          <w:rStyle w:val="indexentry"/>
        </w:rPr>
        <w:fldChar w:fldCharType="begin"/>
      </w:r>
      <w:r>
        <w:instrText>xe "</w:instrText>
      </w:r>
      <w:r>
        <w:rPr>
          <w:rStyle w:val="xeentry"/>
        </w:rPr>
        <w:instrText>huh?: example</w:instrText>
      </w:r>
      <w:r>
        <w:instrText>"</w:instrText>
      </w:r>
      <w:r>
        <w:rPr>
          <w:rStyle w:val="indexentry"/>
        </w:rPr>
        <w:fldChar w:fldCharType="end"/>
      </w:r>
      <w:r>
        <w:rPr>
          <w:rStyle w:val="indexentry"/>
        </w:rPr>
        <w:t xml:space="preserve"> &lt;cx "confusion, metalinguistic"&gt;</w:t>
      </w:r>
      <w:r>
        <w:rPr>
          <w:rStyle w:val="indexentry"/>
        </w:rPr>
        <w:fldChar w:fldCharType="begin"/>
      </w:r>
      <w:r>
        <w:instrText>xe "</w:instrText>
      </w:r>
      <w:r>
        <w:rPr>
          <w:rStyle w:val="xeentry"/>
        </w:rPr>
        <w:instrText>confusion: metalinguistic</w:instrText>
      </w:r>
      <w:r>
        <w:instrText>"</w:instrText>
      </w:r>
      <w:r>
        <w:rPr>
          <w:rStyle w:val="indexentry"/>
        </w:rPr>
        <w:fldChar w:fldCharType="end"/>
      </w:r>
      <w:r>
        <w:rPr>
          <w:rStyle w:val="indexentry"/>
        </w:rPr>
        <w:t>&lt;cx "confusion about what was said"&gt;</w:t>
      </w:r>
      <w:r>
        <w:rPr>
          <w:rStyle w:val="indexentry"/>
        </w:rPr>
        <w:fldChar w:fldCharType="begin"/>
      </w:r>
      <w:r>
        <w:instrText>xe "</w:instrText>
      </w:r>
      <w:r>
        <w:rPr>
          <w:rStyle w:val="xeentry"/>
        </w:rPr>
        <w:instrText>confusion about what was said</w:instrText>
      </w:r>
      <w:r>
        <w:instrText>"</w:instrText>
      </w:r>
      <w:r>
        <w:rPr>
          <w:rStyle w:val="indexentry"/>
        </w:rPr>
        <w:fldChar w:fldCharType="end"/>
      </w:r>
      <w:r>
        <w:t>The cmavo “ki'a” is one of the most common of the miscella</w:t>
      </w:r>
      <w:r>
        <w:softHyphen/>
        <w:t>neous</w:t>
      </w:r>
      <w:r>
        <w:rPr>
          <w:rStyle w:val="deletedparamark"/>
        </w:rPr>
        <w:t xml:space="preserve"> </w:t>
      </w:r>
      <w:r>
        <w:t>indicators. It e</w:t>
      </w:r>
      <w:r>
        <w:t>x</w:t>
      </w:r>
      <w:r>
        <w:softHyphen/>
        <w:t>presses metalinguistic confusion; i.e. confusion about</w:t>
      </w:r>
      <w:r>
        <w:rPr>
          <w:rStyle w:val="deletedparamark"/>
        </w:rPr>
        <w:t xml:space="preserve"> </w:t>
      </w:r>
      <w:r>
        <w:t>what has been said, as op</w:t>
      </w:r>
      <w:r>
        <w:softHyphen/>
        <w:t>posed to confusion not tied to the discourse (which</w:t>
      </w:r>
      <w:r>
        <w:rPr>
          <w:rStyle w:val="deletedparamark"/>
        </w:rPr>
        <w:t xml:space="preserve"> </w:t>
      </w:r>
      <w:r>
        <w:t>is “.uanai”). The confusion may be about the mean</w:t>
      </w:r>
      <w:r>
        <w:softHyphen/>
        <w:t>ing of a word or of a</w:t>
      </w:r>
      <w:r>
        <w:rPr>
          <w:rStyle w:val="deletedparamark"/>
        </w:rPr>
        <w:t xml:space="preserve"> </w:t>
      </w:r>
      <w:r>
        <w:t>grammatical construct, or about the referent of a sumti. One of the uses</w:t>
      </w:r>
      <w:r>
        <w:rPr>
          <w:rStyle w:val="deletedparamark"/>
        </w:rPr>
        <w:t xml:space="preserve"> </w:t>
      </w:r>
      <w:r>
        <w:t>of English “which” corresponds to “ki'a”: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mi nelci le ctuca</w:t>
      </w:r>
    </w:p>
    <w:p w:rsidR="00B72047" w:rsidRDefault="00B72047">
      <w:pPr>
        <w:pStyle w:val="examplescaled"/>
        <w:ind w:firstLine="0"/>
      </w:pPr>
      <w:r>
        <w:t>.i le ki'a ctuca</w:t>
      </w:r>
    </w:p>
    <w:p w:rsidR="00B72047" w:rsidRDefault="00B72047">
      <w:pPr>
        <w:pStyle w:val="examplescaledpre"/>
      </w:pPr>
      <w:r>
        <w:tab/>
        <w:t>I like the teacher</w:t>
      </w:r>
    </w:p>
    <w:p w:rsidR="00B72047" w:rsidRDefault="00B72047">
      <w:pPr>
        <w:pStyle w:val="examplescaled"/>
      </w:pPr>
      <w:r>
        <w:tab/>
        <w:t>Which teacher?</w:t>
      </w:r>
    </w:p>
    <w:p w:rsidR="00B72047" w:rsidRDefault="00B72047">
      <w:pPr>
        <w:pStyle w:val="resumedafterexample"/>
      </w:pPr>
      <w:r>
        <w:rPr>
          <w:rStyle w:val="htmlcodes"/>
        </w:rPr>
        <w:t>&lt;/pre&gt;&lt;p&gt;</w:t>
      </w:r>
      <w:r>
        <w:t>Here, the second speaker does not understand the referent of the sumti</w:t>
      </w:r>
      <w:r>
        <w:rPr>
          <w:rStyle w:val="deletedparamark"/>
        </w:rPr>
        <w:t xml:space="preserve"> “</w:t>
      </w:r>
      <w:r>
        <w:t>le ctuca”, and so echoes back the sumti with the confusion marker.</w:t>
      </w:r>
    </w:p>
    <w:p w:rsidR="00B72047" w:rsidRDefault="00B72047">
      <w:pPr>
        <w:rPr>
          <w:rStyle w:val="htmlparacode"/>
        </w:rPr>
      </w:pPr>
      <w:r>
        <w:rPr>
          <w:rStyle w:val="htmlparacode"/>
        </w:rPr>
        <w:t>&lt;p&gt;</w:t>
      </w:r>
    </w:p>
    <w:p w:rsidR="00B72047" w:rsidRDefault="00B72047">
      <w:pPr>
        <w:pStyle w:val="normalparagraph"/>
      </w:pP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"jo'a"&gt;</w:t>
      </w:r>
      <w:r>
        <w:rPr>
          <w:rStyle w:val="indexentry"/>
        </w:rPr>
        <w:fldChar w:fldCharType="begin"/>
      </w:r>
      <w:r>
        <w:instrText>xe "</w:instrText>
      </w:r>
      <w:r>
        <w:rPr>
          <w:rStyle w:val="xeentry"/>
        </w:rPr>
        <w:instrText>jo'a</w:instrText>
      </w:r>
      <w:r>
        <w:instrText>"</w:instrText>
      </w:r>
      <w:r>
        <w:rPr>
          <w:rStyle w:val="indexentry"/>
        </w:rPr>
        <w:fldChar w:fldCharType="end"/>
      </w:r>
      <w:r>
        <w:rPr>
          <w:rStyle w:val="indexentry"/>
        </w:rPr>
        <w:t>&lt;cx "error marking, metalinguistic"&gt;</w:t>
      </w:r>
      <w:r>
        <w:rPr>
          <w:rStyle w:val="indexentry"/>
        </w:rPr>
        <w:fldChar w:fldCharType="begin"/>
      </w:r>
      <w:r>
        <w:instrText>xe "</w:instrText>
      </w:r>
      <w:r>
        <w:rPr>
          <w:rStyle w:val="xeentry"/>
        </w:rPr>
        <w:instrText>error marking: metalinguistic</w:instrText>
      </w:r>
      <w:r>
        <w:instrText>"</w:instrText>
      </w:r>
      <w:r>
        <w:rPr>
          <w:rStyle w:val="indexentry"/>
        </w:rPr>
        <w:fldChar w:fldCharType="end"/>
      </w:r>
      <w:r>
        <w:rPr>
          <w:rStyle w:val="indexentry"/>
        </w:rPr>
        <w:t>&lt;cx "invalid speech, marking as error with na'i"&gt;</w:t>
      </w:r>
      <w:r>
        <w:rPr>
          <w:rStyle w:val="indexentry"/>
        </w:rPr>
        <w:fldChar w:fldCharType="begin"/>
      </w:r>
      <w:r>
        <w:instrText>xe "</w:instrText>
      </w:r>
      <w:r>
        <w:rPr>
          <w:rStyle w:val="xeentry"/>
        </w:rPr>
        <w:instrText>invalid speech: marking as error with na'i</w:instrText>
      </w:r>
      <w:r>
        <w:instrText>"</w:instrText>
      </w:r>
      <w:r>
        <w:rPr>
          <w:rStyle w:val="indexentry"/>
        </w:rPr>
        <w:fldChar w:fldCharType="end"/>
      </w:r>
      <w:r>
        <w:t>The metalinguistic negation cmavo “na'i” and its opposite “jo'a” are</w:t>
      </w:r>
      <w:r>
        <w:rPr>
          <w:rStyle w:val="deletedparamark"/>
        </w:rPr>
        <w:t xml:space="preserve"> </w:t>
      </w:r>
      <w:r>
        <w:t xml:space="preserve">explained in full in </w:t>
      </w:r>
      <w:r>
        <w:rPr>
          <w:rStyle w:val="htmlcodes"/>
        </w:rPr>
        <w:t>&lt;a href=chap15.html&gt;</w:t>
      </w:r>
      <w:r>
        <w:t>Chapter 15</w:t>
      </w:r>
      <w:r>
        <w:rPr>
          <w:rStyle w:val="htmlcodes"/>
        </w:rPr>
        <w:t>&lt;/a&gt;</w:t>
      </w:r>
      <w:r>
        <w:t>. In general, “na'i” indicates that there</w:t>
      </w:r>
      <w:r>
        <w:rPr>
          <w:rStyle w:val="deletedparamark"/>
        </w:rPr>
        <w:t xml:space="preserve"> </w:t>
      </w:r>
      <w:r>
        <w:t>is something wrong with a piece of discourse: either an error, or a false</w:t>
      </w:r>
      <w:r>
        <w:rPr>
          <w:rStyle w:val="deletedparamark"/>
        </w:rPr>
        <w:t xml:space="preserve"> </w:t>
      </w:r>
      <w:r>
        <w:t>underlying assumption, or something else of the sort. The discourse is</w:t>
      </w:r>
      <w:r>
        <w:rPr>
          <w:rStyle w:val="deletedparamark"/>
        </w:rPr>
        <w:t xml:space="preserve"> </w:t>
      </w:r>
      <w:r>
        <w:t>invalid or inappropriate due to the marked word or con</w:t>
      </w:r>
      <w:r>
        <w:softHyphen/>
        <w:t>struct.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"valid speech, marking as error with jo'a"&gt;</w:t>
      </w:r>
      <w:r>
        <w:rPr>
          <w:rStyle w:val="indexentry"/>
        </w:rPr>
        <w:fldChar w:fldCharType="begin"/>
      </w:r>
      <w:r>
        <w:instrText>xe "</w:instrText>
      </w:r>
      <w:r>
        <w:rPr>
          <w:rStyle w:val="xeentry"/>
        </w:rPr>
        <w:instrText>valid speech: marking as error with jo'a</w:instrText>
      </w:r>
      <w:r>
        <w:instrText>"</w:instrText>
      </w:r>
      <w:r>
        <w:rPr>
          <w:rStyle w:val="indexentry"/>
        </w:rPr>
        <w:fldChar w:fldCharType="end"/>
      </w:r>
      <w:r>
        <w:t>Similarly, “jo'a” marks something which looks wrong but is in fact correct.</w:t>
      </w:r>
      <w:r>
        <w:rPr>
          <w:rStyle w:val="deletedparamark"/>
        </w:rPr>
        <w:t xml:space="preserve"> </w:t>
      </w:r>
      <w:r>
        <w:t>These two cmavo constitute a scale, but are kept apart for two reasons:</w:t>
      </w:r>
      <w:r>
        <w:rPr>
          <w:rStyle w:val="deletedparamark"/>
        </w:rPr>
        <w:t xml:space="preserve"> “</w:t>
      </w:r>
      <w:r>
        <w:t>na'inai” means the same as “jo'a”, but would be too confusing as an</w:t>
      </w:r>
      <w:r>
        <w:rPr>
          <w:rStyle w:val="deletedparamark"/>
        </w:rPr>
        <w:t xml:space="preserve"> </w:t>
      </w:r>
      <w:r>
        <w:t>affirmation; “jo'anai” means the same as “na'i”, but is too long to serve</w:t>
      </w:r>
      <w:r>
        <w:rPr>
          <w:rStyle w:val="deletedparamark"/>
        </w:rPr>
        <w:t xml:space="preserve"> </w:t>
      </w:r>
      <w:r>
        <w:t>as a convenient metalinguistic negator.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"fragmentary text"&gt;</w:t>
      </w:r>
      <w:r>
        <w:rPr>
          <w:rStyle w:val="indexentry"/>
        </w:rPr>
        <w:fldChar w:fldCharType="begin"/>
      </w:r>
      <w:r>
        <w:instrText>xe "</w:instrText>
      </w:r>
      <w:r>
        <w:rPr>
          <w:rStyle w:val="xeentry"/>
        </w:rPr>
        <w:instrText>fragmentary text</w:instrText>
      </w:r>
      <w:r>
        <w:instrText>"</w:instrText>
      </w:r>
      <w:r>
        <w:rPr>
          <w:rStyle w:val="indexentry"/>
        </w:rPr>
        <w:fldChar w:fldCharType="end"/>
      </w:r>
      <w:r>
        <w:rPr>
          <w:rStyle w:val="indexentry"/>
        </w:rPr>
        <w:t>&lt;lx "li'o"&gt;</w:t>
      </w:r>
      <w:r>
        <w:rPr>
          <w:rStyle w:val="indexentry"/>
        </w:rPr>
        <w:fldChar w:fldCharType="begin"/>
      </w:r>
      <w:r>
        <w:instrText>xe "</w:instrText>
      </w:r>
      <w:r>
        <w:rPr>
          <w:rStyle w:val="xeentry"/>
        </w:rPr>
        <w:instrText>li'o</w:instrText>
      </w:r>
      <w:r>
        <w:instrText>"</w:instrText>
      </w:r>
      <w:r>
        <w:rPr>
          <w:rStyle w:val="indexentry"/>
        </w:rPr>
        <w:fldChar w:fldCharType="end"/>
      </w:r>
      <w:r>
        <w:rPr>
          <w:rStyle w:val="indexentry"/>
        </w:rPr>
        <w:t>&lt;cx "partial quotation"&gt;</w:t>
      </w:r>
      <w:r>
        <w:rPr>
          <w:rStyle w:val="indexentry"/>
        </w:rPr>
        <w:fldChar w:fldCharType="begin"/>
      </w:r>
      <w:r>
        <w:instrText>xe "</w:instrText>
      </w:r>
      <w:r>
        <w:rPr>
          <w:rStyle w:val="xeentry"/>
        </w:rPr>
        <w:instrText>partial quotation</w:instrText>
      </w:r>
      <w:r>
        <w:instrText>"</w:instrText>
      </w:r>
      <w:r>
        <w:rPr>
          <w:rStyle w:val="indexentry"/>
        </w:rPr>
        <w:fldChar w:fldCharType="end"/>
      </w:r>
      <w:r>
        <w:t>The next two cmavo are used to assist in quoting texts writ</w:t>
      </w:r>
      <w:r>
        <w:softHyphen/>
        <w:t>ten or spoken</w:t>
      </w:r>
      <w:r>
        <w:rPr>
          <w:rStyle w:val="deletedparamark"/>
        </w:rPr>
        <w:t xml:space="preserve"> </w:t>
      </w:r>
      <w:r>
        <w:t>by others. It is often the case that we wish to quote only part of a</w:t>
      </w:r>
      <w:r>
        <w:rPr>
          <w:rStyle w:val="deletedparamark"/>
        </w:rPr>
        <w:t xml:space="preserve"> </w:t>
      </w:r>
      <w:r>
        <w:t>text, or to supply addi</w:t>
      </w:r>
      <w:r>
        <w:softHyphen/>
        <w:t>tional material either by way of commentary</w:t>
      </w:r>
      <w:r>
        <w:rPr>
          <w:rStyle w:val="deletedparamark"/>
        </w:rPr>
        <w:t xml:space="preserve"> </w:t>
      </w:r>
      <w:r>
        <w:t>or to make a fragmentary text grammati</w:t>
      </w:r>
      <w:r>
        <w:softHyphen/>
        <w:t>cal. The cmavo “li'o” serves the</w:t>
      </w:r>
      <w:r>
        <w:rPr>
          <w:rStyle w:val="deletedparamark"/>
        </w:rPr>
        <w:t xml:space="preserve"> </w:t>
      </w:r>
      <w:r>
        <w:t>former function. It indicates that words were omitted from the quotation.</w:t>
      </w:r>
      <w:r>
        <w:rPr>
          <w:rStyle w:val="deletedparamark"/>
        </w:rPr>
        <w:t xml:space="preserve"> </w:t>
      </w:r>
      <w:r>
        <w:t>What remains of the quotation must be grammati</w:t>
      </w:r>
      <w:r>
        <w:softHyphen/>
        <w:t>cal, however, as “li'o”</w:t>
      </w:r>
      <w:r>
        <w:rPr>
          <w:rStyle w:val="deletedparamark"/>
        </w:rPr>
        <w:t xml:space="preserve"> </w:t>
      </w:r>
      <w:r>
        <w:t>does not serve any grammatical function. It cannot, for example, take</w:t>
      </w:r>
      <w:r>
        <w:rPr>
          <w:rStyle w:val="deletedparamark"/>
        </w:rPr>
        <w:t xml:space="preserve"> </w:t>
      </w:r>
      <w:r>
        <w:t>the place of a missing selbri in a bridi, or supply the missing tail</w:t>
      </w:r>
      <w:r>
        <w:rPr>
          <w:rStyle w:val="deletedparamark"/>
        </w:rPr>
        <w:t xml:space="preserve"> </w:t>
      </w:r>
      <w:r>
        <w:t>of a description sumti: “le li'o” in isolation is not gra</w:t>
      </w:r>
      <w:r>
        <w:t>m</w:t>
      </w:r>
      <w:r>
        <w:softHyphen/>
        <w:t>matical.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"sa'a"&gt;</w:t>
      </w:r>
      <w:r>
        <w:rPr>
          <w:rStyle w:val="indexentry"/>
        </w:rPr>
        <w:fldChar w:fldCharType="begin"/>
      </w:r>
      <w:r>
        <w:instrText>xe "</w:instrText>
      </w:r>
      <w:r>
        <w:rPr>
          <w:rStyle w:val="xeentry"/>
        </w:rPr>
        <w:instrText>sa'a</w:instrText>
      </w:r>
      <w:r>
        <w:instrText>"</w:instrText>
      </w:r>
      <w:r>
        <w:rPr>
          <w:rStyle w:val="indexentry"/>
        </w:rPr>
        <w:fldChar w:fldCharType="end"/>
      </w:r>
      <w:r>
        <w:rPr>
          <w:rStyle w:val="indexentry"/>
        </w:rPr>
        <w:t>&lt;cx "editorial insertion, with "sa'a"&gt;</w:t>
      </w:r>
      <w:r>
        <w:rPr>
          <w:rStyle w:val="indexentry"/>
        </w:rPr>
        <w:fldChar w:fldCharType="begin"/>
      </w:r>
      <w:r>
        <w:instrText>xe "</w:instrText>
      </w:r>
      <w:r>
        <w:rPr>
          <w:rStyle w:val="xeentry"/>
        </w:rPr>
        <w:instrText>editorial insertion: with sa'a</w:instrText>
      </w:r>
      <w:r>
        <w:instrText>"</w:instrText>
      </w:r>
      <w:r>
        <w:rPr>
          <w:rStyle w:val="indexentry"/>
        </w:rPr>
        <w:fldChar w:fldCharType="end"/>
      </w:r>
      <w:r>
        <w:rPr>
          <w:rStyle w:val="indexentry"/>
        </w:rPr>
        <w:t>&lt;lx "sei"&gt;</w:t>
      </w:r>
      <w:r>
        <w:rPr>
          <w:rStyle w:val="indexentry"/>
        </w:rPr>
        <w:fldChar w:fldCharType="begin"/>
      </w:r>
      <w:r>
        <w:instrText>xe "</w:instrText>
      </w:r>
      <w:r>
        <w:rPr>
          <w:rStyle w:val="xeentry"/>
        </w:rPr>
        <w:instrText>sei</w:instrText>
      </w:r>
      <w:r>
        <w:instrText>"</w:instrText>
      </w:r>
      <w:r>
        <w:rPr>
          <w:rStyle w:val="indexentry"/>
        </w:rPr>
        <w:fldChar w:fldCharType="end"/>
      </w:r>
      <w:r>
        <w:rPr>
          <w:rStyle w:val="indexentry"/>
        </w:rPr>
        <w:t>&lt;lx "to'i"&gt;</w:t>
      </w:r>
      <w:r>
        <w:rPr>
          <w:rStyle w:val="indexentry"/>
        </w:rPr>
        <w:fldChar w:fldCharType="begin"/>
      </w:r>
      <w:r>
        <w:instrText>xe "</w:instrText>
      </w:r>
      <w:r>
        <w:rPr>
          <w:rStyle w:val="xeentry"/>
        </w:rPr>
        <w:instrText>to'i</w:instrText>
      </w:r>
      <w:r>
        <w:instrText>"</w:instrText>
      </w:r>
      <w:r>
        <w:rPr>
          <w:rStyle w:val="indexentry"/>
        </w:rPr>
        <w:fldChar w:fldCharType="end"/>
      </w:r>
      <w:r>
        <w:rPr>
          <w:rStyle w:val="indexentry"/>
        </w:rPr>
        <w:t>&lt;cx "sa'a, interaction with li'o"&gt;</w:t>
      </w:r>
      <w:r>
        <w:rPr>
          <w:rStyle w:val="indexentry"/>
        </w:rPr>
        <w:fldChar w:fldCharType="begin"/>
      </w:r>
      <w:r>
        <w:instrText>xe "</w:instrText>
      </w:r>
      <w:r>
        <w:rPr>
          <w:rStyle w:val="xeentry"/>
        </w:rPr>
        <w:instrText>sa'a: interaction with li'o</w:instrText>
      </w:r>
      <w:r>
        <w:instrText>"</w:instrText>
      </w:r>
      <w:r>
        <w:rPr>
          <w:rStyle w:val="indexentry"/>
        </w:rPr>
        <w:fldChar w:fldCharType="end"/>
      </w:r>
      <w:r>
        <w:rPr>
          <w:rStyle w:val="indexentry"/>
        </w:rPr>
        <w:t>&lt;cx "sa'a, interaction with sei"&gt;</w:t>
      </w:r>
      <w:r>
        <w:rPr>
          <w:rStyle w:val="indexentry"/>
        </w:rPr>
        <w:fldChar w:fldCharType="begin"/>
      </w:r>
      <w:r>
        <w:instrText>xe "</w:instrText>
      </w:r>
      <w:r>
        <w:rPr>
          <w:rStyle w:val="xeentry"/>
        </w:rPr>
        <w:instrText>sa'a: interaction with sei</w:instrText>
      </w:r>
      <w:r>
        <w:instrText>"</w:instrText>
      </w:r>
      <w:r>
        <w:rPr>
          <w:rStyle w:val="indexentry"/>
        </w:rPr>
        <w:fldChar w:fldCharType="end"/>
      </w:r>
      <w:r>
        <w:rPr>
          <w:rStyle w:val="indexentry"/>
        </w:rPr>
        <w:t>&lt;cx "sa'a, interaction with to'i"&gt;</w:t>
      </w:r>
      <w:r>
        <w:rPr>
          <w:rStyle w:val="indexentry"/>
        </w:rPr>
        <w:fldChar w:fldCharType="begin"/>
      </w:r>
      <w:r>
        <w:instrText>xe "</w:instrText>
      </w:r>
      <w:r>
        <w:rPr>
          <w:rStyle w:val="xeentry"/>
        </w:rPr>
        <w:instrText>sa'a: interaction with to'i</w:instrText>
      </w:r>
      <w:r>
        <w:instrText>"</w:instrText>
      </w:r>
      <w:r>
        <w:rPr>
          <w:rStyle w:val="indexentry"/>
        </w:rPr>
        <w:fldChar w:fldCharType="end"/>
      </w:r>
      <w:r>
        <w:t>The cmavo “sa'a” indicates in a quotation that the marked word or construct</w:t>
      </w:r>
      <w:r>
        <w:rPr>
          <w:rStyle w:val="deletedparamark"/>
        </w:rPr>
        <w:t xml:space="preserve"> </w:t>
      </w:r>
      <w:r>
        <w:t>was not actually expressed, but is inserted for edi</w:t>
      </w:r>
      <w:r>
        <w:softHyphen/>
        <w:t>torial, narrative, or</w:t>
      </w:r>
      <w:r>
        <w:rPr>
          <w:rStyle w:val="deletedparamark"/>
        </w:rPr>
        <w:t xml:space="preserve"> </w:t>
      </w:r>
      <w:r>
        <w:t>grammatical pur</w:t>
      </w:r>
      <w:r>
        <w:softHyphen/>
        <w:t>poses. Strictly, even a “li'o” should appear in the form</w:t>
      </w:r>
      <w:r>
        <w:rPr>
          <w:rStyle w:val="deletedparamark"/>
        </w:rPr>
        <w:t xml:space="preserve"> “</w:t>
      </w:r>
      <w:r>
        <w:t>li'osa'a”, since the “li'o” was not part of the original quotation.</w:t>
      </w:r>
      <w:r>
        <w:rPr>
          <w:rStyle w:val="deletedparamark"/>
        </w:rPr>
        <w:t xml:space="preserve"> </w:t>
      </w:r>
      <w:r>
        <w:t>In practice, this and other forms which are already associ</w:t>
      </w:r>
      <w:r>
        <w:softHyphen/>
        <w:t>ated with</w:t>
      </w:r>
      <w:r>
        <w:rPr>
          <w:rStyle w:val="deletedparamark"/>
        </w:rPr>
        <w:t xml:space="preserve"> </w:t>
      </w:r>
      <w:r>
        <w:t>metalinguistic expressions, such as “sei” (of selma'o SEI) or “to'i” (of</w:t>
      </w:r>
      <w:r>
        <w:rPr>
          <w:rStyle w:val="deletedparamark"/>
        </w:rPr>
        <w:t xml:space="preserve"> </w:t>
      </w:r>
      <w:r>
        <w:t>selma'o TO) need not be marked except where confusion might result.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"editorial insertion, of text already containing sa'a"&gt;</w:t>
      </w:r>
      <w:r>
        <w:rPr>
          <w:rStyle w:val="indexentry"/>
        </w:rPr>
        <w:fldChar w:fldCharType="begin"/>
      </w:r>
      <w:r>
        <w:instrText>xe "</w:instrText>
      </w:r>
      <w:r>
        <w:rPr>
          <w:rStyle w:val="xeentry"/>
        </w:rPr>
        <w:instrText>editorial insertion: of text already containing sa'a</w:instrText>
      </w:r>
      <w:r>
        <w:instrText>"</w:instrText>
      </w:r>
      <w:r>
        <w:rPr>
          <w:rStyle w:val="indexentry"/>
        </w:rPr>
        <w:fldChar w:fldCharType="end"/>
      </w:r>
      <w:r>
        <w:rPr>
          <w:rStyle w:val="indexentry"/>
        </w:rPr>
        <w:t>&lt;cx "sa'a, editorial insertion of text already containing sa'a"&gt;</w:t>
      </w:r>
      <w:r>
        <w:rPr>
          <w:rStyle w:val="indexentry"/>
        </w:rPr>
        <w:fldChar w:fldCharType="begin"/>
      </w:r>
      <w:r>
        <w:instrText>xe "</w:instrText>
      </w:r>
      <w:r>
        <w:rPr>
          <w:rStyle w:val="xeentry"/>
        </w:rPr>
        <w:instrText>sa'a: editorial insertion of text already containing sa'a</w:instrText>
      </w:r>
      <w:r>
        <w:instrText>"</w:instrText>
      </w:r>
      <w:r>
        <w:rPr>
          <w:rStyle w:val="indexentry"/>
        </w:rPr>
        <w:fldChar w:fldCharType="end"/>
      </w:r>
      <w:r>
        <w:t>In the rare case that the quoted material already contains one or more</w:t>
      </w:r>
      <w:r>
        <w:rPr>
          <w:rStyle w:val="deletedparamark"/>
        </w:rPr>
        <w:t xml:space="preserve"> </w:t>
      </w:r>
      <w:r>
        <w:t>instances of “sa'a”, they can be changed to “sa'asa'a”.</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"xu"&gt;</w:t>
      </w:r>
      <w:r>
        <w:rPr>
          <w:rStyle w:val="indexentry"/>
        </w:rPr>
        <w:fldChar w:fldCharType="begin"/>
      </w:r>
      <w:r>
        <w:instrText>xe "</w:instrText>
      </w:r>
      <w:r>
        <w:rPr>
          <w:rStyle w:val="xeentry"/>
        </w:rPr>
        <w:instrText>xu</w:instrText>
      </w:r>
      <w:r>
        <w:instrText>"</w:instrText>
      </w:r>
      <w:r>
        <w:rPr>
          <w:rStyle w:val="indexentry"/>
        </w:rPr>
        <w:fldChar w:fldCharType="end"/>
      </w:r>
      <w:r>
        <w:rPr>
          <w:rStyle w:val="indexentry"/>
        </w:rPr>
        <w:t>&lt;cx "yes/no questions"&gt;</w:t>
      </w:r>
      <w:r>
        <w:rPr>
          <w:rStyle w:val="indexentry"/>
        </w:rPr>
        <w:fldChar w:fldCharType="begin"/>
      </w:r>
      <w:r>
        <w:instrText>xe "</w:instrText>
      </w:r>
      <w:r>
        <w:rPr>
          <w:rStyle w:val="xeentry"/>
        </w:rPr>
        <w:instrText>yes/no questions</w:instrText>
      </w:r>
      <w:r>
        <w:instrText>"</w:instrText>
      </w:r>
      <w:r>
        <w:rPr>
          <w:rStyle w:val="indexentry"/>
        </w:rPr>
        <w:fldChar w:fldCharType="end"/>
      </w:r>
      <w:r>
        <w:rPr>
          <w:rStyle w:val="indexentry"/>
        </w:rPr>
        <w:t>&lt;cx "truth questions"&gt;</w:t>
      </w:r>
      <w:r>
        <w:rPr>
          <w:rStyle w:val="indexentry"/>
        </w:rPr>
        <w:fldChar w:fldCharType="begin"/>
      </w:r>
      <w:r>
        <w:instrText>xe "</w:instrText>
      </w:r>
      <w:r>
        <w:rPr>
          <w:rStyle w:val="xeentry"/>
        </w:rPr>
        <w:instrText>truth questions</w:instrText>
      </w:r>
      <w:r>
        <w:instrText>"</w:instrText>
      </w:r>
      <w:r>
        <w:rPr>
          <w:rStyle w:val="indexentry"/>
        </w:rPr>
        <w:fldChar w:fldCharType="end"/>
      </w:r>
      <w:r>
        <w:rPr>
          <w:rStyle w:val="indexentry"/>
        </w:rPr>
        <w:t>&lt;cx "questions, with "xu"&gt;</w:t>
      </w:r>
      <w:r>
        <w:rPr>
          <w:rStyle w:val="indexentry"/>
        </w:rPr>
        <w:fldChar w:fldCharType="begin"/>
      </w:r>
      <w:r>
        <w:instrText>xe "</w:instrText>
      </w:r>
      <w:r>
        <w:rPr>
          <w:rStyle w:val="xeentry"/>
        </w:rPr>
        <w:instrText>questions: with \"xu</w:instrText>
      </w:r>
      <w:r>
        <w:instrText>"</w:instrText>
      </w:r>
      <w:r>
        <w:rPr>
          <w:rStyle w:val="indexentry"/>
        </w:rPr>
        <w:fldChar w:fldCharType="end"/>
      </w:r>
      <w:r>
        <w:t>The cmavo “xu” marks truth questions, which are discussed in detail</w:t>
      </w:r>
      <w:r>
        <w:rPr>
          <w:rStyle w:val="deletedparamark"/>
        </w:rPr>
        <w:t xml:space="preserve"> </w:t>
      </w:r>
      <w:r>
        <w:t xml:space="preserve">in </w:t>
      </w:r>
      <w:r>
        <w:rPr>
          <w:rStyle w:val="htmlcodes"/>
        </w:rPr>
        <w:t>&lt;a href=chap15.html&gt;</w:t>
      </w:r>
      <w:r>
        <w:t>Chap</w:t>
      </w:r>
      <w:r>
        <w:softHyphen/>
        <w:t>ter 15</w:t>
      </w:r>
      <w:r>
        <w:rPr>
          <w:rStyle w:val="htmlcodes"/>
        </w:rPr>
        <w:t>&lt;/a&gt;</w:t>
      </w:r>
      <w:r>
        <w:t>. In general, “xu” may be translated “Is it true that </w:t>
      </w:r>
      <w:r>
        <w:rPr>
          <w:rStyle w:val="htmlcodes"/>
        </w:rPr>
        <w:t>&lt;dots&gt;</w:t>
      </w:r>
      <w:r>
        <w:t>…</w:t>
      </w:r>
      <w:r>
        <w:rPr>
          <w:rStyle w:val="htmlcodes"/>
        </w:rPr>
        <w:t>&lt;/dots&gt;</w:t>
      </w:r>
      <w:r>
        <w:t>?”</w:t>
      </w:r>
      <w:r>
        <w:rPr>
          <w:rStyle w:val="deletedparamark"/>
        </w:rPr>
        <w:t xml:space="preserve"> </w:t>
      </w:r>
      <w:r>
        <w:t>and questions whether the attached bridi is true. When “xu” is attached</w:t>
      </w:r>
      <w:r>
        <w:rPr>
          <w:rStyle w:val="deletedparamark"/>
        </w:rPr>
        <w:t xml:space="preserve"> </w:t>
      </w:r>
      <w:r>
        <w:t>to a specific word or construct, it directs the focus of the question</w:t>
      </w:r>
      <w:r>
        <w:rPr>
          <w:rStyle w:val="deletedparamark"/>
        </w:rPr>
        <w:t xml:space="preserve"> </w:t>
      </w:r>
      <w:r>
        <w:t>to that word or construct.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"pau"&gt;</w:t>
      </w:r>
      <w:r>
        <w:rPr>
          <w:rStyle w:val="indexentry"/>
        </w:rPr>
        <w:fldChar w:fldCharType="begin"/>
      </w:r>
      <w:r>
        <w:instrText>xe "</w:instrText>
      </w:r>
      <w:r>
        <w:rPr>
          <w:rStyle w:val="xeentry"/>
        </w:rPr>
        <w:instrText>pau</w:instrText>
      </w:r>
      <w:r>
        <w:instrText>"</w:instrText>
      </w:r>
      <w:r>
        <w:rPr>
          <w:rStyle w:val="indexentry"/>
        </w:rPr>
        <w:fldChar w:fldCharType="end"/>
      </w:r>
      <w:r>
        <w:rPr>
          <w:rStyle w:val="indexentry"/>
        </w:rPr>
        <w:t>&lt;cx "questions, marking in advance"&gt;</w:t>
      </w:r>
      <w:r>
        <w:rPr>
          <w:rStyle w:val="indexentry"/>
        </w:rPr>
        <w:fldChar w:fldCharType="begin"/>
      </w:r>
      <w:r>
        <w:instrText>xe "</w:instrText>
      </w:r>
      <w:r>
        <w:rPr>
          <w:rStyle w:val="xeentry"/>
        </w:rPr>
        <w:instrText>questions: marking in advance</w:instrText>
      </w:r>
      <w:r>
        <w:instrText>"</w:instrText>
      </w:r>
      <w:r>
        <w:rPr>
          <w:rStyle w:val="indexentry"/>
        </w:rPr>
        <w:fldChar w:fldCharType="end"/>
      </w:r>
      <w:r>
        <w:t>Lojban question words, unlike those of English, frequently do not stand</w:t>
      </w:r>
      <w:r>
        <w:rPr>
          <w:rStyle w:val="deletedparamark"/>
        </w:rPr>
        <w:t xml:space="preserve"> </w:t>
      </w:r>
      <w:r>
        <w:t>at the begi</w:t>
      </w:r>
      <w:r>
        <w:t>n</w:t>
      </w:r>
      <w:r>
        <w:softHyphen/>
        <w:t>ning of the question. Placing the cmavo “pau” at the beginning</w:t>
      </w:r>
      <w:r>
        <w:rPr>
          <w:rStyle w:val="deletedparamark"/>
        </w:rPr>
        <w:t xml:space="preserve"> </w:t>
      </w:r>
      <w:r>
        <w:t>of a bridi helps the listener realize that the bridi is a question, like</w:t>
      </w:r>
      <w:r>
        <w:rPr>
          <w:rStyle w:val="deletedparamark"/>
        </w:rPr>
        <w:t xml:space="preserve"> </w:t>
      </w:r>
      <w:r>
        <w:t>the symbol at the beginning of written Spanish ques</w:t>
      </w:r>
      <w:r>
        <w:softHyphen/>
        <w:t>tions that looks like</w:t>
      </w:r>
      <w:r>
        <w:rPr>
          <w:rStyle w:val="deletedparamark"/>
        </w:rPr>
        <w:t xml:space="preserve"> </w:t>
      </w:r>
      <w:r>
        <w:t>an upside-down question mark. The listener is then warned to watch for the</w:t>
      </w:r>
      <w:r>
        <w:rPr>
          <w:rStyle w:val="deletedparamark"/>
        </w:rPr>
        <w:t xml:space="preserve"> </w:t>
      </w:r>
      <w:r>
        <w:t>actual question word.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"pau, placement in sentence"&gt;</w:t>
      </w:r>
      <w:r>
        <w:rPr>
          <w:rStyle w:val="indexentry"/>
        </w:rPr>
        <w:fldChar w:fldCharType="begin"/>
      </w:r>
      <w:r>
        <w:instrText>xe "</w:instrText>
      </w:r>
      <w:r>
        <w:rPr>
          <w:rStyle w:val="xeentry"/>
        </w:rPr>
        <w:instrText>pau: placement in sentence</w:instrText>
      </w:r>
      <w:r>
        <w:instrText>"</w:instrText>
      </w:r>
      <w:r>
        <w:rPr>
          <w:rStyle w:val="indexentry"/>
        </w:rPr>
        <w:fldChar w:fldCharType="end"/>
      </w:r>
      <w:r>
        <w:rPr>
          <w:rStyle w:val="indexentry"/>
        </w:rPr>
        <w:t>&lt;cx "rhetorical question"&gt;</w:t>
      </w:r>
      <w:r>
        <w:rPr>
          <w:rStyle w:val="indexentry"/>
        </w:rPr>
        <w:fldChar w:fldCharType="begin"/>
      </w:r>
      <w:r>
        <w:instrText>xe "</w:instrText>
      </w:r>
      <w:r>
        <w:rPr>
          <w:rStyle w:val="xeentry"/>
        </w:rPr>
        <w:instrText>rhetorical question</w:instrText>
      </w:r>
      <w:r>
        <w:instrText>"</w:instrText>
      </w:r>
      <w:r>
        <w:rPr>
          <w:rStyle w:val="indexentry"/>
        </w:rPr>
        <w:fldChar w:fldCharType="end"/>
      </w:r>
      <w:r>
        <w:rPr>
          <w:rStyle w:val="indexentry"/>
        </w:rPr>
        <w:t>&lt;cx "question, rhetorical"&gt;</w:t>
      </w:r>
      <w:r>
        <w:rPr>
          <w:rStyle w:val="indexentry"/>
        </w:rPr>
        <w:fldChar w:fldCharType="begin"/>
      </w:r>
      <w:r>
        <w:instrText>xe "</w:instrText>
      </w:r>
      <w:r>
        <w:rPr>
          <w:rStyle w:val="xeentry"/>
        </w:rPr>
        <w:instrText>questions: rhetorical</w:instrText>
      </w:r>
      <w:r>
        <w:instrText>"</w:instrText>
      </w:r>
      <w:r>
        <w:rPr>
          <w:rStyle w:val="indexentry"/>
        </w:rPr>
        <w:fldChar w:fldCharType="end"/>
      </w:r>
      <w:r>
        <w:rPr>
          <w:rStyle w:val="indexentry"/>
        </w:rPr>
        <w:t>&lt;lx "paunai"&gt;</w:t>
      </w:r>
      <w:r>
        <w:rPr>
          <w:rStyle w:val="indexentry"/>
        </w:rPr>
        <w:fldChar w:fldCharType="begin"/>
      </w:r>
      <w:r>
        <w:instrText>xe "</w:instrText>
      </w:r>
      <w:r>
        <w:rPr>
          <w:rStyle w:val="xeentry"/>
        </w:rPr>
        <w:instrText>paunai</w:instrText>
      </w:r>
      <w:r>
        <w:instrText>"</w:instrText>
      </w:r>
      <w:r>
        <w:rPr>
          <w:rStyle w:val="indexentry"/>
        </w:rPr>
        <w:fldChar w:fldCharType="end"/>
      </w:r>
      <w:r>
        <w:t>Although “pau” is grammatical in any location (like all indica</w:t>
      </w:r>
      <w:r>
        <w:softHyphen/>
        <w:t>tors), it is</w:t>
      </w:r>
      <w:r>
        <w:rPr>
          <w:rStyle w:val="deletedparamark"/>
        </w:rPr>
        <w:t xml:space="preserve"> </w:t>
      </w:r>
      <w:r>
        <w:t>not really useful except at or near the beginning of a bridi. Its scalar</w:t>
      </w:r>
      <w:r>
        <w:rPr>
          <w:rStyle w:val="deletedparamark"/>
        </w:rPr>
        <w:t xml:space="preserve"> </w:t>
      </w:r>
      <w:r>
        <w:t>opposite, “paunai”, signals that a bridi is not really a ques</w:t>
      </w:r>
      <w:r>
        <w:softHyphen/>
        <w:t>tion despite</w:t>
      </w:r>
      <w:r>
        <w:rPr>
          <w:rStyle w:val="deletedparamark"/>
        </w:rPr>
        <w:t xml:space="preserve"> </w:t>
      </w:r>
      <w:r>
        <w:t>its form. This is what we call in Eng</w:t>
      </w:r>
      <w:r>
        <w:softHyphen/>
        <w:t>lish a rhetorical ques</w:t>
      </w:r>
      <w:r>
        <w:softHyphen/>
        <w:t>tion: an example</w:t>
      </w:r>
      <w:r>
        <w:rPr>
          <w:rStyle w:val="deletedparamark"/>
        </w:rPr>
        <w:t xml:space="preserve"> </w:t>
      </w:r>
      <w:r>
        <w:t xml:space="preserve">appears in the English text near the beginning of </w:t>
      </w:r>
      <w:r>
        <w:rPr>
          <w:rStyle w:val="htmlcodes"/>
        </w:rPr>
        <w:t>&lt;a href=#s11&gt;</w:t>
      </w:r>
      <w:r>
        <w:t>Se</w:t>
      </w:r>
      <w:r>
        <w:t>c</w:t>
      </w:r>
      <w:r>
        <w:t>tion 11</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"pe'a"&gt;</w:t>
      </w:r>
      <w:r>
        <w:rPr>
          <w:rStyle w:val="indexentry"/>
        </w:rPr>
        <w:fldChar w:fldCharType="begin"/>
      </w:r>
      <w:r>
        <w:instrText>xe "</w:instrText>
      </w:r>
      <w:r>
        <w:rPr>
          <w:rStyle w:val="xeentry"/>
        </w:rPr>
        <w:instrText>pe'a</w:instrText>
      </w:r>
      <w:r>
        <w:instrText>"</w:instrText>
      </w:r>
      <w:r>
        <w:rPr>
          <w:rStyle w:val="indexentry"/>
        </w:rPr>
        <w:fldChar w:fldCharType="end"/>
      </w:r>
      <w:r>
        <w:rPr>
          <w:rStyle w:val="indexentry"/>
        </w:rPr>
        <w:t>&lt;cx "figurative speech"&gt;</w:t>
      </w:r>
      <w:r>
        <w:rPr>
          <w:rStyle w:val="indexentry"/>
        </w:rPr>
        <w:fldChar w:fldCharType="begin"/>
      </w:r>
      <w:r>
        <w:instrText>xe "</w:instrText>
      </w:r>
      <w:r>
        <w:rPr>
          <w:rStyle w:val="xeentry"/>
        </w:rPr>
        <w:instrText>figurative speech</w:instrText>
      </w:r>
      <w:r>
        <w:instrText>"</w:instrText>
      </w:r>
      <w:r>
        <w:rPr>
          <w:rStyle w:val="indexentry"/>
        </w:rPr>
        <w:fldChar w:fldCharType="end"/>
      </w:r>
      <w:r>
        <w:rPr>
          <w:rStyle w:val="indexentry"/>
        </w:rPr>
        <w:t>&lt;ex "blue, as sad"&gt;</w:t>
      </w:r>
      <w:r>
        <w:rPr>
          <w:rStyle w:val="indexentry"/>
        </w:rPr>
        <w:fldChar w:fldCharType="begin"/>
      </w:r>
      <w:r>
        <w:instrText>xe "</w:instrText>
      </w:r>
      <w:r>
        <w:rPr>
          <w:rStyle w:val="xeentry"/>
        </w:rPr>
        <w:instrText>blue: as sad, example</w:instrText>
      </w:r>
      <w:r>
        <w:instrText>"</w:instrText>
      </w:r>
      <w:r>
        <w:rPr>
          <w:rStyle w:val="indexentry"/>
        </w:rPr>
        <w:fldChar w:fldCharType="end"/>
      </w:r>
      <w:r>
        <w:t>The cmavo “pe'a” is the indicator of figurative speech, indi</w:t>
      </w:r>
      <w:r>
        <w:softHyphen/>
        <w:t>cating that the</w:t>
      </w:r>
      <w:r>
        <w:rPr>
          <w:rStyle w:val="deletedparamark"/>
        </w:rPr>
        <w:t xml:space="preserve"> </w:t>
      </w:r>
      <w:r>
        <w:t>pre</w:t>
      </w:r>
      <w:r>
        <w:softHyphen/>
        <w:t>vious word should be taken figuratively rather than literally: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mi viska le blanu pe'a zdani</w:t>
      </w:r>
    </w:p>
    <w:p w:rsidR="00B72047" w:rsidRDefault="00B72047">
      <w:pPr>
        <w:pStyle w:val="examplescaled"/>
      </w:pPr>
      <w:r>
        <w:tab/>
        <w:t>I see the blue [figurative] house.</w:t>
      </w:r>
    </w:p>
    <w:p w:rsidR="00B72047" w:rsidRDefault="00B72047">
      <w:pPr>
        <w:pStyle w:val="examplescaled"/>
      </w:pPr>
      <w:r>
        <w:tab/>
        <w:t>I see the “blue” house.</w:t>
      </w:r>
    </w:p>
    <w:p w:rsidR="00B72047" w:rsidRDefault="00B72047">
      <w:pPr>
        <w:pStyle w:val="resumedafterexample"/>
      </w:pPr>
      <w:r>
        <w:rPr>
          <w:rStyle w:val="htmlcodes"/>
        </w:rPr>
        <w:t>&lt;/pre&gt;&lt;p&gt;</w:t>
      </w:r>
      <w:r>
        <w:t>Here the house is not blue in the sense of color, but in some other sense,</w:t>
      </w:r>
      <w:r>
        <w:rPr>
          <w:rStyle w:val="deletedparamark"/>
        </w:rPr>
        <w:t xml:space="preserve"> </w:t>
      </w:r>
      <w:r>
        <w:t>whose mean</w:t>
      </w:r>
      <w:r>
        <w:softHyphen/>
        <w:t>ing is entirely culturally dependent. The use of “pe'a”</w:t>
      </w:r>
      <w:r>
        <w:rPr>
          <w:rStyle w:val="deletedparamark"/>
        </w:rPr>
        <w:t xml:space="preserve"> </w:t>
      </w:r>
      <w:r>
        <w:t>unambiguously marks a cultural refe</w:t>
      </w:r>
      <w:r>
        <w:t>r</w:t>
      </w:r>
      <w:r>
        <w:softHyphen/>
        <w:t xml:space="preserve">ence: “blanu” in </w:t>
      </w:r>
      <w:r>
        <w:rPr>
          <w:rStyle w:val="htmlcodes"/>
        </w:rPr>
        <w:t>&lt;a href=#e13d2&gt;</w:t>
      </w:r>
      <w:r>
        <w:t xml:space="preserve">Example 13.2 </w:t>
      </w:r>
      <w:r>
        <w:rPr>
          <w:rStyle w:val="htmlcodes"/>
        </w:rPr>
        <w:t>&lt;/a&gt;</w:t>
      </w:r>
      <w:r>
        <w:t>could mean</w:t>
      </w:r>
      <w:r>
        <w:rPr>
          <w:rStyle w:val="deletedparamark"/>
        </w:rPr>
        <w:t xml:space="preserve"> “</w:t>
      </w:r>
      <w:r>
        <w:t>sad” (as in English) or something completely differ</w:t>
      </w:r>
      <w:r>
        <w:softHyphen/>
        <w:t>ent.</w:t>
      </w:r>
    </w:p>
    <w:p w:rsidR="00B72047" w:rsidRDefault="00B72047">
      <w:pPr>
        <w:rPr>
          <w:rStyle w:val="htmlparacode"/>
        </w:rPr>
      </w:pPr>
      <w:r>
        <w:rPr>
          <w:rStyle w:val="htmlparacode"/>
        </w:rPr>
        <w:t>&lt;p&gt;</w:t>
      </w:r>
    </w:p>
    <w:p w:rsidR="00B72047" w:rsidRDefault="00B72047">
      <w:pPr>
        <w:pStyle w:val="normalparagraph"/>
      </w:pPr>
      <w:r>
        <w:rPr>
          <w:rStyle w:val="indexentry"/>
        </w:rPr>
        <w:t>&lt;lx "pe'anai"&gt;</w:t>
      </w:r>
      <w:r>
        <w:rPr>
          <w:rStyle w:val="indexentry"/>
        </w:rPr>
        <w:fldChar w:fldCharType="begin"/>
      </w:r>
      <w:r>
        <w:instrText>xe "</w:instrText>
      </w:r>
      <w:r>
        <w:rPr>
          <w:rStyle w:val="xeentry"/>
        </w:rPr>
        <w:instrText>pe'anai</w:instrText>
      </w:r>
      <w:r>
        <w:instrText>"</w:instrText>
      </w:r>
      <w:r>
        <w:rPr>
          <w:rStyle w:val="indexentry"/>
        </w:rPr>
        <w:fldChar w:fldCharType="end"/>
      </w:r>
      <w:r>
        <w:rPr>
          <w:rStyle w:val="indexentry"/>
        </w:rPr>
        <w:t>&lt;cx "literally"&gt;</w:t>
      </w:r>
      <w:r>
        <w:rPr>
          <w:rStyle w:val="indexentry"/>
        </w:rPr>
        <w:fldChar w:fldCharType="begin"/>
      </w:r>
      <w:r>
        <w:instrText>xe "</w:instrText>
      </w:r>
      <w:r>
        <w:rPr>
          <w:rStyle w:val="xeentry"/>
        </w:rPr>
        <w:instrText>literally</w:instrText>
      </w:r>
      <w:r>
        <w:instrText>"</w:instrText>
      </w:r>
      <w:r>
        <w:rPr>
          <w:rStyle w:val="indexentry"/>
        </w:rPr>
        <w:fldChar w:fldCharType="end"/>
      </w:r>
      <w:r>
        <w:t>The negated form, “pe'anai”, indicates that what has been said is to be</w:t>
      </w:r>
      <w:r>
        <w:rPr>
          <w:rStyle w:val="deletedparamark"/>
        </w:rPr>
        <w:t xml:space="preserve"> </w:t>
      </w:r>
      <w:r>
        <w:t>inter</w:t>
      </w:r>
      <w:r>
        <w:softHyphen/>
        <w:t>preted li</w:t>
      </w:r>
      <w:r>
        <w:t>t</w:t>
      </w:r>
      <w:r>
        <w:softHyphen/>
        <w:t>erally, in the usual way for Lojban; natural-language</w:t>
      </w:r>
      <w:r>
        <w:rPr>
          <w:rStyle w:val="deletedparamark"/>
        </w:rPr>
        <w:t xml:space="preserve"> </w:t>
      </w:r>
      <w:r>
        <w:t>intuition is to be ignored.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"lujvo, place structure of figurative lujvo"&gt;</w:t>
      </w:r>
      <w:r>
        <w:rPr>
          <w:rStyle w:val="indexentry"/>
        </w:rPr>
        <w:fldChar w:fldCharType="begin"/>
      </w:r>
      <w:r>
        <w:instrText>xe "</w:instrText>
      </w:r>
      <w:r>
        <w:rPr>
          <w:rStyle w:val="xeentry"/>
        </w:rPr>
        <w:instrText>lujvo: place structure of figurative lujvo</w:instrText>
      </w:r>
      <w:r>
        <w:instrText>"</w:instrText>
      </w:r>
      <w:r>
        <w:rPr>
          <w:rStyle w:val="indexentry"/>
        </w:rPr>
        <w:fldChar w:fldCharType="end"/>
      </w:r>
      <w:r>
        <w:rPr>
          <w:rStyle w:val="indexentry"/>
        </w:rPr>
        <w:t>&lt;cx "figurative lujvo"&gt;</w:t>
      </w:r>
      <w:r>
        <w:rPr>
          <w:rStyle w:val="indexentry"/>
        </w:rPr>
        <w:fldChar w:fldCharType="begin"/>
      </w:r>
      <w:r>
        <w:instrText>xe "</w:instrText>
      </w:r>
      <w:r>
        <w:rPr>
          <w:rStyle w:val="xeentry"/>
        </w:rPr>
        <w:instrText>figurative lujvo</w:instrText>
      </w:r>
      <w:r>
        <w:instrText>"</w:instrText>
      </w:r>
      <w:r>
        <w:rPr>
          <w:rStyle w:val="indexentry"/>
        </w:rPr>
        <w:fldChar w:fldCharType="end"/>
      </w:r>
      <w:r>
        <w:rPr>
          <w:rStyle w:val="indexentry"/>
        </w:rPr>
        <w:t>&lt;cx "figurative lujvo, place structure"&gt;</w:t>
      </w:r>
      <w:r>
        <w:rPr>
          <w:rStyle w:val="indexentry"/>
        </w:rPr>
        <w:fldChar w:fldCharType="begin"/>
      </w:r>
      <w:r>
        <w:instrText>xe "</w:instrText>
      </w:r>
      <w:r>
        <w:rPr>
          <w:rStyle w:val="xeentry"/>
        </w:rPr>
        <w:instrText>figurative lujvo: place structure</w:instrText>
      </w:r>
      <w:r>
        <w:instrText>"</w:instrText>
      </w:r>
      <w:r>
        <w:rPr>
          <w:rStyle w:val="indexentry"/>
        </w:rPr>
        <w:fldChar w:fldCharType="end"/>
      </w:r>
      <w:r>
        <w:rPr>
          <w:rStyle w:val="indexentry"/>
        </w:rPr>
        <w:t>&lt;cx "culturally dependent lujvo"&gt;</w:t>
      </w:r>
      <w:r>
        <w:rPr>
          <w:rStyle w:val="indexentry"/>
        </w:rPr>
        <w:fldChar w:fldCharType="begin"/>
      </w:r>
      <w:r>
        <w:instrText>xe "</w:instrText>
      </w:r>
      <w:r>
        <w:rPr>
          <w:rStyle w:val="xeentry"/>
        </w:rPr>
        <w:instrText>culturally dependent lujvo</w:instrText>
      </w:r>
      <w:r>
        <w:instrText>"</w:instrText>
      </w:r>
      <w:r>
        <w:rPr>
          <w:rStyle w:val="indexentry"/>
        </w:rPr>
        <w:fldChar w:fldCharType="end"/>
      </w:r>
      <w:r>
        <w:rPr>
          <w:rStyle w:val="indexentry"/>
        </w:rPr>
        <w:t>&lt;ex "heartburn"&gt;</w:t>
      </w:r>
      <w:r>
        <w:rPr>
          <w:rStyle w:val="indexentry"/>
        </w:rPr>
        <w:fldChar w:fldCharType="begin"/>
      </w:r>
      <w:r>
        <w:instrText>xe "</w:instrText>
      </w:r>
      <w:r>
        <w:rPr>
          <w:rStyle w:val="xeentry"/>
        </w:rPr>
        <w:instrText>heartburn: example</w:instrText>
      </w:r>
      <w:r>
        <w:instrText>"</w:instrText>
      </w:r>
      <w:r>
        <w:rPr>
          <w:rStyle w:val="indexentry"/>
        </w:rPr>
        <w:fldChar w:fldCharType="end"/>
      </w:r>
      <w:r>
        <w:t>Alone among the cmavo of selma'o UI, “pe'a” has a rafsi, namely “pev”.</w:t>
      </w:r>
      <w:r>
        <w:rPr>
          <w:rStyle w:val="deletedparamark"/>
        </w:rPr>
        <w:t xml:space="preserve"> </w:t>
      </w:r>
      <w:r>
        <w:t>This rafsi is used in forming figurative (culturally de</w:t>
      </w:r>
      <w:r>
        <w:softHyphen/>
        <w:t>pendent) lujvo,</w:t>
      </w:r>
      <w:r>
        <w:rPr>
          <w:rStyle w:val="deletedparamark"/>
        </w:rPr>
        <w:t xml:space="preserve"> </w:t>
      </w:r>
      <w:r>
        <w:t>whose place structure need have nothing to do with the place structure</w:t>
      </w:r>
      <w:r>
        <w:rPr>
          <w:rStyle w:val="deletedparamark"/>
        </w:rPr>
        <w:t xml:space="preserve"> </w:t>
      </w:r>
      <w:r>
        <w:t>of the components. Thus “risnyjelca” (heart burn) might have a place</w:t>
      </w:r>
      <w:r>
        <w:rPr>
          <w:rStyle w:val="deletedparamark"/>
        </w:rPr>
        <w:t xml:space="preserve"> </w:t>
      </w:r>
      <w:r>
        <w:t>structure like:</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the heart of x2, burning in atmosphere x3 at temperature x4</w:t>
      </w:r>
    </w:p>
    <w:p w:rsidR="00B72047" w:rsidRDefault="00B72047">
      <w:pPr>
        <w:pStyle w:val="resumedafterexample"/>
      </w:pPr>
      <w:r>
        <w:rPr>
          <w:rStyle w:val="htmlcodes"/>
        </w:rPr>
        <w:t>&lt;/dl&gt;</w:t>
      </w:r>
      <w:r>
        <w:t>whereas “pevrisnyjelca”, explicitly marked as figurative, might have</w:t>
      </w:r>
      <w:r>
        <w:rPr>
          <w:rStyle w:val="deletedparamark"/>
        </w:rPr>
        <w:t xml:space="preserve"> </w:t>
      </w:r>
      <w:r>
        <w:t>the place struc</w:t>
      </w:r>
      <w:r>
        <w:softHyphen/>
        <w:t>ture:</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indigestion/heartburn suffered by x2</w:t>
      </w:r>
    </w:p>
    <w:p w:rsidR="00B72047" w:rsidRDefault="00B72047">
      <w:pPr>
        <w:pStyle w:val="resumedafterexample"/>
      </w:pPr>
      <w:r>
        <w:rPr>
          <w:rStyle w:val="htmlcodes"/>
        </w:rPr>
        <w:t>&lt;/dl&gt;</w:t>
      </w:r>
      <w:r>
        <w:t>which obviously has nothing to do with the places of either “risna” or</w:t>
      </w:r>
      <w:r>
        <w:rPr>
          <w:rStyle w:val="deletedparamark"/>
        </w:rPr>
        <w:t xml:space="preserve"> “</w:t>
      </w:r>
      <w:r>
        <w:t>jelca”.</w:t>
      </w:r>
    </w:p>
    <w:p w:rsidR="00B72047" w:rsidRDefault="00B72047">
      <w:pPr>
        <w:rPr>
          <w:rStyle w:val="htmlparacode"/>
        </w:rPr>
      </w:pPr>
      <w:r>
        <w:rPr>
          <w:rStyle w:val="htmlparacode"/>
        </w:rPr>
        <w:t>&lt;p&gt;</w:t>
      </w:r>
    </w:p>
    <w:p w:rsidR="00B72047" w:rsidRDefault="00B72047">
      <w:pPr>
        <w:pStyle w:val="normalparagraph"/>
      </w:pPr>
      <w:r>
        <w:rPr>
          <w:rStyle w:val="indexentry"/>
        </w:rPr>
        <w:t>&lt;lx "bi'u"&gt;</w:t>
      </w:r>
      <w:r>
        <w:rPr>
          <w:rStyle w:val="indexentry"/>
        </w:rPr>
        <w:fldChar w:fldCharType="begin"/>
      </w:r>
      <w:r>
        <w:instrText>xe "</w:instrText>
      </w:r>
      <w:r>
        <w:rPr>
          <w:rStyle w:val="xeentry"/>
        </w:rPr>
        <w:instrText>bi'u</w:instrText>
      </w:r>
      <w:r>
        <w:instrText>"</w:instrText>
      </w:r>
      <w:r>
        <w:rPr>
          <w:rStyle w:val="indexentry"/>
        </w:rPr>
        <w:fldChar w:fldCharType="end"/>
      </w:r>
      <w:r>
        <w:rPr>
          <w:rStyle w:val="indexentry"/>
        </w:rPr>
        <w:t>&lt;lx "bi'unai"&gt;</w:t>
      </w:r>
      <w:r>
        <w:rPr>
          <w:rStyle w:val="indexentry"/>
        </w:rPr>
        <w:fldChar w:fldCharType="begin"/>
      </w:r>
      <w:r>
        <w:instrText>xe "</w:instrText>
      </w:r>
      <w:r>
        <w:rPr>
          <w:rStyle w:val="xeentry"/>
        </w:rPr>
        <w:instrText>bi'unai</w:instrText>
      </w:r>
      <w:r>
        <w:instrText>"</w:instrText>
      </w:r>
      <w:r>
        <w:rPr>
          <w:rStyle w:val="indexentry"/>
        </w:rPr>
        <w:fldChar w:fldCharType="end"/>
      </w:r>
      <w:r>
        <w:rPr>
          <w:rStyle w:val="indexentry"/>
        </w:rPr>
        <w:t>&lt;ex "the"&gt;</w:t>
      </w:r>
      <w:r>
        <w:rPr>
          <w:rStyle w:val="indexentry"/>
        </w:rPr>
        <w:fldChar w:fldCharType="begin"/>
      </w:r>
      <w:r>
        <w:instrText>xe "</w:instrText>
      </w:r>
      <w:r>
        <w:rPr>
          <w:rStyle w:val="xeentry"/>
        </w:rPr>
        <w:instrText>the: example</w:instrText>
      </w:r>
      <w:r>
        <w:instrText>"</w:instrText>
      </w:r>
      <w:r>
        <w:rPr>
          <w:rStyle w:val="indexentry"/>
        </w:rPr>
        <w:fldChar w:fldCharType="end"/>
      </w:r>
      <w:r>
        <w:rPr>
          <w:rStyle w:val="indexentry"/>
        </w:rPr>
        <w:t>&lt;ex "a"&gt;</w:t>
      </w:r>
      <w:r>
        <w:rPr>
          <w:rStyle w:val="indexentry"/>
        </w:rPr>
        <w:fldChar w:fldCharType="begin"/>
      </w:r>
      <w:r>
        <w:instrText>xe "</w:instrText>
      </w:r>
      <w:r>
        <w:rPr>
          <w:rStyle w:val="xeentry"/>
        </w:rPr>
        <w:instrText>a: example</w:instrText>
      </w:r>
      <w:r>
        <w:instrText>"</w:instrText>
      </w:r>
      <w:r>
        <w:rPr>
          <w:rStyle w:val="indexentry"/>
        </w:rPr>
        <w:fldChar w:fldCharType="end"/>
      </w:r>
      <w:r>
        <w:rPr>
          <w:rStyle w:val="indexentry"/>
        </w:rPr>
        <w:t>&lt;ex "an"&gt;</w:t>
      </w:r>
      <w:r>
        <w:rPr>
          <w:rStyle w:val="indexentry"/>
        </w:rPr>
        <w:fldChar w:fldCharType="begin"/>
      </w:r>
      <w:r>
        <w:instrText>xe "</w:instrText>
      </w:r>
      <w:r>
        <w:rPr>
          <w:rStyle w:val="xeentry"/>
        </w:rPr>
        <w:instrText>an: example</w:instrText>
      </w:r>
      <w:r>
        <w:instrText>"</w:instrText>
      </w:r>
      <w:r>
        <w:rPr>
          <w:rStyle w:val="indexentry"/>
        </w:rPr>
        <w:fldChar w:fldCharType="end"/>
      </w:r>
      <w:r>
        <w:rPr>
          <w:rStyle w:val="indexentry"/>
        </w:rPr>
        <w:t>&lt;cx "the, contrasted with a/an"&gt;</w:t>
      </w:r>
      <w:r>
        <w:rPr>
          <w:rStyle w:val="indexentry"/>
        </w:rPr>
        <w:fldChar w:fldCharType="begin"/>
      </w:r>
      <w:r>
        <w:instrText>xe "</w:instrText>
      </w:r>
      <w:r>
        <w:rPr>
          <w:rStyle w:val="xeentry"/>
        </w:rPr>
        <w:instrText>the: contrasted with a/an</w:instrText>
      </w:r>
      <w:r>
        <w:instrText>"</w:instrText>
      </w:r>
      <w:r>
        <w:rPr>
          <w:rStyle w:val="indexentry"/>
        </w:rPr>
        <w:fldChar w:fldCharType="end"/>
      </w:r>
      <w:r>
        <w:rPr>
          <w:rStyle w:val="indexentry"/>
        </w:rPr>
        <w:t>&lt;cx "a/an, contrasted with the"&gt;</w:t>
      </w:r>
      <w:r>
        <w:rPr>
          <w:rStyle w:val="indexentry"/>
        </w:rPr>
        <w:fldChar w:fldCharType="begin"/>
      </w:r>
      <w:r>
        <w:instrText>xe "</w:instrText>
      </w:r>
      <w:r>
        <w:rPr>
          <w:rStyle w:val="xeentry"/>
        </w:rPr>
        <w:instrText>a/an: contrasted with the</w:instrText>
      </w:r>
      <w:r>
        <w:instrText>"</w:instrText>
      </w:r>
      <w:r>
        <w:rPr>
          <w:rStyle w:val="indexentry"/>
        </w:rPr>
        <w:fldChar w:fldCharType="end"/>
      </w:r>
      <w:r>
        <w:t>The uses of “bi'u” and “bi'unai” correspond to one of the uses of the English</w:t>
      </w:r>
      <w:r>
        <w:rPr>
          <w:rStyle w:val="deletedparamark"/>
        </w:rPr>
        <w:t xml:space="preserve"> </w:t>
      </w:r>
      <w:r>
        <w:t>articles “the” and “a/an”. An English-speaker telling a story may begin</w:t>
      </w:r>
      <w:r>
        <w:rPr>
          <w:rStyle w:val="deletedparamark"/>
        </w:rPr>
        <w:t xml:space="preserve"> </w:t>
      </w:r>
      <w:r>
        <w:t>with “I saw a man who </w:t>
      </w:r>
      <w:r>
        <w:rPr>
          <w:rStyle w:val="htmlcodes"/>
        </w:rPr>
        <w:t>&lt;dots&gt;</w:t>
      </w:r>
      <w:r>
        <w:t>…</w:t>
      </w:r>
      <w:r>
        <w:rPr>
          <w:rStyle w:val="htmlcodes"/>
        </w:rPr>
        <w:t>&lt;/dots&gt;</w:t>
      </w:r>
      <w:r>
        <w:t>”. Later in the story, the same man will be</w:t>
      </w:r>
      <w:r>
        <w:rPr>
          <w:rStyle w:val="deletedparamark"/>
        </w:rPr>
        <w:t xml:space="preserve"> </w:t>
      </w:r>
      <w:r>
        <w:t>referred to with the phrase “the man”. Lojban does not use its articles</w:t>
      </w:r>
      <w:r>
        <w:rPr>
          <w:rStyle w:val="deletedparamark"/>
        </w:rPr>
        <w:t xml:space="preserve"> </w:t>
      </w:r>
      <w:r>
        <w:t>in the same way: both “a man” and “the man” would be translated “le</w:t>
      </w:r>
      <w:r>
        <w:rPr>
          <w:rStyle w:val="deletedparamark"/>
        </w:rPr>
        <w:t xml:space="preserve"> </w:t>
      </w:r>
      <w:r>
        <w:t>nanmu”, since the speaker has in mind a spe</w:t>
      </w:r>
      <w:r>
        <w:softHyphen/>
        <w:t>cific man. How</w:t>
      </w:r>
      <w:r>
        <w:softHyphen/>
        <w:t>ever, the first</w:t>
      </w:r>
      <w:r>
        <w:rPr>
          <w:rStyle w:val="deletedparamark"/>
        </w:rPr>
        <w:t xml:space="preserve"> </w:t>
      </w:r>
      <w:r>
        <w:t>use might be marked “le bi'u nanmu”, to indicate that this is a new man,</w:t>
      </w:r>
      <w:r>
        <w:rPr>
          <w:rStyle w:val="deletedparamark"/>
        </w:rPr>
        <w:t xml:space="preserve"> </w:t>
      </w:r>
      <w:r>
        <w:t>not mentioned before. Later uses could correspondingly be tagged “le</w:t>
      </w:r>
      <w:r>
        <w:rPr>
          <w:rStyle w:val="deletedparamark"/>
        </w:rPr>
        <w:t xml:space="preserve"> </w:t>
      </w:r>
      <w:r>
        <w:t>bi'unai nanmu”.</w:t>
      </w:r>
    </w:p>
    <w:p w:rsidR="00B72047" w:rsidRDefault="00B72047">
      <w:pPr>
        <w:rPr>
          <w:rStyle w:val="htmlparacode"/>
        </w:rPr>
      </w:pPr>
      <w:r>
        <w:rPr>
          <w:rStyle w:val="htmlparacode"/>
        </w:rPr>
        <w:t>&lt;p&gt;</w:t>
      </w:r>
    </w:p>
    <w:p w:rsidR="00B72047" w:rsidRDefault="00B72047">
      <w:pPr>
        <w:pStyle w:val="normalparagraph"/>
      </w:pPr>
      <w:r>
        <w:t>Most of the time, the distinction between “bi'u” and “bi'unai” need not be</w:t>
      </w:r>
      <w:r>
        <w:rPr>
          <w:rStyle w:val="deletedparamark"/>
        </w:rPr>
        <w:t xml:space="preserve"> </w:t>
      </w:r>
      <w:r>
        <w:t>made, as the listener can infer the right referent. How</w:t>
      </w:r>
      <w:r>
        <w:softHyphen/>
        <w:t>ever, if a different</w:t>
      </w:r>
      <w:r>
        <w:rPr>
          <w:rStyle w:val="deletedparamark"/>
        </w:rPr>
        <w:t xml:space="preserve"> </w:t>
      </w:r>
      <w:r>
        <w:t>man were re</w:t>
      </w:r>
      <w:r>
        <w:softHyphen/>
        <w:t>ferred to still later in the story, “le bi'u nanmu” would clearly</w:t>
      </w:r>
      <w:r>
        <w:rPr>
          <w:rStyle w:val="deletedparamark"/>
        </w:rPr>
        <w:t xml:space="preserve"> </w:t>
      </w:r>
      <w:r>
        <w:t>show that this man was different from the pre</w:t>
      </w:r>
      <w:r>
        <w:softHyphen/>
        <w:t>vious one.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"ge'e"&gt;</w:t>
      </w:r>
      <w:r>
        <w:rPr>
          <w:rStyle w:val="indexentry"/>
        </w:rPr>
        <w:fldChar w:fldCharType="begin"/>
      </w:r>
      <w:r>
        <w:instrText>xe "</w:instrText>
      </w:r>
      <w:r>
        <w:rPr>
          <w:rStyle w:val="xeentry"/>
        </w:rPr>
        <w:instrText>ge'e</w:instrText>
      </w:r>
      <w:r>
        <w:instrText>"</w:instrText>
      </w:r>
      <w:r>
        <w:rPr>
          <w:rStyle w:val="indexentry"/>
        </w:rPr>
        <w:fldChar w:fldCharType="end"/>
      </w:r>
      <w:r>
        <w:rPr>
          <w:rStyle w:val="indexentry"/>
        </w:rPr>
        <w:t>&lt;cx "attitude, avoidance of expression"&gt;</w:t>
      </w:r>
      <w:r>
        <w:rPr>
          <w:rStyle w:val="indexentry"/>
        </w:rPr>
        <w:fldChar w:fldCharType="begin"/>
      </w:r>
      <w:r>
        <w:instrText>xe "</w:instrText>
      </w:r>
      <w:r>
        <w:rPr>
          <w:rStyle w:val="xeentry"/>
        </w:rPr>
        <w:instrText>attitude: avoidance of expression</w:instrText>
      </w:r>
      <w:r>
        <w:instrText>"</w:instrText>
      </w:r>
      <w:r>
        <w:rPr>
          <w:rStyle w:val="indexentry"/>
        </w:rPr>
        <w:fldChar w:fldCharType="end"/>
      </w:r>
      <w:r>
        <w:t xml:space="preserve">Finally, the indicator “ge'e” has been discussed in </w:t>
      </w:r>
      <w:r>
        <w:rPr>
          <w:rStyle w:val="htmlcodes"/>
        </w:rPr>
        <w:t>&lt;a href=#s8&gt;</w:t>
      </w:r>
      <w:r>
        <w:t xml:space="preserve">Sections 8 </w:t>
      </w:r>
      <w:r>
        <w:rPr>
          <w:rStyle w:val="htmlcodes"/>
        </w:rPr>
        <w:t>&lt;/a&gt;</w:t>
      </w:r>
      <w:r>
        <w:t xml:space="preserve">and </w:t>
      </w:r>
      <w:r>
        <w:rPr>
          <w:rStyle w:val="htmlcodes"/>
        </w:rPr>
        <w:t>&lt;a href=#s10&gt;</w:t>
      </w:r>
      <w:r>
        <w:t>10</w:t>
      </w:r>
      <w:r>
        <w:rPr>
          <w:rStyle w:val="htmlcodes"/>
        </w:rPr>
        <w:t>&lt;/a&gt;</w:t>
      </w:r>
      <w:r>
        <w:t>. It is</w:t>
      </w:r>
      <w:r>
        <w:rPr>
          <w:rStyle w:val="deletedparamark"/>
        </w:rPr>
        <w:t xml:space="preserve"> </w:t>
      </w:r>
      <w:r>
        <w:t>used to e</w:t>
      </w:r>
      <w:r>
        <w:t>x</w:t>
      </w:r>
      <w:r>
        <w:softHyphen/>
        <w:t>press an attitude which is not covered by the existing set, or to</w:t>
      </w:r>
      <w:r>
        <w:rPr>
          <w:rStyle w:val="deletedparamark"/>
        </w:rPr>
        <w:t xml:space="preserve"> </w:t>
      </w:r>
      <w:r>
        <w:t>avoid expressing any att</w:t>
      </w:r>
      <w:r>
        <w:t>i</w:t>
      </w:r>
      <w:r>
        <w:softHyphen/>
        <w:t>tude.</w:t>
      </w:r>
    </w:p>
    <w:p w:rsidR="00B72047" w:rsidRDefault="00B72047">
      <w:pPr>
        <w:pStyle w:val="normalparagraph"/>
        <w:rPr>
          <w:rStyle w:val="htmlparacode"/>
        </w:rPr>
      </w:pPr>
      <w:r>
        <w:rPr>
          <w:rStyle w:val="htmlparacode"/>
        </w:rPr>
        <w:t>&lt;p&gt;</w:t>
      </w:r>
    </w:p>
    <w:p w:rsidR="00B72047" w:rsidRDefault="00B72047">
      <w:pPr>
        <w:pStyle w:val="normalparagraph"/>
      </w:pPr>
      <w:r>
        <w:t>Another use for “ge'e” is to explicitly avoid expressing one's feeling</w:t>
      </w:r>
      <w:r>
        <w:rPr>
          <w:rStyle w:val="deletedparamark"/>
        </w:rPr>
        <w:t xml:space="preserve"> </w:t>
      </w:r>
      <w:r>
        <w:t>on a given scale; in this use, it functions like a member of selma'o CAI: “.iige'e” means roughly “I'm not telling whether I'm afraid or not.”</w:t>
      </w:r>
    </w:p>
    <w:p w:rsidR="00B72047" w:rsidRDefault="00B72047">
      <w:pPr>
        <w:rPr>
          <w:rStyle w:val="htmlparacode"/>
        </w:rPr>
      </w:pPr>
      <w:r>
        <w:rPr>
          <w:rStyle w:val="htmlparacode"/>
        </w:rPr>
        <w:t>&lt;p&gt;</w:t>
      </w:r>
    </w:p>
    <w:p w:rsidR="00B72047" w:rsidRDefault="00B72047">
      <w:pPr>
        <w:pStyle w:val="examplescaledpre"/>
      </w:pPr>
      <w:r>
        <w:rPr>
          <w:rStyle w:val="indexentry"/>
        </w:rPr>
        <w:t>&lt;lx "kau"&gt;</w:t>
      </w:r>
      <w:r>
        <w:rPr>
          <w:rStyle w:val="indexentry"/>
        </w:rPr>
        <w:fldChar w:fldCharType="begin"/>
      </w:r>
      <w:r>
        <w:instrText>xe "</w:instrText>
      </w:r>
      <w:r>
        <w:rPr>
          <w:rStyle w:val="xeentry"/>
        </w:rPr>
        <w:instrText>kau</w:instrText>
      </w:r>
      <w:r>
        <w:instrText>"</w:instrText>
      </w:r>
      <w:r>
        <w:rPr>
          <w:rStyle w:val="indexentry"/>
        </w:rPr>
        <w:fldChar w:fldCharType="end"/>
      </w:r>
      <w:r>
        <w:rPr>
          <w:rStyle w:val="indexentry"/>
        </w:rPr>
        <w:t>&lt;cx "indirect question"&gt;</w:t>
      </w:r>
      <w:r>
        <w:rPr>
          <w:rStyle w:val="indexentry"/>
        </w:rPr>
        <w:fldChar w:fldCharType="begin"/>
      </w:r>
      <w:r>
        <w:instrText>xe "</w:instrText>
      </w:r>
      <w:r>
        <w:rPr>
          <w:rStyle w:val="xeentry"/>
        </w:rPr>
        <w:instrText>indirect question</w:instrText>
      </w:r>
      <w:r>
        <w:instrText>"</w:instrText>
      </w:r>
      <w:r>
        <w:rPr>
          <w:rStyle w:val="indexentry"/>
        </w:rPr>
        <w:fldChar w:fldCharType="end"/>
      </w:r>
      <w:r>
        <w:rPr>
          <w:rStyle w:val="htmlcodes"/>
        </w:rPr>
        <w:t>&lt;pre&gt;</w:t>
      </w:r>
      <w:r>
        <w:tab/>
        <w:t>kau</w:t>
      </w:r>
      <w:r>
        <w:tab/>
      </w:r>
      <w:r>
        <w:tab/>
        <w:t>indirect question</w:t>
      </w:r>
    </w:p>
    <w:p w:rsidR="00B72047" w:rsidRDefault="00B72047">
      <w:pPr>
        <w:pStyle w:val="normalafterexample"/>
      </w:pPr>
      <w:r>
        <w:rPr>
          <w:rStyle w:val="htmlcodes"/>
        </w:rPr>
        <w:t>&lt;/pre&gt;&lt;p&gt;</w:t>
      </w:r>
      <w:r>
        <w:t xml:space="preserve">This cmavo is explained in detail in </w:t>
      </w:r>
      <w:r>
        <w:rPr>
          <w:rStyle w:val="htmlcodes"/>
        </w:rPr>
        <w:t>&lt;a href=chap11.html&gt;</w:t>
      </w:r>
      <w:r>
        <w:t>Chapter 11</w:t>
      </w:r>
      <w:r>
        <w:rPr>
          <w:rStyle w:val="htmlcodes"/>
        </w:rPr>
        <w:t>&lt;/a&gt;</w:t>
      </w:r>
      <w:r>
        <w:t>. It marks the word it is</w:t>
      </w:r>
      <w:r>
        <w:rPr>
          <w:rStyle w:val="deletedparamark"/>
        </w:rPr>
        <w:t xml:space="preserve"> </w:t>
      </w:r>
      <w:r>
        <w:t>at</w:t>
      </w:r>
      <w:r>
        <w:softHyphen/>
        <w:t>tached to as the focus of an indirect question: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mi djuno le du'u dakau klama le zarci</w:t>
      </w:r>
    </w:p>
    <w:p w:rsidR="00B72047" w:rsidRDefault="00B72047">
      <w:pPr>
        <w:pStyle w:val="examplescaled"/>
      </w:pPr>
      <w:r>
        <w:tab/>
        <w:t>I know the statement-that somebody [indirect ?] goes to-the store.</w:t>
      </w:r>
    </w:p>
    <w:p w:rsidR="00B72047" w:rsidRDefault="00B72047">
      <w:pPr>
        <w:pStyle w:val="examplescaled"/>
      </w:pPr>
      <w:r>
        <w:tab/>
        <w:t>I know who goes to the store.</w:t>
      </w:r>
    </w:p>
    <w:p w:rsidR="00B72047" w:rsidRDefault="00B72047">
      <w:pPr>
        <w:pStyle w:val="Heading3"/>
        <w:rPr>
          <w:rStyle w:val="Heading3Text"/>
        </w:rPr>
      </w:pPr>
      <w:r>
        <w:rPr>
          <w:rStyle w:val="htmlcodes"/>
        </w:rPr>
        <w:t>&lt;/pre&gt;&lt;a name=s14&gt;&lt;h3&gt;</w:t>
      </w:r>
      <w:bookmarkStart w:id="409" w:name="_Toc398970651"/>
      <w:r>
        <w:rPr>
          <w:rStyle w:val="Heading3Text"/>
        </w:rPr>
        <w:t>Vocative scales</w:t>
      </w:r>
      <w:bookmarkEnd w:id="40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"vocatives, definition"&gt;</w:t>
      </w:r>
      <w:r>
        <w:rPr>
          <w:rStyle w:val="indexentry"/>
        </w:rPr>
        <w:fldChar w:fldCharType="begin"/>
      </w:r>
      <w:r>
        <w:instrText>xe "</w:instrText>
      </w:r>
      <w:r>
        <w:rPr>
          <w:rStyle w:val="xeentry"/>
        </w:rPr>
        <w:instrText>vocatives: definition</w:instrText>
      </w:r>
      <w:r>
        <w:instrText>"</w:instrText>
      </w:r>
      <w:r>
        <w:rPr>
          <w:rStyle w:val="indexentry"/>
        </w:rPr>
        <w:fldChar w:fldCharType="end"/>
      </w:r>
      <w:r>
        <w:rPr>
          <w:rStyle w:val="indexentry"/>
        </w:rPr>
        <w:t>&lt;cx "vocatives, contrasted with “la”"&gt;</w:t>
      </w:r>
      <w:r>
        <w:rPr>
          <w:rStyle w:val="indexentry"/>
        </w:rPr>
        <w:fldChar w:fldCharType="begin"/>
      </w:r>
      <w:r>
        <w:instrText>xe "</w:instrText>
      </w:r>
      <w:r>
        <w:rPr>
          <w:rStyle w:val="xeentry"/>
        </w:rPr>
        <w:instrText>vocatives: contrasted with la</w:instrText>
      </w:r>
      <w:r>
        <w:instrText>"</w:instrText>
      </w:r>
      <w:r>
        <w:rPr>
          <w:rStyle w:val="indexentry"/>
        </w:rPr>
        <w:fldChar w:fldCharType="end"/>
      </w:r>
      <w:r>
        <w:rPr>
          <w:rStyle w:val="indexentry"/>
        </w:rPr>
        <w:t>&lt;cx "“la”, contrasted with vocatives"&gt;</w:t>
      </w:r>
      <w:r>
        <w:rPr>
          <w:rStyle w:val="indexentry"/>
        </w:rPr>
        <w:fldChar w:fldCharType="begin"/>
      </w:r>
      <w:r>
        <w:instrText>xe "</w:instrText>
      </w:r>
      <w:r>
        <w:rPr>
          <w:rStyle w:val="xeentry"/>
        </w:rPr>
        <w:instrText>la: contrasted with vocatives</w:instrText>
      </w:r>
      <w:r>
        <w:instrText>"</w:instrText>
      </w:r>
      <w:r>
        <w:rPr>
          <w:rStyle w:val="indexentry"/>
        </w:rPr>
        <w:fldChar w:fldCharType="end"/>
      </w:r>
      <w:r>
        <w:rPr>
          <w:rStyle w:val="indexentry"/>
        </w:rPr>
        <w:t>&lt;lx "COI"&gt;</w:t>
      </w:r>
      <w:r>
        <w:rPr>
          <w:rStyle w:val="indexentry"/>
        </w:rPr>
        <w:fldChar w:fldCharType="begin"/>
      </w:r>
      <w:r>
        <w:instrText>xe "</w:instrText>
      </w:r>
      <w:r>
        <w:rPr>
          <w:rStyle w:val="xeentry"/>
        </w:rPr>
        <w:instrText>COI selma’o</w:instrText>
      </w:r>
      <w:r>
        <w:instrText>"</w:instrText>
      </w:r>
      <w:r>
        <w:rPr>
          <w:rStyle w:val="indexentry"/>
        </w:rPr>
        <w:fldChar w:fldCharType="end"/>
      </w:r>
      <w:r>
        <w:rPr>
          <w:rStyle w:val="indexentry"/>
        </w:rPr>
        <w:t>&lt;cx "direct address"&gt;</w:t>
      </w:r>
      <w:r>
        <w:rPr>
          <w:rStyle w:val="indexentry"/>
        </w:rPr>
        <w:fldChar w:fldCharType="begin"/>
      </w:r>
      <w:r>
        <w:instrText>xe "</w:instrText>
      </w:r>
      <w:r>
        <w:rPr>
          <w:rStyle w:val="xeentry"/>
        </w:rPr>
        <w:instrText>direct address</w:instrText>
      </w:r>
      <w:r>
        <w:instrText>"</w:instrText>
      </w:r>
      <w:r>
        <w:rPr>
          <w:rStyle w:val="indexentry"/>
        </w:rPr>
        <w:fldChar w:fldCharType="end"/>
      </w:r>
      <w:r>
        <w:rPr>
          <w:rStyle w:val="indexentry"/>
        </w:rPr>
        <w:t>“</w:t>
      </w:r>
      <w:r>
        <w:t>“Vocatives” are words used to address someone directly; they precede and</w:t>
      </w:r>
      <w:r>
        <w:rPr>
          <w:rStyle w:val="deletedparamark"/>
        </w:rPr>
        <w:t xml:space="preserve"> </w:t>
      </w:r>
      <w:r>
        <w:t>mark a name used in direct address, just as “la” (and the other members of</w:t>
      </w:r>
      <w:r>
        <w:rPr>
          <w:rStyle w:val="deletedparamark"/>
        </w:rPr>
        <w:t xml:space="preserve"> </w:t>
      </w:r>
      <w:r>
        <w:t>selma'o LA) mark a name used to refer to some</w:t>
      </w:r>
      <w:r>
        <w:softHyphen/>
        <w:t>one. The vocatives actually</w:t>
      </w:r>
      <w:r>
        <w:rPr>
          <w:rStyle w:val="deletedparamark"/>
        </w:rPr>
        <w:t xml:space="preserve"> </w:t>
      </w:r>
      <w:r>
        <w:t>are indicators — in fact, dis</w:t>
      </w:r>
      <w:r>
        <w:softHyphen/>
        <w:t>cur</w:t>
      </w:r>
      <w:r>
        <w:softHyphen/>
        <w:t>sives — but the need to tie them to names</w:t>
      </w:r>
      <w:r>
        <w:rPr>
          <w:rStyle w:val="deletedparamark"/>
        </w:rPr>
        <w:t xml:space="preserve"> </w:t>
      </w:r>
      <w:r>
        <w:t>and other descriptions of listeners requires them to be separated from selma'o</w:t>
      </w:r>
      <w:r>
        <w:rPr>
          <w:rStyle w:val="deletedparamark"/>
        </w:rPr>
        <w:t xml:space="preserve"> </w:t>
      </w:r>
      <w:r>
        <w:t>UI. But like the cmavo of UI, the members of sel</w:t>
      </w:r>
      <w:r>
        <w:softHyphen/>
        <w:t>ma'o COI can be “negated”</w:t>
      </w:r>
      <w:r>
        <w:rPr>
          <w:rStyle w:val="deletedparamark"/>
        </w:rPr>
        <w:t xml:space="preserve"> </w:t>
      </w:r>
      <w:r>
        <w:t>with “nai” to get the opposite part of the scale.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"redundancy, effect on vocative design"&gt;</w:t>
      </w:r>
      <w:r>
        <w:rPr>
          <w:rStyle w:val="indexentry"/>
        </w:rPr>
        <w:fldChar w:fldCharType="begin"/>
      </w:r>
      <w:r>
        <w:instrText>xe "</w:instrText>
      </w:r>
      <w:r>
        <w:rPr>
          <w:rStyle w:val="xeentry"/>
        </w:rPr>
        <w:instrText>redundancy: effect on vocative design</w:instrText>
      </w:r>
      <w:r>
        <w:instrText>"</w:instrText>
      </w:r>
      <w:r>
        <w:rPr>
          <w:rStyle w:val="indexentry"/>
        </w:rPr>
        <w:fldChar w:fldCharType="end"/>
      </w:r>
      <w:r>
        <w:rPr>
          <w:rStyle w:val="indexentry"/>
        </w:rPr>
        <w:t>&lt;cx "vocatives, rationale for redundancy"&gt;</w:t>
      </w:r>
      <w:r>
        <w:rPr>
          <w:rStyle w:val="indexentry"/>
        </w:rPr>
        <w:fldChar w:fldCharType="begin"/>
      </w:r>
      <w:r>
        <w:instrText>xe "</w:instrText>
      </w:r>
      <w:r>
        <w:rPr>
          <w:rStyle w:val="xeentry"/>
        </w:rPr>
        <w:instrText>vocatives: rationale for redundancy</w:instrText>
      </w:r>
      <w:r>
        <w:instrText>"</w:instrText>
      </w:r>
      <w:r>
        <w:rPr>
          <w:rStyle w:val="indexentry"/>
        </w:rPr>
        <w:fldChar w:fldCharType="end"/>
      </w:r>
      <w:r>
        <w:t>Because of the need for redundancy in noisy environments, the Lojban design</w:t>
      </w:r>
      <w:r>
        <w:rPr>
          <w:rStyle w:val="deletedparamark"/>
        </w:rPr>
        <w:t xml:space="preserve"> </w:t>
      </w:r>
      <w:r>
        <w:t>does not compress the vocatives into a minimum number of scales. Doing so</w:t>
      </w:r>
      <w:r>
        <w:rPr>
          <w:rStyle w:val="deletedparamark"/>
        </w:rPr>
        <w:t xml:space="preserve"> </w:t>
      </w:r>
      <w:r>
        <w:t>would make a non-redundant “nai” too often vital to interpretation of a</w:t>
      </w:r>
      <w:r>
        <w:rPr>
          <w:rStyle w:val="deletedparamark"/>
        </w:rPr>
        <w:t xml:space="preserve"> </w:t>
      </w:r>
      <w:r>
        <w:t>protocol signal, as ex</w:t>
      </w:r>
      <w:r>
        <w:softHyphen/>
        <w:t>plained later in this section.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"DOhU"&gt;</w:t>
      </w:r>
      <w:r>
        <w:rPr>
          <w:rStyle w:val="indexentry"/>
        </w:rPr>
        <w:fldChar w:fldCharType="begin"/>
      </w:r>
      <w:r>
        <w:instrText>xe "</w:instrText>
      </w:r>
      <w:r>
        <w:rPr>
          <w:rStyle w:val="xeentry"/>
        </w:rPr>
        <w:instrText>DOhU selma’o</w:instrText>
      </w:r>
      <w:r>
        <w:instrText>"</w:instrText>
      </w:r>
      <w:r>
        <w:rPr>
          <w:rStyle w:val="indexentry"/>
        </w:rPr>
        <w:fldChar w:fldCharType="end"/>
      </w:r>
      <w:r>
        <w:rPr>
          <w:rStyle w:val="indexentry"/>
        </w:rPr>
        <w:t>&lt;lx "do'u"&gt;</w:t>
      </w:r>
      <w:r>
        <w:rPr>
          <w:rStyle w:val="indexentry"/>
        </w:rPr>
        <w:fldChar w:fldCharType="begin"/>
      </w:r>
      <w:r>
        <w:instrText>xe "</w:instrText>
      </w:r>
      <w:r>
        <w:rPr>
          <w:rStyle w:val="xeentry"/>
        </w:rPr>
        <w:instrText>do'u</w:instrText>
      </w:r>
      <w:r>
        <w:instrText>"</w:instrText>
      </w:r>
      <w:r>
        <w:rPr>
          <w:rStyle w:val="indexentry"/>
        </w:rPr>
        <w:fldChar w:fldCharType="end"/>
      </w:r>
      <w:r>
        <w:rPr>
          <w:rStyle w:val="indexentry"/>
        </w:rPr>
        <w:t>&lt;cx "vocatives, grammar overview"&gt;</w:t>
      </w:r>
      <w:r>
        <w:rPr>
          <w:rStyle w:val="indexentry"/>
        </w:rPr>
        <w:fldChar w:fldCharType="begin"/>
      </w:r>
      <w:r>
        <w:instrText>xe "</w:instrText>
      </w:r>
      <w:r>
        <w:rPr>
          <w:rStyle w:val="xeentry"/>
        </w:rPr>
        <w:instrText>vocatives: grammar overview</w:instrText>
      </w:r>
      <w:r>
        <w:instrText>"</w:instrText>
      </w:r>
      <w:r>
        <w:rPr>
          <w:rStyle w:val="indexentry"/>
        </w:rPr>
        <w:fldChar w:fldCharType="end"/>
      </w:r>
      <w:r>
        <w:t xml:space="preserve">The grammar of vocatives is explained in </w:t>
      </w:r>
      <w:r>
        <w:rPr>
          <w:rStyle w:val="htmlcodes"/>
        </w:rPr>
        <w:t>&lt;a href=chap6.html&gt;</w:t>
      </w:r>
      <w:r>
        <w:t>Chapter 6</w:t>
      </w:r>
      <w:r>
        <w:rPr>
          <w:rStyle w:val="htmlcodes"/>
        </w:rPr>
        <w:t>&lt;/a&gt;</w:t>
      </w:r>
      <w:r>
        <w:t>; but in brief, a vocative</w:t>
      </w:r>
      <w:r>
        <w:rPr>
          <w:rStyle w:val="deletedparamark"/>
        </w:rPr>
        <w:t xml:space="preserve"> </w:t>
      </w:r>
      <w:r>
        <w:t>may be followed by a name (without “la”), a descrip</w:t>
      </w:r>
      <w:r>
        <w:softHyphen/>
        <w:t>tion (without “le” or</w:t>
      </w:r>
      <w:r>
        <w:rPr>
          <w:rStyle w:val="deletedparamark"/>
        </w:rPr>
        <w:t xml:space="preserve"> </w:t>
      </w:r>
      <w:r>
        <w:t>its relatives), a complete sumti, or nothing at all (if the addressee is</w:t>
      </w:r>
      <w:r>
        <w:rPr>
          <w:rStyle w:val="deletedparamark"/>
        </w:rPr>
        <w:t xml:space="preserve"> </w:t>
      </w:r>
      <w:r>
        <w:t>obvious from the context). There is an elidable ter</w:t>
      </w:r>
      <w:r>
        <w:softHyphen/>
        <w:t>minator, “do'u” (of</w:t>
      </w:r>
      <w:r>
        <w:rPr>
          <w:rStyle w:val="deletedparamark"/>
        </w:rPr>
        <w:t xml:space="preserve"> </w:t>
      </w:r>
      <w:r>
        <w:t>selma'o DOhU) which is almost never required un</w:t>
      </w:r>
      <w:r>
        <w:softHyphen/>
        <w:t>less no name (or other</w:t>
      </w:r>
      <w:r>
        <w:rPr>
          <w:rStyle w:val="deletedparamark"/>
        </w:rPr>
        <w:t xml:space="preserve"> </w:t>
      </w:r>
      <w:r>
        <w:t>indication of the addressee) follows the voca</w:t>
      </w:r>
      <w:r>
        <w:softHyphen/>
        <w:t>tive.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"you, defining"&gt;</w:t>
      </w:r>
      <w:r>
        <w:rPr>
          <w:rStyle w:val="indexentry"/>
        </w:rPr>
        <w:fldChar w:fldCharType="begin"/>
      </w:r>
      <w:r>
        <w:instrText>xe "</w:instrText>
      </w:r>
      <w:r>
        <w:rPr>
          <w:rStyle w:val="xeentry"/>
        </w:rPr>
        <w:instrText>you: defining</w:instrText>
      </w:r>
      <w:r>
        <w:instrText>"</w:instrText>
      </w:r>
      <w:r>
        <w:rPr>
          <w:rStyle w:val="indexentry"/>
        </w:rPr>
        <w:fldChar w:fldCharType="end"/>
      </w:r>
      <w:r>
        <w:rPr>
          <w:rStyle w:val="indexentry"/>
        </w:rPr>
        <w:t>&lt;cx "vocatives, and definition of “you”"&gt;</w:t>
      </w:r>
      <w:r>
        <w:rPr>
          <w:rStyle w:val="indexentry"/>
        </w:rPr>
        <w:fldChar w:fldCharType="begin"/>
      </w:r>
      <w:r>
        <w:instrText>xe "</w:instrText>
      </w:r>
      <w:r>
        <w:rPr>
          <w:rStyle w:val="xeentry"/>
        </w:rPr>
        <w:instrText>vocatives: and definition of you</w:instrText>
      </w:r>
      <w:r>
        <w:instrText>"</w:instrText>
      </w:r>
      <w:r>
        <w:rPr>
          <w:rStyle w:val="indexentry"/>
        </w:rPr>
        <w:fldChar w:fldCharType="end"/>
      </w:r>
      <w:r>
        <w:t>Using any vocative except “mi'e” (explained below) implicitly defines the</w:t>
      </w:r>
      <w:r>
        <w:rPr>
          <w:rStyle w:val="deletedparamark"/>
        </w:rPr>
        <w:t xml:space="preserve"> </w:t>
      </w:r>
      <w:r>
        <w:t>meaning of the pro-sumti “do”, as the whole point of vocatives is to</w:t>
      </w:r>
      <w:r>
        <w:rPr>
          <w:rStyle w:val="deletedparamark"/>
        </w:rPr>
        <w:t xml:space="preserve"> </w:t>
      </w:r>
      <w:r>
        <w:t>specify the listener, or at any rate the desired listener — even if the</w:t>
      </w:r>
      <w:r>
        <w:rPr>
          <w:rStyle w:val="deletedparamark"/>
        </w:rPr>
        <w:t xml:space="preserve"> </w:t>
      </w:r>
      <w:r>
        <w:t>desired listener isn't listening! We will use the terms “speaker” and</w:t>
      </w:r>
      <w:r>
        <w:rPr>
          <w:rStyle w:val="deletedparamark"/>
        </w:rPr>
        <w:t xml:space="preserve"> “</w:t>
      </w:r>
      <w:r>
        <w:t>listener” for clarity, although in written Lojban the ap</w:t>
      </w:r>
      <w:r>
        <w:softHyphen/>
        <w:t>pro</w:t>
      </w:r>
      <w:r>
        <w:softHyphen/>
        <w:t>priate terms</w:t>
      </w:r>
      <w:r>
        <w:rPr>
          <w:rStyle w:val="deletedparamark"/>
        </w:rPr>
        <w:t xml:space="preserve"> </w:t>
      </w:r>
      <w:r>
        <w:t>would be “writer” and “reader”.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"vocatives, notation convention symbol “X”"&gt;</w:t>
      </w:r>
      <w:r>
        <w:rPr>
          <w:rStyle w:val="indexentry"/>
        </w:rPr>
        <w:fldChar w:fldCharType="begin"/>
      </w:r>
      <w:r>
        <w:instrText>xe "</w:instrText>
      </w:r>
      <w:r>
        <w:rPr>
          <w:rStyle w:val="xeentry"/>
        </w:rPr>
        <w:instrText>vocatives: notation convention symbol X</w:instrText>
      </w:r>
      <w:r>
        <w:instrText>"</w:instrText>
      </w:r>
      <w:r>
        <w:rPr>
          <w:rStyle w:val="indexentry"/>
        </w:rPr>
        <w:fldChar w:fldCharType="end"/>
      </w:r>
      <w:r>
        <w:t>In the following list of vocatives, the translations include the symbol X.</w:t>
      </w:r>
      <w:r>
        <w:rPr>
          <w:rStyle w:val="deletedparamark"/>
        </w:rPr>
        <w:t xml:space="preserve"> </w:t>
      </w:r>
      <w:r>
        <w:t>This repr</w:t>
      </w:r>
      <w:r>
        <w:t>e</w:t>
      </w:r>
      <w:r>
        <w:softHyphen/>
        <w:t>sents the name (or identifying description, or whatever)</w:t>
      </w:r>
      <w:r>
        <w:rPr>
          <w:rStyle w:val="deletedparamark"/>
        </w:rPr>
        <w:t xml:space="preserve"> </w:t>
      </w:r>
      <w:r>
        <w:t>of the listener.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"doi"&gt;</w:t>
      </w:r>
      <w:r>
        <w:rPr>
          <w:rStyle w:val="indexentry"/>
        </w:rPr>
        <w:fldChar w:fldCharType="begin"/>
      </w:r>
      <w:r>
        <w:instrText>xe "</w:instrText>
      </w:r>
      <w:r>
        <w:rPr>
          <w:rStyle w:val="xeentry"/>
        </w:rPr>
        <w:instrText>doi</w:instrText>
      </w:r>
      <w:r>
        <w:instrText>"</w:instrText>
      </w:r>
      <w:r>
        <w:rPr>
          <w:rStyle w:val="indexentry"/>
        </w:rPr>
        <w:fldChar w:fldCharType="end"/>
      </w:r>
      <w:r>
        <w:rPr>
          <w:rStyle w:val="indexentry"/>
        </w:rPr>
        <w:t>&lt;lx "DOI"&gt;</w:t>
      </w:r>
      <w:r>
        <w:rPr>
          <w:rStyle w:val="indexentry"/>
        </w:rPr>
        <w:fldChar w:fldCharType="begin"/>
      </w:r>
      <w:r>
        <w:instrText>xe "</w:instrText>
      </w:r>
      <w:r>
        <w:rPr>
          <w:rStyle w:val="xeentry"/>
        </w:rPr>
        <w:instrText>DOI selma’o</w:instrText>
      </w:r>
      <w:r>
        <w:instrText>"</w:instrText>
      </w:r>
      <w:r>
        <w:rPr>
          <w:rStyle w:val="indexentry"/>
        </w:rPr>
        <w:fldChar w:fldCharType="end"/>
      </w:r>
      <w:r>
        <w:rPr>
          <w:rStyle w:val="indexentry"/>
        </w:rPr>
        <w:t>&lt;cx "pause before name, effect of doi"&gt;</w:t>
      </w:r>
      <w:r>
        <w:rPr>
          <w:rStyle w:val="indexentry"/>
        </w:rPr>
        <w:fldChar w:fldCharType="begin"/>
      </w:r>
      <w:r>
        <w:instrText>xe "</w:instrText>
      </w:r>
      <w:r>
        <w:rPr>
          <w:rStyle w:val="xeentry"/>
        </w:rPr>
        <w:instrText>pause before name: effect of doi</w:instrText>
      </w:r>
      <w:r>
        <w:instrText>"</w:instrText>
      </w:r>
      <w:r>
        <w:rPr>
          <w:rStyle w:val="indexentry"/>
        </w:rPr>
        <w:fldChar w:fldCharType="end"/>
      </w:r>
      <w:r>
        <w:rPr>
          <w:rStyle w:val="indexentry"/>
        </w:rPr>
        <w:t>&lt;cx "doi, effect on pause before name"&gt;</w:t>
      </w:r>
      <w:r>
        <w:rPr>
          <w:rStyle w:val="indexentry"/>
        </w:rPr>
        <w:fldChar w:fldCharType="begin"/>
      </w:r>
      <w:r>
        <w:instrText>xe "</w:instrText>
      </w:r>
      <w:r>
        <w:rPr>
          <w:rStyle w:val="xeentry"/>
        </w:rPr>
        <w:instrText>doi: effect on pause before name</w:instrText>
      </w:r>
      <w:r>
        <w:instrText>"</w:instrText>
      </w:r>
      <w:r>
        <w:rPr>
          <w:rStyle w:val="indexentry"/>
        </w:rPr>
        <w:fldChar w:fldCharType="end"/>
      </w:r>
      <w:r>
        <w:t>The cmavo “doi” is the general-purpose vocative. Unlike the cmavo of selma'o</w:t>
      </w:r>
      <w:r>
        <w:rPr>
          <w:rStyle w:val="deletedparamark"/>
        </w:rPr>
        <w:t xml:space="preserve"> </w:t>
      </w:r>
      <w:r>
        <w:t>COI, explained below, “doi” can precede a name directly without an intervening</w:t>
      </w:r>
      <w:r>
        <w:rPr>
          <w:rStyle w:val="deletedparamark"/>
        </w:rPr>
        <w:t xml:space="preserve"> </w:t>
      </w:r>
      <w:r>
        <w:t>pause. It is not considered a scale, and “doinai” is not grammatical.</w:t>
      </w:r>
      <w:r>
        <w:rPr>
          <w:rStyle w:val="deletedparamark"/>
        </w:rPr>
        <w:t xml:space="preserve"> </w:t>
      </w:r>
      <w:r>
        <w:t>In general, “doi” needs no translation in English (we just use names by</w:t>
      </w:r>
      <w:r>
        <w:rPr>
          <w:rStyle w:val="deletedparamark"/>
        </w:rPr>
        <w:t xml:space="preserve"> </w:t>
      </w:r>
      <w:r>
        <w:t>themselves without any preceding word, although in poetic styles we sometimes</w:t>
      </w:r>
      <w:r>
        <w:rPr>
          <w:rStyle w:val="deletedparamark"/>
        </w:rPr>
        <w:t xml:space="preserve"> </w:t>
      </w:r>
      <w:r>
        <w:t>say “Oh X”, which is equivalent to “doi”). One may attach an attitudinal to</w:t>
      </w:r>
      <w:r>
        <w:rPr>
          <w:rStyle w:val="deletedparamark"/>
        </w:rPr>
        <w:t xml:space="preserve"> “</w:t>
      </w:r>
      <w:r>
        <w:t>doi” to express various English vocatives. For example, “doi .io” means</w:t>
      </w:r>
      <w:r>
        <w:rPr>
          <w:rStyle w:val="deletedparamark"/>
        </w:rPr>
        <w:t xml:space="preserve"> “</w:t>
      </w:r>
      <w:r>
        <w:t>Sir/Madam!”, whereas “doi .ionai” means “You there!”.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"pause before name, effect of vocatives of COI"&gt;</w:t>
      </w:r>
      <w:r>
        <w:rPr>
          <w:rStyle w:val="indexentry"/>
        </w:rPr>
        <w:fldChar w:fldCharType="begin"/>
      </w:r>
      <w:r>
        <w:instrText>xe "</w:instrText>
      </w:r>
      <w:r>
        <w:rPr>
          <w:rStyle w:val="xeentry"/>
        </w:rPr>
        <w:instrText>pause before name: effect of vocatives of COI</w:instrText>
      </w:r>
      <w:r>
        <w:instrText>"</w:instrText>
      </w:r>
      <w:r>
        <w:rPr>
          <w:rStyle w:val="indexentry"/>
        </w:rPr>
        <w:fldChar w:fldCharType="end"/>
      </w:r>
      <w:r>
        <w:rPr>
          <w:rStyle w:val="indexentry"/>
        </w:rPr>
        <w:t>&lt;cx "COI, effect on pause before name"&gt;</w:t>
      </w:r>
      <w:r>
        <w:rPr>
          <w:rStyle w:val="indexentry"/>
        </w:rPr>
        <w:fldChar w:fldCharType="begin"/>
      </w:r>
      <w:r>
        <w:instrText>xe "</w:instrText>
      </w:r>
      <w:r>
        <w:rPr>
          <w:rStyle w:val="xeentry"/>
        </w:rPr>
        <w:instrText>COI selma’o: effect on pause before name</w:instrText>
      </w:r>
      <w:r>
        <w:instrText>"</w:instrText>
      </w:r>
      <w:r>
        <w:rPr>
          <w:rStyle w:val="indexentry"/>
        </w:rPr>
        <w:fldChar w:fldCharType="end"/>
      </w:r>
      <w:r>
        <w:t>All members of selma'o COI require a pause when used im</w:t>
      </w:r>
      <w:r>
        <w:softHyphen/>
        <w:t>mediately before a</w:t>
      </w:r>
      <w:r>
        <w:rPr>
          <w:rStyle w:val="deletedparamark"/>
        </w:rPr>
        <w:t xml:space="preserve"> </w:t>
      </w:r>
      <w:r>
        <w:t>name, in order to prevent the name from absorb</w:t>
      </w:r>
      <w:r>
        <w:softHyphen/>
        <w:t>ing the COI word. This</w:t>
      </w:r>
      <w:r>
        <w:rPr>
          <w:rStyle w:val="deletedparamark"/>
        </w:rPr>
        <w:t xml:space="preserve"> </w:t>
      </w:r>
      <w:r>
        <w:t>is unlike selma'o DOI and LA, which do not require pauses because the</w:t>
      </w:r>
      <w:r>
        <w:rPr>
          <w:rStyle w:val="deletedparamark"/>
        </w:rPr>
        <w:t xml:space="preserve"> </w:t>
      </w:r>
      <w:r>
        <w:t>syllables of these cmavo are not permit</w:t>
      </w:r>
      <w:r>
        <w:softHyphen/>
        <w:t>ted to be embedded in a Lojban</w:t>
      </w:r>
      <w:r>
        <w:rPr>
          <w:rStyle w:val="deletedparamark"/>
        </w:rPr>
        <w:t xml:space="preserve"> </w:t>
      </w:r>
      <w:r>
        <w:t>name. When calling out to someone, this is fairly natural, anyway.</w:t>
      </w:r>
      <w:r>
        <w:rPr>
          <w:rStyle w:val="deletedparamark"/>
        </w:rPr>
        <w:t xml:space="preserve"> “</w:t>
      </w:r>
      <w:r>
        <w:t>Hey! John!” is thus a better translation of “ju'i .djan.” than “Hey John!”.</w:t>
      </w:r>
      <w:r>
        <w:rPr>
          <w:rStyle w:val="deletedparamark"/>
        </w:rPr>
        <w:t xml:space="preserve"> </w:t>
      </w:r>
      <w:r>
        <w:t>No pause is needed if the vocative reference is something other than a name,</w:t>
      </w:r>
      <w:r>
        <w:rPr>
          <w:rStyle w:val="deletedparamark"/>
        </w:rPr>
        <w:t xml:space="preserve"> </w:t>
      </w:r>
      <w:r>
        <w:t>as in the title of the Lojban journal, “ju'i lobypli”.</w:t>
      </w:r>
    </w:p>
    <w:p w:rsidR="00B72047" w:rsidRDefault="00B72047">
      <w:pPr>
        <w:pStyle w:val="normalparagraph"/>
        <w:rPr>
          <w:rStyle w:val="htmlparacode"/>
        </w:rPr>
      </w:pPr>
      <w:r>
        <w:rPr>
          <w:rStyle w:val="htmlparacode"/>
        </w:rPr>
        <w:t>&lt;p&gt;</w:t>
      </w:r>
    </w:p>
    <w:p w:rsidR="00B72047" w:rsidRDefault="00B72047">
      <w:pPr>
        <w:pStyle w:val="normalparagraph"/>
      </w:pPr>
      <w:r>
        <w:t>(Alternatively, “doi” can be inserted between the COI cmavo and the name,</w:t>
      </w:r>
      <w:r>
        <w:rPr>
          <w:rStyle w:val="deletedparamark"/>
        </w:rPr>
        <w:t xml:space="preserve"> </w:t>
      </w:r>
      <w:r>
        <w:t>making a pause unnecessary: “coi doi djan.”)</w:t>
      </w:r>
    </w:p>
    <w:p w:rsidR="00B72047" w:rsidRDefault="00B72047">
      <w:pPr>
        <w:rPr>
          <w:rStyle w:val="htmlparacode"/>
        </w:rPr>
      </w:pPr>
      <w:r>
        <w:rPr>
          <w:rStyle w:val="htmlparacode"/>
        </w:rPr>
        <w:t>&lt;p&gt;</w:t>
      </w:r>
    </w:p>
    <w:p w:rsidR="00B72047" w:rsidRDefault="00B72047">
      <w:pPr>
        <w:pStyle w:val="examplewtabspre"/>
      </w:pPr>
      <w:r>
        <w:rPr>
          <w:rStyle w:val="indexentry"/>
        </w:rPr>
        <w:t>&lt;lx "coi"&gt;</w:t>
      </w:r>
      <w:r>
        <w:rPr>
          <w:rStyle w:val="indexentry"/>
        </w:rPr>
        <w:fldChar w:fldCharType="begin"/>
      </w:r>
      <w:r>
        <w:instrText>xe "</w:instrText>
      </w:r>
      <w:r>
        <w:rPr>
          <w:rStyle w:val="xeentry"/>
        </w:rPr>
        <w:instrText>coi</w:instrText>
      </w:r>
      <w:r>
        <w:instrText>"</w:instrText>
      </w:r>
      <w:r>
        <w:rPr>
          <w:rStyle w:val="indexentry"/>
        </w:rPr>
        <w:fldChar w:fldCharType="end"/>
      </w:r>
      <w:r>
        <w:rPr>
          <w:rStyle w:val="htmlcodes"/>
        </w:rPr>
        <w:t>&lt;pre&gt;</w:t>
      </w:r>
      <w:r>
        <w:t>coi</w:t>
      </w:r>
      <w:r>
        <w:tab/>
      </w:r>
      <w:r>
        <w:tab/>
        <w:t>greetings</w:t>
      </w:r>
    </w:p>
    <w:p w:rsidR="00B72047" w:rsidRDefault="00B72047">
      <w:pPr>
        <w:pStyle w:val="resumedafterexample"/>
      </w:pPr>
      <w:r>
        <w:rPr>
          <w:rStyle w:val="htmlcodes"/>
        </w:rPr>
        <w:t>&lt;/pre&gt;</w:t>
      </w:r>
      <w:r>
        <w:t>“Hello, X”; “Greetings, X”; indicates a greeting to the listener.</w:t>
      </w:r>
    </w:p>
    <w:p w:rsidR="00B72047" w:rsidRDefault="00B72047">
      <w:pPr>
        <w:rPr>
          <w:rStyle w:val="htmlparacode"/>
        </w:rPr>
      </w:pPr>
      <w:r>
        <w:rPr>
          <w:rStyle w:val="htmlparacode"/>
        </w:rPr>
        <w:t>&lt;p&gt;</w:t>
      </w:r>
    </w:p>
    <w:p w:rsidR="00B72047" w:rsidRDefault="00B72047">
      <w:pPr>
        <w:pStyle w:val="examplewtabspre"/>
      </w:pPr>
      <w:r>
        <w:rPr>
          <w:rStyle w:val="indexentry"/>
        </w:rPr>
        <w:t>&lt;lx "co'o"&gt;</w:t>
      </w:r>
      <w:r>
        <w:rPr>
          <w:rStyle w:val="indexentry"/>
        </w:rPr>
        <w:fldChar w:fldCharType="begin"/>
      </w:r>
      <w:r>
        <w:instrText>xe "</w:instrText>
      </w:r>
      <w:r>
        <w:rPr>
          <w:rStyle w:val="xeentry"/>
        </w:rPr>
        <w:instrText>co'o</w:instrText>
      </w:r>
      <w:r>
        <w:instrText>"</w:instrText>
      </w:r>
      <w:r>
        <w:rPr>
          <w:rStyle w:val="indexentry"/>
        </w:rPr>
        <w:fldChar w:fldCharType="end"/>
      </w:r>
      <w:r>
        <w:rPr>
          <w:rStyle w:val="htmlcodes"/>
        </w:rPr>
        <w:t>&lt;pre&gt;</w:t>
      </w:r>
      <w:r>
        <w:t>co'o</w:t>
      </w:r>
      <w:r>
        <w:tab/>
      </w:r>
      <w:r>
        <w:tab/>
        <w:t>partings</w:t>
      </w:r>
    </w:p>
    <w:p w:rsidR="00B72047" w:rsidRDefault="00B72047">
      <w:pPr>
        <w:pStyle w:val="resumedafterexample"/>
      </w:pPr>
      <w:r>
        <w:rPr>
          <w:rStyle w:val="htmlcodes"/>
        </w:rPr>
        <w:t>&lt;/pre&gt;</w:t>
      </w:r>
      <w:r>
        <w:t>“Good-bye, X”; indicates parting from immediate company by either the</w:t>
      </w:r>
      <w:r>
        <w:rPr>
          <w:rStyle w:val="deletedparamark"/>
        </w:rPr>
        <w:t xml:space="preserve"> </w:t>
      </w:r>
      <w:r>
        <w:t>speaker or the listener. “coico'o” means “greeting in passing”.</w:t>
      </w:r>
    </w:p>
    <w:p w:rsidR="00B72047" w:rsidRDefault="00B72047">
      <w:pPr>
        <w:rPr>
          <w:rStyle w:val="htmlparacode"/>
        </w:rPr>
      </w:pPr>
      <w:r>
        <w:rPr>
          <w:rStyle w:val="htmlparacode"/>
        </w:rPr>
        <w:t>&lt;p&gt;</w:t>
      </w:r>
    </w:p>
    <w:p w:rsidR="00B72047" w:rsidRDefault="00B72047">
      <w:pPr>
        <w:pStyle w:val="examplewtabspre"/>
      </w:pPr>
      <w:r>
        <w:rPr>
          <w:rStyle w:val="indexentry"/>
        </w:rPr>
        <w:t>&lt;lx "ju'i"&gt;</w:t>
      </w:r>
      <w:r>
        <w:rPr>
          <w:rStyle w:val="indexentry"/>
        </w:rPr>
        <w:fldChar w:fldCharType="begin"/>
      </w:r>
      <w:r>
        <w:instrText>xe "</w:instrText>
      </w:r>
      <w:r>
        <w:rPr>
          <w:rStyle w:val="xeentry"/>
        </w:rPr>
        <w:instrText>ju'i</w:instrText>
      </w:r>
      <w:r>
        <w:instrText>"</w:instrText>
      </w:r>
      <w:r>
        <w:rPr>
          <w:rStyle w:val="indexentry"/>
        </w:rPr>
        <w:fldChar w:fldCharType="end"/>
      </w:r>
      <w:r>
        <w:rPr>
          <w:rStyle w:val="htmlcodes"/>
        </w:rPr>
        <w:t>&lt;pre&gt;</w:t>
      </w:r>
      <w:r>
        <w:t>ju'i</w:t>
      </w:r>
      <w:r>
        <w:tab/>
        <w:t>[jundi]</w:t>
      </w:r>
      <w:r>
        <w:tab/>
        <w:t>attention</w:t>
      </w:r>
      <w:r>
        <w:tab/>
        <w:t>at ease</w:t>
      </w:r>
      <w:r>
        <w:tab/>
        <w:t>ignore me/us</w:t>
      </w:r>
    </w:p>
    <w:p w:rsidR="00B72047" w:rsidRDefault="00B72047">
      <w:pPr>
        <w:pStyle w:val="resumedafterexample"/>
      </w:pPr>
      <w:r>
        <w:rPr>
          <w:rStyle w:val="htmlcodes"/>
        </w:rPr>
        <w:t>&lt;/pre&gt;</w:t>
      </w:r>
      <w:r>
        <w:t>“Attention/Lo/Hark/Behold/Hey!/Listen, X”; indicates an important</w:t>
      </w:r>
      <w:r>
        <w:rPr>
          <w:rStyle w:val="deletedparamark"/>
        </w:rPr>
        <w:t xml:space="preserve"> </w:t>
      </w:r>
      <w:r>
        <w:t>communication that the listener should listen to.</w:t>
      </w:r>
    </w:p>
    <w:p w:rsidR="00B72047" w:rsidRDefault="00B72047">
      <w:pPr>
        <w:rPr>
          <w:rStyle w:val="htmlparacode"/>
        </w:rPr>
      </w:pPr>
      <w:r>
        <w:rPr>
          <w:rStyle w:val="htmlparacode"/>
        </w:rPr>
        <w:t>&lt;p&gt;</w:t>
      </w:r>
    </w:p>
    <w:p w:rsidR="00B72047" w:rsidRDefault="00B72047">
      <w:pPr>
        <w:pStyle w:val="examplewtabspre"/>
      </w:pPr>
      <w:r>
        <w:rPr>
          <w:rStyle w:val="indexentry"/>
        </w:rPr>
        <w:t>&lt;lx "nu'e"&gt;</w:t>
      </w:r>
      <w:r>
        <w:rPr>
          <w:rStyle w:val="indexentry"/>
        </w:rPr>
        <w:fldChar w:fldCharType="begin"/>
      </w:r>
      <w:r>
        <w:instrText>xe "</w:instrText>
      </w:r>
      <w:r>
        <w:rPr>
          <w:rStyle w:val="xeentry"/>
        </w:rPr>
        <w:instrText>nu'e</w:instrText>
      </w:r>
      <w:r>
        <w:instrText>"</w:instrText>
      </w:r>
      <w:r>
        <w:rPr>
          <w:rStyle w:val="indexentry"/>
        </w:rPr>
        <w:fldChar w:fldCharType="end"/>
      </w:r>
      <w:r>
        <w:rPr>
          <w:rStyle w:val="htmlcodes"/>
        </w:rPr>
        <w:t>&lt;pre&gt;</w:t>
      </w:r>
      <w:r>
        <w:t>nu'e</w:t>
      </w:r>
      <w:r>
        <w:tab/>
        <w:t>[nupre]</w:t>
      </w:r>
      <w:r>
        <w:tab/>
        <w:t>promise</w:t>
      </w:r>
      <w:r>
        <w:tab/>
        <w:t>release promise</w:t>
      </w:r>
      <w:r>
        <w:tab/>
      </w:r>
      <w:r>
        <w:tab/>
        <w:t>non-promise</w:t>
      </w:r>
    </w:p>
    <w:p w:rsidR="00B72047" w:rsidRDefault="00B72047">
      <w:pPr>
        <w:pStyle w:val="resumedafterexample"/>
      </w:pPr>
      <w:r>
        <w:rPr>
          <w:rStyle w:val="htmlcodes"/>
        </w:rPr>
        <w:t>&lt;/pre&gt;</w:t>
      </w:r>
      <w:r>
        <w:t>“I promise, X”; indicates a promise to the listener. In some contexts,</w:t>
      </w:r>
      <w:r>
        <w:rPr>
          <w:rStyle w:val="deletedparamark"/>
        </w:rPr>
        <w:t xml:space="preserve"> “</w:t>
      </w:r>
      <w:r>
        <w:t>nu'e” may be pr</w:t>
      </w:r>
      <w:r>
        <w:t>e</w:t>
      </w:r>
      <w:r>
        <w:softHyphen/>
        <w:t>fixed to an oath or other formal declaration.</w:t>
      </w:r>
    </w:p>
    <w:p w:rsidR="00B72047" w:rsidRDefault="00B72047">
      <w:pPr>
        <w:rPr>
          <w:rStyle w:val="htmlparacode"/>
        </w:rPr>
      </w:pPr>
      <w:r>
        <w:rPr>
          <w:rStyle w:val="htmlparacode"/>
        </w:rPr>
        <w:t>&lt;p&gt;</w:t>
      </w:r>
    </w:p>
    <w:p w:rsidR="00B72047" w:rsidRDefault="00B72047">
      <w:pPr>
        <w:pStyle w:val="examplewtabspre"/>
      </w:pPr>
      <w:r>
        <w:rPr>
          <w:rStyle w:val="indexentry"/>
        </w:rPr>
        <w:t>&lt;lx "ta'e"&gt;</w:t>
      </w:r>
      <w:r>
        <w:rPr>
          <w:rStyle w:val="indexentry"/>
        </w:rPr>
        <w:fldChar w:fldCharType="begin"/>
      </w:r>
      <w:r>
        <w:instrText>xe "</w:instrText>
      </w:r>
      <w:r>
        <w:rPr>
          <w:rStyle w:val="xeentry"/>
        </w:rPr>
        <w:instrText>ta'e</w:instrText>
      </w:r>
      <w:r>
        <w:instrText>"</w:instrText>
      </w:r>
      <w:r>
        <w:rPr>
          <w:rStyle w:val="indexentry"/>
        </w:rPr>
        <w:fldChar w:fldCharType="end"/>
      </w:r>
      <w:r>
        <w:rPr>
          <w:rStyle w:val="htmlcodes"/>
        </w:rPr>
        <w:t>&lt;pre&gt;</w:t>
      </w:r>
      <w:r>
        <w:t>ta'a</w:t>
      </w:r>
      <w:r>
        <w:tab/>
        <w:t>[tavla]</w:t>
      </w:r>
      <w:r>
        <w:tab/>
        <w:t>interruption</w:t>
      </w:r>
    </w:p>
    <w:p w:rsidR="00B72047" w:rsidRDefault="00B72047">
      <w:pPr>
        <w:pStyle w:val="resumedafterexample"/>
      </w:pPr>
      <w:r>
        <w:rPr>
          <w:rStyle w:val="htmlcodes"/>
        </w:rPr>
        <w:t>&lt;/pre&gt;</w:t>
      </w:r>
      <w:r>
        <w:t>“I interrupt, X”, “I desire the floor, X”; a vocative expression to</w:t>
      </w:r>
      <w:r>
        <w:rPr>
          <w:rStyle w:val="deletedparamark"/>
        </w:rPr>
        <w:t xml:space="preserve"> </w:t>
      </w:r>
      <w:r>
        <w:t>(possibly) interrupt and claim the floor to make a statement or</w:t>
      </w:r>
      <w:r>
        <w:rPr>
          <w:rStyle w:val="deletedparamark"/>
        </w:rPr>
        <w:t xml:space="preserve"> </w:t>
      </w:r>
      <w:r>
        <w:t>ex</w:t>
      </w:r>
      <w:r>
        <w:softHyphen/>
        <w:t>pression. This can be used for both rude and po</w:t>
      </w:r>
      <w:r>
        <w:softHyphen/>
        <w:t>lite interruptions,</w:t>
      </w:r>
      <w:r>
        <w:rPr>
          <w:rStyle w:val="deletedparamark"/>
        </w:rPr>
        <w:t xml:space="preserve"> </w:t>
      </w:r>
      <w:r>
        <w:t>al</w:t>
      </w:r>
      <w:r>
        <w:softHyphen/>
        <w:t>though rude interruptions will probably tend not to use a</w:t>
      </w:r>
      <w:r>
        <w:rPr>
          <w:rStyle w:val="deletedparamark"/>
        </w:rPr>
        <w:t xml:space="preserve"> </w:t>
      </w:r>
      <w:r>
        <w:t>vocative at all. An appropriate response to an interruption might</w:t>
      </w:r>
      <w:r>
        <w:rPr>
          <w:rStyle w:val="deletedparamark"/>
        </w:rPr>
        <w:t xml:space="preserve"> </w:t>
      </w:r>
      <w:r>
        <w:t>be “re'i” (or “re'inai” to ignore the interruption).</w:t>
      </w:r>
    </w:p>
    <w:p w:rsidR="00B72047" w:rsidRDefault="00B72047">
      <w:pPr>
        <w:rPr>
          <w:rStyle w:val="htmlparacode"/>
        </w:rPr>
      </w:pPr>
      <w:r>
        <w:rPr>
          <w:rStyle w:val="htmlparacode"/>
        </w:rPr>
        <w:t>&lt;p&gt;</w:t>
      </w:r>
    </w:p>
    <w:p w:rsidR="00B72047" w:rsidRDefault="00B72047">
      <w:pPr>
        <w:pStyle w:val="examplewtabspre"/>
      </w:pPr>
      <w:r>
        <w:rPr>
          <w:rStyle w:val="indexentry"/>
        </w:rPr>
        <w:t>&lt;lx "pe'u"&gt;</w:t>
      </w:r>
      <w:r>
        <w:rPr>
          <w:rStyle w:val="indexentry"/>
        </w:rPr>
        <w:fldChar w:fldCharType="begin"/>
      </w:r>
      <w:r>
        <w:instrText>xe "</w:instrText>
      </w:r>
      <w:r>
        <w:rPr>
          <w:rStyle w:val="xeentry"/>
        </w:rPr>
        <w:instrText>pe'u</w:instrText>
      </w:r>
      <w:r>
        <w:instrText>"</w:instrText>
      </w:r>
      <w:r>
        <w:rPr>
          <w:rStyle w:val="indexentry"/>
        </w:rPr>
        <w:fldChar w:fldCharType="end"/>
      </w:r>
      <w:r>
        <w:rPr>
          <w:rStyle w:val="htmlcodes"/>
        </w:rPr>
        <w:t>&lt;pre&gt;</w:t>
      </w:r>
      <w:r>
        <w:t>pe'u</w:t>
      </w:r>
      <w:r>
        <w:tab/>
        <w:t>[cpedu]</w:t>
      </w:r>
      <w:r>
        <w:tab/>
        <w:t>request</w:t>
      </w:r>
    </w:p>
    <w:p w:rsidR="00B72047" w:rsidRDefault="00B72047">
      <w:pPr>
        <w:pStyle w:val="resumedafterexample"/>
      </w:pPr>
      <w:r>
        <w:rPr>
          <w:rStyle w:val="htmlcodes"/>
        </w:rPr>
        <w:t>&lt;/pre&gt;</w:t>
      </w:r>
      <w:r>
        <w:rPr>
          <w:rStyle w:val="indexentry"/>
        </w:rPr>
        <w:t>&lt;cx "pe'u, contrasted with e'o"&gt;</w:t>
      </w:r>
      <w:r>
        <w:rPr>
          <w:rStyle w:val="indexentry"/>
        </w:rPr>
        <w:fldChar w:fldCharType="begin"/>
      </w:r>
      <w:r>
        <w:instrText>xe "</w:instrText>
      </w:r>
      <w:r>
        <w:rPr>
          <w:rStyle w:val="xeentry"/>
        </w:rPr>
        <w:instrText>pe'u: contrasted with e'o</w:instrText>
      </w:r>
      <w:r>
        <w:instrText>"</w:instrText>
      </w:r>
      <w:r>
        <w:rPr>
          <w:rStyle w:val="indexentry"/>
        </w:rPr>
        <w:fldChar w:fldCharType="end"/>
      </w:r>
      <w:r>
        <w:rPr>
          <w:rStyle w:val="indexentry"/>
        </w:rPr>
        <w:t>&lt;cx "e'o, contrasted with pe'u"&gt;</w:t>
      </w:r>
      <w:r>
        <w:rPr>
          <w:rStyle w:val="indexentry"/>
        </w:rPr>
        <w:fldChar w:fldCharType="begin"/>
      </w:r>
      <w:r>
        <w:instrText>xe "</w:instrText>
      </w:r>
      <w:r>
        <w:rPr>
          <w:rStyle w:val="xeentry"/>
        </w:rPr>
        <w:instrText>e'o: contrasted with pe'u</w:instrText>
      </w:r>
      <w:r>
        <w:instrText>"</w:instrText>
      </w:r>
      <w:r>
        <w:rPr>
          <w:rStyle w:val="indexentry"/>
        </w:rPr>
        <w:fldChar w:fldCharType="end"/>
      </w:r>
      <w:r>
        <w:rPr>
          <w:rStyle w:val="indexentry"/>
        </w:rPr>
        <w:t>“</w:t>
      </w:r>
      <w:r>
        <w:t>“Please, X”; indicates a request to the listener. It is a formal,</w:t>
      </w:r>
      <w:r>
        <w:rPr>
          <w:rStyle w:val="deletedparamark"/>
        </w:rPr>
        <w:t xml:space="preserve"> </w:t>
      </w:r>
      <w:r>
        <w:t>non-atti</w:t>
      </w:r>
      <w:r>
        <w:softHyphen/>
        <w:t>tudinal, equivalent of “.e'o” with a specific recipient being</w:t>
      </w:r>
      <w:r>
        <w:rPr>
          <w:rStyle w:val="deletedparamark"/>
        </w:rPr>
        <w:t xml:space="preserve"> </w:t>
      </w:r>
      <w:r>
        <w:t>addressed. On the other hand, “.e'o” may be used when there is no</w:t>
      </w:r>
      <w:r>
        <w:rPr>
          <w:rStyle w:val="deletedparamark"/>
        </w:rPr>
        <w:t xml:space="preserve"> </w:t>
      </w:r>
      <w:r>
        <w:t>specific lis</w:t>
      </w:r>
      <w:r>
        <w:softHyphen/>
        <w:t>tener, but merely a “sense of petition floating in the air”,</w:t>
      </w:r>
      <w:r>
        <w:rPr>
          <w:rStyle w:val="deletedparamark"/>
        </w:rPr>
        <w:t xml:space="preserve"> </w:t>
      </w:r>
      <w:r>
        <w:t>as it were.</w:t>
      </w:r>
    </w:p>
    <w:p w:rsidR="00B72047" w:rsidRDefault="00B72047">
      <w:pPr>
        <w:rPr>
          <w:rStyle w:val="htmlparacode"/>
        </w:rPr>
      </w:pPr>
      <w:r>
        <w:rPr>
          <w:rStyle w:val="htmlparacode"/>
        </w:rPr>
        <w:t>&lt;p&gt;</w:t>
      </w:r>
    </w:p>
    <w:p w:rsidR="00B72047" w:rsidRDefault="00B72047">
      <w:pPr>
        <w:pStyle w:val="examplewtabspre"/>
      </w:pPr>
      <w:r>
        <w:rPr>
          <w:rStyle w:val="indexentry"/>
        </w:rPr>
        <w:t>&lt;lx "ki'e"&gt;</w:t>
      </w:r>
      <w:r>
        <w:rPr>
          <w:rStyle w:val="indexentry"/>
        </w:rPr>
        <w:fldChar w:fldCharType="begin"/>
      </w:r>
      <w:r>
        <w:instrText>xe "</w:instrText>
      </w:r>
      <w:r>
        <w:rPr>
          <w:rStyle w:val="xeentry"/>
        </w:rPr>
        <w:instrText>ki'e</w:instrText>
      </w:r>
      <w:r>
        <w:instrText>"</w:instrText>
      </w:r>
      <w:r>
        <w:rPr>
          <w:rStyle w:val="indexentry"/>
        </w:rPr>
        <w:fldChar w:fldCharType="end"/>
      </w:r>
      <w:r>
        <w:rPr>
          <w:rStyle w:val="htmlcodes"/>
        </w:rPr>
        <w:t>&lt;pre&gt;</w:t>
      </w:r>
      <w:r>
        <w:t>ki'e</w:t>
      </w:r>
      <w:r>
        <w:tab/>
        <w:t>[ckire]</w:t>
      </w:r>
      <w:r>
        <w:tab/>
        <w:t>appreciation</w:t>
      </w:r>
      <w:r>
        <w:tab/>
      </w:r>
      <w:r>
        <w:tab/>
        <w:t>disappreciation</w:t>
      </w:r>
    </w:p>
    <w:p w:rsidR="00B72047" w:rsidRDefault="00B72047">
      <w:pPr>
        <w:pStyle w:val="exampwidetabs"/>
      </w:pPr>
      <w:r>
        <w:tab/>
      </w:r>
      <w:r>
        <w:tab/>
        <w:t>gratitude</w:t>
      </w:r>
      <w:r>
        <w:tab/>
      </w:r>
      <w:r>
        <w:tab/>
        <w:t>ingratitude</w:t>
      </w:r>
    </w:p>
    <w:p w:rsidR="00B72047" w:rsidRDefault="00B72047">
      <w:pPr>
        <w:pStyle w:val="resumedafterexample"/>
      </w:pPr>
      <w:r>
        <w:rPr>
          <w:rStyle w:val="htmlcodes"/>
        </w:rPr>
        <w:t>&lt;/pre&gt;</w:t>
      </w:r>
      <w:r>
        <w:rPr>
          <w:rStyle w:val="indexentry"/>
        </w:rPr>
        <w:t>&lt;ex "thank you"&gt;</w:t>
      </w:r>
      <w:r>
        <w:rPr>
          <w:rStyle w:val="indexentry"/>
        </w:rPr>
        <w:fldChar w:fldCharType="begin"/>
      </w:r>
      <w:r>
        <w:instrText>xe "</w:instrText>
      </w:r>
      <w:r>
        <w:rPr>
          <w:rStyle w:val="xeentry"/>
        </w:rPr>
        <w:instrText>thank you: example</w:instrText>
      </w:r>
      <w:r>
        <w:instrText>"</w:instrText>
      </w:r>
      <w:r>
        <w:rPr>
          <w:rStyle w:val="indexentry"/>
        </w:rPr>
        <w:fldChar w:fldCharType="end"/>
      </w:r>
      <w:r>
        <w:rPr>
          <w:rStyle w:val="indexentry"/>
        </w:rPr>
        <w:t>&lt;cx "politeness, thank you and you're welcome"&gt;</w:t>
      </w:r>
      <w:r>
        <w:rPr>
          <w:rStyle w:val="indexentry"/>
        </w:rPr>
        <w:fldChar w:fldCharType="begin"/>
      </w:r>
      <w:r>
        <w:instrText>xe "</w:instrText>
      </w:r>
      <w:r>
        <w:rPr>
          <w:rStyle w:val="xeentry"/>
        </w:rPr>
        <w:instrText>politeness: thank you and you're welcome</w:instrText>
      </w:r>
      <w:r>
        <w:instrText>"</w:instrText>
      </w:r>
      <w:r>
        <w:rPr>
          <w:rStyle w:val="indexentry"/>
        </w:rPr>
        <w:fldChar w:fldCharType="end"/>
      </w:r>
      <w:r>
        <w:rPr>
          <w:rStyle w:val="indexentry"/>
        </w:rPr>
        <w:t>&lt;cx "politeness, you're welcome"&gt;</w:t>
      </w:r>
      <w:r>
        <w:rPr>
          <w:rStyle w:val="indexentry"/>
        </w:rPr>
        <w:fldChar w:fldCharType="begin"/>
      </w:r>
      <w:r>
        <w:instrText>xe "</w:instrText>
      </w:r>
      <w:r>
        <w:rPr>
          <w:rStyle w:val="xeentry"/>
        </w:rPr>
        <w:instrText>politeness: you're welcome</w:instrText>
      </w:r>
      <w:r>
        <w:instrText>"</w:instrText>
      </w:r>
      <w:r>
        <w:rPr>
          <w:rStyle w:val="indexentry"/>
        </w:rPr>
        <w:fldChar w:fldCharType="end"/>
      </w:r>
      <w:r>
        <w:rPr>
          <w:rStyle w:val="indexentry"/>
        </w:rPr>
        <w:t>&lt;lx "je'e"&gt;</w:t>
      </w:r>
      <w:r>
        <w:rPr>
          <w:rStyle w:val="indexentry"/>
        </w:rPr>
        <w:fldChar w:fldCharType="begin"/>
      </w:r>
      <w:r>
        <w:instrText>xe "</w:instrText>
      </w:r>
      <w:r>
        <w:rPr>
          <w:rStyle w:val="xeentry"/>
        </w:rPr>
        <w:instrText>je'e</w:instrText>
      </w:r>
      <w:r>
        <w:instrText>"</w:instrText>
      </w:r>
      <w:r>
        <w:rPr>
          <w:rStyle w:val="indexentry"/>
        </w:rPr>
        <w:fldChar w:fldCharType="end"/>
      </w:r>
      <w:r>
        <w:rPr>
          <w:rStyle w:val="indexentry"/>
        </w:rPr>
        <w:t>&lt;lx "fi'i"&gt;</w:t>
      </w:r>
      <w:r>
        <w:rPr>
          <w:rStyle w:val="indexentry"/>
        </w:rPr>
        <w:fldChar w:fldCharType="begin"/>
      </w:r>
      <w:r>
        <w:instrText>xe "</w:instrText>
      </w:r>
      <w:r>
        <w:rPr>
          <w:rStyle w:val="xeentry"/>
        </w:rPr>
        <w:instrText>fi'i</w:instrText>
      </w:r>
      <w:r>
        <w:instrText>"</w:instrText>
      </w:r>
      <w:r>
        <w:rPr>
          <w:rStyle w:val="indexentry"/>
        </w:rPr>
        <w:fldChar w:fldCharType="end"/>
      </w:r>
      <w:r>
        <w:rPr>
          <w:rStyle w:val="indexentry"/>
        </w:rPr>
        <w:t>“</w:t>
      </w:r>
      <w:r>
        <w:t>“Thank you, X”; indicates appreciation or gratitude toward the listener.</w:t>
      </w:r>
      <w:r>
        <w:rPr>
          <w:rStyle w:val="deletedparamark"/>
        </w:rPr>
        <w:t xml:space="preserve"> </w:t>
      </w:r>
      <w:r>
        <w:t>The usual re</w:t>
      </w:r>
      <w:r>
        <w:softHyphen/>
        <w:t>sponse is “je'e”, but “fi'i” is appropriate on rare occasions:</w:t>
      </w:r>
      <w:r>
        <w:rPr>
          <w:rStyle w:val="deletedparamark"/>
        </w:rPr>
        <w:t xml:space="preserve"> </w:t>
      </w:r>
      <w:r>
        <w:t>see the explanation of “fi'i”.</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fi'i</w:t>
      </w:r>
      <w:r>
        <w:tab/>
        <w:t>[friti]</w:t>
      </w:r>
      <w:r>
        <w:tab/>
        <w:t>welcome,</w:t>
      </w:r>
      <w:r>
        <w:tab/>
      </w:r>
      <w:r>
        <w:tab/>
        <w:t>unwelcome,</w:t>
      </w:r>
    </w:p>
    <w:p w:rsidR="00B72047" w:rsidRDefault="00B72047">
      <w:pPr>
        <w:pStyle w:val="exampwidetabs"/>
      </w:pPr>
      <w:r>
        <w:tab/>
      </w:r>
      <w:r>
        <w:tab/>
        <w:t>offering</w:t>
      </w:r>
      <w:r>
        <w:tab/>
      </w:r>
      <w:r>
        <w:tab/>
        <w:t>inhospitality</w:t>
      </w:r>
    </w:p>
    <w:p w:rsidR="00B72047" w:rsidRDefault="00B72047">
      <w:pPr>
        <w:pStyle w:val="resumedafterexample"/>
      </w:pPr>
      <w:r>
        <w:rPr>
          <w:rStyle w:val="htmlcodes"/>
        </w:rPr>
        <w:t>&lt;/pre&gt;</w:t>
      </w:r>
      <w:r>
        <w:rPr>
          <w:rStyle w:val="indexentry"/>
        </w:rPr>
        <w:t>&lt;lx "fi'i"&gt;</w:t>
      </w:r>
      <w:r>
        <w:rPr>
          <w:rStyle w:val="indexentry"/>
        </w:rPr>
        <w:fldChar w:fldCharType="begin"/>
      </w:r>
      <w:r>
        <w:instrText>xe "</w:instrText>
      </w:r>
      <w:r>
        <w:rPr>
          <w:rStyle w:val="xeentry"/>
        </w:rPr>
        <w:instrText>fi'i</w:instrText>
      </w:r>
      <w:r>
        <w:instrText>"</w:instrText>
      </w:r>
      <w:r>
        <w:rPr>
          <w:rStyle w:val="indexentry"/>
        </w:rPr>
        <w:fldChar w:fldCharType="end"/>
      </w:r>
      <w:r>
        <w:rPr>
          <w:rStyle w:val="indexentry"/>
        </w:rPr>
        <w:t>&lt;cx "you're welcome, fi'i contrasted with je'e"&gt;</w:t>
      </w:r>
      <w:r>
        <w:rPr>
          <w:rStyle w:val="indexentry"/>
        </w:rPr>
        <w:fldChar w:fldCharType="begin"/>
      </w:r>
      <w:r>
        <w:instrText>xe "</w:instrText>
      </w:r>
      <w:r>
        <w:rPr>
          <w:rStyle w:val="xeentry"/>
        </w:rPr>
        <w:instrText>you're welcome: fi'i contrasted with je'e</w:instrText>
      </w:r>
      <w:r>
        <w:instrText>"</w:instrText>
      </w:r>
      <w:r>
        <w:rPr>
          <w:rStyle w:val="indexentry"/>
        </w:rPr>
        <w:fldChar w:fldCharType="end"/>
      </w:r>
      <w:r>
        <w:rPr>
          <w:rStyle w:val="indexentry"/>
        </w:rPr>
        <w:t>&lt;cx "you're welcome, je'e contrasted with fi'i"&gt;</w:t>
      </w:r>
      <w:r>
        <w:rPr>
          <w:rStyle w:val="indexentry"/>
        </w:rPr>
        <w:fldChar w:fldCharType="begin"/>
      </w:r>
      <w:r>
        <w:instrText>xe "</w:instrText>
      </w:r>
      <w:r>
        <w:rPr>
          <w:rStyle w:val="xeentry"/>
        </w:rPr>
        <w:instrText>you're welcome: je'e contrasted with fi'i</w:instrText>
      </w:r>
      <w:r>
        <w:instrText>"</w:instrText>
      </w:r>
      <w:r>
        <w:rPr>
          <w:rStyle w:val="indexentry"/>
        </w:rPr>
        <w:fldChar w:fldCharType="end"/>
      </w:r>
      <w:r>
        <w:rPr>
          <w:rStyle w:val="indexentry"/>
        </w:rPr>
        <w:t>&lt;ex "hospitality"&gt;</w:t>
      </w:r>
      <w:r>
        <w:rPr>
          <w:rStyle w:val="indexentry"/>
        </w:rPr>
        <w:fldChar w:fldCharType="begin"/>
      </w:r>
      <w:r>
        <w:instrText>xe "</w:instrText>
      </w:r>
      <w:r>
        <w:rPr>
          <w:rStyle w:val="xeentry"/>
        </w:rPr>
        <w:instrText>hospitality: example</w:instrText>
      </w:r>
      <w:r>
        <w:instrText>"</w:instrText>
      </w:r>
      <w:r>
        <w:rPr>
          <w:rStyle w:val="indexentry"/>
        </w:rPr>
        <w:fldChar w:fldCharType="end"/>
      </w:r>
      <w:r>
        <w:rPr>
          <w:rStyle w:val="indexentry"/>
        </w:rPr>
        <w:t>“</w:t>
      </w:r>
      <w:r>
        <w:t>“At your service, X”; “Make yourself at home, X”; offers</w:t>
      </w:r>
      <w:r>
        <w:rPr>
          <w:rStyle w:val="deletedparamark"/>
        </w:rPr>
        <w:t xml:space="preserve"> </w:t>
      </w:r>
      <w:r>
        <w:t>hospitality (possibly in re</w:t>
      </w:r>
      <w:r>
        <w:softHyphen/>
        <w:t>sponse to thanks, but not necessarily) to the</w:t>
      </w:r>
      <w:r>
        <w:rPr>
          <w:rStyle w:val="deletedparamark"/>
        </w:rPr>
        <w:t xml:space="preserve"> </w:t>
      </w:r>
      <w:r>
        <w:t xml:space="preserve">listener. Note that “fi'i” is </w:t>
      </w:r>
      <w:r>
        <w:rPr>
          <w:i/>
          <w:iCs/>
        </w:rPr>
        <w:t>not</w:t>
      </w:r>
      <w:r>
        <w:t xml:space="preserve"> the equiva</w:t>
      </w:r>
      <w:r>
        <w:softHyphen/>
        <w:t>lent of American English</w:t>
      </w:r>
      <w:r>
        <w:rPr>
          <w:rStyle w:val="deletedparamark"/>
        </w:rPr>
        <w:t xml:space="preserve"> “</w:t>
      </w:r>
      <w:r>
        <w:t>You're wel</w:t>
      </w:r>
      <w:r>
        <w:softHyphen/>
        <w:t>come” as a mechanical response to “Thank you”; that is “je'e”,</w:t>
      </w:r>
      <w:r>
        <w:rPr>
          <w:rStyle w:val="deletedparamark"/>
        </w:rPr>
        <w:t xml:space="preserve"> </w:t>
      </w:r>
      <w:r>
        <w:t>as noted below.</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be'e</w:t>
      </w:r>
      <w:r>
        <w:tab/>
        <w:t>[benji]</w:t>
      </w:r>
      <w:r>
        <w:tab/>
        <w:t>request to send</w:t>
      </w:r>
    </w:p>
    <w:p w:rsidR="00B72047" w:rsidRDefault="00B72047">
      <w:pPr>
        <w:pStyle w:val="resumedafterexample"/>
      </w:pPr>
      <w:r>
        <w:rPr>
          <w:rStyle w:val="htmlcodes"/>
        </w:rPr>
        <w:t>&lt;/pre&gt;</w:t>
      </w:r>
      <w:r>
        <w:rPr>
          <w:rStyle w:val="indexentry"/>
        </w:rPr>
        <w:t>&lt;lx "be'e"&gt;</w:t>
      </w:r>
      <w:r>
        <w:rPr>
          <w:rStyle w:val="indexentry"/>
        </w:rPr>
        <w:fldChar w:fldCharType="begin"/>
      </w:r>
      <w:r>
        <w:instrText>xe "</w:instrText>
      </w:r>
      <w:r>
        <w:rPr>
          <w:rStyle w:val="xeentry"/>
        </w:rPr>
        <w:instrText>be'e</w:instrText>
      </w:r>
      <w:r>
        <w:instrText>"</w:instrText>
      </w:r>
      <w:r>
        <w:rPr>
          <w:rStyle w:val="indexentry"/>
        </w:rPr>
        <w:fldChar w:fldCharType="end"/>
      </w:r>
      <w:r>
        <w:rPr>
          <w:rStyle w:val="indexentry"/>
        </w:rPr>
        <w:t>&lt;cx "telephone conversation, hello"&gt;</w:t>
      </w:r>
      <w:r>
        <w:rPr>
          <w:rStyle w:val="indexentry"/>
        </w:rPr>
        <w:fldChar w:fldCharType="begin"/>
      </w:r>
      <w:r>
        <w:instrText>xe "</w:instrText>
      </w:r>
      <w:r>
        <w:rPr>
          <w:rStyle w:val="xeentry"/>
        </w:rPr>
        <w:instrText>telephone conversation: hello</w:instrText>
      </w:r>
      <w:r>
        <w:instrText>"</w:instrText>
      </w:r>
      <w:r>
        <w:rPr>
          <w:rStyle w:val="indexentry"/>
        </w:rPr>
        <w:fldChar w:fldCharType="end"/>
      </w:r>
      <w:r>
        <w:rPr>
          <w:rStyle w:val="indexentry"/>
        </w:rPr>
        <w:t>“</w:t>
      </w:r>
      <w:r>
        <w:t>“Request to send to X”; indicates that the speaker wishes to express</w:t>
      </w:r>
      <w:r>
        <w:rPr>
          <w:rStyle w:val="deletedparamark"/>
        </w:rPr>
        <w:t xml:space="preserve"> </w:t>
      </w:r>
      <w:r>
        <w:t>something, and wishes to ensure that the listener is listening. In a</w:t>
      </w:r>
      <w:r>
        <w:rPr>
          <w:rStyle w:val="deletedparamark"/>
        </w:rPr>
        <w:t xml:space="preserve"> </w:t>
      </w:r>
      <w:r>
        <w:t>telephone conversation, can be used to request the desired</w:t>
      </w:r>
      <w:r>
        <w:rPr>
          <w:rStyle w:val="deletedparamark"/>
        </w:rPr>
        <w:t xml:space="preserve"> </w:t>
      </w:r>
      <w:r>
        <w:t>conver</w:t>
      </w:r>
      <w:r>
        <w:softHyphen/>
        <w:t>sant(s). A more colloquial equivalent is “Hello? Can I speak to X?”.</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re'i</w:t>
      </w:r>
      <w:r>
        <w:tab/>
        <w:t>[bredi]</w:t>
      </w:r>
      <w:r>
        <w:tab/>
        <w:t>ready to receive</w:t>
      </w:r>
      <w:r>
        <w:tab/>
      </w:r>
      <w:r>
        <w:tab/>
        <w:t>not ready</w:t>
      </w:r>
    </w:p>
    <w:p w:rsidR="00B72047" w:rsidRDefault="00B72047">
      <w:pPr>
        <w:pStyle w:val="resumedafterexample"/>
      </w:pPr>
      <w:r>
        <w:rPr>
          <w:rStyle w:val="htmlcodes"/>
        </w:rPr>
        <w:t>&lt;/pre&gt;</w:t>
      </w:r>
      <w:r>
        <w:rPr>
          <w:rStyle w:val="indexentry"/>
        </w:rPr>
        <w:t>&lt;lx "re'i"&gt;</w:t>
      </w:r>
      <w:r>
        <w:rPr>
          <w:rStyle w:val="indexentry"/>
        </w:rPr>
        <w:fldChar w:fldCharType="begin"/>
      </w:r>
      <w:r>
        <w:instrText>xe "</w:instrText>
      </w:r>
      <w:r>
        <w:rPr>
          <w:rStyle w:val="xeentry"/>
        </w:rPr>
        <w:instrText>re'i</w:instrText>
      </w:r>
      <w:r>
        <w:instrText>"</w:instrText>
      </w:r>
      <w:r>
        <w:rPr>
          <w:rStyle w:val="indexentry"/>
        </w:rPr>
        <w:fldChar w:fldCharType="end"/>
      </w:r>
      <w:r>
        <w:rPr>
          <w:rStyle w:val="indexentry"/>
        </w:rPr>
        <w:t>“</w:t>
      </w:r>
      <w:r>
        <w:t>“Ready to receive, X”; indicates that the speaker is attentive and</w:t>
      </w:r>
      <w:r>
        <w:rPr>
          <w:rStyle w:val="deletedparamark"/>
        </w:rPr>
        <w:t xml:space="preserve"> </w:t>
      </w:r>
      <w:r>
        <w:t>awaiting communica</w:t>
      </w:r>
      <w:r>
        <w:softHyphen/>
        <w:t>tion from the listener. It can be used instead of “mi'e”</w:t>
      </w:r>
      <w:r>
        <w:rPr>
          <w:rStyle w:val="deletedparamark"/>
        </w:rPr>
        <w:t xml:space="preserve"> </w:t>
      </w:r>
      <w:r>
        <w:t>to respond when called to the telephone. The negative form can be used</w:t>
      </w:r>
      <w:r>
        <w:rPr>
          <w:rStyle w:val="deletedparamark"/>
        </w:rPr>
        <w:t xml:space="preserve"> </w:t>
      </w:r>
      <w:r>
        <w:t>to prevent the listener from continuing to talk when the speaker is unable</w:t>
      </w:r>
      <w:r>
        <w:rPr>
          <w:rStyle w:val="deletedparamark"/>
        </w:rPr>
        <w:t xml:space="preserve"> </w:t>
      </w:r>
      <w:r>
        <w:t>to pay attention: it can be translated “Hold on!” or “Just a minute”.</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mu'o</w:t>
      </w:r>
      <w:r>
        <w:tab/>
        <w:t>[mulno]</w:t>
      </w:r>
      <w:r>
        <w:tab/>
        <w:t>completion of utterance</w:t>
      </w:r>
      <w:r>
        <w:tab/>
        <w:t>more to follow</w:t>
      </w:r>
    </w:p>
    <w:p w:rsidR="00B72047" w:rsidRDefault="00B72047">
      <w:pPr>
        <w:pStyle w:val="resumedafterexample"/>
      </w:pPr>
      <w:r>
        <w:rPr>
          <w:rStyle w:val="htmlcodes"/>
        </w:rPr>
        <w:t>&lt;/pre&gt;</w:t>
      </w:r>
      <w:r>
        <w:rPr>
          <w:rStyle w:val="indexentry"/>
        </w:rPr>
        <w:t>&lt;lx "mu'o"&gt;</w:t>
      </w:r>
      <w:r>
        <w:rPr>
          <w:rStyle w:val="indexentry"/>
        </w:rPr>
        <w:fldChar w:fldCharType="begin"/>
      </w:r>
      <w:r>
        <w:instrText>xe "</w:instrText>
      </w:r>
      <w:r>
        <w:rPr>
          <w:rStyle w:val="xeentry"/>
        </w:rPr>
        <w:instrText>mu'o</w:instrText>
      </w:r>
      <w:r>
        <w:instrText>"</w:instrText>
      </w:r>
      <w:r>
        <w:rPr>
          <w:rStyle w:val="indexentry"/>
        </w:rPr>
        <w:fldChar w:fldCharType="end"/>
      </w:r>
      <w:r>
        <w:rPr>
          <w:rStyle w:val="indexentry"/>
        </w:rPr>
        <w:t>“</w:t>
      </w:r>
      <w:r>
        <w:t>“Over, X”; indicates that the speaker has completed the current utter</w:t>
      </w:r>
      <w:r>
        <w:softHyphen/>
        <w:t>ance</w:t>
      </w:r>
      <w:r>
        <w:rPr>
          <w:rStyle w:val="deletedparamark"/>
        </w:rPr>
        <w:t xml:space="preserve"> </w:t>
      </w:r>
      <w:r>
        <w:t>and is ready to hear a response from the listener. The negative form</w:t>
      </w:r>
      <w:r>
        <w:rPr>
          <w:rStyle w:val="deletedparamark"/>
        </w:rPr>
        <w:t xml:space="preserve"> </w:t>
      </w:r>
      <w:r>
        <w:t>signals that the pause or non-lin</w:t>
      </w:r>
      <w:r>
        <w:softHyphen/>
        <w:t>guistic sound which follows does not</w:t>
      </w:r>
      <w:r>
        <w:rPr>
          <w:rStyle w:val="deletedparamark"/>
        </w:rPr>
        <w:t xml:space="preserve"> </w:t>
      </w:r>
      <w:r>
        <w:t>represent the end of the current utterance: more colloquially, “I'm not</w:t>
      </w:r>
      <w:r>
        <w:rPr>
          <w:rStyle w:val="deletedparamark"/>
        </w:rPr>
        <w:t xml:space="preserve"> </w:t>
      </w:r>
      <w:r>
        <w:t>done talking!”</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je'e</w:t>
      </w:r>
      <w:r>
        <w:tab/>
        <w:t>[jimpe]</w:t>
      </w:r>
      <w:r>
        <w:tab/>
        <w:t>successful receipt</w:t>
      </w:r>
      <w:r>
        <w:tab/>
      </w:r>
      <w:r>
        <w:tab/>
        <w:t>unsuccessful receipt</w:t>
      </w:r>
    </w:p>
    <w:p w:rsidR="00B72047" w:rsidRDefault="00B72047">
      <w:pPr>
        <w:pStyle w:val="resumedafterexample"/>
      </w:pPr>
      <w:r>
        <w:rPr>
          <w:rStyle w:val="htmlcodes"/>
        </w:rPr>
        <w:t>&lt;/pre&gt;</w:t>
      </w:r>
      <w:r>
        <w:rPr>
          <w:rStyle w:val="indexentry"/>
        </w:rPr>
        <w:t>&lt;lx "je'e"&gt;</w:t>
      </w:r>
      <w:r>
        <w:rPr>
          <w:rStyle w:val="indexentry"/>
        </w:rPr>
        <w:fldChar w:fldCharType="begin"/>
      </w:r>
      <w:r>
        <w:instrText>xe "</w:instrText>
      </w:r>
      <w:r>
        <w:rPr>
          <w:rStyle w:val="xeentry"/>
        </w:rPr>
        <w:instrText>je'e</w:instrText>
      </w:r>
      <w:r>
        <w:instrText>"</w:instrText>
      </w:r>
      <w:r>
        <w:rPr>
          <w:rStyle w:val="indexentry"/>
        </w:rPr>
        <w:fldChar w:fldCharType="end"/>
      </w:r>
      <w:r>
        <w:rPr>
          <w:rStyle w:val="indexentry"/>
        </w:rPr>
        <w:t>&lt;ex "roger"&gt;</w:t>
      </w:r>
      <w:r>
        <w:rPr>
          <w:rStyle w:val="indexentry"/>
        </w:rPr>
        <w:fldChar w:fldCharType="begin"/>
      </w:r>
      <w:r>
        <w:instrText>xe "</w:instrText>
      </w:r>
      <w:r>
        <w:rPr>
          <w:rStyle w:val="xeentry"/>
        </w:rPr>
        <w:instrText>roger: example</w:instrText>
      </w:r>
      <w:r>
        <w:instrText>"</w:instrText>
      </w:r>
      <w:r>
        <w:rPr>
          <w:rStyle w:val="indexentry"/>
        </w:rPr>
        <w:fldChar w:fldCharType="end"/>
      </w:r>
      <w:r>
        <w:rPr>
          <w:rStyle w:val="indexentry"/>
        </w:rPr>
        <w:t>&lt;cx "politeness, you're welcome"&gt;</w:t>
      </w:r>
      <w:r>
        <w:rPr>
          <w:rStyle w:val="indexentry"/>
        </w:rPr>
        <w:fldChar w:fldCharType="begin"/>
      </w:r>
      <w:r>
        <w:instrText>xe "</w:instrText>
      </w:r>
      <w:r>
        <w:rPr>
          <w:rStyle w:val="xeentry"/>
        </w:rPr>
        <w:instrText>politeness: you're welcome</w:instrText>
      </w:r>
      <w:r>
        <w:instrText>"</w:instrText>
      </w:r>
      <w:r>
        <w:rPr>
          <w:rStyle w:val="indexentry"/>
        </w:rPr>
        <w:fldChar w:fldCharType="end"/>
      </w:r>
      <w:r>
        <w:rPr>
          <w:rStyle w:val="indexentry"/>
        </w:rPr>
        <w:t>“</w:t>
      </w:r>
      <w:r>
        <w:t>“Roger, X!”, “I understand”; acknowledges the successful receipt of</w:t>
      </w:r>
      <w:r>
        <w:rPr>
          <w:rStyle w:val="deletedparamark"/>
        </w:rPr>
        <w:t xml:space="preserve"> </w:t>
      </w:r>
      <w:r>
        <w:t>a communication from the listener. The negative form indicates failure to</w:t>
      </w:r>
      <w:r>
        <w:rPr>
          <w:rStyle w:val="deletedparamark"/>
        </w:rPr>
        <w:t xml:space="preserve"> </w:t>
      </w:r>
      <w:r>
        <w:t>receive correctly, and is usually followed by “ke'o”. The colloquial</w:t>
      </w:r>
      <w:r>
        <w:rPr>
          <w:rStyle w:val="deletedparamark"/>
        </w:rPr>
        <w:t xml:space="preserve"> </w:t>
      </w:r>
      <w:r>
        <w:t>English equivalents of “je'e” and “je'enai” are the grunt typically writ</w:t>
      </w:r>
      <w:r>
        <w:softHyphen/>
        <w:t>ten</w:t>
      </w:r>
      <w:r>
        <w:rPr>
          <w:rStyle w:val="deletedparamark"/>
        </w:rPr>
        <w:t xml:space="preserve"> “</w:t>
      </w:r>
      <w:r>
        <w:t>uh-huh” and “What?/Excuse me?”: “je'e” is also used to mean “You're welcome”</w:t>
      </w:r>
      <w:r>
        <w:rPr>
          <w:rStyle w:val="deletedparamark"/>
        </w:rPr>
        <w:t xml:space="preserve"> </w:t>
      </w:r>
      <w:r>
        <w:t>when that is a response to “Thank you”.</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vi'o</w:t>
      </w:r>
      <w:r>
        <w:tab/>
      </w:r>
      <w:r>
        <w:tab/>
        <w:t>will comply</w:t>
      </w:r>
      <w:r>
        <w:tab/>
      </w:r>
      <w:r>
        <w:tab/>
        <w:t>will not comply</w:t>
      </w:r>
    </w:p>
    <w:p w:rsidR="00B72047" w:rsidRDefault="00B72047">
      <w:pPr>
        <w:pStyle w:val="resumedafterexample"/>
      </w:pPr>
      <w:r>
        <w:rPr>
          <w:rStyle w:val="htmlcodes"/>
        </w:rPr>
        <w:t>&lt;/pre&gt;</w:t>
      </w:r>
      <w:r>
        <w:rPr>
          <w:rStyle w:val="indexentry"/>
        </w:rPr>
        <w:t>&lt;lx "vi'o"&gt;</w:t>
      </w:r>
      <w:r>
        <w:rPr>
          <w:rStyle w:val="indexentry"/>
        </w:rPr>
        <w:fldChar w:fldCharType="begin"/>
      </w:r>
      <w:r>
        <w:instrText>xe "</w:instrText>
      </w:r>
      <w:r>
        <w:rPr>
          <w:rStyle w:val="xeentry"/>
        </w:rPr>
        <w:instrText>vi'o</w:instrText>
      </w:r>
      <w:r>
        <w:instrText>"</w:instrText>
      </w:r>
      <w:r>
        <w:rPr>
          <w:rStyle w:val="indexentry"/>
        </w:rPr>
        <w:fldChar w:fldCharType="end"/>
      </w:r>
      <w:r>
        <w:rPr>
          <w:rStyle w:val="indexentry"/>
        </w:rPr>
        <w:t>&lt;cx "je'e, contrasted with vi'o"&gt;</w:t>
      </w:r>
      <w:r>
        <w:rPr>
          <w:rStyle w:val="indexentry"/>
        </w:rPr>
        <w:fldChar w:fldCharType="begin"/>
      </w:r>
      <w:r>
        <w:instrText>xe "</w:instrText>
      </w:r>
      <w:r>
        <w:rPr>
          <w:rStyle w:val="xeentry"/>
        </w:rPr>
        <w:instrText>je'e: contrasted with vi'o</w:instrText>
      </w:r>
      <w:r>
        <w:instrText>"</w:instrText>
      </w:r>
      <w:r>
        <w:rPr>
          <w:rStyle w:val="indexentry"/>
        </w:rPr>
        <w:fldChar w:fldCharType="end"/>
      </w:r>
      <w:r>
        <w:rPr>
          <w:rStyle w:val="indexentry"/>
        </w:rPr>
        <w:t>&lt;cx "vi'o, contrasted with je'e"&gt;</w:t>
      </w:r>
      <w:r>
        <w:rPr>
          <w:rStyle w:val="indexentry"/>
        </w:rPr>
        <w:fldChar w:fldCharType="begin"/>
      </w:r>
      <w:r>
        <w:instrText>xe "</w:instrText>
      </w:r>
      <w:r>
        <w:rPr>
          <w:rStyle w:val="xeentry"/>
        </w:rPr>
        <w:instrText>vi'o: contrasted with je'e</w:instrText>
      </w:r>
      <w:r>
        <w:instrText>"</w:instrText>
      </w:r>
      <w:r>
        <w:rPr>
          <w:rStyle w:val="indexentry"/>
        </w:rPr>
        <w:fldChar w:fldCharType="end"/>
      </w:r>
      <w:r>
        <w:rPr>
          <w:rStyle w:val="indexentry"/>
        </w:rPr>
        <w:t>“</w:t>
      </w:r>
      <w:r>
        <w:t>“Wilco, X”, “I understand and will comply”. Similar to “je'e” but</w:t>
      </w:r>
      <w:r>
        <w:rPr>
          <w:rStyle w:val="deletedparamark"/>
        </w:rPr>
        <w:t xml:space="preserve"> </w:t>
      </w:r>
      <w:r>
        <w:t>signals an intention (similar to “.ai”) to comply with the other speaker's</w:t>
      </w:r>
      <w:r>
        <w:rPr>
          <w:rStyle w:val="deletedparamark"/>
        </w:rPr>
        <w:t xml:space="preserve"> </w:t>
      </w:r>
      <w:r>
        <w:t>re</w:t>
      </w:r>
      <w:r>
        <w:softHyphen/>
        <w:t>quest. This cmavo is the main way of saying “OK” in Lojban, in the usual</w:t>
      </w:r>
      <w:r>
        <w:rPr>
          <w:rStyle w:val="deletedparamark"/>
        </w:rPr>
        <w:t xml:space="preserve"> </w:t>
      </w:r>
      <w:r>
        <w:t>sense of “Agreed!”, although “.ie” carries some of the same meaning.</w:t>
      </w:r>
      <w:r>
        <w:rPr>
          <w:rStyle w:val="deletedparamark"/>
        </w:rPr>
        <w:t xml:space="preserve"> </w:t>
      </w:r>
      <w:r>
        <w:t>The negative form indicates that the message was received but that</w:t>
      </w:r>
      <w:r>
        <w:rPr>
          <w:rStyle w:val="deletedparamark"/>
        </w:rPr>
        <w:t xml:space="preserve"> </w:t>
      </w:r>
      <w:r>
        <w:t>you will not comply: a very colloquial version is “No way!”.</w:t>
      </w:r>
    </w:p>
    <w:p w:rsidR="00B72047" w:rsidRDefault="00B72047">
      <w:pPr>
        <w:pStyle w:val="resumedafterexample"/>
        <w:rPr>
          <w:rStyle w:val="htmlparacode"/>
        </w:rPr>
      </w:pPr>
      <w:r>
        <w:rPr>
          <w:rStyle w:val="htmlparacode"/>
        </w:rPr>
        <w:t>&lt;p&gt;</w:t>
      </w:r>
    </w:p>
    <w:p w:rsidR="00B72047" w:rsidRDefault="00B72047">
      <w:pPr>
        <w:pStyle w:val="examplewtabspre"/>
      </w:pPr>
      <w:r>
        <w:rPr>
          <w:rStyle w:val="htmlcodes"/>
        </w:rPr>
        <w:t>&lt;pre&gt;</w:t>
      </w:r>
      <w:r>
        <w:t>ke'o</w:t>
      </w:r>
      <w:r>
        <w:tab/>
        <w:t>[krefu]</w:t>
      </w:r>
      <w:r>
        <w:tab/>
        <w:t>please repeat</w:t>
      </w:r>
      <w:r>
        <w:tab/>
      </w:r>
      <w:r>
        <w:tab/>
        <w:t>no repeat needed</w:t>
      </w:r>
    </w:p>
    <w:p w:rsidR="00B72047" w:rsidRDefault="00B72047">
      <w:pPr>
        <w:pStyle w:val="resumedafterexample"/>
      </w:pPr>
      <w:r>
        <w:rPr>
          <w:rStyle w:val="htmlcodes"/>
        </w:rPr>
        <w:t>&lt;/pre&gt;</w:t>
      </w:r>
      <w:r>
        <w:rPr>
          <w:rStyle w:val="indexentry"/>
        </w:rPr>
        <w:t>&lt;lx "ke'o"&gt;</w:t>
      </w:r>
      <w:r>
        <w:rPr>
          <w:rStyle w:val="indexentry"/>
        </w:rPr>
        <w:fldChar w:fldCharType="begin"/>
      </w:r>
      <w:r>
        <w:instrText>xe "</w:instrText>
      </w:r>
      <w:r>
        <w:rPr>
          <w:rStyle w:val="xeentry"/>
        </w:rPr>
        <w:instrText>ke'o</w:instrText>
      </w:r>
      <w:r>
        <w:instrText>"</w:instrText>
      </w:r>
      <w:r>
        <w:rPr>
          <w:rStyle w:val="indexentry"/>
        </w:rPr>
        <w:fldChar w:fldCharType="end"/>
      </w:r>
      <w:r>
        <w:rPr>
          <w:rStyle w:val="indexentry"/>
        </w:rPr>
        <w:t>&lt;cx "ke'o, compared to ki'a"&gt;</w:t>
      </w:r>
      <w:r>
        <w:rPr>
          <w:rStyle w:val="indexentry"/>
        </w:rPr>
        <w:fldChar w:fldCharType="begin"/>
      </w:r>
      <w:r>
        <w:instrText>xe "</w:instrText>
      </w:r>
      <w:r>
        <w:rPr>
          <w:rStyle w:val="xeentry"/>
        </w:rPr>
        <w:instrText>ke'o: compared to ki'a</w:instrText>
      </w:r>
      <w:r>
        <w:instrText>"</w:instrText>
      </w:r>
      <w:r>
        <w:rPr>
          <w:rStyle w:val="indexentry"/>
        </w:rPr>
        <w:fldChar w:fldCharType="end"/>
      </w:r>
      <w:r>
        <w:rPr>
          <w:rStyle w:val="indexentry"/>
        </w:rPr>
        <w:t>&lt;cx "ki'a, compared to ke’o"&gt;</w:t>
      </w:r>
      <w:r>
        <w:rPr>
          <w:rStyle w:val="indexentry"/>
        </w:rPr>
        <w:fldChar w:fldCharType="begin"/>
      </w:r>
      <w:r>
        <w:instrText>xe "</w:instrText>
      </w:r>
      <w:r>
        <w:rPr>
          <w:rStyle w:val="xeentry"/>
        </w:rPr>
        <w:instrText>ki'a: compared to ke’o</w:instrText>
      </w:r>
      <w:r>
        <w:instrText>"</w:instrText>
      </w:r>
      <w:r>
        <w:rPr>
          <w:rStyle w:val="indexentry"/>
        </w:rPr>
        <w:fldChar w:fldCharType="end"/>
      </w:r>
      <w:r>
        <w:rPr>
          <w:rStyle w:val="indexentry"/>
        </w:rPr>
        <w:t>“</w:t>
      </w:r>
      <w:r>
        <w:t>“What did you say, X?”; a request for repetition or clarification due to</w:t>
      </w:r>
      <w:r>
        <w:rPr>
          <w:rStyle w:val="deletedparamark"/>
        </w:rPr>
        <w:t xml:space="preserve"> </w:t>
      </w:r>
      <w:r>
        <w:t>unsuccessful re</w:t>
      </w:r>
      <w:r>
        <w:softHyphen/>
        <w:t>ceipt or understanding. This is the vocative equivalent</w:t>
      </w:r>
      <w:r>
        <w:rPr>
          <w:rStyle w:val="deletedparamark"/>
        </w:rPr>
        <w:t xml:space="preserve"> </w:t>
      </w:r>
      <w:r>
        <w:t>of “ki'a”, and is related to “je'enai”. The negative form may be ren</w:t>
      </w:r>
      <w:r>
        <w:softHyphen/>
        <w:t>dered</w:t>
      </w:r>
      <w:r>
        <w:rPr>
          <w:rStyle w:val="deletedparamark"/>
        </w:rPr>
        <w:t xml:space="preserve"> “</w:t>
      </w:r>
      <w:r>
        <w:t>Okay, already; I get the point!”</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fe'o</w:t>
      </w:r>
      <w:r>
        <w:tab/>
        <w:t>[fanmo]</w:t>
      </w:r>
      <w:r>
        <w:tab/>
        <w:t>end of communication</w:t>
      </w:r>
      <w:r>
        <w:tab/>
        <w:t>not done</w:t>
      </w:r>
    </w:p>
    <w:p w:rsidR="00B72047" w:rsidRDefault="00B72047">
      <w:pPr>
        <w:pStyle w:val="resumedafterexample"/>
      </w:pPr>
      <w:r>
        <w:rPr>
          <w:rStyle w:val="htmlcodes"/>
        </w:rPr>
        <w:t>&lt;/pre&gt;</w:t>
      </w:r>
      <w:r>
        <w:rPr>
          <w:rStyle w:val="indexentry"/>
        </w:rPr>
        <w:t>&lt;lx "fe'o"&gt;</w:t>
      </w:r>
      <w:r>
        <w:rPr>
          <w:rStyle w:val="indexentry"/>
        </w:rPr>
        <w:fldChar w:fldCharType="begin"/>
      </w:r>
      <w:r>
        <w:instrText>xe "</w:instrText>
      </w:r>
      <w:r>
        <w:rPr>
          <w:rStyle w:val="xeentry"/>
        </w:rPr>
        <w:instrText>fe'o</w:instrText>
      </w:r>
      <w:r>
        <w:instrText>"</w:instrText>
      </w:r>
      <w:r>
        <w:rPr>
          <w:rStyle w:val="indexentry"/>
        </w:rPr>
        <w:fldChar w:fldCharType="end"/>
      </w:r>
      <w:r>
        <w:rPr>
          <w:rStyle w:val="indexentry"/>
        </w:rPr>
        <w:t>“</w:t>
      </w:r>
      <w:r>
        <w:t>“Over and out, X”; indicates completion of statement(s) and</w:t>
      </w:r>
      <w:r>
        <w:rPr>
          <w:rStyle w:val="deletedparamark"/>
        </w:rPr>
        <w:t xml:space="preserve"> </w:t>
      </w:r>
      <w:r>
        <w:t>communi</w:t>
      </w:r>
      <w:r>
        <w:softHyphen/>
        <w:t>cation directed at the identified person(s). Used to terminate a</w:t>
      </w:r>
      <w:r>
        <w:rPr>
          <w:rStyle w:val="deletedparamark"/>
        </w:rPr>
        <w:t xml:space="preserve"> </w:t>
      </w:r>
      <w:r>
        <w:t>letter if a signature is not required because the sender has already been</w:t>
      </w:r>
      <w:r>
        <w:rPr>
          <w:rStyle w:val="deletedparamark"/>
        </w:rPr>
        <w:t xml:space="preserve"> </w:t>
      </w:r>
      <w:r>
        <w:t>identified (as in memos). The negative form means “Wait, hold it, we're not</w:t>
      </w:r>
      <w:r>
        <w:rPr>
          <w:rStyle w:val="deletedparamark"/>
        </w:rPr>
        <w:t xml:space="preserve"> </w:t>
      </w:r>
      <w:r>
        <w:t>done!” and differs from “mu'onai” in that it means more ex</w:t>
      </w:r>
      <w:r>
        <w:softHyphen/>
        <w:t>changes are to</w:t>
      </w:r>
      <w:r>
        <w:rPr>
          <w:rStyle w:val="deletedparamark"/>
        </w:rPr>
        <w:t xml:space="preserve"> </w:t>
      </w:r>
      <w:r>
        <w:t>follow, rather than that the current exchange is in</w:t>
      </w:r>
      <w:r>
        <w:softHyphen/>
        <w:t>complete.</w:t>
      </w:r>
    </w:p>
    <w:p w:rsidR="00B72047" w:rsidRDefault="00B72047">
      <w:pPr>
        <w:rPr>
          <w:rStyle w:val="htmlparacode"/>
        </w:rPr>
      </w:pPr>
      <w:r>
        <w:rPr>
          <w:rStyle w:val="htmlparacode"/>
        </w:rPr>
        <w:t>&lt;p&gt;</w:t>
      </w:r>
    </w:p>
    <w:p w:rsidR="00B72047" w:rsidRDefault="00B72047">
      <w:pPr>
        <w:pStyle w:val="normalparagraph"/>
      </w:pPr>
      <w:r>
        <w:rPr>
          <w:rStyle w:val="indexentry"/>
        </w:rPr>
        <w:t>&lt;cx "fe'o, contrasted with fa'o"&gt;</w:t>
      </w:r>
      <w:r>
        <w:rPr>
          <w:rStyle w:val="indexentry"/>
        </w:rPr>
        <w:fldChar w:fldCharType="begin"/>
      </w:r>
      <w:r>
        <w:instrText>xe "</w:instrText>
      </w:r>
      <w:r>
        <w:rPr>
          <w:rStyle w:val="xeentry"/>
        </w:rPr>
        <w:instrText>fe'o: contrasted with fa'o</w:instrText>
      </w:r>
      <w:r>
        <w:instrText>"</w:instrText>
      </w:r>
      <w:r>
        <w:rPr>
          <w:rStyle w:val="indexentry"/>
        </w:rPr>
        <w:fldChar w:fldCharType="end"/>
      </w:r>
      <w:r>
        <w:rPr>
          <w:rStyle w:val="indexentry"/>
        </w:rPr>
        <w:t>&lt;cx "fa'o, contrasted with fe'o"&gt;</w:t>
      </w:r>
      <w:r>
        <w:rPr>
          <w:rStyle w:val="indexentry"/>
        </w:rPr>
        <w:fldChar w:fldCharType="begin"/>
      </w:r>
      <w:r>
        <w:instrText>xe "</w:instrText>
      </w:r>
      <w:r>
        <w:rPr>
          <w:rStyle w:val="xeentry"/>
        </w:rPr>
        <w:instrText>fa'o: contrasted with fe'o</w:instrText>
      </w:r>
      <w:r>
        <w:instrText>"</w:instrText>
      </w:r>
      <w:r>
        <w:rPr>
          <w:rStyle w:val="indexentry"/>
        </w:rPr>
        <w:fldChar w:fldCharType="end"/>
      </w:r>
      <w:r>
        <w:t>Do not confuse “fe'o” with “fa'o” (selma'o FAhO) which is a mechanical,</w:t>
      </w:r>
      <w:r>
        <w:rPr>
          <w:rStyle w:val="deletedparamark"/>
        </w:rPr>
        <w:t xml:space="preserve"> </w:t>
      </w:r>
      <w:r>
        <w:t>ex</w:t>
      </w:r>
      <w:r>
        <w:softHyphen/>
        <w:t>tra-grammatical signal that a text is complete. One may say “fe'o” to</w:t>
      </w:r>
      <w:r>
        <w:rPr>
          <w:rStyle w:val="deletedparamark"/>
        </w:rPr>
        <w:t xml:space="preserve"> </w:t>
      </w:r>
      <w:r>
        <w:t>one participant of a multi-way conversation and then go on speaking to the</w:t>
      </w:r>
      <w:r>
        <w:rPr>
          <w:rStyle w:val="deletedparamark"/>
        </w:rPr>
        <w:t xml:space="preserve"> </w:t>
      </w:r>
      <w:r>
        <w:t>others.</w:t>
      </w:r>
    </w:p>
    <w:p w:rsidR="00B72047" w:rsidRDefault="00B72047">
      <w:pPr>
        <w:pStyle w:val="examplewtabspre"/>
        <w:rPr>
          <w:rStyle w:val="htmlparacode"/>
        </w:rPr>
      </w:pPr>
      <w:r>
        <w:rPr>
          <w:rStyle w:val="htmlparacode"/>
        </w:rPr>
        <w:t>&lt;p&gt;</w:t>
      </w:r>
    </w:p>
    <w:p w:rsidR="00B72047" w:rsidRDefault="00B72047">
      <w:pPr>
        <w:pStyle w:val="examplewtabspre"/>
      </w:pPr>
      <w:r>
        <w:rPr>
          <w:rStyle w:val="indexentry"/>
        </w:rPr>
        <w:t>&lt;lx "mi'e"&gt;</w:t>
      </w:r>
      <w:r>
        <w:rPr>
          <w:rStyle w:val="indexentry"/>
        </w:rPr>
        <w:fldChar w:fldCharType="begin"/>
      </w:r>
      <w:r>
        <w:instrText>xe "</w:instrText>
      </w:r>
      <w:r>
        <w:rPr>
          <w:rStyle w:val="xeentry"/>
        </w:rPr>
        <w:instrText>mi'e</w:instrText>
      </w:r>
      <w:r>
        <w:instrText>"</w:instrText>
      </w:r>
      <w:r>
        <w:rPr>
          <w:rStyle w:val="indexentry"/>
        </w:rPr>
        <w:fldChar w:fldCharType="end"/>
      </w:r>
      <w:r>
        <w:rPr>
          <w:rStyle w:val="htmlcodes"/>
        </w:rPr>
        <w:t>&lt;pre&gt;</w:t>
      </w:r>
      <w:r>
        <w:t>mi'e</w:t>
      </w:r>
      <w:r>
        <w:tab/>
        <w:t>[cmavo: mi]</w:t>
      </w:r>
      <w:r>
        <w:tab/>
        <w:t>self-identification</w:t>
      </w:r>
      <w:r>
        <w:tab/>
        <w:t>non-identification</w:t>
      </w:r>
    </w:p>
    <w:p w:rsidR="00B72047" w:rsidRDefault="00B72047">
      <w:pPr>
        <w:pStyle w:val="resumedafterexample"/>
      </w:pPr>
      <w:r>
        <w:rPr>
          <w:rStyle w:val="htmlcodes"/>
        </w:rPr>
        <w:t>&lt;/pre&gt;</w:t>
      </w:r>
      <w:r>
        <w:rPr>
          <w:rStyle w:val="indexentry"/>
        </w:rPr>
        <w:t>&lt;cx "introduce oneself"&gt;</w:t>
      </w:r>
      <w:r>
        <w:rPr>
          <w:rStyle w:val="indexentry"/>
        </w:rPr>
        <w:fldChar w:fldCharType="begin"/>
      </w:r>
      <w:r>
        <w:instrText>xe "</w:instrText>
      </w:r>
      <w:r>
        <w:rPr>
          <w:rStyle w:val="xeentry"/>
        </w:rPr>
        <w:instrText>introduce oneself</w:instrText>
      </w:r>
      <w:r>
        <w:instrText>"</w:instrText>
      </w:r>
      <w:r>
        <w:rPr>
          <w:rStyle w:val="indexentry"/>
        </w:rPr>
        <w:fldChar w:fldCharType="end"/>
      </w:r>
      <w:r>
        <w:rPr>
          <w:rStyle w:val="indexentry"/>
        </w:rPr>
        <w:t>&lt;cx "mi'e, contrasted with other members of COI"&gt;</w:t>
      </w:r>
      <w:r>
        <w:rPr>
          <w:rStyle w:val="indexentry"/>
        </w:rPr>
        <w:fldChar w:fldCharType="begin"/>
      </w:r>
      <w:r>
        <w:instrText>xe "</w:instrText>
      </w:r>
      <w:r>
        <w:rPr>
          <w:rStyle w:val="xeentry"/>
        </w:rPr>
        <w:instrText>mi'e: contrasted with other members of COI</w:instrText>
      </w:r>
      <w:r>
        <w:instrText>"</w:instrText>
      </w:r>
      <w:r>
        <w:rPr>
          <w:rStyle w:val="indexentry"/>
        </w:rPr>
        <w:fldChar w:fldCharType="end"/>
      </w:r>
      <w:r>
        <w:rPr>
          <w:rStyle w:val="indexentry"/>
        </w:rPr>
        <w:t>&lt;cx "me, explicitly specifying"&gt;</w:t>
      </w:r>
      <w:r>
        <w:rPr>
          <w:rStyle w:val="indexentry"/>
        </w:rPr>
        <w:fldChar w:fldCharType="begin"/>
      </w:r>
      <w:r>
        <w:instrText>xe "</w:instrText>
      </w:r>
      <w:r>
        <w:rPr>
          <w:rStyle w:val="xeentry"/>
        </w:rPr>
        <w:instrText>me: explicitly specifying</w:instrText>
      </w:r>
      <w:r>
        <w:instrText>"</w:instrText>
      </w:r>
      <w:r>
        <w:rPr>
          <w:rStyle w:val="indexentry"/>
        </w:rPr>
        <w:fldChar w:fldCharType="end"/>
      </w:r>
      <w:r>
        <w:rPr>
          <w:rStyle w:val="indexentry"/>
        </w:rPr>
        <w:t>“</w:t>
      </w:r>
      <w:r>
        <w:t>“And I am X”; a generalized self-vocative. Although grammatically just</w:t>
      </w:r>
      <w:r>
        <w:rPr>
          <w:rStyle w:val="deletedparamark"/>
        </w:rPr>
        <w:t xml:space="preserve"> </w:t>
      </w:r>
      <w:r>
        <w:t>like the other members of selma'o COI, “mi'e” is quite different se</w:t>
      </w:r>
      <w:r>
        <w:softHyphen/>
        <w:t>mantically.</w:t>
      </w:r>
      <w:r>
        <w:rPr>
          <w:rStyle w:val="deletedparamark"/>
        </w:rPr>
        <w:t xml:space="preserve"> </w:t>
      </w:r>
      <w:r>
        <w:t>In particular, rather than specifying the listener, the person whose name</w:t>
      </w:r>
      <w:r>
        <w:rPr>
          <w:rStyle w:val="deletedparamark"/>
        </w:rPr>
        <w:t xml:space="preserve"> </w:t>
      </w:r>
      <w:r>
        <w:t>(or description) follows “mi'e” is taken to be the speaker. Therefore,</w:t>
      </w:r>
      <w:r>
        <w:rPr>
          <w:rStyle w:val="deletedparamark"/>
        </w:rPr>
        <w:t xml:space="preserve"> </w:t>
      </w:r>
      <w:r>
        <w:t>using “mi'e” specifies the meaning of the pro-sumti “mi”. It can be used to</w:t>
      </w:r>
      <w:r>
        <w:rPr>
          <w:rStyle w:val="deletedparamark"/>
        </w:rPr>
        <w:t xml:space="preserve"> </w:t>
      </w:r>
      <w:r>
        <w:t>introduce oneself, to close letters, or to identify one</w:t>
      </w:r>
      <w:r>
        <w:softHyphen/>
        <w:t>self on the telephone.</w:t>
      </w:r>
    </w:p>
    <w:p w:rsidR="00B72047" w:rsidRDefault="00B72047">
      <w:pPr>
        <w:rPr>
          <w:rStyle w:val="htmlparacode"/>
        </w:rPr>
      </w:pPr>
      <w:r>
        <w:rPr>
          <w:rStyle w:val="htmlparacode"/>
        </w:rPr>
        <w:t>&lt;p&gt;</w:t>
      </w:r>
    </w:p>
    <w:p w:rsidR="00B72047" w:rsidRDefault="00B72047">
      <w:pPr>
        <w:pStyle w:val="normalparagraph"/>
      </w:pPr>
      <w:r>
        <w:rPr>
          <w:rStyle w:val="indexentry"/>
        </w:rPr>
        <w:t>&lt;cx "closings, letter"&gt;</w:t>
      </w:r>
      <w:r>
        <w:rPr>
          <w:rStyle w:val="indexentry"/>
        </w:rPr>
        <w:fldChar w:fldCharType="begin"/>
      </w:r>
      <w:r>
        <w:instrText>xe "</w:instrText>
      </w:r>
      <w:r>
        <w:rPr>
          <w:rStyle w:val="xeentry"/>
        </w:rPr>
        <w:instrText>closings: letter</w:instrText>
      </w:r>
      <w:r>
        <w:instrText>"</w:instrText>
      </w:r>
      <w:r>
        <w:rPr>
          <w:rStyle w:val="indexentry"/>
        </w:rPr>
        <w:fldChar w:fldCharType="end"/>
      </w:r>
      <w:r>
        <w:rPr>
          <w:rStyle w:val="indexentry"/>
        </w:rPr>
        <w:t>&lt;lx "fe’omi'e"&gt;</w:t>
      </w:r>
      <w:r>
        <w:rPr>
          <w:rStyle w:val="indexentry"/>
        </w:rPr>
        <w:fldChar w:fldCharType="begin"/>
      </w:r>
      <w:r>
        <w:instrText>xe "</w:instrText>
      </w:r>
      <w:r>
        <w:rPr>
          <w:rStyle w:val="xeentry"/>
        </w:rPr>
        <w:instrText>fe’omi'e</w:instrText>
      </w:r>
      <w:r>
        <w:instrText>"</w:instrText>
      </w:r>
      <w:r>
        <w:rPr>
          <w:rStyle w:val="indexentry"/>
        </w:rPr>
        <w:fldChar w:fldCharType="end"/>
      </w:r>
      <w:r>
        <w:rPr>
          <w:rStyle w:val="indexentry"/>
        </w:rPr>
        <w:t>&lt;lx "re'imi'e"&gt;</w:t>
      </w:r>
      <w:r>
        <w:rPr>
          <w:rStyle w:val="indexentry"/>
        </w:rPr>
        <w:fldChar w:fldCharType="begin"/>
      </w:r>
      <w:r>
        <w:instrText>xe "</w:instrText>
      </w:r>
      <w:r>
        <w:rPr>
          <w:rStyle w:val="xeentry"/>
        </w:rPr>
        <w:instrText>re'imi'e</w:instrText>
      </w:r>
      <w:r>
        <w:instrText>"</w:instrText>
      </w:r>
      <w:r>
        <w:rPr>
          <w:rStyle w:val="indexentry"/>
        </w:rPr>
        <w:fldChar w:fldCharType="end"/>
      </w:r>
      <w:r>
        <w:rPr>
          <w:rStyle w:val="indexentry"/>
        </w:rPr>
        <w:t>&lt;cx "COI, ordering multiple with mi'e"&gt;</w:t>
      </w:r>
      <w:r>
        <w:rPr>
          <w:rStyle w:val="indexentry"/>
        </w:rPr>
        <w:fldChar w:fldCharType="begin"/>
      </w:r>
      <w:r>
        <w:instrText>xe "</w:instrText>
      </w:r>
      <w:r>
        <w:rPr>
          <w:rStyle w:val="xeentry"/>
        </w:rPr>
        <w:instrText>COI selma’o: ordering multiple with mi'e</w:instrText>
      </w:r>
      <w:r>
        <w:instrText>"</w:instrText>
      </w:r>
      <w:r>
        <w:rPr>
          <w:rStyle w:val="indexentry"/>
        </w:rPr>
        <w:fldChar w:fldCharType="end"/>
      </w:r>
      <w:r>
        <w:rPr>
          <w:rStyle w:val="indexentry"/>
        </w:rPr>
        <w:t>&lt;cx "mi'e, effect of ordering multiple COI"&gt;</w:t>
      </w:r>
      <w:r>
        <w:rPr>
          <w:rStyle w:val="indexentry"/>
        </w:rPr>
        <w:fldChar w:fldCharType="begin"/>
      </w:r>
      <w:r>
        <w:instrText>xe "</w:instrText>
      </w:r>
      <w:r>
        <w:rPr>
          <w:rStyle w:val="xeentry"/>
        </w:rPr>
        <w:instrText>mi'e: effect of ordering multiple COI</w:instrText>
      </w:r>
      <w:r>
        <w:instrText>"</w:instrText>
      </w:r>
      <w:r>
        <w:rPr>
          <w:rStyle w:val="indexentry"/>
        </w:rPr>
        <w:fldChar w:fldCharType="end"/>
      </w:r>
      <w:r>
        <w:t>This cmavo is often combined with other members of COI: “fe'omi'e” would be</w:t>
      </w:r>
      <w:r>
        <w:rPr>
          <w:rStyle w:val="deletedparamark"/>
        </w:rPr>
        <w:t xml:space="preserve"> </w:t>
      </w:r>
      <w:r>
        <w:t>an appropriate closing at the end of a letter; “re'imi'e” would be a</w:t>
      </w:r>
      <w:r>
        <w:rPr>
          <w:rStyle w:val="deletedparamark"/>
        </w:rPr>
        <w:t xml:space="preserve"> </w:t>
      </w:r>
      <w:r>
        <w:t>self-vocative used in d</w:t>
      </w:r>
      <w:r>
        <w:t>e</w:t>
      </w:r>
      <w:r>
        <w:softHyphen/>
        <w:t>layed responses, as when called to the phone, or</w:t>
      </w:r>
      <w:r>
        <w:rPr>
          <w:rStyle w:val="deletedparamark"/>
        </w:rPr>
        <w:t xml:space="preserve"> </w:t>
      </w:r>
      <w:r>
        <w:t>possibly in a roll-call. As long as the “mi'e” comes last, the following</w:t>
      </w:r>
      <w:r>
        <w:rPr>
          <w:rStyle w:val="deletedparamark"/>
        </w:rPr>
        <w:t xml:space="preserve"> </w:t>
      </w:r>
      <w:r>
        <w:t>name is that of the speaker; if another COI cmavo is last, the following</w:t>
      </w:r>
      <w:r>
        <w:rPr>
          <w:rStyle w:val="deletedparamark"/>
        </w:rPr>
        <w:t xml:space="preserve"> </w:t>
      </w:r>
      <w:r>
        <w:t>name is that of the listener. It is not possible to name both speaker and</w:t>
      </w:r>
      <w:r>
        <w:rPr>
          <w:rStyle w:val="deletedparamark"/>
        </w:rPr>
        <w:t xml:space="preserve"> </w:t>
      </w:r>
      <w:r>
        <w:t>li</w:t>
      </w:r>
      <w:r>
        <w:t>s</w:t>
      </w:r>
      <w:r>
        <w:softHyphen/>
        <w:t>tener in a single vocative ex</w:t>
      </w:r>
      <w:r>
        <w:softHyphen/>
        <w:t>pression, but this fact is of no importance,</w:t>
      </w:r>
      <w:r>
        <w:rPr>
          <w:rStyle w:val="deletedparamark"/>
        </w:rPr>
        <w:t xml:space="preserve"> </w:t>
      </w:r>
      <w:r>
        <w:t>because wherever one vocative expression is grammatical, any number of</w:t>
      </w:r>
      <w:r>
        <w:rPr>
          <w:rStyle w:val="deletedparamark"/>
        </w:rPr>
        <w:t xml:space="preserve"> </w:t>
      </w:r>
      <w:r>
        <w:t>consecutive ones may appear.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"mi'enai"&gt;</w:t>
      </w:r>
      <w:r>
        <w:rPr>
          <w:rStyle w:val="indexentry"/>
        </w:rPr>
        <w:fldChar w:fldCharType="begin"/>
      </w:r>
      <w:r>
        <w:instrText>xe "</w:instrText>
      </w:r>
      <w:r>
        <w:rPr>
          <w:rStyle w:val="xeentry"/>
        </w:rPr>
        <w:instrText>mi'enai</w:instrText>
      </w:r>
      <w:r>
        <w:instrText>"</w:instrText>
      </w:r>
      <w:r>
        <w:rPr>
          <w:rStyle w:val="indexentry"/>
        </w:rPr>
        <w:fldChar w:fldCharType="end"/>
      </w:r>
      <w:r>
        <w:t>The negative form denies an identity which someone else has attributed to</w:t>
      </w:r>
      <w:r>
        <w:rPr>
          <w:rStyle w:val="deletedparamark"/>
        </w:rPr>
        <w:t xml:space="preserve"> </w:t>
      </w:r>
      <w:r>
        <w:t>you; “mi'enai .djan.” means that you are saying you are not John.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"protocol, parliamentary using COI"&gt;</w:t>
      </w:r>
      <w:r>
        <w:rPr>
          <w:rStyle w:val="indexentry"/>
        </w:rPr>
        <w:fldChar w:fldCharType="begin"/>
      </w:r>
      <w:r>
        <w:instrText>xe "</w:instrText>
      </w:r>
      <w:r>
        <w:rPr>
          <w:rStyle w:val="xeentry"/>
        </w:rPr>
        <w:instrText>protocol: parliamentary using COI</w:instrText>
      </w:r>
      <w:r>
        <w:instrText>"</w:instrText>
      </w:r>
      <w:r>
        <w:rPr>
          <w:rStyle w:val="indexentry"/>
        </w:rPr>
        <w:fldChar w:fldCharType="end"/>
      </w:r>
      <w:r>
        <w:rPr>
          <w:rStyle w:val="indexentry"/>
        </w:rPr>
        <w:t>&lt;cx "protocol, computer communications using COI"&gt;</w:t>
      </w:r>
      <w:r>
        <w:rPr>
          <w:rStyle w:val="indexentry"/>
        </w:rPr>
        <w:fldChar w:fldCharType="begin"/>
      </w:r>
      <w:r>
        <w:instrText>xe "</w:instrText>
      </w:r>
      <w:r>
        <w:rPr>
          <w:rStyle w:val="xeentry"/>
        </w:rPr>
        <w:instrText>protocol: computer communications using COI</w:instrText>
      </w:r>
      <w:r>
        <w:instrText>"</w:instrText>
      </w:r>
      <w:r>
        <w:rPr>
          <w:rStyle w:val="indexentry"/>
        </w:rPr>
        <w:fldChar w:fldCharType="end"/>
      </w:r>
      <w:r>
        <w:rPr>
          <w:rStyle w:val="indexentry"/>
        </w:rPr>
        <w:t>&lt;cx "protocol, using vocatives"&gt;</w:t>
      </w:r>
      <w:r>
        <w:rPr>
          <w:rStyle w:val="indexentry"/>
        </w:rPr>
        <w:fldChar w:fldCharType="begin"/>
      </w:r>
      <w:r>
        <w:instrText>xe "</w:instrText>
      </w:r>
      <w:r>
        <w:rPr>
          <w:rStyle w:val="xeentry"/>
        </w:rPr>
        <w:instrText>protocol: using vocatives</w:instrText>
      </w:r>
      <w:r>
        <w:instrText>"</w:instrText>
      </w:r>
      <w:r>
        <w:rPr>
          <w:rStyle w:val="indexentry"/>
        </w:rPr>
        <w:fldChar w:fldCharType="end"/>
      </w:r>
      <w:r>
        <w:rPr>
          <w:rStyle w:val="indexentry"/>
        </w:rPr>
        <w:t>&lt;lx "ta'apei"&gt;</w:t>
      </w:r>
      <w:r>
        <w:rPr>
          <w:rStyle w:val="indexentry"/>
        </w:rPr>
        <w:fldChar w:fldCharType="begin"/>
      </w:r>
      <w:r>
        <w:instrText>xe "</w:instrText>
      </w:r>
      <w:r>
        <w:rPr>
          <w:rStyle w:val="xeentry"/>
        </w:rPr>
        <w:instrText>ta'apei</w:instrText>
      </w:r>
      <w:r>
        <w:instrText>"</w:instrText>
      </w:r>
      <w:r>
        <w:rPr>
          <w:rStyle w:val="indexentry"/>
        </w:rPr>
        <w:fldChar w:fldCharType="end"/>
      </w:r>
      <w:r>
        <w:t>Many of the vocatives been listed with translations which are</w:t>
      </w:r>
      <w:r>
        <w:rPr>
          <w:rStyle w:val="deletedparamark"/>
        </w:rPr>
        <w:t xml:space="preserve"> </w:t>
      </w:r>
      <w:r>
        <w:t>drawn from radio use: “roger”, “wilco”, “over and out”. This form of</w:t>
      </w:r>
      <w:r>
        <w:rPr>
          <w:rStyle w:val="deletedparamark"/>
        </w:rPr>
        <w:t xml:space="preserve"> </w:t>
      </w:r>
      <w:r>
        <w:t>translation does not mean that Loj</w:t>
      </w:r>
      <w:r>
        <w:softHyphen/>
        <w:t>ban is a language of CB enthusi</w:t>
      </w:r>
      <w:r>
        <w:softHyphen/>
        <w:t>asts, but</w:t>
      </w:r>
      <w:r>
        <w:rPr>
          <w:rStyle w:val="deletedparamark"/>
        </w:rPr>
        <w:t xml:space="preserve"> </w:t>
      </w:r>
      <w:r>
        <w:t>rather that in most natural languages these forms are so well handled by</w:t>
      </w:r>
      <w:r>
        <w:rPr>
          <w:rStyle w:val="deletedparamark"/>
        </w:rPr>
        <w:t xml:space="preserve"> </w:t>
      </w:r>
      <w:r>
        <w:t>the context that only in specific domains (like speak</w:t>
      </w:r>
      <w:r>
        <w:softHyphen/>
        <w:t>ing on the radio) do</w:t>
      </w:r>
      <w:r>
        <w:rPr>
          <w:rStyle w:val="deletedparamark"/>
        </w:rPr>
        <w:t xml:space="preserve"> </w:t>
      </w:r>
      <w:r>
        <w:t>they need special words. In Lojban, dependence on the context can be</w:t>
      </w:r>
      <w:r>
        <w:rPr>
          <w:rStyle w:val="deletedparamark"/>
        </w:rPr>
        <w:t xml:space="preserve"> </w:t>
      </w:r>
      <w:r>
        <w:t>dangerous, as speaker and listener may not share the right context, and so</w:t>
      </w:r>
      <w:r>
        <w:rPr>
          <w:rStyle w:val="deletedparamark"/>
        </w:rPr>
        <w:t xml:space="preserve"> </w:t>
      </w:r>
      <w:r>
        <w:t>the vocatives provide a fo</w:t>
      </w:r>
      <w:r>
        <w:t>r</w:t>
      </w:r>
      <w:r>
        <w:softHyphen/>
        <w:t>mal protocol for use when it is appropriate.</w:t>
      </w:r>
      <w:r>
        <w:rPr>
          <w:rStyle w:val="deletedparamark"/>
        </w:rPr>
        <w:t xml:space="preserve"> </w:t>
      </w:r>
      <w:r>
        <w:t>Other appropriate contexts include computer communications and parliamentary</w:t>
      </w:r>
      <w:r>
        <w:rPr>
          <w:rStyle w:val="deletedparamark"/>
        </w:rPr>
        <w:t xml:space="preserve"> </w:t>
      </w:r>
      <w:r>
        <w:t>procedure: in the latter context, the protocol question “ta'apei” would mean</w:t>
      </w:r>
      <w:r>
        <w:rPr>
          <w:rStyle w:val="deletedparamark"/>
        </w:rPr>
        <w:t xml:space="preserve"> “</w:t>
      </w:r>
      <w:r>
        <w:t>Will the speaker yield?”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410" w:name="_Toc398970652"/>
      <w:r>
        <w:rPr>
          <w:rStyle w:val="Heading3Text"/>
        </w:rPr>
        <w:t>A sample dialogue</w:t>
      </w:r>
      <w:bookmarkEnd w:id="41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dialogue in Lojban illustrates the uses of attitu</w:t>
      </w:r>
      <w:r>
        <w:softHyphen/>
        <w:t>dinals</w:t>
      </w:r>
      <w:r>
        <w:rPr>
          <w:rStyle w:val="deletedparamark"/>
        </w:rPr>
        <w:t xml:space="preserve"> </w:t>
      </w:r>
      <w:r>
        <w:t>and proto</w:t>
      </w:r>
      <w:r>
        <w:softHyphen/>
        <w:t>col vocatives in conversation. The phrases enclosed in</w:t>
      </w:r>
      <w:r>
        <w:rPr>
          <w:rStyle w:val="deletedparamark"/>
        </w:rPr>
        <w:t xml:space="preserve"> “</w:t>
      </w:r>
      <w:r>
        <w:t>sei </w:t>
      </w:r>
      <w:r>
        <w:rPr>
          <w:rStyle w:val="htmlcodes"/>
        </w:rPr>
        <w:t>&lt;dots&gt;</w:t>
      </w:r>
      <w:r>
        <w:t>…</w:t>
      </w:r>
      <w:r>
        <w:rPr>
          <w:rStyle w:val="htmlcodes"/>
        </w:rPr>
        <w:t>&lt;/dots&gt;</w:t>
      </w:r>
      <w:r>
        <w:t>se'u” indicate the speaker of each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la rik. .e la .alis. nerkla le kafybarja</w:t>
      </w:r>
    </w:p>
    <w:p w:rsidR="00B72047" w:rsidRDefault="00B72047">
      <w:pPr>
        <w:pStyle w:val="examplescaled"/>
      </w:pPr>
      <w:r>
        <w:tab/>
        <w:t>Rick and Alice in-go to-the coffee-bar.</w:t>
      </w:r>
    </w:p>
    <w:p w:rsidR="00B72047" w:rsidRDefault="00B72047">
      <w:pPr>
        <w:pStyle w:val="examplescaled"/>
      </w:pPr>
      <w:r>
        <w:tab/>
        <w:t>Rick and Alice go into the coffee bar.</w:t>
      </w:r>
    </w:p>
    <w:p w:rsidR="00B72047" w:rsidRDefault="00B72047">
      <w:pPr>
        <w:pStyle w:val="examplescaledpre"/>
      </w:pPr>
      <w:r>
        <w:rPr>
          <w:rStyle w:val="htmlcodes"/>
        </w:rPr>
        <w:t>&lt;a name=e15d2&gt;</w:t>
      </w:r>
      <w:r>
        <w:t>15.2)</w:t>
      </w:r>
      <w:r>
        <w:tab/>
        <w:t>.i sei la rik. cusku se'u ta'a ro zvati be ti</w:t>
      </w:r>
    </w:p>
    <w:p w:rsidR="00B72047" w:rsidRDefault="00B72047">
      <w:pPr>
        <w:pStyle w:val="examplescaled"/>
      </w:pPr>
      <w:r>
        <w:tab/>
      </w:r>
      <w:r>
        <w:tab/>
        <w:t>mi baza speni ti .iu</w:t>
      </w:r>
    </w:p>
    <w:p w:rsidR="00B72047" w:rsidRDefault="00B72047">
      <w:pPr>
        <w:pStyle w:val="examplescaled"/>
      </w:pPr>
      <w:r>
        <w:tab/>
        <w:t xml:space="preserve">[Comment] Rick says, [end-comment] [Interrupt] all at this-place, </w:t>
      </w:r>
    </w:p>
    <w:p w:rsidR="00B72047" w:rsidRDefault="00B72047">
      <w:pPr>
        <w:pStyle w:val="examplescaled"/>
      </w:pPr>
      <w:r>
        <w:tab/>
      </w:r>
      <w:r>
        <w:tab/>
        <w:t>I [future] [medium] am-spouse-to this-one [love].</w:t>
      </w:r>
    </w:p>
    <w:p w:rsidR="00B72047" w:rsidRDefault="00B72047">
      <w:pPr>
        <w:pStyle w:val="examplescaled"/>
      </w:pPr>
      <w:r>
        <w:tab/>
        <w:t xml:space="preserve">Rick said, “Sorry to break in, everybody. Pretty soon I'm getting married </w:t>
      </w:r>
    </w:p>
    <w:p w:rsidR="00B72047" w:rsidRDefault="00B72047">
      <w:pPr>
        <w:pStyle w:val="examplescaled"/>
        <w:ind w:firstLine="576"/>
      </w:pPr>
      <w:r>
        <w:t>to my love here.”</w:t>
      </w:r>
    </w:p>
    <w:p w:rsidR="00B72047" w:rsidRDefault="00B72047">
      <w:pPr>
        <w:pStyle w:val="examplescaledpre"/>
      </w:pPr>
      <w:r>
        <w:rPr>
          <w:rStyle w:val="htmlcodes"/>
        </w:rPr>
        <w:t>&lt;a name=e15d3&gt;</w:t>
      </w:r>
      <w:r>
        <w:t>15.3)</w:t>
      </w:r>
      <w:r>
        <w:tab/>
        <w:t>.i sei la djordj. cusku se'u</w:t>
      </w:r>
    </w:p>
    <w:p w:rsidR="00B72047" w:rsidRDefault="00B72047">
      <w:pPr>
        <w:pStyle w:val="examplescaled"/>
      </w:pPr>
      <w:r>
        <w:tab/>
      </w:r>
      <w:r>
        <w:tab/>
        <w:t>a'o ko gleki doi ma</w:t>
      </w:r>
    </w:p>
    <w:p w:rsidR="00B72047" w:rsidRDefault="00B72047">
      <w:pPr>
        <w:pStyle w:val="examplescaled"/>
      </w:pPr>
      <w:r>
        <w:tab/>
        <w:t>[Comment] George says, [end-comment]</w:t>
      </w:r>
    </w:p>
    <w:p w:rsidR="00B72047" w:rsidRDefault="00B72047">
      <w:pPr>
        <w:pStyle w:val="examplescaled"/>
      </w:pPr>
      <w:r>
        <w:tab/>
      </w:r>
      <w:r>
        <w:tab/>
        <w:t>[Hope] [You-imperative] are-happy, O [who?].</w:t>
      </w:r>
    </w:p>
    <w:p w:rsidR="00B72047" w:rsidRDefault="00B72047">
      <w:pPr>
        <w:pStyle w:val="examplescaled"/>
      </w:pPr>
      <w:r>
        <w:tab/>
        <w:t>George said, “I hope you'll be happy, um, </w:t>
      </w:r>
      <w:r>
        <w:rPr>
          <w:rStyle w:val="htmlcodes"/>
        </w:rPr>
        <w:t>&lt;dots&gt;</w:t>
      </w:r>
      <w:r>
        <w:t>…</w:t>
      </w:r>
      <w:r>
        <w:rPr>
          <w:rStyle w:val="htmlcodes"/>
        </w:rPr>
        <w:t>&lt;/dots&gt;</w:t>
      </w:r>
      <w:r>
        <w:t>?”</w:t>
      </w:r>
    </w:p>
    <w:p w:rsidR="00B72047" w:rsidRDefault="00B72047">
      <w:pPr>
        <w:pStyle w:val="examplescaledpre"/>
      </w:pPr>
      <w:r>
        <w:rPr>
          <w:rStyle w:val="htmlcodes"/>
        </w:rPr>
        <w:t>&lt;a name=e15d4&gt;</w:t>
      </w:r>
      <w:r>
        <w:t>15.4)</w:t>
      </w:r>
      <w:r>
        <w:tab/>
        <w:t>.i sei la pam. cusku se'u pe'u .alis.</w:t>
      </w:r>
    </w:p>
    <w:p w:rsidR="00B72047" w:rsidRDefault="00B72047">
      <w:pPr>
        <w:pStyle w:val="examplescaled"/>
      </w:pPr>
      <w:r>
        <w:tab/>
      </w:r>
      <w:r>
        <w:tab/>
        <w:t>xu mi ba terfriti le nunspenybi'o</w:t>
      </w:r>
    </w:p>
    <w:p w:rsidR="00B72047" w:rsidRDefault="00B72047">
      <w:pPr>
        <w:pStyle w:val="examplescaled"/>
      </w:pPr>
      <w:r>
        <w:tab/>
        <w:t>[Comment] Pam says, [Please] Alice, [end-comment]</w:t>
      </w:r>
    </w:p>
    <w:p w:rsidR="00B72047" w:rsidRDefault="00B72047">
      <w:pPr>
        <w:pStyle w:val="examplescaled"/>
      </w:pPr>
      <w:r>
        <w:tab/>
      </w:r>
      <w:r>
        <w:tab/>
        <w:t>[Is it true?] I [future] receive-offer-of the event-of-spouse-becoming?</w:t>
      </w:r>
    </w:p>
    <w:p w:rsidR="00B72047" w:rsidRDefault="00B72047">
      <w:pPr>
        <w:pStyle w:val="examplescaled"/>
      </w:pPr>
      <w:r>
        <w:tab/>
        <w:t>Pam said, “Please, Alice, am I going to be invited to the wedding?”</w:t>
      </w:r>
    </w:p>
    <w:p w:rsidR="00B72047" w:rsidRDefault="00B72047">
      <w:pPr>
        <w:pStyle w:val="examplescaledpre"/>
        <w:spacing w:before="0"/>
      </w:pPr>
      <w:r>
        <w:rPr>
          <w:rStyle w:val="htmlcodes"/>
          <w:vanish w:val="0"/>
        </w:rPr>
        <w:br w:type="page"/>
      </w:r>
      <w:r>
        <w:rPr>
          <w:rStyle w:val="htmlcodes"/>
        </w:rPr>
        <w:t>&lt;a name=e15d5&gt;</w:t>
      </w:r>
      <w:r>
        <w:t>15.5)</w:t>
      </w:r>
      <w:r>
        <w:tab/>
        <w:t>.i sei la mark. cusku se'u</w:t>
      </w:r>
    </w:p>
    <w:p w:rsidR="00B72047" w:rsidRDefault="00B72047">
      <w:pPr>
        <w:pStyle w:val="examplescaled"/>
      </w:pPr>
      <w:r>
        <w:tab/>
      </w:r>
      <w:r>
        <w:tab/>
        <w:t>coi baza speni</w:t>
      </w:r>
    </w:p>
    <w:p w:rsidR="00B72047" w:rsidRDefault="00B72047">
      <w:pPr>
        <w:pStyle w:val="examplescaled"/>
      </w:pPr>
      <w:r>
        <w:tab/>
      </w:r>
      <w:r>
        <w:tab/>
        <w:t>a'o le re do lifri le ka xamgu</w:t>
      </w:r>
    </w:p>
    <w:p w:rsidR="00B72047" w:rsidRDefault="00B72047">
      <w:pPr>
        <w:pStyle w:val="examplescaled"/>
      </w:pPr>
      <w:r>
        <w:tab/>
        <w:t xml:space="preserve">[Comment] Mark says, [end-comment] </w:t>
      </w:r>
    </w:p>
    <w:p w:rsidR="00B72047" w:rsidRDefault="00B72047">
      <w:pPr>
        <w:pStyle w:val="examplescaled"/>
      </w:pPr>
      <w:r>
        <w:tab/>
      </w:r>
      <w:r>
        <w:tab/>
        <w:t>[Greetings] [future] [medium] spouse(s),</w:t>
      </w:r>
    </w:p>
    <w:p w:rsidR="00B72047" w:rsidRDefault="00B72047">
      <w:pPr>
        <w:pStyle w:val="examplescaled"/>
      </w:pPr>
      <w:r>
        <w:tab/>
      </w:r>
      <w:r>
        <w:tab/>
        <w:t>[Hope] the two of-you experience the-property-of being-happy</w:t>
      </w:r>
    </w:p>
    <w:p w:rsidR="00B72047" w:rsidRDefault="00B72047">
      <w:pPr>
        <w:pStyle w:val="examplescaled"/>
      </w:pPr>
      <w:r>
        <w:tab/>
        <w:t>Mark said, “Hello, spouses-to-be. I hope both of you will be very happy.”</w:t>
      </w:r>
    </w:p>
    <w:p w:rsidR="00B72047" w:rsidRDefault="00B72047">
      <w:pPr>
        <w:pStyle w:val="examplescaledpre"/>
      </w:pPr>
      <w:r>
        <w:rPr>
          <w:rStyle w:val="htmlcodes"/>
        </w:rPr>
        <w:t>&lt;a name=e15d6&gt;</w:t>
      </w:r>
      <w:r>
        <w:t>15.6)</w:t>
      </w:r>
      <w:r>
        <w:tab/>
        <w:t>.i sei la rik. cusku se'u mi'e .rik. doi terpreti</w:t>
      </w:r>
    </w:p>
    <w:p w:rsidR="00B72047" w:rsidRDefault="00B72047">
      <w:pPr>
        <w:pStyle w:val="examplescaled"/>
      </w:pPr>
      <w:r>
        <w:tab/>
        <w:t>[Comment] Rick says, [end-comment] [I am] Rick, O questioners.</w:t>
      </w:r>
    </w:p>
    <w:p w:rsidR="00B72047" w:rsidRDefault="00B72047">
      <w:pPr>
        <w:pStyle w:val="examplescaled"/>
      </w:pPr>
      <w:r>
        <w:tab/>
        <w:t>Rick said, “My name is Rick, for those of you who want to know.”</w:t>
      </w:r>
    </w:p>
    <w:p w:rsidR="00B72047" w:rsidRDefault="00B72047">
      <w:pPr>
        <w:pStyle w:val="examplescaledpre"/>
      </w:pPr>
      <w:r>
        <w:rPr>
          <w:rStyle w:val="htmlcodes"/>
        </w:rPr>
        <w:t>&lt;a name=e15d7&gt;</w:t>
      </w:r>
      <w:r>
        <w:t>15.7)</w:t>
      </w:r>
      <w:r>
        <w:tab/>
        <w:t>.i sei la .alis. cusku se'u</w:t>
      </w:r>
    </w:p>
    <w:p w:rsidR="00B72047" w:rsidRDefault="00B72047">
      <w:pPr>
        <w:pStyle w:val="examplescaled"/>
      </w:pPr>
      <w:r>
        <w:tab/>
      </w:r>
      <w:r>
        <w:tab/>
        <w:t>nu'e .pam. .o'ero'i do ba zvati</w:t>
      </w:r>
    </w:p>
    <w:p w:rsidR="00B72047" w:rsidRDefault="00B72047">
      <w:pPr>
        <w:pStyle w:val="examplescaled"/>
      </w:pPr>
      <w:r>
        <w:tab/>
        <w:t>[Comment] Alice says, [end-comment]</w:t>
      </w:r>
    </w:p>
    <w:p w:rsidR="00B72047" w:rsidRDefault="00B72047">
      <w:pPr>
        <w:pStyle w:val="examplescaled"/>
      </w:pPr>
      <w:r>
        <w:tab/>
      </w:r>
      <w:r>
        <w:tab/>
        <w:t>[Promise-to] Pam, [closeness] [emotional] you [future] are-at.</w:t>
      </w:r>
    </w:p>
    <w:p w:rsidR="00B72047" w:rsidRDefault="00B72047">
      <w:pPr>
        <w:pStyle w:val="examplescaled"/>
      </w:pPr>
      <w:r>
        <w:tab/>
        <w:t>Alice said, “I promise you'll be there, Pam honey.”</w:t>
      </w:r>
    </w:p>
    <w:p w:rsidR="00B72047" w:rsidRDefault="00B72047">
      <w:pPr>
        <w:pStyle w:val="examplescaledpre"/>
      </w:pPr>
      <w:r>
        <w:rPr>
          <w:rStyle w:val="htmlcodes"/>
        </w:rPr>
        <w:t>&lt;a name=e15d8&gt;</w:t>
      </w:r>
      <w:r>
        <w:t>15.8)</w:t>
      </w:r>
      <w:r>
        <w:tab/>
        <w:t>.i sei la fred. cusku se'u .uinaicairo'i</w:t>
      </w:r>
    </w:p>
    <w:p w:rsidR="00B72047" w:rsidRDefault="00B72047">
      <w:pPr>
        <w:pStyle w:val="examplescaled"/>
      </w:pPr>
      <w:r>
        <w:tab/>
      </w:r>
      <w:r>
        <w:tab/>
        <w:t>mi ji'a prami la .alis. fe'o .rik.</w:t>
      </w:r>
    </w:p>
    <w:p w:rsidR="00B72047" w:rsidRDefault="00B72047">
      <w:pPr>
        <w:pStyle w:val="examplescaled"/>
      </w:pPr>
      <w:r>
        <w:tab/>
        <w:t>[Comment] Fred says, [end-comment] [Happy] [not] [emphatic] [emotional]</w:t>
      </w:r>
    </w:p>
    <w:p w:rsidR="00B72047" w:rsidRDefault="00B72047">
      <w:pPr>
        <w:pStyle w:val="examplescaled"/>
      </w:pPr>
      <w:r>
        <w:tab/>
      </w:r>
      <w:r>
        <w:tab/>
        <w:t>I [additionally] love Alice. [Over and out to] Rick.</w:t>
      </w:r>
    </w:p>
    <w:p w:rsidR="00B72047" w:rsidRDefault="00B72047">
      <w:pPr>
        <w:pStyle w:val="examplescaled"/>
      </w:pPr>
      <w:r>
        <w:tab/>
        <w:t>“I love Alice too,” said Fred miserably. “Have a nice life, Rick.”</w:t>
      </w:r>
    </w:p>
    <w:p w:rsidR="00B72047" w:rsidRDefault="00B72047">
      <w:pPr>
        <w:pStyle w:val="examplescaledpre"/>
      </w:pPr>
      <w:r>
        <w:rPr>
          <w:rStyle w:val="htmlcodes"/>
        </w:rPr>
        <w:t>&lt;a name=e15d9&gt;</w:t>
      </w:r>
      <w:r>
        <w:t>15.9)</w:t>
      </w:r>
      <w:r>
        <w:tab/>
        <w:t>.i la fred. cliva</w:t>
      </w:r>
    </w:p>
    <w:p w:rsidR="00B72047" w:rsidRDefault="00B72047">
      <w:pPr>
        <w:pStyle w:val="examplescaled"/>
      </w:pPr>
      <w:r>
        <w:tab/>
        <w:t>Fred leaves.</w:t>
      </w:r>
    </w:p>
    <w:p w:rsidR="00B72047" w:rsidRDefault="00B72047">
      <w:pPr>
        <w:pStyle w:val="examplescaled"/>
      </w:pPr>
      <w:r>
        <w:tab/>
        <w:t>And he left.</w:t>
      </w:r>
    </w:p>
    <w:p w:rsidR="00B72047" w:rsidRDefault="00B72047">
      <w:pPr>
        <w:pStyle w:val="examplescaledpre"/>
      </w:pPr>
      <w:r>
        <w:rPr>
          <w:rStyle w:val="htmlcodes"/>
        </w:rPr>
        <w:t>&lt;a name=e15d10&gt;</w:t>
      </w:r>
      <w:r>
        <w:t>15.10)</w:t>
      </w:r>
      <w:r>
        <w:tab/>
        <w:t>.i sei la rik. cusku se'u</w:t>
      </w:r>
    </w:p>
    <w:p w:rsidR="00B72047" w:rsidRDefault="00B72047">
      <w:pPr>
        <w:pStyle w:val="examplescaled"/>
      </w:pPr>
      <w:r>
        <w:tab/>
      </w:r>
      <w:r>
        <w:tab/>
        <w:t>fi'i ro zvati</w:t>
      </w:r>
    </w:p>
    <w:p w:rsidR="00B72047" w:rsidRDefault="00B72047">
      <w:pPr>
        <w:pStyle w:val="examplescaled"/>
      </w:pPr>
      <w:r>
        <w:tab/>
      </w:r>
      <w:r>
        <w:tab/>
        <w:t>ko pinxe pa ckafi fi'o pleji mi</w:t>
      </w:r>
    </w:p>
    <w:p w:rsidR="00B72047" w:rsidRDefault="00B72047">
      <w:pPr>
        <w:pStyle w:val="examplescaled"/>
      </w:pPr>
      <w:r>
        <w:tab/>
        <w:t>[Comment] Rick says, [end-comment]</w:t>
      </w:r>
    </w:p>
    <w:p w:rsidR="00B72047" w:rsidRDefault="00B72047">
      <w:pPr>
        <w:pStyle w:val="examplescaled"/>
      </w:pPr>
      <w:r>
        <w:tab/>
      </w:r>
      <w:r>
        <w:tab/>
        <w:t>[Welcome-to] all at-place,</w:t>
      </w:r>
    </w:p>
    <w:p w:rsidR="00B72047" w:rsidRDefault="00B72047">
      <w:pPr>
        <w:pStyle w:val="examplescaled"/>
      </w:pPr>
      <w:r>
        <w:tab/>
      </w:r>
      <w:r>
        <w:tab/>
        <w:t>[You-imperative] drink one coffee with-payer me.</w:t>
      </w:r>
    </w:p>
    <w:p w:rsidR="00B72047" w:rsidRDefault="00B72047">
      <w:pPr>
        <w:pStyle w:val="examplescaled"/>
      </w:pPr>
      <w:r>
        <w:tab/>
        <w:t>Rick said, raising his voice, “A cup of coffee for the house,</w:t>
      </w:r>
    </w:p>
    <w:p w:rsidR="00B72047" w:rsidRDefault="00B72047">
      <w:pPr>
        <w:pStyle w:val="examplescaled"/>
        <w:ind w:firstLine="576"/>
      </w:pPr>
      <w:r>
        <w:t>on me.”</w:t>
      </w:r>
    </w:p>
    <w:p w:rsidR="00B72047" w:rsidRDefault="00B72047">
      <w:pPr>
        <w:pStyle w:val="examplescaledpre"/>
      </w:pPr>
      <w:r>
        <w:rPr>
          <w:rStyle w:val="htmlcodes"/>
        </w:rPr>
        <w:t>&lt;a name=e15d11&gt;</w:t>
      </w:r>
      <w:r>
        <w:t>15.11)</w:t>
      </w:r>
      <w:r>
        <w:tab/>
        <w:t>.i sei la pam. cusku se'u be'e selfu</w:t>
      </w:r>
    </w:p>
    <w:p w:rsidR="00B72047" w:rsidRDefault="00B72047">
      <w:pPr>
        <w:pStyle w:val="examplescaled"/>
      </w:pPr>
      <w:r>
        <w:tab/>
        <w:t>[Comment] Pam says, [end-comment] [Request to speak to] server.</w:t>
      </w:r>
    </w:p>
    <w:p w:rsidR="00B72047" w:rsidRDefault="00B72047">
      <w:pPr>
        <w:pStyle w:val="examplescaled"/>
      </w:pPr>
      <w:r>
        <w:tab/>
        <w:t>Pam said, “Waiter!”</w:t>
      </w:r>
    </w:p>
    <w:p w:rsidR="00B72047" w:rsidRDefault="00B72047">
      <w:pPr>
        <w:pStyle w:val="examplescaledpre"/>
      </w:pPr>
      <w:r>
        <w:rPr>
          <w:rStyle w:val="htmlcodes"/>
        </w:rPr>
        <w:t>&lt;a name=e15d12&gt;</w:t>
      </w:r>
      <w:r>
        <w:t>15.12)</w:t>
      </w:r>
      <w:r>
        <w:tab/>
        <w:t>.i sei le selfu cu cusku se'u re'i [end-comment]</w:t>
      </w:r>
    </w:p>
    <w:p w:rsidR="00B72047" w:rsidRDefault="00B72047">
      <w:pPr>
        <w:pStyle w:val="examplescaled"/>
      </w:pPr>
      <w:r>
        <w:tab/>
        <w:t>[Comment] The server says, [Ready to receive].</w:t>
      </w:r>
    </w:p>
    <w:p w:rsidR="00B72047" w:rsidRDefault="00B72047">
      <w:pPr>
        <w:pStyle w:val="examplescaled"/>
      </w:pPr>
      <w:r>
        <w:tab/>
        <w:t>The waiter replied, “May I help you?”</w:t>
      </w:r>
    </w:p>
    <w:p w:rsidR="00B72047" w:rsidRDefault="00B72047">
      <w:pPr>
        <w:pStyle w:val="examplescaledpre"/>
      </w:pPr>
      <w:r>
        <w:rPr>
          <w:rStyle w:val="htmlcodes"/>
        </w:rPr>
        <w:t>&lt;a name=e15d13&gt;</w:t>
      </w:r>
      <w:r>
        <w:t>15.13)</w:t>
      </w:r>
      <w:r>
        <w:tab/>
        <w:t>.i sei la pam. cusku se'u</w:t>
      </w:r>
    </w:p>
    <w:p w:rsidR="00B72047" w:rsidRDefault="00B72047">
      <w:pPr>
        <w:pStyle w:val="examplescaled"/>
      </w:pPr>
      <w:r>
        <w:tab/>
      </w:r>
      <w:r>
        <w:tab/>
        <w:t>e'o ko selfu le traji xamgu ckafi</w:t>
      </w:r>
    </w:p>
    <w:p w:rsidR="00B72047" w:rsidRDefault="00B72047">
      <w:pPr>
        <w:pStyle w:val="examplescaled"/>
      </w:pPr>
      <w:r>
        <w:tab/>
      </w:r>
      <w:r>
        <w:tab/>
        <w:t>le baza speni fi'o selpleji mi</w:t>
      </w:r>
    </w:p>
    <w:p w:rsidR="00B72047" w:rsidRDefault="00B72047">
      <w:pPr>
        <w:pStyle w:val="examplescaled"/>
      </w:pPr>
      <w:r>
        <w:tab/>
        <w:t>[Comment] Pam says, [end-comment]</w:t>
      </w:r>
    </w:p>
    <w:p w:rsidR="00B72047" w:rsidRDefault="00B72047">
      <w:pPr>
        <w:pStyle w:val="examplescaled"/>
      </w:pPr>
      <w:r>
        <w:tab/>
      </w:r>
      <w:r>
        <w:tab/>
        <w:t>[Petition] [You-imperative] serve the (superlatively good) coffee</w:t>
      </w:r>
    </w:p>
    <w:p w:rsidR="00B72047" w:rsidRDefault="00B72047">
      <w:pPr>
        <w:pStyle w:val="examplescaled"/>
      </w:pPr>
      <w:r>
        <w:tab/>
      </w:r>
      <w:r>
        <w:tab/>
        <w:t>to-the [future] [medium] spouse with-payment me.</w:t>
      </w:r>
    </w:p>
    <w:p w:rsidR="00B72047" w:rsidRDefault="00B72047">
      <w:pPr>
        <w:pStyle w:val="examplescaled"/>
      </w:pPr>
      <w:r>
        <w:tab/>
        <w:t>Pam said, “One Jamaica Blue for the lovebirds here, on my tab.”</w:t>
      </w:r>
    </w:p>
    <w:p w:rsidR="00B72047" w:rsidRDefault="00B72047">
      <w:pPr>
        <w:pStyle w:val="examplescaledpre"/>
      </w:pPr>
      <w:r>
        <w:rPr>
          <w:rStyle w:val="htmlcodes"/>
        </w:rPr>
        <w:t>&lt;a name=e15d14&gt;</w:t>
      </w:r>
      <w:r>
        <w:t>15.14)</w:t>
      </w:r>
      <w:r>
        <w:tab/>
        <w:t>.i sei le selfu cu cusku se'u vi'o</w:t>
      </w:r>
    </w:p>
    <w:p w:rsidR="00B72047" w:rsidRDefault="00B72047">
      <w:pPr>
        <w:pStyle w:val="examplescaled"/>
      </w:pPr>
      <w:r>
        <w:tab/>
        <w:t>[Comment] The server says, [end-comment] [Will comply].</w:t>
      </w:r>
    </w:p>
    <w:p w:rsidR="00B72047" w:rsidRDefault="00B72047">
      <w:pPr>
        <w:pStyle w:val="examplescaled"/>
      </w:pPr>
      <w:r>
        <w:tab/>
        <w:t>“Gotcha”, said the waiter.</w:t>
      </w:r>
    </w:p>
    <w:p w:rsidR="00B72047" w:rsidRDefault="00B72047">
      <w:pPr>
        <w:pStyle w:val="examplescaledpre"/>
      </w:pPr>
      <w:r>
        <w:rPr>
          <w:rStyle w:val="htmlcodes"/>
        </w:rPr>
        <w:t>&lt;a name=e15d15&gt;</w:t>
      </w:r>
      <w:r>
        <w:t>15.15)</w:t>
      </w:r>
      <w:r>
        <w:tab/>
        <w:t>.i sei la rik. cusku se'u ki'e .pam.</w:t>
      </w:r>
    </w:p>
    <w:p w:rsidR="00B72047" w:rsidRDefault="00B72047">
      <w:pPr>
        <w:pStyle w:val="examplescaled"/>
      </w:pPr>
      <w:r>
        <w:tab/>
        <w:t>[Comment] Rick says, [end-comment] [Thanks O] Pam.</w:t>
      </w:r>
    </w:p>
    <w:p w:rsidR="00B72047" w:rsidRDefault="00B72047">
      <w:pPr>
        <w:pStyle w:val="examplescaled"/>
      </w:pPr>
      <w:r>
        <w:tab/>
        <w:t>“Thanks, Pam”, said Rick.</w:t>
      </w:r>
    </w:p>
    <w:p w:rsidR="00B72047" w:rsidRDefault="00B72047">
      <w:pPr>
        <w:pStyle w:val="examplescaledpre"/>
        <w:spacing w:before="80"/>
      </w:pPr>
      <w:r>
        <w:rPr>
          <w:rStyle w:val="htmlcodes"/>
        </w:rPr>
        <w:t>&lt;a name=e15d16&gt;</w:t>
      </w:r>
      <w:r>
        <w:t>15.16)</w:t>
      </w:r>
      <w:r>
        <w:tab/>
        <w:t>.i sei la pam. cusku se'u je'e</w:t>
      </w:r>
    </w:p>
    <w:p w:rsidR="00B72047" w:rsidRDefault="00B72047">
      <w:pPr>
        <w:pStyle w:val="examplescaled"/>
      </w:pPr>
      <w:r>
        <w:tab/>
        <w:t>[Comment] Pam says, [end-comment] [Acknowledge].</w:t>
      </w:r>
    </w:p>
    <w:p w:rsidR="00B72047" w:rsidRDefault="00B72047">
      <w:pPr>
        <w:pStyle w:val="examplescaled"/>
      </w:pPr>
      <w:r>
        <w:tab/>
        <w:t>“Sure”, said Pam.</w:t>
      </w:r>
    </w:p>
    <w:p w:rsidR="00B72047" w:rsidRDefault="00B72047">
      <w:pPr>
        <w:pStyle w:val="examplescaledpre"/>
        <w:spacing w:before="80"/>
      </w:pPr>
      <w:r>
        <w:rPr>
          <w:rStyle w:val="htmlcodes"/>
        </w:rPr>
        <w:t>&lt;a name=e15d17&gt;</w:t>
      </w:r>
      <w:r>
        <w:t>15.17)</w:t>
      </w:r>
      <w:r>
        <w:tab/>
        <w:t>.i sei la djan. cusku se'u</w:t>
      </w:r>
    </w:p>
    <w:p w:rsidR="00B72047" w:rsidRDefault="00B72047">
      <w:pPr>
        <w:pStyle w:val="examplescaled"/>
      </w:pPr>
      <w:r>
        <w:tab/>
      </w:r>
      <w:r>
        <w:tab/>
        <w:t>.y. mi .y. mutce spopa .y.</w:t>
      </w:r>
    </w:p>
    <w:p w:rsidR="00B72047" w:rsidRDefault="00B72047">
      <w:pPr>
        <w:pStyle w:val="examplescaled"/>
      </w:pPr>
      <w:r>
        <w:tab/>
      </w:r>
      <w:r>
        <w:tab/>
        <w:t>le nu le speni si .y. ba speni .y. .y.</w:t>
      </w:r>
    </w:p>
    <w:p w:rsidR="00B72047" w:rsidRDefault="00B72047">
      <w:pPr>
        <w:pStyle w:val="examplescaled"/>
      </w:pPr>
      <w:r>
        <w:tab/>
      </w:r>
      <w:r>
        <w:tab/>
        <w:t>su .yyyyyy. mu'o</w:t>
      </w:r>
    </w:p>
    <w:p w:rsidR="00B72047" w:rsidRDefault="00B72047">
      <w:pPr>
        <w:pStyle w:val="examplescaled"/>
      </w:pPr>
      <w:r>
        <w:tab/>
        <w:t>[Comment] John says, [end-comment]</w:t>
      </w:r>
    </w:p>
    <w:p w:rsidR="00B72047" w:rsidRDefault="00B72047">
      <w:pPr>
        <w:pStyle w:val="examplescaled"/>
      </w:pPr>
      <w:r>
        <w:tab/>
      </w:r>
      <w:r>
        <w:tab/>
        <w:t>[Uh] I [uh] very [nonexistent gismu] [uh]</w:t>
      </w:r>
    </w:p>
    <w:p w:rsidR="00B72047" w:rsidRDefault="00B72047">
      <w:pPr>
        <w:pStyle w:val="examplescaled"/>
      </w:pPr>
      <w:r>
        <w:tab/>
      </w:r>
      <w:r>
        <w:tab/>
        <w:t>the event-of the spouse [erase] [uh] [future] spouse [uh] [uh]</w:t>
      </w:r>
    </w:p>
    <w:p w:rsidR="00B72047" w:rsidRDefault="00B72047">
      <w:pPr>
        <w:pStyle w:val="examplescaled"/>
      </w:pPr>
      <w:r>
        <w:tab/>
      </w:r>
      <w:r>
        <w:tab/>
        <w:t>[erase all] [uh] [over]</w:t>
      </w:r>
    </w:p>
    <w:p w:rsidR="00B72047" w:rsidRDefault="00B72047">
      <w:pPr>
        <w:pStyle w:val="examplescaled"/>
      </w:pPr>
      <w:r>
        <w:tab/>
        <w:t>John said, “I, er, a lotta, uh, marriage, upcoming marriage, </w:t>
      </w:r>
      <w:r>
        <w:rPr>
          <w:rStyle w:val="htmlcodes"/>
        </w:rPr>
        <w:t>&lt;dots&gt;</w:t>
      </w:r>
      <w:r>
        <w:t>…</w:t>
      </w:r>
      <w:r>
        <w:rPr>
          <w:rStyle w:val="htmlcodes"/>
        </w:rPr>
        <w:t>&lt;/dots&gt;</w:t>
      </w:r>
      <w:r>
        <w:t>. Oh, forget it.</w:t>
      </w:r>
    </w:p>
    <w:p w:rsidR="00B72047" w:rsidRDefault="00B72047">
      <w:pPr>
        <w:pStyle w:val="examplescaled"/>
        <w:ind w:firstLine="576"/>
      </w:pPr>
      <w:r>
        <w:t>Er, later.”</w:t>
      </w:r>
    </w:p>
    <w:p w:rsidR="00B72047" w:rsidRDefault="00B72047">
      <w:pPr>
        <w:pStyle w:val="examplescaledpre"/>
        <w:spacing w:before="80"/>
      </w:pPr>
      <w:r>
        <w:rPr>
          <w:rStyle w:val="htmlcodes"/>
        </w:rPr>
        <w:t>&lt;a name=e15d18&gt;</w:t>
      </w:r>
      <w:r>
        <w:t>15.18)</w:t>
      </w:r>
      <w:r>
        <w:tab/>
        <w:t>.i sei la djordj. cusku se'u ke'o .djan. zo'o</w:t>
      </w:r>
    </w:p>
    <w:p w:rsidR="00B72047" w:rsidRDefault="00B72047">
      <w:pPr>
        <w:pStyle w:val="examplescaled"/>
      </w:pPr>
      <w:r>
        <w:tab/>
        <w:t>[Comment] George says, [end-comment] [Repeat O] John [humor].</w:t>
      </w:r>
    </w:p>
    <w:p w:rsidR="00B72047" w:rsidRDefault="00B72047">
      <w:pPr>
        <w:pStyle w:val="examplescaled"/>
      </w:pPr>
      <w:r>
        <w:tab/>
        <w:t>“How's that again, John?” said George.</w:t>
      </w:r>
    </w:p>
    <w:p w:rsidR="00B72047" w:rsidRDefault="00B72047">
      <w:pPr>
        <w:pStyle w:val="examplescaledpre"/>
      </w:pPr>
      <w:r>
        <w:rPr>
          <w:rStyle w:val="htmlcodes"/>
        </w:rPr>
        <w:t>&lt;a name=e15d19&gt;</w:t>
      </w:r>
      <w:r>
        <w:t>15.19)</w:t>
      </w:r>
      <w:r>
        <w:tab/>
        <w:t>.i sei la pam. cusku se'u</w:t>
      </w:r>
    </w:p>
    <w:p w:rsidR="00B72047" w:rsidRDefault="00B72047">
      <w:pPr>
        <w:pStyle w:val="examplescaled"/>
      </w:pPr>
      <w:r>
        <w:tab/>
      </w:r>
      <w:r>
        <w:tab/>
        <w:t>ju'i .djordj. .e'unai le kabri bazi farlu</w:t>
      </w:r>
    </w:p>
    <w:p w:rsidR="00B72047" w:rsidRDefault="00B72047">
      <w:pPr>
        <w:pStyle w:val="examplescaled"/>
      </w:pPr>
      <w:r>
        <w:tab/>
        <w:t>[Comment] Pam says, [end-comment]</w:t>
      </w:r>
    </w:p>
    <w:p w:rsidR="00B72047" w:rsidRDefault="00B72047">
      <w:pPr>
        <w:pStyle w:val="examplescaled"/>
      </w:pPr>
      <w:r>
        <w:tab/>
      </w:r>
      <w:r>
        <w:tab/>
        <w:t>[Attention] George, [Warning] the cup [future] [short] falls</w:t>
      </w:r>
    </w:p>
    <w:p w:rsidR="00B72047" w:rsidRDefault="00B72047">
      <w:pPr>
        <w:pStyle w:val="examplescaled"/>
      </w:pPr>
      <w:r>
        <w:tab/>
        <w:t>“George, watch out!” said Pam. “The cup's falling!”</w:t>
      </w:r>
    </w:p>
    <w:p w:rsidR="00B72047" w:rsidRDefault="00B72047">
      <w:pPr>
        <w:pStyle w:val="examplescaledpre"/>
        <w:spacing w:before="80"/>
      </w:pPr>
      <w:r>
        <w:rPr>
          <w:rStyle w:val="htmlcodes"/>
        </w:rPr>
        <w:t>&lt;a name=e15d20&gt;</w:t>
      </w:r>
      <w:r>
        <w:t>15.20)</w:t>
      </w:r>
      <w:r>
        <w:tab/>
        <w:t>.i le kabri cu je'a farlu</w:t>
      </w:r>
    </w:p>
    <w:p w:rsidR="00B72047" w:rsidRDefault="00B72047">
      <w:pPr>
        <w:pStyle w:val="examplescaled"/>
      </w:pPr>
      <w:r>
        <w:tab/>
        <w:t>The cup indeed falls.</w:t>
      </w:r>
    </w:p>
    <w:p w:rsidR="00B72047" w:rsidRDefault="00B72047">
      <w:pPr>
        <w:pStyle w:val="examplescaled"/>
      </w:pPr>
      <w:r>
        <w:tab/>
        <w:t>The cup fell.</w:t>
      </w:r>
    </w:p>
    <w:p w:rsidR="00B72047" w:rsidRDefault="00B72047">
      <w:pPr>
        <w:pStyle w:val="examplescaledpre"/>
        <w:spacing w:before="80"/>
      </w:pPr>
      <w:r>
        <w:rPr>
          <w:rStyle w:val="htmlcodes"/>
        </w:rPr>
        <w:t>&lt;a name=e15d21&gt;</w:t>
      </w:r>
      <w:r>
        <w:t>15.21)</w:t>
      </w:r>
      <w:r>
        <w:tab/>
        <w:t>.i sei la djan. cusku se'u</w:t>
      </w:r>
    </w:p>
    <w:p w:rsidR="00B72047" w:rsidRDefault="00B72047">
      <w:pPr>
        <w:pStyle w:val="examplescaled"/>
      </w:pPr>
      <w:r>
        <w:tab/>
      </w:r>
      <w:r>
        <w:tab/>
        <w:t>e'o doi djordj. zo'o rapygau</w:t>
      </w:r>
    </w:p>
    <w:p w:rsidR="00B72047" w:rsidRDefault="00B72047">
      <w:pPr>
        <w:pStyle w:val="examplescaled"/>
      </w:pPr>
      <w:r>
        <w:tab/>
        <w:t>[Comment] John says, [end-comment]</w:t>
      </w:r>
    </w:p>
    <w:p w:rsidR="00B72047" w:rsidRDefault="00B72047">
      <w:pPr>
        <w:pStyle w:val="examplescaled"/>
      </w:pPr>
      <w:r>
        <w:tab/>
      </w:r>
      <w:r>
        <w:tab/>
        <w:t>[Petition] O George [humor] repeat-cause.</w:t>
      </w:r>
    </w:p>
    <w:p w:rsidR="00B72047" w:rsidRDefault="00B72047">
      <w:pPr>
        <w:pStyle w:val="examplescaled"/>
      </w:pPr>
      <w:r>
        <w:tab/>
        <w:t>John said, “Try that again, George!”</w:t>
      </w:r>
    </w:p>
    <w:p w:rsidR="00B72047" w:rsidRDefault="00B72047">
      <w:pPr>
        <w:pStyle w:val="examplescaledpre"/>
        <w:spacing w:before="80"/>
      </w:pPr>
      <w:r>
        <w:rPr>
          <w:rStyle w:val="htmlcodes"/>
        </w:rPr>
        <w:t>&lt;a name=e15d22&gt;</w:t>
      </w:r>
      <w:r>
        <w:t>15.22)</w:t>
      </w:r>
      <w:r>
        <w:tab/>
        <w:t>.i sei la djordj. cusku se'u</w:t>
      </w:r>
    </w:p>
    <w:p w:rsidR="00B72047" w:rsidRDefault="00B72047">
      <w:pPr>
        <w:pStyle w:val="examplescaled"/>
      </w:pPr>
      <w:r>
        <w:tab/>
      </w:r>
      <w:r>
        <w:tab/>
        <w:t>co'o ro zvati pe secau la djan. ga'i</w:t>
      </w:r>
    </w:p>
    <w:p w:rsidR="00B72047" w:rsidRDefault="00B72047">
      <w:pPr>
        <w:pStyle w:val="examplescaled"/>
      </w:pPr>
      <w:r>
        <w:tab/>
        <w:t>[Comment] George says, [end-comment]</w:t>
      </w:r>
    </w:p>
    <w:p w:rsidR="00B72047" w:rsidRDefault="00B72047">
      <w:pPr>
        <w:pStyle w:val="examplescaled"/>
      </w:pPr>
      <w:r>
        <w:tab/>
      </w:r>
      <w:r>
        <w:tab/>
        <w:t>[Partings] all at-place without John [superiority]</w:t>
      </w:r>
    </w:p>
    <w:p w:rsidR="00B72047" w:rsidRDefault="00B72047">
      <w:pPr>
        <w:pStyle w:val="examplescaled"/>
      </w:pPr>
      <w:r>
        <w:tab/>
        <w:t>“Goodbye to all of you,” said George sneeringly, “except John.”</w:t>
      </w:r>
    </w:p>
    <w:p w:rsidR="00B72047" w:rsidRDefault="00B72047">
      <w:pPr>
        <w:pStyle w:val="examplescaledpre"/>
        <w:spacing w:before="80"/>
      </w:pPr>
      <w:r>
        <w:rPr>
          <w:rStyle w:val="htmlcodes"/>
        </w:rPr>
        <w:t>&lt;a name=e15d23&gt;</w:t>
      </w:r>
      <w:r>
        <w:t>15.23)</w:t>
      </w:r>
      <w:r>
        <w:tab/>
        <w:t>.i la djordj. cliva</w:t>
      </w:r>
    </w:p>
    <w:p w:rsidR="00B72047" w:rsidRDefault="00B72047">
      <w:pPr>
        <w:pStyle w:val="examplescaled"/>
      </w:pPr>
      <w:r>
        <w:tab/>
        <w:t>George leaves.</w:t>
      </w:r>
    </w:p>
    <w:p w:rsidR="00B72047" w:rsidRDefault="00B72047">
      <w:pPr>
        <w:pStyle w:val="examplescaled"/>
      </w:pPr>
      <w:r>
        <w:tab/>
        <w:t>George left.</w:t>
      </w:r>
    </w:p>
    <w:p w:rsidR="00B72047" w:rsidRDefault="00B72047">
      <w:pPr>
        <w:pStyle w:val="Heading3"/>
        <w:rPr>
          <w:rStyle w:val="Heading3Text"/>
        </w:rPr>
      </w:pPr>
      <w:r>
        <w:rPr>
          <w:rStyle w:val="htmlcodes"/>
        </w:rPr>
        <w:t>&lt;/pre&gt;&lt;a name=s16&gt;&lt;h3&gt;</w:t>
      </w:r>
      <w:bookmarkStart w:id="411" w:name="_Toc398970653"/>
      <w:r>
        <w:rPr>
          <w:rStyle w:val="Heading3Text"/>
        </w:rPr>
        <w:t>Tentative conclusion</w:t>
      </w:r>
      <w:bookmarkEnd w:id="411"/>
      <w:r>
        <w:rPr>
          <w:rStyle w:val="htmlcodes"/>
        </w:rPr>
        <w:t>&lt;/h3&gt;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"Kzinti, communication with"&gt;</w:t>
      </w:r>
      <w:r>
        <w:rPr>
          <w:rStyle w:val="indexentry"/>
        </w:rPr>
        <w:fldChar w:fldCharType="begin"/>
      </w:r>
      <w:r>
        <w:instrText>xe "</w:instrText>
      </w:r>
      <w:r>
        <w:rPr>
          <w:rStyle w:val="xeentry"/>
        </w:rPr>
        <w:instrText>Kzinti: communication with</w:instrText>
      </w:r>
      <w:r>
        <w:instrText>"</w:instrText>
      </w:r>
      <w:r>
        <w:rPr>
          <w:rStyle w:val="indexentry"/>
        </w:rPr>
        <w:fldChar w:fldCharType="end"/>
      </w:r>
      <w:r>
        <w:rPr>
          <w:rStyle w:val="indexentry"/>
        </w:rPr>
        <w:t>&lt;cx "aliens, communication with"&gt;</w:t>
      </w:r>
      <w:r>
        <w:rPr>
          <w:rStyle w:val="indexentry"/>
        </w:rPr>
        <w:fldChar w:fldCharType="begin"/>
      </w:r>
      <w:r>
        <w:instrText>xe "</w:instrText>
      </w:r>
      <w:r>
        <w:rPr>
          <w:rStyle w:val="xeentry"/>
        </w:rPr>
        <w:instrText>aliens: communication with</w:instrText>
      </w:r>
      <w:r>
        <w:instrText>"</w:instrText>
      </w:r>
      <w:r>
        <w:rPr>
          <w:rStyle w:val="indexentry"/>
        </w:rPr>
        <w:fldChar w:fldCharType="end"/>
      </w:r>
      <w:r>
        <w:rPr>
          <w:rStyle w:val="indexentry"/>
        </w:rPr>
        <w:t>&lt;cx "indicators, ramifications"&gt;</w:t>
      </w:r>
      <w:r>
        <w:rPr>
          <w:rStyle w:val="indexentry"/>
        </w:rPr>
        <w:fldChar w:fldCharType="begin"/>
      </w:r>
      <w:r>
        <w:instrText>xe "</w:instrText>
      </w:r>
      <w:r>
        <w:rPr>
          <w:rStyle w:val="xeentry"/>
        </w:rPr>
        <w:instrText>indicators: ramifications</w:instrText>
      </w:r>
      <w:r>
        <w:instrText>"</w:instrText>
      </w:r>
      <w:r>
        <w:rPr>
          <w:rStyle w:val="indexentry"/>
        </w:rPr>
        <w:fldChar w:fldCharType="end"/>
      </w:r>
      <w:r>
        <w:t>The exact ramifications of the indicator system in actual us</w:t>
      </w:r>
      <w:r>
        <w:softHyphen/>
        <w:t>age are unknown.</w:t>
      </w:r>
      <w:r>
        <w:rPr>
          <w:rStyle w:val="deletedparamark"/>
        </w:rPr>
        <w:t xml:space="preserve"> </w:t>
      </w:r>
      <w:r>
        <w:t>There has never been anything like it in natural language before. The</w:t>
      </w:r>
      <w:r>
        <w:rPr>
          <w:rStyle w:val="deletedparamark"/>
        </w:rPr>
        <w:t xml:space="preserve"> </w:t>
      </w:r>
      <w:r>
        <w:t>system provides great p</w:t>
      </w:r>
      <w:r>
        <w:t>o</w:t>
      </w:r>
      <w:r>
        <w:softHyphen/>
        <w:t>tential for emotional expression and transcription,</w:t>
      </w:r>
      <w:r>
        <w:rPr>
          <w:rStyle w:val="deletedparamark"/>
        </w:rPr>
        <w:t xml:space="preserve"> </w:t>
      </w:r>
      <w:r>
        <w:t>from which significant Sapir-Whorf ef</w:t>
      </w:r>
      <w:r>
        <w:softHyphen/>
        <w:t>fects can be anticipated. When</w:t>
      </w:r>
      <w:r>
        <w:rPr>
          <w:rStyle w:val="deletedparamark"/>
        </w:rPr>
        <w:t xml:space="preserve"> </w:t>
      </w:r>
      <w:r>
        <w:t>communicating across cultural boundaries, where different indicators are</w:t>
      </w:r>
      <w:r>
        <w:rPr>
          <w:rStyle w:val="deletedparamark"/>
        </w:rPr>
        <w:t xml:space="preserve"> </w:t>
      </w:r>
      <w:r>
        <w:t>often used for the same emotion, accidental offense can be avoided. If we</w:t>
      </w:r>
      <w:r>
        <w:rPr>
          <w:rStyle w:val="deletedparamark"/>
        </w:rPr>
        <w:t xml:space="preserve"> </w:t>
      </w:r>
      <w:r>
        <w:t>ever ran into an alien race, a culturally neutral language of emotion could</w:t>
      </w:r>
      <w:r>
        <w:rPr>
          <w:rStyle w:val="deletedparamark"/>
        </w:rPr>
        <w:t xml:space="preserve"> </w:t>
      </w:r>
      <w:r>
        <w:t>be vital. (A classic example, taken from the science fiction of Larry Niven,</w:t>
      </w:r>
      <w:r>
        <w:rPr>
          <w:rStyle w:val="deletedparamark"/>
        </w:rPr>
        <w:t xml:space="preserve"> </w:t>
      </w:r>
      <w:r>
        <w:t>is to imagine speaking Lojban to the carnivorous warriors called Kzinti,</w:t>
      </w:r>
      <w:r>
        <w:rPr>
          <w:rStyle w:val="deletedparamark"/>
        </w:rPr>
        <w:t xml:space="preserve"> </w:t>
      </w:r>
      <w:r>
        <w:t>noting that a human smile bares the teeth, and could be seen as an intent</w:t>
      </w:r>
      <w:r>
        <w:rPr>
          <w:rStyle w:val="deletedparamark"/>
        </w:rPr>
        <w:t xml:space="preserve"> </w:t>
      </w:r>
      <w:r>
        <w:t>to attack.) And for communicating emotions to co</w:t>
      </w:r>
      <w:r>
        <w:t>m</w:t>
      </w:r>
      <w:r>
        <w:softHyphen/>
        <w:t>puters, when we cannot</w:t>
      </w:r>
      <w:r>
        <w:rPr>
          <w:rStyle w:val="deletedparamark"/>
        </w:rPr>
        <w:t xml:space="preserve"> </w:t>
      </w:r>
      <w:r>
        <w:t>identify all of the signals involved in sublimi</w:t>
      </w:r>
      <w:r>
        <w:softHyphen/>
        <w:t>nal hu</w:t>
      </w:r>
      <w:r>
        <w:softHyphen/>
        <w:t>man comm</w:t>
      </w:r>
      <w:r>
        <w:t>u</w:t>
      </w:r>
      <w:r>
        <w:softHyphen/>
        <w:t>nication</w:t>
      </w:r>
      <w:r>
        <w:rPr>
          <w:rStyle w:val="deletedparamark"/>
        </w:rPr>
        <w:t xml:space="preserve"> </w:t>
      </w:r>
      <w:r>
        <w:t>(things like body language are also cultural), a system like this is needed.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"indicators, rationale for selection"&gt;</w:t>
      </w:r>
      <w:r>
        <w:rPr>
          <w:rStyle w:val="indexentry"/>
        </w:rPr>
        <w:fldChar w:fldCharType="begin"/>
      </w:r>
      <w:r>
        <w:instrText>xe "</w:instrText>
      </w:r>
      <w:r>
        <w:rPr>
          <w:rStyle w:val="xeentry"/>
        </w:rPr>
        <w:instrText>indicators: rationale for selection</w:instrText>
      </w:r>
      <w:r>
        <w:instrText>"</w:instrText>
      </w:r>
      <w:r>
        <w:rPr>
          <w:rStyle w:val="indexentry"/>
        </w:rPr>
        <w:fldChar w:fldCharType="end"/>
      </w:r>
      <w:r>
        <w:t>We have tried to err on the side of overkill. There are distinc</w:t>
      </w:r>
      <w:r>
        <w:softHyphen/>
        <w:t>tions</w:t>
      </w:r>
      <w:r>
        <w:rPr>
          <w:rStyle w:val="deletedparamark"/>
        </w:rPr>
        <w:t xml:space="preserve"> </w:t>
      </w:r>
      <w:r>
        <w:t>possible in this system that no one may care to make in any culture.</w:t>
      </w:r>
      <w:r>
        <w:rPr>
          <w:rStyle w:val="deletedparamark"/>
        </w:rPr>
        <w:t xml:space="preserve"> </w:t>
      </w:r>
      <w:r>
        <w:t>But it was deemed more neu</w:t>
      </w:r>
      <w:r>
        <w:softHyphen/>
        <w:t>tral to overspecify and let usage decide,</w:t>
      </w:r>
      <w:r>
        <w:rPr>
          <w:rStyle w:val="deletedparamark"/>
        </w:rPr>
        <w:t xml:space="preserve"> </w:t>
      </w:r>
      <w:r>
        <w:t>than to choose a limited set and constrain emo</w:t>
      </w:r>
      <w:r>
        <w:softHyphen/>
        <w:t>tional expres</w:t>
      </w:r>
      <w:r>
        <w:softHyphen/>
        <w:t>sion.</w:t>
      </w:r>
      <w:r>
        <w:rPr>
          <w:rStyle w:val="deletedparamark"/>
        </w:rPr>
        <w:t xml:space="preserve"> </w:t>
      </w:r>
      <w:r>
        <w:t>For circumstances in which even the current indicator set is not enough,</w:t>
      </w:r>
      <w:r>
        <w:rPr>
          <w:rStyle w:val="deletedparamark"/>
        </w:rPr>
        <w:t xml:space="preserve"> </w:t>
      </w:r>
      <w:r>
        <w:t xml:space="preserve">it is possible using the cmavo “sei”, explained in </w:t>
      </w:r>
      <w:r>
        <w:rPr>
          <w:rStyle w:val="htmlcodes"/>
        </w:rPr>
        <w:t>&lt;a href=chap19.html&gt;</w:t>
      </w:r>
      <w:r>
        <w:t>Chapter 19</w:t>
      </w:r>
      <w:r>
        <w:rPr>
          <w:rStyle w:val="htmlcodes"/>
        </w:rPr>
        <w:t>&lt;/a&gt;</w:t>
      </w:r>
      <w:r>
        <w:t>, to create</w:t>
      </w:r>
      <w:r>
        <w:rPr>
          <w:rStyle w:val="deletedparamark"/>
        </w:rPr>
        <w:t xml:space="preserve"> </w:t>
      </w:r>
      <w:r>
        <w:t>metalin</w:t>
      </w:r>
      <w:r>
        <w:softHyphen/>
        <w:t>guistic co</w:t>
      </w:r>
      <w:r>
        <w:t>m</w:t>
      </w:r>
      <w:r>
        <w:softHyphen/>
        <w:t>ments that act like indicators.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"indicators, evolutionary development of"&gt;</w:t>
      </w:r>
      <w:r>
        <w:rPr>
          <w:rStyle w:val="indexentry"/>
        </w:rPr>
        <w:fldChar w:fldCharType="begin"/>
      </w:r>
      <w:r>
        <w:instrText>xe "</w:instrText>
      </w:r>
      <w:r>
        <w:rPr>
          <w:rStyle w:val="xeentry"/>
        </w:rPr>
        <w:instrText>indicators: evolutionary development of</w:instrText>
      </w:r>
      <w:r>
        <w:instrText>"</w:instrText>
      </w:r>
      <w:r>
        <w:rPr>
          <w:rStyle w:val="indexentry"/>
        </w:rPr>
        <w:fldChar w:fldCharType="end"/>
      </w:r>
      <w:r>
        <w:t>We envision an evolutionary development. At this point, the system is</w:t>
      </w:r>
      <w:r>
        <w:rPr>
          <w:rStyle w:val="deletedparamark"/>
        </w:rPr>
        <w:t xml:space="preserve"> </w:t>
      </w:r>
      <w:r>
        <w:t>little more than a mental toy. Many of you who read this will try</w:t>
      </w:r>
      <w:r>
        <w:rPr>
          <w:rStyle w:val="deletedparamark"/>
        </w:rPr>
        <w:t xml:space="preserve"> </w:t>
      </w:r>
      <w:r>
        <w:t>playing around with various co</w:t>
      </w:r>
      <w:r>
        <w:t>m</w:t>
      </w:r>
      <w:r>
        <w:softHyphen/>
        <w:t>binations of indicators, trying to figure out</w:t>
      </w:r>
      <w:r>
        <w:rPr>
          <w:rStyle w:val="deletedparamark"/>
        </w:rPr>
        <w:t xml:space="preserve"> </w:t>
      </w:r>
      <w:r>
        <w:t>what emotions they express and when the e</w:t>
      </w:r>
      <w:r>
        <w:t>x</w:t>
      </w:r>
      <w:r>
        <w:softHyphen/>
        <w:t>pressions might be useful. You</w:t>
      </w:r>
      <w:r>
        <w:rPr>
          <w:rStyle w:val="deletedparamark"/>
        </w:rPr>
        <w:t xml:space="preserve"> </w:t>
      </w:r>
      <w:r>
        <w:t>may even find an expression for which there cur</w:t>
      </w:r>
      <w:r>
        <w:softHyphen/>
        <w:t>rently is no good English</w:t>
      </w:r>
      <w:r>
        <w:rPr>
          <w:rStyle w:val="deletedparamark"/>
        </w:rPr>
        <w:t xml:space="preserve"> </w:t>
      </w:r>
      <w:r>
        <w:t>word and start using it. Why not, if it helps you express your</w:t>
      </w:r>
      <w:r>
        <w:rPr>
          <w:rStyle w:val="deletedparamark"/>
        </w:rPr>
        <w:t xml:space="preserve"> </w:t>
      </w:r>
      <w:r>
        <w:t>feelings?</w:t>
      </w:r>
    </w:p>
    <w:p w:rsidR="00B72047" w:rsidRDefault="00B72047">
      <w:pPr>
        <w:pStyle w:val="normalparagraph"/>
        <w:rPr>
          <w:rStyle w:val="htmlparacode"/>
        </w:rPr>
      </w:pPr>
      <w:r>
        <w:rPr>
          <w:rStyle w:val="htmlparacode"/>
        </w:rPr>
        <w:t>&lt;p&gt;</w:t>
      </w:r>
    </w:p>
    <w:p w:rsidR="00B72047" w:rsidRDefault="00B72047">
      <w:pPr>
        <w:pStyle w:val="normalparagraph"/>
      </w:pPr>
      <w:r>
        <w:t>There will be a couple dozen of these used pretty much uni</w:t>
      </w:r>
      <w:r>
        <w:softHyphen/>
        <w:t>versally –</w:t>
      </w:r>
      <w:r>
        <w:rPr>
          <w:rStyle w:val="deletedparamark"/>
        </w:rPr>
        <w:t xml:space="preserve"> </w:t>
      </w:r>
      <w:r>
        <w:t>mostly just simple attitudinals with, at most, intensity mark</w:t>
      </w:r>
      <w:r>
        <w:softHyphen/>
        <w:t>ers. These are</w:t>
      </w:r>
      <w:r>
        <w:rPr>
          <w:rStyle w:val="deletedparamark"/>
        </w:rPr>
        <w:t xml:space="preserve"> </w:t>
      </w:r>
      <w:r>
        <w:t>the ones that will quickly be expressed at the subcon</w:t>
      </w:r>
      <w:r>
        <w:softHyphen/>
        <w:t>scious level. But</w:t>
      </w:r>
      <w:r>
        <w:rPr>
          <w:rStyle w:val="deletedparamark"/>
        </w:rPr>
        <w:t xml:space="preserve"> </w:t>
      </w:r>
      <w:r>
        <w:t>every Lojbanist who plays with the list will bring in a couple of new words.</w:t>
      </w:r>
      <w:r>
        <w:rPr>
          <w:rStyle w:val="deletedparamark"/>
        </w:rPr>
        <w:t xml:space="preserve"> </w:t>
      </w:r>
      <w:r>
        <w:t>Poets will paint emotional pictures, and people who identify with those</w:t>
      </w:r>
      <w:r>
        <w:rPr>
          <w:rStyle w:val="deletedparamark"/>
        </w:rPr>
        <w:t xml:space="preserve"> </w:t>
      </w:r>
      <w:r>
        <w:t>pictures will use the words so created for their own experi</w:t>
      </w:r>
      <w:r>
        <w:softHyphen/>
        <w:t>ences.</w:t>
      </w:r>
    </w:p>
    <w:p w:rsidR="00B72047" w:rsidRDefault="00B72047">
      <w:pPr>
        <w:pStyle w:val="normalparagraph"/>
        <w:rPr>
          <w:rStyle w:val="htmlparacode"/>
        </w:rPr>
      </w:pPr>
      <w:r>
        <w:rPr>
          <w:rStyle w:val="htmlparacode"/>
        </w:rPr>
        <w:t>&lt;p&gt;</w:t>
      </w:r>
    </w:p>
    <w:p w:rsidR="00B72047" w:rsidRDefault="00B72047">
      <w:pPr>
        <w:pStyle w:val="normalparagraph"/>
      </w:pPr>
      <w:r>
        <w:t>Just as a library of tanru is built up, so will a library of atti</w:t>
      </w:r>
      <w:r>
        <w:softHyphen/>
        <w:t>tudes be</w:t>
      </w:r>
      <w:r>
        <w:rPr>
          <w:rStyle w:val="deletedparamark"/>
        </w:rPr>
        <w:t xml:space="preserve"> </w:t>
      </w:r>
      <w:r>
        <w:t>built. Un</w:t>
      </w:r>
      <w:r>
        <w:softHyphen/>
        <w:t>like the tanru, though, the emotional expressions are built on</w:t>
      </w:r>
      <w:r>
        <w:rPr>
          <w:rStyle w:val="deletedparamark"/>
        </w:rPr>
        <w:t xml:space="preserve"> </w:t>
      </w:r>
      <w:r>
        <w:t>some fairly nebulous root emotions — words that cannot be defined with</w:t>
      </w:r>
      <w:r>
        <w:rPr>
          <w:rStyle w:val="deletedparamark"/>
        </w:rPr>
        <w:t xml:space="preserve"> </w:t>
      </w:r>
      <w:r>
        <w:t>the precision of the gismu. The emotion words of Loj</w:t>
      </w:r>
      <w:r>
        <w:softHyphen/>
        <w:t>ban will very</w:t>
      </w:r>
      <w:r>
        <w:rPr>
          <w:rStyle w:val="deletedparamark"/>
        </w:rPr>
        <w:t xml:space="preserve"> </w:t>
      </w:r>
      <w:r>
        <w:t>quickly take on a life of their own, and the outline given here will</w:t>
      </w:r>
      <w:r>
        <w:rPr>
          <w:rStyle w:val="deletedparamark"/>
        </w:rPr>
        <w:t xml:space="preserve"> </w:t>
      </w:r>
      <w:r>
        <w:t>evolve into a true system of emotions.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"emotions, recording using indicators"&gt;</w:t>
      </w:r>
      <w:r>
        <w:rPr>
          <w:rStyle w:val="indexentry"/>
        </w:rPr>
        <w:fldChar w:fldCharType="begin"/>
      </w:r>
      <w:r>
        <w:instrText>xe "</w:instrText>
      </w:r>
      <w:r>
        <w:rPr>
          <w:rStyle w:val="xeentry"/>
        </w:rPr>
        <w:instrText>emotions: recording using indicators</w:instrText>
      </w:r>
      <w:r>
        <w:instrText>"</w:instrText>
      </w:r>
      <w:r>
        <w:rPr>
          <w:rStyle w:val="indexentry"/>
        </w:rPr>
        <w:fldChar w:fldCharType="end"/>
      </w:r>
      <w:r>
        <w:rPr>
          <w:rStyle w:val="indexentry"/>
        </w:rPr>
        <w:t>&lt;cx "emotions, research using indicators"&gt;</w:t>
      </w:r>
      <w:r>
        <w:rPr>
          <w:rStyle w:val="indexentry"/>
        </w:rPr>
        <w:fldChar w:fldCharType="begin"/>
      </w:r>
      <w:r>
        <w:instrText>xe "</w:instrText>
      </w:r>
      <w:r>
        <w:rPr>
          <w:rStyle w:val="xeentry"/>
        </w:rPr>
        <w:instrText>emotions: research using indicators</w:instrText>
      </w:r>
      <w:r>
        <w:instrText>"</w:instrText>
      </w:r>
      <w:r>
        <w:rPr>
          <w:rStyle w:val="indexentry"/>
        </w:rPr>
        <w:fldChar w:fldCharType="end"/>
      </w:r>
      <w:r>
        <w:t>There are several theories as to the nature of emotion, and they</w:t>
      </w:r>
      <w:r>
        <w:rPr>
          <w:rStyle w:val="deletedparamark"/>
        </w:rPr>
        <w:t xml:space="preserve"> </w:t>
      </w:r>
      <w:r>
        <w:t>change from year to year as we learn more about ourselves. Whether or</w:t>
      </w:r>
      <w:r>
        <w:rPr>
          <w:rStyle w:val="deletedparamark"/>
        </w:rPr>
        <w:t xml:space="preserve"> </w:t>
      </w:r>
      <w:r>
        <w:t>not Lojban's additive/scalar emotional model is an accu</w:t>
      </w:r>
      <w:r>
        <w:softHyphen/>
        <w:t>rate model for</w:t>
      </w:r>
      <w:r>
        <w:rPr>
          <w:rStyle w:val="deletedparamark"/>
        </w:rPr>
        <w:t xml:space="preserve"> </w:t>
      </w:r>
      <w:r>
        <w:t>human emotions, it does support the linguis</w:t>
      </w:r>
      <w:r>
        <w:softHyphen/>
        <w:t>tic needs for expressing</w:t>
      </w:r>
      <w:r>
        <w:rPr>
          <w:rStyle w:val="deletedparamark"/>
        </w:rPr>
        <w:t xml:space="preserve"> </w:t>
      </w:r>
      <w:r>
        <w:t>those emotions. Researchers may learn more about the nature of human</w:t>
      </w:r>
      <w:r>
        <w:rPr>
          <w:rStyle w:val="deletedparamark"/>
        </w:rPr>
        <w:t xml:space="preserve"> </w:t>
      </w:r>
      <w:r>
        <w:t>em</w:t>
      </w:r>
      <w:r>
        <w:t>o</w:t>
      </w:r>
      <w:r>
        <w:softHyphen/>
        <w:t>tions by exploring the use of the system by Lojban speakers. They</w:t>
      </w:r>
      <w:r>
        <w:rPr>
          <w:rStyle w:val="deletedparamark"/>
        </w:rPr>
        <w:t xml:space="preserve"> </w:t>
      </w:r>
      <w:r>
        <w:t>also may be able to use the Lojban system as a means for more clearly</w:t>
      </w:r>
      <w:r>
        <w:rPr>
          <w:rStyle w:val="deletedparamark"/>
        </w:rPr>
        <w:t xml:space="preserve"> </w:t>
      </w:r>
      <w:r>
        <w:t>recording emotions.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"emotions, cultural bias of expression"&gt;</w:t>
      </w:r>
      <w:r>
        <w:rPr>
          <w:rStyle w:val="indexentry"/>
        </w:rPr>
        <w:fldChar w:fldCharType="begin"/>
      </w:r>
      <w:r>
        <w:instrText>xe "</w:instrText>
      </w:r>
      <w:r>
        <w:rPr>
          <w:rStyle w:val="xeentry"/>
        </w:rPr>
        <w:instrText>emotions: cultural bias of expression</w:instrText>
      </w:r>
      <w:r>
        <w:instrText>"</w:instrText>
      </w:r>
      <w:r>
        <w:rPr>
          <w:rStyle w:val="indexentry"/>
        </w:rPr>
        <w:fldChar w:fldCharType="end"/>
      </w:r>
      <w:r>
        <w:t>The full list of scales and attitudes will probably not be used until</w:t>
      </w:r>
      <w:r>
        <w:rPr>
          <w:rStyle w:val="deletedparamark"/>
        </w:rPr>
        <w:t xml:space="preserve"> </w:t>
      </w:r>
      <w:r>
        <w:t>someone speaks the language from birth. Until then, people will use the</w:t>
      </w:r>
      <w:r>
        <w:rPr>
          <w:rStyle w:val="deletedparamark"/>
        </w:rPr>
        <w:t xml:space="preserve"> </w:t>
      </w:r>
      <w:r>
        <w:t>attitudes that are impor</w:t>
      </w:r>
      <w:r>
        <w:softHyphen/>
        <w:t>tant to them. In this way, we counter cultural</w:t>
      </w:r>
      <w:r>
        <w:rPr>
          <w:rStyle w:val="deletedparamark"/>
        </w:rPr>
        <w:t xml:space="preserve"> </w:t>
      </w:r>
      <w:r>
        <w:t>bias — if a culture is prone to recognizing and/or expressing certain</w:t>
      </w:r>
      <w:r>
        <w:rPr>
          <w:rStyle w:val="deletedparamark"/>
        </w:rPr>
        <w:t xml:space="preserve"> </w:t>
      </w:r>
      <w:r>
        <w:t>emotions more than others, its members will use only those out of the</w:t>
      </w:r>
      <w:r>
        <w:rPr>
          <w:rStyle w:val="deletedparamark"/>
        </w:rPr>
        <w:t xml:space="preserve"> </w:t>
      </w:r>
      <w:r>
        <w:t>enormous set available. If a culture hides certain emotions, its</w:t>
      </w:r>
      <w:r>
        <w:rPr>
          <w:rStyle w:val="deletedparamark"/>
        </w:rPr>
        <w:t xml:space="preserve"> </w:t>
      </w:r>
      <w:r>
        <w:t>members sim</w:t>
      </w:r>
      <w:r>
        <w:softHyphen/>
        <w:t>ply won't ex</w:t>
      </w:r>
      <w:r>
        <w:softHyphen/>
        <w:t>press them.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"Sapir-Whorf effects, and emotional indicators"&gt;</w:t>
      </w:r>
      <w:r>
        <w:rPr>
          <w:rStyle w:val="indexentry"/>
        </w:rPr>
        <w:fldChar w:fldCharType="begin"/>
      </w:r>
      <w:r>
        <w:instrText>xe "</w:instrText>
      </w:r>
      <w:r>
        <w:rPr>
          <w:rStyle w:val="xeentry"/>
        </w:rPr>
        <w:instrText>Sapir-Whorf effects: and emotional indicators</w:instrText>
      </w:r>
      <w:r>
        <w:instrText>"</w:instrText>
      </w:r>
      <w:r>
        <w:rPr>
          <w:rStyle w:val="indexentry"/>
        </w:rPr>
        <w:fldChar w:fldCharType="end"/>
      </w:r>
      <w:r>
        <w:t>Perhaps native Lojban speakers will be more expressively clear about</w:t>
      </w:r>
      <w:r>
        <w:rPr>
          <w:rStyle w:val="deletedparamark"/>
        </w:rPr>
        <w:t xml:space="preserve"> </w:t>
      </w:r>
      <w:r>
        <w:t>their emotions than others. Perhaps they will feel some emotions more</w:t>
      </w:r>
      <w:r>
        <w:rPr>
          <w:rStyle w:val="deletedparamark"/>
        </w:rPr>
        <w:t xml:space="preserve"> </w:t>
      </w:r>
      <w:r>
        <w:t>strongly than others in ways that can be correlated with the word</w:t>
      </w:r>
      <w:r>
        <w:rPr>
          <w:rStyle w:val="deletedparamark"/>
        </w:rPr>
        <w:t xml:space="preserve"> </w:t>
      </w:r>
      <w:r>
        <w:t>choices; any difference from the norms of other cul</w:t>
      </w:r>
      <w:r>
        <w:softHyphen/>
        <w:t>tures could be</w:t>
      </w:r>
      <w:r>
        <w:rPr>
          <w:rStyle w:val="deletedparamark"/>
        </w:rPr>
        <w:t xml:space="preserve"> </w:t>
      </w:r>
      <w:r>
        <w:t>significant. Psychologists have devised elaborate tests for meas</w:t>
      </w:r>
      <w:r>
        <w:softHyphen/>
        <w:t>uring</w:t>
      </w:r>
      <w:r>
        <w:rPr>
          <w:rStyle w:val="deletedparamark"/>
        </w:rPr>
        <w:t xml:space="preserve"> </w:t>
      </w:r>
      <w:r>
        <w:t>attitudes and personality; this may be the easiest area in which to</w:t>
      </w:r>
      <w:r>
        <w:rPr>
          <w:rStyle w:val="deletedparamark"/>
        </w:rPr>
        <w:t xml:space="preserve"> </w:t>
      </w:r>
      <w:r>
        <w:t>detect any sys</w:t>
      </w:r>
      <w:r>
        <w:softHyphen/>
        <w:t>tematic cultural effect of the type sought to confirm</w:t>
      </w:r>
      <w:r>
        <w:rPr>
          <w:rStyle w:val="deletedparamark"/>
        </w:rPr>
        <w:t xml:space="preserve"> </w:t>
      </w:r>
      <w:r>
        <w:t>Sapir-Whorf, simply because we already have tools in exis</w:t>
      </w:r>
      <w:r>
        <w:softHyphen/>
        <w:t>tence to test it.</w:t>
      </w:r>
      <w:r>
        <w:rPr>
          <w:rStyle w:val="deletedparamark"/>
        </w:rPr>
        <w:t xml:space="preserve"> </w:t>
      </w:r>
      <w:r>
        <w:t>Because Lojban is unique among languages in having such extensive and</w:t>
      </w:r>
      <w:r>
        <w:rPr>
          <w:rStyle w:val="deletedparamark"/>
        </w:rPr>
        <w:t xml:space="preserve"> </w:t>
      </w:r>
      <w:r>
        <w:t>expressive indicators, it is likely that a Sapir-Whorf effect will occur</w:t>
      </w:r>
      <w:r>
        <w:rPr>
          <w:rStyle w:val="deletedparamark"/>
        </w:rPr>
        <w:t xml:space="preserve"> </w:t>
      </w:r>
      <w:r>
        <w:t>and will be re</w:t>
      </w:r>
      <w:r>
        <w:t>c</w:t>
      </w:r>
      <w:r>
        <w:softHyphen/>
        <w:t>ognized.</w:t>
      </w:r>
    </w:p>
    <w:p w:rsidR="00B72047" w:rsidRDefault="00B72047">
      <w:pPr>
        <w:pStyle w:val="normalparagraph"/>
        <w:rPr>
          <w:rStyle w:val="htmlparacode"/>
        </w:rPr>
      </w:pPr>
      <w:r>
        <w:rPr>
          <w:rStyle w:val="htmlparacode"/>
        </w:rPr>
        <w:t>&lt;p&gt;</w:t>
      </w:r>
    </w:p>
    <w:p w:rsidR="00B72047" w:rsidRDefault="00B72047">
      <w:pPr>
        <w:pStyle w:val="normalparagraph"/>
      </w:pPr>
      <w:r>
        <w:t>It is unlikely that we will know the true potential of a system like</w:t>
      </w:r>
      <w:r>
        <w:rPr>
          <w:rStyle w:val="deletedparamark"/>
        </w:rPr>
        <w:t xml:space="preserve"> </w:t>
      </w:r>
      <w:r>
        <w:t>this one until and unless we have children raised entirely in a</w:t>
      </w:r>
      <w:r>
        <w:rPr>
          <w:rStyle w:val="deletedparamark"/>
        </w:rPr>
        <w:t xml:space="preserve"> </w:t>
      </w:r>
      <w:r>
        <w:t>multi-cultural Lojban-speaking envi</w:t>
      </w:r>
      <w:r>
        <w:softHyphen/>
        <w:t>ronment. We learn too many cul</w:t>
      </w:r>
      <w:r>
        <w:softHyphen/>
        <w:t>tural</w:t>
      </w:r>
      <w:r>
        <w:rPr>
          <w:rStyle w:val="deletedparamark"/>
        </w:rPr>
        <w:t xml:space="preserve"> </w:t>
      </w:r>
      <w:r>
        <w:t>habits in the realm of emotional communication “at our mother's knee”.</w:t>
      </w:r>
      <w:r>
        <w:rPr>
          <w:rStyle w:val="deletedparamark"/>
        </w:rPr>
        <w:t xml:space="preserve"> </w:t>
      </w:r>
      <w:r>
        <w:t>Such children will have a Lojban system that has stronger re</w:t>
      </w:r>
      <w:r>
        <w:softHyphen/>
        <w:t>inforcement than</w:t>
      </w:r>
      <w:r>
        <w:rPr>
          <w:rStyle w:val="deletedparamark"/>
        </w:rPr>
        <w:t xml:space="preserve"> </w:t>
      </w:r>
      <w:r>
        <w:t>any typical culture system. The second generation of such children, then,</w:t>
      </w:r>
      <w:r>
        <w:rPr>
          <w:rStyle w:val="deletedparamark"/>
        </w:rPr>
        <w:t xml:space="preserve"> </w:t>
      </w:r>
      <w:r>
        <w:t>could be said to be the start of a true Lojbanic culture.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"emotional indicators, noticeable effects of"&gt;</w:t>
      </w:r>
      <w:r>
        <w:rPr>
          <w:rStyle w:val="indexentry"/>
        </w:rPr>
        <w:fldChar w:fldCharType="begin"/>
      </w:r>
      <w:r>
        <w:instrText>xe "</w:instrText>
      </w:r>
      <w:r>
        <w:rPr>
          <w:rStyle w:val="xeentry"/>
        </w:rPr>
        <w:instrText>emotional indicators: noticeable effects of</w:instrText>
      </w:r>
      <w:r>
        <w:instrText>"</w:instrText>
      </w:r>
      <w:r>
        <w:rPr>
          <w:rStyle w:val="indexentry"/>
        </w:rPr>
        <w:fldChar w:fldCharType="end"/>
      </w:r>
      <w:r>
        <w:t>We shouldn't need to wait that long to detect significant ef</w:t>
      </w:r>
      <w:r>
        <w:softHyphen/>
        <w:t>fects.</w:t>
      </w:r>
      <w:r>
        <w:rPr>
          <w:rStyle w:val="deletedparamark"/>
        </w:rPr>
        <w:t xml:space="preserve"> </w:t>
      </w:r>
      <w:r>
        <w:t>Emotion is so basic to our lives that even a small change or improvement</w:t>
      </w:r>
      <w:r>
        <w:rPr>
          <w:rStyle w:val="deletedparamark"/>
        </w:rPr>
        <w:t xml:space="preserve"> </w:t>
      </w:r>
      <w:r>
        <w:t>in emotional communica</w:t>
      </w:r>
      <w:r>
        <w:softHyphen/>
        <w:t>tion would have immediately noticeable effects.</w:t>
      </w:r>
      <w:r>
        <w:rPr>
          <w:rStyle w:val="deletedparamark"/>
        </w:rPr>
        <w:t xml:space="preserve"> </w:t>
      </w:r>
      <w:r>
        <w:t>Perhaps it will be the case that the most important contribution of our</w:t>
      </w:r>
      <w:r>
        <w:rPr>
          <w:rStyle w:val="deletedparamark"/>
        </w:rPr>
        <w:t xml:space="preserve"> “</w:t>
      </w:r>
      <w:r>
        <w:t>logical language” will be in the non-logical realm of emotion!</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&lt;p&gt;</w:t>
      </w:r>
    </w:p>
    <w:p w:rsidR="00B72047" w:rsidRDefault="00B72047">
      <w:pPr>
        <w:pStyle w:val="normalparagraph"/>
        <w:rPr>
          <w:rStyle w:val="htmlcodes"/>
        </w:rPr>
      </w:pPr>
      <w:r>
        <w:rPr>
          <w:rStyle w:val="htmlcodes"/>
        </w:rPr>
        <w:t>&lt;/body&gt;&lt;/html&gt;</w:t>
      </w:r>
    </w:p>
    <w:p w:rsidR="00B72047" w:rsidRDefault="00B72047">
      <w:pPr>
        <w:rPr>
          <w:rStyle w:val="htmlcodes"/>
        </w:rPr>
      </w:pPr>
      <w:r>
        <w:rPr>
          <w:rStyle w:val="htmlcodes"/>
        </w:rPr>
        <w:t>&lt;img src=chap14.gif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8" type="#_x0000_t75" style="width:356.25pt;height:547.5pt">
            <v:imagedata r:id="rId34" o:title="" croptop="-26474f" cropbottom="-26474f" cropleft="-6323f" cropright="-6323f"/>
          </v:shape>
        </w:pict>
      </w:r>
    </w:p>
    <w:p w:rsidR="00B72047" w:rsidRDefault="00B72047">
      <w:pPr>
        <w:pStyle w:val="Heading2"/>
      </w:pPr>
      <w:r>
        <w:rPr>
          <w:rStyle w:val="htmlcodes"/>
        </w:rPr>
        <w:t>&lt;h2&gt;</w:t>
      </w:r>
      <w:bookmarkStart w:id="412" w:name="_Toc395684402"/>
      <w:bookmarkStart w:id="413" w:name="_Toc398970654"/>
      <w:r>
        <w:t>Chapter 14</w:t>
      </w:r>
      <w:bookmarkEnd w:id="412"/>
      <w:bookmarkEnd w:id="413"/>
    </w:p>
    <w:p w:rsidR="00B72047" w:rsidRDefault="00B72047">
      <w:pPr>
        <w:pStyle w:val="Heading2"/>
        <w:rPr>
          <w:rStyle w:val="htmlcodes"/>
        </w:rPr>
      </w:pPr>
      <w:r>
        <w:rPr>
          <w:rStyle w:val="htmlcodes"/>
        </w:rPr>
        <w:t>&lt;br&gt;</w:t>
      </w:r>
    </w:p>
    <w:p w:rsidR="00B72047" w:rsidRDefault="00B72047">
      <w:pPr>
        <w:pStyle w:val="Heading2"/>
      </w:pPr>
      <w:bookmarkStart w:id="414" w:name="_Toc398970655"/>
      <w:r>
        <w:t>If Wishes Were Horses: The Lojban Connective System</w:t>
      </w:r>
      <w:bookmarkEnd w:id="414"/>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codes"/>
        </w:rPr>
      </w:pPr>
      <w:r>
        <w:rPr>
          <w:rStyle w:val="htmlparacode"/>
        </w:rPr>
        <w:t>&lt;p</w:t>
      </w:r>
      <w:r>
        <w:rPr>
          <w:rStyle w:val="htmlcodes"/>
        </w:rPr>
        <w:t>&gt;</w:t>
      </w:r>
    </w:p>
    <w:p w:rsidR="00B72047" w:rsidRDefault="00B72047">
      <w:pPr>
        <w:pStyle w:val="Heading3"/>
        <w:rPr>
          <w:rStyle w:val="Heading3Text"/>
        </w:rPr>
      </w:pPr>
      <w:r>
        <w:rPr>
          <w:rStyle w:val="htmlcodes"/>
        </w:rPr>
        <w:t>&lt;a name=s1&gt;&lt;h3&gt;</w:t>
      </w:r>
      <w:bookmarkStart w:id="415" w:name="_Toc398970656"/>
      <w:r>
        <w:rPr>
          <w:rStyle w:val="Heading3Text"/>
        </w:rPr>
        <w:t>Logical connection and truth tables</w:t>
      </w:r>
      <w:bookmarkEnd w:id="41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language, truth functions"&gt;</w:t>
      </w:r>
      <w:r>
        <w:rPr>
          <w:rStyle w:val="indexentry"/>
        </w:rPr>
        <w:fldChar w:fldCharType="begin"/>
      </w:r>
      <w:r>
        <w:instrText>xe "</w:instrText>
      </w:r>
      <w:r>
        <w:rPr>
          <w:rStyle w:val="xeentry"/>
        </w:rPr>
        <w:instrText>logical language: truth functions</w:instrText>
      </w:r>
      <w:r>
        <w:instrText>"</w:instrText>
      </w:r>
      <w:r>
        <w:rPr>
          <w:rStyle w:val="indexentry"/>
        </w:rPr>
        <w:fldChar w:fldCharType="end"/>
      </w:r>
      <w:r>
        <w:rPr>
          <w:rStyle w:val="indexentry"/>
        </w:rPr>
        <w:t>&lt;cx "truth functions"&gt;</w:t>
      </w:r>
      <w:r>
        <w:rPr>
          <w:rStyle w:val="indexentry"/>
        </w:rPr>
        <w:fldChar w:fldCharType="begin"/>
      </w:r>
      <w:r>
        <w:instrText>xe "</w:instrText>
      </w:r>
      <w:r>
        <w:rPr>
          <w:rStyle w:val="xeentry"/>
        </w:rPr>
        <w:instrText>truth functions</w:instrText>
      </w:r>
      <w:r>
        <w:instrText>"</w:instrText>
      </w:r>
      <w:r>
        <w:rPr>
          <w:rStyle w:val="indexentry"/>
        </w:rPr>
        <w:fldChar w:fldCharType="end"/>
      </w:r>
      <w:r>
        <w:t>Lojban is a logical language: the name of the language itself means “logical</w:t>
      </w:r>
      <w:r>
        <w:rPr>
          <w:rStyle w:val="deletedparamark"/>
        </w:rPr>
        <w:t xml:space="preserve"> </w:t>
      </w:r>
      <w:r>
        <w:t>la</w:t>
      </w:r>
      <w:r>
        <w:t>n</w:t>
      </w:r>
      <w:r>
        <w:softHyphen/>
        <w:t>guage”. The fundamentals of ordinary logic (there are variant logics,</w:t>
      </w:r>
      <w:r>
        <w:rPr>
          <w:rStyle w:val="deletedparamark"/>
        </w:rPr>
        <w:t xml:space="preserve"> </w:t>
      </w:r>
      <w:r>
        <w:t>which aren't a</w:t>
      </w:r>
      <w:r>
        <w:t>d</w:t>
      </w:r>
      <w:r>
        <w:softHyphen/>
        <w:t>dressed in this book) include the notions of a “sentence”</w:t>
      </w:r>
      <w:r>
        <w:rPr>
          <w:rStyle w:val="deletedparamark"/>
        </w:rPr>
        <w:t xml:space="preserve"> </w:t>
      </w:r>
      <w:r>
        <w:t>(sometimes called a “statement” or “proposition”), which asserts a truth</w:t>
      </w:r>
      <w:r>
        <w:rPr>
          <w:rStyle w:val="deletedparamark"/>
        </w:rPr>
        <w:t xml:space="preserve"> </w:t>
      </w:r>
      <w:r>
        <w:t>or falsehood, and a small set of “truth functions”, which combine two</w:t>
      </w:r>
      <w:r>
        <w:rPr>
          <w:rStyle w:val="deletedparamark"/>
        </w:rPr>
        <w:t xml:space="preserve"> </w:t>
      </w:r>
      <w:r>
        <w:t>sentences to create a new sentence. The truth functions have the sp</w:t>
      </w:r>
      <w:r>
        <w:t>e</w:t>
      </w:r>
      <w:r>
        <w:softHyphen/>
        <w:t>cial</w:t>
      </w:r>
      <w:r>
        <w:rPr>
          <w:rStyle w:val="deletedparamark"/>
        </w:rPr>
        <w:t xml:space="preserve"> </w:t>
      </w:r>
      <w:r>
        <w:t>characteristic that the truth value (that is, the truth or false</w:t>
      </w:r>
      <w:r>
        <w:softHyphen/>
        <w:t>hood) of the</w:t>
      </w:r>
      <w:r>
        <w:rPr>
          <w:rStyle w:val="deletedparamark"/>
        </w:rPr>
        <w:t xml:space="preserve"> </w:t>
      </w:r>
      <w:r>
        <w:t>results d</w:t>
      </w:r>
      <w:r>
        <w:t>e</w:t>
      </w:r>
      <w:r>
        <w:softHyphen/>
        <w:t>pends only on the truth value of the component sentences. For</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indexentry"/>
        </w:rPr>
        <w:t>&lt;ex "man or woman"&gt;</w:t>
      </w:r>
      <w:r>
        <w:rPr>
          <w:rStyle w:val="indexentry"/>
        </w:rPr>
        <w:fldChar w:fldCharType="begin"/>
      </w:r>
      <w:r>
        <w:instrText>xe "</w:instrText>
      </w:r>
      <w:r>
        <w:rPr>
          <w:rStyle w:val="xeentry"/>
        </w:rPr>
        <w:instrText>man or woman: example</w:instrText>
      </w:r>
      <w:r>
        <w:instrText>"</w:instrText>
      </w:r>
      <w:r>
        <w:rPr>
          <w:rStyle w:val="indexentry"/>
        </w:rPr>
        <w:fldChar w:fldCharType="end"/>
      </w:r>
      <w:r>
        <w:rPr>
          <w:rStyle w:val="htmlcodes"/>
        </w:rPr>
        <w:t>&lt;pre&gt;&lt;a name=e1d1&gt;</w:t>
      </w:r>
      <w:r>
        <w:t>1.1)</w:t>
      </w:r>
      <w:r>
        <w:tab/>
        <w:t>John is a man or James is a woman.</w:t>
      </w:r>
    </w:p>
    <w:p w:rsidR="00B72047" w:rsidRDefault="00B72047">
      <w:pPr>
        <w:pStyle w:val="resumedafterexample"/>
      </w:pPr>
      <w:r>
        <w:rPr>
          <w:rStyle w:val="htmlcodes"/>
        </w:rPr>
        <w:t>&lt;/pre&gt;</w:t>
      </w:r>
      <w:r>
        <w:t>is true if “John is a man” is true, or if “James is a woman” is true.</w:t>
      </w:r>
      <w:r>
        <w:rPr>
          <w:rStyle w:val="deletedparamark"/>
        </w:rPr>
        <w:t xml:space="preserve"> </w:t>
      </w:r>
      <w:r>
        <w:t>If we know whether John is a man, and we know whether James is a woman, we</w:t>
      </w:r>
      <w:r>
        <w:rPr>
          <w:rStyle w:val="deletedparamark"/>
        </w:rPr>
        <w:t xml:space="preserve"> </w:t>
      </w:r>
      <w:r>
        <w:t>know whether “John is a man or James is a woman” is true, provided we know</w:t>
      </w:r>
      <w:r>
        <w:rPr>
          <w:rStyle w:val="deletedparamark"/>
        </w:rPr>
        <w:t xml:space="preserve"> </w:t>
      </w:r>
      <w:r>
        <w:t>the meaning of “or”. Here “John is a man” and “James is a woman” are the</w:t>
      </w:r>
      <w:r>
        <w:rPr>
          <w:rStyle w:val="deletedparamark"/>
        </w:rPr>
        <w:t xml:space="preserve"> </w:t>
      </w:r>
      <w:r>
        <w:t>component sentences.</w:t>
      </w:r>
    </w:p>
    <w:p w:rsidR="00B72047" w:rsidRDefault="00B72047">
      <w:pPr>
        <w:rPr>
          <w:rStyle w:val="htmlparacode"/>
        </w:rPr>
      </w:pPr>
      <w:r>
        <w:rPr>
          <w:rStyle w:val="htmlparacode"/>
        </w:rPr>
        <w:t>&lt;p&gt;</w:t>
      </w:r>
    </w:p>
    <w:p w:rsidR="00B72047" w:rsidRDefault="00B72047">
      <w:pPr>
        <w:pStyle w:val="normalparagraph"/>
      </w:pPr>
      <w:r>
        <w:rPr>
          <w:rStyle w:val="indexentry"/>
        </w:rPr>
        <w:t>&lt;cx "negating a sentence, and truth value"&gt;</w:t>
      </w:r>
      <w:r>
        <w:rPr>
          <w:rStyle w:val="indexentry"/>
        </w:rPr>
        <w:fldChar w:fldCharType="begin"/>
      </w:r>
      <w:r>
        <w:instrText>xe "</w:instrText>
      </w:r>
      <w:r>
        <w:rPr>
          <w:rStyle w:val="xeentry"/>
        </w:rPr>
        <w:instrText>negating a sentence: and truth value</w:instrText>
      </w:r>
      <w:r>
        <w:instrText>"</w:instrText>
      </w:r>
      <w:r>
        <w:rPr>
          <w:rStyle w:val="indexentry"/>
        </w:rPr>
        <w:fldChar w:fldCharType="end"/>
      </w:r>
      <w:r>
        <w:t>We will use the phrase “negating a sentence” to mean changing its truth</w:t>
      </w:r>
      <w:r>
        <w:rPr>
          <w:rStyle w:val="deletedparamark"/>
        </w:rPr>
        <w:t xml:space="preserve"> </w:t>
      </w:r>
      <w:r>
        <w:t>value. An English sentence may always be negated by prefixing</w:t>
      </w:r>
      <w:r>
        <w:rPr>
          <w:rStyle w:val="deletedparamark"/>
        </w:rPr>
        <w:t xml:space="preserve"> “</w:t>
      </w:r>
      <w:r>
        <w:t>It is false that </w:t>
      </w:r>
      <w:r>
        <w:rPr>
          <w:rStyle w:val="htmlcodes"/>
        </w:rPr>
        <w:t>&lt;dots&gt;</w:t>
      </w:r>
      <w:r>
        <w:t>…</w:t>
      </w:r>
      <w:r>
        <w:rPr>
          <w:rStyle w:val="htmlcodes"/>
        </w:rPr>
        <w:t>&lt;/dots&gt;</w:t>
      </w:r>
      <w:r>
        <w:t>”, or more idi</w:t>
      </w:r>
      <w:r>
        <w:t>o</w:t>
      </w:r>
      <w:r>
        <w:softHyphen/>
        <w:t>matically by inserting “not” at</w:t>
      </w:r>
      <w:r>
        <w:rPr>
          <w:rStyle w:val="deletedparamark"/>
        </w:rPr>
        <w:t xml:space="preserve"> </w:t>
      </w:r>
      <w:r>
        <w:t>the right point, generally before the verb. “James is not a woman”</w:t>
      </w:r>
      <w:r>
        <w:rPr>
          <w:rStyle w:val="deletedparamark"/>
        </w:rPr>
        <w:t xml:space="preserve"> </w:t>
      </w:r>
      <w:r>
        <w:t>is the negation of “James is a woman”, and vice versa. Recent slang</w:t>
      </w:r>
      <w:r>
        <w:rPr>
          <w:rStyle w:val="deletedparamark"/>
        </w:rPr>
        <w:t xml:space="preserve"> </w:t>
      </w:r>
      <w:r>
        <w:t>can also negate a sentence by following it with the exclamation “Not!”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"logical connectives"&gt;</w:t>
      </w:r>
      <w:r>
        <w:rPr>
          <w:rStyle w:val="indexentry"/>
        </w:rPr>
        <w:fldChar w:fldCharType="begin"/>
      </w:r>
      <w:r>
        <w:instrText>xe "</w:instrText>
      </w:r>
      <w:r>
        <w:rPr>
          <w:rStyle w:val="xeentry"/>
        </w:rPr>
        <w:instrText>logical connectives</w:instrText>
      </w:r>
      <w:r>
        <w:instrText>"</w:instrText>
      </w:r>
      <w:r>
        <w:rPr>
          <w:rStyle w:val="indexentry"/>
        </w:rPr>
        <w:fldChar w:fldCharType="end"/>
      </w:r>
      <w:r>
        <w:t>Words like “or” are called “logical connectives”, and Lojban has many of</w:t>
      </w:r>
      <w:r>
        <w:rPr>
          <w:rStyle w:val="deletedparamark"/>
        </w:rPr>
        <w:t xml:space="preserve"> </w:t>
      </w:r>
      <w:r>
        <w:t>them, as befits a logical language. This chapter is mostly concerned with</w:t>
      </w:r>
      <w:r>
        <w:rPr>
          <w:rStyle w:val="deletedparamark"/>
        </w:rPr>
        <w:t xml:space="preserve"> </w:t>
      </w:r>
      <w:r>
        <w:t>explaining the forms and uses of the Lojban logical connectives. There</w:t>
      </w:r>
      <w:r>
        <w:rPr>
          <w:rStyle w:val="deletedparamark"/>
        </w:rPr>
        <w:t xml:space="preserve"> </w:t>
      </w:r>
      <w:r>
        <w:t>are a number of other logical connectives in English such as “and”, “and/or”,</w:t>
      </w:r>
      <w:r>
        <w:rPr>
          <w:rStyle w:val="deletedparamark"/>
        </w:rPr>
        <w:t xml:space="preserve"> “</w:t>
      </w:r>
      <w:r>
        <w:t>if”, “only if”, “whether or not”, and others; however, not every use of</w:t>
      </w:r>
      <w:r>
        <w:rPr>
          <w:rStyle w:val="deletedparamark"/>
        </w:rPr>
        <w:t xml:space="preserve"> </w:t>
      </w:r>
      <w:r>
        <w:t>these English words corresponds to a logical connec</w:t>
      </w:r>
      <w:r>
        <w:softHyphen/>
        <w:t>tive. This point will</w:t>
      </w:r>
      <w:r>
        <w:rPr>
          <w:rStyle w:val="deletedparamark"/>
        </w:rPr>
        <w:t xml:space="preserve"> </w:t>
      </w:r>
      <w:r>
        <w:t>be made clear in particular cases as needed. The other English meanings</w:t>
      </w:r>
      <w:r>
        <w:rPr>
          <w:rStyle w:val="deletedparamark"/>
        </w:rPr>
        <w:t xml:space="preserve"> </w:t>
      </w:r>
      <w:r>
        <w:t>are supported by different Lojban connective constructs.</w:t>
      </w:r>
    </w:p>
    <w:p w:rsidR="00B72047" w:rsidRDefault="00B72047">
      <w:pPr>
        <w:pStyle w:val="normalparagraph"/>
        <w:rPr>
          <w:rStyle w:val="htmlparacode"/>
        </w:rPr>
      </w:pPr>
      <w:r>
        <w:rPr>
          <w:rStyle w:val="htmlparacode"/>
        </w:rPr>
        <w:t>&lt;p&gt;</w:t>
      </w:r>
    </w:p>
    <w:p w:rsidR="00B72047" w:rsidRDefault="00B72047">
      <w:pPr>
        <w:pStyle w:val="normalparagraph"/>
      </w:pPr>
      <w:r>
        <w:t>The Lojban connectives form a system (as the title of this chapter</w:t>
      </w:r>
      <w:r>
        <w:rPr>
          <w:rStyle w:val="deletedparamark"/>
        </w:rPr>
        <w:t xml:space="preserve"> </w:t>
      </w:r>
      <w:r>
        <w:t>suggests), regular and predictable, whereas natural-language connectives</w:t>
      </w:r>
      <w:r>
        <w:rPr>
          <w:rStyle w:val="deletedparamark"/>
        </w:rPr>
        <w:t xml:space="preserve"> </w:t>
      </w:r>
      <w:r>
        <w:t>are rather less systematic and therefore less predictable.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"truth functions, 16 possible"&gt;</w:t>
      </w:r>
      <w:r>
        <w:rPr>
          <w:rStyle w:val="indexentry"/>
        </w:rPr>
        <w:fldChar w:fldCharType="begin"/>
      </w:r>
      <w:r>
        <w:instrText>xe "</w:instrText>
      </w:r>
      <w:r>
        <w:rPr>
          <w:rStyle w:val="xeentry"/>
        </w:rPr>
        <w:instrText>truth functions: 16 possible</w:instrText>
      </w:r>
      <w:r>
        <w:instrText>"</w:instrText>
      </w:r>
      <w:r>
        <w:rPr>
          <w:rStyle w:val="indexentry"/>
        </w:rPr>
        <w:fldChar w:fldCharType="end"/>
      </w:r>
      <w:r>
        <w:rPr>
          <w:rStyle w:val="indexentry"/>
        </w:rPr>
        <w:t>&lt;cx "truth table, explanation"&gt;</w:t>
      </w:r>
      <w:r>
        <w:rPr>
          <w:rStyle w:val="indexentry"/>
        </w:rPr>
        <w:fldChar w:fldCharType="begin"/>
      </w:r>
      <w:r>
        <w:instrText>xe "</w:instrText>
      </w:r>
      <w:r>
        <w:rPr>
          <w:rStyle w:val="xeentry"/>
        </w:rPr>
        <w:instrText>truth table: explanation</w:instrText>
      </w:r>
      <w:r>
        <w:instrText>"</w:instrText>
      </w:r>
      <w:r>
        <w:rPr>
          <w:rStyle w:val="indexentry"/>
        </w:rPr>
        <w:fldChar w:fldCharType="end"/>
      </w:r>
      <w:r>
        <w:t>There exist 16 possible different truth functions. A truth table is a</w:t>
      </w:r>
      <w:r>
        <w:rPr>
          <w:rStyle w:val="deletedparamark"/>
        </w:rPr>
        <w:t xml:space="preserve"> </w:t>
      </w:r>
      <w:r>
        <w:t>graphical device for specifying a truth function, making it clear what</w:t>
      </w:r>
      <w:r>
        <w:rPr>
          <w:rStyle w:val="deletedparamark"/>
        </w:rPr>
        <w:t xml:space="preserve"> </w:t>
      </w:r>
      <w:r>
        <w:t>the value of the truth func</w:t>
      </w:r>
      <w:r>
        <w:softHyphen/>
        <w:t>tion is for every possible value of the</w:t>
      </w:r>
      <w:r>
        <w:rPr>
          <w:rStyle w:val="deletedparamark"/>
        </w:rPr>
        <w:t xml:space="preserve"> </w:t>
      </w:r>
      <w:r>
        <w:t>component sentences. Here is a truth table for “or”:</w:t>
      </w:r>
    </w:p>
    <w:p w:rsidR="00B72047" w:rsidRDefault="00B72047">
      <w:pPr>
        <w:pStyle w:val="exampwidetabs"/>
        <w:rPr>
          <w:rStyle w:val="htmlparacode"/>
        </w:rPr>
      </w:pPr>
      <w:r>
        <w:rPr>
          <w:rStyle w:val="htmlparacode"/>
        </w:rPr>
        <w:t>&lt;p&gt;</w:t>
      </w:r>
    </w:p>
    <w:p w:rsidR="00B72047" w:rsidRDefault="00B72047">
      <w:pPr>
        <w:pStyle w:val="examplewtabspre"/>
      </w:pPr>
      <w:r>
        <w:rPr>
          <w:rStyle w:val="htmlcodes"/>
        </w:rPr>
        <w:t>&lt;pre&gt;</w:t>
      </w:r>
      <w:r>
        <w:t xml:space="preserve"> </w:t>
      </w:r>
      <w:r>
        <w:tab/>
      </w:r>
      <w:r>
        <w:rPr>
          <w:u w:val="single"/>
        </w:rPr>
        <w:t>first</w:t>
      </w:r>
      <w:r>
        <w:tab/>
      </w:r>
      <w:r>
        <w:rPr>
          <w:u w:val="single"/>
        </w:rPr>
        <w:t>second</w:t>
      </w:r>
      <w:r>
        <w:tab/>
      </w:r>
      <w:r>
        <w:rPr>
          <w:u w:val="single"/>
        </w:rPr>
        <w:t>result</w:t>
      </w:r>
    </w:p>
    <w:p w:rsidR="00B72047" w:rsidRDefault="00B72047">
      <w:pPr>
        <w:pStyle w:val="exampwidetabs"/>
      </w:pPr>
      <w:r>
        <w:tab/>
        <w:t>True</w:t>
      </w:r>
      <w:r>
        <w:tab/>
        <w:t>True</w:t>
      </w:r>
      <w:r>
        <w:tab/>
        <w:t>True</w:t>
      </w:r>
    </w:p>
    <w:p w:rsidR="00B72047" w:rsidRDefault="00B72047">
      <w:pPr>
        <w:pStyle w:val="exampwidetabs"/>
      </w:pPr>
      <w:r>
        <w:tab/>
        <w:t>True</w:t>
      </w:r>
      <w:r>
        <w:tab/>
        <w:t>False</w:t>
      </w:r>
      <w:r>
        <w:tab/>
        <w:t>True</w:t>
      </w:r>
    </w:p>
    <w:p w:rsidR="00B72047" w:rsidRDefault="00B72047">
      <w:pPr>
        <w:pStyle w:val="exampwidetabs"/>
      </w:pPr>
      <w:r>
        <w:tab/>
        <w:t>False</w:t>
      </w:r>
      <w:r>
        <w:tab/>
        <w:t>True</w:t>
      </w:r>
      <w:r>
        <w:tab/>
        <w:t>True</w:t>
      </w:r>
    </w:p>
    <w:p w:rsidR="00B72047" w:rsidRDefault="00B72047">
      <w:pPr>
        <w:pStyle w:val="exampwidetabs"/>
      </w:pPr>
      <w:r>
        <w:tab/>
        <w:t>False</w:t>
      </w:r>
      <w:r>
        <w:tab/>
        <w:t>False</w:t>
      </w:r>
      <w:r>
        <w:tab/>
        <w:t>False</w:t>
      </w:r>
    </w:p>
    <w:p w:rsidR="00B72047" w:rsidRDefault="00B72047">
      <w:pPr>
        <w:pStyle w:val="resumedafterexample"/>
      </w:pPr>
      <w:r>
        <w:rPr>
          <w:rStyle w:val="htmlcodes"/>
        </w:rPr>
        <w:t>&lt;/pre&gt;&lt;p&gt;</w:t>
      </w:r>
      <w:r>
        <w:t>This table means that if the first sentence stated is true, and the second</w:t>
      </w:r>
      <w:r>
        <w:rPr>
          <w:rStyle w:val="deletedparamark"/>
        </w:rPr>
        <w:t xml:space="preserve"> </w:t>
      </w:r>
      <w:r>
        <w:t>sentence stated is true, then the result of the truth function is also</w:t>
      </w:r>
      <w:r>
        <w:rPr>
          <w:rStyle w:val="deletedparamark"/>
        </w:rPr>
        <w:t xml:space="preserve"> </w:t>
      </w:r>
      <w:r>
        <w:t>true. The same is true for every other po</w:t>
      </w:r>
      <w:r>
        <w:t>s</w:t>
      </w:r>
      <w:r>
        <w:softHyphen/>
        <w:t>sible combination of truth values</w:t>
      </w:r>
      <w:r>
        <w:rPr>
          <w:rStyle w:val="deletedparamark"/>
        </w:rPr>
        <w:t xml:space="preserve"> </w:t>
      </w:r>
      <w:r>
        <w:t>except the one where both the first and the second se</w:t>
      </w:r>
      <w:r>
        <w:t>n</w:t>
      </w:r>
      <w:r>
        <w:softHyphen/>
        <w:t>tences are false,</w:t>
      </w:r>
      <w:r>
        <w:rPr>
          <w:rStyle w:val="deletedparamark"/>
        </w:rPr>
        <w:t xml:space="preserve"> </w:t>
      </w:r>
      <w:r>
        <w:t>in which case the truth value of the result is also false.</w:t>
      </w:r>
    </w:p>
    <w:p w:rsidR="00B72047" w:rsidRDefault="00B72047">
      <w:pPr>
        <w:rPr>
          <w:rStyle w:val="htmlparacode"/>
        </w:rPr>
      </w:pPr>
      <w:r>
        <w:rPr>
          <w:rStyle w:val="htmlparacode"/>
        </w:rPr>
        <w:t>&lt;p&gt;</w:t>
      </w:r>
    </w:p>
    <w:p w:rsidR="00B72047" w:rsidRDefault="00B72047">
      <w:pPr>
        <w:pStyle w:val="normalparagraph"/>
      </w:pPr>
      <w:r>
        <w:t>Suppose that “John is a man” is true (and “John is not a man” is false), and</w:t>
      </w:r>
      <w:r>
        <w:rPr>
          <w:rStyle w:val="deletedparamark"/>
        </w:rPr>
        <w:t xml:space="preserve"> </w:t>
      </w:r>
      <w:r>
        <w:t>that “James is a woman” is false (and “James is not a woman” is true).</w:t>
      </w:r>
      <w:r>
        <w:rPr>
          <w:rStyle w:val="deletedparamark"/>
        </w:rPr>
        <w:t xml:space="preserve"> </w:t>
      </w:r>
      <w:r>
        <w:t>Then the truth table tells us that</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 xml:space="preserve">“John is a man, or James is not a woman” </w:t>
      </w:r>
      <w:r>
        <w:tab/>
        <w:t>(true, true) is true;</w:t>
      </w:r>
    </w:p>
    <w:p w:rsidR="00B72047" w:rsidRDefault="00B72047">
      <w:pPr>
        <w:pStyle w:val="examplescaled"/>
      </w:pPr>
      <w:r>
        <w:tab/>
        <w:t>“John is a man, or James is a woman”</w:t>
      </w:r>
      <w:r>
        <w:tab/>
      </w:r>
      <w:r>
        <w:tab/>
        <w:t>(true, false) is true;</w:t>
      </w:r>
    </w:p>
    <w:p w:rsidR="00B72047" w:rsidRDefault="00B72047">
      <w:pPr>
        <w:pStyle w:val="examplescaled"/>
      </w:pPr>
      <w:r>
        <w:tab/>
        <w:t>“John is not a man, or James is not a woman”</w:t>
      </w:r>
      <w:r>
        <w:tab/>
        <w:t>(false, true) is true;</w:t>
      </w:r>
    </w:p>
    <w:p w:rsidR="00B72047" w:rsidRDefault="00B72047">
      <w:pPr>
        <w:pStyle w:val="examplescaled"/>
      </w:pPr>
      <w:r>
        <w:tab/>
        <w:t>“John is not a man, or James is a woman”</w:t>
      </w:r>
      <w:r>
        <w:tab/>
      </w:r>
      <w:r>
        <w:tab/>
        <w:t>(false, false) is false.</w:t>
      </w:r>
    </w:p>
    <w:p w:rsidR="00B72047" w:rsidRDefault="00B72047">
      <w:pPr>
        <w:pStyle w:val="resumedafterexample"/>
      </w:pPr>
      <w:r>
        <w:rPr>
          <w:rStyle w:val="htmlcodes"/>
        </w:rPr>
        <w:t>&lt;/dl&gt;</w:t>
      </w:r>
      <w:r>
        <w:rPr>
          <w:rStyle w:val="indexentry"/>
        </w:rPr>
        <w:t>&lt;cx "or”, “and/or” contrasted with “either … or … but not both"&gt;</w:t>
      </w:r>
      <w:r>
        <w:rPr>
          <w:rStyle w:val="indexentry"/>
        </w:rPr>
        <w:fldChar w:fldCharType="begin"/>
      </w:r>
      <w:r>
        <w:instrText>xe "</w:instrText>
      </w:r>
      <w:r>
        <w:rPr>
          <w:rStyle w:val="xeentry"/>
        </w:rPr>
        <w:instrText>or: and/or contrasted with either … or … but not both</w:instrText>
      </w:r>
      <w:r>
        <w:instrText>"</w:instrText>
      </w:r>
      <w:r>
        <w:rPr>
          <w:rStyle w:val="indexentry"/>
        </w:rPr>
        <w:fldChar w:fldCharType="end"/>
      </w:r>
      <w:r>
        <w:t>Note that the kind of “or” used in this example can also be expressed</w:t>
      </w:r>
      <w:r>
        <w:rPr>
          <w:rStyle w:val="deletedparamark"/>
        </w:rPr>
        <w:t xml:space="preserve"> </w:t>
      </w:r>
      <w:r>
        <w:t>(in formal Eng</w:t>
      </w:r>
      <w:r>
        <w:softHyphen/>
        <w:t>lish) with “and/or”. There is a different truth table</w:t>
      </w:r>
      <w:r>
        <w:rPr>
          <w:rStyle w:val="deletedparamark"/>
        </w:rPr>
        <w:t xml:space="preserve"> </w:t>
      </w:r>
      <w:r>
        <w:t xml:space="preserve">for the kind of “or” that means “either </w:t>
      </w:r>
      <w:r>
        <w:rPr>
          <w:rStyle w:val="htmlcodes"/>
        </w:rPr>
        <w:t>&lt;dots&gt;</w:t>
      </w:r>
      <w:r>
        <w:t>…</w:t>
      </w:r>
      <w:r>
        <w:rPr>
          <w:rStyle w:val="htmlcodes"/>
        </w:rPr>
        <w:t>&lt;/dots&gt;</w:t>
      </w:r>
      <w:r>
        <w:t xml:space="preserve"> or </w:t>
      </w:r>
      <w:r>
        <w:rPr>
          <w:rStyle w:val="htmlcodes"/>
        </w:rPr>
        <w:t>&lt;dots&gt;</w:t>
      </w:r>
      <w:r>
        <w:t>…</w:t>
      </w:r>
      <w:r>
        <w:rPr>
          <w:rStyle w:val="htmlcodes"/>
        </w:rPr>
        <w:t>&lt;/dots&gt;</w:t>
      </w:r>
      <w:r>
        <w:t xml:space="preserve"> but not both”.</w:t>
      </w:r>
    </w:p>
    <w:p w:rsidR="00B72047" w:rsidRDefault="00B72047">
      <w:pPr>
        <w:rPr>
          <w:rStyle w:val="htmlparacode"/>
        </w:rPr>
      </w:pPr>
      <w:r>
        <w:rPr>
          <w:rStyle w:val="htmlparacode"/>
        </w:rPr>
        <w:t>&lt;p&gt;</w:t>
      </w:r>
    </w:p>
    <w:p w:rsidR="00B72047" w:rsidRDefault="00B72047">
      <w:pPr>
        <w:pStyle w:val="normalparagraph"/>
      </w:pPr>
      <w:r>
        <w:rPr>
          <w:rStyle w:val="indexentry"/>
        </w:rPr>
        <w:t>&lt;cx "truth tables, abbreviated format"&gt;</w:t>
      </w:r>
      <w:r>
        <w:rPr>
          <w:rStyle w:val="indexentry"/>
        </w:rPr>
        <w:fldChar w:fldCharType="begin"/>
      </w:r>
      <w:r>
        <w:instrText>xe "</w:instrText>
      </w:r>
      <w:r>
        <w:rPr>
          <w:rStyle w:val="xeentry"/>
        </w:rPr>
        <w:instrText>truth tables: abbreviated format</w:instrText>
      </w:r>
      <w:r>
        <w:instrText>"</w:instrText>
      </w:r>
      <w:r>
        <w:rPr>
          <w:rStyle w:val="indexentry"/>
        </w:rPr>
        <w:fldChar w:fldCharType="end"/>
      </w:r>
      <w:r>
        <w:rPr>
          <w:rStyle w:val="indexentry"/>
        </w:rPr>
        <w:t>&lt;cx "truth tables, notation convention"&gt;</w:t>
      </w:r>
      <w:r>
        <w:rPr>
          <w:rStyle w:val="indexentry"/>
        </w:rPr>
        <w:fldChar w:fldCharType="begin"/>
      </w:r>
      <w:r>
        <w:instrText>xe "</w:instrText>
      </w:r>
      <w:r>
        <w:rPr>
          <w:rStyle w:val="xeentry"/>
        </w:rPr>
        <w:instrText>truth tables: notation convention</w:instrText>
      </w:r>
      <w:r>
        <w:instrText>"</w:instrText>
      </w:r>
      <w:r>
        <w:rPr>
          <w:rStyle w:val="indexentry"/>
        </w:rPr>
        <w:fldChar w:fldCharType="end"/>
      </w:r>
      <w:r>
        <w:t>To save space, we will write truth tables in a shorter format henceforth.</w:t>
      </w:r>
      <w:r>
        <w:rPr>
          <w:rStyle w:val="deletedparamark"/>
        </w:rPr>
        <w:t xml:space="preserve"> </w:t>
      </w:r>
      <w:r>
        <w:t>Let the le</w:t>
      </w:r>
      <w:r>
        <w:t>t</w:t>
      </w:r>
      <w:r>
        <w:softHyphen/>
        <w:t>ters T and F stand for True and False. The rows will always</w:t>
      </w:r>
      <w:r>
        <w:rPr>
          <w:rStyle w:val="deletedparamark"/>
        </w:rPr>
        <w:t xml:space="preserve"> </w:t>
      </w:r>
      <w:r>
        <w:t>be given in the order shown above: TT, TF, FT, FF for the two sentences.</w:t>
      </w:r>
      <w:r>
        <w:rPr>
          <w:rStyle w:val="deletedparamark"/>
        </w:rPr>
        <w:t xml:space="preserve"> </w:t>
      </w:r>
      <w:r>
        <w:t>Then it is only necessary to give the four letters from the result column,</w:t>
      </w:r>
      <w:r>
        <w:rPr>
          <w:rStyle w:val="deletedparamark"/>
        </w:rPr>
        <w:t xml:space="preserve"> </w:t>
      </w:r>
      <w:r>
        <w:t>which can be written TTTF, as can be seen by reading down the third</w:t>
      </w:r>
      <w:r>
        <w:rPr>
          <w:rStyle w:val="deletedparamark"/>
        </w:rPr>
        <w:t xml:space="preserve"> </w:t>
      </w:r>
      <w:r>
        <w:t>column of the table above. So TTTF is the abbreviated truth table</w:t>
      </w:r>
      <w:r>
        <w:rPr>
          <w:rStyle w:val="deletedparamark"/>
        </w:rPr>
        <w:t xml:space="preserve"> </w:t>
      </w:r>
      <w:r>
        <w:t>for the “or” truth function. Here are the 16 possible truth functions, with</w:t>
      </w:r>
      <w:r>
        <w:rPr>
          <w:rStyle w:val="deletedparamark"/>
        </w:rPr>
        <w:t xml:space="preserve"> </w:t>
      </w:r>
      <w:r>
        <w:t>an Eng</w:t>
      </w:r>
      <w:r>
        <w:softHyphen/>
        <w:t>lish version of what it means to assert that each function is, in fact,</w:t>
      </w:r>
      <w:r>
        <w:rPr>
          <w:rStyle w:val="deletedparamark"/>
        </w:rPr>
        <w:t xml:space="preserve"> </w:t>
      </w:r>
      <w:r>
        <w:t>true (“first” refers to the first se</w:t>
      </w:r>
      <w:r>
        <w:t>n</w:t>
      </w:r>
      <w:r>
        <w:softHyphen/>
        <w:t>tence, and “second” to the second</w:t>
      </w:r>
      <w:r>
        <w:rPr>
          <w:rStyle w:val="deletedparamark"/>
        </w:rPr>
        <w:t xml:space="preserve"> </w:t>
      </w:r>
      <w:r>
        <w:t>sentence):</w:t>
      </w:r>
    </w:p>
    <w:p w:rsidR="00B72047" w:rsidRDefault="00B72047">
      <w:pPr>
        <w:rPr>
          <w:rStyle w:val="htmlparacode"/>
        </w:rPr>
      </w:pPr>
      <w:r>
        <w:rPr>
          <w:rStyle w:val="htmlparacode"/>
        </w:rPr>
        <w:t>&lt;p&gt;</w:t>
      </w:r>
    </w:p>
    <w:p w:rsidR="00B72047" w:rsidRDefault="00B72047">
      <w:pPr>
        <w:pStyle w:val="examplewtabspre"/>
      </w:pPr>
      <w:r>
        <w:rPr>
          <w:rStyle w:val="indexentry"/>
        </w:rPr>
        <w:t>&lt;cx "truth tables, list of 16 in abbreviated form"&gt;</w:t>
      </w:r>
      <w:r>
        <w:rPr>
          <w:rStyle w:val="indexentry"/>
        </w:rPr>
        <w:fldChar w:fldCharType="begin"/>
      </w:r>
      <w:r>
        <w:instrText>xe "</w:instrText>
      </w:r>
      <w:r>
        <w:rPr>
          <w:rStyle w:val="xeentry"/>
        </w:rPr>
        <w:instrText>truth tables: list of 16 in abbreviated form</w:instrText>
      </w:r>
      <w:r>
        <w:instrText>"</w:instrText>
      </w:r>
      <w:r>
        <w:rPr>
          <w:rStyle w:val="indexentry"/>
        </w:rPr>
        <w:fldChar w:fldCharType="end"/>
      </w:r>
      <w:r>
        <w:rPr>
          <w:rStyle w:val="htmlcodes"/>
        </w:rPr>
        <w:t>&lt;pre&gt;</w:t>
      </w:r>
      <w:r>
        <w:t xml:space="preserve"> </w:t>
      </w:r>
      <w:r>
        <w:tab/>
        <w:t>TTTT</w:t>
      </w:r>
      <w:r>
        <w:tab/>
        <w:t>(always true)</w:t>
      </w:r>
    </w:p>
    <w:p w:rsidR="00B72047" w:rsidRDefault="00B72047">
      <w:pPr>
        <w:pStyle w:val="exampwidetabs"/>
      </w:pPr>
      <w:r>
        <w:tab/>
        <w:t>TTTF</w:t>
      </w:r>
      <w:r>
        <w:tab/>
        <w:t>first is true and/or second is true.</w:t>
      </w:r>
    </w:p>
    <w:p w:rsidR="00B72047" w:rsidRDefault="00B72047">
      <w:pPr>
        <w:pStyle w:val="exampwidetabs"/>
      </w:pPr>
      <w:r>
        <w:tab/>
        <w:t>TTFT</w:t>
      </w:r>
      <w:r>
        <w:tab/>
        <w:t>first is true if second is true.</w:t>
      </w:r>
    </w:p>
    <w:p w:rsidR="00B72047" w:rsidRDefault="00B72047">
      <w:pPr>
        <w:pStyle w:val="exampwidetabs"/>
      </w:pPr>
      <w:r>
        <w:tab/>
        <w:t>TTFF</w:t>
      </w:r>
      <w:r>
        <w:tab/>
        <w:t>first is true whether or not second is true.</w:t>
      </w:r>
    </w:p>
    <w:p w:rsidR="00B72047" w:rsidRDefault="00B72047">
      <w:pPr>
        <w:pStyle w:val="exampwidetabs"/>
      </w:pPr>
      <w:r>
        <w:tab/>
        <w:t>TFTT</w:t>
      </w:r>
      <w:r>
        <w:tab/>
        <w:t>first is true only if second is true.</w:t>
      </w:r>
    </w:p>
    <w:p w:rsidR="00B72047" w:rsidRDefault="00B72047">
      <w:pPr>
        <w:pStyle w:val="exampwidetabs"/>
      </w:pPr>
      <w:r>
        <w:tab/>
        <w:t>TFTF</w:t>
      </w:r>
      <w:r>
        <w:tab/>
        <w:t>whether or not first is true, second is true.</w:t>
      </w:r>
    </w:p>
    <w:p w:rsidR="00B72047" w:rsidRDefault="00B72047">
      <w:pPr>
        <w:pStyle w:val="exampwidetabs"/>
      </w:pPr>
      <w:r>
        <w:tab/>
        <w:t>TFFT</w:t>
      </w:r>
      <w:r>
        <w:tab/>
        <w:t>first is true if and only if second is true.</w:t>
      </w:r>
    </w:p>
    <w:p w:rsidR="00B72047" w:rsidRDefault="00B72047">
      <w:pPr>
        <w:pStyle w:val="exampwidetabs"/>
      </w:pPr>
      <w:r>
        <w:tab/>
        <w:t>TFFF</w:t>
      </w:r>
      <w:r>
        <w:tab/>
        <w:t>first is true and second is true</w:t>
      </w:r>
    </w:p>
    <w:p w:rsidR="00B72047" w:rsidRDefault="00B72047">
      <w:pPr>
        <w:pStyle w:val="exampwidetabs"/>
      </w:pPr>
    </w:p>
    <w:p w:rsidR="00B72047" w:rsidRDefault="00B72047">
      <w:pPr>
        <w:pStyle w:val="exampwidetabs"/>
      </w:pPr>
      <w:r>
        <w:tab/>
        <w:t>FTTT</w:t>
      </w:r>
      <w:r>
        <w:tab/>
        <w:t>first and second are not both true.</w:t>
      </w:r>
    </w:p>
    <w:p w:rsidR="00B72047" w:rsidRDefault="00B72047">
      <w:pPr>
        <w:pStyle w:val="exampwidetabs"/>
      </w:pPr>
      <w:r>
        <w:tab/>
        <w:t>FTTF</w:t>
      </w:r>
      <w:r>
        <w:tab/>
        <w:t>first or second is true, but not both.</w:t>
      </w:r>
    </w:p>
    <w:p w:rsidR="00B72047" w:rsidRDefault="00B72047">
      <w:pPr>
        <w:pStyle w:val="exampwidetabs"/>
      </w:pPr>
      <w:r>
        <w:tab/>
        <w:t>FTFT</w:t>
      </w:r>
      <w:r>
        <w:tab/>
        <w:t>whether or not first is true, second is false.</w:t>
      </w:r>
    </w:p>
    <w:p w:rsidR="00B72047" w:rsidRDefault="00B72047">
      <w:pPr>
        <w:pStyle w:val="exampwidetabs"/>
      </w:pPr>
      <w:r>
        <w:tab/>
        <w:t>FTFF</w:t>
      </w:r>
      <w:r>
        <w:tab/>
        <w:t>first is true, but second is false.</w:t>
      </w:r>
    </w:p>
    <w:p w:rsidR="00B72047" w:rsidRDefault="00B72047">
      <w:pPr>
        <w:pStyle w:val="exampwidetabs"/>
      </w:pPr>
      <w:r>
        <w:tab/>
        <w:t>FFTT</w:t>
      </w:r>
      <w:r>
        <w:tab/>
        <w:t>first is false whether or not second is true.</w:t>
      </w:r>
    </w:p>
    <w:p w:rsidR="00B72047" w:rsidRDefault="00B72047">
      <w:pPr>
        <w:pStyle w:val="exampwidetabs"/>
      </w:pPr>
      <w:r>
        <w:tab/>
        <w:t>FFTF</w:t>
      </w:r>
      <w:r>
        <w:tab/>
        <w:t>first is false, but second is true.</w:t>
      </w:r>
    </w:p>
    <w:p w:rsidR="00B72047" w:rsidRDefault="00B72047">
      <w:pPr>
        <w:pStyle w:val="exampwidetabs"/>
      </w:pPr>
      <w:r>
        <w:tab/>
        <w:t>FFFT</w:t>
      </w:r>
      <w:r>
        <w:tab/>
        <w:t>neither first nor second is true.</w:t>
      </w:r>
    </w:p>
    <w:p w:rsidR="00B72047" w:rsidRDefault="00B72047">
      <w:pPr>
        <w:pStyle w:val="exampwidetabs"/>
      </w:pPr>
      <w:r>
        <w:tab/>
        <w:t>FFFF</w:t>
      </w:r>
      <w:r>
        <w:tab/>
        <w:t>(always false)</w:t>
      </w:r>
    </w:p>
    <w:p w:rsidR="00B72047" w:rsidRDefault="00B72047">
      <w:pPr>
        <w:pStyle w:val="resumedafterexample"/>
      </w:pPr>
      <w:r>
        <w:rPr>
          <w:rStyle w:val="htmlcodes"/>
        </w:rPr>
        <w:t>&lt;/pre&gt;&lt;p&gt;</w:t>
      </w:r>
      <w:r>
        <w:t>Skeptics may work out the detailed truth tables for themselves.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416" w:name="_Toc398970657"/>
      <w:r>
        <w:rPr>
          <w:rStyle w:val="Heading3Text"/>
        </w:rPr>
        <w:t>The four basic vowels</w:t>
      </w:r>
      <w:bookmarkEnd w:id="41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"truth functions, fundamental 4 in Lojban"&gt;</w:t>
      </w:r>
      <w:r>
        <w:rPr>
          <w:rStyle w:val="indexentry"/>
        </w:rPr>
        <w:fldChar w:fldCharType="begin"/>
      </w:r>
      <w:r>
        <w:instrText>xe "</w:instrText>
      </w:r>
      <w:r>
        <w:rPr>
          <w:rStyle w:val="xeentry"/>
        </w:rPr>
        <w:instrText>truth functions: fundamental 4 in Lojban</w:instrText>
      </w:r>
      <w:r>
        <w:instrText>"</w:instrText>
      </w:r>
      <w:r>
        <w:rPr>
          <w:rStyle w:val="indexentry"/>
        </w:rPr>
        <w:fldChar w:fldCharType="end"/>
      </w:r>
      <w:r>
        <w:rPr>
          <w:rStyle w:val="indexentry"/>
        </w:rPr>
        <w:t>&lt;cx "truth functions, relation to logical connectives"&gt;</w:t>
      </w:r>
      <w:r>
        <w:rPr>
          <w:rStyle w:val="indexentry"/>
        </w:rPr>
        <w:fldChar w:fldCharType="begin"/>
      </w:r>
      <w:r>
        <w:instrText>xe "</w:instrText>
      </w:r>
      <w:r>
        <w:rPr>
          <w:rStyle w:val="xeentry"/>
        </w:rPr>
        <w:instrText>truth functions: relation to logical connectives</w:instrText>
      </w:r>
      <w:r>
        <w:instrText>"</w:instrText>
      </w:r>
      <w:r>
        <w:rPr>
          <w:rStyle w:val="indexentry"/>
        </w:rPr>
        <w:fldChar w:fldCharType="end"/>
      </w:r>
      <w:r>
        <w:rPr>
          <w:rStyle w:val="indexentry"/>
        </w:rPr>
        <w:t>&lt;cx "logical connectives, relation to truth functions"&gt;</w:t>
      </w:r>
      <w:r>
        <w:rPr>
          <w:rStyle w:val="indexentry"/>
        </w:rPr>
        <w:fldChar w:fldCharType="begin"/>
      </w:r>
      <w:r>
        <w:instrText>xe "</w:instrText>
      </w:r>
      <w:r>
        <w:rPr>
          <w:rStyle w:val="xeentry"/>
        </w:rPr>
        <w:instrText>logical connectives: relation to truth functions</w:instrText>
      </w:r>
      <w:r>
        <w:instrText>"</w:instrText>
      </w:r>
      <w:r>
        <w:rPr>
          <w:rStyle w:val="indexentry"/>
        </w:rPr>
        <w:fldChar w:fldCharType="end"/>
      </w:r>
      <w:r>
        <w:t>Lojban regards four of these 16 truth functions as fundamental,</w:t>
      </w:r>
      <w:r>
        <w:rPr>
          <w:rStyle w:val="deletedparamark"/>
        </w:rPr>
        <w:t xml:space="preserve"> </w:t>
      </w:r>
      <w:r>
        <w:t xml:space="preserve">and assigns them the four letters </w:t>
      </w:r>
      <w:r>
        <w:rPr>
          <w:rStyle w:val="htmlcodes"/>
        </w:rPr>
        <w:t>vowels &lt;font face="Brush Script MT, Script"&gt;</w:t>
      </w:r>
      <w:r>
        <w:rPr>
          <w:rStyle w:val="brushstroke"/>
        </w:rPr>
        <w:t>A</w:t>
      </w:r>
      <w:r>
        <w:rPr>
          <w:rStyle w:val="htmlcodes"/>
        </w:rPr>
        <w:t>&lt;/font&gt;</w:t>
      </w:r>
      <w:r>
        <w:t xml:space="preserve">, </w:t>
      </w:r>
      <w:r>
        <w:rPr>
          <w:rStyle w:val="htmlcodes"/>
        </w:rPr>
        <w:t>&lt;font face="Brush Script MT, Script"&gt;</w:t>
      </w:r>
      <w:r>
        <w:rPr>
          <w:rStyle w:val="brushstroke"/>
        </w:rPr>
        <w:t>E</w:t>
      </w:r>
      <w:r>
        <w:rPr>
          <w:rStyle w:val="htmlcodes"/>
        </w:rPr>
        <w:t>&lt;/font&gt;</w:t>
      </w:r>
      <w:r>
        <w:t>,</w:t>
      </w:r>
      <w:r>
        <w:rPr>
          <w:rStyle w:val="deletedparamark"/>
        </w:rPr>
        <w:t xml:space="preserve"> </w:t>
      </w:r>
      <w:r>
        <w:rPr>
          <w:rStyle w:val="htmlcodes"/>
        </w:rPr>
        <w:t>&lt;font face="Brush Script MT, Script"&gt;</w:t>
      </w:r>
      <w:r>
        <w:rPr>
          <w:rStyle w:val="brushstroke"/>
        </w:rPr>
        <w:t>O</w:t>
      </w:r>
      <w:r>
        <w:rPr>
          <w:rStyle w:val="htmlcodes"/>
        </w:rPr>
        <w:t>&lt;/font&gt;</w:t>
      </w:r>
      <w:r>
        <w:t xml:space="preserve">, and </w:t>
      </w:r>
      <w:r>
        <w:rPr>
          <w:rStyle w:val="htmlcodes"/>
        </w:rPr>
        <w:t>&lt;font face="Brush Script MT, Script"&gt;</w:t>
      </w:r>
      <w:r>
        <w:rPr>
          <w:rStyle w:val="brushstroke"/>
        </w:rPr>
        <w:t>U</w:t>
      </w:r>
      <w:r>
        <w:rPr>
          <w:rStyle w:val="htmlcodes"/>
        </w:rPr>
        <w:t>&lt;/font&gt;</w:t>
      </w:r>
      <w:r>
        <w:t>. These letters</w:t>
      </w:r>
      <w:r>
        <w:rPr>
          <w:rStyle w:val="deletedparamark"/>
        </w:rPr>
        <w:t xml:space="preserve"> </w:t>
      </w:r>
      <w:r>
        <w:t>do not represent actual cmavo or selma'o, but rather a component vowel</w:t>
      </w:r>
      <w:r>
        <w:rPr>
          <w:rStyle w:val="deletedparamark"/>
        </w:rPr>
        <w:t xml:space="preserve"> </w:t>
      </w:r>
      <w:r>
        <w:t>from which actual logical-connective cmavo are built up, as explained</w:t>
      </w:r>
      <w:r>
        <w:rPr>
          <w:rStyle w:val="deletedparamark"/>
        </w:rPr>
        <w:t xml:space="preserve"> </w:t>
      </w:r>
      <w:r>
        <w:t>in the next section. Here are the four vowels, their truth tables, and</w:t>
      </w:r>
      <w:r>
        <w:rPr>
          <w:rStyle w:val="deletedparamark"/>
        </w:rPr>
        <w:t xml:space="preserve"> </w:t>
      </w:r>
      <w:r>
        <w:t>rough Eng</w:t>
      </w:r>
      <w:r>
        <w:softHyphen/>
        <w:t>lish equivalents:</w:t>
      </w:r>
    </w:p>
    <w:p w:rsidR="00B72047" w:rsidRDefault="00B72047">
      <w:pPr>
        <w:pStyle w:val="exampwidetabs"/>
        <w:rPr>
          <w:rStyle w:val="htmlparacode"/>
        </w:rPr>
      </w:pPr>
      <w:r>
        <w:rPr>
          <w:rStyle w:val="htmlparacode"/>
          <w:vanish w:val="0"/>
        </w:rPr>
        <w:br w:type="page"/>
      </w:r>
      <w:r>
        <w:rPr>
          <w:rStyle w:val="htmlparacode"/>
        </w:rPr>
        <w:t>&lt;p&gt;</w:t>
      </w:r>
    </w:p>
    <w:p w:rsidR="00B72047" w:rsidRDefault="00B72047">
      <w:pPr>
        <w:pStyle w:val="examplewtabspre"/>
        <w:spacing w:before="0"/>
      </w:pPr>
      <w:r>
        <w:rPr>
          <w:rStyle w:val="indexentry"/>
        </w:rPr>
        <w:t>&lt;cx "truth tables, for 4 fundamental Lojban truth functions"&gt;</w:t>
      </w:r>
      <w:r>
        <w:rPr>
          <w:rStyle w:val="indexentry"/>
        </w:rPr>
        <w:fldChar w:fldCharType="begin"/>
      </w:r>
      <w:r>
        <w:instrText>xe "</w:instrText>
      </w:r>
      <w:r>
        <w:rPr>
          <w:rStyle w:val="xeentry"/>
        </w:rPr>
        <w:instrText>truth tables: for 4 fundamental Lojban truth functions</w:instrText>
      </w:r>
      <w:r>
        <w:instrText>"</w:instrText>
      </w:r>
      <w:r>
        <w:rPr>
          <w:rStyle w:val="indexentry"/>
        </w:rPr>
        <w:fldChar w:fldCharType="end"/>
      </w:r>
      <w:r>
        <w:rPr>
          <w:rStyle w:val="indexentry"/>
        </w:rPr>
        <w:t>&lt;cx "fancy A, notation convention"&gt;</w:t>
      </w:r>
      <w:r>
        <w:rPr>
          <w:rStyle w:val="indexentry"/>
        </w:rPr>
        <w:fldChar w:fldCharType="begin"/>
      </w:r>
      <w:r>
        <w:instrText>xe "</w:instrText>
      </w:r>
      <w:r>
        <w:rPr>
          <w:rStyle w:val="xeentry"/>
        </w:rPr>
        <w:instrText>fancy A: notation convention</w:instrText>
      </w:r>
      <w:r>
        <w:instrText>"</w:instrText>
      </w:r>
      <w:r>
        <w:rPr>
          <w:rStyle w:val="indexentry"/>
        </w:rPr>
        <w:fldChar w:fldCharType="end"/>
      </w:r>
      <w:r>
        <w:rPr>
          <w:rStyle w:val="indexentry"/>
        </w:rPr>
        <w:t>&lt;cx "fancy E, notation convention"&gt;</w:t>
      </w:r>
      <w:r>
        <w:rPr>
          <w:rStyle w:val="indexentry"/>
        </w:rPr>
        <w:fldChar w:fldCharType="begin"/>
      </w:r>
      <w:r>
        <w:instrText>xe "</w:instrText>
      </w:r>
      <w:r>
        <w:rPr>
          <w:rStyle w:val="xeentry"/>
        </w:rPr>
        <w:instrText>fancy E: notation convention</w:instrText>
      </w:r>
      <w:r>
        <w:instrText>"</w:instrText>
      </w:r>
      <w:r>
        <w:rPr>
          <w:rStyle w:val="indexentry"/>
        </w:rPr>
        <w:fldChar w:fldCharType="end"/>
      </w:r>
      <w:r>
        <w:rPr>
          <w:rStyle w:val="indexentry"/>
        </w:rPr>
        <w:t>&lt;cx "fancy O, notation convention"&gt;</w:t>
      </w:r>
      <w:r>
        <w:rPr>
          <w:rStyle w:val="indexentry"/>
        </w:rPr>
        <w:fldChar w:fldCharType="begin"/>
      </w:r>
      <w:r>
        <w:instrText>xe "</w:instrText>
      </w:r>
      <w:r>
        <w:rPr>
          <w:rStyle w:val="xeentry"/>
        </w:rPr>
        <w:instrText>fancy O: notation convention</w:instrText>
      </w:r>
      <w:r>
        <w:instrText>"</w:instrText>
      </w:r>
      <w:r>
        <w:rPr>
          <w:rStyle w:val="indexentry"/>
        </w:rPr>
        <w:fldChar w:fldCharType="end"/>
      </w:r>
      <w:r>
        <w:rPr>
          <w:rStyle w:val="indexentry"/>
        </w:rPr>
        <w:t>&lt;cx "fancy U, notation convention"&gt;</w:t>
      </w:r>
      <w:r>
        <w:rPr>
          <w:rStyle w:val="indexentry"/>
        </w:rPr>
        <w:fldChar w:fldCharType="begin"/>
      </w:r>
      <w:r>
        <w:instrText>xe "</w:instrText>
      </w:r>
      <w:r>
        <w:rPr>
          <w:rStyle w:val="xeentry"/>
        </w:rPr>
        <w:instrText>fancy U: notation convention</w:instrText>
      </w:r>
      <w:r>
        <w:instrText>"</w:instrText>
      </w:r>
      <w:r>
        <w:rPr>
          <w:rStyle w:val="indexentry"/>
        </w:rPr>
        <w:fldChar w:fldCharType="end"/>
      </w:r>
      <w:r>
        <w:rPr>
          <w:rStyle w:val="htmlcodes"/>
        </w:rPr>
        <w:t>&lt;pre&gt;</w:t>
      </w:r>
      <w:r>
        <w:tab/>
      </w:r>
      <w:r>
        <w:rPr>
          <w:rStyle w:val="htmlcodes"/>
          <w:rFonts w:ascii="Brush Script MT" w:hAnsi="Brush Script MT" w:cs="Brush Script MT"/>
        </w:rPr>
        <w:t>&lt;font face="Brush Script MT, Script"&gt;</w:t>
      </w:r>
      <w:r>
        <w:rPr>
          <w:rStyle w:val="brushstroke"/>
        </w:rPr>
        <w:t>A</w:t>
      </w:r>
      <w:r>
        <w:rPr>
          <w:rStyle w:val="htmlcodes"/>
        </w:rPr>
        <w:t>&lt;/font&gt;</w:t>
      </w:r>
      <w:r>
        <w:rPr>
          <w:rStyle w:val="brushstroke"/>
        </w:rPr>
        <w:t xml:space="preserve"> </w:t>
      </w:r>
      <w:r>
        <w:tab/>
        <w:t>TTTF</w:t>
      </w:r>
      <w:r>
        <w:tab/>
        <w:t>or, and/or</w:t>
      </w:r>
    </w:p>
    <w:p w:rsidR="00B72047" w:rsidRDefault="00B72047">
      <w:pPr>
        <w:pStyle w:val="exampwidetabs"/>
      </w:pPr>
      <w:r>
        <w:tab/>
      </w:r>
      <w:r>
        <w:rPr>
          <w:rStyle w:val="htmlcodes"/>
          <w:rFonts w:ascii="Brush Script MT" w:hAnsi="Brush Script MT" w:cs="Brush Script MT"/>
        </w:rPr>
        <w:t>&lt;font face="Brush Script MT, Script"&gt;</w:t>
      </w:r>
      <w:r>
        <w:rPr>
          <w:rStyle w:val="brushstroke"/>
        </w:rPr>
        <w:t>E</w:t>
      </w:r>
      <w:r>
        <w:rPr>
          <w:rStyle w:val="htmlcodes"/>
          <w:rFonts w:ascii="Brush Script MT" w:hAnsi="Brush Script MT" w:cs="Brush Script MT"/>
        </w:rPr>
        <w:t>&lt;/font&gt;</w:t>
      </w:r>
      <w:r>
        <w:t xml:space="preserve"> </w:t>
      </w:r>
      <w:r>
        <w:tab/>
        <w:t>TFFF</w:t>
      </w:r>
      <w:r>
        <w:tab/>
        <w:t>and</w:t>
      </w:r>
    </w:p>
    <w:p w:rsidR="00B72047" w:rsidRDefault="00B72047">
      <w:pPr>
        <w:pStyle w:val="exampwidetabs"/>
      </w:pPr>
      <w:r>
        <w:tab/>
      </w:r>
      <w:r>
        <w:rPr>
          <w:rStyle w:val="htmlcodes"/>
          <w:rFonts w:ascii="Brush Script MT" w:hAnsi="Brush Script MT" w:cs="Brush Script MT"/>
        </w:rPr>
        <w:t>&lt;font face="Brush Script MT, Script"&gt;</w:t>
      </w:r>
      <w:r>
        <w:rPr>
          <w:rStyle w:val="brushstroke"/>
        </w:rPr>
        <w:t>O</w:t>
      </w:r>
      <w:r>
        <w:rPr>
          <w:rStyle w:val="htmlcodes"/>
        </w:rPr>
        <w:t>&lt;/font&gt;</w:t>
      </w:r>
      <w:r>
        <w:t xml:space="preserve"> </w:t>
      </w:r>
      <w:r>
        <w:tab/>
        <w:t>TFFT</w:t>
      </w:r>
      <w:r>
        <w:tab/>
        <w:t>if and only if</w:t>
      </w:r>
    </w:p>
    <w:p w:rsidR="00B72047" w:rsidRDefault="00B72047">
      <w:pPr>
        <w:pStyle w:val="exampwidetabs"/>
      </w:pPr>
      <w:r>
        <w:tab/>
      </w:r>
      <w:r>
        <w:rPr>
          <w:rStyle w:val="htmlcodes"/>
          <w:rFonts w:ascii="Brush Script MT" w:hAnsi="Brush Script MT" w:cs="Brush Script MT"/>
        </w:rPr>
        <w:t>&lt;font face="Brush Script MT, Script"&gt;</w:t>
      </w:r>
      <w:r>
        <w:rPr>
          <w:rStyle w:val="brushstroke"/>
        </w:rPr>
        <w:t>U</w:t>
      </w:r>
      <w:r>
        <w:rPr>
          <w:rStyle w:val="htmlcodes"/>
        </w:rPr>
        <w:t>&lt;/font&gt;</w:t>
      </w:r>
      <w:r>
        <w:t xml:space="preserve"> </w:t>
      </w:r>
      <w:r>
        <w:tab/>
        <w:t>TTFF</w:t>
      </w:r>
      <w:r>
        <w:tab/>
        <w:t>whether or not</w:t>
      </w:r>
    </w:p>
    <w:p w:rsidR="00B72047" w:rsidRDefault="00B72047">
      <w:pPr>
        <w:pStyle w:val="resumedafterexample"/>
      </w:pPr>
      <w:r>
        <w:rPr>
          <w:rStyle w:val="htmlcodes"/>
        </w:rPr>
        <w:t>&lt;/pre&gt;&lt;p&gt;</w:t>
      </w:r>
      <w:r>
        <w:t>More precisely:</w:t>
      </w:r>
    </w:p>
    <w:p w:rsidR="00B72047" w:rsidRDefault="00B72047">
      <w:pPr>
        <w:pStyle w:val="examplescaledpre"/>
        <w:ind w:firstLine="0"/>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&lt;dl compact&gt;&lt;dt&gt;&lt;dd&gt;&lt;font face="Brush Script MT, Script"&gt;</w:t>
      </w:r>
      <w:r>
        <w:tab/>
      </w:r>
      <w:r>
        <w:rPr>
          <w:rStyle w:val="brushstroke"/>
        </w:rPr>
        <w:t xml:space="preserve">A </w:t>
      </w:r>
      <w:r>
        <w:t xml:space="preserve"> </w:t>
      </w:r>
      <w:r>
        <w:rPr>
          <w:rStyle w:val="htmlcodes"/>
        </w:rPr>
        <w:t>&lt;/font&gt;</w:t>
      </w:r>
      <w:r>
        <w:t>is true if either or both sentences are true;</w:t>
      </w:r>
    </w:p>
    <w:p w:rsidR="00B72047" w:rsidRDefault="00B72047" w:rsidP="007E67C1">
      <w:pPr>
        <w:pStyle w:val="Listnobullcontinued"/>
        <w:numPr>
          <w:ilvl w:val="0"/>
          <w:numId w:val="0"/>
        </w:numPr>
        <w:ind w:left="864" w:hanging="504"/>
      </w:pPr>
      <w:r>
        <w:tab/>
      </w:r>
      <w:r>
        <w:rPr>
          <w:rStyle w:val="htmlcodes"/>
        </w:rPr>
        <w:t>&lt;font face="Brush Script MT, Script"&gt;</w:t>
      </w:r>
      <w:r>
        <w:rPr>
          <w:rStyle w:val="brushstroke"/>
        </w:rPr>
        <w:t xml:space="preserve">E </w:t>
      </w:r>
      <w:r>
        <w:t xml:space="preserve"> </w:t>
      </w:r>
      <w:r>
        <w:rPr>
          <w:rStyle w:val="htmlcodes"/>
        </w:rPr>
        <w:t>&lt;/font&gt;</w:t>
      </w:r>
      <w:r>
        <w:t>is true if both sentences are true, but not otherwise;</w:t>
      </w:r>
    </w:p>
    <w:p w:rsidR="00B72047" w:rsidRDefault="00B72047" w:rsidP="007E67C1">
      <w:pPr>
        <w:pStyle w:val="Listnobullcontinued"/>
        <w:numPr>
          <w:ilvl w:val="0"/>
          <w:numId w:val="0"/>
        </w:numPr>
        <w:ind w:left="864" w:hanging="504"/>
      </w:pPr>
      <w:r>
        <w:tab/>
      </w:r>
      <w:r>
        <w:rPr>
          <w:rStyle w:val="htmlcodes"/>
        </w:rPr>
        <w:t>&lt;font face="Brush Script MT, Script"&gt;</w:t>
      </w:r>
      <w:r>
        <w:rPr>
          <w:rStyle w:val="brushstroke"/>
        </w:rPr>
        <w:t xml:space="preserve">O </w:t>
      </w:r>
      <w:r>
        <w:t xml:space="preserve"> </w:t>
      </w:r>
      <w:r>
        <w:rPr>
          <w:rStyle w:val="htmlcodes"/>
        </w:rPr>
        <w:t>&lt;/font&gt;</w:t>
      </w:r>
      <w:r>
        <w:t>is true if the sentences are both true or both false;</w:t>
      </w:r>
    </w:p>
    <w:p w:rsidR="00B72047" w:rsidRDefault="00B72047" w:rsidP="007E67C1">
      <w:pPr>
        <w:pStyle w:val="Listnobullcontinued"/>
        <w:numPr>
          <w:ilvl w:val="0"/>
          <w:numId w:val="0"/>
        </w:numPr>
        <w:ind w:left="864" w:hanging="504"/>
      </w:pPr>
      <w:r>
        <w:tab/>
      </w:r>
      <w:r>
        <w:rPr>
          <w:rStyle w:val="htmlcodes"/>
        </w:rPr>
        <w:t>&lt;font face="Brush Script MT, Script"&gt;</w:t>
      </w:r>
      <w:r>
        <w:rPr>
          <w:rStyle w:val="brushstroke"/>
        </w:rPr>
        <w:t xml:space="preserve">U </w:t>
      </w:r>
      <w:r>
        <w:t xml:space="preserve"> </w:t>
      </w:r>
      <w:r>
        <w:rPr>
          <w:rStyle w:val="htmlcodes"/>
        </w:rPr>
        <w:t>&lt;/font&gt;</w:t>
      </w:r>
      <w:r>
        <w:t xml:space="preserve">is true if the first sentence is true, regardless of the truth value of the </w:t>
      </w:r>
    </w:p>
    <w:p w:rsidR="00B72047" w:rsidRDefault="00B72047" w:rsidP="007E67C1">
      <w:pPr>
        <w:pStyle w:val="Listnobullcontinued"/>
        <w:numPr>
          <w:ilvl w:val="0"/>
          <w:numId w:val="0"/>
        </w:numPr>
        <w:ind w:left="864" w:hanging="504"/>
      </w:pPr>
      <w:r>
        <w:tab/>
      </w:r>
      <w:r>
        <w:tab/>
        <w:t>second sentence.</w:t>
      </w:r>
    </w:p>
    <w:p w:rsidR="00B72047" w:rsidRDefault="00B72047">
      <w:pPr>
        <w:pStyle w:val="normalafterexample"/>
      </w:pPr>
      <w:r>
        <w:rPr>
          <w:rStyle w:val="htmlcodes"/>
        </w:rPr>
        <w:t>&lt;/dl&gt;</w:t>
      </w:r>
      <w:r>
        <w:rPr>
          <w:rStyle w:val="indexentry"/>
        </w:rPr>
        <w:t>&lt;cx "truth functions, creating all 16 with Lojban's basic set"&gt;</w:t>
      </w:r>
      <w:r>
        <w:rPr>
          <w:rStyle w:val="indexentry"/>
        </w:rPr>
        <w:fldChar w:fldCharType="begin"/>
      </w:r>
      <w:r>
        <w:instrText>xe "</w:instrText>
      </w:r>
      <w:r>
        <w:rPr>
          <w:rStyle w:val="xeentry"/>
        </w:rPr>
        <w:instrText>truth functions: creating all 16 with Lojban's basic set</w:instrText>
      </w:r>
      <w:r>
        <w:instrText>"</w:instrText>
      </w:r>
      <w:r>
        <w:rPr>
          <w:rStyle w:val="indexentry"/>
        </w:rPr>
        <w:fldChar w:fldCharType="end"/>
      </w:r>
      <w:r>
        <w:t>With the four vowels, the ability to negate either sentence, and the</w:t>
      </w:r>
      <w:r>
        <w:rPr>
          <w:rStyle w:val="deletedparamark"/>
        </w:rPr>
        <w:t xml:space="preserve"> </w:t>
      </w:r>
      <w:r>
        <w:t>ability to e</w:t>
      </w:r>
      <w:r>
        <w:t>x</w:t>
      </w:r>
      <w:r>
        <w:softHyphen/>
        <w:t>change the sentences, as if their order had been reversed,</w:t>
      </w:r>
      <w:r>
        <w:rPr>
          <w:rStyle w:val="deletedparamark"/>
        </w:rPr>
        <w:t xml:space="preserve"> </w:t>
      </w:r>
      <w:r>
        <w:t>we can create all of the 16 po</w:t>
      </w:r>
      <w:r>
        <w:t>s</w:t>
      </w:r>
      <w:r>
        <w:softHyphen/>
        <w:t>sible truth functions except TTTT and FFFF,</w:t>
      </w:r>
      <w:r>
        <w:rPr>
          <w:rStyle w:val="deletedparamark"/>
        </w:rPr>
        <w:t xml:space="preserve"> </w:t>
      </w:r>
      <w:r>
        <w:t>which are fairly useless anyway. The fo</w:t>
      </w:r>
      <w:r>
        <w:t>l</w:t>
      </w:r>
      <w:r>
        <w:softHyphen/>
        <w:t>lowing table illustrates how to</w:t>
      </w:r>
      <w:r>
        <w:rPr>
          <w:rStyle w:val="deletedparamark"/>
        </w:rPr>
        <w:t xml:space="preserve"> </w:t>
      </w:r>
      <w:r>
        <w:t>create each of the 14 remaining truth functions:</w:t>
      </w:r>
    </w:p>
    <w:p w:rsidR="00B72047" w:rsidRDefault="00B72047">
      <w:pPr>
        <w:pStyle w:val="examplecomptabs"/>
        <w:rPr>
          <w:rStyle w:val="htmlparacode"/>
        </w:rPr>
      </w:pPr>
      <w:r>
        <w:rPr>
          <w:rStyle w:val="htmlparacode"/>
        </w:rPr>
        <w:t>&lt;p&gt;</w:t>
      </w:r>
    </w:p>
    <w:p w:rsidR="00B72047" w:rsidRDefault="00B72047">
      <w:pPr>
        <w:pStyle w:val="examplecomptabspre"/>
      </w:pPr>
      <w:r>
        <w:rPr>
          <w:rStyle w:val="htmlcodes"/>
        </w:rPr>
        <w:t>&lt;pre&gt;</w:t>
      </w:r>
      <w:r>
        <w:t xml:space="preserve"> </w:t>
      </w:r>
      <w:r>
        <w:tab/>
        <w:t>TTTF</w:t>
      </w:r>
      <w:r>
        <w:tab/>
      </w:r>
      <w:r>
        <w:rPr>
          <w:rStyle w:val="htmlcodes"/>
        </w:rPr>
        <w:t>&lt;font face="Brush Script MT, Script"&gt;</w:t>
      </w:r>
      <w:r>
        <w:rPr>
          <w:rStyle w:val="brushstroke"/>
        </w:rPr>
        <w:t>A</w:t>
      </w:r>
      <w:r>
        <w:rPr>
          <w:rStyle w:val="htmlcodes"/>
        </w:rPr>
        <w:t>&lt;/font&gt;</w:t>
      </w:r>
    </w:p>
    <w:p w:rsidR="00B72047" w:rsidRDefault="00B72047">
      <w:pPr>
        <w:pStyle w:val="examplecomptabs"/>
      </w:pPr>
      <w:r>
        <w:tab/>
        <w:t>TTFT</w:t>
      </w:r>
      <w:r>
        <w:tab/>
      </w:r>
      <w:r>
        <w:rPr>
          <w:rStyle w:val="htmlcodes"/>
        </w:rPr>
        <w:t>&lt;font face="Brush Script MT, Script"&gt;</w:t>
      </w:r>
      <w:r>
        <w:rPr>
          <w:rStyle w:val="brushstroke"/>
        </w:rPr>
        <w:t>A</w:t>
      </w:r>
      <w:r>
        <w:t xml:space="preserve">  </w:t>
      </w:r>
      <w:r>
        <w:rPr>
          <w:rStyle w:val="htmlcodes"/>
        </w:rPr>
        <w:t>&lt;/font&gt;</w:t>
      </w:r>
      <w:r>
        <w:t>with second sentence negated</w:t>
      </w:r>
    </w:p>
    <w:p w:rsidR="00B72047" w:rsidRDefault="00B72047">
      <w:pPr>
        <w:pStyle w:val="examplecomptabs"/>
      </w:pPr>
      <w:r>
        <w:tab/>
        <w:t>TTFF</w:t>
      </w:r>
      <w:r>
        <w:tab/>
      </w:r>
      <w:r>
        <w:rPr>
          <w:rStyle w:val="htmlcodes"/>
        </w:rPr>
        <w:t>&lt;font face="Brush Script MT, Script"&gt;</w:t>
      </w:r>
      <w:r>
        <w:rPr>
          <w:rStyle w:val="brushstroke"/>
        </w:rPr>
        <w:t>U</w:t>
      </w:r>
      <w:r>
        <w:rPr>
          <w:rStyle w:val="htmlcodes"/>
        </w:rPr>
        <w:t>&lt;/font&gt;</w:t>
      </w:r>
    </w:p>
    <w:p w:rsidR="00B72047" w:rsidRDefault="00B72047">
      <w:pPr>
        <w:pStyle w:val="examplecomptabs"/>
      </w:pPr>
      <w:r>
        <w:tab/>
        <w:t>TFTT</w:t>
      </w:r>
      <w:r>
        <w:tab/>
      </w:r>
      <w:r>
        <w:rPr>
          <w:rStyle w:val="htmlcodes"/>
        </w:rPr>
        <w:t>&lt;font face="Brush Script MT, Script"&gt;</w:t>
      </w:r>
      <w:r>
        <w:rPr>
          <w:rStyle w:val="brushstroke"/>
        </w:rPr>
        <w:t>A</w:t>
      </w:r>
      <w:r>
        <w:t xml:space="preserve">  </w:t>
      </w:r>
      <w:r>
        <w:rPr>
          <w:rStyle w:val="htmlcodes"/>
        </w:rPr>
        <w:t>&lt;/font&gt;</w:t>
      </w:r>
      <w:r>
        <w:t>with first sentence negated</w:t>
      </w:r>
    </w:p>
    <w:p w:rsidR="00B72047" w:rsidRDefault="00B72047">
      <w:pPr>
        <w:pStyle w:val="examplecomptabs"/>
      </w:pPr>
      <w:r>
        <w:tab/>
        <w:t>TFTF</w:t>
      </w:r>
      <w:r>
        <w:tab/>
      </w:r>
      <w:r>
        <w:rPr>
          <w:rStyle w:val="htmlcodes"/>
        </w:rPr>
        <w:t>&lt;font face="Brush Script MT, Script"&gt;</w:t>
      </w:r>
      <w:r>
        <w:rPr>
          <w:rStyle w:val="brushstroke"/>
        </w:rPr>
        <w:t>U</w:t>
      </w:r>
      <w:r>
        <w:t xml:space="preserve">  </w:t>
      </w:r>
      <w:r>
        <w:rPr>
          <w:rStyle w:val="htmlcodes"/>
        </w:rPr>
        <w:t>&lt;/font&gt;</w:t>
      </w:r>
      <w:r>
        <w:t>with sentences exchanged</w:t>
      </w:r>
    </w:p>
    <w:p w:rsidR="00B72047" w:rsidRDefault="00B72047">
      <w:pPr>
        <w:pStyle w:val="examplecomptabs"/>
      </w:pPr>
      <w:r>
        <w:tab/>
        <w:t>TFFT</w:t>
      </w:r>
      <w:r>
        <w:tab/>
      </w:r>
      <w:r>
        <w:rPr>
          <w:rStyle w:val="htmlcodes"/>
        </w:rPr>
        <w:t>&lt;font face="Brush Script MT, Script"&gt;</w:t>
      </w:r>
      <w:r>
        <w:rPr>
          <w:rStyle w:val="brushstroke"/>
        </w:rPr>
        <w:t>O</w:t>
      </w:r>
      <w:r>
        <w:rPr>
          <w:rStyle w:val="htmlcodes"/>
        </w:rPr>
        <w:t>&lt;/font&gt;</w:t>
      </w:r>
    </w:p>
    <w:p w:rsidR="00B72047" w:rsidRDefault="00B72047">
      <w:pPr>
        <w:pStyle w:val="examplecomptabs"/>
      </w:pPr>
      <w:r>
        <w:tab/>
        <w:t>TFFF</w:t>
      </w:r>
      <w:r>
        <w:tab/>
      </w:r>
      <w:r>
        <w:rPr>
          <w:rStyle w:val="htmlcodes"/>
        </w:rPr>
        <w:t>&lt;font face="Brush Script MT, Script"&gt;</w:t>
      </w:r>
      <w:r>
        <w:rPr>
          <w:rStyle w:val="brushstroke"/>
        </w:rPr>
        <w:t>E</w:t>
      </w:r>
      <w:r>
        <w:rPr>
          <w:rStyle w:val="htmlcodes"/>
        </w:rPr>
        <w:t>&lt;/font&gt;</w:t>
      </w:r>
    </w:p>
    <w:p w:rsidR="00B72047" w:rsidRDefault="00B72047">
      <w:pPr>
        <w:pStyle w:val="examplecomptabs"/>
      </w:pPr>
    </w:p>
    <w:p w:rsidR="00B72047" w:rsidRDefault="00B72047">
      <w:pPr>
        <w:pStyle w:val="examplecomptabs"/>
      </w:pPr>
      <w:r>
        <w:tab/>
        <w:t>FTTT</w:t>
      </w:r>
      <w:r>
        <w:tab/>
      </w:r>
      <w:r>
        <w:rPr>
          <w:rStyle w:val="htmlcodes"/>
        </w:rPr>
        <w:t>&lt;font face="Brush Script MT, Script"&gt;</w:t>
      </w:r>
      <w:r>
        <w:rPr>
          <w:rStyle w:val="brushstroke"/>
        </w:rPr>
        <w:t>A</w:t>
      </w:r>
      <w:r>
        <w:t xml:space="preserve">  </w:t>
      </w:r>
      <w:r>
        <w:rPr>
          <w:rStyle w:val="htmlcodes"/>
        </w:rPr>
        <w:t>&lt;/font&gt;</w:t>
      </w:r>
      <w:r>
        <w:t>with both sentences negated</w:t>
      </w:r>
    </w:p>
    <w:p w:rsidR="00B72047" w:rsidRDefault="00B72047">
      <w:pPr>
        <w:pStyle w:val="examplecomptabs"/>
      </w:pPr>
      <w:r>
        <w:tab/>
        <w:t>FTTF</w:t>
      </w:r>
      <w:r>
        <w:tab/>
      </w:r>
      <w:r>
        <w:rPr>
          <w:rStyle w:val="htmlcodes"/>
        </w:rPr>
        <w:t>&lt;font face="Brush Script MT, Script"&gt;</w:t>
      </w:r>
      <w:r>
        <w:rPr>
          <w:rStyle w:val="brushstroke"/>
        </w:rPr>
        <w:t>O</w:t>
      </w:r>
      <w:r>
        <w:t xml:space="preserve">  </w:t>
      </w:r>
      <w:r>
        <w:rPr>
          <w:rStyle w:val="htmlcodes"/>
        </w:rPr>
        <w:t>&lt;/font&gt;</w:t>
      </w:r>
      <w:r>
        <w:t>with either first or second negated (not both)</w:t>
      </w:r>
    </w:p>
    <w:p w:rsidR="00B72047" w:rsidRDefault="00B72047">
      <w:pPr>
        <w:pStyle w:val="examplecomptabs"/>
      </w:pPr>
      <w:r>
        <w:tab/>
        <w:t>FTFT</w:t>
      </w:r>
      <w:r>
        <w:tab/>
      </w:r>
      <w:r>
        <w:rPr>
          <w:rStyle w:val="htmlcodes"/>
        </w:rPr>
        <w:t>&lt;font face="Brush Script MT, Script"&gt;</w:t>
      </w:r>
      <w:r>
        <w:rPr>
          <w:rStyle w:val="brushstroke"/>
        </w:rPr>
        <w:t>U</w:t>
      </w:r>
      <w:r>
        <w:t xml:space="preserve">  </w:t>
      </w:r>
      <w:r>
        <w:rPr>
          <w:rStyle w:val="htmlcodes"/>
        </w:rPr>
        <w:t>&lt;/font&gt;</w:t>
      </w:r>
      <w:r>
        <w:t>with sentences exchanged and then second negated</w:t>
      </w:r>
    </w:p>
    <w:p w:rsidR="00B72047" w:rsidRDefault="00B72047">
      <w:pPr>
        <w:pStyle w:val="examplecomptabs"/>
      </w:pPr>
      <w:r>
        <w:tab/>
        <w:t>FTFF</w:t>
      </w:r>
      <w:r>
        <w:tab/>
      </w:r>
      <w:r>
        <w:rPr>
          <w:rStyle w:val="htmlcodes"/>
        </w:rPr>
        <w:t>&lt;font face="Brush Script MT, Script"&gt;</w:t>
      </w:r>
      <w:r>
        <w:rPr>
          <w:rStyle w:val="brushstroke"/>
        </w:rPr>
        <w:t>E</w:t>
      </w:r>
      <w:r>
        <w:t xml:space="preserve">  </w:t>
      </w:r>
      <w:r>
        <w:rPr>
          <w:rStyle w:val="htmlcodes"/>
        </w:rPr>
        <w:t>&lt;/font&gt;</w:t>
      </w:r>
      <w:r>
        <w:t>with second sentence negated</w:t>
      </w:r>
    </w:p>
    <w:p w:rsidR="00B72047" w:rsidRDefault="00B72047">
      <w:pPr>
        <w:pStyle w:val="examplecomptabs"/>
      </w:pPr>
      <w:r>
        <w:tab/>
        <w:t>FFTT</w:t>
      </w:r>
      <w:r>
        <w:tab/>
      </w:r>
      <w:r>
        <w:rPr>
          <w:rStyle w:val="htmlcodes"/>
        </w:rPr>
        <w:t>&lt;font face="Brush Script MT, Script"&gt;</w:t>
      </w:r>
      <w:r>
        <w:rPr>
          <w:rStyle w:val="brushstroke"/>
        </w:rPr>
        <w:t>U</w:t>
      </w:r>
      <w:r>
        <w:t xml:space="preserve">  </w:t>
      </w:r>
      <w:r>
        <w:rPr>
          <w:rStyle w:val="htmlcodes"/>
        </w:rPr>
        <w:t>&lt;/font&gt;</w:t>
      </w:r>
      <w:r>
        <w:t>with first sentence negated</w:t>
      </w:r>
    </w:p>
    <w:p w:rsidR="00B72047" w:rsidRDefault="00B72047">
      <w:pPr>
        <w:pStyle w:val="examplecomptabs"/>
      </w:pPr>
      <w:r>
        <w:tab/>
        <w:t>FFTF</w:t>
      </w:r>
      <w:r>
        <w:tab/>
      </w:r>
      <w:r>
        <w:rPr>
          <w:rStyle w:val="htmlcodes"/>
        </w:rPr>
        <w:t>&lt;font face="Brush Script MT, Script"&gt;</w:t>
      </w:r>
      <w:r>
        <w:rPr>
          <w:rStyle w:val="brushstroke"/>
        </w:rPr>
        <w:t>E</w:t>
      </w:r>
      <w:r>
        <w:t xml:space="preserve">  </w:t>
      </w:r>
      <w:r>
        <w:rPr>
          <w:rStyle w:val="htmlcodes"/>
        </w:rPr>
        <w:t>&lt;/font&gt;</w:t>
      </w:r>
      <w:r>
        <w:t>with first sentence negated</w:t>
      </w:r>
    </w:p>
    <w:p w:rsidR="00B72047" w:rsidRDefault="00B72047">
      <w:pPr>
        <w:pStyle w:val="examplecomptabs"/>
      </w:pPr>
      <w:r>
        <w:tab/>
        <w:t>FFFT</w:t>
      </w:r>
      <w:r>
        <w:tab/>
      </w:r>
      <w:r>
        <w:rPr>
          <w:rStyle w:val="htmlcodes"/>
        </w:rPr>
        <w:t>&lt;font face="Brush Script MT, Script"&gt;</w:t>
      </w:r>
      <w:r>
        <w:rPr>
          <w:rStyle w:val="brushstroke"/>
        </w:rPr>
        <w:t>E</w:t>
      </w:r>
      <w:r>
        <w:t xml:space="preserve">  </w:t>
      </w:r>
      <w:r>
        <w:rPr>
          <w:rStyle w:val="htmlcodes"/>
        </w:rPr>
        <w:t>&lt;/font&gt;</w:t>
      </w:r>
      <w:r>
        <w:t>with both sentences negated</w:t>
      </w:r>
    </w:p>
    <w:p w:rsidR="00B72047" w:rsidRDefault="00B72047">
      <w:pPr>
        <w:pStyle w:val="normalafterexample"/>
      </w:pPr>
      <w:r>
        <w:rPr>
          <w:rStyle w:val="htmlcodes"/>
        </w:rPr>
        <w:t>&lt;/pre&gt;</w:t>
      </w:r>
      <w:r>
        <w:rPr>
          <w:rStyle w:val="indexentry"/>
        </w:rPr>
        <w:t>&lt;cx "commutative truth functions"&gt;</w:t>
      </w:r>
      <w:r>
        <w:rPr>
          <w:rStyle w:val="indexentry"/>
        </w:rPr>
        <w:fldChar w:fldCharType="begin"/>
      </w:r>
      <w:r>
        <w:instrText>xe "</w:instrText>
      </w:r>
      <w:r>
        <w:rPr>
          <w:rStyle w:val="xeentry"/>
        </w:rPr>
        <w:instrText>commutative truth functions</w:instrText>
      </w:r>
      <w:r>
        <w:instrText>"</w:instrText>
      </w:r>
      <w:r>
        <w:rPr>
          <w:rStyle w:val="indexentry"/>
        </w:rPr>
        <w:fldChar w:fldCharType="end"/>
      </w:r>
      <w:r>
        <w:rPr>
          <w:rStyle w:val="indexentry"/>
        </w:rPr>
        <w:t>&lt;cx "truth functions, commutative"&gt;</w:t>
      </w:r>
      <w:r>
        <w:rPr>
          <w:rStyle w:val="indexentry"/>
        </w:rPr>
        <w:fldChar w:fldCharType="begin"/>
      </w:r>
      <w:r>
        <w:instrText>xe "</w:instrText>
      </w:r>
      <w:r>
        <w:rPr>
          <w:rStyle w:val="xeentry"/>
        </w:rPr>
        <w:instrText>truth functions: commutative</w:instrText>
      </w:r>
      <w:r>
        <w:instrText>"</w:instrText>
      </w:r>
      <w:r>
        <w:rPr>
          <w:rStyle w:val="indexentry"/>
        </w:rPr>
        <w:fldChar w:fldCharType="end"/>
      </w:r>
      <w:r>
        <w:t xml:space="preserve">Note that exchanging the sentences is only necessary with </w:t>
      </w:r>
      <w:r>
        <w:rPr>
          <w:rStyle w:val="htmlcodes"/>
        </w:rPr>
        <w:t>&lt;font face="Brush Script MT, Script"&gt;</w:t>
      </w:r>
      <w:r>
        <w:rPr>
          <w:rStyle w:val="brushstroke"/>
        </w:rPr>
        <w:t>U</w:t>
      </w:r>
      <w:r>
        <w:rPr>
          <w:rStyle w:val="htmlcodes"/>
        </w:rPr>
        <w:t>&lt;/font&gt;</w:t>
      </w:r>
      <w:r>
        <w:t>. The three other basic truth functions are commutative; that is, they mean</w:t>
      </w:r>
      <w:r>
        <w:rPr>
          <w:rStyle w:val="deletedparamark"/>
        </w:rPr>
        <w:t xml:space="preserve"> </w:t>
      </w:r>
      <w:r>
        <w:t>the same thing regardless of the order of the component sentences.</w:t>
      </w:r>
      <w:r>
        <w:rPr>
          <w:rStyle w:val="deletedparamark"/>
        </w:rPr>
        <w:t xml:space="preserve"> </w:t>
      </w:r>
      <w:r>
        <w:t>There are other ways of getting some of these truth tables; these just</w:t>
      </w:r>
      <w:r>
        <w:rPr>
          <w:rStyle w:val="deletedparamark"/>
        </w:rPr>
        <w:t xml:space="preserve"> </w:t>
      </w:r>
      <w:r>
        <w:t>happen to be the methods usually employed.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417" w:name="_Toc398970658"/>
      <w:r>
        <w:rPr>
          <w:rStyle w:val="Heading3Text"/>
        </w:rPr>
        <w:t>The six types of logical connectives</w:t>
      </w:r>
      <w:bookmarkEnd w:id="41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rationale for multiple sets in grammar"&gt;</w:t>
      </w:r>
      <w:r>
        <w:rPr>
          <w:rStyle w:val="indexentry"/>
        </w:rPr>
        <w:fldChar w:fldCharType="begin"/>
      </w:r>
      <w:r>
        <w:instrText>xe "</w:instrText>
      </w:r>
      <w:r>
        <w:rPr>
          <w:rStyle w:val="xeentry"/>
        </w:rPr>
        <w:instrText>logical connectives: rationale for multiple sets in grammar</w:instrText>
      </w:r>
      <w:r>
        <w:instrText>"</w:instrText>
      </w:r>
      <w:r>
        <w:rPr>
          <w:rStyle w:val="indexentry"/>
        </w:rPr>
        <w:fldChar w:fldCharType="end"/>
      </w:r>
      <w:r>
        <w:t>In order to remain unambiguous, Lojban cannot have only a single logical</w:t>
      </w:r>
      <w:r>
        <w:rPr>
          <w:rStyle w:val="deletedparamark"/>
        </w:rPr>
        <w:t xml:space="preserve"> </w:t>
      </w:r>
      <w:r>
        <w:t>connective for each truth function. There are many places in the grammar</w:t>
      </w:r>
      <w:r>
        <w:rPr>
          <w:rStyle w:val="deletedparamark"/>
        </w:rPr>
        <w:t xml:space="preserve"> </w:t>
      </w:r>
      <w:r>
        <w:t>of the lan</w:t>
      </w:r>
      <w:r>
        <w:softHyphen/>
        <w:t>guage where logical connection is permitted, and each must have</w:t>
      </w:r>
      <w:r>
        <w:rPr>
          <w:rStyle w:val="deletedparamark"/>
        </w:rPr>
        <w:t xml:space="preserve"> </w:t>
      </w:r>
      <w:r>
        <w:t>its appropriate set of connectives. If the connective suitable for sumti</w:t>
      </w:r>
      <w:r>
        <w:rPr>
          <w:rStyle w:val="deletedparamark"/>
        </w:rPr>
        <w:t xml:space="preserve"> </w:t>
      </w:r>
      <w:r>
        <w:t xml:space="preserve">were used to connect selbri, ambiguity would result. </w:t>
      </w:r>
    </w:p>
    <w:p w:rsidR="00B72047" w:rsidRDefault="00B72047">
      <w:pPr>
        <w:pStyle w:val="normalparagraph"/>
        <w:spacing w:before="0"/>
      </w:pPr>
      <w:r>
        <w:br w:type="page"/>
        <w:t>Consider the English</w:t>
      </w:r>
      <w:r>
        <w:rPr>
          <w:rStyle w:val="deletedparamark"/>
        </w:rPr>
        <w:t xml:space="preserve"> </w:t>
      </w:r>
      <w:r>
        <w:t>sentence:</w:t>
      </w:r>
    </w:p>
    <w:p w:rsidR="00B72047" w:rsidRDefault="00B72047">
      <w:pPr>
        <w:rPr>
          <w:rStyle w:val="htmlparacode"/>
        </w:rPr>
      </w:pPr>
      <w:r>
        <w:rPr>
          <w:rStyle w:val="htmlparacode"/>
        </w:rPr>
        <w:t>&lt;p&gt;</w:t>
      </w:r>
    </w:p>
    <w:p w:rsidR="00B72047" w:rsidRDefault="00B72047">
      <w:pPr>
        <w:pStyle w:val="examplescaledpre"/>
      </w:pPr>
      <w:r>
        <w:rPr>
          <w:rStyle w:val="indexentry"/>
        </w:rPr>
        <w:t>&lt;ex "window"&gt;</w:t>
      </w:r>
      <w:r>
        <w:rPr>
          <w:rStyle w:val="indexentry"/>
        </w:rPr>
        <w:fldChar w:fldCharType="begin"/>
      </w:r>
      <w:r>
        <w:instrText>xe "</w:instrText>
      </w:r>
      <w:r>
        <w:rPr>
          <w:rStyle w:val="xeentry"/>
        </w:rPr>
        <w:instrText>window: example</w:instrText>
      </w:r>
      <w:r>
        <w:instrText>"</w:instrText>
      </w:r>
      <w:r>
        <w:rPr>
          <w:rStyle w:val="indexentry"/>
        </w:rPr>
        <w:fldChar w:fldCharType="end"/>
      </w:r>
      <w:r>
        <w:rPr>
          <w:rStyle w:val="htmlcodes"/>
        </w:rPr>
        <w:t>&lt;pre&gt;&lt;a name=e3d1&gt;</w:t>
      </w:r>
      <w:r>
        <w:t>3.1)</w:t>
      </w:r>
      <w:r>
        <w:tab/>
        <w:t>Mary went to the window and </w:t>
      </w:r>
      <w:r>
        <w:rPr>
          <w:rStyle w:val="htmlcodes"/>
        </w:rPr>
        <w:t>&lt;dots&gt;</w:t>
      </w:r>
      <w:r>
        <w:t>…</w:t>
      </w:r>
      <w:r>
        <w:rPr>
          <w:rStyle w:val="htmlcodes"/>
        </w:rPr>
        <w:t>&lt;/dots&gt;</w:t>
      </w:r>
    </w:p>
    <w:p w:rsidR="00B72047" w:rsidRDefault="00B72047">
      <w:pPr>
        <w:pStyle w:val="resumedafterexample"/>
      </w:pPr>
      <w:r>
        <w:rPr>
          <w:rStyle w:val="htmlcodes"/>
        </w:rPr>
        <w:t>&lt;/pre&gt;</w:t>
      </w:r>
      <w:r>
        <w:t>where the last word could be followed by “the door”, a noun phrase,</w:t>
      </w:r>
      <w:r>
        <w:rPr>
          <w:rStyle w:val="deletedparamark"/>
        </w:rPr>
        <w:t xml:space="preserve"> </w:t>
      </w:r>
      <w:r>
        <w:t>or by “saw the horses”, a sentence with subject omitted, or by</w:t>
      </w:r>
      <w:r>
        <w:rPr>
          <w:rStyle w:val="deletedparamark"/>
        </w:rPr>
        <w:t xml:space="preserve"> “</w:t>
      </w:r>
      <w:r>
        <w:t>John went to the door”, a full sentence, or by one of a variety of</w:t>
      </w:r>
      <w:r>
        <w:rPr>
          <w:rStyle w:val="deletedparamark"/>
        </w:rPr>
        <w:t xml:space="preserve"> </w:t>
      </w:r>
      <w:r>
        <w:t>other English grammatical constructions. Lojban cannot toler</w:t>
      </w:r>
      <w:r>
        <w:softHyphen/>
        <w:t>ate</w:t>
      </w:r>
      <w:r>
        <w:rPr>
          <w:rStyle w:val="deletedparamark"/>
        </w:rPr>
        <w:t xml:space="preserve"> </w:t>
      </w:r>
      <w:r>
        <w:t>such grammatical looseness.</w:t>
      </w:r>
    </w:p>
    <w:p w:rsidR="00B72047" w:rsidRDefault="00B72047">
      <w:pPr>
        <w:rPr>
          <w:rStyle w:val="htmlparacode"/>
        </w:rPr>
      </w:pPr>
      <w:r>
        <w:rPr>
          <w:rStyle w:val="htmlparacode"/>
        </w:rPr>
        <w:t>&lt;p&gt;</w:t>
      </w:r>
    </w:p>
    <w:p w:rsidR="00B72047" w:rsidRDefault="00B72047">
      <w:pPr>
        <w:pStyle w:val="normalparagraph"/>
      </w:pP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&lt;cx "logical connective selma'o, enumerated"&gt;</w:t>
      </w:r>
      <w:r>
        <w:rPr>
          <w:rStyle w:val="indexentry"/>
        </w:rPr>
        <w:fldChar w:fldCharType="begin"/>
      </w:r>
      <w:r>
        <w:instrText>xe "</w:instrText>
      </w:r>
      <w:r>
        <w:rPr>
          <w:rStyle w:val="xeentry"/>
        </w:rPr>
        <w:instrText>logical connectives: selma'o, enumerated</w:instrText>
      </w:r>
      <w:r>
        <w:instrText>"</w:instrText>
      </w:r>
      <w:r>
        <w:rPr>
          <w:rStyle w:val="indexentry"/>
        </w:rPr>
        <w:fldChar w:fldCharType="end"/>
      </w:r>
      <w:r>
        <w:t>Instead, there are a total of five different selma'o used for logical</w:t>
      </w:r>
      <w:r>
        <w:rPr>
          <w:rStyle w:val="deletedparamark"/>
        </w:rPr>
        <w:t xml:space="preserve"> </w:t>
      </w:r>
      <w:r>
        <w:t>connection: A, GA, GIhA, GUhA, and JA. Each of these includes</w:t>
      </w:r>
      <w:r>
        <w:rPr>
          <w:rStyle w:val="deletedparamark"/>
        </w:rPr>
        <w:t xml:space="preserve"> </w:t>
      </w:r>
      <w:r>
        <w:t>four cmavo, one based on each of the four vowels, which is always the</w:t>
      </w:r>
      <w:r>
        <w:rPr>
          <w:rStyle w:val="deletedparamark"/>
        </w:rPr>
        <w:t xml:space="preserve"> </w:t>
      </w:r>
      <w:r>
        <w:t>last vowel in the cmavo. In selma'o A, the vowel is the entire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"logical connective cmavo, format for each selma'o"&gt;</w:t>
      </w:r>
      <w:r>
        <w:rPr>
          <w:rStyle w:val="indexentry"/>
        </w:rPr>
        <w:fldChar w:fldCharType="begin"/>
      </w:r>
      <w:r>
        <w:instrText>xe "</w:instrText>
      </w:r>
      <w:r>
        <w:rPr>
          <w:rStyle w:val="xeentry"/>
        </w:rPr>
        <w:instrText>logical connectives: cmavo, format for each selma'o</w:instrText>
      </w:r>
      <w:r>
        <w:instrText>"</w:instrText>
      </w:r>
      <w:r>
        <w:rPr>
          <w:rStyle w:val="indexentry"/>
        </w:rPr>
        <w:fldChar w:fldCharType="end"/>
      </w:r>
      <w:r>
        <w:t xml:space="preserve">Thus, in selma'o A, the cmavo for the function </w:t>
      </w:r>
      <w:r>
        <w:rPr>
          <w:rStyle w:val="htmlcodes"/>
        </w:rPr>
        <w:t>&lt;font face="Brush Script MT, Script"&gt;</w:t>
      </w:r>
      <w:r>
        <w:rPr>
          <w:rStyle w:val="brushstroke"/>
        </w:rPr>
        <w:t>A</w:t>
      </w:r>
      <w:r>
        <w:t xml:space="preserve"> </w:t>
      </w:r>
      <w:r>
        <w:rPr>
          <w:rStyle w:val="htmlcodes"/>
        </w:rPr>
        <w:t>&lt;/font&gt;</w:t>
      </w:r>
      <w:r>
        <w:t>is “a”. (Do not confuse</w:t>
      </w:r>
      <w:r>
        <w:rPr>
          <w:rStyle w:val="deletedparamark"/>
        </w:rPr>
        <w:t xml:space="preserve"> </w:t>
      </w:r>
      <w:r>
        <w:t xml:space="preserve">A, which is a selma'o, with </w:t>
      </w:r>
      <w:r>
        <w:rPr>
          <w:rStyle w:val="htmlcodes"/>
        </w:rPr>
        <w:t>&lt;font face="Brush Script MT, Script"&gt;</w:t>
      </w:r>
      <w:r>
        <w:rPr>
          <w:rStyle w:val="brushstroke"/>
        </w:rPr>
        <w:t>A</w:t>
      </w:r>
      <w:r>
        <w:rPr>
          <w:rStyle w:val="htmlcodes"/>
        </w:rPr>
        <w:t>&lt;/font&gt;</w:t>
      </w:r>
      <w:r>
        <w:t>, which is a truth function, or “a”, which is</w:t>
      </w:r>
      <w:r>
        <w:rPr>
          <w:rStyle w:val="deletedparamark"/>
        </w:rPr>
        <w:t xml:space="preserve"> </w:t>
      </w:r>
      <w:r>
        <w:t>a cmavo.) Like</w:t>
      </w:r>
      <w:r>
        <w:softHyphen/>
        <w:t xml:space="preserve">wise, the cmavo for </w:t>
      </w:r>
      <w:r>
        <w:rPr>
          <w:rStyle w:val="htmlcodes"/>
        </w:rPr>
        <w:t>&lt;font face="Brush Script MT, Script"&gt;</w:t>
      </w:r>
      <w:r>
        <w:rPr>
          <w:rStyle w:val="brushstroke"/>
        </w:rPr>
        <w:t>E</w:t>
      </w:r>
      <w:r>
        <w:t xml:space="preserve"> </w:t>
      </w:r>
      <w:r>
        <w:rPr>
          <w:rStyle w:val="htmlcodes"/>
        </w:rPr>
        <w:t>&lt;/font&gt;</w:t>
      </w:r>
      <w:r>
        <w:t>in selma'o GIhA is “gi'e”, and the</w:t>
      </w:r>
      <w:r>
        <w:rPr>
          <w:rStyle w:val="deletedparamark"/>
        </w:rPr>
        <w:t xml:space="preserve"> </w:t>
      </w:r>
      <w:r>
        <w:t xml:space="preserve">cmavo for </w:t>
      </w:r>
      <w:r>
        <w:rPr>
          <w:rStyle w:val="htmlcodes"/>
        </w:rPr>
        <w:t>&lt;font face="Brush Script MT, Script"&gt;</w:t>
      </w:r>
      <w:r>
        <w:rPr>
          <w:rStyle w:val="brushstroke"/>
        </w:rPr>
        <w:t>U</w:t>
      </w:r>
      <w:r>
        <w:t xml:space="preserve"> </w:t>
      </w:r>
      <w:r>
        <w:rPr>
          <w:rStyle w:val="htmlcodes"/>
        </w:rPr>
        <w:t>&lt;/font&gt;</w:t>
      </w:r>
      <w:r>
        <w:t>in selma'o GA is “gu”. This systematic regularity makes the</w:t>
      </w:r>
      <w:r>
        <w:rPr>
          <w:rStyle w:val="deletedparamark"/>
        </w:rPr>
        <w:t xml:space="preserve"> </w:t>
      </w:r>
      <w:r>
        <w:t>cmavo easier to learn.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logical connectives, components"&gt;</w:t>
      </w:r>
      <w:r>
        <w:rPr>
          <w:rStyle w:val="indexentry"/>
        </w:rPr>
        <w:fldChar w:fldCharType="begin"/>
      </w:r>
      <w:r>
        <w:instrText>xe "</w:instrText>
      </w:r>
      <w:r>
        <w:rPr>
          <w:rStyle w:val="xeentry"/>
        </w:rPr>
        <w:instrText>compound logical connectives: components</w:instrText>
      </w:r>
      <w:r>
        <w:instrText>"</w:instrText>
      </w:r>
      <w:r>
        <w:rPr>
          <w:rStyle w:val="indexentry"/>
        </w:rPr>
        <w:fldChar w:fldCharType="end"/>
      </w:r>
      <w:r>
        <w:t>Obviously, four cmavo are not enough to express the 14 truth functions</w:t>
      </w:r>
      <w:r>
        <w:rPr>
          <w:rStyle w:val="deletedparamark"/>
        </w:rPr>
        <w:t xml:space="preserve"> </w:t>
      </w:r>
      <w:r>
        <w:t>ex</w:t>
      </w:r>
      <w:r>
        <w:softHyphen/>
        <w:t xml:space="preserve">plained in </w:t>
      </w:r>
      <w:r>
        <w:rPr>
          <w:rStyle w:val="htmlcodes"/>
        </w:rPr>
        <w:t>&lt;a href=#s1&gt;</w:t>
      </w:r>
      <w:r>
        <w:t>Section 1</w:t>
      </w:r>
      <w:r>
        <w:rPr>
          <w:rStyle w:val="htmlcodes"/>
        </w:rPr>
        <w:t>&lt;/a&gt;</w:t>
      </w:r>
      <w:r>
        <w:t>. Therefore, compound cmavo must be used. These</w:t>
      </w:r>
      <w:r>
        <w:rPr>
          <w:rStyle w:val="deletedparamark"/>
        </w:rPr>
        <w:t xml:space="preserve"> </w:t>
      </w:r>
      <w:r>
        <w:t>compound cmavo follow a systematic pattern: each has one cmavo from the</w:t>
      </w:r>
      <w:r>
        <w:rPr>
          <w:rStyle w:val="deletedparamark"/>
        </w:rPr>
        <w:t xml:space="preserve"> </w:t>
      </w:r>
      <w:r>
        <w:t>five logical connec</w:t>
      </w:r>
      <w:r>
        <w:softHyphen/>
        <w:t>tion selma'o at its heart, and may also contain one</w:t>
      </w:r>
      <w:r>
        <w:rPr>
          <w:rStyle w:val="deletedparamark"/>
        </w:rPr>
        <w:t xml:space="preserve"> </w:t>
      </w:r>
      <w:r>
        <w:t>or more of the auxiliary cmavo “se”, “na”, or “nai”. Which auxiliaries</w:t>
      </w:r>
      <w:r>
        <w:rPr>
          <w:rStyle w:val="deletedparamark"/>
        </w:rPr>
        <w:t xml:space="preserve"> </w:t>
      </w:r>
      <w:r>
        <w:t>are used with which logical connection cmavo, and with what grammar and</w:t>
      </w:r>
      <w:r>
        <w:rPr>
          <w:rStyle w:val="deletedparamark"/>
        </w:rPr>
        <w:t xml:space="preserve"> </w:t>
      </w:r>
      <w:r>
        <w:t>meaning, will be explained in the following sections. The uses of each</w:t>
      </w:r>
      <w:r>
        <w:rPr>
          <w:rStyle w:val="deletedparamark"/>
        </w:rPr>
        <w:t xml:space="preserve"> </w:t>
      </w:r>
      <w:r>
        <w:t>of these au</w:t>
      </w:r>
      <w:r>
        <w:t>x</w:t>
      </w:r>
      <w:r>
        <w:softHyphen/>
        <w:t>iliary cmavo relates to its other uses in other parts of</w:t>
      </w:r>
      <w:r>
        <w:rPr>
          <w:rStyle w:val="deletedparamark"/>
        </w:rPr>
        <w:t xml:space="preserve"> </w:t>
      </w:r>
      <w:r>
        <w:t>Lojban gram</w:t>
      </w:r>
      <w:r>
        <w:softHyphen/>
        <w:t>mar.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logical connectives, naming convention"&gt;</w:t>
      </w:r>
      <w:r>
        <w:rPr>
          <w:rStyle w:val="indexentry"/>
        </w:rPr>
        <w:fldChar w:fldCharType="begin"/>
      </w:r>
      <w:r>
        <w:instrText>xe "</w:instrText>
      </w:r>
      <w:r>
        <w:rPr>
          <w:rStyle w:val="xeentry"/>
        </w:rPr>
        <w:instrText>compound logical connectives: naming convention</w:instrText>
      </w:r>
      <w:r>
        <w:instrText>"</w:instrText>
      </w:r>
      <w:r>
        <w:rPr>
          <w:rStyle w:val="indexentry"/>
        </w:rPr>
        <w:fldChar w:fldCharType="end"/>
      </w:r>
      <w:r>
        <w:rPr>
          <w:rStyle w:val="indexentry"/>
        </w:rPr>
        <w:t>&lt;cx "-ek, in name for logical connectives"&gt;</w:t>
      </w:r>
      <w:r>
        <w:rPr>
          <w:rStyle w:val="indexentry"/>
        </w:rPr>
        <w:fldChar w:fldCharType="begin"/>
      </w:r>
      <w:r>
        <w:instrText>xe "</w:instrText>
      </w:r>
      <w:r>
        <w:rPr>
          <w:rStyle w:val="xeentry"/>
        </w:rPr>
        <w:instrText>-ek: in name for logical connectives</w:instrText>
      </w:r>
      <w:r>
        <w:instrText>"</w:instrText>
      </w:r>
      <w:r>
        <w:rPr>
          <w:rStyle w:val="indexentry"/>
        </w:rPr>
        <w:fldChar w:fldCharType="end"/>
      </w:r>
      <w:r>
        <w:rPr>
          <w:rStyle w:val="indexentry"/>
        </w:rPr>
        <w:t>&lt;cx "ek, definition"&gt;</w:t>
      </w:r>
      <w:r>
        <w:rPr>
          <w:rStyle w:val="indexentry"/>
        </w:rPr>
        <w:fldChar w:fldCharType="begin"/>
      </w:r>
      <w:r>
        <w:instrText>xe "</w:instrText>
      </w:r>
      <w:r>
        <w:rPr>
          <w:rStyle w:val="xeentry"/>
        </w:rPr>
        <w:instrText>ek: definition</w:instrText>
      </w:r>
      <w:r>
        <w:instrText>"</w:instrText>
      </w:r>
      <w:r>
        <w:rPr>
          <w:rStyle w:val="indexentry"/>
        </w:rPr>
        <w:fldChar w:fldCharType="end"/>
      </w:r>
      <w:r>
        <w:rPr>
          <w:rStyle w:val="indexentry"/>
        </w:rPr>
        <w:t>&lt;cx "jek, definition"&gt;</w:t>
      </w:r>
      <w:r>
        <w:rPr>
          <w:rStyle w:val="indexentry"/>
        </w:rPr>
        <w:fldChar w:fldCharType="begin"/>
      </w:r>
      <w:r>
        <w:instrText>xe "</w:instrText>
      </w:r>
      <w:r>
        <w:rPr>
          <w:rStyle w:val="xeentry"/>
        </w:rPr>
        <w:instrText>jek: definition</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t>For convenience, each of the types of compound cmavo used for logical</w:t>
      </w:r>
      <w:r>
        <w:rPr>
          <w:rStyle w:val="deletedparamark"/>
        </w:rPr>
        <w:t xml:space="preserve"> </w:t>
      </w:r>
      <w:r>
        <w:t>con</w:t>
      </w:r>
      <w:r>
        <w:softHyphen/>
        <w:t>nection is designated by a Lojban name. The name is derived by changing</w:t>
      </w:r>
      <w:r>
        <w:rPr>
          <w:rStyle w:val="deletedparamark"/>
        </w:rPr>
        <w:t xml:space="preserve"> </w:t>
      </w:r>
      <w:r>
        <w:t>the final “-A” of the selma'o name to “-ek”; the reasons for using “-ek” are</w:t>
      </w:r>
      <w:r>
        <w:rPr>
          <w:rStyle w:val="deletedparamark"/>
        </w:rPr>
        <w:t xml:space="preserve"> </w:t>
      </w:r>
      <w:r>
        <w:t>buried deep in the his</w:t>
      </w:r>
      <w:r>
        <w:softHyphen/>
        <w:t>tory of the Loglan Project. Thus, compound cmavo</w:t>
      </w:r>
      <w:r>
        <w:rPr>
          <w:rStyle w:val="deletedparamark"/>
        </w:rPr>
        <w:t xml:space="preserve"> </w:t>
      </w:r>
      <w:r>
        <w:t>based on selma'o A are known as eks, and those based on selma'o JA are</w:t>
      </w:r>
      <w:r>
        <w:rPr>
          <w:rStyle w:val="deletedparamark"/>
        </w:rPr>
        <w:t xml:space="preserve"> </w:t>
      </w:r>
      <w:r>
        <w:t>known as jeks. (When writing in English, it is conventional to use</w:t>
      </w:r>
      <w:r>
        <w:rPr>
          <w:rStyle w:val="deletedparamark"/>
        </w:rPr>
        <w:t xml:space="preserve"> “</w:t>
      </w:r>
      <w:r>
        <w:t>eks” as the plural of “ek”.) When the term “logical connective” is used</w:t>
      </w:r>
      <w:r>
        <w:rPr>
          <w:rStyle w:val="deletedparamark"/>
        </w:rPr>
        <w:t xml:space="preserve"> </w:t>
      </w:r>
      <w:r>
        <w:t>in this cha</w:t>
      </w:r>
      <w:r>
        <w:t>p</w:t>
      </w:r>
      <w:r>
        <w:softHyphen/>
        <w:t>ter, it refers to one or more of these kinds of compound cmavo.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"ijek, definition"&gt;</w:t>
      </w:r>
      <w:r>
        <w:rPr>
          <w:rStyle w:val="indexentry"/>
        </w:rPr>
        <w:fldChar w:fldCharType="begin"/>
      </w:r>
      <w:r>
        <w:instrText>xe "</w:instrText>
      </w:r>
      <w:r>
        <w:rPr>
          <w:rStyle w:val="xeentry"/>
        </w:rPr>
        <w:instrText>ijek: definition</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t>Why does the title of this section refer to “six types” when there are only</w:t>
      </w:r>
      <w:r>
        <w:rPr>
          <w:rStyle w:val="deletedparamark"/>
        </w:rPr>
        <w:t xml:space="preserve"> </w:t>
      </w:r>
      <w:r>
        <w:t>five se</w:t>
      </w:r>
      <w:r>
        <w:t>l</w:t>
      </w:r>
      <w:r>
        <w:softHyphen/>
        <w:t>ma'o? A jek may be preceded by “.i”, the usual Lojban cmavo for</w:t>
      </w:r>
      <w:r>
        <w:rPr>
          <w:rStyle w:val="deletedparamark"/>
        </w:rPr>
        <w:t xml:space="preserve"> </w:t>
      </w:r>
      <w:r>
        <w:t>connecting two se</w:t>
      </w:r>
      <w:r>
        <w:t>n</w:t>
      </w:r>
      <w:r>
        <w:softHyphen/>
        <w:t>tences. The compound produced by “.i” followed by a jek</w:t>
      </w:r>
      <w:r>
        <w:rPr>
          <w:rStyle w:val="deletedparamark"/>
        </w:rPr>
        <w:t xml:space="preserve"> </w:t>
      </w:r>
      <w:r>
        <w:t>is known as an ijek. It is useful to think of ijeks as a sixth kind of</w:t>
      </w:r>
      <w:r>
        <w:rPr>
          <w:rStyle w:val="deletedparamark"/>
        </w:rPr>
        <w:t xml:space="preserve"> </w:t>
      </w:r>
      <w:r>
        <w:t>logical connective, parallel to eks, jeks, geks, giheks, and guheks.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"gik, as name for compound cmavo"&gt;</w:t>
      </w:r>
      <w:r>
        <w:rPr>
          <w:rStyle w:val="indexentry"/>
        </w:rPr>
        <w:fldChar w:fldCharType="begin"/>
      </w:r>
      <w:r>
        <w:instrText>xe "</w:instrText>
      </w:r>
      <w:r>
        <w:rPr>
          <w:rStyle w:val="xeentry"/>
        </w:rPr>
        <w:instrText>gik: as name for compound cmavo</w:instrText>
      </w:r>
      <w:r>
        <w:instrText>"</w:instrText>
      </w:r>
      <w:r>
        <w:rPr>
          <w:rStyle w:val="indexentry"/>
        </w:rPr>
        <w:fldChar w:fldCharType="end"/>
      </w:r>
      <w:r>
        <w:rPr>
          <w:rStyle w:val="indexentry"/>
        </w:rPr>
        <w:t>&lt;cx "joik, as name for compound cmavo"&gt;</w:t>
      </w:r>
      <w:r>
        <w:rPr>
          <w:rStyle w:val="indexentry"/>
        </w:rPr>
        <w:fldChar w:fldCharType="begin"/>
      </w:r>
      <w:r>
        <w:instrText>xe "</w:instrText>
      </w:r>
      <w:r>
        <w:rPr>
          <w:rStyle w:val="xeentry"/>
        </w:rPr>
        <w:instrText>joik: as name for compound cmavo</w:instrText>
      </w:r>
      <w:r>
        <w:instrText>"</w:instrText>
      </w:r>
      <w:r>
        <w:rPr>
          <w:rStyle w:val="indexentry"/>
        </w:rPr>
        <w:fldChar w:fldCharType="end"/>
      </w:r>
      <w:r>
        <w:rPr>
          <w:rStyle w:val="indexentry"/>
        </w:rPr>
        <w:t>&lt;cx "joigik, as name for compound cmavo"&gt;</w:t>
      </w:r>
      <w:r>
        <w:rPr>
          <w:rStyle w:val="indexentry"/>
        </w:rPr>
        <w:fldChar w:fldCharType="begin"/>
      </w:r>
      <w:r>
        <w:instrText>xe "</w:instrText>
      </w:r>
      <w:r>
        <w:rPr>
          <w:rStyle w:val="xeentry"/>
        </w:rPr>
        <w:instrText>joigik: as name for compound cmavo</w:instrText>
      </w:r>
      <w:r>
        <w:instrText>"</w:instrText>
      </w:r>
      <w:r>
        <w:rPr>
          <w:rStyle w:val="indexentry"/>
        </w:rPr>
        <w:fldChar w:fldCharType="end"/>
      </w:r>
      <w:r>
        <w:rPr>
          <w:rStyle w:val="indexentry"/>
        </w:rPr>
        <w:t>&lt;cx "ijoik, as name for compound cmavo"&gt;</w:t>
      </w:r>
      <w:r>
        <w:rPr>
          <w:rStyle w:val="indexentry"/>
        </w:rPr>
        <w:fldChar w:fldCharType="begin"/>
      </w:r>
      <w:r>
        <w:instrText>xe "</w:instrText>
      </w:r>
      <w:r>
        <w:rPr>
          <w:rStyle w:val="xeentry"/>
        </w:rPr>
        <w:instrText>ijoik: as name for compound cmavo</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t>There also exist giks, joiks, ijoiks, and joigiks, which are not logical</w:t>
      </w:r>
      <w:r>
        <w:rPr>
          <w:rStyle w:val="deletedparamark"/>
        </w:rPr>
        <w:t xml:space="preserve"> </w:t>
      </w:r>
      <w:r>
        <w:t>connec</w:t>
      </w:r>
      <w:r>
        <w:softHyphen/>
        <w:t>tives, but are other kinds of compound cmavo which will be introduced</w:t>
      </w:r>
      <w:r>
        <w:rPr>
          <w:rStyle w:val="deletedparamark"/>
        </w:rPr>
        <w:t xml:space="preserve"> </w:t>
      </w:r>
      <w:r>
        <w:t>later.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418" w:name="_Toc398970659"/>
      <w:r>
        <w:rPr>
          <w:rStyle w:val="Heading3Text"/>
        </w:rPr>
        <w:t>Logical connection of bridi</w:t>
      </w:r>
      <w:bookmarkEnd w:id="41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&lt;cx "ijek logical connective, connecting bridi"&gt;</w:t>
      </w:r>
      <w:r>
        <w:rPr>
          <w:rStyle w:val="indexentry"/>
        </w:rPr>
        <w:fldChar w:fldCharType="begin"/>
      </w:r>
      <w:r>
        <w:instrText>xe "</w:instrText>
      </w:r>
      <w:r>
        <w:rPr>
          <w:rStyle w:val="xeentry"/>
        </w:rPr>
        <w:instrText>ijek logical connective(s): connecting bridi</w:instrText>
      </w:r>
      <w:r>
        <w:instrText>"</w:instrText>
      </w:r>
      <w:r>
        <w:rPr>
          <w:rStyle w:val="indexentry"/>
        </w:rPr>
        <w:fldChar w:fldCharType="end"/>
      </w:r>
      <w:r>
        <w:rPr>
          <w:rStyle w:val="indexentry"/>
        </w:rPr>
        <w:t>&lt;cx "bridi, logical connective for"&gt;</w:t>
      </w:r>
      <w:r>
        <w:rPr>
          <w:rStyle w:val="indexentry"/>
        </w:rPr>
        <w:fldChar w:fldCharType="begin"/>
      </w:r>
      <w:r>
        <w:instrText>xe "</w:instrText>
      </w:r>
      <w:r>
        <w:rPr>
          <w:rStyle w:val="xeentry"/>
        </w:rPr>
        <w:instrText>bridi: logical connective for</w:instrText>
      </w:r>
      <w:r>
        <w:instrText>"</w:instrText>
      </w:r>
      <w:r>
        <w:rPr>
          <w:rStyle w:val="indexentry"/>
        </w:rPr>
        <w:fldChar w:fldCharType="end"/>
      </w:r>
      <w:r>
        <w:t xml:space="preserve">Now we are ready to express </w:t>
      </w:r>
      <w:r>
        <w:rPr>
          <w:rStyle w:val="htmlcodes"/>
        </w:rPr>
        <w:t>&lt;a href=#e1d1&gt;</w:t>
      </w:r>
      <w:r>
        <w:t xml:space="preserve">Example 1.1 </w:t>
      </w:r>
      <w:r>
        <w:rPr>
          <w:rStyle w:val="htmlcodes"/>
        </w:rPr>
        <w:t>&lt;/a&gt;</w:t>
      </w:r>
      <w:r>
        <w:t>in Lojban! The kind of logical</w:t>
      </w:r>
      <w:r>
        <w:rPr>
          <w:rStyle w:val="deletedparamark"/>
        </w:rPr>
        <w:t xml:space="preserve"> </w:t>
      </w:r>
      <w:r>
        <w:t>con</w:t>
      </w:r>
      <w:r>
        <w:softHyphen/>
        <w:t>nective which is placed between two Lojban bridi to connect them logically</w:t>
      </w:r>
      <w:r>
        <w:rPr>
          <w:rStyle w:val="deletedparamark"/>
        </w:rPr>
        <w:t xml:space="preserve"> </w:t>
      </w:r>
      <w:r>
        <w:t>is an ijek:</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la djan. nanmu  .ija la djeimyz. ninmu</w:t>
      </w:r>
    </w:p>
    <w:p w:rsidR="00B72047" w:rsidRDefault="00B72047">
      <w:pPr>
        <w:pStyle w:val="examplescaled"/>
      </w:pPr>
      <w:r>
        <w:tab/>
        <w:t>John is-a-man or James is-a-woman.</w:t>
      </w:r>
    </w:p>
    <w:p w:rsidR="00B72047" w:rsidRDefault="00B72047">
      <w:pPr>
        <w:pStyle w:val="resumedafterexample"/>
      </w:pPr>
      <w:r>
        <w:rPr>
          <w:rStyle w:val="htmlcodes"/>
        </w:rPr>
        <w:t>&lt;/pre&gt;&lt;p&gt;</w:t>
      </w:r>
      <w:r>
        <w:t>Here we have two separate Lojban bridi, “la djan. nanmu” and “la djeimyz.</w:t>
      </w:r>
      <w:r>
        <w:rPr>
          <w:rStyle w:val="deletedparamark"/>
        </w:rPr>
        <w:t xml:space="preserve"> </w:t>
      </w:r>
      <w:r>
        <w:t>ninmu”. These bridi are connected by “.ija”, the ijek for the truth function</w:t>
      </w:r>
      <w:r>
        <w:rPr>
          <w:rStyle w:val="deletedparamark"/>
        </w:rPr>
        <w:t xml:space="preserve"> </w:t>
      </w:r>
      <w:r>
        <w:rPr>
          <w:rStyle w:val="htmlcodes"/>
        </w:rPr>
        <w:t>&lt;font face="Brush Script MT, Script"&gt;</w:t>
      </w:r>
      <w:r>
        <w:rPr>
          <w:rStyle w:val="brushstroke"/>
        </w:rPr>
        <w:t>A</w:t>
      </w:r>
      <w:r>
        <w:rPr>
          <w:rStyle w:val="htmlcodes"/>
        </w:rPr>
        <w:t>&lt;/font&gt;</w:t>
      </w:r>
      <w:r>
        <w:t>. The “.i” portion of the ijek tells us that we are dealing with separate</w:t>
      </w:r>
      <w:r>
        <w:rPr>
          <w:rStyle w:val="deletedparamark"/>
        </w:rPr>
        <w:t xml:space="preserve"> </w:t>
      </w:r>
      <w:r>
        <w:t>sentences here. Similarly, we can now say:</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name=e4d2&gt;</w:t>
      </w:r>
      <w:r>
        <w:t>4.2)</w:t>
      </w:r>
      <w:r>
        <w:tab/>
        <w:t>la djan. nanmu  .ije la djeimyz. ninmu</w:t>
      </w:r>
    </w:p>
    <w:p w:rsidR="00B72047" w:rsidRDefault="00B72047">
      <w:pPr>
        <w:pStyle w:val="examplescaled"/>
      </w:pPr>
      <w:r>
        <w:tab/>
        <w:t>John is-a-man and James is-a-woman.</w:t>
      </w:r>
    </w:p>
    <w:p w:rsidR="00B72047" w:rsidRDefault="00B72047">
      <w:pPr>
        <w:pStyle w:val="examplescaledpre"/>
      </w:pPr>
      <w:r>
        <w:rPr>
          <w:rStyle w:val="htmlcodes"/>
        </w:rPr>
        <w:t>&lt;a name=e4d3&gt;</w:t>
      </w:r>
      <w:r>
        <w:t>4.3)</w:t>
      </w:r>
      <w:r>
        <w:tab/>
        <w:t>la djan. nanmu  .ijo la djeimyz. ninmu</w:t>
      </w:r>
    </w:p>
    <w:p w:rsidR="00B72047" w:rsidRDefault="00B72047">
      <w:pPr>
        <w:pStyle w:val="examplescaled"/>
      </w:pPr>
      <w:r>
        <w:tab/>
        <w:t>John is-a-man if-and-only-if James is-a-woman.</w:t>
      </w:r>
    </w:p>
    <w:p w:rsidR="00B72047" w:rsidRDefault="00B72047">
      <w:pPr>
        <w:pStyle w:val="examplescaledpre"/>
      </w:pPr>
      <w:r>
        <w:rPr>
          <w:rStyle w:val="htmlcodes"/>
        </w:rPr>
        <w:t>&lt;a name=e4d4&gt;</w:t>
      </w:r>
      <w:r>
        <w:t>4.4)</w:t>
      </w:r>
      <w:r>
        <w:tab/>
        <w:t>la djan. nanmu  .iju la djeimyz. ninmu</w:t>
      </w:r>
    </w:p>
    <w:p w:rsidR="00B72047" w:rsidRDefault="00B72047">
      <w:pPr>
        <w:pStyle w:val="examplescaled"/>
      </w:pPr>
      <w:r>
        <w:tab/>
        <w:t>John is-a-man whether-or-not James is-a-woman.</w:t>
      </w:r>
    </w:p>
    <w:p w:rsidR="00B72047" w:rsidRDefault="00B72047">
      <w:pPr>
        <w:pStyle w:val="normalafterexample"/>
      </w:pPr>
      <w:r>
        <w:rPr>
          <w:rStyle w:val="htmlcodes"/>
        </w:rPr>
        <w:t>&lt;/pre&gt;</w:t>
      </w:r>
      <w:r>
        <w:rPr>
          <w:rStyle w:val="indexentry"/>
        </w:rPr>
        <w:t>&lt;cx "bridi, logical connection with negation"&gt;</w:t>
      </w:r>
      <w:r>
        <w:rPr>
          <w:rStyle w:val="indexentry"/>
        </w:rPr>
        <w:fldChar w:fldCharType="begin"/>
      </w:r>
      <w:r>
        <w:instrText>xe "</w:instrText>
      </w:r>
      <w:r>
        <w:rPr>
          <w:rStyle w:val="xeentry"/>
        </w:rPr>
        <w:instrText>bridi: logical connection with negation</w:instrText>
      </w:r>
      <w:r>
        <w:instrText>"</w:instrText>
      </w:r>
      <w:r>
        <w:rPr>
          <w:rStyle w:val="indexentry"/>
        </w:rPr>
        <w:fldChar w:fldCharType="end"/>
      </w:r>
      <w:r>
        <w:t xml:space="preserve">To obtain the other truth tables listed in </w:t>
      </w:r>
      <w:r>
        <w:rPr>
          <w:rStyle w:val="htmlcodes"/>
        </w:rPr>
        <w:t>&lt;a href=#s2&gt;</w:t>
      </w:r>
      <w:r>
        <w:t>Section 2</w:t>
      </w:r>
      <w:r>
        <w:rPr>
          <w:rStyle w:val="htmlcodes"/>
        </w:rPr>
        <w:t>&lt;/a&gt;</w:t>
      </w:r>
      <w:r>
        <w:t>, we need to know how to</w:t>
      </w:r>
      <w:r>
        <w:rPr>
          <w:rStyle w:val="deletedparamark"/>
        </w:rPr>
        <w:t xml:space="preserve"> </w:t>
      </w:r>
      <w:r>
        <w:t>negate the two bridi which represent the component sentences. We could</w:t>
      </w:r>
      <w:r>
        <w:rPr>
          <w:rStyle w:val="deletedparamark"/>
        </w:rPr>
        <w:t xml:space="preserve"> </w:t>
      </w:r>
      <w:r>
        <w:t>negate them directly by inserting “na” before the selbri, but Lojban also</w:t>
      </w:r>
      <w:r>
        <w:rPr>
          <w:rStyle w:val="deletedparamark"/>
        </w:rPr>
        <w:t xml:space="preserve"> </w:t>
      </w:r>
      <w:r>
        <w:t>allows us to place the nega</w:t>
      </w:r>
      <w:r>
        <w:softHyphen/>
        <w:t>tion within the connective itself.</w:t>
      </w:r>
    </w:p>
    <w:p w:rsidR="00B72047" w:rsidRDefault="00B72047">
      <w:pPr>
        <w:rPr>
          <w:rStyle w:val="htmlparacode"/>
        </w:rPr>
      </w:pPr>
      <w:r>
        <w:rPr>
          <w:rStyle w:val="htmlparacode"/>
        </w:rPr>
        <w:t>&lt;p&gt;</w:t>
      </w:r>
    </w:p>
    <w:p w:rsidR="00B72047" w:rsidRDefault="00B72047">
      <w:pPr>
        <w:pStyle w:val="normalparagraph"/>
      </w:pP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t>To negate the first or left-hand bridi, prefix “na” to the JA cmavo but after</w:t>
      </w:r>
      <w:r>
        <w:rPr>
          <w:rStyle w:val="deletedparamark"/>
        </w:rPr>
        <w:t xml:space="preserve"> </w:t>
      </w:r>
      <w:r>
        <w:t>the “.i”. To negate the second or right-hand bridi, suffix “-nai” to the</w:t>
      </w:r>
      <w:r>
        <w:rPr>
          <w:rStyle w:val="deletedparamark"/>
        </w:rPr>
        <w:t xml:space="preserve"> </w:t>
      </w:r>
      <w:r>
        <w:t>JA cmavo. In either case, the negating word is placed on the side of the</w:t>
      </w:r>
      <w:r>
        <w:rPr>
          <w:rStyle w:val="deletedparamark"/>
        </w:rPr>
        <w:t xml:space="preserve"> </w:t>
      </w:r>
      <w:r>
        <w:t>connective that is closest to the bridi being n</w:t>
      </w:r>
      <w:r>
        <w:t>e</w:t>
      </w:r>
      <w:r>
        <w:softHyphen/>
        <w:t>gated.</w:t>
      </w:r>
    </w:p>
    <w:p w:rsidR="00B72047" w:rsidRDefault="00B72047">
      <w:pPr>
        <w:pStyle w:val="normalparagraph"/>
        <w:rPr>
          <w:rStyle w:val="htmlparacode"/>
        </w:rPr>
      </w:pPr>
      <w:r>
        <w:rPr>
          <w:rStyle w:val="htmlparacode"/>
        </w:rPr>
        <w:t>&lt;p&gt;</w:t>
      </w:r>
    </w:p>
    <w:p w:rsidR="00B72047" w:rsidRDefault="00B72047">
      <w:pPr>
        <w:pStyle w:val="normalparagraph"/>
      </w:pPr>
      <w:r>
        <w:t xml:space="preserve">So to express the truth table FTTF, which requires </w:t>
      </w:r>
      <w:r>
        <w:rPr>
          <w:rStyle w:val="htmlcodes"/>
        </w:rPr>
        <w:t>&lt;font face="Brush Script MT, Script"&gt;</w:t>
      </w:r>
      <w:r>
        <w:rPr>
          <w:rStyle w:val="brushstroke"/>
        </w:rPr>
        <w:t>O</w:t>
      </w:r>
      <w:r>
        <w:t xml:space="preserve"> </w:t>
      </w:r>
      <w:r>
        <w:rPr>
          <w:rStyle w:val="htmlcodes"/>
        </w:rPr>
        <w:t>&lt;/font&gt;</w:t>
      </w:r>
      <w:r>
        <w:t>with either of</w:t>
      </w:r>
      <w:r>
        <w:rPr>
          <w:rStyle w:val="deletedparamark"/>
        </w:rPr>
        <w:t xml:space="preserve"> </w:t>
      </w:r>
      <w:r>
        <w:t>the two bridi n</w:t>
      </w:r>
      <w:r>
        <w:t>e</w:t>
      </w:r>
      <w:r>
        <w:softHyphen/>
        <w:t>gated (not both), we can say either: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name=e4d5&gt;</w:t>
      </w:r>
      <w:r>
        <w:t>4.5)</w:t>
      </w:r>
      <w:r>
        <w:tab/>
        <w:t>la djan. nanmu  .inajo la djeimyz. ninmu</w:t>
      </w:r>
    </w:p>
    <w:p w:rsidR="00B72047" w:rsidRDefault="00B72047">
      <w:pPr>
        <w:pStyle w:val="examplescaled"/>
      </w:pPr>
      <w:r>
        <w:tab/>
        <w:t>John is-not-a-man if-and-only-if James is-a-woman.</w:t>
      </w:r>
    </w:p>
    <w:p w:rsidR="00B72047" w:rsidRDefault="00B72047">
      <w:pPr>
        <w:pStyle w:val="examplescaledpre"/>
      </w:pPr>
      <w:r>
        <w:rPr>
          <w:rStyle w:val="htmlcodes"/>
        </w:rPr>
        <w:t>&lt;a name=e4d6&gt;</w:t>
      </w:r>
      <w:r>
        <w:t>4.6)</w:t>
      </w:r>
      <w:r>
        <w:tab/>
        <w:t>la djan. nanmu  .ijonai la djeimyz. ninmu</w:t>
      </w:r>
    </w:p>
    <w:p w:rsidR="00B72047" w:rsidRDefault="00B72047">
      <w:pPr>
        <w:pStyle w:val="examplescaled"/>
      </w:pPr>
      <w:r>
        <w:tab/>
        <w:t>John is a man if-and-only-if James is-not-a-woman</w:t>
      </w:r>
    </w:p>
    <w:p w:rsidR="00B72047" w:rsidRDefault="00B72047">
      <w:pPr>
        <w:pStyle w:val="resumedafterexample"/>
      </w:pPr>
      <w:r>
        <w:rPr>
          <w:rStyle w:val="htmlcodes"/>
        </w:rPr>
        <w:t>&lt;/pre&gt;&lt;p&gt;</w:t>
      </w:r>
      <w:r>
        <w:t xml:space="preserve">The meaning of both </w:t>
      </w:r>
      <w:r>
        <w:rPr>
          <w:rStyle w:val="htmlcodes"/>
        </w:rPr>
        <w:t>&lt;a href=#e4d5&gt;</w:t>
      </w:r>
      <w:r>
        <w:t xml:space="preserve">Example 4.5 </w:t>
      </w:r>
      <w:r>
        <w:rPr>
          <w:rStyle w:val="htmlcodes"/>
        </w:rPr>
        <w:t>&lt;/a&gt;</w:t>
      </w:r>
      <w:r>
        <w:t xml:space="preserve">and </w:t>
      </w:r>
      <w:r>
        <w:rPr>
          <w:rStyle w:val="htmlcodes"/>
        </w:rPr>
        <w:t>&lt;a href=#e4d6&gt;</w:t>
      </w:r>
      <w:r>
        <w:t xml:space="preserve">Example 4.6 </w:t>
      </w:r>
      <w:r>
        <w:rPr>
          <w:rStyle w:val="htmlcodes"/>
        </w:rPr>
        <w:t>&lt;/a&gt;</w:t>
      </w:r>
      <w:r>
        <w:t>is the same as that of: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name=e4d7&gt;</w:t>
      </w:r>
      <w:r>
        <w:t>4.7)</w:t>
      </w:r>
      <w:r>
        <w:tab/>
        <w:t>John is a man or James is a woman, but not both.</w:t>
      </w:r>
    </w:p>
    <w:p w:rsidR="00B72047" w:rsidRDefault="00B72047">
      <w:pPr>
        <w:pStyle w:val="normalafterexample"/>
      </w:pPr>
      <w:r>
        <w:rPr>
          <w:rStyle w:val="htmlcodes"/>
        </w:rPr>
        <w:t>&lt;/pre&gt;&lt;p&gt;</w:t>
      </w:r>
      <w:r>
        <w:t>Here is another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name=e4d8&gt;</w:t>
      </w:r>
      <w:r>
        <w:t>4.8)</w:t>
      </w:r>
      <w:r>
        <w:tab/>
        <w:t>la djan. nanmu  .ijanai la djeimyz. ninmu</w:t>
      </w:r>
    </w:p>
    <w:p w:rsidR="00B72047" w:rsidRDefault="00B72047">
      <w:pPr>
        <w:pStyle w:val="examplescaled"/>
      </w:pPr>
      <w:r>
        <w:tab/>
        <w:t>John is-a-man or James is-not-a-woman.</w:t>
      </w:r>
    </w:p>
    <w:p w:rsidR="00B72047" w:rsidRDefault="00B72047">
      <w:pPr>
        <w:pStyle w:val="examplescaled"/>
      </w:pPr>
      <w:r>
        <w:tab/>
        <w:t>John is a man if James is a woman.</w:t>
      </w:r>
    </w:p>
    <w:p w:rsidR="00B72047" w:rsidRDefault="00B72047">
      <w:pPr>
        <w:pStyle w:val="resumedafterexample"/>
      </w:pPr>
      <w:r>
        <w:rPr>
          <w:rStyle w:val="htmlcodes"/>
        </w:rPr>
        <w:t>&lt;/pre&gt;</w:t>
      </w:r>
      <w:r>
        <w:rPr>
          <w:rStyle w:val="indexentry"/>
        </w:rPr>
        <w:t>&lt;cx "if, meaning in logical connections"&gt;</w:t>
      </w:r>
      <w:r>
        <w:rPr>
          <w:rStyle w:val="indexentry"/>
        </w:rPr>
        <w:fldChar w:fldCharType="begin"/>
      </w:r>
      <w:r>
        <w:instrText>xe "</w:instrText>
      </w:r>
      <w:r>
        <w:rPr>
          <w:rStyle w:val="xeentry"/>
        </w:rPr>
        <w:instrText>if: meaning in logical connections</w:instrText>
      </w:r>
      <w:r>
        <w:instrText>"</w:instrText>
      </w:r>
      <w:r>
        <w:rPr>
          <w:rStyle w:val="indexentry"/>
        </w:rPr>
        <w:fldChar w:fldCharType="end"/>
      </w:r>
      <w:r>
        <w:rPr>
          <w:rStyle w:val="indexentry"/>
        </w:rPr>
        <w:t>&lt;cx "if, English usage contrasted with Lojban logical connective"&gt;</w:t>
      </w:r>
      <w:r>
        <w:rPr>
          <w:rStyle w:val="indexentry"/>
        </w:rPr>
        <w:fldChar w:fldCharType="begin"/>
      </w:r>
      <w:r>
        <w:instrText>xe "</w:instrText>
      </w:r>
      <w:r>
        <w:rPr>
          <w:rStyle w:val="xeentry"/>
        </w:rPr>
        <w:instrText>if: English usage contrasted with Lojban logical connective</w:instrText>
      </w:r>
      <w:r>
        <w:instrText>"</w:instrText>
      </w:r>
      <w:r>
        <w:rPr>
          <w:rStyle w:val="indexentry"/>
        </w:rPr>
        <w:fldChar w:fldCharType="end"/>
      </w:r>
      <w:r>
        <w:t xml:space="preserve">How's that again? Are those two English sentences in </w:t>
      </w:r>
      <w:r>
        <w:rPr>
          <w:rStyle w:val="htmlcodes"/>
        </w:rPr>
        <w:t>&lt;a href=#e4d8&gt;</w:t>
      </w:r>
      <w:r>
        <w:t xml:space="preserve">Example 4.8 </w:t>
      </w:r>
      <w:r>
        <w:rPr>
          <w:rStyle w:val="htmlcodes"/>
        </w:rPr>
        <w:t>&lt;/a&gt;</w:t>
      </w:r>
      <w:r>
        <w:t>really</w:t>
      </w:r>
      <w:r>
        <w:rPr>
          <w:rStyle w:val="deletedparamark"/>
        </w:rPr>
        <w:t xml:space="preserve"> </w:t>
      </w:r>
      <w:r>
        <w:t>equivalent? In English, no. The Lojban TTFT truth function can be</w:t>
      </w:r>
      <w:r>
        <w:rPr>
          <w:rStyle w:val="deletedparamark"/>
        </w:rPr>
        <w:t xml:space="preserve"> </w:t>
      </w:r>
      <w:r>
        <w:t>glossed “A if B”, but the “if” does not quite have its English sense.</w:t>
      </w:r>
      <w:r>
        <w:rPr>
          <w:rStyle w:val="deletedparamark"/>
        </w:rPr>
        <w:t xml:space="preserve"> </w:t>
      </w:r>
      <w:r>
        <w:rPr>
          <w:rStyle w:val="htmlcodes"/>
        </w:rPr>
        <w:t>&lt;a href=#e4d8&gt;</w:t>
      </w:r>
      <w:r>
        <w:t xml:space="preserve">Example 4.8 </w:t>
      </w:r>
      <w:r>
        <w:rPr>
          <w:rStyle w:val="htmlcodes"/>
        </w:rPr>
        <w:t>&lt;/a&gt;</w:t>
      </w:r>
      <w:r>
        <w:t>is true so long as John is a man, even if James is not a woman;</w:t>
      </w:r>
      <w:r>
        <w:rPr>
          <w:rStyle w:val="deletedparamark"/>
        </w:rPr>
        <w:t xml:space="preserve"> </w:t>
      </w:r>
      <w:r>
        <w:t>likewise, it is true just because James is not a woman, regardless of</w:t>
      </w:r>
      <w:r>
        <w:rPr>
          <w:rStyle w:val="deletedparamark"/>
        </w:rPr>
        <w:t xml:space="preserve"> </w:t>
      </w:r>
      <w:r>
        <w:t>John's gender. This kind of “if-then” is technically known as a</w:t>
      </w:r>
      <w:r>
        <w:rPr>
          <w:rStyle w:val="deletedparamark"/>
        </w:rPr>
        <w:t xml:space="preserve"> “</w:t>
      </w:r>
      <w:r>
        <w:t>material condi</w:t>
      </w:r>
      <w:r>
        <w:softHyphen/>
        <w:t>tional”.</w:t>
      </w:r>
    </w:p>
    <w:p w:rsidR="00B72047" w:rsidRDefault="00B72047">
      <w:pPr>
        <w:rPr>
          <w:rStyle w:val="htmlparacode"/>
        </w:rPr>
      </w:pPr>
      <w:r>
        <w:rPr>
          <w:rStyle w:val="htmlparacode"/>
        </w:rPr>
        <w:t>&lt;p&gt;</w:t>
      </w:r>
    </w:p>
    <w:p w:rsidR="00B72047" w:rsidRDefault="00B72047">
      <w:pPr>
        <w:pStyle w:val="normalparagraph"/>
      </w:pPr>
      <w:r>
        <w:t xml:space="preserve">Since James is not a woman (by our assertions in </w:t>
      </w:r>
      <w:r>
        <w:rPr>
          <w:rStyle w:val="htmlcodes"/>
        </w:rPr>
        <w:t>&lt;a href=#s1&gt;</w:t>
      </w:r>
      <w:r>
        <w:t>Section 1</w:t>
      </w:r>
      <w:r>
        <w:rPr>
          <w:rStyle w:val="htmlcodes"/>
        </w:rPr>
        <w:t>&lt;/a&gt;</w:t>
      </w:r>
      <w:r>
        <w:t>), the English</w:t>
      </w:r>
      <w:r>
        <w:rPr>
          <w:rStyle w:val="deletedparamark"/>
        </w:rPr>
        <w:t xml:space="preserve"> </w:t>
      </w:r>
      <w:r>
        <w:t>sen</w:t>
      </w:r>
      <w:r>
        <w:softHyphen/>
        <w:t>tence “John is a man if James is a woman” seems to be neither true nor</w:t>
      </w:r>
      <w:r>
        <w:rPr>
          <w:rStyle w:val="deletedparamark"/>
        </w:rPr>
        <w:t xml:space="preserve"> </w:t>
      </w:r>
      <w:r>
        <w:t>false, since it assumes something which is not true. It turns out to be</w:t>
      </w:r>
      <w:r>
        <w:rPr>
          <w:rStyle w:val="deletedparamark"/>
        </w:rPr>
        <w:t xml:space="preserve"> </w:t>
      </w:r>
      <w:r>
        <w:t>most convenient to treat this “if” as TTFT, which on investigation means</w:t>
      </w:r>
      <w:r>
        <w:rPr>
          <w:rStyle w:val="deletedparamark"/>
        </w:rPr>
        <w:t xml:space="preserve"> </w:t>
      </w:r>
      <w:r>
        <w:t xml:space="preserve">that </w:t>
      </w:r>
      <w:r>
        <w:rPr>
          <w:rStyle w:val="htmlcodes"/>
        </w:rPr>
        <w:t>&lt;a href=#e4d8&gt;</w:t>
      </w:r>
      <w:r>
        <w:t xml:space="preserve">Example 4.8 </w:t>
      </w:r>
      <w:r>
        <w:rPr>
          <w:rStyle w:val="htmlcodes"/>
        </w:rPr>
        <w:t>&lt;/a&gt;</w:t>
      </w:r>
      <w:r>
        <w:t xml:space="preserve">is true. </w:t>
      </w:r>
      <w:r>
        <w:rPr>
          <w:rStyle w:val="htmlcodes"/>
        </w:rPr>
        <w:t>&lt;a href=#e4d9&gt;</w:t>
      </w:r>
      <w:r>
        <w:t>Example 4.9</w:t>
      </w:r>
      <w:r>
        <w:rPr>
          <w:rStyle w:val="htmlcodes"/>
        </w:rPr>
        <w:t>&lt;/a&gt;</w:t>
      </w:r>
      <w:r>
        <w:t>, how</w:t>
      </w:r>
      <w:r>
        <w:softHyphen/>
        <w:t>ever, is equally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name=e4d9&gt;</w:t>
      </w:r>
      <w:r>
        <w:t>4.9)</w:t>
      </w:r>
      <w:r>
        <w:tab/>
        <w:t>la djan. ninmu  .ijanai la djeimyz. ninmu</w:t>
      </w:r>
    </w:p>
    <w:p w:rsidR="00B72047" w:rsidRDefault="00B72047">
      <w:pPr>
        <w:pStyle w:val="examplescaled"/>
      </w:pPr>
      <w:r>
        <w:tab/>
        <w:t>John is a woman if James is a woman.</w:t>
      </w:r>
    </w:p>
    <w:p w:rsidR="00B72047" w:rsidRDefault="00B72047">
      <w:pPr>
        <w:pStyle w:val="resumedafterexample"/>
      </w:pPr>
      <w:r>
        <w:rPr>
          <w:rStyle w:val="htmlcodes"/>
        </w:rPr>
        <w:t>&lt;/pre&gt;</w:t>
      </w:r>
      <w:r>
        <w:rPr>
          <w:rStyle w:val="indexentry"/>
        </w:rPr>
        <w:t>&lt;cx "principle of consistency, of logical-if statements"&gt;</w:t>
      </w:r>
      <w:r>
        <w:rPr>
          <w:rStyle w:val="indexentry"/>
        </w:rPr>
        <w:fldChar w:fldCharType="begin"/>
      </w:r>
      <w:r>
        <w:instrText>xe "</w:instrText>
      </w:r>
      <w:r>
        <w:rPr>
          <w:rStyle w:val="xeentry"/>
        </w:rPr>
        <w:instrText>principle of consistency: of logical-if statements</w:instrText>
      </w:r>
      <w:r>
        <w:instrText>"</w:instrText>
      </w:r>
      <w:r>
        <w:rPr>
          <w:rStyle w:val="indexentry"/>
        </w:rPr>
        <w:fldChar w:fldCharType="end"/>
      </w:r>
      <w:r>
        <w:rPr>
          <w:rStyle w:val="indexentry"/>
        </w:rPr>
        <w:t>&lt;cx "false statement, implications of"&gt;</w:t>
      </w:r>
      <w:r>
        <w:rPr>
          <w:rStyle w:val="indexentry"/>
        </w:rPr>
        <w:fldChar w:fldCharType="begin"/>
      </w:r>
      <w:r>
        <w:instrText>xe "</w:instrText>
      </w:r>
      <w:r>
        <w:rPr>
          <w:rStyle w:val="xeentry"/>
        </w:rPr>
        <w:instrText>false statement: implications of</w:instrText>
      </w:r>
      <w:r>
        <w:instrText>"</w:instrText>
      </w:r>
      <w:r>
        <w:rPr>
          <w:rStyle w:val="indexentry"/>
        </w:rPr>
        <w:fldChar w:fldCharType="end"/>
      </w:r>
      <w:r>
        <w:t>This can be thought of as a principle of consistency, and may be paraphrased</w:t>
      </w:r>
      <w:r>
        <w:rPr>
          <w:rStyle w:val="deletedparamark"/>
        </w:rPr>
        <w:t xml:space="preserve"> </w:t>
      </w:r>
      <w:r>
        <w:t>as fol</w:t>
      </w:r>
      <w:r>
        <w:softHyphen/>
        <w:t>lows: “If a false statement is true, any statement follows from it.”</w:t>
      </w:r>
      <w:r>
        <w:rPr>
          <w:rStyle w:val="deletedparamark"/>
        </w:rPr>
        <w:t xml:space="preserve"> </w:t>
      </w:r>
      <w:r>
        <w:t>All uses of English “if” must be considered very carefully when translating</w:t>
      </w:r>
      <w:r>
        <w:rPr>
          <w:rStyle w:val="deletedparamark"/>
        </w:rPr>
        <w:t xml:space="preserve"> </w:t>
      </w:r>
      <w:r>
        <w:t>into Lojban to see if they really fit this L</w:t>
      </w:r>
      <w:r>
        <w:t>o</w:t>
      </w:r>
      <w:r>
        <w:t>j</w:t>
      </w:r>
      <w:r>
        <w:softHyphen/>
        <w:t>ban mold.</w:t>
      </w:r>
    </w:p>
    <w:p w:rsidR="00B72047" w:rsidRDefault="00B72047">
      <w:pPr>
        <w:rPr>
          <w:rStyle w:val="htmlparacode"/>
        </w:rPr>
      </w:pPr>
      <w:r>
        <w:rPr>
          <w:rStyle w:val="htmlparacode"/>
        </w:rPr>
        <w:t>&lt;p&gt;</w:t>
      </w:r>
    </w:p>
    <w:p w:rsidR="00B72047" w:rsidRDefault="00B72047">
      <w:pPr>
        <w:pStyle w:val="normalparagraph"/>
      </w:pPr>
      <w:r>
        <w:rPr>
          <w:rStyle w:val="indexentry"/>
        </w:rPr>
        <w:t>&lt;cx "if … then, compared with only if"&gt;</w:t>
      </w:r>
      <w:r>
        <w:rPr>
          <w:rStyle w:val="indexentry"/>
        </w:rPr>
        <w:fldChar w:fldCharType="begin"/>
      </w:r>
      <w:r>
        <w:instrText>xe "</w:instrText>
      </w:r>
      <w:r>
        <w:rPr>
          <w:rStyle w:val="xeentry"/>
        </w:rPr>
        <w:instrText>if … then: compared with only if</w:instrText>
      </w:r>
      <w:r>
        <w:instrText>"</w:instrText>
      </w:r>
      <w:r>
        <w:rPr>
          <w:rStyle w:val="indexentry"/>
        </w:rPr>
        <w:fldChar w:fldCharType="end"/>
      </w:r>
      <w:r>
        <w:rPr>
          <w:rStyle w:val="indexentry"/>
        </w:rPr>
        <w:t>&lt;cx "only if, compared with if … then"&gt;</w:t>
      </w:r>
      <w:r>
        <w:rPr>
          <w:rStyle w:val="indexentry"/>
        </w:rPr>
        <w:fldChar w:fldCharType="begin"/>
      </w:r>
      <w:r>
        <w:instrText>xe "</w:instrText>
      </w:r>
      <w:r>
        <w:rPr>
          <w:rStyle w:val="xeentry"/>
        </w:rPr>
        <w:instrText>only if: compared with if … then</w:instrText>
      </w:r>
      <w:r>
        <w:instrText>"</w:instrText>
      </w:r>
      <w:r>
        <w:rPr>
          <w:rStyle w:val="indexentry"/>
        </w:rPr>
        <w:fldChar w:fldCharType="end"/>
      </w:r>
      <w:r>
        <w:rPr>
          <w:rStyle w:val="htmlcodes"/>
        </w:rPr>
        <w:t>&lt;a href=#e4d10&gt;</w:t>
      </w:r>
      <w:r>
        <w:t>Example 4.10</w:t>
      </w:r>
      <w:r>
        <w:rPr>
          <w:rStyle w:val="htmlcodes"/>
        </w:rPr>
        <w:t>&lt;/a&gt;</w:t>
      </w:r>
      <w:r>
        <w:t>, which uses the TFTT truth function, is subject to the same</w:t>
      </w:r>
      <w:r>
        <w:rPr>
          <w:rStyle w:val="deletedparamark"/>
        </w:rPr>
        <w:t xml:space="preserve"> </w:t>
      </w:r>
      <w:r>
        <w:t>rules: the stated gloss of TFTT as “only if” works naturally only when</w:t>
      </w:r>
      <w:r>
        <w:rPr>
          <w:rStyle w:val="deletedparamark"/>
        </w:rPr>
        <w:t xml:space="preserve"> </w:t>
      </w:r>
      <w:r>
        <w:t>the right-hand bridi is true; if it is false, the left-hand bridi may be</w:t>
      </w:r>
      <w:r>
        <w:rPr>
          <w:rStyle w:val="deletedparamark"/>
        </w:rPr>
        <w:t xml:space="preserve"> </w:t>
      </w:r>
      <w:r>
        <w:t xml:space="preserve">either true or false. The last gloss of </w:t>
      </w:r>
      <w:r>
        <w:rPr>
          <w:rStyle w:val="htmlcodes"/>
        </w:rPr>
        <w:t>&lt;a href=#e4d10&gt;</w:t>
      </w:r>
      <w:r>
        <w:t xml:space="preserve">Example 4.10 </w:t>
      </w:r>
      <w:r>
        <w:rPr>
          <w:rStyle w:val="htmlcodes"/>
        </w:rPr>
        <w:t>&lt;/a&gt;</w:t>
      </w:r>
      <w:r>
        <w:t>illustrates the</w:t>
      </w:r>
      <w:r>
        <w:rPr>
          <w:rStyle w:val="deletedparamark"/>
        </w:rPr>
        <w:t xml:space="preserve"> </w:t>
      </w:r>
      <w:r>
        <w:t>use of “if </w:t>
      </w:r>
      <w:r>
        <w:rPr>
          <w:rStyle w:val="htmlcodes"/>
        </w:rPr>
        <w:t>&lt;dots&gt;</w:t>
      </w:r>
      <w:r>
        <w:t>…</w:t>
      </w:r>
      <w:r>
        <w:rPr>
          <w:rStyle w:val="htmlcodes"/>
        </w:rPr>
        <w:t>&lt;/dots&gt;</w:t>
      </w:r>
      <w:r>
        <w:t xml:space="preserve"> then” as a more natural substitute for “only if”.</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name=e4d10&gt;</w:t>
      </w:r>
      <w:r>
        <w:t>4.10)</w:t>
      </w:r>
      <w:r>
        <w:tab/>
        <w:t>la djan. nanmu  .inaja la djeimyz. ninmu</w:t>
      </w:r>
    </w:p>
    <w:p w:rsidR="00B72047" w:rsidRDefault="00B72047">
      <w:pPr>
        <w:pStyle w:val="examplescaled"/>
      </w:pPr>
      <w:r>
        <w:tab/>
        <w:t>John is-not-a-man or James is-a-woman.</w:t>
      </w:r>
    </w:p>
    <w:p w:rsidR="00B72047" w:rsidRDefault="00B72047">
      <w:pPr>
        <w:pStyle w:val="examplescaled"/>
      </w:pPr>
      <w:r>
        <w:tab/>
        <w:t>John is a man only if James is a woman.</w:t>
      </w:r>
    </w:p>
    <w:p w:rsidR="00B72047" w:rsidRDefault="00B72047">
      <w:pPr>
        <w:pStyle w:val="examplescaled"/>
      </w:pPr>
      <w:r>
        <w:tab/>
        <w:t>If John is a man, then James is a woman.</w:t>
      </w:r>
    </w:p>
    <w:p w:rsidR="00B72047" w:rsidRDefault="00B72047">
      <w:pPr>
        <w:pStyle w:val="normalafterexample"/>
      </w:pPr>
      <w:r>
        <w:rPr>
          <w:rStyle w:val="htmlcodes"/>
        </w:rPr>
        <w:t>&lt;/pre&gt;</w:t>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&lt;cx "se, in logical connective to exchange sentences"&gt;</w:t>
      </w:r>
      <w:r>
        <w:rPr>
          <w:rStyle w:val="indexentry"/>
        </w:rPr>
        <w:fldChar w:fldCharType="begin"/>
      </w:r>
      <w:r>
        <w:instrText>xe "</w:instrText>
      </w:r>
      <w:r>
        <w:rPr>
          <w:rStyle w:val="xeentry"/>
        </w:rPr>
        <w:instrText>se: in logical connective to exchange sentences</w:instrText>
      </w:r>
      <w:r>
        <w:instrText>"</w:instrText>
      </w:r>
      <w:r>
        <w:rPr>
          <w:rStyle w:val="indexentry"/>
        </w:rPr>
        <w:fldChar w:fldCharType="end"/>
      </w:r>
      <w:r>
        <w:t>The following example illustrates the use of “se” to, in effect, exchange the</w:t>
      </w:r>
      <w:r>
        <w:rPr>
          <w:rStyle w:val="deletedparamark"/>
        </w:rPr>
        <w:t xml:space="preserve"> </w:t>
      </w:r>
      <w:r>
        <w:t>two se</w:t>
      </w:r>
      <w:r>
        <w:t>n</w:t>
      </w:r>
      <w:r>
        <w:softHyphen/>
        <w:t>tences. The normal use of “se” is to (in effect) transpose places of</w:t>
      </w:r>
      <w:r>
        <w:rPr>
          <w:rStyle w:val="deletedparamark"/>
        </w:rPr>
        <w:t xml:space="preserve"> </w:t>
      </w:r>
      <w:r>
        <w:t>a bridi, as ex</w:t>
      </w:r>
      <w:r>
        <w:softHyphen/>
        <w:t xml:space="preserve">plained in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name=e4d11&gt;</w:t>
      </w:r>
      <w:r>
        <w:t>4.11)</w:t>
      </w:r>
      <w:r>
        <w:tab/>
        <w:t>la djan. nanmu  .iseju la djeimyz. ninmu</w:t>
      </w:r>
    </w:p>
    <w:p w:rsidR="00B72047" w:rsidRDefault="00B72047">
      <w:pPr>
        <w:pStyle w:val="examplescaled"/>
      </w:pPr>
      <w:r>
        <w:tab/>
        <w:t>Whether or not John is a man, James is a woman.</w:t>
      </w:r>
    </w:p>
    <w:p w:rsidR="00B72047" w:rsidRDefault="00B72047">
      <w:pPr>
        <w:pStyle w:val="resumedafterexample"/>
      </w:pPr>
      <w:r>
        <w:rPr>
          <w:rStyle w:val="htmlcodes"/>
        </w:rPr>
        <w:t>&lt;/pre&gt;</w:t>
      </w: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&lt;cx "se, order in logical connectives with na"&gt;</w:t>
      </w:r>
      <w:r>
        <w:rPr>
          <w:rStyle w:val="indexentry"/>
        </w:rPr>
        <w:fldChar w:fldCharType="begin"/>
      </w:r>
      <w:r>
        <w:instrText>xe "</w:instrText>
      </w:r>
      <w:r>
        <w:rPr>
          <w:rStyle w:val="xeentry"/>
        </w:rPr>
        <w:instrText>se: order in logical connectives with na</w:instrText>
      </w:r>
      <w:r>
        <w:instrText>"</w:instrText>
      </w:r>
      <w:r>
        <w:rPr>
          <w:rStyle w:val="indexentry"/>
        </w:rPr>
        <w:fldChar w:fldCharType="end"/>
      </w:r>
      <w:r>
        <w:rPr>
          <w:rStyle w:val="indexentry"/>
        </w:rPr>
        <w:t>&lt;cx "na, order in logical connectives with se"&gt;</w:t>
      </w:r>
      <w:r>
        <w:rPr>
          <w:rStyle w:val="indexentry"/>
        </w:rPr>
        <w:fldChar w:fldCharType="begin"/>
      </w:r>
      <w:r>
        <w:instrText>xe "</w:instrText>
      </w:r>
      <w:r>
        <w:rPr>
          <w:rStyle w:val="xeentry"/>
        </w:rPr>
        <w:instrText>na: order in logical connectives with se</w:instrText>
      </w:r>
      <w:r>
        <w:instrText>"</w:instrText>
      </w:r>
      <w:r>
        <w:rPr>
          <w:rStyle w:val="indexentry"/>
        </w:rPr>
        <w:fldChar w:fldCharType="end"/>
      </w:r>
      <w:r>
        <w:t>If both “na” and “se” are present, which is legal but never necessary, “na”</w:t>
      </w:r>
      <w:r>
        <w:rPr>
          <w:rStyle w:val="deletedparamark"/>
        </w:rPr>
        <w:t xml:space="preserve"> </w:t>
      </w:r>
      <w:r>
        <w:t>would come before “se”.</w:t>
      </w:r>
    </w:p>
    <w:p w:rsidR="00B72047" w:rsidRDefault="00B72047">
      <w:pPr>
        <w:rPr>
          <w:rStyle w:val="htmlparacode"/>
        </w:rPr>
      </w:pPr>
      <w:r>
        <w:rPr>
          <w:rStyle w:val="htmlparacode"/>
        </w:rPr>
        <w:t>&lt;p&gt;</w:t>
      </w:r>
    </w:p>
    <w:p w:rsidR="00B72047" w:rsidRDefault="00B72047">
      <w:pPr>
        <w:pStyle w:val="normalparagraph"/>
      </w:pPr>
      <w:r>
        <w:rPr>
          <w:rStyle w:val="indexentry"/>
        </w:rPr>
        <w:t>&lt;cx "ijeks, syntax of"&gt;</w:t>
      </w:r>
      <w:r>
        <w:rPr>
          <w:rStyle w:val="indexentry"/>
        </w:rPr>
        <w:fldChar w:fldCharType="begin"/>
      </w:r>
      <w:r>
        <w:instrText>xe "</w:instrText>
      </w:r>
      <w:r>
        <w:rPr>
          <w:rStyle w:val="xeentry"/>
        </w:rPr>
        <w:instrText>ijeks: syntax of</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t>The full syntax of ijeks, therefore,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.i [na] [se] JA [nai]</w:t>
      </w:r>
    </w:p>
    <w:p w:rsidR="00B72047" w:rsidRDefault="00B72047">
      <w:pPr>
        <w:pStyle w:val="resumedafterexample"/>
      </w:pPr>
      <w:r>
        <w:rPr>
          <w:rStyle w:val="htmlcodes"/>
        </w:rPr>
        <w:t>&lt;/dl&gt;</w:t>
      </w:r>
      <w:r>
        <w:t>where the cmavo in brackets are optional.</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419" w:name="_Toc398970660"/>
      <w:r>
        <w:rPr>
          <w:rStyle w:val="Heading3Text"/>
        </w:rPr>
        <w:t>Forethought bridi connection</w:t>
      </w:r>
      <w:bookmarkEnd w:id="41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"afterthought, contrasted with forethought for connectives"&gt;</w:t>
      </w:r>
      <w:r>
        <w:rPr>
          <w:rStyle w:val="indexentry"/>
        </w:rPr>
        <w:fldChar w:fldCharType="begin"/>
      </w:r>
      <w:r>
        <w:instrText>xe "</w:instrText>
      </w:r>
      <w:r>
        <w:rPr>
          <w:rStyle w:val="xeentry"/>
        </w:rPr>
        <w:instrText>afterthought connective(s): contrasted with forethought connective</w:instrText>
      </w:r>
      <w:r>
        <w:instrText>"</w:instrText>
      </w:r>
      <w:r>
        <w:rPr>
          <w:rStyle w:val="indexentry"/>
        </w:rPr>
        <w:fldChar w:fldCharType="end"/>
      </w:r>
      <w:r>
        <w:rPr>
          <w:rStyle w:val="indexentry"/>
        </w:rPr>
        <w:t>&lt;cx "forethought, contrasted with afterthought for connectives"&gt;</w:t>
      </w:r>
      <w:r>
        <w:rPr>
          <w:rStyle w:val="indexentry"/>
        </w:rPr>
        <w:fldChar w:fldCharType="begin"/>
      </w:r>
      <w:r>
        <w:instrText>xe "</w:instrText>
      </w:r>
      <w:r>
        <w:rPr>
          <w:rStyle w:val="xeentry"/>
        </w:rPr>
        <w:instrText>forethought connective(s): contrasted with afterthought connective</w:instrText>
      </w:r>
      <w:r>
        <w:instrText>"</w:instrText>
      </w:r>
      <w:r>
        <w:rPr>
          <w:rStyle w:val="indexentry"/>
        </w:rPr>
        <w:fldChar w:fldCharType="end"/>
      </w:r>
      <w:r>
        <w:t>Many concepts in Lojban are expressible in two different ways, generally</w:t>
      </w:r>
      <w:r>
        <w:rPr>
          <w:rStyle w:val="deletedparamark"/>
        </w:rPr>
        <w:t xml:space="preserve"> </w:t>
      </w:r>
      <w:r>
        <w:t>re</w:t>
      </w:r>
      <w:r>
        <w:softHyphen/>
        <w:t xml:space="preserve">ferred to as “afterthought” and “forethought”. </w:t>
      </w:r>
      <w:r>
        <w:rPr>
          <w:rStyle w:val="htmlcodes"/>
        </w:rPr>
        <w:t>&lt;a href=#s4&gt;</w:t>
      </w:r>
      <w:r>
        <w:t xml:space="preserve">Section 4 </w:t>
      </w:r>
      <w:r>
        <w:rPr>
          <w:rStyle w:val="htmlcodes"/>
        </w:rPr>
        <w:t>&lt;/a&gt;</w:t>
      </w:r>
      <w:r>
        <w:t>discussed</w:t>
      </w:r>
      <w:r>
        <w:rPr>
          <w:rStyle w:val="deletedparamark"/>
        </w:rPr>
        <w:t xml:space="preserve"> </w:t>
      </w:r>
      <w:r>
        <w:t>what is called “afterthought bridi logical connection”. The word</w:t>
      </w:r>
      <w:r>
        <w:rPr>
          <w:rStyle w:val="deletedparamark"/>
        </w:rPr>
        <w:t xml:space="preserve"> “</w:t>
      </w:r>
      <w:r>
        <w:t>afterthought” is used because the connective cmavo and the second bridi</w:t>
      </w:r>
      <w:r>
        <w:rPr>
          <w:rStyle w:val="deletedparamark"/>
        </w:rPr>
        <w:t xml:space="preserve"> </w:t>
      </w:r>
      <w:r>
        <w:t>were added, as it were, afterwards and without changing the form of the first</w:t>
      </w:r>
      <w:r>
        <w:rPr>
          <w:rStyle w:val="deletedparamark"/>
        </w:rPr>
        <w:t xml:space="preserve"> </w:t>
      </w:r>
      <w:r>
        <w:t>bridi. This form might be used by someone who makes a statement and then</w:t>
      </w:r>
      <w:r>
        <w:rPr>
          <w:rStyle w:val="deletedparamark"/>
        </w:rPr>
        <w:t xml:space="preserve"> </w:t>
      </w:r>
      <w:r>
        <w:t>wishes to add or qualify that statement after it has been completed.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la djan. nanmu</w:t>
      </w:r>
    </w:p>
    <w:p w:rsidR="00B72047" w:rsidRDefault="00B72047">
      <w:pPr>
        <w:pStyle w:val="resumedafterexample"/>
      </w:pPr>
      <w:r>
        <w:rPr>
          <w:rStyle w:val="htmlcodes"/>
        </w:rPr>
        <w:t>&lt;/pre&gt;</w:t>
      </w:r>
      <w:r>
        <w:t>is a complete bridi, and adding an afterthought connection to make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la djan. nanmu  .ija la djeimyz. ninmu</w:t>
      </w:r>
    </w:p>
    <w:p w:rsidR="00B72047" w:rsidRDefault="00B72047">
      <w:pPr>
        <w:pStyle w:val="examplescaled"/>
      </w:pPr>
      <w:r>
        <w:tab/>
        <w:t>John is a man or James is a woman (or both)</w:t>
      </w:r>
    </w:p>
    <w:p w:rsidR="00B72047" w:rsidRDefault="00B72047">
      <w:pPr>
        <w:pStyle w:val="resumedafterexample"/>
      </w:pPr>
      <w:r>
        <w:rPr>
          <w:rStyle w:val="htmlcodes"/>
        </w:rPr>
        <w:t>&lt;/pre&gt;</w:t>
      </w:r>
      <w:r>
        <w:t>provides additional information without requiring any change in the form of</w:t>
      </w:r>
      <w:r>
        <w:rPr>
          <w:rStyle w:val="deletedparamark"/>
        </w:rPr>
        <w:t xml:space="preserve"> </w:t>
      </w:r>
      <w:r>
        <w:t>what has come before; changes may not be possible or practical, especially</w:t>
      </w:r>
      <w:r>
        <w:rPr>
          <w:rStyle w:val="deletedparamark"/>
        </w:rPr>
        <w:t xml:space="preserve"> </w:t>
      </w:r>
      <w:r>
        <w:t>in speaking. (The meaning, however, may be changed by the use of a</w:t>
      </w:r>
      <w:r>
        <w:rPr>
          <w:rStyle w:val="deletedparamark"/>
        </w:rPr>
        <w:t xml:space="preserve"> </w:t>
      </w:r>
      <w:r>
        <w:t>negating connective.) Afterthought connectives make it possible to construct</w:t>
      </w:r>
      <w:r>
        <w:rPr>
          <w:rStyle w:val="deletedparamark"/>
        </w:rPr>
        <w:t xml:space="preserve"> </w:t>
      </w:r>
      <w:r>
        <w:t>all the important truth-functional relationships in a variety of ways.</w:t>
      </w:r>
    </w:p>
    <w:p w:rsidR="00B72047" w:rsidRDefault="00B72047">
      <w:pPr>
        <w:rPr>
          <w:rStyle w:val="htmlparacode"/>
        </w:rPr>
      </w:pPr>
      <w:r>
        <w:rPr>
          <w:rStyle w:val="htmlparacode"/>
        </w:rPr>
        <w:t>&lt;p&gt;</w:t>
      </w:r>
    </w:p>
    <w:p w:rsidR="00B72047" w:rsidRDefault="00B72047">
      <w:pPr>
        <w:pStyle w:val="normalparagraph"/>
      </w:pPr>
      <w:r>
        <w:rPr>
          <w:rStyle w:val="indexentry"/>
        </w:rPr>
        <w:t>&lt;cx "gek, definition"&gt;</w:t>
      </w:r>
      <w:r>
        <w:rPr>
          <w:rStyle w:val="indexentry"/>
        </w:rPr>
        <w:fldChar w:fldCharType="begin"/>
      </w:r>
      <w:r>
        <w:instrText>xe "</w:instrText>
      </w:r>
      <w:r>
        <w:rPr>
          <w:rStyle w:val="xeentry"/>
        </w:rPr>
        <w:instrText>gek: definition</w:instrText>
      </w:r>
      <w:r>
        <w:instrText>"</w:instrText>
      </w:r>
      <w:r>
        <w:rPr>
          <w:rStyle w:val="indexentry"/>
        </w:rPr>
        <w:fldChar w:fldCharType="end"/>
      </w:r>
      <w:r>
        <w:rPr>
          <w:rStyle w:val="indexentry"/>
        </w:rPr>
        <w:t>&lt;cx "ijek bridi connectives, contrasted with geks"&gt;</w:t>
      </w:r>
      <w:r>
        <w:rPr>
          <w:rStyle w:val="indexentry"/>
        </w:rPr>
        <w:fldChar w:fldCharType="begin"/>
      </w:r>
      <w:r>
        <w:instrText>xe "</w:instrText>
      </w:r>
      <w:r>
        <w:rPr>
          <w:rStyle w:val="xeentry"/>
        </w:rPr>
        <w:instrText>ijek bridi connectives: contrasted with geks</w:instrText>
      </w:r>
      <w:r>
        <w:instrText>"</w:instrText>
      </w:r>
      <w:r>
        <w:rPr>
          <w:rStyle w:val="indexentry"/>
        </w:rPr>
        <w:fldChar w:fldCharType="end"/>
      </w:r>
      <w:r>
        <w:rPr>
          <w:rStyle w:val="indexentry"/>
        </w:rPr>
        <w:t>&lt;cx "gek bridi connectives, contrasted with ijeks"&gt;</w:t>
      </w:r>
      <w:r>
        <w:rPr>
          <w:rStyle w:val="indexentry"/>
        </w:rPr>
        <w:fldChar w:fldCharType="begin"/>
      </w:r>
      <w:r>
        <w:instrText>xe "</w:instrText>
      </w:r>
      <w:r>
        <w:rPr>
          <w:rStyle w:val="xeentry"/>
        </w:rPr>
        <w:instrText>gek bridi connectives: contrasted with ijeks</w:instrText>
      </w:r>
      <w:r>
        <w:instrText>"</w:instrText>
      </w:r>
      <w:r>
        <w:rPr>
          <w:rStyle w:val="indexentry"/>
        </w:rPr>
        <w:fldChar w:fldCharType="end"/>
      </w:r>
      <w:r>
        <w:rPr>
          <w:rStyle w:val="indexentry"/>
        </w:rPr>
        <w:t>&lt;cx "forethought bridi connectives, contrasted with afterthought bridi connectives"&gt;</w:t>
      </w:r>
      <w:r>
        <w:rPr>
          <w:rStyle w:val="indexentry"/>
        </w:rPr>
        <w:fldChar w:fldCharType="begin"/>
      </w:r>
      <w:r>
        <w:instrText>xe "</w:instrText>
      </w:r>
      <w:r>
        <w:rPr>
          <w:rStyle w:val="xeentry"/>
        </w:rPr>
        <w:instrText>forethought bridi connectives: contrasted with afterthought bridi connectives</w:instrText>
      </w:r>
      <w:r>
        <w:instrText>"</w:instrText>
      </w:r>
      <w:r>
        <w:rPr>
          <w:rStyle w:val="indexentry"/>
        </w:rPr>
        <w:fldChar w:fldCharType="end"/>
      </w:r>
      <w:r>
        <w:rPr>
          <w:rStyle w:val="indexentry"/>
        </w:rPr>
        <w:t>&lt;cx "afterthought bridi connectives, contrasted with forethought bridi connectives"&gt;</w:t>
      </w:r>
      <w:r>
        <w:rPr>
          <w:rStyle w:val="indexentry"/>
        </w:rPr>
        <w:fldChar w:fldCharType="begin"/>
      </w:r>
      <w:r>
        <w:instrText>xe "</w:instrText>
      </w:r>
      <w:r>
        <w:rPr>
          <w:rStyle w:val="xeentry"/>
        </w:rPr>
        <w:instrText>afterthought bridi connectives: contrasted with forethought bridi connectives</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t>In forethought style the speaker decides in advance, before expressing</w:t>
      </w:r>
      <w:r>
        <w:rPr>
          <w:rStyle w:val="deletedparamark"/>
        </w:rPr>
        <w:t xml:space="preserve"> </w:t>
      </w:r>
      <w:r>
        <w:t>the first bridi, that a logical connection will be expressed. Forethought</w:t>
      </w:r>
      <w:r>
        <w:rPr>
          <w:rStyle w:val="deletedparamark"/>
        </w:rPr>
        <w:t xml:space="preserve"> </w:t>
      </w:r>
      <w:r>
        <w:t>and afterthought connec</w:t>
      </w:r>
      <w:r>
        <w:softHyphen/>
        <w:t>tives are expressed with separate selma'o. The</w:t>
      </w:r>
      <w:r>
        <w:rPr>
          <w:rStyle w:val="deletedparamark"/>
        </w:rPr>
        <w:t xml:space="preserve"> </w:t>
      </w:r>
      <w:r>
        <w:t>forethought logical connectives corre</w:t>
      </w:r>
      <w:r>
        <w:softHyphen/>
        <w:t>sponding to afterthought ijeks are geks: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ga la djan. nanmu gi la djeimyz. ninmu</w:t>
      </w:r>
    </w:p>
    <w:p w:rsidR="00B72047" w:rsidRDefault="00B72047">
      <w:pPr>
        <w:pStyle w:val="examplescaled"/>
      </w:pPr>
      <w:r>
        <w:tab/>
        <w:t>Either John is a man or James is a woman (or both).</w:t>
      </w:r>
    </w:p>
    <w:p w:rsidR="00B72047" w:rsidRDefault="00B72047">
      <w:pPr>
        <w:pStyle w:val="resumedafterexample"/>
      </w:pPr>
      <w:r>
        <w:rPr>
          <w:rStyle w:val="htmlcodes"/>
        </w:rPr>
        <w:t>&lt;/pre&gt;</w:t>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t xml:space="preserve">“ga” is the cmavo which represents the </w:t>
      </w:r>
      <w:r>
        <w:rPr>
          <w:rStyle w:val="htmlcodes"/>
        </w:rPr>
        <w:t>&lt;font face="Brush Script MT, Script"&gt;</w:t>
      </w:r>
      <w:r>
        <w:rPr>
          <w:rStyle w:val="brushstroke"/>
        </w:rPr>
        <w:t>A</w:t>
      </w:r>
      <w:r>
        <w:t xml:space="preserve"> </w:t>
      </w:r>
      <w:r>
        <w:rPr>
          <w:rStyle w:val="htmlcodes"/>
        </w:rPr>
        <w:t>&lt;/font&gt;</w:t>
      </w:r>
      <w:r>
        <w:t>truth function in selma'o GA.</w:t>
      </w:r>
      <w:r>
        <w:rPr>
          <w:rStyle w:val="deletedparamark"/>
        </w:rPr>
        <w:t xml:space="preserve"> </w:t>
      </w:r>
      <w:r>
        <w:t>The word “gi” does not belong to GA at all, but constitutes its own selma'o:</w:t>
      </w:r>
      <w:r>
        <w:rPr>
          <w:rStyle w:val="deletedparamark"/>
        </w:rPr>
        <w:t xml:space="preserve"> </w:t>
      </w:r>
      <w:r>
        <w:t>it serves only to separate the two bridi without having any content of its</w:t>
      </w:r>
      <w:r>
        <w:rPr>
          <w:rStyle w:val="deletedparamark"/>
        </w:rPr>
        <w:t xml:space="preserve"> </w:t>
      </w:r>
      <w:r>
        <w:t>own. The English translation of “ga </w:t>
      </w:r>
      <w:r>
        <w:rPr>
          <w:rStyle w:val="htmlcodes"/>
        </w:rPr>
        <w:t>&lt;dots&gt;</w:t>
      </w:r>
      <w:r>
        <w:t>…</w:t>
      </w:r>
      <w:r>
        <w:rPr>
          <w:rStyle w:val="htmlcodes"/>
        </w:rPr>
        <w:t>&lt;/dots&gt;</w:t>
      </w:r>
      <w:r>
        <w:t>gi” is “either </w:t>
      </w:r>
      <w:r>
        <w:rPr>
          <w:rStyle w:val="htmlcodes"/>
        </w:rPr>
        <w:t>&lt;dots&gt;</w:t>
      </w:r>
      <w:r>
        <w:t>…</w:t>
      </w:r>
      <w:r>
        <w:rPr>
          <w:rStyle w:val="htmlcodes"/>
        </w:rPr>
        <w:t>&lt;/dots&gt;</w:t>
      </w:r>
      <w:r>
        <w:rPr>
          <w:rStyle w:val="htmlcodes"/>
          <w:vanish w:val="0"/>
        </w:rPr>
        <w:t xml:space="preserve"> </w:t>
      </w:r>
      <w:r>
        <w:t>or”, but in</w:t>
      </w:r>
      <w:r>
        <w:rPr>
          <w:rStyle w:val="deletedparamark"/>
        </w:rPr>
        <w:t xml:space="preserve"> </w:t>
      </w:r>
      <w:r>
        <w:t>the English form the truth function is specified both by the word “either”</w:t>
      </w:r>
      <w:r>
        <w:rPr>
          <w:rStyle w:val="deletedparamark"/>
        </w:rPr>
        <w:t xml:space="preserve"> </w:t>
      </w:r>
      <w:r>
        <w:t>and by the word “or”: not so in Lojban.</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bridi connection, as grammatically one sentence"&gt;</w:t>
      </w:r>
      <w:r>
        <w:rPr>
          <w:rStyle w:val="indexentry"/>
        </w:rPr>
        <w:fldChar w:fldCharType="begin"/>
      </w:r>
      <w:r>
        <w:instrText>xe "</w:instrText>
      </w:r>
      <w:r>
        <w:rPr>
          <w:rStyle w:val="xeentry"/>
        </w:rPr>
        <w:instrText>forethought bridi connection: as grammatically one sentence</w:instrText>
      </w:r>
      <w:r>
        <w:instrText>"</w:instrText>
      </w:r>
      <w:r>
        <w:rPr>
          <w:rStyle w:val="indexentry"/>
        </w:rPr>
        <w:fldChar w:fldCharType="end"/>
      </w:r>
      <w:r>
        <w:rPr>
          <w:rStyle w:val="indexentry"/>
        </w:rPr>
        <w:t>&lt;cx "i, regarding forethought bridi connection"&gt;</w:t>
      </w:r>
      <w:r>
        <w:rPr>
          <w:rStyle w:val="indexentry"/>
        </w:rPr>
        <w:fldChar w:fldCharType="begin"/>
      </w:r>
      <w:r>
        <w:instrText>xe "</w:instrText>
      </w:r>
      <w:r>
        <w:rPr>
          <w:rStyle w:val="xeentry"/>
        </w:rPr>
        <w:instrText>i: regarding forethought bridi connection</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t>Even though two bridi are being connected, geks and giks do not have</w:t>
      </w:r>
      <w:r>
        <w:rPr>
          <w:rStyle w:val="deletedparamark"/>
        </w:rPr>
        <w:t xml:space="preserve"> </w:t>
      </w:r>
      <w:r>
        <w:t>any “.i” in them. The forethought construct binds up the two bridi into</w:t>
      </w:r>
      <w:r>
        <w:rPr>
          <w:rStyle w:val="deletedparamark"/>
        </w:rPr>
        <w:t xml:space="preserve"> </w:t>
      </w:r>
      <w:r>
        <w:t>a single sentence as far as the grammar is concerned.</w:t>
      </w:r>
    </w:p>
    <w:p w:rsidR="00B72047" w:rsidRDefault="00B72047">
      <w:pPr>
        <w:rPr>
          <w:rStyle w:val="htmlparacode"/>
        </w:rPr>
      </w:pPr>
      <w:r>
        <w:rPr>
          <w:rStyle w:val="htmlparacode"/>
        </w:rPr>
        <w:t>&lt;p&gt;</w:t>
      </w:r>
    </w:p>
    <w:p w:rsidR="00B72047" w:rsidRDefault="00B72047">
      <w:pPr>
        <w:pStyle w:val="normalparagraph"/>
      </w:pPr>
      <w:r>
        <w:t>Some more examples of forethought bridi connection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ge la djan. nanmu gi la djeimyz. ninmu</w:t>
      </w:r>
    </w:p>
    <w:p w:rsidR="00B72047" w:rsidRDefault="00B72047">
      <w:pPr>
        <w:pStyle w:val="examplescaled"/>
      </w:pPr>
      <w:r>
        <w:tab/>
        <w:t>(It is true that) both John is a man and James is a woman.</w:t>
      </w:r>
    </w:p>
    <w:p w:rsidR="00B72047" w:rsidRDefault="00B72047">
      <w:pPr>
        <w:pStyle w:val="examplescaledpre"/>
      </w:pPr>
      <w:r>
        <w:rPr>
          <w:rStyle w:val="htmlcodes"/>
        </w:rPr>
        <w:t>&lt;/pre&gt;</w:t>
      </w:r>
      <w:r>
        <w:rPr>
          <w:rStyle w:val="indexentry"/>
        </w:rPr>
        <w:t>&lt;lx "gu"&gt;</w:t>
      </w:r>
      <w:r>
        <w:rPr>
          <w:rStyle w:val="indexentry"/>
        </w:rPr>
        <w:fldChar w:fldCharType="begin"/>
      </w:r>
      <w:r>
        <w:instrText>xe "</w:instrText>
      </w:r>
      <w:r>
        <w:rPr>
          <w:rStyle w:val="xeentry"/>
        </w:rPr>
        <w:instrText>gu</w:instrText>
      </w:r>
      <w:r>
        <w:instrText>"</w:instrText>
      </w:r>
      <w:r>
        <w:rPr>
          <w:rStyle w:val="indexentry"/>
        </w:rPr>
        <w:fldChar w:fldCharType="end"/>
      </w:r>
      <w:r>
        <w:rPr>
          <w:rStyle w:val="indexentry"/>
        </w:rPr>
        <w:t>&lt;lx "GU"&gt;</w:t>
      </w:r>
      <w:r>
        <w:rPr>
          <w:rStyle w:val="indexentry"/>
        </w:rPr>
        <w:fldChar w:fldCharType="begin"/>
      </w:r>
      <w:r>
        <w:instrText>xe "</w:instrText>
      </w:r>
      <w:r>
        <w:rPr>
          <w:rStyle w:val="xeentry"/>
        </w:rPr>
        <w:instrText>GU selma’o</w:instrText>
      </w:r>
      <w:r>
        <w:instrText>"</w:instrText>
      </w:r>
      <w:r>
        <w:rPr>
          <w:rStyle w:val="indexentry"/>
        </w:rPr>
        <w:fldChar w:fldCharType="end"/>
      </w:r>
      <w:r>
        <w:rPr>
          <w:rStyle w:val="htmlcodes"/>
        </w:rPr>
        <w:t>&lt;pre&gt;&lt;a name=e5d5&gt;</w:t>
      </w:r>
      <w:r>
        <w:t>5.5)</w:t>
      </w:r>
      <w:r>
        <w:tab/>
        <w:t>gu la djan. nanmu gi la djeimyz. ninmu</w:t>
      </w:r>
    </w:p>
    <w:p w:rsidR="00B72047" w:rsidRDefault="00B72047">
      <w:pPr>
        <w:pStyle w:val="examplescaled"/>
      </w:pPr>
      <w:r>
        <w:tab/>
        <w:t>It is true that John is a man, whether or not James is a woman.</w:t>
      </w:r>
    </w:p>
    <w:p w:rsidR="00B72047" w:rsidRDefault="00B72047">
      <w:pPr>
        <w:pStyle w:val="resumedafterexample"/>
      </w:pPr>
      <w:r>
        <w:rPr>
          <w:rStyle w:val="htmlcodes"/>
        </w:rPr>
        <w:t>&lt;/pre&gt;&lt;p&gt;</w:t>
      </w:r>
      <w:r>
        <w:t xml:space="preserve">It is worth emphasizing that </w:t>
      </w:r>
      <w:r>
        <w:rPr>
          <w:rStyle w:val="htmlcodes"/>
        </w:rPr>
        <w:t>&lt;a href=#e5d5&gt;</w:t>
      </w:r>
      <w:r>
        <w:t xml:space="preserve">Example 5.5 </w:t>
      </w:r>
      <w:r>
        <w:rPr>
          <w:rStyle w:val="htmlcodes"/>
        </w:rPr>
        <w:t>&lt;/a&gt;</w:t>
      </w:r>
      <w:r>
        <w:t>does not assert that James is</w:t>
      </w:r>
      <w:r>
        <w:rPr>
          <w:rStyle w:val="deletedparamark"/>
        </w:rPr>
        <w:t xml:space="preserve"> </w:t>
      </w:r>
      <w:r>
        <w:t>(or is not) a woman. The “gu” which indicates that “la djeimyz. ninmu”</w:t>
      </w:r>
      <w:r>
        <w:rPr>
          <w:rStyle w:val="deletedparamark"/>
        </w:rPr>
        <w:t xml:space="preserve"> </w:t>
      </w:r>
      <w:r>
        <w:t>may be true or false is un</w:t>
      </w:r>
      <w:r>
        <w:softHyphen/>
        <w:t>fortunately rather remote from the bridi thus</w:t>
      </w:r>
      <w:r>
        <w:rPr>
          <w:rStyle w:val="deletedparamark"/>
        </w:rPr>
        <w:t xml:space="preserve"> </w:t>
      </w:r>
      <w:r>
        <w:t>affected.</w:t>
      </w:r>
    </w:p>
    <w:p w:rsidR="00B72047" w:rsidRDefault="00B72047">
      <w:pPr>
        <w:rPr>
          <w:rStyle w:val="htmlparacode"/>
        </w:rPr>
      </w:pPr>
      <w:r>
        <w:rPr>
          <w:rStyle w:val="htmlparacode"/>
        </w:rPr>
        <w:t>&lt;p&gt;</w:t>
      </w:r>
    </w:p>
    <w:p w:rsidR="00B72047" w:rsidRDefault="00B72047">
      <w:pPr>
        <w:pStyle w:val="normalparagraph"/>
      </w:pPr>
      <w:r>
        <w:t>Perhaps the most important of the truth functions commonly expressed in</w:t>
      </w:r>
      <w:r>
        <w:rPr>
          <w:rStyle w:val="deletedparamark"/>
        </w:rPr>
        <w:t xml:space="preserve"> </w:t>
      </w:r>
      <w:r>
        <w:t>for</w:t>
      </w:r>
      <w:r>
        <w:t>e</w:t>
      </w:r>
      <w:r>
        <w:softHyphen/>
        <w:t>thought is TFTT, which can be paraphrased as “if </w:t>
      </w:r>
      <w:r>
        <w:rPr>
          <w:rStyle w:val="htmlcodes"/>
        </w:rPr>
        <w:t>&lt;dots&gt;</w:t>
      </w:r>
      <w:r>
        <w:t xml:space="preserve">… </w:t>
      </w:r>
      <w:r>
        <w:rPr>
          <w:rStyle w:val="htmlcodes"/>
        </w:rPr>
        <w:t>&lt;/dots&gt;</w:t>
      </w:r>
      <w:r>
        <w:t>then </w:t>
      </w:r>
      <w:r>
        <w:rPr>
          <w:rStyle w:val="htmlcodes"/>
        </w:rPr>
        <w:t>&lt;dots&gt;</w:t>
      </w:r>
      <w:r>
        <w:t>…</w:t>
      </w:r>
      <w:r>
        <w:rPr>
          <w:rStyle w:val="htmlcodes"/>
        </w:rPr>
        <w:t>&lt;/dots&gt;</w:t>
      </w:r>
      <w:r>
        <w:t>”:</w:t>
      </w:r>
    </w:p>
    <w:p w:rsidR="00B72047" w:rsidRDefault="00B72047">
      <w:pPr>
        <w:rPr>
          <w:rStyle w:val="htmlparacode"/>
        </w:rPr>
      </w:pPr>
      <w:r>
        <w:rPr>
          <w:rStyle w:val="htmlparacode"/>
        </w:rPr>
        <w:t>&lt;p&gt;</w:t>
      </w:r>
    </w:p>
    <w:p w:rsidR="00B72047" w:rsidRDefault="00B72047">
      <w:pPr>
        <w:pStyle w:val="examplescaledpre"/>
      </w:pPr>
      <w:r>
        <w:rPr>
          <w:rStyle w:val="indexentry"/>
        </w:rPr>
        <w:t>&lt;lx "ganai"&gt;</w:t>
      </w:r>
      <w:r>
        <w:rPr>
          <w:rStyle w:val="indexentry"/>
        </w:rPr>
        <w:fldChar w:fldCharType="begin"/>
      </w:r>
      <w:r>
        <w:instrText>xe "</w:instrText>
      </w:r>
      <w:r>
        <w:rPr>
          <w:rStyle w:val="xeentry"/>
        </w:rPr>
        <w:instrText>ganai</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htmlcodes"/>
        </w:rPr>
        <w:t>&lt;pre&gt;&lt;a name=e5d6&gt;</w:t>
      </w:r>
      <w:r>
        <w:t>5.6)</w:t>
      </w:r>
      <w:r>
        <w:tab/>
        <w:t>ganai la djan. nanmu gi la djeimyz. ninmu</w:t>
      </w:r>
    </w:p>
    <w:p w:rsidR="00B72047" w:rsidRDefault="00B72047">
      <w:pPr>
        <w:pStyle w:val="examplescaled"/>
      </w:pPr>
      <w:r>
        <w:tab/>
        <w:t>Either John is not a man, or James is a woman.</w:t>
      </w:r>
    </w:p>
    <w:p w:rsidR="00B72047" w:rsidRDefault="00B72047">
      <w:pPr>
        <w:pStyle w:val="examplescaled"/>
      </w:pPr>
      <w:r>
        <w:tab/>
        <w:t>If John is a man, then James is a woman.</w:t>
      </w:r>
    </w:p>
    <w:p w:rsidR="00B72047" w:rsidRDefault="00B72047">
      <w:pPr>
        <w:pStyle w:val="resumedafterexample"/>
      </w:pPr>
      <w:r>
        <w:rPr>
          <w:rStyle w:val="htmlcodes"/>
        </w:rPr>
        <w:t>&lt;/pre&gt;</w:t>
      </w:r>
      <w:r>
        <w:rPr>
          <w:rStyle w:val="indexentry"/>
        </w:rPr>
        <w:t>&lt;cx "nai, placement in forethought bridi connection contrasted with afterthought"&gt;</w:t>
      </w:r>
      <w:r>
        <w:rPr>
          <w:rStyle w:val="indexentry"/>
        </w:rPr>
        <w:fldChar w:fldCharType="begin"/>
      </w:r>
      <w:r>
        <w:instrText>xe "</w:instrText>
      </w:r>
      <w:r>
        <w:rPr>
          <w:rStyle w:val="xeentry"/>
        </w:rPr>
        <w:instrText>nai: placement in forethought bridi connection contrasted with afterthought</w:instrText>
      </w:r>
      <w:r>
        <w:instrText>"</w:instrText>
      </w:r>
      <w:r>
        <w:rPr>
          <w:rStyle w:val="indexentry"/>
        </w:rPr>
        <w:fldChar w:fldCharType="end"/>
      </w:r>
      <w:r>
        <w:rPr>
          <w:rStyle w:val="indexentry"/>
        </w:rPr>
        <w:t>&lt;cx "nai, placement in afterthought bridi connection contrasted with forethought"&gt;</w:t>
      </w:r>
      <w:r>
        <w:rPr>
          <w:rStyle w:val="indexentry"/>
        </w:rPr>
        <w:fldChar w:fldCharType="begin"/>
      </w:r>
      <w:r>
        <w:instrText>xe "</w:instrText>
      </w:r>
      <w:r>
        <w:rPr>
          <w:rStyle w:val="xeentry"/>
        </w:rPr>
        <w:instrText>nai: placement in afterthought bridi connection contrasted with forethought</w:instrText>
      </w:r>
      <w:r>
        <w:instrText>"</w:instrText>
      </w:r>
      <w:r>
        <w:rPr>
          <w:rStyle w:val="indexentry"/>
        </w:rPr>
        <w:fldChar w:fldCharType="end"/>
      </w:r>
      <w:r>
        <w:t xml:space="preserve">Note the placement of the “nai” in </w:t>
      </w:r>
      <w:r>
        <w:rPr>
          <w:rStyle w:val="htmlcodes"/>
        </w:rPr>
        <w:t>&lt;a href=#e5d6&gt;</w:t>
      </w:r>
      <w:r>
        <w:t>Example 5.6</w:t>
      </w:r>
      <w:r>
        <w:rPr>
          <w:rStyle w:val="htmlcodes"/>
        </w:rPr>
        <w:t>&lt;/a&gt;</w:t>
      </w:r>
      <w:r>
        <w:t>. When added to afterthought</w:t>
      </w:r>
      <w:r>
        <w:rPr>
          <w:rStyle w:val="deletedparamark"/>
        </w:rPr>
        <w:t xml:space="preserve"> </w:t>
      </w:r>
      <w:r>
        <w:t>selma'o such as JA, a following “nai” negates the second bridi, to which</w:t>
      </w:r>
      <w:r>
        <w:rPr>
          <w:rStyle w:val="deletedparamark"/>
        </w:rPr>
        <w:t xml:space="preserve"> </w:t>
      </w:r>
      <w:r>
        <w:t>it is adjacent. Since GA cmavo precede the first bridi, a following “nai”</w:t>
      </w:r>
      <w:r>
        <w:rPr>
          <w:rStyle w:val="deletedparamark"/>
        </w:rPr>
        <w:t xml:space="preserve"> </w:t>
      </w:r>
      <w:r>
        <w:t>negates the first bridi instead.</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negated first sentence as a potential problem for understanding"&gt;</w:t>
      </w:r>
      <w:r>
        <w:rPr>
          <w:rStyle w:val="indexentry"/>
        </w:rPr>
        <w:fldChar w:fldCharType="begin"/>
      </w:r>
      <w:r>
        <w:instrText>xe "</w:instrText>
      </w:r>
      <w:r>
        <w:rPr>
          <w:rStyle w:val="xeentry"/>
        </w:rPr>
        <w:instrText>logical connectives: negated first sentence as a potential problem for understanding</w:instrText>
      </w:r>
      <w:r>
        <w:instrText>"</w:instrText>
      </w:r>
      <w:r>
        <w:rPr>
          <w:rStyle w:val="indexentry"/>
        </w:rPr>
        <w:fldChar w:fldCharType="end"/>
      </w:r>
      <w:r>
        <w:t xml:space="preserve">Why does English insist on forethought in the translation of </w:t>
      </w:r>
      <w:r>
        <w:rPr>
          <w:rStyle w:val="htmlcodes"/>
        </w:rPr>
        <w:t>&lt;a href=#e5d6&gt;</w:t>
      </w:r>
      <w:r>
        <w:t>Example 5.6</w:t>
      </w:r>
      <w:r>
        <w:rPr>
          <w:rStyle w:val="htmlcodes"/>
        </w:rPr>
        <w:t>&lt;/a&gt;</w:t>
      </w:r>
      <w:r>
        <w:t>?</w:t>
      </w:r>
      <w:r>
        <w:rPr>
          <w:rStyle w:val="deletedparamark"/>
        </w:rPr>
        <w:t xml:space="preserve"> </w:t>
      </w:r>
      <w:r>
        <w:t>Pos</w:t>
      </w:r>
      <w:r>
        <w:softHyphen/>
        <w:t>sibly because it would be confusing to seemingly assert a sentence and</w:t>
      </w:r>
      <w:r>
        <w:rPr>
          <w:rStyle w:val="deletedparamark"/>
        </w:rPr>
        <w:t xml:space="preserve"> </w:t>
      </w:r>
      <w:r>
        <w:t>then make it conditional (which, as the Lojban form shows, involves a</w:t>
      </w:r>
      <w:r>
        <w:rPr>
          <w:rStyle w:val="deletedparamark"/>
        </w:rPr>
        <w:t xml:space="preserve"> </w:t>
      </w:r>
      <w:r>
        <w:t>negation). Truth functions which involve negating the first sentence may</w:t>
      </w:r>
      <w:r>
        <w:rPr>
          <w:rStyle w:val="deletedparamark"/>
        </w:rPr>
        <w:t xml:space="preserve"> </w:t>
      </w:r>
      <w:r>
        <w:t>be confusing, even to the Lojbanic un</w:t>
      </w:r>
      <w:r>
        <w:softHyphen/>
        <w:t>derstanding, when expressed using</w:t>
      </w:r>
      <w:r>
        <w:rPr>
          <w:rStyle w:val="deletedparamark"/>
        </w:rPr>
        <w:t xml:space="preserve"> </w:t>
      </w:r>
      <w:r>
        <w:t>afterthought.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"if … then, logical connectives contrasted with other translations"&gt;</w:t>
      </w:r>
      <w:r>
        <w:rPr>
          <w:rStyle w:val="indexentry"/>
        </w:rPr>
        <w:fldChar w:fldCharType="begin"/>
      </w:r>
      <w:r>
        <w:instrText>xe "</w:instrText>
      </w:r>
      <w:r>
        <w:rPr>
          <w:rStyle w:val="xeentry"/>
        </w:rPr>
        <w:instrText>if … then: logical connectives contrasted with other translations</w:instrText>
      </w:r>
      <w:r>
        <w:instrText>"</w:instrText>
      </w:r>
      <w:r>
        <w:rPr>
          <w:rStyle w:val="indexentry"/>
        </w:rPr>
        <w:fldChar w:fldCharType="end"/>
      </w:r>
      <w:r>
        <w:t xml:space="preserve">It must be reiterated here that not every use of English “if </w:t>
      </w:r>
      <w:r>
        <w:rPr>
          <w:rStyle w:val="htmlcodes"/>
        </w:rPr>
        <w:t>&lt;dots&gt;</w:t>
      </w:r>
      <w:r>
        <w:t>…</w:t>
      </w:r>
      <w:r>
        <w:rPr>
          <w:rStyle w:val="htmlcodes"/>
        </w:rPr>
        <w:t xml:space="preserve">&lt;/dots&gt; </w:t>
      </w:r>
      <w:r>
        <w:t>then” is properly</w:t>
      </w:r>
      <w:r>
        <w:rPr>
          <w:rStyle w:val="deletedparamark"/>
        </w:rPr>
        <w:t xml:space="preserve"> </w:t>
      </w:r>
      <w:r>
        <w:t>tran</w:t>
      </w:r>
      <w:r>
        <w:t>s</w:t>
      </w:r>
      <w:r>
        <w:softHyphen/>
        <w:t xml:space="preserve">lated by “.inaja” or “ganai </w:t>
      </w:r>
      <w:r>
        <w:rPr>
          <w:rStyle w:val="htmlcodes"/>
        </w:rPr>
        <w:t>&lt;dots&gt;</w:t>
      </w:r>
      <w:r>
        <w:t>…</w:t>
      </w:r>
      <w:r>
        <w:rPr>
          <w:rStyle w:val="htmlcodes"/>
        </w:rPr>
        <w:t>&lt;/dots&gt;</w:t>
      </w:r>
      <w:r>
        <w:t>gi”; anything with implications of time</w:t>
      </w:r>
      <w:r>
        <w:rPr>
          <w:rStyle w:val="deletedparamark"/>
        </w:rPr>
        <w:t xml:space="preserve"> </w:t>
      </w:r>
      <w:r>
        <w:t>needs a somewhat different Lojban translation, which will be discussed in</w:t>
      </w:r>
      <w:r>
        <w:rPr>
          <w:rStyle w:val="deletedparamark"/>
        </w:rPr>
        <w:t xml:space="preserve"> </w:t>
      </w:r>
      <w:r>
        <w:rPr>
          <w:rStyle w:val="htmlcodes"/>
        </w:rPr>
        <w:t>&lt;a href=#s18&gt;</w:t>
      </w:r>
      <w:r>
        <w:t>Section 18</w:t>
      </w:r>
      <w:r>
        <w:rPr>
          <w:rStyle w:val="htmlcodes"/>
        </w:rPr>
        <w:t>&lt;/a&gt;</w:t>
      </w:r>
      <w:r>
        <w:t>. Causal sentences like “If you feed the pig, then it will grow”</w:t>
      </w:r>
      <w:r>
        <w:rPr>
          <w:rStyle w:val="deletedparamark"/>
        </w:rPr>
        <w:t xml:space="preserve"> </w:t>
      </w:r>
      <w:r>
        <w:t>are not logical connectives of any type, but rather need a translation using</w:t>
      </w:r>
      <w:r>
        <w:rPr>
          <w:rStyle w:val="deletedparamark"/>
        </w:rPr>
        <w:t xml:space="preserve"> “</w:t>
      </w:r>
      <w:r>
        <w:t>rinka” as the selbri joining two event abstrac</w:t>
      </w:r>
      <w:r>
        <w:softHyphen/>
        <w:t>tions,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le nu do cidja dunda fi le xarju cu rinka le nu ri ba banro</w:t>
      </w:r>
    </w:p>
    <w:p w:rsidR="00B72047" w:rsidRDefault="00B72047">
      <w:pPr>
        <w:pStyle w:val="examplescaled"/>
      </w:pPr>
      <w:r>
        <w:tab/>
        <w:t>The event-of (you food-give to the pig) causes the event-of (it will grow).</w:t>
      </w:r>
    </w:p>
    <w:p w:rsidR="00B72047" w:rsidRDefault="00B72047">
      <w:pPr>
        <w:pStyle w:val="resumedafterexample"/>
      </w:pPr>
      <w:r>
        <w:rPr>
          <w:rStyle w:val="htmlcodes"/>
        </w:rPr>
        <w:t>&lt;/pre&gt;&lt;p&gt;</w:t>
      </w:r>
      <w:r>
        <w:t xml:space="preserve">Causality is discussed in far more detail in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htmlcodes"/>
        </w:rPr>
        <w:t>&lt;a href=#e5d8&gt;</w:t>
      </w:r>
      <w:r>
        <w:t xml:space="preserve">Example 5.8 </w:t>
      </w:r>
      <w:r>
        <w:rPr>
          <w:rStyle w:val="htmlcodes"/>
        </w:rPr>
        <w:t>&lt;/a&gt;</w:t>
      </w:r>
      <w:r>
        <w:t xml:space="preserve">and </w:t>
      </w:r>
      <w:r>
        <w:rPr>
          <w:rStyle w:val="htmlcodes"/>
        </w:rPr>
        <w:t>&lt;a href=#e5d9&gt;</w:t>
      </w:r>
      <w:r>
        <w:t xml:space="preserve">Example 5.9 </w:t>
      </w:r>
      <w:r>
        <w:rPr>
          <w:rStyle w:val="htmlcodes"/>
        </w:rPr>
        <w:t>&lt;/a&gt;</w:t>
      </w:r>
      <w:r>
        <w:t>illustrates a truth function, FTTF, which needs</w:t>
      </w:r>
      <w:r>
        <w:rPr>
          <w:rStyle w:val="deletedparamark"/>
        </w:rPr>
        <w:t xml:space="preserve"> </w:t>
      </w:r>
      <w:r>
        <w:t>to n</w:t>
      </w:r>
      <w:r>
        <w:t>e</w:t>
      </w:r>
      <w:r>
        <w:softHyphen/>
        <w:t>gate either the first or the second bridi. We already understand how</w:t>
      </w:r>
      <w:r>
        <w:rPr>
          <w:rStyle w:val="deletedparamark"/>
        </w:rPr>
        <w:t xml:space="preserve"> </w:t>
      </w:r>
      <w:r>
        <w:t>to negate the first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gonai la djan. nanmu gi la djeimyz. ninmu</w:t>
      </w:r>
    </w:p>
    <w:p w:rsidR="00B72047" w:rsidRDefault="00B72047">
      <w:pPr>
        <w:pStyle w:val="examplescaled"/>
      </w:pPr>
      <w:r>
        <w:tab/>
        <w:t>John is-not-a-man if-and-only-if James is-a-woman,</w:t>
      </w:r>
    </w:p>
    <w:p w:rsidR="00B72047" w:rsidRDefault="00B72047">
      <w:pPr>
        <w:pStyle w:val="examplescaled"/>
      </w:pPr>
      <w:r>
        <w:tab/>
        <w:t>Either John is a man or James is a woman but not both.</w:t>
      </w:r>
    </w:p>
    <w:p w:rsidR="00B72047" w:rsidRDefault="00B72047">
      <w:pPr>
        <w:pStyle w:val="resumedafterexample"/>
        <w:spacing w:before="0"/>
      </w:pPr>
      <w:r>
        <w:rPr>
          <w:rStyle w:val="htmlcodes"/>
          <w:vanish w:val="0"/>
        </w:rPr>
        <w:br w:type="page"/>
      </w:r>
      <w:r>
        <w:rPr>
          <w:rStyle w:val="htmlcodes"/>
        </w:rPr>
        <w:t>&lt;/pre&gt;</w:t>
      </w:r>
      <w:r>
        <w:rPr>
          <w:rStyle w:val="indexentry"/>
        </w:rPr>
        <w:t>&lt;lx "ginai"&gt;</w:t>
      </w:r>
      <w:r>
        <w:rPr>
          <w:rStyle w:val="indexentry"/>
        </w:rPr>
        <w:fldChar w:fldCharType="begin"/>
      </w:r>
      <w:r>
        <w:instrText>xe "</w:instrText>
      </w:r>
      <w:r>
        <w:rPr>
          <w:rStyle w:val="xeentry"/>
        </w:rPr>
        <w:instrText>ginai</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t>How can the second bridi be negated? By adding “-nai” to the “gi”.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go la djan. nanmu ginai la djeimyz. ninmu</w:t>
      </w:r>
    </w:p>
    <w:p w:rsidR="00B72047" w:rsidRDefault="00B72047">
      <w:pPr>
        <w:pStyle w:val="examplescaled"/>
      </w:pPr>
      <w:r>
        <w:tab/>
        <w:t>John is-a-man if-and-only-if James is-not-a-woman.</w:t>
      </w:r>
    </w:p>
    <w:p w:rsidR="00B72047" w:rsidRDefault="00B72047">
      <w:pPr>
        <w:pStyle w:val="examplescaled"/>
      </w:pPr>
      <w:r>
        <w:tab/>
        <w:t>Either John is a man or James is a woman but not both.</w:t>
      </w:r>
    </w:p>
    <w:p w:rsidR="00B72047" w:rsidRDefault="00B72047">
      <w:pPr>
        <w:pStyle w:val="resumedafterexample"/>
      </w:pPr>
      <w:r>
        <w:rPr>
          <w:rStyle w:val="htmlcodes"/>
        </w:rPr>
        <w:t>&lt;/pre&gt;</w:t>
      </w:r>
      <w:r>
        <w:rPr>
          <w:rStyle w:val="indexentry"/>
        </w:rPr>
        <w:t>&lt;cx "gik, definition"&gt;</w:t>
      </w:r>
      <w:r>
        <w:rPr>
          <w:rStyle w:val="indexentry"/>
        </w:rPr>
        <w:fldChar w:fldCharType="begin"/>
      </w:r>
      <w:r>
        <w:instrText>xe "</w:instrText>
      </w:r>
      <w:r>
        <w:rPr>
          <w:rStyle w:val="xeentry"/>
        </w:rPr>
        <w:instrText>gik: definition</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t>A compound cmavo based on “gi” is called a gik; the only giks are “gi”</w:t>
      </w:r>
      <w:r>
        <w:rPr>
          <w:rStyle w:val="deletedparamark"/>
        </w:rPr>
        <w:t xml:space="preserve"> </w:t>
      </w:r>
      <w:r>
        <w:t>itself and “ginai”.</w:t>
      </w:r>
    </w:p>
    <w:p w:rsidR="00B72047" w:rsidRDefault="00B72047">
      <w:pPr>
        <w:rPr>
          <w:rStyle w:val="htmlparacode"/>
        </w:rPr>
      </w:pPr>
      <w:r>
        <w:rPr>
          <w:rStyle w:val="htmlparacode"/>
        </w:rPr>
        <w:t>&lt;p&gt;</w:t>
      </w:r>
    </w:p>
    <w:p w:rsidR="00B72047" w:rsidRDefault="00B72047">
      <w:pPr>
        <w:pStyle w:val="normalparagraph"/>
      </w:pPr>
      <w:r>
        <w:t>Further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name=e5d10&gt;</w:t>
      </w:r>
      <w:r>
        <w:t>5.10)</w:t>
      </w:r>
      <w:r>
        <w:tab/>
        <w:t>ge la djan. nanmu ginai la djeimyz. ninmu</w:t>
      </w:r>
    </w:p>
    <w:p w:rsidR="00B72047" w:rsidRDefault="00B72047">
      <w:pPr>
        <w:pStyle w:val="examplescaled"/>
      </w:pPr>
      <w:r>
        <w:tab/>
        <w:t>John is-a-man and James is-not-a-woman.</w:t>
      </w:r>
    </w:p>
    <w:p w:rsidR="00B72047" w:rsidRDefault="00B72047">
      <w:pPr>
        <w:pStyle w:val="examplescaledpre"/>
      </w:pPr>
      <w:r>
        <w:rPr>
          <w:rStyle w:val="htmlcodes"/>
        </w:rPr>
        <w:t>&lt;/pre&gt;</w:t>
      </w:r>
      <w:r>
        <w:rPr>
          <w:rStyle w:val="indexentry"/>
        </w:rPr>
        <w:t>&lt;lx "ganai"&gt;</w:t>
      </w:r>
      <w:r>
        <w:rPr>
          <w:rStyle w:val="indexentry"/>
        </w:rPr>
        <w:fldChar w:fldCharType="begin"/>
      </w:r>
      <w:r>
        <w:instrText>xe "</w:instrText>
      </w:r>
      <w:r>
        <w:rPr>
          <w:rStyle w:val="xeentry"/>
        </w:rPr>
        <w:instrText>ganai</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htmlcodes"/>
        </w:rPr>
        <w:t>&lt;pre&gt;&lt;a name=e5d11&gt;</w:t>
      </w:r>
      <w:r>
        <w:t>5.11)</w:t>
      </w:r>
      <w:r>
        <w:tab/>
        <w:t>ganai la djan. nanmu ginai la djeimyz. ninmu</w:t>
      </w:r>
    </w:p>
    <w:p w:rsidR="00B72047" w:rsidRDefault="00B72047">
      <w:pPr>
        <w:pStyle w:val="examplescaled"/>
      </w:pPr>
      <w:r>
        <w:tab/>
        <w:t>John is-not-a-man or James is-not-a-woman.</w:t>
      </w:r>
    </w:p>
    <w:p w:rsidR="00B72047" w:rsidRDefault="00B72047">
      <w:pPr>
        <w:pStyle w:val="normalafterexample"/>
      </w:pPr>
      <w:r>
        <w:rPr>
          <w:rStyle w:val="htmlcodes"/>
        </w:rPr>
        <w:t>&lt;/pre&gt;</w:t>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&lt;cx "geks, syntax of"&gt;</w:t>
      </w:r>
      <w:r>
        <w:rPr>
          <w:rStyle w:val="indexentry"/>
        </w:rPr>
        <w:fldChar w:fldCharType="begin"/>
      </w:r>
      <w:r>
        <w:instrText>xe "</w:instrText>
      </w:r>
      <w:r>
        <w:rPr>
          <w:rStyle w:val="xeentry"/>
        </w:rPr>
        <w:instrText>geks: syntax of</w:instrText>
      </w:r>
      <w:r>
        <w:instrText>"</w:instrText>
      </w:r>
      <w:r>
        <w:rPr>
          <w:rStyle w:val="indexentry"/>
        </w:rPr>
        <w:fldChar w:fldCharType="end"/>
      </w:r>
      <w:r>
        <w:t>The syntax of geks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[se] GA [nai]</w:t>
      </w:r>
    </w:p>
    <w:p w:rsidR="00B72047" w:rsidRDefault="00B72047">
      <w:pPr>
        <w:pStyle w:val="resumedafterexample"/>
      </w:pPr>
      <w:r>
        <w:rPr>
          <w:rStyle w:val="htmlcodes"/>
        </w:rPr>
        <w:t>&lt;/dl&gt;</w:t>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&lt;cx "giks, syntax of"&gt;</w:t>
      </w:r>
      <w:r>
        <w:rPr>
          <w:rStyle w:val="indexentry"/>
        </w:rPr>
        <w:fldChar w:fldCharType="begin"/>
      </w:r>
      <w:r>
        <w:instrText>xe "</w:instrText>
      </w:r>
      <w:r>
        <w:rPr>
          <w:rStyle w:val="xeentry"/>
        </w:rPr>
        <w:instrText>giks: syntax of</w:instrText>
      </w:r>
      <w:r>
        <w:instrText>"</w:instrText>
      </w:r>
      <w:r>
        <w:rPr>
          <w:rStyle w:val="indexentry"/>
        </w:rPr>
        <w:fldChar w:fldCharType="end"/>
      </w:r>
      <w:r>
        <w:t>and of giks (which are not themselves connectives, but part of the machinery</w:t>
      </w:r>
      <w:r>
        <w:rPr>
          <w:rStyle w:val="deletedparamark"/>
        </w:rPr>
        <w:t xml:space="preserve"> </w:t>
      </w:r>
      <w:r>
        <w:t>of fore</w:t>
      </w:r>
      <w:r>
        <w:softHyphen/>
        <w:t>thought connection)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gi [nai]</w:t>
      </w:r>
    </w:p>
    <w:p w:rsidR="00B72047" w:rsidRDefault="00B72047">
      <w:pPr>
        <w:pStyle w:val="Heading3"/>
        <w:rPr>
          <w:rStyle w:val="Heading3Text"/>
        </w:rPr>
      </w:pPr>
      <w:r>
        <w:rPr>
          <w:rStyle w:val="htmlcodes"/>
        </w:rPr>
        <w:t>&lt;/dl&gt;&lt;a name=s6&gt;&lt;h3&gt;</w:t>
      </w:r>
      <w:bookmarkStart w:id="420" w:name="_Toc398970661"/>
      <w:r>
        <w:rPr>
          <w:rStyle w:val="Heading3Text"/>
        </w:rPr>
        <w:t>sumti connection</w:t>
      </w:r>
      <w:bookmarkEnd w:id="42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"sumti logical connection"&gt;</w:t>
      </w:r>
      <w:r>
        <w:rPr>
          <w:rStyle w:val="indexentry"/>
        </w:rPr>
        <w:fldChar w:fldCharType="begin"/>
      </w:r>
      <w:r>
        <w:instrText>xe "</w:instrText>
      </w:r>
      <w:r>
        <w:rPr>
          <w:rStyle w:val="xeentry"/>
        </w:rPr>
        <w:instrText>sumti logical connection</w:instrText>
      </w:r>
      <w:r>
        <w:instrText>"</w:instrText>
      </w:r>
      <w:r>
        <w:rPr>
          <w:rStyle w:val="indexentry"/>
        </w:rPr>
        <w:fldChar w:fldCharType="end"/>
      </w:r>
      <w:r>
        <w:rPr>
          <w:rStyle w:val="indexentry"/>
        </w:rPr>
        <w:t>&lt;cx "sumti logical connection, rationale for"&gt;</w:t>
      </w:r>
      <w:r>
        <w:rPr>
          <w:rStyle w:val="indexentry"/>
        </w:rPr>
        <w:fldChar w:fldCharType="begin"/>
      </w:r>
      <w:r>
        <w:instrText>xe "</w:instrText>
      </w:r>
      <w:r>
        <w:rPr>
          <w:rStyle w:val="xeentry"/>
        </w:rPr>
        <w:instrText>sumti logical connection: rationale for</w:instrText>
      </w:r>
      <w:r>
        <w:instrText>"</w:instrText>
      </w:r>
      <w:r>
        <w:rPr>
          <w:rStyle w:val="indexentry"/>
        </w:rPr>
        <w:fldChar w:fldCharType="end"/>
      </w:r>
      <w:r>
        <w:rPr>
          <w:rStyle w:val="indexentry"/>
        </w:rPr>
        <w:t>&lt;cx "sumti logical connection, compared with bridi logical connections"&gt;</w:t>
      </w:r>
      <w:r>
        <w:rPr>
          <w:rStyle w:val="indexentry"/>
        </w:rPr>
        <w:fldChar w:fldCharType="begin"/>
      </w:r>
      <w:r>
        <w:instrText>xe "</w:instrText>
      </w:r>
      <w:r>
        <w:rPr>
          <w:rStyle w:val="xeentry"/>
        </w:rPr>
        <w:instrText>sumti logical connection: compared with bridi logical connections</w:instrText>
      </w:r>
      <w:r>
        <w:instrText>"</w:instrText>
      </w:r>
      <w:r>
        <w:rPr>
          <w:rStyle w:val="indexentry"/>
        </w:rPr>
        <w:fldChar w:fldCharType="end"/>
      </w:r>
      <w:r>
        <w:rPr>
          <w:rStyle w:val="indexentry"/>
        </w:rPr>
        <w:t>&lt;cx "bridi logical connection, compared with sumti logical connections"&gt;</w:t>
      </w:r>
      <w:r>
        <w:rPr>
          <w:rStyle w:val="indexentry"/>
        </w:rPr>
        <w:fldChar w:fldCharType="begin"/>
      </w:r>
      <w:r>
        <w:instrText>xe "</w:instrText>
      </w:r>
      <w:r>
        <w:rPr>
          <w:rStyle w:val="xeentry"/>
        </w:rPr>
        <w:instrText>bridi logical connection: compared with sumti logical connections</w:instrText>
      </w:r>
      <w:r>
        <w:instrText>"</w:instrText>
      </w:r>
      <w:r>
        <w:rPr>
          <w:rStyle w:val="indexentry"/>
        </w:rPr>
        <w:fldChar w:fldCharType="end"/>
      </w:r>
      <w:r>
        <w:t>Geks and ijeks are sufficient to state every possible logical connection</w:t>
      </w:r>
      <w:r>
        <w:rPr>
          <w:rStyle w:val="deletedparamark"/>
        </w:rPr>
        <w:t xml:space="preserve"> </w:t>
      </w:r>
      <w:r>
        <w:t>between two bridi. However, it is often the case that two bridi to be</w:t>
      </w:r>
      <w:r>
        <w:rPr>
          <w:rStyle w:val="deletedparamark"/>
        </w:rPr>
        <w:t xml:space="preserve"> </w:t>
      </w:r>
      <w:r>
        <w:t>logically connected have one or more portions in common: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la djan. klama le zarci  .ije la .alis. klama le zarci</w:t>
      </w:r>
    </w:p>
    <w:p w:rsidR="00B72047" w:rsidRDefault="00B72047">
      <w:pPr>
        <w:pStyle w:val="examplescaled"/>
      </w:pPr>
      <w:r>
        <w:tab/>
        <w:t>John goes to the market, and Alice goes to the market.</w:t>
      </w:r>
    </w:p>
    <w:p w:rsidR="00B72047" w:rsidRDefault="00B72047">
      <w:pPr>
        <w:pStyle w:val="resumedafterexample"/>
      </w:pPr>
      <w:r>
        <w:rPr>
          <w:rStyle w:val="htmlcodes"/>
        </w:rPr>
        <w:t>&lt;/pre&gt;&lt;p&gt;</w:t>
      </w:r>
      <w:r>
        <w:t>Here only a single sumti differs between the two bridi. Lojban does not</w:t>
      </w:r>
      <w:r>
        <w:rPr>
          <w:rStyle w:val="deletedparamark"/>
        </w:rPr>
        <w:t xml:space="preserve"> </w:t>
      </w:r>
      <w:r>
        <w:t>require that both bridi be expressed in full. Instead, a single bridi can</w:t>
      </w:r>
      <w:r>
        <w:rPr>
          <w:rStyle w:val="deletedparamark"/>
        </w:rPr>
        <w:t xml:space="preserve"> </w:t>
      </w:r>
      <w:r>
        <w:t>be given which contains both of the different sumti and uses a logical</w:t>
      </w:r>
      <w:r>
        <w:rPr>
          <w:rStyle w:val="deletedparamark"/>
        </w:rPr>
        <w:t xml:space="preserve"> </w:t>
      </w:r>
      <w:r>
        <w:t>connective from a different selma'o to combine the two sumti:</w:t>
      </w:r>
    </w:p>
    <w:p w:rsidR="00B72047" w:rsidRDefault="00B72047">
      <w:pPr>
        <w:rPr>
          <w:rStyle w:val="htmlparacode"/>
        </w:rPr>
      </w:pPr>
      <w:r>
        <w:rPr>
          <w:rStyle w:val="htmlparacode"/>
        </w:rPr>
        <w:t>&lt;p&gt;</w:t>
      </w:r>
    </w:p>
    <w:p w:rsidR="00B72047" w:rsidRDefault="00B72047">
      <w:pPr>
        <w:pStyle w:val="examplescaledpre"/>
      </w:pPr>
      <w:r>
        <w:rPr>
          <w:rStyle w:val="indexentry"/>
        </w:rPr>
        <w:t>&lt;lx ".e"&gt;</w:t>
      </w:r>
      <w:r>
        <w:rPr>
          <w:rStyle w:val="indexentry"/>
        </w:rPr>
        <w:fldChar w:fldCharType="begin"/>
      </w:r>
      <w:r>
        <w:instrText>xe "</w:instrText>
      </w:r>
      <w:r>
        <w:rPr>
          <w:rStyle w:val="xeentry"/>
        </w:rPr>
        <w:instrText>e</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htmlcodes"/>
        </w:rPr>
        <w:t>&lt;pre&gt;&lt;a name=e6d2&gt;</w:t>
      </w:r>
      <w:r>
        <w:t>6.2)</w:t>
      </w:r>
      <w:r>
        <w:tab/>
        <w:t>la djan .e la .alis. klama le zarci</w:t>
      </w:r>
    </w:p>
    <w:p w:rsidR="00B72047" w:rsidRDefault="00B72047">
      <w:pPr>
        <w:pStyle w:val="examplescaled"/>
      </w:pPr>
      <w:r>
        <w:tab/>
        <w:t>John and Alice go-to the market.</w:t>
      </w:r>
    </w:p>
    <w:p w:rsidR="00B72047" w:rsidRDefault="00B72047">
      <w:pPr>
        <w:pStyle w:val="resumedafterexample"/>
      </w:pPr>
      <w:r>
        <w:rPr>
          <w:rStyle w:val="htmlcodes"/>
        </w:rPr>
        <w:t>&lt;/pre&gt;</w:t>
      </w:r>
      <w:r>
        <w:rPr>
          <w:rStyle w:val="indexentry"/>
        </w:rPr>
        <w:t>&lt;cx "logical connection, transformation between forms"&gt;</w:t>
      </w:r>
      <w:r>
        <w:rPr>
          <w:rStyle w:val="indexentry"/>
        </w:rPr>
        <w:fldChar w:fldCharType="begin"/>
      </w:r>
      <w:r>
        <w:instrText>xe "</w:instrText>
      </w:r>
      <w:r>
        <w:rPr>
          <w:rStyle w:val="xeentry"/>
        </w:rPr>
        <w:instrText>logical connection: transformation between forms</w:instrText>
      </w:r>
      <w:r>
        <w:instrText>"</w:instrText>
      </w:r>
      <w:r>
        <w:rPr>
          <w:rStyle w:val="indexentry"/>
        </w:rPr>
        <w:fldChar w:fldCharType="end"/>
      </w:r>
      <w:r>
        <w:rPr>
          <w:rStyle w:val="htmlcodes"/>
        </w:rPr>
        <w:t>&lt;a href=#e6d2&gt;</w:t>
      </w:r>
      <w:r>
        <w:t xml:space="preserve">Example 6.2 </w:t>
      </w:r>
      <w:r>
        <w:rPr>
          <w:rStyle w:val="htmlcodes"/>
        </w:rPr>
        <w:t>&lt;/a&gt;</w:t>
      </w:r>
      <w:r>
        <w:t xml:space="preserve">means exactly the same thing as </w:t>
      </w:r>
      <w:r>
        <w:rPr>
          <w:rStyle w:val="htmlcodes"/>
        </w:rPr>
        <w:t>&lt;a href=#e6d1&gt;</w:t>
      </w:r>
      <w:r>
        <w:t>Example 6.1</w:t>
      </w:r>
      <w:r>
        <w:rPr>
          <w:rStyle w:val="htmlcodes"/>
        </w:rPr>
        <w:t>&lt;/a&gt;</w:t>
      </w:r>
      <w:r>
        <w:t>: one may be</w:t>
      </w:r>
      <w:r>
        <w:rPr>
          <w:rStyle w:val="deletedparamark"/>
        </w:rPr>
        <w:t xml:space="preserve"> </w:t>
      </w:r>
      <w:r>
        <w:t>rigorously tran</w:t>
      </w:r>
      <w:r>
        <w:t>s</w:t>
      </w:r>
      <w:r>
        <w:softHyphen/>
        <w:t>formed into the other without any change of logical meaning.</w:t>
      </w:r>
      <w:r>
        <w:rPr>
          <w:rStyle w:val="deletedparamark"/>
        </w:rPr>
        <w:t xml:space="preserve"> </w:t>
      </w:r>
      <w:r>
        <w:t>This rule is true in general for every different kind of logical connection</w:t>
      </w:r>
      <w:r>
        <w:rPr>
          <w:rStyle w:val="deletedparamark"/>
        </w:rPr>
        <w:t xml:space="preserve"> </w:t>
      </w:r>
      <w:r>
        <w:t xml:space="preserve">in Lojban; all of them, with one exception (see </w:t>
      </w:r>
      <w:r>
        <w:rPr>
          <w:rStyle w:val="htmlcodes"/>
        </w:rPr>
        <w:t>&lt;a href=#s12&gt;</w:t>
      </w:r>
      <w:r>
        <w:t>Section 12</w:t>
      </w:r>
      <w:r>
        <w:rPr>
          <w:rStyle w:val="htmlcodes"/>
        </w:rPr>
        <w:t>&lt;/a&gt;</w:t>
      </w:r>
      <w:r>
        <w:t>), can always be</w:t>
      </w:r>
      <w:r>
        <w:rPr>
          <w:rStyle w:val="deletedparamark"/>
        </w:rPr>
        <w:t xml:space="preserve"> </w:t>
      </w:r>
      <w:r>
        <w:t>transformed into a logical connection be</w:t>
      </w:r>
      <w:r>
        <w:softHyphen/>
        <w:t>tween sentences that expresses the</w:t>
      </w:r>
      <w:r>
        <w:rPr>
          <w:rStyle w:val="deletedparamark"/>
        </w:rPr>
        <w:t xml:space="preserve"> </w:t>
      </w:r>
      <w:r>
        <w:t>same truth function.</w:t>
      </w:r>
    </w:p>
    <w:p w:rsidR="00B72047" w:rsidRDefault="00B72047">
      <w:pPr>
        <w:rPr>
          <w:rStyle w:val="htmlparacode"/>
        </w:rPr>
      </w:pPr>
      <w:r>
        <w:rPr>
          <w:rStyle w:val="htmlparacode"/>
        </w:rPr>
        <w:t>&lt;p&gt;</w:t>
      </w:r>
    </w:p>
    <w:p w:rsidR="00B72047" w:rsidRDefault="00B72047">
      <w:pPr>
        <w:pStyle w:val="normalparagraph"/>
      </w:pPr>
      <w:r>
        <w:rPr>
          <w:rStyle w:val="indexentry"/>
        </w:rPr>
        <w:t>&lt;cx "sumti connection, afterthought"&gt;</w:t>
      </w:r>
      <w:r>
        <w:rPr>
          <w:rStyle w:val="indexentry"/>
        </w:rPr>
        <w:fldChar w:fldCharType="begin"/>
      </w:r>
      <w:r>
        <w:instrText>xe "</w:instrText>
      </w:r>
      <w:r>
        <w:rPr>
          <w:rStyle w:val="xeentry"/>
        </w:rPr>
        <w:instrText>sumti connection: afterthought</w:instrText>
      </w:r>
      <w:r>
        <w:instrText>"</w:instrText>
      </w:r>
      <w:r>
        <w:rPr>
          <w:rStyle w:val="indexentry"/>
        </w:rPr>
        <w:fldChar w:fldCharType="end"/>
      </w:r>
      <w:r>
        <w:rPr>
          <w:rStyle w:val="indexentry"/>
        </w:rPr>
        <w:t>&lt;cx "eks, in sumti forethought logical connection"&gt;</w:t>
      </w:r>
      <w:r>
        <w:rPr>
          <w:rStyle w:val="indexentry"/>
        </w:rPr>
        <w:fldChar w:fldCharType="begin"/>
      </w:r>
      <w:r>
        <w:instrText>xe "</w:instrText>
      </w:r>
      <w:r>
        <w:rPr>
          <w:rStyle w:val="xeentry"/>
        </w:rPr>
        <w:instrText>eks: in sumti forethought logical connection</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t>The afterthought logical connectives between sumti are eks, which contain</w:t>
      </w:r>
      <w:r>
        <w:rPr>
          <w:rStyle w:val="deletedparamark"/>
        </w:rPr>
        <w:t xml:space="preserve"> </w:t>
      </w:r>
      <w:r>
        <w:t>a conne</w:t>
      </w:r>
      <w:r>
        <w:t>c</w:t>
      </w:r>
      <w:r>
        <w:softHyphen/>
        <w:t xml:space="preserve">tive cmavo of selma'o A. If ijeks were used in </w:t>
      </w:r>
      <w:r>
        <w:rPr>
          <w:rStyle w:val="htmlcodes"/>
        </w:rPr>
        <w:t>&lt;a href=#e6d2&gt;</w:t>
      </w:r>
      <w:r>
        <w:t>Example 6.2</w:t>
      </w:r>
      <w:r>
        <w:rPr>
          <w:rStyle w:val="htmlcodes"/>
        </w:rPr>
        <w:t>&lt;/a&gt;</w:t>
      </w:r>
      <w:r>
        <w:t>, the</w:t>
      </w:r>
      <w:r>
        <w:rPr>
          <w:rStyle w:val="deletedparamark"/>
        </w:rPr>
        <w:t xml:space="preserve"> </w:t>
      </w:r>
      <w:r>
        <w:t>meaning would be changed: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la djan.  .ije la .alis. klama le zarci</w:t>
      </w:r>
    </w:p>
    <w:p w:rsidR="00B72047" w:rsidRDefault="00B72047">
      <w:pPr>
        <w:pStyle w:val="examplescaled"/>
      </w:pPr>
      <w:r>
        <w:tab/>
        <w:t>John [is/does something].  And Alices goes-to the market.</w:t>
      </w:r>
    </w:p>
    <w:p w:rsidR="00B72047" w:rsidRDefault="00B72047">
      <w:pPr>
        <w:pStyle w:val="resumedafterexample"/>
      </w:pPr>
      <w:r>
        <w:rPr>
          <w:rStyle w:val="htmlcodes"/>
        </w:rPr>
        <w:t>&lt;/pre&gt;</w:t>
      </w:r>
      <w:r>
        <w:t>leaving the reader uncertain why John is mentioned at all.</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Any ek may be used between sumti, even if there is no direct English</w:t>
      </w:r>
      <w:r>
        <w:rPr>
          <w:rStyle w:val="deletedparamark"/>
        </w:rPr>
        <w:t xml:space="preserve"> </w:t>
      </w:r>
      <w:r>
        <w:t>equiva</w:t>
      </w:r>
      <w:r>
        <w:softHyphen/>
        <w:t>lent: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la djan. .o la .alis. klama le zarci</w:t>
      </w:r>
    </w:p>
    <w:p w:rsidR="00B72047" w:rsidRDefault="00B72047">
      <w:pPr>
        <w:pStyle w:val="examplescaled"/>
      </w:pPr>
      <w:r>
        <w:tab/>
        <w:t>John if-and-only-if Alice goes-to the market.</w:t>
      </w:r>
    </w:p>
    <w:p w:rsidR="00B72047" w:rsidRDefault="00B72047">
      <w:pPr>
        <w:pStyle w:val="examplescaled"/>
      </w:pPr>
      <w:r>
        <w:tab/>
        <w:t>John goes to the market if, and only if, Alice does.</w:t>
      </w:r>
    </w:p>
    <w:p w:rsidR="00B72047" w:rsidRDefault="00B72047">
      <w:pPr>
        <w:pStyle w:val="resumedafterexample"/>
      </w:pPr>
      <w:r>
        <w:rPr>
          <w:rStyle w:val="htmlcodes"/>
        </w:rPr>
        <w:t>&lt;/pre&gt;&lt;p&gt;</w:t>
      </w:r>
      <w:r>
        <w:t xml:space="preserve">The second line of </w:t>
      </w:r>
      <w:r>
        <w:rPr>
          <w:rStyle w:val="htmlcodes"/>
        </w:rPr>
        <w:t>&lt;a href=#e6d3&gt;</w:t>
      </w:r>
      <w:r>
        <w:t xml:space="preserve">Example 6.3 </w:t>
      </w:r>
      <w:r>
        <w:rPr>
          <w:rStyle w:val="htmlcodes"/>
        </w:rPr>
        <w:t>&lt;/a&gt;</w:t>
      </w:r>
      <w:r>
        <w:t>is highly stilted English, but the first</w:t>
      </w:r>
      <w:r>
        <w:rPr>
          <w:rStyle w:val="deletedparamark"/>
        </w:rPr>
        <w:t xml:space="preserve"> </w:t>
      </w:r>
      <w:r>
        <w:t>line (of which it is a literal translation) is excellent Lojban.</w:t>
      </w:r>
    </w:p>
    <w:p w:rsidR="00B72047" w:rsidRDefault="00B72047">
      <w:pPr>
        <w:rPr>
          <w:rStyle w:val="htmlparacode"/>
        </w:rPr>
      </w:pPr>
      <w:r>
        <w:rPr>
          <w:rStyle w:val="htmlparacode"/>
        </w:rPr>
        <w:t>&lt;p&gt;</w:t>
      </w:r>
    </w:p>
    <w:p w:rsidR="00B72047" w:rsidRDefault="00B72047">
      <w:pPr>
        <w:pStyle w:val="normalparagraph"/>
      </w:pPr>
      <w:r>
        <w:rPr>
          <w:rStyle w:val="indexentry"/>
        </w:rPr>
        <w:t>&lt;cx "sumti connection, forethought"&gt;</w:t>
      </w:r>
      <w:r>
        <w:rPr>
          <w:rStyle w:val="indexentry"/>
        </w:rPr>
        <w:fldChar w:fldCharType="begin"/>
      </w:r>
      <w:r>
        <w:instrText>xe "</w:instrText>
      </w:r>
      <w:r>
        <w:rPr>
          <w:rStyle w:val="xeentry"/>
        </w:rPr>
        <w:instrText>sumti connection: forethought</w:instrText>
      </w:r>
      <w:r>
        <w:instrText>"</w:instrText>
      </w:r>
      <w:r>
        <w:rPr>
          <w:rStyle w:val="indexentry"/>
        </w:rPr>
        <w:fldChar w:fldCharType="end"/>
      </w:r>
      <w:r>
        <w:rPr>
          <w:rStyle w:val="indexentry"/>
        </w:rPr>
        <w:t>&lt;cx "geks, in forethought sumti connection"&gt;</w:t>
      </w:r>
      <w:r>
        <w:rPr>
          <w:rStyle w:val="indexentry"/>
        </w:rPr>
        <w:fldChar w:fldCharType="begin"/>
      </w:r>
      <w:r>
        <w:instrText>xe "</w:instrText>
      </w:r>
      <w:r>
        <w:rPr>
          <w:rStyle w:val="xeentry"/>
        </w:rPr>
        <w:instrText>geks: in forethought sumti connection</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t>What about forethought sumti connection? As is the case for bridi</w:t>
      </w:r>
      <w:r>
        <w:rPr>
          <w:rStyle w:val="deletedparamark"/>
        </w:rPr>
        <w:t xml:space="preserve"> </w:t>
      </w:r>
      <w:r>
        <w:t>connection, geks are appropriate. They are not the only selma'o of</w:t>
      </w:r>
      <w:r>
        <w:rPr>
          <w:rStyle w:val="deletedparamark"/>
        </w:rPr>
        <w:t xml:space="preserve"> </w:t>
      </w:r>
      <w:r>
        <w:t>forethought logical-connectives, but are the most commonly used ones.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ga la djan. gi la .alis. klama le zarci</w:t>
      </w:r>
    </w:p>
    <w:p w:rsidR="00B72047" w:rsidRDefault="00B72047">
      <w:pPr>
        <w:pStyle w:val="examplescaled"/>
      </w:pPr>
      <w:r>
        <w:tab/>
        <w:t>Either John or Alice (or both) goes-to the market.</w:t>
      </w:r>
    </w:p>
    <w:p w:rsidR="00B72047" w:rsidRDefault="00B72047">
      <w:pPr>
        <w:pStyle w:val="normalafterexample"/>
      </w:pPr>
      <w:r>
        <w:rPr>
          <w:rStyle w:val="htmlcodes"/>
        </w:rPr>
        <w:t>&lt;/pre&gt;</w:t>
      </w:r>
      <w:r>
        <w:rPr>
          <w:rStyle w:val="indexentry"/>
        </w:rPr>
        <w:t>&lt;cx "na writing convention, in eks"&gt;</w:t>
      </w:r>
      <w:r>
        <w:rPr>
          <w:rStyle w:val="indexentry"/>
        </w:rPr>
        <w:fldChar w:fldCharType="begin"/>
      </w:r>
      <w:r>
        <w:instrText>xe "</w:instrText>
      </w:r>
      <w:r>
        <w:rPr>
          <w:rStyle w:val="xeentry"/>
        </w:rPr>
        <w:instrText>na writing convention: in eks</w:instrText>
      </w:r>
      <w:r>
        <w:instrText>"</w:instrText>
      </w:r>
      <w:r>
        <w:rPr>
          <w:rStyle w:val="indexentry"/>
        </w:rPr>
        <w:fldChar w:fldCharType="end"/>
      </w:r>
      <w:r>
        <w:rPr>
          <w:rStyle w:val="indexentry"/>
        </w:rPr>
        <w:t>&lt;cx "se writing convention, in eks"&gt;</w:t>
      </w:r>
      <w:r>
        <w:rPr>
          <w:rStyle w:val="indexentry"/>
        </w:rPr>
        <w:fldChar w:fldCharType="begin"/>
      </w:r>
      <w:r>
        <w:instrText>xe "</w:instrText>
      </w:r>
      <w:r>
        <w:rPr>
          <w:rStyle w:val="xeentry"/>
        </w:rPr>
        <w:instrText>se writing convention: in eks</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t>Of course, eks include all the same patterns of compound cmavo that ijeks</w:t>
      </w:r>
      <w:r>
        <w:rPr>
          <w:rStyle w:val="deletedparamark"/>
        </w:rPr>
        <w:t xml:space="preserve"> </w:t>
      </w:r>
      <w:r>
        <w:t>do. When “na” or “se” is part of an ek, a special writing convention is</w:t>
      </w:r>
      <w:r>
        <w:rPr>
          <w:rStyle w:val="deletedparamark"/>
        </w:rPr>
        <w:t xml:space="preserve"> </w:t>
      </w:r>
      <w:r>
        <w:t>invoked, as in the following example:</w:t>
      </w:r>
    </w:p>
    <w:p w:rsidR="00B72047" w:rsidRDefault="00B72047">
      <w:pPr>
        <w:rPr>
          <w:rStyle w:val="htmlparacode"/>
        </w:rPr>
      </w:pPr>
      <w:r>
        <w:rPr>
          <w:rStyle w:val="htmlparacode"/>
        </w:rPr>
        <w:t>&lt;p&gt;</w:t>
      </w:r>
    </w:p>
    <w:p w:rsidR="00B72047" w:rsidRDefault="00B72047">
      <w:pPr>
        <w:pStyle w:val="examplescaledpre"/>
      </w:pPr>
      <w:r>
        <w:rPr>
          <w:rStyle w:val="indexentry"/>
        </w:rPr>
        <w:t>&lt;lx "na.a"&gt;</w:t>
      </w:r>
      <w:r>
        <w:rPr>
          <w:rStyle w:val="indexentry"/>
        </w:rPr>
        <w:fldChar w:fldCharType="begin"/>
      </w:r>
      <w:r>
        <w:instrText>xe "</w:instrText>
      </w:r>
      <w:r>
        <w:rPr>
          <w:rStyle w:val="xeentry"/>
        </w:rPr>
        <w:instrText>na.a</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htmlcodes"/>
        </w:rPr>
        <w:t>&lt;pre&gt;&lt;a name=e6d6&gt;</w:t>
      </w:r>
      <w:r>
        <w:t>6.6)</w:t>
      </w:r>
      <w:r>
        <w:tab/>
        <w:t>la djan. na.a la .alis. klama le zarci</w:t>
      </w:r>
    </w:p>
    <w:p w:rsidR="00B72047" w:rsidRDefault="00B72047">
      <w:pPr>
        <w:pStyle w:val="examplescaled"/>
      </w:pPr>
      <w:r>
        <w:tab/>
        <w:t>John only if Alice goes-to the market.</w:t>
      </w:r>
    </w:p>
    <w:p w:rsidR="00B72047" w:rsidRDefault="00B72047">
      <w:pPr>
        <w:pStyle w:val="examplescaled"/>
      </w:pPr>
      <w:r>
        <w:tab/>
        <w:t>John goes to the market only if Alice does.</w:t>
      </w:r>
    </w:p>
    <w:p w:rsidR="00B72047" w:rsidRDefault="00B72047">
      <w:pPr>
        <w:pStyle w:val="resumedafterexample"/>
      </w:pPr>
      <w:r>
        <w:rPr>
          <w:rStyle w:val="htmlcodes"/>
        </w:rPr>
        <w:t>&lt;/pre&gt;&lt;p&gt;</w:t>
      </w:r>
      <w:r>
        <w:t>Note the period in “na.a”. The cmavo of A begin with vowels, and therefore</w:t>
      </w:r>
      <w:r>
        <w:rPr>
          <w:rStyle w:val="deletedparamark"/>
        </w:rPr>
        <w:t xml:space="preserve"> </w:t>
      </w:r>
      <w:r>
        <w:t>must al</w:t>
      </w:r>
      <w:r>
        <w:softHyphen/>
        <w:t>ways be preceded by a pause. It is conventional to write all</w:t>
      </w:r>
      <w:r>
        <w:rPr>
          <w:rStyle w:val="deletedparamark"/>
        </w:rPr>
        <w:t xml:space="preserve"> </w:t>
      </w:r>
      <w:r>
        <w:t>connective compounds as single words (with no spaces), but this pause must</w:t>
      </w:r>
      <w:r>
        <w:rPr>
          <w:rStyle w:val="deletedparamark"/>
        </w:rPr>
        <w:t xml:space="preserve"> </w:t>
      </w:r>
      <w:r>
        <w:t>still be marked in writing as in speech; ot</w:t>
      </w:r>
      <w:r>
        <w:t>h</w:t>
      </w:r>
      <w:r>
        <w:softHyphen/>
        <w:t>erwise, the “na” and “a” would</w:t>
      </w:r>
      <w:r>
        <w:rPr>
          <w:rStyle w:val="deletedparamark"/>
        </w:rPr>
        <w:t xml:space="preserve"> </w:t>
      </w:r>
      <w:r>
        <w:t>tend to run together.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421" w:name="_Toc398970662"/>
      <w:r>
        <w:rPr>
          <w:rStyle w:val="Heading3Text"/>
        </w:rPr>
        <w:t>More than two propositions</w:t>
      </w:r>
      <w:bookmarkEnd w:id="42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more than 2 sentences"&gt;</w:t>
      </w:r>
      <w:r>
        <w:rPr>
          <w:rStyle w:val="indexentry"/>
        </w:rPr>
        <w:fldChar w:fldCharType="begin"/>
      </w:r>
      <w:r>
        <w:instrText>xe "</w:instrText>
      </w:r>
      <w:r>
        <w:rPr>
          <w:rStyle w:val="xeentry"/>
        </w:rPr>
        <w:instrText>logical connectives: more than 2 sentences</w:instrText>
      </w:r>
      <w:r>
        <w:instrText>"</w:instrText>
      </w:r>
      <w:r>
        <w:rPr>
          <w:rStyle w:val="indexentry"/>
        </w:rPr>
        <w:fldChar w:fldCharType="end"/>
      </w:r>
      <w:r>
        <w:t>So far we have seen logical connectives used to connect exactly two</w:t>
      </w:r>
      <w:r>
        <w:rPr>
          <w:rStyle w:val="deletedparamark"/>
        </w:rPr>
        <w:t xml:space="preserve"> </w:t>
      </w:r>
      <w:r>
        <w:t>sentences. How about connecting three or more? Is this possible</w:t>
      </w:r>
      <w:r>
        <w:rPr>
          <w:rStyle w:val="deletedparamark"/>
        </w:rPr>
        <w:t xml:space="preserve"> </w:t>
      </w:r>
      <w:r>
        <w:t>in Lojban? The answer is yes, subject to some warnings and some</w:t>
      </w:r>
      <w:r>
        <w:rPr>
          <w:rStyle w:val="deletedparamark"/>
        </w:rPr>
        <w:t xml:space="preserve"> </w:t>
      </w:r>
      <w:r>
        <w:t>restrictions.</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associative"&gt;</w:t>
      </w:r>
      <w:r>
        <w:rPr>
          <w:rStyle w:val="indexentry"/>
        </w:rPr>
        <w:fldChar w:fldCharType="begin"/>
      </w:r>
      <w:r>
        <w:instrText>xe "</w:instrText>
      </w:r>
      <w:r>
        <w:rPr>
          <w:rStyle w:val="xeentry"/>
        </w:rPr>
        <w:instrText>logical connectives: associative</w:instrText>
      </w:r>
      <w:r>
        <w:instrText>"</w:instrText>
      </w:r>
      <w:r>
        <w:rPr>
          <w:rStyle w:val="indexentry"/>
        </w:rPr>
        <w:fldChar w:fldCharType="end"/>
      </w:r>
      <w:r>
        <w:t xml:space="preserve">Of the four primitive truth functions </w:t>
      </w:r>
      <w:r>
        <w:rPr>
          <w:rStyle w:val="htmlcodes"/>
          <w:rFonts w:ascii="Brush Script MT" w:hAnsi="Brush Script MT" w:cs="Brush Script MT"/>
        </w:rPr>
        <w:t>&lt;font face="Brush Script MT, Script"&gt;</w:t>
      </w:r>
      <w:r>
        <w:rPr>
          <w:rStyle w:val="brushstroke"/>
        </w:rPr>
        <w:t>A</w:t>
      </w:r>
      <w:r>
        <w:rPr>
          <w:rStyle w:val="htmlcodes"/>
        </w:rPr>
        <w:t>&lt;/font&gt;</w:t>
      </w:r>
      <w:r>
        <w:t xml:space="preserve">, </w:t>
      </w:r>
      <w:r>
        <w:rPr>
          <w:rStyle w:val="htmlcodes"/>
        </w:rPr>
        <w:t>&lt;font face="Brush Script MT, Script"&gt;</w:t>
      </w:r>
      <w:r>
        <w:rPr>
          <w:rStyle w:val="brushstroke"/>
        </w:rPr>
        <w:t>E</w:t>
      </w:r>
      <w:r>
        <w:rPr>
          <w:rStyle w:val="htmlcodes"/>
        </w:rPr>
        <w:t>&lt;/font&gt;</w:t>
      </w:r>
      <w:r>
        <w:t>,</w:t>
      </w:r>
      <w:r>
        <w:rPr>
          <w:rStyle w:val="deletedparamark"/>
        </w:rPr>
        <w:t xml:space="preserve"> </w:t>
      </w:r>
      <w:r>
        <w:rPr>
          <w:rStyle w:val="htmlcodes"/>
        </w:rPr>
        <w:t>&lt;font face="Brush Script MT, Script"&gt;</w:t>
      </w:r>
      <w:r>
        <w:rPr>
          <w:rStyle w:val="brushstroke"/>
        </w:rPr>
        <w:t>O</w:t>
      </w:r>
      <w:r>
        <w:rPr>
          <w:rStyle w:val="htmlcodes"/>
        </w:rPr>
        <w:t>&lt;/font&gt;</w:t>
      </w:r>
      <w:r>
        <w:t xml:space="preserve">, and </w:t>
      </w:r>
      <w:r>
        <w:rPr>
          <w:rStyle w:val="htmlcodes"/>
        </w:rPr>
        <w:t>&lt;font face="Brush Script MT, Script"&gt;</w:t>
      </w:r>
      <w:r>
        <w:rPr>
          <w:rStyle w:val="brushstroke"/>
        </w:rPr>
        <w:t>U</w:t>
      </w:r>
      <w:r>
        <w:rPr>
          <w:rStyle w:val="htmlcodes"/>
        </w:rPr>
        <w:t>&lt;/font&gt;</w:t>
      </w:r>
      <w:r>
        <w:t xml:space="preserve">, all but </w:t>
      </w:r>
      <w:r>
        <w:rPr>
          <w:rStyle w:val="htmlcodes"/>
        </w:rPr>
        <w:t>&lt;font face="Brush Script MT, Script"&gt;</w:t>
      </w:r>
      <w:r>
        <w:rPr>
          <w:rStyle w:val="brushstroke"/>
        </w:rPr>
        <w:t>O</w:t>
      </w:r>
      <w:r>
        <w:t xml:space="preserve"> </w:t>
      </w:r>
      <w:r>
        <w:rPr>
          <w:rStyle w:val="htmlcodes"/>
        </w:rPr>
        <w:t>&lt;/font&gt;</w:t>
      </w:r>
      <w:r>
        <w:t>have the same truth va</w:t>
      </w:r>
      <w:r>
        <w:t>l</w:t>
      </w:r>
      <w:r>
        <w:softHyphen/>
        <w:t>ues no matter how their component sentences are</w:t>
      </w:r>
      <w:r>
        <w:rPr>
          <w:rStyle w:val="deletedparamark"/>
        </w:rPr>
        <w:t xml:space="preserve"> </w:t>
      </w:r>
      <w:r>
        <w:t>associated in pairs. There</w:t>
      </w:r>
      <w:r>
        <w:softHyphen/>
        <w:t>fore,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name=e7d1&gt;</w:t>
      </w:r>
      <w:r>
        <w:t>7.1)</w:t>
      </w:r>
      <w:r>
        <w:tab/>
        <w:t>mi dotco  .ije mi ricfu  .ije mi nanmu</w:t>
      </w:r>
    </w:p>
    <w:p w:rsidR="00B72047" w:rsidRDefault="00B72047">
      <w:pPr>
        <w:pStyle w:val="examplescaled"/>
      </w:pPr>
      <w:r>
        <w:tab/>
        <w:t>I am-German.  And I am-rich.  And I am-a-man.</w:t>
      </w:r>
    </w:p>
    <w:p w:rsidR="00B72047" w:rsidRDefault="00B72047">
      <w:pPr>
        <w:pStyle w:val="resumedafterexample"/>
      </w:pPr>
      <w:r>
        <w:rPr>
          <w:rStyle w:val="htmlcodes"/>
        </w:rPr>
        <w:t>&lt;/pre&gt;</w:t>
      </w:r>
      <w:r>
        <w:t>means that all three component sentences are true. Likewise,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mi dotco .ija mi ricfu .ija mi nanmu</w:t>
      </w:r>
    </w:p>
    <w:p w:rsidR="00B72047" w:rsidRDefault="00B72047">
      <w:pPr>
        <w:pStyle w:val="examplescaled"/>
      </w:pPr>
      <w:r>
        <w:tab/>
        <w:t>I am-German. Or I am-rich. Or I am-a-man.</w:t>
      </w:r>
    </w:p>
    <w:p w:rsidR="00B72047" w:rsidRDefault="00B72047">
      <w:pPr>
        <w:pStyle w:val="resumedafterexample"/>
      </w:pPr>
      <w:r>
        <w:rPr>
          <w:rStyle w:val="htmlcodes"/>
        </w:rPr>
        <w:t>&lt;/pre&gt;</w:t>
      </w:r>
      <w:r>
        <w:t>means that one or more of the component sentences is true.</w:t>
      </w:r>
    </w:p>
    <w:p w:rsidR="00B72047" w:rsidRDefault="00B72047">
      <w:pPr>
        <w:rPr>
          <w:rStyle w:val="htmlcodes"/>
        </w:rPr>
      </w:pPr>
      <w:r>
        <w:rPr>
          <w:rStyle w:val="htmlcodes"/>
        </w:rPr>
        <w:t>&lt;p&gt;</w:t>
      </w:r>
    </w:p>
    <w:p w:rsidR="00B72047" w:rsidRDefault="00B72047">
      <w:pPr>
        <w:pStyle w:val="normalparagraph"/>
      </w:pPr>
      <w:r>
        <w:rPr>
          <w:rStyle w:val="htmlcodes"/>
        </w:rPr>
        <w:t>&lt;cx "logical connectives, non-associative"&gt;&lt;cx "logical connectives, equivalence relation on 3 sentences"&gt;&lt;font face="Brush Script MT, Script"&gt;</w:t>
      </w:r>
      <w:r>
        <w:rPr>
          <w:rStyle w:val="brushstroke"/>
        </w:rPr>
        <w:t>O</w:t>
      </w:r>
      <w:r>
        <w:rPr>
          <w:rStyle w:val="htmlcodes"/>
        </w:rPr>
        <w:t>&lt;/font&gt;</w:t>
      </w:r>
      <w:r>
        <w:t>, however, is different. Working out the truth table for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mi dotco  .ijo mi ricfu  .ijo mi nanmu</w:t>
      </w:r>
    </w:p>
    <w:p w:rsidR="00B72047" w:rsidRDefault="00B72047">
      <w:pPr>
        <w:pStyle w:val="examplescaled"/>
      </w:pPr>
      <w:r>
        <w:tab/>
        <w:t>I am-German. If-and-only-if I am-rich.  If-and-only-if I am-a-man.</w:t>
      </w:r>
    </w:p>
    <w:p w:rsidR="00B72047" w:rsidRDefault="00B72047">
      <w:pPr>
        <w:pStyle w:val="resumedafterexample"/>
      </w:pPr>
      <w:r>
        <w:rPr>
          <w:rStyle w:val="htmlcodes"/>
        </w:rPr>
        <w:t>&lt;/pre&gt;</w:t>
      </w:r>
      <w:r>
        <w:t xml:space="preserve">shows that </w:t>
      </w:r>
      <w:r>
        <w:rPr>
          <w:rStyle w:val="htmlcodes"/>
        </w:rPr>
        <w:t>&lt;a href=#e7d3&gt;</w:t>
      </w:r>
      <w:r>
        <w:t xml:space="preserve">Example 7.3 </w:t>
      </w:r>
      <w:r>
        <w:rPr>
          <w:rStyle w:val="htmlcodes"/>
        </w:rPr>
        <w:t>&lt;/a&gt;</w:t>
      </w:r>
      <w:r>
        <w:t>does not mean that either I am all three of these</w:t>
      </w:r>
      <w:r>
        <w:rPr>
          <w:rStyle w:val="deletedparamark"/>
        </w:rPr>
        <w:t xml:space="preserve"> </w:t>
      </w:r>
      <w:r>
        <w:t>things or none of them; instead, an accurate translation would be:</w:t>
      </w:r>
    </w:p>
    <w:p w:rsidR="00B72047" w:rsidRDefault="00B72047">
      <w:pPr>
        <w:pStyle w:val="examplescaled"/>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Of the three properties — German-ness, wealth, and manhood — I possess either</w:t>
      </w:r>
    </w:p>
    <w:p w:rsidR="00B72047" w:rsidRDefault="00B72047" w:rsidP="007E67C1">
      <w:pPr>
        <w:pStyle w:val="placestructcont"/>
        <w:numPr>
          <w:ilvl w:val="0"/>
          <w:numId w:val="0"/>
        </w:numPr>
        <w:ind w:left="504" w:hanging="504"/>
      </w:pPr>
      <w:r>
        <w:t xml:space="preserve"> ex</w:t>
      </w:r>
      <w:r>
        <w:softHyphen/>
        <w:t>ctly one or else all three.</w:t>
      </w:r>
    </w:p>
    <w:p w:rsidR="00B72047" w:rsidRDefault="00B72047">
      <w:pPr>
        <w:pStyle w:val="resumedafterexample"/>
      </w:pPr>
      <w:r>
        <w:rPr>
          <w:rStyle w:val="htmlcodes"/>
        </w:rPr>
        <w:t>&lt;/dl&gt;</w:t>
      </w:r>
      <w:r>
        <w:rPr>
          <w:rStyle w:val="indexentry"/>
        </w:rPr>
        <w:t>&lt;cx "logical connection of more than 2 sentences, things to avoid"&gt;</w:t>
      </w:r>
      <w:r>
        <w:rPr>
          <w:rStyle w:val="indexentry"/>
        </w:rPr>
        <w:fldChar w:fldCharType="begin"/>
      </w:r>
      <w:r>
        <w:instrText>xe "</w:instrText>
      </w:r>
      <w:r>
        <w:rPr>
          <w:rStyle w:val="xeentry"/>
        </w:rPr>
        <w:instrText>logical connection: of more than 2 sentences, things to avoid</w:instrText>
      </w:r>
      <w:r>
        <w:instrText>"</w:instrText>
      </w:r>
      <w:r>
        <w:rPr>
          <w:rStyle w:val="indexentry"/>
        </w:rPr>
        <w:fldChar w:fldCharType="end"/>
      </w:r>
      <w:r>
        <w:rPr>
          <w:rStyle w:val="indexentry"/>
        </w:rPr>
        <w:t>&lt;cx "logical connection, negation in connecting more than 2 sentences"&gt;</w:t>
      </w:r>
      <w:r>
        <w:rPr>
          <w:rStyle w:val="indexentry"/>
        </w:rPr>
        <w:fldChar w:fldCharType="begin"/>
      </w:r>
      <w:r>
        <w:instrText>xe "</w:instrText>
      </w:r>
      <w:r>
        <w:rPr>
          <w:rStyle w:val="xeentry"/>
        </w:rPr>
        <w:instrText>logical connection: negation in connecting more than 2 sentences</w:instrText>
      </w:r>
      <w:r>
        <w:instrText>"</w:instrText>
      </w:r>
      <w:r>
        <w:rPr>
          <w:rStyle w:val="indexentry"/>
        </w:rPr>
        <w:fldChar w:fldCharType="end"/>
      </w:r>
      <w:r>
        <w:t>Because of the counterintuitiveness of this outcome, it is safest to avoid</w:t>
      </w:r>
      <w:r>
        <w:rPr>
          <w:rStyle w:val="deletedparamark"/>
        </w:rPr>
        <w:t xml:space="preserve"> </w:t>
      </w:r>
      <w:r>
        <w:rPr>
          <w:rStyle w:val="htmlcodes"/>
          <w:rFonts w:ascii="Brush Script MT" w:hAnsi="Brush Script MT" w:cs="Brush Script MT"/>
        </w:rPr>
        <w:t>&lt;font face="Brush Script MT, Script"&gt;</w:t>
      </w:r>
      <w:r>
        <w:rPr>
          <w:rStyle w:val="brushstroke"/>
        </w:rPr>
        <w:t>O</w:t>
      </w:r>
      <w:r>
        <w:t xml:space="preserve"> </w:t>
      </w:r>
      <w:r>
        <w:rPr>
          <w:rStyle w:val="htmlcodes"/>
        </w:rPr>
        <w:t>&lt;/font&gt;</w:t>
      </w:r>
      <w:r>
        <w:t>with more than two sentences. Likewise, the connectives which</w:t>
      </w:r>
      <w:r>
        <w:rPr>
          <w:rStyle w:val="deletedparamark"/>
        </w:rPr>
        <w:t xml:space="preserve"> </w:t>
      </w:r>
      <w:r>
        <w:t>involve negation also have unex</w:t>
      </w:r>
      <w:r>
        <w:softHyphen/>
        <w:t>pected truth values when used with more</w:t>
      </w:r>
      <w:r>
        <w:rPr>
          <w:rStyle w:val="deletedparamark"/>
        </w:rPr>
        <w:t xml:space="preserve"> </w:t>
      </w:r>
      <w:r>
        <w:t>than two sentences.</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of more than 2 sentences, all or none"&gt;</w:t>
      </w:r>
      <w:r>
        <w:rPr>
          <w:rStyle w:val="indexentry"/>
        </w:rPr>
        <w:fldChar w:fldCharType="begin"/>
      </w:r>
      <w:r>
        <w:instrText>xe "</w:instrText>
      </w:r>
      <w:r>
        <w:rPr>
          <w:rStyle w:val="xeentry"/>
        </w:rPr>
        <w:instrText>logical connection: of more than 2 sentences, all or none</w:instrText>
      </w:r>
      <w:r>
        <w:instrText>"</w:instrText>
      </w:r>
      <w:r>
        <w:rPr>
          <w:rStyle w:val="indexentry"/>
        </w:rPr>
        <w:fldChar w:fldCharType="end"/>
      </w:r>
      <w:r>
        <w:t>In fact, no combination of logical connectives can produce the “all or none”</w:t>
      </w:r>
      <w:r>
        <w:rPr>
          <w:rStyle w:val="deletedparamark"/>
        </w:rPr>
        <w:t xml:space="preserve"> </w:t>
      </w:r>
      <w:r>
        <w:t>inte</w:t>
      </w:r>
      <w:r>
        <w:t>r</w:t>
      </w:r>
      <w:r>
        <w:softHyphen/>
        <w:t xml:space="preserve">pretation intended (but not achieved) by </w:t>
      </w:r>
      <w:r>
        <w:rPr>
          <w:rStyle w:val="htmlcodes"/>
        </w:rPr>
        <w:t>&lt;a href=#e7d3&gt;</w:t>
      </w:r>
      <w:r>
        <w:t xml:space="preserve">Example 7.3 </w:t>
      </w:r>
      <w:r>
        <w:rPr>
          <w:rStyle w:val="htmlcodes"/>
        </w:rPr>
        <w:t>&lt;/a&gt;</w:t>
      </w:r>
      <w:r>
        <w:t>without repeating</w:t>
      </w:r>
      <w:r>
        <w:rPr>
          <w:rStyle w:val="deletedparamark"/>
        </w:rPr>
        <w:t xml:space="preserve"> </w:t>
      </w:r>
      <w:r>
        <w:t xml:space="preserve">one of the bridi. See </w:t>
      </w:r>
      <w:r>
        <w:rPr>
          <w:rStyle w:val="htmlcodes"/>
        </w:rPr>
        <w:t>&lt;a href=#e8d11&gt;</w:t>
      </w:r>
      <w:r>
        <w:t>Example 8.11</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t>There is an additional difficulty with the use of more than two sentences.</w:t>
      </w:r>
      <w:r>
        <w:rPr>
          <w:rStyle w:val="deletedparamark"/>
        </w:rPr>
        <w:t xml:space="preserve"> </w:t>
      </w:r>
      <w:r>
        <w:t>What is the meaning of:</w:t>
      </w:r>
    </w:p>
    <w:p w:rsidR="00B72047" w:rsidRDefault="00B72047">
      <w:pPr>
        <w:rPr>
          <w:rStyle w:val="htmlparacode"/>
        </w:rPr>
      </w:pPr>
      <w:r>
        <w:rPr>
          <w:rStyle w:val="htmlparacode"/>
        </w:rPr>
        <w:t>&lt;p&gt;</w:t>
      </w:r>
    </w:p>
    <w:p w:rsidR="00B72047" w:rsidRDefault="00B72047">
      <w:pPr>
        <w:pStyle w:val="examplescaledpre"/>
      </w:pPr>
      <w:r>
        <w:rPr>
          <w:rStyle w:val="indexentry"/>
        </w:rPr>
        <w:t>&lt;cx "logical connection of more than 2 sentences, mixed “and” and “or”"&gt;</w:t>
      </w:r>
      <w:r>
        <w:rPr>
          <w:rStyle w:val="indexentry"/>
        </w:rPr>
        <w:fldChar w:fldCharType="begin"/>
      </w:r>
      <w:r>
        <w:instrText>xe "</w:instrText>
      </w:r>
      <w:r>
        <w:rPr>
          <w:rStyle w:val="xeentry"/>
        </w:rPr>
        <w:instrText>logical connection: of more than 2 sentences, mixed and and or</w:instrText>
      </w:r>
      <w:r>
        <w:instrText>"</w:instrText>
      </w:r>
      <w:r>
        <w:rPr>
          <w:rStyle w:val="indexentry"/>
        </w:rPr>
        <w:fldChar w:fldCharType="end"/>
      </w:r>
      <w:r>
        <w:rPr>
          <w:rStyle w:val="htmlcodes"/>
        </w:rPr>
        <w:t>&lt;pre&gt;&lt;a name=e7d4&gt;</w:t>
      </w:r>
      <w:r>
        <w:t>7.4)</w:t>
      </w:r>
      <w:r>
        <w:tab/>
        <w:t>mi nelci la djan.  .ije mi nelci la martas.  .ija mi nelci la meris.</w:t>
      </w:r>
    </w:p>
    <w:p w:rsidR="00B72047" w:rsidRDefault="00B72047">
      <w:pPr>
        <w:pStyle w:val="examplescaled"/>
      </w:pPr>
      <w:r>
        <w:tab/>
        <w:t>I like John.  And I like Martha.  Or I like Mary.</w:t>
      </w:r>
    </w:p>
    <w:p w:rsidR="00B72047" w:rsidRDefault="00B72047">
      <w:pPr>
        <w:pStyle w:val="resumedafterexample"/>
      </w:pPr>
      <w:r>
        <w:rPr>
          <w:rStyle w:val="htmlcodes"/>
        </w:rPr>
        <w:t>&lt;/pre&gt;&lt;p&gt;</w:t>
      </w:r>
      <w:r>
        <w:t>Does this mean: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I like John, and I like either Martha or Mary or both.</w:t>
      </w:r>
    </w:p>
    <w:p w:rsidR="00B72047" w:rsidRDefault="00B72047">
      <w:pPr>
        <w:pStyle w:val="resumedafterexample"/>
      </w:pPr>
      <w:r>
        <w:rPr>
          <w:rStyle w:val="htmlcodes"/>
        </w:rPr>
        <w:t>&lt;/pre&gt;&lt;p&gt;</w:t>
      </w:r>
      <w:r>
        <w:t>Or is the correct translation: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Either I like John and I like Martha, or I like Mary, or both.</w:t>
      </w:r>
    </w:p>
    <w:p w:rsidR="00B72047" w:rsidRDefault="00B72047">
      <w:pPr>
        <w:pStyle w:val="resumedafterexample"/>
      </w:pPr>
      <w:r>
        <w:rPr>
          <w:rStyle w:val="htmlcodes"/>
        </w:rPr>
        <w:t>&lt;/pre&gt;</w:t>
      </w:r>
      <w:r>
        <w:rPr>
          <w:rStyle w:val="indexentry"/>
        </w:rPr>
        <w:t>&lt;cx "logical connectives, pairing from left"&gt;</w:t>
      </w:r>
      <w:r>
        <w:rPr>
          <w:rStyle w:val="indexentry"/>
        </w:rPr>
        <w:fldChar w:fldCharType="begin"/>
      </w:r>
      <w:r>
        <w:instrText>xe "</w:instrText>
      </w:r>
      <w:r>
        <w:rPr>
          <w:rStyle w:val="xeentry"/>
        </w:rPr>
        <w:instrText>logical connectives: pairing from left</w:instrText>
      </w:r>
      <w:r>
        <w:instrText>"</w:instrText>
      </w:r>
      <w:r>
        <w:rPr>
          <w:rStyle w:val="indexentry"/>
        </w:rPr>
        <w:fldChar w:fldCharType="end"/>
      </w:r>
      <w:r>
        <w:rPr>
          <w:rStyle w:val="indexentry"/>
        </w:rPr>
        <w:t>&lt;cx "logical connection of more than 2 sentences, forethought"&gt;</w:t>
      </w:r>
      <w:r>
        <w:rPr>
          <w:rStyle w:val="indexentry"/>
        </w:rPr>
        <w:fldChar w:fldCharType="begin"/>
      </w:r>
      <w:r>
        <w:instrText>xe "</w:instrText>
      </w:r>
      <w:r>
        <w:rPr>
          <w:rStyle w:val="xeentry"/>
        </w:rPr>
        <w:instrText>logical connection: of more than 2 sentences, forethought</w:instrText>
      </w:r>
      <w:r>
        <w:instrText>"</w:instrText>
      </w:r>
      <w:r>
        <w:rPr>
          <w:rStyle w:val="indexentry"/>
        </w:rPr>
        <w:fldChar w:fldCharType="end"/>
      </w:r>
      <w:r>
        <w:rPr>
          <w:rStyle w:val="htmlcodes"/>
        </w:rPr>
        <w:t>&lt;a href=#e7d6&gt;</w:t>
      </w:r>
      <w:r>
        <w:t xml:space="preserve">Example 7.6 </w:t>
      </w:r>
      <w:r>
        <w:rPr>
          <w:rStyle w:val="htmlcodes"/>
        </w:rPr>
        <w:t>&lt;/a&gt;</w:t>
      </w:r>
      <w:r>
        <w:t xml:space="preserve">is the correct translation of </w:t>
      </w:r>
      <w:r>
        <w:rPr>
          <w:rStyle w:val="htmlcodes"/>
        </w:rPr>
        <w:t>&lt;a href=#e7d4&gt;</w:t>
      </w:r>
      <w:r>
        <w:t>Example 7.4</w:t>
      </w:r>
      <w:r>
        <w:rPr>
          <w:rStyle w:val="htmlcodes"/>
        </w:rPr>
        <w:t>&lt;/a&gt;</w:t>
      </w:r>
      <w:r>
        <w:t>. The reason is that</w:t>
      </w:r>
      <w:r>
        <w:rPr>
          <w:rStyle w:val="deletedparamark"/>
        </w:rPr>
        <w:t xml:space="preserve"> </w:t>
      </w:r>
      <w:r>
        <w:t>Lojban logical connectives pair off from the left, like many constructs</w:t>
      </w:r>
      <w:r>
        <w:rPr>
          <w:rStyle w:val="deletedparamark"/>
        </w:rPr>
        <w:t xml:space="preserve"> </w:t>
      </w:r>
      <w:r>
        <w:t>in the language. This rule, called the left-grouping rule, is easy to</w:t>
      </w:r>
      <w:r>
        <w:rPr>
          <w:rStyle w:val="deletedparamark"/>
        </w:rPr>
        <w:t xml:space="preserve"> </w:t>
      </w:r>
      <w:r>
        <w:t>forget, especially when intuition pulls the other way. Forethought</w:t>
      </w:r>
      <w:r>
        <w:rPr>
          <w:rStyle w:val="deletedparamark"/>
        </w:rPr>
        <w:t xml:space="preserve"> </w:t>
      </w:r>
      <w:r>
        <w:t>connectives are not subject to this problem: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name=e7d7&gt;</w:t>
      </w:r>
      <w:r>
        <w:t>7.7)</w:t>
      </w:r>
      <w:r>
        <w:tab/>
        <w:t>ga ge mi nelci la djan. gi mi nelci la martas. gi mi nelci la meris.</w:t>
      </w:r>
    </w:p>
    <w:p w:rsidR="00B72047" w:rsidRDefault="00B72047">
      <w:pPr>
        <w:pStyle w:val="examplescaled"/>
      </w:pPr>
      <w:r>
        <w:tab/>
        <w:t>Either (Both I like John and I like Martha) or I like Mary.</w:t>
      </w:r>
    </w:p>
    <w:p w:rsidR="00B72047" w:rsidRDefault="00B72047">
      <w:pPr>
        <w:pStyle w:val="resumedafterexample"/>
      </w:pPr>
      <w:r>
        <w:rPr>
          <w:rStyle w:val="htmlcodes"/>
        </w:rPr>
        <w:t>&lt;/pre&gt;</w:t>
      </w:r>
      <w:r>
        <w:t xml:space="preserve">is equivalent in meaning to </w:t>
      </w:r>
      <w:r>
        <w:rPr>
          <w:rStyle w:val="htmlcodes"/>
        </w:rPr>
        <w:t>&lt;a href=#e7d4&gt;</w:t>
      </w:r>
      <w:r>
        <w:t>Example 7.4</w:t>
      </w:r>
      <w:r>
        <w:rPr>
          <w:rStyle w:val="htmlcodes"/>
        </w:rPr>
        <w:t>&lt;/a&gt;</w:t>
      </w:r>
      <w:r>
        <w:t>, whereas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name=e7d8&gt;</w:t>
      </w:r>
      <w:r>
        <w:t>7.8)</w:t>
      </w:r>
      <w:r>
        <w:tab/>
        <w:t>ge mi nelci la djan. gi ga mi nelci la martas. gi mi nelci la meris.</w:t>
      </w:r>
    </w:p>
    <w:p w:rsidR="00B72047" w:rsidRDefault="00B72047">
      <w:pPr>
        <w:pStyle w:val="examplescaled"/>
      </w:pPr>
      <w:r>
        <w:tab/>
        <w:t>Both I like John and (Either I like Martha or I like Mary).</w:t>
      </w:r>
    </w:p>
    <w:p w:rsidR="00B72047" w:rsidRDefault="00B72047">
      <w:pPr>
        <w:pStyle w:val="resumedafterexample"/>
      </w:pPr>
      <w:r>
        <w:rPr>
          <w:rStyle w:val="htmlcodes"/>
        </w:rPr>
        <w:t>&lt;/pre&gt;</w:t>
      </w:r>
      <w:r>
        <w:t xml:space="preserve">is not equivalent to </w:t>
      </w:r>
      <w:r>
        <w:rPr>
          <w:rStyle w:val="htmlcodes"/>
        </w:rPr>
        <w:t>&lt;a href=#e7d4&gt;</w:t>
      </w:r>
      <w:r>
        <w:t>Example 7.4</w:t>
      </w:r>
      <w:r>
        <w:rPr>
          <w:rStyle w:val="htmlcodes"/>
        </w:rPr>
        <w:t>&lt;/a&gt;</w:t>
      </w:r>
      <w:r>
        <w:t>, but is instead a valid translation into</w:t>
      </w:r>
      <w:r>
        <w:rPr>
          <w:rStyle w:val="deletedparamark"/>
        </w:rPr>
        <w:t xml:space="preserve"> </w:t>
      </w:r>
      <w:r>
        <w:t xml:space="preserve">Lojban, using forethought, of </w:t>
      </w:r>
      <w:r>
        <w:rPr>
          <w:rStyle w:val="htmlcodes"/>
        </w:rPr>
        <w:t>&lt;a href=#e7d5&gt;</w:t>
      </w:r>
      <w:r>
        <w:t>Example 7.5</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422" w:name="_Toc398970663"/>
      <w:r>
        <w:rPr>
          <w:rStyle w:val="Heading3Text"/>
        </w:rPr>
        <w:t>Grouping of afterthought connectives</w:t>
      </w:r>
      <w:bookmarkEnd w:id="42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"logical connectives, grouping with bo"&gt;</w:t>
      </w:r>
      <w:r>
        <w:rPr>
          <w:rStyle w:val="indexentry"/>
        </w:rPr>
        <w:fldChar w:fldCharType="begin"/>
      </w:r>
      <w:r>
        <w:instrText>xe "</w:instrText>
      </w:r>
      <w:r>
        <w:rPr>
          <w:rStyle w:val="xeentry"/>
        </w:rPr>
        <w:instrText>logical connectives: grouping with bo</w:instrText>
      </w:r>
      <w:r>
        <w:instrText>"</w:instrText>
      </w:r>
      <w:r>
        <w:rPr>
          <w:rStyle w:val="indexentry"/>
        </w:rPr>
        <w:fldChar w:fldCharType="end"/>
      </w:r>
      <w:r>
        <w:rPr>
          <w:rStyle w:val="indexentry"/>
        </w:rPr>
        <w:t>&lt;cx "logical connection with bo, precedence"&gt;</w:t>
      </w:r>
      <w:r>
        <w:rPr>
          <w:rStyle w:val="indexentry"/>
        </w:rPr>
        <w:fldChar w:fldCharType="begin"/>
      </w:r>
      <w:r>
        <w:instrText>xe "</w:instrText>
      </w:r>
      <w:r>
        <w:rPr>
          <w:rStyle w:val="xeentry"/>
        </w:rPr>
        <w:instrText>logical connection: with bo, precedence</w:instrText>
      </w:r>
      <w:r>
        <w:instrText>"</w:instrText>
      </w:r>
      <w:r>
        <w:rPr>
          <w:rStyle w:val="indexentry"/>
        </w:rPr>
        <w:fldChar w:fldCharType="end"/>
      </w:r>
      <w:r>
        <w:rPr>
          <w:rStyle w:val="indexentry"/>
        </w:rPr>
        <w:t>&lt;cx "bo, in logical connectives"&gt;</w:t>
      </w:r>
      <w:r>
        <w:rPr>
          <w:rStyle w:val="indexentry"/>
        </w:rPr>
        <w:fldChar w:fldCharType="begin"/>
      </w:r>
      <w:r>
        <w:instrText>xe "</w:instrText>
      </w:r>
      <w:r>
        <w:rPr>
          <w:rStyle w:val="xeentry"/>
        </w:rPr>
        <w:instrText>bo: in logical connectives</w:instrText>
      </w:r>
      <w:r>
        <w:instrText>"</w:instrText>
      </w:r>
      <w:r>
        <w:rPr>
          <w:rStyle w:val="indexentry"/>
        </w:rPr>
        <w:fldChar w:fldCharType="end"/>
      </w:r>
      <w:r>
        <w:t xml:space="preserve">There are several ways in Lojban to render </w:t>
      </w:r>
      <w:r>
        <w:rPr>
          <w:rStyle w:val="htmlcodes"/>
        </w:rPr>
        <w:t>&lt;a href=#e7d5&gt;</w:t>
      </w:r>
      <w:r>
        <w:t xml:space="preserve">Example 7.5 </w:t>
      </w:r>
      <w:r>
        <w:rPr>
          <w:rStyle w:val="htmlcodes"/>
        </w:rPr>
        <w:t>&lt;/a&gt;</w:t>
      </w:r>
      <w:r>
        <w:t>using afterthought</w:t>
      </w:r>
      <w:r>
        <w:rPr>
          <w:rStyle w:val="deletedparamark"/>
        </w:rPr>
        <w:t xml:space="preserve"> </w:t>
      </w:r>
      <w:r>
        <w:t>only. The simplest method is to make use of the cmavo “bo” (of selma'o BO).</w:t>
      </w:r>
      <w:r>
        <w:rPr>
          <w:rStyle w:val="deletedparamark"/>
        </w:rPr>
        <w:t xml:space="preserve"> </w:t>
      </w:r>
      <w:r>
        <w:t>This cmavo has se</w:t>
      </w:r>
      <w:r>
        <w:t>v</w:t>
      </w:r>
      <w:r>
        <w:softHyphen/>
        <w:t>eral functions in Lojban, but is always associated with</w:t>
      </w:r>
      <w:r>
        <w:rPr>
          <w:rStyle w:val="deletedparamark"/>
        </w:rPr>
        <w:t xml:space="preserve"> </w:t>
      </w:r>
      <w:r>
        <w:t>high precedence and short scope. In particular, if “bo” is placed after</w:t>
      </w:r>
      <w:r>
        <w:rPr>
          <w:rStyle w:val="deletedparamark"/>
        </w:rPr>
        <w:t xml:space="preserve"> </w:t>
      </w:r>
      <w:r>
        <w:t>an ijek, the result is a grammati</w:t>
      </w:r>
      <w:r>
        <w:softHyphen/>
        <w:t>cally distinct kind of ijek which overrides</w:t>
      </w:r>
      <w:r>
        <w:rPr>
          <w:rStyle w:val="deletedparamark"/>
        </w:rPr>
        <w:t xml:space="preserve"> </w:t>
      </w:r>
      <w:r>
        <w:t>the regular left-grouping rule. Connections marked with “bo” are</w:t>
      </w:r>
      <w:r>
        <w:rPr>
          <w:rStyle w:val="deletedparamark"/>
        </w:rPr>
        <w:t xml:space="preserve"> </w:t>
      </w:r>
      <w:r>
        <w:t xml:space="preserve">interpreted before connections not so marked. </w:t>
      </w:r>
      <w:r>
        <w:rPr>
          <w:rStyle w:val="htmlcodes"/>
        </w:rPr>
        <w:t>&lt;a href=#e8d1&gt;</w:t>
      </w:r>
      <w:r>
        <w:t xml:space="preserve">Example 8.1 </w:t>
      </w:r>
      <w:r>
        <w:rPr>
          <w:rStyle w:val="htmlcodes"/>
        </w:rPr>
        <w:t>&lt;/a&gt;</w:t>
      </w:r>
      <w:r>
        <w:t>is equivalent</w:t>
      </w:r>
      <w:r>
        <w:rPr>
          <w:rStyle w:val="deletedparamark"/>
        </w:rPr>
        <w:t xml:space="preserve"> </w:t>
      </w:r>
      <w:r>
        <w:t xml:space="preserve">in meaning to </w:t>
      </w:r>
      <w:r>
        <w:rPr>
          <w:rStyle w:val="htmlcodes"/>
        </w:rPr>
        <w:t>&lt;a href=#e7d8&gt;</w:t>
      </w:r>
      <w:r>
        <w:t>Example 7.8</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mi nelci la djan.  .ije mi nelci la martas.  .ijabo mi nelci la meris.</w:t>
      </w:r>
    </w:p>
    <w:p w:rsidR="00B72047" w:rsidRDefault="00B72047">
      <w:pPr>
        <w:pStyle w:val="examplescaled"/>
      </w:pPr>
      <w:r>
        <w:tab/>
        <w:t>I like John, and I like Martha or I like Mary.</w:t>
      </w:r>
    </w:p>
    <w:p w:rsidR="00B72047" w:rsidRDefault="00B72047">
      <w:pPr>
        <w:pStyle w:val="normalafterexample"/>
      </w:pPr>
      <w:r>
        <w:rPr>
          <w:rStyle w:val="htmlcodes"/>
        </w:rPr>
        <w:t>&lt;/pre&gt;&lt;p&gt;</w:t>
      </w:r>
      <w:r>
        <w:t>The English translation feebly indicates with a comma what the Lojban</w:t>
      </w:r>
      <w:r>
        <w:rPr>
          <w:rStyle w:val="deletedparamark"/>
        </w:rPr>
        <w:t xml:space="preserve"> </w:t>
      </w:r>
      <w:r>
        <w:t>marks far more clearly: the “I like Martha” and “I like Mary” sentences</w:t>
      </w:r>
      <w:r>
        <w:rPr>
          <w:rStyle w:val="deletedparamark"/>
        </w:rPr>
        <w:t xml:space="preserve"> </w:t>
      </w:r>
      <w:r>
        <w:t>are joined by “.ija” first, before the result is joined to “I like John”</w:t>
      </w:r>
      <w:r>
        <w:rPr>
          <w:rStyle w:val="deletedparamark"/>
        </w:rPr>
        <w:t xml:space="preserve"> </w:t>
      </w:r>
      <w:r>
        <w:t>by “.ije”.</w:t>
      </w:r>
      <w:r>
        <w:rPr>
          <w:rStyle w:val="deletedparamark"/>
        </w:rPr>
        <w:t xml:space="preserve"> </w:t>
      </w:r>
      <w:r>
        <w:rPr>
          <w:rStyle w:val="htmlcodes"/>
        </w:rPr>
        <w:t>&lt;dl compact&gt;&lt;dt&gt;&lt;dd&gt;</w:t>
      </w:r>
      <w:r>
        <w:t xml:space="preserve">Eks can have “bo” attached in exactly the same way, so that </w:t>
      </w:r>
      <w:r>
        <w:rPr>
          <w:rStyle w:val="htmlcodes"/>
        </w:rPr>
        <w:t>&lt;a href=#e8d2&gt;</w:t>
      </w:r>
      <w:r>
        <w:t xml:space="preserve">Example 8.2 </w:t>
      </w:r>
      <w:r>
        <w:rPr>
          <w:rStyle w:val="htmlcodes"/>
        </w:rPr>
        <w:t>&lt;/a&gt;</w:t>
      </w:r>
      <w:r>
        <w:t>is equivalent in meaning to Example 8.l:</w:t>
      </w:r>
    </w:p>
    <w:p w:rsidR="00B72047" w:rsidRDefault="00B72047">
      <w:pPr>
        <w:pStyle w:val="examplescaledpre"/>
      </w:pPr>
      <w:r>
        <w:rPr>
          <w:rStyle w:val="htmlcodes"/>
        </w:rPr>
        <w:t>&lt;p&gt;&lt;dt&gt;&lt;a name=e8d2&gt;</w:t>
      </w:r>
      <w:r>
        <w:t>8.2)</w:t>
      </w:r>
      <w:r>
        <w:tab/>
      </w:r>
      <w:r>
        <w:rPr>
          <w:rStyle w:val="htmlcodes"/>
        </w:rPr>
        <w:t>&lt;dd&gt;</w:t>
      </w:r>
      <w:r>
        <w:t>mi nelci la djan. .e la martas. .abo la meris.</w:t>
      </w:r>
    </w:p>
    <w:p w:rsidR="00B72047" w:rsidRDefault="00B72047">
      <w:pPr>
        <w:pStyle w:val="normalafterexample"/>
      </w:pPr>
      <w:r>
        <w:rPr>
          <w:rStyle w:val="htmlcodes"/>
        </w:rPr>
        <w:t>&lt;/dl&gt;</w:t>
      </w:r>
      <w:r>
        <w:rPr>
          <w:rStyle w:val="indexentry"/>
        </w:rPr>
        <w:t>&lt;cx "forethought connectives and bo"&gt;</w:t>
      </w:r>
      <w:r>
        <w:rPr>
          <w:rStyle w:val="indexentry"/>
        </w:rPr>
        <w:fldChar w:fldCharType="begin"/>
      </w:r>
      <w:r>
        <w:instrText>xe "</w:instrText>
      </w:r>
      <w:r>
        <w:rPr>
          <w:rStyle w:val="xeentry"/>
        </w:rPr>
        <w:instrText>forethought connectives and bo</w:instrText>
      </w:r>
      <w:r>
        <w:instrText>"</w:instrText>
      </w:r>
      <w:r>
        <w:rPr>
          <w:rStyle w:val="indexentry"/>
        </w:rPr>
        <w:fldChar w:fldCharType="end"/>
      </w:r>
      <w:r>
        <w:rPr>
          <w:rStyle w:val="indexentry"/>
        </w:rPr>
        <w:t>&lt;cx "bo and forethought connectives"&gt;</w:t>
      </w:r>
      <w:r>
        <w:rPr>
          <w:rStyle w:val="indexentry"/>
        </w:rPr>
        <w:fldChar w:fldCharType="begin"/>
      </w:r>
      <w:r>
        <w:instrText>xe "</w:instrText>
      </w:r>
      <w:r>
        <w:rPr>
          <w:rStyle w:val="xeentry"/>
        </w:rPr>
        <w:instrText>bo and forethought connectives</w:instrText>
      </w:r>
      <w:r>
        <w:instrText>"</w:instrText>
      </w:r>
      <w:r>
        <w:rPr>
          <w:rStyle w:val="indexentry"/>
        </w:rPr>
        <w:fldChar w:fldCharType="end"/>
      </w:r>
      <w:r>
        <w:t>Forethought connectives, however, never can be suffixed with “bo”, for</w:t>
      </w:r>
      <w:r>
        <w:rPr>
          <w:rStyle w:val="deletedparamark"/>
        </w:rPr>
        <w:t xml:space="preserve"> </w:t>
      </w:r>
      <w:r>
        <w:t>every use of forethought connectives clearly indicates the intended</w:t>
      </w:r>
      <w:r>
        <w:rPr>
          <w:rStyle w:val="deletedparamark"/>
        </w:rPr>
        <w:t xml:space="preserve"> </w:t>
      </w:r>
      <w:r>
        <w:t>pattern of grouping.</w:t>
      </w:r>
    </w:p>
    <w:p w:rsidR="00B72047" w:rsidRDefault="00B72047">
      <w:pPr>
        <w:rPr>
          <w:rStyle w:val="htmlparacode"/>
        </w:rPr>
      </w:pPr>
      <w:r>
        <w:rPr>
          <w:rStyle w:val="htmlparacode"/>
        </w:rPr>
        <w:t>&lt;p&gt;</w:t>
      </w:r>
    </w:p>
    <w:p w:rsidR="00B72047" w:rsidRDefault="00B72047">
      <w:pPr>
        <w:pStyle w:val="normalparagraph"/>
      </w:pPr>
      <w:r>
        <w:t>What happens if “bo” is used on both connectives, giving them the same</w:t>
      </w:r>
      <w:r>
        <w:rPr>
          <w:rStyle w:val="deletedparamark"/>
        </w:rPr>
        <w:t xml:space="preserve"> </w:t>
      </w:r>
      <w:r>
        <w:t>high prec</w:t>
      </w:r>
      <w:r>
        <w:t>e</w:t>
      </w:r>
      <w:r>
        <w:softHyphen/>
        <w:t xml:space="preserve">dence, as in </w:t>
      </w:r>
      <w:r>
        <w:rPr>
          <w:rStyle w:val="htmlcodes"/>
        </w:rPr>
        <w:t>&lt;a href=#e8d3&gt;</w:t>
      </w:r>
      <w:r>
        <w:t>Example 8.3</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mi nelci la djan. .ebo la martas. .abo la meris.</w:t>
      </w:r>
    </w:p>
    <w:p w:rsidR="00B72047" w:rsidRDefault="00B72047">
      <w:pPr>
        <w:pStyle w:val="resumedafterexample"/>
      </w:pPr>
      <w:r>
        <w:rPr>
          <w:rStyle w:val="htmlcodes"/>
        </w:rPr>
        <w:t>&lt;/pre&gt;</w:t>
      </w:r>
      <w:r>
        <w:rPr>
          <w:rStyle w:val="indexentry"/>
        </w:rPr>
        <w:t>&lt;cx "bo, right-grouping"&gt;</w:t>
      </w:r>
      <w:r>
        <w:rPr>
          <w:rStyle w:val="indexentry"/>
        </w:rPr>
        <w:fldChar w:fldCharType="begin"/>
      </w:r>
      <w:r>
        <w:instrText>xe "</w:instrText>
      </w:r>
      <w:r>
        <w:rPr>
          <w:rStyle w:val="xeentry"/>
        </w:rPr>
        <w:instrText>bo: right-grouping</w:instrText>
      </w:r>
      <w:r>
        <w:instrText>"</w:instrText>
      </w:r>
      <w:r>
        <w:rPr>
          <w:rStyle w:val="indexentry"/>
        </w:rPr>
        <w:fldChar w:fldCharType="end"/>
      </w:r>
      <w:r>
        <w:rPr>
          <w:rStyle w:val="indexentry"/>
        </w:rPr>
        <w:t>&lt;cx "logical connectives, right-grouping with bo"&gt;</w:t>
      </w:r>
      <w:r>
        <w:rPr>
          <w:rStyle w:val="indexentry"/>
        </w:rPr>
        <w:fldChar w:fldCharType="begin"/>
      </w:r>
      <w:r>
        <w:instrText>xe "</w:instrText>
      </w:r>
      <w:r>
        <w:rPr>
          <w:rStyle w:val="xeentry"/>
        </w:rPr>
        <w:instrText>logical connectives: right-grouping with 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t xml:space="preserve">Does this wind up meaning the same as </w:t>
      </w:r>
      <w:r>
        <w:rPr>
          <w:rStyle w:val="htmlcodes"/>
        </w:rPr>
        <w:t>&lt;a href=#e7d4&gt;</w:t>
      </w:r>
      <w:r>
        <w:t xml:space="preserve">Example 7.4 </w:t>
      </w:r>
      <w:r>
        <w:rPr>
          <w:rStyle w:val="htmlcodes"/>
        </w:rPr>
        <w:t>&lt;/a&gt;</w:t>
      </w:r>
      <w:r>
        <w:t xml:space="preserve">and </w:t>
      </w:r>
      <w:r>
        <w:rPr>
          <w:rStyle w:val="htmlcodes"/>
        </w:rPr>
        <w:t>&lt;a href=#e7d6&gt;</w:t>
      </w:r>
      <w:r>
        <w:t>Example 7.6</w:t>
      </w:r>
      <w:r>
        <w:rPr>
          <w:rStyle w:val="htmlcodes"/>
        </w:rPr>
        <w:t>&lt;/a&gt;</w:t>
      </w:r>
      <w:r>
        <w:t>? Not</w:t>
      </w:r>
      <w:r>
        <w:rPr>
          <w:rStyle w:val="deletedparamark"/>
        </w:rPr>
        <w:t xml:space="preserve"> </w:t>
      </w:r>
      <w:r>
        <w:t>at all. A se</w:t>
      </w:r>
      <w:r>
        <w:t>c</w:t>
      </w:r>
      <w:r>
        <w:softHyphen/>
        <w:t>ond rule relating to “bo” is that where several “bo”-marked</w:t>
      </w:r>
      <w:r>
        <w:rPr>
          <w:rStyle w:val="deletedparamark"/>
        </w:rPr>
        <w:t xml:space="preserve"> </w:t>
      </w:r>
      <w:r>
        <w:t>connectives are used in su</w:t>
      </w:r>
      <w:r>
        <w:t>c</w:t>
      </w:r>
      <w:r>
        <w:softHyphen/>
        <w:t>cession, the normal Lojban left-grouping rule</w:t>
      </w:r>
      <w:r>
        <w:rPr>
          <w:rStyle w:val="deletedparamark"/>
        </w:rPr>
        <w:t xml:space="preserve"> </w:t>
      </w:r>
      <w:r>
        <w:t xml:space="preserve">is replaced by a right-grouping rule. As a result, </w:t>
      </w:r>
      <w:r>
        <w:rPr>
          <w:rStyle w:val="htmlcodes"/>
        </w:rPr>
        <w:t>&lt;a href=#e8d3&gt;</w:t>
      </w:r>
      <w:r>
        <w:t xml:space="preserve">Example 8.3 </w:t>
      </w:r>
      <w:r>
        <w:rPr>
          <w:rStyle w:val="htmlcodes"/>
        </w:rPr>
        <w:t>&lt;/a&gt;</w:t>
      </w:r>
      <w:r>
        <w:t>in fact</w:t>
      </w:r>
      <w:r>
        <w:rPr>
          <w:rStyle w:val="deletedparamark"/>
        </w:rPr>
        <w:t xml:space="preserve"> </w:t>
      </w:r>
      <w:r>
        <w:t xml:space="preserve">means the same as </w:t>
      </w:r>
      <w:r>
        <w:rPr>
          <w:rStyle w:val="htmlcodes"/>
        </w:rPr>
        <w:t>&lt;a href=#e8d{1}&gt;</w:t>
      </w:r>
      <w:r>
        <w:t xml:space="preserve">Examples 8.1 </w:t>
      </w:r>
      <w:r>
        <w:rPr>
          <w:rStyle w:val="htmlcodes"/>
        </w:rPr>
        <w:t>&lt;/a&gt;</w:t>
      </w:r>
      <w:r>
        <w:t xml:space="preserve">and </w:t>
      </w:r>
      <w:r>
        <w:rPr>
          <w:rStyle w:val="htmlcodes"/>
        </w:rPr>
        <w:t>&lt;a href=#e8d2&gt;</w:t>
      </w:r>
      <w:r>
        <w:t>8.2</w:t>
      </w:r>
      <w:r>
        <w:rPr>
          <w:rStyle w:val="htmlcodes"/>
        </w:rPr>
        <w:t>&lt;/a&gt;</w:t>
      </w:r>
      <w:r>
        <w:t>. This rule may be occasionally</w:t>
      </w:r>
      <w:r>
        <w:rPr>
          <w:rStyle w:val="deletedparamark"/>
        </w:rPr>
        <w:t xml:space="preserve"> </w:t>
      </w:r>
      <w:r>
        <w:t>exploited for special effects, but is tricky to keep straight; in writing</w:t>
      </w:r>
      <w:r>
        <w:rPr>
          <w:rStyle w:val="deletedparamark"/>
        </w:rPr>
        <w:t xml:space="preserve"> </w:t>
      </w:r>
      <w:r>
        <w:t>i</w:t>
      </w:r>
      <w:r>
        <w:t>n</w:t>
      </w:r>
      <w:r>
        <w:softHyphen/>
        <w:t>tended to be easy to understand, multiple consecutive connectives marked</w:t>
      </w:r>
      <w:r>
        <w:rPr>
          <w:rStyle w:val="deletedparamark"/>
        </w:rPr>
        <w:t xml:space="preserve"> </w:t>
      </w:r>
      <w:r>
        <w:t>with “bo” should be avoided.</w:t>
      </w:r>
    </w:p>
    <w:p w:rsidR="00B72047" w:rsidRDefault="00B72047">
      <w:pPr>
        <w:rPr>
          <w:rStyle w:val="htmlparacode"/>
        </w:rPr>
      </w:pPr>
      <w:r>
        <w:rPr>
          <w:rStyle w:val="htmlparacode"/>
        </w:rPr>
        <w:t>&lt;p&gt;</w:t>
      </w:r>
    </w:p>
    <w:p w:rsidR="00B72047" w:rsidRDefault="00B72047">
      <w:pPr>
        <w:pStyle w:val="normalparagraph"/>
      </w:pPr>
      <w:r>
        <w:rPr>
          <w:rStyle w:val="indexentry"/>
        </w:rPr>
        <w:t>&lt;cx "complex logical connection, grouping strategies contrasted"&gt;</w:t>
      </w:r>
      <w:r>
        <w:rPr>
          <w:rStyle w:val="indexentry"/>
        </w:rPr>
        <w:fldChar w:fldCharType="begin"/>
      </w:r>
      <w:r>
        <w:instrText>xe "</w:instrText>
      </w:r>
      <w:r>
        <w:rPr>
          <w:rStyle w:val="xeentry"/>
        </w:rPr>
        <w:instrText>complex logical connection: grouping strategies contrasted</w:instrText>
      </w:r>
      <w:r>
        <w:instrText>"</w:instrText>
      </w:r>
      <w:r>
        <w:rPr>
          <w:rStyle w:val="indexentry"/>
        </w:rPr>
        <w:fldChar w:fldCharType="end"/>
      </w:r>
      <w:r>
        <w:rPr>
          <w:rStyle w:val="indexentry"/>
        </w:rPr>
        <w:t>&lt;cx "logical connection, grouping strategies for complex cases contrasted"&gt;</w:t>
      </w:r>
      <w:r>
        <w:rPr>
          <w:rStyle w:val="indexentry"/>
        </w:rPr>
        <w:fldChar w:fldCharType="begin"/>
      </w:r>
      <w:r>
        <w:instrText>xe "</w:instrText>
      </w:r>
      <w:r>
        <w:rPr>
          <w:rStyle w:val="xeentry"/>
        </w:rPr>
        <w:instrText>logical connection: grouping strategies for complex cases contrasted</w:instrText>
      </w:r>
      <w:r>
        <w:instrText>"</w:instrText>
      </w:r>
      <w:r>
        <w:rPr>
          <w:rStyle w:val="indexentry"/>
        </w:rPr>
        <w:fldChar w:fldCharType="end"/>
      </w: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rPr>
          <w:rStyle w:val="indexentry"/>
        </w:rPr>
        <w:t>&lt;lx "tu'u"&gt;</w:t>
      </w:r>
      <w:r>
        <w:rPr>
          <w:rStyle w:val="indexentry"/>
        </w:rPr>
        <w:fldChar w:fldCharType="begin"/>
      </w:r>
      <w:r>
        <w:instrText>xe "</w:instrText>
      </w:r>
      <w:r>
        <w:rPr>
          <w:rStyle w:val="xeentry"/>
        </w:rPr>
        <w:instrText>tu'u</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"ke'e"&gt;</w:t>
      </w:r>
      <w:r>
        <w:rPr>
          <w:rStyle w:val="indexentry"/>
        </w:rPr>
        <w:fldChar w:fldCharType="begin"/>
      </w:r>
      <w:r>
        <w:instrText>xe "</w:instrText>
      </w:r>
      <w:r>
        <w:rPr>
          <w:rStyle w:val="xeentry"/>
        </w:rPr>
        <w:instrText>ke'e</w:instrText>
      </w:r>
      <w:r>
        <w:instrText>"</w:instrText>
      </w:r>
      <w:r>
        <w:rPr>
          <w:rStyle w:val="indexentry"/>
        </w:rPr>
        <w:fldChar w:fldCharType="end"/>
      </w:r>
      <w:r>
        <w:rPr>
          <w:rStyle w:val="indexentry"/>
        </w:rPr>
        <w:t>&lt;lx "TUhE"&gt;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&lt;lx "TUhU"&gt;</w:t>
      </w:r>
      <w:r>
        <w:rPr>
          <w:rStyle w:val="indexentry"/>
        </w:rPr>
        <w:fldChar w:fldCharType="begin"/>
      </w:r>
      <w:r>
        <w:instrText>xe "</w:instrText>
      </w:r>
      <w:r>
        <w:rPr>
          <w:rStyle w:val="xeentry"/>
        </w:rPr>
        <w:instrText>TUhU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&lt;lx "KEhE"&gt;</w:t>
      </w:r>
      <w:r>
        <w:rPr>
          <w:rStyle w:val="indexentry"/>
        </w:rPr>
        <w:fldChar w:fldCharType="begin"/>
      </w:r>
      <w:r>
        <w:instrText>xe "</w:instrText>
      </w:r>
      <w:r>
        <w:rPr>
          <w:rStyle w:val="xeentry"/>
        </w:rPr>
        <w:instrText>KEhE selma’o</w:instrText>
      </w:r>
      <w:r>
        <w:instrText>"</w:instrText>
      </w:r>
      <w:r>
        <w:rPr>
          <w:rStyle w:val="indexentry"/>
        </w:rPr>
        <w:fldChar w:fldCharType="end"/>
      </w:r>
      <w:r>
        <w:rPr>
          <w:rStyle w:val="indexentry"/>
        </w:rPr>
        <w:t>&lt;cx "complex logical connectives, grouping with parentheses"&gt;</w:t>
      </w:r>
      <w:r>
        <w:rPr>
          <w:rStyle w:val="indexentry"/>
        </w:rPr>
        <w:fldChar w:fldCharType="begin"/>
      </w:r>
      <w:r>
        <w:instrText>xe "</w:instrText>
      </w:r>
      <w:r>
        <w:rPr>
          <w:rStyle w:val="xeentry"/>
        </w:rPr>
        <w:instrText>complex logical connectives: grouping with parenthesis</w:instrText>
      </w:r>
      <w:r>
        <w:instrText>"</w:instrText>
      </w:r>
      <w:r>
        <w:rPr>
          <w:rStyle w:val="indexentry"/>
        </w:rPr>
        <w:fldChar w:fldCharType="end"/>
      </w:r>
      <w:r>
        <w:t>The use of “bo”, therefore, gets tricky in complex connections of more</w:t>
      </w:r>
      <w:r>
        <w:rPr>
          <w:rStyle w:val="deletedparamark"/>
        </w:rPr>
        <w:t xml:space="preserve"> </w:t>
      </w:r>
      <w:r>
        <w:t>than three sentences. Look back at the English translations of</w:t>
      </w:r>
      <w:r>
        <w:rPr>
          <w:rStyle w:val="deletedparamark"/>
        </w:rPr>
        <w:t xml:space="preserve"> </w:t>
      </w:r>
      <w:r>
        <w:rPr>
          <w:rStyle w:val="htmlcodes"/>
        </w:rPr>
        <w:t>&lt;a href=#e7d{7}&gt;</w:t>
      </w:r>
      <w:r>
        <w:t xml:space="preserve">Examples 7.7 </w:t>
      </w:r>
      <w:r>
        <w:rPr>
          <w:rStyle w:val="htmlcodes"/>
        </w:rPr>
        <w:t>&lt;/a&gt;</w:t>
      </w:r>
      <w:r>
        <w:t xml:space="preserve">and </w:t>
      </w:r>
      <w:r>
        <w:rPr>
          <w:rStyle w:val="htmlcodes"/>
        </w:rPr>
        <w:t>&lt;a href=#e7d8&gt;</w:t>
      </w:r>
      <w:r>
        <w:t>7.8</w:t>
      </w:r>
      <w:r>
        <w:rPr>
          <w:rStyle w:val="htmlcodes"/>
        </w:rPr>
        <w:t>&lt;/a&gt;</w:t>
      </w:r>
      <w:r>
        <w:t>: pa</w:t>
      </w:r>
      <w:r>
        <w:softHyphen/>
        <w:t>rentheses were used to clarify the grouping.</w:t>
      </w:r>
      <w:r>
        <w:rPr>
          <w:rStyle w:val="deletedparamark"/>
        </w:rPr>
        <w:t xml:space="preserve"> </w:t>
      </w:r>
      <w:r>
        <w:t>These parentheses have their Lojban equivalents, two sets of them actually.</w:t>
      </w:r>
      <w:r>
        <w:rPr>
          <w:rStyle w:val="deletedparamark"/>
        </w:rPr>
        <w:t xml:space="preserve"> “</w:t>
      </w:r>
      <w:r>
        <w:t>tu'e” and “tu'u” are used with ijeks, and “ke” and “ke'e” with eks and</w:t>
      </w:r>
      <w:r>
        <w:rPr>
          <w:rStyle w:val="deletedparamark"/>
        </w:rPr>
        <w:t xml:space="preserve"> </w:t>
      </w:r>
      <w:r>
        <w:t>other connectives to be discussed later. (“ke” and “ke'e” are also</w:t>
      </w:r>
      <w:r>
        <w:rPr>
          <w:rStyle w:val="deletedparamark"/>
        </w:rPr>
        <w:t xml:space="preserve"> </w:t>
      </w:r>
      <w:r>
        <w:t>used in other roles in the language, but always as grouping markers).</w:t>
      </w:r>
      <w:r>
        <w:rPr>
          <w:rStyle w:val="deletedparamark"/>
        </w:rPr>
        <w:t xml:space="preserve"> </w:t>
      </w:r>
      <w:r>
        <w:t>Consider the English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I kiss you and you kiss me, if I love you and you love me.</w:t>
      </w:r>
    </w:p>
    <w:p w:rsidR="00B72047" w:rsidRDefault="00B72047">
      <w:pPr>
        <w:pStyle w:val="resumedafterexample"/>
      </w:pPr>
      <w:r>
        <w:rPr>
          <w:rStyle w:val="htmlcodes"/>
        </w:rPr>
        <w:t>&lt;/pre&gt;</w:t>
      </w:r>
      <w:r>
        <w:rPr>
          <w:rStyle w:val="indexentry"/>
        </w:rPr>
        <w:t>&lt;cx "complex logical connectives, grouping with bo"&gt;</w:t>
      </w:r>
      <w:r>
        <w:rPr>
          <w:rStyle w:val="indexentry"/>
        </w:rPr>
        <w:fldChar w:fldCharType="begin"/>
      </w:r>
      <w:r>
        <w:instrText>xe "</w:instrText>
      </w:r>
      <w:r>
        <w:rPr>
          <w:rStyle w:val="xeentry"/>
        </w:rPr>
        <w:instrText>complex logical connectives: grouping with 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t>where the semantics tells us that the instances of “and” are meant to have</w:t>
      </w:r>
      <w:r>
        <w:rPr>
          <w:rStyle w:val="deletedparamark"/>
        </w:rPr>
        <w:t xml:space="preserve"> </w:t>
      </w:r>
      <w:r>
        <w:t>higher prece</w:t>
      </w:r>
      <w:r>
        <w:softHyphen/>
        <w:t xml:space="preserve">dence than that of “if”. If we wish to express </w:t>
      </w:r>
      <w:r>
        <w:rPr>
          <w:rStyle w:val="htmlcodes"/>
        </w:rPr>
        <w:t>&lt;a href=#e8d4&gt;</w:t>
      </w:r>
      <w:r>
        <w:t xml:space="preserve">Example 8.4 </w:t>
      </w:r>
      <w:r>
        <w:rPr>
          <w:rStyle w:val="htmlcodes"/>
        </w:rPr>
        <w:t>&lt;/a&gt;</w:t>
      </w:r>
      <w:r>
        <w:t>in</w:t>
      </w:r>
      <w:r>
        <w:rPr>
          <w:rStyle w:val="deletedparamark"/>
        </w:rPr>
        <w:t xml:space="preserve"> </w:t>
      </w:r>
      <w:r>
        <w:t>afterthought, we can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mi cinba do .ije[bo] do cinba mi  .ijanai mi prami do .ijebo do prami mi</w:t>
      </w:r>
    </w:p>
    <w:p w:rsidR="00B72047" w:rsidRDefault="00B72047">
      <w:pPr>
        <w:pStyle w:val="examplescaled"/>
      </w:pPr>
      <w:r>
        <w:tab/>
        <w:t>I kiss you and you kiss me, if I love you and you love me.</w:t>
      </w:r>
    </w:p>
    <w:p w:rsidR="00B72047" w:rsidRDefault="00B72047">
      <w:pPr>
        <w:pStyle w:val="resumedafterexample"/>
      </w:pPr>
      <w:r>
        <w:rPr>
          <w:rStyle w:val="htmlcodes"/>
        </w:rPr>
        <w:t>&lt;/pre&gt;</w:t>
      </w:r>
      <w:r>
        <w:t>marking two of the ijeks with “bo” for high precedence. (The first “bo” is</w:t>
      </w:r>
      <w:r>
        <w:rPr>
          <w:rStyle w:val="deletedparamark"/>
        </w:rPr>
        <w:t xml:space="preserve"> </w:t>
      </w:r>
      <w:r>
        <w:t>not strictly ne</w:t>
      </w:r>
      <w:r>
        <w:t>c</w:t>
      </w:r>
      <w:r>
        <w:softHyphen/>
        <w:t>essary, because of the left-grouping rule, and is shown</w:t>
      </w:r>
      <w:r>
        <w:rPr>
          <w:rStyle w:val="deletedparamark"/>
        </w:rPr>
        <w:t xml:space="preserve"> </w:t>
      </w:r>
      <w:r>
        <w:t>here in brackets.)</w:t>
      </w:r>
    </w:p>
    <w:p w:rsidR="00B72047" w:rsidRDefault="00B72047">
      <w:pPr>
        <w:rPr>
          <w:rStyle w:val="htmlparacode"/>
        </w:rPr>
      </w:pPr>
      <w:r>
        <w:rPr>
          <w:rStyle w:val="htmlparacode"/>
        </w:rPr>
        <w:t>&lt;p&gt;</w:t>
      </w:r>
    </w:p>
    <w:p w:rsidR="00B72047" w:rsidRDefault="00B72047">
      <w:pPr>
        <w:pStyle w:val="normalparagraph"/>
      </w:pPr>
      <w:r>
        <w:rPr>
          <w:rStyle w:val="indexentry"/>
        </w:rPr>
        <w:t>&lt;cx "complex logical connectives, grouping with parentheses"&gt;</w:t>
      </w:r>
      <w:r>
        <w:rPr>
          <w:rStyle w:val="indexentry"/>
        </w:rPr>
        <w:fldChar w:fldCharType="begin"/>
      </w:r>
      <w:r>
        <w:instrText>xe "</w:instrText>
      </w:r>
      <w:r>
        <w:rPr>
          <w:rStyle w:val="xeentry"/>
        </w:rPr>
        <w:instrText>complex logical connectives: grouping with parenthesis</w:instrText>
      </w:r>
      <w:r>
        <w:instrText>"</w:instrText>
      </w:r>
      <w:r>
        <w:rPr>
          <w:rStyle w:val="indexentry"/>
        </w:rPr>
        <w:fldChar w:fldCharType="end"/>
      </w:r>
      <w:r>
        <w:t>But it may be clearer to use explicit parenthesis words and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 xml:space="preserve">tu'e mi cinba do .ije do cinba mi tu'u  </w:t>
      </w:r>
    </w:p>
    <w:p w:rsidR="00B72047" w:rsidRDefault="00B72047">
      <w:pPr>
        <w:pStyle w:val="examplescaled"/>
      </w:pPr>
      <w:r>
        <w:tab/>
      </w:r>
      <w:r>
        <w:tab/>
        <w:t>.ijanai tu'e mi prami do  .ije do prami mi [tu'u]</w:t>
      </w:r>
    </w:p>
    <w:p w:rsidR="00B72047" w:rsidRDefault="00B72047">
      <w:pPr>
        <w:pStyle w:val="examplescaled"/>
      </w:pPr>
      <w:r>
        <w:tab/>
        <w:t>( I kiss you and you kiss me )</w:t>
      </w:r>
    </w:p>
    <w:p w:rsidR="00B72047" w:rsidRDefault="00B72047">
      <w:pPr>
        <w:pStyle w:val="examplescaled"/>
      </w:pPr>
      <w:r>
        <w:tab/>
      </w:r>
      <w:r>
        <w:tab/>
        <w:t>if ( I love you and you love me).</w:t>
      </w:r>
    </w:p>
    <w:p w:rsidR="00B72047" w:rsidRDefault="00B72047">
      <w:pPr>
        <w:pStyle w:val="resumedafterexample"/>
      </w:pPr>
      <w:r>
        <w:rPr>
          <w:rStyle w:val="htmlcodes"/>
        </w:rPr>
        <w:t>&lt;/pre&gt;</w:t>
      </w:r>
      <w:r>
        <w:t>where the “tu'e </w:t>
      </w:r>
      <w:r>
        <w:rPr>
          <w:rStyle w:val="htmlcodes"/>
        </w:rPr>
        <w:t>&lt;dots&gt;</w:t>
      </w:r>
      <w:r>
        <w:t>…</w:t>
      </w:r>
      <w:r>
        <w:rPr>
          <w:rStyle w:val="htmlcodes"/>
        </w:rPr>
        <w:t>&lt;/dots&gt;</w:t>
      </w:r>
      <w:r>
        <w:t>tu'u” pairs set off the structure. The cmavo “tu'u”</w:t>
      </w:r>
      <w:r>
        <w:rPr>
          <w:rStyle w:val="deletedparamark"/>
        </w:rPr>
        <w:t xml:space="preserve"> </w:t>
      </w:r>
      <w:r>
        <w:t>is an elidable ter</w:t>
      </w:r>
      <w:r>
        <w:softHyphen/>
        <w:t>mi</w:t>
      </w:r>
      <w:r>
        <w:softHyphen/>
        <w:t xml:space="preserve">nator, and its second occurrence in </w:t>
      </w:r>
      <w:r>
        <w:rPr>
          <w:rStyle w:val="htmlcodes"/>
        </w:rPr>
        <w:t>&lt;a href=#e8d6&gt;</w:t>
      </w:r>
      <w:r>
        <w:t xml:space="preserve">Example 8.6 </w:t>
      </w:r>
      <w:r>
        <w:rPr>
          <w:rStyle w:val="htmlcodes"/>
        </w:rPr>
        <w:t>&lt;/a&gt;</w:t>
      </w:r>
      <w:r>
        <w:t>is bracketed, because all terminators may be elided at the end of a text.</w:t>
      </w:r>
    </w:p>
    <w:p w:rsidR="00B72047" w:rsidRDefault="00B72047">
      <w:pPr>
        <w:rPr>
          <w:rStyle w:val="htmlparacode"/>
        </w:rPr>
      </w:pPr>
      <w:r>
        <w:rPr>
          <w:rStyle w:val="htmlparacode"/>
        </w:rPr>
        <w:t>&lt;p&gt;</w:t>
      </w:r>
    </w:p>
    <w:p w:rsidR="00B72047" w:rsidRDefault="00B72047">
      <w:pPr>
        <w:pStyle w:val="normalparagraph"/>
      </w:pPr>
      <w:r>
        <w:t>In addition, parentheses are a general solution: multiple parentheses</w:t>
      </w:r>
      <w:r>
        <w:rPr>
          <w:rStyle w:val="deletedparamark"/>
        </w:rPr>
        <w:t xml:space="preserve"> </w:t>
      </w:r>
      <w:r>
        <w:t>may be nested inside one another, and additional afterthought material</w:t>
      </w:r>
      <w:r>
        <w:rPr>
          <w:rStyle w:val="deletedparamark"/>
        </w:rPr>
        <w:t xml:space="preserve"> </w:t>
      </w:r>
      <w:r>
        <w:t>may be added without upsetting the existing structure. Neither of these</w:t>
      </w:r>
      <w:r>
        <w:rPr>
          <w:rStyle w:val="deletedparamark"/>
        </w:rPr>
        <w:t xml:space="preserve"> </w:t>
      </w:r>
      <w:r>
        <w:t>two advantages apply to “bo” group</w:t>
      </w:r>
      <w:r>
        <w:softHyphen/>
        <w:t>ing. In general, afterthought</w:t>
      </w:r>
      <w:r>
        <w:rPr>
          <w:rStyle w:val="deletedparamark"/>
        </w:rPr>
        <w:t xml:space="preserve"> </w:t>
      </w:r>
      <w:r>
        <w:t>constructions trade generality for simplicity.</w:t>
      </w:r>
    </w:p>
    <w:p w:rsidR="00B72047" w:rsidRDefault="00B72047">
      <w:pPr>
        <w:pStyle w:val="normalparagraph"/>
        <w:rPr>
          <w:rStyle w:val="htmlparacode"/>
        </w:rPr>
      </w:pPr>
      <w:r>
        <w:rPr>
          <w:rStyle w:val="htmlparacode"/>
        </w:rPr>
        <w:t>&lt;p&gt;</w:t>
      </w:r>
    </w:p>
    <w:p w:rsidR="00B72047" w:rsidRDefault="00B72047">
      <w:pPr>
        <w:pStyle w:val="normalparagraph"/>
      </w:pPr>
      <w:r>
        <w:t>Because of the left-grouping rule, the first set of “tu'e </w:t>
      </w:r>
      <w:r>
        <w:rPr>
          <w:rStyle w:val="htmlcodes"/>
        </w:rPr>
        <w:t>&lt;dots&gt;</w:t>
      </w:r>
      <w:r>
        <w:t>…</w:t>
      </w:r>
      <w:r>
        <w:rPr>
          <w:rStyle w:val="htmlcodes"/>
        </w:rPr>
        <w:t>&lt;/dots&gt;</w:t>
      </w:r>
      <w:r>
        <w:t>tu'u”</w:t>
      </w:r>
      <w:r>
        <w:rPr>
          <w:rStyle w:val="deletedparamark"/>
        </w:rPr>
        <w:t xml:space="preserve"> </w:t>
      </w:r>
      <w:r>
        <w:t>parentheses may act</w:t>
      </w:r>
      <w:r>
        <w:t>u</w:t>
      </w:r>
      <w:r>
        <w:softHyphen/>
        <w:t>ally be left off altogether, producing: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mi cinba do .ije do cinba mi</w:t>
      </w:r>
    </w:p>
    <w:p w:rsidR="00B72047" w:rsidRDefault="00B72047">
      <w:pPr>
        <w:pStyle w:val="examplescaled"/>
      </w:pPr>
      <w:r>
        <w:tab/>
      </w:r>
      <w:r>
        <w:tab/>
        <w:t>.ijanai tu'e mi prami do  .ije do prami mi [tu'u]</w:t>
      </w:r>
    </w:p>
    <w:p w:rsidR="00B72047" w:rsidRDefault="00B72047">
      <w:pPr>
        <w:pStyle w:val="examplescaled"/>
      </w:pPr>
      <w:r>
        <w:tab/>
        <w:t>I kiss you and you kiss me</w:t>
      </w:r>
    </w:p>
    <w:p w:rsidR="00B72047" w:rsidRDefault="00B72047">
      <w:pPr>
        <w:pStyle w:val="examplescaled"/>
      </w:pPr>
      <w:r>
        <w:tab/>
      </w:r>
      <w:r>
        <w:tab/>
        <w:t>if ( I love you and you love me ).</w:t>
      </w:r>
    </w:p>
    <w:p w:rsidR="00B72047" w:rsidRDefault="00B72047">
      <w:pPr>
        <w:pStyle w:val="resumedafterexample"/>
        <w:spacing w:before="0"/>
      </w:pPr>
      <w:r>
        <w:rPr>
          <w:rStyle w:val="htmlcodes"/>
          <w:vanish w:val="0"/>
        </w:rPr>
        <w:br w:type="page"/>
      </w:r>
      <w:r>
        <w:rPr>
          <w:rStyle w:val="htmlcodes"/>
        </w:rPr>
        <w:t>&lt;/pre&gt;&lt;p&gt;</w:t>
      </w:r>
      <w:r>
        <w:t>What about parenthesized sumti connection? Consider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t>I walk to either the market and the house, or the school and the office.</w:t>
      </w:r>
    </w:p>
    <w:p w:rsidR="00B72047" w:rsidRDefault="00B72047">
      <w:pPr>
        <w:pStyle w:val="normalafterexample"/>
      </w:pPr>
      <w:r>
        <w:rPr>
          <w:rStyle w:val="htmlcodes"/>
        </w:rPr>
        <w:t>&lt;/pre&gt;</w:t>
      </w:r>
      <w:r>
        <w:rPr>
          <w:rStyle w:val="indexentry"/>
        </w:rPr>
        <w:t>&lt;cx "logical connection of sumti, grouping with parentheses"&gt;</w:t>
      </w:r>
      <w:r>
        <w:rPr>
          <w:rStyle w:val="indexentry"/>
        </w:rPr>
        <w:fldChar w:fldCharType="begin"/>
      </w:r>
      <w:r>
        <w:instrText>xe "</w:instrText>
      </w:r>
      <w:r>
        <w:rPr>
          <w:rStyle w:val="xeentry"/>
        </w:rPr>
        <w:instrText>logical connection: of sumti, grouping with parenthesis</w:instrText>
      </w:r>
      <w:r>
        <w:instrText>"</w:instrText>
      </w:r>
      <w:r>
        <w:rPr>
          <w:rStyle w:val="indexentry"/>
        </w:rPr>
        <w:fldChar w:fldCharType="end"/>
      </w:r>
      <w:r>
        <w:rPr>
          <w:rStyle w:val="indexentry"/>
        </w:rPr>
        <w:t>&lt;cx "logical connection of sumti, restriction on ke"&gt;</w:t>
      </w:r>
      <w:r>
        <w:rPr>
          <w:rStyle w:val="indexentry"/>
        </w:rPr>
        <w:fldChar w:fldCharType="begin"/>
      </w:r>
      <w:r>
        <w:instrText>xe "</w:instrText>
      </w:r>
      <w:r>
        <w:rPr>
          <w:rStyle w:val="xeentry"/>
        </w:rPr>
        <w:instrText>logical connection: of sumti, restriction on ke</w:instrText>
      </w:r>
      <w:r>
        <w:instrText>"</w:instrText>
      </w:r>
      <w:r>
        <w:rPr>
          <w:rStyle w:val="indexentry"/>
        </w:rPr>
        <w:fldChar w:fldCharType="end"/>
      </w:r>
      <w:r>
        <w:rPr>
          <w:rStyle w:val="indexentry"/>
        </w:rPr>
        <w:t>&lt;cx "sumti, beginning with "ke"&gt;</w:t>
      </w:r>
      <w:r>
        <w:rPr>
          <w:rStyle w:val="indexentry"/>
        </w:rPr>
        <w:fldChar w:fldCharType="begin"/>
      </w:r>
      <w:r>
        <w:instrText>xe "</w:instrText>
      </w:r>
      <w:r>
        <w:rPr>
          <w:rStyle w:val="xeentry"/>
        </w:rPr>
        <w:instrText>sumti: beginning with \"ke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t xml:space="preserve">Two pairs of parentheses, analogous to </w:t>
      </w:r>
      <w:r>
        <w:rPr>
          <w:rStyle w:val="htmlcodes"/>
        </w:rPr>
        <w:t>&lt;a href=#e8d6&gt;</w:t>
      </w:r>
      <w:r>
        <w:t>Example 8.6</w:t>
      </w:r>
      <w:r>
        <w:rPr>
          <w:rStyle w:val="htmlcodes"/>
        </w:rPr>
        <w:t>&lt;/a&gt;</w:t>
      </w:r>
      <w:r>
        <w:t>, would seem to be the right</w:t>
      </w:r>
      <w:r>
        <w:rPr>
          <w:rStyle w:val="deletedparamark"/>
        </w:rPr>
        <w:t xml:space="preserve"> </w:t>
      </w:r>
      <w:r>
        <w:t>a</w:t>
      </w:r>
      <w:r>
        <w:t>p</w:t>
      </w:r>
      <w:r>
        <w:softHyphen/>
        <w:t>proach. However, it is a rule of Lojban grammar that a sumti may not begin</w:t>
      </w:r>
      <w:r>
        <w:rPr>
          <w:rStyle w:val="deletedparamark"/>
        </w:rPr>
        <w:t xml:space="preserve"> </w:t>
      </w:r>
      <w:r>
        <w:t xml:space="preserve">with “ke”, so the first set of parentheses must be omitted, producing </w:t>
      </w:r>
      <w:r>
        <w:rPr>
          <w:rStyle w:val="htmlcodes"/>
        </w:rPr>
        <w:t>&lt;a href=#e8d10&gt;</w:t>
      </w:r>
      <w:r>
        <w:t>Example 8.10</w:t>
      </w:r>
      <w:r>
        <w:rPr>
          <w:rStyle w:val="htmlcodes"/>
        </w:rPr>
        <w:t>&lt;/a&gt;</w:t>
      </w:r>
      <w:r>
        <w:t>,</w:t>
      </w:r>
      <w:r>
        <w:rPr>
          <w:rStyle w:val="deletedparamark"/>
        </w:rPr>
        <w:t xml:space="preserve"> </w:t>
      </w:r>
      <w:r>
        <w:t xml:space="preserve">which is instead parallel to </w:t>
      </w:r>
      <w:r>
        <w:rPr>
          <w:rStyle w:val="htmlcodes"/>
        </w:rPr>
        <w:t>&lt;a href=#e8d7&gt;</w:t>
      </w:r>
      <w:r>
        <w:t>Example 8.7</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mi dzukla le zarci .e le zdani .a ke le ckule .e le briju [ke'e]</w:t>
      </w:r>
    </w:p>
    <w:p w:rsidR="00B72047" w:rsidRDefault="00B72047">
      <w:pPr>
        <w:pStyle w:val="examplescaled"/>
      </w:pPr>
      <w:r>
        <w:tab/>
        <w:t>I walk-to the market and the house or ( the school and the office ).</w:t>
      </w:r>
    </w:p>
    <w:p w:rsidR="00B72047" w:rsidRDefault="00B72047">
      <w:pPr>
        <w:pStyle w:val="resumedafterexample"/>
      </w:pPr>
      <w:r>
        <w:rPr>
          <w:rStyle w:val="htmlcodes"/>
        </w:rPr>
        <w:t>&lt;/pre&gt;</w:t>
      </w:r>
      <w:r>
        <w:rPr>
          <w:rStyle w:val="indexentry"/>
        </w:rPr>
        <w:t>&lt;cx "ke in sumti grouping, where allowed"&gt;</w:t>
      </w:r>
      <w:r>
        <w:rPr>
          <w:rStyle w:val="indexentry"/>
        </w:rPr>
        <w:fldChar w:fldCharType="begin"/>
      </w:r>
      <w:r>
        <w:instrText>xe "</w:instrText>
      </w:r>
      <w:r>
        <w:rPr>
          <w:rStyle w:val="xeentry"/>
        </w:rPr>
        <w:instrText>ke in sumti grouping: where allowed</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t>If sumti were allowed to begin with “ke”, unavoidable ambiguities would</w:t>
      </w:r>
      <w:r>
        <w:rPr>
          <w:rStyle w:val="deletedparamark"/>
        </w:rPr>
        <w:t xml:space="preserve"> </w:t>
      </w:r>
      <w:r>
        <w:t>result, so “ke” grouping of sumti is allowed only just after a logical</w:t>
      </w:r>
      <w:r>
        <w:rPr>
          <w:rStyle w:val="deletedparamark"/>
        </w:rPr>
        <w:t xml:space="preserve"> </w:t>
      </w:r>
      <w:r>
        <w:t>connective. This rule does not apply to “tu'e” grouping of bridi, as</w:t>
      </w:r>
      <w:r>
        <w:rPr>
          <w:rStyle w:val="deletedparamark"/>
        </w:rPr>
        <w:t xml:space="preserve"> </w:t>
      </w:r>
      <w:r>
        <w:rPr>
          <w:rStyle w:val="htmlcodes"/>
        </w:rPr>
        <w:t>&lt;a href=#e8d6&gt;</w:t>
      </w:r>
      <w:r>
        <w:t xml:space="preserve">Example 8.6 </w:t>
      </w:r>
      <w:r>
        <w:rPr>
          <w:rStyle w:val="htmlcodes"/>
        </w:rPr>
        <w:t>&lt;/a&gt;</w:t>
      </w:r>
      <w:r>
        <w:t>shows.</w:t>
      </w:r>
    </w:p>
    <w:p w:rsidR="00B72047" w:rsidRDefault="00B72047">
      <w:pPr>
        <w:rPr>
          <w:rStyle w:val="htmlparacode"/>
        </w:rPr>
      </w:pPr>
      <w:r>
        <w:rPr>
          <w:rStyle w:val="htmlparacode"/>
        </w:rPr>
        <w:t>&lt;p&gt;</w:t>
      </w:r>
    </w:p>
    <w:p w:rsidR="00B72047" w:rsidRDefault="00B72047">
      <w:pPr>
        <w:pStyle w:val="normalparagraph"/>
      </w:pPr>
      <w:r>
        <w:rPr>
          <w:rStyle w:val="indexentry"/>
        </w:rPr>
        <w:t>&lt;ex "German rich man"&gt;</w:t>
      </w:r>
      <w:r>
        <w:rPr>
          <w:rStyle w:val="indexentry"/>
        </w:rPr>
        <w:fldChar w:fldCharType="begin"/>
      </w:r>
      <w:r>
        <w:instrText>xe "</w:instrText>
      </w:r>
      <w:r>
        <w:rPr>
          <w:rStyle w:val="xeentry"/>
        </w:rPr>
        <w:instrText>German rich man: example</w:instrText>
      </w:r>
      <w:r>
        <w:instrText>"</w:instrText>
      </w:r>
      <w:r>
        <w:rPr>
          <w:rStyle w:val="indexentry"/>
        </w:rPr>
        <w:fldChar w:fldCharType="end"/>
      </w:r>
      <w:r>
        <w:t xml:space="preserve">Now we have enough facilities to handle the problem of </w:t>
      </w:r>
      <w:r>
        <w:rPr>
          <w:rStyle w:val="htmlcodes"/>
        </w:rPr>
        <w:t>&lt;a href=#e7d3&gt;</w:t>
      </w:r>
      <w:r>
        <w:t>Example 7.3</w:t>
      </w:r>
      <w:r>
        <w:rPr>
          <w:rStyle w:val="htmlcodes"/>
        </w:rPr>
        <w:t>&lt;/a&gt;</w:t>
      </w:r>
      <w:r>
        <w:t>: “I am</w:t>
      </w:r>
      <w:r>
        <w:rPr>
          <w:rStyle w:val="deletedparamark"/>
        </w:rPr>
        <w:t xml:space="preserve"> </w:t>
      </w:r>
      <w:r>
        <w:t>German, rich, and a man — or else none of these.” The following paraphrase</w:t>
      </w:r>
      <w:r>
        <w:rPr>
          <w:rStyle w:val="deletedparamark"/>
        </w:rPr>
        <w:t xml:space="preserve"> </w:t>
      </w:r>
      <w:r>
        <w:t>has the correct 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name=e8d10&gt;</w:t>
      </w:r>
      <w:r>
        <w:t>8.10)</w:t>
      </w:r>
      <w:r>
        <w:tab/>
        <w:t xml:space="preserve"> [tu'e] mi dotco .ijo mi ricfu [tu'u]</w:t>
      </w:r>
    </w:p>
    <w:p w:rsidR="00B72047" w:rsidRDefault="00B72047">
      <w:pPr>
        <w:pStyle w:val="examplescaled"/>
      </w:pPr>
      <w:r>
        <w:tab/>
      </w:r>
      <w:r>
        <w:tab/>
        <w:t>.ije tu'e mi dotco  .ijo mi nanmu [tu'u]</w:t>
      </w:r>
    </w:p>
    <w:p w:rsidR="00B72047" w:rsidRDefault="00B72047">
      <w:pPr>
        <w:pStyle w:val="examplescaled"/>
      </w:pPr>
      <w:r>
        <w:tab/>
        <w:t>( I am-German if-and-only-if I am-rich )</w:t>
      </w:r>
    </w:p>
    <w:p w:rsidR="00B72047" w:rsidRDefault="00B72047">
      <w:pPr>
        <w:pStyle w:val="examplescaled"/>
      </w:pPr>
      <w:r>
        <w:tab/>
      </w:r>
      <w:r>
        <w:tab/>
        <w:t>and ( I am-German if-and-only-if I am-a-man ).</w:t>
      </w:r>
    </w:p>
    <w:p w:rsidR="00B72047" w:rsidRDefault="00B72047">
      <w:pPr>
        <w:pStyle w:val="resumedafterexample"/>
      </w:pPr>
      <w:r>
        <w:rPr>
          <w:rStyle w:val="htmlcodes"/>
        </w:rPr>
        <w:t>&lt;/pre&gt;&lt;p&gt;</w:t>
      </w:r>
      <w:r>
        <w:t>The truth table, when worked out, produces T if and only if all three</w:t>
      </w:r>
      <w:r>
        <w:rPr>
          <w:rStyle w:val="deletedparamark"/>
        </w:rPr>
        <w:t xml:space="preserve"> </w:t>
      </w:r>
      <w:r>
        <w:t>component sen</w:t>
      </w:r>
      <w:r>
        <w:softHyphen/>
        <w:t>tences are true or all three are false.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423" w:name="_Toc398970664"/>
      <w:r>
        <w:rPr>
          <w:rStyle w:val="Heading3Text"/>
        </w:rPr>
        <w:t>Compound bridi</w:t>
      </w:r>
      <w:bookmarkEnd w:id="42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of selbri"&gt;</w:t>
      </w:r>
      <w:r>
        <w:rPr>
          <w:rStyle w:val="indexentry"/>
        </w:rPr>
        <w:fldChar w:fldCharType="begin"/>
      </w:r>
      <w:r>
        <w:instrText>xe "</w:instrText>
      </w:r>
      <w:r>
        <w:rPr>
          <w:rStyle w:val="xeentry"/>
        </w:rPr>
        <w:instrText>logical connection: of selbri</w:instrText>
      </w:r>
      <w:r>
        <w:instrText>"</w:instrText>
      </w:r>
      <w:r>
        <w:rPr>
          <w:rStyle w:val="indexentry"/>
        </w:rPr>
        <w:fldChar w:fldCharType="end"/>
      </w:r>
      <w:r>
        <w:t>So far we have seen how to handle two sentences that need have no similarity</w:t>
      </w:r>
      <w:r>
        <w:rPr>
          <w:rStyle w:val="deletedparamark"/>
        </w:rPr>
        <w:t xml:space="preserve"> </w:t>
      </w:r>
      <w:r>
        <w:t>at all (bridi connection) and sentences that are identical except for</w:t>
      </w:r>
      <w:r>
        <w:rPr>
          <w:rStyle w:val="deletedparamark"/>
        </w:rPr>
        <w:t xml:space="preserve"> </w:t>
      </w:r>
      <w:r>
        <w:t>a difference in one sumti (sumti connection). It would seem natural to ask</w:t>
      </w:r>
      <w:r>
        <w:rPr>
          <w:rStyle w:val="deletedparamark"/>
        </w:rPr>
        <w:t xml:space="preserve"> </w:t>
      </w:r>
      <w:r>
        <w:t>how to logically connect sen</w:t>
      </w:r>
      <w:r>
        <w:softHyphen/>
        <w:t>tences that are identical except for having</w:t>
      </w:r>
      <w:r>
        <w:rPr>
          <w:rStyle w:val="deletedparamark"/>
        </w:rPr>
        <w:t xml:space="preserve"> </w:t>
      </w:r>
      <w:r>
        <w:t>different selbri.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bridi, definition"&gt;</w:t>
      </w:r>
      <w:r>
        <w:rPr>
          <w:rStyle w:val="indexentry"/>
        </w:rPr>
        <w:fldChar w:fldCharType="begin"/>
      </w:r>
      <w:r>
        <w:instrText>xe "</w:instrText>
      </w:r>
      <w:r>
        <w:rPr>
          <w:rStyle w:val="xeentry"/>
        </w:rPr>
        <w:instrText>compound bridi: definition</w:instrText>
      </w:r>
      <w:r>
        <w:instrText>"</w:instrText>
      </w:r>
      <w:r>
        <w:rPr>
          <w:rStyle w:val="indexentry"/>
        </w:rPr>
        <w:fldChar w:fldCharType="end"/>
      </w:r>
      <w:r>
        <w:t>Surprise! Lojban provides no logical connective that is designed to</w:t>
      </w:r>
      <w:r>
        <w:rPr>
          <w:rStyle w:val="deletedparamark"/>
        </w:rPr>
        <w:t xml:space="preserve"> </w:t>
      </w:r>
      <w:r>
        <w:t>handle sel</w:t>
      </w:r>
      <w:r>
        <w:softHyphen/>
        <w:t>bri and nothing else. Instead, selbri connection is provided</w:t>
      </w:r>
      <w:r>
        <w:rPr>
          <w:rStyle w:val="deletedparamark"/>
        </w:rPr>
        <w:t xml:space="preserve"> </w:t>
      </w:r>
      <w:r>
        <w:t>as part of a more general-purpose mechanism called “compound bridi”.</w:t>
      </w:r>
      <w:r>
        <w:rPr>
          <w:rStyle w:val="deletedparamark"/>
        </w:rPr>
        <w:t xml:space="preserve"> </w:t>
      </w:r>
      <w:r>
        <w:t>Compound bridi result from logically connecting sentences that differ</w:t>
      </w:r>
      <w:r>
        <w:rPr>
          <w:rStyle w:val="deletedparamark"/>
        </w:rPr>
        <w:t xml:space="preserve"> </w:t>
      </w:r>
      <w:r>
        <w:t>in their selbri and possibly some of their sumti.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"compound bridi, one sumti in common"&gt;</w:t>
      </w:r>
      <w:r>
        <w:rPr>
          <w:rStyle w:val="indexentry"/>
        </w:rPr>
        <w:fldChar w:fldCharType="begin"/>
      </w:r>
      <w:r>
        <w:instrText>xe "</w:instrText>
      </w:r>
      <w:r>
        <w:rPr>
          <w:rStyle w:val="xeentry"/>
        </w:rPr>
        <w:instrText>compound bridi: one sumti in common</w:instrText>
      </w:r>
      <w:r>
        <w:instrText>"</w:instrText>
      </w:r>
      <w:r>
        <w:rPr>
          <w:rStyle w:val="indexentry"/>
        </w:rPr>
        <w:fldChar w:fldCharType="end"/>
      </w:r>
      <w:r>
        <w:t>The simplest cases result when the x1 sumti is the only common point: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mi klama le zarci  .ije mi nelci la djan.</w:t>
      </w:r>
    </w:p>
    <w:p w:rsidR="00B72047" w:rsidRDefault="00B72047">
      <w:pPr>
        <w:pStyle w:val="examplescaled"/>
      </w:pPr>
      <w:r>
        <w:tab/>
        <w:t>I go to the market, and I like John.</w:t>
      </w:r>
    </w:p>
    <w:p w:rsidR="00B72047" w:rsidRDefault="00B72047">
      <w:pPr>
        <w:pStyle w:val="resumedafterexample"/>
      </w:pPr>
      <w:r>
        <w:rPr>
          <w:rStyle w:val="htmlcodes"/>
        </w:rPr>
        <w:t>&lt;/pre&gt;</w:t>
      </w:r>
      <w:r>
        <w:t>is equivalent in meaning to the compound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mi klama le zarci gi'e nelci la djan.</w:t>
      </w:r>
    </w:p>
    <w:p w:rsidR="00B72047" w:rsidRDefault="00B72047">
      <w:pPr>
        <w:pStyle w:val="examplescaled"/>
      </w:pPr>
      <w:r>
        <w:tab/>
        <w:t>I go-to the market and like John.</w:t>
      </w:r>
    </w:p>
    <w:p w:rsidR="00B72047" w:rsidRDefault="00B72047">
      <w:pPr>
        <w:pStyle w:val="normalafterexample"/>
      </w:pPr>
      <w:r>
        <w:rPr>
          <w:rStyle w:val="htmlcodes"/>
        </w:rPr>
        <w:t>&lt;/pre&gt;</w:t>
      </w:r>
      <w:r>
        <w:rPr>
          <w:rStyle w:val="indexentry"/>
        </w:rPr>
        <w:t>&lt;cx "gihek, definition"&gt;</w:t>
      </w:r>
      <w:r>
        <w:rPr>
          <w:rStyle w:val="indexentry"/>
        </w:rPr>
        <w:fldChar w:fldCharType="begin"/>
      </w:r>
      <w:r>
        <w:instrText>xe "</w:instrText>
      </w:r>
      <w:r>
        <w:rPr>
          <w:rStyle w:val="xeentry"/>
        </w:rPr>
        <w:instrText>gihek: definition</w:instrText>
      </w:r>
      <w:r>
        <w:instrText>"</w:instrText>
      </w:r>
      <w:r>
        <w:rPr>
          <w:rStyle w:val="indexentry"/>
        </w:rPr>
        <w:fldChar w:fldCharType="end"/>
      </w:r>
      <w:r>
        <w:rPr>
          <w:rStyle w:val="indexentry"/>
        </w:rPr>
        <w:t>&lt;lx "gi'e"&gt;</w:t>
      </w:r>
      <w:r>
        <w:rPr>
          <w:rStyle w:val="indexentry"/>
        </w:rPr>
        <w:fldChar w:fldCharType="begin"/>
      </w:r>
      <w:r>
        <w:instrText>xe "</w:instrText>
      </w:r>
      <w:r>
        <w:rPr>
          <w:rStyle w:val="xeentry"/>
        </w:rPr>
        <w:instrText>gi'e</w:instrText>
      </w:r>
      <w:r>
        <w:instrText>"</w:instrText>
      </w:r>
      <w:r>
        <w:rPr>
          <w:rStyle w:val="indexentry"/>
        </w:rPr>
        <w:fldChar w:fldCharType="end"/>
      </w:r>
      <w:r>
        <w:rPr>
          <w:rStyle w:val="indexentry"/>
        </w:rPr>
        <w:t>&lt;cx "bridi-tail, definition"&gt;</w:t>
      </w:r>
      <w:r>
        <w:rPr>
          <w:rStyle w:val="indexentry"/>
        </w:rPr>
        <w:fldChar w:fldCharType="begin"/>
      </w:r>
      <w:r>
        <w:instrText>xe "</w:instrText>
      </w:r>
      <w:r>
        <w:rPr>
          <w:rStyle w:val="xeentry"/>
        </w:rPr>
        <w:instrText>bridi-tail: definition</w:instrText>
      </w:r>
      <w:r>
        <w:instrText>"</w:instrText>
      </w:r>
      <w:r>
        <w:rPr>
          <w:rStyle w:val="indexentry"/>
        </w:rPr>
        <w:fldChar w:fldCharType="end"/>
      </w:r>
      <w:r>
        <w:rPr>
          <w:rStyle w:val="indexentry"/>
        </w:rPr>
        <w:t>&lt;cx "compound bridi, logical connection of"&gt;</w:t>
      </w:r>
      <w:r>
        <w:rPr>
          <w:rStyle w:val="indexentry"/>
        </w:rPr>
        <w:fldChar w:fldCharType="begin"/>
      </w:r>
      <w:r>
        <w:instrText>xe "</w:instrText>
      </w:r>
      <w:r>
        <w:rPr>
          <w:rStyle w:val="xeentry"/>
        </w:rPr>
        <w:instrText>compound bridi: logical connection of</w:instrText>
      </w:r>
      <w:r>
        <w:instrText>"</w:instrText>
      </w:r>
      <w:r>
        <w:rPr>
          <w:rStyle w:val="indexentry"/>
        </w:rPr>
        <w:fldChar w:fldCharType="end"/>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t xml:space="preserve">As </w:t>
      </w:r>
      <w:r>
        <w:rPr>
          <w:rStyle w:val="htmlcodes"/>
        </w:rPr>
        <w:t>&lt;a href=#e9d2&gt;</w:t>
      </w:r>
      <w:r>
        <w:t xml:space="preserve">Example 9.2 </w:t>
      </w:r>
      <w:r>
        <w:rPr>
          <w:rStyle w:val="htmlcodes"/>
        </w:rPr>
        <w:t>&lt;/a&gt;</w:t>
      </w:r>
      <w:r>
        <w:t>indicates, giheks are used in afterthought to create compound</w:t>
      </w:r>
      <w:r>
        <w:rPr>
          <w:rStyle w:val="deletedparamark"/>
        </w:rPr>
        <w:t xml:space="preserve"> </w:t>
      </w:r>
      <w:r>
        <w:t>bridi; “gi'e” is the gihek corresponding to “and”. The actual phrases</w:t>
      </w:r>
      <w:r>
        <w:rPr>
          <w:rStyle w:val="deletedparamark"/>
        </w:rPr>
        <w:t xml:space="preserve"> “</w:t>
      </w:r>
      <w:r>
        <w:t>klama le zarci” and “nelci la djan.” that the gihek connects are known as</w:t>
      </w:r>
      <w:r>
        <w:rPr>
          <w:rStyle w:val="deletedparamark"/>
        </w:rPr>
        <w:t xml:space="preserve"> “</w:t>
      </w:r>
      <w:r>
        <w:t>bridi-tails”, because they represent (in this use) the “tail end” of a</w:t>
      </w:r>
      <w:r>
        <w:rPr>
          <w:rStyle w:val="deletedparamark"/>
        </w:rPr>
        <w:t xml:space="preserve"> </w:t>
      </w:r>
      <w:r>
        <w:t>bridi, including the selbri and any following sumti, but excluding any sumti</w:t>
      </w:r>
      <w:r>
        <w:rPr>
          <w:rStyle w:val="deletedparamark"/>
        </w:rPr>
        <w:t xml:space="preserve"> </w:t>
      </w:r>
      <w:r>
        <w:t>that precede the selbri:</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name=e9d3&gt;</w:t>
      </w:r>
      <w:r>
        <w:t>9.3)</w:t>
      </w:r>
      <w:r>
        <w:tab/>
        <w:t>mi ricfu gi'e klama le zarci</w:t>
      </w:r>
    </w:p>
    <w:p w:rsidR="00B72047" w:rsidRDefault="00B72047">
      <w:pPr>
        <w:pStyle w:val="examplescaled"/>
      </w:pPr>
      <w:r>
        <w:tab/>
        <w:t>I am-rich and go-to the market.</w:t>
      </w:r>
    </w:p>
    <w:p w:rsidR="00B72047" w:rsidRDefault="00B72047">
      <w:pPr>
        <w:pStyle w:val="normalafterexample"/>
      </w:pPr>
      <w:r>
        <w:rPr>
          <w:rStyle w:val="htmlcodes"/>
        </w:rPr>
        <w:t>&lt;/pre&gt;&lt;p&gt;</w:t>
      </w:r>
      <w:r>
        <w:t xml:space="preserve">In </w:t>
      </w:r>
      <w:r>
        <w:rPr>
          <w:rStyle w:val="htmlcodes"/>
        </w:rPr>
        <w:t>&lt;a href=#e9d3&gt;</w:t>
      </w:r>
      <w:r>
        <w:t>Example 9.3</w:t>
      </w:r>
      <w:r>
        <w:rPr>
          <w:rStyle w:val="htmlcodes"/>
        </w:rPr>
        <w:t>&lt;/a&gt;</w:t>
      </w:r>
      <w:r>
        <w:t>, the first bridi-tail is “ricfu”, a simple selbri, and</w:t>
      </w:r>
      <w:r>
        <w:rPr>
          <w:rStyle w:val="deletedparamark"/>
        </w:rPr>
        <w:t xml:space="preserve"> </w:t>
      </w:r>
      <w:r>
        <w:t>the second bridi-tail is “klama le zarci”, a selbri with one following</w:t>
      </w:r>
      <w:r>
        <w:rPr>
          <w:rStyle w:val="deletedparamark"/>
        </w:rPr>
        <w:t xml:space="preserve"> </w:t>
      </w:r>
      <w:r>
        <w:t>sumti.</w:t>
      </w:r>
    </w:p>
    <w:p w:rsidR="00B72047" w:rsidRDefault="00B72047">
      <w:pPr>
        <w:rPr>
          <w:rStyle w:val="htmlparacode"/>
        </w:rPr>
      </w:pPr>
      <w:r>
        <w:rPr>
          <w:rStyle w:val="htmlparacode"/>
        </w:rPr>
        <w:t>&lt;p&gt;</w:t>
      </w:r>
    </w:p>
    <w:p w:rsidR="00B72047" w:rsidRDefault="00B72047">
      <w:pPr>
        <w:pStyle w:val="normalparagraph"/>
      </w:pPr>
      <w:r>
        <w:rPr>
          <w:rStyle w:val="indexentry"/>
        </w:rPr>
        <w:t>&lt;cx "compound bridi, more than one sumti in common"&gt;</w:t>
      </w:r>
      <w:r>
        <w:rPr>
          <w:rStyle w:val="indexentry"/>
        </w:rPr>
        <w:fldChar w:fldCharType="begin"/>
      </w:r>
      <w:r>
        <w:instrText>xe "</w:instrText>
      </w:r>
      <w:r>
        <w:rPr>
          <w:rStyle w:val="xeentry"/>
        </w:rPr>
        <w:instrText>compound bridi: more than one sumti in common</w:instrText>
      </w:r>
      <w:r>
        <w:instrText>"</w:instrText>
      </w:r>
      <w:r>
        <w:rPr>
          <w:rStyle w:val="indexentry"/>
        </w:rPr>
        <w:fldChar w:fldCharType="end"/>
      </w:r>
      <w:r>
        <w:t>Suppose that more than a single sumti is identical between the two</w:t>
      </w:r>
      <w:r>
        <w:rPr>
          <w:rStyle w:val="deletedparamark"/>
        </w:rPr>
        <w:t xml:space="preserve"> </w:t>
      </w:r>
      <w:r>
        <w:t>sentences: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mi dunda le cukta do  .ije mi lebna lo rupnu do</w:t>
      </w:r>
    </w:p>
    <w:p w:rsidR="00B72047" w:rsidRDefault="00B72047">
      <w:pPr>
        <w:pStyle w:val="examplescaled"/>
      </w:pPr>
      <w:r>
        <w:tab/>
        <w:t>I give the book to-you, and I take some currency-units from-you.</w:t>
      </w:r>
    </w:p>
    <w:p w:rsidR="00B72047" w:rsidRDefault="00B72047">
      <w:pPr>
        <w:pStyle w:val="resumedafterexample"/>
      </w:pPr>
      <w:r>
        <w:rPr>
          <w:rStyle w:val="htmlcodes"/>
        </w:rPr>
        <w:t>&lt;/pre&gt;</w:t>
      </w:r>
      <w:r>
        <w:rPr>
          <w:rStyle w:val="indexentry"/>
        </w:rPr>
        <w:t>&lt;cx "compound bridi with more than one sumti in common, with common sumti first"&gt;</w:t>
      </w:r>
      <w:r>
        <w:rPr>
          <w:rStyle w:val="indexentry"/>
        </w:rPr>
        <w:fldChar w:fldCharType="begin"/>
      </w:r>
      <w:r>
        <w:instrText>xe "</w:instrText>
      </w:r>
      <w:r>
        <w:rPr>
          <w:rStyle w:val="xeentry"/>
        </w:rPr>
        <w:instrText>compound bridi with more than one sumti in common: with common sumti first</w:instrText>
      </w:r>
      <w:r>
        <w:instrText>"</w:instrText>
      </w:r>
      <w:r>
        <w:rPr>
          <w:rStyle w:val="indexentry"/>
        </w:rPr>
        <w:fldChar w:fldCharType="end"/>
      </w:r>
      <w:r>
        <w:t xml:space="preserve">In </w:t>
      </w:r>
      <w:r>
        <w:rPr>
          <w:rStyle w:val="htmlcodes"/>
        </w:rPr>
        <w:t>&lt;a href=#e9d4&gt;</w:t>
      </w:r>
      <w:r>
        <w:t>Example 9.4</w:t>
      </w:r>
      <w:r>
        <w:rPr>
          <w:rStyle w:val="htmlcodes"/>
        </w:rPr>
        <w:t>&lt;/a&gt;</w:t>
      </w:r>
      <w:r>
        <w:t>, the first and last sumti of each bridi are identical; the</w:t>
      </w:r>
      <w:r>
        <w:rPr>
          <w:rStyle w:val="deletedparamark"/>
        </w:rPr>
        <w:t xml:space="preserve"> </w:t>
      </w:r>
      <w:r>
        <w:t>selbri and the se</w:t>
      </w:r>
      <w:r>
        <w:t>c</w:t>
      </w:r>
      <w:r>
        <w:softHyphen/>
        <w:t>ond sumti are different. By moving the final sumti</w:t>
      </w:r>
      <w:r>
        <w:rPr>
          <w:rStyle w:val="deletedparamark"/>
        </w:rPr>
        <w:t xml:space="preserve"> </w:t>
      </w:r>
      <w:r>
        <w:t>to the beginning, a form analo</w:t>
      </w:r>
      <w:r>
        <w:softHyphen/>
        <w:t xml:space="preserve">gous to </w:t>
      </w:r>
      <w:r>
        <w:rPr>
          <w:rStyle w:val="htmlcodes"/>
        </w:rPr>
        <w:t>&lt;a href=#e9d2&gt;</w:t>
      </w:r>
      <w:r>
        <w:t xml:space="preserve">Example 9.2 </w:t>
      </w:r>
      <w:r>
        <w:rPr>
          <w:rStyle w:val="htmlcodes"/>
        </w:rPr>
        <w:t>&lt;/a&gt;</w:t>
      </w:r>
      <w:r>
        <w:t>can be achieved: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fi do fa mi dunda le cukta gi'e lebna lo rupnu</w:t>
      </w:r>
    </w:p>
    <w:p w:rsidR="00B72047" w:rsidRDefault="00B72047">
      <w:pPr>
        <w:pStyle w:val="examplescaled"/>
      </w:pPr>
      <w:r>
        <w:tab/>
        <w:t>To/from you I give the book and take some currency-units.</w:t>
      </w:r>
    </w:p>
    <w:p w:rsidR="00B72047" w:rsidRDefault="00B72047">
      <w:pPr>
        <w:pStyle w:val="resumedafterexample"/>
      </w:pPr>
      <w:r>
        <w:rPr>
          <w:rStyle w:val="htmlcodes"/>
        </w:rPr>
        <w:t>&lt;/pre&gt;</w:t>
      </w:r>
      <w:r>
        <w:rPr>
          <w:rStyle w:val="indexentry"/>
        </w:rPr>
        <w:t>&lt;cx "logical connectives, bridi-tail connection"&gt;</w:t>
      </w:r>
      <w:r>
        <w:rPr>
          <w:rStyle w:val="indexentry"/>
        </w:rPr>
        <w:fldChar w:fldCharType="begin"/>
      </w:r>
      <w:r>
        <w:instrText>xe "</w:instrText>
      </w:r>
      <w:r>
        <w:rPr>
          <w:rStyle w:val="xeentry"/>
        </w:rPr>
        <w:instrText>logical connectives: bridi-tail connection</w:instrText>
      </w:r>
      <w:r>
        <w:instrText>"</w:instrText>
      </w:r>
      <w:r>
        <w:rPr>
          <w:rStyle w:val="indexentry"/>
        </w:rPr>
        <w:fldChar w:fldCharType="end"/>
      </w:r>
      <w:r>
        <w:rPr>
          <w:rStyle w:val="indexentry"/>
        </w:rPr>
        <w:t>&lt;cx "tail-terms, definition"&gt;</w:t>
      </w:r>
      <w:r>
        <w:rPr>
          <w:rStyle w:val="indexentry"/>
        </w:rPr>
        <w:fldChar w:fldCharType="begin"/>
      </w:r>
      <w:r>
        <w:instrText>xe "</w:instrText>
      </w:r>
      <w:r>
        <w:rPr>
          <w:rStyle w:val="xeentry"/>
        </w:rPr>
        <w:instrText>tail-terms: definition</w:instrText>
      </w:r>
      <w:r>
        <w:instrText>"</w:instrText>
      </w:r>
      <w:r>
        <w:rPr>
          <w:rStyle w:val="indexentry"/>
        </w:rPr>
        <w:fldChar w:fldCharType="end"/>
      </w:r>
      <w:r>
        <w:t>where the “fi” does not have an exact English translation because it</w:t>
      </w:r>
      <w:r>
        <w:rPr>
          <w:rStyle w:val="deletedparamark"/>
        </w:rPr>
        <w:t xml:space="preserve"> </w:t>
      </w:r>
      <w:r>
        <w:t>merely places “do” in the third place of both “lebna” and “dunda”.</w:t>
      </w:r>
      <w:r>
        <w:rPr>
          <w:rStyle w:val="deletedparamark"/>
        </w:rPr>
        <w:t xml:space="preserve"> </w:t>
      </w:r>
      <w:r>
        <w:t>However, a form that preserves natural sumti order also exists in Lojban.</w:t>
      </w:r>
      <w:r>
        <w:rPr>
          <w:rStyle w:val="deletedparamark"/>
        </w:rPr>
        <w:t xml:space="preserve"> </w:t>
      </w:r>
      <w:r>
        <w:t>Giheks connect two bridi-tails, but also allow sumti to be added following</w:t>
      </w:r>
      <w:r>
        <w:rPr>
          <w:rStyle w:val="deletedparamark"/>
        </w:rPr>
        <w:t xml:space="preserve"> </w:t>
      </w:r>
      <w:r>
        <w:t>the bridi-tail. These sumti are known as tail-terms, and apply to both</w:t>
      </w:r>
      <w:r>
        <w:rPr>
          <w:rStyle w:val="deletedparamark"/>
        </w:rPr>
        <w:t xml:space="preserve"> </w:t>
      </w:r>
      <w:r>
        <w:t xml:space="preserve">bridi. The straightforward gihek version of </w:t>
      </w:r>
      <w:r>
        <w:rPr>
          <w:rStyle w:val="htmlcodes"/>
        </w:rPr>
        <w:t>&lt;a href=#e9d4&gt;</w:t>
      </w:r>
      <w:r>
        <w:t xml:space="preserve">Example 9.4 </w:t>
      </w:r>
      <w:r>
        <w:rPr>
          <w:rStyle w:val="htmlcodes"/>
        </w:rPr>
        <w:t>&lt;/a&gt;</w:t>
      </w:r>
      <w:r>
        <w:t>therefore is:</w:t>
      </w:r>
    </w:p>
    <w:p w:rsidR="00B72047" w:rsidRDefault="00B72047">
      <w:pPr>
        <w:rPr>
          <w:rStyle w:val="htmlparacode"/>
        </w:rPr>
      </w:pPr>
      <w:r>
        <w:rPr>
          <w:rStyle w:val="htmlparacode"/>
        </w:rPr>
        <w:t>&lt;p&gt;</w:t>
      </w:r>
    </w:p>
    <w:p w:rsidR="00B72047" w:rsidRDefault="00B72047">
      <w:pPr>
        <w:pStyle w:val="examplescaledpre"/>
      </w:pPr>
      <w:r>
        <w:rPr>
          <w:rStyle w:val="indexentry"/>
        </w:rPr>
        <w:t>&lt;lx "vau"&gt;</w:t>
      </w:r>
      <w:r>
        <w:rPr>
          <w:rStyle w:val="indexentry"/>
        </w:rPr>
        <w:fldChar w:fldCharType="begin"/>
      </w:r>
      <w:r>
        <w:instrText>xe "</w:instrText>
      </w:r>
      <w:r>
        <w:rPr>
          <w:rStyle w:val="xeentry"/>
        </w:rPr>
        <w:instrText>vau</w:instrText>
      </w:r>
      <w:r>
        <w:instrText>"</w:instrText>
      </w:r>
      <w:r>
        <w:rPr>
          <w:rStyle w:val="indexentry"/>
        </w:rPr>
        <w:fldChar w:fldCharType="end"/>
      </w:r>
      <w:r>
        <w:rPr>
          <w:rStyle w:val="indexentry"/>
        </w:rPr>
        <w:t>&lt;lx "VAU"&gt;</w:t>
      </w:r>
      <w:r>
        <w:rPr>
          <w:rStyle w:val="indexentry"/>
        </w:rPr>
        <w:fldChar w:fldCharType="begin"/>
      </w:r>
      <w:r>
        <w:instrText>xe "</w:instrText>
      </w:r>
      <w:r>
        <w:rPr>
          <w:rStyle w:val="xeentry"/>
        </w:rPr>
        <w:instrText>VAU selma’o</w:instrText>
      </w:r>
      <w:r>
        <w:instrText>"</w:instrText>
      </w:r>
      <w:r>
        <w:rPr>
          <w:rStyle w:val="indexentry"/>
        </w:rPr>
        <w:fldChar w:fldCharType="end"/>
      </w:r>
      <w:r>
        <w:rPr>
          <w:rStyle w:val="indexentry"/>
        </w:rPr>
        <w:t>&lt;cx "compound bridi with more than one sumti in common, with vau"&gt;</w:t>
      </w:r>
      <w:r>
        <w:rPr>
          <w:rStyle w:val="indexentry"/>
        </w:rPr>
        <w:fldChar w:fldCharType="begin"/>
      </w:r>
      <w:r>
        <w:instrText>xe "</w:instrText>
      </w:r>
      <w:r>
        <w:rPr>
          <w:rStyle w:val="xeentry"/>
        </w:rPr>
        <w:instrText>compound bridi with more than one sumti in common: with vau</w:instrText>
      </w:r>
      <w:r>
        <w:instrText>"</w:instrText>
      </w:r>
      <w:r>
        <w:rPr>
          <w:rStyle w:val="indexentry"/>
        </w:rPr>
        <w:fldChar w:fldCharType="end"/>
      </w:r>
      <w:r>
        <w:rPr>
          <w:rStyle w:val="htmlcodes"/>
        </w:rPr>
        <w:t>&lt;pre&gt;&lt;a name=e9d6&gt;</w:t>
      </w:r>
      <w:r>
        <w:t>9.6)</w:t>
      </w:r>
      <w:r>
        <w:tab/>
        <w:t>mi dunda le cukta gi'e lebna lo rupnu vau do</w:t>
      </w:r>
    </w:p>
    <w:p w:rsidR="00B72047" w:rsidRDefault="00B72047">
      <w:pPr>
        <w:pStyle w:val="examplescaled"/>
      </w:pPr>
      <w:r>
        <w:tab/>
        <w:t>I (give the book) and (take some currency-units) to/from you.</w:t>
      </w:r>
    </w:p>
    <w:p w:rsidR="00B72047" w:rsidRDefault="00B72047">
      <w:pPr>
        <w:pStyle w:val="normalafterexample"/>
      </w:pPr>
      <w:r>
        <w:rPr>
          <w:rStyle w:val="htmlcodes"/>
        </w:rPr>
        <w:t>&lt;/pre&gt;</w:t>
      </w:r>
      <w:r>
        <w:rPr>
          <w:rStyle w:val="indexentry"/>
        </w:rPr>
        <w:t>&lt;cx "bridi-tails, eliding vau in"&gt;</w:t>
      </w:r>
      <w:r>
        <w:rPr>
          <w:rStyle w:val="indexentry"/>
        </w:rPr>
        <w:fldChar w:fldCharType="begin"/>
      </w:r>
      <w:r>
        <w:instrText>xe "</w:instrText>
      </w:r>
      <w:r>
        <w:rPr>
          <w:rStyle w:val="xeentry"/>
        </w:rPr>
        <w:instrText>bridi-tails: eliding vau in</w:instrText>
      </w:r>
      <w:r>
        <w:instrText>"</w:instrText>
      </w:r>
      <w:r>
        <w:rPr>
          <w:rStyle w:val="indexentry"/>
        </w:rPr>
        <w:fldChar w:fldCharType="end"/>
      </w:r>
      <w:r>
        <w:t>The “vau” (of selma'o VAU) serves to separate the bridi-tail from the</w:t>
      </w:r>
      <w:r>
        <w:rPr>
          <w:rStyle w:val="deletedparamark"/>
        </w:rPr>
        <w:t xml:space="preserve"> </w:t>
      </w:r>
      <w:r>
        <w:t>tail-terms. Every bridi-tail is terminated by an elidable “vau”, but only in</w:t>
      </w:r>
      <w:r>
        <w:rPr>
          <w:rStyle w:val="deletedparamark"/>
        </w:rPr>
        <w:t xml:space="preserve"> </w:t>
      </w:r>
      <w:r>
        <w:t>connection with compound bridi is it ever necessary to express this “vau”.</w:t>
      </w:r>
      <w:r>
        <w:rPr>
          <w:rStyle w:val="deletedparamark"/>
        </w:rPr>
        <w:t xml:space="preserve"> </w:t>
      </w:r>
      <w:r>
        <w:t>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name=e9d7&gt;</w:t>
      </w:r>
      <w:r>
        <w:t>9.7)</w:t>
      </w:r>
      <w:r>
        <w:tab/>
        <w:t>mi klama le zarci [vau]</w:t>
      </w:r>
    </w:p>
    <w:p w:rsidR="00B72047" w:rsidRDefault="00B72047">
      <w:pPr>
        <w:pStyle w:val="examplescaled"/>
      </w:pPr>
      <w:r>
        <w:tab/>
        <w:t>I go-to the market.</w:t>
      </w:r>
    </w:p>
    <w:p w:rsidR="00B72047" w:rsidRDefault="00B72047">
      <w:pPr>
        <w:pStyle w:val="resumedafterexample"/>
      </w:pPr>
      <w:r>
        <w:rPr>
          <w:rStyle w:val="htmlcodes"/>
        </w:rPr>
        <w:t>&lt;/pre&gt;</w:t>
      </w:r>
      <w:r>
        <w:t xml:space="preserve">has a single elided “vau”, and </w:t>
      </w:r>
      <w:r>
        <w:rPr>
          <w:rStyle w:val="htmlcodes"/>
        </w:rPr>
        <w:t>&lt;a href=#e9d2&gt;</w:t>
      </w:r>
      <w:r>
        <w:t xml:space="preserve">Example 9.2 </w:t>
      </w:r>
      <w:r>
        <w:rPr>
          <w:rStyle w:val="htmlcodes"/>
        </w:rPr>
        <w:t>&lt;/a&gt;</w:t>
      </w:r>
      <w:r>
        <w:t>is equivalent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name=e9d8&gt;</w:t>
      </w:r>
      <w:r>
        <w:t>9.8)</w:t>
      </w:r>
      <w:r>
        <w:tab/>
        <w:t>mi klama le zarci [vau] gi'e nelci la djan. [vau] [vau]</w:t>
      </w:r>
    </w:p>
    <w:p w:rsidR="00B72047" w:rsidRDefault="00B72047">
      <w:pPr>
        <w:pStyle w:val="resumedafterexample"/>
      </w:pPr>
      <w:r>
        <w:rPr>
          <w:rStyle w:val="htmlcodes"/>
        </w:rPr>
        <w:t>&lt;/pre&gt;</w:t>
      </w:r>
      <w:r>
        <w:t xml:space="preserve">where the double “vau” at the end of </w:t>
      </w:r>
      <w:r>
        <w:rPr>
          <w:rStyle w:val="htmlcodes"/>
        </w:rPr>
        <w:t>&lt;a href=#e9d8&gt;</w:t>
      </w:r>
      <w:r>
        <w:t xml:space="preserve">Example 9.8 </w:t>
      </w:r>
      <w:r>
        <w:rPr>
          <w:rStyle w:val="htmlcodes"/>
        </w:rPr>
        <w:t>&lt;/a&gt;</w:t>
      </w:r>
      <w:r>
        <w:t>terminates both the</w:t>
      </w:r>
      <w:r>
        <w:rPr>
          <w:rStyle w:val="deletedparamark"/>
        </w:rPr>
        <w:t xml:space="preserve"> </w:t>
      </w:r>
      <w:r>
        <w:t>right-hand bridi-tail and the unexpressed tail-terms.</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observative sentence connection"&gt;</w:t>
      </w:r>
      <w:r>
        <w:rPr>
          <w:rStyle w:val="indexentry"/>
        </w:rPr>
        <w:fldChar w:fldCharType="begin"/>
      </w:r>
      <w:r>
        <w:instrText>xe "</w:instrText>
      </w:r>
      <w:r>
        <w:rPr>
          <w:rStyle w:val="xeentry"/>
        </w:rPr>
        <w:instrText>logical connectives: observative sentence connection</w:instrText>
      </w:r>
      <w:r>
        <w:instrText>"</w:instrText>
      </w:r>
      <w:r>
        <w:rPr>
          <w:rStyle w:val="indexentry"/>
        </w:rPr>
        <w:fldChar w:fldCharType="end"/>
      </w:r>
      <w:r>
        <w:t>A final use of giheks is to combine bridi-tails used as complete sentences,</w:t>
      </w:r>
      <w:r>
        <w:rPr>
          <w:rStyle w:val="deletedparamark"/>
        </w:rPr>
        <w:t xml:space="preserve"> </w:t>
      </w:r>
      <w:r>
        <w:t>the Lojban observative: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name=e9d9&gt;</w:t>
      </w:r>
      <w:r>
        <w:t>9.9)</w:t>
      </w:r>
      <w:r>
        <w:tab/>
        <w:t>klama le zarci gi'e dzukla le briju</w:t>
      </w:r>
    </w:p>
    <w:p w:rsidR="00B72047" w:rsidRDefault="00B72047">
      <w:pPr>
        <w:pStyle w:val="examplescaled"/>
      </w:pPr>
      <w:r>
        <w:tab/>
        <w:t>A goer to-the market and a walker to-the office.</w:t>
      </w:r>
    </w:p>
    <w:p w:rsidR="00B72047" w:rsidRDefault="00B72047">
      <w:pPr>
        <w:pStyle w:val="resumedafterexample"/>
      </w:pPr>
      <w:r>
        <w:rPr>
          <w:rStyle w:val="htmlcodes"/>
        </w:rPr>
        <w:t>&lt;/pre&gt;</w:t>
      </w:r>
      <w:r>
        <w:rPr>
          <w:rStyle w:val="indexentry"/>
        </w:rPr>
        <w:t>&lt;cx "logical connection of observatives, relation of first places"&gt;</w:t>
      </w:r>
      <w:r>
        <w:rPr>
          <w:rStyle w:val="indexentry"/>
        </w:rPr>
        <w:fldChar w:fldCharType="begin"/>
      </w:r>
      <w:r>
        <w:instrText>xe "</w:instrText>
      </w:r>
      <w:r>
        <w:rPr>
          <w:rStyle w:val="xeentry"/>
        </w:rPr>
        <w:instrText>logical connection: of observatives, relation of first places</w:instrText>
      </w:r>
      <w:r>
        <w:instrText>"</w:instrText>
      </w:r>
      <w:r>
        <w:rPr>
          <w:rStyle w:val="indexentry"/>
        </w:rPr>
        <w:fldChar w:fldCharType="end"/>
      </w:r>
      <w:r>
        <w:t xml:space="preserve">Since x1 is omitted in both of the bridi underlying </w:t>
      </w:r>
      <w:r>
        <w:rPr>
          <w:rStyle w:val="htmlcodes"/>
        </w:rPr>
        <w:t>&lt;a href=#e9d9&gt;</w:t>
      </w:r>
      <w:r>
        <w:t>Example 9.9</w:t>
      </w:r>
      <w:r>
        <w:rPr>
          <w:rStyle w:val="htmlcodes"/>
        </w:rPr>
        <w:t>&lt;/a&gt;</w:t>
      </w:r>
      <w:r>
        <w:t>, this</w:t>
      </w:r>
      <w:r>
        <w:rPr>
          <w:rStyle w:val="deletedparamark"/>
        </w:rPr>
        <w:t xml:space="preserve"> </w:t>
      </w:r>
      <w:r>
        <w:t>compound bridi does not necessarily imply that the goer and the walker are</w:t>
      </w:r>
      <w:r>
        <w:rPr>
          <w:rStyle w:val="deletedparamark"/>
        </w:rPr>
        <w:t xml:space="preserve"> </w:t>
      </w:r>
      <w:r>
        <w:t>the same. Only the presence of an explicit x1 (other than “zo'e”, which is</w:t>
      </w:r>
      <w:r>
        <w:rPr>
          <w:rStyle w:val="deletedparamark"/>
        </w:rPr>
        <w:t xml:space="preserve"> </w:t>
      </w:r>
      <w:r>
        <w:t>equivalent to omission) can force the goer and the walker to be identical.</w:t>
      </w:r>
    </w:p>
    <w:p w:rsidR="00B72047" w:rsidRDefault="00B72047">
      <w:pPr>
        <w:rPr>
          <w:rStyle w:val="htmlparacode"/>
        </w:rPr>
      </w:pPr>
      <w:r>
        <w:rPr>
          <w:rStyle w:val="htmlparacode"/>
        </w:rPr>
        <w:t>&lt;p&gt;</w:t>
      </w:r>
    </w:p>
    <w:p w:rsidR="00B72047" w:rsidRDefault="00B72047">
      <w:pPr>
        <w:pStyle w:val="normalparagraph"/>
      </w:pPr>
      <w:r>
        <w:rPr>
          <w:rStyle w:val="indexentry"/>
        </w:rPr>
        <w:t>&lt;cx "relation of first places in logical connection of observatives, rationale"&gt;</w:t>
      </w:r>
      <w:r>
        <w:rPr>
          <w:rStyle w:val="indexentry"/>
        </w:rPr>
        <w:fldChar w:fldCharType="begin"/>
      </w:r>
      <w:r>
        <w:instrText>xe "</w:instrText>
      </w:r>
      <w:r>
        <w:rPr>
          <w:rStyle w:val="xeentry"/>
        </w:rPr>
        <w:instrText>relation of first places in logical connection of observatives: rationale</w:instrText>
      </w:r>
      <w:r>
        <w:instrText>"</w:instrText>
      </w:r>
      <w:r>
        <w:rPr>
          <w:rStyle w:val="indexentry"/>
        </w:rPr>
        <w:fldChar w:fldCharType="end"/>
      </w:r>
      <w:r>
        <w:t>A strong argument for this convention is provided by analysis of the</w:t>
      </w:r>
      <w:r>
        <w:rPr>
          <w:rStyle w:val="deletedparamark"/>
        </w:rPr>
        <w:t xml:space="preserve"> </w:t>
      </w:r>
      <w:r>
        <w:t>following e</w:t>
      </w:r>
      <w:r>
        <w:t>x</w:t>
      </w:r>
      <w:r>
        <w:softHyphen/>
        <w:t>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name=e9d10&gt;</w:t>
      </w:r>
      <w:r>
        <w:t>9.10)</w:t>
      </w:r>
      <w:r>
        <w:tab/>
        <w:t xml:space="preserve"> klama la nu,IORK. la finyks. gi'e klama la nu,IORK. la rom.</w:t>
      </w:r>
    </w:p>
    <w:p w:rsidR="00B72047" w:rsidRDefault="00B72047">
      <w:pPr>
        <w:pStyle w:val="examplescaled"/>
      </w:pPr>
      <w:r>
        <w:tab/>
        <w:t>A goer to-New York from-Phoenix and a goer to-New York from-Rome.</w:t>
      </w:r>
    </w:p>
    <w:p w:rsidR="00B72047" w:rsidRDefault="00B72047">
      <w:pPr>
        <w:pStyle w:val="resumedafterexample"/>
      </w:pPr>
      <w:r>
        <w:rPr>
          <w:rStyle w:val="htmlcodes"/>
        </w:rPr>
        <w:t>&lt;/pre&gt;&lt;p&gt;</w:t>
      </w:r>
      <w:r>
        <w:t>If the rule were that the x1 places of the two underlying bridi were</w:t>
      </w:r>
      <w:r>
        <w:rPr>
          <w:rStyle w:val="deletedparamark"/>
        </w:rPr>
        <w:t xml:space="preserve"> </w:t>
      </w:r>
      <w:r>
        <w:t>identified, then (since there is nothing special about x1), the unspecified</w:t>
      </w:r>
      <w:r>
        <w:rPr>
          <w:rStyle w:val="deletedparamark"/>
        </w:rPr>
        <w:t xml:space="preserve"> </w:t>
      </w:r>
      <w:r>
        <w:t>x4 (route) and x5 (means) places would also have to be the same, leading</w:t>
      </w:r>
      <w:r>
        <w:rPr>
          <w:rStyle w:val="deletedparamark"/>
        </w:rPr>
        <w:t xml:space="preserve"> </w:t>
      </w:r>
      <w:r>
        <w:t>to the absurd result that the route from Phoenix to New York is the same as</w:t>
      </w:r>
      <w:r>
        <w:rPr>
          <w:rStyle w:val="deletedparamark"/>
        </w:rPr>
        <w:t xml:space="preserve"> </w:t>
      </w:r>
      <w:r>
        <w:t>the route from Rome to New York. Inserting “da”, meaning roughly “something”,</w:t>
      </w:r>
      <w:r>
        <w:rPr>
          <w:rStyle w:val="deletedparamark"/>
        </w:rPr>
        <w:t xml:space="preserve"> </w:t>
      </w:r>
      <w:r>
        <w:t>into the x1 place cures the problem: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name=e9d11&gt;</w:t>
      </w:r>
      <w:r>
        <w:t>9.11)</w:t>
      </w:r>
      <w:r>
        <w:tab/>
        <w:t>da klama la nu,IORK. la finyks.</w:t>
      </w:r>
    </w:p>
    <w:p w:rsidR="00B72047" w:rsidRDefault="00B72047">
      <w:pPr>
        <w:pStyle w:val="examplescaled"/>
      </w:pPr>
      <w:r>
        <w:tab/>
      </w:r>
      <w:r>
        <w:tab/>
        <w:t>gi'e klama la nu,IORK. la rom.</w:t>
      </w:r>
    </w:p>
    <w:p w:rsidR="00B72047" w:rsidRDefault="00B72047">
      <w:pPr>
        <w:pStyle w:val="examplescaled"/>
      </w:pPr>
      <w:r>
        <w:tab/>
        <w:t>Something is-a-goer to-New York from-Phoenix</w:t>
      </w:r>
    </w:p>
    <w:p w:rsidR="00B72047" w:rsidRDefault="00B72047">
      <w:pPr>
        <w:pStyle w:val="examplescaled"/>
      </w:pPr>
      <w:r>
        <w:tab/>
      </w:r>
      <w:r>
        <w:tab/>
        <w:t>and is-a-goer to-New York from-Rome.</w:t>
      </w:r>
    </w:p>
    <w:p w:rsidR="00B72047" w:rsidRDefault="00B72047">
      <w:pPr>
        <w:pStyle w:val="normalafterexample"/>
      </w:pPr>
      <w:r>
        <w:rPr>
          <w:rStyle w:val="htmlcodes"/>
        </w:rPr>
        <w:t>&lt;/pre&gt;</w:t>
      </w:r>
      <w:r>
        <w:rPr>
          <w:rStyle w:val="indexentry"/>
        </w:rPr>
        <w:t>&lt;cx "giheks, syntax of"&gt;</w:t>
      </w:r>
      <w:r>
        <w:rPr>
          <w:rStyle w:val="indexentry"/>
        </w:rPr>
        <w:fldChar w:fldCharType="begin"/>
      </w:r>
      <w:r>
        <w:instrText>xe "</w:instrText>
      </w:r>
      <w:r>
        <w:rPr>
          <w:rStyle w:val="xeentry"/>
        </w:rPr>
        <w:instrText>giheks: syntax of</w:instrText>
      </w:r>
      <w:r>
        <w:instrText>"</w:instrText>
      </w:r>
      <w:r>
        <w:rPr>
          <w:rStyle w:val="indexentry"/>
        </w:rPr>
        <w:fldChar w:fldCharType="end"/>
      </w: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t>The syntax of giheks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[na] [se] GIhA [nai]</w:t>
      </w:r>
    </w:p>
    <w:p w:rsidR="00B72047" w:rsidRDefault="00B72047">
      <w:pPr>
        <w:pStyle w:val="resumedafterexample"/>
      </w:pPr>
      <w:r>
        <w:rPr>
          <w:rStyle w:val="htmlcodes"/>
        </w:rPr>
        <w:t>&lt;/dl&gt;</w:t>
      </w:r>
      <w:r>
        <w:t>which is exactly parallel to the syntax of eks.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424" w:name="_Toc398970665"/>
      <w:r>
        <w:rPr>
          <w:rStyle w:val="Heading3Text"/>
        </w:rPr>
        <w:t>Multiple compound bridi</w:t>
      </w:r>
      <w:bookmarkEnd w:id="42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"compound bridi, multiple with bo"&gt;</w:t>
      </w:r>
      <w:r>
        <w:rPr>
          <w:rStyle w:val="indexentry"/>
        </w:rPr>
        <w:fldChar w:fldCharType="begin"/>
      </w:r>
      <w:r>
        <w:instrText>xe "</w:instrText>
      </w:r>
      <w:r>
        <w:rPr>
          <w:rStyle w:val="xeentry"/>
        </w:rPr>
        <w:instrText>compound bridi: multiple with bo</w:instrText>
      </w:r>
      <w:r>
        <w:instrText>"</w:instrText>
      </w:r>
      <w:r>
        <w:rPr>
          <w:rStyle w:val="indexentry"/>
        </w:rPr>
        <w:fldChar w:fldCharType="end"/>
      </w:r>
      <w:r>
        <w:t>Giheks can be combined with “bo” in the same way as eks: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mi nelci la djan. gi'e nelci la martas. gi'abo nelci la meris.</w:t>
      </w:r>
    </w:p>
    <w:p w:rsidR="00B72047" w:rsidRDefault="00B72047">
      <w:pPr>
        <w:pStyle w:val="examplescaled"/>
      </w:pPr>
      <w:r>
        <w:tab/>
        <w:t>I like John and ( like Martha or like Mary ).</w:t>
      </w:r>
    </w:p>
    <w:p w:rsidR="00B72047" w:rsidRDefault="00B72047">
      <w:pPr>
        <w:pStyle w:val="resumedafterexample"/>
      </w:pPr>
      <w:r>
        <w:rPr>
          <w:rStyle w:val="htmlcodes"/>
        </w:rPr>
        <w:t>&lt;/pre&gt;</w:t>
      </w:r>
      <w:r>
        <w:rPr>
          <w:rStyle w:val="indexentry"/>
        </w:rPr>
        <w:t>&lt;cx "compound bridi, multiple with ke…ke'e"&gt;</w:t>
      </w:r>
      <w:r>
        <w:rPr>
          <w:rStyle w:val="indexentry"/>
        </w:rPr>
        <w:fldChar w:fldCharType="begin"/>
      </w:r>
      <w:r>
        <w:instrText>xe "</w:instrText>
      </w:r>
      <w:r>
        <w:rPr>
          <w:rStyle w:val="xeentry"/>
        </w:rPr>
        <w:instrText>compound bridi: multiple with ke…ke'e</w:instrText>
      </w:r>
      <w:r>
        <w:instrText>"</w:instrText>
      </w:r>
      <w:r>
        <w:rPr>
          <w:rStyle w:val="indexentry"/>
        </w:rPr>
        <w:fldChar w:fldCharType="end"/>
      </w:r>
      <w:r>
        <w:t xml:space="preserve">is equivalent in meaning to </w:t>
      </w:r>
      <w:r>
        <w:rPr>
          <w:rStyle w:val="htmlcodes"/>
        </w:rPr>
        <w:t>&lt;a href=#e8d1&gt;</w:t>
      </w:r>
      <w:r>
        <w:t xml:space="preserve">Example 8.1 </w:t>
      </w:r>
      <w:r>
        <w:rPr>
          <w:rStyle w:val="htmlcodes"/>
        </w:rPr>
        <w:t>&lt;/a&gt;</w:t>
      </w:r>
      <w:r>
        <w:t xml:space="preserve">and </w:t>
      </w:r>
      <w:r>
        <w:rPr>
          <w:rStyle w:val="htmlcodes"/>
        </w:rPr>
        <w:t>&lt;a href=#e8d2&gt;</w:t>
      </w:r>
      <w:r>
        <w:t>Example 8.2</w:t>
      </w:r>
      <w:r>
        <w:rPr>
          <w:rStyle w:val="htmlcodes"/>
        </w:rPr>
        <w:t>&lt;/a&gt;</w:t>
      </w:r>
      <w:r>
        <w:t>. Likewise, “ke</w:t>
      </w:r>
      <w:r>
        <w:rPr>
          <w:rStyle w:val="htmlcodes"/>
        </w:rPr>
        <w:t>&lt;dots&gt;</w:t>
      </w:r>
      <w:r>
        <w:t>…</w:t>
      </w:r>
      <w:r>
        <w:rPr>
          <w:rStyle w:val="htmlcodes"/>
        </w:rPr>
        <w:t>&lt;/dots&gt;</w:t>
      </w:r>
      <w:r>
        <w:t>ke'e”</w:t>
      </w:r>
      <w:r>
        <w:rPr>
          <w:rStyle w:val="deletedparamark"/>
        </w:rPr>
        <w:t xml:space="preserve"> </w:t>
      </w:r>
      <w:r>
        <w:t>grouping can be used after giheks: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mi dzukla le zarci gi'e dzukla le zdani</w:t>
      </w:r>
    </w:p>
    <w:p w:rsidR="00B72047" w:rsidRDefault="00B72047">
      <w:pPr>
        <w:pStyle w:val="examplescaled"/>
      </w:pPr>
      <w:r>
        <w:tab/>
      </w:r>
      <w:r>
        <w:tab/>
        <w:t>gi'a ke dzukla le ckule gi'e dzukla le briju [ke'e]</w:t>
      </w:r>
    </w:p>
    <w:p w:rsidR="00B72047" w:rsidRDefault="00B72047">
      <w:pPr>
        <w:pStyle w:val="examplescaled"/>
      </w:pPr>
      <w:r>
        <w:tab/>
        <w:t>I walk-to the market and walk-to the house,</w:t>
      </w:r>
    </w:p>
    <w:p w:rsidR="00B72047" w:rsidRDefault="00B72047">
      <w:pPr>
        <w:pStyle w:val="examplescaled"/>
      </w:pPr>
      <w:r>
        <w:tab/>
      </w:r>
      <w:r>
        <w:tab/>
        <w:t>or walk-to the school and walk-to the office.</w:t>
      </w:r>
    </w:p>
    <w:p w:rsidR="00B72047" w:rsidRDefault="00B72047">
      <w:pPr>
        <w:pStyle w:val="resumedafterexample"/>
      </w:pPr>
      <w:r>
        <w:rPr>
          <w:rStyle w:val="htmlcodes"/>
        </w:rPr>
        <w:t>&lt;/pre&gt;</w:t>
      </w:r>
      <w:r>
        <w:rPr>
          <w:rStyle w:val="indexentry"/>
        </w:rPr>
        <w:t>&lt;cx "multiple compound bridi, restriction on ke"&gt;</w:t>
      </w:r>
      <w:r>
        <w:rPr>
          <w:rStyle w:val="indexentry"/>
        </w:rPr>
        <w:fldChar w:fldCharType="begin"/>
      </w:r>
      <w:r>
        <w:instrText>xe "</w:instrText>
      </w:r>
      <w:r>
        <w:rPr>
          <w:rStyle w:val="xeentry"/>
        </w:rPr>
        <w:instrText>multiple compound bridi: restriction on ke</w:instrText>
      </w:r>
      <w:r>
        <w:instrText>"</w:instrText>
      </w:r>
      <w:r>
        <w:rPr>
          <w:rStyle w:val="indexentry"/>
        </w:rPr>
        <w:fldChar w:fldCharType="end"/>
      </w:r>
      <w:r>
        <w:rPr>
          <w:rStyle w:val="indexentry"/>
        </w:rPr>
        <w:t>&lt;cx "logical connection of bridi-tails, restriction on ke"&gt;</w:t>
      </w:r>
      <w:r>
        <w:rPr>
          <w:rStyle w:val="indexentry"/>
        </w:rPr>
        <w:fldChar w:fldCharType="begin"/>
      </w:r>
      <w:r>
        <w:instrText>xe "</w:instrText>
      </w:r>
      <w:r>
        <w:rPr>
          <w:rStyle w:val="xeentry"/>
        </w:rPr>
        <w:instrText>logical connection: of bridi-tails, restriction on 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"KEhE"&gt;</w:t>
      </w:r>
      <w:r>
        <w:rPr>
          <w:rStyle w:val="indexentry"/>
        </w:rPr>
        <w:fldChar w:fldCharType="begin"/>
      </w:r>
      <w:r>
        <w:instrText>xe "</w:instrText>
      </w:r>
      <w:r>
        <w:rPr>
          <w:rStyle w:val="xeentry"/>
        </w:rPr>
        <w:instrText>KEhE selma’o</w:instrText>
      </w:r>
      <w:r>
        <w:instrText>"</w:instrText>
      </w:r>
      <w:r>
        <w:rPr>
          <w:rStyle w:val="indexentry"/>
        </w:rPr>
        <w:fldChar w:fldCharType="end"/>
      </w:r>
      <w:r>
        <w:t xml:space="preserve">is the gihek version of </w:t>
      </w:r>
      <w:r>
        <w:rPr>
          <w:rStyle w:val="htmlcodes"/>
        </w:rPr>
        <w:t>&lt;a href=#e8d9&gt;</w:t>
      </w:r>
      <w:r>
        <w:t>Example 8.9</w:t>
      </w:r>
      <w:r>
        <w:rPr>
          <w:rStyle w:val="htmlcodes"/>
        </w:rPr>
        <w:t>&lt;/a&gt;</w:t>
      </w:r>
      <w:r>
        <w:t>. The same rule about using “ke </w:t>
      </w:r>
      <w:r>
        <w:rPr>
          <w:rStyle w:val="htmlcodes"/>
        </w:rPr>
        <w:t>&lt;dots&gt;</w:t>
      </w:r>
      <w:r>
        <w:t>…</w:t>
      </w:r>
      <w:r>
        <w:rPr>
          <w:rStyle w:val="htmlcodes"/>
        </w:rPr>
        <w:t>&lt;/dots&gt;</w:t>
      </w:r>
      <w:r>
        <w:t>ke'e”</w:t>
      </w:r>
      <w:r>
        <w:rPr>
          <w:rStyle w:val="deletedparamark"/>
        </w:rPr>
        <w:t xml:space="preserve"> </w:t>
      </w:r>
      <w:r>
        <w:t>bracketing only just after a connective applies to bridi-tails as to</w:t>
      </w:r>
      <w:r>
        <w:rPr>
          <w:rStyle w:val="deletedparamark"/>
        </w:rPr>
        <w:t xml:space="preserve"> </w:t>
      </w:r>
      <w:r>
        <w:t xml:space="preserve">sumti, so the first two bridi-tails in </w:t>
      </w:r>
      <w:r>
        <w:rPr>
          <w:rStyle w:val="htmlcodes"/>
        </w:rPr>
        <w:t>&lt;a href=#e10d2&gt;</w:t>
      </w:r>
      <w:r>
        <w:t xml:space="preserve">Example 10.2 </w:t>
      </w:r>
      <w:r>
        <w:rPr>
          <w:rStyle w:val="htmlcodes"/>
        </w:rPr>
        <w:t>&lt;/a&gt;</w:t>
      </w:r>
      <w:r>
        <w:t>cannot be explicitly</w:t>
      </w:r>
      <w:r>
        <w:rPr>
          <w:rStyle w:val="deletedparamark"/>
        </w:rPr>
        <w:t xml:space="preserve"> </w:t>
      </w:r>
      <w:r>
        <w:t>grouped; implicit left-grouping suffices to associ</w:t>
      </w:r>
      <w:r>
        <w:softHyphen/>
        <w:t>ate them.</w:t>
      </w:r>
    </w:p>
    <w:p w:rsidR="00B72047" w:rsidRDefault="00B72047">
      <w:pPr>
        <w:rPr>
          <w:rStyle w:val="htmlparacode"/>
        </w:rPr>
      </w:pPr>
      <w:r>
        <w:rPr>
          <w:rStyle w:val="htmlparacode"/>
        </w:rPr>
        <w:t>&lt;p&gt;</w:t>
      </w:r>
    </w:p>
    <w:p w:rsidR="00B72047" w:rsidRDefault="00B72047">
      <w:pPr>
        <w:pStyle w:val="normalparagraph"/>
      </w:pPr>
      <w:r>
        <w:rPr>
          <w:rStyle w:val="indexentry"/>
        </w:rPr>
        <w:t>&lt;cx "compound bridi, separate tail-terms for bridi-tails"&gt;</w:t>
      </w:r>
      <w:r>
        <w:rPr>
          <w:rStyle w:val="indexentry"/>
        </w:rPr>
        <w:fldChar w:fldCharType="begin"/>
      </w:r>
      <w:r>
        <w:instrText>xe "</w:instrText>
      </w:r>
      <w:r>
        <w:rPr>
          <w:rStyle w:val="xeentry"/>
        </w:rPr>
        <w:instrText>compound bridi: separate tail-terms for bridi-tails</w:instrText>
      </w:r>
      <w:r>
        <w:instrText>"</w:instrText>
      </w:r>
      <w:r>
        <w:rPr>
          <w:rStyle w:val="indexentry"/>
        </w:rPr>
        <w:fldChar w:fldCharType="end"/>
      </w:r>
      <w:r>
        <w:t>Each of the pairs of bridi-tails joined by multiple giheks can have its own</w:t>
      </w:r>
      <w:r>
        <w:rPr>
          <w:rStyle w:val="deletedparamark"/>
        </w:rPr>
        <w:t xml:space="preserve"> </w:t>
      </w:r>
      <w:r>
        <w:t>set of tail-terms: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mi dejni lo rupnu la djan.  .inaja mi dunda le cukta la djan.</w:t>
      </w:r>
    </w:p>
    <w:p w:rsidR="00B72047" w:rsidRDefault="00B72047">
      <w:pPr>
        <w:pStyle w:val="examplescaled"/>
      </w:pPr>
      <w:r>
        <w:tab/>
      </w:r>
      <w:r>
        <w:tab/>
        <w:t>.ijabo mi lebna le cukta la djan.</w:t>
      </w:r>
    </w:p>
    <w:p w:rsidR="00B72047" w:rsidRDefault="00B72047">
      <w:pPr>
        <w:pStyle w:val="examplescaled"/>
      </w:pPr>
      <w:r>
        <w:tab/>
        <w:t>[If] I owe some currency-units to John, then I give the book to John</w:t>
      </w:r>
    </w:p>
    <w:p w:rsidR="00B72047" w:rsidRDefault="00B72047">
      <w:pPr>
        <w:pStyle w:val="examplescaled"/>
      </w:pPr>
      <w:r>
        <w:tab/>
      </w:r>
      <w:r>
        <w:tab/>
        <w:t>or I take the book from John.</w:t>
      </w:r>
    </w:p>
    <w:p w:rsidR="00B72047" w:rsidRDefault="00B72047">
      <w:pPr>
        <w:pStyle w:val="resumedafterexample"/>
      </w:pPr>
      <w:r>
        <w:rPr>
          <w:rStyle w:val="htmlcodes"/>
        </w:rPr>
        <w:t>&lt;/pre&gt;</w:t>
      </w:r>
      <w:r>
        <w:t>is equivalent in meaning to:</w:t>
      </w:r>
    </w:p>
    <w:p w:rsidR="00B72047" w:rsidRDefault="00B72047">
      <w:pPr>
        <w:rPr>
          <w:rStyle w:val="htmlparacode"/>
        </w:rPr>
      </w:pPr>
      <w:r>
        <w:rPr>
          <w:rStyle w:val="htmlparacode"/>
        </w:rPr>
        <w:t>&lt;p&gt;</w:t>
      </w:r>
    </w:p>
    <w:p w:rsidR="00B72047" w:rsidRDefault="00B72047">
      <w:pPr>
        <w:pStyle w:val="examplescaledpre"/>
      </w:pPr>
      <w:r>
        <w:rPr>
          <w:rStyle w:val="indexentry"/>
        </w:rPr>
        <w:t>&lt;ex "owe money"&gt;</w:t>
      </w:r>
      <w:r>
        <w:rPr>
          <w:rStyle w:val="indexentry"/>
        </w:rPr>
        <w:fldChar w:fldCharType="begin"/>
      </w:r>
      <w:r>
        <w:instrText>xe "</w:instrText>
      </w:r>
      <w:r>
        <w:rPr>
          <w:rStyle w:val="xeentry"/>
        </w:rPr>
        <w:instrText>owe money: example</w:instrText>
      </w:r>
      <w:r>
        <w:instrText>"</w:instrText>
      </w:r>
      <w:r>
        <w:rPr>
          <w:rStyle w:val="indexentry"/>
        </w:rPr>
        <w:fldChar w:fldCharType="end"/>
      </w:r>
      <w:r>
        <w:rPr>
          <w:rStyle w:val="htmlcodes"/>
        </w:rPr>
        <w:t>&lt;pre&gt;&lt;a name=e10d4&gt;</w:t>
      </w:r>
      <w:r>
        <w:t>10.4)</w:t>
      </w:r>
      <w:r>
        <w:tab/>
        <w:t>mi dejni lo rupnu nagi'a dunda gi'abo lebna vau le cukta vau la djan.</w:t>
      </w:r>
    </w:p>
    <w:p w:rsidR="00B72047" w:rsidRDefault="00B72047">
      <w:pPr>
        <w:pStyle w:val="examplescaled"/>
      </w:pPr>
      <w:r>
        <w:tab/>
        <w:t xml:space="preserve">[If] I owe some currency-units then (give or take) </w:t>
      </w:r>
      <w:r>
        <w:tab/>
        <w:t>a book to/from John.</w:t>
      </w:r>
    </w:p>
    <w:p w:rsidR="00B72047" w:rsidRDefault="00B72047">
      <w:pPr>
        <w:pStyle w:val="normalafterexample"/>
      </w:pPr>
      <w:r>
        <w:rPr>
          <w:rStyle w:val="htmlcodes"/>
        </w:rPr>
        <w:t>&lt;/pre&gt;&lt;p&gt;</w:t>
      </w:r>
      <w:r>
        <w:t xml:space="preserve">The literal English translation in </w:t>
      </w:r>
      <w:r>
        <w:rPr>
          <w:rStyle w:val="htmlcodes"/>
        </w:rPr>
        <w:t>&lt;a href=#e10d4&gt;</w:t>
      </w:r>
      <w:r>
        <w:t xml:space="preserve">Example 10.4 </w:t>
      </w:r>
      <w:r>
        <w:rPr>
          <w:rStyle w:val="htmlcodes"/>
        </w:rPr>
        <w:t>&lt;/a&gt;</w:t>
      </w:r>
      <w:r>
        <w:t>is almost unintelligible,</w:t>
      </w:r>
      <w:r>
        <w:rPr>
          <w:rStyle w:val="deletedparamark"/>
        </w:rPr>
        <w:t xml:space="preserve"> </w:t>
      </w:r>
      <w:r>
        <w:t>but the L</w:t>
      </w:r>
      <w:r>
        <w:t>o</w:t>
      </w:r>
      <w:r>
        <w:t>j</w:t>
      </w:r>
      <w:r>
        <w:softHyphen/>
        <w:t>ban is perfectly grammatical. “mi” fills the x1 place of all</w:t>
      </w:r>
      <w:r>
        <w:rPr>
          <w:rStyle w:val="deletedparamark"/>
        </w:rPr>
        <w:t xml:space="preserve"> </w:t>
      </w:r>
      <w:r>
        <w:t>three selbri; “lo rupnu” is the x2 of “dejni”, whereas “le cukta” is</w:t>
      </w:r>
      <w:r>
        <w:rPr>
          <w:rStyle w:val="deletedparamark"/>
        </w:rPr>
        <w:t xml:space="preserve"> </w:t>
      </w:r>
      <w:r>
        <w:t>a tail-term shared between “dunda” and “lebna”; “la djan.” is a tail-term</w:t>
      </w:r>
      <w:r>
        <w:rPr>
          <w:rStyle w:val="deletedparamark"/>
        </w:rPr>
        <w:t xml:space="preserve"> </w:t>
      </w:r>
      <w:r>
        <w:t>shared by “dejni” and by “dunda gi'abo lebna”. In this case, greater clarity</w:t>
      </w:r>
      <w:r>
        <w:rPr>
          <w:rStyle w:val="deletedparamark"/>
        </w:rPr>
        <w:t xml:space="preserve"> </w:t>
      </w:r>
      <w:r>
        <w:t>is probably achieved by moving “la djan.” to the beginning of the sentence,</w:t>
      </w:r>
      <w:r>
        <w:rPr>
          <w:rStyle w:val="deletedparamark"/>
        </w:rPr>
        <w:t xml:space="preserve"> </w:t>
      </w:r>
      <w:r>
        <w:t xml:space="preserve">as in </w:t>
      </w:r>
      <w:r>
        <w:rPr>
          <w:rStyle w:val="htmlcodes"/>
        </w:rPr>
        <w:t>&lt;a href=#e9d5&gt;</w:t>
      </w:r>
      <w:r>
        <w:t>Example 10.5</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fi la djan. fa mi dejni lo rupnu nagi'a dunda gi'abo lebna vau le cukta</w:t>
      </w:r>
    </w:p>
    <w:p w:rsidR="00B72047" w:rsidRDefault="00B72047">
      <w:pPr>
        <w:pStyle w:val="examplescaled"/>
      </w:pPr>
      <w:r>
        <w:tab/>
        <w:t>To/from John, [if] I owe some currency-units then [I] give or take the book.</w:t>
      </w:r>
    </w:p>
    <w:p w:rsidR="00B72047" w:rsidRDefault="00B72047">
      <w:pPr>
        <w:pStyle w:val="normalafterexample"/>
      </w:pPr>
      <w:r>
        <w:rPr>
          <w:rStyle w:val="htmlcodes"/>
        </w:rPr>
        <w:t>&lt;/pre&gt;</w:t>
      </w:r>
      <w:r>
        <w:rPr>
          <w:rStyle w:val="indexentry"/>
        </w:rPr>
        <w:t>&lt;cx "logical connection of bridi-tails, forethought"&gt;</w:t>
      </w:r>
      <w:r>
        <w:rPr>
          <w:rStyle w:val="indexentry"/>
        </w:rPr>
        <w:fldChar w:fldCharType="begin"/>
      </w:r>
      <w:r>
        <w:instrText>xe "</w:instrText>
      </w:r>
      <w:r>
        <w:rPr>
          <w:rStyle w:val="xeentry"/>
        </w:rPr>
        <w:instrText>logical connection: of bridi-tails, forethought</w:instrText>
      </w:r>
      <w:r>
        <w:instrText>"</w:instrText>
      </w:r>
      <w:r>
        <w:rPr>
          <w:rStyle w:val="indexentry"/>
        </w:rPr>
        <w:fldChar w:fldCharType="end"/>
      </w:r>
      <w:r>
        <w:t>Finally, what about forethought logical connection of bridi-tails? There is</w:t>
      </w:r>
      <w:r>
        <w:rPr>
          <w:rStyle w:val="deletedparamark"/>
        </w:rPr>
        <w:t xml:space="preserve"> </w:t>
      </w:r>
      <w:r>
        <w:t>no direct mechanism for the purpose. Instead, Lojban grammar allows a pair</w:t>
      </w:r>
      <w:r>
        <w:rPr>
          <w:rStyle w:val="deletedparamark"/>
        </w:rPr>
        <w:t xml:space="preserve"> </w:t>
      </w:r>
      <w:r>
        <w:t>of fore</w:t>
      </w:r>
      <w:r>
        <w:softHyphen/>
        <w:t>thought-con</w:t>
      </w:r>
      <w:r>
        <w:softHyphen/>
        <w:t>nected sentences to function as a single bridi-tail, and</w:t>
      </w:r>
      <w:r>
        <w:rPr>
          <w:rStyle w:val="deletedparamark"/>
        </w:rPr>
        <w:t xml:space="preserve"> </w:t>
      </w:r>
      <w:r>
        <w:t>of course the sen</w:t>
      </w:r>
      <w:r>
        <w:softHyphen/>
        <w:t>tences need not have terms before their selbri.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mi ge klama le zarci gi nelci la djan.</w:t>
      </w:r>
    </w:p>
    <w:p w:rsidR="00B72047" w:rsidRDefault="00B72047">
      <w:pPr>
        <w:pStyle w:val="examplescaled"/>
      </w:pPr>
      <w:r>
        <w:tab/>
        <w:t>I both go to the market and like John.</w:t>
      </w:r>
    </w:p>
    <w:p w:rsidR="00B72047" w:rsidRDefault="00B72047">
      <w:pPr>
        <w:pStyle w:val="resumedafterexample"/>
      </w:pPr>
      <w:r>
        <w:rPr>
          <w:rStyle w:val="htmlcodes"/>
        </w:rPr>
        <w:t>&lt;/pre&gt;</w:t>
      </w:r>
      <w:r>
        <w:t xml:space="preserve">is equivalent in meaning to </w:t>
      </w:r>
      <w:r>
        <w:rPr>
          <w:rStyle w:val="htmlcodes"/>
        </w:rPr>
        <w:t>&lt;a href=#e9d2&gt;</w:t>
      </w:r>
      <w:r>
        <w:t>Example 9.2</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Of course, either of the connected sentences may contain giheks: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name=e10d7&gt;</w:t>
      </w:r>
      <w:r>
        <w:t>10.7)</w:t>
      </w:r>
      <w:r>
        <w:tab/>
        <w:t>mi ge klama le zarci gi'e dzukla le zdani gi nelci la djan.</w:t>
      </w:r>
    </w:p>
    <w:p w:rsidR="00B72047" w:rsidRDefault="00B72047">
      <w:pPr>
        <w:pStyle w:val="examplescaled"/>
      </w:pPr>
      <w:r>
        <w:tab/>
        <w:t>I both ( go to the market and walk to the house ) and like John.</w:t>
      </w:r>
    </w:p>
    <w:p w:rsidR="00B72047" w:rsidRDefault="00B72047">
      <w:pPr>
        <w:pStyle w:val="normalafterexample"/>
      </w:pPr>
      <w:r>
        <w:rPr>
          <w:rStyle w:val="htmlcodes"/>
        </w:rPr>
        <w:t>&lt;/pre&gt;</w:t>
      </w:r>
      <w:r>
        <w:rPr>
          <w:rStyle w:val="indexentry"/>
        </w:rPr>
        <w:t>&lt;cx "negating a forethought-connected sentence pair"&gt;</w:t>
      </w:r>
      <w:r>
        <w:rPr>
          <w:rStyle w:val="indexentry"/>
        </w:rPr>
        <w:fldChar w:fldCharType="begin"/>
      </w:r>
      <w:r>
        <w:instrText>xe "</w:instrText>
      </w:r>
      <w:r>
        <w:rPr>
          <w:rStyle w:val="xeentry"/>
        </w:rPr>
        <w:instrText>negating a forethought-connected sentence pair</w:instrText>
      </w:r>
      <w:r>
        <w:instrText>"</w:instrText>
      </w:r>
      <w:r>
        <w:rPr>
          <w:rStyle w:val="indexentry"/>
        </w:rPr>
        <w:fldChar w:fldCharType="end"/>
      </w:r>
      <w:r>
        <w:rPr>
          <w:rStyle w:val="indexentry"/>
        </w:rPr>
        <w:t>&lt;cx "negating a forethought-connected bridi-tail pair"&gt;</w:t>
      </w:r>
      <w:r>
        <w:rPr>
          <w:rStyle w:val="indexentry"/>
        </w:rPr>
        <w:fldChar w:fldCharType="begin"/>
      </w:r>
      <w:r>
        <w:instrText>xe "</w:instrText>
      </w:r>
      <w:r>
        <w:rPr>
          <w:rStyle w:val="xeentry"/>
        </w:rPr>
        <w:instrText>negating a forethought-connected bridi-tail pair</w:instrText>
      </w:r>
      <w:r>
        <w:instrText>"</w:instrText>
      </w:r>
      <w:r>
        <w:rPr>
          <w:rStyle w:val="indexentry"/>
        </w:rPr>
        <w:fldChar w:fldCharType="end"/>
      </w:r>
      <w:r>
        <w:t>The entire gek-connected sentence pair may be negated as a whole by</w:t>
      </w:r>
      <w:r>
        <w:rPr>
          <w:rStyle w:val="deletedparamark"/>
        </w:rPr>
        <w:t xml:space="preserve"> </w:t>
      </w:r>
      <w:r>
        <w:t>prefix</w:t>
      </w:r>
      <w:r>
        <w:softHyphen/>
        <w:t>ing “na”: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mi na ge klama le zarci gi dzukla le zdani</w:t>
      </w:r>
    </w:p>
    <w:p w:rsidR="00B72047" w:rsidRDefault="00B72047">
      <w:pPr>
        <w:pStyle w:val="examplescaled"/>
      </w:pPr>
      <w:r>
        <w:tab/>
        <w:t>[False!] I both go to the market and walk to the house.</w:t>
      </w:r>
    </w:p>
    <w:p w:rsidR="00B72047" w:rsidRDefault="00B72047">
      <w:pPr>
        <w:pStyle w:val="normalafterexample"/>
      </w:pPr>
      <w:r>
        <w:rPr>
          <w:rStyle w:val="htmlcodes"/>
        </w:rPr>
        <w:t>&lt;/pre&gt;</w:t>
      </w:r>
      <w:r>
        <w:rPr>
          <w:rStyle w:val="indexentry"/>
        </w:rPr>
        <w:t>&lt;cx "compound bridi, separate tail-terms for forethought-connected bridi-tails"&gt;</w:t>
      </w:r>
      <w:r>
        <w:rPr>
          <w:rStyle w:val="indexentry"/>
        </w:rPr>
        <w:fldChar w:fldCharType="begin"/>
      </w:r>
      <w:r>
        <w:instrText>xe "</w:instrText>
      </w:r>
      <w:r>
        <w:rPr>
          <w:rStyle w:val="xeentry"/>
        </w:rPr>
        <w:instrText>compound bridi: separate tail-terms for forethought-connected bridi-tails</w:instrText>
      </w:r>
      <w:r>
        <w:instrText>"</w:instrText>
      </w:r>
      <w:r>
        <w:rPr>
          <w:rStyle w:val="indexentry"/>
        </w:rPr>
        <w:fldChar w:fldCharType="end"/>
      </w:r>
      <w:r>
        <w:t>Since a pair of sentences joined by geks is the equivalent of a bridi-tail, it</w:t>
      </w:r>
      <w:r>
        <w:rPr>
          <w:rStyle w:val="deletedparamark"/>
        </w:rPr>
        <w:t xml:space="preserve"> </w:t>
      </w:r>
      <w:r>
        <w:t xml:space="preserve">may be followed by tail terms. The forethought equivalent of </w:t>
      </w:r>
      <w:r>
        <w:rPr>
          <w:rStyle w:val="htmlcodes"/>
        </w:rPr>
        <w:t>&lt;a href=#e9d6&gt;</w:t>
      </w:r>
      <w:r>
        <w:t xml:space="preserve">Example 9.6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mi ge dunda le cukta  gi lebna lo rupnu vau do</w:t>
      </w:r>
    </w:p>
    <w:p w:rsidR="00B72047" w:rsidRDefault="00B72047">
      <w:pPr>
        <w:pStyle w:val="examplescaled"/>
      </w:pPr>
      <w:r>
        <w:tab/>
        <w:t>I both ( give the book ) and ( take some currency-units ) to/from you.</w:t>
      </w:r>
    </w:p>
    <w:p w:rsidR="00B72047" w:rsidRDefault="00B72047">
      <w:pPr>
        <w:pStyle w:val="normalafterexample"/>
      </w:pPr>
      <w:r>
        <w:rPr>
          <w:rStyle w:val="htmlcodes"/>
        </w:rPr>
        <w:t>&lt;/pre&gt;</w:t>
      </w:r>
      <w:r>
        <w:rPr>
          <w:rStyle w:val="indexentry"/>
        </w:rPr>
        <w:t>&lt;cx "forethought connection, observatives"&gt;</w:t>
      </w:r>
      <w:r>
        <w:rPr>
          <w:rStyle w:val="indexentry"/>
        </w:rPr>
        <w:fldChar w:fldCharType="begin"/>
      </w:r>
      <w:r>
        <w:instrText>xe "</w:instrText>
      </w:r>
      <w:r>
        <w:rPr>
          <w:rStyle w:val="xeentry"/>
        </w:rPr>
        <w:instrText>forethought connection: observatives</w:instrText>
      </w:r>
      <w:r>
        <w:instrText>"</w:instrText>
      </w:r>
      <w:r>
        <w:rPr>
          <w:rStyle w:val="indexentry"/>
        </w:rPr>
        <w:fldChar w:fldCharType="end"/>
      </w:r>
      <w:r>
        <w:t>Here is a pair of gek-connected observatives, a forethought equivalent</w:t>
      </w:r>
      <w:r>
        <w:rPr>
          <w:rStyle w:val="deletedparamark"/>
        </w:rPr>
        <w:t xml:space="preserve"> </w:t>
      </w:r>
      <w:r>
        <w:t xml:space="preserve">of </w:t>
      </w:r>
      <w:r>
        <w:rPr>
          <w:rStyle w:val="htmlcodes"/>
        </w:rPr>
        <w:t>&lt;a href=#e9d9&gt;</w:t>
      </w:r>
      <w:r>
        <w:t>Ex</w:t>
      </w:r>
      <w:r>
        <w:softHyphen/>
        <w:t>ample 9.9</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ge klama le zarci gi dzukla le briju</w:t>
      </w:r>
    </w:p>
    <w:p w:rsidR="00B72047" w:rsidRDefault="00B72047">
      <w:pPr>
        <w:pStyle w:val="examplescaled"/>
      </w:pPr>
      <w:r>
        <w:tab/>
        <w:t>Both a goer to-the market and a walker to-the office.</w:t>
      </w:r>
    </w:p>
    <w:p w:rsidR="00B72047" w:rsidRDefault="00B72047">
      <w:pPr>
        <w:pStyle w:val="normalafterexample"/>
      </w:pPr>
      <w:r>
        <w:rPr>
          <w:rStyle w:val="htmlcodes"/>
        </w:rPr>
        <w:t>&lt;/pre&gt;&lt;p&gt;</w:t>
      </w:r>
      <w:r>
        <w:t>Finally, here is an example of gek-connected sentences with both shared and</w:t>
      </w:r>
      <w:r>
        <w:rPr>
          <w:rStyle w:val="deletedparamark"/>
        </w:rPr>
        <w:t xml:space="preserve"> </w:t>
      </w:r>
      <w:r>
        <w:t>u</w:t>
      </w:r>
      <w:r>
        <w:t>n</w:t>
      </w:r>
      <w:r>
        <w:softHyphen/>
        <w:t>shared terms before their selbri:</w:t>
      </w:r>
    </w:p>
    <w:p w:rsidR="00B72047" w:rsidRDefault="00B72047">
      <w:pPr>
        <w:rPr>
          <w:rStyle w:val="htmlparacode"/>
        </w:rPr>
      </w:pPr>
      <w:r>
        <w:rPr>
          <w:rStyle w:val="htmlparacode"/>
        </w:rPr>
        <w:t>&lt;p&gt;</w:t>
      </w:r>
    </w:p>
    <w:p w:rsidR="00B72047" w:rsidRDefault="00B72047">
      <w:pPr>
        <w:pStyle w:val="examplescaledpre"/>
      </w:pPr>
      <w:r>
        <w:rPr>
          <w:rStyle w:val="indexentry"/>
        </w:rPr>
        <w:t>&lt;ex "office or ice-dance"&gt;</w:t>
      </w:r>
      <w:r>
        <w:rPr>
          <w:rStyle w:val="indexentry"/>
        </w:rPr>
        <w:fldChar w:fldCharType="begin"/>
      </w:r>
      <w:r>
        <w:instrText>xe "</w:instrText>
      </w:r>
      <w:r>
        <w:rPr>
          <w:rStyle w:val="xeentry"/>
        </w:rPr>
        <w:instrText>office or ice-dance: example</w:instrText>
      </w:r>
      <w:r>
        <w:instrText>"</w:instrText>
      </w:r>
      <w:r>
        <w:rPr>
          <w:rStyle w:val="indexentry"/>
        </w:rPr>
        <w:fldChar w:fldCharType="end"/>
      </w:r>
      <w:r>
        <w:rPr>
          <w:rStyle w:val="htmlcodes"/>
        </w:rPr>
        <w:t>&lt;pre&gt;&lt;a name=e10d11&gt;</w:t>
      </w:r>
      <w:r>
        <w:t>10.11)</w:t>
      </w:r>
      <w:r>
        <w:tab/>
        <w:t>mi gonai le zarci cu klama gi le bisli cu dansu</w:t>
      </w:r>
    </w:p>
    <w:p w:rsidR="00B72047" w:rsidRDefault="00B72047">
      <w:pPr>
        <w:pStyle w:val="examplescaled"/>
      </w:pPr>
      <w:r>
        <w:tab/>
        <w:t>I either-but-not-both to-the office go or on-the ice dance.</w:t>
      </w:r>
    </w:p>
    <w:p w:rsidR="00B72047" w:rsidRDefault="00B72047">
      <w:pPr>
        <w:pStyle w:val="examplescaled"/>
      </w:pPr>
      <w:r>
        <w:tab/>
        <w:t>I either go to the office or dance on the ice (but not both).</w:t>
      </w:r>
    </w:p>
    <w:p w:rsidR="00B72047" w:rsidRDefault="00B72047">
      <w:pPr>
        <w:pStyle w:val="Heading3"/>
        <w:rPr>
          <w:rStyle w:val="Heading3Text"/>
        </w:rPr>
      </w:pPr>
      <w:r>
        <w:rPr>
          <w:rStyle w:val="htmlcodes"/>
        </w:rPr>
        <w:t>&lt;/pre&gt;&lt;a name=s11&gt;&lt;h3&gt;</w:t>
      </w:r>
      <w:bookmarkStart w:id="425" w:name="_Toc398970666"/>
      <w:r>
        <w:rPr>
          <w:rStyle w:val="Heading3Text"/>
        </w:rPr>
        <w:t>Termset logical connection</w:t>
      </w:r>
      <w:bookmarkEnd w:id="425"/>
      <w:r>
        <w:rPr>
          <w:rStyle w:val="htmlcodes"/>
        </w:rPr>
        <w:t>&lt;/h3&gt;</w:t>
      </w:r>
    </w:p>
    <w:p w:rsidR="00B72047" w:rsidRDefault="00B72047">
      <w:pPr>
        <w:pStyle w:val="normalparagraph"/>
      </w:pPr>
      <w:r>
        <w:rPr>
          <w:rStyle w:val="indexentry"/>
        </w:rPr>
        <w:t>&lt;cx "termset logical connection, contrasted with bridi connection"&gt;</w:t>
      </w:r>
      <w:r>
        <w:rPr>
          <w:rStyle w:val="indexentry"/>
        </w:rPr>
        <w:fldChar w:fldCharType="begin"/>
      </w:r>
      <w:r>
        <w:instrText>xe "</w:instrText>
      </w:r>
      <w:r>
        <w:rPr>
          <w:rStyle w:val="xeentry"/>
        </w:rPr>
        <w:instrText>termset logical connection: contrasted with bridi connection</w:instrText>
      </w:r>
      <w:r>
        <w:instrText>"</w:instrText>
      </w:r>
      <w:r>
        <w:rPr>
          <w:rStyle w:val="indexentry"/>
        </w:rPr>
        <w:fldChar w:fldCharType="end"/>
      </w:r>
      <w:r>
        <w:rPr>
          <w:rStyle w:val="indexentry"/>
        </w:rPr>
        <w:t>&lt;cx "termset logical connection, contrasted with sumti connection"&gt;</w:t>
      </w:r>
      <w:r>
        <w:rPr>
          <w:rStyle w:val="indexentry"/>
        </w:rPr>
        <w:fldChar w:fldCharType="begin"/>
      </w:r>
      <w:r>
        <w:instrText>xe "</w:instrText>
      </w:r>
      <w:r>
        <w:rPr>
          <w:rStyle w:val="xeentry"/>
        </w:rPr>
        <w:instrText>termset logical connection: contrasted with sumti connection</w:instrText>
      </w:r>
      <w:r>
        <w:instrText>"</w:instrText>
      </w:r>
      <w:r>
        <w:rPr>
          <w:rStyle w:val="indexentry"/>
        </w:rPr>
        <w:fldChar w:fldCharType="end"/>
      </w:r>
      <w:r>
        <w:rPr>
          <w:rStyle w:val="indexentry"/>
        </w:rPr>
        <w:t>&lt;cx "termset logical connection, contrasted with bridi-tail connection"&gt;</w:t>
      </w:r>
      <w:r>
        <w:rPr>
          <w:rStyle w:val="indexentry"/>
        </w:rPr>
        <w:fldChar w:fldCharType="begin"/>
      </w:r>
      <w:r>
        <w:instrText>xe "</w:instrText>
      </w:r>
      <w:r>
        <w:rPr>
          <w:rStyle w:val="xeentry"/>
        </w:rPr>
        <w:instrText>termset logical connection: contrasted with bridi-tail connection</w:instrText>
      </w:r>
      <w:r>
        <w:instrText>"</w:instrText>
      </w:r>
      <w:r>
        <w:rPr>
          <w:rStyle w:val="indexentry"/>
        </w:rPr>
        <w:fldChar w:fldCharType="end"/>
      </w:r>
      <w:r>
        <w:rPr>
          <w:rStyle w:val="indexentry"/>
        </w:rPr>
        <w:t>&lt;cx "termset logical connection, when used"&gt;</w:t>
      </w:r>
      <w:r>
        <w:rPr>
          <w:rStyle w:val="indexentry"/>
        </w:rPr>
        <w:fldChar w:fldCharType="begin"/>
      </w:r>
      <w:r>
        <w:instrText>xe "</w:instrText>
      </w:r>
      <w:r>
        <w:rPr>
          <w:rStyle w:val="xeentry"/>
        </w:rPr>
        <w:instrText>termset logical connection: when used</w:instrText>
      </w:r>
      <w:r>
        <w:instrText>"</w:instrText>
      </w:r>
      <w:r>
        <w:rPr>
          <w:rStyle w:val="indexentry"/>
        </w:rPr>
        <w:fldChar w:fldCharType="end"/>
      </w:r>
      <w:r>
        <w:t>So far we have seen sentences that differ in all components, and require</w:t>
      </w:r>
      <w:r>
        <w:rPr>
          <w:rStyle w:val="deletedparamark"/>
        </w:rPr>
        <w:t xml:space="preserve"> </w:t>
      </w:r>
      <w:r>
        <w:t>bridi co</w:t>
      </w:r>
      <w:r>
        <w:t>n</w:t>
      </w:r>
      <w:r>
        <w:softHyphen/>
        <w:t>nection; sentences that differ in one sumti only, and permit</w:t>
      </w:r>
      <w:r>
        <w:rPr>
          <w:rStyle w:val="deletedparamark"/>
        </w:rPr>
        <w:t xml:space="preserve"> </w:t>
      </w:r>
      <w:r>
        <w:t>sumti connection; and se</w:t>
      </w:r>
      <w:r>
        <w:t>n</w:t>
      </w:r>
      <w:r>
        <w:softHyphen/>
        <w:t>tences that differ in the selbri and possibly one</w:t>
      </w:r>
      <w:r>
        <w:rPr>
          <w:rStyle w:val="deletedparamark"/>
        </w:rPr>
        <w:t xml:space="preserve"> </w:t>
      </w:r>
      <w:r>
        <w:t>or more sumti, and permit bridi-tail co</w:t>
      </w:r>
      <w:r>
        <w:t>n</w:t>
      </w:r>
      <w:r>
        <w:softHyphen/>
        <w:t>nection. Termset logical</w:t>
      </w:r>
      <w:r>
        <w:rPr>
          <w:rStyle w:val="deletedparamark"/>
        </w:rPr>
        <w:t xml:space="preserve"> </w:t>
      </w:r>
      <w:r>
        <w:t>connectives are employed for sentences that differ in more than one sumti</w:t>
      </w:r>
      <w:r>
        <w:rPr>
          <w:rStyle w:val="deletedparamark"/>
        </w:rPr>
        <w:t xml:space="preserve"> </w:t>
      </w:r>
      <w:r>
        <w:t>but not in the selbri, such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I go to the market from the office and to the house from the school.</w:t>
      </w:r>
    </w:p>
    <w:p w:rsidR="00B72047" w:rsidRDefault="00B72047">
      <w:pPr>
        <w:pStyle w:val="normalafterexample"/>
      </w:pPr>
      <w:r>
        <w:rPr>
          <w:rStyle w:val="htmlcodes"/>
        </w:rPr>
        <w:t>&lt;/pre&gt;</w:t>
      </w:r>
      <w:r>
        <w:rPr>
          <w:rStyle w:val="indexentry"/>
        </w:rPr>
        <w:t>&lt;lx "ce'e"&gt;</w:t>
      </w:r>
      <w:r>
        <w:rPr>
          <w:rStyle w:val="indexentry"/>
        </w:rPr>
        <w:fldChar w:fldCharType="begin"/>
      </w:r>
      <w:r>
        <w:instrText>xe "</w:instrText>
      </w:r>
      <w:r>
        <w:rPr>
          <w:rStyle w:val="xeentry"/>
        </w:rPr>
        <w:instrText>ce'e</w:instrText>
      </w:r>
      <w:r>
        <w:instrText>"</w:instrText>
      </w:r>
      <w:r>
        <w:rPr>
          <w:rStyle w:val="indexentry"/>
        </w:rPr>
        <w:fldChar w:fldCharType="end"/>
      </w:r>
      <w:r>
        <w:rPr>
          <w:rStyle w:val="indexentry"/>
        </w:rPr>
        <w:t>&lt;lx "CEhE"&gt;</w:t>
      </w:r>
      <w:r>
        <w:rPr>
          <w:rStyle w:val="indexentry"/>
        </w:rPr>
        <w:fldChar w:fldCharType="begin"/>
      </w:r>
      <w:r>
        <w:instrText>xe "</w:instrText>
      </w:r>
      <w:r>
        <w:rPr>
          <w:rStyle w:val="xeentry"/>
        </w:rPr>
        <w:instrText>CEhE selma’o</w:instrText>
      </w:r>
      <w:r>
        <w:instrText>"</w:instrText>
      </w:r>
      <w:r>
        <w:rPr>
          <w:rStyle w:val="indexentry"/>
        </w:rPr>
        <w:fldChar w:fldCharType="end"/>
      </w:r>
      <w:r>
        <w:rPr>
          <w:rStyle w:val="indexentry"/>
        </w:rPr>
        <w:t>&lt;lx "pe'e"&gt;</w:t>
      </w:r>
      <w:r>
        <w:rPr>
          <w:rStyle w:val="indexentry"/>
        </w:rPr>
        <w:fldChar w:fldCharType="begin"/>
      </w:r>
      <w:r>
        <w:instrText>xe "</w:instrText>
      </w:r>
      <w:r>
        <w:rPr>
          <w:rStyle w:val="xeentry"/>
        </w:rPr>
        <w:instrText>pe'e</w:instrText>
      </w:r>
      <w:r>
        <w:instrText>"</w:instrText>
      </w:r>
      <w:r>
        <w:rPr>
          <w:rStyle w:val="indexentry"/>
        </w:rPr>
        <w:fldChar w:fldCharType="end"/>
      </w:r>
      <w:r>
        <w:rPr>
          <w:rStyle w:val="indexentry"/>
        </w:rPr>
        <w:t>&lt;lx "PEhE"&gt;</w:t>
      </w:r>
      <w:r>
        <w:rPr>
          <w:rStyle w:val="indexentry"/>
        </w:rPr>
        <w:fldChar w:fldCharType="begin"/>
      </w:r>
      <w:r>
        <w:instrText>xe "</w:instrText>
      </w:r>
      <w:r>
        <w:rPr>
          <w:rStyle w:val="xeentry"/>
        </w:rPr>
        <w:instrText>PEhE selma’o</w:instrText>
      </w:r>
      <w:r>
        <w:instrText>"</w:instrText>
      </w:r>
      <w:r>
        <w:rPr>
          <w:rStyle w:val="indexentry"/>
        </w:rPr>
        <w:fldChar w:fldCharType="end"/>
      </w:r>
      <w:r>
        <w:rPr>
          <w:rStyle w:val="indexentry"/>
        </w:rPr>
        <w:t>&lt;cx "term, definition"&gt;</w:t>
      </w:r>
      <w:r>
        <w:rPr>
          <w:rStyle w:val="indexentry"/>
        </w:rPr>
        <w:fldChar w:fldCharType="begin"/>
      </w:r>
      <w:r>
        <w:instrText>xe "</w:instrText>
      </w:r>
      <w:r>
        <w:rPr>
          <w:rStyle w:val="xeentry"/>
        </w:rPr>
        <w:instrText>term: definition</w:instrText>
      </w:r>
      <w:r>
        <w:instrText>"</w:instrText>
      </w:r>
      <w:r>
        <w:rPr>
          <w:rStyle w:val="indexentry"/>
        </w:rPr>
        <w:fldChar w:fldCharType="end"/>
      </w:r>
      <w:r>
        <w:rPr>
          <w:rStyle w:val="indexentry"/>
        </w:rPr>
        <w:t>&lt;cx "termset, formation"&gt;</w:t>
      </w:r>
      <w:r>
        <w:rPr>
          <w:rStyle w:val="indexentry"/>
        </w:rPr>
        <w:fldChar w:fldCharType="begin"/>
      </w:r>
      <w:r>
        <w:instrText>xe "</w:instrText>
      </w:r>
      <w:r>
        <w:rPr>
          <w:rStyle w:val="xeentry"/>
        </w:rPr>
        <w:instrText>termset: formation</w:instrText>
      </w:r>
      <w:r>
        <w:instrText>"</w:instrText>
      </w:r>
      <w:r>
        <w:rPr>
          <w:rStyle w:val="indexentry"/>
        </w:rPr>
        <w:fldChar w:fldCharType="end"/>
      </w:r>
      <w:r>
        <w:rPr>
          <w:rStyle w:val="indexentry"/>
        </w:rPr>
        <w:t>&lt;cx "logical connection, termsets"&gt;</w:t>
      </w:r>
      <w:r>
        <w:rPr>
          <w:rStyle w:val="indexentry"/>
        </w:rPr>
        <w:fldChar w:fldCharType="begin"/>
      </w:r>
      <w:r>
        <w:instrText>xe "</w:instrText>
      </w:r>
      <w:r>
        <w:rPr>
          <w:rStyle w:val="xeentry"/>
        </w:rPr>
        <w:instrText>logical connection: termsets</w:instrText>
      </w:r>
      <w:r>
        <w:instrText>"</w:instrText>
      </w:r>
      <w:r>
        <w:rPr>
          <w:rStyle w:val="indexentry"/>
        </w:rPr>
        <w:fldChar w:fldCharType="end"/>
      </w:r>
      <w:r>
        <w:t xml:space="preserve">The Lojban version of </w:t>
      </w:r>
      <w:r>
        <w:rPr>
          <w:rStyle w:val="htmlcodes"/>
        </w:rPr>
        <w:t>&lt;a href=#e11d1&gt;</w:t>
      </w:r>
      <w:r>
        <w:t xml:space="preserve">Example 11.1 </w:t>
      </w:r>
      <w:r>
        <w:rPr>
          <w:rStyle w:val="htmlcodes"/>
        </w:rPr>
        <w:t>&lt;/a&gt;</w:t>
      </w:r>
      <w:r>
        <w:t>requires two termsets joined by a</w:t>
      </w:r>
      <w:r>
        <w:rPr>
          <w:rStyle w:val="deletedparamark"/>
        </w:rPr>
        <w:t xml:space="preserve"> </w:t>
      </w:r>
      <w:r>
        <w:t>logical co</w:t>
      </w:r>
      <w:r>
        <w:t>n</w:t>
      </w:r>
      <w:r>
        <w:softHyphen/>
        <w:t>nective. A “term” is either a sumti or a sumti preceded by</w:t>
      </w:r>
      <w:r>
        <w:rPr>
          <w:rStyle w:val="deletedparamark"/>
        </w:rPr>
        <w:t xml:space="preserve"> </w:t>
      </w:r>
      <w:r>
        <w:t>a tense or modal tag such as “pu” or “bai”. Afterthought termsets are</w:t>
      </w:r>
      <w:r>
        <w:rPr>
          <w:rStyle w:val="deletedparamark"/>
        </w:rPr>
        <w:t xml:space="preserve"> </w:t>
      </w:r>
      <w:r>
        <w:t>formed by linking terms together by insert</w:t>
      </w:r>
      <w:r>
        <w:softHyphen/>
        <w:t>ing the cmavo “ce'e”</w:t>
      </w:r>
      <w:r>
        <w:rPr>
          <w:rStyle w:val="deletedparamark"/>
        </w:rPr>
        <w:t xml:space="preserve"> </w:t>
      </w:r>
      <w:r>
        <w:t>(of selma'o CEhE) between each of them. Furthermore, the logical conne</w:t>
      </w:r>
      <w:r>
        <w:t>c</w:t>
      </w:r>
      <w:r>
        <w:softHyphen/>
        <w:t>tive</w:t>
      </w:r>
      <w:r>
        <w:rPr>
          <w:rStyle w:val="deletedparamark"/>
        </w:rPr>
        <w:t xml:space="preserve"> </w:t>
      </w:r>
      <w:r>
        <w:t>(which is a jek) must be prefixed by the cmavo “pe'e” (of selma'o PEhE).</w:t>
      </w:r>
      <w:r>
        <w:rPr>
          <w:rStyle w:val="deletedparamark"/>
        </w:rPr>
        <w:t xml:space="preserve"> </w:t>
      </w:r>
      <w:r>
        <w:t>(We could refer to the combination of “pe'e” and a jek as a “pehejek”,</w:t>
      </w:r>
      <w:r>
        <w:rPr>
          <w:rStyle w:val="deletedparamark"/>
        </w:rPr>
        <w:t xml:space="preserve"> </w:t>
      </w:r>
      <w:r>
        <w:t>I suppose.)</w:t>
      </w:r>
    </w:p>
    <w:p w:rsidR="00B72047" w:rsidRDefault="00B72047">
      <w:pPr>
        <w:rPr>
          <w:rStyle w:val="htmlparacode"/>
        </w:rPr>
      </w:pPr>
      <w:r>
        <w:rPr>
          <w:rStyle w:val="htmlparacode"/>
        </w:rPr>
        <w:t>&lt;p&gt;</w:t>
      </w:r>
    </w:p>
    <w:p w:rsidR="00B72047" w:rsidRDefault="00B72047">
      <w:pPr>
        <w:pStyle w:val="examplescaledpre"/>
      </w:pPr>
      <w:r>
        <w:rPr>
          <w:rStyle w:val="indexentry"/>
        </w:rPr>
        <w:t>&lt;cx "to the market from the office"&gt;</w:t>
      </w:r>
      <w:r>
        <w:rPr>
          <w:rStyle w:val="indexentry"/>
        </w:rPr>
        <w:fldChar w:fldCharType="begin"/>
      </w:r>
      <w:r>
        <w:instrText>xe "</w:instrText>
      </w:r>
      <w:r>
        <w:rPr>
          <w:rStyle w:val="xeentry"/>
        </w:rPr>
        <w:instrText>to the market from the office</w:instrText>
      </w:r>
      <w:r>
        <w:instrText>"</w:instrText>
      </w:r>
      <w:r>
        <w:rPr>
          <w:rStyle w:val="indexentry"/>
        </w:rPr>
        <w:fldChar w:fldCharType="end"/>
      </w:r>
      <w:r>
        <w:rPr>
          <w:rStyle w:val="htmlcodes"/>
        </w:rPr>
        <w:t>&lt;pre&gt;&lt;a name=e11d2&gt;</w:t>
      </w:r>
      <w:r>
        <w:t>11.2)</w:t>
      </w:r>
      <w:r>
        <w:tab/>
        <w:t>mi klama le zarci ce'e le briju pe'e je</w:t>
      </w:r>
    </w:p>
    <w:p w:rsidR="00B72047" w:rsidRDefault="00B72047">
      <w:pPr>
        <w:pStyle w:val="examplescaled"/>
      </w:pPr>
      <w:r>
        <w:tab/>
      </w:r>
      <w:r>
        <w:tab/>
        <w:t>le zdani ce'e le ckule</w:t>
      </w:r>
    </w:p>
    <w:p w:rsidR="00B72047" w:rsidRDefault="00B72047">
      <w:pPr>
        <w:pStyle w:val="examplescaled"/>
      </w:pPr>
      <w:r>
        <w:tab/>
        <w:t>I go to-the market [plus] from-the office [joint] and</w:t>
      </w:r>
    </w:p>
    <w:p w:rsidR="00B72047" w:rsidRDefault="00B72047">
      <w:pPr>
        <w:pStyle w:val="examplescaled"/>
      </w:pPr>
      <w:r>
        <w:tab/>
      </w:r>
      <w:r>
        <w:tab/>
        <w:t>to-the house [plus] from-the school.</w:t>
      </w:r>
    </w:p>
    <w:p w:rsidR="00B72047" w:rsidRDefault="00B72047">
      <w:pPr>
        <w:pStyle w:val="resumedafterexample"/>
      </w:pPr>
      <w:r>
        <w:rPr>
          <w:rStyle w:val="htmlcodes"/>
        </w:rPr>
        <w:t>&lt;/pre&gt;&lt;p&gt;</w:t>
      </w:r>
      <w:r>
        <w:t>The literal translation uses “[plus]” to indicate the termset connective,</w:t>
      </w:r>
      <w:r>
        <w:rPr>
          <w:rStyle w:val="deletedparamark"/>
        </w:rPr>
        <w:t xml:space="preserve"> </w:t>
      </w:r>
      <w:r>
        <w:t>and “[joint]” to indicate the position of the logical connective joint.</w:t>
      </w:r>
      <w:r>
        <w:rPr>
          <w:rStyle w:val="deletedparamark"/>
        </w:rPr>
        <w:t xml:space="preserve"> </w:t>
      </w:r>
      <w:r>
        <w:t>As usual, there is an equivalent bridi-connection form: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mi klama le zarci le briju  .ije mi klama le zdani le ckule</w:t>
      </w:r>
    </w:p>
    <w:p w:rsidR="00B72047" w:rsidRDefault="00B72047">
      <w:pPr>
        <w:pStyle w:val="examplescaled"/>
      </w:pPr>
      <w:r>
        <w:tab/>
        <w:t>I go to-the market from-the office, and I go to-the house from-the school.</w:t>
      </w:r>
    </w:p>
    <w:p w:rsidR="00B72047" w:rsidRDefault="00B72047">
      <w:pPr>
        <w:pStyle w:val="resumedafterexample"/>
      </w:pPr>
      <w:r>
        <w:rPr>
          <w:rStyle w:val="htmlcodes"/>
        </w:rPr>
        <w:t>&lt;/pre&gt;</w:t>
      </w:r>
      <w:r>
        <w:t>which illustrates that the two bridi differ in the x2 and x3 places only.</w:t>
      </w:r>
    </w:p>
    <w:p w:rsidR="00B72047" w:rsidRDefault="00B72047">
      <w:pPr>
        <w:rPr>
          <w:rStyle w:val="htmlparacode"/>
        </w:rPr>
      </w:pPr>
      <w:r>
        <w:rPr>
          <w:rStyle w:val="htmlparacode"/>
        </w:rPr>
        <w:t>&lt;p&gt;</w:t>
      </w:r>
    </w:p>
    <w:p w:rsidR="00B72047" w:rsidRDefault="00B72047">
      <w:pPr>
        <w:pStyle w:val="normalparagraph"/>
      </w:pPr>
      <w:r>
        <w:rPr>
          <w:rStyle w:val="indexentry"/>
        </w:rPr>
        <w:t>&lt;cx "termset logical connection, unequal length"&gt;</w:t>
      </w:r>
      <w:r>
        <w:rPr>
          <w:rStyle w:val="indexentry"/>
        </w:rPr>
        <w:fldChar w:fldCharType="begin"/>
      </w:r>
      <w:r>
        <w:instrText>xe "</w:instrText>
      </w:r>
      <w:r>
        <w:rPr>
          <w:rStyle w:val="xeentry"/>
        </w:rPr>
        <w:instrText>termset logical connection: unequal length</w:instrText>
      </w:r>
      <w:r>
        <w:instrText>"</w:instrText>
      </w:r>
      <w:r>
        <w:rPr>
          <w:rStyle w:val="indexentry"/>
        </w:rPr>
        <w:fldChar w:fldCharType="end"/>
      </w:r>
      <w:r>
        <w:t>What happens if the two joined sets of terms are of unequal length?</w:t>
      </w:r>
      <w:r>
        <w:rPr>
          <w:rStyle w:val="deletedparamark"/>
        </w:rPr>
        <w:t xml:space="preserve"> </w:t>
      </w:r>
      <w:r>
        <w:t>Expanding to bridi connection will always make clear which term goes in</w:t>
      </w:r>
      <w:r>
        <w:rPr>
          <w:rStyle w:val="deletedparamark"/>
        </w:rPr>
        <w:t xml:space="preserve"> </w:t>
      </w:r>
      <w:r>
        <w:t>which place of which bridi. It can happen that a sumti may fall in the x2</w:t>
      </w:r>
      <w:r>
        <w:rPr>
          <w:rStyle w:val="deletedparamark"/>
        </w:rPr>
        <w:t xml:space="preserve"> </w:t>
      </w:r>
      <w:r>
        <w:t>place of one bridi and the x3 place of a</w:t>
      </w:r>
      <w:r>
        <w:t>n</w:t>
      </w:r>
      <w:r>
        <w:t>other: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mi pe'e ja do ce'e le zarci cu klama le briju</w:t>
      </w:r>
    </w:p>
    <w:p w:rsidR="00B72047" w:rsidRDefault="00B72047">
      <w:pPr>
        <w:pStyle w:val="examplescaled"/>
      </w:pPr>
      <w:r>
        <w:tab/>
        <w:t>I [joint] or you to-the market [plus] go to/from-the office.</w:t>
      </w:r>
    </w:p>
    <w:p w:rsidR="00B72047" w:rsidRDefault="00B72047">
      <w:pPr>
        <w:pStyle w:val="resumedafterexample"/>
      </w:pPr>
      <w:r>
        <w:rPr>
          <w:rStyle w:val="htmlcodes"/>
        </w:rPr>
        <w:t>&lt;/pre&gt;</w:t>
      </w:r>
      <w:r>
        <w:t>can be clearly understood by expansion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mi klama le briju  .ija do le zarci cu klama le briju</w:t>
      </w:r>
    </w:p>
    <w:p w:rsidR="00B72047" w:rsidRDefault="00B72047">
      <w:pPr>
        <w:pStyle w:val="examplescaled"/>
      </w:pPr>
      <w:r>
        <w:tab/>
        <w:t>I go to-the office, or you to-the market go from-the office.</w:t>
      </w:r>
    </w:p>
    <w:p w:rsidR="00B72047" w:rsidRDefault="00B72047">
      <w:pPr>
        <w:pStyle w:val="resumedafterexample"/>
      </w:pPr>
      <w:r>
        <w:rPr>
          <w:rStyle w:val="htmlcodes"/>
        </w:rPr>
        <w:t>&lt;/pre&gt;</w:t>
      </w:r>
      <w:r>
        <w:rPr>
          <w:rStyle w:val="indexentry"/>
        </w:rPr>
        <w:t>&lt;cx "unequal termset connection, compared with compound bridi connection with unequal separate bridi-tails"&gt;</w:t>
      </w:r>
      <w:r>
        <w:rPr>
          <w:rStyle w:val="indexentry"/>
        </w:rPr>
        <w:fldChar w:fldCharType="begin"/>
      </w:r>
      <w:r>
        <w:instrText>xe "</w:instrText>
      </w:r>
      <w:r>
        <w:rPr>
          <w:rStyle w:val="xeentry"/>
        </w:rPr>
        <w:instrText>unequal termset connection: compared with compound bridi connection with unequal separate bridi-tails</w:instrText>
      </w:r>
      <w:r>
        <w:instrText>"</w:instrText>
      </w:r>
      <w:r>
        <w:rPr>
          <w:rStyle w:val="indexentry"/>
        </w:rPr>
        <w:fldChar w:fldCharType="end"/>
      </w:r>
      <w:r>
        <w:t>So “le briju” is your origin but my destination, and thus falls in the</w:t>
      </w:r>
      <w:r>
        <w:rPr>
          <w:rStyle w:val="deletedparamark"/>
        </w:rPr>
        <w:t xml:space="preserve"> </w:t>
      </w:r>
      <w:r>
        <w:t>x2 and x3 places of “klama” simultaneously! This is legal because even</w:t>
      </w:r>
      <w:r>
        <w:rPr>
          <w:rStyle w:val="deletedparamark"/>
        </w:rPr>
        <w:t xml:space="preserve"> </w:t>
      </w:r>
      <w:r>
        <w:t>though there is only one selbri, “klama”, there are two distinct bridi</w:t>
      </w:r>
      <w:r>
        <w:rPr>
          <w:rStyle w:val="deletedparamark"/>
        </w:rPr>
        <w:t xml:space="preserve"> </w:t>
      </w:r>
      <w:r>
        <w:t xml:space="preserve">expressed here. In addition, “mi” in </w:t>
      </w:r>
      <w:r>
        <w:rPr>
          <w:rStyle w:val="htmlcodes"/>
        </w:rPr>
        <w:t>&lt;a href=#e11d4&gt;</w:t>
      </w:r>
      <w:r>
        <w:t xml:space="preserve">Example 11.4 </w:t>
      </w:r>
      <w:r>
        <w:rPr>
          <w:rStyle w:val="htmlcodes"/>
        </w:rPr>
        <w:t>&lt;/a&gt;</w:t>
      </w:r>
      <w:r>
        <w:t>is serving as a termset</w:t>
      </w:r>
      <w:r>
        <w:rPr>
          <w:rStyle w:val="deletedparamark"/>
        </w:rPr>
        <w:t xml:space="preserve"> </w:t>
      </w:r>
      <w:r>
        <w:t>containing only one term. An analogous paradox applies to com</w:t>
      </w:r>
      <w:r>
        <w:softHyphen/>
        <w:t>pound bridi</w:t>
      </w:r>
      <w:r>
        <w:rPr>
          <w:rStyle w:val="deletedparamark"/>
        </w:rPr>
        <w:t xml:space="preserve"> </w:t>
      </w:r>
      <w:r>
        <w:t>with tail-terms and unequal numbers of sumti within the connected bridi-tails: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name=e11d6&gt;</w:t>
      </w:r>
      <w:r>
        <w:t>11.6)</w:t>
      </w:r>
      <w:r>
        <w:tab/>
        <w:t>mi klama le zarci gi'e dzukla vau le briju</w:t>
      </w:r>
    </w:p>
    <w:p w:rsidR="00B72047" w:rsidRDefault="00B72047">
      <w:pPr>
        <w:pStyle w:val="examplescaled"/>
      </w:pPr>
      <w:r>
        <w:tab/>
        <w:t>I ( go to-the market and walk ) to/from-the office.</w:t>
      </w:r>
    </w:p>
    <w:p w:rsidR="00B72047" w:rsidRDefault="00B72047">
      <w:pPr>
        <w:pStyle w:val="resumedafterexample"/>
      </w:pPr>
      <w:r>
        <w:rPr>
          <w:rStyle w:val="htmlcodes"/>
        </w:rPr>
        <w:t>&lt;/pre&gt;</w:t>
      </w:r>
      <w:r>
        <w:t>means that I go to the market from the office, and I walk to the office;</w:t>
      </w:r>
      <w:r>
        <w:rPr>
          <w:rStyle w:val="deletedparamark"/>
        </w:rPr>
        <w:t xml:space="preserve"> “</w:t>
      </w:r>
      <w:r>
        <w:t>le briju” is the x3 place of “klama” and the x2 place of “dzukla”.</w:t>
      </w:r>
    </w:p>
    <w:p w:rsidR="00B72047" w:rsidRDefault="00B72047">
      <w:pPr>
        <w:rPr>
          <w:rStyle w:val="htmlparacode"/>
        </w:rPr>
      </w:pPr>
      <w:r>
        <w:rPr>
          <w:rStyle w:val="htmlparacode"/>
        </w:rPr>
        <w:t>&lt;p&gt;</w:t>
      </w:r>
    </w:p>
    <w:p w:rsidR="00B72047" w:rsidRDefault="00B72047">
      <w:pPr>
        <w:pStyle w:val="normalparagraph"/>
      </w:pPr>
      <w:r>
        <w:rPr>
          <w:rStyle w:val="indexentry"/>
        </w:rPr>
        <w:t>&lt;lx "nu'i"&gt;</w:t>
      </w:r>
      <w:r>
        <w:rPr>
          <w:rStyle w:val="indexentry"/>
        </w:rPr>
        <w:fldChar w:fldCharType="begin"/>
      </w:r>
      <w:r>
        <w:instrText>xe "</w:instrText>
      </w:r>
      <w:r>
        <w:rPr>
          <w:rStyle w:val="xeentry"/>
        </w:rPr>
        <w:instrText>nu'i</w:instrText>
      </w:r>
      <w:r>
        <w:instrText>"</w:instrText>
      </w:r>
      <w:r>
        <w:rPr>
          <w:rStyle w:val="indexentry"/>
        </w:rPr>
        <w:fldChar w:fldCharType="end"/>
      </w:r>
      <w:r>
        <w:rPr>
          <w:rStyle w:val="indexentry"/>
        </w:rPr>
        <w:t>&lt;lx "nu'u"&gt;</w:t>
      </w:r>
      <w:r>
        <w:rPr>
          <w:rStyle w:val="indexentry"/>
        </w:rPr>
        <w:fldChar w:fldCharType="begin"/>
      </w:r>
      <w:r>
        <w:instrText>xe "</w:instrText>
      </w:r>
      <w:r>
        <w:rPr>
          <w:rStyle w:val="xeentry"/>
        </w:rPr>
        <w:instrText>nu'u</w:instrText>
      </w:r>
      <w:r>
        <w:instrText>"</w:instrText>
      </w:r>
      <w:r>
        <w:rPr>
          <w:rStyle w:val="indexentry"/>
        </w:rPr>
        <w:fldChar w:fldCharType="end"/>
      </w:r>
      <w:r>
        <w:rPr>
          <w:rStyle w:val="indexentry"/>
        </w:rPr>
        <w:t>&lt;lx "NUhI"&gt;</w:t>
      </w:r>
      <w:r>
        <w:rPr>
          <w:rStyle w:val="indexentry"/>
        </w:rPr>
        <w:fldChar w:fldCharType="begin"/>
      </w:r>
      <w:r>
        <w:instrText>xe "</w:instrText>
      </w:r>
      <w:r>
        <w:rPr>
          <w:rStyle w:val="xeentry"/>
        </w:rPr>
        <w:instrText>NUhI selma’o</w:instrText>
      </w:r>
      <w:r>
        <w:instrText>"</w:instrText>
      </w:r>
      <w:r>
        <w:rPr>
          <w:rStyle w:val="indexentry"/>
        </w:rPr>
        <w:fldChar w:fldCharType="end"/>
      </w:r>
      <w:r>
        <w:rPr>
          <w:rStyle w:val="indexentry"/>
        </w:rPr>
        <w:t>&lt;lx "NUhU"&gt;</w:t>
      </w:r>
      <w:r>
        <w:rPr>
          <w:rStyle w:val="indexentry"/>
        </w:rPr>
        <w:fldChar w:fldCharType="begin"/>
      </w:r>
      <w:r>
        <w:instrText>xe "</w:instrText>
      </w:r>
      <w:r>
        <w:rPr>
          <w:rStyle w:val="xeentry"/>
        </w:rPr>
        <w:instrText>NUhU selma’o</w:instrText>
      </w:r>
      <w:r>
        <w:instrText>"</w:instrText>
      </w:r>
      <w:r>
        <w:rPr>
          <w:rStyle w:val="indexentry"/>
        </w:rPr>
        <w:fldChar w:fldCharType="end"/>
      </w:r>
      <w:r>
        <w:rPr>
          <w:rStyle w:val="indexentry"/>
        </w:rPr>
        <w:t>&lt;cx "logical connection of forethought termsets"&gt;</w:t>
      </w:r>
      <w:r>
        <w:rPr>
          <w:rStyle w:val="indexentry"/>
        </w:rPr>
        <w:fldChar w:fldCharType="begin"/>
      </w:r>
      <w:r>
        <w:instrText>xe "</w:instrText>
      </w:r>
      <w:r>
        <w:rPr>
          <w:rStyle w:val="xeentry"/>
        </w:rPr>
        <w:instrText>logical connection: of forethought termsets</w:instrText>
      </w:r>
      <w:r>
        <w:instrText>"</w:instrText>
      </w:r>
      <w:r>
        <w:rPr>
          <w:rStyle w:val="indexentry"/>
        </w:rPr>
        <w:fldChar w:fldCharType="end"/>
      </w:r>
      <w:r>
        <w:rPr>
          <w:rStyle w:val="indexentry"/>
        </w:rPr>
        <w:t>&lt;cx "forethought termsets, logical connection of"&gt;</w:t>
      </w:r>
      <w:r>
        <w:rPr>
          <w:rStyle w:val="indexentry"/>
        </w:rPr>
        <w:fldChar w:fldCharType="begin"/>
      </w:r>
      <w:r>
        <w:instrText>xe "</w:instrText>
      </w:r>
      <w:r>
        <w:rPr>
          <w:rStyle w:val="xeentry"/>
        </w:rPr>
        <w:instrText>forethought termsets: logical connection of</w:instrText>
      </w:r>
      <w:r>
        <w:instrText>"</w:instrText>
      </w:r>
      <w:r>
        <w:rPr>
          <w:rStyle w:val="indexentry"/>
        </w:rPr>
        <w:fldChar w:fldCharType="end"/>
      </w:r>
      <w:r>
        <w:t>Forethought termsets also exist, and use “nu'i” of selma'o NUhI to</w:t>
      </w:r>
      <w:r>
        <w:rPr>
          <w:rStyle w:val="deletedparamark"/>
        </w:rPr>
        <w:t xml:space="preserve"> </w:t>
      </w:r>
      <w:r>
        <w:t>signal the begi</w:t>
      </w:r>
      <w:r>
        <w:t>n</w:t>
      </w:r>
      <w:r>
        <w:softHyphen/>
        <w:t>ning and “nu'u” of selma'o NUhU (an elidable terminator)</w:t>
      </w:r>
      <w:r>
        <w:rPr>
          <w:rStyle w:val="deletedparamark"/>
        </w:rPr>
        <w:t xml:space="preserve"> </w:t>
      </w:r>
      <w:r>
        <w:t>to signal the end. Nothing is inserted between the individual terms:</w:t>
      </w:r>
      <w:r>
        <w:rPr>
          <w:rStyle w:val="deletedparamark"/>
        </w:rPr>
        <w:t xml:space="preserve"> </w:t>
      </w:r>
      <w:r>
        <w:t>they simply sit side-by-side. To make a logical connection in a forethought</w:t>
      </w:r>
      <w:r>
        <w:rPr>
          <w:rStyle w:val="deletedparamark"/>
        </w:rPr>
        <w:t xml:space="preserve"> </w:t>
      </w:r>
      <w:r>
        <w:t>termset, use a gek, with the gek just after the “nu'i”, and an extra</w:t>
      </w:r>
      <w:r>
        <w:rPr>
          <w:rStyle w:val="deletedparamark"/>
        </w:rPr>
        <w:t xml:space="preserve"> “</w:t>
      </w:r>
      <w:r>
        <w:t>nu'u” just before the gik:</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name=e11d7&gt;</w:t>
      </w:r>
      <w:r>
        <w:t>11.7)</w:t>
      </w:r>
      <w:r>
        <w:tab/>
        <w:t>mi klama nu'i ge le zarci le briju</w:t>
      </w:r>
    </w:p>
    <w:p w:rsidR="00B72047" w:rsidRDefault="00B72047">
      <w:pPr>
        <w:pStyle w:val="examplescaled"/>
      </w:pPr>
      <w:r>
        <w:tab/>
      </w:r>
      <w:r>
        <w:tab/>
        <w:t>nu'u gi le zdani le ckule [nu'u]</w:t>
      </w:r>
    </w:p>
    <w:p w:rsidR="00B72047" w:rsidRDefault="00B72047">
      <w:pPr>
        <w:pStyle w:val="examplescaled"/>
      </w:pPr>
      <w:r>
        <w:tab/>
        <w:t>I go [start termset] both to-the market from-the office</w:t>
      </w:r>
    </w:p>
    <w:p w:rsidR="00B72047" w:rsidRDefault="00B72047">
      <w:pPr>
        <w:pStyle w:val="examplescaled"/>
      </w:pPr>
      <w:r>
        <w:tab/>
      </w:r>
      <w:r>
        <w:tab/>
        <w:t>[joint] and to-the house from-the school [end termset].</w:t>
      </w:r>
    </w:p>
    <w:p w:rsidR="00B72047" w:rsidRDefault="00B72047">
      <w:pPr>
        <w:pStyle w:val="resumedafterexample"/>
      </w:pPr>
      <w:r>
        <w:rPr>
          <w:rStyle w:val="htmlcodes"/>
        </w:rPr>
        <w:t>&lt;/pre&gt;&lt;p&gt;</w:t>
      </w:r>
      <w:r>
        <w:t>Note that even though two termsets are being connected, only one “nu'i”</w:t>
      </w:r>
      <w:r>
        <w:rPr>
          <w:rStyle w:val="deletedparamark"/>
        </w:rPr>
        <w:t xml:space="preserve"> </w:t>
      </w:r>
      <w:r>
        <w:t>is used.</w:t>
      </w:r>
    </w:p>
    <w:p w:rsidR="00B72047" w:rsidRDefault="00B72047">
      <w:pPr>
        <w:rPr>
          <w:rStyle w:val="htmlparacode"/>
        </w:rPr>
      </w:pPr>
      <w:r>
        <w:rPr>
          <w:rStyle w:val="htmlparacode"/>
        </w:rPr>
        <w:t>&lt;p&gt;</w:t>
      </w:r>
    </w:p>
    <w:p w:rsidR="00B72047" w:rsidRDefault="00B72047">
      <w:pPr>
        <w:pStyle w:val="normalparagraph"/>
      </w:pPr>
      <w:r>
        <w:t>The grammatical uses of termsets that do not contain logical connectives</w:t>
      </w:r>
      <w:r>
        <w:rPr>
          <w:rStyle w:val="deletedparamark"/>
        </w:rPr>
        <w:t xml:space="preserve"> </w:t>
      </w:r>
      <w:r>
        <w:t>are e</w:t>
      </w:r>
      <w:r>
        <w:t>x</w:t>
      </w:r>
      <w:r>
        <w:softHyphen/>
        <w:t xml:space="preserve">plained in </w:t>
      </w:r>
      <w:r>
        <w:rPr>
          <w:rStyle w:val="htmlcodes"/>
        </w:rPr>
        <w:t>&lt;a href=chap12.html&gt;</w:t>
      </w:r>
      <w:r>
        <w:t xml:space="preserve">Chapter 12 </w:t>
      </w:r>
      <w:r>
        <w:rPr>
          <w:rStyle w:val="htmlcodes"/>
        </w:rPr>
        <w:t>&lt;/a&gt;</w:t>
      </w:r>
      <w:r>
        <w:t xml:space="preserve">and </w:t>
      </w:r>
      <w:r>
        <w:rPr>
          <w:rStyle w:val="htmlcodes"/>
        </w:rPr>
        <w:t>&lt;a href=chap16.html&gt;</w:t>
      </w:r>
      <w:r>
        <w:t>Chapter 16</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426" w:name="_Toc398970667"/>
      <w:r>
        <w:rPr>
          <w:rStyle w:val="Heading3Text"/>
        </w:rPr>
        <w:t>Logical connection within tanru</w:t>
      </w:r>
      <w:bookmarkEnd w:id="42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in tanru"&gt;</w:t>
      </w:r>
      <w:r>
        <w:rPr>
          <w:rStyle w:val="indexentry"/>
        </w:rPr>
        <w:fldChar w:fldCharType="begin"/>
      </w:r>
      <w:r>
        <w:instrText>xe "</w:instrText>
      </w:r>
      <w:r>
        <w:rPr>
          <w:rStyle w:val="xeentry"/>
        </w:rPr>
        <w:instrText>logical connectives in tanru</w:instrText>
      </w:r>
      <w:r>
        <w:instrText>"</w:instrText>
      </w:r>
      <w:r>
        <w:rPr>
          <w:rStyle w:val="indexentry"/>
        </w:rPr>
        <w:fldChar w:fldCharType="end"/>
      </w:r>
      <w:r>
        <w:t xml:space="preserve">As noted at the beginning of </w:t>
      </w:r>
      <w:r>
        <w:rPr>
          <w:rStyle w:val="htmlcodes"/>
        </w:rPr>
        <w:t>&lt;a href=#s9&gt;</w:t>
      </w:r>
      <w:r>
        <w:t>Section 9</w:t>
      </w:r>
      <w:r>
        <w:rPr>
          <w:rStyle w:val="htmlcodes"/>
        </w:rPr>
        <w:t>&lt;/a&gt;</w:t>
      </w:r>
      <w:r>
        <w:t>, there is no logical connective</w:t>
      </w:r>
      <w:r>
        <w:rPr>
          <w:rStyle w:val="deletedparamark"/>
        </w:rPr>
        <w:t xml:space="preserve"> </w:t>
      </w:r>
      <w:r>
        <w:t>in Lojban that joins selbri and nothing but selbri. However, it is</w:t>
      </w:r>
      <w:r>
        <w:rPr>
          <w:rStyle w:val="deletedparamark"/>
        </w:rPr>
        <w:t xml:space="preserve"> </w:t>
      </w:r>
      <w:r>
        <w:t>possible to have logical connec</w:t>
      </w:r>
      <w:r>
        <w:softHyphen/>
        <w:t>tives within a selbri, forming a kind</w:t>
      </w:r>
      <w:r>
        <w:rPr>
          <w:rStyle w:val="deletedparamark"/>
        </w:rPr>
        <w:t xml:space="preserve"> </w:t>
      </w:r>
      <w:r>
        <w:t>of tanru that involves a logical connection. Con</w:t>
      </w:r>
      <w:r>
        <w:softHyphen/>
        <w:t>sider the simple</w:t>
      </w:r>
      <w:r>
        <w:rPr>
          <w:rStyle w:val="deletedparamark"/>
        </w:rPr>
        <w:t xml:space="preserve"> </w:t>
      </w:r>
      <w:r>
        <w:t>tanru “blanu zdani”, blue house. Now anything that is a blue ball, in</w:t>
      </w:r>
      <w:r>
        <w:rPr>
          <w:rStyle w:val="deletedparamark"/>
        </w:rPr>
        <w:t xml:space="preserve"> </w:t>
      </w:r>
      <w:r>
        <w:t>the most o</w:t>
      </w:r>
      <w:r>
        <w:t>r</w:t>
      </w:r>
      <w:r>
        <w:softHyphen/>
        <w:t>dinary understanding of the phrase at least, is both blue</w:t>
      </w:r>
      <w:r>
        <w:rPr>
          <w:rStyle w:val="deletedparamark"/>
        </w:rPr>
        <w:t xml:space="preserve"> </w:t>
      </w:r>
      <w:r>
        <w:t>and a ball. And indeed, instead of “blanu bolci”, Lojbanists can</w:t>
      </w:r>
      <w:r>
        <w:rPr>
          <w:rStyle w:val="deletedparamark"/>
        </w:rPr>
        <w:t xml:space="preserve"> </w:t>
      </w:r>
      <w:r>
        <w:t>say “blanu je bolci”, using a jek connective within the tanru. (We saw</w:t>
      </w:r>
      <w:r>
        <w:rPr>
          <w:rStyle w:val="deletedparamark"/>
        </w:rPr>
        <w:t xml:space="preserve"> </w:t>
      </w:r>
      <w:r>
        <w:t xml:space="preserve">jeks used in </w:t>
      </w:r>
      <w:r>
        <w:rPr>
          <w:rStyle w:val="htmlcodes"/>
        </w:rPr>
        <w:t>&lt;a href=#s11&gt;</w:t>
      </w:r>
      <w:r>
        <w:t xml:space="preserve">Section 11 </w:t>
      </w:r>
      <w:r>
        <w:rPr>
          <w:rStyle w:val="htmlcodes"/>
        </w:rPr>
        <w:t>&lt;/a&gt;</w:t>
      </w:r>
      <w:r>
        <w:t>also, but there they were always pre</w:t>
      </w:r>
      <w:r>
        <w:softHyphen/>
        <w:t>fixed by “pe'e”;</w:t>
      </w:r>
      <w:r>
        <w:rPr>
          <w:rStyle w:val="deletedparamark"/>
        </w:rPr>
        <w:t xml:space="preserve"> </w:t>
      </w:r>
      <w:r>
        <w:t>in this section they are used alone.) Here is a pair of examples:</w:t>
      </w:r>
    </w:p>
    <w:p w:rsidR="00B72047" w:rsidRDefault="00B72047">
      <w:pPr>
        <w:rPr>
          <w:rStyle w:val="htmlparacode"/>
        </w:rPr>
      </w:pPr>
      <w:r>
        <w:rPr>
          <w:rStyle w:val="htmlparacode"/>
        </w:rPr>
        <w:t>&lt;p&gt;</w:t>
      </w:r>
    </w:p>
    <w:p w:rsidR="00B72047" w:rsidRDefault="00B72047">
      <w:pPr>
        <w:pStyle w:val="examplescaledpre"/>
      </w:pPr>
      <w:r>
        <w:rPr>
          <w:rStyle w:val="indexentry"/>
        </w:rPr>
        <w:t>&lt;ex "blue house"&gt;</w:t>
      </w:r>
      <w:r>
        <w:rPr>
          <w:rStyle w:val="indexentry"/>
        </w:rPr>
        <w:fldChar w:fldCharType="begin"/>
      </w:r>
      <w:r>
        <w:instrText>xe "</w:instrText>
      </w:r>
      <w:r>
        <w:rPr>
          <w:rStyle w:val="xeentry"/>
        </w:rPr>
        <w:instrText>blue house: example</w:instrText>
      </w:r>
      <w:r>
        <w:instrText>"</w:instrText>
      </w:r>
      <w:r>
        <w:rPr>
          <w:rStyle w:val="indexentry"/>
        </w:rPr>
        <w:fldChar w:fldCharType="end"/>
      </w:r>
      <w:r>
        <w:rPr>
          <w:rStyle w:val="htmlcodes"/>
        </w:rPr>
        <w:t>&lt;pre&gt;&lt;a name=e12d1&gt;</w:t>
      </w:r>
      <w:r>
        <w:t>12.1)</w:t>
      </w:r>
      <w:r>
        <w:tab/>
        <w:t>ti blanu zdani</w:t>
      </w:r>
    </w:p>
    <w:p w:rsidR="00B72047" w:rsidRDefault="00B72047">
      <w:pPr>
        <w:pStyle w:val="examplescaled"/>
      </w:pPr>
      <w:r>
        <w:tab/>
        <w:t>This is-a-blue type-of house.</w:t>
      </w:r>
    </w:p>
    <w:p w:rsidR="00B72047" w:rsidRDefault="00B72047">
      <w:pPr>
        <w:pStyle w:val="examplescaledpre"/>
      </w:pPr>
      <w:r>
        <w:rPr>
          <w:rStyle w:val="htmlcodes"/>
        </w:rPr>
        <w:t>&lt;a name=e12d2&gt;</w:t>
      </w:r>
      <w:r>
        <w:t>12.2)</w:t>
      </w:r>
      <w:r>
        <w:tab/>
        <w:t>ti blanu je zdani</w:t>
      </w:r>
    </w:p>
    <w:p w:rsidR="00B72047" w:rsidRDefault="00B72047">
      <w:pPr>
        <w:pStyle w:val="examplescaled"/>
      </w:pPr>
      <w:r>
        <w:tab/>
        <w:t>This is-blue and a-house.</w:t>
      </w:r>
    </w:p>
    <w:p w:rsidR="00B72047" w:rsidRDefault="00B72047">
      <w:pPr>
        <w:pStyle w:val="normalafterexample"/>
      </w:pPr>
      <w:r>
        <w:rPr>
          <w:rStyle w:val="htmlcodes"/>
        </w:rPr>
        <w:t>&lt;/pre&gt;</w:t>
      </w:r>
      <w:r>
        <w:rPr>
          <w:rStyle w:val="indexentry"/>
        </w:rPr>
        <w:t>&lt;cx "logical connection in tanru, contrasted with unconnected version"&gt;</w:t>
      </w:r>
      <w:r>
        <w:rPr>
          <w:rStyle w:val="indexentry"/>
        </w:rPr>
        <w:fldChar w:fldCharType="begin"/>
      </w:r>
      <w:r>
        <w:instrText>xe "</w:instrText>
      </w:r>
      <w:r>
        <w:rPr>
          <w:rStyle w:val="xeentry"/>
        </w:rPr>
        <w:instrText>logical connection: in tanru, contrasted with unconnected version</w:instrText>
      </w:r>
      <w:r>
        <w:instrText>"</w:instrText>
      </w:r>
      <w:r>
        <w:rPr>
          <w:rStyle w:val="indexentry"/>
        </w:rPr>
        <w:fldChar w:fldCharType="end"/>
      </w:r>
      <w:r>
        <w:rPr>
          <w:rStyle w:val="indexentry"/>
        </w:rPr>
        <w:t>&lt;cx "unconnected tanru, contrasted with logically connected version"&gt;</w:t>
      </w:r>
      <w:r>
        <w:rPr>
          <w:rStyle w:val="indexentry"/>
        </w:rPr>
        <w:fldChar w:fldCharType="begin"/>
      </w:r>
      <w:r>
        <w:instrText>xe "</w:instrText>
      </w:r>
      <w:r>
        <w:rPr>
          <w:rStyle w:val="xeentry"/>
        </w:rPr>
        <w:instrText>unconnected tanru: contrasted with logically connected version</w:instrText>
      </w:r>
      <w:r>
        <w:instrText>"</w:instrText>
      </w:r>
      <w:r>
        <w:rPr>
          <w:rStyle w:val="indexentry"/>
        </w:rPr>
        <w:fldChar w:fldCharType="end"/>
      </w:r>
      <w:r>
        <w:t xml:space="preserve">But of course </w:t>
      </w:r>
      <w:r>
        <w:rPr>
          <w:rStyle w:val="htmlcodes"/>
        </w:rPr>
        <w:t>&lt;a href=#e12d1&gt;</w:t>
      </w:r>
      <w:r>
        <w:t xml:space="preserve">Example 12.1 </w:t>
      </w:r>
      <w:r>
        <w:rPr>
          <w:rStyle w:val="htmlcodes"/>
        </w:rPr>
        <w:t>&lt;/a&gt;</w:t>
      </w:r>
      <w:r>
        <w:t xml:space="preserve">and </w:t>
      </w:r>
      <w:r>
        <w:rPr>
          <w:rStyle w:val="htmlcodes"/>
        </w:rPr>
        <w:t>&lt;a href=#e12d2&gt;</w:t>
      </w:r>
      <w:r>
        <w:t xml:space="preserve">Example 12.2 </w:t>
      </w:r>
      <w:r>
        <w:rPr>
          <w:rStyle w:val="htmlcodes"/>
        </w:rPr>
        <w:t>&lt;/a&gt;</w:t>
      </w:r>
      <w:r>
        <w:t>are not necessarily equivalent</w:t>
      </w:r>
      <w:r>
        <w:rPr>
          <w:rStyle w:val="deletedparamark"/>
        </w:rPr>
        <w:t xml:space="preserve"> </w:t>
      </w:r>
      <w:r>
        <w:t>in meaning! It is the most elementary point about Lojban tanru that</w:t>
      </w:r>
      <w:r>
        <w:rPr>
          <w:rStyle w:val="deletedparamark"/>
        </w:rPr>
        <w:t xml:space="preserve"> </w:t>
      </w:r>
      <w:r>
        <w:rPr>
          <w:rStyle w:val="htmlcodes"/>
        </w:rPr>
        <w:t>&lt;a href=#e12d1&gt;</w:t>
      </w:r>
      <w:r>
        <w:t xml:space="preserve">Example 12.1 </w:t>
      </w:r>
      <w:r>
        <w:rPr>
          <w:rStyle w:val="htmlcodes"/>
        </w:rPr>
        <w:t>&lt;/a&gt;</w:t>
      </w:r>
      <w:r>
        <w:t>might just as well mean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This is a house for blue inhabitants.</w:t>
      </w:r>
    </w:p>
    <w:p w:rsidR="00B72047" w:rsidRDefault="00B72047">
      <w:pPr>
        <w:pStyle w:val="resumedafterexample"/>
      </w:pPr>
      <w:r>
        <w:rPr>
          <w:rStyle w:val="htmlcodes"/>
        </w:rPr>
        <w:t>&lt;/pre&gt;</w:t>
      </w:r>
      <w:r>
        <w:t xml:space="preserve">and </w:t>
      </w:r>
      <w:r>
        <w:rPr>
          <w:rStyle w:val="htmlcodes"/>
        </w:rPr>
        <w:t>&lt;a href=#e12d2&gt;</w:t>
      </w:r>
      <w:r>
        <w:t xml:space="preserve">Example 12.2 </w:t>
      </w:r>
      <w:r>
        <w:rPr>
          <w:rStyle w:val="htmlcodes"/>
        </w:rPr>
        <w:t>&lt;/a&gt;</w:t>
      </w:r>
      <w:r>
        <w:t xml:space="preserve">certainly is not equivalent in meaning to </w:t>
      </w:r>
      <w:r>
        <w:rPr>
          <w:rStyle w:val="htmlcodes"/>
        </w:rPr>
        <w:t>&lt;a href=#e12d3&gt;</w:t>
      </w:r>
      <w:r>
        <w:t>Example 12.3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in tanru, expandability of"&gt;</w:t>
      </w:r>
      <w:r>
        <w:rPr>
          <w:rStyle w:val="indexentry"/>
        </w:rPr>
        <w:fldChar w:fldCharType="begin"/>
      </w:r>
      <w:r>
        <w:instrText>xe "</w:instrText>
      </w:r>
      <w:r>
        <w:rPr>
          <w:rStyle w:val="xeentry"/>
        </w:rPr>
        <w:instrText>logical connection: in tanru, expandability of</w:instrText>
      </w:r>
      <w:r>
        <w:instrText>"</w:instrText>
      </w:r>
      <w:r>
        <w:rPr>
          <w:rStyle w:val="indexentry"/>
        </w:rPr>
        <w:fldChar w:fldCharType="end"/>
      </w:r>
      <w:r>
        <w:t>A full explanation of logical connection within tanru belongs rather</w:t>
      </w:r>
      <w:r>
        <w:rPr>
          <w:rStyle w:val="deletedparamark"/>
        </w:rPr>
        <w:t xml:space="preserve"> </w:t>
      </w:r>
      <w:r>
        <w:t>to a dis</w:t>
      </w:r>
      <w:r>
        <w:softHyphen/>
        <w:t>cussion of selbri structure than to logical connectives in general.</w:t>
      </w:r>
      <w:r>
        <w:rPr>
          <w:rStyle w:val="deletedparamark"/>
        </w:rPr>
        <w:t xml:space="preserve"> </w:t>
      </w:r>
      <w:r>
        <w:t>Why? Because al</w:t>
      </w:r>
      <w:r>
        <w:softHyphen/>
        <w:t xml:space="preserve">though </w:t>
      </w:r>
      <w:r>
        <w:rPr>
          <w:rStyle w:val="htmlcodes"/>
        </w:rPr>
        <w:t>&lt;a href=#e12d2&gt;</w:t>
      </w:r>
      <w:r>
        <w:t xml:space="preserve">Example 12.2 </w:t>
      </w:r>
      <w:r>
        <w:rPr>
          <w:rStyle w:val="htmlcodes"/>
        </w:rPr>
        <w:t>&lt;/a&gt;</w:t>
      </w:r>
      <w:r>
        <w:t>happens to mean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ti blanu gi'e zdani</w:t>
      </w:r>
    </w:p>
    <w:p w:rsidR="00B72047" w:rsidRDefault="00B72047">
      <w:pPr>
        <w:pStyle w:val="resumedafterexample"/>
      </w:pPr>
      <w:r>
        <w:rPr>
          <w:rStyle w:val="htmlcodes"/>
        </w:rPr>
        <w:t>&lt;/pre&gt;</w:t>
      </w:r>
      <w:r>
        <w:t>and therefore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name=e12d5&gt;</w:t>
      </w:r>
      <w:r>
        <w:t>12.5)</w:t>
      </w:r>
      <w:r>
        <w:tab/>
        <w:t>ti blanu  .ije ti zdani</w:t>
      </w:r>
    </w:p>
    <w:p w:rsidR="00B72047" w:rsidRDefault="00B72047">
      <w:pPr>
        <w:pStyle w:val="resumedafterexample"/>
      </w:pPr>
      <w:r>
        <w:rPr>
          <w:rStyle w:val="htmlcodes"/>
        </w:rPr>
        <w:t>&lt;/pre&gt;</w:t>
      </w:r>
      <w:r>
        <w:t>the rule of expansion into separate bridi simply does not always work</w:t>
      </w:r>
      <w:r>
        <w:rPr>
          <w:rStyle w:val="deletedparamark"/>
        </w:rPr>
        <w:t xml:space="preserve"> </w:t>
      </w:r>
      <w:r>
        <w:t>for tanru connec</w:t>
      </w:r>
      <w:r>
        <w:softHyphen/>
        <w:t>tion. Supposing Alice to be a person who lives in blue</w:t>
      </w:r>
      <w:r>
        <w:rPr>
          <w:rStyle w:val="deletedparamark"/>
        </w:rPr>
        <w:t xml:space="preserve"> </w:t>
      </w:r>
      <w:r>
        <w:t>houses, then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name=e12d6&gt;</w:t>
      </w:r>
      <w:r>
        <w:t>12.6)</w:t>
      </w:r>
      <w:r>
        <w:tab/>
        <w:t>la .alis. cu blanu je zdani prenu</w:t>
      </w:r>
    </w:p>
    <w:p w:rsidR="00B72047" w:rsidRDefault="00B72047">
      <w:pPr>
        <w:pStyle w:val="examplescaled"/>
      </w:pPr>
      <w:r>
        <w:tab/>
        <w:t>Alice is-a ( blue and house ) type-of-person.</w:t>
      </w:r>
    </w:p>
    <w:p w:rsidR="00B72047" w:rsidRDefault="00B72047">
      <w:pPr>
        <w:pStyle w:val="resumedafterexample"/>
      </w:pPr>
      <w:r>
        <w:rPr>
          <w:rStyle w:val="htmlcodes"/>
        </w:rPr>
        <w:t>&lt;/pre&gt;</w:t>
      </w:r>
      <w:r>
        <w:t>would be true, because tanru grouping with a jek has higher precedence than</w:t>
      </w:r>
      <w:r>
        <w:rPr>
          <w:rStyle w:val="deletedparamark"/>
        </w:rPr>
        <w:t xml:space="preserve"> </w:t>
      </w:r>
      <w:r>
        <w:t>unmarked tanru grouping, but: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name=e12d7&gt;</w:t>
      </w:r>
      <w:r>
        <w:t>12.7)</w:t>
      </w:r>
      <w:r>
        <w:tab/>
        <w:t>la .alis. cu blanu prenu  .ije la .alis. cu zdani prenu</w:t>
      </w:r>
    </w:p>
    <w:p w:rsidR="00B72047" w:rsidRDefault="00B72047">
      <w:pPr>
        <w:pStyle w:val="examplescaled"/>
      </w:pPr>
      <w:r>
        <w:tab/>
        <w:t>Alice is-a blue person, and Alice is-a house person.</w:t>
      </w:r>
    </w:p>
    <w:p w:rsidR="00B72047" w:rsidRDefault="00B72047">
      <w:pPr>
        <w:pStyle w:val="resumedafterexample"/>
      </w:pPr>
      <w:r>
        <w:rPr>
          <w:rStyle w:val="htmlcodes"/>
        </w:rPr>
        <w:t>&lt;/pre&gt;</w:t>
      </w:r>
      <w:r>
        <w:t>is probably false, because the blueness is associated with the house, not</w:t>
      </w:r>
      <w:r>
        <w:rPr>
          <w:rStyle w:val="deletedparamark"/>
        </w:rPr>
        <w:t xml:space="preserve"> </w:t>
      </w:r>
      <w:r>
        <w:t>with Alice, even leaving aside the question of what it means to say</w:t>
      </w:r>
      <w:r>
        <w:rPr>
          <w:rStyle w:val="deletedparamark"/>
        </w:rPr>
        <w:t xml:space="preserve"> “</w:t>
      </w:r>
      <w:r>
        <w:t>Alice is a blue person”. (Perhaps she belongs to the Blue team, or is</w:t>
      </w:r>
      <w:r>
        <w:rPr>
          <w:rStyle w:val="deletedparamark"/>
        </w:rPr>
        <w:t xml:space="preserve"> </w:t>
      </w:r>
      <w:r>
        <w:t>wearing blue clothes.) The semantic ambi</w:t>
      </w:r>
      <w:r>
        <w:softHyphen/>
        <w:t>guity of tanru make such logical</w:t>
      </w:r>
      <w:r>
        <w:rPr>
          <w:rStyle w:val="deletedparamark"/>
        </w:rPr>
        <w:t xml:space="preserve"> </w:t>
      </w:r>
      <w:r>
        <w:t>manipulations impossible.</w:t>
      </w:r>
    </w:p>
    <w:p w:rsidR="00B72047" w:rsidRDefault="00B72047">
      <w:pPr>
        <w:rPr>
          <w:rStyle w:val="htmlparacode"/>
        </w:rPr>
      </w:pPr>
      <w:r>
        <w:rPr>
          <w:rStyle w:val="htmlparacode"/>
        </w:rPr>
        <w:t>&lt;p&gt;</w:t>
      </w:r>
    </w:p>
    <w:p w:rsidR="00B72047" w:rsidRDefault="00B72047">
      <w:pPr>
        <w:pStyle w:val="normalparagraph"/>
      </w:pP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"logical connection in tanru, grouping with bo"&gt;</w:t>
      </w:r>
      <w:r>
        <w:rPr>
          <w:rStyle w:val="indexentry"/>
        </w:rPr>
        <w:fldChar w:fldCharType="begin"/>
      </w:r>
      <w:r>
        <w:instrText>xe "</w:instrText>
      </w:r>
      <w:r>
        <w:rPr>
          <w:rStyle w:val="xeentry"/>
        </w:rPr>
        <w:instrText>logical connection: in tanru, grouping with bo</w:instrText>
      </w:r>
      <w:r>
        <w:instrText>"</w:instrText>
      </w:r>
      <w:r>
        <w:rPr>
          <w:rStyle w:val="indexentry"/>
        </w:rPr>
        <w:fldChar w:fldCharType="end"/>
      </w:r>
      <w:r>
        <w:t>It suffices to note here, then, a few purely grammatical points about tanru</w:t>
      </w:r>
      <w:r>
        <w:rPr>
          <w:rStyle w:val="deletedparamark"/>
        </w:rPr>
        <w:t xml:space="preserve"> </w:t>
      </w:r>
      <w:r>
        <w:t>logi</w:t>
      </w:r>
      <w:r>
        <w:softHyphen/>
        <w:t>cal connection. “bo” may be appended to jeks as to eks, with the</w:t>
      </w:r>
      <w:r>
        <w:rPr>
          <w:rStyle w:val="deletedparamark"/>
        </w:rPr>
        <w:t xml:space="preserve"> </w:t>
      </w:r>
      <w:r>
        <w:t>same rules: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la teris. cu ricfu je nakni jabo fetsi</w:t>
      </w:r>
    </w:p>
    <w:p w:rsidR="00B72047" w:rsidRDefault="00B72047">
      <w:pPr>
        <w:pStyle w:val="examplescaled"/>
      </w:pPr>
      <w:r>
        <w:tab/>
        <w:t>Terry is rich and ( male or female ).</w:t>
      </w:r>
    </w:p>
    <w:p w:rsidR="00B72047" w:rsidRDefault="00B72047">
      <w:pPr>
        <w:pStyle w:val="normalafterexample"/>
      </w:pPr>
      <w:r>
        <w:rPr>
          <w:rStyle w:val="htmlcodes"/>
        </w:rPr>
        <w:t>&lt;/pre&gt;</w:t>
      </w:r>
      <w:r>
        <w:rPr>
          <w:rStyle w:val="indexentry"/>
        </w:rPr>
        <w:t>&lt;cx "logical connection in tanru, grouping with ke"&gt;</w:t>
      </w:r>
      <w:r>
        <w:rPr>
          <w:rStyle w:val="indexentry"/>
        </w:rPr>
        <w:fldChar w:fldCharType="begin"/>
      </w:r>
      <w:r>
        <w:instrText>xe "</w:instrText>
      </w:r>
      <w:r>
        <w:rPr>
          <w:rStyle w:val="xeentry"/>
        </w:rPr>
        <w:instrText>logical connection: in tanru, grouping with 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t>The components of tanru may be grouped with “ke” both before and after a</w:t>
      </w:r>
      <w:r>
        <w:rPr>
          <w:rStyle w:val="deletedparamark"/>
        </w:rPr>
        <w:t xml:space="preserve"> </w:t>
      </w:r>
      <w:r>
        <w:t>logical connective: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name=e12d9&gt;</w:t>
      </w:r>
      <w:r>
        <w:t>12.9)</w:t>
      </w:r>
      <w:r>
        <w:tab/>
        <w:t>la .teris. cu [ke] ricfu ja pindi [ke'e] je ke nakni ja fetsi [ke'e]</w:t>
      </w:r>
    </w:p>
    <w:p w:rsidR="00B72047" w:rsidRDefault="00B72047">
      <w:pPr>
        <w:pStyle w:val="examplescaled"/>
      </w:pPr>
      <w:r>
        <w:tab/>
        <w:t>Terry is (rich or poor) and (male or female).</w:t>
      </w:r>
    </w:p>
    <w:p w:rsidR="00B72047" w:rsidRDefault="00B72047">
      <w:pPr>
        <w:pStyle w:val="resumedafterexample"/>
      </w:pPr>
      <w:r>
        <w:rPr>
          <w:rStyle w:val="htmlcodes"/>
        </w:rPr>
        <w:t>&lt;/pre&gt;</w:t>
      </w:r>
      <w:r>
        <w:t>where the first “ke </w:t>
      </w:r>
      <w:r>
        <w:rPr>
          <w:rStyle w:val="htmlcodes"/>
        </w:rPr>
        <w:t>&lt;dots&gt;</w:t>
      </w:r>
      <w:r>
        <w:t>…</w:t>
      </w:r>
      <w:r>
        <w:rPr>
          <w:rStyle w:val="htmlcodes"/>
        </w:rPr>
        <w:t>&lt;/dots&gt;</w:t>
      </w:r>
      <w:r>
        <w:t>ke'e” pair may be omitted altogether by the rule</w:t>
      </w:r>
      <w:r>
        <w:rPr>
          <w:rStyle w:val="deletedparamark"/>
        </w:rPr>
        <w:t xml:space="preserve"> </w:t>
      </w:r>
      <w:r>
        <w:t>of left-grouping, but is optionally permitted.</w:t>
      </w:r>
      <w:r>
        <w:rPr>
          <w:rStyle w:val="deletedparamark"/>
        </w:rPr>
        <w:t xml:space="preserve"> </w:t>
      </w:r>
      <w:r>
        <w:t>In any case, the last instance of “ke'e” may be elided.</w:t>
      </w:r>
    </w:p>
    <w:p w:rsidR="00B72047" w:rsidRDefault="00B72047">
      <w:pPr>
        <w:rPr>
          <w:rStyle w:val="htmlparacode"/>
        </w:rPr>
      </w:pPr>
      <w:r>
        <w:rPr>
          <w:rStyle w:val="htmlparacode"/>
        </w:rPr>
        <w:t>&lt;p&gt;</w:t>
      </w:r>
    </w:p>
    <w:p w:rsidR="00B72047" w:rsidRDefault="00B72047">
      <w:pPr>
        <w:pStyle w:val="normalparagraph"/>
      </w:pP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&lt;cx "jeks, syntax of"&gt;</w:t>
      </w:r>
      <w:r>
        <w:rPr>
          <w:rStyle w:val="indexentry"/>
        </w:rPr>
        <w:fldChar w:fldCharType="begin"/>
      </w:r>
      <w:r>
        <w:instrText>xe "</w:instrText>
      </w:r>
      <w:r>
        <w:rPr>
          <w:rStyle w:val="xeentry"/>
        </w:rPr>
        <w:instrText>jeks: syntax of</w:instrText>
      </w:r>
      <w:r>
        <w:instrText>"</w:instrText>
      </w:r>
      <w:r>
        <w:rPr>
          <w:rStyle w:val="indexentry"/>
        </w:rPr>
        <w:fldChar w:fldCharType="end"/>
      </w:r>
      <w:r>
        <w:t>The syntax of jeks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[na] [se] JA [nai]</w:t>
      </w:r>
    </w:p>
    <w:p w:rsidR="00B72047" w:rsidRDefault="00B72047">
      <w:pPr>
        <w:pStyle w:val="resumedafterexample"/>
      </w:pPr>
      <w:r>
        <w:rPr>
          <w:rStyle w:val="htmlcodes"/>
        </w:rPr>
        <w:t>&lt;/dl&gt;</w:t>
      </w:r>
      <w:r>
        <w:t>parallel to eks and giheks.</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tanru connection"&gt;</w:t>
      </w:r>
      <w:r>
        <w:rPr>
          <w:rStyle w:val="indexentry"/>
        </w:rPr>
        <w:fldChar w:fldCharType="begin"/>
      </w:r>
      <w:r>
        <w:instrText>xe "</w:instrText>
      </w:r>
      <w:r>
        <w:rPr>
          <w:rStyle w:val="xeentry"/>
        </w:rPr>
        <w:instrText>forethought tanru connection</w:instrText>
      </w:r>
      <w:r>
        <w:instrText>"</w:instrText>
      </w:r>
      <w:r>
        <w:rPr>
          <w:rStyle w:val="indexentry"/>
        </w:rPr>
        <w:fldChar w:fldCharType="end"/>
      </w:r>
      <w:r>
        <w:rPr>
          <w:rStyle w:val="indexentry"/>
        </w:rPr>
        <w:t>&lt;cx "guhek, definition"&gt;</w:t>
      </w:r>
      <w:r>
        <w:rPr>
          <w:rStyle w:val="indexentry"/>
        </w:rPr>
        <w:fldChar w:fldCharType="begin"/>
      </w:r>
      <w:r>
        <w:instrText>xe "</w:instrText>
      </w:r>
      <w:r>
        <w:rPr>
          <w:rStyle w:val="xeentry"/>
        </w:rPr>
        <w:instrText>guhek: definition</w:instrText>
      </w:r>
      <w:r>
        <w:instrText>"</w:instrText>
      </w:r>
      <w:r>
        <w:rPr>
          <w:rStyle w:val="indexentry"/>
        </w:rPr>
        <w:fldChar w:fldCharType="end"/>
      </w:r>
      <w:r>
        <w:rPr>
          <w:rStyle w:val="indexentry"/>
        </w:rPr>
        <w:t>&lt;lx "GUhA"&gt;</w:t>
      </w:r>
      <w:r>
        <w:rPr>
          <w:rStyle w:val="indexentry"/>
        </w:rPr>
        <w:fldChar w:fldCharType="begin"/>
      </w:r>
      <w:r>
        <w:instrText>xe "</w:instrText>
      </w:r>
      <w:r>
        <w:rPr>
          <w:rStyle w:val="xeentry"/>
        </w:rPr>
        <w:instrText>GUhA selma’o</w:instrText>
      </w:r>
      <w:r>
        <w:instrText>"</w:instrText>
      </w:r>
      <w:r>
        <w:rPr>
          <w:rStyle w:val="indexentry"/>
        </w:rPr>
        <w:fldChar w:fldCharType="end"/>
      </w:r>
      <w:r>
        <w:t>Forethought tanru connection does not use geks, but uses guheks instead.</w:t>
      </w:r>
      <w:r>
        <w:rPr>
          <w:rStyle w:val="deletedparamark"/>
        </w:rPr>
        <w:t xml:space="preserve"> </w:t>
      </w:r>
      <w:r>
        <w:t>Gu</w:t>
      </w:r>
      <w:r>
        <w:softHyphen/>
        <w:t>heks have exactly the same form as geks: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"GUhA"&gt;</w:t>
      </w:r>
      <w:r>
        <w:rPr>
          <w:rStyle w:val="indexentry"/>
        </w:rPr>
        <w:fldChar w:fldCharType="begin"/>
      </w:r>
      <w:r>
        <w:instrText>xe "</w:instrText>
      </w:r>
      <w:r>
        <w:rPr>
          <w:rStyle w:val="xeentry"/>
        </w:rPr>
        <w:instrText>GUhA selma’o</w:instrText>
      </w:r>
      <w:r>
        <w:instrText>"</w:instrText>
      </w:r>
      <w:r>
        <w:rPr>
          <w:rStyle w:val="indexentry"/>
        </w:rPr>
        <w:fldChar w:fldCharType="end"/>
      </w:r>
      <w:r>
        <w:rPr>
          <w:rStyle w:val="indexentry"/>
        </w:rPr>
        <w:t>&lt;cx "guheks, syntax of"&gt;</w:t>
      </w:r>
      <w:r>
        <w:rPr>
          <w:rStyle w:val="indexentry"/>
        </w:rPr>
        <w:fldChar w:fldCharType="begin"/>
      </w:r>
      <w:r>
        <w:instrText>xe "</w:instrText>
      </w:r>
      <w:r>
        <w:rPr>
          <w:rStyle w:val="xeentry"/>
        </w:rPr>
        <w:instrText>guheks: syntax of</w:instrText>
      </w:r>
      <w:r>
        <w:instrText>"</w:instrText>
      </w:r>
      <w:r>
        <w:rPr>
          <w:rStyle w:val="indexentry"/>
        </w:rPr>
        <w:fldChar w:fldCharType="end"/>
      </w:r>
      <w:r>
        <w:rPr>
          <w:rStyle w:val="htmlcodes"/>
        </w:rPr>
        <w:t>&lt;dl compact&gt;&lt;dt&gt;&lt;dd&gt;</w:t>
      </w:r>
      <w:r>
        <w:t>[se] GUhA [nai]</w:t>
      </w:r>
    </w:p>
    <w:p w:rsidR="00B72047" w:rsidRDefault="00B72047">
      <w:pPr>
        <w:pStyle w:val="resumedafterexample"/>
      </w:pPr>
      <w:r>
        <w:rPr>
          <w:rStyle w:val="htmlcodes"/>
        </w:rPr>
        <w:t>&lt;/dl&gt;</w:t>
      </w:r>
      <w:r>
        <w:rPr>
          <w:rStyle w:val="indexentry"/>
        </w:rPr>
        <w:t>&lt;cx "guheks for tanru connection, rationale"&gt;</w:t>
      </w:r>
      <w:r>
        <w:rPr>
          <w:rStyle w:val="indexentry"/>
        </w:rPr>
        <w:fldChar w:fldCharType="begin"/>
      </w:r>
      <w:r>
        <w:instrText>xe "</w:instrText>
      </w:r>
      <w:r>
        <w:rPr>
          <w:rStyle w:val="xeentry"/>
        </w:rPr>
        <w:instrText>guheks for tanru connection: rationale</w:instrText>
      </w:r>
      <w:r>
        <w:instrText>"</w:instrText>
      </w:r>
      <w:r>
        <w:rPr>
          <w:rStyle w:val="indexentry"/>
        </w:rPr>
        <w:fldChar w:fldCharType="end"/>
      </w:r>
      <w:r>
        <w:rPr>
          <w:rStyle w:val="indexentry"/>
        </w:rPr>
        <w:t>&lt;cx "logical connection, of bridi-tail as opposed to tanru"&gt;</w:t>
      </w:r>
      <w:r>
        <w:rPr>
          <w:rStyle w:val="indexentry"/>
        </w:rPr>
        <w:fldChar w:fldCharType="begin"/>
      </w:r>
      <w:r>
        <w:instrText>xe "</w:instrText>
      </w:r>
      <w:r>
        <w:rPr>
          <w:rStyle w:val="xeentry"/>
        </w:rPr>
        <w:instrText>logical connection: of bridi-tail as opposed to tanru</w:instrText>
      </w:r>
      <w:r>
        <w:instrText>"</w:instrText>
      </w:r>
      <w:r>
        <w:rPr>
          <w:rStyle w:val="indexentry"/>
        </w:rPr>
        <w:fldChar w:fldCharType="end"/>
      </w:r>
      <w:r>
        <w:rPr>
          <w:rStyle w:val="indexentry"/>
        </w:rPr>
        <w:t>&lt;cx "logical connection, of tanru as opposed to bridi-tail"&gt;</w:t>
      </w:r>
      <w:r>
        <w:rPr>
          <w:rStyle w:val="indexentry"/>
        </w:rPr>
        <w:fldChar w:fldCharType="begin"/>
      </w:r>
      <w:r>
        <w:instrText>xe "</w:instrText>
      </w:r>
      <w:r>
        <w:rPr>
          <w:rStyle w:val="xeentry"/>
        </w:rPr>
        <w:instrText>logical connection: of tanru as opposed to bridi-tail</w:instrText>
      </w:r>
      <w:r>
        <w:instrText>"</w:instrText>
      </w:r>
      <w:r>
        <w:rPr>
          <w:rStyle w:val="indexentry"/>
        </w:rPr>
        <w:fldChar w:fldCharType="end"/>
      </w:r>
      <w:r>
        <w:t>Using guheks in tanru connection (rather than geks) resolves what would</w:t>
      </w:r>
      <w:r>
        <w:rPr>
          <w:rStyle w:val="deletedparamark"/>
        </w:rPr>
        <w:t xml:space="preserve"> </w:t>
      </w:r>
      <w:r>
        <w:t>otherwise be an unacceptable ambiguity between bridi-tail and tanru</w:t>
      </w:r>
      <w:r>
        <w:rPr>
          <w:rStyle w:val="deletedparamark"/>
        </w:rPr>
        <w:t xml:space="preserve"> </w:t>
      </w:r>
      <w:r>
        <w:t>connection: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name=e12d10&gt;</w:t>
      </w:r>
      <w:r>
        <w:t>12.10)</w:t>
      </w:r>
      <w:r>
        <w:tab/>
        <w:t>la .alis. gu'e ricfu gi fetsi</w:t>
      </w:r>
    </w:p>
    <w:p w:rsidR="00B72047" w:rsidRDefault="00B72047">
      <w:pPr>
        <w:pStyle w:val="examplescaled"/>
      </w:pPr>
      <w:r>
        <w:tab/>
        <w:t>Alice is both rich and female.</w:t>
      </w:r>
    </w:p>
    <w:p w:rsidR="00B72047" w:rsidRDefault="00B72047">
      <w:pPr>
        <w:pStyle w:val="resumedafterexample"/>
      </w:pPr>
      <w:r>
        <w:rPr>
          <w:rStyle w:val="htmlcodes"/>
        </w:rPr>
        <w:t>&lt;/pre&gt;</w:t>
      </w:r>
      <w:r>
        <w:rPr>
          <w:rStyle w:val="indexentry"/>
        </w:rPr>
        <w:t>&lt;cx "tanru grouping, guheks compared with jeks"&gt;</w:t>
      </w:r>
      <w:r>
        <w:rPr>
          <w:rStyle w:val="indexentry"/>
        </w:rPr>
        <w:fldChar w:fldCharType="begin"/>
      </w:r>
      <w:r>
        <w:instrText>xe "</w:instrText>
      </w:r>
      <w:r>
        <w:rPr>
          <w:rStyle w:val="xeentry"/>
        </w:rPr>
        <w:instrText>tanru grouping: guheks compared with jeks</w:instrText>
      </w:r>
      <w:r>
        <w:instrText>"</w:instrText>
      </w:r>
      <w:r>
        <w:rPr>
          <w:rStyle w:val="indexentry"/>
        </w:rPr>
        <w:fldChar w:fldCharType="end"/>
      </w:r>
      <w:r>
        <w:rPr>
          <w:rStyle w:val="indexentry"/>
        </w:rPr>
        <w:t>&lt;cx "tanru connection grouping, guheks unmarked tanru"&gt;</w:t>
      </w:r>
      <w:r>
        <w:rPr>
          <w:rStyle w:val="indexentry"/>
        </w:rPr>
        <w:fldChar w:fldCharType="begin"/>
      </w:r>
      <w:r>
        <w:instrText>xe "</w:instrText>
      </w:r>
      <w:r>
        <w:rPr>
          <w:rStyle w:val="xeentry"/>
        </w:rPr>
        <w:instrText>tanru connection grouping: guheks unmarked tanru</w:instrText>
      </w:r>
      <w:r>
        <w:instrText>"</w:instrText>
      </w:r>
      <w:r>
        <w:rPr>
          <w:rStyle w:val="indexentry"/>
        </w:rPr>
        <w:fldChar w:fldCharType="end"/>
      </w:r>
      <w:r>
        <w:rPr>
          <w:rStyle w:val="indexentry"/>
        </w:rPr>
        <w:t>&lt;lx "GUhA"&gt;</w:t>
      </w:r>
      <w:r>
        <w:rPr>
          <w:rStyle w:val="indexentry"/>
        </w:rPr>
        <w:fldChar w:fldCharType="begin"/>
      </w:r>
      <w:r>
        <w:instrText>xe "</w:instrText>
      </w:r>
      <w:r>
        <w:rPr>
          <w:rStyle w:val="xeentry"/>
        </w:rPr>
        <w:instrText>GUhA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t>Note that giks are used with guheks in exactly the same way they are</w:t>
      </w:r>
      <w:r>
        <w:rPr>
          <w:rStyle w:val="deletedparamark"/>
        </w:rPr>
        <w:t xml:space="preserve"> </w:t>
      </w:r>
      <w:r>
        <w:t>used with geks. Like jeks, guheks bind more closely than unmarked</w:t>
      </w:r>
      <w:r>
        <w:rPr>
          <w:rStyle w:val="deletedparamark"/>
        </w:rPr>
        <w:t xml:space="preserve"> </w:t>
      </w:r>
      <w:r>
        <w:t>tanru grouping does: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name=e12d11&gt;</w:t>
      </w:r>
      <w:r>
        <w:t>12.11)</w:t>
      </w:r>
      <w:r>
        <w:tab/>
        <w:t>la .alis. gu'e blanu gi zdani prenu</w:t>
      </w:r>
    </w:p>
    <w:p w:rsidR="00B72047" w:rsidRDefault="00B72047">
      <w:pPr>
        <w:pStyle w:val="examplescaled"/>
      </w:pPr>
      <w:r>
        <w:tab/>
        <w:t>Alice is-a-(both blue and a-house) type-of-person.</w:t>
      </w:r>
    </w:p>
    <w:p w:rsidR="00B72047" w:rsidRDefault="00B72047">
      <w:pPr>
        <w:pStyle w:val="resumedafterexample"/>
      </w:pPr>
      <w:r>
        <w:rPr>
          <w:rStyle w:val="htmlcodes"/>
        </w:rPr>
        <w:t>&lt;/pre&gt;</w:t>
      </w:r>
      <w:r>
        <w:t xml:space="preserve">is the forethought version of </w:t>
      </w:r>
      <w:r>
        <w:rPr>
          <w:rStyle w:val="htmlcodes"/>
        </w:rPr>
        <w:t>&lt;a href=#e12d6&gt;</w:t>
      </w:r>
      <w:r>
        <w:t>Example 12.6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of tanru, caveat"&gt;</w:t>
      </w:r>
      <w:r>
        <w:rPr>
          <w:rStyle w:val="indexentry"/>
        </w:rPr>
        <w:fldChar w:fldCharType="begin"/>
      </w:r>
      <w:r>
        <w:instrText>xe "</w:instrText>
      </w:r>
      <w:r>
        <w:rPr>
          <w:rStyle w:val="xeentry"/>
        </w:rPr>
        <w:instrText>logical connection: of tanru, caveat</w:instrText>
      </w:r>
      <w:r>
        <w:instrText>"</w:instrText>
      </w:r>
      <w:r>
        <w:rPr>
          <w:rStyle w:val="indexentry"/>
        </w:rPr>
        <w:fldChar w:fldCharType="end"/>
      </w:r>
      <w:r>
        <w:rPr>
          <w:rStyle w:val="indexentry"/>
        </w:rPr>
        <w:t>&lt;cx "tanru, reducing logically connected sumti to, caveat"&gt;</w:t>
      </w:r>
      <w:r>
        <w:rPr>
          <w:rStyle w:val="indexentry"/>
        </w:rPr>
        <w:fldChar w:fldCharType="begin"/>
      </w:r>
      <w:r>
        <w:instrText>xe "</w:instrText>
      </w:r>
      <w:r>
        <w:rPr>
          <w:rStyle w:val="xeentry"/>
        </w:rPr>
        <w:instrText>tanru: reducing logically connected sumti to, caveat</w:instrText>
      </w:r>
      <w:r>
        <w:instrText>"</w:instrText>
      </w:r>
      <w:r>
        <w:rPr>
          <w:rStyle w:val="indexentry"/>
        </w:rPr>
        <w:fldChar w:fldCharType="end"/>
      </w:r>
      <w:r>
        <w:rPr>
          <w:rStyle w:val="indexentry"/>
        </w:rPr>
        <w:t>&lt;cx "tanru logical connection, contrasted with sumti logical connection"&gt;</w:t>
      </w:r>
      <w:r>
        <w:rPr>
          <w:rStyle w:val="indexentry"/>
        </w:rPr>
        <w:fldChar w:fldCharType="begin"/>
      </w:r>
      <w:r>
        <w:instrText>xe "</w:instrText>
      </w:r>
      <w:r>
        <w:rPr>
          <w:rStyle w:val="xeentry"/>
        </w:rPr>
        <w:instrText>tanru logical connection: contrasted with sumti logical connection</w:instrText>
      </w:r>
      <w:r>
        <w:instrText>"</w:instrText>
      </w:r>
      <w:r>
        <w:rPr>
          <w:rStyle w:val="indexentry"/>
        </w:rPr>
        <w:fldChar w:fldCharType="end"/>
      </w:r>
      <w:r>
        <w:rPr>
          <w:rStyle w:val="indexentry"/>
        </w:rPr>
        <w:t>&lt;cx "sumti logical connection, contrasted with tanru logical connection"&gt;</w:t>
      </w:r>
      <w:r>
        <w:rPr>
          <w:rStyle w:val="indexentry"/>
        </w:rPr>
        <w:fldChar w:fldCharType="begin"/>
      </w:r>
      <w:r>
        <w:instrText>xe "</w:instrText>
      </w:r>
      <w:r>
        <w:rPr>
          <w:rStyle w:val="xeentry"/>
        </w:rPr>
        <w:instrText>sumti logical connection: contrasted with tanru logical connection</w:instrText>
      </w:r>
      <w:r>
        <w:instrText>"</w:instrText>
      </w:r>
      <w:r>
        <w:rPr>
          <w:rStyle w:val="indexentry"/>
        </w:rPr>
        <w:fldChar w:fldCharType="end"/>
      </w:r>
      <w:r>
        <w:t>A word of caution about the use of logically connected tanru within</w:t>
      </w:r>
      <w:r>
        <w:rPr>
          <w:rStyle w:val="deletedparamark"/>
        </w:rPr>
        <w:t xml:space="preserve"> </w:t>
      </w:r>
      <w:r>
        <w:t>descrip</w:t>
      </w:r>
      <w:r>
        <w:softHyphen/>
        <w:t>tions. English-based intuition can lead the speaker astray.</w:t>
      </w:r>
      <w:r>
        <w:rPr>
          <w:rStyle w:val="deletedparamark"/>
        </w:rPr>
        <w:t xml:space="preserve"> </w:t>
      </w:r>
      <w:r>
        <w:t>In correctly reducing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name=e12d12&gt;</w:t>
      </w:r>
      <w:r>
        <w:t>12.12)</w:t>
      </w:r>
      <w:r>
        <w:tab/>
        <w:t>mi viska pa nanmu  .ije mi viska pa ninmu</w:t>
      </w:r>
    </w:p>
    <w:p w:rsidR="00B72047" w:rsidRDefault="00B72047">
      <w:pPr>
        <w:pStyle w:val="examplescaled"/>
      </w:pPr>
      <w:r>
        <w:tab/>
        <w:t>I see a man, and I see a woman.</w:t>
      </w:r>
    </w:p>
    <w:p w:rsidR="00B72047" w:rsidRDefault="00B72047">
      <w:pPr>
        <w:pStyle w:val="resumedafterexample"/>
      </w:pPr>
      <w:r>
        <w:rPr>
          <w:rStyle w:val="htmlcodes"/>
        </w:rPr>
        <w:t>&lt;/pre&gt;</w:t>
      </w:r>
      <w:r>
        <w:t>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name=e12d13&gt;</w:t>
      </w:r>
      <w:r>
        <w:t>12.13)</w:t>
      </w:r>
      <w:r>
        <w:tab/>
        <w:t>mi viska pa nanmu .e pa ninmu</w:t>
      </w:r>
    </w:p>
    <w:p w:rsidR="00B72047" w:rsidRDefault="00B72047">
      <w:pPr>
        <w:pStyle w:val="examplescaled"/>
      </w:pPr>
      <w:r>
        <w:tab/>
        <w:t>I see a man and a woman.</w:t>
      </w:r>
    </w:p>
    <w:p w:rsidR="00B72047" w:rsidRDefault="00B72047">
      <w:pPr>
        <w:pStyle w:val="resumedafterexample"/>
      </w:pPr>
      <w:r>
        <w:rPr>
          <w:rStyle w:val="htmlcodes"/>
        </w:rPr>
        <w:t>&lt;/pre&gt;</w:t>
      </w:r>
      <w:r>
        <w:t>there is a great temptation to reduce further to:</w:t>
      </w:r>
    </w:p>
    <w:p w:rsidR="00B72047" w:rsidRDefault="00B72047">
      <w:pPr>
        <w:rPr>
          <w:rStyle w:val="htmlparacode"/>
        </w:rPr>
      </w:pPr>
      <w:r>
        <w:rPr>
          <w:rStyle w:val="htmlparacode"/>
        </w:rPr>
        <w:t>&lt;p&gt;</w:t>
      </w:r>
    </w:p>
    <w:p w:rsidR="00B72047" w:rsidRDefault="00B72047">
      <w:pPr>
        <w:pStyle w:val="examplescaledpre"/>
      </w:pPr>
      <w:r>
        <w:rPr>
          <w:rStyle w:val="indexentry"/>
        </w:rPr>
        <w:t>&lt;ex "man-woman"&gt;</w:t>
      </w:r>
      <w:r>
        <w:rPr>
          <w:rStyle w:val="indexentry"/>
        </w:rPr>
        <w:fldChar w:fldCharType="begin"/>
      </w:r>
      <w:r>
        <w:instrText>xe "</w:instrText>
      </w:r>
      <w:r>
        <w:rPr>
          <w:rStyle w:val="xeentry"/>
        </w:rPr>
        <w:instrText>man-woman: example</w:instrText>
      </w:r>
      <w:r>
        <w:instrText>"</w:instrText>
      </w:r>
      <w:r>
        <w:rPr>
          <w:rStyle w:val="indexentry"/>
        </w:rPr>
        <w:fldChar w:fldCharType="end"/>
      </w:r>
      <w:r>
        <w:rPr>
          <w:rStyle w:val="htmlcodes"/>
        </w:rPr>
        <w:t>&lt;pre&gt;&lt;a name=e12d14&gt;</w:t>
      </w:r>
      <w:r>
        <w:t>12.14)</w:t>
      </w:r>
      <w:r>
        <w:tab/>
        <w:t>mi viska pa nanmu je ninmu</w:t>
      </w:r>
    </w:p>
    <w:p w:rsidR="00B72047" w:rsidRDefault="00B72047">
      <w:pPr>
        <w:pStyle w:val="examplescaled"/>
      </w:pPr>
      <w:r>
        <w:tab/>
        <w:t>I see a man and woman.</w:t>
      </w:r>
    </w:p>
    <w:p w:rsidR="00B72047" w:rsidRDefault="00B72047">
      <w:pPr>
        <w:pStyle w:val="resumedafterexample"/>
      </w:pPr>
      <w:r>
        <w:rPr>
          <w:rStyle w:val="htmlcodes"/>
        </w:rPr>
        <w:t>&lt;/pre&gt;&lt;p&gt;</w:t>
      </w:r>
      <w:r>
        <w:t xml:space="preserve">But </w:t>
      </w:r>
      <w:r>
        <w:rPr>
          <w:rStyle w:val="htmlcodes"/>
        </w:rPr>
        <w:t>&lt;a href=#e12d14&gt;</w:t>
      </w:r>
      <w:r>
        <w:t xml:space="preserve">Example 12.14 </w:t>
      </w:r>
      <w:r>
        <w:rPr>
          <w:rStyle w:val="htmlcodes"/>
        </w:rPr>
        <w:t>&lt;/a&gt;</w:t>
      </w:r>
      <w:r>
        <w:t>means that you see one thing which is both a man and a</w:t>
      </w:r>
      <w:r>
        <w:rPr>
          <w:rStyle w:val="deletedparamark"/>
        </w:rPr>
        <w:t xml:space="preserve"> </w:t>
      </w:r>
      <w:r>
        <w:t>woman s</w:t>
      </w:r>
      <w:r>
        <w:t>i</w:t>
      </w:r>
      <w:r>
        <w:softHyphen/>
        <w:t>multaneously! A “nanmu je ninmu” is a manwoman, a presumably</w:t>
      </w:r>
      <w:r>
        <w:rPr>
          <w:rStyle w:val="deletedparamark"/>
        </w:rPr>
        <w:t xml:space="preserve"> </w:t>
      </w:r>
      <w:r>
        <w:t>non-existent crea</w:t>
      </w:r>
      <w:r>
        <w:softHyphen/>
        <w:t>ture who is both a “nanmu” and a “ninmu”.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427" w:name="_Toc398970668"/>
      <w:r>
        <w:rPr>
          <w:rStyle w:val="Heading3Text"/>
        </w:rPr>
        <w:t>Truth questions and connective questions</w:t>
      </w:r>
      <w:bookmarkEnd w:id="427"/>
      <w:r>
        <w:rPr>
          <w:rStyle w:val="htmlcodes"/>
        </w:rPr>
        <w:t>&lt;/h3&gt;</w:t>
      </w:r>
    </w:p>
    <w:p w:rsidR="00B72047" w:rsidRDefault="00B72047">
      <w:pPr>
        <w:rPr>
          <w:rStyle w:val="htmlparacode"/>
        </w:rPr>
      </w:pPr>
      <w:r>
        <w:rPr>
          <w:rStyle w:val="htmlparacode"/>
        </w:rPr>
        <w:t>&lt;p&gt;</w:t>
      </w:r>
    </w:p>
    <w:p w:rsidR="00B72047" w:rsidRDefault="00B72047">
      <w:pPr>
        <w:pStyle w:val="normalparagraph"/>
      </w:pPr>
      <w:r>
        <w:t>So far we have addressed only sentences which are statements. Lojban, like</w:t>
      </w:r>
      <w:r>
        <w:rPr>
          <w:rStyle w:val="deletedparamark"/>
        </w:rPr>
        <w:t xml:space="preserve"> </w:t>
      </w:r>
      <w:r>
        <w:t>all h</w:t>
      </w:r>
      <w:r>
        <w:t>u</w:t>
      </w:r>
      <w:r>
        <w:softHyphen/>
        <w:t>man languages, needs also to deal with sentences which are questions.</w:t>
      </w:r>
      <w:r>
        <w:rPr>
          <w:rStyle w:val="deletedparamark"/>
        </w:rPr>
        <w:t xml:space="preserve"> </w:t>
      </w:r>
      <w:r>
        <w:t>There are many ways of asking questions in Lojban, but some of these (like</w:t>
      </w:r>
      <w:r>
        <w:rPr>
          <w:rStyle w:val="deletedparamark"/>
        </w:rPr>
        <w:t xml:space="preserve"> </w:t>
      </w:r>
      <w:r>
        <w:t>questions about quantity, tense, and emotion) are discussed in other</w:t>
      </w:r>
      <w:r>
        <w:rPr>
          <w:rStyle w:val="deletedparamark"/>
        </w:rPr>
        <w:t xml:space="preserve"> </w:t>
      </w:r>
      <w:r>
        <w:t>chapters.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"truth questions, simple"&gt;</w:t>
      </w:r>
      <w:r>
        <w:rPr>
          <w:rStyle w:val="indexentry"/>
        </w:rPr>
        <w:fldChar w:fldCharType="begin"/>
      </w:r>
      <w:r>
        <w:instrText>xe "</w:instrText>
      </w:r>
      <w:r>
        <w:rPr>
          <w:rStyle w:val="xeentry"/>
        </w:rPr>
        <w:instrText>truth questions: simple</w:instrText>
      </w:r>
      <w:r>
        <w:instrText>"</w:instrText>
      </w:r>
      <w:r>
        <w:rPr>
          <w:rStyle w:val="indexentry"/>
        </w:rPr>
        <w:fldChar w:fldCharType="end"/>
      </w:r>
      <w:r>
        <w:t>The simplest kind of question is of the type “Is it true that </w:t>
      </w:r>
      <w:r>
        <w:rPr>
          <w:rStyle w:val="htmlcodes"/>
        </w:rPr>
        <w:t>&lt;dots&gt;</w:t>
      </w:r>
      <w:r>
        <w:t>…</w:t>
      </w:r>
      <w:r>
        <w:rPr>
          <w:rStyle w:val="htmlcodes"/>
        </w:rPr>
        <w:t>&lt;/dots&gt;</w:t>
      </w:r>
      <w:r>
        <w:t>” where</w:t>
      </w:r>
      <w:r>
        <w:rPr>
          <w:rStyle w:val="deletedparamark"/>
        </w:rPr>
        <w:t xml:space="preserve"> </w:t>
      </w:r>
      <w:r>
        <w:t>some statement follows. This type is called a “truth question”, and can</w:t>
      </w:r>
      <w:r>
        <w:rPr>
          <w:rStyle w:val="deletedparamark"/>
        </w:rPr>
        <w:t xml:space="preserve"> </w:t>
      </w:r>
      <w:r>
        <w:t xml:space="preserve">be represented in English by </w:t>
      </w:r>
      <w:r>
        <w:rPr>
          <w:rStyle w:val="htmlcodes"/>
        </w:rPr>
        <w:t>&lt;a href=#e13d1&gt;</w:t>
      </w:r>
      <w:r>
        <w:t>E</w:t>
      </w:r>
      <w:r>
        <w:t>x</w:t>
      </w:r>
      <w:r>
        <w:softHyphen/>
        <w:t>ample 13.1</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Is it true that Fido is a dog?</w:t>
      </w:r>
    </w:p>
    <w:p w:rsidR="00B72047" w:rsidRDefault="00B72047">
      <w:pPr>
        <w:pStyle w:val="examplescaled"/>
      </w:pPr>
      <w:r>
        <w:tab/>
        <w:t>Is Fido a dog?</w:t>
      </w:r>
    </w:p>
    <w:p w:rsidR="00B72047" w:rsidRDefault="00B72047">
      <w:pPr>
        <w:pStyle w:val="resumedafterexample"/>
      </w:pPr>
      <w:r>
        <w:rPr>
          <w:rStyle w:val="htmlcodes"/>
        </w:rPr>
        <w:t>&lt;/pre&gt;</w:t>
      </w:r>
      <w:r>
        <w:rPr>
          <w:rStyle w:val="indexentry"/>
        </w:rPr>
        <w:t>&lt;lx "xu"&gt;</w:t>
      </w:r>
      <w:r>
        <w:rPr>
          <w:rStyle w:val="indexentry"/>
        </w:rPr>
        <w:fldChar w:fldCharType="begin"/>
      </w:r>
      <w:r>
        <w:instrText>xe "</w:instrText>
      </w:r>
      <w:r>
        <w:rPr>
          <w:rStyle w:val="xeentry"/>
        </w:rPr>
        <w:instrText>xu</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Note the two formulations. English truth questions can always be formed by</w:t>
      </w:r>
      <w:r>
        <w:rPr>
          <w:rStyle w:val="deletedparamark"/>
        </w:rPr>
        <w:t xml:space="preserve"> </w:t>
      </w:r>
      <w:r>
        <w:t>prefixing “Is is true that” to the beginning of a statement; there is also</w:t>
      </w:r>
      <w:r>
        <w:rPr>
          <w:rStyle w:val="deletedparamark"/>
        </w:rPr>
        <w:t xml:space="preserve"> </w:t>
      </w:r>
      <w:r>
        <w:t>usually a more idiomatic way involving putting the verb before its subject.</w:t>
      </w:r>
      <w:r>
        <w:rPr>
          <w:rStyle w:val="deletedparamark"/>
        </w:rPr>
        <w:t xml:space="preserve"> “</w:t>
      </w:r>
      <w:r>
        <w:t>Is Alice a dog?” is the truth question corr</w:t>
      </w:r>
      <w:r>
        <w:t>e</w:t>
      </w:r>
      <w:r>
        <w:softHyphen/>
        <w:t>sponding to “Alice is a dog”.</w:t>
      </w:r>
      <w:r>
        <w:rPr>
          <w:rStyle w:val="deletedparamark"/>
        </w:rPr>
        <w:t xml:space="preserve"> </w:t>
      </w:r>
      <w:r>
        <w:t>In Lojban, the equivalent mechanism is to prefix the cmavo “xu” (of selma'o</w:t>
      </w:r>
      <w:r>
        <w:rPr>
          <w:rStyle w:val="deletedparamark"/>
        </w:rPr>
        <w:t xml:space="preserve"> </w:t>
      </w:r>
      <w:r>
        <w:t>UI) to the statement: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xu la faidon. gerku</w:t>
      </w:r>
    </w:p>
    <w:p w:rsidR="00B72047" w:rsidRDefault="00B72047">
      <w:pPr>
        <w:pStyle w:val="examplescaled"/>
      </w:pPr>
      <w:r>
        <w:tab/>
        <w:t>is-it-true-that Fido is-a-dog?</w:t>
      </w:r>
    </w:p>
    <w:p w:rsidR="00B72047" w:rsidRDefault="00B72047">
      <w:pPr>
        <w:pStyle w:val="resumedafterexample"/>
      </w:pPr>
      <w:r>
        <w:rPr>
          <w:rStyle w:val="htmlcodes"/>
        </w:rPr>
        <w:t>&lt;/pre&gt;&lt;a href=#e13d1&gt;</w:t>
      </w:r>
      <w:r>
        <w:t xml:space="preserve">Example 13.1 </w:t>
      </w:r>
      <w:r>
        <w:rPr>
          <w:rStyle w:val="htmlcodes"/>
        </w:rPr>
        <w:t>&lt;/a&gt;</w:t>
      </w:r>
      <w:r>
        <w:t xml:space="preserve">and </w:t>
      </w:r>
      <w:r>
        <w:rPr>
          <w:rStyle w:val="htmlcodes"/>
        </w:rPr>
        <w:t>&lt;a href=#e13d2&gt;</w:t>
      </w:r>
      <w:r>
        <w:t xml:space="preserve">Example 13.2 </w:t>
      </w:r>
      <w:r>
        <w:rPr>
          <w:rStyle w:val="htmlcodes"/>
        </w:rPr>
        <w:t>&lt;/a&gt;</w:t>
      </w:r>
      <w:r>
        <w:t>are equivalent in meaning.</w:t>
      </w:r>
    </w:p>
    <w:p w:rsidR="00B72047" w:rsidRDefault="00B72047">
      <w:pPr>
        <w:rPr>
          <w:rStyle w:val="htmlparacode"/>
        </w:rPr>
      </w:pPr>
      <w:r>
        <w:rPr>
          <w:rStyle w:val="htmlparacode"/>
        </w:rPr>
        <w:t>&lt;p&gt;</w:t>
      </w:r>
    </w:p>
    <w:p w:rsidR="00B72047" w:rsidRDefault="00B72047">
      <w:pPr>
        <w:pStyle w:val="normalparagraph"/>
      </w:pPr>
      <w:r>
        <w:rPr>
          <w:rStyle w:val="indexentry"/>
        </w:rPr>
        <w:t>&lt;cx "truth questions, as yes-or-no questions"&gt;</w:t>
      </w:r>
      <w:r>
        <w:rPr>
          <w:rStyle w:val="indexentry"/>
        </w:rPr>
        <w:fldChar w:fldCharType="begin"/>
      </w:r>
      <w:r>
        <w:instrText>xe "</w:instrText>
      </w:r>
      <w:r>
        <w:rPr>
          <w:rStyle w:val="xeentry"/>
        </w:rPr>
        <w:instrText>truth questions: as yes-or-no questions</w:instrText>
      </w:r>
      <w:r>
        <w:instrText>"</w:instrText>
      </w:r>
      <w:r>
        <w:rPr>
          <w:rStyle w:val="indexentry"/>
        </w:rPr>
        <w:fldChar w:fldCharType="end"/>
      </w:r>
      <w:r>
        <w:rPr>
          <w:rStyle w:val="indexentry"/>
        </w:rPr>
        <w:t>&lt;cx "truth questions, answering “yes”"&gt;</w:t>
      </w:r>
      <w:r>
        <w:rPr>
          <w:rStyle w:val="indexentry"/>
        </w:rPr>
        <w:fldChar w:fldCharType="begin"/>
      </w:r>
      <w:r>
        <w:instrText>xe "</w:instrText>
      </w:r>
      <w:r>
        <w:rPr>
          <w:rStyle w:val="xeentry"/>
        </w:rPr>
        <w:instrText>truth questions: answering yes</w:instrText>
      </w:r>
      <w:r>
        <w:instrText>"</w:instrText>
      </w:r>
      <w:r>
        <w:rPr>
          <w:rStyle w:val="indexentry"/>
        </w:rPr>
        <w:fldChar w:fldCharType="end"/>
      </w:r>
      <w:r>
        <w:rPr>
          <w:rStyle w:val="indexentry"/>
        </w:rPr>
        <w:t>&lt;cx "truth questions, answering “no”"&gt;</w:t>
      </w:r>
      <w:r>
        <w:rPr>
          <w:rStyle w:val="indexentry"/>
        </w:rPr>
        <w:fldChar w:fldCharType="begin"/>
      </w:r>
      <w:r>
        <w:instrText>xe "</w:instrText>
      </w:r>
      <w:r>
        <w:rPr>
          <w:rStyle w:val="xeentry"/>
        </w:rPr>
        <w:instrText>truth questions: answering no</w:instrText>
      </w:r>
      <w:r>
        <w:instrText>"</w:instrText>
      </w:r>
      <w:r>
        <w:rPr>
          <w:rStyle w:val="indexentry"/>
        </w:rPr>
        <w:fldChar w:fldCharType="end"/>
      </w:r>
      <w:r>
        <w:t>A truth question can be answered “yes” or “no”, depending on the truth or</w:t>
      </w:r>
      <w:r>
        <w:rPr>
          <w:rStyle w:val="deletedparamark"/>
        </w:rPr>
        <w:t xml:space="preserve"> </w:t>
      </w:r>
      <w:r>
        <w:t>fal</w:t>
      </w:r>
      <w:r>
        <w:softHyphen/>
        <w:t>sity, r</w:t>
      </w:r>
      <w:r>
        <w:t>e</w:t>
      </w:r>
      <w:r>
        <w:softHyphen/>
        <w:t>spectively, of the underlying statement. The standard way of</w:t>
      </w:r>
      <w:r>
        <w:rPr>
          <w:rStyle w:val="deletedparamark"/>
        </w:rPr>
        <w:t xml:space="preserve"> </w:t>
      </w:r>
      <w:r>
        <w:t>saying “yes” in Lojban is “go'i” and of saying “no” is “nago'i”. (The</w:t>
      </w:r>
      <w:r>
        <w:rPr>
          <w:rStyle w:val="deletedparamark"/>
        </w:rPr>
        <w:t xml:space="preserve"> </w:t>
      </w:r>
      <w:r>
        <w:t xml:space="preserve">reasons for this rule are explained in </w:t>
      </w:r>
      <w:r>
        <w:rPr>
          <w:rStyle w:val="htmlcodes"/>
        </w:rPr>
        <w:t>&lt;a href=chap7.html&gt;</w:t>
      </w:r>
      <w:r>
        <w:t>Chapter 7</w:t>
      </w:r>
      <w:r>
        <w:rPr>
          <w:rStyle w:val="htmlcodes"/>
        </w:rPr>
        <w:t>&lt;/a&gt;</w:t>
      </w:r>
      <w:r>
        <w:t xml:space="preserve">.) In answer to </w:t>
      </w:r>
      <w:r>
        <w:rPr>
          <w:rStyle w:val="htmlcodes"/>
        </w:rPr>
        <w:t>&lt;a href=#e13d2&gt;</w:t>
      </w:r>
      <w:r>
        <w:t>Example 13.2</w:t>
      </w:r>
      <w:r>
        <w:rPr>
          <w:rStyle w:val="htmlcodes"/>
        </w:rPr>
        <w:t>&lt;/a&gt;</w:t>
      </w:r>
      <w:r>
        <w:t>,</w:t>
      </w:r>
      <w:r>
        <w:rPr>
          <w:rStyle w:val="deletedparamark"/>
        </w:rPr>
        <w:t xml:space="preserve"> </w:t>
      </w:r>
      <w:r>
        <w:t>the possible answers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go'i</w:t>
      </w:r>
    </w:p>
    <w:p w:rsidR="00B72047" w:rsidRDefault="00B72047">
      <w:pPr>
        <w:pStyle w:val="examplescaled"/>
      </w:pPr>
      <w:r>
        <w:tab/>
        <w:t>Fido is a dog.</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name=e13d4&gt;</w:t>
      </w:r>
      <w:r>
        <w:t>13.4)</w:t>
      </w:r>
      <w:r>
        <w:tab/>
        <w:t>nago'i</w:t>
      </w:r>
    </w:p>
    <w:p w:rsidR="00B72047" w:rsidRDefault="00B72047">
      <w:pPr>
        <w:pStyle w:val="examplescaled"/>
      </w:pPr>
      <w:r>
        <w:tab/>
        <w:t>Fido is not a dog.</w:t>
      </w:r>
    </w:p>
    <w:p w:rsidR="00B72047" w:rsidRDefault="00B72047">
      <w:pPr>
        <w:pStyle w:val="normalafterexample"/>
      </w:pPr>
      <w:r>
        <w:rPr>
          <w:rStyle w:val="htmlcodes"/>
        </w:rPr>
        <w:t>&lt;/pre&gt;</w:t>
      </w:r>
      <w:r>
        <w:rPr>
          <w:rStyle w:val="indexentry"/>
        </w:rPr>
        <w:t>&lt;cx "truth questions, contrasted with connection questions"&gt;</w:t>
      </w:r>
      <w:r>
        <w:rPr>
          <w:rStyle w:val="indexentry"/>
        </w:rPr>
        <w:fldChar w:fldCharType="begin"/>
      </w:r>
      <w:r>
        <w:instrText>xe "</w:instrText>
      </w:r>
      <w:r>
        <w:rPr>
          <w:rStyle w:val="xeentry"/>
        </w:rPr>
        <w:instrText>truth questions: contrasted with connection questions</w:instrText>
      </w:r>
      <w:r>
        <w:instrText>"</w:instrText>
      </w:r>
      <w:r>
        <w:rPr>
          <w:rStyle w:val="indexentry"/>
        </w:rPr>
        <w:fldChar w:fldCharType="end"/>
      </w:r>
      <w:r>
        <w:t>Some English questions seemingly have the same form as the truth questions</w:t>
      </w:r>
      <w:r>
        <w:rPr>
          <w:rStyle w:val="deletedparamark"/>
        </w:rPr>
        <w:t xml:space="preserve"> </w:t>
      </w:r>
      <w:r>
        <w:t>so far discussed. Consider</w:t>
      </w:r>
    </w:p>
    <w:p w:rsidR="00B72047" w:rsidRDefault="00B72047">
      <w:pPr>
        <w:rPr>
          <w:rStyle w:val="htmlparacode"/>
        </w:rPr>
      </w:pPr>
      <w:r>
        <w:rPr>
          <w:rStyle w:val="htmlparacode"/>
        </w:rPr>
        <w:t>&lt;p&gt;</w:t>
      </w:r>
    </w:p>
    <w:p w:rsidR="00B72047" w:rsidRDefault="00B72047">
      <w:pPr>
        <w:pStyle w:val="examplescaledpre"/>
      </w:pPr>
      <w:r>
        <w:rPr>
          <w:rStyle w:val="indexentry"/>
        </w:rPr>
        <w:t>&lt;ex "dog or cat"&gt;</w:t>
      </w:r>
      <w:r>
        <w:rPr>
          <w:rStyle w:val="indexentry"/>
        </w:rPr>
        <w:fldChar w:fldCharType="begin"/>
      </w:r>
      <w:r>
        <w:instrText>xe "</w:instrText>
      </w:r>
      <w:r>
        <w:rPr>
          <w:rStyle w:val="xeentry"/>
        </w:rPr>
        <w:instrText>dog or cat: example</w:instrText>
      </w:r>
      <w:r>
        <w:instrText>"</w:instrText>
      </w:r>
      <w:r>
        <w:rPr>
          <w:rStyle w:val="indexentry"/>
        </w:rPr>
        <w:fldChar w:fldCharType="end"/>
      </w:r>
      <w:r>
        <w:rPr>
          <w:rStyle w:val="htmlcodes"/>
        </w:rPr>
        <w:t>&lt;pre&gt;&lt;a name=e13d5&gt;</w:t>
      </w:r>
      <w:r>
        <w:t>13.5)</w:t>
      </w:r>
      <w:r>
        <w:tab/>
        <w:t>Is Fido a dog or a cat?</w:t>
      </w:r>
    </w:p>
    <w:p w:rsidR="00B72047" w:rsidRDefault="00B72047">
      <w:pPr>
        <w:pStyle w:val="resumedafterexample"/>
      </w:pPr>
      <w:r>
        <w:rPr>
          <w:rStyle w:val="htmlcodes"/>
        </w:rPr>
        <w:t>&lt;/pre&gt;&lt;p&gt;</w:t>
      </w:r>
      <w:r>
        <w:t xml:space="preserve">Superficially, </w:t>
      </w:r>
      <w:r>
        <w:rPr>
          <w:rStyle w:val="htmlcodes"/>
        </w:rPr>
        <w:t>&lt;a href=#e13d5&gt;</w:t>
      </w:r>
      <w:r>
        <w:t xml:space="preserve">Example 13.5 </w:t>
      </w:r>
      <w:r>
        <w:rPr>
          <w:rStyle w:val="htmlcodes"/>
        </w:rPr>
        <w:t>&lt;/a&gt;</w:t>
      </w:r>
      <w:r>
        <w:t>seems like a truth question with the underlying</w:t>
      </w:r>
      <w:r>
        <w:rPr>
          <w:rStyle w:val="deletedparamark"/>
        </w:rPr>
        <w:t xml:space="preserve"> </w:t>
      </w:r>
      <w:r>
        <w:t>statement: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name=e13d6&gt;</w:t>
      </w:r>
      <w:r>
        <w:t>13.6)</w:t>
      </w:r>
      <w:r>
        <w:tab/>
        <w:t>Fido is a dog or a cat.</w:t>
      </w:r>
    </w:p>
    <w:p w:rsidR="00B72047" w:rsidRDefault="00B72047">
      <w:pPr>
        <w:pStyle w:val="resumedafterexample"/>
      </w:pPr>
      <w:r>
        <w:rPr>
          <w:rStyle w:val="htmlcodes"/>
        </w:rPr>
        <w:t>&lt;/pre&gt;&lt;p&gt;</w:t>
      </w:r>
      <w:r>
        <w:t xml:space="preserve">By translating </w:t>
      </w:r>
      <w:r>
        <w:rPr>
          <w:rStyle w:val="htmlcodes"/>
        </w:rPr>
        <w:t>&lt;a href=#e13d6&gt;</w:t>
      </w:r>
      <w:r>
        <w:t xml:space="preserve">Example 13.6 </w:t>
      </w:r>
      <w:r>
        <w:rPr>
          <w:rStyle w:val="htmlcodes"/>
        </w:rPr>
        <w:t>&lt;/a&gt;</w:t>
      </w:r>
      <w:r>
        <w:t>into Lojban and prefixing “xu” to signal a</w:t>
      </w:r>
      <w:r>
        <w:rPr>
          <w:rStyle w:val="deletedparamark"/>
        </w:rPr>
        <w:t xml:space="preserve"> </w:t>
      </w:r>
      <w:r>
        <w:t>truth question, 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name=e13d7&gt;</w:t>
      </w:r>
      <w:r>
        <w:t>13.7)</w:t>
      </w:r>
      <w:r>
        <w:tab/>
        <w:t>xu la faidon. gerku gi'onai mlatu</w:t>
      </w:r>
    </w:p>
    <w:p w:rsidR="00B72047" w:rsidRDefault="00B72047">
      <w:pPr>
        <w:pStyle w:val="examplescaled"/>
      </w:pPr>
      <w:r>
        <w:tab/>
        <w:t>is-it-true-that Fido is-a-dog or is-a-cat (but not both)?</w:t>
      </w:r>
    </w:p>
    <w:p w:rsidR="00B72047" w:rsidRDefault="00B72047">
      <w:pPr>
        <w:pStyle w:val="resumedafterexample"/>
      </w:pPr>
      <w:r>
        <w:rPr>
          <w:rStyle w:val="htmlcodes"/>
        </w:rPr>
        <w:t>&lt;/pre&gt;&lt;p&gt;</w:t>
      </w:r>
      <w:r>
        <w:t>Given that Fido really is either a dog or a cat, the appropriate answer</w:t>
      </w:r>
      <w:r>
        <w:rPr>
          <w:rStyle w:val="deletedparamark"/>
        </w:rPr>
        <w:t xml:space="preserve"> </w:t>
      </w:r>
      <w:r>
        <w:t>would be “go'i”; if Fido were a fish, the appropriate answer would be</w:t>
      </w:r>
      <w:r>
        <w:rPr>
          <w:rStyle w:val="deletedparamark"/>
        </w:rPr>
        <w:t xml:space="preserve"> “</w:t>
      </w:r>
      <w:r>
        <w:t>nago'i”.</w:t>
      </w:r>
    </w:p>
    <w:p w:rsidR="00B72047" w:rsidRDefault="00B72047">
      <w:pPr>
        <w:rPr>
          <w:rStyle w:val="htmlparacode"/>
        </w:rPr>
      </w:pPr>
      <w:r>
        <w:rPr>
          <w:rStyle w:val="htmlparacode"/>
        </w:rPr>
        <w:t>&lt;p&gt;</w:t>
      </w:r>
    </w:p>
    <w:p w:rsidR="00B72047" w:rsidRDefault="00B72047">
      <w:pPr>
        <w:pStyle w:val="normalparagraph"/>
      </w:pPr>
      <w:r>
        <w:t xml:space="preserve">But that is not what an English-speaker who utters </w:t>
      </w:r>
      <w:r>
        <w:rPr>
          <w:rStyle w:val="htmlcodes"/>
        </w:rPr>
        <w:t>&lt;a href=#e13d5&gt;</w:t>
      </w:r>
      <w:r>
        <w:t xml:space="preserve">Example 13.5 </w:t>
      </w:r>
      <w:r>
        <w:rPr>
          <w:rStyle w:val="htmlcodes"/>
        </w:rPr>
        <w:t>&lt;/a&gt;</w:t>
      </w:r>
      <w:r>
        <w:t>is asking!</w:t>
      </w:r>
      <w:r>
        <w:rPr>
          <w:rStyle w:val="deletedparamark"/>
        </w:rPr>
        <w:t xml:space="preserve"> </w:t>
      </w:r>
      <w:r>
        <w:t xml:space="preserve">The true significance of </w:t>
      </w:r>
      <w:r>
        <w:rPr>
          <w:rStyle w:val="htmlcodes"/>
        </w:rPr>
        <w:t>&lt;a href=#e13d5&gt;</w:t>
      </w:r>
      <w:r>
        <w:t xml:space="preserve">Example 13.5 </w:t>
      </w:r>
      <w:r>
        <w:rPr>
          <w:rStyle w:val="htmlcodes"/>
        </w:rPr>
        <w:t>&lt;/a&gt;</w:t>
      </w:r>
      <w:r>
        <w:t>is that the speaker desires to know</w:t>
      </w:r>
      <w:r>
        <w:rPr>
          <w:rStyle w:val="deletedparamark"/>
        </w:rPr>
        <w:t xml:space="preserve"> </w:t>
      </w:r>
      <w:r>
        <w:t>the truth value of either of the two underlying bridi (it is presupposed</w:t>
      </w:r>
      <w:r>
        <w:rPr>
          <w:rStyle w:val="deletedparamark"/>
        </w:rPr>
        <w:t xml:space="preserve"> </w:t>
      </w:r>
      <w:r>
        <w:t>that only one is true).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"questions, connection"&gt;</w:t>
      </w:r>
      <w:r>
        <w:rPr>
          <w:rStyle w:val="indexentry"/>
        </w:rPr>
        <w:fldChar w:fldCharType="begin"/>
      </w:r>
      <w:r>
        <w:instrText>xe "</w:instrText>
      </w:r>
      <w:r>
        <w:rPr>
          <w:rStyle w:val="xeentry"/>
        </w:rPr>
        <w:instrText>questions: connection</w:instrText>
      </w:r>
      <w:r>
        <w:instrText>"</w:instrText>
      </w:r>
      <w:r>
        <w:rPr>
          <w:rStyle w:val="indexentry"/>
        </w:rPr>
        <w:fldChar w:fldCharType="end"/>
      </w:r>
      <w:r>
        <w:t>Lojban has an elegant mechanism for rendering this kind of question which</w:t>
      </w:r>
      <w:r>
        <w:rPr>
          <w:rStyle w:val="deletedparamark"/>
        </w:rPr>
        <w:t xml:space="preserve"> </w:t>
      </w:r>
      <w:r>
        <w:t>is very unlike that used in English. Instead of asking about the truth</w:t>
      </w:r>
      <w:r>
        <w:rPr>
          <w:rStyle w:val="deletedparamark"/>
        </w:rPr>
        <w:t xml:space="preserve"> </w:t>
      </w:r>
      <w:r>
        <w:t>value of the con</w:t>
      </w:r>
      <w:r>
        <w:softHyphen/>
        <w:t>nected bridi, Lojban users ask about the truth function</w:t>
      </w:r>
      <w:r>
        <w:rPr>
          <w:rStyle w:val="deletedparamark"/>
        </w:rPr>
        <w:t xml:space="preserve"> </w:t>
      </w:r>
      <w:r>
        <w:t>which connects them. This is done by using a special question cmavo: there</w:t>
      </w:r>
      <w:r>
        <w:rPr>
          <w:rStyle w:val="deletedparamark"/>
        </w:rPr>
        <w:t xml:space="preserve"> </w:t>
      </w:r>
      <w:r>
        <w:t>is one of these for each of the logical connective selma'o, as shown by the</w:t>
      </w:r>
      <w:r>
        <w:rPr>
          <w:rStyle w:val="deletedparamark"/>
        </w:rPr>
        <w:t xml:space="preserve"> </w:t>
      </w:r>
      <w:r>
        <w:t>following table: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gtabspre"/>
        <w:spacing w:before="0"/>
      </w:pPr>
      <w:r>
        <w:rPr>
          <w:rStyle w:val="indexentry"/>
        </w:rPr>
        <w:t>&lt;lx "ge'i"&gt;</w:t>
      </w:r>
      <w:r>
        <w:rPr>
          <w:rStyle w:val="indexentry"/>
        </w:rPr>
        <w:fldChar w:fldCharType="begin"/>
      </w:r>
      <w:r>
        <w:instrText>xe "</w:instrText>
      </w:r>
      <w:r>
        <w:rPr>
          <w:rStyle w:val="xeentry"/>
        </w:rPr>
        <w:instrText>ge'i</w:instrText>
      </w:r>
      <w:r>
        <w:instrText>"</w:instrText>
      </w:r>
      <w:r>
        <w:rPr>
          <w:rStyle w:val="indexentry"/>
        </w:rPr>
        <w:fldChar w:fldCharType="end"/>
      </w:r>
      <w:r>
        <w:rPr>
          <w:rStyle w:val="indexentry"/>
        </w:rPr>
        <w:t>&lt;lx "gi'i"&gt;</w:t>
      </w:r>
      <w:r>
        <w:rPr>
          <w:rStyle w:val="indexentry"/>
        </w:rPr>
        <w:fldChar w:fldCharType="begin"/>
      </w:r>
      <w:r>
        <w:instrText>xe "</w:instrText>
      </w:r>
      <w:r>
        <w:rPr>
          <w:rStyle w:val="xeentry"/>
        </w:rPr>
        <w:instrText>gi'i</w:instrText>
      </w:r>
      <w:r>
        <w:instrText>"</w:instrText>
      </w:r>
      <w:r>
        <w:rPr>
          <w:rStyle w:val="indexentry"/>
        </w:rPr>
        <w:fldChar w:fldCharType="end"/>
      </w:r>
      <w:r>
        <w:rPr>
          <w:rStyle w:val="indexentry"/>
        </w:rPr>
        <w:t>&lt;lx "gu'i"&gt;</w:t>
      </w:r>
      <w:r>
        <w:rPr>
          <w:rStyle w:val="indexentry"/>
        </w:rPr>
        <w:fldChar w:fldCharType="begin"/>
      </w:r>
      <w:r>
        <w:instrText>xe "</w:instrText>
      </w:r>
      <w:r>
        <w:rPr>
          <w:rStyle w:val="xeentry"/>
        </w:rPr>
        <w:instrText>gu'i</w:instrText>
      </w:r>
      <w:r>
        <w:instrText>"</w:instrText>
      </w:r>
      <w:r>
        <w:rPr>
          <w:rStyle w:val="indexentry"/>
        </w:rPr>
        <w:fldChar w:fldCharType="end"/>
      </w:r>
      <w:r>
        <w:rPr>
          <w:rStyle w:val="indexentry"/>
        </w:rPr>
        <w:t>&lt;lx "je'i"&gt;</w:t>
      </w:r>
      <w:r>
        <w:rPr>
          <w:rStyle w:val="indexentry"/>
        </w:rPr>
        <w:fldChar w:fldCharType="begin"/>
      </w:r>
      <w:r>
        <w:instrText>xe "</w:instrText>
      </w:r>
      <w:r>
        <w:rPr>
          <w:rStyle w:val="xeentry"/>
        </w:rPr>
        <w:instrText>je'i</w:instrText>
      </w:r>
      <w:r>
        <w:instrText>"</w:instrText>
      </w:r>
      <w:r>
        <w:rPr>
          <w:rStyle w:val="indexentry"/>
        </w:rPr>
        <w:fldChar w:fldCharType="end"/>
      </w:r>
      <w:r>
        <w:rPr>
          <w:rStyle w:val="indexentry"/>
        </w:rPr>
        <w:t>&lt;lx "ji"&gt;</w:t>
      </w:r>
      <w:r>
        <w:rPr>
          <w:rStyle w:val="indexentry"/>
        </w:rPr>
        <w:fldChar w:fldCharType="begin"/>
      </w:r>
      <w:r>
        <w:instrText>xe "</w:instrText>
      </w:r>
      <w:r>
        <w:rPr>
          <w:rStyle w:val="xeentry"/>
        </w:rPr>
        <w:instrText>ji</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rPr>
          <w:rStyle w:val="indexentry"/>
        </w:rPr>
        <w:t>&lt;lx "GUhA"&gt;</w:t>
      </w:r>
      <w:r>
        <w:rPr>
          <w:rStyle w:val="indexentry"/>
        </w:rPr>
        <w:fldChar w:fldCharType="begin"/>
      </w:r>
      <w:r>
        <w:instrText>xe "</w:instrText>
      </w:r>
      <w:r>
        <w:rPr>
          <w:rStyle w:val="xeentry"/>
        </w:rPr>
        <w:instrText>GUhA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htmlcodes"/>
        </w:rPr>
        <w:t>&lt;pre&gt;</w:t>
      </w:r>
      <w:r>
        <w:t xml:space="preserve"> </w:t>
      </w:r>
      <w:r>
        <w:tab/>
        <w:t>ge'i</w:t>
      </w:r>
      <w:r>
        <w:tab/>
        <w:t>GA</w:t>
      </w:r>
      <w:r>
        <w:tab/>
        <w:t>forethought connective question</w:t>
      </w:r>
    </w:p>
    <w:p w:rsidR="00B72047" w:rsidRDefault="00B72047">
      <w:pPr>
        <w:pStyle w:val="examplegrouptabs"/>
      </w:pPr>
      <w:r>
        <w:tab/>
        <w:t>gi'i</w:t>
      </w:r>
      <w:r>
        <w:tab/>
        <w:t>GIhA</w:t>
      </w:r>
      <w:r>
        <w:tab/>
        <w:t>bridi-tail connective question</w:t>
      </w:r>
    </w:p>
    <w:p w:rsidR="00B72047" w:rsidRDefault="00B72047">
      <w:pPr>
        <w:pStyle w:val="examplegrouptabs"/>
      </w:pPr>
      <w:r>
        <w:tab/>
        <w:t>gu'i</w:t>
      </w:r>
      <w:r>
        <w:tab/>
        <w:t>GUhA</w:t>
      </w:r>
      <w:r>
        <w:tab/>
        <w:t>tanru forethought connective question</w:t>
      </w:r>
    </w:p>
    <w:p w:rsidR="00B72047" w:rsidRDefault="00B72047">
      <w:pPr>
        <w:pStyle w:val="examplegrouptabs"/>
      </w:pPr>
      <w:r>
        <w:tab/>
        <w:t>je'i</w:t>
      </w:r>
      <w:r>
        <w:tab/>
        <w:t>JA</w:t>
      </w:r>
      <w:r>
        <w:tab/>
        <w:t>tanru connective question</w:t>
      </w:r>
    </w:p>
    <w:p w:rsidR="00B72047" w:rsidRDefault="00B72047">
      <w:pPr>
        <w:pStyle w:val="examplegrouptabs"/>
      </w:pPr>
      <w:r>
        <w:tab/>
        <w:t>ji</w:t>
      </w:r>
      <w:r>
        <w:tab/>
        <w:t>A</w:t>
      </w:r>
      <w:r>
        <w:tab/>
        <w:t>sumti connective question</w:t>
      </w:r>
    </w:p>
    <w:p w:rsidR="00B72047" w:rsidRDefault="00B72047">
      <w:pPr>
        <w:pStyle w:val="resumedafterexample"/>
      </w:pPr>
      <w:r>
        <w:rPr>
          <w:rStyle w:val="htmlcodes"/>
        </w:rPr>
        <w:t>&lt;/pre&gt;</w:t>
      </w:r>
      <w:r>
        <w:rPr>
          <w:rStyle w:val="indexentry"/>
        </w:rPr>
        <w:t>&lt;cx "connective question cmavo, departure from regularity of"&gt;</w:t>
      </w:r>
      <w:r>
        <w:rPr>
          <w:rStyle w:val="indexentry"/>
        </w:rPr>
        <w:fldChar w:fldCharType="begin"/>
      </w:r>
      <w:r>
        <w:instrText>xe "</w:instrText>
      </w:r>
      <w:r>
        <w:rPr>
          <w:rStyle w:val="xeentry"/>
        </w:rPr>
        <w:instrText>connective question cmavo: departure from regularity of</w:instrText>
      </w:r>
      <w:r>
        <w:instrText>"</w:instrText>
      </w:r>
      <w:r>
        <w:rPr>
          <w:rStyle w:val="indexentry"/>
        </w:rPr>
        <w:fldChar w:fldCharType="end"/>
      </w:r>
      <w:r>
        <w:t>(This list unfortunately departs from the pretty regularity of the other</w:t>
      </w:r>
      <w:r>
        <w:rPr>
          <w:rStyle w:val="deletedparamark"/>
        </w:rPr>
        <w:t xml:space="preserve"> </w:t>
      </w:r>
      <w:r>
        <w:t>cmavo for logical connection. The two-syllable selma'o, GIhA and GUhA, make</w:t>
      </w:r>
      <w:r>
        <w:rPr>
          <w:rStyle w:val="deletedparamark"/>
        </w:rPr>
        <w:t xml:space="preserve"> </w:t>
      </w:r>
      <w:r>
        <w:t>use of the cmavo ending in “-i” which is not used for a truth function, but</w:t>
      </w:r>
      <w:r>
        <w:rPr>
          <w:rStyle w:val="deletedparamark"/>
        </w:rPr>
        <w:t xml:space="preserve"> “</w:t>
      </w:r>
      <w:r>
        <w:t>gi” and “.i” were not available, and diffe</w:t>
      </w:r>
      <w:r>
        <w:t>r</w:t>
      </w:r>
      <w:r>
        <w:softHyphen/>
        <w:t>ent cmavo had to be chosen.</w:t>
      </w:r>
      <w:r>
        <w:rPr>
          <w:rStyle w:val="deletedparamark"/>
        </w:rPr>
        <w:t xml:space="preserve"> </w:t>
      </w:r>
      <w:r>
        <w:t>This table must simply be memorized, like most other non-connective cmavo</w:t>
      </w:r>
      <w:r>
        <w:rPr>
          <w:rStyle w:val="deletedparamark"/>
        </w:rPr>
        <w:t xml:space="preserve"> </w:t>
      </w:r>
      <w:r>
        <w:t>assignments.)</w:t>
      </w:r>
    </w:p>
    <w:p w:rsidR="00B72047" w:rsidRDefault="00B72047">
      <w:pPr>
        <w:rPr>
          <w:rStyle w:val="htmlparacode"/>
        </w:rPr>
      </w:pPr>
      <w:r>
        <w:rPr>
          <w:rStyle w:val="htmlparacode"/>
        </w:rPr>
        <w:t>&lt;p&gt;</w:t>
      </w:r>
    </w:p>
    <w:p w:rsidR="00B72047" w:rsidRDefault="00B72047">
      <w:pPr>
        <w:pStyle w:val="normalparagraph"/>
      </w:pPr>
      <w:r>
        <w:rPr>
          <w:rStyle w:val="indexentry"/>
        </w:rPr>
        <w:t>&lt;cx "connective questions, answering"&gt;</w:t>
      </w:r>
      <w:r>
        <w:rPr>
          <w:rStyle w:val="indexentry"/>
        </w:rPr>
        <w:fldChar w:fldCharType="begin"/>
      </w:r>
      <w:r>
        <w:instrText>xe "</w:instrText>
      </w:r>
      <w:r>
        <w:rPr>
          <w:rStyle w:val="xeentry"/>
        </w:rPr>
        <w:instrText>connective questions: answering</w:instrText>
      </w:r>
      <w:r>
        <w:instrText>"</w:instrText>
      </w:r>
      <w:r>
        <w:rPr>
          <w:rStyle w:val="indexentry"/>
        </w:rPr>
        <w:fldChar w:fldCharType="end"/>
      </w:r>
      <w:r>
        <w:t xml:space="preserve">One correct translation of </w:t>
      </w:r>
      <w:r>
        <w:rPr>
          <w:rStyle w:val="htmlcodes"/>
        </w:rPr>
        <w:t>&lt;a href=#e13d5&gt;</w:t>
      </w:r>
      <w:r>
        <w:t xml:space="preserve">Example 13.5 </w:t>
      </w:r>
      <w:r>
        <w:rPr>
          <w:rStyle w:val="htmlcodes"/>
        </w:rPr>
        <w:t>&lt;/a&gt;</w:t>
      </w:r>
      <w:r>
        <w:t>employs a question gihek:</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name=e13d8&gt;</w:t>
      </w:r>
      <w:r>
        <w:t>13.8)</w:t>
      </w:r>
      <w:r>
        <w:tab/>
        <w:t>la .alis gerku gi'i mlatu</w:t>
      </w:r>
    </w:p>
    <w:p w:rsidR="00B72047" w:rsidRDefault="00B72047">
      <w:pPr>
        <w:pStyle w:val="examplescaled"/>
      </w:pPr>
      <w:r>
        <w:tab/>
        <w:t>Alice is-a-dog [truth function?] is-a-cat?</w:t>
      </w:r>
    </w:p>
    <w:p w:rsidR="00B72047" w:rsidRDefault="00B72047">
      <w:pPr>
        <w:pStyle w:val="resumedafterexample"/>
      </w:pPr>
      <w:r>
        <w:rPr>
          <w:rStyle w:val="htmlcodes"/>
        </w:rPr>
        <w:t>&lt;/pre&gt;&lt;p&gt;</w:t>
      </w:r>
      <w:r>
        <w:t>Here are some plausible answers: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name=e13d9&gt;</w:t>
      </w:r>
      <w:r>
        <w:t>13.9)</w:t>
      </w:r>
      <w:r>
        <w:tab/>
        <w:t>nagi'e</w:t>
      </w:r>
    </w:p>
    <w:p w:rsidR="00B72047" w:rsidRDefault="00B72047">
      <w:pPr>
        <w:pStyle w:val="examplescaled"/>
      </w:pPr>
      <w:r>
        <w:tab/>
        <w:t>Alice is not a dog and is a cat.</w:t>
      </w:r>
    </w:p>
    <w:p w:rsidR="00B72047" w:rsidRDefault="00B72047">
      <w:pPr>
        <w:pStyle w:val="examplescaledpre"/>
      </w:pPr>
      <w:r>
        <w:rPr>
          <w:rStyle w:val="htmlcodes"/>
        </w:rPr>
        <w:t>&lt;a name=e13d10&gt;</w:t>
      </w:r>
      <w:r>
        <w:t>13.10)</w:t>
      </w:r>
      <w:r>
        <w:tab/>
        <w:t>gi'enai</w:t>
      </w:r>
    </w:p>
    <w:p w:rsidR="00B72047" w:rsidRDefault="00B72047">
      <w:pPr>
        <w:pStyle w:val="examplescaled"/>
      </w:pPr>
      <w:r>
        <w:tab/>
        <w:t>Alice is a dog and is not a cat.</w:t>
      </w:r>
    </w:p>
    <w:p w:rsidR="00B72047" w:rsidRDefault="00B72047">
      <w:pPr>
        <w:pStyle w:val="examplescaledpre"/>
      </w:pPr>
      <w:r>
        <w:rPr>
          <w:rStyle w:val="htmlcodes"/>
        </w:rPr>
        <w:t>&lt;a name=e13d11&gt;</w:t>
      </w:r>
      <w:r>
        <w:t>13.11)</w:t>
      </w:r>
      <w:r>
        <w:tab/>
        <w:t>nagi'enai</w:t>
      </w:r>
    </w:p>
    <w:p w:rsidR="00B72047" w:rsidRDefault="00B72047">
      <w:pPr>
        <w:pStyle w:val="examplescaled"/>
      </w:pPr>
      <w:r>
        <w:tab/>
        <w:t>Alice is not a dog and is not a cat.</w:t>
      </w:r>
    </w:p>
    <w:p w:rsidR="00B72047" w:rsidRDefault="00B72047">
      <w:pPr>
        <w:pStyle w:val="examplescaledpre"/>
      </w:pPr>
      <w:r>
        <w:rPr>
          <w:rStyle w:val="htmlcodes"/>
        </w:rPr>
        <w:t>&lt;a name=e13d12&gt;</w:t>
      </w:r>
      <w:r>
        <w:t>13.12)</w:t>
      </w:r>
      <w:r>
        <w:tab/>
        <w:t>nagi'o</w:t>
      </w:r>
    </w:p>
    <w:p w:rsidR="00B72047" w:rsidRDefault="00B72047">
      <w:pPr>
        <w:pStyle w:val="examplescaled"/>
      </w:pPr>
      <w:r>
        <w:tab/>
        <w:t>gi'onai</w:t>
      </w:r>
    </w:p>
    <w:p w:rsidR="00B72047" w:rsidRDefault="00B72047">
      <w:pPr>
        <w:pStyle w:val="examplescaled"/>
      </w:pPr>
      <w:r>
        <w:tab/>
        <w:t>Alice is a dog or is a cat but not both (I'm not saying which).</w:t>
      </w:r>
    </w:p>
    <w:p w:rsidR="00B72047" w:rsidRDefault="00B72047">
      <w:pPr>
        <w:pStyle w:val="resumedafterexample"/>
      </w:pPr>
      <w:r>
        <w:rPr>
          <w:rStyle w:val="htmlcodes"/>
        </w:rPr>
        <w:t>&lt;/pre&gt;&lt;a href=#e13d12&gt;</w:t>
      </w:r>
      <w:r>
        <w:t xml:space="preserve">Example 13.12 </w:t>
      </w:r>
      <w:r>
        <w:rPr>
          <w:rStyle w:val="htmlcodes"/>
        </w:rPr>
        <w:t>&lt;/a&gt;</w:t>
      </w:r>
      <w:r>
        <w:t>is correct but uncooperative.</w:t>
      </w:r>
    </w:p>
    <w:p w:rsidR="00B72047" w:rsidRDefault="00B72047">
      <w:pPr>
        <w:rPr>
          <w:rStyle w:val="htmlparacode"/>
        </w:rPr>
      </w:pPr>
      <w:r>
        <w:rPr>
          <w:rStyle w:val="htmlparacode"/>
        </w:rPr>
        <w:t>&lt;p&gt;</w:t>
      </w:r>
    </w:p>
    <w:p w:rsidR="00B72047" w:rsidRDefault="00B72047">
      <w:pPr>
        <w:pStyle w:val="normalparagraph"/>
      </w:pPr>
      <w:r>
        <w:rPr>
          <w:rStyle w:val="indexentry"/>
        </w:rPr>
        <w:t>&lt;cx "connective, as complete grammatical utterance"&gt;</w:t>
      </w:r>
      <w:r>
        <w:rPr>
          <w:rStyle w:val="indexentry"/>
        </w:rPr>
        <w:fldChar w:fldCharType="begin"/>
      </w:r>
      <w:r>
        <w:instrText>xe "</w:instrText>
      </w:r>
      <w:r>
        <w:rPr>
          <w:rStyle w:val="xeentry"/>
        </w:rPr>
        <w:instrText>connective(s): as complete grammatical utterance</w:instrText>
      </w:r>
      <w:r>
        <w:instrText>"</w:instrText>
      </w:r>
      <w:r>
        <w:rPr>
          <w:rStyle w:val="indexentry"/>
        </w:rPr>
        <w:fldChar w:fldCharType="end"/>
      </w:r>
      <w:r>
        <w:rPr>
          <w:rStyle w:val="indexentry"/>
        </w:rPr>
        <w:t>&lt;cx "afterthought connective, as complete grammatical utterance"&gt;</w:t>
      </w:r>
      <w:r>
        <w:rPr>
          <w:rStyle w:val="indexentry"/>
        </w:rPr>
        <w:fldChar w:fldCharType="begin"/>
      </w:r>
      <w:r>
        <w:instrText>xe "</w:instrText>
      </w:r>
      <w:r>
        <w:rPr>
          <w:rStyle w:val="xeentry"/>
        </w:rPr>
        <w:instrText>afterthought connective(s): as complete grammatical utterance</w:instrText>
      </w:r>
      <w:r>
        <w:instrText>"</w:instrText>
      </w:r>
      <w:r>
        <w:rPr>
          <w:rStyle w:val="indexentry"/>
        </w:rPr>
        <w:fldChar w:fldCharType="end"/>
      </w:r>
      <w:r>
        <w:t>As usual, Lojban questions are answered by filling in the blank left</w:t>
      </w:r>
      <w:r>
        <w:rPr>
          <w:rStyle w:val="deletedparamark"/>
        </w:rPr>
        <w:t xml:space="preserve"> </w:t>
      </w:r>
      <w:r>
        <w:t>by the question. Here the blank is a logical connective, and therefore</w:t>
      </w:r>
      <w:r>
        <w:rPr>
          <w:rStyle w:val="deletedparamark"/>
        </w:rPr>
        <w:t xml:space="preserve"> </w:t>
      </w:r>
      <w:r>
        <w:t>it is grammatical in Loj</w:t>
      </w:r>
      <w:r>
        <w:softHyphen/>
        <w:t>ban to utter a bare logical connective without</w:t>
      </w:r>
      <w:r>
        <w:rPr>
          <w:rStyle w:val="deletedparamark"/>
        </w:rPr>
        <w:t xml:space="preserve"> </w:t>
      </w:r>
      <w:r>
        <w:t>anything for it to connect.</w:t>
      </w:r>
    </w:p>
    <w:p w:rsidR="00B72047" w:rsidRDefault="00B72047">
      <w:pPr>
        <w:pStyle w:val="normalparagraph"/>
        <w:rPr>
          <w:rStyle w:val="htmlparacode"/>
        </w:rPr>
      </w:pPr>
      <w:r>
        <w:rPr>
          <w:rStyle w:val="htmlparacode"/>
        </w:rPr>
        <w:t>&lt;p&gt;</w:t>
      </w:r>
    </w:p>
    <w:p w:rsidR="00B72047" w:rsidRDefault="00B72047">
      <w:pPr>
        <w:pStyle w:val="normalparagraph"/>
      </w:pPr>
      <w:r>
        <w:t>The answer “gi'e”, meaning that Alice is a dog and is a cat, is impossible</w:t>
      </w:r>
      <w:r>
        <w:rPr>
          <w:rStyle w:val="deletedparamark"/>
        </w:rPr>
        <w:t xml:space="preserve"> </w:t>
      </w:r>
      <w:r>
        <w:t>in the real world, but for:</w:t>
      </w:r>
    </w:p>
    <w:p w:rsidR="00B72047" w:rsidRDefault="00B72047">
      <w:pPr>
        <w:rPr>
          <w:rStyle w:val="htmlparacode"/>
        </w:rPr>
      </w:pPr>
      <w:r>
        <w:rPr>
          <w:rStyle w:val="htmlparacode"/>
        </w:rPr>
        <w:t>&lt;p&gt;</w:t>
      </w:r>
    </w:p>
    <w:p w:rsidR="00B72047" w:rsidRDefault="00B72047">
      <w:pPr>
        <w:pStyle w:val="examplescaledpre"/>
      </w:pPr>
      <w:r>
        <w:rPr>
          <w:rStyle w:val="indexentry"/>
        </w:rPr>
        <w:t>&lt;ex "coffee or tea"&gt;</w:t>
      </w:r>
      <w:r>
        <w:rPr>
          <w:rStyle w:val="indexentry"/>
        </w:rPr>
        <w:fldChar w:fldCharType="begin"/>
      </w:r>
      <w:r>
        <w:instrText>xe "</w:instrText>
      </w:r>
      <w:r>
        <w:rPr>
          <w:rStyle w:val="xeentry"/>
        </w:rPr>
        <w:instrText>coffee or tea: example</w:instrText>
      </w:r>
      <w:r>
        <w:instrText>"</w:instrText>
      </w:r>
      <w:r>
        <w:rPr>
          <w:rStyle w:val="indexentry"/>
        </w:rPr>
        <w:fldChar w:fldCharType="end"/>
      </w:r>
      <w:r>
        <w:rPr>
          <w:rStyle w:val="htmlcodes"/>
        </w:rPr>
        <w:t>&lt;pre&gt;&lt;a name=e13d13&gt;</w:t>
      </w:r>
      <w:r>
        <w:t>13.13)</w:t>
      </w:r>
      <w:r>
        <w:tab/>
        <w:t>do djica tu'a loi ckafi</w:t>
      </w:r>
    </w:p>
    <w:p w:rsidR="00B72047" w:rsidRDefault="00B72047">
      <w:pPr>
        <w:pStyle w:val="examplescaled"/>
      </w:pPr>
      <w:r>
        <w:tab/>
      </w:r>
      <w:r>
        <w:tab/>
        <w:t>ji loi tcati</w:t>
      </w:r>
    </w:p>
    <w:p w:rsidR="00B72047" w:rsidRDefault="00B72047">
      <w:pPr>
        <w:pStyle w:val="examplescaled"/>
      </w:pPr>
      <w:r>
        <w:tab/>
        <w:t xml:space="preserve">You desire something-about a-mass-of coffee </w:t>
      </w:r>
    </w:p>
    <w:p w:rsidR="00B72047" w:rsidRDefault="00B72047">
      <w:pPr>
        <w:pStyle w:val="examplescaled"/>
      </w:pPr>
      <w:r>
        <w:tab/>
      </w:r>
      <w:r>
        <w:tab/>
        <w:t>[truth function?] a-mass-of tea?</w:t>
      </w:r>
    </w:p>
    <w:p w:rsidR="00B72047" w:rsidRDefault="00B72047">
      <w:pPr>
        <w:pStyle w:val="examplescaled"/>
      </w:pPr>
      <w:r>
        <w:tab/>
        <w:t>Do you want coffee or tea?</w:t>
      </w:r>
    </w:p>
    <w:p w:rsidR="00B72047" w:rsidRDefault="00B72047">
      <w:pPr>
        <w:pStyle w:val="resumedafterexample"/>
      </w:pPr>
      <w:r>
        <w:rPr>
          <w:rStyle w:val="htmlcodes"/>
        </w:rPr>
        <w:t>&lt;/pre&gt;</w:t>
      </w:r>
      <w:r>
        <w:t>the answer “.e”, meaning that I want both, is perfectly plausible, if</w:t>
      </w:r>
      <w:r>
        <w:rPr>
          <w:rStyle w:val="deletedparamark"/>
        </w:rPr>
        <w:t xml:space="preserve"> </w:t>
      </w:r>
      <w:r>
        <w:t>not necessarily po</w:t>
      </w:r>
      <w:r>
        <w:softHyphen/>
        <w:t>lite.</w:t>
      </w:r>
    </w:p>
    <w:p w:rsidR="00B72047" w:rsidRDefault="00B72047">
      <w:pPr>
        <w:rPr>
          <w:rStyle w:val="htmlparacode"/>
        </w:rPr>
      </w:pPr>
      <w:r>
        <w:rPr>
          <w:rStyle w:val="htmlparacode"/>
        </w:rPr>
        <w:t>&lt;p&gt;</w:t>
      </w:r>
    </w:p>
    <w:p w:rsidR="00B72047" w:rsidRDefault="00B72047">
      <w:pPr>
        <w:pStyle w:val="normalparagraph"/>
      </w:pPr>
      <w:r>
        <w:rPr>
          <w:rStyle w:val="indexentry"/>
        </w:rPr>
        <w:t>&lt;cx "connective, as ungrammatical utterance"&gt;</w:t>
      </w:r>
      <w:r>
        <w:rPr>
          <w:rStyle w:val="indexentry"/>
        </w:rPr>
        <w:fldChar w:fldCharType="begin"/>
      </w:r>
      <w:r>
        <w:instrText>xe "</w:instrText>
      </w:r>
      <w:r>
        <w:rPr>
          <w:rStyle w:val="xeentry"/>
        </w:rPr>
        <w:instrText>connective(s): as ungrammatical utterance</w:instrText>
      </w:r>
      <w:r>
        <w:instrText>"</w:instrText>
      </w:r>
      <w:r>
        <w:rPr>
          <w:rStyle w:val="indexentry"/>
        </w:rPr>
        <w:fldChar w:fldCharType="end"/>
      </w:r>
      <w:r>
        <w:rPr>
          <w:rStyle w:val="indexentry"/>
        </w:rPr>
        <w:t>&lt;cx "forethought connective, as ungrammatical utterance"&gt;</w:t>
      </w:r>
      <w:r>
        <w:rPr>
          <w:rStyle w:val="indexentry"/>
        </w:rPr>
        <w:fldChar w:fldCharType="begin"/>
      </w:r>
      <w:r>
        <w:instrText>xe "</w:instrText>
      </w:r>
      <w:r>
        <w:rPr>
          <w:rStyle w:val="xeentry"/>
        </w:rPr>
        <w:instrText>forethought connective(s): as ungrammatical utterance</w:instrText>
      </w:r>
      <w:r>
        <w:instrText>"</w:instrText>
      </w:r>
      <w:r>
        <w:rPr>
          <w:rStyle w:val="indexentry"/>
        </w:rPr>
        <w:fldChar w:fldCharType="end"/>
      </w:r>
      <w:r>
        <w:rPr>
          <w:rStyle w:val="indexentry"/>
        </w:rPr>
        <w:t>&lt;cx "forethought connection, contrasted with afterthought for grammatical utterances"&gt;</w:t>
      </w:r>
      <w:r>
        <w:rPr>
          <w:rStyle w:val="indexentry"/>
        </w:rPr>
        <w:fldChar w:fldCharType="begin"/>
      </w:r>
      <w:r>
        <w:instrText>xe "</w:instrText>
      </w:r>
      <w:r>
        <w:rPr>
          <w:rStyle w:val="xeentry"/>
        </w:rPr>
        <w:instrText>forethought connection: contrasted with afterthought for grammatical utterances</w:instrText>
      </w:r>
      <w:r>
        <w:instrText>"</w:instrText>
      </w:r>
      <w:r>
        <w:rPr>
          <w:rStyle w:val="indexentry"/>
        </w:rPr>
        <w:fldChar w:fldCharType="end"/>
      </w:r>
      <w:r>
        <w:rPr>
          <w:rStyle w:val="indexentry"/>
        </w:rPr>
        <w:t>&lt;cx "afterthought connection, contrasted with forethought for grammatical utterances"&gt;</w:t>
      </w:r>
      <w:r>
        <w:rPr>
          <w:rStyle w:val="indexentry"/>
        </w:rPr>
        <w:fldChar w:fldCharType="begin"/>
      </w:r>
      <w:r>
        <w:instrText>xe "</w:instrText>
      </w:r>
      <w:r>
        <w:rPr>
          <w:rStyle w:val="xeentry"/>
        </w:rPr>
        <w:instrText>afterthought connection: contrasted with forethought for grammatical utterances</w:instrText>
      </w:r>
      <w:r>
        <w:instrText>"</w:instrText>
      </w:r>
      <w:r>
        <w:rPr>
          <w:rStyle w:val="indexentry"/>
        </w:rPr>
        <w:fldChar w:fldCharType="end"/>
      </w:r>
      <w:r>
        <w:t>The forethought questions “ge'i” and “gu'i” are used like the others,</w:t>
      </w:r>
      <w:r>
        <w:rPr>
          <w:rStyle w:val="deletedparamark"/>
        </w:rPr>
        <w:t xml:space="preserve"> </w:t>
      </w:r>
      <w:r>
        <w:t>but ambi</w:t>
      </w:r>
      <w:r>
        <w:softHyphen/>
        <w:t>guity forbids the use of isolated forethought connectives as</w:t>
      </w:r>
      <w:r>
        <w:rPr>
          <w:rStyle w:val="deletedparamark"/>
        </w:rPr>
        <w:t xml:space="preserve"> </w:t>
      </w:r>
      <w:r>
        <w:t>answers — they sound like the start of forethought-connected bridi. So</w:t>
      </w:r>
      <w:r>
        <w:rPr>
          <w:rStyle w:val="deletedparamark"/>
        </w:rPr>
        <w:t xml:space="preserve"> </w:t>
      </w:r>
      <w:r>
        <w:t xml:space="preserve">although </w:t>
      </w:r>
      <w:r>
        <w:rPr>
          <w:rStyle w:val="htmlcodes"/>
        </w:rPr>
        <w:t>&lt;a href=#e13d14&gt;</w:t>
      </w:r>
      <w:r>
        <w:t xml:space="preserve">Example 13.14 </w:t>
      </w:r>
      <w:r>
        <w:rPr>
          <w:rStyle w:val="htmlcodes"/>
        </w:rPr>
        <w:t>&lt;/a&gt;</w:t>
      </w:r>
      <w:r>
        <w:t xml:space="preserve">is the forethought version of </w:t>
      </w:r>
      <w:r>
        <w:rPr>
          <w:rStyle w:val="htmlcodes"/>
        </w:rPr>
        <w:t>&lt;a href=#e13d13&gt;</w:t>
      </w:r>
      <w:r>
        <w:t>Example 13.13</w:t>
      </w:r>
      <w:r>
        <w:rPr>
          <w:rStyle w:val="htmlcodes"/>
        </w:rPr>
        <w:t>&lt;/a&gt;</w:t>
      </w:r>
      <w:r>
        <w:t>:</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name=e13d14&gt;</w:t>
      </w:r>
      <w:r>
        <w:t>13.14)</w:t>
      </w:r>
      <w:r>
        <w:tab/>
        <w:t>do djica tu'a</w:t>
      </w:r>
    </w:p>
    <w:p w:rsidR="00B72047" w:rsidRDefault="00B72047">
      <w:pPr>
        <w:pStyle w:val="examplescaled"/>
      </w:pPr>
      <w:r>
        <w:tab/>
      </w:r>
      <w:r>
        <w:tab/>
        <w:t>ge'i loi ckafi gi loi tcati</w:t>
      </w:r>
    </w:p>
    <w:p w:rsidR="00B72047" w:rsidRDefault="00B72047">
      <w:pPr>
        <w:pStyle w:val="examplescaled"/>
      </w:pPr>
      <w:r>
        <w:tab/>
        <w:t xml:space="preserve">You desire something-about </w:t>
      </w:r>
    </w:p>
    <w:p w:rsidR="00B72047" w:rsidRDefault="00B72047">
      <w:pPr>
        <w:pStyle w:val="examplescaled"/>
      </w:pPr>
      <w:r>
        <w:tab/>
      </w:r>
      <w:r>
        <w:tab/>
        <w:t>[truth function?] a-mass-of coffee [or] a-mass-of tea?</w:t>
      </w:r>
    </w:p>
    <w:p w:rsidR="00B72047" w:rsidRDefault="00B72047">
      <w:pPr>
        <w:pStyle w:val="resumedafterexample"/>
      </w:pPr>
      <w:r>
        <w:rPr>
          <w:rStyle w:val="htmlcodes"/>
        </w:rPr>
        <w:t>&lt;/pre&gt;</w:t>
      </w:r>
      <w:r>
        <w:t>the answer must be in afterthought form.</w:t>
      </w:r>
    </w:p>
    <w:p w:rsidR="00B72047" w:rsidRDefault="00B72047">
      <w:pPr>
        <w:rPr>
          <w:rStyle w:val="htmlparacode"/>
        </w:rPr>
      </w:pPr>
      <w:r>
        <w:rPr>
          <w:rStyle w:val="htmlparacode"/>
        </w:rPr>
        <w:t>&lt;p&gt;</w:t>
      </w:r>
    </w:p>
    <w:p w:rsidR="00B72047" w:rsidRDefault="00B72047">
      <w:pPr>
        <w:pStyle w:val="normalparagraph"/>
      </w:pPr>
      <w:r>
        <w:rPr>
          <w:rStyle w:val="indexentry"/>
        </w:rPr>
        <w:t>&lt;cx "connective questions, compared with other languages"&gt;</w:t>
      </w:r>
      <w:r>
        <w:rPr>
          <w:rStyle w:val="indexentry"/>
        </w:rPr>
        <w:fldChar w:fldCharType="begin"/>
      </w:r>
      <w:r>
        <w:instrText>xe "</w:instrText>
      </w:r>
      <w:r>
        <w:rPr>
          <w:rStyle w:val="xeentry"/>
        </w:rPr>
        <w:instrText>connective questions: compared with other languages</w:instrText>
      </w:r>
      <w:r>
        <w:instrText>"</w:instrText>
      </w:r>
      <w:r>
        <w:rPr>
          <w:rStyle w:val="indexentry"/>
        </w:rPr>
        <w:fldChar w:fldCharType="end"/>
      </w:r>
      <w:r>
        <w:t>There are natural languages, notably Chinese, which employ the Lojbanic</w:t>
      </w:r>
      <w:r>
        <w:rPr>
          <w:rStyle w:val="deletedparamark"/>
        </w:rPr>
        <w:t xml:space="preserve"> </w:t>
      </w:r>
      <w:r>
        <w:t>form of connective question. The Chinese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name=e13d15&gt;</w:t>
      </w:r>
      <w:r>
        <w:t>13.15)</w:t>
      </w:r>
      <w:r>
        <w:tab/>
        <w:t>ni</w:t>
      </w:r>
      <w:r>
        <w:rPr>
          <w:rStyle w:val="htmlcodes"/>
        </w:rPr>
        <w:t>&lt;sup&gt;</w:t>
      </w:r>
      <w:r>
        <w:rPr>
          <w:rStyle w:val="Superscript"/>
        </w:rPr>
        <w:t>3</w:t>
      </w:r>
      <w:r>
        <w:rPr>
          <w:rStyle w:val="htmlcodes"/>
        </w:rPr>
        <w:t>&lt;/sup&gt;</w:t>
      </w:r>
      <w:r>
        <w:t xml:space="preserve"> zou</w:t>
      </w:r>
      <w:r>
        <w:rPr>
          <w:rStyle w:val="htmlcodes"/>
        </w:rPr>
        <w:t>&lt;sup&gt;</w:t>
      </w:r>
      <w:r>
        <w:rPr>
          <w:rStyle w:val="Superscript"/>
        </w:rPr>
        <w:t>3</w:t>
      </w:r>
      <w:r>
        <w:rPr>
          <w:rStyle w:val="htmlcodes"/>
        </w:rPr>
        <w:t>&lt;/sup&gt;</w:t>
      </w:r>
      <w:r>
        <w:t xml:space="preserve"> hai</w:t>
      </w:r>
      <w:r>
        <w:rPr>
          <w:rStyle w:val="htmlcodes"/>
        </w:rPr>
        <w:t>&lt;sup&gt;</w:t>
      </w:r>
      <w:r>
        <w:rPr>
          <w:rStyle w:val="Superscript"/>
        </w:rPr>
        <w:t>2</w:t>
      </w:r>
      <w:r>
        <w:rPr>
          <w:rStyle w:val="htmlcodes"/>
        </w:rPr>
        <w:t>&lt;/sup&gt;</w:t>
      </w:r>
      <w:r>
        <w:t>shi pao</w:t>
      </w:r>
      <w:r>
        <w:rPr>
          <w:rStyle w:val="htmlcodes"/>
        </w:rPr>
        <w:t>&lt;sup&gt;</w:t>
      </w:r>
      <w:r>
        <w:rPr>
          <w:rStyle w:val="Superscript"/>
        </w:rPr>
        <w:t>3</w:t>
      </w:r>
      <w:r>
        <w:rPr>
          <w:rStyle w:val="htmlcodes"/>
        </w:rPr>
        <w:t>&lt;/sup&gt;</w:t>
      </w:r>
    </w:p>
    <w:p w:rsidR="00B72047" w:rsidRDefault="00B72047">
      <w:pPr>
        <w:pStyle w:val="examplescaled"/>
      </w:pPr>
      <w:r>
        <w:tab/>
        <w:t>you walk [or?] run?</w:t>
      </w:r>
    </w:p>
    <w:p w:rsidR="00B72047" w:rsidRDefault="00B72047">
      <w:pPr>
        <w:pStyle w:val="resumedafterexample"/>
      </w:pPr>
      <w:r>
        <w:rPr>
          <w:rStyle w:val="htmlcodes"/>
        </w:rPr>
        <w:t>&lt;/pre&gt;</w:t>
      </w:r>
      <w:r>
        <w:t>means “Do you walk or run?”, and is exactly parallel to the Lojban: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name=e13d16&gt;</w:t>
      </w:r>
      <w:r>
        <w:t>13.16)</w:t>
      </w:r>
      <w:r>
        <w:tab/>
        <w:t>do cadzu gi'i bajra</w:t>
      </w:r>
    </w:p>
    <w:p w:rsidR="00B72047" w:rsidRDefault="00B72047">
      <w:pPr>
        <w:pStyle w:val="examplescaled"/>
      </w:pPr>
      <w:r>
        <w:tab/>
        <w:t>you walk [or?] run?</w:t>
      </w:r>
    </w:p>
    <w:p w:rsidR="00B72047" w:rsidRDefault="00B72047">
      <w:pPr>
        <w:pStyle w:val="resumedafterexample"/>
      </w:pPr>
      <w:r>
        <w:rPr>
          <w:rStyle w:val="htmlcodes"/>
        </w:rPr>
        <w:t>&lt;/pre&gt;</w:t>
      </w:r>
      <w:r>
        <w:rPr>
          <w:rStyle w:val="indexentry"/>
        </w:rPr>
        <w:t>&lt;cx "connective question answers, contrasted with other languages"&gt;</w:t>
      </w:r>
      <w:r>
        <w:rPr>
          <w:rStyle w:val="indexentry"/>
        </w:rPr>
        <w:fldChar w:fldCharType="begin"/>
      </w:r>
      <w:r>
        <w:instrText>xe "</w:instrText>
      </w:r>
      <w:r>
        <w:rPr>
          <w:rStyle w:val="xeentry"/>
        </w:rPr>
        <w:instrText>connective question answers: contrasted with other languages</w:instrText>
      </w:r>
      <w:r>
        <w:instrText>"</w:instrText>
      </w:r>
      <w:r>
        <w:rPr>
          <w:rStyle w:val="indexentry"/>
        </w:rPr>
        <w:fldChar w:fldCharType="end"/>
      </w:r>
      <w:r>
        <w:t>However, Chinese does not use logical connectives in the reply to such</w:t>
      </w:r>
      <w:r>
        <w:rPr>
          <w:rStyle w:val="deletedparamark"/>
        </w:rPr>
        <w:t xml:space="preserve"> </w:t>
      </w:r>
      <w:r>
        <w:t>a question, so the resemblance, though striking, is superficial.</w:t>
      </w:r>
    </w:p>
    <w:p w:rsidR="00B72047" w:rsidRDefault="00B72047">
      <w:pPr>
        <w:rPr>
          <w:rStyle w:val="htmlparacode"/>
        </w:rPr>
      </w:pPr>
      <w:r>
        <w:rPr>
          <w:rStyle w:val="htmlparacode"/>
        </w:rPr>
        <w:t>&lt;p&gt;</w:t>
      </w:r>
    </w:p>
    <w:p w:rsidR="00B72047" w:rsidRDefault="00B72047">
      <w:pPr>
        <w:pStyle w:val="normalparagraph"/>
      </w:pPr>
      <w:r>
        <w:rPr>
          <w:rStyle w:val="indexentry"/>
        </w:rPr>
        <w:t>&lt;cx "bridi connection, use of truth questions in"&gt;</w:t>
      </w:r>
      <w:r>
        <w:rPr>
          <w:rStyle w:val="indexentry"/>
        </w:rPr>
        <w:fldChar w:fldCharType="begin"/>
      </w:r>
      <w:r>
        <w:instrText>xe "</w:instrText>
      </w:r>
      <w:r>
        <w:rPr>
          <w:rStyle w:val="xeentry"/>
        </w:rPr>
        <w:instrText>bridi connection: use of truth questions in</w:instrText>
      </w:r>
      <w:r>
        <w:instrText>"</w:instrText>
      </w:r>
      <w:r>
        <w:rPr>
          <w:rStyle w:val="indexentry"/>
        </w:rPr>
        <w:fldChar w:fldCharType="end"/>
      </w:r>
      <w:r>
        <w:rPr>
          <w:rStyle w:val="indexentry"/>
        </w:rPr>
        <w:t>&lt;cx "bridi connection, use of imperatives in"&gt;</w:t>
      </w:r>
      <w:r>
        <w:rPr>
          <w:rStyle w:val="indexentry"/>
        </w:rPr>
        <w:fldChar w:fldCharType="begin"/>
      </w:r>
      <w:r>
        <w:instrText>xe "</w:instrText>
      </w:r>
      <w:r>
        <w:rPr>
          <w:rStyle w:val="xeentry"/>
        </w:rPr>
        <w:instrText>bridi connection: use of imperatives in</w:instrText>
      </w:r>
      <w:r>
        <w:instrText>"</w:instrText>
      </w:r>
      <w:r>
        <w:rPr>
          <w:rStyle w:val="indexentry"/>
        </w:rPr>
        <w:fldChar w:fldCharType="end"/>
      </w:r>
      <w:r>
        <w:rPr>
          <w:rStyle w:val="indexentry"/>
        </w:rPr>
        <w:t>&lt;cx "truth, in imperative sentences"&gt;</w:t>
      </w:r>
      <w:r>
        <w:rPr>
          <w:rStyle w:val="indexentry"/>
        </w:rPr>
        <w:fldChar w:fldCharType="begin"/>
      </w:r>
      <w:r>
        <w:instrText>xe "</w:instrText>
      </w:r>
      <w:r>
        <w:rPr>
          <w:rStyle w:val="xeentry"/>
        </w:rPr>
        <w:instrText>truth: in imperative sentences</w:instrText>
      </w:r>
      <w:r>
        <w:instrText>"</w:instrText>
      </w:r>
      <w:r>
        <w:rPr>
          <w:rStyle w:val="indexentry"/>
        </w:rPr>
        <w:fldChar w:fldCharType="end"/>
      </w:r>
      <w:r>
        <w:rPr>
          <w:rStyle w:val="indexentry"/>
        </w:rPr>
        <w:t>&lt;cx "imperatives, and truth"&gt;</w:t>
      </w:r>
      <w:r>
        <w:rPr>
          <w:rStyle w:val="indexentry"/>
        </w:rPr>
        <w:fldChar w:fldCharType="begin"/>
      </w:r>
      <w:r>
        <w:instrText>xe "</w:instrText>
      </w:r>
      <w:r>
        <w:rPr>
          <w:rStyle w:val="xeentry"/>
        </w:rPr>
        <w:instrText>imperatives: and truth</w:instrText>
      </w:r>
      <w:r>
        <w:instrText>"</w:instrText>
      </w:r>
      <w:r>
        <w:rPr>
          <w:rStyle w:val="indexentry"/>
        </w:rPr>
        <w:fldChar w:fldCharType="end"/>
      </w:r>
      <w:r>
        <w:rPr>
          <w:rStyle w:val="indexentry"/>
        </w:rPr>
        <w:t>&lt;ex "Abraham Lincoln"&gt;</w:t>
      </w:r>
      <w:r>
        <w:rPr>
          <w:rStyle w:val="indexentry"/>
        </w:rPr>
        <w:fldChar w:fldCharType="begin"/>
      </w:r>
      <w:r>
        <w:instrText>xe "</w:instrText>
      </w:r>
      <w:r>
        <w:rPr>
          <w:rStyle w:val="xeentry"/>
        </w:rPr>
        <w:instrText>Abraham Lincoln: example</w:instrText>
      </w:r>
      <w:r>
        <w:instrText>"</w:instrText>
      </w:r>
      <w:r>
        <w:rPr>
          <w:rStyle w:val="indexentry"/>
        </w:rPr>
        <w:fldChar w:fldCharType="end"/>
      </w:r>
      <w:r>
        <w:rPr>
          <w:rStyle w:val="indexentry"/>
        </w:rPr>
        <w:t>&lt;ex "if coffee, bring tea"&gt;</w:t>
      </w:r>
      <w:r>
        <w:rPr>
          <w:rStyle w:val="indexentry"/>
        </w:rPr>
        <w:fldChar w:fldCharType="begin"/>
      </w:r>
      <w:r>
        <w:instrText>xe "</w:instrText>
      </w:r>
      <w:r>
        <w:rPr>
          <w:rStyle w:val="xeentry"/>
        </w:rPr>
        <w:instrText>if coffee: bring tea, example</w:instrText>
      </w:r>
      <w:r>
        <w:instrText>"</w:instrText>
      </w:r>
      <w:r>
        <w:rPr>
          <w:rStyle w:val="indexentry"/>
        </w:rPr>
        <w:fldChar w:fldCharType="end"/>
      </w:r>
      <w:r>
        <w:t>Truth questions may be used in bridi connection. This form of sentence is</w:t>
      </w:r>
      <w:r>
        <w:rPr>
          <w:rStyle w:val="deletedparamark"/>
        </w:rPr>
        <w:t xml:space="preserve"> </w:t>
      </w:r>
      <w:r>
        <w:t>per</w:t>
      </w:r>
      <w:r>
        <w:softHyphen/>
        <w:t>fectly legitimate, and can be interpreted by using the convention that</w:t>
      </w:r>
      <w:r>
        <w:rPr>
          <w:rStyle w:val="deletedparamark"/>
        </w:rPr>
        <w:t xml:space="preserve"> </w:t>
      </w:r>
      <w:r>
        <w:t>a truth question is true if the answer is “yes” and false if the answer is</w:t>
      </w:r>
      <w:r>
        <w:rPr>
          <w:rStyle w:val="deletedparamark"/>
        </w:rPr>
        <w:t xml:space="preserve"> “</w:t>
      </w:r>
      <w:r>
        <w:t>no”. Analogously, an imperative sentence (involving the special pro-sumti</w:t>
      </w:r>
      <w:r>
        <w:rPr>
          <w:rStyle w:val="deletedparamark"/>
        </w:rPr>
        <w:t xml:space="preserve"> “</w:t>
      </w:r>
      <w:r>
        <w:t>ko”, which means “you” but marks the sen</w:t>
      </w:r>
      <w:r>
        <w:softHyphen/>
        <w:t>tence as a command) is true if</w:t>
      </w:r>
      <w:r>
        <w:rPr>
          <w:rStyle w:val="deletedparamark"/>
        </w:rPr>
        <w:t xml:space="preserve"> </w:t>
      </w:r>
      <w:r>
        <w:t>the command is obeyed, and false otherwise. A request of Abraham Lincoln's</w:t>
      </w:r>
      <w:r>
        <w:rPr>
          <w:rStyle w:val="deletedparamark"/>
        </w:rPr>
        <w:t xml:space="preserve"> </w:t>
      </w:r>
      <w:r>
        <w:t>may be translated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name=e13d17&gt;</w:t>
      </w:r>
      <w:r>
        <w:t>13.17)</w:t>
      </w:r>
      <w:r>
        <w:tab/>
        <w:t>ganai ti ckafi gi ko bevri loi tcati mi</w:t>
      </w:r>
    </w:p>
    <w:p w:rsidR="00B72047" w:rsidRDefault="00B72047">
      <w:pPr>
        <w:pStyle w:val="examplescaled"/>
      </w:pPr>
      <w:r>
        <w:tab/>
      </w:r>
      <w:r>
        <w:tab/>
        <w:t>.ije ganai ti tcati gi ko bevri loi ckafi mi</w:t>
      </w:r>
    </w:p>
    <w:p w:rsidR="00B72047" w:rsidRDefault="00B72047">
      <w:pPr>
        <w:pStyle w:val="examplescaled"/>
      </w:pPr>
      <w:r>
        <w:tab/>
        <w:t>If this is-coffee then [you!] bring a-mass-of tea to-me,</w:t>
      </w:r>
    </w:p>
    <w:p w:rsidR="00B72047" w:rsidRDefault="00B72047">
      <w:pPr>
        <w:pStyle w:val="examplescaled"/>
      </w:pPr>
      <w:r>
        <w:tab/>
      </w:r>
      <w:r>
        <w:tab/>
        <w:t>and if this is-tea then [you!] bring a-mass-of coffee to-me.</w:t>
      </w:r>
    </w:p>
    <w:p w:rsidR="00B72047" w:rsidRDefault="00B72047">
      <w:pPr>
        <w:pStyle w:val="examplescaled"/>
      </w:pPr>
      <w:r>
        <w:tab/>
        <w:t>If this is coffee, bring me tea; but if this is tea, bring me coffee.</w:t>
      </w:r>
    </w:p>
    <w:p w:rsidR="00B72047" w:rsidRDefault="00B72047">
      <w:pPr>
        <w:pStyle w:val="resumedafterexample"/>
      </w:pPr>
      <w:r>
        <w:rPr>
          <w:rStyle w:val="htmlcodes"/>
        </w:rPr>
        <w:t>&lt;/pre&gt;</w:t>
      </w:r>
      <w:r>
        <w:rPr>
          <w:rStyle w:val="indexentry"/>
        </w:rPr>
        <w:t>&lt;cx "but, compared with and"&gt;</w:t>
      </w:r>
      <w:r>
        <w:rPr>
          <w:rStyle w:val="indexentry"/>
        </w:rPr>
        <w:fldChar w:fldCharType="begin"/>
      </w:r>
      <w:r>
        <w:instrText>xe "</w:instrText>
      </w:r>
      <w:r>
        <w:rPr>
          <w:rStyle w:val="xeentry"/>
        </w:rPr>
        <w:instrText>but: compared with and</w:instrText>
      </w:r>
      <w:r>
        <w:instrText>"</w:instrText>
      </w:r>
      <w:r>
        <w:rPr>
          <w:rStyle w:val="indexentry"/>
        </w:rPr>
        <w:fldChar w:fldCharType="end"/>
      </w:r>
      <w:r>
        <w:rPr>
          <w:rStyle w:val="indexentry"/>
        </w:rPr>
        <w:t>&lt;cx "and, compared with but"&gt;</w:t>
      </w:r>
      <w:r>
        <w:rPr>
          <w:rStyle w:val="indexentry"/>
        </w:rPr>
        <w:fldChar w:fldCharType="begin"/>
      </w:r>
      <w:r>
        <w:instrText>xe "</w:instrText>
      </w:r>
      <w:r>
        <w:rPr>
          <w:rStyle w:val="xeentry"/>
        </w:rPr>
        <w:instrText>and: compared with but</w:instrText>
      </w:r>
      <w:r>
        <w:instrText>"</w:instrText>
      </w:r>
      <w:r>
        <w:rPr>
          <w:rStyle w:val="indexentry"/>
        </w:rPr>
        <w:fldChar w:fldCharType="end"/>
      </w:r>
      <w:r>
        <w:rPr>
          <w:rStyle w:val="indexentry"/>
        </w:rPr>
        <w:t>&lt;lx "ku'i"&gt;</w:t>
      </w:r>
      <w:r>
        <w:rPr>
          <w:rStyle w:val="indexentry"/>
        </w:rPr>
        <w:fldChar w:fldCharType="begin"/>
      </w:r>
      <w:r>
        <w:instrText>xe "</w:instrText>
      </w:r>
      <w:r>
        <w:rPr>
          <w:rStyle w:val="xeentry"/>
        </w:rPr>
        <w:instrText>ku'i</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In logical terms, however, “but” is the same as “and”; the difference is</w:t>
      </w:r>
      <w:r>
        <w:rPr>
          <w:rStyle w:val="deletedparamark"/>
        </w:rPr>
        <w:t xml:space="preserve"> </w:t>
      </w:r>
      <w:r>
        <w:t>that the sentence after a “but” is felt to be in tension or opposition to</w:t>
      </w:r>
      <w:r>
        <w:rPr>
          <w:rStyle w:val="deletedparamark"/>
        </w:rPr>
        <w:t xml:space="preserve"> </w:t>
      </w:r>
      <w:r>
        <w:t>the sentence before it. Lojban repre</w:t>
      </w:r>
      <w:r>
        <w:softHyphen/>
        <w:t>sents this distinction by adding the</w:t>
      </w:r>
      <w:r>
        <w:rPr>
          <w:rStyle w:val="deletedparamark"/>
        </w:rPr>
        <w:t xml:space="preserve"> </w:t>
      </w:r>
      <w:r>
        <w:t>discursive cmavo “ku'i” (of selma'o UI), which is e</w:t>
      </w:r>
      <w:r>
        <w:t>x</w:t>
      </w:r>
      <w:r>
        <w:softHyphen/>
        <w:t xml:space="preserve">plained in </w:t>
      </w:r>
      <w:r>
        <w:rPr>
          <w:rStyle w:val="htmlcodes"/>
        </w:rPr>
        <w:t>&lt;a href=chap13.html&gt;</w:t>
      </w:r>
      <w:r>
        <w:t>Chapter 13</w:t>
      </w:r>
      <w:r>
        <w:rPr>
          <w:rStyle w:val="htmlcodes"/>
        </w:rPr>
        <w:t>&lt;/a&gt;</w:t>
      </w:r>
      <w:r>
        <w:t>,</w:t>
      </w:r>
      <w:r>
        <w:rPr>
          <w:rStyle w:val="deletedparamark"/>
        </w:rPr>
        <w:t xml:space="preserve"> </w:t>
      </w:r>
      <w:r>
        <w:t>to the logical “.ije”.)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428" w:name="_Toc398970669"/>
      <w:r>
        <w:rPr>
          <w:rStyle w:val="Heading3Text"/>
        </w:rPr>
        <w:t>Non-logical connectives</w:t>
      </w:r>
      <w:bookmarkEnd w:id="42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"and, as non-logical connective"&gt;</w:t>
      </w:r>
      <w:r>
        <w:rPr>
          <w:rStyle w:val="indexentry"/>
        </w:rPr>
        <w:fldChar w:fldCharType="begin"/>
      </w:r>
      <w:r>
        <w:instrText>xe "</w:instrText>
      </w:r>
      <w:r>
        <w:rPr>
          <w:rStyle w:val="xeentry"/>
        </w:rPr>
        <w:instrText>and: as non-logical connective</w:instrText>
      </w:r>
      <w:r>
        <w:instrText>"</w:instrText>
      </w:r>
      <w:r>
        <w:rPr>
          <w:rStyle w:val="indexentry"/>
        </w:rPr>
        <w:fldChar w:fldCharType="end"/>
      </w:r>
      <w:r>
        <w:t xml:space="preserve">Way back in </w:t>
      </w:r>
      <w:r>
        <w:rPr>
          <w:rStyle w:val="htmlcodes"/>
        </w:rPr>
        <w:t>&lt;a href=#s1&gt;</w:t>
      </w:r>
      <w:r>
        <w:t>Section 1</w:t>
      </w:r>
      <w:r>
        <w:rPr>
          <w:rStyle w:val="htmlcodes"/>
        </w:rPr>
        <w:t>&lt;/a&gt;</w:t>
      </w:r>
      <w:r>
        <w:t>, the point was made that not every use of English</w:t>
      </w:r>
      <w:r>
        <w:rPr>
          <w:rStyle w:val="deletedparamark"/>
        </w:rPr>
        <w:t xml:space="preserve"> “</w:t>
      </w:r>
      <w:r>
        <w:t>and”, “if </w:t>
      </w:r>
      <w:r>
        <w:rPr>
          <w:rStyle w:val="htmlcodes"/>
        </w:rPr>
        <w:t>&lt;dots&gt;</w:t>
      </w:r>
      <w:r>
        <w:t>…</w:t>
      </w:r>
      <w:r>
        <w:rPr>
          <w:rStyle w:val="htmlcodes"/>
        </w:rPr>
        <w:t>&lt;/dots&gt;</w:t>
      </w:r>
      <w:r>
        <w:t>then”, and so on represents a Lojban logical connective.</w:t>
      </w:r>
      <w:r>
        <w:rPr>
          <w:rStyle w:val="deletedparamark"/>
        </w:rPr>
        <w:t xml:space="preserve"> </w:t>
      </w:r>
      <w:r>
        <w:t>In particular, con</w:t>
      </w:r>
      <w:r>
        <w:softHyphen/>
        <w:t>sider the “and” of:</w:t>
      </w:r>
    </w:p>
    <w:p w:rsidR="00B72047" w:rsidRDefault="00B72047">
      <w:pPr>
        <w:rPr>
          <w:rStyle w:val="htmlparacode"/>
        </w:rPr>
      </w:pPr>
      <w:r>
        <w:rPr>
          <w:rStyle w:val="htmlparacode"/>
        </w:rPr>
        <w:t>&lt;p&gt;</w:t>
      </w:r>
    </w:p>
    <w:p w:rsidR="00B72047" w:rsidRDefault="00B72047">
      <w:pPr>
        <w:pStyle w:val="examplescaledpre"/>
      </w:pPr>
      <w:r>
        <w:rPr>
          <w:rStyle w:val="indexentry"/>
        </w:rPr>
        <w:t>&lt;ex "carried piano"&gt;</w:t>
      </w:r>
      <w:r>
        <w:rPr>
          <w:rStyle w:val="indexentry"/>
        </w:rPr>
        <w:fldChar w:fldCharType="begin"/>
      </w:r>
      <w:r>
        <w:instrText>xe "</w:instrText>
      </w:r>
      <w:r>
        <w:rPr>
          <w:rStyle w:val="xeentry"/>
        </w:rPr>
        <w:instrText>carried piano: example</w:instrText>
      </w:r>
      <w:r>
        <w:instrText>"</w:instrText>
      </w:r>
      <w:r>
        <w:rPr>
          <w:rStyle w:val="indexentry"/>
        </w:rPr>
        <w:fldChar w:fldCharType="end"/>
      </w:r>
      <w:r>
        <w:rPr>
          <w:rStyle w:val="htmlcodes"/>
        </w:rPr>
        <w:t>&lt;pre&gt;&lt;a name=e14d1&gt;</w:t>
      </w:r>
      <w:r>
        <w:t>14.1)</w:t>
      </w:r>
      <w:r>
        <w:tab/>
        <w:t>John and Alice carried the piano.</w:t>
      </w:r>
    </w:p>
    <w:p w:rsidR="00B72047" w:rsidRDefault="00B72047">
      <w:pPr>
        <w:pStyle w:val="resumedafterexample"/>
      </w:pPr>
      <w:r>
        <w:rPr>
          <w:rStyle w:val="htmlcodes"/>
        </w:rPr>
        <w:t>&lt;/pre&gt;</w:t>
      </w:r>
      <w:r>
        <w:rPr>
          <w:rStyle w:val="indexentry"/>
        </w:rPr>
        <w:t>&lt;cx "mass, joining elements into a"&gt;</w:t>
      </w:r>
      <w:r>
        <w:rPr>
          <w:rStyle w:val="indexentry"/>
        </w:rPr>
        <w:fldChar w:fldCharType="begin"/>
      </w:r>
      <w:r>
        <w:instrText>xe "</w:instrText>
      </w:r>
      <w:r>
        <w:rPr>
          <w:rStyle w:val="xeentry"/>
        </w:rPr>
        <w:instrText>mass: joining elements into a</w:instrText>
      </w:r>
      <w:r>
        <w:instrText>"</w:instrText>
      </w:r>
      <w:r>
        <w:rPr>
          <w:rStyle w:val="indexentry"/>
        </w:rPr>
        <w:fldChar w:fldCharType="end"/>
      </w:r>
      <w:r>
        <w:t>Given the nature of pianos, this probably means that John carried one</w:t>
      </w:r>
      <w:r>
        <w:rPr>
          <w:rStyle w:val="deletedparamark"/>
        </w:rPr>
        <w:t xml:space="preserve"> </w:t>
      </w:r>
      <w:r>
        <w:t>end and Alice the other. So it is not true that: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name=e14d2&gt;</w:t>
      </w:r>
      <w:r>
        <w:t>14.2)</w:t>
      </w:r>
      <w:r>
        <w:tab/>
        <w:t>John carried the piano, and Alice carried the piano.</w:t>
      </w:r>
    </w:p>
    <w:p w:rsidR="00B72047" w:rsidRDefault="00B72047">
      <w:pPr>
        <w:pStyle w:val="resumedafterexample"/>
      </w:pPr>
      <w:r>
        <w:rPr>
          <w:rStyle w:val="htmlcodes"/>
        </w:rPr>
        <w:t>&lt;/pre&gt;</w:t>
      </w:r>
      <w:r>
        <w:rPr>
          <w:rStyle w:val="indexentry"/>
        </w:rPr>
        <w:t>&lt;lx "joi"&gt;</w:t>
      </w:r>
      <w:r>
        <w:rPr>
          <w:rStyle w:val="indexentry"/>
        </w:rPr>
        <w:fldChar w:fldCharType="begin"/>
      </w:r>
      <w:r>
        <w:instrText>xe "</w:instrText>
      </w:r>
      <w:r>
        <w:rPr>
          <w:rStyle w:val="xeentry"/>
        </w:rPr>
        <w:instrText>joi</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t>which would mean that each of them carried the piano by himself/herself.</w:t>
      </w:r>
      <w:r>
        <w:rPr>
          <w:rStyle w:val="deletedparamark"/>
        </w:rPr>
        <w:t xml:space="preserve"> </w:t>
      </w:r>
      <w:r>
        <w:t>Lojban deals with this particular linguistic phenomenon as a “mass”.</w:t>
      </w:r>
      <w:r>
        <w:rPr>
          <w:rStyle w:val="deletedparamark"/>
        </w:rPr>
        <w:t xml:space="preserve"> </w:t>
      </w:r>
      <w:r>
        <w:t>John and Alice are joined to</w:t>
      </w:r>
      <w:r>
        <w:softHyphen/>
        <w:t>gether into a mass, John-and-Alice, and it is</w:t>
      </w:r>
      <w:r>
        <w:rPr>
          <w:rStyle w:val="deletedparamark"/>
        </w:rPr>
        <w:t xml:space="preserve"> </w:t>
      </w:r>
      <w:r>
        <w:t>this mass which carried the piano, not ei</w:t>
      </w:r>
      <w:r>
        <w:softHyphen/>
        <w:t>ther of them separately. The cmavo</w:t>
      </w:r>
      <w:r>
        <w:rPr>
          <w:rStyle w:val="deletedparamark"/>
        </w:rPr>
        <w:t xml:space="preserve"> “</w:t>
      </w:r>
      <w:r>
        <w:t>joi” (of selma'o JOI) is used to join two or more comp</w:t>
      </w:r>
      <w:r>
        <w:t>o</w:t>
      </w:r>
      <w:r>
        <w:softHyphen/>
        <w:t>nents into a mass: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name=e14d3&gt;</w:t>
      </w:r>
      <w:r>
        <w:t>14.3)</w:t>
      </w:r>
      <w:r>
        <w:tab/>
        <w:t>la djan. joi la .alis. cu bevri le pipno</w:t>
      </w:r>
    </w:p>
    <w:p w:rsidR="00B72047" w:rsidRDefault="00B72047">
      <w:pPr>
        <w:pStyle w:val="examplescaled"/>
      </w:pPr>
      <w:r>
        <w:tab/>
        <w:t>John massed-with Alice carry the piano.</w:t>
      </w:r>
    </w:p>
    <w:p w:rsidR="00B72047" w:rsidRDefault="00B72047">
      <w:pPr>
        <w:pStyle w:val="normalafterexample"/>
      </w:pPr>
      <w:r>
        <w:rPr>
          <w:rStyle w:val="htmlcodes"/>
        </w:rPr>
        <w:t>&lt;/pre&gt;</w:t>
      </w:r>
      <w:r>
        <w:rPr>
          <w:rStyle w:val="indexentry"/>
        </w:rPr>
        <w:t>&lt;cx "supervising, as a contribution to mass action"&gt;</w:t>
      </w:r>
      <w:r>
        <w:rPr>
          <w:rStyle w:val="indexentry"/>
        </w:rPr>
        <w:fldChar w:fldCharType="begin"/>
      </w:r>
      <w:r>
        <w:instrText>xe "</w:instrText>
      </w:r>
      <w:r>
        <w:rPr>
          <w:rStyle w:val="xeentry"/>
        </w:rPr>
        <w:instrText>supervising: as a contribution to mass action</w:instrText>
      </w:r>
      <w:r>
        <w:instrText>"</w:instrText>
      </w:r>
      <w:r>
        <w:rPr>
          <w:rStyle w:val="indexentry"/>
        </w:rPr>
        <w:fldChar w:fldCharType="end"/>
      </w:r>
      <w:r>
        <w:rPr>
          <w:rStyle w:val="indexentry"/>
        </w:rPr>
        <w:t>&lt;cx "mass contrasted with components, in properties of"&gt;</w:t>
      </w:r>
      <w:r>
        <w:rPr>
          <w:rStyle w:val="indexentry"/>
        </w:rPr>
        <w:fldChar w:fldCharType="begin"/>
      </w:r>
      <w:r>
        <w:instrText>xe "</w:instrText>
      </w:r>
      <w:r>
        <w:rPr>
          <w:rStyle w:val="xeentry"/>
        </w:rPr>
        <w:instrText>mass contrasted with components: in properties of</w:instrText>
      </w:r>
      <w:r>
        <w:instrText>"</w:instrText>
      </w:r>
      <w:r>
        <w:rPr>
          <w:rStyle w:val="indexentry"/>
        </w:rPr>
        <w:fldChar w:fldCharType="end"/>
      </w:r>
      <w:r>
        <w:rPr>
          <w:rStyle w:val="indexentry"/>
        </w:rPr>
        <w:t>&lt;cx "components contrasted with mass, in properties of"&gt;</w:t>
      </w:r>
      <w:r>
        <w:rPr>
          <w:rStyle w:val="indexentry"/>
        </w:rPr>
        <w:fldChar w:fldCharType="begin"/>
      </w:r>
      <w:r>
        <w:instrText>xe "</w:instrText>
      </w:r>
      <w:r>
        <w:rPr>
          <w:rStyle w:val="xeentry"/>
        </w:rPr>
        <w:instrText>components contrasted with mass: in properties of</w:instrText>
      </w:r>
      <w:r>
        <w:instrText>"</w:instrText>
      </w:r>
      <w:r>
        <w:rPr>
          <w:rStyle w:val="indexentry"/>
        </w:rPr>
        <w:fldChar w:fldCharType="end"/>
      </w:r>
      <w:r>
        <w:rPr>
          <w:rStyle w:val="htmlcodes"/>
        </w:rPr>
        <w:t>&lt;a href=#e14d3&gt;</w:t>
      </w:r>
      <w:r>
        <w:t xml:space="preserve">Example 14.3 </w:t>
      </w:r>
      <w:r>
        <w:rPr>
          <w:rStyle w:val="htmlcodes"/>
        </w:rPr>
        <w:t>&lt;/a&gt;</w:t>
      </w:r>
      <w:r>
        <w:t>covers the case mentioned, where John and Alice divide the</w:t>
      </w:r>
      <w:r>
        <w:rPr>
          <w:rStyle w:val="deletedparamark"/>
        </w:rPr>
        <w:t xml:space="preserve"> </w:t>
      </w:r>
      <w:r>
        <w:t>la</w:t>
      </w:r>
      <w:r>
        <w:softHyphen/>
        <w:t>bor; it also could mean that John did all the hauling and Alice did</w:t>
      </w:r>
      <w:r>
        <w:rPr>
          <w:rStyle w:val="deletedparamark"/>
        </w:rPr>
        <w:t xml:space="preserve"> </w:t>
      </w:r>
      <w:r>
        <w:t>the supervising. This possibi</w:t>
      </w:r>
      <w:r>
        <w:t>l</w:t>
      </w:r>
      <w:r>
        <w:softHyphen/>
        <w:t>ity arises because the properties of a mass</w:t>
      </w:r>
      <w:r>
        <w:rPr>
          <w:rStyle w:val="deletedparamark"/>
        </w:rPr>
        <w:t xml:space="preserve"> </w:t>
      </w:r>
      <w:r>
        <w:t>are the properties of its components, which can lead to apparent</w:t>
      </w:r>
      <w:r>
        <w:rPr>
          <w:rStyle w:val="deletedparamark"/>
        </w:rPr>
        <w:t xml:space="preserve"> </w:t>
      </w:r>
      <w:r>
        <w:t>contradictions: if John is small and Alice is large, then John-and-Alice</w:t>
      </w:r>
      <w:r>
        <w:rPr>
          <w:rStyle w:val="deletedparamark"/>
        </w:rPr>
        <w:t xml:space="preserve"> </w:t>
      </w:r>
      <w:r>
        <w:t xml:space="preserve">is both small and large. Masses are also discussed in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&lt;cx "non-logical connection, and elidability of terminators"&gt;</w:t>
      </w:r>
      <w:r>
        <w:rPr>
          <w:rStyle w:val="indexentry"/>
        </w:rPr>
        <w:fldChar w:fldCharType="begin"/>
      </w:r>
      <w:r>
        <w:instrText>xe "</w:instrText>
      </w:r>
      <w:r>
        <w:rPr>
          <w:rStyle w:val="xeentry"/>
        </w:rPr>
        <w:instrText>non-logical connection: and elidability of terminators</w:instrText>
      </w:r>
      <w:r>
        <w:instrText>"</w:instrText>
      </w:r>
      <w:r>
        <w:rPr>
          <w:rStyle w:val="indexentry"/>
        </w:rPr>
        <w:fldChar w:fldCharType="end"/>
      </w:r>
      <w:r>
        <w:rPr>
          <w:rStyle w:val="indexentry"/>
        </w:rPr>
        <w:t>&lt;cx "joi grammar, contrasted with eks"&gt;</w:t>
      </w:r>
      <w:r>
        <w:rPr>
          <w:rStyle w:val="indexentry"/>
        </w:rPr>
        <w:fldChar w:fldCharType="begin"/>
      </w:r>
      <w:r>
        <w:instrText>xe "</w:instrText>
      </w:r>
      <w:r>
        <w:rPr>
          <w:rStyle w:val="xeentry"/>
        </w:rPr>
        <w:instrText>joi grammar: contrasted with eks</w:instrText>
      </w:r>
      <w:r>
        <w:instrText>"</w:instrText>
      </w:r>
      <w:r>
        <w:rPr>
          <w:rStyle w:val="indexentry"/>
        </w:rPr>
        <w:fldChar w:fldCharType="end"/>
      </w:r>
      <w:r>
        <w:rPr>
          <w:rStyle w:val="indexentry"/>
        </w:rPr>
        <w:t>&lt;cx "joi grammar, contrasted with jeks"&gt;</w:t>
      </w:r>
      <w:r>
        <w:rPr>
          <w:rStyle w:val="indexentry"/>
        </w:rPr>
        <w:fldChar w:fldCharType="begin"/>
      </w:r>
      <w:r>
        <w:instrText>xe "</w:instrText>
      </w:r>
      <w:r>
        <w:rPr>
          <w:rStyle w:val="xeentry"/>
        </w:rPr>
        <w:instrText>joi grammar: contrasted with jeks</w:instrText>
      </w:r>
      <w:r>
        <w:instrText>"</w:instrText>
      </w:r>
      <w:r>
        <w:rPr>
          <w:rStyle w:val="indexentry"/>
        </w:rPr>
        <w:fldChar w:fldCharType="end"/>
      </w:r>
      <w:r>
        <w:rPr>
          <w:rStyle w:val="indexentry"/>
        </w:rPr>
        <w:t>&lt;cx "non-logical connection of sumti, distinguishing from connection in tanru"&gt;</w:t>
      </w:r>
      <w:r>
        <w:rPr>
          <w:rStyle w:val="indexentry"/>
        </w:rPr>
        <w:fldChar w:fldCharType="begin"/>
      </w:r>
      <w:r>
        <w:instrText>xe "</w:instrText>
      </w:r>
      <w:r>
        <w:rPr>
          <w:rStyle w:val="xeentry"/>
        </w:rPr>
        <w:instrText>non-logical connection: of sumti, distinguishing from connection in tanru</w:instrText>
      </w:r>
      <w:r>
        <w:instrText>"</w:instrText>
      </w:r>
      <w:r>
        <w:rPr>
          <w:rStyle w:val="indexentry"/>
        </w:rPr>
        <w:fldChar w:fldCharType="end"/>
      </w:r>
      <w:r>
        <w:rPr>
          <w:rStyle w:val="indexentry"/>
        </w:rPr>
        <w:t>&lt;cx "non-logical connection in tanru, distinguishing from connection of sumti"&gt;</w:t>
      </w:r>
      <w:r>
        <w:rPr>
          <w:rStyle w:val="indexentry"/>
        </w:rPr>
        <w:fldChar w:fldCharType="begin"/>
      </w:r>
      <w:r>
        <w:instrText>xe "</w:instrText>
      </w:r>
      <w:r>
        <w:rPr>
          <w:rStyle w:val="xeentry"/>
        </w:rPr>
        <w:instrText>non-logical connection: in tanru, distinguishing from connection of sumti</w:instrText>
      </w:r>
      <w:r>
        <w:instrText>"</w:instrText>
      </w:r>
      <w:r>
        <w:rPr>
          <w:rStyle w:val="indexentry"/>
        </w:rPr>
        <w:fldChar w:fldCharType="end"/>
      </w:r>
      <w:r>
        <w:t>Grammatically, “joi” can appear between two sumti (like an ek) or between</w:t>
      </w:r>
      <w:r>
        <w:rPr>
          <w:rStyle w:val="deletedparamark"/>
        </w:rPr>
        <w:t xml:space="preserve"> </w:t>
      </w:r>
      <w:r>
        <w:t>two tanru components (like a jek). This flexibility must be paid for in</w:t>
      </w:r>
      <w:r>
        <w:rPr>
          <w:rStyle w:val="deletedparamark"/>
        </w:rPr>
        <w:t xml:space="preserve"> </w:t>
      </w:r>
      <w:r>
        <w:t>the form of occa</w:t>
      </w:r>
      <w:r>
        <w:softHyphen/>
        <w:t>sional terminators that cannot be elided:</w:t>
      </w:r>
    </w:p>
    <w:p w:rsidR="00B72047" w:rsidRDefault="00B72047">
      <w:pPr>
        <w:rPr>
          <w:rStyle w:val="htmlparacode"/>
        </w:rPr>
      </w:pPr>
      <w:r>
        <w:rPr>
          <w:rStyle w:val="htmlparacode"/>
        </w:rPr>
        <w:t>&lt;p&gt;</w:t>
      </w:r>
    </w:p>
    <w:p w:rsidR="00B72047" w:rsidRDefault="00B72047">
      <w:pPr>
        <w:pStyle w:val="examplescaledpre"/>
      </w:pPr>
      <w:r>
        <w:rPr>
          <w:rStyle w:val="indexentry"/>
        </w:rPr>
        <w:t>&lt;lx "ku"&gt;</w:t>
      </w:r>
      <w:r>
        <w:rPr>
          <w:rStyle w:val="indexentry"/>
        </w:rPr>
        <w:fldChar w:fldCharType="begin"/>
      </w:r>
      <w:r>
        <w:instrText>xe "</w:instrText>
      </w:r>
      <w:r>
        <w:rPr>
          <w:rStyle w:val="xeentry"/>
        </w:rPr>
        <w:instrText>ku</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w:instrText>
      </w:r>
      <w:r>
        <w:instrText>"</w:instrText>
      </w:r>
      <w:r>
        <w:rPr>
          <w:rStyle w:val="indexentry"/>
        </w:rPr>
        <w:fldChar w:fldCharType="end"/>
      </w:r>
      <w:r>
        <w:rPr>
          <w:rStyle w:val="indexentry"/>
        </w:rPr>
        <w:t>&lt;cx "terminators, eliding ku in non-logical connections"&gt;</w:t>
      </w:r>
      <w:r>
        <w:rPr>
          <w:rStyle w:val="indexentry"/>
        </w:rPr>
        <w:fldChar w:fldCharType="begin"/>
      </w:r>
      <w:r>
        <w:instrText>xe "</w:instrText>
      </w:r>
      <w:r>
        <w:rPr>
          <w:rStyle w:val="xeentry"/>
        </w:rPr>
        <w:instrText>terminators: eliding ku in non-logical connections</w:instrText>
      </w:r>
      <w:r>
        <w:instrText>"</w:instrText>
      </w:r>
      <w:r>
        <w:rPr>
          <w:rStyle w:val="indexentry"/>
        </w:rPr>
        <w:fldChar w:fldCharType="end"/>
      </w:r>
      <w:r>
        <w:rPr>
          <w:rStyle w:val="indexentry"/>
        </w:rPr>
        <w:t>&lt;lx "KU"&gt;</w:t>
      </w:r>
      <w:r>
        <w:rPr>
          <w:rStyle w:val="indexentry"/>
        </w:rPr>
        <w:fldChar w:fldCharType="begin"/>
      </w:r>
      <w:r>
        <w:instrText>xe "</w:instrText>
      </w:r>
      <w:r>
        <w:rPr>
          <w:rStyle w:val="xeentry"/>
        </w:rPr>
        <w:instrText>KU selma’o</w:instrText>
      </w:r>
      <w:r>
        <w:instrText>"</w:instrText>
      </w:r>
      <w:r>
        <w:rPr>
          <w:rStyle w:val="indexentry"/>
        </w:rPr>
        <w:fldChar w:fldCharType="end"/>
      </w:r>
      <w:r>
        <w:rPr>
          <w:rStyle w:val="indexentry"/>
        </w:rPr>
        <w:t>&lt;lx "LE"&gt;</w:t>
      </w:r>
      <w:r>
        <w:rPr>
          <w:rStyle w:val="indexentry"/>
        </w:rPr>
        <w:fldChar w:fldCharType="begin"/>
      </w:r>
      <w:r>
        <w:instrText>xe "</w:instrText>
      </w:r>
      <w:r>
        <w:rPr>
          <w:rStyle w:val="xeentry"/>
        </w:rPr>
        <w:instrText>LE selma’o</w:instrText>
      </w:r>
      <w:r>
        <w:instrText>"</w:instrText>
      </w:r>
      <w:r>
        <w:rPr>
          <w:rStyle w:val="indexentry"/>
        </w:rPr>
        <w:fldChar w:fldCharType="end"/>
      </w:r>
      <w:r>
        <w:rPr>
          <w:rStyle w:val="htmlcodes"/>
        </w:rPr>
        <w:t>&lt;pre&gt;&lt;a name=e14d4&gt;</w:t>
      </w:r>
      <w:r>
        <w:t>14.4)</w:t>
      </w:r>
      <w:r>
        <w:tab/>
        <w:t>le nanmu ku joi le ninmu [ku] cu klama le zarci</w:t>
      </w:r>
    </w:p>
    <w:p w:rsidR="00B72047" w:rsidRDefault="00B72047">
      <w:pPr>
        <w:pStyle w:val="examplescaled"/>
      </w:pPr>
      <w:r>
        <w:tab/>
        <w:t>The man massed-with the woman go-to the market.</w:t>
      </w:r>
    </w:p>
    <w:p w:rsidR="00B72047" w:rsidRDefault="00B72047">
      <w:pPr>
        <w:pStyle w:val="normalafterexample"/>
      </w:pPr>
      <w:r>
        <w:rPr>
          <w:rStyle w:val="htmlcodes"/>
        </w:rPr>
        <w:t>&lt;/pre&gt;&lt;p&gt;</w:t>
      </w:r>
      <w:r>
        <w:t>The cmavo “ku” is the elidable terminator for “le”, which can almost always</w:t>
      </w:r>
      <w:r>
        <w:rPr>
          <w:rStyle w:val="deletedparamark"/>
        </w:rPr>
        <w:t xml:space="preserve"> </w:t>
      </w:r>
      <w:r>
        <w:t>be elided, but not in this case. If the first “ku” were elided here,</w:t>
      </w:r>
      <w:r>
        <w:rPr>
          <w:rStyle w:val="deletedparamark"/>
        </w:rPr>
        <w:t xml:space="preserve"> </w:t>
      </w:r>
      <w:r>
        <w:t>Lojban's parsing rules would see “le nanmu joi” and assume that another</w:t>
      </w:r>
      <w:r>
        <w:rPr>
          <w:rStyle w:val="deletedparamark"/>
        </w:rPr>
        <w:t xml:space="preserve"> </w:t>
      </w:r>
      <w:r>
        <w:t>tanru component is to follow; since the se</w:t>
      </w:r>
      <w:r>
        <w:t>c</w:t>
      </w:r>
      <w:r>
        <w:softHyphen/>
        <w:t>ond “le” cannot be part of a</w:t>
      </w:r>
      <w:r>
        <w:rPr>
          <w:rStyle w:val="deletedparamark"/>
        </w:rPr>
        <w:t xml:space="preserve"> </w:t>
      </w:r>
      <w:r>
        <w:t>tanru, a parsing error results. No such problem can occur with logical</w:t>
      </w:r>
      <w:r>
        <w:rPr>
          <w:rStyle w:val="deletedparamark"/>
        </w:rPr>
        <w:t xml:space="preserve"> </w:t>
      </w:r>
      <w:r>
        <w:t>connectives, because an ek signals a following sumti and a jek a fol</w:t>
      </w:r>
      <w:r>
        <w:softHyphen/>
        <w:t>lowing</w:t>
      </w:r>
      <w:r>
        <w:rPr>
          <w:rStyle w:val="deletedparamark"/>
        </w:rPr>
        <w:t xml:space="preserve"> </w:t>
      </w:r>
      <w:r>
        <w:t>tanru component unambiguously.</w:t>
      </w:r>
    </w:p>
    <w:p w:rsidR="00B72047" w:rsidRDefault="00B72047">
      <w:pPr>
        <w:rPr>
          <w:rStyle w:val="htmlparacode"/>
        </w:rPr>
      </w:pPr>
      <w:r>
        <w:rPr>
          <w:rStyle w:val="htmlparacode"/>
        </w:rPr>
        <w:t>&lt;p&gt;</w:t>
      </w:r>
    </w:p>
    <w:p w:rsidR="00B72047" w:rsidRDefault="00B72047">
      <w:pPr>
        <w:pStyle w:val="normalparagraph"/>
      </w:pPr>
      <w:r>
        <w:rPr>
          <w:rStyle w:val="indexentry"/>
        </w:rPr>
        <w:t>&lt;cx "joik, definition"&gt;</w:t>
      </w:r>
      <w:r>
        <w:rPr>
          <w:rStyle w:val="indexentry"/>
        </w:rPr>
        <w:fldChar w:fldCharType="begin"/>
      </w:r>
      <w:r>
        <w:instrText>xe "</w:instrText>
      </w:r>
      <w:r>
        <w:rPr>
          <w:rStyle w:val="xeentry"/>
        </w:rPr>
        <w:instrText>joik: definition</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t>Single or compound cmavo involving members of selma'o JOI are called joiks,</w:t>
      </w:r>
      <w:r>
        <w:rPr>
          <w:rStyle w:val="deletedparamark"/>
        </w:rPr>
        <w:t xml:space="preserve"> </w:t>
      </w:r>
      <w:r>
        <w:t>by analogy with the names for logical connectives. It is not grammatical to</w:t>
      </w:r>
      <w:r>
        <w:rPr>
          <w:rStyle w:val="deletedparamark"/>
        </w:rPr>
        <w:t xml:space="preserve"> </w:t>
      </w:r>
      <w:r>
        <w:t>use joiks to co</w:t>
      </w:r>
      <w:r>
        <w:t>n</w:t>
      </w:r>
      <w:r>
        <w:softHyphen/>
        <w:t>nect bridi-tails.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"tanru connection, connotation of non-logical"&gt;</w:t>
      </w:r>
      <w:r>
        <w:rPr>
          <w:rStyle w:val="indexentry"/>
        </w:rPr>
        <w:fldChar w:fldCharType="begin"/>
      </w:r>
      <w:r>
        <w:instrText>xe "</w:instrText>
      </w:r>
      <w:r>
        <w:rPr>
          <w:rStyle w:val="xeentry"/>
        </w:rPr>
        <w:instrText>tanru connection: connotation of non-logical</w:instrText>
      </w:r>
      <w:r>
        <w:instrText>"</w:instrText>
      </w:r>
      <w:r>
        <w:rPr>
          <w:rStyle w:val="indexentry"/>
        </w:rPr>
        <w:fldChar w:fldCharType="end"/>
      </w:r>
      <w:r>
        <w:rPr>
          <w:rStyle w:val="indexentry"/>
        </w:rPr>
        <w:t>&lt;ex "mixed with"&gt;</w:t>
      </w:r>
      <w:r>
        <w:rPr>
          <w:rStyle w:val="indexentry"/>
        </w:rPr>
        <w:fldChar w:fldCharType="begin"/>
      </w:r>
      <w:r>
        <w:instrText>xe "</w:instrText>
      </w:r>
      <w:r>
        <w:rPr>
          <w:rStyle w:val="xeentry"/>
        </w:rPr>
        <w:instrText>mixed with: example</w:instrText>
      </w:r>
      <w:r>
        <w:instrText>"</w:instrText>
      </w:r>
      <w:r>
        <w:rPr>
          <w:rStyle w:val="indexentry"/>
        </w:rPr>
        <w:fldChar w:fldCharType="end"/>
      </w:r>
      <w:r>
        <w:rPr>
          <w:rStyle w:val="indexentry"/>
        </w:rPr>
        <w:t>&lt;ex "blue and red"&gt;</w:t>
      </w:r>
      <w:r>
        <w:rPr>
          <w:rStyle w:val="indexentry"/>
        </w:rPr>
        <w:fldChar w:fldCharType="begin"/>
      </w:r>
      <w:r>
        <w:instrText>xe "</w:instrText>
      </w:r>
      <w:r>
        <w:rPr>
          <w:rStyle w:val="xeentry"/>
        </w:rPr>
        <w:instrText>blue and red: example</w:instrText>
      </w:r>
      <w:r>
        <w:instrText>"</w:instrText>
      </w:r>
      <w:r>
        <w:rPr>
          <w:rStyle w:val="indexentry"/>
        </w:rPr>
        <w:fldChar w:fldCharType="end"/>
      </w:r>
      <w:r>
        <w:t>In tanru, “joi” has the connotation “mixed with”, as in the following</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name=e14d5&gt;</w:t>
      </w:r>
      <w:r>
        <w:t>14.5)</w:t>
      </w:r>
      <w:r>
        <w:tab/>
        <w:t>ti blanu joi xunre bolci</w:t>
      </w:r>
    </w:p>
    <w:p w:rsidR="00B72047" w:rsidRDefault="00B72047">
      <w:pPr>
        <w:pStyle w:val="examplescaled"/>
      </w:pPr>
      <w:r>
        <w:tab/>
        <w:t>This is-a-(blue mixed-with red) ball.</w:t>
      </w:r>
    </w:p>
    <w:p w:rsidR="00B72047" w:rsidRDefault="00B72047">
      <w:pPr>
        <w:pStyle w:val="examplescaled"/>
      </w:pPr>
      <w:r>
        <w:tab/>
        <w:t>This is a blue and red ball.</w:t>
      </w:r>
    </w:p>
    <w:p w:rsidR="00B72047" w:rsidRDefault="00B72047">
      <w:pPr>
        <w:pStyle w:val="resumedafterexample"/>
      </w:pPr>
      <w:r>
        <w:rPr>
          <w:rStyle w:val="htmlcodes"/>
        </w:rPr>
        <w:t>&lt;/pre&gt;&lt;p&gt;</w:t>
      </w:r>
      <w:r>
        <w:t>Here the ball is neither wholly blue nor wholly red, but partly blue and</w:t>
      </w:r>
      <w:r>
        <w:rPr>
          <w:rStyle w:val="deletedparamark"/>
        </w:rPr>
        <w:t xml:space="preserve"> </w:t>
      </w:r>
      <w:r>
        <w:t>partly red. Its blue/redness is a mass property. (Just how blue something</w:t>
      </w:r>
      <w:r>
        <w:rPr>
          <w:rStyle w:val="deletedparamark"/>
        </w:rPr>
        <w:t xml:space="preserve"> </w:t>
      </w:r>
      <w:r>
        <w:t>has to be to count as “wholly blue” is an unsettled question, though.</w:t>
      </w:r>
      <w:r>
        <w:rPr>
          <w:rStyle w:val="deletedparamark"/>
        </w:rPr>
        <w:t xml:space="preserve"> </w:t>
      </w:r>
      <w:r>
        <w:t>A “blanu zdani” may be so even though not every part of it is blue.)</w:t>
      </w:r>
    </w:p>
    <w:p w:rsidR="00B72047" w:rsidRDefault="00B72047">
      <w:pPr>
        <w:rPr>
          <w:rStyle w:val="htmlparacode"/>
        </w:rPr>
      </w:pPr>
      <w:r>
        <w:rPr>
          <w:rStyle w:val="htmlparacode"/>
        </w:rPr>
        <w:t>&lt;p&gt;</w:t>
      </w:r>
    </w:p>
    <w:p w:rsidR="00B72047" w:rsidRDefault="00B72047">
      <w:pPr>
        <w:pStyle w:val="normalparagraph"/>
      </w:pPr>
      <w:r>
        <w:t>There are several other cmavo in selma'o JOI which can be used in the</w:t>
      </w:r>
      <w:r>
        <w:rPr>
          <w:rStyle w:val="deletedparamark"/>
        </w:rPr>
        <w:t xml:space="preserve"> </w:t>
      </w:r>
      <w:r>
        <w:t>same gra</w:t>
      </w:r>
      <w:r>
        <w:t>m</w:t>
      </w:r>
      <w:r>
        <w:softHyphen/>
        <w:t>matical constructions. Not all of them are well-defined as</w:t>
      </w:r>
      <w:r>
        <w:rPr>
          <w:rStyle w:val="deletedparamark"/>
        </w:rPr>
        <w:t xml:space="preserve"> </w:t>
      </w:r>
      <w:r>
        <w:t>yet in all contexts. All have clear definitions as sumti connectives;</w:t>
      </w:r>
      <w:r>
        <w:rPr>
          <w:rStyle w:val="deletedparamark"/>
        </w:rPr>
        <w:t xml:space="preserve"> </w:t>
      </w:r>
      <w:r>
        <w:t>those definitions are shown in the following table:</w:t>
      </w:r>
    </w:p>
    <w:p w:rsidR="00B72047" w:rsidRDefault="00B72047">
      <w:pPr>
        <w:rPr>
          <w:rStyle w:val="htmlparacode"/>
        </w:rPr>
      </w:pPr>
      <w:r>
        <w:rPr>
          <w:rStyle w:val="htmlparacode"/>
        </w:rPr>
        <w:t>&lt;p&gt;</w:t>
      </w:r>
    </w:p>
    <w:p w:rsidR="00B72047" w:rsidRDefault="00B72047">
      <w:pPr>
        <w:pStyle w:val="examplewtabspre"/>
      </w:pP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w:instrText>
      </w:r>
      <w:r>
        <w:instrText>"</w:instrText>
      </w:r>
      <w:r>
        <w:rPr>
          <w:rStyle w:val="indexentry"/>
        </w:rPr>
        <w:fldChar w:fldCharType="end"/>
      </w:r>
      <w:r>
        <w:rPr>
          <w:rStyle w:val="indexentry"/>
        </w:rPr>
        <w:t>&lt;lx "ce"&gt;</w:t>
      </w:r>
      <w:r>
        <w:rPr>
          <w:rStyle w:val="indexentry"/>
        </w:rPr>
        <w:fldChar w:fldCharType="begin"/>
      </w:r>
      <w:r>
        <w:instrText>xe "</w:instrText>
      </w:r>
      <w:r>
        <w:rPr>
          <w:rStyle w:val="xeentry"/>
        </w:rPr>
        <w:instrText>ce</w:instrText>
      </w:r>
      <w:r>
        <w:instrText>"</w:instrText>
      </w:r>
      <w:r>
        <w:rPr>
          <w:rStyle w:val="indexentry"/>
        </w:rPr>
        <w:fldChar w:fldCharType="end"/>
      </w:r>
      <w:r>
        <w:rPr>
          <w:rStyle w:val="indexentry"/>
        </w:rPr>
        <w:t>&lt;lx "ce'o"&gt;</w:t>
      </w:r>
      <w:r>
        <w:rPr>
          <w:rStyle w:val="indexentry"/>
        </w:rPr>
        <w:fldChar w:fldCharType="begin"/>
      </w:r>
      <w:r>
        <w:instrText>xe "</w:instrText>
      </w:r>
      <w:r>
        <w:rPr>
          <w:rStyle w:val="xeentry"/>
        </w:rPr>
        <w:instrText>ce'o</w:instrText>
      </w:r>
      <w:r>
        <w:instrText>"</w:instrText>
      </w:r>
      <w:r>
        <w:rPr>
          <w:rStyle w:val="indexentry"/>
        </w:rPr>
        <w:fldChar w:fldCharType="end"/>
      </w:r>
      <w:r>
        <w:rPr>
          <w:rStyle w:val="indexentry"/>
        </w:rPr>
        <w:t>&lt;lx "sece'o"&gt;</w:t>
      </w:r>
      <w:r>
        <w:rPr>
          <w:rStyle w:val="indexentry"/>
        </w:rPr>
        <w:fldChar w:fldCharType="begin"/>
      </w:r>
      <w:r>
        <w:instrText>xe "</w:instrText>
      </w:r>
      <w:r>
        <w:rPr>
          <w:rStyle w:val="xeentry"/>
        </w:rPr>
        <w:instrText>sece'o</w:instrText>
      </w:r>
      <w:r>
        <w:instrText>"</w:instrText>
      </w:r>
      <w:r>
        <w:rPr>
          <w:rStyle w:val="indexentry"/>
        </w:rPr>
        <w:fldChar w:fldCharType="end"/>
      </w:r>
      <w:r>
        <w:rPr>
          <w:rStyle w:val="indexentry"/>
        </w:rPr>
        <w:t>&lt;lx "jo'u"&gt;</w:t>
      </w:r>
      <w:r>
        <w:rPr>
          <w:rStyle w:val="indexentry"/>
        </w:rPr>
        <w:fldChar w:fldCharType="begin"/>
      </w:r>
      <w:r>
        <w:instrText>xe "</w:instrText>
      </w:r>
      <w:r>
        <w:rPr>
          <w:rStyle w:val="xeentry"/>
        </w:rPr>
        <w:instrText>jo'u</w:instrText>
      </w:r>
      <w:r>
        <w:instrText>"</w:instrText>
      </w:r>
      <w:r>
        <w:rPr>
          <w:rStyle w:val="indexentry"/>
        </w:rPr>
        <w:fldChar w:fldCharType="end"/>
      </w:r>
      <w:r>
        <w:rPr>
          <w:rStyle w:val="indexentry"/>
        </w:rPr>
        <w:t>&lt;lx "fa'u"&gt;</w:t>
      </w:r>
      <w:r>
        <w:rPr>
          <w:rStyle w:val="indexentry"/>
        </w:rPr>
        <w:fldChar w:fldCharType="begin"/>
      </w:r>
      <w:r>
        <w:instrText>xe "</w:instrText>
      </w:r>
      <w:r>
        <w:rPr>
          <w:rStyle w:val="xeentry"/>
        </w:rPr>
        <w:instrText>fa'u</w:instrText>
      </w:r>
      <w:r>
        <w:instrText>"</w:instrText>
      </w:r>
      <w:r>
        <w:rPr>
          <w:rStyle w:val="indexentry"/>
        </w:rPr>
        <w:fldChar w:fldCharType="end"/>
      </w:r>
      <w:r>
        <w:rPr>
          <w:rStyle w:val="indexentry"/>
        </w:rPr>
        <w:t>&lt;lx "sefa'u"&gt;</w:t>
      </w:r>
      <w:r>
        <w:rPr>
          <w:rStyle w:val="indexentry"/>
        </w:rPr>
        <w:fldChar w:fldCharType="begin"/>
      </w:r>
      <w:r>
        <w:instrText>xe "</w:instrText>
      </w:r>
      <w:r>
        <w:rPr>
          <w:rStyle w:val="xeentry"/>
        </w:rPr>
        <w:instrText>sefa'u</w:instrText>
      </w:r>
      <w:r>
        <w:instrText>"</w:instrText>
      </w:r>
      <w:r>
        <w:rPr>
          <w:rStyle w:val="indexentry"/>
        </w:rPr>
        <w:fldChar w:fldCharType="end"/>
      </w:r>
      <w:r>
        <w:rPr>
          <w:rStyle w:val="indexentry"/>
        </w:rPr>
        <w:t>&lt;lx "jo'e"&gt;</w:t>
      </w:r>
      <w:r>
        <w:rPr>
          <w:rStyle w:val="indexentry"/>
        </w:rPr>
        <w:fldChar w:fldCharType="begin"/>
      </w:r>
      <w:r>
        <w:instrText>xe "</w:instrText>
      </w:r>
      <w:r>
        <w:rPr>
          <w:rStyle w:val="xeentry"/>
        </w:rPr>
        <w:instrText>jo'e</w:instrText>
      </w:r>
      <w:r>
        <w:instrText>"</w:instrText>
      </w:r>
      <w:r>
        <w:rPr>
          <w:rStyle w:val="indexentry"/>
        </w:rPr>
        <w:fldChar w:fldCharType="end"/>
      </w:r>
      <w:r>
        <w:rPr>
          <w:rStyle w:val="indexentry"/>
        </w:rPr>
        <w:t>&lt;lx "ku'a"&gt;</w:t>
      </w:r>
      <w:r>
        <w:rPr>
          <w:rStyle w:val="indexentry"/>
        </w:rPr>
        <w:fldChar w:fldCharType="begin"/>
      </w:r>
      <w:r>
        <w:instrText>xe "</w:instrText>
      </w:r>
      <w:r>
        <w:rPr>
          <w:rStyle w:val="xeentry"/>
        </w:rPr>
        <w:instrText>ku'a</w:instrText>
      </w:r>
      <w:r>
        <w:instrText>"</w:instrText>
      </w:r>
      <w:r>
        <w:rPr>
          <w:rStyle w:val="indexentry"/>
        </w:rPr>
        <w:fldChar w:fldCharType="end"/>
      </w:r>
      <w:r>
        <w:rPr>
          <w:rStyle w:val="indexentry"/>
        </w:rPr>
        <w:t>&lt;lx "pi'u"&gt;</w:t>
      </w:r>
      <w:r>
        <w:rPr>
          <w:rStyle w:val="indexentry"/>
        </w:rPr>
        <w:fldChar w:fldCharType="begin"/>
      </w:r>
      <w:r>
        <w:instrText>xe "</w:instrText>
      </w:r>
      <w:r>
        <w:rPr>
          <w:rStyle w:val="xeentry"/>
        </w:rPr>
        <w:instrText>pi'u</w:instrText>
      </w:r>
      <w:r>
        <w:instrText>"</w:instrText>
      </w:r>
      <w:r>
        <w:rPr>
          <w:rStyle w:val="indexentry"/>
        </w:rPr>
        <w:fldChar w:fldCharType="end"/>
      </w:r>
      <w:r>
        <w:rPr>
          <w:rStyle w:val="indexentry"/>
        </w:rPr>
        <w:t>&lt;lx "sepi'u"&gt;</w:t>
      </w:r>
      <w:r>
        <w:rPr>
          <w:rStyle w:val="indexentry"/>
        </w:rPr>
        <w:fldChar w:fldCharType="begin"/>
      </w:r>
      <w:r>
        <w:instrText>xe "</w:instrText>
      </w:r>
      <w:r>
        <w:rPr>
          <w:rStyle w:val="xeentry"/>
        </w:rPr>
        <w:instrText>sepi'u</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htmlcodes"/>
        </w:rPr>
        <w:t>&lt;pre&gt;</w:t>
      </w:r>
      <w:r>
        <w:t xml:space="preserve"> </w:t>
      </w:r>
      <w:r>
        <w:tab/>
        <w:t>A joi B</w:t>
      </w:r>
      <w:r>
        <w:tab/>
        <w:t>the mass with components A and B</w:t>
      </w:r>
    </w:p>
    <w:p w:rsidR="00B72047" w:rsidRDefault="00B72047">
      <w:pPr>
        <w:pStyle w:val="exampwidetabs"/>
      </w:pPr>
      <w:r>
        <w:tab/>
        <w:t>A ce B</w:t>
      </w:r>
      <w:r>
        <w:tab/>
        <w:t>the set with elements A and B</w:t>
      </w:r>
    </w:p>
    <w:p w:rsidR="00B72047" w:rsidRDefault="00B72047">
      <w:pPr>
        <w:pStyle w:val="exampwidetabs"/>
      </w:pPr>
      <w:r>
        <w:tab/>
        <w:t>A ce'o B</w:t>
      </w:r>
      <w:r>
        <w:tab/>
        <w:t>the sequence with elements A and B in order</w:t>
      </w:r>
    </w:p>
    <w:p w:rsidR="00B72047" w:rsidRDefault="00B72047">
      <w:pPr>
        <w:pStyle w:val="exampwidetabs"/>
      </w:pPr>
      <w:r>
        <w:tab/>
        <w:t>A sece'o B</w:t>
      </w:r>
      <w:r>
        <w:tab/>
        <w:t>the sequence with elements B and A in order</w:t>
      </w:r>
    </w:p>
    <w:p w:rsidR="00B72047" w:rsidRDefault="00B72047">
      <w:pPr>
        <w:pStyle w:val="exampwidetabs"/>
      </w:pPr>
      <w:r>
        <w:tab/>
        <w:t>A jo'u B</w:t>
      </w:r>
      <w:r>
        <w:tab/>
        <w:t>A and B considered jointly</w:t>
      </w:r>
    </w:p>
    <w:p w:rsidR="00B72047" w:rsidRDefault="00B72047">
      <w:pPr>
        <w:pStyle w:val="exampwidetabs"/>
      </w:pPr>
      <w:r>
        <w:tab/>
        <w:t>A fa'u B</w:t>
      </w:r>
      <w:r>
        <w:tab/>
        <w:t>A and B respectively</w:t>
      </w:r>
    </w:p>
    <w:p w:rsidR="00B72047" w:rsidRDefault="00B72047">
      <w:pPr>
        <w:pStyle w:val="exampwidetabs"/>
      </w:pPr>
      <w:r>
        <w:tab/>
        <w:t>A sefa'u B</w:t>
      </w:r>
      <w:r>
        <w:tab/>
        <w:t>B and A respectively</w:t>
      </w:r>
    </w:p>
    <w:p w:rsidR="00B72047" w:rsidRDefault="00B72047">
      <w:pPr>
        <w:pStyle w:val="exampwidetabs"/>
      </w:pPr>
      <w:r>
        <w:tab/>
        <w:t>A jo'e B</w:t>
      </w:r>
      <w:r>
        <w:tab/>
        <w:t>the union of sets A and B</w:t>
      </w:r>
    </w:p>
    <w:p w:rsidR="00B72047" w:rsidRDefault="00B72047">
      <w:pPr>
        <w:pStyle w:val="exampwidetabs"/>
      </w:pPr>
      <w:r>
        <w:tab/>
        <w:t>A ku'a B</w:t>
      </w:r>
      <w:r>
        <w:tab/>
        <w:t>the intersection of sets A and B</w:t>
      </w:r>
    </w:p>
    <w:p w:rsidR="00B72047" w:rsidRDefault="00B72047">
      <w:pPr>
        <w:pStyle w:val="exampwidetabs"/>
      </w:pPr>
      <w:r>
        <w:tab/>
        <w:t>A pi'u B</w:t>
      </w:r>
      <w:r>
        <w:tab/>
        <w:t>the cross product of sets A and B</w:t>
      </w:r>
    </w:p>
    <w:p w:rsidR="00B72047" w:rsidRDefault="00B72047">
      <w:pPr>
        <w:pStyle w:val="exampwidetabs"/>
      </w:pPr>
      <w:r>
        <w:tab/>
        <w:t>A sepi'u B</w:t>
      </w:r>
      <w:r>
        <w:tab/>
        <w:t>the cross product of sets B and A</w:t>
      </w:r>
    </w:p>
    <w:p w:rsidR="00B72047" w:rsidRDefault="00B72047">
      <w:pPr>
        <w:pStyle w:val="normalafterexample"/>
      </w:pPr>
      <w:r>
        <w:rPr>
          <w:rStyle w:val="htmlcodes"/>
        </w:rPr>
        <w:t>&lt;/pre&gt;</w:t>
      </w:r>
      <w:r>
        <w:rPr>
          <w:rStyle w:val="indexentry"/>
        </w:rPr>
        <w:t>&lt;cx "se, as grammatical in JOI compounds"&gt;</w:t>
      </w:r>
      <w:r>
        <w:rPr>
          <w:rStyle w:val="indexentry"/>
        </w:rPr>
        <w:fldChar w:fldCharType="begin"/>
      </w:r>
      <w:r>
        <w:instrText>xe "</w:instrText>
      </w:r>
      <w:r>
        <w:rPr>
          <w:rStyle w:val="xeentry"/>
        </w:rPr>
        <w:instrText>se: as grammatical in JOI compounds</w:instrText>
      </w:r>
      <w:r>
        <w:instrText>"</w:instrText>
      </w:r>
      <w:r>
        <w:rPr>
          <w:rStyle w:val="indexentry"/>
        </w:rPr>
        <w:fldChar w:fldCharType="end"/>
      </w:r>
      <w:r>
        <w:rPr>
          <w:rStyle w:val="indexentry"/>
        </w:rPr>
        <w:t>&lt;cx "joiks, use of “se” in"&gt;</w:t>
      </w:r>
      <w:r>
        <w:rPr>
          <w:rStyle w:val="indexentry"/>
        </w:rPr>
        <w:fldChar w:fldCharType="begin"/>
      </w:r>
      <w:r>
        <w:instrText>xe "</w:instrText>
      </w:r>
      <w:r>
        <w:rPr>
          <w:rStyle w:val="xeentry"/>
        </w:rPr>
        <w:instrText>joiks: use of se in</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t>The cmavo “se” is grammatical before any JOI cmavo, but only useful with those</w:t>
      </w:r>
      <w:r>
        <w:rPr>
          <w:rStyle w:val="deletedparamark"/>
        </w:rPr>
        <w:t xml:space="preserve"> </w:t>
      </w:r>
      <w:r>
        <w:t>that have inherent order. Here are some examples of joiks:</w:t>
      </w:r>
    </w:p>
    <w:p w:rsidR="00B72047" w:rsidRDefault="00B72047">
      <w:pPr>
        <w:rPr>
          <w:rStyle w:val="htmlparacode"/>
        </w:rPr>
      </w:pPr>
      <w:r>
        <w:rPr>
          <w:rStyle w:val="htmlparacode"/>
        </w:rPr>
        <w:t>&lt;p&gt;</w:t>
      </w:r>
    </w:p>
    <w:p w:rsidR="00B72047" w:rsidRDefault="00B72047">
      <w:pPr>
        <w:pStyle w:val="examplescaledpre"/>
      </w:pPr>
      <w:r>
        <w:rPr>
          <w:rStyle w:val="indexentry"/>
        </w:rPr>
        <w:t>&lt;ex "choose from"&gt;</w:t>
      </w:r>
      <w:r>
        <w:rPr>
          <w:rStyle w:val="indexentry"/>
        </w:rPr>
        <w:fldChar w:fldCharType="begin"/>
      </w:r>
      <w:r>
        <w:instrText>xe "</w:instrText>
      </w:r>
      <w:r>
        <w:rPr>
          <w:rStyle w:val="xeentry"/>
        </w:rPr>
        <w:instrText>choose from: example</w:instrText>
      </w:r>
      <w:r>
        <w:instrText>"</w:instrText>
      </w:r>
      <w:r>
        <w:rPr>
          <w:rStyle w:val="indexentry"/>
        </w:rPr>
        <w:fldChar w:fldCharType="end"/>
      </w:r>
      <w:r>
        <w:rPr>
          <w:rStyle w:val="htmlcodes"/>
        </w:rPr>
        <w:t>&lt;pre&gt;&lt;a name=e14d6&gt;</w:t>
      </w:r>
      <w:r>
        <w:t>14.6)</w:t>
      </w:r>
      <w:r>
        <w:tab/>
        <w:t>mi cuxna la .alis. la frank. ce la .alis. ce la djeimyz.</w:t>
      </w:r>
    </w:p>
    <w:p w:rsidR="00B72047" w:rsidRDefault="00B72047">
      <w:pPr>
        <w:pStyle w:val="examplescaled"/>
      </w:pPr>
      <w:r>
        <w:tab/>
        <w:t>I choose Alice from Frank and-member Alice and-member James.</w:t>
      </w:r>
    </w:p>
    <w:p w:rsidR="00B72047" w:rsidRDefault="00B72047">
      <w:pPr>
        <w:pStyle w:val="examplescaled"/>
      </w:pPr>
      <w:r>
        <w:tab/>
        <w:t>I choose Alice from among Frank, Alice, and James.</w:t>
      </w:r>
    </w:p>
    <w:p w:rsidR="00B72047" w:rsidRDefault="00B72047">
      <w:pPr>
        <w:pStyle w:val="resumedafterexample"/>
      </w:pPr>
      <w:r>
        <w:rPr>
          <w:rStyle w:val="htmlcodes"/>
        </w:rPr>
        <w:t>&lt;/pre&gt;</w:t>
      </w:r>
      <w:r>
        <w:rPr>
          <w:rStyle w:val="indexentry"/>
        </w:rPr>
        <w:t>&lt;cx "set, as specified by members"&gt;</w:t>
      </w:r>
      <w:r>
        <w:rPr>
          <w:rStyle w:val="indexentry"/>
        </w:rPr>
        <w:fldChar w:fldCharType="begin"/>
      </w:r>
      <w:r>
        <w:instrText>xe "</w:instrText>
      </w:r>
      <w:r>
        <w:rPr>
          <w:rStyle w:val="xeentry"/>
        </w:rPr>
        <w:instrText>set: as specified by members</w:instrText>
      </w:r>
      <w:r>
        <w:instrText>"</w:instrText>
      </w:r>
      <w:r>
        <w:rPr>
          <w:rStyle w:val="indexentry"/>
        </w:rPr>
        <w:fldChar w:fldCharType="end"/>
      </w:r>
      <w:r>
        <w:rPr>
          <w:rStyle w:val="indexentry"/>
        </w:rPr>
        <w:t>&lt;cx "set, contrasted with mass in distribution of properties"&gt;</w:t>
      </w:r>
      <w:r>
        <w:rPr>
          <w:rStyle w:val="indexentry"/>
        </w:rPr>
        <w:fldChar w:fldCharType="begin"/>
      </w:r>
      <w:r>
        <w:instrText>xe "</w:instrText>
      </w:r>
      <w:r>
        <w:rPr>
          <w:rStyle w:val="xeentry"/>
        </w:rPr>
        <w:instrText>set: contrasted with mass in distribution of properties</w:instrText>
      </w:r>
      <w:r>
        <w:instrText>"</w:instrText>
      </w:r>
      <w:r>
        <w:rPr>
          <w:rStyle w:val="indexentry"/>
        </w:rPr>
        <w:fldChar w:fldCharType="end"/>
      </w:r>
      <w:r>
        <w:rPr>
          <w:rStyle w:val="indexentry"/>
        </w:rPr>
        <w:t>&lt;cx "mass, contrasted with set in distribution of properties"&gt;</w:t>
      </w:r>
      <w:r>
        <w:rPr>
          <w:rStyle w:val="indexentry"/>
        </w:rPr>
        <w:fldChar w:fldCharType="begin"/>
      </w:r>
      <w:r>
        <w:instrText>xe "</w:instrText>
      </w:r>
      <w:r>
        <w:rPr>
          <w:rStyle w:val="xeentry"/>
        </w:rPr>
        <w:instrText>mass: contrasted with set in distribution of properties</w:instrText>
      </w:r>
      <w:r>
        <w:instrText>"</w:instrText>
      </w:r>
      <w:r>
        <w:rPr>
          <w:rStyle w:val="indexentry"/>
        </w:rPr>
        <w:fldChar w:fldCharType="end"/>
      </w:r>
      <w:r>
        <w:t>The x3 place of “cuxna” is a set from which the choice is being made.</w:t>
      </w:r>
      <w:r>
        <w:rPr>
          <w:rStyle w:val="deletedparamark"/>
        </w:rPr>
        <w:t xml:space="preserve"> </w:t>
      </w:r>
      <w:r>
        <w:t>A set is an ab</w:t>
      </w:r>
      <w:r>
        <w:softHyphen/>
        <w:t>stract object which is determined by specifying its</w:t>
      </w:r>
      <w:r>
        <w:rPr>
          <w:rStyle w:val="deletedparamark"/>
        </w:rPr>
        <w:t xml:space="preserve"> </w:t>
      </w:r>
      <w:r>
        <w:t>members. Unlike those of a mass, the pro</w:t>
      </w:r>
      <w:r>
        <w:t>p</w:t>
      </w:r>
      <w:r>
        <w:softHyphen/>
        <w:t>erties of a set are unrelated</w:t>
      </w:r>
      <w:r>
        <w:rPr>
          <w:rStyle w:val="deletedparamark"/>
        </w:rPr>
        <w:t xml:space="preserve"> </w:t>
      </w:r>
      <w:r>
        <w:t>to its members' properties: the set of all rats is large (since many rats</w:t>
      </w:r>
      <w:r>
        <w:rPr>
          <w:rStyle w:val="deletedparamark"/>
        </w:rPr>
        <w:t xml:space="preserve"> </w:t>
      </w:r>
      <w:r>
        <w:t>exist), but the rats themselves are small. This chapter does not attempt</w:t>
      </w:r>
      <w:r>
        <w:rPr>
          <w:rStyle w:val="deletedparamark"/>
        </w:rPr>
        <w:t xml:space="preserve"> </w:t>
      </w:r>
      <w:r>
        <w:t>to e</w:t>
      </w:r>
      <w:r>
        <w:t>x</w:t>
      </w:r>
      <w:r>
        <w:softHyphen/>
        <w:t>plain set theory (the mathematical study of sets) in detail: explaining</w:t>
      </w:r>
      <w:r>
        <w:rPr>
          <w:rStyle w:val="deletedparamark"/>
        </w:rPr>
        <w:t xml:space="preserve"> </w:t>
      </w:r>
      <w:r>
        <w:t>propositional logic is quite enough for one chapter!</w:t>
      </w:r>
    </w:p>
    <w:p w:rsidR="00B72047" w:rsidRDefault="00B72047">
      <w:pPr>
        <w:rPr>
          <w:rStyle w:val="htmlparacode"/>
        </w:rPr>
      </w:pPr>
      <w:r>
        <w:rPr>
          <w:rStyle w:val="htmlparacode"/>
        </w:rPr>
        <w:t>&lt;p&gt;</w:t>
      </w:r>
    </w:p>
    <w:p w:rsidR="00B72047" w:rsidRDefault="00B72047">
      <w:pPr>
        <w:pStyle w:val="normalparagraph"/>
      </w:pPr>
      <w:r>
        <w:rPr>
          <w:rStyle w:val="indexentry"/>
        </w:rPr>
        <w:t>&lt;lx "ce"&gt;</w:t>
      </w:r>
      <w:r>
        <w:rPr>
          <w:rStyle w:val="indexentry"/>
        </w:rPr>
        <w:fldChar w:fldCharType="begin"/>
      </w:r>
      <w:r>
        <w:instrText>xe "</w:instrText>
      </w:r>
      <w:r>
        <w:rPr>
          <w:rStyle w:val="xeentry"/>
        </w:rPr>
        <w:instrText>ce</w:instrText>
      </w:r>
      <w:r>
        <w:instrText>"</w:instrText>
      </w:r>
      <w:r>
        <w:rPr>
          <w:rStyle w:val="indexentry"/>
        </w:rPr>
        <w:fldChar w:fldCharType="end"/>
      </w:r>
      <w:r>
        <w:rPr>
          <w:rStyle w:val="indexentry"/>
        </w:rPr>
        <w:t>&lt;cx "set, by listing members with ce"&gt;</w:t>
      </w:r>
      <w:r>
        <w:rPr>
          <w:rStyle w:val="indexentry"/>
        </w:rPr>
        <w:fldChar w:fldCharType="begin"/>
      </w:r>
      <w:r>
        <w:instrText>xe "</w:instrText>
      </w:r>
      <w:r>
        <w:rPr>
          <w:rStyle w:val="xeentry"/>
        </w:rPr>
        <w:instrText>set: by listing members with ce</w:instrText>
      </w:r>
      <w:r>
        <w:instrText>"</w:instrText>
      </w:r>
      <w:r>
        <w:rPr>
          <w:rStyle w:val="indexentry"/>
        </w:rPr>
        <w:fldChar w:fldCharType="end"/>
      </w:r>
      <w:r>
        <w:t xml:space="preserve">In </w:t>
      </w:r>
      <w:r>
        <w:rPr>
          <w:rStyle w:val="htmlcodes"/>
        </w:rPr>
        <w:t>&lt;a href=#e14d6&gt;</w:t>
      </w:r>
      <w:r>
        <w:t xml:space="preserve">Example 14.6 </w:t>
      </w:r>
      <w:r>
        <w:rPr>
          <w:rStyle w:val="htmlcodes"/>
        </w:rPr>
        <w:t>&lt;/a&gt;</w:t>
      </w:r>
      <w:r>
        <w:t>we specify that set by listing the members with “ce”</w:t>
      </w:r>
      <w:r>
        <w:rPr>
          <w:rStyle w:val="deletedparamark"/>
        </w:rPr>
        <w:t xml:space="preserve"> </w:t>
      </w:r>
      <w:r>
        <w:t>joining them.</w:t>
      </w:r>
    </w:p>
    <w:p w:rsidR="00B72047" w:rsidRDefault="00B72047">
      <w:pPr>
        <w:rPr>
          <w:rStyle w:val="htmlparacode"/>
        </w:rPr>
      </w:pPr>
      <w:r>
        <w:rPr>
          <w:rStyle w:val="htmlparacode"/>
        </w:rPr>
        <w:t>&lt;p&gt;</w:t>
      </w:r>
    </w:p>
    <w:p w:rsidR="00B72047" w:rsidRDefault="00B72047">
      <w:pPr>
        <w:pStyle w:val="examplescaledpre"/>
      </w:pPr>
      <w:r>
        <w:rPr>
          <w:rStyle w:val="indexentry"/>
        </w:rPr>
        <w:t>&lt;ex "list"&gt;</w:t>
      </w:r>
      <w:r>
        <w:rPr>
          <w:rStyle w:val="indexentry"/>
        </w:rPr>
        <w:fldChar w:fldCharType="begin"/>
      </w:r>
      <w:r>
        <w:instrText>xe "</w:instrText>
      </w:r>
      <w:r>
        <w:rPr>
          <w:rStyle w:val="xeentry"/>
        </w:rPr>
        <w:instrText>list: example</w:instrText>
      </w:r>
      <w:r>
        <w:instrText>"</w:instrText>
      </w:r>
      <w:r>
        <w:rPr>
          <w:rStyle w:val="indexentry"/>
        </w:rPr>
        <w:fldChar w:fldCharType="end"/>
      </w:r>
      <w:r>
        <w:rPr>
          <w:rStyle w:val="htmlcodes"/>
        </w:rPr>
        <w:t>&lt;pre&gt;&lt;a name=e14d7&gt;</w:t>
      </w:r>
      <w:r>
        <w:t>14.7)</w:t>
      </w:r>
      <w:r>
        <w:tab/>
        <w:t>ti liste mi ce'o do ce'o la djan.</w:t>
      </w:r>
    </w:p>
    <w:p w:rsidR="00B72047" w:rsidRDefault="00B72047">
      <w:pPr>
        <w:pStyle w:val="examplescaled"/>
      </w:pPr>
      <w:r>
        <w:tab/>
        <w:t>This is-a-list-of me and-sequence you and-sequence John.</w:t>
      </w:r>
    </w:p>
    <w:p w:rsidR="00B72047" w:rsidRDefault="00B72047">
      <w:pPr>
        <w:pStyle w:val="examplescaled"/>
      </w:pPr>
      <w:r>
        <w:tab/>
        <w:t>This is a list of you, me, and John.</w:t>
      </w:r>
    </w:p>
    <w:p w:rsidR="00B72047" w:rsidRDefault="00B72047">
      <w:pPr>
        <w:pStyle w:val="resumedafterexample"/>
      </w:pPr>
      <w:r>
        <w:rPr>
          <w:rStyle w:val="htmlcodes"/>
        </w:rPr>
        <w:t>&lt;/pre&gt;</w:t>
      </w:r>
      <w:r>
        <w:rPr>
          <w:rStyle w:val="indexentry"/>
        </w:rPr>
        <w:t>&lt;cx "list, contrasted with sequence"&gt;</w:t>
      </w:r>
      <w:r>
        <w:rPr>
          <w:rStyle w:val="indexentry"/>
        </w:rPr>
        <w:fldChar w:fldCharType="begin"/>
      </w:r>
      <w:r>
        <w:instrText>xe "</w:instrText>
      </w:r>
      <w:r>
        <w:rPr>
          <w:rStyle w:val="xeentry"/>
        </w:rPr>
        <w:instrText>list: contrasted with sequence</w:instrText>
      </w:r>
      <w:r>
        <w:instrText>"</w:instrText>
      </w:r>
      <w:r>
        <w:rPr>
          <w:rStyle w:val="indexentry"/>
        </w:rPr>
        <w:fldChar w:fldCharType="end"/>
      </w:r>
      <w:r>
        <w:rPr>
          <w:rStyle w:val="indexentry"/>
        </w:rPr>
        <w:t>&lt;cx "sequence, contrasted with list"&gt;</w:t>
      </w:r>
      <w:r>
        <w:rPr>
          <w:rStyle w:val="indexentry"/>
        </w:rPr>
        <w:fldChar w:fldCharType="begin"/>
      </w:r>
      <w:r>
        <w:instrText>xe "</w:instrText>
      </w:r>
      <w:r>
        <w:rPr>
          <w:rStyle w:val="xeentry"/>
        </w:rPr>
        <w:instrText>sequence: contrasted with list</w:instrText>
      </w:r>
      <w:r>
        <w:instrText>"</w:instrText>
      </w:r>
      <w:r>
        <w:rPr>
          <w:rStyle w:val="indexentry"/>
        </w:rPr>
        <w:fldChar w:fldCharType="end"/>
      </w:r>
      <w:r>
        <w:rPr>
          <w:rStyle w:val="indexentry"/>
        </w:rPr>
        <w:t>&lt;cx "list, as a physical object"&gt;</w:t>
      </w:r>
      <w:r>
        <w:rPr>
          <w:rStyle w:val="indexentry"/>
        </w:rPr>
        <w:fldChar w:fldCharType="begin"/>
      </w:r>
      <w:r>
        <w:instrText>xe "</w:instrText>
      </w:r>
      <w:r>
        <w:rPr>
          <w:rStyle w:val="xeentry"/>
        </w:rPr>
        <w:instrText>list: as a physical object</w:instrText>
      </w:r>
      <w:r>
        <w:instrText>"</w:instrText>
      </w:r>
      <w:r>
        <w:rPr>
          <w:rStyle w:val="indexentry"/>
        </w:rPr>
        <w:fldChar w:fldCharType="end"/>
      </w:r>
      <w:r>
        <w:rPr>
          <w:rStyle w:val="indexentry"/>
        </w:rPr>
        <w:t>&lt;cx "sequence, as an abstract list"&gt;</w:t>
      </w:r>
      <w:r>
        <w:rPr>
          <w:rStyle w:val="indexentry"/>
        </w:rPr>
        <w:fldChar w:fldCharType="begin"/>
      </w:r>
      <w:r>
        <w:instrText>xe "</w:instrText>
      </w:r>
      <w:r>
        <w:rPr>
          <w:rStyle w:val="xeentry"/>
        </w:rPr>
        <w:instrText>sequence: as an abstract list</w:instrText>
      </w:r>
      <w:r>
        <w:instrText>"</w:instrText>
      </w:r>
      <w:r>
        <w:rPr>
          <w:rStyle w:val="indexentry"/>
        </w:rPr>
        <w:fldChar w:fldCharType="end"/>
      </w:r>
      <w:r>
        <w:rPr>
          <w:rStyle w:val="indexentry"/>
        </w:rPr>
        <w:t>&lt;cx "ordered sequence, by listing members"&gt;</w:t>
      </w:r>
      <w:r>
        <w:rPr>
          <w:rStyle w:val="indexentry"/>
        </w:rPr>
        <w:fldChar w:fldCharType="begin"/>
      </w:r>
      <w:r>
        <w:instrText>xe "</w:instrText>
      </w:r>
      <w:r>
        <w:rPr>
          <w:rStyle w:val="xeentry"/>
        </w:rPr>
        <w:instrText>ordered sequence: by listing members</w:instrText>
      </w:r>
      <w:r>
        <w:instrText>"</w:instrText>
      </w:r>
      <w:r>
        <w:rPr>
          <w:rStyle w:val="indexentry"/>
        </w:rPr>
        <w:fldChar w:fldCharType="end"/>
      </w:r>
      <w:r>
        <w:rPr>
          <w:rStyle w:val="indexentry"/>
        </w:rPr>
        <w:t>&lt;cx "ordered sequence, contrasted with set"&gt;</w:t>
      </w:r>
      <w:r>
        <w:rPr>
          <w:rStyle w:val="indexentry"/>
        </w:rPr>
        <w:fldChar w:fldCharType="begin"/>
      </w:r>
      <w:r>
        <w:instrText>xe "</w:instrText>
      </w:r>
      <w:r>
        <w:rPr>
          <w:rStyle w:val="xeentry"/>
        </w:rPr>
        <w:instrText>ordered sequence: contrasted with set</w:instrText>
      </w:r>
      <w:r>
        <w:instrText>"</w:instrText>
      </w:r>
      <w:r>
        <w:rPr>
          <w:rStyle w:val="indexentry"/>
        </w:rPr>
        <w:fldChar w:fldCharType="end"/>
      </w:r>
      <w:r>
        <w:rPr>
          <w:rStyle w:val="indexentry"/>
        </w:rPr>
        <w:t>&lt;cx "ordered sequence, contrasted with mass"&gt;</w:t>
      </w:r>
      <w:r>
        <w:rPr>
          <w:rStyle w:val="indexentry"/>
        </w:rPr>
        <w:fldChar w:fldCharType="begin"/>
      </w:r>
      <w:r>
        <w:instrText>xe "</w:instrText>
      </w:r>
      <w:r>
        <w:rPr>
          <w:rStyle w:val="xeentry"/>
        </w:rPr>
        <w:instrText>ordered sequence: contrasted with mass</w:instrText>
      </w:r>
      <w:r>
        <w:instrText>"</w:instrText>
      </w:r>
      <w:r>
        <w:rPr>
          <w:rStyle w:val="indexentry"/>
        </w:rPr>
        <w:fldChar w:fldCharType="end"/>
      </w:r>
      <w:r>
        <w:rPr>
          <w:rStyle w:val="indexentry"/>
        </w:rPr>
        <w:t>&lt;cx "mass, contrasted with ordered sequence"&gt;</w:t>
      </w:r>
      <w:r>
        <w:rPr>
          <w:rStyle w:val="indexentry"/>
        </w:rPr>
        <w:fldChar w:fldCharType="begin"/>
      </w:r>
      <w:r>
        <w:instrText>xe "</w:instrText>
      </w:r>
      <w:r>
        <w:rPr>
          <w:rStyle w:val="xeentry"/>
        </w:rPr>
        <w:instrText>mass: contrasted with ordered sequence</w:instrText>
      </w:r>
      <w:r>
        <w:instrText>"</w:instrText>
      </w:r>
      <w:r>
        <w:rPr>
          <w:rStyle w:val="indexentry"/>
        </w:rPr>
        <w:fldChar w:fldCharType="end"/>
      </w:r>
      <w:r>
        <w:rPr>
          <w:rStyle w:val="indexentry"/>
        </w:rPr>
        <w:t>&lt;cx "set, contrasted with ordered sequence"&gt;</w:t>
      </w:r>
      <w:r>
        <w:rPr>
          <w:rStyle w:val="indexentry"/>
        </w:rPr>
        <w:fldChar w:fldCharType="begin"/>
      </w:r>
      <w:r>
        <w:instrText>xe "</w:instrText>
      </w:r>
      <w:r>
        <w:rPr>
          <w:rStyle w:val="xeentry"/>
        </w:rPr>
        <w:instrText>set: contrasted with ordered sequence</w:instrText>
      </w:r>
      <w:r>
        <w:instrText>"</w:instrText>
      </w:r>
      <w:r>
        <w:rPr>
          <w:rStyle w:val="indexentry"/>
        </w:rPr>
        <w:fldChar w:fldCharType="end"/>
      </w:r>
      <w:r>
        <w:t>The x2 place of “liste” is a sequence of the things which are mentioned in</w:t>
      </w:r>
      <w:r>
        <w:rPr>
          <w:rStyle w:val="deletedparamark"/>
        </w:rPr>
        <w:t xml:space="preserve"> </w:t>
      </w:r>
      <w:r>
        <w:t>the list. (It is worth pointing out that “lo liste” means a physical object</w:t>
      </w:r>
      <w:r>
        <w:rPr>
          <w:rStyle w:val="deletedparamark"/>
        </w:rPr>
        <w:t xml:space="preserve"> </w:t>
      </w:r>
      <w:r>
        <w:t>such as a grocery list: a purely abstract list is “lo porsi”, a sequence.)</w:t>
      </w:r>
      <w:r>
        <w:rPr>
          <w:rStyle w:val="deletedparamark"/>
        </w:rPr>
        <w:t xml:space="preserve"> </w:t>
      </w:r>
      <w:r>
        <w:t>Here the three sumti connected by “ce'o” are in a definite order, not just</w:t>
      </w:r>
      <w:r>
        <w:rPr>
          <w:rStyle w:val="deletedparamark"/>
        </w:rPr>
        <w:t xml:space="preserve"> </w:t>
      </w:r>
      <w:r>
        <w:t>lumped together in a set or a mass.</w:t>
      </w:r>
    </w:p>
    <w:p w:rsidR="00B72047" w:rsidRDefault="00B72047">
      <w:pPr>
        <w:rPr>
          <w:rStyle w:val="htmlparacode"/>
        </w:rPr>
      </w:pPr>
      <w:r>
        <w:rPr>
          <w:rStyle w:val="htmlparacode"/>
        </w:rPr>
        <w:t>&lt;p&gt;</w:t>
      </w:r>
    </w:p>
    <w:p w:rsidR="00B72047" w:rsidRDefault="00B72047">
      <w:pPr>
        <w:pStyle w:val="normalparagraph"/>
      </w:pPr>
      <w:r>
        <w:rPr>
          <w:rStyle w:val="indexentry"/>
        </w:rPr>
        <w:t>&lt;cx "non-logical connection, of individuals into mass"&gt;</w:t>
      </w:r>
      <w:r>
        <w:rPr>
          <w:rStyle w:val="indexentry"/>
        </w:rPr>
        <w:fldChar w:fldCharType="begin"/>
      </w:r>
      <w:r>
        <w:instrText>xe "</w:instrText>
      </w:r>
      <w:r>
        <w:rPr>
          <w:rStyle w:val="xeentry"/>
        </w:rPr>
        <w:instrText>non-logical connection: of individuals into mass</w:instrText>
      </w:r>
      <w:r>
        <w:instrText>"</w:instrText>
      </w:r>
      <w:r>
        <w:rPr>
          <w:rStyle w:val="indexentry"/>
        </w:rPr>
        <w:fldChar w:fldCharType="end"/>
      </w:r>
      <w:r>
        <w:rPr>
          <w:rStyle w:val="indexentry"/>
        </w:rPr>
        <w:t>&lt;cx "non-logical connection, of individuals into set"&gt;</w:t>
      </w:r>
      <w:r>
        <w:rPr>
          <w:rStyle w:val="indexentry"/>
        </w:rPr>
        <w:fldChar w:fldCharType="begin"/>
      </w:r>
      <w:r>
        <w:instrText>xe "</w:instrText>
      </w:r>
      <w:r>
        <w:rPr>
          <w:rStyle w:val="xeentry"/>
        </w:rPr>
        <w:instrText>non-logical connection: of individuals into set</w:instrText>
      </w:r>
      <w:r>
        <w:instrText>"</w:instrText>
      </w:r>
      <w:r>
        <w:rPr>
          <w:rStyle w:val="indexentry"/>
        </w:rPr>
        <w:fldChar w:fldCharType="end"/>
      </w:r>
      <w:r>
        <w:rPr>
          <w:rStyle w:val="indexentry"/>
        </w:rPr>
        <w:t>&lt;cx "individuals into mass, by non-logical connection"&gt;</w:t>
      </w:r>
      <w:r>
        <w:rPr>
          <w:rStyle w:val="indexentry"/>
        </w:rPr>
        <w:fldChar w:fldCharType="begin"/>
      </w:r>
      <w:r>
        <w:instrText>xe "</w:instrText>
      </w:r>
      <w:r>
        <w:rPr>
          <w:rStyle w:val="xeentry"/>
        </w:rPr>
        <w:instrText>individuals into mass: by non-logical connection</w:instrText>
      </w:r>
      <w:r>
        <w:instrText>"</w:instrText>
      </w:r>
      <w:r>
        <w:rPr>
          <w:rStyle w:val="indexentry"/>
        </w:rPr>
        <w:fldChar w:fldCharType="end"/>
      </w:r>
      <w:r>
        <w:rPr>
          <w:rStyle w:val="indexentry"/>
        </w:rPr>
        <w:t>&lt;cx "individuals into set, by non-logical connection"&gt;</w:t>
      </w:r>
      <w:r>
        <w:rPr>
          <w:rStyle w:val="indexentry"/>
        </w:rPr>
        <w:fldChar w:fldCharType="begin"/>
      </w:r>
      <w:r>
        <w:instrText>xe "</w:instrText>
      </w:r>
      <w:r>
        <w:rPr>
          <w:rStyle w:val="xeentry"/>
        </w:rPr>
        <w:instrText>individuals into set: by non-logical connection</w:instrText>
      </w:r>
      <w:r>
        <w:instrText>"</w:instrText>
      </w:r>
      <w:r>
        <w:rPr>
          <w:rStyle w:val="indexentry"/>
        </w:rPr>
        <w:fldChar w:fldCharType="end"/>
      </w:r>
      <w:r>
        <w:rPr>
          <w:rStyle w:val="indexentry"/>
        </w:rPr>
        <w:t>&lt;lx "jo'u"&gt;</w:t>
      </w:r>
      <w:r>
        <w:rPr>
          <w:rStyle w:val="indexentry"/>
        </w:rPr>
        <w:fldChar w:fldCharType="begin"/>
      </w:r>
      <w:r>
        <w:instrText>xe "</w:instrText>
      </w:r>
      <w:r>
        <w:rPr>
          <w:rStyle w:val="xeentry"/>
        </w:rPr>
        <w:instrText>jo'u</w:instrText>
      </w:r>
      <w:r>
        <w:instrText>"</w:instrText>
      </w:r>
      <w:r>
        <w:rPr>
          <w:rStyle w:val="indexentry"/>
        </w:rPr>
        <w:fldChar w:fldCharType="end"/>
      </w:r>
      <w:r>
        <w:rPr>
          <w:rStyle w:val="indexentry"/>
        </w:rPr>
        <w:t>&lt;cx "jo'u, contrasted with joi"&gt;</w:t>
      </w:r>
      <w:r>
        <w:rPr>
          <w:rStyle w:val="indexentry"/>
        </w:rPr>
        <w:fldChar w:fldCharType="begin"/>
      </w:r>
      <w:r>
        <w:instrText>xe "</w:instrText>
      </w:r>
      <w:r>
        <w:rPr>
          <w:rStyle w:val="xeentry"/>
        </w:rPr>
        <w:instrText>jo'u: contrasted with joi</w:instrText>
      </w:r>
      <w:r>
        <w:instrText>"</w:instrText>
      </w:r>
      <w:r>
        <w:rPr>
          <w:rStyle w:val="indexentry"/>
        </w:rPr>
        <w:fldChar w:fldCharType="end"/>
      </w:r>
      <w:r>
        <w:rPr>
          <w:rStyle w:val="indexentry"/>
        </w:rPr>
        <w:t>&lt;cx "jo'u, contrasted with ce"&gt;</w:t>
      </w:r>
      <w:r>
        <w:rPr>
          <w:rStyle w:val="indexentry"/>
        </w:rPr>
        <w:fldChar w:fldCharType="begin"/>
      </w:r>
      <w:r>
        <w:instrText>xe "</w:instrText>
      </w:r>
      <w:r>
        <w:rPr>
          <w:rStyle w:val="xeentry"/>
        </w:rPr>
        <w:instrText>jo'u: contrasted with ce</w:instrText>
      </w:r>
      <w:r>
        <w:instrText>"</w:instrText>
      </w:r>
      <w:r>
        <w:rPr>
          <w:rStyle w:val="indexentry"/>
        </w:rPr>
        <w:fldChar w:fldCharType="end"/>
      </w:r>
      <w:r>
        <w:rPr>
          <w:rStyle w:val="indexentry"/>
        </w:rPr>
        <w:t>&lt;cx "jo'u, contrasted with ce'o"&gt;</w:t>
      </w:r>
      <w:r>
        <w:rPr>
          <w:rStyle w:val="indexentry"/>
        </w:rPr>
        <w:fldChar w:fldCharType="begin"/>
      </w:r>
      <w:r>
        <w:instrText>xe "</w:instrText>
      </w:r>
      <w:r>
        <w:rPr>
          <w:rStyle w:val="xeentry"/>
        </w:rPr>
        <w:instrText>jo'u: contrasted with ce'o</w:instrText>
      </w:r>
      <w:r>
        <w:instrText>"</w:instrText>
      </w:r>
      <w:r>
        <w:rPr>
          <w:rStyle w:val="indexentry"/>
        </w:rPr>
        <w:fldChar w:fldCharType="end"/>
      </w:r>
      <w:r>
        <w:rPr>
          <w:rStyle w:val="indexentry"/>
        </w:rPr>
        <w:t>&lt;cx "jo'u, result of connection with"&gt;</w:t>
      </w:r>
      <w:r>
        <w:rPr>
          <w:rStyle w:val="indexentry"/>
        </w:rPr>
        <w:fldChar w:fldCharType="begin"/>
      </w:r>
      <w:r>
        <w:instrText>xe "</w:instrText>
      </w:r>
      <w:r>
        <w:rPr>
          <w:rStyle w:val="xeentry"/>
        </w:rPr>
        <w:instrText>jo'u: result of connection with</w:instrText>
      </w:r>
      <w:r>
        <w:instrText>"</w:instrText>
      </w:r>
      <w:r>
        <w:rPr>
          <w:rStyle w:val="indexentry"/>
        </w:rPr>
        <w:fldChar w:fldCharType="end"/>
      </w:r>
      <w:r>
        <w:t>So “joi”, “ce”, and “ce'o” are parallel, in that the sumti connected are</w:t>
      </w:r>
      <w:r>
        <w:rPr>
          <w:rStyle w:val="deletedparamark"/>
        </w:rPr>
        <w:t xml:space="preserve"> </w:t>
      </w:r>
      <w:r>
        <w:t>taken to be i</w:t>
      </w:r>
      <w:r>
        <w:t>n</w:t>
      </w:r>
      <w:r>
        <w:softHyphen/>
        <w:t>dividuals, and the result is something else: a mass, a</w:t>
      </w:r>
      <w:r>
        <w:rPr>
          <w:rStyle w:val="deletedparamark"/>
        </w:rPr>
        <w:t xml:space="preserve"> </w:t>
      </w:r>
      <w:r>
        <w:t>set, or a sequence respec</w:t>
      </w:r>
      <w:r>
        <w:softHyphen/>
        <w:t>tively. The cmavo “jo'u” serves as a fourth</w:t>
      </w:r>
      <w:r>
        <w:rPr>
          <w:rStyle w:val="deletedparamark"/>
        </w:rPr>
        <w:t xml:space="preserve"> </w:t>
      </w:r>
      <w:r>
        <w:t>element in this pattern: the sumti connected are individ</w:t>
      </w:r>
      <w:r>
        <w:t>u</w:t>
      </w:r>
      <w:r>
        <w:softHyphen/>
        <w:t>als, and the</w:t>
      </w:r>
      <w:r>
        <w:rPr>
          <w:rStyle w:val="deletedparamark"/>
        </w:rPr>
        <w:t xml:space="preserve"> </w:t>
      </w:r>
      <w:r>
        <w:t>result is still individuals — but inseparably so. The normal Loj</w:t>
      </w:r>
      <w:r>
        <w:softHyphen/>
        <w:t>ban</w:t>
      </w:r>
      <w:r>
        <w:rPr>
          <w:rStyle w:val="deletedparamark"/>
        </w:rPr>
        <w:t xml:space="preserve"> </w:t>
      </w:r>
      <w:r>
        <w:t>way of saying that James and George are brothers is:</w:t>
      </w:r>
    </w:p>
    <w:p w:rsidR="00B72047" w:rsidRDefault="00B72047">
      <w:pPr>
        <w:rPr>
          <w:rStyle w:val="htmlparacode"/>
        </w:rPr>
      </w:pPr>
      <w:r>
        <w:rPr>
          <w:rStyle w:val="htmlparacode"/>
        </w:rPr>
        <w:t>&lt;p&gt;</w:t>
      </w:r>
    </w:p>
    <w:p w:rsidR="00B72047" w:rsidRDefault="00B72047">
      <w:pPr>
        <w:pStyle w:val="examplescaledpre"/>
      </w:pPr>
      <w:r>
        <w:rPr>
          <w:rStyle w:val="indexentry"/>
        </w:rPr>
        <w:t>&lt;ex "brothers"&gt;</w:t>
      </w:r>
      <w:r>
        <w:rPr>
          <w:rStyle w:val="indexentry"/>
        </w:rPr>
        <w:fldChar w:fldCharType="begin"/>
      </w:r>
      <w:r>
        <w:instrText>xe "</w:instrText>
      </w:r>
      <w:r>
        <w:rPr>
          <w:rStyle w:val="xeentry"/>
        </w:rPr>
        <w:instrText>brothers: example</w:instrText>
      </w:r>
      <w:r>
        <w:instrText>"</w:instrText>
      </w:r>
      <w:r>
        <w:rPr>
          <w:rStyle w:val="indexentry"/>
        </w:rPr>
        <w:fldChar w:fldCharType="end"/>
      </w:r>
      <w:r>
        <w:rPr>
          <w:rStyle w:val="htmlcodes"/>
        </w:rPr>
        <w:t>&lt;pre&gt;&lt;a name=e14d8&gt;</w:t>
      </w:r>
      <w:r>
        <w:t>14.8)</w:t>
      </w:r>
      <w:r>
        <w:tab/>
        <w:t>la djeimyz. bruna la djordj.</w:t>
      </w:r>
    </w:p>
    <w:p w:rsidR="00B72047" w:rsidRDefault="00B72047">
      <w:pPr>
        <w:pStyle w:val="examplescaled"/>
      </w:pPr>
      <w:r>
        <w:tab/>
        <w:t>James is-the-brother-of George.</w:t>
      </w:r>
    </w:p>
    <w:p w:rsidR="00B72047" w:rsidRDefault="00B72047">
      <w:pPr>
        <w:pStyle w:val="resumedafterexample"/>
      </w:pPr>
      <w:r>
        <w:rPr>
          <w:rStyle w:val="htmlcodes"/>
        </w:rPr>
        <w:t>&lt;/pre&gt;</w:t>
      </w:r>
      <w:r>
        <w:t>possibly adding a discursive element meaning “and vice versa”. However,</w:t>
      </w:r>
      <w:r>
        <w:rPr>
          <w:rStyle w:val="deletedparamark"/>
        </w:rPr>
        <w:t xml:space="preserve"> “</w:t>
      </w:r>
      <w:r>
        <w:t>James and George are brothers” cannot be correctly translated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name=e14d9&gt;</w:t>
      </w:r>
      <w:r>
        <w:t>14.9)</w:t>
      </w:r>
      <w:r>
        <w:tab/>
        <w:t>la djeimyz. .e la djordj. bruna</w:t>
      </w:r>
    </w:p>
    <w:p w:rsidR="00B72047" w:rsidRDefault="00B72047">
      <w:pPr>
        <w:pStyle w:val="examplescaled"/>
      </w:pPr>
      <w:r>
        <w:tab/>
        <w:t>James and George is-a-brother.</w:t>
      </w:r>
    </w:p>
    <w:p w:rsidR="00B72047" w:rsidRDefault="00B72047">
      <w:pPr>
        <w:pStyle w:val="resumedafterexample"/>
      </w:pPr>
      <w:r>
        <w:rPr>
          <w:rStyle w:val="htmlcodes"/>
        </w:rPr>
        <w:t>&lt;/pre&gt;</w:t>
      </w:r>
      <w:r>
        <w:t>since that expands to two bridi and means that James is a brother and</w:t>
      </w:r>
      <w:r>
        <w:rPr>
          <w:rStyle w:val="deletedparamark"/>
        </w:rPr>
        <w:t xml:space="preserve"> </w:t>
      </w:r>
      <w:r>
        <w:t>so is George, but not necessarily of each other. If the “.e” is changed</w:t>
      </w:r>
      <w:r>
        <w:rPr>
          <w:rStyle w:val="deletedparamark"/>
        </w:rPr>
        <w:t xml:space="preserve"> </w:t>
      </w:r>
      <w:r>
        <w:t xml:space="preserve">to “jo'u”, however, the meaning of </w:t>
      </w:r>
      <w:r>
        <w:rPr>
          <w:rStyle w:val="htmlcodes"/>
        </w:rPr>
        <w:t>&lt;a href=#e14d8&gt;</w:t>
      </w:r>
      <w:r>
        <w:t xml:space="preserve">Example 14.8 </w:t>
      </w:r>
      <w:r>
        <w:rPr>
          <w:rStyle w:val="htmlcodes"/>
        </w:rPr>
        <w:t>&lt;/a&gt;</w:t>
      </w:r>
      <w:r>
        <w:t>is preserved: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name=e14d10&gt;</w:t>
      </w:r>
      <w:r>
        <w:t>14.10)</w:t>
      </w:r>
      <w:r>
        <w:tab/>
        <w:t>la djeimyz. jo'u la djordj. cu remei bruna</w:t>
      </w:r>
    </w:p>
    <w:p w:rsidR="00B72047" w:rsidRDefault="00B72047">
      <w:pPr>
        <w:pStyle w:val="examplescaled"/>
      </w:pPr>
      <w:r>
        <w:tab/>
        <w:t>James in-common-with George are-a-twosome type-of-brothers.</w:t>
      </w:r>
    </w:p>
    <w:p w:rsidR="00B72047" w:rsidRDefault="00B72047">
      <w:pPr>
        <w:pStyle w:val="resumedafterexample"/>
      </w:pPr>
      <w:r>
        <w:rPr>
          <w:rStyle w:val="htmlcodes"/>
        </w:rPr>
        <w:t>&lt;/pre&gt;&lt;p&gt;</w:t>
      </w:r>
      <w:r>
        <w:t>The tanru “remei bruna” is not strictly necessary in this sentence,</w:t>
      </w:r>
      <w:r>
        <w:rPr>
          <w:rStyle w:val="deletedparamark"/>
        </w:rPr>
        <w:t xml:space="preserve"> </w:t>
      </w:r>
      <w:r>
        <w:t>but is used to make clear that we are not saying that James and George</w:t>
      </w:r>
      <w:r>
        <w:rPr>
          <w:rStyle w:val="deletedparamark"/>
        </w:rPr>
        <w:t xml:space="preserve"> </w:t>
      </w:r>
      <w:r>
        <w:t>are both brothers of some third per</w:t>
      </w:r>
      <w:r>
        <w:softHyphen/>
        <w:t>son not specified. Alternatively,</w:t>
      </w:r>
      <w:r>
        <w:rPr>
          <w:rStyle w:val="deletedparamark"/>
        </w:rPr>
        <w:t xml:space="preserve"> </w:t>
      </w:r>
      <w:r>
        <w:t>we could turn the tanru around: the x1 place of “remei” is a mass with</w:t>
      </w:r>
      <w:r>
        <w:rPr>
          <w:rStyle w:val="deletedparamark"/>
        </w:rPr>
        <w:t xml:space="preserve"> </w:t>
      </w:r>
      <w:r>
        <w:t>two components, leading to:</w:t>
      </w:r>
    </w:p>
    <w:p w:rsidR="00B72047" w:rsidRDefault="00B72047">
      <w:pPr>
        <w:rPr>
          <w:rStyle w:val="htmlparacode"/>
        </w:rPr>
      </w:pPr>
      <w:r>
        <w:rPr>
          <w:rStyle w:val="htmlparacode"/>
        </w:rPr>
        <w:t>&lt;p&gt;</w:t>
      </w:r>
    </w:p>
    <w:p w:rsidR="00B72047" w:rsidRDefault="00B72047">
      <w:pPr>
        <w:pStyle w:val="examplescaledpre"/>
      </w:pPr>
      <w:r>
        <w:rPr>
          <w:rStyle w:val="indexentry"/>
        </w:rPr>
        <w:t>&lt;lx "joi"&gt;</w:t>
      </w:r>
      <w:r>
        <w:rPr>
          <w:rStyle w:val="indexentry"/>
        </w:rPr>
        <w:fldChar w:fldCharType="begin"/>
      </w:r>
      <w:r>
        <w:instrText>xe "</w:instrText>
      </w:r>
      <w:r>
        <w:rPr>
          <w:rStyle w:val="xeentry"/>
        </w:rPr>
        <w:instrText>joi</w:instrText>
      </w:r>
      <w:r>
        <w:instrText>"</w:instrText>
      </w:r>
      <w:r>
        <w:rPr>
          <w:rStyle w:val="indexentry"/>
        </w:rPr>
        <w:fldChar w:fldCharType="end"/>
      </w:r>
      <w:r>
        <w:rPr>
          <w:rStyle w:val="htmlcodes"/>
        </w:rPr>
        <w:t>&lt;pre&gt;&lt;a name=e14d11&gt;</w:t>
      </w:r>
      <w:r>
        <w:t>14.11)</w:t>
      </w:r>
      <w:r>
        <w:tab/>
        <w:t>la djeimyz. joi la djordj. cu bruna remei</w:t>
      </w:r>
    </w:p>
    <w:p w:rsidR="00B72047" w:rsidRDefault="00B72047">
      <w:pPr>
        <w:pStyle w:val="examplescaled"/>
      </w:pPr>
      <w:r>
        <w:tab/>
        <w:t>James massed-with George are-a-brother type-of-twosome.</w:t>
      </w:r>
    </w:p>
    <w:p w:rsidR="00B72047" w:rsidRDefault="00B72047">
      <w:pPr>
        <w:pStyle w:val="resumedafterexample"/>
      </w:pPr>
      <w:r>
        <w:rPr>
          <w:rStyle w:val="htmlcodes"/>
        </w:rPr>
        <w:t>&lt;/pre&gt;</w:t>
      </w:r>
      <w:r>
        <w:t>where “joi” is used to create the necessary mass.</w:t>
      </w:r>
    </w:p>
    <w:p w:rsidR="00B72047" w:rsidRDefault="00B72047">
      <w:pPr>
        <w:rPr>
          <w:rStyle w:val="htmlparacode"/>
        </w:rPr>
      </w:pPr>
      <w:r>
        <w:rPr>
          <w:rStyle w:val="htmlparacode"/>
        </w:rPr>
        <w:t>&lt;p&gt;</w:t>
      </w:r>
    </w:p>
    <w:p w:rsidR="00B72047" w:rsidRDefault="00B72047">
      <w:pPr>
        <w:pStyle w:val="normalparagraph"/>
      </w:pPr>
      <w:r>
        <w:rPr>
          <w:rStyle w:val="indexentry"/>
        </w:rPr>
        <w:t>&lt;lx "fa'u"&gt;</w:t>
      </w:r>
      <w:r>
        <w:rPr>
          <w:rStyle w:val="indexentry"/>
        </w:rPr>
        <w:fldChar w:fldCharType="begin"/>
      </w:r>
      <w:r>
        <w:instrText>xe "</w:instrText>
      </w:r>
      <w:r>
        <w:rPr>
          <w:rStyle w:val="xeentry"/>
        </w:rPr>
        <w:instrText>fa'u</w:instrText>
      </w:r>
      <w:r>
        <w:instrText>"</w:instrText>
      </w:r>
      <w:r>
        <w:rPr>
          <w:rStyle w:val="indexentry"/>
        </w:rPr>
        <w:fldChar w:fldCharType="end"/>
      </w:r>
      <w:r>
        <w:rPr>
          <w:rStyle w:val="indexentry"/>
        </w:rPr>
        <w:t>&lt;cx "connection, non-distributed"&gt;</w:t>
      </w:r>
      <w:r>
        <w:rPr>
          <w:rStyle w:val="indexentry"/>
        </w:rPr>
        <w:fldChar w:fldCharType="begin"/>
      </w:r>
      <w:r>
        <w:instrText>xe "</w:instrText>
      </w:r>
      <w:r>
        <w:rPr>
          <w:rStyle w:val="xeentry"/>
        </w:rPr>
        <w:instrText>connection: non-distributed</w:instrText>
      </w:r>
      <w:r>
        <w:instrText>"</w:instrText>
      </w:r>
      <w:r>
        <w:rPr>
          <w:rStyle w:val="indexentry"/>
        </w:rPr>
        <w:fldChar w:fldCharType="end"/>
      </w:r>
      <w:r>
        <w:rPr>
          <w:rStyle w:val="indexentry"/>
        </w:rPr>
        <w:t>&lt;cx "respectively, specifying with fa'u"&gt;</w:t>
      </w:r>
      <w:r>
        <w:rPr>
          <w:rStyle w:val="indexentry"/>
        </w:rPr>
        <w:fldChar w:fldCharType="begin"/>
      </w:r>
      <w:r>
        <w:instrText>xe "</w:instrText>
      </w:r>
      <w:r>
        <w:rPr>
          <w:rStyle w:val="xeentry"/>
        </w:rPr>
        <w:instrText>respectively: specifying with fa'u</w:instrText>
      </w:r>
      <w:r>
        <w:instrText>"</w:instrText>
      </w:r>
      <w:r>
        <w:rPr>
          <w:rStyle w:val="indexentry"/>
        </w:rPr>
        <w:fldChar w:fldCharType="end"/>
      </w:r>
      <w:r>
        <w:rPr>
          <w:rStyle w:val="indexentry"/>
        </w:rPr>
        <w:t>&lt;ex "respectively"&gt;</w:t>
      </w:r>
      <w:r>
        <w:rPr>
          <w:rStyle w:val="indexentry"/>
        </w:rPr>
        <w:fldChar w:fldCharType="begin"/>
      </w:r>
      <w:r>
        <w:instrText>xe "</w:instrText>
      </w:r>
      <w:r>
        <w:rPr>
          <w:rStyle w:val="xeentry"/>
        </w:rPr>
        <w:instrText>respectively: example</w:instrText>
      </w:r>
      <w:r>
        <w:instrText>"</w:instrText>
      </w:r>
      <w:r>
        <w:rPr>
          <w:rStyle w:val="indexentry"/>
        </w:rPr>
        <w:fldChar w:fldCharType="end"/>
      </w:r>
      <w:r>
        <w:t>Likewise, “fa'u” can be used to put two individuals together where</w:t>
      </w:r>
      <w:r>
        <w:rPr>
          <w:rStyle w:val="deletedparamark"/>
        </w:rPr>
        <w:t xml:space="preserve"> </w:t>
      </w:r>
      <w:r>
        <w:t>order mat</w:t>
      </w:r>
      <w:r>
        <w:softHyphen/>
        <w:t>ters. Typically, there will be another “fa'u” somewhere else</w:t>
      </w:r>
      <w:r>
        <w:rPr>
          <w:rStyle w:val="deletedparamark"/>
        </w:rPr>
        <w:t xml:space="preserve"> </w:t>
      </w:r>
      <w:r>
        <w:t>in the same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name=e14d12&gt;</w:t>
      </w:r>
      <w:r>
        <w:t>14.12)</w:t>
      </w:r>
      <w:r>
        <w:tab/>
        <w:t>la djeimyz. fa'u la djordj. prami la meris. fa'u la martas.</w:t>
      </w:r>
    </w:p>
    <w:p w:rsidR="00B72047" w:rsidRDefault="00B72047">
      <w:pPr>
        <w:pStyle w:val="examplescaled"/>
      </w:pPr>
      <w:r>
        <w:tab/>
        <w:t>James jointly-in-order-with George loves Mary jointly-in-order-with Martha.</w:t>
      </w:r>
    </w:p>
    <w:p w:rsidR="00B72047" w:rsidRDefault="00B72047">
      <w:pPr>
        <w:pStyle w:val="examplescaled"/>
      </w:pPr>
      <w:r>
        <w:tab/>
        <w:t>James and George love Mary and Martha, respectively.</w:t>
      </w:r>
    </w:p>
    <w:p w:rsidR="00B72047" w:rsidRDefault="00B72047">
      <w:pPr>
        <w:pStyle w:val="resumedafterexample"/>
      </w:pPr>
      <w:r>
        <w:rPr>
          <w:rStyle w:val="htmlcodes"/>
        </w:rPr>
        <w:t>&lt;/pre&gt;</w:t>
      </w:r>
      <w:r>
        <w:rPr>
          <w:rStyle w:val="indexentry"/>
        </w:rPr>
        <w:t>&lt;cx "fa'u, contrasted with .e"&gt;</w:t>
      </w:r>
      <w:r>
        <w:rPr>
          <w:rStyle w:val="indexentry"/>
        </w:rPr>
        <w:fldChar w:fldCharType="begin"/>
      </w:r>
      <w:r>
        <w:instrText>xe "</w:instrText>
      </w:r>
      <w:r>
        <w:rPr>
          <w:rStyle w:val="xeentry"/>
        </w:rPr>
        <w:instrText>fa'u: contrasted with .e</w:instrText>
      </w:r>
      <w:r>
        <w:instrText>"</w:instrText>
      </w:r>
      <w:r>
        <w:rPr>
          <w:rStyle w:val="indexentry"/>
        </w:rPr>
        <w:fldChar w:fldCharType="end"/>
      </w:r>
      <w:r>
        <w:rPr>
          <w:rStyle w:val="indexentry"/>
        </w:rPr>
        <w:t>&lt;cx ".e, contrasted with fa'u"&gt;</w:t>
      </w:r>
      <w:r>
        <w:rPr>
          <w:rStyle w:val="indexentry"/>
        </w:rPr>
        <w:fldChar w:fldCharType="begin"/>
      </w:r>
      <w:r>
        <w:instrText>xe "</w:instrText>
      </w:r>
      <w:r>
        <w:rPr>
          <w:rStyle w:val="xeentry"/>
        </w:rPr>
        <w:instrText>e: contrasted with fa'u</w:instrText>
      </w:r>
      <w:r>
        <w:instrText>"</w:instrText>
      </w:r>
      <w:r>
        <w:rPr>
          <w:rStyle w:val="indexentry"/>
        </w:rPr>
        <w:fldChar w:fldCharType="end"/>
      </w:r>
      <w:r>
        <w:t>Here the information carried by the English adverb “respectively”, namely</w:t>
      </w:r>
      <w:r>
        <w:rPr>
          <w:rStyle w:val="deletedparamark"/>
        </w:rPr>
        <w:t xml:space="preserve"> </w:t>
      </w:r>
      <w:r>
        <w:t>that James loves Mary and George loves Martha, is divided between the</w:t>
      </w:r>
      <w:r>
        <w:rPr>
          <w:rStyle w:val="deletedparamark"/>
        </w:rPr>
        <w:t xml:space="preserve"> </w:t>
      </w:r>
      <w:r>
        <w:t>two occurrences of “fa'u”. If both uses of “fa'u” were to be changed to “.e”,</w:t>
      </w:r>
      <w:r>
        <w:rPr>
          <w:rStyle w:val="deletedparamark"/>
        </w:rPr>
        <w:t xml:space="preserve"> </w:t>
      </w:r>
      <w:r>
        <w:t>we would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name=e14d13&gt;</w:t>
      </w:r>
      <w:r>
        <w:t>14.13)</w:t>
      </w:r>
      <w:r>
        <w:tab/>
        <w:t>la djeimyz. .e la djordj. prami la meris. .e la martas.</w:t>
      </w:r>
    </w:p>
    <w:p w:rsidR="00B72047" w:rsidRDefault="00B72047">
      <w:pPr>
        <w:pStyle w:val="examplescaled"/>
      </w:pPr>
      <w:r>
        <w:tab/>
        <w:t>James and George love Mary and Martha.</w:t>
      </w:r>
    </w:p>
    <w:p w:rsidR="00B72047" w:rsidRDefault="00B72047">
      <w:pPr>
        <w:pStyle w:val="resumedafterexample"/>
      </w:pPr>
      <w:r>
        <w:rPr>
          <w:rStyle w:val="htmlcodes"/>
        </w:rPr>
        <w:t>&lt;/pre&gt;</w:t>
      </w:r>
      <w:r>
        <w:t>which can be transformed to four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name=e14d14&gt;</w:t>
      </w:r>
      <w:r>
        <w:t>14.14)</w:t>
      </w:r>
      <w:r>
        <w:tab/>
        <w:t>la djeimyz. prami la meris.  .ije la djordj. prami la meris.</w:t>
      </w:r>
    </w:p>
    <w:p w:rsidR="00B72047" w:rsidRDefault="00B72047">
      <w:pPr>
        <w:pStyle w:val="examplescaled"/>
      </w:pPr>
      <w:r>
        <w:tab/>
      </w:r>
      <w:r>
        <w:tab/>
        <w:t>.ije la djeimyz. prami la martas.  .ije la djordj. prami la martas.</w:t>
      </w:r>
    </w:p>
    <w:p w:rsidR="00B72047" w:rsidRDefault="00B72047">
      <w:pPr>
        <w:pStyle w:val="examplescaled"/>
      </w:pPr>
      <w:r>
        <w:tab/>
        <w:t>James loves Mary, and George loves Mary,</w:t>
      </w:r>
    </w:p>
    <w:p w:rsidR="00B72047" w:rsidRDefault="00B72047">
      <w:pPr>
        <w:pStyle w:val="examplescaled"/>
      </w:pPr>
      <w:r>
        <w:tab/>
      </w:r>
      <w:r>
        <w:tab/>
        <w:t>and James loves Martha, and George loves Martha.</w:t>
      </w:r>
    </w:p>
    <w:p w:rsidR="00B72047" w:rsidRDefault="00B72047">
      <w:pPr>
        <w:pStyle w:val="resumedafterexample"/>
      </w:pPr>
      <w:r>
        <w:rPr>
          <w:rStyle w:val="htmlcodes"/>
        </w:rPr>
        <w:t>&lt;/pre&gt;</w:t>
      </w:r>
      <w:r>
        <w:t xml:space="preserve">which represents quite a different state of affairs from </w:t>
      </w:r>
      <w:r>
        <w:rPr>
          <w:rStyle w:val="htmlcodes"/>
        </w:rPr>
        <w:t>&lt;a href=#e14d12&gt;</w:t>
      </w:r>
      <w:r>
        <w:t>Example 14.12</w:t>
      </w:r>
      <w:r>
        <w:rPr>
          <w:rStyle w:val="htmlcodes"/>
        </w:rPr>
        <w:t>&lt;/a&gt;</w:t>
      </w:r>
      <w:r>
        <w:t>.</w:t>
      </w:r>
      <w:r>
        <w:rPr>
          <w:rStyle w:val="deletedparamark"/>
        </w:rPr>
        <w:t xml:space="preserve"> </w:t>
      </w:r>
      <w:r>
        <w:t xml:space="preserve">The meaning of </w:t>
      </w:r>
      <w:r>
        <w:rPr>
          <w:rStyle w:val="htmlcodes"/>
        </w:rPr>
        <w:t>&lt;a href=#e14d12&gt;</w:t>
      </w:r>
      <w:r>
        <w:t xml:space="preserve">Example 14.12 </w:t>
      </w:r>
      <w:r>
        <w:rPr>
          <w:rStyle w:val="htmlcodes"/>
        </w:rPr>
        <w:t>&lt;/a&gt;</w:t>
      </w:r>
      <w:r>
        <w:t>can also be conveyed by a termset:</w:t>
      </w:r>
    </w:p>
    <w:p w:rsidR="00B72047" w:rsidRDefault="00B72047">
      <w:pPr>
        <w:rPr>
          <w:rStyle w:val="htmlparacode"/>
        </w:rPr>
      </w:pPr>
      <w:r>
        <w:rPr>
          <w:rStyle w:val="htmlparacode"/>
        </w:rPr>
        <w:t>&lt;p&gt;</w:t>
      </w:r>
    </w:p>
    <w:p w:rsidR="00B72047" w:rsidRDefault="00B72047">
      <w:pPr>
        <w:pStyle w:val="examplescaledpre"/>
      </w:pPr>
      <w:r>
        <w:rPr>
          <w:rStyle w:val="indexentry"/>
        </w:rPr>
        <w:t>&lt;cx "fa'u, compared to termsets"&gt;</w:t>
      </w:r>
      <w:r>
        <w:rPr>
          <w:rStyle w:val="indexentry"/>
        </w:rPr>
        <w:fldChar w:fldCharType="begin"/>
      </w:r>
      <w:r>
        <w:instrText>xe "</w:instrText>
      </w:r>
      <w:r>
        <w:rPr>
          <w:rStyle w:val="xeentry"/>
        </w:rPr>
        <w:instrText>fa'u: compared to termsets</w:instrText>
      </w:r>
      <w:r>
        <w:instrText>"</w:instrText>
      </w:r>
      <w:r>
        <w:rPr>
          <w:rStyle w:val="indexentry"/>
        </w:rPr>
        <w:fldChar w:fldCharType="end"/>
      </w:r>
      <w:r>
        <w:rPr>
          <w:rStyle w:val="indexentry"/>
        </w:rPr>
        <w:t>&lt;cx "termsets, compared to fa'u"&gt;</w:t>
      </w:r>
      <w:r>
        <w:rPr>
          <w:rStyle w:val="indexentry"/>
        </w:rPr>
        <w:fldChar w:fldCharType="begin"/>
      </w:r>
      <w:r>
        <w:instrText>xe "</w:instrText>
      </w:r>
      <w:r>
        <w:rPr>
          <w:rStyle w:val="xeentry"/>
        </w:rPr>
        <w:instrText>termsets: compared to fa'u</w:instrText>
      </w:r>
      <w:r>
        <w:instrText>"</w:instrText>
      </w:r>
      <w:r>
        <w:rPr>
          <w:rStyle w:val="indexentry"/>
        </w:rPr>
        <w:fldChar w:fldCharType="end"/>
      </w:r>
      <w:r>
        <w:rPr>
          <w:rStyle w:val="htmlcodes"/>
        </w:rPr>
        <w:t>&lt;pre&gt;&lt;a name=e14d15&gt;</w:t>
      </w:r>
      <w:r>
        <w:t>14.15)</w:t>
      </w:r>
      <w:r>
        <w:tab/>
        <w:t>la djeimyz. ce'e la meris. pe'e .e la djordj. ce'e la martas. prami</w:t>
      </w:r>
    </w:p>
    <w:p w:rsidR="00B72047" w:rsidRDefault="00B72047">
      <w:pPr>
        <w:pStyle w:val="examplescaled"/>
      </w:pPr>
      <w:r>
        <w:tab/>
        <w:t>James [plus] Mary [joint] and George [plus] Martha loves.</w:t>
      </w:r>
    </w:p>
    <w:p w:rsidR="00B72047" w:rsidRDefault="00B72047">
      <w:pPr>
        <w:pStyle w:val="resumedafterexample"/>
      </w:pPr>
      <w:r>
        <w:rPr>
          <w:rStyle w:val="htmlcodes"/>
        </w:rPr>
        <w:t>&lt;/pre&gt;</w:t>
      </w:r>
      <w:r>
        <w:t>at the expense of re-ordering the list of names so as to make the pairs</w:t>
      </w:r>
      <w:r>
        <w:rPr>
          <w:rStyle w:val="deletedparamark"/>
        </w:rPr>
        <w:t xml:space="preserve"> </w:t>
      </w:r>
      <w:r>
        <w:t>explicit. This op</w:t>
      </w:r>
      <w:r>
        <w:softHyphen/>
        <w:t>tion is not available when one of the lists is only</w:t>
      </w:r>
      <w:r>
        <w:rPr>
          <w:rStyle w:val="deletedparamark"/>
        </w:rPr>
        <w:t xml:space="preserve"> </w:t>
      </w:r>
      <w:r>
        <w:t>described rather than enumerated: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name=e14d16&gt;</w:t>
      </w:r>
      <w:r>
        <w:t>14.16)</w:t>
      </w:r>
      <w:r>
        <w:tab/>
        <w:t>la djeimyz. fa'u la djordj. prami re sorme</w:t>
      </w:r>
    </w:p>
    <w:p w:rsidR="00B72047" w:rsidRDefault="00B72047">
      <w:pPr>
        <w:pStyle w:val="examplescaled"/>
      </w:pPr>
      <w:r>
        <w:tab/>
        <w:t>James and-respectively George love two sisters.</w:t>
      </w:r>
    </w:p>
    <w:p w:rsidR="00B72047" w:rsidRDefault="00B72047">
      <w:pPr>
        <w:pStyle w:val="resumedafterexample"/>
      </w:pPr>
      <w:r>
        <w:rPr>
          <w:rStyle w:val="htmlcodes"/>
        </w:rPr>
        <w:t>&lt;/pre&gt;</w:t>
      </w:r>
      <w:r>
        <w:t>which conveys that James loves one sister and George the other, though</w:t>
      </w:r>
      <w:r>
        <w:rPr>
          <w:rStyle w:val="deletedparamark"/>
        </w:rPr>
        <w:t xml:space="preserve"> </w:t>
      </w:r>
      <w:r>
        <w:t>we are not able to tell which of the sisters is which.</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429" w:name="_Toc398970670"/>
      <w:r>
        <w:rPr>
          <w:rStyle w:val="Heading3Text"/>
        </w:rPr>
        <w:t>More about non-logical connectives</w:t>
      </w:r>
      <w:bookmarkEnd w:id="42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"jo'e"&gt;</w:t>
      </w:r>
      <w:r>
        <w:rPr>
          <w:rStyle w:val="indexentry"/>
        </w:rPr>
        <w:fldChar w:fldCharType="begin"/>
      </w:r>
      <w:r>
        <w:instrText>xe "</w:instrText>
      </w:r>
      <w:r>
        <w:rPr>
          <w:rStyle w:val="xeentry"/>
        </w:rPr>
        <w:instrText>jo'e</w:instrText>
      </w:r>
      <w:r>
        <w:instrText>"</w:instrText>
      </w:r>
      <w:r>
        <w:rPr>
          <w:rStyle w:val="indexentry"/>
        </w:rPr>
        <w:fldChar w:fldCharType="end"/>
      </w:r>
      <w:r>
        <w:rPr>
          <w:rStyle w:val="indexentry"/>
        </w:rPr>
        <w:t>&lt;lx "ku'a"&gt;</w:t>
      </w:r>
      <w:r>
        <w:rPr>
          <w:rStyle w:val="indexentry"/>
        </w:rPr>
        <w:fldChar w:fldCharType="begin"/>
      </w:r>
      <w:r>
        <w:instrText>xe "</w:instrText>
      </w:r>
      <w:r>
        <w:rPr>
          <w:rStyle w:val="xeentry"/>
        </w:rPr>
        <w:instrText>ku'a</w:instrText>
      </w:r>
      <w:r>
        <w:instrText>"</w:instrText>
      </w:r>
      <w:r>
        <w:rPr>
          <w:rStyle w:val="indexentry"/>
        </w:rPr>
        <w:fldChar w:fldCharType="end"/>
      </w:r>
      <w:r>
        <w:rPr>
          <w:rStyle w:val="indexentry"/>
        </w:rPr>
        <w:t>&lt;lx "pi'u"&gt;</w:t>
      </w:r>
      <w:r>
        <w:rPr>
          <w:rStyle w:val="indexentry"/>
        </w:rPr>
        <w:fldChar w:fldCharType="begin"/>
      </w:r>
      <w:r>
        <w:instrText>xe "</w:instrText>
      </w:r>
      <w:r>
        <w:rPr>
          <w:rStyle w:val="xeentry"/>
        </w:rPr>
        <w:instrText>pi'u</w:instrText>
      </w:r>
      <w:r>
        <w:instrText>"</w:instrText>
      </w:r>
      <w:r>
        <w:rPr>
          <w:rStyle w:val="indexentry"/>
        </w:rPr>
        <w:fldChar w:fldCharType="end"/>
      </w:r>
      <w:r>
        <w:rPr>
          <w:rStyle w:val="indexentry"/>
        </w:rPr>
        <w:t>&lt;cx "set operations"&gt;</w:t>
      </w:r>
      <w:r>
        <w:rPr>
          <w:rStyle w:val="indexentry"/>
        </w:rPr>
        <w:fldChar w:fldCharType="begin"/>
      </w:r>
      <w:r>
        <w:instrText>xe "</w:instrText>
      </w:r>
      <w:r>
        <w:rPr>
          <w:rStyle w:val="xeentry"/>
        </w:rPr>
        <w:instrText>set operations</w:instrText>
      </w:r>
      <w:r>
        <w:instrText>"</w:instrText>
      </w:r>
      <w:r>
        <w:rPr>
          <w:rStyle w:val="indexentry"/>
        </w:rPr>
        <w:fldChar w:fldCharType="end"/>
      </w:r>
      <w:r>
        <w:rPr>
          <w:rStyle w:val="indexentry"/>
        </w:rPr>
        <w:t>&lt;cx "union, of sets"&gt;</w:t>
      </w:r>
      <w:r>
        <w:rPr>
          <w:rStyle w:val="indexentry"/>
        </w:rPr>
        <w:fldChar w:fldCharType="begin"/>
      </w:r>
      <w:r>
        <w:instrText>xe "</w:instrText>
      </w:r>
      <w:r>
        <w:rPr>
          <w:rStyle w:val="xeentry"/>
        </w:rPr>
        <w:instrText>union: of sets</w:instrText>
      </w:r>
      <w:r>
        <w:instrText>"</w:instrText>
      </w:r>
      <w:r>
        <w:rPr>
          <w:rStyle w:val="indexentry"/>
        </w:rPr>
        <w:fldChar w:fldCharType="end"/>
      </w:r>
      <w:r>
        <w:rPr>
          <w:rStyle w:val="indexentry"/>
        </w:rPr>
        <w:t>&lt;cx "intersection, of sets"&gt;</w:t>
      </w:r>
      <w:r>
        <w:rPr>
          <w:rStyle w:val="indexentry"/>
        </w:rPr>
        <w:fldChar w:fldCharType="begin"/>
      </w:r>
      <w:r>
        <w:instrText>xe "</w:instrText>
      </w:r>
      <w:r>
        <w:rPr>
          <w:rStyle w:val="xeentry"/>
        </w:rPr>
        <w:instrText>intersection: of sets</w:instrText>
      </w:r>
      <w:r>
        <w:instrText>"</w:instrText>
      </w:r>
      <w:r>
        <w:rPr>
          <w:rStyle w:val="indexentry"/>
        </w:rPr>
        <w:fldChar w:fldCharType="end"/>
      </w:r>
      <w:r>
        <w:rPr>
          <w:rStyle w:val="indexentry"/>
        </w:rPr>
        <w:t>&lt;cx "cross-product, of sets"&gt;</w:t>
      </w:r>
      <w:r>
        <w:rPr>
          <w:rStyle w:val="indexentry"/>
        </w:rPr>
        <w:fldChar w:fldCharType="begin"/>
      </w:r>
      <w:r>
        <w:instrText>xe "</w:instrText>
      </w:r>
      <w:r>
        <w:rPr>
          <w:rStyle w:val="xeentry"/>
        </w:rPr>
        <w:instrText>cross-product: of sets</w:instrText>
      </w:r>
      <w:r>
        <w:instrText>"</w:instrText>
      </w:r>
      <w:r>
        <w:rPr>
          <w:rStyle w:val="indexentry"/>
        </w:rPr>
        <w:fldChar w:fldCharType="end"/>
      </w:r>
      <w:r>
        <w:t>The final three JOI cmavo, “jo'e”, “ku'a”, and “pi'u”, are probably only</w:t>
      </w:r>
      <w:r>
        <w:rPr>
          <w:rStyle w:val="deletedparamark"/>
        </w:rPr>
        <w:t xml:space="preserve"> </w:t>
      </w:r>
      <w:r>
        <w:t>useful when talking explicitly about sets. They represent three standard set</w:t>
      </w:r>
      <w:r>
        <w:rPr>
          <w:rStyle w:val="deletedparamark"/>
        </w:rPr>
        <w:t xml:space="preserve"> </w:t>
      </w:r>
      <w:r>
        <w:t>operators usually called “union”, “intersection”, and “cross product” (also</w:t>
      </w:r>
      <w:r>
        <w:rPr>
          <w:rStyle w:val="deletedparamark"/>
        </w:rPr>
        <w:t xml:space="preserve"> </w:t>
      </w:r>
      <w:r>
        <w:t>known as “Cartesian prod</w:t>
      </w:r>
      <w:r>
        <w:softHyphen/>
        <w:t>uct”). The union of two sets is a set containing</w:t>
      </w:r>
      <w:r>
        <w:rPr>
          <w:rStyle w:val="deletedparamark"/>
        </w:rPr>
        <w:t xml:space="preserve"> </w:t>
      </w:r>
      <w:r>
        <w:t>all the members that are in either set; the intersection of two sets is</w:t>
      </w:r>
      <w:r>
        <w:rPr>
          <w:rStyle w:val="deletedparamark"/>
        </w:rPr>
        <w:t xml:space="preserve"> </w:t>
      </w:r>
      <w:r>
        <w:t>a set containing all the members that are in both sets. The cross product</w:t>
      </w:r>
      <w:r>
        <w:rPr>
          <w:rStyle w:val="deletedparamark"/>
        </w:rPr>
        <w:t xml:space="preserve"> </w:t>
      </w:r>
      <w:r>
        <w:t>of two sets is the set of all possible ordered pairs, where each ordered pair</w:t>
      </w:r>
      <w:r>
        <w:rPr>
          <w:rStyle w:val="deletedparamark"/>
        </w:rPr>
        <w:t xml:space="preserve"> </w:t>
      </w:r>
      <w:r>
        <w:t>contains a single element from the first set followed by a single element</w:t>
      </w:r>
      <w:r>
        <w:rPr>
          <w:rStyle w:val="deletedparamark"/>
        </w:rPr>
        <w:t xml:space="preserve"> </w:t>
      </w:r>
      <w:r>
        <w:t>from the sec</w:t>
      </w:r>
      <w:r>
        <w:softHyphen/>
        <w:t>ond. This may seem very abstract; hopefully, the following</w:t>
      </w:r>
      <w:r>
        <w:rPr>
          <w:rStyle w:val="deletedparamark"/>
        </w:rPr>
        <w:t xml:space="preserve"> </w:t>
      </w:r>
      <w:r>
        <w:t>examples will help:</w:t>
      </w:r>
    </w:p>
    <w:p w:rsidR="00B72047" w:rsidRDefault="00B72047">
      <w:pPr>
        <w:rPr>
          <w:rStyle w:val="htmlparacode"/>
        </w:rPr>
      </w:pPr>
      <w:r>
        <w:rPr>
          <w:rStyle w:val="htmlparacode"/>
        </w:rPr>
        <w:t>&lt;p&gt;</w:t>
      </w:r>
    </w:p>
    <w:p w:rsidR="00B72047" w:rsidRDefault="00B72047">
      <w:pPr>
        <w:pStyle w:val="examplescaledpre"/>
      </w:pPr>
      <w:r>
        <w:rPr>
          <w:rStyle w:val="indexentry"/>
        </w:rPr>
        <w:t>&lt;ex "rich and German"&gt;</w:t>
      </w:r>
      <w:r>
        <w:rPr>
          <w:rStyle w:val="indexentry"/>
        </w:rPr>
        <w:fldChar w:fldCharType="begin"/>
      </w:r>
      <w:r>
        <w:instrText>xe "</w:instrText>
      </w:r>
      <w:r>
        <w:rPr>
          <w:rStyle w:val="xeentry"/>
        </w:rPr>
        <w:instrText>rich and German: example</w:instrText>
      </w:r>
      <w:r>
        <w:instrText>"</w:instrText>
      </w:r>
      <w:r>
        <w:rPr>
          <w:rStyle w:val="indexentry"/>
        </w:rPr>
        <w:fldChar w:fldCharType="end"/>
      </w:r>
      <w:r>
        <w:rPr>
          <w:rStyle w:val="htmlcodes"/>
        </w:rPr>
        <w:t>&lt;pre&gt;&lt;a name=e15d1&gt;</w:t>
      </w:r>
      <w:r>
        <w:t>15.1)</w:t>
      </w:r>
      <w:r>
        <w:tab/>
        <w:t>lo'i ricfu ku jo'e lo'i dotco cu barda</w:t>
      </w:r>
    </w:p>
    <w:p w:rsidR="00B72047" w:rsidRDefault="00B72047">
      <w:pPr>
        <w:pStyle w:val="examplescaled"/>
      </w:pPr>
      <w:r>
        <w:tab/>
        <w:t>The-set-of rich-things union the-set-of German-things is large.</w:t>
      </w:r>
    </w:p>
    <w:p w:rsidR="00B72047" w:rsidRDefault="00B72047">
      <w:pPr>
        <w:pStyle w:val="examplescaledpre"/>
      </w:pPr>
      <w:r>
        <w:rPr>
          <w:rStyle w:val="htmlcodes"/>
        </w:rPr>
        <w:t>&lt;a name=e15d2&gt;</w:t>
      </w:r>
      <w:r>
        <w:t>15.2)</w:t>
      </w:r>
      <w:r>
        <w:tab/>
        <w:t>lo'i ricfu ku ku'a lo'i dotco cu cmalu</w:t>
      </w:r>
    </w:p>
    <w:p w:rsidR="00B72047" w:rsidRDefault="00B72047">
      <w:pPr>
        <w:pStyle w:val="examplescaled"/>
      </w:pPr>
      <w:r>
        <w:tab/>
        <w:t>The set-of rich-things intersection the-set-of German-things is small.</w:t>
      </w:r>
    </w:p>
    <w:p w:rsidR="00B72047" w:rsidRDefault="00B72047">
      <w:pPr>
        <w:pStyle w:val="normalafterexample"/>
        <w:spacing w:before="0"/>
      </w:pPr>
      <w:r>
        <w:rPr>
          <w:rStyle w:val="htmlcodes"/>
          <w:vanish w:val="0"/>
        </w:rPr>
        <w:br w:type="page"/>
      </w:r>
      <w:r>
        <w:rPr>
          <w:rStyle w:val="htmlcodes"/>
        </w:rPr>
        <w:t>&lt;/pre&gt;</w:t>
      </w:r>
      <w:r>
        <w:rPr>
          <w:rStyle w:val="indexentry"/>
        </w:rPr>
        <w:t>&lt;cx "union of sets, compared with or"&gt;</w:t>
      </w:r>
      <w:r>
        <w:rPr>
          <w:rStyle w:val="indexentry"/>
        </w:rPr>
        <w:fldChar w:fldCharType="begin"/>
      </w:r>
      <w:r>
        <w:instrText>xe "</w:instrText>
      </w:r>
      <w:r>
        <w:rPr>
          <w:rStyle w:val="xeentry"/>
        </w:rPr>
        <w:instrText>union of sets: compared with or</w:instrText>
      </w:r>
      <w:r>
        <w:instrText>"</w:instrText>
      </w:r>
      <w:r>
        <w:rPr>
          <w:rStyle w:val="indexentry"/>
        </w:rPr>
        <w:fldChar w:fldCharType="end"/>
      </w:r>
      <w:r>
        <w:rPr>
          <w:rStyle w:val="indexentry"/>
        </w:rPr>
        <w:t>&lt;cx "intersection of sets, compared with and"&gt;</w:t>
      </w:r>
      <w:r>
        <w:rPr>
          <w:rStyle w:val="indexentry"/>
        </w:rPr>
        <w:fldChar w:fldCharType="begin"/>
      </w:r>
      <w:r>
        <w:instrText>xe "</w:instrText>
      </w:r>
      <w:r>
        <w:rPr>
          <w:rStyle w:val="xeentry"/>
        </w:rPr>
        <w:instrText>intersection of sets: compared with and</w:instrText>
      </w:r>
      <w:r>
        <w:instrText>"</w:instrText>
      </w:r>
      <w:r>
        <w:rPr>
          <w:rStyle w:val="indexentry"/>
        </w:rPr>
        <w:fldChar w:fldCharType="end"/>
      </w:r>
      <w:r>
        <w:t xml:space="preserve">There is a parallelism between logic and set theory that makes </w:t>
      </w:r>
      <w:r>
        <w:rPr>
          <w:rStyle w:val="htmlcodes"/>
        </w:rPr>
        <w:t>&lt;a href=#e15d1&gt;</w:t>
      </w:r>
      <w:r>
        <w:t xml:space="preserve">Example 15.1 </w:t>
      </w:r>
      <w:r>
        <w:rPr>
          <w:rStyle w:val="htmlcodes"/>
        </w:rPr>
        <w:t>&lt;/a&gt;</w:t>
      </w:r>
      <w:r>
        <w:t xml:space="preserve">and </w:t>
      </w:r>
      <w:r>
        <w:rPr>
          <w:rStyle w:val="htmlcodes"/>
        </w:rPr>
        <w:t>&lt;a href=#e15d2&gt;</w:t>
      </w:r>
      <w:r>
        <w:t>E</w:t>
      </w:r>
      <w:r>
        <w:t>x</w:t>
      </w:r>
      <w:r>
        <w:softHyphen/>
        <w:t xml:space="preserve">ample 15.2 </w:t>
      </w:r>
      <w:r>
        <w:rPr>
          <w:rStyle w:val="htmlcodes"/>
        </w:rPr>
        <w:t>&lt;/a&gt;</w:t>
      </w:r>
      <w:r>
        <w:t>equivalent respectively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name=e15d3&gt;</w:t>
      </w:r>
      <w:r>
        <w:t>15.3)</w:t>
      </w:r>
      <w:r>
        <w:tab/>
        <w:t>lo'i ricfu ja dotco cu barda</w:t>
      </w:r>
    </w:p>
    <w:p w:rsidR="00B72047" w:rsidRDefault="00B72047">
      <w:pPr>
        <w:pStyle w:val="examplescaled"/>
      </w:pPr>
      <w:r>
        <w:tab/>
        <w:t>The-set-of rich-or-German-things is large.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name=e15d4&gt;</w:t>
      </w:r>
      <w:r>
        <w:t>15.4)</w:t>
      </w:r>
      <w:r>
        <w:tab/>
        <w:t>lo'i ricfu je dotco cu cmalu</w:t>
      </w:r>
    </w:p>
    <w:p w:rsidR="00B72047" w:rsidRDefault="00B72047">
      <w:pPr>
        <w:pStyle w:val="examplescaled"/>
      </w:pPr>
      <w:r>
        <w:tab/>
        <w:t>The-set-of rich-and-German-things is small.</w:t>
      </w:r>
    </w:p>
    <w:p w:rsidR="00B72047" w:rsidRDefault="00B72047">
      <w:pPr>
        <w:pStyle w:val="normalafterexample"/>
      </w:pPr>
      <w:r>
        <w:rPr>
          <w:rStyle w:val="htmlcodes"/>
        </w:rPr>
        <w:t>&lt;/pre&gt;&lt;p&gt;</w:t>
      </w:r>
      <w:r>
        <w:t>The following example uses “se remei”, which is a set (not a mass) of</w:t>
      </w:r>
      <w:r>
        <w:rPr>
          <w:rStyle w:val="deletedparamark"/>
        </w:rPr>
        <w:t xml:space="preserve"> </w:t>
      </w:r>
      <w:r>
        <w:t>two elements:</w:t>
      </w:r>
    </w:p>
    <w:p w:rsidR="00B72047" w:rsidRDefault="00B72047">
      <w:pPr>
        <w:rPr>
          <w:rStyle w:val="htmlparacode"/>
        </w:rPr>
      </w:pPr>
      <w:r>
        <w:rPr>
          <w:rStyle w:val="htmlparacode"/>
        </w:rPr>
        <w:t>&lt;p&gt;</w:t>
      </w:r>
    </w:p>
    <w:p w:rsidR="00B72047" w:rsidRDefault="00B72047">
      <w:pPr>
        <w:pStyle w:val="examplescaledpre"/>
      </w:pPr>
      <w:r>
        <w:rPr>
          <w:rStyle w:val="indexentry"/>
        </w:rPr>
        <w:t>&lt;cx "pi'u, contrasted with .e"&gt;</w:t>
      </w:r>
      <w:r>
        <w:rPr>
          <w:rStyle w:val="indexentry"/>
        </w:rPr>
        <w:fldChar w:fldCharType="begin"/>
      </w:r>
      <w:r>
        <w:instrText>xe "</w:instrText>
      </w:r>
      <w:r>
        <w:rPr>
          <w:rStyle w:val="xeentry"/>
        </w:rPr>
        <w:instrText>pi'u: contrasted with .e</w:instrText>
      </w:r>
      <w:r>
        <w:instrText>"</w:instrText>
      </w:r>
      <w:r>
        <w:rPr>
          <w:rStyle w:val="indexentry"/>
        </w:rPr>
        <w:fldChar w:fldCharType="end"/>
      </w:r>
      <w:r>
        <w:rPr>
          <w:rStyle w:val="indexentry"/>
        </w:rPr>
        <w:t>&lt;cx "e, contrasted with pi'u"&gt;</w:t>
      </w:r>
      <w:r>
        <w:rPr>
          <w:rStyle w:val="indexentry"/>
        </w:rPr>
        <w:fldChar w:fldCharType="begin"/>
      </w:r>
      <w:r>
        <w:instrText>xe "</w:instrText>
      </w:r>
      <w:r>
        <w:rPr>
          <w:rStyle w:val="xeentry"/>
        </w:rPr>
        <w:instrText>e: contrasted with pi'u</w:instrText>
      </w:r>
      <w:r>
        <w:instrText>"</w:instrText>
      </w:r>
      <w:r>
        <w:rPr>
          <w:rStyle w:val="indexentry"/>
        </w:rPr>
        <w:fldChar w:fldCharType="end"/>
      </w:r>
      <w:r>
        <w:rPr>
          <w:rStyle w:val="indexentry"/>
        </w:rPr>
        <w:t>&lt;cx "cross-product, contrasted with and"&gt;</w:t>
      </w:r>
      <w:r>
        <w:rPr>
          <w:rStyle w:val="indexentry"/>
        </w:rPr>
        <w:fldChar w:fldCharType="begin"/>
      </w:r>
      <w:r>
        <w:instrText>xe "</w:instrText>
      </w:r>
      <w:r>
        <w:rPr>
          <w:rStyle w:val="xeentry"/>
        </w:rPr>
        <w:instrText>cross-product: contrasted with and</w:instrText>
      </w:r>
      <w:r>
        <w:instrText>"</w:instrText>
      </w:r>
      <w:r>
        <w:rPr>
          <w:rStyle w:val="indexentry"/>
        </w:rPr>
        <w:fldChar w:fldCharType="end"/>
      </w:r>
      <w:r>
        <w:rPr>
          <w:rStyle w:val="indexentry"/>
        </w:rPr>
        <w:t>&lt;cx "and, contrasted with cross-product"&gt;</w:t>
      </w:r>
      <w:r>
        <w:rPr>
          <w:rStyle w:val="indexentry"/>
        </w:rPr>
        <w:fldChar w:fldCharType="begin"/>
      </w:r>
      <w:r>
        <w:instrText>xe "</w:instrText>
      </w:r>
      <w:r>
        <w:rPr>
          <w:rStyle w:val="xeentry"/>
        </w:rPr>
        <w:instrText>and: contrasted with cross-product</w:instrText>
      </w:r>
      <w:r>
        <w:instrText>"</w:instrText>
      </w:r>
      <w:r>
        <w:rPr>
          <w:rStyle w:val="indexentry"/>
        </w:rPr>
        <w:fldChar w:fldCharType="end"/>
      </w:r>
      <w:r>
        <w:rPr>
          <w:rStyle w:val="htmlcodes"/>
        </w:rPr>
        <w:t>&lt;pre&gt;&lt;a name=e15d5&gt;</w:t>
      </w:r>
      <w:r>
        <w:t>15.5)</w:t>
      </w:r>
      <w:r>
        <w:tab/>
        <w:t>la djeimyz. ce[bo] la djordj. pi'u la meris. cebo la martas.</w:t>
      </w:r>
    </w:p>
    <w:p w:rsidR="00B72047" w:rsidRDefault="00B72047">
      <w:pPr>
        <w:pStyle w:val="examplescaled"/>
      </w:pPr>
      <w:r>
        <w:tab/>
      </w:r>
      <w:r>
        <w:tab/>
        <w:t>cu prami se remei</w:t>
      </w:r>
    </w:p>
    <w:p w:rsidR="00B72047" w:rsidRDefault="00B72047">
      <w:pPr>
        <w:pStyle w:val="examplescaled"/>
      </w:pPr>
      <w:r>
        <w:tab/>
        <w:t xml:space="preserve">James and-set George cross-product Mary and-set Martha </w:t>
      </w:r>
    </w:p>
    <w:p w:rsidR="00B72047" w:rsidRDefault="00B72047">
      <w:pPr>
        <w:pStyle w:val="examplescaled"/>
      </w:pPr>
      <w:r>
        <w:tab/>
      </w:r>
      <w:r>
        <w:tab/>
        <w:t>are-lover type-of-pairs.</w:t>
      </w:r>
    </w:p>
    <w:p w:rsidR="00B72047" w:rsidRDefault="00B72047">
      <w:pPr>
        <w:pStyle w:val="resumedafterexample"/>
      </w:pPr>
      <w:r>
        <w:rPr>
          <w:rStyle w:val="htmlcodes"/>
        </w:rPr>
        <w:t>&lt;/pre&gt;</w:t>
      </w:r>
      <w:r>
        <w:t>means that each of the pairs James/Mary, George/Mary, James/Martha, and</w:t>
      </w:r>
      <w:r>
        <w:rPr>
          <w:rStyle w:val="deletedparamark"/>
        </w:rPr>
        <w:t xml:space="preserve"> </w:t>
      </w:r>
      <w:r>
        <w:t>George/Martha love each other. Therefore it is similar in meaning to</w:t>
      </w:r>
      <w:r>
        <w:rPr>
          <w:rStyle w:val="deletedparamark"/>
        </w:rPr>
        <w:t xml:space="preserve"> </w:t>
      </w:r>
      <w:r>
        <w:rPr>
          <w:rStyle w:val="htmlcodes"/>
        </w:rPr>
        <w:t>&lt;a href=#e14d13&gt;</w:t>
      </w:r>
      <w:r>
        <w:t>Example 14.13</w:t>
      </w:r>
      <w:r>
        <w:rPr>
          <w:rStyle w:val="htmlcodes"/>
        </w:rPr>
        <w:t>&lt;/a&gt;</w:t>
      </w:r>
      <w:r>
        <w:t>; however, that example speaks only of the men loving the</w:t>
      </w:r>
      <w:r>
        <w:rPr>
          <w:rStyle w:val="deletedparamark"/>
        </w:rPr>
        <w:t xml:space="preserve"> </w:t>
      </w:r>
      <w:r>
        <w:t>women, not vice versa.</w:t>
      </w:r>
    </w:p>
    <w:p w:rsidR="00B72047" w:rsidRDefault="00B72047">
      <w:pPr>
        <w:rPr>
          <w:rStyle w:val="htmlparacode"/>
        </w:rPr>
      </w:pPr>
      <w:r>
        <w:rPr>
          <w:rStyle w:val="htmlparacode"/>
        </w:rPr>
        <w:t>&lt;p&gt;</w:t>
      </w:r>
    </w:p>
    <w:p w:rsidR="00B72047" w:rsidRDefault="00B72047">
      <w:pPr>
        <w:pStyle w:val="normalparagraph"/>
      </w:pPr>
      <w:r>
        <w:rPr>
          <w:rStyle w:val="indexentry"/>
        </w:rPr>
        <w:t>&lt;cx "joiks, grouping"&gt;</w:t>
      </w:r>
      <w:r>
        <w:rPr>
          <w:rStyle w:val="indexentry"/>
        </w:rPr>
        <w:fldChar w:fldCharType="begin"/>
      </w:r>
      <w:r>
        <w:instrText>xe "</w:instrText>
      </w:r>
      <w:r>
        <w:rPr>
          <w:rStyle w:val="xeentry"/>
        </w:rPr>
        <w:instrText>joiks: grouping</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&lt;cx "non-logical connectives, grouping"&gt;</w:t>
      </w:r>
      <w:r>
        <w:rPr>
          <w:rStyle w:val="indexentry"/>
        </w:rPr>
        <w:fldChar w:fldCharType="begin"/>
      </w:r>
      <w:r>
        <w:instrText>xe "</w:instrText>
      </w:r>
      <w:r>
        <w:rPr>
          <w:rStyle w:val="xeentry"/>
        </w:rPr>
        <w:instrText>non-logical connectives: grouping</w:instrText>
      </w:r>
      <w:r>
        <w:instrText>"</w:instrText>
      </w:r>
      <w:r>
        <w:rPr>
          <w:rStyle w:val="indexentry"/>
        </w:rPr>
        <w:fldChar w:fldCharType="end"/>
      </w:r>
      <w:r>
        <w:t>Joiks may be combined with “bo” or with “ke” in the same way as eks and</w:t>
      </w:r>
      <w:r>
        <w:rPr>
          <w:rStyle w:val="deletedparamark"/>
        </w:rPr>
        <w:t xml:space="preserve"> </w:t>
      </w:r>
      <w:r>
        <w:t>jeks; this allows grouping of non-logical connections between sumti and</w:t>
      </w:r>
      <w:r>
        <w:rPr>
          <w:rStyle w:val="deletedparamark"/>
        </w:rPr>
        <w:t xml:space="preserve"> </w:t>
      </w:r>
      <w:r>
        <w:t>tanru units, in complete parallelism with logical connections: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name=e15d6&gt;</w:t>
      </w:r>
      <w:r>
        <w:t>15.6)</w:t>
      </w:r>
      <w:r>
        <w:tab/>
        <w:t>mi joibo do ce la djan. joibo la djein.</w:t>
      </w:r>
    </w:p>
    <w:p w:rsidR="00B72047" w:rsidRDefault="00B72047">
      <w:pPr>
        <w:pStyle w:val="examplescaled"/>
      </w:pPr>
      <w:r>
        <w:tab/>
      </w:r>
      <w:r>
        <w:tab/>
        <w:t>cu gunma se remei</w:t>
      </w:r>
    </w:p>
    <w:p w:rsidR="00B72047" w:rsidRDefault="00B72047">
      <w:pPr>
        <w:pStyle w:val="examplescaled"/>
      </w:pPr>
      <w:r>
        <w:tab/>
        <w:t xml:space="preserve">(I massed-with you) and (John massed-with Jane) </w:t>
      </w:r>
    </w:p>
    <w:p w:rsidR="00B72047" w:rsidRDefault="00B72047">
      <w:pPr>
        <w:pStyle w:val="examplescaled"/>
      </w:pPr>
      <w:r>
        <w:tab/>
      </w:r>
      <w:r>
        <w:tab/>
        <w:t>are-a-mass type-of-two-set</w:t>
      </w:r>
    </w:p>
    <w:p w:rsidR="00B72047" w:rsidRDefault="00B72047">
      <w:pPr>
        <w:pStyle w:val="resumedafterexample"/>
      </w:pPr>
      <w:r>
        <w:rPr>
          <w:rStyle w:val="htmlcodes"/>
        </w:rPr>
        <w:t>&lt;/pre&gt;</w:t>
      </w:r>
      <w:r>
        <w:t>asserts that there is a set of two items each of which is a mass.</w:t>
      </w:r>
    </w:p>
    <w:p w:rsidR="00B72047" w:rsidRDefault="00B72047">
      <w:pPr>
        <w:rPr>
          <w:rStyle w:val="htmlparacode"/>
        </w:rPr>
      </w:pPr>
      <w:r>
        <w:rPr>
          <w:rStyle w:val="htmlparacode"/>
        </w:rPr>
        <w:t>&lt;p&gt;</w:t>
      </w:r>
    </w:p>
    <w:p w:rsidR="00B72047" w:rsidRDefault="00B72047">
      <w:pPr>
        <w:pStyle w:val="normalparagraph"/>
      </w:pPr>
      <w:r>
        <w:rPr>
          <w:rStyle w:val="indexentry"/>
        </w:rPr>
        <w:t>&lt;cx "non-logical connection, of termsets"&gt;</w:t>
      </w:r>
      <w:r>
        <w:rPr>
          <w:rStyle w:val="indexentry"/>
        </w:rPr>
        <w:fldChar w:fldCharType="begin"/>
      </w:r>
      <w:r>
        <w:instrText>xe "</w:instrText>
      </w:r>
      <w:r>
        <w:rPr>
          <w:rStyle w:val="xeentry"/>
        </w:rPr>
        <w:instrText>non-logical connection: of termsets</w:instrText>
      </w:r>
      <w:r>
        <w:instrText>"</w:instrText>
      </w:r>
      <w:r>
        <w:rPr>
          <w:rStyle w:val="indexentry"/>
        </w:rPr>
        <w:fldChar w:fldCharType="end"/>
      </w:r>
      <w:r>
        <w:rPr>
          <w:rStyle w:val="indexentry"/>
        </w:rPr>
        <w:t>&lt;cx "termsets, non-logical connection of"&gt;</w:t>
      </w:r>
      <w:r>
        <w:rPr>
          <w:rStyle w:val="indexentry"/>
        </w:rPr>
        <w:fldChar w:fldCharType="begin"/>
      </w:r>
      <w:r>
        <w:instrText>xe "</w:instrText>
      </w:r>
      <w:r>
        <w:rPr>
          <w:rStyle w:val="xeentry"/>
        </w:rPr>
        <w:instrText>termsets: non-logical connection of</w:instrText>
      </w:r>
      <w:r>
        <w:instrText>"</w:instrText>
      </w:r>
      <w:r>
        <w:rPr>
          <w:rStyle w:val="indexentry"/>
        </w:rPr>
        <w:fldChar w:fldCharType="end"/>
      </w:r>
      <w:r>
        <w:t>Non-logical connection is permitted at the joint of a termset; this is</w:t>
      </w:r>
      <w:r>
        <w:rPr>
          <w:rStyle w:val="deletedparamark"/>
        </w:rPr>
        <w:t xml:space="preserve"> </w:t>
      </w:r>
      <w:r>
        <w:t>useful for assoc</w:t>
      </w:r>
      <w:r>
        <w:t>i</w:t>
      </w:r>
      <w:r>
        <w:softHyphen/>
        <w:t>ating more than one sumti or tagged sumti with each side</w:t>
      </w:r>
      <w:r>
        <w:rPr>
          <w:rStyle w:val="deletedparamark"/>
        </w:rPr>
        <w:t xml:space="preserve"> </w:t>
      </w:r>
      <w:r>
        <w:t>of the non-logical con</w:t>
      </w:r>
      <w:r>
        <w:softHyphen/>
        <w:t>nection. The place structure of “casnu”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w:t>
      </w:r>
      <w:r>
        <w:t xml:space="preserve">casnu:  </w:t>
      </w:r>
      <w:r>
        <w:rPr>
          <w:rStyle w:val="htmlcodes"/>
        </w:rPr>
        <w:t>&lt;dd&gt;</w:t>
      </w:r>
      <w:r>
        <w:t>the mass x1 discusses/talks about x2</w:t>
      </w:r>
    </w:p>
    <w:p w:rsidR="00B72047" w:rsidRDefault="00B72047">
      <w:pPr>
        <w:pStyle w:val="resumedafterexample"/>
      </w:pPr>
      <w:r>
        <w:rPr>
          <w:rStyle w:val="htmlcodes"/>
        </w:rPr>
        <w:t>&lt;/dl&gt;</w:t>
      </w:r>
      <w:r>
        <w:t>so the x1 place must be occupied by a mass (for reasons not explained here);</w:t>
      </w:r>
      <w:r>
        <w:rPr>
          <w:rStyle w:val="deletedparamark"/>
        </w:rPr>
        <w:t xml:space="preserve"> </w:t>
      </w:r>
      <w:r>
        <w:t>however, different components of the mass may discuss in different languages.</w:t>
      </w:r>
      <w:r>
        <w:rPr>
          <w:rStyle w:val="deletedparamark"/>
        </w:rPr>
        <w:t xml:space="preserve"> </w:t>
      </w:r>
      <w:r>
        <w:t>To associate each participant with his or her language, we can say:</w:t>
      </w:r>
    </w:p>
    <w:p w:rsidR="00B72047" w:rsidRDefault="00B72047">
      <w:pPr>
        <w:rPr>
          <w:rStyle w:val="htmlparacode"/>
        </w:rPr>
      </w:pPr>
      <w:r>
        <w:rPr>
          <w:rStyle w:val="htmlparacode"/>
        </w:rPr>
        <w:t>&lt;p&gt;</w:t>
      </w:r>
    </w:p>
    <w:p w:rsidR="00B72047" w:rsidRDefault="00B72047">
      <w:pPr>
        <w:pStyle w:val="examplescaledpre"/>
      </w:pPr>
      <w:r>
        <w:rPr>
          <w:rStyle w:val="indexentry"/>
        </w:rPr>
        <w:t>&lt;ex "discuss in language"&gt;</w:t>
      </w:r>
      <w:r>
        <w:rPr>
          <w:rStyle w:val="indexentry"/>
        </w:rPr>
        <w:fldChar w:fldCharType="begin"/>
      </w:r>
      <w:r>
        <w:instrText>xe "</w:instrText>
      </w:r>
      <w:r>
        <w:rPr>
          <w:rStyle w:val="xeentry"/>
        </w:rPr>
        <w:instrText>discuss in language: example</w:instrText>
      </w:r>
      <w:r>
        <w:instrText>"</w:instrText>
      </w:r>
      <w:r>
        <w:rPr>
          <w:rStyle w:val="indexentry"/>
        </w:rPr>
        <w:fldChar w:fldCharType="end"/>
      </w:r>
      <w:r>
        <w:rPr>
          <w:rStyle w:val="htmlcodes"/>
        </w:rPr>
        <w:t>&lt;pre&gt;&lt;a name=e15d7&gt;</w:t>
      </w:r>
      <w:r>
        <w:t>15.7)</w:t>
      </w:r>
      <w:r>
        <w:tab/>
        <w:t xml:space="preserve"> mi ce'e bau la lojban.</w:t>
      </w:r>
    </w:p>
    <w:p w:rsidR="00B72047" w:rsidRDefault="00B72047">
      <w:pPr>
        <w:pStyle w:val="examplescaled"/>
      </w:pPr>
      <w:r>
        <w:tab/>
      </w:r>
      <w:r>
        <w:tab/>
        <w:t>pe'e joi do ce'e bau la gliban. nu'u casnu</w:t>
      </w:r>
    </w:p>
    <w:p w:rsidR="00B72047" w:rsidRDefault="00B72047">
      <w:pPr>
        <w:pStyle w:val="examplescaled"/>
      </w:pPr>
      <w:r>
        <w:tab/>
        <w:t xml:space="preserve">( I [plus] in-language Lojban </w:t>
      </w:r>
    </w:p>
    <w:p w:rsidR="00B72047" w:rsidRDefault="00B72047">
      <w:pPr>
        <w:pStyle w:val="examplescaled"/>
      </w:pPr>
      <w:r>
        <w:tab/>
      </w:r>
      <w:r>
        <w:tab/>
        <w:t>massed-with you [plus] in-language English ) discuss.</w:t>
      </w:r>
    </w:p>
    <w:p w:rsidR="00B72047" w:rsidRDefault="00B72047">
      <w:pPr>
        <w:pStyle w:val="normalafterexample"/>
      </w:pPr>
      <w:r>
        <w:rPr>
          <w:rStyle w:val="htmlcodes"/>
        </w:rPr>
        <w:t>&lt;/pre&gt;&lt;p&gt;</w:t>
      </w:r>
      <w:r>
        <w:t xml:space="preserve">Like all non-logical connectives, the usage shown in </w:t>
      </w:r>
      <w:r>
        <w:rPr>
          <w:rStyle w:val="htmlcodes"/>
        </w:rPr>
        <w:t>&lt;a href=#e15d7&gt;</w:t>
      </w:r>
      <w:r>
        <w:t xml:space="preserve">Example 15.7 </w:t>
      </w:r>
      <w:r>
        <w:rPr>
          <w:rStyle w:val="htmlcodes"/>
        </w:rPr>
        <w:t>&lt;/a&gt;</w:t>
      </w:r>
      <w:r>
        <w:t>cannot</w:t>
      </w:r>
      <w:r>
        <w:rPr>
          <w:rStyle w:val="deletedparamark"/>
        </w:rPr>
        <w:t xml:space="preserve"> </w:t>
      </w:r>
      <w:r>
        <w:t>be m</w:t>
      </w:r>
      <w:r>
        <w:t>e</w:t>
      </w:r>
      <w:r>
        <w:softHyphen/>
        <w:t>chanically converted into a non-logical connective placed at another</w:t>
      </w:r>
      <w:r>
        <w:rPr>
          <w:rStyle w:val="deletedparamark"/>
        </w:rPr>
        <w:t xml:space="preserve"> </w:t>
      </w:r>
      <w:r>
        <w:t xml:space="preserve">location in the bridi. The forethought equivalent of </w:t>
      </w:r>
      <w:r>
        <w:rPr>
          <w:rStyle w:val="htmlcodes"/>
        </w:rPr>
        <w:t>&lt;a href=#e15d7&gt;</w:t>
      </w:r>
      <w:r>
        <w:t xml:space="preserve">Example 15.7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name=e15d8&gt;</w:t>
      </w:r>
      <w:r>
        <w:t>15.8)</w:t>
      </w:r>
      <w:r>
        <w:tab/>
        <w:t xml:space="preserve"> nu'i joigi mi bau la lojban gi do bau la gliban. nu'u casnu</w:t>
      </w:r>
    </w:p>
    <w:p w:rsidR="00B72047" w:rsidRDefault="00B72047">
      <w:pPr>
        <w:pStyle w:val="normalafterexample"/>
        <w:spacing w:before="0"/>
      </w:pPr>
      <w:r>
        <w:rPr>
          <w:rStyle w:val="htmlcodes"/>
          <w:vanish w:val="0"/>
        </w:rPr>
        <w:br w:type="page"/>
      </w:r>
      <w:r>
        <w:rPr>
          <w:rStyle w:val="htmlcodes"/>
        </w:rPr>
        <w:t>&lt;/pre&gt;</w:t>
      </w:r>
      <w:r>
        <w:rPr>
          <w:rStyle w:val="indexentry"/>
        </w:rPr>
        <w:t>&lt;cx "non-logical forethought termsets, connecting tagged sumti"&gt;</w:t>
      </w:r>
      <w:r>
        <w:rPr>
          <w:rStyle w:val="indexentry"/>
        </w:rPr>
        <w:fldChar w:fldCharType="begin"/>
      </w:r>
      <w:r>
        <w:instrText>xe "</w:instrText>
      </w:r>
      <w:r>
        <w:rPr>
          <w:rStyle w:val="xeentry"/>
        </w:rPr>
        <w:instrText>non-logical forethought termsets: connecting tagged sumti</w:instrText>
      </w:r>
      <w:r>
        <w:instrText>"</w:instrText>
      </w:r>
      <w:r>
        <w:rPr>
          <w:rStyle w:val="indexentry"/>
        </w:rPr>
        <w:fldChar w:fldCharType="end"/>
      </w:r>
      <w:r>
        <w:rPr>
          <w:rStyle w:val="indexentry"/>
        </w:rPr>
        <w:t>&lt;cx "tagged sumti termsets, connecting with non-logical forethought connectives"&gt;</w:t>
      </w:r>
      <w:r>
        <w:rPr>
          <w:rStyle w:val="indexentry"/>
        </w:rPr>
        <w:fldChar w:fldCharType="begin"/>
      </w:r>
      <w:r>
        <w:instrText>xe "</w:instrText>
      </w:r>
      <w:r>
        <w:rPr>
          <w:rStyle w:val="xeentry"/>
        </w:rPr>
        <w:instrText>tagged sumti termsets: connecting with non-logical forethought connectives</w:instrText>
      </w:r>
      <w:r>
        <w:instrText>"</w:instrText>
      </w:r>
      <w:r>
        <w:rPr>
          <w:rStyle w:val="indexentry"/>
        </w:rPr>
        <w:fldChar w:fldCharType="end"/>
      </w:r>
      <w:r>
        <w:rPr>
          <w:rStyle w:val="indexentry"/>
        </w:rPr>
        <w:t>&lt;cx "respectively, with different relationships"&gt;</w:t>
      </w:r>
      <w:r>
        <w:rPr>
          <w:rStyle w:val="indexentry"/>
        </w:rPr>
        <w:fldChar w:fldCharType="begin"/>
      </w:r>
      <w:r>
        <w:instrText>xe "</w:instrText>
      </w:r>
      <w:r>
        <w:rPr>
          <w:rStyle w:val="xeentry"/>
        </w:rPr>
        <w:instrText>respectively: with different relationships</w:instrText>
      </w:r>
      <w:r>
        <w:instrText>"</w:instrText>
      </w:r>
      <w:r>
        <w:rPr>
          <w:rStyle w:val="indexentry"/>
        </w:rPr>
        <w:fldChar w:fldCharType="end"/>
      </w:r>
      <w:r>
        <w:t>Non-logical forethought termsets are also useful when the things to be</w:t>
      </w:r>
      <w:r>
        <w:rPr>
          <w:rStyle w:val="deletedparamark"/>
        </w:rPr>
        <w:t xml:space="preserve"> </w:t>
      </w:r>
      <w:r>
        <w:t>non-logically connected are sumti preceded with tense or modal (BAI) tags: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name=e15d9&gt;</w:t>
      </w:r>
      <w:r>
        <w:t>15.9)</w:t>
      </w:r>
      <w:r>
        <w:tab/>
        <w:t>la djan. fa'u la frank. cusku nu'i bau la lojban.</w:t>
      </w:r>
    </w:p>
    <w:p w:rsidR="00B72047" w:rsidRDefault="00B72047">
      <w:pPr>
        <w:pStyle w:val="examplescaled"/>
      </w:pPr>
      <w:r>
        <w:tab/>
      </w:r>
      <w:r>
        <w:tab/>
        <w:t>nu'u fa'u bai tu’a la djordj. [nu'u]</w:t>
      </w:r>
    </w:p>
    <w:p w:rsidR="00B72047" w:rsidRDefault="00B72047">
      <w:pPr>
        <w:pStyle w:val="examplescaled"/>
      </w:pPr>
      <w:r>
        <w:tab/>
        <w:t>John respectively-with Frank express [start termset] in-language Lojban</w:t>
      </w:r>
    </w:p>
    <w:p w:rsidR="00B72047" w:rsidRDefault="00B72047">
      <w:pPr>
        <w:pStyle w:val="examplescaled"/>
      </w:pPr>
      <w:r>
        <w:tab/>
      </w:r>
      <w:r>
        <w:tab/>
        <w:t>[joint] respectively-with under-compulsion-by George.</w:t>
      </w:r>
    </w:p>
    <w:p w:rsidR="00B72047" w:rsidRDefault="00B72047">
      <w:pPr>
        <w:pStyle w:val="examplescaled"/>
      </w:pPr>
      <w:r>
        <w:tab/>
        <w:t>John and Frank speak in Lojban and under George's compulsion, respectively.</w:t>
      </w:r>
    </w:p>
    <w:p w:rsidR="00B72047" w:rsidRDefault="00B72047">
      <w:pPr>
        <w:pStyle w:val="resumedafterexample"/>
      </w:pPr>
      <w:r>
        <w:rPr>
          <w:rStyle w:val="htmlcodes"/>
        </w:rPr>
        <w:t>&lt;/pre&gt;&lt;a href=#e14d17&gt;</w:t>
      </w:r>
      <w:r>
        <w:t xml:space="preserve">Example 14.17 </w:t>
      </w:r>
      <w:r>
        <w:rPr>
          <w:rStyle w:val="htmlcodes"/>
        </w:rPr>
        <w:t>&lt;/a&gt;</w:t>
      </w:r>
      <w:r>
        <w:t>associates speaking in Lojban with John, and speaking under</w:t>
      </w:r>
      <w:r>
        <w:rPr>
          <w:rStyle w:val="deletedparamark"/>
        </w:rPr>
        <w:t xml:space="preserve"> </w:t>
      </w:r>
      <w:r>
        <w:t>George's compulsion with Frank. We do not know what language Frank uses,</w:t>
      </w:r>
      <w:r>
        <w:rPr>
          <w:rStyle w:val="deletedparamark"/>
        </w:rPr>
        <w:t xml:space="preserve"> </w:t>
      </w:r>
      <w:r>
        <w:t>or whether John speaks under anyone's compulsion.</w:t>
      </w:r>
    </w:p>
    <w:p w:rsidR="00B72047" w:rsidRDefault="00B72047">
      <w:pPr>
        <w:rPr>
          <w:rStyle w:val="htmlparacode"/>
        </w:rPr>
      </w:pPr>
      <w:r>
        <w:rPr>
          <w:rStyle w:val="htmlparacode"/>
        </w:rPr>
        <w:t>&lt;p&gt;</w:t>
      </w:r>
    </w:p>
    <w:p w:rsidR="00B72047" w:rsidRDefault="00B72047">
      <w:pPr>
        <w:pStyle w:val="normalparagraph"/>
      </w:pPr>
      <w:r>
        <w:rPr>
          <w:rStyle w:val="indexentry"/>
        </w:rPr>
        <w:t>&lt;cx "ijoik, definition"&gt;</w:t>
      </w:r>
      <w:r>
        <w:rPr>
          <w:rStyle w:val="indexentry"/>
        </w:rPr>
        <w:fldChar w:fldCharType="begin"/>
      </w:r>
      <w:r>
        <w:instrText>xe "</w:instrText>
      </w:r>
      <w:r>
        <w:rPr>
          <w:rStyle w:val="xeentry"/>
        </w:rPr>
        <w:instrText>ijoik: definition</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&lt;cx "non-logical connectives, sentence"&gt;</w:t>
      </w:r>
      <w:r>
        <w:rPr>
          <w:rStyle w:val="indexentry"/>
        </w:rPr>
        <w:fldChar w:fldCharType="begin"/>
      </w:r>
      <w:r>
        <w:instrText>xe "</w:instrText>
      </w:r>
      <w:r>
        <w:rPr>
          <w:rStyle w:val="xeentry"/>
        </w:rPr>
        <w:instrText>non-logical connectives: sentence</w:instrText>
      </w:r>
      <w:r>
        <w:instrText>"</w:instrText>
      </w:r>
      <w:r>
        <w:rPr>
          <w:rStyle w:val="indexentry"/>
        </w:rPr>
        <w:fldChar w:fldCharType="end"/>
      </w:r>
      <w:r>
        <w:rPr>
          <w:rStyle w:val="indexentry"/>
        </w:rPr>
        <w:t>&lt;cx "sentences, connecting non-logically"&gt;</w:t>
      </w:r>
      <w:r>
        <w:rPr>
          <w:rStyle w:val="indexentry"/>
        </w:rPr>
        <w:fldChar w:fldCharType="begin"/>
      </w:r>
      <w:r>
        <w:instrText>xe "</w:instrText>
      </w:r>
      <w:r>
        <w:rPr>
          <w:rStyle w:val="xeentry"/>
        </w:rPr>
        <w:instrText>sentences: connecting non-logically</w:instrText>
      </w:r>
      <w:r>
        <w:instrText>"</w:instrText>
      </w:r>
      <w:r>
        <w:rPr>
          <w:rStyle w:val="indexentry"/>
        </w:rPr>
        <w:fldChar w:fldCharType="end"/>
      </w:r>
      <w:r>
        <w:rPr>
          <w:rStyle w:val="indexentry"/>
        </w:rPr>
        <w:t>&lt;cx "ice'o, contrasted with .ibabo"&gt;</w:t>
      </w:r>
      <w:r>
        <w:rPr>
          <w:rStyle w:val="indexentry"/>
        </w:rPr>
        <w:fldChar w:fldCharType="begin"/>
      </w:r>
      <w:r>
        <w:instrText>xe "</w:instrText>
      </w:r>
      <w:r>
        <w:rPr>
          <w:rStyle w:val="xeentry"/>
        </w:rPr>
        <w:instrText>ice'o: contrasted with .ibabo</w:instrText>
      </w:r>
      <w:r>
        <w:instrText>"</w:instrText>
      </w:r>
      <w:r>
        <w:rPr>
          <w:rStyle w:val="indexentry"/>
        </w:rPr>
        <w:fldChar w:fldCharType="end"/>
      </w:r>
      <w:r>
        <w:rPr>
          <w:rStyle w:val="indexentry"/>
        </w:rPr>
        <w:t>&lt;cx "sequence of events, expressing non-time-related sequences"&gt;</w:t>
      </w:r>
      <w:r>
        <w:rPr>
          <w:rStyle w:val="indexentry"/>
        </w:rPr>
        <w:fldChar w:fldCharType="begin"/>
      </w:r>
      <w:r>
        <w:instrText>xe "</w:instrText>
      </w:r>
      <w:r>
        <w:rPr>
          <w:rStyle w:val="xeentry"/>
        </w:rPr>
        <w:instrText>sequence of events: expressing non-time-related sequences</w:instrText>
      </w:r>
      <w:r>
        <w:instrText>"</w:instrText>
      </w:r>
      <w:r>
        <w:rPr>
          <w:rStyle w:val="indexentry"/>
        </w:rPr>
        <w:fldChar w:fldCharType="end"/>
      </w:r>
      <w:r>
        <w:t>Joiks may be prefixed with “.i” to produce ijoiks, which serve to non-logically</w:t>
      </w:r>
      <w:r>
        <w:rPr>
          <w:rStyle w:val="deletedparamark"/>
        </w:rPr>
        <w:t xml:space="preserve"> </w:t>
      </w:r>
      <w:r>
        <w:t>co</w:t>
      </w:r>
      <w:r>
        <w:t>n</w:t>
      </w:r>
      <w:r>
        <w:softHyphen/>
        <w:t>nect sentences. The ijoik “.ice'o” indicates</w:t>
      </w:r>
      <w:r>
        <w:rPr>
          <w:rStyle w:val="deletedparamark"/>
        </w:rPr>
        <w:t xml:space="preserve"> </w:t>
      </w:r>
      <w:r>
        <w:t>that the event of the second bridi follows that of the first bridi in some</w:t>
      </w:r>
      <w:r>
        <w:rPr>
          <w:rStyle w:val="deletedparamark"/>
        </w:rPr>
        <w:t xml:space="preserve"> </w:t>
      </w:r>
      <w:r>
        <w:t>way other than a time relation</w:t>
      </w:r>
      <w:r>
        <w:softHyphen/>
        <w:t>ship (which is handled with a tense):</w:t>
      </w:r>
    </w:p>
    <w:p w:rsidR="00B72047" w:rsidRDefault="00B72047">
      <w:pPr>
        <w:rPr>
          <w:rStyle w:val="htmlparacode"/>
        </w:rPr>
      </w:pPr>
      <w:r>
        <w:rPr>
          <w:rStyle w:val="htmlparacode"/>
        </w:rPr>
        <w:t>&lt;p&gt;</w:t>
      </w:r>
    </w:p>
    <w:p w:rsidR="00B72047" w:rsidRDefault="00B72047">
      <w:pPr>
        <w:pStyle w:val="examplescaledpre"/>
      </w:pPr>
      <w:r>
        <w:rPr>
          <w:rStyle w:val="indexentry"/>
        </w:rPr>
        <w:t>&lt;ex "to-do list"&gt;</w:t>
      </w:r>
      <w:r>
        <w:rPr>
          <w:rStyle w:val="indexentry"/>
        </w:rPr>
        <w:fldChar w:fldCharType="begin"/>
      </w:r>
      <w:r>
        <w:instrText>xe "</w:instrText>
      </w:r>
      <w:r>
        <w:rPr>
          <w:rStyle w:val="xeentry"/>
        </w:rPr>
        <w:instrText>to-do list: example</w:instrText>
      </w:r>
      <w:r>
        <w:instrText>"</w:instrText>
      </w:r>
      <w:r>
        <w:rPr>
          <w:rStyle w:val="indexentry"/>
        </w:rPr>
        <w:fldChar w:fldCharType="end"/>
      </w:r>
      <w:r>
        <w:rPr>
          <w:rStyle w:val="indexentry"/>
        </w:rPr>
        <w:t>&lt;ex "list of things to do"&gt;</w:t>
      </w:r>
      <w:r>
        <w:rPr>
          <w:rStyle w:val="indexentry"/>
        </w:rPr>
        <w:fldChar w:fldCharType="begin"/>
      </w:r>
      <w:r>
        <w:instrText>xe "</w:instrText>
      </w:r>
      <w:r>
        <w:rPr>
          <w:rStyle w:val="xeentry"/>
        </w:rPr>
        <w:instrText>list of things to do: example</w:instrText>
      </w:r>
      <w:r>
        <w:instrText>"</w:instrText>
      </w:r>
      <w:r>
        <w:rPr>
          <w:rStyle w:val="indexentry"/>
        </w:rPr>
        <w:fldChar w:fldCharType="end"/>
      </w:r>
      <w:r>
        <w:rPr>
          <w:rStyle w:val="htmlcodes"/>
        </w:rPr>
        <w:t>&lt;pre&gt;&lt;a name=e15d10&gt;</w:t>
      </w:r>
      <w:r>
        <w:t>15.10)</w:t>
      </w:r>
      <w:r>
        <w:tab/>
        <w:t>mi ba gasnu la'edi'e</w:t>
      </w:r>
    </w:p>
    <w:p w:rsidR="00B72047" w:rsidRDefault="00B72047">
      <w:pPr>
        <w:pStyle w:val="examplescaled"/>
      </w:pPr>
      <w:r>
        <w:tab/>
      </w:r>
      <w:r>
        <w:tab/>
        <w:t>.i tu'e kanji lo ni cteki</w:t>
      </w:r>
    </w:p>
    <w:p w:rsidR="00B72047" w:rsidRDefault="00B72047">
      <w:pPr>
        <w:pStyle w:val="examplescaled"/>
      </w:pPr>
      <w:r>
        <w:tab/>
      </w:r>
      <w:r>
        <w:tab/>
        <w:t>.ice'o lumci le karce</w:t>
      </w:r>
    </w:p>
    <w:p w:rsidR="00B72047" w:rsidRDefault="00B72047">
      <w:pPr>
        <w:pStyle w:val="examplescaled"/>
      </w:pPr>
      <w:r>
        <w:tab/>
      </w:r>
      <w:r>
        <w:tab/>
        <w:t>.ice'o dzukansa le gerku tu'u</w:t>
      </w:r>
    </w:p>
    <w:p w:rsidR="00B72047" w:rsidRDefault="00B72047">
      <w:pPr>
        <w:pStyle w:val="examplescaled"/>
      </w:pPr>
      <w:r>
        <w:tab/>
        <w:t>I [future] do the-referent-of-the-following:</w:t>
      </w:r>
    </w:p>
    <w:p w:rsidR="00B72047" w:rsidRDefault="00B72047">
      <w:pPr>
        <w:pStyle w:val="examplescaled"/>
      </w:pPr>
      <w:r>
        <w:tab/>
      </w:r>
      <w:r>
        <w:tab/>
        <w:t>( Compute the quantity of taxes.</w:t>
      </w:r>
    </w:p>
    <w:p w:rsidR="00B72047" w:rsidRDefault="00B72047">
      <w:pPr>
        <w:pStyle w:val="examplescaled"/>
      </w:pPr>
      <w:r>
        <w:tab/>
      </w:r>
      <w:r>
        <w:tab/>
        <w:t>And-then wash the car.</w:t>
      </w:r>
    </w:p>
    <w:p w:rsidR="00B72047" w:rsidRDefault="00B72047">
      <w:pPr>
        <w:pStyle w:val="examplescaled"/>
      </w:pPr>
      <w:r>
        <w:tab/>
      </w:r>
      <w:r>
        <w:tab/>
        <w:t>And-then walkingly-accompany the dog. )</w:t>
      </w:r>
    </w:p>
    <w:p w:rsidR="00B72047" w:rsidRDefault="00B72047">
      <w:pPr>
        <w:pStyle w:val="examplescaled"/>
      </w:pPr>
      <w:r>
        <w:tab/>
        <w:t>List of things to do:</w:t>
      </w:r>
    </w:p>
    <w:p w:rsidR="00B72047" w:rsidRDefault="00B72047">
      <w:pPr>
        <w:pStyle w:val="examplescaled"/>
      </w:pPr>
      <w:r>
        <w:tab/>
      </w:r>
      <w:r>
        <w:tab/>
        <w:t>Figure taxes.</w:t>
      </w:r>
    </w:p>
    <w:p w:rsidR="00B72047" w:rsidRDefault="00B72047">
      <w:pPr>
        <w:pStyle w:val="examplescaled"/>
      </w:pPr>
      <w:r>
        <w:tab/>
      </w:r>
      <w:r>
        <w:tab/>
        <w:t>Wash car.</w:t>
      </w:r>
    </w:p>
    <w:p w:rsidR="00B72047" w:rsidRDefault="00B72047">
      <w:pPr>
        <w:pStyle w:val="examplescaled"/>
      </w:pPr>
      <w:r>
        <w:tab/>
      </w:r>
      <w:r>
        <w:tab/>
        <w:t>Walk dog.</w:t>
      </w:r>
    </w:p>
    <w:p w:rsidR="00B72047" w:rsidRDefault="00B72047">
      <w:pPr>
        <w:pStyle w:val="resumedafterexample"/>
      </w:pPr>
      <w:r>
        <w:rPr>
          <w:rStyle w:val="htmlcodes"/>
        </w:rPr>
        <w:t>&lt;/pre&gt;</w:t>
      </w:r>
      <w:r>
        <w:rPr>
          <w:rStyle w:val="indexentry"/>
        </w:rPr>
        <w:t>&lt;lx "TUhE"&gt;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&lt;lx "TUhU"&gt;</w:t>
      </w:r>
      <w:r>
        <w:rPr>
          <w:rStyle w:val="indexentry"/>
        </w:rPr>
        <w:fldChar w:fldCharType="begin"/>
      </w:r>
      <w:r>
        <w:instrText>xe "</w:instrText>
      </w:r>
      <w:r>
        <w:rPr>
          <w:rStyle w:val="xeentry"/>
        </w:rPr>
        <w:instrText>TUhU selma’o</w:instrText>
      </w:r>
      <w:r>
        <w:instrText>"</w:instrText>
      </w:r>
      <w:r>
        <w:rPr>
          <w:rStyle w:val="indexentry"/>
        </w:rPr>
        <w:fldChar w:fldCharType="end"/>
      </w:r>
      <w:r>
        <w:rPr>
          <w:rStyle w:val="indexentry"/>
        </w:rPr>
        <w:t>&lt;lx "di'e"&gt;</w:t>
      </w:r>
      <w:r>
        <w:rPr>
          <w:rStyle w:val="indexentry"/>
        </w:rPr>
        <w:fldChar w:fldCharType="begin"/>
      </w:r>
      <w:r>
        <w:instrText>xe "</w:instrText>
      </w:r>
      <w:r>
        <w:rPr>
          <w:rStyle w:val="xeentry"/>
        </w:rPr>
        <w:instrText>di'e</w:instrText>
      </w:r>
      <w:r>
        <w:instrText>"</w:instrText>
      </w:r>
      <w:r>
        <w:rPr>
          <w:rStyle w:val="indexentry"/>
        </w:rPr>
        <w:fldChar w:fldCharType="end"/>
      </w:r>
      <w:r>
        <w:rPr>
          <w:rStyle w:val="indexentry"/>
        </w:rPr>
        <w:t>&lt;lx "tu'u"&gt;</w:t>
      </w:r>
      <w:r>
        <w:rPr>
          <w:rStyle w:val="indexentry"/>
        </w:rPr>
        <w:fldChar w:fldCharType="begin"/>
      </w:r>
      <w:r>
        <w:instrText>xe "</w:instrText>
      </w:r>
      <w:r>
        <w:rPr>
          <w:rStyle w:val="xeentry"/>
        </w:rPr>
        <w:instrText>tu'u</w:instrText>
      </w:r>
      <w:r>
        <w:instrText>"</w:instrText>
      </w:r>
      <w:r>
        <w:rPr>
          <w:rStyle w:val="indexentry"/>
        </w:rPr>
        <w:fldChar w:fldCharType="end"/>
      </w: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rPr>
          <w:rStyle w:val="indexentry"/>
        </w:rPr>
        <w:t>&lt;cx "lists, use of tu'e/tu'u in"&gt;</w:t>
      </w:r>
      <w:r>
        <w:rPr>
          <w:rStyle w:val="indexentry"/>
        </w:rPr>
        <w:fldChar w:fldCharType="begin"/>
      </w:r>
      <w:r>
        <w:instrText>xe "</w:instrText>
      </w:r>
      <w:r>
        <w:rPr>
          <w:rStyle w:val="xeentry"/>
        </w:rPr>
        <w:instrText>lists: use of tu'e/tu'u in</w:instrText>
      </w:r>
      <w:r>
        <w:instrText>"</w:instrText>
      </w:r>
      <w:r>
        <w:rPr>
          <w:rStyle w:val="indexentry"/>
        </w:rPr>
        <w:fldChar w:fldCharType="end"/>
      </w:r>
      <w:r>
        <w:rPr>
          <w:rStyle w:val="indexentry"/>
        </w:rPr>
        <w:t>&lt;cx "di'e, effect of tu'e/tu'u on"&gt;</w:t>
      </w:r>
      <w:r>
        <w:rPr>
          <w:rStyle w:val="indexentry"/>
        </w:rPr>
        <w:fldChar w:fldCharType="begin"/>
      </w:r>
      <w:r>
        <w:instrText>xe "</w:instrText>
      </w:r>
      <w:r>
        <w:rPr>
          <w:rStyle w:val="xeentry"/>
        </w:rPr>
        <w:instrText>di'e: effect of tu'e/tu'u on</w:instrText>
      </w:r>
      <w:r>
        <w:instrText>"</w:instrText>
      </w:r>
      <w:r>
        <w:rPr>
          <w:rStyle w:val="indexentry"/>
        </w:rPr>
        <w:fldChar w:fldCharType="end"/>
      </w:r>
      <w:r>
        <w:rPr>
          <w:rStyle w:val="indexentry"/>
        </w:rPr>
        <w:t>&lt;cx "tu'e, effect on di'e"&gt;</w:t>
      </w:r>
      <w:r>
        <w:rPr>
          <w:rStyle w:val="indexentry"/>
        </w:rPr>
        <w:fldChar w:fldCharType="begin"/>
      </w:r>
      <w:r>
        <w:instrText>xe "</w:instrText>
      </w:r>
      <w:r>
        <w:rPr>
          <w:rStyle w:val="xeentry"/>
        </w:rPr>
        <w:instrText>tu'e: effect on di'e</w:instrText>
      </w:r>
      <w:r>
        <w:instrText>"</w:instrText>
      </w:r>
      <w:r>
        <w:rPr>
          <w:rStyle w:val="indexentry"/>
        </w:rPr>
        <w:fldChar w:fldCharType="end"/>
      </w:r>
      <w:r>
        <w:rPr>
          <w:rStyle w:val="indexentry"/>
        </w:rPr>
        <w:t>&lt;cx "tu'e, use in lists"&gt;</w:t>
      </w:r>
      <w:r>
        <w:rPr>
          <w:rStyle w:val="indexentry"/>
        </w:rPr>
        <w:fldChar w:fldCharType="begin"/>
      </w:r>
      <w:r>
        <w:instrText>xe "</w:instrText>
      </w:r>
      <w:r>
        <w:rPr>
          <w:rStyle w:val="xeentry"/>
        </w:rPr>
        <w:instrText>tu'e: use in lists</w:instrText>
      </w:r>
      <w:r>
        <w:instrText>"</w:instrText>
      </w:r>
      <w:r>
        <w:rPr>
          <w:rStyle w:val="indexentry"/>
        </w:rPr>
        <w:fldChar w:fldCharType="end"/>
      </w:r>
      <w:r>
        <w:rPr>
          <w:rStyle w:val="htmlcodes"/>
        </w:rPr>
        <w:t>&lt;a href=#e15d10&gt;</w:t>
      </w:r>
      <w:r>
        <w:t xml:space="preserve">Example 15.10 </w:t>
      </w:r>
      <w:r>
        <w:rPr>
          <w:rStyle w:val="htmlcodes"/>
        </w:rPr>
        <w:t>&lt;/a&gt;</w:t>
      </w:r>
      <w:r>
        <w:t>represents a list of things to be done in priority order.</w:t>
      </w:r>
      <w:r>
        <w:rPr>
          <w:rStyle w:val="deletedparamark"/>
        </w:rPr>
        <w:t xml:space="preserve"> </w:t>
      </w:r>
      <w:r>
        <w:t>The order is im</w:t>
      </w:r>
      <w:r>
        <w:softHyphen/>
        <w:t>por</w:t>
      </w:r>
      <w:r>
        <w:softHyphen/>
        <w:t>tant, hence the need for a sequence connective, but</w:t>
      </w:r>
      <w:r>
        <w:rPr>
          <w:rStyle w:val="deletedparamark"/>
        </w:rPr>
        <w:t xml:space="preserve"> </w:t>
      </w:r>
      <w:r>
        <w:t>does not necessarily represent a time order (the dog may end up getting</w:t>
      </w:r>
      <w:r>
        <w:rPr>
          <w:rStyle w:val="deletedparamark"/>
        </w:rPr>
        <w:t xml:space="preserve"> </w:t>
      </w:r>
      <w:r>
        <w:t>walked first). Note the use of “tu'e” and “tu'u” as gen</w:t>
      </w:r>
      <w:r>
        <w:softHyphen/>
        <w:t>eral brackets</w:t>
      </w:r>
      <w:r>
        <w:rPr>
          <w:rStyle w:val="deletedparamark"/>
        </w:rPr>
        <w:t xml:space="preserve"> </w:t>
      </w:r>
      <w:r>
        <w:t>around the whole list. This is related to, but distinct from, their</w:t>
      </w:r>
      <w:r>
        <w:rPr>
          <w:rStyle w:val="deletedparamark"/>
        </w:rPr>
        <w:t xml:space="preserve"> </w:t>
      </w:r>
      <w:r>
        <w:t xml:space="preserve">use in </w:t>
      </w:r>
      <w:r>
        <w:rPr>
          <w:rStyle w:val="htmlcodes"/>
        </w:rPr>
        <w:t>&lt;a href=#s8&gt;</w:t>
      </w:r>
      <w:r>
        <w:t>Sec</w:t>
      </w:r>
      <w:r>
        <w:softHyphen/>
        <w:t>tion 8</w:t>
      </w:r>
      <w:r>
        <w:rPr>
          <w:rStyle w:val="htmlcodes"/>
        </w:rPr>
        <w:t>&lt;/a&gt;</w:t>
      </w:r>
      <w:r>
        <w:t>, because there is no logical connective between the</w:t>
      </w:r>
      <w:r>
        <w:rPr>
          <w:rStyle w:val="deletedparamark"/>
        </w:rPr>
        <w:t xml:space="preserve"> </w:t>
      </w:r>
      <w:r>
        <w:t>introductory phrase “mi ba gasnu la'edi'e” and the rest. The brackets</w:t>
      </w:r>
      <w:r>
        <w:rPr>
          <w:rStyle w:val="deletedparamark"/>
        </w:rPr>
        <w:t xml:space="preserve"> </w:t>
      </w:r>
      <w:r>
        <w:t>effectively show how large an utterance the word “di'e”, which means</w:t>
      </w:r>
      <w:r>
        <w:rPr>
          <w:rStyle w:val="deletedparamark"/>
        </w:rPr>
        <w:t xml:space="preserve"> “</w:t>
      </w:r>
      <w:r>
        <w:t>the following utterance”, refers to.</w:t>
      </w:r>
    </w:p>
    <w:p w:rsidR="00B72047" w:rsidRDefault="00B72047">
      <w:pPr>
        <w:pStyle w:val="normalparagraph"/>
      </w:pPr>
      <w:r>
        <w:t>Similarly, “.ijoi” is used to connect sentences that represent the components of a joint event such as a joint cause: the Lojban equivalent of “Fran hit her head and fell out of the boat, so that she drowned” would join the events “Fran hit her head” and “Fran fell out of the boat” with “.ijoi”.</w:t>
      </w:r>
    </w:p>
    <w:p w:rsidR="00B72047" w:rsidRDefault="00B72047">
      <w:pPr>
        <w:rPr>
          <w:rStyle w:val="htmlparacode"/>
        </w:rPr>
      </w:pPr>
      <w:r>
        <w:rPr>
          <w:rStyle w:val="htmlparacode"/>
        </w:rPr>
        <w:t>&lt;p&gt;</w:t>
      </w:r>
    </w:p>
    <w:p w:rsidR="00B72047" w:rsidRDefault="00B72047">
      <w:pPr>
        <w:pStyle w:val="normalparagraph"/>
      </w:pPr>
      <w:r>
        <w:rPr>
          <w:rStyle w:val="indexentry"/>
        </w:rPr>
        <w:t>&lt;cx "nai, effect on joiks"&gt;</w:t>
      </w:r>
      <w:r>
        <w:rPr>
          <w:rStyle w:val="indexentry"/>
        </w:rPr>
        <w:fldChar w:fldCharType="begin"/>
      </w:r>
      <w:r>
        <w:instrText>xe "</w:instrText>
      </w:r>
      <w:r>
        <w:rPr>
          <w:rStyle w:val="xeentry"/>
        </w:rPr>
        <w:instrText>nai: effect on joiks</w:instrText>
      </w:r>
      <w:r>
        <w:instrText>"</w:instrText>
      </w:r>
      <w:r>
        <w:rPr>
          <w:rStyle w:val="indexentry"/>
        </w:rPr>
        <w:fldChar w:fldCharType="end"/>
      </w:r>
      <w:r>
        <w:rPr>
          <w:rStyle w:val="indexentry"/>
        </w:rPr>
        <w:t>&lt;cx "joiks, effect of nai on"&gt;</w:t>
      </w:r>
      <w:r>
        <w:rPr>
          <w:rStyle w:val="indexentry"/>
        </w:rPr>
        <w:fldChar w:fldCharType="begin"/>
      </w:r>
      <w:r>
        <w:instrText>xe "</w:instrText>
      </w:r>
      <w:r>
        <w:rPr>
          <w:rStyle w:val="xeentry"/>
        </w:rPr>
        <w:instrText>joiks: effect of nai on</w:instrText>
      </w:r>
      <w:r>
        <w:instrText>"</w:instrText>
      </w:r>
      <w:r>
        <w:rPr>
          <w:rStyle w:val="indexentry"/>
        </w:rPr>
        <w:fldChar w:fldCharType="end"/>
      </w:r>
      <w:r>
        <w:rPr>
          <w:rStyle w:val="indexentry"/>
        </w:rPr>
        <w:t>&lt;cx "non-logical connectives, effect of nai on"&gt;</w:t>
      </w:r>
      <w:r>
        <w:rPr>
          <w:rStyle w:val="indexentry"/>
        </w:rPr>
        <w:fldChar w:fldCharType="begin"/>
      </w:r>
      <w:r>
        <w:instrText>xe "</w:instrText>
      </w:r>
      <w:r>
        <w:rPr>
          <w:rStyle w:val="xeentry"/>
        </w:rPr>
        <w:instrText>non-logical connectives: effect of nai on</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&lt;cx "scalar negation of non-logical connective"&gt;</w:t>
      </w:r>
      <w:r>
        <w:rPr>
          <w:rStyle w:val="indexentry"/>
        </w:rPr>
        <w:fldChar w:fldCharType="begin"/>
      </w:r>
      <w:r>
        <w:instrText>xe "</w:instrText>
      </w:r>
      <w:r>
        <w:rPr>
          <w:rStyle w:val="xeentry"/>
        </w:rPr>
        <w:instrText>scalar negation of non-logical connective</w:instrText>
      </w:r>
      <w:r>
        <w:instrText>"</w:instrText>
      </w:r>
      <w:r>
        <w:rPr>
          <w:rStyle w:val="indexentry"/>
        </w:rPr>
        <w:fldChar w:fldCharType="end"/>
      </w:r>
      <w:r>
        <w:t>The following “nai”, if present, does not negate either of the things to be</w:t>
      </w:r>
      <w:r>
        <w:rPr>
          <w:rStyle w:val="deletedparamark"/>
        </w:rPr>
        <w:t xml:space="preserve"> </w:t>
      </w:r>
      <w:r>
        <w:t>con</w:t>
      </w:r>
      <w:r>
        <w:softHyphen/>
        <w:t>nected, but instead specifies that some other connection (logical or</w:t>
      </w:r>
      <w:r>
        <w:rPr>
          <w:rStyle w:val="deletedparamark"/>
        </w:rPr>
        <w:t xml:space="preserve"> </w:t>
      </w:r>
      <w:r>
        <w:t>non-logical) is ap</w:t>
      </w:r>
      <w:r>
        <w:softHyphen/>
        <w:t>plicable: it is a scalar negation: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name=e15d11&gt;</w:t>
      </w:r>
      <w:r>
        <w:t>15.11)</w:t>
      </w:r>
      <w:r>
        <w:tab/>
        <w:t>mi jo'unai do cu remei</w:t>
      </w:r>
    </w:p>
    <w:p w:rsidR="00B72047" w:rsidRDefault="00B72047">
      <w:pPr>
        <w:pStyle w:val="examplescaled"/>
      </w:pPr>
      <w:r>
        <w:tab/>
        <w:t>I in-common-with [not!] you are-a-twosome</w:t>
      </w:r>
    </w:p>
    <w:p w:rsidR="00B72047" w:rsidRDefault="00B72047">
      <w:pPr>
        <w:pStyle w:val="resumedafterexample"/>
      </w:pPr>
      <w:r>
        <w:rPr>
          <w:rStyle w:val="htmlcodes"/>
        </w:rPr>
        <w:t>&lt;/pre&gt;&lt;p&gt;</w:t>
      </w:r>
      <w:r>
        <w:t>The result of “mi jo'u do” would be two individuals, not a mass, therefore</w:t>
      </w:r>
      <w:r>
        <w:rPr>
          <w:rStyle w:val="deletedparamark"/>
        </w:rPr>
        <w:t xml:space="preserve"> “</w:t>
      </w:r>
      <w:r>
        <w:t>jo'u” is not applicable; “joi” would be the correct connective.</w:t>
      </w:r>
    </w:p>
    <w:p w:rsidR="00B72047" w:rsidRDefault="00B72047">
      <w:pPr>
        <w:rPr>
          <w:rStyle w:val="htmlparacode"/>
        </w:rPr>
      </w:pPr>
      <w:r>
        <w:rPr>
          <w:rStyle w:val="htmlparacode"/>
        </w:rPr>
        <w:t>&lt;p&gt;</w:t>
      </w:r>
    </w:p>
    <w:p w:rsidR="00B72047" w:rsidRDefault="00B72047">
      <w:pPr>
        <w:pStyle w:val="normalparagraph"/>
      </w:pPr>
      <w:r>
        <w:rPr>
          <w:rStyle w:val="indexentry"/>
        </w:rPr>
        <w:t>&lt;cx "connective questions, non-logical"&gt;</w:t>
      </w:r>
      <w:r>
        <w:rPr>
          <w:rStyle w:val="indexentry"/>
        </w:rPr>
        <w:fldChar w:fldCharType="begin"/>
      </w:r>
      <w:r>
        <w:instrText>xe "</w:instrText>
      </w:r>
      <w:r>
        <w:rPr>
          <w:rStyle w:val="xeentry"/>
        </w:rPr>
        <w:instrText>connective questions: non-logical</w:instrText>
      </w:r>
      <w:r>
        <w:instrText>"</w:instrText>
      </w:r>
      <w:r>
        <w:rPr>
          <w:rStyle w:val="indexentry"/>
        </w:rPr>
        <w:fldChar w:fldCharType="end"/>
      </w:r>
      <w:r>
        <w:rPr>
          <w:rStyle w:val="indexentry"/>
        </w:rPr>
        <w:t>&lt;cx "connective answers, non-logical"&gt;</w:t>
      </w:r>
      <w:r>
        <w:rPr>
          <w:rStyle w:val="indexentry"/>
        </w:rPr>
        <w:fldChar w:fldCharType="begin"/>
      </w:r>
      <w:r>
        <w:instrText>xe "</w:instrText>
      </w:r>
      <w:r>
        <w:rPr>
          <w:rStyle w:val="xeentry"/>
        </w:rPr>
        <w:instrText>connective answers: non-logical</w:instrText>
      </w:r>
      <w:r>
        <w:instrText>"</w:instrText>
      </w:r>
      <w:r>
        <w:rPr>
          <w:rStyle w:val="indexentry"/>
        </w:rPr>
        <w:fldChar w:fldCharType="end"/>
      </w:r>
      <w:r>
        <w:t>There is no joik question cmavo as such; however, joiks and ijoiks may</w:t>
      </w:r>
      <w:r>
        <w:rPr>
          <w:rStyle w:val="deletedparamark"/>
        </w:rPr>
        <w:t xml:space="preserve"> </w:t>
      </w:r>
      <w:r>
        <w:t>be ut</w:t>
      </w:r>
      <w:r>
        <w:softHyphen/>
        <w:t>tered in isolation in response to a logical connective question,</w:t>
      </w:r>
      <w:r>
        <w:rPr>
          <w:rStyle w:val="deletedparamark"/>
        </w:rPr>
        <w:t xml:space="preserve"> </w:t>
      </w:r>
      <w:r>
        <w:t>as in the following ex</w:t>
      </w:r>
      <w:r>
        <w:softHyphen/>
        <w:t>change:</w:t>
      </w:r>
    </w:p>
    <w:p w:rsidR="00B72047" w:rsidRDefault="00B72047">
      <w:pPr>
        <w:rPr>
          <w:rStyle w:val="htmlparacode"/>
        </w:rPr>
      </w:pPr>
      <w:r>
        <w:rPr>
          <w:rStyle w:val="htmlparacode"/>
        </w:rPr>
        <w:t>&lt;p&gt;</w:t>
      </w:r>
    </w:p>
    <w:p w:rsidR="00B72047" w:rsidRDefault="00B72047">
      <w:pPr>
        <w:pStyle w:val="examplescaledpre"/>
      </w:pPr>
      <w:r>
        <w:rPr>
          <w:rStyle w:val="indexentry"/>
        </w:rPr>
        <w:t>&lt;ex "coffee mixed with tea"&gt;</w:t>
      </w:r>
      <w:r>
        <w:rPr>
          <w:rStyle w:val="indexentry"/>
        </w:rPr>
        <w:fldChar w:fldCharType="begin"/>
      </w:r>
      <w:r>
        <w:instrText>xe "</w:instrText>
      </w:r>
      <w:r>
        <w:rPr>
          <w:rStyle w:val="xeentry"/>
        </w:rPr>
        <w:instrText>coffee mixed with tea: example</w:instrText>
      </w:r>
      <w:r>
        <w:instrText>"</w:instrText>
      </w:r>
      <w:r>
        <w:rPr>
          <w:rStyle w:val="indexentry"/>
        </w:rPr>
        <w:fldChar w:fldCharType="end"/>
      </w:r>
      <w:r>
        <w:rPr>
          <w:rStyle w:val="htmlcodes"/>
        </w:rPr>
        <w:t>&lt;pre&gt;&lt;a name=e15d12&gt;</w:t>
      </w:r>
      <w:r>
        <w:t>15.12)</w:t>
      </w:r>
      <w:r>
        <w:tab/>
        <w:t>do djica tu'a</w:t>
      </w:r>
    </w:p>
    <w:p w:rsidR="00B72047" w:rsidRDefault="00B72047">
      <w:pPr>
        <w:pStyle w:val="examplescaled"/>
      </w:pPr>
      <w:r>
        <w:tab/>
      </w:r>
      <w:r>
        <w:tab/>
        <w:t>loi ckafi ji loi tcati</w:t>
      </w:r>
    </w:p>
    <w:p w:rsidR="00B72047" w:rsidRDefault="00B72047">
      <w:pPr>
        <w:pStyle w:val="examplescaled"/>
      </w:pPr>
      <w:r>
        <w:tab/>
        <w:t>You desire something-about</w:t>
      </w:r>
    </w:p>
    <w:p w:rsidR="00B72047" w:rsidRDefault="00B72047">
      <w:pPr>
        <w:pStyle w:val="examplescaled"/>
      </w:pPr>
      <w:r>
        <w:tab/>
      </w:r>
      <w:r>
        <w:tab/>
        <w:t>a-mass-of coffee [what connective?] a-mass-of tea?</w:t>
      </w:r>
    </w:p>
    <w:p w:rsidR="00B72047" w:rsidRDefault="00B72047">
      <w:pPr>
        <w:pStyle w:val="examplescaled"/>
      </w:pPr>
      <w:r>
        <w:tab/>
        <w:t>Do you want coffee or tea?</w:t>
      </w:r>
    </w:p>
    <w:p w:rsidR="00B72047" w:rsidRDefault="00B72047">
      <w:pPr>
        <w:pStyle w:val="examplescaledpre"/>
      </w:pPr>
      <w:r>
        <w:rPr>
          <w:rStyle w:val="htmlcodes"/>
        </w:rPr>
        <w:t>&lt;a name=e15d13&gt;</w:t>
      </w:r>
      <w:r>
        <w:t>15.13)</w:t>
      </w:r>
      <w:r>
        <w:tab/>
        <w:t>joi</w:t>
      </w:r>
    </w:p>
    <w:p w:rsidR="00B72047" w:rsidRDefault="00B72047">
      <w:pPr>
        <w:pStyle w:val="examplescaled"/>
      </w:pPr>
      <w:r>
        <w:tab/>
        <w:t>Mixed-mass-and.</w:t>
      </w:r>
    </w:p>
    <w:p w:rsidR="00B72047" w:rsidRDefault="00B72047">
      <w:pPr>
        <w:pStyle w:val="examplescaled"/>
      </w:pPr>
      <w:r>
        <w:tab/>
        <w:t>Both as a mass (i.e, mixed together).</w:t>
      </w:r>
    </w:p>
    <w:p w:rsidR="00B72047" w:rsidRDefault="00B72047">
      <w:pPr>
        <w:pStyle w:val="resumedafterexample"/>
      </w:pPr>
      <w:r>
        <w:rPr>
          <w:rStyle w:val="htmlcodes"/>
        </w:rPr>
        <w:t>&lt;/pre&gt;</w:t>
      </w:r>
      <w:r>
        <w:rPr>
          <w:rStyle w:val="indexentry"/>
        </w:rPr>
        <w:t>&lt;ex "ugh"&gt;</w:t>
      </w:r>
      <w:r>
        <w:rPr>
          <w:rStyle w:val="indexentry"/>
        </w:rPr>
        <w:fldChar w:fldCharType="begin"/>
      </w:r>
      <w:r>
        <w:instrText>xe "</w:instrText>
      </w:r>
      <w:r>
        <w:rPr>
          <w:rStyle w:val="xeentry"/>
        </w:rPr>
        <w:instrText>ugh: example</w:instrText>
      </w:r>
      <w:r>
        <w:instrText>"</w:instrText>
      </w:r>
      <w:r>
        <w:rPr>
          <w:rStyle w:val="indexentry"/>
        </w:rPr>
        <w:fldChar w:fldCharType="end"/>
      </w:r>
      <w:r>
        <w:t>Ugh. (Or in Lojban: .a'unaisairo'o.)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430" w:name="_Toc398970671"/>
      <w:r>
        <w:rPr>
          <w:rStyle w:val="Heading3Text"/>
        </w:rPr>
        <w:t>Interval connectives and forethought non-logical connection</w:t>
      </w:r>
      <w:bookmarkEnd w:id="43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"BIhI"&gt;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&lt;lx "bi'i"&gt;</w:t>
      </w:r>
      <w:r>
        <w:rPr>
          <w:rStyle w:val="indexentry"/>
        </w:rPr>
        <w:fldChar w:fldCharType="begin"/>
      </w:r>
      <w:r>
        <w:instrText>xe "</w:instrText>
      </w:r>
      <w:r>
        <w:rPr>
          <w:rStyle w:val="xeentry"/>
        </w:rPr>
        <w:instrText>bi'i</w:instrText>
      </w:r>
      <w:r>
        <w:instrText>"</w:instrText>
      </w:r>
      <w:r>
        <w:rPr>
          <w:rStyle w:val="indexentry"/>
        </w:rPr>
        <w:fldChar w:fldCharType="end"/>
      </w:r>
      <w:r>
        <w:rPr>
          <w:rStyle w:val="indexentry"/>
        </w:rPr>
        <w:t>&lt;lx "bi'o"&gt;</w:t>
      </w:r>
      <w:r>
        <w:rPr>
          <w:rStyle w:val="indexentry"/>
        </w:rPr>
        <w:fldChar w:fldCharType="begin"/>
      </w:r>
      <w:r>
        <w:instrText>xe "</w:instrText>
      </w:r>
      <w:r>
        <w:rPr>
          <w:rStyle w:val="xeentry"/>
        </w:rPr>
        <w:instrText>bi'o</w:instrText>
      </w:r>
      <w:r>
        <w:instrText>"</w:instrText>
      </w:r>
      <w:r>
        <w:rPr>
          <w:rStyle w:val="indexentry"/>
        </w:rPr>
        <w:fldChar w:fldCharType="end"/>
      </w:r>
      <w:r>
        <w:rPr>
          <w:rStyle w:val="indexentry"/>
        </w:rPr>
        <w:t>&lt;lx "mi'i"&gt;</w:t>
      </w:r>
      <w:r>
        <w:rPr>
          <w:rStyle w:val="indexentry"/>
        </w:rPr>
        <w:fldChar w:fldCharType="begin"/>
      </w:r>
      <w:r>
        <w:instrText>xe "</w:instrText>
      </w:r>
      <w:r>
        <w:rPr>
          <w:rStyle w:val="xeentry"/>
        </w:rPr>
        <w:instrText>mi'i</w:instrText>
      </w:r>
      <w:r>
        <w:instrText>"</w:instrText>
      </w:r>
      <w:r>
        <w:rPr>
          <w:rStyle w:val="indexentry"/>
        </w:rPr>
        <w:fldChar w:fldCharType="end"/>
      </w:r>
      <w:r>
        <w:rPr>
          <w:rStyle w:val="indexentry"/>
        </w:rPr>
        <w:t>&lt;cx "non-logical connectives, intervals"&gt;</w:t>
      </w:r>
      <w:r>
        <w:rPr>
          <w:rStyle w:val="indexentry"/>
        </w:rPr>
        <w:fldChar w:fldCharType="begin"/>
      </w:r>
      <w:r>
        <w:instrText>xe "</w:instrText>
      </w:r>
      <w:r>
        <w:rPr>
          <w:rStyle w:val="xeentry"/>
        </w:rPr>
        <w:instrText>non-logical connectives: intervals</w:instrText>
      </w:r>
      <w:r>
        <w:instrText>"</w:instrText>
      </w:r>
      <w:r>
        <w:rPr>
          <w:rStyle w:val="indexentry"/>
        </w:rPr>
        <w:fldChar w:fldCharType="end"/>
      </w:r>
      <w:r>
        <w:rPr>
          <w:rStyle w:val="indexentry"/>
        </w:rPr>
        <w:t>&lt;cx "intervals, expressed as endpoints"&gt;</w:t>
      </w:r>
      <w:r>
        <w:rPr>
          <w:rStyle w:val="indexentry"/>
        </w:rPr>
        <w:fldChar w:fldCharType="begin"/>
      </w:r>
      <w:r>
        <w:instrText>xe "</w:instrText>
      </w:r>
      <w:r>
        <w:rPr>
          <w:rStyle w:val="xeentry"/>
        </w:rPr>
        <w:instrText>interval: expressed as endpoints</w:instrText>
      </w:r>
      <w:r>
        <w:instrText>"</w:instrText>
      </w:r>
      <w:r>
        <w:rPr>
          <w:rStyle w:val="indexentry"/>
        </w:rPr>
        <w:fldChar w:fldCharType="end"/>
      </w:r>
      <w:r>
        <w:t>In addition to the non-logical connectives of selma'o JOI explained in</w:t>
      </w:r>
      <w:r>
        <w:rPr>
          <w:rStyle w:val="deletedparamark"/>
        </w:rPr>
        <w:t xml:space="preserve"> </w:t>
      </w:r>
      <w:r>
        <w:rPr>
          <w:rStyle w:val="htmlcodes"/>
        </w:rPr>
        <w:t>&lt;a href=#s14&gt;</w:t>
      </w:r>
      <w:r>
        <w:t xml:space="preserve">Sections 14 </w:t>
      </w:r>
      <w:r>
        <w:rPr>
          <w:rStyle w:val="htmlcodes"/>
        </w:rPr>
        <w:t>&lt;/a&gt;</w:t>
      </w:r>
      <w:r>
        <w:t xml:space="preserve">and </w:t>
      </w:r>
      <w:r>
        <w:rPr>
          <w:rStyle w:val="htmlcodes"/>
        </w:rPr>
        <w:t>&lt;a href=#s15&gt;</w:t>
      </w:r>
      <w:r>
        <w:t>15</w:t>
      </w:r>
      <w:r>
        <w:rPr>
          <w:rStyle w:val="htmlcodes"/>
        </w:rPr>
        <w:t>&lt;/a&gt;</w:t>
      </w:r>
      <w:r>
        <w:t>, there are three other connectives which can appear in</w:t>
      </w:r>
      <w:r>
        <w:rPr>
          <w:rStyle w:val="deletedparamark"/>
        </w:rPr>
        <w:t xml:space="preserve"> </w:t>
      </w:r>
      <w:r>
        <w:t>joiks: “bi'i”, “bi'o”, and “mi'i”, all of selma'o BIhI. The first two cmavo</w:t>
      </w:r>
      <w:r>
        <w:rPr>
          <w:rStyle w:val="deletedparamark"/>
        </w:rPr>
        <w:t xml:space="preserve"> </w:t>
      </w:r>
      <w:r>
        <w:t>are used to specify intervals: ab</w:t>
      </w:r>
      <w:r>
        <w:softHyphen/>
        <w:t>stract o</w:t>
      </w:r>
      <w:r>
        <w:t>b</w:t>
      </w:r>
      <w:r>
        <w:softHyphen/>
        <w:t>jects defined by two endpoints.</w:t>
      </w:r>
      <w:r>
        <w:rPr>
          <w:rStyle w:val="deletedparamark"/>
        </w:rPr>
        <w:t xml:space="preserve"> </w:t>
      </w:r>
      <w:r>
        <w:t>The cmavo “bi'i” is correct if the endpoints are indepen</w:t>
      </w:r>
      <w:r>
        <w:t>d</w:t>
      </w:r>
      <w:r>
        <w:softHyphen/>
        <w:t>ent of order,</w:t>
      </w:r>
      <w:r>
        <w:rPr>
          <w:rStyle w:val="deletedparamark"/>
        </w:rPr>
        <w:t xml:space="preserve"> </w:t>
      </w:r>
      <w:r>
        <w:t>whereas “bi'o” or “sebi'o” are used when order matters.</w:t>
      </w:r>
    </w:p>
    <w:p w:rsidR="00B72047" w:rsidRDefault="00B72047">
      <w:pPr>
        <w:pStyle w:val="normalparagraph"/>
        <w:rPr>
          <w:rStyle w:val="htmlparacode"/>
        </w:rPr>
      </w:pPr>
      <w:r>
        <w:rPr>
          <w:rStyle w:val="htmlparacode"/>
        </w:rPr>
        <w:t>&lt;p&gt;</w:t>
      </w:r>
    </w:p>
    <w:p w:rsidR="00B72047" w:rsidRDefault="00B72047">
      <w:pPr>
        <w:pStyle w:val="normalparagraph"/>
      </w:pPr>
      <w:r>
        <w:t>An example of “bi'i” in sumti connection:</w:t>
      </w:r>
    </w:p>
    <w:p w:rsidR="00B72047" w:rsidRDefault="00B72047">
      <w:pPr>
        <w:rPr>
          <w:rStyle w:val="htmlparacode"/>
        </w:rPr>
      </w:pPr>
      <w:r>
        <w:rPr>
          <w:rStyle w:val="htmlparacode"/>
        </w:rPr>
        <w:t>&lt;p&gt;</w:t>
      </w:r>
    </w:p>
    <w:p w:rsidR="00B72047" w:rsidRDefault="00B72047">
      <w:pPr>
        <w:pStyle w:val="examplescaledpre"/>
      </w:pPr>
      <w:r>
        <w:rPr>
          <w:rStyle w:val="indexentry"/>
        </w:rPr>
        <w:t>&lt;ex "between Dresden and Frankfurt"&gt;</w:t>
      </w:r>
      <w:r>
        <w:rPr>
          <w:rStyle w:val="indexentry"/>
        </w:rPr>
        <w:fldChar w:fldCharType="begin"/>
      </w:r>
      <w:r>
        <w:instrText>xe "</w:instrText>
      </w:r>
      <w:r>
        <w:rPr>
          <w:rStyle w:val="xeentry"/>
        </w:rPr>
        <w:instrText>between Dresden and Frankfurt: example</w:instrText>
      </w:r>
      <w:r>
        <w:instrText>"</w:instrText>
      </w:r>
      <w:r>
        <w:rPr>
          <w:rStyle w:val="indexentry"/>
        </w:rPr>
        <w:fldChar w:fldCharType="end"/>
      </w:r>
      <w:r>
        <w:rPr>
          <w:rStyle w:val="indexentry"/>
        </w:rPr>
        <w:t>&lt;lx "bi'i"&gt;</w:t>
      </w:r>
      <w:r>
        <w:rPr>
          <w:rStyle w:val="indexentry"/>
        </w:rPr>
        <w:fldChar w:fldCharType="begin"/>
      </w:r>
      <w:r>
        <w:instrText>xe "</w:instrText>
      </w:r>
      <w:r>
        <w:rPr>
          <w:rStyle w:val="xeentry"/>
        </w:rPr>
        <w:instrText>bi'i</w:instrText>
      </w:r>
      <w:r>
        <w:instrText>"</w:instrText>
      </w:r>
      <w:r>
        <w:rPr>
          <w:rStyle w:val="indexentry"/>
        </w:rPr>
        <w:fldChar w:fldCharType="end"/>
      </w:r>
      <w:r>
        <w:rPr>
          <w:rStyle w:val="htmlcodes"/>
        </w:rPr>
        <w:t>&lt;pre&gt;&lt;a name=e16d1&gt;</w:t>
      </w:r>
      <w:r>
        <w:t>16.1)</w:t>
      </w:r>
      <w:r>
        <w:tab/>
        <w:t>mi ca sanli la drezdn. bi'i la frankfurt.</w:t>
      </w:r>
    </w:p>
    <w:p w:rsidR="00B72047" w:rsidRDefault="00B72047">
      <w:pPr>
        <w:pStyle w:val="examplescaled"/>
      </w:pPr>
      <w:r>
        <w:tab/>
        <w:t>I [present] stand-on-surface Dresden [interval] Frankfurt.</w:t>
      </w:r>
    </w:p>
    <w:p w:rsidR="00B72047" w:rsidRDefault="00B72047">
      <w:pPr>
        <w:pStyle w:val="examplescaled"/>
      </w:pPr>
      <w:r>
        <w:tab/>
        <w:t>I am standing between Dresden and Frankfurt.</w:t>
      </w:r>
    </w:p>
    <w:p w:rsidR="00B72047" w:rsidRDefault="00B72047">
      <w:pPr>
        <w:pStyle w:val="resumedafterexample"/>
      </w:pPr>
      <w:r>
        <w:rPr>
          <w:rStyle w:val="htmlcodes"/>
        </w:rPr>
        <w:t>&lt;/pre&gt;</w:t>
      </w:r>
      <w:r>
        <w:rPr>
          <w:rStyle w:val="indexentry"/>
        </w:rPr>
        <w:t>&lt;cx "non-logical connectives, un-ordered intervals"&gt;</w:t>
      </w:r>
      <w:r>
        <w:rPr>
          <w:rStyle w:val="indexentry"/>
        </w:rPr>
        <w:fldChar w:fldCharType="begin"/>
      </w:r>
      <w:r>
        <w:instrText>xe "</w:instrText>
      </w:r>
      <w:r>
        <w:rPr>
          <w:rStyle w:val="xeentry"/>
        </w:rPr>
        <w:instrText>non-logical connectives: un-ordered intervals</w:instrText>
      </w:r>
      <w:r>
        <w:instrText>"</w:instrText>
      </w:r>
      <w:r>
        <w:rPr>
          <w:rStyle w:val="indexentry"/>
        </w:rPr>
        <w:fldChar w:fldCharType="end"/>
      </w:r>
      <w:r>
        <w:t xml:space="preserve">In </w:t>
      </w:r>
      <w:r>
        <w:rPr>
          <w:rStyle w:val="htmlcodes"/>
        </w:rPr>
        <w:t>&lt;a href=#e16d1&gt;</w:t>
      </w:r>
      <w:r>
        <w:t>Example 16.1</w:t>
      </w:r>
      <w:r>
        <w:rPr>
          <w:rStyle w:val="htmlcodes"/>
        </w:rPr>
        <w:t>&lt;/a&gt;</w:t>
      </w:r>
      <w:r>
        <w:t>, it is all the same whether I am standing between Dresden</w:t>
      </w:r>
      <w:r>
        <w:rPr>
          <w:rStyle w:val="deletedparamark"/>
        </w:rPr>
        <w:t xml:space="preserve"> </w:t>
      </w:r>
      <w:r>
        <w:t>and Frank</w:t>
      </w:r>
      <w:r>
        <w:softHyphen/>
        <w:t>furt or between Frankfurt and Dresden, so “bi'i” is the appropriate</w:t>
      </w:r>
      <w:r>
        <w:rPr>
          <w:rStyle w:val="deletedparamark"/>
        </w:rPr>
        <w:t xml:space="preserve"> </w:t>
      </w:r>
      <w:r>
        <w:t>interval connective. The sumti “la drezdn. bi'i la frankfurt.” falls into</w:t>
      </w:r>
      <w:r>
        <w:rPr>
          <w:rStyle w:val="deletedparamark"/>
        </w:rPr>
        <w:t xml:space="preserve"> </w:t>
      </w:r>
      <w:r>
        <w:t>the x2 place of “sanli”, which is the surface I stand on; the interval</w:t>
      </w:r>
      <w:r>
        <w:rPr>
          <w:rStyle w:val="deletedparamark"/>
        </w:rPr>
        <w:t xml:space="preserve"> </w:t>
      </w:r>
      <w:r>
        <w:t>specifies that surface by its limits. (Obviously, I am not standing on</w:t>
      </w:r>
      <w:r>
        <w:rPr>
          <w:rStyle w:val="deletedparamark"/>
        </w:rPr>
        <w:t xml:space="preserve"> </w:t>
      </w:r>
      <w:r>
        <w:t>the whole of the interval; the x2 place of “sanli” specifies a surface</w:t>
      </w:r>
      <w:r>
        <w:rPr>
          <w:rStyle w:val="deletedparamark"/>
        </w:rPr>
        <w:t xml:space="preserve"> </w:t>
      </w:r>
      <w:r>
        <w:t>which is typically larger in extent than just the size of the stander's</w:t>
      </w:r>
      <w:r>
        <w:rPr>
          <w:rStyle w:val="deletedparamark"/>
        </w:rPr>
        <w:t xml:space="preserve"> </w:t>
      </w:r>
      <w:r>
        <w:t>feet.)</w:t>
      </w:r>
    </w:p>
    <w:p w:rsidR="00B72047" w:rsidRDefault="00B72047">
      <w:pPr>
        <w:rPr>
          <w:rStyle w:val="htmlparacode"/>
        </w:rPr>
      </w:pPr>
      <w:r>
        <w:rPr>
          <w:rStyle w:val="htmlparacode"/>
        </w:rPr>
        <w:t>&lt;p&gt;</w:t>
      </w:r>
    </w:p>
    <w:p w:rsidR="00B72047" w:rsidRDefault="00B72047">
      <w:pPr>
        <w:pStyle w:val="examplescaledpre"/>
      </w:pPr>
      <w:r>
        <w:rPr>
          <w:rStyle w:val="indexentry"/>
        </w:rPr>
        <w:t>&lt;lx "bi'o"&gt;</w:t>
      </w:r>
      <w:r>
        <w:rPr>
          <w:rStyle w:val="indexentry"/>
        </w:rPr>
        <w:fldChar w:fldCharType="begin"/>
      </w:r>
      <w:r>
        <w:instrText>xe "</w:instrText>
      </w:r>
      <w:r>
        <w:rPr>
          <w:rStyle w:val="xeentry"/>
        </w:rPr>
        <w:instrText>bi'o</w:instrText>
      </w:r>
      <w:r>
        <w:instrText>"</w:instrText>
      </w:r>
      <w:r>
        <w:rPr>
          <w:rStyle w:val="indexentry"/>
        </w:rPr>
        <w:fldChar w:fldCharType="end"/>
      </w:r>
      <w:r>
        <w:rPr>
          <w:rStyle w:val="indexentry"/>
        </w:rPr>
        <w:t>&lt;ex "from one to two o'clock"&gt;</w:t>
      </w:r>
      <w:r>
        <w:rPr>
          <w:rStyle w:val="indexentry"/>
        </w:rPr>
        <w:fldChar w:fldCharType="begin"/>
      </w:r>
      <w:r>
        <w:instrText>xe "</w:instrText>
      </w:r>
      <w:r>
        <w:rPr>
          <w:rStyle w:val="xeentry"/>
        </w:rPr>
        <w:instrText>from one to two o'clock: example</w:instrText>
      </w:r>
      <w:r>
        <w:instrText>"</w:instrText>
      </w:r>
      <w:r>
        <w:rPr>
          <w:rStyle w:val="indexentry"/>
        </w:rPr>
        <w:fldChar w:fldCharType="end"/>
      </w:r>
      <w:r>
        <w:rPr>
          <w:rStyle w:val="htmlcodes"/>
        </w:rPr>
        <w:t>&lt;pre&gt;&lt;a name=e16d2&gt;</w:t>
      </w:r>
      <w:r>
        <w:t>16.2)</w:t>
      </w:r>
      <w:r>
        <w:tab/>
        <w:t>mi cadzu ca la pacac. bi'o la recac.</w:t>
      </w:r>
    </w:p>
    <w:p w:rsidR="00B72047" w:rsidRDefault="00B72047">
      <w:pPr>
        <w:pStyle w:val="examplescaled"/>
      </w:pPr>
      <w:r>
        <w:tab/>
        <w:t>I walk simultaneous-with First-hour [ordered-interval] Second-hour.</w:t>
      </w:r>
    </w:p>
    <w:p w:rsidR="00B72047" w:rsidRDefault="00B72047">
      <w:pPr>
        <w:pStyle w:val="examplescaled"/>
      </w:pPr>
      <w:r>
        <w:tab/>
        <w:t>I walk from one o'clock to two o'clock.</w:t>
      </w:r>
    </w:p>
    <w:p w:rsidR="00B72047" w:rsidRDefault="00B72047">
      <w:pPr>
        <w:pStyle w:val="resumedafterexample"/>
      </w:pPr>
      <w:r>
        <w:rPr>
          <w:rStyle w:val="htmlcodes"/>
        </w:rPr>
        <w:t>&lt;/pre&gt;</w:t>
      </w:r>
      <w:r>
        <w:rPr>
          <w:rStyle w:val="indexentry"/>
        </w:rPr>
        <w:t>&lt;cx "non-logical connectives, ordered intervals"&gt;</w:t>
      </w:r>
      <w:r>
        <w:rPr>
          <w:rStyle w:val="indexentry"/>
        </w:rPr>
        <w:fldChar w:fldCharType="begin"/>
      </w:r>
      <w:r>
        <w:instrText>xe "</w:instrText>
      </w:r>
      <w:r>
        <w:rPr>
          <w:rStyle w:val="xeentry"/>
        </w:rPr>
        <w:instrText>non-logical connectives: ordered intervals</w:instrText>
      </w:r>
      <w:r>
        <w:instrText>"</w:instrText>
      </w:r>
      <w:r>
        <w:rPr>
          <w:rStyle w:val="indexentry"/>
        </w:rPr>
        <w:fldChar w:fldCharType="end"/>
      </w:r>
      <w:r>
        <w:t xml:space="preserve">In </w:t>
      </w:r>
      <w:r>
        <w:rPr>
          <w:rStyle w:val="htmlcodes"/>
        </w:rPr>
        <w:t>&lt;a href=#e16d2&gt;</w:t>
      </w:r>
      <w:r>
        <w:t>Example 16.2</w:t>
      </w:r>
      <w:r>
        <w:rPr>
          <w:rStyle w:val="htmlcodes"/>
        </w:rPr>
        <w:t>&lt;/a&gt;</w:t>
      </w:r>
      <w:r>
        <w:t>, on the other hand, it is essential that “la pacac.” comes</w:t>
      </w:r>
      <w:r>
        <w:rPr>
          <w:rStyle w:val="deletedparamark"/>
        </w:rPr>
        <w:t xml:space="preserve"> </w:t>
      </w:r>
      <w:r>
        <w:t>before “la re</w:t>
      </w:r>
      <w:r>
        <w:softHyphen/>
        <w:t>cac.”; otherwise we have an 11-hour (or 23-hour) interval</w:t>
      </w:r>
      <w:r>
        <w:rPr>
          <w:rStyle w:val="deletedparamark"/>
        </w:rPr>
        <w:t xml:space="preserve"> </w:t>
      </w:r>
      <w:r>
        <w:t>rather than a one-hour inter</w:t>
      </w:r>
      <w:r>
        <w:softHyphen/>
        <w:t>val. In this use of an interval, the whole</w:t>
      </w:r>
      <w:r>
        <w:rPr>
          <w:rStyle w:val="deletedparamark"/>
        </w:rPr>
        <w:t xml:space="preserve"> </w:t>
      </w:r>
      <w:r>
        <w:t>interval is probably intended, or at least most of it.</w:t>
      </w:r>
    </w:p>
    <w:p w:rsidR="00B72047" w:rsidRDefault="00B72047">
      <w:pPr>
        <w:rPr>
          <w:rStyle w:val="htmlparacode"/>
        </w:rPr>
      </w:pPr>
      <w:r>
        <w:rPr>
          <w:rStyle w:val="htmlparacode"/>
        </w:rPr>
        <w:t>&lt;p&gt;</w:t>
      </w:r>
    </w:p>
    <w:p w:rsidR="00B72047" w:rsidRDefault="00B72047">
      <w:pPr>
        <w:pStyle w:val="normalparagraph"/>
      </w:pPr>
      <w:r>
        <w:rPr>
          <w:rStyle w:val="htmlcodes"/>
        </w:rPr>
        <w:t>&lt;a href=#e16d2&gt;</w:t>
      </w:r>
      <w:r>
        <w:t xml:space="preserve">Example 16.2 </w:t>
      </w:r>
      <w:r>
        <w:rPr>
          <w:rStyle w:val="htmlcodes"/>
        </w:rPr>
        <w:t>&lt;/a&gt;</w:t>
      </w:r>
      <w:r>
        <w:t>is equivalent to:</w:t>
      </w:r>
    </w:p>
    <w:p w:rsidR="00B72047" w:rsidRDefault="00B72047">
      <w:pPr>
        <w:rPr>
          <w:rStyle w:val="htmlparacode"/>
        </w:rPr>
      </w:pPr>
      <w:r>
        <w:rPr>
          <w:rStyle w:val="htmlparacode"/>
        </w:rPr>
        <w:t>&lt;p&gt;</w:t>
      </w:r>
    </w:p>
    <w:p w:rsidR="00B72047" w:rsidRDefault="00B72047">
      <w:pPr>
        <w:pStyle w:val="examplescaledpre"/>
      </w:pPr>
      <w:r>
        <w:rPr>
          <w:rStyle w:val="indexentry"/>
        </w:rPr>
        <w:t>&lt;lx "sebi'o"&gt;</w:t>
      </w:r>
      <w:r>
        <w:rPr>
          <w:rStyle w:val="indexentry"/>
        </w:rPr>
        <w:fldChar w:fldCharType="begin"/>
      </w:r>
      <w:r>
        <w:instrText>xe "</w:instrText>
      </w:r>
      <w:r>
        <w:rPr>
          <w:rStyle w:val="xeentry"/>
        </w:rPr>
        <w:instrText>sebi'o</w:instrText>
      </w:r>
      <w:r>
        <w:instrText>"</w:instrText>
      </w:r>
      <w:r>
        <w:rPr>
          <w:rStyle w:val="indexentry"/>
        </w:rPr>
        <w:fldChar w:fldCharType="end"/>
      </w:r>
      <w:r>
        <w:rPr>
          <w:rStyle w:val="htmlcodes"/>
        </w:rPr>
        <w:t>&lt;pre&gt;&lt;a name=e16d3&gt;</w:t>
      </w:r>
      <w:r>
        <w:t>16.3)</w:t>
      </w:r>
      <w:r>
        <w:tab/>
        <w:t>mi cadzu ca la recac. sebi'o la pacac.</w:t>
      </w:r>
    </w:p>
    <w:p w:rsidR="00B72047" w:rsidRDefault="00B72047">
      <w:pPr>
        <w:pStyle w:val="examplescaled"/>
      </w:pPr>
      <w:r>
        <w:tab/>
        <w:t>I walk simultaneous-with Second-hour [reverse] [ordered] First-hour.</w:t>
      </w:r>
    </w:p>
    <w:p w:rsidR="00B72047" w:rsidRDefault="00B72047">
      <w:pPr>
        <w:pStyle w:val="resumedafterexample"/>
      </w:pPr>
      <w:r>
        <w:rPr>
          <w:rStyle w:val="htmlcodes"/>
        </w:rPr>
        <w:t>&lt;/pre&gt;&lt;p&gt;</w:t>
      </w:r>
      <w:r>
        <w:t>English cannot readily express “sebi'o”, but its meaning can be understood</w:t>
      </w:r>
      <w:r>
        <w:rPr>
          <w:rStyle w:val="deletedparamark"/>
        </w:rPr>
        <w:t xml:space="preserve"> </w:t>
      </w:r>
      <w:r>
        <w:t>by reversing the two sumti.</w:t>
      </w:r>
    </w:p>
    <w:p w:rsidR="00B72047" w:rsidRDefault="00B72047">
      <w:pPr>
        <w:rPr>
          <w:rStyle w:val="htmlparacode"/>
        </w:rPr>
      </w:pPr>
      <w:r>
        <w:rPr>
          <w:rStyle w:val="htmlparacode"/>
        </w:rPr>
        <w:t>&lt;p&gt;</w:t>
      </w:r>
    </w:p>
    <w:p w:rsidR="00B72047" w:rsidRDefault="00B72047">
      <w:pPr>
        <w:pStyle w:val="normalparagraph"/>
      </w:pPr>
      <w:r>
        <w:rPr>
          <w:rStyle w:val="indexentry"/>
        </w:rPr>
        <w:t>&lt;lx "mi'i"&gt;</w:t>
      </w:r>
      <w:r>
        <w:rPr>
          <w:rStyle w:val="indexentry"/>
        </w:rPr>
        <w:fldChar w:fldCharType="begin"/>
      </w:r>
      <w:r>
        <w:instrText>xe "</w:instrText>
      </w:r>
      <w:r>
        <w:rPr>
          <w:rStyle w:val="xeentry"/>
        </w:rPr>
        <w:instrText>mi'i</w:instrText>
      </w:r>
      <w:r>
        <w:instrText>"</w:instrText>
      </w:r>
      <w:r>
        <w:rPr>
          <w:rStyle w:val="indexentry"/>
        </w:rPr>
        <w:fldChar w:fldCharType="end"/>
      </w:r>
      <w:r>
        <w:rPr>
          <w:rStyle w:val="indexentry"/>
        </w:rPr>
        <w:t>&lt;cx "intervals, expressed as center and distance"&gt;</w:t>
      </w:r>
      <w:r>
        <w:rPr>
          <w:rStyle w:val="indexentry"/>
        </w:rPr>
        <w:fldChar w:fldCharType="begin"/>
      </w:r>
      <w:r>
        <w:instrText>xe "</w:instrText>
      </w:r>
      <w:r>
        <w:rPr>
          <w:rStyle w:val="xeentry"/>
        </w:rPr>
        <w:instrText>interval: expressed as center and distance</w:instrText>
      </w:r>
      <w:r>
        <w:instrText>"</w:instrText>
      </w:r>
      <w:r>
        <w:rPr>
          <w:rStyle w:val="indexentry"/>
        </w:rPr>
        <w:fldChar w:fldCharType="end"/>
      </w:r>
      <w:r>
        <w:t>The third cmavo of selma'o BIhI, namely “mi'i”, expresses an interval</w:t>
      </w:r>
      <w:r>
        <w:rPr>
          <w:rStyle w:val="deletedparamark"/>
        </w:rPr>
        <w:t xml:space="preserve"> </w:t>
      </w:r>
      <w:r>
        <w:t>seen from a different viewpoint: not a pair of endpoints, but a center</w:t>
      </w:r>
      <w:r>
        <w:rPr>
          <w:rStyle w:val="deletedparamark"/>
        </w:rPr>
        <w:t xml:space="preserve"> </w:t>
      </w:r>
      <w:r>
        <w:t>point and a distance. For exa</w:t>
      </w:r>
      <w:r>
        <w:t>m</w:t>
      </w:r>
      <w:r>
        <w:softHyphen/>
        <w:t>ple: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"bomb destroyed fifty miles"&gt;</w:t>
      </w:r>
      <w:r>
        <w:rPr>
          <w:rStyle w:val="indexentry"/>
        </w:rPr>
        <w:fldChar w:fldCharType="begin"/>
      </w:r>
      <w:r>
        <w:instrText>xe "</w:instrText>
      </w:r>
      <w:r>
        <w:rPr>
          <w:rStyle w:val="xeentry"/>
        </w:rPr>
        <w:instrText>bomb destroyed fifty miles: example</w:instrText>
      </w:r>
      <w:r>
        <w:instrText>"</w:instrText>
      </w:r>
      <w:r>
        <w:rPr>
          <w:rStyle w:val="indexentry"/>
        </w:rPr>
        <w:fldChar w:fldCharType="end"/>
      </w:r>
      <w:r>
        <w:rPr>
          <w:rStyle w:val="htmlcodes"/>
        </w:rPr>
        <w:t>&lt;pre&gt;&lt;a name=e16d4&gt;</w:t>
      </w:r>
      <w:r>
        <w:t>16.4)</w:t>
      </w:r>
      <w:r>
        <w:tab/>
        <w:t>le jbama pu daspo la .uacintyn. mi'i lo minli</w:t>
      </w:r>
    </w:p>
    <w:p w:rsidR="00B72047" w:rsidRDefault="00B72047">
      <w:pPr>
        <w:pStyle w:val="examplescaled"/>
      </w:pPr>
      <w:r>
        <w:tab/>
      </w:r>
      <w:r>
        <w:tab/>
        <w:t>be li muno</w:t>
      </w:r>
    </w:p>
    <w:p w:rsidR="00B72047" w:rsidRDefault="00B72047">
      <w:pPr>
        <w:pStyle w:val="examplescaled"/>
      </w:pPr>
      <w:r>
        <w:tab/>
        <w:t xml:space="preserve">The bomb [past] destroys Washington [center] what-is measured-in-miles </w:t>
      </w:r>
    </w:p>
    <w:p w:rsidR="00B72047" w:rsidRDefault="00B72047">
      <w:pPr>
        <w:pStyle w:val="examplescaled"/>
        <w:ind w:firstLine="576"/>
      </w:pPr>
      <w:r>
        <w:t>by 50.</w:t>
      </w:r>
    </w:p>
    <w:p w:rsidR="00B72047" w:rsidRDefault="00B72047">
      <w:pPr>
        <w:pStyle w:val="examplescaled"/>
      </w:pPr>
      <w:r>
        <w:tab/>
        <w:t>The bomb destroyed Washington and fifty miles around.</w:t>
      </w:r>
    </w:p>
    <w:p w:rsidR="00B72047" w:rsidRDefault="00B72047">
      <w:pPr>
        <w:pStyle w:val="resumedafterexample"/>
      </w:pPr>
      <w:r>
        <w:rPr>
          <w:rStyle w:val="htmlcodes"/>
        </w:rPr>
        <w:t>&lt;/pre&gt;&lt;p&gt;</w:t>
      </w:r>
      <w:r>
        <w:t>Here we have an interval whose center is Washington and whose distance,</w:t>
      </w:r>
      <w:r>
        <w:rPr>
          <w:rStyle w:val="deletedparamark"/>
        </w:rPr>
        <w:t xml:space="preserve"> </w:t>
      </w:r>
      <w:r>
        <w:t>or radius, is fifty miles.</w:t>
      </w:r>
    </w:p>
    <w:p w:rsidR="00B72047" w:rsidRDefault="00B72047">
      <w:pPr>
        <w:rPr>
          <w:rStyle w:val="htmlparacode"/>
        </w:rPr>
      </w:pPr>
      <w:r>
        <w:rPr>
          <w:rStyle w:val="htmlparacode"/>
        </w:rPr>
        <w:t>&lt;p&gt;</w:t>
      </w:r>
    </w:p>
    <w:p w:rsidR="00B72047" w:rsidRDefault="00B72047">
      <w:pPr>
        <w:pStyle w:val="normalparagraph"/>
      </w:pPr>
      <w:r>
        <w:rPr>
          <w:rStyle w:val="indexentry"/>
        </w:rPr>
        <w:t>&lt;cx "closed interval"&gt;</w:t>
      </w:r>
      <w:r>
        <w:rPr>
          <w:rStyle w:val="indexentry"/>
        </w:rPr>
        <w:fldChar w:fldCharType="begin"/>
      </w:r>
      <w:r>
        <w:instrText>xe "</w:instrText>
      </w:r>
      <w:r>
        <w:rPr>
          <w:rStyle w:val="xeentry"/>
        </w:rPr>
        <w:instrText>closed interval</w:instrText>
      </w:r>
      <w:r>
        <w:instrText>"</w:instrText>
      </w:r>
      <w:r>
        <w:rPr>
          <w:rStyle w:val="indexentry"/>
        </w:rPr>
        <w:fldChar w:fldCharType="end"/>
      </w:r>
      <w:r>
        <w:rPr>
          <w:rStyle w:val="indexentry"/>
        </w:rPr>
        <w:t>&lt;cx "open interval"&gt;</w:t>
      </w:r>
      <w:r>
        <w:rPr>
          <w:rStyle w:val="indexentry"/>
        </w:rPr>
        <w:fldChar w:fldCharType="begin"/>
      </w:r>
      <w:r>
        <w:instrText>xe "</w:instrText>
      </w:r>
      <w:r>
        <w:rPr>
          <w:rStyle w:val="xeentry"/>
        </w:rPr>
        <w:instrText>open interval</w:instrText>
      </w:r>
      <w:r>
        <w:instrText>"</w:instrText>
      </w:r>
      <w:r>
        <w:rPr>
          <w:rStyle w:val="indexentry"/>
        </w:rPr>
        <w:fldChar w:fldCharType="end"/>
      </w:r>
      <w:r>
        <w:rPr>
          <w:rStyle w:val="indexentry"/>
        </w:rPr>
        <w:t>&lt;cx "interval, closed"&gt;</w:t>
      </w:r>
      <w:r>
        <w:rPr>
          <w:rStyle w:val="indexentry"/>
        </w:rPr>
        <w:fldChar w:fldCharType="begin"/>
      </w:r>
      <w:r>
        <w:instrText>xe "</w:instrText>
      </w:r>
      <w:r>
        <w:rPr>
          <w:rStyle w:val="xeentry"/>
        </w:rPr>
        <w:instrText>interval: closed</w:instrText>
      </w:r>
      <w:r>
        <w:instrText>"</w:instrText>
      </w:r>
      <w:r>
        <w:rPr>
          <w:rStyle w:val="indexentry"/>
        </w:rPr>
        <w:fldChar w:fldCharType="end"/>
      </w:r>
      <w:r>
        <w:rPr>
          <w:rStyle w:val="indexentry"/>
        </w:rPr>
        <w:t>&lt;cx "interval, open"&gt;</w:t>
      </w:r>
      <w:r>
        <w:rPr>
          <w:rStyle w:val="indexentry"/>
        </w:rPr>
        <w:fldChar w:fldCharType="begin"/>
      </w:r>
      <w:r>
        <w:instrText>xe "</w:instrText>
      </w:r>
      <w:r>
        <w:rPr>
          <w:rStyle w:val="xeentry"/>
        </w:rPr>
        <w:instrText>interval: open</w:instrText>
      </w:r>
      <w:r>
        <w:instrText>"</w:instrText>
      </w:r>
      <w:r>
        <w:rPr>
          <w:rStyle w:val="indexentry"/>
        </w:rPr>
        <w:fldChar w:fldCharType="end"/>
      </w:r>
      <w:r>
        <w:rPr>
          <w:rStyle w:val="indexentry"/>
        </w:rPr>
        <w:t>&lt;cx "interval, inclusion of endpoints"&gt;</w:t>
      </w:r>
      <w:r>
        <w:rPr>
          <w:rStyle w:val="indexentry"/>
        </w:rPr>
        <w:fldChar w:fldCharType="begin"/>
      </w:r>
      <w:r>
        <w:instrText>xe "</w:instrText>
      </w:r>
      <w:r>
        <w:rPr>
          <w:rStyle w:val="xeentry"/>
        </w:rPr>
        <w:instrText>interval: inclusion of endpoints</w:instrText>
      </w:r>
      <w:r>
        <w:instrText>"</w:instrText>
      </w:r>
      <w:r>
        <w:rPr>
          <w:rStyle w:val="indexentry"/>
        </w:rPr>
        <w:fldChar w:fldCharType="end"/>
      </w:r>
      <w:r>
        <w:rPr>
          <w:rStyle w:val="indexentry"/>
        </w:rPr>
        <w:t>&lt;cx "endpoints, inclusion in interval"&gt;</w:t>
      </w:r>
      <w:r>
        <w:rPr>
          <w:rStyle w:val="indexentry"/>
        </w:rPr>
        <w:fldChar w:fldCharType="begin"/>
      </w:r>
      <w:r>
        <w:instrText>xe "</w:instrText>
      </w:r>
      <w:r>
        <w:rPr>
          <w:rStyle w:val="xeentry"/>
        </w:rPr>
        <w:instrText>endpoints: inclusion in interval</w:instrText>
      </w:r>
      <w:r>
        <w:instrText>"</w:instrText>
      </w:r>
      <w:r>
        <w:rPr>
          <w:rStyle w:val="indexentry"/>
        </w:rPr>
        <w:fldChar w:fldCharType="end"/>
      </w:r>
      <w:r>
        <w:rPr>
          <w:rStyle w:val="indexentry"/>
        </w:rPr>
        <w:t>&lt;lx "ga'o"&gt;</w:t>
      </w:r>
      <w:r>
        <w:rPr>
          <w:rStyle w:val="indexentry"/>
        </w:rPr>
        <w:fldChar w:fldCharType="begin"/>
      </w:r>
      <w:r>
        <w:instrText>xe "</w:instrText>
      </w:r>
      <w:r>
        <w:rPr>
          <w:rStyle w:val="xeentry"/>
        </w:rPr>
        <w:instrText>ga'o</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w:instrText>
      </w:r>
      <w:r>
        <w:instrText>"</w:instrText>
      </w:r>
      <w:r>
        <w:rPr>
          <w:rStyle w:val="indexentry"/>
        </w:rPr>
        <w:fldChar w:fldCharType="end"/>
      </w:r>
      <w:r>
        <w:rPr>
          <w:rStyle w:val="indexentry"/>
        </w:rPr>
        <w:t>&lt;lx "GAhO"&gt;</w:t>
      </w:r>
      <w:r>
        <w:rPr>
          <w:rStyle w:val="indexentry"/>
        </w:rPr>
        <w:fldChar w:fldCharType="begin"/>
      </w:r>
      <w:r>
        <w:instrText>xe "</w:instrText>
      </w:r>
      <w:r>
        <w:rPr>
          <w:rStyle w:val="xeentry"/>
        </w:rPr>
        <w:instrText>GAhO selma’o</w:instrText>
      </w:r>
      <w:r>
        <w:instrText>"</w:instrText>
      </w:r>
      <w:r>
        <w:rPr>
          <w:rStyle w:val="indexentry"/>
        </w:rPr>
        <w:fldChar w:fldCharType="end"/>
      </w:r>
      <w:r>
        <w:t xml:space="preserve">In </w:t>
      </w:r>
      <w:r>
        <w:rPr>
          <w:rStyle w:val="htmlcodes"/>
        </w:rPr>
        <w:t>&lt;a href=#e16d1&gt;</w:t>
      </w:r>
      <w:r>
        <w:t>Example 16.1</w:t>
      </w:r>
      <w:r>
        <w:rPr>
          <w:rStyle w:val="htmlcodes"/>
        </w:rPr>
        <w:t>&lt;/a&gt;</w:t>
      </w:r>
      <w:r>
        <w:t>, is it possible that I am standing in Dresden (or Frankfurt)</w:t>
      </w:r>
      <w:r>
        <w:rPr>
          <w:rStyle w:val="deletedparamark"/>
        </w:rPr>
        <w:t xml:space="preserve"> </w:t>
      </w:r>
      <w:r>
        <w:t>it</w:t>
      </w:r>
      <w:r>
        <w:softHyphen/>
        <w:t>self? Yes. The connectives of selma'o BIhI are ambiguous about whether</w:t>
      </w:r>
      <w:r>
        <w:rPr>
          <w:rStyle w:val="deletedparamark"/>
        </w:rPr>
        <w:t xml:space="preserve"> </w:t>
      </w:r>
      <w:r>
        <w:t>the endpoints the</w:t>
      </w:r>
      <w:r>
        <w:t>m</w:t>
      </w:r>
      <w:r>
        <w:softHyphen/>
        <w:t>selves are included in or excluded from the interval.</w:t>
      </w:r>
      <w:r>
        <w:rPr>
          <w:rStyle w:val="deletedparamark"/>
        </w:rPr>
        <w:t xml:space="preserve"> </w:t>
      </w:r>
      <w:r>
        <w:t>Two auxiliary cmavo “ga'o” and “ke'i” (of cmavo GAhO) are used to indicate</w:t>
      </w:r>
      <w:r>
        <w:rPr>
          <w:rStyle w:val="deletedparamark"/>
        </w:rPr>
        <w:t xml:space="preserve"> </w:t>
      </w:r>
      <w:r>
        <w:t>the status of the endpoints: “ga'o” means that the endpoint is included,</w:t>
      </w:r>
      <w:r>
        <w:rPr>
          <w:rStyle w:val="deletedparamark"/>
        </w:rPr>
        <w:t xml:space="preserve"> “</w:t>
      </w:r>
      <w:r>
        <w:t>ke'i” that it is excluded:</w:t>
      </w:r>
    </w:p>
    <w:p w:rsidR="00B72047" w:rsidRDefault="00B72047">
      <w:pPr>
        <w:rPr>
          <w:rStyle w:val="htmlparacode"/>
        </w:rPr>
      </w:pPr>
      <w:r>
        <w:rPr>
          <w:rStyle w:val="htmlparacode"/>
        </w:rPr>
        <w:t>&lt;p&gt;</w:t>
      </w:r>
    </w:p>
    <w:p w:rsidR="00B72047" w:rsidRDefault="00B72047">
      <w:pPr>
        <w:pStyle w:val="examplescaledpre"/>
      </w:pPr>
      <w:r>
        <w:rPr>
          <w:rStyle w:val="indexentry"/>
        </w:rPr>
        <w:t>&lt;ex "between Dresden and Frankfurt"&gt;</w:t>
      </w:r>
      <w:r>
        <w:rPr>
          <w:rStyle w:val="indexentry"/>
        </w:rPr>
        <w:fldChar w:fldCharType="begin"/>
      </w:r>
      <w:r>
        <w:instrText>xe "</w:instrText>
      </w:r>
      <w:r>
        <w:rPr>
          <w:rStyle w:val="xeentry"/>
        </w:rPr>
        <w:instrText>between Dresden and Frankfurt: example</w:instrText>
      </w:r>
      <w:r>
        <w:instrText>"</w:instrText>
      </w:r>
      <w:r>
        <w:rPr>
          <w:rStyle w:val="indexentry"/>
        </w:rPr>
        <w:fldChar w:fldCharType="end"/>
      </w:r>
      <w:r>
        <w:rPr>
          <w:rStyle w:val="htmlcodes"/>
        </w:rPr>
        <w:t>&lt;pre&gt;&lt;a name=e16d5&gt;</w:t>
      </w:r>
      <w:r>
        <w:t>16.5)</w:t>
      </w:r>
      <w:r>
        <w:tab/>
        <w:t>mi ca sanli la drezdn. ga'o bi'i ga'o la frankfurt.</w:t>
      </w:r>
    </w:p>
    <w:p w:rsidR="00B72047" w:rsidRDefault="00B72047">
      <w:pPr>
        <w:pStyle w:val="examplescaled"/>
      </w:pPr>
      <w:r>
        <w:tab/>
        <w:t>I [present] stand Dresden [inclusive] [interval] [inclusive] Frankfurt.</w:t>
      </w:r>
    </w:p>
    <w:p w:rsidR="00B72047" w:rsidRDefault="00B72047">
      <w:pPr>
        <w:pStyle w:val="examplescaled"/>
      </w:pPr>
      <w:r>
        <w:tab/>
        <w:t>I am standing between Dresden and Frankfurt, inclusive of both.</w:t>
      </w:r>
    </w:p>
    <w:p w:rsidR="00B72047" w:rsidRDefault="00B72047">
      <w:pPr>
        <w:pStyle w:val="examplescaledpre"/>
      </w:pPr>
      <w:r>
        <w:rPr>
          <w:rStyle w:val="htmlcodes"/>
        </w:rPr>
        <w:t>&lt;a name=e16d6&gt;</w:t>
      </w:r>
      <w:r>
        <w:t>16.6)</w:t>
      </w:r>
      <w:r>
        <w:tab/>
        <w:t>mi ca sanli la drezdn. ga'o bi'i ke'i la frankfurt.</w:t>
      </w:r>
    </w:p>
    <w:p w:rsidR="00B72047" w:rsidRDefault="00B72047">
      <w:pPr>
        <w:pStyle w:val="examplescaled"/>
      </w:pPr>
      <w:r>
        <w:tab/>
        <w:t>I [present] stand Dresden [inclusive] [interval] [exclusive] Frankfurt.</w:t>
      </w:r>
    </w:p>
    <w:p w:rsidR="00B72047" w:rsidRDefault="00B72047">
      <w:pPr>
        <w:pStyle w:val="examplescaled"/>
      </w:pPr>
      <w:r>
        <w:tab/>
        <w:t>I am standing between Dresden (inclusive) and Frankfurt (exclusive).</w:t>
      </w:r>
    </w:p>
    <w:p w:rsidR="00B72047" w:rsidRDefault="00B72047">
      <w:pPr>
        <w:pStyle w:val="examplescaledpre"/>
      </w:pPr>
      <w:r>
        <w:rPr>
          <w:rStyle w:val="htmlcodes"/>
        </w:rPr>
        <w:t>&lt;a name=e16d7&gt;</w:t>
      </w:r>
      <w:r>
        <w:t>16.7)</w:t>
      </w:r>
      <w:r>
        <w:tab/>
        <w:t>mi ca sanli la drezdn. ke'i bi'i ga'o la frankfurt.</w:t>
      </w:r>
    </w:p>
    <w:p w:rsidR="00B72047" w:rsidRDefault="00B72047">
      <w:pPr>
        <w:pStyle w:val="examplescaled"/>
      </w:pPr>
      <w:r>
        <w:tab/>
        <w:t>I [present] stand Dresden [exclusive] [interval] [inclusive] Frankfurt.</w:t>
      </w:r>
    </w:p>
    <w:p w:rsidR="00B72047" w:rsidRDefault="00B72047">
      <w:pPr>
        <w:pStyle w:val="examplescaled"/>
      </w:pPr>
      <w:r>
        <w:tab/>
        <w:t>I am standing between Dresden (exclusive) and Frankfurt (inclusive).</w:t>
      </w:r>
    </w:p>
    <w:p w:rsidR="00B72047" w:rsidRDefault="00B72047">
      <w:pPr>
        <w:pStyle w:val="examplescaledpre"/>
      </w:pPr>
      <w:r>
        <w:rPr>
          <w:rStyle w:val="htmlcodes"/>
        </w:rPr>
        <w:t>&lt;a name=e16d8&gt;</w:t>
      </w:r>
      <w:r>
        <w:t>16.8)</w:t>
      </w:r>
      <w:r>
        <w:tab/>
        <w:t>mi ca sanli la drezdn. ke'i bi'i ke'i la frankfurt.</w:t>
      </w:r>
    </w:p>
    <w:p w:rsidR="00B72047" w:rsidRDefault="00B72047">
      <w:pPr>
        <w:pStyle w:val="examplescaled"/>
      </w:pPr>
      <w:r>
        <w:tab/>
        <w:t>I [present] stand Dresden [exclusive] [interval] [exclusive] Frankfurt.</w:t>
      </w:r>
    </w:p>
    <w:p w:rsidR="00B72047" w:rsidRDefault="00B72047">
      <w:pPr>
        <w:pStyle w:val="examplescaled"/>
      </w:pPr>
      <w:r>
        <w:tab/>
        <w:t>I am standing between Dresden and Frankfurt, exclusive of both.</w:t>
      </w:r>
    </w:p>
    <w:p w:rsidR="00B72047" w:rsidRDefault="00B72047">
      <w:pPr>
        <w:pStyle w:val="resumedafterexample"/>
      </w:pPr>
      <w:r>
        <w:rPr>
          <w:rStyle w:val="htmlcodes"/>
        </w:rPr>
        <w:t>&lt;/pre&gt;</w:t>
      </w:r>
      <w:r>
        <w:rPr>
          <w:rStyle w:val="indexentry"/>
        </w:rPr>
        <w:t>&lt;cx "GAhO, grammar of"&gt;</w:t>
      </w:r>
      <w:r>
        <w:rPr>
          <w:rStyle w:val="indexentry"/>
        </w:rPr>
        <w:fldChar w:fldCharType="begin"/>
      </w:r>
      <w:r>
        <w:instrText>xe "</w:instrText>
      </w:r>
      <w:r>
        <w:rPr>
          <w:rStyle w:val="xeentry"/>
        </w:rPr>
        <w:instrText>GAhO selma’o: grammar of</w:instrText>
      </w:r>
      <w:r>
        <w:instrText>"</w:instrText>
      </w:r>
      <w:r>
        <w:rPr>
          <w:rStyle w:val="indexentry"/>
        </w:rPr>
        <w:fldChar w:fldCharType="end"/>
      </w:r>
      <w:r>
        <w:t>As these examples should make clear, the GAhO cmavo that applies to a given</w:t>
      </w:r>
      <w:r>
        <w:rPr>
          <w:rStyle w:val="deletedparamark"/>
        </w:rPr>
        <w:t xml:space="preserve"> </w:t>
      </w:r>
      <w:r>
        <w:t>endpoint is the one that stands physically adjacent to it: the left-hand</w:t>
      </w:r>
      <w:r>
        <w:rPr>
          <w:rStyle w:val="deletedparamark"/>
        </w:rPr>
        <w:t xml:space="preserve"> </w:t>
      </w:r>
      <w:r>
        <w:t>endpoint is referred to by the first GAhO, and the right-hand endpoint by</w:t>
      </w:r>
      <w:r>
        <w:rPr>
          <w:rStyle w:val="deletedparamark"/>
        </w:rPr>
        <w:t xml:space="preserve"> </w:t>
      </w:r>
      <w:r>
        <w:t>the second GAhO. It is ungrammatical to have just one GAhO.</w:t>
      </w:r>
    </w:p>
    <w:p w:rsidR="00B72047" w:rsidRDefault="00B72047">
      <w:pPr>
        <w:rPr>
          <w:rStyle w:val="htmlparacode"/>
        </w:rPr>
      </w:pPr>
      <w:r>
        <w:rPr>
          <w:rStyle w:val="htmlparacode"/>
        </w:rPr>
        <w:t>&lt;p&gt;</w:t>
      </w:r>
    </w:p>
    <w:p w:rsidR="00B72047" w:rsidRDefault="00B72047">
      <w:pPr>
        <w:pStyle w:val="normalparagraph"/>
      </w:pPr>
      <w:r>
        <w:rPr>
          <w:rStyle w:val="indexentry"/>
        </w:rPr>
        <w:t>&lt;cx "ga'o, etymology of"&gt;</w:t>
      </w:r>
      <w:r>
        <w:rPr>
          <w:rStyle w:val="indexentry"/>
        </w:rPr>
        <w:fldChar w:fldCharType="begin"/>
      </w:r>
      <w:r>
        <w:instrText>xe "</w:instrText>
      </w:r>
      <w:r>
        <w:rPr>
          <w:rStyle w:val="xeentry"/>
        </w:rPr>
        <w:instrText>ga'o: etymology of</w:instrText>
      </w:r>
      <w:r>
        <w:instrText>"</w:instrText>
      </w:r>
      <w:r>
        <w:rPr>
          <w:rStyle w:val="indexentry"/>
        </w:rPr>
        <w:fldChar w:fldCharType="end"/>
      </w:r>
      <w:r>
        <w:rPr>
          <w:rStyle w:val="indexentry"/>
        </w:rPr>
        <w:t>&lt;cx "ke'i, etymology of"&gt;</w:t>
      </w:r>
      <w:r>
        <w:rPr>
          <w:rStyle w:val="indexentry"/>
        </w:rPr>
        <w:fldChar w:fldCharType="begin"/>
      </w:r>
      <w:r>
        <w:instrText>xe "</w:instrText>
      </w:r>
      <w:r>
        <w:rPr>
          <w:rStyle w:val="xeentry"/>
        </w:rPr>
        <w:instrText>ke'i: etymology of</w:instrText>
      </w:r>
      <w:r>
        <w:instrText>"</w:instrText>
      </w:r>
      <w:r>
        <w:rPr>
          <w:rStyle w:val="indexentry"/>
        </w:rPr>
        <w:fldChar w:fldCharType="end"/>
      </w:r>
      <w:r>
        <w:t>(Etymologically, “ga'o” is derived from “ganlo”, which means “closed”, and</w:t>
      </w:r>
      <w:r>
        <w:rPr>
          <w:rStyle w:val="deletedparamark"/>
        </w:rPr>
        <w:t xml:space="preserve"> “</w:t>
      </w:r>
      <w:r>
        <w:t>ke'i” from “kalri”, which means “open”. In mathematics, inclusive intervals</w:t>
      </w:r>
      <w:r>
        <w:rPr>
          <w:rStyle w:val="deletedparamark"/>
        </w:rPr>
        <w:t xml:space="preserve"> </w:t>
      </w:r>
      <w:r>
        <w:t>are re</w:t>
      </w:r>
      <w:r>
        <w:softHyphen/>
        <w:t>ferred to as closed intervals, and exclusive intervals as open ones.)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"BIhI, grammar of"&gt;</w:t>
      </w:r>
      <w:r>
        <w:rPr>
          <w:rStyle w:val="indexentry"/>
        </w:rPr>
        <w:fldChar w:fldCharType="begin"/>
      </w:r>
      <w:r>
        <w:instrText>xe "</w:instrText>
      </w:r>
      <w:r>
        <w:rPr>
          <w:rStyle w:val="xeentry"/>
        </w:rPr>
        <w:instrText>BIhI selma’o: grammar of</w:instrText>
      </w:r>
      <w:r>
        <w:instrText>"</w:instrText>
      </w:r>
      <w:r>
        <w:rPr>
          <w:rStyle w:val="indexentry"/>
        </w:rPr>
        <w:fldChar w:fldCharType="end"/>
      </w:r>
      <w:r>
        <w:t>BIhI joiks are grammatical anywhere that other joiks are, including in</w:t>
      </w:r>
      <w:r>
        <w:rPr>
          <w:rStyle w:val="deletedparamark"/>
        </w:rPr>
        <w:t xml:space="preserve"> </w:t>
      </w:r>
      <w:r>
        <w:t>tanru conne</w:t>
      </w:r>
      <w:r>
        <w:t>c</w:t>
      </w:r>
      <w:r>
        <w:softHyphen/>
        <w:t>tion and (as ijoiks) between sentences. No meanings have been</w:t>
      </w:r>
      <w:r>
        <w:rPr>
          <w:rStyle w:val="deletedparamark"/>
        </w:rPr>
        <w:t xml:space="preserve"> </w:t>
      </w:r>
      <w:r>
        <w:t>found for these uses.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"negated intervals, meaning of"&gt;</w:t>
      </w:r>
      <w:r>
        <w:rPr>
          <w:rStyle w:val="indexentry"/>
        </w:rPr>
        <w:fldChar w:fldCharType="begin"/>
      </w:r>
      <w:r>
        <w:instrText>xe "</w:instrText>
      </w:r>
      <w:r>
        <w:rPr>
          <w:rStyle w:val="xeentry"/>
        </w:rPr>
        <w:instrText>negated interval: meaning of</w:instrText>
      </w:r>
      <w:r>
        <w:instrText>"</w:instrText>
      </w:r>
      <w:r>
        <w:rPr>
          <w:rStyle w:val="indexentry"/>
        </w:rPr>
        <w:fldChar w:fldCharType="end"/>
      </w:r>
      <w:r>
        <w:rPr>
          <w:rStyle w:val="indexentry"/>
        </w:rPr>
        <w:t>&lt;cx "nai, effect on intervals"&gt;</w:t>
      </w:r>
      <w:r>
        <w:rPr>
          <w:rStyle w:val="indexentry"/>
        </w:rPr>
        <w:fldChar w:fldCharType="begin"/>
      </w:r>
      <w:r>
        <w:instrText>xe "</w:instrText>
      </w:r>
      <w:r>
        <w:rPr>
          <w:rStyle w:val="xeentry"/>
        </w:rPr>
        <w:instrText>nai: effect on intervals</w:instrText>
      </w:r>
      <w:r>
        <w:instrText>"</w:instrText>
      </w:r>
      <w:r>
        <w:rPr>
          <w:rStyle w:val="indexentry"/>
        </w:rPr>
        <w:fldChar w:fldCharType="end"/>
      </w:r>
      <w:r>
        <w:rPr>
          <w:rStyle w:val="indexentry"/>
        </w:rPr>
        <w:t>&lt;cx "intervals, effect of nai on"&gt;</w:t>
      </w:r>
      <w:r>
        <w:rPr>
          <w:rStyle w:val="indexentry"/>
        </w:rPr>
        <w:fldChar w:fldCharType="begin"/>
      </w:r>
      <w:r>
        <w:instrText>xe "</w:instrText>
      </w:r>
      <w:r>
        <w:rPr>
          <w:rStyle w:val="xeentry"/>
        </w:rPr>
        <w:instrText>interval: effect of nai on</w:instrText>
      </w:r>
      <w:r>
        <w:instrText>"</w:instrText>
      </w:r>
      <w:r>
        <w:rPr>
          <w:rStyle w:val="indexentry"/>
        </w:rPr>
        <w:fldChar w:fldCharType="end"/>
      </w:r>
      <w:r>
        <w:t>Negated intervals, marked with a “-nai” following the BIhI cmavo, indicate</w:t>
      </w:r>
      <w:r>
        <w:rPr>
          <w:rStyle w:val="deletedparamark"/>
        </w:rPr>
        <w:t xml:space="preserve"> </w:t>
      </w:r>
      <w:r>
        <w:t>an inte</w:t>
      </w:r>
      <w:r>
        <w:t>r</w:t>
      </w:r>
      <w:r>
        <w:softHyphen/>
        <w:t>val that includes everything but what is between the endpoints</w:t>
      </w:r>
      <w:r>
        <w:rPr>
          <w:rStyle w:val="deletedparamark"/>
        </w:rPr>
        <w:t xml:space="preserve"> </w:t>
      </w:r>
      <w:r>
        <w:t>(with respect to some u</w:t>
      </w:r>
      <w:r>
        <w:t>n</w:t>
      </w:r>
      <w:r>
        <w:softHyphen/>
        <w:t>derstood scale):</w:t>
      </w:r>
    </w:p>
    <w:p w:rsidR="00B72047" w:rsidRDefault="00B72047">
      <w:pPr>
        <w:rPr>
          <w:rStyle w:val="htmlparacode"/>
        </w:rPr>
      </w:pPr>
      <w:r>
        <w:rPr>
          <w:rStyle w:val="htmlparacode"/>
        </w:rPr>
        <w:t>&lt;p&gt;</w:t>
      </w:r>
    </w:p>
    <w:p w:rsidR="00B72047" w:rsidRDefault="00B72047">
      <w:pPr>
        <w:pStyle w:val="examplescaledpre"/>
      </w:pPr>
      <w:r>
        <w:rPr>
          <w:rStyle w:val="indexentry"/>
        </w:rPr>
        <w:t>&lt;ex "except from 10 to 12"&gt;</w:t>
      </w:r>
      <w:r>
        <w:rPr>
          <w:rStyle w:val="indexentry"/>
        </w:rPr>
        <w:fldChar w:fldCharType="begin"/>
      </w:r>
      <w:r>
        <w:instrText>xe "</w:instrText>
      </w:r>
      <w:r>
        <w:rPr>
          <w:rStyle w:val="xeentry"/>
        </w:rPr>
        <w:instrText>except from 10 to 12: example</w:instrText>
      </w:r>
      <w:r>
        <w:instrText>"</w:instrText>
      </w:r>
      <w:r>
        <w:rPr>
          <w:rStyle w:val="indexentry"/>
        </w:rPr>
        <w:fldChar w:fldCharType="end"/>
      </w:r>
      <w:r>
        <w:rPr>
          <w:rStyle w:val="htmlcodes"/>
        </w:rPr>
        <w:t>&lt;pre&gt;&lt;a name=e16d9&gt;</w:t>
      </w:r>
      <w:r>
        <w:t>16.9)</w:t>
      </w:r>
      <w:r>
        <w:tab/>
        <w:t>do dicra .e'a mi ca la daucac. bi'onai la gaicac.</w:t>
      </w:r>
    </w:p>
    <w:p w:rsidR="00B72047" w:rsidRDefault="00B72047">
      <w:pPr>
        <w:pStyle w:val="examplescaled"/>
      </w:pPr>
      <w:r>
        <w:tab/>
        <w:t>You disturb (allowed) me at 10 not-from </w:t>
      </w:r>
      <w:r>
        <w:rPr>
          <w:rStyle w:val="htmlcodes"/>
        </w:rPr>
        <w:t>&lt;dots&gt;</w:t>
      </w:r>
      <w:r>
        <w:t>…</w:t>
      </w:r>
      <w:r>
        <w:rPr>
          <w:rStyle w:val="htmlcodes"/>
        </w:rPr>
        <w:t>&lt;/dots&gt;</w:t>
      </w:r>
      <w:r>
        <w:t>to 12</w:t>
      </w:r>
    </w:p>
    <w:p w:rsidR="00B72047" w:rsidRDefault="00B72047">
      <w:pPr>
        <w:pStyle w:val="examplescaled"/>
      </w:pPr>
      <w:r>
        <w:tab/>
        <w:t>You can contact me except from 10 to 12.</w:t>
      </w:r>
    </w:p>
    <w:p w:rsidR="00B72047" w:rsidRDefault="00B72047">
      <w:pPr>
        <w:pStyle w:val="normalafterexample"/>
      </w:pPr>
      <w:r>
        <w:rPr>
          <w:rStyle w:val="htmlcodes"/>
        </w:rPr>
        <w:t>&lt;/pre&gt;&lt;p&gt;</w:t>
      </w:r>
      <w:r>
        <w:t>The complete syntax of joiks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"BIhI"&gt;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&lt;lx "GAhO"&gt;</w:t>
      </w:r>
      <w:r>
        <w:rPr>
          <w:rStyle w:val="indexentry"/>
        </w:rPr>
        <w:fldChar w:fldCharType="begin"/>
      </w:r>
      <w:r>
        <w:instrText>xe "</w:instrText>
      </w:r>
      <w:r>
        <w:rPr>
          <w:rStyle w:val="xeentry"/>
        </w:rPr>
        <w:instrText>GAhO selma’o</w:instrText>
      </w:r>
      <w:r>
        <w:instrText>"</w:instrText>
      </w:r>
      <w:r>
        <w:rPr>
          <w:rStyle w:val="indexentry"/>
        </w:rPr>
        <w:fldChar w:fldCharType="end"/>
      </w:r>
      <w:r>
        <w:rPr>
          <w:rStyle w:val="indexentry"/>
        </w:rPr>
        <w:t>&lt;cx "joiks, syntax of"&gt;</w:t>
      </w:r>
      <w:r>
        <w:rPr>
          <w:rStyle w:val="indexentry"/>
        </w:rPr>
        <w:fldChar w:fldCharType="begin"/>
      </w:r>
      <w:r>
        <w:instrText>xe "</w:instrText>
      </w:r>
      <w:r>
        <w:rPr>
          <w:rStyle w:val="xeentry"/>
        </w:rPr>
        <w:instrText>joiks: syntax of</w:instrText>
      </w:r>
      <w:r>
        <w:instrText>"</w:instrText>
      </w:r>
      <w:r>
        <w:rPr>
          <w:rStyle w:val="indexentry"/>
        </w:rPr>
        <w:fldChar w:fldCharType="end"/>
      </w:r>
      <w:r>
        <w:rPr>
          <w:rStyle w:val="htmlcodes"/>
        </w:rPr>
        <w:t>&lt;dl compact&gt;&lt;dt&gt;&lt;dd&gt;</w:t>
      </w:r>
      <w:r>
        <w:t>[se] JOI [nai]</w:t>
      </w:r>
    </w:p>
    <w:p w:rsidR="00B72047" w:rsidRDefault="00B72047" w:rsidP="007E67C1">
      <w:pPr>
        <w:pStyle w:val="placestructcont"/>
        <w:numPr>
          <w:ilvl w:val="0"/>
          <w:numId w:val="0"/>
        </w:numPr>
        <w:ind w:left="504" w:hanging="504"/>
      </w:pPr>
      <w:r>
        <w:t>[se] BIhI [nai]</w:t>
      </w:r>
    </w:p>
    <w:p w:rsidR="00B72047" w:rsidRDefault="00B72047" w:rsidP="007E67C1">
      <w:pPr>
        <w:pStyle w:val="placestructcont"/>
        <w:numPr>
          <w:ilvl w:val="0"/>
          <w:numId w:val="0"/>
        </w:numPr>
        <w:ind w:left="504" w:hanging="504"/>
      </w:pPr>
      <w:r>
        <w:t>GAhO [se] BIhI [nai] GAhO</w:t>
      </w:r>
    </w:p>
    <w:p w:rsidR="00B72047" w:rsidRDefault="00B72047">
      <w:pPr>
        <w:pStyle w:val="resumedafterexample"/>
      </w:pPr>
      <w:r>
        <w:rPr>
          <w:rStyle w:val="htmlcodes"/>
        </w:rPr>
        <w:t>&lt;/dl&gt;</w:t>
      </w:r>
      <w:r>
        <w:rPr>
          <w:rStyle w:val="indexentry"/>
        </w:rPr>
        <w:t>&lt;cx "intervals, forethought"&gt;</w:t>
      </w:r>
      <w:r>
        <w:rPr>
          <w:rStyle w:val="indexentry"/>
        </w:rPr>
        <w:fldChar w:fldCharType="begin"/>
      </w:r>
      <w:r>
        <w:instrText>xe "</w:instrText>
      </w:r>
      <w:r>
        <w:rPr>
          <w:rStyle w:val="xeentry"/>
        </w:rPr>
        <w:instrText>interval: forethought</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rPr>
          <w:rStyle w:val="indexentry"/>
        </w:rPr>
        <w:t>&lt;cx "joigik, definition"&gt;</w:t>
      </w:r>
      <w:r>
        <w:rPr>
          <w:rStyle w:val="indexentry"/>
        </w:rPr>
        <w:fldChar w:fldCharType="begin"/>
      </w:r>
      <w:r>
        <w:instrText>xe "</w:instrText>
      </w:r>
      <w:r>
        <w:rPr>
          <w:rStyle w:val="xeentry"/>
        </w:rPr>
        <w:instrText>joigik: definition</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t>Notice that the colloquial English translations of “bi'i” and “bi'o” have</w:t>
      </w:r>
      <w:r>
        <w:rPr>
          <w:rStyle w:val="deletedparamark"/>
        </w:rPr>
        <w:t xml:space="preserve"> </w:t>
      </w:r>
      <w:r>
        <w:t>forethought form: “between </w:t>
      </w:r>
      <w:r>
        <w:rPr>
          <w:rStyle w:val="htmlcodes"/>
        </w:rPr>
        <w:t>&lt;dots&gt;</w:t>
      </w:r>
      <w:r>
        <w:t>…</w:t>
      </w:r>
      <w:r>
        <w:rPr>
          <w:rStyle w:val="htmlcodes"/>
        </w:rPr>
        <w:t>&lt;/dots&gt;</w:t>
      </w:r>
      <w:r>
        <w:t>and” for “bi'i”, and “from </w:t>
      </w:r>
      <w:r>
        <w:rPr>
          <w:rStyle w:val="htmlcodes"/>
        </w:rPr>
        <w:t>&lt;dots&gt;</w:t>
      </w:r>
      <w:r>
        <w:t>…</w:t>
      </w:r>
      <w:r>
        <w:rPr>
          <w:rStyle w:val="htmlcodes"/>
        </w:rPr>
        <w:t>&lt;/dots&gt;</w:t>
      </w:r>
      <w:r>
        <w:t>to” for “bi'o”.</w:t>
      </w:r>
      <w:r>
        <w:rPr>
          <w:rStyle w:val="deletedparamark"/>
        </w:rPr>
        <w:t xml:space="preserve"> </w:t>
      </w:r>
      <w:r>
        <w:t>In Lojban too, non-logical co</w:t>
      </w:r>
      <w:r>
        <w:t>n</w:t>
      </w:r>
      <w:r>
        <w:softHyphen/>
        <w:t>nectives can be expressed in forethought.</w:t>
      </w:r>
      <w:r>
        <w:rPr>
          <w:rStyle w:val="deletedparamark"/>
        </w:rPr>
        <w:t xml:space="preserve"> </w:t>
      </w:r>
      <w:r>
        <w:t>Rather than using a separate selma'o, the for</w:t>
      </w:r>
      <w:r>
        <w:t>e</w:t>
      </w:r>
      <w:r>
        <w:softHyphen/>
        <w:t>thought logical connectives are</w:t>
      </w:r>
      <w:r>
        <w:rPr>
          <w:rStyle w:val="deletedparamark"/>
        </w:rPr>
        <w:t xml:space="preserve"> </w:t>
      </w:r>
      <w:r>
        <w:t>constructed from the afterthought ones by suffixing “gi”. Such a compound</w:t>
      </w:r>
      <w:r>
        <w:rPr>
          <w:rStyle w:val="deletedparamark"/>
        </w:rPr>
        <w:t xml:space="preserve"> </w:t>
      </w:r>
      <w:r>
        <w:t>cmavo is not unnaturally called a “joigik”; the syntax of joigiks is any of:</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&lt;cx "joigiks, syntax of"&gt;</w:t>
      </w:r>
      <w:r>
        <w:rPr>
          <w:rStyle w:val="indexentry"/>
        </w:rPr>
        <w:fldChar w:fldCharType="begin"/>
      </w:r>
      <w:r>
        <w:instrText>xe "</w:instrText>
      </w:r>
      <w:r>
        <w:rPr>
          <w:rStyle w:val="xeentry"/>
        </w:rPr>
        <w:instrText>joigiks: syntax of</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 selma’o</w:instrText>
      </w:r>
      <w:r>
        <w:instrText>"</w:instrText>
      </w:r>
      <w:r>
        <w:rPr>
          <w:rStyle w:val="indexentry"/>
        </w:rPr>
        <w:fldChar w:fldCharType="end"/>
      </w:r>
      <w:r>
        <w:rPr>
          <w:rStyle w:val="indexentry"/>
        </w:rPr>
        <w:t>&lt;lx "BIhI"&gt;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"GAhO"&gt;</w:t>
      </w:r>
      <w:r>
        <w:rPr>
          <w:rStyle w:val="indexentry"/>
        </w:rPr>
        <w:fldChar w:fldCharType="begin"/>
      </w:r>
      <w:r>
        <w:instrText>xe "</w:instrText>
      </w:r>
      <w:r>
        <w:rPr>
          <w:rStyle w:val="xeentry"/>
        </w:rPr>
        <w:instrText>GAhO selma’o</w:instrText>
      </w:r>
      <w:r>
        <w:instrText>"</w:instrText>
      </w:r>
      <w:r>
        <w:rPr>
          <w:rStyle w:val="indexentry"/>
        </w:rPr>
        <w:fldChar w:fldCharType="end"/>
      </w:r>
      <w:r>
        <w:rPr>
          <w:rStyle w:val="htmlcodes"/>
        </w:rPr>
        <w:t>&lt;dl compact&gt;&lt;dt&gt;&lt;dd&gt;</w:t>
      </w:r>
      <w:r>
        <w:t>[se] JOI [nai] GI</w:t>
      </w:r>
    </w:p>
    <w:p w:rsidR="00B72047" w:rsidRDefault="00B72047" w:rsidP="007E67C1">
      <w:pPr>
        <w:pStyle w:val="placestructcont"/>
        <w:numPr>
          <w:ilvl w:val="0"/>
          <w:numId w:val="0"/>
        </w:numPr>
        <w:ind w:left="504" w:hanging="504"/>
      </w:pPr>
      <w:r>
        <w:t>[se] BIhI [nai] GI</w:t>
      </w:r>
    </w:p>
    <w:p w:rsidR="00B72047" w:rsidRDefault="00B72047" w:rsidP="007E67C1">
      <w:pPr>
        <w:pStyle w:val="placestructcont"/>
        <w:numPr>
          <w:ilvl w:val="0"/>
          <w:numId w:val="0"/>
        </w:numPr>
        <w:ind w:left="504" w:hanging="504"/>
      </w:pPr>
      <w:r>
        <w:t>GAhO [se] BIhI [nai] GAhO GI</w:t>
      </w:r>
    </w:p>
    <w:p w:rsidR="00B72047" w:rsidRDefault="00B72047">
      <w:pPr>
        <w:pStyle w:val="resumedafterexample"/>
      </w:pPr>
      <w:r>
        <w:rPr>
          <w:rStyle w:val="htmlcodes"/>
        </w:rPr>
        <w:t>&lt;/dl&gt;</w:t>
      </w:r>
      <w:r>
        <w:rPr>
          <w:rStyle w:val="indexentry"/>
        </w:rPr>
        <w:t>&lt;cx "joigiks, connection types"&gt;</w:t>
      </w:r>
      <w:r>
        <w:rPr>
          <w:rStyle w:val="indexentry"/>
        </w:rPr>
        <w:fldChar w:fldCharType="begin"/>
      </w:r>
      <w:r>
        <w:instrText>xe "</w:instrText>
      </w:r>
      <w:r>
        <w:rPr>
          <w:rStyle w:val="xeentry"/>
        </w:rPr>
        <w:instrText>joigiks: connection types</w:instrText>
      </w:r>
      <w:r>
        <w:instrText>"</w:instrText>
      </w:r>
      <w:r>
        <w:rPr>
          <w:rStyle w:val="indexentry"/>
        </w:rPr>
        <w:fldChar w:fldCharType="end"/>
      </w:r>
      <w:r>
        <w:t>Joigiks may be used to non-logically connect bridi, sumti, and bridi-tails;</w:t>
      </w:r>
      <w:r>
        <w:rPr>
          <w:rStyle w:val="deletedparamark"/>
        </w:rPr>
        <w:t xml:space="preserve"> </w:t>
      </w:r>
      <w:r>
        <w:t>and also in termsets.</w:t>
      </w:r>
    </w:p>
    <w:p w:rsidR="00B72047" w:rsidRDefault="00B72047">
      <w:pPr>
        <w:rPr>
          <w:rStyle w:val="htmlparacode"/>
        </w:rPr>
      </w:pPr>
      <w:r>
        <w:rPr>
          <w:rStyle w:val="htmlparacode"/>
        </w:rPr>
        <w:t>&lt;p&gt;</w:t>
      </w:r>
    </w:p>
    <w:p w:rsidR="00B72047" w:rsidRDefault="00B72047">
      <w:pPr>
        <w:pStyle w:val="normalparagraph"/>
      </w:pPr>
      <w:r>
        <w:rPr>
          <w:rStyle w:val="htmlcodes"/>
        </w:rPr>
        <w:t>&lt;a href=#e14d3&gt;</w:t>
      </w:r>
      <w:r>
        <w:t xml:space="preserve">Example 14.3 </w:t>
      </w:r>
      <w:r>
        <w:rPr>
          <w:rStyle w:val="htmlcodes"/>
        </w:rPr>
        <w:t>&lt;/a&gt;</w:t>
      </w:r>
      <w:r>
        <w:t>in forethought becomes:</w:t>
      </w:r>
    </w:p>
    <w:p w:rsidR="00B72047" w:rsidRDefault="00B72047">
      <w:pPr>
        <w:rPr>
          <w:rStyle w:val="htmlparacode"/>
        </w:rPr>
      </w:pPr>
      <w:r>
        <w:rPr>
          <w:rStyle w:val="htmlparacode"/>
        </w:rPr>
        <w:t>&lt;p&gt;</w:t>
      </w:r>
    </w:p>
    <w:p w:rsidR="00B72047" w:rsidRDefault="00B72047">
      <w:pPr>
        <w:pStyle w:val="examplescaledpre"/>
      </w:pPr>
      <w:r>
        <w:rPr>
          <w:rStyle w:val="indexentry"/>
        </w:rPr>
        <w:t>&lt;ex "carry the piano"&gt;</w:t>
      </w:r>
      <w:r>
        <w:rPr>
          <w:rStyle w:val="indexentry"/>
        </w:rPr>
        <w:fldChar w:fldCharType="begin"/>
      </w:r>
      <w:r>
        <w:instrText>xe "</w:instrText>
      </w:r>
      <w:r>
        <w:rPr>
          <w:rStyle w:val="xeentry"/>
        </w:rPr>
        <w:instrText>carry the piano: example</w:instrText>
      </w:r>
      <w:r>
        <w:instrText>"</w:instrText>
      </w:r>
      <w:r>
        <w:rPr>
          <w:rStyle w:val="indexentry"/>
        </w:rPr>
        <w:fldChar w:fldCharType="end"/>
      </w:r>
      <w:r>
        <w:rPr>
          <w:rStyle w:val="htmlcodes"/>
        </w:rPr>
        <w:t>&lt;pre&gt;&lt;a name=e16d10&gt;</w:t>
      </w:r>
      <w:r>
        <w:t>16.10)</w:t>
      </w:r>
      <w:r>
        <w:tab/>
        <w:t>joigi la djan. gi la .alis. bevri le pipno</w:t>
      </w:r>
    </w:p>
    <w:p w:rsidR="00B72047" w:rsidRDefault="00B72047">
      <w:pPr>
        <w:pStyle w:val="examplescaled"/>
      </w:pPr>
      <w:r>
        <w:tab/>
        <w:t>[Together] John and Alice carry the piano.</w:t>
      </w:r>
    </w:p>
    <w:p w:rsidR="00B72047" w:rsidRDefault="00B72047">
      <w:pPr>
        <w:pStyle w:val="resumedafterexample"/>
      </w:pPr>
      <w:r>
        <w:rPr>
          <w:rStyle w:val="htmlcodes"/>
        </w:rPr>
        <w:t>&lt;/pre&gt;&lt;p&gt;</w:t>
      </w:r>
      <w:r>
        <w:t>The first “gi” is part of the joigik; the second “gi” is the regular gik</w:t>
      </w:r>
      <w:r>
        <w:rPr>
          <w:rStyle w:val="deletedparamark"/>
        </w:rPr>
        <w:t xml:space="preserve"> </w:t>
      </w:r>
      <w:r>
        <w:t>that separates the two things being connected in all forethought forms.</w:t>
      </w:r>
    </w:p>
    <w:p w:rsidR="00B72047" w:rsidRDefault="00B72047">
      <w:pPr>
        <w:rPr>
          <w:rStyle w:val="htmlparacode"/>
        </w:rPr>
      </w:pPr>
      <w:r>
        <w:rPr>
          <w:rStyle w:val="htmlparacode"/>
        </w:rPr>
        <w:t>&lt;p&gt;</w:t>
      </w:r>
    </w:p>
    <w:p w:rsidR="00B72047" w:rsidRDefault="00B72047">
      <w:pPr>
        <w:pStyle w:val="normalparagraph"/>
      </w:pPr>
      <w:r>
        <w:rPr>
          <w:rStyle w:val="htmlcodes"/>
        </w:rPr>
        <w:t>&lt;a href=#e16d6&gt;</w:t>
      </w:r>
      <w:r>
        <w:t xml:space="preserve">Example 16.6 </w:t>
      </w:r>
      <w:r>
        <w:rPr>
          <w:rStyle w:val="htmlcodes"/>
        </w:rPr>
        <w:t>&lt;/a&gt;</w:t>
      </w:r>
      <w:r>
        <w:t>can be expressed in forethought as:</w:t>
      </w:r>
    </w:p>
    <w:p w:rsidR="00B72047" w:rsidRDefault="00B72047">
      <w:pPr>
        <w:rPr>
          <w:rStyle w:val="htmlparacode"/>
        </w:rPr>
      </w:pPr>
      <w:r>
        <w:rPr>
          <w:rStyle w:val="htmlparacode"/>
        </w:rPr>
        <w:t>&lt;p&gt;</w:t>
      </w:r>
    </w:p>
    <w:p w:rsidR="00B72047" w:rsidRDefault="00B72047">
      <w:pPr>
        <w:pStyle w:val="examplescaledpre"/>
      </w:pPr>
      <w:r>
        <w:rPr>
          <w:rStyle w:val="indexentry"/>
        </w:rPr>
        <w:t>&lt;ex "between Dresden and Frankfurt"&gt;</w:t>
      </w:r>
      <w:r>
        <w:rPr>
          <w:rStyle w:val="indexentry"/>
        </w:rPr>
        <w:fldChar w:fldCharType="begin"/>
      </w:r>
      <w:r>
        <w:instrText>xe "</w:instrText>
      </w:r>
      <w:r>
        <w:rPr>
          <w:rStyle w:val="xeentry"/>
        </w:rPr>
        <w:instrText>between Dresden and Frankfurt: example</w:instrText>
      </w:r>
      <w:r>
        <w:instrText>"</w:instrText>
      </w:r>
      <w:r>
        <w:rPr>
          <w:rStyle w:val="indexentry"/>
        </w:rPr>
        <w:fldChar w:fldCharType="end"/>
      </w:r>
      <w:r>
        <w:rPr>
          <w:rStyle w:val="htmlcodes"/>
        </w:rPr>
        <w:t>&lt;pre&gt;&lt;a name=e16d11&gt;</w:t>
      </w:r>
      <w:r>
        <w:t>16.11)</w:t>
      </w:r>
      <w:r>
        <w:tab/>
        <w:t>mi ca sanli ke'i bi'i ga'o gi la drezdn. gi la frankfurt.</w:t>
      </w:r>
    </w:p>
    <w:p w:rsidR="00B72047" w:rsidRDefault="00B72047">
      <w:pPr>
        <w:pStyle w:val="examplescaled"/>
      </w:pPr>
      <w:r>
        <w:tab/>
        <w:t>I [present] stand [exclusive] between [inclusive] Dresden and Frankfurt.</w:t>
      </w:r>
    </w:p>
    <w:p w:rsidR="00B72047" w:rsidRDefault="00B72047">
      <w:pPr>
        <w:pStyle w:val="examplescaled"/>
      </w:pPr>
      <w:r>
        <w:tab/>
        <w:t>I am standing between Dresden (exclusive) and Frankfurt (inclusive).</w:t>
      </w:r>
    </w:p>
    <w:p w:rsidR="00B72047" w:rsidRDefault="00B72047">
      <w:pPr>
        <w:pStyle w:val="resumedafterexample"/>
      </w:pPr>
      <w:r>
        <w:rPr>
          <w:rStyle w:val="htmlcodes"/>
        </w:rPr>
        <w:t>&lt;/pre&gt;</w:t>
      </w:r>
      <w:r>
        <w:rPr>
          <w:rStyle w:val="indexentry"/>
        </w:rPr>
        <w:t>&lt;cx "forethought intervals, GAhO position"&gt;</w:t>
      </w:r>
      <w:r>
        <w:rPr>
          <w:rStyle w:val="indexentry"/>
        </w:rPr>
        <w:fldChar w:fldCharType="begin"/>
      </w:r>
      <w:r>
        <w:instrText>xe "</w:instrText>
      </w:r>
      <w:r>
        <w:rPr>
          <w:rStyle w:val="xeentry"/>
        </w:rPr>
        <w:instrText>forethought interval: GAhO position</w:instrText>
      </w:r>
      <w:r>
        <w:instrText>"</w:instrText>
      </w:r>
      <w:r>
        <w:rPr>
          <w:rStyle w:val="indexentry"/>
        </w:rPr>
        <w:fldChar w:fldCharType="end"/>
      </w:r>
      <w:r>
        <w:rPr>
          <w:rStyle w:val="indexentry"/>
        </w:rPr>
        <w:t>&lt;cx "GAhO position in forethought intervals"&gt;</w:t>
      </w:r>
      <w:r>
        <w:rPr>
          <w:rStyle w:val="indexentry"/>
        </w:rPr>
        <w:fldChar w:fldCharType="begin"/>
      </w:r>
      <w:r>
        <w:instrText>xe "</w:instrText>
      </w:r>
      <w:r>
        <w:rPr>
          <w:rStyle w:val="xeentry"/>
        </w:rPr>
        <w:instrText>GAhO position in forethought intervals</w:instrText>
      </w:r>
      <w:r>
        <w:instrText>"</w:instrText>
      </w:r>
      <w:r>
        <w:rPr>
          <w:rStyle w:val="indexentry"/>
        </w:rPr>
        <w:fldChar w:fldCharType="end"/>
      </w:r>
      <w:r>
        <w:t>In forethought, unfortunately, the GAhOs become physically separated from the</w:t>
      </w:r>
      <w:r>
        <w:rPr>
          <w:rStyle w:val="deletedparamark"/>
        </w:rPr>
        <w:t xml:space="preserve"> </w:t>
      </w:r>
      <w:r>
        <w:t>end</w:t>
      </w:r>
      <w:r>
        <w:softHyphen/>
        <w:t>points, but the same rule applies: the first GAhO refers to the first</w:t>
      </w:r>
      <w:r>
        <w:rPr>
          <w:rStyle w:val="deletedparamark"/>
        </w:rPr>
        <w:t xml:space="preserve"> </w:t>
      </w:r>
      <w:r>
        <w:t>endpoint.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name=s17&gt;&lt;h3&gt;</w:t>
      </w:r>
      <w:bookmarkStart w:id="431" w:name="_Toc398970672"/>
      <w:r>
        <w:rPr>
          <w:rStyle w:val="Heading3Text"/>
        </w:rPr>
        <w:t>Logical and non-logical connectives within mekso</w:t>
      </w:r>
      <w:bookmarkEnd w:id="43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in mathematical expressions"&gt;</w:t>
      </w:r>
      <w:r>
        <w:rPr>
          <w:rStyle w:val="indexentry"/>
        </w:rPr>
        <w:fldChar w:fldCharType="begin"/>
      </w:r>
      <w:r>
        <w:instrText>xe "</w:instrText>
      </w:r>
      <w:r>
        <w:rPr>
          <w:rStyle w:val="xeentry"/>
        </w:rPr>
        <w:instrText>logical connection: in mathematical expressions</w:instrText>
      </w:r>
      <w:r>
        <w:instrText>"</w:instrText>
      </w:r>
      <w:r>
        <w:rPr>
          <w:rStyle w:val="indexentry"/>
        </w:rPr>
        <w:fldChar w:fldCharType="end"/>
      </w:r>
      <w:r>
        <w:rPr>
          <w:rStyle w:val="indexentry"/>
        </w:rPr>
        <w:t>&lt;cx "non-logical connection in mathematical expressions"&gt;</w:t>
      </w:r>
      <w:r>
        <w:rPr>
          <w:rStyle w:val="indexentry"/>
        </w:rPr>
        <w:fldChar w:fldCharType="begin"/>
      </w:r>
      <w:r>
        <w:instrText>xe "</w:instrText>
      </w:r>
      <w:r>
        <w:rPr>
          <w:rStyle w:val="xeentry"/>
        </w:rPr>
        <w:instrText>non-logical connection: in mathematical expressions</w:instrText>
      </w:r>
      <w:r>
        <w:instrText>"</w:instrText>
      </w:r>
      <w:r>
        <w:rPr>
          <w:rStyle w:val="indexentry"/>
        </w:rPr>
        <w:fldChar w:fldCharType="end"/>
      </w:r>
      <w:r>
        <w:rPr>
          <w:rStyle w:val="indexentry"/>
        </w:rPr>
        <w:t>&lt;cx "mathematical expressions, connectives in"&gt;</w:t>
      </w:r>
      <w:r>
        <w:rPr>
          <w:rStyle w:val="indexentry"/>
        </w:rPr>
        <w:fldChar w:fldCharType="begin"/>
      </w:r>
      <w:r>
        <w:instrText>xe "</w:instrText>
      </w:r>
      <w:r>
        <w:rPr>
          <w:rStyle w:val="xeentry"/>
        </w:rPr>
        <w:instrText>mathematical expressions: connectives in</w:instrText>
      </w:r>
      <w:r>
        <w:instrText>"</w:instrText>
      </w:r>
      <w:r>
        <w:rPr>
          <w:rStyle w:val="indexentry"/>
        </w:rPr>
        <w:fldChar w:fldCharType="end"/>
      </w:r>
      <w:r>
        <w:t>Lojban has a separate grammar embedded within the main grammar for</w:t>
      </w:r>
      <w:r>
        <w:rPr>
          <w:rStyle w:val="deletedparamark"/>
        </w:rPr>
        <w:t xml:space="preserve"> </w:t>
      </w:r>
      <w:r>
        <w:t>repre</w:t>
      </w:r>
      <w:r>
        <w:softHyphen/>
        <w:t>senting mathematical expressions (or mekso in Lojban) such as “</w:t>
      </w:r>
      <w:r>
        <w:rPr>
          <w:rStyle w:val="math"/>
        </w:rPr>
        <w:t>2 + 2</w:t>
      </w:r>
      <w:r>
        <w:t>”.</w:t>
      </w:r>
      <w:r>
        <w:rPr>
          <w:rStyle w:val="deletedparamark"/>
        </w:rPr>
        <w:t xml:space="preserve"> </w:t>
      </w:r>
      <w:r>
        <w:t>Mathematical expre</w:t>
      </w:r>
      <w:r>
        <w:t>s</w:t>
      </w:r>
      <w:r>
        <w:softHyphen/>
        <w:t xml:space="preserve">sions are explained fully in </w:t>
      </w:r>
      <w:r>
        <w:rPr>
          <w:rStyle w:val="htmlcodes"/>
        </w:rPr>
        <w:t>&lt;a href=chap18.html&gt;</w:t>
      </w:r>
      <w:r>
        <w:t>Chapter 18</w:t>
      </w:r>
      <w:r>
        <w:rPr>
          <w:rStyle w:val="htmlcodes"/>
        </w:rPr>
        <w:t>&lt;/a&gt;</w:t>
      </w:r>
      <w:r>
        <w:t>.</w:t>
      </w:r>
      <w:r>
        <w:rPr>
          <w:rStyle w:val="deletedparamark"/>
        </w:rPr>
        <w:t xml:space="preserve"> </w:t>
      </w:r>
      <w:r>
        <w:t>The basic components of mekso are op</w:t>
      </w:r>
      <w:r>
        <w:softHyphen/>
        <w:t>erands, like “2”, and operators, like “+”.</w:t>
      </w:r>
      <w:r>
        <w:rPr>
          <w:rStyle w:val="deletedparamark"/>
        </w:rPr>
        <w:t xml:space="preserve"> </w:t>
      </w:r>
      <w:r>
        <w:t>Both of these may be either logically or non-logically connected.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"GUhA"&gt;</w:t>
      </w:r>
      <w:r>
        <w:rPr>
          <w:rStyle w:val="indexentry"/>
        </w:rPr>
        <w:fldChar w:fldCharType="begin"/>
      </w:r>
      <w:r>
        <w:instrText>xe "</w:instrText>
      </w:r>
      <w:r>
        <w:rPr>
          <w:rStyle w:val="xeentry"/>
        </w:rPr>
        <w:instrText>GUhA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&lt;cx "eks, connecting operands"&gt;</w:t>
      </w:r>
      <w:r>
        <w:rPr>
          <w:rStyle w:val="indexentry"/>
        </w:rPr>
        <w:fldChar w:fldCharType="begin"/>
      </w:r>
      <w:r>
        <w:instrText>xe "</w:instrText>
      </w:r>
      <w:r>
        <w:rPr>
          <w:rStyle w:val="xeentry"/>
        </w:rPr>
        <w:instrText>eks: connecting operands</w:instrText>
      </w:r>
      <w:r>
        <w:instrText>"</w:instrText>
      </w:r>
      <w:r>
        <w:rPr>
          <w:rStyle w:val="indexentry"/>
        </w:rPr>
        <w:fldChar w:fldCharType="end"/>
      </w:r>
      <w:r>
        <w:rPr>
          <w:rStyle w:val="indexentry"/>
        </w:rPr>
        <w:t>&lt;cx "geks, connecting operands"&gt;</w:t>
      </w:r>
      <w:r>
        <w:rPr>
          <w:rStyle w:val="indexentry"/>
        </w:rPr>
        <w:fldChar w:fldCharType="begin"/>
      </w:r>
      <w:r>
        <w:instrText>xe "</w:instrText>
      </w:r>
      <w:r>
        <w:rPr>
          <w:rStyle w:val="xeentry"/>
        </w:rPr>
        <w:instrText>geks: connecting operands</w:instrText>
      </w:r>
      <w:r>
        <w:instrText>"</w:instrText>
      </w:r>
      <w:r>
        <w:rPr>
          <w:rStyle w:val="indexentry"/>
        </w:rPr>
        <w:fldChar w:fldCharType="end"/>
      </w:r>
      <w:r>
        <w:rPr>
          <w:rStyle w:val="indexentry"/>
        </w:rPr>
        <w:t>&lt;cx "operands, connecting"&gt;</w:t>
      </w:r>
      <w:r>
        <w:rPr>
          <w:rStyle w:val="indexentry"/>
        </w:rPr>
        <w:fldChar w:fldCharType="begin"/>
      </w:r>
      <w:r>
        <w:instrText>xe "</w:instrText>
      </w:r>
      <w:r>
        <w:rPr>
          <w:rStyle w:val="xeentry"/>
        </w:rPr>
        <w:instrText>operands: connecting</w:instrText>
      </w:r>
      <w:r>
        <w:instrText>"</w:instrText>
      </w:r>
      <w:r>
        <w:rPr>
          <w:rStyle w:val="indexentry"/>
        </w:rPr>
        <w:fldChar w:fldCharType="end"/>
      </w:r>
      <w:r>
        <w:rPr>
          <w:rStyle w:val="indexentry"/>
        </w:rPr>
        <w:t>&lt;cx "operators, connecting"&gt;</w:t>
      </w:r>
      <w:r>
        <w:rPr>
          <w:rStyle w:val="indexentry"/>
        </w:rPr>
        <w:fldChar w:fldCharType="begin"/>
      </w:r>
      <w:r>
        <w:instrText>xe "</w:instrText>
      </w:r>
      <w:r>
        <w:rPr>
          <w:rStyle w:val="xeentry"/>
        </w:rPr>
        <w:instrText>operators: connecting</w:instrText>
      </w:r>
      <w:r>
        <w:instrText>"</w:instrText>
      </w:r>
      <w:r>
        <w:rPr>
          <w:rStyle w:val="indexentry"/>
        </w:rPr>
        <w:fldChar w:fldCharType="end"/>
      </w:r>
      <w:r>
        <w:rPr>
          <w:rStyle w:val="indexentry"/>
        </w:rPr>
        <w:t>&lt;cx "jeks, connecting operators"&gt;</w:t>
      </w:r>
      <w:r>
        <w:rPr>
          <w:rStyle w:val="indexentry"/>
        </w:rPr>
        <w:fldChar w:fldCharType="begin"/>
      </w:r>
      <w:r>
        <w:instrText>xe "</w:instrText>
      </w:r>
      <w:r>
        <w:rPr>
          <w:rStyle w:val="xeentry"/>
        </w:rPr>
        <w:instrText>jeks: connecting operators</w:instrText>
      </w:r>
      <w:r>
        <w:instrText>"</w:instrText>
      </w:r>
      <w:r>
        <w:rPr>
          <w:rStyle w:val="indexentry"/>
        </w:rPr>
        <w:fldChar w:fldCharType="end"/>
      </w:r>
      <w:r>
        <w:rPr>
          <w:rStyle w:val="indexentry"/>
        </w:rPr>
        <w:t>&lt;cx "guheks, connecting operators"&gt;</w:t>
      </w:r>
      <w:r>
        <w:rPr>
          <w:rStyle w:val="indexentry"/>
        </w:rPr>
        <w:fldChar w:fldCharType="begin"/>
      </w:r>
      <w:r>
        <w:instrText>xe "</w:instrText>
      </w:r>
      <w:r>
        <w:rPr>
          <w:rStyle w:val="xeentry"/>
        </w:rPr>
        <w:instrText>guheks: connecting operators</w:instrText>
      </w:r>
      <w:r>
        <w:instrText>"</w:instrText>
      </w:r>
      <w:r>
        <w:rPr>
          <w:rStyle w:val="indexentry"/>
        </w:rPr>
        <w:fldChar w:fldCharType="end"/>
      </w:r>
      <w:r>
        <w:rPr>
          <w:rStyle w:val="indexentry"/>
        </w:rPr>
        <w:t>&lt;cx "bo, in jeks for operators"&gt;</w:t>
      </w:r>
      <w:r>
        <w:rPr>
          <w:rStyle w:val="indexentry"/>
        </w:rPr>
        <w:fldChar w:fldCharType="begin"/>
      </w:r>
      <w:r>
        <w:instrText>xe "</w:instrText>
      </w:r>
      <w:r>
        <w:rPr>
          <w:rStyle w:val="xeentry"/>
        </w:rPr>
        <w:instrText>bo: in jeks for operators</w:instrText>
      </w:r>
      <w:r>
        <w:instrText>"</w:instrText>
      </w:r>
      <w:r>
        <w:rPr>
          <w:rStyle w:val="indexentry"/>
        </w:rPr>
        <w:fldChar w:fldCharType="end"/>
      </w:r>
      <w:r>
        <w:rPr>
          <w:rStyle w:val="indexentry"/>
        </w:rPr>
        <w:t>&lt;cx "bo, in joiks for operators"&gt;</w:t>
      </w:r>
      <w:r>
        <w:rPr>
          <w:rStyle w:val="indexentry"/>
        </w:rPr>
        <w:fldChar w:fldCharType="begin"/>
      </w:r>
      <w:r>
        <w:instrText>xe "</w:instrText>
      </w:r>
      <w:r>
        <w:rPr>
          <w:rStyle w:val="xeentry"/>
        </w:rPr>
        <w:instrText>bo: in joiks for operators</w:instrText>
      </w:r>
      <w:r>
        <w:instrText>"</w:instrText>
      </w:r>
      <w:r>
        <w:rPr>
          <w:rStyle w:val="indexentry"/>
        </w:rPr>
        <w:fldChar w:fldCharType="end"/>
      </w:r>
      <w:r>
        <w:rPr>
          <w:rStyle w:val="indexentry"/>
        </w:rPr>
        <w:t>&lt;cx "connecting operators, with bo in connective"&gt;</w:t>
      </w:r>
      <w:r>
        <w:rPr>
          <w:rStyle w:val="indexentry"/>
        </w:rPr>
        <w:fldChar w:fldCharType="begin"/>
      </w:r>
      <w:r>
        <w:instrText>xe "</w:instrText>
      </w:r>
      <w:r>
        <w:rPr>
          <w:rStyle w:val="xeentry"/>
        </w:rPr>
        <w:instrText>connecting operators: with bo in connective</w:instrText>
      </w:r>
      <w:r>
        <w:instrText>"</w:instrText>
      </w:r>
      <w:r>
        <w:rPr>
          <w:rStyle w:val="indexentry"/>
        </w:rPr>
        <w:fldChar w:fldCharType="end"/>
      </w:r>
      <w:r>
        <w:t>Operands are connected in afterthought with eks and in forethought with geks,</w:t>
      </w:r>
      <w:r>
        <w:rPr>
          <w:rStyle w:val="deletedparamark"/>
        </w:rPr>
        <w:t xml:space="preserve"> </w:t>
      </w:r>
      <w:r>
        <w:t>just like sumti. Operators, on the other hand, are connected in afterthought</w:t>
      </w:r>
      <w:r>
        <w:rPr>
          <w:rStyle w:val="deletedparamark"/>
        </w:rPr>
        <w:t xml:space="preserve"> </w:t>
      </w:r>
      <w:r>
        <w:t>with jeks and in forethought with guheks, just like tanru components.</w:t>
      </w:r>
      <w:r>
        <w:rPr>
          <w:rStyle w:val="deletedparamark"/>
        </w:rPr>
        <w:t xml:space="preserve"> </w:t>
      </w:r>
      <w:r>
        <w:t>(However, jeks and joiks with “bo” are not allowed for operators.) This</w:t>
      </w:r>
      <w:r>
        <w:rPr>
          <w:rStyle w:val="deletedparamark"/>
        </w:rPr>
        <w:t xml:space="preserve"> </w:t>
      </w:r>
      <w:r>
        <w:t>parallelism is no accident.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&lt;cx "connecting operands, with bo in connective"&gt;</w:t>
      </w:r>
      <w:r>
        <w:rPr>
          <w:rStyle w:val="indexentry"/>
        </w:rPr>
        <w:fldChar w:fldCharType="begin"/>
      </w:r>
      <w:r>
        <w:instrText>xe "</w:instrText>
      </w:r>
      <w:r>
        <w:rPr>
          <w:rStyle w:val="xeentry"/>
        </w:rPr>
        <w:instrText>connecting operands: with bo in connective</w:instrText>
      </w:r>
      <w:r>
        <w:instrText>"</w:instrText>
      </w:r>
      <w:r>
        <w:rPr>
          <w:rStyle w:val="indexentry"/>
        </w:rPr>
        <w:fldChar w:fldCharType="end"/>
      </w:r>
      <w:r>
        <w:rPr>
          <w:rStyle w:val="indexentry"/>
        </w:rPr>
        <w:t>&lt;cx "connecting operands, with ke in connective"&gt;</w:t>
      </w:r>
      <w:r>
        <w:rPr>
          <w:rStyle w:val="indexentry"/>
        </w:rPr>
        <w:fldChar w:fldCharType="begin"/>
      </w:r>
      <w:r>
        <w:instrText>xe "</w:instrText>
      </w:r>
      <w:r>
        <w:rPr>
          <w:rStyle w:val="xeentry"/>
        </w:rPr>
        <w:instrText>connecting operands: with ke in connective</w:instrText>
      </w:r>
      <w:r>
        <w:instrText>"</w:instrText>
      </w:r>
      <w:r>
        <w:rPr>
          <w:rStyle w:val="indexentry"/>
        </w:rPr>
        <w:fldChar w:fldCharType="end"/>
      </w:r>
      <w:r>
        <w:rPr>
          <w:rStyle w:val="indexentry"/>
        </w:rPr>
        <w:t>&lt;cx "connecting operators, with ke in connective"&gt;</w:t>
      </w:r>
      <w:r>
        <w:rPr>
          <w:rStyle w:val="indexentry"/>
        </w:rPr>
        <w:fldChar w:fldCharType="begin"/>
      </w:r>
      <w:r>
        <w:instrText>xe "</w:instrText>
      </w:r>
      <w:r>
        <w:rPr>
          <w:rStyle w:val="xeentry"/>
        </w:rPr>
        <w:instrText>connecting operators: with ke in connective</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"ke'e"&gt;</w:t>
      </w:r>
      <w:r>
        <w:rPr>
          <w:rStyle w:val="indexentry"/>
        </w:rPr>
        <w:fldChar w:fldCharType="begin"/>
      </w:r>
      <w:r>
        <w:instrText>xe "</w:instrText>
      </w:r>
      <w:r>
        <w:rPr>
          <w:rStyle w:val="xeentry"/>
        </w:rPr>
        <w:instrText>ke'e</w:instrText>
      </w:r>
      <w:r>
        <w:instrText>"</w:instrText>
      </w:r>
      <w:r>
        <w:rPr>
          <w:rStyle w:val="indexentry"/>
        </w:rPr>
        <w:fldChar w:fldCharType="end"/>
      </w:r>
      <w:r>
        <w:rPr>
          <w:rStyle w:val="indexentry"/>
        </w:rPr>
        <w:t>&lt;cx "operators, analogue of tanru in"&gt;</w:t>
      </w:r>
      <w:r>
        <w:rPr>
          <w:rStyle w:val="indexentry"/>
        </w:rPr>
        <w:fldChar w:fldCharType="begin"/>
      </w:r>
      <w:r>
        <w:instrText>xe "</w:instrText>
      </w:r>
      <w:r>
        <w:rPr>
          <w:rStyle w:val="xeentry"/>
        </w:rPr>
        <w:instrText>operators: analogue of tanru in</w:instrText>
      </w:r>
      <w:r>
        <w:instrText>"</w:instrText>
      </w:r>
      <w:r>
        <w:rPr>
          <w:rStyle w:val="indexentry"/>
        </w:rPr>
        <w:fldChar w:fldCharType="end"/>
      </w:r>
      <w:r>
        <w:t>In addition, eks with “bo” and with “ke </w:t>
      </w:r>
      <w:r>
        <w:rPr>
          <w:rStyle w:val="htmlcodes"/>
        </w:rPr>
        <w:t>&lt;dots&gt;</w:t>
      </w:r>
      <w:r>
        <w:t>…</w:t>
      </w:r>
      <w:r>
        <w:rPr>
          <w:rStyle w:val="htmlcodes"/>
        </w:rPr>
        <w:t>&lt;/dots&gt;</w:t>
      </w:r>
      <w:r>
        <w:t>ke'e” are allowed for grouping</w:t>
      </w:r>
      <w:r>
        <w:rPr>
          <w:rStyle w:val="deletedparamark"/>
        </w:rPr>
        <w:t xml:space="preserve"> </w:t>
      </w:r>
      <w:r>
        <w:t>logi</w:t>
      </w:r>
      <w:r>
        <w:softHyphen/>
        <w:t>cally connected operands, and “ke </w:t>
      </w:r>
      <w:r>
        <w:rPr>
          <w:rStyle w:val="htmlcodes"/>
        </w:rPr>
        <w:t>&lt;dots&gt;</w:t>
      </w:r>
      <w:r>
        <w:t>…</w:t>
      </w:r>
      <w:r>
        <w:rPr>
          <w:rStyle w:val="htmlcodes"/>
        </w:rPr>
        <w:t>&lt;/dots&gt;</w:t>
      </w:r>
      <w:r>
        <w:t>ke'e” is allowed for grouping</w:t>
      </w:r>
      <w:r>
        <w:rPr>
          <w:rStyle w:val="deletedparamark"/>
        </w:rPr>
        <w:t xml:space="preserve"> </w:t>
      </w:r>
      <w:r>
        <w:t>logically connected oper</w:t>
      </w:r>
      <w:r>
        <w:t>a</w:t>
      </w:r>
      <w:r>
        <w:softHyphen/>
        <w:t>tors, although there is no analogue of tanru among</w:t>
      </w:r>
      <w:r>
        <w:rPr>
          <w:rStyle w:val="deletedparamark"/>
        </w:rPr>
        <w:t xml:space="preserve"> </w:t>
      </w:r>
      <w:r>
        <w:t>the operators.</w:t>
      </w:r>
    </w:p>
    <w:p w:rsidR="00B72047" w:rsidRDefault="00B72047">
      <w:pPr>
        <w:pStyle w:val="normalparagraph"/>
        <w:rPr>
          <w:rStyle w:val="htmlparacode"/>
        </w:rPr>
      </w:pPr>
      <w:r>
        <w:rPr>
          <w:rStyle w:val="htmlparacode"/>
        </w:rPr>
        <w:t>&lt;p&gt;</w:t>
      </w:r>
    </w:p>
    <w:p w:rsidR="00B72047" w:rsidRDefault="00B72047">
      <w:pPr>
        <w:pStyle w:val="normalparagraph"/>
      </w:pPr>
      <w:r>
        <w:t>Only a few examples of each kind of mekso connection will be given. Despite</w:t>
      </w:r>
      <w:r>
        <w:rPr>
          <w:rStyle w:val="deletedparamark"/>
        </w:rPr>
        <w:t xml:space="preserve"> </w:t>
      </w:r>
      <w:r>
        <w:t>the large number of rules required to support this feature, it is of</w:t>
      </w:r>
      <w:r>
        <w:rPr>
          <w:rStyle w:val="deletedparamark"/>
        </w:rPr>
        <w:t xml:space="preserve"> </w:t>
      </w:r>
      <w:r>
        <w:t>relatively minor im</w:t>
      </w:r>
      <w:r>
        <w:softHyphen/>
        <w:t>portance in either the mekso or the logical-connective</w:t>
      </w:r>
      <w:r>
        <w:rPr>
          <w:rStyle w:val="deletedparamark"/>
        </w:rPr>
        <w:t xml:space="preserve"> </w:t>
      </w:r>
      <w:r>
        <w:t>scheme of things. These exam</w:t>
      </w:r>
      <w:r>
        <w:softHyphen/>
        <w:t xml:space="preserve">ples are drawn from </w:t>
      </w:r>
      <w:r>
        <w:rPr>
          <w:rStyle w:val="htmlcodes"/>
        </w:rPr>
        <w:t>&lt;a href=chap18.html&gt;</w:t>
      </w:r>
      <w:r>
        <w:t>Chapter 18</w:t>
      </w:r>
      <w:r>
        <w:rPr>
          <w:rStyle w:val="htmlcodes"/>
        </w:rPr>
        <w:t>&lt;/a&gt;</w:t>
      </w:r>
      <w:r>
        <w:t>, and</w:t>
      </w:r>
      <w:r>
        <w:rPr>
          <w:rStyle w:val="deletedparamark"/>
        </w:rPr>
        <w:t xml:space="preserve"> </w:t>
      </w:r>
      <w:r>
        <w:t>contain many mekso features not explained in this chapter.</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href=#e17d1&gt;</w:t>
      </w:r>
      <w:r>
        <w:t xml:space="preserve">Example 17.1 </w:t>
      </w:r>
      <w:r>
        <w:rPr>
          <w:rStyle w:val="htmlcodes"/>
        </w:rPr>
        <w:t>&lt;/a&gt;</w:t>
      </w:r>
      <w:r>
        <w:t>exhibits afterthought logical connection between operands:</w:t>
      </w:r>
    </w:p>
    <w:p w:rsidR="00B72047" w:rsidRDefault="00B72047">
      <w:pPr>
        <w:rPr>
          <w:rStyle w:val="htmlparacode"/>
        </w:rPr>
      </w:pPr>
      <w:r>
        <w:rPr>
          <w:rStyle w:val="htmlparacode"/>
        </w:rPr>
        <w:t>&lt;p&gt;</w:t>
      </w:r>
    </w:p>
    <w:p w:rsidR="00B72047" w:rsidRDefault="00B72047">
      <w:pPr>
        <w:pStyle w:val="examplescaledpre"/>
      </w:pPr>
      <w:r>
        <w:rPr>
          <w:rStyle w:val="indexentry"/>
        </w:rPr>
        <w:t>&lt;ex "three of four people"&gt;</w:t>
      </w:r>
      <w:r>
        <w:rPr>
          <w:rStyle w:val="indexentry"/>
        </w:rPr>
        <w:fldChar w:fldCharType="begin"/>
      </w:r>
      <w:r>
        <w:instrText>xe "</w:instrText>
      </w:r>
      <w:r>
        <w:rPr>
          <w:rStyle w:val="xeentry"/>
        </w:rPr>
        <w:instrText>three of four people: example</w:instrText>
      </w:r>
      <w:r>
        <w:instrText>"</w:instrText>
      </w:r>
      <w:r>
        <w:rPr>
          <w:rStyle w:val="indexentry"/>
        </w:rPr>
        <w:fldChar w:fldCharType="end"/>
      </w:r>
      <w:r>
        <w:rPr>
          <w:rStyle w:val="htmlcodes"/>
        </w:rPr>
        <w:t>&lt;pre&gt;&lt;a name=e17d1&gt;</w:t>
      </w:r>
      <w:r>
        <w:t>17.1)</w:t>
      </w:r>
      <w:r>
        <w:tab/>
        <w:t>vei ci .a vo [ve'o] prenu cu klama le zarci</w:t>
      </w:r>
    </w:p>
    <w:p w:rsidR="00B72047" w:rsidRDefault="00B72047">
      <w:pPr>
        <w:pStyle w:val="examplescaled"/>
      </w:pPr>
      <w:r>
        <w:tab/>
        <w:t>( Three or four ) people go-to the market.</w:t>
      </w:r>
    </w:p>
    <w:p w:rsidR="00B72047" w:rsidRDefault="00B72047">
      <w:pPr>
        <w:pStyle w:val="resumedafterexample"/>
        <w:spacing w:before="0"/>
      </w:pPr>
      <w:r>
        <w:rPr>
          <w:rStyle w:val="htmlcodes"/>
          <w:vanish w:val="0"/>
        </w:rPr>
        <w:br w:type="page"/>
      </w:r>
      <w:r>
        <w:rPr>
          <w:rStyle w:val="htmlcodes"/>
        </w:rPr>
        <w:t>&lt;/pre&gt;&lt;a href=#e17d2&gt;</w:t>
      </w:r>
      <w:r>
        <w:t xml:space="preserve">Example 17.2 </w:t>
      </w:r>
      <w:r>
        <w:rPr>
          <w:rStyle w:val="htmlcodes"/>
        </w:rPr>
        <w:t>&lt;/a&gt;</w:t>
      </w:r>
      <w:r>
        <w:t>is equivalent in meaning, but uses forethought connection: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name=e17d2&gt;</w:t>
      </w:r>
      <w:r>
        <w:t>17.2)</w:t>
      </w:r>
      <w:r>
        <w:tab/>
        <w:t>vei ga ci gi vo [ve'o] prenu cu klama le zarci</w:t>
      </w:r>
    </w:p>
    <w:p w:rsidR="00B72047" w:rsidRDefault="00B72047">
      <w:pPr>
        <w:pStyle w:val="examplescaled"/>
      </w:pPr>
      <w:r>
        <w:tab/>
        <w:t>( Either 3 or 4 ) people go-to the market.</w:t>
      </w:r>
    </w:p>
    <w:p w:rsidR="00B72047" w:rsidRDefault="00B72047">
      <w:pPr>
        <w:pStyle w:val="resumedafterexample"/>
      </w:pPr>
      <w:r>
        <w:rPr>
          <w:rStyle w:val="htmlcodes"/>
        </w:rPr>
        <w:t>&lt;/pre&gt;</w:t>
      </w:r>
      <w:r>
        <w:rPr>
          <w:rStyle w:val="indexentry"/>
        </w:rPr>
        <w:t>&lt;lx "ve'o"&gt;</w:t>
      </w:r>
      <w:r>
        <w:rPr>
          <w:rStyle w:val="indexentry"/>
        </w:rPr>
        <w:fldChar w:fldCharType="begin"/>
      </w:r>
      <w:r>
        <w:instrText>xe "</w:instrText>
      </w:r>
      <w:r>
        <w:rPr>
          <w:rStyle w:val="xeentry"/>
        </w:rPr>
        <w:instrText>ve'o</w:instrText>
      </w:r>
      <w:r>
        <w:instrText>"</w:instrText>
      </w:r>
      <w:r>
        <w:rPr>
          <w:rStyle w:val="indexentry"/>
        </w:rPr>
        <w:fldChar w:fldCharType="end"/>
      </w:r>
      <w:r>
        <w:t xml:space="preserve">Note that the mekso in </w:t>
      </w:r>
      <w:r>
        <w:rPr>
          <w:rStyle w:val="htmlcodes"/>
        </w:rPr>
        <w:t>&lt;a href=#e17d1&gt;</w:t>
      </w:r>
      <w:r>
        <w:t xml:space="preserve">Example 17.1 </w:t>
      </w:r>
      <w:r>
        <w:rPr>
          <w:rStyle w:val="htmlcodes"/>
        </w:rPr>
        <w:t>&lt;/a&gt;</w:t>
      </w:r>
      <w:r>
        <w:t xml:space="preserve">and </w:t>
      </w:r>
      <w:r>
        <w:rPr>
          <w:rStyle w:val="htmlcodes"/>
        </w:rPr>
        <w:t>&lt;a href=#e17d2&gt;</w:t>
      </w:r>
      <w:r>
        <w:t xml:space="preserve">Example 17.2 </w:t>
      </w:r>
      <w:r>
        <w:rPr>
          <w:rStyle w:val="htmlcodes"/>
        </w:rPr>
        <w:t>&lt;/a&gt;</w:t>
      </w:r>
      <w:r>
        <w:t>are being used as</w:t>
      </w:r>
      <w:r>
        <w:rPr>
          <w:rStyle w:val="deletedparamark"/>
        </w:rPr>
        <w:t xml:space="preserve"> </w:t>
      </w:r>
      <w:r>
        <w:t>quantifiers. Lojban requires that any mekso other than a simple number be</w:t>
      </w:r>
      <w:r>
        <w:rPr>
          <w:rStyle w:val="deletedparamark"/>
        </w:rPr>
        <w:t xml:space="preserve"> </w:t>
      </w:r>
      <w:r>
        <w:t>enclosed in “vei” and “ve'o” parentheses when used as a quantifier.</w:t>
      </w:r>
      <w:r>
        <w:rPr>
          <w:rStyle w:val="deletedparamark"/>
        </w:rPr>
        <w:t xml:space="preserve"> </w:t>
      </w:r>
      <w:r>
        <w:t>The right parenthesis mark, “ve'o”, is an elidable terminator.</w:t>
      </w:r>
    </w:p>
    <w:p w:rsidR="00B72047" w:rsidRDefault="00B72047">
      <w:pPr>
        <w:rPr>
          <w:rStyle w:val="htmlparacode"/>
        </w:rPr>
      </w:pPr>
      <w:r>
        <w:rPr>
          <w:rStyle w:val="htmlparacode"/>
        </w:rPr>
        <w:t>&lt;p&gt;</w:t>
      </w:r>
    </w:p>
    <w:p w:rsidR="00B72047" w:rsidRDefault="00B72047">
      <w:pPr>
        <w:pStyle w:val="normalparagraph"/>
      </w:pPr>
      <w:r>
        <w:t>Simple examples of logical connection between operators are hard to come by.</w:t>
      </w:r>
      <w:r>
        <w:rPr>
          <w:rStyle w:val="deletedparamark"/>
        </w:rPr>
        <w:t xml:space="preserve"> </w:t>
      </w:r>
      <w:r>
        <w:t>A contrived example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name=e17d3&gt;</w:t>
      </w:r>
      <w:r>
        <w:t>17.3)</w:t>
      </w:r>
      <w:r>
        <w:tab/>
        <w:t>li re su'i je pi'i re du li vo</w:t>
      </w:r>
    </w:p>
    <w:p w:rsidR="00B72047" w:rsidRDefault="00B72047">
      <w:pPr>
        <w:pStyle w:val="examplescaled"/>
      </w:pPr>
      <w:r>
        <w:tab/>
        <w:t>The-number 2 plus and times 2 equals the-number 4.</w:t>
      </w:r>
    </w:p>
    <w:p w:rsidR="00B72047" w:rsidRDefault="00B72047">
      <w:pPr>
        <w:pStyle w:val="examplescaled"/>
      </w:pPr>
      <w:r>
        <w:tab/>
      </w:r>
      <w:r>
        <w:rPr>
          <w:rStyle w:val="math"/>
        </w:rPr>
        <w:t>2 + 2 = 4</w:t>
      </w:r>
      <w:r>
        <w:t xml:space="preserve"> and </w:t>
      </w:r>
      <w:r>
        <w:rPr>
          <w:rStyle w:val="math"/>
        </w:rPr>
        <w:t>2 x 2 = 4</w:t>
      </w:r>
      <w:r>
        <w:t>.</w:t>
      </w:r>
    </w:p>
    <w:p w:rsidR="00B72047" w:rsidRDefault="00B72047">
      <w:pPr>
        <w:pStyle w:val="resumedafterexample"/>
      </w:pPr>
      <w:r>
        <w:rPr>
          <w:rStyle w:val="htmlcodes"/>
        </w:rPr>
        <w:t>&lt;/pre&gt;&lt;p&gt;</w:t>
      </w:r>
      <w:r>
        <w:t xml:space="preserve">The forethought form of </w:t>
      </w:r>
      <w:r>
        <w:rPr>
          <w:rStyle w:val="htmlcodes"/>
        </w:rPr>
        <w:t>&lt;a href=#e17d3&gt;</w:t>
      </w:r>
      <w:r>
        <w:t xml:space="preserve">Example 17.3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name=e17d4&gt;</w:t>
      </w:r>
      <w:r>
        <w:t>17.4)</w:t>
      </w:r>
      <w:r>
        <w:tab/>
        <w:t>li re ge su'i gi pi'i re du li vo</w:t>
      </w:r>
    </w:p>
    <w:p w:rsidR="00B72047" w:rsidRDefault="00B72047">
      <w:pPr>
        <w:pStyle w:val="examplescaled"/>
      </w:pPr>
      <w:r>
        <w:tab/>
        <w:t>The-number two both plus and times two equals the-number four.</w:t>
      </w:r>
    </w:p>
    <w:p w:rsidR="00B72047" w:rsidRDefault="00B72047">
      <w:pPr>
        <w:pStyle w:val="examplescaled"/>
      </w:pPr>
      <w:r>
        <w:tab/>
        <w:t xml:space="preserve">Both </w:t>
      </w:r>
      <w:r>
        <w:rPr>
          <w:rStyle w:val="math"/>
        </w:rPr>
        <w:t>2 + 2 = 4</w:t>
      </w:r>
      <w:r>
        <w:t xml:space="preserve"> and </w:t>
      </w:r>
      <w:r>
        <w:rPr>
          <w:rStyle w:val="math"/>
        </w:rPr>
        <w:t>2 x 2 = 4</w:t>
      </w:r>
      <w:r>
        <w:t>.</w:t>
      </w:r>
    </w:p>
    <w:p w:rsidR="00B72047" w:rsidRDefault="00B72047">
      <w:pPr>
        <w:pStyle w:val="normalafterexample"/>
      </w:pPr>
      <w:r>
        <w:rPr>
          <w:rStyle w:val="htmlcodes"/>
        </w:rPr>
        <w:t>&lt;/pre&gt;</w:t>
      </w:r>
      <w:r>
        <w:rPr>
          <w:rStyle w:val="indexentry"/>
        </w:rPr>
        <w:t>&lt;cx "mathematical intervals"&gt;</w:t>
      </w:r>
      <w:r>
        <w:rPr>
          <w:rStyle w:val="indexentry"/>
        </w:rPr>
        <w:fldChar w:fldCharType="begin"/>
      </w:r>
      <w:r>
        <w:instrText>xe "</w:instrText>
      </w:r>
      <w:r>
        <w:rPr>
          <w:rStyle w:val="xeentry"/>
        </w:rPr>
        <w:instrText>mathematical intervals</w:instrText>
      </w:r>
      <w:r>
        <w:instrText>"</w:instrText>
      </w:r>
      <w:r>
        <w:rPr>
          <w:rStyle w:val="indexentry"/>
        </w:rPr>
        <w:fldChar w:fldCharType="end"/>
      </w:r>
      <w:r>
        <w:rPr>
          <w:rStyle w:val="indexentry"/>
        </w:rPr>
        <w:t>&lt;lx "bi'i"&gt;</w:t>
      </w:r>
      <w:r>
        <w:rPr>
          <w:rStyle w:val="indexentry"/>
        </w:rPr>
        <w:fldChar w:fldCharType="begin"/>
      </w:r>
      <w:r>
        <w:instrText>xe "</w:instrText>
      </w:r>
      <w:r>
        <w:rPr>
          <w:rStyle w:val="xeentry"/>
        </w:rPr>
        <w:instrText>bi'i</w:instrText>
      </w:r>
      <w:r>
        <w:instrText>"</w:instrText>
      </w:r>
      <w:r>
        <w:rPr>
          <w:rStyle w:val="indexentry"/>
        </w:rPr>
        <w:fldChar w:fldCharType="end"/>
      </w:r>
      <w:r>
        <w:rPr>
          <w:rStyle w:val="indexentry"/>
        </w:rPr>
        <w:t>&lt;lx "ga'o"&gt;</w:t>
      </w:r>
      <w:r>
        <w:rPr>
          <w:rStyle w:val="indexentry"/>
        </w:rPr>
        <w:fldChar w:fldCharType="begin"/>
      </w:r>
      <w:r>
        <w:instrText>xe "</w:instrText>
      </w:r>
      <w:r>
        <w:rPr>
          <w:rStyle w:val="xeentry"/>
        </w:rPr>
        <w:instrText>ga'o</w:instrText>
      </w:r>
      <w:r>
        <w:instrText>"</w:instrText>
      </w:r>
      <w:r>
        <w:rPr>
          <w:rStyle w:val="indexentry"/>
        </w:rPr>
        <w:fldChar w:fldCharType="end"/>
      </w:r>
      <w:r>
        <w:rPr>
          <w:rStyle w:val="indexentry"/>
        </w:rPr>
        <w:t>&lt;lx "ke'i"&gt;</w:t>
      </w:r>
      <w:r>
        <w:rPr>
          <w:rStyle w:val="indexentry"/>
        </w:rPr>
        <w:fldChar w:fldCharType="begin"/>
      </w:r>
      <w:r>
        <w:instrText>xe "</w:instrText>
      </w:r>
      <w:r>
        <w:rPr>
          <w:rStyle w:val="xeentry"/>
        </w:rPr>
        <w:instrText>ke'i</w:instrText>
      </w:r>
      <w:r>
        <w:instrText>"</w:instrText>
      </w:r>
      <w:r>
        <w:rPr>
          <w:rStyle w:val="indexentry"/>
        </w:rPr>
        <w:fldChar w:fldCharType="end"/>
      </w:r>
      <w:r>
        <w:t>Non-logical connection with joiks or joigiks is also permitted between</w:t>
      </w:r>
      <w:r>
        <w:rPr>
          <w:rStyle w:val="deletedparamark"/>
        </w:rPr>
        <w:t xml:space="preserve"> </w:t>
      </w:r>
      <w:r>
        <w:t>oper</w:t>
      </w:r>
      <w:r>
        <w:softHyphen/>
        <w:t>ands and between operators. One use for this construct is to connect</w:t>
      </w:r>
      <w:r>
        <w:rPr>
          <w:rStyle w:val="deletedparamark"/>
        </w:rPr>
        <w:t xml:space="preserve"> </w:t>
      </w:r>
      <w:r>
        <w:t>operands with “bi'i” to create mathematical intervals:</w:t>
      </w:r>
    </w:p>
    <w:p w:rsidR="00B72047" w:rsidRDefault="00B72047">
      <w:pPr>
        <w:rPr>
          <w:rStyle w:val="htmlparacode"/>
        </w:rPr>
      </w:pPr>
      <w:r>
        <w:rPr>
          <w:rStyle w:val="htmlparacode"/>
        </w:rPr>
        <w:t>&lt;p&gt;</w:t>
      </w:r>
    </w:p>
    <w:p w:rsidR="00B72047" w:rsidRDefault="00B72047">
      <w:pPr>
        <w:pStyle w:val="examplescaledpre"/>
      </w:pPr>
      <w:r>
        <w:rPr>
          <w:rStyle w:val="indexentry"/>
        </w:rPr>
        <w:t>&lt;ex "zero to one"&gt;</w:t>
      </w:r>
      <w:r>
        <w:rPr>
          <w:rStyle w:val="indexentry"/>
        </w:rPr>
        <w:fldChar w:fldCharType="begin"/>
      </w:r>
      <w:r>
        <w:instrText>xe "</w:instrText>
      </w:r>
      <w:r>
        <w:rPr>
          <w:rStyle w:val="xeentry"/>
        </w:rPr>
        <w:instrText>zero to one: example</w:instrText>
      </w:r>
      <w:r>
        <w:instrText>"</w:instrText>
      </w:r>
      <w:r>
        <w:rPr>
          <w:rStyle w:val="indexentry"/>
        </w:rPr>
        <w:fldChar w:fldCharType="end"/>
      </w:r>
      <w:r>
        <w:rPr>
          <w:rStyle w:val="htmlcodes"/>
        </w:rPr>
        <w:t>&lt;pre&gt;&lt;a name=e17d5&gt;</w:t>
      </w:r>
      <w:r>
        <w:t>17.5)</w:t>
      </w:r>
      <w:r>
        <w:tab/>
        <w:t>li no ga'o bi'i ke'i pa</w:t>
      </w:r>
    </w:p>
    <w:p w:rsidR="00B72047" w:rsidRDefault="00B72047">
      <w:pPr>
        <w:pStyle w:val="examplescaled"/>
      </w:pPr>
      <w:r>
        <w:tab/>
        <w:t>the-number zero (inclusive) from-to (exclusive) one</w:t>
      </w:r>
    </w:p>
    <w:p w:rsidR="00B72047" w:rsidRDefault="00B72047">
      <w:pPr>
        <w:pStyle w:val="examplescaled"/>
      </w:pPr>
      <w:r>
        <w:tab/>
        <w:t>[0,1)</w:t>
      </w:r>
    </w:p>
    <w:p w:rsidR="00B72047" w:rsidRDefault="00B72047">
      <w:pPr>
        <w:pStyle w:val="examplescaled"/>
      </w:pPr>
      <w:r>
        <w:tab/>
        <w:t>the numbers from zero to one, including zero but not including one</w:t>
      </w:r>
    </w:p>
    <w:p w:rsidR="00B72047" w:rsidRDefault="00B72047">
      <w:pPr>
        <w:pStyle w:val="normalafterexample"/>
      </w:pPr>
      <w:r>
        <w:rPr>
          <w:rStyle w:val="htmlcodes"/>
        </w:rPr>
        <w:t>&lt;/pre&gt;</w:t>
      </w:r>
      <w:r>
        <w:rPr>
          <w:rStyle w:val="indexentry"/>
        </w:rPr>
        <w:t>&lt;cx "compound subscript"&gt;</w:t>
      </w:r>
      <w:r>
        <w:rPr>
          <w:rStyle w:val="indexentry"/>
        </w:rPr>
        <w:fldChar w:fldCharType="begin"/>
      </w:r>
      <w:r>
        <w:instrText>xe "</w:instrText>
      </w:r>
      <w:r>
        <w:rPr>
          <w:rStyle w:val="xeentry"/>
        </w:rPr>
        <w:instrText>compound subscript</w:instrText>
      </w:r>
      <w:r>
        <w:instrText>"</w:instrText>
      </w:r>
      <w:r>
        <w:rPr>
          <w:rStyle w:val="indexentry"/>
        </w:rPr>
        <w:fldChar w:fldCharType="end"/>
      </w:r>
      <w:r>
        <w:rPr>
          <w:rStyle w:val="indexentry"/>
        </w:rPr>
        <w:t>&lt;lx "ce'o"&gt;</w:t>
      </w:r>
      <w:r>
        <w:rPr>
          <w:rStyle w:val="indexentry"/>
        </w:rPr>
        <w:fldChar w:fldCharType="begin"/>
      </w:r>
      <w:r>
        <w:instrText>xe "</w:instrText>
      </w:r>
      <w:r>
        <w:rPr>
          <w:rStyle w:val="xeentry"/>
        </w:rPr>
        <w:instrText>ce'o</w:instrText>
      </w:r>
      <w:r>
        <w:instrText>"</w:instrText>
      </w:r>
      <w:r>
        <w:rPr>
          <w:rStyle w:val="indexentry"/>
        </w:rPr>
        <w:fldChar w:fldCharType="end"/>
      </w:r>
      <w:r>
        <w:t>You can also combine two operands with “ce'o”, the sequence connective of</w:t>
      </w:r>
      <w:r>
        <w:rPr>
          <w:rStyle w:val="deletedparamark"/>
        </w:rPr>
        <w:t xml:space="preserve"> </w:t>
      </w:r>
      <w:r>
        <w:t>selma'o JOI, to make a compound subscript:</w:t>
      </w:r>
    </w:p>
    <w:p w:rsidR="00B72047" w:rsidRDefault="00B72047">
      <w:pPr>
        <w:rPr>
          <w:rStyle w:val="htmlparacode"/>
        </w:rPr>
      </w:pPr>
      <w:r>
        <w:rPr>
          <w:rStyle w:val="htmlparacode"/>
        </w:rPr>
        <w:t>&lt;p&gt;</w:t>
      </w:r>
    </w:p>
    <w:p w:rsidR="00B72047" w:rsidRDefault="00B72047">
      <w:pPr>
        <w:pStyle w:val="examplescaledpre"/>
      </w:pPr>
      <w:r>
        <w:rPr>
          <w:rStyle w:val="indexentry"/>
        </w:rPr>
        <w:t>&lt;ex "x</w:t>
      </w:r>
      <w:r>
        <w:rPr>
          <w:rStyle w:val="indexentry"/>
          <w:position w:val="-6"/>
          <w:sz w:val="12"/>
          <w:szCs w:val="12"/>
        </w:rPr>
        <w:t>{b,d}</w:t>
      </w:r>
      <w:r>
        <w:rPr>
          <w:rStyle w:val="indexentry"/>
        </w:rPr>
        <w:t>"&gt;</w:t>
      </w:r>
      <w:r>
        <w:rPr>
          <w:rStyle w:val="indexentry"/>
        </w:rPr>
        <w:fldChar w:fldCharType="begin"/>
      </w:r>
      <w:r>
        <w:instrText>xe "</w:instrText>
      </w:r>
      <w:r>
        <w:rPr>
          <w:rStyle w:val="xeentry"/>
        </w:rPr>
        <w:instrText>x{b:d}, example</w:instrText>
      </w:r>
      <w:r>
        <w:instrText>"</w:instrText>
      </w:r>
      <w:r>
        <w:rPr>
          <w:rStyle w:val="indexentry"/>
        </w:rPr>
        <w:fldChar w:fldCharType="end"/>
      </w:r>
      <w:r>
        <w:rPr>
          <w:rStyle w:val="htmlcodes"/>
        </w:rPr>
        <w:t>&lt;pre&gt;&lt;a name=e17d6&gt;</w:t>
      </w:r>
      <w:r>
        <w:t>17.6)</w:t>
      </w:r>
      <w:r>
        <w:tab/>
        <w:t>xy. boi xi vei by. ce'o dy. [ve'o]</w:t>
      </w:r>
    </w:p>
    <w:p w:rsidR="00B72047" w:rsidRDefault="00B72047">
      <w:pPr>
        <w:pStyle w:val="examplescaled"/>
      </w:pPr>
      <w:r>
        <w:tab/>
        <w:t>“x” sub (“b” sequence “d” )</w:t>
      </w:r>
    </w:p>
    <w:p w:rsidR="00B72047" w:rsidRDefault="00B72047">
      <w:pPr>
        <w:pStyle w:val="examplescaled"/>
      </w:pPr>
      <w:r>
        <w:tab/>
        <w:t>x</w:t>
      </w:r>
      <w:r>
        <w:rPr>
          <w:rStyle w:val="htmlcodes"/>
        </w:rPr>
        <w:t>&lt;sub&gt;</w:t>
      </w:r>
      <w:r>
        <w:rPr>
          <w:rStyle w:val="subscript"/>
        </w:rPr>
        <w:t>b,d</w:t>
      </w:r>
      <w:r>
        <w:rPr>
          <w:rStyle w:val="htmlcodes"/>
        </w:rPr>
        <w:t>&lt;/sub&gt;</w:t>
      </w:r>
    </w:p>
    <w:p w:rsidR="00B72047" w:rsidRDefault="00B72047">
      <w:pPr>
        <w:pStyle w:val="resumedafterexample"/>
      </w:pPr>
      <w:r>
        <w:rPr>
          <w:rStyle w:val="htmlcodes"/>
        </w:rPr>
        <w:t>&lt;/pre&gt;</w:t>
      </w: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t xml:space="preserve">Note that the “boi” in </w:t>
      </w:r>
      <w:r>
        <w:rPr>
          <w:rStyle w:val="htmlcodes"/>
        </w:rPr>
        <w:t>&lt;a href=#e17d6&gt;</w:t>
      </w:r>
      <w:r>
        <w:t xml:space="preserve">Example 17.6 </w:t>
      </w:r>
      <w:r>
        <w:rPr>
          <w:rStyle w:val="htmlcodes"/>
        </w:rPr>
        <w:t>&lt;/a&gt;</w:t>
      </w:r>
      <w:r>
        <w:t>is not elidable, because the “xi”</w:t>
      </w:r>
      <w:r>
        <w:rPr>
          <w:rStyle w:val="deletedparamark"/>
        </w:rPr>
        <w:t xml:space="preserve"> </w:t>
      </w:r>
      <w:r>
        <w:t>subscript needs something to attach to.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name=s18&gt;&lt;h3&gt;</w:t>
      </w:r>
      <w:bookmarkStart w:id="432" w:name="_Toc398970673"/>
      <w:r>
        <w:rPr>
          <w:rStyle w:val="Heading3Text"/>
        </w:rPr>
        <w:t>Tenses, modals, and logical connection</w:t>
      </w:r>
      <w:bookmarkEnd w:id="43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"PU"&gt;</w:t>
      </w:r>
      <w:r>
        <w:rPr>
          <w:rStyle w:val="indexentry"/>
        </w:rPr>
        <w:fldChar w:fldCharType="begin"/>
      </w:r>
      <w:r>
        <w:instrText>xe "</w:instrText>
      </w:r>
      <w:r>
        <w:rPr>
          <w:rStyle w:val="xeentry"/>
        </w:rPr>
        <w:instrText>PU selma’o</w:instrText>
      </w:r>
      <w:r>
        <w:instrText>"</w:instrText>
      </w:r>
      <w:r>
        <w:rPr>
          <w:rStyle w:val="indexentry"/>
        </w:rPr>
        <w:fldChar w:fldCharType="end"/>
      </w:r>
      <w:r>
        <w:t>The tense and modal systems of Lojban interact with the logical connective</w:t>
      </w:r>
      <w:r>
        <w:rPr>
          <w:rStyle w:val="deletedparamark"/>
        </w:rPr>
        <w:t xml:space="preserve"> </w:t>
      </w:r>
      <w:r>
        <w:t>system. No one chapter can explain all of these simultaneously, so each</w:t>
      </w:r>
      <w:r>
        <w:rPr>
          <w:rStyle w:val="deletedparamark"/>
        </w:rPr>
        <w:t xml:space="preserve"> </w:t>
      </w:r>
      <w:r>
        <w:t>chapter must present its own view of the area of interaction with emphasis</w:t>
      </w:r>
      <w:r>
        <w:rPr>
          <w:rStyle w:val="deletedparamark"/>
        </w:rPr>
        <w:t xml:space="preserve"> </w:t>
      </w:r>
      <w:r>
        <w:t>on its own concepts and terminology. In the examples of this chapter,</w:t>
      </w:r>
      <w:r>
        <w:rPr>
          <w:rStyle w:val="deletedparamark"/>
        </w:rPr>
        <w:t xml:space="preserve"> </w:t>
      </w:r>
      <w:r>
        <w:t>the many tenses of various selma'o as well as the modals of selma'o BAI are</w:t>
      </w:r>
      <w:r>
        <w:rPr>
          <w:rStyle w:val="deletedparamark"/>
        </w:rPr>
        <w:t xml:space="preserve"> </w:t>
      </w:r>
      <w:r>
        <w:t>represented by the simple time cmavo “pu”, “ca”, and “ba” (of se</w:t>
      </w:r>
      <w:r>
        <w:t>l</w:t>
      </w:r>
      <w:r>
        <w:softHyphen/>
        <w:t>ma'o PU)</w:t>
      </w:r>
      <w:r>
        <w:rPr>
          <w:rStyle w:val="deletedparamark"/>
        </w:rPr>
        <w:t xml:space="preserve"> </w:t>
      </w:r>
      <w:r>
        <w:t>representing the past, the present, and the future respectively. Pre</w:t>
      </w:r>
      <w:r>
        <w:softHyphen/>
        <w:t>ceding</w:t>
      </w:r>
      <w:r>
        <w:rPr>
          <w:rStyle w:val="deletedparamark"/>
        </w:rPr>
        <w:t xml:space="preserve"> </w:t>
      </w:r>
      <w:r>
        <w:t>a se</w:t>
      </w:r>
      <w:r>
        <w:t>l</w:t>
      </w:r>
      <w:r>
        <w:softHyphen/>
        <w:t>bri, these cmavo state the time when the bridi was, is, or will be true</w:t>
      </w:r>
      <w:r>
        <w:rPr>
          <w:rStyle w:val="deletedparamark"/>
        </w:rPr>
        <w:t xml:space="preserve"> </w:t>
      </w:r>
      <w:r>
        <w:t>(analogous to En</w:t>
      </w:r>
      <w:r>
        <w:t>g</w:t>
      </w:r>
      <w:r>
        <w:softHyphen/>
        <w:t>lish verb tenses); preceding a sumti, they state that the</w:t>
      </w:r>
      <w:r>
        <w:rPr>
          <w:rStyle w:val="deletedparamark"/>
        </w:rPr>
        <w:t xml:space="preserve"> </w:t>
      </w:r>
      <w:r>
        <w:t>event of the main bridi is before, simultaneous with, or after the event</w:t>
      </w:r>
      <w:r>
        <w:rPr>
          <w:rStyle w:val="deletedparamark"/>
        </w:rPr>
        <w:t xml:space="preserve"> </w:t>
      </w:r>
      <w:r>
        <w:t>given by the sumti (which is generally a “le nu” a</w:t>
      </w:r>
      <w:r>
        <w:t>b</w:t>
      </w:r>
      <w:r>
        <w:softHyphen/>
        <w:t>straction; see</w:t>
      </w:r>
      <w:r>
        <w:rPr>
          <w:rStyle w:val="deletedparamark"/>
        </w:rPr>
        <w:t xml:space="preserve"> </w:t>
      </w:r>
      <w:r>
        <w:rPr>
          <w:rStyle w:val="htmlcodes"/>
        </w:rPr>
        <w:t>&lt;a href=chap11.html&gt;</w:t>
      </w:r>
      <w:r>
        <w:t>Chapter 11</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"logical connection, interaction with tenses"&gt;</w:t>
      </w:r>
      <w:r>
        <w:rPr>
          <w:rStyle w:val="indexentry"/>
        </w:rPr>
        <w:fldChar w:fldCharType="begin"/>
      </w:r>
      <w:r>
        <w:instrText>xe "</w:instrText>
      </w:r>
      <w:r>
        <w:rPr>
          <w:rStyle w:val="xeentry"/>
        </w:rPr>
        <w:instrText>logical connection: interaction with tenses</w:instrText>
      </w:r>
      <w:r>
        <w:instrText>"</w:instrText>
      </w:r>
      <w:r>
        <w:rPr>
          <w:rStyle w:val="indexentry"/>
        </w:rPr>
        <w:fldChar w:fldCharType="end"/>
      </w:r>
      <w:r>
        <w:rPr>
          <w:rStyle w:val="indexentry"/>
        </w:rPr>
        <w:t>&lt;cx "logically connected tenses, definition"&gt;</w:t>
      </w:r>
      <w:r>
        <w:rPr>
          <w:rStyle w:val="indexentry"/>
        </w:rPr>
        <w:fldChar w:fldCharType="begin"/>
      </w:r>
      <w:r>
        <w:instrText>xe "</w:instrText>
      </w:r>
      <w:r>
        <w:rPr>
          <w:rStyle w:val="xeentry"/>
        </w:rPr>
        <w:instrText>logically connected tenses: definition</w:instrText>
      </w:r>
      <w:r>
        <w:instrText>"</w:instrText>
      </w:r>
      <w:r>
        <w:rPr>
          <w:rStyle w:val="indexentry"/>
        </w:rPr>
        <w:fldChar w:fldCharType="end"/>
      </w:r>
      <w:r>
        <w:t>The two types of interaction between tenses and logical connectives</w:t>
      </w:r>
      <w:r>
        <w:rPr>
          <w:rStyle w:val="deletedparamark"/>
        </w:rPr>
        <w:t xml:space="preserve"> </w:t>
      </w:r>
      <w:r>
        <w:t>are logi</w:t>
      </w:r>
      <w:r>
        <w:softHyphen/>
        <w:t>cally connected tenses and tensed logical connections. The former</w:t>
      </w:r>
      <w:r>
        <w:rPr>
          <w:rStyle w:val="deletedparamark"/>
        </w:rPr>
        <w:t xml:space="preserve"> </w:t>
      </w:r>
      <w:r>
        <w:t>are fairly simple. Jeks may be used between tense cmavo to specify two</w:t>
      </w:r>
      <w:r>
        <w:rPr>
          <w:rStyle w:val="deletedparamark"/>
        </w:rPr>
        <w:t xml:space="preserve"> </w:t>
      </w:r>
      <w:r>
        <w:t>connected bridi that differ only in tense:</w:t>
      </w:r>
    </w:p>
    <w:p w:rsidR="00B72047" w:rsidRDefault="00B72047">
      <w:pPr>
        <w:rPr>
          <w:rStyle w:val="htmlparacode"/>
        </w:rPr>
      </w:pPr>
      <w:r>
        <w:rPr>
          <w:rStyle w:val="htmlparacode"/>
        </w:rPr>
        <w:t>&lt;p&gt;</w:t>
      </w:r>
    </w:p>
    <w:p w:rsidR="00B72047" w:rsidRDefault="00B72047">
      <w:pPr>
        <w:pStyle w:val="examplescaledpre"/>
      </w:pPr>
      <w:r>
        <w:rPr>
          <w:rStyle w:val="indexentry"/>
        </w:rPr>
        <w:t>&lt;ex "once and future king"&gt;</w:t>
      </w:r>
      <w:r>
        <w:rPr>
          <w:rStyle w:val="indexentry"/>
        </w:rPr>
        <w:fldChar w:fldCharType="begin"/>
      </w:r>
      <w:r>
        <w:instrText>xe "</w:instrText>
      </w:r>
      <w:r>
        <w:rPr>
          <w:rStyle w:val="xeentry"/>
        </w:rPr>
        <w:instrText>once and future king: example</w:instrText>
      </w:r>
      <w:r>
        <w:instrText>"</w:instrText>
      </w:r>
      <w:r>
        <w:rPr>
          <w:rStyle w:val="indexentry"/>
        </w:rPr>
        <w:fldChar w:fldCharType="end"/>
      </w:r>
      <w:r>
        <w:rPr>
          <w:rStyle w:val="htmlcodes"/>
        </w:rPr>
        <w:t>&lt;pre&gt;&lt;a name=e18d1&gt;</w:t>
      </w:r>
      <w:r>
        <w:t>18.1)</w:t>
      </w:r>
      <w:r>
        <w:tab/>
        <w:t>la .artr. pu nolraitru</w:t>
      </w:r>
    </w:p>
    <w:p w:rsidR="00B72047" w:rsidRDefault="00B72047">
      <w:pPr>
        <w:pStyle w:val="examplescaled"/>
      </w:pPr>
      <w:r>
        <w:tab/>
      </w:r>
      <w:r>
        <w:tab/>
        <w:t>.ije la .artr. ba nolraitru</w:t>
      </w:r>
    </w:p>
    <w:p w:rsidR="00B72047" w:rsidRDefault="00B72047">
      <w:pPr>
        <w:pStyle w:val="examplescaled"/>
      </w:pPr>
      <w:r>
        <w:tab/>
        <w:t>Arthur [past] is-a-noblest-governor.</w:t>
      </w:r>
    </w:p>
    <w:p w:rsidR="00B72047" w:rsidRDefault="00B72047">
      <w:pPr>
        <w:pStyle w:val="examplescaled"/>
      </w:pPr>
      <w:r>
        <w:tab/>
      </w:r>
      <w:r>
        <w:tab/>
        <w:t>And Arthur [future] is-a-noblest-governor.</w:t>
      </w:r>
    </w:p>
    <w:p w:rsidR="00B72047" w:rsidRDefault="00B72047">
      <w:pPr>
        <w:pStyle w:val="examplescaled"/>
      </w:pPr>
      <w:r>
        <w:tab/>
        <w:t>Arthur was a king, and Arthur will be a king.</w:t>
      </w:r>
    </w:p>
    <w:p w:rsidR="00B72047" w:rsidRDefault="00B72047">
      <w:pPr>
        <w:pStyle w:val="resumedafterexample"/>
      </w:pPr>
      <w:r>
        <w:rPr>
          <w:rStyle w:val="htmlcodes"/>
        </w:rPr>
        <w:t>&lt;/pre&gt;</w:t>
      </w:r>
      <w:r>
        <w:t>can be reduced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name=e18d2&gt;</w:t>
      </w:r>
      <w:r>
        <w:t>18.2)</w:t>
      </w:r>
      <w:r>
        <w:tab/>
        <w:t>la .artr. pu je ba nolraitru</w:t>
      </w:r>
    </w:p>
    <w:p w:rsidR="00B72047" w:rsidRDefault="00B72047">
      <w:pPr>
        <w:pStyle w:val="examplescaled"/>
      </w:pPr>
      <w:r>
        <w:tab/>
        <w:t>Arthur [past] and [future] is-a-noblest-governor.</w:t>
      </w:r>
    </w:p>
    <w:p w:rsidR="00B72047" w:rsidRDefault="00B72047">
      <w:pPr>
        <w:pStyle w:val="examplescaled"/>
      </w:pPr>
      <w:r>
        <w:tab/>
        <w:t>Arthur was and will be king.</w:t>
      </w:r>
    </w:p>
    <w:p w:rsidR="00B72047" w:rsidRDefault="00B72047">
      <w:pPr>
        <w:pStyle w:val="resumedafterexample"/>
      </w:pPr>
      <w:r>
        <w:rPr>
          <w:rStyle w:val="htmlcodes"/>
        </w:rPr>
        <w:t>&lt;/pre&gt;&lt;a href=#e18d1&gt;</w:t>
      </w:r>
      <w:r>
        <w:t xml:space="preserve">Example 18.1 </w:t>
      </w:r>
      <w:r>
        <w:rPr>
          <w:rStyle w:val="htmlcodes"/>
        </w:rPr>
        <w:t>&lt;/a&gt;</w:t>
      </w:r>
      <w:r>
        <w:t xml:space="preserve">and </w:t>
      </w:r>
      <w:r>
        <w:rPr>
          <w:rStyle w:val="htmlcodes"/>
        </w:rPr>
        <w:t>&lt;a href=#e18d2&gt;</w:t>
      </w:r>
      <w:r>
        <w:t xml:space="preserve">Example 18.2 </w:t>
      </w:r>
      <w:r>
        <w:rPr>
          <w:rStyle w:val="htmlcodes"/>
        </w:rPr>
        <w:t>&lt;/a&gt;</w:t>
      </w:r>
      <w:r>
        <w:t>are equivalent in meaning; neither says</w:t>
      </w:r>
      <w:r>
        <w:rPr>
          <w:rStyle w:val="deletedparamark"/>
        </w:rPr>
        <w:t xml:space="preserve"> </w:t>
      </w:r>
      <w:r>
        <w:t>anything about whether Arthur is king now.</w:t>
      </w:r>
    </w:p>
    <w:p w:rsidR="00B72047" w:rsidRDefault="00B72047">
      <w:pPr>
        <w:rPr>
          <w:rStyle w:val="htmlparacode"/>
        </w:rPr>
      </w:pPr>
      <w:r>
        <w:rPr>
          <w:rStyle w:val="htmlparacode"/>
        </w:rPr>
        <w:t>&lt;p&gt;</w:t>
      </w:r>
    </w:p>
    <w:p w:rsidR="00B72047" w:rsidRDefault="00B72047">
      <w:pPr>
        <w:pStyle w:val="normalparagraph"/>
      </w:pPr>
      <w:r>
        <w:rPr>
          <w:rStyle w:val="indexentry"/>
        </w:rPr>
        <w:t>&lt;cx "non-logically connected tenses"&gt;</w:t>
      </w:r>
      <w:r>
        <w:rPr>
          <w:rStyle w:val="indexentry"/>
        </w:rPr>
        <w:fldChar w:fldCharType="begin"/>
      </w:r>
      <w:r>
        <w:instrText>xe "</w:instrText>
      </w:r>
      <w:r>
        <w:rPr>
          <w:rStyle w:val="xeentry"/>
        </w:rPr>
        <w:instrText>non-logically connected tenses</w:instrText>
      </w:r>
      <w:r>
        <w:instrText>"</w:instrText>
      </w:r>
      <w:r>
        <w:rPr>
          <w:rStyle w:val="indexentry"/>
        </w:rPr>
        <w:fldChar w:fldCharType="end"/>
      </w:r>
      <w:r>
        <w:t>Non-logical connection with joiks is also possible between tenses:</w:t>
      </w:r>
    </w:p>
    <w:p w:rsidR="00B72047" w:rsidRDefault="00B72047">
      <w:pPr>
        <w:rPr>
          <w:rStyle w:val="htmlparacode"/>
        </w:rPr>
      </w:pPr>
      <w:r>
        <w:rPr>
          <w:rStyle w:val="htmlparacode"/>
        </w:rPr>
        <w:t>&lt;p&gt;</w:t>
      </w:r>
    </w:p>
    <w:p w:rsidR="00B72047" w:rsidRDefault="00B72047">
      <w:pPr>
        <w:pStyle w:val="examplescaledpre"/>
      </w:pPr>
      <w:r>
        <w:rPr>
          <w:rStyle w:val="indexentry"/>
        </w:rPr>
        <w:t>&lt;ex "breathe"&gt;</w:t>
      </w:r>
      <w:r>
        <w:rPr>
          <w:rStyle w:val="indexentry"/>
        </w:rPr>
        <w:fldChar w:fldCharType="begin"/>
      </w:r>
      <w:r>
        <w:instrText>xe "</w:instrText>
      </w:r>
      <w:r>
        <w:rPr>
          <w:rStyle w:val="xeentry"/>
        </w:rPr>
        <w:instrText>breathe: example</w:instrText>
      </w:r>
      <w:r>
        <w:instrText>"</w:instrText>
      </w:r>
      <w:r>
        <w:rPr>
          <w:rStyle w:val="indexentry"/>
        </w:rPr>
        <w:fldChar w:fldCharType="end"/>
      </w:r>
      <w:r>
        <w:rPr>
          <w:rStyle w:val="htmlcodes"/>
        </w:rPr>
        <w:t>&lt;pre&gt;&lt;a name=e18d3&gt;</w:t>
      </w:r>
      <w:r>
        <w:t>18.3)</w:t>
      </w:r>
      <w:r>
        <w:tab/>
        <w:t>mi pu bi'o ba vasxu</w:t>
      </w:r>
    </w:p>
    <w:p w:rsidR="00B72047" w:rsidRDefault="00B72047">
      <w:pPr>
        <w:pStyle w:val="examplescaled"/>
      </w:pPr>
      <w:r>
        <w:tab/>
        <w:t>I [past] from </w:t>
      </w:r>
      <w:r>
        <w:rPr>
          <w:rStyle w:val="htmlcodes"/>
        </w:rPr>
        <w:t>&lt;dots&gt;</w:t>
      </w:r>
      <w:r>
        <w:t>…</w:t>
      </w:r>
      <w:r>
        <w:rPr>
          <w:rStyle w:val="htmlcodes"/>
        </w:rPr>
        <w:t>&lt;/dots&gt;</w:t>
      </w:r>
      <w:r>
        <w:t>to [future] breathe.</w:t>
      </w:r>
    </w:p>
    <w:p w:rsidR="00B72047" w:rsidRDefault="00B72047">
      <w:pPr>
        <w:pStyle w:val="examplescaled"/>
      </w:pPr>
      <w:r>
        <w:tab/>
        <w:t>I breathe from a past time until a future time.</w:t>
      </w:r>
    </w:p>
    <w:p w:rsidR="00B72047" w:rsidRDefault="00B72047">
      <w:pPr>
        <w:pStyle w:val="resumedafterexample"/>
      </w:pPr>
      <w:r>
        <w:rPr>
          <w:rStyle w:val="htmlcodes"/>
        </w:rPr>
        <w:t>&lt;/pre&gt;&lt;p&gt;</w:t>
      </w:r>
      <w:r>
        <w:t>The full tense system makes more interesting tense intervals expressible,</w:t>
      </w:r>
      <w:r>
        <w:rPr>
          <w:rStyle w:val="deletedparamark"/>
        </w:rPr>
        <w:t xml:space="preserve"> </w:t>
      </w:r>
      <w:r>
        <w:t>such as “from a medium time ago until a long time from now”.</w:t>
      </w:r>
    </w:p>
    <w:p w:rsidR="00B72047" w:rsidRDefault="00B72047">
      <w:pPr>
        <w:rPr>
          <w:rStyle w:val="htmlparacode"/>
        </w:rPr>
      </w:pPr>
      <w:r>
        <w:rPr>
          <w:rStyle w:val="htmlparacode"/>
        </w:rPr>
        <w:t>&lt;p&gt;</w:t>
      </w:r>
    </w:p>
    <w:p w:rsidR="00B72047" w:rsidRDefault="00B72047">
      <w:pPr>
        <w:pStyle w:val="normalparagraph"/>
      </w:pPr>
      <w:r>
        <w:rPr>
          <w:rStyle w:val="indexentry"/>
        </w:rPr>
        <w:t>&lt;cx "forethought connection, in tenses"&gt;</w:t>
      </w:r>
      <w:r>
        <w:rPr>
          <w:rStyle w:val="indexentry"/>
        </w:rPr>
        <w:fldChar w:fldCharType="begin"/>
      </w:r>
      <w:r>
        <w:instrText>xe "</w:instrText>
      </w:r>
      <w:r>
        <w:rPr>
          <w:rStyle w:val="xeentry"/>
        </w:rPr>
        <w:instrText>forethought connection: in tenses</w:instrText>
      </w:r>
      <w:r>
        <w:instrText>"</w:instrText>
      </w:r>
      <w:r>
        <w:rPr>
          <w:rStyle w:val="indexentry"/>
        </w:rPr>
        <w:fldChar w:fldCharType="end"/>
      </w:r>
      <w:r>
        <w:rPr>
          <w:rStyle w:val="indexentry"/>
        </w:rPr>
        <w:t>&lt;cx "tenses, forethought connection in"&gt;</w:t>
      </w:r>
      <w:r>
        <w:rPr>
          <w:rStyle w:val="indexentry"/>
        </w:rPr>
        <w:fldChar w:fldCharType="begin"/>
      </w:r>
      <w:r>
        <w:instrText>xe "</w:instrText>
      </w:r>
      <w:r>
        <w:rPr>
          <w:rStyle w:val="xeentry"/>
        </w:rPr>
        <w:instrText>tense: forethought connection in</w:instrText>
      </w:r>
      <w:r>
        <w:instrText>"</w:instrText>
      </w:r>
      <w:r>
        <w:rPr>
          <w:rStyle w:val="indexentry"/>
        </w:rPr>
        <w:fldChar w:fldCharType="end"/>
      </w:r>
      <w:r>
        <w:rPr>
          <w:rStyle w:val="indexentry"/>
        </w:rPr>
        <w:t>&lt;cx "grouping, of connection in tenses"&gt;</w:t>
      </w:r>
      <w:r>
        <w:rPr>
          <w:rStyle w:val="indexentry"/>
        </w:rPr>
        <w:fldChar w:fldCharType="begin"/>
      </w:r>
      <w:r>
        <w:instrText>xe "</w:instrText>
      </w:r>
      <w:r>
        <w:rPr>
          <w:rStyle w:val="xeentry"/>
        </w:rPr>
        <w:instrText>grouping: of connection in tenses</w:instrText>
      </w:r>
      <w:r>
        <w:instrText>"</w:instrText>
      </w:r>
      <w:r>
        <w:rPr>
          <w:rStyle w:val="indexentry"/>
        </w:rPr>
        <w:fldChar w:fldCharType="end"/>
      </w:r>
      <w:r>
        <w:rPr>
          <w:rStyle w:val="indexentry"/>
        </w:rPr>
        <w:t>&lt;cx "tenses, grouping of connectives in"&gt;</w:t>
      </w:r>
      <w:r>
        <w:rPr>
          <w:rStyle w:val="indexentry"/>
        </w:rPr>
        <w:fldChar w:fldCharType="begin"/>
      </w:r>
      <w:r>
        <w:instrText>xe "</w:instrText>
      </w:r>
      <w:r>
        <w:rPr>
          <w:rStyle w:val="xeentry"/>
        </w:rPr>
        <w:instrText>tense: grouping of connectives in</w:instrText>
      </w:r>
      <w:r>
        <w:instrText>"</w:instrText>
      </w:r>
      <w:r>
        <w:rPr>
          <w:rStyle w:val="indexentry"/>
        </w:rPr>
        <w:fldChar w:fldCharType="end"/>
      </w:r>
      <w:r>
        <w:t>No forethought connections between tenses are permitted by the grammar, nor</w:t>
      </w:r>
      <w:r>
        <w:rPr>
          <w:rStyle w:val="deletedparamark"/>
        </w:rPr>
        <w:t xml:space="preserve"> </w:t>
      </w:r>
      <w:r>
        <w:t>is there any way to override the default left-grouping rule; these</w:t>
      </w:r>
      <w:r>
        <w:rPr>
          <w:rStyle w:val="deletedparamark"/>
        </w:rPr>
        <w:t xml:space="preserve"> </w:t>
      </w:r>
      <w:r>
        <w:t>limitations are imposed to keep the tense grammar simpler. Whatever can be</w:t>
      </w:r>
      <w:r>
        <w:rPr>
          <w:rStyle w:val="deletedparamark"/>
        </w:rPr>
        <w:t xml:space="preserve"> </w:t>
      </w:r>
      <w:r>
        <w:t>said with tenses or modals can be said with subordinate bridi stating the</w:t>
      </w:r>
      <w:r>
        <w:rPr>
          <w:rStyle w:val="deletedparamark"/>
        </w:rPr>
        <w:t xml:space="preserve"> </w:t>
      </w:r>
      <w:r>
        <w:t>time, place, or mode explicitly, so it is reasonable to try to remove at</w:t>
      </w:r>
      <w:r>
        <w:rPr>
          <w:rStyle w:val="deletedparamark"/>
        </w:rPr>
        <w:t xml:space="preserve"> </w:t>
      </w:r>
      <w:r>
        <w:t>least some complications.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"tensed logical connection"&gt;</w:t>
      </w:r>
      <w:r>
        <w:rPr>
          <w:rStyle w:val="indexentry"/>
        </w:rPr>
        <w:fldChar w:fldCharType="begin"/>
      </w:r>
      <w:r>
        <w:instrText>xe "</w:instrText>
      </w:r>
      <w:r>
        <w:rPr>
          <w:rStyle w:val="xeentry"/>
        </w:rPr>
        <w:instrText>tensed logical connection</w:instrText>
      </w:r>
      <w:r>
        <w:instrText>"</w:instrText>
      </w:r>
      <w:r>
        <w:rPr>
          <w:rStyle w:val="indexentry"/>
        </w:rPr>
        <w:fldChar w:fldCharType="end"/>
      </w:r>
      <w:r>
        <w:t>Tensed logical connections are both more complex and more important</w:t>
      </w:r>
      <w:r>
        <w:rPr>
          <w:rStyle w:val="deletedparamark"/>
        </w:rPr>
        <w:t xml:space="preserve"> </w:t>
      </w:r>
      <w:r>
        <w:t>than logical connections between tenses. Consider the English sentence:</w:t>
      </w:r>
    </w:p>
    <w:p w:rsidR="00B72047" w:rsidRDefault="00B72047">
      <w:pPr>
        <w:rPr>
          <w:rStyle w:val="htmlparacode"/>
        </w:rPr>
      </w:pPr>
      <w:r>
        <w:rPr>
          <w:rStyle w:val="htmlparacode"/>
        </w:rPr>
        <w:t>&lt;p&gt;</w:t>
      </w:r>
    </w:p>
    <w:p w:rsidR="00B72047" w:rsidRDefault="00B72047">
      <w:pPr>
        <w:pStyle w:val="examplescaledpre"/>
      </w:pPr>
      <w:r>
        <w:rPr>
          <w:rStyle w:val="indexentry"/>
        </w:rPr>
        <w:t>&lt;ex "went and bought"&gt;</w:t>
      </w:r>
      <w:r>
        <w:rPr>
          <w:rStyle w:val="indexentry"/>
        </w:rPr>
        <w:fldChar w:fldCharType="begin"/>
      </w:r>
      <w:r>
        <w:instrText>xe "</w:instrText>
      </w:r>
      <w:r>
        <w:rPr>
          <w:rStyle w:val="xeentry"/>
        </w:rPr>
        <w:instrText>went and bought: example</w:instrText>
      </w:r>
      <w:r>
        <w:instrText>"</w:instrText>
      </w:r>
      <w:r>
        <w:rPr>
          <w:rStyle w:val="indexentry"/>
        </w:rPr>
        <w:fldChar w:fldCharType="end"/>
      </w:r>
      <w:r>
        <w:rPr>
          <w:rStyle w:val="htmlcodes"/>
        </w:rPr>
        <w:t>&lt;pre&gt;&lt;a name=e18d4&gt;</w:t>
      </w:r>
      <w:r>
        <w:t>18.4)</w:t>
      </w:r>
      <w:r>
        <w:tab/>
        <w:t>I went to the market, and I bought food.</w:t>
      </w:r>
    </w:p>
    <w:p w:rsidR="00B72047" w:rsidRDefault="00B72047">
      <w:pPr>
        <w:pStyle w:val="resumedafterexample"/>
      </w:pPr>
      <w:r>
        <w:rPr>
          <w:rStyle w:val="htmlcodes"/>
        </w:rPr>
        <w:t>&lt;/pre&gt;&lt;p&gt;</w:t>
      </w:r>
      <w:r>
        <w:t xml:space="preserve">The verbatim translation of </w:t>
      </w:r>
      <w:r>
        <w:rPr>
          <w:rStyle w:val="htmlcodes"/>
        </w:rPr>
        <w:t>&lt;a href=#e18d4&gt;</w:t>
      </w:r>
      <w:r>
        <w:t>Example 18.4</w:t>
      </w:r>
      <w:r>
        <w:rPr>
          <w:rStyle w:val="htmlcodes"/>
        </w:rPr>
        <w:t>&lt;/a&gt;</w:t>
      </w:r>
      <w:r>
        <w:t>, namely: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name=e18d5&gt;</w:t>
      </w:r>
      <w:r>
        <w:t>18.5)</w:t>
      </w:r>
      <w:r>
        <w:tab/>
        <w:t>mi pu klama le zarci .ije mi pu tervecnu lo cidja</w:t>
      </w:r>
    </w:p>
    <w:p w:rsidR="00B72047" w:rsidRDefault="00B72047">
      <w:pPr>
        <w:pStyle w:val="examplescaled"/>
      </w:pPr>
      <w:r>
        <w:tab/>
        <w:t>I [past] go-to the market. And I [past] buy items-of food.</w:t>
      </w:r>
    </w:p>
    <w:p w:rsidR="00B72047" w:rsidRDefault="00B72047">
      <w:pPr>
        <w:pStyle w:val="resumedafterexample"/>
      </w:pPr>
      <w:r>
        <w:rPr>
          <w:rStyle w:val="htmlcodes"/>
        </w:rPr>
        <w:t>&lt;/pre&gt;</w:t>
      </w:r>
      <w:r>
        <w:t>fails to fully represent a feature of the English, namely that the buying</w:t>
      </w:r>
      <w:r>
        <w:rPr>
          <w:rStyle w:val="deletedparamark"/>
        </w:rPr>
        <w:t xml:space="preserve"> </w:t>
      </w:r>
      <w:r>
        <w:t>came after the g</w:t>
      </w:r>
      <w:r>
        <w:t>o</w:t>
      </w:r>
      <w:r>
        <w:softHyphen/>
        <w:t>ing. (It also fails to represent that the buying was</w:t>
      </w:r>
      <w:r>
        <w:rPr>
          <w:rStyle w:val="deletedparamark"/>
        </w:rPr>
        <w:t xml:space="preserve"> </w:t>
      </w:r>
      <w:r>
        <w:t>a consequence of the going, which can be expressed by a modal that is</w:t>
      </w:r>
      <w:r>
        <w:rPr>
          <w:rStyle w:val="deletedparamark"/>
        </w:rPr>
        <w:t xml:space="preserve"> </w:t>
      </w:r>
      <w:r>
        <w:t xml:space="preserve">discussed in </w:t>
      </w:r>
      <w:r>
        <w:rPr>
          <w:rStyle w:val="htmlcodes"/>
        </w:rPr>
        <w:t>&lt;a href=chap9.html&gt;</w:t>
      </w:r>
      <w:r>
        <w:t>Chapter 9</w:t>
      </w:r>
      <w:r>
        <w:rPr>
          <w:rStyle w:val="htmlcodes"/>
        </w:rPr>
        <w:t>&lt;/a&gt;</w:t>
      </w:r>
      <w:r>
        <w:t>.) However, the tense infor</w:t>
      </w:r>
      <w:r>
        <w:softHyphen/>
        <w:t>mation — that the event</w:t>
      </w:r>
      <w:r>
        <w:rPr>
          <w:rStyle w:val="deletedparamark"/>
        </w:rPr>
        <w:t xml:space="preserve"> </w:t>
      </w:r>
      <w:r>
        <w:t>of my going to the market preceded the event of my buying food — can</w:t>
      </w:r>
      <w:r>
        <w:rPr>
          <w:rStyle w:val="deletedparamark"/>
        </w:rPr>
        <w:t xml:space="preserve"> </w:t>
      </w:r>
      <w:r>
        <w:t>be added to the logical connective as follows. The “.ije” is replaced by “.ijebo”, and the tense cmavo “ba” is inserted between “.ije” and “bo”:</w:t>
      </w:r>
    </w:p>
    <w:p w:rsidR="00B72047" w:rsidRDefault="00B72047">
      <w:pPr>
        <w:rPr>
          <w:rStyle w:val="htmlparacode"/>
        </w:rPr>
      </w:pPr>
      <w:r>
        <w:rPr>
          <w:rStyle w:val="htmlparacode"/>
        </w:rPr>
        <w:t>&lt;p&gt;</w:t>
      </w:r>
    </w:p>
    <w:p w:rsidR="00B72047" w:rsidRDefault="00B72047">
      <w:pPr>
        <w:pStyle w:val="examplescaledpre"/>
      </w:pPr>
      <w:r>
        <w:rPr>
          <w:rStyle w:val="indexentry"/>
        </w:rPr>
        <w:t>&lt;lx ".ijebabo"&gt;</w:t>
      </w:r>
      <w:r>
        <w:rPr>
          <w:rStyle w:val="indexentry"/>
        </w:rPr>
        <w:fldChar w:fldCharType="begin"/>
      </w:r>
      <w:r>
        <w:instrText>xe "</w:instrText>
      </w:r>
      <w:r>
        <w:rPr>
          <w:rStyle w:val="xeentry"/>
        </w:rPr>
        <w:instrText>ijebabo</w:instrText>
      </w:r>
      <w:r>
        <w:instrText>"</w:instrText>
      </w:r>
      <w:r>
        <w:rPr>
          <w:rStyle w:val="indexentry"/>
        </w:rPr>
        <w:fldChar w:fldCharType="end"/>
      </w:r>
      <w:r>
        <w:rPr>
          <w:rStyle w:val="indexentry"/>
        </w:rPr>
        <w:t>&lt;lx "ba"&gt;</w:t>
      </w:r>
      <w:r>
        <w:rPr>
          <w:rStyle w:val="indexentry"/>
        </w:rPr>
        <w:fldChar w:fldCharType="begin"/>
      </w:r>
      <w:r>
        <w:instrText>xe "</w:instrText>
      </w:r>
      <w:r>
        <w:rPr>
          <w:rStyle w:val="xeentry"/>
        </w:rPr>
        <w:instrText>ba</w:instrText>
      </w:r>
      <w:r>
        <w:instrText>"</w:instrText>
      </w:r>
      <w:r>
        <w:rPr>
          <w:rStyle w:val="indexentry"/>
        </w:rPr>
        <w:fldChar w:fldCharType="end"/>
      </w:r>
      <w:r>
        <w:rPr>
          <w:rStyle w:val="htmlcodes"/>
        </w:rPr>
        <w:t>&lt;pre&gt;&lt;a name=e18d6&gt;</w:t>
      </w:r>
      <w:r>
        <w:t>18.6)</w:t>
      </w:r>
      <w:r>
        <w:tab/>
        <w:t>mi pu klama le zarci  .ijebabo mi pu tervecnu lo cidja</w:t>
      </w:r>
    </w:p>
    <w:p w:rsidR="00B72047" w:rsidRDefault="00B72047">
      <w:pPr>
        <w:pStyle w:val="examplescaled"/>
      </w:pPr>
      <w:r>
        <w:tab/>
        <w:t>I [past] go-to the market.  And [later] I [past] buy items-of food.</w:t>
      </w:r>
    </w:p>
    <w:p w:rsidR="00B72047" w:rsidRDefault="00B72047">
      <w:pPr>
        <w:pStyle w:val="resumedafterexample"/>
      </w:pPr>
      <w:r>
        <w:rPr>
          <w:rStyle w:val="htmlcodes"/>
        </w:rPr>
        <w:t>&lt;/pre&gt;&lt;p&gt;</w:t>
      </w:r>
      <w:r>
        <w:t>Here the “pu” cmavo in the two bridi-tails express the time of both actions</w:t>
      </w:r>
      <w:r>
        <w:rPr>
          <w:rStyle w:val="deletedparamark"/>
        </w:rPr>
        <w:t xml:space="preserve"> </w:t>
      </w:r>
      <w:r>
        <w:t>with respect to the speaker: in the past. The “ba” relates the two items</w:t>
      </w:r>
      <w:r>
        <w:rPr>
          <w:rStyle w:val="deletedparamark"/>
        </w:rPr>
        <w:t xml:space="preserve"> </w:t>
      </w:r>
      <w:r>
        <w:t>to one another: the second item is later than the first item. The grammar</w:t>
      </w:r>
      <w:r>
        <w:rPr>
          <w:rStyle w:val="deletedparamark"/>
        </w:rPr>
        <w:t xml:space="preserve"> </w:t>
      </w:r>
      <w:r>
        <w:t>does not permit omitting the “bo”; if it were omi</w:t>
      </w:r>
      <w:r>
        <w:t>t</w:t>
      </w:r>
      <w:r>
        <w:softHyphen/>
        <w:t>ted, the “ba” and the</w:t>
      </w:r>
      <w:r>
        <w:rPr>
          <w:rStyle w:val="deletedparamark"/>
        </w:rPr>
        <w:t xml:space="preserve"> </w:t>
      </w:r>
      <w:r>
        <w:t>second “pu” would run together to form a compound tense “bapu” applying</w:t>
      </w:r>
      <w:r>
        <w:rPr>
          <w:rStyle w:val="deletedparamark"/>
        </w:rPr>
        <w:t xml:space="preserve"> </w:t>
      </w:r>
      <w:r>
        <w:t>to the second bridi-tail only.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"tensed logical connective, in ek…bo"&gt;</w:t>
      </w:r>
      <w:r>
        <w:rPr>
          <w:rStyle w:val="indexentry"/>
        </w:rPr>
        <w:fldChar w:fldCharType="begin"/>
      </w:r>
      <w:r>
        <w:instrText>xe "</w:instrText>
      </w:r>
      <w:r>
        <w:rPr>
          <w:rStyle w:val="xeentry"/>
        </w:rPr>
        <w:instrText>tensed logical connective(s): in ek…bo</w:instrText>
      </w:r>
      <w:r>
        <w:instrText>"</w:instrText>
      </w:r>
      <w:r>
        <w:rPr>
          <w:rStyle w:val="indexentry"/>
        </w:rPr>
        <w:fldChar w:fldCharType="end"/>
      </w:r>
      <w:r>
        <w:t>Adding tense or modal information to a logical connective is permitted</w:t>
      </w:r>
      <w:r>
        <w:rPr>
          <w:rStyle w:val="deletedparamark"/>
        </w:rPr>
        <w:t xml:space="preserve"> </w:t>
      </w:r>
      <w:r>
        <w:t>only in the following situations:</w:t>
      </w:r>
    </w:p>
    <w:p w:rsidR="00B72047" w:rsidRDefault="00B72047">
      <w:pPr>
        <w:pStyle w:val="normalparagraph"/>
        <w:rPr>
          <w:rStyle w:val="htmlparacode"/>
        </w:rPr>
      </w:pPr>
      <w:r>
        <w:rPr>
          <w:rStyle w:val="htmlparacode"/>
        </w:rPr>
        <w:t>&lt;p&gt;</w:t>
      </w:r>
    </w:p>
    <w:p w:rsidR="00B72047" w:rsidRDefault="00B72047">
      <w:pPr>
        <w:pStyle w:val="normalparagraph"/>
      </w:pPr>
      <w:r>
        <w:t>Between an ek (or joik) and “bo”,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"simultaneously"&gt;</w:t>
      </w:r>
      <w:r>
        <w:rPr>
          <w:rStyle w:val="indexentry"/>
        </w:rPr>
        <w:fldChar w:fldCharType="begin"/>
      </w:r>
      <w:r>
        <w:instrText>xe "</w:instrText>
      </w:r>
      <w:r>
        <w:rPr>
          <w:rStyle w:val="xeentry"/>
        </w:rPr>
        <w:instrText>simultaneously: example</w:instrText>
      </w:r>
      <w:r>
        <w:instrText>"</w:instrText>
      </w:r>
      <w:r>
        <w:rPr>
          <w:rStyle w:val="indexentry"/>
        </w:rPr>
        <w:fldChar w:fldCharType="end"/>
      </w:r>
      <w:r>
        <w:rPr>
          <w:rStyle w:val="htmlcodes"/>
        </w:rPr>
        <w:t>&lt;pre&gt;&lt;a name=e18d7&gt;</w:t>
      </w:r>
      <w:r>
        <w:t>18.7)</w:t>
      </w:r>
      <w:r>
        <w:tab/>
        <w:t>la .djan .ecabo la .alis. klama le zarci</w:t>
      </w:r>
    </w:p>
    <w:p w:rsidR="00B72047" w:rsidRDefault="00B72047">
      <w:pPr>
        <w:pStyle w:val="examplescaled"/>
      </w:pPr>
      <w:r>
        <w:tab/>
        <w:t>John and [simultaneous] Alice go-to the market.</w:t>
      </w:r>
    </w:p>
    <w:p w:rsidR="00B72047" w:rsidRDefault="00B72047">
      <w:pPr>
        <w:pStyle w:val="examplescaled"/>
      </w:pPr>
      <w:r>
        <w:tab/>
        <w:t>John and Alice go to the market simultaneously.</w:t>
      </w:r>
    </w:p>
    <w:p w:rsidR="00B72047" w:rsidRDefault="00B72047">
      <w:pPr>
        <w:pStyle w:val="normalafterexample"/>
      </w:pPr>
      <w:r>
        <w:rPr>
          <w:rStyle w:val="htmlcodes"/>
        </w:rPr>
        <w:t>&lt;/pre&gt;</w:t>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&lt;cx "tensed logical connective, in ek…ke"&gt;</w:t>
      </w:r>
      <w:r>
        <w:rPr>
          <w:rStyle w:val="indexentry"/>
        </w:rPr>
        <w:fldChar w:fldCharType="begin"/>
      </w:r>
      <w:r>
        <w:instrText>xe "</w:instrText>
      </w:r>
      <w:r>
        <w:rPr>
          <w:rStyle w:val="xeentry"/>
        </w:rPr>
        <w:instrText>tensed logical connective(s): in ek…ke</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&lt;cx "tensed logical connective, in joik…ke"&gt;</w:t>
      </w:r>
      <w:r>
        <w:rPr>
          <w:rStyle w:val="indexentry"/>
        </w:rPr>
        <w:fldChar w:fldCharType="begin"/>
      </w:r>
      <w:r>
        <w:instrText>xe "</w:instrText>
      </w:r>
      <w:r>
        <w:rPr>
          <w:rStyle w:val="xeentry"/>
        </w:rPr>
        <w:instrText>tensed logical connective(s): in joik…ke</w:instrText>
      </w:r>
      <w:r>
        <w:instrText>"</w:instrText>
      </w:r>
      <w:r>
        <w:rPr>
          <w:rStyle w:val="indexentry"/>
        </w:rPr>
        <w:fldChar w:fldCharType="end"/>
      </w:r>
      <w:r>
        <w:t>Between an ek (or joik) and “ke”,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"and earlier"&gt;</w:t>
      </w:r>
      <w:r>
        <w:rPr>
          <w:rStyle w:val="indexentry"/>
        </w:rPr>
        <w:fldChar w:fldCharType="begin"/>
      </w:r>
      <w:r>
        <w:instrText>xe "</w:instrText>
      </w:r>
      <w:r>
        <w:rPr>
          <w:rStyle w:val="xeentry"/>
        </w:rPr>
        <w:instrText>and earlier: example</w:instrText>
      </w:r>
      <w:r>
        <w:instrText>"</w:instrText>
      </w:r>
      <w:r>
        <w:rPr>
          <w:rStyle w:val="indexentry"/>
        </w:rPr>
        <w:fldChar w:fldCharType="end"/>
      </w:r>
      <w:r>
        <w:rPr>
          <w:rStyle w:val="htmlcodes"/>
        </w:rPr>
        <w:t>&lt;pre&gt;&lt;a name=e18d8&gt;</w:t>
      </w:r>
      <w:r>
        <w:t>18.8)</w:t>
      </w:r>
      <w:r>
        <w:tab/>
        <w:t>mi dzukla le zarci .epuke le zdani .a le ckule [ke'e]</w:t>
      </w:r>
    </w:p>
    <w:p w:rsidR="00B72047" w:rsidRDefault="00B72047">
      <w:pPr>
        <w:pStyle w:val="examplescaled"/>
      </w:pPr>
      <w:r>
        <w:tab/>
        <w:t>I walk-to the market and [earlier] ( the house or the school ).</w:t>
      </w:r>
    </w:p>
    <w:p w:rsidR="00B72047" w:rsidRDefault="00B72047">
      <w:pPr>
        <w:pStyle w:val="examplescaled"/>
      </w:pPr>
      <w:r>
        <w:tab/>
        <w:t>I walk to the market and, before that, to the house or the school.</w:t>
      </w:r>
    </w:p>
    <w:p w:rsidR="00B72047" w:rsidRDefault="00B72047">
      <w:pPr>
        <w:pStyle w:val="normalafterexample"/>
      </w:pPr>
      <w:r>
        <w:rPr>
          <w:rStyle w:val="htmlcodes"/>
        </w:rPr>
        <w:t>&lt;/pre&gt;</w:t>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"tensed logical connective, in gihek…bo"&gt;</w:t>
      </w:r>
      <w:r>
        <w:rPr>
          <w:rStyle w:val="indexentry"/>
        </w:rPr>
        <w:fldChar w:fldCharType="begin"/>
      </w:r>
      <w:r>
        <w:instrText>xe "</w:instrText>
      </w:r>
      <w:r>
        <w:rPr>
          <w:rStyle w:val="xeentry"/>
        </w:rPr>
        <w:instrText>tensed logical connective(s): in gihek…bo</w:instrText>
      </w:r>
      <w:r>
        <w:instrText>"</w:instrText>
      </w:r>
      <w:r>
        <w:rPr>
          <w:rStyle w:val="indexentry"/>
        </w:rPr>
        <w:fldChar w:fldCharType="end"/>
      </w:r>
      <w:r>
        <w:t>Between a gihek and “bo”,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"and then"&gt;</w:t>
      </w:r>
      <w:r>
        <w:rPr>
          <w:rStyle w:val="htmlcodes"/>
        </w:rPr>
        <w:t>&lt;pre&gt;&lt;a name=e18d9&gt;</w:t>
      </w:r>
      <w:r>
        <w:t>18.9)</w:t>
      </w:r>
      <w:r>
        <w:tab/>
        <w:t>mi dunda le cukta gi'ebabo lebna lo rupnu vau do</w:t>
      </w:r>
    </w:p>
    <w:p w:rsidR="00B72047" w:rsidRDefault="00B72047">
      <w:pPr>
        <w:pStyle w:val="examplescaled"/>
      </w:pPr>
      <w:r>
        <w:tab/>
        <w:t>I give the book and [later] take some currency-units from/to you.</w:t>
      </w:r>
    </w:p>
    <w:p w:rsidR="00B72047" w:rsidRDefault="00B72047">
      <w:pPr>
        <w:pStyle w:val="examplescaled"/>
      </w:pPr>
      <w:r>
        <w:tab/>
        <w:t>I give you the book and then take some dollars (pounds, yen) from you.</w:t>
      </w:r>
    </w:p>
    <w:p w:rsidR="00B72047" w:rsidRDefault="00B72047">
      <w:pPr>
        <w:pStyle w:val="normalafterexample"/>
      </w:pPr>
      <w:r>
        <w:rPr>
          <w:rStyle w:val="htmlcodes"/>
        </w:rPr>
        <w:t>&lt;/pre&gt;</w:t>
      </w:r>
      <w:r>
        <w:rPr>
          <w:rStyle w:val="indexentry"/>
        </w:rPr>
        <w:t>&lt;lx "GIhA"&gt;</w:t>
      </w:r>
      <w:r>
        <w:rPr>
          <w:rStyle w:val="indexentry"/>
        </w:rPr>
        <w:fldChar w:fldCharType="begin"/>
      </w:r>
      <w:r>
        <w:instrText>xe "</w:instrText>
      </w:r>
      <w:r>
        <w:rPr>
          <w:rStyle w:val="xeentry"/>
        </w:rPr>
        <w:instrText>GIhA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&lt;cx "tensed logical connective, in gihek…ke"&gt;</w:t>
      </w:r>
      <w:r>
        <w:rPr>
          <w:rStyle w:val="indexentry"/>
        </w:rPr>
        <w:fldChar w:fldCharType="begin"/>
      </w:r>
      <w:r>
        <w:instrText>xe "</w:instrText>
      </w:r>
      <w:r>
        <w:rPr>
          <w:rStyle w:val="xeentry"/>
        </w:rPr>
        <w:instrText>tensed logical connective(s): in gihek…ke</w:instrText>
      </w:r>
      <w:r>
        <w:instrText>"</w:instrText>
      </w:r>
      <w:r>
        <w:rPr>
          <w:rStyle w:val="indexentry"/>
        </w:rPr>
        <w:fldChar w:fldCharType="end"/>
      </w:r>
      <w:r>
        <w:t>Between a gihek and “ke”,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"and simultaneously"&gt;</w:t>
      </w:r>
      <w:r>
        <w:rPr>
          <w:rStyle w:val="indexentry"/>
        </w:rPr>
        <w:fldChar w:fldCharType="begin"/>
      </w:r>
      <w:r>
        <w:instrText>xe "</w:instrText>
      </w:r>
      <w:r>
        <w:rPr>
          <w:rStyle w:val="xeentry"/>
        </w:rPr>
        <w:instrText>and simultaneously: example</w:instrText>
      </w:r>
      <w:r>
        <w:instrText>"</w:instrText>
      </w:r>
      <w:r>
        <w:rPr>
          <w:rStyle w:val="indexentry"/>
        </w:rPr>
        <w:fldChar w:fldCharType="end"/>
      </w:r>
      <w:r>
        <w:rPr>
          <w:rStyle w:val="htmlcodes"/>
        </w:rPr>
        <w:t>&lt;pre&gt;&lt;a name=e18d10&gt;</w:t>
      </w:r>
      <w:r>
        <w:t>18.10)</w:t>
      </w:r>
      <w:r>
        <w:tab/>
        <w:t>mi dzukla le zarci gi'ecake cusku zo'e la djan. [ke'e]</w:t>
      </w:r>
    </w:p>
    <w:p w:rsidR="00B72047" w:rsidRDefault="00B72047">
      <w:pPr>
        <w:pStyle w:val="examplescaled"/>
      </w:pPr>
      <w:r>
        <w:tab/>
        <w:t>I walk-to the market and [simultaneous] express something to-John.</w:t>
      </w:r>
    </w:p>
    <w:p w:rsidR="00B72047" w:rsidRDefault="00B72047">
      <w:pPr>
        <w:pStyle w:val="examplescaled"/>
      </w:pPr>
      <w:r>
        <w:tab/>
        <w:t>I walk to the market and at the same time talk to John.</w:t>
      </w:r>
    </w:p>
    <w:p w:rsidR="00B72047" w:rsidRDefault="00B72047">
      <w:pPr>
        <w:pStyle w:val="normalafterexample"/>
      </w:pPr>
      <w:r>
        <w:rPr>
          <w:rStyle w:val="htmlcodes"/>
        </w:rPr>
        <w:t>&lt;/pre&gt;</w:t>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"tensed logical connective, in ijek…bo"&gt;</w:t>
      </w:r>
      <w:r>
        <w:rPr>
          <w:rStyle w:val="indexentry"/>
        </w:rPr>
        <w:fldChar w:fldCharType="begin"/>
      </w:r>
      <w:r>
        <w:instrText>xe "</w:instrText>
      </w:r>
      <w:r>
        <w:rPr>
          <w:rStyle w:val="xeentry"/>
        </w:rPr>
        <w:instrText>tensed logical connective(s): in ijek…bo</w:instrText>
      </w:r>
      <w:r>
        <w:instrText>"</w:instrText>
      </w:r>
      <w:r>
        <w:rPr>
          <w:rStyle w:val="indexentry"/>
        </w:rPr>
        <w:fldChar w:fldCharType="end"/>
      </w:r>
      <w:r>
        <w:rPr>
          <w:rStyle w:val="indexentry"/>
        </w:rPr>
        <w:t>&lt;cx "tensed logical connective, in ijoik…bo"&gt;</w:t>
      </w:r>
      <w:r>
        <w:rPr>
          <w:rStyle w:val="indexentry"/>
        </w:rPr>
        <w:fldChar w:fldCharType="begin"/>
      </w:r>
      <w:r>
        <w:instrText>xe "</w:instrText>
      </w:r>
      <w:r>
        <w:rPr>
          <w:rStyle w:val="xeentry"/>
        </w:rPr>
        <w:instrText>tensed logical connective(s): in ijoik…bo</w:instrText>
      </w:r>
      <w:r>
        <w:instrText>"</w:instrText>
      </w:r>
      <w:r>
        <w:rPr>
          <w:rStyle w:val="indexentry"/>
        </w:rPr>
        <w:fldChar w:fldCharType="end"/>
      </w:r>
      <w:r>
        <w:t>Between an ijek (or ijoik) and “bo”,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"and then"&gt;</w:t>
      </w:r>
      <w:r>
        <w:rPr>
          <w:rStyle w:val="indexentry"/>
        </w:rPr>
        <w:fldChar w:fldCharType="begin"/>
      </w:r>
      <w:r>
        <w:instrText>xe "</w:instrText>
      </w:r>
      <w:r>
        <w:rPr>
          <w:rStyle w:val="xeentry"/>
        </w:rPr>
        <w:instrText>and then: example</w:instrText>
      </w:r>
      <w:r>
        <w:instrText>"</w:instrText>
      </w:r>
      <w:r>
        <w:rPr>
          <w:rStyle w:val="indexentry"/>
        </w:rPr>
        <w:fldChar w:fldCharType="end"/>
      </w:r>
      <w:r>
        <w:rPr>
          <w:rStyle w:val="htmlcodes"/>
        </w:rPr>
        <w:t>&lt;pre&gt;&lt;a name=e18d11&gt;</w:t>
      </w:r>
      <w:r>
        <w:t>18.11)</w:t>
      </w:r>
      <w:r>
        <w:tab/>
        <w:t>mi viska pa nanmu  .ijebabo mi viska pa ninmu</w:t>
      </w:r>
    </w:p>
    <w:p w:rsidR="00B72047" w:rsidRDefault="00B72047">
      <w:pPr>
        <w:pStyle w:val="examplescaled"/>
      </w:pPr>
      <w:r>
        <w:tab/>
        <w:t>I see a man.  And [later] I see a woman.</w:t>
      </w:r>
    </w:p>
    <w:p w:rsidR="00B72047" w:rsidRDefault="00B72047">
      <w:pPr>
        <w:pStyle w:val="examplescaled"/>
      </w:pPr>
      <w:r>
        <w:tab/>
        <w:t>I see a man, and then I see a woman.</w:t>
      </w:r>
    </w:p>
    <w:p w:rsidR="00B72047" w:rsidRDefault="00B72047">
      <w:pPr>
        <w:pStyle w:val="normalafterexample"/>
      </w:pPr>
      <w:r>
        <w:rPr>
          <w:rStyle w:val="htmlcodes"/>
        </w:rPr>
        <w:t>&lt;/pre&gt;</w:t>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&lt;lx "TUhE"&gt;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&lt;cx "tensed logical connective, in ijek…tu'e"&gt;</w:t>
      </w:r>
      <w:r>
        <w:rPr>
          <w:rStyle w:val="indexentry"/>
        </w:rPr>
        <w:fldChar w:fldCharType="begin"/>
      </w:r>
      <w:r>
        <w:instrText>xe "</w:instrText>
      </w:r>
      <w:r>
        <w:rPr>
          <w:rStyle w:val="xeentry"/>
        </w:rPr>
        <w:instrText>tensed logical connective(s): in ijek…tu'e</w:instrText>
      </w:r>
      <w:r>
        <w:instrText>"</w:instrText>
      </w:r>
      <w:r>
        <w:rPr>
          <w:rStyle w:val="indexentry"/>
        </w:rPr>
        <w:fldChar w:fldCharType="end"/>
      </w:r>
      <w:r>
        <w:rPr>
          <w:rStyle w:val="indexentry"/>
        </w:rPr>
        <w:t>&lt;cx "tensed logical connective, in ijoik…tu'e"&gt;</w:t>
      </w:r>
      <w:r>
        <w:rPr>
          <w:rStyle w:val="indexentry"/>
        </w:rPr>
        <w:fldChar w:fldCharType="begin"/>
      </w:r>
      <w:r>
        <w:instrText>xe "</w:instrText>
      </w:r>
      <w:r>
        <w:rPr>
          <w:rStyle w:val="xeentry"/>
        </w:rPr>
        <w:instrText>tensed logical connective(s): in ijoik…tu'e</w:instrText>
      </w:r>
      <w:r>
        <w:instrText>"</w:instrText>
      </w:r>
      <w:r>
        <w:rPr>
          <w:rStyle w:val="indexentry"/>
        </w:rPr>
        <w:fldChar w:fldCharType="end"/>
      </w:r>
      <w:r>
        <w:t>Between an ijek (or ijoik) and “tu'e”,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"and then"&gt;</w:t>
      </w:r>
      <w:r>
        <w:rPr>
          <w:rStyle w:val="indexentry"/>
        </w:rPr>
        <w:fldChar w:fldCharType="begin"/>
      </w:r>
      <w:r>
        <w:instrText>xe "</w:instrText>
      </w:r>
      <w:r>
        <w:rPr>
          <w:rStyle w:val="xeentry"/>
        </w:rPr>
        <w:instrText>and then: example</w:instrText>
      </w:r>
      <w:r>
        <w:instrText>"</w:instrText>
      </w:r>
      <w:r>
        <w:rPr>
          <w:rStyle w:val="indexentry"/>
        </w:rPr>
        <w:fldChar w:fldCharType="end"/>
      </w:r>
      <w:r>
        <w:rPr>
          <w:rStyle w:val="htmlcodes"/>
        </w:rPr>
        <w:t>&lt;pre&gt;&lt;a name=e18d12&gt;</w:t>
      </w:r>
      <w:r>
        <w:t>18.12)</w:t>
      </w:r>
      <w:r>
        <w:tab/>
        <w:t>mi viska pa nanmu  .ijebatu'e mi viska pa ninmu [tu'u]</w:t>
      </w:r>
    </w:p>
    <w:p w:rsidR="00B72047" w:rsidRDefault="00B72047">
      <w:pPr>
        <w:pStyle w:val="examplescaled"/>
      </w:pPr>
      <w:r>
        <w:tab/>
        <w:t>I see a man.  And [later] I see a woman.</w:t>
      </w:r>
    </w:p>
    <w:p w:rsidR="00B72047" w:rsidRDefault="00B72047">
      <w:pPr>
        <w:pStyle w:val="examplescaled"/>
      </w:pPr>
      <w:r>
        <w:tab/>
        <w:t>I see a man, and then I see a woman.</w:t>
      </w:r>
    </w:p>
    <w:p w:rsidR="00B72047" w:rsidRDefault="00B72047">
      <w:pPr>
        <w:pStyle w:val="normalafterexample"/>
      </w:pPr>
      <w:r>
        <w:rPr>
          <w:rStyle w:val="htmlcodes"/>
        </w:rPr>
        <w:t>&lt;/pre&gt;</w:t>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"tensed logical connective, in jek…bo"&gt;</w:t>
      </w:r>
      <w:r>
        <w:rPr>
          <w:rStyle w:val="indexentry"/>
        </w:rPr>
        <w:fldChar w:fldCharType="begin"/>
      </w:r>
      <w:r>
        <w:instrText>xe "</w:instrText>
      </w:r>
      <w:r>
        <w:rPr>
          <w:rStyle w:val="xeentry"/>
        </w:rPr>
        <w:instrText>tensed logical connective(s): in jek…bo</w:instrText>
      </w:r>
      <w:r>
        <w:instrText>"</w:instrText>
      </w:r>
      <w:r>
        <w:rPr>
          <w:rStyle w:val="indexentry"/>
        </w:rPr>
        <w:fldChar w:fldCharType="end"/>
      </w:r>
      <w:r>
        <w:rPr>
          <w:rStyle w:val="indexentry"/>
        </w:rPr>
        <w:t>&lt;cx "tensed logical connective, in joik…bo"&gt;</w:t>
      </w:r>
      <w:r>
        <w:rPr>
          <w:rStyle w:val="indexentry"/>
        </w:rPr>
        <w:fldChar w:fldCharType="begin"/>
      </w:r>
      <w:r>
        <w:instrText>xe "</w:instrText>
      </w:r>
      <w:r>
        <w:rPr>
          <w:rStyle w:val="xeentry"/>
        </w:rPr>
        <w:instrText>tensed logical connective(s): in joik…bo</w:instrText>
      </w:r>
      <w:r>
        <w:instrText>"</w:instrText>
      </w:r>
      <w:r>
        <w:rPr>
          <w:rStyle w:val="indexentry"/>
        </w:rPr>
        <w:fldChar w:fldCharType="end"/>
      </w:r>
      <w:r>
        <w:t>And finally, between a jek (or joik) and “bo”, as in:</w:t>
      </w:r>
    </w:p>
    <w:p w:rsidR="00B72047" w:rsidRDefault="00B72047">
      <w:pPr>
        <w:rPr>
          <w:rStyle w:val="htmlparacode"/>
        </w:rPr>
      </w:pPr>
      <w:r>
        <w:rPr>
          <w:rStyle w:val="htmlparacode"/>
        </w:rPr>
        <w:t>&lt;p&gt;</w:t>
      </w:r>
    </w:p>
    <w:p w:rsidR="00B72047" w:rsidRDefault="00B72047">
      <w:pPr>
        <w:pStyle w:val="examplescaledpre"/>
        <w:spacing w:before="80"/>
      </w:pPr>
      <w:r>
        <w:rPr>
          <w:rStyle w:val="indexentry"/>
        </w:rPr>
        <w:t>&lt;ex "doctor and then rich"&gt;</w:t>
      </w:r>
      <w:r>
        <w:rPr>
          <w:rStyle w:val="indexentry"/>
        </w:rPr>
        <w:fldChar w:fldCharType="begin"/>
      </w:r>
      <w:r>
        <w:instrText>xe "</w:instrText>
      </w:r>
      <w:r>
        <w:rPr>
          <w:rStyle w:val="xeentry"/>
        </w:rPr>
        <w:instrText>doctor and then rich: example</w:instrText>
      </w:r>
      <w:r>
        <w:instrText>"</w:instrText>
      </w:r>
      <w:r>
        <w:rPr>
          <w:rStyle w:val="indexentry"/>
        </w:rPr>
        <w:fldChar w:fldCharType="end"/>
      </w:r>
      <w:r>
        <w:rPr>
          <w:rStyle w:val="htmlcodes"/>
        </w:rPr>
        <w:t>&lt;pre&gt;&lt;a name=e18d13&gt;</w:t>
      </w:r>
      <w:r>
        <w:t>18.13)</w:t>
      </w:r>
      <w:r>
        <w:tab/>
        <w:t>mi mikce jebabo ricfu</w:t>
      </w:r>
    </w:p>
    <w:p w:rsidR="00B72047" w:rsidRDefault="00B72047">
      <w:pPr>
        <w:pStyle w:val="examplescaled"/>
      </w:pPr>
      <w:r>
        <w:tab/>
        <w:t>I-am-a doctor and [later] rich</w:t>
      </w:r>
    </w:p>
    <w:p w:rsidR="00B72047" w:rsidRDefault="00B72047">
      <w:pPr>
        <w:pStyle w:val="examplescaled"/>
      </w:pPr>
      <w:r>
        <w:tab/>
        <w:t>I am a doctor and future rich person.</w:t>
      </w:r>
    </w:p>
    <w:p w:rsidR="00B72047" w:rsidRDefault="00B72047">
      <w:pPr>
        <w:pStyle w:val="normalafterexample"/>
      </w:pPr>
      <w:r>
        <w:rPr>
          <w:rStyle w:val="htmlcodes"/>
        </w:rPr>
        <w:t>&lt;/pre&gt;</w:t>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&lt;lx "TUhE"&gt;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&lt;cx "bo, contrasted with ke for tensed logical connection"&gt;</w:t>
      </w:r>
      <w:r>
        <w:rPr>
          <w:rStyle w:val="indexentry"/>
        </w:rPr>
        <w:fldChar w:fldCharType="begin"/>
      </w:r>
      <w:r>
        <w:instrText>xe "</w:instrText>
      </w:r>
      <w:r>
        <w:rPr>
          <w:rStyle w:val="xeentry"/>
        </w:rPr>
        <w:instrText>bo: contrasted with ke for tensed logical connection</w:instrText>
      </w:r>
      <w:r>
        <w:instrText>"</w:instrText>
      </w:r>
      <w:r>
        <w:rPr>
          <w:rStyle w:val="indexentry"/>
        </w:rPr>
        <w:fldChar w:fldCharType="end"/>
      </w:r>
      <w:r>
        <w:rPr>
          <w:rStyle w:val="indexentry"/>
        </w:rPr>
        <w:t>&lt;cx "ke, contrasted with bo for tensed logical connection"&gt;</w:t>
      </w:r>
      <w:r>
        <w:rPr>
          <w:rStyle w:val="indexentry"/>
        </w:rPr>
        <w:fldChar w:fldCharType="begin"/>
      </w:r>
      <w:r>
        <w:instrText>xe "</w:instrText>
      </w:r>
      <w:r>
        <w:rPr>
          <w:rStyle w:val="xeentry"/>
        </w:rPr>
        <w:instrText>ke: contrasted with bo for tensed logical connection</w:instrText>
      </w:r>
      <w:r>
        <w:instrText>"</w:instrText>
      </w:r>
      <w:r>
        <w:rPr>
          <w:rStyle w:val="indexentry"/>
        </w:rPr>
        <w:fldChar w:fldCharType="end"/>
      </w:r>
      <w:r>
        <w:rPr>
          <w:rStyle w:val="indexentry"/>
        </w:rPr>
        <w:t>&lt;cx "bo, contrasted with tu'e for tensed logical connection"&gt;</w:t>
      </w:r>
      <w:r>
        <w:rPr>
          <w:rStyle w:val="indexentry"/>
        </w:rPr>
        <w:fldChar w:fldCharType="begin"/>
      </w:r>
      <w:r>
        <w:instrText>xe "</w:instrText>
      </w:r>
      <w:r>
        <w:rPr>
          <w:rStyle w:val="xeentry"/>
        </w:rPr>
        <w:instrText>bo: contrasted with tu'e for tensed logical connection</w:instrText>
      </w:r>
      <w:r>
        <w:instrText>"</w:instrText>
      </w:r>
      <w:r>
        <w:rPr>
          <w:rStyle w:val="indexentry"/>
        </w:rPr>
        <w:fldChar w:fldCharType="end"/>
      </w:r>
      <w:r>
        <w:rPr>
          <w:rStyle w:val="indexentry"/>
        </w:rPr>
        <w:t>&lt;cx "tu'e, contrasted with bo for tensed logical connection"&gt;</w:t>
      </w:r>
      <w:r>
        <w:rPr>
          <w:rStyle w:val="indexentry"/>
        </w:rPr>
        <w:fldChar w:fldCharType="begin"/>
      </w:r>
      <w:r>
        <w:instrText>xe "</w:instrText>
      </w:r>
      <w:r>
        <w:rPr>
          <w:rStyle w:val="xeentry"/>
        </w:rPr>
        <w:instrText>tu'e: contrasted with bo for tensed logical connection</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w:instrText>
      </w:r>
      <w:r>
        <w:instrText>"</w:instrText>
      </w:r>
      <w:r>
        <w:rPr>
          <w:rStyle w:val="indexentry"/>
        </w:rPr>
        <w:fldChar w:fldCharType="end"/>
      </w: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t xml:space="preserve">As can be seen from </w:t>
      </w:r>
      <w:r>
        <w:rPr>
          <w:rStyle w:val="htmlcodes"/>
        </w:rPr>
        <w:t>&lt;a href=#e18d11&gt;</w:t>
      </w:r>
      <w:r>
        <w:t xml:space="preserve">Example 18.11 </w:t>
      </w:r>
      <w:r>
        <w:rPr>
          <w:rStyle w:val="htmlcodes"/>
        </w:rPr>
        <w:t>&lt;/a&gt;</w:t>
      </w:r>
      <w:r>
        <w:t xml:space="preserve">and </w:t>
      </w:r>
      <w:r>
        <w:rPr>
          <w:rStyle w:val="htmlcodes"/>
        </w:rPr>
        <w:t>&lt;a href=#e18d12&gt;</w:t>
      </w:r>
      <w:r>
        <w:t>Example 18.12</w:t>
      </w:r>
      <w:r>
        <w:rPr>
          <w:rStyle w:val="htmlcodes"/>
        </w:rPr>
        <w:t>&lt;/a&gt;</w:t>
      </w:r>
      <w:r>
        <w:t>, the choice between “bo”</w:t>
      </w:r>
      <w:r>
        <w:rPr>
          <w:rStyle w:val="deletedparamark"/>
        </w:rPr>
        <w:t xml:space="preserve"> </w:t>
      </w:r>
      <w:r>
        <w:t>and “ke” (or “tu'e”) is arbitrary when there are only two things to be</w:t>
      </w:r>
      <w:r>
        <w:rPr>
          <w:rStyle w:val="deletedparamark"/>
        </w:rPr>
        <w:t xml:space="preserve"> </w:t>
      </w:r>
      <w:r>
        <w:t>connected. If there were no tense information to include, of course neither</w:t>
      </w:r>
      <w:r>
        <w:rPr>
          <w:rStyle w:val="deletedparamark"/>
        </w:rPr>
        <w:t xml:space="preserve"> </w:t>
      </w:r>
      <w:r>
        <w:t>would be required; it is only the rule that tense information must always be</w:t>
      </w:r>
      <w:r>
        <w:rPr>
          <w:rStyle w:val="deletedparamark"/>
        </w:rPr>
        <w:t xml:space="preserve"> </w:t>
      </w:r>
      <w:r>
        <w:t>sandwiched between the logical connective and a following “bo”, “ke”, or</w:t>
      </w:r>
      <w:r>
        <w:rPr>
          <w:rStyle w:val="deletedparamark"/>
        </w:rPr>
        <w:t xml:space="preserve"> “</w:t>
      </w:r>
      <w:r>
        <w:t xml:space="preserve">tu'e” that requires the use of one of these grouping cmavo in </w:t>
      </w:r>
      <w:r>
        <w:rPr>
          <w:rStyle w:val="htmlcodes"/>
        </w:rPr>
        <w:t>&lt;a href=#e18d7&gt;</w:t>
      </w:r>
      <w:r>
        <w:t xml:space="preserve">Example 18.7 </w:t>
      </w:r>
      <w:r>
        <w:rPr>
          <w:rStyle w:val="htmlcodes"/>
        </w:rPr>
        <w:t>&lt;/a&gt;</w:t>
      </w:r>
      <w:r>
        <w:t xml:space="preserve">and </w:t>
      </w:r>
      <w:r>
        <w:rPr>
          <w:rStyle w:val="htmlcodes"/>
        </w:rPr>
        <w:t>&lt;a href=#e18d{9}&gt;</w:t>
      </w:r>
      <w:r>
        <w:t xml:space="preserve">Examples 18.9 </w:t>
      </w:r>
      <w:r>
        <w:rPr>
          <w:rStyle w:val="htmlcodes"/>
        </w:rPr>
        <w:t>&lt;/a&gt;</w:t>
      </w:r>
      <w:r>
        <w:t xml:space="preserve">through </w:t>
      </w:r>
      <w:r>
        <w:rPr>
          <w:rStyle w:val="htmlcodes"/>
        </w:rPr>
        <w:t>&lt;a href=#e18d13&gt;</w:t>
      </w:r>
      <w:r>
        <w:t>18.13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"non-logical connectives, including tense"&gt;</w:t>
      </w:r>
      <w:r>
        <w:rPr>
          <w:rStyle w:val="indexentry"/>
        </w:rPr>
        <w:fldChar w:fldCharType="begin"/>
      </w:r>
      <w:r>
        <w:instrText>xe "</w:instrText>
      </w:r>
      <w:r>
        <w:rPr>
          <w:rStyle w:val="xeentry"/>
        </w:rPr>
        <w:instrText>non-logical connectives: including tense</w:instrText>
      </w:r>
      <w:r>
        <w:instrText>"</w:instrText>
      </w:r>
      <w:r>
        <w:rPr>
          <w:rStyle w:val="indexentry"/>
        </w:rPr>
        <w:fldChar w:fldCharType="end"/>
      </w:r>
      <w:r>
        <w:rPr>
          <w:rStyle w:val="indexentry"/>
        </w:rPr>
        <w:t>&lt;cx "tensed non-logical connectives"&gt;</w:t>
      </w:r>
      <w:r>
        <w:rPr>
          <w:rStyle w:val="indexentry"/>
        </w:rPr>
        <w:fldChar w:fldCharType="begin"/>
      </w:r>
      <w:r>
        <w:instrText>xe "</w:instrText>
      </w:r>
      <w:r>
        <w:rPr>
          <w:rStyle w:val="xeentry"/>
        </w:rPr>
        <w:instrText>tensed non-logical connectives</w:instrText>
      </w:r>
      <w:r>
        <w:instrText>"</w:instrText>
      </w:r>
      <w:r>
        <w:rPr>
          <w:rStyle w:val="indexentry"/>
        </w:rPr>
        <w:fldChar w:fldCharType="end"/>
      </w:r>
      <w:r>
        <w:rPr>
          <w:rStyle w:val="indexentry"/>
        </w:rPr>
        <w:t>&lt;cx "forethought connectives, with tense"&gt;</w:t>
      </w:r>
      <w:r>
        <w:rPr>
          <w:rStyle w:val="indexentry"/>
        </w:rPr>
        <w:fldChar w:fldCharType="begin"/>
      </w:r>
      <w:r>
        <w:instrText>xe "</w:instrText>
      </w:r>
      <w:r>
        <w:rPr>
          <w:rStyle w:val="xeentry"/>
        </w:rPr>
        <w:instrText>forethought connectives: with tense</w:instrText>
      </w:r>
      <w:r>
        <w:instrText>"</w:instrText>
      </w:r>
      <w:r>
        <w:rPr>
          <w:rStyle w:val="indexentry"/>
        </w:rPr>
        <w:fldChar w:fldCharType="end"/>
      </w:r>
      <w:r>
        <w:rPr>
          <w:rStyle w:val="indexentry"/>
        </w:rPr>
        <w:t>&lt;cx "tensed logical connectives, forethought"&gt;</w:t>
      </w:r>
      <w:r>
        <w:rPr>
          <w:rStyle w:val="indexentry"/>
        </w:rPr>
        <w:fldChar w:fldCharType="begin"/>
      </w:r>
      <w:r>
        <w:instrText>xe "</w:instrText>
      </w:r>
      <w:r>
        <w:rPr>
          <w:rStyle w:val="xeentry"/>
        </w:rPr>
        <w:instrText>tensed logical connective: forethought</w:instrText>
      </w:r>
      <w:r>
        <w:instrText>"</w:instrText>
      </w:r>
      <w:r>
        <w:rPr>
          <w:rStyle w:val="indexentry"/>
        </w:rPr>
        <w:fldChar w:fldCharType="end"/>
      </w:r>
      <w:r>
        <w:rPr>
          <w:rStyle w:val="indexentry"/>
        </w:rPr>
        <w:t>&lt;cx "tensed non-logical connectives, forethought"&gt;</w:t>
      </w:r>
      <w:r>
        <w:rPr>
          <w:rStyle w:val="indexentry"/>
        </w:rPr>
        <w:fldChar w:fldCharType="begin"/>
      </w:r>
      <w:r>
        <w:instrText>xe "</w:instrText>
      </w:r>
      <w:r>
        <w:rPr>
          <w:rStyle w:val="xeentry"/>
        </w:rPr>
        <w:instrText>tensed non-logical connectives: forethought</w:instrText>
      </w:r>
      <w:r>
        <w:instrText>"</w:instrText>
      </w:r>
      <w:r>
        <w:rPr>
          <w:rStyle w:val="indexentry"/>
        </w:rPr>
        <w:fldChar w:fldCharType="end"/>
      </w:r>
      <w:r>
        <w:rPr>
          <w:rStyle w:val="indexentry"/>
        </w:rPr>
        <w:t>&lt;cx "tensed connectives, in mathematical expressions"&gt;</w:t>
      </w:r>
      <w:r>
        <w:rPr>
          <w:rStyle w:val="indexentry"/>
        </w:rPr>
        <w:fldChar w:fldCharType="begin"/>
      </w:r>
      <w:r>
        <w:instrText>xe "</w:instrText>
      </w:r>
      <w:r>
        <w:rPr>
          <w:rStyle w:val="xeentry"/>
        </w:rPr>
        <w:instrText>tensed connectives: in mathematical expressions</w:instrText>
      </w:r>
      <w:r>
        <w:instrText>"</w:instrText>
      </w:r>
      <w:r>
        <w:rPr>
          <w:rStyle w:val="indexentry"/>
        </w:rPr>
        <w:fldChar w:fldCharType="end"/>
      </w:r>
      <w:r>
        <w:rPr>
          <w:rStyle w:val="indexentry"/>
        </w:rPr>
        <w:t>&lt;cx "mathematical expressions, tensed connection in"&gt;</w:t>
      </w:r>
      <w:r>
        <w:rPr>
          <w:rStyle w:val="indexentry"/>
        </w:rPr>
        <w:fldChar w:fldCharType="begin"/>
      </w:r>
      <w:r>
        <w:instrText>xe "</w:instrText>
      </w:r>
      <w:r>
        <w:rPr>
          <w:rStyle w:val="xeentry"/>
        </w:rPr>
        <w:instrText>mathematical expressions: tensed connection in</w:instrText>
      </w:r>
      <w:r>
        <w:instrText>"</w:instrText>
      </w:r>
      <w:r>
        <w:rPr>
          <w:rStyle w:val="indexentry"/>
        </w:rPr>
        <w:fldChar w:fldCharType="end"/>
      </w:r>
      <w:r>
        <w:t>Non-logical connectives with “bo” and “ke” can include tense information</w:t>
      </w:r>
      <w:r>
        <w:rPr>
          <w:rStyle w:val="deletedparamark"/>
        </w:rPr>
        <w:t xml:space="preserve"> </w:t>
      </w:r>
      <w:r>
        <w:t>in exactly the same way as logical connectives. Forethought connectives,</w:t>
      </w:r>
      <w:r>
        <w:rPr>
          <w:rStyle w:val="deletedparamark"/>
        </w:rPr>
        <w:t xml:space="preserve"> </w:t>
      </w:r>
      <w:r>
        <w:t>however (except as noted below) are unable to do so, as are termsets or</w:t>
      </w:r>
      <w:r>
        <w:rPr>
          <w:rStyle w:val="deletedparamark"/>
        </w:rPr>
        <w:t xml:space="preserve"> </w:t>
      </w:r>
      <w:r>
        <w:t>tense connectives. Mathematical operands and operators can also include</w:t>
      </w:r>
      <w:r>
        <w:rPr>
          <w:rStyle w:val="deletedparamark"/>
        </w:rPr>
        <w:t xml:space="preserve"> </w:t>
      </w:r>
      <w:r>
        <w:t>tense information in their logical connectives as a</w:t>
      </w:r>
      <w:r>
        <w:rPr>
          <w:rStyle w:val="deletedparamark"/>
        </w:rPr>
        <w:t xml:space="preserve"> </w:t>
      </w:r>
      <w:r>
        <w:t>result of their close parallelism with sumti and tanru components</w:t>
      </w:r>
      <w:r>
        <w:rPr>
          <w:rStyle w:val="deletedparamark"/>
        </w:rPr>
        <w:t xml:space="preserve"> </w:t>
      </w:r>
      <w:r>
        <w:t>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name=e18d14&gt;</w:t>
      </w:r>
      <w:r>
        <w:t>18.14)</w:t>
      </w:r>
      <w:r>
        <w:tab/>
        <w:t>vei ci .ebabo vo [ve'o] tadni cu zvati le kumfa</w:t>
      </w:r>
    </w:p>
    <w:p w:rsidR="00B72047" w:rsidRDefault="00B72047">
      <w:pPr>
        <w:pStyle w:val="examplescaled"/>
      </w:pPr>
      <w:r>
        <w:tab/>
        <w:t>( 3 and [future] 4 ) students are-at the room.</w:t>
      </w:r>
    </w:p>
    <w:p w:rsidR="00B72047" w:rsidRDefault="00B72047">
      <w:pPr>
        <w:pStyle w:val="examplescaled"/>
      </w:pPr>
      <w:r>
        <w:tab/>
        <w:t>Three and, later, four students were in the room.</w:t>
      </w:r>
    </w:p>
    <w:p w:rsidR="00B72047" w:rsidRDefault="00B72047">
      <w:pPr>
        <w:pStyle w:val="resumedafterexample"/>
      </w:pPr>
      <w:r>
        <w:rPr>
          <w:rStyle w:val="htmlcodes"/>
        </w:rPr>
        <w:t>&lt;/pre&gt;</w:t>
      </w:r>
      <w:r>
        <w:t>is a simple example.</w:t>
      </w:r>
      <w:r>
        <w:rPr>
          <w:rStyle w:val="deletedparamark"/>
        </w:rPr>
        <w:t xml:space="preserve"> </w:t>
      </w:r>
      <w:r>
        <w:rPr>
          <w:rStyle w:val="indexentry"/>
        </w:rPr>
        <w:t>&lt;cx "tense, in forethought bridi-tail connection, special rule"&gt;</w:t>
      </w:r>
      <w:r>
        <w:rPr>
          <w:rStyle w:val="indexentry"/>
        </w:rPr>
        <w:fldChar w:fldCharType="begin"/>
      </w:r>
      <w:r>
        <w:instrText>xe "</w:instrText>
      </w:r>
      <w:r>
        <w:rPr>
          <w:rStyle w:val="xeentry"/>
        </w:rPr>
        <w:instrText>tense: in forethought bridi-tail connection, special rule</w:instrText>
      </w:r>
      <w:r>
        <w:instrText>"</w:instrText>
      </w:r>
      <w:r>
        <w:rPr>
          <w:rStyle w:val="indexentry"/>
        </w:rPr>
        <w:fldChar w:fldCharType="end"/>
      </w:r>
      <w:r>
        <w:rPr>
          <w:rStyle w:val="indexentry"/>
        </w:rPr>
        <w:t>&lt;cx "forethought bridi-tail connection, special rule for tense"&gt;</w:t>
      </w:r>
      <w:r>
        <w:rPr>
          <w:rStyle w:val="indexentry"/>
        </w:rPr>
        <w:fldChar w:fldCharType="begin"/>
      </w:r>
      <w:r>
        <w:instrText>xe "</w:instrText>
      </w:r>
      <w:r>
        <w:rPr>
          <w:rStyle w:val="xeentry"/>
        </w:rPr>
        <w:instrText>forethought bridi-tail connection: special rule for tense</w:instrText>
      </w:r>
      <w:r>
        <w:instrText>"</w:instrText>
      </w:r>
      <w:r>
        <w:rPr>
          <w:rStyle w:val="indexentry"/>
        </w:rPr>
        <w:fldChar w:fldCharType="end"/>
      </w:r>
      <w:r>
        <w:t>There is a special grammatical rule for use when a tense applies to</w:t>
      </w:r>
      <w:r>
        <w:rPr>
          <w:rStyle w:val="deletedparamark"/>
        </w:rPr>
        <w:t xml:space="preserve"> </w:t>
      </w:r>
      <w:r>
        <w:t>both of the selbri in a forethought bridi-tail connection: the entire</w:t>
      </w:r>
      <w:r>
        <w:rPr>
          <w:rStyle w:val="deletedparamark"/>
        </w:rPr>
        <w:t xml:space="preserve"> </w:t>
      </w:r>
      <w:r>
        <w:t>forethought construc</w:t>
      </w:r>
      <w:r>
        <w:softHyphen/>
        <w:t>tion can just be preceded by a tense.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"went and bought"&gt;</w:t>
      </w:r>
      <w:r>
        <w:rPr>
          <w:rStyle w:val="indexentry"/>
        </w:rPr>
        <w:fldChar w:fldCharType="begin"/>
      </w:r>
      <w:r>
        <w:instrText>xe "</w:instrText>
      </w:r>
      <w:r>
        <w:rPr>
          <w:rStyle w:val="xeentry"/>
        </w:rPr>
        <w:instrText>went and bought: example</w:instrText>
      </w:r>
      <w:r>
        <w:instrText>"</w:instrText>
      </w:r>
      <w:r>
        <w:rPr>
          <w:rStyle w:val="indexentry"/>
        </w:rPr>
        <w:fldChar w:fldCharType="end"/>
      </w:r>
      <w:r>
        <w:rPr>
          <w:rStyle w:val="indexentry"/>
        </w:rPr>
        <w:t>&lt;lx "pu ge"&gt;</w:t>
      </w:r>
      <w:r>
        <w:rPr>
          <w:rStyle w:val="indexentry"/>
        </w:rPr>
        <w:fldChar w:fldCharType="begin"/>
      </w:r>
      <w:r>
        <w:instrText>xe "</w:instrText>
      </w:r>
      <w:r>
        <w:rPr>
          <w:rStyle w:val="xeentry"/>
        </w:rPr>
        <w:instrText>pu ge</w:instrText>
      </w:r>
      <w:r>
        <w:instrText>"</w:instrText>
      </w:r>
      <w:r>
        <w:rPr>
          <w:rStyle w:val="indexentry"/>
        </w:rPr>
        <w:fldChar w:fldCharType="end"/>
      </w:r>
      <w:r>
        <w:rPr>
          <w:rStyle w:val="htmlcodes"/>
        </w:rPr>
        <w:t>&lt;pre&gt;&lt;a name=e18d15&gt;</w:t>
      </w:r>
      <w:r>
        <w:t>18.15)</w:t>
      </w:r>
      <w:r>
        <w:tab/>
        <w:t>mi pu ge klama le zarci gi tervecnu lo cidja</w:t>
      </w:r>
    </w:p>
    <w:p w:rsidR="00B72047" w:rsidRDefault="00B72047">
      <w:pPr>
        <w:pStyle w:val="examplescaled"/>
      </w:pPr>
      <w:r>
        <w:tab/>
        <w:t>I [past] both go-to the market and buy some food</w:t>
      </w:r>
    </w:p>
    <w:p w:rsidR="00B72047" w:rsidRDefault="00B72047">
      <w:pPr>
        <w:pStyle w:val="examplescaled"/>
      </w:pPr>
      <w:r>
        <w:tab/>
        <w:t>I went to the market and bought some food.</w:t>
      </w:r>
    </w:p>
    <w:p w:rsidR="00B72047" w:rsidRDefault="00B72047">
      <w:pPr>
        <w:pStyle w:val="resumedafterexample"/>
      </w:pPr>
      <w:r>
        <w:rPr>
          <w:rStyle w:val="htmlcodes"/>
        </w:rPr>
        <w:t>&lt;/pre&gt;&lt;a href=#e18d15&gt;</w:t>
      </w:r>
      <w:r>
        <w:t xml:space="preserve">Example 18.15 </w:t>
      </w:r>
      <w:r>
        <w:rPr>
          <w:rStyle w:val="htmlcodes"/>
        </w:rPr>
        <w:t>&lt;/a&gt;</w:t>
      </w:r>
      <w:r>
        <w:t xml:space="preserve">is similar to </w:t>
      </w:r>
      <w:r>
        <w:rPr>
          <w:rStyle w:val="htmlcodes"/>
        </w:rPr>
        <w:t>&lt;a href=#e18d5&gt;</w:t>
      </w:r>
      <w:r>
        <w:t>Example 18.5</w:t>
      </w:r>
      <w:r>
        <w:rPr>
          <w:rStyle w:val="htmlcodes"/>
        </w:rPr>
        <w:t>&lt;/a&gt;</w:t>
      </w:r>
      <w:r>
        <w:t>. There is no time relationship</w:t>
      </w:r>
      <w:r>
        <w:rPr>
          <w:rStyle w:val="deletedparamark"/>
        </w:rPr>
        <w:t xml:space="preserve"> </w:t>
      </w:r>
      <w:r>
        <w:t>specified be</w:t>
      </w:r>
      <w:r>
        <w:softHyphen/>
        <w:t>tween the going and the buying; both are simply set in the past.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name=s19&gt;&lt;h3&gt;</w:t>
      </w:r>
      <w:bookmarkStart w:id="433" w:name="_Toc398970674"/>
      <w:r>
        <w:rPr>
          <w:rStyle w:val="Heading3Text"/>
        </w:rPr>
        <w:t>Abstractor connection and connection within abstractions</w:t>
      </w:r>
      <w:bookmarkEnd w:id="43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of abstractors"&gt;&lt;cx "abstraction, logical connection of"&gt;</w:t>
      </w:r>
      <w:r>
        <w:rPr>
          <w:rStyle w:val="indexentry"/>
        </w:rPr>
        <w:fldChar w:fldCharType="begin"/>
      </w:r>
      <w:r>
        <w:instrText>xe "</w:instrText>
      </w:r>
      <w:r>
        <w:rPr>
          <w:rStyle w:val="xeentry"/>
        </w:rPr>
        <w:instrText>abstraction(s): logical connection of</w:instrText>
      </w:r>
      <w:r>
        <w:instrText>"</w:instrText>
      </w:r>
      <w:r>
        <w:rPr>
          <w:rStyle w:val="indexentry"/>
        </w:rPr>
        <w:fldChar w:fldCharType="end"/>
      </w:r>
      <w:r>
        <w:rPr>
          <w:rStyle w:val="indexentry"/>
        </w:rPr>
        <w:t>&lt;cx "jeks, connecting abstractors"&gt;</w:t>
      </w:r>
      <w:r>
        <w:rPr>
          <w:rStyle w:val="indexentry"/>
        </w:rPr>
        <w:fldChar w:fldCharType="begin"/>
      </w:r>
      <w:r>
        <w:instrText>xe "</w:instrText>
      </w:r>
      <w:r>
        <w:rPr>
          <w:rStyle w:val="xeentry"/>
        </w:rPr>
        <w:instrText>jeks: connecting abstractors</w:instrText>
      </w:r>
      <w:r>
        <w:instrText>"</w:instrText>
      </w:r>
      <w:r>
        <w:rPr>
          <w:rStyle w:val="indexentry"/>
        </w:rPr>
        <w:fldChar w:fldCharType="end"/>
      </w:r>
      <w:r>
        <w:rPr>
          <w:rStyle w:val="indexentry"/>
        </w:rPr>
        <w:t>&lt;lx "NU"&gt;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&lt;lx "JA"&gt;</w:t>
      </w:r>
      <w:r>
        <w:rPr>
          <w:rStyle w:val="indexentry"/>
        </w:rPr>
        <w:fldChar w:fldCharType="begin"/>
      </w:r>
      <w:r>
        <w:instrText>xe "</w:instrText>
      </w:r>
      <w:r>
        <w:rPr>
          <w:rStyle w:val="xeentry"/>
        </w:rPr>
        <w:instrText>JA selma’o</w:instrText>
      </w:r>
      <w:r>
        <w:instrText>"</w:instrText>
      </w:r>
      <w:r>
        <w:rPr>
          <w:rStyle w:val="indexentry"/>
        </w:rPr>
        <w:fldChar w:fldCharType="end"/>
      </w:r>
      <w:r>
        <w:t>Last and (as a matter of fact) least: a logical connective is allowed</w:t>
      </w:r>
      <w:r>
        <w:rPr>
          <w:rStyle w:val="deletedparamark"/>
        </w:rPr>
        <w:t xml:space="preserve"> </w:t>
      </w:r>
      <w:r>
        <w:t>between ab</w:t>
      </w:r>
      <w:r>
        <w:softHyphen/>
        <w:t>strac</w:t>
      </w:r>
      <w:r>
        <w:softHyphen/>
        <w:t>tion markers of selma'o NU. As usual, the connection can be</w:t>
      </w:r>
      <w:r>
        <w:rPr>
          <w:rStyle w:val="deletedparamark"/>
        </w:rPr>
        <w:t xml:space="preserve"> </w:t>
      </w:r>
      <w:r>
        <w:t>expanded to a bridi connec</w:t>
      </w:r>
      <w:r>
        <w:softHyphen/>
        <w:t>tion between two bridi which differ only in</w:t>
      </w:r>
      <w:r>
        <w:rPr>
          <w:rStyle w:val="deletedparamark"/>
        </w:rPr>
        <w:t xml:space="preserve"> </w:t>
      </w:r>
      <w:r>
        <w:t>abstraction marker. Jeks are the ap</w:t>
      </w:r>
      <w:r>
        <w:softHyphen/>
        <w:t xml:space="preserve">propriate connective. </w:t>
      </w:r>
      <w:r>
        <w:rPr>
          <w:rStyle w:val="htmlcodes"/>
        </w:rPr>
        <w:t>&lt;a href=#e19d1&gt;</w:t>
      </w:r>
      <w:r>
        <w:t xml:space="preserve">Example 19.1 </w:t>
      </w:r>
      <w:r>
        <w:rPr>
          <w:rStyle w:val="htmlcodes"/>
        </w:rPr>
        <w:t>&lt;/a&gt;</w:t>
      </w:r>
      <w:r>
        <w:t>and</w:t>
      </w:r>
      <w:r>
        <w:rPr>
          <w:rStyle w:val="deletedparamark"/>
        </w:rPr>
        <w:t xml:space="preserve"> </w:t>
      </w:r>
      <w:r>
        <w:rPr>
          <w:rStyle w:val="htmlcodes"/>
        </w:rPr>
        <w:t>&lt;a href=#e19d2&gt;</w:t>
      </w:r>
      <w:r>
        <w:t xml:space="preserve">Example 19.2 </w:t>
      </w:r>
      <w:r>
        <w:rPr>
          <w:rStyle w:val="htmlcodes"/>
        </w:rPr>
        <w:t>&lt;/a&gt;</w:t>
      </w:r>
      <w:r>
        <w:t>are equivalent in meaning:</w:t>
      </w:r>
    </w:p>
    <w:p w:rsidR="00B72047" w:rsidRDefault="00B72047">
      <w:pPr>
        <w:rPr>
          <w:rStyle w:val="htmlparacode"/>
        </w:rPr>
      </w:pPr>
      <w:r>
        <w:rPr>
          <w:rStyle w:val="htmlparacode"/>
        </w:rPr>
        <w:t>&lt;p&gt;</w:t>
      </w:r>
    </w:p>
    <w:p w:rsidR="00B72047" w:rsidRDefault="00B72047">
      <w:pPr>
        <w:pStyle w:val="examplescaledpre"/>
      </w:pPr>
      <w:r>
        <w:rPr>
          <w:rStyle w:val="indexentry"/>
        </w:rPr>
        <w:t>&lt;ex "quality and quantity"&gt;</w:t>
      </w:r>
      <w:r>
        <w:rPr>
          <w:rStyle w:val="indexentry"/>
        </w:rPr>
        <w:fldChar w:fldCharType="begin"/>
      </w:r>
      <w:r>
        <w:instrText>xe "</w:instrText>
      </w:r>
      <w:r>
        <w:rPr>
          <w:rStyle w:val="xeentry"/>
        </w:rPr>
        <w:instrText>quality and quantity: example</w:instrText>
      </w:r>
      <w:r>
        <w:instrText>"</w:instrText>
      </w:r>
      <w:r>
        <w:rPr>
          <w:rStyle w:val="indexentry"/>
        </w:rPr>
        <w:fldChar w:fldCharType="end"/>
      </w:r>
      <w:r>
        <w:rPr>
          <w:rStyle w:val="htmlcodes"/>
        </w:rPr>
        <w:t>&lt;pre&gt;&lt;a name=e19d1&gt;</w:t>
      </w:r>
      <w:r>
        <w:t>19.1)</w:t>
      </w:r>
      <w:r>
        <w:tab/>
        <w:t xml:space="preserve">le ka la frank. ciska cu xlali  .ije le ni la frank. ciska </w:t>
      </w:r>
    </w:p>
    <w:p w:rsidR="00B72047" w:rsidRDefault="00B72047">
      <w:pPr>
        <w:pStyle w:val="examplescaled"/>
        <w:ind w:firstLine="576"/>
      </w:pPr>
      <w:r>
        <w:t>cu xlali</w:t>
      </w:r>
    </w:p>
    <w:p w:rsidR="00B72047" w:rsidRDefault="00B72047">
      <w:pPr>
        <w:pStyle w:val="examplescaled"/>
      </w:pPr>
      <w:r>
        <w:tab/>
        <w:t xml:space="preserve">The quality-of Frank's writing is bad, and the quantity of Frank's writing </w:t>
      </w:r>
    </w:p>
    <w:p w:rsidR="00B72047" w:rsidRDefault="00B72047">
      <w:pPr>
        <w:pStyle w:val="examplescaled"/>
        <w:ind w:firstLine="576"/>
      </w:pPr>
      <w:r>
        <w:t>is bad.</w:t>
      </w:r>
    </w:p>
    <w:p w:rsidR="00B72047" w:rsidRDefault="00B72047">
      <w:pPr>
        <w:pStyle w:val="examplescaledpre"/>
      </w:pPr>
      <w:r>
        <w:rPr>
          <w:rStyle w:val="htmlcodes"/>
        </w:rPr>
        <w:t>&lt;a name=e19d2&gt;</w:t>
      </w:r>
      <w:r>
        <w:t>19.2)</w:t>
      </w:r>
      <w:r>
        <w:tab/>
        <w:t>le ka je ni la frank. ciska cu xlali</w:t>
      </w:r>
    </w:p>
    <w:p w:rsidR="00B72047" w:rsidRDefault="00B72047">
      <w:pPr>
        <w:pStyle w:val="examplescaled"/>
      </w:pPr>
      <w:r>
        <w:tab/>
        <w:t>The quality and quantity of Frank's writing is bad.</w:t>
      </w:r>
    </w:p>
    <w:p w:rsidR="00B72047" w:rsidRDefault="00B72047">
      <w:pPr>
        <w:pStyle w:val="resumedafterexample"/>
      </w:pPr>
      <w:r>
        <w:rPr>
          <w:rStyle w:val="htmlcodes"/>
        </w:rPr>
        <w:t>&lt;/pre&gt;</w:t>
      </w:r>
      <w:r>
        <w:rPr>
          <w:rStyle w:val="indexentry"/>
        </w:rPr>
        <w:t>&lt;cx "forethought connection, in abstractions"&gt;</w:t>
      </w:r>
      <w:r>
        <w:rPr>
          <w:rStyle w:val="indexentry"/>
        </w:rPr>
        <w:fldChar w:fldCharType="begin"/>
      </w:r>
      <w:r>
        <w:instrText>xe "</w:instrText>
      </w:r>
      <w:r>
        <w:rPr>
          <w:rStyle w:val="xeentry"/>
        </w:rPr>
        <w:instrText>forethought connection: in abstractions</w:instrText>
      </w:r>
      <w:r>
        <w:instrText>"</w:instrText>
      </w:r>
      <w:r>
        <w:rPr>
          <w:rStyle w:val="indexentry"/>
        </w:rPr>
        <w:fldChar w:fldCharType="end"/>
      </w:r>
      <w:r>
        <w:rPr>
          <w:rStyle w:val="indexentry"/>
        </w:rPr>
        <w:t>&lt;cx "abstractions, forethought connection in"&gt;</w:t>
      </w:r>
      <w:r>
        <w:rPr>
          <w:rStyle w:val="indexentry"/>
        </w:rPr>
        <w:fldChar w:fldCharType="begin"/>
      </w:r>
      <w:r>
        <w:instrText>xe "</w:instrText>
      </w:r>
      <w:r>
        <w:rPr>
          <w:rStyle w:val="xeentry"/>
        </w:rPr>
        <w:instrText>abstraction(s): forethought connection in</w:instrText>
      </w:r>
      <w:r>
        <w:instrText>"</w:instrText>
      </w:r>
      <w:r>
        <w:rPr>
          <w:rStyle w:val="indexentry"/>
        </w:rPr>
        <w:fldChar w:fldCharType="end"/>
      </w:r>
      <w:r>
        <w:rPr>
          <w:rStyle w:val="indexentry"/>
        </w:rPr>
        <w:t>&lt;cx "grouping, of connection in abstractions"&gt;</w:t>
      </w:r>
      <w:r>
        <w:rPr>
          <w:rStyle w:val="indexentry"/>
        </w:rPr>
        <w:fldChar w:fldCharType="begin"/>
      </w:r>
      <w:r>
        <w:instrText>xe "</w:instrText>
      </w:r>
      <w:r>
        <w:rPr>
          <w:rStyle w:val="xeentry"/>
        </w:rPr>
        <w:instrText>grouping: of connection in abstractions</w:instrText>
      </w:r>
      <w:r>
        <w:instrText>"</w:instrText>
      </w:r>
      <w:r>
        <w:rPr>
          <w:rStyle w:val="indexentry"/>
        </w:rPr>
        <w:fldChar w:fldCharType="end"/>
      </w:r>
      <w:r>
        <w:rPr>
          <w:rStyle w:val="indexentry"/>
        </w:rPr>
        <w:t>&lt;cx "abstractions, grouping of connectives in"&gt;</w:t>
      </w:r>
      <w:r>
        <w:rPr>
          <w:rStyle w:val="indexentry"/>
        </w:rPr>
        <w:fldChar w:fldCharType="begin"/>
      </w:r>
      <w:r>
        <w:instrText>xe "</w:instrText>
      </w:r>
      <w:r>
        <w:rPr>
          <w:rStyle w:val="xeentry"/>
        </w:rPr>
        <w:instrText>abstraction(s): grouping of connectives in</w:instrText>
      </w:r>
      <w:r>
        <w:instrText>"</w:instrText>
      </w:r>
      <w:r>
        <w:rPr>
          <w:rStyle w:val="indexentry"/>
        </w:rPr>
        <w:fldChar w:fldCharType="end"/>
      </w:r>
      <w:r>
        <w:t>As with tenses and modals, there is no forethought and no way to override</w:t>
      </w:r>
      <w:r>
        <w:rPr>
          <w:rStyle w:val="deletedparamark"/>
        </w:rPr>
        <w:t xml:space="preserve"> </w:t>
      </w:r>
      <w:r>
        <w:t>the left-grouping rule.</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connection in abstractions, inner bridi contrasted with outer bridi"&gt;</w:t>
      </w:r>
      <w:r>
        <w:rPr>
          <w:rStyle w:val="indexentry"/>
        </w:rPr>
        <w:fldChar w:fldCharType="begin"/>
      </w:r>
      <w:r>
        <w:instrText>xe "</w:instrText>
      </w:r>
      <w:r>
        <w:rPr>
          <w:rStyle w:val="xeentry"/>
        </w:rPr>
        <w:instrText>logical connection: in abstraction(s), inner bridi contrasted with outer bridi</w:instrText>
      </w:r>
      <w:r>
        <w:instrText>"</w:instrText>
      </w:r>
      <w:r>
        <w:rPr>
          <w:rStyle w:val="indexentry"/>
        </w:rPr>
        <w:fldChar w:fldCharType="end"/>
      </w:r>
      <w:r>
        <w:rPr>
          <w:rStyle w:val="indexentry"/>
        </w:rPr>
        <w:t>&lt;cx "logical connection inside an abstraction, contrasted with outside"&gt;</w:t>
      </w:r>
      <w:r>
        <w:rPr>
          <w:rStyle w:val="indexentry"/>
        </w:rPr>
        <w:fldChar w:fldCharType="begin"/>
      </w:r>
      <w:r>
        <w:instrText>xe "</w:instrText>
      </w:r>
      <w:r>
        <w:rPr>
          <w:rStyle w:val="xeentry"/>
        </w:rPr>
        <w:instrText>logical connection: inside an abstraction(s), contrasted with outside</w:instrText>
      </w:r>
      <w:r>
        <w:instrText>"</w:instrText>
      </w:r>
      <w:r>
        <w:rPr>
          <w:rStyle w:val="indexentry"/>
        </w:rPr>
        <w:fldChar w:fldCharType="end"/>
      </w:r>
      <w:r>
        <w:t>Logical connectives and abstraction are related in another way as well, though.</w:t>
      </w:r>
      <w:r>
        <w:rPr>
          <w:rStyle w:val="deletedparamark"/>
        </w:rPr>
        <w:t xml:space="preserve"> </w:t>
      </w:r>
      <w:r>
        <w:t>Since an abstraction contains a bridi, the bridi may have a logical connection</w:t>
      </w:r>
      <w:r>
        <w:rPr>
          <w:rStyle w:val="deletedparamark"/>
        </w:rPr>
        <w:t xml:space="preserve"> </w:t>
      </w:r>
      <w:r>
        <w:t>inside it. Is it l</w:t>
      </w:r>
      <w:r>
        <w:t>e</w:t>
      </w:r>
      <w:r>
        <w:softHyphen/>
        <w:t>gitimate to split the outer bridi into two, joined by</w:t>
      </w:r>
      <w:r>
        <w:rPr>
          <w:rStyle w:val="deletedparamark"/>
        </w:rPr>
        <w:t xml:space="preserve"> </w:t>
      </w:r>
      <w:r>
        <w:t>the logical connection? Abso</w:t>
      </w:r>
      <w:r>
        <w:softHyphen/>
        <w:t>lutely not.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"Jupiter life"&gt;</w:t>
      </w:r>
      <w:r>
        <w:rPr>
          <w:rStyle w:val="indexentry"/>
        </w:rPr>
        <w:fldChar w:fldCharType="begin"/>
      </w:r>
      <w:r>
        <w:instrText>xe "</w:instrText>
      </w:r>
      <w:r>
        <w:rPr>
          <w:rStyle w:val="xeentry"/>
        </w:rPr>
        <w:instrText>Jupiter life: example</w:instrText>
      </w:r>
      <w:r>
        <w:instrText>"</w:instrText>
      </w:r>
      <w:r>
        <w:rPr>
          <w:rStyle w:val="indexentry"/>
        </w:rPr>
        <w:fldChar w:fldCharType="end"/>
      </w:r>
      <w:r>
        <w:rPr>
          <w:rStyle w:val="htmlcodes"/>
        </w:rPr>
        <w:t>&lt;pre&gt;&lt;a name=e19d3&gt;</w:t>
      </w:r>
      <w:r>
        <w:t>19.3)</w:t>
      </w:r>
      <w:r>
        <w:tab/>
        <w:t>mi jinvi le du'u loi jmive cu zvati gi'onai na zvati vau la .iupiter.</w:t>
      </w:r>
    </w:p>
    <w:p w:rsidR="00B72047" w:rsidRDefault="00B72047">
      <w:pPr>
        <w:pStyle w:val="examplescaled"/>
      </w:pPr>
      <w:r>
        <w:tab/>
        <w:t>I opine the fact-that a-mass-of living-things (is-at or-else isn't-at) Jupiter.</w:t>
      </w:r>
    </w:p>
    <w:p w:rsidR="00B72047" w:rsidRDefault="00B72047">
      <w:pPr>
        <w:pStyle w:val="examplescaled"/>
      </w:pPr>
      <w:r>
        <w:tab/>
        <w:t>I believe there either is or isn't life on Jupiter.</w:t>
      </w:r>
    </w:p>
    <w:p w:rsidR="00B72047" w:rsidRDefault="00B72047">
      <w:pPr>
        <w:pStyle w:val="resumedafterexample"/>
      </w:pPr>
      <w:r>
        <w:rPr>
          <w:rStyle w:val="htmlcodes"/>
        </w:rPr>
        <w:t>&lt;/pre&gt;</w:t>
      </w:r>
      <w:r>
        <w:t>is true, since the embedded sentence is a tautology, but: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name=e19d4&gt;</w:t>
      </w:r>
      <w:r>
        <w:t>19.4)</w:t>
      </w:r>
      <w:r>
        <w:tab/>
        <w:t>mi jinvi le du'u loi jmive cu zvati la .iupiter.</w:t>
      </w:r>
    </w:p>
    <w:p w:rsidR="00B72047" w:rsidRDefault="00B72047">
      <w:pPr>
        <w:pStyle w:val="examplescaled"/>
      </w:pPr>
      <w:r>
        <w:tab/>
      </w:r>
      <w:r>
        <w:tab/>
        <w:t>.ijonai mi jinvi le du'u loi jmive cu zvati la .iupiter.</w:t>
      </w:r>
    </w:p>
    <w:p w:rsidR="00B72047" w:rsidRDefault="00B72047">
      <w:pPr>
        <w:pStyle w:val="examplescaled"/>
      </w:pPr>
      <w:r>
        <w:tab/>
        <w:t>I opine the fact-that a-mass-of living-things is-at Jupiter</w:t>
      </w:r>
    </w:p>
    <w:p w:rsidR="00B72047" w:rsidRDefault="00B72047">
      <w:pPr>
        <w:pStyle w:val="examplescaled"/>
      </w:pPr>
      <w:r>
        <w:tab/>
      </w:r>
      <w:r>
        <w:tab/>
        <w:t>or-else I opine the fact-that a-mass-of living-things isn't-at Jupiter</w:t>
      </w:r>
    </w:p>
    <w:p w:rsidR="00B72047" w:rsidRDefault="00B72047">
      <w:pPr>
        <w:pStyle w:val="resumedafterexample"/>
      </w:pPr>
      <w:r>
        <w:rPr>
          <w:rStyle w:val="htmlcodes"/>
        </w:rPr>
        <w:t>&lt;/pre&gt;</w:t>
      </w:r>
      <w:r>
        <w:t>is false, since I have no evidence one way or the other (“jinvi” requires some</w:t>
      </w:r>
      <w:r>
        <w:rPr>
          <w:rStyle w:val="deletedparamark"/>
        </w:rPr>
        <w:t xml:space="preserve"> </w:t>
      </w:r>
      <w:r>
        <w:t>sort of ev</w:t>
      </w:r>
      <w:r>
        <w:t>i</w:t>
      </w:r>
      <w:r>
        <w:softHyphen/>
        <w:t>dence, real or fancied, unlike “krici”).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name=s20&gt;&lt;h3&gt;</w:t>
      </w:r>
      <w:bookmarkStart w:id="434" w:name="_Toc398970675"/>
      <w:r>
        <w:rPr>
          <w:rStyle w:val="Heading3Text"/>
        </w:rPr>
        <w:t>Constructs and appropriate connectives</w:t>
      </w:r>
      <w:bookmarkEnd w:id="43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"connectives, table by constructs connected"&gt;</w:t>
      </w:r>
      <w:r>
        <w:rPr>
          <w:rStyle w:val="indexentry"/>
        </w:rPr>
        <w:fldChar w:fldCharType="begin"/>
      </w:r>
      <w:r>
        <w:instrText>xe "</w:instrText>
      </w:r>
      <w:r>
        <w:rPr>
          <w:rStyle w:val="xeentry"/>
        </w:rPr>
        <w:instrText>connectives: table by constructs connected</w:instrText>
      </w:r>
      <w:r>
        <w:instrText>"</w:instrText>
      </w:r>
      <w:r>
        <w:rPr>
          <w:rStyle w:val="indexentry"/>
        </w:rPr>
        <w:fldChar w:fldCharType="end"/>
      </w:r>
      <w:r>
        <w:t>The following table specifies, for each kind of construct that can be</w:t>
      </w:r>
      <w:r>
        <w:rPr>
          <w:rStyle w:val="deletedparamark"/>
        </w:rPr>
        <w:t xml:space="preserve"> </w:t>
      </w:r>
      <w:r>
        <w:t>logically or non-logically connected in Lojban, what kind of connective</w:t>
      </w:r>
      <w:r>
        <w:rPr>
          <w:rStyle w:val="deletedparamark"/>
        </w:rPr>
        <w:t xml:space="preserve"> </w:t>
      </w:r>
      <w:r>
        <w:t>is required for both af</w:t>
      </w:r>
      <w:r>
        <w:softHyphen/>
        <w:t>terthought and (when possible) forethought modes.</w:t>
      </w:r>
      <w:r>
        <w:rPr>
          <w:rStyle w:val="deletedparamark"/>
        </w:rPr>
        <w:t xml:space="preserve"> </w:t>
      </w:r>
      <w:r>
        <w:t>An asterisk (*) indicates that tensed connection is permitted.</w:t>
      </w:r>
    </w:p>
    <w:p w:rsidR="00B72047" w:rsidRDefault="00B72047">
      <w:pPr>
        <w:pStyle w:val="normalparagraph"/>
        <w:rPr>
          <w:rStyle w:val="htmlparacode"/>
        </w:rPr>
      </w:pPr>
      <w:r>
        <w:rPr>
          <w:rStyle w:val="htmlparacode"/>
        </w:rPr>
        <w:t>&lt;p&gt;</w:t>
      </w:r>
    </w:p>
    <w:p w:rsidR="00B72047" w:rsidRDefault="00B72047">
      <w:pPr>
        <w:pStyle w:val="normalparagraph"/>
      </w:pPr>
      <w:r>
        <w:t>A dash indicates that connection of the specified type is not</w:t>
      </w:r>
      <w:r>
        <w:rPr>
          <w:rStyle w:val="deletedparamark"/>
        </w:rPr>
        <w:t xml:space="preserve"> </w:t>
      </w:r>
      <w:r>
        <w:t>possible.</w:t>
      </w:r>
    </w:p>
    <w:p w:rsidR="00B72047" w:rsidRDefault="00B72047">
      <w:pPr>
        <w:pStyle w:val="examp5col"/>
        <w:rPr>
          <w:rStyle w:val="htmlparacode"/>
        </w:rPr>
      </w:pPr>
      <w:r>
        <w:rPr>
          <w:rStyle w:val="htmlparacode"/>
        </w:rPr>
        <w:t>&lt;p&gt;</w:t>
      </w:r>
    </w:p>
    <w:p w:rsidR="00B72047" w:rsidRDefault="00B72047">
      <w:pPr>
        <w:pStyle w:val="examp5colpre"/>
        <w:spacing w:line="200" w:lineRule="exact"/>
      </w:pPr>
      <w:r>
        <w:rPr>
          <w:rStyle w:val="htmlcodes"/>
        </w:rPr>
        <w:t>&lt;pre&gt;</w:t>
      </w:r>
      <w:r>
        <w:t>construct</w:t>
      </w:r>
      <w:r>
        <w:tab/>
        <w:t>afterthought</w:t>
      </w:r>
      <w:r>
        <w:tab/>
        <w:t>forethought</w:t>
      </w:r>
      <w:r>
        <w:tab/>
        <w:t>afterthought</w:t>
      </w:r>
      <w:r>
        <w:tab/>
        <w:t>forethought</w:t>
      </w:r>
    </w:p>
    <w:p w:rsidR="00B72047" w:rsidRDefault="00B72047">
      <w:pPr>
        <w:pStyle w:val="examp5col"/>
        <w:spacing w:line="200" w:lineRule="exact"/>
      </w:pPr>
      <w:r>
        <w:rPr>
          <w:u w:val="single"/>
        </w:rPr>
        <w:tab/>
        <w:t xml:space="preserve">      </w:t>
      </w:r>
      <w:r>
        <w:tab/>
      </w:r>
      <w:r>
        <w:rPr>
          <w:u w:val="single"/>
        </w:rPr>
        <w:t>logical</w:t>
      </w:r>
      <w:r>
        <w:tab/>
      </w:r>
      <w:r>
        <w:rPr>
          <w:u w:val="single"/>
        </w:rPr>
        <w:t>logical</w:t>
      </w:r>
      <w:r>
        <w:tab/>
      </w:r>
      <w:r>
        <w:rPr>
          <w:u w:val="single"/>
        </w:rPr>
        <w:t>non-logical</w:t>
      </w:r>
      <w:r>
        <w:tab/>
      </w:r>
      <w:r>
        <w:rPr>
          <w:u w:val="single"/>
        </w:rPr>
        <w:t>non-logical</w:t>
      </w:r>
    </w:p>
    <w:p w:rsidR="00B72047" w:rsidRDefault="00B72047">
      <w:pPr>
        <w:pStyle w:val="examp5colpre"/>
        <w:spacing w:line="220" w:lineRule="exact"/>
      </w:pPr>
      <w:r>
        <w:t>bridi</w:t>
      </w:r>
      <w:r>
        <w:tab/>
      </w:r>
      <w:r>
        <w:tab/>
        <w:t>ijek*</w:t>
      </w:r>
      <w:r>
        <w:tab/>
        <w:t>gek</w:t>
      </w:r>
      <w:r>
        <w:tab/>
        <w:t>ijoik*</w:t>
      </w:r>
      <w:r>
        <w:tab/>
        <w:t>joigik</w:t>
      </w:r>
    </w:p>
    <w:p w:rsidR="00B72047" w:rsidRDefault="00B72047">
      <w:pPr>
        <w:pStyle w:val="examp5col"/>
        <w:spacing w:line="220" w:lineRule="exact"/>
      </w:pPr>
      <w:r>
        <w:t>sumti</w:t>
      </w:r>
      <w:r>
        <w:tab/>
      </w:r>
      <w:r>
        <w:tab/>
        <w:t>ek*</w:t>
      </w:r>
      <w:r>
        <w:tab/>
        <w:t>gek</w:t>
      </w:r>
      <w:r>
        <w:tab/>
        <w:t>joik*</w:t>
      </w:r>
      <w:r>
        <w:tab/>
        <w:t>joigik</w:t>
      </w:r>
    </w:p>
    <w:p w:rsidR="00B72047" w:rsidRDefault="00B72047">
      <w:pPr>
        <w:pStyle w:val="examp5col"/>
        <w:spacing w:line="220" w:lineRule="exact"/>
      </w:pPr>
      <w:r>
        <w:t>bridi-tails</w:t>
      </w:r>
      <w:r>
        <w:tab/>
        <w:t>gihek*</w:t>
      </w:r>
      <w:r>
        <w:tab/>
        <w:t>gek</w:t>
      </w:r>
      <w:r>
        <w:tab/>
        <w:t>—</w:t>
      </w:r>
      <w:r>
        <w:tab/>
        <w:t>joigik</w:t>
      </w:r>
    </w:p>
    <w:p w:rsidR="00B72047" w:rsidRDefault="00B72047">
      <w:pPr>
        <w:pStyle w:val="examp5col"/>
        <w:spacing w:line="220" w:lineRule="exact"/>
      </w:pPr>
      <w:r>
        <w:t>termsets</w:t>
      </w:r>
      <w:r>
        <w:tab/>
        <w:t>ek*</w:t>
      </w:r>
      <w:r>
        <w:tab/>
        <w:t>gek</w:t>
      </w:r>
      <w:r>
        <w:tab/>
        <w:t>joik*</w:t>
      </w:r>
      <w:r>
        <w:tab/>
        <w:t>joigik</w:t>
      </w:r>
    </w:p>
    <w:p w:rsidR="00B72047" w:rsidRDefault="00B72047">
      <w:pPr>
        <w:pStyle w:val="examp5col"/>
        <w:spacing w:line="220" w:lineRule="exact"/>
      </w:pPr>
      <w:r>
        <w:t>tanru parts</w:t>
      </w:r>
      <w:r>
        <w:tab/>
        <w:t>jek</w:t>
      </w:r>
      <w:r>
        <w:tab/>
        <w:t>guhek</w:t>
      </w:r>
      <w:r>
        <w:tab/>
        <w:t>joik*</w:t>
      </w:r>
      <w:r>
        <w:tab/>
        <w:t>—</w:t>
      </w:r>
    </w:p>
    <w:p w:rsidR="00B72047" w:rsidRDefault="00B72047">
      <w:pPr>
        <w:pStyle w:val="examp5col"/>
        <w:spacing w:line="220" w:lineRule="exact"/>
      </w:pPr>
      <w:r>
        <w:t>operands</w:t>
      </w:r>
      <w:r>
        <w:tab/>
        <w:t>ek*</w:t>
      </w:r>
      <w:r>
        <w:tab/>
        <w:t>gek</w:t>
      </w:r>
      <w:r>
        <w:tab/>
        <w:t>joik*</w:t>
      </w:r>
      <w:r>
        <w:tab/>
        <w:t>joigik</w:t>
      </w:r>
    </w:p>
    <w:p w:rsidR="00B72047" w:rsidRDefault="00B72047">
      <w:pPr>
        <w:pStyle w:val="examp5col"/>
        <w:spacing w:line="220" w:lineRule="exact"/>
      </w:pPr>
      <w:r>
        <w:t>operators</w:t>
      </w:r>
      <w:r>
        <w:tab/>
        <w:t>jek</w:t>
      </w:r>
      <w:r>
        <w:tab/>
        <w:t>guhek</w:t>
      </w:r>
      <w:r>
        <w:tab/>
        <w:t>joik</w:t>
      </w:r>
      <w:r>
        <w:tab/>
        <w:t>—</w:t>
      </w:r>
    </w:p>
    <w:p w:rsidR="00B72047" w:rsidRDefault="00B72047">
      <w:pPr>
        <w:pStyle w:val="examp5col"/>
        <w:spacing w:line="220" w:lineRule="exact"/>
      </w:pPr>
      <w:r>
        <w:t>tenses/modals</w:t>
      </w:r>
      <w:r>
        <w:tab/>
        <w:t>jek</w:t>
      </w:r>
      <w:r>
        <w:tab/>
        <w:t>—</w:t>
      </w:r>
      <w:r>
        <w:tab/>
        <w:t>joik</w:t>
      </w:r>
      <w:r>
        <w:tab/>
        <w:t>—</w:t>
      </w:r>
    </w:p>
    <w:p w:rsidR="00B72047" w:rsidRDefault="00B72047">
      <w:pPr>
        <w:pStyle w:val="examp5col"/>
        <w:spacing w:line="220" w:lineRule="exact"/>
      </w:pPr>
      <w:r>
        <w:t>abstractors</w:t>
      </w:r>
      <w:r>
        <w:tab/>
        <w:t>jek</w:t>
      </w:r>
      <w:r>
        <w:tab/>
        <w:t>—</w:t>
      </w:r>
      <w:r>
        <w:tab/>
        <w:t>joik</w:t>
      </w:r>
      <w:r>
        <w:tab/>
        <w:t>—</w:t>
      </w:r>
    </w:p>
    <w:p w:rsidR="00B72047" w:rsidRDefault="00B72047">
      <w:pPr>
        <w:pStyle w:val="Heading3"/>
        <w:rPr>
          <w:rStyle w:val="Heading3Text"/>
        </w:rPr>
      </w:pPr>
      <w:r>
        <w:rPr>
          <w:rStyle w:val="htmlcodes"/>
        </w:rPr>
        <w:t>&lt;/pre&gt;&lt;a name=s21&gt;&lt;h3&gt;</w:t>
      </w:r>
      <w:bookmarkStart w:id="435" w:name="_Toc398970676"/>
      <w:r>
        <w:rPr>
          <w:rStyle w:val="Heading3Text"/>
        </w:rPr>
        <w:t>Truth functions and corresponding logical connectives</w:t>
      </w:r>
      <w:bookmarkEnd w:id="43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"truth functions, table of logical connectives"&gt;</w:t>
      </w:r>
      <w:r>
        <w:rPr>
          <w:rStyle w:val="indexentry"/>
        </w:rPr>
        <w:fldChar w:fldCharType="begin"/>
      </w:r>
      <w:r>
        <w:instrText>xe "</w:instrText>
      </w:r>
      <w:r>
        <w:rPr>
          <w:rStyle w:val="xeentry"/>
        </w:rPr>
        <w:instrText>truth functions: table of logical connectives</w:instrText>
      </w:r>
      <w:r>
        <w:instrText>"</w:instrText>
      </w:r>
      <w:r>
        <w:rPr>
          <w:rStyle w:val="indexentry"/>
        </w:rPr>
        <w:fldChar w:fldCharType="end"/>
      </w:r>
      <w:r>
        <w:rPr>
          <w:rStyle w:val="indexentry"/>
        </w:rPr>
        <w:t>&lt;cx "logical connectives, table by truth function value"&gt;</w:t>
      </w:r>
      <w:r>
        <w:rPr>
          <w:rStyle w:val="indexentry"/>
        </w:rPr>
        <w:fldChar w:fldCharType="begin"/>
      </w:r>
      <w:r>
        <w:instrText>xe "</w:instrText>
      </w:r>
      <w:r>
        <w:rPr>
          <w:rStyle w:val="xeentry"/>
        </w:rPr>
        <w:instrText>logical connectives: table by truth function value</w:instrText>
      </w:r>
      <w:r>
        <w:instrText>"</w:instrText>
      </w:r>
      <w:r>
        <w:rPr>
          <w:rStyle w:val="indexentry"/>
        </w:rPr>
        <w:fldChar w:fldCharType="end"/>
      </w:r>
      <w:r>
        <w:t>The following table specifies, for each truth function, the most-often used</w:t>
      </w:r>
      <w:r>
        <w:rPr>
          <w:rStyle w:val="deletedparamark"/>
        </w:rPr>
        <w:t xml:space="preserve"> cmavo or </w:t>
      </w:r>
      <w:r>
        <w:t>compound cmavo which expresses it for each of the six types of logical</w:t>
      </w:r>
      <w:r>
        <w:rPr>
          <w:rStyle w:val="deletedparamark"/>
        </w:rPr>
        <w:t xml:space="preserve"> </w:t>
      </w:r>
      <w:r>
        <w:t>connective. (Other compound cmavo are often possible: for example, “se.a”</w:t>
      </w:r>
      <w:r>
        <w:rPr>
          <w:rStyle w:val="deletedparamark"/>
        </w:rPr>
        <w:t xml:space="preserve"> </w:t>
      </w:r>
      <w:r>
        <w:t>means the same as “a”, and could be used instead.)</w:t>
      </w:r>
    </w:p>
    <w:p w:rsidR="00B72047" w:rsidRDefault="00B72047">
      <w:pPr>
        <w:pStyle w:val="examp5col"/>
        <w:rPr>
          <w:rStyle w:val="htmlparacode"/>
          <w:u w:val="single"/>
        </w:rPr>
      </w:pPr>
      <w:r>
        <w:rPr>
          <w:rStyle w:val="htmlparacode"/>
          <w:u w:val="single"/>
        </w:rPr>
        <w:t>&lt;p&gt;</w:t>
      </w:r>
    </w:p>
    <w:p w:rsidR="00B72047" w:rsidRDefault="00B72047">
      <w:pPr>
        <w:pStyle w:val="examp5colpre"/>
      </w:pPr>
      <w:r>
        <w:rPr>
          <w:rStyle w:val="htmlcodes"/>
          <w:u w:val="single"/>
        </w:rPr>
        <w:t>&lt;pre&gt;</w:t>
      </w:r>
      <w:r>
        <w:t>truth</w:t>
      </w:r>
      <w:r>
        <w:tab/>
        <w:t>ek</w:t>
      </w:r>
      <w:r>
        <w:tab/>
        <w:t>jek</w:t>
      </w:r>
      <w:r>
        <w:tab/>
        <w:t>gihek</w:t>
      </w:r>
      <w:r>
        <w:tab/>
        <w:t>gek–gik</w:t>
      </w:r>
      <w:r>
        <w:tab/>
        <w:t>guhek–gik</w:t>
      </w:r>
    </w:p>
    <w:p w:rsidR="00B72047" w:rsidRDefault="00B72047">
      <w:pPr>
        <w:pStyle w:val="examp5colpre"/>
        <w:spacing w:before="80" w:line="220" w:lineRule="exact"/>
        <w:rPr>
          <w:rStyle w:val="deletedparamark"/>
        </w:rPr>
      </w:pPr>
      <w:r>
        <w:t>TTTF</w:t>
      </w:r>
      <w:r>
        <w:tab/>
        <w:t>.a</w:t>
      </w:r>
      <w:r>
        <w:tab/>
        <w:t>ja</w:t>
      </w:r>
      <w:r>
        <w:tab/>
        <w:t>gi'a</w:t>
      </w:r>
      <w:r>
        <w:tab/>
        <w:t>ga–gi</w:t>
      </w:r>
      <w:r>
        <w:tab/>
        <w:t>gu'a–gi</w:t>
      </w:r>
      <w:r>
        <w:rPr>
          <w:rStyle w:val="deletedparamark"/>
        </w:rPr>
        <w:t xml:space="preserve"> </w:t>
      </w:r>
    </w:p>
    <w:p w:rsidR="00B72047" w:rsidRDefault="00B72047">
      <w:pPr>
        <w:pStyle w:val="examp5col"/>
        <w:spacing w:line="220" w:lineRule="exact"/>
        <w:rPr>
          <w:rStyle w:val="deletedparamark"/>
        </w:rPr>
      </w:pPr>
      <w:r>
        <w:t>TTFT</w:t>
      </w:r>
      <w:r>
        <w:tab/>
        <w:t>.anai</w:t>
      </w:r>
      <w:r>
        <w:tab/>
        <w:t>janai</w:t>
      </w:r>
      <w:r>
        <w:tab/>
        <w:t>gi'anai</w:t>
      </w:r>
      <w:r>
        <w:tab/>
        <w:t>ga–ginai</w:t>
      </w:r>
      <w:r>
        <w:tab/>
        <w:t>gu'a–ginai</w:t>
      </w:r>
      <w:r>
        <w:rPr>
          <w:rStyle w:val="deletedparamark"/>
        </w:rPr>
        <w:t xml:space="preserve"> </w:t>
      </w:r>
    </w:p>
    <w:p w:rsidR="00B72047" w:rsidRDefault="00B72047">
      <w:pPr>
        <w:pStyle w:val="examp5col"/>
        <w:spacing w:line="220" w:lineRule="exact"/>
        <w:rPr>
          <w:rStyle w:val="deletedparamark"/>
        </w:rPr>
      </w:pPr>
      <w:r>
        <w:t>TTFF</w:t>
      </w:r>
      <w:r>
        <w:tab/>
        <w:t>.u</w:t>
      </w:r>
      <w:r>
        <w:tab/>
        <w:t>ju</w:t>
      </w:r>
      <w:r>
        <w:tab/>
        <w:t>gi'u</w:t>
      </w:r>
      <w:r>
        <w:tab/>
        <w:t>gu–gi</w:t>
      </w:r>
      <w:r>
        <w:tab/>
        <w:t>gu'u–gi</w:t>
      </w:r>
      <w:r>
        <w:rPr>
          <w:rStyle w:val="deletedparamark"/>
        </w:rPr>
        <w:t xml:space="preserve"> </w:t>
      </w:r>
    </w:p>
    <w:p w:rsidR="00B72047" w:rsidRDefault="00B72047">
      <w:pPr>
        <w:pStyle w:val="examp5col"/>
        <w:spacing w:line="220" w:lineRule="exact"/>
        <w:rPr>
          <w:rStyle w:val="deletedparamark"/>
        </w:rPr>
      </w:pPr>
      <w:r>
        <w:t>TFTT</w:t>
      </w:r>
      <w:r>
        <w:tab/>
        <w:t>na.a</w:t>
      </w:r>
      <w:r>
        <w:tab/>
        <w:t>naja</w:t>
      </w:r>
      <w:r>
        <w:tab/>
        <w:t>nagi'a</w:t>
      </w:r>
      <w:r>
        <w:tab/>
        <w:t>ganai–gi</w:t>
      </w:r>
      <w:r>
        <w:tab/>
        <w:t>gu'anai–gi</w:t>
      </w:r>
      <w:r>
        <w:rPr>
          <w:rStyle w:val="deletedparamark"/>
        </w:rPr>
        <w:t xml:space="preserve"> </w:t>
      </w:r>
    </w:p>
    <w:p w:rsidR="00B72047" w:rsidRDefault="00B72047">
      <w:pPr>
        <w:pStyle w:val="examp5col"/>
        <w:spacing w:line="220" w:lineRule="exact"/>
        <w:rPr>
          <w:rStyle w:val="deletedparamark"/>
        </w:rPr>
      </w:pPr>
      <w:r>
        <w:t>TFTF</w:t>
      </w:r>
      <w:r>
        <w:tab/>
        <w:t>se.u</w:t>
      </w:r>
      <w:r>
        <w:tab/>
        <w:t>seju</w:t>
      </w:r>
      <w:r>
        <w:tab/>
        <w:t>segi'u</w:t>
      </w:r>
      <w:r>
        <w:tab/>
        <w:t>segu–gi</w:t>
      </w:r>
      <w:r>
        <w:tab/>
        <w:t>segu'u–gi</w:t>
      </w:r>
      <w:r>
        <w:rPr>
          <w:rStyle w:val="deletedparamark"/>
        </w:rPr>
        <w:t xml:space="preserve"> </w:t>
      </w:r>
    </w:p>
    <w:p w:rsidR="00B72047" w:rsidRDefault="00B72047">
      <w:pPr>
        <w:pStyle w:val="examp5col"/>
        <w:spacing w:line="220" w:lineRule="exact"/>
        <w:rPr>
          <w:rStyle w:val="deletedparamark"/>
        </w:rPr>
      </w:pPr>
      <w:r>
        <w:t>TFFT</w:t>
      </w:r>
      <w:r>
        <w:tab/>
        <w:t>.o</w:t>
      </w:r>
      <w:r>
        <w:tab/>
        <w:t>jo</w:t>
      </w:r>
      <w:r>
        <w:tab/>
        <w:t>gi'o</w:t>
      </w:r>
      <w:r>
        <w:tab/>
        <w:t>go–gi</w:t>
      </w:r>
      <w:r>
        <w:tab/>
        <w:t>gu'o–gi</w:t>
      </w:r>
      <w:r>
        <w:rPr>
          <w:rStyle w:val="deletedparamark"/>
        </w:rPr>
        <w:t xml:space="preserve"> </w:t>
      </w:r>
    </w:p>
    <w:p w:rsidR="00B72047" w:rsidRDefault="00B72047">
      <w:pPr>
        <w:pStyle w:val="examp5col"/>
        <w:spacing w:line="220" w:lineRule="exact"/>
        <w:rPr>
          <w:rStyle w:val="deletedparamark"/>
        </w:rPr>
      </w:pPr>
      <w:r>
        <w:t>TFFF</w:t>
      </w:r>
      <w:r>
        <w:tab/>
        <w:t>.e</w:t>
      </w:r>
      <w:r>
        <w:tab/>
        <w:t>je</w:t>
      </w:r>
      <w:r>
        <w:tab/>
        <w:t>gi'e</w:t>
      </w:r>
      <w:r>
        <w:tab/>
        <w:t>ge–gi</w:t>
      </w:r>
      <w:r>
        <w:tab/>
        <w:t>gu'e–gi</w:t>
      </w:r>
      <w:r>
        <w:rPr>
          <w:rStyle w:val="deletedparamark"/>
        </w:rPr>
        <w:t xml:space="preserve"> </w:t>
      </w:r>
    </w:p>
    <w:p w:rsidR="00B72047" w:rsidRDefault="00B72047">
      <w:pPr>
        <w:pStyle w:val="examp5col"/>
        <w:spacing w:line="220" w:lineRule="exact"/>
        <w:rPr>
          <w:rStyle w:val="deletedparamark"/>
        </w:rPr>
      </w:pPr>
      <w:r>
        <w:t>FTTT</w:t>
      </w:r>
      <w:r>
        <w:tab/>
        <w:t>na.anai</w:t>
      </w:r>
      <w:r>
        <w:tab/>
        <w:t>najanai</w:t>
      </w:r>
      <w:r>
        <w:tab/>
        <w:t>nagi'anai</w:t>
      </w:r>
      <w:r>
        <w:tab/>
        <w:t>ganai–ginai</w:t>
      </w:r>
      <w:r>
        <w:tab/>
        <w:t>gu'anai–ginai</w:t>
      </w:r>
      <w:r>
        <w:rPr>
          <w:rStyle w:val="deletedparamark"/>
        </w:rPr>
        <w:t xml:space="preserve"> </w:t>
      </w:r>
    </w:p>
    <w:p w:rsidR="00B72047" w:rsidRDefault="00B72047">
      <w:pPr>
        <w:pStyle w:val="examp5col"/>
        <w:spacing w:line="220" w:lineRule="exact"/>
        <w:rPr>
          <w:rStyle w:val="deletedparamark"/>
        </w:rPr>
      </w:pPr>
      <w:r>
        <w:t>FTTF</w:t>
      </w:r>
      <w:r>
        <w:tab/>
        <w:t>.onai</w:t>
      </w:r>
      <w:r>
        <w:tab/>
        <w:t>jonai</w:t>
      </w:r>
      <w:r>
        <w:tab/>
        <w:t>gi'onai</w:t>
      </w:r>
      <w:r>
        <w:tab/>
        <w:t>go–ginai</w:t>
      </w:r>
      <w:r>
        <w:tab/>
        <w:t>gu'o–ginai</w:t>
      </w:r>
      <w:r>
        <w:rPr>
          <w:rStyle w:val="deletedparamark"/>
        </w:rPr>
        <w:t xml:space="preserve"> </w:t>
      </w:r>
    </w:p>
    <w:p w:rsidR="00B72047" w:rsidRDefault="00B72047">
      <w:pPr>
        <w:pStyle w:val="examp5col"/>
        <w:spacing w:line="220" w:lineRule="exact"/>
        <w:rPr>
          <w:rStyle w:val="deletedparamark"/>
        </w:rPr>
      </w:pPr>
      <w:r>
        <w:t>FTFT</w:t>
      </w:r>
      <w:r>
        <w:tab/>
        <w:t>se.unai</w:t>
      </w:r>
      <w:r>
        <w:tab/>
        <w:t>sejunai</w:t>
      </w:r>
      <w:r>
        <w:tab/>
        <w:t>segi'unai</w:t>
      </w:r>
      <w:r>
        <w:tab/>
        <w:t>segu–ginai</w:t>
      </w:r>
      <w:r>
        <w:tab/>
        <w:t>segu'u–ginai</w:t>
      </w:r>
      <w:r>
        <w:rPr>
          <w:rStyle w:val="deletedparamark"/>
        </w:rPr>
        <w:t xml:space="preserve"> </w:t>
      </w:r>
    </w:p>
    <w:p w:rsidR="00B72047" w:rsidRDefault="00B72047">
      <w:pPr>
        <w:pStyle w:val="examp5col"/>
        <w:spacing w:line="220" w:lineRule="exact"/>
        <w:rPr>
          <w:rStyle w:val="deletedparamark"/>
        </w:rPr>
      </w:pPr>
      <w:r>
        <w:t>FTFF</w:t>
      </w:r>
      <w:r>
        <w:tab/>
        <w:t>.enai</w:t>
      </w:r>
      <w:r>
        <w:tab/>
        <w:t>jenai</w:t>
      </w:r>
      <w:r>
        <w:tab/>
        <w:t>gi'enai</w:t>
      </w:r>
      <w:r>
        <w:tab/>
        <w:t>ge–ginai</w:t>
      </w:r>
      <w:r>
        <w:tab/>
        <w:t>gu'e–ginai</w:t>
      </w:r>
      <w:r>
        <w:rPr>
          <w:rStyle w:val="deletedparamark"/>
        </w:rPr>
        <w:t xml:space="preserve"> </w:t>
      </w:r>
    </w:p>
    <w:p w:rsidR="00B72047" w:rsidRDefault="00B72047">
      <w:pPr>
        <w:pStyle w:val="examp5col"/>
        <w:spacing w:line="220" w:lineRule="exact"/>
        <w:rPr>
          <w:rStyle w:val="deletedparamark"/>
        </w:rPr>
      </w:pPr>
      <w:r>
        <w:t>FFTT</w:t>
      </w:r>
      <w:r>
        <w:tab/>
        <w:t>na.u</w:t>
      </w:r>
      <w:r>
        <w:tab/>
        <w:t>naju</w:t>
      </w:r>
      <w:r>
        <w:tab/>
        <w:t>nagi'u</w:t>
      </w:r>
      <w:r>
        <w:tab/>
        <w:t>gunai–gi</w:t>
      </w:r>
      <w:r>
        <w:tab/>
        <w:t>gu'unai–gi</w:t>
      </w:r>
      <w:r>
        <w:rPr>
          <w:rStyle w:val="deletedparamark"/>
        </w:rPr>
        <w:t xml:space="preserve"> </w:t>
      </w:r>
    </w:p>
    <w:p w:rsidR="00B72047" w:rsidRDefault="00B72047">
      <w:pPr>
        <w:pStyle w:val="examp5col"/>
        <w:spacing w:line="220" w:lineRule="exact"/>
        <w:rPr>
          <w:rStyle w:val="deletedparamark"/>
        </w:rPr>
      </w:pPr>
      <w:r>
        <w:t>FFTF</w:t>
      </w:r>
      <w:r>
        <w:tab/>
        <w:t>na.e</w:t>
      </w:r>
      <w:r>
        <w:tab/>
        <w:t>naje</w:t>
      </w:r>
      <w:r>
        <w:tab/>
        <w:t>nagi'e</w:t>
      </w:r>
      <w:r>
        <w:tab/>
        <w:t>genai–gi</w:t>
      </w:r>
      <w:r>
        <w:tab/>
        <w:t>gu'enai–gi</w:t>
      </w:r>
      <w:r>
        <w:rPr>
          <w:rStyle w:val="deletedparamark"/>
        </w:rPr>
        <w:t xml:space="preserve"> </w:t>
      </w:r>
    </w:p>
    <w:p w:rsidR="00B72047" w:rsidRDefault="00B72047">
      <w:pPr>
        <w:pStyle w:val="examp5col"/>
        <w:spacing w:line="220" w:lineRule="exact"/>
      </w:pPr>
      <w:r>
        <w:t>FFFT</w:t>
      </w:r>
      <w:r>
        <w:tab/>
        <w:t>na.enai</w:t>
      </w:r>
      <w:r>
        <w:tab/>
        <w:t>najenai</w:t>
      </w:r>
      <w:r>
        <w:tab/>
        <w:t>nagi'enai</w:t>
      </w:r>
      <w:r>
        <w:tab/>
        <w:t>genai–ginai</w:t>
      </w:r>
      <w:r>
        <w:tab/>
        <w:t>gu'enai–ginai</w:t>
      </w:r>
    </w:p>
    <w:p w:rsidR="00B72047" w:rsidRDefault="00B72047">
      <w:pPr>
        <w:pStyle w:val="resumedafterexample"/>
        <w:spacing w:before="40"/>
      </w:pPr>
      <w:r>
        <w:rPr>
          <w:rStyle w:val="htmlcodes"/>
        </w:rPr>
        <w:t>&lt;/pre&gt;&lt;p&gt;</w:t>
      </w:r>
      <w:r>
        <w:t>Note: Ijeks are exactly the same as the corresponding jeks, except for</w:t>
      </w:r>
      <w:r>
        <w:rPr>
          <w:rStyle w:val="deletedparamark"/>
        </w:rPr>
        <w:t xml:space="preserve"> </w:t>
      </w:r>
      <w:r>
        <w:t>the prefixed “.i”.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name=s22&gt;&lt;h3&gt;</w:t>
      </w:r>
      <w:bookmarkStart w:id="436" w:name="_Toc398970677"/>
      <w:r>
        <w:rPr>
          <w:rStyle w:val="Heading3Text"/>
        </w:rPr>
        <w:t>Rules for making logical and non-logical connectives</w:t>
      </w:r>
      <w:bookmarkEnd w:id="43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syntax rules summary"&gt;</w:t>
      </w:r>
      <w:r>
        <w:rPr>
          <w:rStyle w:val="indexentry"/>
        </w:rPr>
        <w:fldChar w:fldCharType="begin"/>
      </w:r>
      <w:r>
        <w:instrText>xe "</w:instrText>
      </w:r>
      <w:r>
        <w:rPr>
          <w:rStyle w:val="xeentry"/>
        </w:rPr>
        <w:instrText>logical connectives: syntax rules summary</w:instrText>
      </w:r>
      <w:r>
        <w:instrText>"</w:instrText>
      </w:r>
      <w:r>
        <w:rPr>
          <w:rStyle w:val="indexentry"/>
        </w:rPr>
        <w:fldChar w:fldCharType="end"/>
      </w:r>
      <w:r>
        <w:rPr>
          <w:rStyle w:val="indexentry"/>
        </w:rPr>
        <w:t>&lt;cx "non-logical connectives, syntax rules summary"&gt;</w:t>
      </w:r>
      <w:r>
        <w:rPr>
          <w:rStyle w:val="indexentry"/>
        </w:rPr>
        <w:fldChar w:fldCharType="begin"/>
      </w:r>
      <w:r>
        <w:instrText>xe "</w:instrText>
      </w:r>
      <w:r>
        <w:rPr>
          <w:rStyle w:val="xeentry"/>
        </w:rPr>
        <w:instrText>non-logical connectives: syntax rules summary</w:instrText>
      </w:r>
      <w:r>
        <w:instrText>"</w:instrText>
      </w:r>
      <w:r>
        <w:rPr>
          <w:rStyle w:val="indexentry"/>
        </w:rPr>
        <w:fldChar w:fldCharType="end"/>
      </w:r>
      <w:r>
        <w:t>The full set of rules for inserting “na”, “se”, and “nai” into any</w:t>
      </w:r>
      <w:r>
        <w:rPr>
          <w:rStyle w:val="deletedparamark"/>
        </w:rPr>
        <w:t xml:space="preserve"> </w:t>
      </w:r>
      <w:r>
        <w:t>connective is: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nobullets"/>
        <w:numPr>
          <w:ilvl w:val="0"/>
          <w:numId w:val="0"/>
        </w:numPr>
        <w:ind w:left="864" w:hanging="504"/>
      </w:pPr>
      <w:r>
        <w:t>Afterthought logical connectives (eks, jeks, giheks, ijeks):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spacing w:line="220" w:lineRule="exact"/>
        <w:ind w:left="792" w:hanging="432"/>
      </w:pPr>
      <w:r>
        <w:t>Negate first construct:</w:t>
      </w:r>
      <w:r>
        <w:rPr>
          <w:rStyle w:val="htmlcodes"/>
        </w:rPr>
        <w:t>&lt;dl compact&gt;&lt;dt&gt;</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&lt;dd&gt;</w:t>
      </w:r>
      <w:r>
        <w:t>Place “na” before the connective cmavo (but after the “.i” of an ijek).</w:t>
      </w:r>
    </w:p>
    <w:p w:rsidR="00B72047" w:rsidRDefault="00B72047" w:rsidP="007E67C1">
      <w:pPr>
        <w:pStyle w:val="Listjustified"/>
        <w:numPr>
          <w:ilvl w:val="0"/>
          <w:numId w:val="2"/>
        </w:numPr>
        <w:spacing w:before="0" w:line="220" w:lineRule="exact"/>
        <w:ind w:left="792" w:hanging="432"/>
      </w:pPr>
      <w:r>
        <w:rPr>
          <w:rStyle w:val="htmlcodes"/>
          <w:vanish w:val="0"/>
        </w:rPr>
        <w:br w:type="page"/>
      </w:r>
      <w:r>
        <w:rPr>
          <w:rStyle w:val="htmlcodes"/>
        </w:rPr>
        <w:t>&lt;/dl&gt;&lt;p&gt;</w:t>
      </w:r>
      <w:r>
        <w:t>Negate second construct:</w:t>
      </w:r>
      <w:r>
        <w:rPr>
          <w:rStyle w:val="htmlcodes"/>
        </w:rPr>
        <w:t>&lt;dl compact&gt;&lt;dt&gt;</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&lt;dd&gt;</w:t>
      </w:r>
      <w:r>
        <w:t>Place “nai” after the connective cmavo.</w:t>
      </w:r>
    </w:p>
    <w:p w:rsidR="00B72047" w:rsidRDefault="00B72047" w:rsidP="007E67C1">
      <w:pPr>
        <w:pStyle w:val="Listjustified"/>
        <w:numPr>
          <w:ilvl w:val="0"/>
          <w:numId w:val="2"/>
        </w:numPr>
        <w:spacing w:line="220" w:lineRule="exact"/>
        <w:ind w:left="792" w:hanging="432"/>
      </w:pPr>
      <w:r>
        <w:rPr>
          <w:rStyle w:val="htmlcodes"/>
        </w:rPr>
        <w:t>&lt;/dl&gt;&lt;p&gt;</w:t>
      </w:r>
      <w:r>
        <w:t>Exchange constructs:</w:t>
      </w:r>
      <w:r>
        <w:rPr>
          <w:rStyle w:val="deletedparamark"/>
        </w:rPr>
        <w:t xml:space="preserve"> </w:t>
      </w:r>
      <w:r>
        <w:rPr>
          <w:rStyle w:val="htmlcodes"/>
        </w:rPr>
        <w:t>&lt;dl compact&gt;&lt;dt&gt;</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&lt;dd&gt;</w:t>
      </w:r>
      <w:r>
        <w:t>Place “se” before the connective cmavo (after “na” if any).</w:t>
      </w:r>
    </w:p>
    <w:p w:rsidR="00B72047" w:rsidRDefault="00B72047" w:rsidP="007E67C1">
      <w:pPr>
        <w:pStyle w:val="Listnobullets"/>
        <w:numPr>
          <w:ilvl w:val="0"/>
          <w:numId w:val="0"/>
        </w:numPr>
        <w:ind w:left="864" w:hanging="504"/>
      </w:pPr>
      <w:r>
        <w:rPr>
          <w:rStyle w:val="htmlcodes"/>
        </w:rPr>
        <w:t>&lt;/dl&gt;&lt;p&gt;</w:t>
      </w:r>
      <w:r>
        <w:t>Forethought logical connectives (geks, guheks):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spacing w:line="220" w:lineRule="exact"/>
        <w:ind w:left="792" w:hanging="432"/>
      </w:pPr>
      <w:r>
        <w:t>Negate first construct:</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&lt;dl compact&gt;&lt;dt&gt;&lt;dd&gt;</w:t>
      </w:r>
      <w:r>
        <w:t>Place “nai” after the connective cmavo.</w:t>
      </w:r>
    </w:p>
    <w:p w:rsidR="00B72047" w:rsidRDefault="00B72047" w:rsidP="007E67C1">
      <w:pPr>
        <w:pStyle w:val="Listjustified"/>
        <w:numPr>
          <w:ilvl w:val="0"/>
          <w:numId w:val="2"/>
        </w:numPr>
        <w:spacing w:line="220" w:lineRule="exact"/>
        <w:ind w:left="792" w:hanging="432"/>
      </w:pPr>
      <w:r>
        <w:rPr>
          <w:rStyle w:val="htmlcodes"/>
        </w:rPr>
        <w:t>&lt;/dl&gt;&lt;p&gt;</w:t>
      </w:r>
      <w:r>
        <w:t>Negate second construct:</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&lt;dl compact&gt;&lt;dt&gt;&lt;dd&gt;</w:t>
      </w:r>
      <w:r>
        <w:t>Place “nai” after the “gi”.</w:t>
      </w:r>
    </w:p>
    <w:p w:rsidR="00B72047" w:rsidRDefault="00B72047" w:rsidP="007E67C1">
      <w:pPr>
        <w:pStyle w:val="Listjustified"/>
        <w:numPr>
          <w:ilvl w:val="0"/>
          <w:numId w:val="2"/>
        </w:numPr>
        <w:spacing w:line="220" w:lineRule="exact"/>
        <w:ind w:left="792" w:hanging="432"/>
      </w:pPr>
      <w:r>
        <w:rPr>
          <w:rStyle w:val="htmlcodes"/>
        </w:rPr>
        <w:t>&lt;/dl&gt;&lt;p&gt;</w:t>
      </w:r>
      <w:r>
        <w:t>Exchange constructs:</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&lt;dl compact&gt;&lt;dt&gt;&lt;dd&gt;</w:t>
      </w:r>
      <w:r>
        <w:t>Place “se” before the connective cmavo.</w:t>
      </w:r>
    </w:p>
    <w:p w:rsidR="00B72047" w:rsidRDefault="00B72047" w:rsidP="007E67C1">
      <w:pPr>
        <w:pStyle w:val="Listnobullets"/>
        <w:numPr>
          <w:ilvl w:val="0"/>
          <w:numId w:val="0"/>
        </w:numPr>
        <w:ind w:left="864" w:hanging="504"/>
      </w:pPr>
      <w:r>
        <w:rPr>
          <w:rStyle w:val="htmlcodes"/>
        </w:rPr>
        <w:t>&lt;/dl&gt;&lt;p&gt;</w:t>
      </w:r>
      <w:r>
        <w:t>Non-logical connectives (joiks, joigiks):</w:t>
      </w:r>
    </w:p>
    <w:p w:rsidR="00B72047" w:rsidRDefault="00B72047" w:rsidP="007E67C1">
      <w:pPr>
        <w:pStyle w:val="Listjustified"/>
        <w:numPr>
          <w:ilvl w:val="0"/>
          <w:numId w:val="2"/>
        </w:numPr>
        <w:spacing w:line="220" w:lineRule="exact"/>
        <w:ind w:left="792" w:hanging="432"/>
        <w:rPr>
          <w:rStyle w:val="htmlparacode"/>
        </w:rPr>
      </w:pPr>
      <w:r>
        <w:rPr>
          <w:rStyle w:val="htmlparacode"/>
        </w:rPr>
        <w:t>&lt;p&gt;</w:t>
      </w:r>
    </w:p>
    <w:p w:rsidR="00B72047" w:rsidRDefault="00B72047" w:rsidP="007E67C1">
      <w:pPr>
        <w:pStyle w:val="Listjustified"/>
        <w:numPr>
          <w:ilvl w:val="0"/>
          <w:numId w:val="2"/>
        </w:numPr>
        <w:spacing w:line="220" w:lineRule="exact"/>
        <w:ind w:left="792" w:hanging="432"/>
      </w:pPr>
      <w:r>
        <w:t>Negate connection:</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&lt;dl compact&gt;&lt;dt&gt;&lt;dd&gt;</w:t>
      </w:r>
      <w:r>
        <w:t>Place “nai” after the connective cmavo (but before the “gi” of a joigik).</w:t>
      </w:r>
    </w:p>
    <w:p w:rsidR="00B72047" w:rsidRDefault="00B72047" w:rsidP="007E67C1">
      <w:pPr>
        <w:pStyle w:val="Listjustified"/>
        <w:numPr>
          <w:ilvl w:val="0"/>
          <w:numId w:val="2"/>
        </w:numPr>
        <w:spacing w:line="220" w:lineRule="exact"/>
        <w:ind w:left="792" w:hanging="432"/>
      </w:pPr>
      <w:r>
        <w:rPr>
          <w:rStyle w:val="htmlcodes"/>
        </w:rPr>
        <w:t>&lt;/dl&gt;&lt;p&gt;</w:t>
      </w:r>
      <w:r>
        <w:t>Exchange constructs:</w:t>
      </w:r>
    </w:p>
    <w:p w:rsidR="00B72047" w:rsidRDefault="00B72047" w:rsidP="007E67C1">
      <w:pPr>
        <w:pStyle w:val="listjustcont"/>
        <w:numPr>
          <w:ilvl w:val="0"/>
          <w:numId w:val="0"/>
        </w:numPr>
        <w:spacing w:line="220" w:lineRule="exact"/>
        <w:ind w:left="792" w:hanging="432"/>
      </w:pPr>
      <w:r>
        <w:rPr>
          <w:rStyle w:val="htmlcodes"/>
          <w:vanish w:val="0"/>
        </w:rPr>
        <w:tab/>
      </w:r>
      <w:r>
        <w:rPr>
          <w:rStyle w:val="htmlcodes"/>
          <w:vanish w:val="0"/>
        </w:rPr>
        <w:tab/>
      </w:r>
      <w:r>
        <w:rPr>
          <w:rStyle w:val="htmlcodes"/>
        </w:rPr>
        <w:t>&lt;dl compact&gt;&lt;dt&gt;&lt;dd&gt;</w:t>
      </w:r>
      <w:r>
        <w:t>Place “se” before the connective cmavo.</w:t>
      </w:r>
    </w:p>
    <w:p w:rsidR="00B72047" w:rsidRDefault="00B72047">
      <w:pPr>
        <w:pStyle w:val="Heading3"/>
        <w:rPr>
          <w:rStyle w:val="Heading3Text"/>
        </w:rPr>
      </w:pPr>
      <w:r>
        <w:rPr>
          <w:rStyle w:val="htmlcodes"/>
        </w:rPr>
        <w:t>&lt;/dl&gt;&lt;a name=s23&gt;&lt;h3&gt;</w:t>
      </w:r>
      <w:bookmarkStart w:id="437" w:name="_Toc398970678"/>
      <w:r>
        <w:rPr>
          <w:rStyle w:val="Heading3Text"/>
        </w:rPr>
        <w:t>Locations of other tables</w:t>
      </w:r>
      <w:bookmarkEnd w:id="437"/>
      <w:r>
        <w:rPr>
          <w:rStyle w:val="htmlcodes"/>
        </w:rPr>
        <w:t>&lt;/h3&gt;</w:t>
      </w:r>
    </w:p>
    <w:p w:rsidR="00B72047" w:rsidRDefault="00B72047">
      <w:pPr>
        <w:rPr>
          <w:rStyle w:val="htmlparacode"/>
        </w:rPr>
      </w:pPr>
      <w:r>
        <w:rPr>
          <w:rStyle w:val="htmlparacode"/>
        </w:rPr>
        <w:t>&lt;p&gt;</w:t>
      </w:r>
    </w:p>
    <w:p w:rsidR="00B72047" w:rsidRDefault="00B72047">
      <w:pPr>
        <w:pStyle w:val="normalparagraph"/>
        <w:spacing w:line="220" w:lineRule="exact"/>
      </w:pPr>
      <w:r>
        <w:rPr>
          <w:rStyle w:val="htmlcodes"/>
        </w:rPr>
        <w:t>&lt;a href=#s1&gt;</w:t>
      </w:r>
      <w:r>
        <w:t>Section 1</w:t>
      </w:r>
      <w:r>
        <w:rPr>
          <w:rStyle w:val="htmlcodes"/>
        </w:rPr>
        <w:t>&lt;/a&gt;</w:t>
      </w:r>
      <w:r>
        <w:t>:  a table explaining the meaning of each truth function in English.</w:t>
      </w:r>
    </w:p>
    <w:p w:rsidR="00B72047" w:rsidRDefault="00B72047">
      <w:pPr>
        <w:pStyle w:val="normalparagraph"/>
        <w:spacing w:line="220" w:lineRule="exact"/>
        <w:rPr>
          <w:rStyle w:val="htmlparacode"/>
        </w:rPr>
      </w:pPr>
      <w:r>
        <w:rPr>
          <w:rStyle w:val="htmlparacode"/>
        </w:rPr>
        <w:t>&lt;p&gt;</w:t>
      </w:r>
    </w:p>
    <w:p w:rsidR="00B72047" w:rsidRDefault="00B72047">
      <w:pPr>
        <w:pStyle w:val="normalparagraph"/>
        <w:spacing w:before="0" w:line="220" w:lineRule="exact"/>
      </w:pPr>
      <w:r>
        <w:rPr>
          <w:rStyle w:val="htmlcodes"/>
        </w:rPr>
        <w:t>&lt;a href=#s2&gt;</w:t>
      </w:r>
      <w:r>
        <w:t>Section 2</w:t>
      </w:r>
      <w:r>
        <w:rPr>
          <w:rStyle w:val="htmlcodes"/>
        </w:rPr>
        <w:t>&lt;/a&gt;</w:t>
      </w:r>
      <w:r>
        <w:t>:  a table relating the truth functions to the four basic vowels.</w:t>
      </w:r>
    </w:p>
    <w:p w:rsidR="00B72047" w:rsidRDefault="00B72047">
      <w:pPr>
        <w:pStyle w:val="normalparagraph"/>
        <w:spacing w:before="0" w:line="220" w:lineRule="exact"/>
        <w:rPr>
          <w:rStyle w:val="htmlparacode"/>
        </w:rPr>
      </w:pPr>
      <w:r>
        <w:rPr>
          <w:rStyle w:val="htmlparacode"/>
        </w:rPr>
        <w:t>&lt;p&gt;</w:t>
      </w:r>
    </w:p>
    <w:p w:rsidR="00B72047" w:rsidRDefault="00B72047">
      <w:pPr>
        <w:pStyle w:val="normalparagraph"/>
        <w:spacing w:before="0" w:line="220" w:lineRule="exact"/>
      </w:pPr>
      <w:r>
        <w:rPr>
          <w:rStyle w:val="htmlcodes"/>
        </w:rPr>
        <w:t>&lt;a href=#s13&gt;</w:t>
      </w:r>
      <w:r>
        <w:t>Section 13</w:t>
      </w:r>
      <w:r>
        <w:rPr>
          <w:rStyle w:val="htmlcodes"/>
        </w:rPr>
        <w:t>&lt;/a&gt;</w:t>
      </w:r>
      <w:r>
        <w:t>:  a table of the connective question cmavo.</w:t>
      </w:r>
    </w:p>
    <w:p w:rsidR="00B72047" w:rsidRDefault="00B72047">
      <w:pPr>
        <w:pStyle w:val="normalparagraph"/>
        <w:rPr>
          <w:rStyle w:val="htmlparacode"/>
        </w:rPr>
      </w:pPr>
      <w:r>
        <w:rPr>
          <w:rStyle w:val="htmlparacode"/>
        </w:rPr>
        <w:t>&lt;p&gt;</w:t>
      </w:r>
    </w:p>
    <w:p w:rsidR="00B72047" w:rsidRDefault="00B72047">
      <w:pPr>
        <w:pStyle w:val="normalparagraph"/>
        <w:spacing w:before="0" w:line="220" w:lineRule="exact"/>
      </w:pPr>
      <w:r>
        <w:rPr>
          <w:rStyle w:val="htmlcodes"/>
        </w:rPr>
        <w:t>&lt;a href=#s14&gt;</w:t>
      </w:r>
      <w:r>
        <w:t>Section 14</w:t>
      </w:r>
      <w:r>
        <w:rPr>
          <w:rStyle w:val="htmlcodes"/>
        </w:rPr>
        <w:t>&lt;/a&gt;</w:t>
      </w:r>
      <w:r>
        <w:t>:  a table of the meanings of JOI cmavo when used to connect sumti.</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codes"/>
        </w:rPr>
        <w:t>&lt;p&gt;</w:t>
      </w:r>
    </w:p>
    <w:p w:rsidR="00B72047" w:rsidRDefault="00B72047">
      <w:pPr>
        <w:pStyle w:val="normalparagraph"/>
        <w:rPr>
          <w:rStyle w:val="htmlcodes"/>
        </w:rPr>
      </w:pPr>
      <w:r>
        <w:rPr>
          <w:rStyle w:val="htmlcodes"/>
        </w:rPr>
        <w:t>&lt;/body&gt;&lt;/html&gt;</w:t>
      </w:r>
    </w:p>
    <w:p w:rsidR="00B72047" w:rsidRDefault="00B72047">
      <w:pPr>
        <w:pStyle w:val="normalparagraph"/>
        <w:rPr>
          <w:rStyle w:val="htmlcodes"/>
        </w:rPr>
      </w:pPr>
      <w:r>
        <w:rPr>
          <w:rStyle w:val="htmlcodes"/>
        </w:rPr>
        <w:t>&lt;center&gt;&lt;p align=center&gt;</w:t>
      </w:r>
    </w:p>
    <w:p w:rsidR="00B72047" w:rsidRDefault="00B72047">
      <w:pPr>
        <w:pStyle w:val="normalparagraph"/>
        <w:rPr>
          <w:rStyle w:val="htmlcodes"/>
        </w:rPr>
      </w:pPr>
      <w:r>
        <w:rPr>
          <w:rStyle w:val="htmlcodes"/>
        </w:rPr>
        <w:t>&lt;img src=chap15.gif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39" type="#_x0000_t75" style="width:356.25pt;height:547.5pt">
            <v:imagedata r:id="rId35" o:title="" croptop="-26474f" cropbottom="-26474f" cropleft="-6323f" cropright="-6323f"/>
          </v:shape>
        </w:pict>
      </w:r>
    </w:p>
    <w:p w:rsidR="00B72047" w:rsidRDefault="00B72047">
      <w:pPr>
        <w:pStyle w:val="Heading2"/>
      </w:pPr>
      <w:r>
        <w:rPr>
          <w:rStyle w:val="htmlcodes"/>
        </w:rPr>
        <w:t>&lt;h2&gt;</w:t>
      </w:r>
      <w:bookmarkStart w:id="438" w:name="_Toc395684427"/>
      <w:bookmarkStart w:id="439" w:name="_Toc398970679"/>
      <w:r>
        <w:t>Chapter 15</w:t>
      </w:r>
      <w:bookmarkEnd w:id="438"/>
      <w:bookmarkEnd w:id="439"/>
    </w:p>
    <w:p w:rsidR="00B72047" w:rsidRDefault="00B72047">
      <w:pPr>
        <w:pStyle w:val="Heading2"/>
        <w:rPr>
          <w:rStyle w:val="htmlcodes"/>
        </w:rPr>
      </w:pPr>
      <w:r>
        <w:rPr>
          <w:rStyle w:val="htmlcodes"/>
        </w:rPr>
        <w:t>&lt;br&gt;</w:t>
      </w:r>
    </w:p>
    <w:p w:rsidR="00B72047" w:rsidRDefault="00B72047">
      <w:pPr>
        <w:pStyle w:val="Heading2"/>
      </w:pPr>
      <w:bookmarkStart w:id="440" w:name="_Toc398970680"/>
      <w:r>
        <w:t>“No” Problems: On Lojban Negation</w:t>
      </w:r>
      <w:bookmarkEnd w:id="440"/>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441" w:name="_Toc398970681"/>
      <w:r>
        <w:rPr>
          <w:rStyle w:val="Heading3Text"/>
        </w:rPr>
        <w:t>Introductory</w:t>
      </w:r>
      <w:bookmarkEnd w:id="44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grammatical expression of negation is a critical part of Lojban's claim</w:t>
      </w:r>
      <w:r>
        <w:rPr>
          <w:rStyle w:val="deletedparamark"/>
        </w:rPr>
        <w:t xml:space="preserve"> </w:t>
      </w:r>
      <w:r>
        <w:t>to being logical. The problem of negation, simply put, is to come up with a</w:t>
      </w:r>
      <w:r>
        <w:rPr>
          <w:rStyle w:val="deletedparamark"/>
        </w:rPr>
        <w:t xml:space="preserve"> </w:t>
      </w:r>
      <w:r>
        <w:t>complete defi</w:t>
      </w:r>
      <w:r>
        <w:softHyphen/>
        <w:t>nition of the word “not”. For Lojban's unambiguous grammar,</w:t>
      </w:r>
      <w:r>
        <w:rPr>
          <w:rStyle w:val="deletedparamark"/>
        </w:rPr>
        <w:t xml:space="preserve"> </w:t>
      </w:r>
      <w:r>
        <w:t>this means further that meanings of “not” with different grammatical effect</w:t>
      </w:r>
      <w:r>
        <w:rPr>
          <w:rStyle w:val="deletedparamark"/>
        </w:rPr>
        <w:t xml:space="preserve"> </w:t>
      </w:r>
      <w:r>
        <w:t>must be different words, and even different grammatical structures.</w:t>
      </w:r>
    </w:p>
    <w:p w:rsidR="00B72047" w:rsidRDefault="00B72047">
      <w:pPr>
        <w:pStyle w:val="normalparagraph"/>
        <w:rPr>
          <w:rStyle w:val="htmlparacode"/>
        </w:rPr>
      </w:pPr>
      <w:r>
        <w:rPr>
          <w:rStyle w:val="htmlparacode"/>
        </w:rPr>
        <w:t>&lt;p&gt;</w:t>
      </w:r>
    </w:p>
    <w:p w:rsidR="00B72047" w:rsidRDefault="00B72047">
      <w:pPr>
        <w:pStyle w:val="normalparagraph"/>
      </w:pPr>
      <w:r>
        <w:t>Logical assertions are implicitly required in a logical language; thus,</w:t>
      </w:r>
      <w:r>
        <w:rPr>
          <w:rStyle w:val="deletedparamark"/>
        </w:rPr>
        <w:t xml:space="preserve"> </w:t>
      </w:r>
      <w:r>
        <w:t>an appa</w:t>
      </w:r>
      <w:r>
        <w:softHyphen/>
        <w:t>ratus for expressing them is built into Lojban's logical connectives</w:t>
      </w:r>
      <w:r>
        <w:rPr>
          <w:rStyle w:val="deletedparamark"/>
        </w:rPr>
        <w:t xml:space="preserve"> </w:t>
      </w:r>
      <w:r>
        <w:t>and other structures.</w:t>
      </w:r>
    </w:p>
    <w:p w:rsidR="00B72047" w:rsidRDefault="00B72047">
      <w:pPr>
        <w:pStyle w:val="normalparagraph"/>
        <w:rPr>
          <w:rStyle w:val="htmlparacode"/>
        </w:rPr>
      </w:pPr>
      <w:r>
        <w:rPr>
          <w:rStyle w:val="htmlparacode"/>
        </w:rPr>
        <w:t>&lt;p&gt;</w:t>
      </w:r>
    </w:p>
    <w:p w:rsidR="00B72047" w:rsidRDefault="00B72047">
      <w:pPr>
        <w:pStyle w:val="normalparagraph"/>
      </w:pPr>
      <w:r>
        <w:t>In natural languages, especially those of Indo-European grammar, we</w:t>
      </w:r>
      <w:r>
        <w:rPr>
          <w:rStyle w:val="deletedparamark"/>
        </w:rPr>
        <w:t xml:space="preserve"> </w:t>
      </w:r>
      <w:r>
        <w:t>have sentences composed of two parts which are typically called “subject”</w:t>
      </w:r>
      <w:r>
        <w:rPr>
          <w:rStyle w:val="deletedparamark"/>
        </w:rPr>
        <w:t xml:space="preserve"> </w:t>
      </w:r>
      <w:r>
        <w:t>and “predicate”. In the stat</w:t>
      </w:r>
      <w:r>
        <w:t>e</w:t>
      </w:r>
      <w:r>
        <w:softHyphen/>
        <w:t>ment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t>John goes to the store</w:t>
      </w:r>
    </w:p>
    <w:p w:rsidR="00B72047" w:rsidRDefault="00B72047">
      <w:pPr>
        <w:pStyle w:val="resumedafterexample"/>
      </w:pPr>
      <w:r>
        <w:rPr>
          <w:rStyle w:val="htmlcodes"/>
        </w:rPr>
        <w:t>&lt;/pre&gt;</w:t>
      </w:r>
      <w:r>
        <w:t>“John” is the subject, and “goes to the store” is the predicate. Negating</w:t>
      </w:r>
      <w:r>
        <w:rPr>
          <w:rStyle w:val="deletedparamark"/>
        </w:rPr>
        <w:t xml:space="preserve"> </w:t>
      </w:r>
      <w:r>
        <w:rPr>
          <w:rStyle w:val="htmlcodes"/>
        </w:rPr>
        <w:t>&lt;a href=#e1d1&gt;</w:t>
      </w:r>
      <w:r>
        <w:t xml:space="preserve">Example 1.1 </w:t>
      </w:r>
      <w:r>
        <w:rPr>
          <w:rStyle w:val="htmlcodes"/>
        </w:rPr>
        <w:t>&lt;/a&gt;</w:t>
      </w:r>
      <w:r>
        <w:t>to 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name=e1d2&gt;</w:t>
      </w:r>
      <w:r>
        <w:t>1.2)</w:t>
      </w:r>
      <w:r>
        <w:tab/>
        <w:t>John doesn't go to the store.</w:t>
      </w:r>
    </w:p>
    <w:p w:rsidR="00B72047" w:rsidRDefault="00B72047">
      <w:pPr>
        <w:pStyle w:val="resumedafterexample"/>
      </w:pPr>
      <w:r>
        <w:rPr>
          <w:rStyle w:val="htmlcodes"/>
        </w:rPr>
        <w:t>&lt;/pre&gt;</w:t>
      </w:r>
      <w:r>
        <w:t>has the effect of declaring that the predicate does not hold for the subject.</w:t>
      </w:r>
      <w:r>
        <w:rPr>
          <w:rStyle w:val="deletedparamark"/>
        </w:rPr>
        <w:t xml:space="preserve"> </w:t>
      </w:r>
      <w:r>
        <w:rPr>
          <w:rStyle w:val="htmlcodes"/>
        </w:rPr>
        <w:t>&lt;a href=#e1d2&gt;</w:t>
      </w:r>
      <w:r>
        <w:t xml:space="preserve">Example 1.2 </w:t>
      </w:r>
      <w:r>
        <w:rPr>
          <w:rStyle w:val="htmlcodes"/>
        </w:rPr>
        <w:t>&lt;/a&gt;</w:t>
      </w:r>
      <w:r>
        <w:t>says nothing about whether John goes somewhere else, or whether</w:t>
      </w:r>
      <w:r>
        <w:rPr>
          <w:rStyle w:val="deletedparamark"/>
        </w:rPr>
        <w:t xml:space="preserve"> </w:t>
      </w:r>
      <w:r>
        <w:t>someone else besides John goes to the store.</w:t>
      </w:r>
    </w:p>
    <w:p w:rsidR="00B72047" w:rsidRDefault="00B72047">
      <w:pPr>
        <w:rPr>
          <w:rStyle w:val="htmlparacode"/>
        </w:rPr>
      </w:pPr>
      <w:r>
        <w:rPr>
          <w:rStyle w:val="htmlparacode"/>
        </w:rPr>
        <w:t>&lt;p&gt;</w:t>
      </w:r>
    </w:p>
    <w:p w:rsidR="00B72047" w:rsidRDefault="00B72047">
      <w:pPr>
        <w:pStyle w:val="normalparagraph"/>
      </w:pPr>
      <w:r>
        <w:t>We will call this kind of negation “natural language negation”. This kind</w:t>
      </w:r>
      <w:r>
        <w:rPr>
          <w:rStyle w:val="deletedparamark"/>
        </w:rPr>
        <w:t xml:space="preserve"> </w:t>
      </w:r>
      <w:r>
        <w:t>of negation is difficult to manipulate by the tools of logic, because it</w:t>
      </w:r>
      <w:r>
        <w:rPr>
          <w:rStyle w:val="deletedparamark"/>
        </w:rPr>
        <w:t xml:space="preserve"> </w:t>
      </w:r>
      <w:r>
        <w:t>doesn't always follow the rules of logic. Logical negation is bi-polar:</w:t>
      </w:r>
      <w:r>
        <w:rPr>
          <w:rStyle w:val="deletedparamark"/>
        </w:rPr>
        <w:t xml:space="preserve"> </w:t>
      </w:r>
      <w:r>
        <w:t>either a statement is true, or it is false. If a stat</w:t>
      </w:r>
      <w:r>
        <w:t>e</w:t>
      </w:r>
      <w:r>
        <w:softHyphen/>
        <w:t>ment is false, then</w:t>
      </w:r>
      <w:r>
        <w:rPr>
          <w:rStyle w:val="deletedparamark"/>
        </w:rPr>
        <w:t xml:space="preserve"> </w:t>
      </w:r>
      <w:r>
        <w:t>its negation must be true. Such negation is termed contradic</w:t>
      </w:r>
      <w:r>
        <w:softHyphen/>
        <w:t>tory neg</w:t>
      </w:r>
      <w:r>
        <w:t>a</w:t>
      </w:r>
      <w:r>
        <w:softHyphen/>
        <w:t>tion.</w:t>
      </w:r>
    </w:p>
    <w:p w:rsidR="00B72047" w:rsidRDefault="00B72047">
      <w:pPr>
        <w:pStyle w:val="normalparagraph"/>
        <w:rPr>
          <w:rStyle w:val="htmlparacode"/>
        </w:rPr>
      </w:pPr>
      <w:r>
        <w:rPr>
          <w:rStyle w:val="htmlparacode"/>
        </w:rPr>
        <w:t>&lt;p&gt;</w:t>
      </w:r>
    </w:p>
    <w:p w:rsidR="00B72047" w:rsidRDefault="00B72047">
      <w:pPr>
        <w:pStyle w:val="normalparagraph"/>
      </w:pPr>
      <w:r>
        <w:t>Let's look at some examples of how natural language negation can violate</w:t>
      </w:r>
      <w:r>
        <w:rPr>
          <w:rStyle w:val="deletedparamark"/>
        </w:rPr>
        <w:t xml:space="preserve"> </w:t>
      </w:r>
      <w:r>
        <w:t>the rules of contradictory negation.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name=e1d3&gt;</w:t>
      </w:r>
      <w:r>
        <w:t>1.3)</w:t>
      </w:r>
      <w:r>
        <w:tab/>
        <w:t>Some animals are not white.</w:t>
      </w:r>
    </w:p>
    <w:p w:rsidR="00B72047" w:rsidRDefault="00B72047">
      <w:pPr>
        <w:pStyle w:val="examplescaledpre"/>
      </w:pPr>
      <w:r>
        <w:rPr>
          <w:rStyle w:val="htmlcodes"/>
        </w:rPr>
        <w:t>&lt;a name=e1d4&gt;</w:t>
      </w:r>
      <w:r>
        <w:t>1.4)</w:t>
      </w:r>
      <w:r>
        <w:tab/>
        <w:t>Some animals are white.</w:t>
      </w:r>
    </w:p>
    <w:p w:rsidR="00B72047" w:rsidRDefault="00B72047">
      <w:pPr>
        <w:pStyle w:val="resumedafterexample"/>
      </w:pPr>
      <w:r>
        <w:rPr>
          <w:rStyle w:val="htmlcodes"/>
        </w:rPr>
        <w:t xml:space="preserve"> &lt;/pre&gt;&lt;p&gt;</w:t>
      </w:r>
      <w:r>
        <w:t>Both of these statements are true; yet one is apparently the negation of</w:t>
      </w:r>
      <w:r>
        <w:rPr>
          <w:rStyle w:val="deletedparamark"/>
        </w:rPr>
        <w:t xml:space="preserve"> </w:t>
      </w:r>
      <w:r>
        <w:t>the other. An</w:t>
      </w:r>
      <w:r>
        <w:softHyphen/>
        <w:t>other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name=e1d5&gt;</w:t>
      </w:r>
      <w:r>
        <w:t>1.5)</w:t>
      </w:r>
      <w:r>
        <w:tab/>
        <w:t>I mustn't go to the dance.</w:t>
      </w:r>
    </w:p>
    <w:p w:rsidR="00B72047" w:rsidRDefault="00B72047">
      <w:pPr>
        <w:pStyle w:val="examplescaledpre"/>
      </w:pPr>
      <w:r>
        <w:rPr>
          <w:rStyle w:val="htmlcodes"/>
        </w:rPr>
        <w:t>&lt;a name=e1d6&gt;</w:t>
      </w:r>
      <w:r>
        <w:t>1.6)</w:t>
      </w:r>
      <w:r>
        <w:tab/>
        <w:t>I must go to the dance.</w:t>
      </w:r>
    </w:p>
    <w:p w:rsidR="00B72047" w:rsidRDefault="00B72047">
      <w:pPr>
        <w:pStyle w:val="resumedafterexample"/>
      </w:pPr>
      <w:r>
        <w:rPr>
          <w:rStyle w:val="htmlcodes"/>
        </w:rPr>
        <w:t>&lt;/pre&gt;&lt;p&gt;</w:t>
      </w:r>
      <w:r>
        <w:t xml:space="preserve">At first thought, </w:t>
      </w:r>
      <w:r>
        <w:rPr>
          <w:rStyle w:val="htmlcodes"/>
        </w:rPr>
        <w:t>&lt;a href=#e1d5&gt;</w:t>
      </w:r>
      <w:r>
        <w:t xml:space="preserve">Example 1.5 </w:t>
      </w:r>
      <w:r>
        <w:rPr>
          <w:rStyle w:val="htmlcodes"/>
        </w:rPr>
        <w:t>&lt;/a&gt;</w:t>
      </w:r>
      <w:r>
        <w:t xml:space="preserve">negates </w:t>
      </w:r>
      <w:r>
        <w:rPr>
          <w:rStyle w:val="htmlcodes"/>
        </w:rPr>
        <w:t>&lt;a href=#e1d6&gt;</w:t>
      </w:r>
      <w:r>
        <w:t>Example 1.6</w:t>
      </w:r>
      <w:r>
        <w:rPr>
          <w:rStyle w:val="htmlcodes"/>
        </w:rPr>
        <w:t>&lt;/a&gt;</w:t>
      </w:r>
      <w:r>
        <w:t>. Thinking further, we</w:t>
      </w:r>
      <w:r>
        <w:rPr>
          <w:rStyle w:val="deletedparamark"/>
        </w:rPr>
        <w:t xml:space="preserve"> </w:t>
      </w:r>
      <w:r>
        <w:t>realize that there is an intermediate state wherein I am permitted to go to</w:t>
      </w:r>
      <w:r>
        <w:rPr>
          <w:rStyle w:val="deletedparamark"/>
        </w:rPr>
        <w:t xml:space="preserve"> </w:t>
      </w:r>
      <w:r>
        <w:t>the dance, but not obli</w:t>
      </w:r>
      <w:r>
        <w:softHyphen/>
        <w:t>gated to do so. Thus, it is possible that both</w:t>
      </w:r>
      <w:r>
        <w:rPr>
          <w:rStyle w:val="deletedparamark"/>
        </w:rPr>
        <w:t xml:space="preserve"> </w:t>
      </w:r>
      <w:r>
        <w:t>statements are false.</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Sometimes order is significant: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name=e1d7&gt;</w:t>
      </w:r>
      <w:r>
        <w:t>1.7)</w:t>
      </w:r>
      <w:r>
        <w:tab/>
        <w:t>The falling rock didn't kill Sam.</w:t>
      </w:r>
    </w:p>
    <w:p w:rsidR="00B72047" w:rsidRDefault="00B72047">
      <w:pPr>
        <w:pStyle w:val="examplescaledpre"/>
      </w:pPr>
      <w:r>
        <w:rPr>
          <w:rStyle w:val="htmlcodes"/>
        </w:rPr>
        <w:t>&lt;a name=e1d8&gt;</w:t>
      </w:r>
      <w:r>
        <w:t>1.8)</w:t>
      </w:r>
      <w:r>
        <w:tab/>
        <w:t>Sam wasn't killed by the falling rock.</w:t>
      </w:r>
    </w:p>
    <w:p w:rsidR="00B72047" w:rsidRDefault="00B72047">
      <w:pPr>
        <w:pStyle w:val="resumedafterexample"/>
      </w:pPr>
      <w:r>
        <w:rPr>
          <w:rStyle w:val="htmlcodes"/>
        </w:rPr>
        <w:t>&lt;/pre&gt;&lt;p&gt;</w:t>
      </w:r>
      <w:r>
        <w:t xml:space="preserve">Our minds play tricks on us with this one. Because </w:t>
      </w:r>
      <w:r>
        <w:rPr>
          <w:rStyle w:val="htmlcodes"/>
        </w:rPr>
        <w:t>&lt;a href=#e1d7&gt;</w:t>
      </w:r>
      <w:r>
        <w:t xml:space="preserve">Example 1.7 </w:t>
      </w:r>
      <w:r>
        <w:rPr>
          <w:rStyle w:val="htmlcodes"/>
        </w:rPr>
        <w:t>&lt;/a&gt;</w:t>
      </w:r>
      <w:r>
        <w:t>is</w:t>
      </w:r>
      <w:r>
        <w:rPr>
          <w:rStyle w:val="deletedparamark"/>
        </w:rPr>
        <w:t xml:space="preserve"> </w:t>
      </w:r>
      <w:r>
        <w:t>written in what is called the “active voice”, we immediately get confused</w:t>
      </w:r>
      <w:r>
        <w:rPr>
          <w:rStyle w:val="deletedparamark"/>
        </w:rPr>
        <w:t xml:space="preserve"> </w:t>
      </w:r>
      <w:r>
        <w:t>about whether “the falling rock” is a suitable subject for the predicate</w:t>
      </w:r>
      <w:r>
        <w:rPr>
          <w:rStyle w:val="deletedparamark"/>
        </w:rPr>
        <w:t xml:space="preserve"> “</w:t>
      </w:r>
      <w:r>
        <w:t>did kill Sam”. “Kill” implies volition to us, and rocks do not have</w:t>
      </w:r>
      <w:r>
        <w:rPr>
          <w:rStyle w:val="deletedparamark"/>
        </w:rPr>
        <w:t xml:space="preserve"> </w:t>
      </w:r>
      <w:r>
        <w:t>volition. This confusion is employed by opponents of gun con</w:t>
      </w:r>
      <w:r>
        <w:softHyphen/>
        <w:t>trol who use</w:t>
      </w:r>
      <w:r>
        <w:rPr>
          <w:rStyle w:val="deletedparamark"/>
        </w:rPr>
        <w:t xml:space="preserve"> </w:t>
      </w:r>
      <w:r>
        <w:t>the argument “Guns don't kill people; people kill people.”</w:t>
      </w:r>
    </w:p>
    <w:p w:rsidR="00B72047" w:rsidRDefault="00B72047">
      <w:pPr>
        <w:rPr>
          <w:rStyle w:val="htmlparacode"/>
        </w:rPr>
      </w:pPr>
      <w:r>
        <w:rPr>
          <w:rStyle w:val="htmlparacode"/>
        </w:rPr>
        <w:t>&lt;p&gt;</w:t>
      </w:r>
    </w:p>
    <w:p w:rsidR="00B72047" w:rsidRDefault="00B72047">
      <w:pPr>
        <w:pStyle w:val="normalparagraph"/>
      </w:pPr>
      <w:r>
        <w:t xml:space="preserve">Somehow, we don't have the same problem with </w:t>
      </w:r>
      <w:r>
        <w:rPr>
          <w:rStyle w:val="htmlcodes"/>
        </w:rPr>
        <w:t>&lt;a href=#e1d8&gt;</w:t>
      </w:r>
      <w:r>
        <w:t>Example 1.8</w:t>
      </w:r>
      <w:r>
        <w:rPr>
          <w:rStyle w:val="htmlcodes"/>
        </w:rPr>
        <w:t>&lt;/a&gt;</w:t>
      </w:r>
      <w:r>
        <w:t>. The subject is</w:t>
      </w:r>
      <w:r>
        <w:rPr>
          <w:rStyle w:val="deletedparamark"/>
        </w:rPr>
        <w:t xml:space="preserve"> </w:t>
      </w:r>
      <w:r>
        <w:t>Sam, and we determine the truth or falsity of the statement by whether he</w:t>
      </w:r>
      <w:r>
        <w:rPr>
          <w:rStyle w:val="deletedparamark"/>
        </w:rPr>
        <w:t xml:space="preserve"> </w:t>
      </w:r>
      <w:r>
        <w:t>was or wasn't killed by the falling rock.</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href=#e1d8&gt;</w:t>
      </w:r>
      <w:r>
        <w:t xml:space="preserve">Example 1.8 </w:t>
      </w:r>
      <w:r>
        <w:rPr>
          <w:rStyle w:val="htmlcodes"/>
        </w:rPr>
        <w:t>&lt;/a&gt;</w:t>
      </w:r>
      <w:r>
        <w:t>also helps us focus on the fact that there are at least two</w:t>
      </w:r>
      <w:r>
        <w:rPr>
          <w:rStyle w:val="deletedparamark"/>
        </w:rPr>
        <w:t xml:space="preserve"> </w:t>
      </w:r>
      <w:r>
        <w:t>question</w:t>
      </w:r>
      <w:r>
        <w:softHyphen/>
        <w:t>able facts implicit in this sentence: whether Sam was killed, and</w:t>
      </w:r>
      <w:r>
        <w:rPr>
          <w:rStyle w:val="deletedparamark"/>
        </w:rPr>
        <w:t xml:space="preserve"> </w:t>
      </w:r>
      <w:r>
        <w:t>if so, whether the fal</w:t>
      </w:r>
      <w:r>
        <w:softHyphen/>
        <w:t>ling rock killed him. If Sam wasn't killed, the</w:t>
      </w:r>
      <w:r>
        <w:rPr>
          <w:rStyle w:val="deletedparamark"/>
        </w:rPr>
        <w:t xml:space="preserve"> </w:t>
      </w:r>
      <w:r>
        <w:t>question of what killed him is moot.</w:t>
      </w:r>
    </w:p>
    <w:p w:rsidR="00B72047" w:rsidRDefault="00B72047">
      <w:pPr>
        <w:pStyle w:val="normalparagraph"/>
        <w:rPr>
          <w:rStyle w:val="htmlparacode"/>
        </w:rPr>
      </w:pPr>
      <w:r>
        <w:rPr>
          <w:rStyle w:val="htmlparacode"/>
        </w:rPr>
        <w:t>&lt;p&gt;</w:t>
      </w:r>
    </w:p>
    <w:p w:rsidR="00B72047" w:rsidRDefault="00B72047">
      <w:pPr>
        <w:pStyle w:val="normalparagraph"/>
      </w:pPr>
      <w:r>
        <w:t>This type of problem becomes more evident when the subject of the</w:t>
      </w:r>
      <w:r>
        <w:rPr>
          <w:rStyle w:val="deletedparamark"/>
        </w:rPr>
        <w:t xml:space="preserve"> </w:t>
      </w:r>
      <w:r>
        <w:t>sentence turns out not to exist: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name=e1d9&gt;</w:t>
      </w:r>
      <w:r>
        <w:t>1.9)</w:t>
      </w:r>
      <w:r>
        <w:tab/>
        <w:t>The King of Mexico didn't come to dinner.</w:t>
      </w:r>
    </w:p>
    <w:p w:rsidR="00B72047" w:rsidRDefault="00B72047">
      <w:pPr>
        <w:pStyle w:val="examplescaledpre"/>
      </w:pPr>
      <w:r>
        <w:rPr>
          <w:rStyle w:val="htmlcodes"/>
        </w:rPr>
        <w:t>&lt;a name=e1d10&gt;</w:t>
      </w:r>
      <w:r>
        <w:t>1.10)</w:t>
      </w:r>
      <w:r>
        <w:tab/>
        <w:t>The King of Mexico did come to dinner.</w:t>
      </w:r>
    </w:p>
    <w:p w:rsidR="00B72047" w:rsidRDefault="00B72047">
      <w:pPr>
        <w:pStyle w:val="resumedafterexample"/>
      </w:pPr>
      <w:r>
        <w:rPr>
          <w:rStyle w:val="htmlcodes"/>
        </w:rPr>
        <w:t>&lt;/pre&gt;&lt;p&gt;</w:t>
      </w:r>
      <w:r>
        <w:t>In the natural languages, we would be inclined to say that both of these</w:t>
      </w:r>
      <w:r>
        <w:rPr>
          <w:rStyle w:val="deletedparamark"/>
        </w:rPr>
        <w:t xml:space="preserve"> </w:t>
      </w:r>
      <w:r>
        <w:t>statements are false, since there is no King of Mexico.</w:t>
      </w:r>
    </w:p>
    <w:p w:rsidR="00B72047" w:rsidRDefault="00B72047">
      <w:pPr>
        <w:rPr>
          <w:rStyle w:val="htmlparacode"/>
        </w:rPr>
      </w:pPr>
      <w:r>
        <w:rPr>
          <w:rStyle w:val="htmlparacode"/>
        </w:rPr>
        <w:t>&lt;p&gt;</w:t>
      </w:r>
    </w:p>
    <w:p w:rsidR="00B72047" w:rsidRDefault="00B72047">
      <w:pPr>
        <w:pStyle w:val="normalparagraph"/>
      </w:pPr>
      <w:r>
        <w:t>The rest of this chapter is designed to explain the Lojban model of</w:t>
      </w:r>
      <w:r>
        <w:rPr>
          <w:rStyle w:val="deletedparamark"/>
        </w:rPr>
        <w:t xml:space="preserve"> </w:t>
      </w:r>
      <w:r>
        <w:t>negation.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442" w:name="_Toc398970682"/>
      <w:r>
        <w:rPr>
          <w:rStyle w:val="Heading3Text"/>
        </w:rPr>
        <w:t>bridi negation</w:t>
      </w:r>
      <w:bookmarkEnd w:id="442"/>
      <w:r>
        <w:rPr>
          <w:rStyle w:val="htmlcodes"/>
        </w:rPr>
        <w:t>&lt;/h3&gt;</w:t>
      </w:r>
    </w:p>
    <w:p w:rsidR="00B72047" w:rsidRDefault="00B72047">
      <w:pPr>
        <w:rPr>
          <w:rStyle w:val="htmlparacode"/>
        </w:rPr>
      </w:pPr>
      <w:r>
        <w:rPr>
          <w:rStyle w:val="htmlparacode"/>
        </w:rPr>
        <w:t>&lt;p&gt;</w:t>
      </w:r>
    </w:p>
    <w:p w:rsidR="00B72047" w:rsidRDefault="00B72047">
      <w:pPr>
        <w:pStyle w:val="normalparagraph"/>
      </w:pPr>
      <w:r>
        <w:t>In discussing Lojban negation, we will call the form of logical negation</w:t>
      </w:r>
      <w:r>
        <w:rPr>
          <w:rStyle w:val="deletedparamark"/>
        </w:rPr>
        <w:t xml:space="preserve"> </w:t>
      </w:r>
      <w:r>
        <w:t>that simply denies the truth of a statement “bridi negation”. Using bridi</w:t>
      </w:r>
      <w:r>
        <w:rPr>
          <w:rStyle w:val="deletedparamark"/>
        </w:rPr>
        <w:t xml:space="preserve"> </w:t>
      </w:r>
      <w:r>
        <w:t>negation, we can say the equivalent of “I haven't stopped beating my wife”</w:t>
      </w:r>
      <w:r>
        <w:rPr>
          <w:rStyle w:val="deletedparamark"/>
        </w:rPr>
        <w:t xml:space="preserve"> </w:t>
      </w:r>
      <w:r>
        <w:t>without implying that I ever started, nor even that I have a wife, meaning</w:t>
      </w:r>
      <w:r>
        <w:rPr>
          <w:rStyle w:val="deletedparamark"/>
        </w:rPr>
        <w:t xml:space="preserve"> </w:t>
      </w:r>
      <w:r>
        <w:t>simply “It isn't true that I have stopped beating my wife.” Since</w:t>
      </w:r>
      <w:r>
        <w:rPr>
          <w:rStyle w:val="deletedparamark"/>
        </w:rPr>
        <w:t xml:space="preserve"> </w:t>
      </w:r>
      <w:r>
        <w:t>Lojban uses bridi as smaller components of complex sentences, bridi neg</w:t>
      </w:r>
      <w:r>
        <w:t>a</w:t>
      </w:r>
      <w:r>
        <w:softHyphen/>
        <w:t>tion</w:t>
      </w:r>
      <w:r>
        <w:rPr>
          <w:rStyle w:val="deletedparamark"/>
        </w:rPr>
        <w:t xml:space="preserve"> </w:t>
      </w:r>
      <w:r>
        <w:t>is permitted in these components as well at the sentence level.</w:t>
      </w:r>
    </w:p>
    <w:p w:rsidR="00B72047" w:rsidRDefault="00B72047">
      <w:pPr>
        <w:pStyle w:val="normalparagraph"/>
        <w:rPr>
          <w:rStyle w:val="htmlparacode"/>
        </w:rPr>
      </w:pPr>
      <w:r>
        <w:rPr>
          <w:rStyle w:val="htmlparacode"/>
        </w:rPr>
        <w:t>&lt;p&gt;</w:t>
      </w:r>
    </w:p>
    <w:p w:rsidR="00B72047" w:rsidRDefault="00B72047">
      <w:pPr>
        <w:pStyle w:val="normalparagraph"/>
      </w:pPr>
      <w:r>
        <w:t>For the bridi negation of a sentence to be true, the sentence being</w:t>
      </w:r>
      <w:r>
        <w:rPr>
          <w:rStyle w:val="deletedparamark"/>
        </w:rPr>
        <w:t xml:space="preserve"> </w:t>
      </w:r>
      <w:r>
        <w:t>negated must be false. A major use of bridi negation is in making a</w:t>
      </w:r>
      <w:r>
        <w:rPr>
          <w:rStyle w:val="deletedparamark"/>
        </w:rPr>
        <w:t xml:space="preserve"> </w:t>
      </w:r>
      <w:r>
        <w:t>negative response to a yes/no question; such responses are usually</w:t>
      </w:r>
      <w:r>
        <w:rPr>
          <w:rStyle w:val="deletedparamark"/>
        </w:rPr>
        <w:t xml:space="preserve"> </w:t>
      </w:r>
      <w:r>
        <w:t>contradictory, denying the truth of the entire sen</w:t>
      </w:r>
      <w:r>
        <w:softHyphen/>
        <w:t>tence. A negative answer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Did you go to the store?</w:t>
      </w:r>
    </w:p>
    <w:p w:rsidR="00B72047" w:rsidRDefault="00B72047">
      <w:pPr>
        <w:pStyle w:val="resumedafterexample"/>
      </w:pPr>
      <w:r>
        <w:rPr>
          <w:rStyle w:val="htmlcodes"/>
        </w:rPr>
        <w:t>&lt;/pre&gt;</w:t>
      </w:r>
      <w:r>
        <w:t>is taken as a negation of the entire sentence, equivalent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name=e2d2&gt;</w:t>
      </w:r>
      <w:r>
        <w:t>2.2)</w:t>
      </w:r>
      <w:r>
        <w:tab/>
        <w:t>No, I didn't go to the store.</w:t>
      </w:r>
    </w:p>
    <w:p w:rsidR="00B72047" w:rsidRDefault="00B72047">
      <w:pPr>
        <w:pStyle w:val="resumedafterexample"/>
      </w:pPr>
      <w:r>
        <w:rPr>
          <w:rStyle w:val="htmlcodes"/>
        </w:rPr>
        <w:t>&lt;/pre&gt;&lt;p&gt;</w:t>
      </w:r>
      <w:r>
        <w:t>The most important rule about bridi negation is that if a bridi is true,</w:t>
      </w:r>
      <w:r>
        <w:rPr>
          <w:rStyle w:val="deletedparamark"/>
        </w:rPr>
        <w:t xml:space="preserve"> </w:t>
      </w:r>
      <w:r>
        <w:t>its negation is false, and vice versa.</w:t>
      </w:r>
    </w:p>
    <w:p w:rsidR="00B72047" w:rsidRDefault="00B72047">
      <w:pPr>
        <w:rPr>
          <w:rStyle w:val="htmlparacode"/>
        </w:rPr>
      </w:pPr>
      <w:r>
        <w:rPr>
          <w:rStyle w:val="htmlparacode"/>
        </w:rPr>
        <w:t>&lt;p&gt;</w:t>
      </w:r>
    </w:p>
    <w:p w:rsidR="00B72047" w:rsidRDefault="00B72047">
      <w:pPr>
        <w:pStyle w:val="normalparagraph"/>
      </w:pPr>
      <w:r>
        <w:t>The simplest way to express a bridi negation is to use the cmavo “na”</w:t>
      </w:r>
      <w:r>
        <w:rPr>
          <w:rStyle w:val="deletedparamark"/>
        </w:rPr>
        <w:t xml:space="preserve"> </w:t>
      </w:r>
      <w:r>
        <w:t>of sel</w:t>
      </w:r>
      <w:r>
        <w:softHyphen/>
        <w:t>ma'o NA before the selbri of the affirmative form of the bridi</w:t>
      </w:r>
      <w:r>
        <w:rPr>
          <w:rStyle w:val="deletedparamark"/>
        </w:rPr>
        <w:t xml:space="preserve"> </w:t>
      </w:r>
      <w:r>
        <w:t>(but after the “cu”, if there is one):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mi klama le zarci</w:t>
      </w:r>
    </w:p>
    <w:p w:rsidR="00B72047" w:rsidRDefault="00B72047">
      <w:pPr>
        <w:pStyle w:val="examplescaled"/>
      </w:pPr>
      <w:r>
        <w:tab/>
        <w:t>I go-to the store.</w:t>
      </w:r>
    </w:p>
    <w:p w:rsidR="00B72047" w:rsidRDefault="00B72047">
      <w:pPr>
        <w:pStyle w:val="resumedafterexample"/>
      </w:pPr>
      <w:r>
        <w:rPr>
          <w:rStyle w:val="htmlcodes"/>
        </w:rPr>
        <w:t>&lt;/pre&gt;</w:t>
      </w:r>
      <w:r>
        <w:t>when negated becomes: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mi na klama le zarci</w:t>
      </w:r>
    </w:p>
    <w:p w:rsidR="00B72047" w:rsidRDefault="00B72047">
      <w:pPr>
        <w:pStyle w:val="examplescaled"/>
      </w:pPr>
      <w:r>
        <w:tab/>
        <w:t>I [false] go-to the store.</w:t>
      </w:r>
    </w:p>
    <w:p w:rsidR="00B72047" w:rsidRDefault="00B72047">
      <w:pPr>
        <w:pStyle w:val="normalafterexample"/>
      </w:pPr>
      <w:r>
        <w:rPr>
          <w:rStyle w:val="htmlcodes"/>
        </w:rPr>
        <w:t>&lt;/pre&gt;&lt;p&gt;</w:t>
      </w:r>
      <w:r>
        <w:t>Note that we have used a special convention to show in the English</w:t>
      </w:r>
      <w:r>
        <w:rPr>
          <w:rStyle w:val="deletedparamark"/>
        </w:rPr>
        <w:t xml:space="preserve"> </w:t>
      </w:r>
      <w:r>
        <w:t>that a bridi neg</w:t>
      </w:r>
      <w:r>
        <w:t>a</w:t>
      </w:r>
      <w:r>
        <w:softHyphen/>
        <w:t>tion is present. We would like to use the word “not”,</w:t>
      </w:r>
      <w:r>
        <w:rPr>
          <w:rStyle w:val="deletedparamark"/>
        </w:rPr>
        <w:t xml:space="preserve"> </w:t>
      </w:r>
      <w:r>
        <w:t>because this highlights the natura</w:t>
      </w:r>
      <w:r>
        <w:t>l</w:t>
      </w:r>
      <w:r>
        <w:softHyphen/>
        <w:t>ness of putting the negation marker just</w:t>
      </w:r>
      <w:r>
        <w:rPr>
          <w:rStyle w:val="deletedparamark"/>
        </w:rPr>
        <w:t xml:space="preserve"> </w:t>
      </w:r>
      <w:r>
        <w:t>before the selbri, and makes the form easier to learn. But there is a major</w:t>
      </w:r>
      <w:r>
        <w:rPr>
          <w:rStyle w:val="deletedparamark"/>
        </w:rPr>
        <w:t xml:space="preserve"> </w:t>
      </w:r>
      <w:r>
        <w:t>difference between Lojban's bridi negation with “na” and nat</w:t>
      </w:r>
      <w:r>
        <w:t>u</w:t>
      </w:r>
      <w:r>
        <w:softHyphen/>
        <w:t>ral language</w:t>
      </w:r>
      <w:r>
        <w:rPr>
          <w:rStyle w:val="deletedparamark"/>
        </w:rPr>
        <w:t xml:space="preserve"> </w:t>
      </w:r>
      <w:r>
        <w:t>negation with “not”. In English, the word “not” can apply to a single</w:t>
      </w:r>
      <w:r>
        <w:rPr>
          <w:rStyle w:val="deletedparamark"/>
        </w:rPr>
        <w:t xml:space="preserve"> </w:t>
      </w:r>
      <w:r>
        <w:t>word, to a phrase, to an English predicate, or to the entire sentence.</w:t>
      </w:r>
      <w:r>
        <w:rPr>
          <w:rStyle w:val="deletedparamark"/>
        </w:rPr>
        <w:t xml:space="preserve"> </w:t>
      </w:r>
      <w:r>
        <w:t>In addition, “not” may ind</w:t>
      </w:r>
      <w:r>
        <w:t>i</w:t>
      </w:r>
      <w:r>
        <w:softHyphen/>
        <w:t>cate either contradictory negation or another</w:t>
      </w:r>
      <w:r>
        <w:rPr>
          <w:rStyle w:val="deletedparamark"/>
        </w:rPr>
        <w:t xml:space="preserve"> </w:t>
      </w:r>
      <w:r>
        <w:t>form of negation, depend</w:t>
      </w:r>
      <w:r>
        <w:softHyphen/>
        <w:t>ing on the sentence. Lojban's internal bridi</w:t>
      </w:r>
      <w:r>
        <w:rPr>
          <w:rStyle w:val="deletedparamark"/>
        </w:rPr>
        <w:t xml:space="preserve"> </w:t>
      </w:r>
      <w:r>
        <w:t>negation, on the other hand, always applies to an entire bridi, and is</w:t>
      </w:r>
      <w:r>
        <w:rPr>
          <w:rStyle w:val="deletedparamark"/>
        </w:rPr>
        <w:t xml:space="preserve"> </w:t>
      </w:r>
      <w:r>
        <w:t>always a contradictory negation; that is, it contradicts the claim of</w:t>
      </w:r>
      <w:r>
        <w:rPr>
          <w:rStyle w:val="deletedparamark"/>
        </w:rPr>
        <w:t xml:space="preserve"> </w:t>
      </w:r>
      <w:r>
        <w:t>the whole bridi.</w:t>
      </w:r>
    </w:p>
    <w:p w:rsidR="00B72047" w:rsidRDefault="00B72047">
      <w:pPr>
        <w:rPr>
          <w:rStyle w:val="htmlparacode"/>
        </w:rPr>
      </w:pPr>
      <w:r>
        <w:rPr>
          <w:rStyle w:val="htmlparacode"/>
        </w:rPr>
        <w:t>&lt;p&gt;</w:t>
      </w:r>
    </w:p>
    <w:p w:rsidR="00B72047" w:rsidRDefault="00B72047">
      <w:pPr>
        <w:pStyle w:val="normalparagraph"/>
      </w:pPr>
      <w:r>
        <w:t>Because of the ambiguity of English “not”, we will use “[false]” in the</w:t>
      </w:r>
      <w:r>
        <w:rPr>
          <w:rStyle w:val="deletedparamark"/>
        </w:rPr>
        <w:t xml:space="preserve"> </w:t>
      </w:r>
      <w:r>
        <w:t>transla</w:t>
      </w:r>
      <w:r>
        <w:softHyphen/>
        <w:t>tion of Lojban examples to remind the reader that we are expressing</w:t>
      </w:r>
      <w:r>
        <w:rPr>
          <w:rStyle w:val="deletedparamark"/>
        </w:rPr>
        <w:t xml:space="preserve"> </w:t>
      </w:r>
      <w:r>
        <w:t>a contradictory negation. Here are more examples of bridi negation: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name=e2d5&gt;</w:t>
      </w:r>
      <w:r>
        <w:t>2.5)</w:t>
      </w:r>
      <w:r>
        <w:tab/>
        <w:t>mi [cu] na ca klama le zarci</w:t>
      </w:r>
    </w:p>
    <w:p w:rsidR="00B72047" w:rsidRDefault="00B72047">
      <w:pPr>
        <w:pStyle w:val="examplescaled"/>
      </w:pPr>
      <w:r>
        <w:tab/>
        <w:t>I [false] now am-a-go-er to the market.</w:t>
      </w:r>
    </w:p>
    <w:p w:rsidR="00B72047" w:rsidRDefault="00B72047">
      <w:pPr>
        <w:pStyle w:val="examplescaled"/>
      </w:pPr>
      <w:r>
        <w:tab/>
        <w:t>I am not going to the market now.</w:t>
      </w:r>
    </w:p>
    <w:p w:rsidR="00B72047" w:rsidRDefault="00B72047">
      <w:pPr>
        <w:pStyle w:val="examplescaledpre"/>
      </w:pPr>
      <w:r>
        <w:rPr>
          <w:rStyle w:val="htmlcodes"/>
        </w:rPr>
        <w:t>&lt;a name=e2d6&gt;</w:t>
      </w:r>
      <w:r>
        <w:t>2.6)</w:t>
      </w:r>
      <w:r>
        <w:tab/>
        <w:t xml:space="preserve">lo ca nolraitru be le fasygu'e </w:t>
      </w:r>
    </w:p>
    <w:p w:rsidR="00B72047" w:rsidRDefault="00B72047">
      <w:pPr>
        <w:pStyle w:val="examplescaled"/>
        <w:ind w:firstLine="576"/>
      </w:pPr>
      <w:r>
        <w:t>cu na krecau</w:t>
      </w:r>
    </w:p>
    <w:p w:rsidR="00B72047" w:rsidRDefault="00B72047">
      <w:pPr>
        <w:pStyle w:val="examplescaled"/>
      </w:pPr>
      <w:r>
        <w:tab/>
        <w:t xml:space="preserve">The-actual present noblest-governor of the French country </w:t>
      </w:r>
    </w:p>
    <w:p w:rsidR="00B72047" w:rsidRDefault="00B72047">
      <w:pPr>
        <w:pStyle w:val="examplescaled"/>
        <w:ind w:firstLine="576"/>
      </w:pPr>
      <w:r>
        <w:t>[false] is-hair-without.</w:t>
      </w:r>
    </w:p>
    <w:p w:rsidR="00B72047" w:rsidRDefault="00B72047">
      <w:pPr>
        <w:pStyle w:val="examplescaled"/>
      </w:pPr>
      <w:r>
        <w:tab/>
        <w:t>The current king of France isn't bald.</w:t>
      </w:r>
    </w:p>
    <w:p w:rsidR="00B72047" w:rsidRDefault="00B72047">
      <w:pPr>
        <w:pStyle w:val="examplescaledpre"/>
      </w:pPr>
      <w:r>
        <w:rPr>
          <w:rStyle w:val="htmlcodes"/>
        </w:rPr>
        <w:t>&lt;a name=e2d7&gt;</w:t>
      </w:r>
      <w:r>
        <w:t>2.7)</w:t>
      </w:r>
      <w:r>
        <w:tab/>
        <w:t>ti na barda prenu co melbi mi</w:t>
      </w:r>
    </w:p>
    <w:p w:rsidR="00B72047" w:rsidRDefault="00B72047">
      <w:pPr>
        <w:pStyle w:val="examplescaled"/>
      </w:pPr>
      <w:r>
        <w:tab/>
        <w:t>This [false] is a big-person of-type (beautiful to me).</w:t>
      </w:r>
    </w:p>
    <w:p w:rsidR="00B72047" w:rsidRDefault="00B72047">
      <w:pPr>
        <w:pStyle w:val="examplescaled"/>
      </w:pPr>
      <w:r>
        <w:tab/>
        <w:t>This isn't a big person who is beautiful to me.</w:t>
      </w:r>
    </w:p>
    <w:p w:rsidR="00B72047" w:rsidRDefault="00B72047">
      <w:pPr>
        <w:pStyle w:val="normalafterexample"/>
      </w:pPr>
      <w:r>
        <w:rPr>
          <w:rStyle w:val="htmlcodes"/>
        </w:rPr>
        <w:t>&lt;/pre&gt;&lt;p&gt;</w:t>
      </w:r>
      <w:r>
        <w:t>Although there is this fundamental difference between Lojban's internal bridi</w:t>
      </w:r>
      <w:r>
        <w:rPr>
          <w:rStyle w:val="deletedparamark"/>
        </w:rPr>
        <w:t xml:space="preserve"> </w:t>
      </w:r>
      <w:r>
        <w:t>neg</w:t>
      </w:r>
      <w:r>
        <w:t>a</w:t>
      </w:r>
      <w:r>
        <w:softHyphen/>
        <w:t>tion and English negation, we note that in many cases, especially when</w:t>
      </w:r>
      <w:r>
        <w:rPr>
          <w:rStyle w:val="deletedparamark"/>
        </w:rPr>
        <w:t xml:space="preserve"> </w:t>
      </w:r>
      <w:r>
        <w:t>there are no exi</w:t>
      </w:r>
      <w:r>
        <w:t>s</w:t>
      </w:r>
      <w:r>
        <w:softHyphen/>
        <w:t>tential or quantified variables (the cmavo “da”, “de”, and</w:t>
      </w:r>
      <w:r>
        <w:rPr>
          <w:rStyle w:val="deletedparamark"/>
        </w:rPr>
        <w:t xml:space="preserve"> “</w:t>
      </w:r>
      <w:r>
        <w:t>di” of selma'o KOhA, e</w:t>
      </w:r>
      <w:r>
        <w:t>x</w:t>
      </w:r>
      <w:r>
        <w:softHyphen/>
        <w:t xml:space="preserve">plained in </w:t>
      </w:r>
      <w:r>
        <w:rPr>
          <w:rStyle w:val="htmlcodes"/>
        </w:rPr>
        <w:t>&lt;a href=chap16.html&gt;</w:t>
      </w:r>
      <w:r>
        <w:t>Chapter 16</w:t>
      </w:r>
      <w:r>
        <w:rPr>
          <w:rStyle w:val="htmlcodes"/>
        </w:rPr>
        <w:t>&lt;/a&gt;</w:t>
      </w:r>
      <w:r>
        <w:t>) in the bridi, you can indeed</w:t>
      </w:r>
      <w:r>
        <w:rPr>
          <w:rStyle w:val="deletedparamark"/>
        </w:rPr>
        <w:t xml:space="preserve"> </w:t>
      </w:r>
      <w:r>
        <w:t>translate Lojban “na” as “not” (or “isn't” or “doesn't”, as appropriate).</w:t>
      </w:r>
    </w:p>
    <w:p w:rsidR="00B72047" w:rsidRDefault="00B72047">
      <w:pPr>
        <w:rPr>
          <w:rStyle w:val="htmlparacode"/>
        </w:rPr>
      </w:pPr>
      <w:r>
        <w:rPr>
          <w:rStyle w:val="htmlparacode"/>
        </w:rPr>
        <w:t>&lt;p&gt;</w:t>
      </w:r>
    </w:p>
    <w:p w:rsidR="00B72047" w:rsidRDefault="00B72047">
      <w:pPr>
        <w:pStyle w:val="normalparagraph"/>
      </w:pPr>
      <w:r>
        <w:t>The most important rule about bridi negation is that if a bridi is true,</w:t>
      </w:r>
      <w:r>
        <w:rPr>
          <w:rStyle w:val="deletedparamark"/>
        </w:rPr>
        <w:t xml:space="preserve"> </w:t>
      </w:r>
      <w:r>
        <w:t>its nega</w:t>
      </w:r>
      <w:r>
        <w:softHyphen/>
        <w:t>tion is false, and vice versa.</w:t>
      </w:r>
    </w:p>
    <w:p w:rsidR="00B72047" w:rsidRDefault="00B72047">
      <w:pPr>
        <w:pStyle w:val="normalparagraph"/>
        <w:rPr>
          <w:rStyle w:val="htmlparacode"/>
        </w:rPr>
      </w:pPr>
      <w:r>
        <w:rPr>
          <w:rStyle w:val="htmlparacode"/>
        </w:rPr>
        <w:t>&lt;p&gt;</w:t>
      </w:r>
    </w:p>
    <w:p w:rsidR="00B72047" w:rsidRDefault="00B72047">
      <w:pPr>
        <w:pStyle w:val="normalparagraph"/>
      </w:pPr>
      <w:r>
        <w:t>In Lojban, there are several structures that</w:t>
      </w:r>
      <w:r>
        <w:rPr>
          <w:rStyle w:val="deletedparamark"/>
        </w:rPr>
        <w:t xml:space="preserve"> </w:t>
      </w:r>
      <w:r>
        <w:t>implicitly contain bridi, so that Loj</w:t>
      </w:r>
      <w:r>
        <w:softHyphen/>
        <w:t>ban sentences may contain more than</w:t>
      </w:r>
      <w:r>
        <w:rPr>
          <w:rStyle w:val="deletedparamark"/>
        </w:rPr>
        <w:t xml:space="preserve"> </w:t>
      </w:r>
      <w:r>
        <w:t>one occurrence of “na”.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name=e2d8&gt;</w:t>
      </w:r>
      <w:r>
        <w:t>2.8)</w:t>
      </w:r>
      <w:r>
        <w:tab/>
        <w:t>mi na gleki le nu</w:t>
      </w:r>
    </w:p>
    <w:p w:rsidR="00B72047" w:rsidRDefault="00B72047">
      <w:pPr>
        <w:pStyle w:val="examplescaled"/>
      </w:pPr>
      <w:r>
        <w:tab/>
      </w:r>
      <w:r>
        <w:tab/>
        <w:t>na klama le nu dansu</w:t>
      </w:r>
    </w:p>
    <w:p w:rsidR="00B72047" w:rsidRDefault="00B72047">
      <w:pPr>
        <w:pStyle w:val="examplescaled"/>
      </w:pPr>
      <w:r>
        <w:tab/>
        <w:t>I [false] am-happy-about the event-of</w:t>
      </w:r>
    </w:p>
    <w:p w:rsidR="00B72047" w:rsidRDefault="00B72047">
      <w:pPr>
        <w:pStyle w:val="examplescaled"/>
        <w:ind w:firstLine="576"/>
      </w:pPr>
      <w:r>
        <w:t>([false] going-to the event-of dancing).</w:t>
      </w:r>
    </w:p>
    <w:p w:rsidR="00B72047" w:rsidRDefault="00B72047">
      <w:pPr>
        <w:pStyle w:val="examplescaled"/>
      </w:pPr>
      <w:r>
        <w:tab/>
        <w:t>It is not the case that I am happy about it not being</w:t>
      </w:r>
    </w:p>
    <w:p w:rsidR="00B72047" w:rsidRDefault="00B72047">
      <w:pPr>
        <w:pStyle w:val="examplescaled"/>
      </w:pPr>
      <w:r>
        <w:tab/>
      </w:r>
      <w:r>
        <w:tab/>
        <w:t>the case that I am going to the dance.</w:t>
      </w:r>
    </w:p>
    <w:p w:rsidR="00B72047" w:rsidRDefault="00B72047">
      <w:pPr>
        <w:pStyle w:val="examplescaled"/>
      </w:pPr>
      <w:r>
        <w:tab/>
        <w:t>I am not happy about not going to the dance.</w:t>
      </w:r>
    </w:p>
    <w:p w:rsidR="00B72047" w:rsidRDefault="00B72047">
      <w:pPr>
        <w:pStyle w:val="resumedafterexample"/>
      </w:pPr>
      <w:r>
        <w:t>In the previous example, we used internal negations in abstraction</w:t>
      </w:r>
      <w:r>
        <w:rPr>
          <w:rStyle w:val="deletedparamark"/>
        </w:rPr>
        <w:t xml:space="preserve"> </w:t>
      </w:r>
      <w:r>
        <w:t>bridi; bridi negation may also be found in descriptions within</w:t>
      </w:r>
      <w:r>
        <w:rPr>
          <w:rStyle w:val="deletedparamark"/>
        </w:rPr>
        <w:t xml:space="preserve"> </w:t>
      </w:r>
      <w:r>
        <w:t>sumti. For example:</w:t>
      </w:r>
    </w:p>
    <w:p w:rsidR="00B72047" w:rsidRDefault="00B72047">
      <w:pPr>
        <w:pStyle w:val="examplescaledpre"/>
      </w:pPr>
      <w:r>
        <w:rPr>
          <w:rStyle w:val="htmlcodes"/>
        </w:rPr>
        <w:t>&lt;a name=e2d9&gt;</w:t>
      </w:r>
      <w:r>
        <w:t>2.9)</w:t>
      </w:r>
      <w:r>
        <w:tab/>
        <w:t>mi nelci le na melbi</w:t>
      </w:r>
    </w:p>
    <w:p w:rsidR="00B72047" w:rsidRDefault="00B72047">
      <w:pPr>
        <w:pStyle w:val="examplescaled"/>
      </w:pPr>
      <w:r>
        <w:tab/>
        <w:t>I am fond of the-one-described-as ([false] beautiful)</w:t>
      </w:r>
    </w:p>
    <w:p w:rsidR="00B72047" w:rsidRDefault="00B72047">
      <w:pPr>
        <w:pStyle w:val="examplescaled"/>
      </w:pPr>
      <w:r>
        <w:tab/>
        <w:t>I am fond of the one who isn't beautiful.</w:t>
      </w:r>
    </w:p>
    <w:p w:rsidR="00B72047" w:rsidRDefault="00B72047">
      <w:pPr>
        <w:pStyle w:val="normalafterexample"/>
      </w:pPr>
      <w:r>
        <w:rPr>
          <w:rStyle w:val="htmlcodes"/>
        </w:rPr>
        <w:t>&lt;/pre&gt;&lt;p&gt;</w:t>
      </w:r>
      <w:r>
        <w:t>A more extreme (and more indefinite) example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name=e2d10&gt;</w:t>
      </w:r>
      <w:r>
        <w:t>2.10)</w:t>
      </w:r>
      <w:r>
        <w:tab/>
        <w:t>mi nelci lo na ca nolraitru be le frasygu'e</w:t>
      </w:r>
    </w:p>
    <w:p w:rsidR="00B72047" w:rsidRDefault="00B72047">
      <w:pPr>
        <w:pStyle w:val="examplescaled"/>
      </w:pPr>
      <w:r>
        <w:tab/>
        <w:t>I am-fond-of one-who-is ([false] the current king of the French-country).</w:t>
      </w:r>
    </w:p>
    <w:p w:rsidR="00B72047" w:rsidRDefault="00B72047">
      <w:pPr>
        <w:pStyle w:val="examplescaled"/>
      </w:pPr>
      <w:r>
        <w:tab/>
        <w:t>I am fond of one who isn't the current king of France.</w:t>
      </w:r>
    </w:p>
    <w:p w:rsidR="00B72047" w:rsidRDefault="00B72047">
      <w:pPr>
        <w:pStyle w:val="resumedafterexample"/>
      </w:pPr>
      <w:r>
        <w:rPr>
          <w:rStyle w:val="htmlcodes"/>
        </w:rPr>
        <w:t>&lt;/pre&gt;&lt;p&gt;</w:t>
      </w:r>
      <w:r>
        <w:t xml:space="preserve">The claim of </w:t>
      </w:r>
      <w:r>
        <w:rPr>
          <w:rStyle w:val="htmlcodes"/>
        </w:rPr>
        <w:t>&lt;a href=#e2d10&gt;</w:t>
      </w:r>
      <w:r>
        <w:t xml:space="preserve">Example 2.10 </w:t>
      </w:r>
      <w:r>
        <w:rPr>
          <w:rStyle w:val="htmlcodes"/>
        </w:rPr>
        <w:t>&lt;/a&gt;</w:t>
      </w:r>
      <w:r>
        <w:t>could apply to anyone except a person who is</w:t>
      </w:r>
      <w:r>
        <w:rPr>
          <w:rStyle w:val="deletedparamark"/>
        </w:rPr>
        <w:t xml:space="preserve"> </w:t>
      </w:r>
      <w:r>
        <w:t>fond of no one at all, since the relation within the description is false</w:t>
      </w:r>
      <w:r>
        <w:rPr>
          <w:rStyle w:val="deletedparamark"/>
        </w:rPr>
        <w:t xml:space="preserve"> </w:t>
      </w:r>
      <w:r>
        <w:t>for everyone. You cannot readily express these situations in colloquial</w:t>
      </w:r>
      <w:r>
        <w:rPr>
          <w:rStyle w:val="deletedparamark"/>
        </w:rPr>
        <w:t xml:space="preserve"> </w:t>
      </w:r>
      <w:r>
        <w:t>English.</w:t>
      </w:r>
    </w:p>
    <w:p w:rsidR="00B72047" w:rsidRDefault="00B72047">
      <w:pPr>
        <w:rPr>
          <w:rStyle w:val="htmlparacode"/>
        </w:rPr>
      </w:pPr>
      <w:r>
        <w:rPr>
          <w:rStyle w:val="htmlparacode"/>
        </w:rPr>
        <w:t>&lt;p&gt;</w:t>
      </w:r>
    </w:p>
    <w:p w:rsidR="00B72047" w:rsidRDefault="00B72047">
      <w:pPr>
        <w:pStyle w:val="normalparagraph"/>
      </w:pPr>
      <w:r>
        <w:t>Negation with “na” applies to an entire bridi, and not to just part of a</w:t>
      </w:r>
      <w:r>
        <w:rPr>
          <w:rStyle w:val="deletedparamark"/>
        </w:rPr>
        <w:t xml:space="preserve"> </w:t>
      </w:r>
      <w:r>
        <w:t>selbri. Ther</w:t>
      </w:r>
      <w:r>
        <w:t>e</w:t>
      </w:r>
      <w:r>
        <w:softHyphen/>
        <w:t>fore, you won't likely have reason to put “na” inside a tanru.</w:t>
      </w:r>
      <w:r>
        <w:rPr>
          <w:rStyle w:val="deletedparamark"/>
        </w:rPr>
        <w:t xml:space="preserve"> </w:t>
      </w:r>
      <w:r>
        <w:t>In fact, the grammar cu</w:t>
      </w:r>
      <w:r>
        <w:t>r</w:t>
      </w:r>
      <w:r>
        <w:softHyphen/>
        <w:t>rently does not allow you to do so (except in a lujvo</w:t>
      </w:r>
      <w:r>
        <w:rPr>
          <w:rStyle w:val="deletedparamark"/>
        </w:rPr>
        <w:t xml:space="preserve"> </w:t>
      </w:r>
      <w:r>
        <w:t>and in elaborate constructs in</w:t>
      </w:r>
      <w:r>
        <w:softHyphen/>
        <w:t>volving GUhA, the forethought connector for</w:t>
      </w:r>
      <w:r>
        <w:rPr>
          <w:rStyle w:val="deletedparamark"/>
        </w:rPr>
        <w:t xml:space="preserve"> </w:t>
      </w:r>
      <w:r>
        <w:t>selbri). Any situation where you might want to do so can be expressed</w:t>
      </w:r>
      <w:r>
        <w:rPr>
          <w:rStyle w:val="deletedparamark"/>
        </w:rPr>
        <w:t xml:space="preserve"> </w:t>
      </w:r>
      <w:r>
        <w:t>in a less-compressed non-tanru form. This grammatical restriction helps</w:t>
      </w:r>
      <w:r>
        <w:rPr>
          <w:rStyle w:val="deletedparamark"/>
        </w:rPr>
        <w:t xml:space="preserve"> </w:t>
      </w:r>
      <w:r>
        <w:t>ensure that bridi negation is kept separate from other forms of nega</w:t>
      </w:r>
      <w:r>
        <w:softHyphen/>
        <w:t>tion.</w:t>
      </w:r>
    </w:p>
    <w:p w:rsidR="00B72047" w:rsidRDefault="00B72047">
      <w:pPr>
        <w:pStyle w:val="normalparagraph"/>
        <w:rPr>
          <w:rStyle w:val="htmlparacode"/>
        </w:rPr>
      </w:pPr>
      <w:r>
        <w:rPr>
          <w:rStyle w:val="htmlparacode"/>
        </w:rPr>
        <w:t>&lt;p&gt;</w:t>
      </w:r>
    </w:p>
    <w:p w:rsidR="00B72047" w:rsidRDefault="00B72047">
      <w:pPr>
        <w:pStyle w:val="normalparagraph"/>
      </w:pPr>
      <w:r>
        <w:t>The grammar of “na” allows multiple adjacent negations, which cancel out,</w:t>
      </w:r>
      <w:r>
        <w:rPr>
          <w:rStyle w:val="deletedparamark"/>
        </w:rPr>
        <w:t xml:space="preserve"> </w:t>
      </w:r>
      <w:r>
        <w:t>as in normal logic:</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name=e2d11&gt;</w:t>
      </w:r>
      <w:r>
        <w:t>2.11)</w:t>
      </w:r>
      <w:r>
        <w:tab/>
        <w:t>ti na na barda prenu co melbi mi</w:t>
      </w:r>
    </w:p>
    <w:p w:rsidR="00B72047" w:rsidRDefault="00B72047">
      <w:pPr>
        <w:pStyle w:val="examplescaled"/>
      </w:pPr>
      <w:r>
        <w:tab/>
        <w:t>This [false] [false] is-a-big person that is (beautiful to me).</w:t>
      </w:r>
    </w:p>
    <w:p w:rsidR="00B72047" w:rsidRDefault="00B72047">
      <w:pPr>
        <w:pStyle w:val="resumedafterexample"/>
      </w:pPr>
      <w:r>
        <w:rPr>
          <w:rStyle w:val="htmlcodes"/>
        </w:rPr>
        <w:t>&lt;/pre&gt;</w:t>
      </w:r>
      <w:r>
        <w:t>which is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name=e2d12&gt;</w:t>
      </w:r>
      <w:r>
        <w:t>2.12)</w:t>
      </w:r>
      <w:r>
        <w:tab/>
        <w:t>ti barda prenu co melbi mi</w:t>
      </w:r>
    </w:p>
    <w:p w:rsidR="00B72047" w:rsidRDefault="00B72047">
      <w:pPr>
        <w:pStyle w:val="examplescaled"/>
      </w:pPr>
      <w:r>
        <w:tab/>
        <w:t>This is a big-person that is (beautiful to me).</w:t>
      </w:r>
    </w:p>
    <w:p w:rsidR="00B72047" w:rsidRDefault="00B72047">
      <w:pPr>
        <w:pStyle w:val="normalafterexample"/>
      </w:pPr>
      <w:r>
        <w:rPr>
          <w:rStyle w:val="htmlcodes"/>
        </w:rPr>
        <w:t>&lt;/pre&gt;&lt;p&gt;</w:t>
      </w:r>
      <w:r>
        <w:t>When a selbri is tagged with a tense or a modal, negation with “na” is</w:t>
      </w:r>
      <w:r>
        <w:rPr>
          <w:rStyle w:val="deletedparamark"/>
        </w:rPr>
        <w:t xml:space="preserve"> </w:t>
      </w:r>
      <w:r>
        <w:t>permit</w:t>
      </w:r>
      <w:r>
        <w:softHyphen/>
        <w:t>ted in two positions: before or after the tag. No semantic difference</w:t>
      </w:r>
      <w:r>
        <w:rPr>
          <w:rStyle w:val="deletedparamark"/>
        </w:rPr>
        <w:t xml:space="preserve"> </w:t>
      </w:r>
      <w:r>
        <w:t>between these forms has yet been defined, but this is not finally determined,</w:t>
      </w:r>
      <w:r>
        <w:rPr>
          <w:rStyle w:val="deletedparamark"/>
        </w:rPr>
        <w:t xml:space="preserve"> </w:t>
      </w:r>
      <w:r>
        <w:t>since the interactions between tenses/modals and bridi negation have not</w:t>
      </w:r>
      <w:r>
        <w:rPr>
          <w:rStyle w:val="deletedparamark"/>
        </w:rPr>
        <w:t xml:space="preserve"> </w:t>
      </w:r>
      <w:r>
        <w:t>been fully explored. In particular, it remains to be seen whether sentences</w:t>
      </w:r>
      <w:r>
        <w:rPr>
          <w:rStyle w:val="deletedparamark"/>
        </w:rPr>
        <w:t xml:space="preserve"> </w:t>
      </w:r>
      <w:r>
        <w:t>using less familiar tenses, such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name=e2d13&gt;</w:t>
      </w:r>
      <w:r>
        <w:t>2.13)</w:t>
      </w:r>
      <w:r>
        <w:tab/>
        <w:t>mi [cu] ta'e klama le zarci</w:t>
      </w:r>
    </w:p>
    <w:p w:rsidR="00B72047" w:rsidRDefault="00B72047">
      <w:pPr>
        <w:pStyle w:val="examplescaled"/>
      </w:pPr>
      <w:r>
        <w:tab/>
        <w:t>I habitually go to the market.</w:t>
      </w:r>
    </w:p>
    <w:p w:rsidR="00B72047" w:rsidRDefault="00B72047">
      <w:pPr>
        <w:pStyle w:val="resumedafterexample"/>
      </w:pPr>
      <w:r>
        <w:rPr>
          <w:rStyle w:val="htmlcodes"/>
        </w:rPr>
        <w:t>&lt;/pre&gt;</w:t>
      </w:r>
      <w:r>
        <w:t>mean the same thing with “na” before the “ta'e”, as when the negation</w:t>
      </w:r>
      <w:r>
        <w:rPr>
          <w:rStyle w:val="deletedparamark"/>
        </w:rPr>
        <w:t xml:space="preserve"> </w:t>
      </w:r>
      <w:r>
        <w:t>occurs after</w:t>
      </w:r>
      <w:r>
        <w:softHyphen/>
        <w:t>wards; we'll let future, Lojban-speaking, logicians decide on</w:t>
      </w:r>
      <w:r>
        <w:rPr>
          <w:rStyle w:val="deletedparamark"/>
        </w:rPr>
        <w:t xml:space="preserve"> </w:t>
      </w:r>
      <w:r>
        <w:t>how they relate to each other.</w:t>
      </w:r>
    </w:p>
    <w:p w:rsidR="00B72047" w:rsidRDefault="00B72047">
      <w:pPr>
        <w:rPr>
          <w:rStyle w:val="htmlparacode"/>
        </w:rPr>
      </w:pPr>
      <w:r>
        <w:rPr>
          <w:rStyle w:val="htmlparacode"/>
        </w:rPr>
        <w:t>&lt;p&gt;</w:t>
      </w:r>
    </w:p>
    <w:p w:rsidR="00B72047" w:rsidRDefault="00B72047">
      <w:pPr>
        <w:pStyle w:val="normalparagraph"/>
      </w:pPr>
      <w:r>
        <w:t>A final caution on translating English negations into Lojban: if</w:t>
      </w:r>
      <w:r>
        <w:rPr>
          <w:rStyle w:val="deletedparamark"/>
        </w:rPr>
        <w:t xml:space="preserve"> </w:t>
      </w:r>
      <w:r>
        <w:t>you translate the English literally, you'll get the wrong one. With</w:t>
      </w:r>
      <w:r>
        <w:rPr>
          <w:rStyle w:val="deletedparamark"/>
        </w:rPr>
        <w:t xml:space="preserve"> </w:t>
      </w:r>
      <w:r>
        <w:t>English causal statements, and other statements with auxiliary clauses,</w:t>
      </w:r>
      <w:r>
        <w:rPr>
          <w:rStyle w:val="deletedparamark"/>
        </w:rPr>
        <w:t xml:space="preserve"> </w:t>
      </w:r>
      <w:r>
        <w:t>this problem is more likely.</w:t>
      </w:r>
    </w:p>
    <w:p w:rsidR="00B72047" w:rsidRDefault="00B72047">
      <w:pPr>
        <w:pStyle w:val="normalparagraph"/>
        <w:rPr>
          <w:rStyle w:val="htmlparacode"/>
        </w:rPr>
      </w:pPr>
      <w:r>
        <w:rPr>
          <w:rStyle w:val="htmlparacode"/>
        </w:rPr>
        <w:t>&lt;p&gt;</w:t>
      </w:r>
    </w:p>
    <w:p w:rsidR="00B72047" w:rsidRDefault="00B72047">
      <w:pPr>
        <w:pStyle w:val="normalparagraph"/>
      </w:pPr>
      <w:r>
        <w:t>Thus, if you translate the English: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name=e2d14&gt;</w:t>
      </w:r>
      <w:r>
        <w:t>2.14)</w:t>
      </w:r>
      <w:r>
        <w:tab/>
        <w:t>I do not go to the market because the car is broken.</w:t>
      </w:r>
    </w:p>
    <w:p w:rsidR="00B72047" w:rsidRDefault="00B72047">
      <w:pPr>
        <w:pStyle w:val="resumedafterexample"/>
      </w:pPr>
      <w:r>
        <w:rPr>
          <w:rStyle w:val="htmlcodes"/>
        </w:rPr>
        <w:t>&lt;/pre&gt;</w:t>
      </w:r>
      <w:r>
        <w:t>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name=e2d15&gt;</w:t>
      </w:r>
      <w:r>
        <w:t>2.15)</w:t>
      </w:r>
      <w:r>
        <w:tab/>
        <w:t>mi na klama le zarci ki'u lenu le karce cu spofu</w:t>
      </w:r>
    </w:p>
    <w:p w:rsidR="00B72047" w:rsidRDefault="00B72047">
      <w:pPr>
        <w:pStyle w:val="examplescaled"/>
      </w:pPr>
      <w:r>
        <w:tab/>
        <w:t>I [false] go-to the market because the car is broken.</w:t>
      </w:r>
    </w:p>
    <w:p w:rsidR="00B72047" w:rsidRDefault="00B72047">
      <w:pPr>
        <w:pStyle w:val="examplescaled"/>
      </w:pPr>
      <w:r>
        <w:tab/>
        <w:t>It is false that:  “I go to the market because the car is broken.”</w:t>
      </w:r>
    </w:p>
    <w:p w:rsidR="00B72047" w:rsidRDefault="00B72047">
      <w:pPr>
        <w:pStyle w:val="resumedafterexample"/>
      </w:pPr>
      <w:r>
        <w:rPr>
          <w:rStyle w:val="htmlcodes"/>
        </w:rPr>
        <w:t>&lt;/pre&gt;</w:t>
      </w:r>
      <w:r>
        <w:t>you end up negating too much.</w:t>
      </w:r>
    </w:p>
    <w:p w:rsidR="00B72047" w:rsidRDefault="00B72047">
      <w:pPr>
        <w:rPr>
          <w:rStyle w:val="htmlparacode"/>
        </w:rPr>
      </w:pPr>
      <w:r>
        <w:rPr>
          <w:rStyle w:val="htmlparacode"/>
        </w:rPr>
        <w:t>&lt;p&gt;</w:t>
      </w:r>
    </w:p>
    <w:p w:rsidR="00B72047" w:rsidRDefault="00B72047">
      <w:pPr>
        <w:pStyle w:val="normalparagraph"/>
      </w:pPr>
      <w:r>
        <w:t>Such mistranslations result from the ambiguity of English compounded by</w:t>
      </w:r>
      <w:r>
        <w:rPr>
          <w:rStyle w:val="deletedparamark"/>
        </w:rPr>
        <w:t xml:space="preserve"> </w:t>
      </w:r>
      <w:r>
        <w:t>the messiness of natural language negation. A correct</w:t>
      </w:r>
      <w:r>
        <w:rPr>
          <w:rStyle w:val="deletedparamark"/>
        </w:rPr>
        <w:t xml:space="preserve"> </w:t>
      </w:r>
      <w:r>
        <w:t>translation of the normal interpreta</w:t>
      </w:r>
      <w:r>
        <w:softHyphen/>
        <w:t xml:space="preserve">tion of </w:t>
      </w:r>
      <w:r>
        <w:rPr>
          <w:rStyle w:val="htmlcodes"/>
        </w:rPr>
        <w:t>&lt;a href=#e2d14&gt;</w:t>
      </w:r>
      <w:r>
        <w:t xml:space="preserve">Example 2.14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name=e2d16&gt;</w:t>
      </w:r>
      <w:r>
        <w:t>2.16)</w:t>
      </w:r>
      <w:r>
        <w:tab/>
        <w:t>lenu mi na klama le zarci cu se krinu</w:t>
      </w:r>
    </w:p>
    <w:p w:rsidR="00B72047" w:rsidRDefault="00B72047">
      <w:pPr>
        <w:pStyle w:val="examplescaled"/>
      </w:pPr>
      <w:r>
        <w:tab/>
      </w:r>
      <w:r>
        <w:tab/>
        <w:t>lenu le karce cu spofu</w:t>
      </w:r>
    </w:p>
    <w:p w:rsidR="00B72047" w:rsidRDefault="00B72047">
      <w:pPr>
        <w:pStyle w:val="examplescaled"/>
      </w:pPr>
      <w:r>
        <w:tab/>
        <w:t>The event-of (my [false] going-to the market) is justified by</w:t>
      </w:r>
    </w:p>
    <w:p w:rsidR="00B72047" w:rsidRDefault="00B72047">
      <w:pPr>
        <w:pStyle w:val="examplescaled"/>
      </w:pPr>
      <w:r>
        <w:tab/>
      </w:r>
      <w:r>
        <w:tab/>
        <w:t>the event-of (the car being broken).</w:t>
      </w:r>
    </w:p>
    <w:p w:rsidR="00B72047" w:rsidRDefault="00B72047">
      <w:pPr>
        <w:pStyle w:val="examplescaled"/>
      </w:pPr>
      <w:r>
        <w:tab/>
        <w:t>My not going to the market is because the car is broken.</w:t>
      </w:r>
    </w:p>
    <w:p w:rsidR="00B72047" w:rsidRDefault="00B72047">
      <w:pPr>
        <w:pStyle w:val="resumedafterexample"/>
      </w:pPr>
      <w:r>
        <w:rPr>
          <w:rStyle w:val="htmlcodes"/>
        </w:rPr>
        <w:t>&lt;/pre&gt;&lt;p&gt;</w:t>
      </w:r>
      <w:r>
        <w:t xml:space="preserve">In </w:t>
      </w:r>
      <w:r>
        <w:rPr>
          <w:rStyle w:val="htmlcodes"/>
        </w:rPr>
        <w:t>&lt;a href=#e2d16&gt;</w:t>
      </w:r>
      <w:r>
        <w:t>Example 2.16</w:t>
      </w:r>
      <w:r>
        <w:rPr>
          <w:rStyle w:val="htmlcodes"/>
        </w:rPr>
        <w:t>&lt;/a&gt;</w:t>
      </w:r>
      <w:r>
        <w:t>, the negation is clearly confined to the event abstraction</w:t>
      </w:r>
      <w:r>
        <w:rPr>
          <w:rStyle w:val="deletedparamark"/>
        </w:rPr>
        <w:t xml:space="preserve"> </w:t>
      </w:r>
      <w:r>
        <w:t>in the x1 sumti, and does not extend to the whole sentence. The English</w:t>
      </w:r>
      <w:r>
        <w:rPr>
          <w:rStyle w:val="deletedparamark"/>
        </w:rPr>
        <w:t xml:space="preserve"> </w:t>
      </w:r>
      <w:r>
        <w:t>could also have been expressed by two separate sentences joined by a causal</w:t>
      </w:r>
      <w:r>
        <w:rPr>
          <w:rStyle w:val="deletedparamark"/>
        </w:rPr>
        <w:t xml:space="preserve"> </w:t>
      </w:r>
      <w:r>
        <w:t>connective (which we'll not go into here).</w:t>
      </w:r>
    </w:p>
    <w:p w:rsidR="00B72047" w:rsidRDefault="00B72047">
      <w:pPr>
        <w:rPr>
          <w:rStyle w:val="htmlparacode"/>
        </w:rPr>
      </w:pPr>
      <w:r>
        <w:rPr>
          <w:rStyle w:val="htmlparacode"/>
        </w:rPr>
        <w:t>&lt;p&gt;</w:t>
      </w:r>
    </w:p>
    <w:p w:rsidR="00B72047" w:rsidRDefault="00B72047">
      <w:pPr>
        <w:pStyle w:val="normalparagraph"/>
      </w:pPr>
      <w:r>
        <w:t>The problem is not confined to obvious causals. In the English: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name=e2d17&gt;</w:t>
      </w:r>
      <w:r>
        <w:t>2.17)</w:t>
      </w:r>
      <w:r>
        <w:tab/>
        <w:t>I was not conscripted into the Army with the help of my uncle the Senator.</w:t>
      </w:r>
    </w:p>
    <w:p w:rsidR="00B72047" w:rsidRDefault="00B72047">
      <w:pPr>
        <w:pStyle w:val="resumedafterexample"/>
      </w:pPr>
      <w:r>
        <w:rPr>
          <w:rStyle w:val="htmlcodes"/>
        </w:rPr>
        <w:t>&lt;/pre&gt;</w:t>
      </w:r>
      <w:r>
        <w:t>we do not intend the uncle's help to be part of the negation. We must thus</w:t>
      </w:r>
      <w:r>
        <w:rPr>
          <w:rStyle w:val="deletedparamark"/>
        </w:rPr>
        <w:t xml:space="preserve"> </w:t>
      </w:r>
      <w:r>
        <w:t>move the neg</w:t>
      </w:r>
      <w:r>
        <w:t>a</w:t>
      </w:r>
      <w:r>
        <w:softHyphen/>
        <w:t>tion into an event clause or use two separate sentences.</w:t>
      </w:r>
      <w:r>
        <w:rPr>
          <w:rStyle w:val="deletedparamark"/>
        </w:rPr>
        <w:t xml:space="preserve"> </w:t>
      </w:r>
      <w:r>
        <w:t>The event-clause version would look 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name=e2d18&gt;</w:t>
      </w:r>
      <w:r>
        <w:t>2.18)</w:t>
      </w:r>
      <w:r>
        <w:tab/>
        <w:t>The event-of (my [false] being-conscripted-into the Army) was aided by my uncle the Senator.</w:t>
      </w:r>
    </w:p>
    <w:p w:rsidR="00B72047" w:rsidRDefault="00B72047">
      <w:pPr>
        <w:pStyle w:val="normalafterexample"/>
      </w:pPr>
      <w:r>
        <w:rPr>
          <w:rStyle w:val="htmlcodes"/>
        </w:rPr>
        <w:t>&lt;/pre&gt;&lt;p&gt;</w:t>
      </w:r>
      <w:r>
        <w:t>It is possible that someone will want to incorporate bridi negations</w:t>
      </w:r>
      <w:r>
        <w:rPr>
          <w:rStyle w:val="deletedparamark"/>
        </w:rPr>
        <w:t xml:space="preserve"> </w:t>
      </w:r>
      <w:r>
        <w:t>into lujvo. For this reason, the rafsi “-nar-” has been reserved for “na”.</w:t>
      </w:r>
      <w:r>
        <w:rPr>
          <w:rStyle w:val="deletedparamark"/>
        </w:rPr>
        <w:t xml:space="preserve"> </w:t>
      </w:r>
      <w:r>
        <w:t>However, before using this rafsi, make sure that you intend the</w:t>
      </w:r>
      <w:r>
        <w:rPr>
          <w:rStyle w:val="deletedparamark"/>
        </w:rPr>
        <w:t xml:space="preserve"> </w:t>
      </w:r>
      <w:r>
        <w:t>contradictory bridi negation, and not the scalar ne</w:t>
      </w:r>
      <w:r>
        <w:softHyphen/>
        <w:t>gation described in</w:t>
      </w:r>
      <w:r>
        <w:rPr>
          <w:rStyle w:val="deletedparamark"/>
        </w:rPr>
        <w:t xml:space="preserve"> </w:t>
      </w:r>
      <w:r>
        <w:rPr>
          <w:rStyle w:val="htmlcodes"/>
        </w:rPr>
        <w:t>&lt;a href=#s3&gt;</w:t>
      </w:r>
      <w:r>
        <w:t>Section 3</w:t>
      </w:r>
      <w:r>
        <w:rPr>
          <w:rStyle w:val="htmlcodes"/>
        </w:rPr>
        <w:t>&lt;/a&gt;</w:t>
      </w:r>
      <w:r>
        <w:t>, which will be much more common in tanru and lujvo.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443" w:name="_Toc398970683"/>
      <w:r>
        <w:rPr>
          <w:rStyle w:val="Heading3Text"/>
        </w:rPr>
        <w:t>Scalar negation</w:t>
      </w:r>
      <w:bookmarkEnd w:id="443"/>
      <w:r>
        <w:rPr>
          <w:rStyle w:val="htmlcodes"/>
        </w:rPr>
        <w:t>&lt;/h3&gt;</w:t>
      </w:r>
    </w:p>
    <w:p w:rsidR="00B72047" w:rsidRDefault="00B72047">
      <w:pPr>
        <w:rPr>
          <w:rStyle w:val="htmlparacode"/>
        </w:rPr>
      </w:pPr>
      <w:r>
        <w:rPr>
          <w:rStyle w:val="htmlparacode"/>
        </w:rPr>
        <w:t>&lt;p&gt;</w:t>
      </w:r>
    </w:p>
    <w:p w:rsidR="00B72047" w:rsidRDefault="00B72047">
      <w:pPr>
        <w:pStyle w:val="normalparagraph"/>
      </w:pPr>
      <w:r>
        <w:t>Let us now consider some other types of negation. For example, when we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The chair is not brown.</w:t>
      </w:r>
    </w:p>
    <w:p w:rsidR="00B72047" w:rsidRDefault="00B72047">
      <w:pPr>
        <w:pStyle w:val="resumedafterexample"/>
      </w:pPr>
      <w:r>
        <w:rPr>
          <w:rStyle w:val="htmlcodes"/>
        </w:rPr>
        <w:t>&lt;/pre&gt;</w:t>
      </w:r>
      <w:r>
        <w:t>we make a positive inference — that the chair is some other color. Thus,</w:t>
      </w:r>
      <w:r>
        <w:rPr>
          <w:rStyle w:val="deletedparamark"/>
        </w:rPr>
        <w:t xml:space="preserve"> </w:t>
      </w:r>
      <w:r>
        <w:t>it is legitimate to respond: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It is green.</w:t>
      </w:r>
    </w:p>
    <w:p w:rsidR="00B72047" w:rsidRDefault="00B72047">
      <w:pPr>
        <w:pStyle w:val="resumedafterexample"/>
      </w:pPr>
      <w:r>
        <w:rPr>
          <w:rStyle w:val="htmlcodes"/>
        </w:rPr>
        <w:t>&lt;/pre&gt;&lt;p&gt;</w:t>
      </w:r>
      <w:r>
        <w:t>Whether we agree that the chair is brown or not, the fact that the</w:t>
      </w:r>
      <w:r>
        <w:rPr>
          <w:rStyle w:val="deletedparamark"/>
        </w:rPr>
        <w:t xml:space="preserve"> </w:t>
      </w:r>
      <w:r>
        <w:t>statement refers to color has significant effect on how we interpret some</w:t>
      </w:r>
      <w:r>
        <w:rPr>
          <w:rStyle w:val="deletedparamark"/>
        </w:rPr>
        <w:t xml:space="preserve"> </w:t>
      </w:r>
      <w:r>
        <w:t>responses. If we hear the follow</w:t>
      </w:r>
      <w:r>
        <w:softHyphen/>
        <w:t>ing e</w:t>
      </w:r>
      <w:r>
        <w:t>x</w:t>
      </w:r>
      <w:r>
        <w:softHyphen/>
        <w:t>change: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The chair is not brown.</w:t>
      </w:r>
    </w:p>
    <w:p w:rsidR="00B72047" w:rsidRDefault="00B72047">
      <w:pPr>
        <w:pStyle w:val="examplescaled"/>
      </w:pPr>
      <w:r>
        <w:tab/>
        <w:t>Correct. The chair is wooden.</w:t>
      </w:r>
    </w:p>
    <w:p w:rsidR="00B72047" w:rsidRDefault="00B72047">
      <w:pPr>
        <w:pStyle w:val="resumedafterexample"/>
      </w:pPr>
      <w:r>
        <w:rPr>
          <w:rStyle w:val="htmlcodes"/>
        </w:rPr>
        <w:t>&lt;/pre&gt;</w:t>
      </w:r>
      <w:r>
        <w:t>we immediately start to wonder about the unusual wood that isn't brown. If</w:t>
      </w:r>
      <w:r>
        <w:rPr>
          <w:rStyle w:val="deletedparamark"/>
        </w:rPr>
        <w:t xml:space="preserve"> </w:t>
      </w:r>
      <w:r>
        <w:t>we hear the exchange: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Is the chair green?</w:t>
      </w:r>
    </w:p>
    <w:p w:rsidR="00B72047" w:rsidRDefault="00B72047">
      <w:pPr>
        <w:pStyle w:val="examplescaled"/>
      </w:pPr>
      <w:r>
        <w:tab/>
        <w:t>No, it is in the kitchen.</w:t>
      </w:r>
    </w:p>
    <w:p w:rsidR="00B72047" w:rsidRDefault="00B72047">
      <w:pPr>
        <w:pStyle w:val="resumedafterexample"/>
      </w:pPr>
      <w:r>
        <w:rPr>
          <w:rStyle w:val="htmlcodes"/>
        </w:rPr>
        <w:t>&lt;/pre&gt;</w:t>
      </w:r>
      <w:r>
        <w:t>we are unsettled because the response seems to be a non-sequitur. But</w:t>
      </w:r>
      <w:r>
        <w:rPr>
          <w:rStyle w:val="deletedparamark"/>
        </w:rPr>
        <w:t xml:space="preserve"> </w:t>
      </w:r>
      <w:r>
        <w:t>since it might be true and it is a statement about the chair, one can't say</w:t>
      </w:r>
      <w:r>
        <w:rPr>
          <w:rStyle w:val="deletedparamark"/>
        </w:rPr>
        <w:t xml:space="preserve"> </w:t>
      </w:r>
      <w:r>
        <w:t>it is entirely irrelevant!</w:t>
      </w:r>
    </w:p>
    <w:p w:rsidR="00B72047" w:rsidRDefault="00B72047">
      <w:pPr>
        <w:rPr>
          <w:rStyle w:val="htmlparacode"/>
        </w:rPr>
      </w:pPr>
      <w:r>
        <w:rPr>
          <w:rStyle w:val="htmlparacode"/>
        </w:rPr>
        <w:t>&lt;p&gt;</w:t>
      </w:r>
    </w:p>
    <w:p w:rsidR="00B72047" w:rsidRDefault="00B72047">
      <w:pPr>
        <w:pStyle w:val="normalparagraph"/>
      </w:pPr>
      <w:r>
        <w:t>What is going on in these statements is something called “scalar</w:t>
      </w:r>
      <w:r>
        <w:rPr>
          <w:rStyle w:val="deletedparamark"/>
        </w:rPr>
        <w:t xml:space="preserve"> </w:t>
      </w:r>
      <w:r>
        <w:t>negation”. As the name suggests, scalar negation presumes an implied scale.</w:t>
      </w:r>
      <w:r>
        <w:rPr>
          <w:rStyle w:val="deletedparamark"/>
        </w:rPr>
        <w:t xml:space="preserve"> </w:t>
      </w:r>
      <w:r>
        <w:t>A negation of this type not only states that one scalar value is false, but</w:t>
      </w:r>
      <w:r>
        <w:rPr>
          <w:rStyle w:val="deletedparamark"/>
        </w:rPr>
        <w:t xml:space="preserve"> </w:t>
      </w:r>
      <w:r>
        <w:t>implies that another value on the scale must be true. This can easily lead</w:t>
      </w:r>
      <w:r>
        <w:rPr>
          <w:rStyle w:val="deletedparamark"/>
        </w:rPr>
        <w:t xml:space="preserve"> </w:t>
      </w:r>
      <w:r>
        <w:t>to complications. The following exchange seems rea</w:t>
      </w:r>
      <w:r>
        <w:softHyphen/>
        <w:t>sonably natural (a little</w:t>
      </w:r>
      <w:r>
        <w:rPr>
          <w:rStyle w:val="deletedparamark"/>
        </w:rPr>
        <w:t xml:space="preserve"> </w:t>
      </w:r>
      <w:r>
        <w:t>suspension of disbelief in such inane conversation will help):</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name=e3d5&gt;</w:t>
      </w:r>
      <w:r>
        <w:t>3.5)</w:t>
      </w:r>
      <w:r>
        <w:tab/>
        <w:t>That isn't a blue house.</w:t>
      </w:r>
    </w:p>
    <w:p w:rsidR="00B72047" w:rsidRDefault="00B72047">
      <w:pPr>
        <w:pStyle w:val="examplescaled"/>
      </w:pPr>
      <w:r>
        <w:tab/>
        <w:t>Right!  That is a green house.</w:t>
      </w:r>
    </w:p>
    <w:p w:rsidR="00B72047" w:rsidRDefault="00B72047">
      <w:pPr>
        <w:pStyle w:val="resumedafterexample"/>
      </w:pPr>
      <w:r>
        <w:rPr>
          <w:rStyle w:val="htmlcodes"/>
        </w:rPr>
        <w:t>&lt;/pre&gt;&lt;p&gt;</w:t>
      </w:r>
      <w:r>
        <w:t>We have acknowledged a scalar negation by providing a correct value which</w:t>
      </w:r>
      <w:r>
        <w:rPr>
          <w:rStyle w:val="deletedparamark"/>
        </w:rPr>
        <w:t xml:space="preserve"> </w:t>
      </w:r>
      <w:r>
        <w:t>is another color in the set of colors permissible for houses. While a</w:t>
      </w:r>
      <w:r>
        <w:rPr>
          <w:rStyle w:val="deletedparamark"/>
        </w:rPr>
        <w:t xml:space="preserve"> </w:t>
      </w:r>
      <w:r>
        <w:t>little less likely, the following exchange is also natural: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name=e3d6&gt;</w:t>
      </w:r>
      <w:r>
        <w:t>3.6)</w:t>
      </w:r>
      <w:r>
        <w:tab/>
        <w:t>That isn't a blue house.</w:t>
      </w:r>
    </w:p>
    <w:p w:rsidR="00B72047" w:rsidRDefault="00B72047">
      <w:pPr>
        <w:pStyle w:val="examplescaled"/>
      </w:pPr>
      <w:r>
        <w:tab/>
        <w:t>Right!  That is a blue car.</w:t>
      </w:r>
    </w:p>
    <w:p w:rsidR="00B72047" w:rsidRDefault="00B72047">
      <w:pPr>
        <w:pStyle w:val="resumedafterexample"/>
      </w:pPr>
      <w:r>
        <w:rPr>
          <w:rStyle w:val="htmlcodes"/>
        </w:rPr>
        <w:t>&lt;/pre&gt;&lt;p&gt;</w:t>
      </w:r>
      <w:r>
        <w:t>Again, we have acknowledged a scalar negation, and substituted a different</w:t>
      </w:r>
      <w:r>
        <w:rPr>
          <w:rStyle w:val="deletedparamark"/>
        </w:rPr>
        <w:t xml:space="preserve"> </w:t>
      </w:r>
      <w:r>
        <w:t>object in the universe of discourse of things that can be blue.</w:t>
      </w:r>
    </w:p>
    <w:p w:rsidR="00B72047" w:rsidRDefault="00B72047">
      <w:pPr>
        <w:rPr>
          <w:rStyle w:val="htmlparacode"/>
        </w:rPr>
      </w:pPr>
      <w:r>
        <w:rPr>
          <w:rStyle w:val="htmlparacode"/>
        </w:rPr>
        <w:t>&lt;p&gt;</w:t>
      </w:r>
    </w:p>
    <w:p w:rsidR="00B72047" w:rsidRDefault="00B72047">
      <w:pPr>
        <w:pStyle w:val="normalparagraph"/>
      </w:pPr>
      <w:r>
        <w:t>Now, if the following exchange occurs: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name=e3d7&gt;</w:t>
      </w:r>
      <w:r>
        <w:t>3.7)</w:t>
      </w:r>
      <w:r>
        <w:tab/>
        <w:t>That isn't a blue house.</w:t>
      </w:r>
    </w:p>
    <w:p w:rsidR="00B72047" w:rsidRDefault="00B72047">
      <w:pPr>
        <w:pStyle w:val="examplescaled"/>
      </w:pPr>
      <w:r>
        <w:tab/>
        <w:t>Right!  That is a green car.</w:t>
      </w:r>
    </w:p>
    <w:p w:rsidR="00B72047" w:rsidRDefault="00B72047">
      <w:pPr>
        <w:pStyle w:val="resumedafterexample"/>
      </w:pPr>
      <w:r>
        <w:rPr>
          <w:rStyle w:val="htmlcodes"/>
        </w:rPr>
        <w:t>&lt;/pre&gt;</w:t>
      </w:r>
      <w:r>
        <w:t>we find the result unsettling. This is because it seems that two</w:t>
      </w:r>
      <w:r>
        <w:rPr>
          <w:rStyle w:val="deletedparamark"/>
        </w:rPr>
        <w:t xml:space="preserve"> </w:t>
      </w:r>
      <w:r>
        <w:t>corrections have been a</w:t>
      </w:r>
      <w:r>
        <w:t>p</w:t>
      </w:r>
      <w:r>
        <w:softHyphen/>
        <w:t>plied when there is only one negation. Yet out of</w:t>
      </w:r>
      <w:r>
        <w:rPr>
          <w:rStyle w:val="deletedparamark"/>
        </w:rPr>
        <w:t xml:space="preserve"> </w:t>
      </w:r>
      <w:r>
        <w:t>context, “blue house” and “green car” seem to be reasonably equivalent</w:t>
      </w:r>
      <w:r>
        <w:rPr>
          <w:rStyle w:val="deletedparamark"/>
        </w:rPr>
        <w:t xml:space="preserve"> </w:t>
      </w:r>
      <w:r>
        <w:t>units that should be mutually replaceable in a sentence. It's just that we</w:t>
      </w:r>
      <w:r>
        <w:rPr>
          <w:rStyle w:val="deletedparamark"/>
        </w:rPr>
        <w:t xml:space="preserve"> </w:t>
      </w:r>
      <w:r>
        <w:t>don't have a clear way in English to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name=e3d8&gt;</w:t>
      </w:r>
      <w:r>
        <w:t>3.8)</w:t>
      </w:r>
      <w:r>
        <w:tab/>
        <w:t>That isn't a “blue-house”.</w:t>
      </w:r>
    </w:p>
    <w:p w:rsidR="00B72047" w:rsidRDefault="00B72047">
      <w:pPr>
        <w:pStyle w:val="resumedafterexample"/>
      </w:pPr>
      <w:r>
        <w:rPr>
          <w:rStyle w:val="htmlcodes"/>
        </w:rPr>
        <w:t>&lt;/pre&gt;</w:t>
      </w:r>
      <w:r>
        <w:t>aloud so as to clearly imply that the scalar negation is affecting the pair</w:t>
      </w:r>
      <w:r>
        <w:rPr>
          <w:rStyle w:val="deletedparamark"/>
        </w:rPr>
        <w:t xml:space="preserve"> </w:t>
      </w:r>
      <w:r>
        <w:t>of words as a sin</w:t>
      </w:r>
      <w:r>
        <w:softHyphen/>
        <w:t>gle unit.</w:t>
      </w:r>
    </w:p>
    <w:p w:rsidR="00B72047" w:rsidRDefault="00B72047">
      <w:pPr>
        <w:rPr>
          <w:rStyle w:val="htmlparacode"/>
        </w:rPr>
      </w:pPr>
      <w:r>
        <w:rPr>
          <w:rStyle w:val="htmlparacode"/>
        </w:rPr>
        <w:t>&lt;p&gt;</w:t>
      </w:r>
    </w:p>
    <w:p w:rsidR="00B72047" w:rsidRDefault="00B72047">
      <w:pPr>
        <w:pStyle w:val="normalparagraph"/>
      </w:pPr>
      <w:r>
        <w:t>Another even more confusing example of scalar negation is to the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name=e3d9&gt;</w:t>
      </w:r>
      <w:r>
        <w:t>3.9)</w:t>
      </w:r>
      <w:r>
        <w:tab/>
        <w:t>John didn't go to Paris from Rome.</w:t>
      </w:r>
    </w:p>
    <w:p w:rsidR="00B72047" w:rsidRDefault="00B72047">
      <w:pPr>
        <w:pStyle w:val="resumedafterexample"/>
      </w:pPr>
      <w:r>
        <w:rPr>
          <w:rStyle w:val="htmlcodes"/>
        </w:rPr>
        <w:t>&lt;/pre&gt;&lt;p&gt;</w:t>
      </w:r>
      <w:r>
        <w:t xml:space="preserve">Might </w:t>
      </w:r>
      <w:r>
        <w:rPr>
          <w:rStyle w:val="htmlcodes"/>
        </w:rPr>
        <w:t>&lt;a href=#e3d9&gt;</w:t>
      </w:r>
      <w:r>
        <w:t xml:space="preserve">Example 3.9 </w:t>
      </w:r>
      <w:r>
        <w:rPr>
          <w:rStyle w:val="htmlcodes"/>
        </w:rPr>
        <w:t>&lt;/a&gt;</w:t>
      </w:r>
      <w:r>
        <w:t>imply that John went to Paris from somewhere else?</w:t>
      </w:r>
      <w:r>
        <w:rPr>
          <w:rStyle w:val="deletedparamark"/>
        </w:rPr>
        <w:t xml:space="preserve"> </w:t>
      </w:r>
      <w:r>
        <w:t>Or did he go somewhere else from Rome? Or perhaps he didn't go anywhere at</w:t>
      </w:r>
      <w:r>
        <w:rPr>
          <w:rStyle w:val="deletedparamark"/>
        </w:rPr>
        <w:t xml:space="preserve"> </w:t>
      </w:r>
      <w:r>
        <w:t>all: maybe someone else did, or maybe there was no event of going whatsoever.</w:t>
      </w:r>
      <w:r>
        <w:rPr>
          <w:rStyle w:val="deletedparamark"/>
        </w:rPr>
        <w:t xml:space="preserve"> </w:t>
      </w:r>
      <w:r>
        <w:t>One can devise circum</w:t>
      </w:r>
      <w:r>
        <w:softHyphen/>
        <w:t>stances where any one, two or all three of these</w:t>
      </w:r>
      <w:r>
        <w:rPr>
          <w:rStyle w:val="deletedparamark"/>
        </w:rPr>
        <w:t xml:space="preserve"> </w:t>
      </w:r>
      <w:r>
        <w:t>statements might be inferred by a lis</w:t>
      </w:r>
      <w:r>
        <w:softHyphen/>
        <w:t>tener.</w:t>
      </w:r>
    </w:p>
    <w:p w:rsidR="00B72047" w:rsidRDefault="00B72047">
      <w:pPr>
        <w:rPr>
          <w:rStyle w:val="htmlparacode"/>
        </w:rPr>
      </w:pPr>
      <w:r>
        <w:rPr>
          <w:rStyle w:val="htmlparacode"/>
        </w:rPr>
        <w:t>&lt;p&gt;</w:t>
      </w:r>
    </w:p>
    <w:p w:rsidR="00B72047" w:rsidRDefault="00B72047">
      <w:pPr>
        <w:pStyle w:val="normalparagraph"/>
      </w:pPr>
      <w:r>
        <w:t>In English, we have a clear way of distinguishing scalar negation</w:t>
      </w:r>
      <w:r>
        <w:rPr>
          <w:rStyle w:val="deletedparamark"/>
        </w:rPr>
        <w:t xml:space="preserve"> </w:t>
      </w:r>
      <w:r>
        <w:t>from predi</w:t>
      </w:r>
      <w:r>
        <w:softHyphen/>
        <w:t>cate n</w:t>
      </w:r>
      <w:r>
        <w:t>e</w:t>
      </w:r>
      <w:r>
        <w:softHyphen/>
        <w:t>gation that can be used in many situations. We can use</w:t>
      </w:r>
      <w:r>
        <w:rPr>
          <w:rStyle w:val="deletedparamark"/>
        </w:rPr>
        <w:t xml:space="preserve"> </w:t>
      </w:r>
      <w:r>
        <w:t>the partial word “non-” as a prefix. But this is not always considered</w:t>
      </w:r>
      <w:r>
        <w:rPr>
          <w:rStyle w:val="deletedparamark"/>
        </w:rPr>
        <w:t xml:space="preserve"> </w:t>
      </w:r>
      <w:r>
        <w:t>good usage, even though it would render many stat</w:t>
      </w:r>
      <w:r>
        <w:t>e</w:t>
      </w:r>
      <w:r>
        <w:softHyphen/>
        <w:t>ments much clearer. For</w:t>
      </w:r>
      <w:r>
        <w:rPr>
          <w:rStyle w:val="deletedparamark"/>
        </w:rPr>
        <w:t xml:space="preserve"> </w:t>
      </w:r>
      <w:r>
        <w:t>example, we can clearly distinguish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name=e3d10&gt;</w:t>
      </w:r>
      <w:r>
        <w:t>3.10)</w:t>
      </w:r>
      <w:r>
        <w:tab/>
        <w:t>That is a non-blue house.</w:t>
      </w:r>
    </w:p>
    <w:p w:rsidR="00B72047" w:rsidRDefault="00B72047">
      <w:pPr>
        <w:pStyle w:val="resumedafterexample"/>
      </w:pPr>
      <w:r>
        <w:rPr>
          <w:rStyle w:val="htmlcodes"/>
        </w:rPr>
        <w:t>&lt;/pre&gt;</w:t>
      </w:r>
      <w:r>
        <w:t>from the related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name=e3d11&gt;</w:t>
      </w:r>
      <w:r>
        <w:t>3.11)</w:t>
      </w:r>
      <w:r>
        <w:tab/>
        <w:t>That is a blue non-house.</w:t>
      </w:r>
    </w:p>
    <w:p w:rsidR="00B72047" w:rsidRDefault="00B72047">
      <w:pPr>
        <w:pStyle w:val="resumedafterexample"/>
      </w:pPr>
      <w:r>
        <w:rPr>
          <w:rStyle w:val="htmlcodes"/>
        </w:rPr>
        <w:t>&lt;/pre&gt;&lt;a href=#e3d10&gt;</w:t>
      </w:r>
      <w:r>
        <w:t xml:space="preserve">Example 3.10 </w:t>
      </w:r>
      <w:r>
        <w:rPr>
          <w:rStyle w:val="htmlcodes"/>
        </w:rPr>
        <w:t>&lt;/a&gt;</w:t>
      </w:r>
      <w:r>
        <w:t xml:space="preserve">and </w:t>
      </w:r>
      <w:r>
        <w:rPr>
          <w:rStyle w:val="htmlcodes"/>
        </w:rPr>
        <w:t>&lt;a href=#e3d11&gt;</w:t>
      </w:r>
      <w:r>
        <w:t xml:space="preserve">Example 3.11 </w:t>
      </w:r>
      <w:r>
        <w:rPr>
          <w:rStyle w:val="htmlcodes"/>
        </w:rPr>
        <w:t>&lt;/a&gt;</w:t>
      </w:r>
      <w:r>
        <w:t>have the advantage that, while they contain a</w:t>
      </w:r>
      <w:r>
        <w:rPr>
          <w:rStyle w:val="deletedparamark"/>
        </w:rPr>
        <w:t xml:space="preserve"> </w:t>
      </w:r>
      <w:r>
        <w:t>negative indication, they are in fact positive assertions. They say what</w:t>
      </w:r>
      <w:r>
        <w:rPr>
          <w:rStyle w:val="deletedparamark"/>
        </w:rPr>
        <w:t xml:space="preserve"> </w:t>
      </w:r>
      <w:r>
        <w:t>is true by excluding the false; they do not say what is false.</w:t>
      </w:r>
    </w:p>
    <w:p w:rsidR="00B72047" w:rsidRDefault="00B72047">
      <w:pPr>
        <w:rPr>
          <w:rStyle w:val="htmlparacode"/>
        </w:rPr>
      </w:pPr>
      <w:r>
        <w:rPr>
          <w:rStyle w:val="htmlparacode"/>
        </w:rPr>
        <w:t>&lt;p&gt;</w:t>
      </w:r>
    </w:p>
    <w:p w:rsidR="00B72047" w:rsidRDefault="00B72047">
      <w:pPr>
        <w:pStyle w:val="normalparagraph"/>
      </w:pPr>
      <w:r>
        <w:t>We can't always use “non-” though, because of the peculiarities of</w:t>
      </w:r>
      <w:r>
        <w:rPr>
          <w:rStyle w:val="deletedparamark"/>
        </w:rPr>
        <w:t xml:space="preserve"> </w:t>
      </w:r>
      <w:r>
        <w:t>English's gra</w:t>
      </w:r>
      <w:r>
        <w:t>m</w:t>
      </w:r>
      <w:r>
        <w:softHyphen/>
        <w:t>mar. It would sound strange to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name=e3d12&gt;</w:t>
      </w:r>
      <w:r>
        <w:t>3.12)</w:t>
      </w:r>
      <w:r>
        <w:tab/>
        <w:t>John went to non-Paris from Rome.</w:t>
      </w:r>
    </w:p>
    <w:p w:rsidR="00B72047" w:rsidRDefault="00B72047">
      <w:pPr>
        <w:pStyle w:val="resumedafterexample"/>
      </w:pPr>
      <w:r>
        <w:rPr>
          <w:rStyle w:val="htmlcodes"/>
        </w:rPr>
        <w:t>&lt;/pre&gt;</w:t>
      </w:r>
      <w:r>
        <w:t>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name=e3d13&gt;</w:t>
      </w:r>
      <w:r>
        <w:t>3.13)</w:t>
      </w:r>
      <w:r>
        <w:tab/>
        <w:t>John went to Paris from non-Rome.</w:t>
      </w:r>
    </w:p>
    <w:p w:rsidR="00B72047" w:rsidRDefault="00B72047">
      <w:pPr>
        <w:pStyle w:val="resumedafterexample"/>
      </w:pPr>
      <w:r>
        <w:rPr>
          <w:rStyle w:val="htmlcodes"/>
        </w:rPr>
        <w:t>&lt;/pre&gt;</w:t>
      </w:r>
      <w:r>
        <w:t>although these would clarify the vague negation. Another circumlocution for</w:t>
      </w:r>
      <w:r>
        <w:rPr>
          <w:rStyle w:val="deletedparamark"/>
        </w:rPr>
        <w:t xml:space="preserve"> </w:t>
      </w:r>
      <w:r>
        <w:t>English scalar negation is “other than”, which works where “non-” does not,</w:t>
      </w:r>
      <w:r>
        <w:rPr>
          <w:rStyle w:val="deletedparamark"/>
        </w:rPr>
        <w:t xml:space="preserve"> </w:t>
      </w:r>
      <w:r>
        <w:t>but is wordier.</w:t>
      </w:r>
    </w:p>
    <w:p w:rsidR="00B72047" w:rsidRDefault="00B72047">
      <w:pPr>
        <w:rPr>
          <w:rStyle w:val="htmlparacode"/>
        </w:rPr>
      </w:pPr>
      <w:r>
        <w:rPr>
          <w:rStyle w:val="htmlparacode"/>
        </w:rPr>
        <w:t>&lt;p&gt;</w:t>
      </w:r>
    </w:p>
    <w:p w:rsidR="00B72047" w:rsidRDefault="00B72047">
      <w:pPr>
        <w:pStyle w:val="normalafterexample"/>
      </w:pPr>
      <w:r>
        <w:t>Finally, we have natural language negations that are called</w:t>
      </w:r>
      <w:r>
        <w:rPr>
          <w:rStyle w:val="deletedparamark"/>
        </w:rPr>
        <w:t xml:space="preserve"> </w:t>
      </w:r>
      <w:r>
        <w:t>polar negations, or opp</w:t>
      </w:r>
      <w:r>
        <w:t>o</w:t>
      </w:r>
      <w:r>
        <w:softHyphen/>
        <w:t>sites: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name=e3d14&gt;</w:t>
      </w:r>
      <w:r>
        <w:t>3.14)</w:t>
      </w:r>
      <w:r>
        <w:tab/>
        <w:t>John is moral</w:t>
      </w:r>
    </w:p>
    <w:p w:rsidR="00B72047" w:rsidRDefault="00B72047">
      <w:pPr>
        <w:pStyle w:val="examplescaledpre"/>
      </w:pPr>
      <w:r>
        <w:rPr>
          <w:rStyle w:val="htmlcodes"/>
        </w:rPr>
        <w:t>&lt;a name=e3d15&gt;</w:t>
      </w:r>
      <w:r>
        <w:t>3.15)</w:t>
      </w:r>
      <w:r>
        <w:tab/>
        <w:t>John is immoral</w:t>
      </w:r>
    </w:p>
    <w:p w:rsidR="00B72047" w:rsidRDefault="00B72047">
      <w:pPr>
        <w:pStyle w:val="resumedafterexample"/>
      </w:pPr>
      <w:r>
        <w:rPr>
          <w:rStyle w:val="htmlcodes"/>
        </w:rPr>
        <w:t>&lt;/pre&gt;&lt;p&gt;</w:t>
      </w:r>
      <w:r>
        <w:t>To be immoral is much more than to just be not moral: it implies the</w:t>
      </w:r>
      <w:r>
        <w:rPr>
          <w:rStyle w:val="deletedparamark"/>
        </w:rPr>
        <w:t xml:space="preserve"> </w:t>
      </w:r>
      <w:r>
        <w:t>opposite condi</w:t>
      </w:r>
      <w:r>
        <w:softHyphen/>
        <w:t xml:space="preserve">tion. Statements like </w:t>
      </w:r>
      <w:r>
        <w:rPr>
          <w:rStyle w:val="htmlcodes"/>
        </w:rPr>
        <w:t>&lt;a href=#e3d15&gt;</w:t>
      </w:r>
      <w:r>
        <w:t xml:space="preserve">Example 3.15 </w:t>
      </w:r>
      <w:r>
        <w:rPr>
          <w:rStyle w:val="htmlcodes"/>
        </w:rPr>
        <w:t>&lt;/a&gt;</w:t>
      </w:r>
      <w:r>
        <w:t>are strong negations which</w:t>
      </w:r>
      <w:r>
        <w:rPr>
          <w:rStyle w:val="deletedparamark"/>
        </w:rPr>
        <w:t xml:space="preserve"> </w:t>
      </w:r>
      <w:r>
        <w:t>not only deny the truth of a statement, but assert its opposite.</w:t>
      </w:r>
      <w:r>
        <w:rPr>
          <w:rStyle w:val="deletedparamark"/>
        </w:rPr>
        <w:t xml:space="preserve"> </w:t>
      </w:r>
      <w:r>
        <w:t>Since, “opposite” implies a scale, polar negations are a special variety</w:t>
      </w:r>
      <w:r>
        <w:rPr>
          <w:rStyle w:val="deletedparamark"/>
        </w:rPr>
        <w:t xml:space="preserve"> </w:t>
      </w:r>
      <w:r>
        <w:t>of scalar negations.</w:t>
      </w:r>
    </w:p>
    <w:p w:rsidR="00B72047" w:rsidRDefault="00B72047">
      <w:pPr>
        <w:rPr>
          <w:rStyle w:val="htmlparacode"/>
        </w:rPr>
      </w:pPr>
      <w:r>
        <w:rPr>
          <w:rStyle w:val="htmlparacode"/>
        </w:rPr>
        <w:t>&lt;p&gt;</w:t>
      </w:r>
    </w:p>
    <w:p w:rsidR="00B72047" w:rsidRDefault="00B72047">
      <w:pPr>
        <w:pStyle w:val="normalparagraph"/>
      </w:pPr>
      <w:r>
        <w:t>To examine this concept more closely, let us draw a linear scale, showing</w:t>
      </w:r>
      <w:r>
        <w:rPr>
          <w:rStyle w:val="deletedparamark"/>
        </w:rPr>
        <w:t xml:space="preserve"> </w:t>
      </w:r>
      <w:r>
        <w:t>two exa</w:t>
      </w:r>
      <w:r>
        <w:t>m</w:t>
      </w:r>
      <w:r>
        <w:softHyphen/>
        <w:t>ples of how the scale is used:</w:t>
      </w:r>
    </w:p>
    <w:tbl>
      <w:tblPr>
        <w:tblW w:w="0" w:type="auto"/>
        <w:tblLayout w:type="fixed"/>
        <w:tblLook w:val="0000"/>
      </w:tblPr>
      <w:tblGrid>
        <w:gridCol w:w="640"/>
        <w:gridCol w:w="640"/>
        <w:gridCol w:w="640"/>
        <w:gridCol w:w="640"/>
        <w:gridCol w:w="640"/>
        <w:gridCol w:w="640"/>
        <w:gridCol w:w="640"/>
        <w:gridCol w:w="640"/>
        <w:gridCol w:w="640"/>
        <w:gridCol w:w="640"/>
      </w:tblGrid>
      <w:tr w:rsidR="00B72047">
        <w:tblPrEx>
          <w:tblCellMar>
            <w:top w:w="0" w:type="dxa"/>
            <w:bottom w:w="0" w:type="dxa"/>
          </w:tblCellMar>
        </w:tblPrEx>
        <w:trPr>
          <w:hidden w:val="0"/>
        </w:trPr>
        <w:tc>
          <w:tcPr>
            <w:tcW w:w="1280" w:type="dxa"/>
            <w:gridSpan w:val="2"/>
          </w:tcPr>
          <w:p w:rsidR="00B72047" w:rsidRDefault="00B72047">
            <w:pPr>
              <w:spacing w:before="120"/>
              <w:jc w:val="center"/>
              <w:rPr>
                <w:rStyle w:val="htmlparacode"/>
                <w:vanish w:val="0"/>
              </w:rPr>
            </w:pPr>
            <w:r>
              <w:rPr>
                <w:rStyle w:val="htmlparacode"/>
                <w:vanish w:val="0"/>
              </w:rPr>
              <w:t>Affirmations</w:t>
            </w:r>
          </w:p>
        </w:tc>
        <w:tc>
          <w:tcPr>
            <w:tcW w:w="1280" w:type="dxa"/>
            <w:gridSpan w:val="2"/>
          </w:tcPr>
          <w:p w:rsidR="00B72047" w:rsidRDefault="00B72047">
            <w:pPr>
              <w:spacing w:before="120"/>
              <w:jc w:val="center"/>
              <w:rPr>
                <w:rStyle w:val="htmlparacode"/>
                <w:vanish w:val="0"/>
              </w:rPr>
            </w:pPr>
            <w:r>
              <w:rPr>
                <w:rStyle w:val="htmlparacode"/>
                <w:vanish w:val="0"/>
              </w:rPr>
              <w:t>(positive)</w:t>
            </w:r>
          </w:p>
        </w:tc>
        <w:tc>
          <w:tcPr>
            <w:tcW w:w="1280" w:type="dxa"/>
            <w:gridSpan w:val="2"/>
          </w:tcPr>
          <w:p w:rsidR="00B72047" w:rsidRDefault="00B72047">
            <w:pPr>
              <w:spacing w:before="120"/>
              <w:jc w:val="center"/>
              <w:rPr>
                <w:rStyle w:val="htmlparacode"/>
                <w:vanish w:val="0"/>
              </w:rPr>
            </w:pPr>
          </w:p>
        </w:tc>
        <w:tc>
          <w:tcPr>
            <w:tcW w:w="1280" w:type="dxa"/>
            <w:gridSpan w:val="2"/>
          </w:tcPr>
          <w:p w:rsidR="00B72047" w:rsidRDefault="00B72047">
            <w:pPr>
              <w:spacing w:before="120"/>
              <w:jc w:val="center"/>
              <w:rPr>
                <w:rStyle w:val="htmlparacode"/>
                <w:vanish w:val="0"/>
              </w:rPr>
            </w:pPr>
            <w:r>
              <w:rPr>
                <w:rStyle w:val="htmlparacode"/>
                <w:vanish w:val="0"/>
              </w:rPr>
              <w:t>Negations</w:t>
            </w:r>
          </w:p>
        </w:tc>
        <w:tc>
          <w:tcPr>
            <w:tcW w:w="1280" w:type="dxa"/>
            <w:gridSpan w:val="2"/>
          </w:tcPr>
          <w:p w:rsidR="00B72047" w:rsidRDefault="00B72047">
            <w:pPr>
              <w:spacing w:before="120"/>
              <w:rPr>
                <w:rStyle w:val="htmlparacode"/>
                <w:vanish w:val="0"/>
              </w:rPr>
            </w:pPr>
            <w:r>
              <w:rPr>
                <w:rStyle w:val="htmlparacode"/>
                <w:vanish w:val="0"/>
              </w:rPr>
              <w:t>(negative)</w:t>
            </w:r>
          </w:p>
        </w:tc>
      </w:tr>
      <w:tr w:rsidR="00B72047">
        <w:tblPrEx>
          <w:tblCellMar>
            <w:top w:w="0" w:type="dxa"/>
            <w:bottom w:w="0" w:type="dxa"/>
          </w:tblCellMar>
        </w:tblPrEx>
        <w:trPr>
          <w:trHeight w:hRule="exact" w:val="120"/>
          <w:hidden w:val="0"/>
        </w:trPr>
        <w:tc>
          <w:tcPr>
            <w:tcW w:w="640" w:type="dxa"/>
          </w:tcPr>
          <w:p w:rsidR="00B72047" w:rsidRDefault="00B72047">
            <w:pPr>
              <w:rPr>
                <w:rStyle w:val="htmlparacode"/>
                <w:vanish w:val="0"/>
              </w:rPr>
            </w:pPr>
          </w:p>
        </w:tc>
        <w:tc>
          <w:tcPr>
            <w:tcW w:w="640" w:type="dxa"/>
            <w:tcBorders>
              <w:left w:val="single" w:sz="6" w:space="0" w:color="auto"/>
            </w:tcBorders>
          </w:tcPr>
          <w:p w:rsidR="00B72047" w:rsidRDefault="00B72047">
            <w:pPr>
              <w:rPr>
                <w:rStyle w:val="htmlparacode"/>
                <w:vanish w:val="0"/>
              </w:rPr>
            </w:pPr>
          </w:p>
        </w:tc>
        <w:tc>
          <w:tcPr>
            <w:tcW w:w="640" w:type="dxa"/>
            <w:tcBorders>
              <w:bottom w:val="single" w:sz="6" w:space="0" w:color="auto"/>
              <w:right w:val="single" w:sz="6" w:space="0" w:color="auto"/>
            </w:tcBorders>
          </w:tcPr>
          <w:p w:rsidR="00B72047" w:rsidRDefault="00B72047">
            <w:pPr>
              <w:rPr>
                <w:rStyle w:val="htmlparacode"/>
                <w:vanish w:val="0"/>
              </w:rPr>
            </w:pPr>
          </w:p>
        </w:tc>
        <w:tc>
          <w:tcPr>
            <w:tcW w:w="640" w:type="dxa"/>
            <w:tcBorders>
              <w:left w:val="nil"/>
            </w:tcBorders>
          </w:tcPr>
          <w:p w:rsidR="00B72047" w:rsidRDefault="00B72047">
            <w:pPr>
              <w:rPr>
                <w:rStyle w:val="htmlparacode"/>
                <w:vanish w:val="0"/>
              </w:rPr>
            </w:pPr>
          </w:p>
        </w:tc>
        <w:tc>
          <w:tcPr>
            <w:tcW w:w="640" w:type="dxa"/>
            <w:tcBorders>
              <w:bottom w:val="single" w:sz="6" w:space="0" w:color="auto"/>
              <w:right w:val="single" w:sz="6" w:space="0" w:color="auto"/>
            </w:tcBorders>
          </w:tcPr>
          <w:p w:rsidR="00B72047" w:rsidRDefault="00B72047">
            <w:pPr>
              <w:rPr>
                <w:rStyle w:val="htmlparacode"/>
                <w:vanish w:val="0"/>
              </w:rPr>
            </w:pPr>
          </w:p>
        </w:tc>
        <w:tc>
          <w:tcPr>
            <w:tcW w:w="640" w:type="dxa"/>
            <w:tcBorders>
              <w:left w:val="nil"/>
            </w:tcBorders>
          </w:tcPr>
          <w:p w:rsidR="00B72047" w:rsidRDefault="00B72047">
            <w:pPr>
              <w:rPr>
                <w:rStyle w:val="htmlparacode"/>
                <w:vanish w:val="0"/>
              </w:rPr>
            </w:pPr>
          </w:p>
        </w:tc>
        <w:tc>
          <w:tcPr>
            <w:tcW w:w="640" w:type="dxa"/>
            <w:tcBorders>
              <w:right w:val="single" w:sz="6" w:space="0" w:color="auto"/>
            </w:tcBorders>
          </w:tcPr>
          <w:p w:rsidR="00B72047" w:rsidRDefault="00B72047">
            <w:pPr>
              <w:rPr>
                <w:rStyle w:val="htmlparacode"/>
                <w:vanish w:val="0"/>
              </w:rPr>
            </w:pPr>
          </w:p>
        </w:tc>
        <w:tc>
          <w:tcPr>
            <w:tcW w:w="640" w:type="dxa"/>
            <w:tcBorders>
              <w:left w:val="nil"/>
              <w:bottom w:val="single" w:sz="6" w:space="0" w:color="auto"/>
            </w:tcBorders>
          </w:tcPr>
          <w:p w:rsidR="00B72047" w:rsidRDefault="00B72047">
            <w:pPr>
              <w:rPr>
                <w:rStyle w:val="htmlparacode"/>
                <w:vanish w:val="0"/>
              </w:rPr>
            </w:pPr>
          </w:p>
        </w:tc>
        <w:tc>
          <w:tcPr>
            <w:tcW w:w="640" w:type="dxa"/>
            <w:tcBorders>
              <w:left w:val="nil"/>
              <w:right w:val="single" w:sz="6" w:space="0" w:color="auto"/>
            </w:tcBorders>
          </w:tcPr>
          <w:p w:rsidR="00B72047" w:rsidRDefault="00B72047">
            <w:pPr>
              <w:rPr>
                <w:rStyle w:val="htmlparacode"/>
                <w:vanish w:val="0"/>
              </w:rPr>
            </w:pPr>
          </w:p>
        </w:tc>
        <w:tc>
          <w:tcPr>
            <w:tcW w:w="640" w:type="dxa"/>
            <w:tcBorders>
              <w:left w:val="nil"/>
            </w:tcBorders>
          </w:tcPr>
          <w:p w:rsidR="00B72047" w:rsidRDefault="00B72047">
            <w:pPr>
              <w:rPr>
                <w:rStyle w:val="htmlparacode"/>
                <w:vanish w:val="0"/>
              </w:rPr>
            </w:pPr>
          </w:p>
        </w:tc>
      </w:tr>
      <w:tr w:rsidR="00B72047">
        <w:tblPrEx>
          <w:tblCellMar>
            <w:top w:w="0" w:type="dxa"/>
            <w:bottom w:w="0" w:type="dxa"/>
          </w:tblCellMar>
        </w:tblPrEx>
        <w:trPr>
          <w:trHeight w:hRule="exact" w:val="120"/>
          <w:hidden w:val="0"/>
        </w:trPr>
        <w:tc>
          <w:tcPr>
            <w:tcW w:w="640" w:type="dxa"/>
          </w:tcPr>
          <w:p w:rsidR="00B72047" w:rsidRDefault="00B72047">
            <w:pPr>
              <w:rPr>
                <w:rStyle w:val="htmlparacode"/>
                <w:vanish w:val="0"/>
              </w:rPr>
            </w:pPr>
          </w:p>
        </w:tc>
        <w:tc>
          <w:tcPr>
            <w:tcW w:w="640" w:type="dxa"/>
            <w:tcBorders>
              <w:top w:val="single" w:sz="6" w:space="0" w:color="auto"/>
              <w:left w:val="single" w:sz="6" w:space="0" w:color="auto"/>
            </w:tcBorders>
          </w:tcPr>
          <w:p w:rsidR="00B72047" w:rsidRDefault="00B72047">
            <w:pPr>
              <w:rPr>
                <w:rStyle w:val="htmlparacode"/>
                <w:vanish w:val="0"/>
              </w:rPr>
            </w:pPr>
          </w:p>
        </w:tc>
        <w:tc>
          <w:tcPr>
            <w:tcW w:w="640" w:type="dxa"/>
          </w:tcPr>
          <w:p w:rsidR="00B72047" w:rsidRDefault="00B72047">
            <w:pPr>
              <w:rPr>
                <w:rStyle w:val="htmlparacode"/>
                <w:vanish w:val="0"/>
              </w:rPr>
            </w:pPr>
          </w:p>
        </w:tc>
        <w:tc>
          <w:tcPr>
            <w:tcW w:w="640" w:type="dxa"/>
            <w:tcBorders>
              <w:top w:val="single" w:sz="6" w:space="0" w:color="auto"/>
              <w:left w:val="single" w:sz="6" w:space="0" w:color="auto"/>
            </w:tcBorders>
          </w:tcPr>
          <w:p w:rsidR="00B72047" w:rsidRDefault="00B72047">
            <w:pPr>
              <w:rPr>
                <w:rStyle w:val="htmlparacode"/>
                <w:vanish w:val="0"/>
              </w:rPr>
            </w:pPr>
          </w:p>
        </w:tc>
        <w:tc>
          <w:tcPr>
            <w:tcW w:w="640" w:type="dxa"/>
          </w:tcPr>
          <w:p w:rsidR="00B72047" w:rsidRDefault="00B72047">
            <w:pPr>
              <w:rPr>
                <w:rStyle w:val="htmlparacode"/>
                <w:vanish w:val="0"/>
              </w:rPr>
            </w:pPr>
          </w:p>
        </w:tc>
        <w:tc>
          <w:tcPr>
            <w:tcW w:w="640" w:type="dxa"/>
            <w:tcBorders>
              <w:top w:val="single" w:sz="6" w:space="0" w:color="auto"/>
              <w:left w:val="single" w:sz="6" w:space="0" w:color="auto"/>
            </w:tcBorders>
          </w:tcPr>
          <w:p w:rsidR="00B72047" w:rsidRDefault="00B72047">
            <w:pPr>
              <w:rPr>
                <w:rStyle w:val="htmlparacode"/>
                <w:vanish w:val="0"/>
              </w:rPr>
            </w:pPr>
          </w:p>
        </w:tc>
        <w:tc>
          <w:tcPr>
            <w:tcW w:w="640" w:type="dxa"/>
            <w:tcBorders>
              <w:top w:val="single" w:sz="6" w:space="0" w:color="auto"/>
              <w:right w:val="single" w:sz="6" w:space="0" w:color="auto"/>
            </w:tcBorders>
          </w:tcPr>
          <w:p w:rsidR="00B72047" w:rsidRDefault="00B72047">
            <w:pPr>
              <w:rPr>
                <w:rStyle w:val="htmlparacode"/>
                <w:vanish w:val="0"/>
              </w:rPr>
            </w:pPr>
          </w:p>
        </w:tc>
        <w:tc>
          <w:tcPr>
            <w:tcW w:w="640" w:type="dxa"/>
            <w:tcBorders>
              <w:left w:val="nil"/>
            </w:tcBorders>
          </w:tcPr>
          <w:p w:rsidR="00B72047" w:rsidRDefault="00B72047">
            <w:pPr>
              <w:rPr>
                <w:rStyle w:val="htmlparacode"/>
                <w:vanish w:val="0"/>
              </w:rPr>
            </w:pPr>
          </w:p>
        </w:tc>
        <w:tc>
          <w:tcPr>
            <w:tcW w:w="640" w:type="dxa"/>
            <w:tcBorders>
              <w:top w:val="single" w:sz="6" w:space="0" w:color="auto"/>
              <w:right w:val="single" w:sz="6" w:space="0" w:color="auto"/>
            </w:tcBorders>
          </w:tcPr>
          <w:p w:rsidR="00B72047" w:rsidRDefault="00B72047">
            <w:pPr>
              <w:rPr>
                <w:rStyle w:val="htmlparacode"/>
                <w:vanish w:val="0"/>
              </w:rPr>
            </w:pPr>
          </w:p>
        </w:tc>
        <w:tc>
          <w:tcPr>
            <w:tcW w:w="640" w:type="dxa"/>
            <w:tcBorders>
              <w:left w:val="nil"/>
            </w:tcBorders>
          </w:tcPr>
          <w:p w:rsidR="00B72047" w:rsidRDefault="00B72047">
            <w:pPr>
              <w:rPr>
                <w:rStyle w:val="htmlparacode"/>
                <w:vanish w:val="0"/>
              </w:rPr>
            </w:pPr>
          </w:p>
        </w:tc>
      </w:tr>
      <w:tr w:rsidR="00B72047">
        <w:tblPrEx>
          <w:tblCellMar>
            <w:top w:w="0" w:type="dxa"/>
            <w:bottom w:w="0" w:type="dxa"/>
          </w:tblCellMar>
        </w:tblPrEx>
        <w:trPr>
          <w:hidden w:val="0"/>
        </w:trPr>
        <w:tc>
          <w:tcPr>
            <w:tcW w:w="1280" w:type="dxa"/>
            <w:gridSpan w:val="2"/>
          </w:tcPr>
          <w:p w:rsidR="00B72047" w:rsidRDefault="00B72047">
            <w:pPr>
              <w:jc w:val="center"/>
              <w:rPr>
                <w:rStyle w:val="htmlparacode"/>
                <w:vanish w:val="0"/>
              </w:rPr>
            </w:pPr>
            <w:r>
              <w:rPr>
                <w:rStyle w:val="htmlparacode"/>
                <w:vanish w:val="0"/>
              </w:rPr>
              <w:t>All</w:t>
            </w:r>
          </w:p>
        </w:tc>
        <w:tc>
          <w:tcPr>
            <w:tcW w:w="1280" w:type="dxa"/>
            <w:gridSpan w:val="2"/>
          </w:tcPr>
          <w:p w:rsidR="00B72047" w:rsidRDefault="00B72047">
            <w:pPr>
              <w:jc w:val="center"/>
              <w:rPr>
                <w:rStyle w:val="htmlparacode"/>
                <w:vanish w:val="0"/>
              </w:rPr>
            </w:pPr>
            <w:r>
              <w:rPr>
                <w:rStyle w:val="htmlparacode"/>
                <w:vanish w:val="0"/>
              </w:rPr>
              <w:t>Most</w:t>
            </w:r>
          </w:p>
        </w:tc>
        <w:tc>
          <w:tcPr>
            <w:tcW w:w="1280" w:type="dxa"/>
            <w:gridSpan w:val="2"/>
          </w:tcPr>
          <w:p w:rsidR="00B72047" w:rsidRDefault="00B72047">
            <w:pPr>
              <w:jc w:val="center"/>
              <w:rPr>
                <w:rStyle w:val="htmlparacode"/>
                <w:vanish w:val="0"/>
              </w:rPr>
            </w:pPr>
            <w:r>
              <w:rPr>
                <w:rStyle w:val="htmlparacode"/>
                <w:vanish w:val="0"/>
              </w:rPr>
              <w:t>Some</w:t>
            </w:r>
          </w:p>
        </w:tc>
        <w:tc>
          <w:tcPr>
            <w:tcW w:w="1280" w:type="dxa"/>
            <w:gridSpan w:val="2"/>
          </w:tcPr>
          <w:p w:rsidR="00B72047" w:rsidRDefault="00B72047">
            <w:pPr>
              <w:jc w:val="center"/>
              <w:rPr>
                <w:rStyle w:val="htmlparacode"/>
                <w:vanish w:val="0"/>
              </w:rPr>
            </w:pPr>
            <w:r>
              <w:rPr>
                <w:rStyle w:val="htmlparacode"/>
                <w:vanish w:val="0"/>
              </w:rPr>
              <w:t>Few</w:t>
            </w:r>
          </w:p>
        </w:tc>
        <w:tc>
          <w:tcPr>
            <w:tcW w:w="1280" w:type="dxa"/>
            <w:gridSpan w:val="2"/>
          </w:tcPr>
          <w:p w:rsidR="00B72047" w:rsidRDefault="00B72047">
            <w:pPr>
              <w:jc w:val="center"/>
              <w:rPr>
                <w:rStyle w:val="htmlparacode"/>
                <w:vanish w:val="0"/>
              </w:rPr>
            </w:pPr>
            <w:r>
              <w:rPr>
                <w:rStyle w:val="htmlparacode"/>
                <w:vanish w:val="0"/>
              </w:rPr>
              <w:t>None</w:t>
            </w:r>
          </w:p>
        </w:tc>
      </w:tr>
      <w:tr w:rsidR="00B72047">
        <w:tblPrEx>
          <w:tblCellMar>
            <w:top w:w="0" w:type="dxa"/>
            <w:bottom w:w="0" w:type="dxa"/>
          </w:tblCellMar>
        </w:tblPrEx>
        <w:trPr>
          <w:hidden w:val="0"/>
        </w:trPr>
        <w:tc>
          <w:tcPr>
            <w:tcW w:w="1280" w:type="dxa"/>
            <w:gridSpan w:val="2"/>
          </w:tcPr>
          <w:p w:rsidR="00B72047" w:rsidRDefault="00B72047">
            <w:pPr>
              <w:jc w:val="center"/>
              <w:rPr>
                <w:rStyle w:val="htmlparacode"/>
                <w:vanish w:val="0"/>
              </w:rPr>
            </w:pPr>
            <w:r>
              <w:rPr>
                <w:rStyle w:val="htmlparacode"/>
                <w:vanish w:val="0"/>
              </w:rPr>
              <w:t>Excellent</w:t>
            </w:r>
          </w:p>
        </w:tc>
        <w:tc>
          <w:tcPr>
            <w:tcW w:w="1280" w:type="dxa"/>
            <w:gridSpan w:val="2"/>
          </w:tcPr>
          <w:p w:rsidR="00B72047" w:rsidRDefault="00B72047">
            <w:pPr>
              <w:jc w:val="center"/>
              <w:rPr>
                <w:rStyle w:val="htmlparacode"/>
                <w:vanish w:val="0"/>
              </w:rPr>
            </w:pPr>
            <w:r>
              <w:rPr>
                <w:rStyle w:val="htmlparacode"/>
                <w:vanish w:val="0"/>
              </w:rPr>
              <w:t>Good</w:t>
            </w:r>
          </w:p>
        </w:tc>
        <w:tc>
          <w:tcPr>
            <w:tcW w:w="1280" w:type="dxa"/>
            <w:gridSpan w:val="2"/>
          </w:tcPr>
          <w:p w:rsidR="00B72047" w:rsidRDefault="00B72047">
            <w:pPr>
              <w:jc w:val="center"/>
              <w:rPr>
                <w:rStyle w:val="htmlparacode"/>
                <w:vanish w:val="0"/>
              </w:rPr>
            </w:pPr>
            <w:r>
              <w:rPr>
                <w:rStyle w:val="htmlparacode"/>
                <w:vanish w:val="0"/>
              </w:rPr>
              <w:t>Fair</w:t>
            </w:r>
          </w:p>
        </w:tc>
        <w:tc>
          <w:tcPr>
            <w:tcW w:w="1280" w:type="dxa"/>
            <w:gridSpan w:val="2"/>
          </w:tcPr>
          <w:p w:rsidR="00B72047" w:rsidRDefault="00B72047">
            <w:pPr>
              <w:jc w:val="center"/>
              <w:rPr>
                <w:rStyle w:val="htmlparacode"/>
                <w:vanish w:val="0"/>
              </w:rPr>
            </w:pPr>
            <w:r>
              <w:rPr>
                <w:rStyle w:val="htmlparacode"/>
                <w:vanish w:val="0"/>
              </w:rPr>
              <w:t>Poor</w:t>
            </w:r>
          </w:p>
        </w:tc>
        <w:tc>
          <w:tcPr>
            <w:tcW w:w="1280" w:type="dxa"/>
            <w:gridSpan w:val="2"/>
          </w:tcPr>
          <w:p w:rsidR="00B72047" w:rsidRDefault="00B72047">
            <w:pPr>
              <w:jc w:val="center"/>
              <w:rPr>
                <w:rStyle w:val="htmlparacode"/>
                <w:vanish w:val="0"/>
              </w:rPr>
            </w:pPr>
            <w:r>
              <w:rPr>
                <w:rStyle w:val="htmlparacode"/>
                <w:vanish w:val="0"/>
              </w:rPr>
              <w:t>Awful</w:t>
            </w:r>
          </w:p>
        </w:tc>
      </w:tr>
    </w:tbl>
    <w:p w:rsidR="00B72047" w:rsidRDefault="00B72047">
      <w:pPr>
        <w:rPr>
          <w:rStyle w:val="htmlparacode"/>
        </w:rPr>
      </w:pPr>
      <w:r>
        <w:rPr>
          <w:rStyle w:val="htmlparacode"/>
        </w:rPr>
        <w:t>&lt;p&gt;</w:t>
      </w:r>
    </w:p>
    <w:p w:rsidR="00B72047" w:rsidRDefault="00B72047">
      <w:pPr>
        <w:pStyle w:val="normalafterexample"/>
      </w:pPr>
      <w:r>
        <w:rPr>
          <w:rStyle w:val="htmlcodes"/>
        </w:rPr>
        <w:t>&lt;/pre&gt;&lt;p&gt;</w:t>
      </w:r>
      <w:r>
        <w:t>Some scales are more binary than the examples we diagrammed. Thus</w:t>
      </w:r>
      <w:r>
        <w:rPr>
          <w:rStyle w:val="deletedparamark"/>
        </w:rPr>
        <w:t xml:space="preserve"> </w:t>
      </w:r>
      <w:r>
        <w:t>we have “not necessary” or “unnecessary” being the polar opposite of</w:t>
      </w:r>
      <w:r>
        <w:rPr>
          <w:rStyle w:val="deletedparamark"/>
        </w:rPr>
        <w:t xml:space="preserve"> </w:t>
      </w:r>
      <w:r>
        <w:t>necessary. Another scale, esp</w:t>
      </w:r>
      <w:r>
        <w:t>e</w:t>
      </w:r>
      <w:r>
        <w:softHyphen/>
        <w:t>cially relevant to Lojban, is interpreted</w:t>
      </w:r>
      <w:r>
        <w:rPr>
          <w:rStyle w:val="deletedparamark"/>
        </w:rPr>
        <w:t xml:space="preserve"> </w:t>
      </w:r>
      <w:r>
        <w:t>based on situations modified by one's phi</w:t>
      </w:r>
      <w:r>
        <w:softHyphen/>
        <w:t>losophy: “not true” may be</w:t>
      </w:r>
      <w:r>
        <w:rPr>
          <w:rStyle w:val="deletedparamark"/>
        </w:rPr>
        <w:t xml:space="preserve"> </w:t>
      </w:r>
      <w:r>
        <w:t>equated with “false” in a bi-valued truth-functional logic, while in</w:t>
      </w:r>
      <w:r>
        <w:rPr>
          <w:rStyle w:val="deletedparamark"/>
        </w:rPr>
        <w:t xml:space="preserve"> </w:t>
      </w:r>
      <w:r>
        <w:t>tri-valued logic an intermediate between “true” and “false” is permitted,</w:t>
      </w:r>
      <w:r>
        <w:rPr>
          <w:rStyle w:val="deletedparamark"/>
        </w:rPr>
        <w:t xml:space="preserve"> </w:t>
      </w:r>
      <w:r>
        <w:t>and in fuzzy logic a continuous scale exists from true to false. The</w:t>
      </w:r>
      <w:r>
        <w:rPr>
          <w:rStyle w:val="deletedparamark"/>
        </w:rPr>
        <w:t xml:space="preserve"> </w:t>
      </w:r>
      <w:r>
        <w:t>meaning of “not true” re</w:t>
      </w:r>
      <w:r>
        <w:softHyphen/>
        <w:t>quires a know</w:t>
      </w:r>
      <w:r>
        <w:t>l</w:t>
      </w:r>
      <w:r>
        <w:softHyphen/>
        <w:t>edge of which variety of truth scale</w:t>
      </w:r>
      <w:r>
        <w:rPr>
          <w:rStyle w:val="deletedparamark"/>
        </w:rPr>
        <w:t xml:space="preserve"> </w:t>
      </w:r>
      <w:r>
        <w:t>is being considered.</w:t>
      </w:r>
    </w:p>
    <w:p w:rsidR="00B72047" w:rsidRDefault="00B72047">
      <w:pPr>
        <w:rPr>
          <w:rStyle w:val="htmlparacode"/>
        </w:rPr>
      </w:pPr>
      <w:r>
        <w:rPr>
          <w:rStyle w:val="htmlparacode"/>
        </w:rPr>
        <w:t>&lt;p&gt;</w:t>
      </w:r>
    </w:p>
    <w:p w:rsidR="00B72047" w:rsidRDefault="00B72047">
      <w:pPr>
        <w:pStyle w:val="normalparagraph"/>
      </w:pPr>
      <w:r>
        <w:t>We will define the most general form of scalar negation as</w:t>
      </w:r>
      <w:r>
        <w:rPr>
          <w:rStyle w:val="deletedparamark"/>
        </w:rPr>
        <w:t xml:space="preserve"> </w:t>
      </w:r>
      <w:r>
        <w:t>indicating only that the particular point or value in the scale or range is</w:t>
      </w:r>
      <w:r>
        <w:rPr>
          <w:rStyle w:val="deletedparamark"/>
        </w:rPr>
        <w:t xml:space="preserve"> </w:t>
      </w:r>
      <w:r>
        <w:t>not valid and that some other (unspecified) point on the scale is correct.</w:t>
      </w:r>
      <w:r>
        <w:rPr>
          <w:rStyle w:val="deletedparamark"/>
        </w:rPr>
        <w:t xml:space="preserve"> </w:t>
      </w:r>
      <w:r>
        <w:t>This is the intent expressed in most contexts by “not mild”, for example.</w:t>
      </w:r>
    </w:p>
    <w:p w:rsidR="00B72047" w:rsidRDefault="00B72047">
      <w:pPr>
        <w:pStyle w:val="normalparagraph"/>
        <w:rPr>
          <w:rStyle w:val="htmlparacode"/>
        </w:rPr>
      </w:pPr>
      <w:r>
        <w:rPr>
          <w:rStyle w:val="htmlparacode"/>
        </w:rPr>
        <w:t>&lt;p&gt;</w:t>
      </w:r>
    </w:p>
    <w:p w:rsidR="00B72047" w:rsidRDefault="00B72047">
      <w:pPr>
        <w:pStyle w:val="normalparagraph"/>
      </w:pPr>
      <w:r>
        <w:t>Using this paradigm, contradictory negation is less restrictive</w:t>
      </w:r>
      <w:r>
        <w:rPr>
          <w:rStyle w:val="deletedparamark"/>
        </w:rPr>
        <w:t xml:space="preserve"> </w:t>
      </w:r>
      <w:r>
        <w:t>than scalar ne</w:t>
      </w:r>
      <w:r>
        <w:softHyphen/>
        <w:t>gation — it says that the point or value stated is incorrect</w:t>
      </w:r>
      <w:r>
        <w:rPr>
          <w:rStyle w:val="deletedparamark"/>
        </w:rPr>
        <w:t xml:space="preserve"> </w:t>
      </w:r>
      <w:r>
        <w:t>(false), and makes no state</w:t>
      </w:r>
      <w:r>
        <w:softHyphen/>
        <w:t>ment about the truth of any other point or</w:t>
      </w:r>
      <w:r>
        <w:rPr>
          <w:rStyle w:val="deletedparamark"/>
        </w:rPr>
        <w:t xml:space="preserve"> </w:t>
      </w:r>
      <w:r>
        <w:t>value, whether or not on the scale.</w:t>
      </w:r>
    </w:p>
    <w:p w:rsidR="00B72047" w:rsidRDefault="00B72047">
      <w:pPr>
        <w:pStyle w:val="normalparagraph"/>
        <w:rPr>
          <w:rStyle w:val="htmlparacode"/>
        </w:rPr>
      </w:pPr>
      <w:r>
        <w:rPr>
          <w:rStyle w:val="htmlparacode"/>
        </w:rPr>
        <w:t>&lt;p&gt;</w:t>
      </w:r>
    </w:p>
    <w:p w:rsidR="00B72047" w:rsidRDefault="00B72047">
      <w:pPr>
        <w:pStyle w:val="normalparagraph"/>
      </w:pPr>
      <w:r>
        <w:t>In English, scalar negation semantically includes phrases such as</w:t>
      </w:r>
      <w:r>
        <w:rPr>
          <w:rStyle w:val="deletedparamark"/>
        </w:rPr>
        <w:t xml:space="preserve"> “</w:t>
      </w:r>
      <w:r>
        <w:t>other than”, “reverse of”, or “opposite from” expressions and their</w:t>
      </w:r>
      <w:r>
        <w:rPr>
          <w:rStyle w:val="deletedparamark"/>
        </w:rPr>
        <w:t xml:space="preserve"> </w:t>
      </w:r>
      <w:r>
        <w:t>equivalents. More commonly, scalar negation is expressed in English by the</w:t>
      </w:r>
      <w:r>
        <w:rPr>
          <w:rStyle w:val="deletedparamark"/>
        </w:rPr>
        <w:t xml:space="preserve"> </w:t>
      </w:r>
      <w:r>
        <w:t>prefixes “non-”, “un-”, “il-”, and “im-”. Just which form and</w:t>
      </w:r>
      <w:r>
        <w:rPr>
          <w:rStyle w:val="deletedparamark"/>
        </w:rPr>
        <w:t xml:space="preserve"> </w:t>
      </w:r>
      <w:r>
        <w:t>permissible values are implied by a scalar negation is dependent on the</w:t>
      </w:r>
      <w:r>
        <w:rPr>
          <w:rStyle w:val="deletedparamark"/>
        </w:rPr>
        <w:t xml:space="preserve"> </w:t>
      </w:r>
      <w:r>
        <w:t>semantics of the word or concept which is being negated, and on the</w:t>
      </w:r>
      <w:r>
        <w:rPr>
          <w:rStyle w:val="deletedparamark"/>
        </w:rPr>
        <w:t xml:space="preserve"> </w:t>
      </w:r>
      <w:r>
        <w:t>context. Much confusion in English results from the uncontrolled</w:t>
      </w:r>
      <w:r>
        <w:rPr>
          <w:rStyle w:val="deletedparamark"/>
        </w:rPr>
        <w:t xml:space="preserve"> </w:t>
      </w:r>
      <w:r>
        <w:t>variations in meaning of these phrases and prefixes.</w:t>
      </w:r>
    </w:p>
    <w:p w:rsidR="00B72047" w:rsidRDefault="00B72047">
      <w:pPr>
        <w:pStyle w:val="normalparagraph"/>
        <w:rPr>
          <w:rStyle w:val="htmlparacode"/>
        </w:rPr>
      </w:pPr>
      <w:r>
        <w:rPr>
          <w:rStyle w:val="htmlparacode"/>
        </w:rPr>
        <w:t>&lt;p&gt;</w:t>
      </w:r>
    </w:p>
    <w:p w:rsidR="00B72047" w:rsidRDefault="00B72047">
      <w:pPr>
        <w:pStyle w:val="normalparagraph"/>
      </w:pPr>
      <w:r>
        <w:t xml:space="preserve">In the examples of </w:t>
      </w:r>
      <w:r>
        <w:rPr>
          <w:rStyle w:val="htmlcodes"/>
        </w:rPr>
        <w:t>&lt;a href=#s4&gt;</w:t>
      </w:r>
      <w:r>
        <w:t>Section 4</w:t>
      </w:r>
      <w:r>
        <w:rPr>
          <w:rStyle w:val="htmlcodes"/>
        </w:rPr>
        <w:t>&lt;/a&gt;</w:t>
      </w:r>
      <w:r>
        <w:t>, we will translate the general case of</w:t>
      </w:r>
      <w:r>
        <w:rPr>
          <w:rStyle w:val="deletedparamark"/>
        </w:rPr>
        <w:t xml:space="preserve"> </w:t>
      </w:r>
      <w:r>
        <w:t>scalar nega</w:t>
      </w:r>
      <w:r>
        <w:softHyphen/>
        <w:t>tion using the general formula “other than” when a phrase is</w:t>
      </w:r>
      <w:r>
        <w:rPr>
          <w:rStyle w:val="deletedparamark"/>
        </w:rPr>
        <w:t xml:space="preserve"> </w:t>
      </w:r>
      <w:r>
        <w:t>scalar-negated, and “non-” when a single word is scalar-negated.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444" w:name="_Toc398970684"/>
      <w:r>
        <w:rPr>
          <w:rStyle w:val="Heading3Text"/>
        </w:rPr>
        <w:t>selbri and tanru negation</w:t>
      </w:r>
      <w:bookmarkEnd w:id="444"/>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All the scalar negations illustrated in </w:t>
      </w:r>
      <w:r>
        <w:rPr>
          <w:rStyle w:val="htmlcodes"/>
        </w:rPr>
        <w:t>&lt;a href=#s3&gt;</w:t>
      </w:r>
      <w:r>
        <w:t xml:space="preserve">Section 3 </w:t>
      </w:r>
      <w:r>
        <w:rPr>
          <w:rStyle w:val="htmlcodes"/>
        </w:rPr>
        <w:t>&lt;/a&gt;</w:t>
      </w:r>
      <w:r>
        <w:t>are expressed in Lojban</w:t>
      </w:r>
      <w:r>
        <w:rPr>
          <w:rStyle w:val="deletedparamark"/>
        </w:rPr>
        <w:t xml:space="preserve"> </w:t>
      </w:r>
      <w:r>
        <w:t>using the cmavo “na'e” (of selma'o NAhE). The most common use of “na'e”</w:t>
      </w:r>
      <w:r>
        <w:rPr>
          <w:rStyle w:val="deletedparamark"/>
        </w:rPr>
        <w:t xml:space="preserve"> </w:t>
      </w:r>
      <w:r>
        <w:t>is as a prefix to the selbri: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mi klama le zarci</w:t>
      </w:r>
    </w:p>
    <w:p w:rsidR="00B72047" w:rsidRDefault="00B72047">
      <w:pPr>
        <w:pStyle w:val="examplescaled"/>
      </w:pPr>
      <w:r>
        <w:tab/>
        <w:t>I go to the market.</w:t>
      </w:r>
    </w:p>
    <w:p w:rsidR="00B72047" w:rsidRDefault="00B72047">
      <w:pPr>
        <w:pStyle w:val="examplescaledpre"/>
      </w:pPr>
      <w:r>
        <w:rPr>
          <w:rStyle w:val="htmlcodes"/>
        </w:rPr>
        <w:t>&lt;a name=e4d2&gt;</w:t>
      </w:r>
      <w:r>
        <w:t>4.2)</w:t>
      </w:r>
      <w:r>
        <w:tab/>
        <w:t>mi na'e klama le zarci</w:t>
      </w:r>
    </w:p>
    <w:p w:rsidR="00B72047" w:rsidRDefault="00B72047">
      <w:pPr>
        <w:pStyle w:val="examplescaled"/>
      </w:pPr>
      <w:r>
        <w:tab/>
        <w:t>I non-go to the market.</w:t>
      </w:r>
    </w:p>
    <w:p w:rsidR="00B72047" w:rsidRDefault="00B72047">
      <w:pPr>
        <w:pStyle w:val="resumedafterexample"/>
      </w:pPr>
      <w:r>
        <w:rPr>
          <w:rStyle w:val="htmlcodes"/>
        </w:rPr>
        <w:t>&lt;/pre&gt;&lt;p&gt;</w:t>
      </w:r>
      <w:r>
        <w:t>Comparing these two, we see that the negation operator being used in</w:t>
      </w:r>
      <w:r>
        <w:rPr>
          <w:rStyle w:val="deletedparamark"/>
        </w:rPr>
        <w:t xml:space="preserve"> </w:t>
      </w:r>
      <w:r>
        <w:rPr>
          <w:rStyle w:val="htmlcodes"/>
        </w:rPr>
        <w:t>&lt;a href=#e4d2&gt;</w:t>
      </w:r>
      <w:r>
        <w:t xml:space="preserve">Example 4.2 </w:t>
      </w:r>
      <w:r>
        <w:rPr>
          <w:rStyle w:val="htmlcodes"/>
        </w:rPr>
        <w:t>&lt;/a&gt;</w:t>
      </w:r>
      <w:r>
        <w:t>is “na'e”. But what exactly does “na'e” negate? Does the</w:t>
      </w:r>
      <w:r>
        <w:rPr>
          <w:rStyle w:val="deletedparamark"/>
        </w:rPr>
        <w:t xml:space="preserve"> </w:t>
      </w:r>
      <w:r>
        <w:t>negation include only the gismu “klama”, which is the entire selbri in this</w:t>
      </w:r>
      <w:r>
        <w:rPr>
          <w:rStyle w:val="deletedparamark"/>
        </w:rPr>
        <w:t xml:space="preserve"> </w:t>
      </w:r>
      <w:r>
        <w:t>case, or does it include the “le zarci” as well? In Lojban, the answer</w:t>
      </w:r>
      <w:r>
        <w:rPr>
          <w:rStyle w:val="deletedparamark"/>
        </w:rPr>
        <w:t xml:space="preserve"> </w:t>
      </w:r>
      <w:r>
        <w:t>is unambiguously “only the gismu”. The cmavo “na'e” always applies only</w:t>
      </w:r>
      <w:r>
        <w:rPr>
          <w:rStyle w:val="deletedparamark"/>
        </w:rPr>
        <w:t xml:space="preserve"> </w:t>
      </w:r>
      <w:r>
        <w:t>to what follows it.</w:t>
      </w:r>
    </w:p>
    <w:p w:rsidR="00B72047" w:rsidRDefault="00B72047">
      <w:pPr>
        <w:rPr>
          <w:rStyle w:val="htmlparacode"/>
        </w:rPr>
      </w:pPr>
      <w:r>
        <w:rPr>
          <w:rStyle w:val="htmlparacode"/>
        </w:rPr>
        <w:t>&lt;p&gt;</w:t>
      </w:r>
    </w:p>
    <w:p w:rsidR="00B72047" w:rsidRDefault="00B72047">
      <w:pPr>
        <w:pStyle w:val="normalparagraph"/>
      </w:pPr>
      <w:r>
        <w:rPr>
          <w:rStyle w:val="htmlcodes"/>
        </w:rPr>
        <w:t>&lt;a href=#e4d2&gt;</w:t>
      </w:r>
      <w:r>
        <w:t xml:space="preserve">Example 4.2 </w:t>
      </w:r>
      <w:r>
        <w:rPr>
          <w:rStyle w:val="htmlcodes"/>
        </w:rPr>
        <w:t>&lt;/a&gt;</w:t>
      </w:r>
      <w:r>
        <w:t>looks as if it were parallel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name=e4d3&gt;</w:t>
      </w:r>
      <w:r>
        <w:t>4.3)</w:t>
      </w:r>
      <w:r>
        <w:tab/>
        <w:t>mi na klama le zarci</w:t>
      </w:r>
    </w:p>
    <w:p w:rsidR="00B72047" w:rsidRDefault="00B72047">
      <w:pPr>
        <w:pStyle w:val="examplescaled"/>
      </w:pPr>
      <w:r>
        <w:tab/>
        <w:t>I [false] go-to the market.</w:t>
      </w:r>
    </w:p>
    <w:p w:rsidR="00B72047" w:rsidRDefault="00B72047">
      <w:pPr>
        <w:pStyle w:val="resumedafterexample"/>
      </w:pPr>
      <w:r>
        <w:rPr>
          <w:rStyle w:val="htmlcodes"/>
        </w:rPr>
        <w:t>&lt;/pre&gt;</w:t>
      </w:r>
      <w:r>
        <w:t>but in fact there is no real parallelism at all. A negation using “na” denies</w:t>
      </w:r>
      <w:r>
        <w:rPr>
          <w:rStyle w:val="deletedparamark"/>
        </w:rPr>
        <w:t xml:space="preserve"> </w:t>
      </w:r>
      <w:r>
        <w:t>the truth of a relationship, but a selbri negation with “na'e” asserts that a</w:t>
      </w:r>
      <w:r>
        <w:rPr>
          <w:rStyle w:val="deletedparamark"/>
        </w:rPr>
        <w:t xml:space="preserve"> </w:t>
      </w:r>
      <w:r>
        <w:t>relationship exists other than that stated, one which specifically involves</w:t>
      </w:r>
      <w:r>
        <w:rPr>
          <w:rStyle w:val="deletedparamark"/>
        </w:rPr>
        <w:t xml:space="preserve"> </w:t>
      </w:r>
      <w:r>
        <w:t>the sumti identified in the statement. The grammar allotted to “na'e”</w:t>
      </w:r>
      <w:r>
        <w:rPr>
          <w:rStyle w:val="deletedparamark"/>
        </w:rPr>
        <w:t xml:space="preserve"> </w:t>
      </w:r>
      <w:r>
        <w:t>allows us to unambiguously express scalar negations in terms of scope,</w:t>
      </w:r>
      <w:r>
        <w:rPr>
          <w:rStyle w:val="deletedparamark"/>
        </w:rPr>
        <w:t xml:space="preserve"> </w:t>
      </w:r>
      <w:r>
        <w:t>scale, and range within the scale. Before we explain the scalar aspects,</w:t>
      </w:r>
      <w:r>
        <w:rPr>
          <w:rStyle w:val="deletedparamark"/>
        </w:rPr>
        <w:t xml:space="preserve"> </w:t>
      </w:r>
      <w:r>
        <w:t>let us show how the scope of “na'e” is determined.</w:t>
      </w:r>
    </w:p>
    <w:p w:rsidR="00B72047" w:rsidRDefault="00B72047">
      <w:pPr>
        <w:rPr>
          <w:rStyle w:val="htmlparacode"/>
        </w:rPr>
      </w:pPr>
      <w:r>
        <w:rPr>
          <w:rStyle w:val="htmlparacode"/>
        </w:rPr>
        <w:t>&lt;p&gt;</w:t>
      </w:r>
    </w:p>
    <w:p w:rsidR="00B72047" w:rsidRDefault="00B72047">
      <w:pPr>
        <w:pStyle w:val="normalparagraph"/>
      </w:pPr>
      <w:r>
        <w:t>In tanru, we may wish to negate an individual element before combining it</w:t>
      </w:r>
      <w:r>
        <w:rPr>
          <w:rStyle w:val="deletedparamark"/>
        </w:rPr>
        <w:t xml:space="preserve"> </w:t>
      </w:r>
      <w:r>
        <w:t>with a</w:t>
      </w:r>
      <w:r>
        <w:t>n</w:t>
      </w:r>
      <w:r>
        <w:softHyphen/>
        <w:t>other to form the tanru. We in effect need a shorter-than-selbri-scope</w:t>
      </w:r>
      <w:r>
        <w:rPr>
          <w:rStyle w:val="deletedparamark"/>
        </w:rPr>
        <w:t xml:space="preserve"> </w:t>
      </w:r>
      <w:r>
        <w:t>negation, for which we can use “na'e” as well. The positive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name=e4d4&gt;</w:t>
      </w:r>
      <w:r>
        <w:t>4.4)</w:t>
      </w:r>
      <w:r>
        <w:tab/>
        <w:t>mi cadzu klama le zarci</w:t>
      </w:r>
    </w:p>
    <w:p w:rsidR="00B72047" w:rsidRDefault="00B72047">
      <w:pPr>
        <w:pStyle w:val="examplescaled"/>
      </w:pPr>
      <w:r>
        <w:tab/>
        <w:t>I walking-ly go to the market.</w:t>
      </w:r>
    </w:p>
    <w:p w:rsidR="00B72047" w:rsidRDefault="00B72047">
      <w:pPr>
        <w:pStyle w:val="resumedafterexample"/>
      </w:pPr>
      <w:r>
        <w:rPr>
          <w:rStyle w:val="htmlcodes"/>
        </w:rPr>
        <w:t>&lt;/pre&gt;</w:t>
      </w:r>
      <w:r>
        <w:t>can be subjected to selbri negation in several ways. Two 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name=e4d5&gt;</w:t>
      </w:r>
      <w:r>
        <w:t>4.5)</w:t>
      </w:r>
      <w:r>
        <w:tab/>
        <w:t>mi na'e cadzu klama le zarci</w:t>
      </w:r>
    </w:p>
    <w:p w:rsidR="00B72047" w:rsidRDefault="00B72047">
      <w:pPr>
        <w:pStyle w:val="examplescaled"/>
      </w:pPr>
      <w:r>
        <w:tab/>
        <w:t>I (other-than-walkingly)-go-to the market.</w:t>
      </w:r>
    </w:p>
    <w:p w:rsidR="00B72047" w:rsidRDefault="00B72047">
      <w:pPr>
        <w:pStyle w:val="examplescaledpre"/>
      </w:pPr>
      <w:r>
        <w:rPr>
          <w:rStyle w:val="htmlcodes"/>
        </w:rPr>
        <w:t>&lt;a name=e4d6&gt;</w:t>
      </w:r>
      <w:r>
        <w:t>4.6)</w:t>
      </w:r>
      <w:r>
        <w:tab/>
        <w:t>mi cadzu na'e klama le zarci</w:t>
      </w:r>
    </w:p>
    <w:p w:rsidR="00B72047" w:rsidRDefault="00B72047">
      <w:pPr>
        <w:pStyle w:val="examplescaled"/>
      </w:pPr>
      <w:r>
        <w:tab/>
        <w:t>I walkingly-(other-than-go-to) the market.</w:t>
      </w:r>
    </w:p>
    <w:p w:rsidR="00B72047" w:rsidRDefault="00B72047">
      <w:pPr>
        <w:pStyle w:val="resumedafterexample"/>
      </w:pPr>
      <w:r>
        <w:rPr>
          <w:rStyle w:val="htmlcodes"/>
        </w:rPr>
        <w:t>&lt;/pre&gt;&lt;p&gt;</w:t>
      </w:r>
      <w:r>
        <w:t>These negations show the default scope of “na'e” is close-binding</w:t>
      </w:r>
      <w:r>
        <w:rPr>
          <w:rStyle w:val="deletedparamark"/>
        </w:rPr>
        <w:t xml:space="preserve"> </w:t>
      </w:r>
      <w:r>
        <w:t xml:space="preserve">on an individual brivla in a tanru. </w:t>
      </w:r>
      <w:r>
        <w:rPr>
          <w:rStyle w:val="htmlcodes"/>
        </w:rPr>
        <w:t>&lt;a href=#e4d5&gt;</w:t>
      </w:r>
      <w:r>
        <w:t xml:space="preserve">Example 4.5 </w:t>
      </w:r>
      <w:r>
        <w:rPr>
          <w:rStyle w:val="htmlcodes"/>
        </w:rPr>
        <w:t>&lt;/a&gt;</w:t>
      </w:r>
      <w:r>
        <w:t>says that I am going to</w:t>
      </w:r>
      <w:r>
        <w:rPr>
          <w:rStyle w:val="deletedparamark"/>
        </w:rPr>
        <w:t xml:space="preserve"> </w:t>
      </w:r>
      <w:r>
        <w:t>the market, but in some kind of a non-walking manner. (As with most tanru,</w:t>
      </w:r>
      <w:r>
        <w:rPr>
          <w:rStyle w:val="deletedparamark"/>
        </w:rPr>
        <w:t xml:space="preserve"> </w:t>
      </w:r>
      <w:r>
        <w:t>there are a few other possible interpretations, but we'll assume this</w:t>
      </w:r>
      <w:r>
        <w:rPr>
          <w:rStyle w:val="deletedparamark"/>
        </w:rPr>
        <w:t xml:space="preserve"> </w:t>
      </w:r>
      <w:r>
        <w:t xml:space="preserve">one — see </w:t>
      </w:r>
      <w:r>
        <w:rPr>
          <w:rStyle w:val="htmlcodes"/>
        </w:rPr>
        <w:t>&lt;a href=chap5.html&gt;</w:t>
      </w:r>
      <w:r>
        <w:t xml:space="preserve">Chapter 5 </w:t>
      </w:r>
      <w:r>
        <w:rPr>
          <w:rStyle w:val="htmlcodes"/>
        </w:rPr>
        <w:t>&lt;/a&gt;</w:t>
      </w:r>
      <w:r>
        <w:t>for a discussion of tanru meaning).</w:t>
      </w:r>
    </w:p>
    <w:p w:rsidR="00B72047" w:rsidRDefault="00B72047">
      <w:pPr>
        <w:rPr>
          <w:rStyle w:val="htmlparacode"/>
        </w:rPr>
      </w:pPr>
      <w:r>
        <w:rPr>
          <w:rStyle w:val="htmlparacode"/>
        </w:rPr>
        <w:t>&lt;p&gt;</w:t>
      </w:r>
    </w:p>
    <w:p w:rsidR="00B72047" w:rsidRDefault="00B72047">
      <w:pPr>
        <w:pStyle w:val="normalparagraph"/>
      </w:pPr>
      <w:r>
        <w:t xml:space="preserve">In neither </w:t>
      </w:r>
      <w:r>
        <w:rPr>
          <w:rStyle w:val="htmlcodes"/>
        </w:rPr>
        <w:t>&lt;a href=#e4d5&gt;</w:t>
      </w:r>
      <w:r>
        <w:t xml:space="preserve">Example 4.5 </w:t>
      </w:r>
      <w:r>
        <w:rPr>
          <w:rStyle w:val="htmlcodes"/>
        </w:rPr>
        <w:t>&lt;/a&gt;</w:t>
      </w:r>
      <w:r>
        <w:t xml:space="preserve">nor </w:t>
      </w:r>
      <w:r>
        <w:rPr>
          <w:rStyle w:val="htmlcodes"/>
        </w:rPr>
        <w:t>&lt;a href=#e4d6&gt;</w:t>
      </w:r>
      <w:r>
        <w:t xml:space="preserve">Example 4.6 </w:t>
      </w:r>
      <w:r>
        <w:rPr>
          <w:rStyle w:val="htmlcodes"/>
        </w:rPr>
        <w:t>&lt;/a&gt;</w:t>
      </w:r>
      <w:r>
        <w:t>does the “na'e” negate the entire</w:t>
      </w:r>
      <w:r>
        <w:rPr>
          <w:rStyle w:val="deletedparamark"/>
        </w:rPr>
        <w:t xml:space="preserve"> </w:t>
      </w:r>
      <w:r>
        <w:t>sel</w:t>
      </w:r>
      <w:r>
        <w:softHyphen/>
        <w:t>bri. While both sentences contain negations that deny a particular</w:t>
      </w:r>
      <w:r>
        <w:rPr>
          <w:rStyle w:val="deletedparamark"/>
        </w:rPr>
        <w:t xml:space="preserve"> </w:t>
      </w:r>
      <w:r>
        <w:t>relationship between the sumti, they also have a component which makes</w:t>
      </w:r>
      <w:r>
        <w:rPr>
          <w:rStyle w:val="deletedparamark"/>
        </w:rPr>
        <w:t xml:space="preserve"> </w:t>
      </w:r>
      <w:r>
        <w:t>a positive claim about such a rela</w:t>
      </w:r>
      <w:r>
        <w:softHyphen/>
        <w:t>tion</w:t>
      </w:r>
      <w:r>
        <w:softHyphen/>
        <w:t xml:space="preserve">ship. This is clearer in </w:t>
      </w:r>
      <w:r>
        <w:rPr>
          <w:rStyle w:val="htmlcodes"/>
        </w:rPr>
        <w:t>&lt;a href=#e4d5&gt;</w:t>
      </w:r>
      <w:r>
        <w:t>Example 4.5</w:t>
      </w:r>
      <w:r>
        <w:rPr>
          <w:rStyle w:val="htmlcodes"/>
        </w:rPr>
        <w:t>&lt;/a&gt;</w:t>
      </w:r>
      <w:r>
        <w:t>,</w:t>
      </w:r>
      <w:r>
        <w:rPr>
          <w:rStyle w:val="deletedparamark"/>
        </w:rPr>
        <w:t xml:space="preserve"> </w:t>
      </w:r>
      <w:r>
        <w:t>which says that I am going, but in a non-walk</w:t>
      </w:r>
      <w:r>
        <w:softHyphen/>
        <w:t xml:space="preserve">ing manner. In </w:t>
      </w:r>
      <w:r>
        <w:rPr>
          <w:rStyle w:val="htmlcodes"/>
        </w:rPr>
        <w:t>&lt;a href=#e4d6&gt;</w:t>
      </w:r>
      <w:r>
        <w:t>Example 4.6</w:t>
      </w:r>
      <w:r>
        <w:rPr>
          <w:rStyle w:val="htmlcodes"/>
        </w:rPr>
        <w:t>&lt;/a&gt;</w:t>
      </w:r>
      <w:r>
        <w:t>,</w:t>
      </w:r>
      <w:r>
        <w:rPr>
          <w:rStyle w:val="deletedparamark"/>
        </w:rPr>
        <w:t xml:space="preserve"> </w:t>
      </w:r>
      <w:r>
        <w:t>we have claimed that the relationship between me and the ma</w:t>
      </w:r>
      <w:r>
        <w:t>r</w:t>
      </w:r>
      <w:r>
        <w:softHyphen/>
        <w:t>ket in some way</w:t>
      </w:r>
      <w:r>
        <w:rPr>
          <w:rStyle w:val="deletedparamark"/>
        </w:rPr>
        <w:t xml:space="preserve"> </w:t>
      </w:r>
      <w:r>
        <w:t>involves walking, but is not one of “going to” (perhaps we are walking</w:t>
      </w:r>
      <w:r>
        <w:rPr>
          <w:rStyle w:val="deletedparamark"/>
        </w:rPr>
        <w:t xml:space="preserve"> </w:t>
      </w:r>
      <w:r>
        <w:t>around the market, or walking-in-place while at the market).</w:t>
      </w:r>
    </w:p>
    <w:p w:rsidR="00B72047" w:rsidRDefault="00B72047">
      <w:pPr>
        <w:rPr>
          <w:rStyle w:val="htmlparacode"/>
        </w:rPr>
      </w:pPr>
      <w:r>
        <w:rPr>
          <w:rStyle w:val="htmlparacode"/>
        </w:rPr>
        <w:t>&lt;p&gt;</w:t>
      </w:r>
    </w:p>
    <w:p w:rsidR="00B72047" w:rsidRDefault="00B72047">
      <w:pPr>
        <w:pStyle w:val="normalparagraph"/>
      </w:pPr>
      <w:r>
        <w:t>The “scale”, or actually the “set”, implied in Lojban tanru negations is</w:t>
      </w:r>
      <w:r>
        <w:rPr>
          <w:rStyle w:val="deletedparamark"/>
        </w:rPr>
        <w:t xml:space="preserve"> </w:t>
      </w:r>
      <w:r>
        <w:t>any</w:t>
      </w:r>
      <w:r>
        <w:softHyphen/>
        <w:t>thing which plausibly can be substituted into the tanru. (Plausibility</w:t>
      </w:r>
      <w:r>
        <w:rPr>
          <w:rStyle w:val="deletedparamark"/>
        </w:rPr>
        <w:t xml:space="preserve"> </w:t>
      </w:r>
      <w:r>
        <w:t>here is interpreted in the same way that answers to a “mo” question must be</w:t>
      </w:r>
      <w:r>
        <w:rPr>
          <w:rStyle w:val="deletedparamark"/>
        </w:rPr>
        <w:t xml:space="preserve"> </w:t>
      </w:r>
      <w:r>
        <w:t>plausible — the result must not only have the right number of places and</w:t>
      </w:r>
      <w:r>
        <w:rPr>
          <w:rStyle w:val="deletedparamark"/>
        </w:rPr>
        <w:t xml:space="preserve"> </w:t>
      </w:r>
      <w:r>
        <w:t>have sumti values appropriate to the place structure, it must also be</w:t>
      </w:r>
      <w:r>
        <w:rPr>
          <w:rStyle w:val="deletedparamark"/>
        </w:rPr>
        <w:t xml:space="preserve"> </w:t>
      </w:r>
      <w:r>
        <w:t>appropriate or relevant to the context.) This minimal condition allows a</w:t>
      </w:r>
      <w:r>
        <w:rPr>
          <w:rStyle w:val="deletedparamark"/>
        </w:rPr>
        <w:t xml:space="preserve"> </w:t>
      </w:r>
      <w:r>
        <w:t>speaker to be intentionally vague, while still communicating meaningful</w:t>
      </w:r>
      <w:r>
        <w:rPr>
          <w:rStyle w:val="deletedparamark"/>
        </w:rPr>
        <w:t xml:space="preserve"> </w:t>
      </w:r>
      <w:r>
        <w:t>in</w:t>
      </w:r>
      <w:r>
        <w:softHyphen/>
        <w:t>formation. The speaker who uses selbri negation is denying one</w:t>
      </w:r>
      <w:r>
        <w:rPr>
          <w:rStyle w:val="deletedparamark"/>
        </w:rPr>
        <w:t xml:space="preserve"> </w:t>
      </w:r>
      <w:r>
        <w:t>relationship, while minimally asserting a different relationship.</w:t>
      </w:r>
    </w:p>
    <w:p w:rsidR="00B72047" w:rsidRDefault="00B72047">
      <w:pPr>
        <w:rPr>
          <w:rStyle w:val="htmlparacode"/>
        </w:rPr>
      </w:pPr>
      <w:r>
        <w:rPr>
          <w:rStyle w:val="htmlparacode"/>
        </w:rPr>
        <w:t>&lt;p&gt;</w:t>
      </w:r>
    </w:p>
    <w:p w:rsidR="00B72047" w:rsidRDefault="00B72047">
      <w:pPr>
        <w:pStyle w:val="normalparagraph"/>
      </w:pPr>
      <w:r>
        <w:t>We also need a scalar negation form that has a scope longer than a single</w:t>
      </w:r>
      <w:r>
        <w:rPr>
          <w:rStyle w:val="deletedparamark"/>
        </w:rPr>
        <w:t xml:space="preserve"> </w:t>
      </w:r>
      <w:r>
        <w:t>brivla. There exists such a longer-scope selbri negation form, as</w:t>
      </w:r>
      <w:r>
        <w:rPr>
          <w:rStyle w:val="deletedparamark"/>
        </w:rPr>
        <w:t xml:space="preserve"> </w:t>
      </w:r>
      <w:r>
        <w:t>exemplified by (each Lojban sentence in the next several examples is</w:t>
      </w:r>
      <w:r>
        <w:rPr>
          <w:rStyle w:val="deletedparamark"/>
        </w:rPr>
        <w:t xml:space="preserve"> </w:t>
      </w:r>
      <w:r>
        <w:t>given twice, with parentheses in the second copy showing the scope of the</w:t>
      </w:r>
      <w:r>
        <w:rPr>
          <w:rStyle w:val="deletedparamark"/>
        </w:rPr>
        <w:t xml:space="preserve"> “</w:t>
      </w:r>
      <w:r>
        <w:t>na'e”):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name=e4d7&gt;</w:t>
      </w:r>
      <w:r>
        <w:t>4.7)</w:t>
      </w:r>
      <w:r>
        <w:tab/>
        <w:t>mi na'eke cadzu klama [ke'e] le zarci</w:t>
      </w:r>
    </w:p>
    <w:p w:rsidR="00B72047" w:rsidRDefault="00B72047">
      <w:pPr>
        <w:pStyle w:val="examplescaled"/>
      </w:pPr>
      <w:r>
        <w:tab/>
        <w:t>mi na'e (ke cadzu klama [ke'e]) le zarci</w:t>
      </w:r>
    </w:p>
    <w:p w:rsidR="00B72047" w:rsidRDefault="00B72047">
      <w:pPr>
        <w:pStyle w:val="examplescaled"/>
      </w:pPr>
      <w:r>
        <w:tab/>
        <w:t>I other-than-(walkingly-go-to) the market.</w:t>
      </w:r>
    </w:p>
    <w:p w:rsidR="00B72047" w:rsidRDefault="00B72047">
      <w:pPr>
        <w:pStyle w:val="resumedafterexample"/>
      </w:pPr>
      <w:r>
        <w:rPr>
          <w:rStyle w:val="htmlcodes"/>
        </w:rPr>
        <w:t>&lt;/pre&gt;&lt;p&gt;</w:t>
      </w:r>
      <w:r>
        <w:t>This negation uses the same “ke” and “ke'e” delimiters (the “ke'e” is</w:t>
      </w:r>
      <w:r>
        <w:rPr>
          <w:rStyle w:val="deletedparamark"/>
        </w:rPr>
        <w:t xml:space="preserve"> </w:t>
      </w:r>
      <w:r>
        <w:t>always elidable at the end of a selbri) that are used in tanru. The</w:t>
      </w:r>
      <w:r>
        <w:rPr>
          <w:rStyle w:val="deletedparamark"/>
        </w:rPr>
        <w:t xml:space="preserve"> </w:t>
      </w:r>
      <w:r>
        <w:t>sentence clearly negates the entire selbri. The “ke'e”, whether elided or</w:t>
      </w:r>
      <w:r>
        <w:rPr>
          <w:rStyle w:val="deletedparamark"/>
        </w:rPr>
        <w:t xml:space="preserve"> </w:t>
      </w:r>
      <w:r>
        <w:t>not, reminds us that the negation does not include the trai</w:t>
      </w:r>
      <w:r>
        <w:t>l</w:t>
      </w:r>
      <w:r>
        <w:softHyphen/>
        <w:t>ing sumti.</w:t>
      </w:r>
      <w:r>
        <w:rPr>
          <w:rStyle w:val="deletedparamark"/>
        </w:rPr>
        <w:t xml:space="preserve"> </w:t>
      </w:r>
      <w:r>
        <w:t>While the trailing-sumti place-structure is defined as that of the final</w:t>
      </w:r>
      <w:r>
        <w:rPr>
          <w:rStyle w:val="deletedparamark"/>
        </w:rPr>
        <w:t xml:space="preserve"> </w:t>
      </w:r>
      <w:r>
        <w:t>brivla, the trailing sumti themselves are not part of the selbri and are</w:t>
      </w:r>
      <w:r>
        <w:rPr>
          <w:rStyle w:val="deletedparamark"/>
        </w:rPr>
        <w:t xml:space="preserve"> </w:t>
      </w:r>
      <w:r>
        <w:t>thus not negated by “na'e”.</w:t>
      </w:r>
    </w:p>
    <w:p w:rsidR="00B72047" w:rsidRDefault="00B72047">
      <w:pPr>
        <w:rPr>
          <w:rStyle w:val="htmlparacode"/>
        </w:rPr>
      </w:pPr>
      <w:r>
        <w:rPr>
          <w:rStyle w:val="htmlparacode"/>
        </w:rPr>
        <w:t>&lt;p&gt;</w:t>
      </w:r>
    </w:p>
    <w:p w:rsidR="00B72047" w:rsidRDefault="00B72047">
      <w:pPr>
        <w:pStyle w:val="normalparagraph"/>
      </w:pPr>
      <w:r>
        <w:t>Negations of just part of the selbri are also permitted: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name=e4d8&gt;</w:t>
      </w:r>
      <w:r>
        <w:t>4.8)</w:t>
      </w:r>
      <w:r>
        <w:tab/>
        <w:t>mi na'eke sutra cadzu ke'e klama le zarci</w:t>
      </w:r>
    </w:p>
    <w:p w:rsidR="00B72047" w:rsidRDefault="00B72047">
      <w:pPr>
        <w:pStyle w:val="examplescaled"/>
      </w:pPr>
      <w:r>
        <w:tab/>
        <w:t>mi na'e (ke sutra cadzu ke'e) klama le zarci</w:t>
      </w:r>
    </w:p>
    <w:p w:rsidR="00B72047" w:rsidRDefault="00B72047">
      <w:pPr>
        <w:pStyle w:val="examplescaled"/>
      </w:pPr>
      <w:r>
        <w:tab/>
        <w:t>I other-than-(quickly-walkingly) go-to the market.</w:t>
      </w:r>
    </w:p>
    <w:p w:rsidR="00B72047" w:rsidRDefault="00B72047">
      <w:pPr>
        <w:pStyle w:val="resumedafterexample"/>
      </w:pPr>
      <w:r>
        <w:rPr>
          <w:rStyle w:val="htmlcodes"/>
        </w:rPr>
        <w:t>&lt;/pre&gt;&lt;p&gt;</w:t>
      </w:r>
      <w:r>
        <w:t xml:space="preserve">In </w:t>
      </w:r>
      <w:r>
        <w:rPr>
          <w:rStyle w:val="htmlcodes"/>
        </w:rPr>
        <w:t>&lt;a href=#e4d8&gt;</w:t>
      </w:r>
      <w:r>
        <w:t>Example 4.8</w:t>
      </w:r>
      <w:r>
        <w:rPr>
          <w:rStyle w:val="htmlcodes"/>
        </w:rPr>
        <w:t>&lt;/a&gt;</w:t>
      </w:r>
      <w:r>
        <w:t>, only the “sutra cadzu” tanru is negated, so the speaker</w:t>
      </w:r>
      <w:r>
        <w:rPr>
          <w:rStyle w:val="deletedparamark"/>
        </w:rPr>
        <w:t xml:space="preserve"> </w:t>
      </w:r>
      <w:r>
        <w:t>is indeed going to the market, but not by walking quickly.</w:t>
      </w:r>
    </w:p>
    <w:p w:rsidR="00B72047" w:rsidRDefault="00B72047">
      <w:pPr>
        <w:rPr>
          <w:rStyle w:val="htmlparacode"/>
        </w:rPr>
      </w:pPr>
      <w:r>
        <w:rPr>
          <w:rStyle w:val="htmlparacode"/>
        </w:rPr>
        <w:t>&lt;p&gt;</w:t>
      </w:r>
    </w:p>
    <w:p w:rsidR="00B72047" w:rsidRDefault="00B72047">
      <w:pPr>
        <w:pStyle w:val="normalparagraph"/>
      </w:pPr>
      <w:r>
        <w:t>Negations made with “na'e” or “na'eke” also include within their scope any</w:t>
      </w:r>
      <w:r>
        <w:rPr>
          <w:rStyle w:val="deletedparamark"/>
        </w:rPr>
        <w:t xml:space="preserve"> </w:t>
      </w:r>
      <w:r>
        <w:t>sumti a</w:t>
      </w:r>
      <w:r>
        <w:t>t</w:t>
      </w:r>
      <w:r>
        <w:softHyphen/>
        <w:t>tached to the brivla or tanru with “be” or “bei”. Such attached</w:t>
      </w:r>
      <w:r>
        <w:rPr>
          <w:rStyle w:val="deletedparamark"/>
        </w:rPr>
        <w:t xml:space="preserve"> </w:t>
      </w:r>
      <w:r>
        <w:t>sumti are consid</w:t>
      </w:r>
      <w:r>
        <w:softHyphen/>
        <w:t>ered part of the brivla or tanru: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name=e4d9&gt;</w:t>
      </w:r>
      <w:r>
        <w:t>4.9)</w:t>
      </w:r>
      <w:r>
        <w:tab/>
        <w:t>mi na'e ke sutra cadzu be le mi birka ke'e klama le zarci</w:t>
      </w:r>
    </w:p>
    <w:p w:rsidR="00B72047" w:rsidRDefault="00B72047">
      <w:pPr>
        <w:pStyle w:val="examplescaled"/>
      </w:pPr>
      <w:r>
        <w:tab/>
        <w:t>I other-than-(quickly walking-on-my-arms-ly) go-to the market.</w:t>
      </w:r>
    </w:p>
    <w:p w:rsidR="00B72047" w:rsidRDefault="00B72047">
      <w:pPr>
        <w:pStyle w:val="resumedafterexample"/>
      </w:pPr>
      <w:r>
        <w:rPr>
          <w:rStyle w:val="htmlcodes"/>
        </w:rPr>
        <w:t>&lt;/pre&gt;&lt;p&gt;</w:t>
      </w:r>
      <w:r>
        <w:t xml:space="preserve">Note that </w:t>
      </w:r>
      <w:r>
        <w:rPr>
          <w:rStyle w:val="htmlcodes"/>
        </w:rPr>
        <w:t>&lt;a href=#e4d10&gt;</w:t>
      </w:r>
      <w:r>
        <w:t xml:space="preserve">Example 4.10 </w:t>
      </w:r>
      <w:r>
        <w:rPr>
          <w:rStyle w:val="htmlcodes"/>
        </w:rPr>
        <w:t>&lt;/a&gt;</w:t>
      </w:r>
      <w:r>
        <w:t xml:space="preserve">and </w:t>
      </w:r>
      <w:r>
        <w:rPr>
          <w:rStyle w:val="htmlcodes"/>
        </w:rPr>
        <w:t>&lt;a href=#e4d11&gt;</w:t>
      </w:r>
      <w:r>
        <w:t xml:space="preserve">Example 4.11 </w:t>
      </w:r>
      <w:r>
        <w:rPr>
          <w:rStyle w:val="htmlcodes"/>
        </w:rPr>
        <w:t>&lt;/a&gt;</w:t>
      </w:r>
      <w:r>
        <w:t>do not express the</w:t>
      </w:r>
      <w:r>
        <w:rPr>
          <w:rStyle w:val="deletedparamark"/>
        </w:rPr>
        <w:t xml:space="preserve"> </w:t>
      </w:r>
      <w:r>
        <w:t>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name=e4d10&gt;</w:t>
      </w:r>
      <w:r>
        <w:t>4.10)</w:t>
      </w:r>
      <w:r>
        <w:tab/>
        <w:t>mi na'eke sutra cadzu [ke'e] lemi birka</w:t>
      </w:r>
    </w:p>
    <w:p w:rsidR="00B72047" w:rsidRDefault="00B72047">
      <w:pPr>
        <w:pStyle w:val="examplescaled"/>
      </w:pPr>
      <w:r>
        <w:tab/>
        <w:t>mi na'e (ke sutra cadzu [ke'e]) lemi birka</w:t>
      </w:r>
    </w:p>
    <w:p w:rsidR="00B72047" w:rsidRDefault="00B72047">
      <w:pPr>
        <w:pStyle w:val="examplescaled"/>
      </w:pPr>
      <w:r>
        <w:tab/>
        <w:t>I other-than-(quickly-walk-on) my-arms.</w:t>
      </w:r>
    </w:p>
    <w:p w:rsidR="00B72047" w:rsidRDefault="00B72047">
      <w:pPr>
        <w:pStyle w:val="examplescaledpre"/>
      </w:pPr>
      <w:r>
        <w:rPr>
          <w:rStyle w:val="htmlcodes"/>
        </w:rPr>
        <w:t>&lt;a name=e4d11&gt;</w:t>
      </w:r>
      <w:r>
        <w:t>4.11)</w:t>
      </w:r>
      <w:r>
        <w:tab/>
        <w:t>mi na'eke sutra cadzu be lemi birka [ke'e]</w:t>
      </w:r>
    </w:p>
    <w:p w:rsidR="00B72047" w:rsidRDefault="00B72047">
      <w:pPr>
        <w:pStyle w:val="examplescaled"/>
      </w:pPr>
      <w:r>
        <w:tab/>
        <w:t>mi na'e (ke sutra cadzu be lemi birka [ke'e])</w:t>
      </w:r>
    </w:p>
    <w:p w:rsidR="00B72047" w:rsidRDefault="00B72047">
      <w:pPr>
        <w:pStyle w:val="examplescaled"/>
      </w:pPr>
      <w:r>
        <w:tab/>
        <w:t>I other-than-(quickly-walk-on my-arms).</w:t>
      </w:r>
    </w:p>
    <w:p w:rsidR="00B72047" w:rsidRDefault="00B72047">
      <w:pPr>
        <w:pStyle w:val="resumedafterexample"/>
      </w:pPr>
      <w:r>
        <w:rPr>
          <w:rStyle w:val="htmlcodes"/>
        </w:rPr>
        <w:t>&lt;/pre&gt;&lt;p&gt;</w:t>
      </w:r>
      <w:r>
        <w:t xml:space="preserve">The translations show that the negation in </w:t>
      </w:r>
      <w:r>
        <w:rPr>
          <w:rStyle w:val="htmlcodes"/>
        </w:rPr>
        <w:t>&lt;a href=#e4d10&gt;</w:t>
      </w:r>
      <w:r>
        <w:t xml:space="preserve">Example 4.10 </w:t>
      </w:r>
      <w:r>
        <w:rPr>
          <w:rStyle w:val="htmlcodes"/>
        </w:rPr>
        <w:t>&lt;/a&gt;</w:t>
      </w:r>
      <w:r>
        <w:t>is more restricted</w:t>
      </w:r>
      <w:r>
        <w:rPr>
          <w:rStyle w:val="deletedparamark"/>
        </w:rPr>
        <w:t xml:space="preserve"> </w:t>
      </w:r>
      <w:r>
        <w:t>in scope; i.e. less of the sentence is negated with respect to x1 (“mi”).</w:t>
      </w:r>
    </w:p>
    <w:p w:rsidR="00B72047" w:rsidRDefault="00B72047">
      <w:pPr>
        <w:rPr>
          <w:rStyle w:val="htmlparacode"/>
        </w:rPr>
      </w:pPr>
      <w:r>
        <w:rPr>
          <w:rStyle w:val="htmlparacode"/>
        </w:rPr>
        <w:t>&lt;p&gt;</w:t>
      </w:r>
    </w:p>
    <w:p w:rsidR="00B72047" w:rsidRDefault="00B72047">
      <w:pPr>
        <w:pStyle w:val="normalparagraph"/>
      </w:pPr>
      <w:r>
        <w:t>Logical scope being an important factor in Lojban's claims to be</w:t>
      </w:r>
      <w:r>
        <w:rPr>
          <w:rStyle w:val="deletedparamark"/>
        </w:rPr>
        <w:t xml:space="preserve"> </w:t>
      </w:r>
      <w:r>
        <w:t>unambiguous, let us indicate the relative precedence of “na'e” as an</w:t>
      </w:r>
      <w:r>
        <w:rPr>
          <w:rStyle w:val="deletedparamark"/>
        </w:rPr>
        <w:t xml:space="preserve"> </w:t>
      </w:r>
      <w:r>
        <w:t>operator. Grouping with “ke” and “ke'e”, of course, has an overt scope,</w:t>
      </w:r>
      <w:r>
        <w:rPr>
          <w:rStyle w:val="deletedparamark"/>
        </w:rPr>
        <w:t xml:space="preserve"> </w:t>
      </w:r>
      <w:r>
        <w:t>which is its advantage. “na'e” is very close bind</w:t>
      </w:r>
      <w:r>
        <w:softHyphen/>
        <w:t>ing to its brivla.</w:t>
      </w:r>
      <w:r>
        <w:rPr>
          <w:rStyle w:val="deletedparamark"/>
        </w:rPr>
        <w:t xml:space="preserve"> </w:t>
      </w:r>
      <w:r>
        <w:t>Internal binding of tanru, with “bo”, is not as tightly bound as “na'e”.</w:t>
      </w:r>
      <w:r>
        <w:rPr>
          <w:rStyle w:val="deletedparamark"/>
        </w:rPr>
        <w:t xml:space="preserve"> “</w:t>
      </w:r>
      <w:r>
        <w:t>co”, the tanru inversion operator has a scope that is longer than all</w:t>
      </w:r>
      <w:r>
        <w:rPr>
          <w:rStyle w:val="deletedparamark"/>
        </w:rPr>
        <w:t xml:space="preserve"> </w:t>
      </w:r>
      <w:r>
        <w:t>other tanru con</w:t>
      </w:r>
      <w:r>
        <w:softHyphen/>
        <w:t>structs.</w:t>
      </w:r>
    </w:p>
    <w:p w:rsidR="00B72047" w:rsidRDefault="00B72047">
      <w:pPr>
        <w:pStyle w:val="normalparagraph"/>
        <w:rPr>
          <w:rStyle w:val="htmlparacode"/>
        </w:rPr>
      </w:pPr>
      <w:r>
        <w:rPr>
          <w:rStyle w:val="htmlparacode"/>
        </w:rPr>
        <w:t>&lt;p&gt;</w:t>
      </w:r>
    </w:p>
    <w:p w:rsidR="00B72047" w:rsidRDefault="00B72047">
      <w:pPr>
        <w:pStyle w:val="normalparagraph"/>
      </w:pPr>
      <w:r>
        <w:t>In short, “na'e” and “na'eke” define a type of negation, which</w:t>
      </w:r>
      <w:r>
        <w:rPr>
          <w:rStyle w:val="deletedparamark"/>
        </w:rPr>
        <w:t xml:space="preserve"> </w:t>
      </w:r>
      <w:r>
        <w:t>is shorter in scope than bridi negation, and which affects all or part of a</w:t>
      </w:r>
      <w:r>
        <w:rPr>
          <w:rStyle w:val="deletedparamark"/>
        </w:rPr>
        <w:t xml:space="preserve"> </w:t>
      </w:r>
      <w:r>
        <w:t>selbri. The result of “na'e” negation r</w:t>
      </w:r>
      <w:r>
        <w:t>e</w:t>
      </w:r>
      <w:r>
        <w:softHyphen/>
        <w:t>mains an assertion of some specific</w:t>
      </w:r>
      <w:r>
        <w:rPr>
          <w:rStyle w:val="deletedparamark"/>
        </w:rPr>
        <w:t xml:space="preserve"> </w:t>
      </w:r>
      <w:r>
        <w:t>truth and not merely a denial of another claim.</w:t>
      </w:r>
    </w:p>
    <w:p w:rsidR="00B72047" w:rsidRDefault="00B72047">
      <w:pPr>
        <w:pStyle w:val="normalparagraph"/>
        <w:rPr>
          <w:rStyle w:val="htmlparacode"/>
        </w:rPr>
      </w:pPr>
      <w:r>
        <w:rPr>
          <w:rStyle w:val="htmlparacode"/>
        </w:rPr>
        <w:t>&lt;p&gt;</w:t>
      </w:r>
    </w:p>
    <w:p w:rsidR="00B72047" w:rsidRDefault="00B72047">
      <w:pPr>
        <w:pStyle w:val="normalparagraph"/>
      </w:pPr>
      <w:r>
        <w:t>The similarity becomes striking when it is noticed that the rafsi</w:t>
      </w:r>
      <w:r>
        <w:rPr>
          <w:rStyle w:val="deletedparamark"/>
        </w:rPr>
        <w:t xml:space="preserve"> “</w:t>
      </w:r>
      <w:r>
        <w:t>-nal-”, repre</w:t>
      </w:r>
      <w:r>
        <w:softHyphen/>
        <w:t>senting “na'e” when a tanru is condensed into a lujvo, forms</w:t>
      </w:r>
      <w:r>
        <w:rPr>
          <w:rStyle w:val="deletedparamark"/>
        </w:rPr>
        <w:t xml:space="preserve"> </w:t>
      </w:r>
      <w:r>
        <w:t>an exact parallel to the English usage of “non-”. Turning a series of</w:t>
      </w:r>
      <w:r>
        <w:rPr>
          <w:rStyle w:val="deletedparamark"/>
        </w:rPr>
        <w:t xml:space="preserve"> </w:t>
      </w:r>
      <w:r>
        <w:t>related negations into lujvo gives: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name=e4d12&gt;</w:t>
      </w:r>
      <w:r>
        <w:t>4.12)</w:t>
      </w:r>
      <w:r>
        <w:tab/>
        <w:t>na'e klama becomes nalkla</w:t>
      </w:r>
    </w:p>
    <w:p w:rsidR="00B72047" w:rsidRDefault="00B72047">
      <w:pPr>
        <w:pStyle w:val="examplescaled"/>
      </w:pPr>
      <w:r>
        <w:tab/>
        <w:t>na'e cadzu klama becomes naldzukla</w:t>
      </w:r>
    </w:p>
    <w:p w:rsidR="00B72047" w:rsidRDefault="00B72047">
      <w:pPr>
        <w:pStyle w:val="examplescaled"/>
      </w:pPr>
      <w:r>
        <w:tab/>
        <w:t>na'e sutra cadzu klama becomes nalsu'adzukla</w:t>
      </w:r>
    </w:p>
    <w:p w:rsidR="00B72047" w:rsidRDefault="00B72047">
      <w:pPr>
        <w:pStyle w:val="examplescaled"/>
      </w:pPr>
      <w:r>
        <w:tab/>
        <w:t>nake sutra cadzu ke'e klama becomes nalsu'adzuke'ekla</w:t>
      </w:r>
    </w:p>
    <w:p w:rsidR="00B72047" w:rsidRDefault="00B72047">
      <w:pPr>
        <w:pStyle w:val="resumedafterexample"/>
      </w:pPr>
      <w:r>
        <w:rPr>
          <w:rStyle w:val="htmlcodes"/>
        </w:rPr>
        <w:t>&lt;/pre&gt;&lt;p&gt;</w:t>
      </w:r>
      <w:r>
        <w:t>Note: “-kem-” is the rafsi for “ke”, but it is omitted in the final lujvo</w:t>
      </w:r>
      <w:r>
        <w:rPr>
          <w:rStyle w:val="deletedparamark"/>
        </w:rPr>
        <w:t xml:space="preserve"> </w:t>
      </w:r>
      <w:r>
        <w:t>as superfluous — “ke'e” is its own rafsi, and its inclusion in the lujvo</w:t>
      </w:r>
      <w:r>
        <w:rPr>
          <w:rStyle w:val="deletedparamark"/>
        </w:rPr>
        <w:t xml:space="preserve"> </w:t>
      </w:r>
      <w:r>
        <w:t>implies a “ke” after the “-nal-”, since it needs to close something; only a</w:t>
      </w:r>
      <w:r>
        <w:rPr>
          <w:rStyle w:val="deletedparamark"/>
        </w:rPr>
        <w:t xml:space="preserve"> “</w:t>
      </w:r>
      <w:r>
        <w:t>ke” immediately after the negation would make the “ke'e” meaningful in the</w:t>
      </w:r>
      <w:r>
        <w:rPr>
          <w:rStyle w:val="deletedparamark"/>
        </w:rPr>
        <w:t xml:space="preserve"> </w:t>
      </w:r>
      <w:r>
        <w:t>tanru expressed in this lujvo.</w:t>
      </w:r>
    </w:p>
    <w:p w:rsidR="00B72047" w:rsidRDefault="00B72047">
      <w:pPr>
        <w:rPr>
          <w:rStyle w:val="htmlparacode"/>
        </w:rPr>
      </w:pPr>
      <w:r>
        <w:rPr>
          <w:rStyle w:val="htmlparacode"/>
        </w:rPr>
        <w:t>&lt;p&gt;</w:t>
      </w:r>
    </w:p>
    <w:p w:rsidR="00B72047" w:rsidRDefault="00B72047">
      <w:pPr>
        <w:pStyle w:val="normalparagraph"/>
      </w:pPr>
      <w:r>
        <w:t>In a lujvo, it is probably clearest to translate “-nal-” as “non-”,</w:t>
      </w:r>
      <w:r>
        <w:rPr>
          <w:rStyle w:val="deletedparamark"/>
        </w:rPr>
        <w:t xml:space="preserve"> </w:t>
      </w:r>
      <w:r>
        <w:t>to match the English combining forms, except when the “na'e” has single</w:t>
      </w:r>
      <w:r>
        <w:rPr>
          <w:rStyle w:val="deletedparamark"/>
        </w:rPr>
        <w:t xml:space="preserve"> </w:t>
      </w:r>
      <w:r>
        <w:t>word scope and English uses “un-” or “im-” to negate that single word.</w:t>
      </w:r>
      <w:r>
        <w:rPr>
          <w:rStyle w:val="deletedparamark"/>
        </w:rPr>
        <w:t xml:space="preserve"> </w:t>
      </w:r>
      <w:r>
        <w:t>Translation style should determine the use of “other than”, “non-”, or</w:t>
      </w:r>
      <w:r>
        <w:rPr>
          <w:rStyle w:val="deletedparamark"/>
        </w:rPr>
        <w:t xml:space="preserve"> </w:t>
      </w:r>
      <w:r>
        <w:t>another negator for “na'e” in tanru; the translator must render the Lojban</w:t>
      </w:r>
      <w:r>
        <w:rPr>
          <w:rStyle w:val="deletedparamark"/>
        </w:rPr>
        <w:t xml:space="preserve"> </w:t>
      </w:r>
      <w:r>
        <w:t>into English so it is clear in context. Let's go back to our simplest</w:t>
      </w:r>
      <w:r>
        <w:rPr>
          <w:rStyle w:val="deletedparamark"/>
        </w:rPr>
        <w:t xml:space="preserve"> </w:t>
      </w:r>
      <w:r>
        <w:t>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name=e4d13&gt;</w:t>
      </w:r>
      <w:r>
        <w:t>4.13)</w:t>
      </w:r>
      <w:r>
        <w:tab/>
        <w:t>mi na'e klama le zarci</w:t>
      </w:r>
    </w:p>
    <w:p w:rsidR="00B72047" w:rsidRDefault="00B72047">
      <w:pPr>
        <w:pStyle w:val="examplescaled"/>
      </w:pPr>
      <w:r>
        <w:tab/>
        <w:t>I am other-than-(going-to) the market.</w:t>
      </w:r>
    </w:p>
    <w:p w:rsidR="00B72047" w:rsidRDefault="00B72047">
      <w:pPr>
        <w:pStyle w:val="examplescaled"/>
      </w:pPr>
      <w:r>
        <w:tab/>
        <w:t>?I am not going-to the market.</w:t>
      </w:r>
    </w:p>
    <w:p w:rsidR="00B72047" w:rsidRDefault="00B72047">
      <w:pPr>
        <w:pStyle w:val="examplescaledpre"/>
      </w:pPr>
      <w:r>
        <w:rPr>
          <w:rStyle w:val="htmlcodes"/>
        </w:rPr>
        <w:t>&lt;a name=e4d14&gt;</w:t>
      </w:r>
      <w:r>
        <w:t>4.14)</w:t>
      </w:r>
      <w:r>
        <w:tab/>
        <w:t>mi nalkla le zarci</w:t>
      </w:r>
    </w:p>
    <w:p w:rsidR="00B72047" w:rsidRDefault="00B72047">
      <w:pPr>
        <w:pStyle w:val="examplescaled"/>
      </w:pPr>
      <w:r>
        <w:tab/>
        <w:t>I am-a-non-go-er-to the market.</w:t>
      </w:r>
    </w:p>
    <w:p w:rsidR="00B72047" w:rsidRDefault="00B72047">
      <w:pPr>
        <w:pStyle w:val="resumedafterexample"/>
      </w:pPr>
      <w:r>
        <w:rPr>
          <w:rStyle w:val="htmlcodes"/>
        </w:rPr>
        <w:t>&lt;/pre&gt;&lt;p&gt;</w:t>
      </w:r>
      <w:r>
        <w:t>Note that to compare with the English translation form using “non-”,</w:t>
      </w:r>
      <w:r>
        <w:rPr>
          <w:rStyle w:val="deletedparamark"/>
        </w:rPr>
        <w:t xml:space="preserve"> </w:t>
      </w:r>
      <w:r>
        <w:t>we've translated the Lojban as if the selbri were a noun. Since Lojban</w:t>
      </w:r>
      <w:r>
        <w:rPr>
          <w:rStyle w:val="deletedparamark"/>
        </w:rPr>
        <w:t xml:space="preserve"> “</w:t>
      </w:r>
      <w:r>
        <w:t>klama” is indifferently a noun, verb, or adjective, the difference is</w:t>
      </w:r>
      <w:r>
        <w:rPr>
          <w:rStyle w:val="deletedparamark"/>
        </w:rPr>
        <w:t xml:space="preserve"> </w:t>
      </w:r>
      <w:r>
        <w:t>purely a translation change, not a true change in meaning. The English</w:t>
      </w:r>
      <w:r>
        <w:rPr>
          <w:rStyle w:val="deletedparamark"/>
        </w:rPr>
        <w:t xml:space="preserve"> </w:t>
      </w:r>
      <w:r>
        <w:t>difference seems significant, though, due to the strongly different English</w:t>
      </w:r>
      <w:r>
        <w:rPr>
          <w:rStyle w:val="deletedparamark"/>
        </w:rPr>
        <w:t xml:space="preserve"> </w:t>
      </w:r>
      <w:r>
        <w:t>gra</w:t>
      </w:r>
      <w:r>
        <w:t>m</w:t>
      </w:r>
      <w:r>
        <w:softHyphen/>
        <w:t>matical forms and the ambiguity of English negation.</w:t>
      </w:r>
    </w:p>
    <w:p w:rsidR="00B72047" w:rsidRDefault="00B72047">
      <w:pPr>
        <w:rPr>
          <w:rStyle w:val="htmlparacode"/>
        </w:rPr>
      </w:pPr>
      <w:r>
        <w:rPr>
          <w:rStyle w:val="htmlparacode"/>
        </w:rPr>
        <w:t>&lt;p&gt;</w:t>
      </w:r>
    </w:p>
    <w:p w:rsidR="00B72047" w:rsidRDefault="00B72047">
      <w:pPr>
        <w:pStyle w:val="normalparagraph"/>
      </w:pPr>
      <w:r>
        <w:t>Consider the following highly problematic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name=e4d15&gt;</w:t>
      </w:r>
      <w:r>
        <w:t>4.15)</w:t>
      </w:r>
      <w:r>
        <w:tab/>
        <w:t>lo ca nolraitru be le fasygu'e cu krecau</w:t>
      </w:r>
    </w:p>
    <w:p w:rsidR="00B72047" w:rsidRDefault="00B72047">
      <w:pPr>
        <w:pStyle w:val="examplescaled"/>
      </w:pPr>
      <w:r>
        <w:tab/>
        <w:t xml:space="preserve">An-actual currently noblest-governor of the French country </w:t>
      </w:r>
      <w:r>
        <w:tab/>
        <w:t>is-hair-without.</w:t>
      </w:r>
    </w:p>
    <w:p w:rsidR="00B72047" w:rsidRDefault="00B72047">
      <w:pPr>
        <w:pStyle w:val="examplescaled"/>
      </w:pPr>
      <w:r>
        <w:tab/>
        <w:t>The current King of France is bald.</w:t>
      </w:r>
    </w:p>
    <w:p w:rsidR="00B72047" w:rsidRDefault="00B72047">
      <w:pPr>
        <w:pStyle w:val="resumedafterexample"/>
      </w:pPr>
      <w:r>
        <w:rPr>
          <w:rStyle w:val="htmlcodes"/>
        </w:rPr>
        <w:t>&lt;/pre&gt;&lt;p&gt;</w:t>
      </w:r>
      <w:r>
        <w:t>The selbri “krecau” negates with “na'e” as:</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&lt;pre&gt;&lt;a name=e4d16&gt;</w:t>
      </w:r>
      <w:r>
        <w:t>4.16)</w:t>
      </w:r>
      <w:r>
        <w:tab/>
        <w:t>lo ca nolraitru be le fasygu'e</w:t>
      </w:r>
    </w:p>
    <w:p w:rsidR="00B72047" w:rsidRDefault="00B72047">
      <w:pPr>
        <w:pStyle w:val="examplescaled"/>
      </w:pPr>
      <w:r>
        <w:tab/>
      </w:r>
      <w:r>
        <w:tab/>
        <w:t>cu na'e krecau</w:t>
      </w:r>
    </w:p>
    <w:p w:rsidR="00B72047" w:rsidRDefault="00B72047">
      <w:pPr>
        <w:pStyle w:val="examplescaled"/>
      </w:pPr>
      <w:r>
        <w:tab/>
        <w:t>An-actual currently noblest-governor of the French country</w:t>
      </w:r>
    </w:p>
    <w:p w:rsidR="00B72047" w:rsidRDefault="00B72047">
      <w:pPr>
        <w:pStyle w:val="examplescaled"/>
      </w:pPr>
      <w:r>
        <w:tab/>
      </w:r>
      <w:r>
        <w:tab/>
        <w:t>is-other-than hair-without.</w:t>
      </w:r>
    </w:p>
    <w:p w:rsidR="00B72047" w:rsidRDefault="00B72047">
      <w:pPr>
        <w:pStyle w:val="examplescaled"/>
      </w:pPr>
      <w:r>
        <w:tab/>
        <w:t>The current King of France is other-than-bald.</w:t>
      </w:r>
    </w:p>
    <w:p w:rsidR="00B72047" w:rsidRDefault="00B72047">
      <w:pPr>
        <w:pStyle w:val="resumedafterexample"/>
        <w:spacing w:before="0"/>
      </w:pPr>
      <w:r>
        <w:rPr>
          <w:rStyle w:val="htmlcodes"/>
          <w:vanish w:val="0"/>
        </w:rPr>
        <w:br w:type="page"/>
      </w:r>
      <w:r>
        <w:rPr>
          <w:rStyle w:val="htmlcodes"/>
        </w:rPr>
        <w:t>&lt;/pre&gt;</w:t>
      </w:r>
      <w:r>
        <w:t>or, as a lujvo:</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&lt;pre&gt;&lt;a name=e4d17&gt;</w:t>
      </w:r>
      <w:r>
        <w:t>4.17)</w:t>
      </w:r>
      <w:r>
        <w:tab/>
        <w:t>lo ca nolraitru be le fasygu'e</w:t>
      </w:r>
    </w:p>
    <w:p w:rsidR="00B72047" w:rsidRDefault="00B72047">
      <w:pPr>
        <w:pStyle w:val="examplescaled"/>
      </w:pPr>
      <w:r>
        <w:tab/>
      </w:r>
      <w:r>
        <w:tab/>
        <w:t>cu nalkrecau</w:t>
      </w:r>
    </w:p>
    <w:p w:rsidR="00B72047" w:rsidRDefault="00B72047">
      <w:pPr>
        <w:pStyle w:val="examplescaled"/>
      </w:pPr>
      <w:r>
        <w:tab/>
        <w:t>An-actual currently noblest-governor of the French country</w:t>
      </w:r>
    </w:p>
    <w:p w:rsidR="00B72047" w:rsidRDefault="00B72047">
      <w:pPr>
        <w:pStyle w:val="examplescaled"/>
      </w:pPr>
      <w:r>
        <w:tab/>
      </w:r>
      <w:r>
        <w:tab/>
        <w:t>is-non-hair-without.</w:t>
      </w:r>
    </w:p>
    <w:p w:rsidR="00B72047" w:rsidRDefault="00B72047">
      <w:pPr>
        <w:pStyle w:val="examplescaled"/>
      </w:pPr>
      <w:r>
        <w:tab/>
        <w:t>The current King of France is a non-bald-one.</w:t>
      </w:r>
    </w:p>
    <w:p w:rsidR="00B72047" w:rsidRDefault="00B72047">
      <w:pPr>
        <w:pStyle w:val="resumedafterexample"/>
      </w:pPr>
      <w:r>
        <w:rPr>
          <w:rStyle w:val="htmlcodes"/>
        </w:rPr>
        <w:t>&lt;/pre&gt;&lt;a href=#e4d16&gt;</w:t>
      </w:r>
      <w:r>
        <w:t xml:space="preserve">Example 4.16 </w:t>
      </w:r>
      <w:r>
        <w:rPr>
          <w:rStyle w:val="htmlcodes"/>
        </w:rPr>
        <w:t>&lt;/a&gt;</w:t>
      </w:r>
      <w:r>
        <w:t xml:space="preserve">and </w:t>
      </w:r>
      <w:r>
        <w:rPr>
          <w:rStyle w:val="htmlcodes"/>
        </w:rPr>
        <w:t>&lt;a href=#e4d17&gt;</w:t>
      </w:r>
      <w:r>
        <w:t xml:space="preserve">Example 4.17 </w:t>
      </w:r>
      <w:r>
        <w:rPr>
          <w:rStyle w:val="htmlcodes"/>
        </w:rPr>
        <w:t>&lt;/a&gt;</w:t>
      </w:r>
      <w:r>
        <w:t>express the predicate negation forms using a</w:t>
      </w:r>
      <w:r>
        <w:rPr>
          <w:rStyle w:val="deletedparamark"/>
        </w:rPr>
        <w:t xml:space="preserve"> </w:t>
      </w:r>
      <w:r>
        <w:t>negation word (“na'e”) or rafsi (“-nal-”); yet they make positive assertions</w:t>
      </w:r>
      <w:r>
        <w:rPr>
          <w:rStyle w:val="deletedparamark"/>
        </w:rPr>
        <w:t xml:space="preserve"> </w:t>
      </w:r>
      <w:r>
        <w:t>about the current King of France; ie., that he is other-than-bald or</w:t>
      </w:r>
      <w:r>
        <w:rPr>
          <w:rStyle w:val="deletedparamark"/>
        </w:rPr>
        <w:t xml:space="preserve"> </w:t>
      </w:r>
      <w:r>
        <w:t>non-bald. This follows from the close bind</w:t>
      </w:r>
      <w:r>
        <w:softHyphen/>
        <w:t>ing of “na'e” to the brivla. The</w:t>
      </w:r>
      <w:r>
        <w:rPr>
          <w:rStyle w:val="deletedparamark"/>
        </w:rPr>
        <w:t xml:space="preserve"> </w:t>
      </w:r>
      <w:r>
        <w:t>lujvo form makes this overt by absorbing the negative marker into the word.</w:t>
      </w:r>
    </w:p>
    <w:p w:rsidR="00B72047" w:rsidRDefault="00B72047">
      <w:pPr>
        <w:rPr>
          <w:rStyle w:val="htmlparacode"/>
        </w:rPr>
      </w:pPr>
      <w:r>
        <w:rPr>
          <w:rStyle w:val="htmlparacode"/>
        </w:rPr>
        <w:t>&lt;p&gt;</w:t>
      </w:r>
    </w:p>
    <w:p w:rsidR="00B72047" w:rsidRDefault="00B72047">
      <w:pPr>
        <w:pStyle w:val="normalparagraph"/>
      </w:pPr>
      <w:r>
        <w:t>Since there is no current King of France, it is false to say that he</w:t>
      </w:r>
      <w:r>
        <w:rPr>
          <w:rStyle w:val="deletedparamark"/>
        </w:rPr>
        <w:t xml:space="preserve"> </w:t>
      </w:r>
      <w:r>
        <w:t>is bald, or non-bald, or to make any other affirmative claim about him.</w:t>
      </w:r>
      <w:r>
        <w:rPr>
          <w:rStyle w:val="deletedparamark"/>
        </w:rPr>
        <w:t xml:space="preserve"> </w:t>
      </w:r>
      <w:r>
        <w:t>Any sentence about the current King of France containing only a selbri</w:t>
      </w:r>
      <w:r>
        <w:rPr>
          <w:rStyle w:val="deletedparamark"/>
        </w:rPr>
        <w:t xml:space="preserve"> </w:t>
      </w:r>
      <w:r>
        <w:t>negation is as false as the sentence without the negation. No amount of</w:t>
      </w:r>
      <w:r>
        <w:rPr>
          <w:rStyle w:val="deletedparamark"/>
        </w:rPr>
        <w:t xml:space="preserve"> </w:t>
      </w:r>
      <w:r>
        <w:t>selbri negations have any effect on the truth value of the sentence, which</w:t>
      </w:r>
      <w:r>
        <w:rPr>
          <w:rStyle w:val="deletedparamark"/>
        </w:rPr>
        <w:t xml:space="preserve"> </w:t>
      </w:r>
      <w:r>
        <w:t>is invariably “false”, since no affirmative statement about the current</w:t>
      </w:r>
      <w:r>
        <w:rPr>
          <w:rStyle w:val="deletedparamark"/>
        </w:rPr>
        <w:t xml:space="preserve"> </w:t>
      </w:r>
      <w:r>
        <w:t>King of France can be true. On the other hand, bridi negation does</w:t>
      </w:r>
      <w:r>
        <w:rPr>
          <w:rStyle w:val="deletedparamark"/>
        </w:rPr>
        <w:t xml:space="preserve"> </w:t>
      </w:r>
      <w:r>
        <w:t>produce a truth:</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&lt;pre&gt;&lt;a name=e4d18&gt;</w:t>
      </w:r>
      <w:r>
        <w:t>4.18)</w:t>
      </w:r>
      <w:r>
        <w:tab/>
        <w:t>lo ca nolraitru be le fasygu'e</w:t>
      </w:r>
    </w:p>
    <w:p w:rsidR="00B72047" w:rsidRDefault="00B72047">
      <w:pPr>
        <w:pStyle w:val="examplescaled"/>
      </w:pPr>
      <w:r>
        <w:tab/>
      </w:r>
      <w:r>
        <w:tab/>
        <w:t>cu na krecau</w:t>
      </w:r>
    </w:p>
    <w:p w:rsidR="00B72047" w:rsidRDefault="00B72047">
      <w:pPr>
        <w:pStyle w:val="examplescaled"/>
      </w:pPr>
      <w:r>
        <w:tab/>
        <w:t xml:space="preserve">An-actual current noblest-governor of the French Country </w:t>
      </w:r>
    </w:p>
    <w:p w:rsidR="00B72047" w:rsidRDefault="00B72047">
      <w:pPr>
        <w:pStyle w:val="examplescaled"/>
      </w:pPr>
      <w:r>
        <w:tab/>
      </w:r>
      <w:r>
        <w:tab/>
        <w:t>[false] is-hair-without.</w:t>
      </w:r>
    </w:p>
    <w:p w:rsidR="00B72047" w:rsidRDefault="00B72047">
      <w:pPr>
        <w:pStyle w:val="examplescaled"/>
      </w:pPr>
      <w:r>
        <w:tab/>
        <w:t>It is false that the current King of France is bald.</w:t>
      </w:r>
    </w:p>
    <w:p w:rsidR="00B72047" w:rsidRDefault="00B72047">
      <w:pPr>
        <w:pStyle w:val="resumedafterexample"/>
      </w:pPr>
      <w:r>
        <w:rPr>
          <w:rStyle w:val="htmlcodes"/>
        </w:rPr>
        <w:t>&lt;/pre&gt;&lt;p&gt;</w:t>
      </w:r>
      <w:r>
        <w:t>Note: “lo” is used in these sentences because negation relates to truth</w:t>
      </w:r>
      <w:r>
        <w:rPr>
          <w:rStyle w:val="deletedparamark"/>
        </w:rPr>
        <w:t xml:space="preserve"> </w:t>
      </w:r>
      <w:r>
        <w:t>condi</w:t>
      </w:r>
      <w:r>
        <w:softHyphen/>
        <w:t>tions. To meaningfully talk about truth conditions in sentences</w:t>
      </w:r>
      <w:r>
        <w:rPr>
          <w:rStyle w:val="deletedparamark"/>
        </w:rPr>
        <w:t xml:space="preserve"> </w:t>
      </w:r>
      <w:r>
        <w:t>carrying a description, it must be clear that the description actually</w:t>
      </w:r>
      <w:r>
        <w:rPr>
          <w:rStyle w:val="deletedparamark"/>
        </w:rPr>
        <w:t xml:space="preserve"> </w:t>
      </w:r>
      <w:r>
        <w:t>applies to the referent. A sentence using “le” instead of “lo” can be true</w:t>
      </w:r>
      <w:r>
        <w:rPr>
          <w:rStyle w:val="deletedparamark"/>
        </w:rPr>
        <w:t xml:space="preserve"> </w:t>
      </w:r>
      <w:r>
        <w:t>even if there is no current king of France, as long as the speaker and</w:t>
      </w:r>
      <w:r>
        <w:rPr>
          <w:rStyle w:val="deletedparamark"/>
        </w:rPr>
        <w:t xml:space="preserve"> </w:t>
      </w:r>
      <w:r>
        <w:t>the listener agree to describe something as the current king of France.</w:t>
      </w:r>
      <w:r>
        <w:rPr>
          <w:rStyle w:val="deletedparamark"/>
        </w:rPr>
        <w:t xml:space="preserve"> </w:t>
      </w:r>
      <w:r>
        <w:t xml:space="preserve">(See the explanations of “le” in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445" w:name="_Toc398970685"/>
      <w:r>
        <w:rPr>
          <w:rStyle w:val="Heading3Text"/>
        </w:rPr>
        <w:t>Expressing scales in selbri negation</w:t>
      </w:r>
      <w:bookmarkEnd w:id="445"/>
      <w:r>
        <w:rPr>
          <w:rStyle w:val="htmlcodes"/>
        </w:rPr>
        <w:t>&lt;/h3&gt;</w:t>
      </w:r>
    </w:p>
    <w:p w:rsidR="00B72047" w:rsidRDefault="00B72047">
      <w:pPr>
        <w:rPr>
          <w:rStyle w:val="htmlparacode"/>
        </w:rPr>
      </w:pPr>
      <w:r>
        <w:rPr>
          <w:rStyle w:val="htmlparacode"/>
        </w:rPr>
        <w:t>&lt;p&gt;</w:t>
      </w:r>
    </w:p>
    <w:p w:rsidR="00B72047" w:rsidRDefault="00B72047">
      <w:pPr>
        <w:pStyle w:val="normalparagraph"/>
      </w:pPr>
      <w:r>
        <w:t>In expressing a scalar negation, we can provide some indication of the</w:t>
      </w:r>
      <w:r>
        <w:rPr>
          <w:rStyle w:val="deletedparamark"/>
        </w:rPr>
        <w:t xml:space="preserve"> </w:t>
      </w:r>
      <w:r>
        <w:t>scale, range, frame-of-reference, or universe of discourse that is being</w:t>
      </w:r>
      <w:r>
        <w:rPr>
          <w:rStyle w:val="deletedparamark"/>
        </w:rPr>
        <w:t xml:space="preserve"> </w:t>
      </w:r>
      <w:r>
        <w:t>dealt with in an asser</w:t>
      </w:r>
      <w:r>
        <w:softHyphen/>
        <w:t xml:space="preserve">tion. As stated in </w:t>
      </w:r>
      <w:r>
        <w:rPr>
          <w:rStyle w:val="htmlcodes"/>
        </w:rPr>
        <w:t>&lt;a href=#s4&gt;</w:t>
      </w:r>
      <w:r>
        <w:t>Section 4</w:t>
      </w:r>
      <w:r>
        <w:rPr>
          <w:rStyle w:val="htmlcodes"/>
        </w:rPr>
        <w:t>&lt;/a&gt;</w:t>
      </w:r>
      <w:r>
        <w:t>, the default is the set</w:t>
      </w:r>
      <w:r>
        <w:rPr>
          <w:rStyle w:val="deletedparamark"/>
        </w:rPr>
        <w:t xml:space="preserve"> </w:t>
      </w:r>
      <w:r>
        <w:t>of plausible alternatives. Thus if we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le stizu cu na'e xunre</w:t>
      </w:r>
    </w:p>
    <w:p w:rsidR="00B72047" w:rsidRDefault="00B72047">
      <w:pPr>
        <w:pStyle w:val="examplescaled"/>
      </w:pPr>
      <w:r>
        <w:tab/>
        <w:t>The chair is a non-(red-thing).</w:t>
      </w:r>
    </w:p>
    <w:p w:rsidR="00B72047" w:rsidRDefault="00B72047">
      <w:pPr>
        <w:pStyle w:val="resumedafterexample"/>
      </w:pPr>
      <w:r>
        <w:rPr>
          <w:rStyle w:val="htmlcodes"/>
        </w:rPr>
        <w:t>&lt;/pre&gt;</w:t>
      </w:r>
      <w:r>
        <w:t>the pragmatic interpretation is that we mean a different color and not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le stizu cu dzukla be le zarci</w:t>
      </w:r>
    </w:p>
    <w:p w:rsidR="00B72047" w:rsidRDefault="00B72047">
      <w:pPr>
        <w:pStyle w:val="examplescaled"/>
      </w:pPr>
      <w:r>
        <w:tab/>
        <w:t>The chair walkingly-goes-to-the-market.</w:t>
      </w:r>
    </w:p>
    <w:p w:rsidR="00B72047" w:rsidRDefault="00B72047">
      <w:pPr>
        <w:pStyle w:val="normalafterexample"/>
      </w:pPr>
      <w:r>
        <w:rPr>
          <w:rStyle w:val="htmlcodes"/>
        </w:rPr>
        <w:t>&lt;/pre&gt;&lt;p&gt;</w:t>
      </w:r>
      <w:r>
        <w:t>However, if we have reason to be more explicit (an obtuse or</w:t>
      </w:r>
      <w:r>
        <w:rPr>
          <w:rStyle w:val="deletedparamark"/>
        </w:rPr>
        <w:t xml:space="preserve"> </w:t>
      </w:r>
      <w:r>
        <w:t>contrary listener, or simply an overt logical analysis), we can clarify</w:t>
      </w:r>
      <w:r>
        <w:rPr>
          <w:rStyle w:val="deletedparamark"/>
        </w:rPr>
        <w:t xml:space="preserve"> </w:t>
      </w:r>
      <w:r>
        <w:t>that we are referring to a color by saying: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le stizu cu na'e xunre skari</w:t>
      </w:r>
    </w:p>
    <w:p w:rsidR="00B72047" w:rsidRDefault="00B72047">
      <w:pPr>
        <w:pStyle w:val="examplescaled"/>
      </w:pPr>
      <w:r>
        <w:tab/>
        <w:t>The chair is of a non-(red)-color (as perceived by something under</w:t>
      </w:r>
    </w:p>
    <w:p w:rsidR="00B72047" w:rsidRDefault="00B72047">
      <w:pPr>
        <w:pStyle w:val="examplescaled"/>
        <w:ind w:firstLine="576"/>
      </w:pPr>
      <w:r>
        <w:t>some conditions).</w:t>
      </w:r>
    </w:p>
    <w:p w:rsidR="00B72047" w:rsidRDefault="00B72047">
      <w:pPr>
        <w:pStyle w:val="normalafterexample"/>
      </w:pPr>
      <w:r>
        <w:rPr>
          <w:rStyle w:val="htmlcodes"/>
        </w:rPr>
        <w:t>&lt;/pre&gt;&lt;p&gt;</w:t>
      </w:r>
      <w:r>
        <w:t>We might also have reduced the pragmatic ambiguity by making the two</w:t>
      </w:r>
      <w:r>
        <w:rPr>
          <w:rStyle w:val="deletedparamark"/>
        </w:rPr>
        <w:t xml:space="preserve"> </w:t>
      </w:r>
      <w:r>
        <w:t>trailing sumti values explicit (the “as perceived by” and “under conditions”</w:t>
      </w:r>
      <w:r>
        <w:rPr>
          <w:rStyle w:val="deletedparamark"/>
        </w:rPr>
        <w:t xml:space="preserve"> </w:t>
      </w:r>
      <w:r>
        <w:t>places have been added to the place structure of “xunre”). But assume</w:t>
      </w:r>
      <w:r>
        <w:rPr>
          <w:rStyle w:val="deletedparamark"/>
        </w:rPr>
        <w:t xml:space="preserve"> </w:t>
      </w:r>
      <w:r>
        <w:t>we have a really stubborn listener (an artificially semi-intelligent</w:t>
      </w:r>
      <w:r>
        <w:rPr>
          <w:rStyle w:val="deletedparamark"/>
        </w:rPr>
        <w:t xml:space="preserve"> </w:t>
      </w:r>
      <w:r>
        <w:t xml:space="preserve">computer?) who will find a way to misinterpret </w:t>
      </w:r>
      <w:r>
        <w:rPr>
          <w:rStyle w:val="htmlcodes"/>
        </w:rPr>
        <w:t>&lt;a href=#e5d3&gt;</w:t>
      </w:r>
      <w:r>
        <w:t xml:space="preserve">Example 5.3 </w:t>
      </w:r>
      <w:r>
        <w:rPr>
          <w:rStyle w:val="htmlcodes"/>
        </w:rPr>
        <w:t>&lt;/a&gt;</w:t>
      </w:r>
      <w:r>
        <w:t>even with three</w:t>
      </w:r>
      <w:r>
        <w:rPr>
          <w:rStyle w:val="deletedparamark"/>
        </w:rPr>
        <w:t xml:space="preserve"> </w:t>
      </w:r>
      <w:r>
        <w:t>specific sumti provided.</w:t>
      </w:r>
    </w:p>
    <w:p w:rsidR="00B72047" w:rsidRDefault="00B72047">
      <w:pPr>
        <w:rPr>
          <w:rStyle w:val="htmlparacode"/>
        </w:rPr>
      </w:pPr>
      <w:r>
        <w:rPr>
          <w:rStyle w:val="htmlparacode"/>
        </w:rPr>
        <w:t>&lt;p&gt;</w:t>
      </w:r>
    </w:p>
    <w:p w:rsidR="00B72047" w:rsidRDefault="00B72047">
      <w:pPr>
        <w:pStyle w:val="normalparagraph"/>
      </w:pPr>
      <w:r>
        <w:t>In this case, we use a sumti tagged with the sumti tcita “ci'u”, which</w:t>
      </w:r>
      <w:r>
        <w:rPr>
          <w:rStyle w:val="deletedparamark"/>
        </w:rPr>
        <w:t xml:space="preserve"> </w:t>
      </w:r>
      <w:r>
        <w:t>translates roughly as “on a scale of X”, where “X” is the sumti. For</w:t>
      </w:r>
      <w:r>
        <w:rPr>
          <w:rStyle w:val="deletedparamark"/>
        </w:rPr>
        <w:t xml:space="preserve"> </w:t>
      </w:r>
      <w:r>
        <w:t>maximal clarity, the tagged sumti can be bound into the negated selbri</w:t>
      </w:r>
      <w:r>
        <w:rPr>
          <w:rStyle w:val="deletedparamark"/>
        </w:rPr>
        <w:t xml:space="preserve"> </w:t>
      </w:r>
      <w:r>
        <w:t xml:space="preserve">with “be”. To clarify </w:t>
      </w:r>
      <w:r>
        <w:rPr>
          <w:rStyle w:val="htmlcodes"/>
        </w:rPr>
        <w:t>&lt;a href=#e5d3&gt;</w:t>
      </w:r>
      <w:r>
        <w:t>Example 5.3</w:t>
      </w:r>
      <w:r>
        <w:rPr>
          <w:rStyle w:val="htmlcodes"/>
        </w:rPr>
        <w:t>&lt;/a&gt;</w:t>
      </w:r>
      <w:r>
        <w:t>, we might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le stizu cu na'e xunre be ci'u loka skari</w:t>
      </w:r>
    </w:p>
    <w:p w:rsidR="00B72047" w:rsidRDefault="00B72047">
      <w:pPr>
        <w:pStyle w:val="examplescaled"/>
      </w:pPr>
      <w:r>
        <w:tab/>
        <w:t>The chair is a non-(red on-a-scale-of-colorness)-thing.</w:t>
      </w:r>
    </w:p>
    <w:p w:rsidR="00B72047" w:rsidRDefault="00B72047">
      <w:pPr>
        <w:pStyle w:val="normalafterexample"/>
      </w:pPr>
      <w:r>
        <w:rPr>
          <w:rStyle w:val="htmlcodes"/>
        </w:rPr>
        <w:t>&lt;/pre&gt;&lt;p&gt;</w:t>
      </w:r>
      <w:r>
        <w:t>We can alternately use the sumti tcita “teci'e”, based on “ciste”, which</w:t>
      </w:r>
      <w:r>
        <w:rPr>
          <w:rStyle w:val="deletedparamark"/>
        </w:rPr>
        <w:t xml:space="preserve"> </w:t>
      </w:r>
      <w:r>
        <w:t>trans</w:t>
      </w:r>
      <w:r>
        <w:softHyphen/>
        <w:t>lates roughly as “of a system of components X”, for universes of</w:t>
      </w:r>
      <w:r>
        <w:rPr>
          <w:rStyle w:val="deletedparamark"/>
        </w:rPr>
        <w:t xml:space="preserve"> </w:t>
      </w:r>
      <w:r>
        <w:t xml:space="preserve">discourse; in this case, we would express </w:t>
      </w:r>
      <w:r>
        <w:rPr>
          <w:rStyle w:val="htmlcodes"/>
        </w:rPr>
        <w:t>&lt;a href=#e5d3&gt;</w:t>
      </w:r>
      <w:r>
        <w:t xml:space="preserve">Example 5.3 </w:t>
      </w:r>
      <w:r>
        <w:rPr>
          <w:rStyle w:val="htmlcodes"/>
        </w:rPr>
        <w:t>&lt;/a&gt;</w:t>
      </w:r>
      <w:r>
        <w:t>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le stizu cu na'e xunre be teci'e le skari</w:t>
      </w:r>
    </w:p>
    <w:p w:rsidR="00B72047" w:rsidRDefault="00B72047">
      <w:pPr>
        <w:pStyle w:val="examplescaled"/>
      </w:pPr>
      <w:r>
        <w:tab/>
        <w:t>The chair is a non-(red of-a-system-with-components-the-colors)-thing.</w:t>
      </w:r>
    </w:p>
    <w:p w:rsidR="00B72047" w:rsidRDefault="00B72047">
      <w:pPr>
        <w:pStyle w:val="normalafterexample"/>
      </w:pPr>
      <w:r>
        <w:rPr>
          <w:rStyle w:val="htmlcodes"/>
        </w:rPr>
        <w:t>&lt;/pre&gt;&lt;p&gt;</w:t>
      </w:r>
      <w:r>
        <w:t>Other places of “ciste” can be brought out using the grammar of selma'o BAI</w:t>
      </w:r>
      <w:r>
        <w:rPr>
          <w:rStyle w:val="deletedparamark"/>
        </w:rPr>
        <w:t xml:space="preserve"> </w:t>
      </w:r>
      <w:r>
        <w:t>modals, allowing slightly different forms of expression,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le stizu cu na'e xunre be ci'e lo'i skari</w:t>
      </w:r>
    </w:p>
    <w:p w:rsidR="00B72047" w:rsidRDefault="00B72047">
      <w:pPr>
        <w:pStyle w:val="examplescaled"/>
      </w:pPr>
      <w:r>
        <w:tab/>
        <w:t>The chair is a non-(red of-a-system-which-is-the-set-of-colors)-thing.</w:t>
      </w:r>
    </w:p>
    <w:p w:rsidR="00B72047" w:rsidRDefault="00B72047">
      <w:pPr>
        <w:pStyle w:val="resumedafterexample"/>
      </w:pPr>
      <w:r>
        <w:rPr>
          <w:rStyle w:val="htmlcodes"/>
        </w:rPr>
        <w:t>&lt;/pre&gt;&lt;p&gt;</w:t>
      </w:r>
      <w:r>
        <w:t>The cmavo “le'a”, also in selma'o BAI, can be used to specify a</w:t>
      </w:r>
      <w:r>
        <w:rPr>
          <w:rStyle w:val="deletedparamark"/>
        </w:rPr>
        <w:t xml:space="preserve"> </w:t>
      </w:r>
      <w:r>
        <w:t>category: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le stizu cu na'e xunre be le'a lo'i skari</w:t>
      </w:r>
    </w:p>
    <w:p w:rsidR="00B72047" w:rsidRDefault="00B72047">
      <w:pPr>
        <w:pStyle w:val="examplescaled"/>
      </w:pPr>
      <w:r>
        <w:tab/>
        <w:t>The chair is a non-(red of-a-category-which-is-the-set-of-colors)-thing.</w:t>
      </w:r>
    </w:p>
    <w:p w:rsidR="00B72047" w:rsidRDefault="00B72047">
      <w:pPr>
        <w:pStyle w:val="resumedafterexample"/>
      </w:pPr>
      <w:r>
        <w:rPr>
          <w:rStyle w:val="htmlcodes"/>
        </w:rPr>
        <w:t>&lt;/pre&gt;</w:t>
      </w:r>
      <w:r>
        <w:t xml:space="preserve">which is minimally different in meaning from </w:t>
      </w:r>
      <w:r>
        <w:rPr>
          <w:rStyle w:val="htmlcodes"/>
        </w:rPr>
        <w:t>&lt;a href=#e5d6&gt;</w:t>
      </w:r>
      <w:r>
        <w:t>Example 5.6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The cmavo “na'e” is not the only member of selma'o NAhE. If we want to</w:t>
      </w:r>
      <w:r>
        <w:rPr>
          <w:rStyle w:val="deletedparamark"/>
        </w:rPr>
        <w:t xml:space="preserve"> </w:t>
      </w:r>
      <w:r>
        <w:t>ex</w:t>
      </w:r>
      <w:r>
        <w:softHyphen/>
        <w:t>press a scalar negation which is a polar opposite, we use the cmavo</w:t>
      </w:r>
      <w:r>
        <w:rPr>
          <w:rStyle w:val="deletedparamark"/>
        </w:rPr>
        <w:t xml:space="preserve"> “</w:t>
      </w:r>
      <w:r>
        <w:t>to'e”, which is grammat</w:t>
      </w:r>
      <w:r>
        <w:t>i</w:t>
      </w:r>
      <w:r>
        <w:softHyphen/>
        <w:t>cally equivalent to “na'e”: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le stizu cu to'e xunre be ci'u loka skari</w:t>
      </w:r>
    </w:p>
    <w:p w:rsidR="00B72047" w:rsidRDefault="00B72047">
      <w:pPr>
        <w:pStyle w:val="examplescaled"/>
      </w:pPr>
      <w:r>
        <w:tab/>
        <w:t>The chair is a ( opposite-of red ) on-scale a-property-of color-ness.</w:t>
      </w:r>
    </w:p>
    <w:p w:rsidR="00B72047" w:rsidRDefault="00B72047">
      <w:pPr>
        <w:pStyle w:val="resumedafterexample"/>
      </w:pPr>
      <w:r>
        <w:rPr>
          <w:rStyle w:val="htmlcodes"/>
        </w:rPr>
        <w:t>&lt;/pre&gt;&lt;p&gt;</w:t>
      </w:r>
      <w:r>
        <w:t>Likewise, the midpoint of a scale can be expressed with the cmavo “no'e”,</w:t>
      </w:r>
      <w:r>
        <w:rPr>
          <w:rStyle w:val="deletedparamark"/>
        </w:rPr>
        <w:t xml:space="preserve"> </w:t>
      </w:r>
      <w:r>
        <w:t>also gram</w:t>
      </w:r>
      <w:r>
        <w:softHyphen/>
        <w:t>matically equivalent to “na'e”. Here are some parallel</w:t>
      </w:r>
      <w:r>
        <w:rPr>
          <w:rStyle w:val="deletedparamark"/>
        </w:rPr>
        <w:t xml:space="preserve"> </w:t>
      </w:r>
      <w:r>
        <w:t>examples of “na'e”, “no'e”, and “to'e”: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ta melbi</w:t>
      </w:r>
    </w:p>
    <w:p w:rsidR="00B72047" w:rsidRDefault="00B72047">
      <w:pPr>
        <w:pStyle w:val="examplescaled"/>
      </w:pPr>
      <w:r>
        <w:tab/>
        <w:t>That is-beautiful.</w:t>
      </w:r>
    </w:p>
    <w:p w:rsidR="00B72047" w:rsidRDefault="00B72047">
      <w:pPr>
        <w:pStyle w:val="examplescaledpre"/>
      </w:pPr>
      <w:r>
        <w:rPr>
          <w:rStyle w:val="htmlcodes"/>
        </w:rPr>
        <w:t>&lt;a name=e5d10&gt;</w:t>
      </w:r>
      <w:r>
        <w:t>5.10)</w:t>
      </w:r>
      <w:r>
        <w:tab/>
        <w:t>ta na'e melbi</w:t>
      </w:r>
    </w:p>
    <w:p w:rsidR="00B72047" w:rsidRDefault="00B72047">
      <w:pPr>
        <w:pStyle w:val="examplescaled"/>
      </w:pPr>
      <w:r>
        <w:tab/>
        <w:t>That is-non-beautiful.</w:t>
      </w:r>
    </w:p>
    <w:p w:rsidR="00B72047" w:rsidRDefault="00B72047">
      <w:pPr>
        <w:pStyle w:val="examplescaled"/>
      </w:pPr>
      <w:r>
        <w:tab/>
        <w:t>That is other than beautiful.</w:t>
      </w:r>
    </w:p>
    <w:p w:rsidR="00B72047" w:rsidRDefault="00B72047">
      <w:pPr>
        <w:pStyle w:val="examplescaled"/>
      </w:pPr>
      <w:r>
        <w:tab/>
        <w:t>That is ugly [in one sense].</w:t>
      </w:r>
    </w:p>
    <w:p w:rsidR="00B72047" w:rsidRDefault="00B72047">
      <w:pPr>
        <w:pStyle w:val="examplescaledpre"/>
      </w:pPr>
      <w:r>
        <w:rPr>
          <w:rStyle w:val="htmlcodes"/>
        </w:rPr>
        <w:t>&lt;a name=e5d11&gt;</w:t>
      </w:r>
      <w:r>
        <w:t>5.11)</w:t>
      </w:r>
      <w:r>
        <w:tab/>
        <w:t>ta no'e melbi</w:t>
      </w:r>
    </w:p>
    <w:p w:rsidR="00B72047" w:rsidRDefault="00B72047">
      <w:pPr>
        <w:pStyle w:val="examplescaled"/>
      </w:pPr>
      <w:r>
        <w:tab/>
        <w:t>That is-neutrally beautiful.</w:t>
      </w:r>
    </w:p>
    <w:p w:rsidR="00B72047" w:rsidRDefault="00B72047">
      <w:pPr>
        <w:pStyle w:val="examplescaled"/>
      </w:pPr>
      <w:r>
        <w:tab/>
        <w:t>That is plain/ordinary-looking (neither ugly nor beautiful).</w:t>
      </w:r>
    </w:p>
    <w:p w:rsidR="00B72047" w:rsidRDefault="00B72047">
      <w:pPr>
        <w:pStyle w:val="examplescaledpre"/>
        <w:spacing w:before="0"/>
      </w:pPr>
      <w:r>
        <w:rPr>
          <w:rStyle w:val="htmlcodes"/>
          <w:vanish w:val="0"/>
        </w:rPr>
        <w:br w:type="page"/>
      </w:r>
      <w:r>
        <w:rPr>
          <w:rStyle w:val="htmlcodes"/>
        </w:rPr>
        <w:t>&lt;a name=e5d12&gt;</w:t>
      </w:r>
      <w:r>
        <w:t>5.12)</w:t>
      </w:r>
      <w:r>
        <w:tab/>
        <w:t>ta to'e melbi</w:t>
      </w:r>
    </w:p>
    <w:p w:rsidR="00B72047" w:rsidRDefault="00B72047">
      <w:pPr>
        <w:pStyle w:val="examplescaled"/>
      </w:pPr>
      <w:r>
        <w:tab/>
        <w:t>That is-opposite-of beautiful.</w:t>
      </w:r>
    </w:p>
    <w:p w:rsidR="00B72047" w:rsidRDefault="00B72047">
      <w:pPr>
        <w:pStyle w:val="examplescaled"/>
      </w:pPr>
      <w:r>
        <w:tab/>
        <w:t>That is ugly/very ugly/repulsive.</w:t>
      </w:r>
    </w:p>
    <w:p w:rsidR="00B72047" w:rsidRDefault="00B72047">
      <w:pPr>
        <w:pStyle w:val="normalafterexample"/>
      </w:pPr>
      <w:r>
        <w:rPr>
          <w:rStyle w:val="htmlcodes"/>
        </w:rPr>
        <w:t>&lt;/pre&gt;&lt;p&gt;</w:t>
      </w:r>
      <w:r>
        <w:t>The cmavo “to'e” has the assigned rafsi “-tol-” and “-to'e-”; the cmavo</w:t>
      </w:r>
      <w:r>
        <w:rPr>
          <w:rStyle w:val="deletedparamark"/>
        </w:rPr>
        <w:t xml:space="preserve"> “</w:t>
      </w:r>
      <w:r>
        <w:t>no'e” has the assigned rafsi “-nor-” and “-no'e-”. The selbri in</w:t>
      </w:r>
      <w:r>
        <w:rPr>
          <w:rStyle w:val="deletedparamark"/>
        </w:rPr>
        <w:t xml:space="preserve"> </w:t>
      </w:r>
      <w:r>
        <w:rPr>
          <w:rStyle w:val="htmlcodes"/>
        </w:rPr>
        <w:t>&lt;a href=#e5d10&gt;</w:t>
      </w:r>
      <w:r>
        <w:t xml:space="preserve">Example 5.10 </w:t>
      </w:r>
      <w:r>
        <w:rPr>
          <w:rStyle w:val="htmlcodes"/>
        </w:rPr>
        <w:t>&lt;/a&gt;</w:t>
      </w:r>
      <w:r>
        <w:t xml:space="preserve">through </w:t>
      </w:r>
      <w:r>
        <w:rPr>
          <w:rStyle w:val="htmlcodes"/>
        </w:rPr>
        <w:t>&lt;a href=#e5d12&gt;</w:t>
      </w:r>
      <w:r>
        <w:t xml:space="preserve">Example 5.12 </w:t>
      </w:r>
      <w:r>
        <w:rPr>
          <w:rStyle w:val="htmlcodes"/>
        </w:rPr>
        <w:t>&lt;/a&gt;</w:t>
      </w:r>
      <w:r>
        <w:t>could be replaced by the lujvo</w:t>
      </w:r>
      <w:r>
        <w:rPr>
          <w:rStyle w:val="deletedparamark"/>
        </w:rPr>
        <w:t xml:space="preserve"> “</w:t>
      </w:r>
      <w:r>
        <w:t>nalmle”, “normle”, and “tolmle” respectively.</w:t>
      </w:r>
    </w:p>
    <w:p w:rsidR="00B72047" w:rsidRDefault="00B72047">
      <w:pPr>
        <w:rPr>
          <w:rStyle w:val="htmlparacode"/>
        </w:rPr>
      </w:pPr>
      <w:r>
        <w:rPr>
          <w:rStyle w:val="htmlparacode"/>
        </w:rPr>
        <w:t>&lt;p&gt;</w:t>
      </w:r>
    </w:p>
    <w:p w:rsidR="00B72047" w:rsidRDefault="00B72047">
      <w:pPr>
        <w:pStyle w:val="normalparagraph"/>
      </w:pPr>
      <w:r>
        <w:t>This large variety of scalar negations is provided because different scales</w:t>
      </w:r>
      <w:r>
        <w:rPr>
          <w:rStyle w:val="deletedparamark"/>
        </w:rPr>
        <w:t xml:space="preserve"> </w:t>
      </w:r>
      <w:r>
        <w:t>have di</w:t>
      </w:r>
      <w:r>
        <w:t>f</w:t>
      </w:r>
      <w:r>
        <w:softHyphen/>
        <w:t>ferent properties. Some scales are open-ended in both directions:</w:t>
      </w:r>
      <w:r>
        <w:rPr>
          <w:rStyle w:val="deletedparamark"/>
        </w:rPr>
        <w:t xml:space="preserve"> </w:t>
      </w:r>
      <w:r>
        <w:t>there is no “ultimately ugly” or “ultimately beautiful”. Other scales,</w:t>
      </w:r>
      <w:r>
        <w:rPr>
          <w:rStyle w:val="deletedparamark"/>
        </w:rPr>
        <w:t xml:space="preserve"> </w:t>
      </w:r>
      <w:r>
        <w:t>like temperature, are open at one end and closed at the other: there is</w:t>
      </w:r>
      <w:r>
        <w:rPr>
          <w:rStyle w:val="deletedparamark"/>
        </w:rPr>
        <w:t xml:space="preserve"> </w:t>
      </w:r>
      <w:r>
        <w:t>a minimum temperature (so-called “absolute zero”) but no maximum</w:t>
      </w:r>
      <w:r>
        <w:rPr>
          <w:rStyle w:val="deletedparamark"/>
        </w:rPr>
        <w:t xml:space="preserve"> </w:t>
      </w:r>
      <w:r>
        <w:t>temperature. Still other scales are closed at both ends.</w:t>
      </w:r>
    </w:p>
    <w:p w:rsidR="00B72047" w:rsidRDefault="00B72047">
      <w:pPr>
        <w:pStyle w:val="normalparagraph"/>
        <w:rPr>
          <w:rStyle w:val="htmlparacode"/>
        </w:rPr>
      </w:pPr>
      <w:r>
        <w:rPr>
          <w:rStyle w:val="htmlparacode"/>
        </w:rPr>
        <w:t>&lt;p&gt;</w:t>
      </w:r>
    </w:p>
    <w:p w:rsidR="00B72047" w:rsidRDefault="00B72047">
      <w:pPr>
        <w:pStyle w:val="normalparagraph"/>
      </w:pPr>
      <w:r>
        <w:t>Correspondingly, some selbri have no obvious “to'e” — what is the</w:t>
      </w:r>
      <w:r>
        <w:rPr>
          <w:rStyle w:val="deletedparamark"/>
        </w:rPr>
        <w:t xml:space="preserve"> </w:t>
      </w:r>
      <w:r>
        <w:t>opposite of a dog? — while others have more than one, and need “ci'u”</w:t>
      </w:r>
      <w:r>
        <w:rPr>
          <w:rStyle w:val="deletedparamark"/>
        </w:rPr>
        <w:t xml:space="preserve"> </w:t>
      </w:r>
      <w:r>
        <w:t>to specify which opposite is meant.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446" w:name="_Toc398970686"/>
      <w:r>
        <w:rPr>
          <w:rStyle w:val="Heading3Text"/>
        </w:rPr>
        <w:t>sumti negation</w:t>
      </w:r>
      <w:bookmarkEnd w:id="446"/>
      <w:r>
        <w:rPr>
          <w:rStyle w:val="htmlcodes"/>
        </w:rPr>
        <w:t>&lt;/h3&gt;</w:t>
      </w:r>
    </w:p>
    <w:p w:rsidR="00B72047" w:rsidRDefault="00B72047">
      <w:pPr>
        <w:rPr>
          <w:rStyle w:val="htmlparacode"/>
        </w:rPr>
      </w:pPr>
      <w:r>
        <w:rPr>
          <w:rStyle w:val="htmlparacode"/>
        </w:rPr>
        <w:t>&lt;p&gt;</w:t>
      </w:r>
    </w:p>
    <w:p w:rsidR="00B72047" w:rsidRDefault="00B72047">
      <w:pPr>
        <w:pStyle w:val="normalparagraph"/>
      </w:pPr>
      <w:r>
        <w:t>There are two ways of negating sumti in Lojban. We have the</w:t>
      </w:r>
      <w:r>
        <w:rPr>
          <w:rStyle w:val="deletedparamark"/>
        </w:rPr>
        <w:t xml:space="preserve"> </w:t>
      </w:r>
      <w:r>
        <w:t>choice of quanti</w:t>
      </w:r>
      <w:r>
        <w:softHyphen/>
        <w:t>fying the sumti with zero, or of applying the sumti-negator</w:t>
      </w:r>
      <w:r>
        <w:rPr>
          <w:rStyle w:val="deletedparamark"/>
        </w:rPr>
        <w:t xml:space="preserve"> “</w:t>
      </w:r>
      <w:r>
        <w:t>na'ebo” before the sumti. It turns out that a zero quantification serves</w:t>
      </w:r>
      <w:r>
        <w:rPr>
          <w:rStyle w:val="deletedparamark"/>
        </w:rPr>
        <w:t xml:space="preserve"> </w:t>
      </w:r>
      <w:r>
        <w:t>for contradictory negation. As the cmavo we use i</w:t>
      </w:r>
      <w:r>
        <w:t>m</w:t>
      </w:r>
      <w:r>
        <w:softHyphen/>
        <w:t>plies, “na'ebo” forms a</w:t>
      </w:r>
      <w:r>
        <w:rPr>
          <w:rStyle w:val="deletedparamark"/>
        </w:rPr>
        <w:t xml:space="preserve"> </w:t>
      </w:r>
      <w:r>
        <w:t>scalar negation.</w:t>
      </w:r>
    </w:p>
    <w:p w:rsidR="00B72047" w:rsidRDefault="00B72047">
      <w:pPr>
        <w:pStyle w:val="normalparagraph"/>
        <w:rPr>
          <w:rStyle w:val="htmlparacode"/>
        </w:rPr>
      </w:pPr>
      <w:r>
        <w:rPr>
          <w:rStyle w:val="htmlparacode"/>
        </w:rPr>
        <w:t>&lt;p&gt;</w:t>
      </w:r>
    </w:p>
    <w:p w:rsidR="00B72047" w:rsidRDefault="00B72047">
      <w:pPr>
        <w:pStyle w:val="normalparagraph"/>
      </w:pPr>
      <w:r>
        <w:t>Let us show examples of each.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no lo ca nolraitru be le fasygu'e</w:t>
      </w:r>
    </w:p>
    <w:p w:rsidR="00B72047" w:rsidRDefault="00B72047">
      <w:pPr>
        <w:pStyle w:val="examplescaled"/>
      </w:pPr>
      <w:r>
        <w:tab/>
      </w:r>
      <w:r>
        <w:tab/>
        <w:t>cu krecau</w:t>
      </w:r>
    </w:p>
    <w:p w:rsidR="00B72047" w:rsidRDefault="00B72047">
      <w:pPr>
        <w:pStyle w:val="examplescaled"/>
      </w:pPr>
      <w:r>
        <w:tab/>
        <w:t xml:space="preserve">Zero of those who are currently noblest-governors of the French country </w:t>
      </w:r>
    </w:p>
    <w:p w:rsidR="00B72047" w:rsidRDefault="00B72047">
      <w:pPr>
        <w:pStyle w:val="examplescaled"/>
        <w:ind w:left="1440" w:firstLine="0"/>
      </w:pPr>
      <w:r>
        <w:t>are-hair-without.</w:t>
      </w:r>
    </w:p>
    <w:p w:rsidR="00B72047" w:rsidRDefault="00B72047">
      <w:pPr>
        <w:pStyle w:val="examplescaled"/>
      </w:pPr>
      <w:r>
        <w:tab/>
        <w:t>No current king of France is bald.</w:t>
      </w:r>
    </w:p>
    <w:p w:rsidR="00B72047" w:rsidRDefault="00B72047">
      <w:pPr>
        <w:pStyle w:val="resumedafterexample"/>
      </w:pPr>
      <w:r>
        <w:rPr>
          <w:rStyle w:val="htmlcodes"/>
        </w:rPr>
        <w:t>&lt;/pre&gt;&lt;p&gt;</w:t>
      </w:r>
      <w:r>
        <w:t xml:space="preserve">Is </w:t>
      </w:r>
      <w:r>
        <w:rPr>
          <w:rStyle w:val="htmlcodes"/>
        </w:rPr>
        <w:t>&lt;a href=#e6d1&gt;</w:t>
      </w:r>
      <w:r>
        <w:t xml:space="preserve">Example 6.1 </w:t>
      </w:r>
      <w:r>
        <w:rPr>
          <w:rStyle w:val="htmlcodes"/>
        </w:rPr>
        <w:t>&lt;/a&gt;</w:t>
      </w:r>
      <w:r>
        <w:t>true? Yes, because it merely claims that of the current</w:t>
      </w:r>
      <w:r>
        <w:rPr>
          <w:rStyle w:val="deletedparamark"/>
        </w:rPr>
        <w:t xml:space="preserve"> </w:t>
      </w:r>
      <w:r>
        <w:t>Kings of France, however many there may be, none are bald, which is plainly</w:t>
      </w:r>
      <w:r>
        <w:rPr>
          <w:rStyle w:val="deletedparamark"/>
        </w:rPr>
        <w:t xml:space="preserve"> </w:t>
      </w:r>
      <w:r>
        <w:t>true, since there are no such current Kings of France.</w:t>
      </w:r>
    </w:p>
    <w:p w:rsidR="00B72047" w:rsidRDefault="00B72047">
      <w:pPr>
        <w:rPr>
          <w:rStyle w:val="htmlparacode"/>
        </w:rPr>
      </w:pPr>
      <w:r>
        <w:rPr>
          <w:rStyle w:val="htmlparacode"/>
        </w:rPr>
        <w:t>&lt;p&gt;</w:t>
      </w:r>
    </w:p>
    <w:p w:rsidR="00B72047" w:rsidRDefault="00B72047">
      <w:pPr>
        <w:pStyle w:val="normalparagraph"/>
      </w:pPr>
      <w:r>
        <w:t>Now let us look at the same sentence using “na'ebo” negation: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na'ebo lo ca nolraitru</w:t>
      </w:r>
    </w:p>
    <w:p w:rsidR="00B72047" w:rsidRDefault="00B72047">
      <w:pPr>
        <w:pStyle w:val="examplescaled"/>
      </w:pPr>
      <w:r>
        <w:tab/>
      </w:r>
      <w:r>
        <w:tab/>
        <w:t>be le fasygu'e cu krecau</w:t>
      </w:r>
    </w:p>
    <w:p w:rsidR="00B72047" w:rsidRDefault="00B72047">
      <w:pPr>
        <w:pStyle w:val="examplescaled"/>
      </w:pPr>
      <w:r>
        <w:tab/>
        <w:t>[Something] other-than-(the-current-noblest-governor</w:t>
      </w:r>
    </w:p>
    <w:p w:rsidR="00B72047" w:rsidRDefault="00B72047">
      <w:pPr>
        <w:pStyle w:val="examplescaled"/>
      </w:pPr>
      <w:r>
        <w:tab/>
      </w:r>
      <w:r>
        <w:tab/>
        <w:t>of the French country) is-hair-without.</w:t>
      </w:r>
    </w:p>
    <w:p w:rsidR="00B72047" w:rsidRDefault="00B72047">
      <w:pPr>
        <w:pStyle w:val="examplescaled"/>
      </w:pPr>
      <w:r>
        <w:tab/>
        <w:t>Something other than the current King of France is bald.</w:t>
      </w:r>
    </w:p>
    <w:p w:rsidR="00B72047" w:rsidRDefault="00B72047">
      <w:pPr>
        <w:pStyle w:val="resumedafterexample"/>
      </w:pPr>
      <w:r>
        <w:rPr>
          <w:rStyle w:val="htmlcodes"/>
        </w:rPr>
        <w:t>&lt;/pre&gt;&lt;a href=#e6d2&gt;</w:t>
      </w:r>
      <w:r>
        <w:t xml:space="preserve">Example 6.2 </w:t>
      </w:r>
      <w:r>
        <w:rPr>
          <w:rStyle w:val="htmlcodes"/>
        </w:rPr>
        <w:t>&lt;/a&gt;</w:t>
      </w:r>
      <w:r>
        <w:t>is true provided that something reasonably describable as</w:t>
      </w:r>
      <w:r>
        <w:rPr>
          <w:rStyle w:val="deletedparamark"/>
        </w:rPr>
        <w:t xml:space="preserve"> “</w:t>
      </w:r>
      <w:r>
        <w:t>other than a cu</w:t>
      </w:r>
      <w:r>
        <w:t>r</w:t>
      </w:r>
      <w:r>
        <w:softHyphen/>
        <w:t>rent King of France”, such as the King of Saudi Arabia,</w:t>
      </w:r>
      <w:r>
        <w:rPr>
          <w:rStyle w:val="deletedparamark"/>
        </w:rPr>
        <w:t xml:space="preserve"> </w:t>
      </w:r>
      <w:r>
        <w:t>or a former King of France, is in fact bald.</w:t>
      </w:r>
    </w:p>
    <w:p w:rsidR="00B72047" w:rsidRDefault="00B72047">
      <w:pPr>
        <w:rPr>
          <w:rStyle w:val="htmlparacode"/>
        </w:rPr>
      </w:pPr>
      <w:r>
        <w:rPr>
          <w:rStyle w:val="htmlparacode"/>
        </w:rPr>
        <w:t>&lt;p&gt;</w:t>
      </w:r>
    </w:p>
    <w:p w:rsidR="00B72047" w:rsidRDefault="00B72047">
      <w:pPr>
        <w:pStyle w:val="normalparagraph"/>
      </w:pPr>
      <w:r>
        <w:t>In place of “na'ebo”, you may also use “no'ebo” and “to'ebo”, to be more</w:t>
      </w:r>
      <w:r>
        <w:rPr>
          <w:rStyle w:val="deletedparamark"/>
        </w:rPr>
        <w:t xml:space="preserve"> </w:t>
      </w:r>
      <w:r>
        <w:t>spe</w:t>
      </w:r>
      <w:r>
        <w:softHyphen/>
        <w:t>cific about the sumti which would be appropriate in place of the</w:t>
      </w:r>
      <w:r>
        <w:rPr>
          <w:rStyle w:val="deletedparamark"/>
        </w:rPr>
        <w:t xml:space="preserve"> </w:t>
      </w:r>
      <w:r>
        <w:t>stated sumti. Good examples are hard to come by, but here's a valiant try: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mi klama to'ebo la bastn.</w:t>
      </w:r>
    </w:p>
    <w:p w:rsidR="00B72047" w:rsidRDefault="00B72047">
      <w:pPr>
        <w:pStyle w:val="examplescaled"/>
      </w:pPr>
      <w:r>
        <w:tab/>
        <w:t>I go to the-opposite-of Boston.</w:t>
      </w:r>
    </w:p>
    <w:p w:rsidR="00B72047" w:rsidRDefault="00B72047">
      <w:pPr>
        <w:pStyle w:val="examplescaled"/>
      </w:pPr>
      <w:r>
        <w:tab/>
        <w:t>I go to Perth.</w:t>
      </w:r>
    </w:p>
    <w:p w:rsidR="00B72047" w:rsidRDefault="00B72047">
      <w:pPr>
        <w:pStyle w:val="resumedafterexample"/>
      </w:pPr>
      <w:r>
        <w:rPr>
          <w:rStyle w:val="htmlcodes"/>
        </w:rPr>
        <w:t>&lt;/pre&gt;</w:t>
      </w:r>
      <w:r>
        <w:t>(Boston and Perth are nearly, but not quite, antipodal cities. In a</w:t>
      </w:r>
      <w:r>
        <w:rPr>
          <w:rStyle w:val="deletedparamark"/>
        </w:rPr>
        <w:t xml:space="preserve"> </w:t>
      </w:r>
      <w:r>
        <w:t>purely United States context, San Francisco might be a better “opposite”.)</w:t>
      </w:r>
      <w:r>
        <w:rPr>
          <w:rStyle w:val="deletedparamark"/>
        </w:rPr>
        <w:t xml:space="preserve"> </w:t>
      </w:r>
      <w:r>
        <w:t>Coming up with good examples is difficult, because attaching “to'ebo” to</w:t>
      </w:r>
      <w:r>
        <w:rPr>
          <w:rStyle w:val="deletedparamark"/>
        </w:rPr>
        <w:t xml:space="preserve"> </w:t>
      </w:r>
      <w:r>
        <w:t>a description sumti is usually the same as at</w:t>
      </w:r>
      <w:r>
        <w:softHyphen/>
        <w:t>taching “to'e” to the selbri</w:t>
      </w:r>
      <w:r>
        <w:rPr>
          <w:rStyle w:val="deletedparamark"/>
        </w:rPr>
        <w:t xml:space="preserve"> </w:t>
      </w:r>
      <w:r>
        <w:t>of the description.</w:t>
      </w:r>
    </w:p>
    <w:p w:rsidR="00B72047" w:rsidRDefault="00B72047">
      <w:pPr>
        <w:rPr>
          <w:rStyle w:val="htmlparacode"/>
        </w:rPr>
      </w:pPr>
      <w:r>
        <w:rPr>
          <w:rStyle w:val="htmlparacode"/>
        </w:rPr>
        <w:t>&lt;p&gt;</w:t>
      </w:r>
    </w:p>
    <w:p w:rsidR="00B72047" w:rsidRDefault="00B72047">
      <w:pPr>
        <w:pStyle w:val="normalparagraph"/>
      </w:pPr>
      <w:r>
        <w:t>It is not possible to transform sumti negations of either type into bridi</w:t>
      </w:r>
      <w:r>
        <w:rPr>
          <w:rStyle w:val="deletedparamark"/>
        </w:rPr>
        <w:t xml:space="preserve"> </w:t>
      </w:r>
      <w:r>
        <w:t>nega</w:t>
      </w:r>
      <w:r>
        <w:softHyphen/>
        <w:t>tions or scalar selbri negations. Negations of sumti will be used in</w:t>
      </w:r>
      <w:r>
        <w:rPr>
          <w:rStyle w:val="deletedparamark"/>
        </w:rPr>
        <w:t xml:space="preserve"> </w:t>
      </w:r>
      <w:r>
        <w:t>Lojban conversation. The i</w:t>
      </w:r>
      <w:r>
        <w:t>n</w:t>
      </w:r>
      <w:r>
        <w:softHyphen/>
        <w:t>ability to manipulate these negations logically</w:t>
      </w:r>
      <w:r>
        <w:rPr>
          <w:rStyle w:val="deletedparamark"/>
        </w:rPr>
        <w:t xml:space="preserve"> </w:t>
      </w:r>
      <w:r>
        <w:t>will, it is hoped, prevent the logi</w:t>
      </w:r>
      <w:r>
        <w:softHyphen/>
        <w:t>cal errors that result when natural</w:t>
      </w:r>
      <w:r>
        <w:rPr>
          <w:rStyle w:val="deletedparamark"/>
        </w:rPr>
        <w:t xml:space="preserve"> </w:t>
      </w:r>
      <w:r>
        <w:t>languages attempt corresponding manipulations.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447" w:name="_Toc398970687"/>
      <w:r>
        <w:rPr>
          <w:rStyle w:val="Heading3Text"/>
        </w:rPr>
        <w:t>Negation of minor grammatical constructs</w:t>
      </w:r>
      <w:bookmarkEnd w:id="447"/>
      <w:r>
        <w:rPr>
          <w:rStyle w:val="htmlcodes"/>
        </w:rPr>
        <w:t>&lt;/h3&gt;</w:t>
      </w:r>
    </w:p>
    <w:p w:rsidR="00B72047" w:rsidRDefault="00B72047">
      <w:pPr>
        <w:rPr>
          <w:rStyle w:val="htmlparacode"/>
        </w:rPr>
      </w:pPr>
      <w:r>
        <w:rPr>
          <w:rStyle w:val="htmlparacode"/>
        </w:rPr>
        <w:t>&lt;p&gt;</w:t>
      </w:r>
    </w:p>
    <w:p w:rsidR="00B72047" w:rsidRDefault="00B72047">
      <w:pPr>
        <w:pStyle w:val="normalparagraph"/>
      </w:pPr>
      <w:r>
        <w:t>We have a few other constructs that can be negated, all of them</w:t>
      </w:r>
      <w:r>
        <w:rPr>
          <w:rStyle w:val="deletedparamark"/>
        </w:rPr>
        <w:t xml:space="preserve"> </w:t>
      </w:r>
      <w:r>
        <w:t>based on ne</w:t>
      </w:r>
      <w:r>
        <w:softHyphen/>
        <w:t>gating individual words. For such negation, we use the</w:t>
      </w:r>
      <w:r>
        <w:rPr>
          <w:rStyle w:val="deletedparamark"/>
        </w:rPr>
        <w:t xml:space="preserve"> </w:t>
      </w:r>
      <w:r>
        <w:t>suffix-combining negator, which is “nai”. “nai”, by the way, is almost</w:t>
      </w:r>
      <w:r>
        <w:rPr>
          <w:rStyle w:val="deletedparamark"/>
        </w:rPr>
        <w:t xml:space="preserve"> </w:t>
      </w:r>
      <w:r>
        <w:t>always written as a compound into the previous word that it is negating,</w:t>
      </w:r>
      <w:r>
        <w:rPr>
          <w:rStyle w:val="deletedparamark"/>
        </w:rPr>
        <w:t xml:space="preserve"> </w:t>
      </w:r>
      <w:r>
        <w:t>although it is a regular separate-word cmavo and the sole member of selma'o</w:t>
      </w:r>
      <w:r>
        <w:rPr>
          <w:rStyle w:val="deletedparamark"/>
        </w:rPr>
        <w:t xml:space="preserve"> </w:t>
      </w:r>
      <w:r>
        <w:t>NAI.</w:t>
      </w:r>
    </w:p>
    <w:p w:rsidR="00B72047" w:rsidRDefault="00B72047">
      <w:pPr>
        <w:pStyle w:val="normalparagraph"/>
        <w:rPr>
          <w:rStyle w:val="htmlparacode"/>
        </w:rPr>
      </w:pPr>
      <w:r>
        <w:rPr>
          <w:rStyle w:val="htmlparacode"/>
        </w:rPr>
        <w:t>&lt;p&gt;</w:t>
      </w:r>
    </w:p>
    <w:p w:rsidR="00B72047" w:rsidRDefault="00B72047">
      <w:pPr>
        <w:pStyle w:val="normalparagraph"/>
      </w:pPr>
      <w:r>
        <w:t>Most of these negation forms are straightforward, and should be</w:t>
      </w:r>
      <w:r>
        <w:rPr>
          <w:rStyle w:val="deletedparamark"/>
        </w:rPr>
        <w:t xml:space="preserve"> </w:t>
      </w:r>
      <w:r>
        <w:t>discussed and inte</w:t>
      </w:r>
      <w:r>
        <w:t>r</w:t>
      </w:r>
      <w:r>
        <w:softHyphen/>
        <w:t>preted in connection with an analysis of the particular</w:t>
      </w:r>
      <w:r>
        <w:rPr>
          <w:rStyle w:val="deletedparamark"/>
        </w:rPr>
        <w:t xml:space="preserve"> </w:t>
      </w:r>
      <w:r>
        <w:t>construct being negated. Thus, we will not go into much detail here.</w:t>
      </w:r>
    </w:p>
    <w:p w:rsidR="00B72047" w:rsidRDefault="00B72047">
      <w:pPr>
        <w:pStyle w:val="normalparagraph"/>
        <w:rPr>
          <w:rStyle w:val="htmlparacode"/>
        </w:rPr>
      </w:pPr>
      <w:r>
        <w:rPr>
          <w:rStyle w:val="htmlparacode"/>
        </w:rPr>
        <w:t>&lt;p&gt;</w:t>
      </w:r>
    </w:p>
    <w:p w:rsidR="00B72047" w:rsidRDefault="00B72047">
      <w:pPr>
        <w:pStyle w:val="normalparagraph"/>
      </w:pPr>
      <w:r>
        <w:t>The following are places where “nai” is used:</w:t>
      </w:r>
    </w:p>
    <w:p w:rsidR="00B72047" w:rsidRDefault="00B72047">
      <w:pPr>
        <w:pStyle w:val="normalparagraph"/>
        <w:rPr>
          <w:rStyle w:val="htmlparacode"/>
        </w:rPr>
      </w:pPr>
      <w:r>
        <w:rPr>
          <w:rStyle w:val="htmlparacode"/>
        </w:rPr>
        <w:t>&lt;p&gt;</w:t>
      </w:r>
    </w:p>
    <w:p w:rsidR="00B72047" w:rsidRDefault="00B72047">
      <w:pPr>
        <w:pStyle w:val="normalparagraph"/>
      </w:pPr>
      <w:r>
        <w:t xml:space="preserve">When attached to tenses and modals (see </w:t>
      </w:r>
      <w:r>
        <w:rPr>
          <w:rStyle w:val="htmlcodes"/>
        </w:rPr>
        <w:t>&lt;a href=chap10.html&gt;</w:t>
      </w:r>
      <w:r>
        <w:t>Chapter 10</w:t>
      </w:r>
      <w:r>
        <w:rPr>
          <w:rStyle w:val="htmlcodes"/>
        </w:rPr>
        <w:t>&lt;/a&gt;</w:t>
      </w:r>
      <w:r>
        <w:t>), the “nai” suffix</w:t>
      </w:r>
      <w:r>
        <w:rPr>
          <w:rStyle w:val="deletedparamark"/>
        </w:rPr>
        <w:t xml:space="preserve"> </w:t>
      </w:r>
      <w:r>
        <w:t>usually ind</w:t>
      </w:r>
      <w:r>
        <w:t>i</w:t>
      </w:r>
      <w:r>
        <w:softHyphen/>
        <w:t>cates a contradictory negation of the tagged bridi. Thus</w:t>
      </w:r>
      <w:r>
        <w:rPr>
          <w:rStyle w:val="deletedparamark"/>
        </w:rPr>
        <w:t xml:space="preserve"> “</w:t>
      </w:r>
      <w:r>
        <w:t>punai” as a tense inflection means “not-in-the-past”, or “not-previously”,</w:t>
      </w:r>
      <w:r>
        <w:rPr>
          <w:rStyle w:val="deletedparamark"/>
        </w:rPr>
        <w:t xml:space="preserve"> </w:t>
      </w:r>
      <w:r>
        <w:t>without making any implication about any other time period unless explicitly</w:t>
      </w:r>
      <w:r>
        <w:rPr>
          <w:rStyle w:val="deletedparamark"/>
        </w:rPr>
        <w:t xml:space="preserve"> </w:t>
      </w:r>
      <w:r>
        <w:t>stated. As a result,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name=e7d1&gt;</w:t>
      </w:r>
      <w:r>
        <w:t>7.1)</w:t>
      </w:r>
      <w:r>
        <w:tab/>
        <w:t>mi na pu klama le zarci</w:t>
      </w:r>
    </w:p>
    <w:p w:rsidR="00B72047" w:rsidRDefault="00B72047">
      <w:pPr>
        <w:pStyle w:val="examplescaled"/>
      </w:pPr>
      <w:r>
        <w:tab/>
        <w:t>I [false] [past] go-to the store.</w:t>
      </w:r>
    </w:p>
    <w:p w:rsidR="00B72047" w:rsidRDefault="00B72047">
      <w:pPr>
        <w:pStyle w:val="examplescaled"/>
      </w:pPr>
      <w:r>
        <w:tab/>
        <w:t>I didn't go to the store.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mi punai klama le zarci</w:t>
      </w:r>
    </w:p>
    <w:p w:rsidR="00B72047" w:rsidRDefault="00B72047">
      <w:pPr>
        <w:pStyle w:val="examplescaled"/>
      </w:pPr>
      <w:r>
        <w:tab/>
        <w:t>I [past-not] go-to the store.</w:t>
      </w:r>
    </w:p>
    <w:p w:rsidR="00B72047" w:rsidRDefault="00B72047">
      <w:pPr>
        <w:pStyle w:val="examplescaled"/>
      </w:pPr>
      <w:r>
        <w:tab/>
        <w:t>I didn't go to the store.</w:t>
      </w:r>
    </w:p>
    <w:p w:rsidR="00B72047" w:rsidRDefault="00B72047">
      <w:pPr>
        <w:pStyle w:val="resumedafterexample"/>
      </w:pPr>
      <w:r>
        <w:rPr>
          <w:rStyle w:val="htmlcodes"/>
        </w:rPr>
        <w:t>&lt;/pre&gt;</w:t>
      </w:r>
      <w:r>
        <w:t>mean exactly the same thing, although there may be a difference of emphasis.</w:t>
      </w:r>
    </w:p>
    <w:p w:rsidR="00B72047" w:rsidRDefault="00B72047">
      <w:pPr>
        <w:rPr>
          <w:rStyle w:val="htmlparacode"/>
        </w:rPr>
      </w:pPr>
      <w:r>
        <w:rPr>
          <w:rStyle w:val="htmlparacode"/>
        </w:rPr>
        <w:t>&lt;p&gt;</w:t>
      </w:r>
    </w:p>
    <w:p w:rsidR="00B72047" w:rsidRDefault="00B72047">
      <w:pPr>
        <w:pStyle w:val="normalparagraph"/>
      </w:pPr>
      <w:r>
        <w:t>Tenses and modals can be logically connected, with the logical</w:t>
      </w:r>
      <w:r>
        <w:rPr>
          <w:rStyle w:val="deletedparamark"/>
        </w:rPr>
        <w:t xml:space="preserve"> </w:t>
      </w:r>
      <w:r>
        <w:t>connectives contai</w:t>
      </w:r>
      <w:r>
        <w:t>n</w:t>
      </w:r>
      <w:r>
        <w:softHyphen/>
        <w:t>ing contradictory negations; this allows negated tenses</w:t>
      </w:r>
      <w:r>
        <w:rPr>
          <w:rStyle w:val="deletedparamark"/>
        </w:rPr>
        <w:t xml:space="preserve"> </w:t>
      </w:r>
      <w:r>
        <w:t>and modals to be ex</w:t>
      </w:r>
      <w:r>
        <w:softHyphen/>
        <w:t>pressed pos</w:t>
      </w:r>
      <w:r>
        <w:t>i</w:t>
      </w:r>
      <w:r>
        <w:softHyphen/>
        <w:t>tively using logical connectives. Thus</w:t>
      </w:r>
      <w:r>
        <w:rPr>
          <w:rStyle w:val="deletedparamark"/>
        </w:rPr>
        <w:t xml:space="preserve"> “</w:t>
      </w:r>
      <w:r>
        <w:t>punai je ca” means the same thing as “pu naje ca”.</w:t>
      </w:r>
    </w:p>
    <w:p w:rsidR="00B72047" w:rsidRDefault="00B72047">
      <w:pPr>
        <w:pStyle w:val="normalparagraph"/>
        <w:rPr>
          <w:rStyle w:val="htmlparacode"/>
        </w:rPr>
      </w:pPr>
      <w:r>
        <w:rPr>
          <w:rStyle w:val="htmlparacode"/>
        </w:rPr>
        <w:t>&lt;p&gt;</w:t>
      </w:r>
    </w:p>
    <w:p w:rsidR="00B72047" w:rsidRDefault="00B72047">
      <w:pPr>
        <w:pStyle w:val="normalparagraph"/>
      </w:pPr>
      <w:r>
        <w:t>As a special case, a “-nai” attached to the interval modifiers of selma'o</w:t>
      </w:r>
      <w:r>
        <w:rPr>
          <w:rStyle w:val="deletedparamark"/>
        </w:rPr>
        <w:t xml:space="preserve"> </w:t>
      </w:r>
      <w:r>
        <w:t xml:space="preserve">TAhE, ROI, or ZAhO (explained in </w:t>
      </w:r>
      <w:r>
        <w:rPr>
          <w:rStyle w:val="htmlcodes"/>
        </w:rPr>
        <w:t>&lt;a href=chap10.html&gt;</w:t>
      </w:r>
      <w:r>
        <w:t>Chapter 10</w:t>
      </w:r>
      <w:r>
        <w:rPr>
          <w:rStyle w:val="htmlcodes"/>
        </w:rPr>
        <w:t>&lt;/a&gt;</w:t>
      </w:r>
      <w:r>
        <w:t>) signals a scalar negation: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mi paroinai dansu le bisli</w:t>
      </w:r>
    </w:p>
    <w:p w:rsidR="00B72047" w:rsidRDefault="00B72047">
      <w:pPr>
        <w:pStyle w:val="examplescaled"/>
      </w:pPr>
      <w:r>
        <w:tab/>
        <w:t>I [once] [not] dance-on the ice</w:t>
      </w:r>
    </w:p>
    <w:p w:rsidR="00B72047" w:rsidRDefault="00B72047">
      <w:pPr>
        <w:pStyle w:val="resumedafterexample"/>
      </w:pPr>
      <w:r>
        <w:rPr>
          <w:rStyle w:val="htmlcodes"/>
        </w:rPr>
        <w:t>&lt;/pre&gt;</w:t>
      </w:r>
      <w:r>
        <w:t>means that I dance on the ice either zero or else two or more times within</w:t>
      </w:r>
      <w:r>
        <w:rPr>
          <w:rStyle w:val="deletedparamark"/>
        </w:rPr>
        <w:t xml:space="preserve"> </w:t>
      </w:r>
      <w:r>
        <w:t xml:space="preserve">the relevant time interval described by the bridi. </w:t>
      </w:r>
      <w:r>
        <w:rPr>
          <w:rStyle w:val="htmlcodes"/>
        </w:rPr>
        <w:t>&lt;a href=#e7d3&gt;</w:t>
      </w:r>
      <w:r>
        <w:t xml:space="preserve">Example 7.3 </w:t>
      </w:r>
      <w:r>
        <w:rPr>
          <w:rStyle w:val="htmlcodes"/>
        </w:rPr>
        <w:t>&lt;/a&gt;</w:t>
      </w:r>
      <w:r>
        <w:t>is very</w:t>
      </w:r>
      <w:r>
        <w:rPr>
          <w:rStyle w:val="deletedparamark"/>
        </w:rPr>
        <w:t xml:space="preserve"> </w:t>
      </w:r>
      <w:r>
        <w:t>different from the English use of “not once”, which is an emphatic way</w:t>
      </w:r>
      <w:r>
        <w:rPr>
          <w:rStyle w:val="deletedparamark"/>
        </w:rPr>
        <w:t xml:space="preserve"> </w:t>
      </w:r>
      <w:r>
        <w:t>of saying “never” — that is, exactly zero times.</w:t>
      </w:r>
    </w:p>
    <w:p w:rsidR="00B72047" w:rsidRDefault="00B72047">
      <w:pPr>
        <w:rPr>
          <w:rStyle w:val="htmlparacode"/>
        </w:rPr>
      </w:pPr>
      <w:r>
        <w:rPr>
          <w:rStyle w:val="htmlparacode"/>
        </w:rPr>
        <w:t>&lt;p&gt;</w:t>
      </w:r>
    </w:p>
    <w:p w:rsidR="00B72047" w:rsidRDefault="00B72047">
      <w:pPr>
        <w:pStyle w:val="normalparagraph"/>
      </w:pPr>
      <w:r>
        <w:t>In indicators and attitudinals of selma'o UI or CAI, “nai” denotes a polar</w:t>
      </w:r>
      <w:r>
        <w:rPr>
          <w:rStyle w:val="deletedparamark"/>
        </w:rPr>
        <w:t xml:space="preserve"> </w:t>
      </w:r>
      <w:r>
        <w:t>nega</w:t>
      </w:r>
      <w:r>
        <w:softHyphen/>
        <w:t xml:space="preserve">tion. As discussed in </w:t>
      </w:r>
      <w:r>
        <w:rPr>
          <w:rStyle w:val="htmlcodes"/>
        </w:rPr>
        <w:t>&lt;a href=chap13.html&gt;</w:t>
      </w:r>
      <w:r>
        <w:t>Chapter 13</w:t>
      </w:r>
      <w:r>
        <w:rPr>
          <w:rStyle w:val="htmlcodes"/>
        </w:rPr>
        <w:t>&lt;/a&gt;</w:t>
      </w:r>
      <w:r>
        <w:t>, most indicators have an implicit</w:t>
      </w:r>
      <w:r>
        <w:rPr>
          <w:rStyle w:val="deletedparamark"/>
        </w:rPr>
        <w:t xml:space="preserve"> </w:t>
      </w:r>
      <w:r>
        <w:t>scale, and “nai” changes the indicator to refer to the opposite end of the</w:t>
      </w:r>
      <w:r>
        <w:rPr>
          <w:rStyle w:val="deletedparamark"/>
        </w:rPr>
        <w:t xml:space="preserve"> </w:t>
      </w:r>
      <w:r>
        <w:t>scale. Thus “.uinai” expresses unhappiness, and “.ienai” expresses</w:t>
      </w:r>
      <w:r>
        <w:rPr>
          <w:rStyle w:val="deletedparamark"/>
        </w:rPr>
        <w:t xml:space="preserve"> </w:t>
      </w:r>
      <w:r>
        <w:t>disagreement (not ambivalence, which is expressed with the ne</w:t>
      </w:r>
      <w:r>
        <w:t>u</w:t>
      </w:r>
      <w:r>
        <w:softHyphen/>
        <w:t>tral or</w:t>
      </w:r>
      <w:r>
        <w:rPr>
          <w:rStyle w:val="deletedparamark"/>
        </w:rPr>
        <w:t xml:space="preserve"> </w:t>
      </w:r>
      <w:r>
        <w:t>undecided intensity as “.iecu'i”).</w:t>
      </w:r>
    </w:p>
    <w:p w:rsidR="00B72047" w:rsidRDefault="00B72047">
      <w:pPr>
        <w:pStyle w:val="normalparagraph"/>
        <w:rPr>
          <w:rStyle w:val="htmlparacode"/>
        </w:rPr>
      </w:pPr>
      <w:r>
        <w:rPr>
          <w:rStyle w:val="htmlparacode"/>
        </w:rPr>
        <w:t>&lt;p&gt;</w:t>
      </w:r>
    </w:p>
    <w:p w:rsidR="00B72047" w:rsidRDefault="00B72047">
      <w:pPr>
        <w:pStyle w:val="normalparagraph"/>
      </w:pPr>
      <w:r>
        <w:t>Vocative cmavo of selma'o COI are considered a kind of indicator, but</w:t>
      </w:r>
      <w:r>
        <w:rPr>
          <w:rStyle w:val="deletedparamark"/>
        </w:rPr>
        <w:t xml:space="preserve"> </w:t>
      </w:r>
      <w:r>
        <w:t>one which identifies the listener. Semantically, we could dispense with</w:t>
      </w:r>
      <w:r>
        <w:rPr>
          <w:rStyle w:val="deletedparamark"/>
        </w:rPr>
        <w:t xml:space="preserve"> </w:t>
      </w:r>
      <w:r>
        <w:t>about half of the COI selma'o words based on the scalar paradigm. For</w:t>
      </w:r>
      <w:r>
        <w:rPr>
          <w:rStyle w:val="deletedparamark"/>
        </w:rPr>
        <w:t xml:space="preserve"> </w:t>
      </w:r>
      <w:r>
        <w:t>example, “co'o” could be ex</w:t>
      </w:r>
      <w:r>
        <w:softHyphen/>
        <w:t>pressed as “coinai”. However, this is not</w:t>
      </w:r>
      <w:r>
        <w:rPr>
          <w:rStyle w:val="deletedparamark"/>
        </w:rPr>
        <w:t xml:space="preserve"> </w:t>
      </w:r>
      <w:r>
        <w:t>generally done.</w:t>
      </w:r>
    </w:p>
    <w:p w:rsidR="00B72047" w:rsidRDefault="00B72047">
      <w:pPr>
        <w:pStyle w:val="normalparagraph"/>
        <w:rPr>
          <w:rStyle w:val="htmlparacode"/>
        </w:rPr>
      </w:pPr>
      <w:r>
        <w:rPr>
          <w:rStyle w:val="htmlparacode"/>
        </w:rPr>
        <w:t>&lt;p&gt;</w:t>
      </w:r>
    </w:p>
    <w:p w:rsidR="00B72047" w:rsidRDefault="00B72047">
      <w:pPr>
        <w:pStyle w:val="normalparagraph"/>
      </w:pPr>
      <w:r>
        <w:t>Most of the COI cmavo are used in what are commonly called protocol</w:t>
      </w:r>
      <w:r>
        <w:rPr>
          <w:rStyle w:val="deletedparamark"/>
        </w:rPr>
        <w:t xml:space="preserve"> </w:t>
      </w:r>
      <w:r>
        <w:t>situa</w:t>
      </w:r>
      <w:r>
        <w:softHyphen/>
        <w:t>tions. These protocols are used, for example, in radio conversations,</w:t>
      </w:r>
      <w:r>
        <w:rPr>
          <w:rStyle w:val="deletedparamark"/>
        </w:rPr>
        <w:t xml:space="preserve"> </w:t>
      </w:r>
      <w:r>
        <w:t>which often take place in a noisy environment. The negatives of protocol</w:t>
      </w:r>
      <w:r>
        <w:rPr>
          <w:rStyle w:val="deletedparamark"/>
        </w:rPr>
        <w:t xml:space="preserve"> </w:t>
      </w:r>
      <w:r>
        <w:t>words tend to convey diametri</w:t>
      </w:r>
      <w:r>
        <w:softHyphen/>
        <w:t>cally opp</w:t>
      </w:r>
      <w:r>
        <w:t>o</w:t>
      </w:r>
      <w:r>
        <w:softHyphen/>
        <w:t>site communications situations (as</w:t>
      </w:r>
      <w:r>
        <w:rPr>
          <w:rStyle w:val="deletedparamark"/>
        </w:rPr>
        <w:t xml:space="preserve"> </w:t>
      </w:r>
      <w:r>
        <w:t>might be expected). Therefore, only one protocol vocative is dependent</w:t>
      </w:r>
      <w:r>
        <w:rPr>
          <w:rStyle w:val="deletedparamark"/>
        </w:rPr>
        <w:t xml:space="preserve"> </w:t>
      </w:r>
      <w:r>
        <w:t>on “nai”: negative acknowledgement, which is “je'enai” (“I didn't get</w:t>
      </w:r>
      <w:r>
        <w:rPr>
          <w:rStyle w:val="deletedparamark"/>
        </w:rPr>
        <w:t xml:space="preserve"> </w:t>
      </w:r>
      <w:r>
        <w:t>that”).</w:t>
      </w:r>
    </w:p>
    <w:p w:rsidR="00B72047" w:rsidRDefault="00B72047">
      <w:pPr>
        <w:pStyle w:val="normalparagraph"/>
        <w:rPr>
          <w:rStyle w:val="htmlparacode"/>
        </w:rPr>
      </w:pPr>
      <w:r>
        <w:rPr>
          <w:rStyle w:val="htmlparacode"/>
        </w:rPr>
        <w:t>&lt;p&gt;</w:t>
      </w:r>
    </w:p>
    <w:p w:rsidR="00B72047" w:rsidRDefault="00B72047">
      <w:pPr>
        <w:pStyle w:val="normalparagraph"/>
      </w:pPr>
      <w:r>
        <w:t>Unlike the attitudinal indicators, which tend to be unimportant in noisy</w:t>
      </w:r>
      <w:r>
        <w:rPr>
          <w:rStyle w:val="deletedparamark"/>
        </w:rPr>
        <w:t xml:space="preserve"> </w:t>
      </w:r>
      <w:r>
        <w:t>situa</w:t>
      </w:r>
      <w:r>
        <w:softHyphen/>
        <w:t>tions, the protocol vocatives become more important. So if, in a noisy</w:t>
      </w:r>
      <w:r>
        <w:rPr>
          <w:rStyle w:val="deletedparamark"/>
        </w:rPr>
        <w:t xml:space="preserve"> </w:t>
      </w:r>
      <w:r>
        <w:t>environment, a protocol li</w:t>
      </w:r>
      <w:r>
        <w:t>s</w:t>
      </w:r>
      <w:r>
        <w:softHyphen/>
        <w:t>tener makes out only “nai”, he or she can presume</w:t>
      </w:r>
      <w:r>
        <w:rPr>
          <w:rStyle w:val="deletedparamark"/>
        </w:rPr>
        <w:t xml:space="preserve"> </w:t>
      </w:r>
      <w:r>
        <w:t>it is a negative acknow</w:t>
      </w:r>
      <w:r>
        <w:softHyphen/>
        <w:t>ledgement and repeat transmission or otherwise respond</w:t>
      </w:r>
      <w:r>
        <w:rPr>
          <w:rStyle w:val="deletedparamark"/>
        </w:rPr>
        <w:t xml:space="preserve"> </w:t>
      </w:r>
      <w:r>
        <w:t xml:space="preserve">accordingly. </w:t>
      </w:r>
      <w:r>
        <w:rPr>
          <w:rStyle w:val="htmlcodes"/>
        </w:rPr>
        <w:t>&lt;a href=chap13.html&gt;</w:t>
      </w:r>
      <w:r>
        <w:t xml:space="preserve">Chapter 13 </w:t>
      </w:r>
      <w:r>
        <w:rPr>
          <w:rStyle w:val="htmlcodes"/>
        </w:rPr>
        <w:t>&lt;/a&gt;</w:t>
      </w:r>
      <w:r>
        <w:t>pro</w:t>
      </w:r>
      <w:r>
        <w:softHyphen/>
        <w:t>vides more detail on this topic.</w:t>
      </w:r>
    </w:p>
    <w:p w:rsidR="00B72047" w:rsidRDefault="00B72047">
      <w:pPr>
        <w:pStyle w:val="normalparagraph"/>
        <w:rPr>
          <w:rStyle w:val="htmlparacode"/>
        </w:rPr>
      </w:pPr>
      <w:r>
        <w:rPr>
          <w:rStyle w:val="htmlparacode"/>
        </w:rPr>
        <w:t>&lt;p&gt;</w:t>
      </w:r>
    </w:p>
    <w:p w:rsidR="00B72047" w:rsidRDefault="00B72047">
      <w:pPr>
        <w:pStyle w:val="normalparagraph"/>
      </w:pPr>
      <w:r>
        <w:t>The abstractors of selma'o NU follow the pattern of the tenses and modals.</w:t>
      </w:r>
      <w:r>
        <w:rPr>
          <w:rStyle w:val="deletedparamark"/>
        </w:rPr>
        <w:t xml:space="preserve"> </w:t>
      </w:r>
      <w:r>
        <w:t>NU a</w:t>
      </w:r>
      <w:r>
        <w:t>l</w:t>
      </w:r>
      <w:r>
        <w:softHyphen/>
        <w:t>lows negative abstractions, especially in compound abstractions</w:t>
      </w:r>
      <w:r>
        <w:rPr>
          <w:rStyle w:val="deletedparamark"/>
        </w:rPr>
        <w:t xml:space="preserve"> </w:t>
      </w:r>
      <w:r>
        <w:t>connected by logical connectives: “su'ujeninai”, which corresponds to</w:t>
      </w:r>
      <w:r>
        <w:rPr>
          <w:rStyle w:val="deletedparamark"/>
        </w:rPr>
        <w:t xml:space="preserve"> “</w:t>
      </w:r>
      <w:r>
        <w:t>su'u jenai ni” just as “punai je ca” co</w:t>
      </w:r>
      <w:r>
        <w:t>r</w:t>
      </w:r>
      <w:r>
        <w:softHyphen/>
        <w:t>responds to “pu naje ca”.</w:t>
      </w:r>
      <w:r>
        <w:rPr>
          <w:rStyle w:val="deletedparamark"/>
        </w:rPr>
        <w:t xml:space="preserve"> </w:t>
      </w:r>
      <w:r>
        <w:t>It is not clear how much use logically connected abstrac</w:t>
      </w:r>
      <w:r>
        <w:softHyphen/>
        <w:t>tors will</w:t>
      </w:r>
      <w:r>
        <w:rPr>
          <w:rStyle w:val="deletedparamark"/>
        </w:rPr>
        <w:t xml:space="preserve"> </w:t>
      </w:r>
      <w:r>
        <w:t xml:space="preserve">be: see </w:t>
      </w:r>
      <w:r>
        <w:rPr>
          <w:rStyle w:val="htmlcodes"/>
        </w:rPr>
        <w:t>&lt;a href=chap13.html&gt;</w:t>
      </w:r>
      <w:r>
        <w:t>Chapter 13</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t>A “nai” attached to a non-logical connective (of selma'o JOI or BIhI) is</w:t>
      </w:r>
      <w:r>
        <w:rPr>
          <w:rStyle w:val="deletedparamark"/>
        </w:rPr>
        <w:t xml:space="preserve"> </w:t>
      </w:r>
      <w:r>
        <w:t>a sca</w:t>
      </w:r>
      <w:r>
        <w:softHyphen/>
        <w:t>lar n</w:t>
      </w:r>
      <w:r>
        <w:t>e</w:t>
      </w:r>
      <w:r>
        <w:softHyphen/>
        <w:t>gation, and says that the bridi is false under the specified</w:t>
      </w:r>
      <w:r>
        <w:rPr>
          <w:rStyle w:val="deletedparamark"/>
        </w:rPr>
        <w:t xml:space="preserve"> </w:t>
      </w:r>
      <w:r>
        <w:t>mixture, but that another co</w:t>
      </w:r>
      <w:r>
        <w:t>n</w:t>
      </w:r>
      <w:r>
        <w:softHyphen/>
        <w:t>nective is applicable. Non-logical connectives</w:t>
      </w:r>
      <w:r>
        <w:rPr>
          <w:rStyle w:val="deletedparamark"/>
        </w:rPr>
        <w:t xml:space="preserve"> </w:t>
      </w:r>
      <w:r>
        <w:t xml:space="preserve">are discussed in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448" w:name="_Toc398970688"/>
      <w:r>
        <w:rPr>
          <w:rStyle w:val="Heading3Text"/>
        </w:rPr>
        <w:t>Truth questions</w:t>
      </w:r>
      <w:bookmarkEnd w:id="448"/>
      <w:r>
        <w:rPr>
          <w:rStyle w:val="htmlcodes"/>
        </w:rPr>
        <w:t>&lt;/h3&gt;</w:t>
      </w:r>
    </w:p>
    <w:p w:rsidR="00B72047" w:rsidRDefault="00B72047">
      <w:pPr>
        <w:rPr>
          <w:rStyle w:val="htmlparacode"/>
        </w:rPr>
      </w:pPr>
      <w:r>
        <w:rPr>
          <w:rStyle w:val="htmlparacode"/>
        </w:rPr>
        <w:t>&lt;p&gt;</w:t>
      </w:r>
    </w:p>
    <w:p w:rsidR="00B72047" w:rsidRDefault="00B72047">
      <w:pPr>
        <w:pStyle w:val="normalparagraph"/>
      </w:pPr>
      <w:r>
        <w:t>One application of negation is in answer to truth questions (those which</w:t>
      </w:r>
      <w:r>
        <w:rPr>
          <w:rStyle w:val="deletedparamark"/>
        </w:rPr>
        <w:t xml:space="preserve"> </w:t>
      </w:r>
      <w:r>
        <w:t>expect the answers “Yes” or “No”). The truth question cmavo “xu” is in</w:t>
      </w:r>
      <w:r>
        <w:rPr>
          <w:rStyle w:val="deletedparamark"/>
        </w:rPr>
        <w:t xml:space="preserve"> </w:t>
      </w:r>
      <w:r>
        <w:t>selma'o UI; placed at the beginning of a sentence, it asks whether the</w:t>
      </w:r>
      <w:r>
        <w:rPr>
          <w:rStyle w:val="deletedparamark"/>
        </w:rPr>
        <w:t xml:space="preserve"> </w:t>
      </w:r>
      <w:r>
        <w:t>sentence as a whole is true or false.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xu la djan. pu klama la paris. .e la rom.</w:t>
      </w:r>
    </w:p>
    <w:p w:rsidR="00B72047" w:rsidRDefault="00B72047">
      <w:pPr>
        <w:pStyle w:val="examplescaled"/>
      </w:pPr>
      <w:r>
        <w:tab/>
        <w:t>Is it true that:  ( John previously went-to [both] Paris and Rome. )</w:t>
      </w:r>
    </w:p>
    <w:p w:rsidR="00B72047" w:rsidRDefault="00B72047">
      <w:pPr>
        <w:pStyle w:val="resumedafterexample"/>
      </w:pPr>
      <w:r>
        <w:rPr>
          <w:rStyle w:val="htmlcodes"/>
        </w:rPr>
        <w:t>&lt;/pre&gt;&lt;p&gt;</w:t>
      </w:r>
      <w:r>
        <w:t>You can now use each of the several kinds of negation we've</w:t>
      </w:r>
      <w:r>
        <w:rPr>
          <w:rStyle w:val="deletedparamark"/>
        </w:rPr>
        <w:t xml:space="preserve"> </w:t>
      </w:r>
      <w:r>
        <w:t>discussed in answer to this (presuming the same question and context for</w:t>
      </w:r>
      <w:r>
        <w:rPr>
          <w:rStyle w:val="deletedparamark"/>
        </w:rPr>
        <w:t xml:space="preserve"> </w:t>
      </w:r>
      <w:r>
        <w:t>each answer).</w:t>
      </w:r>
    </w:p>
    <w:p w:rsidR="00B72047" w:rsidRDefault="00B72047">
      <w:pPr>
        <w:rPr>
          <w:rStyle w:val="htmlparacode"/>
        </w:rPr>
      </w:pPr>
      <w:r>
        <w:rPr>
          <w:rStyle w:val="htmlparacode"/>
        </w:rPr>
        <w:t>&lt;p&gt;</w:t>
      </w:r>
    </w:p>
    <w:p w:rsidR="00B72047" w:rsidRDefault="00B72047">
      <w:pPr>
        <w:pStyle w:val="normalparagraph"/>
      </w:pPr>
      <w:r>
        <w:t>The straightforward negative answer is grammatically equivalent to the</w:t>
      </w:r>
      <w:r>
        <w:rPr>
          <w:rStyle w:val="deletedparamark"/>
        </w:rPr>
        <w:t xml:space="preserve"> </w:t>
      </w:r>
      <w:r>
        <w:t>ex</w:t>
      </w:r>
      <w:r>
        <w:softHyphen/>
        <w:t>panded sentence with the “na” immediately after the “cu” (and before</w:t>
      </w:r>
      <w:r>
        <w:rPr>
          <w:rStyle w:val="deletedparamark"/>
        </w:rPr>
        <w:t xml:space="preserve"> </w:t>
      </w:r>
      <w:r>
        <w:t>any tense/modal):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na go'i</w:t>
      </w:r>
    </w:p>
    <w:p w:rsidR="00B72047" w:rsidRDefault="00B72047">
      <w:pPr>
        <w:pStyle w:val="examplescaled"/>
      </w:pPr>
      <w:r>
        <w:tab/>
        <w:t>[false] [repeat previous]</w:t>
      </w:r>
    </w:p>
    <w:p w:rsidR="00B72047" w:rsidRDefault="00B72047">
      <w:pPr>
        <w:pStyle w:val="examplescaled"/>
      </w:pPr>
      <w:r>
        <w:tab/>
        <w:t>No.</w:t>
      </w:r>
    </w:p>
    <w:p w:rsidR="00B72047" w:rsidRDefault="00B72047">
      <w:pPr>
        <w:pStyle w:val="resumedafterexample"/>
      </w:pPr>
      <w:r>
        <w:rPr>
          <w:rStyle w:val="htmlcodes"/>
        </w:rPr>
        <w:t>&lt;/pre&gt;</w:t>
      </w:r>
      <w:r>
        <w:t>which 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la djan. [cu] na pu klama la paris. .e la rom.</w:t>
      </w:r>
    </w:p>
    <w:p w:rsidR="00B72047" w:rsidRDefault="00B72047">
      <w:pPr>
        <w:pStyle w:val="examplescaled"/>
      </w:pPr>
      <w:r>
        <w:tab/>
        <w:t>John [false] previously went-to [both] Paris and Rome.</w:t>
      </w:r>
    </w:p>
    <w:p w:rsidR="00B72047" w:rsidRDefault="00B72047">
      <w:pPr>
        <w:pStyle w:val="examplescaled"/>
      </w:pPr>
      <w:r>
        <w:tab/>
        <w:t>It's not true that John went to Paris and Rome.</w:t>
      </w:r>
    </w:p>
    <w:p w:rsidR="00B72047" w:rsidRDefault="00B72047">
      <w:pPr>
        <w:pStyle w:val="normalafterexample"/>
      </w:pPr>
      <w:r>
        <w:rPr>
          <w:rStyle w:val="htmlcodes"/>
        </w:rPr>
        <w:t>&lt;/pre&gt;&lt;p&gt;</w:t>
      </w:r>
      <w:r>
        <w:t>The respondent can change the tense, putting the “na” in either before</w:t>
      </w:r>
      <w:r>
        <w:rPr>
          <w:rStyle w:val="deletedparamark"/>
        </w:rPr>
        <w:t xml:space="preserve"> </w:t>
      </w:r>
      <w:r>
        <w:t>or after the new tense: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name=e8d4&gt;</w:t>
      </w:r>
      <w:r>
        <w:t>8.4)</w:t>
      </w:r>
      <w:r>
        <w:tab/>
        <w:t>na ba go'i</w:t>
      </w:r>
    </w:p>
    <w:p w:rsidR="00B72047" w:rsidRDefault="00B72047">
      <w:pPr>
        <w:pStyle w:val="examplescaled"/>
      </w:pPr>
      <w:r>
        <w:tab/>
        <w:t>[false] [future] [repeat previous]</w:t>
      </w:r>
    </w:p>
    <w:p w:rsidR="00B72047" w:rsidRDefault="00B72047">
      <w:pPr>
        <w:pStyle w:val="resumedafterexample"/>
      </w:pPr>
      <w:r>
        <w:rPr>
          <w:rStyle w:val="htmlcodes"/>
        </w:rPr>
        <w:t>&lt;/pre&gt;</w:t>
      </w:r>
      <w:r>
        <w:t>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la djan. [cu] na ba klama la paris. .e la rom.</w:t>
      </w:r>
    </w:p>
    <w:p w:rsidR="00B72047" w:rsidRDefault="00B72047">
      <w:pPr>
        <w:pStyle w:val="examplescaled"/>
      </w:pPr>
      <w:r>
        <w:tab/>
        <w:t>John [false] later-will-go-to [both] Paris and Rome.</w:t>
      </w:r>
    </w:p>
    <w:p w:rsidR="00B72047" w:rsidRDefault="00B72047">
      <w:pPr>
        <w:pStyle w:val="examplescaled"/>
      </w:pPr>
      <w:r>
        <w:tab/>
        <w:t>It is false that John will go to Paris and Rome.</w:t>
      </w:r>
    </w:p>
    <w:p w:rsidR="00B72047" w:rsidRDefault="00B72047">
      <w:pPr>
        <w:pStyle w:val="resumedafterexample"/>
      </w:pPr>
      <w:r>
        <w:rPr>
          <w:rStyle w:val="htmlcodes"/>
        </w:rPr>
        <w:t>&lt;/pre&gt;</w:t>
      </w:r>
      <w:r>
        <w:t>or alternatively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ba na go'i</w:t>
      </w:r>
    </w:p>
    <w:p w:rsidR="00B72047" w:rsidRDefault="00B72047">
      <w:pPr>
        <w:pStyle w:val="examplescaled"/>
      </w:pPr>
      <w:r>
        <w:tab/>
        <w:t>[false] [future] [repeat previous]</w:t>
      </w:r>
    </w:p>
    <w:p w:rsidR="00B72047" w:rsidRDefault="00B72047">
      <w:pPr>
        <w:pStyle w:val="resumedafterexample"/>
      </w:pPr>
      <w:r>
        <w:rPr>
          <w:rStyle w:val="htmlcodes"/>
        </w:rPr>
        <w:t>&lt;/pre&gt;</w:t>
      </w:r>
      <w:r>
        <w:t>meaning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la djan. [cu] ba na klama la paris. .e la rom.</w:t>
      </w:r>
    </w:p>
    <w:p w:rsidR="00B72047" w:rsidRDefault="00B72047">
      <w:pPr>
        <w:pStyle w:val="examplescaled"/>
      </w:pPr>
      <w:r>
        <w:tab/>
        <w:t>John later-will [false] go-to [both] Paris and Rome.</w:t>
      </w:r>
    </w:p>
    <w:p w:rsidR="00B72047" w:rsidRDefault="00B72047">
      <w:pPr>
        <w:pStyle w:val="resumedafterexample"/>
      </w:pPr>
      <w:r>
        <w:rPr>
          <w:rStyle w:val="htmlcodes"/>
        </w:rPr>
        <w:t>&lt;/pre&gt;&lt;p&gt;</w:t>
      </w:r>
      <w:r>
        <w:t xml:space="preserve">We stated in </w:t>
      </w:r>
      <w:r>
        <w:rPr>
          <w:rStyle w:val="htmlcodes"/>
        </w:rPr>
        <w:t>&lt;a href=#s3&gt;</w:t>
      </w:r>
      <w:r>
        <w:t xml:space="preserve">Section 3 </w:t>
      </w:r>
      <w:r>
        <w:rPr>
          <w:rStyle w:val="htmlcodes"/>
        </w:rPr>
        <w:t>&lt;/a&gt;</w:t>
      </w:r>
      <w:r>
        <w:t xml:space="preserve">that sentences like </w:t>
      </w:r>
      <w:r>
        <w:rPr>
          <w:rStyle w:val="htmlcodes"/>
        </w:rPr>
        <w:t>&lt;a href=#e8d5&gt;</w:t>
      </w:r>
      <w:r>
        <w:t xml:space="preserve">Example 8.5 </w:t>
      </w:r>
      <w:r>
        <w:rPr>
          <w:rStyle w:val="htmlcodes"/>
        </w:rPr>
        <w:t>&lt;/a&gt;</w:t>
      </w:r>
      <w:r>
        <w:t xml:space="preserve">and </w:t>
      </w:r>
      <w:r>
        <w:rPr>
          <w:rStyle w:val="htmlcodes"/>
        </w:rPr>
        <w:t>&lt;a href=#e8d7&gt;</w:t>
      </w:r>
      <w:r>
        <w:t xml:space="preserve">Example 8.7 </w:t>
      </w:r>
      <w:r>
        <w:rPr>
          <w:rStyle w:val="htmlcodes"/>
        </w:rPr>
        <w:t>&lt;/a&gt;</w:t>
      </w:r>
      <w:r>
        <w:t>appear to be s</w:t>
      </w:r>
      <w:r>
        <w:t>e</w:t>
      </w:r>
      <w:r>
        <w:softHyphen/>
        <w:t>mantically identical, but that subtle semantic distinctions</w:t>
      </w:r>
      <w:r>
        <w:rPr>
          <w:rStyle w:val="deletedparamark"/>
        </w:rPr>
        <w:t xml:space="preserve"> </w:t>
      </w:r>
      <w:r>
        <w:t>may eventually be found.</w:t>
      </w:r>
    </w:p>
    <w:p w:rsidR="00B72047" w:rsidRDefault="00B72047">
      <w:pPr>
        <w:rPr>
          <w:rStyle w:val="htmlparacode"/>
        </w:rPr>
      </w:pPr>
      <w:r>
        <w:rPr>
          <w:rStyle w:val="htmlparacode"/>
        </w:rPr>
        <w:t>&lt;p&gt;</w:t>
      </w:r>
    </w:p>
    <w:p w:rsidR="00B72047" w:rsidRDefault="00B72047">
      <w:pPr>
        <w:pStyle w:val="normalparagraph"/>
      </w:pPr>
      <w:r>
        <w:t>You can also use a scalar negation with “na'e”, in which case, it is</w:t>
      </w:r>
      <w:r>
        <w:rPr>
          <w:rStyle w:val="deletedparamark"/>
        </w:rPr>
        <w:t xml:space="preserve"> </w:t>
      </w:r>
      <w:r>
        <w:t>equivalent to pu</w:t>
      </w:r>
      <w:r>
        <w:t>t</w:t>
      </w:r>
      <w:r>
        <w:softHyphen/>
        <w:t>ting a “na'eke” immediately after any tense: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t>na'e go'i</w:t>
      </w:r>
    </w:p>
    <w:p w:rsidR="00B72047" w:rsidRDefault="00B72047">
      <w:pPr>
        <w:pStyle w:val="examplescaled"/>
      </w:pPr>
      <w:r>
        <w:tab/>
        <w:t>other-than [repeat previous]</w:t>
      </w:r>
    </w:p>
    <w:p w:rsidR="00B72047" w:rsidRDefault="00B72047">
      <w:pPr>
        <w:pStyle w:val="resumedafterexample"/>
      </w:pPr>
      <w:r>
        <w:rPr>
          <w:rStyle w:val="htmlcodes"/>
        </w:rPr>
        <w:t>&lt;/pre&gt;</w:t>
      </w:r>
      <w:r>
        <w:t>which 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la djan. [cu] pu na'eke klama [ke'e] la paris. .e la rom.</w:t>
      </w:r>
    </w:p>
    <w:p w:rsidR="00B72047" w:rsidRDefault="00B72047">
      <w:pPr>
        <w:pStyle w:val="examplescaled"/>
      </w:pPr>
      <w:r>
        <w:tab/>
        <w:t>John previously other-than(went-to) [both] Paris and Rome.</w:t>
      </w:r>
    </w:p>
    <w:p w:rsidR="00B72047" w:rsidRDefault="00B72047">
      <w:pPr>
        <w:pStyle w:val="resumedafterexample"/>
      </w:pPr>
      <w:r>
        <w:rPr>
          <w:rStyle w:val="htmlcodes"/>
        </w:rPr>
        <w:t>&lt;/pre&gt;&lt;p&gt;</w:t>
      </w:r>
      <w:r>
        <w:t>He might have telephoned the two cities instead of going there. The</w:t>
      </w:r>
      <w:r>
        <w:rPr>
          <w:rStyle w:val="deletedparamark"/>
        </w:rPr>
        <w:t xml:space="preserve"> </w:t>
      </w:r>
      <w:r>
        <w:t>unnecessary “ke” and “ke'e” would have been essential if the selbri</w:t>
      </w:r>
      <w:r>
        <w:rPr>
          <w:rStyle w:val="deletedparamark"/>
        </w:rPr>
        <w:t xml:space="preserve"> </w:t>
      </w:r>
      <w:r>
        <w:t>had been a tanru.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449" w:name="_Toc398970689"/>
      <w:r>
        <w:rPr>
          <w:rStyle w:val="Heading3Text"/>
        </w:rPr>
        <w:t>Affirmations</w:t>
      </w:r>
      <w:bookmarkEnd w:id="449"/>
      <w:r>
        <w:rPr>
          <w:rStyle w:val="htmlcodes"/>
        </w:rPr>
        <w:t>&lt;/h3&gt;</w:t>
      </w:r>
    </w:p>
    <w:p w:rsidR="00B72047" w:rsidRDefault="00B72047">
      <w:pPr>
        <w:rPr>
          <w:rStyle w:val="htmlparacode"/>
        </w:rPr>
      </w:pPr>
      <w:r>
        <w:rPr>
          <w:rStyle w:val="htmlparacode"/>
        </w:rPr>
        <w:t>&lt;p&gt;</w:t>
      </w:r>
    </w:p>
    <w:p w:rsidR="00B72047" w:rsidRDefault="00B72047">
      <w:pPr>
        <w:pStyle w:val="normalparagraph"/>
      </w:pPr>
      <w:r>
        <w:t>There is an explicit positive form for both selma'o NA (“ja'a”) and selma'o</w:t>
      </w:r>
      <w:r>
        <w:rPr>
          <w:rStyle w:val="deletedparamark"/>
        </w:rPr>
        <w:t xml:space="preserve"> </w:t>
      </w:r>
      <w:r>
        <w:t>NAhE (“je'a”), each of which would supplant the corresponding negator in</w:t>
      </w:r>
      <w:r>
        <w:rPr>
          <w:rStyle w:val="deletedparamark"/>
        </w:rPr>
        <w:t xml:space="preserve"> </w:t>
      </w:r>
      <w:r>
        <w:t>the gram</w:t>
      </w:r>
      <w:r>
        <w:softHyphen/>
        <w:t>matical p</w:t>
      </w:r>
      <w:r>
        <w:t>o</w:t>
      </w:r>
      <w:r>
        <w:softHyphen/>
        <w:t>sition used, allowing one to assert the positive in</w:t>
      </w:r>
      <w:r>
        <w:rPr>
          <w:rStyle w:val="deletedparamark"/>
        </w:rPr>
        <w:t xml:space="preserve"> </w:t>
      </w:r>
      <w:r>
        <w:t>response to a negative question or statement without confusion. Assuming the</w:t>
      </w:r>
      <w:r>
        <w:rPr>
          <w:rStyle w:val="deletedparamark"/>
        </w:rPr>
        <w:t xml:space="preserve"> </w:t>
      </w:r>
      <w:r>
        <w:t xml:space="preserve">same context as in </w:t>
      </w:r>
      <w:r>
        <w:rPr>
          <w:rStyle w:val="htmlcodes"/>
        </w:rPr>
        <w:t>&lt;a href=#s8&gt;</w:t>
      </w:r>
      <w:r>
        <w:t>Section 8</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xu na go'i</w:t>
      </w:r>
    </w:p>
    <w:p w:rsidR="00B72047" w:rsidRDefault="00B72047">
      <w:pPr>
        <w:pStyle w:val="examplescaled"/>
      </w:pPr>
      <w:r>
        <w:tab/>
        <w:t>Is-it-true-that [false] [repeat previous]?</w:t>
      </w:r>
    </w:p>
    <w:p w:rsidR="00B72047" w:rsidRDefault="00B72047">
      <w:pPr>
        <w:pStyle w:val="resumedafterexample"/>
      </w:pPr>
      <w:r>
        <w:rPr>
          <w:rStyle w:val="htmlcodes"/>
        </w:rPr>
        <w:t>&lt;/pre&gt;</w:t>
      </w:r>
      <w:r>
        <w:t>or equivalently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xu la djan. [cu] na pu klama la paris. .e la rom.</w:t>
      </w:r>
    </w:p>
    <w:p w:rsidR="00B72047" w:rsidRDefault="00B72047">
      <w:pPr>
        <w:pStyle w:val="examplescaled"/>
      </w:pPr>
      <w:r>
        <w:tab/>
        <w:t>Is it true that:  John [false] previously-went-to [both] Paris and Rome.]</w:t>
      </w:r>
    </w:p>
    <w:p w:rsidR="00B72047" w:rsidRDefault="00B72047">
      <w:pPr>
        <w:pStyle w:val="normalafterexample"/>
      </w:pPr>
      <w:r>
        <w:rPr>
          <w:rStyle w:val="htmlcodes"/>
        </w:rPr>
        <w:t>&lt;/pre&gt;&lt;p&gt;</w:t>
      </w:r>
      <w:r>
        <w:t>The obvious, but incorrect, positive response to this negative question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go'i</w:t>
      </w:r>
    </w:p>
    <w:p w:rsidR="00B72047" w:rsidRDefault="00B72047">
      <w:pPr>
        <w:pStyle w:val="examplescaled"/>
      </w:pPr>
      <w:r>
        <w:tab/>
        <w:t>[repeat previous]</w:t>
      </w:r>
    </w:p>
    <w:p w:rsidR="00B72047" w:rsidRDefault="00B72047">
      <w:pPr>
        <w:pStyle w:val="resumedafterexample"/>
      </w:pPr>
      <w:r>
        <w:rPr>
          <w:rStyle w:val="htmlcodes"/>
        </w:rPr>
        <w:t>&lt;/pre&gt;&lt;p&gt;</w:t>
      </w:r>
      <w:r>
        <w:t>A plain “go'i” does not mean “Yes it is”; it merely abbreviates repeating</w:t>
      </w:r>
      <w:r>
        <w:rPr>
          <w:rStyle w:val="deletedparamark"/>
        </w:rPr>
        <w:t xml:space="preserve"> </w:t>
      </w:r>
      <w:r>
        <w:t>the previous statement unmodified, including any negators present; and</w:t>
      </w:r>
      <w:r>
        <w:rPr>
          <w:rStyle w:val="deletedparamark"/>
        </w:rPr>
        <w:t xml:space="preserve"> </w:t>
      </w:r>
      <w:r>
        <w:rPr>
          <w:rStyle w:val="htmlcodes"/>
        </w:rPr>
        <w:t>&lt;a href=#e9d3&gt;</w:t>
      </w:r>
      <w:r>
        <w:t xml:space="preserve">Example 9.3 </w:t>
      </w:r>
      <w:r>
        <w:rPr>
          <w:rStyle w:val="htmlcodes"/>
        </w:rPr>
        <w:t>&lt;/a&gt;</w:t>
      </w:r>
      <w:r>
        <w:t>actually states that it is false that John went to both Paris</w:t>
      </w:r>
      <w:r>
        <w:rPr>
          <w:rStyle w:val="deletedparamark"/>
        </w:rPr>
        <w:t xml:space="preserve"> </w:t>
      </w:r>
      <w:r>
        <w:t>and Rome.</w:t>
      </w:r>
    </w:p>
    <w:p w:rsidR="00B72047" w:rsidRDefault="00B72047">
      <w:pPr>
        <w:rPr>
          <w:rStyle w:val="htmlparacode"/>
        </w:rPr>
      </w:pPr>
      <w:r>
        <w:rPr>
          <w:rStyle w:val="htmlparacode"/>
        </w:rPr>
        <w:t>&lt;p&gt;</w:t>
      </w:r>
    </w:p>
    <w:p w:rsidR="00B72047" w:rsidRDefault="00B72047">
      <w:pPr>
        <w:pStyle w:val="normalparagraph"/>
      </w:pPr>
      <w:r>
        <w:t>When considering: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na go'i</w:t>
      </w:r>
    </w:p>
    <w:p w:rsidR="00B72047" w:rsidRDefault="00B72047">
      <w:pPr>
        <w:pStyle w:val="examplescaled"/>
      </w:pPr>
      <w:r>
        <w:tab/>
        <w:t>[false] [repeat previous]</w:t>
      </w:r>
    </w:p>
    <w:p w:rsidR="00B72047" w:rsidRDefault="00B72047">
      <w:pPr>
        <w:pStyle w:val="resumedafterexample"/>
      </w:pPr>
      <w:r>
        <w:rPr>
          <w:rStyle w:val="htmlcodes"/>
        </w:rPr>
        <w:t>&lt;/pre&gt;</w:t>
      </w:r>
      <w:r>
        <w:t xml:space="preserve">as a response to a negative question like </w:t>
      </w:r>
      <w:r>
        <w:rPr>
          <w:rStyle w:val="htmlcodes"/>
        </w:rPr>
        <w:t>&lt;a href=#e9d2&gt;</w:t>
      </w:r>
      <w:r>
        <w:t>Example 9.2</w:t>
      </w:r>
      <w:r>
        <w:rPr>
          <w:rStyle w:val="htmlcodes"/>
        </w:rPr>
        <w:t>&lt;/a&gt;</w:t>
      </w:r>
      <w:r>
        <w:t>, Lojban designers</w:t>
      </w:r>
      <w:r>
        <w:rPr>
          <w:rStyle w:val="deletedparamark"/>
        </w:rPr>
        <w:t xml:space="preserve"> </w:t>
      </w:r>
      <w:r>
        <w:t>had to choose between two equally plausible interpretations with opposite</w:t>
      </w:r>
      <w:r>
        <w:rPr>
          <w:rStyle w:val="deletedparamark"/>
        </w:rPr>
        <w:t xml:space="preserve"> </w:t>
      </w:r>
      <w:r>
        <w:t xml:space="preserve">effects. Does </w:t>
      </w:r>
      <w:r>
        <w:rPr>
          <w:rStyle w:val="htmlcodes"/>
        </w:rPr>
        <w:t>&lt;a href=#e9d4&gt;</w:t>
      </w:r>
      <w:r>
        <w:t xml:space="preserve">Example 9.4 </w:t>
      </w:r>
      <w:r>
        <w:rPr>
          <w:rStyle w:val="htmlcodes"/>
        </w:rPr>
        <w:t>&lt;/a&gt;</w:t>
      </w:r>
      <w:r>
        <w:t>create a double negative in the sentence by</w:t>
      </w:r>
      <w:r>
        <w:rPr>
          <w:rStyle w:val="deletedparamark"/>
        </w:rPr>
        <w:t xml:space="preserve"> </w:t>
      </w:r>
      <w:r>
        <w:t>adding a new “na” to the one already there (forming a double negative</w:t>
      </w:r>
      <w:r>
        <w:rPr>
          <w:rStyle w:val="deletedparamark"/>
        </w:rPr>
        <w:t xml:space="preserve"> </w:t>
      </w:r>
      <w:r>
        <w:t>and hence a positive statement), or does the “na” replace the previous one,</w:t>
      </w:r>
      <w:r>
        <w:rPr>
          <w:rStyle w:val="deletedparamark"/>
        </w:rPr>
        <w:t xml:space="preserve"> </w:t>
      </w:r>
      <w:r>
        <w:t>leaving the sentence unchanged?</w:t>
      </w:r>
    </w:p>
    <w:p w:rsidR="00B72047" w:rsidRDefault="00B72047">
      <w:pPr>
        <w:rPr>
          <w:rStyle w:val="htmlparacode"/>
        </w:rPr>
      </w:pPr>
      <w:r>
        <w:rPr>
          <w:rStyle w:val="htmlparacode"/>
        </w:rPr>
        <w:t>&lt;p&gt;</w:t>
      </w:r>
    </w:p>
    <w:p w:rsidR="00B72047" w:rsidRDefault="00B72047">
      <w:pPr>
        <w:pStyle w:val="normalparagraph"/>
      </w:pPr>
      <w:r>
        <w:t>It was decided that substitution, the latter alternative, is the preferable</w:t>
      </w:r>
      <w:r>
        <w:rPr>
          <w:rStyle w:val="deletedparamark"/>
        </w:rPr>
        <w:t xml:space="preserve"> </w:t>
      </w:r>
      <w:r>
        <w:t>choice, since it is then clear whether we intend a positive or a negative</w:t>
      </w:r>
      <w:r>
        <w:rPr>
          <w:rStyle w:val="deletedparamark"/>
        </w:rPr>
        <w:t xml:space="preserve"> </w:t>
      </w:r>
      <w:r>
        <w:t>sentence without per</w:t>
      </w:r>
      <w:r>
        <w:softHyphen/>
        <w:t>forming any manipulations. This is the way English</w:t>
      </w:r>
      <w:r>
        <w:rPr>
          <w:rStyle w:val="deletedparamark"/>
        </w:rPr>
        <w:t xml:space="preserve"> </w:t>
      </w:r>
      <w:r>
        <w:t>usually works, but not all languages work this way — Russian, Japanese,</w:t>
      </w:r>
      <w:r>
        <w:rPr>
          <w:rStyle w:val="deletedparamark"/>
        </w:rPr>
        <w:t xml:space="preserve"> </w:t>
      </w:r>
      <w:r>
        <w:t>and Navajo all interpret a negative reply to a negative question as</w:t>
      </w:r>
      <w:r>
        <w:rPr>
          <w:rStyle w:val="deletedparamark"/>
        </w:rPr>
        <w:t xml:space="preserve"> </w:t>
      </w:r>
      <w:r>
        <w:t>positive.</w:t>
      </w:r>
    </w:p>
    <w:p w:rsidR="00B72047" w:rsidRDefault="00B72047">
      <w:pPr>
        <w:pStyle w:val="normalparagraph"/>
        <w:rPr>
          <w:rStyle w:val="htmlparacode"/>
        </w:rPr>
      </w:pPr>
      <w:r>
        <w:rPr>
          <w:rStyle w:val="htmlparacode"/>
        </w:rPr>
        <w:t>&lt;p&gt;</w:t>
      </w:r>
    </w:p>
    <w:p w:rsidR="00B72047" w:rsidRDefault="00B72047">
      <w:pPr>
        <w:pStyle w:val="normalparagraph"/>
      </w:pPr>
      <w:r>
        <w:t>The positive assertion cmavo of selma'o NA, which is “ja’a”, can also replace the</w:t>
      </w:r>
      <w:r>
        <w:rPr>
          <w:rStyle w:val="deletedparamark"/>
        </w:rPr>
        <w:t xml:space="preserve"> “</w:t>
      </w:r>
      <w:r>
        <w:t>na” in the context, giving: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ja'a go'i</w:t>
      </w:r>
    </w:p>
    <w:p w:rsidR="00B72047" w:rsidRDefault="00B72047">
      <w:pPr>
        <w:pStyle w:val="examplescaled"/>
      </w:pPr>
      <w:r>
        <w:tab/>
        <w:t>(John truly-(previously went-to) [both] Paris and Rome.)</w:t>
      </w:r>
    </w:p>
    <w:p w:rsidR="00B72047" w:rsidRDefault="00B72047">
      <w:pPr>
        <w:pStyle w:val="resumedafterexample"/>
      </w:pPr>
      <w:r>
        <w:rPr>
          <w:rStyle w:val="htmlcodes"/>
        </w:rPr>
        <w:t>&lt;/pre&gt;</w:t>
      </w:r>
      <w:r>
        <w:t>“ja'a” can replace “na” in a similar manner wherever the latter is used: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name=e9d6&gt;</w:t>
      </w:r>
      <w:r>
        <w:t>9.6)</w:t>
      </w:r>
      <w:r>
        <w:tab/>
        <w:t>mi ja’a klama le zarci</w:t>
      </w:r>
    </w:p>
    <w:p w:rsidR="00B72047" w:rsidRDefault="00B72047">
      <w:pPr>
        <w:pStyle w:val="examplescaled"/>
      </w:pPr>
      <w:r>
        <w:tab/>
        <w:t>I indeed go to the store.</w:t>
      </w:r>
    </w:p>
    <w:p w:rsidR="00B72047" w:rsidRDefault="00B72047">
      <w:pPr>
        <w:pStyle w:val="normalafterexample"/>
      </w:pPr>
      <w:r>
        <w:rPr>
          <w:rStyle w:val="htmlcodes"/>
        </w:rPr>
        <w:t>&lt;/pre&gt;</w:t>
      </w:r>
      <w:r>
        <w:t>“je'a” can replace “na'e” in exactly the same way, stating that scalar</w:t>
      </w:r>
      <w:r>
        <w:rPr>
          <w:rStyle w:val="deletedparamark"/>
        </w:rPr>
        <w:t xml:space="preserve"> </w:t>
      </w:r>
      <w:r>
        <w:t>negation does not apply, and that the relation indeed holds as stated.</w:t>
      </w:r>
      <w:r>
        <w:rPr>
          <w:rStyle w:val="deletedparamark"/>
        </w:rPr>
        <w:t xml:space="preserve"> </w:t>
      </w:r>
      <w:r>
        <w:t>In the absence of a negation co</w:t>
      </w:r>
      <w:r>
        <w:t>n</w:t>
      </w:r>
      <w:r>
        <w:softHyphen/>
        <w:t>text, it emphasizes the positive: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name=e9d7&gt;</w:t>
      </w:r>
      <w:r>
        <w:t>9.7)</w:t>
      </w:r>
      <w:r>
        <w:tab/>
        <w:t>ta je'a melbi</w:t>
      </w:r>
    </w:p>
    <w:p w:rsidR="00B72047" w:rsidRDefault="00B72047">
      <w:pPr>
        <w:pStyle w:val="examplescaled"/>
      </w:pPr>
      <w:r>
        <w:tab/>
        <w:t>that is-indeed beautiful.</w:t>
      </w:r>
    </w:p>
    <w:p w:rsidR="00B72047" w:rsidRDefault="00B72047">
      <w:pPr>
        <w:pStyle w:val="Heading3"/>
        <w:rPr>
          <w:rStyle w:val="Heading3Text"/>
        </w:rPr>
      </w:pPr>
      <w:r>
        <w:rPr>
          <w:rStyle w:val="htmlcodes"/>
        </w:rPr>
        <w:t>&lt;/pre&gt;&lt;a name=s10&gt;&lt;h3&gt;</w:t>
      </w:r>
      <w:bookmarkStart w:id="450" w:name="_Toc398970690"/>
      <w:r>
        <w:rPr>
          <w:rStyle w:val="Heading3Text"/>
        </w:rPr>
        <w:t>Metalinguistic negation forms</w:t>
      </w:r>
      <w:bookmarkEnd w:id="45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question of truth or falsity is not entirely synonymous with</w:t>
      </w:r>
      <w:r>
        <w:rPr>
          <w:rStyle w:val="deletedparamark"/>
        </w:rPr>
        <w:t xml:space="preserve"> </w:t>
      </w:r>
      <w:r>
        <w:t>negation. Con</w:t>
      </w:r>
      <w:r>
        <w:softHyphen/>
        <w:t>sider the English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I have not stopped beating my wife.</w:t>
      </w:r>
    </w:p>
    <w:p w:rsidR="00B72047" w:rsidRDefault="00B72047">
      <w:pPr>
        <w:pStyle w:val="resumedafterexample"/>
      </w:pPr>
      <w:r>
        <w:rPr>
          <w:rStyle w:val="htmlcodes"/>
        </w:rPr>
        <w:t>&lt;/pre&gt;&lt;p&gt;</w:t>
      </w:r>
      <w:r>
        <w:t>If I never started such a heinous activity, then this sentence is neither</w:t>
      </w:r>
      <w:r>
        <w:rPr>
          <w:rStyle w:val="deletedparamark"/>
        </w:rPr>
        <w:t xml:space="preserve"> </w:t>
      </w:r>
      <w:r>
        <w:t>true nor false. Such a negation simply says that something is wrong with</w:t>
      </w:r>
      <w:r>
        <w:rPr>
          <w:rStyle w:val="deletedparamark"/>
        </w:rPr>
        <w:t xml:space="preserve"> </w:t>
      </w:r>
      <w:r>
        <w:t>the non-negated statement. Gene</w:t>
      </w:r>
      <w:r>
        <w:t>r</w:t>
      </w:r>
      <w:r>
        <w:softHyphen/>
        <w:t>ally, we then use either tone of voice or</w:t>
      </w:r>
      <w:r>
        <w:rPr>
          <w:rStyle w:val="deletedparamark"/>
        </w:rPr>
        <w:t xml:space="preserve"> </w:t>
      </w:r>
      <w:r>
        <w:t>else a correction to express a preferred true claim: “I never have beaten my</w:t>
      </w:r>
      <w:r>
        <w:rPr>
          <w:rStyle w:val="deletedparamark"/>
        </w:rPr>
        <w:t xml:space="preserve"> </w:t>
      </w:r>
      <w:r>
        <w:t>wife.”</w:t>
      </w:r>
    </w:p>
    <w:p w:rsidR="00B72047" w:rsidRDefault="00B72047">
      <w:pPr>
        <w:rPr>
          <w:rStyle w:val="htmlparacode"/>
        </w:rPr>
      </w:pPr>
      <w:r>
        <w:rPr>
          <w:rStyle w:val="htmlparacode"/>
        </w:rPr>
        <w:t>&lt;p&gt;</w:t>
      </w:r>
    </w:p>
    <w:p w:rsidR="00B72047" w:rsidRDefault="00B72047">
      <w:pPr>
        <w:pStyle w:val="normalparagraph"/>
      </w:pPr>
      <w:r>
        <w:t>Negations which follow such a pattern are called “metalinguistic</w:t>
      </w:r>
      <w:r>
        <w:rPr>
          <w:rStyle w:val="deletedparamark"/>
        </w:rPr>
        <w:t xml:space="preserve"> </w:t>
      </w:r>
      <w:r>
        <w:t>negations”. In nat</w:t>
      </w:r>
      <w:r>
        <w:t>u</w:t>
      </w:r>
      <w:r>
        <w:softHyphen/>
        <w:t>ral languages, the mark of metalinguistic negation is</w:t>
      </w:r>
      <w:r>
        <w:rPr>
          <w:rStyle w:val="deletedparamark"/>
        </w:rPr>
        <w:t xml:space="preserve"> </w:t>
      </w:r>
      <w:r>
        <w:t>that an indication of a correct stat</w:t>
      </w:r>
      <w:r>
        <w:t>e</w:t>
      </w:r>
      <w:r>
        <w:softHyphen/>
        <w:t>ment always, or almost always,</w:t>
      </w:r>
      <w:r>
        <w:rPr>
          <w:rStyle w:val="deletedparamark"/>
        </w:rPr>
        <w:t xml:space="preserve"> </w:t>
      </w:r>
      <w:r>
        <w:t>follows the negation. Tone of voice or emphasis may be further used to</w:t>
      </w:r>
      <w:r>
        <w:rPr>
          <w:rStyle w:val="deletedparamark"/>
        </w:rPr>
        <w:t xml:space="preserve"> </w:t>
      </w:r>
      <w:r>
        <w:t>clarify the error.</w:t>
      </w:r>
    </w:p>
    <w:p w:rsidR="00B72047" w:rsidRDefault="00B72047">
      <w:pPr>
        <w:pStyle w:val="normalparagraph"/>
        <w:rPr>
          <w:rStyle w:val="htmlparacode"/>
        </w:rPr>
      </w:pPr>
      <w:r>
        <w:rPr>
          <w:rStyle w:val="htmlparacode"/>
        </w:rPr>
        <w:t>&lt;p&gt;</w:t>
      </w:r>
    </w:p>
    <w:p w:rsidR="00B72047" w:rsidRDefault="00B72047">
      <w:pPr>
        <w:pStyle w:val="normalparagraph"/>
      </w:pPr>
      <w:r>
        <w:t>Negations of every sort must be expressible in Lojban; errors are inherent</w:t>
      </w:r>
      <w:r>
        <w:rPr>
          <w:rStyle w:val="deletedparamark"/>
        </w:rPr>
        <w:t xml:space="preserve"> </w:t>
      </w:r>
      <w:r>
        <w:t>to human thought, and are not excluded from the language. When such</w:t>
      </w:r>
      <w:r>
        <w:rPr>
          <w:rStyle w:val="deletedparamark"/>
        </w:rPr>
        <w:t xml:space="preserve"> </w:t>
      </w:r>
      <w:r>
        <w:t>negations are metalinguistic, we must separate them from logical claims</w:t>
      </w:r>
      <w:r>
        <w:rPr>
          <w:rStyle w:val="deletedparamark"/>
        </w:rPr>
        <w:t xml:space="preserve"> </w:t>
      </w:r>
      <w:r>
        <w:t>about the truth or falsity of the statement, as well as from scalar negations</w:t>
      </w:r>
      <w:r>
        <w:rPr>
          <w:rStyle w:val="deletedparamark"/>
        </w:rPr>
        <w:t xml:space="preserve"> </w:t>
      </w:r>
      <w:r>
        <w:t>which may not easily express (or imply) the preferred claim. Because Lojban</w:t>
      </w:r>
      <w:r>
        <w:rPr>
          <w:rStyle w:val="deletedparamark"/>
        </w:rPr>
        <w:t xml:space="preserve"> </w:t>
      </w:r>
      <w:r>
        <w:t>allows concepts to be so freely combined in tanru, limits on what is plausible</w:t>
      </w:r>
      <w:r>
        <w:rPr>
          <w:rStyle w:val="deletedparamark"/>
        </w:rPr>
        <w:t xml:space="preserve"> </w:t>
      </w:r>
      <w:r>
        <w:t>or not plausible tend to be harder to determine.</w:t>
      </w:r>
    </w:p>
    <w:p w:rsidR="00B72047" w:rsidRDefault="00B72047">
      <w:pPr>
        <w:pStyle w:val="normalparagraph"/>
        <w:rPr>
          <w:rStyle w:val="htmlparacode"/>
        </w:rPr>
      </w:pPr>
      <w:r>
        <w:rPr>
          <w:rStyle w:val="htmlparacode"/>
        </w:rPr>
        <w:t>&lt;p&gt;</w:t>
      </w:r>
    </w:p>
    <w:p w:rsidR="00B72047" w:rsidRDefault="00B72047">
      <w:pPr>
        <w:pStyle w:val="normalparagraph"/>
      </w:pPr>
      <w:r>
        <w:t>Mimicking the muddled nature of natural language negation would destroy this</w:t>
      </w:r>
      <w:r>
        <w:rPr>
          <w:rStyle w:val="deletedparamark"/>
        </w:rPr>
        <w:t xml:space="preserve"> </w:t>
      </w:r>
      <w:r>
        <w:t>sep</w:t>
      </w:r>
      <w:r>
        <w:t>a</w:t>
      </w:r>
      <w:r>
        <w:softHyphen/>
        <w:t>ration. Since Lojban does not use tone of voice, we need other means to</w:t>
      </w:r>
      <w:r>
        <w:rPr>
          <w:rStyle w:val="deletedparamark"/>
        </w:rPr>
        <w:t xml:space="preserve"> </w:t>
      </w:r>
      <w:r>
        <w:t>metalin</w:t>
      </w:r>
      <w:r>
        <w:softHyphen/>
        <w:t>guisti</w:t>
      </w:r>
      <w:r>
        <w:softHyphen/>
        <w:t>cally indicate what is wrong with a statement. When the statement</w:t>
      </w:r>
      <w:r>
        <w:rPr>
          <w:rStyle w:val="deletedparamark"/>
        </w:rPr>
        <w:t xml:space="preserve"> </w:t>
      </w:r>
      <w:r>
        <w:t>is entirely in</w:t>
      </w:r>
      <w:r>
        <w:softHyphen/>
        <w:t>appropri</w:t>
      </w:r>
      <w:r>
        <w:softHyphen/>
        <w:t>ate, we need to be able to express metalinguistic</w:t>
      </w:r>
      <w:r>
        <w:rPr>
          <w:rStyle w:val="deletedparamark"/>
        </w:rPr>
        <w:t xml:space="preserve"> </w:t>
      </w:r>
      <w:r>
        <w:t>negation in a more non-spe</w:t>
      </w:r>
      <w:r>
        <w:softHyphen/>
        <w:t>cific fashion.</w:t>
      </w:r>
    </w:p>
    <w:p w:rsidR="00B72047" w:rsidRDefault="00B72047">
      <w:pPr>
        <w:pStyle w:val="normalparagraph"/>
        <w:rPr>
          <w:rStyle w:val="htmlparacode"/>
        </w:rPr>
      </w:pPr>
      <w:r>
        <w:rPr>
          <w:rStyle w:val="htmlparacode"/>
        </w:rPr>
        <w:t>&lt;p&gt;</w:t>
      </w:r>
    </w:p>
    <w:p w:rsidR="00B72047" w:rsidRDefault="00B72047">
      <w:pPr>
        <w:pStyle w:val="normalparagraph"/>
      </w:pPr>
      <w:r>
        <w:t>Here is a list of some different kinds of metalinguistic negation with</w:t>
      </w:r>
      <w:r>
        <w:rPr>
          <w:rStyle w:val="deletedparamark"/>
        </w:rPr>
        <w:t xml:space="preserve"> </w:t>
      </w:r>
      <w:r>
        <w:t>English-lan</w:t>
      </w:r>
      <w:r>
        <w:softHyphen/>
        <w:t>guage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 xml:space="preserve">I have not </w:t>
      </w:r>
      <w:r>
        <w:rPr>
          <w:rStyle w:val="htmlcodes"/>
        </w:rPr>
        <w:t>&lt;i&gt;</w:t>
      </w:r>
      <w:r>
        <w:rPr>
          <w:rFonts w:ascii="Times Roman" w:hAnsi="Times Roman" w:cs="Times Roman"/>
          <w:i/>
          <w:iCs/>
        </w:rPr>
        <w:t>stopped</w:t>
      </w:r>
      <w:r>
        <w:rPr>
          <w:rStyle w:val="htmlcodes"/>
        </w:rPr>
        <w:t>&lt;/i&gt;</w:t>
      </w:r>
      <w:r>
        <w:t xml:space="preserve"> beating my wife</w:t>
      </w:r>
    </w:p>
    <w:p w:rsidR="00B72047" w:rsidRDefault="00B72047">
      <w:pPr>
        <w:pStyle w:val="examplescaled"/>
      </w:pPr>
      <w:r>
        <w:tab/>
        <w:t>(I never started — failure of presupposition).</w:t>
      </w:r>
    </w:p>
    <w:p w:rsidR="00B72047" w:rsidRDefault="00B72047">
      <w:pPr>
        <w:pStyle w:val="examplescaledpre"/>
      </w:pPr>
      <w:r>
        <w:rPr>
          <w:rStyle w:val="htmlcodes"/>
        </w:rPr>
        <w:t>&lt;a name=e10d3&gt;</w:t>
      </w:r>
      <w:r>
        <w:t>10.3)</w:t>
      </w:r>
      <w:r>
        <w:tab/>
        <w:t>5 is not blue</w:t>
      </w:r>
    </w:p>
    <w:p w:rsidR="00B72047" w:rsidRDefault="00B72047">
      <w:pPr>
        <w:pStyle w:val="examplescaled"/>
      </w:pPr>
      <w:r>
        <w:tab/>
        <w:t>(color does not apply to abstract concepts -- failure of category).</w:t>
      </w:r>
    </w:p>
    <w:p w:rsidR="00B72047" w:rsidRDefault="00B72047">
      <w:pPr>
        <w:pStyle w:val="examplescaledpre"/>
      </w:pPr>
      <w:r>
        <w:rPr>
          <w:rStyle w:val="htmlcodes"/>
        </w:rPr>
        <w:t>&lt;a name=e10d4&gt;</w:t>
      </w:r>
      <w:r>
        <w:t>10.4)</w:t>
      </w:r>
      <w:r>
        <w:tab/>
        <w:t>The current King of France is not bald.</w:t>
      </w:r>
    </w:p>
    <w:p w:rsidR="00B72047" w:rsidRDefault="00B72047">
      <w:pPr>
        <w:pStyle w:val="examplescaled"/>
      </w:pPr>
      <w:r>
        <w:tab/>
        <w:t>(there is no current King of France --- existential failure)</w:t>
      </w:r>
    </w:p>
    <w:p w:rsidR="00B72047" w:rsidRDefault="00B72047">
      <w:pPr>
        <w:pStyle w:val="examplescaledpre"/>
      </w:pPr>
      <w:r>
        <w:rPr>
          <w:rStyle w:val="htmlcodes"/>
        </w:rPr>
        <w:t>&lt;a name=e10d5&gt;</w:t>
      </w:r>
      <w:r>
        <w:t>10.5)</w:t>
      </w:r>
      <w:r>
        <w:tab/>
        <w:t>I do not have THREE children.</w:t>
      </w:r>
    </w:p>
    <w:p w:rsidR="00B72047" w:rsidRDefault="00B72047">
      <w:pPr>
        <w:pStyle w:val="examplescaled"/>
      </w:pPr>
      <w:r>
        <w:tab/>
        <w:t>(I have two --- simple undue quantity)</w:t>
      </w:r>
    </w:p>
    <w:p w:rsidR="00B72047" w:rsidRDefault="00B72047">
      <w:pPr>
        <w:pStyle w:val="examplescaledpre"/>
      </w:pPr>
      <w:r>
        <w:rPr>
          <w:rStyle w:val="htmlcodes"/>
        </w:rPr>
        <w:t>&lt;a name=e10d6&gt;</w:t>
      </w:r>
      <w:r>
        <w:t>10.6)</w:t>
      </w:r>
      <w:r>
        <w:tab/>
        <w:t>I have not held THREE jobs previously, but four.</w:t>
      </w:r>
    </w:p>
    <w:p w:rsidR="00B72047" w:rsidRDefault="00B72047">
      <w:pPr>
        <w:pStyle w:val="examplescaled"/>
      </w:pPr>
      <w:r>
        <w:tab/>
        <w:t>(inaccurate quantity; the difference from the previous example is that</w:t>
      </w:r>
    </w:p>
    <w:p w:rsidR="00B72047" w:rsidRDefault="00B72047">
      <w:pPr>
        <w:pStyle w:val="examplescaled"/>
        <w:ind w:firstLine="576"/>
      </w:pPr>
      <w:r>
        <w:t>someone who has held four jobs has also held three jobs)</w:t>
      </w:r>
    </w:p>
    <w:p w:rsidR="00B72047" w:rsidRDefault="00B72047">
      <w:pPr>
        <w:pStyle w:val="examplescaledpre"/>
      </w:pPr>
      <w:r>
        <w:rPr>
          <w:rStyle w:val="htmlcodes"/>
        </w:rPr>
        <w:t>&lt;a name=e10d7&gt;</w:t>
      </w:r>
      <w:r>
        <w:t>10.7)</w:t>
      </w:r>
      <w:r>
        <w:tab/>
        <w:t>It is not good, but bad.</w:t>
      </w:r>
    </w:p>
    <w:p w:rsidR="00B72047" w:rsidRDefault="00B72047">
      <w:pPr>
        <w:pStyle w:val="examplescaled"/>
      </w:pPr>
      <w:r>
        <w:tab/>
        <w:t>(undue quantity negation indicating that the value on a scale for measuring</w:t>
      </w:r>
    </w:p>
    <w:p w:rsidR="00B72047" w:rsidRDefault="00B72047">
      <w:pPr>
        <w:pStyle w:val="examplescaled"/>
        <w:ind w:firstLine="576"/>
      </w:pPr>
      <w:r>
        <w:t>the predicate is incorrect)</w:t>
      </w:r>
    </w:p>
    <w:p w:rsidR="00B72047" w:rsidRDefault="00B72047">
      <w:pPr>
        <w:pStyle w:val="examplescaledpre"/>
      </w:pPr>
      <w:r>
        <w:rPr>
          <w:rStyle w:val="htmlcodes"/>
        </w:rPr>
        <w:t>&lt;a name=e10d8&gt;</w:t>
      </w:r>
      <w:r>
        <w:t>10.8)</w:t>
      </w:r>
      <w:r>
        <w:tab/>
        <w:t>She is not PRETTY; she is beautiful</w:t>
      </w:r>
    </w:p>
    <w:p w:rsidR="00B72047" w:rsidRDefault="00B72047">
      <w:pPr>
        <w:pStyle w:val="examplescaled"/>
      </w:pPr>
      <w:r>
        <w:tab/>
        <w:t>(undue quantity transferred to a non-numeric scale)</w:t>
      </w:r>
    </w:p>
    <w:p w:rsidR="00B72047" w:rsidRDefault="00B72047">
      <w:pPr>
        <w:pStyle w:val="examplescaledpre"/>
      </w:pPr>
      <w:r>
        <w:rPr>
          <w:rStyle w:val="htmlcodes"/>
        </w:rPr>
        <w:t>&lt;a name=e10d9&gt;</w:t>
      </w:r>
      <w:r>
        <w:t>10.9)</w:t>
      </w:r>
      <w:r>
        <w:tab/>
        <w:t>The house is not blue, but green.</w:t>
      </w:r>
    </w:p>
    <w:p w:rsidR="00B72047" w:rsidRDefault="00B72047">
      <w:pPr>
        <w:pStyle w:val="examplescaled"/>
      </w:pPr>
      <w:r>
        <w:tab/>
        <w:t>(the scale/category being used is incorrect, but a related category applies)</w:t>
      </w:r>
    </w:p>
    <w:p w:rsidR="00B72047" w:rsidRDefault="00B72047">
      <w:pPr>
        <w:pStyle w:val="examplescaledpre"/>
      </w:pPr>
      <w:r>
        <w:rPr>
          <w:rStyle w:val="htmlcodes"/>
        </w:rPr>
        <w:t>&lt;a name=e10d10&gt;</w:t>
      </w:r>
      <w:r>
        <w:t>10.10)</w:t>
      </w:r>
      <w:r>
        <w:tab/>
        <w:t>The house is not blue, but is colored.</w:t>
      </w:r>
    </w:p>
    <w:p w:rsidR="00B72047" w:rsidRDefault="00B72047">
      <w:pPr>
        <w:pStyle w:val="examplescaled"/>
      </w:pPr>
      <w:r>
        <w:tab/>
        <w:t>(the scale/category being used is incorrect, but a broader category applies)</w:t>
      </w:r>
    </w:p>
    <w:p w:rsidR="00B72047" w:rsidRDefault="00B72047">
      <w:pPr>
        <w:pStyle w:val="examplescaledpre"/>
      </w:pPr>
      <w:r>
        <w:rPr>
          <w:rStyle w:val="htmlcodes"/>
        </w:rPr>
        <w:t>&lt;a name=e10d11&gt;</w:t>
      </w:r>
      <w:r>
        <w:t>10.11)</w:t>
      </w:r>
      <w:r>
        <w:tab/>
        <w:t>The cat is not blue, but long-haired.</w:t>
      </w:r>
    </w:p>
    <w:p w:rsidR="00B72047" w:rsidRDefault="00B72047">
      <w:pPr>
        <w:pStyle w:val="examplescaled"/>
      </w:pPr>
      <w:r>
        <w:tab/>
        <w:t>(the scale/category being used is incorrect, but an unrelated category</w:t>
      </w:r>
    </w:p>
    <w:p w:rsidR="00B72047" w:rsidRDefault="00B72047">
      <w:pPr>
        <w:pStyle w:val="examplescaled"/>
        <w:spacing w:line="220" w:lineRule="exact"/>
        <w:ind w:firstLine="576"/>
      </w:pPr>
      <w:r>
        <w:t>applies)</w:t>
      </w:r>
    </w:p>
    <w:p w:rsidR="00B72047" w:rsidRDefault="00B72047">
      <w:pPr>
        <w:pStyle w:val="examplescaledpre"/>
      </w:pPr>
      <w:r>
        <w:rPr>
          <w:rStyle w:val="htmlcodes"/>
        </w:rPr>
        <w:t>&lt;a name=e10d12&gt;</w:t>
      </w:r>
      <w:r>
        <w:t>10.12)</w:t>
      </w:r>
      <w:r>
        <w:tab/>
        <w:t>A:  He ain't coming today.</w:t>
      </w:r>
    </w:p>
    <w:p w:rsidR="00B72047" w:rsidRDefault="00B72047">
      <w:pPr>
        <w:pStyle w:val="examplescaled"/>
      </w:pPr>
      <w:r>
        <w:tab/>
        <w:t>B:  “Ain't” ain't a word.</w:t>
      </w:r>
    </w:p>
    <w:p w:rsidR="00B72047" w:rsidRDefault="00B72047">
      <w:pPr>
        <w:pStyle w:val="examplescaled"/>
      </w:pPr>
      <w:r>
        <w:tab/>
        <w:t>(solecism, or improper grammatical action)</w:t>
      </w:r>
    </w:p>
    <w:p w:rsidR="00B72047" w:rsidRDefault="00B72047">
      <w:pPr>
        <w:pStyle w:val="examplescaledpre"/>
      </w:pPr>
      <w:r>
        <w:rPr>
          <w:rStyle w:val="htmlcodes"/>
        </w:rPr>
        <w:t>&lt;a name=e10d13&gt;</w:t>
      </w:r>
      <w:r>
        <w:t>10.13)</w:t>
      </w:r>
      <w:r>
        <w:tab/>
        <w:t>I haven't STOOPED beating my wife; I've STOPPED.</w:t>
      </w:r>
    </w:p>
    <w:p w:rsidR="00B72047" w:rsidRDefault="00B72047">
      <w:pPr>
        <w:pStyle w:val="examplescaled"/>
      </w:pPr>
      <w:r>
        <w:tab/>
        <w:t>(spelling or mispronunciation error)</w:t>
      </w:r>
    </w:p>
    <w:p w:rsidR="00B72047" w:rsidRDefault="00B72047">
      <w:pPr>
        <w:pStyle w:val="examplescaledpre"/>
      </w:pPr>
      <w:r>
        <w:rPr>
          <w:rStyle w:val="htmlcodes"/>
        </w:rPr>
        <w:t>&lt;a name=e10d14&gt;</w:t>
      </w:r>
      <w:r>
        <w:t>10.14)</w:t>
      </w:r>
      <w:r>
        <w:tab/>
        <w:t>Not only was it a sheep, it was a black sheep.</w:t>
      </w:r>
    </w:p>
    <w:p w:rsidR="00B72047" w:rsidRDefault="00B72047">
      <w:pPr>
        <w:pStyle w:val="examplescaled"/>
      </w:pPr>
      <w:r>
        <w:tab/>
        <w:t>(non-contradictory correction)</w:t>
      </w:r>
    </w:p>
    <w:p w:rsidR="00B72047" w:rsidRDefault="00B72047">
      <w:pPr>
        <w:pStyle w:val="resumedafterexample"/>
      </w:pPr>
      <w:r>
        <w:rPr>
          <w:rStyle w:val="htmlcodes"/>
        </w:rPr>
        <w:t>&lt;/pre&gt;&lt;p&gt;</w:t>
      </w:r>
      <w:r>
        <w:t>The set of possible metalinguistic errors is open-ended.</w:t>
      </w:r>
    </w:p>
    <w:p w:rsidR="00B72047" w:rsidRDefault="00B72047">
      <w:pPr>
        <w:rPr>
          <w:rStyle w:val="htmlparacode"/>
        </w:rPr>
      </w:pPr>
      <w:r>
        <w:rPr>
          <w:rStyle w:val="htmlparacode"/>
        </w:rPr>
        <w:t>&lt;p&gt;</w:t>
      </w:r>
    </w:p>
    <w:p w:rsidR="00B72047" w:rsidRDefault="00B72047">
      <w:pPr>
        <w:pStyle w:val="normalparagraph"/>
      </w:pPr>
      <w:r>
        <w:t>Many of these forms have a counterpart in the various examples that</w:t>
      </w:r>
      <w:r>
        <w:rPr>
          <w:rStyle w:val="deletedparamark"/>
        </w:rPr>
        <w:t xml:space="preserve"> </w:t>
      </w:r>
      <w:r>
        <w:t>we've discussed under logical negation. Metalinguistic negation doesn't</w:t>
      </w:r>
      <w:r>
        <w:rPr>
          <w:rStyle w:val="deletedparamark"/>
        </w:rPr>
        <w:t xml:space="preserve"> </w:t>
      </w:r>
      <w:r>
        <w:t>claim that the sen</w:t>
      </w:r>
      <w:r>
        <w:softHyphen/>
        <w:t>tence is false or true, though. Rather, it claims that,</w:t>
      </w:r>
      <w:r>
        <w:rPr>
          <w:rStyle w:val="deletedparamark"/>
        </w:rPr>
        <w:t xml:space="preserve"> </w:t>
      </w:r>
      <w:r>
        <w:t>due to some error in the statement, “true” and “false” don't really apply.</w:t>
      </w:r>
    </w:p>
    <w:p w:rsidR="00B72047" w:rsidRDefault="00B72047">
      <w:pPr>
        <w:pStyle w:val="normalparagraph"/>
        <w:rPr>
          <w:rStyle w:val="htmlparacode"/>
        </w:rPr>
      </w:pPr>
      <w:r>
        <w:rPr>
          <w:rStyle w:val="htmlparacode"/>
        </w:rPr>
        <w:t>&lt;p&gt;</w:t>
      </w:r>
    </w:p>
    <w:p w:rsidR="00B72047" w:rsidRDefault="00B72047">
      <w:pPr>
        <w:pStyle w:val="normalparagraph"/>
      </w:pPr>
      <w:r>
        <w:t>Because one can metalinguistically negate a true statement intending a</w:t>
      </w:r>
      <w:r>
        <w:rPr>
          <w:rStyle w:val="deletedparamark"/>
        </w:rPr>
        <w:t xml:space="preserve"> </w:t>
      </w:r>
      <w:r>
        <w:t>non-contra</w:t>
      </w:r>
      <w:r>
        <w:softHyphen/>
        <w:t>dictory correction (say, a spelling error); we need a way (or</w:t>
      </w:r>
      <w:r>
        <w:rPr>
          <w:rStyle w:val="deletedparamark"/>
        </w:rPr>
        <w:t xml:space="preserve"> </w:t>
      </w:r>
      <w:r>
        <w:t>ways) to metalin</w:t>
      </w:r>
      <w:r>
        <w:softHyphen/>
        <w:t>guistically negate a statement which is independent of our</w:t>
      </w:r>
      <w:r>
        <w:rPr>
          <w:rStyle w:val="deletedparamark"/>
        </w:rPr>
        <w:t xml:space="preserve"> </w:t>
      </w:r>
      <w:r>
        <w:t>logical negation schemes using “na”, “na'e” and kin. The cmavo “na'i” is</w:t>
      </w:r>
      <w:r>
        <w:rPr>
          <w:rStyle w:val="deletedparamark"/>
        </w:rPr>
        <w:t xml:space="preserve"> </w:t>
      </w:r>
      <w:r>
        <w:t>assigned this function. If it is present in a stat</w:t>
      </w:r>
      <w:r>
        <w:t>e</w:t>
      </w:r>
      <w:r>
        <w:t>ment, it indicates</w:t>
      </w:r>
      <w:r>
        <w:rPr>
          <w:rStyle w:val="deletedparamark"/>
        </w:rPr>
        <w:t xml:space="preserve"> </w:t>
      </w:r>
      <w:r>
        <w:t>metalinguistically that something in the statement is incorrect. This</w:t>
      </w:r>
      <w:r>
        <w:rPr>
          <w:rStyle w:val="deletedparamark"/>
        </w:rPr>
        <w:t xml:space="preserve"> </w:t>
      </w:r>
      <w:r>
        <w:t>metalin</w:t>
      </w:r>
      <w:r>
        <w:softHyphen/>
        <w:t>guistic negation must override any evaluation of the logic of the</w:t>
      </w:r>
      <w:r>
        <w:rPr>
          <w:rStyle w:val="deletedparamark"/>
        </w:rPr>
        <w:t xml:space="preserve"> </w:t>
      </w:r>
      <w:r>
        <w:t>statement. It is equally allowed in both positive and negative statements.</w:t>
      </w:r>
    </w:p>
    <w:p w:rsidR="00B72047" w:rsidRDefault="00B72047">
      <w:pPr>
        <w:pStyle w:val="normalparagraph"/>
        <w:rPr>
          <w:rStyle w:val="htmlparacode"/>
        </w:rPr>
      </w:pPr>
      <w:r>
        <w:rPr>
          <w:rStyle w:val="htmlparacode"/>
        </w:rPr>
        <w:t>&lt;p&gt;</w:t>
      </w:r>
    </w:p>
    <w:p w:rsidR="00B72047" w:rsidRDefault="00B72047">
      <w:pPr>
        <w:pStyle w:val="normalparagraph"/>
      </w:pPr>
      <w:r>
        <w:t>Since “na'i” is not a logical operator, multiple occurrences of</w:t>
      </w:r>
      <w:r>
        <w:rPr>
          <w:rStyle w:val="deletedparamark"/>
        </w:rPr>
        <w:t xml:space="preserve"> “</w:t>
      </w:r>
      <w:r>
        <w:t>na'i” need not be a</w:t>
      </w:r>
      <w:r>
        <w:t>s</w:t>
      </w:r>
      <w:r>
        <w:softHyphen/>
        <w:t>sumed to cancel each other. Indeed, we can use the</w:t>
      </w:r>
      <w:r>
        <w:rPr>
          <w:rStyle w:val="deletedparamark"/>
        </w:rPr>
        <w:t xml:space="preserve"> </w:t>
      </w:r>
      <w:r>
        <w:t>position of “na'i” to indicate metali</w:t>
      </w:r>
      <w:r>
        <w:t>n</w:t>
      </w:r>
      <w:r>
        <w:softHyphen/>
        <w:t>guistically what is incorrect,</w:t>
      </w:r>
      <w:r>
        <w:rPr>
          <w:rStyle w:val="deletedparamark"/>
        </w:rPr>
        <w:t xml:space="preserve"> </w:t>
      </w:r>
      <w:r>
        <w:t>preparatory to correcting it in a later sentence; for this re</w:t>
      </w:r>
      <w:r>
        <w:t>a</w:t>
      </w:r>
      <w:r>
        <w:softHyphen/>
        <w:t>son, we give</w:t>
      </w:r>
      <w:r>
        <w:rPr>
          <w:rStyle w:val="deletedparamark"/>
        </w:rPr>
        <w:t xml:space="preserve"> “</w:t>
      </w:r>
      <w:r>
        <w:t>na'i” the grammar of UI. The inclusion of “na'i” anywhere in a sentence</w:t>
      </w:r>
      <w:r>
        <w:rPr>
          <w:rStyle w:val="deletedparamark"/>
        </w:rPr>
        <w:t xml:space="preserve"> </w:t>
      </w:r>
      <w:r>
        <w:t>makes it a non-assertion, and suggests one or more pitfalls in</w:t>
      </w:r>
      <w:r>
        <w:rPr>
          <w:rStyle w:val="deletedparamark"/>
        </w:rPr>
        <w:t xml:space="preserve"> </w:t>
      </w:r>
      <w:r>
        <w:t>assigning a truth value.</w:t>
      </w:r>
    </w:p>
    <w:p w:rsidR="00B72047" w:rsidRDefault="00B72047">
      <w:pPr>
        <w:pStyle w:val="normalparagraph"/>
        <w:rPr>
          <w:rStyle w:val="htmlparacode"/>
        </w:rPr>
      </w:pPr>
      <w:r>
        <w:rPr>
          <w:rStyle w:val="htmlparacode"/>
        </w:rPr>
        <w:t>&lt;p&gt;</w:t>
      </w:r>
    </w:p>
    <w:p w:rsidR="00B72047" w:rsidRDefault="00B72047">
      <w:pPr>
        <w:pStyle w:val="normalparagraph"/>
      </w:pPr>
      <w:r>
        <w:t>Let us briefly indicate how the above-mentioned metalinguistic</w:t>
      </w:r>
      <w:r>
        <w:rPr>
          <w:rStyle w:val="deletedparamark"/>
        </w:rPr>
        <w:t xml:space="preserve"> </w:t>
      </w:r>
      <w:r>
        <w:t>errors can be ident</w:t>
      </w:r>
      <w:r>
        <w:t>i</w:t>
      </w:r>
      <w:r>
        <w:softHyphen/>
        <w:t>fied. Other metalinguistic problems can then be marked</w:t>
      </w:r>
      <w:r>
        <w:rPr>
          <w:rStyle w:val="deletedparamark"/>
        </w:rPr>
        <w:t xml:space="preserve"> </w:t>
      </w:r>
      <w:r>
        <w:t>by devising analogies to these examples:</w:t>
      </w:r>
    </w:p>
    <w:p w:rsidR="00B72047" w:rsidRDefault="00B72047">
      <w:pPr>
        <w:pStyle w:val="normalparagraph"/>
        <w:rPr>
          <w:rStyle w:val="htmlparacode"/>
        </w:rPr>
      </w:pPr>
      <w:r>
        <w:rPr>
          <w:rStyle w:val="htmlparacode"/>
        </w:rPr>
        <w:t>&lt;p&gt;</w:t>
      </w:r>
    </w:p>
    <w:p w:rsidR="00B72047" w:rsidRDefault="00B72047">
      <w:pPr>
        <w:pStyle w:val="normalparagraph"/>
      </w:pPr>
      <w:r>
        <w:t>Existential failure can be marked by attaching “na'i” to the</w:t>
      </w:r>
      <w:r>
        <w:rPr>
          <w:rStyle w:val="deletedparamark"/>
        </w:rPr>
        <w:t xml:space="preserve"> </w:t>
      </w:r>
      <w:r>
        <w:t>descriptor “lo” or the “poi” in a “da poi”-form sumti. (See Chapter</w:t>
      </w:r>
      <w:r>
        <w:rPr>
          <w:rStyle w:val="deletedparamark"/>
        </w:rPr>
        <w:t xml:space="preserve"> </w:t>
      </w:r>
      <w:r>
        <w:t xml:space="preserve">6 and </w:t>
      </w:r>
      <w:r>
        <w:rPr>
          <w:rStyle w:val="htmlcodes"/>
        </w:rPr>
        <w:t>&lt;a href=chap16.html&gt;</w:t>
      </w:r>
      <w:r>
        <w:t xml:space="preserve">Chapter 16 </w:t>
      </w:r>
      <w:r>
        <w:rPr>
          <w:rStyle w:val="htmlcodes"/>
        </w:rPr>
        <w:t>&lt;/a&gt;</w:t>
      </w:r>
      <w:r>
        <w:t>for details on these co</w:t>
      </w:r>
      <w:r>
        <w:t>n</w:t>
      </w:r>
      <w:r>
        <w:softHyphen/>
        <w:t>structions.) Remember that</w:t>
      </w:r>
      <w:r>
        <w:rPr>
          <w:rStyle w:val="deletedparamark"/>
        </w:rPr>
        <w:t xml:space="preserve"> </w:t>
      </w:r>
      <w:r>
        <w:t>if a “le” sumti seems to refer to a non-existent referent, you may not</w:t>
      </w:r>
      <w:r>
        <w:rPr>
          <w:rStyle w:val="deletedparamark"/>
        </w:rPr>
        <w:t xml:space="preserve"> </w:t>
      </w:r>
      <w:r>
        <w:t>understand what the speaker has in mind — the appropriate response is</w:t>
      </w:r>
      <w:r>
        <w:rPr>
          <w:rStyle w:val="deletedparamark"/>
        </w:rPr>
        <w:t xml:space="preserve"> </w:t>
      </w:r>
      <w:r>
        <w:t>then “ki'a”, asking for clarification.</w:t>
      </w:r>
    </w:p>
    <w:p w:rsidR="00B72047" w:rsidRDefault="00B72047">
      <w:pPr>
        <w:pStyle w:val="normalparagraph"/>
        <w:rPr>
          <w:rStyle w:val="htmlparacode"/>
        </w:rPr>
      </w:pPr>
      <w:r>
        <w:rPr>
          <w:rStyle w:val="htmlparacode"/>
        </w:rPr>
        <w:t>&lt;p&gt;</w:t>
      </w:r>
    </w:p>
    <w:p w:rsidR="00B72047" w:rsidRDefault="00B72047">
      <w:pPr>
        <w:pStyle w:val="normalparagraph"/>
      </w:pPr>
      <w:r>
        <w:t>Presupposition failure can be marked directly if the presupposition is overt;</w:t>
      </w:r>
      <w:r>
        <w:rPr>
          <w:rStyle w:val="deletedparamark"/>
        </w:rPr>
        <w:t xml:space="preserve"> </w:t>
      </w:r>
      <w:r>
        <w:t>if not, one can insert a “mock presupposition” to question with the sumti</w:t>
      </w:r>
      <w:r>
        <w:rPr>
          <w:rStyle w:val="deletedparamark"/>
        </w:rPr>
        <w:t xml:space="preserve"> </w:t>
      </w:r>
      <w:r>
        <w:t>tcita (selma'o BAI) word “ji'u”; “ji'uku” thus explicitly refers to an</w:t>
      </w:r>
      <w:r>
        <w:rPr>
          <w:rStyle w:val="deletedparamark"/>
        </w:rPr>
        <w:t xml:space="preserve"> </w:t>
      </w:r>
      <w:r>
        <w:t>unexpressed assumption, and “ji'una'iku” metalinguistically says that</w:t>
      </w:r>
      <w:r>
        <w:rPr>
          <w:rStyle w:val="deletedparamark"/>
        </w:rPr>
        <w:t xml:space="preserve"> </w:t>
      </w:r>
      <w:r>
        <w:t xml:space="preserve">something is wrong with that assumption. (See </w:t>
      </w:r>
      <w:r>
        <w:rPr>
          <w:rStyle w:val="htmlcodes"/>
        </w:rPr>
        <w:t>&lt;a href=chap10.html&gt;</w:t>
      </w:r>
      <w:r>
        <w:t>Chapter 10</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t>Scale errors and category errors can be similarly expressed with</w:t>
      </w:r>
      <w:r>
        <w:rPr>
          <w:rStyle w:val="deletedparamark"/>
        </w:rPr>
        <w:t xml:space="preserve"> </w:t>
      </w:r>
      <w:r>
        <w:t>selma'o BAI. “le'a” has meaning “of category/class/type X”, “ci'u” has</w:t>
      </w:r>
      <w:r>
        <w:rPr>
          <w:rStyle w:val="deletedparamark"/>
        </w:rPr>
        <w:t xml:space="preserve"> </w:t>
      </w:r>
      <w:r>
        <w:t>meaning “on scale X”, and “ci'e”, based on “ciste”, can be used to</w:t>
      </w:r>
      <w:r>
        <w:rPr>
          <w:rStyle w:val="deletedparamark"/>
        </w:rPr>
        <w:t xml:space="preserve"> </w:t>
      </w:r>
      <w:r>
        <w:t>talk about universes of discourse defined either as sy</w:t>
      </w:r>
      <w:r>
        <w:t>s</w:t>
      </w:r>
      <w:r>
        <w:softHyphen/>
        <w:t>tems or sets of</w:t>
      </w:r>
      <w:r>
        <w:rPr>
          <w:rStyle w:val="deletedparamark"/>
        </w:rPr>
        <w:t xml:space="preserve"> </w:t>
      </w:r>
      <w:r>
        <w:t xml:space="preserve">components, as shown in </w:t>
      </w:r>
      <w:r>
        <w:rPr>
          <w:rStyle w:val="htmlcodes"/>
        </w:rPr>
        <w:t>&lt;a href=#s8&gt;</w:t>
      </w:r>
      <w:r>
        <w:t>Section 8</w:t>
      </w:r>
      <w:r>
        <w:rPr>
          <w:rStyle w:val="htmlcodes"/>
        </w:rPr>
        <w:t>&lt;/a&gt;</w:t>
      </w:r>
      <w:r>
        <w:t>. “kai” and “la'u” also exist in BAI for</w:t>
      </w:r>
      <w:r>
        <w:rPr>
          <w:rStyle w:val="deletedparamark"/>
        </w:rPr>
        <w:t xml:space="preserve"> </w:t>
      </w:r>
      <w:r>
        <w:t>discussing other quality and quantity errors.</w:t>
      </w:r>
    </w:p>
    <w:p w:rsidR="00B72047" w:rsidRDefault="00B72047">
      <w:pPr>
        <w:pStyle w:val="normalparagraph"/>
        <w:rPr>
          <w:rStyle w:val="htmlparacode"/>
        </w:rPr>
      </w:pPr>
      <w:r>
        <w:rPr>
          <w:rStyle w:val="htmlparacode"/>
        </w:rPr>
        <w:t>&lt;p&gt;</w:t>
      </w:r>
    </w:p>
    <w:p w:rsidR="00B72047" w:rsidRDefault="00B72047">
      <w:pPr>
        <w:pStyle w:val="normalparagraph"/>
      </w:pPr>
      <w:r>
        <w:t>We have to make particular note of potential problems in the areas of undue</w:t>
      </w:r>
      <w:r>
        <w:rPr>
          <w:rStyle w:val="deletedparamark"/>
        </w:rPr>
        <w:t xml:space="preserve"> </w:t>
      </w:r>
      <w:r>
        <w:t>quantity and incorrect scale/category. Assertions about the relationships</w:t>
      </w:r>
      <w:r>
        <w:rPr>
          <w:rStyle w:val="deletedparamark"/>
        </w:rPr>
        <w:t xml:space="preserve"> </w:t>
      </w:r>
      <w:r>
        <w:t>between gismu are among the basic substance of the language. It is thus</w:t>
      </w:r>
      <w:r>
        <w:rPr>
          <w:rStyle w:val="deletedparamark"/>
        </w:rPr>
        <w:t xml:space="preserve"> </w:t>
      </w:r>
      <w:r>
        <w:t>invalid to logically require that if something is blue, that it is colored,</w:t>
      </w:r>
      <w:r>
        <w:rPr>
          <w:rStyle w:val="deletedparamark"/>
        </w:rPr>
        <w:t xml:space="preserve"> </w:t>
      </w:r>
      <w:r>
        <w:t>or if it is not-blue, then it is some other color. In Lojban, “blanu”</w:t>
      </w:r>
      <w:r>
        <w:rPr>
          <w:rStyle w:val="deletedparamark"/>
        </w:rPr>
        <w:t xml:space="preserve"> </w:t>
      </w:r>
      <w:r>
        <w:t>(“blue”) is not explicitly defined as a “skari” (“color”). Similarly,</w:t>
      </w:r>
      <w:r>
        <w:rPr>
          <w:rStyle w:val="deletedparamark"/>
        </w:rPr>
        <w:t xml:space="preserve"> </w:t>
      </w:r>
      <w:r>
        <w:t>it is not implicit that the opposite of “good” is “bad”.</w:t>
      </w:r>
    </w:p>
    <w:p w:rsidR="00B72047" w:rsidRDefault="00B72047">
      <w:pPr>
        <w:pStyle w:val="normalparagraph"/>
        <w:rPr>
          <w:rStyle w:val="htmlparacode"/>
        </w:rPr>
      </w:pPr>
      <w:r>
        <w:rPr>
          <w:rStyle w:val="htmlparacode"/>
        </w:rPr>
        <w:t>&lt;p&gt;</w:t>
      </w:r>
    </w:p>
    <w:p w:rsidR="00B72047" w:rsidRDefault="00B72047">
      <w:pPr>
        <w:pStyle w:val="normalparagraph"/>
      </w:pPr>
      <w:r>
        <w:t>This mutual independence of gismu is only an ideal. Pragmatically, people</w:t>
      </w:r>
      <w:r>
        <w:rPr>
          <w:rStyle w:val="deletedparamark"/>
        </w:rPr>
        <w:t xml:space="preserve"> </w:t>
      </w:r>
      <w:r>
        <w:t>will cat</w:t>
      </w:r>
      <w:r>
        <w:t>e</w:t>
      </w:r>
      <w:r>
        <w:softHyphen/>
        <w:t>gorize things based on their world-views. We will write dictionary</w:t>
      </w:r>
      <w:r>
        <w:rPr>
          <w:rStyle w:val="deletedparamark"/>
        </w:rPr>
        <w:t xml:space="preserve"> </w:t>
      </w:r>
      <w:r>
        <w:t>definitions that will relate gismu, unfortunately including some of these</w:t>
      </w:r>
      <w:r>
        <w:rPr>
          <w:rStyle w:val="deletedparamark"/>
        </w:rPr>
        <w:t xml:space="preserve"> </w:t>
      </w:r>
      <w:r>
        <w:t>world-view assumptions. Loj</w:t>
      </w:r>
      <w:r>
        <w:softHyphen/>
        <w:t>banists should try to minimize these assumptions, but this seems a likely</w:t>
      </w:r>
      <w:r>
        <w:rPr>
          <w:rStyle w:val="deletedparamark"/>
        </w:rPr>
        <w:t xml:space="preserve"> </w:t>
      </w:r>
      <w:r>
        <w:t>area where logical rules will break down (or where Sapir-Whorf effects</w:t>
      </w:r>
      <w:r>
        <w:rPr>
          <w:rStyle w:val="deletedparamark"/>
        </w:rPr>
        <w:t xml:space="preserve"> </w:t>
      </w:r>
      <w:r>
        <w:t>will be made evident). In terms of neg</w:t>
      </w:r>
      <w:r>
        <w:t>a</w:t>
      </w:r>
      <w:r>
        <w:softHyphen/>
        <w:t>tion, however, it is vital that we</w:t>
      </w:r>
      <w:r>
        <w:rPr>
          <w:rStyle w:val="deletedparamark"/>
        </w:rPr>
        <w:t xml:space="preserve"> </w:t>
      </w:r>
      <w:r>
        <w:t>clearly preserve the capability of denying a presumably obvious scale or</w:t>
      </w:r>
      <w:r>
        <w:rPr>
          <w:rStyle w:val="deletedparamark"/>
        </w:rPr>
        <w:t xml:space="preserve"> </w:t>
      </w:r>
      <w:r>
        <w:t>category assumption.</w:t>
      </w:r>
    </w:p>
    <w:p w:rsidR="00B72047" w:rsidRDefault="00B72047">
      <w:pPr>
        <w:pStyle w:val="normalparagraph"/>
        <w:rPr>
          <w:rStyle w:val="htmlparacode"/>
        </w:rPr>
      </w:pPr>
      <w:r>
        <w:rPr>
          <w:rStyle w:val="htmlparacode"/>
        </w:rPr>
        <w:t>&lt;p&gt;</w:t>
      </w:r>
    </w:p>
    <w:p w:rsidR="00B72047" w:rsidRDefault="00B72047">
      <w:pPr>
        <w:pStyle w:val="normalparagraph"/>
      </w:pPr>
      <w:r>
        <w:t>Solecisms, grammatical and spelling errors will be marked by</w:t>
      </w:r>
      <w:r>
        <w:rPr>
          <w:rStyle w:val="deletedparamark"/>
        </w:rPr>
        <w:t xml:space="preserve"> </w:t>
      </w:r>
      <w:r>
        <w:t>marking the of</w:t>
      </w:r>
      <w:r>
        <w:softHyphen/>
        <w:t>fending word or phrase with “na'i” (in the manner of any</w:t>
      </w:r>
      <w:r>
        <w:rPr>
          <w:rStyle w:val="deletedparamark"/>
        </w:rPr>
        <w:t xml:space="preserve"> </w:t>
      </w:r>
      <w:r>
        <w:t>selma'o UI cmavo). In this sense, “na'i” becomes equivalent to the English</w:t>
      </w:r>
      <w:r>
        <w:rPr>
          <w:rStyle w:val="deletedparamark"/>
        </w:rPr>
        <w:t xml:space="preserve"> </w:t>
      </w:r>
      <w:r>
        <w:t>metalinguistic marker “[sic]”. Purists may choose to use ZOI or LOhU/LEhU</w:t>
      </w:r>
      <w:r>
        <w:rPr>
          <w:rStyle w:val="deletedparamark"/>
        </w:rPr>
        <w:t xml:space="preserve"> </w:t>
      </w:r>
      <w:r>
        <w:t>quotes or “sa'a”-marked corrections to avoid repeating a truly</w:t>
      </w:r>
      <w:r>
        <w:rPr>
          <w:rStyle w:val="deletedparamark"/>
        </w:rPr>
        <w:t xml:space="preserve"> </w:t>
      </w:r>
      <w:r>
        <w:t>unparsable passage, especially if a computer is to analyze</w:t>
      </w:r>
      <w:r>
        <w:rPr>
          <w:rStyle w:val="deletedparamark"/>
        </w:rPr>
        <w:t xml:space="preserve"> </w:t>
      </w:r>
      <w:r>
        <w:t xml:space="preserve">the speech/text. See </w:t>
      </w:r>
      <w:r>
        <w:rPr>
          <w:rStyle w:val="htmlcodes"/>
        </w:rPr>
        <w:t>&lt;a href=chap19.html&gt;</w:t>
      </w:r>
      <w:r>
        <w:t xml:space="preserve">Chapter 19 </w:t>
      </w:r>
      <w:r>
        <w:rPr>
          <w:rStyle w:val="htmlcodes"/>
        </w:rPr>
        <w:t>&lt;/a&gt;</w:t>
      </w:r>
      <w:r>
        <w:t>for explanations of these usages.</w:t>
      </w:r>
    </w:p>
    <w:p w:rsidR="00B72047" w:rsidRDefault="00B72047">
      <w:pPr>
        <w:pStyle w:val="normalparagraph"/>
        <w:rPr>
          <w:rStyle w:val="htmlparacode"/>
        </w:rPr>
      </w:pPr>
      <w:r>
        <w:rPr>
          <w:rStyle w:val="htmlparacode"/>
        </w:rPr>
        <w:t>&lt;p&gt;</w:t>
      </w:r>
    </w:p>
    <w:p w:rsidR="00B72047" w:rsidRDefault="00B72047">
      <w:pPr>
        <w:pStyle w:val="normalparagraph"/>
      </w:pPr>
      <w:r>
        <w:t>In summary, metalinguistic negation will typically take the form of</w:t>
      </w:r>
      <w:r>
        <w:rPr>
          <w:rStyle w:val="deletedparamark"/>
        </w:rPr>
        <w:t xml:space="preserve"> </w:t>
      </w:r>
      <w:r>
        <w:t>referring to a previous statement and marking it with one or more “na'i” to</w:t>
      </w:r>
      <w:r>
        <w:rPr>
          <w:rStyle w:val="deletedparamark"/>
        </w:rPr>
        <w:t xml:space="preserve"> </w:t>
      </w:r>
      <w:r>
        <w:t>indicate what metalin</w:t>
      </w:r>
      <w:r>
        <w:softHyphen/>
        <w:t>guistic errors have been made, and then repeating the</w:t>
      </w:r>
      <w:r>
        <w:rPr>
          <w:rStyle w:val="deletedparamark"/>
        </w:rPr>
        <w:t xml:space="preserve"> </w:t>
      </w:r>
      <w:r>
        <w:t>statement with corrections. Refer</w:t>
      </w:r>
      <w:r>
        <w:softHyphen/>
        <w:t>ences to previous statements may be full</w:t>
      </w:r>
      <w:r>
        <w:rPr>
          <w:rStyle w:val="deletedparamark"/>
        </w:rPr>
        <w:t xml:space="preserve"> </w:t>
      </w:r>
      <w:r>
        <w:t>repetitions, or may use members of selma'o GOhA. “na'i” at the beginning of</w:t>
      </w:r>
      <w:r>
        <w:rPr>
          <w:rStyle w:val="deletedparamark"/>
        </w:rPr>
        <w:t xml:space="preserve"> </w:t>
      </w:r>
      <w:r>
        <w:t>a statement merely says that something is inappropri</w:t>
      </w:r>
      <w:r>
        <w:softHyphen/>
        <w:t>ate about the</w:t>
      </w:r>
      <w:r>
        <w:rPr>
          <w:rStyle w:val="deletedparamark"/>
        </w:rPr>
        <w:t xml:space="preserve"> </w:t>
      </w:r>
      <w:r>
        <w:t>statement, without specificity.</w:t>
      </w:r>
    </w:p>
    <w:p w:rsidR="00B72047" w:rsidRDefault="00B72047">
      <w:pPr>
        <w:pStyle w:val="normalparagraph"/>
        <w:rPr>
          <w:rStyle w:val="htmlparacode"/>
        </w:rPr>
      </w:pPr>
      <w:r>
        <w:rPr>
          <w:rStyle w:val="htmlparacode"/>
        </w:rPr>
        <w:t>&lt;p&gt;</w:t>
      </w:r>
    </w:p>
    <w:p w:rsidR="00B72047" w:rsidRDefault="00B72047">
      <w:pPr>
        <w:pStyle w:val="normalparagraph"/>
      </w:pPr>
      <w:r>
        <w:t>In normal use, metalinguistic negation requires that a corrected statement</w:t>
      </w:r>
      <w:r>
        <w:rPr>
          <w:rStyle w:val="deletedparamark"/>
        </w:rPr>
        <w:t xml:space="preserve"> </w:t>
      </w:r>
      <w:r>
        <w:t>fol</w:t>
      </w:r>
      <w:r>
        <w:softHyphen/>
        <w:t>low the negated statement. In Lojban, however, it is possible to completely</w:t>
      </w:r>
      <w:r>
        <w:rPr>
          <w:rStyle w:val="deletedparamark"/>
        </w:rPr>
        <w:t xml:space="preserve"> </w:t>
      </w:r>
      <w:r>
        <w:t>and unam</w:t>
      </w:r>
      <w:r>
        <w:softHyphen/>
        <w:t>biguously specify metalinguistic errors without correcting them. It</w:t>
      </w:r>
      <w:r>
        <w:rPr>
          <w:rStyle w:val="deletedparamark"/>
        </w:rPr>
        <w:t xml:space="preserve"> </w:t>
      </w:r>
      <w:r>
        <w:t>will eventually be seen whether an uncorrected metalinguistic negation</w:t>
      </w:r>
      <w:r>
        <w:rPr>
          <w:rStyle w:val="deletedparamark"/>
        </w:rPr>
        <w:t xml:space="preserve"> </w:t>
      </w:r>
      <w:r>
        <w:t>remains an acceptable form in Lojban. In such a statement, metalinguistic</w:t>
      </w:r>
      <w:r>
        <w:rPr>
          <w:rStyle w:val="deletedparamark"/>
        </w:rPr>
        <w:t xml:space="preserve"> </w:t>
      </w:r>
      <w:r>
        <w:t>expression would involve an ellipsis not unlike that of tenseless expression.</w:t>
      </w:r>
    </w:p>
    <w:p w:rsidR="00B72047" w:rsidRDefault="00B72047">
      <w:pPr>
        <w:pStyle w:val="normalparagraph"/>
        <w:rPr>
          <w:rStyle w:val="htmlparacode"/>
        </w:rPr>
      </w:pPr>
      <w:r>
        <w:rPr>
          <w:rStyle w:val="htmlparacode"/>
        </w:rPr>
        <w:t>&lt;p&gt;</w:t>
      </w:r>
    </w:p>
    <w:p w:rsidR="00B72047" w:rsidRDefault="00B72047">
      <w:pPr>
        <w:pStyle w:val="normalparagraph"/>
      </w:pPr>
      <w:r>
        <w:t>Note that metalinguistic negation gives us another kind of legitimate</w:t>
      </w:r>
      <w:r>
        <w:rPr>
          <w:rStyle w:val="deletedparamark"/>
        </w:rPr>
        <w:t xml:space="preserve"> </w:t>
      </w:r>
      <w:r>
        <w:t xml:space="preserve">negative answer to a “xu” question (see </w:t>
      </w:r>
      <w:r>
        <w:rPr>
          <w:rStyle w:val="htmlcodes"/>
        </w:rPr>
        <w:t>&lt;a href=#s8&gt;</w:t>
      </w:r>
      <w:r>
        <w:t>Section 8</w:t>
      </w:r>
      <w:r>
        <w:rPr>
          <w:rStyle w:val="htmlcodes"/>
        </w:rPr>
        <w:t>&lt;/a&gt;</w:t>
      </w:r>
      <w:r>
        <w:t>). “na'i” will be used</w:t>
      </w:r>
      <w:r>
        <w:rPr>
          <w:rStyle w:val="deletedparamark"/>
        </w:rPr>
        <w:t xml:space="preserve"> </w:t>
      </w:r>
      <w:r>
        <w:t>when something about the que</w:t>
      </w:r>
      <w:r>
        <w:t>s</w:t>
      </w:r>
      <w:r>
        <w:softHyphen/>
        <w:t>tioned statement is inappropriate, such as in</w:t>
      </w:r>
      <w:r>
        <w:rPr>
          <w:rStyle w:val="deletedparamark"/>
        </w:rPr>
        <w:t xml:space="preserve"> </w:t>
      </w:r>
      <w:r>
        <w:t>questions like “Have you stopped beating your wife?”: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name=e10d15&gt;</w:t>
      </w:r>
      <w:r>
        <w:t>10.15)</w:t>
      </w:r>
      <w:r>
        <w:tab/>
        <w:t>xu do sisti lezu'o do rapydarxi ledo fetspe</w:t>
      </w:r>
    </w:p>
    <w:p w:rsidR="00B72047" w:rsidRDefault="00B72047">
      <w:pPr>
        <w:pStyle w:val="examplescaled"/>
      </w:pPr>
      <w:r>
        <w:tab/>
        <w:t>Have you ceased the activity of repeat-hitting your female-spouse?</w:t>
      </w:r>
    </w:p>
    <w:p w:rsidR="00B72047" w:rsidRDefault="00B72047">
      <w:pPr>
        <w:pStyle w:val="resumedafterexample"/>
      </w:pPr>
      <w:r>
        <w:rPr>
          <w:rStyle w:val="htmlcodes"/>
        </w:rPr>
        <w:t>&lt;/pre&gt;&lt;p&gt;</w:t>
      </w:r>
      <w:r>
        <w:t>Responses could include: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name=e10d16&gt;</w:t>
      </w:r>
      <w:r>
        <w:t>10.16)</w:t>
      </w:r>
      <w:r>
        <w:tab/>
        <w:t>na'i go'i</w:t>
      </w:r>
    </w:p>
    <w:p w:rsidR="00B72047" w:rsidRDefault="00B72047">
      <w:pPr>
        <w:pStyle w:val="examplescaled"/>
      </w:pPr>
      <w:r>
        <w:tab/>
        <w:t>The bridi as a whole is inappropriate in some way.</w:t>
      </w:r>
    </w:p>
    <w:p w:rsidR="00B72047" w:rsidRDefault="00B72047">
      <w:pPr>
        <w:pStyle w:val="examplescaledpre"/>
      </w:pPr>
      <w:r>
        <w:rPr>
          <w:rStyle w:val="htmlcodes"/>
        </w:rPr>
        <w:t>&lt;a name=e10d17&gt;</w:t>
      </w:r>
      <w:r>
        <w:t>10.17)</w:t>
      </w:r>
      <w:r>
        <w:tab/>
        <w:t>go'i na'i</w:t>
      </w:r>
    </w:p>
    <w:p w:rsidR="00B72047" w:rsidRDefault="00B72047">
      <w:pPr>
        <w:pStyle w:val="examplescaled"/>
      </w:pPr>
      <w:r>
        <w:tab/>
        <w:t>The selbri (sisti) is inappropriate in some way.</w:t>
      </w:r>
    </w:p>
    <w:p w:rsidR="00B72047" w:rsidRDefault="00B72047">
      <w:pPr>
        <w:pStyle w:val="normalafterexample"/>
      </w:pPr>
      <w:r>
        <w:rPr>
          <w:rStyle w:val="htmlcodes"/>
        </w:rPr>
        <w:t>&lt;/pre&gt;&lt;p&gt;</w:t>
      </w:r>
      <w:r>
        <w:t>One can also specifically qualify the metalinguistic negation, by</w:t>
      </w:r>
      <w:r>
        <w:rPr>
          <w:rStyle w:val="deletedparamark"/>
        </w:rPr>
        <w:t xml:space="preserve"> </w:t>
      </w:r>
      <w:r>
        <w:t>explicitly re</w:t>
      </w:r>
      <w:r>
        <w:softHyphen/>
        <w:t>peating the erroneous portion of the bridi to be</w:t>
      </w:r>
      <w:r>
        <w:rPr>
          <w:rStyle w:val="deletedparamark"/>
        </w:rPr>
        <w:t xml:space="preserve"> </w:t>
      </w:r>
      <w:r>
        <w:t>metalinguistically negated, or adding on of the selma'o BAI qualifiers</w:t>
      </w:r>
      <w:r>
        <w:rPr>
          <w:rStyle w:val="deletedparamark"/>
        </w:rPr>
        <w:t xml:space="preserve"> </w:t>
      </w:r>
      <w:r>
        <w:t>mentioned above: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name=e10d18&gt;</w:t>
      </w:r>
      <w:r>
        <w:t>10.18)</w:t>
      </w:r>
      <w:r>
        <w:tab/>
        <w:t>go'i ji'una'iku</w:t>
      </w:r>
    </w:p>
    <w:p w:rsidR="00B72047" w:rsidRDefault="00B72047">
      <w:pPr>
        <w:pStyle w:val="examplescaled"/>
      </w:pPr>
      <w:r>
        <w:tab/>
        <w:t>Some presupposition is wrong with the previous bridi.</w:t>
      </w:r>
    </w:p>
    <w:p w:rsidR="00B72047" w:rsidRDefault="00B72047">
      <w:pPr>
        <w:pStyle w:val="normalafterexample"/>
      </w:pPr>
      <w:r>
        <w:rPr>
          <w:rStyle w:val="htmlcodes"/>
        </w:rPr>
        <w:t>&lt;/pre&gt;&lt;p&gt;</w:t>
      </w:r>
      <w:r>
        <w:t>Finally, one may metalinguistically affirm a bridi with “jo'a”, another</w:t>
      </w:r>
      <w:r>
        <w:rPr>
          <w:rStyle w:val="deletedparamark"/>
        </w:rPr>
        <w:t xml:space="preserve"> </w:t>
      </w:r>
      <w:r>
        <w:t>cmavo of se</w:t>
      </w:r>
      <w:r>
        <w:t>l</w:t>
      </w:r>
      <w:r>
        <w:softHyphen/>
        <w:t>ma'o UI. A common use for “jo'a” might be to affirm that</w:t>
      </w:r>
      <w:r>
        <w:rPr>
          <w:rStyle w:val="deletedparamark"/>
        </w:rPr>
        <w:t xml:space="preserve"> </w:t>
      </w:r>
      <w:r>
        <w:t>a particular construc</w:t>
      </w:r>
      <w:r>
        <w:softHyphen/>
        <w:t>tion, though unusual or counterintuitive, is in</w:t>
      </w:r>
      <w:r>
        <w:rPr>
          <w:rStyle w:val="deletedparamark"/>
        </w:rPr>
        <w:t xml:space="preserve"> </w:t>
      </w:r>
      <w:r>
        <w:t>fact correct; another usage would be to disagree with — by overriding —</w:t>
      </w:r>
      <w:r>
        <w:rPr>
          <w:rStyle w:val="deletedparamark"/>
        </w:rPr>
        <w:t xml:space="preserve"> </w:t>
      </w:r>
      <w:r>
        <w:t>a respondent's metalinguistic negation.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451" w:name="_Toc398970691"/>
      <w:r>
        <w:rPr>
          <w:rStyle w:val="Heading3Text"/>
        </w:rPr>
        <w:t>Summary — Are All Possible Questions About Negation Now A</w:t>
      </w:r>
      <w:r>
        <w:rPr>
          <w:rStyle w:val="Heading3Text"/>
        </w:rPr>
        <w:t>n</w:t>
      </w:r>
      <w:r>
        <w:rPr>
          <w:rStyle w:val="Heading3Text"/>
        </w:rPr>
        <w:softHyphen/>
        <w:t>swered?</w:t>
      </w:r>
      <w:bookmarkEnd w:id="451"/>
      <w:r>
        <w:rPr>
          <w:rStyle w:val="htmlcodes"/>
        </w:rPr>
        <w:t>&lt;/h3&gt;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na go'i  .ije na'e go'i  .ije na'i go'i</w:t>
      </w:r>
    </w:p>
    <w:p w:rsidR="00B72047" w:rsidRDefault="00B72047">
      <w:pPr>
        <w:pStyle w:val="examplescaledpre"/>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rPr>
          <w:rStyle w:val="htmlcodes"/>
        </w:rPr>
      </w:pPr>
      <w:r>
        <w:rPr>
          <w:rStyle w:val="htmlcodes"/>
        </w:rPr>
        <w:t>&lt;center&gt;&lt;p align=center&gt;</w:t>
      </w:r>
    </w:p>
    <w:p w:rsidR="00B72047" w:rsidRDefault="00B72047">
      <w:pPr>
        <w:rPr>
          <w:rStyle w:val="htmlcodes"/>
        </w:rPr>
      </w:pPr>
      <w:r>
        <w:rPr>
          <w:rStyle w:val="htmlcodes"/>
        </w:rPr>
        <w:t>&lt;img src=chap16.gif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40" type="#_x0000_t75" style="width:356.25pt;height:547.5pt">
            <v:imagedata r:id="rId36" o:title="" croptop="-26474f" cropbottom="-26474f" cropleft="-6323f" cropright="-6323f"/>
          </v:shape>
        </w:pict>
      </w:r>
    </w:p>
    <w:p w:rsidR="00B72047" w:rsidRDefault="00B72047">
      <w:pPr>
        <w:pStyle w:val="Heading2"/>
      </w:pPr>
      <w:r>
        <w:rPr>
          <w:rStyle w:val="htmlcodes"/>
        </w:rPr>
        <w:t>&lt;h2&gt;</w:t>
      </w:r>
      <w:bookmarkStart w:id="452" w:name="_Toc395684440"/>
      <w:bookmarkStart w:id="453" w:name="_Toc398970692"/>
      <w:r>
        <w:t>Chapter 16</w:t>
      </w:r>
      <w:bookmarkEnd w:id="452"/>
      <w:bookmarkEnd w:id="453"/>
    </w:p>
    <w:p w:rsidR="00B72047" w:rsidRDefault="00B72047">
      <w:pPr>
        <w:pStyle w:val="Heading2"/>
        <w:rPr>
          <w:rStyle w:val="htmlcodes"/>
        </w:rPr>
      </w:pPr>
      <w:r>
        <w:rPr>
          <w:rStyle w:val="htmlcodes"/>
        </w:rPr>
        <w:t>&lt;br&gt;</w:t>
      </w:r>
    </w:p>
    <w:p w:rsidR="00B72047" w:rsidRDefault="00B72047">
      <w:pPr>
        <w:pStyle w:val="Heading2"/>
      </w:pPr>
      <w:bookmarkStart w:id="454" w:name="_Toc398970693"/>
      <w:r>
        <w:t>“Who Did You Pass On The Road? Nobody”: Lojban And Logic</w:t>
      </w:r>
      <w:bookmarkEnd w:id="454"/>
      <w:r>
        <w:rPr>
          <w:rStyle w:val="htmlcodes"/>
        </w:rPr>
        <w:t>&lt;/h2&gt;</w:t>
      </w:r>
    </w:p>
    <w:p w:rsidR="00B72047" w:rsidRDefault="00B72047">
      <w:pPr>
        <w:pStyle w:val="Heading6"/>
        <w:rPr>
          <w:rStyle w:val="htmlcodes"/>
        </w:rPr>
      </w:pPr>
      <w:r>
        <w:rPr>
          <w:rStyle w:val="htmlcodes"/>
        </w:rPr>
        <w:t>&lt;h6&gt;$Revision: 4.0 $&lt;br&gt;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455" w:name="_Toc398970694"/>
      <w:r>
        <w:rPr>
          <w:rStyle w:val="Heading3Text"/>
        </w:rPr>
        <w:t>What's wrong with this picture?</w:t>
      </w:r>
      <w:bookmarkEnd w:id="45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"nobody, interpretation of"&gt;</w:t>
      </w:r>
      <w:r>
        <w:rPr>
          <w:rStyle w:val="indexentry"/>
        </w:rPr>
        <w:fldChar w:fldCharType="begin"/>
      </w:r>
      <w:r>
        <w:instrText>xe "</w:instrText>
      </w:r>
      <w:r>
        <w:rPr>
          <w:rStyle w:val="xeentry"/>
        </w:rPr>
        <w:instrText>nobody: interpretation of</w:instrText>
      </w:r>
      <w:r>
        <w:instrText>"</w:instrText>
      </w:r>
      <w:r>
        <w:rPr>
          <w:rStyle w:val="indexentry"/>
        </w:rPr>
        <w:fldChar w:fldCharType="end"/>
      </w:r>
      <w:r>
        <w:t xml:space="preserve">The following brief dialogue is from </w:t>
      </w:r>
      <w:r>
        <w:rPr>
          <w:rStyle w:val="htmlcodes"/>
        </w:rPr>
        <w:t>&lt;a href=chap7.html&gt;</w:t>
      </w:r>
      <w:r>
        <w:t xml:space="preserve">Chapter 7 </w:t>
      </w:r>
      <w:r>
        <w:rPr>
          <w:rStyle w:val="htmlcodes"/>
        </w:rPr>
        <w:t>&lt;/a&gt;</w:t>
      </w:r>
      <w:r>
        <w:t xml:space="preserve">of </w:t>
      </w:r>
      <w:r>
        <w:rPr>
          <w:rStyle w:val="htmlcodes"/>
        </w:rPr>
        <w:t>&lt;cite&gt;</w:t>
      </w:r>
      <w:r>
        <w:rPr>
          <w:rStyle w:val="cite"/>
        </w:rPr>
        <w:t xml:space="preserve">Through The Looking Glass </w:t>
      </w:r>
      <w:r>
        <w:rPr>
          <w:rStyle w:val="htmlcodes"/>
        </w:rPr>
        <w:t>&lt;/cite&gt;</w:t>
      </w:r>
      <w:r>
        <w:t>by Lewis Carroll.</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&lt;pre&gt;&lt;a name=e1d1&gt;</w:t>
      </w:r>
      <w:r>
        <w:t>1.1)</w:t>
      </w:r>
      <w:r>
        <w:tab/>
        <w:t>“Who did you pass on the road?” the King went on, holding out his hand to the Messenger for some more hay.</w:t>
      </w:r>
    </w:p>
    <w:p w:rsidR="00B72047" w:rsidRDefault="00B72047">
      <w:pPr>
        <w:pStyle w:val="examplescaledpre"/>
      </w:pPr>
      <w:r>
        <w:rPr>
          <w:rStyle w:val="htmlcodes"/>
        </w:rPr>
        <w:t>&lt;a name=e1d2&gt;</w:t>
      </w:r>
      <w:r>
        <w:t>1.2)</w:t>
      </w:r>
      <w:r>
        <w:tab/>
        <w:t>“Nobody,” said the Messenger.</w:t>
      </w:r>
    </w:p>
    <w:p w:rsidR="00B72047" w:rsidRDefault="00B72047">
      <w:pPr>
        <w:pStyle w:val="examplescaledpre"/>
      </w:pPr>
      <w:r>
        <w:rPr>
          <w:rStyle w:val="htmlcodes"/>
        </w:rPr>
        <w:t>&lt;a name=e1d3&gt;</w:t>
      </w:r>
      <w:r>
        <w:t>1.3)</w:t>
      </w:r>
      <w:r>
        <w:tab/>
        <w:t>“Quite right,” said the King:  “this young lady saw him too. So of course No</w:t>
      </w:r>
      <w:r>
        <w:softHyphen/>
        <w:t>body walks slower than you. ”</w:t>
      </w:r>
    </w:p>
    <w:p w:rsidR="00B72047" w:rsidRDefault="00B72047">
      <w:pPr>
        <w:pStyle w:val="examplescaledpre"/>
      </w:pPr>
      <w:r>
        <w:rPr>
          <w:rStyle w:val="htmlcodes"/>
        </w:rPr>
        <w:t>&lt;a name=e1d4&gt;</w:t>
      </w:r>
      <w:r>
        <w:t>1.4)</w:t>
      </w:r>
      <w:r>
        <w:tab/>
        <w:t>“I do my best,” the Messenger said in a sulky tone. “I'm sure nobody walks much faster than I do!”</w:t>
      </w:r>
    </w:p>
    <w:p w:rsidR="00B72047" w:rsidRDefault="00B72047">
      <w:pPr>
        <w:pStyle w:val="examplescaledpre"/>
      </w:pPr>
      <w:r>
        <w:rPr>
          <w:rStyle w:val="htmlcodes"/>
        </w:rPr>
        <w:t>&lt;a name=e1d5&gt;</w:t>
      </w:r>
      <w:r>
        <w:t>1.5)</w:t>
      </w:r>
      <w:r>
        <w:tab/>
        <w:t>“He can't do that,” said the King, “or else he'd have been here first.”</w:t>
      </w:r>
    </w:p>
    <w:p w:rsidR="00B72047" w:rsidRDefault="00B72047">
      <w:pPr>
        <w:pStyle w:val="normalafterexample"/>
      </w:pPr>
      <w:r>
        <w:rPr>
          <w:rStyle w:val="htmlcodes"/>
        </w:rPr>
        <w:t>&lt;/pre&gt;&lt;p&gt;</w:t>
      </w:r>
      <w:r>
        <w:t>This nonsensical conversation results because the King insists on treating</w:t>
      </w:r>
      <w:r>
        <w:rPr>
          <w:rStyle w:val="deletedparamark"/>
        </w:rPr>
        <w:t xml:space="preserve"> </w:t>
      </w:r>
      <w:r>
        <w:t>the word “nobody” as a name, a name of somebody. However, the essential</w:t>
      </w:r>
      <w:r>
        <w:rPr>
          <w:rStyle w:val="deletedparamark"/>
        </w:rPr>
        <w:t xml:space="preserve"> </w:t>
      </w:r>
      <w:r>
        <w:t>nature of the English word “nobody” is that it doesn't refer to somebody;</w:t>
      </w:r>
      <w:r>
        <w:rPr>
          <w:rStyle w:val="deletedparamark"/>
        </w:rPr>
        <w:t xml:space="preserve"> </w:t>
      </w:r>
      <w:r>
        <w:t>or to put the matter another way, there isn't anybody to which it refers.</w:t>
      </w:r>
    </w:p>
    <w:p w:rsidR="00B72047" w:rsidRDefault="00B72047">
      <w:pPr>
        <w:rPr>
          <w:rStyle w:val="htmlparacode"/>
        </w:rPr>
      </w:pPr>
      <w:r>
        <w:rPr>
          <w:rStyle w:val="htmlparacode"/>
        </w:rPr>
        <w:t>&lt;p&gt;</w:t>
      </w:r>
    </w:p>
    <w:p w:rsidR="00B72047" w:rsidRDefault="00B72047">
      <w:pPr>
        <w:pStyle w:val="normalparagraph"/>
      </w:pPr>
      <w:r>
        <w:rPr>
          <w:rStyle w:val="indexentry"/>
        </w:rPr>
        <w:t>&lt;cx "nobody, ambiguous interpretations of"&gt;</w:t>
      </w:r>
      <w:r>
        <w:rPr>
          <w:rStyle w:val="indexentry"/>
        </w:rPr>
        <w:fldChar w:fldCharType="begin"/>
      </w:r>
      <w:r>
        <w:instrText>xe "</w:instrText>
      </w:r>
      <w:r>
        <w:rPr>
          <w:rStyle w:val="xeentry"/>
        </w:rPr>
        <w:instrText>nobody: ambiguous interpretations of</w:instrText>
      </w:r>
      <w:r>
        <w:instrText>"</w:instrText>
      </w:r>
      <w:r>
        <w:rPr>
          <w:rStyle w:val="indexentry"/>
        </w:rPr>
        <w:fldChar w:fldCharType="end"/>
      </w:r>
      <w:r>
        <w:t xml:space="preserve">The central point of contradiction in the dialogue arises in </w:t>
      </w:r>
      <w:r>
        <w:rPr>
          <w:rStyle w:val="htmlcodes"/>
        </w:rPr>
        <w:t>&lt;a href=#e1d3&gt;</w:t>
      </w:r>
      <w:r>
        <w:t>Example 1.3</w:t>
      </w:r>
      <w:r>
        <w:rPr>
          <w:rStyle w:val="htmlcodes"/>
        </w:rPr>
        <w:t>&lt;/a&gt;</w:t>
      </w:r>
      <w:r>
        <w:t>,</w:t>
      </w:r>
      <w:r>
        <w:rPr>
          <w:rStyle w:val="deletedparamark"/>
        </w:rPr>
        <w:t xml:space="preserve"> </w:t>
      </w:r>
      <w:r>
        <w:t>when the King says “</w:t>
      </w:r>
      <w:r>
        <w:rPr>
          <w:rStyle w:val="htmlcodes"/>
        </w:rPr>
        <w:t>&lt;dots&gt;</w:t>
      </w:r>
      <w:r>
        <w:t xml:space="preserve">… </w:t>
      </w:r>
      <w:r>
        <w:rPr>
          <w:rStyle w:val="htmlcodes"/>
        </w:rPr>
        <w:t>&lt;/dots&gt;</w:t>
      </w:r>
      <w:r>
        <w:t>Nobody walks slower than you”. This claim would be</w:t>
      </w:r>
      <w:r>
        <w:rPr>
          <w:rStyle w:val="deletedparamark"/>
        </w:rPr>
        <w:t xml:space="preserve"> </w:t>
      </w:r>
      <w:r>
        <w:t>plausible if “Nobody” were really a name, since the Messenger could only</w:t>
      </w:r>
      <w:r>
        <w:rPr>
          <w:rStyle w:val="deletedparamark"/>
        </w:rPr>
        <w:t xml:space="preserve"> </w:t>
      </w:r>
      <w:r>
        <w:t>pass someone who does walk more slowly than he. But the Messenger</w:t>
      </w:r>
      <w:r>
        <w:rPr>
          <w:rStyle w:val="deletedparamark"/>
        </w:rPr>
        <w:t xml:space="preserve"> </w:t>
      </w:r>
      <w:r>
        <w:t>interprets the word “nobody” in the ordi</w:t>
      </w:r>
      <w:r>
        <w:softHyphen/>
        <w:t>nary English way, and says</w:t>
      </w:r>
      <w:r>
        <w:rPr>
          <w:rStyle w:val="deletedparamark"/>
        </w:rPr>
        <w:t xml:space="preserve"> </w:t>
      </w:r>
      <w:r>
        <w:t xml:space="preserve">(in </w:t>
      </w:r>
      <w:r>
        <w:rPr>
          <w:rStyle w:val="htmlcodes"/>
        </w:rPr>
        <w:t>&lt;a href=#e1d4&gt;</w:t>
      </w:r>
      <w:r>
        <w:t>Example 1.4</w:t>
      </w:r>
      <w:r>
        <w:rPr>
          <w:rStyle w:val="htmlcodes"/>
        </w:rPr>
        <w:t>&lt;/a&gt;</w:t>
      </w:r>
      <w:r>
        <w:t>) “</w:t>
      </w:r>
      <w:r>
        <w:rPr>
          <w:rStyle w:val="htmlcodes"/>
        </w:rPr>
        <w:t>&lt;dots&gt;</w:t>
      </w:r>
      <w:r>
        <w:t xml:space="preserve">… </w:t>
      </w:r>
      <w:r>
        <w:rPr>
          <w:rStyle w:val="htmlcodes"/>
        </w:rPr>
        <w:t>&lt;/dots&gt;</w:t>
      </w:r>
      <w:r>
        <w:t>nobody walks much faster than I do” (i.e., I walk</w:t>
      </w:r>
      <w:r>
        <w:rPr>
          <w:rStyle w:val="deletedparamark"/>
        </w:rPr>
        <w:t xml:space="preserve"> </w:t>
      </w:r>
      <w:r>
        <w:t>faster, or as fast as, almost everyone), which the King then again</w:t>
      </w:r>
      <w:r>
        <w:rPr>
          <w:rStyle w:val="deletedparamark"/>
        </w:rPr>
        <w:t xml:space="preserve"> </w:t>
      </w:r>
      <w:r>
        <w:t>misunder</w:t>
      </w:r>
      <w:r>
        <w:softHyphen/>
        <w:t>stands. Both the King and the Messenger are correct according to</w:t>
      </w:r>
      <w:r>
        <w:rPr>
          <w:rStyle w:val="deletedparamark"/>
        </w:rPr>
        <w:t xml:space="preserve"> </w:t>
      </w:r>
      <w:r>
        <w:t>their respective un</w:t>
      </w:r>
      <w:r>
        <w:softHyphen/>
        <w:t>der</w:t>
      </w:r>
      <w:r>
        <w:softHyphen/>
        <w:t>standings of the ambiguous word “nobody/Nobody”.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"nobody, Lojban contrasted with English"&gt;</w:t>
      </w:r>
      <w:r>
        <w:rPr>
          <w:rStyle w:val="indexentry"/>
        </w:rPr>
        <w:fldChar w:fldCharType="begin"/>
      </w:r>
      <w:r>
        <w:instrText>xe "</w:instrText>
      </w:r>
      <w:r>
        <w:rPr>
          <w:rStyle w:val="xeentry"/>
        </w:rPr>
        <w:instrText>nobody: Lojban contrasted with English</w:instrText>
      </w:r>
      <w:r>
        <w:instrText>"</w:instrText>
      </w:r>
      <w:r>
        <w:rPr>
          <w:rStyle w:val="indexentry"/>
        </w:rPr>
        <w:fldChar w:fldCharType="end"/>
      </w:r>
      <w:r>
        <w:t>There are Lojban words or phrases corresponding to the problematic English</w:t>
      </w:r>
      <w:r>
        <w:rPr>
          <w:rStyle w:val="deletedparamark"/>
        </w:rPr>
        <w:t xml:space="preserve"> </w:t>
      </w:r>
      <w:r>
        <w:t>words “somebody”, “nobody”, “anybody”, “everybody” (and their counterparts</w:t>
      </w:r>
      <w:r>
        <w:rPr>
          <w:rStyle w:val="deletedparamark"/>
        </w:rPr>
        <w:t xml:space="preserve"> “</w:t>
      </w:r>
      <w:r>
        <w:t>some/no/any/everyone” and “some/no/any/everything”), but they obey rules</w:t>
      </w:r>
      <w:r>
        <w:rPr>
          <w:rStyle w:val="deletedparamark"/>
        </w:rPr>
        <w:t xml:space="preserve"> </w:t>
      </w:r>
      <w:r>
        <w:t>which can often be surprising to English-speakers. The dialogue above</w:t>
      </w:r>
      <w:r>
        <w:rPr>
          <w:rStyle w:val="deletedparamark"/>
        </w:rPr>
        <w:t xml:space="preserve"> </w:t>
      </w:r>
      <w:r>
        <w:t>simply cannot be translated into Lojban without distortion: the name</w:t>
      </w:r>
      <w:r>
        <w:rPr>
          <w:rStyle w:val="deletedparamark"/>
        </w:rPr>
        <w:t xml:space="preserve"> “</w:t>
      </w:r>
      <w:r>
        <w:t>Nobody” would have to be represented by a Lojban name, which would</w:t>
      </w:r>
      <w:r>
        <w:rPr>
          <w:rStyle w:val="deletedparamark"/>
        </w:rPr>
        <w:t xml:space="preserve"> </w:t>
      </w:r>
      <w:r>
        <w:t>spoil the perfection of the wordplay. As a matter of fact, this is the</w:t>
      </w:r>
      <w:r>
        <w:rPr>
          <w:rStyle w:val="deletedparamark"/>
        </w:rPr>
        <w:t xml:space="preserve"> </w:t>
      </w:r>
      <w:r>
        <w:t>desired result: a logical language should not allow two conversationalists</w:t>
      </w:r>
      <w:r>
        <w:rPr>
          <w:rStyle w:val="deletedparamark"/>
        </w:rPr>
        <w:t xml:space="preserve"> </w:t>
      </w:r>
      <w:r>
        <w:t>to affirm “Nobody walks slower than the Messenger” and “Nobody walks faster</w:t>
      </w:r>
      <w:r>
        <w:rPr>
          <w:rStyle w:val="deletedparamark"/>
        </w:rPr>
        <w:t xml:space="preserve"> </w:t>
      </w:r>
      <w:r>
        <w:t>than the Messe</w:t>
      </w:r>
      <w:r>
        <w:t>n</w:t>
      </w:r>
      <w:r>
        <w:softHyphen/>
        <w:t>ger” and both be telling the truth. (Unless, of course,</w:t>
      </w:r>
      <w:r>
        <w:rPr>
          <w:rStyle w:val="deletedparamark"/>
        </w:rPr>
        <w:t xml:space="preserve"> </w:t>
      </w:r>
      <w:r>
        <w:t>nobody but the Messenger walks at all, or everyone walks at exactly the</w:t>
      </w:r>
      <w:r>
        <w:rPr>
          <w:rStyle w:val="deletedparamark"/>
        </w:rPr>
        <w:t xml:space="preserve"> </w:t>
      </w:r>
      <w:r>
        <w:t>same speed.)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 resolving ambiguities of “nobody”"&gt;</w:t>
      </w:r>
      <w:r>
        <w:rPr>
          <w:rStyle w:val="indexentry"/>
        </w:rPr>
        <w:fldChar w:fldCharType="begin"/>
      </w:r>
      <w:r>
        <w:instrText>xe "</w:instrText>
      </w:r>
      <w:r>
        <w:rPr>
          <w:rStyle w:val="xeentry"/>
        </w:rPr>
        <w:instrText>logic: resolving ambiguities of nobody</w:instrText>
      </w:r>
      <w:r>
        <w:instrText>"</w:instrText>
      </w:r>
      <w:r>
        <w:rPr>
          <w:rStyle w:val="indexentry"/>
        </w:rPr>
        <w:fldChar w:fldCharType="end"/>
      </w:r>
      <w:r>
        <w:t>This chapter will explore the Lojban mechanisms that allow the correct and</w:t>
      </w:r>
      <w:r>
        <w:rPr>
          <w:rStyle w:val="deletedparamark"/>
        </w:rPr>
        <w:t xml:space="preserve"> </w:t>
      </w:r>
      <w:r>
        <w:t>consi</w:t>
      </w:r>
      <w:r>
        <w:t>s</w:t>
      </w:r>
      <w:r>
        <w:softHyphen/>
        <w:t>tent construction of sentences like those in the dialogue. There are no</w:t>
      </w:r>
      <w:r>
        <w:rPr>
          <w:rStyle w:val="deletedparamark"/>
        </w:rPr>
        <w:t xml:space="preserve"> </w:t>
      </w:r>
      <w:r>
        <w:t>new gram</w:t>
      </w:r>
      <w:r>
        <w:softHyphen/>
        <w:t>matical constructs explained in this chapter; instead, it discusses</w:t>
      </w:r>
      <w:r>
        <w:rPr>
          <w:rStyle w:val="deletedparamark"/>
        </w:rPr>
        <w:t xml:space="preserve"> </w:t>
      </w:r>
      <w:r>
        <w:t>the way in which ex</w:t>
      </w:r>
      <w:r>
        <w:softHyphen/>
        <w:t>isting facil</w:t>
      </w:r>
      <w:r>
        <w:t>i</w:t>
      </w:r>
      <w:r>
        <w:softHyphen/>
        <w:t>ties that allow Lojban-speakers to resolve</w:t>
      </w:r>
      <w:r>
        <w:rPr>
          <w:rStyle w:val="deletedparamark"/>
        </w:rPr>
        <w:t xml:space="preserve"> </w:t>
      </w:r>
      <w:r>
        <w:t>problems like the above, using the concepts of modern logic. However, we</w:t>
      </w:r>
      <w:r>
        <w:rPr>
          <w:rStyle w:val="deletedparamark"/>
        </w:rPr>
        <w:t xml:space="preserve"> </w:t>
      </w:r>
      <w:r>
        <w:t>will not approach the matter from the view</w:t>
      </w:r>
      <w:r>
        <w:softHyphen/>
        <w:t>point of logicians, although readers</w:t>
      </w:r>
      <w:r>
        <w:rPr>
          <w:rStyle w:val="deletedparamark"/>
        </w:rPr>
        <w:t xml:space="preserve"> </w:t>
      </w:r>
      <w:r>
        <w:t>who know something of logic will discover familiar notions in Lojban guise.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 limits of"&gt;</w:t>
      </w:r>
      <w:r>
        <w:rPr>
          <w:rStyle w:val="indexentry"/>
        </w:rPr>
        <w:fldChar w:fldCharType="begin"/>
      </w:r>
      <w:r>
        <w:instrText>xe "</w:instrText>
      </w:r>
      <w:r>
        <w:rPr>
          <w:rStyle w:val="xeentry"/>
        </w:rPr>
        <w:instrText>logic: limits of</w:instrText>
      </w:r>
      <w:r>
        <w:instrText>"</w:instrText>
      </w:r>
      <w:r>
        <w:rPr>
          <w:rStyle w:val="indexentry"/>
        </w:rPr>
        <w:fldChar w:fldCharType="end"/>
      </w:r>
      <w:r>
        <w:t>Although Lojban is called a logical language, not every feature of it is</w:t>
      </w:r>
      <w:r>
        <w:rPr>
          <w:rStyle w:val="deletedparamark"/>
        </w:rPr>
        <w:t xml:space="preserve"> “</w:t>
      </w:r>
      <w:r>
        <w:t>logical”. In particular, the use of “le” is incompatible with logical</w:t>
      </w:r>
      <w:r>
        <w:rPr>
          <w:rStyle w:val="deletedparamark"/>
        </w:rPr>
        <w:t xml:space="preserve"> </w:t>
      </w:r>
      <w:r>
        <w:t>reasoning based on the description selbri, because that selbri may not</w:t>
      </w:r>
      <w:r>
        <w:rPr>
          <w:rStyle w:val="deletedparamark"/>
        </w:rPr>
        <w:t xml:space="preserve"> </w:t>
      </w:r>
      <w:r>
        <w:t>truthfully apply: you cannot conclude from my stat</w:t>
      </w:r>
      <w:r>
        <w:t>e</w:t>
      </w:r>
      <w:r>
        <w:softHyphen/>
        <w:t>ment that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name=e1d6&gt;</w:t>
      </w:r>
      <w:r>
        <w:t>1.6)</w:t>
      </w:r>
      <w:r>
        <w:tab/>
        <w:t>mi viska le nanmu</w:t>
      </w:r>
    </w:p>
    <w:p w:rsidR="00B72047" w:rsidRDefault="00B72047">
      <w:pPr>
        <w:pStyle w:val="examplescaled"/>
      </w:pPr>
      <w:r>
        <w:tab/>
        <w:t>I see the-one-I-refer-to-as-the man.</w:t>
      </w:r>
    </w:p>
    <w:p w:rsidR="00B72047" w:rsidRDefault="00B72047">
      <w:pPr>
        <w:pStyle w:val="examplescaled"/>
      </w:pPr>
      <w:r>
        <w:tab/>
        <w:t>I see the man/men.</w:t>
      </w:r>
    </w:p>
    <w:p w:rsidR="00B72047" w:rsidRDefault="00B72047">
      <w:pPr>
        <w:pStyle w:val="resumedafterexample"/>
      </w:pPr>
      <w:r>
        <w:rPr>
          <w:rStyle w:val="htmlcodes"/>
        </w:rPr>
        <w:t>&lt;/pre&gt;</w:t>
      </w:r>
      <w:r>
        <w:t>that there really is a man; the only thing you can conclude is that there</w:t>
      </w:r>
      <w:r>
        <w:rPr>
          <w:rStyle w:val="deletedparamark"/>
        </w:rPr>
        <w:t xml:space="preserve"> </w:t>
      </w:r>
      <w:r>
        <w:t>is one thing (or more) that I choose to refer to as a man. You cannot even</w:t>
      </w:r>
      <w:r>
        <w:rPr>
          <w:rStyle w:val="deletedparamark"/>
        </w:rPr>
        <w:t xml:space="preserve"> </w:t>
      </w:r>
      <w:r>
        <w:t>tell which man is meant for sure without asking me (although communication</w:t>
      </w:r>
      <w:r>
        <w:rPr>
          <w:rStyle w:val="deletedparamark"/>
        </w:rPr>
        <w:t xml:space="preserve"> </w:t>
      </w:r>
      <w:r>
        <w:t>is served if you already know from the context).</w:t>
      </w:r>
    </w:p>
    <w:p w:rsidR="00B72047" w:rsidRDefault="00B72047">
      <w:pPr>
        <w:rPr>
          <w:rStyle w:val="htmlparacode"/>
        </w:rPr>
      </w:pPr>
      <w:r>
        <w:rPr>
          <w:rStyle w:val="htmlparacode"/>
        </w:rPr>
        <w:t>&lt;p&gt;</w:t>
      </w:r>
    </w:p>
    <w:p w:rsidR="00B72047" w:rsidRDefault="00B72047">
      <w:pPr>
        <w:pStyle w:val="normalparagraph"/>
      </w:pPr>
      <w:r>
        <w:rPr>
          <w:rStyle w:val="indexentry"/>
        </w:rPr>
        <w:t>&lt;cx "logic, and attitudinals"&gt;</w:t>
      </w:r>
      <w:r>
        <w:rPr>
          <w:rStyle w:val="indexentry"/>
        </w:rPr>
        <w:fldChar w:fldCharType="begin"/>
      </w:r>
      <w:r>
        <w:instrText>xe "</w:instrText>
      </w:r>
      <w:r>
        <w:rPr>
          <w:rStyle w:val="xeentry"/>
        </w:rPr>
        <w:instrText>logic: and attitudinals</w:instrText>
      </w:r>
      <w:r>
        <w:instrText>"</w:instrText>
      </w:r>
      <w:r>
        <w:rPr>
          <w:rStyle w:val="indexentry"/>
        </w:rPr>
        <w:fldChar w:fldCharType="end"/>
      </w:r>
      <w:r>
        <w:rPr>
          <w:rStyle w:val="indexentry"/>
        </w:rPr>
        <w:t>&lt;cx "attitudinals, and logic"&gt;</w:t>
      </w:r>
      <w:r>
        <w:rPr>
          <w:rStyle w:val="indexentry"/>
        </w:rPr>
        <w:fldChar w:fldCharType="begin"/>
      </w:r>
      <w:r>
        <w:instrText>xe "</w:instrText>
      </w:r>
      <w:r>
        <w:rPr>
          <w:rStyle w:val="xeentry"/>
        </w:rPr>
        <w:instrText>attitudinals: and logic</w:instrText>
      </w:r>
      <w:r>
        <w:instrText>"</w:instrText>
      </w:r>
      <w:r>
        <w:rPr>
          <w:rStyle w:val="indexentry"/>
        </w:rPr>
        <w:fldChar w:fldCharType="end"/>
      </w:r>
      <w:r>
        <w:t xml:space="preserve">In addition, the use of attitudinals (see </w:t>
      </w:r>
      <w:r>
        <w:rPr>
          <w:rStyle w:val="htmlcodes"/>
        </w:rPr>
        <w:t>&lt;a href=chap13.html&gt;</w:t>
      </w:r>
      <w:r>
        <w:t>Chapter 13</w:t>
      </w:r>
      <w:r>
        <w:rPr>
          <w:rStyle w:val="htmlcodes"/>
        </w:rPr>
        <w:t>&lt;/a&gt;</w:t>
      </w:r>
      <w:r>
        <w:t>) often reduces or</w:t>
      </w:r>
      <w:r>
        <w:rPr>
          <w:rStyle w:val="deletedparamark"/>
        </w:rPr>
        <w:t xml:space="preserve"> </w:t>
      </w:r>
      <w:r>
        <w:t>removes the ability to make deductions about the bridi to which those</w:t>
      </w:r>
      <w:r>
        <w:rPr>
          <w:rStyle w:val="deletedparamark"/>
        </w:rPr>
        <w:t xml:space="preserve"> </w:t>
      </w:r>
      <w:r>
        <w:t>attitudinals are applied. From the fact that I hope George will win the</w:t>
      </w:r>
      <w:r>
        <w:rPr>
          <w:rStyle w:val="deletedparamark"/>
        </w:rPr>
        <w:t xml:space="preserve"> </w:t>
      </w:r>
      <w:r>
        <w:t>election, you can conclude nothing about George's actual victory or defeat.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456" w:name="_Toc398970695"/>
      <w:r>
        <w:rPr>
          <w:rStyle w:val="Heading3Text"/>
        </w:rPr>
        <w:t>Existential claims, prenexes, and variables</w:t>
      </w:r>
      <w:bookmarkEnd w:id="456"/>
      <w:r>
        <w:rPr>
          <w:rStyle w:val="htmlcodes"/>
        </w:rPr>
        <w:t>&lt;/h3&gt;</w:t>
      </w:r>
    </w:p>
    <w:p w:rsidR="00B72047" w:rsidRDefault="00B72047">
      <w:pPr>
        <w:rPr>
          <w:rStyle w:val="htmlparacode"/>
        </w:rPr>
      </w:pPr>
      <w:r>
        <w:rPr>
          <w:rStyle w:val="htmlparacode"/>
        </w:rPr>
        <w:t>&lt;p&gt;</w:t>
      </w:r>
    </w:p>
    <w:p w:rsidR="00B72047" w:rsidRDefault="00B72047">
      <w:pPr>
        <w:pStyle w:val="normalparagraph"/>
      </w:pPr>
      <w:r>
        <w:t>Let us consider, to begin with, a sentence that is not in the dialogue:</w:t>
      </w:r>
    </w:p>
    <w:p w:rsidR="00B72047" w:rsidRDefault="00B72047">
      <w:pPr>
        <w:rPr>
          <w:rStyle w:val="htmlparacode"/>
        </w:rPr>
      </w:pPr>
      <w:r>
        <w:rPr>
          <w:rStyle w:val="htmlparacode"/>
        </w:rPr>
        <w:t>&lt;p&gt;</w:t>
      </w:r>
    </w:p>
    <w:p w:rsidR="00B72047" w:rsidRDefault="00B72047">
      <w:pPr>
        <w:pStyle w:val="examplescaledpre"/>
      </w:pPr>
      <w:r>
        <w:rPr>
          <w:rStyle w:val="indexentry"/>
        </w:rPr>
        <w:t>&lt;ex "something sees me"&gt;</w:t>
      </w:r>
      <w:r>
        <w:rPr>
          <w:rStyle w:val="indexentry"/>
        </w:rPr>
        <w:fldChar w:fldCharType="begin"/>
      </w:r>
      <w:r>
        <w:instrText>xe "</w:instrText>
      </w:r>
      <w:r>
        <w:rPr>
          <w:rStyle w:val="xeentry"/>
        </w:rPr>
        <w:instrText>something sees me: example</w:instrText>
      </w:r>
      <w:r>
        <w:instrText>"</w:instrText>
      </w:r>
      <w:r>
        <w:rPr>
          <w:rStyle w:val="indexentry"/>
        </w:rPr>
        <w:fldChar w:fldCharType="end"/>
      </w:r>
      <w:r>
        <w:rPr>
          <w:rStyle w:val="htmlcodes"/>
        </w:rPr>
        <w:t>&lt;pre&gt;&lt;a name=e2d1&gt;</w:t>
      </w:r>
      <w:r>
        <w:t>2.1)</w:t>
      </w:r>
      <w:r>
        <w:tab/>
        <w:t>Something sees me.</w:t>
      </w:r>
    </w:p>
    <w:p w:rsidR="00B72047" w:rsidRDefault="00B72047">
      <w:pPr>
        <w:pStyle w:val="resumedafterexample"/>
      </w:pPr>
      <w:r>
        <w:rPr>
          <w:rStyle w:val="htmlcodes"/>
        </w:rPr>
        <w:t>&lt;/pre&gt;&lt;p&gt;</w:t>
      </w:r>
      <w:r>
        <w:t xml:space="preserve">There are two plausible Lojban translations of </w:t>
      </w:r>
      <w:r>
        <w:rPr>
          <w:rStyle w:val="htmlcodes"/>
        </w:rPr>
        <w:t>&lt;a href=#e2d1&gt;</w:t>
      </w:r>
      <w:r>
        <w:t>Example 2.1</w:t>
      </w:r>
      <w:r>
        <w:rPr>
          <w:rStyle w:val="htmlcodes"/>
        </w:rPr>
        <w:t>&lt;/a&gt;</w:t>
      </w:r>
      <w:r>
        <w:t>. The simpler</w:t>
      </w:r>
      <w:r>
        <w:rPr>
          <w:rStyle w:val="deletedparamark"/>
        </w:rPr>
        <w:t xml:space="preserve"> </w:t>
      </w:r>
      <w:r>
        <w:t>one is:</w:t>
      </w:r>
    </w:p>
    <w:p w:rsidR="00B72047" w:rsidRDefault="00B72047">
      <w:pPr>
        <w:rPr>
          <w:rStyle w:val="htmlparacode"/>
        </w:rPr>
      </w:pPr>
      <w:r>
        <w:rPr>
          <w:rStyle w:val="htmlparacode"/>
        </w:rPr>
        <w:t>&lt;p&gt;</w:t>
      </w:r>
    </w:p>
    <w:p w:rsidR="00B72047" w:rsidRDefault="00B72047">
      <w:pPr>
        <w:pStyle w:val="examplescaledpre"/>
      </w:pPr>
      <w:r>
        <w:rPr>
          <w:rStyle w:val="indexentry"/>
        </w:rPr>
        <w:t>&lt;lx "zo'e"&gt;</w:t>
      </w:r>
      <w:r>
        <w:rPr>
          <w:rStyle w:val="indexentry"/>
        </w:rPr>
        <w:fldChar w:fldCharType="begin"/>
      </w:r>
      <w:r>
        <w:instrText>xe "</w:instrText>
      </w:r>
      <w:r>
        <w:rPr>
          <w:rStyle w:val="xeentry"/>
        </w:rPr>
        <w:instrText>zo'e</w:instrText>
      </w:r>
      <w:r>
        <w:instrText>"</w:instrText>
      </w:r>
      <w:r>
        <w:rPr>
          <w:rStyle w:val="indexentry"/>
        </w:rPr>
        <w:fldChar w:fldCharType="end"/>
      </w:r>
      <w:r>
        <w:rPr>
          <w:rStyle w:val="htmlcodes"/>
        </w:rPr>
        <w:t>&lt;pre&gt;&lt;a name=e2d2&gt;</w:t>
      </w:r>
      <w:r>
        <w:t>2.2)</w:t>
      </w:r>
      <w:r>
        <w:tab/>
        <w:t>[zo'e] viska mi</w:t>
      </w:r>
    </w:p>
    <w:p w:rsidR="00B72047" w:rsidRDefault="00B72047">
      <w:pPr>
        <w:pStyle w:val="examplescaled"/>
      </w:pPr>
      <w:r>
        <w:tab/>
        <w:t>Something-unspecified sees me.</w:t>
      </w:r>
    </w:p>
    <w:p w:rsidR="00B72047" w:rsidRDefault="00B72047">
      <w:pPr>
        <w:pStyle w:val="resumedafterexample"/>
      </w:pPr>
      <w:r>
        <w:rPr>
          <w:rStyle w:val="htmlcodes"/>
        </w:rPr>
        <w:t>&lt;/pre&gt;</w:t>
      </w:r>
      <w:r>
        <w:rPr>
          <w:rStyle w:val="indexentry"/>
        </w:rPr>
        <w:t>&lt;cx "zo'e, as a translation for “something”"&gt;</w:t>
      </w:r>
      <w:r>
        <w:rPr>
          <w:rStyle w:val="indexentry"/>
        </w:rPr>
        <w:fldChar w:fldCharType="begin"/>
      </w:r>
      <w:r>
        <w:instrText>xe "</w:instrText>
      </w:r>
      <w:r>
        <w:rPr>
          <w:rStyle w:val="xeentry"/>
        </w:rPr>
        <w:instrText>zo'e: as a translation for something</w:instrText>
      </w:r>
      <w:r>
        <w:instrText>"</w:instrText>
      </w:r>
      <w:r>
        <w:rPr>
          <w:rStyle w:val="indexentry"/>
        </w:rPr>
        <w:fldChar w:fldCharType="end"/>
      </w:r>
      <w:r>
        <w:rPr>
          <w:rStyle w:val="indexentry"/>
        </w:rPr>
        <w:t>&lt;cx "something, unspecified definite with “zo'e”"&gt;</w:t>
      </w:r>
      <w:r>
        <w:rPr>
          <w:rStyle w:val="indexentry"/>
        </w:rPr>
        <w:fldChar w:fldCharType="begin"/>
      </w:r>
      <w:r>
        <w:instrText>xe "</w:instrText>
      </w:r>
      <w:r>
        <w:rPr>
          <w:rStyle w:val="xeentry"/>
        </w:rPr>
        <w:instrText>something: unspecified definite with zo'e</w:instrText>
      </w:r>
      <w:r>
        <w:instrText>"</w:instrText>
      </w:r>
      <w:r>
        <w:rPr>
          <w:rStyle w:val="indexentry"/>
        </w:rPr>
        <w:fldChar w:fldCharType="end"/>
      </w:r>
      <w:r>
        <w:t>The cmavo “zo'e” indicates that a sumti has been omitted (indeed, even</w:t>
      </w:r>
      <w:r>
        <w:rPr>
          <w:rStyle w:val="deletedparamark"/>
        </w:rPr>
        <w:t xml:space="preserve"> “</w:t>
      </w:r>
      <w:r>
        <w:t xml:space="preserve">zo'e” itself can be omitted in this case, as explained in </w:t>
      </w:r>
      <w:r>
        <w:rPr>
          <w:rStyle w:val="htmlcodes"/>
        </w:rPr>
        <w:t>&lt;a href=chap7.html&gt;</w:t>
      </w:r>
      <w:r>
        <w:t>Chapter 7</w:t>
      </w:r>
      <w:r>
        <w:rPr>
          <w:rStyle w:val="htmlcodes"/>
        </w:rPr>
        <w:t>&lt;/a&gt;</w:t>
      </w:r>
      <w:r>
        <w:t>) and</w:t>
      </w:r>
      <w:r>
        <w:rPr>
          <w:rStyle w:val="deletedparamark"/>
        </w:rPr>
        <w:t xml:space="preserve"> </w:t>
      </w:r>
      <w:r>
        <w:t>the listener must fill in the cor</w:t>
      </w:r>
      <w:r>
        <w:softHyphen/>
        <w:t>rect value from context. In other</w:t>
      </w:r>
      <w:r>
        <w:rPr>
          <w:rStyle w:val="deletedparamark"/>
        </w:rPr>
        <w:t xml:space="preserve"> </w:t>
      </w:r>
      <w:r>
        <w:t xml:space="preserve">words, </w:t>
      </w:r>
      <w:r>
        <w:rPr>
          <w:rStyle w:val="htmlcodes"/>
        </w:rPr>
        <w:t>&lt;a href=#e2d2&gt;</w:t>
      </w:r>
      <w:r>
        <w:t xml:space="preserve">Example 2.2 </w:t>
      </w:r>
      <w:r>
        <w:rPr>
          <w:rStyle w:val="htmlcodes"/>
        </w:rPr>
        <w:t>&lt;/a&gt;</w:t>
      </w:r>
      <w:r>
        <w:t>means “‘You-know-what’ sees me.”</w:t>
      </w:r>
    </w:p>
    <w:p w:rsidR="00B72047" w:rsidRDefault="00B72047">
      <w:pPr>
        <w:rPr>
          <w:rStyle w:val="htmlparacode"/>
        </w:rPr>
      </w:pPr>
      <w:r>
        <w:rPr>
          <w:rStyle w:val="htmlparacode"/>
        </w:rPr>
        <w:t>&lt;p&gt;</w:t>
      </w:r>
    </w:p>
    <w:p w:rsidR="00B72047" w:rsidRDefault="00B72047">
      <w:pPr>
        <w:pStyle w:val="normalparagraph"/>
      </w:pPr>
      <w:r>
        <w:t xml:space="preserve">However, </w:t>
      </w:r>
      <w:r>
        <w:rPr>
          <w:rStyle w:val="htmlcodes"/>
        </w:rPr>
        <w:t>&lt;a href=#e2d1&gt;</w:t>
      </w:r>
      <w:r>
        <w:t xml:space="preserve">Example 2.1 </w:t>
      </w:r>
      <w:r>
        <w:rPr>
          <w:rStyle w:val="htmlcodes"/>
        </w:rPr>
        <w:t>&lt;/a&gt;</w:t>
      </w:r>
      <w:r>
        <w:t>is just as likely to assert simply that there is</w:t>
      </w:r>
      <w:r>
        <w:rPr>
          <w:rStyle w:val="deletedparamark"/>
        </w:rPr>
        <w:t xml:space="preserve"> </w:t>
      </w:r>
      <w:r>
        <w:t>someone who sees me, in which case a correct translation is:</w:t>
      </w:r>
    </w:p>
    <w:p w:rsidR="00B72047" w:rsidRDefault="00B72047">
      <w:pPr>
        <w:rPr>
          <w:rStyle w:val="htmlparacode"/>
        </w:rPr>
      </w:pPr>
      <w:r>
        <w:rPr>
          <w:rStyle w:val="htmlparacode"/>
        </w:rPr>
        <w:t>&lt;p&gt;</w:t>
      </w:r>
    </w:p>
    <w:p w:rsidR="00B72047" w:rsidRDefault="00B72047">
      <w:pPr>
        <w:pStyle w:val="examplescaledpre"/>
      </w:pPr>
      <w:r>
        <w:rPr>
          <w:rStyle w:val="indexentry"/>
        </w:rPr>
        <w:t>&lt;lx "da"&gt;</w:t>
      </w:r>
      <w:r>
        <w:rPr>
          <w:rStyle w:val="indexentry"/>
        </w:rPr>
        <w:fldChar w:fldCharType="begin"/>
      </w:r>
      <w:r>
        <w:instrText>xe "</w:instrText>
      </w:r>
      <w:r>
        <w:rPr>
          <w:rStyle w:val="xeentry"/>
        </w:rPr>
        <w:instrText>da</w:instrText>
      </w:r>
      <w:r>
        <w:instrText>"</w:instrText>
      </w:r>
      <w:r>
        <w:rPr>
          <w:rStyle w:val="indexentry"/>
        </w:rPr>
        <w:fldChar w:fldCharType="end"/>
      </w:r>
      <w:r>
        <w:rPr>
          <w:rStyle w:val="indexentry"/>
        </w:rPr>
        <w:t>&lt;cx "da, as a translation for “something”"&gt;</w:t>
      </w:r>
      <w:r>
        <w:rPr>
          <w:rStyle w:val="indexentry"/>
        </w:rPr>
        <w:fldChar w:fldCharType="begin"/>
      </w:r>
      <w:r>
        <w:instrText>xe "</w:instrText>
      </w:r>
      <w:r>
        <w:rPr>
          <w:rStyle w:val="xeentry"/>
        </w:rPr>
        <w:instrText>da: as a translation for something</w:instrText>
      </w:r>
      <w:r>
        <w:instrText>"</w:instrText>
      </w:r>
      <w:r>
        <w:rPr>
          <w:rStyle w:val="indexentry"/>
        </w:rPr>
        <w:fldChar w:fldCharType="end"/>
      </w:r>
      <w:r>
        <w:rPr>
          <w:rStyle w:val="htmlcodes"/>
        </w:rPr>
        <w:t>&lt;pre&gt;&lt;a name=e2d3&gt;</w:t>
      </w:r>
      <w:r>
        <w:t>2.3)</w:t>
      </w:r>
      <w:r>
        <w:tab/>
        <w:t>da zo'u da viska mi</w:t>
      </w:r>
    </w:p>
    <w:p w:rsidR="00B72047" w:rsidRDefault="00B72047">
      <w:pPr>
        <w:pStyle w:val="examplescaled"/>
      </w:pPr>
      <w:r>
        <w:tab/>
        <w:t>There-is-an-X such-that X sees me.</w:t>
      </w:r>
    </w:p>
    <w:p w:rsidR="00B72047" w:rsidRDefault="00B72047">
      <w:pPr>
        <w:pStyle w:val="resumedafterexample"/>
      </w:pPr>
      <w:r>
        <w:rPr>
          <w:rStyle w:val="htmlcodes"/>
        </w:rPr>
        <w:t>&lt;/pre&gt;</w:t>
      </w:r>
      <w:r>
        <w:rPr>
          <w:rStyle w:val="indexentry"/>
        </w:rPr>
        <w:t>&lt;cx "existential claims, definition"&gt;</w:t>
      </w:r>
      <w:r>
        <w:rPr>
          <w:rStyle w:val="indexentry"/>
        </w:rPr>
        <w:fldChar w:fldCharType="begin"/>
      </w:r>
      <w:r>
        <w:instrText>xe "</w:instrText>
      </w:r>
      <w:r>
        <w:rPr>
          <w:rStyle w:val="xeentry"/>
        </w:rPr>
        <w:instrText>existential claims: definition</w:instrText>
      </w:r>
      <w:r>
        <w:instrText>"</w:instrText>
      </w:r>
      <w:r>
        <w:rPr>
          <w:rStyle w:val="indexentry"/>
        </w:rPr>
        <w:fldChar w:fldCharType="end"/>
      </w:r>
      <w:r>
        <w:rPr>
          <w:rStyle w:val="indexentry"/>
        </w:rPr>
        <w:t>&lt;cx "da, contrasted with zo'e"&gt;</w:t>
      </w:r>
      <w:r>
        <w:rPr>
          <w:rStyle w:val="indexentry"/>
        </w:rPr>
        <w:fldChar w:fldCharType="begin"/>
      </w:r>
      <w:r>
        <w:instrText>xe "</w:instrText>
      </w:r>
      <w:r>
        <w:rPr>
          <w:rStyle w:val="xeentry"/>
        </w:rPr>
        <w:instrText>da: contrasted with zo'e</w:instrText>
      </w:r>
      <w:r>
        <w:instrText>"</w:instrText>
      </w:r>
      <w:r>
        <w:rPr>
          <w:rStyle w:val="indexentry"/>
        </w:rPr>
        <w:fldChar w:fldCharType="end"/>
      </w:r>
      <w:r>
        <w:rPr>
          <w:rStyle w:val="indexentry"/>
        </w:rPr>
        <w:t>&lt;cx "zo'e, contrasted with da"&gt;</w:t>
      </w:r>
      <w:r>
        <w:rPr>
          <w:rStyle w:val="indexentry"/>
        </w:rPr>
        <w:fldChar w:fldCharType="begin"/>
      </w:r>
      <w:r>
        <w:instrText>xe "</w:instrText>
      </w:r>
      <w:r>
        <w:rPr>
          <w:rStyle w:val="xeentry"/>
        </w:rPr>
        <w:instrText>zo'e: contrasted with da</w:instrText>
      </w:r>
      <w:r>
        <w:instrText>"</w:instrText>
      </w:r>
      <w:r>
        <w:rPr>
          <w:rStyle w:val="indexentry"/>
        </w:rPr>
        <w:fldChar w:fldCharType="end"/>
      </w:r>
      <w:r>
        <w:rPr>
          <w:rStyle w:val="htmlcodes"/>
        </w:rPr>
        <w:t>&lt;a href=#e2d3&gt;</w:t>
      </w:r>
      <w:r>
        <w:t xml:space="preserve">Example 2.3 </w:t>
      </w:r>
      <w:r>
        <w:rPr>
          <w:rStyle w:val="htmlcodes"/>
        </w:rPr>
        <w:t>&lt;/a&gt;</w:t>
      </w:r>
      <w:r>
        <w:t>does not presuppose that the listener knows who sees the speaker,</w:t>
      </w:r>
      <w:r>
        <w:rPr>
          <w:rStyle w:val="deletedparamark"/>
        </w:rPr>
        <w:t xml:space="preserve"> </w:t>
      </w:r>
      <w:r>
        <w:t>but sim</w:t>
      </w:r>
      <w:r>
        <w:softHyphen/>
        <w:t>ply tells the listener that there is someone who sees the speaker. Statements of this kind are called “existential claims”. (Formally, the one</w:t>
      </w:r>
      <w:r>
        <w:rPr>
          <w:rStyle w:val="deletedparamark"/>
        </w:rPr>
        <w:t xml:space="preserve"> </w:t>
      </w:r>
      <w:r>
        <w:t>doing the seeing is not restricted to being a person; it could be an animal</w:t>
      </w:r>
      <w:r>
        <w:rPr>
          <w:rStyle w:val="deletedparamark"/>
        </w:rPr>
        <w:t xml:space="preserve"> </w:t>
      </w:r>
      <w:r>
        <w:t xml:space="preserve">or — in principle — an inanimate object. We will see in </w:t>
      </w:r>
      <w:r>
        <w:rPr>
          <w:rStyle w:val="htmlcodes"/>
        </w:rPr>
        <w:t>&lt;a href=#s4&gt;</w:t>
      </w:r>
      <w:r>
        <w:t xml:space="preserve">Section 4 </w:t>
      </w:r>
      <w:r>
        <w:rPr>
          <w:rStyle w:val="htmlcodes"/>
        </w:rPr>
        <w:t>&lt;/a&gt;</w:t>
      </w:r>
      <w:r>
        <w:t>how to</w:t>
      </w:r>
      <w:r>
        <w:rPr>
          <w:rStyle w:val="deletedparamark"/>
        </w:rPr>
        <w:t xml:space="preserve"> </w:t>
      </w:r>
      <w:r>
        <w:t>represent such restrictions.)</w:t>
      </w:r>
    </w:p>
    <w:p w:rsidR="00B72047" w:rsidRDefault="00B72047">
      <w:pPr>
        <w:rPr>
          <w:rStyle w:val="htmlparacode"/>
        </w:rPr>
      </w:pPr>
      <w:r>
        <w:rPr>
          <w:rStyle w:val="htmlparacode"/>
        </w:rPr>
        <w:t>&lt;p&gt;</w:t>
      </w:r>
    </w:p>
    <w:p w:rsidR="00B72047" w:rsidRDefault="00B72047">
      <w:pPr>
        <w:pStyle w:val="normalparagraph"/>
      </w:pPr>
      <w:r>
        <w:rPr>
          <w:rStyle w:val="indexentry"/>
        </w:rPr>
        <w:t>&lt;lx "zo'u"&gt;</w:t>
      </w:r>
      <w:r>
        <w:rPr>
          <w:rStyle w:val="indexentry"/>
        </w:rPr>
        <w:fldChar w:fldCharType="begin"/>
      </w:r>
      <w:r>
        <w:instrText>xe "</w:instrText>
      </w:r>
      <w:r>
        <w:rPr>
          <w:rStyle w:val="xeentry"/>
        </w:rPr>
        <w:instrText>zo'u</w:instrText>
      </w:r>
      <w:r>
        <w:instrText>"</w:instrText>
      </w:r>
      <w:r>
        <w:rPr>
          <w:rStyle w:val="indexentry"/>
        </w:rPr>
        <w:fldChar w:fldCharType="end"/>
      </w:r>
      <w:r>
        <w:rPr>
          <w:rStyle w:val="indexentry"/>
        </w:rPr>
        <w:t>&lt;lx "ZOhU"&gt;</w:t>
      </w:r>
      <w:r>
        <w:rPr>
          <w:rStyle w:val="indexentry"/>
        </w:rPr>
        <w:fldChar w:fldCharType="begin"/>
      </w:r>
      <w:r>
        <w:instrText>xe "</w:instrText>
      </w:r>
      <w:r>
        <w:rPr>
          <w:rStyle w:val="xeentry"/>
        </w:rPr>
        <w:instrText>ZOhU selma’o</w:instrText>
      </w:r>
      <w:r>
        <w:instrText>"</w:instrText>
      </w:r>
      <w:r>
        <w:rPr>
          <w:rStyle w:val="indexentry"/>
        </w:rPr>
        <w:fldChar w:fldCharType="end"/>
      </w:r>
      <w:r>
        <w:rPr>
          <w:rStyle w:val="indexentry"/>
        </w:rPr>
        <w:t>&lt;cx "prenex, explanation"&gt;</w:t>
      </w:r>
      <w:r>
        <w:rPr>
          <w:rStyle w:val="indexentry"/>
        </w:rPr>
        <w:fldChar w:fldCharType="begin"/>
      </w:r>
      <w:r>
        <w:instrText>xe "</w:instrText>
      </w:r>
      <w:r>
        <w:rPr>
          <w:rStyle w:val="xeentry"/>
        </w:rPr>
        <w:instrText>prenex: explanation</w:instrText>
      </w:r>
      <w:r>
        <w:instrText>"</w:instrText>
      </w:r>
      <w:r>
        <w:rPr>
          <w:rStyle w:val="indexentry"/>
        </w:rPr>
        <w:fldChar w:fldCharType="end"/>
      </w:r>
      <w:r>
        <w:rPr>
          <w:rStyle w:val="indexentry"/>
        </w:rPr>
        <w:t>&lt;cx "prenex, syntax of"&gt;</w:t>
      </w:r>
      <w:r>
        <w:rPr>
          <w:rStyle w:val="indexentry"/>
        </w:rPr>
        <w:fldChar w:fldCharType="begin"/>
      </w:r>
      <w:r>
        <w:instrText>xe "</w:instrText>
      </w:r>
      <w:r>
        <w:rPr>
          <w:rStyle w:val="xeentry"/>
        </w:rPr>
        <w:instrText>prenex: syntax of</w:instrText>
      </w:r>
      <w:r>
        <w:instrText>"</w:instrText>
      </w:r>
      <w:r>
        <w:rPr>
          <w:rStyle w:val="indexentry"/>
        </w:rPr>
        <w:fldChar w:fldCharType="end"/>
      </w:r>
      <w:r>
        <w:rPr>
          <w:rStyle w:val="indexentry"/>
        </w:rPr>
        <w:t>&lt;cx "variables, logical"&gt;</w:t>
      </w:r>
      <w:r>
        <w:rPr>
          <w:rStyle w:val="indexentry"/>
        </w:rPr>
        <w:fldChar w:fldCharType="begin"/>
      </w:r>
      <w:r>
        <w:instrText>xe "</w:instrText>
      </w:r>
      <w:r>
        <w:rPr>
          <w:rStyle w:val="xeentry"/>
        </w:rPr>
        <w:instrText>variables: logical</w:instrText>
      </w:r>
      <w:r>
        <w:instrText>"</w:instrText>
      </w:r>
      <w:r>
        <w:rPr>
          <w:rStyle w:val="indexentry"/>
        </w:rPr>
        <w:fldChar w:fldCharType="end"/>
      </w:r>
      <w:r>
        <w:rPr>
          <w:rStyle w:val="indexentry"/>
        </w:rPr>
        <w:t>&lt;cx "logical variables, notation convention"&gt;</w:t>
      </w:r>
      <w:r>
        <w:rPr>
          <w:rStyle w:val="indexentry"/>
        </w:rPr>
        <w:fldChar w:fldCharType="begin"/>
      </w:r>
      <w:r>
        <w:instrText>xe "</w:instrText>
      </w:r>
      <w:r>
        <w:rPr>
          <w:rStyle w:val="xeentry"/>
        </w:rPr>
        <w:instrText>logical variables: notation convention</w:instrText>
      </w:r>
      <w:r>
        <w:instrText>"</w:instrText>
      </w:r>
      <w:r>
        <w:rPr>
          <w:rStyle w:val="indexentry"/>
        </w:rPr>
        <w:fldChar w:fldCharType="end"/>
      </w:r>
      <w:r>
        <w:rPr>
          <w:rStyle w:val="htmlcodes"/>
        </w:rPr>
        <w:t>&lt;a href=#e2d3&gt;</w:t>
      </w:r>
      <w:r>
        <w:t xml:space="preserve">Example 2.3 </w:t>
      </w:r>
      <w:r>
        <w:rPr>
          <w:rStyle w:val="htmlcodes"/>
        </w:rPr>
        <w:t>&lt;/a&gt;</w:t>
      </w:r>
      <w:r>
        <w:t>has a two-part structure: there is the part “da zo'u”, called</w:t>
      </w:r>
      <w:r>
        <w:rPr>
          <w:rStyle w:val="deletedparamark"/>
        </w:rPr>
        <w:t xml:space="preserve"> </w:t>
      </w:r>
      <w:r>
        <w:t>the prenex, and the part “da viska mi”, the main bridi. Almost any</w:t>
      </w:r>
      <w:r>
        <w:rPr>
          <w:rStyle w:val="deletedparamark"/>
        </w:rPr>
        <w:t xml:space="preserve"> </w:t>
      </w:r>
      <w:r>
        <w:t>Lojban bridi can be pre</w:t>
      </w:r>
      <w:r>
        <w:softHyphen/>
        <w:t>ceded by a prenex, which syntactically is any</w:t>
      </w:r>
      <w:r>
        <w:rPr>
          <w:rStyle w:val="deletedparamark"/>
        </w:rPr>
        <w:t xml:space="preserve"> </w:t>
      </w:r>
      <w:r>
        <w:t>number of sumti followed by the cmavo “zo'u” (of selma'o ZOhU). For</w:t>
      </w:r>
      <w:r>
        <w:rPr>
          <w:rStyle w:val="deletedparamark"/>
        </w:rPr>
        <w:t xml:space="preserve"> </w:t>
      </w:r>
      <w:r>
        <w:t>the moment, the sumti will consist of one or more of the cmavo</w:t>
      </w:r>
      <w:r>
        <w:rPr>
          <w:rStyle w:val="deletedparamark"/>
        </w:rPr>
        <w:t xml:space="preserve"> “</w:t>
      </w:r>
      <w:r>
        <w:t>da”, “de”, and “di” (of selma'o KOhA), glossed in the literal translations</w:t>
      </w:r>
      <w:r>
        <w:rPr>
          <w:rStyle w:val="deletedparamark"/>
        </w:rPr>
        <w:t xml:space="preserve"> </w:t>
      </w:r>
      <w:r>
        <w:t>as “X”, “Y”, and “Z” respectively. By analogy to the terminology of symbolic</w:t>
      </w:r>
      <w:r>
        <w:rPr>
          <w:rStyle w:val="deletedparamark"/>
        </w:rPr>
        <w:t xml:space="preserve"> </w:t>
      </w:r>
      <w:r>
        <w:t>logic, these cmavo are called “variables”.</w:t>
      </w:r>
    </w:p>
    <w:p w:rsidR="00B72047" w:rsidRDefault="00B72047">
      <w:pPr>
        <w:pStyle w:val="normalparagraph"/>
        <w:rPr>
          <w:rStyle w:val="htmlparacode"/>
        </w:rPr>
      </w:pPr>
      <w:r>
        <w:rPr>
          <w:rStyle w:val="htmlparacode"/>
          <w:vanish w:val="0"/>
        </w:rPr>
        <w:br w:type="page"/>
      </w:r>
      <w:r>
        <w:rPr>
          <w:rStyle w:val="htmlparacode"/>
        </w:rPr>
        <w:t>&lt;p&gt;</w:t>
      </w:r>
    </w:p>
    <w:p w:rsidR="00B72047" w:rsidRDefault="00B72047">
      <w:pPr>
        <w:pStyle w:val="normalparagraph"/>
        <w:spacing w:before="0"/>
      </w:pPr>
      <w:r>
        <w:t>Here is an example of a prenex with two variables:</w:t>
      </w:r>
    </w:p>
    <w:p w:rsidR="00B72047" w:rsidRDefault="00B72047">
      <w:pPr>
        <w:rPr>
          <w:rStyle w:val="htmlparacode"/>
        </w:rPr>
      </w:pPr>
      <w:r>
        <w:rPr>
          <w:rStyle w:val="htmlparacode"/>
        </w:rPr>
        <w:t>&lt;p&gt;</w:t>
      </w:r>
    </w:p>
    <w:p w:rsidR="00B72047" w:rsidRDefault="00B72047">
      <w:pPr>
        <w:pStyle w:val="examplescaledpre"/>
      </w:pPr>
      <w:r>
        <w:rPr>
          <w:rStyle w:val="indexentry"/>
        </w:rPr>
        <w:t>&lt;ex "somebody loves somebody"&gt;</w:t>
      </w:r>
      <w:r>
        <w:rPr>
          <w:rStyle w:val="indexentry"/>
        </w:rPr>
        <w:fldChar w:fldCharType="begin"/>
      </w:r>
      <w:r>
        <w:instrText>xe "</w:instrText>
      </w:r>
      <w:r>
        <w:rPr>
          <w:rStyle w:val="xeentry"/>
        </w:rPr>
        <w:instrText>somebody loves somebody: example</w:instrText>
      </w:r>
      <w:r>
        <w:instrText>"</w:instrText>
      </w:r>
      <w:r>
        <w:rPr>
          <w:rStyle w:val="indexentry"/>
        </w:rPr>
        <w:fldChar w:fldCharType="end"/>
      </w:r>
      <w:r>
        <w:rPr>
          <w:rStyle w:val="htmlcodes"/>
        </w:rPr>
        <w:t>&lt;pre&gt;&lt;a name=e2d4&gt;</w:t>
      </w:r>
      <w:r>
        <w:t>2.4)</w:t>
      </w:r>
      <w:r>
        <w:tab/>
        <w:t>da de zo'u da prami de</w:t>
      </w:r>
    </w:p>
    <w:p w:rsidR="00B72047" w:rsidRDefault="00B72047">
      <w:pPr>
        <w:pStyle w:val="examplescaled"/>
      </w:pPr>
      <w:r>
        <w:tab/>
        <w:t>There-is-an-X there-is-a-Y such that X loves Y.</w:t>
      </w:r>
    </w:p>
    <w:p w:rsidR="00B72047" w:rsidRDefault="00B72047">
      <w:pPr>
        <w:pStyle w:val="examplescaled"/>
      </w:pPr>
      <w:r>
        <w:tab/>
        <w:t>Somebody loves somebody.</w:t>
      </w:r>
    </w:p>
    <w:p w:rsidR="00B72047" w:rsidRDefault="00B72047">
      <w:pPr>
        <w:pStyle w:val="resumedafterexample"/>
      </w:pPr>
      <w:r>
        <w:rPr>
          <w:rStyle w:val="htmlcodes"/>
        </w:rPr>
        <w:t>&lt;/pre&gt;</w:t>
      </w:r>
      <w:r>
        <w:rPr>
          <w:rStyle w:val="indexentry"/>
        </w:rPr>
        <w:t>&lt;cx "somebody, contrasted with somebody else"&gt;</w:t>
      </w:r>
      <w:r>
        <w:rPr>
          <w:rStyle w:val="indexentry"/>
        </w:rPr>
        <w:fldChar w:fldCharType="begin"/>
      </w:r>
      <w:r>
        <w:instrText>xe "</w:instrText>
      </w:r>
      <w:r>
        <w:rPr>
          <w:rStyle w:val="xeentry"/>
        </w:rPr>
        <w:instrText>somebody: contrasted with somebody else</w:instrText>
      </w:r>
      <w:r>
        <w:instrText>"</w:instrText>
      </w:r>
      <w:r>
        <w:rPr>
          <w:rStyle w:val="indexentry"/>
        </w:rPr>
        <w:fldChar w:fldCharType="end"/>
      </w:r>
      <w:r>
        <w:rPr>
          <w:rStyle w:val="indexentry"/>
        </w:rPr>
        <w:t>&lt;cx "logical variables, effect of using multiple different"&gt;</w:t>
      </w:r>
      <w:r>
        <w:rPr>
          <w:rStyle w:val="indexentry"/>
        </w:rPr>
        <w:fldChar w:fldCharType="begin"/>
      </w:r>
      <w:r>
        <w:instrText>xe "</w:instrText>
      </w:r>
      <w:r>
        <w:rPr>
          <w:rStyle w:val="xeentry"/>
        </w:rPr>
        <w:instrText>logical variables: effect of using multiple different</w:instrText>
      </w:r>
      <w:r>
        <w:instrText>"</w:instrText>
      </w:r>
      <w:r>
        <w:rPr>
          <w:rStyle w:val="indexentry"/>
        </w:rPr>
        <w:fldChar w:fldCharType="end"/>
      </w:r>
      <w:r>
        <w:t xml:space="preserve">In </w:t>
      </w:r>
      <w:r>
        <w:rPr>
          <w:rStyle w:val="htmlcodes"/>
        </w:rPr>
        <w:t>&lt;a href=#e2d4&gt;</w:t>
      </w:r>
      <w:r>
        <w:t>Example 2.4</w:t>
      </w:r>
      <w:r>
        <w:rPr>
          <w:rStyle w:val="htmlcodes"/>
        </w:rPr>
        <w:t>&lt;/a&gt;</w:t>
      </w:r>
      <w:r>
        <w:t>, the literal interpretation of the two variables “da” and “de”</w:t>
      </w:r>
      <w:r>
        <w:rPr>
          <w:rStyle w:val="deletedparamark"/>
        </w:rPr>
        <w:t xml:space="preserve"> </w:t>
      </w:r>
      <w:r>
        <w:t>as “there-is-an-X” and “there-is-a-Y” tells us that there are</w:t>
      </w:r>
      <w:r>
        <w:rPr>
          <w:rStyle w:val="deletedparamark"/>
        </w:rPr>
        <w:t xml:space="preserve"> </w:t>
      </w:r>
      <w:r>
        <w:t>two things which stand in the relation</w:t>
      </w:r>
      <w:r>
        <w:softHyphen/>
        <w:t>ship that one loves the other.</w:t>
      </w:r>
      <w:r>
        <w:rPr>
          <w:rStyle w:val="deletedparamark"/>
        </w:rPr>
        <w:t xml:space="preserve"> </w:t>
      </w:r>
      <w:r>
        <w:t>It might be the case that the supposed two things are really just a single</w:t>
      </w:r>
      <w:r>
        <w:rPr>
          <w:rStyle w:val="deletedparamark"/>
        </w:rPr>
        <w:t xml:space="preserve"> </w:t>
      </w:r>
      <w:r>
        <w:t xml:space="preserve">thing that loves itself; nothing in the Lojban version of </w:t>
      </w:r>
      <w:r>
        <w:rPr>
          <w:rStyle w:val="htmlcodes"/>
        </w:rPr>
        <w:t>&lt;a href=#e2d4&gt;</w:t>
      </w:r>
      <w:r>
        <w:t xml:space="preserve">Example 2.4 </w:t>
      </w:r>
      <w:r>
        <w:rPr>
          <w:rStyle w:val="htmlcodes"/>
        </w:rPr>
        <w:t>&lt;/a&gt;</w:t>
      </w:r>
      <w:r>
        <w:t>rules out that interpretation, which is why the colloquial translation</w:t>
      </w:r>
      <w:r>
        <w:rPr>
          <w:rStyle w:val="deletedparamark"/>
        </w:rPr>
        <w:t xml:space="preserve"> </w:t>
      </w:r>
      <w:r>
        <w:t>does not say “Somebody loves somebody else.” The things referred to by</w:t>
      </w:r>
      <w:r>
        <w:rPr>
          <w:rStyle w:val="deletedparamark"/>
        </w:rPr>
        <w:t xml:space="preserve"> </w:t>
      </w:r>
      <w:r>
        <w:t>different variables may be different or the same. (We use “somebody”</w:t>
      </w:r>
      <w:r>
        <w:rPr>
          <w:rStyle w:val="deletedparamark"/>
        </w:rPr>
        <w:t xml:space="preserve"> </w:t>
      </w:r>
      <w:r>
        <w:t>here rather than “something” for naturalness; lovers and b</w:t>
      </w:r>
      <w:r>
        <w:t>e</w:t>
      </w:r>
      <w:r>
        <w:softHyphen/>
        <w:t>loveds are</w:t>
      </w:r>
      <w:r>
        <w:rPr>
          <w:rStyle w:val="deletedparamark"/>
        </w:rPr>
        <w:t xml:space="preserve"> </w:t>
      </w:r>
      <w:r>
        <w:t>usually persons, though the Lojban does not say so.)</w:t>
      </w:r>
    </w:p>
    <w:p w:rsidR="00B72047" w:rsidRDefault="00B72047">
      <w:pPr>
        <w:rPr>
          <w:rStyle w:val="htmlparacode"/>
        </w:rPr>
      </w:pPr>
      <w:r>
        <w:rPr>
          <w:rStyle w:val="htmlparacode"/>
        </w:rPr>
        <w:t>&lt;p&gt;</w:t>
      </w:r>
    </w:p>
    <w:p w:rsidR="00B72047" w:rsidRDefault="00B72047">
      <w:pPr>
        <w:pStyle w:val="normalparagraph"/>
      </w:pPr>
      <w:r>
        <w:rPr>
          <w:rStyle w:val="indexentry"/>
        </w:rPr>
        <w:t>&lt;cx "logical variables, with multiple appearances in bridi"&gt;</w:t>
      </w:r>
      <w:r>
        <w:rPr>
          <w:rStyle w:val="indexentry"/>
        </w:rPr>
        <w:fldChar w:fldCharType="begin"/>
      </w:r>
      <w:r>
        <w:instrText>xe "</w:instrText>
      </w:r>
      <w:r>
        <w:rPr>
          <w:rStyle w:val="xeentry"/>
        </w:rPr>
        <w:instrText>logical variables: with multiple appearances in bridi</w:instrText>
      </w:r>
      <w:r>
        <w:instrText>"</w:instrText>
      </w:r>
      <w:r>
        <w:rPr>
          <w:rStyle w:val="indexentry"/>
        </w:rPr>
        <w:fldChar w:fldCharType="end"/>
      </w:r>
      <w:r>
        <w:t>It is perfectly all right for the variables to appear more than once</w:t>
      </w:r>
      <w:r>
        <w:rPr>
          <w:rStyle w:val="deletedparamark"/>
        </w:rPr>
        <w:t xml:space="preserve"> </w:t>
      </w:r>
      <w:r>
        <w:t>in the main bridi:</w:t>
      </w:r>
    </w:p>
    <w:p w:rsidR="00B72047" w:rsidRDefault="00B72047">
      <w:pPr>
        <w:rPr>
          <w:rStyle w:val="htmlparacode"/>
        </w:rPr>
      </w:pPr>
      <w:r>
        <w:rPr>
          <w:rStyle w:val="htmlparacode"/>
        </w:rPr>
        <w:t>&lt;p&gt;</w:t>
      </w:r>
    </w:p>
    <w:p w:rsidR="00B72047" w:rsidRDefault="00B72047">
      <w:pPr>
        <w:pStyle w:val="examplescaledpre"/>
      </w:pPr>
      <w:r>
        <w:rPr>
          <w:rStyle w:val="indexentry"/>
        </w:rPr>
        <w:t>&lt;ex "somebody loves self"&gt;</w:t>
      </w:r>
      <w:r>
        <w:rPr>
          <w:rStyle w:val="indexentry"/>
        </w:rPr>
        <w:fldChar w:fldCharType="begin"/>
      </w:r>
      <w:r>
        <w:instrText>xe "</w:instrText>
      </w:r>
      <w:r>
        <w:rPr>
          <w:rStyle w:val="xeentry"/>
        </w:rPr>
        <w:instrText>somebody loves self: example</w:instrText>
      </w:r>
      <w:r>
        <w:instrText>"</w:instrText>
      </w:r>
      <w:r>
        <w:rPr>
          <w:rStyle w:val="indexentry"/>
        </w:rPr>
        <w:fldChar w:fldCharType="end"/>
      </w:r>
      <w:r>
        <w:rPr>
          <w:rStyle w:val="htmlcodes"/>
        </w:rPr>
        <w:t>&lt;pre&gt;&lt;a name=e2d5&gt;</w:t>
      </w:r>
      <w:r>
        <w:t>2.5)</w:t>
      </w:r>
      <w:r>
        <w:tab/>
        <w:t>da zo'u da prami da</w:t>
      </w:r>
    </w:p>
    <w:p w:rsidR="00B72047" w:rsidRDefault="00B72047">
      <w:pPr>
        <w:pStyle w:val="examplescaled"/>
      </w:pPr>
      <w:r>
        <w:tab/>
        <w:t>There-is-an-X such that X loves X</w:t>
      </w:r>
    </w:p>
    <w:p w:rsidR="00B72047" w:rsidRDefault="00B72047">
      <w:pPr>
        <w:pStyle w:val="examplescaled"/>
      </w:pPr>
      <w:r>
        <w:tab/>
        <w:t>Somebody loves himself/herself.</w:t>
      </w:r>
    </w:p>
    <w:p w:rsidR="00B72047" w:rsidRDefault="00B72047">
      <w:pPr>
        <w:pStyle w:val="resumedafterexample"/>
      </w:pPr>
      <w:r>
        <w:rPr>
          <w:rStyle w:val="htmlcodes"/>
        </w:rPr>
        <w:t>&lt;/pre&gt;</w:t>
      </w:r>
      <w:r>
        <w:rPr>
          <w:rStyle w:val="indexentry"/>
        </w:rPr>
        <w:t>&lt;cx "da prami da, contrasted with da prami de"&gt;</w:t>
      </w:r>
      <w:r>
        <w:rPr>
          <w:rStyle w:val="indexentry"/>
        </w:rPr>
        <w:fldChar w:fldCharType="begin"/>
      </w:r>
      <w:r>
        <w:instrText>xe "</w:instrText>
      </w:r>
      <w:r>
        <w:rPr>
          <w:rStyle w:val="xeentry"/>
        </w:rPr>
        <w:instrText>da prami da: contrasted with da prami de</w:instrText>
      </w:r>
      <w:r>
        <w:instrText>"</w:instrText>
      </w:r>
      <w:r>
        <w:rPr>
          <w:rStyle w:val="indexentry"/>
        </w:rPr>
        <w:fldChar w:fldCharType="end"/>
      </w:r>
      <w:r>
        <w:rPr>
          <w:rStyle w:val="indexentry"/>
        </w:rPr>
        <w:t>&lt;cx "da prami de, contrasted with da prami da"&gt;</w:t>
      </w:r>
      <w:r>
        <w:rPr>
          <w:rStyle w:val="indexentry"/>
        </w:rPr>
        <w:fldChar w:fldCharType="begin"/>
      </w:r>
      <w:r>
        <w:instrText>xe "</w:instrText>
      </w:r>
      <w:r>
        <w:rPr>
          <w:rStyle w:val="xeentry"/>
        </w:rPr>
        <w:instrText>da prami de: contrasted with da prami da</w:instrText>
      </w:r>
      <w:r>
        <w:instrText>"</w:instrText>
      </w:r>
      <w:r>
        <w:rPr>
          <w:rStyle w:val="indexentry"/>
        </w:rPr>
        <w:fldChar w:fldCharType="end"/>
      </w:r>
      <w:r>
        <w:t xml:space="preserve">What </w:t>
      </w:r>
      <w:r>
        <w:rPr>
          <w:rStyle w:val="htmlcodes"/>
        </w:rPr>
        <w:t>&lt;a href=#e2d5&gt;</w:t>
      </w:r>
      <w:r>
        <w:t xml:space="preserve">Example 2.5 </w:t>
      </w:r>
      <w:r>
        <w:rPr>
          <w:rStyle w:val="htmlcodes"/>
        </w:rPr>
        <w:t>&lt;/a&gt;</w:t>
      </w:r>
      <w:r>
        <w:t xml:space="preserve">claims is fundamentally different from what </w:t>
      </w:r>
      <w:r>
        <w:rPr>
          <w:rStyle w:val="htmlcodes"/>
        </w:rPr>
        <w:t>&lt;a href=#e2d4&gt;</w:t>
      </w:r>
      <w:r>
        <w:t xml:space="preserve">Example 2.4 </w:t>
      </w:r>
      <w:r>
        <w:rPr>
          <w:rStyle w:val="htmlcodes"/>
        </w:rPr>
        <w:t>&lt;/a&gt;</w:t>
      </w:r>
      <w:r>
        <w:t>claims, b</w:t>
      </w:r>
      <w:r>
        <w:t>e</w:t>
      </w:r>
      <w:r>
        <w:softHyphen/>
        <w:t>cause “da prami da” is not structurally the same as “da prami de”.</w:t>
      </w:r>
      <w:r>
        <w:rPr>
          <w:rStyle w:val="deletedparamark"/>
        </w:rPr>
        <w:t xml:space="preserve"> </w:t>
      </w:r>
      <w:r>
        <w:t>However,</w:t>
      </w:r>
    </w:p>
    <w:p w:rsidR="00B72047" w:rsidRDefault="00B72047">
      <w:pPr>
        <w:rPr>
          <w:rStyle w:val="htmlparacode"/>
        </w:rPr>
      </w:pPr>
      <w:r>
        <w:rPr>
          <w:rStyle w:val="htmlparacode"/>
        </w:rPr>
        <w:t>&lt;p&gt;</w:t>
      </w:r>
    </w:p>
    <w:p w:rsidR="00B72047" w:rsidRDefault="00B72047">
      <w:pPr>
        <w:pStyle w:val="examplescaledpre"/>
      </w:pPr>
      <w:r>
        <w:rPr>
          <w:rStyle w:val="indexentry"/>
        </w:rPr>
        <w:t>&lt;cx "logical variables, effect of global substitution"&gt;</w:t>
      </w:r>
      <w:r>
        <w:rPr>
          <w:rStyle w:val="indexentry"/>
        </w:rPr>
        <w:fldChar w:fldCharType="begin"/>
      </w:r>
      <w:r>
        <w:instrText>xe "</w:instrText>
      </w:r>
      <w:r>
        <w:rPr>
          <w:rStyle w:val="xeentry"/>
        </w:rPr>
        <w:instrText>logical variables: effect of global substitution</w:instrText>
      </w:r>
      <w:r>
        <w:instrText>"</w:instrText>
      </w:r>
      <w:r>
        <w:rPr>
          <w:rStyle w:val="indexentry"/>
        </w:rPr>
        <w:fldChar w:fldCharType="end"/>
      </w:r>
      <w:r>
        <w:rPr>
          <w:rStyle w:val="htmlcodes"/>
        </w:rPr>
        <w:t>&lt;pre&gt;&lt;a name=e2d6&gt;</w:t>
      </w:r>
      <w:r>
        <w:t>2.6)</w:t>
      </w:r>
      <w:r>
        <w:tab/>
        <w:t>de zo'u de prami de</w:t>
      </w:r>
    </w:p>
    <w:p w:rsidR="00B72047" w:rsidRDefault="00B72047">
      <w:pPr>
        <w:pStyle w:val="examplescaled"/>
      </w:pPr>
      <w:r>
        <w:tab/>
        <w:t>There-is-a-Y such that Y loves Y</w:t>
      </w:r>
    </w:p>
    <w:p w:rsidR="00B72047" w:rsidRDefault="00B72047">
      <w:pPr>
        <w:pStyle w:val="resumedafterexample"/>
      </w:pPr>
      <w:r>
        <w:rPr>
          <w:rStyle w:val="htmlcodes"/>
        </w:rPr>
        <w:t>&lt;/pre&gt;</w:t>
      </w:r>
      <w:r>
        <w:t xml:space="preserve">means exactly the same thing as </w:t>
      </w:r>
      <w:r>
        <w:rPr>
          <w:rStyle w:val="htmlcodes"/>
        </w:rPr>
        <w:t>&lt;a href=#e2d5&gt;</w:t>
      </w:r>
      <w:r>
        <w:t>Example 2.5</w:t>
      </w:r>
      <w:r>
        <w:rPr>
          <w:rStyle w:val="htmlcodes"/>
        </w:rPr>
        <w:t>&lt;/a&gt;</w:t>
      </w:r>
      <w:r>
        <w:t>; it does not matter which</w:t>
      </w:r>
      <w:r>
        <w:rPr>
          <w:rStyle w:val="deletedparamark"/>
        </w:rPr>
        <w:t xml:space="preserve"> </w:t>
      </w:r>
      <w:r>
        <w:t>variable is used as long as they are used consistently.</w:t>
      </w:r>
    </w:p>
    <w:p w:rsidR="00B72047" w:rsidRDefault="00B72047">
      <w:pPr>
        <w:rPr>
          <w:rStyle w:val="htmlparacode"/>
        </w:rPr>
      </w:pPr>
      <w:r>
        <w:rPr>
          <w:rStyle w:val="htmlparacode"/>
        </w:rPr>
        <w:t>&lt;p&gt;</w:t>
      </w:r>
    </w:p>
    <w:p w:rsidR="00B72047" w:rsidRDefault="00B72047">
      <w:pPr>
        <w:pStyle w:val="normalparagraph"/>
      </w:pPr>
      <w:r>
        <w:t>It is not necessary for a variable to be a sumti of the main bridi</w:t>
      </w:r>
      <w:r>
        <w:rPr>
          <w:rStyle w:val="deletedparamark"/>
        </w:rPr>
        <w:t xml:space="preserve"> </w:t>
      </w:r>
      <w:r>
        <w:t>directly:</w:t>
      </w:r>
    </w:p>
    <w:p w:rsidR="00B72047" w:rsidRDefault="00B72047">
      <w:pPr>
        <w:rPr>
          <w:rStyle w:val="htmlparacode"/>
        </w:rPr>
      </w:pPr>
      <w:r>
        <w:rPr>
          <w:rStyle w:val="htmlparacode"/>
        </w:rPr>
        <w:t>&lt;p&gt;</w:t>
      </w:r>
    </w:p>
    <w:p w:rsidR="00B72047" w:rsidRDefault="00B72047">
      <w:pPr>
        <w:pStyle w:val="examplescaledpre"/>
      </w:pPr>
      <w:r>
        <w:rPr>
          <w:rStyle w:val="indexentry"/>
        </w:rPr>
        <w:t>&lt;ex "somebody's dog"&gt;</w:t>
      </w:r>
      <w:r>
        <w:rPr>
          <w:rStyle w:val="indexentry"/>
        </w:rPr>
        <w:fldChar w:fldCharType="begin"/>
      </w:r>
      <w:r>
        <w:instrText>xe "</w:instrText>
      </w:r>
      <w:r>
        <w:rPr>
          <w:rStyle w:val="xeentry"/>
        </w:rPr>
        <w:instrText>somebody's dog: example</w:instrText>
      </w:r>
      <w:r>
        <w:instrText>"</w:instrText>
      </w:r>
      <w:r>
        <w:rPr>
          <w:rStyle w:val="indexentry"/>
        </w:rPr>
        <w:fldChar w:fldCharType="end"/>
      </w:r>
      <w:r>
        <w:rPr>
          <w:rStyle w:val="htmlcodes"/>
        </w:rPr>
        <w:t>&lt;pre&gt;&lt;a name=e2d7&gt;</w:t>
      </w:r>
      <w:r>
        <w:t>2.7)</w:t>
      </w:r>
      <w:r>
        <w:tab/>
        <w:t>da zo'u le da gerku cu viska mi</w:t>
      </w:r>
    </w:p>
    <w:p w:rsidR="00B72047" w:rsidRDefault="00B72047">
      <w:pPr>
        <w:pStyle w:val="examplescaled"/>
      </w:pPr>
      <w:r>
        <w:tab/>
        <w:t>There-is-an-X such-that the of-X dog sees me</w:t>
      </w:r>
    </w:p>
    <w:p w:rsidR="00B72047" w:rsidRDefault="00B72047">
      <w:pPr>
        <w:pStyle w:val="examplescaled"/>
      </w:pPr>
      <w:r>
        <w:tab/>
        <w:t>Somebody's dog sees me</w:t>
      </w:r>
    </w:p>
    <w:p w:rsidR="00B72047" w:rsidRDefault="00B72047">
      <w:pPr>
        <w:pStyle w:val="resumedafterexample"/>
      </w:pPr>
      <w:r>
        <w:rPr>
          <w:rStyle w:val="htmlcodes"/>
        </w:rPr>
        <w:t>&lt;/pre&gt;</w:t>
      </w:r>
      <w:r>
        <w:t>is perfectly correct even though the “da” is used only in a possessive</w:t>
      </w:r>
      <w:r>
        <w:rPr>
          <w:rStyle w:val="deletedparamark"/>
        </w:rPr>
        <w:t xml:space="preserve"> </w:t>
      </w:r>
      <w:r>
        <w:t xml:space="preserve">construction. (Possessives are explained in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"logical variable, when not in main bridi"&gt;</w:t>
      </w:r>
      <w:r>
        <w:rPr>
          <w:rStyle w:val="indexentry"/>
        </w:rPr>
        <w:fldChar w:fldCharType="begin"/>
      </w:r>
      <w:r>
        <w:instrText>xe "</w:instrText>
      </w:r>
      <w:r>
        <w:rPr>
          <w:rStyle w:val="xeentry"/>
        </w:rPr>
        <w:instrText>logical variables: when not in main bridi</w:instrText>
      </w:r>
      <w:r>
        <w:instrText>"</w:instrText>
      </w:r>
      <w:r>
        <w:rPr>
          <w:rStyle w:val="indexentry"/>
        </w:rPr>
        <w:fldChar w:fldCharType="end"/>
      </w:r>
      <w:r>
        <w:t>It is very peculiar, however, even if technically grammatical, for the</w:t>
      </w:r>
      <w:r>
        <w:rPr>
          <w:rStyle w:val="deletedparamark"/>
        </w:rPr>
        <w:t xml:space="preserve"> </w:t>
      </w:r>
      <w:r>
        <w:t>variable not to appear in the main bridi at all:</w:t>
      </w:r>
    </w:p>
    <w:p w:rsidR="00B72047" w:rsidRDefault="00B72047">
      <w:pPr>
        <w:rPr>
          <w:rStyle w:val="htmlparacode"/>
        </w:rPr>
      </w:pPr>
      <w:r>
        <w:rPr>
          <w:rStyle w:val="htmlparacode"/>
        </w:rPr>
        <w:t>&lt;p&gt;</w:t>
      </w:r>
    </w:p>
    <w:p w:rsidR="00B72047" w:rsidRDefault="00B72047">
      <w:pPr>
        <w:pStyle w:val="examplescaledpre"/>
      </w:pPr>
      <w:r>
        <w:rPr>
          <w:rStyle w:val="indexentry"/>
        </w:rPr>
        <w:t>&lt;ex "Ralph"&gt;</w:t>
      </w:r>
      <w:r>
        <w:rPr>
          <w:rStyle w:val="indexentry"/>
        </w:rPr>
        <w:fldChar w:fldCharType="begin"/>
      </w:r>
      <w:r>
        <w:instrText>xe "</w:instrText>
      </w:r>
      <w:r>
        <w:rPr>
          <w:rStyle w:val="xeentry"/>
        </w:rPr>
        <w:instrText>Ralph: example</w:instrText>
      </w:r>
      <w:r>
        <w:instrText>"</w:instrText>
      </w:r>
      <w:r>
        <w:rPr>
          <w:rStyle w:val="indexentry"/>
        </w:rPr>
        <w:fldChar w:fldCharType="end"/>
      </w:r>
      <w:r>
        <w:rPr>
          <w:rStyle w:val="htmlcodes"/>
        </w:rPr>
        <w:t>&lt;pre&gt;&lt;a name=e2d8&gt;</w:t>
      </w:r>
      <w:r>
        <w:t>2.8)</w:t>
      </w:r>
      <w:r>
        <w:tab/>
        <w:t>da zo'u la ralf. gerku</w:t>
      </w:r>
    </w:p>
    <w:p w:rsidR="00B72047" w:rsidRDefault="00B72047">
      <w:pPr>
        <w:pStyle w:val="examplescaled"/>
      </w:pPr>
      <w:r>
        <w:tab/>
        <w:t>There is something such that Ralph is a dog.</w:t>
      </w:r>
    </w:p>
    <w:p w:rsidR="00B72047" w:rsidRDefault="00B72047">
      <w:pPr>
        <w:pStyle w:val="resumedafterexample"/>
      </w:pPr>
      <w:r>
        <w:rPr>
          <w:rStyle w:val="htmlcodes"/>
        </w:rPr>
        <w:t>&lt;/pre&gt;</w:t>
      </w:r>
      <w:r>
        <w:t>has a variable bound in a prenex whose relevance to the claim</w:t>
      </w:r>
      <w:r>
        <w:rPr>
          <w:rStyle w:val="deletedparamark"/>
        </w:rPr>
        <w:t xml:space="preserve"> </w:t>
      </w:r>
      <w:r>
        <w:t>of the following bridi is completely unspecified.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457" w:name="_Toc398970696"/>
      <w:r>
        <w:rPr>
          <w:rStyle w:val="Heading3Text"/>
        </w:rPr>
        <w:t>Universal claims</w:t>
      </w:r>
      <w:bookmarkEnd w:id="457"/>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What happens if we substitute “everything” for “something” in </w:t>
      </w:r>
      <w:r>
        <w:rPr>
          <w:rStyle w:val="htmlcodes"/>
        </w:rPr>
        <w:t>&lt;a href=#e2d1&gt;</w:t>
      </w:r>
      <w:r>
        <w:t>Example 2.1</w:t>
      </w:r>
      <w:r>
        <w:rPr>
          <w:rStyle w:val="htmlcodes"/>
        </w:rPr>
        <w:t>&lt;/a&gt;</w:t>
      </w:r>
      <w:r>
        <w:t>?</w:t>
      </w:r>
      <w:r>
        <w:rPr>
          <w:rStyle w:val="deletedparamark"/>
        </w:rPr>
        <w:t xml:space="preserve"> </w:t>
      </w:r>
      <w:r>
        <w:t>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Everything sees me.</w:t>
      </w:r>
    </w:p>
    <w:p w:rsidR="00B72047" w:rsidRDefault="00B72047">
      <w:pPr>
        <w:pStyle w:val="resumedafterexample"/>
      </w:pPr>
      <w:r>
        <w:rPr>
          <w:rStyle w:val="htmlcodes"/>
        </w:rPr>
        <w:t>&lt;/pre&gt;</w:t>
      </w:r>
      <w:r>
        <w:rPr>
          <w:rStyle w:val="indexentry"/>
        </w:rPr>
        <w:t>&lt;cx "universal claims, explanation"&gt;</w:t>
      </w:r>
      <w:r>
        <w:rPr>
          <w:rStyle w:val="indexentry"/>
        </w:rPr>
        <w:fldChar w:fldCharType="begin"/>
      </w:r>
      <w:r>
        <w:instrText>xe "</w:instrText>
      </w:r>
      <w:r>
        <w:rPr>
          <w:rStyle w:val="xeentry"/>
        </w:rPr>
        <w:instrText>universal claims: explanation</w:instrText>
      </w:r>
      <w:r>
        <w:instrText>"</w:instrText>
      </w:r>
      <w:r>
        <w:rPr>
          <w:rStyle w:val="indexentry"/>
        </w:rPr>
        <w:fldChar w:fldCharType="end"/>
      </w:r>
      <w:r>
        <w:t>Of course, this example is false, because there are many things which</w:t>
      </w:r>
      <w:r>
        <w:rPr>
          <w:rStyle w:val="deletedparamark"/>
        </w:rPr>
        <w:t xml:space="preserve"> </w:t>
      </w:r>
      <w:r>
        <w:t>do not see the speaker. It is not easy to find simple truthful examples of</w:t>
      </w:r>
      <w:r>
        <w:rPr>
          <w:rStyle w:val="deletedparamark"/>
        </w:rPr>
        <w:t xml:space="preserve"> </w:t>
      </w:r>
      <w:r>
        <w:t>so-called universal claims (those which are about everything), so bear</w:t>
      </w:r>
      <w:r>
        <w:rPr>
          <w:rStyle w:val="deletedparamark"/>
        </w:rPr>
        <w:t xml:space="preserve"> </w:t>
      </w:r>
      <w:r>
        <w:t>with us for a while. (Indeed, some Lojban</w:t>
      </w:r>
      <w:r>
        <w:softHyphen/>
        <w:t>ists tend to avoid universal</w:t>
      </w:r>
      <w:r>
        <w:rPr>
          <w:rStyle w:val="deletedparamark"/>
        </w:rPr>
        <w:t xml:space="preserve"> </w:t>
      </w:r>
      <w:r>
        <w:t>claims even in other languages, since they are so rarely true in Lojban.)</w:t>
      </w:r>
    </w:p>
    <w:p w:rsidR="00B72047" w:rsidRDefault="00B72047">
      <w:pPr>
        <w:rPr>
          <w:rStyle w:val="htmlparacode"/>
        </w:rPr>
      </w:pPr>
      <w:r>
        <w:rPr>
          <w:rStyle w:val="htmlparacode"/>
        </w:rPr>
        <w:t>&lt;p&gt;</w:t>
      </w:r>
    </w:p>
    <w:p w:rsidR="00B72047" w:rsidRDefault="00B72047">
      <w:pPr>
        <w:pStyle w:val="normalparagraph"/>
      </w:pPr>
      <w:r>
        <w:t xml:space="preserve">The Lojban translation of </w:t>
      </w:r>
      <w:r>
        <w:rPr>
          <w:rStyle w:val="htmlcodes"/>
        </w:rPr>
        <w:t>&lt;a href=#e3d1&gt;</w:t>
      </w:r>
      <w:r>
        <w:t xml:space="preserve">Example 3.1 </w:t>
      </w:r>
      <w:r>
        <w:rPr>
          <w:rStyle w:val="htmlcodes"/>
        </w:rPr>
        <w:t>&lt;/a&gt;</w:t>
      </w:r>
      <w:r>
        <w:t>is</w:t>
      </w:r>
    </w:p>
    <w:p w:rsidR="00B72047" w:rsidRDefault="00B72047">
      <w:pPr>
        <w:pStyle w:val="examplescaledpre"/>
      </w:pPr>
      <w:r>
        <w:rPr>
          <w:rStyle w:val="deletedparamark"/>
        </w:rPr>
        <w:t xml:space="preserve"> </w:t>
      </w:r>
      <w:r>
        <w:rPr>
          <w:rStyle w:val="indexentry"/>
        </w:rPr>
        <w:t>&lt;ex "everything sees me"&gt;</w:t>
      </w:r>
      <w:r>
        <w:rPr>
          <w:rStyle w:val="indexentry"/>
        </w:rPr>
        <w:fldChar w:fldCharType="begin"/>
      </w:r>
      <w:r>
        <w:instrText>xe "</w:instrText>
      </w:r>
      <w:r>
        <w:rPr>
          <w:rStyle w:val="xeentry"/>
        </w:rPr>
        <w:instrText>everything sees me: example</w:instrText>
      </w:r>
      <w:r>
        <w:instrText>"</w:instrText>
      </w:r>
      <w:r>
        <w:rPr>
          <w:rStyle w:val="indexentry"/>
        </w:rPr>
        <w:fldChar w:fldCharType="end"/>
      </w:r>
      <w:r>
        <w:rPr>
          <w:rStyle w:val="htmlcodes"/>
        </w:rPr>
        <w:t>&lt;pre&gt;&lt;a name=e3d2&gt;</w:t>
      </w:r>
      <w:r>
        <w:t>3.2)</w:t>
      </w:r>
      <w:r>
        <w:tab/>
        <w:t>ro da zo'u da viska mi</w:t>
      </w:r>
    </w:p>
    <w:p w:rsidR="00B72047" w:rsidRDefault="00B72047">
      <w:pPr>
        <w:pStyle w:val="examplescaled"/>
      </w:pPr>
      <w:r>
        <w:tab/>
        <w:t>For-every X :  X sees me.</w:t>
      </w:r>
    </w:p>
    <w:p w:rsidR="00B72047" w:rsidRDefault="00B72047">
      <w:pPr>
        <w:pStyle w:val="resumedafterexample"/>
      </w:pPr>
      <w:r>
        <w:rPr>
          <w:rStyle w:val="htmlcodes"/>
        </w:rPr>
        <w:t>&lt;/pre&gt;</w:t>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rPr>
          <w:rStyle w:val="indexentry"/>
        </w:rPr>
        <w:t>&lt;lx "ro da"&gt;</w:t>
      </w:r>
      <w:r>
        <w:rPr>
          <w:rStyle w:val="indexentry"/>
        </w:rPr>
        <w:fldChar w:fldCharType="begin"/>
      </w:r>
      <w:r>
        <w:instrText>xe "</w:instrText>
      </w:r>
      <w:r>
        <w:rPr>
          <w:rStyle w:val="xeentry"/>
        </w:rPr>
        <w:instrText>ro da</w:instrText>
      </w:r>
      <w:r>
        <w:instrText>"</w:instrText>
      </w:r>
      <w:r>
        <w:rPr>
          <w:rStyle w:val="indexentry"/>
        </w:rPr>
        <w:fldChar w:fldCharType="end"/>
      </w:r>
      <w:r>
        <w:rPr>
          <w:rStyle w:val="indexentry"/>
        </w:rPr>
        <w:t>&lt;cx "everything, expressing with “ro da”"&gt;</w:t>
      </w:r>
      <w:r>
        <w:rPr>
          <w:rStyle w:val="indexentry"/>
        </w:rPr>
        <w:fldChar w:fldCharType="begin"/>
      </w:r>
      <w:r>
        <w:instrText>xe "</w:instrText>
      </w:r>
      <w:r>
        <w:rPr>
          <w:rStyle w:val="xeentry"/>
        </w:rPr>
        <w:instrText>everything: expressing with ro da</w:instrText>
      </w:r>
      <w:r>
        <w:instrText>"</w:instrText>
      </w:r>
      <w:r>
        <w:rPr>
          <w:rStyle w:val="indexentry"/>
        </w:rPr>
        <w:fldChar w:fldCharType="end"/>
      </w:r>
      <w:r>
        <w:t>When the variable cmavo “da” is preceded by “ro”, the combination means</w:t>
      </w:r>
      <w:r>
        <w:rPr>
          <w:rStyle w:val="deletedparamark"/>
        </w:rPr>
        <w:t xml:space="preserve"> “</w:t>
      </w:r>
      <w:r>
        <w:t>For every X” rather than “There is an X”. Superficially, these</w:t>
      </w:r>
      <w:r>
        <w:rPr>
          <w:rStyle w:val="deletedparamark"/>
        </w:rPr>
        <w:t xml:space="preserve"> </w:t>
      </w:r>
      <w:r>
        <w:t>English formulations look totally unr</w:t>
      </w:r>
      <w:r>
        <w:t>e</w:t>
      </w:r>
      <w:r>
        <w:softHyphen/>
        <w:t xml:space="preserve">lated: </w:t>
      </w:r>
      <w:r>
        <w:rPr>
          <w:rStyle w:val="htmlcodes"/>
        </w:rPr>
        <w:t>&lt;a href=#s6&gt;</w:t>
      </w:r>
      <w:r>
        <w:t xml:space="preserve">Section 6 </w:t>
      </w:r>
      <w:r>
        <w:rPr>
          <w:rStyle w:val="htmlcodes"/>
        </w:rPr>
        <w:t>&lt;/a&gt;</w:t>
      </w:r>
      <w:r>
        <w:t>will bring them</w:t>
      </w:r>
      <w:r>
        <w:rPr>
          <w:rStyle w:val="deletedparamark"/>
        </w:rPr>
        <w:t xml:space="preserve"> </w:t>
      </w:r>
      <w:r>
        <w:t>within a common viewpoint. For the moment, ac</w:t>
      </w:r>
      <w:r>
        <w:softHyphen/>
        <w:t>cept the use of “ro da”</w:t>
      </w:r>
      <w:r>
        <w:rPr>
          <w:rStyle w:val="deletedparamark"/>
        </w:rPr>
        <w:t xml:space="preserve"> </w:t>
      </w:r>
      <w:r>
        <w:t>for “everything” on faith.</w:t>
      </w:r>
    </w:p>
    <w:p w:rsidR="00B72047" w:rsidRDefault="00B72047">
      <w:pPr>
        <w:rPr>
          <w:rStyle w:val="htmlparacode"/>
        </w:rPr>
      </w:pPr>
      <w:r>
        <w:rPr>
          <w:rStyle w:val="htmlparacode"/>
        </w:rPr>
        <w:t>&lt;p&gt;</w:t>
      </w:r>
    </w:p>
    <w:p w:rsidR="00B72047" w:rsidRDefault="00B72047">
      <w:pPr>
        <w:pStyle w:val="normalparagraph"/>
      </w:pPr>
      <w:r>
        <w:t>Here is a universal claim with two variables:</w:t>
      </w:r>
    </w:p>
    <w:p w:rsidR="00B72047" w:rsidRDefault="00B72047">
      <w:pPr>
        <w:rPr>
          <w:rStyle w:val="htmlparacode"/>
        </w:rPr>
      </w:pPr>
      <w:r>
        <w:rPr>
          <w:rStyle w:val="htmlparacode"/>
        </w:rPr>
        <w:t>&lt;p&gt;</w:t>
      </w:r>
    </w:p>
    <w:p w:rsidR="00B72047" w:rsidRDefault="00B72047">
      <w:pPr>
        <w:pStyle w:val="examplescaledpre"/>
      </w:pPr>
      <w:r>
        <w:rPr>
          <w:rStyle w:val="indexentry"/>
        </w:rPr>
        <w:t>&lt;ex "everything loves everything"&gt;</w:t>
      </w:r>
      <w:r>
        <w:rPr>
          <w:rStyle w:val="indexentry"/>
        </w:rPr>
        <w:fldChar w:fldCharType="begin"/>
      </w:r>
      <w:r>
        <w:instrText>xe "</w:instrText>
      </w:r>
      <w:r>
        <w:rPr>
          <w:rStyle w:val="xeentry"/>
        </w:rPr>
        <w:instrText>everything loves everything: example</w:instrText>
      </w:r>
      <w:r>
        <w:instrText>"</w:instrText>
      </w:r>
      <w:r>
        <w:rPr>
          <w:rStyle w:val="indexentry"/>
        </w:rPr>
        <w:fldChar w:fldCharType="end"/>
      </w:r>
      <w:r>
        <w:rPr>
          <w:rStyle w:val="htmlcodes"/>
        </w:rPr>
        <w:t>&lt;pre&gt;&lt;a name=e3d3&gt;</w:t>
      </w:r>
      <w:r>
        <w:t>3.3)</w:t>
      </w:r>
      <w:r>
        <w:tab/>
        <w:t>ro da ro de zo'u da prami de</w:t>
      </w:r>
    </w:p>
    <w:p w:rsidR="00B72047" w:rsidRDefault="00B72047">
      <w:pPr>
        <w:pStyle w:val="examplescaled"/>
      </w:pPr>
      <w:r>
        <w:tab/>
        <w:t>For-every X, for-every Y :  X loves Y.</w:t>
      </w:r>
    </w:p>
    <w:p w:rsidR="00B72047" w:rsidRDefault="00B72047">
      <w:pPr>
        <w:pStyle w:val="examplescaled"/>
      </w:pPr>
      <w:r>
        <w:tab/>
        <w:t>Everything loves everything.</w:t>
      </w:r>
    </w:p>
    <w:p w:rsidR="00B72047" w:rsidRDefault="00B72047">
      <w:pPr>
        <w:pStyle w:val="resumedafterexample"/>
      </w:pPr>
      <w:r>
        <w:rPr>
          <w:rStyle w:val="htmlcodes"/>
        </w:rPr>
        <w:t>&lt;/pre&gt;&lt;p&gt;</w:t>
      </w:r>
      <w:r>
        <w:t xml:space="preserve">Again, X and Y can represent the same thing, so </w:t>
      </w:r>
      <w:r>
        <w:rPr>
          <w:rStyle w:val="htmlcodes"/>
        </w:rPr>
        <w:t>&lt;a href=#e3d3&gt;</w:t>
      </w:r>
      <w:r>
        <w:t xml:space="preserve">Example 3.3 </w:t>
      </w:r>
      <w:r>
        <w:rPr>
          <w:rStyle w:val="htmlcodes"/>
        </w:rPr>
        <w:t>&lt;/a&gt;</w:t>
      </w:r>
      <w:r>
        <w:t>does not mean</w:t>
      </w:r>
      <w:r>
        <w:rPr>
          <w:rStyle w:val="deletedparamark"/>
        </w:rPr>
        <w:t xml:space="preserve"> “</w:t>
      </w:r>
      <w:r>
        <w:t>Everything loves everything else.” Furthermore, because the claim is</w:t>
      </w:r>
      <w:r>
        <w:rPr>
          <w:rStyle w:val="deletedparamark"/>
        </w:rPr>
        <w:t xml:space="preserve"> </w:t>
      </w:r>
      <w:r>
        <w:t>universal, it is about every thing, not merely every person, so we cannot</w:t>
      </w:r>
      <w:r>
        <w:rPr>
          <w:rStyle w:val="deletedparamark"/>
        </w:rPr>
        <w:t xml:space="preserve"> </w:t>
      </w:r>
      <w:r>
        <w:t>use “everyone” or “everybody” in the translation.</w:t>
      </w:r>
    </w:p>
    <w:p w:rsidR="00B72047" w:rsidRDefault="00B72047">
      <w:pPr>
        <w:rPr>
          <w:rStyle w:val="htmlparacode"/>
        </w:rPr>
      </w:pPr>
      <w:r>
        <w:rPr>
          <w:rStyle w:val="htmlparacode"/>
        </w:rPr>
        <w:t>&lt;p&gt;</w:t>
      </w:r>
    </w:p>
    <w:p w:rsidR="00B72047" w:rsidRDefault="00B72047">
      <w:pPr>
        <w:pStyle w:val="normalparagraph"/>
      </w:pPr>
      <w:r>
        <w:rPr>
          <w:rStyle w:val="indexentry"/>
        </w:rPr>
        <w:t>&lt;cx "mixed claim, definition"&gt;</w:t>
      </w:r>
      <w:r>
        <w:rPr>
          <w:rStyle w:val="indexentry"/>
        </w:rPr>
        <w:fldChar w:fldCharType="begin"/>
      </w:r>
      <w:r>
        <w:instrText>xe "</w:instrText>
      </w:r>
      <w:r>
        <w:rPr>
          <w:rStyle w:val="xeentry"/>
        </w:rPr>
        <w:instrText>mixed claim: definition</w:instrText>
      </w:r>
      <w:r>
        <w:instrText>"</w:instrText>
      </w:r>
      <w:r>
        <w:rPr>
          <w:rStyle w:val="indexentry"/>
        </w:rPr>
        <w:fldChar w:fldCharType="end"/>
      </w:r>
      <w:r>
        <w:rPr>
          <w:rStyle w:val="indexentry"/>
        </w:rPr>
        <w:t>&lt;cx "existential, mixed claim with universal"&gt;</w:t>
      </w:r>
      <w:r>
        <w:rPr>
          <w:rStyle w:val="indexentry"/>
        </w:rPr>
        <w:fldChar w:fldCharType="begin"/>
      </w:r>
      <w:r>
        <w:instrText>xe "</w:instrText>
      </w:r>
      <w:r>
        <w:rPr>
          <w:rStyle w:val="xeentry"/>
        </w:rPr>
        <w:instrText>existential: mixed claim with universal</w:instrText>
      </w:r>
      <w:r>
        <w:instrText>"</w:instrText>
      </w:r>
      <w:r>
        <w:rPr>
          <w:rStyle w:val="indexentry"/>
        </w:rPr>
        <w:fldChar w:fldCharType="end"/>
      </w:r>
      <w:r>
        <w:rPr>
          <w:rStyle w:val="indexentry"/>
        </w:rPr>
        <w:t>&lt;cx "universal, mixed claim with existential"&gt;</w:t>
      </w:r>
      <w:r>
        <w:rPr>
          <w:rStyle w:val="indexentry"/>
        </w:rPr>
        <w:fldChar w:fldCharType="begin"/>
      </w:r>
      <w:r>
        <w:instrText>xe "</w:instrText>
      </w:r>
      <w:r>
        <w:rPr>
          <w:rStyle w:val="xeentry"/>
        </w:rPr>
        <w:instrText>universal: mixed claim with existential</w:instrText>
      </w:r>
      <w:r>
        <w:instrText>"</w:instrText>
      </w:r>
      <w:r>
        <w:rPr>
          <w:rStyle w:val="indexentry"/>
        </w:rPr>
        <w:fldChar w:fldCharType="end"/>
      </w:r>
      <w:r>
        <w:t>Note that “ro” appears before both “da” and “de”. If “ro” is omitted before</w:t>
      </w:r>
      <w:r>
        <w:rPr>
          <w:rStyle w:val="deletedparamark"/>
        </w:rPr>
        <w:t xml:space="preserve"> </w:t>
      </w:r>
      <w:r>
        <w:t>ei</w:t>
      </w:r>
      <w:r>
        <w:softHyphen/>
        <w:t>ther variable, we get a mixed claim, partly existential like those of</w:t>
      </w:r>
      <w:r>
        <w:rPr>
          <w:rStyle w:val="deletedparamark"/>
        </w:rPr>
        <w:t xml:space="preserve"> </w:t>
      </w:r>
      <w:r>
        <w:rPr>
          <w:rStyle w:val="htmlcodes"/>
        </w:rPr>
        <w:t>&lt;a href=#s2&gt;</w:t>
      </w:r>
      <w:r>
        <w:t>Section 2</w:t>
      </w:r>
      <w:r>
        <w:rPr>
          <w:rStyle w:val="htmlcodes"/>
        </w:rPr>
        <w:t>&lt;/a&gt;</w:t>
      </w:r>
      <w:r>
        <w:t>, partly universal.</w:t>
      </w:r>
    </w:p>
    <w:p w:rsidR="00B72047" w:rsidRDefault="00B72047">
      <w:pPr>
        <w:rPr>
          <w:rStyle w:val="htmlparacode"/>
        </w:rPr>
      </w:pPr>
      <w:r>
        <w:rPr>
          <w:rStyle w:val="htmlparacode"/>
        </w:rPr>
        <w:t>&lt;p&gt;</w:t>
      </w:r>
    </w:p>
    <w:p w:rsidR="00B72047" w:rsidRDefault="00B72047">
      <w:pPr>
        <w:pStyle w:val="examplescaledpre"/>
      </w:pPr>
      <w:r>
        <w:rPr>
          <w:rStyle w:val="indexentry"/>
        </w:rPr>
        <w:t>&lt;ex "everything sees something"&gt;</w:t>
      </w:r>
      <w:r>
        <w:rPr>
          <w:rStyle w:val="indexentry"/>
        </w:rPr>
        <w:fldChar w:fldCharType="begin"/>
      </w:r>
      <w:r>
        <w:instrText>xe "</w:instrText>
      </w:r>
      <w:r>
        <w:rPr>
          <w:rStyle w:val="xeentry"/>
        </w:rPr>
        <w:instrText>everything sees something: example</w:instrText>
      </w:r>
      <w:r>
        <w:instrText>"</w:instrText>
      </w:r>
      <w:r>
        <w:rPr>
          <w:rStyle w:val="indexentry"/>
        </w:rPr>
        <w:fldChar w:fldCharType="end"/>
      </w:r>
      <w:r>
        <w:rPr>
          <w:rStyle w:val="htmlcodes"/>
        </w:rPr>
        <w:t>&lt;pre&gt;&lt;a name=e3d4&gt;</w:t>
      </w:r>
      <w:r>
        <w:t>3.4)</w:t>
      </w:r>
      <w:r>
        <w:tab/>
        <w:t>ro da de zo'u da viska de</w:t>
      </w:r>
    </w:p>
    <w:p w:rsidR="00B72047" w:rsidRDefault="00B72047">
      <w:pPr>
        <w:pStyle w:val="examplescaled"/>
      </w:pPr>
      <w:r>
        <w:tab/>
        <w:t>For-every X, there-is-a-Y :  X sees Y.</w:t>
      </w:r>
    </w:p>
    <w:p w:rsidR="00B72047" w:rsidRDefault="00B72047">
      <w:pPr>
        <w:pStyle w:val="examplescaled"/>
      </w:pPr>
      <w:r>
        <w:tab/>
        <w:t>Everything sees something.</w:t>
      </w:r>
    </w:p>
    <w:p w:rsidR="00B72047" w:rsidRDefault="00B72047">
      <w:pPr>
        <w:pStyle w:val="examplescaledpre"/>
      </w:pPr>
      <w:r>
        <w:rPr>
          <w:rStyle w:val="htmlcodes"/>
        </w:rPr>
        <w:t>&lt;/pre&gt;</w:t>
      </w:r>
      <w:r>
        <w:rPr>
          <w:rStyle w:val="indexentry"/>
        </w:rPr>
        <w:t>&lt;ex "something sees everything"&gt;</w:t>
      </w:r>
      <w:r>
        <w:rPr>
          <w:rStyle w:val="indexentry"/>
        </w:rPr>
        <w:fldChar w:fldCharType="begin"/>
      </w:r>
      <w:r>
        <w:instrText>xe "</w:instrText>
      </w:r>
      <w:r>
        <w:rPr>
          <w:rStyle w:val="xeentry"/>
        </w:rPr>
        <w:instrText>something sees everything: example</w:instrText>
      </w:r>
      <w:r>
        <w:instrText>"</w:instrText>
      </w:r>
      <w:r>
        <w:rPr>
          <w:rStyle w:val="indexentry"/>
        </w:rPr>
        <w:fldChar w:fldCharType="end"/>
      </w:r>
      <w:r>
        <w:rPr>
          <w:rStyle w:val="htmlcodes"/>
        </w:rPr>
        <w:t>&lt;pre&gt;&lt;a name=e3d5&gt;</w:t>
      </w:r>
      <w:r>
        <w:t>3.5)</w:t>
      </w:r>
      <w:r>
        <w:tab/>
        <w:t>da ro de zo'u da viska de</w:t>
      </w:r>
    </w:p>
    <w:p w:rsidR="00B72047" w:rsidRDefault="00B72047">
      <w:pPr>
        <w:pStyle w:val="examplescaled"/>
      </w:pPr>
      <w:r>
        <w:tab/>
        <w:t>There-is-an-X such-that-for-every-Y :  X sees Y.</w:t>
      </w:r>
    </w:p>
    <w:p w:rsidR="00B72047" w:rsidRDefault="00B72047">
      <w:pPr>
        <w:pStyle w:val="examplescaled"/>
      </w:pPr>
      <w:r>
        <w:tab/>
        <w:t>Something sees everything.</w:t>
      </w:r>
    </w:p>
    <w:p w:rsidR="00B72047" w:rsidRDefault="00B72047">
      <w:pPr>
        <w:pStyle w:val="resumedafterexample"/>
      </w:pPr>
      <w:r>
        <w:rPr>
          <w:rStyle w:val="htmlcodes"/>
        </w:rPr>
        <w:t>&lt;/pre&gt;</w:t>
      </w:r>
      <w:r>
        <w:rPr>
          <w:rStyle w:val="indexentry"/>
        </w:rPr>
        <w:t>&lt;cx "logical variables, effect of order in prenex"&gt;</w:t>
      </w:r>
      <w:r>
        <w:rPr>
          <w:rStyle w:val="indexentry"/>
        </w:rPr>
        <w:fldChar w:fldCharType="begin"/>
      </w:r>
      <w:r>
        <w:instrText>xe "</w:instrText>
      </w:r>
      <w:r>
        <w:rPr>
          <w:rStyle w:val="xeentry"/>
        </w:rPr>
        <w:instrText>logical variables: effect of order in prenex</w:instrText>
      </w:r>
      <w:r>
        <w:instrText>"</w:instrText>
      </w:r>
      <w:r>
        <w:rPr>
          <w:rStyle w:val="indexentry"/>
        </w:rPr>
        <w:fldChar w:fldCharType="end"/>
      </w:r>
      <w:r>
        <w:rPr>
          <w:rStyle w:val="htmlcodes"/>
        </w:rPr>
        <w:t>&lt;a href=#e3d{4}&gt;</w:t>
      </w:r>
      <w:r>
        <w:t xml:space="preserve">Examples 3.4 </w:t>
      </w:r>
      <w:r>
        <w:rPr>
          <w:rStyle w:val="htmlcodes"/>
        </w:rPr>
        <w:t>&lt;/a&gt;</w:t>
      </w:r>
      <w:r>
        <w:t xml:space="preserve">and </w:t>
      </w:r>
      <w:r>
        <w:rPr>
          <w:rStyle w:val="htmlcodes"/>
        </w:rPr>
        <w:t>&lt;a href=#e3d5&gt;</w:t>
      </w:r>
      <w:r>
        <w:t xml:space="preserve">3.5 </w:t>
      </w:r>
      <w:r>
        <w:rPr>
          <w:rStyle w:val="htmlcodes"/>
        </w:rPr>
        <w:t>&lt;/a&gt;</w:t>
      </w:r>
      <w:r>
        <w:t xml:space="preserve">mean completely different things. </w:t>
      </w:r>
      <w:r>
        <w:rPr>
          <w:rStyle w:val="htmlcodes"/>
        </w:rPr>
        <w:t>&lt;a href=#e3d4&gt;</w:t>
      </w:r>
      <w:r>
        <w:t xml:space="preserve">Example 3.4 </w:t>
      </w:r>
      <w:r>
        <w:rPr>
          <w:rStyle w:val="htmlcodes"/>
        </w:rPr>
        <w:t>&lt;/a&gt;</w:t>
      </w:r>
      <w:r>
        <w:t>says that for eve</w:t>
      </w:r>
      <w:r>
        <w:softHyphen/>
        <w:t>rything, there is something which it sees,</w:t>
      </w:r>
      <w:r>
        <w:rPr>
          <w:rStyle w:val="deletedparamark"/>
        </w:rPr>
        <w:t xml:space="preserve"> </w:t>
      </w:r>
      <w:r>
        <w:t xml:space="preserve">not necessarily the same thing seen for every seer. </w:t>
      </w:r>
      <w:r>
        <w:rPr>
          <w:rStyle w:val="htmlcodes"/>
        </w:rPr>
        <w:t>&lt;a href=#e3d5&gt;</w:t>
      </w:r>
      <w:r>
        <w:t>Example 3.5</w:t>
      </w:r>
      <w:r>
        <w:rPr>
          <w:rStyle w:val="htmlcodes"/>
        </w:rPr>
        <w:t>&lt;/a&gt;</w:t>
      </w:r>
      <w:r>
        <w:t>, on the</w:t>
      </w:r>
      <w:r>
        <w:rPr>
          <w:rStyle w:val="deletedparamark"/>
        </w:rPr>
        <w:t xml:space="preserve"> </w:t>
      </w:r>
      <w:r>
        <w:t>other hand, says that there is a particular thing which can see everything</w:t>
      </w:r>
      <w:r>
        <w:rPr>
          <w:rStyle w:val="deletedparamark"/>
        </w:rPr>
        <w:t xml:space="preserve"> </w:t>
      </w:r>
      <w:r>
        <w:t>that there is (including itself). Both of these are fairly silly, but they</w:t>
      </w:r>
      <w:r>
        <w:rPr>
          <w:rStyle w:val="deletedparamark"/>
        </w:rPr>
        <w:t xml:space="preserve"> </w:t>
      </w:r>
      <w:r>
        <w:t>are dif</w:t>
      </w:r>
      <w:r>
        <w:softHyphen/>
        <w:t>ferent kinds of silliness.</w:t>
      </w:r>
    </w:p>
    <w:p w:rsidR="00B72047" w:rsidRDefault="00B72047">
      <w:pPr>
        <w:rPr>
          <w:rStyle w:val="htmlparacode"/>
        </w:rPr>
      </w:pPr>
      <w:r>
        <w:rPr>
          <w:rStyle w:val="htmlparacode"/>
        </w:rPr>
        <w:t>&lt;p&gt;</w:t>
      </w:r>
    </w:p>
    <w:p w:rsidR="00B72047" w:rsidRDefault="00B72047">
      <w:pPr>
        <w:pStyle w:val="normalparagraph"/>
      </w:pPr>
      <w:r>
        <w:t>There are various possible translations of universal claims in English:</w:t>
      </w:r>
      <w:r>
        <w:rPr>
          <w:rStyle w:val="deletedparamark"/>
        </w:rPr>
        <w:t xml:space="preserve"> </w:t>
      </w:r>
      <w:r>
        <w:t>some</w:t>
      </w:r>
      <w:r>
        <w:softHyphen/>
        <w:t>times we use “anybody/anything” rather than “everybody/everything”.</w:t>
      </w:r>
      <w:r>
        <w:rPr>
          <w:rStyle w:val="deletedparamark"/>
        </w:rPr>
        <w:t xml:space="preserve"> </w:t>
      </w:r>
      <w:r>
        <w:t>Often it makes no diffe</w:t>
      </w:r>
      <w:r>
        <w:t>r</w:t>
      </w:r>
      <w:r>
        <w:softHyphen/>
        <w:t>ence which of these is used: when it does make</w:t>
      </w:r>
      <w:r>
        <w:rPr>
          <w:rStyle w:val="deletedparamark"/>
        </w:rPr>
        <w:t xml:space="preserve"> </w:t>
      </w:r>
      <w:r>
        <w:t xml:space="preserve">a difference, it is a rather subtle one which is explained in </w:t>
      </w:r>
      <w:r>
        <w:rPr>
          <w:rStyle w:val="htmlcodes"/>
        </w:rPr>
        <w:t>&lt;a href=#s8&gt;</w:t>
      </w:r>
      <w:r>
        <w:t>Section 8</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458" w:name="_Toc398970697"/>
      <w:r>
        <w:rPr>
          <w:rStyle w:val="Heading3Text"/>
        </w:rPr>
        <w:t>Restricted claims: “da poi”</w:t>
      </w:r>
      <w:bookmarkEnd w:id="45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"universal claims, restricting"&gt;</w:t>
      </w:r>
      <w:r>
        <w:rPr>
          <w:rStyle w:val="indexentry"/>
        </w:rPr>
        <w:fldChar w:fldCharType="begin"/>
      </w:r>
      <w:r>
        <w:instrText>xe "</w:instrText>
      </w:r>
      <w:r>
        <w:rPr>
          <w:rStyle w:val="xeentry"/>
        </w:rPr>
        <w:instrText>universal claims: restricting</w:instrText>
      </w:r>
      <w:r>
        <w:instrText>"</w:instrText>
      </w:r>
      <w:r>
        <w:rPr>
          <w:rStyle w:val="indexentry"/>
        </w:rPr>
        <w:fldChar w:fldCharType="end"/>
      </w:r>
      <w:r>
        <w:rPr>
          <w:rStyle w:val="indexentry"/>
        </w:rPr>
        <w:t>&lt;cx "restricted claims, definition"&gt;</w:t>
      </w:r>
      <w:r>
        <w:rPr>
          <w:rStyle w:val="indexentry"/>
        </w:rPr>
        <w:fldChar w:fldCharType="begin"/>
      </w:r>
      <w:r>
        <w:instrText>xe "</w:instrText>
      </w:r>
      <w:r>
        <w:rPr>
          <w:rStyle w:val="xeentry"/>
        </w:rPr>
        <w:instrText>restricted claims: definition</w:instrText>
      </w:r>
      <w:r>
        <w:instrText>"</w:instrText>
      </w:r>
      <w:r>
        <w:rPr>
          <w:rStyle w:val="indexentry"/>
        </w:rPr>
        <w:fldChar w:fldCharType="end"/>
      </w:r>
      <w:r>
        <w:t xml:space="preserve">The universal claims of </w:t>
      </w:r>
      <w:r>
        <w:rPr>
          <w:rStyle w:val="htmlcodes"/>
        </w:rPr>
        <w:t>&lt;a href=#s3&gt;</w:t>
      </w:r>
      <w:r>
        <w:t xml:space="preserve">Section 3 </w:t>
      </w:r>
      <w:r>
        <w:rPr>
          <w:rStyle w:val="htmlcodes"/>
        </w:rPr>
        <w:t>&lt;/a&gt;</w:t>
      </w:r>
      <w:r>
        <w:t>are not only false but absurd: there is</w:t>
      </w:r>
      <w:r>
        <w:rPr>
          <w:rStyle w:val="deletedparamark"/>
        </w:rPr>
        <w:t xml:space="preserve"> </w:t>
      </w:r>
      <w:r>
        <w:t>really very little to be said that is both true and non-trivial about</w:t>
      </w:r>
      <w:r>
        <w:rPr>
          <w:rStyle w:val="deletedparamark"/>
        </w:rPr>
        <w:t xml:space="preserve"> </w:t>
      </w:r>
      <w:r>
        <w:t>every object whatsoever. Furthe</w:t>
      </w:r>
      <w:r>
        <w:t>r</w:t>
      </w:r>
      <w:r>
        <w:softHyphen/>
        <w:t>more, we have been glossing over the</w:t>
      </w:r>
      <w:r>
        <w:rPr>
          <w:rStyle w:val="deletedparamark"/>
        </w:rPr>
        <w:t xml:space="preserve"> </w:t>
      </w:r>
      <w:r>
        <w:t>distinction between “everything” and “everybody” and the other pairs</w:t>
      </w:r>
      <w:r>
        <w:rPr>
          <w:rStyle w:val="deletedparamark"/>
        </w:rPr>
        <w:t xml:space="preserve"> </w:t>
      </w:r>
      <w:r>
        <w:t>ending in “-thing” and “-body”. It is time to bring up the most useful</w:t>
      </w:r>
      <w:r>
        <w:rPr>
          <w:rStyle w:val="deletedparamark"/>
        </w:rPr>
        <w:t xml:space="preserve"> </w:t>
      </w:r>
      <w:r>
        <w:t>feature of Lojban variables: the ability to restrict their ranges.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"relative clauses, use in restricting existential claims"&gt;</w:t>
      </w:r>
      <w:r>
        <w:rPr>
          <w:rStyle w:val="indexentry"/>
        </w:rPr>
        <w:fldChar w:fldCharType="begin"/>
      </w:r>
      <w:r>
        <w:instrText>xe "</w:instrText>
      </w:r>
      <w:r>
        <w:rPr>
          <w:rStyle w:val="xeentry"/>
        </w:rPr>
        <w:instrText>relative clause: use in restricting existential claims</w:instrText>
      </w:r>
      <w:r>
        <w:instrText>"</w:instrText>
      </w:r>
      <w:r>
        <w:rPr>
          <w:rStyle w:val="indexentry"/>
        </w:rPr>
        <w:fldChar w:fldCharType="end"/>
      </w:r>
      <w:r>
        <w:rPr>
          <w:rStyle w:val="indexentry"/>
        </w:rPr>
        <w:t>&lt;cx "existential claims, restricting"&gt;</w:t>
      </w:r>
      <w:r>
        <w:rPr>
          <w:rStyle w:val="indexentry"/>
        </w:rPr>
        <w:fldChar w:fldCharType="begin"/>
      </w:r>
      <w:r>
        <w:instrText>xe "</w:instrText>
      </w:r>
      <w:r>
        <w:rPr>
          <w:rStyle w:val="xeentry"/>
        </w:rPr>
        <w:instrText>existential claims: restricting</w:instrText>
      </w:r>
      <w:r>
        <w:instrText>"</w:instrText>
      </w:r>
      <w:r>
        <w:rPr>
          <w:rStyle w:val="indexentry"/>
        </w:rPr>
        <w:fldChar w:fldCharType="end"/>
      </w:r>
      <w:r>
        <w:rPr>
          <w:rStyle w:val="indexentry"/>
        </w:rPr>
        <w:t>&lt;lx "poi"&gt;</w:t>
      </w:r>
      <w:r>
        <w:rPr>
          <w:rStyle w:val="indexentry"/>
        </w:rPr>
        <w:fldChar w:fldCharType="begin"/>
      </w:r>
      <w:r>
        <w:instrText>xe "</w:instrText>
      </w:r>
      <w:r>
        <w:rPr>
          <w:rStyle w:val="xeentry"/>
        </w:rPr>
        <w:instrText>poi</w:instrText>
      </w:r>
      <w:r>
        <w:instrText>"</w:instrText>
      </w:r>
      <w:r>
        <w:rPr>
          <w:rStyle w:val="indexentry"/>
        </w:rPr>
        <w:fldChar w:fldCharType="end"/>
      </w:r>
      <w:r>
        <w:rPr>
          <w:rStyle w:val="indexentry"/>
        </w:rPr>
        <w:t>&lt;lx "da poi"&gt;</w:t>
      </w:r>
      <w:r>
        <w:rPr>
          <w:rStyle w:val="indexentry"/>
        </w:rPr>
        <w:fldChar w:fldCharType="begin"/>
      </w:r>
      <w:r>
        <w:instrText>xe "</w:instrText>
      </w:r>
      <w:r>
        <w:rPr>
          <w:rStyle w:val="xeentry"/>
        </w:rPr>
        <w:instrText>da poi</w:instrText>
      </w:r>
      <w:r>
        <w:instrText>"</w:instrText>
      </w:r>
      <w:r>
        <w:rPr>
          <w:rStyle w:val="indexentry"/>
        </w:rPr>
        <w:fldChar w:fldCharType="end"/>
      </w:r>
      <w:r>
        <w:rPr>
          <w:rStyle w:val="indexentry"/>
        </w:rPr>
        <w:t>&lt;lx "ku'o"&gt;</w:t>
      </w:r>
      <w:r>
        <w:rPr>
          <w:rStyle w:val="indexentry"/>
        </w:rPr>
        <w:fldChar w:fldCharType="begin"/>
      </w:r>
      <w:r>
        <w:instrText>xe "</w:instrText>
      </w:r>
      <w:r>
        <w:rPr>
          <w:rStyle w:val="xeentry"/>
        </w:rPr>
        <w:instrText>ku'o</w:instrText>
      </w:r>
      <w:r>
        <w:instrText>"</w:instrText>
      </w:r>
      <w:r>
        <w:rPr>
          <w:rStyle w:val="indexentry"/>
        </w:rPr>
        <w:fldChar w:fldCharType="end"/>
      </w:r>
      <w:r>
        <w:rPr>
          <w:rStyle w:val="indexentry"/>
        </w:rPr>
        <w:t>&lt;lx "vau"&gt;</w:t>
      </w:r>
      <w:r>
        <w:rPr>
          <w:rStyle w:val="indexentry"/>
        </w:rPr>
        <w:fldChar w:fldCharType="begin"/>
      </w:r>
      <w:r>
        <w:instrText>xe "</w:instrText>
      </w:r>
      <w:r>
        <w:rPr>
          <w:rStyle w:val="xeentry"/>
        </w:rPr>
        <w:instrText>vau</w:instrText>
      </w:r>
      <w:r>
        <w:instrText>"</w:instrText>
      </w:r>
      <w:r>
        <w:rPr>
          <w:rStyle w:val="indexentry"/>
        </w:rPr>
        <w:fldChar w:fldCharType="end"/>
      </w:r>
      <w:r>
        <w:t>In Lojban, a variable “da”, “de”, or “di” may be followed by a “poi”</w:t>
      </w:r>
      <w:r>
        <w:rPr>
          <w:rStyle w:val="deletedparamark"/>
        </w:rPr>
        <w:t xml:space="preserve"> </w:t>
      </w:r>
      <w:r>
        <w:t>relative clause in order to restrict the range of things that the</w:t>
      </w:r>
      <w:r>
        <w:rPr>
          <w:rStyle w:val="deletedparamark"/>
        </w:rPr>
        <w:t xml:space="preserve"> </w:t>
      </w:r>
      <w:r>
        <w:t>variable describes. Relative clauses are d</w:t>
      </w:r>
      <w:r>
        <w:t>e</w:t>
      </w:r>
      <w:r>
        <w:softHyphen/>
        <w:t xml:space="preserve">scribed in detail in </w:t>
      </w:r>
      <w:r>
        <w:rPr>
          <w:rStyle w:val="htmlcodes"/>
        </w:rPr>
        <w:t>&lt;a href=chap8.html&gt;</w:t>
      </w:r>
      <w:r>
        <w:t>Chapter 8</w:t>
      </w:r>
      <w:r>
        <w:rPr>
          <w:rStyle w:val="htmlcodes"/>
        </w:rPr>
        <w:t>&lt;/a&gt;</w:t>
      </w:r>
      <w:r>
        <w:t>,</w:t>
      </w:r>
      <w:r>
        <w:rPr>
          <w:rStyle w:val="deletedparamark"/>
        </w:rPr>
        <w:t xml:space="preserve"> </w:t>
      </w:r>
      <w:r>
        <w:t>but the kind we will need at present consist of “poi” fo</w:t>
      </w:r>
      <w:r>
        <w:t>l</w:t>
      </w:r>
      <w:r>
        <w:softHyphen/>
        <w:t>lowed by a bridi</w:t>
      </w:r>
      <w:r>
        <w:rPr>
          <w:rStyle w:val="deletedparamark"/>
        </w:rPr>
        <w:t xml:space="preserve"> </w:t>
      </w:r>
      <w:r>
        <w:t>(often just a selbri) terminated with “ku'o” or “vau” (which can usually be</w:t>
      </w:r>
      <w:r>
        <w:rPr>
          <w:rStyle w:val="deletedparamark"/>
        </w:rPr>
        <w:t xml:space="preserve"> </w:t>
      </w:r>
      <w:r>
        <w:t>elided). Consider the difference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da zo'u da viska la djim.</w:t>
      </w:r>
    </w:p>
    <w:p w:rsidR="00B72047" w:rsidRDefault="00B72047">
      <w:pPr>
        <w:pStyle w:val="examplescaled"/>
      </w:pPr>
      <w:r>
        <w:tab/>
        <w:t>There-is-an-X :  X sees Jim.</w:t>
      </w:r>
    </w:p>
    <w:p w:rsidR="00B72047" w:rsidRDefault="00B72047">
      <w:pPr>
        <w:pStyle w:val="examplescaled"/>
      </w:pPr>
      <w:r>
        <w:tab/>
        <w:t>Something sees Jim.</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name=e4d2&gt;</w:t>
      </w:r>
      <w:r>
        <w:t>4.2)</w:t>
      </w:r>
      <w:r>
        <w:tab/>
        <w:t>da poi prenu zo'u da viska la djim.</w:t>
      </w:r>
    </w:p>
    <w:p w:rsidR="00B72047" w:rsidRDefault="00B72047">
      <w:pPr>
        <w:pStyle w:val="examplescaled"/>
      </w:pPr>
      <w:r>
        <w:tab/>
        <w:t>There-is-an-X which is-a-person :  X sees Jim.</w:t>
      </w:r>
    </w:p>
    <w:p w:rsidR="00B72047" w:rsidRDefault="00B72047">
      <w:pPr>
        <w:pStyle w:val="examplescaled"/>
      </w:pPr>
      <w:r>
        <w:tab/>
        <w:t>Someone sees Jim.</w:t>
      </w:r>
    </w:p>
    <w:p w:rsidR="00B72047" w:rsidRDefault="00B72047">
      <w:pPr>
        <w:pStyle w:val="resumedafterexample"/>
      </w:pPr>
      <w:r>
        <w:rPr>
          <w:rStyle w:val="htmlcodes"/>
        </w:rPr>
        <w:t>&lt;/pre&gt;</w:t>
      </w:r>
      <w:r>
        <w:rPr>
          <w:rStyle w:val="indexentry"/>
        </w:rPr>
        <w:t>&lt;cx "something, contrasted with someone"&gt;</w:t>
      </w:r>
      <w:r>
        <w:rPr>
          <w:rStyle w:val="indexentry"/>
        </w:rPr>
        <w:fldChar w:fldCharType="begin"/>
      </w:r>
      <w:r>
        <w:instrText>xe "</w:instrText>
      </w:r>
      <w:r>
        <w:rPr>
          <w:rStyle w:val="xeentry"/>
        </w:rPr>
        <w:instrText>something: contrasted with someone</w:instrText>
      </w:r>
      <w:r>
        <w:instrText>"</w:instrText>
      </w:r>
      <w:r>
        <w:rPr>
          <w:rStyle w:val="indexentry"/>
        </w:rPr>
        <w:fldChar w:fldCharType="end"/>
      </w:r>
      <w:r>
        <w:t xml:space="preserve">In </w:t>
      </w:r>
      <w:r>
        <w:rPr>
          <w:rStyle w:val="htmlcodes"/>
        </w:rPr>
        <w:t>&lt;a href=#e4d1&gt;</w:t>
      </w:r>
      <w:r>
        <w:t>Example 4.1</w:t>
      </w:r>
      <w:r>
        <w:rPr>
          <w:rStyle w:val="htmlcodes"/>
        </w:rPr>
        <w:t>&lt;/a&gt;</w:t>
      </w:r>
      <w:r>
        <w:t>, the variable “da” can refer to any object whatever;</w:t>
      </w:r>
      <w:r>
        <w:rPr>
          <w:rStyle w:val="deletedparamark"/>
        </w:rPr>
        <w:t xml:space="preserve"> </w:t>
      </w:r>
      <w:r>
        <w:t>there are no restric</w:t>
      </w:r>
      <w:r>
        <w:softHyphen/>
        <w:t xml:space="preserve">tions on it. In </w:t>
      </w:r>
      <w:r>
        <w:rPr>
          <w:rStyle w:val="htmlcodes"/>
        </w:rPr>
        <w:t>&lt;a href=#e4d2&gt;</w:t>
      </w:r>
      <w:r>
        <w:t>Example 4.2</w:t>
      </w:r>
      <w:r>
        <w:rPr>
          <w:rStyle w:val="htmlcodes"/>
        </w:rPr>
        <w:t>&lt;/a&gt;</w:t>
      </w:r>
      <w:r>
        <w:t>, “da” is restricted</w:t>
      </w:r>
      <w:r>
        <w:rPr>
          <w:rStyle w:val="deletedparamark"/>
        </w:rPr>
        <w:t xml:space="preserve"> </w:t>
      </w:r>
      <w:r>
        <w:t>by the “poi prenu” relative clause to per</w:t>
      </w:r>
      <w:r>
        <w:softHyphen/>
        <w:t>sons only, and so “da poi prenu”</w:t>
      </w:r>
      <w:r>
        <w:rPr>
          <w:rStyle w:val="deletedparamark"/>
        </w:rPr>
        <w:t xml:space="preserve"> </w:t>
      </w:r>
      <w:r>
        <w:t>translates as “someone.” (The difference between “someone” and “somebody”</w:t>
      </w:r>
      <w:r>
        <w:rPr>
          <w:rStyle w:val="deletedparamark"/>
        </w:rPr>
        <w:t xml:space="preserve"> </w:t>
      </w:r>
      <w:r>
        <w:t>is a matter of English style, with no real counterpart in Lojban.) If</w:t>
      </w:r>
      <w:r>
        <w:rPr>
          <w:rStyle w:val="deletedparamark"/>
        </w:rPr>
        <w:t xml:space="preserve"> </w:t>
      </w:r>
      <w:r>
        <w:rPr>
          <w:rStyle w:val="htmlcodes"/>
        </w:rPr>
        <w:t>&lt;a href=#e4d2&gt;</w:t>
      </w:r>
      <w:r>
        <w:t>E</w:t>
      </w:r>
      <w:r>
        <w:t>x</w:t>
      </w:r>
      <w:r>
        <w:softHyphen/>
        <w:t xml:space="preserve">ample 4.2 </w:t>
      </w:r>
      <w:r>
        <w:rPr>
          <w:rStyle w:val="htmlcodes"/>
        </w:rPr>
        <w:t>&lt;/a&gt;</w:t>
      </w:r>
      <w:r>
        <w:t xml:space="preserve">is true, then </w:t>
      </w:r>
      <w:r>
        <w:rPr>
          <w:rStyle w:val="htmlcodes"/>
        </w:rPr>
        <w:t>&lt;a href=#e4d1&gt;</w:t>
      </w:r>
      <w:r>
        <w:t xml:space="preserve">Example 4.1 </w:t>
      </w:r>
      <w:r>
        <w:rPr>
          <w:rStyle w:val="htmlcodes"/>
        </w:rPr>
        <w:t>&lt;/a&gt;</w:t>
      </w:r>
      <w:r>
        <w:t>must be true, but not necessarily</w:t>
      </w:r>
      <w:r>
        <w:rPr>
          <w:rStyle w:val="deletedparamark"/>
        </w:rPr>
        <w:t xml:space="preserve"> </w:t>
      </w:r>
      <w:r>
        <w:t>vice versa.</w:t>
      </w:r>
    </w:p>
    <w:p w:rsidR="00B72047" w:rsidRDefault="00B72047">
      <w:pPr>
        <w:rPr>
          <w:rStyle w:val="htmlparacode"/>
        </w:rPr>
      </w:pPr>
      <w:r>
        <w:rPr>
          <w:rStyle w:val="htmlparacode"/>
        </w:rPr>
        <w:t>&lt;p&gt;</w:t>
      </w:r>
    </w:p>
    <w:p w:rsidR="00B72047" w:rsidRDefault="00B72047">
      <w:pPr>
        <w:pStyle w:val="normalparagraph"/>
      </w:pPr>
      <w:r>
        <w:rPr>
          <w:rStyle w:val="indexentry"/>
        </w:rPr>
        <w:t>&lt;cx "relative clauses, use in restricting universal claims"&gt;</w:t>
      </w:r>
      <w:r>
        <w:rPr>
          <w:rStyle w:val="indexentry"/>
        </w:rPr>
        <w:fldChar w:fldCharType="begin"/>
      </w:r>
      <w:r>
        <w:instrText>xe "</w:instrText>
      </w:r>
      <w:r>
        <w:rPr>
          <w:rStyle w:val="xeentry"/>
        </w:rPr>
        <w:instrText>relative clause: use in restricting universal claims</w:instrText>
      </w:r>
      <w:r>
        <w:instrText>"</w:instrText>
      </w:r>
      <w:r>
        <w:rPr>
          <w:rStyle w:val="indexentry"/>
        </w:rPr>
        <w:fldChar w:fldCharType="end"/>
      </w:r>
      <w:r>
        <w:rPr>
          <w:rStyle w:val="indexentry"/>
        </w:rPr>
        <w:t>&lt;cx "universal claims, restricting"&gt;</w:t>
      </w:r>
      <w:r>
        <w:rPr>
          <w:rStyle w:val="indexentry"/>
        </w:rPr>
        <w:fldChar w:fldCharType="begin"/>
      </w:r>
      <w:r>
        <w:instrText>xe "</w:instrText>
      </w:r>
      <w:r>
        <w:rPr>
          <w:rStyle w:val="xeentry"/>
        </w:rPr>
        <w:instrText>universal claims: restricting</w:instrText>
      </w:r>
      <w:r>
        <w:instrText>"</w:instrText>
      </w:r>
      <w:r>
        <w:rPr>
          <w:rStyle w:val="indexentry"/>
        </w:rPr>
        <w:fldChar w:fldCharType="end"/>
      </w:r>
      <w:r>
        <w:t>Universal claims benefit even more from the existence of relative clauses.</w:t>
      </w:r>
      <w:r>
        <w:rPr>
          <w:rStyle w:val="deletedparamark"/>
        </w:rPr>
        <w:t xml:space="preserve"> </w:t>
      </w:r>
      <w:r>
        <w:t>Consider</w:t>
      </w:r>
    </w:p>
    <w:p w:rsidR="00B72047" w:rsidRDefault="00B72047">
      <w:pPr>
        <w:rPr>
          <w:rStyle w:val="htmlparacode"/>
        </w:rPr>
      </w:pPr>
      <w:r>
        <w:rPr>
          <w:rStyle w:val="htmlparacode"/>
        </w:rPr>
        <w:t>&lt;p&gt;</w:t>
      </w:r>
    </w:p>
    <w:p w:rsidR="00B72047" w:rsidRDefault="00B72047">
      <w:pPr>
        <w:pStyle w:val="examplescaledpre"/>
      </w:pPr>
      <w:r>
        <w:rPr>
          <w:rStyle w:val="indexentry"/>
        </w:rPr>
        <w:t>&lt;ex "everything breathes"&gt;</w:t>
      </w:r>
      <w:r>
        <w:rPr>
          <w:rStyle w:val="indexentry"/>
        </w:rPr>
        <w:fldChar w:fldCharType="begin"/>
      </w:r>
      <w:r>
        <w:instrText>xe "</w:instrText>
      </w:r>
      <w:r>
        <w:rPr>
          <w:rStyle w:val="xeentry"/>
        </w:rPr>
        <w:instrText>everything breathes: example</w:instrText>
      </w:r>
      <w:r>
        <w:instrText>"</w:instrText>
      </w:r>
      <w:r>
        <w:rPr>
          <w:rStyle w:val="indexentry"/>
        </w:rPr>
        <w:fldChar w:fldCharType="end"/>
      </w:r>
      <w:r>
        <w:rPr>
          <w:rStyle w:val="htmlcodes"/>
        </w:rPr>
        <w:t>&lt;pre&gt;&lt;a name=e4d3&gt;</w:t>
      </w:r>
      <w:r>
        <w:t>4.3)</w:t>
      </w:r>
      <w:r>
        <w:tab/>
        <w:t>ro da zo'u da vasxu</w:t>
      </w:r>
    </w:p>
    <w:p w:rsidR="00B72047" w:rsidRDefault="00B72047">
      <w:pPr>
        <w:pStyle w:val="examplescaled"/>
      </w:pPr>
      <w:r>
        <w:tab/>
        <w:t>For-every X :  X breathes</w:t>
      </w:r>
    </w:p>
    <w:p w:rsidR="00B72047" w:rsidRDefault="00B72047">
      <w:pPr>
        <w:pStyle w:val="examplescaled"/>
      </w:pPr>
      <w:r>
        <w:tab/>
        <w:t>Everything breathes</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indexentry"/>
        </w:rPr>
        <w:t>&lt;cx "dog breathes"&gt;</w:t>
      </w:r>
      <w:r>
        <w:rPr>
          <w:rStyle w:val="indexentry"/>
        </w:rPr>
        <w:fldChar w:fldCharType="begin"/>
      </w:r>
      <w:r>
        <w:instrText>xe "</w:instrText>
      </w:r>
      <w:r>
        <w:rPr>
          <w:rStyle w:val="xeentry"/>
        </w:rPr>
        <w:instrText>dog breathes</w:instrText>
      </w:r>
      <w:r>
        <w:instrText>"</w:instrText>
      </w:r>
      <w:r>
        <w:rPr>
          <w:rStyle w:val="indexentry"/>
        </w:rPr>
        <w:fldChar w:fldCharType="end"/>
      </w:r>
      <w:r>
        <w:rPr>
          <w:rStyle w:val="htmlcodes"/>
        </w:rPr>
        <w:t>&lt;pre&gt;&lt;a name=e4d4&gt;</w:t>
      </w:r>
      <w:r>
        <w:t>4.4)</w:t>
      </w:r>
      <w:r>
        <w:tab/>
        <w:t>ro da poi gerku zo'u da vasxu</w:t>
      </w:r>
    </w:p>
    <w:p w:rsidR="00B72047" w:rsidRDefault="00B72047">
      <w:pPr>
        <w:pStyle w:val="examplescaled"/>
      </w:pPr>
      <w:r>
        <w:tab/>
        <w:t>For-every X which is-a-dog :  X breathes.</w:t>
      </w:r>
    </w:p>
    <w:p w:rsidR="00B72047" w:rsidRDefault="00B72047">
      <w:pPr>
        <w:pStyle w:val="examplescaled"/>
      </w:pPr>
      <w:r>
        <w:tab/>
        <w:t>Every dog breathes.</w:t>
      </w:r>
    </w:p>
    <w:p w:rsidR="00B72047" w:rsidRDefault="00B72047">
      <w:pPr>
        <w:pStyle w:val="examplescaled"/>
      </w:pPr>
      <w:r>
        <w:tab/>
        <w:t>Each dog breathes.</w:t>
      </w:r>
    </w:p>
    <w:p w:rsidR="00B72047" w:rsidRDefault="00B72047">
      <w:pPr>
        <w:pStyle w:val="examplescaled"/>
      </w:pPr>
      <w:r>
        <w:tab/>
        <w:t>All dogs breathe.</w:t>
      </w:r>
    </w:p>
    <w:p w:rsidR="00B72047" w:rsidRDefault="00B72047">
      <w:pPr>
        <w:pStyle w:val="resumedafterexample"/>
      </w:pPr>
      <w:r>
        <w:rPr>
          <w:rStyle w:val="htmlcodes"/>
        </w:rPr>
        <w:t>&lt;/pre&gt;&lt;a href=#e4d3&gt;</w:t>
      </w:r>
      <w:r>
        <w:t xml:space="preserve">Example 4.3 </w:t>
      </w:r>
      <w:r>
        <w:rPr>
          <w:rStyle w:val="htmlcodes"/>
        </w:rPr>
        <w:t>&lt;/a&gt;</w:t>
      </w:r>
      <w:r>
        <w:t xml:space="preserve">is a silly falsehood, but </w:t>
      </w:r>
      <w:r>
        <w:rPr>
          <w:rStyle w:val="htmlcodes"/>
        </w:rPr>
        <w:t>&lt;a href=#e4d4&gt;</w:t>
      </w:r>
      <w:r>
        <w:t xml:space="preserve">Example 4.4 </w:t>
      </w:r>
      <w:r>
        <w:rPr>
          <w:rStyle w:val="htmlcodes"/>
        </w:rPr>
        <w:t>&lt;/a&gt;</w:t>
      </w:r>
      <w:r>
        <w:t>is an important truth</w:t>
      </w:r>
      <w:r>
        <w:rPr>
          <w:rStyle w:val="deletedparamark"/>
        </w:rPr>
        <w:t xml:space="preserve"> </w:t>
      </w:r>
      <w:r>
        <w:t>(at least if ap</w:t>
      </w:r>
      <w:r>
        <w:softHyphen/>
        <w:t xml:space="preserve">plied in a timeless or potential sense: see </w:t>
      </w:r>
      <w:r>
        <w:rPr>
          <w:rStyle w:val="htmlcodes"/>
        </w:rPr>
        <w:t>&lt;a href=chap10.html&gt;</w:t>
      </w:r>
      <w:r>
        <w:t>Chapter 10</w:t>
      </w:r>
      <w:r>
        <w:rPr>
          <w:rStyle w:val="htmlcodes"/>
        </w:rPr>
        <w:t>&lt;/a&gt;</w:t>
      </w:r>
      <w:r>
        <w:t>).</w:t>
      </w:r>
      <w:r>
        <w:rPr>
          <w:rStyle w:val="deletedparamark"/>
        </w:rPr>
        <w:t xml:space="preserve"> </w:t>
      </w:r>
      <w:r>
        <w:t>Note the various colloquial translations “every dog”, “each</w:t>
      </w:r>
      <w:r>
        <w:rPr>
          <w:rStyle w:val="deletedparamark"/>
        </w:rPr>
        <w:t xml:space="preserve"> </w:t>
      </w:r>
      <w:r>
        <w:t>dog”, and “all dogs”. They all come to the same thing in Lojban, since</w:t>
      </w:r>
      <w:r>
        <w:rPr>
          <w:rStyle w:val="deletedparamark"/>
        </w:rPr>
        <w:t xml:space="preserve"> </w:t>
      </w:r>
      <w:r>
        <w:t>what is true of every dog is true of all dogs. “All dogs” is treated as</w:t>
      </w:r>
      <w:r>
        <w:rPr>
          <w:rStyle w:val="deletedparamark"/>
        </w:rPr>
        <w:t xml:space="preserve"> </w:t>
      </w:r>
      <w:r>
        <w:t>an English plural and the others as singular, but Lojban makes no</w:t>
      </w:r>
      <w:r>
        <w:rPr>
          <w:rStyle w:val="deletedparamark"/>
        </w:rPr>
        <w:t xml:space="preserve"> </w:t>
      </w:r>
      <w:r>
        <w:t>distinction.</w:t>
      </w:r>
    </w:p>
    <w:p w:rsidR="00B72047" w:rsidRDefault="00B72047">
      <w:pPr>
        <w:rPr>
          <w:rStyle w:val="htmlparacode"/>
        </w:rPr>
      </w:pPr>
      <w:r>
        <w:rPr>
          <w:rStyle w:val="htmlparacode"/>
        </w:rPr>
        <w:t>&lt;p&gt;</w:t>
      </w:r>
    </w:p>
    <w:p w:rsidR="00B72047" w:rsidRDefault="00B72047">
      <w:pPr>
        <w:pStyle w:val="normalparagraph"/>
      </w:pPr>
      <w:r>
        <w:t>If we make an existential claim about dogs rather than a universal one,</w:t>
      </w:r>
      <w:r>
        <w:rPr>
          <w:rStyle w:val="deletedparamark"/>
        </w:rPr>
        <w:t xml:space="preserve"> </w:t>
      </w:r>
      <w:r>
        <w:t>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name=e4d5&gt;</w:t>
      </w:r>
      <w:r>
        <w:t>4.5)</w:t>
      </w:r>
      <w:r>
        <w:tab/>
        <w:t>da poi gerku zo'u da vasxu</w:t>
      </w:r>
    </w:p>
    <w:p w:rsidR="00B72047" w:rsidRDefault="00B72047">
      <w:pPr>
        <w:pStyle w:val="examplescaled"/>
      </w:pPr>
      <w:r>
        <w:tab/>
        <w:t>There-is-an-X which is-a-dog :  X breathes.</w:t>
      </w:r>
    </w:p>
    <w:p w:rsidR="00B72047" w:rsidRDefault="00B72047">
      <w:pPr>
        <w:pStyle w:val="examplescaled"/>
      </w:pPr>
      <w:r>
        <w:tab/>
        <w:t>Some dog breathes.</w:t>
      </w:r>
    </w:p>
    <w:p w:rsidR="00B72047" w:rsidRDefault="00B72047">
      <w:pPr>
        <w:pStyle w:val="Heading3"/>
        <w:rPr>
          <w:rStyle w:val="Heading3Text"/>
        </w:rPr>
      </w:pPr>
      <w:r>
        <w:rPr>
          <w:rStyle w:val="htmlcodes"/>
        </w:rPr>
        <w:t>&lt;/pre&gt;&lt;a name=s5&gt;&lt;h3&gt;</w:t>
      </w:r>
      <w:bookmarkStart w:id="459" w:name="_Toc398970698"/>
      <w:r>
        <w:rPr>
          <w:rStyle w:val="Heading3Text"/>
        </w:rPr>
        <w:t>Dropping the prenex</w:t>
      </w:r>
      <w:bookmarkEnd w:id="45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"prenex, considerations for dropping"&gt;</w:t>
      </w:r>
      <w:r>
        <w:rPr>
          <w:rStyle w:val="indexentry"/>
        </w:rPr>
        <w:fldChar w:fldCharType="begin"/>
      </w:r>
      <w:r>
        <w:instrText>xe "</w:instrText>
      </w:r>
      <w:r>
        <w:rPr>
          <w:rStyle w:val="xeentry"/>
        </w:rPr>
        <w:instrText>prenex: considerations for dropping</w:instrText>
      </w:r>
      <w:r>
        <w:instrText>"</w:instrText>
      </w:r>
      <w:r>
        <w:rPr>
          <w:rStyle w:val="indexentry"/>
        </w:rPr>
        <w:fldChar w:fldCharType="end"/>
      </w:r>
      <w:r>
        <w:t>It isn't really necessary for every Lojban bridi involving variables to</w:t>
      </w:r>
      <w:r>
        <w:rPr>
          <w:rStyle w:val="deletedparamark"/>
        </w:rPr>
        <w:t xml:space="preserve"> </w:t>
      </w:r>
      <w:r>
        <w:t>have a prenex on the front. In fact, none of the examples we've seen</w:t>
      </w:r>
      <w:r>
        <w:rPr>
          <w:rStyle w:val="deletedparamark"/>
        </w:rPr>
        <w:t xml:space="preserve"> </w:t>
      </w:r>
      <w:r>
        <w:t>so far required prenexes at all! The rule for dropping the prenex is</w:t>
      </w:r>
      <w:r>
        <w:rPr>
          <w:rStyle w:val="deletedparamark"/>
        </w:rPr>
        <w:t xml:space="preserve"> </w:t>
      </w:r>
      <w:r>
        <w:t>simple: if the variables appear in the same order within the bridi as</w:t>
      </w:r>
      <w:r>
        <w:rPr>
          <w:rStyle w:val="deletedparamark"/>
        </w:rPr>
        <w:t xml:space="preserve"> </w:t>
      </w:r>
      <w:r>
        <w:t>they did in the prenex, then the prenex is superfluous. However, any</w:t>
      </w:r>
      <w:r>
        <w:rPr>
          <w:rStyle w:val="deletedparamark"/>
        </w:rPr>
        <w:t xml:space="preserve"> “</w:t>
      </w:r>
      <w:r>
        <w:t>ro” or “poi” appearing in the prenex must be transferred to the first</w:t>
      </w:r>
      <w:r>
        <w:rPr>
          <w:rStyle w:val="deletedparamark"/>
        </w:rPr>
        <w:t xml:space="preserve"> </w:t>
      </w:r>
      <w:r>
        <w:t xml:space="preserve">occurrence of the variable in the main part of the bridi. Thus, </w:t>
      </w:r>
      <w:r>
        <w:rPr>
          <w:rStyle w:val="htmlcodes"/>
        </w:rPr>
        <w:t>&lt;a href=#e2d3&gt;</w:t>
      </w:r>
      <w:r>
        <w:t xml:space="preserve">Example 2.3 </w:t>
      </w:r>
      <w:r>
        <w:rPr>
          <w:rStyle w:val="htmlcodes"/>
        </w:rPr>
        <w:t>&lt;/a&gt;</w:t>
      </w:r>
      <w:r>
        <w:t>becomes just:</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name=e5d1&gt;</w:t>
      </w:r>
      <w:r>
        <w:t>5.1)</w:t>
      </w:r>
      <w:r>
        <w:tab/>
        <w:t>da viska mi</w:t>
      </w:r>
    </w:p>
    <w:p w:rsidR="00B72047" w:rsidRDefault="00B72047">
      <w:pPr>
        <w:pStyle w:val="examplescaled"/>
      </w:pPr>
      <w:r>
        <w:tab/>
        <w:t>There-is-an-X-which sees me.</w:t>
      </w:r>
    </w:p>
    <w:p w:rsidR="00B72047" w:rsidRDefault="00B72047">
      <w:pPr>
        <w:pStyle w:val="examplescaled"/>
      </w:pPr>
      <w:r>
        <w:tab/>
        <w:t>Something sees me.</w:t>
      </w:r>
    </w:p>
    <w:p w:rsidR="00B72047" w:rsidRDefault="00B72047">
      <w:pPr>
        <w:pStyle w:val="resumedafterexample"/>
      </w:pPr>
      <w:r>
        <w:rPr>
          <w:rStyle w:val="htmlcodes"/>
        </w:rPr>
        <w:t>&lt;/pre&gt;</w:t>
      </w:r>
      <w:r>
        <w:t xml:space="preserve">and </w:t>
      </w:r>
      <w:r>
        <w:rPr>
          <w:rStyle w:val="htmlcodes"/>
        </w:rPr>
        <w:t>&lt;a href=#e4d4&gt;</w:t>
      </w:r>
      <w:r>
        <w:t xml:space="preserve">Example 4.4 </w:t>
      </w:r>
      <w:r>
        <w:rPr>
          <w:rStyle w:val="htmlcodes"/>
        </w:rPr>
        <w:t>&lt;/a&gt;</w:t>
      </w:r>
      <w:r>
        <w:t>becomes: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ro da poi gerku cu vasxu</w:t>
      </w:r>
    </w:p>
    <w:p w:rsidR="00B72047" w:rsidRDefault="00B72047">
      <w:pPr>
        <w:pStyle w:val="examplescaled"/>
      </w:pPr>
      <w:r>
        <w:tab/>
        <w:t>For-every X which is-a-dog, it-breathes.</w:t>
      </w:r>
    </w:p>
    <w:p w:rsidR="00B72047" w:rsidRDefault="00B72047">
      <w:pPr>
        <w:pStyle w:val="examplescaled"/>
      </w:pPr>
      <w:r>
        <w:tab/>
        <w:t>Every dog breathes.</w:t>
      </w:r>
    </w:p>
    <w:p w:rsidR="00B72047" w:rsidRDefault="00B72047">
      <w:pPr>
        <w:pStyle w:val="normalafterexample"/>
      </w:pPr>
      <w:r>
        <w:rPr>
          <w:rStyle w:val="htmlcodes"/>
        </w:rPr>
        <w:t>&lt;/pre&gt;</w:t>
      </w:r>
      <w:r>
        <w:rPr>
          <w:rStyle w:val="indexentry"/>
        </w:rPr>
        <w:t>&lt;cx "prenex, purpose of"&gt;</w:t>
      </w:r>
      <w:r>
        <w:rPr>
          <w:rStyle w:val="indexentry"/>
        </w:rPr>
        <w:fldChar w:fldCharType="begin"/>
      </w:r>
      <w:r>
        <w:instrText>xe "</w:instrText>
      </w:r>
      <w:r>
        <w:rPr>
          <w:rStyle w:val="xeentry"/>
        </w:rPr>
        <w:instrText>prenex: purpose of</w:instrText>
      </w:r>
      <w:r>
        <w:instrText>"</w:instrText>
      </w:r>
      <w:r>
        <w:rPr>
          <w:rStyle w:val="indexentry"/>
        </w:rPr>
        <w:fldChar w:fldCharType="end"/>
      </w:r>
      <w:r>
        <w:rPr>
          <w:rStyle w:val="indexentry"/>
        </w:rPr>
        <w:t>&lt;cx "prenex, effect of order of variables in"&gt;</w:t>
      </w:r>
      <w:r>
        <w:rPr>
          <w:rStyle w:val="indexentry"/>
        </w:rPr>
        <w:fldChar w:fldCharType="begin"/>
      </w:r>
      <w:r>
        <w:instrText>xe "</w:instrText>
      </w:r>
      <w:r>
        <w:rPr>
          <w:rStyle w:val="xeentry"/>
        </w:rPr>
        <w:instrText>prenex: effect of order of variables in</w:instrText>
      </w:r>
      <w:r>
        <w:instrText>"</w:instrText>
      </w:r>
      <w:r>
        <w:rPr>
          <w:rStyle w:val="indexentry"/>
        </w:rPr>
        <w:fldChar w:fldCharType="end"/>
      </w:r>
      <w:r>
        <w:t>You might well suppose, then, that the purpose of the prenex is to allow</w:t>
      </w:r>
      <w:r>
        <w:rPr>
          <w:rStyle w:val="deletedparamark"/>
        </w:rPr>
        <w:t xml:space="preserve"> </w:t>
      </w:r>
      <w:r>
        <w:t>the variables in it to appear in a different order than the bridi order,</w:t>
      </w:r>
      <w:r>
        <w:rPr>
          <w:rStyle w:val="deletedparamark"/>
        </w:rPr>
        <w:t xml:space="preserve"> </w:t>
      </w:r>
      <w:r>
        <w:t>and that would be cor</w:t>
      </w:r>
      <w:r>
        <w:softHyphen/>
        <w:t>rect. Consider</w:t>
      </w:r>
    </w:p>
    <w:p w:rsidR="00B72047" w:rsidRDefault="00B72047">
      <w:pPr>
        <w:rPr>
          <w:rStyle w:val="htmlparacode"/>
        </w:rPr>
      </w:pPr>
      <w:r>
        <w:rPr>
          <w:rStyle w:val="htmlparacode"/>
        </w:rPr>
        <w:t>&lt;p&gt;</w:t>
      </w:r>
    </w:p>
    <w:p w:rsidR="00B72047" w:rsidRDefault="00B72047">
      <w:pPr>
        <w:pStyle w:val="examplescaledpre"/>
      </w:pPr>
      <w:r>
        <w:rPr>
          <w:rStyle w:val="indexentry"/>
        </w:rPr>
        <w:t>&lt;cx "everyone bitten by dog"&gt;</w:t>
      </w:r>
      <w:r>
        <w:rPr>
          <w:rStyle w:val="indexentry"/>
        </w:rPr>
        <w:fldChar w:fldCharType="begin"/>
      </w:r>
      <w:r>
        <w:instrText>xe "</w:instrText>
      </w:r>
      <w:r>
        <w:rPr>
          <w:rStyle w:val="xeentry"/>
        </w:rPr>
        <w:instrText>everyone bitten by dog</w:instrText>
      </w:r>
      <w:r>
        <w:instrText>"</w:instrText>
      </w:r>
      <w:r>
        <w:rPr>
          <w:rStyle w:val="indexentry"/>
        </w:rPr>
        <w:fldChar w:fldCharType="end"/>
      </w:r>
      <w:r>
        <w:rPr>
          <w:rStyle w:val="htmlcodes"/>
        </w:rPr>
        <w:t>&lt;pre&gt;&lt;a name=e5d3&gt;</w:t>
      </w:r>
      <w:r>
        <w:t>5.3)</w:t>
      </w:r>
      <w:r>
        <w:tab/>
        <w:t>ro da poi prenu ku'o de poi gerku ku'o zo'u de batci da</w:t>
      </w:r>
    </w:p>
    <w:p w:rsidR="00B72047" w:rsidRDefault="00B72047">
      <w:pPr>
        <w:pStyle w:val="examplescaled"/>
      </w:pPr>
      <w:r>
        <w:tab/>
        <w:t>For-every X which is-a-person, there-is-a-Y which is-a-dog:  Y bites X.</w:t>
      </w:r>
    </w:p>
    <w:p w:rsidR="00B72047" w:rsidRDefault="00B72047">
      <w:pPr>
        <w:pStyle w:val="resumedafterexample"/>
      </w:pPr>
      <w:r>
        <w:rPr>
          <w:rStyle w:val="htmlcodes"/>
        </w:rPr>
        <w:t>&lt;/pre&gt;&lt;p&gt;</w:t>
      </w:r>
      <w:r>
        <w:t xml:space="preserve">The prenex of </w:t>
      </w:r>
      <w:r>
        <w:rPr>
          <w:rStyle w:val="htmlcodes"/>
        </w:rPr>
        <w:t>&lt;a href=#e5d3&gt;</w:t>
      </w:r>
      <w:r>
        <w:t xml:space="preserve">Example 5.3 </w:t>
      </w:r>
      <w:r>
        <w:rPr>
          <w:rStyle w:val="htmlcodes"/>
        </w:rPr>
        <w:t>&lt;/a&gt;</w:t>
      </w:r>
      <w:r>
        <w:t xml:space="preserve">is like that of </w:t>
      </w:r>
      <w:r>
        <w:rPr>
          <w:rStyle w:val="htmlcodes"/>
        </w:rPr>
        <w:t>&lt;a href=#e3d4&gt;</w:t>
      </w:r>
      <w:r>
        <w:t xml:space="preserve">Example 3.4 </w:t>
      </w:r>
      <w:r>
        <w:rPr>
          <w:rStyle w:val="htmlcodes"/>
        </w:rPr>
        <w:t>&lt;/a&gt;</w:t>
      </w:r>
      <w:r>
        <w:t>(but with relative</w:t>
      </w:r>
      <w:r>
        <w:rPr>
          <w:rStyle w:val="deletedparamark"/>
        </w:rPr>
        <w:t xml:space="preserve"> </w:t>
      </w:r>
      <w:r>
        <w:t>clauses): it notes that the following bridi is true of every person</w:t>
      </w:r>
      <w:r>
        <w:rPr>
          <w:rStyle w:val="deletedparamark"/>
        </w:rPr>
        <w:t xml:space="preserve"> </w:t>
      </w:r>
      <w:r>
        <w:t>with respect to some dog, not nec</w:t>
      </w:r>
      <w:r>
        <w:softHyphen/>
        <w:t>essarily the same dog for each. But</w:t>
      </w:r>
      <w:r>
        <w:rPr>
          <w:rStyle w:val="deletedparamark"/>
        </w:rPr>
        <w:t xml:space="preserve"> </w:t>
      </w:r>
      <w:r>
        <w:t>in the main bridi part, the “de” appears before the “da”. Ther</w:t>
      </w:r>
      <w:r>
        <w:t>e</w:t>
      </w:r>
      <w:r>
        <w:softHyphen/>
        <w:t>fore,</w:t>
      </w:r>
      <w:r>
        <w:rPr>
          <w:rStyle w:val="deletedparamark"/>
        </w:rPr>
        <w:t xml:space="preserve"> </w:t>
      </w:r>
      <w:r>
        <w:t>the true translation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Every person is bitten by some dog (or other).</w:t>
      </w:r>
    </w:p>
    <w:p w:rsidR="00B72047" w:rsidRDefault="00B72047">
      <w:pPr>
        <w:pStyle w:val="normalafterexample"/>
      </w:pPr>
      <w:r>
        <w:rPr>
          <w:rStyle w:val="htmlcodes"/>
        </w:rPr>
        <w:t>&lt;/pre&gt;&lt;p&gt;</w:t>
      </w:r>
      <w:r>
        <w:t>If we tried to omit the prenex and move the “ro” and the relative clauses</w:t>
      </w:r>
      <w:r>
        <w:rPr>
          <w:rStyle w:val="deletedparamark"/>
        </w:rPr>
        <w:t xml:space="preserve"> </w:t>
      </w:r>
      <w:r>
        <w:t>into the main bridi, we would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de poi gerku cu batci ro da poi prenu</w:t>
      </w:r>
    </w:p>
    <w:p w:rsidR="00B72047" w:rsidRDefault="00B72047">
      <w:pPr>
        <w:pStyle w:val="examplescaled"/>
      </w:pPr>
      <w:r>
        <w:tab/>
        <w:t>There-is-a-Y which is-a-dog which-bites every Y which is-a-person</w:t>
      </w:r>
    </w:p>
    <w:p w:rsidR="00B72047" w:rsidRDefault="00B72047">
      <w:pPr>
        <w:pStyle w:val="examplescaled"/>
      </w:pPr>
      <w:r>
        <w:tab/>
        <w:t>Some dog bites everyone.</w:t>
      </w:r>
    </w:p>
    <w:p w:rsidR="00B72047" w:rsidRDefault="00B72047">
      <w:pPr>
        <w:pStyle w:val="resumedafterexample"/>
      </w:pPr>
      <w:r>
        <w:rPr>
          <w:rStyle w:val="htmlcodes"/>
        </w:rPr>
        <w:t>&lt;/pre&gt;</w:t>
      </w:r>
      <w:r>
        <w:rPr>
          <w:rStyle w:val="indexentry"/>
        </w:rPr>
        <w:t>&lt;ex "Fido"&gt;</w:t>
      </w:r>
      <w:r>
        <w:rPr>
          <w:rStyle w:val="indexentry"/>
        </w:rPr>
        <w:fldChar w:fldCharType="begin"/>
      </w:r>
      <w:r>
        <w:instrText>xe "</w:instrText>
      </w:r>
      <w:r>
        <w:rPr>
          <w:rStyle w:val="xeentry"/>
        </w:rPr>
        <w:instrText>Fido: example</w:instrText>
      </w:r>
      <w:r>
        <w:instrText>"</w:instrText>
      </w:r>
      <w:r>
        <w:rPr>
          <w:rStyle w:val="indexentry"/>
        </w:rPr>
        <w:fldChar w:fldCharType="end"/>
      </w:r>
      <w:r>
        <w:rPr>
          <w:rStyle w:val="indexentry"/>
        </w:rPr>
        <w:fldChar w:fldCharType="begin"/>
      </w:r>
      <w:r>
        <w:rPr>
          <w:rStyle w:val="xeentry"/>
        </w:rPr>
        <w:instrText>xe "selma’odog bites: example"</w:instrText>
      </w:r>
      <w:r>
        <w:rPr>
          <w:rStyle w:val="indexentry"/>
        </w:rPr>
        <w:fldChar w:fldCharType="end"/>
      </w:r>
      <w:r>
        <w:t xml:space="preserve">which has the structure of </w:t>
      </w:r>
      <w:r>
        <w:rPr>
          <w:rStyle w:val="htmlcodes"/>
        </w:rPr>
        <w:t>&lt;a href=#e3d5&gt;</w:t>
      </w:r>
      <w:r>
        <w:t>Example 3.5</w:t>
      </w:r>
      <w:r>
        <w:rPr>
          <w:rStyle w:val="htmlcodes"/>
        </w:rPr>
        <w:t>&lt;/a&gt;</w:t>
      </w:r>
      <w:r>
        <w:t>: it says that there is a dog</w:t>
      </w:r>
      <w:r>
        <w:rPr>
          <w:rStyle w:val="deletedparamark"/>
        </w:rPr>
        <w:t xml:space="preserve"> </w:t>
      </w:r>
      <w:r>
        <w:t>(call him Fido) who bites, has bitten, or will bite every person that</w:t>
      </w:r>
      <w:r>
        <w:rPr>
          <w:rStyle w:val="deletedparamark"/>
        </w:rPr>
        <w:t xml:space="preserve"> </w:t>
      </w:r>
      <w:r>
        <w:t>has ever existed! We can safely rule out Fido's existence, and say that</w:t>
      </w:r>
      <w:r>
        <w:rPr>
          <w:rStyle w:val="deletedparamark"/>
        </w:rPr>
        <w:t xml:space="preserve"> </w:t>
      </w:r>
      <w:r>
        <w:rPr>
          <w:rStyle w:val="htmlcodes"/>
        </w:rPr>
        <w:t>&lt;a href=#e5d5&gt;</w:t>
      </w:r>
      <w:r>
        <w:t xml:space="preserve">Example 5.5 </w:t>
      </w:r>
      <w:r>
        <w:rPr>
          <w:rStyle w:val="htmlcodes"/>
        </w:rPr>
        <w:t>&lt;/a&gt;</w:t>
      </w:r>
      <w:r>
        <w:t xml:space="preserve">is false, while agreeing to </w:t>
      </w:r>
      <w:r>
        <w:rPr>
          <w:rStyle w:val="htmlcodes"/>
        </w:rPr>
        <w:t>&lt;a href=#e5d3&gt;</w:t>
      </w:r>
      <w:r>
        <w:t>Example 5.3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"universal claims, dangers of using"&gt;</w:t>
      </w:r>
      <w:r>
        <w:rPr>
          <w:rStyle w:val="indexentry"/>
        </w:rPr>
        <w:fldChar w:fldCharType="begin"/>
      </w:r>
      <w:r>
        <w:instrText>xe "</w:instrText>
      </w:r>
      <w:r>
        <w:rPr>
          <w:rStyle w:val="xeentry"/>
        </w:rPr>
        <w:instrText>universal claims: dangers of using</w:instrText>
      </w:r>
      <w:r>
        <w:instrText>"</w:instrText>
      </w:r>
      <w:r>
        <w:rPr>
          <w:rStyle w:val="indexentry"/>
        </w:rPr>
        <w:fldChar w:fldCharType="end"/>
      </w:r>
      <w:r>
        <w:t xml:space="preserve">Even so, </w:t>
      </w:r>
      <w:r>
        <w:rPr>
          <w:rStyle w:val="htmlcodes"/>
        </w:rPr>
        <w:t>&lt;a href=#e5d3&gt;</w:t>
      </w:r>
      <w:r>
        <w:t xml:space="preserve">Example 5.3 </w:t>
      </w:r>
      <w:r>
        <w:rPr>
          <w:rStyle w:val="htmlcodes"/>
        </w:rPr>
        <w:t>&lt;/a&gt;</w:t>
      </w:r>
      <w:r>
        <w:t>is most probably false, since some people never</w:t>
      </w:r>
      <w:r>
        <w:rPr>
          <w:rStyle w:val="deletedparamark"/>
        </w:rPr>
        <w:t xml:space="preserve"> </w:t>
      </w:r>
      <w:r>
        <w:t>experi</w:t>
      </w:r>
      <w:r>
        <w:softHyphen/>
        <w:t>ence dogbite. Examples like 5.3 and 4.4 (might there be</w:t>
      </w:r>
      <w:r>
        <w:rPr>
          <w:rStyle w:val="deletedparamark"/>
        </w:rPr>
        <w:t xml:space="preserve"> </w:t>
      </w:r>
      <w:r>
        <w:t>some dogs which never have breathed, because they died as embryos?)</w:t>
      </w:r>
      <w:r>
        <w:rPr>
          <w:rStyle w:val="deletedparamark"/>
        </w:rPr>
        <w:t xml:space="preserve"> </w:t>
      </w:r>
      <w:r>
        <w:t>indicate the danger in Lojban of universal claims even when restricted.</w:t>
      </w:r>
      <w:r>
        <w:rPr>
          <w:rStyle w:val="deletedparamark"/>
        </w:rPr>
        <w:t xml:space="preserve"> </w:t>
      </w:r>
      <w:r>
        <w:t>In English we are prone to say that “Everyone says” or that “Everybody does”</w:t>
      </w:r>
      <w:r>
        <w:rPr>
          <w:rStyle w:val="deletedparamark"/>
        </w:rPr>
        <w:t xml:space="preserve"> </w:t>
      </w:r>
      <w:r>
        <w:t>or that “Everything is” when in fact there are obvious counter</w:t>
      </w:r>
      <w:r>
        <w:softHyphen/>
        <w:t>examples which</w:t>
      </w:r>
      <w:r>
        <w:rPr>
          <w:rStyle w:val="deletedparamark"/>
        </w:rPr>
        <w:t xml:space="preserve"> </w:t>
      </w:r>
      <w:r>
        <w:t>we are ignoring for the sake of making a rhetorical point. Such state</w:t>
      </w:r>
      <w:r>
        <w:softHyphen/>
        <w:t>ments</w:t>
      </w:r>
      <w:r>
        <w:rPr>
          <w:rStyle w:val="deletedparamark"/>
        </w:rPr>
        <w:t xml:space="preserve"> </w:t>
      </w:r>
      <w:r>
        <w:t>are plain fals</w:t>
      </w:r>
      <w:r>
        <w:t>e</w:t>
      </w:r>
      <w:r>
        <w:softHyphen/>
        <w:t>hoods in Lojban, unless saved by a context (such as tense)</w:t>
      </w:r>
      <w:r>
        <w:rPr>
          <w:rStyle w:val="deletedparamark"/>
        </w:rPr>
        <w:t xml:space="preserve"> </w:t>
      </w:r>
      <w:r>
        <w:t>which implicitly restricts them.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"se, using to re-order logical variables"&gt;</w:t>
      </w:r>
      <w:r>
        <w:rPr>
          <w:rStyle w:val="indexentry"/>
        </w:rPr>
        <w:fldChar w:fldCharType="begin"/>
      </w:r>
      <w:r>
        <w:instrText>xe "</w:instrText>
      </w:r>
      <w:r>
        <w:rPr>
          <w:rStyle w:val="xeentry"/>
        </w:rPr>
        <w:instrText>se: using to re-order logical variables</w:instrText>
      </w:r>
      <w:r>
        <w:instrText>"</w:instrText>
      </w:r>
      <w:r>
        <w:rPr>
          <w:rStyle w:val="indexentry"/>
        </w:rPr>
        <w:fldChar w:fldCharType="end"/>
      </w:r>
      <w:r>
        <w:rPr>
          <w:rStyle w:val="indexentry"/>
        </w:rPr>
        <w:t>&lt;cx "re-ordering logical variables with se"&gt;</w:t>
      </w:r>
      <w:r>
        <w:rPr>
          <w:rStyle w:val="indexentry"/>
        </w:rPr>
        <w:fldChar w:fldCharType="begin"/>
      </w:r>
      <w:r>
        <w:instrText>xe "</w:instrText>
      </w:r>
      <w:r>
        <w:rPr>
          <w:rStyle w:val="xeentry"/>
        </w:rPr>
        <w:instrText>re-ordering logical variables with se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t xml:space="preserve">How can we express </w:t>
      </w:r>
      <w:r>
        <w:rPr>
          <w:rStyle w:val="htmlcodes"/>
        </w:rPr>
        <w:t>&lt;a href=#e5d3&gt;</w:t>
      </w:r>
      <w:r>
        <w:t xml:space="preserve">Example 5.3 </w:t>
      </w:r>
      <w:r>
        <w:rPr>
          <w:rStyle w:val="htmlcodes"/>
        </w:rPr>
        <w:t>&lt;/a&gt;</w:t>
      </w:r>
      <w:r>
        <w:t>in Lojban without a prenex? Since it is</w:t>
      </w:r>
      <w:r>
        <w:rPr>
          <w:rStyle w:val="deletedparamark"/>
        </w:rPr>
        <w:t xml:space="preserve"> </w:t>
      </w:r>
      <w:r>
        <w:t>the order in which variables appear that matters, we can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ro da poi prenu cu se batci de poi gerku</w:t>
      </w:r>
    </w:p>
    <w:p w:rsidR="00B72047" w:rsidRDefault="00B72047">
      <w:pPr>
        <w:pStyle w:val="examplescaled"/>
      </w:pPr>
      <w:r>
        <w:tab/>
        <w:t>Every-X which is-a-person is-bitten-by some-Y which is-a-dog.</w:t>
      </w:r>
    </w:p>
    <w:p w:rsidR="00B72047" w:rsidRDefault="00B72047">
      <w:pPr>
        <w:pStyle w:val="resumedafterexample"/>
      </w:pPr>
      <w:r>
        <w:rPr>
          <w:rStyle w:val="htmlcodes"/>
        </w:rPr>
        <w:t>&lt;/pre&gt;</w:t>
      </w:r>
      <w:r>
        <w:t xml:space="preserve">using the conversion operator “se” (explained in </w:t>
      </w:r>
      <w:r>
        <w:rPr>
          <w:rStyle w:val="htmlcodes"/>
        </w:rPr>
        <w:t>&lt;a href=chap5.html&gt;</w:t>
      </w:r>
      <w:r>
        <w:t>Chapter 5</w:t>
      </w:r>
      <w:r>
        <w:rPr>
          <w:rStyle w:val="htmlcodes"/>
        </w:rPr>
        <w:t>&lt;/a&gt;</w:t>
      </w:r>
      <w:r>
        <w:t>) to change the</w:t>
      </w:r>
      <w:r>
        <w:rPr>
          <w:rStyle w:val="deletedparamark"/>
        </w:rPr>
        <w:t xml:space="preserve"> </w:t>
      </w:r>
      <w:r>
        <w:t>selbri “batci” (“bites”) into “se batci” (“is bitten by”). The</w:t>
      </w:r>
      <w:r>
        <w:rPr>
          <w:rStyle w:val="deletedparamark"/>
        </w:rPr>
        <w:t xml:space="preserve"> </w:t>
      </w:r>
      <w:r>
        <w:t xml:space="preserve">translation given in </w:t>
      </w:r>
      <w:r>
        <w:rPr>
          <w:rStyle w:val="htmlcodes"/>
        </w:rPr>
        <w:t>&lt;a href=#e5d4&gt;</w:t>
      </w:r>
      <w:r>
        <w:t xml:space="preserve">Example 5.4 </w:t>
      </w:r>
      <w:r>
        <w:rPr>
          <w:rStyle w:val="htmlcodes"/>
        </w:rPr>
        <w:t>&lt;/a&gt;</w:t>
      </w:r>
      <w:r>
        <w:t>uses the corresponding strategy in</w:t>
      </w:r>
      <w:r>
        <w:rPr>
          <w:rStyle w:val="deletedparamark"/>
        </w:rPr>
        <w:t xml:space="preserve"> </w:t>
      </w:r>
      <w:r>
        <w:t>English, since English does not have prenexes (except in strained</w:t>
      </w:r>
      <w:r>
        <w:rPr>
          <w:rStyle w:val="deletedparamark"/>
        </w:rPr>
        <w:t xml:space="preserve"> “</w:t>
      </w:r>
      <w:r>
        <w:t>logician's English”). This implies that a sentence with both a universal</w:t>
      </w:r>
      <w:r>
        <w:rPr>
          <w:rStyle w:val="deletedparamark"/>
        </w:rPr>
        <w:t xml:space="preserve"> </w:t>
      </w:r>
      <w:r>
        <w:t>and an existential variable can't be freely converted with “se”;</w:t>
      </w:r>
      <w:r>
        <w:rPr>
          <w:rStyle w:val="deletedparamark"/>
        </w:rPr>
        <w:t xml:space="preserve"> </w:t>
      </w:r>
      <w:r>
        <w:t>one must be careful to preserve the order of the variables.</w:t>
      </w:r>
    </w:p>
    <w:p w:rsidR="00B72047" w:rsidRDefault="00B72047">
      <w:pPr>
        <w:rPr>
          <w:rStyle w:val="htmlparacode"/>
        </w:rPr>
      </w:pPr>
      <w:r>
        <w:rPr>
          <w:rStyle w:val="htmlparacode"/>
        </w:rPr>
        <w:t>&lt;p&gt;</w:t>
      </w:r>
    </w:p>
    <w:p w:rsidR="00B72047" w:rsidRDefault="00B72047">
      <w:pPr>
        <w:pStyle w:val="normalparagraph"/>
      </w:pPr>
      <w:r>
        <w:rPr>
          <w:rStyle w:val="indexentry"/>
        </w:rPr>
        <w:t>&lt;cx "logical variable with ro, in multiple appearances"&gt;</w:t>
      </w:r>
      <w:r>
        <w:rPr>
          <w:rStyle w:val="indexentry"/>
        </w:rPr>
        <w:fldChar w:fldCharType="begin"/>
      </w:r>
      <w:r>
        <w:instrText>xe "</w:instrText>
      </w:r>
      <w:r>
        <w:rPr>
          <w:rStyle w:val="xeentry"/>
        </w:rPr>
        <w:instrText>logical variables: with ro, in multiple appearances</w:instrText>
      </w:r>
      <w:r>
        <w:instrText>"</w:instrText>
      </w:r>
      <w:r>
        <w:rPr>
          <w:rStyle w:val="indexentry"/>
        </w:rPr>
        <w:fldChar w:fldCharType="end"/>
      </w:r>
      <w:r>
        <w:rPr>
          <w:rStyle w:val="indexentry"/>
        </w:rPr>
        <w:t>&lt;cx "logical variable with poi, in multiple appearances"&gt;</w:t>
      </w:r>
      <w:r>
        <w:rPr>
          <w:rStyle w:val="indexentry"/>
        </w:rPr>
        <w:fldChar w:fldCharType="begin"/>
      </w:r>
      <w:r>
        <w:instrText>xe "</w:instrText>
      </w:r>
      <w:r>
        <w:rPr>
          <w:rStyle w:val="xeentry"/>
        </w:rPr>
        <w:instrText>logical variables: with poi, in multiple appearances</w:instrText>
      </w:r>
      <w:r>
        <w:instrText>"</w:instrText>
      </w:r>
      <w:r>
        <w:rPr>
          <w:rStyle w:val="indexentry"/>
        </w:rPr>
        <w:fldChar w:fldCharType="end"/>
      </w:r>
      <w:r>
        <w:rPr>
          <w:rStyle w:val="indexentry"/>
        </w:rPr>
        <w:t>&lt;cx "ro, dropping from multiple appearances on logical variables"&gt;</w:t>
      </w:r>
      <w:r>
        <w:rPr>
          <w:rStyle w:val="indexentry"/>
        </w:rPr>
        <w:fldChar w:fldCharType="begin"/>
      </w:r>
      <w:r>
        <w:instrText>xe "</w:instrText>
      </w:r>
      <w:r>
        <w:rPr>
          <w:rStyle w:val="xeentry"/>
        </w:rPr>
        <w:instrText>ro: dropping from multiple appearances on logical variables</w:instrText>
      </w:r>
      <w:r>
        <w:instrText>"</w:instrText>
      </w:r>
      <w:r>
        <w:rPr>
          <w:rStyle w:val="indexentry"/>
        </w:rPr>
        <w:fldChar w:fldCharType="end"/>
      </w:r>
      <w:r>
        <w:rPr>
          <w:rStyle w:val="indexentry"/>
        </w:rPr>
        <w:t>&lt;cx "poi, dropping from multiple appearances on logical variables"&gt;</w:t>
      </w:r>
      <w:r>
        <w:rPr>
          <w:rStyle w:val="indexentry"/>
        </w:rPr>
        <w:fldChar w:fldCharType="begin"/>
      </w:r>
      <w:r>
        <w:instrText>xe "</w:instrText>
      </w:r>
      <w:r>
        <w:rPr>
          <w:rStyle w:val="xeentry"/>
        </w:rPr>
        <w:instrText>poi: dropping from multiple appearances on logical variables</w:instrText>
      </w:r>
      <w:r>
        <w:instrText>"</w:instrText>
      </w:r>
      <w:r>
        <w:rPr>
          <w:rStyle w:val="indexentry"/>
        </w:rPr>
        <w:fldChar w:fldCharType="end"/>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rPr>
          <w:rStyle w:val="indexentry"/>
        </w:rPr>
        <w:t>&lt;lx "poi"&gt;</w:t>
      </w:r>
      <w:r>
        <w:rPr>
          <w:rStyle w:val="indexentry"/>
        </w:rPr>
        <w:fldChar w:fldCharType="begin"/>
      </w:r>
      <w:r>
        <w:instrText>xe "</w:instrText>
      </w:r>
      <w:r>
        <w:rPr>
          <w:rStyle w:val="xeentry"/>
        </w:rPr>
        <w:instrText>poi</w:instrText>
      </w:r>
      <w:r>
        <w:instrText>"</w:instrText>
      </w:r>
      <w:r>
        <w:rPr>
          <w:rStyle w:val="indexentry"/>
        </w:rPr>
        <w:fldChar w:fldCharType="end"/>
      </w:r>
      <w:r>
        <w:t>If a variable occurs more than once, then any “ro” or “poi” decorations</w:t>
      </w:r>
      <w:r>
        <w:rPr>
          <w:rStyle w:val="deletedparamark"/>
        </w:rPr>
        <w:t xml:space="preserve"> </w:t>
      </w:r>
      <w:r>
        <w:t>are moved only to the first occurrence of the variable when the prenex</w:t>
      </w:r>
      <w:r>
        <w:rPr>
          <w:rStyle w:val="deletedparamark"/>
        </w:rPr>
        <w:t xml:space="preserve"> </w:t>
      </w:r>
      <w:r>
        <w:t>is dropped. For ex</w:t>
      </w:r>
      <w:r>
        <w:softHyphen/>
        <w:t>ample,</w:t>
      </w:r>
    </w:p>
    <w:p w:rsidR="00B72047" w:rsidRDefault="00B72047">
      <w:pPr>
        <w:rPr>
          <w:rStyle w:val="htmlparacode"/>
        </w:rPr>
      </w:pPr>
      <w:r>
        <w:rPr>
          <w:rStyle w:val="htmlparacode"/>
        </w:rPr>
        <w:t>&lt;p&gt;</w:t>
      </w:r>
    </w:p>
    <w:p w:rsidR="00B72047" w:rsidRDefault="00B72047">
      <w:pPr>
        <w:pStyle w:val="examplescaledpre"/>
      </w:pPr>
      <w:r>
        <w:rPr>
          <w:rStyle w:val="indexentry"/>
        </w:rPr>
        <w:t>&lt;ex "weapon against self"&gt;</w:t>
      </w:r>
      <w:r>
        <w:rPr>
          <w:rStyle w:val="indexentry"/>
        </w:rPr>
        <w:fldChar w:fldCharType="begin"/>
      </w:r>
      <w:r>
        <w:instrText>xe "</w:instrText>
      </w:r>
      <w:r>
        <w:rPr>
          <w:rStyle w:val="xeentry"/>
        </w:rPr>
        <w:instrText>weapon against self: example</w:instrText>
      </w:r>
      <w:r>
        <w:instrText>"</w:instrText>
      </w:r>
      <w:r>
        <w:rPr>
          <w:rStyle w:val="indexentry"/>
        </w:rPr>
        <w:fldChar w:fldCharType="end"/>
      </w:r>
      <w:r>
        <w:rPr>
          <w:rStyle w:val="htmlcodes"/>
        </w:rPr>
        <w:t>&lt;pre&gt;&lt;a name=e5d7&gt;</w:t>
      </w:r>
      <w:r>
        <w:t>5.7)</w:t>
      </w:r>
      <w:r>
        <w:tab/>
        <w:t xml:space="preserve">di poi prenu zo'u </w:t>
      </w:r>
    </w:p>
    <w:p w:rsidR="00B72047" w:rsidRDefault="00B72047">
      <w:pPr>
        <w:pStyle w:val="examplescaled"/>
        <w:ind w:firstLine="576"/>
      </w:pPr>
      <w:r>
        <w:t>ti xarci di di</w:t>
      </w:r>
    </w:p>
    <w:p w:rsidR="00B72047" w:rsidRDefault="00B72047">
      <w:pPr>
        <w:pStyle w:val="examplescaled"/>
      </w:pPr>
      <w:r>
        <w:tab/>
        <w:t>There-is-a-Z which is-a-person :</w:t>
      </w:r>
    </w:p>
    <w:p w:rsidR="00B72047" w:rsidRDefault="00B72047">
      <w:pPr>
        <w:pStyle w:val="examplescaled"/>
        <w:ind w:firstLine="576"/>
      </w:pPr>
      <w:r>
        <w:t>this-thing is-a-weapon for-use-against-Z by-Z</w:t>
      </w:r>
    </w:p>
    <w:p w:rsidR="00B72047" w:rsidRDefault="00B72047">
      <w:pPr>
        <w:pStyle w:val="examplescaled"/>
      </w:pPr>
      <w:r>
        <w:tab/>
        <w:t>This is a weapon for someone to use against himself/herself.</w:t>
      </w:r>
    </w:p>
    <w:p w:rsidR="00B72047" w:rsidRDefault="00B72047">
      <w:pPr>
        <w:pStyle w:val="resumedafterexample"/>
      </w:pPr>
      <w:r>
        <w:rPr>
          <w:rStyle w:val="htmlcodes"/>
        </w:rPr>
        <w:t>&lt;/pre&gt;</w:t>
      </w:r>
      <w:r>
        <w:t>(in which “di” is used rather than “da” just for variety) loses its prenex</w:t>
      </w:r>
      <w:r>
        <w:rPr>
          <w:rStyle w:val="deletedparamark"/>
        </w:rPr>
        <w:t xml:space="preserve"> </w:t>
      </w:r>
      <w:r>
        <w:t>as follows: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ti xarci di poi prenu ku'o di</w:t>
      </w:r>
    </w:p>
    <w:p w:rsidR="00B72047" w:rsidRDefault="00B72047">
      <w:pPr>
        <w:pStyle w:val="examplescaled"/>
      </w:pPr>
      <w:r>
        <w:tab/>
        <w:t>This-thing is-a-weapon-for-use-against some-Z which is-a-person by-Z.</w:t>
      </w:r>
    </w:p>
    <w:p w:rsidR="00B72047" w:rsidRDefault="00B72047">
      <w:pPr>
        <w:pStyle w:val="normalafterexample"/>
      </w:pPr>
      <w:r>
        <w:rPr>
          <w:rStyle w:val="htmlcodes"/>
        </w:rPr>
        <w:t>&lt;/pre&gt;</w:t>
      </w:r>
      <w:r>
        <w:rPr>
          <w:rStyle w:val="indexentry"/>
        </w:rPr>
        <w:t>&lt;cx "prenex, dropping for terseness"&gt;</w:t>
      </w:r>
      <w:r>
        <w:rPr>
          <w:rStyle w:val="indexentry"/>
        </w:rPr>
        <w:fldChar w:fldCharType="begin"/>
      </w:r>
      <w:r>
        <w:instrText>xe "</w:instrText>
      </w:r>
      <w:r>
        <w:rPr>
          <w:rStyle w:val="xeentry"/>
        </w:rPr>
        <w:instrText>prenex: dropping for terseness</w:instrText>
      </w:r>
      <w:r>
        <w:instrText>"</w:instrText>
      </w:r>
      <w:r>
        <w:rPr>
          <w:rStyle w:val="indexentry"/>
        </w:rPr>
        <w:fldChar w:fldCharType="end"/>
      </w:r>
      <w:r>
        <w:t>As the examples in this section show, dropping the prenex makes for</w:t>
      </w:r>
      <w:r>
        <w:rPr>
          <w:rStyle w:val="deletedparamark"/>
        </w:rPr>
        <w:t xml:space="preserve"> </w:t>
      </w:r>
      <w:r>
        <w:t>terseness of e</w:t>
      </w:r>
      <w:r>
        <w:t>x</w:t>
      </w:r>
      <w:r>
        <w:softHyphen/>
        <w:t>pression often even greater than that of English</w:t>
      </w:r>
      <w:r>
        <w:rPr>
          <w:rStyle w:val="deletedparamark"/>
        </w:rPr>
        <w:t xml:space="preserve"> </w:t>
      </w:r>
      <w:r>
        <w:t>(Lojban is meant to be an unambi</w:t>
      </w:r>
      <w:r>
        <w:softHyphen/>
        <w:t>guous language, not necessarily a</w:t>
      </w:r>
      <w:r>
        <w:rPr>
          <w:rStyle w:val="deletedparamark"/>
        </w:rPr>
        <w:t xml:space="preserve"> </w:t>
      </w:r>
      <w:r>
        <w:t>terse or verbose one), provided the rules are observed.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460" w:name="_Toc398970699"/>
      <w:r>
        <w:rPr>
          <w:rStyle w:val="Heading3Text"/>
        </w:rPr>
        <w:t>Variables with generalized quantifiers</w:t>
      </w:r>
      <w:bookmarkEnd w:id="46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"PA"&gt;</w:t>
      </w:r>
      <w:r>
        <w:rPr>
          <w:rStyle w:val="indexentry"/>
        </w:rPr>
        <w:fldChar w:fldCharType="begin"/>
      </w:r>
      <w:r>
        <w:instrText>xe "</w:instrText>
      </w:r>
      <w:r>
        <w:rPr>
          <w:rStyle w:val="xeentry"/>
        </w:rPr>
        <w:instrText>PA selma’o</w:instrText>
      </w:r>
      <w:r>
        <w:instrText>"</w:instrText>
      </w:r>
      <w:r>
        <w:rPr>
          <w:rStyle w:val="indexentry"/>
        </w:rPr>
        <w:fldChar w:fldCharType="end"/>
      </w:r>
      <w:r>
        <w:rPr>
          <w:rStyle w:val="indexentry"/>
        </w:rPr>
        <w:t>&lt;cx "quantifiers, with logical variables"&gt;</w:t>
      </w:r>
      <w:r>
        <w:rPr>
          <w:rStyle w:val="indexentry"/>
        </w:rPr>
        <w:fldChar w:fldCharType="begin"/>
      </w:r>
      <w:r>
        <w:instrText>xe "</w:instrText>
      </w:r>
      <w:r>
        <w:rPr>
          <w:rStyle w:val="xeentry"/>
        </w:rPr>
        <w:instrText>quantifier: with logical variables</w:instrText>
      </w:r>
      <w:r>
        <w:instrText>"</w:instrText>
      </w:r>
      <w:r>
        <w:rPr>
          <w:rStyle w:val="indexentry"/>
        </w:rPr>
        <w:fldChar w:fldCharType="end"/>
      </w:r>
      <w:r>
        <w:t>So far, we have seen variables with either nothing in front, or with</w:t>
      </w:r>
      <w:r>
        <w:rPr>
          <w:rStyle w:val="deletedparamark"/>
        </w:rPr>
        <w:t xml:space="preserve"> </w:t>
      </w:r>
      <w:r>
        <w:t>the cmavo “ro” in front. Now “ro” is a Lojban number, and means “all”;</w:t>
      </w:r>
      <w:r>
        <w:rPr>
          <w:rStyle w:val="deletedparamark"/>
        </w:rPr>
        <w:t xml:space="preserve"> </w:t>
      </w:r>
      <w:r>
        <w:t>thus “ro prenu” means “all pe</w:t>
      </w:r>
      <w:r>
        <w:t>r</w:t>
      </w:r>
      <w:r>
        <w:softHyphen/>
        <w:t>sons”, just as “re prenu” means “two persons”.</w:t>
      </w:r>
      <w:r>
        <w:rPr>
          <w:rStyle w:val="deletedparamark"/>
        </w:rPr>
        <w:t xml:space="preserve"> </w:t>
      </w:r>
      <w:r>
        <w:t>In fact, unadorned “da” is also taken to have an implicit number in front</w:t>
      </w:r>
      <w:r>
        <w:rPr>
          <w:rStyle w:val="deletedparamark"/>
        </w:rPr>
        <w:t xml:space="preserve"> </w:t>
      </w:r>
      <w:r>
        <w:t>of it, namely “su'o”, which means “at least one”. Why is this? Consider</w:t>
      </w:r>
      <w:r>
        <w:rPr>
          <w:rStyle w:val="deletedparamark"/>
        </w:rPr>
        <w:t xml:space="preserve"> </w:t>
      </w:r>
      <w:r>
        <w:rPr>
          <w:rStyle w:val="htmlcodes"/>
        </w:rPr>
        <w:t>&lt;a href=#e2d3&gt;</w:t>
      </w:r>
      <w:r>
        <w:t xml:space="preserve">Example 2.3 </w:t>
      </w:r>
      <w:r>
        <w:rPr>
          <w:rStyle w:val="htmlcodes"/>
        </w:rPr>
        <w:t>&lt;/a&gt;</w:t>
      </w:r>
      <w:r>
        <w:t>again, this time with an explicit “su'o”:</w:t>
      </w:r>
    </w:p>
    <w:p w:rsidR="00B72047" w:rsidRDefault="00B72047">
      <w:pPr>
        <w:rPr>
          <w:rStyle w:val="htmlparacode"/>
        </w:rPr>
      </w:pPr>
      <w:r>
        <w:rPr>
          <w:rStyle w:val="htmlparacode"/>
        </w:rPr>
        <w:t>&lt;p&gt;</w:t>
      </w:r>
    </w:p>
    <w:p w:rsidR="00B72047" w:rsidRDefault="00B72047">
      <w:pPr>
        <w:pStyle w:val="examplescaledpre"/>
      </w:pPr>
      <w:r>
        <w:rPr>
          <w:rStyle w:val="indexentry"/>
        </w:rPr>
        <w:t>&lt;cx "something, expressing using “su'o”"&gt;</w:t>
      </w:r>
      <w:r>
        <w:rPr>
          <w:rStyle w:val="indexentry"/>
        </w:rPr>
        <w:fldChar w:fldCharType="begin"/>
      </w:r>
      <w:r>
        <w:instrText>xe "</w:instrText>
      </w:r>
      <w:r>
        <w:rPr>
          <w:rStyle w:val="xeentry"/>
        </w:rPr>
        <w:instrText>something: expressing using su'o</w:instrText>
      </w:r>
      <w:r>
        <w:instrText>"</w:instrText>
      </w:r>
      <w:r>
        <w:rPr>
          <w:rStyle w:val="indexentry"/>
        </w:rPr>
        <w:fldChar w:fldCharType="end"/>
      </w:r>
      <w:r>
        <w:rPr>
          <w:rStyle w:val="indexentry"/>
        </w:rPr>
        <w:t>&lt;ex "something sees me"&gt;</w:t>
      </w:r>
      <w:r>
        <w:rPr>
          <w:rStyle w:val="indexentry"/>
        </w:rPr>
        <w:fldChar w:fldCharType="begin"/>
      </w:r>
      <w:r>
        <w:instrText>xe "</w:instrText>
      </w:r>
      <w:r>
        <w:rPr>
          <w:rStyle w:val="xeentry"/>
        </w:rPr>
        <w:instrText>something sees me: example</w:instrText>
      </w:r>
      <w:r>
        <w:instrText>"</w:instrText>
      </w:r>
      <w:r>
        <w:rPr>
          <w:rStyle w:val="indexentry"/>
        </w:rPr>
        <w:fldChar w:fldCharType="end"/>
      </w:r>
      <w:r>
        <w:rPr>
          <w:rStyle w:val="indexentry"/>
        </w:rPr>
        <w:t>&lt;lx "su'o"&gt;</w:t>
      </w:r>
      <w:r>
        <w:rPr>
          <w:rStyle w:val="indexentry"/>
        </w:rPr>
        <w:fldChar w:fldCharType="begin"/>
      </w:r>
      <w:r>
        <w:instrText>xe "</w:instrText>
      </w:r>
      <w:r>
        <w:rPr>
          <w:rStyle w:val="xeentry"/>
        </w:rPr>
        <w:instrText>su'o</w:instrText>
      </w:r>
      <w:r>
        <w:instrText>"</w:instrText>
      </w:r>
      <w:r>
        <w:rPr>
          <w:rStyle w:val="indexentry"/>
        </w:rPr>
        <w:fldChar w:fldCharType="end"/>
      </w:r>
      <w:r>
        <w:rPr>
          <w:rStyle w:val="htmlcodes"/>
        </w:rPr>
        <w:t>&lt;pre&gt;&lt;a name=e6d1&gt;</w:t>
      </w:r>
      <w:r>
        <w:t>6.1)</w:t>
      </w:r>
      <w:r>
        <w:tab/>
        <w:t>su'o da zo'u da viska mi</w:t>
      </w:r>
    </w:p>
    <w:p w:rsidR="00B72047" w:rsidRDefault="00B72047">
      <w:pPr>
        <w:pStyle w:val="examplescaled"/>
      </w:pPr>
      <w:r>
        <w:tab/>
        <w:t>For-at-least-one X :  X sees me.</w:t>
      </w:r>
    </w:p>
    <w:p w:rsidR="00B72047" w:rsidRDefault="00B72047">
      <w:pPr>
        <w:pStyle w:val="examplescaled"/>
      </w:pPr>
      <w:r>
        <w:tab/>
        <w:t>Something sees me.</w:t>
      </w:r>
    </w:p>
    <w:p w:rsidR="00B72047" w:rsidRDefault="00B72047">
      <w:pPr>
        <w:pStyle w:val="resumedafterexample"/>
      </w:pPr>
      <w:r>
        <w:rPr>
          <w:rStyle w:val="htmlcodes"/>
        </w:rPr>
        <w:t>&lt;/pre&gt;&lt;p&gt;</w:t>
      </w:r>
      <w:r>
        <w:t xml:space="preserve">From this version of </w:t>
      </w:r>
      <w:r>
        <w:rPr>
          <w:rStyle w:val="htmlcodes"/>
        </w:rPr>
        <w:t>&lt;a href=#e2d3&gt;</w:t>
      </w:r>
      <w:r>
        <w:t>Example 2.3</w:t>
      </w:r>
      <w:r>
        <w:rPr>
          <w:rStyle w:val="htmlcodes"/>
        </w:rPr>
        <w:t>&lt;/a&gt;</w:t>
      </w:r>
      <w:r>
        <w:t>, we understand the speaker's claim to be</w:t>
      </w:r>
      <w:r>
        <w:rPr>
          <w:rStyle w:val="deletedparamark"/>
        </w:rPr>
        <w:t xml:space="preserve"> </w:t>
      </w:r>
      <w:r>
        <w:t>that of all the things that there are, at least one of them sees him or her.</w:t>
      </w:r>
      <w:r>
        <w:rPr>
          <w:rStyle w:val="deletedparamark"/>
        </w:rPr>
        <w:t xml:space="preserve"> </w:t>
      </w:r>
      <w:r>
        <w:t>The corresponding univer</w:t>
      </w:r>
      <w:r>
        <w:softHyphen/>
        <w:t xml:space="preserve">sal claim, </w:t>
      </w:r>
      <w:r>
        <w:rPr>
          <w:rStyle w:val="htmlcodes"/>
        </w:rPr>
        <w:t>&lt;a href=#e3d2&gt;</w:t>
      </w:r>
      <w:r>
        <w:t>Example 3.2</w:t>
      </w:r>
      <w:r>
        <w:rPr>
          <w:rStyle w:val="htmlcodes"/>
        </w:rPr>
        <w:t>&lt;/a&gt;</w:t>
      </w:r>
      <w:r>
        <w:t>, says that of all the things</w:t>
      </w:r>
      <w:r>
        <w:rPr>
          <w:rStyle w:val="deletedparamark"/>
        </w:rPr>
        <w:t xml:space="preserve"> </w:t>
      </w:r>
      <w:r>
        <w:t>that exist, every one of them can see the speaker.</w:t>
      </w:r>
    </w:p>
    <w:p w:rsidR="00B72047" w:rsidRDefault="00B72047">
      <w:pPr>
        <w:rPr>
          <w:rStyle w:val="htmlparacode"/>
        </w:rPr>
      </w:pPr>
      <w:r>
        <w:rPr>
          <w:rStyle w:val="htmlparacode"/>
        </w:rPr>
        <w:t>&lt;p&gt;</w:t>
      </w:r>
    </w:p>
    <w:p w:rsidR="00B72047" w:rsidRDefault="00B72047">
      <w:pPr>
        <w:pStyle w:val="normalparagraph"/>
      </w:pPr>
      <w:r>
        <w:rPr>
          <w:rStyle w:val="indexentry"/>
        </w:rPr>
        <w:t>&lt;cx "numbers, on logical variables"&gt;</w:t>
      </w:r>
      <w:r>
        <w:rPr>
          <w:rStyle w:val="indexentry"/>
        </w:rPr>
        <w:fldChar w:fldCharType="begin"/>
      </w:r>
      <w:r>
        <w:instrText>xe "</w:instrText>
      </w:r>
      <w:r>
        <w:rPr>
          <w:rStyle w:val="xeentry"/>
        </w:rPr>
        <w:instrText>numbers: on logical variables</w:instrText>
      </w:r>
      <w:r>
        <w:instrText>"</w:instrText>
      </w:r>
      <w:r>
        <w:rPr>
          <w:rStyle w:val="indexentry"/>
        </w:rPr>
        <w:fldChar w:fldCharType="end"/>
      </w:r>
      <w:r>
        <w:t>Any other number can be used instead of “ro” or “su'o” to precede a</w:t>
      </w:r>
      <w:r>
        <w:rPr>
          <w:rStyle w:val="deletedparamark"/>
        </w:rPr>
        <w:t xml:space="preserve"> </w:t>
      </w:r>
      <w:r>
        <w:t>variable. Then we get claims 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re da zo'u da viska mi</w:t>
      </w:r>
    </w:p>
    <w:p w:rsidR="00B72047" w:rsidRDefault="00B72047">
      <w:pPr>
        <w:pStyle w:val="examplescaled"/>
      </w:pPr>
      <w:r>
        <w:tab/>
        <w:t>For-two-Xes :  X sees me.</w:t>
      </w:r>
    </w:p>
    <w:p w:rsidR="00B72047" w:rsidRDefault="00B72047">
      <w:pPr>
        <w:pStyle w:val="examplescaled"/>
      </w:pPr>
      <w:r>
        <w:tab/>
        <w:t>Two things see me.</w:t>
      </w:r>
    </w:p>
    <w:p w:rsidR="00B72047" w:rsidRDefault="00B72047">
      <w:pPr>
        <w:pStyle w:val="resumedafterexample"/>
      </w:pPr>
      <w:r>
        <w:rPr>
          <w:rStyle w:val="htmlcodes"/>
        </w:rPr>
        <w:t>&lt;/pre&gt;</w:t>
      </w:r>
      <w:r>
        <w:rPr>
          <w:rStyle w:val="indexentry"/>
        </w:rPr>
        <w:t>&lt;cx "numbers, Lojban contrasted with English on exactness"&gt;</w:t>
      </w:r>
      <w:r>
        <w:rPr>
          <w:rStyle w:val="indexentry"/>
        </w:rPr>
        <w:fldChar w:fldCharType="begin"/>
      </w:r>
      <w:r>
        <w:instrText>xe "</w:instrText>
      </w:r>
      <w:r>
        <w:rPr>
          <w:rStyle w:val="xeentry"/>
        </w:rPr>
        <w:instrText>numbers: Lojban contrasted with English on exactness</w:instrText>
      </w:r>
      <w:r>
        <w:instrText>"</w:instrText>
      </w:r>
      <w:r>
        <w:rPr>
          <w:rStyle w:val="indexentry"/>
        </w:rPr>
        <w:fldChar w:fldCharType="end"/>
      </w:r>
      <w:r>
        <w:rPr>
          <w:rStyle w:val="indexentry"/>
        </w:rPr>
        <w:t>&lt;cx "numbers, English contrasted with Lojban on exactness"&gt;</w:t>
      </w:r>
      <w:r>
        <w:rPr>
          <w:rStyle w:val="indexentry"/>
        </w:rPr>
        <w:fldChar w:fldCharType="begin"/>
      </w:r>
      <w:r>
        <w:instrText>xe "</w:instrText>
      </w:r>
      <w:r>
        <w:rPr>
          <w:rStyle w:val="xeentry"/>
        </w:rPr>
        <w:instrText>numbers: English contrasted with Lojban on exactness</w:instrText>
      </w:r>
      <w:r>
        <w:instrText>"</w:instrText>
      </w:r>
      <w:r>
        <w:rPr>
          <w:rStyle w:val="indexentry"/>
        </w:rPr>
        <w:fldChar w:fldCharType="end"/>
      </w:r>
      <w:r>
        <w:t>This means that exactly two things, no more or less, saw the speaker on</w:t>
      </w:r>
      <w:r>
        <w:rPr>
          <w:rStyle w:val="deletedparamark"/>
        </w:rPr>
        <w:t xml:space="preserve"> </w:t>
      </w:r>
      <w:r>
        <w:t>the relevant occ</w:t>
      </w:r>
      <w:r>
        <w:t>a</w:t>
      </w:r>
      <w:r>
        <w:softHyphen/>
        <w:t>sion. In English, we might take “Two things see me”</w:t>
      </w:r>
      <w:r>
        <w:rPr>
          <w:rStyle w:val="deletedparamark"/>
        </w:rPr>
        <w:t xml:space="preserve"> </w:t>
      </w:r>
      <w:r>
        <w:t>to mean that at least two things see the speaker, but there might be</w:t>
      </w:r>
      <w:r>
        <w:rPr>
          <w:rStyle w:val="deletedparamark"/>
        </w:rPr>
        <w:t xml:space="preserve"> </w:t>
      </w:r>
      <w:r>
        <w:t>more; in Lojban, though, that claim would have to be made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su'ore da zo'u da viska mi</w:t>
      </w:r>
    </w:p>
    <w:p w:rsidR="00B72047" w:rsidRDefault="00B72047">
      <w:pPr>
        <w:pStyle w:val="examplescaled"/>
      </w:pPr>
      <w:r>
        <w:tab/>
        <w:t>For-at-least-two Xes :  X sees me.</w:t>
      </w:r>
    </w:p>
    <w:p w:rsidR="00B72047" w:rsidRDefault="00B72047">
      <w:pPr>
        <w:pStyle w:val="resumedafterexample"/>
      </w:pPr>
      <w:r>
        <w:rPr>
          <w:rStyle w:val="htmlcodes"/>
        </w:rPr>
        <w:t>&lt;/pre&gt;</w:t>
      </w:r>
      <w:r>
        <w:t>which would be false if nothing, or only one thing, saw the speaker, but</w:t>
      </w:r>
      <w:r>
        <w:rPr>
          <w:rStyle w:val="deletedparamark"/>
        </w:rPr>
        <w:t xml:space="preserve"> </w:t>
      </w:r>
      <w:r>
        <w:t>not otherwise. We note the “su'o” here meaning “at least”; “su'o” by</w:t>
      </w:r>
      <w:r>
        <w:rPr>
          <w:rStyle w:val="deletedparamark"/>
        </w:rPr>
        <w:t xml:space="preserve"> </w:t>
      </w:r>
      <w:r>
        <w:t>itself is short for “su'opa” where “pa” means “one”, as is explained</w:t>
      </w:r>
      <w:r>
        <w:rPr>
          <w:rStyle w:val="deletedparamark"/>
        </w:rPr>
        <w:t xml:space="preserve"> </w:t>
      </w:r>
      <w:r>
        <w:t xml:space="preserve">in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"prenex, removing when numeric quantifiers present"&gt;</w:t>
      </w:r>
      <w:r>
        <w:rPr>
          <w:rStyle w:val="indexentry"/>
        </w:rPr>
        <w:fldChar w:fldCharType="begin"/>
      </w:r>
      <w:r>
        <w:instrText>xe "</w:instrText>
      </w:r>
      <w:r>
        <w:rPr>
          <w:rStyle w:val="xeentry"/>
        </w:rPr>
        <w:instrText>prenex: removing when numeric quantifiers present</w:instrText>
      </w:r>
      <w:r>
        <w:instrText>"</w:instrText>
      </w:r>
      <w:r>
        <w:rPr>
          <w:rStyle w:val="indexentry"/>
        </w:rPr>
        <w:fldChar w:fldCharType="end"/>
      </w:r>
      <w:r>
        <w:t xml:space="preserve">The prenex may be removed from </w:t>
      </w:r>
      <w:r>
        <w:rPr>
          <w:rStyle w:val="htmlcodes"/>
        </w:rPr>
        <w:t>&lt;a href=#e6d{2}&gt;</w:t>
      </w:r>
      <w:r>
        <w:t xml:space="preserve">Examples 6.2 </w:t>
      </w:r>
      <w:r>
        <w:rPr>
          <w:rStyle w:val="htmlcodes"/>
        </w:rPr>
        <w:t>&lt;/a&gt;</w:t>
      </w:r>
      <w:r>
        <w:t xml:space="preserve">and </w:t>
      </w:r>
      <w:r>
        <w:rPr>
          <w:rStyle w:val="htmlcodes"/>
        </w:rPr>
        <w:t>&lt;a href=#e6d3&gt;</w:t>
      </w:r>
      <w:r>
        <w:t xml:space="preserve">6.3 </w:t>
      </w:r>
      <w:r>
        <w:rPr>
          <w:rStyle w:val="htmlcodes"/>
        </w:rPr>
        <w:t>&lt;/a&gt;</w:t>
      </w:r>
      <w:r>
        <w:t>as from the others,</w:t>
      </w:r>
      <w:r>
        <w:rPr>
          <w:rStyle w:val="deletedparamark"/>
        </w:rPr>
        <w:t xml:space="preserve"> </w:t>
      </w:r>
      <w:r>
        <w:t>leading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re da viska mi</w:t>
      </w:r>
    </w:p>
    <w:p w:rsidR="00B72047" w:rsidRDefault="00B72047">
      <w:pPr>
        <w:pStyle w:val="examplescaled"/>
      </w:pPr>
      <w:r>
        <w:tab/>
        <w:t>Two Xes see me.</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su'ore da viska mi</w:t>
      </w:r>
    </w:p>
    <w:p w:rsidR="00B72047" w:rsidRDefault="00B72047">
      <w:pPr>
        <w:pStyle w:val="examplescaled"/>
      </w:pPr>
      <w:r>
        <w:tab/>
        <w:t>At-least-two Xes see me.</w:t>
      </w:r>
    </w:p>
    <w:p w:rsidR="00B72047" w:rsidRDefault="00B72047">
      <w:pPr>
        <w:pStyle w:val="resumedafterexample"/>
      </w:pPr>
      <w:r>
        <w:rPr>
          <w:rStyle w:val="htmlcodes"/>
        </w:rPr>
        <w:t>&lt;/pre&gt;</w:t>
      </w:r>
      <w:r>
        <w:t xml:space="preserve">respectively, subject to the rules prescribed in </w:t>
      </w:r>
      <w:r>
        <w:rPr>
          <w:rStyle w:val="htmlcodes"/>
        </w:rPr>
        <w:t>&lt;a href=#s5&gt;</w:t>
      </w:r>
      <w:r>
        <w:t>Section 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"ro prenu"&gt;</w:t>
      </w:r>
      <w:r>
        <w:rPr>
          <w:rStyle w:val="indexentry"/>
        </w:rPr>
        <w:fldChar w:fldCharType="begin"/>
      </w:r>
      <w:r>
        <w:instrText>xe "</w:instrText>
      </w:r>
      <w:r>
        <w:rPr>
          <w:rStyle w:val="xeentry"/>
        </w:rPr>
        <w:instrText>ro prenu</w:instrText>
      </w:r>
      <w:r>
        <w:instrText>"</w:instrText>
      </w:r>
      <w:r>
        <w:rPr>
          <w:rStyle w:val="indexentry"/>
        </w:rPr>
        <w:fldChar w:fldCharType="end"/>
      </w:r>
      <w:r>
        <w:rPr>
          <w:rStyle w:val="indexentry"/>
        </w:rPr>
        <w:t>&lt;ex "all persons"&gt;</w:t>
      </w:r>
      <w:r>
        <w:rPr>
          <w:rStyle w:val="indexentry"/>
        </w:rPr>
        <w:fldChar w:fldCharType="begin"/>
      </w:r>
      <w:r>
        <w:instrText>xe "</w:instrText>
      </w:r>
      <w:r>
        <w:rPr>
          <w:rStyle w:val="xeentry"/>
        </w:rPr>
        <w:instrText>all persons: example</w:instrText>
      </w:r>
      <w:r>
        <w:instrText>"</w:instrText>
      </w:r>
      <w:r>
        <w:rPr>
          <w:rStyle w:val="indexentry"/>
        </w:rPr>
        <w:fldChar w:fldCharType="end"/>
      </w:r>
      <w:r>
        <w:rPr>
          <w:rStyle w:val="indexentry"/>
        </w:rPr>
        <w:t>&lt;cx "indefinite description, definition"&gt;</w:t>
      </w:r>
      <w:r>
        <w:rPr>
          <w:rStyle w:val="indexentry"/>
        </w:rPr>
        <w:fldChar w:fldCharType="begin"/>
      </w:r>
      <w:r>
        <w:instrText>xe "</w:instrText>
      </w:r>
      <w:r>
        <w:rPr>
          <w:rStyle w:val="xeentry"/>
        </w:rPr>
        <w:instrText>indefinite description: definition</w:instrText>
      </w:r>
      <w:r>
        <w:instrText>"</w:instrText>
      </w:r>
      <w:r>
        <w:rPr>
          <w:rStyle w:val="indexentry"/>
        </w:rPr>
        <w:fldChar w:fldCharType="end"/>
      </w:r>
      <w:r>
        <w:rPr>
          <w:rStyle w:val="indexentry"/>
        </w:rPr>
        <w:t>&lt;cx "indefinite description, compared with restricted variable"&gt;</w:t>
      </w:r>
      <w:r>
        <w:rPr>
          <w:rStyle w:val="indexentry"/>
        </w:rPr>
        <w:fldChar w:fldCharType="begin"/>
      </w:r>
      <w:r>
        <w:instrText>xe "</w:instrText>
      </w:r>
      <w:r>
        <w:rPr>
          <w:rStyle w:val="xeentry"/>
        </w:rPr>
        <w:instrText>indefinite description: compared with restricted variable</w:instrText>
      </w:r>
      <w:r>
        <w:instrText>"</w:instrText>
      </w:r>
      <w:r>
        <w:rPr>
          <w:rStyle w:val="indexentry"/>
        </w:rPr>
        <w:fldChar w:fldCharType="end"/>
      </w:r>
      <w:r>
        <w:rPr>
          <w:rStyle w:val="indexentry"/>
        </w:rPr>
        <w:t>&lt;cx "restricted variable, compared with indefinite description"&gt;</w:t>
      </w:r>
      <w:r>
        <w:rPr>
          <w:rStyle w:val="indexentry"/>
        </w:rPr>
        <w:fldChar w:fldCharType="begin"/>
      </w:r>
      <w:r>
        <w:instrText>xe "</w:instrText>
      </w:r>
      <w:r>
        <w:rPr>
          <w:rStyle w:val="xeentry"/>
        </w:rPr>
        <w:instrText>restricted variable: compared with indefinite description</w:instrText>
      </w:r>
      <w:r>
        <w:instrText>"</w:instrText>
      </w:r>
      <w:r>
        <w:rPr>
          <w:rStyle w:val="indexentry"/>
        </w:rPr>
        <w:fldChar w:fldCharType="end"/>
      </w:r>
      <w:r>
        <w:t>Now we can explain the constructions “ro prenu” for “all persons” and</w:t>
      </w:r>
      <w:r>
        <w:rPr>
          <w:rStyle w:val="deletedparamark"/>
        </w:rPr>
        <w:t xml:space="preserve"> “</w:t>
      </w:r>
      <w:r>
        <w:t>re prenu” for “two persons” which were casually mentioned at the beginning</w:t>
      </w:r>
      <w:r>
        <w:rPr>
          <w:rStyle w:val="deletedparamark"/>
        </w:rPr>
        <w:t xml:space="preserve"> </w:t>
      </w:r>
      <w:r>
        <w:t>of this Sec</w:t>
      </w:r>
      <w:r>
        <w:softHyphen/>
        <w:t>tion. In fact, “ro prenu”, a so-called “indefinite description”,</w:t>
      </w:r>
      <w:r>
        <w:rPr>
          <w:rStyle w:val="deletedparamark"/>
        </w:rPr>
        <w:t xml:space="preserve"> </w:t>
      </w:r>
      <w:r>
        <w:t>is shorthand for “ro DA poi prenu”, where “DA” represents a fictitious</w:t>
      </w:r>
      <w:r>
        <w:rPr>
          <w:rStyle w:val="deletedparamark"/>
        </w:rPr>
        <w:t xml:space="preserve"> </w:t>
      </w:r>
      <w:r>
        <w:t>variable that hasn't been used yet and will not be used in future.</w:t>
      </w:r>
      <w:r>
        <w:rPr>
          <w:rStyle w:val="deletedparamark"/>
        </w:rPr>
        <w:t xml:space="preserve"> </w:t>
      </w:r>
      <w:r>
        <w:t>(Even if all three of “da”, “de”, and “di” have been used up, it does not</w:t>
      </w:r>
      <w:r>
        <w:rPr>
          <w:rStyle w:val="deletedparamark"/>
        </w:rPr>
        <w:t xml:space="preserve"> </w:t>
      </w:r>
      <w:r>
        <w:t>matter, for there are ways of getting more variables, discussed in</w:t>
      </w:r>
      <w:r>
        <w:rPr>
          <w:rStyle w:val="deletedparamark"/>
        </w:rPr>
        <w:t xml:space="preserve"> </w:t>
      </w:r>
      <w:r>
        <w:rPr>
          <w:rStyle w:val="htmlcodes"/>
        </w:rPr>
        <w:t>&lt;a href=#s14&gt;</w:t>
      </w:r>
      <w:r>
        <w:t>Section 14</w:t>
      </w:r>
      <w:r>
        <w:rPr>
          <w:rStyle w:val="htmlcodes"/>
        </w:rPr>
        <w:t>&lt;/a&gt;</w:t>
      </w:r>
      <w:r>
        <w:t>.) So in fact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re prenu viska mi</w:t>
      </w:r>
    </w:p>
    <w:p w:rsidR="00B72047" w:rsidRDefault="00B72047">
      <w:pPr>
        <w:pStyle w:val="examplescaled"/>
      </w:pPr>
      <w:r>
        <w:tab/>
        <w:t>Two persons see me.</w:t>
      </w:r>
    </w:p>
    <w:p w:rsidR="00B72047" w:rsidRDefault="00B72047">
      <w:pPr>
        <w:pStyle w:val="resumedafterexample"/>
      </w:pPr>
      <w:r>
        <w:rPr>
          <w:rStyle w:val="htmlcodes"/>
        </w:rPr>
        <w:t>&lt;/pre&gt;</w:t>
      </w:r>
      <w:r>
        <w:t>is short for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name=e6d7&gt;</w:t>
      </w:r>
      <w:r>
        <w:t>6.7)</w:t>
      </w:r>
      <w:r>
        <w:tab/>
        <w:t>re da poi prenu cu viska mi</w:t>
      </w:r>
    </w:p>
    <w:p w:rsidR="00B72047" w:rsidRDefault="00B72047">
      <w:pPr>
        <w:pStyle w:val="examplescaled"/>
      </w:pPr>
      <w:r>
        <w:tab/>
        <w:t>Two Xes which are-persons see me.</w:t>
      </w:r>
    </w:p>
    <w:p w:rsidR="00B72047" w:rsidRDefault="00B72047">
      <w:pPr>
        <w:pStyle w:val="resumedafterexample"/>
      </w:pPr>
      <w:r>
        <w:rPr>
          <w:rStyle w:val="htmlcodes"/>
        </w:rPr>
        <w:t>&lt;/pre&gt;</w:t>
      </w:r>
      <w:r>
        <w:t>which in turn is short for: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re da poi prenu zo'u da viska mi</w:t>
      </w:r>
    </w:p>
    <w:p w:rsidR="00B72047" w:rsidRDefault="00B72047">
      <w:pPr>
        <w:pStyle w:val="examplescaled"/>
      </w:pPr>
      <w:r>
        <w:tab/>
        <w:t>For-two Xes which are-persons :  X sees me.</w:t>
      </w:r>
    </w:p>
    <w:p w:rsidR="00B72047" w:rsidRDefault="00B72047">
      <w:pPr>
        <w:pStyle w:val="normalafterexample"/>
      </w:pPr>
      <w:r>
        <w:rPr>
          <w:rStyle w:val="htmlcodes"/>
        </w:rPr>
        <w:t>&lt;/pre&gt;</w:t>
      </w:r>
      <w:r>
        <w:rPr>
          <w:rStyle w:val="indexentry"/>
        </w:rPr>
        <w:t>&lt;cx "order of variables, in moving to prenex"&gt;</w:t>
      </w:r>
      <w:r>
        <w:rPr>
          <w:rStyle w:val="indexentry"/>
        </w:rPr>
        <w:fldChar w:fldCharType="begin"/>
      </w:r>
      <w:r>
        <w:instrText>xe "</w:instrText>
      </w:r>
      <w:r>
        <w:rPr>
          <w:rStyle w:val="xeentry"/>
        </w:rPr>
        <w:instrText>order of variables: in moving to prenex</w:instrText>
      </w:r>
      <w:r>
        <w:instrText>"</w:instrText>
      </w:r>
      <w:r>
        <w:rPr>
          <w:rStyle w:val="indexentry"/>
        </w:rPr>
        <w:fldChar w:fldCharType="end"/>
      </w:r>
      <w:r>
        <w:t>Note that when we move more than one variable to the prenex (along with</w:t>
      </w:r>
      <w:r>
        <w:rPr>
          <w:rStyle w:val="deletedparamark"/>
        </w:rPr>
        <w:t xml:space="preserve"> </w:t>
      </w:r>
      <w:r>
        <w:t>its a</w:t>
      </w:r>
      <w:r>
        <w:t>t</w:t>
      </w:r>
      <w:r>
        <w:softHyphen/>
        <w:t>tached relative clause), we must make sure that the variables are in</w:t>
      </w:r>
      <w:r>
        <w:rPr>
          <w:rStyle w:val="deletedparamark"/>
        </w:rPr>
        <w:t xml:space="preserve"> </w:t>
      </w:r>
      <w:r>
        <w:t>the same order in the prenex as in the bridi proper.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461" w:name="_Toc398970700"/>
      <w:r>
        <w:rPr>
          <w:rStyle w:val="Heading3Text"/>
        </w:rPr>
        <w:t>Grouping of quantifiers</w:t>
      </w:r>
      <w:bookmarkEnd w:id="46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"indefinite sumti, multiple in sentence"&gt;</w:t>
      </w:r>
      <w:r>
        <w:rPr>
          <w:rStyle w:val="indexentry"/>
        </w:rPr>
        <w:fldChar w:fldCharType="begin"/>
      </w:r>
      <w:r>
        <w:instrText>xe "</w:instrText>
      </w:r>
      <w:r>
        <w:rPr>
          <w:rStyle w:val="xeentry"/>
        </w:rPr>
        <w:instrText>indefinite sumti: multiple in sentence</w:instrText>
      </w:r>
      <w:r>
        <w:instrText>"</w:instrText>
      </w:r>
      <w:r>
        <w:rPr>
          <w:rStyle w:val="indexentry"/>
        </w:rPr>
        <w:fldChar w:fldCharType="end"/>
      </w:r>
      <w:r>
        <w:rPr>
          <w:rStyle w:val="indexentry"/>
        </w:rPr>
        <w:t>&lt;cx "distribution of quantified sumti"&gt;</w:t>
      </w:r>
      <w:r>
        <w:rPr>
          <w:rStyle w:val="indexentry"/>
        </w:rPr>
        <w:fldChar w:fldCharType="begin"/>
      </w:r>
      <w:r>
        <w:instrText>xe "</w:instrText>
      </w:r>
      <w:r>
        <w:rPr>
          <w:rStyle w:val="xeentry"/>
        </w:rPr>
        <w:instrText>distribution of quantified sumti</w:instrText>
      </w:r>
      <w:r>
        <w:instrText>"</w:instrText>
      </w:r>
      <w:r>
        <w:rPr>
          <w:rStyle w:val="indexentry"/>
        </w:rPr>
        <w:fldChar w:fldCharType="end"/>
      </w:r>
      <w:r>
        <w:t>Let us consider a sentence containing two quantifier expressions neither</w:t>
      </w:r>
      <w:r>
        <w:rPr>
          <w:rStyle w:val="deletedparamark"/>
        </w:rPr>
        <w:t xml:space="preserve"> </w:t>
      </w:r>
      <w:r>
        <w:t>of which is “ro” or “su'o” (remembering that “su'o” is implicit where</w:t>
      </w:r>
      <w:r>
        <w:rPr>
          <w:rStyle w:val="deletedparamark"/>
        </w:rPr>
        <w:t xml:space="preserve"> </w:t>
      </w:r>
      <w:r>
        <w:t>no explicit quantifier is given):</w:t>
      </w:r>
    </w:p>
    <w:p w:rsidR="00B72047" w:rsidRDefault="00B72047">
      <w:pPr>
        <w:rPr>
          <w:rStyle w:val="htmlparacode"/>
        </w:rPr>
      </w:pPr>
      <w:r>
        <w:rPr>
          <w:rStyle w:val="htmlparacode"/>
        </w:rPr>
        <w:t>&lt;p&gt;</w:t>
      </w:r>
    </w:p>
    <w:p w:rsidR="00B72047" w:rsidRDefault="00B72047">
      <w:pPr>
        <w:pStyle w:val="examplescaledpre"/>
      </w:pPr>
      <w:r>
        <w:rPr>
          <w:rStyle w:val="indexentry"/>
        </w:rPr>
        <w:t>&lt;ex "three dogs bite two men"&gt;</w:t>
      </w:r>
      <w:r>
        <w:rPr>
          <w:rStyle w:val="indexentry"/>
        </w:rPr>
        <w:fldChar w:fldCharType="begin"/>
      </w:r>
      <w:r>
        <w:rPr>
          <w:rStyle w:val="xeentry"/>
        </w:rPr>
        <w:instrText>xe "selma’odogs bite: example"</w:instrText>
      </w:r>
      <w:r>
        <w:rPr>
          <w:rStyle w:val="indexentry"/>
        </w:rPr>
        <w:fldChar w:fldCharType="end"/>
      </w:r>
      <w:r>
        <w:rPr>
          <w:rStyle w:val="indexentry"/>
        </w:rPr>
        <w:fldChar w:fldCharType="begin"/>
      </w:r>
      <w:r>
        <w:instrText>xe "</w:instrText>
      </w:r>
      <w:r>
        <w:rPr>
          <w:rStyle w:val="xeentry"/>
        </w:rPr>
        <w:instrText>three dogs bite two men: example</w:instrText>
      </w:r>
      <w:r>
        <w:instrText>"</w:instrText>
      </w:r>
      <w:r>
        <w:rPr>
          <w:rStyle w:val="indexentry"/>
        </w:rPr>
        <w:fldChar w:fldCharType="end"/>
      </w:r>
      <w:r>
        <w:rPr>
          <w:rStyle w:val="htmlcodes"/>
        </w:rPr>
        <w:t>&lt;pre&gt;&lt;a name=e7d1&gt;</w:t>
      </w:r>
      <w:r>
        <w:t>7.1)</w:t>
      </w:r>
      <w:r>
        <w:tab/>
        <w:t>ci gerku cu batci re nanmu</w:t>
      </w:r>
    </w:p>
    <w:p w:rsidR="00B72047" w:rsidRDefault="00B72047">
      <w:pPr>
        <w:pStyle w:val="examplescaled"/>
      </w:pPr>
      <w:r>
        <w:tab/>
        <w:t>Three dogs bite two men.</w:t>
      </w:r>
    </w:p>
    <w:p w:rsidR="00B72047" w:rsidRDefault="00B72047">
      <w:pPr>
        <w:pStyle w:val="normalafterexample"/>
      </w:pPr>
      <w:r>
        <w:rPr>
          <w:rStyle w:val="htmlcodes"/>
        </w:rPr>
        <w:t>&lt;/pre&gt;</w:t>
      </w:r>
      <w:r>
        <w:rPr>
          <w:rStyle w:val="indexentry"/>
        </w:rPr>
        <w:t>&lt;cx "indefinite sumti, meaning when multiple in sentence"&gt;</w:t>
      </w:r>
      <w:r>
        <w:rPr>
          <w:rStyle w:val="indexentry"/>
        </w:rPr>
        <w:fldChar w:fldCharType="begin"/>
      </w:r>
      <w:r>
        <w:instrText>xe "</w:instrText>
      </w:r>
      <w:r>
        <w:rPr>
          <w:rStyle w:val="xeentry"/>
        </w:rPr>
        <w:instrText>indefinite sumti: meaning when multiple in sentence</w:instrText>
      </w:r>
      <w:r>
        <w:instrText>"</w:instrText>
      </w:r>
      <w:r>
        <w:rPr>
          <w:rStyle w:val="indexentry"/>
        </w:rPr>
        <w:fldChar w:fldCharType="end"/>
      </w:r>
      <w:r>
        <w:rPr>
          <w:rStyle w:val="indexentry"/>
        </w:rPr>
        <w:t>&lt;cx "multiple indefinite sumti, meaning"&gt;</w:t>
      </w:r>
      <w:r>
        <w:rPr>
          <w:rStyle w:val="indexentry"/>
        </w:rPr>
        <w:fldChar w:fldCharType="begin"/>
      </w:r>
      <w:r>
        <w:instrText>xe "</w:instrText>
      </w:r>
      <w:r>
        <w:rPr>
          <w:rStyle w:val="xeentry"/>
        </w:rPr>
        <w:instrText>multiple indefinite sumti: meaning</w:instrText>
      </w:r>
      <w:r>
        <w:instrText>"</w:instrText>
      </w:r>
      <w:r>
        <w:rPr>
          <w:rStyle w:val="indexentry"/>
        </w:rPr>
        <w:fldChar w:fldCharType="end"/>
      </w:r>
      <w:r>
        <w:t xml:space="preserve">The question raised by </w:t>
      </w:r>
      <w:r>
        <w:rPr>
          <w:rStyle w:val="htmlcodes"/>
        </w:rPr>
        <w:t>&lt;a href=#e7d1&gt;</w:t>
      </w:r>
      <w:r>
        <w:t xml:space="preserve">Example 7.1 </w:t>
      </w:r>
      <w:r>
        <w:rPr>
          <w:rStyle w:val="htmlcodes"/>
        </w:rPr>
        <w:t>&lt;/a&gt;</w:t>
      </w:r>
      <w:r>
        <w:t>is, does each of the dogs bite the same</w:t>
      </w:r>
      <w:r>
        <w:rPr>
          <w:rStyle w:val="deletedparamark"/>
        </w:rPr>
        <w:t xml:space="preserve"> </w:t>
      </w:r>
      <w:r>
        <w:t>two men, or is it possible that there are two different men per dog, for six</w:t>
      </w:r>
      <w:r>
        <w:rPr>
          <w:rStyle w:val="deletedparamark"/>
        </w:rPr>
        <w:t xml:space="preserve"> </w:t>
      </w:r>
      <w:r>
        <w:t>men altogether? If the former interpretation is taken, the number of men</w:t>
      </w:r>
      <w:r>
        <w:rPr>
          <w:rStyle w:val="deletedparamark"/>
        </w:rPr>
        <w:t xml:space="preserve"> </w:t>
      </w:r>
      <w:r>
        <w:t>involved is fixed at two; but if the la</w:t>
      </w:r>
      <w:r>
        <w:t>t</w:t>
      </w:r>
      <w:r>
        <w:softHyphen/>
        <w:t>ter, then the speaker has to be</w:t>
      </w:r>
      <w:r>
        <w:rPr>
          <w:rStyle w:val="deletedparamark"/>
        </w:rPr>
        <w:t xml:space="preserve"> </w:t>
      </w:r>
      <w:r>
        <w:t>taken as saying that there might be any number of men between two and six</w:t>
      </w:r>
      <w:r>
        <w:rPr>
          <w:rStyle w:val="deletedparamark"/>
        </w:rPr>
        <w:t xml:space="preserve"> </w:t>
      </w:r>
      <w:r>
        <w:t xml:space="preserve">inclusive. Let us transform </w:t>
      </w:r>
      <w:r>
        <w:rPr>
          <w:rStyle w:val="htmlcodes"/>
        </w:rPr>
        <w:t>&lt;a href=#e7d1&gt;</w:t>
      </w:r>
      <w:r>
        <w:t xml:space="preserve">Example 7.1 </w:t>
      </w:r>
      <w:r>
        <w:rPr>
          <w:rStyle w:val="htmlcodes"/>
        </w:rPr>
        <w:t>&lt;/a&gt;</w:t>
      </w:r>
      <w:r>
        <w:t>step by step as we did with</w:t>
      </w:r>
      <w:r>
        <w:rPr>
          <w:rStyle w:val="deletedparamark"/>
        </w:rPr>
        <w:t xml:space="preserve"> </w:t>
      </w:r>
      <w:r>
        <w:rPr>
          <w:rStyle w:val="htmlcodes"/>
        </w:rPr>
        <w:t>&lt;a href=#e6d6&gt;</w:t>
      </w:r>
      <w:r>
        <w:t>Example 6.6</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name=e7d2&gt;</w:t>
      </w:r>
      <w:r>
        <w:t>7.2)</w:t>
      </w:r>
      <w:r>
        <w:tab/>
        <w:t>ci da poi gerku cu batci re de poi nanmu</w:t>
      </w:r>
    </w:p>
    <w:p w:rsidR="00B72047" w:rsidRDefault="00B72047">
      <w:pPr>
        <w:pStyle w:val="examplescaled"/>
      </w:pPr>
      <w:r>
        <w:tab/>
        <w:t>Three Xes which are-dogs bite two Ys which are-men.</w:t>
      </w:r>
    </w:p>
    <w:p w:rsidR="00B72047" w:rsidRDefault="00B72047">
      <w:pPr>
        <w:pStyle w:val="resumedafterexample"/>
      </w:pPr>
      <w:r>
        <w:rPr>
          <w:rStyle w:val="htmlcodes"/>
        </w:rPr>
        <w:t>&lt;/pre&gt;</w:t>
      </w:r>
      <w:r>
        <w:t>(Note that we need separate variables “da” and “de”, because of the rule</w:t>
      </w:r>
      <w:r>
        <w:rPr>
          <w:rStyle w:val="deletedparamark"/>
        </w:rPr>
        <w:t xml:space="preserve"> </w:t>
      </w:r>
      <w:r>
        <w:t>that says each indefinite description gets a variable never used before</w:t>
      </w:r>
      <w:r>
        <w:rPr>
          <w:rStyle w:val="deletedparamark"/>
        </w:rPr>
        <w:t xml:space="preserve"> </w:t>
      </w:r>
      <w:r>
        <w:t>or since.)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ci da poi gerku ku'o re de poi nanmu zo'u da batci de</w:t>
      </w:r>
    </w:p>
    <w:p w:rsidR="00B72047" w:rsidRDefault="00B72047">
      <w:pPr>
        <w:pStyle w:val="examplescaled"/>
      </w:pPr>
      <w:r>
        <w:tab/>
        <w:t>For-three Xes which are-dogs, for-two Ys which are-men :  X bites Y.</w:t>
      </w:r>
    </w:p>
    <w:p w:rsidR="00B72047" w:rsidRDefault="00B72047">
      <w:pPr>
        <w:pStyle w:val="resumedafterexample"/>
      </w:pPr>
      <w:r>
        <w:rPr>
          <w:rStyle w:val="htmlcodes"/>
        </w:rPr>
        <w:t>&lt;/pre&gt;&lt;p&gt;</w:t>
      </w:r>
      <w:r>
        <w:t>Here we see that indeed each of the dogs is said to bite two men, and it</w:t>
      </w:r>
      <w:r>
        <w:rPr>
          <w:rStyle w:val="deletedparamark"/>
        </w:rPr>
        <w:t xml:space="preserve"> </w:t>
      </w:r>
      <w:r>
        <w:t>might be differ</w:t>
      </w:r>
      <w:r>
        <w:softHyphen/>
        <w:t>ent men each time; a total of six biting events altogether.</w:t>
      </w:r>
    </w:p>
    <w:p w:rsidR="00B72047" w:rsidRDefault="00B72047">
      <w:pPr>
        <w:rPr>
          <w:rStyle w:val="htmlparacode"/>
        </w:rPr>
      </w:pPr>
      <w:r>
        <w:rPr>
          <w:rStyle w:val="htmlparacode"/>
        </w:rPr>
        <w:t>&lt;p&gt;</w:t>
      </w:r>
    </w:p>
    <w:p w:rsidR="00B72047" w:rsidRDefault="00B72047">
      <w:pPr>
        <w:pStyle w:val="normalparagraph"/>
      </w:pPr>
      <w:r>
        <w:rPr>
          <w:rStyle w:val="indexentry"/>
        </w:rPr>
        <w:t>&lt;cx "multiple indefinite sumti, effect of re-ordering in sentence"&gt;</w:t>
      </w:r>
      <w:r>
        <w:rPr>
          <w:rStyle w:val="indexentry"/>
        </w:rPr>
        <w:fldChar w:fldCharType="begin"/>
      </w:r>
      <w:r>
        <w:instrText>xe "</w:instrText>
      </w:r>
      <w:r>
        <w:rPr>
          <w:rStyle w:val="xeentry"/>
        </w:rPr>
        <w:instrText>multiple indefinite sumti: effect of re-ordering in sentence</w:instrText>
      </w:r>
      <w:r>
        <w:instrText>"</w:instrText>
      </w:r>
      <w:r>
        <w:rPr>
          <w:rStyle w:val="indexentry"/>
        </w:rPr>
        <w:fldChar w:fldCharType="end"/>
      </w:r>
      <w:r>
        <w:t>How then are we to express the other interpretation, in which just two</w:t>
      </w:r>
      <w:r>
        <w:rPr>
          <w:rStyle w:val="deletedparamark"/>
        </w:rPr>
        <w:t xml:space="preserve"> </w:t>
      </w:r>
      <w:r>
        <w:t>men are i</w:t>
      </w:r>
      <w:r>
        <w:t>n</w:t>
      </w:r>
      <w:r>
        <w:softHyphen/>
        <w:t>volved? We cannot just reverse the order of variables in</w:t>
      </w:r>
      <w:r>
        <w:rPr>
          <w:rStyle w:val="deletedparamark"/>
        </w:rPr>
        <w:t xml:space="preserve"> </w:t>
      </w:r>
      <w:r>
        <w:t>the prenex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name=e7d4&gt;</w:t>
      </w:r>
      <w:r>
        <w:t>7.4)</w:t>
      </w:r>
      <w:r>
        <w:tab/>
        <w:t>re de poi nanmu ku'o ci da poi gerku zo'u da batci de</w:t>
      </w:r>
    </w:p>
    <w:p w:rsidR="00B72047" w:rsidRDefault="00B72047">
      <w:pPr>
        <w:pStyle w:val="examplescaled"/>
      </w:pPr>
      <w:r>
        <w:tab/>
        <w:t>For-two Ys which are-men, for-three Xes which are-dogs, X bites Y</w:t>
      </w:r>
    </w:p>
    <w:p w:rsidR="00B72047" w:rsidRDefault="00B72047">
      <w:pPr>
        <w:pStyle w:val="resumedafterexample"/>
      </w:pPr>
      <w:r>
        <w:rPr>
          <w:rStyle w:val="htmlcodes"/>
        </w:rPr>
        <w:t>&lt;/pre&gt;</w:t>
      </w:r>
      <w:r>
        <w:t>for although we have now limited the number of men to exactly two, we</w:t>
      </w:r>
      <w:r>
        <w:rPr>
          <w:rStyle w:val="deletedparamark"/>
        </w:rPr>
        <w:t xml:space="preserve"> </w:t>
      </w:r>
      <w:r>
        <w:t>end up with an indeterminate number of dogs, from three to six.</w:t>
      </w:r>
      <w:r>
        <w:rPr>
          <w:rStyle w:val="deletedparamark"/>
        </w:rPr>
        <w:t xml:space="preserve"> </w:t>
      </w:r>
      <w:r>
        <w:t>The distinction is called a “scope dis</w:t>
      </w:r>
      <w:r>
        <w:softHyphen/>
        <w:t xml:space="preserve">tinction”: in </w:t>
      </w:r>
      <w:r>
        <w:rPr>
          <w:rStyle w:val="htmlcodes"/>
        </w:rPr>
        <w:t>&lt;a href=#e7d2&gt;</w:t>
      </w:r>
      <w:r>
        <w:t>Example 7.2</w:t>
      </w:r>
      <w:r>
        <w:rPr>
          <w:rStyle w:val="htmlcodes"/>
        </w:rPr>
        <w:t>&lt;/a&gt;</w:t>
      </w:r>
      <w:r>
        <w:t>, “ci gerku”</w:t>
      </w:r>
      <w:r>
        <w:rPr>
          <w:rStyle w:val="deletedparamark"/>
        </w:rPr>
        <w:t xml:space="preserve"> </w:t>
      </w:r>
      <w:r>
        <w:t>is said to have wider scope than “re nanmu”, and therefore precedes it</w:t>
      </w:r>
      <w:r>
        <w:rPr>
          <w:rStyle w:val="deletedparamark"/>
        </w:rPr>
        <w:t xml:space="preserve"> </w:t>
      </w:r>
      <w:r>
        <w:t xml:space="preserve">in the prenex. In </w:t>
      </w:r>
      <w:r>
        <w:rPr>
          <w:rStyle w:val="htmlcodes"/>
        </w:rPr>
        <w:t>&lt;a href=#e7d4&gt;</w:t>
      </w:r>
      <w:r>
        <w:t xml:space="preserve">Example 7.4 </w:t>
      </w:r>
      <w:r>
        <w:rPr>
          <w:rStyle w:val="htmlcodes"/>
        </w:rPr>
        <w:t>&lt;/a&gt;</w:t>
      </w:r>
      <w:r>
        <w:t>the reverse is true.</w:t>
      </w:r>
    </w:p>
    <w:p w:rsidR="00B72047" w:rsidRDefault="00B72047">
      <w:pPr>
        <w:rPr>
          <w:rStyle w:val="htmlparacode"/>
        </w:rPr>
      </w:pPr>
      <w:r>
        <w:rPr>
          <w:rStyle w:val="htmlparacode"/>
        </w:rPr>
        <w:t>&lt;p&gt;</w:t>
      </w:r>
    </w:p>
    <w:p w:rsidR="00B72047" w:rsidRDefault="00B72047">
      <w:pPr>
        <w:pStyle w:val="normalparagraph"/>
      </w:pPr>
      <w:r>
        <w:rPr>
          <w:rStyle w:val="indexentry"/>
        </w:rPr>
        <w:t>&lt;cx "multiple indefinite sumti, expressing with equal scope"&gt;</w:t>
      </w:r>
      <w:r>
        <w:rPr>
          <w:rStyle w:val="indexentry"/>
        </w:rPr>
        <w:fldChar w:fldCharType="begin"/>
      </w:r>
      <w:r>
        <w:instrText>xe "</w:instrText>
      </w:r>
      <w:r>
        <w:rPr>
          <w:rStyle w:val="xeentry"/>
        </w:rPr>
        <w:instrText>multiple indefinite sumti: expressing with equal scope</w:instrText>
      </w:r>
      <w:r>
        <w:instrText>"</w:instrText>
      </w:r>
      <w:r>
        <w:rPr>
          <w:rStyle w:val="indexentry"/>
        </w:rPr>
        <w:fldChar w:fldCharType="end"/>
      </w:r>
      <w:r>
        <w:rPr>
          <w:rStyle w:val="indexentry"/>
        </w:rPr>
        <w:t>&lt;lx "ce'e"&gt;</w:t>
      </w:r>
      <w:r>
        <w:rPr>
          <w:rStyle w:val="indexentry"/>
        </w:rPr>
        <w:fldChar w:fldCharType="begin"/>
      </w:r>
      <w:r>
        <w:instrText>xe "</w:instrText>
      </w:r>
      <w:r>
        <w:rPr>
          <w:rStyle w:val="xeentry"/>
        </w:rPr>
        <w:instrText>ce'e</w:instrText>
      </w:r>
      <w:r>
        <w:instrText>"</w:instrText>
      </w:r>
      <w:r>
        <w:rPr>
          <w:rStyle w:val="indexentry"/>
        </w:rPr>
        <w:fldChar w:fldCharType="end"/>
      </w:r>
      <w:r>
        <w:rPr>
          <w:rStyle w:val="indexentry"/>
        </w:rPr>
        <w:t>&lt;lx "CEhE"&gt;</w:t>
      </w:r>
      <w:r>
        <w:rPr>
          <w:rStyle w:val="indexentry"/>
        </w:rPr>
        <w:fldChar w:fldCharType="begin"/>
      </w:r>
      <w:r>
        <w:instrText>xe "</w:instrText>
      </w:r>
      <w:r>
        <w:rPr>
          <w:rStyle w:val="xeentry"/>
        </w:rPr>
        <w:instrText>CEhE selma’o</w:instrText>
      </w:r>
      <w:r>
        <w:instrText>"</w:instrText>
      </w:r>
      <w:r>
        <w:rPr>
          <w:rStyle w:val="indexentry"/>
        </w:rPr>
        <w:fldChar w:fldCharType="end"/>
      </w:r>
      <w:r>
        <w:rPr>
          <w:rStyle w:val="indexentry"/>
        </w:rPr>
        <w:t>&lt;lx "nu'i"&gt;</w:t>
      </w:r>
      <w:r>
        <w:rPr>
          <w:rStyle w:val="indexentry"/>
        </w:rPr>
        <w:fldChar w:fldCharType="begin"/>
      </w:r>
      <w:r>
        <w:instrText>xe "</w:instrText>
      </w:r>
      <w:r>
        <w:rPr>
          <w:rStyle w:val="xeentry"/>
        </w:rPr>
        <w:instrText>nu'i</w:instrText>
      </w:r>
      <w:r>
        <w:instrText>"</w:instrText>
      </w:r>
      <w:r>
        <w:rPr>
          <w:rStyle w:val="indexentry"/>
        </w:rPr>
        <w:fldChar w:fldCharType="end"/>
      </w:r>
      <w:r>
        <w:rPr>
          <w:rStyle w:val="indexentry"/>
        </w:rPr>
        <w:t>&lt;lx "nu'u"&gt;</w:t>
      </w:r>
      <w:r>
        <w:rPr>
          <w:rStyle w:val="indexentry"/>
        </w:rPr>
        <w:fldChar w:fldCharType="begin"/>
      </w:r>
      <w:r>
        <w:instrText>xe "</w:instrText>
      </w:r>
      <w:r>
        <w:rPr>
          <w:rStyle w:val="xeentry"/>
        </w:rPr>
        <w:instrText>nu'u</w:instrText>
      </w:r>
      <w:r>
        <w:instrText>"</w:instrText>
      </w:r>
      <w:r>
        <w:rPr>
          <w:rStyle w:val="indexentry"/>
        </w:rPr>
        <w:fldChar w:fldCharType="end"/>
      </w:r>
      <w:r>
        <w:rPr>
          <w:rStyle w:val="indexentry"/>
        </w:rPr>
        <w:t>&lt;lx "NUhI"&gt;</w:t>
      </w:r>
      <w:r>
        <w:rPr>
          <w:rStyle w:val="indexentry"/>
        </w:rPr>
        <w:fldChar w:fldCharType="begin"/>
      </w:r>
      <w:r>
        <w:instrText>xe "</w:instrText>
      </w:r>
      <w:r>
        <w:rPr>
          <w:rStyle w:val="xeentry"/>
        </w:rPr>
        <w:instrText>NUhI selma’o</w:instrText>
      </w:r>
      <w:r>
        <w:instrText>"</w:instrText>
      </w:r>
      <w:r>
        <w:rPr>
          <w:rStyle w:val="indexentry"/>
        </w:rPr>
        <w:fldChar w:fldCharType="end"/>
      </w:r>
      <w:r>
        <w:rPr>
          <w:rStyle w:val="indexentry"/>
        </w:rPr>
        <w:t>&lt;lx "NUhU"&gt;</w:t>
      </w:r>
      <w:r>
        <w:rPr>
          <w:rStyle w:val="indexentry"/>
        </w:rPr>
        <w:fldChar w:fldCharType="begin"/>
      </w:r>
      <w:r>
        <w:instrText>xe "</w:instrText>
      </w:r>
      <w:r>
        <w:rPr>
          <w:rStyle w:val="xeentry"/>
        </w:rPr>
        <w:instrText>NUhU selma’o</w:instrText>
      </w:r>
      <w:r>
        <w:instrText>"</w:instrText>
      </w:r>
      <w:r>
        <w:rPr>
          <w:rStyle w:val="indexentry"/>
        </w:rPr>
        <w:fldChar w:fldCharType="end"/>
      </w:r>
      <w:r>
        <w:rPr>
          <w:rStyle w:val="indexentry"/>
        </w:rPr>
        <w:t>&lt;cx "multiple indefinite sumti scope, in termset"&gt;</w:t>
      </w:r>
      <w:r>
        <w:rPr>
          <w:rStyle w:val="indexentry"/>
        </w:rPr>
        <w:fldChar w:fldCharType="begin"/>
      </w:r>
      <w:r>
        <w:instrText>xe "</w:instrText>
      </w:r>
      <w:r>
        <w:rPr>
          <w:rStyle w:val="xeentry"/>
        </w:rPr>
        <w:instrText>multiple indefinite sumti scope: in termset</w:instrText>
      </w:r>
      <w:r>
        <w:instrText>"</w:instrText>
      </w:r>
      <w:r>
        <w:rPr>
          <w:rStyle w:val="indexentry"/>
        </w:rPr>
        <w:fldChar w:fldCharType="end"/>
      </w:r>
      <w:r>
        <w:rPr>
          <w:rStyle w:val="indexentry"/>
        </w:rPr>
        <w:t>&lt;cx "termset, effect on scope of multiple indefinite sumti"&gt;</w:t>
      </w:r>
      <w:r>
        <w:rPr>
          <w:rStyle w:val="indexentry"/>
        </w:rPr>
        <w:fldChar w:fldCharType="begin"/>
      </w:r>
      <w:r>
        <w:instrText>xe "</w:instrText>
      </w:r>
      <w:r>
        <w:rPr>
          <w:rStyle w:val="xeentry"/>
        </w:rPr>
        <w:instrText>termset: effect on scope of multiple indefinite sumti</w:instrText>
      </w:r>
      <w:r>
        <w:instrText>"</w:instrText>
      </w:r>
      <w:r>
        <w:rPr>
          <w:rStyle w:val="indexentry"/>
        </w:rPr>
        <w:fldChar w:fldCharType="end"/>
      </w:r>
      <w:r>
        <w:t>The solution is to use a termset, which is a group of terms either</w:t>
      </w:r>
      <w:r>
        <w:rPr>
          <w:rStyle w:val="deletedparamark"/>
        </w:rPr>
        <w:t xml:space="preserve"> </w:t>
      </w:r>
      <w:r>
        <w:t>joined by “ce'e” (of selma'o CEhE) between each term, or else surrounded</w:t>
      </w:r>
      <w:r>
        <w:rPr>
          <w:rStyle w:val="deletedparamark"/>
        </w:rPr>
        <w:t xml:space="preserve"> </w:t>
      </w:r>
      <w:r>
        <w:t>by “nu'i” (of selma'o NUhI) on the front and “nu'u” (of selma'o NUhU) on</w:t>
      </w:r>
      <w:r>
        <w:rPr>
          <w:rStyle w:val="deletedparamark"/>
        </w:rPr>
        <w:t xml:space="preserve"> </w:t>
      </w:r>
      <w:r>
        <w:t>the rear. Terms (which are either sumti or sumti prefixed by tense or</w:t>
      </w:r>
      <w:r>
        <w:rPr>
          <w:rStyle w:val="deletedparamark"/>
        </w:rPr>
        <w:t xml:space="preserve"> </w:t>
      </w:r>
      <w:r>
        <w:t>modal tags) that are grouped into a termset are un</w:t>
      </w:r>
      <w:r>
        <w:softHyphen/>
        <w:t>derstood to have</w:t>
      </w:r>
      <w:r>
        <w:rPr>
          <w:rStyle w:val="deletedparamark"/>
        </w:rPr>
        <w:t xml:space="preserve"> </w:t>
      </w:r>
      <w:r>
        <w:t>equal scope: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name=e7d5&gt;</w:t>
      </w:r>
      <w:r>
        <w:t>7.5)</w:t>
      </w:r>
      <w:r>
        <w:tab/>
        <w:t>ci gerku ce'e re nanmu cu batci</w:t>
      </w:r>
    </w:p>
    <w:p w:rsidR="00B72047" w:rsidRDefault="00B72047">
      <w:pPr>
        <w:pStyle w:val="examplescaled"/>
      </w:pPr>
      <w:r>
        <w:tab/>
        <w:t>nu'i ci gerku re nanmu [nu'u] cu batci</w:t>
      </w:r>
    </w:p>
    <w:p w:rsidR="00B72047" w:rsidRDefault="00B72047">
      <w:pPr>
        <w:pStyle w:val="examplescaled"/>
      </w:pPr>
      <w:r>
        <w:tab/>
        <w:t>Three dogs [plus] two men, bite.</w:t>
      </w:r>
    </w:p>
    <w:p w:rsidR="00B72047" w:rsidRDefault="00B72047">
      <w:pPr>
        <w:pStyle w:val="resumedafterexample"/>
      </w:pPr>
      <w:r>
        <w:rPr>
          <w:rStyle w:val="htmlcodes"/>
        </w:rPr>
        <w:t>&lt;/pre&gt;</w:t>
      </w:r>
      <w:r>
        <w:t>which picks out two groups, one of three dogs and the other of two men,</w:t>
      </w:r>
      <w:r>
        <w:rPr>
          <w:rStyle w:val="deletedparamark"/>
        </w:rPr>
        <w:t xml:space="preserve"> </w:t>
      </w:r>
      <w:r>
        <w:t>and says that every one of the dogs bites each of the men. The second</w:t>
      </w:r>
      <w:r>
        <w:rPr>
          <w:rStyle w:val="deletedparamark"/>
        </w:rPr>
        <w:t xml:space="preserve"> </w:t>
      </w:r>
      <w:r>
        <w:t>Lojban version uses fore</w:t>
      </w:r>
      <w:r>
        <w:softHyphen/>
        <w:t>thought; note that “nu'u” is an elidable terminator,</w:t>
      </w:r>
      <w:r>
        <w:rPr>
          <w:rStyle w:val="deletedparamark"/>
        </w:rPr>
        <w:t xml:space="preserve"> </w:t>
      </w:r>
      <w:r>
        <w:t>and in this case can be freely elided.</w:t>
      </w:r>
    </w:p>
    <w:p w:rsidR="00B72047" w:rsidRDefault="00B72047">
      <w:pPr>
        <w:rPr>
          <w:rStyle w:val="htmlparacode"/>
        </w:rPr>
      </w:pPr>
      <w:r>
        <w:rPr>
          <w:rStyle w:val="htmlparacode"/>
        </w:rPr>
        <w:t>&lt;p&gt;</w:t>
      </w:r>
    </w:p>
    <w:p w:rsidR="00B72047" w:rsidRDefault="00B72047">
      <w:pPr>
        <w:pStyle w:val="normalparagraph"/>
      </w:pPr>
      <w:r>
        <w:rPr>
          <w:rStyle w:val="indexentry"/>
        </w:rPr>
        <w:t>&lt;cx "quantified sumti, different types contrasted for scope for distribution"&gt;</w:t>
      </w:r>
      <w:r>
        <w:rPr>
          <w:rStyle w:val="indexentry"/>
        </w:rPr>
        <w:fldChar w:fldCharType="begin"/>
      </w:r>
      <w:r>
        <w:instrText>xe "</w:instrText>
      </w:r>
      <w:r>
        <w:rPr>
          <w:rStyle w:val="xeentry"/>
        </w:rPr>
        <w:instrText>quantified sumti: different types contrasted for scope for distribution</w:instrText>
      </w:r>
      <w:r>
        <w:instrText>"</w:instrText>
      </w:r>
      <w:r>
        <w:rPr>
          <w:rStyle w:val="indexentry"/>
        </w:rPr>
        <w:fldChar w:fldCharType="end"/>
      </w:r>
      <w:r>
        <w:rPr>
          <w:rStyle w:val="indexentry"/>
        </w:rPr>
        <w:t>&lt;cx "sumti with lo, compared to indefinite sumti"&gt;</w:t>
      </w:r>
      <w:r>
        <w:rPr>
          <w:rStyle w:val="indexentry"/>
        </w:rPr>
        <w:fldChar w:fldCharType="begin"/>
      </w:r>
      <w:r>
        <w:instrText>xe "</w:instrText>
      </w:r>
      <w:r>
        <w:rPr>
          <w:rStyle w:val="xeentry"/>
        </w:rPr>
        <w:instrText>sumti with lo: compared to indefinite sumti</w:instrText>
      </w:r>
      <w:r>
        <w:instrText>"</w:instrText>
      </w:r>
      <w:r>
        <w:rPr>
          <w:rStyle w:val="indexentry"/>
        </w:rPr>
        <w:fldChar w:fldCharType="end"/>
      </w:r>
      <w:r>
        <w:rPr>
          <w:rStyle w:val="indexentry"/>
        </w:rPr>
        <w:t>&lt;cx "indefinite sumti, compared to sumti with lo"&gt;</w:t>
      </w:r>
      <w:r>
        <w:rPr>
          <w:rStyle w:val="indexentry"/>
        </w:rPr>
        <w:fldChar w:fldCharType="begin"/>
      </w:r>
      <w:r>
        <w:instrText>xe "</w:instrText>
      </w:r>
      <w:r>
        <w:rPr>
          <w:rStyle w:val="xeentry"/>
        </w:rPr>
        <w:instrText>indefinite sumti: compared to sumti with lo</w:instrText>
      </w:r>
      <w:r>
        <w:instrText>"</w:instrText>
      </w:r>
      <w:r>
        <w:rPr>
          <w:rStyle w:val="indexentry"/>
        </w:rPr>
        <w:fldChar w:fldCharType="end"/>
      </w:r>
      <w:r>
        <w:rPr>
          <w:rStyle w:val="indexentry"/>
        </w:rPr>
        <w:t>&lt;cx "ro, effect of order when multiple in sentence"&gt;</w:t>
      </w:r>
      <w:r>
        <w:rPr>
          <w:rStyle w:val="indexentry"/>
        </w:rPr>
        <w:fldChar w:fldCharType="begin"/>
      </w:r>
      <w:r>
        <w:instrText>xe "</w:instrText>
      </w:r>
      <w:r>
        <w:rPr>
          <w:rStyle w:val="xeentry"/>
        </w:rPr>
        <w:instrText>ro: effect of order when multiple in sentence</w:instrText>
      </w:r>
      <w:r>
        <w:instrText>"</w:instrText>
      </w:r>
      <w:r>
        <w:rPr>
          <w:rStyle w:val="indexentry"/>
        </w:rPr>
        <w:fldChar w:fldCharType="end"/>
      </w:r>
      <w:r>
        <w:t>What about descriptors, like “ci lo gerku”, “le nanmu” or “re le ci mlatu”?</w:t>
      </w:r>
      <w:r>
        <w:rPr>
          <w:rStyle w:val="deletedparamark"/>
        </w:rPr>
        <w:t xml:space="preserve"> </w:t>
      </w:r>
      <w:r>
        <w:t>They too can be grouped in termsets, but usually need not be, except for</w:t>
      </w:r>
      <w:r>
        <w:rPr>
          <w:rStyle w:val="deletedparamark"/>
        </w:rPr>
        <w:t xml:space="preserve"> </w:t>
      </w:r>
      <w:r>
        <w:t>the “lo” case which fun</w:t>
      </w:r>
      <w:r>
        <w:t>c</w:t>
      </w:r>
      <w:r>
        <w:softHyphen/>
        <w:t>tions like the case without a descriptor. Unless</w:t>
      </w:r>
      <w:r>
        <w:rPr>
          <w:rStyle w:val="deletedparamark"/>
        </w:rPr>
        <w:t xml:space="preserve"> </w:t>
      </w:r>
      <w:r>
        <w:t>an actual quantifier precedes it, “le nanmu” means “ro le nanmu”, as is</w:t>
      </w:r>
      <w:r>
        <w:rPr>
          <w:rStyle w:val="deletedparamark"/>
        </w:rPr>
        <w:t xml:space="preserve"> </w:t>
      </w:r>
      <w:r>
        <w:t xml:space="preserve">explained in </w:t>
      </w:r>
      <w:r>
        <w:rPr>
          <w:rStyle w:val="htmlcodes"/>
        </w:rPr>
        <w:t>&lt;a href=chap6.html&gt;</w:t>
      </w:r>
      <w:r>
        <w:t>Chapter 6</w:t>
      </w:r>
      <w:r>
        <w:rPr>
          <w:rStyle w:val="htmlcodes"/>
        </w:rPr>
        <w:t>&lt;/a&gt;</w:t>
      </w:r>
      <w:r>
        <w:t>. Two sumti with “ro” quantif</w:t>
      </w:r>
      <w:r>
        <w:t>i</w:t>
      </w:r>
      <w:r>
        <w:softHyphen/>
        <w:t>ers are independent</w:t>
      </w:r>
      <w:r>
        <w:rPr>
          <w:rStyle w:val="deletedparamark"/>
        </w:rPr>
        <w:t xml:space="preserve"> </w:t>
      </w:r>
      <w:r>
        <w:t>of order, so: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name=e7d6&gt;</w:t>
      </w:r>
      <w:r>
        <w:t>7.6)</w:t>
      </w:r>
      <w:r>
        <w:tab/>
        <w:t>[ro] le ci gerku cu batci [ro] le re nanmu</w:t>
      </w:r>
    </w:p>
    <w:p w:rsidR="00B72047" w:rsidRDefault="00B72047">
      <w:pPr>
        <w:pStyle w:val="examplescaled"/>
      </w:pPr>
      <w:r>
        <w:tab/>
        <w:t>[All of] the three dogs bite [all of] the two men.</w:t>
      </w:r>
    </w:p>
    <w:p w:rsidR="00B72047" w:rsidRDefault="00B72047">
      <w:pPr>
        <w:pStyle w:val="resumedafterexample"/>
      </w:pPr>
      <w:r>
        <w:rPr>
          <w:rStyle w:val="htmlcodes"/>
        </w:rPr>
        <w:t>&lt;/pre&gt;</w:t>
      </w:r>
      <w:r>
        <w:t>means that each of the dogs specified bites each of the men specified,</w:t>
      </w:r>
      <w:r>
        <w:rPr>
          <w:rStyle w:val="deletedparamark"/>
        </w:rPr>
        <w:t xml:space="preserve"> </w:t>
      </w:r>
      <w:r>
        <w:t>for six acts of bi</w:t>
      </w:r>
      <w:r>
        <w:t>t</w:t>
      </w:r>
      <w:r>
        <w:softHyphen/>
        <w:t>ing altogether. However, if there is an explicit quantifier</w:t>
      </w:r>
      <w:r>
        <w:rPr>
          <w:rStyle w:val="deletedparamark"/>
        </w:rPr>
        <w:t xml:space="preserve"> </w:t>
      </w:r>
      <w:r>
        <w:t>before “le” other than “ro”, the problems of this section reappear.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462" w:name="_Toc398970701"/>
      <w:r>
        <w:rPr>
          <w:rStyle w:val="Heading3Text"/>
        </w:rPr>
        <w:t>The problem of “any”</w:t>
      </w:r>
      <w:bookmarkEnd w:id="462"/>
      <w:r>
        <w:rPr>
          <w:rStyle w:val="htmlcodes"/>
        </w:rPr>
        <w:t>&lt;/h3&gt;</w:t>
      </w:r>
    </w:p>
    <w:p w:rsidR="00B72047" w:rsidRDefault="00B72047">
      <w:pPr>
        <w:rPr>
          <w:rStyle w:val="htmlparacode"/>
        </w:rPr>
      </w:pPr>
      <w:r>
        <w:rPr>
          <w:rStyle w:val="htmlparacode"/>
        </w:rPr>
        <w:t>&lt;p&gt;</w:t>
      </w:r>
    </w:p>
    <w:p w:rsidR="00B72047" w:rsidRDefault="00B72047">
      <w:pPr>
        <w:pStyle w:val="normalparagraph"/>
      </w:pPr>
      <w:r>
        <w:t>Consider the English sentence</w:t>
      </w:r>
    </w:p>
    <w:p w:rsidR="00B72047" w:rsidRDefault="00B72047">
      <w:pPr>
        <w:rPr>
          <w:rStyle w:val="htmlparacode"/>
        </w:rPr>
      </w:pPr>
      <w:r>
        <w:rPr>
          <w:rStyle w:val="htmlparacode"/>
        </w:rPr>
        <w:t>&lt;p&gt;</w:t>
      </w:r>
    </w:p>
    <w:p w:rsidR="00B72047" w:rsidRDefault="00B72047">
      <w:pPr>
        <w:pStyle w:val="examplescaledpre"/>
      </w:pPr>
      <w:r>
        <w:rPr>
          <w:rStyle w:val="indexentry"/>
        </w:rPr>
        <w:t>&lt;ex "anyone who goes, walks"&gt;</w:t>
      </w:r>
      <w:r>
        <w:rPr>
          <w:rStyle w:val="indexentry"/>
        </w:rPr>
        <w:fldChar w:fldCharType="begin"/>
      </w:r>
      <w:r>
        <w:instrText>xe "</w:instrText>
      </w:r>
      <w:r>
        <w:rPr>
          <w:rStyle w:val="xeentry"/>
        </w:rPr>
        <w:instrText>anyone who goes: walks, example</w:instrText>
      </w:r>
      <w:r>
        <w:instrText>"</w:instrText>
      </w:r>
      <w:r>
        <w:rPr>
          <w:rStyle w:val="indexentry"/>
        </w:rPr>
        <w:fldChar w:fldCharType="end"/>
      </w:r>
      <w:r>
        <w:rPr>
          <w:rStyle w:val="indexentry"/>
        </w:rPr>
        <w:t>&lt;cx "any, as a translation problem"&gt;</w:t>
      </w:r>
      <w:r>
        <w:rPr>
          <w:rStyle w:val="indexentry"/>
        </w:rPr>
        <w:fldChar w:fldCharType="begin"/>
      </w:r>
      <w:r>
        <w:instrText>xe "</w:instrText>
      </w:r>
      <w:r>
        <w:rPr>
          <w:rStyle w:val="xeentry"/>
        </w:rPr>
        <w:instrText>any: as a translation problem</w:instrText>
      </w:r>
      <w:r>
        <w:instrText>"</w:instrText>
      </w:r>
      <w:r>
        <w:rPr>
          <w:rStyle w:val="indexentry"/>
        </w:rPr>
        <w:fldChar w:fldCharType="end"/>
      </w:r>
      <w:r>
        <w:rPr>
          <w:rStyle w:val="htmlcodes"/>
        </w:rPr>
        <w:t>&lt;pre&gt;&lt;a name=e8d1&gt;</w:t>
      </w:r>
      <w:r>
        <w:t>8.1)</w:t>
      </w:r>
      <w:r>
        <w:tab/>
        <w:t>Anyone who goes to the store, walks across the field.</w:t>
      </w:r>
    </w:p>
    <w:p w:rsidR="00B72047" w:rsidRDefault="00B72047">
      <w:pPr>
        <w:pStyle w:val="resumedafterexample"/>
      </w:pPr>
      <w:r>
        <w:rPr>
          <w:rStyle w:val="htmlcodes"/>
        </w:rPr>
        <w:t>&lt;/pre&gt;&lt;p&gt;</w:t>
      </w:r>
      <w:r>
        <w:t>Using the facilities already discussed, a plausible translation might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name=e8d2&gt;</w:t>
      </w:r>
      <w:r>
        <w:t>8.2)</w:t>
      </w:r>
      <w:r>
        <w:tab/>
        <w:t>ro da poi klama le zarci cu cadzu le foldi</w:t>
      </w:r>
    </w:p>
    <w:p w:rsidR="00B72047" w:rsidRDefault="00B72047">
      <w:pPr>
        <w:pStyle w:val="examplescaled"/>
      </w:pPr>
      <w:r>
        <w:tab/>
        <w:t>All X such-that-it goes-to the store walks-on the field.</w:t>
      </w:r>
    </w:p>
    <w:p w:rsidR="00B72047" w:rsidRDefault="00B72047">
      <w:pPr>
        <w:pStyle w:val="examplescaled"/>
      </w:pPr>
      <w:r>
        <w:tab/>
        <w:t>Everyone who goes to the store walks across the field.</w:t>
      </w:r>
    </w:p>
    <w:p w:rsidR="00B72047" w:rsidRDefault="00B72047">
      <w:pPr>
        <w:pStyle w:val="resumedafterexample"/>
      </w:pPr>
      <w:r>
        <w:rPr>
          <w:rStyle w:val="htmlcodes"/>
        </w:rPr>
        <w:t>&lt;/pre&gt;</w:t>
      </w:r>
      <w:r>
        <w:rPr>
          <w:rStyle w:val="indexentry"/>
        </w:rPr>
        <w:t>&lt;cx "any, as a restricted universal claim"&gt;</w:t>
      </w:r>
      <w:r>
        <w:rPr>
          <w:rStyle w:val="indexentry"/>
        </w:rPr>
        <w:fldChar w:fldCharType="begin"/>
      </w:r>
      <w:r>
        <w:instrText>xe "</w:instrText>
      </w:r>
      <w:r>
        <w:rPr>
          <w:rStyle w:val="xeentry"/>
        </w:rPr>
        <w:instrText>any: as a restricted universal claim</w:instrText>
      </w:r>
      <w:r>
        <w:instrText>"</w:instrText>
      </w:r>
      <w:r>
        <w:rPr>
          <w:rStyle w:val="indexentry"/>
        </w:rPr>
        <w:fldChar w:fldCharType="end"/>
      </w:r>
      <w:r>
        <w:rPr>
          <w:rStyle w:val="indexentry"/>
        </w:rPr>
        <w:t>&lt;cx "anyone, contrasted with everyone in assumption of existence"&gt;</w:t>
      </w:r>
      <w:r>
        <w:rPr>
          <w:rStyle w:val="indexentry"/>
        </w:rPr>
        <w:fldChar w:fldCharType="begin"/>
      </w:r>
      <w:r>
        <w:instrText>xe "</w:instrText>
      </w:r>
      <w:r>
        <w:rPr>
          <w:rStyle w:val="xeentry"/>
        </w:rPr>
        <w:instrText>anyone: contrasted with everyone in assumption of existence</w:instrText>
      </w:r>
      <w:r>
        <w:instrText>"</w:instrText>
      </w:r>
      <w:r>
        <w:rPr>
          <w:rStyle w:val="indexentry"/>
        </w:rPr>
        <w:fldChar w:fldCharType="end"/>
      </w:r>
      <w:r>
        <w:rPr>
          <w:rStyle w:val="indexentry"/>
        </w:rPr>
        <w:t>&lt;cx "everyone, contrasted with anyone in assumption of existence"&gt;</w:t>
      </w:r>
      <w:r>
        <w:rPr>
          <w:rStyle w:val="indexentry"/>
        </w:rPr>
        <w:fldChar w:fldCharType="begin"/>
      </w:r>
      <w:r>
        <w:instrText>xe "</w:instrText>
      </w:r>
      <w:r>
        <w:rPr>
          <w:rStyle w:val="xeentry"/>
        </w:rPr>
        <w:instrText>everyone: contrasted with anyone in assumption of existence</w:instrText>
      </w:r>
      <w:r>
        <w:instrText>"</w:instrText>
      </w:r>
      <w:r>
        <w:rPr>
          <w:rStyle w:val="indexentry"/>
        </w:rPr>
        <w:fldChar w:fldCharType="end"/>
      </w:r>
      <w:r>
        <w:t xml:space="preserve">But there is a subtle difference between </w:t>
      </w:r>
      <w:r>
        <w:rPr>
          <w:rStyle w:val="htmlcodes"/>
        </w:rPr>
        <w:t>&lt;a href=#e8d1&gt;</w:t>
      </w:r>
      <w:r>
        <w:t xml:space="preserve">Example 8.1 </w:t>
      </w:r>
      <w:r>
        <w:rPr>
          <w:rStyle w:val="htmlcodes"/>
        </w:rPr>
        <w:t>&lt;/a&gt;</w:t>
      </w:r>
      <w:r>
        <w:t xml:space="preserve">and </w:t>
      </w:r>
      <w:r>
        <w:rPr>
          <w:rStyle w:val="htmlcodes"/>
        </w:rPr>
        <w:t>&lt;a href=#e8d2&gt;</w:t>
      </w:r>
      <w:r>
        <w:t>Example 8.2</w:t>
      </w:r>
      <w:r>
        <w:rPr>
          <w:rStyle w:val="htmlcodes"/>
        </w:rPr>
        <w:t>&lt;/a&gt;</w:t>
      </w:r>
      <w:r>
        <w:t>.</w:t>
      </w:r>
      <w:r>
        <w:rPr>
          <w:rStyle w:val="deletedparamark"/>
        </w:rPr>
        <w:t xml:space="preserve"> </w:t>
      </w:r>
      <w:r>
        <w:rPr>
          <w:rStyle w:val="htmlcodes"/>
        </w:rPr>
        <w:t>&lt;a href=#e8d2&gt;</w:t>
      </w:r>
      <w:r>
        <w:t xml:space="preserve">Example 8.2 </w:t>
      </w:r>
      <w:r>
        <w:rPr>
          <w:rStyle w:val="htmlcodes"/>
        </w:rPr>
        <w:t>&lt;/a&gt;</w:t>
      </w:r>
      <w:r>
        <w:t>tells us that, in fact, there are people who go to the store,</w:t>
      </w:r>
      <w:r>
        <w:rPr>
          <w:rStyle w:val="deletedparamark"/>
        </w:rPr>
        <w:t xml:space="preserve"> </w:t>
      </w:r>
      <w:r>
        <w:t>and that they walk across the field. A sumti of the type “ro da poi klama”</w:t>
      </w:r>
      <w:r>
        <w:rPr>
          <w:rStyle w:val="deletedparamark"/>
        </w:rPr>
        <w:t xml:space="preserve"> </w:t>
      </w:r>
      <w:r>
        <w:t>requires that there are things which “klama”: Lojban universal claims</w:t>
      </w:r>
      <w:r>
        <w:rPr>
          <w:rStyle w:val="deletedparamark"/>
        </w:rPr>
        <w:t xml:space="preserve"> </w:t>
      </w:r>
      <w:r>
        <w:t xml:space="preserve">always imply the corresponding existential claims as well. </w:t>
      </w:r>
      <w:r>
        <w:rPr>
          <w:rStyle w:val="htmlcodes"/>
        </w:rPr>
        <w:t>&lt;a href=#e8d1&gt;</w:t>
      </w:r>
      <w:r>
        <w:t>Example 8.1</w:t>
      </w:r>
      <w:r>
        <w:rPr>
          <w:rStyle w:val="htmlcodes"/>
        </w:rPr>
        <w:t>&lt;/a&gt;</w:t>
      </w:r>
      <w:r>
        <w:t>,</w:t>
      </w:r>
      <w:r>
        <w:rPr>
          <w:rStyle w:val="deletedparamark"/>
        </w:rPr>
        <w:t xml:space="preserve"> </w:t>
      </w:r>
      <w:r>
        <w:t>on the other hand, does not require that there are any people who go to the</w:t>
      </w:r>
      <w:r>
        <w:rPr>
          <w:rStyle w:val="deletedparamark"/>
        </w:rPr>
        <w:t xml:space="preserve"> </w:t>
      </w:r>
      <w:r>
        <w:t>store: it simply states, conditionally, that if there is anyone who goes</w:t>
      </w:r>
      <w:r>
        <w:rPr>
          <w:rStyle w:val="deletedparamark"/>
        </w:rPr>
        <w:t xml:space="preserve"> </w:t>
      </w:r>
      <w:r>
        <w:t>to the store, he or she walks across the field as well. This conditional</w:t>
      </w:r>
      <w:r>
        <w:rPr>
          <w:rStyle w:val="deletedparamark"/>
        </w:rPr>
        <w:t xml:space="preserve"> </w:t>
      </w:r>
      <w:r>
        <w:t xml:space="preserve">form mirrors the true Lojban translation of </w:t>
      </w:r>
      <w:r>
        <w:rPr>
          <w:rStyle w:val="htmlcodes"/>
        </w:rPr>
        <w:t>&lt;a href=#e8d1&gt;</w:t>
      </w:r>
      <w:r>
        <w:t>Example 8.1</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name=e8d3&gt;</w:t>
      </w:r>
      <w:r>
        <w:t>8.3)</w:t>
      </w:r>
      <w:r>
        <w:tab/>
        <w:t>ro da zo'u ganai da klama le zarci gi cadzu le foldi</w:t>
      </w:r>
    </w:p>
    <w:p w:rsidR="00B72047" w:rsidRDefault="00B72047">
      <w:pPr>
        <w:pStyle w:val="examplescaled"/>
      </w:pPr>
      <w:r>
        <w:tab/>
        <w:t>For-every X:  if X is-a-goer-to the store then X is-a-walker-on the field.</w:t>
      </w:r>
    </w:p>
    <w:p w:rsidR="00B72047" w:rsidRDefault="00B72047">
      <w:pPr>
        <w:pStyle w:val="resumedafterexample"/>
      </w:pPr>
      <w:r>
        <w:rPr>
          <w:rStyle w:val="htmlcodes"/>
        </w:rPr>
        <w:t>&lt;/pre&gt;</w:t>
      </w:r>
      <w:r>
        <w:rPr>
          <w:rStyle w:val="indexentry"/>
        </w:rPr>
        <w:t>&lt;cx "any, as a universal claim, later restricted"&gt;</w:t>
      </w:r>
      <w:r>
        <w:rPr>
          <w:rStyle w:val="indexentry"/>
        </w:rPr>
        <w:fldChar w:fldCharType="begin"/>
      </w:r>
      <w:r>
        <w:instrText>xe "</w:instrText>
      </w:r>
      <w:r>
        <w:rPr>
          <w:rStyle w:val="xeentry"/>
        </w:rPr>
        <w:instrText>any: as a universal claim, later restricted</w:instrText>
      </w:r>
      <w:r>
        <w:instrText>"</w:instrText>
      </w:r>
      <w:r>
        <w:rPr>
          <w:rStyle w:val="indexentry"/>
        </w:rPr>
        <w:fldChar w:fldCharType="end"/>
      </w:r>
      <w:r>
        <w:t xml:space="preserve">Although </w:t>
      </w:r>
      <w:r>
        <w:rPr>
          <w:rStyle w:val="htmlcodes"/>
        </w:rPr>
        <w:t>&lt;a href=#e8d3&gt;</w:t>
      </w:r>
      <w:r>
        <w:t xml:space="preserve">Example 8.3 </w:t>
      </w:r>
      <w:r>
        <w:rPr>
          <w:rStyle w:val="htmlcodes"/>
        </w:rPr>
        <w:t>&lt;/a&gt;</w:t>
      </w:r>
      <w:r>
        <w:t>is a universal claim as well, its universality only</w:t>
      </w:r>
      <w:r>
        <w:rPr>
          <w:rStyle w:val="deletedparamark"/>
        </w:rPr>
        <w:t xml:space="preserve"> </w:t>
      </w:r>
      <w:r>
        <w:t>implies that there are objects of some sort or another in the universe</w:t>
      </w:r>
      <w:r>
        <w:rPr>
          <w:rStyle w:val="deletedparamark"/>
        </w:rPr>
        <w:t xml:space="preserve"> </w:t>
      </w:r>
      <w:r>
        <w:t>of discourse. Because the claim is co</w:t>
      </w:r>
      <w:r>
        <w:t>n</w:t>
      </w:r>
      <w:r>
        <w:softHyphen/>
        <w:t>ditional, nothing is implied about</w:t>
      </w:r>
      <w:r>
        <w:rPr>
          <w:rStyle w:val="deletedparamark"/>
        </w:rPr>
        <w:t xml:space="preserve"> </w:t>
      </w:r>
      <w:r>
        <w:t>the existence of goers-to-the-store or of walk</w:t>
      </w:r>
      <w:r>
        <w:softHyphen/>
        <w:t>ers-on-the-field, merely</w:t>
      </w:r>
      <w:r>
        <w:rPr>
          <w:rStyle w:val="deletedparamark"/>
        </w:rPr>
        <w:t xml:space="preserve"> </w:t>
      </w:r>
      <w:r>
        <w:t>that any entity which is one is also the other.</w:t>
      </w:r>
    </w:p>
    <w:p w:rsidR="00B72047" w:rsidRDefault="00B72047">
      <w:pPr>
        <w:rPr>
          <w:rStyle w:val="htmlparacode"/>
        </w:rPr>
      </w:pPr>
      <w:r>
        <w:rPr>
          <w:rStyle w:val="htmlparacode"/>
        </w:rPr>
        <w:t>&lt;p&gt;</w:t>
      </w:r>
    </w:p>
    <w:p w:rsidR="00B72047" w:rsidRDefault="00B72047">
      <w:pPr>
        <w:pStyle w:val="normalparagraph"/>
      </w:pPr>
      <w:r>
        <w:rPr>
          <w:rStyle w:val="indexentry"/>
        </w:rPr>
        <w:t>&lt;cx "any, as an existential claim"&gt;</w:t>
      </w:r>
      <w:r>
        <w:rPr>
          <w:rStyle w:val="indexentry"/>
        </w:rPr>
        <w:fldChar w:fldCharType="begin"/>
      </w:r>
      <w:r>
        <w:instrText>xe "</w:instrText>
      </w:r>
      <w:r>
        <w:rPr>
          <w:rStyle w:val="xeentry"/>
        </w:rPr>
        <w:instrText>any: as an existential claim</w:instrText>
      </w:r>
      <w:r>
        <w:instrText>"</w:instrText>
      </w:r>
      <w:r>
        <w:rPr>
          <w:rStyle w:val="indexentry"/>
        </w:rPr>
        <w:fldChar w:fldCharType="end"/>
      </w:r>
      <w:r>
        <w:t>There is another use of “any” in English that is not universal but existential.</w:t>
      </w:r>
      <w:r>
        <w:rPr>
          <w:rStyle w:val="deletedparamark"/>
        </w:rPr>
        <w:t xml:space="preserve"> </w:t>
      </w:r>
      <w:r>
        <w:t>Consider</w:t>
      </w:r>
    </w:p>
    <w:p w:rsidR="00B72047" w:rsidRDefault="00B72047">
      <w:pPr>
        <w:rPr>
          <w:rStyle w:val="htmlparacode"/>
        </w:rPr>
      </w:pPr>
      <w:r>
        <w:rPr>
          <w:rStyle w:val="htmlparacode"/>
        </w:rPr>
        <w:t>&lt;p&gt;</w:t>
      </w:r>
    </w:p>
    <w:p w:rsidR="00B72047" w:rsidRDefault="00B72047">
      <w:pPr>
        <w:pStyle w:val="examplescaledpre"/>
      </w:pPr>
      <w:r>
        <w:rPr>
          <w:rStyle w:val="indexentry"/>
        </w:rPr>
        <w:t>&lt;cx "need any box"&gt;</w:t>
      </w:r>
      <w:r>
        <w:rPr>
          <w:rStyle w:val="indexentry"/>
        </w:rPr>
        <w:fldChar w:fldCharType="begin"/>
      </w:r>
      <w:r>
        <w:instrText>xe "</w:instrText>
      </w:r>
      <w:r>
        <w:rPr>
          <w:rStyle w:val="xeentry"/>
        </w:rPr>
        <w:instrText>need any box</w:instrText>
      </w:r>
      <w:r>
        <w:instrText>"</w:instrText>
      </w:r>
      <w:r>
        <w:rPr>
          <w:rStyle w:val="indexentry"/>
        </w:rPr>
        <w:fldChar w:fldCharType="end"/>
      </w:r>
      <w:r>
        <w:rPr>
          <w:rStyle w:val="indexentry"/>
        </w:rPr>
        <w:t>&lt;cx "any box"&gt;</w:t>
      </w:r>
      <w:r>
        <w:rPr>
          <w:rStyle w:val="indexentry"/>
        </w:rPr>
        <w:fldChar w:fldCharType="begin"/>
      </w:r>
      <w:r>
        <w:instrText>xe "</w:instrText>
      </w:r>
      <w:r>
        <w:rPr>
          <w:rStyle w:val="xeentry"/>
        </w:rPr>
        <w:instrText>any box</w:instrText>
      </w:r>
      <w:r>
        <w:instrText>"</w:instrText>
      </w:r>
      <w:r>
        <w:rPr>
          <w:rStyle w:val="indexentry"/>
        </w:rPr>
        <w:fldChar w:fldCharType="end"/>
      </w:r>
      <w:r>
        <w:rPr>
          <w:rStyle w:val="htmlcodes"/>
        </w:rPr>
        <w:t>&lt;pre&gt;&lt;a name=e8d4&gt;</w:t>
      </w:r>
      <w:r>
        <w:t>8.4)</w:t>
      </w:r>
      <w:r>
        <w:tab/>
        <w:t>I need any box that is bigger than this one.</w:t>
      </w:r>
    </w:p>
    <w:p w:rsidR="00B72047" w:rsidRDefault="00B72047">
      <w:pPr>
        <w:pStyle w:val="resumedafterexample"/>
      </w:pPr>
      <w:r>
        <w:rPr>
          <w:rStyle w:val="htmlcodes"/>
        </w:rPr>
        <w:t>&lt;/pre&gt;&lt;a href=#e8d4&gt;</w:t>
      </w:r>
      <w:r>
        <w:t xml:space="preserve">Example 8.4 </w:t>
      </w:r>
      <w:r>
        <w:rPr>
          <w:rStyle w:val="htmlcodes"/>
        </w:rPr>
        <w:t>&lt;/a&gt;</w:t>
      </w:r>
      <w:r>
        <w:t>does not at all mean that I need every box bigger than this</w:t>
      </w:r>
      <w:r>
        <w:rPr>
          <w:rStyle w:val="deletedparamark"/>
        </w:rPr>
        <w:t xml:space="preserve"> </w:t>
      </w:r>
      <w:r>
        <w:t>one, for indeed I do not; I require only one box. But the naive</w:t>
      </w:r>
      <w:r>
        <w:rPr>
          <w:rStyle w:val="deletedparamark"/>
        </w:rPr>
        <w:t xml:space="preserve"> </w:t>
      </w:r>
      <w:r>
        <w:t>translation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mi nitcu da poi tanxe gi'e bramau ti</w:t>
      </w:r>
    </w:p>
    <w:p w:rsidR="00B72047" w:rsidRDefault="00B72047">
      <w:pPr>
        <w:pStyle w:val="examplescaled"/>
      </w:pPr>
      <w:r>
        <w:tab/>
        <w:t>I need some-X which is-a-box and is-bigger-than this-one</w:t>
      </w:r>
    </w:p>
    <w:p w:rsidR="00B72047" w:rsidRDefault="00B72047">
      <w:pPr>
        <w:pStyle w:val="resumedafterexample"/>
      </w:pPr>
      <w:r>
        <w:rPr>
          <w:rStyle w:val="htmlcodes"/>
        </w:rPr>
        <w:t>&lt;/pre&gt;</w:t>
      </w:r>
      <w:r>
        <w:t>does not work either, because it asserts that there really is such a box, as the</w:t>
      </w:r>
      <w:r>
        <w:rPr>
          <w:rStyle w:val="deletedparamark"/>
        </w:rPr>
        <w:t xml:space="preserve"> </w:t>
      </w:r>
      <w:r>
        <w:t>prenex par</w:t>
      </w:r>
      <w:r>
        <w:t>a</w:t>
      </w:r>
      <w:r>
        <w:softHyphen/>
        <w:t>phrase demonstrates: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da poi tanxe gi'e bramau ti zo'u mi nitcu da</w:t>
      </w:r>
    </w:p>
    <w:p w:rsidR="00B72047" w:rsidRDefault="00B72047">
      <w:pPr>
        <w:pStyle w:val="examplescaled"/>
      </w:pPr>
      <w:r>
        <w:tab/>
        <w:t>There-is-an-X which is-a-box and is-bigger-than this :  I need X.</w:t>
      </w:r>
    </w:p>
    <w:p w:rsidR="00B72047" w:rsidRDefault="00B72047">
      <w:pPr>
        <w:pStyle w:val="resumedafterexample"/>
      </w:pPr>
      <w:r>
        <w:rPr>
          <w:rStyle w:val="htmlcodes"/>
        </w:rPr>
        <w:t>&lt;/pre&gt;&lt;p&gt;</w:t>
      </w:r>
      <w:r>
        <w:t>What to do? Well, the x2 place of “nitcu” can be filled with an event</w:t>
      </w:r>
      <w:r>
        <w:rPr>
          <w:rStyle w:val="deletedparamark"/>
        </w:rPr>
        <w:t xml:space="preserve"> </w:t>
      </w:r>
      <w:r>
        <w:t>as well as an ob</w:t>
      </w:r>
      <w:r>
        <w:softHyphen/>
        <w:t xml:space="preserve">ject, and in fact </w:t>
      </w:r>
      <w:r>
        <w:rPr>
          <w:rStyle w:val="htmlcodes"/>
        </w:rPr>
        <w:t>&lt;a href=#e8d5&gt;</w:t>
      </w:r>
      <w:r>
        <w:t xml:space="preserve">Example 8.5 </w:t>
      </w:r>
      <w:r>
        <w:rPr>
          <w:rStyle w:val="htmlcodes"/>
        </w:rPr>
        <w:t>&lt;/a&gt;</w:t>
      </w:r>
      <w:r>
        <w:t>can also be paraphrased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name=e8d7&gt;</w:t>
      </w:r>
      <w:r>
        <w:t>8.7)</w:t>
      </w:r>
      <w:r>
        <w:tab/>
        <w:t xml:space="preserve">mi nitcu lo nu mi ponse </w:t>
      </w:r>
      <w:r>
        <w:tab/>
        <w:t>lo tanxe poi bramau ti</w:t>
      </w:r>
    </w:p>
    <w:p w:rsidR="00B72047" w:rsidRDefault="00B72047">
      <w:pPr>
        <w:pStyle w:val="examplescaled"/>
      </w:pPr>
      <w:r>
        <w:tab/>
        <w:t>I need an event-of I possess some box(es) which-are bigger-than this-one.</w:t>
      </w:r>
    </w:p>
    <w:p w:rsidR="00B72047" w:rsidRDefault="00B72047">
      <w:pPr>
        <w:pStyle w:val="resumedafterexample"/>
      </w:pPr>
      <w:r>
        <w:rPr>
          <w:rStyle w:val="htmlcodes"/>
        </w:rPr>
        <w:t>&lt;/pre&gt;&lt;p&gt;</w:t>
      </w:r>
      <w:r>
        <w:t xml:space="preserve">Rewritten using variables, </w:t>
      </w:r>
      <w:r>
        <w:rPr>
          <w:rStyle w:val="htmlcodes"/>
        </w:rPr>
        <w:t>&lt;a href=#e8d7&gt;</w:t>
      </w:r>
      <w:r>
        <w:t xml:space="preserve">Example 8.7 </w:t>
      </w:r>
      <w:r>
        <w:rPr>
          <w:rStyle w:val="htmlcodes"/>
        </w:rPr>
        <w:t>&lt;/a&gt;</w:t>
      </w:r>
      <w:r>
        <w:t>becomes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name=e8d8&gt;</w:t>
      </w:r>
      <w:r>
        <w:t>8.8)</w:t>
      </w:r>
      <w:r>
        <w:tab/>
        <w:t>mi nitcu lo nu da zo'u</w:t>
      </w:r>
    </w:p>
    <w:p w:rsidR="00B72047" w:rsidRDefault="00B72047">
      <w:pPr>
        <w:pStyle w:val="examplescaled"/>
      </w:pPr>
      <w:r>
        <w:tab/>
      </w:r>
      <w:r>
        <w:tab/>
        <w:t>da se ponse mi gi'e tanxe gi'e bramau ti</w:t>
      </w:r>
    </w:p>
    <w:p w:rsidR="00B72047" w:rsidRDefault="00B72047">
      <w:pPr>
        <w:pStyle w:val="examplescaled"/>
      </w:pPr>
      <w:r>
        <w:tab/>
        <w:t>I need an event-of there-being an-X such-that</w:t>
      </w:r>
    </w:p>
    <w:p w:rsidR="00B72047" w:rsidRDefault="00B72047">
      <w:pPr>
        <w:pStyle w:val="examplescaled"/>
      </w:pPr>
      <w:r>
        <w:tab/>
      </w:r>
      <w:r>
        <w:tab/>
        <w:t>X is-possessed-by me and is-a-box and is-bigger-than this-thing.</w:t>
      </w:r>
    </w:p>
    <w:p w:rsidR="00B72047" w:rsidRDefault="00B72047">
      <w:pPr>
        <w:pStyle w:val="normalafterexample"/>
      </w:pPr>
      <w:r>
        <w:rPr>
          <w:rStyle w:val="htmlcodes"/>
        </w:rPr>
        <w:t>&lt;/pre&gt;</w:t>
      </w:r>
      <w:r>
        <w:rPr>
          <w:rStyle w:val="indexentry"/>
        </w:rPr>
        <w:t>&lt;cx "prenex, internal to a bridi"&gt;</w:t>
      </w:r>
      <w:r>
        <w:rPr>
          <w:rStyle w:val="indexentry"/>
        </w:rPr>
        <w:fldChar w:fldCharType="begin"/>
      </w:r>
      <w:r>
        <w:instrText>xe "</w:instrText>
      </w:r>
      <w:r>
        <w:rPr>
          <w:rStyle w:val="xeentry"/>
        </w:rPr>
        <w:instrText>prenex: internal to a bridi</w:instrText>
      </w:r>
      <w:r>
        <w:instrText>"</w:instrText>
      </w:r>
      <w:r>
        <w:rPr>
          <w:rStyle w:val="indexentry"/>
        </w:rPr>
        <w:fldChar w:fldCharType="end"/>
      </w:r>
      <w:r>
        <w:rPr>
          <w:rStyle w:val="indexentry"/>
        </w:rPr>
        <w:t>&lt;cx "logical variable, implicit placement in smallest enclosing bridi prenex"&gt;</w:t>
      </w:r>
      <w:r>
        <w:rPr>
          <w:rStyle w:val="indexentry"/>
        </w:rPr>
        <w:fldChar w:fldCharType="begin"/>
      </w:r>
      <w:r>
        <w:instrText>xe "</w:instrText>
      </w:r>
      <w:r>
        <w:rPr>
          <w:rStyle w:val="xeentry"/>
        </w:rPr>
        <w:instrText>logical variables: implicit placement in smallest enclosing bridi prenex</w:instrText>
      </w:r>
      <w:r>
        <w:instrText>"</w:instrText>
      </w:r>
      <w:r>
        <w:rPr>
          <w:rStyle w:val="indexentry"/>
        </w:rPr>
        <w:fldChar w:fldCharType="end"/>
      </w:r>
      <w:r>
        <w:rPr>
          <w:rStyle w:val="indexentry"/>
        </w:rPr>
        <w:t>&lt;cx "logical variable, explicitly placing in outer prenex"&gt;</w:t>
      </w:r>
      <w:r>
        <w:rPr>
          <w:rStyle w:val="indexentry"/>
        </w:rPr>
        <w:fldChar w:fldCharType="begin"/>
      </w:r>
      <w:r>
        <w:instrText>xe "</w:instrText>
      </w:r>
      <w:r>
        <w:rPr>
          <w:rStyle w:val="xeentry"/>
        </w:rPr>
        <w:instrText>logical variables: explicitly placing in outer prenex</w:instrText>
      </w:r>
      <w:r>
        <w:instrText>"</w:instrText>
      </w:r>
      <w:r>
        <w:rPr>
          <w:rStyle w:val="indexentry"/>
        </w:rPr>
        <w:fldChar w:fldCharType="end"/>
      </w:r>
      <w:r>
        <w:t>So we see that a prenex can be attached to a bridi that is within a sentence.</w:t>
      </w:r>
      <w:r>
        <w:rPr>
          <w:rStyle w:val="deletedparamark"/>
        </w:rPr>
        <w:t xml:space="preserve"> </w:t>
      </w:r>
      <w:r>
        <w:t>By d</w:t>
      </w:r>
      <w:r>
        <w:t>e</w:t>
      </w:r>
      <w:r>
        <w:softHyphen/>
        <w:t>fault, a variable always behaves as if it is bound in the prenex</w:t>
      </w:r>
      <w:r>
        <w:rPr>
          <w:rStyle w:val="deletedparamark"/>
        </w:rPr>
        <w:t xml:space="preserve"> </w:t>
      </w:r>
      <w:r>
        <w:t>which (notionally) is a</w:t>
      </w:r>
      <w:r>
        <w:t>t</w:t>
      </w:r>
      <w:r>
        <w:softHyphen/>
        <w:t>tached to the smallest enclosing bridi, and its</w:t>
      </w:r>
      <w:r>
        <w:rPr>
          <w:rStyle w:val="deletedparamark"/>
        </w:rPr>
        <w:t xml:space="preserve"> </w:t>
      </w:r>
      <w:r>
        <w:t>scope does not extend beyond that bridi. However, the variable may be placed</w:t>
      </w:r>
      <w:r>
        <w:rPr>
          <w:rStyle w:val="deletedparamark"/>
        </w:rPr>
        <w:t xml:space="preserve"> </w:t>
      </w:r>
      <w:r>
        <w:t>in an outer prenex explicitly: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da poi tanxe gi'e bramau ti zo'u</w:t>
      </w:r>
    </w:p>
    <w:p w:rsidR="00B72047" w:rsidRDefault="00B72047">
      <w:pPr>
        <w:pStyle w:val="examplescaled"/>
      </w:pPr>
      <w:r>
        <w:tab/>
      </w:r>
      <w:r>
        <w:tab/>
        <w:t>mi nitcu le nu mi ponse da</w:t>
      </w:r>
    </w:p>
    <w:p w:rsidR="00B72047" w:rsidRDefault="00B72047">
      <w:pPr>
        <w:pStyle w:val="examplescaled"/>
      </w:pPr>
      <w:r>
        <w:tab/>
        <w:t>There-is-an-X which is-a-box and is-bigger-than this-one such-that :</w:t>
      </w:r>
    </w:p>
    <w:p w:rsidR="00B72047" w:rsidRDefault="00B72047">
      <w:pPr>
        <w:pStyle w:val="examplescaled"/>
      </w:pPr>
      <w:r>
        <w:tab/>
      </w:r>
      <w:r>
        <w:tab/>
        <w:t>I need the event-of my possessing X.</w:t>
      </w:r>
    </w:p>
    <w:p w:rsidR="00B72047" w:rsidRDefault="00B72047">
      <w:pPr>
        <w:pStyle w:val="normalafterexample"/>
      </w:pPr>
      <w:r>
        <w:rPr>
          <w:rStyle w:val="htmlcodes"/>
        </w:rPr>
        <w:t>&lt;/pre&gt;</w:t>
      </w:r>
      <w:r>
        <w:rPr>
          <w:rStyle w:val="indexentry"/>
        </w:rPr>
        <w:t>&lt;cx "existential variable, in abstraction contrasted with in main bridi"&gt;</w:t>
      </w:r>
      <w:r>
        <w:rPr>
          <w:rStyle w:val="indexentry"/>
        </w:rPr>
        <w:fldChar w:fldCharType="begin"/>
      </w:r>
      <w:r>
        <w:instrText>xe "</w:instrText>
      </w:r>
      <w:r>
        <w:rPr>
          <w:rStyle w:val="xeentry"/>
        </w:rPr>
        <w:instrText>existential variable: in abstraction contrasted with in main bridi</w:instrText>
      </w:r>
      <w:r>
        <w:instrText>"</w:instrText>
      </w:r>
      <w:r>
        <w:rPr>
          <w:rStyle w:val="indexentry"/>
        </w:rPr>
        <w:fldChar w:fldCharType="end"/>
      </w:r>
      <w:r>
        <w:rPr>
          <w:rStyle w:val="indexentry"/>
        </w:rPr>
        <w:t>&lt;cx "existential variable, in main bridi contrasted with in abstraction"&gt;</w:t>
      </w:r>
      <w:r>
        <w:rPr>
          <w:rStyle w:val="indexentry"/>
        </w:rPr>
        <w:fldChar w:fldCharType="begin"/>
      </w:r>
      <w:r>
        <w:instrText>xe "</w:instrText>
      </w:r>
      <w:r>
        <w:rPr>
          <w:rStyle w:val="xeentry"/>
        </w:rPr>
        <w:instrText>existential variable: in main bridi contrasted with in abstraction</w:instrText>
      </w:r>
      <w:r>
        <w:instrText>"</w:instrText>
      </w:r>
      <w:r>
        <w:rPr>
          <w:rStyle w:val="indexentry"/>
        </w:rPr>
        <w:fldChar w:fldCharType="end"/>
      </w:r>
      <w:r>
        <w:t xml:space="preserve">But what are the implications of </w:t>
      </w:r>
      <w:r>
        <w:rPr>
          <w:rStyle w:val="htmlcodes"/>
        </w:rPr>
        <w:t>&lt;a href=#e8d7&gt;</w:t>
      </w:r>
      <w:r>
        <w:t xml:space="preserve">Example 8.7 </w:t>
      </w:r>
      <w:r>
        <w:rPr>
          <w:rStyle w:val="htmlcodes"/>
        </w:rPr>
        <w:t>&lt;/a&gt;</w:t>
      </w:r>
      <w:r>
        <w:t xml:space="preserve">and </w:t>
      </w:r>
      <w:r>
        <w:rPr>
          <w:rStyle w:val="htmlcodes"/>
        </w:rPr>
        <w:t>&lt;a href=#e8d9&gt;</w:t>
      </w:r>
      <w:r>
        <w:t>Example 8.9</w:t>
      </w:r>
      <w:r>
        <w:rPr>
          <w:rStyle w:val="htmlcodes"/>
        </w:rPr>
        <w:t>&lt;/a&gt;</w:t>
      </w:r>
      <w:r>
        <w:t>? The main</w:t>
      </w:r>
      <w:r>
        <w:rPr>
          <w:rStyle w:val="deletedparamark"/>
        </w:rPr>
        <w:t xml:space="preserve"> </w:t>
      </w:r>
      <w:r>
        <w:t>dif</w:t>
      </w:r>
      <w:r>
        <w:softHyphen/>
        <w:t xml:space="preserve">ference is that in </w:t>
      </w:r>
      <w:r>
        <w:rPr>
          <w:rStyle w:val="htmlcodes"/>
        </w:rPr>
        <w:t>&lt;a href=#e8d9&gt;</w:t>
      </w:r>
      <w:r>
        <w:t>Example 8.9</w:t>
      </w:r>
      <w:r>
        <w:rPr>
          <w:rStyle w:val="htmlcodes"/>
        </w:rPr>
        <w:t>&lt;/a&gt;</w:t>
      </w:r>
      <w:r>
        <w:t>, the “da” is said to exist in the</w:t>
      </w:r>
      <w:r>
        <w:rPr>
          <w:rStyle w:val="deletedparamark"/>
        </w:rPr>
        <w:t xml:space="preserve"> </w:t>
      </w:r>
      <w:r>
        <w:t xml:space="preserve">real world of the outer bridi; but in </w:t>
      </w:r>
      <w:r>
        <w:rPr>
          <w:rStyle w:val="htmlcodes"/>
        </w:rPr>
        <w:t>&lt;a href=#e8d7&gt;</w:t>
      </w:r>
      <w:r>
        <w:t>Example 8.7</w:t>
      </w:r>
      <w:r>
        <w:rPr>
          <w:rStyle w:val="htmlcodes"/>
        </w:rPr>
        <w:t>&lt;/a&gt;</w:t>
      </w:r>
      <w:r>
        <w:t>, the existence is only</w:t>
      </w:r>
      <w:r>
        <w:rPr>
          <w:rStyle w:val="deletedparamark"/>
        </w:rPr>
        <w:t xml:space="preserve"> </w:t>
      </w:r>
      <w:r>
        <w:t>within the inner bridi, which is a mere event that need not necessarily</w:t>
      </w:r>
      <w:r>
        <w:rPr>
          <w:rStyle w:val="deletedparamark"/>
        </w:rPr>
        <w:t xml:space="preserve"> </w:t>
      </w:r>
      <w:r>
        <w:t xml:space="preserve">come to pass. So </w:t>
      </w:r>
      <w:r>
        <w:rPr>
          <w:rStyle w:val="htmlcodes"/>
        </w:rPr>
        <w:t>&lt;a href=#e8d9&gt;</w:t>
      </w:r>
      <w:r>
        <w:t xml:space="preserve">Example 8.9 </w:t>
      </w:r>
      <w:r>
        <w:rPr>
          <w:rStyle w:val="htmlcodes"/>
        </w:rPr>
        <w:t>&lt;/a&gt;</w:t>
      </w:r>
      <w:r>
        <w:t>means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name=e8d10&gt;</w:t>
      </w:r>
      <w:r>
        <w:t>8.10)</w:t>
      </w:r>
      <w:r>
        <w:tab/>
        <w:t>There's a box, bigger than this one, that I need.</w:t>
      </w:r>
    </w:p>
    <w:p w:rsidR="00B72047" w:rsidRDefault="00B72047">
      <w:pPr>
        <w:pStyle w:val="resumedafterexample"/>
      </w:pPr>
      <w:r>
        <w:rPr>
          <w:rStyle w:val="htmlcodes"/>
        </w:rPr>
        <w:t>&lt;/pre&gt;</w:t>
      </w:r>
      <w:r>
        <w:rPr>
          <w:rStyle w:val="indexentry"/>
        </w:rPr>
        <w:t>&lt;cx "any, expressing as existential by variable in subordinate bridi"&gt;</w:t>
      </w:r>
      <w:r>
        <w:rPr>
          <w:rStyle w:val="indexentry"/>
        </w:rPr>
        <w:fldChar w:fldCharType="begin"/>
      </w:r>
      <w:r>
        <w:instrText>xe "</w:instrText>
      </w:r>
      <w:r>
        <w:rPr>
          <w:rStyle w:val="xeentry"/>
        </w:rPr>
        <w:instrText>any: expressing as existential by variable in subordinate bridi</w:instrText>
      </w:r>
      <w:r>
        <w:instrText>"</w:instrText>
      </w:r>
      <w:r>
        <w:rPr>
          <w:rStyle w:val="indexentry"/>
        </w:rPr>
        <w:fldChar w:fldCharType="end"/>
      </w:r>
      <w:r>
        <w:t xml:space="preserve">which is what </w:t>
      </w:r>
      <w:r>
        <w:rPr>
          <w:rStyle w:val="htmlcodes"/>
        </w:rPr>
        <w:t>&lt;a href=#e8d6&gt;</w:t>
      </w:r>
      <w:r>
        <w:t xml:space="preserve">Example 8.6 </w:t>
      </w:r>
      <w:r>
        <w:rPr>
          <w:rStyle w:val="htmlcodes"/>
        </w:rPr>
        <w:t>&lt;/a&gt;</w:t>
      </w:r>
      <w:r>
        <w:t xml:space="preserve">says, whereas </w:t>
      </w:r>
      <w:r>
        <w:rPr>
          <w:rStyle w:val="htmlcodes"/>
        </w:rPr>
        <w:t>&lt;a href=#e8d7&gt;</w:t>
      </w:r>
      <w:r>
        <w:t xml:space="preserve">Example 8.7 </w:t>
      </w:r>
      <w:r>
        <w:rPr>
          <w:rStyle w:val="htmlcodes"/>
        </w:rPr>
        <w:t>&lt;/a&gt;</w:t>
      </w:r>
      <w:r>
        <w:t>turns out to be</w:t>
      </w:r>
      <w:r>
        <w:rPr>
          <w:rStyle w:val="deletedparamark"/>
        </w:rPr>
        <w:t xml:space="preserve"> </w:t>
      </w:r>
      <w:r>
        <w:t>an effective tran</w:t>
      </w:r>
      <w:r>
        <w:t>s</w:t>
      </w:r>
      <w:r>
        <w:softHyphen/>
        <w:t xml:space="preserve">lation of our original </w:t>
      </w:r>
      <w:r>
        <w:rPr>
          <w:rStyle w:val="htmlcodes"/>
        </w:rPr>
        <w:t>&lt;a href=#e8d1&gt;</w:t>
      </w:r>
      <w:r>
        <w:t>Example 8.1</w:t>
      </w:r>
      <w:r>
        <w:rPr>
          <w:rStyle w:val="htmlcodes"/>
        </w:rPr>
        <w:t>&lt;/a&gt;</w:t>
      </w:r>
      <w:r>
        <w:t>. So uses of “any”</w:t>
      </w:r>
      <w:r>
        <w:rPr>
          <w:rStyle w:val="deletedparamark"/>
        </w:rPr>
        <w:t xml:space="preserve"> </w:t>
      </w:r>
      <w:r>
        <w:t>that aren't universal end up being reflected by variables bound in the</w:t>
      </w:r>
      <w:r>
        <w:rPr>
          <w:rStyle w:val="deletedparamark"/>
        </w:rPr>
        <w:t xml:space="preserve"> </w:t>
      </w:r>
      <w:r>
        <w:t>prenex of a subordinate bridi.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463" w:name="_Toc398970702"/>
      <w:r>
        <w:rPr>
          <w:rStyle w:val="Heading3Text"/>
        </w:rPr>
        <w:t>Negation boundaries</w:t>
      </w:r>
      <w:bookmarkEnd w:id="46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"“there is a Y”, notation convention"&gt;</w:t>
      </w:r>
      <w:r>
        <w:rPr>
          <w:rStyle w:val="indexentry"/>
        </w:rPr>
        <w:fldChar w:fldCharType="begin"/>
      </w:r>
      <w:r>
        <w:instrText>xe "</w:instrText>
      </w:r>
      <w:r>
        <w:rPr>
          <w:rStyle w:val="xeentry"/>
        </w:rPr>
        <w:instrText>there is a Y: expression, notation convention</w:instrText>
      </w:r>
      <w:r>
        <w:instrText>"</w:instrText>
      </w:r>
      <w:r>
        <w:rPr>
          <w:rStyle w:val="indexentry"/>
        </w:rPr>
        <w:fldChar w:fldCharType="end"/>
      </w:r>
      <w:r>
        <w:t xml:space="preserve">This section, as well as </w:t>
      </w:r>
      <w:r>
        <w:rPr>
          <w:rStyle w:val="htmlcodes"/>
        </w:rPr>
        <w:t>&lt;a href=#s10&gt;</w:t>
      </w:r>
      <w:r>
        <w:t xml:space="preserve">Section 10 </w:t>
      </w:r>
      <w:r>
        <w:rPr>
          <w:rStyle w:val="htmlcodes"/>
        </w:rPr>
        <w:t>&lt;/a&gt;</w:t>
      </w:r>
      <w:r>
        <w:t xml:space="preserve">through </w:t>
      </w:r>
      <w:r>
        <w:rPr>
          <w:rStyle w:val="htmlcodes"/>
        </w:rPr>
        <w:t>&lt;a href=#s12&gt;</w:t>
      </w:r>
      <w:r>
        <w:t>Section 12</w:t>
      </w:r>
      <w:r>
        <w:rPr>
          <w:rStyle w:val="htmlcodes"/>
        </w:rPr>
        <w:t>&lt;/a&gt;</w:t>
      </w:r>
      <w:r>
        <w:t>, are in effect a</w:t>
      </w:r>
      <w:r>
        <w:rPr>
          <w:rStyle w:val="deletedparamark"/>
        </w:rPr>
        <w:t xml:space="preserve"> </w:t>
      </w:r>
      <w:r>
        <w:t>con</w:t>
      </w:r>
      <w:r>
        <w:softHyphen/>
        <w:t xml:space="preserve">tinuation of </w:t>
      </w:r>
      <w:r>
        <w:rPr>
          <w:rStyle w:val="htmlcodes"/>
        </w:rPr>
        <w:t>&lt;a href=chap15.html&gt;</w:t>
      </w:r>
      <w:r>
        <w:t>Chapter 15</w:t>
      </w:r>
      <w:r>
        <w:rPr>
          <w:rStyle w:val="htmlcodes"/>
        </w:rPr>
        <w:t>&lt;/a&gt;</w:t>
      </w:r>
      <w:r>
        <w:t>, introducing features of Lojban negation that</w:t>
      </w:r>
      <w:r>
        <w:rPr>
          <w:rStyle w:val="deletedparamark"/>
        </w:rPr>
        <w:t xml:space="preserve"> </w:t>
      </w:r>
      <w:r>
        <w:t>require an under</w:t>
      </w:r>
      <w:r>
        <w:softHyphen/>
        <w:t>standing of prenexes and variables. In the examples</w:t>
      </w:r>
      <w:r>
        <w:rPr>
          <w:rStyle w:val="deletedparamark"/>
        </w:rPr>
        <w:t xml:space="preserve"> </w:t>
      </w:r>
      <w:r>
        <w:t>below, “there is a Y” and the like must be unde</w:t>
      </w:r>
      <w:r>
        <w:t>r</w:t>
      </w:r>
      <w:r>
        <w:softHyphen/>
        <w:t>stood as “there is</w:t>
      </w:r>
      <w:r>
        <w:rPr>
          <w:rStyle w:val="deletedparamark"/>
        </w:rPr>
        <w:t xml:space="preserve"> </w:t>
      </w:r>
      <w:r>
        <w:t>at least one Y, possibly more”.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"bridi negation, two forms of"&gt;</w:t>
      </w:r>
      <w:r>
        <w:rPr>
          <w:rStyle w:val="indexentry"/>
        </w:rPr>
        <w:fldChar w:fldCharType="begin"/>
      </w:r>
      <w:r>
        <w:instrText>xe "</w:instrText>
      </w:r>
      <w:r>
        <w:rPr>
          <w:rStyle w:val="xeentry"/>
        </w:rPr>
        <w:instrText>bridi negation: two forms of</w:instrText>
      </w:r>
      <w:r>
        <w:instrText>"</w:instrText>
      </w:r>
      <w:r>
        <w:rPr>
          <w:rStyle w:val="indexentry"/>
        </w:rPr>
        <w:fldChar w:fldCharType="end"/>
      </w:r>
      <w:r>
        <w:t xml:space="preserve">As explained in </w:t>
      </w:r>
      <w:r>
        <w:rPr>
          <w:rStyle w:val="htmlcodes"/>
        </w:rPr>
        <w:t>&lt;a href=chap15.html&gt;</w:t>
      </w:r>
      <w:r>
        <w:t>Chapter 15</w:t>
      </w:r>
      <w:r>
        <w:rPr>
          <w:rStyle w:val="htmlcodes"/>
        </w:rPr>
        <w:t>&lt;/a&gt;</w:t>
      </w:r>
      <w:r>
        <w:t>, the negation of a bridi is usually accomplished</w:t>
      </w:r>
      <w:r>
        <w:rPr>
          <w:rStyle w:val="deletedparamark"/>
        </w:rPr>
        <w:t xml:space="preserve"> </w:t>
      </w:r>
      <w:r>
        <w:t>by i</w:t>
      </w:r>
      <w:r>
        <w:t>n</w:t>
      </w:r>
      <w:r>
        <w:softHyphen/>
        <w:t>serting “na” at the beginning of the selbri:</w:t>
      </w:r>
    </w:p>
    <w:p w:rsidR="00B72047" w:rsidRDefault="00B72047">
      <w:pPr>
        <w:rPr>
          <w:rStyle w:val="htmlparacode"/>
        </w:rPr>
      </w:pPr>
      <w:r>
        <w:rPr>
          <w:rStyle w:val="htmlparacode"/>
        </w:rPr>
        <w:t>&lt;p&gt;</w:t>
      </w:r>
    </w:p>
    <w:p w:rsidR="00B72047" w:rsidRDefault="00B72047">
      <w:pPr>
        <w:pStyle w:val="examplescaledpre"/>
      </w:pP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rPr>
          <w:rStyle w:val="htmlcodes"/>
        </w:rPr>
        <w:t>&lt;pre&gt;&lt;a name=e9d1&gt;</w:t>
      </w:r>
      <w:r>
        <w:t>9.1)</w:t>
      </w:r>
      <w:r>
        <w:tab/>
        <w:t>mi na klama le zarci</w:t>
      </w:r>
    </w:p>
    <w:p w:rsidR="00B72047" w:rsidRDefault="00B72047">
      <w:pPr>
        <w:pStyle w:val="examplescaled"/>
      </w:pPr>
      <w:r>
        <w:tab/>
        <w:t>I [false] go-to the store.</w:t>
      </w:r>
    </w:p>
    <w:p w:rsidR="00B72047" w:rsidRDefault="00B72047">
      <w:pPr>
        <w:pStyle w:val="examplescaled"/>
      </w:pPr>
      <w:r>
        <w:tab/>
        <w:t>It is false that I go to the store.</w:t>
      </w:r>
    </w:p>
    <w:p w:rsidR="00B72047" w:rsidRDefault="00B72047">
      <w:pPr>
        <w:pStyle w:val="examplescaled"/>
      </w:pPr>
      <w:r>
        <w:tab/>
        <w:t>I don't go to the store.</w:t>
      </w:r>
    </w:p>
    <w:p w:rsidR="00B72047" w:rsidRDefault="00B72047">
      <w:pPr>
        <w:pStyle w:val="normalafterexample"/>
      </w:pPr>
      <w:r>
        <w:rPr>
          <w:rStyle w:val="htmlcodes"/>
        </w:rPr>
        <w:t>&lt;/pre&gt;</w:t>
      </w:r>
      <w:r>
        <w:rPr>
          <w:rStyle w:val="indexentry"/>
        </w:rPr>
        <w:t>&lt;lx "naku"&gt;</w:t>
      </w:r>
      <w:r>
        <w:rPr>
          <w:rStyle w:val="indexentry"/>
        </w:rPr>
        <w:fldChar w:fldCharType="begin"/>
      </w:r>
      <w:r>
        <w:instrText>xe "</w:instrText>
      </w:r>
      <w:r>
        <w:rPr>
          <w:rStyle w:val="xeentry"/>
        </w:rPr>
        <w:instrText>naku</w:instrText>
      </w:r>
      <w:r>
        <w:instrText>"</w:instrText>
      </w:r>
      <w:r>
        <w:rPr>
          <w:rStyle w:val="indexentry"/>
        </w:rPr>
        <w:fldChar w:fldCharType="end"/>
      </w:r>
      <w:r>
        <w:t>The other form of bridi negation is expressed by using the compound cmavo</w:t>
      </w:r>
      <w:r>
        <w:rPr>
          <w:rStyle w:val="deletedparamark"/>
        </w:rPr>
        <w:t xml:space="preserve"> “</w:t>
      </w:r>
      <w:r>
        <w:t>naku” in the prenex, which is identified and compounded by the lexer before</w:t>
      </w:r>
      <w:r>
        <w:rPr>
          <w:rStyle w:val="deletedparamark"/>
        </w:rPr>
        <w:t xml:space="preserve"> </w:t>
      </w:r>
      <w:r>
        <w:t>looking at the sentence grammar. In Lojban grammar, “naku” is then treated</w:t>
      </w:r>
      <w:r>
        <w:rPr>
          <w:rStyle w:val="deletedparamark"/>
        </w:rPr>
        <w:t xml:space="preserve"> </w:t>
      </w:r>
      <w:r>
        <w:t>like a sumti. In a prenex, “naku” means precisely the same thing as the</w:t>
      </w:r>
      <w:r>
        <w:rPr>
          <w:rStyle w:val="deletedparamark"/>
        </w:rPr>
        <w:t xml:space="preserve"> </w:t>
      </w:r>
      <w:r>
        <w:t>logician's “it is not the case that” in a sim</w:t>
      </w:r>
      <w:r>
        <w:t>i</w:t>
      </w:r>
      <w:r>
        <w:softHyphen/>
        <w:t>lar English context.</w:t>
      </w:r>
      <w:r>
        <w:rPr>
          <w:rStyle w:val="deletedparamark"/>
        </w:rPr>
        <w:t xml:space="preserve"> </w:t>
      </w:r>
      <w:r>
        <w:t>(Outside of a prenex, “naku” is also grammatically treated as a single entity</w:t>
      </w:r>
      <w:r>
        <w:rPr>
          <w:rStyle w:val="deletedparamark"/>
        </w:rPr>
        <w:t xml:space="preserve"> </w:t>
      </w:r>
      <w:r>
        <w:t>— the equivalent of a sumti — but does not have this exact meaning; we'll</w:t>
      </w:r>
      <w:r>
        <w:rPr>
          <w:rStyle w:val="deletedparamark"/>
        </w:rPr>
        <w:t xml:space="preserve"> </w:t>
      </w:r>
      <w:r>
        <w:t xml:space="preserve">discuss these other situations in </w:t>
      </w:r>
      <w:r>
        <w:rPr>
          <w:rStyle w:val="htmlcodes"/>
        </w:rPr>
        <w:t>&lt;a href=#s11&gt;</w:t>
      </w:r>
      <w:r>
        <w:t>Section 11</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"bridi negation, naku in prenex compared to na before selbri"&gt;</w:t>
      </w:r>
      <w:r>
        <w:rPr>
          <w:rStyle w:val="indexentry"/>
        </w:rPr>
        <w:fldChar w:fldCharType="begin"/>
      </w:r>
      <w:r>
        <w:instrText>xe "</w:instrText>
      </w:r>
      <w:r>
        <w:rPr>
          <w:rStyle w:val="xeentry"/>
        </w:rPr>
        <w:instrText>bridi negation: naku in prenex compared to na before selbri</w:instrText>
      </w:r>
      <w:r>
        <w:instrText>"</w:instrText>
      </w:r>
      <w:r>
        <w:rPr>
          <w:rStyle w:val="indexentry"/>
        </w:rPr>
        <w:fldChar w:fldCharType="end"/>
      </w:r>
      <w:r>
        <w:rPr>
          <w:rStyle w:val="indexentry"/>
        </w:rPr>
        <w:t>&lt;cx "bridi negation, na before selbri compared to naku in prenex"&gt;</w:t>
      </w:r>
      <w:r>
        <w:rPr>
          <w:rStyle w:val="indexentry"/>
        </w:rPr>
        <w:fldChar w:fldCharType="begin"/>
      </w:r>
      <w:r>
        <w:instrText>xe "</w:instrText>
      </w:r>
      <w:r>
        <w:rPr>
          <w:rStyle w:val="xeentry"/>
        </w:rPr>
        <w:instrText>bridi negation: na before selbri compared to naku in prenex</w:instrText>
      </w:r>
      <w:r>
        <w:instrText>"</w:instrText>
      </w:r>
      <w:r>
        <w:rPr>
          <w:rStyle w:val="indexentry"/>
        </w:rPr>
        <w:fldChar w:fldCharType="end"/>
      </w:r>
      <w:r>
        <w:rPr>
          <w:rStyle w:val="indexentry"/>
        </w:rPr>
        <w:t>&lt;cx "external bridi negation, definition"&gt;</w:t>
      </w:r>
      <w:r>
        <w:rPr>
          <w:rStyle w:val="indexentry"/>
        </w:rPr>
        <w:fldChar w:fldCharType="begin"/>
      </w:r>
      <w:r>
        <w:instrText>xe "</w:instrText>
      </w:r>
      <w:r>
        <w:rPr>
          <w:rStyle w:val="xeentry"/>
        </w:rPr>
        <w:instrText>external bridi negation: definition</w:instrText>
      </w:r>
      <w:r>
        <w:instrText>"</w:instrText>
      </w:r>
      <w:r>
        <w:rPr>
          <w:rStyle w:val="indexentry"/>
        </w:rPr>
        <w:fldChar w:fldCharType="end"/>
      </w:r>
      <w:r>
        <w:rPr>
          <w:rStyle w:val="indexentry"/>
        </w:rPr>
        <w:t>&lt;cx "internal bridi negation, definition"&gt;</w:t>
      </w:r>
      <w:r>
        <w:rPr>
          <w:rStyle w:val="indexentry"/>
        </w:rPr>
        <w:fldChar w:fldCharType="begin"/>
      </w:r>
      <w:r>
        <w:instrText>xe "</w:instrText>
      </w:r>
      <w:r>
        <w:rPr>
          <w:rStyle w:val="xeentry"/>
        </w:rPr>
        <w:instrText>internal bridi negation: definition</w:instrText>
      </w:r>
      <w:r>
        <w:instrText>"</w:instrText>
      </w:r>
      <w:r>
        <w:rPr>
          <w:rStyle w:val="indexentry"/>
        </w:rPr>
        <w:fldChar w:fldCharType="end"/>
      </w:r>
      <w:r>
        <w:rPr>
          <w:rStyle w:val="indexentry"/>
        </w:rPr>
        <w:t>&lt;cx "internal bridi negation, compared to external bridi negation"&gt;</w:t>
      </w:r>
      <w:r>
        <w:rPr>
          <w:rStyle w:val="indexentry"/>
        </w:rPr>
        <w:fldChar w:fldCharType="begin"/>
      </w:r>
      <w:r>
        <w:instrText>xe "</w:instrText>
      </w:r>
      <w:r>
        <w:rPr>
          <w:rStyle w:val="xeentry"/>
        </w:rPr>
        <w:instrText>internal bridi negation: compared to external bridi negation</w:instrText>
      </w:r>
      <w:r>
        <w:instrText>"</w:instrText>
      </w:r>
      <w:r>
        <w:rPr>
          <w:rStyle w:val="indexentry"/>
        </w:rPr>
        <w:fldChar w:fldCharType="end"/>
      </w:r>
      <w:r>
        <w:rPr>
          <w:rStyle w:val="indexentry"/>
        </w:rPr>
        <w:t>&lt;cx "external bridi negation, compared to internal bridi negation"&gt;</w:t>
      </w:r>
      <w:r>
        <w:rPr>
          <w:rStyle w:val="indexentry"/>
        </w:rPr>
        <w:fldChar w:fldCharType="begin"/>
      </w:r>
      <w:r>
        <w:instrText>xe "</w:instrText>
      </w:r>
      <w:r>
        <w:rPr>
          <w:rStyle w:val="xeentry"/>
        </w:rPr>
        <w:instrText>external bridi negation: compared to internal bridi negation</w:instrText>
      </w:r>
      <w:r>
        <w:instrText>"</w:instrText>
      </w:r>
      <w:r>
        <w:rPr>
          <w:rStyle w:val="indexentry"/>
        </w:rPr>
        <w:fldChar w:fldCharType="end"/>
      </w:r>
      <w:r>
        <w:t>To represent a bridi negation using a prenex, remove the “na” from before</w:t>
      </w:r>
      <w:r>
        <w:rPr>
          <w:rStyle w:val="deletedparamark"/>
        </w:rPr>
        <w:t xml:space="preserve"> </w:t>
      </w:r>
      <w:r>
        <w:t>the selbri and place “naku” at the left end of the prenex. This form is</w:t>
      </w:r>
      <w:r>
        <w:rPr>
          <w:rStyle w:val="deletedparamark"/>
        </w:rPr>
        <w:t xml:space="preserve"> </w:t>
      </w:r>
      <w:r>
        <w:t>called “external bridi neg</w:t>
      </w:r>
      <w:r>
        <w:t>a</w:t>
      </w:r>
      <w:r>
        <w:softHyphen/>
        <w:t>tion”, as opposed to “internal bridi negation”</w:t>
      </w:r>
      <w:r>
        <w:rPr>
          <w:rStyle w:val="deletedparamark"/>
        </w:rPr>
        <w:t xml:space="preserve"> </w:t>
      </w:r>
      <w:r>
        <w:t xml:space="preserve">using “na”. The prenex version of </w:t>
      </w:r>
      <w:r>
        <w:rPr>
          <w:rStyle w:val="htmlcodes"/>
        </w:rPr>
        <w:t>&lt;a href=#e9d1&gt;</w:t>
      </w:r>
      <w:r>
        <w:t xml:space="preserve">Example 9.1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naku zo'u la djan. klama</w:t>
      </w:r>
    </w:p>
    <w:p w:rsidR="00B72047" w:rsidRDefault="00B72047">
      <w:pPr>
        <w:pStyle w:val="examplescaled"/>
      </w:pPr>
      <w:r>
        <w:tab/>
        <w:t>It is not the case that:  John comes.</w:t>
      </w:r>
    </w:p>
    <w:p w:rsidR="00B72047" w:rsidRDefault="00B72047">
      <w:pPr>
        <w:pStyle w:val="examplescaled"/>
      </w:pPr>
      <w:r>
        <w:tab/>
        <w:t>It is false that:  John comes.</w:t>
      </w:r>
    </w:p>
    <w:p w:rsidR="00B72047" w:rsidRDefault="00B72047">
      <w:pPr>
        <w:pStyle w:val="normalafterexample"/>
      </w:pPr>
      <w:r>
        <w:rPr>
          <w:rStyle w:val="htmlcodes"/>
        </w:rPr>
        <w:t>&lt;/pre&gt;</w:t>
      </w:r>
      <w:r>
        <w:rPr>
          <w:rStyle w:val="indexentry"/>
        </w:rPr>
        <w:t>&lt;cx "negation in prenex, effects of position"&gt;</w:t>
      </w:r>
      <w:r>
        <w:rPr>
          <w:rStyle w:val="indexentry"/>
        </w:rPr>
        <w:fldChar w:fldCharType="begin"/>
      </w:r>
      <w:r>
        <w:instrText>xe "</w:instrText>
      </w:r>
      <w:r>
        <w:rPr>
          <w:rStyle w:val="xeentry"/>
        </w:rPr>
        <w:instrText>negation in prenex: effects of position</w:instrText>
      </w:r>
      <w:r>
        <w:instrText>"</w:instrText>
      </w:r>
      <w:r>
        <w:rPr>
          <w:rStyle w:val="indexentry"/>
        </w:rPr>
        <w:fldChar w:fldCharType="end"/>
      </w:r>
      <w:r>
        <w:t>However, “naku” can appear at other points in the prenex as well. Compare</w:t>
      </w:r>
    </w:p>
    <w:p w:rsidR="00B72047" w:rsidRDefault="00B72047">
      <w:pPr>
        <w:rPr>
          <w:rStyle w:val="htmlparacode"/>
        </w:rPr>
      </w:pPr>
      <w:r>
        <w:rPr>
          <w:rStyle w:val="htmlparacode"/>
        </w:rPr>
        <w:t>&lt;p&gt;</w:t>
      </w:r>
    </w:p>
    <w:p w:rsidR="00B72047" w:rsidRDefault="00B72047">
      <w:pPr>
        <w:pStyle w:val="examplescaledpre"/>
      </w:pPr>
      <w:r>
        <w:rPr>
          <w:rStyle w:val="indexentry"/>
        </w:rPr>
        <w:t>&lt;ex "nothing sits"&gt;</w:t>
      </w:r>
      <w:r>
        <w:rPr>
          <w:rStyle w:val="indexentry"/>
        </w:rPr>
        <w:fldChar w:fldCharType="begin"/>
      </w:r>
      <w:r>
        <w:instrText>xe "</w:instrText>
      </w:r>
      <w:r>
        <w:rPr>
          <w:rStyle w:val="xeentry"/>
        </w:rPr>
        <w:instrText>nothing sits: example</w:instrText>
      </w:r>
      <w:r>
        <w:instrText>"</w:instrText>
      </w:r>
      <w:r>
        <w:rPr>
          <w:rStyle w:val="indexentry"/>
        </w:rPr>
        <w:fldChar w:fldCharType="end"/>
      </w:r>
      <w:r>
        <w:rPr>
          <w:rStyle w:val="htmlcodes"/>
        </w:rPr>
        <w:t>&lt;pre&gt;&lt;a name=e9d3&gt;</w:t>
      </w:r>
      <w:r>
        <w:t>9.3)</w:t>
      </w:r>
      <w:r>
        <w:tab/>
        <w:t>naku de zo'u de zutse</w:t>
      </w:r>
    </w:p>
    <w:p w:rsidR="00B72047" w:rsidRDefault="00B72047">
      <w:pPr>
        <w:pStyle w:val="examplescaled"/>
      </w:pPr>
      <w:r>
        <w:tab/>
        <w:t>It is not the case that:  for some Y, Y sits.</w:t>
      </w:r>
    </w:p>
    <w:p w:rsidR="00B72047" w:rsidRDefault="00B72047">
      <w:pPr>
        <w:pStyle w:val="examplescaled"/>
      </w:pPr>
      <w:r>
        <w:tab/>
        <w:t>It is false that:  for at least one Y, Y sits.</w:t>
      </w:r>
    </w:p>
    <w:p w:rsidR="00B72047" w:rsidRDefault="00B72047">
      <w:pPr>
        <w:pStyle w:val="examplescaled"/>
      </w:pPr>
      <w:r>
        <w:tab/>
        <w:t>It is false that something sits.</w:t>
      </w:r>
    </w:p>
    <w:p w:rsidR="00B72047" w:rsidRDefault="00B72047">
      <w:pPr>
        <w:pStyle w:val="examplescaled"/>
      </w:pPr>
      <w:r>
        <w:tab/>
        <w:t>Nothing sits.</w:t>
      </w:r>
    </w:p>
    <w:p w:rsidR="00B72047" w:rsidRDefault="00B72047">
      <w:pPr>
        <w:pStyle w:val="resumedafterexample"/>
      </w:pPr>
      <w:r>
        <w:rPr>
          <w:rStyle w:val="htmlcodes"/>
        </w:rPr>
        <w:t>&lt;/pre&gt;</w:t>
      </w:r>
      <w:r>
        <w:t>with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su'ode naku zo'u de zutse</w:t>
      </w:r>
    </w:p>
    <w:p w:rsidR="00B72047" w:rsidRDefault="00B72047">
      <w:pPr>
        <w:pStyle w:val="examplescaled"/>
      </w:pPr>
      <w:r>
        <w:tab/>
        <w:t>For at least one Y, it is false that:  Y sits.</w:t>
      </w:r>
    </w:p>
    <w:p w:rsidR="00B72047" w:rsidRDefault="00B72047">
      <w:pPr>
        <w:pStyle w:val="examplescaled"/>
      </w:pPr>
      <w:r>
        <w:tab/>
        <w:t>There is something that doesn't sit.</w:t>
      </w:r>
    </w:p>
    <w:p w:rsidR="00B72047" w:rsidRDefault="00B72047">
      <w:pPr>
        <w:pStyle w:val="normalafterexample"/>
      </w:pPr>
      <w:r>
        <w:rPr>
          <w:rStyle w:val="htmlcodes"/>
        </w:rPr>
        <w:t>&lt;/pre&gt;&lt;p&gt;</w:t>
      </w:r>
      <w:r>
        <w:t>The relative position of negation and quantification terms within a</w:t>
      </w:r>
      <w:r>
        <w:rPr>
          <w:rStyle w:val="deletedparamark"/>
        </w:rPr>
        <w:t xml:space="preserve"> </w:t>
      </w:r>
      <w:r>
        <w:t>prenex has a dra</w:t>
      </w:r>
      <w:r>
        <w:t>s</w:t>
      </w:r>
      <w:r>
        <w:softHyphen/>
        <w:t>tic effect on meaning. Starting without a negation, we</w:t>
      </w:r>
      <w:r>
        <w:rPr>
          <w:rStyle w:val="deletedparamark"/>
        </w:rPr>
        <w:t xml:space="preserve"> </w:t>
      </w:r>
      <w:r>
        <w:t>can have:</w:t>
      </w:r>
    </w:p>
    <w:p w:rsidR="00B72047" w:rsidRDefault="00B72047">
      <w:pPr>
        <w:rPr>
          <w:rStyle w:val="htmlparacode"/>
        </w:rPr>
      </w:pPr>
      <w:r>
        <w:rPr>
          <w:rStyle w:val="htmlparacode"/>
        </w:rPr>
        <w:t>&lt;p&gt;</w:t>
      </w:r>
    </w:p>
    <w:p w:rsidR="00B72047" w:rsidRDefault="00B72047">
      <w:pPr>
        <w:pStyle w:val="examplescaledpre"/>
      </w:pPr>
      <w:r>
        <w:rPr>
          <w:rStyle w:val="indexentry"/>
        </w:rPr>
        <w:t>&lt;ex "everybody loves something"&gt;</w:t>
      </w:r>
      <w:r>
        <w:rPr>
          <w:rStyle w:val="indexentry"/>
        </w:rPr>
        <w:fldChar w:fldCharType="begin"/>
      </w:r>
      <w:r>
        <w:instrText>xe "</w:instrText>
      </w:r>
      <w:r>
        <w:rPr>
          <w:rStyle w:val="xeentry"/>
        </w:rPr>
        <w:instrText>everybody loves something: example</w:instrText>
      </w:r>
      <w:r>
        <w:instrText>"</w:instrText>
      </w:r>
      <w:r>
        <w:rPr>
          <w:rStyle w:val="indexentry"/>
        </w:rPr>
        <w:fldChar w:fldCharType="end"/>
      </w:r>
      <w:r>
        <w:rPr>
          <w:rStyle w:val="htmlcodes"/>
        </w:rPr>
        <w:t>&lt;pre&gt;&lt;a name=e9d5&gt;</w:t>
      </w:r>
      <w:r>
        <w:t>9.5)</w:t>
      </w:r>
      <w:r>
        <w:tab/>
        <w:t>roda su'ode zo'u da prami de</w:t>
      </w:r>
    </w:p>
    <w:p w:rsidR="00B72047" w:rsidRDefault="00B72047">
      <w:pPr>
        <w:pStyle w:val="examplescaled"/>
      </w:pPr>
      <w:r>
        <w:tab/>
        <w:t>For every X, there is a Y, such that X loves Y.</w:t>
      </w:r>
    </w:p>
    <w:p w:rsidR="00B72047" w:rsidRDefault="00B72047">
      <w:pPr>
        <w:pStyle w:val="examplescaled"/>
      </w:pPr>
      <w:r>
        <w:tab/>
        <w:t>Everybody loves at least one thing (each, not necessarily the same thing).</w:t>
      </w:r>
    </w:p>
    <w:p w:rsidR="00B72047" w:rsidRDefault="00B72047">
      <w:pPr>
        <w:pStyle w:val="resumedafterexample"/>
      </w:pPr>
      <w:r>
        <w:rPr>
          <w:rStyle w:val="htmlcodes"/>
        </w:rPr>
        <w:t>&lt;/pre&gt;</w:t>
      </w:r>
      <w:r>
        <w:t>or:</w:t>
      </w:r>
    </w:p>
    <w:p w:rsidR="00B72047" w:rsidRDefault="00B72047">
      <w:pPr>
        <w:rPr>
          <w:rStyle w:val="htmlparacode"/>
        </w:rPr>
      </w:pPr>
      <w:r>
        <w:rPr>
          <w:rStyle w:val="htmlparacode"/>
        </w:rPr>
        <w:t>&lt;p&gt;</w:t>
      </w:r>
    </w:p>
    <w:p w:rsidR="00B72047" w:rsidRDefault="00B72047">
      <w:pPr>
        <w:pStyle w:val="examplescaledpre"/>
      </w:pPr>
      <w:r>
        <w:rPr>
          <w:rStyle w:val="indexentry"/>
        </w:rPr>
        <w:t>&lt;ex "something is loved by everybody"&gt;</w:t>
      </w:r>
      <w:r>
        <w:rPr>
          <w:rStyle w:val="indexentry"/>
        </w:rPr>
        <w:fldChar w:fldCharType="begin"/>
      </w:r>
      <w:r>
        <w:instrText>xe "</w:instrText>
      </w:r>
      <w:r>
        <w:rPr>
          <w:rStyle w:val="xeentry"/>
        </w:rPr>
        <w:instrText>something is loved by everybody: example</w:instrText>
      </w:r>
      <w:r>
        <w:instrText>"</w:instrText>
      </w:r>
      <w:r>
        <w:rPr>
          <w:rStyle w:val="indexentry"/>
        </w:rPr>
        <w:fldChar w:fldCharType="end"/>
      </w:r>
      <w:r>
        <w:rPr>
          <w:rStyle w:val="htmlcodes"/>
        </w:rPr>
        <w:t>&lt;pre&gt;&lt;a name=e9d6&gt;</w:t>
      </w:r>
      <w:r>
        <w:t>9.6)</w:t>
      </w:r>
      <w:r>
        <w:tab/>
        <w:t>su'ode roda zo'u da prami de</w:t>
      </w:r>
    </w:p>
    <w:p w:rsidR="00B72047" w:rsidRDefault="00B72047">
      <w:pPr>
        <w:pStyle w:val="examplescaled"/>
      </w:pPr>
      <w:r>
        <w:tab/>
        <w:t>There is a Y, such that for each X, X loves Y.</w:t>
      </w:r>
    </w:p>
    <w:p w:rsidR="00B72047" w:rsidRDefault="00B72047">
      <w:pPr>
        <w:pStyle w:val="examplescaled"/>
      </w:pPr>
      <w:r>
        <w:tab/>
        <w:t>There is at least one particular thing that is loved by everybody.</w:t>
      </w:r>
    </w:p>
    <w:p w:rsidR="00B72047" w:rsidRDefault="00B72047">
      <w:pPr>
        <w:pStyle w:val="normalafterexample"/>
      </w:pPr>
      <w:r>
        <w:rPr>
          <w:rStyle w:val="htmlcodes"/>
        </w:rPr>
        <w:t>&lt;/pre&gt;&lt;p&gt;</w:t>
      </w:r>
      <w:r>
        <w:t>The simplest form of bridi negation to interpret is one where the</w:t>
      </w:r>
      <w:r>
        <w:rPr>
          <w:rStyle w:val="deletedparamark"/>
        </w:rPr>
        <w:t xml:space="preserve"> </w:t>
      </w:r>
      <w:r>
        <w:t>negation term is at the beginning of the prenex:</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name=e9d7&gt;</w:t>
      </w:r>
      <w:r>
        <w:t>9.7)</w:t>
      </w:r>
      <w:r>
        <w:tab/>
        <w:t>naku roda su'ode zo'u da prami de</w:t>
      </w:r>
    </w:p>
    <w:p w:rsidR="00B72047" w:rsidRDefault="00B72047">
      <w:pPr>
        <w:pStyle w:val="examplescaled"/>
      </w:pPr>
      <w:r>
        <w:tab/>
        <w:t>It is false that:  for every X, there is a Y, such that :  X loves Y.</w:t>
      </w:r>
    </w:p>
    <w:p w:rsidR="00B72047" w:rsidRDefault="00B72047">
      <w:pPr>
        <w:pStyle w:val="examplescaled"/>
      </w:pPr>
      <w:r>
        <w:tab/>
        <w:t>It is false that:  everybody loves at least one thing.</w:t>
      </w:r>
    </w:p>
    <w:p w:rsidR="00B72047" w:rsidRDefault="00B72047">
      <w:pPr>
        <w:pStyle w:val="examplescaled"/>
      </w:pPr>
      <w:r>
        <w:tab/>
        <w:t>(At least) someone doesn't love anything.</w:t>
      </w:r>
    </w:p>
    <w:p w:rsidR="00B72047" w:rsidRDefault="00B72047">
      <w:pPr>
        <w:pStyle w:val="resumedafterexample"/>
      </w:pPr>
      <w:r>
        <w:rPr>
          <w:rStyle w:val="htmlcodes"/>
        </w:rPr>
        <w:t>&lt;/pre&gt;</w:t>
      </w:r>
      <w:r>
        <w:t xml:space="preserve">the negation of </w:t>
      </w:r>
      <w:r>
        <w:rPr>
          <w:rStyle w:val="htmlcodes"/>
        </w:rPr>
        <w:t>&lt;a href=#e9d5&gt;</w:t>
      </w:r>
      <w:r>
        <w:t>Example 9.5</w:t>
      </w:r>
      <w:r>
        <w:rPr>
          <w:rStyle w:val="htmlcodes"/>
        </w:rPr>
        <w:t>&lt;/a&gt;</w:t>
      </w:r>
      <w:r>
        <w:t>, 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name=e9d8&gt;</w:t>
      </w:r>
      <w:r>
        <w:t>9.8)</w:t>
      </w:r>
      <w:r>
        <w:tab/>
        <w:t>naku su'ode roda zo'u da prami de</w:t>
      </w:r>
    </w:p>
    <w:p w:rsidR="00B72047" w:rsidRDefault="00B72047">
      <w:pPr>
        <w:pStyle w:val="examplescaled"/>
      </w:pPr>
      <w:r>
        <w:tab/>
        <w:t>It is false that:  there is a Y such that for each X, X loves Y.</w:t>
      </w:r>
    </w:p>
    <w:p w:rsidR="00B72047" w:rsidRDefault="00B72047">
      <w:pPr>
        <w:pStyle w:val="examplescaled"/>
      </w:pPr>
      <w:r>
        <w:tab/>
        <w:t>It is false that:  there is at least one thing that is loved by everybody.</w:t>
      </w:r>
    </w:p>
    <w:p w:rsidR="00B72047" w:rsidRDefault="00B72047">
      <w:pPr>
        <w:pStyle w:val="examplescaled"/>
      </w:pPr>
      <w:r>
        <w:tab/>
        <w:t>There isn't any one thing that everybody loves.</w:t>
      </w:r>
    </w:p>
    <w:p w:rsidR="00B72047" w:rsidRDefault="00B72047">
      <w:pPr>
        <w:pStyle w:val="resumedafterexample"/>
      </w:pPr>
      <w:r>
        <w:rPr>
          <w:rStyle w:val="htmlcodes"/>
        </w:rPr>
        <w:t>&lt;/pre&gt;</w:t>
      </w:r>
      <w:r>
        <w:t xml:space="preserve">the negation of </w:t>
      </w:r>
      <w:r>
        <w:rPr>
          <w:rStyle w:val="htmlcodes"/>
        </w:rPr>
        <w:t>&lt;a href=#e9d6&gt;</w:t>
      </w:r>
      <w:r>
        <w:t>Example 9.6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"negation boundary, effect of moving"&gt;</w:t>
      </w:r>
      <w:r>
        <w:rPr>
          <w:rStyle w:val="indexentry"/>
        </w:rPr>
        <w:fldChar w:fldCharType="begin"/>
      </w:r>
      <w:r>
        <w:instrText>xe "</w:instrText>
      </w:r>
      <w:r>
        <w:rPr>
          <w:rStyle w:val="xeentry"/>
        </w:rPr>
        <w:instrText>negation boundary: effect of moving</w:instrText>
      </w:r>
      <w:r>
        <w:instrText>"</w:instrText>
      </w:r>
      <w:r>
        <w:rPr>
          <w:rStyle w:val="indexentry"/>
        </w:rPr>
        <w:fldChar w:fldCharType="end"/>
      </w:r>
      <w:r>
        <w:rPr>
          <w:rStyle w:val="indexentry"/>
        </w:rPr>
        <w:t>&lt;cx "inversion of quantifiers, in moving negation boundary"&gt;</w:t>
      </w:r>
      <w:r>
        <w:rPr>
          <w:rStyle w:val="indexentry"/>
        </w:rPr>
        <w:fldChar w:fldCharType="begin"/>
      </w:r>
      <w:r>
        <w:instrText>xe "</w:instrText>
      </w:r>
      <w:r>
        <w:rPr>
          <w:rStyle w:val="xeentry"/>
        </w:rPr>
        <w:instrText>inversion of quantifiers: in moving negation boundary</w:instrText>
      </w:r>
      <w:r>
        <w:instrText>"</w:instrText>
      </w:r>
      <w:r>
        <w:rPr>
          <w:rStyle w:val="indexentry"/>
        </w:rPr>
        <w:fldChar w:fldCharType="end"/>
      </w:r>
      <w:r>
        <w:rPr>
          <w:rStyle w:val="indexentry"/>
        </w:rPr>
        <w:t>&lt;cx "inversion of quantifiers, definition"&gt;</w:t>
      </w:r>
      <w:r>
        <w:rPr>
          <w:rStyle w:val="indexentry"/>
        </w:rPr>
        <w:fldChar w:fldCharType="begin"/>
      </w:r>
      <w:r>
        <w:instrText>xe "</w:instrText>
      </w:r>
      <w:r>
        <w:rPr>
          <w:rStyle w:val="xeentry"/>
        </w:rPr>
        <w:instrText>inversion of quantifiers: definition</w:instrText>
      </w:r>
      <w:r>
        <w:instrText>"</w:instrText>
      </w:r>
      <w:r>
        <w:rPr>
          <w:rStyle w:val="indexentry"/>
        </w:rPr>
        <w:fldChar w:fldCharType="end"/>
      </w:r>
      <w:r>
        <w:t>The rules of formal logic require that, to move a negation boundary</w:t>
      </w:r>
      <w:r>
        <w:rPr>
          <w:rStyle w:val="deletedparamark"/>
        </w:rPr>
        <w:t xml:space="preserve"> </w:t>
      </w:r>
      <w:r>
        <w:t>within a prenex, you must “invert any quantifier” that the negation</w:t>
      </w:r>
      <w:r>
        <w:rPr>
          <w:rStyle w:val="deletedparamark"/>
        </w:rPr>
        <w:t xml:space="preserve"> </w:t>
      </w:r>
      <w:r>
        <w:t>boundary passes across. In</w:t>
      </w:r>
      <w:r>
        <w:softHyphen/>
        <w:t>verting a quantifier means that any “ro” (all)</w:t>
      </w:r>
      <w:r>
        <w:rPr>
          <w:rStyle w:val="deletedparamark"/>
        </w:rPr>
        <w:t xml:space="preserve"> </w:t>
      </w:r>
      <w:r>
        <w:t xml:space="preserve">is changed to “su'o” (at least one) and vice versa. Thus, </w:t>
      </w:r>
      <w:r>
        <w:rPr>
          <w:rStyle w:val="htmlcodes"/>
        </w:rPr>
        <w:t>&lt;a href=#e9d7&gt;</w:t>
      </w:r>
      <w:r>
        <w:t xml:space="preserve">Example 9.7 </w:t>
      </w:r>
      <w:r>
        <w:rPr>
          <w:rStyle w:val="htmlcodes"/>
        </w:rPr>
        <w:t>&lt;/a&gt;</w:t>
      </w:r>
      <w:r>
        <w:t>and</w:t>
      </w:r>
      <w:r>
        <w:rPr>
          <w:rStyle w:val="deletedparamark"/>
        </w:rPr>
        <w:t xml:space="preserve"> </w:t>
      </w:r>
      <w:r>
        <w:rPr>
          <w:rStyle w:val="htmlcodes"/>
        </w:rPr>
        <w:t>&lt;a href=#e9d8&gt;</w:t>
      </w:r>
      <w:r>
        <w:t xml:space="preserve">Example 9.8 </w:t>
      </w:r>
      <w:r>
        <w:rPr>
          <w:rStyle w:val="htmlcodes"/>
        </w:rPr>
        <w:t>&lt;/a&gt;</w:t>
      </w:r>
      <w:r>
        <w:t>can be restated as, 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name=e9d9&gt;</w:t>
      </w:r>
      <w:r>
        <w:t>9.9)</w:t>
      </w:r>
      <w:r>
        <w:tab/>
        <w:t>su'oda naku su'ode zo'u da prami de</w:t>
      </w:r>
    </w:p>
    <w:p w:rsidR="00B72047" w:rsidRDefault="00B72047">
      <w:pPr>
        <w:pStyle w:val="examplescaled"/>
      </w:pPr>
      <w:r>
        <w:tab/>
        <w:t>For some X, it is false that:  there is a Y such that : X loves Y.</w:t>
      </w:r>
    </w:p>
    <w:p w:rsidR="00B72047" w:rsidRDefault="00B72047">
      <w:pPr>
        <w:pStyle w:val="examplescaled"/>
      </w:pPr>
      <w:r>
        <w:tab/>
        <w:t>There is somebody who doesn't love anything.</w:t>
      </w:r>
    </w:p>
    <w:p w:rsidR="00B72047" w:rsidRDefault="00B72047">
      <w:pPr>
        <w:pStyle w:val="resumedafterexample"/>
      </w:pPr>
      <w:r>
        <w:rPr>
          <w:rStyle w:val="htmlcodes"/>
        </w:rPr>
        <w:t>&lt;/pre&gt;</w:t>
      </w:r>
      <w:r>
        <w:t>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name=e9d10&gt;</w:t>
      </w:r>
      <w:r>
        <w:t>9.10)</w:t>
      </w:r>
      <w:r>
        <w:tab/>
        <w:t>rode naku roda zo'u da prami de</w:t>
      </w:r>
    </w:p>
    <w:p w:rsidR="00B72047" w:rsidRDefault="00B72047">
      <w:pPr>
        <w:pStyle w:val="examplescaled"/>
      </w:pPr>
      <w:r>
        <w:tab/>
        <w:t>For every Y, it is false that:  for every X, X loves Y.</w:t>
      </w:r>
    </w:p>
    <w:p w:rsidR="00B72047" w:rsidRDefault="00B72047">
      <w:pPr>
        <w:pStyle w:val="examplescaled"/>
      </w:pPr>
      <w:r>
        <w:tab/>
        <w:t>For each thing, it is not true that everybody loves it.</w:t>
      </w:r>
    </w:p>
    <w:p w:rsidR="00B72047" w:rsidRDefault="00B72047">
      <w:pPr>
        <w:pStyle w:val="resumedafterexample"/>
      </w:pPr>
      <w:r>
        <w:rPr>
          <w:rStyle w:val="htmlcodes"/>
        </w:rPr>
        <w:t>&lt;/pre&gt;&lt;p&gt;</w:t>
      </w:r>
      <w:r>
        <w:t>Another movement of the negation boundary produces: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name=e9d11&gt;</w:t>
      </w:r>
      <w:r>
        <w:t>9.11)</w:t>
      </w:r>
      <w:r>
        <w:tab/>
        <w:t>su'oda rode naku zo'u da prami de</w:t>
      </w:r>
    </w:p>
    <w:p w:rsidR="00B72047" w:rsidRDefault="00B72047">
      <w:pPr>
        <w:pStyle w:val="examplescaled"/>
      </w:pPr>
      <w:r>
        <w:tab/>
        <w:t>There is an X such that, for every Y, it is false that X loves Y.</w:t>
      </w:r>
    </w:p>
    <w:p w:rsidR="00B72047" w:rsidRDefault="00B72047">
      <w:pPr>
        <w:pStyle w:val="examplescaled"/>
      </w:pPr>
      <w:r>
        <w:tab/>
        <w:t>There is someone who, for each thing, doesn't love that thing.</w:t>
      </w:r>
    </w:p>
    <w:p w:rsidR="00B72047" w:rsidRDefault="00B72047">
      <w:pPr>
        <w:pStyle w:val="resumedafterexample"/>
      </w:pPr>
      <w:r>
        <w:rPr>
          <w:rStyle w:val="deletedparamark"/>
        </w:rPr>
        <w:t xml:space="preserve"> </w:t>
      </w:r>
      <w:r>
        <w:t>and</w:t>
      </w:r>
    </w:p>
    <w:p w:rsidR="00B72047" w:rsidRDefault="00B72047">
      <w:pPr>
        <w:pStyle w:val="examplescaledpre"/>
      </w:pPr>
      <w:r>
        <w:rPr>
          <w:rStyle w:val="htmlcodes"/>
        </w:rPr>
        <w:t>&lt;a name=e9d12&gt;</w:t>
      </w:r>
      <w:r>
        <w:t>9.12)</w:t>
      </w:r>
      <w:r>
        <w:tab/>
        <w:t>rode su'oda naku zo'u da prami de</w:t>
      </w:r>
    </w:p>
    <w:p w:rsidR="00B72047" w:rsidRDefault="00B72047">
      <w:pPr>
        <w:pStyle w:val="examplescaled"/>
      </w:pPr>
      <w:r>
        <w:tab/>
        <w:t>For every Y, there is an X, such that it is false that: X loves Y.</w:t>
      </w:r>
    </w:p>
    <w:p w:rsidR="00B72047" w:rsidRDefault="00B72047">
      <w:pPr>
        <w:pStyle w:val="examplescaled"/>
      </w:pPr>
      <w:r>
        <w:tab/>
        <w:t>For each thing there is someone who doesn't love it.</w:t>
      </w:r>
    </w:p>
    <w:p w:rsidR="00B72047" w:rsidRDefault="00B72047">
      <w:pPr>
        <w:pStyle w:val="resumedafterexample"/>
      </w:pPr>
      <w:r>
        <w:rPr>
          <w:rStyle w:val="htmlcodes"/>
        </w:rPr>
        <w:t>&lt;/pre&gt;</w:t>
      </w:r>
      <w:r>
        <w:rPr>
          <w:rStyle w:val="indexentry"/>
        </w:rPr>
        <w:t>&lt;cx "inversion of quantifiers on passing negation boundary, rationale for"&gt;</w:t>
      </w:r>
      <w:r>
        <w:rPr>
          <w:rStyle w:val="indexentry"/>
        </w:rPr>
        <w:fldChar w:fldCharType="begin"/>
      </w:r>
      <w:r>
        <w:instrText>xe "</w:instrText>
      </w:r>
      <w:r>
        <w:rPr>
          <w:rStyle w:val="xeentry"/>
        </w:rPr>
        <w:instrText>inversion of quantifiers on passing negation boundary: rationale for</w:instrText>
      </w:r>
      <w:r>
        <w:instrText>"</w:instrText>
      </w:r>
      <w:r>
        <w:rPr>
          <w:rStyle w:val="indexentry"/>
        </w:rPr>
        <w:fldChar w:fldCharType="end"/>
      </w:r>
      <w:r>
        <w:t>Investigation will show that, indeed, each transformation preserves the</w:t>
      </w:r>
      <w:r>
        <w:rPr>
          <w:rStyle w:val="deletedparamark"/>
        </w:rPr>
        <w:t xml:space="preserve"> </w:t>
      </w:r>
      <w:r>
        <w:t xml:space="preserve">meanings of </w:t>
      </w:r>
      <w:r>
        <w:rPr>
          <w:rStyle w:val="htmlcodes"/>
        </w:rPr>
        <w:t>&lt;a href=#e9d7&gt;</w:t>
      </w:r>
      <w:r>
        <w:t>E</w:t>
      </w:r>
      <w:r>
        <w:t>x</w:t>
      </w:r>
      <w:r>
        <w:softHyphen/>
        <w:t xml:space="preserve">ample 9.7 </w:t>
      </w:r>
      <w:r>
        <w:rPr>
          <w:rStyle w:val="htmlcodes"/>
        </w:rPr>
        <w:t>&lt;/a&gt;</w:t>
      </w:r>
      <w:r>
        <w:t xml:space="preserve">and </w:t>
      </w:r>
      <w:r>
        <w:rPr>
          <w:rStyle w:val="htmlcodes"/>
        </w:rPr>
        <w:t>&lt;a href=#e9d8&gt;</w:t>
      </w:r>
      <w:r>
        <w:t>Example 9.8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"zero, relation to negation boundary"&gt;</w:t>
      </w:r>
      <w:r>
        <w:rPr>
          <w:rStyle w:val="indexentry"/>
        </w:rPr>
        <w:fldChar w:fldCharType="begin"/>
      </w:r>
      <w:r>
        <w:instrText>xe "</w:instrText>
      </w:r>
      <w:r>
        <w:rPr>
          <w:rStyle w:val="xeentry"/>
        </w:rPr>
        <w:instrText>zero: relation to negation boundary</w:instrText>
      </w:r>
      <w:r>
        <w:instrText>"</w:instrText>
      </w:r>
      <w:r>
        <w:rPr>
          <w:rStyle w:val="indexentry"/>
        </w:rPr>
        <w:fldChar w:fldCharType="end"/>
      </w:r>
      <w:r>
        <w:rPr>
          <w:rStyle w:val="indexentry"/>
        </w:rPr>
        <w:t>&lt;cx "negation boundary, and zero"&gt;</w:t>
      </w:r>
      <w:r>
        <w:rPr>
          <w:rStyle w:val="indexentry"/>
        </w:rPr>
        <w:fldChar w:fldCharType="begin"/>
      </w:r>
      <w:r>
        <w:instrText>xe "</w:instrText>
      </w:r>
      <w:r>
        <w:rPr>
          <w:rStyle w:val="xeentry"/>
        </w:rPr>
        <w:instrText>negation boundary: and zero</w:instrText>
      </w:r>
      <w:r>
        <w:instrText>"</w:instrText>
      </w:r>
      <w:r>
        <w:rPr>
          <w:rStyle w:val="indexentry"/>
        </w:rPr>
        <w:fldChar w:fldCharType="end"/>
      </w:r>
      <w:r>
        <w:t>The quantifier “no” (meaning “zero of”) also involves a negation boundary.</w:t>
      </w:r>
      <w:r>
        <w:rPr>
          <w:rStyle w:val="deletedparamark"/>
        </w:rPr>
        <w:t xml:space="preserve"> </w:t>
      </w:r>
      <w:r>
        <w:t>To tran</w:t>
      </w:r>
      <w:r>
        <w:t>s</w:t>
      </w:r>
      <w:r>
        <w:softHyphen/>
        <w:t>form a bridi containing a variable quantified with “no”, we must</w:t>
      </w:r>
      <w:r>
        <w:rPr>
          <w:rStyle w:val="deletedparamark"/>
        </w:rPr>
        <w:t xml:space="preserve"> </w:t>
      </w:r>
      <w:r>
        <w:t>first expand it. Consider</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name=e9d13&gt;</w:t>
      </w:r>
      <w:r>
        <w:t>9.13)</w:t>
      </w:r>
      <w:r>
        <w:tab/>
        <w:t>noda rode zo'u da prami de</w:t>
      </w:r>
    </w:p>
    <w:p w:rsidR="00B72047" w:rsidRDefault="00B72047">
      <w:pPr>
        <w:pStyle w:val="examplescaled"/>
      </w:pPr>
      <w:r>
        <w:tab/>
        <w:t>There is no X, for every Y, such that X loves Y.</w:t>
      </w:r>
    </w:p>
    <w:p w:rsidR="00B72047" w:rsidRDefault="00B72047">
      <w:pPr>
        <w:pStyle w:val="examplescaled"/>
      </w:pPr>
      <w:r>
        <w:tab/>
        <w:t>Nobody loves everything.</w:t>
      </w:r>
    </w:p>
    <w:p w:rsidR="00B72047" w:rsidRDefault="00B72047">
      <w:pPr>
        <w:pStyle w:val="resumedafterexample"/>
      </w:pPr>
      <w:r>
        <w:rPr>
          <w:rStyle w:val="htmlcodes"/>
        </w:rPr>
        <w:t>&lt;/pre&gt;</w:t>
      </w:r>
      <w:r>
        <w:t>which is negated by: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name=e9d14&gt;</w:t>
      </w:r>
      <w:r>
        <w:t>9.14)</w:t>
      </w:r>
      <w:r>
        <w:tab/>
        <w:t>naku noda rode zo'u da prami de</w:t>
      </w:r>
    </w:p>
    <w:p w:rsidR="00B72047" w:rsidRDefault="00B72047">
      <w:pPr>
        <w:pStyle w:val="examplescaled"/>
      </w:pPr>
      <w:r>
        <w:tab/>
        <w:t>It is false that:  there is no X that, for every Y, X loves Y.</w:t>
      </w:r>
    </w:p>
    <w:p w:rsidR="00B72047" w:rsidRDefault="00B72047">
      <w:pPr>
        <w:pStyle w:val="examplescaled"/>
      </w:pPr>
      <w:r>
        <w:tab/>
        <w:t>It is false that there is nobody who loves everything.</w:t>
      </w:r>
    </w:p>
    <w:p w:rsidR="00B72047" w:rsidRDefault="00B72047">
      <w:pPr>
        <w:pStyle w:val="normalafterexample"/>
      </w:pPr>
      <w:r>
        <w:rPr>
          <w:rStyle w:val="htmlcodes"/>
        </w:rPr>
        <w:t>&lt;/pre&gt;</w:t>
      </w:r>
      <w:r>
        <w:rPr>
          <w:rStyle w:val="indexentry"/>
        </w:rPr>
        <w:t>&lt;cx "expanding “no” quantifier"&gt;</w:t>
      </w:r>
      <w:r>
        <w:rPr>
          <w:rStyle w:val="indexentry"/>
        </w:rPr>
        <w:fldChar w:fldCharType="begin"/>
      </w:r>
      <w:r>
        <w:instrText>xe "</w:instrText>
      </w:r>
      <w:r>
        <w:rPr>
          <w:rStyle w:val="xeentry"/>
        </w:rPr>
        <w:instrText>expanding no quantifier</w:instrText>
      </w:r>
      <w:r>
        <w:instrText>"</w:instrText>
      </w:r>
      <w:r>
        <w:rPr>
          <w:rStyle w:val="indexentry"/>
        </w:rPr>
        <w:fldChar w:fldCharType="end"/>
      </w:r>
      <w:r>
        <w:rPr>
          <w:rStyle w:val="indexentry"/>
        </w:rPr>
        <w:t>&lt;cx "“no” quantifier, expanding"&gt;</w:t>
      </w:r>
      <w:r>
        <w:rPr>
          <w:rStyle w:val="indexentry"/>
        </w:rPr>
        <w:fldChar w:fldCharType="begin"/>
      </w:r>
      <w:r>
        <w:instrText>xe "</w:instrText>
      </w:r>
      <w:r>
        <w:rPr>
          <w:rStyle w:val="xeentry"/>
        </w:rPr>
        <w:instrText>no quantifier: expanding</w:instrText>
      </w:r>
      <w:r>
        <w:instrText>"</w:instrText>
      </w:r>
      <w:r>
        <w:rPr>
          <w:rStyle w:val="indexentry"/>
        </w:rPr>
        <w:fldChar w:fldCharType="end"/>
      </w:r>
      <w:r>
        <w:rPr>
          <w:rStyle w:val="indexentry"/>
        </w:rPr>
        <w:t>&lt;cx "noda, expanding to naku su'oda"&gt;</w:t>
      </w:r>
      <w:r>
        <w:rPr>
          <w:rStyle w:val="indexentry"/>
        </w:rPr>
        <w:fldChar w:fldCharType="begin"/>
      </w:r>
      <w:r>
        <w:instrText>xe "</w:instrText>
      </w:r>
      <w:r>
        <w:rPr>
          <w:rStyle w:val="xeentry"/>
        </w:rPr>
        <w:instrText>noda: expanding to naku su'oda</w:instrText>
      </w:r>
      <w:r>
        <w:instrText>"</w:instrText>
      </w:r>
      <w:r>
        <w:rPr>
          <w:rStyle w:val="indexentry"/>
        </w:rPr>
        <w:fldChar w:fldCharType="end"/>
      </w:r>
      <w:r>
        <w:rPr>
          <w:rStyle w:val="indexentry"/>
        </w:rPr>
        <w:t>&lt;cx "naku su'oda, as expansion of noda"&gt;</w:t>
      </w:r>
      <w:r>
        <w:rPr>
          <w:rStyle w:val="indexentry"/>
        </w:rPr>
        <w:fldChar w:fldCharType="begin"/>
      </w:r>
      <w:r>
        <w:instrText>xe "</w:instrText>
      </w:r>
      <w:r>
        <w:rPr>
          <w:rStyle w:val="xeentry"/>
        </w:rPr>
        <w:instrText>naku su'oda: as expansion of noda</w:instrText>
      </w:r>
      <w:r>
        <w:instrText>"</w:instrText>
      </w:r>
      <w:r>
        <w:rPr>
          <w:rStyle w:val="indexentry"/>
        </w:rPr>
        <w:fldChar w:fldCharType="end"/>
      </w:r>
      <w:r>
        <w:t xml:space="preserve">We can simplify </w:t>
      </w:r>
      <w:r>
        <w:rPr>
          <w:rStyle w:val="htmlcodes"/>
        </w:rPr>
        <w:t>&lt;a href=#e9d14&gt;</w:t>
      </w:r>
      <w:r>
        <w:t xml:space="preserve">Example 9.14 </w:t>
      </w:r>
      <w:r>
        <w:rPr>
          <w:rStyle w:val="htmlcodes"/>
        </w:rPr>
        <w:t>&lt;/a&gt;</w:t>
      </w:r>
      <w:r>
        <w:t>by transforming the prenex. To move</w:t>
      </w:r>
      <w:r>
        <w:rPr>
          <w:rStyle w:val="deletedparamark"/>
        </w:rPr>
        <w:t xml:space="preserve"> </w:t>
      </w:r>
      <w:r>
        <w:t>the ne</w:t>
      </w:r>
      <w:r>
        <w:softHyphen/>
        <w:t>gation phrase within the prenex, we must first expand the “no”</w:t>
      </w:r>
      <w:r>
        <w:rPr>
          <w:rStyle w:val="deletedparamark"/>
        </w:rPr>
        <w:t xml:space="preserve"> </w:t>
      </w:r>
      <w:r>
        <w:t>quantifier. Thus “for no x” means the same thing as “it is false for</w:t>
      </w:r>
      <w:r>
        <w:rPr>
          <w:rStyle w:val="deletedparamark"/>
        </w:rPr>
        <w:t xml:space="preserve"> </w:t>
      </w:r>
      <w:r>
        <w:t>some x”, and the corresponding Lojban “noda” can be replaced by</w:t>
      </w:r>
      <w:r>
        <w:rPr>
          <w:rStyle w:val="deletedparamark"/>
        </w:rPr>
        <w:t xml:space="preserve"> “</w:t>
      </w:r>
      <w:r>
        <w:t>naku su'oda”. Making this substitution, we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name=e9d15&gt;</w:t>
      </w:r>
      <w:r>
        <w:t>9.15)</w:t>
      </w:r>
      <w:r>
        <w:tab/>
        <w:t>naku naku su'oda rode zo'u da prami de</w:t>
      </w:r>
    </w:p>
    <w:p w:rsidR="00B72047" w:rsidRDefault="00B72047">
      <w:pPr>
        <w:pStyle w:val="examplescaled"/>
      </w:pPr>
      <w:r>
        <w:tab/>
        <w:t>It is false that it is false that:  for an X, for every Y:  X loves Y.</w:t>
      </w:r>
    </w:p>
    <w:p w:rsidR="00B72047" w:rsidRDefault="00B72047">
      <w:pPr>
        <w:pStyle w:val="resumedafterexample"/>
      </w:pPr>
      <w:r>
        <w:rPr>
          <w:rStyle w:val="htmlcodes"/>
        </w:rPr>
        <w:t>&lt;/pre&gt;&lt;p&gt;</w:t>
      </w:r>
      <w:r>
        <w:t>Adjacent negation boundaries in the prenex can be dropped, so this</w:t>
      </w:r>
      <w:r>
        <w:rPr>
          <w:rStyle w:val="deletedparamark"/>
        </w:rPr>
        <w:t xml:space="preserve"> </w:t>
      </w:r>
      <w:r>
        <w:t>means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name=e9d16&gt;</w:t>
      </w:r>
      <w:r>
        <w:t>9.16)</w:t>
      </w:r>
      <w:r>
        <w:tab/>
        <w:t>su'oda rode zo'u da prami de</w:t>
      </w:r>
    </w:p>
    <w:p w:rsidR="00B72047" w:rsidRDefault="00B72047">
      <w:pPr>
        <w:pStyle w:val="examplescaled"/>
      </w:pPr>
      <w:r>
        <w:tab/>
        <w:t>There is an X such that, for every Y, X loves Y.</w:t>
      </w:r>
    </w:p>
    <w:p w:rsidR="00B72047" w:rsidRDefault="00B72047">
      <w:pPr>
        <w:pStyle w:val="examplescaled"/>
      </w:pPr>
      <w:r>
        <w:tab/>
        <w:t>At least one person loves everything.</w:t>
      </w:r>
    </w:p>
    <w:p w:rsidR="00B72047" w:rsidRDefault="00B72047">
      <w:pPr>
        <w:pStyle w:val="resumedafterexample"/>
      </w:pPr>
      <w:r>
        <w:rPr>
          <w:rStyle w:val="htmlcodes"/>
        </w:rPr>
        <w:t>&lt;/pre&gt;</w:t>
      </w:r>
      <w:r>
        <w:t xml:space="preserve">which is clearly the desired contradiction of </w:t>
      </w:r>
      <w:r>
        <w:rPr>
          <w:rStyle w:val="htmlcodes"/>
        </w:rPr>
        <w:t>&lt;a href=#e9d13&gt;</w:t>
      </w:r>
      <w:r>
        <w:t>Example 9.13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"interactions between quantifiers and negation, effect"&gt;</w:t>
      </w:r>
      <w:r>
        <w:rPr>
          <w:rStyle w:val="indexentry"/>
        </w:rPr>
        <w:fldChar w:fldCharType="begin"/>
      </w:r>
      <w:r>
        <w:instrText>xe "</w:instrText>
      </w:r>
      <w:r>
        <w:rPr>
          <w:rStyle w:val="xeentry"/>
        </w:rPr>
        <w:instrText>interactions between quantifiers and negation: effect</w:instrText>
      </w:r>
      <w:r>
        <w:instrText>"</w:instrText>
      </w:r>
      <w:r>
        <w:rPr>
          <w:rStyle w:val="indexentry"/>
        </w:rPr>
        <w:fldChar w:fldCharType="end"/>
      </w:r>
      <w:r>
        <w:rPr>
          <w:rStyle w:val="indexentry"/>
        </w:rPr>
        <w:t>&lt;cx "double negatives, effect of interactions between quantifiers and negation on"&gt;</w:t>
      </w:r>
      <w:r>
        <w:rPr>
          <w:rStyle w:val="indexentry"/>
        </w:rPr>
        <w:fldChar w:fldCharType="begin"/>
      </w:r>
      <w:r>
        <w:instrText>xe "</w:instrText>
      </w:r>
      <w:r>
        <w:rPr>
          <w:rStyle w:val="xeentry"/>
        </w:rPr>
        <w:instrText>double negatives: effect of interactions between quantifiers and negation on</w:instrText>
      </w:r>
      <w:r>
        <w:instrText>"</w:instrText>
      </w:r>
      <w:r>
        <w:rPr>
          <w:rStyle w:val="indexentry"/>
        </w:rPr>
        <w:fldChar w:fldCharType="end"/>
      </w:r>
      <w:r>
        <w:t>The interactions between quantifiers and negation mean that you</w:t>
      </w:r>
      <w:r>
        <w:rPr>
          <w:rStyle w:val="deletedparamark"/>
        </w:rPr>
        <w:t xml:space="preserve"> </w:t>
      </w:r>
      <w:r>
        <w:t>cannot elimi</w:t>
      </w:r>
      <w:r>
        <w:softHyphen/>
        <w:t>nate double negatives that are not adjacent. You must first</w:t>
      </w:r>
      <w:r>
        <w:rPr>
          <w:rStyle w:val="deletedparamark"/>
        </w:rPr>
        <w:t xml:space="preserve"> </w:t>
      </w:r>
      <w:r>
        <w:t>move the negation phrases so that they are adjacent, inverting any</w:t>
      </w:r>
      <w:r>
        <w:rPr>
          <w:rStyle w:val="deletedparamark"/>
        </w:rPr>
        <w:t xml:space="preserve"> </w:t>
      </w:r>
      <w:r>
        <w:t>quantifiers they cross, and then the double negative can be eliminated.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464" w:name="_Toc398970703"/>
      <w:r>
        <w:rPr>
          <w:rStyle w:val="Heading3Text"/>
        </w:rPr>
        <w:t>bridi negation and logical connectives</w:t>
      </w:r>
      <w:bookmarkEnd w:id="46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"negation and logical connectives, caveat for logic chapter discussions"&gt;</w:t>
      </w:r>
      <w:r>
        <w:rPr>
          <w:rStyle w:val="indexentry"/>
        </w:rPr>
        <w:fldChar w:fldCharType="begin"/>
      </w:r>
      <w:r>
        <w:instrText>xe "</w:instrText>
      </w:r>
      <w:r>
        <w:rPr>
          <w:rStyle w:val="xeentry"/>
        </w:rPr>
        <w:instrText>negation and logical connectives: caveat for logic chapter discussions</w:instrText>
      </w:r>
      <w:r>
        <w:instrText>"</w:instrText>
      </w:r>
      <w:r>
        <w:rPr>
          <w:rStyle w:val="indexentry"/>
        </w:rPr>
        <w:fldChar w:fldCharType="end"/>
      </w:r>
      <w:r>
        <w:rPr>
          <w:rStyle w:val="indexentry"/>
        </w:rPr>
        <w:t>&lt;cx "logical connectives and negation, caveat for logic chapter discussions"&gt;</w:t>
      </w:r>
      <w:r>
        <w:rPr>
          <w:rStyle w:val="indexentry"/>
        </w:rPr>
        <w:fldChar w:fldCharType="begin"/>
      </w:r>
      <w:r>
        <w:instrText>xe "</w:instrText>
      </w:r>
      <w:r>
        <w:rPr>
          <w:rStyle w:val="xeentry"/>
        </w:rPr>
        <w:instrText>logical connectives and negation: caveat for logic chapter discussions</w:instrText>
      </w:r>
      <w:r>
        <w:instrText>"</w:instrText>
      </w:r>
      <w:r>
        <w:rPr>
          <w:rStyle w:val="indexentry"/>
        </w:rPr>
        <w:fldChar w:fldCharType="end"/>
      </w:r>
      <w:r>
        <w:rPr>
          <w:rStyle w:val="indexentry"/>
        </w:rPr>
        <w:t>&lt;cx "bridi negation and logical connectives"&gt;</w:t>
      </w:r>
      <w:r>
        <w:rPr>
          <w:rStyle w:val="indexentry"/>
        </w:rPr>
        <w:fldChar w:fldCharType="begin"/>
      </w:r>
      <w:r>
        <w:instrText>xe "</w:instrText>
      </w:r>
      <w:r>
        <w:rPr>
          <w:rStyle w:val="xeentry"/>
        </w:rPr>
        <w:instrText>bridi negation and logical connectives</w:instrText>
      </w:r>
      <w:r>
        <w:instrText>"</w:instrText>
      </w:r>
      <w:r>
        <w:rPr>
          <w:rStyle w:val="indexentry"/>
        </w:rPr>
        <w:fldChar w:fldCharType="end"/>
      </w:r>
      <w:r>
        <w:rPr>
          <w:rStyle w:val="indexentry"/>
        </w:rPr>
        <w:t>&lt;cx "logical connectives and bridi negation"&gt;</w:t>
      </w:r>
      <w:r>
        <w:rPr>
          <w:rStyle w:val="indexentry"/>
        </w:rPr>
        <w:fldChar w:fldCharType="begin"/>
      </w:r>
      <w:r>
        <w:instrText>xe "</w:instrText>
      </w:r>
      <w:r>
        <w:rPr>
          <w:rStyle w:val="xeentry"/>
        </w:rPr>
        <w:instrText>logical connectives and bridi negation</w:instrText>
      </w:r>
      <w:r>
        <w:instrText>"</w:instrText>
      </w:r>
      <w:r>
        <w:rPr>
          <w:rStyle w:val="indexentry"/>
        </w:rPr>
        <w:fldChar w:fldCharType="end"/>
      </w:r>
      <w:r>
        <w:t xml:space="preserve">A complete discussion of logical connectives appears in </w:t>
      </w:r>
      <w:r>
        <w:rPr>
          <w:rStyle w:val="htmlcodes"/>
        </w:rPr>
        <w:t>&lt;a href=chap14.html&gt;</w:t>
      </w:r>
      <w:r>
        <w:t>Chapter 14</w:t>
      </w:r>
      <w:r>
        <w:rPr>
          <w:rStyle w:val="htmlcodes"/>
        </w:rPr>
        <w:t>&lt;/a&gt;</w:t>
      </w:r>
      <w:r>
        <w:t>.</w:t>
      </w:r>
      <w:r>
        <w:rPr>
          <w:rStyle w:val="deletedparamark"/>
        </w:rPr>
        <w:t xml:space="preserve"> </w:t>
      </w:r>
      <w:r>
        <w:t>What is said here is intentionally quite incomplete and makes several</w:t>
      </w:r>
      <w:r>
        <w:rPr>
          <w:rStyle w:val="deletedparamark"/>
        </w:rPr>
        <w:t xml:space="preserve"> </w:t>
      </w:r>
      <w:r>
        <w:t>oversimplifications.</w:t>
      </w:r>
    </w:p>
    <w:p w:rsidR="00B72047" w:rsidRDefault="00B72047">
      <w:pPr>
        <w:pStyle w:val="normalparagraph"/>
        <w:rPr>
          <w:rStyle w:val="htmlparacode"/>
        </w:rPr>
      </w:pPr>
      <w:r>
        <w:rPr>
          <w:rStyle w:val="htmlparacode"/>
        </w:rPr>
        <w:t>&lt;p&gt;</w:t>
      </w:r>
    </w:p>
    <w:p w:rsidR="00B72047" w:rsidRDefault="00B72047">
      <w:pPr>
        <w:pStyle w:val="normalparagraph"/>
      </w:pPr>
      <w:r>
        <w:t>A logical connective is a cmavo or compound cmavo. In this chapter,</w:t>
      </w:r>
      <w:r>
        <w:rPr>
          <w:rStyle w:val="deletedparamark"/>
        </w:rPr>
        <w:t xml:space="preserve"> </w:t>
      </w:r>
      <w:r>
        <w:t>we will make use of the logical connectives “and” and “or” (where “or”</w:t>
      </w:r>
      <w:r>
        <w:rPr>
          <w:rStyle w:val="deletedparamark"/>
        </w:rPr>
        <w:t xml:space="preserve"> </w:t>
      </w:r>
      <w:r>
        <w:t>really means “and/or”, “either or both”). The following simplified</w:t>
      </w:r>
      <w:r>
        <w:rPr>
          <w:rStyle w:val="deletedparamark"/>
        </w:rPr>
        <w:t xml:space="preserve"> </w:t>
      </w:r>
      <w:r>
        <w:t>recipes explain how to make some logical conne</w:t>
      </w:r>
      <w:r>
        <w:t>c</w:t>
      </w:r>
      <w:r>
        <w:softHyphen/>
        <w:t>tives:</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"logical connective recipes, simplified for logic chapter discussion"&gt;</w:t>
      </w:r>
      <w:r>
        <w:rPr>
          <w:rStyle w:val="indexentry"/>
        </w:rPr>
        <w:fldChar w:fldCharType="begin"/>
      </w:r>
      <w:r>
        <w:instrText>xe "</w:instrText>
      </w:r>
      <w:r>
        <w:rPr>
          <w:rStyle w:val="xeentry"/>
        </w:rPr>
        <w:instrText>logical connectives: recipes, simplified for logic chapter discussion</w:instrText>
      </w:r>
      <w:r>
        <w:instrText>"</w:instrText>
      </w:r>
      <w:r>
        <w:rPr>
          <w:rStyle w:val="indexentry"/>
        </w:rPr>
        <w:fldChar w:fldCharType="end"/>
      </w:r>
      <w:r>
        <w:rPr>
          <w:rStyle w:val="htmlcodes"/>
        </w:rPr>
        <w:t>&lt;dl compact&gt;&lt;dt&gt;&lt;dd&gt;</w:t>
      </w:r>
      <w:r>
        <w:t>To logically connect two Lojban sumti with “and”, put them both in the bridi and separate them with the cmavo “.e”.</w:t>
      </w:r>
    </w:p>
    <w:p w:rsidR="00B72047" w:rsidRDefault="00B72047" w:rsidP="007E67C1">
      <w:pPr>
        <w:pStyle w:val="Listjustified"/>
        <w:numPr>
          <w:ilvl w:val="0"/>
          <w:numId w:val="2"/>
        </w:numPr>
        <w:ind w:left="792" w:hanging="432"/>
      </w:pPr>
      <w:r>
        <w:rPr>
          <w:rStyle w:val="htmlcodes"/>
        </w:rPr>
        <w:t>&lt;p&gt;&lt;dt&gt;&lt;dd&gt;</w:t>
      </w:r>
      <w:r>
        <w:t>To logically connect two Lojban bridi with “and”, replace the regular separator cmavo “.i” with the compound cmavo “.ije”.</w:t>
      </w:r>
    </w:p>
    <w:p w:rsidR="00B72047" w:rsidRDefault="00B72047" w:rsidP="007E67C1">
      <w:pPr>
        <w:pStyle w:val="Listjustified"/>
        <w:numPr>
          <w:ilvl w:val="0"/>
          <w:numId w:val="2"/>
        </w:numPr>
        <w:ind w:left="792" w:hanging="432"/>
      </w:pPr>
      <w:r>
        <w:rPr>
          <w:rStyle w:val="htmlcodes"/>
        </w:rPr>
        <w:t>&lt;p&gt;&lt;dt&gt;&lt;dd&gt;</w:t>
      </w:r>
      <w:r>
        <w:t>To logically connect two Lojban sumti with “or”, put them both in the bridi and separate them with the cmavo “.a”.</w:t>
      </w:r>
    </w:p>
    <w:p w:rsidR="00B72047" w:rsidRDefault="00B72047" w:rsidP="007E67C1">
      <w:pPr>
        <w:pStyle w:val="Listjustified"/>
        <w:numPr>
          <w:ilvl w:val="0"/>
          <w:numId w:val="2"/>
        </w:numPr>
        <w:ind w:left="792" w:hanging="432"/>
      </w:pPr>
      <w:r>
        <w:rPr>
          <w:rStyle w:val="htmlcodes"/>
        </w:rPr>
        <w:t>&lt;p&gt;&lt;dt&gt;&lt;dd&gt;</w:t>
      </w:r>
      <w:r>
        <w:t>To logically connect two Lojban bridi with “or”, replace the regular separa</w:t>
      </w:r>
      <w:r>
        <w:softHyphen/>
        <w:t>tor cmavo “.i” with the compound cmavo “.ija”.</w:t>
      </w:r>
    </w:p>
    <w:p w:rsidR="00B72047" w:rsidRDefault="00B72047">
      <w:pPr>
        <w:pStyle w:val="normalafterexample"/>
      </w:pPr>
      <w:r>
        <w:rPr>
          <w:rStyle w:val="htmlcodes"/>
        </w:rPr>
        <w:t>&lt;/dl&gt;&lt;p&gt;</w:t>
      </w:r>
      <w:r>
        <w:t>More complex logical connectives also exist; in particular, one may place</w:t>
      </w:r>
      <w:r>
        <w:rPr>
          <w:rStyle w:val="deletedparamark"/>
        </w:rPr>
        <w:t xml:space="preserve"> “</w:t>
      </w:r>
      <w:r>
        <w:t>na” b</w:t>
      </w:r>
      <w:r>
        <w:t>e</w:t>
      </w:r>
      <w:r>
        <w:softHyphen/>
        <w:t>fore “.e” or “.a”, or between “.i” and “je” or “ja”; likewise,</w:t>
      </w:r>
      <w:r>
        <w:rPr>
          <w:rStyle w:val="deletedparamark"/>
        </w:rPr>
        <w:t xml:space="preserve"> </w:t>
      </w:r>
      <w:r>
        <w:t>one may place “nai” at the end of a connective. Both “na” and “nai”</w:t>
      </w:r>
      <w:r>
        <w:rPr>
          <w:rStyle w:val="deletedparamark"/>
        </w:rPr>
        <w:t xml:space="preserve"> </w:t>
      </w:r>
      <w:r>
        <w:t>have negative effects on the sumti or bridi being connected. Specifically,</w:t>
      </w:r>
      <w:r>
        <w:rPr>
          <w:rStyle w:val="deletedparamark"/>
        </w:rPr>
        <w:t xml:space="preserve"> “</w:t>
      </w:r>
      <w:r>
        <w:t>na” negates the first or left-hand sumti or bridi, and “nai” n</w:t>
      </w:r>
      <w:r>
        <w:t>e</w:t>
      </w:r>
      <w:r>
        <w:softHyphen/>
        <w:t>gates the</w:t>
      </w:r>
      <w:r>
        <w:rPr>
          <w:rStyle w:val="deletedparamark"/>
        </w:rPr>
        <w:t xml:space="preserve"> </w:t>
      </w:r>
      <w:r>
        <w:t>second or right-hand one.</w:t>
      </w:r>
    </w:p>
    <w:p w:rsidR="00B72047" w:rsidRDefault="00B72047">
      <w:pPr>
        <w:rPr>
          <w:rStyle w:val="htmlparacode"/>
        </w:rPr>
      </w:pPr>
      <w:r>
        <w:rPr>
          <w:rStyle w:val="htmlparacode"/>
        </w:rPr>
        <w:t>&lt;p&gt;</w:t>
      </w:r>
    </w:p>
    <w:p w:rsidR="00B72047" w:rsidRDefault="00B72047">
      <w:pPr>
        <w:pStyle w:val="normalparagraph"/>
      </w:pPr>
      <w:r>
        <w:t>Whenever a logical connective occurs in a sentence, that sentence can</w:t>
      </w:r>
      <w:r>
        <w:rPr>
          <w:rStyle w:val="deletedparamark"/>
        </w:rPr>
        <w:t xml:space="preserve"> </w:t>
      </w:r>
      <w:r>
        <w:t>be ex</w:t>
      </w:r>
      <w:r>
        <w:softHyphen/>
        <w:t>panded into two sentences by repeating the common terms and joining the</w:t>
      </w:r>
      <w:r>
        <w:rPr>
          <w:rStyle w:val="deletedparamark"/>
        </w:rPr>
        <w:t xml:space="preserve"> </w:t>
      </w:r>
      <w:r>
        <w:t>sentences by a logical connective beginning with “.i”. Thus the following</w:t>
      </w:r>
      <w:r>
        <w:rPr>
          <w:rStyle w:val="deletedparamark"/>
        </w:rPr>
        <w:t xml:space="preserve"> </w:t>
      </w:r>
      <w:r>
        <w:t>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mi .e do klama ti</w:t>
      </w:r>
    </w:p>
    <w:p w:rsidR="00B72047" w:rsidRDefault="00B72047">
      <w:pPr>
        <w:pStyle w:val="examplescaled"/>
      </w:pPr>
      <w:r>
        <w:tab/>
        <w:t>I and you come here.</w:t>
      </w:r>
    </w:p>
    <w:p w:rsidR="00B72047" w:rsidRDefault="00B72047">
      <w:pPr>
        <w:pStyle w:val="resumedafterexample"/>
      </w:pPr>
      <w:r>
        <w:rPr>
          <w:rStyle w:val="htmlcodes"/>
        </w:rPr>
        <w:t>&lt;/pre&gt;</w:t>
      </w:r>
      <w:r>
        <w:t>can be expanded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mi klama ti  .ije do klama ti</w:t>
      </w:r>
    </w:p>
    <w:p w:rsidR="00B72047" w:rsidRDefault="00B72047">
      <w:pPr>
        <w:pStyle w:val="examplescaled"/>
      </w:pPr>
      <w:r>
        <w:tab/>
        <w:t>I come here, and, you come here.</w:t>
      </w:r>
    </w:p>
    <w:p w:rsidR="00B72047" w:rsidRDefault="00B72047">
      <w:pPr>
        <w:pStyle w:val="normalafterexample"/>
      </w:pPr>
      <w:r>
        <w:rPr>
          <w:rStyle w:val="htmlcodes"/>
        </w:rPr>
        <w:t>&lt;/pre&gt;&lt;p&gt;</w:t>
      </w:r>
      <w:r>
        <w:t>The same type of expansion can be performed for any logical connective,</w:t>
      </w:r>
      <w:r>
        <w:rPr>
          <w:rStyle w:val="deletedparamark"/>
        </w:rPr>
        <w:t xml:space="preserve"> </w:t>
      </w:r>
      <w:r>
        <w:t>with any valid combination of “na” or “nai” attached. No change in</w:t>
      </w:r>
      <w:r>
        <w:rPr>
          <w:rStyle w:val="deletedparamark"/>
        </w:rPr>
        <w:t xml:space="preserve"> </w:t>
      </w:r>
      <w:r>
        <w:t>meaning occurs under such a transformation.</w:t>
      </w:r>
    </w:p>
    <w:p w:rsidR="00B72047" w:rsidRDefault="00B72047">
      <w:pPr>
        <w:rPr>
          <w:rStyle w:val="htmlparacode"/>
        </w:rPr>
      </w:pPr>
      <w:r>
        <w:rPr>
          <w:rStyle w:val="htmlparacode"/>
        </w:rPr>
        <w:t>&lt;p&gt;</w:t>
      </w:r>
    </w:p>
    <w:p w:rsidR="00B72047" w:rsidRDefault="00B72047">
      <w:pPr>
        <w:pStyle w:val="normalparagraph"/>
      </w:pPr>
      <w:r>
        <w:t>Clearly, if we know what negation means in the expanded sentence</w:t>
      </w:r>
      <w:r>
        <w:rPr>
          <w:rStyle w:val="deletedparamark"/>
        </w:rPr>
        <w:t xml:space="preserve"> </w:t>
      </w:r>
      <w:r>
        <w:t>forms, then we know what it means in all of the other forms.</w:t>
      </w:r>
      <w:r>
        <w:rPr>
          <w:rStyle w:val="deletedparamark"/>
        </w:rPr>
        <w:t xml:space="preserve"> </w:t>
      </w:r>
      <w:r>
        <w:t>But what does negation mean between se</w:t>
      </w:r>
      <w:r>
        <w:t>n</w:t>
      </w:r>
      <w:r>
        <w:softHyphen/>
        <w:t>tences?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"negation between sentences, compared with bridi negation"&gt;</w:t>
      </w:r>
      <w:r>
        <w:rPr>
          <w:rStyle w:val="indexentry"/>
        </w:rPr>
        <w:fldChar w:fldCharType="begin"/>
      </w:r>
      <w:r>
        <w:instrText>xe "</w:instrText>
      </w:r>
      <w:r>
        <w:rPr>
          <w:rStyle w:val="xeentry"/>
        </w:rPr>
        <w:instrText>negation between sentences: compared with bridi negation</w:instrText>
      </w:r>
      <w:r>
        <w:instrText>"</w:instrText>
      </w:r>
      <w:r>
        <w:rPr>
          <w:rStyle w:val="indexentry"/>
        </w:rPr>
        <w:fldChar w:fldCharType="end"/>
      </w:r>
      <w:r>
        <w:rPr>
          <w:rStyle w:val="indexentry"/>
        </w:rPr>
        <w:t>&lt;cx "bridi negation, compared with negation between sentences"&gt;</w:t>
      </w:r>
      <w:r>
        <w:rPr>
          <w:rStyle w:val="indexentry"/>
        </w:rPr>
        <w:fldChar w:fldCharType="begin"/>
      </w:r>
      <w:r>
        <w:instrText>xe "</w:instrText>
      </w:r>
      <w:r>
        <w:rPr>
          <w:rStyle w:val="xeentry"/>
        </w:rPr>
        <w:instrText>bridi negation: compared with negation between sentences</w:instrText>
      </w:r>
      <w:r>
        <w:instrText>"</w:instrText>
      </w:r>
      <w:r>
        <w:rPr>
          <w:rStyle w:val="indexentry"/>
        </w:rPr>
        <w:fldChar w:fldCharType="end"/>
      </w:r>
      <w:r>
        <w:rPr>
          <w:rStyle w:val="indexentry"/>
        </w:rPr>
        <w:t>&lt;cx "negation between sentences, meaning of"&gt;</w:t>
      </w:r>
      <w:r>
        <w:rPr>
          <w:rStyle w:val="indexentry"/>
        </w:rPr>
        <w:fldChar w:fldCharType="begin"/>
      </w:r>
      <w:r>
        <w:instrText>xe "</w:instrText>
      </w:r>
      <w:r>
        <w:rPr>
          <w:rStyle w:val="xeentry"/>
        </w:rPr>
        <w:instrText>negation between sentences: meaning of</w:instrText>
      </w:r>
      <w:r>
        <w:instrText>"</w:instrText>
      </w:r>
      <w:r>
        <w:rPr>
          <w:rStyle w:val="indexentry"/>
        </w:rPr>
        <w:fldChar w:fldCharType="end"/>
      </w:r>
      <w:r>
        <w:t>The mystery is easily solved. A negation in a logical expression is</w:t>
      </w:r>
      <w:r>
        <w:rPr>
          <w:rStyle w:val="deletedparamark"/>
        </w:rPr>
        <w:t xml:space="preserve"> </w:t>
      </w:r>
      <w:r>
        <w:t>identical to the corresponding bridi negation, with the negator placed at</w:t>
      </w:r>
      <w:r>
        <w:rPr>
          <w:rStyle w:val="deletedparamark"/>
        </w:rPr>
        <w:t xml:space="preserve"> </w:t>
      </w:r>
      <w:r>
        <w:t>the beginning of the pre</w:t>
      </w:r>
      <w:r>
        <w:softHyphen/>
        <w:t>nex.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mi .enai do prami roda</w:t>
      </w:r>
    </w:p>
    <w:p w:rsidR="00B72047" w:rsidRDefault="00B72047">
      <w:pPr>
        <w:pStyle w:val="examplescaled"/>
      </w:pPr>
      <w:r>
        <w:tab/>
        <w:t>I, and not you, love everything.</w:t>
      </w:r>
    </w:p>
    <w:p w:rsidR="00B72047" w:rsidRDefault="00B72047">
      <w:pPr>
        <w:pStyle w:val="resumedafterexample"/>
      </w:pPr>
      <w:r>
        <w:rPr>
          <w:rStyle w:val="htmlcodes"/>
        </w:rPr>
        <w:t>&lt;/pre&gt;</w:t>
      </w:r>
      <w:r>
        <w:t>expands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mi prami roda  .ijenai do prami roda</w:t>
      </w:r>
    </w:p>
    <w:p w:rsidR="00B72047" w:rsidRDefault="00B72047">
      <w:pPr>
        <w:pStyle w:val="examplescaled"/>
      </w:pPr>
      <w:r>
        <w:tab/>
        <w:t>I love everything, and-not, you love everything.</w:t>
      </w:r>
    </w:p>
    <w:p w:rsidR="00B72047" w:rsidRDefault="00B72047">
      <w:pPr>
        <w:pStyle w:val="resumedafterexample"/>
      </w:pPr>
      <w:r>
        <w:rPr>
          <w:rStyle w:val="htmlcodes"/>
        </w:rPr>
        <w:t>&lt;/pre&gt;</w:t>
      </w:r>
      <w:r>
        <w:t>and then into prenex form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roda zo'u mi prami da  .ije naku zo'u do prami da</w:t>
      </w:r>
    </w:p>
    <w:p w:rsidR="00B72047" w:rsidRDefault="00B72047">
      <w:pPr>
        <w:pStyle w:val="examplescaled"/>
      </w:pPr>
      <w:r>
        <w:tab/>
        <w:t>For each thing:  I love it, and it is false that you love (the same) it.</w:t>
      </w:r>
    </w:p>
    <w:p w:rsidR="00B72047" w:rsidRDefault="00B72047">
      <w:pPr>
        <w:pStyle w:val="normalafterexample"/>
      </w:pPr>
      <w:r>
        <w:rPr>
          <w:rStyle w:val="htmlcodes"/>
        </w:rPr>
        <w:t>&lt;/pre&gt;</w:t>
      </w:r>
      <w:r>
        <w:rPr>
          <w:rStyle w:val="indexentry"/>
        </w:rPr>
        <w:t>&lt;cx "quantifier scope, in multiple connected sentences"&gt;</w:t>
      </w:r>
      <w:r>
        <w:rPr>
          <w:rStyle w:val="indexentry"/>
        </w:rPr>
        <w:fldChar w:fldCharType="begin"/>
      </w:r>
      <w:r>
        <w:instrText>xe "</w:instrText>
      </w:r>
      <w:r>
        <w:rPr>
          <w:rStyle w:val="xeentry"/>
        </w:rPr>
        <w:instrText>quantifier scope: in multiple connected sentences</w:instrText>
      </w:r>
      <w:r>
        <w:instrText>"</w:instrText>
      </w:r>
      <w:r>
        <w:rPr>
          <w:rStyle w:val="indexentry"/>
        </w:rPr>
        <w:fldChar w:fldCharType="end"/>
      </w:r>
      <w:r>
        <w:t>By the rules of predicate logic, the “ro” quantifier on “da” has scope</w:t>
      </w:r>
      <w:r>
        <w:rPr>
          <w:rStyle w:val="deletedparamark"/>
        </w:rPr>
        <w:t xml:space="preserve"> </w:t>
      </w:r>
      <w:r>
        <w:t>over both se</w:t>
      </w:r>
      <w:r>
        <w:t>n</w:t>
      </w:r>
      <w:r>
        <w:softHyphen/>
        <w:t>tences. That is, once you've picked a value for “da” for the</w:t>
      </w:r>
      <w:r>
        <w:rPr>
          <w:rStyle w:val="deletedparamark"/>
        </w:rPr>
        <w:t xml:space="preserve"> </w:t>
      </w:r>
      <w:r>
        <w:t>first sentence, it stays the same for both sentences. (The “da” continues</w:t>
      </w:r>
      <w:r>
        <w:rPr>
          <w:rStyle w:val="deletedparamark"/>
        </w:rPr>
        <w:t xml:space="preserve"> </w:t>
      </w:r>
      <w:r>
        <w:t>with the same fixed value until a new paragraph or a new prenex resets the</w:t>
      </w:r>
      <w:r>
        <w:rPr>
          <w:rStyle w:val="deletedparamark"/>
        </w:rPr>
        <w:t xml:space="preserve"> </w:t>
      </w:r>
      <w:r>
        <w:t>meaning.)</w:t>
      </w:r>
    </w:p>
    <w:p w:rsidR="00B72047" w:rsidRDefault="00B72047">
      <w:pPr>
        <w:rPr>
          <w:rStyle w:val="htmlparacode"/>
        </w:rPr>
      </w:pPr>
      <w:r>
        <w:rPr>
          <w:rStyle w:val="htmlparacode"/>
        </w:rPr>
        <w:t>&lt;p&gt;</w:t>
      </w:r>
    </w:p>
    <w:p w:rsidR="00B72047" w:rsidRDefault="00B72047">
      <w:pPr>
        <w:pStyle w:val="normalparagraph"/>
      </w:pPr>
      <w:r>
        <w:t>Thus the following example has the indicated translation: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su'oda zo'u mi prami da</w:t>
      </w:r>
    </w:p>
    <w:p w:rsidR="00B72047" w:rsidRDefault="00B72047">
      <w:pPr>
        <w:pStyle w:val="examplescaled"/>
      </w:pPr>
      <w:r>
        <w:tab/>
      </w:r>
      <w:r>
        <w:tab/>
        <w:t>.ije naku zo'u do prami da</w:t>
      </w:r>
    </w:p>
    <w:p w:rsidR="00B72047" w:rsidRDefault="00B72047">
      <w:pPr>
        <w:pStyle w:val="examplescaled"/>
      </w:pPr>
      <w:r>
        <w:tab/>
        <w:t>For at least one thing:  I love that thing.</w:t>
      </w:r>
    </w:p>
    <w:p w:rsidR="00B72047" w:rsidRDefault="00B72047">
      <w:pPr>
        <w:pStyle w:val="examplescaled"/>
      </w:pPr>
      <w:r>
        <w:tab/>
      </w:r>
      <w:r>
        <w:tab/>
        <w:t>And it is false that:  you love that (same) thing.</w:t>
      </w:r>
    </w:p>
    <w:p w:rsidR="00B72047" w:rsidRDefault="00B72047">
      <w:pPr>
        <w:pStyle w:val="examplescaled"/>
      </w:pPr>
      <w:r>
        <w:tab/>
        <w:t>There is something that I love that you don't.</w:t>
      </w:r>
    </w:p>
    <w:p w:rsidR="00B72047" w:rsidRDefault="00B72047">
      <w:pPr>
        <w:pStyle w:val="normalafterexample"/>
        <w:spacing w:before="0"/>
      </w:pPr>
      <w:r>
        <w:rPr>
          <w:rStyle w:val="htmlcodes"/>
          <w:vanish w:val="0"/>
        </w:rPr>
        <w:br w:type="page"/>
      </w:r>
      <w:r>
        <w:rPr>
          <w:rStyle w:val="htmlcodes"/>
        </w:rPr>
        <w:t>&lt;/pre&gt;</w:t>
      </w:r>
      <w:r>
        <w:rPr>
          <w:rStyle w:val="indexentry"/>
        </w:rPr>
        <w:t>&lt;cx "prenex manipulation, rules"&gt;</w:t>
      </w:r>
      <w:r>
        <w:rPr>
          <w:rStyle w:val="indexentry"/>
        </w:rPr>
        <w:fldChar w:fldCharType="begin"/>
      </w:r>
      <w:r>
        <w:instrText>xe "</w:instrText>
      </w:r>
      <w:r>
        <w:rPr>
          <w:rStyle w:val="xeentry"/>
        </w:rPr>
        <w:instrText>prenex manipulation: rules</w:instrText>
      </w:r>
      <w:r>
        <w:instrText>"</w:instrText>
      </w:r>
      <w:r>
        <w:rPr>
          <w:rStyle w:val="indexentry"/>
        </w:rPr>
        <w:fldChar w:fldCharType="end"/>
      </w:r>
      <w:r>
        <w:t>If you remember only two rules for prenex manipulation of negations,</w:t>
      </w:r>
      <w:r>
        <w:rPr>
          <w:rStyle w:val="deletedparamark"/>
        </w:rPr>
        <w:t xml:space="preserve"> </w:t>
      </w:r>
      <w:r>
        <w:t>you won't go wrong:</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"prenex manipulation, moving naku past bound variable"&gt;</w:t>
      </w:r>
      <w:r>
        <w:rPr>
          <w:rStyle w:val="indexentry"/>
        </w:rPr>
        <w:fldChar w:fldCharType="begin"/>
      </w:r>
      <w:r>
        <w:instrText>xe "</w:instrText>
      </w:r>
      <w:r>
        <w:rPr>
          <w:rStyle w:val="xeentry"/>
        </w:rPr>
        <w:instrText>prenex manipulation: moving naku past bound variable</w:instrText>
      </w:r>
      <w:r>
        <w:instrText>"</w:instrText>
      </w:r>
      <w:r>
        <w:rPr>
          <w:rStyle w:val="indexentry"/>
        </w:rPr>
        <w:fldChar w:fldCharType="end"/>
      </w:r>
      <w:r>
        <w:rPr>
          <w:rStyle w:val="htmlcodes"/>
        </w:rPr>
        <w:t>&lt;dl compact&gt;&lt;dt&gt;&lt;dd&gt;</w:t>
      </w:r>
      <w:r>
        <w:t>Within a prenex, whenever you move “naku” past a bound variable (da, de, di, etc.), you must invert the quantifier.</w:t>
      </w:r>
    </w:p>
    <w:p w:rsidR="00B72047" w:rsidRDefault="00B72047" w:rsidP="007E67C1">
      <w:pPr>
        <w:pStyle w:val="Listjustified"/>
        <w:numPr>
          <w:ilvl w:val="0"/>
          <w:numId w:val="2"/>
        </w:numPr>
        <w:ind w:left="792" w:hanging="432"/>
      </w:pPr>
      <w:r>
        <w:rPr>
          <w:rStyle w:val="htmlcodes"/>
        </w:rPr>
        <w:t>&lt;/dl&gt;</w:t>
      </w:r>
      <w:r>
        <w:rPr>
          <w:rStyle w:val="indexentry"/>
        </w:rPr>
        <w:t>&lt;cx "prenex manipulation, importing na from selbri"&gt;</w:t>
      </w:r>
      <w:r>
        <w:rPr>
          <w:rStyle w:val="indexentry"/>
        </w:rPr>
        <w:fldChar w:fldCharType="begin"/>
      </w:r>
      <w:r>
        <w:instrText>xe "</w:instrText>
      </w:r>
      <w:r>
        <w:rPr>
          <w:rStyle w:val="xeentry"/>
        </w:rPr>
        <w:instrText>prenex manipulation: importing na from selbri</w:instrText>
      </w:r>
      <w:r>
        <w:instrText>"</w:instrText>
      </w:r>
      <w:r>
        <w:rPr>
          <w:rStyle w:val="indexentry"/>
        </w:rPr>
        <w:fldChar w:fldCharType="end"/>
      </w:r>
      <w:r>
        <w:rPr>
          <w:rStyle w:val="indexentry"/>
        </w:rPr>
        <w:t>&lt;cx "prenex manipulation, exporting na from left of prenex"&gt;</w:t>
      </w:r>
      <w:r>
        <w:rPr>
          <w:rStyle w:val="indexentry"/>
        </w:rPr>
        <w:fldChar w:fldCharType="begin"/>
      </w:r>
      <w:r>
        <w:instrText>xe "</w:instrText>
      </w:r>
      <w:r>
        <w:rPr>
          <w:rStyle w:val="xeentry"/>
        </w:rPr>
        <w:instrText>prenex manipulation: exporting na from left of prenex</w:instrText>
      </w:r>
      <w:r>
        <w:instrText>"</w:instrText>
      </w:r>
      <w:r>
        <w:rPr>
          <w:rStyle w:val="indexentry"/>
        </w:rPr>
        <w:fldChar w:fldCharType="end"/>
      </w:r>
      <w:r>
        <w:rPr>
          <w:rStyle w:val="htmlcodes"/>
        </w:rPr>
        <w:t>&lt;dl compact&gt;&lt;dt&gt;&lt;dd&gt;</w:t>
      </w:r>
      <w:r>
        <w:t>A “na” before the selbri is always transformed into a “naku” at the left-hand end of the prenex, and vice versa.</w:t>
      </w:r>
    </w:p>
    <w:p w:rsidR="00B72047" w:rsidRDefault="00B72047">
      <w:pPr>
        <w:pStyle w:val="Heading3"/>
        <w:rPr>
          <w:rStyle w:val="Heading3Text"/>
        </w:rPr>
      </w:pPr>
      <w:r>
        <w:rPr>
          <w:rStyle w:val="htmlcodes"/>
        </w:rPr>
        <w:t>&lt;/dl&gt;&lt;a name=s11&gt;&lt;h3&gt;</w:t>
      </w:r>
      <w:bookmarkStart w:id="465" w:name="_Toc398970704"/>
      <w:r>
        <w:rPr>
          <w:rStyle w:val="Heading3Text"/>
        </w:rPr>
        <w:t>Using “naku” outside a prenex</w:t>
      </w:r>
      <w:bookmarkEnd w:id="465"/>
      <w:r>
        <w:rPr>
          <w:rStyle w:val="htmlcodes"/>
        </w:rPr>
        <w:t>&lt;/h3&gt;</w:t>
      </w:r>
    </w:p>
    <w:p w:rsidR="00B72047" w:rsidRDefault="00B72047">
      <w:pPr>
        <w:rPr>
          <w:rStyle w:val="htmlparacode"/>
        </w:rPr>
      </w:pPr>
      <w:r>
        <w:rPr>
          <w:rStyle w:val="htmlparacode"/>
        </w:rPr>
        <w:t>&lt;p&gt;</w:t>
      </w:r>
    </w:p>
    <w:p w:rsidR="00B72047" w:rsidRDefault="00B72047">
      <w:pPr>
        <w:pStyle w:val="normalparagraph"/>
      </w:pPr>
      <w:r>
        <w:t>Let us consider the English sentence</w:t>
      </w:r>
    </w:p>
    <w:p w:rsidR="00B72047" w:rsidRDefault="00B72047">
      <w:pPr>
        <w:rPr>
          <w:rStyle w:val="htmlparacode"/>
        </w:rPr>
      </w:pPr>
      <w:r>
        <w:rPr>
          <w:rStyle w:val="htmlparacode"/>
        </w:rPr>
        <w:t>&lt;p&gt;</w:t>
      </w:r>
    </w:p>
    <w:p w:rsidR="00B72047" w:rsidRDefault="00B72047">
      <w:pPr>
        <w:pStyle w:val="examplescaledpre"/>
      </w:pPr>
      <w:r>
        <w:rPr>
          <w:rStyle w:val="indexentry"/>
        </w:rPr>
        <w:t>&lt;ex "some do not go to school"&gt;</w:t>
      </w:r>
      <w:r>
        <w:rPr>
          <w:rStyle w:val="indexentry"/>
        </w:rPr>
        <w:fldChar w:fldCharType="begin"/>
      </w:r>
      <w:r>
        <w:instrText>xe "</w:instrText>
      </w:r>
      <w:r>
        <w:rPr>
          <w:rStyle w:val="xeentry"/>
        </w:rPr>
        <w:instrText>some do not go to school: example</w:instrText>
      </w:r>
      <w:r>
        <w:instrText>"</w:instrText>
      </w:r>
      <w:r>
        <w:rPr>
          <w:rStyle w:val="indexentry"/>
        </w:rPr>
        <w:fldChar w:fldCharType="end"/>
      </w:r>
      <w:r>
        <w:rPr>
          <w:rStyle w:val="htmlcodes"/>
        </w:rPr>
        <w:t>&lt;pre&gt;&lt;a name=e11d1&gt;</w:t>
      </w:r>
      <w:r>
        <w:t>11.1)</w:t>
      </w:r>
      <w:r>
        <w:tab/>
        <w:t>Some children do not go to school.</w:t>
      </w:r>
    </w:p>
    <w:p w:rsidR="00B72047" w:rsidRDefault="00B72047">
      <w:pPr>
        <w:pStyle w:val="resumedafterexample"/>
      </w:pPr>
      <w:r>
        <w:rPr>
          <w:rStyle w:val="htmlcodes"/>
        </w:rPr>
        <w:t>&lt;/pre&gt;&lt;p&gt;</w:t>
      </w:r>
      <w:r>
        <w:t>We cannot express this directly with “na”; the apparently obvious</w:t>
      </w:r>
      <w:r>
        <w:rPr>
          <w:rStyle w:val="deletedparamark"/>
        </w:rPr>
        <w:t xml:space="preserve"> </w:t>
      </w:r>
      <w:r>
        <w:t>translation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su'oda poi verba na klama</w:t>
      </w:r>
    </w:p>
    <w:p w:rsidR="00B72047" w:rsidRDefault="00B72047">
      <w:pPr>
        <w:pStyle w:val="examplescaled"/>
      </w:pPr>
      <w:r>
        <w:tab/>
      </w:r>
      <w:r>
        <w:tab/>
        <w:t>su'ode poi ckule</w:t>
      </w:r>
    </w:p>
    <w:p w:rsidR="00B72047" w:rsidRDefault="00B72047">
      <w:pPr>
        <w:pStyle w:val="examplescaled"/>
      </w:pPr>
      <w:r>
        <w:tab/>
        <w:t xml:space="preserve">At-least-one X which-are child(ren) [false] go-to </w:t>
      </w:r>
    </w:p>
    <w:p w:rsidR="00B72047" w:rsidRDefault="00B72047">
      <w:pPr>
        <w:pStyle w:val="examplescaled"/>
        <w:ind w:firstLine="576"/>
      </w:pPr>
      <w:r>
        <w:t>at-least-one Y which-are school(s).</w:t>
      </w:r>
    </w:p>
    <w:p w:rsidR="00B72047" w:rsidRDefault="00B72047">
      <w:pPr>
        <w:pStyle w:val="resumedafterexample"/>
      </w:pPr>
      <w:r>
        <w:rPr>
          <w:rStyle w:val="htmlcodes"/>
        </w:rPr>
        <w:t>&lt;/pre&gt;</w:t>
      </w:r>
      <w:r>
        <w:t>when converted to the external negation form produces: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naku zo'u su'oda poi verba cu klama su'ode poi ckule</w:t>
      </w:r>
    </w:p>
    <w:p w:rsidR="00B72047" w:rsidRDefault="00B72047">
      <w:pPr>
        <w:pStyle w:val="examplescaled"/>
      </w:pPr>
      <w:r>
        <w:tab/>
        <w:t>It is false that some which are children go-to some which are schools.</w:t>
      </w:r>
    </w:p>
    <w:p w:rsidR="00B72047" w:rsidRDefault="00B72047">
      <w:pPr>
        <w:pStyle w:val="examplescaled"/>
      </w:pPr>
      <w:r>
        <w:tab/>
        <w:t>All children don't go to some school (not just some children).</w:t>
      </w:r>
    </w:p>
    <w:p w:rsidR="00B72047" w:rsidRDefault="00B72047">
      <w:pPr>
        <w:pStyle w:val="normalafterexample"/>
      </w:pPr>
      <w:r>
        <w:rPr>
          <w:rStyle w:val="htmlcodes"/>
        </w:rPr>
        <w:t>&lt;/pre&gt;</w:t>
      </w:r>
      <w:r>
        <w:rPr>
          <w:rStyle w:val="indexentry"/>
        </w:rPr>
        <w:t>&lt;cx "negation, form for emulating natural language negation"&gt;</w:t>
      </w:r>
      <w:r>
        <w:rPr>
          <w:rStyle w:val="indexentry"/>
        </w:rPr>
        <w:fldChar w:fldCharType="begin"/>
      </w:r>
      <w:r>
        <w:instrText>xe "</w:instrText>
      </w:r>
      <w:r>
        <w:rPr>
          <w:rStyle w:val="xeentry"/>
        </w:rPr>
        <w:instrText>negation: form for emulating natural language negation</w:instrText>
      </w:r>
      <w:r>
        <w:instrText>"</w:instrText>
      </w:r>
      <w:r>
        <w:rPr>
          <w:rStyle w:val="indexentry"/>
        </w:rPr>
        <w:fldChar w:fldCharType="end"/>
      </w:r>
      <w:r>
        <w:rPr>
          <w:rStyle w:val="indexentry"/>
        </w:rPr>
        <w:t>&lt;cx "naku, outside of prenex"&gt;</w:t>
      </w:r>
      <w:r>
        <w:rPr>
          <w:rStyle w:val="indexentry"/>
        </w:rPr>
        <w:fldChar w:fldCharType="begin"/>
      </w:r>
      <w:r>
        <w:instrText>xe "</w:instrText>
      </w:r>
      <w:r>
        <w:rPr>
          <w:rStyle w:val="xeentry"/>
        </w:rPr>
        <w:instrText>naku: outside of prenex</w:instrText>
      </w:r>
      <w:r>
        <w:instrText>"</w:instrText>
      </w:r>
      <w:r>
        <w:rPr>
          <w:rStyle w:val="indexentry"/>
        </w:rPr>
        <w:fldChar w:fldCharType="end"/>
      </w:r>
      <w:r>
        <w:rPr>
          <w:rStyle w:val="indexentry"/>
        </w:rPr>
        <w:t>&lt;cx "contradictory negation, using naku before selbri"&gt;</w:t>
      </w:r>
      <w:r>
        <w:rPr>
          <w:rStyle w:val="indexentry"/>
        </w:rPr>
        <w:fldChar w:fldCharType="begin"/>
      </w:r>
      <w:r>
        <w:instrText>xe "</w:instrText>
      </w:r>
      <w:r>
        <w:rPr>
          <w:rStyle w:val="xeentry"/>
        </w:rPr>
        <w:instrText>contradictory negation: using naku before selbri</w:instrText>
      </w:r>
      <w:r>
        <w:instrText>"</w:instrText>
      </w:r>
      <w:r>
        <w:rPr>
          <w:rStyle w:val="indexentry"/>
        </w:rPr>
        <w:fldChar w:fldCharType="end"/>
      </w:r>
      <w:r>
        <w:t>Lojban provides a negation form which more closely emulates natural</w:t>
      </w:r>
      <w:r>
        <w:rPr>
          <w:rStyle w:val="deletedparamark"/>
        </w:rPr>
        <w:t xml:space="preserve"> </w:t>
      </w:r>
      <w:r>
        <w:t>lan</w:t>
      </w:r>
      <w:r>
        <w:softHyphen/>
        <w:t>guage n</w:t>
      </w:r>
      <w:r>
        <w:t>e</w:t>
      </w:r>
      <w:r>
        <w:softHyphen/>
        <w:t>gation. This involves putting “naku” before the selbri, instead</w:t>
      </w:r>
      <w:r>
        <w:rPr>
          <w:rStyle w:val="deletedparamark"/>
        </w:rPr>
        <w:t xml:space="preserve"> </w:t>
      </w:r>
      <w:r>
        <w:t>of a “na”. “naku” is clearly a contradictory negation, given its parallel</w:t>
      </w:r>
      <w:r>
        <w:rPr>
          <w:rStyle w:val="deletedparamark"/>
        </w:rPr>
        <w:t xml:space="preserve"> </w:t>
      </w:r>
      <w:r>
        <w:t xml:space="preserve">with prenex bridi negation. Using “naku”, </w:t>
      </w:r>
      <w:r>
        <w:rPr>
          <w:rStyle w:val="htmlcodes"/>
        </w:rPr>
        <w:t>&lt;a href=#e11d1&gt;</w:t>
      </w:r>
      <w:r>
        <w:t>E</w:t>
      </w:r>
      <w:r>
        <w:t>x</w:t>
      </w:r>
      <w:r>
        <w:softHyphen/>
        <w:t xml:space="preserve">ample 11.1 </w:t>
      </w:r>
      <w:r>
        <w:rPr>
          <w:rStyle w:val="htmlcodes"/>
        </w:rPr>
        <w:t>&lt;/a&gt;</w:t>
      </w:r>
      <w:r>
        <w:t>can be expressed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su'oda poi verba naku klama su'ode poi ckule</w:t>
      </w:r>
    </w:p>
    <w:p w:rsidR="00B72047" w:rsidRDefault="00B72047">
      <w:pPr>
        <w:pStyle w:val="examplescaled"/>
      </w:pPr>
      <w:r>
        <w:tab/>
        <w:t>Some which-are children don't go-to some which-are schools.</w:t>
      </w:r>
    </w:p>
    <w:p w:rsidR="00B72047" w:rsidRDefault="00B72047">
      <w:pPr>
        <w:pStyle w:val="examplescaled"/>
      </w:pPr>
      <w:r>
        <w:tab/>
        <w:t>Some children don't go to a school.</w:t>
      </w:r>
    </w:p>
    <w:p w:rsidR="00B72047" w:rsidRDefault="00B72047">
      <w:pPr>
        <w:pStyle w:val="normalafterexample"/>
      </w:pPr>
      <w:r>
        <w:rPr>
          <w:rStyle w:val="htmlcodes"/>
        </w:rPr>
        <w:t>&lt;/pre&gt;</w:t>
      </w:r>
      <w:r>
        <w:rPr>
          <w:rStyle w:val="indexentry"/>
        </w:rPr>
        <w:t>&lt;cx "naku, compared with sumti in grammar"&gt;</w:t>
      </w:r>
      <w:r>
        <w:rPr>
          <w:rStyle w:val="indexentry"/>
        </w:rPr>
        <w:fldChar w:fldCharType="begin"/>
      </w:r>
      <w:r>
        <w:instrText>xe "</w:instrText>
      </w:r>
      <w:r>
        <w:rPr>
          <w:rStyle w:val="xeentry"/>
        </w:rPr>
        <w:instrText>naku: compared with sumti in grammar</w:instrText>
      </w:r>
      <w:r>
        <w:instrText>"</w:instrText>
      </w:r>
      <w:r>
        <w:rPr>
          <w:rStyle w:val="indexentry"/>
        </w:rPr>
        <w:fldChar w:fldCharType="end"/>
      </w:r>
      <w:r>
        <w:t>Although it is not technically a sumti, “naku” can be used in most of the</w:t>
      </w:r>
      <w:r>
        <w:rPr>
          <w:rStyle w:val="deletedparamark"/>
        </w:rPr>
        <w:t xml:space="preserve"> </w:t>
      </w:r>
      <w:r>
        <w:t>places where a sumti may appear. We'll see what this means in a moment.</w:t>
      </w:r>
    </w:p>
    <w:p w:rsidR="00B72047" w:rsidRDefault="00B72047">
      <w:pPr>
        <w:rPr>
          <w:rStyle w:val="htmlparacode"/>
        </w:rPr>
      </w:pPr>
      <w:r>
        <w:rPr>
          <w:rStyle w:val="htmlparacode"/>
        </w:rPr>
        <w:t>&lt;p&gt;</w:t>
      </w:r>
    </w:p>
    <w:p w:rsidR="00B72047" w:rsidRDefault="00B72047">
      <w:pPr>
        <w:pStyle w:val="normalparagraph"/>
      </w:pPr>
      <w:r>
        <w:rPr>
          <w:rStyle w:val="indexentry"/>
        </w:rPr>
        <w:t>&lt;cx "naku, as creating a negation boundary"&gt;</w:t>
      </w:r>
      <w:r>
        <w:rPr>
          <w:rStyle w:val="indexentry"/>
        </w:rPr>
        <w:fldChar w:fldCharType="begin"/>
      </w:r>
      <w:r>
        <w:instrText>xe "</w:instrText>
      </w:r>
      <w:r>
        <w:rPr>
          <w:rStyle w:val="xeentry"/>
        </w:rPr>
        <w:instrText>naku: as creating a negation boundary</w:instrText>
      </w:r>
      <w:r>
        <w:instrText>"</w:instrText>
      </w:r>
      <w:r>
        <w:rPr>
          <w:rStyle w:val="indexentry"/>
        </w:rPr>
        <w:fldChar w:fldCharType="end"/>
      </w:r>
      <w:r>
        <w:rPr>
          <w:rStyle w:val="indexentry"/>
        </w:rPr>
        <w:t>&lt;cx "naku, effect on moving quantifiers"&gt;</w:t>
      </w:r>
      <w:r>
        <w:rPr>
          <w:rStyle w:val="indexentry"/>
        </w:rPr>
        <w:fldChar w:fldCharType="begin"/>
      </w:r>
      <w:r>
        <w:instrText>xe "</w:instrText>
      </w:r>
      <w:r>
        <w:rPr>
          <w:rStyle w:val="xeentry"/>
        </w:rPr>
        <w:instrText>naku: effect on moving quantifiers</w:instrText>
      </w:r>
      <w:r>
        <w:instrText>"</w:instrText>
      </w:r>
      <w:r>
        <w:rPr>
          <w:rStyle w:val="indexentry"/>
        </w:rPr>
        <w:fldChar w:fldCharType="end"/>
      </w:r>
      <w:r>
        <w:rPr>
          <w:rStyle w:val="indexentry"/>
        </w:rPr>
        <w:t>&lt;cx "quantifiers, effect of moving naku"&gt;</w:t>
      </w:r>
      <w:r>
        <w:rPr>
          <w:rStyle w:val="indexentry"/>
        </w:rPr>
        <w:fldChar w:fldCharType="begin"/>
      </w:r>
      <w:r>
        <w:instrText>xe "</w:instrText>
      </w:r>
      <w:r>
        <w:rPr>
          <w:rStyle w:val="xeentry"/>
        </w:rPr>
        <w:instrText>quantifier: effect of moving naku</w:instrText>
      </w:r>
      <w:r>
        <w:instrText>"</w:instrText>
      </w:r>
      <w:r>
        <w:rPr>
          <w:rStyle w:val="indexentry"/>
        </w:rPr>
        <w:fldChar w:fldCharType="end"/>
      </w:r>
      <w:r>
        <w:rPr>
          <w:rStyle w:val="indexentry"/>
        </w:rPr>
        <w:t>&lt;cx "inverting quantifiers, with movement relative to naku"&gt;</w:t>
      </w:r>
      <w:r>
        <w:rPr>
          <w:rStyle w:val="indexentry"/>
        </w:rPr>
        <w:fldChar w:fldCharType="begin"/>
      </w:r>
      <w:r>
        <w:instrText>xe "</w:instrText>
      </w:r>
      <w:r>
        <w:rPr>
          <w:rStyle w:val="xeentry"/>
        </w:rPr>
        <w:instrText>inverting quantifiers: with movement relative to naku</w:instrText>
      </w:r>
      <w:r>
        <w:instrText>"</w:instrText>
      </w:r>
      <w:r>
        <w:rPr>
          <w:rStyle w:val="indexentry"/>
        </w:rPr>
        <w:fldChar w:fldCharType="end"/>
      </w:r>
      <w:r>
        <w:t>When you use “naku” within a bridi, you are explicitly creating a</w:t>
      </w:r>
      <w:r>
        <w:rPr>
          <w:rStyle w:val="deletedparamark"/>
        </w:rPr>
        <w:t xml:space="preserve"> </w:t>
      </w:r>
      <w:r>
        <w:t xml:space="preserve">negation boundary. As explained in </w:t>
      </w:r>
      <w:r>
        <w:rPr>
          <w:rStyle w:val="htmlcodes"/>
        </w:rPr>
        <w:t>&lt;a href=#s9&gt;</w:t>
      </w:r>
      <w:r>
        <w:t>Section 9</w:t>
      </w:r>
      <w:r>
        <w:rPr>
          <w:rStyle w:val="htmlcodes"/>
        </w:rPr>
        <w:t>&lt;/a&gt;</w:t>
      </w:r>
      <w:r>
        <w:t>, when a prenex negation</w:t>
      </w:r>
      <w:r>
        <w:rPr>
          <w:rStyle w:val="deletedparamark"/>
        </w:rPr>
        <w:t xml:space="preserve"> </w:t>
      </w:r>
      <w:r>
        <w:t>boundary expressed by “naku” moves past a quantifier, the</w:t>
      </w:r>
      <w:r>
        <w:rPr>
          <w:rStyle w:val="deletedparamark"/>
        </w:rPr>
        <w:t xml:space="preserve"> </w:t>
      </w:r>
      <w:r>
        <w:t>quantifier has to be inverted. The same is true for “naku” in the</w:t>
      </w:r>
      <w:r>
        <w:rPr>
          <w:rStyle w:val="deletedparamark"/>
        </w:rPr>
        <w:t xml:space="preserve"> </w:t>
      </w:r>
      <w:r>
        <w:t>bridi proper. We can move “naku” to any place in the sentence where a</w:t>
      </w:r>
      <w:r>
        <w:rPr>
          <w:rStyle w:val="deletedparamark"/>
        </w:rPr>
        <w:t xml:space="preserve"> </w:t>
      </w:r>
      <w:r>
        <w:t>sumti can go, inverting any quantifiers that the negation boundary crosses.</w:t>
      </w:r>
      <w:r>
        <w:rPr>
          <w:rStyle w:val="deletedparamark"/>
        </w:rPr>
        <w:t xml:space="preserve"> </w:t>
      </w:r>
      <w:r>
        <w:t xml:space="preserve">Thus, the following are equivalent to </w:t>
      </w:r>
      <w:r>
        <w:rPr>
          <w:rStyle w:val="htmlcodes"/>
        </w:rPr>
        <w:t>&lt;a href=#e11d4&gt;</w:t>
      </w:r>
      <w:r>
        <w:t xml:space="preserve">Example 11.4 </w:t>
      </w:r>
      <w:r>
        <w:rPr>
          <w:rStyle w:val="htmlcodes"/>
        </w:rPr>
        <w:t>&lt;/a&gt;</w:t>
      </w:r>
      <w:r>
        <w:t>(no good English</w:t>
      </w:r>
      <w:r>
        <w:rPr>
          <w:rStyle w:val="deletedparamark"/>
        </w:rPr>
        <w:t xml:space="preserve"> </w:t>
      </w:r>
      <w:r>
        <w:t>translations exist):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su'oda poi verba cu klama rode poi ckule naku</w:t>
      </w:r>
    </w:p>
    <w:p w:rsidR="00B72047" w:rsidRDefault="00B72047">
      <w:pPr>
        <w:pStyle w:val="examplescaled"/>
      </w:pPr>
      <w:r>
        <w:tab/>
        <w:t>For some children, for every school, they don't go to it.</w:t>
      </w:r>
    </w:p>
    <w:p w:rsidR="00B72047" w:rsidRDefault="00B72047">
      <w:pPr>
        <w:pStyle w:val="examplescaledpre"/>
      </w:pPr>
      <w:r>
        <w:rPr>
          <w:rStyle w:val="htmlcodes"/>
        </w:rPr>
        <w:t>&lt;a name=e11d6&gt;</w:t>
      </w:r>
      <w:r>
        <w:t>11.6)</w:t>
      </w:r>
      <w:r>
        <w:tab/>
        <w:t>su'oda poi verba cu klama naku su'ode poi ckule</w:t>
      </w:r>
    </w:p>
    <w:p w:rsidR="00B72047" w:rsidRDefault="00B72047">
      <w:pPr>
        <w:pStyle w:val="examplescaled"/>
      </w:pPr>
      <w:r>
        <w:tab/>
        <w:t>Some children don't go to (some) school(s).</w:t>
      </w:r>
    </w:p>
    <w:p w:rsidR="00B72047" w:rsidRDefault="00B72047">
      <w:pPr>
        <w:pStyle w:val="examplescaledpre"/>
      </w:pPr>
      <w:r>
        <w:rPr>
          <w:rStyle w:val="htmlcodes"/>
        </w:rPr>
        <w:t>&lt;a name=e11d7&gt;</w:t>
      </w:r>
      <w:r>
        <w:t>11.7)</w:t>
      </w:r>
      <w:r>
        <w:tab/>
        <w:t>naku roda poi verba cu klama su'ode poi ckule</w:t>
      </w:r>
    </w:p>
    <w:p w:rsidR="00B72047" w:rsidRDefault="00B72047">
      <w:pPr>
        <w:pStyle w:val="examplescaled"/>
      </w:pPr>
      <w:r>
        <w:tab/>
        <w:t>It is false that all children go to some school(s).</w:t>
      </w:r>
    </w:p>
    <w:p w:rsidR="00B72047" w:rsidRDefault="00B72047">
      <w:pPr>
        <w:pStyle w:val="resumedafterexample"/>
      </w:pPr>
      <w:r>
        <w:rPr>
          <w:rStyle w:val="htmlcodes"/>
        </w:rPr>
        <w:t>&lt;/pre&gt;&lt;p&gt;</w:t>
      </w:r>
      <w:r>
        <w:t xml:space="preserve">In </w:t>
      </w:r>
      <w:r>
        <w:rPr>
          <w:rStyle w:val="htmlcodes"/>
        </w:rPr>
        <w:t>&lt;a href=#e11d5&gt;</w:t>
      </w:r>
      <w:r>
        <w:t>Example 11.5</w:t>
      </w:r>
      <w:r>
        <w:rPr>
          <w:rStyle w:val="htmlcodes"/>
        </w:rPr>
        <w:t>&lt;/a&gt;</w:t>
      </w:r>
      <w:r>
        <w:t>, we moved the negation boundary rightward across the</w:t>
      </w:r>
      <w:r>
        <w:rPr>
          <w:rStyle w:val="deletedparamark"/>
        </w:rPr>
        <w:t xml:space="preserve"> </w:t>
      </w:r>
      <w:r>
        <w:t xml:space="preserve">quantifier of “de”, forcing us to invert it. In </w:t>
      </w:r>
      <w:r>
        <w:rPr>
          <w:rStyle w:val="htmlcodes"/>
        </w:rPr>
        <w:t>&lt;a href=#e11d7&gt;</w:t>
      </w:r>
      <w:r>
        <w:t xml:space="preserve">Example 11.7 </w:t>
      </w:r>
      <w:r>
        <w:rPr>
          <w:rStyle w:val="htmlcodes"/>
        </w:rPr>
        <w:t>&lt;/a&gt;</w:t>
      </w:r>
      <w:r>
        <w:t>we moved the</w:t>
      </w:r>
      <w:r>
        <w:rPr>
          <w:rStyle w:val="deletedparamark"/>
        </w:rPr>
        <w:t xml:space="preserve"> </w:t>
      </w:r>
      <w:r>
        <w:t>negation boundary across the quantifier of “da”, forcing us to invert it</w:t>
      </w:r>
      <w:r>
        <w:rPr>
          <w:rStyle w:val="deletedparamark"/>
        </w:rPr>
        <w:t xml:space="preserve"> </w:t>
      </w:r>
      <w:r>
        <w:t xml:space="preserve">instead. </w:t>
      </w:r>
      <w:r>
        <w:rPr>
          <w:rStyle w:val="htmlcodes"/>
        </w:rPr>
        <w:t>&lt;a href=#e11d6&gt;</w:t>
      </w:r>
      <w:r>
        <w:t xml:space="preserve">Example 11.6 </w:t>
      </w:r>
      <w:r>
        <w:rPr>
          <w:rStyle w:val="htmlcodes"/>
        </w:rPr>
        <w:t>&lt;/a&gt;</w:t>
      </w:r>
      <w:r>
        <w:t>merely switched the selbri and the negation boundary,</w:t>
      </w:r>
      <w:r>
        <w:rPr>
          <w:rStyle w:val="deletedparamark"/>
        </w:rPr>
        <w:t xml:space="preserve"> </w:t>
      </w:r>
      <w:r>
        <w:t>with no effect on the quantifiers.</w:t>
      </w:r>
    </w:p>
    <w:p w:rsidR="00B72047" w:rsidRDefault="00B72047">
      <w:pPr>
        <w:rPr>
          <w:rStyle w:val="htmlparacode"/>
        </w:rPr>
      </w:pPr>
      <w:r>
        <w:rPr>
          <w:rStyle w:val="htmlparacode"/>
        </w:rPr>
        <w:t>&lt;p&gt;</w:t>
      </w:r>
    </w:p>
    <w:p w:rsidR="00B72047" w:rsidRDefault="00B72047">
      <w:pPr>
        <w:pStyle w:val="normalparagraph"/>
      </w:pPr>
      <w:r>
        <w:rPr>
          <w:rStyle w:val="indexentry"/>
        </w:rPr>
        <w:t>&lt;cx "inverting quantifiers, with movement relative to fixed negation"&gt;</w:t>
      </w:r>
      <w:r>
        <w:rPr>
          <w:rStyle w:val="indexentry"/>
        </w:rPr>
        <w:fldChar w:fldCharType="begin"/>
      </w:r>
      <w:r>
        <w:instrText>xe "</w:instrText>
      </w:r>
      <w:r>
        <w:rPr>
          <w:rStyle w:val="xeentry"/>
        </w:rPr>
        <w:instrText>inverting quantifiers: with movement relative to fixed negation</w:instrText>
      </w:r>
      <w:r>
        <w:instrText>"</w:instrText>
      </w:r>
      <w:r>
        <w:rPr>
          <w:rStyle w:val="indexentry"/>
        </w:rPr>
        <w:fldChar w:fldCharType="end"/>
      </w:r>
      <w:r>
        <w:t>The same rules apply if you rearrange the sentence so that the</w:t>
      </w:r>
      <w:r>
        <w:rPr>
          <w:rStyle w:val="deletedparamark"/>
        </w:rPr>
        <w:t xml:space="preserve"> </w:t>
      </w:r>
      <w:r>
        <w:t>quantifier crosses an otherwise fixed negation. You can't just convert</w:t>
      </w:r>
      <w:r>
        <w:rPr>
          <w:rStyle w:val="deletedparamark"/>
        </w:rPr>
        <w:t xml:space="preserve"> </w:t>
      </w:r>
      <w:r>
        <w:t xml:space="preserve">the selbri of </w:t>
      </w:r>
      <w:r>
        <w:rPr>
          <w:rStyle w:val="htmlcodes"/>
        </w:rPr>
        <w:t>&lt;a href=#e11d4&gt;</w:t>
      </w:r>
      <w:r>
        <w:t xml:space="preserve">Example 11.4 </w:t>
      </w:r>
      <w:r>
        <w:rPr>
          <w:rStyle w:val="htmlcodes"/>
        </w:rPr>
        <w:t>&lt;/a&gt;</w:t>
      </w:r>
      <w:r>
        <w:t>and rearrange the sumti to 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name=e11d8&gt;</w:t>
      </w:r>
      <w:r>
        <w:t>11.8)</w:t>
      </w:r>
      <w:r>
        <w:tab/>
        <w:t>su'ode poi ckule ku'o naku se klama roda poi verba</w:t>
      </w:r>
    </w:p>
    <w:p w:rsidR="00B72047" w:rsidRDefault="00B72047">
      <w:pPr>
        <w:pStyle w:val="examplescaled"/>
      </w:pPr>
      <w:r>
        <w:tab/>
        <w:t>Some schools aren't gone-to-by every child.</w:t>
      </w:r>
    </w:p>
    <w:p w:rsidR="00B72047" w:rsidRDefault="00B72047">
      <w:pPr>
        <w:pStyle w:val="resumedafterexample"/>
      </w:pPr>
      <w:r>
        <w:rPr>
          <w:rStyle w:val="htmlcodes"/>
        </w:rPr>
        <w:t>&lt;/pre&gt;</w:t>
      </w:r>
      <w:r>
        <w:rPr>
          <w:rStyle w:val="indexentry"/>
        </w:rPr>
        <w:t>&lt;cx "conversion with se, effect of naku negation boundary on"&gt;</w:t>
      </w:r>
      <w:r>
        <w:rPr>
          <w:rStyle w:val="indexentry"/>
        </w:rPr>
        <w:fldChar w:fldCharType="begin"/>
      </w:r>
      <w:r>
        <w:instrText>xe "</w:instrText>
      </w:r>
      <w:r>
        <w:rPr>
          <w:rStyle w:val="xeentry"/>
        </w:rPr>
        <w:instrText>conversion with se: effect of naku negation boundary on</w:instrText>
      </w:r>
      <w:r>
        <w:instrText>"</w:instrText>
      </w:r>
      <w:r>
        <w:rPr>
          <w:rStyle w:val="indexentry"/>
        </w:rPr>
        <w:fldChar w:fldCharType="end"/>
      </w:r>
      <w:r>
        <w:rPr>
          <w:rStyle w:val="indexentry"/>
        </w:rPr>
        <w:t>&lt;cx "naku negation boundary, effect on conversion with se"&gt;</w:t>
      </w:r>
      <w:r>
        <w:rPr>
          <w:rStyle w:val="indexentry"/>
        </w:rPr>
        <w:fldChar w:fldCharType="begin"/>
      </w:r>
      <w:r>
        <w:instrText>xe "</w:instrText>
      </w:r>
      <w:r>
        <w:rPr>
          <w:rStyle w:val="xeentry"/>
        </w:rPr>
        <w:instrText>naku negation boundary: effect on conversion with se</w:instrText>
      </w:r>
      <w:r>
        <w:instrText>"</w:instrText>
      </w:r>
      <w:r>
        <w:rPr>
          <w:rStyle w:val="indexentry"/>
        </w:rPr>
        <w:fldChar w:fldCharType="end"/>
      </w:r>
      <w:r>
        <w:rPr>
          <w:rStyle w:val="indexentry"/>
        </w:rPr>
        <w:t>&lt;cx "naku negation, rationale for considering an advanced technique"&gt;</w:t>
      </w:r>
      <w:r>
        <w:rPr>
          <w:rStyle w:val="indexentry"/>
        </w:rPr>
        <w:fldChar w:fldCharType="begin"/>
      </w:r>
      <w:r>
        <w:instrText>xe "</w:instrText>
      </w:r>
      <w:r>
        <w:rPr>
          <w:rStyle w:val="xeentry"/>
        </w:rPr>
        <w:instrText>naku negation: rationale for considering an advanced technique</w:instrText>
      </w:r>
      <w:r>
        <w:instrText>"</w:instrText>
      </w:r>
      <w:r>
        <w:rPr>
          <w:rStyle w:val="indexentry"/>
        </w:rPr>
        <w:fldChar w:fldCharType="end"/>
      </w:r>
      <w:r>
        <w:t xml:space="preserve">or rather, </w:t>
      </w:r>
      <w:r>
        <w:rPr>
          <w:rStyle w:val="htmlcodes"/>
        </w:rPr>
        <w:t>&lt;a href=#e11d8&gt;</w:t>
      </w:r>
      <w:r>
        <w:t xml:space="preserve">Example 11.8 </w:t>
      </w:r>
      <w:r>
        <w:rPr>
          <w:rStyle w:val="htmlcodes"/>
        </w:rPr>
        <w:t>&lt;/a&gt;</w:t>
      </w:r>
      <w:r>
        <w:t>means something completely different from</w:t>
      </w:r>
      <w:r>
        <w:rPr>
          <w:rStyle w:val="deletedparamark"/>
        </w:rPr>
        <w:t xml:space="preserve"> </w:t>
      </w:r>
      <w:r>
        <w:rPr>
          <w:rStyle w:val="htmlcodes"/>
        </w:rPr>
        <w:t>&lt;a href=#e11d4&gt;</w:t>
      </w:r>
      <w:r>
        <w:t>Example 11.4</w:t>
      </w:r>
      <w:r>
        <w:rPr>
          <w:rStyle w:val="htmlcodes"/>
        </w:rPr>
        <w:t>&lt;/a&gt;</w:t>
      </w:r>
      <w:r>
        <w:t>. Co</w:t>
      </w:r>
      <w:r>
        <w:t>n</w:t>
      </w:r>
      <w:r>
        <w:softHyphen/>
        <w:t>version with “se” under “naku” negation is not</w:t>
      </w:r>
      <w:r>
        <w:rPr>
          <w:rStyle w:val="deletedparamark"/>
        </w:rPr>
        <w:t xml:space="preserve"> </w:t>
      </w:r>
      <w:r>
        <w:t>symmetric; not all sumti are treated ide</w:t>
      </w:r>
      <w:r>
        <w:t>n</w:t>
      </w:r>
      <w:r>
        <w:softHyphen/>
        <w:t>tically, and some sumti are not</w:t>
      </w:r>
      <w:r>
        <w:rPr>
          <w:rStyle w:val="deletedparamark"/>
        </w:rPr>
        <w:t xml:space="preserve"> </w:t>
      </w:r>
      <w:r>
        <w:t>invariant under conversion. Thus, internal negation with “naku” is</w:t>
      </w:r>
      <w:r>
        <w:rPr>
          <w:rStyle w:val="deletedparamark"/>
        </w:rPr>
        <w:t xml:space="preserve"> </w:t>
      </w:r>
      <w:r>
        <w:t>considered an advanced technique, used to achieve stylistic compatibility</w:t>
      </w:r>
      <w:r>
        <w:rPr>
          <w:rStyle w:val="deletedparamark"/>
        </w:rPr>
        <w:t xml:space="preserve"> </w:t>
      </w:r>
      <w:r>
        <w:t>with natural languages.</w:t>
      </w:r>
    </w:p>
    <w:p w:rsidR="00B72047" w:rsidRDefault="00B72047">
      <w:pPr>
        <w:rPr>
          <w:rStyle w:val="htmlparacode"/>
        </w:rPr>
      </w:pPr>
      <w:r>
        <w:rPr>
          <w:rStyle w:val="htmlparacode"/>
        </w:rPr>
        <w:t>&lt;p&gt;</w:t>
      </w:r>
    </w:p>
    <w:p w:rsidR="00B72047" w:rsidRDefault="00B72047">
      <w:pPr>
        <w:pStyle w:val="normalparagraph"/>
      </w:pPr>
      <w:r>
        <w:t>It isn't always easy to see which quantifiers have to be inverted in</w:t>
      </w:r>
      <w:r>
        <w:rPr>
          <w:rStyle w:val="deletedparamark"/>
        </w:rPr>
        <w:t xml:space="preserve"> </w:t>
      </w:r>
      <w:r>
        <w:t xml:space="preserve">a sentence. </w:t>
      </w:r>
      <w:r>
        <w:rPr>
          <w:rStyle w:val="htmlcodes"/>
        </w:rPr>
        <w:t>&lt;a href=#e11d4&gt;</w:t>
      </w:r>
      <w:r>
        <w:t>Exa</w:t>
      </w:r>
      <w:r>
        <w:t>m</w:t>
      </w:r>
      <w:r>
        <w:softHyphen/>
        <w:t xml:space="preserve">ple 11.4 </w:t>
      </w:r>
      <w:r>
        <w:rPr>
          <w:rStyle w:val="htmlcodes"/>
        </w:rPr>
        <w:t>&lt;/a&gt;</w:t>
      </w:r>
      <w:r>
        <w:t>is identical in meaning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name=e11d9&gt;</w:t>
      </w:r>
      <w:r>
        <w:t>11.9)</w:t>
      </w:r>
      <w:r>
        <w:tab/>
        <w:t>su'o verba naku klama su'o ckule</w:t>
      </w:r>
    </w:p>
    <w:p w:rsidR="00B72047" w:rsidRDefault="00B72047">
      <w:pPr>
        <w:pStyle w:val="examplescaled"/>
      </w:pPr>
      <w:r>
        <w:tab/>
        <w:t>Some children don't go-to some school.</w:t>
      </w:r>
    </w:p>
    <w:p w:rsidR="00B72047" w:rsidRDefault="00B72047">
      <w:pPr>
        <w:pStyle w:val="resumedafterexample"/>
      </w:pPr>
      <w:r>
        <w:rPr>
          <w:rStyle w:val="htmlcodes"/>
        </w:rPr>
        <w:t>&lt;/pre&gt;</w:t>
      </w:r>
      <w:r>
        <w:rPr>
          <w:rStyle w:val="indexentry"/>
        </w:rPr>
        <w:t>&lt;cx "indefinite sumti, as implicit quantification"&gt;</w:t>
      </w:r>
      <w:r>
        <w:rPr>
          <w:rStyle w:val="indexentry"/>
        </w:rPr>
        <w:fldChar w:fldCharType="begin"/>
      </w:r>
      <w:r>
        <w:instrText>xe "</w:instrText>
      </w:r>
      <w:r>
        <w:rPr>
          <w:rStyle w:val="xeentry"/>
        </w:rPr>
        <w:instrText>indefinite sumti: as implicit quantification</w:instrText>
      </w:r>
      <w:r>
        <w:instrText>"</w:instrText>
      </w:r>
      <w:r>
        <w:rPr>
          <w:rStyle w:val="indexentry"/>
        </w:rPr>
        <w:fldChar w:fldCharType="end"/>
      </w:r>
      <w:r>
        <w:t xml:space="preserve">but in </w:t>
      </w:r>
      <w:r>
        <w:rPr>
          <w:rStyle w:val="htmlcodes"/>
        </w:rPr>
        <w:t>&lt;a href=#e11d9&gt;</w:t>
      </w:r>
      <w:r>
        <w:t>Example 11.9</w:t>
      </w:r>
      <w:r>
        <w:rPr>
          <w:rStyle w:val="htmlcodes"/>
        </w:rPr>
        <w:t>&lt;/a&gt;</w:t>
      </w:r>
      <w:r>
        <w:t>, the bound variables “da” and “de” have been hidden.</w:t>
      </w:r>
    </w:p>
    <w:p w:rsidR="00B72047" w:rsidRDefault="00B72047">
      <w:pPr>
        <w:rPr>
          <w:rStyle w:val="htmlparacode"/>
        </w:rPr>
      </w:pPr>
      <w:r>
        <w:rPr>
          <w:rStyle w:val="htmlparacode"/>
        </w:rPr>
        <w:t>&lt;p&gt;</w:t>
      </w:r>
    </w:p>
    <w:p w:rsidR="00B72047" w:rsidRDefault="00B72047">
      <w:pPr>
        <w:pStyle w:val="normalparagraph"/>
      </w:pPr>
      <w:r>
        <w:rPr>
          <w:rStyle w:val="indexentry"/>
        </w:rPr>
        <w:t>&lt;cx "exporting negation to prenex, internal bridi negation contrasted with “naku”"&gt;</w:t>
      </w:r>
      <w:r>
        <w:rPr>
          <w:rStyle w:val="indexentry"/>
        </w:rPr>
        <w:fldChar w:fldCharType="begin"/>
      </w:r>
      <w:r>
        <w:instrText>xe "</w:instrText>
      </w:r>
      <w:r>
        <w:rPr>
          <w:rStyle w:val="xeentry"/>
        </w:rPr>
        <w:instrText>exporting negation to prenex: internal bridi negation contrasted with naku</w:instrText>
      </w:r>
      <w:r>
        <w:instrText>"</w:instrText>
      </w:r>
      <w:r>
        <w:rPr>
          <w:rStyle w:val="indexentry"/>
        </w:rPr>
        <w:fldChar w:fldCharType="end"/>
      </w:r>
      <w:r>
        <w:rPr>
          <w:rStyle w:val="indexentry"/>
        </w:rPr>
        <w:t>&lt;cx "exporting negation to prenex, “naku” contrasted with internal bridi negation"&gt;</w:t>
      </w:r>
      <w:r>
        <w:rPr>
          <w:rStyle w:val="indexentry"/>
        </w:rPr>
        <w:fldChar w:fldCharType="begin"/>
      </w:r>
      <w:r>
        <w:instrText>xe "</w:instrText>
      </w:r>
      <w:r>
        <w:rPr>
          <w:rStyle w:val="xeentry"/>
        </w:rPr>
        <w:instrText>exporting negation to prenex: naku contrasted with internal bridi negation</w:instrText>
      </w:r>
      <w:r>
        <w:instrText>"</w:instrText>
      </w:r>
      <w:r>
        <w:rPr>
          <w:rStyle w:val="indexentry"/>
        </w:rPr>
        <w:fldChar w:fldCharType="end"/>
      </w:r>
      <w:r>
        <w:t>It is trivial to export an internal bridi negation expressed with “na” to</w:t>
      </w:r>
      <w:r>
        <w:rPr>
          <w:rStyle w:val="deletedparamark"/>
        </w:rPr>
        <w:t xml:space="preserve"> </w:t>
      </w:r>
      <w:r>
        <w:t>the pre</w:t>
      </w:r>
      <w:r>
        <w:softHyphen/>
        <w:t xml:space="preserve">nex, as we saw in </w:t>
      </w:r>
      <w:r>
        <w:rPr>
          <w:rStyle w:val="htmlcodes"/>
        </w:rPr>
        <w:t>&lt;a href=#s9&gt;</w:t>
      </w:r>
      <w:r>
        <w:t>Section 9</w:t>
      </w:r>
      <w:r>
        <w:rPr>
          <w:rStyle w:val="htmlcodes"/>
        </w:rPr>
        <w:t>&lt;/a&gt;</w:t>
      </w:r>
      <w:r>
        <w:t>; you just move it to the left end of the</w:t>
      </w:r>
      <w:r>
        <w:rPr>
          <w:rStyle w:val="deletedparamark"/>
        </w:rPr>
        <w:t xml:space="preserve"> </w:t>
      </w:r>
      <w:r>
        <w:t>prenex. In compari</w:t>
      </w:r>
      <w:r>
        <w:softHyphen/>
        <w:t>son, it is non-trivial to export a “naku” to the prenex</w:t>
      </w:r>
      <w:r>
        <w:rPr>
          <w:rStyle w:val="deletedparamark"/>
        </w:rPr>
        <w:t xml:space="preserve"> </w:t>
      </w:r>
      <w:r>
        <w:t>because of the quantifiers. The rules for e</w:t>
      </w:r>
      <w:r>
        <w:t>x</w:t>
      </w:r>
      <w:r>
        <w:softHyphen/>
        <w:t>porting “naku” require that</w:t>
      </w:r>
      <w:r>
        <w:rPr>
          <w:rStyle w:val="deletedparamark"/>
        </w:rPr>
        <w:t xml:space="preserve"> </w:t>
      </w:r>
      <w:r>
        <w:t>you export all of the quantified variables (implicit or explicit) along with</w:t>
      </w:r>
      <w:r>
        <w:rPr>
          <w:rStyle w:val="deletedparamark"/>
        </w:rPr>
        <w:t xml:space="preserve"> “</w:t>
      </w:r>
      <w:r>
        <w:t>naku”, and you must export them from left to right, in the same order that</w:t>
      </w:r>
      <w:r>
        <w:rPr>
          <w:rStyle w:val="deletedparamark"/>
        </w:rPr>
        <w:t xml:space="preserve"> </w:t>
      </w:r>
      <w:r>
        <w:t xml:space="preserve">they appear in the sentence. Thus </w:t>
      </w:r>
      <w:r>
        <w:rPr>
          <w:rStyle w:val="htmlcodes"/>
        </w:rPr>
        <w:t>&lt;a href=#e11d4&gt;</w:t>
      </w:r>
      <w:r>
        <w:t xml:space="preserve">Example 11.4 </w:t>
      </w:r>
      <w:r>
        <w:rPr>
          <w:rStyle w:val="htmlcodes"/>
        </w:rPr>
        <w:t>&lt;/a&gt;</w:t>
      </w:r>
      <w:r>
        <w:t>goes into prenex</w:t>
      </w:r>
      <w:r>
        <w:rPr>
          <w:rStyle w:val="deletedparamark"/>
        </w:rPr>
        <w:t xml:space="preserve"> </w:t>
      </w:r>
      <w:r>
        <w:t>form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name=e11d10&gt;</w:t>
      </w:r>
      <w:r>
        <w:t>11.10)</w:t>
      </w:r>
      <w:r>
        <w:tab/>
        <w:t>su'oda poi verba ku'o naku</w:t>
      </w:r>
    </w:p>
    <w:p w:rsidR="00B72047" w:rsidRDefault="00B72047">
      <w:pPr>
        <w:pStyle w:val="examplescaled"/>
      </w:pPr>
      <w:r>
        <w:tab/>
      </w:r>
      <w:r>
        <w:tab/>
        <w:t>su'ode poi ckule zo'u da klama de</w:t>
      </w:r>
    </w:p>
    <w:p w:rsidR="00B72047" w:rsidRDefault="00B72047">
      <w:pPr>
        <w:pStyle w:val="examplescaled"/>
      </w:pPr>
      <w:r>
        <w:tab/>
        <w:t>For some X which is a child, it is not the case that</w:t>
      </w:r>
    </w:p>
    <w:p w:rsidR="00B72047" w:rsidRDefault="00B72047">
      <w:pPr>
        <w:pStyle w:val="examplescaled"/>
      </w:pPr>
      <w:r>
        <w:tab/>
      </w:r>
      <w:r>
        <w:tab/>
        <w:t>there is a Y which is a school such that:  X goes to Y.</w:t>
      </w:r>
    </w:p>
    <w:p w:rsidR="00B72047" w:rsidRDefault="00B72047">
      <w:pPr>
        <w:pStyle w:val="normalafterexample"/>
      </w:pPr>
      <w:r>
        <w:rPr>
          <w:rStyle w:val="htmlcodes"/>
        </w:rPr>
        <w:t>&lt;/pre&gt;&lt;p&gt;</w:t>
      </w:r>
      <w:r>
        <w:t>We can now move the “naku” to the left end of the prenex, getting</w:t>
      </w:r>
      <w:r>
        <w:rPr>
          <w:rStyle w:val="deletedparamark"/>
        </w:rPr>
        <w:t xml:space="preserve"> </w:t>
      </w:r>
      <w:r>
        <w:t>a contra</w:t>
      </w:r>
      <w:r>
        <w:softHyphen/>
        <w:t>dictory negation that can be expressed with “na”: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name=e11d11&gt;</w:t>
      </w:r>
      <w:r>
        <w:t>11.11)</w:t>
      </w:r>
      <w:r>
        <w:tab/>
        <w:t>naku roda poi verba</w:t>
      </w:r>
    </w:p>
    <w:p w:rsidR="00B72047" w:rsidRDefault="00B72047">
      <w:pPr>
        <w:pStyle w:val="examplescaled"/>
      </w:pPr>
      <w:r>
        <w:tab/>
      </w:r>
      <w:r>
        <w:tab/>
        <w:t>su'ode poi ckule zo'u da klama de</w:t>
      </w:r>
    </w:p>
    <w:p w:rsidR="00B72047" w:rsidRDefault="00B72047">
      <w:pPr>
        <w:pStyle w:val="examplescaled"/>
      </w:pPr>
      <w:r>
        <w:tab/>
        <w:t>It is not the case that for all X's which are children,</w:t>
      </w:r>
    </w:p>
    <w:p w:rsidR="00B72047" w:rsidRDefault="00B72047">
      <w:pPr>
        <w:pStyle w:val="examplescaled"/>
      </w:pPr>
      <w:r>
        <w:tab/>
      </w:r>
      <w:r>
        <w:tab/>
        <w:t>there is a Y which is a school such that:  X goes to Y.</w:t>
      </w:r>
    </w:p>
    <w:p w:rsidR="00B72047" w:rsidRDefault="00B72047">
      <w:pPr>
        <w:pStyle w:val="resumedafterexample"/>
      </w:pPr>
      <w:r>
        <w:rPr>
          <w:rStyle w:val="htmlcodes"/>
        </w:rPr>
        <w:t>&lt;/pre&gt;</w:t>
      </w:r>
      <w:r>
        <w:t>from which we can restore the quantified variables to the sentence,</w:t>
      </w:r>
      <w:r>
        <w:rPr>
          <w:rStyle w:val="deletedparamark"/>
        </w:rPr>
        <w:t xml:space="preserve"> </w:t>
      </w:r>
      <w:r>
        <w:t>giving: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name=e11d12&gt;</w:t>
      </w:r>
      <w:r>
        <w:t>11.12)</w:t>
      </w:r>
      <w:r>
        <w:tab/>
        <w:t>naku zo'u roda poi verba cu klama su'ode poi ckule</w:t>
      </w:r>
    </w:p>
    <w:p w:rsidR="00B72047" w:rsidRDefault="00B72047">
      <w:pPr>
        <w:pStyle w:val="examplescaled"/>
      </w:pPr>
      <w:r>
        <w:tab/>
        <w:t>It is not the case that all children go to some school.</w:t>
      </w:r>
    </w:p>
    <w:p w:rsidR="00B72047" w:rsidRDefault="00B72047">
      <w:pPr>
        <w:pStyle w:val="resumedafterexample"/>
      </w:pPr>
      <w:r>
        <w:rPr>
          <w:rStyle w:val="htmlcodes"/>
        </w:rPr>
        <w:t>&lt;/pre&gt;</w:t>
      </w:r>
      <w:r>
        <w:t>or more briefly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name=e11d13&gt;</w:t>
      </w:r>
      <w:r>
        <w:t>11.13)</w:t>
      </w:r>
      <w:r>
        <w:tab/>
        <w:t>ro verba cu na klama su'o ckule</w:t>
      </w:r>
    </w:p>
    <w:p w:rsidR="00B72047" w:rsidRDefault="00B72047">
      <w:pPr>
        <w:pStyle w:val="examplescaled"/>
      </w:pPr>
      <w:r>
        <w:tab/>
        <w:t>All children [false] go-to some school(s).</w:t>
      </w:r>
    </w:p>
    <w:p w:rsidR="00B72047" w:rsidRDefault="00B72047">
      <w:pPr>
        <w:pStyle w:val="normalafterexample"/>
      </w:pPr>
      <w:r>
        <w:rPr>
          <w:rStyle w:val="htmlcodes"/>
        </w:rPr>
        <w:t>&lt;/pre&gt;</w:t>
      </w:r>
      <w:r>
        <w:rPr>
          <w:rStyle w:val="indexentry"/>
        </w:rPr>
        <w:t>&lt;cx "conversion of sentence with quantified variables, technique"&gt;</w:t>
      </w:r>
      <w:r>
        <w:rPr>
          <w:rStyle w:val="indexentry"/>
        </w:rPr>
        <w:fldChar w:fldCharType="begin"/>
      </w:r>
      <w:r>
        <w:instrText>xe "</w:instrText>
      </w:r>
      <w:r>
        <w:rPr>
          <w:rStyle w:val="xeentry"/>
        </w:rPr>
        <w:instrText>conversion of sentence with quantified variables: technique</w:instrText>
      </w:r>
      <w:r>
        <w:instrText>"</w:instrText>
      </w:r>
      <w:r>
        <w:rPr>
          <w:rStyle w:val="indexentry"/>
        </w:rPr>
        <w:fldChar w:fldCharType="end"/>
      </w:r>
      <w:r>
        <w:t xml:space="preserve">As noted in </w:t>
      </w:r>
      <w:r>
        <w:rPr>
          <w:rStyle w:val="htmlcodes"/>
        </w:rPr>
        <w:t>&lt;a href=#s5&gt;</w:t>
      </w:r>
      <w:r>
        <w:t>Section 5</w:t>
      </w:r>
      <w:r>
        <w:rPr>
          <w:rStyle w:val="htmlcodes"/>
        </w:rPr>
        <w:t>&lt;/a&gt;</w:t>
      </w:r>
      <w:r>
        <w:t>, a sentence with two different quantified variables,</w:t>
      </w:r>
      <w:r>
        <w:rPr>
          <w:rStyle w:val="deletedparamark"/>
        </w:rPr>
        <w:t xml:space="preserve"> </w:t>
      </w:r>
      <w:r>
        <w:t xml:space="preserve">such as </w:t>
      </w:r>
      <w:r>
        <w:rPr>
          <w:rStyle w:val="htmlcodes"/>
        </w:rPr>
        <w:t>&lt;a href=#e11d13&gt;</w:t>
      </w:r>
      <w:r>
        <w:t>E</w:t>
      </w:r>
      <w:r>
        <w:t>x</w:t>
      </w:r>
      <w:r>
        <w:softHyphen/>
        <w:t>ample 11.13</w:t>
      </w:r>
      <w:r>
        <w:rPr>
          <w:rStyle w:val="htmlcodes"/>
        </w:rPr>
        <w:t>&lt;/a&gt;</w:t>
      </w:r>
      <w:r>
        <w:t>, cannot always be converted with “se” without first</w:t>
      </w:r>
      <w:r>
        <w:rPr>
          <w:rStyle w:val="deletedparamark"/>
        </w:rPr>
        <w:t xml:space="preserve"> </w:t>
      </w:r>
      <w:r>
        <w:t>exporting the quantified variables. When the variables have been exported,</w:t>
      </w:r>
      <w:r>
        <w:rPr>
          <w:rStyle w:val="deletedparamark"/>
        </w:rPr>
        <w:t xml:space="preserve"> </w:t>
      </w:r>
      <w:r>
        <w:t>the sentence proper can be converted, but the quantifier order in the prenex</w:t>
      </w:r>
      <w:r>
        <w:rPr>
          <w:rStyle w:val="deletedparamark"/>
        </w:rPr>
        <w:t xml:space="preserve"> </w:t>
      </w:r>
      <w:r>
        <w:t>must remain unchanged: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name=e11d14&gt;</w:t>
      </w:r>
      <w:r>
        <w:t>11.14)</w:t>
      </w:r>
      <w:r>
        <w:tab/>
        <w:t>roda poi verba</w:t>
      </w:r>
    </w:p>
    <w:p w:rsidR="00B72047" w:rsidRDefault="00B72047">
      <w:pPr>
        <w:pStyle w:val="examplescaled"/>
      </w:pPr>
      <w:r>
        <w:tab/>
      </w:r>
      <w:r>
        <w:tab/>
        <w:t>su'ode poi ckule zo'u de na se klama da</w:t>
      </w:r>
    </w:p>
    <w:p w:rsidR="00B72047" w:rsidRDefault="00B72047">
      <w:pPr>
        <w:pStyle w:val="examplescaled"/>
      </w:pPr>
      <w:r>
        <w:tab/>
        <w:t>It is not the case that for all X's which are children,</w:t>
      </w:r>
    </w:p>
    <w:p w:rsidR="00B72047" w:rsidRDefault="00B72047">
      <w:pPr>
        <w:pStyle w:val="examplescaled"/>
      </w:pPr>
      <w:r>
        <w:tab/>
      </w:r>
      <w:r>
        <w:tab/>
        <w:t>there is a Y which is a school such that: Y is gone to by X.</w:t>
      </w:r>
    </w:p>
    <w:p w:rsidR="00B72047" w:rsidRDefault="00B72047">
      <w:pPr>
        <w:pStyle w:val="normalafterexample"/>
      </w:pPr>
      <w:r>
        <w:rPr>
          <w:rStyle w:val="htmlcodes"/>
        </w:rPr>
        <w:t>&lt;/pre&gt;</w:t>
      </w:r>
      <w:r>
        <w:rPr>
          <w:rStyle w:val="indexentry"/>
        </w:rPr>
        <w:t>&lt;cx "selbri placement among sumti, effect of multiple quantification on"&gt;</w:t>
      </w:r>
      <w:r>
        <w:rPr>
          <w:rStyle w:val="indexentry"/>
        </w:rPr>
        <w:fldChar w:fldCharType="begin"/>
      </w:r>
      <w:r>
        <w:instrText>xe "</w:instrText>
      </w:r>
      <w:r>
        <w:rPr>
          <w:rStyle w:val="xeentry"/>
        </w:rPr>
        <w:instrText>selbri placement among sumti: effect of multiple quantification on</w:instrText>
      </w:r>
      <w:r>
        <w:instrText>"</w:instrText>
      </w:r>
      <w:r>
        <w:rPr>
          <w:rStyle w:val="indexentry"/>
        </w:rPr>
        <w:fldChar w:fldCharType="end"/>
      </w:r>
      <w:r>
        <w:rPr>
          <w:rStyle w:val="indexentry"/>
        </w:rPr>
        <w:t>&lt;cx "multiple quantification, effect on selbri placement among sumti"&gt;</w:t>
      </w:r>
      <w:r>
        <w:rPr>
          <w:rStyle w:val="indexentry"/>
        </w:rPr>
        <w:fldChar w:fldCharType="begin"/>
      </w:r>
      <w:r>
        <w:instrText>xe "</w:instrText>
      </w:r>
      <w:r>
        <w:rPr>
          <w:rStyle w:val="xeentry"/>
        </w:rPr>
        <w:instrText>multiple quantification: effect on selbri placement among sumti</w:instrText>
      </w:r>
      <w:r>
        <w:instrText>"</w:instrText>
      </w:r>
      <w:r>
        <w:rPr>
          <w:rStyle w:val="indexentry"/>
        </w:rPr>
        <w:fldChar w:fldCharType="end"/>
      </w:r>
      <w:r>
        <w:t>While you can't freely convert with “se” when you have two quantified</w:t>
      </w:r>
      <w:r>
        <w:rPr>
          <w:rStyle w:val="deletedparamark"/>
        </w:rPr>
        <w:t xml:space="preserve"> </w:t>
      </w:r>
      <w:r>
        <w:t>vari</w:t>
      </w:r>
      <w:r>
        <w:softHyphen/>
        <w:t>ables in a sentence, you can still freely move sumti to either side of</w:t>
      </w:r>
      <w:r>
        <w:rPr>
          <w:rStyle w:val="deletedparamark"/>
        </w:rPr>
        <w:t xml:space="preserve"> </w:t>
      </w:r>
      <w:r>
        <w:t>the selbri, as long as the order isn't changed. If you use “na” negation in</w:t>
      </w:r>
      <w:r>
        <w:rPr>
          <w:rStyle w:val="deletedparamark"/>
        </w:rPr>
        <w:t xml:space="preserve"> </w:t>
      </w:r>
      <w:r>
        <w:t>such a sentence, nothing special need be done. If you use “naku” negation,</w:t>
      </w:r>
      <w:r>
        <w:rPr>
          <w:rStyle w:val="deletedparamark"/>
        </w:rPr>
        <w:t xml:space="preserve"> </w:t>
      </w:r>
      <w:r>
        <w:t>then quantified variables that cross the nega</w:t>
      </w:r>
      <w:r>
        <w:softHyphen/>
        <w:t>tion boundary must be inverted.</w:t>
      </w:r>
    </w:p>
    <w:p w:rsidR="00B72047" w:rsidRDefault="00B72047">
      <w:pPr>
        <w:rPr>
          <w:rStyle w:val="htmlparacode"/>
        </w:rPr>
      </w:pPr>
      <w:r>
        <w:rPr>
          <w:rStyle w:val="htmlparacode"/>
        </w:rPr>
        <w:t>&lt;p&gt;</w:t>
      </w:r>
    </w:p>
    <w:p w:rsidR="00B72047" w:rsidRDefault="00B72047">
      <w:pPr>
        <w:pStyle w:val="normalparagraph"/>
      </w:pPr>
      <w:r>
        <w:rPr>
          <w:rStyle w:val="indexentry"/>
        </w:rPr>
        <w:t>&lt;cx "negation manipulation, “naku” contrasted with “na” in difficulty of"&gt;</w:t>
      </w:r>
      <w:r>
        <w:rPr>
          <w:rStyle w:val="indexentry"/>
        </w:rPr>
        <w:fldChar w:fldCharType="begin"/>
      </w:r>
      <w:r>
        <w:instrText>xe "</w:instrText>
      </w:r>
      <w:r>
        <w:rPr>
          <w:rStyle w:val="xeentry"/>
        </w:rPr>
        <w:instrText>negation manipulation: naku contrasted with na in difficulty of</w:instrText>
      </w:r>
      <w:r>
        <w:instrText>"</w:instrText>
      </w:r>
      <w:r>
        <w:rPr>
          <w:rStyle w:val="indexentry"/>
        </w:rPr>
        <w:fldChar w:fldCharType="end"/>
      </w:r>
      <w:r>
        <w:rPr>
          <w:rStyle w:val="indexentry"/>
        </w:rPr>
        <w:t>&lt;cx "negation manipulation, “na” contrasted with “naku” in difficulty of"&gt;</w:t>
      </w:r>
      <w:r>
        <w:rPr>
          <w:rStyle w:val="indexentry"/>
        </w:rPr>
        <w:fldChar w:fldCharType="begin"/>
      </w:r>
      <w:r>
        <w:instrText>xe "</w:instrText>
      </w:r>
      <w:r>
        <w:rPr>
          <w:rStyle w:val="xeentry"/>
        </w:rPr>
        <w:instrText>negation manipulation: na contrasted with naku in difficulty of</w:instrText>
      </w:r>
      <w:r>
        <w:instrText>"</w:instrText>
      </w:r>
      <w:r>
        <w:rPr>
          <w:rStyle w:val="indexentry"/>
        </w:rPr>
        <w:fldChar w:fldCharType="end"/>
      </w:r>
      <w:r>
        <w:t>Clearly, if all of Lojban negation was built on “naku” negation</w:t>
      </w:r>
      <w:r>
        <w:rPr>
          <w:rStyle w:val="deletedparamark"/>
        </w:rPr>
        <w:t xml:space="preserve"> </w:t>
      </w:r>
      <w:r>
        <w:t>instead of “na” neg</w:t>
      </w:r>
      <w:r>
        <w:t>a</w:t>
      </w:r>
      <w:r>
        <w:softHyphen/>
        <w:t>tion, logical manipulation in Lojban would be as</w:t>
      </w:r>
      <w:r>
        <w:rPr>
          <w:rStyle w:val="deletedparamark"/>
        </w:rPr>
        <w:t xml:space="preserve"> </w:t>
      </w:r>
      <w:r>
        <w:t xml:space="preserve">difficult as in natural languages. In </w:t>
      </w:r>
      <w:r>
        <w:rPr>
          <w:rStyle w:val="htmlcodes"/>
        </w:rPr>
        <w:t>&lt;a href=#s12&gt;</w:t>
      </w:r>
      <w:r>
        <w:t>Se</w:t>
      </w:r>
      <w:r>
        <w:t>c</w:t>
      </w:r>
      <w:r>
        <w:softHyphen/>
        <w:t>tion 12</w:t>
      </w:r>
      <w:r>
        <w:rPr>
          <w:rStyle w:val="htmlcodes"/>
        </w:rPr>
        <w:t>&lt;/a&gt;</w:t>
      </w:r>
      <w:r>
        <w:t>, for example,</w:t>
      </w:r>
      <w:r>
        <w:rPr>
          <w:rStyle w:val="deletedparamark"/>
        </w:rPr>
        <w:t xml:space="preserve"> </w:t>
      </w:r>
      <w:r>
        <w:t>we'll discuss DeMorgan's Law, which must be used when</w:t>
      </w:r>
      <w:r>
        <w:softHyphen/>
        <w:t>ever a sumti with a</w:t>
      </w:r>
      <w:r>
        <w:rPr>
          <w:rStyle w:val="deletedparamark"/>
        </w:rPr>
        <w:t xml:space="preserve"> </w:t>
      </w:r>
      <w:r>
        <w:t>logical connection is moved across a negation boundary.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"naku, in linked sumti places"&gt;</w:t>
      </w:r>
      <w:r>
        <w:rPr>
          <w:rStyle w:val="indexentry"/>
        </w:rPr>
        <w:fldChar w:fldCharType="begin"/>
      </w:r>
      <w:r>
        <w:instrText>xe "</w:instrText>
      </w:r>
      <w:r>
        <w:rPr>
          <w:rStyle w:val="xeentry"/>
        </w:rPr>
        <w:instrText>naku: in linked sumti places</w:instrText>
      </w:r>
      <w:r>
        <w:instrText>"</w:instrText>
      </w:r>
      <w:r>
        <w:rPr>
          <w:rStyle w:val="indexentry"/>
        </w:rPr>
        <w:fldChar w:fldCharType="end"/>
      </w:r>
      <w:r>
        <w:t>Since “naku” has the grammar of a sumti, it can be placed almost</w:t>
      </w:r>
      <w:r>
        <w:rPr>
          <w:rStyle w:val="deletedparamark"/>
        </w:rPr>
        <w:t xml:space="preserve"> </w:t>
      </w:r>
      <w:r>
        <w:t>anywhere a sumti can go, including “be” and “bei” clauses; it isn't</w:t>
      </w:r>
      <w:r>
        <w:rPr>
          <w:rStyle w:val="deletedparamark"/>
        </w:rPr>
        <w:t xml:space="preserve"> </w:t>
      </w:r>
      <w:r>
        <w:t>clear what these mean, and we reco</w:t>
      </w:r>
      <w:r>
        <w:t>m</w:t>
      </w:r>
      <w:r>
        <w:softHyphen/>
        <w:t>mend avoiding such constructs.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"naku, multiple in sentence"&gt;</w:t>
      </w:r>
      <w:r>
        <w:rPr>
          <w:rStyle w:val="indexentry"/>
        </w:rPr>
        <w:fldChar w:fldCharType="begin"/>
      </w:r>
      <w:r>
        <w:instrText>xe "</w:instrText>
      </w:r>
      <w:r>
        <w:rPr>
          <w:rStyle w:val="xeentry"/>
        </w:rPr>
        <w:instrText>naku: multiple in sentence</w:instrText>
      </w:r>
      <w:r>
        <w:instrText>"</w:instrText>
      </w:r>
      <w:r>
        <w:rPr>
          <w:rStyle w:val="indexentry"/>
        </w:rPr>
        <w:fldChar w:fldCharType="end"/>
      </w:r>
      <w:r>
        <w:rPr>
          <w:rStyle w:val="indexentry"/>
        </w:rPr>
        <w:t>&lt;cx "double negation, and naku"&gt;</w:t>
      </w:r>
      <w:r>
        <w:rPr>
          <w:rStyle w:val="indexentry"/>
        </w:rPr>
        <w:fldChar w:fldCharType="begin"/>
      </w:r>
      <w:r>
        <w:instrText>xe "</w:instrText>
      </w:r>
      <w:r>
        <w:rPr>
          <w:rStyle w:val="xeentry"/>
        </w:rPr>
        <w:instrText>double negation: and naku</w:instrText>
      </w:r>
      <w:r>
        <w:instrText>"</w:instrText>
      </w:r>
      <w:r>
        <w:rPr>
          <w:rStyle w:val="indexentry"/>
        </w:rPr>
        <w:fldChar w:fldCharType="end"/>
      </w:r>
      <w:r>
        <w:t>You can put multiple “naku”s in a sentence, each forming a separate negation</w:t>
      </w:r>
      <w:r>
        <w:rPr>
          <w:rStyle w:val="deletedparamark"/>
        </w:rPr>
        <w:t xml:space="preserve"> </w:t>
      </w:r>
      <w:r>
        <w:t>boun</w:t>
      </w:r>
      <w:r>
        <w:t>d</w:t>
      </w:r>
      <w:r>
        <w:softHyphen/>
        <w:t>ary. Two adjacent “naku”s in a bridi are a double negative and</w:t>
      </w:r>
      <w:r>
        <w:rPr>
          <w:rStyle w:val="deletedparamark"/>
        </w:rPr>
        <w:t xml:space="preserve"> </w:t>
      </w:r>
      <w:r>
        <w:t>cancel out: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name=e11d15&gt;</w:t>
      </w:r>
      <w:r>
        <w:t>11.15)</w:t>
      </w:r>
      <w:r>
        <w:tab/>
        <w:t>mi naku naku le zarci cu klama</w:t>
      </w:r>
    </w:p>
    <w:p w:rsidR="00B72047" w:rsidRDefault="00B72047">
      <w:pPr>
        <w:pStyle w:val="normalafterexample"/>
      </w:pPr>
      <w:r>
        <w:rPr>
          <w:rStyle w:val="htmlcodes"/>
        </w:rPr>
        <w:t>&lt;/pre&gt;&lt;p&gt;</w:t>
      </w:r>
      <w:r>
        <w:t>Other expressions using two “naku”s may or may not cancel out.</w:t>
      </w:r>
      <w:r>
        <w:rPr>
          <w:rStyle w:val="deletedparamark"/>
        </w:rPr>
        <w:t xml:space="preserve"> </w:t>
      </w:r>
      <w:r>
        <w:t>If there is no qua</w:t>
      </w:r>
      <w:r>
        <w:t>n</w:t>
      </w:r>
      <w:r>
        <w:softHyphen/>
        <w:t>tified variable between them, then the “naku”s cancel.</w:t>
      </w:r>
    </w:p>
    <w:p w:rsidR="00B72047" w:rsidRDefault="00B72047">
      <w:pPr>
        <w:rPr>
          <w:rStyle w:val="htmlparacode"/>
        </w:rPr>
      </w:pPr>
      <w:r>
        <w:rPr>
          <w:rStyle w:val="htmlparacode"/>
        </w:rPr>
        <w:t>&lt;p&gt;</w:t>
      </w:r>
    </w:p>
    <w:p w:rsidR="00B72047" w:rsidRDefault="00B72047">
      <w:pPr>
        <w:pStyle w:val="normalparagraph"/>
      </w:pPr>
      <w:r>
        <w:t>Negation with internal “naku” is clumsy and non-intuitive for logical</w:t>
      </w:r>
      <w:r>
        <w:rPr>
          <w:rStyle w:val="deletedparamark"/>
        </w:rPr>
        <w:t xml:space="preserve"> </w:t>
      </w:r>
      <w:r>
        <w:t>manipu</w:t>
      </w:r>
      <w:r>
        <w:softHyphen/>
        <w:t>lations, but then, so are the natural language features it is emulating.</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466" w:name="_Toc398970705"/>
      <w:r>
        <w:rPr>
          <w:rStyle w:val="Heading3Text"/>
        </w:rPr>
        <w:t>Logical Connectives and DeMorgan's Law</w:t>
      </w:r>
      <w:bookmarkEnd w:id="46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"logical connectives within negation, effects of expansion on"&gt;</w:t>
      </w:r>
      <w:r>
        <w:rPr>
          <w:rStyle w:val="indexentry"/>
        </w:rPr>
        <w:fldChar w:fldCharType="begin"/>
      </w:r>
      <w:r>
        <w:instrText>xe "</w:instrText>
      </w:r>
      <w:r>
        <w:rPr>
          <w:rStyle w:val="xeentry"/>
        </w:rPr>
        <w:instrText>logical connectives within negation: effects of expansion on</w:instrText>
      </w:r>
      <w:r>
        <w:instrText>"</w:instrText>
      </w:r>
      <w:r>
        <w:rPr>
          <w:rStyle w:val="indexentry"/>
        </w:rPr>
        <w:fldChar w:fldCharType="end"/>
      </w:r>
      <w:r>
        <w:rPr>
          <w:rStyle w:val="indexentry"/>
        </w:rPr>
        <w:t>&lt;cx "negations with logical connectives, effects on expansion of sentence"&gt;</w:t>
      </w:r>
      <w:r>
        <w:rPr>
          <w:rStyle w:val="indexentry"/>
        </w:rPr>
        <w:fldChar w:fldCharType="begin"/>
      </w:r>
      <w:r>
        <w:instrText>xe "</w:instrText>
      </w:r>
      <w:r>
        <w:rPr>
          <w:rStyle w:val="xeentry"/>
        </w:rPr>
        <w:instrText>negations with logical connectives: effects on expansion of sentence</w:instrText>
      </w:r>
      <w:r>
        <w:instrText>"</w:instrText>
      </w:r>
      <w:r>
        <w:rPr>
          <w:rStyle w:val="indexentry"/>
        </w:rPr>
        <w:fldChar w:fldCharType="end"/>
      </w:r>
      <w:r>
        <w:t>DeMorgan's Law states that when a logical connective between terms falls</w:t>
      </w:r>
      <w:r>
        <w:rPr>
          <w:rStyle w:val="deletedparamark"/>
        </w:rPr>
        <w:t xml:space="preserve"> </w:t>
      </w:r>
      <w:r>
        <w:t>within a negation, then expanding the negation requires a change in the</w:t>
      </w:r>
      <w:r>
        <w:rPr>
          <w:rStyle w:val="deletedparamark"/>
        </w:rPr>
        <w:t xml:space="preserve"> </w:t>
      </w:r>
      <w:r>
        <w:t>connective. Thus (where “p” and “q” stand for terms or sentences)</w:t>
      </w:r>
      <w:r>
        <w:rPr>
          <w:rStyle w:val="deletedparamark"/>
        </w:rPr>
        <w:t xml:space="preserve"> “</w:t>
      </w:r>
      <w:r>
        <w:t>not (p or q)” is identical to “not p and not q”, and “not (p and q)” is</w:t>
      </w:r>
      <w:r>
        <w:rPr>
          <w:rStyle w:val="deletedparamark"/>
        </w:rPr>
        <w:t xml:space="preserve"> </w:t>
      </w:r>
      <w:r>
        <w:t>identical to “not p or not q”. The corresponding changes for the other two</w:t>
      </w:r>
      <w:r>
        <w:rPr>
          <w:rStyle w:val="deletedparamark"/>
        </w:rPr>
        <w:t xml:space="preserve"> </w:t>
      </w:r>
      <w:r>
        <w:t>basic Lojban connectives are: “not (p equivalent to q)” is identical to</w:t>
      </w:r>
      <w:r>
        <w:rPr>
          <w:rStyle w:val="deletedparamark"/>
        </w:rPr>
        <w:t xml:space="preserve"> “</w:t>
      </w:r>
      <w:r>
        <w:t>not p exclusive-or not q”, and “not (p whether-or-not q)” is identical to</w:t>
      </w:r>
      <w:r>
        <w:rPr>
          <w:rStyle w:val="deletedparamark"/>
        </w:rPr>
        <w:t xml:space="preserve"> </w:t>
      </w:r>
      <w:r>
        <w:t>both “not p whether-or-not q” and “not p whether-or-not not q”. In any</w:t>
      </w:r>
      <w:r>
        <w:rPr>
          <w:rStyle w:val="deletedparamark"/>
        </w:rPr>
        <w:t xml:space="preserve"> </w:t>
      </w:r>
      <w:r>
        <w:t>Lojban sentence having one of the basic connectives, you can substitute</w:t>
      </w:r>
      <w:r>
        <w:rPr>
          <w:rStyle w:val="deletedparamark"/>
        </w:rPr>
        <w:t xml:space="preserve"> </w:t>
      </w:r>
      <w:r>
        <w:t>in either direction from these identities. (These basic co</w:t>
      </w:r>
      <w:r>
        <w:t>n</w:t>
      </w:r>
      <w:r>
        <w:softHyphen/>
        <w:t>nectives are</w:t>
      </w:r>
      <w:r>
        <w:rPr>
          <w:rStyle w:val="deletedparamark"/>
        </w:rPr>
        <w:t xml:space="preserve"> </w:t>
      </w:r>
      <w:r>
        <w:t xml:space="preserve">explained in </w:t>
      </w:r>
      <w:r>
        <w:rPr>
          <w:rStyle w:val="htmlcodes"/>
        </w:rPr>
        <w:t>&lt;a href=chap14.html&gt;</w:t>
      </w:r>
      <w:r>
        <w:t>Chapter 14</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t>The effects of DeMorgan's Law on the logical connectives made by</w:t>
      </w:r>
      <w:r>
        <w:rPr>
          <w:rStyle w:val="deletedparamark"/>
        </w:rPr>
        <w:t xml:space="preserve"> </w:t>
      </w:r>
      <w:r>
        <w:t>modifying the basic connectives with “nai”, “na” and “se” can be derived</w:t>
      </w:r>
      <w:r>
        <w:rPr>
          <w:rStyle w:val="deletedparamark"/>
        </w:rPr>
        <w:t xml:space="preserve"> </w:t>
      </w:r>
      <w:r>
        <w:t>directly from these rules; modify the basic connective for DeMorgan's</w:t>
      </w:r>
      <w:r>
        <w:rPr>
          <w:rStyle w:val="deletedparamark"/>
        </w:rPr>
        <w:t xml:space="preserve"> </w:t>
      </w:r>
      <w:r>
        <w:t>Law by substituting from the above iden</w:t>
      </w:r>
      <w:r>
        <w:softHyphen/>
        <w:t>tities, and then, apply each</w:t>
      </w:r>
      <w:r>
        <w:rPr>
          <w:rStyle w:val="deletedparamark"/>
        </w:rPr>
        <w:t xml:space="preserve"> “</w:t>
      </w:r>
      <w:r>
        <w:t>nai”, “na” and “se” modifier of the original connectives. Cancel any</w:t>
      </w:r>
      <w:r>
        <w:rPr>
          <w:rStyle w:val="deletedparamark"/>
        </w:rPr>
        <w:t xml:space="preserve"> </w:t>
      </w:r>
      <w:r>
        <w:t>double negatives that result.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"distributing a negation"&gt;</w:t>
      </w:r>
      <w:r>
        <w:rPr>
          <w:rStyle w:val="indexentry"/>
        </w:rPr>
        <w:fldChar w:fldCharType="begin"/>
      </w:r>
      <w:r>
        <w:instrText>xe "</w:instrText>
      </w:r>
      <w:r>
        <w:rPr>
          <w:rStyle w:val="xeentry"/>
        </w:rPr>
        <w:instrText>distributing a negation</w:instrText>
      </w:r>
      <w:r>
        <w:instrText>"</w:instrText>
      </w:r>
      <w:r>
        <w:rPr>
          <w:rStyle w:val="indexentry"/>
        </w:rPr>
        <w:fldChar w:fldCharType="end"/>
      </w:r>
      <w:r>
        <w:rPr>
          <w:rStyle w:val="indexentry"/>
        </w:rPr>
        <w:t>&lt;cx "DeMorgan's Law, and distributing a negation"&gt;</w:t>
      </w:r>
      <w:r>
        <w:rPr>
          <w:rStyle w:val="indexentry"/>
        </w:rPr>
        <w:fldChar w:fldCharType="begin"/>
      </w:r>
      <w:r>
        <w:instrText>xe "</w:instrText>
      </w:r>
      <w:r>
        <w:rPr>
          <w:rStyle w:val="xeentry"/>
        </w:rPr>
        <w:instrText>DeMorgan's Law: and distributing a negation</w:instrText>
      </w:r>
      <w:r>
        <w:instrText>"</w:instrText>
      </w:r>
      <w:r>
        <w:rPr>
          <w:rStyle w:val="indexentry"/>
        </w:rPr>
        <w:fldChar w:fldCharType="end"/>
      </w:r>
      <w:r>
        <w:rPr>
          <w:rStyle w:val="indexentry"/>
        </w:rPr>
        <w:t>&lt;cx "DeMorgan's Law, and moving a logical connective relative to “naku”"&gt;</w:t>
      </w:r>
      <w:r>
        <w:rPr>
          <w:rStyle w:val="indexentry"/>
        </w:rPr>
        <w:fldChar w:fldCharType="begin"/>
      </w:r>
      <w:r>
        <w:instrText>xe "</w:instrText>
      </w:r>
      <w:r>
        <w:rPr>
          <w:rStyle w:val="xeentry"/>
        </w:rPr>
        <w:instrText>DeMorgan's Law: and moving a logical connective relative to naku</w:instrText>
      </w:r>
      <w:r>
        <w:instrText>"</w:instrText>
      </w:r>
      <w:r>
        <w:rPr>
          <w:rStyle w:val="indexentry"/>
        </w:rPr>
        <w:fldChar w:fldCharType="end"/>
      </w:r>
      <w:r>
        <w:t>When do we apply DeMorgan's Law? Whenever we wish to “distribute” a ne</w:t>
      </w:r>
      <w:r>
        <w:softHyphen/>
        <w:t>gation</w:t>
      </w:r>
      <w:r>
        <w:rPr>
          <w:rStyle w:val="deletedparamark"/>
        </w:rPr>
        <w:t xml:space="preserve"> </w:t>
      </w:r>
      <w:r>
        <w:t>over a logical connective; and, for internal “naku” negation, whenever a</w:t>
      </w:r>
      <w:r>
        <w:rPr>
          <w:rStyle w:val="deletedparamark"/>
        </w:rPr>
        <w:t xml:space="preserve"> </w:t>
      </w:r>
      <w:r>
        <w:t>logical conne</w:t>
      </w:r>
      <w:r>
        <w:t>c</w:t>
      </w:r>
      <w:r>
        <w:softHyphen/>
        <w:t>tive moves in to, or out of, the scope of a negation — when</w:t>
      </w:r>
      <w:r>
        <w:rPr>
          <w:rStyle w:val="deletedparamark"/>
        </w:rPr>
        <w:t xml:space="preserve"> </w:t>
      </w:r>
      <w:r>
        <w:t>it crosses a negation boun</w:t>
      </w:r>
      <w:r>
        <w:t>d</w:t>
      </w:r>
      <w:r>
        <w:softHyphen/>
        <w:t>ary.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"DeMorgan's Law, sample applications"&gt;</w:t>
      </w:r>
      <w:r>
        <w:rPr>
          <w:rStyle w:val="indexentry"/>
        </w:rPr>
        <w:fldChar w:fldCharType="begin"/>
      </w:r>
      <w:r>
        <w:instrText>xe "</w:instrText>
      </w:r>
      <w:r>
        <w:rPr>
          <w:rStyle w:val="xeentry"/>
        </w:rPr>
        <w:instrText>DeMorgan's Law: sample applications</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w:instrText>
      </w:r>
      <w:r>
        <w:instrText>"</w:instrText>
      </w:r>
      <w:r>
        <w:rPr>
          <w:rStyle w:val="indexentry"/>
        </w:rPr>
        <w:fldChar w:fldCharType="end"/>
      </w:r>
      <w:r>
        <w:rPr>
          <w:rStyle w:val="indexentry"/>
        </w:rPr>
        <w:t>&lt;lx "ge"&gt;</w:t>
      </w:r>
      <w:r>
        <w:rPr>
          <w:rStyle w:val="indexentry"/>
        </w:rPr>
        <w:fldChar w:fldCharType="begin"/>
      </w:r>
      <w:r>
        <w:instrText>xe "</w:instrText>
      </w:r>
      <w:r>
        <w:rPr>
          <w:rStyle w:val="xeentry"/>
        </w:rPr>
        <w:instrText>ge</w:instrText>
      </w:r>
      <w:r>
        <w:instrText>"</w:instrText>
      </w:r>
      <w:r>
        <w:rPr>
          <w:rStyle w:val="indexentry"/>
        </w:rPr>
        <w:fldChar w:fldCharType="end"/>
      </w:r>
      <w:r>
        <w:rPr>
          <w:rStyle w:val="indexentry"/>
        </w:rPr>
        <w:t>&lt;lx "gi"&gt;</w:t>
      </w:r>
      <w:r>
        <w:rPr>
          <w:rStyle w:val="indexentry"/>
        </w:rPr>
        <w:fldChar w:fldCharType="begin"/>
      </w:r>
      <w:r>
        <w:instrText>xe "</w:instrText>
      </w:r>
      <w:r>
        <w:rPr>
          <w:rStyle w:val="xeentry"/>
        </w:rPr>
        <w:instrText>gi</w:instrText>
      </w:r>
      <w:r>
        <w:instrText>"</w:instrText>
      </w:r>
      <w:r>
        <w:rPr>
          <w:rStyle w:val="indexentry"/>
        </w:rPr>
        <w:fldChar w:fldCharType="end"/>
      </w:r>
      <w:r>
        <w:rPr>
          <w:rStyle w:val="indexentry"/>
        </w:rPr>
        <w:t>&lt;lx "nai"&gt;</w:t>
      </w:r>
      <w:r>
        <w:rPr>
          <w:rStyle w:val="indexentry"/>
        </w:rPr>
        <w:fldChar w:fldCharType="begin"/>
      </w:r>
      <w:r>
        <w:instrText>xe "</w:instrText>
      </w:r>
      <w:r>
        <w:rPr>
          <w:rStyle w:val="xeentry"/>
        </w:rPr>
        <w:instrText>nai</w:instrText>
      </w:r>
      <w:r>
        <w:instrText>"</w:instrText>
      </w:r>
      <w:r>
        <w:rPr>
          <w:rStyle w:val="indexentry"/>
        </w:rPr>
        <w:fldChar w:fldCharType="end"/>
      </w:r>
      <w:r>
        <w:t>Let us apply DeMorgan's Law to some sample sentences. These sentences make</w:t>
      </w:r>
      <w:r>
        <w:rPr>
          <w:rStyle w:val="deletedparamark"/>
        </w:rPr>
        <w:t xml:space="preserve"> </w:t>
      </w:r>
      <w:r>
        <w:t xml:space="preserve">use of forethought logical connectives, which are explained in </w:t>
      </w:r>
      <w:r>
        <w:rPr>
          <w:rStyle w:val="htmlcodes"/>
        </w:rPr>
        <w:t>&lt;a href=chap14.html&gt;</w:t>
      </w:r>
      <w:r>
        <w:t>Chapter 14</w:t>
      </w:r>
      <w:r>
        <w:rPr>
          <w:rStyle w:val="htmlcodes"/>
        </w:rPr>
        <w:t>&lt;/a&gt;</w:t>
      </w:r>
      <w:r>
        <w:t>.</w:t>
      </w:r>
      <w:r>
        <w:rPr>
          <w:rStyle w:val="deletedparamark"/>
        </w:rPr>
        <w:t xml:space="preserve"> </w:t>
      </w:r>
      <w:r>
        <w:t>It suf</w:t>
      </w:r>
      <w:r>
        <w:softHyphen/>
        <w:t>fices to know that “ga” and “gi”, used before each of a pair of sumti</w:t>
      </w:r>
      <w:r>
        <w:rPr>
          <w:rStyle w:val="deletedparamark"/>
        </w:rPr>
        <w:t xml:space="preserve"> </w:t>
      </w:r>
      <w:r>
        <w:t>or bridi, mean “either” and “or” respectively, and that “ge” and “gi” used</w:t>
      </w:r>
      <w:r>
        <w:rPr>
          <w:rStyle w:val="deletedparamark"/>
        </w:rPr>
        <w:t xml:space="preserve"> </w:t>
      </w:r>
      <w:r>
        <w:t>similarly mean “both” and “and”. Furthermore, “ga”, “ge”, and “gi” can</w:t>
      </w:r>
      <w:r>
        <w:rPr>
          <w:rStyle w:val="deletedparamark"/>
        </w:rPr>
        <w:t xml:space="preserve"> </w:t>
      </w:r>
      <w:r>
        <w:t>all be suffixed with “nai” to negate the bridi or sumti that fo</w:t>
      </w:r>
      <w:r>
        <w:t>l</w:t>
      </w:r>
      <w:r>
        <w:softHyphen/>
        <w:t>lows.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"na"&gt;</w:t>
      </w:r>
      <w:r>
        <w:rPr>
          <w:rStyle w:val="indexentry"/>
        </w:rPr>
        <w:fldChar w:fldCharType="begin"/>
      </w:r>
      <w:r>
        <w:instrText>xe "</w:instrText>
      </w:r>
      <w:r>
        <w:rPr>
          <w:rStyle w:val="xeentry"/>
        </w:rPr>
        <w:instrText>na</w:instrText>
      </w:r>
      <w:r>
        <w:instrText>"</w:instrText>
      </w:r>
      <w:r>
        <w:rPr>
          <w:rStyle w:val="indexentry"/>
        </w:rPr>
        <w:fldChar w:fldCharType="end"/>
      </w:r>
      <w:r>
        <w:rPr>
          <w:rStyle w:val="indexentry"/>
        </w:rPr>
        <w:t>&lt;lx "naku zo'u"&gt;</w:t>
      </w:r>
      <w:r>
        <w:rPr>
          <w:rStyle w:val="indexentry"/>
        </w:rPr>
        <w:fldChar w:fldCharType="begin"/>
      </w:r>
      <w:r>
        <w:instrText>xe "</w:instrText>
      </w:r>
      <w:r>
        <w:rPr>
          <w:rStyle w:val="xeentry"/>
        </w:rPr>
        <w:instrText>naku zo'u</w:instrText>
      </w:r>
      <w:r>
        <w:instrText>"</w:instrText>
      </w:r>
      <w:r>
        <w:rPr>
          <w:rStyle w:val="indexentry"/>
        </w:rPr>
        <w:fldChar w:fldCharType="end"/>
      </w:r>
      <w:r>
        <w:rPr>
          <w:rStyle w:val="indexentry"/>
        </w:rPr>
        <w:t>&lt;cx "na, and negation boundary"&gt;</w:t>
      </w:r>
      <w:r>
        <w:rPr>
          <w:rStyle w:val="indexentry"/>
        </w:rPr>
        <w:fldChar w:fldCharType="begin"/>
      </w:r>
      <w:r>
        <w:instrText>xe "</w:instrText>
      </w:r>
      <w:r>
        <w:rPr>
          <w:rStyle w:val="xeentry"/>
        </w:rPr>
        <w:instrText>na: and negation boundary</w:instrText>
      </w:r>
      <w:r>
        <w:instrText>"</w:instrText>
      </w:r>
      <w:r>
        <w:rPr>
          <w:rStyle w:val="indexentry"/>
        </w:rPr>
        <w:fldChar w:fldCharType="end"/>
      </w:r>
      <w:r>
        <w:rPr>
          <w:rStyle w:val="indexentry"/>
        </w:rPr>
        <w:t>&lt;cx "naku zo'u, and negation boundary"&gt;</w:t>
      </w:r>
      <w:r>
        <w:rPr>
          <w:rStyle w:val="indexentry"/>
        </w:rPr>
        <w:fldChar w:fldCharType="begin"/>
      </w:r>
      <w:r>
        <w:instrText>xe "</w:instrText>
      </w:r>
      <w:r>
        <w:rPr>
          <w:rStyle w:val="xeentry"/>
        </w:rPr>
        <w:instrText>naku zo'u: and negation boundary</w:instrText>
      </w:r>
      <w:r>
        <w:instrText>"</w:instrText>
      </w:r>
      <w:r>
        <w:rPr>
          <w:rStyle w:val="indexentry"/>
        </w:rPr>
        <w:fldChar w:fldCharType="end"/>
      </w:r>
      <w:r>
        <w:rPr>
          <w:rStyle w:val="indexentry"/>
        </w:rPr>
        <w:t>&lt;cx "bridi negation, and negation boundary"&gt;</w:t>
      </w:r>
      <w:r>
        <w:rPr>
          <w:rStyle w:val="indexentry"/>
        </w:rPr>
        <w:fldChar w:fldCharType="begin"/>
      </w:r>
      <w:r>
        <w:instrText>xe "</w:instrText>
      </w:r>
      <w:r>
        <w:rPr>
          <w:rStyle w:val="xeentry"/>
        </w:rPr>
        <w:instrText>bridi negation: and negation boundary</w:instrText>
      </w:r>
      <w:r>
        <w:instrText>"</w:instrText>
      </w:r>
      <w:r>
        <w:rPr>
          <w:rStyle w:val="indexentry"/>
        </w:rPr>
        <w:fldChar w:fldCharType="end"/>
      </w:r>
      <w:r>
        <w:rPr>
          <w:rStyle w:val="indexentry"/>
        </w:rPr>
        <w:t>&lt;cx "bridi negation, and DeMorgan's Law"&gt;</w:t>
      </w:r>
      <w:r>
        <w:rPr>
          <w:rStyle w:val="indexentry"/>
        </w:rPr>
        <w:fldChar w:fldCharType="begin"/>
      </w:r>
      <w:r>
        <w:instrText>xe "</w:instrText>
      </w:r>
      <w:r>
        <w:rPr>
          <w:rStyle w:val="xeentry"/>
        </w:rPr>
        <w:instrText>bridi negation: and DeMorgan's Law</w:instrText>
      </w:r>
      <w:r>
        <w:instrText>"</w:instrText>
      </w:r>
      <w:r>
        <w:rPr>
          <w:rStyle w:val="indexentry"/>
        </w:rPr>
        <w:fldChar w:fldCharType="end"/>
      </w:r>
      <w:r>
        <w:t>We have defined “na” and “naku zo'u” as, respectively, internal and</w:t>
      </w:r>
      <w:r>
        <w:rPr>
          <w:rStyle w:val="deletedparamark"/>
        </w:rPr>
        <w:t xml:space="preserve"> </w:t>
      </w:r>
      <w:r>
        <w:t>external bridi negation. These forms being identical, the negation</w:t>
      </w:r>
      <w:r>
        <w:rPr>
          <w:rStyle w:val="deletedparamark"/>
        </w:rPr>
        <w:t xml:space="preserve"> </w:t>
      </w:r>
      <w:r>
        <w:t>boundary always remains at the left end of the prenex. Thus, exporting or</w:t>
      </w:r>
      <w:r>
        <w:rPr>
          <w:rStyle w:val="deletedparamark"/>
        </w:rPr>
        <w:t xml:space="preserve"> </w:t>
      </w:r>
      <w:r>
        <w:t>importing negation between external and internal bridi negation forms never</w:t>
      </w:r>
      <w:r>
        <w:rPr>
          <w:rStyle w:val="deletedparamark"/>
        </w:rPr>
        <w:t xml:space="preserve"> </w:t>
      </w:r>
      <w:r>
        <w:t xml:space="preserve">requires DeMorgan's Law to be applied. </w:t>
      </w:r>
      <w:r>
        <w:rPr>
          <w:rStyle w:val="htmlcodes"/>
        </w:rPr>
        <w:t>&lt;a href=#e12d1&gt;</w:t>
      </w:r>
      <w:r>
        <w:t xml:space="preserve">Example 12.1 </w:t>
      </w:r>
      <w:r>
        <w:rPr>
          <w:rStyle w:val="htmlcodes"/>
        </w:rPr>
        <w:t>&lt;/a&gt;</w:t>
      </w:r>
      <w:r>
        <w:t>and</w:t>
      </w:r>
      <w:r>
        <w:rPr>
          <w:rStyle w:val="deletedparamark"/>
        </w:rPr>
        <w:t xml:space="preserve"> </w:t>
      </w:r>
      <w:r>
        <w:rPr>
          <w:rStyle w:val="htmlcodes"/>
        </w:rPr>
        <w:t>&lt;a href=#e12d2&gt;</w:t>
      </w:r>
      <w:r>
        <w:t xml:space="preserve">Example 12.2 </w:t>
      </w:r>
      <w:r>
        <w:rPr>
          <w:rStyle w:val="htmlcodes"/>
        </w:rPr>
        <w:t>&lt;/a&gt;</w:t>
      </w:r>
      <w:r>
        <w:t>are exactly equivalent:</w:t>
      </w:r>
    </w:p>
    <w:p w:rsidR="00B72047" w:rsidRDefault="00B72047">
      <w:pPr>
        <w:rPr>
          <w:rStyle w:val="htmlparacode"/>
        </w:rPr>
      </w:pPr>
      <w:r>
        <w:rPr>
          <w:rStyle w:val="htmlparacode"/>
        </w:rPr>
        <w:t>&lt;p&gt;</w:t>
      </w:r>
    </w:p>
    <w:p w:rsidR="00B72047" w:rsidRDefault="00B72047">
      <w:pPr>
        <w:pStyle w:val="examplescaledpre"/>
      </w:pPr>
      <w:r>
        <w:rPr>
          <w:rStyle w:val="indexentry"/>
        </w:rPr>
        <w:t>&lt;ex "go to Paris or Rome"&gt;</w:t>
      </w:r>
      <w:r>
        <w:rPr>
          <w:rStyle w:val="indexentry"/>
        </w:rPr>
        <w:fldChar w:fldCharType="begin"/>
      </w:r>
      <w:r>
        <w:instrText>xe "</w:instrText>
      </w:r>
      <w:r>
        <w:rPr>
          <w:rStyle w:val="xeentry"/>
        </w:rPr>
        <w:instrText>go to Paris or Rome: example</w:instrText>
      </w:r>
      <w:r>
        <w:instrText>"</w:instrText>
      </w:r>
      <w:r>
        <w:rPr>
          <w:rStyle w:val="indexentry"/>
        </w:rPr>
        <w:fldChar w:fldCharType="end"/>
      </w:r>
      <w:r>
        <w:rPr>
          <w:rStyle w:val="htmlcodes"/>
        </w:rPr>
        <w:t>&lt;pre&gt;&lt;a name=e12d1&gt;</w:t>
      </w:r>
      <w:r>
        <w:t>12.1)</w:t>
      </w:r>
      <w:r>
        <w:tab/>
        <w:t>la djan. na klama ga la paris. gi la rom.</w:t>
      </w:r>
    </w:p>
    <w:p w:rsidR="00B72047" w:rsidRDefault="00B72047">
      <w:pPr>
        <w:pStyle w:val="examplescaled"/>
      </w:pPr>
      <w:r>
        <w:tab/>
        <w:t>John [false] goes-to either Paris or Rome.</w:t>
      </w:r>
    </w:p>
    <w:p w:rsidR="00B72047" w:rsidRDefault="00B72047">
      <w:pPr>
        <w:pStyle w:val="examplescaledpre"/>
      </w:pPr>
      <w:r>
        <w:rPr>
          <w:rStyle w:val="htmlcodes"/>
        </w:rPr>
        <w:t>&lt;a name=e12d2&gt;</w:t>
      </w:r>
      <w:r>
        <w:t>12.2)</w:t>
      </w:r>
      <w:r>
        <w:tab/>
        <w:t>naku zo'u la djan. klama ga la paris. gi la rom.</w:t>
      </w:r>
    </w:p>
    <w:p w:rsidR="00B72047" w:rsidRDefault="00B72047">
      <w:pPr>
        <w:pStyle w:val="examplescaled"/>
      </w:pPr>
      <w:r>
        <w:tab/>
        <w:t>It-is-false that:  John goes-to either Paris or Rome.</w:t>
      </w:r>
    </w:p>
    <w:p w:rsidR="00B72047" w:rsidRDefault="00B72047">
      <w:pPr>
        <w:pStyle w:val="normalafterexample"/>
      </w:pPr>
      <w:r>
        <w:rPr>
          <w:rStyle w:val="htmlcodes"/>
        </w:rPr>
        <w:t>&lt;/pre&gt;</w:t>
      </w:r>
      <w:r>
        <w:rPr>
          <w:rStyle w:val="indexentry"/>
        </w:rPr>
        <w:t>&lt;cx "negator, movement from bridi to sumti"&gt;</w:t>
      </w:r>
      <w:r>
        <w:rPr>
          <w:rStyle w:val="indexentry"/>
        </w:rPr>
        <w:fldChar w:fldCharType="begin"/>
      </w:r>
      <w:r>
        <w:instrText>xe "</w:instrText>
      </w:r>
      <w:r>
        <w:rPr>
          <w:rStyle w:val="xeentry"/>
        </w:rPr>
        <w:instrText>negator: movement from bridi to sumti</w:instrText>
      </w:r>
      <w:r>
        <w:instrText>"</w:instrText>
      </w:r>
      <w:r>
        <w:rPr>
          <w:rStyle w:val="indexentry"/>
        </w:rPr>
        <w:fldChar w:fldCharType="end"/>
      </w:r>
      <w:r>
        <w:rPr>
          <w:rStyle w:val="indexentry"/>
        </w:rPr>
        <w:t>&lt;cx "logically connected sentences, and DeMorgan's Law"&gt;</w:t>
      </w:r>
      <w:r>
        <w:rPr>
          <w:rStyle w:val="indexentry"/>
        </w:rPr>
        <w:fldChar w:fldCharType="begin"/>
      </w:r>
      <w:r>
        <w:instrText>xe "</w:instrText>
      </w:r>
      <w:r>
        <w:rPr>
          <w:rStyle w:val="xeentry"/>
        </w:rPr>
        <w:instrText>logically connected sentences: and DeMorgan's Law</w:instrText>
      </w:r>
      <w:r>
        <w:instrText>"</w:instrText>
      </w:r>
      <w:r>
        <w:rPr>
          <w:rStyle w:val="indexentry"/>
        </w:rPr>
        <w:fldChar w:fldCharType="end"/>
      </w:r>
      <w:r>
        <w:rPr>
          <w:rStyle w:val="indexentry"/>
        </w:rPr>
        <w:t>&lt;cx "DeMorgan's Law, and logically connected sentences"&gt;</w:t>
      </w:r>
      <w:r>
        <w:rPr>
          <w:rStyle w:val="indexentry"/>
        </w:rPr>
        <w:fldChar w:fldCharType="begin"/>
      </w:r>
      <w:r>
        <w:instrText>xe "</w:instrText>
      </w:r>
      <w:r>
        <w:rPr>
          <w:rStyle w:val="xeentry"/>
        </w:rPr>
        <w:instrText>DeMorgan's Law: and logically connected sentences</w:instrText>
      </w:r>
      <w:r>
        <w:instrText>"</w:instrText>
      </w:r>
      <w:r>
        <w:rPr>
          <w:rStyle w:val="indexentry"/>
        </w:rPr>
        <w:fldChar w:fldCharType="end"/>
      </w:r>
      <w:r>
        <w:t>It is not an acceptable logical manipulation to move a negator from the</w:t>
      </w:r>
      <w:r>
        <w:rPr>
          <w:rStyle w:val="deletedparamark"/>
        </w:rPr>
        <w:t xml:space="preserve"> </w:t>
      </w:r>
      <w:r>
        <w:t xml:space="preserve">bridi level to one or more sumti. However, </w:t>
      </w:r>
      <w:r>
        <w:rPr>
          <w:rStyle w:val="htmlcodes"/>
        </w:rPr>
        <w:t>&lt;a href=#e12d1&gt;</w:t>
      </w:r>
      <w:r>
        <w:t xml:space="preserve">Example 12.1 </w:t>
      </w:r>
      <w:r>
        <w:rPr>
          <w:rStyle w:val="htmlcodes"/>
        </w:rPr>
        <w:t>&lt;/a&gt;</w:t>
      </w:r>
      <w:r>
        <w:t>and related examples</w:t>
      </w:r>
      <w:r>
        <w:rPr>
          <w:rStyle w:val="deletedparamark"/>
        </w:rPr>
        <w:t xml:space="preserve"> </w:t>
      </w:r>
      <w:r>
        <w:t>are not sumti negations, but rather expand to form two logically connected</w:t>
      </w:r>
      <w:r>
        <w:rPr>
          <w:rStyle w:val="deletedparamark"/>
        </w:rPr>
        <w:t xml:space="preserve"> </w:t>
      </w:r>
      <w:r>
        <w:t>sentences. In such a situa</w:t>
      </w:r>
      <w:r>
        <w:softHyphen/>
        <w:t>tion, DeMo</w:t>
      </w:r>
      <w:r>
        <w:t>r</w:t>
      </w:r>
      <w:r>
        <w:softHyphen/>
        <w:t>gan's Law must be applied. For</w:t>
      </w:r>
      <w:r>
        <w:rPr>
          <w:rStyle w:val="deletedparamark"/>
        </w:rPr>
        <w:t xml:space="preserve"> </w:t>
      </w:r>
      <w:r>
        <w:t xml:space="preserve">instance, </w:t>
      </w:r>
      <w:r>
        <w:rPr>
          <w:rStyle w:val="htmlcodes"/>
        </w:rPr>
        <w:t>&lt;a href=#e12d2&gt;</w:t>
      </w:r>
      <w:r>
        <w:t xml:space="preserve">Example 12.2 </w:t>
      </w:r>
      <w:r>
        <w:rPr>
          <w:rStyle w:val="htmlcodes"/>
        </w:rPr>
        <w:t>&lt;/a&gt;</w:t>
      </w:r>
      <w:r>
        <w:t>expands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ge la djan. la paris. na klama</w:t>
      </w:r>
    </w:p>
    <w:p w:rsidR="00B72047" w:rsidRDefault="00B72047">
      <w:pPr>
        <w:pStyle w:val="examplescaled"/>
      </w:pPr>
      <w:r>
        <w:tab/>
      </w:r>
      <w:r>
        <w:tab/>
        <w:t>gi la djan. la rom. na klama</w:t>
      </w:r>
    </w:p>
    <w:p w:rsidR="00B72047" w:rsidRDefault="00B72047">
      <w:pPr>
        <w:pStyle w:val="examplescaled"/>
      </w:pPr>
      <w:r>
        <w:tab/>
        <w:t xml:space="preserve">[It is true that] both John, to-Paris, [false] goes, </w:t>
      </w:r>
    </w:p>
    <w:p w:rsidR="00B72047" w:rsidRDefault="00B72047">
      <w:pPr>
        <w:pStyle w:val="examplescaled"/>
      </w:pPr>
      <w:r>
        <w:tab/>
      </w:r>
      <w:r>
        <w:tab/>
        <w:t>and John, to-Rome, [false] goes.</w:t>
      </w:r>
    </w:p>
    <w:p w:rsidR="00B72047" w:rsidRDefault="00B72047">
      <w:pPr>
        <w:pStyle w:val="resumedafterexample"/>
      </w:pPr>
      <w:r>
        <w:rPr>
          <w:rStyle w:val="htmlcodes"/>
        </w:rPr>
        <w:t>&lt;/pre&gt;&lt;p&gt;</w:t>
      </w:r>
      <w:r>
        <w:t>The “ga” and “gi”, meaning “either-or”, have become “ge” and “gi”, meaning</w:t>
      </w:r>
      <w:r>
        <w:rPr>
          <w:rStyle w:val="deletedparamark"/>
        </w:rPr>
        <w:t xml:space="preserve"> “</w:t>
      </w:r>
      <w:r>
        <w:t>both-and”, as a consequence of moving the negators into the individual</w:t>
      </w:r>
      <w:r>
        <w:rPr>
          <w:rStyle w:val="deletedparamark"/>
        </w:rPr>
        <w:t xml:space="preserve"> </w:t>
      </w:r>
      <w:r>
        <w:t>bridi.</w:t>
      </w:r>
    </w:p>
    <w:p w:rsidR="00B72047" w:rsidRDefault="00B72047">
      <w:pPr>
        <w:rPr>
          <w:rStyle w:val="htmlparacode"/>
        </w:rPr>
      </w:pPr>
      <w:r>
        <w:rPr>
          <w:rStyle w:val="htmlparacode"/>
        </w:rPr>
        <w:t>&lt;p&gt;</w:t>
      </w:r>
    </w:p>
    <w:p w:rsidR="00B72047" w:rsidRDefault="00B72047">
      <w:pPr>
        <w:pStyle w:val="normalparagraph"/>
      </w:pPr>
      <w:r>
        <w:rPr>
          <w:rStyle w:val="indexentry"/>
        </w:rPr>
        <w:t>&lt;cx "bridi-tail logical connection, and DeMorgan's Law"&gt;</w:t>
      </w:r>
      <w:r>
        <w:rPr>
          <w:rStyle w:val="indexentry"/>
        </w:rPr>
        <w:fldChar w:fldCharType="begin"/>
      </w:r>
      <w:r>
        <w:instrText>xe "</w:instrText>
      </w:r>
      <w:r>
        <w:rPr>
          <w:rStyle w:val="xeentry"/>
        </w:rPr>
        <w:instrText>bridi-tail logical connection: and DeMorgan's Law</w:instrText>
      </w:r>
      <w:r>
        <w:instrText>"</w:instrText>
      </w:r>
      <w:r>
        <w:rPr>
          <w:rStyle w:val="indexentry"/>
        </w:rPr>
        <w:fldChar w:fldCharType="end"/>
      </w:r>
      <w:r>
        <w:rPr>
          <w:rStyle w:val="indexentry"/>
        </w:rPr>
        <w:t>&lt;cx "DeMorgan's Law, and bridi-tail logical connection"&gt;</w:t>
      </w:r>
      <w:r>
        <w:rPr>
          <w:rStyle w:val="indexentry"/>
        </w:rPr>
        <w:fldChar w:fldCharType="begin"/>
      </w:r>
      <w:r>
        <w:instrText>xe "</w:instrText>
      </w:r>
      <w:r>
        <w:rPr>
          <w:rStyle w:val="xeentry"/>
        </w:rPr>
        <w:instrText>DeMorgan's Law: and bridi-tail logical connection</w:instrText>
      </w:r>
      <w:r>
        <w:instrText>"</w:instrText>
      </w:r>
      <w:r>
        <w:rPr>
          <w:rStyle w:val="indexentry"/>
        </w:rPr>
        <w:fldChar w:fldCharType="end"/>
      </w:r>
      <w:r>
        <w:t>Here is another example of DeMorgan's Law in action, involving bridi-tail</w:t>
      </w:r>
      <w:r>
        <w:rPr>
          <w:rStyle w:val="deletedparamark"/>
        </w:rPr>
        <w:t xml:space="preserve"> </w:t>
      </w:r>
      <w:r>
        <w:t xml:space="preserve">logical connection (explained in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la djein. le zarci na ge dzukla gi bajrykla</w:t>
      </w:r>
    </w:p>
    <w:p w:rsidR="00B72047" w:rsidRDefault="00B72047">
      <w:pPr>
        <w:pStyle w:val="examplescaled"/>
      </w:pPr>
      <w:r>
        <w:tab/>
        <w:t>Jane to-the market [false] both walks and runs.</w:t>
      </w:r>
    </w:p>
    <w:p w:rsidR="00B72047" w:rsidRDefault="00B72047">
      <w:pPr>
        <w:pStyle w:val="examplescaledpre"/>
      </w:pPr>
      <w:r>
        <w:rPr>
          <w:rStyle w:val="htmlcodes"/>
        </w:rPr>
        <w:t>&lt;a name=e12d5&gt;</w:t>
      </w:r>
      <w:r>
        <w:t>12.5)</w:t>
      </w:r>
      <w:r>
        <w:tab/>
        <w:t>la djein. le zarci ganai dzukla ginai bajrykla</w:t>
      </w:r>
    </w:p>
    <w:p w:rsidR="00B72047" w:rsidRDefault="00B72047">
      <w:pPr>
        <w:pStyle w:val="examplescaled"/>
      </w:pPr>
      <w:r>
        <w:tab/>
        <w:t>Jane to-the market either [false] walks or [false] runs.</w:t>
      </w:r>
    </w:p>
    <w:p w:rsidR="00B72047" w:rsidRDefault="00B72047">
      <w:pPr>
        <w:pStyle w:val="examplescaled"/>
      </w:pPr>
      <w:r>
        <w:tab/>
        <w:t>Jane to-the market if walks then ([false] runs).</w:t>
      </w:r>
    </w:p>
    <w:p w:rsidR="00B72047" w:rsidRDefault="00B72047">
      <w:pPr>
        <w:pStyle w:val="resumedafterexample"/>
      </w:pPr>
      <w:r>
        <w:rPr>
          <w:rStyle w:val="htmlcodes"/>
        </w:rPr>
        <w:t>&lt;/pre&gt;</w:t>
      </w:r>
      <w:r>
        <w:t>(Placing “le zarci” before the selbri makes sure that it is properly</w:t>
      </w:r>
      <w:r>
        <w:rPr>
          <w:rStyle w:val="deletedparamark"/>
        </w:rPr>
        <w:t xml:space="preserve"> </w:t>
      </w:r>
      <w:r>
        <w:t>associated with both parts of the logical connection. Otherwise, it</w:t>
      </w:r>
      <w:r>
        <w:rPr>
          <w:rStyle w:val="deletedparamark"/>
        </w:rPr>
        <w:t xml:space="preserve"> </w:t>
      </w:r>
      <w:r>
        <w:t>is easy to erroneously leave it off one of the two sentences.)</w:t>
      </w:r>
    </w:p>
    <w:p w:rsidR="00B72047" w:rsidRDefault="00B72047">
      <w:pPr>
        <w:rPr>
          <w:rStyle w:val="htmlparacode"/>
        </w:rPr>
      </w:pPr>
      <w:r>
        <w:rPr>
          <w:rStyle w:val="htmlparacode"/>
        </w:rPr>
        <w:t>&lt;p&gt;</w:t>
      </w:r>
    </w:p>
    <w:p w:rsidR="00B72047" w:rsidRDefault="00B72047">
      <w:pPr>
        <w:pStyle w:val="normalparagraph"/>
      </w:pPr>
      <w:r>
        <w:rPr>
          <w:rStyle w:val="indexentry"/>
        </w:rPr>
        <w:t>&lt;cx "transformations with logical connectives, steps"&gt;</w:t>
      </w:r>
      <w:r>
        <w:rPr>
          <w:rStyle w:val="indexentry"/>
        </w:rPr>
        <w:fldChar w:fldCharType="begin"/>
      </w:r>
      <w:r>
        <w:instrText>xe "</w:instrText>
      </w:r>
      <w:r>
        <w:rPr>
          <w:rStyle w:val="xeentry"/>
        </w:rPr>
        <w:instrText>transformations with logical connectives: steps</w:instrText>
      </w:r>
      <w:r>
        <w:instrText>"</w:instrText>
      </w:r>
      <w:r>
        <w:rPr>
          <w:rStyle w:val="indexentry"/>
        </w:rPr>
        <w:fldChar w:fldCharType="end"/>
      </w:r>
      <w:r>
        <w:t>It is wise, before freely doing transformations such as the one from</w:t>
      </w:r>
      <w:r>
        <w:rPr>
          <w:rStyle w:val="deletedparamark"/>
        </w:rPr>
        <w:t xml:space="preserve"> </w:t>
      </w:r>
      <w:r>
        <w:rPr>
          <w:rStyle w:val="htmlcodes"/>
        </w:rPr>
        <w:t>&lt;a href=#e12d4&gt;</w:t>
      </w:r>
      <w:r>
        <w:t xml:space="preserve">Example 12.4 </w:t>
      </w:r>
      <w:r>
        <w:rPr>
          <w:rStyle w:val="htmlcodes"/>
        </w:rPr>
        <w:t>&lt;/a&gt;</w:t>
      </w:r>
      <w:r>
        <w:t xml:space="preserve">to </w:t>
      </w:r>
      <w:r>
        <w:rPr>
          <w:rStyle w:val="htmlcodes"/>
        </w:rPr>
        <w:t>&lt;a href=#e12d5&gt;</w:t>
      </w:r>
      <w:r>
        <w:t>Example 12.5</w:t>
      </w:r>
      <w:r>
        <w:rPr>
          <w:rStyle w:val="htmlcodes"/>
        </w:rPr>
        <w:t>&lt;/a&gt;</w:t>
      </w:r>
      <w:r>
        <w:t>, that you become familiar with expanding</w:t>
      </w:r>
      <w:r>
        <w:rPr>
          <w:rStyle w:val="deletedparamark"/>
        </w:rPr>
        <w:t xml:space="preserve"> </w:t>
      </w:r>
      <w:r>
        <w:t>logical connectives to separate sentences, transforming the sentences, and</w:t>
      </w:r>
      <w:r>
        <w:rPr>
          <w:rStyle w:val="deletedparamark"/>
        </w:rPr>
        <w:t xml:space="preserve"> </w:t>
      </w:r>
      <w:r>
        <w:t>then recondensing. Thus, you would prove the transformation correct by the</w:t>
      </w:r>
      <w:r>
        <w:rPr>
          <w:rStyle w:val="deletedparamark"/>
        </w:rPr>
        <w:t xml:space="preserve"> </w:t>
      </w:r>
      <w:r>
        <w:t>following steps. By moving its “na” to the be</w:t>
      </w:r>
      <w:r>
        <w:softHyphen/>
        <w:t>ginning of the</w:t>
      </w:r>
      <w:r>
        <w:rPr>
          <w:rStyle w:val="deletedparamark"/>
        </w:rPr>
        <w:t xml:space="preserve"> </w:t>
      </w:r>
      <w:r>
        <w:t xml:space="preserve">prenex as a “naku”, </w:t>
      </w:r>
      <w:r>
        <w:rPr>
          <w:rStyle w:val="htmlcodes"/>
        </w:rPr>
        <w:t>&lt;a href=#e12d4&gt;</w:t>
      </w:r>
      <w:r>
        <w:t xml:space="preserve">Example 12.4 </w:t>
      </w:r>
      <w:r>
        <w:rPr>
          <w:rStyle w:val="htmlcodes"/>
        </w:rPr>
        <w:t>&lt;/a&gt;</w:t>
      </w:r>
      <w:r>
        <w:t>becomes: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name=e12d6&gt;</w:t>
      </w:r>
      <w:r>
        <w:t>12.6)</w:t>
      </w:r>
      <w:r>
        <w:tab/>
        <w:t>naku zo'u la djein. le zarci ge dzukla gi bajrykla</w:t>
      </w:r>
    </w:p>
    <w:p w:rsidR="00B72047" w:rsidRDefault="00B72047">
      <w:pPr>
        <w:pStyle w:val="examplescaled"/>
      </w:pPr>
      <w:r>
        <w:tab/>
        <w:t>It is false that :  Jane to-the market (both walks and runs).</w:t>
      </w:r>
    </w:p>
    <w:p w:rsidR="00B72047" w:rsidRDefault="00B72047">
      <w:pPr>
        <w:pStyle w:val="resumedafterexample"/>
      </w:pPr>
      <w:r>
        <w:rPr>
          <w:rStyle w:val="htmlcodes"/>
        </w:rPr>
        <w:t>&lt;/pre&gt;&lt;p&gt;</w:t>
      </w:r>
      <w:r>
        <w:t>And by dividing the bridi with logically connected selbri into two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name=e12d7&gt;</w:t>
      </w:r>
      <w:r>
        <w:t>12.7)</w:t>
      </w:r>
      <w:r>
        <w:tab/>
        <w:t>naku zo'u ge la djein. le zarci dzukla</w:t>
      </w:r>
    </w:p>
    <w:p w:rsidR="00B72047" w:rsidRDefault="00B72047">
      <w:pPr>
        <w:pStyle w:val="examplescaled"/>
      </w:pPr>
      <w:r>
        <w:tab/>
      </w:r>
      <w:r>
        <w:tab/>
        <w:t>gi la djein. le zarci bajrykla</w:t>
      </w:r>
    </w:p>
    <w:p w:rsidR="00B72047" w:rsidRDefault="00B72047">
      <w:pPr>
        <w:pStyle w:val="examplescaled"/>
      </w:pPr>
      <w:r>
        <w:tab/>
        <w:t>It-is-false-that:  both (Jane to-the market walks)</w:t>
      </w:r>
    </w:p>
    <w:p w:rsidR="00B72047" w:rsidRDefault="00B72047">
      <w:pPr>
        <w:pStyle w:val="examplescaled"/>
      </w:pPr>
      <w:r>
        <w:tab/>
      </w:r>
      <w:r>
        <w:tab/>
        <w:t>and (Jane to-the market runs).</w:t>
      </w:r>
    </w:p>
    <w:p w:rsidR="00B72047" w:rsidRDefault="00B72047">
      <w:pPr>
        <w:pStyle w:val="resumedafterexample"/>
      </w:pPr>
      <w:r>
        <w:rPr>
          <w:rStyle w:val="htmlcodes"/>
        </w:rPr>
        <w:t>&lt;/pre&gt;</w:t>
      </w:r>
      <w:r>
        <w:t>is the result.</w:t>
      </w:r>
    </w:p>
    <w:p w:rsidR="00B72047" w:rsidRDefault="00B72047">
      <w:pPr>
        <w:rPr>
          <w:rStyle w:val="htmlparacode"/>
        </w:rPr>
      </w:pPr>
      <w:r>
        <w:rPr>
          <w:rStyle w:val="htmlparacode"/>
        </w:rPr>
        <w:t>&lt;p&gt;</w:t>
      </w:r>
    </w:p>
    <w:p w:rsidR="00B72047" w:rsidRDefault="00B72047">
      <w:pPr>
        <w:pStyle w:val="normalparagraph"/>
      </w:pPr>
      <w:r>
        <w:t>At this expanded level, we apply DeMorgan's Law to distribute the</w:t>
      </w:r>
      <w:r>
        <w:rPr>
          <w:rStyle w:val="deletedparamark"/>
        </w:rPr>
        <w:t xml:space="preserve"> </w:t>
      </w:r>
      <w:r>
        <w:t>negation in the prenex across both sentences, to get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ga la djein. le zarci na dzukla gi la djein. le zarci na bajrykla</w:t>
      </w:r>
    </w:p>
    <w:p w:rsidR="00B72047" w:rsidRDefault="00B72047">
      <w:pPr>
        <w:pStyle w:val="examplescaled"/>
      </w:pPr>
      <w:r>
        <w:tab/>
        <w:t>Either Jane to-the market [false] walks, or Jane to-the market [false] runs.</w:t>
      </w:r>
    </w:p>
    <w:p w:rsidR="00B72047" w:rsidRDefault="00B72047">
      <w:pPr>
        <w:pStyle w:val="resumedafterexample"/>
      </w:pPr>
      <w:r>
        <w:rPr>
          <w:rStyle w:val="htmlcodes"/>
        </w:rPr>
        <w:t>&lt;/pre&gt;</w:t>
      </w:r>
      <w:r>
        <w:t>which is the same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name=e12d9&gt;</w:t>
      </w:r>
      <w:r>
        <w:t>12.9)</w:t>
      </w:r>
      <w:r>
        <w:tab/>
        <w:t>ganai la djein. le zarci dzukla ginai la djein. le zarci bajrykla</w:t>
      </w:r>
    </w:p>
    <w:p w:rsidR="00B72047" w:rsidRDefault="00B72047">
      <w:pPr>
        <w:pStyle w:val="examplescaled"/>
      </w:pPr>
      <w:r>
        <w:tab/>
        <w:t>If Jane to-the market walks, then Jane to-the market [false] runs.</w:t>
      </w:r>
    </w:p>
    <w:p w:rsidR="00B72047" w:rsidRDefault="00B72047">
      <w:pPr>
        <w:pStyle w:val="examplescaled"/>
      </w:pPr>
      <w:r>
        <w:tab/>
        <w:t>If Jane walks to the market, then she doesn't run.</w:t>
      </w:r>
    </w:p>
    <w:p w:rsidR="00B72047" w:rsidRDefault="00B72047">
      <w:pPr>
        <w:pStyle w:val="resumedafterexample"/>
      </w:pPr>
      <w:r>
        <w:rPr>
          <w:rStyle w:val="htmlcodes"/>
        </w:rPr>
        <w:t>&lt;/pre&gt;</w:t>
      </w:r>
      <w:r>
        <w:t xml:space="preserve">which then condenses down to </w:t>
      </w:r>
      <w:r>
        <w:rPr>
          <w:rStyle w:val="htmlcodes"/>
        </w:rPr>
        <w:t>&lt;a href=#e12d5&gt;</w:t>
      </w:r>
      <w:r>
        <w:t>Example 12.5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"internal naku negations, and DeMorgan's Law"&gt;</w:t>
      </w:r>
      <w:r>
        <w:rPr>
          <w:rStyle w:val="indexentry"/>
        </w:rPr>
        <w:fldChar w:fldCharType="begin"/>
      </w:r>
      <w:r>
        <w:instrText>xe "</w:instrText>
      </w:r>
      <w:r>
        <w:rPr>
          <w:rStyle w:val="xeentry"/>
        </w:rPr>
        <w:instrText>internal naku negations: and DeMorgan's Law</w:instrText>
      </w:r>
      <w:r>
        <w:instrText>"</w:instrText>
      </w:r>
      <w:r>
        <w:rPr>
          <w:rStyle w:val="indexentry"/>
        </w:rPr>
        <w:fldChar w:fldCharType="end"/>
      </w:r>
      <w:r>
        <w:rPr>
          <w:rStyle w:val="indexentry"/>
        </w:rPr>
        <w:t>&lt;cx "DeMorgan's Law, and internal naku negations"&gt;</w:t>
      </w:r>
      <w:r>
        <w:rPr>
          <w:rStyle w:val="indexentry"/>
        </w:rPr>
        <w:fldChar w:fldCharType="begin"/>
      </w:r>
      <w:r>
        <w:instrText>xe "</w:instrText>
      </w:r>
      <w:r>
        <w:rPr>
          <w:rStyle w:val="xeentry"/>
        </w:rPr>
        <w:instrText>DeMorgan's Law: and internal naku negations</w:instrText>
      </w:r>
      <w:r>
        <w:instrText>"</w:instrText>
      </w:r>
      <w:r>
        <w:rPr>
          <w:rStyle w:val="indexentry"/>
        </w:rPr>
        <w:fldChar w:fldCharType="end"/>
      </w:r>
      <w:r>
        <w:t>DeMorgan's Law must also be applied to internal “naku” negations: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name=e12d10&gt;</w:t>
      </w:r>
      <w:r>
        <w:t>12.10)</w:t>
      </w:r>
      <w:r>
        <w:tab/>
        <w:t>ga la paris. gi la rom. naku se klama la djan.</w:t>
      </w:r>
    </w:p>
    <w:p w:rsidR="00B72047" w:rsidRDefault="00B72047">
      <w:pPr>
        <w:pStyle w:val="examplescaled"/>
      </w:pPr>
      <w:r>
        <w:tab/>
        <w:t>(Either Paris or Rome) is-not gone-to-by John.</w:t>
      </w:r>
    </w:p>
    <w:p w:rsidR="00B72047" w:rsidRDefault="00B72047">
      <w:pPr>
        <w:pStyle w:val="examplescaledpre"/>
      </w:pPr>
      <w:r>
        <w:rPr>
          <w:rStyle w:val="htmlcodes"/>
        </w:rPr>
        <w:t>&lt;a name=e12d11&gt;</w:t>
      </w:r>
      <w:r>
        <w:t>12.11)</w:t>
      </w:r>
      <w:r>
        <w:tab/>
        <w:t>la djan. naku klama ge la paris. gi la rom.</w:t>
      </w:r>
    </w:p>
    <w:p w:rsidR="00B72047" w:rsidRDefault="00B72047">
      <w:pPr>
        <w:pStyle w:val="examplescaled"/>
      </w:pPr>
      <w:r>
        <w:tab/>
        <w:t>John doesn't go-to both Paris and Rome.</w:t>
      </w:r>
    </w:p>
    <w:p w:rsidR="00B72047" w:rsidRDefault="00B72047">
      <w:pPr>
        <w:pStyle w:val="resumedafterexample"/>
      </w:pPr>
      <w:r>
        <w:rPr>
          <w:rStyle w:val="htmlcodes"/>
        </w:rPr>
        <w:t>&lt;/pre&gt;&lt;p&gt;</w:t>
      </w:r>
      <w:r>
        <w:t xml:space="preserve">That </w:t>
      </w:r>
      <w:r>
        <w:rPr>
          <w:rStyle w:val="htmlcodes"/>
        </w:rPr>
        <w:t>&lt;a href=#e12d10&gt;</w:t>
      </w:r>
      <w:r>
        <w:t xml:space="preserve">Example 12.10 </w:t>
      </w:r>
      <w:r>
        <w:rPr>
          <w:rStyle w:val="htmlcodes"/>
        </w:rPr>
        <w:t>&lt;/a&gt;</w:t>
      </w:r>
      <w:r>
        <w:t xml:space="preserve">and </w:t>
      </w:r>
      <w:r>
        <w:rPr>
          <w:rStyle w:val="htmlcodes"/>
        </w:rPr>
        <w:t>&lt;a href=#e12d11&gt;</w:t>
      </w:r>
      <w:r>
        <w:t xml:space="preserve">Example 12.11 </w:t>
      </w:r>
      <w:r>
        <w:rPr>
          <w:rStyle w:val="htmlcodes"/>
        </w:rPr>
        <w:t>&lt;/a&gt;</w:t>
      </w:r>
      <w:r>
        <w:t>mean the same should become evident by</w:t>
      </w:r>
      <w:r>
        <w:rPr>
          <w:rStyle w:val="deletedparamark"/>
        </w:rPr>
        <w:t xml:space="preserve"> </w:t>
      </w:r>
      <w:r>
        <w:t>studying the English. It is a good exercise to work through the Lojban</w:t>
      </w:r>
      <w:r>
        <w:rPr>
          <w:rStyle w:val="deletedparamark"/>
        </w:rPr>
        <w:t xml:space="preserve"> </w:t>
      </w:r>
      <w:r>
        <w:t>and prove that they are the same.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467" w:name="_Toc398970706"/>
      <w:r>
        <w:rPr>
          <w:rStyle w:val="Heading3Text"/>
        </w:rPr>
        <w:t>selbri variables</w:t>
      </w:r>
      <w:bookmarkEnd w:id="46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"GOhA"&gt;</w:t>
      </w:r>
      <w:r>
        <w:rPr>
          <w:rStyle w:val="indexentry"/>
        </w:rPr>
        <w:fldChar w:fldCharType="begin"/>
      </w:r>
      <w:r>
        <w:instrText>xe "</w:instrText>
      </w:r>
      <w:r>
        <w:rPr>
          <w:rStyle w:val="xeentry"/>
        </w:rPr>
        <w:instrText>GOhA selma’o</w:instrText>
      </w:r>
      <w:r>
        <w:instrText>"</w:instrText>
      </w:r>
      <w:r>
        <w:rPr>
          <w:rStyle w:val="indexentry"/>
        </w:rPr>
        <w:fldChar w:fldCharType="end"/>
      </w:r>
      <w:r>
        <w:rPr>
          <w:rStyle w:val="indexentry"/>
        </w:rPr>
        <w:t>&lt;lx "bu'a"&gt;</w:t>
      </w:r>
      <w:r>
        <w:rPr>
          <w:rStyle w:val="indexentry"/>
        </w:rPr>
        <w:fldChar w:fldCharType="begin"/>
      </w:r>
      <w:r>
        <w:instrText>xe "</w:instrText>
      </w:r>
      <w:r>
        <w:rPr>
          <w:rStyle w:val="xeentry"/>
        </w:rPr>
        <w:instrText>bu'a</w:instrText>
      </w:r>
      <w:r>
        <w:instrText>"</w:instrText>
      </w:r>
      <w:r>
        <w:rPr>
          <w:rStyle w:val="indexentry"/>
        </w:rPr>
        <w:fldChar w:fldCharType="end"/>
      </w:r>
      <w:r>
        <w:rPr>
          <w:rStyle w:val="indexentry"/>
        </w:rPr>
        <w:t>&lt;lx "bu'e"&gt;</w:t>
      </w:r>
      <w:r>
        <w:rPr>
          <w:rStyle w:val="indexentry"/>
        </w:rPr>
        <w:fldChar w:fldCharType="begin"/>
      </w:r>
      <w:r>
        <w:instrText>xe "</w:instrText>
      </w:r>
      <w:r>
        <w:rPr>
          <w:rStyle w:val="xeentry"/>
        </w:rPr>
        <w:instrText>bu'e</w:instrText>
      </w:r>
      <w:r>
        <w:instrText>"</w:instrText>
      </w:r>
      <w:r>
        <w:rPr>
          <w:rStyle w:val="indexentry"/>
        </w:rPr>
        <w:fldChar w:fldCharType="end"/>
      </w:r>
      <w:r>
        <w:rPr>
          <w:rStyle w:val="indexentry"/>
        </w:rPr>
        <w:t>&lt;lx "bu'i"&gt;</w:t>
      </w:r>
      <w:r>
        <w:rPr>
          <w:rStyle w:val="indexentry"/>
        </w:rPr>
        <w:fldChar w:fldCharType="begin"/>
      </w:r>
      <w:r>
        <w:instrText>xe "</w:instrText>
      </w:r>
      <w:r>
        <w:rPr>
          <w:rStyle w:val="xeentry"/>
        </w:rPr>
        <w:instrText>bu'i</w:instrText>
      </w:r>
      <w:r>
        <w:instrText>"</w:instrText>
      </w:r>
      <w:r>
        <w:rPr>
          <w:rStyle w:val="indexentry"/>
        </w:rPr>
        <w:fldChar w:fldCharType="end"/>
      </w:r>
      <w:r>
        <w:rPr>
          <w:rStyle w:val="indexentry"/>
        </w:rPr>
        <w:t>&lt;cx "logical variables, for selbri"&gt;</w:t>
      </w:r>
      <w:r>
        <w:rPr>
          <w:rStyle w:val="indexentry"/>
        </w:rPr>
        <w:fldChar w:fldCharType="begin"/>
      </w:r>
      <w:r>
        <w:instrText>xe "</w:instrText>
      </w:r>
      <w:r>
        <w:rPr>
          <w:rStyle w:val="xeentry"/>
        </w:rPr>
        <w:instrText>logical variables: for selbri</w:instrText>
      </w:r>
      <w:r>
        <w:instrText>"</w:instrText>
      </w:r>
      <w:r>
        <w:rPr>
          <w:rStyle w:val="indexentry"/>
        </w:rPr>
        <w:fldChar w:fldCharType="end"/>
      </w:r>
      <w:r>
        <w:rPr>
          <w:rStyle w:val="indexentry"/>
        </w:rPr>
        <w:t>&lt;cx "selbri logical variables"&gt;</w:t>
      </w:r>
      <w:r>
        <w:rPr>
          <w:rStyle w:val="indexentry"/>
        </w:rPr>
        <w:fldChar w:fldCharType="begin"/>
      </w:r>
      <w:r>
        <w:instrText>xe "</w:instrText>
      </w:r>
      <w:r>
        <w:rPr>
          <w:rStyle w:val="xeentry"/>
        </w:rPr>
        <w:instrText>selbri logical variables</w:instrText>
      </w:r>
      <w:r>
        <w:instrText>"</w:instrText>
      </w:r>
      <w:r>
        <w:rPr>
          <w:rStyle w:val="indexentry"/>
        </w:rPr>
        <w:fldChar w:fldCharType="end"/>
      </w:r>
      <w:r>
        <w:t>In addition to the variables “da”, “de”, and “di” that we have seen so far,</w:t>
      </w:r>
      <w:r>
        <w:rPr>
          <w:rStyle w:val="deletedparamark"/>
        </w:rPr>
        <w:t xml:space="preserve"> </w:t>
      </w:r>
      <w:r>
        <w:t>which function as sumti and belong to selma'o KOhA, there are three</w:t>
      </w:r>
      <w:r>
        <w:rPr>
          <w:rStyle w:val="deletedparamark"/>
        </w:rPr>
        <w:t xml:space="preserve"> </w:t>
      </w:r>
      <w:r>
        <w:t>corresponding variables “bu'a”, “bu'e”, and “bu'i” which function as selbri</w:t>
      </w:r>
      <w:r>
        <w:rPr>
          <w:rStyle w:val="deletedparamark"/>
        </w:rPr>
        <w:t xml:space="preserve"> </w:t>
      </w:r>
      <w:r>
        <w:t>and belong to selma'o GOhA. These new variables allow existential or</w:t>
      </w:r>
      <w:r>
        <w:rPr>
          <w:rStyle w:val="deletedparamark"/>
        </w:rPr>
        <w:t xml:space="preserve"> </w:t>
      </w:r>
      <w:r>
        <w:t>universal claims which are about the relationships b</w:t>
      </w:r>
      <w:r>
        <w:t>e</w:t>
      </w:r>
      <w:r>
        <w:softHyphen/>
        <w:t>tween objects rather</w:t>
      </w:r>
      <w:r>
        <w:rPr>
          <w:rStyle w:val="deletedparamark"/>
        </w:rPr>
        <w:t xml:space="preserve"> </w:t>
      </w:r>
      <w:r>
        <w:t>than the objects themselves. We will start with the usual silly exa</w:t>
      </w:r>
      <w:r>
        <w:t>m</w:t>
      </w:r>
      <w:r>
        <w:softHyphen/>
        <w:t>ples;</w:t>
      </w:r>
      <w:r>
        <w:rPr>
          <w:rStyle w:val="deletedparamark"/>
        </w:rPr>
        <w:t xml:space="preserve"> </w:t>
      </w:r>
      <w:r>
        <w:t>the literal translation will represent “bu'a”, “bu'e” and “bu'i” with</w:t>
      </w:r>
      <w:r>
        <w:rPr>
          <w:rStyle w:val="deletedparamark"/>
        </w:rPr>
        <w:t xml:space="preserve"> </w:t>
      </w:r>
      <w:r>
        <w:t>F, G, and H r</w:t>
      </w:r>
      <w:r>
        <w:t>e</w:t>
      </w:r>
      <w:r>
        <w:softHyphen/>
        <w:t>spectively.</w:t>
      </w:r>
    </w:p>
    <w:p w:rsidR="00B72047" w:rsidRDefault="00B72047">
      <w:pPr>
        <w:rPr>
          <w:rStyle w:val="htmlparacode"/>
        </w:rPr>
      </w:pPr>
      <w:r>
        <w:rPr>
          <w:rStyle w:val="htmlparacode"/>
        </w:rPr>
        <w:t>&lt;p&gt;</w:t>
      </w:r>
    </w:p>
    <w:p w:rsidR="00B72047" w:rsidRDefault="00B72047">
      <w:pPr>
        <w:pStyle w:val="examplescaledpre"/>
      </w:pPr>
      <w:r>
        <w:rPr>
          <w:rStyle w:val="indexentry"/>
        </w:rPr>
        <w:t>&lt;ex "some relationship"&gt;</w:t>
      </w:r>
      <w:r>
        <w:rPr>
          <w:rStyle w:val="indexentry"/>
        </w:rPr>
        <w:fldChar w:fldCharType="begin"/>
      </w:r>
      <w:r>
        <w:instrText>xe "</w:instrText>
      </w:r>
      <w:r>
        <w:rPr>
          <w:rStyle w:val="xeentry"/>
        </w:rPr>
        <w:instrText>some relationship: example</w:instrText>
      </w:r>
      <w:r>
        <w:instrText>"</w:instrText>
      </w:r>
      <w:r>
        <w:rPr>
          <w:rStyle w:val="indexentry"/>
        </w:rPr>
        <w:fldChar w:fldCharType="end"/>
      </w:r>
      <w:r>
        <w:rPr>
          <w:rStyle w:val="htmlcodes"/>
        </w:rPr>
        <w:t>&lt;pre&gt;&lt;a name=e13d1&gt;</w:t>
      </w:r>
      <w:r>
        <w:t>13.1)</w:t>
      </w:r>
      <w:r>
        <w:tab/>
        <w:t xml:space="preserve">su'o bu'a zo'u la djim. bu'a la djan. </w:t>
      </w:r>
    </w:p>
    <w:p w:rsidR="00B72047" w:rsidRDefault="00B72047">
      <w:pPr>
        <w:pStyle w:val="examplescaled"/>
      </w:pPr>
      <w:r>
        <w:tab/>
        <w:t>For-at-least-one relationship-F :  Jim stands-in-relationship-F to-John.</w:t>
      </w:r>
    </w:p>
    <w:p w:rsidR="00B72047" w:rsidRDefault="00B72047">
      <w:pPr>
        <w:pStyle w:val="examplescaled"/>
      </w:pPr>
      <w:r>
        <w:tab/>
        <w:t>There's some relationship between Jim and John.</w:t>
      </w:r>
    </w:p>
    <w:p w:rsidR="00B72047" w:rsidRDefault="00B72047">
      <w:pPr>
        <w:pStyle w:val="normalafterexample"/>
      </w:pPr>
      <w:r>
        <w:rPr>
          <w:rStyle w:val="htmlcodes"/>
        </w:rPr>
        <w:t>&lt;/pre&gt;</w:t>
      </w:r>
      <w:r>
        <w:rPr>
          <w:rStyle w:val="indexentry"/>
        </w:rPr>
        <w:t>&lt;cx "selbri variables, prenex form as indefinite description"&gt;</w:t>
      </w:r>
      <w:r>
        <w:rPr>
          <w:rStyle w:val="indexentry"/>
        </w:rPr>
        <w:fldChar w:fldCharType="begin"/>
      </w:r>
      <w:r>
        <w:instrText>xe "</w:instrText>
      </w:r>
      <w:r>
        <w:rPr>
          <w:rStyle w:val="xeentry"/>
        </w:rPr>
        <w:instrText>selbri variables: prenex form as indefinite description</w:instrText>
      </w:r>
      <w:r>
        <w:instrText>"</w:instrText>
      </w:r>
      <w:r>
        <w:rPr>
          <w:rStyle w:val="indexentry"/>
        </w:rPr>
        <w:fldChar w:fldCharType="end"/>
      </w:r>
      <w:r>
        <w:t xml:space="preserve">The translations of </w:t>
      </w:r>
      <w:r>
        <w:rPr>
          <w:rStyle w:val="htmlcodes"/>
        </w:rPr>
        <w:t>&lt;a href=#e13d1&gt;</w:t>
      </w:r>
      <w:r>
        <w:t xml:space="preserve">Example 13.1 </w:t>
      </w:r>
      <w:r>
        <w:rPr>
          <w:rStyle w:val="htmlcodes"/>
        </w:rPr>
        <w:t>&lt;/a&gt;</w:t>
      </w:r>
      <w:r>
        <w:t>show how unidiomatic selbri variables are</w:t>
      </w:r>
      <w:r>
        <w:rPr>
          <w:rStyle w:val="deletedparamark"/>
        </w:rPr>
        <w:t xml:space="preserve"> </w:t>
      </w:r>
      <w:r>
        <w:t>in En</w:t>
      </w:r>
      <w:r>
        <w:t>g</w:t>
      </w:r>
      <w:r>
        <w:softHyphen/>
        <w:t xml:space="preserve">lish; Lojban sentences like </w:t>
      </w:r>
      <w:r>
        <w:rPr>
          <w:rStyle w:val="htmlcodes"/>
        </w:rPr>
        <w:t>&lt;a href=#e13d1&gt;</w:t>
      </w:r>
      <w:r>
        <w:t xml:space="preserve">Example 13.1 </w:t>
      </w:r>
      <w:r>
        <w:rPr>
          <w:rStyle w:val="htmlcodes"/>
        </w:rPr>
        <w:t>&lt;/a&gt;</w:t>
      </w:r>
      <w:r>
        <w:t>need to be totally reworded</w:t>
      </w:r>
      <w:r>
        <w:rPr>
          <w:rStyle w:val="deletedparamark"/>
        </w:rPr>
        <w:t xml:space="preserve"> </w:t>
      </w:r>
      <w:r>
        <w:t>in English. Fu</w:t>
      </w:r>
      <w:r>
        <w:t>r</w:t>
      </w:r>
      <w:r>
        <w:softHyphen/>
        <w:t>thermore, when a selbri variable appears in the prenex,</w:t>
      </w:r>
      <w:r>
        <w:rPr>
          <w:rStyle w:val="deletedparamark"/>
        </w:rPr>
        <w:t xml:space="preserve"> </w:t>
      </w:r>
      <w:r>
        <w:t>it is necessary to precede it with a quantifier such as “su'o”; it is</w:t>
      </w:r>
      <w:r>
        <w:rPr>
          <w:rStyle w:val="deletedparamark"/>
        </w:rPr>
        <w:t xml:space="preserve"> </w:t>
      </w:r>
      <w:r>
        <w:t>ungrammatical to just say “bu'a zo'u”. This rule is necessary because</w:t>
      </w:r>
      <w:r>
        <w:rPr>
          <w:rStyle w:val="deletedparamark"/>
        </w:rPr>
        <w:t xml:space="preserve"> </w:t>
      </w:r>
      <w:r>
        <w:t>only sumti can appear in the prenex, and “su'o bu'a” is technically a</w:t>
      </w:r>
      <w:r>
        <w:rPr>
          <w:rStyle w:val="deletedparamark"/>
        </w:rPr>
        <w:t xml:space="preserve"> </w:t>
      </w:r>
      <w:r>
        <w:t>sumti — in fact, it is an indefinite description like “re nanmu”, since</w:t>
      </w:r>
      <w:r>
        <w:rPr>
          <w:rStyle w:val="deletedparamark"/>
        </w:rPr>
        <w:t xml:space="preserve"> “</w:t>
      </w:r>
      <w:r>
        <w:t>bu'a” is grammati</w:t>
      </w:r>
      <w:r>
        <w:softHyphen/>
        <w:t>cally equiva</w:t>
      </w:r>
      <w:r>
        <w:softHyphen/>
        <w:t>lent to a brivla like “nanmu”.</w:t>
      </w:r>
      <w:r>
        <w:rPr>
          <w:rStyle w:val="deletedparamark"/>
        </w:rPr>
        <w:t xml:space="preserve"> </w:t>
      </w:r>
      <w:r>
        <w:t>However, indefinite descriptions involving the bu'a-series cannot be</w:t>
      </w:r>
      <w:r>
        <w:rPr>
          <w:rStyle w:val="deletedparamark"/>
        </w:rPr>
        <w:t xml:space="preserve"> </w:t>
      </w:r>
      <w:r>
        <w:t>imported from the prenex.</w:t>
      </w:r>
    </w:p>
    <w:p w:rsidR="00B72047" w:rsidRDefault="00B72047">
      <w:pPr>
        <w:rPr>
          <w:rStyle w:val="htmlparacode"/>
        </w:rPr>
      </w:pPr>
      <w:r>
        <w:rPr>
          <w:rStyle w:val="htmlparacode"/>
        </w:rPr>
        <w:t>&lt;p&gt;</w:t>
      </w:r>
    </w:p>
    <w:p w:rsidR="00B72047" w:rsidRDefault="00B72047">
      <w:pPr>
        <w:pStyle w:val="normalparagraph"/>
      </w:pPr>
      <w:r>
        <w:rPr>
          <w:rStyle w:val="indexentry"/>
        </w:rPr>
        <w:t>&lt;cx "selbri variables, form when not in prenex"&gt;</w:t>
      </w:r>
      <w:r>
        <w:rPr>
          <w:rStyle w:val="indexentry"/>
        </w:rPr>
        <w:fldChar w:fldCharType="begin"/>
      </w:r>
      <w:r>
        <w:instrText>xe "</w:instrText>
      </w:r>
      <w:r>
        <w:rPr>
          <w:rStyle w:val="xeentry"/>
        </w:rPr>
        <w:instrText>selbri variables: form when not in prenex</w:instrText>
      </w:r>
      <w:r>
        <w:instrText>"</w:instrText>
      </w:r>
      <w:r>
        <w:rPr>
          <w:rStyle w:val="indexentry"/>
        </w:rPr>
        <w:fldChar w:fldCharType="end"/>
      </w:r>
      <w:r>
        <w:t>When the prenex is omitted, the preceding number has to be omitted too: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la djim. bu'a la djan.</w:t>
      </w:r>
    </w:p>
    <w:p w:rsidR="00B72047" w:rsidRDefault="00B72047">
      <w:pPr>
        <w:pStyle w:val="examplescaled"/>
      </w:pPr>
      <w:r>
        <w:tab/>
        <w:t>Jim stands-in-at-least-one-relationship to-John.</w:t>
      </w:r>
    </w:p>
    <w:p w:rsidR="00B72047" w:rsidRDefault="00B72047">
      <w:pPr>
        <w:pStyle w:val="resumedafterexample"/>
      </w:pPr>
      <w:r>
        <w:rPr>
          <w:rStyle w:val="htmlcodes"/>
        </w:rPr>
        <w:t>&lt;/pre&gt;</w:t>
      </w:r>
      <w:r>
        <w:rPr>
          <w:rStyle w:val="indexentry"/>
        </w:rPr>
        <w:t>&lt;cx "selbri variables, quantified"&gt;</w:t>
      </w:r>
      <w:r>
        <w:rPr>
          <w:rStyle w:val="indexentry"/>
        </w:rPr>
        <w:fldChar w:fldCharType="begin"/>
      </w:r>
      <w:r>
        <w:instrText>xe "</w:instrText>
      </w:r>
      <w:r>
        <w:rPr>
          <w:rStyle w:val="xeentry"/>
        </w:rPr>
        <w:instrText>selbri variables: quantified</w:instrText>
      </w:r>
      <w:r>
        <w:instrText>"</w:instrText>
      </w:r>
      <w:r>
        <w:rPr>
          <w:rStyle w:val="indexentry"/>
        </w:rPr>
        <w:fldChar w:fldCharType="end"/>
      </w:r>
      <w:r>
        <w:t>As a result, if the number before the variable is anything but “su'o”,</w:t>
      </w:r>
      <w:r>
        <w:rPr>
          <w:rStyle w:val="deletedparamark"/>
        </w:rPr>
        <w:t xml:space="preserve"> </w:t>
      </w:r>
      <w:r>
        <w:t>the prenex is re</w:t>
      </w:r>
      <w:r>
        <w:softHyphen/>
        <w:t>quired: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ro bu'a zo'u la djim. bu'a la djan.</w:t>
      </w:r>
    </w:p>
    <w:p w:rsidR="00B72047" w:rsidRDefault="00B72047">
      <w:pPr>
        <w:pStyle w:val="examplescaled"/>
      </w:pPr>
      <w:r>
        <w:tab/>
        <w:t>For-every relationship-F : Jim stands-in-relationship-F to-John.</w:t>
      </w:r>
    </w:p>
    <w:p w:rsidR="00B72047" w:rsidRDefault="00B72047">
      <w:pPr>
        <w:pStyle w:val="examplescaled"/>
      </w:pPr>
      <w:r>
        <w:tab/>
        <w:t>Every relationship exists between Jim and John.</w:t>
      </w:r>
    </w:p>
    <w:p w:rsidR="00B72047" w:rsidRDefault="00B72047">
      <w:pPr>
        <w:pStyle w:val="resumedafterexample"/>
      </w:pPr>
      <w:r>
        <w:rPr>
          <w:rStyle w:val="htmlcodes"/>
        </w:rPr>
        <w:t>&lt;/pre&gt;&lt;a href=#e13d1&gt;</w:t>
      </w:r>
      <w:r>
        <w:t xml:space="preserve">Example 13.1 </w:t>
      </w:r>
      <w:r>
        <w:rPr>
          <w:rStyle w:val="htmlcodes"/>
        </w:rPr>
        <w:t>&lt;/a&gt;</w:t>
      </w:r>
      <w:r>
        <w:t xml:space="preserve">and </w:t>
      </w:r>
      <w:r>
        <w:rPr>
          <w:rStyle w:val="htmlcodes"/>
        </w:rPr>
        <w:t>&lt;a href=#e13d2&gt;</w:t>
      </w:r>
      <w:r>
        <w:t xml:space="preserve">Example 13.2 </w:t>
      </w:r>
      <w:r>
        <w:rPr>
          <w:rStyle w:val="htmlcodes"/>
        </w:rPr>
        <w:t>&lt;/a&gt;</w:t>
      </w:r>
      <w:r>
        <w:t>are almost certainly true: Jim and John might be</w:t>
      </w:r>
      <w:r>
        <w:rPr>
          <w:rStyle w:val="deletedparamark"/>
        </w:rPr>
        <w:t xml:space="preserve"> </w:t>
      </w:r>
      <w:r>
        <w:t>brot</w:t>
      </w:r>
      <w:r>
        <w:t>h</w:t>
      </w:r>
      <w:r>
        <w:softHyphen/>
        <w:t>ers, or might live in the same city, or at least have the property</w:t>
      </w:r>
      <w:r>
        <w:rPr>
          <w:rStyle w:val="deletedparamark"/>
        </w:rPr>
        <w:t xml:space="preserve"> </w:t>
      </w:r>
      <w:r>
        <w:t xml:space="preserve">of being jointly human. </w:t>
      </w:r>
      <w:r>
        <w:rPr>
          <w:rStyle w:val="htmlcodes"/>
        </w:rPr>
        <w:t>&lt;a href=#e13d3&gt;</w:t>
      </w:r>
      <w:r>
        <w:t xml:space="preserve">Example 13.3 </w:t>
      </w:r>
      <w:r>
        <w:rPr>
          <w:rStyle w:val="htmlcodes"/>
        </w:rPr>
        <w:t>&lt;/a&gt;</w:t>
      </w:r>
      <w:r>
        <w:t>is palpably false, however; if Jim</w:t>
      </w:r>
      <w:r>
        <w:rPr>
          <w:rStyle w:val="deletedparamark"/>
        </w:rPr>
        <w:t xml:space="preserve"> </w:t>
      </w:r>
      <w:r>
        <w:t>and John were related by every possible relationship, then they would</w:t>
      </w:r>
      <w:r>
        <w:rPr>
          <w:rStyle w:val="deletedparamark"/>
        </w:rPr>
        <w:t xml:space="preserve"> </w:t>
      </w:r>
      <w:r>
        <w:t>have to be both brothers and father-and-son, which is i</w:t>
      </w:r>
      <w:r>
        <w:t>m</w:t>
      </w:r>
      <w:r>
        <w:softHyphen/>
        <w:t>possible.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468" w:name="_Toc398970707"/>
      <w:r>
        <w:rPr>
          <w:rStyle w:val="Heading3Text"/>
        </w:rPr>
        <w:t>A few notes on variables</w:t>
      </w:r>
      <w:bookmarkEnd w:id="46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"quantifier, on previously quantified variable"&gt;</w:t>
      </w:r>
      <w:r>
        <w:rPr>
          <w:rStyle w:val="indexentry"/>
        </w:rPr>
        <w:fldChar w:fldCharType="begin"/>
      </w:r>
      <w:r>
        <w:instrText>xe "</w:instrText>
      </w:r>
      <w:r>
        <w:rPr>
          <w:rStyle w:val="xeentry"/>
        </w:rPr>
        <w:instrText>quantifier: on previously quantified variable</w:instrText>
      </w:r>
      <w:r>
        <w:instrText>"</w:instrText>
      </w:r>
      <w:r>
        <w:rPr>
          <w:rStyle w:val="indexentry"/>
        </w:rPr>
        <w:fldChar w:fldCharType="end"/>
      </w:r>
      <w:r>
        <w:t>A variable may have a quantifier placed in front of it even though it</w:t>
      </w:r>
      <w:r>
        <w:rPr>
          <w:rStyle w:val="deletedparamark"/>
        </w:rPr>
        <w:t xml:space="preserve"> </w:t>
      </w:r>
      <w:r>
        <w:t>has al</w:t>
      </w:r>
      <w:r>
        <w:softHyphen/>
        <w:t>ready been quantified explicitly or implicitly by a previous</w:t>
      </w:r>
      <w:r>
        <w:rPr>
          <w:rStyle w:val="deletedparamark"/>
        </w:rPr>
        <w:t xml:space="preserve"> </w:t>
      </w:r>
      <w:r>
        <w:t>appearance, as in:</w:t>
      </w:r>
    </w:p>
    <w:p w:rsidR="00B72047" w:rsidRDefault="00B72047">
      <w:pPr>
        <w:rPr>
          <w:rStyle w:val="htmlparacode"/>
        </w:rPr>
      </w:pPr>
      <w:r>
        <w:rPr>
          <w:rStyle w:val="htmlparacode"/>
        </w:rPr>
        <w:t>&lt;p&gt;</w:t>
      </w:r>
    </w:p>
    <w:p w:rsidR="00B72047" w:rsidRDefault="00B72047">
      <w:pPr>
        <w:pStyle w:val="examplescaledpre"/>
      </w:pPr>
      <w:r>
        <w:rPr>
          <w:rStyle w:val="indexentry"/>
        </w:rPr>
        <w:t>&lt;ex "three cats white, and two big"&gt;</w:t>
      </w:r>
      <w:r>
        <w:rPr>
          <w:rStyle w:val="indexentry"/>
        </w:rPr>
        <w:fldChar w:fldCharType="begin"/>
      </w:r>
      <w:r>
        <w:instrText>xe "</w:instrText>
      </w:r>
      <w:r>
        <w:rPr>
          <w:rStyle w:val="xeentry"/>
        </w:rPr>
        <w:instrText>three cats white: and two big, example</w:instrText>
      </w:r>
      <w:r>
        <w:instrText>"</w:instrText>
      </w:r>
      <w:r>
        <w:rPr>
          <w:rStyle w:val="indexentry"/>
        </w:rPr>
        <w:fldChar w:fldCharType="end"/>
      </w:r>
      <w:r>
        <w:rPr>
          <w:rStyle w:val="htmlcodes"/>
        </w:rPr>
        <w:t>&lt;pre&gt;&lt;a name=e14d1&gt;</w:t>
      </w:r>
      <w:r>
        <w:t>14.1)</w:t>
      </w:r>
      <w:r>
        <w:tab/>
        <w:t>ci da poi mlatu cu blaci .ije re da cu barda</w:t>
      </w:r>
    </w:p>
    <w:p w:rsidR="00B72047" w:rsidRDefault="00B72047">
      <w:pPr>
        <w:pStyle w:val="examplescaled"/>
      </w:pPr>
      <w:r>
        <w:tab/>
        <w:t>Three Xs which-are cats are white, and two Xs are big.</w:t>
      </w:r>
    </w:p>
    <w:p w:rsidR="00B72047" w:rsidRDefault="00B72047">
      <w:pPr>
        <w:pStyle w:val="resumedafterexample"/>
      </w:pPr>
      <w:r>
        <w:rPr>
          <w:rStyle w:val="htmlcodes"/>
        </w:rPr>
        <w:t>&lt;/pre&gt;&lt;p&gt;</w:t>
      </w:r>
      <w:r>
        <w:t xml:space="preserve">What does </w:t>
      </w:r>
      <w:r>
        <w:rPr>
          <w:rStyle w:val="htmlcodes"/>
        </w:rPr>
        <w:t>&lt;a href=#e14d1&gt;</w:t>
      </w:r>
      <w:r>
        <w:t xml:space="preserve">Example 14.1 </w:t>
      </w:r>
      <w:r>
        <w:rPr>
          <w:rStyle w:val="htmlcodes"/>
        </w:rPr>
        <w:t>&lt;/a&gt;</w:t>
      </w:r>
      <w:r>
        <w:t>mean? The appearance of “ci da” quantifies “da”</w:t>
      </w:r>
      <w:r>
        <w:rPr>
          <w:rStyle w:val="deletedparamark"/>
        </w:rPr>
        <w:t xml:space="preserve"> </w:t>
      </w:r>
      <w:r>
        <w:t>as referring to three things, which are restricted by the relative clause</w:t>
      </w:r>
      <w:r>
        <w:rPr>
          <w:rStyle w:val="deletedparamark"/>
        </w:rPr>
        <w:t xml:space="preserve"> </w:t>
      </w:r>
      <w:r>
        <w:t>to be cats. When “re da” ap</w:t>
      </w:r>
      <w:r>
        <w:softHyphen/>
        <w:t>pears later, it refers to two of the those</w:t>
      </w:r>
      <w:r>
        <w:rPr>
          <w:rStyle w:val="deletedparamark"/>
        </w:rPr>
        <w:t xml:space="preserve"> </w:t>
      </w:r>
      <w:r>
        <w:t>three things — there is no saying which ones. Further uses of “da”</w:t>
      </w:r>
      <w:r>
        <w:rPr>
          <w:rStyle w:val="deletedparamark"/>
        </w:rPr>
        <w:t xml:space="preserve"> </w:t>
      </w:r>
      <w:r>
        <w:t>alone, if there were any, would refer once more to the three cats, so</w:t>
      </w:r>
      <w:r>
        <w:rPr>
          <w:rStyle w:val="deletedparamark"/>
        </w:rPr>
        <w:t xml:space="preserve"> </w:t>
      </w:r>
      <w:r>
        <w:t>the r</w:t>
      </w:r>
      <w:r>
        <w:t>e</w:t>
      </w:r>
      <w:r>
        <w:softHyphen/>
        <w:t>quantification of “da” is purely local.</w:t>
      </w:r>
    </w:p>
    <w:p w:rsidR="00B72047" w:rsidRDefault="00B72047">
      <w:pPr>
        <w:rPr>
          <w:rStyle w:val="htmlparacode"/>
        </w:rPr>
      </w:pPr>
      <w:r>
        <w:rPr>
          <w:rStyle w:val="htmlparacode"/>
        </w:rPr>
        <w:t>&lt;p&gt;</w:t>
      </w:r>
    </w:p>
    <w:p w:rsidR="00B72047" w:rsidRDefault="00B72047">
      <w:pPr>
        <w:pStyle w:val="normalparagraph"/>
      </w:pPr>
      <w:r>
        <w:rPr>
          <w:rStyle w:val="indexentry"/>
        </w:rPr>
        <w:t>&lt;cx "prenex scope, for sentences joined by ijeks"&gt;</w:t>
      </w:r>
      <w:r>
        <w:rPr>
          <w:rStyle w:val="indexentry"/>
        </w:rPr>
        <w:fldChar w:fldCharType="begin"/>
      </w:r>
      <w:r>
        <w:instrText>xe "</w:instrText>
      </w:r>
      <w:r>
        <w:rPr>
          <w:rStyle w:val="xeentry"/>
        </w:rPr>
        <w:instrText>prenex scope: for sentences joined by ijeks</w:instrText>
      </w:r>
      <w:r>
        <w:instrText>"</w:instrText>
      </w:r>
      <w:r>
        <w:rPr>
          <w:rStyle w:val="indexentry"/>
        </w:rPr>
        <w:fldChar w:fldCharType="end"/>
      </w:r>
      <w:r>
        <w:rPr>
          <w:rStyle w:val="indexentry"/>
        </w:rPr>
        <w:t>&lt;cx "prenex scope, for sentences joined by .i"&gt;</w:t>
      </w:r>
      <w:r>
        <w:rPr>
          <w:rStyle w:val="indexentry"/>
        </w:rPr>
        <w:fldChar w:fldCharType="begin"/>
      </w:r>
      <w:r>
        <w:instrText>xe "</w:instrText>
      </w:r>
      <w:r>
        <w:rPr>
          <w:rStyle w:val="xeentry"/>
        </w:rPr>
        <w:instrText>prenex scope: for sentences joined by .i</w:instrText>
      </w:r>
      <w:r>
        <w:instrText>"</w:instrText>
      </w:r>
      <w:r>
        <w:rPr>
          <w:rStyle w:val="indexentry"/>
        </w:rPr>
        <w:fldChar w:fldCharType="end"/>
      </w:r>
      <w:r>
        <w:rPr>
          <w:rStyle w:val="indexentry"/>
        </w:rPr>
        <w:t>&lt;cx "prenex scope, informal"&gt;</w:t>
      </w:r>
      <w:r>
        <w:rPr>
          <w:rStyle w:val="indexentry"/>
        </w:rPr>
        <w:fldChar w:fldCharType="begin"/>
      </w:r>
      <w:r>
        <w:instrText>xe "</w:instrText>
      </w:r>
      <w:r>
        <w:rPr>
          <w:rStyle w:val="xeentry"/>
        </w:rPr>
        <w:instrText>prenex scope: informal</w:instrText>
      </w:r>
      <w:r>
        <w:instrText>"</w:instrText>
      </w:r>
      <w:r>
        <w:rPr>
          <w:rStyle w:val="indexentry"/>
        </w:rPr>
        <w:fldChar w:fldCharType="end"/>
      </w:r>
      <w:r>
        <w:rPr>
          <w:rStyle w:val="indexentry"/>
        </w:rPr>
        <w:t>&lt;cx "prenex scope, in embedded bridi"&gt;</w:t>
      </w:r>
      <w:r>
        <w:rPr>
          <w:rStyle w:val="indexentry"/>
        </w:rPr>
        <w:fldChar w:fldCharType="begin"/>
      </w:r>
      <w:r>
        <w:instrText>xe "</w:instrText>
      </w:r>
      <w:r>
        <w:rPr>
          <w:rStyle w:val="xeentry"/>
        </w:rPr>
        <w:instrText>prenex scope: in embedded bridi</w:instrText>
      </w:r>
      <w:r>
        <w:instrText>"</w:instrText>
      </w:r>
      <w:r>
        <w:rPr>
          <w:rStyle w:val="indexentry"/>
        </w:rPr>
        <w:fldChar w:fldCharType="end"/>
      </w:r>
      <w:r>
        <w:rPr>
          <w:rStyle w:val="indexentry"/>
        </w:rPr>
        <w:t>&lt;cx "prenex scope, in relative clauses"&gt;</w:t>
      </w:r>
      <w:r>
        <w:rPr>
          <w:rStyle w:val="indexentry"/>
        </w:rPr>
        <w:fldChar w:fldCharType="begin"/>
      </w:r>
      <w:r>
        <w:instrText>xe "</w:instrText>
      </w:r>
      <w:r>
        <w:rPr>
          <w:rStyle w:val="xeentry"/>
        </w:rPr>
        <w:instrText>prenex scope: in relative clauses</w:instrText>
      </w:r>
      <w:r>
        <w:instrText>"</w:instrText>
      </w:r>
      <w:r>
        <w:rPr>
          <w:rStyle w:val="indexentry"/>
        </w:rPr>
        <w:fldChar w:fldCharType="end"/>
      </w:r>
      <w:r>
        <w:rPr>
          <w:rStyle w:val="indexentry"/>
        </w:rPr>
        <w:t>&lt;cx "prenex scope, in abstractions"&gt;</w:t>
      </w:r>
      <w:r>
        <w:rPr>
          <w:rStyle w:val="indexentry"/>
        </w:rPr>
        <w:fldChar w:fldCharType="begin"/>
      </w:r>
      <w:r>
        <w:instrText>xe "</w:instrText>
      </w:r>
      <w:r>
        <w:rPr>
          <w:rStyle w:val="xeentry"/>
        </w:rPr>
        <w:instrText>prenex scope: in abstractions</w:instrText>
      </w:r>
      <w:r>
        <w:instrText>"</w:instrText>
      </w:r>
      <w:r>
        <w:rPr>
          <w:rStyle w:val="indexentry"/>
        </w:rPr>
        <w:fldChar w:fldCharType="end"/>
      </w:r>
      <w:r>
        <w:t>In general, the scope of a prenex that precedes a sentence extends to</w:t>
      </w:r>
      <w:r>
        <w:rPr>
          <w:rStyle w:val="deletedparamark"/>
        </w:rPr>
        <w:t xml:space="preserve"> </w:t>
      </w:r>
      <w:r>
        <w:t>following se</w:t>
      </w:r>
      <w:r>
        <w:t>n</w:t>
      </w:r>
      <w:r>
        <w:softHyphen/>
        <w:t xml:space="preserve">tences that are joined by ijeks (explained in </w:t>
      </w:r>
      <w:r>
        <w:rPr>
          <w:rStyle w:val="htmlcodes"/>
        </w:rPr>
        <w:t>&lt;a href=chap14.html&gt;</w:t>
      </w:r>
      <w:r>
        <w:t>Chapter 14</w:t>
      </w:r>
      <w:r>
        <w:rPr>
          <w:rStyle w:val="htmlcodes"/>
        </w:rPr>
        <w:t>&lt;/a&gt;</w:t>
      </w:r>
      <w:r>
        <w:t>) such</w:t>
      </w:r>
      <w:r>
        <w:rPr>
          <w:rStyle w:val="deletedparamark"/>
        </w:rPr>
        <w:t xml:space="preserve"> </w:t>
      </w:r>
      <w:r>
        <w:t xml:space="preserve">as the “.ije” in </w:t>
      </w:r>
      <w:r>
        <w:rPr>
          <w:rStyle w:val="htmlcodes"/>
        </w:rPr>
        <w:t>&lt;a href=#e14d1&gt;</w:t>
      </w:r>
      <w:r>
        <w:t>Exam</w:t>
      </w:r>
      <w:r>
        <w:softHyphen/>
        <w:t>ple 14.1</w:t>
      </w:r>
      <w:r>
        <w:rPr>
          <w:rStyle w:val="htmlcodes"/>
        </w:rPr>
        <w:t>&lt;/a&gt;</w:t>
      </w:r>
      <w:r>
        <w:t>. Theoretically, a bare “.i” terminates</w:t>
      </w:r>
      <w:r>
        <w:rPr>
          <w:rStyle w:val="deletedparamark"/>
        </w:rPr>
        <w:t xml:space="preserve"> </w:t>
      </w:r>
      <w:r>
        <w:t>the scope of the prenex. Informally, how</w:t>
      </w:r>
      <w:r>
        <w:softHyphen/>
        <w:t>ever, variables may persist</w:t>
      </w:r>
      <w:r>
        <w:rPr>
          <w:rStyle w:val="deletedparamark"/>
        </w:rPr>
        <w:t xml:space="preserve"> </w:t>
      </w:r>
      <w:r>
        <w:t>for a while even after an “.i”, as if it were an “.ije”. Prenexes that</w:t>
      </w:r>
      <w:r>
        <w:rPr>
          <w:rStyle w:val="deletedparamark"/>
        </w:rPr>
        <w:t xml:space="preserve"> </w:t>
      </w:r>
      <w:r>
        <w:t>precede embedded bridi such as relative clauses and abstractions extend</w:t>
      </w:r>
      <w:r>
        <w:rPr>
          <w:rStyle w:val="deletedparamark"/>
        </w:rPr>
        <w:t xml:space="preserve"> </w:t>
      </w:r>
      <w:r>
        <w:t xml:space="preserve">only to the end of the clause, as explained in </w:t>
      </w:r>
      <w:r>
        <w:rPr>
          <w:rStyle w:val="htmlcodes"/>
        </w:rPr>
        <w:t>&lt;a href=#s8&gt;</w:t>
      </w:r>
      <w:r>
        <w:t>Section 8</w:t>
      </w:r>
      <w:r>
        <w:rPr>
          <w:rStyle w:val="htmlcodes"/>
        </w:rPr>
        <w:t>&lt;/a&gt;</w:t>
      </w:r>
      <w:r>
        <w:t>. A prenex</w:t>
      </w:r>
      <w:r>
        <w:rPr>
          <w:rStyle w:val="deletedparamark"/>
        </w:rPr>
        <w:t xml:space="preserve"> </w:t>
      </w:r>
      <w:r>
        <w:t>preceding “tu'e </w:t>
      </w:r>
      <w:r>
        <w:rPr>
          <w:rStyle w:val="htmlcodes"/>
        </w:rPr>
        <w:t>&lt;dots&gt;</w:t>
      </w:r>
      <w:r>
        <w:t>…</w:t>
      </w:r>
      <w:r>
        <w:rPr>
          <w:rStyle w:val="htmlcodes"/>
        </w:rPr>
        <w:t>&lt;/dots&gt;</w:t>
      </w:r>
      <w:r>
        <w:t>tu'u” long-scope brackets persists until the “tu'u”,</w:t>
      </w:r>
      <w:r>
        <w:rPr>
          <w:rStyle w:val="deletedparamark"/>
        </w:rPr>
        <w:t xml:space="preserve"> </w:t>
      </w:r>
      <w:r>
        <w:t>which may be many sentences or even paragraphs later.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"logical variables, creating more by subscripting"&gt;</w:t>
      </w:r>
      <w:r>
        <w:rPr>
          <w:rStyle w:val="indexentry"/>
        </w:rPr>
        <w:fldChar w:fldCharType="begin"/>
      </w:r>
      <w:r>
        <w:instrText>xe "</w:instrText>
      </w:r>
      <w:r>
        <w:rPr>
          <w:rStyle w:val="xeentry"/>
        </w:rPr>
        <w:instrText>logical variables: creating more by subscripting</w:instrText>
      </w:r>
      <w:r>
        <w:instrText>"</w:instrText>
      </w:r>
      <w:r>
        <w:rPr>
          <w:rStyle w:val="indexentry"/>
        </w:rPr>
        <w:fldChar w:fldCharType="end"/>
      </w:r>
      <w:r>
        <w:rPr>
          <w:rStyle w:val="indexentry"/>
        </w:rPr>
        <w:t>&lt;cx "subscripts, use with logical variables"&gt;</w:t>
      </w:r>
      <w:r>
        <w:rPr>
          <w:rStyle w:val="indexentry"/>
        </w:rPr>
        <w:fldChar w:fldCharType="begin"/>
      </w:r>
      <w:r>
        <w:instrText>xe "</w:instrText>
      </w:r>
      <w:r>
        <w:rPr>
          <w:rStyle w:val="xeentry"/>
        </w:rPr>
        <w:instrText>subscripts: use with logical variables</w:instrText>
      </w:r>
      <w:r>
        <w:instrText>"</w:instrText>
      </w:r>
      <w:r>
        <w:rPr>
          <w:rStyle w:val="indexentry"/>
        </w:rPr>
        <w:fldChar w:fldCharType="end"/>
      </w:r>
      <w:r>
        <w:t>If the variables “da”, “de”, and “di” (or the selbri variables “bu'a”, “bu'e”, and</w:t>
      </w:r>
      <w:r>
        <w:rPr>
          <w:rStyle w:val="deletedparamark"/>
        </w:rPr>
        <w:t xml:space="preserve"> “</w:t>
      </w:r>
      <w:r>
        <w:t>bu'i”) are insufficient in number for handling a particular problem, the Lojban</w:t>
      </w:r>
      <w:r>
        <w:rPr>
          <w:rStyle w:val="deletedparamark"/>
        </w:rPr>
        <w:t xml:space="preserve"> </w:t>
      </w:r>
      <w:r>
        <w:t>ap</w:t>
      </w:r>
      <w:r>
        <w:softHyphen/>
        <w:t>proach is to add a subscript to any of them. Each possible different combination</w:t>
      </w:r>
      <w:r>
        <w:rPr>
          <w:rStyle w:val="deletedparamark"/>
        </w:rPr>
        <w:t xml:space="preserve"> </w:t>
      </w:r>
      <w:r>
        <w:t>of a subscript and a variable cmavo counts as a distinct variable in Lojban.</w:t>
      </w:r>
      <w:r>
        <w:rPr>
          <w:rStyle w:val="deletedparamark"/>
        </w:rPr>
        <w:t xml:space="preserve"> </w:t>
      </w:r>
      <w:r>
        <w:t xml:space="preserve">Subscripts are explained in full in </w:t>
      </w:r>
      <w:r>
        <w:rPr>
          <w:rStyle w:val="htmlcodes"/>
        </w:rPr>
        <w:t>&lt;a href=chap19.html&gt;</w:t>
      </w:r>
      <w:r>
        <w:t>Chapter 19</w:t>
      </w:r>
      <w:r>
        <w:rPr>
          <w:rStyle w:val="htmlcodes"/>
        </w:rPr>
        <w:t>&lt;/a&gt;</w:t>
      </w:r>
      <w:r>
        <w:t>, but in general consist of</w:t>
      </w:r>
      <w:r>
        <w:rPr>
          <w:rStyle w:val="deletedparamark"/>
        </w:rPr>
        <w:t xml:space="preserve"> </w:t>
      </w:r>
      <w:r>
        <w:t>the cmavo “xi” (of selma'o XI) followed by a nu</w:t>
      </w:r>
      <w:r>
        <w:t>m</w:t>
      </w:r>
      <w:r>
        <w:softHyphen/>
        <w:t>ber, one or more lerfu words</w:t>
      </w:r>
      <w:r>
        <w:rPr>
          <w:rStyle w:val="deletedparamark"/>
        </w:rPr>
        <w:t xml:space="preserve"> </w:t>
      </w:r>
      <w:r>
        <w:t>forming a single string, or a general mathematical expre</w:t>
      </w:r>
      <w:r>
        <w:t>s</w:t>
      </w:r>
      <w:r>
        <w:softHyphen/>
        <w:t>sion enclosed in</w:t>
      </w:r>
      <w:r>
        <w:rPr>
          <w:rStyle w:val="deletedparamark"/>
        </w:rPr>
        <w:t xml:space="preserve"> </w:t>
      </w:r>
      <w:r>
        <w:t>parentheses.</w:t>
      </w:r>
    </w:p>
    <w:p w:rsidR="00B72047" w:rsidRDefault="00B72047">
      <w:pPr>
        <w:pStyle w:val="normalparagraph"/>
        <w:rPr>
          <w:rStyle w:val="htmlparacode"/>
        </w:rPr>
      </w:pPr>
      <w:r>
        <w:rPr>
          <w:rStyle w:val="htmlparacode"/>
        </w:rPr>
        <w:t>&lt;p&gt;</w:t>
      </w:r>
    </w:p>
    <w:p w:rsidR="00B72047" w:rsidRDefault="00B72047">
      <w:pPr>
        <w:pStyle w:val="normalparagraph"/>
      </w:pPr>
      <w:r>
        <w:t>A quantifier can be prefixed to a variable that has already been bound</w:t>
      </w:r>
      <w:r>
        <w:rPr>
          <w:rStyle w:val="deletedparamark"/>
        </w:rPr>
        <w:t xml:space="preserve"> </w:t>
      </w:r>
      <w:r>
        <w:t>either in a pr</w:t>
      </w:r>
      <w:r>
        <w:t>e</w:t>
      </w:r>
      <w:r>
        <w:softHyphen/>
        <w:t>nex or earlier in the bridi, thus: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name=e14d2&gt;</w:t>
      </w:r>
      <w:r>
        <w:t>14.2)</w:t>
      </w:r>
      <w:r>
        <w:tab/>
        <w:t>ci da poi prenu cu se ralju pa da</w:t>
      </w:r>
    </w:p>
    <w:p w:rsidR="00B72047" w:rsidRDefault="00B72047">
      <w:pPr>
        <w:pStyle w:val="examplescaled"/>
      </w:pPr>
      <w:r>
        <w:tab/>
        <w:t>Three Xs which are-persons are-led-by one-of X</w:t>
      </w:r>
    </w:p>
    <w:p w:rsidR="00B72047" w:rsidRDefault="00B72047">
      <w:pPr>
        <w:pStyle w:val="examplescaled"/>
      </w:pPr>
      <w:r>
        <w:tab/>
        <w:t>Three people are led by one of them.</w:t>
      </w:r>
    </w:p>
    <w:p w:rsidR="00B72047" w:rsidRDefault="00B72047">
      <w:pPr>
        <w:pStyle w:val="resumedafterexample"/>
      </w:pPr>
      <w:r>
        <w:rPr>
          <w:rStyle w:val="htmlcodes"/>
        </w:rPr>
        <w:t>&lt;/pre&gt;&lt;p&gt;</w:t>
      </w:r>
      <w:r>
        <w:t xml:space="preserve">The “pa da” in </w:t>
      </w:r>
      <w:r>
        <w:rPr>
          <w:rStyle w:val="htmlcodes"/>
        </w:rPr>
        <w:t>&lt;a href=#e14d2&gt;</w:t>
      </w:r>
      <w:r>
        <w:t xml:space="preserve">Example 14.2 </w:t>
      </w:r>
      <w:r>
        <w:rPr>
          <w:rStyle w:val="htmlcodes"/>
        </w:rPr>
        <w:t>&lt;/a&gt;</w:t>
      </w:r>
      <w:r>
        <w:t>does not specify the number of things to which</w:t>
      </w:r>
      <w:r>
        <w:rPr>
          <w:rStyle w:val="deletedparamark"/>
        </w:rPr>
        <w:t xml:space="preserve"> “</w:t>
      </w:r>
      <w:r>
        <w:t>da” re</w:t>
      </w:r>
      <w:r>
        <w:softHyphen/>
        <w:t>fers, as the preceding “ci da” does. Instead, it selects one of them</w:t>
      </w:r>
      <w:r>
        <w:rPr>
          <w:rStyle w:val="deletedparamark"/>
        </w:rPr>
        <w:t xml:space="preserve"> </w:t>
      </w:r>
      <w:r>
        <w:t>for use in this sumti only. The number of referents of “da” remains three,</w:t>
      </w:r>
      <w:r>
        <w:rPr>
          <w:rStyle w:val="deletedparamark"/>
        </w:rPr>
        <w:t xml:space="preserve"> </w:t>
      </w:r>
      <w:r>
        <w:t>but a single one (there is no way of knowing which one) is selected to be the</w:t>
      </w:r>
      <w:r>
        <w:rPr>
          <w:rStyle w:val="deletedparamark"/>
        </w:rPr>
        <w:t xml:space="preserve"> </w:t>
      </w:r>
      <w:r>
        <w:t>leader.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469" w:name="_Toc398970708"/>
      <w:r>
        <w:rPr>
          <w:rStyle w:val="Heading3Text"/>
        </w:rPr>
        <w:t>Conclusion</w:t>
      </w:r>
      <w:bookmarkEnd w:id="46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"logic and Lojban, more aspects"&gt;</w:t>
      </w:r>
      <w:r>
        <w:rPr>
          <w:rStyle w:val="indexentry"/>
        </w:rPr>
        <w:fldChar w:fldCharType="begin"/>
      </w:r>
      <w:r>
        <w:instrText>xe "</w:instrText>
      </w:r>
      <w:r>
        <w:rPr>
          <w:rStyle w:val="xeentry"/>
        </w:rPr>
        <w:instrText>logic and Lojban: more aspects</w:instrText>
      </w:r>
      <w:r>
        <w:instrText>"</w:instrText>
      </w:r>
      <w:r>
        <w:rPr>
          <w:rStyle w:val="indexentry"/>
        </w:rPr>
        <w:fldChar w:fldCharType="end"/>
      </w:r>
      <w:r>
        <w:t>This chapter is incomplete. There are many more aspects of logic that</w:t>
      </w:r>
      <w:r>
        <w:rPr>
          <w:rStyle w:val="deletedparamark"/>
        </w:rPr>
        <w:t xml:space="preserve"> </w:t>
      </w:r>
      <w:r>
        <w:t>I neither fully understand nor feel competent to explain, neither in</w:t>
      </w:r>
      <w:r>
        <w:rPr>
          <w:rStyle w:val="deletedparamark"/>
        </w:rPr>
        <w:t xml:space="preserve"> </w:t>
      </w:r>
      <w:r>
        <w:t>abstract nor in their Lojban realiz</w:t>
      </w:r>
      <w:r>
        <w:t>a</w:t>
      </w:r>
      <w:r>
        <w:softHyphen/>
        <w:t>tion. Lojban was designed to be</w:t>
      </w:r>
      <w:r>
        <w:rPr>
          <w:rStyle w:val="deletedparamark"/>
        </w:rPr>
        <w:t xml:space="preserve"> </w:t>
      </w:r>
      <w:r>
        <w:t>a language that makes predicate logic speakable, and achieving that goal</w:t>
      </w:r>
      <w:r>
        <w:rPr>
          <w:rStyle w:val="deletedparamark"/>
        </w:rPr>
        <w:t xml:space="preserve"> </w:t>
      </w:r>
      <w:r>
        <w:t>completely will need to wait for someone who understands both logic and</w:t>
      </w:r>
      <w:r>
        <w:rPr>
          <w:rStyle w:val="deletedparamark"/>
        </w:rPr>
        <w:t xml:space="preserve"> </w:t>
      </w:r>
      <w:r>
        <w:t>Lojban better than I do. I can only hope to have pointed out the</w:t>
      </w:r>
      <w:r>
        <w:rPr>
          <w:rStyle w:val="deletedparamark"/>
        </w:rPr>
        <w:t xml:space="preserve"> </w:t>
      </w:r>
      <w:r>
        <w:t>areas that are well-understood (and by implication, those that are not).</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paracode"/>
        </w:rPr>
        <w:t>&lt;</w:t>
      </w:r>
      <w:r>
        <w:rPr>
          <w:rStyle w:val="htmlcodes"/>
        </w:rPr>
        <w:t>p&gt;</w:t>
      </w:r>
    </w:p>
    <w:p w:rsidR="00B72047" w:rsidRDefault="00B72047">
      <w:pPr>
        <w:pStyle w:val="normalparagraph"/>
        <w:rPr>
          <w:rStyle w:val="htmlcodes"/>
        </w:rPr>
      </w:pPr>
      <w:r>
        <w:rPr>
          <w:rStyle w:val="htmlcodes"/>
        </w:rPr>
        <w:t>&lt;/body&gt;&lt;/html&gt;</w:t>
      </w:r>
    </w:p>
    <w:p w:rsidR="00B72047" w:rsidRDefault="00B72047">
      <w:pPr>
        <w:pStyle w:val="normalparagraph"/>
        <w:rPr>
          <w:rStyle w:val="htmlcodes"/>
        </w:rPr>
      </w:pPr>
      <w:r>
        <w:rPr>
          <w:rStyle w:val="htmlcodes"/>
        </w:rPr>
        <w:t>&lt;center&gt;&lt;p align=center&gt;</w:t>
      </w:r>
    </w:p>
    <w:p w:rsidR="00B72047" w:rsidRDefault="00B72047">
      <w:pPr>
        <w:pStyle w:val="normalparagraph"/>
      </w:pPr>
      <w:r>
        <w:rPr>
          <w:rStyle w:val="htmlcodes"/>
        </w:rPr>
        <w:t>&lt;img src=chap17.gif alt=[Cartoon] align=center width=405 height=405&gt;</w:t>
      </w:r>
    </w:p>
    <w:p w:rsidR="00B72047" w:rsidRDefault="00B72047">
      <w:pPr>
        <w:pStyle w:val="resumedafterexample"/>
        <w:sectPr w:rsidR="00B72047">
          <w:type w:val="evenPage"/>
          <w:pgSz w:w="9504" w:h="13824" w:code="1"/>
          <w:pgMar w:top="1296" w:right="1296" w:bottom="720" w:left="1008" w:header="480" w:footer="720" w:gutter="0"/>
          <w:paperSrc w:first="1706" w:other="1706"/>
          <w:cols w:space="720"/>
          <w:titlePg/>
        </w:sectPr>
      </w:pPr>
      <w:r>
        <w:pict>
          <v:shape id="_x0000_i1041" type="#_x0000_t75" style="width:356.25pt;height:547.5pt">
            <v:imagedata r:id="rId37" o:title="" croptop="-26474f" cropbottom="-26474f" cropleft="-6323f" cropright="-6323f"/>
          </v:shape>
        </w:pict>
      </w:r>
    </w:p>
    <w:p w:rsidR="00B72047" w:rsidRDefault="00B72047">
      <w:pPr>
        <w:pStyle w:val="Heading2"/>
      </w:pPr>
      <w:r>
        <w:rPr>
          <w:rStyle w:val="htmlcodes"/>
        </w:rPr>
        <w:t>&lt;h2&gt;</w:t>
      </w:r>
      <w:bookmarkStart w:id="470" w:name="_Toc395684457"/>
      <w:bookmarkStart w:id="471" w:name="_Toc398970709"/>
      <w:r>
        <w:t>Chapter 17</w:t>
      </w:r>
      <w:bookmarkEnd w:id="470"/>
      <w:bookmarkEnd w:id="471"/>
    </w:p>
    <w:p w:rsidR="00B72047" w:rsidRDefault="00B72047">
      <w:pPr>
        <w:pStyle w:val="Heading2"/>
        <w:rPr>
          <w:rStyle w:val="htmlcodes"/>
        </w:rPr>
      </w:pPr>
      <w:r>
        <w:rPr>
          <w:rStyle w:val="htmlcodes"/>
        </w:rPr>
        <w:t>&lt;br&gt;</w:t>
      </w:r>
    </w:p>
    <w:p w:rsidR="00B72047" w:rsidRDefault="00B72047">
      <w:pPr>
        <w:pStyle w:val="Heading2"/>
      </w:pPr>
      <w:bookmarkStart w:id="472" w:name="_Toc398970710"/>
      <w:r>
        <w:t>As Easy As A-B-C? The Lojban Letteral System And Its Uses</w:t>
      </w:r>
      <w:bookmarkEnd w:id="472"/>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473" w:name="_Toc398970711"/>
      <w:r>
        <w:rPr>
          <w:rStyle w:val="Heading3Text"/>
        </w:rPr>
        <w:t>What's a letteral, anyway?</w:t>
      </w:r>
      <w:bookmarkEnd w:id="47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"Brown, James Cooke, and “letteral”"&gt;</w:t>
      </w:r>
      <w:r>
        <w:rPr>
          <w:rStyle w:val="indexentry"/>
        </w:rPr>
        <w:fldChar w:fldCharType="begin"/>
      </w:r>
      <w:r>
        <w:instrText>xe "</w:instrText>
      </w:r>
      <w:r>
        <w:rPr>
          <w:rStyle w:val="xeentry"/>
        </w:rPr>
        <w:instrText>Brown: James Cooke, and letteral</w:instrText>
      </w:r>
      <w:r>
        <w:instrText>"</w:instrText>
      </w:r>
      <w:r>
        <w:rPr>
          <w:rStyle w:val="indexentry"/>
        </w:rPr>
        <w:fldChar w:fldCharType="end"/>
      </w:r>
      <w:r>
        <w:rPr>
          <w:rStyle w:val="indexentry"/>
        </w:rPr>
        <w:t>&lt;cx "letteral, definition"&gt;</w:t>
      </w:r>
      <w:r>
        <w:rPr>
          <w:rStyle w:val="indexentry"/>
        </w:rPr>
        <w:fldChar w:fldCharType="begin"/>
      </w:r>
      <w:r>
        <w:instrText>xe "</w:instrText>
      </w:r>
      <w:r>
        <w:rPr>
          <w:rStyle w:val="xeentry"/>
        </w:rPr>
        <w:instrText>letteral: definition</w:instrText>
      </w:r>
      <w:r>
        <w:instrText>"</w:instrText>
      </w:r>
      <w:r>
        <w:rPr>
          <w:rStyle w:val="indexentry"/>
        </w:rPr>
        <w:fldChar w:fldCharType="end"/>
      </w:r>
      <w:r>
        <w:rPr>
          <w:rStyle w:val="indexentry"/>
        </w:rPr>
        <w:t>&lt;cx "letter, alphabet"&gt;</w:t>
      </w:r>
      <w:r>
        <w:rPr>
          <w:rStyle w:val="indexentry"/>
        </w:rPr>
        <w:fldChar w:fldCharType="begin"/>
      </w:r>
      <w:r>
        <w:instrText>xe "</w:instrText>
      </w:r>
      <w:r>
        <w:rPr>
          <w:rStyle w:val="xeentry"/>
        </w:rPr>
        <w:instrText>letter: alphabet</w:instrText>
      </w:r>
      <w:r>
        <w:instrText>"</w:instrText>
      </w:r>
      <w:r>
        <w:rPr>
          <w:rStyle w:val="indexentry"/>
        </w:rPr>
        <w:fldChar w:fldCharType="end"/>
      </w:r>
      <w:r>
        <w:t>James Cooke Brown, the founder of the Loglan Project, coined the word</w:t>
      </w:r>
      <w:r>
        <w:rPr>
          <w:rStyle w:val="deletedparamark"/>
        </w:rPr>
        <w:t xml:space="preserve"> “</w:t>
      </w:r>
      <w:r>
        <w:t>letteral” (by analogy with “numeral”) to mean a letter of the alphabet,</w:t>
      </w:r>
      <w:r>
        <w:rPr>
          <w:rStyle w:val="deletedparamark"/>
        </w:rPr>
        <w:t xml:space="preserve"> </w:t>
      </w:r>
      <w:r>
        <w:t>such as “f” or “z”. A typical example of its use might be</w:t>
      </w:r>
    </w:p>
    <w:p w:rsidR="00B72047" w:rsidRDefault="00B72047">
      <w:pPr>
        <w:rPr>
          <w:rStyle w:val="htmlparacode"/>
        </w:rPr>
      </w:pPr>
      <w:r>
        <w:rPr>
          <w:rStyle w:val="htmlparacode"/>
        </w:rPr>
        <w:t>&lt;p&gt;</w:t>
      </w:r>
    </w:p>
    <w:p w:rsidR="00B72047" w:rsidRDefault="00B72047">
      <w:pPr>
        <w:pStyle w:val="examplescaledpre"/>
      </w:pPr>
      <w:r>
        <w:rPr>
          <w:rStyle w:val="indexentry"/>
        </w:rPr>
        <w:t>&lt;ex "fourteen “e”s"&gt;</w:t>
      </w:r>
      <w:r>
        <w:rPr>
          <w:rStyle w:val="indexentry"/>
        </w:rPr>
        <w:fldChar w:fldCharType="begin"/>
      </w:r>
      <w:r>
        <w:instrText>xe "</w:instrText>
      </w:r>
      <w:r>
        <w:rPr>
          <w:rStyle w:val="xeentry"/>
        </w:rPr>
        <w:instrText>fourteen es: example</w:instrText>
      </w:r>
      <w:r>
        <w:instrText>"</w:instrText>
      </w:r>
      <w:r>
        <w:rPr>
          <w:rStyle w:val="indexentry"/>
        </w:rPr>
        <w:fldChar w:fldCharType="end"/>
      </w:r>
      <w:r>
        <w:rPr>
          <w:rStyle w:val="htmlcodes"/>
        </w:rPr>
        <w:t>&lt;pre&gt;&lt;a name=e1d1&gt;</w:t>
      </w:r>
      <w:r>
        <w:t>1.1)</w:t>
      </w:r>
      <w:r>
        <w:tab/>
        <w:t>There are fourteen occurrences of the letteral</w:t>
      </w:r>
    </w:p>
    <w:p w:rsidR="00B72047" w:rsidRDefault="00B72047">
      <w:pPr>
        <w:pStyle w:val="examplescaled"/>
      </w:pPr>
      <w:r>
        <w:tab/>
      </w:r>
      <w:r>
        <w:tab/>
        <w:t>“e” in this sentence.</w:t>
      </w:r>
    </w:p>
    <w:p w:rsidR="00B72047" w:rsidRDefault="00B72047">
      <w:pPr>
        <w:pStyle w:val="resumedafterexample"/>
      </w:pPr>
      <w:r>
        <w:rPr>
          <w:rStyle w:val="htmlcodes"/>
        </w:rPr>
        <w:t>&lt;/pre&gt;</w:t>
      </w:r>
      <w:r>
        <w:rPr>
          <w:rStyle w:val="indexentry"/>
        </w:rPr>
        <w:t>&lt;cx "lerfu, definition"&gt;</w:t>
      </w:r>
      <w:r>
        <w:rPr>
          <w:rStyle w:val="indexentry"/>
        </w:rPr>
        <w:fldChar w:fldCharType="begin"/>
      </w:r>
      <w:r>
        <w:instrText>xe "</w:instrText>
      </w:r>
      <w:r>
        <w:rPr>
          <w:rStyle w:val="xeentry"/>
        </w:rPr>
        <w:instrText>lerfu: definition</w:instrText>
      </w:r>
      <w:r>
        <w:instrText>"</w:instrText>
      </w:r>
      <w:r>
        <w:rPr>
          <w:rStyle w:val="indexentry"/>
        </w:rPr>
        <w:fldChar w:fldCharType="end"/>
      </w:r>
      <w:r>
        <w:t>(Don't forget the one within quotation marks.) Using the word “letteral”</w:t>
      </w:r>
      <w:r>
        <w:rPr>
          <w:rStyle w:val="deletedparamark"/>
        </w:rPr>
        <w:t xml:space="preserve"> </w:t>
      </w:r>
      <w:r>
        <w:t>avoids confu</w:t>
      </w:r>
      <w:r>
        <w:softHyphen/>
        <w:t>sion with “letter”, the kind you write to someone. Not</w:t>
      </w:r>
      <w:r>
        <w:rPr>
          <w:rStyle w:val="deletedparamark"/>
        </w:rPr>
        <w:t xml:space="preserve"> </w:t>
      </w:r>
      <w:r>
        <w:t>surprisingly, there is a Lojban gismu for “letteral”, namely “lerfu”, and</w:t>
      </w:r>
      <w:r>
        <w:rPr>
          <w:rStyle w:val="deletedparamark"/>
        </w:rPr>
        <w:t xml:space="preserve"> </w:t>
      </w:r>
      <w:r>
        <w:t>this word will be used in the rest of this chap</w:t>
      </w:r>
      <w:r>
        <w:softHyphen/>
        <w:t>ter.</w:t>
      </w:r>
    </w:p>
    <w:p w:rsidR="00B72047" w:rsidRDefault="00B72047">
      <w:pPr>
        <w:rPr>
          <w:rStyle w:val="htmlparacode"/>
        </w:rPr>
      </w:pPr>
      <w:r>
        <w:rPr>
          <w:rStyle w:val="htmlparacode"/>
        </w:rPr>
        <w:t>&lt;p&gt;</w:t>
      </w:r>
    </w:p>
    <w:p w:rsidR="00B72047" w:rsidRDefault="00B72047">
      <w:pPr>
        <w:pStyle w:val="normalparagraph"/>
      </w:pPr>
      <w:r>
        <w:rPr>
          <w:rStyle w:val="indexentry"/>
        </w:rPr>
        <w:t>&lt;cx "Latin, alphabet of Lojban"&gt;</w:t>
      </w:r>
      <w:r>
        <w:rPr>
          <w:rStyle w:val="indexentry"/>
        </w:rPr>
        <w:fldChar w:fldCharType="begin"/>
      </w:r>
      <w:r>
        <w:instrText>xe "</w:instrText>
      </w:r>
      <w:r>
        <w:rPr>
          <w:rStyle w:val="xeentry"/>
        </w:rPr>
        <w:instrText>Latin: alphabet of Lojban</w:instrText>
      </w:r>
      <w:r>
        <w:instrText>"</w:instrText>
      </w:r>
      <w:r>
        <w:rPr>
          <w:rStyle w:val="indexentry"/>
        </w:rPr>
        <w:fldChar w:fldCharType="end"/>
      </w:r>
      <w:r>
        <w:rPr>
          <w:rStyle w:val="indexentry"/>
        </w:rPr>
        <w:t>&lt;cx "alphabet, Latin used for Lojban"&gt;</w:t>
      </w:r>
      <w:r>
        <w:rPr>
          <w:rStyle w:val="indexentry"/>
        </w:rPr>
        <w:fldChar w:fldCharType="begin"/>
      </w:r>
      <w:r>
        <w:instrText>xe "</w:instrText>
      </w:r>
      <w:r>
        <w:rPr>
          <w:rStyle w:val="xeentry"/>
        </w:rPr>
        <w:instrText>alphabet: Latin used for Lojban</w:instrText>
      </w:r>
      <w:r>
        <w:instrText>"</w:instrText>
      </w:r>
      <w:r>
        <w:rPr>
          <w:rStyle w:val="indexentry"/>
        </w:rPr>
        <w:fldChar w:fldCharType="end"/>
      </w:r>
      <w:r>
        <w:t>Lojban uses the Latin alphabet, just as English does, right? Then why is</w:t>
      </w:r>
      <w:r>
        <w:rPr>
          <w:rStyle w:val="deletedparamark"/>
        </w:rPr>
        <w:t xml:space="preserve"> </w:t>
      </w:r>
      <w:r>
        <w:t>there a need for a chapter like this? After all, everyone who can read it</w:t>
      </w:r>
      <w:r>
        <w:rPr>
          <w:rStyle w:val="deletedparamark"/>
        </w:rPr>
        <w:t xml:space="preserve"> </w:t>
      </w:r>
      <w:r>
        <w:t>already knows the al</w:t>
      </w:r>
      <w:r>
        <w:softHyphen/>
        <w:t>phabet. The answer is twofold: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"alphabet, words for letters in, rationale"&gt;</w:t>
      </w:r>
      <w:r>
        <w:rPr>
          <w:rStyle w:val="indexentry"/>
        </w:rPr>
        <w:fldChar w:fldCharType="begin"/>
      </w:r>
      <w:r>
        <w:instrText>xe "</w:instrText>
      </w:r>
      <w:r>
        <w:rPr>
          <w:rStyle w:val="xeentry"/>
        </w:rPr>
        <w:instrText>alphabet: words for letters in, rationale</w:instrText>
      </w:r>
      <w:r>
        <w:instrText>"</w:instrText>
      </w:r>
      <w:r>
        <w:rPr>
          <w:rStyle w:val="indexentry"/>
        </w:rPr>
        <w:fldChar w:fldCharType="end"/>
      </w:r>
      <w:r>
        <w:t>First, in English there are a set of words that correspond to and</w:t>
      </w:r>
      <w:r>
        <w:rPr>
          <w:rStyle w:val="deletedparamark"/>
        </w:rPr>
        <w:t xml:space="preserve"> </w:t>
      </w:r>
      <w:r>
        <w:t>represent the English lerfu. These words are rarely written down in English</w:t>
      </w:r>
      <w:r>
        <w:rPr>
          <w:rStyle w:val="deletedparamark"/>
        </w:rPr>
        <w:t xml:space="preserve"> </w:t>
      </w:r>
      <w:r>
        <w:t>and have no standard spellings, but if you pronounce the English alphabet to</w:t>
      </w:r>
      <w:r>
        <w:rPr>
          <w:rStyle w:val="deletedparamark"/>
        </w:rPr>
        <w:t xml:space="preserve"> </w:t>
      </w:r>
      <w:r>
        <w:t>yourself you will hear them: ay, bee, cee, dee </w:t>
      </w:r>
      <w:r>
        <w:rPr>
          <w:rStyle w:val="htmlcodes"/>
        </w:rPr>
        <w:t>&lt;dots&gt;</w:t>
      </w:r>
      <w:r>
        <w:t>…</w:t>
      </w:r>
      <w:r>
        <w:rPr>
          <w:rStyle w:val="htmlcodes"/>
        </w:rPr>
        <w:t>&lt;/dots&gt;</w:t>
      </w:r>
      <w:r>
        <w:t>. They are used in</w:t>
      </w:r>
      <w:r>
        <w:rPr>
          <w:rStyle w:val="deletedparamark"/>
        </w:rPr>
        <w:t xml:space="preserve"> </w:t>
      </w:r>
      <w:r>
        <w:t>spelling out words and in pronouncing most acro</w:t>
      </w:r>
      <w:r>
        <w:softHyphen/>
        <w:t>nyms. The L</w:t>
      </w:r>
      <w:r>
        <w:t>o</w:t>
      </w:r>
      <w:r>
        <w:t>j</w:t>
      </w:r>
      <w:r>
        <w:softHyphen/>
        <w:t>ban equivalents</w:t>
      </w:r>
      <w:r>
        <w:rPr>
          <w:rStyle w:val="deletedparamark"/>
        </w:rPr>
        <w:t xml:space="preserve"> </w:t>
      </w:r>
      <w:r>
        <w:t>of these words are standardized and must be documented somehow.</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"alphabets, words for non-Lojban letters, rationale"&gt;</w:t>
      </w:r>
      <w:r>
        <w:rPr>
          <w:rStyle w:val="indexentry"/>
        </w:rPr>
        <w:fldChar w:fldCharType="begin"/>
      </w:r>
      <w:r>
        <w:instrText>xe "</w:instrText>
      </w:r>
      <w:r>
        <w:rPr>
          <w:rStyle w:val="xeentry"/>
        </w:rPr>
        <w:instrText>alphabet: words for non-Lojban letters, rationale</w:instrText>
      </w:r>
      <w:r>
        <w:instrText>"</w:instrText>
      </w:r>
      <w:r>
        <w:rPr>
          <w:rStyle w:val="indexentry"/>
        </w:rPr>
        <w:fldChar w:fldCharType="end"/>
      </w:r>
      <w:r>
        <w:t>Second, English has names only for the lerfu used in writing English.</w:t>
      </w:r>
      <w:r>
        <w:rPr>
          <w:rStyle w:val="deletedparamark"/>
        </w:rPr>
        <w:t xml:space="preserve"> </w:t>
      </w:r>
      <w:r>
        <w:t>(There are also English names for Greek and Hebrew lerfu: English-speakers</w:t>
      </w:r>
      <w:r>
        <w:rPr>
          <w:rStyle w:val="deletedparamark"/>
        </w:rPr>
        <w:t xml:space="preserve"> </w:t>
      </w:r>
      <w:r>
        <w:t>usually refer to the Greek lerfu conventionally spelled “phi” as “fye”,</w:t>
      </w:r>
      <w:r>
        <w:rPr>
          <w:rStyle w:val="deletedparamark"/>
        </w:rPr>
        <w:t xml:space="preserve"> </w:t>
      </w:r>
      <w:r>
        <w:t>whereas “fee” would more nearly represent the name used by Greek-speakers.</w:t>
      </w:r>
      <w:r>
        <w:rPr>
          <w:rStyle w:val="deletedparamark"/>
        </w:rPr>
        <w:t xml:space="preserve"> </w:t>
      </w:r>
      <w:r>
        <w:t>Still, not all English-speakers know these English names.) Lojban, in order</w:t>
      </w:r>
      <w:r>
        <w:rPr>
          <w:rStyle w:val="deletedparamark"/>
        </w:rPr>
        <w:t xml:space="preserve"> </w:t>
      </w:r>
      <w:r>
        <w:t>to be culturally neutral, needs a more comprehensive system that can</w:t>
      </w:r>
      <w:r>
        <w:rPr>
          <w:rStyle w:val="deletedparamark"/>
        </w:rPr>
        <w:t xml:space="preserve"> </w:t>
      </w:r>
      <w:r>
        <w:t>handle, at least potentially, all of the world's alphabets and other writ</w:t>
      </w:r>
      <w:r>
        <w:softHyphen/>
        <w:t>ing</w:t>
      </w:r>
      <w:r>
        <w:rPr>
          <w:rStyle w:val="deletedparamark"/>
        </w:rPr>
        <w:t xml:space="preserve"> </w:t>
      </w:r>
      <w:r>
        <w:t>systems.</w:t>
      </w:r>
    </w:p>
    <w:p w:rsidR="00B72047" w:rsidRDefault="00B72047">
      <w:pPr>
        <w:pStyle w:val="normalparagraph"/>
        <w:rPr>
          <w:rStyle w:val="htmlparacode"/>
        </w:rPr>
      </w:pPr>
      <w:r>
        <w:rPr>
          <w:rStyle w:val="htmlparacode"/>
        </w:rPr>
        <w:t>&lt;p&gt;</w:t>
      </w:r>
    </w:p>
    <w:p w:rsidR="00B72047" w:rsidRDefault="00B72047">
      <w:pPr>
        <w:pStyle w:val="normalparagraph"/>
      </w:pPr>
      <w:r>
        <w:t>Letterals have several uses in Lojban: in forming acronyms and abbreviations,</w:t>
      </w:r>
      <w:r>
        <w:rPr>
          <w:rStyle w:val="deletedparamark"/>
        </w:rPr>
        <w:t xml:space="preserve"> </w:t>
      </w:r>
      <w:r>
        <w:t>as mathematical symbols, and as pro-sumti — the equivalent of English</w:t>
      </w:r>
      <w:r>
        <w:rPr>
          <w:rStyle w:val="deletedparamark"/>
        </w:rPr>
        <w:t xml:space="preserve"> </w:t>
      </w:r>
      <w:r>
        <w:t>pronouns.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"lerfu, contrasted with lerfu word"&gt;</w:t>
      </w:r>
      <w:r>
        <w:rPr>
          <w:rStyle w:val="indexentry"/>
        </w:rPr>
        <w:fldChar w:fldCharType="begin"/>
      </w:r>
      <w:r>
        <w:instrText>xe "</w:instrText>
      </w:r>
      <w:r>
        <w:rPr>
          <w:rStyle w:val="xeentry"/>
        </w:rPr>
        <w:instrText>lerfu: contrasted with lerfu word</w:instrText>
      </w:r>
      <w:r>
        <w:instrText>"</w:instrText>
      </w:r>
      <w:r>
        <w:rPr>
          <w:rStyle w:val="indexentry"/>
        </w:rPr>
        <w:fldChar w:fldCharType="end"/>
      </w:r>
      <w:r>
        <w:rPr>
          <w:rStyle w:val="indexentry"/>
        </w:rPr>
        <w:t>&lt;cx "lerfu word, contrasted with lerfu"&gt;</w:t>
      </w:r>
      <w:r>
        <w:rPr>
          <w:rStyle w:val="indexentry"/>
        </w:rPr>
        <w:fldChar w:fldCharType="begin"/>
      </w:r>
      <w:r>
        <w:instrText>xe "</w:instrText>
      </w:r>
      <w:r>
        <w:rPr>
          <w:rStyle w:val="xeentry"/>
        </w:rPr>
        <w:instrText>lerfu word: contrasted with lerfu</w:instrText>
      </w:r>
      <w:r>
        <w:instrText>"</w:instrText>
      </w:r>
      <w:r>
        <w:rPr>
          <w:rStyle w:val="indexentry"/>
        </w:rPr>
        <w:fldChar w:fldCharType="end"/>
      </w:r>
      <w:r>
        <w:rPr>
          <w:rStyle w:val="indexentry"/>
        </w:rPr>
        <w:t>&lt;cx "letter, contrasted with word for the letter"&gt;</w:t>
      </w:r>
      <w:r>
        <w:rPr>
          <w:rStyle w:val="indexentry"/>
        </w:rPr>
        <w:fldChar w:fldCharType="begin"/>
      </w:r>
      <w:r>
        <w:instrText>xe "</w:instrText>
      </w:r>
      <w:r>
        <w:rPr>
          <w:rStyle w:val="xeentry"/>
        </w:rPr>
        <w:instrText>letter: contrasted with word for the letter</w:instrText>
      </w:r>
      <w:r>
        <w:instrText>"</w:instrText>
      </w:r>
      <w:r>
        <w:rPr>
          <w:rStyle w:val="indexentry"/>
        </w:rPr>
        <w:fldChar w:fldCharType="end"/>
      </w:r>
      <w:r>
        <w:t>In earlier writings about Lojban, there has been a tendency to use the word</w:t>
      </w:r>
      <w:r>
        <w:rPr>
          <w:rStyle w:val="deletedparamark"/>
        </w:rPr>
        <w:t xml:space="preserve"> “</w:t>
      </w:r>
      <w:r>
        <w:t>lerfu” for both the letterals themselves and for the Lojban words which</w:t>
      </w:r>
      <w:r>
        <w:rPr>
          <w:rStyle w:val="deletedparamark"/>
        </w:rPr>
        <w:t xml:space="preserve"> </w:t>
      </w:r>
      <w:r>
        <w:t>represent them. In this chapter, that tendency will be ruthlessly suppressed,</w:t>
      </w:r>
      <w:r>
        <w:rPr>
          <w:rStyle w:val="deletedparamark"/>
        </w:rPr>
        <w:t xml:space="preserve"> </w:t>
      </w:r>
      <w:r>
        <w:t>and the term “lerfu word” will i</w:t>
      </w:r>
      <w:r>
        <w:t>n</w:t>
      </w:r>
      <w:r>
        <w:softHyphen/>
        <w:t>variably be used for the latter. The</w:t>
      </w:r>
      <w:r>
        <w:rPr>
          <w:rStyle w:val="deletedparamark"/>
        </w:rPr>
        <w:t xml:space="preserve"> </w:t>
      </w:r>
      <w:r>
        <w:t>Lojban equivalent would be “lerfu valsi” or “lervla”.</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name=s2&gt;&lt;h3&gt;</w:t>
      </w:r>
      <w:bookmarkStart w:id="474" w:name="_Toc398970712"/>
      <w:r>
        <w:rPr>
          <w:rStyle w:val="Heading3Text"/>
        </w:rPr>
        <w:t>A to Z in Lojban, plus one</w:t>
      </w:r>
      <w:bookmarkEnd w:id="47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"lerfu words, Lojban coverage requirement"&gt;</w:t>
      </w:r>
      <w:r>
        <w:rPr>
          <w:rStyle w:val="indexentry"/>
        </w:rPr>
        <w:fldChar w:fldCharType="begin"/>
      </w:r>
      <w:r>
        <w:instrText>xe "</w:instrText>
      </w:r>
      <w:r>
        <w:rPr>
          <w:rStyle w:val="xeentry"/>
        </w:rPr>
        <w:instrText>lerfu words: Lojban coverage requirement</w:instrText>
      </w:r>
      <w:r>
        <w:instrText>"</w:instrText>
      </w:r>
      <w:r>
        <w:rPr>
          <w:rStyle w:val="indexentry"/>
        </w:rPr>
        <w:fldChar w:fldCharType="end"/>
      </w:r>
      <w:r>
        <w:t>The first requirement of a system of lerfu words for any language is that</w:t>
      </w:r>
      <w:r>
        <w:rPr>
          <w:rStyle w:val="deletedparamark"/>
        </w:rPr>
        <w:t xml:space="preserve"> </w:t>
      </w:r>
      <w:r>
        <w:t>they must represent the lerfu used to write the language. The lerfu words</w:t>
      </w:r>
      <w:r>
        <w:rPr>
          <w:rStyle w:val="deletedparamark"/>
        </w:rPr>
        <w:t xml:space="preserve"> </w:t>
      </w:r>
      <w:r>
        <w:t>for English are a motley crew: the relationship between “doubleyou” and</w:t>
      </w:r>
      <w:r>
        <w:rPr>
          <w:rStyle w:val="deletedparamark"/>
        </w:rPr>
        <w:t xml:space="preserve"> “</w:t>
      </w:r>
      <w:r>
        <w:t>w” is strictly historical in na</w:t>
      </w:r>
      <w:r>
        <w:softHyphen/>
        <w:t>ture; “aitch” represents “h” but has</w:t>
      </w:r>
      <w:r>
        <w:rPr>
          <w:rStyle w:val="deletedparamark"/>
        </w:rPr>
        <w:t xml:space="preserve"> </w:t>
      </w:r>
      <w:r>
        <w:t>no clear relationship to it at all; and “z” has two distinct lerfu words,</w:t>
      </w:r>
      <w:r>
        <w:rPr>
          <w:rStyle w:val="deletedparamark"/>
        </w:rPr>
        <w:t xml:space="preserve"> “</w:t>
      </w:r>
      <w:r>
        <w:t>zee” and “zed”, depending on the dialect of English in question.</w:t>
      </w:r>
    </w:p>
    <w:p w:rsidR="00B72047" w:rsidRDefault="00B72047">
      <w:pPr>
        <w:pStyle w:val="normalparagraph"/>
        <w:rPr>
          <w:rStyle w:val="htmlparacode"/>
        </w:rPr>
      </w:pPr>
      <w:r>
        <w:rPr>
          <w:rStyle w:val="htmlparacode"/>
          <w:vanish w:val="0"/>
        </w:rPr>
        <w:br w:type="page"/>
      </w:r>
      <w:r>
        <w:rPr>
          <w:rStyle w:val="htmlparacode"/>
        </w:rPr>
        <w:t>&lt;p&gt;</w:t>
      </w:r>
    </w:p>
    <w:p w:rsidR="00B72047" w:rsidRDefault="00B72047">
      <w:pPr>
        <w:pStyle w:val="normalparagraph"/>
        <w:spacing w:before="0"/>
      </w:pPr>
      <w:r>
        <w:rPr>
          <w:rStyle w:val="indexentry"/>
        </w:rPr>
        <w:t>&lt;cx "lerfu words, formation rules"&gt;</w:t>
      </w:r>
      <w:r>
        <w:rPr>
          <w:rStyle w:val="indexentry"/>
        </w:rPr>
        <w:fldChar w:fldCharType="begin"/>
      </w:r>
      <w:r>
        <w:instrText>xe "</w:instrText>
      </w:r>
      <w:r>
        <w:rPr>
          <w:rStyle w:val="xeentry"/>
        </w:rPr>
        <w:instrText>lerfu words: formation rules</w:instrText>
      </w:r>
      <w:r>
        <w:instrText>"</w:instrText>
      </w:r>
      <w:r>
        <w:rPr>
          <w:rStyle w:val="indexentry"/>
        </w:rPr>
        <w:fldChar w:fldCharType="end"/>
      </w:r>
      <w:r>
        <w:rPr>
          <w:rStyle w:val="indexentry"/>
        </w:rPr>
        <w:t>&lt;cx "lerfu words, for vowels"&gt;</w:t>
      </w:r>
      <w:r>
        <w:rPr>
          <w:rStyle w:val="indexentry"/>
        </w:rPr>
        <w:fldChar w:fldCharType="begin"/>
      </w:r>
      <w:r>
        <w:instrText>xe "</w:instrText>
      </w:r>
      <w:r>
        <w:rPr>
          <w:rStyle w:val="xeentry"/>
        </w:rPr>
        <w:instrText>lerfu words: for vowels</w:instrText>
      </w:r>
      <w:r>
        <w:instrText>"</w:instrText>
      </w:r>
      <w:r>
        <w:rPr>
          <w:rStyle w:val="indexentry"/>
        </w:rPr>
        <w:fldChar w:fldCharType="end"/>
      </w:r>
      <w:r>
        <w:rPr>
          <w:rStyle w:val="indexentry"/>
        </w:rPr>
        <w:t>&lt;cx "lerfu words, for consonants"&gt;</w:t>
      </w:r>
      <w:r>
        <w:rPr>
          <w:rStyle w:val="indexentry"/>
        </w:rPr>
        <w:fldChar w:fldCharType="begin"/>
      </w:r>
      <w:r>
        <w:instrText>xe "</w:instrText>
      </w:r>
      <w:r>
        <w:rPr>
          <w:rStyle w:val="xeentry"/>
        </w:rPr>
        <w:instrText>lerfu words: for consonants</w:instrText>
      </w:r>
      <w:r>
        <w:instrText>"</w:instrText>
      </w:r>
      <w:r>
        <w:rPr>
          <w:rStyle w:val="indexentry"/>
        </w:rPr>
        <w:fldChar w:fldCharType="end"/>
      </w:r>
      <w:r>
        <w:rPr>
          <w:rStyle w:val="indexentry"/>
        </w:rPr>
        <w:t>&lt;cx "lerfu word, for “ ' ”"&gt;</w:t>
      </w:r>
      <w:r>
        <w:rPr>
          <w:rStyle w:val="indexentry"/>
        </w:rPr>
        <w:fldChar w:fldCharType="begin"/>
      </w:r>
      <w:r>
        <w:instrText>xe "</w:instrText>
      </w:r>
      <w:r>
        <w:rPr>
          <w:rStyle w:val="xeentry"/>
        </w:rPr>
        <w:instrText xml:space="preserve">lerfu word: for  ' </w:instrText>
      </w:r>
      <w:r>
        <w:instrText>"</w:instrText>
      </w:r>
      <w:r>
        <w:rPr>
          <w:rStyle w:val="indexentry"/>
        </w:rPr>
        <w:fldChar w:fldCharType="end"/>
      </w:r>
      <w:r>
        <w:rPr>
          <w:rStyle w:val="indexentry"/>
        </w:rPr>
        <w:t>&lt;lx "BY"&gt;</w:t>
      </w:r>
      <w:r>
        <w:rPr>
          <w:rStyle w:val="indexentry"/>
        </w:rPr>
        <w:fldChar w:fldCharType="begin"/>
      </w:r>
      <w:r>
        <w:instrText>xe "</w:instrText>
      </w:r>
      <w:r>
        <w:rPr>
          <w:rStyle w:val="xeentry"/>
        </w:rPr>
        <w:instrText>BY selma’o</w:instrText>
      </w:r>
      <w:r>
        <w:instrText>"</w:instrText>
      </w:r>
      <w:r>
        <w:rPr>
          <w:rStyle w:val="indexentry"/>
        </w:rPr>
        <w:fldChar w:fldCharType="end"/>
      </w:r>
      <w:r>
        <w:t>All of Lojban's basic lerfu words are made by one of three rules: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to get a lerfu word for a vowel, add “bu”;</w:t>
      </w:r>
    </w:p>
    <w:p w:rsidR="00B72047" w:rsidRDefault="00B72047" w:rsidP="007E67C1">
      <w:pPr>
        <w:pStyle w:val="Listjustified"/>
        <w:numPr>
          <w:ilvl w:val="0"/>
          <w:numId w:val="2"/>
        </w:numPr>
        <w:ind w:left="792" w:hanging="432"/>
      </w:pPr>
      <w:r>
        <w:t>to get a lerfu word for a consonant, add “y”;</w:t>
      </w:r>
    </w:p>
    <w:p w:rsidR="00B72047" w:rsidRDefault="00B72047" w:rsidP="007E67C1">
      <w:pPr>
        <w:pStyle w:val="Listjustified"/>
        <w:numPr>
          <w:ilvl w:val="0"/>
          <w:numId w:val="2"/>
        </w:numPr>
        <w:ind w:left="792" w:hanging="432"/>
      </w:pPr>
      <w:r>
        <w:t>the lerfu word for “ ' ”is “.y'y”.</w:t>
      </w:r>
    </w:p>
    <w:p w:rsidR="00B72047" w:rsidRDefault="00B72047">
      <w:pPr>
        <w:pStyle w:val="normalafterexample"/>
      </w:pPr>
      <w:r>
        <w:rPr>
          <w:rStyle w:val="htmlcodes"/>
        </w:rPr>
        <w:t>&lt;/dl&gt;</w:t>
      </w:r>
      <w:r>
        <w:rPr>
          <w:rStyle w:val="indexentry"/>
        </w:rPr>
        <w:t>&lt;cx "lerfu words, table of Lojban"&gt;</w:t>
      </w:r>
      <w:r>
        <w:rPr>
          <w:rStyle w:val="indexentry"/>
        </w:rPr>
        <w:fldChar w:fldCharType="begin"/>
      </w:r>
      <w:r>
        <w:instrText>xe "</w:instrText>
      </w:r>
      <w:r>
        <w:rPr>
          <w:rStyle w:val="xeentry"/>
        </w:rPr>
        <w:instrText>lerfu words: table of Lojban</w:instrText>
      </w:r>
      <w:r>
        <w:instrText>"</w:instrText>
      </w:r>
      <w:r>
        <w:rPr>
          <w:rStyle w:val="indexentry"/>
        </w:rPr>
        <w:fldChar w:fldCharType="end"/>
      </w:r>
      <w:r>
        <w:t>Therefore, the following table represents the basic Lojban alphabet:</w:t>
      </w:r>
    </w:p>
    <w:p w:rsidR="00B72047" w:rsidRDefault="00B72047">
      <w:pPr>
        <w:ind w:firstLine="720"/>
        <w:rPr>
          <w:rStyle w:val="htmlparacode"/>
        </w:rPr>
      </w:pPr>
      <w:r>
        <w:rPr>
          <w:rStyle w:val="htmlparacode"/>
        </w:rPr>
        <w:t>&lt;p&gt;</w:t>
      </w:r>
    </w:p>
    <w:p w:rsidR="00B72047" w:rsidRDefault="00B72047">
      <w:pPr>
        <w:pStyle w:val="examplescaledpre"/>
      </w:pPr>
      <w:r>
        <w:rPr>
          <w:rStyle w:val="htmlcodes"/>
        </w:rPr>
        <w:t>&lt;pre&gt;</w:t>
      </w:r>
      <w:r>
        <w:t xml:space="preserve"> </w:t>
      </w:r>
      <w:r>
        <w:tab/>
        <w:t>'</w:t>
      </w:r>
      <w:r>
        <w:tab/>
        <w:t>a</w:t>
      </w:r>
      <w:r>
        <w:tab/>
        <w:t>b</w:t>
      </w:r>
      <w:r>
        <w:tab/>
        <w:t>c</w:t>
      </w:r>
      <w:r>
        <w:tab/>
        <w:t>d</w:t>
      </w:r>
      <w:r>
        <w:tab/>
        <w:t>e</w:t>
      </w:r>
    </w:p>
    <w:p w:rsidR="00B72047" w:rsidRDefault="00B72047">
      <w:pPr>
        <w:pStyle w:val="examplescaled"/>
      </w:pPr>
      <w:r>
        <w:tab/>
        <w:t>.y'y.</w:t>
      </w:r>
      <w:r>
        <w:tab/>
        <w:t>.abu</w:t>
      </w:r>
      <w:r>
        <w:tab/>
        <w:t>by.</w:t>
      </w:r>
      <w:r>
        <w:tab/>
        <w:t>cy.</w:t>
      </w:r>
      <w:r>
        <w:tab/>
        <w:t>dy.</w:t>
      </w:r>
      <w:r>
        <w:tab/>
        <w:t>.ebu</w:t>
      </w:r>
    </w:p>
    <w:p w:rsidR="00B72047" w:rsidRDefault="00B72047">
      <w:pPr>
        <w:pStyle w:val="examplescaledpre"/>
      </w:pPr>
      <w:r>
        <w:tab/>
        <w:t>f</w:t>
      </w:r>
      <w:r>
        <w:tab/>
        <w:t>g</w:t>
      </w:r>
      <w:r>
        <w:tab/>
        <w:t>i</w:t>
      </w:r>
      <w:r>
        <w:tab/>
        <w:t>j</w:t>
      </w:r>
      <w:r>
        <w:tab/>
        <w:t>k</w:t>
      </w:r>
      <w:r>
        <w:tab/>
        <w:t>l</w:t>
      </w:r>
    </w:p>
    <w:p w:rsidR="00B72047" w:rsidRDefault="00B72047">
      <w:pPr>
        <w:pStyle w:val="examplescaled"/>
      </w:pPr>
      <w:r>
        <w:tab/>
        <w:t>fy.</w:t>
      </w:r>
      <w:r>
        <w:tab/>
        <w:t>gy.</w:t>
      </w:r>
      <w:r>
        <w:tab/>
        <w:t>.ibu</w:t>
      </w:r>
      <w:r>
        <w:tab/>
        <w:t>jy.</w:t>
      </w:r>
      <w:r>
        <w:tab/>
        <w:t>ky.</w:t>
      </w:r>
      <w:r>
        <w:tab/>
        <w:t>ly.</w:t>
      </w:r>
    </w:p>
    <w:p w:rsidR="00B72047" w:rsidRDefault="00B72047">
      <w:pPr>
        <w:pStyle w:val="examplescaledpre"/>
      </w:pPr>
      <w:r>
        <w:tab/>
        <w:t>m</w:t>
      </w:r>
      <w:r>
        <w:tab/>
        <w:t>n</w:t>
      </w:r>
      <w:r>
        <w:tab/>
        <w:t>o</w:t>
      </w:r>
      <w:r>
        <w:tab/>
        <w:t>p</w:t>
      </w:r>
      <w:r>
        <w:tab/>
        <w:t>r</w:t>
      </w:r>
      <w:r>
        <w:tab/>
        <w:t>s</w:t>
      </w:r>
    </w:p>
    <w:p w:rsidR="00B72047" w:rsidRDefault="00B72047">
      <w:pPr>
        <w:pStyle w:val="examplescaled"/>
      </w:pPr>
      <w:r>
        <w:tab/>
        <w:t>my.</w:t>
      </w:r>
      <w:r>
        <w:tab/>
        <w:t>ny.</w:t>
      </w:r>
      <w:r>
        <w:tab/>
        <w:t>.obu</w:t>
      </w:r>
      <w:r>
        <w:tab/>
        <w:t>py.</w:t>
      </w:r>
      <w:r>
        <w:tab/>
        <w:t>ry.</w:t>
      </w:r>
      <w:r>
        <w:tab/>
        <w:t>sy.</w:t>
      </w:r>
    </w:p>
    <w:p w:rsidR="00B72047" w:rsidRDefault="00B72047">
      <w:pPr>
        <w:pStyle w:val="examplescaledpre"/>
      </w:pPr>
      <w:r>
        <w:tab/>
        <w:t>t</w:t>
      </w:r>
      <w:r>
        <w:tab/>
        <w:t>u</w:t>
      </w:r>
      <w:r>
        <w:tab/>
        <w:t>v</w:t>
      </w:r>
      <w:r>
        <w:tab/>
        <w:t>x</w:t>
      </w:r>
      <w:r>
        <w:tab/>
        <w:t>y</w:t>
      </w:r>
      <w:r>
        <w:tab/>
        <w:t>z</w:t>
      </w:r>
    </w:p>
    <w:p w:rsidR="00B72047" w:rsidRDefault="00B72047">
      <w:pPr>
        <w:pStyle w:val="examplescaled"/>
      </w:pPr>
      <w:r>
        <w:tab/>
        <w:t>ty.</w:t>
      </w:r>
      <w:r>
        <w:tab/>
        <w:t>.ubu</w:t>
      </w:r>
      <w:r>
        <w:tab/>
        <w:t>vy.</w:t>
      </w:r>
      <w:r>
        <w:tab/>
        <w:t>xy.</w:t>
      </w:r>
      <w:r>
        <w:tab/>
        <w:t>.ybu</w:t>
      </w:r>
      <w:r>
        <w:tab/>
        <w:t>zy.</w:t>
      </w:r>
    </w:p>
    <w:p w:rsidR="00B72047" w:rsidRDefault="00B72047">
      <w:pPr>
        <w:pStyle w:val="normalafterexample"/>
      </w:pPr>
      <w:r>
        <w:rPr>
          <w:rStyle w:val="htmlcodes"/>
        </w:rPr>
        <w:t>&lt;/pre&gt;</w:t>
      </w:r>
      <w:r>
        <w:rPr>
          <w:rStyle w:val="indexentry"/>
        </w:rPr>
        <w:t>&lt;cx "lerfu words for vowels, pause requirement before"&gt;</w:t>
      </w:r>
      <w:r>
        <w:rPr>
          <w:rStyle w:val="indexentry"/>
        </w:rPr>
        <w:fldChar w:fldCharType="begin"/>
      </w:r>
      <w:r>
        <w:instrText>xe "</w:instrText>
      </w:r>
      <w:r>
        <w:rPr>
          <w:rStyle w:val="xeentry"/>
        </w:rPr>
        <w:instrText>lerfu words for vowels: pause requirement before</w:instrText>
      </w:r>
      <w:r>
        <w:instrText>"</w:instrText>
      </w:r>
      <w:r>
        <w:rPr>
          <w:rStyle w:val="indexentry"/>
        </w:rPr>
        <w:fldChar w:fldCharType="end"/>
      </w:r>
      <w:r>
        <w:rPr>
          <w:rStyle w:val="indexentry"/>
        </w:rPr>
        <w:t>&lt;cx "lerfu words, consonant words contrasted with vowel words"&gt;</w:t>
      </w:r>
      <w:r>
        <w:rPr>
          <w:rStyle w:val="indexentry"/>
        </w:rPr>
        <w:fldChar w:fldCharType="begin"/>
      </w:r>
      <w:r>
        <w:instrText>xe "</w:instrText>
      </w:r>
      <w:r>
        <w:rPr>
          <w:rStyle w:val="xeentry"/>
        </w:rPr>
        <w:instrText>lerfu words: consonant words contrasted with vowel words</w:instrText>
      </w:r>
      <w:r>
        <w:instrText>"</w:instrText>
      </w:r>
      <w:r>
        <w:rPr>
          <w:rStyle w:val="indexentry"/>
        </w:rPr>
        <w:fldChar w:fldCharType="end"/>
      </w:r>
      <w:r>
        <w:rPr>
          <w:rStyle w:val="indexentry"/>
        </w:rPr>
        <w:t>&lt;cx "lerfu words, vowel words contrasted with consonant words"&gt;</w:t>
      </w:r>
      <w:r>
        <w:rPr>
          <w:rStyle w:val="indexentry"/>
        </w:rPr>
        <w:fldChar w:fldCharType="begin"/>
      </w:r>
      <w:r>
        <w:instrText>xe "</w:instrText>
      </w:r>
      <w:r>
        <w:rPr>
          <w:rStyle w:val="xeentry"/>
        </w:rPr>
        <w:instrText>lerfu words: vowel words contrasted with consonant words</w:instrText>
      </w:r>
      <w:r>
        <w:instrText>"</w:instrText>
      </w:r>
      <w:r>
        <w:rPr>
          <w:rStyle w:val="indexentry"/>
        </w:rPr>
        <w:fldChar w:fldCharType="end"/>
      </w:r>
      <w:r>
        <w:rPr>
          <w:rStyle w:val="indexentry"/>
        </w:rPr>
        <w:t>&lt;cx "lerfu words, composed of single cmavo"&gt;</w:t>
      </w:r>
      <w:r>
        <w:rPr>
          <w:rStyle w:val="indexentry"/>
        </w:rPr>
        <w:fldChar w:fldCharType="begin"/>
      </w:r>
      <w:r>
        <w:instrText>xe "</w:instrText>
      </w:r>
      <w:r>
        <w:rPr>
          <w:rStyle w:val="xeentry"/>
        </w:rPr>
        <w:instrText>lerfu words: composed of single cmavo</w:instrText>
      </w:r>
      <w:r>
        <w:instrText>"</w:instrText>
      </w:r>
      <w:r>
        <w:rPr>
          <w:rStyle w:val="indexentry"/>
        </w:rPr>
        <w:fldChar w:fldCharType="end"/>
      </w:r>
      <w:r>
        <w:rPr>
          <w:rStyle w:val="indexentry"/>
        </w:rPr>
        <w:t>&lt;cx "lerfu words, composed of compound cmavo"&gt;</w:t>
      </w:r>
      <w:r>
        <w:rPr>
          <w:rStyle w:val="indexentry"/>
        </w:rPr>
        <w:fldChar w:fldCharType="begin"/>
      </w:r>
      <w:r>
        <w:instrText>xe "</w:instrText>
      </w:r>
      <w:r>
        <w:rPr>
          <w:rStyle w:val="xeentry"/>
        </w:rPr>
        <w:instrText>lerfu words: composed of compound cmavo</w:instrText>
      </w:r>
      <w:r>
        <w:instrText>"</w:instrText>
      </w:r>
      <w:r>
        <w:rPr>
          <w:rStyle w:val="indexentry"/>
        </w:rPr>
        <w:fldChar w:fldCharType="end"/>
      </w:r>
      <w:r>
        <w:rPr>
          <w:rStyle w:val="indexentry"/>
        </w:rPr>
        <w:t>&lt;lx "bu"&gt;</w:t>
      </w:r>
      <w:r>
        <w:rPr>
          <w:rStyle w:val="indexentry"/>
        </w:rPr>
        <w:fldChar w:fldCharType="begin"/>
      </w:r>
      <w:r>
        <w:instrText>xe "</w:instrText>
      </w:r>
      <w:r>
        <w:rPr>
          <w:rStyle w:val="xeentry"/>
        </w:rPr>
        <w:instrText>bu</w:instrText>
      </w:r>
      <w:r>
        <w:instrText>"</w:instrText>
      </w:r>
      <w:r>
        <w:rPr>
          <w:rStyle w:val="indexentry"/>
        </w:rPr>
        <w:fldChar w:fldCharType="end"/>
      </w:r>
      <w:r>
        <w:rPr>
          <w:rStyle w:val="indexentry"/>
        </w:rPr>
        <w:t>&lt;lx "BU"&gt;</w:t>
      </w:r>
      <w:r>
        <w:rPr>
          <w:rStyle w:val="indexentry"/>
        </w:rPr>
        <w:fldChar w:fldCharType="begin"/>
      </w:r>
      <w:r>
        <w:instrText>xe "</w:instrText>
      </w:r>
      <w:r>
        <w:rPr>
          <w:rStyle w:val="xeentry"/>
        </w:rPr>
        <w:instrText>BU selma’o</w:instrText>
      </w:r>
      <w:r>
        <w:instrText>"</w:instrText>
      </w:r>
      <w:r>
        <w:rPr>
          <w:rStyle w:val="indexentry"/>
        </w:rPr>
        <w:fldChar w:fldCharType="end"/>
      </w:r>
      <w:r>
        <w:rPr>
          <w:rStyle w:val="indexentry"/>
        </w:rPr>
        <w:t>&lt;cx "bu, effect on preceding word"&gt;</w:t>
      </w:r>
      <w:r>
        <w:rPr>
          <w:rStyle w:val="indexentry"/>
        </w:rPr>
        <w:fldChar w:fldCharType="begin"/>
      </w:r>
      <w:r>
        <w:instrText>xe "</w:instrText>
      </w:r>
      <w:r>
        <w:rPr>
          <w:rStyle w:val="xeentry"/>
        </w:rPr>
        <w:instrText>bu: effect on preceding word</w:instrText>
      </w:r>
      <w:r>
        <w:instrText>"</w:instrText>
      </w:r>
      <w:r>
        <w:rPr>
          <w:rStyle w:val="indexentry"/>
        </w:rPr>
        <w:fldChar w:fldCharType="end"/>
      </w:r>
      <w:r>
        <w:t>There are several things to note about this table. The consonant lerfu</w:t>
      </w:r>
      <w:r>
        <w:rPr>
          <w:rStyle w:val="deletedparamark"/>
        </w:rPr>
        <w:t xml:space="preserve"> </w:t>
      </w:r>
      <w:r>
        <w:t>words are a si</w:t>
      </w:r>
      <w:r>
        <w:t>n</w:t>
      </w:r>
      <w:r>
        <w:softHyphen/>
        <w:t>gle syllable, whereas the vowel and “ ' ” lerfu words are</w:t>
      </w:r>
      <w:r>
        <w:rPr>
          <w:rStyle w:val="deletedparamark"/>
        </w:rPr>
        <w:t xml:space="preserve"> </w:t>
      </w:r>
      <w:r>
        <w:t>two syllables and must be pr</w:t>
      </w:r>
      <w:r>
        <w:t>e</w:t>
      </w:r>
      <w:r>
        <w:softHyphen/>
        <w:t>ceded by pause (since they all begin with</w:t>
      </w:r>
      <w:r>
        <w:rPr>
          <w:rStyle w:val="deletedparamark"/>
        </w:rPr>
        <w:t xml:space="preserve"> </w:t>
      </w:r>
      <w:r>
        <w:t>a vowel). Another fact, not evident from the table but important</w:t>
      </w:r>
      <w:r>
        <w:rPr>
          <w:rStyle w:val="deletedparamark"/>
        </w:rPr>
        <w:t xml:space="preserve"> </w:t>
      </w:r>
      <w:r>
        <w:t>nonetheless, is that “by” and its like are single cmavo of selma'o BY, as is “.y'y”. The vowel lerfu words, on the other hand, are compound cmavo, made</w:t>
      </w:r>
      <w:r>
        <w:rPr>
          <w:rStyle w:val="deletedparamark"/>
        </w:rPr>
        <w:t xml:space="preserve"> </w:t>
      </w:r>
      <w:r>
        <w:t>from a single vowel cmavo plus the cmavo “bu” (which belongs to its own</w:t>
      </w:r>
      <w:r>
        <w:rPr>
          <w:rStyle w:val="deletedparamark"/>
        </w:rPr>
        <w:t xml:space="preserve"> </w:t>
      </w:r>
      <w:r>
        <w:t>selma'o, BU). All of the vowel cmavo have other meanings in Lojban (logical</w:t>
      </w:r>
      <w:r>
        <w:rPr>
          <w:rStyle w:val="deletedparamark"/>
        </w:rPr>
        <w:t xml:space="preserve"> </w:t>
      </w:r>
      <w:r>
        <w:t>connectives, sen</w:t>
      </w:r>
      <w:r>
        <w:softHyphen/>
        <w:t>tence separator, hesitation noise), but those meanings are</w:t>
      </w:r>
      <w:r>
        <w:rPr>
          <w:rStyle w:val="deletedparamark"/>
        </w:rPr>
        <w:t xml:space="preserve"> </w:t>
      </w:r>
      <w:r>
        <w:t>irrelevant when “bu” follows.</w:t>
      </w:r>
    </w:p>
    <w:p w:rsidR="00B72047" w:rsidRDefault="00B72047">
      <w:pPr>
        <w:rPr>
          <w:rStyle w:val="htmlparacode"/>
        </w:rPr>
      </w:pPr>
      <w:r>
        <w:rPr>
          <w:rStyle w:val="htmlparacode"/>
        </w:rPr>
        <w:t>&lt;p&gt;</w:t>
      </w:r>
    </w:p>
    <w:p w:rsidR="00B72047" w:rsidRDefault="00B72047">
      <w:pPr>
        <w:pStyle w:val="normalparagraph"/>
      </w:pPr>
      <w:r>
        <w:t>Here are some illustrations of common Lojban words spelled out using</w:t>
      </w:r>
      <w:r>
        <w:rPr>
          <w:rStyle w:val="deletedparamark"/>
        </w:rPr>
        <w:t xml:space="preserve"> </w:t>
      </w:r>
      <w:r>
        <w:t>the al</w:t>
      </w:r>
      <w:r>
        <w:softHyphen/>
        <w:t>phabet above: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ty. .abu ny. ry. .ubu</w:t>
      </w:r>
    </w:p>
    <w:p w:rsidR="00B72047" w:rsidRDefault="00B72047">
      <w:pPr>
        <w:pStyle w:val="examplescaled"/>
      </w:pPr>
      <w:r>
        <w:tab/>
        <w:t>“t” “a” “n” “r” “u”</w:t>
      </w:r>
    </w:p>
    <w:p w:rsidR="00B72047" w:rsidRDefault="00B72047">
      <w:pPr>
        <w:pStyle w:val="examplescaledpre"/>
      </w:pPr>
      <w:r>
        <w:rPr>
          <w:rStyle w:val="htmlcodes"/>
        </w:rPr>
        <w:t>&lt;a name=e2d2&gt;</w:t>
      </w:r>
      <w:r>
        <w:t>2.2)</w:t>
      </w:r>
      <w:r>
        <w:tab/>
        <w:t>ky. .obu .y'y. .abu</w:t>
      </w:r>
    </w:p>
    <w:p w:rsidR="00B72047" w:rsidRDefault="00B72047">
      <w:pPr>
        <w:pStyle w:val="examplescaled"/>
      </w:pPr>
      <w:r>
        <w:tab/>
        <w:t>“k” “o” “ ' ” “a”</w:t>
      </w:r>
    </w:p>
    <w:p w:rsidR="00B72047" w:rsidRDefault="00B72047">
      <w:pPr>
        <w:pStyle w:val="normalafterexample"/>
      </w:pPr>
      <w:r>
        <w:rPr>
          <w:rStyle w:val="htmlcodes"/>
        </w:rPr>
        <w:t>&lt;/pre&gt;</w:t>
      </w:r>
      <w:r>
        <w:rPr>
          <w:rStyle w:val="indexentry"/>
        </w:rPr>
        <w:t>&lt;cx "spelling out words, Lojban contrasted with English in usefulness"&gt;</w:t>
      </w:r>
      <w:r>
        <w:rPr>
          <w:rStyle w:val="indexentry"/>
        </w:rPr>
        <w:fldChar w:fldCharType="begin"/>
      </w:r>
      <w:r>
        <w:instrText>xe "</w:instrText>
      </w:r>
      <w:r>
        <w:rPr>
          <w:rStyle w:val="xeentry"/>
        </w:rPr>
        <w:instrText>spelling out words: Lojban contrasted with English</w:instrText>
      </w:r>
      <w:r>
        <w:instrText>"</w:instrText>
      </w:r>
      <w:r>
        <w:rPr>
          <w:rStyle w:val="indexentry"/>
        </w:rPr>
        <w:fldChar w:fldCharType="end"/>
      </w:r>
      <w:r>
        <w:rPr>
          <w:rStyle w:val="indexentry"/>
        </w:rPr>
        <w:t>&lt;cx "lerfu words, effect of systematic formulation"&gt;</w:t>
      </w:r>
      <w:r>
        <w:rPr>
          <w:rStyle w:val="indexentry"/>
        </w:rPr>
        <w:fldChar w:fldCharType="begin"/>
      </w:r>
      <w:r>
        <w:instrText>xe "</w:instrText>
      </w:r>
      <w:r>
        <w:rPr>
          <w:rStyle w:val="xeentry"/>
        </w:rPr>
        <w:instrText>lerfu words: effect of systematic formulation</w:instrText>
      </w:r>
      <w:r>
        <w:instrText>"</w:instrText>
      </w:r>
      <w:r>
        <w:rPr>
          <w:rStyle w:val="indexentry"/>
        </w:rPr>
        <w:fldChar w:fldCharType="end"/>
      </w:r>
      <w:r>
        <w:t>Spelling out words is less useful in Lojban than in English, for two</w:t>
      </w:r>
      <w:r>
        <w:rPr>
          <w:rStyle w:val="deletedparamark"/>
        </w:rPr>
        <w:t xml:space="preserve"> </w:t>
      </w:r>
      <w:r>
        <w:t>reasons: Lojban spelling is phonemic, so there can be no real dispute</w:t>
      </w:r>
      <w:r>
        <w:rPr>
          <w:rStyle w:val="deletedparamark"/>
        </w:rPr>
        <w:t xml:space="preserve"> </w:t>
      </w:r>
      <w:r>
        <w:t>about how a word is spelled; and the Lojban lerfu words sound more alike</w:t>
      </w:r>
      <w:r>
        <w:rPr>
          <w:rStyle w:val="deletedparamark"/>
        </w:rPr>
        <w:t xml:space="preserve"> </w:t>
      </w:r>
      <w:r>
        <w:t>than the English ones do, since they are made up systematically. The English</w:t>
      </w:r>
      <w:r>
        <w:rPr>
          <w:rStyle w:val="deletedparamark"/>
        </w:rPr>
        <w:t xml:space="preserve"> </w:t>
      </w:r>
      <w:r>
        <w:t>words “fail” and “vale” sound similar, but just hearing the first lerfu word</w:t>
      </w:r>
      <w:r>
        <w:rPr>
          <w:rStyle w:val="deletedparamark"/>
        </w:rPr>
        <w:t xml:space="preserve"> </w:t>
      </w:r>
      <w:r>
        <w:t>of either, namely “eff” or “vee”, is enough to dis</w:t>
      </w:r>
      <w:r>
        <w:softHyphen/>
        <w:t>criminate easily between</w:t>
      </w:r>
      <w:r>
        <w:rPr>
          <w:rStyle w:val="deletedparamark"/>
        </w:rPr>
        <w:t xml:space="preserve"> </w:t>
      </w:r>
      <w:r>
        <w:t>them — and even if the first lerfu word were somehow con</w:t>
      </w:r>
      <w:r>
        <w:softHyphen/>
        <w:t>fused, neither</w:t>
      </w:r>
      <w:r>
        <w:rPr>
          <w:rStyle w:val="deletedparamark"/>
        </w:rPr>
        <w:t xml:space="preserve"> “</w:t>
      </w:r>
      <w:r>
        <w:t>vail” nor “fale” is a word of ordinary English, so the rest of the spelling</w:t>
      </w:r>
      <w:r>
        <w:rPr>
          <w:rStyle w:val="deletedparamark"/>
        </w:rPr>
        <w:t xml:space="preserve"> </w:t>
      </w:r>
      <w:r>
        <w:t>determines which word is meant. Still, the capability of spelling out words</w:t>
      </w:r>
      <w:r>
        <w:rPr>
          <w:rStyle w:val="deletedparamark"/>
        </w:rPr>
        <w:t xml:space="preserve"> </w:t>
      </w:r>
      <w:r>
        <w:t>does exist in Lojban.</w:t>
      </w:r>
    </w:p>
    <w:p w:rsidR="00B72047" w:rsidRDefault="00B72047">
      <w:pPr>
        <w:rPr>
          <w:rStyle w:val="htmlparacode"/>
        </w:rPr>
      </w:pPr>
      <w:r>
        <w:rPr>
          <w:rStyle w:val="htmlparacode"/>
        </w:rPr>
        <w:t>&lt;p&gt;</w:t>
      </w:r>
    </w:p>
    <w:p w:rsidR="00B72047" w:rsidRDefault="00B72047">
      <w:pPr>
        <w:pStyle w:val="normalparagraph"/>
      </w:pPr>
      <w:r>
        <w:rPr>
          <w:rStyle w:val="indexentry"/>
        </w:rPr>
        <w:t>&lt;cx "lerfu words ending with “y”, pause after, rationale"&gt;</w:t>
      </w:r>
      <w:r>
        <w:rPr>
          <w:rStyle w:val="indexentry"/>
        </w:rPr>
        <w:fldChar w:fldCharType="begin"/>
      </w:r>
      <w:r>
        <w:instrText>xe "</w:instrText>
      </w:r>
      <w:r>
        <w:rPr>
          <w:rStyle w:val="xeentry"/>
        </w:rPr>
        <w:instrText>lerfu words ending with y: pause after, rationale</w:instrText>
      </w:r>
      <w:r>
        <w:instrText>"</w:instrText>
      </w:r>
      <w:r>
        <w:rPr>
          <w:rStyle w:val="indexentry"/>
        </w:rPr>
        <w:fldChar w:fldCharType="end"/>
      </w:r>
      <w:r>
        <w:t xml:space="preserve">Note that the lerfu words ending in “y” were written (in </w:t>
      </w:r>
      <w:r>
        <w:rPr>
          <w:rStyle w:val="htmlcodes"/>
        </w:rPr>
        <w:t>&lt;a href=#e2d1&gt;</w:t>
      </w:r>
      <w:r>
        <w:t xml:space="preserve">Example 2.1 </w:t>
      </w:r>
      <w:r>
        <w:rPr>
          <w:rStyle w:val="htmlcodes"/>
        </w:rPr>
        <w:t>&lt;/a&gt;</w:t>
      </w:r>
      <w:r>
        <w:t>and</w:t>
      </w:r>
      <w:r>
        <w:rPr>
          <w:rStyle w:val="deletedparamark"/>
        </w:rPr>
        <w:t xml:space="preserve"> </w:t>
      </w:r>
      <w:r>
        <w:rPr>
          <w:rStyle w:val="htmlcodes"/>
        </w:rPr>
        <w:t>&lt;a href=#e2d2&gt;</w:t>
      </w:r>
      <w:r>
        <w:t>Ex</w:t>
      </w:r>
      <w:r>
        <w:softHyphen/>
        <w:t>ample 2.2</w:t>
      </w:r>
      <w:r>
        <w:rPr>
          <w:rStyle w:val="htmlcodes"/>
        </w:rPr>
        <w:t>&lt;/a&gt;</w:t>
      </w:r>
      <w:r>
        <w:t>) with pauses after them. It is not strictly necessary to pause</w:t>
      </w:r>
      <w:r>
        <w:rPr>
          <w:rStyle w:val="deletedparamark"/>
        </w:rPr>
        <w:t xml:space="preserve"> </w:t>
      </w:r>
      <w:r>
        <w:t>after such lerfu words, but failure to do so can in some cases lead to</w:t>
      </w:r>
      <w:r>
        <w:rPr>
          <w:rStyle w:val="deletedparamark"/>
        </w:rPr>
        <w:t xml:space="preserve"> </w:t>
      </w:r>
      <w:r>
        <w:t>ambiguities: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name=e2d3&gt;</w:t>
      </w:r>
      <w:r>
        <w:t>2.3)</w:t>
      </w:r>
      <w:r>
        <w:tab/>
        <w:t>mi cy. claxu</w:t>
      </w:r>
    </w:p>
    <w:p w:rsidR="00B72047" w:rsidRDefault="00B72047">
      <w:pPr>
        <w:pStyle w:val="examplescaled"/>
      </w:pPr>
      <w:r>
        <w:tab/>
        <w:t>I lerfu-“c” without</w:t>
      </w:r>
    </w:p>
    <w:p w:rsidR="00B72047" w:rsidRDefault="00B72047">
      <w:pPr>
        <w:pStyle w:val="examplescaled"/>
      </w:pPr>
      <w:r>
        <w:tab/>
        <w:t>I am without (whatever is referred to by) the letter “c”.</w:t>
      </w:r>
    </w:p>
    <w:p w:rsidR="00B72047" w:rsidRDefault="00B72047">
      <w:pPr>
        <w:pStyle w:val="resumedafterexample"/>
      </w:pPr>
      <w:r>
        <w:rPr>
          <w:rStyle w:val="htmlcodes"/>
        </w:rPr>
        <w:t>&lt;/pre&gt;</w:t>
      </w:r>
      <w:r>
        <w:t>without a pause after “cy” would be interpreted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name=e2d4&gt;</w:t>
      </w:r>
      <w:r>
        <w:t>2.4)</w:t>
      </w:r>
      <w:r>
        <w:tab/>
        <w:t>micyclaxu</w:t>
      </w:r>
    </w:p>
    <w:p w:rsidR="00B72047" w:rsidRDefault="00B72047">
      <w:pPr>
        <w:pStyle w:val="examplescaled"/>
      </w:pPr>
      <w:r>
        <w:tab/>
        <w:t>(Observative:) doctor-without</w:t>
      </w:r>
    </w:p>
    <w:p w:rsidR="00B72047" w:rsidRDefault="00B72047">
      <w:pPr>
        <w:pStyle w:val="examplescaled"/>
      </w:pPr>
      <w:r>
        <w:tab/>
        <w:t>Something unspecified is without a doctor.</w:t>
      </w:r>
    </w:p>
    <w:p w:rsidR="00B72047" w:rsidRDefault="00B72047">
      <w:pPr>
        <w:pStyle w:val="normalafterexample"/>
      </w:pPr>
      <w:r>
        <w:rPr>
          <w:rStyle w:val="htmlcodes"/>
        </w:rPr>
        <w:t>&lt;/pre&gt;&lt;p&gt;</w:t>
      </w:r>
      <w:r>
        <w:t>A safe guideline is to pause after any cmavo ending in “y” unless the next</w:t>
      </w:r>
      <w:r>
        <w:rPr>
          <w:rStyle w:val="deletedparamark"/>
        </w:rPr>
        <w:t xml:space="preserve"> </w:t>
      </w:r>
      <w:r>
        <w:t>word is also a cmavo ending in “y”. The safest and easiest guideline is to</w:t>
      </w:r>
      <w:r>
        <w:rPr>
          <w:rStyle w:val="deletedparamark"/>
        </w:rPr>
        <w:t xml:space="preserve"> </w:t>
      </w:r>
      <w:r>
        <w:t>pause after all of them.</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475" w:name="_Toc398970713"/>
      <w:r>
        <w:rPr>
          <w:rStyle w:val="Heading3Text"/>
        </w:rPr>
        <w:t>Upper and lower cases</w:t>
      </w:r>
      <w:bookmarkEnd w:id="47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"upper-case letters, Lojban usage contrasted with English"&gt;</w:t>
      </w:r>
      <w:r>
        <w:rPr>
          <w:rStyle w:val="indexentry"/>
        </w:rPr>
        <w:fldChar w:fldCharType="begin"/>
      </w:r>
      <w:r>
        <w:instrText>xe "</w:instrText>
      </w:r>
      <w:r>
        <w:rPr>
          <w:rStyle w:val="xeentry"/>
        </w:rPr>
        <w:instrText>upper-case letters: Lojban usage contrasted with English</w:instrText>
      </w:r>
      <w:r>
        <w:instrText>"</w:instrText>
      </w:r>
      <w:r>
        <w:rPr>
          <w:rStyle w:val="indexentry"/>
        </w:rPr>
        <w:fldChar w:fldCharType="end"/>
      </w:r>
      <w:r>
        <w:rPr>
          <w:rStyle w:val="indexentry"/>
        </w:rPr>
        <w:t>&lt;cx "upper-case letters, English usage contrasted with Lojban"&gt;</w:t>
      </w:r>
      <w:r>
        <w:rPr>
          <w:rStyle w:val="indexentry"/>
        </w:rPr>
        <w:fldChar w:fldCharType="begin"/>
      </w:r>
      <w:r>
        <w:instrText>xe "</w:instrText>
      </w:r>
      <w:r>
        <w:rPr>
          <w:rStyle w:val="xeentry"/>
        </w:rPr>
        <w:instrText>upper-case letters: English usage contrasted with Lojban</w:instrText>
      </w:r>
      <w:r>
        <w:instrText>"</w:instrText>
      </w:r>
      <w:r>
        <w:rPr>
          <w:rStyle w:val="indexentry"/>
        </w:rPr>
        <w:fldChar w:fldCharType="end"/>
      </w:r>
      <w:r>
        <w:rPr>
          <w:rStyle w:val="indexentry"/>
        </w:rPr>
        <w:t>&lt;cx "lower-case letters, Lojban usage contrasted with English"&gt;</w:t>
      </w:r>
      <w:r>
        <w:rPr>
          <w:rStyle w:val="indexentry"/>
        </w:rPr>
        <w:fldChar w:fldCharType="begin"/>
      </w:r>
      <w:r>
        <w:instrText>xe "</w:instrText>
      </w:r>
      <w:r>
        <w:rPr>
          <w:rStyle w:val="xeentry"/>
        </w:rPr>
        <w:instrText>lower-case letters: Lojban usage contrasted with English</w:instrText>
      </w:r>
      <w:r>
        <w:instrText>"</w:instrText>
      </w:r>
      <w:r>
        <w:rPr>
          <w:rStyle w:val="indexentry"/>
        </w:rPr>
        <w:fldChar w:fldCharType="end"/>
      </w:r>
      <w:r>
        <w:rPr>
          <w:rStyle w:val="indexentry"/>
        </w:rPr>
        <w:t>&lt;cx "lower-case letters, English usage contrasted with Lojban"&gt;</w:t>
      </w:r>
      <w:r>
        <w:rPr>
          <w:rStyle w:val="indexentry"/>
        </w:rPr>
        <w:fldChar w:fldCharType="begin"/>
      </w:r>
      <w:r>
        <w:instrText>xe "</w:instrText>
      </w:r>
      <w:r>
        <w:rPr>
          <w:rStyle w:val="xeentry"/>
        </w:rPr>
        <w:instrText>lower-case letters: English usage contrasted with Lojban</w:instrText>
      </w:r>
      <w:r>
        <w:instrText>"</w:instrText>
      </w:r>
      <w:r>
        <w:rPr>
          <w:rStyle w:val="indexentry"/>
        </w:rPr>
        <w:fldChar w:fldCharType="end"/>
      </w:r>
      <w:r>
        <w:rPr>
          <w:rStyle w:val="indexentry"/>
        </w:rPr>
        <w:t>&lt;cx "stress, irregular marked with upper-case"&gt;</w:t>
      </w:r>
      <w:r>
        <w:rPr>
          <w:rStyle w:val="indexentry"/>
        </w:rPr>
        <w:fldChar w:fldCharType="begin"/>
      </w:r>
      <w:r>
        <w:instrText>xe "</w:instrText>
      </w:r>
      <w:r>
        <w:rPr>
          <w:rStyle w:val="xeentry"/>
        </w:rPr>
        <w:instrText>stress: irregular marked with upper-case</w:instrText>
      </w:r>
      <w:r>
        <w:instrText>"</w:instrText>
      </w:r>
      <w:r>
        <w:rPr>
          <w:rStyle w:val="indexentry"/>
        </w:rPr>
        <w:fldChar w:fldCharType="end"/>
      </w:r>
      <w:r>
        <w:rPr>
          <w:rStyle w:val="indexentry"/>
        </w:rPr>
        <w:t>&lt;cx "capital letters, use in Lojban"&gt;</w:t>
      </w:r>
      <w:r>
        <w:rPr>
          <w:rStyle w:val="indexentry"/>
        </w:rPr>
        <w:fldChar w:fldCharType="begin"/>
      </w:r>
      <w:r>
        <w:instrText>xe "</w:instrText>
      </w:r>
      <w:r>
        <w:rPr>
          <w:rStyle w:val="xeentry"/>
        </w:rPr>
        <w:instrText>capital letters: use in Lojban</w:instrText>
      </w:r>
      <w:r>
        <w:instrText>"</w:instrText>
      </w:r>
      <w:r>
        <w:rPr>
          <w:rStyle w:val="indexentry"/>
        </w:rPr>
        <w:fldChar w:fldCharType="end"/>
      </w:r>
      <w:r>
        <w:rPr>
          <w:rStyle w:val="indexentry"/>
        </w:rPr>
        <w:t>&lt;cx "lower case letters, use in Lojban"&gt;</w:t>
      </w:r>
      <w:r>
        <w:rPr>
          <w:rStyle w:val="indexentry"/>
        </w:rPr>
        <w:fldChar w:fldCharType="begin"/>
      </w:r>
      <w:r>
        <w:instrText>xe "</w:instrText>
      </w:r>
      <w:r>
        <w:rPr>
          <w:rStyle w:val="xeentry"/>
        </w:rPr>
        <w:instrText>lower case letters: use in Lojban</w:instrText>
      </w:r>
      <w:r>
        <w:instrText>"</w:instrText>
      </w:r>
      <w:r>
        <w:rPr>
          <w:rStyle w:val="indexentry"/>
        </w:rPr>
        <w:fldChar w:fldCharType="end"/>
      </w:r>
      <w:r>
        <w:t>Lojban doesn't use lower-case (small) letters and upper-case (capital) letters</w:t>
      </w:r>
      <w:r>
        <w:rPr>
          <w:rStyle w:val="deletedparamark"/>
        </w:rPr>
        <w:t xml:space="preserve"> </w:t>
      </w:r>
      <w:r>
        <w:t>in the same way that English does; sentences do not begin with an upper-case</w:t>
      </w:r>
      <w:r>
        <w:rPr>
          <w:rStyle w:val="deletedparamark"/>
        </w:rPr>
        <w:t xml:space="preserve"> </w:t>
      </w:r>
      <w:r>
        <w:t>letter, nor do names. However, upper-case letters are used in Lojban to mark</w:t>
      </w:r>
      <w:r>
        <w:rPr>
          <w:rStyle w:val="deletedparamark"/>
        </w:rPr>
        <w:t xml:space="preserve"> </w:t>
      </w:r>
      <w:r>
        <w:t>irregular stress within names,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name=e3d1&gt;</w:t>
      </w:r>
      <w:r>
        <w:t>3.1)</w:t>
      </w:r>
      <w:r>
        <w:tab/>
        <w:t>.iVAN.</w:t>
      </w:r>
    </w:p>
    <w:p w:rsidR="00B72047" w:rsidRDefault="00B72047">
      <w:pPr>
        <w:pStyle w:val="examplescaled"/>
      </w:pPr>
      <w:r>
        <w:tab/>
        <w:t>the name “Ivan” in Russian/Slavic pronunciation.</w:t>
      </w:r>
    </w:p>
    <w:p w:rsidR="00B72047" w:rsidRDefault="00B72047">
      <w:pPr>
        <w:pStyle w:val="normalafterexample"/>
      </w:pPr>
      <w:r>
        <w:rPr>
          <w:rStyle w:val="htmlcodes"/>
        </w:rPr>
        <w:t>&lt;/pre&gt;</w:t>
      </w:r>
      <w:r>
        <w:rPr>
          <w:rStyle w:val="indexentry"/>
        </w:rPr>
        <w:t>&lt;cx "upper-case, lerfu word for"&gt;</w:t>
      </w:r>
      <w:r>
        <w:rPr>
          <w:rStyle w:val="indexentry"/>
        </w:rPr>
        <w:fldChar w:fldCharType="begin"/>
      </w:r>
      <w:r>
        <w:instrText>xe "</w:instrText>
      </w:r>
      <w:r>
        <w:rPr>
          <w:rStyle w:val="xeentry"/>
        </w:rPr>
        <w:instrText>upper-case: lerfu word for</w:instrText>
      </w:r>
      <w:r>
        <w:instrText>"</w:instrText>
      </w:r>
      <w:r>
        <w:rPr>
          <w:rStyle w:val="indexentry"/>
        </w:rPr>
        <w:fldChar w:fldCharType="end"/>
      </w:r>
      <w:r>
        <w:rPr>
          <w:rStyle w:val="indexentry"/>
        </w:rPr>
        <w:t>&lt;cx "lower-case, lerfu word for"&gt;</w:t>
      </w:r>
      <w:r>
        <w:rPr>
          <w:rStyle w:val="indexentry"/>
        </w:rPr>
        <w:fldChar w:fldCharType="begin"/>
      </w:r>
      <w:r>
        <w:instrText>xe "</w:instrText>
      </w:r>
      <w:r>
        <w:rPr>
          <w:rStyle w:val="xeentry"/>
        </w:rPr>
        <w:instrText>lower-case: lerfu word for</w:instrText>
      </w:r>
      <w:r>
        <w:instrText>"</w:instrText>
      </w:r>
      <w:r>
        <w:rPr>
          <w:rStyle w:val="indexentry"/>
        </w:rPr>
        <w:fldChar w:fldCharType="end"/>
      </w:r>
      <w:r>
        <w:rPr>
          <w:rStyle w:val="indexentry"/>
        </w:rPr>
        <w:t>&lt;lx "ga'e"&gt;</w:t>
      </w:r>
      <w:r>
        <w:rPr>
          <w:rStyle w:val="indexentry"/>
        </w:rPr>
        <w:fldChar w:fldCharType="begin"/>
      </w:r>
      <w:r>
        <w:instrText>xe "</w:instrText>
      </w:r>
      <w:r>
        <w:rPr>
          <w:rStyle w:val="xeentry"/>
        </w:rPr>
        <w:instrText>ga'e</w:instrText>
      </w:r>
      <w:r>
        <w:instrText>"</w:instrText>
      </w:r>
      <w:r>
        <w:rPr>
          <w:rStyle w:val="indexentry"/>
        </w:rPr>
        <w:fldChar w:fldCharType="end"/>
      </w:r>
      <w:r>
        <w:rPr>
          <w:rStyle w:val="indexentry"/>
        </w:rPr>
        <w:t>&lt;lx "to'a"&gt;</w:t>
      </w:r>
      <w:r>
        <w:rPr>
          <w:rStyle w:val="indexentry"/>
        </w:rPr>
        <w:fldChar w:fldCharType="begin"/>
      </w:r>
      <w:r>
        <w:instrText>xe "</w:instrText>
      </w:r>
      <w:r>
        <w:rPr>
          <w:rStyle w:val="xeentry"/>
        </w:rPr>
        <w:instrText>to'a</w:instrText>
      </w:r>
      <w:r>
        <w:instrText>"</w:instrText>
      </w:r>
      <w:r>
        <w:rPr>
          <w:rStyle w:val="indexentry"/>
        </w:rPr>
        <w:fldChar w:fldCharType="end"/>
      </w:r>
      <w:r>
        <w:rPr>
          <w:rStyle w:val="indexentry"/>
        </w:rPr>
        <w:t>&lt;cx "case, upper/lower specification"&gt;</w:t>
      </w:r>
      <w:r>
        <w:rPr>
          <w:rStyle w:val="indexentry"/>
        </w:rPr>
        <w:fldChar w:fldCharType="begin"/>
      </w:r>
      <w:r>
        <w:instrText>xe "</w:instrText>
      </w:r>
      <w:r>
        <w:rPr>
          <w:rStyle w:val="xeentry"/>
        </w:rPr>
        <w:instrText>case: upper/lower specification</w:instrText>
      </w:r>
      <w:r>
        <w:instrText>"</w:instrText>
      </w:r>
      <w:r>
        <w:rPr>
          <w:rStyle w:val="indexentry"/>
        </w:rPr>
        <w:fldChar w:fldCharType="end"/>
      </w:r>
      <w:r>
        <w:t>It would require far too many cmavo to assign one for each upper-case and one</w:t>
      </w:r>
      <w:r>
        <w:rPr>
          <w:rStyle w:val="deletedparamark"/>
        </w:rPr>
        <w:t xml:space="preserve"> </w:t>
      </w:r>
      <w:r>
        <w:t>for each lower-case lerfu, so instead we have two special cmavo “ga'e”</w:t>
      </w:r>
      <w:r>
        <w:rPr>
          <w:rStyle w:val="deletedparamark"/>
        </w:rPr>
        <w:t xml:space="preserve"> </w:t>
      </w:r>
      <w:r>
        <w:t>and “to'a” rep</w:t>
      </w:r>
      <w:r>
        <w:softHyphen/>
        <w:t>resent</w:t>
      </w:r>
      <w:r>
        <w:softHyphen/>
        <w:t>ing upper case and lower case respectively. They</w:t>
      </w:r>
      <w:r>
        <w:rPr>
          <w:rStyle w:val="deletedparamark"/>
        </w:rPr>
        <w:t xml:space="preserve"> </w:t>
      </w:r>
      <w:r>
        <w:t>belong to the same selma'o as the basic lerfu words, namely BY, and they</w:t>
      </w:r>
      <w:r>
        <w:rPr>
          <w:rStyle w:val="deletedparamark"/>
        </w:rPr>
        <w:t xml:space="preserve"> </w:t>
      </w:r>
      <w:r>
        <w:t>may be freely interspersed with them.</w:t>
      </w:r>
    </w:p>
    <w:p w:rsidR="00B72047" w:rsidRDefault="00B72047">
      <w:pPr>
        <w:rPr>
          <w:rStyle w:val="htmlparacode"/>
        </w:rPr>
      </w:pPr>
      <w:r>
        <w:rPr>
          <w:rStyle w:val="htmlparacode"/>
        </w:rPr>
        <w:t>&lt;p&gt;</w:t>
      </w:r>
    </w:p>
    <w:p w:rsidR="00B72047" w:rsidRDefault="00B72047">
      <w:pPr>
        <w:pStyle w:val="normalparagraph"/>
      </w:pPr>
      <w:r>
        <w:rPr>
          <w:rStyle w:val="indexentry"/>
        </w:rPr>
        <w:t>&lt;lx "ga'e"&gt;</w:t>
      </w:r>
      <w:r>
        <w:rPr>
          <w:rStyle w:val="indexentry"/>
        </w:rPr>
        <w:fldChar w:fldCharType="begin"/>
      </w:r>
      <w:r>
        <w:instrText>xe "</w:instrText>
      </w:r>
      <w:r>
        <w:rPr>
          <w:rStyle w:val="xeentry"/>
        </w:rPr>
        <w:instrText>ga'e</w:instrText>
      </w:r>
      <w:r>
        <w:instrText>"</w:instrText>
      </w:r>
      <w:r>
        <w:rPr>
          <w:rStyle w:val="indexentry"/>
        </w:rPr>
        <w:fldChar w:fldCharType="end"/>
      </w:r>
      <w:r>
        <w:rPr>
          <w:rStyle w:val="indexentry"/>
        </w:rPr>
        <w:t>&lt;cx "lower-case word, effect on following lerfu words"&gt;</w:t>
      </w:r>
      <w:r>
        <w:rPr>
          <w:rStyle w:val="indexentry"/>
        </w:rPr>
        <w:fldChar w:fldCharType="begin"/>
      </w:r>
      <w:r>
        <w:instrText>xe "</w:instrText>
      </w:r>
      <w:r>
        <w:rPr>
          <w:rStyle w:val="xeentry"/>
        </w:rPr>
        <w:instrText>lower-case word: effect on following lerfu words</w:instrText>
      </w:r>
      <w:r>
        <w:instrText>"</w:instrText>
      </w:r>
      <w:r>
        <w:rPr>
          <w:rStyle w:val="indexentry"/>
        </w:rPr>
        <w:fldChar w:fldCharType="end"/>
      </w:r>
      <w:r>
        <w:t>The effect of “ga'e” is to change the interpretation of all lerfu words</w:t>
      </w:r>
      <w:r>
        <w:rPr>
          <w:rStyle w:val="deletedparamark"/>
        </w:rPr>
        <w:t xml:space="preserve"> </w:t>
      </w:r>
      <w:r>
        <w:t>following it to be the upper-case version of the lerfu. An occurrence of</w:t>
      </w:r>
      <w:r>
        <w:rPr>
          <w:rStyle w:val="deletedparamark"/>
        </w:rPr>
        <w:t xml:space="preserve"> “</w:t>
      </w:r>
      <w:r>
        <w:t>to'a” causes the interpre</w:t>
      </w:r>
      <w:r>
        <w:softHyphen/>
        <w:t>tation to revert to lower case. Thus, “ga'e .abu”</w:t>
      </w:r>
      <w:r>
        <w:rPr>
          <w:rStyle w:val="deletedparamark"/>
        </w:rPr>
        <w:t xml:space="preserve"> </w:t>
      </w:r>
      <w:r>
        <w:t>means not “a” but “A”, and Ivan's name may be spelled out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name=e3d2&gt;</w:t>
      </w:r>
      <w:r>
        <w:t>3.2)</w:t>
      </w:r>
      <w:r>
        <w:tab/>
        <w:t>.ibu ga'e vy. .abu ny. to'a</w:t>
      </w:r>
    </w:p>
    <w:p w:rsidR="00B72047" w:rsidRDefault="00B72047">
      <w:pPr>
        <w:pStyle w:val="examplescaled"/>
      </w:pPr>
      <w:r>
        <w:tab/>
        <w:t>i [upper] V A N [lower]</w:t>
      </w:r>
    </w:p>
    <w:p w:rsidR="00B72047" w:rsidRDefault="00B72047">
      <w:pPr>
        <w:pStyle w:val="resumedafterexample"/>
      </w:pPr>
      <w:r>
        <w:rPr>
          <w:rStyle w:val="htmlcodes"/>
        </w:rPr>
        <w:t>&lt;/pre&gt;</w:t>
      </w:r>
      <w:r>
        <w:t>The cmavo and compound cmavo of this type will be called “shift words”.</w:t>
      </w:r>
    </w:p>
    <w:p w:rsidR="00B72047" w:rsidRDefault="00B72047">
      <w:pPr>
        <w:rPr>
          <w:rStyle w:val="htmlparacode"/>
        </w:rPr>
      </w:pPr>
      <w:r>
        <w:rPr>
          <w:rStyle w:val="htmlparacode"/>
        </w:rPr>
        <w:t>&lt;p&gt;</w:t>
      </w:r>
    </w:p>
    <w:p w:rsidR="00B72047" w:rsidRDefault="00B72047">
      <w:pPr>
        <w:pStyle w:val="normalparagraph"/>
      </w:pPr>
      <w:r>
        <w:rPr>
          <w:rStyle w:val="indexentry"/>
        </w:rPr>
        <w:t>&lt;cx "shift word, scope"&gt;</w:t>
      </w:r>
      <w:r>
        <w:rPr>
          <w:rStyle w:val="indexentry"/>
        </w:rPr>
        <w:fldChar w:fldCharType="begin"/>
      </w:r>
      <w:r>
        <w:instrText>xe "</w:instrText>
      </w:r>
      <w:r>
        <w:rPr>
          <w:rStyle w:val="xeentry"/>
        </w:rPr>
        <w:instrText>shift word: scope</w:instrText>
      </w:r>
      <w:r>
        <w:instrText>"</w:instrText>
      </w:r>
      <w:r>
        <w:rPr>
          <w:rStyle w:val="indexentry"/>
        </w:rPr>
        <w:fldChar w:fldCharType="end"/>
      </w:r>
      <w:r>
        <w:t>How long does a shift word last? Theoretically, until the next shift</w:t>
      </w:r>
      <w:r>
        <w:rPr>
          <w:rStyle w:val="deletedparamark"/>
        </w:rPr>
        <w:t xml:space="preserve"> </w:t>
      </w:r>
      <w:r>
        <w:t>word that contr</w:t>
      </w:r>
      <w:r>
        <w:t>a</w:t>
      </w:r>
      <w:r>
        <w:softHyphen/>
        <w:t>dicts it or until the end of text. In practice, it is</w:t>
      </w:r>
      <w:r>
        <w:rPr>
          <w:rStyle w:val="deletedparamark"/>
        </w:rPr>
        <w:t xml:space="preserve"> </w:t>
      </w:r>
      <w:r>
        <w:t>common to presume that a shift word is only in effect until the next</w:t>
      </w:r>
      <w:r>
        <w:rPr>
          <w:rStyle w:val="deletedparamark"/>
        </w:rPr>
        <w:t xml:space="preserve"> </w:t>
      </w:r>
      <w:r>
        <w:t>word other than a lerfu word is found.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"shift word, for single letter"&gt;</w:t>
      </w:r>
      <w:r>
        <w:rPr>
          <w:rStyle w:val="indexentry"/>
        </w:rPr>
        <w:fldChar w:fldCharType="begin"/>
      </w:r>
      <w:r>
        <w:instrText>xe "</w:instrText>
      </w:r>
      <w:r>
        <w:rPr>
          <w:rStyle w:val="xeentry"/>
        </w:rPr>
        <w:instrText>shift word: for single letter</w:instrText>
      </w:r>
      <w:r>
        <w:instrText>"</w:instrText>
      </w:r>
      <w:r>
        <w:rPr>
          <w:rStyle w:val="indexentry"/>
        </w:rPr>
        <w:fldChar w:fldCharType="end"/>
      </w:r>
      <w:r>
        <w:rPr>
          <w:rStyle w:val="indexentry"/>
        </w:rPr>
        <w:t>&lt;lx "LAU"&gt;</w:t>
      </w:r>
      <w:r>
        <w:rPr>
          <w:rStyle w:val="indexentry"/>
        </w:rPr>
        <w:fldChar w:fldCharType="begin"/>
      </w:r>
      <w:r>
        <w:instrText>xe "</w:instrText>
      </w:r>
      <w:r>
        <w:rPr>
          <w:rStyle w:val="xeentry"/>
        </w:rPr>
        <w:instrText>LAU selma’o</w:instrText>
      </w:r>
      <w:r>
        <w:instrText>"</w:instrText>
      </w:r>
      <w:r>
        <w:rPr>
          <w:rStyle w:val="indexentry"/>
        </w:rPr>
        <w:fldChar w:fldCharType="end"/>
      </w:r>
      <w:r>
        <w:rPr>
          <w:rStyle w:val="indexentry"/>
        </w:rPr>
        <w:t>&lt;cx "shift, single-letter, grammar of"&gt;</w:t>
      </w:r>
      <w:r>
        <w:rPr>
          <w:rStyle w:val="indexentry"/>
        </w:rPr>
        <w:fldChar w:fldCharType="begin"/>
      </w:r>
      <w:r>
        <w:instrText>xe "</w:instrText>
      </w:r>
      <w:r>
        <w:rPr>
          <w:rStyle w:val="xeentry"/>
        </w:rPr>
        <w:instrText>shift: single-letter, grammar of</w:instrText>
      </w:r>
      <w:r>
        <w:instrText>"</w:instrText>
      </w:r>
      <w:r>
        <w:rPr>
          <w:rStyle w:val="indexentry"/>
        </w:rPr>
        <w:fldChar w:fldCharType="end"/>
      </w:r>
      <w:r>
        <w:t>It is often convenient to shift just a single letter to upper case. The</w:t>
      </w:r>
      <w:r>
        <w:rPr>
          <w:rStyle w:val="deletedparamark"/>
        </w:rPr>
        <w:t xml:space="preserve"> </w:t>
      </w:r>
      <w:r>
        <w:t>cmavo “tau”, of selma'o LAU, is useful for the purpose. A LAU cmavo must</w:t>
      </w:r>
      <w:r>
        <w:rPr>
          <w:rStyle w:val="deletedparamark"/>
        </w:rPr>
        <w:t xml:space="preserve"> </w:t>
      </w:r>
      <w:r>
        <w:t>always be imme</w:t>
      </w:r>
      <w:r>
        <w:softHyphen/>
        <w:t>diately fo</w:t>
      </w:r>
      <w:r>
        <w:t>l</w:t>
      </w:r>
      <w:r>
        <w:softHyphen/>
        <w:t>lowed by a BY cmavo or its equivalent: the</w:t>
      </w:r>
      <w:r>
        <w:rPr>
          <w:rStyle w:val="deletedparamark"/>
        </w:rPr>
        <w:t xml:space="preserve"> </w:t>
      </w:r>
      <w:r>
        <w:t xml:space="preserve">combination is grammatically equivalent to a single BY. (See </w:t>
      </w:r>
      <w:r>
        <w:rPr>
          <w:rStyle w:val="htmlcodes"/>
        </w:rPr>
        <w:t>&lt;a href=#s14&gt;</w:t>
      </w:r>
      <w:r>
        <w:t xml:space="preserve">Section 14 </w:t>
      </w:r>
      <w:r>
        <w:rPr>
          <w:rStyle w:val="htmlcodes"/>
        </w:rPr>
        <w:t>&lt;/a&gt;</w:t>
      </w:r>
      <w:r>
        <w:t>for details.)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"chemical elements, use of single-letter shift for"&gt;</w:t>
      </w:r>
      <w:r>
        <w:rPr>
          <w:rStyle w:val="indexentry"/>
        </w:rPr>
        <w:fldChar w:fldCharType="begin"/>
      </w:r>
      <w:r>
        <w:instrText>xe "</w:instrText>
      </w:r>
      <w:r>
        <w:rPr>
          <w:rStyle w:val="xeentry"/>
        </w:rPr>
        <w:instrText>chemical elements: use of single-letter shift for</w:instrText>
      </w:r>
      <w:r>
        <w:instrText>"</w:instrText>
      </w:r>
      <w:r>
        <w:rPr>
          <w:rStyle w:val="indexentry"/>
        </w:rPr>
        <w:fldChar w:fldCharType="end"/>
      </w:r>
      <w:r>
        <w:t>A likely use of “tau” is in the internationally standardized symbols for</w:t>
      </w:r>
      <w:r>
        <w:rPr>
          <w:rStyle w:val="deletedparamark"/>
        </w:rPr>
        <w:t xml:space="preserve"> </w:t>
      </w:r>
      <w:r>
        <w:t>the chemical elements. Each element is represented using either a single</w:t>
      </w:r>
      <w:r>
        <w:rPr>
          <w:rStyle w:val="deletedparamark"/>
        </w:rPr>
        <w:t xml:space="preserve"> </w:t>
      </w:r>
      <w:r>
        <w:t>upper-case lerfu or one upper-case lerfu followed by one lower-case lerfu:</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name=e3d3&gt;</w:t>
      </w:r>
      <w:r>
        <w:t>3.3)</w:t>
      </w:r>
      <w:r>
        <w:tab/>
        <w:t>tau sy.</w:t>
      </w:r>
    </w:p>
    <w:p w:rsidR="00B72047" w:rsidRDefault="00B72047">
      <w:pPr>
        <w:pStyle w:val="examplescaled"/>
      </w:pPr>
      <w:r>
        <w:tab/>
        <w:t>[single shift] S</w:t>
      </w:r>
    </w:p>
    <w:p w:rsidR="00B72047" w:rsidRDefault="00B72047">
      <w:pPr>
        <w:pStyle w:val="examplescaled"/>
      </w:pPr>
      <w:r>
        <w:tab/>
        <w:t>S (chemical symbol for sulfur)</w:t>
      </w:r>
    </w:p>
    <w:p w:rsidR="00B72047" w:rsidRDefault="00B72047">
      <w:pPr>
        <w:pStyle w:val="examplescaledpre"/>
      </w:pPr>
      <w:r>
        <w:rPr>
          <w:rStyle w:val="htmlcodes"/>
        </w:rPr>
        <w:t>&lt;/pre&gt;&lt;pre&gt;&lt;a name=e3d4&gt;</w:t>
      </w:r>
      <w:r>
        <w:t>3.4)</w:t>
      </w:r>
      <w:r>
        <w:tab/>
        <w:t>tau sy. .ibu</w:t>
      </w:r>
    </w:p>
    <w:p w:rsidR="00B72047" w:rsidRDefault="00B72047">
      <w:pPr>
        <w:pStyle w:val="examplescaled"/>
      </w:pPr>
      <w:r>
        <w:tab/>
        <w:t>[single shift] S i</w:t>
      </w:r>
    </w:p>
    <w:p w:rsidR="00B72047" w:rsidRDefault="00B72047">
      <w:pPr>
        <w:pStyle w:val="examplescaled"/>
      </w:pPr>
      <w:r>
        <w:tab/>
        <w:t>Si (chemical symbol for silicon)</w:t>
      </w:r>
    </w:p>
    <w:p w:rsidR="00B72047" w:rsidRDefault="00B72047">
      <w:pPr>
        <w:pStyle w:val="resumedafterexample"/>
      </w:pPr>
      <w:r>
        <w:rPr>
          <w:rStyle w:val="htmlcodes"/>
        </w:rPr>
        <w:t>&lt;/pre&gt;</w:t>
      </w:r>
      <w:r>
        <w:rPr>
          <w:rStyle w:val="indexentry"/>
        </w:rPr>
        <w:t>&lt;cx "single-letter shift, as toggle"&gt;</w:t>
      </w:r>
      <w:r>
        <w:rPr>
          <w:rStyle w:val="indexentry"/>
        </w:rPr>
        <w:fldChar w:fldCharType="begin"/>
      </w:r>
      <w:r>
        <w:instrText>xe "</w:instrText>
      </w:r>
      <w:r>
        <w:rPr>
          <w:rStyle w:val="xeentry"/>
        </w:rPr>
        <w:instrText>single-letter shift: as toggle</w:instrText>
      </w:r>
      <w:r>
        <w:instrText>"</w:instrText>
      </w:r>
      <w:r>
        <w:rPr>
          <w:rStyle w:val="indexentry"/>
        </w:rPr>
        <w:fldChar w:fldCharType="end"/>
      </w:r>
      <w:r>
        <w:t>If a shift to upper-case is in effect when “tau” appears, it shifts the</w:t>
      </w:r>
      <w:r>
        <w:rPr>
          <w:rStyle w:val="deletedparamark"/>
        </w:rPr>
        <w:t xml:space="preserve"> </w:t>
      </w:r>
      <w:r>
        <w:t>next lerfu word only to lower case, reversing its usual effect.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name=s4&gt;&lt;h3&gt;</w:t>
      </w:r>
      <w:bookmarkStart w:id="476" w:name="_Toc398970714"/>
      <w:r>
        <w:rPr>
          <w:rStyle w:val="Heading3Text"/>
        </w:rPr>
        <w:t>The universal “bu”</w:t>
      </w:r>
      <w:bookmarkEnd w:id="476"/>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"bu, for extension of lerfu word set"&gt;</w:t>
      </w:r>
      <w:r>
        <w:rPr>
          <w:rStyle w:val="indexentry"/>
        </w:rPr>
        <w:fldChar w:fldCharType="begin"/>
      </w:r>
      <w:r>
        <w:instrText>xe "</w:instrText>
      </w:r>
      <w:r>
        <w:rPr>
          <w:rStyle w:val="xeentry"/>
        </w:rPr>
        <w:instrText>bu: for extension of lerfu word set</w:instrText>
      </w:r>
      <w:r>
        <w:instrText>"</w:instrText>
      </w:r>
      <w:r>
        <w:rPr>
          <w:rStyle w:val="indexentry"/>
        </w:rPr>
        <w:fldChar w:fldCharType="end"/>
      </w:r>
      <w:r>
        <w:rPr>
          <w:rStyle w:val="indexentry"/>
        </w:rPr>
        <w:t>&lt;cx "lerfu word set extension, with bu"&gt;</w:t>
      </w:r>
      <w:r>
        <w:rPr>
          <w:rStyle w:val="indexentry"/>
        </w:rPr>
        <w:fldChar w:fldCharType="begin"/>
      </w:r>
      <w:r>
        <w:instrText>xe "</w:instrText>
      </w:r>
      <w:r>
        <w:rPr>
          <w:rStyle w:val="xeentry"/>
        </w:rPr>
        <w:instrText>lerfu word set extension: with bu</w:instrText>
      </w:r>
      <w:r>
        <w:instrText>"</w:instrText>
      </w:r>
      <w:r>
        <w:rPr>
          <w:rStyle w:val="indexentry"/>
        </w:rPr>
        <w:fldChar w:fldCharType="end"/>
      </w:r>
      <w:r>
        <w:t>So far we have seen “bu” only as a suffix to vowel cmavo to produce vowel</w:t>
      </w:r>
      <w:r>
        <w:rPr>
          <w:rStyle w:val="deletedparamark"/>
        </w:rPr>
        <w:t xml:space="preserve"> </w:t>
      </w:r>
      <w:r>
        <w:t>lerfu words. Originally, this was the only use of “bu”. In developing</w:t>
      </w:r>
      <w:r>
        <w:rPr>
          <w:rStyle w:val="deletedparamark"/>
        </w:rPr>
        <w:t xml:space="preserve"> </w:t>
      </w:r>
      <w:r>
        <w:t>the lerfu word system, however, it proved to be useful to allow “bu” to</w:t>
      </w:r>
      <w:r>
        <w:rPr>
          <w:rStyle w:val="deletedparamark"/>
        </w:rPr>
        <w:t xml:space="preserve"> </w:t>
      </w:r>
      <w:r>
        <w:t>be attached to any word what</w:t>
      </w:r>
      <w:r>
        <w:softHyphen/>
        <w:t>soever, in order to allow arbitrary extensions</w:t>
      </w:r>
      <w:r>
        <w:rPr>
          <w:rStyle w:val="deletedparamark"/>
        </w:rPr>
        <w:t xml:space="preserve"> </w:t>
      </w:r>
      <w:r>
        <w:t>of the basic lerfu word set.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"bu, grammar of"&gt;</w:t>
      </w:r>
      <w:r>
        <w:rPr>
          <w:rStyle w:val="indexentry"/>
        </w:rPr>
        <w:fldChar w:fldCharType="begin"/>
      </w:r>
      <w:r>
        <w:instrText>xe "</w:instrText>
      </w:r>
      <w:r>
        <w:rPr>
          <w:rStyle w:val="xeentry"/>
        </w:rPr>
        <w:instrText>bu: grammar of</w:instrText>
      </w:r>
      <w:r>
        <w:instrText>"</w:instrText>
      </w:r>
      <w:r>
        <w:rPr>
          <w:rStyle w:val="indexentry"/>
        </w:rPr>
        <w:fldChar w:fldCharType="end"/>
      </w:r>
      <w:r>
        <w:rPr>
          <w:rStyle w:val="indexentry"/>
        </w:rPr>
        <w:t>&lt;cx "bu, and compound cmavo"&gt;</w:t>
      </w:r>
      <w:r>
        <w:rPr>
          <w:rStyle w:val="indexentry"/>
        </w:rPr>
        <w:fldChar w:fldCharType="begin"/>
      </w:r>
      <w:r>
        <w:instrText>xe "</w:instrText>
      </w:r>
      <w:r>
        <w:rPr>
          <w:rStyle w:val="xeentry"/>
        </w:rPr>
        <w:instrText>bu: and compound cmavo</w:instrText>
      </w:r>
      <w:r>
        <w:instrText>"</w:instrText>
      </w:r>
      <w:r>
        <w:rPr>
          <w:rStyle w:val="indexentry"/>
        </w:rPr>
        <w:fldChar w:fldCharType="end"/>
      </w:r>
      <w:r>
        <w:rPr>
          <w:rStyle w:val="indexentry"/>
        </w:rPr>
        <w:t>&lt;cx "bu, interaction with ba'e"&gt;</w:t>
      </w:r>
      <w:r>
        <w:rPr>
          <w:rStyle w:val="indexentry"/>
        </w:rPr>
        <w:fldChar w:fldCharType="begin"/>
      </w:r>
      <w:r>
        <w:instrText>xe "</w:instrText>
      </w:r>
      <w:r>
        <w:rPr>
          <w:rStyle w:val="xeentry"/>
        </w:rPr>
        <w:instrText>bu: interactions</w:instrText>
      </w:r>
      <w:r>
        <w:instrText>"</w:instrText>
      </w:r>
      <w:r>
        <w:rPr>
          <w:rStyle w:val="indexentry"/>
        </w:rPr>
        <w:fldChar w:fldCharType="end"/>
      </w:r>
      <w:r>
        <w:rPr>
          <w:rStyle w:val="indexentry"/>
        </w:rPr>
        <w:t>&lt;cx "ba'e, interaction with bu"&gt;</w:t>
      </w:r>
      <w:r>
        <w:rPr>
          <w:rStyle w:val="indexentry"/>
        </w:rPr>
        <w:fldChar w:fldCharType="begin"/>
      </w:r>
      <w:r>
        <w:instrText>xe "</w:instrText>
      </w:r>
      <w:r>
        <w:rPr>
          <w:rStyle w:val="xeentry"/>
        </w:rPr>
        <w:instrText>ba'e: interaction with bu</w:instrText>
      </w:r>
      <w:r>
        <w:instrText>"</w:instrText>
      </w:r>
      <w:r>
        <w:rPr>
          <w:rStyle w:val="indexentry"/>
        </w:rPr>
        <w:fldChar w:fldCharType="end"/>
      </w:r>
      <w:r>
        <w:rPr>
          <w:rStyle w:val="indexentry"/>
        </w:rPr>
        <w:t>&lt;cx "za'e, interaction with bu"&gt;</w:t>
      </w:r>
      <w:r>
        <w:rPr>
          <w:rStyle w:val="indexentry"/>
        </w:rPr>
        <w:fldChar w:fldCharType="begin"/>
      </w:r>
      <w:r>
        <w:instrText>xe "</w:instrText>
      </w:r>
      <w:r>
        <w:rPr>
          <w:rStyle w:val="xeentry"/>
        </w:rPr>
        <w:instrText>za'e: interaction with bu</w:instrText>
      </w:r>
      <w:r>
        <w:instrText>"</w:instrText>
      </w:r>
      <w:r>
        <w:rPr>
          <w:rStyle w:val="indexentry"/>
        </w:rPr>
        <w:fldChar w:fldCharType="end"/>
      </w:r>
      <w:r>
        <w:rPr>
          <w:rStyle w:val="indexentry"/>
        </w:rPr>
        <w:t>&lt;cx "zei, interaction with bu"&gt;</w:t>
      </w:r>
      <w:r>
        <w:rPr>
          <w:rStyle w:val="indexentry"/>
        </w:rPr>
        <w:fldChar w:fldCharType="begin"/>
      </w:r>
      <w:r>
        <w:instrText>xe "</w:instrText>
      </w:r>
      <w:r>
        <w:rPr>
          <w:rStyle w:val="xeentry"/>
        </w:rPr>
        <w:instrText>zei: interaction with bu</w:instrText>
      </w:r>
      <w:r>
        <w:instrText>"</w:instrText>
      </w:r>
      <w:r>
        <w:rPr>
          <w:rStyle w:val="indexentry"/>
        </w:rPr>
        <w:fldChar w:fldCharType="end"/>
      </w:r>
      <w:r>
        <w:rPr>
          <w:rStyle w:val="indexentry"/>
        </w:rPr>
        <w:t>&lt;cx "zo, interaction with bu"&gt;</w:t>
      </w:r>
      <w:r>
        <w:rPr>
          <w:rStyle w:val="indexentry"/>
        </w:rPr>
        <w:fldChar w:fldCharType="begin"/>
      </w:r>
      <w:r>
        <w:instrText>xe "</w:instrText>
      </w:r>
      <w:r>
        <w:rPr>
          <w:rStyle w:val="xeentry"/>
        </w:rPr>
        <w:instrText>zo: interaction with bu</w:instrText>
      </w:r>
      <w:r>
        <w:instrText>"</w:instrText>
      </w:r>
      <w:r>
        <w:rPr>
          <w:rStyle w:val="indexentry"/>
        </w:rPr>
        <w:fldChar w:fldCharType="end"/>
      </w:r>
      <w:r>
        <w:rPr>
          <w:rStyle w:val="indexentry"/>
        </w:rPr>
        <w:t>&lt;cx "zoi, interaction with bu"&gt;</w:t>
      </w:r>
      <w:r>
        <w:rPr>
          <w:rStyle w:val="indexentry"/>
        </w:rPr>
        <w:fldChar w:fldCharType="begin"/>
      </w:r>
      <w:r>
        <w:instrText>xe "</w:instrText>
      </w:r>
      <w:r>
        <w:rPr>
          <w:rStyle w:val="xeentry"/>
        </w:rPr>
        <w:instrText>zoi: interaction with bu</w:instrText>
      </w:r>
      <w:r>
        <w:instrText>"</w:instrText>
      </w:r>
      <w:r>
        <w:rPr>
          <w:rStyle w:val="indexentry"/>
        </w:rPr>
        <w:fldChar w:fldCharType="end"/>
      </w:r>
      <w:r>
        <w:rPr>
          <w:rStyle w:val="indexentry"/>
        </w:rPr>
        <w:t>&lt;cx "la'o, interaction with bu"&gt;</w:t>
      </w:r>
      <w:r>
        <w:rPr>
          <w:rStyle w:val="indexentry"/>
        </w:rPr>
        <w:fldChar w:fldCharType="begin"/>
      </w:r>
      <w:r>
        <w:instrText>xe "</w:instrText>
      </w:r>
      <w:r>
        <w:rPr>
          <w:rStyle w:val="xeentry"/>
        </w:rPr>
        <w:instrText>la'o: interaction with bu</w:instrText>
      </w:r>
      <w:r>
        <w:instrText>"</w:instrText>
      </w:r>
      <w:r>
        <w:rPr>
          <w:rStyle w:val="indexentry"/>
        </w:rPr>
        <w:fldChar w:fldCharType="end"/>
      </w:r>
      <w:r>
        <w:rPr>
          <w:rStyle w:val="indexentry"/>
        </w:rPr>
        <w:t>&lt;cx "lo'u, interaction with bu"&gt;</w:t>
      </w:r>
      <w:r>
        <w:rPr>
          <w:rStyle w:val="indexentry"/>
        </w:rPr>
        <w:fldChar w:fldCharType="begin"/>
      </w:r>
      <w:r>
        <w:instrText>xe "</w:instrText>
      </w:r>
      <w:r>
        <w:rPr>
          <w:rStyle w:val="xeentry"/>
        </w:rPr>
        <w:instrText>lo'u: interaction with bu</w:instrText>
      </w:r>
      <w:r>
        <w:instrText>"</w:instrText>
      </w:r>
      <w:r>
        <w:rPr>
          <w:rStyle w:val="indexentry"/>
        </w:rPr>
        <w:fldChar w:fldCharType="end"/>
      </w:r>
      <w:r>
        <w:rPr>
          <w:rStyle w:val="indexentry"/>
        </w:rPr>
        <w:t>&lt;cx "si, interaction with bu"&gt;</w:t>
      </w:r>
      <w:r>
        <w:rPr>
          <w:rStyle w:val="indexentry"/>
        </w:rPr>
        <w:fldChar w:fldCharType="begin"/>
      </w:r>
      <w:r>
        <w:instrText>xe "</w:instrText>
      </w:r>
      <w:r>
        <w:rPr>
          <w:rStyle w:val="xeentry"/>
        </w:rPr>
        <w:instrText>si: interaction with bu</w:instrText>
      </w:r>
      <w:r>
        <w:instrText>"</w:instrText>
      </w:r>
      <w:r>
        <w:rPr>
          <w:rStyle w:val="indexentry"/>
        </w:rPr>
        <w:fldChar w:fldCharType="end"/>
      </w:r>
      <w:r>
        <w:rPr>
          <w:rStyle w:val="indexentry"/>
        </w:rPr>
        <w:t>&lt;cx "sa, interaction with bu"&gt;</w:t>
      </w:r>
      <w:r>
        <w:rPr>
          <w:rStyle w:val="indexentry"/>
        </w:rPr>
        <w:fldChar w:fldCharType="begin"/>
      </w:r>
      <w:r>
        <w:instrText>xe "</w:instrText>
      </w:r>
      <w:r>
        <w:rPr>
          <w:rStyle w:val="xeentry"/>
        </w:rPr>
        <w:instrText>sa: interaction with bu</w:instrText>
      </w:r>
      <w:r>
        <w:instrText>"</w:instrText>
      </w:r>
      <w:r>
        <w:rPr>
          <w:rStyle w:val="indexentry"/>
        </w:rPr>
        <w:fldChar w:fldCharType="end"/>
      </w:r>
      <w:r>
        <w:rPr>
          <w:rStyle w:val="indexentry"/>
        </w:rPr>
        <w:t>&lt;cx "su, interaction with bu"&gt;</w:t>
      </w:r>
      <w:r>
        <w:rPr>
          <w:rStyle w:val="indexentry"/>
        </w:rPr>
        <w:fldChar w:fldCharType="begin"/>
      </w:r>
      <w:r>
        <w:instrText>xe "</w:instrText>
      </w:r>
      <w:r>
        <w:rPr>
          <w:rStyle w:val="xeentry"/>
        </w:rPr>
        <w:instrText>su: interaction with bu</w:instrText>
      </w:r>
      <w:r>
        <w:instrText>"</w:instrText>
      </w:r>
      <w:r>
        <w:rPr>
          <w:rStyle w:val="indexentry"/>
        </w:rPr>
        <w:fldChar w:fldCharType="end"/>
      </w:r>
      <w:r>
        <w:rPr>
          <w:rStyle w:val="indexentry"/>
        </w:rPr>
        <w:t>&lt;cx "fa'o, interaction with bu"&gt;</w:t>
      </w:r>
      <w:r>
        <w:rPr>
          <w:rStyle w:val="indexentry"/>
        </w:rPr>
        <w:fldChar w:fldCharType="begin"/>
      </w:r>
      <w:r>
        <w:instrText>xe "</w:instrText>
      </w:r>
      <w:r>
        <w:rPr>
          <w:rStyle w:val="xeentry"/>
        </w:rPr>
        <w:instrText>fa'o: interaction with bu</w:instrText>
      </w:r>
      <w:r>
        <w:instrText>"</w:instrText>
      </w:r>
      <w:r>
        <w:rPr>
          <w:rStyle w:val="indexentry"/>
        </w:rPr>
        <w:fldChar w:fldCharType="end"/>
      </w:r>
      <w:r>
        <w:rPr>
          <w:rStyle w:val="indexentry"/>
        </w:rPr>
        <w:t>&lt;lx "ba'e"&gt;</w:t>
      </w:r>
      <w:r>
        <w:rPr>
          <w:rStyle w:val="indexentry"/>
        </w:rPr>
        <w:fldChar w:fldCharType="begin"/>
      </w:r>
      <w:r>
        <w:instrText>xe "</w:instrText>
      </w:r>
      <w:r>
        <w:rPr>
          <w:rStyle w:val="xeentry"/>
        </w:rPr>
        <w:instrText>ba'e</w:instrText>
      </w:r>
      <w:r>
        <w:instrText>"</w:instrText>
      </w:r>
      <w:r>
        <w:rPr>
          <w:rStyle w:val="indexentry"/>
        </w:rPr>
        <w:fldChar w:fldCharType="end"/>
      </w:r>
      <w:r>
        <w:rPr>
          <w:rStyle w:val="indexentry"/>
        </w:rPr>
        <w:t>&lt;lx "za'e"&gt;</w:t>
      </w:r>
      <w:r>
        <w:rPr>
          <w:rStyle w:val="indexentry"/>
        </w:rPr>
        <w:fldChar w:fldCharType="begin"/>
      </w:r>
      <w:r>
        <w:instrText>xe "</w:instrText>
      </w:r>
      <w:r>
        <w:rPr>
          <w:rStyle w:val="xeentry"/>
        </w:rPr>
        <w:instrText>za'e</w:instrText>
      </w:r>
      <w:r>
        <w:instrText>"</w:instrText>
      </w:r>
      <w:r>
        <w:rPr>
          <w:rStyle w:val="indexentry"/>
        </w:rPr>
        <w:fldChar w:fldCharType="end"/>
      </w:r>
      <w:r>
        <w:rPr>
          <w:rStyle w:val="indexentry"/>
        </w:rPr>
        <w:t>&lt;lx "zei"&gt;</w:t>
      </w:r>
      <w:r>
        <w:rPr>
          <w:rStyle w:val="indexentry"/>
        </w:rPr>
        <w:fldChar w:fldCharType="begin"/>
      </w:r>
      <w:r>
        <w:instrText>xe "</w:instrText>
      </w:r>
      <w:r>
        <w:rPr>
          <w:rStyle w:val="xeentry"/>
        </w:rPr>
        <w:instrText>zei</w:instrText>
      </w:r>
      <w:r>
        <w:instrText>"</w:instrText>
      </w:r>
      <w:r>
        <w:rPr>
          <w:rStyle w:val="indexentry"/>
        </w:rPr>
        <w:fldChar w:fldCharType="end"/>
      </w:r>
      <w:r>
        <w:rPr>
          <w:rStyle w:val="indexentry"/>
        </w:rPr>
        <w:t>&lt;lx "zo"&gt;</w:t>
      </w:r>
      <w:r>
        <w:rPr>
          <w:rStyle w:val="indexentry"/>
        </w:rPr>
        <w:fldChar w:fldCharType="begin"/>
      </w:r>
      <w:r>
        <w:instrText>xe "</w:instrText>
      </w:r>
      <w:r>
        <w:rPr>
          <w:rStyle w:val="xeentry"/>
        </w:rPr>
        <w:instrText>zo</w:instrText>
      </w:r>
      <w:r>
        <w:instrText>"</w:instrText>
      </w:r>
      <w:r>
        <w:rPr>
          <w:rStyle w:val="indexentry"/>
        </w:rPr>
        <w:fldChar w:fldCharType="end"/>
      </w:r>
      <w:r>
        <w:rPr>
          <w:rStyle w:val="indexentry"/>
        </w:rPr>
        <w:t>&lt;lx "zoi"&gt;</w:t>
      </w:r>
      <w:r>
        <w:rPr>
          <w:rStyle w:val="indexentry"/>
        </w:rPr>
        <w:fldChar w:fldCharType="begin"/>
      </w:r>
      <w:r>
        <w:instrText>xe "</w:instrText>
      </w:r>
      <w:r>
        <w:rPr>
          <w:rStyle w:val="xeentry"/>
        </w:rPr>
        <w:instrText>zoi</w:instrText>
      </w:r>
      <w:r>
        <w:instrText>"</w:instrText>
      </w:r>
      <w:r>
        <w:rPr>
          <w:rStyle w:val="indexentry"/>
        </w:rPr>
        <w:fldChar w:fldCharType="end"/>
      </w:r>
      <w:r>
        <w:rPr>
          <w:rStyle w:val="indexentry"/>
        </w:rPr>
        <w:t>&lt;lx "la'o"&gt;</w:t>
      </w:r>
      <w:r>
        <w:rPr>
          <w:rStyle w:val="indexentry"/>
        </w:rPr>
        <w:fldChar w:fldCharType="begin"/>
      </w:r>
      <w:r>
        <w:instrText>xe "</w:instrText>
      </w:r>
      <w:r>
        <w:rPr>
          <w:rStyle w:val="xeentry"/>
        </w:rPr>
        <w:instrText>la'o</w:instrText>
      </w:r>
      <w:r>
        <w:instrText>"</w:instrText>
      </w:r>
      <w:r>
        <w:rPr>
          <w:rStyle w:val="indexentry"/>
        </w:rPr>
        <w:fldChar w:fldCharType="end"/>
      </w:r>
      <w:r>
        <w:rPr>
          <w:rStyle w:val="indexentry"/>
        </w:rPr>
        <w:t>&lt;lx "lo'u"&gt;</w:t>
      </w:r>
      <w:r>
        <w:rPr>
          <w:rStyle w:val="indexentry"/>
        </w:rPr>
        <w:fldChar w:fldCharType="begin"/>
      </w:r>
      <w:r>
        <w:instrText>xe "</w:instrText>
      </w:r>
      <w:r>
        <w:rPr>
          <w:rStyle w:val="xeentry"/>
        </w:rPr>
        <w:instrText>lo'u</w:instrText>
      </w:r>
      <w:r>
        <w:instrText>"</w:instrText>
      </w:r>
      <w:r>
        <w:rPr>
          <w:rStyle w:val="indexentry"/>
        </w:rPr>
        <w:fldChar w:fldCharType="end"/>
      </w:r>
      <w:r>
        <w:rPr>
          <w:rStyle w:val="indexentry"/>
        </w:rPr>
        <w:t>&lt;lx "si"&gt;</w:t>
      </w:r>
      <w:r>
        <w:rPr>
          <w:rStyle w:val="indexentry"/>
        </w:rPr>
        <w:fldChar w:fldCharType="begin"/>
      </w:r>
      <w:r>
        <w:instrText>xe "</w:instrText>
      </w:r>
      <w:r>
        <w:rPr>
          <w:rStyle w:val="xeentry"/>
        </w:rPr>
        <w:instrText>si</w:instrText>
      </w:r>
      <w:r>
        <w:instrText>"</w:instrText>
      </w:r>
      <w:r>
        <w:rPr>
          <w:rStyle w:val="indexentry"/>
        </w:rPr>
        <w:fldChar w:fldCharType="end"/>
      </w:r>
      <w:r>
        <w:rPr>
          <w:rStyle w:val="indexentry"/>
        </w:rPr>
        <w:t>&lt;lx "sa"&gt;</w:t>
      </w:r>
      <w:r>
        <w:rPr>
          <w:rStyle w:val="indexentry"/>
        </w:rPr>
        <w:fldChar w:fldCharType="begin"/>
      </w:r>
      <w:r>
        <w:instrText>xe "</w:instrText>
      </w:r>
      <w:r>
        <w:rPr>
          <w:rStyle w:val="xeentry"/>
        </w:rPr>
        <w:instrText>sa</w:instrText>
      </w:r>
      <w:r>
        <w:instrText>"</w:instrText>
      </w:r>
      <w:r>
        <w:rPr>
          <w:rStyle w:val="indexentry"/>
        </w:rPr>
        <w:fldChar w:fldCharType="end"/>
      </w:r>
      <w:r>
        <w:rPr>
          <w:rStyle w:val="indexentry"/>
        </w:rPr>
        <w:t>&lt;lx "su"&gt;</w:t>
      </w:r>
      <w:r>
        <w:rPr>
          <w:rStyle w:val="indexentry"/>
        </w:rPr>
        <w:fldChar w:fldCharType="begin"/>
      </w:r>
      <w:r>
        <w:instrText>xe "</w:instrText>
      </w:r>
      <w:r>
        <w:rPr>
          <w:rStyle w:val="xeentry"/>
        </w:rPr>
        <w:instrText>su</w:instrText>
      </w:r>
      <w:r>
        <w:instrText>"</w:instrText>
      </w:r>
      <w:r>
        <w:rPr>
          <w:rStyle w:val="indexentry"/>
        </w:rPr>
        <w:fldChar w:fldCharType="end"/>
      </w:r>
      <w:r>
        <w:rPr>
          <w:rStyle w:val="indexentry"/>
        </w:rPr>
        <w:t>&lt;lx "fa'o"&gt;</w:t>
      </w:r>
      <w:r>
        <w:rPr>
          <w:rStyle w:val="indexentry"/>
        </w:rPr>
        <w:fldChar w:fldCharType="begin"/>
      </w:r>
      <w:r>
        <w:instrText>xe "</w:instrText>
      </w:r>
      <w:r>
        <w:rPr>
          <w:rStyle w:val="xeentry"/>
        </w:rPr>
        <w:instrText>fa'o</w:instrText>
      </w:r>
      <w:r>
        <w:instrText>"</w:instrText>
      </w:r>
      <w:r>
        <w:rPr>
          <w:rStyle w:val="indexentry"/>
        </w:rPr>
        <w:fldChar w:fldCharType="end"/>
      </w:r>
      <w:r>
        <w:t>Formally, “bu” may be attached to any single Lojban word. Compound cmavo</w:t>
      </w:r>
      <w:r>
        <w:rPr>
          <w:rStyle w:val="deletedparamark"/>
        </w:rPr>
        <w:t xml:space="preserve"> </w:t>
      </w:r>
      <w:r>
        <w:t>do not count as words for this purpose. The special cmavo “ba'e”, “za'e”,</w:t>
      </w:r>
      <w:r>
        <w:rPr>
          <w:rStyle w:val="deletedparamark"/>
        </w:rPr>
        <w:t xml:space="preserve"> “</w:t>
      </w:r>
      <w:r>
        <w:t>zei”, “zo”, “zoi”, “la'o”, “lo'u”, “si”, “sa”, “su”, and “fa'o”</w:t>
      </w:r>
      <w:r>
        <w:rPr>
          <w:rStyle w:val="deletedparamark"/>
        </w:rPr>
        <w:t xml:space="preserve"> </w:t>
      </w:r>
      <w:r>
        <w:t>may not have “bu” attached, because they are interpreted before “bu”</w:t>
      </w:r>
      <w:r>
        <w:rPr>
          <w:rStyle w:val="deletedparamark"/>
        </w:rPr>
        <w:t xml:space="preserve"> </w:t>
      </w:r>
      <w:r>
        <w:t>detection is done; in particular,</w:t>
      </w:r>
    </w:p>
    <w:p w:rsidR="00B72047" w:rsidRDefault="00B72047">
      <w:pPr>
        <w:rPr>
          <w:rStyle w:val="htmlparacode"/>
        </w:rPr>
      </w:pPr>
      <w:r>
        <w:rPr>
          <w:rStyle w:val="htmlparacode"/>
        </w:rPr>
        <w:t>&lt;p&gt;</w:t>
      </w:r>
    </w:p>
    <w:p w:rsidR="00B72047" w:rsidRDefault="00B72047">
      <w:pPr>
        <w:pStyle w:val="examplescaledpre"/>
      </w:pPr>
      <w:r>
        <w:rPr>
          <w:rStyle w:val="indexentry"/>
        </w:rPr>
        <w:t>&lt;ex "word “bu”"&gt;</w:t>
      </w:r>
      <w:r>
        <w:rPr>
          <w:rStyle w:val="indexentry"/>
        </w:rPr>
        <w:fldChar w:fldCharType="begin"/>
      </w:r>
      <w:r>
        <w:instrText>xe "</w:instrText>
      </w:r>
      <w:r>
        <w:rPr>
          <w:rStyle w:val="xeentry"/>
        </w:rPr>
        <w:instrText>word bu: example</w:instrText>
      </w:r>
      <w:r>
        <w:instrText>"</w:instrText>
      </w:r>
      <w:r>
        <w:rPr>
          <w:rStyle w:val="indexentry"/>
        </w:rPr>
        <w:fldChar w:fldCharType="end"/>
      </w:r>
      <w:r>
        <w:rPr>
          <w:rStyle w:val="htmlcodes"/>
        </w:rPr>
        <w:t xml:space="preserve"> &lt;pre&gt;&lt;a name=e4d1&gt;</w:t>
      </w:r>
      <w:r>
        <w:t>4.1)</w:t>
      </w:r>
      <w:r>
        <w:tab/>
        <w:t>zo bu</w:t>
      </w:r>
    </w:p>
    <w:p w:rsidR="00B72047" w:rsidRDefault="00B72047">
      <w:pPr>
        <w:pStyle w:val="examplescaled"/>
      </w:pPr>
      <w:r>
        <w:tab/>
        <w:t>the word “bu”</w:t>
      </w:r>
    </w:p>
    <w:p w:rsidR="00B72047" w:rsidRDefault="00B72047">
      <w:pPr>
        <w:pStyle w:val="resumedafterexample"/>
      </w:pPr>
      <w:r>
        <w:rPr>
          <w:rStyle w:val="htmlcodes"/>
        </w:rPr>
        <w:t>&lt;/pre&gt;</w:t>
      </w:r>
      <w:r>
        <w:rPr>
          <w:rStyle w:val="indexentry"/>
        </w:rPr>
        <w:t>&lt;cx "bu, effect of multiple"&gt;</w:t>
      </w:r>
      <w:r>
        <w:rPr>
          <w:rStyle w:val="indexentry"/>
        </w:rPr>
        <w:fldChar w:fldCharType="begin"/>
      </w:r>
      <w:r>
        <w:instrText>xe "</w:instrText>
      </w:r>
      <w:r>
        <w:rPr>
          <w:rStyle w:val="xeentry"/>
        </w:rPr>
        <w:instrText>bu: effect of multiple</w:instrText>
      </w:r>
      <w:r>
        <w:instrText>"</w:instrText>
      </w:r>
      <w:r>
        <w:rPr>
          <w:rStyle w:val="indexentry"/>
        </w:rPr>
        <w:fldChar w:fldCharType="end"/>
      </w:r>
      <w:r>
        <w:rPr>
          <w:rStyle w:val="indexentry"/>
        </w:rPr>
        <w:t>&lt;lx "bubu"&gt;</w:t>
      </w:r>
      <w:r>
        <w:rPr>
          <w:rStyle w:val="indexentry"/>
        </w:rPr>
        <w:fldChar w:fldCharType="begin"/>
      </w:r>
      <w:r>
        <w:instrText>xe "</w:instrText>
      </w:r>
      <w:r>
        <w:rPr>
          <w:rStyle w:val="xeentry"/>
        </w:rPr>
        <w:instrText>bubu</w:instrText>
      </w:r>
      <w:r>
        <w:instrText>"</w:instrText>
      </w:r>
      <w:r>
        <w:rPr>
          <w:rStyle w:val="indexentry"/>
        </w:rPr>
        <w:fldChar w:fldCharType="end"/>
      </w:r>
      <w:r>
        <w:rPr>
          <w:rStyle w:val="indexentry"/>
        </w:rPr>
        <w:t>&lt;cx "name, pause requirement in lerfu words"&gt;</w:t>
      </w:r>
      <w:r>
        <w:rPr>
          <w:rStyle w:val="indexentry"/>
        </w:rPr>
        <w:fldChar w:fldCharType="begin"/>
      </w:r>
      <w:r>
        <w:instrText>xe "</w:instrText>
      </w:r>
      <w:r>
        <w:rPr>
          <w:rStyle w:val="xeentry"/>
        </w:rPr>
        <w:instrText>names: pause requirement in lerfu words</w:instrText>
      </w:r>
      <w:r>
        <w:instrText>"</w:instrText>
      </w:r>
      <w:r>
        <w:rPr>
          <w:rStyle w:val="indexentry"/>
        </w:rPr>
        <w:fldChar w:fldCharType="end"/>
      </w:r>
      <w:r>
        <w:t>is needed when discussing “bu” in Lojban. It is also illegal to attach “bu”</w:t>
      </w:r>
      <w:r>
        <w:rPr>
          <w:rStyle w:val="deletedparamark"/>
        </w:rPr>
        <w:t xml:space="preserve"> </w:t>
      </w:r>
      <w:r>
        <w:t>to itself, but more than one “bu” may be attached to a word; thus “.abubu” is</w:t>
      </w:r>
      <w:r>
        <w:rPr>
          <w:rStyle w:val="deletedparamark"/>
        </w:rPr>
        <w:t xml:space="preserve"> </w:t>
      </w:r>
      <w:r>
        <w:t>legal, if ugly. (Its mea</w:t>
      </w:r>
      <w:r>
        <w:t>n</w:t>
      </w:r>
      <w:r>
        <w:softHyphen/>
        <w:t>ing is not defined, but it is presumably different</w:t>
      </w:r>
      <w:r>
        <w:rPr>
          <w:rStyle w:val="deletedparamark"/>
        </w:rPr>
        <w:t xml:space="preserve"> </w:t>
      </w:r>
      <w:r>
        <w:t>from “.abu”.) It does not matter if the word is a cmavo, a cmene, or a</w:t>
      </w:r>
      <w:r>
        <w:rPr>
          <w:rStyle w:val="deletedparamark"/>
        </w:rPr>
        <w:t xml:space="preserve"> </w:t>
      </w:r>
      <w:r>
        <w:t>brivla. All such words suffixed by “bu” are treated gra</w:t>
      </w:r>
      <w:r>
        <w:t>m</w:t>
      </w:r>
      <w:r>
        <w:softHyphen/>
        <w:t>matically as if they</w:t>
      </w:r>
      <w:r>
        <w:rPr>
          <w:rStyle w:val="deletedparamark"/>
        </w:rPr>
        <w:t xml:space="preserve"> </w:t>
      </w:r>
      <w:r>
        <w:t>were cmavo belonging to selma'o BY. However, if the word is a cmene it is</w:t>
      </w:r>
      <w:r>
        <w:rPr>
          <w:rStyle w:val="deletedparamark"/>
        </w:rPr>
        <w:t xml:space="preserve"> </w:t>
      </w:r>
      <w:r>
        <w:t>always necessary to precede and follow it by a pause, because otherwise the</w:t>
      </w:r>
      <w:r>
        <w:rPr>
          <w:rStyle w:val="deletedparamark"/>
        </w:rPr>
        <w:t xml:space="preserve"> </w:t>
      </w:r>
      <w:r>
        <w:t>cmene may absorb preceding or following words.</w:t>
      </w:r>
    </w:p>
    <w:p w:rsidR="00B72047" w:rsidRDefault="00B72047">
      <w:pPr>
        <w:rPr>
          <w:rStyle w:val="htmlparacode"/>
        </w:rPr>
      </w:pPr>
      <w:r>
        <w:rPr>
          <w:rStyle w:val="htmlparacode"/>
        </w:rPr>
        <w:t>&lt;p&gt;</w:t>
      </w:r>
    </w:p>
    <w:p w:rsidR="00B72047" w:rsidRDefault="00B72047">
      <w:pPr>
        <w:pStyle w:val="normalparagraph"/>
      </w:pPr>
      <w:r>
        <w:rPr>
          <w:rStyle w:val="indexentry"/>
        </w:rPr>
        <w:t>&lt;cx "unusual characters, words for"&gt;</w:t>
      </w:r>
      <w:r>
        <w:rPr>
          <w:rStyle w:val="indexentry"/>
        </w:rPr>
        <w:fldChar w:fldCharType="begin"/>
      </w:r>
      <w:r>
        <w:instrText>xe "</w:instrText>
      </w:r>
      <w:r>
        <w:rPr>
          <w:rStyle w:val="xeentry"/>
        </w:rPr>
        <w:instrText>unusual characters: words for</w:instrText>
      </w:r>
      <w:r>
        <w:instrText>"</w:instrText>
      </w:r>
      <w:r>
        <w:rPr>
          <w:rStyle w:val="indexentry"/>
        </w:rPr>
        <w:fldChar w:fldCharType="end"/>
      </w:r>
      <w:r>
        <w:rPr>
          <w:rStyle w:val="indexentry"/>
        </w:rPr>
        <w:t>&lt;cx "smiley face, word for"&gt;</w:t>
      </w:r>
      <w:r>
        <w:rPr>
          <w:rStyle w:val="indexentry"/>
        </w:rPr>
        <w:fldChar w:fldCharType="begin"/>
      </w:r>
      <w:r>
        <w:instrText>xe "</w:instrText>
      </w:r>
      <w:r>
        <w:rPr>
          <w:rStyle w:val="xeentry"/>
        </w:rPr>
        <w:instrText>smiley face: word for</w:instrText>
      </w:r>
      <w:r>
        <w:instrText>"</w:instrText>
      </w:r>
      <w:r>
        <w:rPr>
          <w:rStyle w:val="indexentry"/>
        </w:rPr>
        <w:fldChar w:fldCharType="end"/>
      </w:r>
      <w:r>
        <w:rPr>
          <w:rStyle w:val="indexentry"/>
        </w:rPr>
        <w:t>&lt;cx "logograms, words for"&gt;</w:t>
      </w:r>
      <w:r>
        <w:rPr>
          <w:rStyle w:val="indexentry"/>
        </w:rPr>
        <w:fldChar w:fldCharType="begin"/>
      </w:r>
      <w:r>
        <w:instrText>xe "</w:instrText>
      </w:r>
      <w:r>
        <w:rPr>
          <w:rStyle w:val="xeentry"/>
        </w:rPr>
        <w:instrText>logograms: words for</w:instrText>
      </w:r>
      <w:r>
        <w:instrText>"</w:instrText>
      </w:r>
      <w:r>
        <w:rPr>
          <w:rStyle w:val="indexentry"/>
        </w:rPr>
        <w:fldChar w:fldCharType="end"/>
      </w:r>
      <w:r>
        <w:rPr>
          <w:rStyle w:val="indexentry"/>
        </w:rPr>
        <w:t>&lt;ex "smiley face"&gt;</w:t>
      </w:r>
      <w:r>
        <w:rPr>
          <w:rStyle w:val="indexentry"/>
        </w:rPr>
        <w:fldChar w:fldCharType="begin"/>
      </w:r>
      <w:r>
        <w:instrText>xe "</w:instrText>
      </w:r>
      <w:r>
        <w:rPr>
          <w:rStyle w:val="xeentry"/>
        </w:rPr>
        <w:instrText>smiley face: example</w:instrText>
      </w:r>
      <w:r>
        <w:instrText>"</w:instrText>
      </w:r>
      <w:r>
        <w:rPr>
          <w:rStyle w:val="indexentry"/>
        </w:rPr>
        <w:fldChar w:fldCharType="end"/>
      </w:r>
      <w:r>
        <w:rPr>
          <w:rStyle w:val="indexentry"/>
        </w:rPr>
        <w:t>&lt;ex "happy face"&gt;</w:t>
      </w:r>
      <w:r>
        <w:rPr>
          <w:rStyle w:val="indexentry"/>
        </w:rPr>
        <w:fldChar w:fldCharType="begin"/>
      </w:r>
      <w:r>
        <w:instrText>xe "</w:instrText>
      </w:r>
      <w:r>
        <w:rPr>
          <w:rStyle w:val="xeentry"/>
        </w:rPr>
        <w:instrText>happy face: example</w:instrText>
      </w:r>
      <w:r>
        <w:instrText>"</w:instrText>
      </w:r>
      <w:r>
        <w:rPr>
          <w:rStyle w:val="indexentry"/>
        </w:rPr>
        <w:fldChar w:fldCharType="end"/>
      </w:r>
      <w:r>
        <w:t>The ability to attach “bu” to words has been used primarily to make</w:t>
      </w:r>
      <w:r>
        <w:rPr>
          <w:rStyle w:val="deletedparamark"/>
        </w:rPr>
        <w:t xml:space="preserve"> </w:t>
      </w:r>
      <w:r>
        <w:t>names for var</w:t>
      </w:r>
      <w:r>
        <w:t>i</w:t>
      </w:r>
      <w:r>
        <w:softHyphen/>
        <w:t>ous logograms and other unusual characters. For example,</w:t>
      </w:r>
      <w:r>
        <w:rPr>
          <w:rStyle w:val="deletedparamark"/>
        </w:rPr>
        <w:t xml:space="preserve"> </w:t>
      </w:r>
      <w:r>
        <w:t>the Lojban name for the “happy face” is “.uibu”, based on the attitudinal “.ui” that means “happiness”. Like</w:t>
      </w:r>
      <w:r>
        <w:softHyphen/>
        <w:t>wise, the “smiley face”, written “:-)” and used on computer networks to indicate humor, is called “zo'obu” The</w:t>
      </w:r>
      <w:r>
        <w:rPr>
          <w:rStyle w:val="deletedparamark"/>
        </w:rPr>
        <w:t xml:space="preserve"> </w:t>
      </w:r>
      <w:r>
        <w:t>existence of these names does not mean that you should insert “.uibu” into</w:t>
      </w:r>
      <w:r>
        <w:rPr>
          <w:rStyle w:val="deletedparamark"/>
        </w:rPr>
        <w:t xml:space="preserve"> </w:t>
      </w:r>
      <w:r>
        <w:t>running Lojban text to indicate that you are happy, or “zo'obu” when</w:t>
      </w:r>
      <w:r>
        <w:rPr>
          <w:rStyle w:val="deletedparamark"/>
        </w:rPr>
        <w:t xml:space="preserve"> </w:t>
      </w:r>
      <w:r>
        <w:t>som</w:t>
      </w:r>
      <w:r>
        <w:t>e</w:t>
      </w:r>
      <w:r>
        <w:softHyphen/>
        <w:t>thing is funny; instead, use the appropriate attitudinal directly.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"“&amp;”, word for"&gt;</w:t>
      </w:r>
      <w:r>
        <w:rPr>
          <w:rStyle w:val="indexentry"/>
        </w:rPr>
        <w:fldChar w:fldCharType="begin"/>
      </w:r>
      <w:r>
        <w:instrText>xe "</w:instrText>
      </w:r>
      <w:r>
        <w:rPr>
          <w:rStyle w:val="xeentry"/>
        </w:rPr>
        <w:instrText>&amp;: word for</w:instrText>
      </w:r>
      <w:r>
        <w:instrText>"</w:instrText>
      </w:r>
      <w:r>
        <w:rPr>
          <w:rStyle w:val="indexentry"/>
        </w:rPr>
        <w:fldChar w:fldCharType="end"/>
      </w:r>
      <w:r>
        <w:rPr>
          <w:rStyle w:val="indexentry"/>
        </w:rPr>
        <w:t>&lt;cx "ampersand character, word for"&gt;</w:t>
      </w:r>
      <w:r>
        <w:rPr>
          <w:rStyle w:val="indexentry"/>
        </w:rPr>
        <w:fldChar w:fldCharType="begin"/>
      </w:r>
      <w:r>
        <w:instrText>xe "</w:instrText>
      </w:r>
      <w:r>
        <w:rPr>
          <w:rStyle w:val="xeentry"/>
        </w:rPr>
        <w:instrText>ampersand character: word for</w:instrText>
      </w:r>
      <w:r>
        <w:instrText>"</w:instrText>
      </w:r>
      <w:r>
        <w:rPr>
          <w:rStyle w:val="indexentry"/>
        </w:rPr>
        <w:fldChar w:fldCharType="end"/>
      </w:r>
      <w:r>
        <w:rPr>
          <w:rStyle w:val="indexentry"/>
        </w:rPr>
        <w:t>&lt;ex "ampersand"&gt;</w:t>
      </w:r>
      <w:r>
        <w:rPr>
          <w:rStyle w:val="indexentry"/>
        </w:rPr>
        <w:fldChar w:fldCharType="begin"/>
      </w:r>
      <w:r>
        <w:instrText>xe "</w:instrText>
      </w:r>
      <w:r>
        <w:rPr>
          <w:rStyle w:val="xeentry"/>
        </w:rPr>
        <w:instrText>ampersand: example</w:instrText>
      </w:r>
      <w:r>
        <w:instrText>"</w:instrText>
      </w:r>
      <w:r>
        <w:rPr>
          <w:rStyle w:val="indexentry"/>
        </w:rPr>
        <w:fldChar w:fldCharType="end"/>
      </w:r>
      <w:r>
        <w:t>Likewise, “joibu” represents the ampersand character, “&amp;</w:t>
      </w:r>
      <w:r>
        <w:rPr>
          <w:rStyle w:val="htmlcodes"/>
        </w:rPr>
        <w:t>&amp;amp;</w:t>
      </w:r>
      <w:r>
        <w:t>”, based on the cmavo</w:t>
      </w:r>
      <w:r>
        <w:rPr>
          <w:rStyle w:val="deletedparamark"/>
        </w:rPr>
        <w:t xml:space="preserve"> “</w:t>
      </w:r>
      <w:r>
        <w:t>joi” meaning “mixed and”. Many more such lerfu words will probably be</w:t>
      </w:r>
      <w:r>
        <w:rPr>
          <w:rStyle w:val="deletedparamark"/>
        </w:rPr>
        <w:t xml:space="preserve"> </w:t>
      </w:r>
      <w:r>
        <w:t>in</w:t>
      </w:r>
      <w:r>
        <w:softHyphen/>
        <w:t>vented in future.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"pause, symbol for"&gt;</w:t>
      </w:r>
      <w:r>
        <w:rPr>
          <w:rStyle w:val="indexentry"/>
        </w:rPr>
        <w:fldChar w:fldCharType="begin"/>
      </w:r>
      <w:r>
        <w:instrText>xe "</w:instrText>
      </w:r>
      <w:r>
        <w:rPr>
          <w:rStyle w:val="xeentry"/>
        </w:rPr>
        <w:instrText>pause: symbol for</w:instrText>
      </w:r>
      <w:r>
        <w:instrText>"</w:instrText>
      </w:r>
      <w:r>
        <w:rPr>
          <w:rStyle w:val="indexentry"/>
        </w:rPr>
        <w:fldChar w:fldCharType="end"/>
      </w:r>
      <w:r>
        <w:rPr>
          <w:rStyle w:val="indexentry"/>
        </w:rPr>
        <w:t>&lt;cx "syllable break, symbol for"&gt;</w:t>
      </w:r>
      <w:r>
        <w:rPr>
          <w:rStyle w:val="indexentry"/>
        </w:rPr>
        <w:fldChar w:fldCharType="begin"/>
      </w:r>
      <w:r>
        <w:instrText>xe "</w:instrText>
      </w:r>
      <w:r>
        <w:rPr>
          <w:rStyle w:val="xeentry"/>
        </w:rPr>
        <w:instrText>syllable break: symbol for</w:instrText>
      </w:r>
      <w:r>
        <w:instrText>"</w:instrText>
      </w:r>
      <w:r>
        <w:rPr>
          <w:rStyle w:val="indexentry"/>
        </w:rPr>
        <w:fldChar w:fldCharType="end"/>
      </w:r>
      <w:r>
        <w:rPr>
          <w:rStyle w:val="indexentry"/>
        </w:rPr>
        <w:t>&lt;cx "pause, word for"&gt;</w:t>
      </w:r>
      <w:r>
        <w:rPr>
          <w:rStyle w:val="indexentry"/>
        </w:rPr>
        <w:fldChar w:fldCharType="begin"/>
      </w:r>
      <w:r>
        <w:instrText>xe "</w:instrText>
      </w:r>
      <w:r>
        <w:rPr>
          <w:rStyle w:val="xeentry"/>
        </w:rPr>
        <w:instrText>pause: word for</w:instrText>
      </w:r>
      <w:r>
        <w:instrText>"</w:instrText>
      </w:r>
      <w:r>
        <w:rPr>
          <w:rStyle w:val="indexentry"/>
        </w:rPr>
        <w:fldChar w:fldCharType="end"/>
      </w:r>
      <w:r>
        <w:rPr>
          <w:rStyle w:val="indexentry"/>
        </w:rPr>
        <w:t>&lt;cx "syllable break, word for"&gt;</w:t>
      </w:r>
      <w:r>
        <w:rPr>
          <w:rStyle w:val="indexentry"/>
        </w:rPr>
        <w:fldChar w:fldCharType="begin"/>
      </w:r>
      <w:r>
        <w:instrText>xe "</w:instrText>
      </w:r>
      <w:r>
        <w:rPr>
          <w:rStyle w:val="xeentry"/>
        </w:rPr>
        <w:instrText>syllable break: word for</w:instrText>
      </w:r>
      <w:r>
        <w:instrText>"</w:instrText>
      </w:r>
      <w:r>
        <w:rPr>
          <w:rStyle w:val="indexentry"/>
        </w:rPr>
        <w:fldChar w:fldCharType="end"/>
      </w:r>
      <w:r>
        <w:rPr>
          <w:rStyle w:val="indexentry"/>
        </w:rPr>
        <w:t>&lt;cx "“.”, word for"&gt;</w:t>
      </w:r>
      <w:r>
        <w:rPr>
          <w:rStyle w:val="indexentry"/>
        </w:rPr>
        <w:fldChar w:fldCharType="begin"/>
      </w:r>
      <w:r>
        <w:instrText>xe "</w:instrText>
      </w:r>
      <w:r>
        <w:rPr>
          <w:rStyle w:val="xeentry"/>
        </w:rPr>
        <w:instrText>. : word for</w:instrText>
      </w:r>
      <w:r>
        <w:instrText>"</w:instrText>
      </w:r>
      <w:r>
        <w:rPr>
          <w:rStyle w:val="indexentry"/>
        </w:rPr>
        <w:fldChar w:fldCharType="end"/>
      </w:r>
      <w:r>
        <w:rPr>
          <w:rStyle w:val="indexentry"/>
        </w:rPr>
        <w:t>&lt;cx "“,” , word for"&gt;</w:t>
      </w:r>
      <w:r>
        <w:rPr>
          <w:rStyle w:val="indexentry"/>
        </w:rPr>
        <w:fldChar w:fldCharType="begin"/>
      </w:r>
      <w:r>
        <w:instrText>xe "</w:instrText>
      </w:r>
      <w:r>
        <w:rPr>
          <w:rStyle w:val="xeentry"/>
        </w:rPr>
        <w:instrText>: , word for</w:instrText>
      </w:r>
      <w:r>
        <w:instrText>"</w:instrText>
      </w:r>
      <w:r>
        <w:rPr>
          <w:rStyle w:val="indexentry"/>
        </w:rPr>
        <w:fldChar w:fldCharType="end"/>
      </w:r>
      <w:r>
        <w:t>The “.”and “,”characters used in Lojbanic writing to represent pause and</w:t>
      </w:r>
      <w:r>
        <w:rPr>
          <w:rStyle w:val="deletedparamark"/>
        </w:rPr>
        <w:t xml:space="preserve"> </w:t>
      </w:r>
      <w:r>
        <w:t>sylla</w:t>
      </w:r>
      <w:r>
        <w:softHyphen/>
        <w:t>ble break respectively have been assigned the lerfu words “denpa bu”</w:t>
      </w:r>
      <w:r>
        <w:rPr>
          <w:rStyle w:val="deletedparamark"/>
        </w:rPr>
        <w:t xml:space="preserve"> </w:t>
      </w:r>
      <w:r>
        <w:t>(literally, “pause bu”) and “slaka bu” (literally, “syllable bu”).</w:t>
      </w:r>
      <w:r>
        <w:rPr>
          <w:rStyle w:val="deletedparamark"/>
        </w:rPr>
        <w:t xml:space="preserve"> </w:t>
      </w:r>
      <w:r>
        <w:t>The written space is mandatory here, be</w:t>
      </w:r>
      <w:r>
        <w:softHyphen/>
        <w:t>cause “denpa” and “slaka” are</w:t>
      </w:r>
      <w:r>
        <w:rPr>
          <w:rStyle w:val="deletedparamark"/>
        </w:rPr>
        <w:t xml:space="preserve"> </w:t>
      </w:r>
      <w:r>
        <w:t>normal gismu with normal stress: “denpabu” would be a fu'ivla (word borrowed</w:t>
      </w:r>
      <w:r>
        <w:rPr>
          <w:rStyle w:val="deletedparamark"/>
        </w:rPr>
        <w:t xml:space="preserve"> </w:t>
      </w:r>
      <w:r>
        <w:t>from another language into Lojban) stressed “denPAbu”. No pause is required</w:t>
      </w:r>
      <w:r>
        <w:rPr>
          <w:rStyle w:val="deletedparamark"/>
        </w:rPr>
        <w:t xml:space="preserve"> </w:t>
      </w:r>
      <w:r>
        <w:t>between “denpa” (or “slaka”) and “bu”, though.</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477" w:name="_Toc398970715"/>
      <w:r>
        <w:rPr>
          <w:rStyle w:val="Heading3Text"/>
        </w:rPr>
        <w:t>Alien alphabets</w:t>
      </w:r>
      <w:bookmarkEnd w:id="477"/>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As stated in </w:t>
      </w:r>
      <w:r>
        <w:rPr>
          <w:rStyle w:val="htmlcodes"/>
        </w:rPr>
        <w:t>&lt;a href=#s1&gt;</w:t>
      </w:r>
      <w:r>
        <w:t>Section 1</w:t>
      </w:r>
      <w:r>
        <w:rPr>
          <w:rStyle w:val="htmlcodes"/>
        </w:rPr>
        <w:t>&lt;/a&gt;</w:t>
      </w:r>
      <w:r>
        <w:t>, Lojban's goal of cultural neutrality demands a</w:t>
      </w:r>
      <w:r>
        <w:rPr>
          <w:rStyle w:val="deletedparamark"/>
        </w:rPr>
        <w:t xml:space="preserve"> </w:t>
      </w:r>
      <w:r>
        <w:t>standard set of lerfu words for the lerfu of as many other writing systems</w:t>
      </w:r>
      <w:r>
        <w:rPr>
          <w:rStyle w:val="deletedparamark"/>
        </w:rPr>
        <w:t xml:space="preserve"> </w:t>
      </w:r>
      <w:r>
        <w:t>as possible. When we meet these lerfu in written text (particularly, though</w:t>
      </w:r>
      <w:r>
        <w:rPr>
          <w:rStyle w:val="deletedparamark"/>
        </w:rPr>
        <w:t xml:space="preserve"> </w:t>
      </w:r>
      <w:r>
        <w:t>not exclusively, mathematical text), we need a standard Lojbanic way to</w:t>
      </w:r>
      <w:r>
        <w:rPr>
          <w:rStyle w:val="deletedparamark"/>
        </w:rPr>
        <w:t xml:space="preserve"> </w:t>
      </w:r>
      <w:r>
        <w:t>pronounce them.</w:t>
      </w:r>
    </w:p>
    <w:p w:rsidR="00B72047" w:rsidRDefault="00B72047">
      <w:pPr>
        <w:pStyle w:val="normalparagraph"/>
        <w:rPr>
          <w:rStyle w:val="htmlparacode"/>
        </w:rPr>
      </w:pPr>
      <w:r>
        <w:rPr>
          <w:rStyle w:val="htmlparacode"/>
        </w:rPr>
        <w:t>&lt;p&gt;</w:t>
      </w:r>
    </w:p>
    <w:p w:rsidR="00B72047" w:rsidRDefault="00B72047">
      <w:pPr>
        <w:pStyle w:val="normalparagraph"/>
      </w:pPr>
      <w:r>
        <w:t>There are certainly hundreds of alphabets and other writing systems in use</w:t>
      </w:r>
      <w:r>
        <w:rPr>
          <w:rStyle w:val="deletedparamark"/>
        </w:rPr>
        <w:t xml:space="preserve"> </w:t>
      </w:r>
      <w:r>
        <w:t>around the world, and it is probably an unachievable goal to create a single</w:t>
      </w:r>
      <w:r>
        <w:rPr>
          <w:rStyle w:val="deletedparamark"/>
        </w:rPr>
        <w:t xml:space="preserve"> </w:t>
      </w:r>
      <w:r>
        <w:t>system which can e</w:t>
      </w:r>
      <w:r>
        <w:t>x</w:t>
      </w:r>
      <w:r>
        <w:softHyphen/>
        <w:t>press all of them, but if perfection is not demanded, a</w:t>
      </w:r>
      <w:r>
        <w:rPr>
          <w:rStyle w:val="deletedparamark"/>
        </w:rPr>
        <w:t xml:space="preserve"> </w:t>
      </w:r>
      <w:r>
        <w:t>usable system can be created from the raw material which Lojban provides.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"letters, non-Lojban, representation with names"&gt;</w:t>
      </w:r>
      <w:r>
        <w:rPr>
          <w:rStyle w:val="indexentry"/>
        </w:rPr>
        <w:fldChar w:fldCharType="begin"/>
      </w:r>
      <w:r>
        <w:instrText>xe "</w:instrText>
      </w:r>
      <w:r>
        <w:rPr>
          <w:rStyle w:val="xeentry"/>
        </w:rPr>
        <w:instrText>letters: non-Lojban, representation with names</w:instrText>
      </w:r>
      <w:r>
        <w:instrText>"</w:instrText>
      </w:r>
      <w:r>
        <w:rPr>
          <w:rStyle w:val="indexentry"/>
        </w:rPr>
        <w:fldChar w:fldCharType="end"/>
      </w:r>
      <w:r>
        <w:rPr>
          <w:rStyle w:val="indexentry"/>
        </w:rPr>
        <w:t>&lt;ex "alpha"&gt;</w:t>
      </w:r>
      <w:r>
        <w:rPr>
          <w:rStyle w:val="indexentry"/>
        </w:rPr>
        <w:fldChar w:fldCharType="begin"/>
      </w:r>
      <w:r>
        <w:instrText>xe "</w:instrText>
      </w:r>
      <w:r>
        <w:rPr>
          <w:rStyle w:val="xeentry"/>
        </w:rPr>
        <w:instrText>alpha: example</w:instrText>
      </w:r>
      <w:r>
        <w:instrText>"</w:instrText>
      </w:r>
      <w:r>
        <w:rPr>
          <w:rStyle w:val="indexentry"/>
        </w:rPr>
        <w:fldChar w:fldCharType="end"/>
      </w:r>
      <w:r>
        <w:t>One possibility would be to use the lerfu word associated with the language</w:t>
      </w:r>
      <w:r>
        <w:rPr>
          <w:rStyle w:val="deletedparamark"/>
        </w:rPr>
        <w:t xml:space="preserve"> </w:t>
      </w:r>
      <w:r>
        <w:t>it</w:t>
      </w:r>
      <w:r>
        <w:softHyphen/>
        <w:t>self, Lojbanized and with “bu” added. Indeed, an isolated Greek “alpha” in</w:t>
      </w:r>
      <w:r>
        <w:rPr>
          <w:rStyle w:val="deletedparamark"/>
        </w:rPr>
        <w:t xml:space="preserve"> </w:t>
      </w:r>
      <w:r>
        <w:t>running Lojban text is probably most easily handled by calling it “.alfas. bu”. Here the Greek lerfu word has been made into a Lojbanized</w:t>
      </w:r>
      <w:r>
        <w:rPr>
          <w:rStyle w:val="deletedparamark"/>
        </w:rPr>
        <w:t xml:space="preserve"> </w:t>
      </w:r>
      <w:r>
        <w:t>name by adding “s” and then into a Lojban lerfu word by adding “bu”.</w:t>
      </w:r>
      <w:r>
        <w:rPr>
          <w:rStyle w:val="deletedparamark"/>
        </w:rPr>
        <w:t xml:space="preserve"> </w:t>
      </w:r>
      <w:r>
        <w:t>Note that the pause after “.alfas.” is still needed.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"letters, non-Lojban, representation with consonant-word + bu"&gt;</w:t>
      </w:r>
      <w:r>
        <w:rPr>
          <w:rStyle w:val="indexentry"/>
        </w:rPr>
        <w:fldChar w:fldCharType="begin"/>
      </w:r>
      <w:r>
        <w:instrText>xe "</w:instrText>
      </w:r>
      <w:r>
        <w:rPr>
          <w:rStyle w:val="xeentry"/>
        </w:rPr>
        <w:instrText>letters: non-Lojban, representation with consonant-word + bu</w:instrText>
      </w:r>
      <w:r>
        <w:instrText>"</w:instrText>
      </w:r>
      <w:r>
        <w:rPr>
          <w:rStyle w:val="indexentry"/>
        </w:rPr>
        <w:fldChar w:fldCharType="end"/>
      </w:r>
      <w:r>
        <w:t>Likewise, the easiest way to handle the Latin letters “h”, “q”, and “w”</w:t>
      </w:r>
      <w:r>
        <w:rPr>
          <w:rStyle w:val="deletedparamark"/>
        </w:rPr>
        <w:t xml:space="preserve"> </w:t>
      </w:r>
      <w:r>
        <w:t>that are not used in Lojban is by a consonant lerfu word with “bu” attached.</w:t>
      </w:r>
      <w:r>
        <w:rPr>
          <w:rStyle w:val="deletedparamark"/>
        </w:rPr>
        <w:t xml:space="preserve"> </w:t>
      </w:r>
      <w:r>
        <w:t>The following as</w:t>
      </w:r>
      <w:r>
        <w:softHyphen/>
        <w:t>sign</w:t>
      </w:r>
      <w:r>
        <w:softHyphen/>
        <w:t>ments have been made:</w:t>
      </w:r>
    </w:p>
    <w:p w:rsidR="00B72047" w:rsidRDefault="00B72047">
      <w:pPr>
        <w:pStyle w:val="exampwidetabs"/>
        <w:rPr>
          <w:rStyle w:val="htmlparacode"/>
        </w:rPr>
      </w:pPr>
      <w:r>
        <w:rPr>
          <w:rStyle w:val="htmlparacode"/>
        </w:rPr>
        <w:t>&lt;p&gt;</w:t>
      </w:r>
    </w:p>
    <w:p w:rsidR="00B72047" w:rsidRDefault="00B72047">
      <w:pPr>
        <w:pStyle w:val="examplewtabspre"/>
      </w:pPr>
      <w:r>
        <w:rPr>
          <w:rStyle w:val="htmlcodes"/>
        </w:rPr>
        <w:t>&lt;pre&gt;</w:t>
      </w:r>
      <w:r>
        <w:tab/>
        <w:t>.y'y.bu</w:t>
      </w:r>
      <w:r>
        <w:tab/>
        <w:t>h</w:t>
      </w:r>
    </w:p>
    <w:p w:rsidR="00B72047" w:rsidRDefault="00B72047">
      <w:pPr>
        <w:pStyle w:val="exampwidetabs"/>
      </w:pPr>
      <w:r>
        <w:tab/>
        <w:t>ky.bu</w:t>
      </w:r>
      <w:r>
        <w:tab/>
        <w:t>q</w:t>
      </w:r>
    </w:p>
    <w:p w:rsidR="00B72047" w:rsidRDefault="00B72047">
      <w:pPr>
        <w:pStyle w:val="exampwidetabs"/>
      </w:pPr>
      <w:r>
        <w:tab/>
        <w:t>vy.bu</w:t>
      </w:r>
      <w:r>
        <w:tab/>
        <w:t>w</w:t>
      </w:r>
    </w:p>
    <w:p w:rsidR="00B72047" w:rsidRDefault="00B72047">
      <w:pPr>
        <w:pStyle w:val="resumedafterexample"/>
      </w:pPr>
      <w:r>
        <w:rPr>
          <w:rStyle w:val="htmlcodes"/>
        </w:rPr>
        <w:t>&lt;/pre&gt;</w:t>
      </w:r>
      <w:r>
        <w:rPr>
          <w:rStyle w:val="indexentry"/>
        </w:rPr>
        <w:t>&lt;ex "quack"&gt;</w:t>
      </w:r>
      <w:r>
        <w:rPr>
          <w:rStyle w:val="indexentry"/>
        </w:rPr>
        <w:fldChar w:fldCharType="begin"/>
      </w:r>
      <w:r>
        <w:instrText>xe "</w:instrText>
      </w:r>
      <w:r>
        <w:rPr>
          <w:rStyle w:val="xeentry"/>
        </w:rPr>
        <w:instrText>quack: example</w:instrText>
      </w:r>
      <w:r>
        <w:instrText>"</w:instrText>
      </w:r>
      <w:r>
        <w:rPr>
          <w:rStyle w:val="indexentry"/>
        </w:rPr>
        <w:fldChar w:fldCharType="end"/>
      </w:r>
      <w:r>
        <w:t>As an example, the English word “quack” would be spelled in Lojban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ky.bu .ubu .abu cy. ky.</w:t>
      </w:r>
    </w:p>
    <w:p w:rsidR="00B72047" w:rsidRDefault="00B72047">
      <w:pPr>
        <w:pStyle w:val="examplescaled"/>
      </w:pPr>
      <w:r>
        <w:tab/>
        <w:t>“q” “u” “a” “c” “k”</w:t>
      </w:r>
    </w:p>
    <w:p w:rsidR="00B72047" w:rsidRDefault="00B72047">
      <w:pPr>
        <w:pStyle w:val="resumedafterexample"/>
      </w:pPr>
      <w:r>
        <w:rPr>
          <w:rStyle w:val="htmlcodes"/>
        </w:rPr>
        <w:t>&lt;/pre&gt;</w:t>
      </w:r>
      <w:r>
        <w:rPr>
          <w:rStyle w:val="indexentry"/>
        </w:rPr>
        <w:t>&lt;cx "letters, sound contrasted with symbol for spelling"&gt;</w:t>
      </w:r>
      <w:r>
        <w:rPr>
          <w:rStyle w:val="indexentry"/>
        </w:rPr>
        <w:fldChar w:fldCharType="begin"/>
      </w:r>
      <w:r>
        <w:instrText>xe "</w:instrText>
      </w:r>
      <w:r>
        <w:rPr>
          <w:rStyle w:val="xeentry"/>
        </w:rPr>
        <w:instrText>letters: sound contrasted with symbol for spelling</w:instrText>
      </w:r>
      <w:r>
        <w:instrText>"</w:instrText>
      </w:r>
      <w:r>
        <w:rPr>
          <w:rStyle w:val="indexentry"/>
        </w:rPr>
        <w:fldChar w:fldCharType="end"/>
      </w:r>
      <w:r>
        <w:rPr>
          <w:rStyle w:val="indexentry"/>
        </w:rPr>
        <w:t>&lt;cx "letters, symbol contrasted with sound for spelling"&gt;</w:t>
      </w:r>
      <w:r>
        <w:rPr>
          <w:rStyle w:val="indexentry"/>
        </w:rPr>
        <w:fldChar w:fldCharType="begin"/>
      </w:r>
      <w:r>
        <w:instrText>xe "</w:instrText>
      </w:r>
      <w:r>
        <w:rPr>
          <w:rStyle w:val="xeentry"/>
        </w:rPr>
        <w:instrText>letters: symbol contrasted with sound for spelling</w:instrText>
      </w:r>
      <w:r>
        <w:instrText>"</w:instrText>
      </w:r>
      <w:r>
        <w:rPr>
          <w:rStyle w:val="indexentry"/>
        </w:rPr>
        <w:fldChar w:fldCharType="end"/>
      </w:r>
      <w:r>
        <w:t>Note that the fact that the letter “c” in this word has nothing to do</w:t>
      </w:r>
      <w:r>
        <w:rPr>
          <w:rStyle w:val="deletedparamark"/>
        </w:rPr>
        <w:t xml:space="preserve"> </w:t>
      </w:r>
      <w:r>
        <w:t>with the sound of the Lojban letter “c” is irrelevant; we are spelling</w:t>
      </w:r>
      <w:r>
        <w:rPr>
          <w:rStyle w:val="deletedparamark"/>
        </w:rPr>
        <w:t xml:space="preserve"> </w:t>
      </w:r>
      <w:r>
        <w:t>an English word and English rules con</w:t>
      </w:r>
      <w:r>
        <w:softHyphen/>
        <w:t>trol the choice of letters, but we</w:t>
      </w:r>
      <w:r>
        <w:rPr>
          <w:rStyle w:val="deletedparamark"/>
        </w:rPr>
        <w:t xml:space="preserve"> </w:t>
      </w:r>
      <w:r>
        <w:t>are speaking Lojban and Lojban rules control the pro</w:t>
      </w:r>
      <w:r>
        <w:softHyphen/>
        <w:t>nuncia</w:t>
      </w:r>
      <w:r>
        <w:softHyphen/>
        <w:t>tions of those</w:t>
      </w:r>
      <w:r>
        <w:rPr>
          <w:rStyle w:val="deletedparamark"/>
        </w:rPr>
        <w:t xml:space="preserve"> </w:t>
      </w:r>
      <w:r>
        <w:t>letters.</w:t>
      </w:r>
    </w:p>
    <w:p w:rsidR="00B72047" w:rsidRDefault="00B72047">
      <w:pPr>
        <w:rPr>
          <w:rStyle w:val="htmlparacode"/>
        </w:rPr>
      </w:pPr>
      <w:r>
        <w:rPr>
          <w:rStyle w:val="htmlparacode"/>
        </w:rPr>
        <w:t>&lt;p&gt;</w:t>
      </w:r>
    </w:p>
    <w:p w:rsidR="00B72047" w:rsidRDefault="00B72047">
      <w:pPr>
        <w:pStyle w:val="normalparagraph"/>
      </w:pPr>
      <w:r>
        <w:t>A few more possibilities for Latin-alphabet letters used in languages</w:t>
      </w:r>
      <w:r>
        <w:rPr>
          <w:rStyle w:val="deletedparamark"/>
        </w:rPr>
        <w:t xml:space="preserve"> </w:t>
      </w:r>
      <w:r>
        <w:t>other than En</w:t>
      </w:r>
      <w:r>
        <w:t>g</w:t>
      </w:r>
      <w:r>
        <w:softHyphen/>
        <w:t>lish:</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r>
      <w:r>
        <w:tab/>
      </w:r>
      <w:r>
        <w:tab/>
        <w:t>ty.bu</w:t>
      </w:r>
      <w:r>
        <w:tab/>
      </w:r>
      <w:r>
        <w:tab/>
        <w:t>þ</w:t>
      </w:r>
      <w:r>
        <w:rPr>
          <w:rStyle w:val="htmlcodes"/>
        </w:rPr>
        <w:t>&amp;thorn;</w:t>
      </w:r>
      <w:r>
        <w:t xml:space="preserve"> (thorn)</w:t>
      </w:r>
    </w:p>
    <w:p w:rsidR="00B72047" w:rsidRDefault="00B72047">
      <w:pPr>
        <w:pStyle w:val="examplescaled"/>
      </w:pPr>
      <w:r>
        <w:tab/>
      </w:r>
      <w:r>
        <w:tab/>
      </w:r>
      <w:r>
        <w:tab/>
        <w:t>dy.bu</w:t>
      </w:r>
      <w:r>
        <w:tab/>
      </w:r>
      <w:r>
        <w:tab/>
        <w:t>ð</w:t>
      </w:r>
      <w:r>
        <w:rPr>
          <w:rStyle w:val="htmlcodes"/>
        </w:rPr>
        <w:t>&amp;edh;</w:t>
      </w:r>
      <w:r>
        <w:t xml:space="preserve"> (edh)</w:t>
      </w:r>
    </w:p>
    <w:p w:rsidR="00B72047" w:rsidRDefault="00B72047">
      <w:pPr>
        <w:pStyle w:val="resumedafterexample"/>
      </w:pPr>
      <w:r>
        <w:rPr>
          <w:rStyle w:val="indexentry"/>
        </w:rPr>
        <w:t>&lt;cx "letters, non-Lojban, representation with consonant-word + bu, drawback"&gt;</w:t>
      </w:r>
      <w:r>
        <w:rPr>
          <w:rStyle w:val="indexentry"/>
        </w:rPr>
        <w:fldChar w:fldCharType="begin"/>
      </w:r>
      <w:r>
        <w:instrText>xe "</w:instrText>
      </w:r>
      <w:r>
        <w:rPr>
          <w:rStyle w:val="xeentry"/>
        </w:rPr>
        <w:instrText>letters: non-Lojban, representation with consonant-word + bu, drawback</w:instrText>
      </w:r>
      <w:r>
        <w:instrText>"</w:instrText>
      </w:r>
      <w:r>
        <w:rPr>
          <w:rStyle w:val="indexentry"/>
        </w:rPr>
        <w:fldChar w:fldCharType="end"/>
      </w:r>
      <w:r>
        <w:t>However, this system is not ideal for all purposes. For one thing, it is</w:t>
      </w:r>
      <w:r>
        <w:rPr>
          <w:rStyle w:val="deletedparamark"/>
        </w:rPr>
        <w:t xml:space="preserve"> </w:t>
      </w:r>
      <w:r>
        <w:t>verbose. The na</w:t>
      </w:r>
      <w:r>
        <w:softHyphen/>
        <w:t>tive lerfu words are often quite long, and with “bu” added</w:t>
      </w:r>
      <w:r>
        <w:rPr>
          <w:rStyle w:val="deletedparamark"/>
        </w:rPr>
        <w:t xml:space="preserve"> </w:t>
      </w:r>
      <w:r>
        <w:t>they become even longer: the worst-case Greek lerfu word would be “.Omikron. bu”, with four syllables and two ma</w:t>
      </w:r>
      <w:r>
        <w:t>n</w:t>
      </w:r>
      <w:r>
        <w:softHyphen/>
        <w:t>datory pauses. In addition,</w:t>
      </w:r>
      <w:r>
        <w:rPr>
          <w:rStyle w:val="deletedparamark"/>
        </w:rPr>
        <w:t xml:space="preserve"> </w:t>
      </w:r>
      <w:r>
        <w:t>alphabets that are used by many languages have separate sets of lerfu words</w:t>
      </w:r>
      <w:r>
        <w:rPr>
          <w:rStyle w:val="deletedparamark"/>
        </w:rPr>
        <w:t xml:space="preserve"> </w:t>
      </w:r>
      <w:r>
        <w:t>for each language, and which set is Lojban to choose?</w:t>
      </w:r>
    </w:p>
    <w:p w:rsidR="00B72047" w:rsidRDefault="00B72047">
      <w:pPr>
        <w:pStyle w:val="normalparagraph"/>
      </w:pPr>
      <w:r>
        <w:rPr>
          <w:rStyle w:val="htmlcodes"/>
        </w:rPr>
        <w:t>&lt;/pre&gt;</w:t>
      </w:r>
      <w:r>
        <w:rPr>
          <w:rStyle w:val="indexentry"/>
        </w:rPr>
        <w:t>&lt;cx "language shift, rationale for"&gt;</w:t>
      </w:r>
      <w:r>
        <w:rPr>
          <w:rStyle w:val="indexentry"/>
        </w:rPr>
        <w:fldChar w:fldCharType="begin"/>
      </w:r>
      <w:r>
        <w:instrText>xe "</w:instrText>
      </w:r>
      <w:r>
        <w:rPr>
          <w:rStyle w:val="xeentry"/>
        </w:rPr>
        <w:instrText>language shift: rationale for</w:instrText>
      </w:r>
      <w:r>
        <w:instrText>"</w:instrText>
      </w:r>
      <w:r>
        <w:rPr>
          <w:rStyle w:val="indexentry"/>
        </w:rPr>
        <w:fldChar w:fldCharType="end"/>
      </w:r>
      <w:r>
        <w:rPr>
          <w:rStyle w:val="indexentry"/>
        </w:rPr>
        <w:t>&lt;cx "language shift, effect on following words"&gt;</w:t>
      </w:r>
      <w:r>
        <w:rPr>
          <w:rStyle w:val="indexentry"/>
        </w:rPr>
        <w:fldChar w:fldCharType="begin"/>
      </w:r>
      <w:r>
        <w:instrText>xe "</w:instrText>
      </w:r>
      <w:r>
        <w:rPr>
          <w:rStyle w:val="xeentry"/>
        </w:rPr>
        <w:instrText>language shift: effect on following words</w:instrText>
      </w:r>
      <w:r>
        <w:instrText>"</w:instrText>
      </w:r>
      <w:r>
        <w:rPr>
          <w:rStyle w:val="indexentry"/>
        </w:rPr>
        <w:fldChar w:fldCharType="end"/>
      </w:r>
      <w:r>
        <w:rPr>
          <w:rStyle w:val="indexentry"/>
        </w:rPr>
        <w:t>&lt;cx "language shift, choice of Lojban-lerfu-word counterpart"&gt;</w:t>
      </w:r>
      <w:r>
        <w:rPr>
          <w:rStyle w:val="indexentry"/>
        </w:rPr>
        <w:fldChar w:fldCharType="begin"/>
      </w:r>
      <w:r>
        <w:instrText>xe "</w:instrText>
      </w:r>
      <w:r>
        <w:rPr>
          <w:rStyle w:val="xeentry"/>
        </w:rPr>
        <w:instrText>language shift: choice of Lojban-lerfu-word counterpart</w:instrText>
      </w:r>
      <w:r>
        <w:instrText>"</w:instrText>
      </w:r>
      <w:r>
        <w:rPr>
          <w:rStyle w:val="indexentry"/>
        </w:rPr>
        <w:fldChar w:fldCharType="end"/>
      </w:r>
      <w:r>
        <w:rPr>
          <w:rStyle w:val="indexentry"/>
        </w:rPr>
        <w:t>&lt;cx "letters, non-Lojban, representation with language-shift"&gt;</w:t>
      </w:r>
      <w:r>
        <w:rPr>
          <w:rStyle w:val="indexentry"/>
        </w:rPr>
        <w:fldChar w:fldCharType="begin"/>
      </w:r>
      <w:r>
        <w:instrText>xe "</w:instrText>
      </w:r>
      <w:r>
        <w:rPr>
          <w:rStyle w:val="xeentry"/>
        </w:rPr>
        <w:instrText>letters: non-Lojban, representation with language-shift</w:instrText>
      </w:r>
      <w:r>
        <w:instrText>"</w:instrText>
      </w:r>
      <w:r>
        <w:rPr>
          <w:rStyle w:val="indexentry"/>
        </w:rPr>
        <w:fldChar w:fldCharType="end"/>
      </w:r>
      <w:r>
        <w:t>The alternative plan, therefore, is to use a shift word similar to those</w:t>
      </w:r>
      <w:r>
        <w:rPr>
          <w:rStyle w:val="deletedparamark"/>
        </w:rPr>
        <w:t xml:space="preserve"> </w:t>
      </w:r>
      <w:r>
        <w:t>intro</w:t>
      </w:r>
      <w:r>
        <w:softHyphen/>
        <w:t xml:space="preserve">duced in </w:t>
      </w:r>
      <w:r>
        <w:rPr>
          <w:rStyle w:val="htmlcodes"/>
        </w:rPr>
        <w:t>&lt;a href=#s3&gt;</w:t>
      </w:r>
      <w:r>
        <w:t>Section 3</w:t>
      </w:r>
      <w:r>
        <w:rPr>
          <w:rStyle w:val="htmlcodes"/>
        </w:rPr>
        <w:t>&lt;/a&gt;</w:t>
      </w:r>
      <w:r>
        <w:t>. After the appearance of such a shift word, the</w:t>
      </w:r>
      <w:r>
        <w:rPr>
          <w:rStyle w:val="deletedparamark"/>
        </w:rPr>
        <w:t xml:space="preserve"> </w:t>
      </w:r>
      <w:r>
        <w:t>regular lerfu words are re-inter</w:t>
      </w:r>
      <w:r>
        <w:softHyphen/>
        <w:t>preted to represent the lerfu of the</w:t>
      </w:r>
      <w:r>
        <w:rPr>
          <w:rStyle w:val="deletedparamark"/>
        </w:rPr>
        <w:t xml:space="preserve"> </w:t>
      </w:r>
      <w:r>
        <w:t>alphabet now in use. After a shift to the Greek alpha</w:t>
      </w:r>
      <w:r>
        <w:softHyphen/>
        <w:t>bet, for example,</w:t>
      </w:r>
      <w:r>
        <w:rPr>
          <w:rStyle w:val="deletedparamark"/>
        </w:rPr>
        <w:t xml:space="preserve"> </w:t>
      </w:r>
      <w:r>
        <w:t>the lerfu word “ty” would represent not Latin “t” but Greek “tau”.</w:t>
      </w:r>
      <w:r>
        <w:rPr>
          <w:rStyle w:val="deletedparamark"/>
        </w:rPr>
        <w:t xml:space="preserve"> </w:t>
      </w:r>
      <w:r>
        <w:t>Why “tau”? Because it is, in some sense, the closest counterpart of</w:t>
      </w:r>
      <w:r>
        <w:rPr>
          <w:rStyle w:val="deletedparamark"/>
        </w:rPr>
        <w:t xml:space="preserve"> “</w:t>
      </w:r>
      <w:r>
        <w:t>t” within the Greek lerfu system. In principle it would be all right to</w:t>
      </w:r>
      <w:r>
        <w:rPr>
          <w:rStyle w:val="deletedparamark"/>
        </w:rPr>
        <w:t xml:space="preserve"> </w:t>
      </w:r>
      <w:r>
        <w:t>map “ty.” to “phi” or even “omega”, but such an arbitrary relationship</w:t>
      </w:r>
      <w:r>
        <w:rPr>
          <w:rStyle w:val="deletedparamark"/>
        </w:rPr>
        <w:t xml:space="preserve"> </w:t>
      </w:r>
      <w:r>
        <w:t>would be extremely hard to remember.</w:t>
      </w:r>
    </w:p>
    <w:p w:rsidR="00B72047" w:rsidRDefault="00B72047">
      <w:pPr>
        <w:rPr>
          <w:rStyle w:val="htmlparacode"/>
        </w:rPr>
      </w:pPr>
      <w:r>
        <w:rPr>
          <w:rStyle w:val="htmlparacode"/>
        </w:rPr>
        <w:t>&lt;p&gt;</w:t>
      </w:r>
    </w:p>
    <w:p w:rsidR="00B72047" w:rsidRDefault="00B72047">
      <w:pPr>
        <w:pStyle w:val="normalparagraph"/>
      </w:pPr>
      <w:r>
        <w:rPr>
          <w:rStyle w:val="indexentry"/>
        </w:rPr>
        <w:t>&lt;cx "language shift, interaction with bu"&gt;</w:t>
      </w:r>
      <w:r>
        <w:rPr>
          <w:rStyle w:val="indexentry"/>
        </w:rPr>
        <w:fldChar w:fldCharType="begin"/>
      </w:r>
      <w:r>
        <w:instrText>xe "</w:instrText>
      </w:r>
      <w:r>
        <w:rPr>
          <w:rStyle w:val="xeentry"/>
        </w:rPr>
        <w:instrText>language shift: interaction with bu</w:instrText>
      </w:r>
      <w:r>
        <w:instrText>"</w:instrText>
      </w:r>
      <w:r>
        <w:rPr>
          <w:rStyle w:val="indexentry"/>
        </w:rPr>
        <w:fldChar w:fldCharType="end"/>
      </w:r>
      <w:r>
        <w:rPr>
          <w:rStyle w:val="indexentry"/>
        </w:rPr>
        <w:t>&lt;cx "bu, interaction with language shift"&gt;</w:t>
      </w:r>
      <w:r>
        <w:rPr>
          <w:rStyle w:val="indexentry"/>
        </w:rPr>
        <w:fldChar w:fldCharType="begin"/>
      </w:r>
      <w:r>
        <w:instrText>xe "</w:instrText>
      </w:r>
      <w:r>
        <w:rPr>
          <w:rStyle w:val="xeentry"/>
        </w:rPr>
        <w:instrText>bu: interactions</w:instrText>
      </w:r>
      <w:r>
        <w:instrText>"</w:instrText>
      </w:r>
      <w:r>
        <w:rPr>
          <w:rStyle w:val="indexentry"/>
        </w:rPr>
        <w:fldChar w:fldCharType="end"/>
      </w:r>
      <w:r>
        <w:t>Where no obvious closest counterpart exists, some more or less arbitrary</w:t>
      </w:r>
      <w:r>
        <w:rPr>
          <w:rStyle w:val="deletedparamark"/>
        </w:rPr>
        <w:t xml:space="preserve"> </w:t>
      </w:r>
      <w:r>
        <w:t>choice must be made. Some alien lerfu may simply not have any shifted</w:t>
      </w:r>
      <w:r>
        <w:rPr>
          <w:rStyle w:val="deletedparamark"/>
        </w:rPr>
        <w:t xml:space="preserve"> </w:t>
      </w:r>
      <w:r>
        <w:t>equivalent, forcing the speaker to fall back on a “bu” form. Since a “bu”</w:t>
      </w:r>
      <w:r>
        <w:rPr>
          <w:rStyle w:val="deletedparamark"/>
        </w:rPr>
        <w:t xml:space="preserve"> </w:t>
      </w:r>
      <w:r>
        <w:t>form may mean different things in di</w:t>
      </w:r>
      <w:r>
        <w:t>f</w:t>
      </w:r>
      <w:r>
        <w:softHyphen/>
        <w:t>ferent alphabets, it is safest to employ</w:t>
      </w:r>
      <w:r>
        <w:rPr>
          <w:rStyle w:val="deletedparamark"/>
        </w:rPr>
        <w:t xml:space="preserve"> </w:t>
      </w:r>
      <w:r>
        <w:t>a shift word even when “bu” forms are in use.</w:t>
      </w:r>
    </w:p>
    <w:p w:rsidR="00B72047" w:rsidRDefault="00B72047">
      <w:pPr>
        <w:pStyle w:val="normalparagraph"/>
        <w:rPr>
          <w:rStyle w:val="htmlparacode"/>
        </w:rPr>
      </w:pPr>
      <w:r>
        <w:rPr>
          <w:rStyle w:val="htmlparacode"/>
        </w:rPr>
        <w:t>&lt;p&gt;</w:t>
      </w:r>
    </w:p>
    <w:p w:rsidR="00B72047" w:rsidRDefault="00B72047">
      <w:pPr>
        <w:pStyle w:val="normalparagraph"/>
      </w:pPr>
      <w:r>
        <w:t>Shifts for several alphabets have been assigned cmavo of selma'o BY:</w:t>
      </w:r>
    </w:p>
    <w:p w:rsidR="00B72047" w:rsidRDefault="00B72047">
      <w:pPr>
        <w:rPr>
          <w:rStyle w:val="htmlparacode"/>
        </w:rPr>
      </w:pPr>
      <w:r>
        <w:rPr>
          <w:rStyle w:val="htmlparacode"/>
        </w:rPr>
        <w:t>&lt;p&gt;</w:t>
      </w:r>
    </w:p>
    <w:p w:rsidR="00B72047" w:rsidRDefault="00B72047">
      <w:pPr>
        <w:pStyle w:val="examplewtabspre"/>
      </w:pPr>
      <w:r>
        <w:rPr>
          <w:rStyle w:val="indexentry"/>
        </w:rPr>
        <w:t>&lt;cx "Latin alphabet, language shift word for"&gt;</w:t>
      </w:r>
      <w:r>
        <w:rPr>
          <w:rStyle w:val="indexentry"/>
        </w:rPr>
        <w:fldChar w:fldCharType="begin"/>
      </w:r>
      <w:r>
        <w:instrText>xe "</w:instrText>
      </w:r>
      <w:r>
        <w:rPr>
          <w:rStyle w:val="xeentry"/>
        </w:rPr>
        <w:instrText>Latin alphabet: language shift word for</w:instrText>
      </w:r>
      <w:r>
        <w:instrText>"</w:instrText>
      </w:r>
      <w:r>
        <w:rPr>
          <w:rStyle w:val="indexentry"/>
        </w:rPr>
        <w:fldChar w:fldCharType="end"/>
      </w:r>
      <w:r>
        <w:rPr>
          <w:rStyle w:val="indexentry"/>
        </w:rPr>
        <w:t>&lt;cx "Greek alphabet, language shift word for"&gt;</w:t>
      </w:r>
      <w:r>
        <w:rPr>
          <w:rStyle w:val="indexentry"/>
        </w:rPr>
        <w:fldChar w:fldCharType="begin"/>
      </w:r>
      <w:r>
        <w:instrText>xe "</w:instrText>
      </w:r>
      <w:r>
        <w:rPr>
          <w:rStyle w:val="xeentry"/>
        </w:rPr>
        <w:instrText>Greek alphabet: language shift word for</w:instrText>
      </w:r>
      <w:r>
        <w:instrText>"</w:instrText>
      </w:r>
      <w:r>
        <w:rPr>
          <w:rStyle w:val="indexentry"/>
        </w:rPr>
        <w:fldChar w:fldCharType="end"/>
      </w:r>
      <w:r>
        <w:rPr>
          <w:rStyle w:val="indexentry"/>
        </w:rPr>
        <w:t>&lt;cx "Hebrew alphabet, language shift word for"&gt;</w:t>
      </w:r>
      <w:r>
        <w:rPr>
          <w:rStyle w:val="indexentry"/>
        </w:rPr>
        <w:fldChar w:fldCharType="begin"/>
      </w:r>
      <w:r>
        <w:instrText>xe "</w:instrText>
      </w:r>
      <w:r>
        <w:rPr>
          <w:rStyle w:val="xeentry"/>
        </w:rPr>
        <w:instrText>Hebrew alphabet: language shift word for</w:instrText>
      </w:r>
      <w:r>
        <w:instrText>"</w:instrText>
      </w:r>
      <w:r>
        <w:rPr>
          <w:rStyle w:val="indexentry"/>
        </w:rPr>
        <w:fldChar w:fldCharType="end"/>
      </w:r>
      <w:r>
        <w:rPr>
          <w:rStyle w:val="indexentry"/>
        </w:rPr>
        <w:t>&lt;cx "Arabic alphabet, language shift word for"&gt;</w:t>
      </w:r>
      <w:r>
        <w:rPr>
          <w:rStyle w:val="indexentry"/>
        </w:rPr>
        <w:fldChar w:fldCharType="begin"/>
      </w:r>
      <w:r>
        <w:instrText>xe "</w:instrText>
      </w:r>
      <w:r>
        <w:rPr>
          <w:rStyle w:val="xeentry"/>
        </w:rPr>
        <w:instrText>Arabic alphabet: language shift word for</w:instrText>
      </w:r>
      <w:r>
        <w:instrText>"</w:instrText>
      </w:r>
      <w:r>
        <w:rPr>
          <w:rStyle w:val="indexentry"/>
        </w:rPr>
        <w:fldChar w:fldCharType="end"/>
      </w:r>
      <w:r>
        <w:rPr>
          <w:rStyle w:val="indexentry"/>
        </w:rPr>
        <w:t>&lt;cx "Cyrillic alphabet, language shift word for"&gt;</w:t>
      </w:r>
      <w:r>
        <w:rPr>
          <w:rStyle w:val="indexentry"/>
        </w:rPr>
        <w:fldChar w:fldCharType="begin"/>
      </w:r>
      <w:r>
        <w:instrText>xe "</w:instrText>
      </w:r>
      <w:r>
        <w:rPr>
          <w:rStyle w:val="xeentry"/>
        </w:rPr>
        <w:instrText>Cyrillic alphabet: language shift word for</w:instrText>
      </w:r>
      <w:r>
        <w:instrText>"</w:instrText>
      </w:r>
      <w:r>
        <w:rPr>
          <w:rStyle w:val="indexentry"/>
        </w:rPr>
        <w:fldChar w:fldCharType="end"/>
      </w:r>
      <w:r>
        <w:rPr>
          <w:rStyle w:val="htmlcodes"/>
        </w:rPr>
        <w:t>&lt;pre&gt;</w:t>
      </w:r>
      <w:r>
        <w:t xml:space="preserve"> </w:t>
      </w:r>
      <w:r>
        <w:tab/>
        <w:t>lo'a</w:t>
      </w:r>
      <w:r>
        <w:tab/>
        <w:t>Latin/Roman/Lojban alphabet</w:t>
      </w:r>
    </w:p>
    <w:p w:rsidR="00B72047" w:rsidRDefault="00B72047">
      <w:pPr>
        <w:pStyle w:val="exampwidetabs"/>
      </w:pPr>
      <w:r>
        <w:tab/>
        <w:t>ge'o</w:t>
      </w:r>
      <w:r>
        <w:tab/>
        <w:t>Greek alphabet</w:t>
      </w:r>
    </w:p>
    <w:p w:rsidR="00B72047" w:rsidRDefault="00B72047">
      <w:pPr>
        <w:pStyle w:val="exampwidetabs"/>
      </w:pPr>
      <w:r>
        <w:tab/>
        <w:t>je'o</w:t>
      </w:r>
      <w:r>
        <w:tab/>
        <w:t>Hebrew alphabet</w:t>
      </w:r>
    </w:p>
    <w:p w:rsidR="00B72047" w:rsidRDefault="00B72047">
      <w:pPr>
        <w:pStyle w:val="exampwidetabs"/>
      </w:pPr>
      <w:r>
        <w:tab/>
        <w:t>jo'o</w:t>
      </w:r>
      <w:r>
        <w:tab/>
        <w:t>Arabic alphabet</w:t>
      </w:r>
    </w:p>
    <w:p w:rsidR="00B72047" w:rsidRDefault="00B72047">
      <w:pPr>
        <w:pStyle w:val="exampwidetabs"/>
      </w:pPr>
      <w:r>
        <w:tab/>
        <w:t>ru'o</w:t>
      </w:r>
      <w:r>
        <w:tab/>
        <w:t>Cyrillic alphabet</w:t>
      </w:r>
    </w:p>
    <w:p w:rsidR="00B72047" w:rsidRDefault="00B72047">
      <w:pPr>
        <w:pStyle w:val="normalafterexample"/>
      </w:pPr>
      <w:r>
        <w:rPr>
          <w:rStyle w:val="htmlcodes"/>
        </w:rPr>
        <w:t>&lt;/pre&gt;</w:t>
      </w:r>
      <w:r>
        <w:rPr>
          <w:rStyle w:val="indexentry"/>
        </w:rPr>
        <w:t>&lt;lx "zai"&gt;</w:t>
      </w:r>
      <w:r>
        <w:rPr>
          <w:rStyle w:val="indexentry"/>
        </w:rPr>
        <w:fldChar w:fldCharType="begin"/>
      </w:r>
      <w:r>
        <w:instrText>xe "</w:instrText>
      </w:r>
      <w:r>
        <w:rPr>
          <w:rStyle w:val="xeentry"/>
        </w:rPr>
        <w:instrText>zai</w:instrText>
      </w:r>
      <w:r>
        <w:instrText>"</w:instrText>
      </w:r>
      <w:r>
        <w:rPr>
          <w:rStyle w:val="indexentry"/>
        </w:rPr>
        <w:fldChar w:fldCharType="end"/>
      </w:r>
      <w:r>
        <w:rPr>
          <w:rStyle w:val="indexentry"/>
        </w:rPr>
        <w:t>&lt;lx "LAU"&gt;</w:t>
      </w:r>
      <w:r>
        <w:rPr>
          <w:rStyle w:val="indexentry"/>
        </w:rPr>
        <w:fldChar w:fldCharType="begin"/>
      </w:r>
      <w:r>
        <w:instrText>xe "</w:instrText>
      </w:r>
      <w:r>
        <w:rPr>
          <w:rStyle w:val="xeentry"/>
        </w:rPr>
        <w:instrText>LAU selma’o</w:instrText>
      </w:r>
      <w:r>
        <w:instrText>"</w:instrText>
      </w:r>
      <w:r>
        <w:rPr>
          <w:rStyle w:val="indexentry"/>
        </w:rPr>
        <w:fldChar w:fldCharType="end"/>
      </w:r>
      <w:r>
        <w:rPr>
          <w:rStyle w:val="indexentry"/>
        </w:rPr>
        <w:t>&lt;cx "language shift, formation of shift alphabet name"&gt;</w:t>
      </w:r>
      <w:r>
        <w:rPr>
          <w:rStyle w:val="indexentry"/>
        </w:rPr>
        <w:fldChar w:fldCharType="begin"/>
      </w:r>
      <w:r>
        <w:instrText>xe "</w:instrText>
      </w:r>
      <w:r>
        <w:rPr>
          <w:rStyle w:val="xeentry"/>
        </w:rPr>
        <w:instrText>language shift: formation of shift alphabet name</w:instrText>
      </w:r>
      <w:r>
        <w:instrText>"</w:instrText>
      </w:r>
      <w:r>
        <w:rPr>
          <w:rStyle w:val="indexentry"/>
        </w:rPr>
        <w:fldChar w:fldCharType="end"/>
      </w:r>
      <w:r>
        <w:rPr>
          <w:rStyle w:val="indexentry"/>
        </w:rPr>
        <w:t>&lt;cx "language shift, compound"&gt;</w:t>
      </w:r>
      <w:r>
        <w:rPr>
          <w:rStyle w:val="indexentry"/>
        </w:rPr>
        <w:fldChar w:fldCharType="begin"/>
      </w:r>
      <w:r>
        <w:instrText>xe "</w:instrText>
      </w:r>
      <w:r>
        <w:rPr>
          <w:rStyle w:val="xeentry"/>
        </w:rPr>
        <w:instrText>language shift: compound</w:instrText>
      </w:r>
      <w:r>
        <w:instrText>"</w:instrText>
      </w:r>
      <w:r>
        <w:rPr>
          <w:rStyle w:val="indexentry"/>
        </w:rPr>
        <w:fldChar w:fldCharType="end"/>
      </w:r>
      <w:r>
        <w:rPr>
          <w:rStyle w:val="indexentry"/>
        </w:rPr>
        <w:t>&lt;cx "language shift, based on name + bu"&gt;</w:t>
      </w:r>
      <w:r>
        <w:rPr>
          <w:rStyle w:val="indexentry"/>
        </w:rPr>
        <w:fldChar w:fldCharType="begin"/>
      </w:r>
      <w:r>
        <w:instrText>xe "</w:instrText>
      </w:r>
      <w:r>
        <w:rPr>
          <w:rStyle w:val="xeentry"/>
        </w:rPr>
        <w:instrText>language shift: based on name + bu</w:instrText>
      </w:r>
      <w:r>
        <w:instrText>"</w:instrText>
      </w:r>
      <w:r>
        <w:rPr>
          <w:rStyle w:val="indexentry"/>
        </w:rPr>
        <w:fldChar w:fldCharType="end"/>
      </w:r>
      <w:r>
        <w:t>The cmavo “zai” (of selma'o LAU) is used to create shift words to still other</w:t>
      </w:r>
      <w:r>
        <w:rPr>
          <w:rStyle w:val="deletedparamark"/>
        </w:rPr>
        <w:t xml:space="preserve"> </w:t>
      </w:r>
      <w:r>
        <w:t>alph</w:t>
      </w:r>
      <w:r>
        <w:t>a</w:t>
      </w:r>
      <w:r>
        <w:softHyphen/>
        <w:t>bets. The BY word which must follow any LAU cmavo would typically</w:t>
      </w:r>
      <w:r>
        <w:rPr>
          <w:rStyle w:val="deletedparamark"/>
        </w:rPr>
        <w:t xml:space="preserve"> </w:t>
      </w:r>
      <w:r>
        <w:t>be a name repr</w:t>
      </w:r>
      <w:r>
        <w:t>e</w:t>
      </w:r>
      <w:r>
        <w:softHyphen/>
        <w:t>senting the alphabet with “bu” suffixed:</w:t>
      </w:r>
    </w:p>
    <w:p w:rsidR="00B72047" w:rsidRDefault="00B72047">
      <w:pPr>
        <w:rPr>
          <w:rStyle w:val="htmlparacode"/>
        </w:rPr>
      </w:pPr>
      <w:r>
        <w:rPr>
          <w:rStyle w:val="htmlparacode"/>
        </w:rPr>
        <w:t>&lt;p&gt;</w:t>
      </w:r>
    </w:p>
    <w:p w:rsidR="00B72047" w:rsidRDefault="00B72047">
      <w:pPr>
        <w:pStyle w:val="examplescaledpre"/>
      </w:pPr>
      <w:r>
        <w:rPr>
          <w:rStyle w:val="indexentry"/>
        </w:rPr>
        <w:t>&lt;ex "Devanagari"&gt;</w:t>
      </w:r>
      <w:r>
        <w:rPr>
          <w:rStyle w:val="indexentry"/>
        </w:rPr>
        <w:fldChar w:fldCharType="begin"/>
      </w:r>
      <w:r>
        <w:instrText>xe "</w:instrText>
      </w:r>
      <w:r>
        <w:rPr>
          <w:rStyle w:val="xeentry"/>
        </w:rPr>
        <w:instrText>Devanagari: example</w:instrText>
      </w:r>
      <w:r>
        <w:instrText>"</w:instrText>
      </w:r>
      <w:r>
        <w:rPr>
          <w:rStyle w:val="indexentry"/>
        </w:rPr>
        <w:fldChar w:fldCharType="end"/>
      </w:r>
      <w:r>
        <w:rPr>
          <w:rStyle w:val="htmlcodes"/>
        </w:rPr>
        <w:t>&lt;pre&gt;&lt;a name=e5d2&gt;</w:t>
      </w:r>
      <w:r>
        <w:t>5.2)</w:t>
      </w:r>
      <w:r>
        <w:tab/>
        <w:t>zai .devanagar. bu</w:t>
      </w:r>
    </w:p>
    <w:p w:rsidR="00B72047" w:rsidRDefault="00B72047">
      <w:pPr>
        <w:pStyle w:val="examplescaled"/>
      </w:pPr>
      <w:r>
        <w:tab/>
        <w:t>Devanagari (Hindi) alphabet</w:t>
      </w:r>
    </w:p>
    <w:p w:rsidR="00B72047" w:rsidRDefault="00B72047">
      <w:pPr>
        <w:pStyle w:val="examplescaledpre"/>
      </w:pPr>
      <w:r>
        <w:rPr>
          <w:rStyle w:val="htmlcodes"/>
        </w:rPr>
        <w:t>&lt;/pre&gt;</w:t>
      </w:r>
      <w:r>
        <w:rPr>
          <w:rStyle w:val="indexentry"/>
        </w:rPr>
        <w:t>&lt;ex "katakana"&gt;</w:t>
      </w:r>
      <w:r>
        <w:rPr>
          <w:rStyle w:val="indexentry"/>
        </w:rPr>
        <w:fldChar w:fldCharType="begin"/>
      </w:r>
      <w:r>
        <w:instrText>xe "</w:instrText>
      </w:r>
      <w:r>
        <w:rPr>
          <w:rStyle w:val="xeentry"/>
        </w:rPr>
        <w:instrText>katakana: example</w:instrText>
      </w:r>
      <w:r>
        <w:instrText>"</w:instrText>
      </w:r>
      <w:r>
        <w:rPr>
          <w:rStyle w:val="indexentry"/>
        </w:rPr>
        <w:fldChar w:fldCharType="end"/>
      </w:r>
      <w:r>
        <w:rPr>
          <w:rStyle w:val="indexentry"/>
        </w:rPr>
        <w:t>&lt;ex "Japanese katakana"&gt;</w:t>
      </w:r>
      <w:r>
        <w:rPr>
          <w:rStyle w:val="indexentry"/>
        </w:rPr>
        <w:fldChar w:fldCharType="begin"/>
      </w:r>
      <w:r>
        <w:instrText>xe "</w:instrText>
      </w:r>
      <w:r>
        <w:rPr>
          <w:rStyle w:val="xeentry"/>
        </w:rPr>
        <w:instrText>Japanese katakana: example</w:instrText>
      </w:r>
      <w:r>
        <w:instrText>"</w:instrText>
      </w:r>
      <w:r>
        <w:rPr>
          <w:rStyle w:val="indexentry"/>
        </w:rPr>
        <w:fldChar w:fldCharType="end"/>
      </w:r>
      <w:r>
        <w:rPr>
          <w:rStyle w:val="htmlcodes"/>
        </w:rPr>
        <w:t>&lt;pre&gt;&lt;a name=e5d3&gt;</w:t>
      </w:r>
      <w:r>
        <w:t>5.3)</w:t>
      </w:r>
      <w:r>
        <w:tab/>
        <w:t>zai .katakan. bu</w:t>
      </w:r>
    </w:p>
    <w:p w:rsidR="00B72047" w:rsidRDefault="00B72047">
      <w:pPr>
        <w:pStyle w:val="examplescaled"/>
      </w:pPr>
      <w:r>
        <w:tab/>
        <w:t>Japanese katakana syllabary</w:t>
      </w:r>
    </w:p>
    <w:p w:rsidR="00B72047" w:rsidRDefault="00B72047">
      <w:pPr>
        <w:pStyle w:val="examplescaledpre"/>
      </w:pPr>
      <w:r>
        <w:rPr>
          <w:rStyle w:val="htmlcodes"/>
        </w:rPr>
        <w:t>&lt;/pre&gt;</w:t>
      </w:r>
      <w:r>
        <w:rPr>
          <w:rStyle w:val="indexentry"/>
        </w:rPr>
        <w:t>&lt;ex "hiragana"&gt;</w:t>
      </w:r>
      <w:r>
        <w:rPr>
          <w:rStyle w:val="indexentry"/>
        </w:rPr>
        <w:fldChar w:fldCharType="begin"/>
      </w:r>
      <w:r>
        <w:instrText>xe "</w:instrText>
      </w:r>
      <w:r>
        <w:rPr>
          <w:rStyle w:val="xeentry"/>
        </w:rPr>
        <w:instrText>hiragana: example</w:instrText>
      </w:r>
      <w:r>
        <w:instrText>"</w:instrText>
      </w:r>
      <w:r>
        <w:rPr>
          <w:rStyle w:val="indexentry"/>
        </w:rPr>
        <w:fldChar w:fldCharType="end"/>
      </w:r>
      <w:r>
        <w:rPr>
          <w:rStyle w:val="indexentry"/>
        </w:rPr>
        <w:t>&lt;ex "Japanese hiragana"&gt;</w:t>
      </w:r>
      <w:r>
        <w:rPr>
          <w:rStyle w:val="indexentry"/>
        </w:rPr>
        <w:fldChar w:fldCharType="begin"/>
      </w:r>
      <w:r>
        <w:instrText>xe "</w:instrText>
      </w:r>
      <w:r>
        <w:rPr>
          <w:rStyle w:val="xeentry"/>
        </w:rPr>
        <w:instrText>Japanese hiragana: example</w:instrText>
      </w:r>
      <w:r>
        <w:instrText>"</w:instrText>
      </w:r>
      <w:r>
        <w:rPr>
          <w:rStyle w:val="indexentry"/>
        </w:rPr>
        <w:fldChar w:fldCharType="end"/>
      </w:r>
      <w:r>
        <w:rPr>
          <w:rStyle w:val="htmlcodes"/>
        </w:rPr>
        <w:t>&lt;pre&gt;&lt;a name=e5d4&gt;</w:t>
      </w:r>
      <w:r>
        <w:t>5.4)</w:t>
      </w:r>
      <w:r>
        <w:tab/>
        <w:t>zai .xiragan. bu</w:t>
      </w:r>
    </w:p>
    <w:p w:rsidR="00B72047" w:rsidRDefault="00B72047">
      <w:pPr>
        <w:pStyle w:val="examplescaled"/>
      </w:pPr>
      <w:r>
        <w:tab/>
        <w:t>Japanese hiragana syllabary</w:t>
      </w:r>
    </w:p>
    <w:p w:rsidR="00B72047" w:rsidRDefault="00B72047">
      <w:pPr>
        <w:pStyle w:val="resumedafterexample"/>
      </w:pPr>
      <w:r>
        <w:rPr>
          <w:rStyle w:val="htmlcodes"/>
        </w:rPr>
        <w:t>&lt;/pre&gt;</w:t>
      </w:r>
      <w:r>
        <w:rPr>
          <w:rStyle w:val="indexentry"/>
        </w:rPr>
        <w:t>&lt;cx "language shift, standardization of"&gt;</w:t>
      </w:r>
      <w:r>
        <w:rPr>
          <w:rStyle w:val="indexentry"/>
        </w:rPr>
        <w:fldChar w:fldCharType="begin"/>
      </w:r>
      <w:r>
        <w:instrText>xe "</w:instrText>
      </w:r>
      <w:r>
        <w:rPr>
          <w:rStyle w:val="xeentry"/>
        </w:rPr>
        <w:instrText>language shift: standardization of</w:instrText>
      </w:r>
      <w:r>
        <w:instrText>"</w:instrText>
      </w:r>
      <w:r>
        <w:rPr>
          <w:rStyle w:val="indexentry"/>
        </w:rPr>
        <w:fldChar w:fldCharType="end"/>
      </w:r>
      <w:r>
        <w:t>Unlike the cmavo above, these shift words have not been standardized and</w:t>
      </w:r>
      <w:r>
        <w:rPr>
          <w:rStyle w:val="deletedparamark"/>
        </w:rPr>
        <w:t xml:space="preserve"> </w:t>
      </w:r>
      <w:r>
        <w:t>probably will not be until someone actually has a need for them. (Note</w:t>
      </w:r>
      <w:r>
        <w:rPr>
          <w:rStyle w:val="deletedparamark"/>
        </w:rPr>
        <w:t xml:space="preserve"> </w:t>
      </w:r>
      <w:r>
        <w:t>the “.”characters marking lea</w:t>
      </w:r>
      <w:r>
        <w:t>d</w:t>
      </w:r>
      <w:r>
        <w:softHyphen/>
        <w:t>ing and following pauses.)</w:t>
      </w:r>
    </w:p>
    <w:p w:rsidR="00B72047" w:rsidRDefault="00B72047">
      <w:pPr>
        <w:rPr>
          <w:rStyle w:val="htmlparacode"/>
        </w:rPr>
      </w:pPr>
      <w:r>
        <w:rPr>
          <w:rStyle w:val="htmlparacode"/>
        </w:rPr>
        <w:t>&lt;p&gt;</w:t>
      </w:r>
    </w:p>
    <w:p w:rsidR="00B72047" w:rsidRDefault="00B72047">
      <w:pPr>
        <w:pStyle w:val="normalparagraph"/>
      </w:pPr>
      <w:r>
        <w:rPr>
          <w:rStyle w:val="indexentry"/>
        </w:rPr>
        <w:t>&lt;ex "italic"&gt;</w:t>
      </w:r>
      <w:r>
        <w:rPr>
          <w:rStyle w:val="indexentry"/>
        </w:rPr>
        <w:fldChar w:fldCharType="begin"/>
      </w:r>
      <w:r>
        <w:instrText>xe "</w:instrText>
      </w:r>
      <w:r>
        <w:rPr>
          <w:rStyle w:val="xeentry"/>
        </w:rPr>
        <w:instrText>italic: example</w:instrText>
      </w:r>
      <w:r>
        <w:instrText>"</w:instrText>
      </w:r>
      <w:r>
        <w:rPr>
          <w:rStyle w:val="indexentry"/>
        </w:rPr>
        <w:fldChar w:fldCharType="end"/>
      </w:r>
      <w:r>
        <w:rPr>
          <w:rStyle w:val="indexentry"/>
        </w:rPr>
        <w:t>&lt;ex "bold"&gt;</w:t>
      </w:r>
      <w:r>
        <w:rPr>
          <w:rStyle w:val="indexentry"/>
        </w:rPr>
        <w:fldChar w:fldCharType="begin"/>
      </w:r>
      <w:r>
        <w:instrText>xe "</w:instrText>
      </w:r>
      <w:r>
        <w:rPr>
          <w:rStyle w:val="xeentry"/>
        </w:rPr>
        <w:instrText>bold: example</w:instrText>
      </w:r>
      <w:r>
        <w:instrText>"</w:instrText>
      </w:r>
      <w:r>
        <w:rPr>
          <w:rStyle w:val="indexentry"/>
        </w:rPr>
        <w:fldChar w:fldCharType="end"/>
      </w:r>
      <w:r>
        <w:rPr>
          <w:rStyle w:val="indexentry"/>
        </w:rPr>
        <w:t>&lt;cx "font, specifying for letters"&gt;</w:t>
      </w:r>
      <w:r>
        <w:rPr>
          <w:rStyle w:val="indexentry"/>
        </w:rPr>
        <w:fldChar w:fldCharType="begin"/>
      </w:r>
      <w:r>
        <w:instrText>xe "</w:instrText>
      </w:r>
      <w:r>
        <w:rPr>
          <w:rStyle w:val="xeentry"/>
        </w:rPr>
        <w:instrText>font: specifying for letters</w:instrText>
      </w:r>
      <w:r>
        <w:instrText>"</w:instrText>
      </w:r>
      <w:r>
        <w:rPr>
          <w:rStyle w:val="indexentry"/>
        </w:rPr>
        <w:fldChar w:fldCharType="end"/>
      </w:r>
      <w:r>
        <w:rPr>
          <w:rStyle w:val="indexentry"/>
        </w:rPr>
        <w:t>&lt;cx "face, specifying for letters"&gt;</w:t>
      </w:r>
      <w:r>
        <w:rPr>
          <w:rStyle w:val="indexentry"/>
        </w:rPr>
        <w:fldChar w:fldCharType="begin"/>
      </w:r>
      <w:r>
        <w:instrText>xe "</w:instrText>
      </w:r>
      <w:r>
        <w:rPr>
          <w:rStyle w:val="xeentry"/>
        </w:rPr>
        <w:instrText>face: specifying for letters</w:instrText>
      </w:r>
      <w:r>
        <w:instrText>"</w:instrText>
      </w:r>
      <w:r>
        <w:rPr>
          <w:rStyle w:val="indexentry"/>
        </w:rPr>
        <w:fldChar w:fldCharType="end"/>
      </w:r>
      <w:r>
        <w:rPr>
          <w:rStyle w:val="indexentry"/>
        </w:rPr>
        <w:t>&lt;cx "shift words, for font"&gt;</w:t>
      </w:r>
      <w:r>
        <w:rPr>
          <w:rStyle w:val="indexentry"/>
        </w:rPr>
        <w:fldChar w:fldCharType="begin"/>
      </w:r>
      <w:r>
        <w:instrText>xe "</w:instrText>
      </w:r>
      <w:r>
        <w:rPr>
          <w:rStyle w:val="xeentry"/>
        </w:rPr>
        <w:instrText>shift word: for font</w:instrText>
      </w:r>
      <w:r>
        <w:instrText>"</w:instrText>
      </w:r>
      <w:r>
        <w:rPr>
          <w:rStyle w:val="indexentry"/>
        </w:rPr>
        <w:fldChar w:fldCharType="end"/>
      </w:r>
      <w:r>
        <w:rPr>
          <w:rStyle w:val="indexentry"/>
        </w:rPr>
        <w:t>&lt;cx "shift words, for face"&gt;</w:t>
      </w:r>
      <w:r>
        <w:rPr>
          <w:rStyle w:val="indexentry"/>
        </w:rPr>
        <w:fldChar w:fldCharType="begin"/>
      </w:r>
      <w:r>
        <w:instrText>xe "</w:instrText>
      </w:r>
      <w:r>
        <w:rPr>
          <w:rStyle w:val="xeentry"/>
        </w:rPr>
        <w:instrText>shift word: for face</w:instrText>
      </w:r>
      <w:r>
        <w:instrText>"</w:instrText>
      </w:r>
      <w:r>
        <w:rPr>
          <w:rStyle w:val="indexentry"/>
        </w:rPr>
        <w:fldChar w:fldCharType="end"/>
      </w:r>
      <w:r>
        <w:rPr>
          <w:rStyle w:val="indexentry"/>
        </w:rPr>
        <w:t>&lt;lx "ce'a"&gt;</w:t>
      </w:r>
      <w:r>
        <w:rPr>
          <w:rStyle w:val="indexentry"/>
        </w:rPr>
        <w:fldChar w:fldCharType="begin"/>
      </w:r>
      <w:r>
        <w:instrText>xe "</w:instrText>
      </w:r>
      <w:r>
        <w:rPr>
          <w:rStyle w:val="xeentry"/>
        </w:rPr>
        <w:instrText>ce'a</w:instrText>
      </w:r>
      <w:r>
        <w:instrText>"</w:instrText>
      </w:r>
      <w:r>
        <w:rPr>
          <w:rStyle w:val="indexentry"/>
        </w:rPr>
        <w:fldChar w:fldCharType="end"/>
      </w:r>
      <w:r>
        <w:rPr>
          <w:rStyle w:val="indexentry"/>
        </w:rPr>
        <w:t>&lt;lx "LAU"&gt;</w:t>
      </w:r>
      <w:r>
        <w:rPr>
          <w:rStyle w:val="indexentry"/>
        </w:rPr>
        <w:fldChar w:fldCharType="begin"/>
      </w:r>
      <w:r>
        <w:instrText>xe "</w:instrText>
      </w:r>
      <w:r>
        <w:rPr>
          <w:rStyle w:val="xeentry"/>
        </w:rPr>
        <w:instrText>LAU selma’o</w:instrText>
      </w:r>
      <w:r>
        <w:instrText>"</w:instrText>
      </w:r>
      <w:r>
        <w:rPr>
          <w:rStyle w:val="indexentry"/>
        </w:rPr>
        <w:fldChar w:fldCharType="end"/>
      </w:r>
      <w:r>
        <w:t>In addition, there may be multiple visible representations within a single</w:t>
      </w:r>
      <w:r>
        <w:rPr>
          <w:rStyle w:val="deletedparamark"/>
        </w:rPr>
        <w:t xml:space="preserve"> </w:t>
      </w:r>
      <w:r>
        <w:t>al</w:t>
      </w:r>
      <w:r>
        <w:softHyphen/>
        <w:t>phabet for a given letter: roman vs. italics, handwriting vs. print,</w:t>
      </w:r>
      <w:r>
        <w:rPr>
          <w:rStyle w:val="deletedparamark"/>
        </w:rPr>
        <w:t xml:space="preserve"> </w:t>
      </w:r>
      <w:r>
        <w:t>Bodoni vs. Helvetica. These trad</w:t>
      </w:r>
      <w:r>
        <w:t>i</w:t>
      </w:r>
      <w:r>
        <w:softHyphen/>
        <w:t>tional “font and face” distinctions are</w:t>
      </w:r>
      <w:r>
        <w:rPr>
          <w:rStyle w:val="deletedparamark"/>
        </w:rPr>
        <w:t xml:space="preserve"> </w:t>
      </w:r>
      <w:r>
        <w:t>also represented by shift words, indi</w:t>
      </w:r>
      <w:r>
        <w:softHyphen/>
        <w:t>cated with the cmavo “ce'a” (of selma'o</w:t>
      </w:r>
      <w:r>
        <w:rPr>
          <w:rStyle w:val="deletedparamark"/>
        </w:rPr>
        <w:t xml:space="preserve"> </w:t>
      </w:r>
      <w:r>
        <w:t>LAU) and a following BY word:</w:t>
      </w:r>
    </w:p>
    <w:p w:rsidR="00B72047" w:rsidRDefault="00B72047">
      <w:pPr>
        <w:rPr>
          <w:rStyle w:val="htmlparacode"/>
        </w:rPr>
      </w:pPr>
      <w:r>
        <w:rPr>
          <w:rStyle w:val="htmlparacode"/>
        </w:rPr>
        <w:t>&lt;p&gt;</w:t>
      </w:r>
    </w:p>
    <w:p w:rsidR="00B72047" w:rsidRDefault="00B72047">
      <w:pPr>
        <w:pStyle w:val="examplescaledpre"/>
      </w:pPr>
      <w:r>
        <w:rPr>
          <w:rStyle w:val="indexentry"/>
        </w:rPr>
        <w:t>&lt;ex "Helvetica font"&gt;</w:t>
      </w:r>
      <w:r>
        <w:rPr>
          <w:rStyle w:val="indexentry"/>
        </w:rPr>
        <w:fldChar w:fldCharType="begin"/>
      </w:r>
      <w:r>
        <w:instrText>xe "</w:instrText>
      </w:r>
      <w:r>
        <w:rPr>
          <w:rStyle w:val="xeentry"/>
        </w:rPr>
        <w:instrText>Helvetica font: example</w:instrText>
      </w:r>
      <w:r>
        <w:instrText>"</w:instrText>
      </w:r>
      <w:r>
        <w:rPr>
          <w:rStyle w:val="indexentry"/>
        </w:rPr>
        <w:fldChar w:fldCharType="end"/>
      </w:r>
      <w:r>
        <w:rPr>
          <w:rStyle w:val="htmlcodes"/>
        </w:rPr>
        <w:t>&lt;pre&gt;&lt;a name=e5d5&gt;</w:t>
      </w:r>
      <w:r>
        <w:t>5.5)</w:t>
      </w:r>
      <w:r>
        <w:tab/>
        <w:t>ce'a .xelveticas. bu</w:t>
      </w:r>
    </w:p>
    <w:p w:rsidR="00B72047" w:rsidRDefault="00B72047">
      <w:pPr>
        <w:pStyle w:val="examplescaled"/>
      </w:pPr>
      <w:r>
        <w:tab/>
        <w:t>Helvetica font</w:t>
      </w:r>
    </w:p>
    <w:p w:rsidR="00B72047" w:rsidRDefault="00B72047">
      <w:pPr>
        <w:pStyle w:val="examplescaledpre"/>
      </w:pPr>
      <w:r>
        <w:rPr>
          <w:rStyle w:val="htmlcodes"/>
        </w:rPr>
        <w:t>&lt;/pre&gt;</w:t>
      </w:r>
      <w:r>
        <w:rPr>
          <w:rStyle w:val="indexentry"/>
        </w:rPr>
        <w:t>&lt;ex "handwriting"&gt;</w:t>
      </w:r>
      <w:r>
        <w:rPr>
          <w:rStyle w:val="indexentry"/>
        </w:rPr>
        <w:fldChar w:fldCharType="begin"/>
      </w:r>
      <w:r>
        <w:instrText>xe "</w:instrText>
      </w:r>
      <w:r>
        <w:rPr>
          <w:rStyle w:val="xeentry"/>
        </w:rPr>
        <w:instrText>handwriting: example</w:instrText>
      </w:r>
      <w:r>
        <w:instrText>"</w:instrText>
      </w:r>
      <w:r>
        <w:rPr>
          <w:rStyle w:val="indexentry"/>
        </w:rPr>
        <w:fldChar w:fldCharType="end"/>
      </w:r>
      <w:r>
        <w:rPr>
          <w:rStyle w:val="htmlcodes"/>
        </w:rPr>
        <w:t>&lt;pre&gt;&lt;a name=e5d6&gt;</w:t>
      </w:r>
      <w:r>
        <w:t>5.6)</w:t>
      </w:r>
      <w:r>
        <w:tab/>
        <w:t>ce'a .xancisk. bu</w:t>
      </w:r>
    </w:p>
    <w:p w:rsidR="00B72047" w:rsidRDefault="00B72047">
      <w:pPr>
        <w:pStyle w:val="examplescaled"/>
      </w:pPr>
      <w:r>
        <w:tab/>
        <w:t>handwriting</w:t>
      </w:r>
    </w:p>
    <w:p w:rsidR="00B72047" w:rsidRDefault="00B72047">
      <w:pPr>
        <w:pStyle w:val="examplescaledpre"/>
      </w:pPr>
      <w:r>
        <w:rPr>
          <w:rStyle w:val="htmlcodes"/>
        </w:rPr>
        <w:t>&lt;/pre&gt;</w:t>
      </w:r>
      <w:r>
        <w:rPr>
          <w:rStyle w:val="indexentry"/>
        </w:rPr>
        <w:t>&lt;ex "12-point"&gt;</w:t>
      </w:r>
      <w:r>
        <w:rPr>
          <w:rStyle w:val="indexentry"/>
        </w:rPr>
        <w:fldChar w:fldCharType="begin"/>
      </w:r>
      <w:r>
        <w:instrText>xe "</w:instrText>
      </w:r>
      <w:r>
        <w:rPr>
          <w:rStyle w:val="xeentry"/>
        </w:rPr>
        <w:instrText>12-point: example</w:instrText>
      </w:r>
      <w:r>
        <w:instrText>"</w:instrText>
      </w:r>
      <w:r>
        <w:rPr>
          <w:rStyle w:val="indexentry"/>
        </w:rPr>
        <w:fldChar w:fldCharType="end"/>
      </w:r>
      <w:r>
        <w:rPr>
          <w:rStyle w:val="indexentry"/>
        </w:rPr>
        <w:t>&lt;ex "font"&gt;</w:t>
      </w:r>
      <w:r>
        <w:rPr>
          <w:rStyle w:val="indexentry"/>
        </w:rPr>
        <w:fldChar w:fldCharType="begin"/>
      </w:r>
      <w:r>
        <w:instrText>xe "</w:instrText>
      </w:r>
      <w:r>
        <w:rPr>
          <w:rStyle w:val="xeentry"/>
        </w:rPr>
        <w:instrText>font: example</w:instrText>
      </w:r>
      <w:r>
        <w:instrText>"</w:instrText>
      </w:r>
      <w:r>
        <w:rPr>
          <w:rStyle w:val="indexentry"/>
        </w:rPr>
        <w:fldChar w:fldCharType="end"/>
      </w:r>
      <w:r>
        <w:rPr>
          <w:rStyle w:val="htmlcodes"/>
        </w:rPr>
        <w:t>&lt;pre&gt;&lt;a name=e5d7&gt;</w:t>
      </w:r>
      <w:r>
        <w:t>5.7)</w:t>
      </w:r>
      <w:r>
        <w:tab/>
        <w:t>ce'a .pavrel. bu</w:t>
      </w:r>
    </w:p>
    <w:p w:rsidR="00B72047" w:rsidRDefault="00B72047">
      <w:pPr>
        <w:pStyle w:val="examplescaled"/>
      </w:pPr>
      <w:r>
        <w:tab/>
        <w:t>12-point font size</w:t>
      </w:r>
    </w:p>
    <w:p w:rsidR="00B72047" w:rsidRDefault="00B72047">
      <w:pPr>
        <w:pStyle w:val="normalafterexample"/>
      </w:pPr>
      <w:r>
        <w:rPr>
          <w:rStyle w:val="htmlcodes"/>
        </w:rPr>
        <w:t>&lt;/pre&gt;</w:t>
      </w:r>
      <w:r>
        <w:rPr>
          <w:rStyle w:val="indexentry"/>
        </w:rPr>
        <w:t>&lt;cx "shift words, canceling effect"&gt;</w:t>
      </w:r>
      <w:r>
        <w:rPr>
          <w:rStyle w:val="indexentry"/>
        </w:rPr>
        <w:fldChar w:fldCharType="begin"/>
      </w:r>
      <w:r>
        <w:instrText>xe "</w:instrText>
      </w:r>
      <w:r>
        <w:rPr>
          <w:rStyle w:val="xeentry"/>
        </w:rPr>
        <w:instrText>shift word: canceling effect</w:instrText>
      </w:r>
      <w:r>
        <w:instrText>"</w:instrText>
      </w:r>
      <w:r>
        <w:rPr>
          <w:rStyle w:val="indexentry"/>
        </w:rPr>
        <w:fldChar w:fldCharType="end"/>
      </w:r>
      <w:r>
        <w:rPr>
          <w:rStyle w:val="indexentry"/>
        </w:rPr>
        <w:t>&lt;lx "na'a"&gt;</w:t>
      </w:r>
      <w:r>
        <w:rPr>
          <w:rStyle w:val="indexentry"/>
        </w:rPr>
        <w:fldChar w:fldCharType="begin"/>
      </w:r>
      <w:r>
        <w:instrText>xe "</w:instrText>
      </w:r>
      <w:r>
        <w:rPr>
          <w:rStyle w:val="xeentry"/>
        </w:rPr>
        <w:instrText>na'a</w:instrText>
      </w:r>
      <w:r>
        <w:instrText>"</w:instrText>
      </w:r>
      <w:r>
        <w:rPr>
          <w:rStyle w:val="indexentry"/>
        </w:rPr>
        <w:fldChar w:fldCharType="end"/>
      </w:r>
      <w:r>
        <w:rPr>
          <w:rStyle w:val="indexentry"/>
        </w:rPr>
        <w:t>&lt;lx "BY"&gt;</w:t>
      </w:r>
      <w:r>
        <w:rPr>
          <w:rStyle w:val="indexentry"/>
        </w:rPr>
        <w:fldChar w:fldCharType="begin"/>
      </w:r>
      <w:r>
        <w:instrText>xe "</w:instrText>
      </w:r>
      <w:r>
        <w:rPr>
          <w:rStyle w:val="xeentry"/>
        </w:rPr>
        <w:instrText>BY selma’o</w:instrText>
      </w:r>
      <w:r>
        <w:instrText>"</w:instrText>
      </w:r>
      <w:r>
        <w:rPr>
          <w:rStyle w:val="indexentry"/>
        </w:rPr>
        <w:fldChar w:fldCharType="end"/>
      </w:r>
      <w:r>
        <w:rPr>
          <w:rStyle w:val="indexentry"/>
        </w:rPr>
        <w:t>&lt;cx "canceling letter shifts"&gt;</w:t>
      </w:r>
      <w:r>
        <w:rPr>
          <w:rStyle w:val="indexentry"/>
        </w:rPr>
        <w:fldChar w:fldCharType="begin"/>
      </w:r>
      <w:r>
        <w:instrText>xe "</w:instrText>
      </w:r>
      <w:r>
        <w:rPr>
          <w:rStyle w:val="xeentry"/>
        </w:rPr>
        <w:instrText>canceling letter shifts</w:instrText>
      </w:r>
      <w:r>
        <w:instrText>"</w:instrText>
      </w:r>
      <w:r>
        <w:rPr>
          <w:rStyle w:val="indexentry"/>
        </w:rPr>
        <w:fldChar w:fldCharType="end"/>
      </w:r>
      <w:r>
        <w:rPr>
          <w:rStyle w:val="indexentry"/>
        </w:rPr>
        <w:t>&lt;cx "na'a, contrasted with lo'a"&gt;</w:t>
      </w:r>
      <w:r>
        <w:rPr>
          <w:rStyle w:val="indexentry"/>
        </w:rPr>
        <w:fldChar w:fldCharType="begin"/>
      </w:r>
      <w:r>
        <w:instrText>xe "</w:instrText>
      </w:r>
      <w:r>
        <w:rPr>
          <w:rStyle w:val="xeentry"/>
        </w:rPr>
        <w:instrText>na'a: contrasted with lo'a</w:instrText>
      </w:r>
      <w:r>
        <w:instrText>"</w:instrText>
      </w:r>
      <w:r>
        <w:rPr>
          <w:rStyle w:val="indexentry"/>
        </w:rPr>
        <w:fldChar w:fldCharType="end"/>
      </w:r>
      <w:r>
        <w:rPr>
          <w:rStyle w:val="indexentry"/>
        </w:rPr>
        <w:t>&lt;cx "lo'a, contrasted with na'a"&gt;</w:t>
      </w:r>
      <w:r>
        <w:rPr>
          <w:rStyle w:val="indexentry"/>
        </w:rPr>
        <w:fldChar w:fldCharType="begin"/>
      </w:r>
      <w:r>
        <w:instrText>xe "</w:instrText>
      </w:r>
      <w:r>
        <w:rPr>
          <w:rStyle w:val="xeentry"/>
        </w:rPr>
        <w:instrText>lo'a: contrasted with na'a</w:instrText>
      </w:r>
      <w:r>
        <w:instrText>"</w:instrText>
      </w:r>
      <w:r>
        <w:rPr>
          <w:rStyle w:val="indexentry"/>
        </w:rPr>
        <w:fldChar w:fldCharType="end"/>
      </w:r>
      <w:r>
        <w:t>The cmavo “na'a” (of selma'o BY) is a universal shift-word cancel: it</w:t>
      </w:r>
      <w:r>
        <w:rPr>
          <w:rStyle w:val="deletedparamark"/>
        </w:rPr>
        <w:t xml:space="preserve"> </w:t>
      </w:r>
      <w:r>
        <w:t>returns the i</w:t>
      </w:r>
      <w:r>
        <w:t>n</w:t>
      </w:r>
      <w:r>
        <w:softHyphen/>
        <w:t>terpretation of lerfu words to the default of lower-case Lojban</w:t>
      </w:r>
      <w:r>
        <w:rPr>
          <w:rStyle w:val="deletedparamark"/>
        </w:rPr>
        <w:t xml:space="preserve"> </w:t>
      </w:r>
      <w:r>
        <w:t>with no specific font. It is more general than “lo'a”, which changes the</w:t>
      </w:r>
      <w:r>
        <w:rPr>
          <w:rStyle w:val="deletedparamark"/>
        </w:rPr>
        <w:t xml:space="preserve"> </w:t>
      </w:r>
      <w:r>
        <w:t>alphabet only, potentially leaving font and case shifts in place.</w:t>
      </w:r>
    </w:p>
    <w:p w:rsidR="00B72047" w:rsidRDefault="00B72047">
      <w:pPr>
        <w:rPr>
          <w:rStyle w:val="htmlparacode"/>
        </w:rPr>
      </w:pPr>
      <w:r>
        <w:rPr>
          <w:rStyle w:val="htmlparacode"/>
        </w:rPr>
        <w:t>&lt;p&gt;</w:t>
      </w:r>
    </w:p>
    <w:p w:rsidR="00B72047" w:rsidRDefault="00B72047">
      <w:pPr>
        <w:pStyle w:val="normalparagraph"/>
      </w:pPr>
      <w:r>
        <w:t>Several sections at the end of this chapter contain tables of proposed lerfu</w:t>
      </w:r>
      <w:r>
        <w:rPr>
          <w:rStyle w:val="deletedparamark"/>
        </w:rPr>
        <w:t xml:space="preserve"> </w:t>
      </w:r>
      <w:r>
        <w:t>word a</w:t>
      </w:r>
      <w:r>
        <w:t>s</w:t>
      </w:r>
      <w:r>
        <w:softHyphen/>
        <w:t>signments for various languages.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478" w:name="_Toc398970716"/>
      <w:r>
        <w:rPr>
          <w:rStyle w:val="Heading3Text"/>
        </w:rPr>
        <w:t>Accent marks and compound lerfu words</w:t>
      </w:r>
      <w:bookmarkEnd w:id="47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"diacritical marks, as lerfu"&gt;</w:t>
      </w:r>
      <w:r>
        <w:rPr>
          <w:rStyle w:val="indexentry"/>
        </w:rPr>
        <w:fldChar w:fldCharType="begin"/>
      </w:r>
      <w:r>
        <w:instrText>xe "</w:instrText>
      </w:r>
      <w:r>
        <w:rPr>
          <w:rStyle w:val="xeentry"/>
        </w:rPr>
        <w:instrText>diacritical marks: as lerfu</w:instrText>
      </w:r>
      <w:r>
        <w:instrText>"</w:instrText>
      </w:r>
      <w:r>
        <w:rPr>
          <w:rStyle w:val="indexentry"/>
        </w:rPr>
        <w:fldChar w:fldCharType="end"/>
      </w:r>
      <w:r>
        <w:rPr>
          <w:rStyle w:val="indexentry"/>
        </w:rPr>
        <w:t>&lt;cx "letters, non-Lojban, representation of diacritical marks on"&gt;</w:t>
      </w:r>
      <w:r>
        <w:rPr>
          <w:rStyle w:val="indexentry"/>
        </w:rPr>
        <w:fldChar w:fldCharType="begin"/>
      </w:r>
      <w:r>
        <w:instrText>xe "</w:instrText>
      </w:r>
      <w:r>
        <w:rPr>
          <w:rStyle w:val="xeentry"/>
        </w:rPr>
        <w:instrText>letters: non-Lojban, representation of diacritical marks on</w:instrText>
      </w:r>
      <w:r>
        <w:instrText>"</w:instrText>
      </w:r>
      <w:r>
        <w:rPr>
          <w:rStyle w:val="indexentry"/>
        </w:rPr>
        <w:fldChar w:fldCharType="end"/>
      </w:r>
      <w:r>
        <w:rPr>
          <w:rStyle w:val="indexentry"/>
        </w:rPr>
        <w:t>&lt;ex "accent mark, a diacritical mark"&gt;</w:t>
      </w:r>
      <w:r>
        <w:rPr>
          <w:rStyle w:val="indexentry"/>
        </w:rPr>
        <w:fldChar w:fldCharType="begin"/>
      </w:r>
      <w:r>
        <w:instrText>xe "</w:instrText>
      </w:r>
      <w:r>
        <w:rPr>
          <w:rStyle w:val="xeentry"/>
        </w:rPr>
        <w:instrText>accent mark: a diacritical mark</w:instrText>
      </w:r>
      <w:r>
        <w:instrText>"</w:instrText>
      </w:r>
      <w:r>
        <w:rPr>
          <w:rStyle w:val="indexentry"/>
        </w:rPr>
        <w:fldChar w:fldCharType="end"/>
      </w:r>
      <w:r>
        <w:rPr>
          <w:rStyle w:val="indexentry"/>
        </w:rPr>
        <w:t>&lt;ex "umlaut, a diacritical mark"&gt;</w:t>
      </w:r>
      <w:r>
        <w:rPr>
          <w:rStyle w:val="indexentry"/>
        </w:rPr>
        <w:fldChar w:fldCharType="begin"/>
      </w:r>
      <w:r>
        <w:instrText>xe "</w:instrText>
      </w:r>
      <w:r>
        <w:rPr>
          <w:rStyle w:val="xeentry"/>
        </w:rPr>
        <w:instrText>umlaut: a diacritical mark</w:instrText>
      </w:r>
      <w:r>
        <w:instrText>"</w:instrText>
      </w:r>
      <w:r>
        <w:rPr>
          <w:rStyle w:val="indexentry"/>
        </w:rPr>
        <w:fldChar w:fldCharType="end"/>
      </w:r>
      <w:r>
        <w:rPr>
          <w:rStyle w:val="indexentry"/>
        </w:rPr>
        <w:t>&lt;ex "circumflex, a diacritical mark"&gt;</w:t>
      </w:r>
      <w:r>
        <w:rPr>
          <w:rStyle w:val="indexentry"/>
        </w:rPr>
        <w:fldChar w:fldCharType="begin"/>
      </w:r>
      <w:r>
        <w:instrText>xe "</w:instrText>
      </w:r>
      <w:r>
        <w:rPr>
          <w:rStyle w:val="xeentry"/>
        </w:rPr>
        <w:instrText>circumflex: a diacritical mark</w:instrText>
      </w:r>
      <w:r>
        <w:instrText>"</w:instrText>
      </w:r>
      <w:r>
        <w:rPr>
          <w:rStyle w:val="indexentry"/>
        </w:rPr>
        <w:fldChar w:fldCharType="end"/>
      </w:r>
      <w:r>
        <w:rPr>
          <w:rStyle w:val="indexentry"/>
        </w:rPr>
        <w:t>&lt;ex "cedilla, a diacritical mark"&gt;</w:t>
      </w:r>
      <w:r>
        <w:rPr>
          <w:rStyle w:val="indexentry"/>
        </w:rPr>
        <w:fldChar w:fldCharType="begin"/>
      </w:r>
      <w:r>
        <w:instrText>xe "</w:instrText>
      </w:r>
      <w:r>
        <w:rPr>
          <w:rStyle w:val="xeentry"/>
        </w:rPr>
        <w:instrText>cedilla: a diacritical mark</w:instrText>
      </w:r>
      <w:r>
        <w:instrText>"</w:instrText>
      </w:r>
      <w:r>
        <w:rPr>
          <w:rStyle w:val="indexentry"/>
        </w:rPr>
        <w:fldChar w:fldCharType="end"/>
      </w:r>
      <w:r>
        <w:rPr>
          <w:rStyle w:val="indexentry"/>
        </w:rPr>
        <w:t>&lt;ex "tilde, a diacritical mark"&gt;</w:t>
      </w:r>
      <w:r>
        <w:rPr>
          <w:rStyle w:val="indexentry"/>
        </w:rPr>
        <w:fldChar w:fldCharType="begin"/>
      </w:r>
      <w:r>
        <w:instrText>xe "</w:instrText>
      </w:r>
      <w:r>
        <w:rPr>
          <w:rStyle w:val="xeentry"/>
        </w:rPr>
        <w:instrText>tilde: a diacritical mark</w:instrText>
      </w:r>
      <w:r>
        <w:instrText>"</w:instrText>
      </w:r>
      <w:r>
        <w:rPr>
          <w:rStyle w:val="indexentry"/>
        </w:rPr>
        <w:fldChar w:fldCharType="end"/>
      </w:r>
      <w:r>
        <w:t>Many languages that make use of the Latin alphabet add special</w:t>
      </w:r>
      <w:r>
        <w:rPr>
          <w:rStyle w:val="deletedparamark"/>
        </w:rPr>
        <w:t xml:space="preserve"> </w:t>
      </w:r>
      <w:r>
        <w:t>marks to some of the lerfu they use. French, for example, uses three</w:t>
      </w:r>
      <w:r>
        <w:rPr>
          <w:rStyle w:val="deletedparamark"/>
        </w:rPr>
        <w:t xml:space="preserve"> </w:t>
      </w:r>
      <w:r>
        <w:t>accent marks above vowels, called (in English) “acute”, “grave”, and</w:t>
      </w:r>
      <w:r>
        <w:rPr>
          <w:rStyle w:val="deletedparamark"/>
        </w:rPr>
        <w:t xml:space="preserve"> “</w:t>
      </w:r>
      <w:r>
        <w:t>circumflex”. Likewise, German uses a mark called “umlaut”; a mark which</w:t>
      </w:r>
      <w:r>
        <w:rPr>
          <w:rStyle w:val="deletedparamark"/>
        </w:rPr>
        <w:t xml:space="preserve"> </w:t>
      </w:r>
      <w:r>
        <w:t>looks the same is also used in French, but with a different name and meaning.</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"diacritical marks, problem of position"&gt;</w:t>
      </w:r>
      <w:r>
        <w:rPr>
          <w:rStyle w:val="indexentry"/>
        </w:rPr>
        <w:fldChar w:fldCharType="begin"/>
      </w:r>
      <w:r>
        <w:instrText>xe "</w:instrText>
      </w:r>
      <w:r>
        <w:rPr>
          <w:rStyle w:val="xeentry"/>
        </w:rPr>
        <w:instrText>diacritical marks: problem of position</w:instrText>
      </w:r>
      <w:r>
        <w:instrText>"</w:instrText>
      </w:r>
      <w:r>
        <w:rPr>
          <w:rStyle w:val="indexentry"/>
        </w:rPr>
        <w:fldChar w:fldCharType="end"/>
      </w:r>
      <w:r>
        <w:t>These marks may be considered lerfu, and each has a corresponding lerfu</w:t>
      </w:r>
      <w:r>
        <w:rPr>
          <w:rStyle w:val="deletedparamark"/>
        </w:rPr>
        <w:t xml:space="preserve"> </w:t>
      </w:r>
      <w:r>
        <w:t>word in Lojban. So far, no problem. But the marks appear over lerfu,</w:t>
      </w:r>
      <w:r>
        <w:rPr>
          <w:rStyle w:val="deletedparamark"/>
        </w:rPr>
        <w:t xml:space="preserve"> </w:t>
      </w:r>
      <w:r>
        <w:t>whereas the words must be spoken (or written) either before or after the</w:t>
      </w:r>
      <w:r>
        <w:rPr>
          <w:rStyle w:val="deletedparamark"/>
        </w:rPr>
        <w:t xml:space="preserve"> </w:t>
      </w:r>
      <w:r>
        <w:t>lerfu word representing the basic lerfu. Typewriters (for mechanical reasons)</w:t>
      </w:r>
      <w:r>
        <w:rPr>
          <w:rStyle w:val="deletedparamark"/>
        </w:rPr>
        <w:t xml:space="preserve"> </w:t>
      </w:r>
      <w:r>
        <w:t>and the computer programs that emulate them us</w:t>
      </w:r>
      <w:r>
        <w:t>u</w:t>
      </w:r>
      <w:r>
        <w:softHyphen/>
        <w:t>ally require their users to</w:t>
      </w:r>
      <w:r>
        <w:rPr>
          <w:rStyle w:val="deletedparamark"/>
        </w:rPr>
        <w:t xml:space="preserve"> </w:t>
      </w:r>
      <w:r>
        <w:t>type the accent mark before the basic lerfu, whereas in speech the accent</w:t>
      </w:r>
      <w:r>
        <w:rPr>
          <w:rStyle w:val="deletedparamark"/>
        </w:rPr>
        <w:t xml:space="preserve"> </w:t>
      </w:r>
      <w:r>
        <w:t>mark is often pronounced afterwards (for example, in German “a umlaut” is</w:t>
      </w:r>
      <w:r>
        <w:rPr>
          <w:rStyle w:val="deletedparamark"/>
        </w:rPr>
        <w:t xml:space="preserve"> </w:t>
      </w:r>
      <w:r>
        <w:t>preferred to “umlaut a”).</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"diacritical marks, specifying with tei…foi"&gt;</w:t>
      </w:r>
      <w:r>
        <w:rPr>
          <w:rStyle w:val="indexentry"/>
        </w:rPr>
        <w:fldChar w:fldCharType="begin"/>
      </w:r>
      <w:r>
        <w:instrText>xe "</w:instrText>
      </w:r>
      <w:r>
        <w:rPr>
          <w:rStyle w:val="xeentry"/>
        </w:rPr>
        <w:instrText>diacritical marks: specifying with tei…foi</w:instrText>
      </w:r>
      <w:r>
        <w:instrText>"</w:instrText>
      </w:r>
      <w:r>
        <w:rPr>
          <w:rStyle w:val="indexentry"/>
        </w:rPr>
        <w:fldChar w:fldCharType="end"/>
      </w:r>
      <w:r>
        <w:rPr>
          <w:rStyle w:val="indexentry"/>
        </w:rPr>
        <w:t>&lt;lx "tei"&gt;</w:t>
      </w:r>
      <w:r>
        <w:rPr>
          <w:rStyle w:val="indexentry"/>
        </w:rPr>
        <w:fldChar w:fldCharType="begin"/>
      </w:r>
      <w:r>
        <w:instrText>xe "</w:instrText>
      </w:r>
      <w:r>
        <w:rPr>
          <w:rStyle w:val="xeentry"/>
        </w:rPr>
        <w:instrText>tei</w:instrText>
      </w:r>
      <w:r>
        <w:instrText>"</w:instrText>
      </w:r>
      <w:r>
        <w:rPr>
          <w:rStyle w:val="indexentry"/>
        </w:rPr>
        <w:fldChar w:fldCharType="end"/>
      </w:r>
      <w:r>
        <w:rPr>
          <w:rStyle w:val="indexentry"/>
        </w:rPr>
        <w:t>&lt;lx "foi"&gt;</w:t>
      </w:r>
      <w:r>
        <w:rPr>
          <w:rStyle w:val="indexentry"/>
        </w:rPr>
        <w:fldChar w:fldCharType="begin"/>
      </w:r>
      <w:r>
        <w:instrText>xe "</w:instrText>
      </w:r>
      <w:r>
        <w:rPr>
          <w:rStyle w:val="xeentry"/>
        </w:rPr>
        <w:instrText>foi</w:instrText>
      </w:r>
      <w:r>
        <w:instrText>"</w:instrText>
      </w:r>
      <w:r>
        <w:rPr>
          <w:rStyle w:val="indexentry"/>
        </w:rPr>
        <w:fldChar w:fldCharType="end"/>
      </w:r>
      <w:r>
        <w:rPr>
          <w:rStyle w:val="indexentry"/>
        </w:rPr>
        <w:t>&lt;lx "TEI"&gt;</w:t>
      </w:r>
      <w:r>
        <w:rPr>
          <w:rStyle w:val="indexentry"/>
        </w:rPr>
        <w:fldChar w:fldCharType="begin"/>
      </w:r>
      <w:r>
        <w:instrText>xe "</w:instrText>
      </w:r>
      <w:r>
        <w:rPr>
          <w:rStyle w:val="xeentry"/>
        </w:rPr>
        <w:instrText>TEI selma’o</w:instrText>
      </w:r>
      <w:r>
        <w:instrText>"</w:instrText>
      </w:r>
      <w:r>
        <w:rPr>
          <w:rStyle w:val="indexentry"/>
        </w:rPr>
        <w:fldChar w:fldCharType="end"/>
      </w:r>
      <w:r>
        <w:rPr>
          <w:rStyle w:val="indexentry"/>
        </w:rPr>
        <w:t>&lt;lx "FOI"&gt;</w:t>
      </w:r>
      <w:r>
        <w:rPr>
          <w:rStyle w:val="indexentry"/>
        </w:rPr>
        <w:fldChar w:fldCharType="begin"/>
      </w:r>
      <w:r>
        <w:instrText>xe "</w:instrText>
      </w:r>
      <w:r>
        <w:rPr>
          <w:rStyle w:val="xeentry"/>
        </w:rPr>
        <w:instrText>FOI selma’o</w:instrText>
      </w:r>
      <w:r>
        <w:instrText>"</w:instrText>
      </w:r>
      <w:r>
        <w:rPr>
          <w:rStyle w:val="indexentry"/>
        </w:rPr>
        <w:fldChar w:fldCharType="end"/>
      </w:r>
      <w:r>
        <w:t>Lojban cannot settle this question by fiat. Either it must be left up to</w:t>
      </w:r>
      <w:r>
        <w:rPr>
          <w:rStyle w:val="deletedparamark"/>
        </w:rPr>
        <w:t xml:space="preserve"> </w:t>
      </w:r>
      <w:r>
        <w:t>default inte</w:t>
      </w:r>
      <w:r>
        <w:t>r</w:t>
      </w:r>
      <w:r>
        <w:softHyphen/>
        <w:t>pretation depending on the language in question, or the</w:t>
      </w:r>
      <w:r>
        <w:rPr>
          <w:rStyle w:val="deletedparamark"/>
        </w:rPr>
        <w:t xml:space="preserve"> </w:t>
      </w:r>
      <w:r>
        <w:t>lerfu-word compounding cmavo “tei” (of selma'o TEI) and “foi” (of selma'o</w:t>
      </w:r>
      <w:r>
        <w:rPr>
          <w:rStyle w:val="deletedparamark"/>
        </w:rPr>
        <w:t xml:space="preserve"> </w:t>
      </w:r>
      <w:r>
        <w:t>FOI) must be used. These cmavo are always used in pairs; any number of lerfu</w:t>
      </w:r>
      <w:r>
        <w:rPr>
          <w:rStyle w:val="deletedparamark"/>
        </w:rPr>
        <w:t xml:space="preserve"> </w:t>
      </w:r>
      <w:r>
        <w:t>words may appear between them, and the whole is treated as a single compound</w:t>
      </w:r>
      <w:r>
        <w:rPr>
          <w:rStyle w:val="deletedparamark"/>
        </w:rPr>
        <w:t xml:space="preserve"> </w:t>
      </w:r>
      <w:r>
        <w:t>lerfu word. The French word “é</w:t>
      </w:r>
      <w:r>
        <w:rPr>
          <w:rStyle w:val="htmlcodes"/>
        </w:rPr>
        <w:t>&amp;eacute;</w:t>
      </w:r>
      <w:r>
        <w:t>té</w:t>
      </w:r>
      <w:r>
        <w:rPr>
          <w:rStyle w:val="htmlcodes"/>
        </w:rPr>
        <w:t>&amp;eacute;</w:t>
      </w:r>
      <w:r>
        <w:t>”, with acute accent marks on both “e” lerfu,</w:t>
      </w:r>
      <w:r>
        <w:rPr>
          <w:rStyle w:val="deletedparamark"/>
        </w:rPr>
        <w:t xml:space="preserve"> </w:t>
      </w:r>
      <w:r>
        <w:t>could be spelled as:</w:t>
      </w:r>
    </w:p>
    <w:p w:rsidR="00B72047" w:rsidRDefault="00B72047">
      <w:pPr>
        <w:rPr>
          <w:rStyle w:val="htmlparacode"/>
        </w:rPr>
      </w:pPr>
      <w:r>
        <w:rPr>
          <w:rStyle w:val="htmlparacode"/>
        </w:rPr>
        <w:t>&lt;p&gt;</w:t>
      </w:r>
    </w:p>
    <w:p w:rsidR="00B72047" w:rsidRDefault="00B72047">
      <w:pPr>
        <w:pStyle w:val="examplescaledpre"/>
      </w:pPr>
      <w:r>
        <w:rPr>
          <w:rStyle w:val="indexentry"/>
        </w:rPr>
        <w:t>&lt;ex "accent mark"&gt;</w:t>
      </w:r>
      <w:r>
        <w:rPr>
          <w:rStyle w:val="indexentry"/>
        </w:rPr>
        <w:fldChar w:fldCharType="begin"/>
      </w:r>
      <w:r>
        <w:instrText>xe "</w:instrText>
      </w:r>
      <w:r>
        <w:rPr>
          <w:rStyle w:val="xeentry"/>
        </w:rPr>
        <w:instrText>accent mark: example</w:instrText>
      </w:r>
      <w:r>
        <w:instrText>"</w:instrText>
      </w:r>
      <w:r>
        <w:rPr>
          <w:rStyle w:val="indexentry"/>
        </w:rPr>
        <w:fldChar w:fldCharType="end"/>
      </w:r>
      <w:r>
        <w:rPr>
          <w:rStyle w:val="indexentry"/>
        </w:rPr>
        <w:t>&lt;ex "ete"&gt;</w:t>
      </w:r>
      <w:r>
        <w:rPr>
          <w:rStyle w:val="indexentry"/>
        </w:rPr>
        <w:fldChar w:fldCharType="begin"/>
      </w:r>
      <w:r>
        <w:instrText>xe "</w:instrText>
      </w:r>
      <w:r>
        <w:rPr>
          <w:rStyle w:val="xeentry"/>
        </w:rPr>
        <w:instrText>été: example</w:instrText>
      </w:r>
      <w:r>
        <w:instrText>"</w:instrText>
      </w:r>
      <w:r>
        <w:rPr>
          <w:rStyle w:val="indexentry"/>
        </w:rPr>
        <w:fldChar w:fldCharType="end"/>
      </w:r>
      <w:r>
        <w:rPr>
          <w:rStyle w:val="htmlcodes"/>
        </w:rPr>
        <w:t>&lt;pre&gt;&lt;a name=e6d1&gt;</w:t>
      </w:r>
      <w:r>
        <w:t>6.1)</w:t>
      </w:r>
      <w:r>
        <w:tab/>
        <w:t>tei .ebu .akut. bu foi ty. tei .akut. bu .ebu foi</w:t>
      </w:r>
    </w:p>
    <w:p w:rsidR="00B72047" w:rsidRDefault="00B72047">
      <w:pPr>
        <w:pStyle w:val="examplescaled"/>
      </w:pPr>
      <w:r>
        <w:tab/>
        <w:t>(“e” acute ) “t” ( acute “e” )</w:t>
      </w:r>
    </w:p>
    <w:p w:rsidR="00B72047" w:rsidRDefault="00B72047">
      <w:pPr>
        <w:pStyle w:val="resumedafterexample"/>
      </w:pPr>
      <w:r>
        <w:rPr>
          <w:rStyle w:val="htmlcodes"/>
        </w:rPr>
        <w:t>&lt;/pre&gt;</w:t>
      </w:r>
      <w:r>
        <w:rPr>
          <w:rStyle w:val="indexentry"/>
        </w:rPr>
        <w:t>&lt;cx "diacritical marks, order of specification within tei…foi"&gt;</w:t>
      </w:r>
      <w:r>
        <w:rPr>
          <w:rStyle w:val="indexentry"/>
        </w:rPr>
        <w:fldChar w:fldCharType="begin"/>
      </w:r>
      <w:r>
        <w:instrText>xe "</w:instrText>
      </w:r>
      <w:r>
        <w:rPr>
          <w:rStyle w:val="xeentry"/>
        </w:rPr>
        <w:instrText>diacritical marks: order of specification within tei…foi</w:instrText>
      </w:r>
      <w:r>
        <w:instrText>"</w:instrText>
      </w:r>
      <w:r>
        <w:rPr>
          <w:rStyle w:val="indexentry"/>
        </w:rPr>
        <w:fldChar w:fldCharType="end"/>
      </w:r>
      <w:r>
        <w:t>and it does not matter whether “akut. bu” appears before or after “.ebu”;</w:t>
      </w:r>
      <w:r>
        <w:rPr>
          <w:rStyle w:val="deletedparamark"/>
        </w:rPr>
        <w:t xml:space="preserve"> </w:t>
      </w:r>
      <w:r>
        <w:t>the “tei</w:t>
      </w:r>
      <w:r>
        <w:rPr>
          <w:rStyle w:val="htmlcodes"/>
        </w:rPr>
        <w:t>&lt;dots&gt;</w:t>
      </w:r>
      <w:r>
        <w:t>…</w:t>
      </w:r>
      <w:r>
        <w:rPr>
          <w:rStyle w:val="htmlcodes"/>
        </w:rPr>
        <w:t>&lt;/dots&gt;</w:t>
      </w:r>
      <w:r>
        <w:t>foi” grouping guarantees that the acute accent is associated</w:t>
      </w:r>
      <w:r>
        <w:rPr>
          <w:rStyle w:val="deletedparamark"/>
        </w:rPr>
        <w:t xml:space="preserve"> </w:t>
      </w:r>
      <w:r>
        <w:t>with the correct lerfu. Of course, the level of precision represented by</w:t>
      </w:r>
      <w:r>
        <w:rPr>
          <w:rStyle w:val="deletedparamark"/>
        </w:rPr>
        <w:t xml:space="preserve"> </w:t>
      </w:r>
      <w:r>
        <w:rPr>
          <w:rStyle w:val="htmlcodes"/>
        </w:rPr>
        <w:t>&lt;a href=#e6d1&gt;</w:t>
      </w:r>
      <w:r>
        <w:t xml:space="preserve">Example 6.1 </w:t>
      </w:r>
      <w:r>
        <w:rPr>
          <w:rStyle w:val="htmlcodes"/>
        </w:rPr>
        <w:t>&lt;/a&gt;</w:t>
      </w:r>
      <w:r>
        <w:t>would rarely be required: it might be needed by a Lojban-speaker</w:t>
      </w:r>
      <w:r>
        <w:rPr>
          <w:rStyle w:val="deletedparamark"/>
        </w:rPr>
        <w:t xml:space="preserve"> </w:t>
      </w:r>
      <w:r>
        <w:t>when spelling out a French word for exact transcription by another</w:t>
      </w:r>
      <w:r>
        <w:rPr>
          <w:rStyle w:val="deletedparamark"/>
        </w:rPr>
        <w:t xml:space="preserve"> </w:t>
      </w:r>
      <w:r>
        <w:t>Lojban-speaker who did not know French.</w:t>
      </w:r>
    </w:p>
    <w:p w:rsidR="00B72047" w:rsidRDefault="00B72047">
      <w:pPr>
        <w:rPr>
          <w:rStyle w:val="htmlparacode"/>
        </w:rPr>
      </w:pPr>
      <w:r>
        <w:rPr>
          <w:rStyle w:val="htmlparacode"/>
        </w:rPr>
        <w:t>&lt;p&gt;</w:t>
      </w:r>
    </w:p>
    <w:p w:rsidR="00B72047" w:rsidRDefault="00B72047">
      <w:pPr>
        <w:pStyle w:val="normalparagraph"/>
      </w:pPr>
      <w:r>
        <w:rPr>
          <w:rStyle w:val="indexentry"/>
        </w:rPr>
        <w:t>&lt;cx "diacritical marks, problem with multiple on one lerfu"&gt;</w:t>
      </w:r>
      <w:r>
        <w:rPr>
          <w:rStyle w:val="indexentry"/>
        </w:rPr>
        <w:fldChar w:fldCharType="begin"/>
      </w:r>
      <w:r>
        <w:instrText>xe "</w:instrText>
      </w:r>
      <w:r>
        <w:rPr>
          <w:rStyle w:val="xeentry"/>
        </w:rPr>
        <w:instrText>diacritical marks: problem with multiple on one lerfu</w:instrText>
      </w:r>
      <w:r>
        <w:instrText>"</w:instrText>
      </w:r>
      <w:r>
        <w:rPr>
          <w:rStyle w:val="indexentry"/>
        </w:rPr>
        <w:fldChar w:fldCharType="end"/>
      </w:r>
      <w:r>
        <w:t>This system breaks down in languages which use more than one accent mark</w:t>
      </w:r>
      <w:r>
        <w:rPr>
          <w:rStyle w:val="deletedparamark"/>
        </w:rPr>
        <w:t xml:space="preserve"> </w:t>
      </w:r>
      <w:r>
        <w:t>on a single lerfu; some other convention must be used for showing</w:t>
      </w:r>
      <w:r>
        <w:rPr>
          <w:rStyle w:val="deletedparamark"/>
        </w:rPr>
        <w:t xml:space="preserve"> </w:t>
      </w:r>
      <w:r>
        <w:t>which accent marks are written where in that case. The obvious convention</w:t>
      </w:r>
      <w:r>
        <w:rPr>
          <w:rStyle w:val="deletedparamark"/>
        </w:rPr>
        <w:t xml:space="preserve"> </w:t>
      </w:r>
      <w:r>
        <w:t>is to represent the mark nearest the basic lerfu by the lerfu word closest</w:t>
      </w:r>
      <w:r>
        <w:rPr>
          <w:rStyle w:val="deletedparamark"/>
        </w:rPr>
        <w:t xml:space="preserve"> </w:t>
      </w:r>
      <w:r>
        <w:t>to the word representing the basic lerfu. Any r</w:t>
      </w:r>
      <w:r>
        <w:t>e</w:t>
      </w:r>
      <w:r>
        <w:softHyphen/>
        <w:t>maining ambiguities must</w:t>
      </w:r>
      <w:r>
        <w:rPr>
          <w:rStyle w:val="deletedparamark"/>
        </w:rPr>
        <w:t xml:space="preserve"> </w:t>
      </w:r>
      <w:r>
        <w:t>be resolved by further conventions not yet established.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"diacritical marks, considered as forming distinct letters"&gt;</w:t>
      </w:r>
      <w:r>
        <w:rPr>
          <w:rStyle w:val="indexentry"/>
        </w:rPr>
        <w:fldChar w:fldCharType="begin"/>
      </w:r>
      <w:r>
        <w:instrText>xe "</w:instrText>
      </w:r>
      <w:r>
        <w:rPr>
          <w:rStyle w:val="xeentry"/>
        </w:rPr>
        <w:instrText>diacritical marks: considered as forming distinct letters</w:instrText>
      </w:r>
      <w:r>
        <w:instrText>"</w:instrText>
      </w:r>
      <w:r>
        <w:rPr>
          <w:rStyle w:val="indexentry"/>
        </w:rPr>
        <w:fldChar w:fldCharType="end"/>
      </w:r>
      <w:r>
        <w:rPr>
          <w:rStyle w:val="indexentry"/>
        </w:rPr>
        <w:t>&lt;cx "accented letters, considered as distinct from unaccented"&gt;</w:t>
      </w:r>
      <w:r>
        <w:rPr>
          <w:rStyle w:val="indexentry"/>
        </w:rPr>
        <w:fldChar w:fldCharType="begin"/>
      </w:r>
      <w:r>
        <w:instrText>xe "</w:instrText>
      </w:r>
      <w:r>
        <w:rPr>
          <w:rStyle w:val="xeentry"/>
        </w:rPr>
        <w:instrText>accented letters: considered as distinct from unaccented</w:instrText>
      </w:r>
      <w:r>
        <w:instrText>"</w:instrText>
      </w:r>
      <w:r>
        <w:rPr>
          <w:rStyle w:val="indexentry"/>
        </w:rPr>
        <w:fldChar w:fldCharType="end"/>
      </w:r>
      <w:r>
        <w:rPr>
          <w:rStyle w:val="indexentry"/>
        </w:rPr>
        <w:t>&lt;cx "compound letters, native language, representing as distinct letters"&gt;</w:t>
      </w:r>
      <w:r>
        <w:rPr>
          <w:rStyle w:val="indexentry"/>
        </w:rPr>
        <w:fldChar w:fldCharType="begin"/>
      </w:r>
      <w:r>
        <w:instrText>xe "</w:instrText>
      </w:r>
      <w:r>
        <w:rPr>
          <w:rStyle w:val="xeentry"/>
        </w:rPr>
        <w:instrText>compound letters: native language, representing as distinct letters</w:instrText>
      </w:r>
      <w:r>
        <w:instrText>"</w:instrText>
      </w:r>
      <w:r>
        <w:rPr>
          <w:rStyle w:val="indexentry"/>
        </w:rPr>
        <w:fldChar w:fldCharType="end"/>
      </w:r>
      <w:r>
        <w:rPr>
          <w:rStyle w:val="indexentry"/>
        </w:rPr>
        <w:t>&lt;ex "Spanish ll"&gt;</w:t>
      </w:r>
      <w:r>
        <w:rPr>
          <w:rStyle w:val="indexentry"/>
        </w:rPr>
        <w:fldChar w:fldCharType="begin"/>
      </w:r>
      <w:r>
        <w:instrText>xe "</w:instrText>
      </w:r>
      <w:r>
        <w:rPr>
          <w:rStyle w:val="xeentry"/>
        </w:rPr>
        <w:instrText>Spanish ll: example</w:instrText>
      </w:r>
      <w:r>
        <w:instrText>"</w:instrText>
      </w:r>
      <w:r>
        <w:rPr>
          <w:rStyle w:val="indexentry"/>
        </w:rPr>
        <w:fldChar w:fldCharType="end"/>
      </w:r>
      <w:r>
        <w:rPr>
          <w:rStyle w:val="indexentry"/>
        </w:rPr>
        <w:t>&lt;ex "Spanish ch"&gt;</w:t>
      </w:r>
      <w:r>
        <w:rPr>
          <w:rStyle w:val="indexentry"/>
        </w:rPr>
        <w:fldChar w:fldCharType="begin"/>
      </w:r>
      <w:r>
        <w:instrText>xe "</w:instrText>
      </w:r>
      <w:r>
        <w:rPr>
          <w:rStyle w:val="xeentry"/>
        </w:rPr>
        <w:instrText>Spanish ch: example</w:instrText>
      </w:r>
      <w:r>
        <w:instrText>"</w:instrText>
      </w:r>
      <w:r>
        <w:rPr>
          <w:rStyle w:val="indexentry"/>
        </w:rPr>
        <w:fldChar w:fldCharType="end"/>
      </w:r>
      <w:r>
        <w:t>Some languages, like Swedish and Finnish, consider certain accented lerfu</w:t>
      </w:r>
      <w:r>
        <w:rPr>
          <w:rStyle w:val="deletedparamark"/>
        </w:rPr>
        <w:t xml:space="preserve"> </w:t>
      </w:r>
      <w:r>
        <w:t>to be completely distinct from their unaccented equivalents, but Lojban does</w:t>
      </w:r>
      <w:r>
        <w:rPr>
          <w:rStyle w:val="deletedparamark"/>
        </w:rPr>
        <w:t xml:space="preserve"> </w:t>
      </w:r>
      <w:r>
        <w:t>not make a formal distinction, since the printed characters look the same</w:t>
      </w:r>
      <w:r>
        <w:rPr>
          <w:rStyle w:val="deletedparamark"/>
        </w:rPr>
        <w:t xml:space="preserve"> </w:t>
      </w:r>
      <w:r>
        <w:t>whether they are reckoned as sep</w:t>
      </w:r>
      <w:r>
        <w:t>a</w:t>
      </w:r>
      <w:r>
        <w:softHyphen/>
        <w:t>rate letters or not. In addition, some</w:t>
      </w:r>
      <w:r>
        <w:rPr>
          <w:rStyle w:val="deletedparamark"/>
        </w:rPr>
        <w:t xml:space="preserve"> </w:t>
      </w:r>
      <w:r>
        <w:t>languages consider certain 2-letter combi</w:t>
      </w:r>
      <w:r>
        <w:softHyphen/>
        <w:t>nations (like “ll” and “ch”</w:t>
      </w:r>
      <w:r>
        <w:rPr>
          <w:rStyle w:val="deletedparamark"/>
        </w:rPr>
        <w:t xml:space="preserve"> </w:t>
      </w:r>
      <w:r>
        <w:t>in Spanish) to be letters; this may be represented by enclos</w:t>
      </w:r>
      <w:r>
        <w:softHyphen/>
        <w:t>ing the</w:t>
      </w:r>
      <w:r>
        <w:rPr>
          <w:rStyle w:val="deletedparamark"/>
        </w:rPr>
        <w:t xml:space="preserve"> </w:t>
      </w:r>
      <w:r>
        <w:t>combin</w:t>
      </w:r>
      <w:r>
        <w:t>a</w:t>
      </w:r>
      <w:r>
        <w:softHyphen/>
        <w:t>tion in “tei</w:t>
      </w:r>
      <w:r>
        <w:rPr>
          <w:rStyle w:val="htmlcodes"/>
        </w:rPr>
        <w:t>&lt;dots&gt;</w:t>
      </w:r>
      <w:r>
        <w:t>…</w:t>
      </w:r>
      <w:r>
        <w:rPr>
          <w:rStyle w:val="htmlcodes"/>
        </w:rPr>
        <w:t>&lt;/dots&gt;</w:t>
      </w:r>
      <w:r>
        <w:t>foi”.</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"lerfu words, forming new for non-Lojban letters using bu"&gt;</w:t>
      </w:r>
      <w:r>
        <w:rPr>
          <w:rStyle w:val="indexentry"/>
        </w:rPr>
        <w:fldChar w:fldCharType="begin"/>
      </w:r>
      <w:r>
        <w:instrText>xe "</w:instrText>
      </w:r>
      <w:r>
        <w:rPr>
          <w:rStyle w:val="xeentry"/>
        </w:rPr>
        <w:instrText>lerfu words: forming new for non-Lojban letters using bu</w:instrText>
      </w:r>
      <w:r>
        <w:instrText>"</w:instrText>
      </w:r>
      <w:r>
        <w:rPr>
          <w:rStyle w:val="indexentry"/>
        </w:rPr>
        <w:fldChar w:fldCharType="end"/>
      </w:r>
      <w:r>
        <w:t>In addition, when discussing a specific language, it is permissible to make</w:t>
      </w:r>
      <w:r>
        <w:rPr>
          <w:rStyle w:val="deletedparamark"/>
        </w:rPr>
        <w:t xml:space="preserve"> </w:t>
      </w:r>
      <w:r>
        <w:t>up new lerfu words, as long as they are either explained locally or well</w:t>
      </w:r>
      <w:r>
        <w:rPr>
          <w:rStyle w:val="deletedparamark"/>
        </w:rPr>
        <w:t xml:space="preserve"> </w:t>
      </w:r>
      <w:r>
        <w:t>understood from context: thus Spanish “ll” or Croatian “lj” could be called</w:t>
      </w:r>
      <w:r>
        <w:rPr>
          <w:rStyle w:val="deletedparamark"/>
        </w:rPr>
        <w:t xml:space="preserve"> “</w:t>
      </w:r>
      <w:r>
        <w:t>libu”, but that usage would not nece</w:t>
      </w:r>
      <w:r>
        <w:t>s</w:t>
      </w:r>
      <w:r>
        <w:softHyphen/>
        <w:t>sarily be universally understood.</w:t>
      </w:r>
    </w:p>
    <w:p w:rsidR="00B72047" w:rsidRDefault="00B72047">
      <w:pPr>
        <w:pStyle w:val="normalparagraph"/>
        <w:rPr>
          <w:rStyle w:val="htmlparacode"/>
        </w:rPr>
      </w:pPr>
      <w:r>
        <w:rPr>
          <w:rStyle w:val="htmlparacode"/>
        </w:rPr>
        <w:t>&lt;p&gt;</w:t>
      </w:r>
    </w:p>
    <w:p w:rsidR="00B72047" w:rsidRDefault="00B72047">
      <w:pPr>
        <w:pStyle w:val="normalparagraph"/>
      </w:pPr>
      <w:r>
        <w:rPr>
          <w:rStyle w:val="htmlcodes"/>
        </w:rPr>
        <w:t>&lt;a href=#s19&gt;</w:t>
      </w:r>
      <w:r>
        <w:t xml:space="preserve">Section 19 </w:t>
      </w:r>
      <w:r>
        <w:rPr>
          <w:rStyle w:val="htmlcodes"/>
        </w:rPr>
        <w:t>&lt;/a&gt;</w:t>
      </w:r>
      <w:r>
        <w:t>contains a table of proposed lerfu words for some common accent</w:t>
      </w:r>
      <w:r>
        <w:rPr>
          <w:rStyle w:val="deletedparamark"/>
        </w:rPr>
        <w:t xml:space="preserve"> </w:t>
      </w:r>
      <w:r>
        <w:t>marks.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479" w:name="_Toc398970717"/>
      <w:r>
        <w:rPr>
          <w:rStyle w:val="Heading3Text"/>
        </w:rPr>
        <w:t>Punctuation marks</w:t>
      </w:r>
      <w:bookmarkEnd w:id="47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"punctuation lerfu words, mechanism for creating"&gt;</w:t>
      </w:r>
      <w:r>
        <w:rPr>
          <w:rStyle w:val="indexentry"/>
        </w:rPr>
        <w:fldChar w:fldCharType="begin"/>
      </w:r>
      <w:r>
        <w:instrText>xe "</w:instrText>
      </w:r>
      <w:r>
        <w:rPr>
          <w:rStyle w:val="xeentry"/>
        </w:rPr>
        <w:instrText>punctuation lerfu words: mechanism for creating</w:instrText>
      </w:r>
      <w:r>
        <w:instrText>"</w:instrText>
      </w:r>
      <w:r>
        <w:rPr>
          <w:rStyle w:val="indexentry"/>
        </w:rPr>
        <w:fldChar w:fldCharType="end"/>
      </w:r>
      <w:r>
        <w:rPr>
          <w:rStyle w:val="indexentry"/>
        </w:rPr>
        <w:t>&lt;lx "lau"&gt;</w:t>
      </w:r>
      <w:r>
        <w:rPr>
          <w:rStyle w:val="indexentry"/>
        </w:rPr>
        <w:fldChar w:fldCharType="begin"/>
      </w:r>
      <w:r>
        <w:instrText>xe "</w:instrText>
      </w:r>
      <w:r>
        <w:rPr>
          <w:rStyle w:val="xeentry"/>
        </w:rPr>
        <w:instrText>lau</w:instrText>
      </w:r>
      <w:r>
        <w:instrText>"</w:instrText>
      </w:r>
      <w:r>
        <w:rPr>
          <w:rStyle w:val="indexentry"/>
        </w:rPr>
        <w:fldChar w:fldCharType="end"/>
      </w:r>
      <w:r>
        <w:rPr>
          <w:rStyle w:val="indexentry"/>
        </w:rPr>
        <w:t>&lt;lx "LAU"&gt;</w:t>
      </w:r>
      <w:r>
        <w:rPr>
          <w:rStyle w:val="indexentry"/>
        </w:rPr>
        <w:fldChar w:fldCharType="begin"/>
      </w:r>
      <w:r>
        <w:instrText>xe "</w:instrText>
      </w:r>
      <w:r>
        <w:rPr>
          <w:rStyle w:val="xeentry"/>
        </w:rPr>
        <w:instrText>LAU selma’o</w:instrText>
      </w:r>
      <w:r>
        <w:instrText>"</w:instrText>
      </w:r>
      <w:r>
        <w:rPr>
          <w:rStyle w:val="indexentry"/>
        </w:rPr>
        <w:fldChar w:fldCharType="end"/>
      </w:r>
      <w:r>
        <w:rPr>
          <w:rStyle w:val="indexentry"/>
        </w:rPr>
        <w:t>&lt;cx "lau, effect on following lerfu word"&gt;</w:t>
      </w:r>
      <w:r>
        <w:rPr>
          <w:rStyle w:val="indexentry"/>
        </w:rPr>
        <w:fldChar w:fldCharType="begin"/>
      </w:r>
      <w:r>
        <w:instrText>xe "</w:instrText>
      </w:r>
      <w:r>
        <w:rPr>
          <w:rStyle w:val="xeentry"/>
        </w:rPr>
        <w:instrText>lau: effect on following lerfu word</w:instrText>
      </w:r>
      <w:r>
        <w:instrText>"</w:instrText>
      </w:r>
      <w:r>
        <w:rPr>
          <w:rStyle w:val="indexentry"/>
        </w:rPr>
        <w:fldChar w:fldCharType="end"/>
      </w:r>
      <w:r>
        <w:t>Lojban does not have punctuation marks as such: the denpa bu and the</w:t>
      </w:r>
      <w:r>
        <w:rPr>
          <w:rStyle w:val="deletedparamark"/>
        </w:rPr>
        <w:t xml:space="preserve"> </w:t>
      </w:r>
      <w:r>
        <w:t>slaka bu are really a part of the alphabet. Other languages, however,</w:t>
      </w:r>
      <w:r>
        <w:rPr>
          <w:rStyle w:val="deletedparamark"/>
        </w:rPr>
        <w:t xml:space="preserve"> </w:t>
      </w:r>
      <w:r>
        <w:t>use punctuation marks ex</w:t>
      </w:r>
      <w:r>
        <w:softHyphen/>
        <w:t>ten</w:t>
      </w:r>
      <w:r>
        <w:softHyphen/>
        <w:t>sively. As yet, Lojban does not have any</w:t>
      </w:r>
      <w:r>
        <w:rPr>
          <w:rStyle w:val="deletedparamark"/>
        </w:rPr>
        <w:t xml:space="preserve"> </w:t>
      </w:r>
      <w:r>
        <w:t>words for these punctuation marks, but a mechanism exists for devising</w:t>
      </w:r>
      <w:r>
        <w:rPr>
          <w:rStyle w:val="deletedparamark"/>
        </w:rPr>
        <w:t xml:space="preserve"> </w:t>
      </w:r>
      <w:r>
        <w:t>them: the cmavo “lau” of selma'o LAU. “lau” must al</w:t>
      </w:r>
      <w:r>
        <w:softHyphen/>
        <w:t>ways be followed by a</w:t>
      </w:r>
      <w:r>
        <w:rPr>
          <w:rStyle w:val="deletedparamark"/>
        </w:rPr>
        <w:t xml:space="preserve"> </w:t>
      </w:r>
      <w:r>
        <w:t>BY word; the interpretation of the BY word is changed from a lerfu to a</w:t>
      </w:r>
      <w:r>
        <w:rPr>
          <w:rStyle w:val="deletedparamark"/>
        </w:rPr>
        <w:t xml:space="preserve"> </w:t>
      </w:r>
      <w:r>
        <w:t>punctuation mark. Typically, this BY word would be a name or brivla with</w:t>
      </w:r>
      <w:r>
        <w:rPr>
          <w:rStyle w:val="deletedparamark"/>
        </w:rPr>
        <w:t xml:space="preserve"> </w:t>
      </w:r>
      <w:r>
        <w:t>a “bu” suffix.</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"punctuation lerfu words, rationale for lau"&gt;</w:t>
      </w:r>
      <w:r>
        <w:rPr>
          <w:rStyle w:val="indexentry"/>
        </w:rPr>
        <w:fldChar w:fldCharType="begin"/>
      </w:r>
      <w:r>
        <w:instrText>xe "</w:instrText>
      </w:r>
      <w:r>
        <w:rPr>
          <w:rStyle w:val="xeentry"/>
        </w:rPr>
        <w:instrText>punctuation lerfu words: rationale for lau</w:instrText>
      </w:r>
      <w:r>
        <w:instrText>"</w:instrText>
      </w:r>
      <w:r>
        <w:rPr>
          <w:rStyle w:val="indexentry"/>
        </w:rPr>
        <w:fldChar w:fldCharType="end"/>
      </w:r>
      <w:r>
        <w:t>Why is “lau” necessary at all? Why not just use a “bu”-marked word and</w:t>
      </w:r>
      <w:r>
        <w:rPr>
          <w:rStyle w:val="deletedparamark"/>
        </w:rPr>
        <w:t xml:space="preserve"> </w:t>
      </w:r>
      <w:r>
        <w:t>an</w:t>
      </w:r>
      <w:r>
        <w:softHyphen/>
        <w:t>nounce that it is always to be interpreted as a punctuation mark?</w:t>
      </w:r>
      <w:r>
        <w:rPr>
          <w:rStyle w:val="deletedparamark"/>
        </w:rPr>
        <w:t xml:space="preserve"> </w:t>
      </w:r>
      <w:r>
        <w:t>Primarily to avoid am</w:t>
      </w:r>
      <w:r>
        <w:softHyphen/>
        <w:t>biguity. The “bu” mechanism is extremely open-ended,</w:t>
      </w:r>
      <w:r>
        <w:rPr>
          <w:rStyle w:val="deletedparamark"/>
        </w:rPr>
        <w:t xml:space="preserve"> </w:t>
      </w:r>
      <w:r>
        <w:t>and it is easy for Lojban users to make up “bu” words without bothering to</w:t>
      </w:r>
      <w:r>
        <w:rPr>
          <w:rStyle w:val="deletedparamark"/>
        </w:rPr>
        <w:t xml:space="preserve"> </w:t>
      </w:r>
      <w:r>
        <w:t>explain what they mean. Using the “lau” cmavo flags at least the most</w:t>
      </w:r>
      <w:r>
        <w:rPr>
          <w:rStyle w:val="deletedparamark"/>
        </w:rPr>
        <w:t xml:space="preserve"> </w:t>
      </w:r>
      <w:r>
        <w:t>important of such nonce lerfu words as having a special function:</w:t>
      </w:r>
      <w:r>
        <w:rPr>
          <w:rStyle w:val="deletedparamark"/>
        </w:rPr>
        <w:t xml:space="preserve"> </w:t>
      </w:r>
      <w:r>
        <w:t>punctu</w:t>
      </w:r>
      <w:r>
        <w:t>a</w:t>
      </w:r>
      <w:r>
        <w:softHyphen/>
        <w:t>tion. (Exactly the same argument applies to the use of “zai” to</w:t>
      </w:r>
      <w:r>
        <w:rPr>
          <w:rStyle w:val="deletedparamark"/>
        </w:rPr>
        <w:t xml:space="preserve"> </w:t>
      </w:r>
      <w:r>
        <w:t>signal an alphabet shift or “ce'a” to signal a font shift.)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"punctuation lerfu words, interaction with different alphabet systems"&gt;</w:t>
      </w:r>
      <w:r>
        <w:rPr>
          <w:rStyle w:val="indexentry"/>
        </w:rPr>
        <w:fldChar w:fldCharType="begin"/>
      </w:r>
      <w:r>
        <w:instrText>xe "</w:instrText>
      </w:r>
      <w:r>
        <w:rPr>
          <w:rStyle w:val="xeentry"/>
        </w:rPr>
        <w:instrText>punctuation lerfu words: interaction with different alphabet systems</w:instrText>
      </w:r>
      <w:r>
        <w:instrText>"</w:instrText>
      </w:r>
      <w:r>
        <w:rPr>
          <w:rStyle w:val="indexentry"/>
        </w:rPr>
        <w:fldChar w:fldCharType="end"/>
      </w:r>
      <w:r>
        <w:t>Since different alphabets require different punctuation marks, the</w:t>
      </w:r>
      <w:r>
        <w:rPr>
          <w:rStyle w:val="deletedparamark"/>
        </w:rPr>
        <w:t xml:space="preserve"> </w:t>
      </w:r>
      <w:r>
        <w:t>interpretation of a “lau”-marked lerfu word is affected by the current</w:t>
      </w:r>
      <w:r>
        <w:rPr>
          <w:rStyle w:val="deletedparamark"/>
        </w:rPr>
        <w:t xml:space="preserve"> </w:t>
      </w:r>
      <w:r>
        <w:t>alphabet shift and the current font shift.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480" w:name="_Toc398970718"/>
      <w:r>
        <w:rPr>
          <w:rStyle w:val="Heading3Text"/>
        </w:rPr>
        <w:t>What about Chinese characters?</w:t>
      </w:r>
      <w:bookmarkEnd w:id="480"/>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"Chinese characters, contrasted with alphabets and syllabaries"&gt;</w:t>
      </w:r>
      <w:r>
        <w:rPr>
          <w:rStyle w:val="indexentry"/>
        </w:rPr>
        <w:fldChar w:fldCharType="begin"/>
      </w:r>
      <w:r>
        <w:instrText>xe "</w:instrText>
      </w:r>
      <w:r>
        <w:rPr>
          <w:rStyle w:val="xeentry"/>
        </w:rPr>
        <w:instrText>Chinese characters: contrasted with alphabets and syllabaries</w:instrText>
      </w:r>
      <w:r>
        <w:instrText>"</w:instrText>
      </w:r>
      <w:r>
        <w:rPr>
          <w:rStyle w:val="indexentry"/>
        </w:rPr>
        <w:fldChar w:fldCharType="end"/>
      </w:r>
      <w:r>
        <w:rPr>
          <w:rStyle w:val="indexentry"/>
        </w:rPr>
        <w:t>&lt;cx "kanji, contrasted with alphabets and syllabaries"&gt;</w:t>
      </w:r>
      <w:r>
        <w:rPr>
          <w:rStyle w:val="indexentry"/>
        </w:rPr>
        <w:fldChar w:fldCharType="begin"/>
      </w:r>
      <w:r>
        <w:instrText>xe "</w:instrText>
      </w:r>
      <w:r>
        <w:rPr>
          <w:rStyle w:val="xeentry"/>
        </w:rPr>
        <w:instrText>kanji: contrasted with alphabets and syllabaries</w:instrText>
      </w:r>
      <w:r>
        <w:instrText>"</w:instrText>
      </w:r>
      <w:r>
        <w:rPr>
          <w:rStyle w:val="indexentry"/>
        </w:rPr>
        <w:fldChar w:fldCharType="end"/>
      </w:r>
      <w:r>
        <w:rPr>
          <w:rStyle w:val="indexentry"/>
        </w:rPr>
        <w:t>&lt;cx "hiragana, contrasted with kanji"&gt;</w:t>
      </w:r>
      <w:r>
        <w:rPr>
          <w:rStyle w:val="indexentry"/>
        </w:rPr>
        <w:fldChar w:fldCharType="begin"/>
      </w:r>
      <w:r>
        <w:instrText>xe "</w:instrText>
      </w:r>
      <w:r>
        <w:rPr>
          <w:rStyle w:val="xeentry"/>
        </w:rPr>
        <w:instrText>hiragana: contrasted with kanji</w:instrText>
      </w:r>
      <w:r>
        <w:instrText>"</w:instrText>
      </w:r>
      <w:r>
        <w:rPr>
          <w:rStyle w:val="indexentry"/>
        </w:rPr>
        <w:fldChar w:fldCharType="end"/>
      </w:r>
      <w:r>
        <w:rPr>
          <w:rStyle w:val="indexentry"/>
        </w:rPr>
        <w:t>&lt;cx "syllabaries, lerfu word representation"&gt;</w:t>
      </w:r>
      <w:r>
        <w:rPr>
          <w:rStyle w:val="indexentry"/>
        </w:rPr>
        <w:fldChar w:fldCharType="begin"/>
      </w:r>
      <w:r>
        <w:instrText>xe "</w:instrText>
      </w:r>
      <w:r>
        <w:rPr>
          <w:rStyle w:val="xeentry"/>
        </w:rPr>
        <w:instrText>syllabaries: lerfu word representation</w:instrText>
      </w:r>
      <w:r>
        <w:instrText>"</w:instrText>
      </w:r>
      <w:r>
        <w:rPr>
          <w:rStyle w:val="indexentry"/>
        </w:rPr>
        <w:fldChar w:fldCharType="end"/>
      </w:r>
      <w:r>
        <w:rPr>
          <w:rStyle w:val="indexentry"/>
        </w:rPr>
        <w:t>&lt;cx "Amharic writing"&gt;</w:t>
      </w:r>
      <w:r>
        <w:rPr>
          <w:rStyle w:val="indexentry"/>
        </w:rPr>
        <w:fldChar w:fldCharType="begin"/>
      </w:r>
      <w:r>
        <w:instrText>xe "</w:instrText>
      </w:r>
      <w:r>
        <w:rPr>
          <w:rStyle w:val="xeentry"/>
        </w:rPr>
        <w:instrText>Amharic writing</w:instrText>
      </w:r>
      <w:r>
        <w:instrText>"</w:instrText>
      </w:r>
      <w:r>
        <w:rPr>
          <w:rStyle w:val="indexentry"/>
        </w:rPr>
        <w:fldChar w:fldCharType="end"/>
      </w:r>
      <w:r>
        <w:t>Chinese characters (“han</w:t>
      </w:r>
      <w:r>
        <w:rPr>
          <w:rStyle w:val="htmlcodes"/>
        </w:rPr>
        <w:t>&lt;sup&gt;</w:t>
      </w:r>
      <w:r>
        <w:rPr>
          <w:rStyle w:val="Superscript"/>
        </w:rPr>
        <w:t>4</w:t>
      </w:r>
      <w:r>
        <w:rPr>
          <w:rStyle w:val="htmlcodes"/>
        </w:rPr>
        <w:t>&lt;/sup&gt;</w:t>
      </w:r>
      <w:r>
        <w:t>zi</w:t>
      </w:r>
      <w:r>
        <w:rPr>
          <w:rStyle w:val="htmlcodes"/>
        </w:rPr>
        <w:t>&lt;sup&gt;</w:t>
      </w:r>
      <w:r>
        <w:rPr>
          <w:rStyle w:val="Superscript"/>
        </w:rPr>
        <w:t>4</w:t>
      </w:r>
      <w:r>
        <w:rPr>
          <w:rStyle w:val="htmlcodes"/>
        </w:rPr>
        <w:t>&lt;/sup&gt;</w:t>
      </w:r>
      <w:r>
        <w:t>” in Chinese, “kanji” in Japanese) represent</w:t>
      </w:r>
      <w:r>
        <w:rPr>
          <w:rStyle w:val="deletedparamark"/>
        </w:rPr>
        <w:t xml:space="preserve"> </w:t>
      </w:r>
      <w:r>
        <w:t>an entirely different approach to writing from alphabets or syllabaries.</w:t>
      </w:r>
      <w:r>
        <w:rPr>
          <w:rStyle w:val="deletedparamark"/>
        </w:rPr>
        <w:t xml:space="preserve"> </w:t>
      </w:r>
      <w:r>
        <w:t>(A syllabary, such as Japanese hiragana or Amharic writing, has one</w:t>
      </w:r>
      <w:r>
        <w:rPr>
          <w:rStyle w:val="deletedparamark"/>
        </w:rPr>
        <w:t xml:space="preserve"> </w:t>
      </w:r>
      <w:r>
        <w:t>lerfu for each syllable of the spoken language.) Very roughly, Chinese</w:t>
      </w:r>
      <w:r>
        <w:rPr>
          <w:rStyle w:val="deletedparamark"/>
        </w:rPr>
        <w:t xml:space="preserve"> </w:t>
      </w:r>
      <w:r>
        <w:t>characters represent single elements of meaning; also very roughly,</w:t>
      </w:r>
      <w:r>
        <w:rPr>
          <w:rStyle w:val="deletedparamark"/>
        </w:rPr>
        <w:t xml:space="preserve"> </w:t>
      </w:r>
      <w:r>
        <w:t>they represent single syllables of spoken Chinese. There is in principle</w:t>
      </w:r>
      <w:r>
        <w:rPr>
          <w:rStyle w:val="deletedparamark"/>
        </w:rPr>
        <w:t xml:space="preserve"> </w:t>
      </w:r>
      <w:r>
        <w:t>no limit to the number of Chinese characters that can exist, and many</w:t>
      </w:r>
      <w:r>
        <w:rPr>
          <w:rStyle w:val="deletedparamark"/>
        </w:rPr>
        <w:t xml:space="preserve"> </w:t>
      </w:r>
      <w:r>
        <w:t>thousands are in regular use.</w:t>
      </w:r>
    </w:p>
    <w:p w:rsidR="00B72047" w:rsidRDefault="00B72047">
      <w:pPr>
        <w:pStyle w:val="normalparagraph"/>
        <w:rPr>
          <w:rStyle w:val="htmlparacode"/>
        </w:rPr>
      </w:pPr>
      <w:r>
        <w:rPr>
          <w:rStyle w:val="htmlparacode"/>
        </w:rPr>
        <w:t>&lt;p&gt;</w:t>
      </w:r>
    </w:p>
    <w:p w:rsidR="00B72047" w:rsidRDefault="00B72047">
      <w:pPr>
        <w:pStyle w:val="normalparagraph"/>
      </w:pPr>
      <w:r>
        <w:t>It is hopeless for Lojban, with its limited lerfu and shift words,</w:t>
      </w:r>
      <w:r>
        <w:rPr>
          <w:rStyle w:val="deletedparamark"/>
        </w:rPr>
        <w:t xml:space="preserve"> </w:t>
      </w:r>
      <w:r>
        <w:t>to create an al</w:t>
      </w:r>
      <w:r>
        <w:softHyphen/>
        <w:t>phabet which will match this diversity. However, there</w:t>
      </w:r>
      <w:r>
        <w:rPr>
          <w:rStyle w:val="deletedparamark"/>
        </w:rPr>
        <w:t xml:space="preserve"> </w:t>
      </w:r>
      <w:r>
        <w:t>are various possible ways around the problem.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"Chinese characters, representing based on pinyin spelling"&gt;</w:t>
      </w:r>
      <w:r>
        <w:rPr>
          <w:rStyle w:val="indexentry"/>
        </w:rPr>
        <w:fldChar w:fldCharType="begin"/>
      </w:r>
      <w:r>
        <w:instrText>xe "</w:instrText>
      </w:r>
      <w:r>
        <w:rPr>
          <w:rStyle w:val="xeentry"/>
        </w:rPr>
        <w:instrText>Chinese characters: representing based on pinyin spelling</w:instrText>
      </w:r>
      <w:r>
        <w:instrText>"</w:instrText>
      </w:r>
      <w:r>
        <w:rPr>
          <w:rStyle w:val="indexentry"/>
        </w:rPr>
        <w:fldChar w:fldCharType="end"/>
      </w:r>
      <w:r>
        <w:rPr>
          <w:rStyle w:val="indexentry"/>
        </w:rPr>
        <w:t>&lt;cx "kanji, representing based on romaji spelling"&gt;</w:t>
      </w:r>
      <w:r>
        <w:rPr>
          <w:rStyle w:val="indexentry"/>
        </w:rPr>
        <w:fldChar w:fldCharType="begin"/>
      </w:r>
      <w:r>
        <w:instrText>xe "</w:instrText>
      </w:r>
      <w:r>
        <w:rPr>
          <w:rStyle w:val="xeentry"/>
        </w:rPr>
        <w:instrText>kanji: representing based on romaji spelling</w:instrText>
      </w:r>
      <w:r>
        <w:instrText>"</w:instrText>
      </w:r>
      <w:r>
        <w:rPr>
          <w:rStyle w:val="indexentry"/>
        </w:rPr>
        <w:fldChar w:fldCharType="end"/>
      </w:r>
      <w:r>
        <w:rPr>
          <w:rStyle w:val="indexentry"/>
        </w:rPr>
        <w:t>&lt;cx "pinyin, as a basis for Chinese characters in Lojban lerfu words"&gt;</w:t>
      </w:r>
      <w:r>
        <w:rPr>
          <w:rStyle w:val="indexentry"/>
        </w:rPr>
        <w:fldChar w:fldCharType="begin"/>
      </w:r>
      <w:r>
        <w:instrText>xe "</w:instrText>
      </w:r>
      <w:r>
        <w:rPr>
          <w:rStyle w:val="xeentry"/>
        </w:rPr>
        <w:instrText>pinyin: as a basis for Chinese characters in Lojban lerfu words</w:instrText>
      </w:r>
      <w:r>
        <w:instrText>"</w:instrText>
      </w:r>
      <w:r>
        <w:rPr>
          <w:rStyle w:val="indexentry"/>
        </w:rPr>
        <w:fldChar w:fldCharType="end"/>
      </w:r>
      <w:r>
        <w:rPr>
          <w:rStyle w:val="indexentry"/>
        </w:rPr>
        <w:t>&lt;cx "romaji, as a basis for kanji characters in Lojban lerfu words"&gt;</w:t>
      </w:r>
      <w:r>
        <w:rPr>
          <w:rStyle w:val="indexentry"/>
        </w:rPr>
        <w:fldChar w:fldCharType="begin"/>
      </w:r>
      <w:r>
        <w:instrText>xe "</w:instrText>
      </w:r>
      <w:r>
        <w:rPr>
          <w:rStyle w:val="xeentry"/>
        </w:rPr>
        <w:instrText>romaji: as a basis for kanji characters in Lojban lerfu words</w:instrText>
      </w:r>
      <w:r>
        <w:instrText>"</w:instrText>
      </w:r>
      <w:r>
        <w:rPr>
          <w:rStyle w:val="indexentry"/>
        </w:rPr>
        <w:fldChar w:fldCharType="end"/>
      </w:r>
      <w:r>
        <w:t>First, both Chinese and Japanese have standard Latin-alphabet representations,</w:t>
      </w:r>
      <w:r>
        <w:rPr>
          <w:rStyle w:val="deletedparamark"/>
        </w:rPr>
        <w:t xml:space="preserve"> </w:t>
      </w:r>
      <w:r>
        <w:t>known as “pinyin” for Chinese and “romaji” for Japanese, and these can be</w:t>
      </w:r>
      <w:r>
        <w:rPr>
          <w:rStyle w:val="deletedparamark"/>
        </w:rPr>
        <w:t xml:space="preserve"> </w:t>
      </w:r>
      <w:r>
        <w:t>used. Thus, the word “han</w:t>
      </w:r>
      <w:r>
        <w:rPr>
          <w:rStyle w:val="htmlcodes"/>
        </w:rPr>
        <w:t>&lt;sup&gt;</w:t>
      </w:r>
      <w:r>
        <w:rPr>
          <w:rStyle w:val="Superscript"/>
        </w:rPr>
        <w:t>4</w:t>
      </w:r>
      <w:r>
        <w:rPr>
          <w:rStyle w:val="htmlcodes"/>
        </w:rPr>
        <w:t>&lt;/sup&gt;</w:t>
      </w:r>
      <w:r>
        <w:t>zi</w:t>
      </w:r>
      <w:r>
        <w:rPr>
          <w:rStyle w:val="htmlcodes"/>
        </w:rPr>
        <w:t>&lt;sup&gt;</w:t>
      </w:r>
      <w:r>
        <w:rPr>
          <w:rStyle w:val="Superscript"/>
        </w:rPr>
        <w:t>4</w:t>
      </w:r>
      <w:r>
        <w:rPr>
          <w:rStyle w:val="htmlcodes"/>
        </w:rPr>
        <w:t>&lt;/sup&gt;</w:t>
      </w:r>
      <w:r>
        <w:t>” is conventionally written with two characters,</w:t>
      </w:r>
      <w:r>
        <w:rPr>
          <w:rStyle w:val="deletedparamark"/>
        </w:rPr>
        <w:t xml:space="preserve"> </w:t>
      </w:r>
      <w:r>
        <w:t>but it may be spelled out as:</w:t>
      </w:r>
    </w:p>
    <w:p w:rsidR="00B72047" w:rsidRDefault="00B72047">
      <w:pPr>
        <w:rPr>
          <w:rStyle w:val="htmlparacode"/>
        </w:rPr>
      </w:pPr>
      <w:r>
        <w:rPr>
          <w:rStyle w:val="htmlparacode"/>
        </w:rPr>
        <w:t>&lt;p&gt;</w:t>
      </w:r>
    </w:p>
    <w:p w:rsidR="00B72047" w:rsidRDefault="00B72047">
      <w:pPr>
        <w:pStyle w:val="examplescaledpre"/>
      </w:pPr>
      <w:r>
        <w:rPr>
          <w:rStyle w:val="indexentry"/>
        </w:rPr>
        <w:t>&lt;ex "han^{4}zi^{4}"&gt;</w:t>
      </w:r>
      <w:r>
        <w:rPr>
          <w:rStyle w:val="indexentry"/>
        </w:rPr>
        <w:fldChar w:fldCharType="begin"/>
      </w:r>
      <w:r>
        <w:instrText>xe "</w:instrText>
      </w:r>
      <w:r>
        <w:rPr>
          <w:rStyle w:val="xeentry"/>
        </w:rPr>
        <w:instrText>han</w:instrText>
      </w:r>
      <w:r>
        <w:rPr>
          <w:rStyle w:val="xeentry"/>
          <w:vertAlign w:val="superscript"/>
        </w:rPr>
        <w:instrText>4</w:instrText>
      </w:r>
      <w:r>
        <w:rPr>
          <w:rStyle w:val="xeentry"/>
        </w:rPr>
        <w:instrText>zi</w:instrText>
      </w:r>
      <w:r>
        <w:rPr>
          <w:rStyle w:val="xeentry"/>
          <w:vertAlign w:val="superscript"/>
        </w:rPr>
        <w:instrText>4</w:instrText>
      </w:r>
      <w:r>
        <w:rPr>
          <w:rStyle w:val="xeentry"/>
        </w:rPr>
        <w:instrText>: example</w:instrText>
      </w:r>
      <w:r>
        <w:instrText>"</w:instrText>
      </w:r>
      <w:r>
        <w:rPr>
          <w:rStyle w:val="indexentry"/>
        </w:rPr>
        <w:fldChar w:fldCharType="end"/>
      </w:r>
      <w:r>
        <w:rPr>
          <w:rStyle w:val="htmlcodes"/>
        </w:rPr>
        <w:t>&lt;pre&gt;&lt;a name=e8d1&gt;</w:t>
      </w:r>
      <w:r>
        <w:t>8.1)</w:t>
      </w:r>
      <w:r>
        <w:tab/>
        <w:t>.y'y.bu .abu ny. vo zy. .ibu vo</w:t>
      </w:r>
    </w:p>
    <w:p w:rsidR="00B72047" w:rsidRDefault="00B72047">
      <w:pPr>
        <w:pStyle w:val="examplescaled"/>
      </w:pPr>
      <w:r>
        <w:tab/>
        <w:t>“h” “a” “n” 4 “z” “i” 4</w:t>
      </w:r>
    </w:p>
    <w:p w:rsidR="00B72047" w:rsidRDefault="00B72047">
      <w:pPr>
        <w:pStyle w:val="resumedafterexample"/>
      </w:pPr>
      <w:r>
        <w:rPr>
          <w:rStyle w:val="htmlcodes"/>
        </w:rPr>
        <w:t>&lt;/pre&gt;</w:t>
      </w:r>
      <w:r>
        <w:rPr>
          <w:rStyle w:val="indexentry"/>
        </w:rPr>
        <w:t>&lt;cx "numeric digits in lerfu words, grammar considerations"&gt;</w:t>
      </w:r>
      <w:r>
        <w:rPr>
          <w:rStyle w:val="indexentry"/>
        </w:rPr>
        <w:fldChar w:fldCharType="begin"/>
      </w:r>
      <w:r>
        <w:instrText>xe "</w:instrText>
      </w:r>
      <w:r>
        <w:rPr>
          <w:rStyle w:val="xeentry"/>
        </w:rPr>
        <w:instrText>numeric digits in lerfu words: grammar considerations</w:instrText>
      </w:r>
      <w:r>
        <w:instrText>"</w:instrText>
      </w:r>
      <w:r>
        <w:rPr>
          <w:rStyle w:val="indexentry"/>
        </w:rPr>
        <w:fldChar w:fldCharType="end"/>
      </w:r>
      <w:r>
        <w:rPr>
          <w:rStyle w:val="indexentry"/>
        </w:rPr>
        <w:t>&lt;cx "lerfu words with numeric digits, grammar considerations"&gt;</w:t>
      </w:r>
      <w:r>
        <w:rPr>
          <w:rStyle w:val="indexentry"/>
        </w:rPr>
        <w:fldChar w:fldCharType="begin"/>
      </w:r>
      <w:r>
        <w:instrText>xe "</w:instrText>
      </w:r>
      <w:r>
        <w:rPr>
          <w:rStyle w:val="xeentry"/>
        </w:rPr>
        <w:instrText>lerfu words with numeric digits: grammar considerations</w:instrText>
      </w:r>
      <w:r>
        <w:instrText>"</w:instrText>
      </w:r>
      <w:r>
        <w:rPr>
          <w:rStyle w:val="indexentry"/>
        </w:rPr>
        <w:fldChar w:fldCharType="end"/>
      </w:r>
      <w:r>
        <w:t>The cmavo “vo” is the Lojban digit “4”. It is grammatical to intersperse</w:t>
      </w:r>
      <w:r>
        <w:rPr>
          <w:rStyle w:val="deletedparamark"/>
        </w:rPr>
        <w:t xml:space="preserve"> </w:t>
      </w:r>
      <w:r>
        <w:t>digits (of sel</w:t>
      </w:r>
      <w:r>
        <w:softHyphen/>
        <w:t>ma'o PA) into a string of lerfu words; as long as the first</w:t>
      </w:r>
      <w:r>
        <w:rPr>
          <w:rStyle w:val="deletedparamark"/>
        </w:rPr>
        <w:t xml:space="preserve"> </w:t>
      </w:r>
      <w:r>
        <w:t>cmavo is a lerfu word, the whole will be interpreted as a string of lerfu</w:t>
      </w:r>
      <w:r>
        <w:rPr>
          <w:rStyle w:val="deletedparamark"/>
        </w:rPr>
        <w:t xml:space="preserve"> </w:t>
      </w:r>
      <w:r>
        <w:t>words. In Chinese, the digits can be used to represent tones. Pinyin is more</w:t>
      </w:r>
      <w:r>
        <w:rPr>
          <w:rStyle w:val="deletedparamark"/>
        </w:rPr>
        <w:t xml:space="preserve"> </w:t>
      </w:r>
      <w:r>
        <w:t>usually written using accent marks, the mechanism for which was explained</w:t>
      </w:r>
      <w:r>
        <w:rPr>
          <w:rStyle w:val="deletedparamark"/>
        </w:rPr>
        <w:t xml:space="preserve"> </w:t>
      </w:r>
      <w:r>
        <w:t xml:space="preserve">in </w:t>
      </w:r>
      <w:r>
        <w:rPr>
          <w:rStyle w:val="htmlcodes"/>
        </w:rPr>
        <w:t>&lt;a href=#s6&gt;</w:t>
      </w:r>
      <w:r>
        <w:t>Section 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The Japanese company named “Mitsubishi” in English is spelled the same way</w:t>
      </w:r>
      <w:r>
        <w:rPr>
          <w:rStyle w:val="deletedparamark"/>
        </w:rPr>
        <w:t xml:space="preserve"> </w:t>
      </w:r>
      <w:r>
        <w:t>in romaji, and could be spelled out in Lojban thus:</w:t>
      </w:r>
    </w:p>
    <w:p w:rsidR="00B72047" w:rsidRDefault="00B72047">
      <w:pPr>
        <w:rPr>
          <w:rStyle w:val="htmlparacode"/>
        </w:rPr>
      </w:pPr>
      <w:r>
        <w:rPr>
          <w:rStyle w:val="htmlparacode"/>
        </w:rPr>
        <w:t>&lt;p&gt;</w:t>
      </w:r>
    </w:p>
    <w:p w:rsidR="00B72047" w:rsidRDefault="00B72047">
      <w:pPr>
        <w:pStyle w:val="examplescaledpre"/>
      </w:pPr>
      <w:r>
        <w:rPr>
          <w:rStyle w:val="indexentry"/>
        </w:rPr>
        <w:t>&lt;ex "Mitsubishi"&gt;</w:t>
      </w:r>
      <w:r>
        <w:rPr>
          <w:rStyle w:val="indexentry"/>
        </w:rPr>
        <w:fldChar w:fldCharType="begin"/>
      </w:r>
      <w:r>
        <w:instrText>xe "</w:instrText>
      </w:r>
      <w:r>
        <w:rPr>
          <w:rStyle w:val="xeentry"/>
        </w:rPr>
        <w:instrText>Mitsubishi: example</w:instrText>
      </w:r>
      <w:r>
        <w:instrText>"</w:instrText>
      </w:r>
      <w:r>
        <w:rPr>
          <w:rStyle w:val="indexentry"/>
        </w:rPr>
        <w:fldChar w:fldCharType="end"/>
      </w:r>
      <w:r>
        <w:rPr>
          <w:rStyle w:val="htmlcodes"/>
        </w:rPr>
        <w:t>&lt;pre&gt;&lt;a name=e8d2&gt;</w:t>
      </w:r>
      <w:r>
        <w:t>8.2)</w:t>
      </w:r>
      <w:r>
        <w:tab/>
        <w:t>my. .ibu ty. sy. .ubu by. .ibu sy. .y'y.bu .ibu</w:t>
      </w:r>
    </w:p>
    <w:p w:rsidR="00B72047" w:rsidRDefault="00B72047">
      <w:pPr>
        <w:pStyle w:val="examplescaled"/>
      </w:pPr>
      <w:r>
        <w:tab/>
        <w:t>“m” “i” “t” “s” “u” “b” “i” “s” “h” “i”</w:t>
      </w:r>
    </w:p>
    <w:p w:rsidR="00B72047" w:rsidRDefault="00B72047">
      <w:pPr>
        <w:pStyle w:val="normalafterexample"/>
      </w:pPr>
      <w:r>
        <w:rPr>
          <w:rStyle w:val="htmlcodes"/>
        </w:rPr>
        <w:t>&lt;/pre&gt;</w:t>
      </w:r>
      <w:r>
        <w:rPr>
          <w:rStyle w:val="indexentry"/>
        </w:rPr>
        <w:t>&lt;cx "Chinese characters, representing based on strokes"&gt;</w:t>
      </w:r>
      <w:r>
        <w:rPr>
          <w:rStyle w:val="indexentry"/>
        </w:rPr>
        <w:fldChar w:fldCharType="begin"/>
      </w:r>
      <w:r>
        <w:instrText>xe "</w:instrText>
      </w:r>
      <w:r>
        <w:rPr>
          <w:rStyle w:val="xeentry"/>
        </w:rPr>
        <w:instrText>Chinese characters: representing based on strokes</w:instrText>
      </w:r>
      <w:r>
        <w:instrText>"</w:instrText>
      </w:r>
      <w:r>
        <w:rPr>
          <w:rStyle w:val="indexentry"/>
        </w:rPr>
        <w:fldChar w:fldCharType="end"/>
      </w:r>
      <w:r>
        <w:rPr>
          <w:rStyle w:val="indexentry"/>
        </w:rPr>
        <w:t>&lt;cx "kanji, representing based on strokes"&gt;</w:t>
      </w:r>
      <w:r>
        <w:rPr>
          <w:rStyle w:val="indexentry"/>
        </w:rPr>
        <w:fldChar w:fldCharType="begin"/>
      </w:r>
      <w:r>
        <w:instrText>xe "</w:instrText>
      </w:r>
      <w:r>
        <w:rPr>
          <w:rStyle w:val="xeentry"/>
        </w:rPr>
        <w:instrText>kanji: representing based on strokes</w:instrText>
      </w:r>
      <w:r>
        <w:instrText>"</w:instrText>
      </w:r>
      <w:r>
        <w:rPr>
          <w:rStyle w:val="indexentry"/>
        </w:rPr>
        <w:fldChar w:fldCharType="end"/>
      </w:r>
      <w:r>
        <w:t>Alternatively, a really ambitious Lojbanist could assign lerfu words to</w:t>
      </w:r>
      <w:r>
        <w:rPr>
          <w:rStyle w:val="deletedparamark"/>
        </w:rPr>
        <w:t xml:space="preserve"> </w:t>
      </w:r>
      <w:r>
        <w:t>the in</w:t>
      </w:r>
      <w:r>
        <w:softHyphen/>
        <w:t>dividual strokes used to write Chinese characters (there are about</w:t>
      </w:r>
      <w:r>
        <w:rPr>
          <w:rStyle w:val="deletedparamark"/>
        </w:rPr>
        <w:t xml:space="preserve"> </w:t>
      </w:r>
      <w:r>
        <w:t>seven or eight of them if you are a flexible human being, or about 40 if</w:t>
      </w:r>
      <w:r>
        <w:rPr>
          <w:rStyle w:val="deletedparamark"/>
        </w:rPr>
        <w:t xml:space="preserve"> </w:t>
      </w:r>
      <w:r>
        <w:t>you are a rigid computer program), and then repr</w:t>
      </w:r>
      <w:r>
        <w:t>e</w:t>
      </w:r>
      <w:r>
        <w:softHyphen/>
        <w:t>sent each character with a</w:t>
      </w:r>
      <w:r>
        <w:rPr>
          <w:rStyle w:val="deletedparamark"/>
        </w:rPr>
        <w:t xml:space="preserve"> “</w:t>
      </w:r>
      <w:r>
        <w:t>tei”, the stroke lerfu words in the order of writing (which is standardized</w:t>
      </w:r>
      <w:r>
        <w:rPr>
          <w:rStyle w:val="deletedparamark"/>
        </w:rPr>
        <w:t xml:space="preserve"> </w:t>
      </w:r>
      <w:r>
        <w:t>for each character), and a “foi”. No one has as yet attempted this project.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481" w:name="_Toc398970719"/>
      <w:r>
        <w:rPr>
          <w:rStyle w:val="Heading3Text"/>
        </w:rPr>
        <w:t>lerfu words as pro-sumti</w:t>
      </w:r>
      <w:bookmarkEnd w:id="481"/>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"lerfu string, definition"&gt;</w:t>
      </w:r>
      <w:r>
        <w:rPr>
          <w:rStyle w:val="indexentry"/>
        </w:rPr>
        <w:fldChar w:fldCharType="begin"/>
      </w:r>
      <w:r>
        <w:instrText>xe "</w:instrText>
      </w:r>
      <w:r>
        <w:rPr>
          <w:rStyle w:val="xeentry"/>
        </w:rPr>
        <w:instrText>lerfu string: definition</w:instrText>
      </w:r>
      <w:r>
        <w:instrText>"</w:instrText>
      </w:r>
      <w:r>
        <w:rPr>
          <w:rStyle w:val="indexentry"/>
        </w:rPr>
        <w:fldChar w:fldCharType="end"/>
      </w:r>
      <w:r>
        <w:t>So far, lerfu words have only appeared in Lojban text when spelling out</w:t>
      </w:r>
      <w:r>
        <w:rPr>
          <w:rStyle w:val="deletedparamark"/>
        </w:rPr>
        <w:t xml:space="preserve"> </w:t>
      </w:r>
      <w:r>
        <w:t>words. There are several other grammatical uses of lerfu words within</w:t>
      </w:r>
      <w:r>
        <w:rPr>
          <w:rStyle w:val="deletedparamark"/>
        </w:rPr>
        <w:t xml:space="preserve"> </w:t>
      </w:r>
      <w:r>
        <w:t>Lojban. In each case, a single lerfu word or more than one may be used.</w:t>
      </w:r>
      <w:r>
        <w:rPr>
          <w:rStyle w:val="deletedparamark"/>
        </w:rPr>
        <w:t xml:space="preserve"> </w:t>
      </w:r>
      <w:r>
        <w:t>Therefore, the term “lerfu string” is i</w:t>
      </w:r>
      <w:r>
        <w:t>n</w:t>
      </w:r>
      <w:r>
        <w:softHyphen/>
        <w:t>troduced: it is short for “sequence</w:t>
      </w:r>
      <w:r>
        <w:rPr>
          <w:rStyle w:val="deletedparamark"/>
        </w:rPr>
        <w:t xml:space="preserve"> </w:t>
      </w:r>
      <w:r>
        <w:t>of one or more lerfu words”.</w:t>
      </w:r>
    </w:p>
    <w:p w:rsidR="00B72047" w:rsidRDefault="00B72047">
      <w:pPr>
        <w:pStyle w:val="normalparagraph"/>
        <w:rPr>
          <w:rStyle w:val="htmlparacode"/>
        </w:rPr>
      </w:pPr>
      <w:r>
        <w:rPr>
          <w:rStyle w:val="htmlparacode"/>
          <w:vanish w:val="0"/>
        </w:rPr>
        <w:br w:type="page"/>
      </w:r>
      <w:r>
        <w:rPr>
          <w:rStyle w:val="htmlparacode"/>
        </w:rPr>
        <w:t>&lt;p&gt;</w:t>
      </w:r>
    </w:p>
    <w:p w:rsidR="00B72047" w:rsidRDefault="00B72047">
      <w:pPr>
        <w:pStyle w:val="normalparagraph"/>
      </w:pPr>
      <w:r>
        <w:rPr>
          <w:rStyle w:val="indexentry"/>
        </w:rPr>
        <w:t>&lt;cx "lerfu string, as pro-sumti"&gt;</w:t>
      </w:r>
      <w:r>
        <w:rPr>
          <w:rStyle w:val="indexentry"/>
        </w:rPr>
        <w:fldChar w:fldCharType="begin"/>
      </w:r>
      <w:r>
        <w:instrText>xe "</w:instrText>
      </w:r>
      <w:r>
        <w:rPr>
          <w:rStyle w:val="xeentry"/>
        </w:rPr>
        <w:instrText>lerfu string: as pro-sumti</w:instrText>
      </w:r>
      <w:r>
        <w:instrText>"</w:instrText>
      </w:r>
      <w:r>
        <w:rPr>
          <w:rStyle w:val="indexentry"/>
        </w:rPr>
        <w:fldChar w:fldCharType="end"/>
      </w:r>
      <w:r>
        <w:t>A lerfu string may be used as a pro-sumti (a sumti which refers to some</w:t>
      </w:r>
      <w:r>
        <w:rPr>
          <w:rStyle w:val="deletedparamark"/>
        </w:rPr>
        <w:t xml:space="preserve"> </w:t>
      </w:r>
      <w:r>
        <w:t>previ</w:t>
      </w:r>
      <w:r>
        <w:softHyphen/>
        <w:t>ous sumti), just like the pro-sumti “ko'a”, “ko'e”, and so on:</w:t>
      </w:r>
    </w:p>
    <w:p w:rsidR="00B72047" w:rsidRDefault="00B72047">
      <w:pPr>
        <w:rPr>
          <w:rStyle w:val="htmlparacode"/>
        </w:rPr>
      </w:pPr>
      <w:r>
        <w:rPr>
          <w:rStyle w:val="htmlparacode"/>
        </w:rPr>
        <w:t>&lt;p&gt;</w:t>
      </w:r>
    </w:p>
    <w:p w:rsidR="00B72047" w:rsidRDefault="00B72047">
      <w:pPr>
        <w:pStyle w:val="examplescaledpre"/>
      </w:pPr>
      <w:r>
        <w:rPr>
          <w:rStyle w:val="indexentry"/>
        </w:rPr>
        <w:t>&lt;ex "A loves B"&gt;</w:t>
      </w:r>
      <w:r>
        <w:rPr>
          <w:rStyle w:val="indexentry"/>
        </w:rPr>
        <w:fldChar w:fldCharType="begin"/>
      </w:r>
      <w:r>
        <w:instrText>xe "</w:instrText>
      </w:r>
      <w:r>
        <w:rPr>
          <w:rStyle w:val="xeentry"/>
        </w:rPr>
        <w:instrText>A loves B: example</w:instrText>
      </w:r>
      <w:r>
        <w:instrText>"</w:instrText>
      </w:r>
      <w:r>
        <w:rPr>
          <w:rStyle w:val="indexentry"/>
        </w:rPr>
        <w:fldChar w:fldCharType="end"/>
      </w:r>
      <w:r>
        <w:rPr>
          <w:rStyle w:val="htmlcodes"/>
        </w:rPr>
        <w:t>&lt;pre&gt;&lt;a name=e9d1&gt;</w:t>
      </w:r>
      <w:r>
        <w:t>9.1)</w:t>
      </w:r>
      <w:r>
        <w:tab/>
        <w:t>.abu prami by.</w:t>
      </w:r>
    </w:p>
    <w:p w:rsidR="00B72047" w:rsidRDefault="00B72047">
      <w:pPr>
        <w:pStyle w:val="examplescaled"/>
      </w:pPr>
      <w:r>
        <w:tab/>
        <w:t>A loves B</w:t>
      </w:r>
    </w:p>
    <w:p w:rsidR="00B72047" w:rsidRDefault="00B72047">
      <w:pPr>
        <w:pStyle w:val="resumedafterexample"/>
      </w:pPr>
      <w:r>
        <w:rPr>
          <w:rStyle w:val="htmlcodes"/>
        </w:rPr>
        <w:t>&lt;/pre&gt;&lt;p&gt;</w:t>
      </w:r>
      <w:r>
        <w:t xml:space="preserve">In </w:t>
      </w:r>
      <w:r>
        <w:rPr>
          <w:rStyle w:val="htmlcodes"/>
        </w:rPr>
        <w:t>&lt;a href=#e9d1&gt;</w:t>
      </w:r>
      <w:r>
        <w:t>Example 9.1</w:t>
      </w:r>
      <w:r>
        <w:rPr>
          <w:rStyle w:val="htmlcodes"/>
        </w:rPr>
        <w:t>&lt;/a&gt;</w:t>
      </w:r>
      <w:r>
        <w:t>, “.abu” and “by.” represent specific sumti, but which sumti</w:t>
      </w:r>
      <w:r>
        <w:rPr>
          <w:rStyle w:val="deletedparamark"/>
        </w:rPr>
        <w:t xml:space="preserve"> </w:t>
      </w:r>
      <w:r>
        <w:t>they repre</w:t>
      </w:r>
      <w:r>
        <w:softHyphen/>
        <w:t>sent must be inferred from context.</w:t>
      </w:r>
    </w:p>
    <w:p w:rsidR="00B72047" w:rsidRDefault="00B72047">
      <w:pPr>
        <w:rPr>
          <w:rStyle w:val="htmlparacode"/>
        </w:rPr>
      </w:pPr>
      <w:r>
        <w:rPr>
          <w:rStyle w:val="htmlparacode"/>
        </w:rPr>
        <w:t>&lt;p&gt;</w:t>
      </w:r>
    </w:p>
    <w:p w:rsidR="00B72047" w:rsidRDefault="00B72047">
      <w:pPr>
        <w:pStyle w:val="normalparagraph"/>
      </w:pPr>
      <w:r>
        <w:rPr>
          <w:rStyle w:val="indexentry"/>
        </w:rPr>
        <w:t>&lt;cx "lerfu string, as pro-sumti assigned by goi"&gt;</w:t>
      </w:r>
      <w:r>
        <w:rPr>
          <w:rStyle w:val="indexentry"/>
        </w:rPr>
        <w:fldChar w:fldCharType="begin"/>
      </w:r>
      <w:r>
        <w:instrText>xe "</w:instrText>
      </w:r>
      <w:r>
        <w:rPr>
          <w:rStyle w:val="xeentry"/>
        </w:rPr>
        <w:instrText>lerfu string: as pro-sumti assigned by goi</w:instrText>
      </w:r>
      <w:r>
        <w:instrText>"</w:instrText>
      </w:r>
      <w:r>
        <w:rPr>
          <w:rStyle w:val="indexentry"/>
        </w:rPr>
        <w:fldChar w:fldCharType="end"/>
      </w:r>
      <w:r>
        <w:rPr>
          <w:rStyle w:val="indexentry"/>
        </w:rPr>
        <w:t>&lt;lx "goi"&gt;</w:t>
      </w:r>
      <w:r>
        <w:rPr>
          <w:rStyle w:val="indexentry"/>
        </w:rPr>
        <w:fldChar w:fldCharType="begin"/>
      </w:r>
      <w:r>
        <w:instrText>xe "</w:instrText>
      </w:r>
      <w:r>
        <w:rPr>
          <w:rStyle w:val="xeentry"/>
        </w:rPr>
        <w:instrText>goi</w:instrText>
      </w:r>
      <w:r>
        <w:instrText>"</w:instrText>
      </w:r>
      <w:r>
        <w:rPr>
          <w:rStyle w:val="indexentry"/>
        </w:rPr>
        <w:fldChar w:fldCharType="end"/>
      </w:r>
      <w:r>
        <w:t>Alternatively, lerfu strings may be assigned by “goi”, the regular pro-sumti</w:t>
      </w:r>
      <w:r>
        <w:rPr>
          <w:rStyle w:val="deletedparamark"/>
        </w:rPr>
        <w:t xml:space="preserve"> </w:t>
      </w:r>
      <w:r>
        <w:t>as</w:t>
      </w:r>
      <w:r>
        <w:softHyphen/>
        <w:t>sign</w:t>
      </w:r>
      <w:r>
        <w:softHyphen/>
        <w:t>ment cmavo: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le gerku goi gy. cu xekri  .i gy. klama le zdani</w:t>
      </w:r>
    </w:p>
    <w:p w:rsidR="00B72047" w:rsidRDefault="00B72047">
      <w:pPr>
        <w:pStyle w:val="examplescaled"/>
      </w:pPr>
      <w:r>
        <w:tab/>
        <w:t>The dog, or G, is black. G goes to the house.</w:t>
      </w:r>
    </w:p>
    <w:p w:rsidR="00B72047" w:rsidRDefault="00B72047">
      <w:pPr>
        <w:pStyle w:val="normalafterexample"/>
      </w:pPr>
      <w:r>
        <w:rPr>
          <w:rStyle w:val="htmlcodes"/>
        </w:rPr>
        <w:t>&lt;/pre&gt;</w:t>
      </w:r>
      <w:r>
        <w:rPr>
          <w:rStyle w:val="indexentry"/>
        </w:rPr>
        <w:t>&lt;cx "lerfu string as pro-sumti, assumption of reference"&gt;</w:t>
      </w:r>
      <w:r>
        <w:rPr>
          <w:rStyle w:val="indexentry"/>
        </w:rPr>
        <w:fldChar w:fldCharType="begin"/>
      </w:r>
      <w:r>
        <w:instrText>xe "</w:instrText>
      </w:r>
      <w:r>
        <w:rPr>
          <w:rStyle w:val="xeentry"/>
        </w:rPr>
        <w:instrText>lerfu string: as pro-sumti, assumption of reference</w:instrText>
      </w:r>
      <w:r>
        <w:instrText>"</w:instrText>
      </w:r>
      <w:r>
        <w:rPr>
          <w:rStyle w:val="indexentry"/>
        </w:rPr>
        <w:fldChar w:fldCharType="end"/>
      </w:r>
      <w:r>
        <w:t>There is a special rule that sometimes makes lerfu strings more advantageous</w:t>
      </w:r>
      <w:r>
        <w:rPr>
          <w:rStyle w:val="deletedparamark"/>
        </w:rPr>
        <w:t xml:space="preserve"> </w:t>
      </w:r>
      <w:r>
        <w:t>than the regular pro-sumti cmavo. If no assignment can be found for a</w:t>
      </w:r>
      <w:r>
        <w:rPr>
          <w:rStyle w:val="deletedparamark"/>
        </w:rPr>
        <w:t xml:space="preserve"> </w:t>
      </w:r>
      <w:r>
        <w:t>lerfu string (especially a single lerfu word), it can be assumed to refer</w:t>
      </w:r>
      <w:r>
        <w:rPr>
          <w:rStyle w:val="deletedparamark"/>
        </w:rPr>
        <w:t xml:space="preserve"> </w:t>
      </w:r>
      <w:r>
        <w:t>to the most recent sumti whose name or de</w:t>
      </w:r>
      <w:r>
        <w:softHyphen/>
        <w:t>scription begins in Lojban with</w:t>
      </w:r>
      <w:r>
        <w:rPr>
          <w:rStyle w:val="deletedparamark"/>
        </w:rPr>
        <w:t xml:space="preserve"> </w:t>
      </w:r>
      <w:r>
        <w:t xml:space="preserve">that lerfu. So </w:t>
      </w:r>
      <w:r>
        <w:rPr>
          <w:rStyle w:val="htmlcodes"/>
        </w:rPr>
        <w:t>&lt;a href=#e9d2&gt;</w:t>
      </w:r>
      <w:r>
        <w:t xml:space="preserve">Example 9.2 </w:t>
      </w:r>
      <w:r>
        <w:rPr>
          <w:rStyle w:val="htmlcodes"/>
        </w:rPr>
        <w:t>&lt;/a&gt;</w:t>
      </w:r>
      <w:r>
        <w:t>can be rephrased: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le gerku cu xekri.  .i gy. klama le zdani</w:t>
      </w:r>
    </w:p>
    <w:p w:rsidR="00B72047" w:rsidRDefault="00B72047">
      <w:pPr>
        <w:pStyle w:val="examplescaled"/>
      </w:pPr>
      <w:r>
        <w:tab/>
        <w:t>The dog is black.  G goes to the house.</w:t>
      </w:r>
    </w:p>
    <w:p w:rsidR="00B72047" w:rsidRDefault="00B72047">
      <w:pPr>
        <w:pStyle w:val="resumedafterexample"/>
      </w:pPr>
      <w:r>
        <w:rPr>
          <w:rStyle w:val="htmlcodes"/>
        </w:rPr>
        <w:t>&lt;/pre&gt;</w:t>
      </w:r>
      <w:r>
        <w:t>(A less literal English translation would use “D” for “dog” instead.)</w:t>
      </w:r>
    </w:p>
    <w:p w:rsidR="00B72047" w:rsidRDefault="00B72047">
      <w:pPr>
        <w:rPr>
          <w:rStyle w:val="htmlparacode"/>
        </w:rPr>
      </w:pPr>
      <w:r>
        <w:rPr>
          <w:rStyle w:val="htmlparacode"/>
        </w:rPr>
        <w:t>&lt;p&gt;</w:t>
      </w:r>
    </w:p>
    <w:p w:rsidR="00B72047" w:rsidRDefault="00B72047">
      <w:pPr>
        <w:pStyle w:val="normalparagraph"/>
      </w:pPr>
      <w:r>
        <w:t>Here is an example using two names and longer lerfu strings:</w:t>
      </w:r>
    </w:p>
    <w:p w:rsidR="00B72047" w:rsidRDefault="00B72047">
      <w:pPr>
        <w:rPr>
          <w:rStyle w:val="htmlparacode"/>
        </w:rPr>
      </w:pPr>
      <w:r>
        <w:rPr>
          <w:rStyle w:val="htmlparacode"/>
        </w:rPr>
        <w:t>&lt;p&gt;</w:t>
      </w:r>
    </w:p>
    <w:p w:rsidR="00B72047" w:rsidRDefault="00B72047">
      <w:pPr>
        <w:pStyle w:val="examplescaledpre"/>
      </w:pPr>
      <w:r>
        <w:rPr>
          <w:rStyle w:val="indexentry"/>
        </w:rPr>
        <w:t>&lt;ex "Steven Mark Jones"&gt;</w:t>
      </w:r>
      <w:r>
        <w:rPr>
          <w:rStyle w:val="indexentry"/>
        </w:rPr>
        <w:fldChar w:fldCharType="begin"/>
      </w:r>
      <w:r>
        <w:instrText>xe "</w:instrText>
      </w:r>
      <w:r>
        <w:rPr>
          <w:rStyle w:val="xeentry"/>
        </w:rPr>
        <w:instrText>Steven Mark Jones: example</w:instrText>
      </w:r>
      <w:r>
        <w:instrText>"</w:instrText>
      </w:r>
      <w:r>
        <w:rPr>
          <w:rStyle w:val="indexentry"/>
        </w:rPr>
        <w:fldChar w:fldCharType="end"/>
      </w:r>
      <w:r>
        <w:rPr>
          <w:rStyle w:val="indexentry"/>
        </w:rPr>
        <w:t>&lt;ex "Alexander Pavlovitch Kuznetsov"&gt;</w:t>
      </w:r>
      <w:r>
        <w:rPr>
          <w:rStyle w:val="indexentry"/>
        </w:rPr>
        <w:fldChar w:fldCharType="begin"/>
      </w:r>
      <w:r>
        <w:instrText>xe "</w:instrText>
      </w:r>
      <w:r>
        <w:rPr>
          <w:rStyle w:val="xeentry"/>
        </w:rPr>
        <w:instrText>Alexander Pavlovitch Kuznetsov: example</w:instrText>
      </w:r>
      <w:r>
        <w:instrText>"</w:instrText>
      </w:r>
      <w:r>
        <w:rPr>
          <w:rStyle w:val="indexentry"/>
        </w:rPr>
        <w:fldChar w:fldCharType="end"/>
      </w:r>
      <w:r>
        <w:rPr>
          <w:rStyle w:val="htmlcodes"/>
        </w:rPr>
        <w:t>&lt;pre&gt;&lt;a name=e9d4&gt;</w:t>
      </w:r>
      <w:r>
        <w:t>9.4)</w:t>
      </w:r>
      <w:r>
        <w:tab/>
        <w:t>la stivn. mark. djonz. merko  .i la .aleksandr. paliitc. kuzNIETsyf. rusko</w:t>
      </w:r>
    </w:p>
    <w:p w:rsidR="00B72047" w:rsidRDefault="00B72047">
      <w:pPr>
        <w:pStyle w:val="examplescaled"/>
      </w:pPr>
      <w:r>
        <w:tab/>
      </w:r>
      <w:r>
        <w:tab/>
        <w:t>.i symyjy. tavla .abupyky. bau la lojban.</w:t>
      </w:r>
    </w:p>
    <w:p w:rsidR="00B72047" w:rsidRDefault="00B72047">
      <w:pPr>
        <w:pStyle w:val="examplescaled"/>
      </w:pPr>
      <w:r>
        <w:tab/>
        <w:t>Steven Mark Jones is-American. Alexander Pavlovitch Kuznetsov is-Russian.</w:t>
      </w:r>
    </w:p>
    <w:p w:rsidR="00B72047" w:rsidRDefault="00B72047">
      <w:pPr>
        <w:pStyle w:val="examplescaled"/>
      </w:pPr>
      <w:r>
        <w:tab/>
      </w:r>
      <w:r>
        <w:tab/>
        <w:t>SMJ talks-to APK in Lojban.</w:t>
      </w:r>
    </w:p>
    <w:p w:rsidR="00B72047" w:rsidRDefault="00B72047">
      <w:pPr>
        <w:pStyle w:val="resumedafterexample"/>
      </w:pPr>
      <w:r>
        <w:rPr>
          <w:rStyle w:val="htmlcodes"/>
        </w:rPr>
        <w:t>&lt;/pre&gt;&lt;p&gt;</w:t>
      </w:r>
      <w:r>
        <w:t>Perhaps Alexander's name should be given as “ru'o.abupyky” instead.</w:t>
      </w:r>
    </w:p>
    <w:p w:rsidR="00B72047" w:rsidRDefault="00B72047">
      <w:pPr>
        <w:rPr>
          <w:rStyle w:val="htmlparacode"/>
        </w:rPr>
      </w:pPr>
      <w:r>
        <w:rPr>
          <w:rStyle w:val="htmlparacode"/>
        </w:rPr>
        <w:t>&lt;p&gt;</w:t>
      </w:r>
    </w:p>
    <w:p w:rsidR="00B72047" w:rsidRDefault="00B72047">
      <w:pPr>
        <w:pStyle w:val="normalparagraph"/>
      </w:pPr>
      <w:r>
        <w:rPr>
          <w:rStyle w:val="indexentry"/>
        </w:rPr>
        <w:t>&lt;cx "lerfu strings as pro-sumti, for multiple sumti separated by boi"&gt;</w:t>
      </w:r>
      <w:r>
        <w:rPr>
          <w:rStyle w:val="indexentry"/>
        </w:rPr>
        <w:fldChar w:fldCharType="begin"/>
      </w:r>
      <w:r>
        <w:instrText>xe "</w:instrText>
      </w:r>
      <w:r>
        <w:rPr>
          <w:rStyle w:val="xeentry"/>
        </w:rPr>
        <w:instrText>lerfu string: as pro-sumti, for multiple sumti separated by boi</w:instrText>
      </w:r>
      <w:r>
        <w:instrText>"</w:instrText>
      </w:r>
      <w:r>
        <w:rPr>
          <w:rStyle w:val="indexentry"/>
        </w:rPr>
        <w:fldChar w:fldCharType="end"/>
      </w:r>
      <w:r>
        <w:t>What about</w:t>
      </w:r>
    </w:p>
    <w:p w:rsidR="00B72047" w:rsidRDefault="00B72047">
      <w:pPr>
        <w:rPr>
          <w:rStyle w:val="htmlparacode"/>
        </w:rPr>
      </w:pPr>
      <w:r>
        <w:rPr>
          <w:rStyle w:val="htmlparacode"/>
        </w:rPr>
        <w:t>&lt;p&gt;</w:t>
      </w:r>
    </w:p>
    <w:p w:rsidR="00B72047" w:rsidRDefault="00B72047">
      <w:pPr>
        <w:pStyle w:val="examplescaledpre"/>
      </w:pPr>
      <w:r>
        <w:rPr>
          <w:rStyle w:val="indexentry"/>
        </w:rPr>
        <w:t>&lt;ex "A gives BC"&gt;</w:t>
      </w:r>
      <w:r>
        <w:rPr>
          <w:rStyle w:val="indexentry"/>
        </w:rPr>
        <w:fldChar w:fldCharType="begin"/>
      </w:r>
      <w:r>
        <w:instrText>xe "</w:instrText>
      </w:r>
      <w:r>
        <w:rPr>
          <w:rStyle w:val="xeentry"/>
        </w:rPr>
        <w:instrText>A gives BC: example</w:instrText>
      </w:r>
      <w:r>
        <w:instrText>"</w:instrText>
      </w:r>
      <w:r>
        <w:rPr>
          <w:rStyle w:val="indexentry"/>
        </w:rPr>
        <w:fldChar w:fldCharType="end"/>
      </w:r>
      <w:r>
        <w:rPr>
          <w:rStyle w:val="htmlcodes"/>
        </w:rPr>
        <w:t>&lt;pre&gt;&lt;a name=e9d5&gt;</w:t>
      </w:r>
      <w:r>
        <w:t>9.5)</w:t>
      </w:r>
      <w:r>
        <w:tab/>
        <w:t>.abu dunda by. cy.</w:t>
      </w:r>
    </w:p>
    <w:p w:rsidR="00B72047" w:rsidRDefault="00B72047">
      <w:pPr>
        <w:pStyle w:val="examplescaled"/>
      </w:pPr>
      <w:r>
        <w:tab/>
        <w:t>A gives B C</w:t>
      </w:r>
    </w:p>
    <w:p w:rsidR="00B72047" w:rsidRDefault="00B72047">
      <w:pPr>
        <w:pStyle w:val="resumedafterexample"/>
      </w:pPr>
      <w:r>
        <w:rPr>
          <w:rStyle w:val="htmlcodes"/>
        </w:rPr>
        <w:t>&lt;/pre&gt;</w:t>
      </w: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rPr>
          <w:rStyle w:val="indexentry"/>
        </w:rPr>
        <w:t>&lt;lx "BOI"&gt;</w:t>
      </w:r>
      <w:r>
        <w:rPr>
          <w:rStyle w:val="indexentry"/>
        </w:rPr>
        <w:fldChar w:fldCharType="begin"/>
      </w:r>
      <w:r>
        <w:instrText>xe "</w:instrText>
      </w:r>
      <w:r>
        <w:rPr>
          <w:rStyle w:val="xeentry"/>
        </w:rPr>
        <w:instrText>BOI selma’o</w:instrText>
      </w:r>
      <w:r>
        <w:instrText>"</w:instrText>
      </w:r>
      <w:r>
        <w:rPr>
          <w:rStyle w:val="indexentry"/>
        </w:rPr>
        <w:fldChar w:fldCharType="end"/>
      </w:r>
      <w:r>
        <w:rPr>
          <w:rStyle w:val="indexentry"/>
        </w:rPr>
        <w:t>&lt;cx "boi, eliding from lerfu strings"&gt;</w:t>
      </w:r>
      <w:r>
        <w:rPr>
          <w:rStyle w:val="indexentry"/>
        </w:rPr>
        <w:fldChar w:fldCharType="begin"/>
      </w:r>
      <w:r>
        <w:instrText>xe "</w:instrText>
      </w:r>
      <w:r>
        <w:rPr>
          <w:rStyle w:val="xeentry"/>
        </w:rPr>
        <w:instrText>boi: eliding from lerfu strings</w:instrText>
      </w:r>
      <w:r>
        <w:instrText>"</w:instrText>
      </w:r>
      <w:r>
        <w:rPr>
          <w:rStyle w:val="indexentry"/>
        </w:rPr>
        <w:fldChar w:fldCharType="end"/>
      </w:r>
      <w:r>
        <w:t>Does this mean that A gives B to C? No. “by. cy.” is a single lerfu</w:t>
      </w:r>
      <w:r>
        <w:rPr>
          <w:rStyle w:val="deletedparamark"/>
        </w:rPr>
        <w:t xml:space="preserve"> </w:t>
      </w:r>
      <w:r>
        <w:t>string, although wri</w:t>
      </w:r>
      <w:r>
        <w:t>t</w:t>
      </w:r>
      <w:r>
        <w:softHyphen/>
        <w:t>ten as two words, and represents a single pro-sumti.</w:t>
      </w:r>
      <w:r>
        <w:rPr>
          <w:rStyle w:val="deletedparamark"/>
        </w:rPr>
        <w:t xml:space="preserve"> </w:t>
      </w:r>
      <w:r>
        <w:t>The true interpretation is that A gives BC to someone unspecified.</w:t>
      </w:r>
      <w:r>
        <w:rPr>
          <w:rStyle w:val="deletedparamark"/>
        </w:rPr>
        <w:t xml:space="preserve"> </w:t>
      </w:r>
      <w:r>
        <w:t>To solve this problem, we need to introduce the eli</w:t>
      </w:r>
      <w:r>
        <w:softHyphen/>
        <w:t>dable terminator</w:t>
      </w:r>
      <w:r>
        <w:rPr>
          <w:rStyle w:val="deletedparamark"/>
        </w:rPr>
        <w:t xml:space="preserve"> “</w:t>
      </w:r>
      <w:r>
        <w:t>boi” (of selma'o BOI). This cmavo is used to terminate lerfu strings</w:t>
      </w:r>
      <w:r>
        <w:rPr>
          <w:rStyle w:val="deletedparamark"/>
        </w:rPr>
        <w:t xml:space="preserve"> </w:t>
      </w:r>
      <w:r>
        <w:t>and also strings of numerals; it is required when two of these</w:t>
      </w:r>
      <w:r>
        <w:rPr>
          <w:rStyle w:val="deletedparamark"/>
        </w:rPr>
        <w:t xml:space="preserve"> </w:t>
      </w:r>
      <w:r>
        <w:t>appear in a row, as here. (The other reason to use “boi” is to attach</w:t>
      </w:r>
      <w:r>
        <w:rPr>
          <w:rStyle w:val="deletedparamark"/>
        </w:rPr>
        <w:t xml:space="preserve"> </w:t>
      </w:r>
      <w:r>
        <w:t>a free modifier — subscript, parenthesis, or what have you — to a</w:t>
      </w:r>
      <w:r>
        <w:rPr>
          <w:rStyle w:val="deletedparamark"/>
        </w:rPr>
        <w:t xml:space="preserve"> </w:t>
      </w:r>
      <w:r>
        <w:t>lerfu string.)  The correct version is:</w:t>
      </w:r>
    </w:p>
    <w:p w:rsidR="00B72047" w:rsidRDefault="00B72047">
      <w:pPr>
        <w:rPr>
          <w:rStyle w:val="htmlparacode"/>
        </w:rPr>
      </w:pPr>
      <w:r>
        <w:rPr>
          <w:rStyle w:val="htmlparacode"/>
        </w:rPr>
        <w:t>&lt;p&gt;</w:t>
      </w:r>
    </w:p>
    <w:p w:rsidR="00B72047" w:rsidRDefault="00B72047">
      <w:pPr>
        <w:pStyle w:val="examplescaledpre"/>
      </w:pPr>
      <w:r>
        <w:rPr>
          <w:rStyle w:val="indexentry"/>
        </w:rPr>
        <w:t>&lt;ex "A gives B to C"&gt;</w:t>
      </w:r>
      <w:r>
        <w:rPr>
          <w:rStyle w:val="indexentry"/>
        </w:rPr>
        <w:fldChar w:fldCharType="begin"/>
      </w:r>
      <w:r>
        <w:instrText>xe "</w:instrText>
      </w:r>
      <w:r>
        <w:rPr>
          <w:rStyle w:val="xeentry"/>
        </w:rPr>
        <w:instrText>A gives B to C: example</w:instrText>
      </w:r>
      <w:r>
        <w:instrText>"</w:instrText>
      </w:r>
      <w:r>
        <w:rPr>
          <w:rStyle w:val="indexentry"/>
        </w:rPr>
        <w:fldChar w:fldCharType="end"/>
      </w:r>
      <w:r>
        <w:rPr>
          <w:rStyle w:val="htmlcodes"/>
        </w:rPr>
        <w:t>&lt;pre&gt;&lt;a name=e9d6&gt;</w:t>
      </w:r>
      <w:r>
        <w:t>9.6)</w:t>
      </w:r>
      <w:r>
        <w:tab/>
        <w:t>.abu [boi] dunda by. boi cy. [boi]</w:t>
      </w:r>
    </w:p>
    <w:p w:rsidR="00B72047" w:rsidRDefault="00B72047">
      <w:pPr>
        <w:pStyle w:val="examplescaled"/>
      </w:pPr>
      <w:r>
        <w:tab/>
        <w:t>A gives B to C</w:t>
      </w:r>
    </w:p>
    <w:p w:rsidR="00B72047" w:rsidRDefault="00B72047">
      <w:pPr>
        <w:pStyle w:val="resumedafterexample"/>
      </w:pPr>
      <w:r>
        <w:rPr>
          <w:rStyle w:val="htmlcodes"/>
        </w:rPr>
        <w:t>&lt;/pre&gt;</w:t>
      </w:r>
      <w:r>
        <w:t>where the two occurrences of “boi” in brackets are elidable, but the</w:t>
      </w:r>
      <w:r>
        <w:rPr>
          <w:rStyle w:val="deletedparamark"/>
        </w:rPr>
        <w:t xml:space="preserve"> </w:t>
      </w:r>
      <w:r>
        <w:t>remaining occur</w:t>
      </w:r>
      <w:r>
        <w:softHyphen/>
        <w:t>rence is not. Likewise: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name=e9d7&gt;</w:t>
      </w:r>
      <w:r>
        <w:t>9.7)</w:t>
      </w:r>
      <w:r>
        <w:tab/>
        <w:t>xy. boi ro [boi] prenu cu prami</w:t>
      </w:r>
    </w:p>
    <w:p w:rsidR="00B72047" w:rsidRDefault="00B72047">
      <w:pPr>
        <w:pStyle w:val="examplescaled"/>
      </w:pPr>
      <w:r>
        <w:tab/>
        <w:t>X all persons loves.</w:t>
      </w:r>
    </w:p>
    <w:p w:rsidR="00B72047" w:rsidRDefault="00B72047">
      <w:pPr>
        <w:pStyle w:val="examplescaled"/>
      </w:pPr>
      <w:r>
        <w:tab/>
        <w:t>X loves everybody.</w:t>
      </w:r>
    </w:p>
    <w:p w:rsidR="00B72047" w:rsidRDefault="00B72047">
      <w:pPr>
        <w:pStyle w:val="resumedafterexample"/>
      </w:pPr>
      <w:r>
        <w:rPr>
          <w:rStyle w:val="htmlcodes"/>
        </w:rPr>
        <w:t>&lt;/pre&gt;</w:t>
      </w:r>
      <w:r>
        <w:rPr>
          <w:rStyle w:val="indexentry"/>
        </w:rPr>
        <w:t>&lt;cx "boi, required between pro-sumti lerfu string and quantifier"&gt;</w:t>
      </w:r>
      <w:r>
        <w:rPr>
          <w:rStyle w:val="indexentry"/>
        </w:rPr>
        <w:fldChar w:fldCharType="begin"/>
      </w:r>
      <w:r>
        <w:instrText>xe "</w:instrText>
      </w:r>
      <w:r>
        <w:rPr>
          <w:rStyle w:val="xeentry"/>
        </w:rPr>
        <w:instrText>boi: required between pro-sumti lerfu string and quantifier</w:instrText>
      </w:r>
      <w:r>
        <w:instrText>"</w:instrText>
      </w:r>
      <w:r>
        <w:rPr>
          <w:rStyle w:val="indexentry"/>
        </w:rPr>
        <w:fldChar w:fldCharType="end"/>
      </w:r>
      <w:r>
        <w:rPr>
          <w:rStyle w:val="indexentry"/>
        </w:rPr>
        <w:t>&lt;cx "pro-sumti lerfu strings, interaction with quantifiers and boi"&gt;</w:t>
      </w:r>
      <w:r>
        <w:rPr>
          <w:rStyle w:val="indexentry"/>
        </w:rPr>
        <w:fldChar w:fldCharType="begin"/>
      </w:r>
      <w:r>
        <w:instrText>xe "</w:instrText>
      </w:r>
      <w:r>
        <w:rPr>
          <w:rStyle w:val="xeentry"/>
        </w:rPr>
        <w:instrText>pro-sumti: lerfu string, interaction with quantifier and boi</w:instrText>
      </w:r>
      <w:r>
        <w:instrText>"</w:instrText>
      </w:r>
      <w:r>
        <w:rPr>
          <w:rStyle w:val="indexentry"/>
        </w:rPr>
        <w:fldChar w:fldCharType="end"/>
      </w:r>
      <w:r>
        <w:t>requires the first “boi” to separate the lerfu string “xy.” from the</w:t>
      </w:r>
      <w:r>
        <w:rPr>
          <w:rStyle w:val="deletedparamark"/>
        </w:rPr>
        <w:t xml:space="preserve"> </w:t>
      </w:r>
      <w:r>
        <w:t>digit string “ro”.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482" w:name="_Toc398970720"/>
      <w:r>
        <w:rPr>
          <w:rStyle w:val="Heading3Text"/>
        </w:rPr>
        <w:t>References to lerfu</w:t>
      </w:r>
      <w:bookmarkEnd w:id="48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"lerfu, reference to"&gt;</w:t>
      </w:r>
      <w:r>
        <w:rPr>
          <w:rStyle w:val="indexentry"/>
        </w:rPr>
        <w:fldChar w:fldCharType="begin"/>
      </w:r>
      <w:r>
        <w:instrText>xe "</w:instrText>
      </w:r>
      <w:r>
        <w:rPr>
          <w:rStyle w:val="xeentry"/>
        </w:rPr>
        <w:instrText>lerfu: reference to</w:instrText>
      </w:r>
      <w:r>
        <w:instrText>"</w:instrText>
      </w:r>
      <w:r>
        <w:rPr>
          <w:rStyle w:val="indexentry"/>
        </w:rPr>
        <w:fldChar w:fldCharType="end"/>
      </w:r>
      <w:r>
        <w:rPr>
          <w:rStyle w:val="indexentry"/>
        </w:rPr>
        <w:t>&lt;cx "pro-sumti lerfu string, effect on reference to lerfu itself"&gt;</w:t>
      </w:r>
      <w:r>
        <w:rPr>
          <w:rStyle w:val="indexentry"/>
        </w:rPr>
        <w:fldChar w:fldCharType="begin"/>
      </w:r>
      <w:r>
        <w:instrText>xe "</w:instrText>
      </w:r>
      <w:r>
        <w:rPr>
          <w:rStyle w:val="xeentry"/>
        </w:rPr>
        <w:instrText>pro-sumti: lerfu string, effect on reference to lerfu itself</w:instrText>
      </w:r>
      <w:r>
        <w:instrText>"</w:instrText>
      </w:r>
      <w:r>
        <w:rPr>
          <w:rStyle w:val="indexentry"/>
        </w:rPr>
        <w:fldChar w:fldCharType="end"/>
      </w:r>
      <w:r>
        <w:t xml:space="preserve">The rules of </w:t>
      </w:r>
      <w:r>
        <w:rPr>
          <w:rStyle w:val="htmlcodes"/>
        </w:rPr>
        <w:t>&lt;a href=#s9&gt;</w:t>
      </w:r>
      <w:r>
        <w:t xml:space="preserve">Section 9 </w:t>
      </w:r>
      <w:r>
        <w:rPr>
          <w:rStyle w:val="htmlcodes"/>
        </w:rPr>
        <w:t>&lt;/a&gt;</w:t>
      </w:r>
      <w:r>
        <w:t>make it impossible to use unmarked lerfu words</w:t>
      </w:r>
      <w:r>
        <w:rPr>
          <w:rStyle w:val="deletedparamark"/>
        </w:rPr>
        <w:t xml:space="preserve"> </w:t>
      </w:r>
      <w:r>
        <w:t>to refer to lerfu themselves. In the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.abu. cu lerfu</w:t>
      </w:r>
    </w:p>
    <w:p w:rsidR="00B72047" w:rsidRDefault="00B72047">
      <w:pPr>
        <w:pStyle w:val="examplescaled"/>
      </w:pPr>
      <w:r>
        <w:tab/>
        <w:t>A is-a-letteral.</w:t>
      </w:r>
    </w:p>
    <w:p w:rsidR="00B72047" w:rsidRDefault="00B72047">
      <w:pPr>
        <w:pStyle w:val="resumedafterexample"/>
      </w:pPr>
      <w:r>
        <w:rPr>
          <w:rStyle w:val="htmlcodes"/>
        </w:rPr>
        <w:t>&lt;/pre&gt;</w:t>
      </w:r>
      <w:r>
        <w:rPr>
          <w:rStyle w:val="indexentry"/>
        </w:rPr>
        <w:t>&lt;lx "me'o"&gt;</w:t>
      </w:r>
      <w:r>
        <w:rPr>
          <w:rStyle w:val="indexentry"/>
        </w:rPr>
        <w:fldChar w:fldCharType="begin"/>
      </w:r>
      <w:r>
        <w:instrText>xe "</w:instrText>
      </w:r>
      <w:r>
        <w:rPr>
          <w:rStyle w:val="xeentry"/>
        </w:rPr>
        <w:instrText>me'o</w:instrText>
      </w:r>
      <w:r>
        <w:instrText>"</w:instrText>
      </w:r>
      <w:r>
        <w:rPr>
          <w:rStyle w:val="indexentry"/>
        </w:rPr>
        <w:fldChar w:fldCharType="end"/>
      </w:r>
      <w:r>
        <w:rPr>
          <w:rStyle w:val="indexentry"/>
        </w:rPr>
        <w:t>&lt;lx "LI"&gt;</w:t>
      </w:r>
      <w:r>
        <w:rPr>
          <w:rStyle w:val="indexentry"/>
        </w:rPr>
        <w:fldChar w:fldCharType="begin"/>
      </w:r>
      <w:r>
        <w:instrText>xe "</w:instrText>
      </w:r>
      <w:r>
        <w:rPr>
          <w:rStyle w:val="xeentry"/>
        </w:rPr>
        <w:instrText>LI selma’o</w:instrText>
      </w:r>
      <w:r>
        <w:instrText>"</w:instrText>
      </w:r>
      <w:r>
        <w:rPr>
          <w:rStyle w:val="indexentry"/>
        </w:rPr>
        <w:fldChar w:fldCharType="end"/>
      </w:r>
      <w:r>
        <w:rPr>
          <w:rStyle w:val="indexentry"/>
        </w:rPr>
        <w:t>&lt;cx "lerfu, referring to with me'o"&gt;</w:t>
      </w:r>
      <w:r>
        <w:rPr>
          <w:rStyle w:val="indexentry"/>
        </w:rPr>
        <w:fldChar w:fldCharType="begin"/>
      </w:r>
      <w:r>
        <w:instrText>xe "</w:instrText>
      </w:r>
      <w:r>
        <w:rPr>
          <w:rStyle w:val="xeentry"/>
        </w:rPr>
        <w:instrText>lerfu: referring to with me'o</w:instrText>
      </w:r>
      <w:r>
        <w:instrText>"</w:instrText>
      </w:r>
      <w:r>
        <w:rPr>
          <w:rStyle w:val="indexentry"/>
        </w:rPr>
        <w:fldChar w:fldCharType="end"/>
      </w:r>
      <w:r>
        <w:t>the hearer would try to find what previous sumti “.abu” refers to. The</w:t>
      </w:r>
      <w:r>
        <w:rPr>
          <w:rStyle w:val="deletedparamark"/>
        </w:rPr>
        <w:t xml:space="preserve"> </w:t>
      </w:r>
      <w:r>
        <w:t>solution to this problem makes use of the cmavo “me'o” of selma'o LI, which</w:t>
      </w:r>
      <w:r>
        <w:rPr>
          <w:rStyle w:val="deletedparamark"/>
        </w:rPr>
        <w:t xml:space="preserve"> </w:t>
      </w:r>
      <w:r>
        <w:t>makes a lerfu string into a sumti representing that very string of lerfu.</w:t>
      </w:r>
      <w:r>
        <w:rPr>
          <w:rStyle w:val="deletedparamark"/>
        </w:rPr>
        <w:t xml:space="preserve"> </w:t>
      </w:r>
      <w:r>
        <w:t>This use of “me'o” is a special case of its mathematical use, which is to</w:t>
      </w:r>
      <w:r>
        <w:rPr>
          <w:rStyle w:val="deletedparamark"/>
        </w:rPr>
        <w:t xml:space="preserve"> </w:t>
      </w:r>
      <w:r>
        <w:t>introduce a mathematical expression used literally rather than for its value.</w:t>
      </w:r>
    </w:p>
    <w:p w:rsidR="00B72047" w:rsidRDefault="00B72047">
      <w:pPr>
        <w:rPr>
          <w:rStyle w:val="htmlparacode"/>
        </w:rPr>
      </w:pPr>
      <w:r>
        <w:rPr>
          <w:rStyle w:val="htmlparacode"/>
        </w:rPr>
        <w:t>&lt;p&gt;</w:t>
      </w:r>
    </w:p>
    <w:p w:rsidR="00B72047" w:rsidRDefault="00B72047">
      <w:pPr>
        <w:pStyle w:val="examplescaledpre"/>
      </w:pPr>
      <w:r>
        <w:rPr>
          <w:rStyle w:val="indexentry"/>
        </w:rPr>
        <w:t>&lt;ex "“a” is letteral"&gt;</w:t>
      </w:r>
      <w:r>
        <w:rPr>
          <w:rStyle w:val="indexentry"/>
        </w:rPr>
        <w:fldChar w:fldCharType="begin"/>
      </w:r>
      <w:r>
        <w:instrText>xe "</w:instrText>
      </w:r>
      <w:r>
        <w:rPr>
          <w:rStyle w:val="xeentry"/>
        </w:rPr>
        <w:instrText>a is letteral: example</w:instrText>
      </w:r>
      <w:r>
        <w:instrText>"</w:instrText>
      </w:r>
      <w:r>
        <w:rPr>
          <w:rStyle w:val="indexentry"/>
        </w:rPr>
        <w:fldChar w:fldCharType="end"/>
      </w:r>
      <w:r>
        <w:rPr>
          <w:rStyle w:val="htmlcodes"/>
        </w:rPr>
        <w:t>&lt;pre&gt;&lt;a name=e10d2&gt;</w:t>
      </w:r>
      <w:r>
        <w:t>10.2)</w:t>
      </w:r>
      <w:r>
        <w:tab/>
        <w:t>me'o .abu cu lerfu</w:t>
      </w:r>
    </w:p>
    <w:p w:rsidR="00B72047" w:rsidRDefault="00B72047">
      <w:pPr>
        <w:pStyle w:val="examplescaled"/>
      </w:pPr>
      <w:r>
        <w:tab/>
        <w:t>the-expression “a” is-a-letteral.</w:t>
      </w:r>
    </w:p>
    <w:p w:rsidR="00B72047" w:rsidRDefault="00B72047">
      <w:pPr>
        <w:pStyle w:val="normalafterexample"/>
      </w:pPr>
      <w:r>
        <w:rPr>
          <w:rStyle w:val="htmlcodes"/>
        </w:rPr>
        <w:t>&lt;/pre&gt;&lt;p&gt;</w:t>
      </w:r>
      <w:r>
        <w:t xml:space="preserve">Now we can translate </w:t>
      </w:r>
      <w:r>
        <w:rPr>
          <w:rStyle w:val="htmlcodes"/>
        </w:rPr>
        <w:t>&lt;a href=#e1d1&gt;</w:t>
      </w:r>
      <w:r>
        <w:t xml:space="preserve">Example 1.1 </w:t>
      </w:r>
      <w:r>
        <w:rPr>
          <w:rStyle w:val="htmlcodes"/>
        </w:rPr>
        <w:t>&lt;/a&gt;</w:t>
      </w:r>
      <w:r>
        <w:t>into Lojban:</w:t>
      </w:r>
    </w:p>
    <w:p w:rsidR="00B72047" w:rsidRDefault="00B72047">
      <w:pPr>
        <w:rPr>
          <w:rStyle w:val="htmlparacode"/>
        </w:rPr>
      </w:pPr>
      <w:r>
        <w:rPr>
          <w:rStyle w:val="htmlparacode"/>
        </w:rPr>
        <w:t>&lt;p&gt;</w:t>
      </w:r>
    </w:p>
    <w:p w:rsidR="00B72047" w:rsidRDefault="00B72047">
      <w:pPr>
        <w:pStyle w:val="examplescaledpre"/>
      </w:pPr>
      <w:r>
        <w:rPr>
          <w:rStyle w:val="indexentry"/>
        </w:rPr>
        <w:t>&lt;ex "four “e”s"&gt;</w:t>
      </w:r>
      <w:r>
        <w:rPr>
          <w:rStyle w:val="indexentry"/>
        </w:rPr>
        <w:fldChar w:fldCharType="begin"/>
      </w:r>
      <w:r>
        <w:instrText>xe "</w:instrText>
      </w:r>
      <w:r>
        <w:rPr>
          <w:rStyle w:val="xeentry"/>
        </w:rPr>
        <w:instrText>four es: example</w:instrText>
      </w:r>
      <w:r>
        <w:instrText>"</w:instrText>
      </w:r>
      <w:r>
        <w:rPr>
          <w:rStyle w:val="indexentry"/>
        </w:rPr>
        <w:fldChar w:fldCharType="end"/>
      </w:r>
      <w:r>
        <w:rPr>
          <w:rStyle w:val="htmlcodes"/>
        </w:rPr>
        <w:t>&lt;pre&gt;&lt;a name=e10d3&gt;</w:t>
      </w:r>
      <w:r>
        <w:t>10.3)</w:t>
      </w:r>
      <w:r>
        <w:tab/>
        <w:t>dei vasru vo lerfu</w:t>
      </w:r>
    </w:p>
    <w:p w:rsidR="00B72047" w:rsidRDefault="00B72047">
      <w:pPr>
        <w:pStyle w:val="examplescaled"/>
      </w:pPr>
      <w:r>
        <w:tab/>
      </w:r>
      <w:r>
        <w:tab/>
        <w:t>po'u me'o .ebu</w:t>
      </w:r>
    </w:p>
    <w:p w:rsidR="00B72047" w:rsidRDefault="00B72047">
      <w:pPr>
        <w:pStyle w:val="examplescaled"/>
      </w:pPr>
      <w:r>
        <w:tab/>
        <w:t>this-sentence contains four letterals</w:t>
      </w:r>
    </w:p>
    <w:p w:rsidR="00B72047" w:rsidRDefault="00B72047">
      <w:pPr>
        <w:pStyle w:val="examplescaled"/>
      </w:pPr>
      <w:r>
        <w:tab/>
      </w:r>
      <w:r>
        <w:tab/>
        <w:t>which-are the-expression “e”.</w:t>
      </w:r>
    </w:p>
    <w:p w:rsidR="00B72047" w:rsidRDefault="00B72047">
      <w:pPr>
        <w:pStyle w:val="examplescaled"/>
      </w:pPr>
      <w:r>
        <w:tab/>
        <w:t>This sentence contains four “e”s.</w:t>
      </w:r>
    </w:p>
    <w:p w:rsidR="00B72047" w:rsidRDefault="00B72047">
      <w:pPr>
        <w:pStyle w:val="resumedafterexample"/>
      </w:pPr>
      <w:r>
        <w:rPr>
          <w:rStyle w:val="htmlcodes"/>
        </w:rPr>
        <w:t>&lt;/pre&gt;&lt;p&gt;</w:t>
      </w:r>
      <w:r>
        <w:t>Since the Lojban sentence has only four “e” lerfu rather than fourteen,</w:t>
      </w:r>
      <w:r>
        <w:rPr>
          <w:rStyle w:val="deletedparamark"/>
        </w:rPr>
        <w:t xml:space="preserve"> </w:t>
      </w:r>
      <w:r>
        <w:t xml:space="preserve">the translation is not a literal one — but </w:t>
      </w:r>
      <w:r>
        <w:rPr>
          <w:rStyle w:val="htmlcodes"/>
        </w:rPr>
        <w:t>&lt;a href=#e10d3&gt;</w:t>
      </w:r>
      <w:r>
        <w:t xml:space="preserve">Example 10.3 </w:t>
      </w:r>
      <w:r>
        <w:rPr>
          <w:rStyle w:val="htmlcodes"/>
        </w:rPr>
        <w:t>&lt;/a&gt;</w:t>
      </w:r>
      <w:r>
        <w:t>is a Lojban truth</w:t>
      </w:r>
      <w:r>
        <w:rPr>
          <w:rStyle w:val="deletedparamark"/>
        </w:rPr>
        <w:t xml:space="preserve"> </w:t>
      </w:r>
      <w:r>
        <w:t xml:space="preserve">just as </w:t>
      </w:r>
      <w:r>
        <w:rPr>
          <w:rStyle w:val="htmlcodes"/>
        </w:rPr>
        <w:t>&lt;a href=#e1d1&gt;</w:t>
      </w:r>
      <w:r>
        <w:t xml:space="preserve">Example 1.1 </w:t>
      </w:r>
      <w:r>
        <w:rPr>
          <w:rStyle w:val="htmlcodes"/>
        </w:rPr>
        <w:t>&lt;/a&gt;</w:t>
      </w:r>
      <w:r>
        <w:t>is an English truth. Coincidentally, the colloquial</w:t>
      </w:r>
      <w:r>
        <w:rPr>
          <w:rStyle w:val="deletedparamark"/>
        </w:rPr>
        <w:t xml:space="preserve"> </w:t>
      </w:r>
      <w:r>
        <w:t xml:space="preserve">English translation of </w:t>
      </w:r>
      <w:r>
        <w:rPr>
          <w:rStyle w:val="htmlcodes"/>
        </w:rPr>
        <w:t>&lt;a href=#e10d3&gt;</w:t>
      </w:r>
      <w:r>
        <w:t xml:space="preserve">Example 10.3 </w:t>
      </w:r>
      <w:r>
        <w:rPr>
          <w:rStyle w:val="htmlcodes"/>
        </w:rPr>
        <w:t>&lt;/a&gt;</w:t>
      </w:r>
      <w:r>
        <w:t>is also true!</w:t>
      </w:r>
    </w:p>
    <w:p w:rsidR="00B72047" w:rsidRDefault="00B72047">
      <w:pPr>
        <w:rPr>
          <w:rStyle w:val="htmlparacode"/>
        </w:rPr>
      </w:pPr>
      <w:r>
        <w:rPr>
          <w:rStyle w:val="htmlparacode"/>
        </w:rPr>
        <w:t>&lt;p&gt;</w:t>
      </w:r>
    </w:p>
    <w:p w:rsidR="00B72047" w:rsidRDefault="00B72047">
      <w:pPr>
        <w:pStyle w:val="normalparagraph"/>
      </w:pPr>
      <w:r>
        <w:rPr>
          <w:rStyle w:val="indexentry"/>
        </w:rPr>
        <w:t>&lt;cx "quotation, contrasted with me'o for representing lerfu"&gt;</w:t>
      </w:r>
      <w:r>
        <w:rPr>
          <w:rStyle w:val="indexentry"/>
        </w:rPr>
        <w:fldChar w:fldCharType="begin"/>
      </w:r>
      <w:r>
        <w:instrText>xe "</w:instrText>
      </w:r>
      <w:r>
        <w:rPr>
          <w:rStyle w:val="xeentry"/>
        </w:rPr>
        <w:instrText>quotation: contrasted with me'o for representing lerfu</w:instrText>
      </w:r>
      <w:r>
        <w:instrText>"</w:instrText>
      </w:r>
      <w:r>
        <w:rPr>
          <w:rStyle w:val="indexentry"/>
        </w:rPr>
        <w:fldChar w:fldCharType="end"/>
      </w:r>
      <w:r>
        <w:rPr>
          <w:rStyle w:val="indexentry"/>
        </w:rPr>
        <w:t>&lt;cx "me'o, contrasted with quotation for representing lerfu"&gt;</w:t>
      </w:r>
      <w:r>
        <w:rPr>
          <w:rStyle w:val="indexentry"/>
        </w:rPr>
        <w:fldChar w:fldCharType="begin"/>
      </w:r>
      <w:r>
        <w:instrText>xe "</w:instrText>
      </w:r>
      <w:r>
        <w:rPr>
          <w:rStyle w:val="xeentry"/>
        </w:rPr>
        <w:instrText>me'o: contrasted with quotation for representing lerfu</w:instrText>
      </w:r>
      <w:r>
        <w:instrText>"</w:instrText>
      </w:r>
      <w:r>
        <w:rPr>
          <w:rStyle w:val="indexentry"/>
        </w:rPr>
        <w:fldChar w:fldCharType="end"/>
      </w:r>
      <w:r>
        <w:rPr>
          <w:rStyle w:val="indexentry"/>
        </w:rPr>
        <w:t>&lt;cx "me'o, contrasted with lu…li'u for representing lerfu"&gt;</w:t>
      </w:r>
      <w:r>
        <w:rPr>
          <w:rStyle w:val="indexentry"/>
        </w:rPr>
        <w:fldChar w:fldCharType="begin"/>
      </w:r>
      <w:r>
        <w:instrText>xe "</w:instrText>
      </w:r>
      <w:r>
        <w:rPr>
          <w:rStyle w:val="xeentry"/>
        </w:rPr>
        <w:instrText>me'o: contrasted with lu…li'u for representing lerfu</w:instrText>
      </w:r>
      <w:r>
        <w:instrText>"</w:instrText>
      </w:r>
      <w:r>
        <w:rPr>
          <w:rStyle w:val="indexentry"/>
        </w:rPr>
        <w:fldChar w:fldCharType="end"/>
      </w:r>
      <w:r>
        <w:rPr>
          <w:rStyle w:val="indexentry"/>
        </w:rPr>
        <w:t>&lt;cx "lu, contrasted with me'o for representing lerfu"&gt;</w:t>
      </w:r>
      <w:r>
        <w:rPr>
          <w:rStyle w:val="indexentry"/>
        </w:rPr>
        <w:fldChar w:fldCharType="begin"/>
      </w:r>
      <w:r>
        <w:instrText>xe "</w:instrText>
      </w:r>
      <w:r>
        <w:rPr>
          <w:rStyle w:val="xeentry"/>
        </w:rPr>
        <w:instrText>lu: contrasted with me'o for representing lerfu</w:instrText>
      </w:r>
      <w:r>
        <w:instrText>"</w:instrText>
      </w:r>
      <w:r>
        <w:rPr>
          <w:rStyle w:val="indexentry"/>
        </w:rPr>
        <w:fldChar w:fldCharType="end"/>
      </w:r>
      <w:r>
        <w:rPr>
          <w:rStyle w:val="indexentry"/>
        </w:rPr>
        <w:t>&lt;cx "representing lerfu, lu contrasted with me'o"&gt;</w:t>
      </w:r>
      <w:r>
        <w:rPr>
          <w:rStyle w:val="indexentry"/>
        </w:rPr>
        <w:fldChar w:fldCharType="begin"/>
      </w:r>
      <w:r>
        <w:instrText>xe "</w:instrText>
      </w:r>
      <w:r>
        <w:rPr>
          <w:rStyle w:val="xeentry"/>
        </w:rPr>
        <w:instrText>representing lerfu: lu contrasted with me'o</w:instrText>
      </w:r>
      <w:r>
        <w:instrText>"</w:instrText>
      </w:r>
      <w:r>
        <w:rPr>
          <w:rStyle w:val="indexentry"/>
        </w:rPr>
        <w:fldChar w:fldCharType="end"/>
      </w:r>
      <w:r>
        <w:rPr>
          <w:rStyle w:val="indexentry"/>
        </w:rPr>
        <w:t>&lt;cx "me'o, compared with la'e lu"&gt;</w:t>
      </w:r>
      <w:r>
        <w:rPr>
          <w:rStyle w:val="indexentry"/>
        </w:rPr>
        <w:fldChar w:fldCharType="begin"/>
      </w:r>
      <w:r>
        <w:instrText>xe "</w:instrText>
      </w:r>
      <w:r>
        <w:rPr>
          <w:rStyle w:val="xeentry"/>
        </w:rPr>
        <w:instrText>me'o: compared with la'e lu</w:instrText>
      </w:r>
      <w:r>
        <w:instrText>"</w:instrText>
      </w:r>
      <w:r>
        <w:rPr>
          <w:rStyle w:val="indexentry"/>
        </w:rPr>
        <w:fldChar w:fldCharType="end"/>
      </w:r>
      <w:r>
        <w:rPr>
          <w:rStyle w:val="indexentry"/>
        </w:rPr>
        <w:t>&lt;cx "la'e lu, compared with me'o"&gt;</w:t>
      </w:r>
      <w:r>
        <w:rPr>
          <w:rStyle w:val="indexentry"/>
        </w:rPr>
        <w:fldChar w:fldCharType="begin"/>
      </w:r>
      <w:r>
        <w:instrText>xe "</w:instrText>
      </w:r>
      <w:r>
        <w:rPr>
          <w:rStyle w:val="xeentry"/>
        </w:rPr>
        <w:instrText>la'e lu: compared with me'o</w:instrText>
      </w:r>
      <w:r>
        <w:instrText>"</w:instrText>
      </w:r>
      <w:r>
        <w:rPr>
          <w:rStyle w:val="indexentry"/>
        </w:rPr>
        <w:fldChar w:fldCharType="end"/>
      </w:r>
      <w:r>
        <w:rPr>
          <w:rStyle w:val="indexentry"/>
        </w:rPr>
        <w:t>&lt;lx "me'o"&gt;</w:t>
      </w:r>
      <w:r>
        <w:rPr>
          <w:rStyle w:val="indexentry"/>
        </w:rPr>
        <w:fldChar w:fldCharType="begin"/>
      </w:r>
      <w:r>
        <w:instrText>xe "</w:instrText>
      </w:r>
      <w:r>
        <w:rPr>
          <w:rStyle w:val="xeentry"/>
        </w:rPr>
        <w:instrText>me'o</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w:instrText>
      </w:r>
      <w:r>
        <w:instrText>"</w:instrText>
      </w:r>
      <w:r>
        <w:rPr>
          <w:rStyle w:val="indexentry"/>
        </w:rPr>
        <w:fldChar w:fldCharType="end"/>
      </w: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t>The reader might be tempted to use quotation with “lu </w:t>
      </w:r>
      <w:r>
        <w:rPr>
          <w:rStyle w:val="htmlcodes"/>
        </w:rPr>
        <w:t>&lt;dots&gt;</w:t>
      </w:r>
      <w:r>
        <w:t>…</w:t>
      </w:r>
      <w:r>
        <w:rPr>
          <w:rStyle w:val="htmlcodes"/>
        </w:rPr>
        <w:t>&lt;/dots&gt;</w:t>
      </w:r>
      <w:r>
        <w:t>li'u” instead of</w:t>
      </w:r>
      <w:r>
        <w:rPr>
          <w:rStyle w:val="deletedparamark"/>
        </w:rPr>
        <w:t xml:space="preserve"> “</w:t>
      </w:r>
      <w:r>
        <w:t>me'o”, pr</w:t>
      </w:r>
      <w:r>
        <w:t>o</w:t>
      </w:r>
      <w:r>
        <w:softHyphen/>
        <w:t>ducing: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name=e10d4&gt;</w:t>
      </w:r>
      <w:r>
        <w:t>10.4)</w:t>
      </w:r>
      <w:r>
        <w:tab/>
        <w:t>lu .abu li'u cu lerfu</w:t>
      </w:r>
    </w:p>
    <w:p w:rsidR="00B72047" w:rsidRDefault="00B72047">
      <w:pPr>
        <w:pStyle w:val="examplescaled"/>
      </w:pPr>
      <w:r>
        <w:tab/>
        <w:t>[quote] .abu [unquote] is-a-letteral.</w:t>
      </w:r>
    </w:p>
    <w:p w:rsidR="00B72047" w:rsidRDefault="00B72047">
      <w:pPr>
        <w:pStyle w:val="resumedafterexample"/>
      </w:pPr>
      <w:r>
        <w:rPr>
          <w:rStyle w:val="htmlcodes"/>
        </w:rPr>
        <w:t>&lt;/pre&gt;</w:t>
      </w:r>
      <w:r>
        <w:t>(The single-word quote “zo” cannot be used, because “.abu” is a compound</w:t>
      </w:r>
      <w:r>
        <w:rPr>
          <w:rStyle w:val="deletedparamark"/>
        </w:rPr>
        <w:t xml:space="preserve"> </w:t>
      </w:r>
      <w:r>
        <w:t xml:space="preserve">cmavo.) But </w:t>
      </w:r>
      <w:r>
        <w:rPr>
          <w:rStyle w:val="htmlcodes"/>
        </w:rPr>
        <w:t>&lt;a href=#e10d4&gt;</w:t>
      </w:r>
      <w:r>
        <w:t xml:space="preserve">Example 10.4 </w:t>
      </w:r>
      <w:r>
        <w:rPr>
          <w:rStyle w:val="htmlcodes"/>
        </w:rPr>
        <w:t>&lt;/a&gt;</w:t>
      </w:r>
      <w:r>
        <w:t>is false, because it says:</w:t>
      </w:r>
    </w:p>
    <w:p w:rsidR="00B72047" w:rsidRDefault="00B72047">
      <w:pPr>
        <w:rPr>
          <w:rStyle w:val="htmlparacode"/>
        </w:rPr>
      </w:pPr>
      <w:r>
        <w:rPr>
          <w:rStyle w:val="htmlparacode"/>
        </w:rPr>
        <w:t>&lt;p&gt;</w:t>
      </w:r>
    </w:p>
    <w:p w:rsidR="00B72047" w:rsidRDefault="00B72047">
      <w:pPr>
        <w:pStyle w:val="examplescaledpre"/>
      </w:pPr>
      <w:r>
        <w:rPr>
          <w:rStyle w:val="indexentry"/>
        </w:rPr>
        <w:t>&lt;ex "word “abu”"&gt;</w:t>
      </w:r>
      <w:r>
        <w:rPr>
          <w:rStyle w:val="indexentry"/>
        </w:rPr>
        <w:fldChar w:fldCharType="begin"/>
      </w:r>
      <w:r>
        <w:instrText>xe "</w:instrText>
      </w:r>
      <w:r>
        <w:rPr>
          <w:rStyle w:val="xeentry"/>
        </w:rPr>
        <w:instrText>word abu: example</w:instrText>
      </w:r>
      <w:r>
        <w:instrText>"</w:instrText>
      </w:r>
      <w:r>
        <w:rPr>
          <w:rStyle w:val="indexentry"/>
        </w:rPr>
        <w:fldChar w:fldCharType="end"/>
      </w:r>
      <w:r>
        <w:rPr>
          <w:rStyle w:val="htmlcodes"/>
        </w:rPr>
        <w:t xml:space="preserve"> &lt;pre&gt;&lt;a name=e10d5&gt;</w:t>
      </w:r>
      <w:r>
        <w:t>10.5)</w:t>
      </w:r>
      <w:r>
        <w:tab/>
        <w:t>The word “.abu” is a letteral</w:t>
      </w:r>
    </w:p>
    <w:p w:rsidR="00B72047" w:rsidRDefault="00B72047">
      <w:pPr>
        <w:pStyle w:val="resumedafterexample"/>
      </w:pPr>
      <w:r>
        <w:rPr>
          <w:rStyle w:val="htmlcodes"/>
        </w:rPr>
        <w:t>&lt;/pre&gt;</w:t>
      </w:r>
      <w:r>
        <w:t>which is not the case; rather, the thing symbolized by the word “.abu” is</w:t>
      </w:r>
      <w:r>
        <w:rPr>
          <w:rStyle w:val="deletedparamark"/>
        </w:rPr>
        <w:t xml:space="preserve"> </w:t>
      </w:r>
      <w:r>
        <w:t>a letteral. In L</w:t>
      </w:r>
      <w:r>
        <w:t>o</w:t>
      </w:r>
      <w:r>
        <w:t>j</w:t>
      </w:r>
      <w:r>
        <w:softHyphen/>
        <w:t>ban, that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la'e lu .abu li'u cu lerfu</w:t>
      </w:r>
    </w:p>
    <w:p w:rsidR="00B72047" w:rsidRDefault="00B72047">
      <w:pPr>
        <w:pStyle w:val="examplescaled"/>
      </w:pPr>
      <w:r>
        <w:tab/>
        <w:t>The-referent-of [quote] .abu [unquote] is-a-letteral.</w:t>
      </w:r>
    </w:p>
    <w:p w:rsidR="00B72047" w:rsidRDefault="00B72047">
      <w:pPr>
        <w:pStyle w:val="resumedafterexample"/>
      </w:pPr>
      <w:r>
        <w:rPr>
          <w:rStyle w:val="htmlcodes"/>
        </w:rPr>
        <w:t>&lt;/pre&gt;</w:t>
      </w:r>
      <w:r>
        <w:t>which is correct.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name=s11&gt;&lt;h3&gt;</w:t>
      </w:r>
      <w:bookmarkStart w:id="483" w:name="_Toc398970721"/>
      <w:r>
        <w:rPr>
          <w:rStyle w:val="Heading3Text"/>
        </w:rPr>
        <w:t>Mathematical uses of lerfu strings</w:t>
      </w:r>
      <w:bookmarkEnd w:id="483"/>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"mathematics, use of lerfu strings in"&gt;</w:t>
      </w:r>
      <w:r>
        <w:rPr>
          <w:rStyle w:val="indexentry"/>
        </w:rPr>
        <w:fldChar w:fldCharType="begin"/>
      </w:r>
      <w:r>
        <w:instrText>xe "</w:instrText>
      </w:r>
      <w:r>
        <w:rPr>
          <w:rStyle w:val="xeentry"/>
        </w:rPr>
        <w:instrText>mathematics: use of lerfu strings in</w:instrText>
      </w:r>
      <w:r>
        <w:instrText>"</w:instrText>
      </w:r>
      <w:r>
        <w:rPr>
          <w:rStyle w:val="indexentry"/>
        </w:rPr>
        <w:fldChar w:fldCharType="end"/>
      </w:r>
      <w:r>
        <w:rPr>
          <w:rStyle w:val="indexentry"/>
        </w:rPr>
        <w:t>&lt;cx "lerfu strings, uses in mathematics"&gt;</w:t>
      </w:r>
      <w:r>
        <w:rPr>
          <w:rStyle w:val="indexentry"/>
        </w:rPr>
        <w:fldChar w:fldCharType="begin"/>
      </w:r>
      <w:r>
        <w:instrText>xe "</w:instrText>
      </w:r>
      <w:r>
        <w:rPr>
          <w:rStyle w:val="xeentry"/>
        </w:rPr>
        <w:instrText>lerfu string: use in mathematics</w:instrText>
      </w:r>
      <w:r>
        <w:instrText>"</w:instrText>
      </w:r>
      <w:r>
        <w:rPr>
          <w:rStyle w:val="indexentry"/>
        </w:rPr>
        <w:fldChar w:fldCharType="end"/>
      </w:r>
      <w:r>
        <w:t>This chapter is not about Lojban mathematics, which is explained in</w:t>
      </w:r>
      <w:r>
        <w:rPr>
          <w:rStyle w:val="deletedparamark"/>
        </w:rPr>
        <w:t xml:space="preserve"> </w:t>
      </w:r>
      <w:r>
        <w:rPr>
          <w:rStyle w:val="htmlcodes"/>
        </w:rPr>
        <w:t>&lt;a href=chap18.html&gt;</w:t>
      </w:r>
      <w:r>
        <w:t>Chapter 18</w:t>
      </w:r>
      <w:r>
        <w:rPr>
          <w:rStyle w:val="htmlcodes"/>
        </w:rPr>
        <w:t>&lt;/a&gt;</w:t>
      </w:r>
      <w:r>
        <w:t>, so the mathematical uses of lerfu strings will be listed and</w:t>
      </w:r>
      <w:r>
        <w:rPr>
          <w:rStyle w:val="deletedparamark"/>
        </w:rPr>
        <w:t xml:space="preserve"> </w:t>
      </w:r>
      <w:r>
        <w:t>exemplified but not ex</w:t>
      </w:r>
      <w:r>
        <w:softHyphen/>
        <w:t>plained.</w:t>
      </w:r>
    </w:p>
    <w:p w:rsidR="00B72047" w:rsidRDefault="00B72047">
      <w:pPr>
        <w:pStyle w:val="normalparagraph"/>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"lerfu string, as mathematical variable"&gt;</w:t>
      </w:r>
      <w:r>
        <w:rPr>
          <w:rStyle w:val="indexentry"/>
        </w:rPr>
        <w:fldChar w:fldCharType="begin"/>
      </w:r>
      <w:r>
        <w:instrText>xe "</w:instrText>
      </w:r>
      <w:r>
        <w:rPr>
          <w:rStyle w:val="xeentry"/>
        </w:rPr>
        <w:instrText>lerfu string: as mathematical variable</w:instrText>
      </w:r>
      <w:r>
        <w:instrText>"</w:instrText>
      </w:r>
      <w:r>
        <w:rPr>
          <w:rStyle w:val="indexentry"/>
        </w:rPr>
        <w:fldChar w:fldCharType="end"/>
      </w:r>
      <w:r>
        <w:rPr>
          <w:rStyle w:val="indexentry"/>
        </w:rPr>
        <w:t>&lt;cx "mathematical variables, lerfu strings as"&gt;</w:t>
      </w:r>
      <w:r>
        <w:rPr>
          <w:rStyle w:val="indexentry"/>
        </w:rPr>
        <w:fldChar w:fldCharType="begin"/>
      </w:r>
      <w:r>
        <w:instrText>xe "</w:instrText>
      </w:r>
      <w:r>
        <w:rPr>
          <w:rStyle w:val="xeentry"/>
        </w:rPr>
        <w:instrText>mathematical variables: lerfu strings as</w:instrText>
      </w:r>
      <w:r>
        <w:instrText>"</w:instrText>
      </w:r>
      <w:r>
        <w:rPr>
          <w:rStyle w:val="indexentry"/>
        </w:rPr>
        <w:fldChar w:fldCharType="end"/>
      </w:r>
      <w:r>
        <w:t>A lerfu string as mathematical variable: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li .abu du li by. su'i cy.</w:t>
      </w:r>
    </w:p>
    <w:p w:rsidR="00B72047" w:rsidRDefault="00B72047">
      <w:pPr>
        <w:pStyle w:val="examplescaled"/>
      </w:pPr>
      <w:r>
        <w:tab/>
        <w:t>the-number a equals the-number b plus c</w:t>
      </w:r>
    </w:p>
    <w:p w:rsidR="00B72047" w:rsidRDefault="00B72047">
      <w:pPr>
        <w:pStyle w:val="examplescaled"/>
      </w:pPr>
      <w:r>
        <w:tab/>
      </w:r>
      <w:r>
        <w:rPr>
          <w:rStyle w:val="math"/>
          <w:i/>
          <w:iCs/>
        </w:rPr>
        <w:t>a</w:t>
      </w:r>
      <w:r>
        <w:rPr>
          <w:rStyle w:val="math"/>
        </w:rPr>
        <w:t xml:space="preserve"> = </w:t>
      </w:r>
      <w:r>
        <w:rPr>
          <w:rStyle w:val="math"/>
          <w:i/>
          <w:iCs/>
        </w:rPr>
        <w:t>b</w:t>
      </w:r>
      <w:r>
        <w:rPr>
          <w:rStyle w:val="math"/>
        </w:rPr>
        <w:t xml:space="preserve"> + </w:t>
      </w:r>
      <w:r>
        <w:rPr>
          <w:rStyle w:val="math"/>
          <w:i/>
          <w:iCs/>
        </w:rPr>
        <w:t>c</w:t>
      </w:r>
    </w:p>
    <w:p w:rsidR="00B72047" w:rsidRDefault="00B72047" w:rsidP="007E67C1">
      <w:pPr>
        <w:pStyle w:val="Listjustified"/>
        <w:numPr>
          <w:ilvl w:val="0"/>
          <w:numId w:val="2"/>
        </w:numPr>
        <w:ind w:left="792" w:hanging="432"/>
      </w:pPr>
      <w:r>
        <w:rPr>
          <w:rStyle w:val="htmlcodes"/>
        </w:rPr>
        <w:t>&lt;/pre&gt;</w:t>
      </w:r>
      <w:r>
        <w:rPr>
          <w:rStyle w:val="indexentry"/>
        </w:rPr>
        <w:t>&lt;cx "lerfu string, as function name"&gt;</w:t>
      </w:r>
      <w:r>
        <w:rPr>
          <w:rStyle w:val="indexentry"/>
        </w:rPr>
        <w:fldChar w:fldCharType="begin"/>
      </w:r>
      <w:r>
        <w:instrText>xe "</w:instrText>
      </w:r>
      <w:r>
        <w:rPr>
          <w:rStyle w:val="xeentry"/>
        </w:rPr>
        <w:instrText>lerfu string: as function name</w:instrText>
      </w:r>
      <w:r>
        <w:instrText>"</w:instrText>
      </w:r>
      <w:r>
        <w:rPr>
          <w:rStyle w:val="indexentry"/>
        </w:rPr>
        <w:fldChar w:fldCharType="end"/>
      </w:r>
      <w:r>
        <w:rPr>
          <w:rStyle w:val="indexentry"/>
        </w:rPr>
        <w:t>&lt;cx "function name, lerfu string as"&gt;</w:t>
      </w:r>
      <w:r>
        <w:rPr>
          <w:rStyle w:val="indexentry"/>
        </w:rPr>
        <w:fldChar w:fldCharType="begin"/>
      </w:r>
      <w:r>
        <w:instrText>xe "</w:instrText>
      </w:r>
      <w:r>
        <w:rPr>
          <w:rStyle w:val="xeentry"/>
        </w:rPr>
        <w:instrText>function name: lerfu string as</w:instrText>
      </w:r>
      <w:r>
        <w:instrText>"</w:instrText>
      </w:r>
      <w:r>
        <w:rPr>
          <w:rStyle w:val="indexentry"/>
        </w:rPr>
        <w:fldChar w:fldCharType="end"/>
      </w:r>
      <w:r>
        <w:t>A lerfu string as function name (preceded by “ma'o” of selma'o MAhO):</w:t>
      </w:r>
    </w:p>
    <w:p w:rsidR="00B72047" w:rsidRDefault="00B72047">
      <w:pPr>
        <w:rPr>
          <w:rStyle w:val="htmlparacode"/>
        </w:rPr>
      </w:pPr>
      <w:r>
        <w:rPr>
          <w:rStyle w:val="htmlparacode"/>
        </w:rPr>
        <w:t>&lt;p&gt;</w:t>
      </w:r>
    </w:p>
    <w:p w:rsidR="00B72047" w:rsidRDefault="00B72047">
      <w:pPr>
        <w:pStyle w:val="examplescaledpre"/>
      </w:pPr>
      <w:r>
        <w:rPr>
          <w:rStyle w:val="indexentry"/>
        </w:rPr>
        <w:t>&lt;ex "function f of x"&gt;</w:t>
      </w:r>
      <w:r>
        <w:rPr>
          <w:rStyle w:val="indexentry"/>
        </w:rPr>
        <w:fldChar w:fldCharType="begin"/>
      </w:r>
      <w:r>
        <w:instrText>xe "</w:instrText>
      </w:r>
      <w:r>
        <w:rPr>
          <w:rStyle w:val="xeentry"/>
        </w:rPr>
        <w:instrText>function f of x: example</w:instrText>
      </w:r>
      <w:r>
        <w:instrText>"</w:instrText>
      </w:r>
      <w:r>
        <w:rPr>
          <w:rStyle w:val="indexentry"/>
        </w:rPr>
        <w:fldChar w:fldCharType="end"/>
      </w:r>
      <w:r>
        <w:rPr>
          <w:rStyle w:val="htmlcodes"/>
        </w:rPr>
        <w:t>&lt;pre&gt;&lt;a name=e11d2&gt;</w:t>
      </w:r>
      <w:r>
        <w:t>11.2)</w:t>
      </w:r>
      <w:r>
        <w:tab/>
        <w:t>li .y.bu du li ma'o fy. boi xy.</w:t>
      </w:r>
    </w:p>
    <w:p w:rsidR="00B72047" w:rsidRDefault="00B72047">
      <w:pPr>
        <w:pStyle w:val="examplescaled"/>
      </w:pPr>
      <w:r>
        <w:tab/>
        <w:t>the-number y equals the number the-function f of x</w:t>
      </w:r>
    </w:p>
    <w:p w:rsidR="00B72047" w:rsidRDefault="00B72047">
      <w:pPr>
        <w:pStyle w:val="examplescaled"/>
      </w:pPr>
      <w:r>
        <w:tab/>
      </w:r>
      <w:r>
        <w:rPr>
          <w:rStyle w:val="math"/>
          <w:i/>
          <w:iCs/>
        </w:rPr>
        <w:t>y</w:t>
      </w:r>
      <w:r>
        <w:rPr>
          <w:rStyle w:val="math"/>
        </w:rPr>
        <w:t xml:space="preserve"> = </w:t>
      </w:r>
      <w:r>
        <w:rPr>
          <w:rStyle w:val="math"/>
          <w:i/>
          <w:iCs/>
        </w:rPr>
        <w:t>f</w:t>
      </w:r>
      <w:r>
        <w:rPr>
          <w:rStyle w:val="math"/>
        </w:rPr>
        <w:t>(</w:t>
      </w:r>
      <w:r>
        <w:rPr>
          <w:rStyle w:val="math"/>
          <w:i/>
          <w:iCs/>
        </w:rPr>
        <w:t>x</w:t>
      </w:r>
      <w:r>
        <w:rPr>
          <w:rStyle w:val="math"/>
        </w:rPr>
        <w:t>)</w:t>
      </w:r>
    </w:p>
    <w:p w:rsidR="00B72047" w:rsidRDefault="00B72047" w:rsidP="007E67C1">
      <w:pPr>
        <w:pStyle w:val="Listnobullets"/>
        <w:numPr>
          <w:ilvl w:val="0"/>
          <w:numId w:val="0"/>
        </w:numPr>
        <w:ind w:left="864" w:hanging="504"/>
      </w:pPr>
      <w:r>
        <w:rPr>
          <w:rStyle w:val="htmlcodes"/>
        </w:rPr>
        <w:t>&lt;/pre&gt;&lt;p&gt;</w:t>
      </w:r>
      <w:r>
        <w:t>Note the “boi” here to separate the lerfu strings “fy” and “xy”.</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"lerfu string, as selbri"&gt;</w:t>
      </w:r>
      <w:r>
        <w:rPr>
          <w:rStyle w:val="indexentry"/>
        </w:rPr>
        <w:fldChar w:fldCharType="begin"/>
      </w:r>
      <w:r>
        <w:instrText>xe "</w:instrText>
      </w:r>
      <w:r>
        <w:rPr>
          <w:rStyle w:val="xeentry"/>
        </w:rPr>
        <w:instrText>lerfu string: as selbri</w:instrText>
      </w:r>
      <w:r>
        <w:instrText>"</w:instrText>
      </w:r>
      <w:r>
        <w:rPr>
          <w:rStyle w:val="indexentry"/>
        </w:rPr>
        <w:fldChar w:fldCharType="end"/>
      </w:r>
      <w:r>
        <w:rPr>
          <w:rStyle w:val="indexentry"/>
        </w:rPr>
        <w:t>&lt;cx "selbri, lerfu string as"&gt;</w:t>
      </w:r>
      <w:r>
        <w:rPr>
          <w:rStyle w:val="indexentry"/>
        </w:rPr>
        <w:fldChar w:fldCharType="begin"/>
      </w:r>
      <w:r>
        <w:instrText>xe "</w:instrText>
      </w:r>
      <w:r>
        <w:rPr>
          <w:rStyle w:val="xeentry"/>
        </w:rPr>
        <w:instrText>selbri: lerfu string as</w:instrText>
      </w:r>
      <w:r>
        <w:instrText>"</w:instrText>
      </w:r>
      <w:r>
        <w:rPr>
          <w:rStyle w:val="indexentry"/>
        </w:rPr>
        <w:fldChar w:fldCharType="end"/>
      </w:r>
      <w:r>
        <w:t>A lerfu string as selbri (followed by a cmavo of selma'o MOI):</w:t>
      </w:r>
    </w:p>
    <w:p w:rsidR="00B72047" w:rsidRDefault="00B72047">
      <w:pPr>
        <w:rPr>
          <w:rStyle w:val="htmlparacode"/>
        </w:rPr>
      </w:pPr>
      <w:r>
        <w:rPr>
          <w:rStyle w:val="htmlparacode"/>
        </w:rPr>
        <w:t>&lt;p&gt;</w:t>
      </w:r>
    </w:p>
    <w:p w:rsidR="00B72047" w:rsidRDefault="00B72047">
      <w:pPr>
        <w:pStyle w:val="examplescaledpre"/>
      </w:pPr>
      <w:r>
        <w:rPr>
          <w:rStyle w:val="indexentry"/>
        </w:rPr>
        <w:t>&lt;ex "Nth rat"&gt;</w:t>
      </w:r>
      <w:r>
        <w:rPr>
          <w:rStyle w:val="indexentry"/>
        </w:rPr>
        <w:fldChar w:fldCharType="begin"/>
      </w:r>
      <w:r>
        <w:instrText>xe "</w:instrText>
      </w:r>
      <w:r>
        <w:rPr>
          <w:rStyle w:val="xeentry"/>
        </w:rPr>
        <w:instrText>Nth rat: example</w:instrText>
      </w:r>
      <w:r>
        <w:instrText>"</w:instrText>
      </w:r>
      <w:r>
        <w:rPr>
          <w:rStyle w:val="indexentry"/>
        </w:rPr>
        <w:fldChar w:fldCharType="end"/>
      </w:r>
      <w:r>
        <w:rPr>
          <w:rStyle w:val="htmlcodes"/>
        </w:rPr>
        <w:t>&lt;pre&gt;&lt;a name=e11d3&gt;</w:t>
      </w:r>
      <w:r>
        <w:t>11.3)</w:t>
      </w:r>
      <w:r>
        <w:tab/>
        <w:t>le vi ratcu ny.moi le'i mi ratcu</w:t>
      </w:r>
    </w:p>
    <w:p w:rsidR="00B72047" w:rsidRDefault="00B72047">
      <w:pPr>
        <w:pStyle w:val="examplescaled"/>
      </w:pPr>
      <w:r>
        <w:tab/>
        <w:t>the here rat is-nth-of the-set-of my rats</w:t>
      </w:r>
    </w:p>
    <w:p w:rsidR="00B72047" w:rsidRDefault="00B72047">
      <w:pPr>
        <w:pStyle w:val="examplescaled"/>
      </w:pPr>
      <w:r>
        <w:tab/>
        <w:t>This rat is my Nth rat.</w:t>
      </w:r>
    </w:p>
    <w:p w:rsidR="00B72047" w:rsidRDefault="00B72047" w:rsidP="007E67C1">
      <w:pPr>
        <w:pStyle w:val="Listjustified"/>
        <w:numPr>
          <w:ilvl w:val="0"/>
          <w:numId w:val="2"/>
        </w:numPr>
        <w:ind w:left="792" w:hanging="432"/>
      </w:pPr>
      <w:r>
        <w:rPr>
          <w:rStyle w:val="htmlcodes"/>
        </w:rPr>
        <w:t>&lt;/pre&gt;</w:t>
      </w:r>
      <w:r>
        <w:rPr>
          <w:rStyle w:val="indexentry"/>
        </w:rPr>
        <w:t>&lt;cx "lerfu string, as utterance ordinal"&gt;</w:t>
      </w:r>
      <w:r>
        <w:rPr>
          <w:rStyle w:val="indexentry"/>
        </w:rPr>
        <w:fldChar w:fldCharType="begin"/>
      </w:r>
      <w:r>
        <w:instrText>xe "</w:instrText>
      </w:r>
      <w:r>
        <w:rPr>
          <w:rStyle w:val="xeentry"/>
        </w:rPr>
        <w:instrText>lerfu string: as utterance ordinal</w:instrText>
      </w:r>
      <w:r>
        <w:instrText>"</w:instrText>
      </w:r>
      <w:r>
        <w:rPr>
          <w:rStyle w:val="indexentry"/>
        </w:rPr>
        <w:fldChar w:fldCharType="end"/>
      </w:r>
      <w:r>
        <w:rPr>
          <w:rStyle w:val="indexentry"/>
        </w:rPr>
        <w:t>&lt;cx "utterance ordinal, lerfu string as"&gt;</w:t>
      </w:r>
      <w:r>
        <w:rPr>
          <w:rStyle w:val="indexentry"/>
        </w:rPr>
        <w:fldChar w:fldCharType="begin"/>
      </w:r>
      <w:r>
        <w:instrText>xe "</w:instrText>
      </w:r>
      <w:r>
        <w:rPr>
          <w:rStyle w:val="xeentry"/>
        </w:rPr>
        <w:instrText>utterance ordinal: lerfu string as</w:instrText>
      </w:r>
      <w:r>
        <w:instrText>"</w:instrText>
      </w:r>
      <w:r>
        <w:rPr>
          <w:rStyle w:val="indexentry"/>
        </w:rPr>
        <w:fldChar w:fldCharType="end"/>
      </w:r>
      <w:r>
        <w:t>A lerfu string as utterance ordinal (followed by a cmavo of selma'o MAI):</w:t>
      </w:r>
    </w:p>
    <w:p w:rsidR="00B72047" w:rsidRDefault="00B72047">
      <w:pPr>
        <w:rPr>
          <w:rStyle w:val="htmlparacode"/>
        </w:rPr>
      </w:pPr>
      <w:r>
        <w:rPr>
          <w:rStyle w:val="htmlparacode"/>
        </w:rPr>
        <w:t>&lt;p&gt;</w:t>
      </w:r>
    </w:p>
    <w:p w:rsidR="00B72047" w:rsidRDefault="00B72047">
      <w:pPr>
        <w:pStyle w:val="examplescaledpre"/>
      </w:pPr>
      <w:r>
        <w:rPr>
          <w:rStyle w:val="indexentry"/>
        </w:rPr>
        <w:t>&lt;ex "Nthly"&gt;</w:t>
      </w:r>
      <w:r>
        <w:rPr>
          <w:rStyle w:val="indexentry"/>
        </w:rPr>
        <w:fldChar w:fldCharType="begin"/>
      </w:r>
      <w:r>
        <w:instrText>xe "</w:instrText>
      </w:r>
      <w:r>
        <w:rPr>
          <w:rStyle w:val="xeentry"/>
        </w:rPr>
        <w:instrText>Nthly: example</w:instrText>
      </w:r>
      <w:r>
        <w:instrText>"</w:instrText>
      </w:r>
      <w:r>
        <w:rPr>
          <w:rStyle w:val="indexentry"/>
        </w:rPr>
        <w:fldChar w:fldCharType="end"/>
      </w:r>
      <w:r>
        <w:rPr>
          <w:rStyle w:val="htmlcodes"/>
        </w:rPr>
        <w:t>&lt;pre&gt;&lt;a name=e11d4&gt;</w:t>
      </w:r>
      <w:r>
        <w:t>11.4)</w:t>
      </w:r>
      <w:r>
        <w:tab/>
        <w:t>ny.mai</w:t>
      </w:r>
    </w:p>
    <w:p w:rsidR="00B72047" w:rsidRDefault="00B72047">
      <w:pPr>
        <w:pStyle w:val="examplescaled"/>
      </w:pPr>
      <w:r>
        <w:tab/>
        <w:t>Nthly</w:t>
      </w:r>
    </w:p>
    <w:p w:rsidR="00B72047" w:rsidRDefault="00B72047" w:rsidP="007E67C1">
      <w:pPr>
        <w:pStyle w:val="Listjustified"/>
        <w:numPr>
          <w:ilvl w:val="0"/>
          <w:numId w:val="2"/>
        </w:numPr>
        <w:ind w:left="792" w:hanging="432"/>
      </w:pPr>
      <w:r>
        <w:rPr>
          <w:rStyle w:val="htmlcodes"/>
        </w:rPr>
        <w:t>&lt;/pre&gt;</w:t>
      </w:r>
      <w:r>
        <w:rPr>
          <w:rStyle w:val="indexentry"/>
        </w:rPr>
        <w:t>&lt;cx "lerfu string, as subscript"&gt;</w:t>
      </w:r>
      <w:r>
        <w:rPr>
          <w:rStyle w:val="indexentry"/>
        </w:rPr>
        <w:fldChar w:fldCharType="begin"/>
      </w:r>
      <w:r>
        <w:instrText>xe "</w:instrText>
      </w:r>
      <w:r>
        <w:rPr>
          <w:rStyle w:val="xeentry"/>
        </w:rPr>
        <w:instrText>lerfu string: as subscript</w:instrText>
      </w:r>
      <w:r>
        <w:instrText>"</w:instrText>
      </w:r>
      <w:r>
        <w:rPr>
          <w:rStyle w:val="indexentry"/>
        </w:rPr>
        <w:fldChar w:fldCharType="end"/>
      </w:r>
      <w:r>
        <w:rPr>
          <w:rStyle w:val="indexentry"/>
        </w:rPr>
        <w:t>&lt;cx "subscript, lerfu string as"&gt;</w:t>
      </w:r>
      <w:r>
        <w:rPr>
          <w:rStyle w:val="indexentry"/>
        </w:rPr>
        <w:fldChar w:fldCharType="begin"/>
      </w:r>
      <w:r>
        <w:instrText>xe "</w:instrText>
      </w:r>
      <w:r>
        <w:rPr>
          <w:rStyle w:val="xeentry"/>
        </w:rPr>
        <w:instrText>subscripts: lerfu string as</w:instrText>
      </w:r>
      <w:r>
        <w:instrText>"</w:instrText>
      </w:r>
      <w:r>
        <w:rPr>
          <w:rStyle w:val="indexentry"/>
        </w:rPr>
        <w:fldChar w:fldCharType="end"/>
      </w:r>
      <w:r>
        <w:t>A lerfu string as subscript (preceded by “xi” of selma'o XI):</w:t>
      </w:r>
    </w:p>
    <w:p w:rsidR="00B72047" w:rsidRDefault="00B72047">
      <w:pPr>
        <w:rPr>
          <w:rStyle w:val="htmlparacode"/>
        </w:rPr>
      </w:pPr>
      <w:r>
        <w:rPr>
          <w:rStyle w:val="htmlparacode"/>
        </w:rPr>
        <w:t>&lt;p&gt;</w:t>
      </w:r>
    </w:p>
    <w:p w:rsidR="00B72047" w:rsidRDefault="00B72047">
      <w:pPr>
        <w:pStyle w:val="examplescaledpre"/>
      </w:pPr>
      <w:r>
        <w:rPr>
          <w:rStyle w:val="indexentry"/>
        </w:rPr>
        <w:t>&lt;ex "x sub k"&gt;</w:t>
      </w:r>
      <w:r>
        <w:rPr>
          <w:rStyle w:val="indexentry"/>
        </w:rPr>
        <w:fldChar w:fldCharType="begin"/>
      </w:r>
      <w:r>
        <w:instrText>xe "</w:instrText>
      </w:r>
      <w:r>
        <w:rPr>
          <w:rStyle w:val="xeentry"/>
        </w:rPr>
        <w:instrText>x{k}: x sub k, example</w:instrText>
      </w:r>
      <w:r>
        <w:instrText>"</w:instrText>
      </w:r>
      <w:r>
        <w:rPr>
          <w:rStyle w:val="indexentry"/>
        </w:rPr>
        <w:fldChar w:fldCharType="end"/>
      </w:r>
      <w:r>
        <w:rPr>
          <w:rStyle w:val="htmlcodes"/>
        </w:rPr>
        <w:t>&lt;pre&gt;&lt;a name=e11d5&gt;</w:t>
      </w:r>
      <w:r>
        <w:t>11.5)</w:t>
      </w:r>
      <w:r>
        <w:tab/>
        <w:t>xy. xi ky.</w:t>
      </w:r>
    </w:p>
    <w:p w:rsidR="00B72047" w:rsidRDefault="00B72047">
      <w:pPr>
        <w:pStyle w:val="examplescaled"/>
      </w:pPr>
      <w:r>
        <w:tab/>
        <w:t>x sub k</w:t>
      </w:r>
    </w:p>
    <w:p w:rsidR="00B72047" w:rsidRDefault="00B72047" w:rsidP="007E67C1">
      <w:pPr>
        <w:pStyle w:val="Listjustified"/>
        <w:numPr>
          <w:ilvl w:val="0"/>
          <w:numId w:val="2"/>
        </w:numPr>
        <w:ind w:left="792" w:hanging="432"/>
      </w:pPr>
      <w:r>
        <w:rPr>
          <w:rStyle w:val="htmlcodes"/>
        </w:rPr>
        <w:t>&lt;/pre&gt;</w:t>
      </w:r>
      <w:r>
        <w:rPr>
          <w:rStyle w:val="indexentry"/>
        </w:rPr>
        <w:t>&lt;cx "lerfu string, as quantifier"&gt;</w:t>
      </w:r>
      <w:r>
        <w:rPr>
          <w:rStyle w:val="indexentry"/>
        </w:rPr>
        <w:fldChar w:fldCharType="begin"/>
      </w:r>
      <w:r>
        <w:instrText>xe "</w:instrText>
      </w:r>
      <w:r>
        <w:rPr>
          <w:rStyle w:val="xeentry"/>
        </w:rPr>
        <w:instrText>lerfu string: as quantifier</w:instrText>
      </w:r>
      <w:r>
        <w:instrText>"</w:instrText>
      </w:r>
      <w:r>
        <w:rPr>
          <w:rStyle w:val="indexentry"/>
        </w:rPr>
        <w:fldChar w:fldCharType="end"/>
      </w:r>
      <w:r>
        <w:rPr>
          <w:rStyle w:val="indexentry"/>
        </w:rPr>
        <w:t>&lt;cx "quantifier, lerfu string as"&gt;</w:t>
      </w:r>
      <w:r>
        <w:rPr>
          <w:rStyle w:val="indexentry"/>
        </w:rPr>
        <w:fldChar w:fldCharType="begin"/>
      </w:r>
      <w:r>
        <w:instrText>xe "</w:instrText>
      </w:r>
      <w:r>
        <w:rPr>
          <w:rStyle w:val="xeentry"/>
        </w:rPr>
        <w:instrText>quantifier: lerfu string as</w:instrText>
      </w:r>
      <w:r>
        <w:instrText>"</w:instrText>
      </w:r>
      <w:r>
        <w:rPr>
          <w:rStyle w:val="indexentry"/>
        </w:rPr>
        <w:fldChar w:fldCharType="end"/>
      </w:r>
      <w:r>
        <w:t>A lerfu string as quantifier (enclosed in “vei </w:t>
      </w:r>
      <w:r>
        <w:rPr>
          <w:rStyle w:val="htmlcodes"/>
        </w:rPr>
        <w:t>&lt;dots&gt;</w:t>
      </w:r>
      <w:r>
        <w:t>…</w:t>
      </w:r>
      <w:r>
        <w:rPr>
          <w:rStyle w:val="htmlcodes"/>
        </w:rPr>
        <w:t>&lt;/dots&gt;</w:t>
      </w:r>
      <w:r>
        <w:t>ve'o” parentheses):</w:t>
      </w:r>
    </w:p>
    <w:p w:rsidR="00B72047" w:rsidRDefault="00B72047">
      <w:pPr>
        <w:rPr>
          <w:rStyle w:val="htmlparacode"/>
        </w:rPr>
      </w:pPr>
      <w:r>
        <w:rPr>
          <w:rStyle w:val="htmlparacode"/>
        </w:rPr>
        <w:t>&lt;p&gt;</w:t>
      </w:r>
    </w:p>
    <w:p w:rsidR="00B72047" w:rsidRDefault="00B72047">
      <w:pPr>
        <w:pStyle w:val="examplescaledpre"/>
      </w:pPr>
      <w:r>
        <w:rPr>
          <w:rStyle w:val="indexentry"/>
        </w:rPr>
        <w:t>&lt;ex "n people"&gt;</w:t>
      </w:r>
      <w:r>
        <w:rPr>
          <w:rStyle w:val="indexentry"/>
        </w:rPr>
        <w:fldChar w:fldCharType="begin"/>
      </w:r>
      <w:r>
        <w:instrText>xe "</w:instrText>
      </w:r>
      <w:r>
        <w:rPr>
          <w:rStyle w:val="xeentry"/>
        </w:rPr>
        <w:instrText>n people: example</w:instrText>
      </w:r>
      <w:r>
        <w:instrText>"</w:instrText>
      </w:r>
      <w:r>
        <w:rPr>
          <w:rStyle w:val="indexentry"/>
        </w:rPr>
        <w:fldChar w:fldCharType="end"/>
      </w:r>
      <w:r>
        <w:rPr>
          <w:rStyle w:val="indexentry"/>
        </w:rPr>
        <w:t>&lt;lx "vei"&gt;</w:t>
      </w:r>
      <w:r>
        <w:rPr>
          <w:rStyle w:val="indexentry"/>
        </w:rPr>
        <w:fldChar w:fldCharType="begin"/>
      </w:r>
      <w:r>
        <w:instrText>xe "</w:instrText>
      </w:r>
      <w:r>
        <w:rPr>
          <w:rStyle w:val="xeentry"/>
        </w:rPr>
        <w:instrText>vei</w:instrText>
      </w:r>
      <w:r>
        <w:instrText>"</w:instrText>
      </w:r>
      <w:r>
        <w:rPr>
          <w:rStyle w:val="indexentry"/>
        </w:rPr>
        <w:fldChar w:fldCharType="end"/>
      </w:r>
      <w:r>
        <w:rPr>
          <w:rStyle w:val="htmlcodes"/>
        </w:rPr>
        <w:t>&lt;pre&gt;&lt;a name=e11d6&gt;</w:t>
      </w:r>
      <w:r>
        <w:t>11.6)</w:t>
      </w:r>
      <w:r>
        <w:tab/>
        <w:t>vei ny. [ve'o] lo prenu</w:t>
      </w:r>
    </w:p>
    <w:p w:rsidR="00B72047" w:rsidRDefault="00B72047">
      <w:pPr>
        <w:pStyle w:val="examplescaled"/>
      </w:pPr>
      <w:r>
        <w:tab/>
        <w:t>(“n” ) persons</w:t>
      </w:r>
    </w:p>
    <w:p w:rsidR="00B72047" w:rsidRDefault="00B72047">
      <w:pPr>
        <w:pStyle w:val="normalafterexample"/>
      </w:pPr>
      <w:r>
        <w:rPr>
          <w:rStyle w:val="htmlcodes"/>
        </w:rPr>
        <w:t>&lt;/pre&gt;</w:t>
      </w:r>
      <w:r>
        <w:rPr>
          <w:rStyle w:val="indexentry"/>
        </w:rPr>
        <w:t>&lt;cx "lerfu strings as quantifiers, avoiding interaction with sumti quantified"&gt;</w:t>
      </w:r>
      <w:r>
        <w:rPr>
          <w:rStyle w:val="indexentry"/>
        </w:rPr>
        <w:fldChar w:fldCharType="begin"/>
      </w:r>
      <w:r>
        <w:instrText>xe "</w:instrText>
      </w:r>
      <w:r>
        <w:rPr>
          <w:rStyle w:val="xeentry"/>
        </w:rPr>
        <w:instrText>lerfu string: as quantifier, avoiding interaction with sumti quantifier</w:instrText>
      </w:r>
      <w:r>
        <w:instrText>"</w:instrText>
      </w:r>
      <w:r>
        <w:rPr>
          <w:rStyle w:val="indexentry"/>
        </w:rPr>
        <w:fldChar w:fldCharType="end"/>
      </w:r>
      <w:r>
        <w:t>The parentheses are required because “ny. lo prenu” would be two separate</w:t>
      </w:r>
      <w:r>
        <w:rPr>
          <w:rStyle w:val="deletedparamark"/>
        </w:rPr>
        <w:t xml:space="preserve"> </w:t>
      </w:r>
      <w:r>
        <w:t>sumti, “ny.” and “lo prenu”. In general, any mathematical expression</w:t>
      </w:r>
      <w:r>
        <w:rPr>
          <w:rStyle w:val="deletedparamark"/>
        </w:rPr>
        <w:t xml:space="preserve"> </w:t>
      </w:r>
      <w:r>
        <w:t>other than a simple nu</w:t>
      </w:r>
      <w:r>
        <w:t>m</w:t>
      </w:r>
      <w:r>
        <w:softHyphen/>
        <w:t>ber must be in parentheses when used as a quantifier;</w:t>
      </w:r>
      <w:r>
        <w:rPr>
          <w:rStyle w:val="deletedparamark"/>
        </w:rPr>
        <w:t xml:space="preserve"> </w:t>
      </w:r>
      <w:r>
        <w:t>the right parenthesis mark, the cmavo “ve'o”, can usually be elided.</w:t>
      </w:r>
    </w:p>
    <w:p w:rsidR="00B72047" w:rsidRDefault="00B72047">
      <w:pPr>
        <w:rPr>
          <w:rStyle w:val="htmlparacode"/>
        </w:rPr>
      </w:pPr>
      <w:r>
        <w:rPr>
          <w:rStyle w:val="htmlparacode"/>
        </w:rPr>
        <w:t>&lt;p&gt;</w:t>
      </w:r>
    </w:p>
    <w:p w:rsidR="00B72047" w:rsidRDefault="00B72047">
      <w:pPr>
        <w:pStyle w:val="normalafterexample"/>
      </w:pPr>
      <w:r>
        <w:rPr>
          <w:rStyle w:val="indexentry"/>
        </w:rPr>
        <w:t>&lt;cx "lerfu string interpretation, contrasted with mathematical interpretation"&gt;</w:t>
      </w:r>
      <w:r>
        <w:rPr>
          <w:rStyle w:val="indexentry"/>
        </w:rPr>
        <w:fldChar w:fldCharType="begin"/>
      </w:r>
      <w:r>
        <w:instrText>xe "</w:instrText>
      </w:r>
      <w:r>
        <w:rPr>
          <w:rStyle w:val="xeentry"/>
        </w:rPr>
        <w:instrText>lerfu string: interpretation, contrasted with mathematical interpretation</w:instrText>
      </w:r>
      <w:r>
        <w:instrText>"</w:instrText>
      </w:r>
      <w:r>
        <w:rPr>
          <w:rStyle w:val="indexentry"/>
        </w:rPr>
        <w:fldChar w:fldCharType="end"/>
      </w:r>
      <w:r>
        <w:rPr>
          <w:rStyle w:val="indexentry"/>
        </w:rPr>
        <w:t>&lt;cx "lerfu juxtaposition interpretation, contrasted with mathematical interpretation"&gt;</w:t>
      </w:r>
      <w:r>
        <w:rPr>
          <w:rStyle w:val="indexentry"/>
        </w:rPr>
        <w:fldChar w:fldCharType="begin"/>
      </w:r>
      <w:r>
        <w:instrText>xe "</w:instrText>
      </w:r>
      <w:r>
        <w:rPr>
          <w:rStyle w:val="xeentry"/>
        </w:rPr>
        <w:instrText>lerfu juxtaposition interpretation: contrasted with mathematical interpretation</w:instrText>
      </w:r>
      <w:r>
        <w:instrText>"</w:instrText>
      </w:r>
      <w:r>
        <w:rPr>
          <w:rStyle w:val="indexentry"/>
        </w:rPr>
        <w:fldChar w:fldCharType="end"/>
      </w:r>
      <w:r>
        <w:t>All the examples above have exhibited single lerfu words rather than lerfu</w:t>
      </w:r>
      <w:r>
        <w:rPr>
          <w:rStyle w:val="deletedparamark"/>
        </w:rPr>
        <w:t xml:space="preserve"> </w:t>
      </w:r>
      <w:r>
        <w:t>strings, in accordance with the conventions of ordinary mathematics. A</w:t>
      </w:r>
      <w:r>
        <w:rPr>
          <w:rStyle w:val="deletedparamark"/>
        </w:rPr>
        <w:t xml:space="preserve"> </w:t>
      </w:r>
      <w:r>
        <w:t>longer lerfu string would still be treated as a single variable or function</w:t>
      </w:r>
      <w:r>
        <w:rPr>
          <w:rStyle w:val="deletedparamark"/>
        </w:rPr>
        <w:t xml:space="preserve"> </w:t>
      </w:r>
      <w:r>
        <w:t xml:space="preserve">name: in Lojban, “.abu by. cy.” is not the multiplication “a </w:t>
      </w:r>
      <w:r>
        <w:sym w:font="Symbol" w:char="F0B4"/>
      </w:r>
      <w:r>
        <w:t xml:space="preserve"> b </w:t>
      </w:r>
      <w:r>
        <w:sym w:font="Symbol" w:char="F0B4"/>
      </w:r>
      <w:r>
        <w:t xml:space="preserve"> c” but</w:t>
      </w:r>
      <w:r>
        <w:rPr>
          <w:rStyle w:val="deletedparamark"/>
        </w:rPr>
        <w:t xml:space="preserve"> </w:t>
      </w:r>
      <w:r>
        <w:t>is the variable “abc”. (Of course, a local convention could be employed that made</w:t>
      </w:r>
      <w:r>
        <w:rPr>
          <w:rStyle w:val="deletedparamark"/>
        </w:rPr>
        <w:t xml:space="preserve"> </w:t>
      </w:r>
      <w:r>
        <w:t>the value of a variable like “abc”, with a multi-lerfu-word name, equal to</w:t>
      </w:r>
      <w:r>
        <w:rPr>
          <w:rStyle w:val="deletedparamark"/>
        </w:rPr>
        <w:t xml:space="preserve"> </w:t>
      </w:r>
      <w:r>
        <w:t>the values of the variables “a”, “b”, and “c” multiplied together.)</w:t>
      </w:r>
    </w:p>
    <w:p w:rsidR="00B72047" w:rsidRDefault="00B72047">
      <w:pPr>
        <w:rPr>
          <w:rStyle w:val="htmlparacode"/>
        </w:rPr>
      </w:pPr>
      <w:r>
        <w:rPr>
          <w:rStyle w:val="htmlparacode"/>
        </w:rPr>
        <w:t>&lt;p&gt;</w:t>
      </w:r>
    </w:p>
    <w:p w:rsidR="00B72047" w:rsidRDefault="00B72047">
      <w:pPr>
        <w:pStyle w:val="normalparagraph"/>
      </w:pPr>
      <w:r>
        <w:rPr>
          <w:rStyle w:val="indexentry"/>
        </w:rPr>
        <w:t>&lt;cx "mathematical texts, effect on lerfu shift scope"&gt;</w:t>
      </w:r>
      <w:r>
        <w:rPr>
          <w:rStyle w:val="indexentry"/>
        </w:rPr>
        <w:fldChar w:fldCharType="begin"/>
      </w:r>
      <w:r>
        <w:instrText>xe "</w:instrText>
      </w:r>
      <w:r>
        <w:rPr>
          <w:rStyle w:val="xeentry"/>
        </w:rPr>
        <w:instrText>mathematical texts: effect on lerfu shift scope</w:instrText>
      </w:r>
      <w:r>
        <w:instrText>"</w:instrText>
      </w:r>
      <w:r>
        <w:rPr>
          <w:rStyle w:val="indexentry"/>
        </w:rPr>
        <w:fldChar w:fldCharType="end"/>
      </w:r>
      <w:r>
        <w:rPr>
          <w:rStyle w:val="indexentry"/>
        </w:rPr>
        <w:t>&lt;cx "lerfu shift scope, exception for mathematical texts"&gt;</w:t>
      </w:r>
      <w:r>
        <w:rPr>
          <w:rStyle w:val="indexentry"/>
        </w:rPr>
        <w:fldChar w:fldCharType="begin"/>
      </w:r>
      <w:r>
        <w:instrText>xe "</w:instrText>
      </w:r>
      <w:r>
        <w:rPr>
          <w:rStyle w:val="xeentry"/>
        </w:rPr>
        <w:instrText>lerfu shift scope: exception for mathematical texts</w:instrText>
      </w:r>
      <w:r>
        <w:instrText>"</w:instrText>
      </w:r>
      <w:r>
        <w:rPr>
          <w:rStyle w:val="indexentry"/>
        </w:rPr>
        <w:fldChar w:fldCharType="end"/>
      </w:r>
      <w:r>
        <w:t>There is a special rule about shift words in mathematical text: shifts</w:t>
      </w:r>
      <w:r>
        <w:rPr>
          <w:rStyle w:val="deletedparamark"/>
        </w:rPr>
        <w:t xml:space="preserve"> </w:t>
      </w:r>
      <w:r>
        <w:t>within math</w:t>
      </w:r>
      <w:r>
        <w:t>e</w:t>
      </w:r>
      <w:r>
        <w:softHyphen/>
        <w:t>matical expressions do not affect lerfu words appearing outside</w:t>
      </w:r>
      <w:r>
        <w:rPr>
          <w:rStyle w:val="deletedparamark"/>
        </w:rPr>
        <w:t xml:space="preserve"> </w:t>
      </w:r>
      <w:r>
        <w:rPr>
          <w:rStyle w:val="htmlcodes"/>
        </w:rPr>
        <w:t>&lt;dl compact&gt;&lt;dt&gt;</w:t>
      </w:r>
      <w:r>
        <w:t>mathematical expre</w:t>
      </w:r>
      <w:r>
        <w:t>s</w:t>
      </w:r>
      <w:r>
        <w:softHyphen/>
        <w:t>sions, and vice versa.</w:t>
      </w:r>
      <w:r>
        <w:tab/>
      </w:r>
      <w:r>
        <w:rPr>
          <w:rStyle w:val="htmlcodes"/>
        </w:rPr>
        <w:t>&lt;dd&gt;</w:t>
      </w:r>
    </w:p>
    <w:p w:rsidR="00B72047" w:rsidRDefault="00B72047">
      <w:pPr>
        <w:pStyle w:val="Heading3"/>
        <w:rPr>
          <w:rStyle w:val="Heading3Text"/>
        </w:rPr>
      </w:pPr>
      <w:r>
        <w:rPr>
          <w:rStyle w:val="htmlcodes"/>
        </w:rPr>
        <w:t>&lt;/dl&gt;&lt;a name=s12&gt;&lt;h3&gt;</w:t>
      </w:r>
      <w:bookmarkStart w:id="484" w:name="_Toc398970722"/>
      <w:r>
        <w:rPr>
          <w:rStyle w:val="Heading3Text"/>
        </w:rPr>
        <w:t>Acronyms</w:t>
      </w:r>
      <w:bookmarkEnd w:id="484"/>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"acronym, definition"&gt;</w:t>
      </w:r>
      <w:r>
        <w:rPr>
          <w:rStyle w:val="indexentry"/>
        </w:rPr>
        <w:fldChar w:fldCharType="begin"/>
      </w:r>
      <w:r>
        <w:instrText>xe "</w:instrText>
      </w:r>
      <w:r>
        <w:rPr>
          <w:rStyle w:val="xeentry"/>
        </w:rPr>
        <w:instrText>acronym: definition</w:instrText>
      </w:r>
      <w:r>
        <w:instrText>"</w:instrText>
      </w:r>
      <w:r>
        <w:rPr>
          <w:rStyle w:val="indexentry"/>
        </w:rPr>
        <w:fldChar w:fldCharType="end"/>
      </w:r>
      <w:r>
        <w:t>An acronym is a name constructed of lerfu. English examples are “DNA”,</w:t>
      </w:r>
      <w:r>
        <w:rPr>
          <w:rStyle w:val="deletedparamark"/>
        </w:rPr>
        <w:t xml:space="preserve"> “</w:t>
      </w:r>
      <w:r>
        <w:t>NATO”, “CIA”. In English, some of these are spelled out (like “DNA” and</w:t>
      </w:r>
      <w:r>
        <w:rPr>
          <w:rStyle w:val="deletedparamark"/>
        </w:rPr>
        <w:t xml:space="preserve"> “</w:t>
      </w:r>
      <w:r>
        <w:t>CIA”) and others are pronounced more or less as if they were ordinary</w:t>
      </w:r>
      <w:r>
        <w:rPr>
          <w:rStyle w:val="deletedparamark"/>
        </w:rPr>
        <w:t xml:space="preserve"> </w:t>
      </w:r>
      <w:r>
        <w:t>English words (like “NATO”). Some acronyms fluctuate between the two</w:t>
      </w:r>
      <w:r>
        <w:rPr>
          <w:rStyle w:val="deletedparamark"/>
        </w:rPr>
        <w:t xml:space="preserve"> </w:t>
      </w:r>
      <w:r>
        <w:t>pronunciations: “SQL” may be “ess cue ell” or “sequel”.</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"acronyms, using names based on lerfu words"&gt;</w:t>
      </w:r>
      <w:r>
        <w:rPr>
          <w:rStyle w:val="indexentry"/>
        </w:rPr>
        <w:fldChar w:fldCharType="begin"/>
      </w:r>
      <w:r>
        <w:instrText>xe "</w:instrText>
      </w:r>
      <w:r>
        <w:rPr>
          <w:rStyle w:val="xeentry"/>
        </w:rPr>
        <w:instrText>acronyms: using names based on lerfu words</w:instrText>
      </w:r>
      <w:r>
        <w:instrText>"</w:instrText>
      </w:r>
      <w:r>
        <w:rPr>
          <w:rStyle w:val="indexentry"/>
        </w:rPr>
        <w:fldChar w:fldCharType="end"/>
      </w:r>
      <w:r>
        <w:rPr>
          <w:rStyle w:val="indexentry"/>
        </w:rPr>
        <w:t>&lt;cx "lerfu words, as a basis for acronym names"&gt;</w:t>
      </w:r>
      <w:r>
        <w:rPr>
          <w:rStyle w:val="indexentry"/>
        </w:rPr>
        <w:fldChar w:fldCharType="begin"/>
      </w:r>
      <w:r>
        <w:instrText>xe "</w:instrText>
      </w:r>
      <w:r>
        <w:rPr>
          <w:rStyle w:val="xeentry"/>
        </w:rPr>
        <w:instrText>lerfu words: as a basis for acronym names</w:instrText>
      </w:r>
      <w:r>
        <w:instrText>"</w:instrText>
      </w:r>
      <w:r>
        <w:rPr>
          <w:rStyle w:val="indexentry"/>
        </w:rPr>
        <w:fldChar w:fldCharType="end"/>
      </w:r>
      <w:r>
        <w:t>In Lojban, a name can be almost any sequence of sounds that ends in a</w:t>
      </w:r>
      <w:r>
        <w:rPr>
          <w:rStyle w:val="deletedparamark"/>
        </w:rPr>
        <w:t xml:space="preserve"> </w:t>
      </w:r>
      <w:r>
        <w:t>conso</w:t>
      </w:r>
      <w:r>
        <w:softHyphen/>
        <w:t>nant and is followed by a pause. The easiest way to Lojbanize</w:t>
      </w:r>
      <w:r>
        <w:rPr>
          <w:rStyle w:val="deletedparamark"/>
        </w:rPr>
        <w:t xml:space="preserve"> </w:t>
      </w:r>
      <w:r>
        <w:t>acronym names is to glue the lerfu words together, using “ ' ”wherever</w:t>
      </w:r>
      <w:r>
        <w:rPr>
          <w:rStyle w:val="deletedparamark"/>
        </w:rPr>
        <w:t xml:space="preserve"> </w:t>
      </w:r>
      <w:r>
        <w:t>two vowels would come together (pauses are illegal in names) and adding</w:t>
      </w:r>
      <w:r>
        <w:rPr>
          <w:rStyle w:val="deletedparamark"/>
        </w:rPr>
        <w:t xml:space="preserve"> </w:t>
      </w:r>
      <w:r>
        <w:t>a final consonant:</w:t>
      </w:r>
    </w:p>
    <w:p w:rsidR="00B72047" w:rsidRDefault="00B72047">
      <w:pPr>
        <w:rPr>
          <w:rStyle w:val="htmlparacode"/>
        </w:rPr>
      </w:pPr>
      <w:r>
        <w:rPr>
          <w:rStyle w:val="htmlparacode"/>
        </w:rPr>
        <w:t>&lt;p&gt;</w:t>
      </w:r>
    </w:p>
    <w:p w:rsidR="00B72047" w:rsidRDefault="00B72047">
      <w:pPr>
        <w:pStyle w:val="examplescaledpre"/>
      </w:pPr>
      <w:r>
        <w:rPr>
          <w:rStyle w:val="indexentry"/>
        </w:rPr>
        <w:t>&lt;ex "DNA"&gt;</w:t>
      </w:r>
      <w:r>
        <w:rPr>
          <w:rStyle w:val="indexentry"/>
        </w:rPr>
        <w:fldChar w:fldCharType="begin"/>
      </w:r>
      <w:r>
        <w:instrText>xe "</w:instrText>
      </w:r>
      <w:r>
        <w:rPr>
          <w:rStyle w:val="xeentry"/>
        </w:rPr>
        <w:instrText>DNA: example</w:instrText>
      </w:r>
      <w:r>
        <w:instrText>"</w:instrText>
      </w:r>
      <w:r>
        <w:rPr>
          <w:rStyle w:val="indexentry"/>
        </w:rPr>
        <w:fldChar w:fldCharType="end"/>
      </w:r>
      <w:r>
        <w:rPr>
          <w:rStyle w:val="indexentry"/>
        </w:rPr>
        <w:t>&lt;ex "CIA"&gt;</w:t>
      </w:r>
      <w:r>
        <w:rPr>
          <w:rStyle w:val="indexentry"/>
        </w:rPr>
        <w:fldChar w:fldCharType="begin"/>
      </w:r>
      <w:r>
        <w:instrText>xe "</w:instrText>
      </w:r>
      <w:r>
        <w:rPr>
          <w:rStyle w:val="xeentry"/>
        </w:rPr>
        <w:instrText>CIA: example</w:instrText>
      </w:r>
      <w:r>
        <w:instrText>"</w:instrText>
      </w:r>
      <w:r>
        <w:rPr>
          <w:rStyle w:val="indexentry"/>
        </w:rPr>
        <w:fldChar w:fldCharType="end"/>
      </w:r>
      <w:r>
        <w:rPr>
          <w:rStyle w:val="indexentry"/>
        </w:rPr>
        <w:t>&lt;ex "IBM"&gt;</w:t>
      </w:r>
      <w:r>
        <w:rPr>
          <w:rStyle w:val="indexentry"/>
        </w:rPr>
        <w:fldChar w:fldCharType="begin"/>
      </w:r>
      <w:r>
        <w:instrText>xe "</w:instrText>
      </w:r>
      <w:r>
        <w:rPr>
          <w:rStyle w:val="xeentry"/>
        </w:rPr>
        <w:instrText>IBM: example</w:instrText>
      </w:r>
      <w:r>
        <w:instrText>"</w:instrText>
      </w:r>
      <w:r>
        <w:rPr>
          <w:rStyle w:val="indexentry"/>
        </w:rPr>
        <w:fldChar w:fldCharType="end"/>
      </w:r>
      <w:r>
        <w:rPr>
          <w:rStyle w:val="indexentry"/>
        </w:rPr>
        <w:t>&lt;ex "NATO"&gt;</w:t>
      </w:r>
      <w:r>
        <w:rPr>
          <w:rStyle w:val="indexentry"/>
        </w:rPr>
        <w:fldChar w:fldCharType="begin"/>
      </w:r>
      <w:r>
        <w:instrText>xe "</w:instrText>
      </w:r>
      <w:r>
        <w:rPr>
          <w:rStyle w:val="xeentry"/>
        </w:rPr>
        <w:instrText>NATO: example</w:instrText>
      </w:r>
      <w:r>
        <w:instrText>"</w:instrText>
      </w:r>
      <w:r>
        <w:rPr>
          <w:rStyle w:val="indexentry"/>
        </w:rPr>
        <w:fldChar w:fldCharType="end"/>
      </w:r>
      <w:r>
        <w:rPr>
          <w:rStyle w:val="indexentry"/>
        </w:rPr>
        <w:t>&lt;ex "SQL"&gt;</w:t>
      </w:r>
      <w:r>
        <w:rPr>
          <w:rStyle w:val="indexentry"/>
        </w:rPr>
        <w:fldChar w:fldCharType="begin"/>
      </w:r>
      <w:r>
        <w:instrText>xe "</w:instrText>
      </w:r>
      <w:r>
        <w:rPr>
          <w:rStyle w:val="xeentry"/>
        </w:rPr>
        <w:instrText>SQL: example</w:instrText>
      </w:r>
      <w:r>
        <w:instrText>"</w:instrText>
      </w:r>
      <w:r>
        <w:rPr>
          <w:rStyle w:val="indexentry"/>
        </w:rPr>
        <w:fldChar w:fldCharType="end"/>
      </w:r>
      <w:r>
        <w:rPr>
          <w:rStyle w:val="indexentry"/>
        </w:rPr>
        <w:t>&lt;ex "NYC"&gt;</w:t>
      </w:r>
      <w:r>
        <w:rPr>
          <w:rStyle w:val="indexentry"/>
        </w:rPr>
        <w:fldChar w:fldCharType="begin"/>
      </w:r>
      <w:r>
        <w:instrText>xe "</w:instrText>
      </w:r>
      <w:r>
        <w:rPr>
          <w:rStyle w:val="xeentry"/>
        </w:rPr>
        <w:instrText>NYC: example</w:instrText>
      </w:r>
      <w:r>
        <w:instrText>"</w:instrText>
      </w:r>
      <w:r>
        <w:rPr>
          <w:rStyle w:val="indexentry"/>
        </w:rPr>
        <w:fldChar w:fldCharType="end"/>
      </w:r>
      <w:r>
        <w:rPr>
          <w:rStyle w:val="htmlcodes"/>
        </w:rPr>
        <w:t>&lt;pre&gt;&lt;a name=e12d1&gt;</w:t>
      </w:r>
      <w:r>
        <w:t>12.1)</w:t>
      </w:r>
      <w:r>
        <w:tab/>
        <w:t>la dyny'abub.  .i la ny'abuty'obub.</w:t>
      </w:r>
    </w:p>
    <w:p w:rsidR="00B72047" w:rsidRDefault="00B72047">
      <w:pPr>
        <w:pStyle w:val="examplescaled"/>
      </w:pPr>
      <w:r>
        <w:tab/>
        <w:t>.i la cy'ibu'abub.  .i la sykybulyl.</w:t>
      </w:r>
    </w:p>
    <w:p w:rsidR="00B72047" w:rsidRDefault="00B72047">
      <w:pPr>
        <w:pStyle w:val="examplescaled"/>
      </w:pPr>
      <w:r>
        <w:tab/>
        <w:t>.i la .ibubymym.  .i la ny'ybucyc.</w:t>
      </w:r>
    </w:p>
    <w:p w:rsidR="00B72047" w:rsidRDefault="00B72047">
      <w:pPr>
        <w:pStyle w:val="examplescaled"/>
      </w:pPr>
      <w:r>
        <w:tab/>
        <w:t>DNA.  NATO.</w:t>
      </w:r>
    </w:p>
    <w:p w:rsidR="00B72047" w:rsidRDefault="00B72047">
      <w:pPr>
        <w:pStyle w:val="examplescaled"/>
      </w:pPr>
      <w:r>
        <w:tab/>
        <w:t>CIA.  SQL.</w:t>
      </w:r>
    </w:p>
    <w:p w:rsidR="00B72047" w:rsidRDefault="00B72047">
      <w:pPr>
        <w:pStyle w:val="examplescaled"/>
      </w:pPr>
      <w:r>
        <w:tab/>
        <w:t>IBM.  NYC.</w:t>
      </w:r>
    </w:p>
    <w:p w:rsidR="00B72047" w:rsidRDefault="00B72047">
      <w:pPr>
        <w:pStyle w:val="resumedafterexample"/>
      </w:pPr>
      <w:r>
        <w:rPr>
          <w:rStyle w:val="htmlcodes"/>
        </w:rPr>
        <w:t>&lt;/pre&gt;</w:t>
      </w:r>
      <w:r>
        <w:rPr>
          <w:rStyle w:val="indexentry"/>
        </w:rPr>
        <w:t>&lt;cx "acronym names from lerfu words, assigning final consonant"&gt;</w:t>
      </w:r>
      <w:r>
        <w:rPr>
          <w:rStyle w:val="indexentry"/>
        </w:rPr>
        <w:fldChar w:fldCharType="begin"/>
      </w:r>
      <w:r>
        <w:instrText>xe "</w:instrText>
      </w:r>
      <w:r>
        <w:rPr>
          <w:rStyle w:val="xeentry"/>
        </w:rPr>
        <w:instrText>acronym names from lerfu words: assigning final consonant</w:instrText>
      </w:r>
      <w:r>
        <w:instrText>"</w:instrText>
      </w:r>
      <w:r>
        <w:rPr>
          <w:rStyle w:val="indexentry"/>
        </w:rPr>
        <w:fldChar w:fldCharType="end"/>
      </w:r>
      <w:r>
        <w:t>There is no fixed convention for assigning the final consonant. In</w:t>
      </w:r>
      <w:r>
        <w:rPr>
          <w:rStyle w:val="deletedparamark"/>
        </w:rPr>
        <w:t xml:space="preserve"> </w:t>
      </w:r>
      <w:r>
        <w:rPr>
          <w:rStyle w:val="htmlcodes"/>
        </w:rPr>
        <w:t>&lt;a href=#e12d1&gt;</w:t>
      </w:r>
      <w:r>
        <w:t>Example 12.1</w:t>
      </w:r>
      <w:r>
        <w:rPr>
          <w:rStyle w:val="htmlcodes"/>
        </w:rPr>
        <w:t>&lt;/a&gt;</w:t>
      </w:r>
      <w:r>
        <w:t>, the last consonant of the lerfu string has been replicated</w:t>
      </w:r>
      <w:r>
        <w:rPr>
          <w:rStyle w:val="deletedparamark"/>
        </w:rPr>
        <w:t xml:space="preserve"> </w:t>
      </w:r>
      <w:r>
        <w:t>into final position.</w:t>
      </w:r>
    </w:p>
    <w:p w:rsidR="00B72047" w:rsidRDefault="00B72047">
      <w:pPr>
        <w:rPr>
          <w:rStyle w:val="htmlparacode"/>
        </w:rPr>
      </w:pPr>
      <w:r>
        <w:rPr>
          <w:rStyle w:val="htmlparacode"/>
        </w:rPr>
        <w:t>&lt;p&gt;</w:t>
      </w:r>
    </w:p>
    <w:p w:rsidR="00B72047" w:rsidRDefault="00B72047">
      <w:pPr>
        <w:pStyle w:val="normalparagraph"/>
      </w:pPr>
      <w:r>
        <w:rPr>
          <w:rStyle w:val="indexentry"/>
        </w:rPr>
        <w:t>&lt;cx "acronyms names based on lerfu words, omitting bu"&gt;</w:t>
      </w:r>
      <w:r>
        <w:rPr>
          <w:rStyle w:val="indexentry"/>
        </w:rPr>
        <w:fldChar w:fldCharType="begin"/>
      </w:r>
      <w:r>
        <w:instrText>xe "</w:instrText>
      </w:r>
      <w:r>
        <w:rPr>
          <w:rStyle w:val="xeentry"/>
        </w:rPr>
        <w:instrText>acronyms names based on lerfu words: omitting bu</w:instrText>
      </w:r>
      <w:r>
        <w:instrText>"</w:instrText>
      </w:r>
      <w:r>
        <w:rPr>
          <w:rStyle w:val="indexentry"/>
        </w:rPr>
        <w:fldChar w:fldCharType="end"/>
      </w:r>
      <w:r>
        <w:rPr>
          <w:rStyle w:val="indexentry"/>
        </w:rPr>
        <w:t>&lt;cx "bu, omitting in acronyms names based on lerfu words"&gt;</w:t>
      </w:r>
      <w:r>
        <w:rPr>
          <w:rStyle w:val="indexentry"/>
        </w:rPr>
        <w:fldChar w:fldCharType="begin"/>
      </w:r>
      <w:r>
        <w:instrText>xe "</w:instrText>
      </w:r>
      <w:r>
        <w:rPr>
          <w:rStyle w:val="xeentry"/>
        </w:rPr>
        <w:instrText>bu: omitting in acronyms names based on lerfu words</w:instrText>
      </w:r>
      <w:r>
        <w:instrText>"</w:instrText>
      </w:r>
      <w:r>
        <w:rPr>
          <w:rStyle w:val="indexentry"/>
        </w:rPr>
        <w:fldChar w:fldCharType="end"/>
      </w:r>
      <w:r>
        <w:t>Some compression can be done by leaving out “bu” after vowel lerfu words</w:t>
      </w:r>
      <w:r>
        <w:rPr>
          <w:rStyle w:val="deletedparamark"/>
        </w:rPr>
        <w:t xml:space="preserve"> </w:t>
      </w:r>
      <w:r>
        <w:t>(except for “.y.bu”, wherein the “bu” cannot be omitted without ambiguity).</w:t>
      </w:r>
      <w:r>
        <w:rPr>
          <w:rStyle w:val="deletedparamark"/>
        </w:rPr>
        <w:t xml:space="preserve"> </w:t>
      </w:r>
      <w:r>
        <w:t>Compres</w:t>
      </w:r>
      <w:r>
        <w:softHyphen/>
        <w:t>sion is moderately important because it's hard to say long names</w:t>
      </w:r>
      <w:r>
        <w:rPr>
          <w:rStyle w:val="deletedparamark"/>
        </w:rPr>
        <w:t xml:space="preserve"> </w:t>
      </w:r>
      <w:r>
        <w:t>without introducing an invo</w:t>
      </w:r>
      <w:r>
        <w:t>l</w:t>
      </w:r>
      <w:r>
        <w:softHyphen/>
        <w:t>untary (and illegal) pause: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name=e12d2&gt;</w:t>
      </w:r>
      <w:r>
        <w:t>12.2)</w:t>
      </w:r>
      <w:r>
        <w:tab/>
        <w:t>la dyny'am.  .i la ny'aty'om.</w:t>
      </w:r>
    </w:p>
    <w:p w:rsidR="00B72047" w:rsidRDefault="00B72047">
      <w:pPr>
        <w:pStyle w:val="examplescaled"/>
      </w:pPr>
      <w:r>
        <w:tab/>
        <w:t>.i la cy'i'am.  .i la sykybulym.</w:t>
      </w:r>
    </w:p>
    <w:p w:rsidR="00B72047" w:rsidRDefault="00B72047">
      <w:pPr>
        <w:pStyle w:val="examplescaled"/>
      </w:pPr>
      <w:r>
        <w:tab/>
        <w:t>.i la .ibymym.  .i la ny'ybucym.</w:t>
      </w:r>
    </w:p>
    <w:p w:rsidR="00B72047" w:rsidRDefault="00B72047">
      <w:pPr>
        <w:pStyle w:val="examplescaled"/>
      </w:pPr>
      <w:r>
        <w:tab/>
        <w:t>DNA.  NATO.</w:t>
      </w:r>
    </w:p>
    <w:p w:rsidR="00B72047" w:rsidRDefault="00B72047">
      <w:pPr>
        <w:pStyle w:val="examplescaled"/>
      </w:pPr>
      <w:r>
        <w:tab/>
        <w:t>CIA.  SQL.</w:t>
      </w:r>
    </w:p>
    <w:p w:rsidR="00B72047" w:rsidRDefault="00B72047">
      <w:pPr>
        <w:pStyle w:val="examplescaled"/>
      </w:pPr>
      <w:r>
        <w:tab/>
        <w:t>IBM.  NYC.</w:t>
      </w:r>
    </w:p>
    <w:p w:rsidR="00B72047" w:rsidRDefault="00B72047">
      <w:pPr>
        <w:pStyle w:val="resumedafterexample"/>
      </w:pPr>
      <w:r>
        <w:rPr>
          <w:rStyle w:val="htmlcodes"/>
        </w:rPr>
        <w:t>&lt;/pre&gt;&lt;p&gt;</w:t>
      </w:r>
      <w:r>
        <w:t xml:space="preserve">In </w:t>
      </w:r>
      <w:r>
        <w:rPr>
          <w:rStyle w:val="htmlcodes"/>
        </w:rPr>
        <w:t>&lt;a href=#e12d2&gt;</w:t>
      </w:r>
      <w:r>
        <w:t>Example 12.2</w:t>
      </w:r>
      <w:r>
        <w:rPr>
          <w:rStyle w:val="htmlcodes"/>
        </w:rPr>
        <w:t>&lt;/a&gt;</w:t>
      </w:r>
      <w:r>
        <w:t>, the final consonant “m” stands for “merko”, indicating</w:t>
      </w:r>
      <w:r>
        <w:rPr>
          <w:rStyle w:val="deletedparamark"/>
        </w:rPr>
        <w:t xml:space="preserve"> </w:t>
      </w:r>
      <w:r>
        <w:t>the source cu</w:t>
      </w:r>
      <w:r>
        <w:t>l</w:t>
      </w:r>
      <w:r>
        <w:softHyphen/>
        <w:t>ture of these acronyms.</w:t>
      </w:r>
    </w:p>
    <w:p w:rsidR="00B72047" w:rsidRDefault="00B72047">
      <w:pPr>
        <w:rPr>
          <w:rStyle w:val="htmlparacode"/>
        </w:rPr>
      </w:pPr>
      <w:r>
        <w:rPr>
          <w:rStyle w:val="htmlparacode"/>
        </w:rPr>
        <w:t>&lt;p&gt;</w:t>
      </w:r>
    </w:p>
    <w:p w:rsidR="00B72047" w:rsidRDefault="00B72047">
      <w:pPr>
        <w:pStyle w:val="normalparagraph"/>
      </w:pPr>
      <w:r>
        <w:rPr>
          <w:rStyle w:val="indexentry"/>
        </w:rPr>
        <w:t>&lt;cx "acronyms names based on lerfu words, using “z” instead of “ ' ”in"&gt;</w:t>
      </w:r>
      <w:r>
        <w:rPr>
          <w:rStyle w:val="indexentry"/>
        </w:rPr>
        <w:fldChar w:fldCharType="begin"/>
      </w:r>
      <w:r>
        <w:instrText>xe "</w:instrText>
      </w:r>
      <w:r>
        <w:rPr>
          <w:rStyle w:val="xeentry"/>
        </w:rPr>
        <w:instrText>acronyms names based on lerfu words: using z instead of  ' in</w:instrText>
      </w:r>
      <w:r>
        <w:instrText>"</w:instrText>
      </w:r>
      <w:r>
        <w:rPr>
          <w:rStyle w:val="indexentry"/>
        </w:rPr>
        <w:fldChar w:fldCharType="end"/>
      </w:r>
      <w:r>
        <w:rPr>
          <w:rStyle w:val="indexentry"/>
        </w:rPr>
        <w:t>&lt;cx "“z” instead of “ ' ”, in acronyms names based on lerfu words"&gt;</w:t>
      </w:r>
      <w:r>
        <w:rPr>
          <w:rStyle w:val="indexentry"/>
        </w:rPr>
        <w:fldChar w:fldCharType="begin"/>
      </w:r>
      <w:r>
        <w:instrText>xe "</w:instrText>
      </w:r>
      <w:r>
        <w:rPr>
          <w:rStyle w:val="xeentry"/>
        </w:rPr>
        <w:instrText>z instead of ' : in acronymic names based on lerfu words</w:instrText>
      </w:r>
      <w:r>
        <w:instrText>"</w:instrText>
      </w:r>
      <w:r>
        <w:rPr>
          <w:rStyle w:val="indexentry"/>
        </w:rPr>
        <w:fldChar w:fldCharType="end"/>
      </w:r>
      <w:r>
        <w:t>Another approach, which some may find easier to say and which is compatible</w:t>
      </w:r>
      <w:r>
        <w:rPr>
          <w:rStyle w:val="deletedparamark"/>
        </w:rPr>
        <w:t xml:space="preserve"> </w:t>
      </w:r>
      <w:r>
        <w:t>with older versions of the language that did not have a “ ' ”character, is</w:t>
      </w:r>
      <w:r>
        <w:rPr>
          <w:rStyle w:val="deletedparamark"/>
        </w:rPr>
        <w:t xml:space="preserve"> </w:t>
      </w:r>
      <w:r>
        <w:t>to use the con</w:t>
      </w:r>
      <w:r>
        <w:softHyphen/>
        <w:t>sonant “z” instead of “ ' ”:</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la dynyzaz.  .i la nyzatyzoz.</w:t>
      </w:r>
    </w:p>
    <w:p w:rsidR="00B72047" w:rsidRDefault="00B72047">
      <w:pPr>
        <w:pStyle w:val="examplescaled"/>
      </w:pPr>
      <w:r>
        <w:tab/>
        <w:t>.i la cyzizaz.  .i la sykybulyz.</w:t>
      </w:r>
    </w:p>
    <w:p w:rsidR="00B72047" w:rsidRDefault="00B72047">
      <w:pPr>
        <w:pStyle w:val="examplescaled"/>
      </w:pPr>
      <w:r>
        <w:tab/>
        <w:t>.i la .ibymyz.  .i la nyzybucyz.</w:t>
      </w:r>
    </w:p>
    <w:p w:rsidR="00B72047" w:rsidRDefault="00B72047">
      <w:pPr>
        <w:pStyle w:val="examplescaled"/>
      </w:pPr>
      <w:r>
        <w:tab/>
        <w:t>DNA.  NATO.</w:t>
      </w:r>
    </w:p>
    <w:p w:rsidR="00B72047" w:rsidRDefault="00B72047">
      <w:pPr>
        <w:pStyle w:val="examplescaled"/>
      </w:pPr>
      <w:r>
        <w:tab/>
        <w:t>CIA.  SQL.</w:t>
      </w:r>
    </w:p>
    <w:p w:rsidR="00B72047" w:rsidRDefault="00B72047">
      <w:pPr>
        <w:pStyle w:val="examplescaled"/>
      </w:pPr>
      <w:r>
        <w:tab/>
        <w:t>IBM.  NYC.</w:t>
      </w:r>
    </w:p>
    <w:p w:rsidR="00B72047" w:rsidRDefault="00B72047">
      <w:pPr>
        <w:pStyle w:val="normalafterexample"/>
      </w:pPr>
      <w:r>
        <w:rPr>
          <w:rStyle w:val="htmlcodes"/>
        </w:rPr>
        <w:t>&lt;/pre&gt;</w:t>
      </w:r>
      <w:r>
        <w:rPr>
          <w:rStyle w:val="indexentry"/>
        </w:rPr>
        <w:t>&lt;cx "lerfu strings, as acronyms using “me”"&gt;</w:t>
      </w:r>
      <w:r>
        <w:rPr>
          <w:rStyle w:val="indexentry"/>
        </w:rPr>
        <w:fldChar w:fldCharType="begin"/>
      </w:r>
      <w:r>
        <w:instrText>xe "</w:instrText>
      </w:r>
      <w:r>
        <w:rPr>
          <w:rStyle w:val="xeentry"/>
        </w:rPr>
        <w:instrText>lerfu string: as acronym using me</w:instrText>
      </w:r>
      <w:r>
        <w:instrText>"</w:instrText>
      </w:r>
      <w:r>
        <w:rPr>
          <w:rStyle w:val="indexentry"/>
        </w:rPr>
        <w:fldChar w:fldCharType="end"/>
      </w:r>
      <w:r>
        <w:rPr>
          <w:rStyle w:val="indexentry"/>
        </w:rPr>
        <w:t>&lt;cx "acronyms, as lerfu strings using “me”"&gt;</w:t>
      </w:r>
      <w:r>
        <w:rPr>
          <w:rStyle w:val="indexentry"/>
        </w:rPr>
        <w:fldChar w:fldCharType="begin"/>
      </w:r>
      <w:r>
        <w:instrText>xe "</w:instrText>
      </w:r>
      <w:r>
        <w:rPr>
          <w:rStyle w:val="xeentry"/>
        </w:rPr>
        <w:instrText>acronyms: as lerfu strings using me</w:instrText>
      </w:r>
      <w:r>
        <w:instrText>"</w:instrText>
      </w:r>
      <w:r>
        <w:rPr>
          <w:rStyle w:val="indexentry"/>
        </w:rPr>
        <w:fldChar w:fldCharType="end"/>
      </w:r>
      <w:r>
        <w:rPr>
          <w:rStyle w:val="indexentry"/>
        </w:rPr>
        <w:t>&lt;lx "me"&gt;</w:t>
      </w:r>
      <w:r>
        <w:rPr>
          <w:rStyle w:val="indexentry"/>
        </w:rPr>
        <w:fldChar w:fldCharType="begin"/>
      </w:r>
      <w:r>
        <w:instrText>xe "</w:instrText>
      </w:r>
      <w:r>
        <w:rPr>
          <w:rStyle w:val="xeentry"/>
        </w:rPr>
        <w:instrText>me</w:instrText>
      </w:r>
      <w:r>
        <w:instrText>"</w:instrText>
      </w:r>
      <w:r>
        <w:rPr>
          <w:rStyle w:val="indexentry"/>
        </w:rPr>
        <w:fldChar w:fldCharType="end"/>
      </w:r>
      <w:r>
        <w:t>One more alternative to these lengthy names is to use the lerfu string itself</w:t>
      </w:r>
      <w:r>
        <w:rPr>
          <w:rStyle w:val="deletedparamark"/>
        </w:rPr>
        <w:t xml:space="preserve"> </w:t>
      </w:r>
      <w:r>
        <w:t>pre</w:t>
      </w:r>
      <w:r>
        <w:softHyphen/>
        <w:t>fixed with “me”, the cmavo that makes sumti into selbri: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la me dy ny. .abu</w:t>
      </w:r>
    </w:p>
    <w:p w:rsidR="00B72047" w:rsidRDefault="00B72047">
      <w:pPr>
        <w:pStyle w:val="examplescaled"/>
      </w:pPr>
      <w:r>
        <w:tab/>
        <w:t>that-named what-pertains-to “d” “n” “a”</w:t>
      </w:r>
    </w:p>
    <w:p w:rsidR="00B72047" w:rsidRDefault="00B72047">
      <w:pPr>
        <w:pStyle w:val="resumedafterexample"/>
      </w:pPr>
      <w:r>
        <w:rPr>
          <w:rStyle w:val="htmlcodes"/>
        </w:rPr>
        <w:t>&lt;/pre&gt;&lt;p&gt;</w:t>
      </w:r>
      <w:r>
        <w:t>This works because “la”, the cmavo that normally introduces names used</w:t>
      </w:r>
      <w:r>
        <w:rPr>
          <w:rStyle w:val="deletedparamark"/>
        </w:rPr>
        <w:t xml:space="preserve"> </w:t>
      </w:r>
      <w:r>
        <w:t>as sumti, may also be used before a predicate to indicate that the</w:t>
      </w:r>
      <w:r>
        <w:rPr>
          <w:rStyle w:val="deletedparamark"/>
        </w:rPr>
        <w:t xml:space="preserve"> </w:t>
      </w:r>
      <w:r>
        <w:t>predicate is a (meaningful) name: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name=e12d5&gt;</w:t>
      </w:r>
      <w:r>
        <w:t>12.5)</w:t>
      </w:r>
      <w:r>
        <w:tab/>
        <w:t>la cribe cu ciska</w:t>
      </w:r>
    </w:p>
    <w:p w:rsidR="00B72047" w:rsidRDefault="00B72047">
      <w:pPr>
        <w:pStyle w:val="examplescaled"/>
      </w:pPr>
      <w:r>
        <w:tab/>
        <w:t>That-named “Bear” writes.</w:t>
      </w:r>
    </w:p>
    <w:p w:rsidR="00B72047" w:rsidRDefault="00B72047">
      <w:pPr>
        <w:pStyle w:val="examplescaled"/>
      </w:pPr>
      <w:r>
        <w:tab/>
        <w:t>Bear is a writer.</w:t>
      </w:r>
    </w:p>
    <w:p w:rsidR="00B72047" w:rsidRDefault="00B72047">
      <w:pPr>
        <w:pStyle w:val="resumedafterexample"/>
      </w:pPr>
      <w:r>
        <w:rPr>
          <w:rStyle w:val="htmlcodes"/>
        </w:rPr>
        <w:t>&lt;/pre&gt;&lt;a href=#e12d5&gt;</w:t>
      </w:r>
      <w:r>
        <w:t xml:space="preserve">Example 12.5 </w:t>
      </w:r>
      <w:r>
        <w:rPr>
          <w:rStyle w:val="htmlcodes"/>
        </w:rPr>
        <w:t>&lt;/a&gt;</w:t>
      </w:r>
      <w:r>
        <w:t>does not of course refer to a bear (“le cribe” or “lo cribe”)</w:t>
      </w:r>
      <w:r>
        <w:rPr>
          <w:rStyle w:val="deletedparamark"/>
        </w:rPr>
        <w:t xml:space="preserve"> </w:t>
      </w:r>
      <w:r>
        <w:t>but to some</w:t>
      </w:r>
      <w:r>
        <w:softHyphen/>
        <w:t>thing else, probably a person, named “Bear”. Similarly,</w:t>
      </w:r>
      <w:r>
        <w:rPr>
          <w:rStyle w:val="deletedparamark"/>
        </w:rPr>
        <w:t xml:space="preserve"> “</w:t>
      </w:r>
      <w:r>
        <w:t>me dy ny. .abu” is a predicate which can be used as a name, producing</w:t>
      </w:r>
      <w:r>
        <w:rPr>
          <w:rStyle w:val="deletedparamark"/>
        </w:rPr>
        <w:t xml:space="preserve"> </w:t>
      </w:r>
      <w:r>
        <w:t>a kind of acronym which can have pauses be</w:t>
      </w:r>
      <w:r>
        <w:softHyphen/>
        <w:t>tween the individual lerfu words.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485" w:name="_Toc398970723"/>
      <w:r>
        <w:rPr>
          <w:rStyle w:val="Heading3Text"/>
        </w:rPr>
        <w:t>Computerized character codes</w:t>
      </w:r>
      <w:bookmarkEnd w:id="485"/>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"character codes, definition"&gt;</w:t>
      </w:r>
      <w:r>
        <w:rPr>
          <w:rStyle w:val="indexentry"/>
        </w:rPr>
        <w:fldChar w:fldCharType="begin"/>
      </w:r>
      <w:r>
        <w:instrText>xe "</w:instrText>
      </w:r>
      <w:r>
        <w:rPr>
          <w:rStyle w:val="xeentry"/>
        </w:rPr>
        <w:instrText>character codes: definition</w:instrText>
      </w:r>
      <w:r>
        <w:instrText>"</w:instrText>
      </w:r>
      <w:r>
        <w:rPr>
          <w:rStyle w:val="indexentry"/>
        </w:rPr>
        <w:fldChar w:fldCharType="end"/>
      </w:r>
      <w:r>
        <w:rPr>
          <w:rStyle w:val="indexentry"/>
        </w:rPr>
        <w:t>&lt;cx "characters, definition"&gt;</w:t>
      </w:r>
      <w:r>
        <w:rPr>
          <w:rStyle w:val="indexentry"/>
        </w:rPr>
        <w:fldChar w:fldCharType="begin"/>
      </w:r>
      <w:r>
        <w:instrText>xe "</w:instrText>
      </w:r>
      <w:r>
        <w:rPr>
          <w:rStyle w:val="xeentry"/>
        </w:rPr>
        <w:instrText>characters: definition</w:instrText>
      </w:r>
      <w:r>
        <w:instrText>"</w:instrText>
      </w:r>
      <w:r>
        <w:rPr>
          <w:rStyle w:val="indexentry"/>
        </w:rPr>
        <w:fldChar w:fldCharType="end"/>
      </w:r>
      <w:r>
        <w:rPr>
          <w:rStyle w:val="indexentry"/>
        </w:rPr>
        <w:t>&lt;cx "lerfu words, using computer encoding schemes with se'e"&gt;</w:t>
      </w:r>
      <w:r>
        <w:rPr>
          <w:rStyle w:val="indexentry"/>
        </w:rPr>
        <w:fldChar w:fldCharType="begin"/>
      </w:r>
      <w:r>
        <w:instrText>xe "</w:instrText>
      </w:r>
      <w:r>
        <w:rPr>
          <w:rStyle w:val="xeentry"/>
        </w:rPr>
        <w:instrText>lerfu words: using computer encoding schemes with se'e</w:instrText>
      </w:r>
      <w:r>
        <w:instrText>"</w:instrText>
      </w:r>
      <w:r>
        <w:rPr>
          <w:rStyle w:val="indexentry"/>
        </w:rPr>
        <w:fldChar w:fldCharType="end"/>
      </w:r>
      <w:r>
        <w:rPr>
          <w:rStyle w:val="indexentry"/>
        </w:rPr>
        <w:t>&lt;cx "character encoding schemes, application to lerfu words"&gt;</w:t>
      </w:r>
      <w:r>
        <w:rPr>
          <w:rStyle w:val="indexentry"/>
        </w:rPr>
        <w:fldChar w:fldCharType="begin"/>
      </w:r>
      <w:r>
        <w:instrText>xe "</w:instrText>
      </w:r>
      <w:r>
        <w:rPr>
          <w:rStyle w:val="xeentry"/>
        </w:rPr>
        <w:instrText>character encoding schemes: application to lerfu words</w:instrText>
      </w:r>
      <w:r>
        <w:instrText>"</w:instrText>
      </w:r>
      <w:r>
        <w:rPr>
          <w:rStyle w:val="indexentry"/>
        </w:rPr>
        <w:fldChar w:fldCharType="end"/>
      </w:r>
      <w:r>
        <w:rPr>
          <w:rStyle w:val="indexentry"/>
        </w:rPr>
        <w:t>&lt;cx "letter encoding schemes, application to lerfu words"&gt;</w:t>
      </w:r>
      <w:r>
        <w:rPr>
          <w:rStyle w:val="indexentry"/>
        </w:rPr>
        <w:fldChar w:fldCharType="begin"/>
      </w:r>
      <w:r>
        <w:instrText>xe "</w:instrText>
      </w:r>
      <w:r>
        <w:rPr>
          <w:rStyle w:val="xeentry"/>
        </w:rPr>
        <w:instrText>letter encoding schemes: application to lerfu words</w:instrText>
      </w:r>
      <w:r>
        <w:instrText>"</w:instrText>
      </w:r>
      <w:r>
        <w:rPr>
          <w:rStyle w:val="indexentry"/>
        </w:rPr>
        <w:fldChar w:fldCharType="end"/>
      </w:r>
      <w:r>
        <w:rPr>
          <w:rStyle w:val="indexentry"/>
        </w:rPr>
        <w:t>&lt;lx "se'e"&gt;</w:t>
      </w:r>
      <w:r>
        <w:rPr>
          <w:rStyle w:val="indexentry"/>
        </w:rPr>
        <w:fldChar w:fldCharType="begin"/>
      </w:r>
      <w:r>
        <w:instrText>xe "</w:instrText>
      </w:r>
      <w:r>
        <w:rPr>
          <w:rStyle w:val="xeentry"/>
        </w:rPr>
        <w:instrText>se'e</w:instrText>
      </w:r>
      <w:r>
        <w:instrText>"</w:instrText>
      </w:r>
      <w:r>
        <w:rPr>
          <w:rStyle w:val="indexentry"/>
        </w:rPr>
        <w:fldChar w:fldCharType="end"/>
      </w:r>
      <w:r>
        <w:rPr>
          <w:rStyle w:val="indexentry"/>
        </w:rPr>
        <w:t>&lt;lx "BY"&gt;</w:t>
      </w:r>
      <w:r>
        <w:rPr>
          <w:rStyle w:val="indexentry"/>
        </w:rPr>
        <w:fldChar w:fldCharType="begin"/>
      </w:r>
      <w:r>
        <w:instrText>xe "</w:instrText>
      </w:r>
      <w:r>
        <w:rPr>
          <w:rStyle w:val="xeentry"/>
        </w:rPr>
        <w:instrText>BY selma’o</w:instrText>
      </w:r>
      <w:r>
        <w:instrText>"</w:instrText>
      </w:r>
      <w:r>
        <w:rPr>
          <w:rStyle w:val="indexentry"/>
        </w:rPr>
        <w:fldChar w:fldCharType="end"/>
      </w:r>
      <w:r>
        <w:t>Since the first application of computers to non-numerical information,</w:t>
      </w:r>
      <w:r>
        <w:rPr>
          <w:rStyle w:val="deletedparamark"/>
        </w:rPr>
        <w:t xml:space="preserve"> </w:t>
      </w:r>
      <w:r>
        <w:t>charac</w:t>
      </w:r>
      <w:r>
        <w:softHyphen/>
        <w:t>ter sets have existed, mapping numbers (called “character codes”) into</w:t>
      </w:r>
      <w:r>
        <w:rPr>
          <w:rStyle w:val="deletedparamark"/>
        </w:rPr>
        <w:t xml:space="preserve"> </w:t>
      </w:r>
      <w:r>
        <w:t>selected lerfu, digits, and punctuation marks (collectively called</w:t>
      </w:r>
      <w:r>
        <w:rPr>
          <w:rStyle w:val="deletedparamark"/>
        </w:rPr>
        <w:t xml:space="preserve"> “</w:t>
      </w:r>
      <w:r>
        <w:t>characters”). Historically, these character sets have only</w:t>
      </w:r>
      <w:r>
        <w:rPr>
          <w:rStyle w:val="deletedparamark"/>
        </w:rPr>
        <w:t xml:space="preserve"> </w:t>
      </w:r>
      <w:r>
        <w:t>covered the English alphabet and a few selected punctuation marks.</w:t>
      </w:r>
      <w:r>
        <w:rPr>
          <w:rStyle w:val="deletedparamark"/>
        </w:rPr>
        <w:t xml:space="preserve"> </w:t>
      </w:r>
      <w:r>
        <w:t>Intern</w:t>
      </w:r>
      <w:r>
        <w:t>a</w:t>
      </w:r>
      <w:r>
        <w:softHyphen/>
        <w:t>tional efforts have now  created Unicode, a unified character set</w:t>
      </w:r>
      <w:r>
        <w:rPr>
          <w:rStyle w:val="deletedparamark"/>
        </w:rPr>
        <w:t xml:space="preserve"> </w:t>
      </w:r>
      <w:r>
        <w:t>that can represent esse</w:t>
      </w:r>
      <w:r>
        <w:t>n</w:t>
      </w:r>
      <w:r>
        <w:softHyphen/>
        <w:t>tially all the characters in essentially all the</w:t>
      </w:r>
      <w:r>
        <w:rPr>
          <w:rStyle w:val="deletedparamark"/>
        </w:rPr>
        <w:t xml:space="preserve"> </w:t>
      </w:r>
      <w:r>
        <w:t>world's writing systems. Lojban can take a</w:t>
      </w:r>
      <w:r>
        <w:t>d</w:t>
      </w:r>
      <w:r>
        <w:softHyphen/>
        <w:t>vantage of these encoding</w:t>
      </w:r>
      <w:r>
        <w:rPr>
          <w:rStyle w:val="deletedparamark"/>
        </w:rPr>
        <w:t xml:space="preserve"> </w:t>
      </w:r>
      <w:r>
        <w:t>schemes by using the cmavo “se'e” (of selma'o BY). This cmavo is</w:t>
      </w:r>
      <w:r>
        <w:rPr>
          <w:rStyle w:val="deletedparamark"/>
        </w:rPr>
        <w:t xml:space="preserve"> </w:t>
      </w:r>
      <w:r>
        <w:t>conventionally followed by digit cmavo of selma'o PA rep</w:t>
      </w:r>
      <w:r>
        <w:softHyphen/>
        <w:t>resenting the</w:t>
      </w:r>
      <w:r>
        <w:rPr>
          <w:rStyle w:val="deletedparamark"/>
        </w:rPr>
        <w:t xml:space="preserve"> </w:t>
      </w:r>
      <w:r>
        <w:t>chara</w:t>
      </w:r>
      <w:r>
        <w:t>c</w:t>
      </w:r>
      <w:r>
        <w:softHyphen/>
        <w:t>ter code, and the whole string indicates a single character in some</w:t>
      </w:r>
      <w:r>
        <w:rPr>
          <w:rStyle w:val="deletedparamark"/>
        </w:rPr>
        <w:t xml:space="preserve"> </w:t>
      </w:r>
      <w:r>
        <w:t>computerized character set:</w:t>
      </w:r>
    </w:p>
    <w:p w:rsidR="00B72047" w:rsidRDefault="00B72047">
      <w:pPr>
        <w:rPr>
          <w:rStyle w:val="htmlparacode"/>
        </w:rPr>
      </w:pPr>
      <w:r>
        <w:rPr>
          <w:rStyle w:val="htmlparacode"/>
        </w:rPr>
        <w:t>&lt;p&gt;</w:t>
      </w:r>
    </w:p>
    <w:p w:rsidR="00B72047" w:rsidRDefault="00B72047">
      <w:pPr>
        <w:pStyle w:val="examplescaledpre"/>
      </w:pPr>
      <w:r>
        <w:rPr>
          <w:rStyle w:val="indexentry"/>
        </w:rPr>
        <w:t>&lt;ex "American dollars"&gt;</w:t>
      </w:r>
      <w:r>
        <w:rPr>
          <w:rStyle w:val="indexentry"/>
        </w:rPr>
        <w:fldChar w:fldCharType="begin"/>
      </w:r>
      <w:r>
        <w:instrText>xe "</w:instrText>
      </w:r>
      <w:r>
        <w:rPr>
          <w:rStyle w:val="xeentry"/>
        </w:rPr>
        <w:instrText>American dollars: example</w:instrText>
      </w:r>
      <w:r>
        <w:instrText>"</w:instrText>
      </w:r>
      <w:r>
        <w:rPr>
          <w:rStyle w:val="indexentry"/>
        </w:rPr>
        <w:fldChar w:fldCharType="end"/>
      </w:r>
      <w:r>
        <w:rPr>
          <w:rStyle w:val="indexentry"/>
        </w:rPr>
        <w:t>&lt;ex "$</w:t>
      </w:r>
      <w:r>
        <w:rPr>
          <w:rStyle w:val="htmlcodes"/>
        </w:rPr>
        <w:t>&amp;dollar;</w:t>
      </w:r>
      <w:r>
        <w:rPr>
          <w:rStyle w:val="indexentry"/>
        </w:rPr>
        <w:t>"&gt;</w:t>
      </w:r>
      <w:r>
        <w:rPr>
          <w:rStyle w:val="htmlcodes"/>
        </w:rPr>
        <w:t>&lt;pre&gt;&lt;a name=e13d1&gt;</w:t>
      </w:r>
      <w:r>
        <w:t>13.1)</w:t>
      </w:r>
      <w:r>
        <w:tab/>
        <w:t xml:space="preserve">me'o se'ecixa cu lerfu la .asycy'i'is. </w:t>
      </w:r>
    </w:p>
    <w:p w:rsidR="00B72047" w:rsidRDefault="00B72047">
      <w:pPr>
        <w:pStyle w:val="examplescaled"/>
        <w:ind w:firstLine="576"/>
      </w:pPr>
      <w:r>
        <w:t>loi merko rupnu</w:t>
      </w:r>
    </w:p>
    <w:p w:rsidR="00B72047" w:rsidRDefault="00B72047">
      <w:pPr>
        <w:pStyle w:val="examplescaled"/>
      </w:pPr>
      <w:r>
        <w:tab/>
        <w:t>The-expression [code] 36 is-a-letteral in-set ASCII</w:t>
      </w:r>
    </w:p>
    <w:p w:rsidR="00B72047" w:rsidRDefault="00B72047">
      <w:pPr>
        <w:pStyle w:val="examplescaled"/>
      </w:pPr>
      <w:r>
        <w:tab/>
      </w:r>
      <w:r>
        <w:tab/>
        <w:t>for-the-mass-of American currency-units.</w:t>
      </w:r>
    </w:p>
    <w:p w:rsidR="00B72047" w:rsidRDefault="00B72047">
      <w:pPr>
        <w:pStyle w:val="examplescaled"/>
      </w:pPr>
      <w:r>
        <w:tab/>
        <w:t>The character code 36 in ASCII represents American dollars.</w:t>
      </w:r>
    </w:p>
    <w:p w:rsidR="00B72047" w:rsidRDefault="00B72047">
      <w:pPr>
        <w:pStyle w:val="examplescaled"/>
      </w:pPr>
      <w:r>
        <w:tab/>
        <w:t>“$</w:t>
      </w:r>
      <w:r>
        <w:rPr>
          <w:rStyle w:val="htmlcodes"/>
        </w:rPr>
        <w:t>&amp;dollar;</w:t>
      </w:r>
      <w:r>
        <w:t>” represents American dollars.</w:t>
      </w:r>
    </w:p>
    <w:p w:rsidR="00B72047" w:rsidRDefault="00B72047">
      <w:pPr>
        <w:pStyle w:val="resumedafterexample"/>
      </w:pPr>
      <w:r>
        <w:rPr>
          <w:rStyle w:val="htmlcodes"/>
        </w:rPr>
        <w:t>&lt;/pre&gt;</w:t>
      </w:r>
      <w:r>
        <w:rPr>
          <w:rStyle w:val="indexentry"/>
        </w:rPr>
        <w:t>&lt;cx "ASCII, application to lerfu words"&gt;</w:t>
      </w:r>
      <w:r>
        <w:rPr>
          <w:rStyle w:val="indexentry"/>
        </w:rPr>
        <w:fldChar w:fldCharType="begin"/>
      </w:r>
      <w:r>
        <w:instrText>xe "</w:instrText>
      </w:r>
      <w:r>
        <w:rPr>
          <w:rStyle w:val="xeentry"/>
        </w:rPr>
        <w:instrText>ASCII: application to lerfu words</w:instrText>
      </w:r>
      <w:r>
        <w:instrText>"</w:instrText>
      </w:r>
      <w:r>
        <w:rPr>
          <w:rStyle w:val="indexentry"/>
        </w:rPr>
        <w:fldChar w:fldCharType="end"/>
      </w:r>
      <w:r>
        <w:t xml:space="preserve">Understanding </w:t>
      </w:r>
      <w:r>
        <w:rPr>
          <w:rStyle w:val="htmlcodes"/>
        </w:rPr>
        <w:t>&lt;a href=#e13d1&gt;</w:t>
      </w:r>
      <w:r>
        <w:t xml:space="preserve">Example 13.1 </w:t>
      </w:r>
      <w:r>
        <w:rPr>
          <w:rStyle w:val="htmlcodes"/>
        </w:rPr>
        <w:t>&lt;/a&gt;</w:t>
      </w:r>
      <w:r>
        <w:t>depends on knowing the value in the ASCII</w:t>
      </w:r>
      <w:r>
        <w:rPr>
          <w:rStyle w:val="deletedparamark"/>
        </w:rPr>
        <w:t xml:space="preserve"> </w:t>
      </w:r>
      <w:r>
        <w:t>character set (one of the simplest and oldest) of the “$</w:t>
      </w:r>
      <w:r>
        <w:rPr>
          <w:rStyle w:val="htmlcodes"/>
        </w:rPr>
        <w:t>&amp;dollar;</w:t>
      </w:r>
      <w:r>
        <w:t>” character.</w:t>
      </w:r>
      <w:r>
        <w:rPr>
          <w:rStyle w:val="deletedparamark"/>
        </w:rPr>
        <w:t xml:space="preserve"> </w:t>
      </w:r>
      <w:r>
        <w:t>Therefore, the “se'e” convention is only intelligible to those who know</w:t>
      </w:r>
      <w:r>
        <w:rPr>
          <w:rStyle w:val="deletedparamark"/>
        </w:rPr>
        <w:t xml:space="preserve"> </w:t>
      </w:r>
      <w:r>
        <w:t>the underlying character set. For precisely specify</w:t>
      </w:r>
      <w:r>
        <w:softHyphen/>
        <w:t>ing a particular</w:t>
      </w:r>
      <w:r>
        <w:rPr>
          <w:rStyle w:val="deletedparamark"/>
        </w:rPr>
        <w:t xml:space="preserve"> </w:t>
      </w:r>
      <w:r>
        <w:t>character, however, it has the advantages of unambiguity and (relative)</w:t>
      </w:r>
      <w:r>
        <w:rPr>
          <w:rStyle w:val="deletedparamark"/>
        </w:rPr>
        <w:t xml:space="preserve"> </w:t>
      </w:r>
      <w:r>
        <w:t>cu</w:t>
      </w:r>
      <w:r>
        <w:t>l</w:t>
      </w:r>
      <w:r>
        <w:softHyphen/>
        <w:t>tural neutrality, and therefore Lojban provides a means for those</w:t>
      </w:r>
      <w:r>
        <w:rPr>
          <w:rStyle w:val="deletedparamark"/>
        </w:rPr>
        <w:t xml:space="preserve"> </w:t>
      </w:r>
      <w:r>
        <w:t>with access to de</w:t>
      </w:r>
      <w:r>
        <w:softHyphen/>
        <w:t>scrip</w:t>
      </w:r>
      <w:r>
        <w:softHyphen/>
        <w:t>tions of such character sets to take advantage</w:t>
      </w:r>
      <w:r>
        <w:rPr>
          <w:rStyle w:val="deletedparamark"/>
        </w:rPr>
        <w:t xml:space="preserve"> </w:t>
      </w:r>
      <w:r>
        <w:t>of them.</w:t>
      </w:r>
    </w:p>
    <w:p w:rsidR="00B72047" w:rsidRDefault="00B72047">
      <w:pPr>
        <w:rPr>
          <w:rStyle w:val="htmlparacode"/>
        </w:rPr>
      </w:pPr>
      <w:r>
        <w:rPr>
          <w:rStyle w:val="htmlparacode"/>
        </w:rPr>
        <w:t>&lt;p&gt;</w:t>
      </w:r>
    </w:p>
    <w:p w:rsidR="00B72047" w:rsidRDefault="00B72047">
      <w:pPr>
        <w:pStyle w:val="normalparagraph"/>
      </w:pPr>
      <w:r>
        <w:rPr>
          <w:rStyle w:val="indexentry"/>
        </w:rPr>
        <w:t>&lt;cx "Unicode"&gt;</w:t>
      </w:r>
      <w:r>
        <w:rPr>
          <w:rStyle w:val="indexentry"/>
        </w:rPr>
        <w:fldChar w:fldCharType="begin"/>
      </w:r>
      <w:r>
        <w:instrText>xe "</w:instrText>
      </w:r>
      <w:r>
        <w:rPr>
          <w:rStyle w:val="xeentry"/>
        </w:rPr>
        <w:instrText>Unicode</w:instrText>
      </w:r>
      <w:r>
        <w:instrText>"</w:instrText>
      </w:r>
      <w:r>
        <w:rPr>
          <w:rStyle w:val="indexentry"/>
        </w:rPr>
        <w:fldChar w:fldCharType="end"/>
      </w:r>
      <w:r>
        <w:rPr>
          <w:rStyle w:val="indexentry"/>
        </w:rPr>
        <w:t>&lt;cx "peace symbol"&gt;</w:t>
      </w:r>
      <w:r>
        <w:rPr>
          <w:rStyle w:val="indexentry"/>
        </w:rPr>
        <w:fldChar w:fldCharType="begin"/>
      </w:r>
      <w:r>
        <w:instrText>xe "</w:instrText>
      </w:r>
      <w:r>
        <w:rPr>
          <w:rStyle w:val="xeentry"/>
        </w:rPr>
        <w:instrText>peace symbol</w:instrText>
      </w:r>
      <w:r>
        <w:instrText>"</w:instrText>
      </w:r>
      <w:r>
        <w:rPr>
          <w:rStyle w:val="indexentry"/>
        </w:rPr>
        <w:fldChar w:fldCharType="end"/>
      </w:r>
      <w:r>
        <w:t>As another example, the Unicode character set (also known as ISO 10646)</w:t>
      </w:r>
      <w:r>
        <w:rPr>
          <w:rStyle w:val="deletedparamark"/>
        </w:rPr>
        <w:t xml:space="preserve"> </w:t>
      </w:r>
      <w:r>
        <w:t>rep</w:t>
      </w:r>
      <w:r>
        <w:softHyphen/>
        <w:t>resents the international symbol of peace, an inverted trident in a</w:t>
      </w:r>
      <w:r>
        <w:rPr>
          <w:rStyle w:val="deletedparamark"/>
        </w:rPr>
        <w:t xml:space="preserve"> </w:t>
      </w:r>
      <w:r>
        <w:t>circle, using the base-16 value 262E. In a suitable context, a Lojbanist</w:t>
      </w:r>
      <w:r>
        <w:rPr>
          <w:rStyle w:val="deletedparamark"/>
        </w:rPr>
        <w:t xml:space="preserve"> </w:t>
      </w:r>
      <w:r>
        <w:t>may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me'o se'erexarerei sinxa le ka panpi</w:t>
      </w:r>
    </w:p>
    <w:p w:rsidR="00B72047" w:rsidRDefault="00B72047">
      <w:pPr>
        <w:pStyle w:val="examplescaled"/>
      </w:pPr>
      <w:r>
        <w:tab/>
        <w:t>The-expression [code] 262E is-a-sign-of the quality-of being-at-peace.</w:t>
      </w:r>
    </w:p>
    <w:p w:rsidR="00B72047" w:rsidRDefault="00B72047">
      <w:pPr>
        <w:pStyle w:val="resumedafterexample"/>
      </w:pPr>
      <w:r>
        <w:rPr>
          <w:rStyle w:val="htmlcodes"/>
        </w:rPr>
        <w:t>&lt;/pre&gt;</w:t>
      </w:r>
      <w:r>
        <w:rPr>
          <w:rStyle w:val="indexentry"/>
        </w:rPr>
        <w:t>&lt;cx "se'e, and number base convention"&gt;</w:t>
      </w:r>
      <w:r>
        <w:rPr>
          <w:rStyle w:val="indexentry"/>
        </w:rPr>
        <w:fldChar w:fldCharType="begin"/>
      </w:r>
      <w:r>
        <w:instrText>xe "</w:instrText>
      </w:r>
      <w:r>
        <w:rPr>
          <w:rStyle w:val="xeentry"/>
        </w:rPr>
        <w:instrText>se'e: and number base convention</w:instrText>
      </w:r>
      <w:r>
        <w:instrText>"</w:instrText>
      </w:r>
      <w:r>
        <w:rPr>
          <w:rStyle w:val="indexentry"/>
        </w:rPr>
        <w:fldChar w:fldCharType="end"/>
      </w:r>
      <w:r>
        <w:t>When a “se'e” string appears in running discourse, some metalinguistic</w:t>
      </w:r>
      <w:r>
        <w:rPr>
          <w:rStyle w:val="deletedparamark"/>
        </w:rPr>
        <w:t xml:space="preserve"> </w:t>
      </w:r>
      <w:r>
        <w:t>convention must specify whether the number is base 10 or</w:t>
      </w:r>
      <w:r>
        <w:rPr>
          <w:rStyle w:val="deletedparamark"/>
        </w:rPr>
        <w:t xml:space="preserve"> </w:t>
      </w:r>
      <w:r>
        <w:t>some other base, and which char</w:t>
      </w:r>
      <w:r>
        <w:softHyphen/>
        <w:t>acter set is in use.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486" w:name="_Toc398970724"/>
      <w:r>
        <w:rPr>
          <w:rStyle w:val="Heading3Text"/>
        </w:rPr>
        <w:t>List of all auxiliary lerfu-word cmavo</w:t>
      </w:r>
      <w:bookmarkEnd w:id="486"/>
      <w:r>
        <w:rPr>
          <w:rStyle w:val="htmlcodes"/>
        </w:rPr>
        <w:t>&lt;/h3&gt;</w:t>
      </w:r>
    </w:p>
    <w:p w:rsidR="00B72047" w:rsidRDefault="00B72047">
      <w:pPr>
        <w:rPr>
          <w:rStyle w:val="htmlparacode"/>
        </w:rPr>
      </w:pPr>
      <w:r>
        <w:rPr>
          <w:rStyle w:val="htmlparacode"/>
        </w:rPr>
        <w:t>&lt;p&gt;</w:t>
      </w:r>
    </w:p>
    <w:p w:rsidR="00B72047" w:rsidRDefault="00B72047">
      <w:pPr>
        <w:pStyle w:val="examp5colpre"/>
      </w:pPr>
      <w:r>
        <w:rPr>
          <w:rStyle w:val="indexentry"/>
        </w:rPr>
        <w:t>&lt;cx "lerfu word cmavo, list of auxiliary"&gt;</w:t>
      </w:r>
      <w:r>
        <w:rPr>
          <w:rStyle w:val="indexentry"/>
        </w:rPr>
        <w:fldChar w:fldCharType="begin"/>
      </w:r>
      <w:r>
        <w:instrText>xe "</w:instrText>
      </w:r>
      <w:r>
        <w:rPr>
          <w:rStyle w:val="xeentry"/>
        </w:rPr>
        <w:instrText>lerfu word cmavo: list of auxiliary</w:instrText>
      </w:r>
      <w:r>
        <w:instrText>"</w:instrText>
      </w:r>
      <w:r>
        <w:rPr>
          <w:rStyle w:val="indexentry"/>
        </w:rPr>
        <w:fldChar w:fldCharType="end"/>
      </w:r>
      <w:r>
        <w:rPr>
          <w:rStyle w:val="htmlcodes"/>
        </w:rPr>
        <w:t>&lt;pre&gt;</w:t>
      </w:r>
      <w:r>
        <w:t xml:space="preserve"> </w:t>
      </w:r>
      <w:r>
        <w:tab/>
        <w:t>cmavo</w:t>
      </w:r>
      <w:r>
        <w:tab/>
        <w:t>selma'o</w:t>
      </w:r>
      <w:r>
        <w:tab/>
        <w:t>meaning</w:t>
      </w:r>
    </w:p>
    <w:p w:rsidR="00B72047" w:rsidRDefault="00B72047">
      <w:pPr>
        <w:pStyle w:val="examp5colpre"/>
        <w:spacing w:before="80"/>
      </w:pPr>
      <w:r>
        <w:tab/>
        <w:t>bu</w:t>
      </w:r>
      <w:r>
        <w:tab/>
        <w:t>BU</w:t>
      </w:r>
      <w:r>
        <w:tab/>
        <w:t>makes previous word into a lerfu word</w:t>
      </w:r>
    </w:p>
    <w:p w:rsidR="00B72047" w:rsidRDefault="00B72047">
      <w:pPr>
        <w:pStyle w:val="examp5colpre"/>
      </w:pPr>
      <w:r>
        <w:tab/>
        <w:t>ga'e</w:t>
      </w:r>
      <w:r>
        <w:tab/>
        <w:t>BY</w:t>
      </w:r>
      <w:r>
        <w:tab/>
        <w:t>upper case shift</w:t>
      </w:r>
    </w:p>
    <w:p w:rsidR="00B72047" w:rsidRDefault="00B72047">
      <w:pPr>
        <w:pStyle w:val="examp5col"/>
      </w:pPr>
      <w:r>
        <w:tab/>
        <w:t>to'a</w:t>
      </w:r>
      <w:r>
        <w:tab/>
        <w:t>BY</w:t>
      </w:r>
      <w:r>
        <w:tab/>
        <w:t>lower case shift</w:t>
      </w:r>
    </w:p>
    <w:p w:rsidR="00B72047" w:rsidRDefault="00B72047">
      <w:pPr>
        <w:pStyle w:val="examp5col"/>
      </w:pPr>
      <w:r>
        <w:tab/>
        <w:t>tau</w:t>
      </w:r>
      <w:r>
        <w:tab/>
        <w:t>LAU</w:t>
      </w:r>
      <w:r>
        <w:tab/>
        <w:t>case-shift next lerfu word only</w:t>
      </w:r>
    </w:p>
    <w:p w:rsidR="00B72047" w:rsidRDefault="00B72047">
      <w:pPr>
        <w:pStyle w:val="examp5colpre"/>
      </w:pPr>
      <w:r>
        <w:tab/>
        <w:t>lo'a</w:t>
      </w:r>
      <w:r>
        <w:tab/>
        <w:t>BY</w:t>
      </w:r>
      <w:r>
        <w:tab/>
        <w:t>Latin/Lojban alphabet shift</w:t>
      </w:r>
    </w:p>
    <w:p w:rsidR="00B72047" w:rsidRDefault="00B72047">
      <w:pPr>
        <w:pStyle w:val="examp5col"/>
      </w:pPr>
      <w:r>
        <w:tab/>
        <w:t>ge'o</w:t>
      </w:r>
      <w:r>
        <w:tab/>
        <w:t>BY</w:t>
      </w:r>
      <w:r>
        <w:tab/>
        <w:t>Greek alphabet shift</w:t>
      </w:r>
    </w:p>
    <w:p w:rsidR="00B72047" w:rsidRDefault="00B72047">
      <w:pPr>
        <w:pStyle w:val="examp5col"/>
      </w:pPr>
      <w:r>
        <w:tab/>
        <w:t>je'o</w:t>
      </w:r>
      <w:r>
        <w:tab/>
        <w:t>BY</w:t>
      </w:r>
      <w:r>
        <w:tab/>
        <w:t>Hebrew alphabet shift</w:t>
      </w:r>
    </w:p>
    <w:p w:rsidR="00B72047" w:rsidRDefault="00B72047">
      <w:pPr>
        <w:pStyle w:val="examp5col"/>
      </w:pPr>
      <w:r>
        <w:tab/>
        <w:t>jo'o</w:t>
      </w:r>
      <w:r>
        <w:tab/>
        <w:t>BY</w:t>
      </w:r>
      <w:r>
        <w:tab/>
        <w:t>Arabic alphabet shift</w:t>
      </w:r>
    </w:p>
    <w:p w:rsidR="00B72047" w:rsidRDefault="00B72047">
      <w:pPr>
        <w:pStyle w:val="examp5col"/>
      </w:pPr>
      <w:r>
        <w:tab/>
        <w:t>ru'o</w:t>
      </w:r>
      <w:r>
        <w:tab/>
        <w:t>BY</w:t>
      </w:r>
      <w:r>
        <w:tab/>
        <w:t>Cyrillic alphabet shift</w:t>
      </w:r>
    </w:p>
    <w:p w:rsidR="00B72047" w:rsidRDefault="00B72047">
      <w:pPr>
        <w:pStyle w:val="examp5col"/>
      </w:pPr>
      <w:r>
        <w:br w:type="page"/>
      </w:r>
      <w:r>
        <w:tab/>
        <w:t>se'e</w:t>
      </w:r>
      <w:r>
        <w:tab/>
        <w:t>BY</w:t>
      </w:r>
      <w:r>
        <w:tab/>
        <w:t>following digits are a character code</w:t>
      </w:r>
    </w:p>
    <w:p w:rsidR="00B72047" w:rsidRDefault="00B72047">
      <w:pPr>
        <w:pStyle w:val="examp5col"/>
      </w:pPr>
      <w:r>
        <w:tab/>
        <w:t>na'a</w:t>
      </w:r>
      <w:r>
        <w:tab/>
        <w:t>BY</w:t>
      </w:r>
      <w:r>
        <w:tab/>
        <w:t>cancel all shifts</w:t>
      </w:r>
    </w:p>
    <w:p w:rsidR="00B72047" w:rsidRDefault="00B72047">
      <w:pPr>
        <w:pStyle w:val="examp5colpre"/>
      </w:pPr>
      <w:r>
        <w:tab/>
        <w:t>zai</w:t>
      </w:r>
      <w:r>
        <w:tab/>
        <w:t>LAU</w:t>
      </w:r>
      <w:r>
        <w:tab/>
        <w:t>following lerfu word specifies alphabet</w:t>
      </w:r>
    </w:p>
    <w:p w:rsidR="00B72047" w:rsidRDefault="00B72047">
      <w:pPr>
        <w:pStyle w:val="examp5col"/>
      </w:pPr>
      <w:r>
        <w:tab/>
        <w:t>ce'a</w:t>
      </w:r>
      <w:r>
        <w:tab/>
        <w:t>LAU</w:t>
      </w:r>
      <w:r>
        <w:tab/>
        <w:t>following lerfu word specifies font</w:t>
      </w:r>
    </w:p>
    <w:p w:rsidR="00B72047" w:rsidRDefault="00B72047">
      <w:pPr>
        <w:pStyle w:val="examp5col"/>
      </w:pPr>
      <w:r>
        <w:tab/>
        <w:t>lau</w:t>
      </w:r>
      <w:r>
        <w:tab/>
        <w:t>LAU</w:t>
      </w:r>
      <w:r>
        <w:tab/>
        <w:t>following lerfu word is punctuation</w:t>
      </w:r>
    </w:p>
    <w:p w:rsidR="00B72047" w:rsidRDefault="00B72047">
      <w:pPr>
        <w:pStyle w:val="examp5colpre"/>
      </w:pPr>
      <w:r>
        <w:tab/>
        <w:t>tei</w:t>
      </w:r>
      <w:r>
        <w:tab/>
        <w:t>TEI</w:t>
      </w:r>
      <w:r>
        <w:tab/>
        <w:t>start compound lerfu word</w:t>
      </w:r>
    </w:p>
    <w:p w:rsidR="00B72047" w:rsidRDefault="00B72047">
      <w:pPr>
        <w:pStyle w:val="examp5col"/>
      </w:pPr>
      <w:r>
        <w:tab/>
        <w:t>foi</w:t>
      </w:r>
      <w:r>
        <w:tab/>
        <w:t>FOI</w:t>
      </w:r>
      <w:r>
        <w:tab/>
        <w:t>end compound lerfu word</w:t>
      </w:r>
    </w:p>
    <w:p w:rsidR="00B72047" w:rsidRDefault="00B72047">
      <w:pPr>
        <w:pStyle w:val="normalafterexample"/>
      </w:pPr>
      <w:r>
        <w:rPr>
          <w:rStyle w:val="htmlcodes"/>
        </w:rPr>
        <w:t>&lt;/pre&gt;</w:t>
      </w:r>
      <w:r>
        <w:rPr>
          <w:rStyle w:val="indexentry"/>
        </w:rPr>
        <w:t>&lt;cx "LAU, grammar of following BY cmavo"&gt;</w:t>
      </w:r>
      <w:r>
        <w:rPr>
          <w:rStyle w:val="indexentry"/>
        </w:rPr>
        <w:fldChar w:fldCharType="begin"/>
      </w:r>
      <w:r>
        <w:instrText>xe "</w:instrText>
      </w:r>
      <w:r>
        <w:rPr>
          <w:rStyle w:val="xeentry"/>
        </w:rPr>
        <w:instrText>LAU selma’o: grammar of following BY</w:instrText>
      </w:r>
      <w:r>
        <w:instrText>"</w:instrText>
      </w:r>
      <w:r>
        <w:rPr>
          <w:rStyle w:val="indexentry"/>
        </w:rPr>
        <w:fldChar w:fldCharType="end"/>
      </w:r>
      <w:r>
        <w:t>Note that LAU cmavo must be followed by a BY cmavo or the equivalent,</w:t>
      </w:r>
      <w:r>
        <w:rPr>
          <w:rStyle w:val="deletedparamark"/>
        </w:rPr>
        <w:t xml:space="preserve"> </w:t>
      </w:r>
      <w:r>
        <w:t>where “equivalent” means: either any Lojban word followed by “bu”, another</w:t>
      </w:r>
      <w:r>
        <w:rPr>
          <w:rStyle w:val="deletedparamark"/>
        </w:rPr>
        <w:t xml:space="preserve"> </w:t>
      </w:r>
      <w:r>
        <w:t>LAU cmavo (and its required sequel), or a “tei </w:t>
      </w:r>
      <w:r>
        <w:rPr>
          <w:rStyle w:val="htmlcodes"/>
        </w:rPr>
        <w:t>&lt;dots&gt;</w:t>
      </w:r>
      <w:r>
        <w:t>…</w:t>
      </w:r>
      <w:r>
        <w:rPr>
          <w:rStyle w:val="htmlcodes"/>
        </w:rPr>
        <w:t>&lt;/dots&gt;</w:t>
      </w:r>
      <w:r>
        <w:t>foi” compound cmavo.</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name=s15&gt;&lt;h3&gt;</w:t>
      </w:r>
      <w:bookmarkStart w:id="487" w:name="_Toc398970725"/>
      <w:r>
        <w:rPr>
          <w:rStyle w:val="Heading3Text"/>
        </w:rPr>
        <w:t>Proposed lerfu words — introduction</w:t>
      </w:r>
      <w:bookmarkEnd w:id="48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"lerfu words, list of proposed, notation convention"&gt;</w:t>
      </w:r>
      <w:r>
        <w:rPr>
          <w:rStyle w:val="indexentry"/>
        </w:rPr>
        <w:fldChar w:fldCharType="begin"/>
      </w:r>
      <w:r>
        <w:instrText>xe "</w:instrText>
      </w:r>
      <w:r>
        <w:rPr>
          <w:rStyle w:val="xeentry"/>
        </w:rPr>
        <w:instrText>lerfu words: list of proposed, notation convention</w:instrText>
      </w:r>
      <w:r>
        <w:instrText>"</w:instrText>
      </w:r>
      <w:r>
        <w:rPr>
          <w:rStyle w:val="indexentry"/>
        </w:rPr>
        <w:fldChar w:fldCharType="end"/>
      </w:r>
      <w:r>
        <w:t>The following sections contain tables of proposed lerfu words for some of</w:t>
      </w:r>
      <w:r>
        <w:rPr>
          <w:rStyle w:val="deletedparamark"/>
        </w:rPr>
        <w:t xml:space="preserve"> </w:t>
      </w:r>
      <w:r>
        <w:t>the sta</w:t>
      </w:r>
      <w:r>
        <w:t>n</w:t>
      </w:r>
      <w:r>
        <w:softHyphen/>
        <w:t>dard alphabets supported by the Lojban lerfu system. The first</w:t>
      </w:r>
      <w:r>
        <w:rPr>
          <w:rStyle w:val="deletedparamark"/>
        </w:rPr>
        <w:t xml:space="preserve"> </w:t>
      </w:r>
      <w:r>
        <w:t>column of each list is the lerfu (actually, a Latin-alphabet name sufficient</w:t>
      </w:r>
      <w:r>
        <w:rPr>
          <w:rStyle w:val="deletedparamark"/>
        </w:rPr>
        <w:t xml:space="preserve"> </w:t>
      </w:r>
      <w:r>
        <w:t>to identify it). The second column is the proposed name-based lerfu word,</w:t>
      </w:r>
      <w:r>
        <w:rPr>
          <w:rStyle w:val="deletedparamark"/>
        </w:rPr>
        <w:t xml:space="preserve"> </w:t>
      </w:r>
      <w:r>
        <w:t>and the third column is the proposed lerfu word in the system based on using</w:t>
      </w:r>
      <w:r>
        <w:rPr>
          <w:rStyle w:val="deletedparamark"/>
        </w:rPr>
        <w:t xml:space="preserve"> </w:t>
      </w:r>
      <w:r>
        <w:t>the cmavo of selma'o BY with a shift word.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"proposed lerfu words, as working basis"&gt;</w:t>
      </w:r>
      <w:r>
        <w:rPr>
          <w:rStyle w:val="indexentry"/>
        </w:rPr>
        <w:fldChar w:fldCharType="begin"/>
      </w:r>
      <w:r>
        <w:instrText>xe "</w:instrText>
      </w:r>
      <w:r>
        <w:rPr>
          <w:rStyle w:val="xeentry"/>
        </w:rPr>
        <w:instrText>proposed lerfu words: as working basis</w:instrText>
      </w:r>
      <w:r>
        <w:instrText>"</w:instrText>
      </w:r>
      <w:r>
        <w:rPr>
          <w:rStyle w:val="indexentry"/>
        </w:rPr>
        <w:fldChar w:fldCharType="end"/>
      </w:r>
      <w:r>
        <w:t>These tables are not meant to be authoritative (several authorities within</w:t>
      </w:r>
      <w:r>
        <w:rPr>
          <w:rStyle w:val="deletedparamark"/>
        </w:rPr>
        <w:t xml:space="preserve"> </w:t>
      </w:r>
      <w:r>
        <w:t>the Lojban community have niggled over them extensively, disagreeing with</w:t>
      </w:r>
      <w:r>
        <w:rPr>
          <w:rStyle w:val="deletedparamark"/>
        </w:rPr>
        <w:t xml:space="preserve"> </w:t>
      </w:r>
      <w:r>
        <w:t>each other and som</w:t>
      </w:r>
      <w:r>
        <w:t>e</w:t>
      </w:r>
      <w:r>
        <w:softHyphen/>
        <w:t>times with themselves). They provide a working basis</w:t>
      </w:r>
      <w:r>
        <w:rPr>
          <w:rStyle w:val="deletedparamark"/>
        </w:rPr>
        <w:t xml:space="preserve"> </w:t>
      </w:r>
      <w:r>
        <w:t>until actual usage is available, rather than a final resolution of lerfu word</w:t>
      </w:r>
      <w:r>
        <w:rPr>
          <w:rStyle w:val="deletedparamark"/>
        </w:rPr>
        <w:t xml:space="preserve"> </w:t>
      </w:r>
      <w:r>
        <w:t>problems. Probably the system presented here will evolve somewhat before</w:t>
      </w:r>
      <w:r>
        <w:rPr>
          <w:rStyle w:val="deletedparamark"/>
        </w:rPr>
        <w:t xml:space="preserve"> </w:t>
      </w:r>
      <w:r>
        <w:t>settling down into a final, conventional form.</w:t>
      </w:r>
    </w:p>
    <w:p w:rsidR="00B72047" w:rsidRDefault="00B72047">
      <w:pPr>
        <w:pStyle w:val="normalparagraph"/>
        <w:rPr>
          <w:rStyle w:val="htmlparacode"/>
        </w:rPr>
      </w:pPr>
      <w:r>
        <w:rPr>
          <w:rStyle w:val="htmlparacode"/>
        </w:rPr>
        <w:t>&lt;p&gt;</w:t>
      </w:r>
    </w:p>
    <w:p w:rsidR="00B72047" w:rsidRDefault="00B72047">
      <w:pPr>
        <w:pStyle w:val="normalparagraph"/>
      </w:pPr>
      <w:r>
        <w:t xml:space="preserve">For Latin-alphabet lerfu words, see </w:t>
      </w:r>
      <w:r>
        <w:rPr>
          <w:rStyle w:val="htmlcodes"/>
        </w:rPr>
        <w:t>&lt;a href=#s2&gt;</w:t>
      </w:r>
      <w:r>
        <w:t xml:space="preserve">Section 2 </w:t>
      </w:r>
      <w:r>
        <w:rPr>
          <w:rStyle w:val="htmlcodes"/>
        </w:rPr>
        <w:t>&lt;/a&gt;</w:t>
      </w:r>
      <w:r>
        <w:t xml:space="preserve">(for Lojban) and </w:t>
      </w:r>
      <w:r>
        <w:rPr>
          <w:rStyle w:val="htmlcodes"/>
        </w:rPr>
        <w:t>&lt;a href=#s5&gt;</w:t>
      </w:r>
      <w:r>
        <w:t xml:space="preserve">Section 5 </w:t>
      </w:r>
      <w:r>
        <w:rPr>
          <w:rStyle w:val="htmlcodes"/>
        </w:rPr>
        <w:t>&lt;/a&gt;</w:t>
      </w:r>
      <w:r>
        <w:t>(for non-Lojban Latin-alphabet lerfu).</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488" w:name="_Toc398970726"/>
      <w:r>
        <w:rPr>
          <w:rStyle w:val="Heading3Text"/>
        </w:rPr>
        <w:t>Proposed lerfu words for the Greek alphabet</w:t>
      </w:r>
      <w:bookmarkEnd w:id="488"/>
      <w:r>
        <w:rPr>
          <w:rStyle w:val="htmlcodes"/>
        </w:rPr>
        <w:t>&lt;/h3&gt;</w:t>
      </w:r>
    </w:p>
    <w:p w:rsidR="00B72047" w:rsidRDefault="00B72047">
      <w:pPr>
        <w:pStyle w:val="exampwidetabs"/>
        <w:rPr>
          <w:rStyle w:val="htmlparacode"/>
        </w:rPr>
      </w:pPr>
      <w:r>
        <w:rPr>
          <w:rStyle w:val="htmlparacode"/>
        </w:rPr>
        <w:t>&lt;p&gt;</w:t>
      </w:r>
    </w:p>
    <w:p w:rsidR="00B72047" w:rsidRDefault="00B72047">
      <w:pPr>
        <w:pStyle w:val="examplewtabspre"/>
        <w:spacing w:before="0"/>
      </w:pPr>
      <w:r>
        <w:rPr>
          <w:rStyle w:val="indexentry"/>
        </w:rPr>
        <w:t>&lt;cx "lerfu words, proposed for Greek alphabet"&gt;</w:t>
      </w:r>
      <w:r>
        <w:rPr>
          <w:rStyle w:val="indexentry"/>
        </w:rPr>
        <w:fldChar w:fldCharType="begin"/>
      </w:r>
      <w:r>
        <w:instrText>xe "</w:instrText>
      </w:r>
      <w:r>
        <w:rPr>
          <w:rStyle w:val="xeentry"/>
        </w:rPr>
        <w:instrText>lerfu words: proposed for Greek alphabet</w:instrText>
      </w:r>
      <w:r>
        <w:instrText>"</w:instrText>
      </w:r>
      <w:r>
        <w:rPr>
          <w:rStyle w:val="indexentry"/>
        </w:rPr>
        <w:fldChar w:fldCharType="end"/>
      </w:r>
      <w:r>
        <w:rPr>
          <w:rStyle w:val="indexentry"/>
        </w:rPr>
        <w:t>&lt;cx "Greek alphabet, proposed lerfu words for"&gt;</w:t>
      </w:r>
      <w:r>
        <w:rPr>
          <w:rStyle w:val="indexentry"/>
        </w:rPr>
        <w:fldChar w:fldCharType="begin"/>
      </w:r>
      <w:r>
        <w:instrText>xe "</w:instrText>
      </w:r>
      <w:r>
        <w:rPr>
          <w:rStyle w:val="xeentry"/>
        </w:rPr>
        <w:instrText>Greek alphabet: proposed lerfu words for</w:instrText>
      </w:r>
      <w:r>
        <w:instrText>"</w:instrText>
      </w:r>
      <w:r>
        <w:rPr>
          <w:rStyle w:val="indexentry"/>
        </w:rPr>
        <w:fldChar w:fldCharType="end"/>
      </w:r>
      <w:r>
        <w:rPr>
          <w:rStyle w:val="htmlcodes"/>
        </w:rPr>
        <w:t>&lt;pre&gt;</w:t>
      </w:r>
      <w:r>
        <w:t xml:space="preserve"> </w:t>
      </w:r>
      <w:r>
        <w:tab/>
        <w:t>alpha</w:t>
      </w:r>
      <w:r>
        <w:tab/>
        <w:t>.alfas. bu</w:t>
      </w:r>
      <w:r>
        <w:tab/>
        <w:t>.abu</w:t>
      </w:r>
    </w:p>
    <w:p w:rsidR="00B72047" w:rsidRDefault="00B72047">
      <w:pPr>
        <w:pStyle w:val="exampwidetabs"/>
      </w:pPr>
      <w:r>
        <w:tab/>
        <w:t>beta</w:t>
      </w:r>
      <w:r>
        <w:tab/>
        <w:t>.betas. bu</w:t>
      </w:r>
      <w:r>
        <w:tab/>
        <w:t>by</w:t>
      </w:r>
    </w:p>
    <w:p w:rsidR="00B72047" w:rsidRDefault="00B72047">
      <w:pPr>
        <w:pStyle w:val="exampwidetabs"/>
      </w:pPr>
      <w:r>
        <w:tab/>
        <w:t>gamma</w:t>
      </w:r>
      <w:r>
        <w:tab/>
        <w:t>.gamas. bu</w:t>
      </w:r>
      <w:r>
        <w:tab/>
        <w:t>gy</w:t>
      </w:r>
    </w:p>
    <w:p w:rsidR="00B72047" w:rsidRDefault="00B72047">
      <w:pPr>
        <w:pStyle w:val="exampwidetabs"/>
      </w:pPr>
      <w:r>
        <w:tab/>
        <w:t>delta</w:t>
      </w:r>
      <w:r>
        <w:tab/>
        <w:t>.deltas. bu</w:t>
      </w:r>
      <w:r>
        <w:tab/>
        <w:t>dy</w:t>
      </w:r>
    </w:p>
    <w:p w:rsidR="00B72047" w:rsidRDefault="00B72047">
      <w:pPr>
        <w:pStyle w:val="exampwidetabs"/>
      </w:pPr>
      <w:r>
        <w:tab/>
        <w:t>epsilon</w:t>
      </w:r>
      <w:r>
        <w:tab/>
        <w:t>.Epsilon. bu</w:t>
      </w:r>
      <w:r>
        <w:tab/>
        <w:t>.ebu</w:t>
      </w:r>
    </w:p>
    <w:p w:rsidR="00B72047" w:rsidRDefault="00B72047">
      <w:pPr>
        <w:pStyle w:val="exampwidetabs"/>
      </w:pPr>
      <w:r>
        <w:tab/>
        <w:t>zeta</w:t>
      </w:r>
      <w:r>
        <w:tab/>
        <w:t>.zetas. bu</w:t>
      </w:r>
      <w:r>
        <w:tab/>
        <w:t>zy</w:t>
      </w:r>
    </w:p>
    <w:p w:rsidR="00B72047" w:rsidRDefault="00B72047">
      <w:pPr>
        <w:pStyle w:val="exampwidetabs"/>
      </w:pPr>
      <w:r>
        <w:tab/>
        <w:t>eta</w:t>
      </w:r>
      <w:r>
        <w:tab/>
        <w:t>.etas. bu</w:t>
      </w:r>
      <w:r>
        <w:tab/>
        <w:t>.e'ebu</w:t>
      </w:r>
    </w:p>
    <w:p w:rsidR="00B72047" w:rsidRDefault="00B72047">
      <w:pPr>
        <w:pStyle w:val="exampwidetabs"/>
      </w:pPr>
      <w:r>
        <w:tab/>
        <w:t>theta</w:t>
      </w:r>
      <w:r>
        <w:tab/>
        <w:t>.tetas. bu</w:t>
      </w:r>
      <w:r>
        <w:tab/>
        <w:t>ty. bu</w:t>
      </w:r>
    </w:p>
    <w:p w:rsidR="00B72047" w:rsidRDefault="00B72047">
      <w:pPr>
        <w:pStyle w:val="exampwidetabs"/>
      </w:pPr>
      <w:r>
        <w:tab/>
        <w:t>iota</w:t>
      </w:r>
      <w:r>
        <w:tab/>
        <w:t>.iotas. bu</w:t>
      </w:r>
      <w:r>
        <w:tab/>
        <w:t>.ibu</w:t>
      </w:r>
    </w:p>
    <w:p w:rsidR="00B72047" w:rsidRDefault="00B72047">
      <w:pPr>
        <w:pStyle w:val="exampwidetabs"/>
      </w:pPr>
      <w:r>
        <w:tab/>
        <w:t>kappa</w:t>
      </w:r>
      <w:r>
        <w:tab/>
        <w:t>.kapas. bu</w:t>
      </w:r>
      <w:r>
        <w:tab/>
        <w:t>ky</w:t>
      </w:r>
    </w:p>
    <w:p w:rsidR="00B72047" w:rsidRDefault="00B72047">
      <w:pPr>
        <w:pStyle w:val="exampwidetabs"/>
      </w:pPr>
      <w:r>
        <w:tab/>
        <w:t>lambda</w:t>
      </w:r>
      <w:r>
        <w:tab/>
        <w:t>.lymdas. bu</w:t>
      </w:r>
      <w:r>
        <w:tab/>
        <w:t>ly</w:t>
      </w:r>
    </w:p>
    <w:p w:rsidR="00B72047" w:rsidRDefault="00B72047">
      <w:pPr>
        <w:pStyle w:val="exampwidetabs"/>
      </w:pPr>
      <w:r>
        <w:tab/>
        <w:t>mu</w:t>
      </w:r>
      <w:r>
        <w:tab/>
        <w:t>.mus. bu</w:t>
      </w:r>
      <w:r>
        <w:tab/>
        <w:t>my</w:t>
      </w:r>
    </w:p>
    <w:p w:rsidR="00B72047" w:rsidRDefault="00B72047">
      <w:pPr>
        <w:pStyle w:val="exampwidetabs"/>
      </w:pPr>
      <w:r>
        <w:tab/>
        <w:t>nu</w:t>
      </w:r>
      <w:r>
        <w:tab/>
        <w:t>.nus. bu</w:t>
      </w:r>
      <w:r>
        <w:tab/>
        <w:t>ny</w:t>
      </w:r>
    </w:p>
    <w:p w:rsidR="00B72047" w:rsidRDefault="00B72047">
      <w:pPr>
        <w:pStyle w:val="exampwidetabs"/>
      </w:pPr>
      <w:r>
        <w:tab/>
        <w:t>xi</w:t>
      </w:r>
      <w:r>
        <w:tab/>
        <w:t>.ksis. bu</w:t>
      </w:r>
      <w:r>
        <w:tab/>
        <w:t>ksis. bu</w:t>
      </w:r>
    </w:p>
    <w:p w:rsidR="00B72047" w:rsidRDefault="00B72047">
      <w:pPr>
        <w:pStyle w:val="exampwidetabs"/>
      </w:pPr>
      <w:r>
        <w:tab/>
        <w:t>omicron</w:t>
      </w:r>
      <w:r>
        <w:tab/>
        <w:t>.Omikron. bu</w:t>
      </w:r>
      <w:r>
        <w:tab/>
        <w:t>.obu</w:t>
      </w:r>
    </w:p>
    <w:p w:rsidR="00B72047" w:rsidRDefault="00B72047">
      <w:pPr>
        <w:pStyle w:val="exampwidetabs"/>
      </w:pPr>
      <w:r>
        <w:tab/>
        <w:t>pi</w:t>
      </w:r>
      <w:r>
        <w:tab/>
        <w:t>.pis. bu</w:t>
      </w:r>
      <w:r>
        <w:tab/>
        <w:t>py</w:t>
      </w:r>
    </w:p>
    <w:p w:rsidR="00B72047" w:rsidRDefault="00B72047">
      <w:pPr>
        <w:pStyle w:val="exampwidetabs"/>
      </w:pPr>
      <w:r>
        <w:tab/>
        <w:t>rho</w:t>
      </w:r>
      <w:r>
        <w:tab/>
        <w:t>.ros. bu</w:t>
      </w:r>
      <w:r>
        <w:tab/>
        <w:t>ry</w:t>
      </w:r>
    </w:p>
    <w:p w:rsidR="00B72047" w:rsidRDefault="00B72047">
      <w:pPr>
        <w:pStyle w:val="exampwidetabs"/>
      </w:pPr>
      <w:r>
        <w:tab/>
        <w:t>sigma</w:t>
      </w:r>
      <w:r>
        <w:tab/>
        <w:t>.sigmas. bu</w:t>
      </w:r>
      <w:r>
        <w:tab/>
        <w:t>sy</w:t>
      </w:r>
    </w:p>
    <w:p w:rsidR="00B72047" w:rsidRDefault="00B72047">
      <w:pPr>
        <w:pStyle w:val="exampwidetabs"/>
      </w:pPr>
      <w:r>
        <w:tab/>
        <w:t>tau</w:t>
      </w:r>
      <w:r>
        <w:tab/>
        <w:t>.taus. bu</w:t>
      </w:r>
      <w:r>
        <w:tab/>
        <w:t>ty</w:t>
      </w:r>
    </w:p>
    <w:p w:rsidR="00B72047" w:rsidRDefault="00B72047">
      <w:pPr>
        <w:pStyle w:val="exampwidetabs"/>
      </w:pPr>
      <w:r>
        <w:tab/>
        <w:t>upsilon</w:t>
      </w:r>
      <w:r>
        <w:tab/>
        <w:t>.Upsilon. bu</w:t>
      </w:r>
      <w:r>
        <w:tab/>
        <w:t>.ubu</w:t>
      </w:r>
    </w:p>
    <w:p w:rsidR="00B72047" w:rsidRDefault="00B72047">
      <w:pPr>
        <w:pStyle w:val="exampwidetabs"/>
      </w:pPr>
      <w:r>
        <w:tab/>
        <w:t>phi</w:t>
      </w:r>
      <w:r>
        <w:tab/>
        <w:t>.fis. bu</w:t>
      </w:r>
      <w:r>
        <w:tab/>
        <w:t>py. bu</w:t>
      </w:r>
    </w:p>
    <w:p w:rsidR="00B72047" w:rsidRDefault="00B72047">
      <w:pPr>
        <w:pStyle w:val="exampwidetabs"/>
      </w:pPr>
      <w:r>
        <w:tab/>
        <w:t>chi</w:t>
      </w:r>
      <w:r>
        <w:tab/>
        <w:t>.xis. bu</w:t>
      </w:r>
      <w:r>
        <w:tab/>
        <w:t>ky. bu</w:t>
      </w:r>
    </w:p>
    <w:p w:rsidR="00B72047" w:rsidRDefault="00B72047">
      <w:pPr>
        <w:pStyle w:val="exampwidetabs"/>
      </w:pPr>
      <w:r>
        <w:tab/>
        <w:t>psi</w:t>
      </w:r>
      <w:r>
        <w:tab/>
        <w:t>.psis. bu</w:t>
      </w:r>
      <w:r>
        <w:tab/>
        <w:t>psis. bu</w:t>
      </w:r>
    </w:p>
    <w:p w:rsidR="00B72047" w:rsidRDefault="00B72047">
      <w:pPr>
        <w:pStyle w:val="exampwidetabs"/>
      </w:pPr>
      <w:r>
        <w:tab/>
        <w:t>omega</w:t>
      </w:r>
      <w:r>
        <w:tab/>
        <w:t>.omegas. bu</w:t>
      </w:r>
      <w:r>
        <w:tab/>
        <w:t>.o'obu</w:t>
      </w:r>
    </w:p>
    <w:p w:rsidR="00B72047" w:rsidRDefault="00B72047">
      <w:pPr>
        <w:pStyle w:val="exampwidetabs"/>
      </w:pPr>
      <w:r>
        <w:tab/>
        <w:t>rough</w:t>
      </w:r>
      <w:r>
        <w:tab/>
        <w:t>.dasei,as. bu</w:t>
      </w:r>
      <w:r>
        <w:tab/>
        <w:t>.y'y</w:t>
      </w:r>
    </w:p>
    <w:p w:rsidR="00B72047" w:rsidRDefault="00B72047">
      <w:pPr>
        <w:pStyle w:val="exampwidetabs"/>
      </w:pPr>
      <w:r>
        <w:tab/>
        <w:t>smooth</w:t>
      </w:r>
      <w:r>
        <w:tab/>
        <w:t>.psiles. bu</w:t>
      </w:r>
      <w:r>
        <w:tab/>
        <w:t>xutla bu</w:t>
      </w:r>
    </w:p>
    <w:p w:rsidR="00B72047" w:rsidRDefault="00B72047">
      <w:pPr>
        <w:pStyle w:val="Heading3"/>
        <w:rPr>
          <w:rStyle w:val="Heading3Text"/>
        </w:rPr>
      </w:pPr>
      <w:r>
        <w:rPr>
          <w:rStyle w:val="htmlcodes"/>
        </w:rPr>
        <w:t>&lt;/pre&gt;&lt;a name=s17&gt;&lt;h3&gt;</w:t>
      </w:r>
      <w:bookmarkStart w:id="489" w:name="_Toc398970727"/>
      <w:r>
        <w:rPr>
          <w:rStyle w:val="Heading3Text"/>
        </w:rPr>
        <w:t>Proposed lerfu words for the Cyrillic alphabet</w:t>
      </w:r>
      <w:bookmarkEnd w:id="489"/>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"lerfu words, proposed for Cyrillic alphabet"&gt;</w:t>
      </w:r>
      <w:r>
        <w:rPr>
          <w:rStyle w:val="indexentry"/>
        </w:rPr>
        <w:fldChar w:fldCharType="begin"/>
      </w:r>
      <w:r>
        <w:instrText>xe "</w:instrText>
      </w:r>
      <w:r>
        <w:rPr>
          <w:rStyle w:val="xeentry"/>
        </w:rPr>
        <w:instrText>lerfu words: proposed for Cyrillic alphabet</w:instrText>
      </w:r>
      <w:r>
        <w:instrText>"</w:instrText>
      </w:r>
      <w:r>
        <w:rPr>
          <w:rStyle w:val="indexentry"/>
        </w:rPr>
        <w:fldChar w:fldCharType="end"/>
      </w:r>
      <w:r>
        <w:rPr>
          <w:rStyle w:val="indexentry"/>
        </w:rPr>
        <w:t>&lt;cx "Cyrillic alphabet, proposed lerfu words for"&gt;</w:t>
      </w:r>
      <w:r>
        <w:rPr>
          <w:rStyle w:val="indexentry"/>
        </w:rPr>
        <w:fldChar w:fldCharType="begin"/>
      </w:r>
      <w:r>
        <w:instrText>xe "</w:instrText>
      </w:r>
      <w:r>
        <w:rPr>
          <w:rStyle w:val="xeentry"/>
        </w:rPr>
        <w:instrText>Cyrillic alphabet: proposed lerfu words for</w:instrText>
      </w:r>
      <w:r>
        <w:instrText>"</w:instrText>
      </w:r>
      <w:r>
        <w:rPr>
          <w:rStyle w:val="indexentry"/>
        </w:rPr>
        <w:fldChar w:fldCharType="end"/>
      </w:r>
      <w:r>
        <w:t>The second column in this listing is based on the historical names</w:t>
      </w:r>
      <w:r>
        <w:rPr>
          <w:rStyle w:val="deletedparamark"/>
        </w:rPr>
        <w:t xml:space="preserve"> </w:t>
      </w:r>
      <w:r>
        <w:t>of the letters in Old Church Slavonic. Only those letters used in Russian</w:t>
      </w:r>
      <w:r>
        <w:rPr>
          <w:rStyle w:val="deletedparamark"/>
        </w:rPr>
        <w:t xml:space="preserve"> </w:t>
      </w:r>
      <w:r>
        <w:t>are shown; other languages require more letters which can be devised as</w:t>
      </w:r>
      <w:r>
        <w:rPr>
          <w:rStyle w:val="deletedparamark"/>
        </w:rPr>
        <w:t xml:space="preserve"> </w:t>
      </w:r>
      <w:r>
        <w:t>needed.</w:t>
      </w:r>
    </w:p>
    <w:p w:rsidR="00B72047" w:rsidRDefault="00B72047">
      <w:pPr>
        <w:rPr>
          <w:rStyle w:val="htmlparacode"/>
        </w:rPr>
      </w:pPr>
      <w:r>
        <w:rPr>
          <w:rStyle w:val="htmlparacode"/>
        </w:rPr>
        <w:t>&lt;p&gt;</w:t>
      </w:r>
    </w:p>
    <w:p w:rsidR="00B72047" w:rsidRDefault="00B72047">
      <w:pPr>
        <w:pStyle w:val="examplewtabspre"/>
      </w:pPr>
      <w:r>
        <w:rPr>
          <w:rStyle w:val="htmlcodes"/>
        </w:rPr>
        <w:t>&lt;pre&gt;</w:t>
      </w:r>
      <w:r>
        <w:t xml:space="preserve"> </w:t>
      </w:r>
      <w:r>
        <w:tab/>
        <w:t>a</w:t>
      </w:r>
      <w:r>
        <w:tab/>
        <w:t>.azys. bu</w:t>
      </w:r>
      <w:r>
        <w:tab/>
        <w:t>.abu</w:t>
      </w:r>
    </w:p>
    <w:p w:rsidR="00B72047" w:rsidRDefault="00B72047">
      <w:pPr>
        <w:pStyle w:val="exampwidetabs"/>
      </w:pPr>
      <w:r>
        <w:tab/>
        <w:t>b</w:t>
      </w:r>
      <w:r>
        <w:tab/>
        <w:t>.bukys. bu</w:t>
      </w:r>
      <w:r>
        <w:tab/>
        <w:t>by</w:t>
      </w:r>
    </w:p>
    <w:p w:rsidR="00B72047" w:rsidRDefault="00B72047">
      <w:pPr>
        <w:pStyle w:val="exampwidetabs"/>
      </w:pPr>
      <w:r>
        <w:tab/>
        <w:t>v</w:t>
      </w:r>
      <w:r>
        <w:tab/>
        <w:t>.vedis. bu</w:t>
      </w:r>
      <w:r>
        <w:tab/>
        <w:t>vy</w:t>
      </w:r>
    </w:p>
    <w:p w:rsidR="00B72047" w:rsidRDefault="00B72047">
      <w:pPr>
        <w:pStyle w:val="exampwidetabs"/>
      </w:pPr>
      <w:r>
        <w:tab/>
        <w:t>g</w:t>
      </w:r>
      <w:r>
        <w:tab/>
        <w:t>.glagolis. bu</w:t>
      </w:r>
      <w:r>
        <w:tab/>
        <w:t>gy</w:t>
      </w:r>
    </w:p>
    <w:p w:rsidR="00B72047" w:rsidRDefault="00B72047">
      <w:pPr>
        <w:pStyle w:val="exampwidetabs"/>
      </w:pPr>
      <w:r>
        <w:tab/>
        <w:t>d</w:t>
      </w:r>
      <w:r>
        <w:tab/>
        <w:t>.dobros. bu</w:t>
      </w:r>
      <w:r>
        <w:tab/>
        <w:t>dy</w:t>
      </w:r>
    </w:p>
    <w:p w:rsidR="00B72047" w:rsidRDefault="00B72047">
      <w:pPr>
        <w:pStyle w:val="exampwidetabs"/>
      </w:pPr>
      <w:r>
        <w:tab/>
        <w:t>e</w:t>
      </w:r>
      <w:r>
        <w:tab/>
        <w:t>.iestys. bu</w:t>
      </w:r>
      <w:r>
        <w:tab/>
        <w:t>.ebu</w:t>
      </w:r>
    </w:p>
    <w:p w:rsidR="00B72047" w:rsidRDefault="00B72047">
      <w:pPr>
        <w:pStyle w:val="exampwidetabs"/>
      </w:pPr>
      <w:r>
        <w:tab/>
        <w:t>zh</w:t>
      </w:r>
      <w:r>
        <w:tab/>
        <w:t>.jivet. bu</w:t>
      </w:r>
      <w:r>
        <w:tab/>
        <w:t>jy</w:t>
      </w:r>
    </w:p>
    <w:p w:rsidR="00B72047" w:rsidRDefault="00B72047">
      <w:pPr>
        <w:pStyle w:val="exampwidetabs"/>
      </w:pPr>
      <w:r>
        <w:tab/>
        <w:t>z</w:t>
      </w:r>
      <w:r>
        <w:tab/>
        <w:t>.zemlias. bu</w:t>
      </w:r>
      <w:r>
        <w:tab/>
        <w:t>zy</w:t>
      </w:r>
    </w:p>
    <w:p w:rsidR="00B72047" w:rsidRDefault="00B72047">
      <w:pPr>
        <w:pStyle w:val="exampwidetabs"/>
      </w:pPr>
      <w:r>
        <w:tab/>
        <w:t>i</w:t>
      </w:r>
      <w:r>
        <w:tab/>
        <w:t>.ije,is. bu</w:t>
      </w:r>
      <w:r>
        <w:tab/>
        <w:t>.ibu</w:t>
      </w:r>
    </w:p>
    <w:p w:rsidR="00B72047" w:rsidRDefault="00B72047">
      <w:pPr>
        <w:pStyle w:val="exampwidetabs"/>
      </w:pPr>
      <w:r>
        <w:tab/>
        <w:t>short i</w:t>
      </w:r>
      <w:r>
        <w:tab/>
        <w:t>.itord. bu</w:t>
      </w:r>
      <w:r>
        <w:tab/>
        <w:t>.itord. bu</w:t>
      </w:r>
    </w:p>
    <w:p w:rsidR="00B72047" w:rsidRDefault="00B72047">
      <w:pPr>
        <w:pStyle w:val="exampwidetabs"/>
      </w:pPr>
      <w:r>
        <w:tab/>
        <w:t>k</w:t>
      </w:r>
      <w:r>
        <w:tab/>
        <w:t>.kakos. bu</w:t>
      </w:r>
      <w:r>
        <w:tab/>
        <w:t>ky</w:t>
      </w:r>
    </w:p>
    <w:p w:rsidR="00B72047" w:rsidRDefault="00B72047">
      <w:pPr>
        <w:pStyle w:val="exampwidetabs"/>
      </w:pPr>
      <w:r>
        <w:tab/>
        <w:t>l</w:t>
      </w:r>
      <w:r>
        <w:tab/>
        <w:t>.liudi,ies. bu</w:t>
      </w:r>
      <w:r>
        <w:tab/>
        <w:t>ly</w:t>
      </w:r>
    </w:p>
    <w:p w:rsidR="00B72047" w:rsidRDefault="00B72047">
      <w:pPr>
        <w:pStyle w:val="exampwidetabs"/>
      </w:pPr>
      <w:r>
        <w:tab/>
        <w:t>m</w:t>
      </w:r>
      <w:r>
        <w:tab/>
        <w:t>.myslites. bu</w:t>
      </w:r>
      <w:r>
        <w:tab/>
        <w:t>my</w:t>
      </w:r>
    </w:p>
    <w:p w:rsidR="00B72047" w:rsidRDefault="00B72047">
      <w:pPr>
        <w:pStyle w:val="exampwidetabs"/>
      </w:pPr>
      <w:r>
        <w:tab/>
        <w:t>n</w:t>
      </w:r>
      <w:r>
        <w:tab/>
        <w:t>.naciys. bu</w:t>
      </w:r>
      <w:r>
        <w:tab/>
        <w:t>ny</w:t>
      </w:r>
    </w:p>
    <w:p w:rsidR="00B72047" w:rsidRDefault="00B72047">
      <w:pPr>
        <w:pStyle w:val="exampwidetabs"/>
      </w:pPr>
      <w:r>
        <w:tab/>
        <w:t>o</w:t>
      </w:r>
      <w:r>
        <w:tab/>
        <w:t>.onys. bu</w:t>
      </w:r>
      <w:r>
        <w:tab/>
        <w:t>.obu</w:t>
      </w:r>
    </w:p>
    <w:p w:rsidR="00B72047" w:rsidRDefault="00B72047">
      <w:pPr>
        <w:pStyle w:val="exampwidetabs"/>
      </w:pPr>
      <w:r>
        <w:tab/>
        <w:t>p</w:t>
      </w:r>
      <w:r>
        <w:tab/>
        <w:t>.pokois. bu</w:t>
      </w:r>
      <w:r>
        <w:tab/>
        <w:t>py</w:t>
      </w:r>
    </w:p>
    <w:p w:rsidR="00B72047" w:rsidRDefault="00B72047">
      <w:pPr>
        <w:pStyle w:val="exampwidetabs"/>
      </w:pPr>
      <w:r>
        <w:tab/>
        <w:t>r</w:t>
      </w:r>
      <w:r>
        <w:tab/>
        <w:t>.riytsis. bu</w:t>
      </w:r>
      <w:r>
        <w:tab/>
        <w:t>ry</w:t>
      </w:r>
    </w:p>
    <w:p w:rsidR="00B72047" w:rsidRDefault="00B72047">
      <w:pPr>
        <w:pStyle w:val="exampwidetabs"/>
      </w:pPr>
      <w:r>
        <w:tab/>
        <w:t>s</w:t>
      </w:r>
      <w:r>
        <w:tab/>
        <w:t>.slovos. bu</w:t>
      </w:r>
      <w:r>
        <w:tab/>
        <w:t>sy</w:t>
      </w:r>
    </w:p>
    <w:p w:rsidR="00B72047" w:rsidRDefault="00B72047">
      <w:pPr>
        <w:pStyle w:val="exampwidetabs"/>
      </w:pPr>
      <w:r>
        <w:tab/>
        <w:t>t</w:t>
      </w:r>
      <w:r>
        <w:tab/>
        <w:t>.tvriydos. bu</w:t>
      </w:r>
      <w:r>
        <w:tab/>
        <w:t>ty</w:t>
      </w:r>
    </w:p>
    <w:p w:rsidR="00B72047" w:rsidRDefault="00B72047">
      <w:pPr>
        <w:pStyle w:val="exampwidetabs"/>
      </w:pPr>
      <w:r>
        <w:tab/>
        <w:t>u</w:t>
      </w:r>
      <w:r>
        <w:tab/>
        <w:t>.ukys. bu</w:t>
      </w:r>
      <w:r>
        <w:tab/>
        <w:t>.ubu</w:t>
      </w:r>
    </w:p>
    <w:p w:rsidR="00B72047" w:rsidRDefault="00B72047">
      <w:pPr>
        <w:pStyle w:val="exampwidetabs"/>
      </w:pPr>
      <w:r>
        <w:tab/>
        <w:t>f</w:t>
      </w:r>
      <w:r>
        <w:tab/>
        <w:t>.friytys. bu</w:t>
      </w:r>
      <w:r>
        <w:tab/>
        <w:t>fy</w:t>
      </w:r>
    </w:p>
    <w:p w:rsidR="00B72047" w:rsidRDefault="00B72047">
      <w:pPr>
        <w:pStyle w:val="exampwidetabs"/>
      </w:pPr>
      <w:r>
        <w:tab/>
        <w:t>kh</w:t>
      </w:r>
      <w:r>
        <w:tab/>
        <w:t>.xerys. bu</w:t>
      </w:r>
      <w:r>
        <w:tab/>
        <w:t>xy</w:t>
      </w:r>
    </w:p>
    <w:p w:rsidR="00B72047" w:rsidRDefault="00B72047">
      <w:pPr>
        <w:pStyle w:val="exampwidetabs"/>
      </w:pPr>
      <w:r>
        <w:tab/>
        <w:t>ts</w:t>
      </w:r>
      <w:r>
        <w:tab/>
        <w:t>.tsis. bu</w:t>
      </w:r>
      <w:r>
        <w:tab/>
        <w:t>tsys. bu</w:t>
      </w:r>
    </w:p>
    <w:p w:rsidR="00B72047" w:rsidRDefault="00B72047">
      <w:pPr>
        <w:pStyle w:val="exampwidetabs"/>
      </w:pPr>
      <w:r>
        <w:tab/>
        <w:t>ch</w:t>
      </w:r>
      <w:r>
        <w:tab/>
        <w:t>.tcriyviys. bu</w:t>
      </w:r>
      <w:r>
        <w:tab/>
        <w:t>tcys. bu</w:t>
      </w:r>
    </w:p>
    <w:p w:rsidR="00B72047" w:rsidRDefault="00B72047">
      <w:pPr>
        <w:pStyle w:val="exampwidetabs"/>
      </w:pPr>
      <w:r>
        <w:tab/>
        <w:t>sh</w:t>
      </w:r>
      <w:r>
        <w:tab/>
        <w:t>.cas. bu</w:t>
      </w:r>
      <w:r>
        <w:tab/>
        <w:t>cy</w:t>
      </w:r>
    </w:p>
    <w:p w:rsidR="00B72047" w:rsidRDefault="00B72047">
      <w:pPr>
        <w:pStyle w:val="exampwidetabs"/>
      </w:pPr>
      <w:r>
        <w:tab/>
        <w:t>shch</w:t>
      </w:r>
      <w:r>
        <w:tab/>
        <w:t>.ctas. bu</w:t>
      </w:r>
      <w:r>
        <w:tab/>
        <w:t>ctcys. bu</w:t>
      </w:r>
    </w:p>
    <w:p w:rsidR="00B72047" w:rsidRDefault="00B72047">
      <w:pPr>
        <w:pStyle w:val="exampwidetabs"/>
      </w:pPr>
      <w:r>
        <w:tab/>
        <w:t>hard sign</w:t>
      </w:r>
      <w:r>
        <w:tab/>
        <w:t>.ier. bu</w:t>
      </w:r>
      <w:r>
        <w:tab/>
        <w:t>jdari bu</w:t>
      </w:r>
    </w:p>
    <w:p w:rsidR="00B72047" w:rsidRDefault="00B72047">
      <w:pPr>
        <w:pStyle w:val="exampwidetabs"/>
      </w:pPr>
      <w:r>
        <w:tab/>
        <w:t>yeri</w:t>
      </w:r>
      <w:r>
        <w:tab/>
        <w:t>.ierys. bu</w:t>
      </w:r>
      <w:r>
        <w:tab/>
        <w:t>.y.bu</w:t>
      </w:r>
    </w:p>
    <w:p w:rsidR="00B72047" w:rsidRDefault="00B72047">
      <w:pPr>
        <w:pStyle w:val="exampwidetabs"/>
      </w:pPr>
      <w:r>
        <w:tab/>
        <w:t>soft sign</w:t>
      </w:r>
      <w:r>
        <w:tab/>
        <w:t>.ieriys. bu</w:t>
      </w:r>
      <w:r>
        <w:tab/>
        <w:t>ranti bu</w:t>
      </w:r>
    </w:p>
    <w:p w:rsidR="00B72047" w:rsidRDefault="00B72047">
      <w:pPr>
        <w:pStyle w:val="exampwidetabs"/>
      </w:pPr>
      <w:r>
        <w:tab/>
        <w:t>reversed e</w:t>
      </w:r>
      <w:r>
        <w:tab/>
        <w:t>.ecarn. bu</w:t>
      </w:r>
      <w:r>
        <w:tab/>
        <w:t>.ecarn. bu</w:t>
      </w:r>
    </w:p>
    <w:p w:rsidR="00B72047" w:rsidRDefault="00B72047">
      <w:pPr>
        <w:pStyle w:val="exampwidetabs"/>
      </w:pPr>
      <w:r>
        <w:tab/>
        <w:t>yu</w:t>
      </w:r>
      <w:r>
        <w:tab/>
        <w:t>.ius. bu</w:t>
      </w:r>
      <w:r>
        <w:tab/>
        <w:t>.iubu</w:t>
      </w:r>
    </w:p>
    <w:p w:rsidR="00B72047" w:rsidRDefault="00B72047">
      <w:pPr>
        <w:pStyle w:val="exampwidetabs"/>
      </w:pPr>
      <w:r>
        <w:tab/>
        <w:t>ya</w:t>
      </w:r>
      <w:r>
        <w:tab/>
        <w:t>.ias. bu</w:t>
      </w:r>
      <w:r>
        <w:tab/>
        <w:t>.iabu</w:t>
      </w:r>
    </w:p>
    <w:p w:rsidR="00B72047" w:rsidRDefault="00B72047">
      <w:pPr>
        <w:pStyle w:val="Heading3"/>
        <w:spacing w:before="0"/>
        <w:rPr>
          <w:rStyle w:val="Heading3Text"/>
        </w:rPr>
      </w:pPr>
      <w:r>
        <w:rPr>
          <w:rStyle w:val="htmlcodes"/>
          <w:vanish w:val="0"/>
        </w:rPr>
        <w:br w:type="page"/>
      </w:r>
      <w:r>
        <w:rPr>
          <w:rStyle w:val="htmlcodes"/>
        </w:rPr>
        <w:t>&lt;/pre&gt;&lt;a name=s18&gt;&lt;h3&gt;</w:t>
      </w:r>
      <w:bookmarkStart w:id="490" w:name="_Toc398970728"/>
      <w:r>
        <w:rPr>
          <w:rStyle w:val="Heading3Text"/>
        </w:rPr>
        <w:t>Proposed lerfu words for the Hebrew alphabet</w:t>
      </w:r>
      <w:bookmarkEnd w:id="490"/>
      <w:r>
        <w:rPr>
          <w:rStyle w:val="htmlcodes"/>
        </w:rPr>
        <w:t>&lt;/h3&gt;</w:t>
      </w:r>
    </w:p>
    <w:p w:rsidR="00B72047" w:rsidRDefault="00B72047">
      <w:pPr>
        <w:rPr>
          <w:rStyle w:val="htmlparacode"/>
        </w:rPr>
      </w:pPr>
      <w:r>
        <w:rPr>
          <w:rStyle w:val="htmlparacode"/>
        </w:rPr>
        <w:t>&lt;p&gt;</w:t>
      </w:r>
    </w:p>
    <w:p w:rsidR="00B72047" w:rsidRDefault="00B72047">
      <w:pPr>
        <w:pStyle w:val="examplewtabspre"/>
        <w:spacing w:before="40"/>
      </w:pPr>
      <w:r>
        <w:rPr>
          <w:rStyle w:val="indexentry"/>
        </w:rPr>
        <w:t>&lt;cx "lerfu words, proposed for Hebrew alphabet"&gt;</w:t>
      </w:r>
      <w:r>
        <w:rPr>
          <w:rStyle w:val="indexentry"/>
        </w:rPr>
        <w:fldChar w:fldCharType="begin"/>
      </w:r>
      <w:r>
        <w:instrText>xe "</w:instrText>
      </w:r>
      <w:r>
        <w:rPr>
          <w:rStyle w:val="xeentry"/>
        </w:rPr>
        <w:instrText>lerfu words: proposed for Hebrew alphabet</w:instrText>
      </w:r>
      <w:r>
        <w:instrText>"</w:instrText>
      </w:r>
      <w:r>
        <w:rPr>
          <w:rStyle w:val="indexentry"/>
        </w:rPr>
        <w:fldChar w:fldCharType="end"/>
      </w:r>
      <w:r>
        <w:rPr>
          <w:rStyle w:val="indexentry"/>
        </w:rPr>
        <w:t>&lt;cx "Hebrew alphabet, proposed lerfu words for"&gt;</w:t>
      </w:r>
      <w:r>
        <w:rPr>
          <w:rStyle w:val="indexentry"/>
        </w:rPr>
        <w:fldChar w:fldCharType="begin"/>
      </w:r>
      <w:r>
        <w:instrText>xe "</w:instrText>
      </w:r>
      <w:r>
        <w:rPr>
          <w:rStyle w:val="xeentry"/>
        </w:rPr>
        <w:instrText>Hebrew alphabet: proposed lerfu words for</w:instrText>
      </w:r>
      <w:r>
        <w:instrText>"</w:instrText>
      </w:r>
      <w:r>
        <w:rPr>
          <w:rStyle w:val="indexentry"/>
        </w:rPr>
        <w:fldChar w:fldCharType="end"/>
      </w:r>
      <w:r>
        <w:rPr>
          <w:rStyle w:val="htmlcodes"/>
        </w:rPr>
        <w:t>&lt;pre&gt;</w:t>
      </w:r>
      <w:r>
        <w:t xml:space="preserve"> </w:t>
      </w:r>
      <w:r>
        <w:tab/>
        <w:t>aleph</w:t>
      </w:r>
      <w:r>
        <w:tab/>
        <w:t>.alef. bu</w:t>
      </w:r>
      <w:r>
        <w:tab/>
        <w:t>.alef. bu</w:t>
      </w:r>
    </w:p>
    <w:p w:rsidR="00B72047" w:rsidRDefault="00B72047">
      <w:pPr>
        <w:pStyle w:val="exampwidetabs"/>
      </w:pPr>
      <w:r>
        <w:tab/>
        <w:t>bet</w:t>
      </w:r>
      <w:r>
        <w:tab/>
        <w:t>.bet. bu</w:t>
      </w:r>
      <w:r>
        <w:tab/>
        <w:t>by</w:t>
      </w:r>
    </w:p>
    <w:p w:rsidR="00B72047" w:rsidRDefault="00B72047">
      <w:pPr>
        <w:pStyle w:val="exampwidetabs"/>
      </w:pPr>
      <w:r>
        <w:tab/>
        <w:t>gimel</w:t>
      </w:r>
      <w:r>
        <w:tab/>
        <w:t>.gimel. bu</w:t>
      </w:r>
      <w:r>
        <w:tab/>
        <w:t>gy</w:t>
      </w:r>
    </w:p>
    <w:p w:rsidR="00B72047" w:rsidRDefault="00B72047">
      <w:pPr>
        <w:pStyle w:val="exampwidetabs"/>
      </w:pPr>
      <w:r>
        <w:tab/>
        <w:t>daled</w:t>
      </w:r>
      <w:r>
        <w:tab/>
        <w:t>.daled. bu</w:t>
      </w:r>
      <w:r>
        <w:tab/>
        <w:t>dy</w:t>
      </w:r>
    </w:p>
    <w:p w:rsidR="00B72047" w:rsidRDefault="00B72047">
      <w:pPr>
        <w:pStyle w:val="exampwidetabs"/>
      </w:pPr>
      <w:r>
        <w:tab/>
        <w:t>he</w:t>
      </w:r>
      <w:r>
        <w:tab/>
        <w:t>.xex. bu</w:t>
      </w:r>
      <w:r>
        <w:tab/>
        <w:t>.y'y</w:t>
      </w:r>
    </w:p>
    <w:p w:rsidR="00B72047" w:rsidRDefault="00B72047">
      <w:pPr>
        <w:pStyle w:val="exampwidetabs"/>
      </w:pPr>
      <w:r>
        <w:tab/>
        <w:t>vav</w:t>
      </w:r>
      <w:r>
        <w:tab/>
        <w:t>.vav. bu</w:t>
      </w:r>
      <w:r>
        <w:tab/>
        <w:t>vy</w:t>
      </w:r>
    </w:p>
    <w:p w:rsidR="00B72047" w:rsidRDefault="00B72047">
      <w:pPr>
        <w:pStyle w:val="exampwidetabs"/>
      </w:pPr>
      <w:r>
        <w:tab/>
        <w:t>zayin</w:t>
      </w:r>
      <w:r>
        <w:tab/>
        <w:t>.zai,in. bu</w:t>
      </w:r>
      <w:r>
        <w:tab/>
        <w:t>zy</w:t>
      </w:r>
    </w:p>
    <w:p w:rsidR="00B72047" w:rsidRDefault="00B72047">
      <w:pPr>
        <w:pStyle w:val="exampwidetabs"/>
      </w:pPr>
      <w:r>
        <w:tab/>
        <w:t>khet</w:t>
      </w:r>
      <w:r>
        <w:tab/>
        <w:t>.xet. bu</w:t>
      </w:r>
      <w:r>
        <w:tab/>
        <w:t>xy. bu</w:t>
      </w:r>
    </w:p>
    <w:p w:rsidR="00B72047" w:rsidRDefault="00B72047">
      <w:pPr>
        <w:pStyle w:val="exampwidetabs"/>
      </w:pPr>
      <w:r>
        <w:tab/>
        <w:t>tet</w:t>
      </w:r>
      <w:r>
        <w:tab/>
        <w:t>.tet. bu</w:t>
      </w:r>
      <w:r>
        <w:tab/>
        <w:t>ty. bu</w:t>
      </w:r>
    </w:p>
    <w:p w:rsidR="00B72047" w:rsidRDefault="00B72047">
      <w:pPr>
        <w:pStyle w:val="exampwidetabs"/>
      </w:pPr>
      <w:r>
        <w:tab/>
        <w:t>yud</w:t>
      </w:r>
      <w:r>
        <w:tab/>
        <w:t>.iud. bu</w:t>
      </w:r>
      <w:r>
        <w:tab/>
        <w:t>.iud. bu</w:t>
      </w:r>
    </w:p>
    <w:p w:rsidR="00B72047" w:rsidRDefault="00B72047">
      <w:pPr>
        <w:pStyle w:val="exampwidetabs"/>
      </w:pPr>
      <w:r>
        <w:tab/>
        <w:t>kaf</w:t>
      </w:r>
      <w:r>
        <w:tab/>
        <w:t>.kaf. bu</w:t>
      </w:r>
      <w:r>
        <w:tab/>
        <w:t>ky</w:t>
      </w:r>
    </w:p>
    <w:p w:rsidR="00B72047" w:rsidRDefault="00B72047">
      <w:pPr>
        <w:pStyle w:val="exampwidetabs"/>
      </w:pPr>
      <w:r>
        <w:tab/>
        <w:t>lamed</w:t>
      </w:r>
      <w:r>
        <w:tab/>
        <w:t>.LYmed. bu</w:t>
      </w:r>
      <w:r>
        <w:tab/>
        <w:t>ly</w:t>
      </w:r>
    </w:p>
    <w:p w:rsidR="00B72047" w:rsidRDefault="00B72047">
      <w:pPr>
        <w:pStyle w:val="exampwidetabs"/>
      </w:pPr>
      <w:r>
        <w:tab/>
        <w:t>mem</w:t>
      </w:r>
      <w:r>
        <w:tab/>
        <w:t>.mem. bu</w:t>
      </w:r>
      <w:r>
        <w:tab/>
        <w:t>my</w:t>
      </w:r>
    </w:p>
    <w:p w:rsidR="00B72047" w:rsidRDefault="00B72047">
      <w:pPr>
        <w:pStyle w:val="exampwidetabs"/>
      </w:pPr>
      <w:r>
        <w:tab/>
        <w:t>nun</w:t>
      </w:r>
      <w:r>
        <w:tab/>
        <w:t>.nun. bu</w:t>
      </w:r>
      <w:r>
        <w:tab/>
        <w:t>ny</w:t>
      </w:r>
    </w:p>
    <w:p w:rsidR="00B72047" w:rsidRDefault="00B72047">
      <w:pPr>
        <w:pStyle w:val="exampwidetabs"/>
      </w:pPr>
      <w:r>
        <w:tab/>
        <w:t>samekh</w:t>
      </w:r>
      <w:r>
        <w:tab/>
        <w:t>.samex. bu</w:t>
      </w:r>
      <w:r>
        <w:tab/>
        <w:t>samex. bu</w:t>
      </w:r>
    </w:p>
    <w:p w:rsidR="00B72047" w:rsidRDefault="00B72047">
      <w:pPr>
        <w:pStyle w:val="exampwidetabs"/>
      </w:pPr>
      <w:r>
        <w:tab/>
        <w:t>ayin</w:t>
      </w:r>
      <w:r>
        <w:tab/>
        <w:t>.ai,in. bu</w:t>
      </w:r>
      <w:r>
        <w:tab/>
        <w:t>.ai,in bu</w:t>
      </w:r>
    </w:p>
    <w:p w:rsidR="00B72047" w:rsidRDefault="00B72047">
      <w:pPr>
        <w:pStyle w:val="exampwidetabs"/>
      </w:pPr>
      <w:r>
        <w:tab/>
        <w:t>pe</w:t>
      </w:r>
      <w:r>
        <w:tab/>
        <w:t>.pex. bu</w:t>
      </w:r>
      <w:r>
        <w:tab/>
        <w:t>py</w:t>
      </w:r>
    </w:p>
    <w:p w:rsidR="00B72047" w:rsidRDefault="00B72047">
      <w:pPr>
        <w:pStyle w:val="exampwidetabs"/>
      </w:pPr>
      <w:r>
        <w:tab/>
        <w:t>tzadi</w:t>
      </w:r>
      <w:r>
        <w:tab/>
        <w:t>.tsadik. bu</w:t>
      </w:r>
      <w:r>
        <w:tab/>
        <w:t>tsadik. bu</w:t>
      </w:r>
    </w:p>
    <w:p w:rsidR="00B72047" w:rsidRDefault="00B72047">
      <w:pPr>
        <w:pStyle w:val="exampwidetabs"/>
      </w:pPr>
      <w:r>
        <w:tab/>
        <w:t>quf</w:t>
      </w:r>
      <w:r>
        <w:tab/>
        <w:t>.kuf. bu</w:t>
      </w:r>
      <w:r>
        <w:tab/>
        <w:t>ky. bu</w:t>
      </w:r>
    </w:p>
    <w:p w:rsidR="00B72047" w:rsidRDefault="00B72047">
      <w:pPr>
        <w:pStyle w:val="exampwidetabs"/>
      </w:pPr>
      <w:r>
        <w:tab/>
        <w:t>resh</w:t>
      </w:r>
      <w:r>
        <w:tab/>
        <w:t>.rec. bu</w:t>
      </w:r>
      <w:r>
        <w:tab/>
        <w:t>ry</w:t>
      </w:r>
    </w:p>
    <w:p w:rsidR="00B72047" w:rsidRDefault="00B72047">
      <w:pPr>
        <w:pStyle w:val="exampwidetabs"/>
      </w:pPr>
      <w:r>
        <w:tab/>
        <w:t>shin</w:t>
      </w:r>
      <w:r>
        <w:tab/>
        <w:t>.cin. bu</w:t>
      </w:r>
      <w:r>
        <w:tab/>
        <w:t>cy</w:t>
      </w:r>
    </w:p>
    <w:p w:rsidR="00B72047" w:rsidRDefault="00B72047">
      <w:pPr>
        <w:pStyle w:val="exampwidetabs"/>
      </w:pPr>
      <w:r>
        <w:tab/>
        <w:t>sin</w:t>
      </w:r>
      <w:r>
        <w:tab/>
        <w:t>.sin. bu</w:t>
      </w:r>
      <w:r>
        <w:tab/>
        <w:t>sy</w:t>
      </w:r>
    </w:p>
    <w:p w:rsidR="00B72047" w:rsidRDefault="00B72047">
      <w:pPr>
        <w:pStyle w:val="exampwidetabs"/>
      </w:pPr>
      <w:r>
        <w:tab/>
        <w:t>taf</w:t>
      </w:r>
      <w:r>
        <w:tab/>
        <w:t>.taf. bu</w:t>
      </w:r>
      <w:r>
        <w:tab/>
        <w:t>ty.</w:t>
      </w:r>
    </w:p>
    <w:p w:rsidR="00B72047" w:rsidRDefault="00B72047">
      <w:pPr>
        <w:pStyle w:val="exampwidetabs"/>
      </w:pPr>
      <w:r>
        <w:tab/>
        <w:t>dagesh</w:t>
      </w:r>
      <w:r>
        <w:tab/>
        <w:t>.daGEC. bu</w:t>
      </w:r>
      <w:r>
        <w:tab/>
        <w:t>daGEC. bu</w:t>
      </w:r>
    </w:p>
    <w:p w:rsidR="00B72047" w:rsidRDefault="00B72047">
      <w:pPr>
        <w:pStyle w:val="exampwidetabs"/>
      </w:pPr>
      <w:r>
        <w:tab/>
        <w:t>hiriq</w:t>
      </w:r>
      <w:r>
        <w:tab/>
        <w:t>.xirik. bu</w:t>
      </w:r>
      <w:r>
        <w:tab/>
        <w:t>.ibu</w:t>
      </w:r>
    </w:p>
    <w:p w:rsidR="00B72047" w:rsidRDefault="00B72047">
      <w:pPr>
        <w:pStyle w:val="exampwidetabs"/>
      </w:pPr>
      <w:r>
        <w:tab/>
        <w:t>tzeirekh</w:t>
      </w:r>
      <w:r>
        <w:tab/>
        <w:t>.tseirex. bu</w:t>
      </w:r>
      <w:r>
        <w:tab/>
        <w:t>.eibu</w:t>
      </w:r>
    </w:p>
    <w:p w:rsidR="00B72047" w:rsidRDefault="00B72047">
      <w:pPr>
        <w:pStyle w:val="exampwidetabs"/>
      </w:pPr>
      <w:r>
        <w:tab/>
        <w:t>segol</w:t>
      </w:r>
      <w:r>
        <w:tab/>
        <w:t>.seGOL. bu</w:t>
      </w:r>
      <w:r>
        <w:tab/>
        <w:t>.ebu</w:t>
      </w:r>
    </w:p>
    <w:p w:rsidR="00B72047" w:rsidRDefault="00B72047">
      <w:pPr>
        <w:pStyle w:val="exampwidetabs"/>
      </w:pPr>
      <w:r>
        <w:tab/>
        <w:t>qubbutz</w:t>
      </w:r>
      <w:r>
        <w:tab/>
        <w:t>.kubuts. bu</w:t>
      </w:r>
      <w:r>
        <w:tab/>
        <w:t>.ubu</w:t>
      </w:r>
    </w:p>
    <w:p w:rsidR="00B72047" w:rsidRDefault="00B72047">
      <w:pPr>
        <w:pStyle w:val="exampwidetabs"/>
      </w:pPr>
      <w:r>
        <w:tab/>
        <w:t>qamatz</w:t>
      </w:r>
      <w:r>
        <w:tab/>
        <w:t>.kamats. bu</w:t>
      </w:r>
      <w:r>
        <w:tab/>
        <w:t>.abu</w:t>
      </w:r>
    </w:p>
    <w:p w:rsidR="00B72047" w:rsidRDefault="00B72047">
      <w:pPr>
        <w:pStyle w:val="exampwidetabs"/>
      </w:pPr>
      <w:r>
        <w:tab/>
        <w:t>patach</w:t>
      </w:r>
      <w:r>
        <w:tab/>
        <w:t>.patax. bu</w:t>
      </w:r>
      <w:r>
        <w:tab/>
        <w:t>.a'abu</w:t>
      </w:r>
    </w:p>
    <w:p w:rsidR="00B72047" w:rsidRDefault="00B72047">
      <w:pPr>
        <w:pStyle w:val="exampwidetabs"/>
      </w:pPr>
      <w:r>
        <w:tab/>
        <w:t>sheva</w:t>
      </w:r>
      <w:r>
        <w:tab/>
        <w:t>.cyVAS. bu</w:t>
      </w:r>
      <w:r>
        <w:tab/>
        <w:t>.y.bu</w:t>
      </w:r>
    </w:p>
    <w:p w:rsidR="00B72047" w:rsidRDefault="00B72047">
      <w:pPr>
        <w:pStyle w:val="exampwidetabs"/>
      </w:pPr>
      <w:r>
        <w:tab/>
        <w:t>kholem</w:t>
      </w:r>
      <w:r>
        <w:tab/>
        <w:t>.xolem. bu</w:t>
      </w:r>
      <w:r>
        <w:tab/>
        <w:t>.obu</w:t>
      </w:r>
    </w:p>
    <w:p w:rsidR="00B72047" w:rsidRDefault="00B72047">
      <w:pPr>
        <w:pStyle w:val="exampwidetabs"/>
      </w:pPr>
      <w:r>
        <w:tab/>
        <w:t>shuruq</w:t>
      </w:r>
      <w:r>
        <w:tab/>
        <w:t>.curuk. bu</w:t>
      </w:r>
      <w:r>
        <w:tab/>
        <w:t>.u'ubu</w:t>
      </w:r>
    </w:p>
    <w:p w:rsidR="00B72047" w:rsidRDefault="00B72047">
      <w:pPr>
        <w:pStyle w:val="Heading3"/>
        <w:spacing w:before="0"/>
        <w:rPr>
          <w:rStyle w:val="Heading3Text"/>
        </w:rPr>
      </w:pPr>
      <w:r>
        <w:rPr>
          <w:rStyle w:val="htmlcodes"/>
          <w:vanish w:val="0"/>
        </w:rPr>
        <w:br w:type="page"/>
      </w:r>
      <w:r>
        <w:rPr>
          <w:rStyle w:val="htmlcodes"/>
        </w:rPr>
        <w:t>&lt;/pre&gt;&lt;a name=s19&gt;&lt;h3&gt;</w:t>
      </w:r>
      <w:bookmarkStart w:id="491" w:name="_Toc398970729"/>
      <w:r>
        <w:rPr>
          <w:rStyle w:val="Heading3Text"/>
        </w:rPr>
        <w:t>Proposed lerfu words for some accent marks and multiple letters</w:t>
      </w:r>
      <w:bookmarkEnd w:id="491"/>
      <w:r>
        <w:rPr>
          <w:rStyle w:val="htmlcodes"/>
        </w:rPr>
        <w:t>&lt;/h3&gt;</w:t>
      </w:r>
    </w:p>
    <w:p w:rsidR="00B72047" w:rsidRDefault="00B72047">
      <w:pPr>
        <w:rPr>
          <w:rStyle w:val="htmlparacode"/>
        </w:rPr>
      </w:pPr>
      <w:r>
        <w:rPr>
          <w:rStyle w:val="htmlparacode"/>
        </w:rPr>
        <w:t>&lt;p&gt;</w:t>
      </w:r>
    </w:p>
    <w:p w:rsidR="00B72047" w:rsidRDefault="00B72047">
      <w:pPr>
        <w:rPr>
          <w:rStyle w:val="htmlparacode"/>
        </w:rPr>
      </w:pPr>
      <w:r>
        <w:rPr>
          <w:rStyle w:val="indexentry"/>
        </w:rPr>
        <w:t>&lt;cx "lerfu words, proposed for accent marks"&gt;</w:t>
      </w:r>
      <w:r>
        <w:rPr>
          <w:rStyle w:val="indexentry"/>
        </w:rPr>
        <w:fldChar w:fldCharType="begin"/>
      </w:r>
      <w:r>
        <w:instrText>xe "</w:instrText>
      </w:r>
      <w:r>
        <w:rPr>
          <w:rStyle w:val="xeentry"/>
        </w:rPr>
        <w:instrText>lerfu words: proposed for accent marks</w:instrText>
      </w:r>
      <w:r>
        <w:instrText>"</w:instrText>
      </w:r>
      <w:r>
        <w:rPr>
          <w:rStyle w:val="indexentry"/>
        </w:rPr>
        <w:fldChar w:fldCharType="end"/>
      </w:r>
      <w:r>
        <w:rPr>
          <w:rStyle w:val="indexentry"/>
        </w:rPr>
        <w:t>&lt;cx "lerfu words, proposed for diacritic marks"&gt;</w:t>
      </w:r>
      <w:r>
        <w:rPr>
          <w:rStyle w:val="indexentry"/>
        </w:rPr>
        <w:fldChar w:fldCharType="begin"/>
      </w:r>
      <w:r>
        <w:instrText>xe "</w:instrText>
      </w:r>
      <w:r>
        <w:rPr>
          <w:rStyle w:val="xeentry"/>
        </w:rPr>
        <w:instrText>lerfu words: proposed for diacritic marks</w:instrText>
      </w:r>
      <w:r>
        <w:instrText>"</w:instrText>
      </w:r>
      <w:r>
        <w:rPr>
          <w:rStyle w:val="indexentry"/>
        </w:rPr>
        <w:fldChar w:fldCharType="end"/>
      </w:r>
      <w:r>
        <w:rPr>
          <w:rStyle w:val="indexentry"/>
        </w:rPr>
        <w:t>&lt;cx "lerfu words, proposed for multiple letters"&gt;</w:t>
      </w:r>
      <w:r>
        <w:rPr>
          <w:rStyle w:val="indexentry"/>
        </w:rPr>
        <w:fldChar w:fldCharType="begin"/>
      </w:r>
      <w:r>
        <w:instrText>xe "</w:instrText>
      </w:r>
      <w:r>
        <w:rPr>
          <w:rStyle w:val="xeentry"/>
        </w:rPr>
        <w:instrText>lerfu words: proposed for multiple letters</w:instrText>
      </w:r>
      <w:r>
        <w:instrText>"</w:instrText>
      </w:r>
      <w:r>
        <w:rPr>
          <w:rStyle w:val="indexentry"/>
        </w:rPr>
        <w:fldChar w:fldCharType="end"/>
      </w:r>
      <w:r>
        <w:rPr>
          <w:rStyle w:val="indexentry"/>
        </w:rPr>
        <w:t>&lt;cx "accent marks, proposed lerfu words for"&gt;</w:t>
      </w:r>
      <w:r>
        <w:rPr>
          <w:rStyle w:val="indexentry"/>
        </w:rPr>
        <w:fldChar w:fldCharType="begin"/>
      </w:r>
      <w:r>
        <w:instrText>xe "</w:instrText>
      </w:r>
      <w:r>
        <w:rPr>
          <w:rStyle w:val="xeentry"/>
        </w:rPr>
        <w:instrText>accent marks: proposed lerfu words for</w:instrText>
      </w:r>
      <w:r>
        <w:instrText>"</w:instrText>
      </w:r>
      <w:r>
        <w:rPr>
          <w:rStyle w:val="indexentry"/>
        </w:rPr>
        <w:fldChar w:fldCharType="end"/>
      </w:r>
      <w:r>
        <w:rPr>
          <w:rStyle w:val="indexentry"/>
        </w:rPr>
        <w:t>&lt;cx "diacritic marks, proposed lerfu words for"&gt;</w:t>
      </w:r>
      <w:r>
        <w:rPr>
          <w:rStyle w:val="indexentry"/>
        </w:rPr>
        <w:fldChar w:fldCharType="begin"/>
      </w:r>
      <w:r>
        <w:instrText>xe "</w:instrText>
      </w:r>
      <w:r>
        <w:rPr>
          <w:rStyle w:val="xeentry"/>
        </w:rPr>
        <w:instrText>diacritic marks: proposed lerfu words for</w:instrText>
      </w:r>
      <w:r>
        <w:instrText>"</w:instrText>
      </w:r>
      <w:r>
        <w:rPr>
          <w:rStyle w:val="indexentry"/>
        </w:rPr>
        <w:fldChar w:fldCharType="end"/>
      </w:r>
      <w:r>
        <w:rPr>
          <w:rStyle w:val="indexentry"/>
        </w:rPr>
        <w:t>&lt;cx "multiple letters, proposed lerfu words for"&gt;</w:t>
      </w:r>
      <w:r>
        <w:rPr>
          <w:rStyle w:val="indexentry"/>
        </w:rPr>
        <w:fldChar w:fldCharType="begin"/>
      </w:r>
      <w:r>
        <w:instrText>xe "</w:instrText>
      </w:r>
      <w:r>
        <w:rPr>
          <w:rStyle w:val="xeentry"/>
        </w:rPr>
        <w:instrText>multiple letters: proposed lerfu words for</w:instrText>
      </w:r>
      <w:r>
        <w:instrText>"</w:instrText>
      </w:r>
      <w:r>
        <w:rPr>
          <w:rStyle w:val="indexentry"/>
        </w:rPr>
        <w:fldChar w:fldCharType="end"/>
      </w:r>
      <w:r>
        <w:rPr>
          <w:rStyle w:val="htmlparacode"/>
        </w:rPr>
        <w:t>&lt;p&gt;</w:t>
      </w:r>
    </w:p>
    <w:p w:rsidR="00B72047" w:rsidRDefault="00B72047">
      <w:pPr>
        <w:pStyle w:val="normalparagraph"/>
      </w:pPr>
      <w:r>
        <w:t>This list is intended to be suggestive, not complete: there are lerfu such as</w:t>
      </w:r>
      <w:r>
        <w:rPr>
          <w:rStyle w:val="deletedparamark"/>
        </w:rPr>
        <w:t xml:space="preserve"> </w:t>
      </w:r>
      <w:r>
        <w:t>Polish “dark” l and Maltese h-bar that do not yet have symbols.</w:t>
      </w:r>
    </w:p>
    <w:p w:rsidR="00B72047" w:rsidRDefault="00B72047">
      <w:pPr>
        <w:pStyle w:val="examplewtabspre"/>
        <w:rPr>
          <w:rStyle w:val="htmlparacode"/>
        </w:rPr>
      </w:pPr>
      <w:r>
        <w:rPr>
          <w:rStyle w:val="htmlparacode"/>
          <w:vanish w:val="0"/>
        </w:rPr>
        <w:tab/>
      </w:r>
      <w:r>
        <w:rPr>
          <w:rStyle w:val="htmlparacode"/>
        </w:rPr>
        <w:t>&lt;p&gt;</w:t>
      </w:r>
    </w:p>
    <w:p w:rsidR="00B72047" w:rsidRDefault="00B72047">
      <w:pPr>
        <w:pStyle w:val="examplewtabspre"/>
      </w:pPr>
      <w:r>
        <w:rPr>
          <w:rStyle w:val="indexentry"/>
        </w:rPr>
        <w:t>&lt;cx "over-ring, proposed lerfu word for"&gt;</w:t>
      </w:r>
      <w:r>
        <w:rPr>
          <w:rStyle w:val="indexentry"/>
        </w:rPr>
        <w:fldChar w:fldCharType="begin"/>
      </w:r>
      <w:r>
        <w:instrText>xe "</w:instrText>
      </w:r>
      <w:r>
        <w:rPr>
          <w:rStyle w:val="xeentry"/>
        </w:rPr>
        <w:instrText>over-ring: proposed lerfu word for</w:instrText>
      </w:r>
      <w:r>
        <w:instrText>"</w:instrText>
      </w:r>
      <w:r>
        <w:rPr>
          <w:rStyle w:val="indexentry"/>
        </w:rPr>
        <w:fldChar w:fldCharType="end"/>
      </w:r>
      <w:r>
        <w:rPr>
          <w:rStyle w:val="indexentry"/>
        </w:rPr>
        <w:t>&lt;cx "over-dot, proposed lerfu word for"&gt;</w:t>
      </w:r>
      <w:r>
        <w:rPr>
          <w:rStyle w:val="indexentry"/>
        </w:rPr>
        <w:fldChar w:fldCharType="begin"/>
      </w:r>
      <w:r>
        <w:instrText>xe "</w:instrText>
      </w:r>
      <w:r>
        <w:rPr>
          <w:rStyle w:val="xeentry"/>
        </w:rPr>
        <w:instrText>over-dot: proposed lerfu word for</w:instrText>
      </w:r>
      <w:r>
        <w:instrText>"</w:instrText>
      </w:r>
      <w:r>
        <w:rPr>
          <w:rStyle w:val="indexentry"/>
        </w:rPr>
        <w:fldChar w:fldCharType="end"/>
      </w:r>
      <w:r>
        <w:rPr>
          <w:rStyle w:val="indexentry"/>
        </w:rPr>
        <w:t>&lt;cx "macron, proposed lerfu word for"&gt;</w:t>
      </w:r>
      <w:r>
        <w:rPr>
          <w:rStyle w:val="indexentry"/>
        </w:rPr>
        <w:fldChar w:fldCharType="begin"/>
      </w:r>
      <w:r>
        <w:instrText>xe "</w:instrText>
      </w:r>
      <w:r>
        <w:rPr>
          <w:rStyle w:val="xeentry"/>
        </w:rPr>
        <w:instrText>macron: proposed lerfu word for</w:instrText>
      </w:r>
      <w:r>
        <w:instrText>"</w:instrText>
      </w:r>
      <w:r>
        <w:rPr>
          <w:rStyle w:val="indexentry"/>
        </w:rPr>
        <w:fldChar w:fldCharType="end"/>
      </w:r>
      <w:r>
        <w:rPr>
          <w:rStyle w:val="indexentry"/>
        </w:rPr>
        <w:t>&lt;cx "ligatured fi, proposed lerfu word for"&gt;</w:t>
      </w:r>
      <w:r>
        <w:rPr>
          <w:rStyle w:val="indexentry"/>
        </w:rPr>
        <w:fldChar w:fldCharType="begin"/>
      </w:r>
      <w:r>
        <w:instrText>xe "</w:instrText>
      </w:r>
      <w:r>
        <w:rPr>
          <w:rStyle w:val="xeentry"/>
        </w:rPr>
        <w:instrText>ligatured fi: proposed lerfu word for</w:instrText>
      </w:r>
      <w:r>
        <w:instrText>"</w:instrText>
      </w:r>
      <w:r>
        <w:rPr>
          <w:rStyle w:val="indexentry"/>
        </w:rPr>
        <w:fldChar w:fldCharType="end"/>
      </w:r>
      <w:r>
        <w:rPr>
          <w:rStyle w:val="indexentry"/>
        </w:rPr>
        <w:t>&lt;cx "Dutch ij, proposed lerfu word for"&gt;</w:t>
      </w:r>
      <w:r>
        <w:rPr>
          <w:rStyle w:val="indexentry"/>
        </w:rPr>
        <w:fldChar w:fldCharType="begin"/>
      </w:r>
      <w:r>
        <w:instrText>xe "</w:instrText>
      </w:r>
      <w:r>
        <w:rPr>
          <w:rStyle w:val="xeentry"/>
        </w:rPr>
        <w:instrText>Dutch ij: proposed lerfu word for</w:instrText>
      </w:r>
      <w:r>
        <w:instrText>"</w:instrText>
      </w:r>
      <w:r>
        <w:rPr>
          <w:rStyle w:val="indexentry"/>
        </w:rPr>
        <w:fldChar w:fldCharType="end"/>
      </w:r>
      <w:r>
        <w:rPr>
          <w:rStyle w:val="indexentry"/>
        </w:rPr>
        <w:t>&lt;cx "cedilla, proposed lerfu word for"&gt;</w:t>
      </w:r>
      <w:r>
        <w:rPr>
          <w:rStyle w:val="indexentry"/>
        </w:rPr>
        <w:fldChar w:fldCharType="begin"/>
      </w:r>
      <w:r>
        <w:instrText>xe "</w:instrText>
      </w:r>
      <w:r>
        <w:rPr>
          <w:rStyle w:val="xeentry"/>
        </w:rPr>
        <w:instrText>cedilla: proposed lerfu word for</w:instrText>
      </w:r>
      <w:r>
        <w:instrText>"</w:instrText>
      </w:r>
      <w:r>
        <w:rPr>
          <w:rStyle w:val="indexentry"/>
        </w:rPr>
        <w:fldChar w:fldCharType="end"/>
      </w:r>
      <w:r>
        <w:rPr>
          <w:rStyle w:val="indexentry"/>
        </w:rPr>
        <w:t>&lt;cx "umlaut, proposed lerfu word for"&gt;</w:t>
      </w:r>
      <w:r>
        <w:rPr>
          <w:rStyle w:val="indexentry"/>
        </w:rPr>
        <w:fldChar w:fldCharType="begin"/>
      </w:r>
      <w:r>
        <w:instrText>xe "</w:instrText>
      </w:r>
      <w:r>
        <w:rPr>
          <w:rStyle w:val="xeentry"/>
        </w:rPr>
        <w:instrText>umlaut: proposed lerfu word for</w:instrText>
      </w:r>
      <w:r>
        <w:instrText>"</w:instrText>
      </w:r>
      <w:r>
        <w:rPr>
          <w:rStyle w:val="indexentry"/>
        </w:rPr>
        <w:fldChar w:fldCharType="end"/>
      </w:r>
      <w:r>
        <w:rPr>
          <w:rStyle w:val="indexentry"/>
        </w:rPr>
        <w:t>&lt;cx "tilde, proposed lerfu word for"&gt;</w:t>
      </w:r>
      <w:r>
        <w:rPr>
          <w:rStyle w:val="indexentry"/>
        </w:rPr>
        <w:fldChar w:fldCharType="begin"/>
      </w:r>
      <w:r>
        <w:instrText>xe "</w:instrText>
      </w:r>
      <w:r>
        <w:rPr>
          <w:rStyle w:val="xeentry"/>
        </w:rPr>
        <w:instrText>tilde: proposed lerfu word for</w:instrText>
      </w:r>
      <w:r>
        <w:instrText>"</w:instrText>
      </w:r>
      <w:r>
        <w:rPr>
          <w:rStyle w:val="indexentry"/>
        </w:rPr>
        <w:fldChar w:fldCharType="end"/>
      </w:r>
      <w:r>
        <w:rPr>
          <w:rStyle w:val="htmlcodes"/>
        </w:rPr>
        <w:t>&lt;pre&gt;</w:t>
      </w:r>
      <w:r>
        <w:t>acute</w:t>
      </w:r>
      <w:r>
        <w:tab/>
      </w:r>
      <w:r>
        <w:tab/>
        <w:t>.akut. bu</w:t>
      </w:r>
    </w:p>
    <w:p w:rsidR="00B72047" w:rsidRDefault="00B72047">
      <w:pPr>
        <w:pStyle w:val="exampwidetabs"/>
      </w:pPr>
      <w:r>
        <w:tab/>
      </w:r>
      <w:r>
        <w:tab/>
        <w:t xml:space="preserve">or </w:t>
      </w:r>
      <w:r>
        <w:tab/>
        <w:t>.pritygal. bu</w:t>
      </w:r>
      <w:r>
        <w:tab/>
        <w:t>[pritu galtu]</w:t>
      </w:r>
    </w:p>
    <w:p w:rsidR="00B72047" w:rsidRDefault="00B72047">
      <w:pPr>
        <w:pStyle w:val="exampwidetabs"/>
      </w:pPr>
      <w:r>
        <w:tab/>
        <w:t>grave</w:t>
      </w:r>
      <w:r>
        <w:tab/>
      </w:r>
      <w:r>
        <w:tab/>
        <w:t xml:space="preserve">.grav. bu </w:t>
      </w:r>
    </w:p>
    <w:p w:rsidR="00B72047" w:rsidRDefault="00B72047">
      <w:pPr>
        <w:pStyle w:val="exampwidetabs"/>
      </w:pPr>
      <w:r>
        <w:tab/>
      </w:r>
      <w:r>
        <w:tab/>
        <w:t>or</w:t>
      </w:r>
      <w:r>
        <w:tab/>
        <w:t>.zulgal. bu</w:t>
      </w:r>
      <w:r>
        <w:tab/>
        <w:t>[zunle galtu]</w:t>
      </w:r>
    </w:p>
    <w:p w:rsidR="00B72047" w:rsidRDefault="00B72047">
      <w:pPr>
        <w:pStyle w:val="exampwidetabs"/>
      </w:pPr>
      <w:r>
        <w:tab/>
        <w:t>circumflex</w:t>
      </w:r>
      <w:r>
        <w:tab/>
      </w:r>
      <w:r>
        <w:tab/>
        <w:t xml:space="preserve">.cirkumfleks. bu </w:t>
      </w:r>
    </w:p>
    <w:p w:rsidR="00B72047" w:rsidRDefault="00B72047">
      <w:pPr>
        <w:pStyle w:val="exampwidetabs"/>
      </w:pPr>
      <w:r>
        <w:tab/>
      </w:r>
      <w:r>
        <w:tab/>
        <w:t>or</w:t>
      </w:r>
      <w:r>
        <w:tab/>
        <w:t>.midgal. bu</w:t>
      </w:r>
      <w:r>
        <w:tab/>
        <w:t>[midju galtu]</w:t>
      </w:r>
    </w:p>
    <w:p w:rsidR="00B72047" w:rsidRDefault="00B72047">
      <w:pPr>
        <w:pStyle w:val="exampwidetabs"/>
      </w:pPr>
      <w:r>
        <w:tab/>
        <w:t>tilde</w:t>
      </w:r>
      <w:r>
        <w:tab/>
      </w:r>
      <w:r>
        <w:tab/>
        <w:t>.tildes. bu</w:t>
      </w:r>
    </w:p>
    <w:p w:rsidR="00B72047" w:rsidRDefault="00B72047">
      <w:pPr>
        <w:pStyle w:val="exampwidetabs"/>
      </w:pPr>
      <w:r>
        <w:tab/>
        <w:t>macron</w:t>
      </w:r>
      <w:r>
        <w:tab/>
      </w:r>
      <w:r>
        <w:tab/>
        <w:t>.makron. bu</w:t>
      </w:r>
    </w:p>
    <w:p w:rsidR="00B72047" w:rsidRDefault="00B72047">
      <w:pPr>
        <w:pStyle w:val="exampwidetabs"/>
      </w:pPr>
      <w:r>
        <w:tab/>
        <w:t>breve</w:t>
      </w:r>
      <w:r>
        <w:tab/>
      </w:r>
      <w:r>
        <w:tab/>
        <w:t>.brevis. bu</w:t>
      </w:r>
    </w:p>
    <w:p w:rsidR="00B72047" w:rsidRDefault="00B72047">
      <w:pPr>
        <w:pStyle w:val="exampwidetabs"/>
      </w:pPr>
      <w:r>
        <w:tab/>
        <w:t>over-dot</w:t>
      </w:r>
      <w:r>
        <w:tab/>
      </w:r>
      <w:r>
        <w:tab/>
        <w:t>.garmoc. bu</w:t>
      </w:r>
      <w:r>
        <w:tab/>
        <w:t>[gapru mokca]</w:t>
      </w:r>
    </w:p>
    <w:p w:rsidR="00B72047" w:rsidRDefault="00B72047">
      <w:pPr>
        <w:pStyle w:val="exampwidetabs"/>
      </w:pPr>
      <w:r>
        <w:tab/>
        <w:t>umlaut/trema</w:t>
      </w:r>
      <w:r>
        <w:tab/>
      </w:r>
      <w:r>
        <w:tab/>
        <w:t>.relmoc. bu</w:t>
      </w:r>
      <w:r>
        <w:tab/>
        <w:t>[re mokca]</w:t>
      </w:r>
    </w:p>
    <w:p w:rsidR="00B72047" w:rsidRDefault="00B72047">
      <w:pPr>
        <w:pStyle w:val="exampwidetabs"/>
      </w:pPr>
      <w:r>
        <w:tab/>
        <w:t>over-ring</w:t>
      </w:r>
      <w:r>
        <w:tab/>
      </w:r>
      <w:r>
        <w:tab/>
        <w:t>.garjin. bu</w:t>
      </w:r>
      <w:r>
        <w:tab/>
        <w:t>[gapru djine]</w:t>
      </w:r>
    </w:p>
    <w:p w:rsidR="00B72047" w:rsidRDefault="00B72047">
      <w:pPr>
        <w:pStyle w:val="exampwidetabs"/>
      </w:pPr>
      <w:r>
        <w:tab/>
        <w:t>cedilla</w:t>
      </w:r>
      <w:r>
        <w:tab/>
      </w:r>
      <w:r>
        <w:tab/>
        <w:t>.seDIlys. bu</w:t>
      </w:r>
    </w:p>
    <w:p w:rsidR="00B72047" w:rsidRDefault="00B72047">
      <w:pPr>
        <w:pStyle w:val="exampwidetabs"/>
      </w:pPr>
      <w:r>
        <w:tab/>
        <w:t>double-acute</w:t>
      </w:r>
      <w:r>
        <w:tab/>
      </w:r>
      <w:r>
        <w:tab/>
        <w:t>.re'akut. bu</w:t>
      </w:r>
      <w:r>
        <w:tab/>
        <w:t>[re akut.]</w:t>
      </w:r>
    </w:p>
    <w:p w:rsidR="00B72047" w:rsidRDefault="00B72047">
      <w:pPr>
        <w:pStyle w:val="exampwidetabs"/>
      </w:pPr>
      <w:r>
        <w:tab/>
        <w:t>ogonek</w:t>
      </w:r>
      <w:r>
        <w:tab/>
      </w:r>
      <w:r>
        <w:tab/>
        <w:t>.ogoniek. bu</w:t>
      </w:r>
    </w:p>
    <w:p w:rsidR="00B72047" w:rsidRDefault="00B72047">
      <w:pPr>
        <w:pStyle w:val="exampwidetabs"/>
      </w:pPr>
      <w:r>
        <w:tab/>
        <w:t>hacek</w:t>
      </w:r>
      <w:r>
        <w:tab/>
      </w:r>
      <w:r>
        <w:tab/>
        <w:t>.xatcek. bu</w:t>
      </w:r>
    </w:p>
    <w:p w:rsidR="00B72047" w:rsidRDefault="00B72047">
      <w:pPr>
        <w:pStyle w:val="exampwidetabs"/>
      </w:pPr>
      <w:r>
        <w:tab/>
        <w:t>ligatured fi</w:t>
      </w:r>
      <w:r>
        <w:tab/>
      </w:r>
      <w:r>
        <w:tab/>
        <w:t>tei fy. ibu foi</w:t>
      </w:r>
    </w:p>
    <w:p w:rsidR="00B72047" w:rsidRDefault="00B72047">
      <w:pPr>
        <w:pStyle w:val="exampwidetabs"/>
      </w:pPr>
      <w:r>
        <w:tab/>
        <w:t>Danish/Latin ae</w:t>
      </w:r>
      <w:r>
        <w:tab/>
        <w:t>tei .abu .ebu foi</w:t>
      </w:r>
    </w:p>
    <w:p w:rsidR="00B72047" w:rsidRDefault="00B72047">
      <w:pPr>
        <w:pStyle w:val="exampwidetabs"/>
      </w:pPr>
      <w:r>
        <w:tab/>
        <w:t>Dutch ij</w:t>
      </w:r>
      <w:r>
        <w:tab/>
      </w:r>
      <w:r>
        <w:tab/>
        <w:t>tei .ibu jy. foi</w:t>
      </w:r>
    </w:p>
    <w:p w:rsidR="00B72047" w:rsidRDefault="00B72047">
      <w:pPr>
        <w:pStyle w:val="exampwidetabs"/>
      </w:pPr>
      <w:r>
        <w:tab/>
        <w:t>German es-zed</w:t>
      </w:r>
      <w:r>
        <w:tab/>
      </w:r>
      <w:r>
        <w:tab/>
        <w:t>tei sy. zy. foi</w:t>
      </w:r>
    </w:p>
    <w:p w:rsidR="00B72047" w:rsidRDefault="00B72047">
      <w:pPr>
        <w:pStyle w:val="Heading3"/>
        <w:rPr>
          <w:rStyle w:val="Heading3Text"/>
        </w:rPr>
      </w:pPr>
      <w:r>
        <w:rPr>
          <w:rStyle w:val="htmlcodes"/>
        </w:rPr>
        <w:t>&lt;/pre&gt;&lt;a name=s20&gt;&lt;h3&gt;</w:t>
      </w:r>
      <w:bookmarkStart w:id="492" w:name="_Toc398970730"/>
      <w:r>
        <w:rPr>
          <w:rStyle w:val="Heading3Text"/>
        </w:rPr>
        <w:t>Proposed lerfu words for radio communication</w:t>
      </w:r>
      <w:bookmarkEnd w:id="492"/>
      <w:r>
        <w:rPr>
          <w:rStyle w:val="htmlcodes"/>
        </w:rPr>
        <w:t>&lt;/h3&gt;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"lerfu words, proposed for noisy environments"&gt;</w:t>
      </w:r>
      <w:r>
        <w:rPr>
          <w:rStyle w:val="indexentry"/>
        </w:rPr>
        <w:fldChar w:fldCharType="begin"/>
      </w:r>
      <w:r>
        <w:instrText>xe "</w:instrText>
      </w:r>
      <w:r>
        <w:rPr>
          <w:rStyle w:val="xeentry"/>
        </w:rPr>
        <w:instrText>lerfu words: proposed for noisy environments</w:instrText>
      </w:r>
      <w:r>
        <w:instrText>"</w:instrText>
      </w:r>
      <w:r>
        <w:rPr>
          <w:rStyle w:val="indexentry"/>
        </w:rPr>
        <w:fldChar w:fldCharType="end"/>
      </w:r>
      <w:r>
        <w:rPr>
          <w:rStyle w:val="indexentry"/>
        </w:rPr>
        <w:t>&lt;cx "lerfu words, proposed for radio communication"&gt;</w:t>
      </w:r>
      <w:r>
        <w:rPr>
          <w:rStyle w:val="indexentry"/>
        </w:rPr>
        <w:fldChar w:fldCharType="begin"/>
      </w:r>
      <w:r>
        <w:instrText>xe "</w:instrText>
      </w:r>
      <w:r>
        <w:rPr>
          <w:rStyle w:val="xeentry"/>
        </w:rPr>
        <w:instrText>lerfu words: proposed for radio communication</w:instrText>
      </w:r>
      <w:r>
        <w:instrText>"</w:instrText>
      </w:r>
      <w:r>
        <w:rPr>
          <w:rStyle w:val="indexentry"/>
        </w:rPr>
        <w:fldChar w:fldCharType="end"/>
      </w:r>
      <w:r>
        <w:rPr>
          <w:rStyle w:val="indexentry"/>
        </w:rPr>
        <w:t>&lt;cx "radio communication, proposed lerfu words for"&gt;</w:t>
      </w:r>
      <w:r>
        <w:rPr>
          <w:rStyle w:val="indexentry"/>
        </w:rPr>
        <w:fldChar w:fldCharType="begin"/>
      </w:r>
      <w:r>
        <w:instrText>xe "</w:instrText>
      </w:r>
      <w:r>
        <w:rPr>
          <w:rStyle w:val="xeentry"/>
        </w:rPr>
        <w:instrText>radio communication: proposed lerfu words for</w:instrText>
      </w:r>
      <w:r>
        <w:instrText>"</w:instrText>
      </w:r>
      <w:r>
        <w:rPr>
          <w:rStyle w:val="indexentry"/>
        </w:rPr>
        <w:fldChar w:fldCharType="end"/>
      </w:r>
      <w:r>
        <w:rPr>
          <w:rStyle w:val="indexentry"/>
        </w:rPr>
        <w:t>&lt;cx "noisy environments, proposed lerfu words for"&gt;</w:t>
      </w:r>
      <w:r>
        <w:rPr>
          <w:rStyle w:val="indexentry"/>
        </w:rPr>
        <w:fldChar w:fldCharType="begin"/>
      </w:r>
      <w:r>
        <w:instrText>xe "</w:instrText>
      </w:r>
      <w:r>
        <w:rPr>
          <w:rStyle w:val="xeentry"/>
        </w:rPr>
        <w:instrText>noisy environments: proposed lerfu words for</w:instrText>
      </w:r>
      <w:r>
        <w:instrText>"</w:instrText>
      </w:r>
      <w:r>
        <w:rPr>
          <w:rStyle w:val="indexentry"/>
        </w:rPr>
        <w:fldChar w:fldCharType="end"/>
      </w:r>
      <w:r>
        <w:rPr>
          <w:rStyle w:val="indexentry"/>
        </w:rPr>
        <w:t>&lt;cx "ICAO Phonetic Alphabet, proposed lerfu words for"&gt;</w:t>
      </w:r>
      <w:r>
        <w:rPr>
          <w:rStyle w:val="indexentry"/>
        </w:rPr>
        <w:fldChar w:fldCharType="begin"/>
      </w:r>
      <w:r>
        <w:instrText>xe "</w:instrText>
      </w:r>
      <w:r>
        <w:rPr>
          <w:rStyle w:val="xeentry"/>
        </w:rPr>
        <w:instrText>ICAO Phonetic Alphabet: proposed lerfu words for</w:instrText>
      </w:r>
      <w:r>
        <w:instrText>"</w:instrText>
      </w:r>
      <w:r>
        <w:rPr>
          <w:rStyle w:val="indexentry"/>
        </w:rPr>
        <w:fldChar w:fldCharType="end"/>
      </w:r>
      <w:r>
        <w:rPr>
          <w:rStyle w:val="indexentry"/>
        </w:rPr>
        <w:t>&lt;cx "Phonetic Alphabet, proposed lerfu words for"&gt;</w:t>
      </w:r>
      <w:r>
        <w:rPr>
          <w:rStyle w:val="indexentry"/>
        </w:rPr>
        <w:fldChar w:fldCharType="begin"/>
      </w:r>
      <w:r>
        <w:instrText>xe "</w:instrText>
      </w:r>
      <w:r>
        <w:rPr>
          <w:rStyle w:val="xeentry"/>
        </w:rPr>
        <w:instrText>Phonetic Alphabet: proposed lerfu words for</w:instrText>
      </w:r>
      <w:r>
        <w:instrText>"</w:instrText>
      </w:r>
      <w:r>
        <w:rPr>
          <w:rStyle w:val="indexentry"/>
        </w:rPr>
        <w:fldChar w:fldCharType="end"/>
      </w:r>
      <w:r>
        <w:t>There is a set of English words which are used, by international agreement,</w:t>
      </w:r>
      <w:r>
        <w:rPr>
          <w:rStyle w:val="deletedparamark"/>
        </w:rPr>
        <w:t xml:space="preserve"> </w:t>
      </w:r>
      <w:r>
        <w:t>as lerfu words (for the English alphabet) over the radio, or in noisy</w:t>
      </w:r>
      <w:r>
        <w:rPr>
          <w:rStyle w:val="deletedparamark"/>
        </w:rPr>
        <w:t xml:space="preserve"> </w:t>
      </w:r>
      <w:r>
        <w:t>situations where the utmost clarity is required. Formally they are known</w:t>
      </w:r>
      <w:r>
        <w:rPr>
          <w:rStyle w:val="deletedparamark"/>
        </w:rPr>
        <w:t xml:space="preserve"> </w:t>
      </w:r>
      <w:r>
        <w:t>as the “ICAO Phonetic Alphabet”, and are used even in non-English-speaking</w:t>
      </w:r>
      <w:r>
        <w:rPr>
          <w:rStyle w:val="deletedparamark"/>
        </w:rPr>
        <w:t xml:space="preserve"> </w:t>
      </w:r>
      <w:r>
        <w:t>countries.</w:t>
      </w:r>
    </w:p>
    <w:p w:rsidR="00B72047" w:rsidRDefault="00B72047">
      <w:pPr>
        <w:pStyle w:val="normalparagraph"/>
        <w:rPr>
          <w:rStyle w:val="htmlparacode"/>
        </w:rPr>
      </w:pPr>
      <w:r>
        <w:rPr>
          <w:rStyle w:val="htmlparacode"/>
        </w:rPr>
        <w:t>&lt;p&gt;</w:t>
      </w:r>
    </w:p>
    <w:p w:rsidR="00B72047" w:rsidRDefault="00B72047">
      <w:pPr>
        <w:pStyle w:val="normalparagraph"/>
      </w:pPr>
      <w:r>
        <w:t>This table presents the standard English spellings and proposed Lojban</w:t>
      </w:r>
      <w:r>
        <w:rPr>
          <w:rStyle w:val="deletedparamark"/>
        </w:rPr>
        <w:t xml:space="preserve"> </w:t>
      </w:r>
      <w:r>
        <w:t>ver</w:t>
      </w:r>
      <w:r>
        <w:softHyphen/>
        <w:t>sions. The Lojbanizations are not straightforward renderings of the</w:t>
      </w:r>
      <w:r>
        <w:rPr>
          <w:rStyle w:val="deletedparamark"/>
        </w:rPr>
        <w:t xml:space="preserve"> </w:t>
      </w:r>
      <w:r>
        <w:t>English sounds, but make some concessions both to the English spellings</w:t>
      </w:r>
      <w:r>
        <w:rPr>
          <w:rStyle w:val="deletedparamark"/>
        </w:rPr>
        <w:t xml:space="preserve"> </w:t>
      </w:r>
      <w:r>
        <w:t>of the words and to the Lojban pronunciations of the lerfu (thus</w:t>
      </w:r>
      <w:r>
        <w:rPr>
          <w:rStyle w:val="deletedparamark"/>
        </w:rPr>
        <w:t xml:space="preserve"> “</w:t>
      </w:r>
      <w:r>
        <w:t>carlis. bu”, not “tcarlis. bu”).</w:t>
      </w:r>
    </w:p>
    <w:p w:rsidR="00B72047" w:rsidRDefault="00B72047">
      <w:pPr>
        <w:pStyle w:val="exampwidetabs"/>
        <w:rPr>
          <w:rStyle w:val="htmlparacode"/>
        </w:rPr>
      </w:pPr>
      <w:r>
        <w:rPr>
          <w:rStyle w:val="htmlparacode"/>
        </w:rPr>
        <w:t>&lt;p&gt;</w:t>
      </w:r>
    </w:p>
    <w:p w:rsidR="00B72047" w:rsidRDefault="00B72047">
      <w:pPr>
        <w:pStyle w:val="examplewtabspre"/>
        <w:tabs>
          <w:tab w:val="clear" w:pos="4752"/>
          <w:tab w:val="left" w:pos="4320"/>
          <w:tab w:val="left" w:pos="5580"/>
        </w:tabs>
      </w:pPr>
      <w:r>
        <w:rPr>
          <w:rStyle w:val="htmlcodes"/>
        </w:rPr>
        <w:t>&lt;pre&gt;</w:t>
      </w:r>
      <w:r>
        <w:t xml:space="preserve"> </w:t>
      </w:r>
      <w:r>
        <w:tab/>
        <w:t>Alfa</w:t>
      </w:r>
      <w:r>
        <w:tab/>
        <w:t>.alfas. bu</w:t>
      </w:r>
      <w:r>
        <w:tab/>
      </w:r>
      <w:r>
        <w:tab/>
        <w:t>November</w:t>
      </w:r>
      <w:r>
        <w:tab/>
        <w:t>.novembr. bu</w:t>
      </w:r>
    </w:p>
    <w:p w:rsidR="00B72047" w:rsidRDefault="00B72047">
      <w:pPr>
        <w:pStyle w:val="exampwidetabs"/>
        <w:tabs>
          <w:tab w:val="clear" w:pos="4752"/>
          <w:tab w:val="left" w:pos="4320"/>
          <w:tab w:val="left" w:pos="5580"/>
        </w:tabs>
      </w:pPr>
      <w:r>
        <w:tab/>
        <w:t>Bravo</w:t>
      </w:r>
      <w:r>
        <w:tab/>
        <w:t>.bravos. bu</w:t>
      </w:r>
      <w:r>
        <w:tab/>
      </w:r>
      <w:r>
        <w:tab/>
        <w:t>Oscar</w:t>
      </w:r>
      <w:r>
        <w:tab/>
        <w:t>.oskar. bu</w:t>
      </w:r>
    </w:p>
    <w:p w:rsidR="00B72047" w:rsidRDefault="00B72047">
      <w:pPr>
        <w:pStyle w:val="exampwidetabs"/>
        <w:tabs>
          <w:tab w:val="clear" w:pos="4752"/>
          <w:tab w:val="left" w:pos="4320"/>
          <w:tab w:val="left" w:pos="5580"/>
        </w:tabs>
      </w:pPr>
      <w:r>
        <w:tab/>
        <w:t>Charlie</w:t>
      </w:r>
      <w:r>
        <w:tab/>
        <w:t>.carlis. bu</w:t>
      </w:r>
      <w:r>
        <w:tab/>
      </w:r>
      <w:r>
        <w:tab/>
        <w:t>Papa</w:t>
      </w:r>
      <w:r>
        <w:tab/>
        <w:t>.paPAS. bu</w:t>
      </w:r>
    </w:p>
    <w:p w:rsidR="00B72047" w:rsidRDefault="00B72047">
      <w:pPr>
        <w:pStyle w:val="exampwidetabs"/>
        <w:tabs>
          <w:tab w:val="clear" w:pos="4752"/>
          <w:tab w:val="left" w:pos="4320"/>
          <w:tab w:val="left" w:pos="5580"/>
        </w:tabs>
      </w:pPr>
      <w:r>
        <w:tab/>
        <w:t>Delta</w:t>
      </w:r>
      <w:r>
        <w:tab/>
        <w:t>.deltas. bu</w:t>
      </w:r>
      <w:r>
        <w:tab/>
      </w:r>
      <w:r>
        <w:tab/>
        <w:t>Quebec</w:t>
      </w:r>
      <w:r>
        <w:tab/>
        <w:t>.keBEK. bu</w:t>
      </w:r>
    </w:p>
    <w:p w:rsidR="00B72047" w:rsidRDefault="00B72047">
      <w:pPr>
        <w:pStyle w:val="exampwidetabs"/>
        <w:tabs>
          <w:tab w:val="clear" w:pos="4752"/>
          <w:tab w:val="left" w:pos="4320"/>
          <w:tab w:val="left" w:pos="5580"/>
        </w:tabs>
      </w:pPr>
      <w:r>
        <w:tab/>
        <w:t>Echo</w:t>
      </w:r>
      <w:r>
        <w:tab/>
        <w:t>.ekos. bu</w:t>
      </w:r>
      <w:r>
        <w:tab/>
      </w:r>
      <w:r>
        <w:tab/>
        <w:t>Romeo</w:t>
      </w:r>
      <w:r>
        <w:tab/>
        <w:t>.romios. bu</w:t>
      </w:r>
    </w:p>
    <w:p w:rsidR="00B72047" w:rsidRDefault="00B72047">
      <w:pPr>
        <w:pStyle w:val="exampwidetabs"/>
        <w:tabs>
          <w:tab w:val="clear" w:pos="4752"/>
          <w:tab w:val="left" w:pos="4320"/>
          <w:tab w:val="left" w:pos="5580"/>
        </w:tabs>
      </w:pPr>
      <w:r>
        <w:tab/>
        <w:t>Foxtrot</w:t>
      </w:r>
      <w:r>
        <w:tab/>
        <w:t>.fokstrot. bu</w:t>
      </w:r>
      <w:r>
        <w:tab/>
      </w:r>
      <w:r>
        <w:tab/>
        <w:t>Sierra</w:t>
      </w:r>
      <w:r>
        <w:tab/>
        <w:t>.sieras. bu</w:t>
      </w:r>
    </w:p>
    <w:p w:rsidR="00B72047" w:rsidRDefault="00B72047">
      <w:pPr>
        <w:pStyle w:val="exampwidetabs"/>
        <w:tabs>
          <w:tab w:val="clear" w:pos="4752"/>
          <w:tab w:val="left" w:pos="4320"/>
          <w:tab w:val="left" w:pos="5580"/>
        </w:tabs>
      </w:pPr>
      <w:r>
        <w:tab/>
        <w:t>Golf</w:t>
      </w:r>
      <w:r>
        <w:tab/>
        <w:t>.golf. bu</w:t>
      </w:r>
      <w:r>
        <w:tab/>
      </w:r>
      <w:r>
        <w:tab/>
        <w:t>Tango</w:t>
      </w:r>
      <w:r>
        <w:tab/>
        <w:t>.tangos. bu</w:t>
      </w:r>
    </w:p>
    <w:p w:rsidR="00B72047" w:rsidRDefault="00B72047">
      <w:pPr>
        <w:pStyle w:val="exampwidetabs"/>
        <w:tabs>
          <w:tab w:val="clear" w:pos="4752"/>
          <w:tab w:val="left" w:pos="4320"/>
          <w:tab w:val="left" w:pos="5580"/>
        </w:tabs>
      </w:pPr>
      <w:r>
        <w:tab/>
        <w:t>Hotel</w:t>
      </w:r>
      <w:r>
        <w:tab/>
        <w:t>.xoTEL. bu</w:t>
      </w:r>
      <w:r>
        <w:tab/>
      </w:r>
      <w:r>
        <w:tab/>
        <w:t>Uniform</w:t>
      </w:r>
      <w:r>
        <w:tab/>
        <w:t>.Uniform. bu</w:t>
      </w:r>
    </w:p>
    <w:p w:rsidR="00B72047" w:rsidRDefault="00B72047">
      <w:pPr>
        <w:pStyle w:val="exampwidetabs"/>
        <w:tabs>
          <w:tab w:val="clear" w:pos="4752"/>
          <w:tab w:val="left" w:pos="4320"/>
          <w:tab w:val="left" w:pos="5580"/>
        </w:tabs>
      </w:pPr>
      <w:r>
        <w:tab/>
        <w:t>India</w:t>
      </w:r>
      <w:r>
        <w:tab/>
        <w:t>.indias. bu</w:t>
      </w:r>
      <w:r>
        <w:tab/>
      </w:r>
      <w:r>
        <w:tab/>
        <w:t>Victor</w:t>
      </w:r>
      <w:r>
        <w:tab/>
        <w:t>.viktas. bu</w:t>
      </w:r>
    </w:p>
    <w:p w:rsidR="00B72047" w:rsidRDefault="00B72047">
      <w:pPr>
        <w:pStyle w:val="exampwidetabs"/>
        <w:tabs>
          <w:tab w:val="clear" w:pos="4752"/>
          <w:tab w:val="left" w:pos="4320"/>
          <w:tab w:val="left" w:pos="5580"/>
        </w:tabs>
      </w:pPr>
      <w:r>
        <w:tab/>
        <w:t>Juliet</w:t>
      </w:r>
      <w:r>
        <w:tab/>
        <w:t>.juliet. bu</w:t>
      </w:r>
      <w:r>
        <w:tab/>
      </w:r>
      <w:r>
        <w:tab/>
        <w:t>Whiskey</w:t>
      </w:r>
      <w:r>
        <w:tab/>
        <w:t>.uiskis. bu</w:t>
      </w:r>
    </w:p>
    <w:p w:rsidR="00B72047" w:rsidRDefault="00B72047">
      <w:pPr>
        <w:pStyle w:val="exampwidetabs"/>
        <w:tabs>
          <w:tab w:val="clear" w:pos="4752"/>
          <w:tab w:val="left" w:pos="4320"/>
          <w:tab w:val="left" w:pos="5580"/>
        </w:tabs>
      </w:pPr>
      <w:r>
        <w:tab/>
        <w:t>Kilo</w:t>
      </w:r>
      <w:r>
        <w:tab/>
        <w:t>.kilos. bu</w:t>
      </w:r>
      <w:r>
        <w:tab/>
      </w:r>
      <w:r>
        <w:tab/>
        <w:t>X-ray</w:t>
      </w:r>
      <w:r>
        <w:tab/>
        <w:t>.eksreis. bu</w:t>
      </w:r>
    </w:p>
    <w:p w:rsidR="00B72047" w:rsidRDefault="00B72047">
      <w:pPr>
        <w:pStyle w:val="exampwidetabs"/>
        <w:tabs>
          <w:tab w:val="clear" w:pos="4752"/>
          <w:tab w:val="left" w:pos="4320"/>
          <w:tab w:val="left" w:pos="5580"/>
        </w:tabs>
      </w:pPr>
      <w:r>
        <w:tab/>
        <w:t>Lima</w:t>
      </w:r>
      <w:r>
        <w:tab/>
        <w:t>.limas. bu</w:t>
      </w:r>
      <w:r>
        <w:tab/>
      </w:r>
      <w:r>
        <w:tab/>
        <w:t>Yankee</w:t>
      </w:r>
      <w:r>
        <w:tab/>
        <w:t>.iankis. bu</w:t>
      </w:r>
    </w:p>
    <w:p w:rsidR="00B72047" w:rsidRDefault="00B72047">
      <w:pPr>
        <w:pStyle w:val="exampwidetabs"/>
        <w:tabs>
          <w:tab w:val="clear" w:pos="4752"/>
          <w:tab w:val="left" w:pos="4320"/>
          <w:tab w:val="left" w:pos="5580"/>
        </w:tabs>
      </w:pPr>
      <w:r>
        <w:tab/>
        <w:t>Mike</w:t>
      </w:r>
      <w:r>
        <w:tab/>
        <w:t>.maik. bu</w:t>
      </w:r>
      <w:r>
        <w:tab/>
      </w:r>
      <w:r>
        <w:tab/>
        <w:t>Zulu</w:t>
      </w:r>
      <w:r>
        <w:tab/>
        <w:t>.zulus. bu</w:t>
      </w:r>
    </w:p>
    <w:p w:rsidR="00B72047" w:rsidRDefault="00B72047">
      <w:pPr>
        <w:pStyle w:val="exampwidetabs"/>
        <w:sectPr w:rsidR="00B72047">
          <w:type w:val="oddPage"/>
          <w:pgSz w:w="9504" w:h="13824" w:code="1"/>
          <w:pgMar w:top="1296" w:right="1296" w:bottom="720" w:left="1008" w:header="480" w:footer="720" w:gutter="0"/>
          <w:paperSrc w:first="1706" w:other="1706"/>
          <w:cols w:space="720"/>
          <w:titlePg/>
        </w:sectPr>
      </w:pPr>
    </w:p>
    <w:p w:rsidR="00B72047" w:rsidRDefault="00B72047">
      <w:pPr>
        <w:pStyle w:val="normalparagraph"/>
        <w:rPr>
          <w:rStyle w:val="htmlcodes"/>
        </w:rPr>
      </w:pPr>
      <w:r>
        <w:rPr>
          <w:rStyle w:val="htmlcodes"/>
        </w:rPr>
        <w:t>&lt;/body&gt;&lt;/html&gt;</w:t>
      </w:r>
    </w:p>
    <w:p w:rsidR="00B72047" w:rsidRDefault="00B72047">
      <w:pPr>
        <w:pStyle w:val="normalparagraph"/>
        <w:rPr>
          <w:rStyle w:val="htmlcodes"/>
        </w:rPr>
      </w:pPr>
      <w:r>
        <w:rPr>
          <w:rStyle w:val="htmlcodes"/>
        </w:rPr>
        <w:t>&lt;center&gt;&lt;p align=center&gt;</w:t>
      </w:r>
    </w:p>
    <w:p w:rsidR="00B72047" w:rsidRDefault="00B72047">
      <w:pPr>
        <w:pStyle w:val="resumedafterexample"/>
      </w:pPr>
      <w:r>
        <w:rPr>
          <w:rStyle w:val="htmlcodes"/>
        </w:rPr>
        <w:t>&lt;img src=chap18.gif alt=[Cartoon] align=center width=405 height=405&gt;</w:t>
      </w:r>
      <w:r>
        <w:pict>
          <v:shape id="_x0000_i1042" type="#_x0000_t75" style="width:356.25pt;height:547.5pt">
            <v:imagedata r:id="rId38" o:title="" croptop="-26474f" cropbottom="-26474f" cropleft="-6323f" cropright="-6323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493" w:name="_Toc395684479"/>
      <w:bookmarkStart w:id="494" w:name="_Toc398970731"/>
      <w:r>
        <w:t>Chapter 18</w:t>
      </w:r>
      <w:bookmarkEnd w:id="493"/>
      <w:bookmarkEnd w:id="494"/>
    </w:p>
    <w:p w:rsidR="00B72047" w:rsidRDefault="00B72047">
      <w:pPr>
        <w:pStyle w:val="Heading2"/>
        <w:rPr>
          <w:rStyle w:val="htmlcodes"/>
        </w:rPr>
      </w:pPr>
      <w:r>
        <w:rPr>
          <w:rStyle w:val="htmlcodes"/>
        </w:rPr>
        <w:t>&lt;br&gt;</w:t>
      </w:r>
    </w:p>
    <w:p w:rsidR="00B72047" w:rsidRDefault="00B72047">
      <w:pPr>
        <w:pStyle w:val="Heading2"/>
      </w:pPr>
      <w:bookmarkStart w:id="495" w:name="_Toc398970732"/>
      <w:r>
        <w:t>lojbau mekso: Mathematical Expressions in Lojban</w:t>
      </w:r>
      <w:bookmarkEnd w:id="495"/>
      <w:r>
        <w:rPr>
          <w:rStyle w:val="htmlcodes"/>
        </w:rPr>
        <w:t>&lt;/h2&gt;</w:t>
      </w:r>
    </w:p>
    <w:p w:rsidR="00B72047" w:rsidRDefault="00B72047">
      <w:pPr>
        <w:pStyle w:val="Heading6"/>
        <w:rPr>
          <w:rStyle w:val="htmlcodes"/>
        </w:rPr>
      </w:pPr>
      <w:r>
        <w:rPr>
          <w:rStyle w:val="htmlcodes"/>
        </w:rPr>
        <w:t>&lt;h6&gt;$Revision: 4.3 $&lt;br&gt;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name=s1&gt;&lt;h3&gt;</w:t>
      </w:r>
      <w:bookmarkStart w:id="496" w:name="_Toc398970733"/>
      <w:r>
        <w:rPr>
          <w:rStyle w:val="Heading3Text"/>
        </w:rPr>
        <w:t>Introductory</w:t>
      </w:r>
      <w:bookmarkEnd w:id="496"/>
      <w:r>
        <w:rPr>
          <w:rStyle w:val="htmlcodes"/>
        </w:rPr>
        <w:t>&lt;/h3&gt;</w:t>
      </w:r>
    </w:p>
    <w:p w:rsidR="00B72047" w:rsidRDefault="00B72047">
      <w:pPr>
        <w:pStyle w:val="normalparagraph"/>
      </w:pPr>
      <w:r>
        <w:rPr>
          <w:rStyle w:val="indexentry"/>
        </w:rPr>
        <w:t>&lt;cx "mekso, definition"&gt;</w:t>
      </w:r>
      <w:r>
        <w:rPr>
          <w:rStyle w:val="indexentry"/>
        </w:rPr>
        <w:fldChar w:fldCharType="begin"/>
      </w:r>
      <w:r>
        <w:instrText>xe "</w:instrText>
      </w:r>
      <w:r>
        <w:rPr>
          <w:rStyle w:val="xeentry"/>
        </w:rPr>
        <w:instrText>mekso: definition</w:instrText>
      </w:r>
      <w:r>
        <w:instrText>"</w:instrText>
      </w:r>
      <w:r>
        <w:rPr>
          <w:rStyle w:val="indexentry"/>
        </w:rPr>
        <w:fldChar w:fldCharType="end"/>
      </w:r>
      <w:r>
        <w:rPr>
          <w:rStyle w:val="indexentry"/>
        </w:rPr>
        <w:t>&lt;cx "mathematical expression, abbreviation notation"&gt;</w:t>
      </w:r>
      <w:r>
        <w:rPr>
          <w:rStyle w:val="indexentry"/>
        </w:rPr>
        <w:fldChar w:fldCharType="begin"/>
      </w:r>
      <w:r>
        <w:instrText>xe "</w:instrText>
      </w:r>
      <w:r>
        <w:rPr>
          <w:rStyle w:val="xeentry"/>
        </w:rPr>
        <w:instrText>mathematical expression: abbreviation notation</w:instrText>
      </w:r>
      <w:r>
        <w:instrText>"</w:instrText>
      </w:r>
      <w:r>
        <w:rPr>
          <w:rStyle w:val="indexentry"/>
        </w:rPr>
        <w:fldChar w:fldCharType="end"/>
      </w:r>
      <w:r>
        <w:rPr>
          <w:rStyle w:val="indexentry"/>
        </w:rPr>
        <w:t>&lt;cx "mathematical expression, definition (see also “mekso”)"&gt;</w:t>
      </w:r>
      <w:r>
        <w:rPr>
          <w:rStyle w:val="indexentry"/>
        </w:rPr>
        <w:fldChar w:fldCharType="begin"/>
      </w:r>
      <w:r>
        <w:instrText>xe "</w:instrText>
      </w:r>
      <w:r>
        <w:rPr>
          <w:rStyle w:val="xeentry"/>
        </w:rPr>
        <w:instrText>mathematical expression: definition (see also mekso)</w:instrText>
      </w:r>
      <w:r>
        <w:instrText>"</w:instrText>
      </w:r>
      <w:r>
        <w:rPr>
          <w:rStyle w:val="indexentry"/>
        </w:rPr>
        <w:fldChar w:fldCharType="end"/>
      </w:r>
      <w:r>
        <w:t>lojbau mekso (“Lojbanic mathematical-expression”) is the part of the Lojban</w:t>
      </w:r>
      <w:r>
        <w:rPr>
          <w:rStyle w:val="deletedparamark"/>
        </w:rPr>
        <w:t xml:space="preserve"> </w:t>
      </w:r>
      <w:r>
        <w:t>la</w:t>
      </w:r>
      <w:r>
        <w:t>n</w:t>
      </w:r>
      <w:r>
        <w:softHyphen/>
        <w:t>guage that is tailored for expressing statements of a mathematical</w:t>
      </w:r>
      <w:r>
        <w:rPr>
          <w:rStyle w:val="deletedparamark"/>
        </w:rPr>
        <w:t xml:space="preserve"> </w:t>
      </w:r>
      <w:r>
        <w:t>character, or for adding numerical information to non-mathematical</w:t>
      </w:r>
      <w:r>
        <w:rPr>
          <w:rStyle w:val="deletedparamark"/>
        </w:rPr>
        <w:t xml:space="preserve"> </w:t>
      </w:r>
      <w:r>
        <w:t>statements. Its formal design goals include:</w:t>
      </w:r>
    </w:p>
    <w:p w:rsidR="00B72047" w:rsidRDefault="00B72047" w:rsidP="007E67C1">
      <w:pPr>
        <w:pStyle w:val="Listnobullets"/>
        <w:numPr>
          <w:ilvl w:val="0"/>
          <w:numId w:val="0"/>
        </w:numPr>
        <w:ind w:left="86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indexentry"/>
        </w:rPr>
        <w:t>&lt;cx "mekso, design goals"&gt;</w:t>
      </w:r>
      <w:r>
        <w:rPr>
          <w:rStyle w:val="indexentry"/>
        </w:rPr>
        <w:fldChar w:fldCharType="begin"/>
      </w:r>
      <w:r>
        <w:instrText>xe "</w:instrText>
      </w:r>
      <w:r>
        <w:rPr>
          <w:rStyle w:val="xeentry"/>
        </w:rPr>
        <w:instrText>mekso: design goals</w:instrText>
      </w:r>
      <w:r>
        <w:instrText>"</w:instrText>
      </w:r>
      <w:r>
        <w:rPr>
          <w:rStyle w:val="indexentry"/>
        </w:rPr>
        <w:fldChar w:fldCharType="end"/>
      </w:r>
      <w:r>
        <w:rPr>
          <w:rStyle w:val="indexentry"/>
        </w:rPr>
        <w:t>&lt;cx "mekso goal, for mathematical writing"&gt;</w:t>
      </w:r>
      <w:r>
        <w:rPr>
          <w:rStyle w:val="indexentry"/>
        </w:rPr>
        <w:fldChar w:fldCharType="begin"/>
      </w:r>
      <w:r>
        <w:instrText>xe "</w:instrText>
      </w:r>
      <w:r>
        <w:rPr>
          <w:rStyle w:val="xeentry"/>
        </w:rPr>
        <w:instrText>mekso goal: for mathematical writing</w:instrText>
      </w:r>
      <w:r>
        <w:instrText>"</w:instrText>
      </w:r>
      <w:r>
        <w:rPr>
          <w:rStyle w:val="indexentry"/>
        </w:rPr>
        <w:fldChar w:fldCharType="end"/>
      </w:r>
      <w:r>
        <w:rPr>
          <w:rStyle w:val="htmlcodes"/>
        </w:rPr>
        <w:t>&lt;dl compact&gt;&lt;dt&gt;</w:t>
      </w:r>
      <w:r>
        <w:t>1)</w:t>
      </w:r>
      <w:r>
        <w:tab/>
      </w:r>
      <w:r>
        <w:rPr>
          <w:rStyle w:val="htmlcodes"/>
        </w:rPr>
        <w:t>&lt;dd&gt;</w:t>
      </w:r>
      <w:r>
        <w:t>representing all the different forms of expression used by mathematicians in their normal modes of writing, so that a reader can unambiguously read off mathematical text as written with minimal effort and expect a listener to u</w:t>
      </w:r>
      <w:r>
        <w:t>n</w:t>
      </w:r>
      <w:r>
        <w:softHyphen/>
        <w:t>derstand it;</w:t>
      </w:r>
    </w:p>
    <w:p w:rsidR="00B72047" w:rsidRDefault="00B72047" w:rsidP="007E67C1">
      <w:pPr>
        <w:pStyle w:val="Listnobullets"/>
        <w:numPr>
          <w:ilvl w:val="0"/>
          <w:numId w:val="0"/>
        </w:numPr>
        <w:ind w:left="864" w:hanging="504"/>
      </w:pPr>
      <w:r>
        <w:rPr>
          <w:rStyle w:val="htmlcodes"/>
        </w:rPr>
        <w:t>&lt;/dl&gt;</w:t>
      </w:r>
      <w:r>
        <w:rPr>
          <w:rStyle w:val="indexentry"/>
        </w:rPr>
        <w:t>&lt;cx "mekso goal, expandable"&gt;</w:t>
      </w:r>
      <w:r>
        <w:rPr>
          <w:rStyle w:val="indexentry"/>
        </w:rPr>
        <w:fldChar w:fldCharType="begin"/>
      </w:r>
      <w:r>
        <w:instrText>xe "</w:instrText>
      </w:r>
      <w:r>
        <w:rPr>
          <w:rStyle w:val="xeentry"/>
        </w:rPr>
        <w:instrText>mekso goal: expandable</w:instrText>
      </w:r>
      <w:r>
        <w:instrText>"</w:instrText>
      </w:r>
      <w:r>
        <w:rPr>
          <w:rStyle w:val="indexentry"/>
        </w:rPr>
        <w:fldChar w:fldCharType="end"/>
      </w:r>
      <w:r>
        <w:rPr>
          <w:rStyle w:val="indexentry"/>
        </w:rPr>
        <w:t>&lt;cx "mekso goal, for common use"&gt;</w:t>
      </w:r>
      <w:r>
        <w:rPr>
          <w:rStyle w:val="indexentry"/>
        </w:rPr>
        <w:fldChar w:fldCharType="begin"/>
      </w:r>
      <w:r>
        <w:instrText>xe "</w:instrText>
      </w:r>
      <w:r>
        <w:rPr>
          <w:rStyle w:val="xeentry"/>
        </w:rPr>
        <w:instrText>mekso goal: for common use</w:instrText>
      </w:r>
      <w:r>
        <w:instrText>"</w:instrText>
      </w:r>
      <w:r>
        <w:rPr>
          <w:rStyle w:val="indexentry"/>
        </w:rPr>
        <w:fldChar w:fldCharType="end"/>
      </w:r>
      <w:r>
        <w:rPr>
          <w:rStyle w:val="htmlcodes"/>
        </w:rPr>
        <w:t>&lt;dl compact&gt;&lt;dt&gt;</w:t>
      </w:r>
      <w:r>
        <w:t>2)</w:t>
      </w:r>
      <w:r>
        <w:tab/>
      </w:r>
      <w:r>
        <w:rPr>
          <w:rStyle w:val="htmlcodes"/>
        </w:rPr>
        <w:t>&lt;dd&gt;</w:t>
      </w:r>
      <w:r>
        <w:t>providing a vocabulary of commonly used mathematical terms which can readily be expanded to include newly coined words using the full resources of Lojban;</w:t>
      </w:r>
    </w:p>
    <w:p w:rsidR="00B72047" w:rsidRDefault="00B72047" w:rsidP="007E67C1">
      <w:pPr>
        <w:pStyle w:val="Listnobullets"/>
        <w:numPr>
          <w:ilvl w:val="0"/>
          <w:numId w:val="0"/>
        </w:numPr>
        <w:ind w:left="864" w:hanging="504"/>
      </w:pPr>
      <w:r>
        <w:rPr>
          <w:rStyle w:val="htmlcodes"/>
        </w:rPr>
        <w:t>&lt;/dl&gt;</w:t>
      </w:r>
      <w:r>
        <w:rPr>
          <w:rStyle w:val="indexentry"/>
        </w:rPr>
        <w:t>&lt;cx "mekso goal, unambiguous"&gt;</w:t>
      </w:r>
      <w:r>
        <w:rPr>
          <w:rStyle w:val="indexentry"/>
        </w:rPr>
        <w:fldChar w:fldCharType="begin"/>
      </w:r>
      <w:r>
        <w:instrText>xe "</w:instrText>
      </w:r>
      <w:r>
        <w:rPr>
          <w:rStyle w:val="xeentry"/>
        </w:rPr>
        <w:instrText>mekso goal: unambiguous</w:instrText>
      </w:r>
      <w:r>
        <w:instrText>"</w:instrText>
      </w:r>
      <w:r>
        <w:rPr>
          <w:rStyle w:val="indexentry"/>
        </w:rPr>
        <w:fldChar w:fldCharType="end"/>
      </w:r>
      <w:r>
        <w:rPr>
          <w:rStyle w:val="htmlcodes"/>
        </w:rPr>
        <w:t>&lt;dl compact&gt;&lt;dt&gt;</w:t>
      </w:r>
      <w:r>
        <w:t>3)</w:t>
      </w:r>
      <w:r>
        <w:tab/>
      </w:r>
      <w:r>
        <w:rPr>
          <w:rStyle w:val="htmlcodes"/>
        </w:rPr>
        <w:t>&lt;dd&gt;</w:t>
      </w:r>
      <w:r>
        <w:t>permitting the formulation, both in writing and in speech, of unambiguous mathematical text;</w:t>
      </w:r>
    </w:p>
    <w:p w:rsidR="00B72047" w:rsidRDefault="00B72047" w:rsidP="007E67C1">
      <w:pPr>
        <w:pStyle w:val="Listnobullets"/>
        <w:numPr>
          <w:ilvl w:val="0"/>
          <w:numId w:val="0"/>
        </w:numPr>
        <w:ind w:left="864" w:hanging="504"/>
      </w:pPr>
      <w:r>
        <w:rPr>
          <w:rStyle w:val="htmlcodes"/>
        </w:rPr>
        <w:t>&lt;/dl&gt;</w:t>
      </w:r>
      <w:r>
        <w:rPr>
          <w:rStyle w:val="indexentry"/>
        </w:rPr>
        <w:t>&lt;cx "mekso goal, coverage"&gt;</w:t>
      </w:r>
      <w:r>
        <w:rPr>
          <w:rStyle w:val="indexentry"/>
        </w:rPr>
        <w:fldChar w:fldCharType="begin"/>
      </w:r>
      <w:r>
        <w:instrText>xe "</w:instrText>
      </w:r>
      <w:r>
        <w:rPr>
          <w:rStyle w:val="xeentry"/>
        </w:rPr>
        <w:instrText>mekso goal: coverage</w:instrText>
      </w:r>
      <w:r>
        <w:instrText>"</w:instrText>
      </w:r>
      <w:r>
        <w:rPr>
          <w:rStyle w:val="indexentry"/>
        </w:rPr>
        <w:fldChar w:fldCharType="end"/>
      </w:r>
      <w:r>
        <w:rPr>
          <w:rStyle w:val="indexentry"/>
        </w:rPr>
        <w:t>&lt;cx "mekso goal, precision"&gt;</w:t>
      </w:r>
      <w:r>
        <w:rPr>
          <w:rStyle w:val="indexentry"/>
        </w:rPr>
        <w:fldChar w:fldCharType="begin"/>
      </w:r>
      <w:r>
        <w:instrText>xe "</w:instrText>
      </w:r>
      <w:r>
        <w:rPr>
          <w:rStyle w:val="xeentry"/>
        </w:rPr>
        <w:instrText>mekso goal: precision</w:instrText>
      </w:r>
      <w:r>
        <w:instrText>"</w:instrText>
      </w:r>
      <w:r>
        <w:rPr>
          <w:rStyle w:val="indexentry"/>
        </w:rPr>
        <w:fldChar w:fldCharType="end"/>
      </w:r>
      <w:r>
        <w:rPr>
          <w:rStyle w:val="htmlcodes"/>
        </w:rPr>
        <w:t>&lt;dl compact&gt;&lt;dt&gt;</w:t>
      </w:r>
      <w:r>
        <w:t>4)</w:t>
      </w:r>
      <w:r>
        <w:tab/>
      </w:r>
      <w:r>
        <w:rPr>
          <w:rStyle w:val="htmlcodes"/>
        </w:rPr>
        <w:t>&lt;dd&gt;</w:t>
      </w:r>
      <w:r>
        <w:t>encompassing all forms of quantified expression found in natural languages, as well as encouraging greater precision in ordinary language situations than natural languages allow.</w:t>
      </w:r>
    </w:p>
    <w:p w:rsidR="00B72047" w:rsidRDefault="00B72047">
      <w:pPr>
        <w:pStyle w:val="normalafterexample"/>
      </w:pPr>
      <w:r>
        <w:rPr>
          <w:rStyle w:val="htmlcodes"/>
        </w:rPr>
        <w:t>&lt;/dl&gt;</w:t>
      </w:r>
      <w:r>
        <w:rPr>
          <w:rStyle w:val="indexentry"/>
        </w:rPr>
        <w:t>&lt;cx "mekso goals, mathematical notation form"&gt;</w:t>
      </w:r>
      <w:r>
        <w:rPr>
          <w:rStyle w:val="indexentry"/>
        </w:rPr>
        <w:fldChar w:fldCharType="begin"/>
      </w:r>
      <w:r>
        <w:instrText>xe "</w:instrText>
      </w:r>
      <w:r>
        <w:rPr>
          <w:rStyle w:val="xeentry"/>
        </w:rPr>
        <w:instrText>mekso goals: mathematical notation form</w:instrText>
      </w:r>
      <w:r>
        <w:instrText>"</w:instrText>
      </w:r>
      <w:r>
        <w:rPr>
          <w:rStyle w:val="indexentry"/>
        </w:rPr>
        <w:fldChar w:fldCharType="end"/>
      </w:r>
      <w:r>
        <w:rPr>
          <w:rStyle w:val="indexentry"/>
        </w:rPr>
        <w:t>&lt;cx "Polish notation, and mekso goals"&gt;</w:t>
      </w:r>
      <w:r>
        <w:rPr>
          <w:rStyle w:val="indexentry"/>
        </w:rPr>
        <w:fldChar w:fldCharType="begin"/>
      </w:r>
      <w:r>
        <w:instrText>xe "</w:instrText>
      </w:r>
      <w:r>
        <w:rPr>
          <w:rStyle w:val="xeentry"/>
        </w:rPr>
        <w:instrText>Polish notation: and mekso goals</w:instrText>
      </w:r>
      <w:r>
        <w:instrText>"</w:instrText>
      </w:r>
      <w:r>
        <w:rPr>
          <w:rStyle w:val="indexentry"/>
        </w:rPr>
        <w:fldChar w:fldCharType="end"/>
      </w:r>
      <w:r>
        <w:rPr>
          <w:rStyle w:val="indexentry"/>
        </w:rPr>
        <w:t>&lt;cx "reverse Polish notation, and mekso goals"&gt;</w:t>
      </w:r>
      <w:r>
        <w:rPr>
          <w:rStyle w:val="indexentry"/>
        </w:rPr>
        <w:fldChar w:fldCharType="begin"/>
      </w:r>
      <w:r>
        <w:instrText>xe "</w:instrText>
      </w:r>
      <w:r>
        <w:rPr>
          <w:rStyle w:val="xeentry"/>
        </w:rPr>
        <w:instrText>reverse Polish notation: and mekso goals</w:instrText>
      </w:r>
      <w:r>
        <w:instrText>"</w:instrText>
      </w:r>
      <w:r>
        <w:rPr>
          <w:rStyle w:val="indexentry"/>
        </w:rPr>
        <w:fldChar w:fldCharType="end"/>
      </w:r>
      <w:r>
        <w:t>Goal 1 requires that mekso not be constrained to a single</w:t>
      </w:r>
      <w:r>
        <w:rPr>
          <w:rStyle w:val="deletedparamark"/>
        </w:rPr>
        <w:t xml:space="preserve"> </w:t>
      </w:r>
      <w:r>
        <w:t>notation such as Pol</w:t>
      </w:r>
      <w:r>
        <w:softHyphen/>
        <w:t>ish n</w:t>
      </w:r>
      <w:r>
        <w:t>o</w:t>
      </w:r>
      <w:r>
        <w:softHyphen/>
        <w:t>tation or reverse Polish notation, but make</w:t>
      </w:r>
      <w:r>
        <w:rPr>
          <w:rStyle w:val="deletedparamark"/>
        </w:rPr>
        <w:t xml:space="preserve"> </w:t>
      </w:r>
      <w:r>
        <w:t>provision for all forms, with the most co</w:t>
      </w:r>
      <w:r>
        <w:t>m</w:t>
      </w:r>
      <w:r>
        <w:softHyphen/>
        <w:t>monly used forms the most</w:t>
      </w:r>
      <w:r>
        <w:rPr>
          <w:rStyle w:val="deletedparamark"/>
        </w:rPr>
        <w:t xml:space="preserve"> </w:t>
      </w:r>
      <w:r>
        <w:t>easily used.</w:t>
      </w:r>
    </w:p>
    <w:p w:rsidR="00B72047" w:rsidRDefault="00B72047">
      <w:pPr>
        <w:rPr>
          <w:rStyle w:val="htmlparacode"/>
        </w:rPr>
      </w:pPr>
      <w:r>
        <w:rPr>
          <w:rStyle w:val="htmlparacode"/>
        </w:rPr>
        <w:t>&lt;p&gt;</w:t>
      </w:r>
    </w:p>
    <w:p w:rsidR="00B72047" w:rsidRDefault="00B72047">
      <w:pPr>
        <w:pStyle w:val="normalparagraph"/>
      </w:pPr>
      <w:r>
        <w:rPr>
          <w:rStyle w:val="indexentry"/>
        </w:rPr>
        <w:t>&lt;cx "mekso goals, and non-mathematical expression"&gt;</w:t>
      </w:r>
      <w:r>
        <w:rPr>
          <w:rStyle w:val="indexentry"/>
        </w:rPr>
        <w:fldChar w:fldCharType="begin"/>
      </w:r>
      <w:r>
        <w:instrText>xe "</w:instrText>
      </w:r>
      <w:r>
        <w:rPr>
          <w:rStyle w:val="xeentry"/>
        </w:rPr>
        <w:instrText>mekso goals: and non-mathematical expression</w:instrText>
      </w:r>
      <w:r>
        <w:instrText>"</w:instrText>
      </w:r>
      <w:r>
        <w:rPr>
          <w:rStyle w:val="indexentry"/>
        </w:rPr>
        <w:fldChar w:fldCharType="end"/>
      </w:r>
      <w:r>
        <w:t>Goal 2 requires the provision of several conversion mechanisms,</w:t>
      </w:r>
      <w:r>
        <w:rPr>
          <w:rStyle w:val="deletedparamark"/>
        </w:rPr>
        <w:t xml:space="preserve"> </w:t>
      </w:r>
      <w:r>
        <w:t>so that the boun</w:t>
      </w:r>
      <w:r>
        <w:t>d</w:t>
      </w:r>
      <w:r>
        <w:softHyphen/>
        <w:t>ary between mekso and full Lojban can be crossed from</w:t>
      </w:r>
      <w:r>
        <w:rPr>
          <w:rStyle w:val="deletedparamark"/>
        </w:rPr>
        <w:t xml:space="preserve"> </w:t>
      </w:r>
      <w:r>
        <w:t>either side at many points.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"mekso goals, and ambiguity"&gt;</w:t>
      </w:r>
      <w:r>
        <w:rPr>
          <w:rStyle w:val="indexentry"/>
        </w:rPr>
        <w:fldChar w:fldCharType="begin"/>
      </w:r>
      <w:r>
        <w:instrText>xe "</w:instrText>
      </w:r>
      <w:r>
        <w:rPr>
          <w:rStyle w:val="xeentry"/>
        </w:rPr>
        <w:instrText>mekso goals: and ambiguity</w:instrText>
      </w:r>
      <w:r>
        <w:instrText>"</w:instrText>
      </w:r>
      <w:r>
        <w:rPr>
          <w:rStyle w:val="indexentry"/>
        </w:rPr>
        <w:fldChar w:fldCharType="end"/>
      </w:r>
      <w:r>
        <w:rPr>
          <w:rStyle w:val="indexentry"/>
        </w:rPr>
        <w:t>&lt;cx "mathematical notation, international uniqueness of"&gt;</w:t>
      </w:r>
      <w:r>
        <w:rPr>
          <w:rStyle w:val="indexentry"/>
        </w:rPr>
        <w:fldChar w:fldCharType="begin"/>
      </w:r>
      <w:r>
        <w:instrText>xe "</w:instrText>
      </w:r>
      <w:r>
        <w:rPr>
          <w:rStyle w:val="xeentry"/>
        </w:rPr>
        <w:instrText>mathematical notation: international uniqueness of</w:instrText>
      </w:r>
      <w:r>
        <w:instrText>"</w:instrText>
      </w:r>
      <w:r>
        <w:rPr>
          <w:rStyle w:val="indexentry"/>
        </w:rPr>
        <w:fldChar w:fldCharType="end"/>
      </w:r>
      <w:r>
        <w:t>Goal 3 is the most subtle. Written mathematical expression is</w:t>
      </w:r>
      <w:r>
        <w:rPr>
          <w:rStyle w:val="deletedparamark"/>
        </w:rPr>
        <w:t xml:space="preserve"> </w:t>
      </w:r>
      <w:r>
        <w:t>culturally unam</w:t>
      </w:r>
      <w:r>
        <w:softHyphen/>
        <w:t>bigu</w:t>
      </w:r>
      <w:r>
        <w:softHyphen/>
        <w:t>ous, in the sense that mathematicians in all parts of</w:t>
      </w:r>
      <w:r>
        <w:rPr>
          <w:rStyle w:val="deletedparamark"/>
        </w:rPr>
        <w:t xml:space="preserve"> </w:t>
      </w:r>
      <w:r>
        <w:t>the world understand the same written texts to have the same meanings.</w:t>
      </w:r>
      <w:r>
        <w:rPr>
          <w:rStyle w:val="deletedparamark"/>
        </w:rPr>
        <w:t xml:space="preserve"> </w:t>
      </w:r>
      <w:r>
        <w:t>However, international mathematical notation does not prescribe unique forms.</w:t>
      </w:r>
      <w:r>
        <w:rPr>
          <w:rStyle w:val="deletedparamark"/>
        </w:rPr>
        <w:t xml:space="preserve"> </w:t>
      </w:r>
      <w:r>
        <w:t>For example, the expression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name=e1d1&gt;</w:t>
      </w:r>
      <w:r>
        <w:t>1.1)</w:t>
      </w:r>
      <w:r>
        <w:tab/>
      </w:r>
      <w:r>
        <w:rPr>
          <w:rStyle w:val="htmlcodes"/>
        </w:rPr>
        <w:t>&lt;math&gt;</w:t>
      </w:r>
      <w:r>
        <w:rPr>
          <w:rStyle w:val="math"/>
        </w:rPr>
        <w:t>3</w:t>
      </w:r>
      <w:r>
        <w:rPr>
          <w:rStyle w:val="math"/>
          <w:i/>
          <w:iCs/>
        </w:rPr>
        <w:t>x</w:t>
      </w:r>
      <w:r>
        <w:rPr>
          <w:rStyle w:val="math"/>
        </w:rPr>
        <w:t xml:space="preserve"> + 2</w:t>
      </w:r>
      <w:r>
        <w:rPr>
          <w:rStyle w:val="math"/>
          <w:i/>
          <w:iCs/>
        </w:rPr>
        <w:t>y</w:t>
      </w:r>
      <w:r>
        <w:rPr>
          <w:rStyle w:val="htmlcodes"/>
        </w:rPr>
        <w:t>&lt;/math&gt;</w:t>
      </w:r>
    </w:p>
    <w:p w:rsidR="00B72047" w:rsidRDefault="00B72047">
      <w:pPr>
        <w:pStyle w:val="resumedafterexample"/>
      </w:pPr>
      <w:r>
        <w:rPr>
          <w:rStyle w:val="htmlcodes"/>
        </w:rPr>
        <w:t>&lt;/pre&gt;</w:t>
      </w:r>
      <w:r>
        <w:rPr>
          <w:rStyle w:val="indexentry"/>
        </w:rPr>
        <w:t>&lt;cx "mathematical notation, and omitted operators"&gt;</w:t>
      </w:r>
      <w:r>
        <w:rPr>
          <w:rStyle w:val="indexentry"/>
        </w:rPr>
        <w:fldChar w:fldCharType="begin"/>
      </w:r>
      <w:r>
        <w:instrText>xe "</w:instrText>
      </w:r>
      <w:r>
        <w:rPr>
          <w:rStyle w:val="xeentry"/>
        </w:rPr>
        <w:instrText>mathematical notation: and omitted operators</w:instrText>
      </w:r>
      <w:r>
        <w:instrText>"</w:instrText>
      </w:r>
      <w:r>
        <w:rPr>
          <w:rStyle w:val="indexentry"/>
        </w:rPr>
        <w:fldChar w:fldCharType="end"/>
      </w:r>
      <w:r>
        <w:t>contains omitted multiplication operators, but there are other possible</w:t>
      </w:r>
      <w:r>
        <w:rPr>
          <w:rStyle w:val="deletedparamark"/>
        </w:rPr>
        <w:t xml:space="preserve"> </w:t>
      </w:r>
      <w:r>
        <w:t>interpretations for the strings “3</w:t>
      </w:r>
      <w:r>
        <w:rPr>
          <w:i/>
          <w:iCs/>
        </w:rPr>
        <w:t>x</w:t>
      </w:r>
      <w:r>
        <w:t>” and “2</w:t>
      </w:r>
      <w:r>
        <w:rPr>
          <w:i/>
          <w:iCs/>
        </w:rPr>
        <w:t>y</w:t>
      </w:r>
      <w:r>
        <w:t>” than as mathematical</w:t>
      </w:r>
      <w:r>
        <w:rPr>
          <w:rStyle w:val="deletedparamark"/>
        </w:rPr>
        <w:t xml:space="preserve"> </w:t>
      </w:r>
      <w:r>
        <w:t>multiplication. Therefore, the Lojban ve</w:t>
      </w:r>
      <w:r>
        <w:t>r</w:t>
      </w:r>
      <w:r>
        <w:softHyphen/>
        <w:t>bal (spoken and written) form</w:t>
      </w:r>
      <w:r>
        <w:rPr>
          <w:rStyle w:val="deletedparamark"/>
        </w:rPr>
        <w:t xml:space="preserve"> </w:t>
      </w:r>
      <w:r>
        <w:t xml:space="preserve">of </w:t>
      </w:r>
      <w:r>
        <w:rPr>
          <w:rStyle w:val="htmlcodes"/>
        </w:rPr>
        <w:t>&lt;a href=#e1d1&gt;</w:t>
      </w:r>
      <w:r>
        <w:t xml:space="preserve">Example 1.1 </w:t>
      </w:r>
      <w:r>
        <w:rPr>
          <w:rStyle w:val="htmlcodes"/>
        </w:rPr>
        <w:t>&lt;/a&gt;</w:t>
      </w:r>
      <w:r>
        <w:t>must not omit the multiplication op</w:t>
      </w:r>
      <w:r>
        <w:softHyphen/>
        <w:t>erators.</w:t>
      </w:r>
    </w:p>
    <w:p w:rsidR="00B72047" w:rsidRDefault="00B72047">
      <w:pPr>
        <w:rPr>
          <w:rStyle w:val="htmlparacode"/>
        </w:rPr>
      </w:pPr>
      <w:r>
        <w:rPr>
          <w:rStyle w:val="htmlparacode"/>
        </w:rPr>
        <w:t>&lt;p&gt;</w:t>
      </w:r>
    </w:p>
    <w:p w:rsidR="00B72047" w:rsidRDefault="00B72047">
      <w:pPr>
        <w:pStyle w:val="normalparagraph"/>
      </w:pPr>
      <w:r>
        <w:rPr>
          <w:rStyle w:val="indexentry"/>
        </w:rPr>
        <w:t>&lt;cx "mekso chapter, table notation convention"&gt;</w:t>
      </w:r>
      <w:r>
        <w:rPr>
          <w:rStyle w:val="indexentry"/>
        </w:rPr>
        <w:fldChar w:fldCharType="begin"/>
      </w:r>
      <w:r>
        <w:instrText>xe "</w:instrText>
      </w:r>
      <w:r>
        <w:rPr>
          <w:rStyle w:val="xeentry"/>
        </w:rPr>
        <w:instrText>mekso chapter: table notation convention</w:instrText>
      </w:r>
      <w:r>
        <w:instrText>"</w:instrText>
      </w:r>
      <w:r>
        <w:rPr>
          <w:rStyle w:val="indexentry"/>
        </w:rPr>
        <w:fldChar w:fldCharType="end"/>
      </w:r>
      <w:r>
        <w:rPr>
          <w:rStyle w:val="indexentry"/>
        </w:rPr>
        <w:t>&lt;cx "mekso chapter, completeness"&gt;</w:t>
      </w:r>
      <w:r>
        <w:rPr>
          <w:rStyle w:val="indexentry"/>
        </w:rPr>
        <w:fldChar w:fldCharType="begin"/>
      </w:r>
      <w:r>
        <w:instrText>xe "</w:instrText>
      </w:r>
      <w:r>
        <w:rPr>
          <w:rStyle w:val="xeentry"/>
        </w:rPr>
        <w:instrText>mekso chapter: completeness</w:instrText>
      </w:r>
      <w:r>
        <w:instrText>"</w:instrText>
      </w:r>
      <w:r>
        <w:rPr>
          <w:rStyle w:val="indexentry"/>
        </w:rPr>
        <w:fldChar w:fldCharType="end"/>
      </w:r>
      <w:r>
        <w:t>The remainder of this chapter explains (in as much detail as is currently</w:t>
      </w:r>
      <w:r>
        <w:rPr>
          <w:rStyle w:val="deletedparamark"/>
        </w:rPr>
        <w:t xml:space="preserve"> </w:t>
      </w:r>
      <w:r>
        <w:t>possi</w:t>
      </w:r>
      <w:r>
        <w:softHyphen/>
        <w:t>ble) the mekso system. This chapter is by intention complete as regards</w:t>
      </w:r>
      <w:r>
        <w:rPr>
          <w:rStyle w:val="deletedparamark"/>
        </w:rPr>
        <w:t xml:space="preserve"> </w:t>
      </w:r>
      <w:r>
        <w:t>mekso compo</w:t>
      </w:r>
      <w:r>
        <w:softHyphen/>
        <w:t>nents, but only suggestive about uses of those components — as</w:t>
      </w:r>
      <w:r>
        <w:rPr>
          <w:rStyle w:val="deletedparamark"/>
        </w:rPr>
        <w:t xml:space="preserve"> </w:t>
      </w:r>
      <w:r>
        <w:t>of now, there has been no really comprehensive use made of mekso facilities,</w:t>
      </w:r>
      <w:r>
        <w:rPr>
          <w:rStyle w:val="deletedparamark"/>
        </w:rPr>
        <w:t xml:space="preserve"> </w:t>
      </w:r>
      <w:r>
        <w:t>and many matters must await the test of us</w:t>
      </w:r>
      <w:r>
        <w:softHyphen/>
        <w:t>age to be fully clarified.</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r>
        <w:rPr>
          <w:rStyle w:val="htmlcodes"/>
        </w:rPr>
        <w:t>&lt;a name=s2&gt;&lt;h3&gt;</w:t>
      </w:r>
      <w:bookmarkStart w:id="497" w:name="_Toc398970734"/>
      <w:r>
        <w:rPr>
          <w:rStyle w:val="Heading3Text"/>
        </w:rPr>
        <w:t>Lojban numbers</w:t>
      </w:r>
      <w:bookmarkEnd w:id="49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indexentry"/>
        </w:rPr>
        <w:t>&lt;lx "PA"&gt;</w:t>
      </w:r>
      <w:r>
        <w:rPr>
          <w:rStyle w:val="indexentry"/>
        </w:rPr>
        <w:fldChar w:fldCharType="begin"/>
      </w:r>
      <w:r>
        <w:instrText>xe "</w:instrText>
      </w:r>
      <w:r>
        <w:rPr>
          <w:rStyle w:val="xeentry"/>
        </w:rPr>
        <w:instrText>PA selma’o</w:instrText>
      </w:r>
      <w:r>
        <w:instrText>"</w:instrText>
      </w:r>
      <w:r>
        <w:rPr>
          <w:rStyle w:val="indexentry"/>
        </w:rPr>
        <w:fldChar w:fldCharType="end"/>
      </w:r>
      <w:r>
        <w:rPr>
          <w:rStyle w:val="htmlcodes"/>
        </w:rPr>
        <w:t>&lt;pre&gt;</w:t>
      </w:r>
      <w:r>
        <w:t xml:space="preserve"> </w:t>
      </w:r>
      <w:r>
        <w:tab/>
        <w:t>pa</w:t>
      </w:r>
      <w:r>
        <w:tab/>
        <w:t>PA</w:t>
      </w:r>
      <w:r>
        <w:tab/>
        <w:t>1</w:t>
      </w:r>
      <w:r>
        <w:tab/>
      </w:r>
      <w:r>
        <w:tab/>
        <w:t>xa</w:t>
      </w:r>
      <w:r>
        <w:tab/>
        <w:t>PA</w:t>
      </w:r>
      <w:r>
        <w:tab/>
        <w:t>6</w:t>
      </w:r>
    </w:p>
    <w:p w:rsidR="00B72047" w:rsidRDefault="00B72047">
      <w:pPr>
        <w:pStyle w:val="examplescaled"/>
      </w:pPr>
      <w:r>
        <w:tab/>
        <w:t>re</w:t>
      </w:r>
      <w:r>
        <w:tab/>
        <w:t>PA</w:t>
      </w:r>
      <w:r>
        <w:tab/>
        <w:t>2</w:t>
      </w:r>
      <w:r>
        <w:tab/>
        <w:t xml:space="preserve"> </w:t>
      </w:r>
      <w:r>
        <w:tab/>
        <w:t>ze</w:t>
      </w:r>
      <w:r>
        <w:tab/>
        <w:t>PA</w:t>
      </w:r>
      <w:r>
        <w:tab/>
        <w:t>7</w:t>
      </w:r>
    </w:p>
    <w:p w:rsidR="00B72047" w:rsidRDefault="00B72047">
      <w:pPr>
        <w:pStyle w:val="examplescaled"/>
      </w:pPr>
      <w:r>
        <w:tab/>
        <w:t>ci</w:t>
      </w:r>
      <w:r>
        <w:tab/>
        <w:t>PA</w:t>
      </w:r>
      <w:r>
        <w:tab/>
        <w:t>3</w:t>
      </w:r>
      <w:r>
        <w:tab/>
      </w:r>
      <w:r>
        <w:tab/>
        <w:t>bi</w:t>
      </w:r>
      <w:r>
        <w:tab/>
        <w:t>PA</w:t>
      </w:r>
      <w:r>
        <w:tab/>
        <w:t>8</w:t>
      </w:r>
    </w:p>
    <w:p w:rsidR="00B72047" w:rsidRDefault="00B72047">
      <w:pPr>
        <w:pStyle w:val="examplescaled"/>
      </w:pPr>
      <w:r>
        <w:tab/>
        <w:t>vo</w:t>
      </w:r>
      <w:r>
        <w:tab/>
        <w:t>PA</w:t>
      </w:r>
      <w:r>
        <w:tab/>
        <w:t>4</w:t>
      </w:r>
      <w:r>
        <w:tab/>
      </w:r>
      <w:r>
        <w:tab/>
        <w:t>so</w:t>
      </w:r>
      <w:r>
        <w:tab/>
        <w:t>PA</w:t>
      </w:r>
      <w:r>
        <w:tab/>
        <w:t>9</w:t>
      </w:r>
    </w:p>
    <w:p w:rsidR="00B72047" w:rsidRDefault="00B72047">
      <w:pPr>
        <w:pStyle w:val="examplescaled"/>
      </w:pPr>
      <w:r>
        <w:tab/>
        <w:t>mu</w:t>
      </w:r>
      <w:r>
        <w:tab/>
        <w:t>PA</w:t>
      </w:r>
      <w:r>
        <w:tab/>
        <w:t>5</w:t>
      </w:r>
      <w:r>
        <w:tab/>
      </w:r>
      <w:r>
        <w:tab/>
        <w:t>no</w:t>
      </w:r>
      <w:r>
        <w:tab/>
        <w:t>PA</w:t>
      </w:r>
      <w:r>
        <w:tab/>
        <w:t>0</w:t>
      </w:r>
    </w:p>
    <w:p w:rsidR="00B72047" w:rsidRDefault="00B72047">
      <w:pPr>
        <w:pStyle w:val="normalafterexample"/>
      </w:pPr>
      <w:r>
        <w:rPr>
          <w:rStyle w:val="htmlcodes"/>
        </w:rPr>
        <w:t>&lt;/pre&gt;</w:t>
      </w:r>
      <w:r>
        <w:rPr>
          <w:rStyle w:val="indexentry"/>
        </w:rPr>
        <w:t>&lt;cx "numbers, expressing simple"&gt;</w:t>
      </w:r>
      <w:r>
        <w:rPr>
          <w:rStyle w:val="indexentry"/>
        </w:rPr>
        <w:fldChar w:fldCharType="begin"/>
      </w:r>
      <w:r>
        <w:instrText>xe "</w:instrText>
      </w:r>
      <w:r>
        <w:rPr>
          <w:rStyle w:val="xeentry"/>
        </w:rPr>
        <w:instrText>numbers: expressing simple</w:instrText>
      </w:r>
      <w:r>
        <w:instrText>"</w:instrText>
      </w:r>
      <w:r>
        <w:rPr>
          <w:rStyle w:val="indexentry"/>
        </w:rPr>
        <w:fldChar w:fldCharType="end"/>
      </w:r>
      <w:r>
        <w:rPr>
          <w:rStyle w:val="indexentry"/>
        </w:rPr>
        <w:t>&lt;cx "digits, cmavo for"&gt;</w:t>
      </w:r>
      <w:r>
        <w:rPr>
          <w:rStyle w:val="indexentry"/>
        </w:rPr>
        <w:fldChar w:fldCharType="begin"/>
      </w:r>
      <w:r>
        <w:instrText>xe "</w:instrText>
      </w:r>
      <w:r>
        <w:rPr>
          <w:rStyle w:val="xeentry"/>
        </w:rPr>
        <w:instrText>digits: cmavo for</w:instrText>
      </w:r>
      <w:r>
        <w:instrText>"</w:instrText>
      </w:r>
      <w:r>
        <w:rPr>
          <w:rStyle w:val="indexentry"/>
        </w:rPr>
        <w:fldChar w:fldCharType="end"/>
      </w:r>
      <w:r>
        <w:rPr>
          <w:rStyle w:val="indexentry"/>
        </w:rPr>
        <w:t>&lt;cx "numbers, as compound cmavo"&gt;</w:t>
      </w:r>
      <w:r>
        <w:rPr>
          <w:rStyle w:val="indexentry"/>
        </w:rPr>
        <w:fldChar w:fldCharType="begin"/>
      </w:r>
      <w:r>
        <w:instrText>xe "</w:instrText>
      </w:r>
      <w:r>
        <w:rPr>
          <w:rStyle w:val="xeentry"/>
        </w:rPr>
        <w:instrText>numbers: as compound cmavo</w:instrText>
      </w:r>
      <w:r>
        <w:instrText>"</w:instrText>
      </w:r>
      <w:r>
        <w:rPr>
          <w:rStyle w:val="indexentry"/>
        </w:rPr>
        <w:fldChar w:fldCharType="end"/>
      </w:r>
      <w:r>
        <w:rPr>
          <w:rStyle w:val="indexentry"/>
        </w:rPr>
        <w:t>&lt;cx "ten, expressing as number"&gt;</w:t>
      </w:r>
      <w:r>
        <w:rPr>
          <w:rStyle w:val="indexentry"/>
        </w:rPr>
        <w:fldChar w:fldCharType="begin"/>
      </w:r>
      <w:r>
        <w:instrText>xe "</w:instrText>
      </w:r>
      <w:r>
        <w:rPr>
          <w:rStyle w:val="xeentry"/>
        </w:rPr>
        <w:instrText>ten: expressing as number</w:instrText>
      </w:r>
      <w:r>
        <w:instrText>"</w:instrText>
      </w:r>
      <w:r>
        <w:rPr>
          <w:rStyle w:val="indexentry"/>
        </w:rPr>
        <w:fldChar w:fldCharType="end"/>
      </w:r>
      <w:r>
        <w:rPr>
          <w:rStyle w:val="indexentry"/>
        </w:rPr>
        <w:t>&lt;cx "hundred, expressing as number"&gt;</w:t>
      </w:r>
      <w:r>
        <w:rPr>
          <w:rStyle w:val="indexentry"/>
        </w:rPr>
        <w:fldChar w:fldCharType="begin"/>
      </w:r>
      <w:r>
        <w:instrText>xe "</w:instrText>
      </w:r>
      <w:r>
        <w:rPr>
          <w:rStyle w:val="xeentry"/>
        </w:rPr>
        <w:instrText>hundred: expressing as number</w:instrText>
      </w:r>
      <w:r>
        <w:instrText>"</w:instrText>
      </w:r>
      <w:r>
        <w:rPr>
          <w:rStyle w:val="indexentry"/>
        </w:rPr>
        <w:fldChar w:fldCharType="end"/>
      </w:r>
      <w:r>
        <w:t>The simplest kind of mekso are numbers, which are cmavo or compound cmavo.</w:t>
      </w:r>
      <w:r>
        <w:rPr>
          <w:rStyle w:val="deletedparamark"/>
        </w:rPr>
        <w:t xml:space="preserve"> </w:t>
      </w:r>
      <w:r>
        <w:t>There are cmavo for each of the 10 decimal digits, and numbers greater than</w:t>
      </w:r>
      <w:r>
        <w:rPr>
          <w:rStyle w:val="deletedparamark"/>
        </w:rPr>
        <w:t xml:space="preserve"> </w:t>
      </w:r>
      <w:r>
        <w:t>9 are made by stringing together the cmavo. 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&lt;ex "123"&gt;</w:t>
      </w:r>
      <w:r>
        <w:rPr>
          <w:rStyle w:val="indexentry"/>
        </w:rPr>
        <w:fldChar w:fldCharType="begin"/>
      </w:r>
      <w:r>
        <w:instrText>xe "</w:instrText>
      </w:r>
      <w:r>
        <w:rPr>
          <w:rStyle w:val="xeentry"/>
        </w:rPr>
        <w:instrText>123: example</w:instrText>
      </w:r>
      <w:r>
        <w:instrText>"</w:instrText>
      </w:r>
      <w:r>
        <w:rPr>
          <w:rStyle w:val="indexentry"/>
        </w:rPr>
        <w:fldChar w:fldCharType="end"/>
      </w:r>
      <w:r>
        <w:rPr>
          <w:rStyle w:val="htmlcodes"/>
        </w:rPr>
        <w:t>&lt;pre&gt;&lt;a name=e2d1&gt;</w:t>
      </w:r>
      <w:r>
        <w:t>2.1)</w:t>
      </w:r>
      <w:r>
        <w:tab/>
        <w:t>pa re ci</w:t>
      </w:r>
    </w:p>
    <w:p w:rsidR="00B72047" w:rsidRDefault="00B72047">
      <w:pPr>
        <w:pStyle w:val="examplescaled"/>
      </w:pPr>
      <w:r>
        <w:tab/>
        <w:t>one two three</w:t>
      </w:r>
    </w:p>
    <w:p w:rsidR="00B72047" w:rsidRDefault="00B72047">
      <w:pPr>
        <w:pStyle w:val="examplescaled"/>
      </w:pPr>
      <w:r>
        <w:tab/>
      </w:r>
      <w:r>
        <w:rPr>
          <w:rStyle w:val="math"/>
        </w:rPr>
        <w:t>123</w:t>
      </w:r>
    </w:p>
    <w:p w:rsidR="00B72047" w:rsidRDefault="00B72047">
      <w:pPr>
        <w:pStyle w:val="examplescaled"/>
      </w:pPr>
      <w:r>
        <w:tab/>
        <w:t>one hundred and twenty three</w:t>
      </w:r>
    </w:p>
    <w:p w:rsidR="00B72047" w:rsidRDefault="00B72047">
      <w:pPr>
        <w:pStyle w:val="examplescaledpre"/>
      </w:pPr>
      <w:r>
        <w:rPr>
          <w:rStyle w:val="htmlcodes"/>
        </w:rPr>
        <w:t>&lt;a name=e2d2&gt;</w:t>
      </w:r>
      <w:r>
        <w:t>2.2)</w:t>
      </w:r>
      <w:r>
        <w:tab/>
        <w:t>pa no</w:t>
      </w:r>
    </w:p>
    <w:p w:rsidR="00B72047" w:rsidRDefault="00B72047">
      <w:pPr>
        <w:pStyle w:val="examplescaled"/>
      </w:pPr>
      <w:r>
        <w:tab/>
        <w:t>one zero</w:t>
      </w:r>
    </w:p>
    <w:p w:rsidR="00B72047" w:rsidRDefault="00B72047">
      <w:pPr>
        <w:pStyle w:val="examplescaled"/>
      </w:pPr>
      <w:r>
        <w:tab/>
      </w:r>
      <w:r>
        <w:rPr>
          <w:rStyle w:val="math"/>
        </w:rPr>
        <w:t>10</w:t>
      </w:r>
    </w:p>
    <w:p w:rsidR="00B72047" w:rsidRDefault="00B72047">
      <w:pPr>
        <w:pStyle w:val="examplescaled"/>
      </w:pPr>
      <w:r>
        <w:tab/>
        <w:t>ten</w:t>
      </w:r>
    </w:p>
    <w:p w:rsidR="00B72047" w:rsidRDefault="00B72047">
      <w:pPr>
        <w:pStyle w:val="examplescaledpre"/>
      </w:pPr>
      <w:r>
        <w:rPr>
          <w:rStyle w:val="htmlcodes"/>
        </w:rPr>
        <w:t>&lt;a name=e2d3&gt;</w:t>
      </w:r>
      <w:r>
        <w:t>2.3)</w:t>
      </w:r>
      <w:r>
        <w:tab/>
        <w:t>pa re ci vo mu xa ze bi so no</w:t>
      </w:r>
    </w:p>
    <w:p w:rsidR="00B72047" w:rsidRDefault="00B72047">
      <w:pPr>
        <w:pStyle w:val="examplescaled"/>
      </w:pPr>
      <w:r>
        <w:tab/>
        <w:t>one two three four five six seven eight nine zero</w:t>
      </w:r>
    </w:p>
    <w:p w:rsidR="00B72047" w:rsidRDefault="00B72047">
      <w:pPr>
        <w:pStyle w:val="examplescaled"/>
      </w:pPr>
      <w:r>
        <w:tab/>
      </w:r>
      <w:r>
        <w:rPr>
          <w:rStyle w:val="math"/>
        </w:rPr>
        <w:t>1234567890</w:t>
      </w:r>
    </w:p>
    <w:p w:rsidR="00B72047" w:rsidRDefault="00B72047">
      <w:pPr>
        <w:pStyle w:val="examplescaled"/>
      </w:pPr>
      <w:r>
        <w:tab/>
        <w:t>one billion, two hundred and thirty-four million, five hundred and</w:t>
      </w:r>
    </w:p>
    <w:p w:rsidR="00B72047" w:rsidRDefault="00B72047">
      <w:pPr>
        <w:pStyle w:val="examplescaled"/>
        <w:ind w:firstLine="576"/>
      </w:pPr>
      <w:r>
        <w:t>sixty-seven thousand, eight hundred and ninety.</w:t>
      </w:r>
    </w:p>
    <w:p w:rsidR="00B72047" w:rsidRDefault="00B72047">
      <w:pPr>
        <w:pStyle w:val="resumedafterexample"/>
      </w:pPr>
      <w:r>
        <w:rPr>
          <w:rStyle w:val="htmlcodes"/>
        </w:rPr>
        <w:t>&lt;/pre&gt;</w:t>
      </w:r>
      <w:r>
        <w:rPr>
          <w:rStyle w:val="indexentry"/>
        </w:rPr>
        <w:t>&lt;cx "numbers, greater than 9"&gt;</w:t>
      </w:r>
      <w:r>
        <w:rPr>
          <w:rStyle w:val="indexentry"/>
        </w:rPr>
        <w:fldChar w:fldCharType="begin"/>
      </w:r>
      <w:r>
        <w:instrText>xe "</w:instrText>
      </w:r>
      <w:r>
        <w:rPr>
          <w:rStyle w:val="xeentry"/>
        </w:rPr>
        <w:instrText>numbers: greater than 9</w:instrText>
      </w:r>
      <w:r>
        <w:instrText>"</w:instrText>
      </w:r>
      <w:r>
        <w:rPr>
          <w:rStyle w:val="indexentry"/>
        </w:rPr>
        <w:fldChar w:fldCharType="end"/>
      </w:r>
      <w:r>
        <w:t>Therefore, there are no separate cmavo for “ten”, “hundred”, etc.</w:t>
      </w:r>
    </w:p>
    <w:p w:rsidR="00B72047" w:rsidRDefault="00B72047">
      <w:pPr>
        <w:rPr>
          <w:rStyle w:val="htmlparacode"/>
        </w:rPr>
      </w:pPr>
      <w:r>
        <w:rPr>
          <w:rStyle w:val="htmlparacode"/>
        </w:rPr>
        <w:t>&lt;p&gt;</w:t>
      </w:r>
    </w:p>
    <w:p w:rsidR="00B72047" w:rsidRDefault="00B72047">
      <w:pPr>
        <w:pStyle w:val="normalparagraph"/>
      </w:pPr>
      <w:r>
        <w:rPr>
          <w:rStyle w:val="indexentry"/>
        </w:rPr>
        <w:t>&lt;cx "number words, pattern in"&gt;</w:t>
      </w:r>
      <w:r>
        <w:rPr>
          <w:rStyle w:val="indexentry"/>
        </w:rPr>
        <w:fldChar w:fldCharType="begin"/>
      </w:r>
      <w:r>
        <w:instrText>xe "</w:instrText>
      </w:r>
      <w:r>
        <w:rPr>
          <w:rStyle w:val="xeentry"/>
        </w:rPr>
        <w:instrText>number words: pattern in</w:instrText>
      </w:r>
      <w:r>
        <w:instrText>"</w:instrText>
      </w:r>
      <w:r>
        <w:rPr>
          <w:rStyle w:val="indexentry"/>
        </w:rPr>
        <w:fldChar w:fldCharType="end"/>
      </w:r>
      <w:r>
        <w:t>There is a pattern to the digit cmavo (except for “no”, 0) which</w:t>
      </w:r>
      <w:r>
        <w:rPr>
          <w:rStyle w:val="deletedparamark"/>
        </w:rPr>
        <w:t xml:space="preserve"> </w:t>
      </w:r>
      <w:r>
        <w:t>is worth ex</w:t>
      </w:r>
      <w:r>
        <w:softHyphen/>
        <w:t>plaining. The cmavo from 1 to 5 end in the vowels “a”, “e”, “i”,</w:t>
      </w:r>
      <w:r>
        <w:rPr>
          <w:rStyle w:val="deletedparamark"/>
        </w:rPr>
        <w:t xml:space="preserve"> “</w:t>
      </w:r>
      <w:r>
        <w:t>o”, “u” respectively; and the cmavo from 6 to 9 likewise end in the vowels</w:t>
      </w:r>
      <w:r>
        <w:rPr>
          <w:rStyle w:val="deletedparamark"/>
        </w:rPr>
        <w:t xml:space="preserve"> “</w:t>
      </w:r>
      <w:r>
        <w:t>a”, “e”, “i”, and “o” respec</w:t>
      </w:r>
      <w:r>
        <w:softHyphen/>
        <w:t>tively. None of the digit cmavo begin with the</w:t>
      </w:r>
      <w:r>
        <w:rPr>
          <w:rStyle w:val="deletedparamark"/>
        </w:rPr>
        <w:t xml:space="preserve"> </w:t>
      </w:r>
      <w:r>
        <w:t>same consonant, to make them easy to tell apart in noisy environments.</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name=s3&gt;&lt;h3&gt;</w:t>
      </w:r>
      <w:bookmarkStart w:id="498" w:name="_Toc398970735"/>
      <w:r>
        <w:rPr>
          <w:rStyle w:val="Heading3Text"/>
        </w:rPr>
        <w:t>Signs and numerical punctuation</w:t>
      </w:r>
      <w:bookmarkEnd w:id="498"/>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&lt;lx "PA"&gt;</w:t>
      </w:r>
      <w:r>
        <w:rPr>
          <w:rStyle w:val="indexentry"/>
        </w:rPr>
        <w:fldChar w:fldCharType="begin"/>
      </w:r>
      <w:r>
        <w:instrText>xe "</w:instrText>
      </w:r>
      <w:r>
        <w:rPr>
          <w:rStyle w:val="xeentry"/>
        </w:rPr>
        <w:instrText>PA selma’o</w:instrText>
      </w:r>
      <w:r>
        <w:instrText>"</w:instrText>
      </w:r>
      <w:r>
        <w:rPr>
          <w:rStyle w:val="indexentry"/>
        </w:rPr>
        <w:fldChar w:fldCharType="end"/>
      </w: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ma'u</w:t>
      </w:r>
      <w:r>
        <w:tab/>
        <w:t>PA</w:t>
      </w:r>
      <w:r>
        <w:tab/>
        <w:t>positive sign</w:t>
      </w:r>
    </w:p>
    <w:p w:rsidR="00B72047" w:rsidRDefault="00B72047">
      <w:pPr>
        <w:pStyle w:val="examplescaled"/>
      </w:pPr>
      <w:r>
        <w:tab/>
        <w:t>ni'u</w:t>
      </w:r>
      <w:r>
        <w:tab/>
        <w:t>PA</w:t>
      </w:r>
      <w:r>
        <w:tab/>
        <w:t>negative sign</w:t>
      </w:r>
    </w:p>
    <w:p w:rsidR="00B72047" w:rsidRDefault="00B72047">
      <w:pPr>
        <w:pStyle w:val="examplescaled"/>
      </w:pPr>
      <w:r>
        <w:tab/>
        <w:t>pi</w:t>
      </w:r>
      <w:r>
        <w:tab/>
        <w:t>PA</w:t>
      </w:r>
      <w:r>
        <w:tab/>
        <w:t>decimal point</w:t>
      </w:r>
    </w:p>
    <w:p w:rsidR="00B72047" w:rsidRDefault="00B72047">
      <w:pPr>
        <w:pStyle w:val="examplescaled"/>
      </w:pPr>
      <w:r>
        <w:tab/>
        <w:t>fi'u</w:t>
      </w:r>
      <w:r>
        <w:tab/>
        <w:t>PA</w:t>
      </w:r>
      <w:r>
        <w:tab/>
        <w:t>fraction slash</w:t>
      </w:r>
    </w:p>
    <w:p w:rsidR="00B72047" w:rsidRDefault="00B72047">
      <w:pPr>
        <w:pStyle w:val="examplescaled"/>
      </w:pPr>
      <w:r>
        <w:tab/>
        <w:t>ra'e</w:t>
      </w:r>
      <w:r>
        <w:tab/>
        <w:t>PA</w:t>
      </w:r>
      <w:r>
        <w:tab/>
        <w:t>repeating decimal</w:t>
      </w:r>
    </w:p>
    <w:p w:rsidR="00B72047" w:rsidRDefault="00B72047">
      <w:pPr>
        <w:pStyle w:val="examplescaled"/>
      </w:pPr>
      <w:r>
        <w:tab/>
        <w:t>ce'i</w:t>
      </w:r>
      <w:r>
        <w:tab/>
        <w:t>PA</w:t>
      </w:r>
      <w:r>
        <w:tab/>
        <w:t>percent sign</w:t>
      </w:r>
    </w:p>
    <w:p w:rsidR="00B72047" w:rsidRDefault="00B72047">
      <w:pPr>
        <w:pStyle w:val="examplescaled"/>
      </w:pPr>
      <w:r>
        <w:tab/>
        <w:t>ki'o</w:t>
      </w:r>
      <w:r>
        <w:tab/>
        <w:t>PA</w:t>
      </w:r>
      <w:r>
        <w:tab/>
        <w:t>comma between digits</w:t>
      </w:r>
    </w:p>
    <w:p w:rsidR="00B72047" w:rsidRDefault="00B72047">
      <w:pPr>
        <w:pStyle w:val="normalafterexample"/>
      </w:pPr>
      <w:r>
        <w:rPr>
          <w:rStyle w:val="htmlcodes"/>
        </w:rPr>
        <w:t>&lt;/pre&gt;</w:t>
      </w:r>
      <w:r>
        <w:rPr>
          <w:rStyle w:val="indexentry"/>
        </w:rPr>
        <w:t>&lt;cx "signed numbers, expressing"&gt;</w:t>
      </w:r>
      <w:r>
        <w:rPr>
          <w:rStyle w:val="indexentry"/>
        </w:rPr>
        <w:fldChar w:fldCharType="begin"/>
      </w:r>
      <w:r>
        <w:instrText>xe "</w:instrText>
      </w:r>
      <w:r>
        <w:rPr>
          <w:rStyle w:val="xeentry"/>
        </w:rPr>
        <w:instrText>signed numbers: expressing</w:instrText>
      </w:r>
      <w:r>
        <w:instrText>"</w:instrText>
      </w:r>
      <w:r>
        <w:rPr>
          <w:rStyle w:val="indexentry"/>
        </w:rPr>
        <w:fldChar w:fldCharType="end"/>
      </w:r>
      <w:r>
        <w:rPr>
          <w:rStyle w:val="indexentry"/>
        </w:rPr>
        <w:t>&lt;lx "mau"&gt;</w:t>
      </w:r>
      <w:r>
        <w:rPr>
          <w:rStyle w:val="indexentry"/>
        </w:rPr>
        <w:fldChar w:fldCharType="begin"/>
      </w:r>
      <w:r>
        <w:instrText>xe "</w:instrText>
      </w:r>
      <w:r>
        <w:rPr>
          <w:rStyle w:val="xeentry"/>
        </w:rPr>
        <w:instrText>mau</w:instrText>
      </w:r>
      <w:r>
        <w:instrText>"</w:instrText>
      </w:r>
      <w:r>
        <w:rPr>
          <w:rStyle w:val="indexentry"/>
        </w:rPr>
        <w:fldChar w:fldCharType="end"/>
      </w:r>
      <w:r>
        <w:rPr>
          <w:rStyle w:val="indexentry"/>
        </w:rPr>
        <w:t>&lt;lx "ni'u"&gt;</w:t>
      </w:r>
      <w:r>
        <w:rPr>
          <w:rStyle w:val="indexentry"/>
        </w:rPr>
        <w:fldChar w:fldCharType="begin"/>
      </w:r>
      <w:r>
        <w:instrText>xe "</w:instrText>
      </w:r>
      <w:r>
        <w:rPr>
          <w:rStyle w:val="xeentry"/>
        </w:rPr>
        <w:instrText>ni'u</w:instrText>
      </w:r>
      <w:r>
        <w:instrText>"</w:instrText>
      </w:r>
      <w:r>
        <w:rPr>
          <w:rStyle w:val="indexentry"/>
        </w:rPr>
        <w:fldChar w:fldCharType="end"/>
      </w:r>
      <w:r>
        <w:rPr>
          <w:rStyle w:val="indexentry"/>
        </w:rPr>
        <w:t>&lt;cx "positive numbers, explicit expression"&gt;</w:t>
      </w:r>
      <w:r>
        <w:rPr>
          <w:rStyle w:val="indexentry"/>
        </w:rPr>
        <w:fldChar w:fldCharType="begin"/>
      </w:r>
      <w:r>
        <w:instrText>xe "</w:instrText>
      </w:r>
      <w:r>
        <w:rPr>
          <w:rStyle w:val="xeentry"/>
        </w:rPr>
        <w:instrText>positive numbers: explicit expression</w:instrText>
      </w:r>
      <w:r>
        <w:instrText>"</w:instrText>
      </w:r>
      <w:r>
        <w:rPr>
          <w:rStyle w:val="indexentry"/>
        </w:rPr>
        <w:fldChar w:fldCharType="end"/>
      </w:r>
      <w:r>
        <w:rPr>
          <w:rStyle w:val="indexentry"/>
        </w:rPr>
        <w:t>&lt;cx "negative numbers, expressing"&gt;</w:t>
      </w:r>
      <w:r>
        <w:rPr>
          <w:rStyle w:val="indexentry"/>
        </w:rPr>
        <w:fldChar w:fldCharType="begin"/>
      </w:r>
      <w:r>
        <w:instrText>xe "</w:instrText>
      </w:r>
      <w:r>
        <w:rPr>
          <w:rStyle w:val="xeentry"/>
        </w:rPr>
        <w:instrText>negative numbers: expressing</w:instrText>
      </w:r>
      <w:r>
        <w:instrText>"</w:instrText>
      </w:r>
      <w:r>
        <w:rPr>
          <w:rStyle w:val="indexentry"/>
        </w:rPr>
        <w:fldChar w:fldCharType="end"/>
      </w:r>
      <w:r>
        <w:t>A number can be given an explicit sign by the use of “ma'u” and “ni'u”,</w:t>
      </w:r>
      <w:r>
        <w:rPr>
          <w:rStyle w:val="deletedparamark"/>
        </w:rPr>
        <w:t xml:space="preserve"> </w:t>
      </w:r>
      <w:r>
        <w:t>which are the positive and negative signs as distinct from the addition,</w:t>
      </w:r>
      <w:r>
        <w:rPr>
          <w:rStyle w:val="deletedparamark"/>
        </w:rPr>
        <w:t xml:space="preserve"> </w:t>
      </w:r>
      <w:r>
        <w:t>subtraction, and nega</w:t>
      </w:r>
      <w:r>
        <w:softHyphen/>
        <w:t>tion operators.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"-1"&gt;</w:t>
      </w:r>
      <w:r>
        <w:rPr>
          <w:rStyle w:val="indexentry"/>
        </w:rPr>
        <w:fldChar w:fldCharType="begin"/>
      </w:r>
      <w:r>
        <w:instrText>xe "</w:instrText>
      </w:r>
      <w:r>
        <w:rPr>
          <w:rStyle w:val="xeentry"/>
        </w:rPr>
        <w:instrText>-1: example</w:instrText>
      </w:r>
      <w:r>
        <w:instrText>"</w:instrText>
      </w:r>
      <w:r>
        <w:rPr>
          <w:rStyle w:val="indexentry"/>
        </w:rPr>
        <w:fldChar w:fldCharType="end"/>
      </w:r>
      <w:r>
        <w:rPr>
          <w:rStyle w:val="indexentry"/>
        </w:rPr>
        <w:t>&lt;lx "pa"&gt;</w:t>
      </w:r>
      <w:r>
        <w:rPr>
          <w:rStyle w:val="indexentry"/>
        </w:rPr>
        <w:fldChar w:fldCharType="begin"/>
      </w:r>
      <w:r>
        <w:instrText>xe "</w:instrText>
      </w:r>
      <w:r>
        <w:rPr>
          <w:rStyle w:val="xeentry"/>
        </w:rPr>
        <w:instrText>pa</w:instrText>
      </w:r>
      <w:r>
        <w:instrText>"</w:instrText>
      </w:r>
      <w:r>
        <w:rPr>
          <w:rStyle w:val="indexentry"/>
        </w:rPr>
        <w:fldChar w:fldCharType="end"/>
      </w:r>
      <w:r>
        <w:rPr>
          <w:rStyle w:val="htmlcodes"/>
        </w:rPr>
        <w:t>&lt;pre&gt;&lt;a name=e3d1&gt;</w:t>
      </w:r>
      <w:r>
        <w:t>3.1)</w:t>
      </w:r>
      <w:r>
        <w:tab/>
        <w:t>ni'u pa</w:t>
      </w:r>
    </w:p>
    <w:p w:rsidR="00B72047" w:rsidRDefault="00B72047">
      <w:pPr>
        <w:pStyle w:val="examplescaled"/>
      </w:pPr>
      <w:r>
        <w:tab/>
        <w:t>negative-sign 1</w:t>
      </w:r>
    </w:p>
    <w:p w:rsidR="00B72047" w:rsidRDefault="00B72047">
      <w:pPr>
        <w:pStyle w:val="examplescaled"/>
      </w:pPr>
      <w:r>
        <w:tab/>
      </w:r>
      <w:r>
        <w:rPr>
          <w:rStyle w:val="math"/>
        </w:rPr>
        <w:t>-1</w:t>
      </w:r>
    </w:p>
    <w:p w:rsidR="00B72047" w:rsidRDefault="00B72047">
      <w:pPr>
        <w:pStyle w:val="resumedafterexample"/>
      </w:pPr>
      <w:r>
        <w:rPr>
          <w:rStyle w:val="htmlcodes"/>
        </w:rPr>
        <w:t>&lt;/pre&gt;</w:t>
      </w:r>
      <w:r>
        <w:rPr>
          <w:rStyle w:val="indexentry"/>
        </w:rPr>
        <w:t>&lt;cx "signs on numbers, grammar"&gt;</w:t>
      </w:r>
      <w:r>
        <w:rPr>
          <w:rStyle w:val="indexentry"/>
        </w:rPr>
        <w:fldChar w:fldCharType="begin"/>
      </w:r>
      <w:r>
        <w:instrText>xe "</w:instrText>
      </w:r>
      <w:r>
        <w:rPr>
          <w:rStyle w:val="xeentry"/>
        </w:rPr>
        <w:instrText>signs on numbers: grammar</w:instrText>
      </w:r>
      <w:r>
        <w:instrText>"</w:instrText>
      </w:r>
      <w:r>
        <w:rPr>
          <w:rStyle w:val="indexentry"/>
        </w:rPr>
        <w:fldChar w:fldCharType="end"/>
      </w:r>
      <w:r>
        <w:t>Grammatically, the signs are part of the number to which they are attached.</w:t>
      </w:r>
      <w:r>
        <w:rPr>
          <w:rStyle w:val="deletedparamark"/>
        </w:rPr>
        <w:t xml:space="preserve"> </w:t>
      </w:r>
      <w:r>
        <w:t>It is also po</w:t>
      </w:r>
      <w:r>
        <w:t>s</w:t>
      </w:r>
      <w:r>
        <w:softHyphen/>
        <w:t>sible to use “ma'u” and “ni'u” by themselves as numbers;</w:t>
      </w:r>
      <w:r>
        <w:rPr>
          <w:rStyle w:val="deletedparamark"/>
        </w:rPr>
        <w:t xml:space="preserve"> </w:t>
      </w:r>
      <w:r>
        <w:t>the meaning of these num</w:t>
      </w:r>
      <w:r>
        <w:softHyphen/>
        <w:t xml:space="preserve">bers is explained in </w:t>
      </w:r>
      <w:r>
        <w:rPr>
          <w:rStyle w:val="htmlcodes"/>
        </w:rPr>
        <w:t>&lt;a href=#s8&gt;</w:t>
      </w:r>
      <w:r>
        <w:t>Section 8</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"numerical punctuation"&gt;</w:t>
      </w:r>
      <w:r>
        <w:rPr>
          <w:rStyle w:val="indexentry"/>
        </w:rPr>
        <w:fldChar w:fldCharType="begin"/>
      </w:r>
      <w:r>
        <w:instrText>xe "</w:instrText>
      </w:r>
      <w:r>
        <w:rPr>
          <w:rStyle w:val="xeentry"/>
        </w:rPr>
        <w:instrText>numerical punctuation</w:instrText>
      </w:r>
      <w:r>
        <w:instrText>"</w:instrText>
      </w:r>
      <w:r>
        <w:rPr>
          <w:rStyle w:val="indexentry"/>
        </w:rPr>
        <w:fldChar w:fldCharType="end"/>
      </w:r>
      <w:r>
        <w:rPr>
          <w:rStyle w:val="indexentry"/>
        </w:rPr>
        <w:t>&lt;cx "punctuation, in numbers"&gt;</w:t>
      </w:r>
      <w:r>
        <w:rPr>
          <w:rStyle w:val="indexentry"/>
        </w:rPr>
        <w:fldChar w:fldCharType="begin"/>
      </w:r>
      <w:r>
        <w:instrText>xe "</w:instrText>
      </w:r>
      <w:r>
        <w:rPr>
          <w:rStyle w:val="xeentry"/>
        </w:rPr>
        <w:instrText>punctuation: in numbers</w:instrText>
      </w:r>
      <w:r>
        <w:instrText>"</w:instrText>
      </w:r>
      <w:r>
        <w:rPr>
          <w:rStyle w:val="indexentry"/>
        </w:rPr>
        <w:fldChar w:fldCharType="end"/>
      </w:r>
      <w:r>
        <w:rPr>
          <w:rStyle w:val="indexentry"/>
        </w:rPr>
        <w:t>&lt;cx "decimal point, as numerical punctuation"&gt;</w:t>
      </w:r>
      <w:r>
        <w:rPr>
          <w:rStyle w:val="indexentry"/>
        </w:rPr>
        <w:fldChar w:fldCharType="begin"/>
      </w:r>
      <w:r>
        <w:instrText>xe "</w:instrText>
      </w:r>
      <w:r>
        <w:rPr>
          <w:rStyle w:val="xeentry"/>
        </w:rPr>
        <w:instrText>decimal point: as numerical punctuation</w:instrText>
      </w:r>
      <w:r>
        <w:instrText>"</w:instrText>
      </w:r>
      <w:r>
        <w:rPr>
          <w:rStyle w:val="indexentry"/>
        </w:rPr>
        <w:fldChar w:fldCharType="end"/>
      </w:r>
      <w:r>
        <w:t>Various numerical punctuation marks are likewise expressed by cmavo,</w:t>
      </w:r>
      <w:r>
        <w:rPr>
          <w:rStyle w:val="deletedparamark"/>
        </w:rPr>
        <w:t xml:space="preserve"> </w:t>
      </w:r>
      <w:r>
        <w:t>as il</w:t>
      </w:r>
      <w:r>
        <w:softHyphen/>
        <w:t>lustrated in the following examples:</w:t>
      </w:r>
    </w:p>
    <w:p w:rsidR="00B72047" w:rsidRDefault="00B72047">
      <w:pPr>
        <w:rPr>
          <w:rStyle w:val="htmlparacode"/>
        </w:rPr>
      </w:pPr>
      <w:r>
        <w:rPr>
          <w:rStyle w:val="htmlparacode"/>
        </w:rPr>
        <w:t>&lt;p&gt;</w:t>
      </w:r>
    </w:p>
    <w:p w:rsidR="00B72047" w:rsidRDefault="00B72047">
      <w:pPr>
        <w:pStyle w:val="examplescaledpre"/>
      </w:pPr>
      <w:r>
        <w:rPr>
          <w:rStyle w:val="indexentry"/>
        </w:rPr>
        <w:t>&lt;ex "3.1415"&gt;</w:t>
      </w:r>
      <w:r>
        <w:rPr>
          <w:rStyle w:val="indexentry"/>
        </w:rPr>
        <w:fldChar w:fldCharType="begin"/>
      </w:r>
      <w:r>
        <w:instrText>xe "</w:instrText>
      </w:r>
      <w:r>
        <w:rPr>
          <w:rStyle w:val="xeentry"/>
        </w:rPr>
        <w:instrText>3.1415: example</w:instrText>
      </w:r>
      <w:r>
        <w:instrText>"</w:instrText>
      </w:r>
      <w:r>
        <w:rPr>
          <w:rStyle w:val="indexentry"/>
        </w:rPr>
        <w:fldChar w:fldCharType="end"/>
      </w:r>
      <w:r>
        <w:rPr>
          <w:rStyle w:val="indexentry"/>
        </w:rPr>
        <w:t>&lt;lx "pi"&gt;</w:t>
      </w:r>
      <w:r>
        <w:rPr>
          <w:rStyle w:val="indexentry"/>
        </w:rPr>
        <w:fldChar w:fldCharType="begin"/>
      </w:r>
      <w:r>
        <w:instrText>xe "</w:instrText>
      </w:r>
      <w:r>
        <w:rPr>
          <w:rStyle w:val="xeentry"/>
        </w:rPr>
        <w:instrText>pi</w:instrText>
      </w:r>
      <w:r>
        <w:instrText>"</w:instrText>
      </w:r>
      <w:r>
        <w:rPr>
          <w:rStyle w:val="indexentry"/>
        </w:rPr>
        <w:fldChar w:fldCharType="end"/>
      </w:r>
      <w:r>
        <w:rPr>
          <w:rStyle w:val="htmlcodes"/>
        </w:rPr>
        <w:t>&lt;pre&gt;&lt;a name=e3d2&gt;</w:t>
      </w:r>
      <w:r>
        <w:t>3.2)</w:t>
      </w:r>
      <w:r>
        <w:tab/>
        <w:t>ci pi pa vo pa mu</w:t>
      </w:r>
    </w:p>
    <w:p w:rsidR="00B72047" w:rsidRDefault="00B72047">
      <w:pPr>
        <w:pStyle w:val="examplescaled"/>
      </w:pPr>
      <w:r>
        <w:tab/>
        <w:t>three point one four one five</w:t>
      </w:r>
    </w:p>
    <w:p w:rsidR="00B72047" w:rsidRDefault="00B72047">
      <w:pPr>
        <w:pStyle w:val="examplescaled"/>
      </w:pPr>
      <w:r>
        <w:tab/>
      </w:r>
      <w:r>
        <w:rPr>
          <w:rStyle w:val="math"/>
        </w:rPr>
        <w:t>3.1415</w:t>
      </w:r>
    </w:p>
    <w:p w:rsidR="00B72047" w:rsidRDefault="00B72047">
      <w:pPr>
        <w:pStyle w:val="resumedafterexample"/>
      </w:pPr>
      <w:r>
        <w:rPr>
          <w:rStyle w:val="htmlcodes"/>
        </w:rPr>
        <w:t>&lt;/pre&gt;</w:t>
      </w:r>
      <w:r>
        <w:rPr>
          <w:rStyle w:val="indexentry"/>
        </w:rPr>
        <w:t>&lt;cx "decimal point, effect of different notations"&gt;</w:t>
      </w:r>
      <w:r>
        <w:rPr>
          <w:rStyle w:val="indexentry"/>
        </w:rPr>
        <w:fldChar w:fldCharType="begin"/>
      </w:r>
      <w:r>
        <w:instrText>xe "</w:instrText>
      </w:r>
      <w:r>
        <w:rPr>
          <w:rStyle w:val="xeentry"/>
        </w:rPr>
        <w:instrText>decimal point: effect of different notations</w:instrText>
      </w:r>
      <w:r>
        <w:instrText>"</w:instrText>
      </w:r>
      <w:r>
        <w:rPr>
          <w:rStyle w:val="indexentry"/>
        </w:rPr>
        <w:fldChar w:fldCharType="end"/>
      </w:r>
      <w:r>
        <w:t>(In some cultures, a comma is used instead of a period in the symbolic</w:t>
      </w:r>
      <w:r>
        <w:rPr>
          <w:rStyle w:val="deletedparamark"/>
        </w:rPr>
        <w:t xml:space="preserve"> </w:t>
      </w:r>
      <w:r>
        <w:t xml:space="preserve">version of </w:t>
      </w:r>
      <w:r>
        <w:rPr>
          <w:rStyle w:val="htmlcodes"/>
        </w:rPr>
        <w:t>&lt;a href=#e3d2&gt;</w:t>
      </w:r>
      <w:r>
        <w:t>Ex</w:t>
      </w:r>
      <w:r>
        <w:softHyphen/>
        <w:t>am</w:t>
      </w:r>
      <w:r>
        <w:softHyphen/>
        <w:t>ple 3.2</w:t>
      </w:r>
      <w:r>
        <w:rPr>
          <w:rStyle w:val="htmlcodes"/>
        </w:rPr>
        <w:t>&lt;/a&gt;</w:t>
      </w:r>
      <w:r>
        <w:t>; “pi” is still the Lojban representation for the</w:t>
      </w:r>
      <w:r>
        <w:rPr>
          <w:rStyle w:val="deletedparamark"/>
        </w:rPr>
        <w:t xml:space="preserve"> </w:t>
      </w:r>
      <w:r>
        <w:t>decimal point.)</w:t>
      </w:r>
    </w:p>
    <w:p w:rsidR="00B72047" w:rsidRDefault="00B72047">
      <w:pPr>
        <w:rPr>
          <w:rStyle w:val="htmlparacode"/>
        </w:rPr>
      </w:pPr>
      <w:r>
        <w:rPr>
          <w:rStyle w:val="htmlparacode"/>
        </w:rPr>
        <w:t>&lt;p&gt;</w:t>
      </w:r>
    </w:p>
    <w:p w:rsidR="00B72047" w:rsidRDefault="00B72047">
      <w:pPr>
        <w:pStyle w:val="examplescaledpre"/>
      </w:pPr>
      <w:r>
        <w:rPr>
          <w:rStyle w:val="indexentry"/>
        </w:rPr>
        <w:t>&lt;ex "2/7"&gt;</w:t>
      </w:r>
      <w:r>
        <w:rPr>
          <w:rStyle w:val="indexentry"/>
        </w:rPr>
        <w:fldChar w:fldCharType="begin"/>
      </w:r>
      <w:r>
        <w:instrText>xe "</w:instrText>
      </w:r>
      <w:r>
        <w:rPr>
          <w:rStyle w:val="xeentry"/>
        </w:rPr>
        <w:instrText>2/7: example</w:instrText>
      </w:r>
      <w:r>
        <w:instrText>"</w:instrText>
      </w:r>
      <w:r>
        <w:rPr>
          <w:rStyle w:val="indexentry"/>
        </w:rPr>
        <w:fldChar w:fldCharType="end"/>
      </w:r>
      <w:r>
        <w:rPr>
          <w:rStyle w:val="indexentry"/>
        </w:rPr>
        <w:t>&lt;lx "fi'u"&gt;</w:t>
      </w:r>
      <w:r>
        <w:rPr>
          <w:rStyle w:val="indexentry"/>
        </w:rPr>
        <w:fldChar w:fldCharType="begin"/>
      </w:r>
      <w:r>
        <w:instrText>xe "</w:instrText>
      </w:r>
      <w:r>
        <w:rPr>
          <w:rStyle w:val="xeentry"/>
        </w:rPr>
        <w:instrText>fi'u</w:instrText>
      </w:r>
      <w:r>
        <w:instrText>"</w:instrText>
      </w:r>
      <w:r>
        <w:rPr>
          <w:rStyle w:val="indexentry"/>
        </w:rPr>
        <w:fldChar w:fldCharType="end"/>
      </w:r>
      <w:r>
        <w:rPr>
          <w:rStyle w:val="htmlcodes"/>
        </w:rPr>
        <w:t>&lt;pre&gt;&lt;a name=e3d3&gt;</w:t>
      </w:r>
      <w:r>
        <w:t>3.3)</w:t>
      </w:r>
      <w:r>
        <w:tab/>
        <w:t>re fi'u ze</w:t>
      </w:r>
    </w:p>
    <w:p w:rsidR="00B72047" w:rsidRDefault="00B72047">
      <w:pPr>
        <w:pStyle w:val="examplescaled"/>
      </w:pPr>
      <w:r>
        <w:tab/>
        <w:t>two fraction seven</w:t>
      </w:r>
    </w:p>
    <w:p w:rsidR="00B72047" w:rsidRDefault="00B72047">
      <w:pPr>
        <w:pStyle w:val="examplescaled"/>
      </w:pPr>
      <w:r>
        <w:tab/>
      </w:r>
      <w:r>
        <w:rPr>
          <w:rStyle w:val="math"/>
        </w:rPr>
        <w:t>2/7</w:t>
      </w:r>
    </w:p>
    <w:p w:rsidR="00B72047" w:rsidRDefault="00B72047">
      <w:pPr>
        <w:pStyle w:val="resumedafterexample"/>
      </w:pPr>
      <w:r>
        <w:rPr>
          <w:rStyle w:val="htmlcodes"/>
        </w:rPr>
        <w:t>&lt;/pre&gt;</w:t>
      </w:r>
      <w:r>
        <w:rPr>
          <w:rStyle w:val="indexentry"/>
        </w:rPr>
        <w:t>&lt;cx "fractions, expressing with numerical punctuation"&gt;</w:t>
      </w:r>
      <w:r>
        <w:rPr>
          <w:rStyle w:val="indexentry"/>
        </w:rPr>
        <w:fldChar w:fldCharType="begin"/>
      </w:r>
      <w:r>
        <w:instrText>xe "</w:instrText>
      </w:r>
      <w:r>
        <w:rPr>
          <w:rStyle w:val="xeentry"/>
        </w:rPr>
        <w:instrText>fractions: expressing with numerical punctuation</w:instrText>
      </w:r>
      <w:r>
        <w:instrText>"</w:instrText>
      </w:r>
      <w:r>
        <w:rPr>
          <w:rStyle w:val="indexentry"/>
        </w:rPr>
        <w:fldChar w:fldCharType="end"/>
      </w:r>
      <w:r>
        <w:rPr>
          <w:rStyle w:val="indexentry"/>
        </w:rPr>
        <w:t>&lt;cx "fractions, numerator default"&gt;</w:t>
      </w:r>
      <w:r>
        <w:rPr>
          <w:rStyle w:val="indexentry"/>
        </w:rPr>
        <w:fldChar w:fldCharType="begin"/>
      </w:r>
      <w:r>
        <w:instrText>xe "</w:instrText>
      </w:r>
      <w:r>
        <w:rPr>
          <w:rStyle w:val="xeentry"/>
        </w:rPr>
        <w:instrText>fractions: numerator default</w:instrText>
      </w:r>
      <w:r>
        <w:instrText>"</w:instrText>
      </w:r>
      <w:r>
        <w:rPr>
          <w:rStyle w:val="indexentry"/>
        </w:rPr>
        <w:fldChar w:fldCharType="end"/>
      </w:r>
      <w:r>
        <w:rPr>
          <w:rStyle w:val="indexentry"/>
        </w:rPr>
        <w:t>&lt;cx "reciprocal, expression of mathematical"&gt;</w:t>
      </w:r>
      <w:r>
        <w:rPr>
          <w:rStyle w:val="indexentry"/>
        </w:rPr>
        <w:fldChar w:fldCharType="begin"/>
      </w:r>
      <w:r>
        <w:instrText>xe "</w:instrText>
      </w:r>
      <w:r>
        <w:rPr>
          <w:rStyle w:val="xeentry"/>
        </w:rPr>
        <w:instrText>reciprocal: expression of mathematical</w:instrText>
      </w:r>
      <w:r>
        <w:instrText>"</w:instrText>
      </w:r>
      <w:r>
        <w:rPr>
          <w:rStyle w:val="indexentry"/>
        </w:rPr>
        <w:fldChar w:fldCharType="end"/>
      </w:r>
      <w:r>
        <w:rPr>
          <w:rStyle w:val="htmlcodes"/>
        </w:rPr>
        <w:t>&lt;a href=#e3d3&gt;</w:t>
      </w:r>
      <w:r>
        <w:t xml:space="preserve">Example 3.3 </w:t>
      </w:r>
      <w:r>
        <w:rPr>
          <w:rStyle w:val="htmlcodes"/>
        </w:rPr>
        <w:t>&lt;/a&gt;</w:t>
      </w:r>
      <w:r>
        <w:t>is the name of the number two-sevenths; it is not the same as</w:t>
      </w:r>
      <w:r>
        <w:rPr>
          <w:rStyle w:val="deletedparamark"/>
        </w:rPr>
        <w:t xml:space="preserve"> “</w:t>
      </w:r>
      <w:r>
        <w:t>the result of 2 divided by 7” in Lojban, although numerically these two are</w:t>
      </w:r>
      <w:r>
        <w:rPr>
          <w:rStyle w:val="deletedparamark"/>
        </w:rPr>
        <w:t xml:space="preserve"> </w:t>
      </w:r>
      <w:r>
        <w:t>equal. If the denominator of the fraction is present but the numerator</w:t>
      </w:r>
      <w:r>
        <w:rPr>
          <w:rStyle w:val="deletedparamark"/>
        </w:rPr>
        <w:t xml:space="preserve"> </w:t>
      </w:r>
      <w:r>
        <w:t>is not, the numerator is taken to be 1, thus e</w:t>
      </w:r>
      <w:r>
        <w:t>x</w:t>
      </w:r>
      <w:r>
        <w:softHyphen/>
        <w:t>pressing the reciprocal</w:t>
      </w:r>
      <w:r>
        <w:rPr>
          <w:rStyle w:val="deletedparamark"/>
        </w:rPr>
        <w:t xml:space="preserve"> </w:t>
      </w:r>
      <w:r>
        <w:t>of the following number: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name=e3d4&gt;</w:t>
      </w:r>
      <w:r>
        <w:t>3.4)</w:t>
      </w:r>
      <w:r>
        <w:tab/>
        <w:t>fi'u ze</w:t>
      </w:r>
    </w:p>
    <w:p w:rsidR="00B72047" w:rsidRDefault="00B72047">
      <w:pPr>
        <w:pStyle w:val="examplescaled"/>
      </w:pPr>
      <w:r>
        <w:tab/>
        <w:t>fraction seven</w:t>
      </w:r>
    </w:p>
    <w:p w:rsidR="00B72047" w:rsidRDefault="00B72047">
      <w:pPr>
        <w:pStyle w:val="examplescaled"/>
      </w:pPr>
      <w:r>
        <w:tab/>
      </w:r>
      <w:r>
        <w:rPr>
          <w:rStyle w:val="math"/>
        </w:rPr>
        <w:t>1/7</w:t>
      </w:r>
    </w:p>
    <w:p w:rsidR="00B72047" w:rsidRDefault="00B72047">
      <w:pPr>
        <w:pStyle w:val="examplescaledpre"/>
      </w:pPr>
      <w:r>
        <w:rPr>
          <w:rStyle w:val="htmlcodes"/>
        </w:rPr>
        <w:t>&lt;/pre&gt;</w:t>
      </w:r>
      <w:r>
        <w:rPr>
          <w:rStyle w:val="indexentry"/>
        </w:rPr>
        <w:t>&lt;cx "repeating decimals, expressing with numerical punctuation"&gt;</w:t>
      </w:r>
      <w:r>
        <w:rPr>
          <w:rStyle w:val="indexentry"/>
        </w:rPr>
        <w:fldChar w:fldCharType="begin"/>
      </w:r>
      <w:r>
        <w:instrText>xe "</w:instrText>
      </w:r>
      <w:r>
        <w:rPr>
          <w:rStyle w:val="xeentry"/>
        </w:rPr>
        <w:instrText>repeating decimals: expressing with numerical punctuation</w:instrText>
      </w:r>
      <w:r>
        <w:instrText>"</w:instrText>
      </w:r>
      <w:r>
        <w:rPr>
          <w:rStyle w:val="indexentry"/>
        </w:rPr>
        <w:fldChar w:fldCharType="end"/>
      </w:r>
      <w:r>
        <w:rPr>
          <w:rStyle w:val="indexentry"/>
        </w:rPr>
        <w:t>&lt;lx "ra'e"&gt;</w:t>
      </w:r>
      <w:r>
        <w:rPr>
          <w:rStyle w:val="indexentry"/>
        </w:rPr>
        <w:fldChar w:fldCharType="begin"/>
      </w:r>
      <w:r>
        <w:instrText>xe "</w:instrText>
      </w:r>
      <w:r>
        <w:rPr>
          <w:rStyle w:val="xeentry"/>
        </w:rPr>
        <w:instrText>ra'e</w:instrText>
      </w:r>
      <w:r>
        <w:instrText>"</w:instrText>
      </w:r>
      <w:r>
        <w:rPr>
          <w:rStyle w:val="indexentry"/>
        </w:rPr>
        <w:fldChar w:fldCharType="end"/>
      </w:r>
      <w:r>
        <w:rPr>
          <w:rStyle w:val="htmlcodes"/>
        </w:rPr>
        <w:t>&lt;pre&gt;&lt;a name=e3d5&gt;</w:t>
      </w:r>
      <w:r>
        <w:t>3.5)</w:t>
      </w:r>
      <w:r>
        <w:tab/>
        <w:t>pi ci mu ra'e pa vo re bi mu ze</w:t>
      </w:r>
    </w:p>
    <w:p w:rsidR="00B72047" w:rsidRDefault="00B72047">
      <w:pPr>
        <w:pStyle w:val="examplescaled"/>
      </w:pPr>
      <w:r>
        <w:tab/>
        <w:t>point three five repeating one four two eight five seven</w:t>
      </w:r>
    </w:p>
    <w:p w:rsidR="00B72047" w:rsidRDefault="00B72047">
      <w:pPr>
        <w:pStyle w:val="examplescaled"/>
      </w:pPr>
      <w:r>
        <w:tab/>
      </w:r>
      <w:r>
        <w:rPr>
          <w:rStyle w:val="htmlcodes"/>
        </w:rPr>
        <w:t>&lt;math&gt;</w:t>
      </w:r>
      <w:r>
        <w:rPr>
          <w:rStyle w:val="math"/>
        </w:rPr>
        <w:t>.35142857142857</w:t>
      </w:r>
      <w:r>
        <w:rPr>
          <w:rStyle w:val="htmlcodes"/>
        </w:rPr>
        <w:t>&lt;dots&gt;</w:t>
      </w:r>
      <w:r>
        <w:rPr>
          <w:rStyle w:val="math"/>
        </w:rPr>
        <w:t>…</w:t>
      </w:r>
      <w:r>
        <w:rPr>
          <w:rStyle w:val="htmlcodes"/>
        </w:rPr>
        <w:t>&lt;/dots&gt;&lt;/math&gt;</w:t>
      </w:r>
    </w:p>
    <w:p w:rsidR="00B72047" w:rsidRDefault="00B72047">
      <w:pPr>
        <w:pStyle w:val="resumedafterexample"/>
      </w:pPr>
      <w:r>
        <w:rPr>
          <w:rStyle w:val="htmlcodes"/>
        </w:rPr>
        <w:t>&lt;/pre&gt;</w:t>
      </w:r>
      <w:r>
        <w:rPr>
          <w:rStyle w:val="indexentry"/>
        </w:rPr>
        <w:t>&lt;cx "repeating decimals, marking start of repeating portion"&gt;</w:t>
      </w:r>
      <w:r>
        <w:rPr>
          <w:rStyle w:val="indexentry"/>
        </w:rPr>
        <w:fldChar w:fldCharType="begin"/>
      </w:r>
      <w:r>
        <w:instrText>xe "</w:instrText>
      </w:r>
      <w:r>
        <w:rPr>
          <w:rStyle w:val="xeentry"/>
        </w:rPr>
        <w:instrText>repeating decimals: marking start of repeating portion</w:instrText>
      </w:r>
      <w:r>
        <w:instrText>"</w:instrText>
      </w:r>
      <w:r>
        <w:rPr>
          <w:rStyle w:val="indexentry"/>
        </w:rPr>
        <w:fldChar w:fldCharType="end"/>
      </w:r>
      <w:r>
        <w:t>Note that the “ra'e” marks unambiguously where the repeating portion</w:t>
      </w:r>
      <w:r>
        <w:rPr>
          <w:rStyle w:val="deletedparamark"/>
        </w:rPr>
        <w:t xml:space="preserve"> “</w:t>
      </w:r>
      <w:r>
        <w:rPr>
          <w:rStyle w:val="math"/>
        </w:rPr>
        <w:t>142857</w:t>
      </w:r>
      <w:r>
        <w:t>” begins.</w:t>
      </w:r>
    </w:p>
    <w:p w:rsidR="00B72047" w:rsidRDefault="00B72047">
      <w:pPr>
        <w:rPr>
          <w:rStyle w:val="htmlparacode"/>
        </w:rPr>
      </w:pPr>
      <w:r>
        <w:rPr>
          <w:rStyle w:val="htmlparacode"/>
        </w:rPr>
        <w:t>&lt;p&gt;</w:t>
      </w:r>
    </w:p>
    <w:p w:rsidR="00B72047" w:rsidRDefault="00B72047">
      <w:pPr>
        <w:pStyle w:val="examplescaledpre"/>
      </w:pPr>
      <w:r>
        <w:rPr>
          <w:rStyle w:val="indexentry"/>
        </w:rPr>
        <w:t>&lt;lx "ce'i"&gt;</w:t>
      </w:r>
      <w:r>
        <w:rPr>
          <w:rStyle w:val="indexentry"/>
        </w:rPr>
        <w:fldChar w:fldCharType="begin"/>
      </w:r>
      <w:r>
        <w:instrText>xe "</w:instrText>
      </w:r>
      <w:r>
        <w:rPr>
          <w:rStyle w:val="xeentry"/>
        </w:rPr>
        <w:instrText>ce'i</w:instrText>
      </w:r>
      <w:r>
        <w:instrText>"</w:instrText>
      </w:r>
      <w:r>
        <w:rPr>
          <w:rStyle w:val="indexentry"/>
        </w:rPr>
        <w:fldChar w:fldCharType="end"/>
      </w:r>
      <w:r>
        <w:rPr>
          <w:rStyle w:val="indexentry"/>
        </w:rPr>
        <w:t>&lt;cx "percent, as numerical punctuation"&gt;</w:t>
      </w:r>
      <w:r>
        <w:rPr>
          <w:rStyle w:val="indexentry"/>
        </w:rPr>
        <w:fldChar w:fldCharType="begin"/>
      </w:r>
      <w:r>
        <w:instrText>xe "</w:instrText>
      </w:r>
      <w:r>
        <w:rPr>
          <w:rStyle w:val="xeentry"/>
        </w:rPr>
        <w:instrText>percent: as numerical punctuation</w:instrText>
      </w:r>
      <w:r>
        <w:instrText>"</w:instrText>
      </w:r>
      <w:r>
        <w:rPr>
          <w:rStyle w:val="indexentry"/>
        </w:rPr>
        <w:fldChar w:fldCharType="end"/>
      </w:r>
      <w:r>
        <w:rPr>
          <w:rStyle w:val="htmlcodes"/>
        </w:rPr>
        <w:t>&lt;pre&gt;&lt;a name=e3d6&gt;</w:t>
      </w:r>
      <w:r>
        <w:t>3.6)</w:t>
      </w:r>
      <w:r>
        <w:tab/>
        <w:t>ci mu ce'i</w:t>
      </w:r>
    </w:p>
    <w:p w:rsidR="00B72047" w:rsidRDefault="00B72047">
      <w:pPr>
        <w:pStyle w:val="examplescaled"/>
      </w:pPr>
      <w:r>
        <w:tab/>
        <w:t>three five percent</w:t>
      </w:r>
    </w:p>
    <w:p w:rsidR="00B72047" w:rsidRDefault="00B72047">
      <w:pPr>
        <w:pStyle w:val="examplescaled"/>
      </w:pPr>
      <w:r>
        <w:tab/>
      </w:r>
      <w:r>
        <w:rPr>
          <w:rStyle w:val="math"/>
        </w:rPr>
        <w:t>35%</w:t>
      </w:r>
    </w:p>
    <w:p w:rsidR="00B72047" w:rsidRDefault="00B72047">
      <w:pPr>
        <w:pStyle w:val="examplescaledpre"/>
      </w:pPr>
      <w:r>
        <w:rPr>
          <w:rStyle w:val="htmlcodes"/>
        </w:rPr>
        <w:t>&lt;/pre&gt;</w:t>
      </w:r>
      <w:r>
        <w:rPr>
          <w:rStyle w:val="indexentry"/>
        </w:rPr>
        <w:t>&lt;cx "commas in numbers, as numerical punctuation"&gt;</w:t>
      </w:r>
      <w:r>
        <w:rPr>
          <w:rStyle w:val="indexentry"/>
        </w:rPr>
        <w:fldChar w:fldCharType="begin"/>
      </w:r>
      <w:r>
        <w:instrText>xe "</w:instrText>
      </w:r>
      <w:r>
        <w:rPr>
          <w:rStyle w:val="xeentry"/>
        </w:rPr>
        <w:instrText>commas in numbers: as numerical punctuation</w:instrText>
      </w:r>
      <w:r>
        <w:instrText>"</w:instrText>
      </w:r>
      <w:r>
        <w:rPr>
          <w:rStyle w:val="indexentry"/>
        </w:rPr>
        <w:fldChar w:fldCharType="end"/>
      </w:r>
      <w:r>
        <w:rPr>
          <w:rStyle w:val="indexentry"/>
        </w:rPr>
        <w:t>&lt;lx "ki'o"&gt;</w:t>
      </w:r>
      <w:r>
        <w:rPr>
          <w:rStyle w:val="indexentry"/>
        </w:rPr>
        <w:fldChar w:fldCharType="begin"/>
      </w:r>
      <w:r>
        <w:instrText>xe "</w:instrText>
      </w:r>
      <w:r>
        <w:rPr>
          <w:rStyle w:val="xeentry"/>
        </w:rPr>
        <w:instrText>ki'o</w:instrText>
      </w:r>
      <w:r>
        <w:instrText>"</w:instrText>
      </w:r>
      <w:r>
        <w:rPr>
          <w:rStyle w:val="indexentry"/>
        </w:rPr>
        <w:fldChar w:fldCharType="end"/>
      </w:r>
      <w:r>
        <w:rPr>
          <w:rStyle w:val="htmlcodes"/>
        </w:rPr>
        <w:t>&lt;pre&gt;&lt;a name=e3d7&gt;</w:t>
      </w:r>
      <w:r>
        <w:t>3.7)</w:t>
      </w:r>
      <w:r>
        <w:tab/>
        <w:t>pa ki'o re ci vo ki'o mu xa ze</w:t>
      </w:r>
    </w:p>
    <w:p w:rsidR="00B72047" w:rsidRDefault="00B72047">
      <w:pPr>
        <w:pStyle w:val="examplescaled"/>
      </w:pPr>
      <w:r>
        <w:tab/>
        <w:t>one comma two three four comma five six seven</w:t>
      </w:r>
    </w:p>
    <w:p w:rsidR="00B72047" w:rsidRDefault="00B72047">
      <w:pPr>
        <w:pStyle w:val="examplescaled"/>
      </w:pPr>
      <w:r>
        <w:tab/>
      </w:r>
      <w:r>
        <w:rPr>
          <w:rStyle w:val="math"/>
        </w:rPr>
        <w:t>1,234,567</w:t>
      </w:r>
    </w:p>
    <w:p w:rsidR="00B72047" w:rsidRDefault="00B72047">
      <w:pPr>
        <w:pStyle w:val="resumedafterexample"/>
      </w:pPr>
      <w:r>
        <w:rPr>
          <w:rStyle w:val="htmlcodes"/>
        </w:rPr>
        <w:t>&lt;/pre&gt;</w:t>
      </w:r>
      <w:r>
        <w:rPr>
          <w:rStyle w:val="indexentry"/>
        </w:rPr>
        <w:t>&lt;cx "commas in numbers, effect of other notation conventions"&gt;</w:t>
      </w:r>
      <w:r>
        <w:rPr>
          <w:rStyle w:val="indexentry"/>
        </w:rPr>
        <w:fldChar w:fldCharType="begin"/>
      </w:r>
      <w:r>
        <w:instrText>xe "</w:instrText>
      </w:r>
      <w:r>
        <w:rPr>
          <w:rStyle w:val="xeentry"/>
        </w:rPr>
        <w:instrText>commas in numbers: effect of other notation conventions</w:instrText>
      </w:r>
      <w:r>
        <w:instrText>"</w:instrText>
      </w:r>
      <w:r>
        <w:rPr>
          <w:rStyle w:val="indexentry"/>
        </w:rPr>
        <w:fldChar w:fldCharType="end"/>
      </w:r>
      <w:r>
        <w:t>(In some cultures, spaces are used in the symbolic representation</w:t>
      </w:r>
      <w:r>
        <w:rPr>
          <w:rStyle w:val="deletedparamark"/>
        </w:rPr>
        <w:t xml:space="preserve"> </w:t>
      </w:r>
      <w:r>
        <w:t xml:space="preserve">of </w:t>
      </w:r>
      <w:r>
        <w:rPr>
          <w:rStyle w:val="htmlcodes"/>
        </w:rPr>
        <w:t>&lt;a href=#e3d7&gt;</w:t>
      </w:r>
      <w:r>
        <w:t>Example 3.7</w:t>
      </w:r>
      <w:r>
        <w:rPr>
          <w:rStyle w:val="htmlcodes"/>
        </w:rPr>
        <w:t>&lt;/a&gt;</w:t>
      </w:r>
      <w:r>
        <w:t>; “ki'o” is still the Lojban representation.)</w:t>
      </w:r>
    </w:p>
    <w:p w:rsidR="00B72047" w:rsidRDefault="00B72047">
      <w:pPr>
        <w:rPr>
          <w:rStyle w:val="htmlparacode"/>
        </w:rPr>
      </w:pPr>
      <w:r>
        <w:rPr>
          <w:rStyle w:val="htmlparacode"/>
        </w:rPr>
        <w:t>&lt;p&gt;</w:t>
      </w:r>
    </w:p>
    <w:p w:rsidR="00B72047" w:rsidRDefault="00B72047">
      <w:pPr>
        <w:pStyle w:val="normalparagraph"/>
      </w:pPr>
      <w:r>
        <w:rPr>
          <w:rStyle w:val="indexentry"/>
        </w:rPr>
        <w:t>&lt;cx "commas in numbers, with elided digits"&gt;</w:t>
      </w:r>
      <w:r>
        <w:rPr>
          <w:rStyle w:val="indexentry"/>
        </w:rPr>
        <w:fldChar w:fldCharType="begin"/>
      </w:r>
      <w:r>
        <w:instrText>xe "</w:instrText>
      </w:r>
      <w:r>
        <w:rPr>
          <w:rStyle w:val="xeentry"/>
        </w:rPr>
        <w:instrText>commas in numbers: with elided digits</w:instrText>
      </w:r>
      <w:r>
        <w:instrText>"</w:instrText>
      </w:r>
      <w:r>
        <w:rPr>
          <w:rStyle w:val="indexentry"/>
        </w:rPr>
        <w:fldChar w:fldCharType="end"/>
      </w:r>
      <w:r>
        <w:t>It is also possible to have less than three digits between successive</w:t>
      </w:r>
      <w:r>
        <w:rPr>
          <w:rStyle w:val="deletedparamark"/>
        </w:rPr>
        <w:t xml:space="preserve"> “</w:t>
      </w:r>
      <w:r>
        <w:t>ki'o”s, in which case zeros are assumed to have been elided: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name=e3d8&gt;</w:t>
      </w:r>
      <w:r>
        <w:t>3.8)</w:t>
      </w:r>
      <w:r>
        <w:tab/>
        <w:t>pa ki'o re ci ki'o vo</w:t>
      </w:r>
    </w:p>
    <w:p w:rsidR="00B72047" w:rsidRDefault="00B72047">
      <w:pPr>
        <w:pStyle w:val="examplescaled"/>
      </w:pPr>
      <w:r>
        <w:tab/>
        <w:t>one comma two three comma four</w:t>
      </w:r>
    </w:p>
    <w:p w:rsidR="00B72047" w:rsidRDefault="00B72047">
      <w:pPr>
        <w:pStyle w:val="examplescaled"/>
      </w:pPr>
      <w:r>
        <w:tab/>
      </w:r>
      <w:r>
        <w:rPr>
          <w:rStyle w:val="math"/>
        </w:rPr>
        <w:t>1,023,004</w:t>
      </w:r>
    </w:p>
    <w:p w:rsidR="00B72047" w:rsidRDefault="00B72047">
      <w:pPr>
        <w:pStyle w:val="resumedafterexample"/>
      </w:pPr>
      <w:r>
        <w:rPr>
          <w:rStyle w:val="htmlcodes"/>
        </w:rPr>
        <w:t>&lt;/pre&gt;&lt;p&gt;</w:t>
      </w:r>
      <w:r>
        <w:t>In the same way, “ki'o” can be used after “pi” to divide fractions</w:t>
      </w:r>
      <w:r>
        <w:rPr>
          <w:rStyle w:val="deletedparamark"/>
        </w:rPr>
        <w:t xml:space="preserve"> </w:t>
      </w:r>
      <w:r>
        <w:t>into groups of three: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name=e3d9&gt;</w:t>
      </w:r>
      <w:r>
        <w:t>3.9)</w:t>
      </w:r>
      <w:r>
        <w:tab/>
        <w:t>pi ki'o re re</w:t>
      </w:r>
    </w:p>
    <w:p w:rsidR="00B72047" w:rsidRDefault="00B72047">
      <w:pPr>
        <w:pStyle w:val="examplescaled"/>
      </w:pPr>
      <w:r>
        <w:tab/>
        <w:t>point comma two two</w:t>
      </w:r>
    </w:p>
    <w:p w:rsidR="00B72047" w:rsidRDefault="00B72047">
      <w:pPr>
        <w:pStyle w:val="examplescaled"/>
      </w:pPr>
      <w:r>
        <w:tab/>
      </w:r>
      <w:r>
        <w:rPr>
          <w:rStyle w:val="math"/>
        </w:rPr>
        <w:t>.022</w:t>
      </w:r>
    </w:p>
    <w:p w:rsidR="00B72047" w:rsidRDefault="00B72047">
      <w:pPr>
        <w:pStyle w:val="examplescaledpre"/>
      </w:pPr>
      <w:r>
        <w:rPr>
          <w:rStyle w:val="htmlcodes"/>
        </w:rPr>
        <w:t>&lt;a name=e3d10&gt;</w:t>
      </w:r>
      <w:r>
        <w:t>3.10)</w:t>
      </w:r>
      <w:r>
        <w:tab/>
        <w:t>pi pa ki'o pa re ki'o pa</w:t>
      </w:r>
    </w:p>
    <w:p w:rsidR="00B72047" w:rsidRDefault="00B72047">
      <w:pPr>
        <w:pStyle w:val="examplescaled"/>
      </w:pPr>
      <w:r>
        <w:tab/>
        <w:t>point one comma one two comma one</w:t>
      </w:r>
    </w:p>
    <w:p w:rsidR="00B72047" w:rsidRDefault="00B72047">
      <w:pPr>
        <w:pStyle w:val="examplescaled"/>
        <w:rPr>
          <w:rStyle w:val="math"/>
        </w:rPr>
      </w:pPr>
      <w:r>
        <w:tab/>
      </w:r>
      <w:r>
        <w:rPr>
          <w:rStyle w:val="math"/>
        </w:rPr>
        <w:t>.001012001</w:t>
      </w:r>
    </w:p>
    <w:p w:rsidR="00B72047" w:rsidRDefault="00B72047">
      <w:pPr>
        <w:pStyle w:val="Heading3"/>
        <w:rPr>
          <w:rStyle w:val="Heading3Text"/>
        </w:rPr>
      </w:pPr>
      <w:r>
        <w:rPr>
          <w:rStyle w:val="htmlcodes"/>
        </w:rPr>
        <w:t>&lt;/pre&gt;&lt;a name=s4&gt;&lt;h3&gt;</w:t>
      </w:r>
      <w:bookmarkStart w:id="499" w:name="_Toc398970736"/>
      <w:r>
        <w:rPr>
          <w:rStyle w:val="Heading3Text"/>
        </w:rPr>
        <w:t>Special numbers</w:t>
      </w:r>
      <w:bookmarkEnd w:id="49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gtabspre"/>
      </w:pPr>
      <w:r>
        <w:rPr>
          <w:rStyle w:val="indexentry"/>
        </w:rPr>
        <w:t>&lt;cx "numbers, special"&gt;</w:t>
      </w:r>
      <w:r>
        <w:rPr>
          <w:rStyle w:val="indexentry"/>
        </w:rPr>
        <w:fldChar w:fldCharType="begin"/>
      </w:r>
      <w:r>
        <w:instrText>xe "</w:instrText>
      </w:r>
      <w:r>
        <w:rPr>
          <w:rStyle w:val="xeentry"/>
        </w:rPr>
        <w:instrText>numbers: special</w:instrText>
      </w:r>
      <w:r>
        <w:instrText>"</w:instrText>
      </w:r>
      <w:r>
        <w:rPr>
          <w:rStyle w:val="indexentry"/>
        </w:rPr>
        <w:fldChar w:fldCharType="end"/>
      </w:r>
      <w:r>
        <w:rPr>
          <w:rStyle w:val="htmlcodes"/>
        </w:rPr>
        <w:t>&lt;pre&gt;</w:t>
      </w:r>
      <w:r>
        <w:t xml:space="preserve"> </w:t>
      </w:r>
      <w:r>
        <w:tab/>
        <w:t>ci'i</w:t>
      </w:r>
      <w:r>
        <w:tab/>
        <w:t>PA</w:t>
      </w:r>
      <w:r>
        <w:tab/>
        <w:t>infinity</w:t>
      </w:r>
    </w:p>
    <w:p w:rsidR="00B72047" w:rsidRDefault="00B72047">
      <w:pPr>
        <w:pStyle w:val="examplegrouptabs"/>
      </w:pPr>
      <w:r>
        <w:tab/>
        <w:t>ka'o</w:t>
      </w:r>
      <w:r>
        <w:tab/>
        <w:t>PA</w:t>
      </w:r>
      <w:r>
        <w:tab/>
        <w:t xml:space="preserve">imaginary </w:t>
      </w:r>
      <w:r>
        <w:rPr>
          <w:rStyle w:val="math"/>
          <w:i/>
          <w:iCs/>
        </w:rPr>
        <w:t>i</w:t>
      </w:r>
      <w:r>
        <w:t>, sqrt(-1)</w:t>
      </w:r>
    </w:p>
    <w:p w:rsidR="00B72047" w:rsidRDefault="00B72047">
      <w:pPr>
        <w:pStyle w:val="examplegrouptabs"/>
      </w:pPr>
      <w:r>
        <w:tab/>
        <w:t>pai</w:t>
      </w:r>
      <w:r>
        <w:tab/>
        <w:t>PA</w:t>
      </w:r>
      <w:r>
        <w:tab/>
      </w:r>
      <w:r>
        <w:sym w:font="Symbol" w:char="F070"/>
      </w:r>
      <w:r>
        <w:t xml:space="preserve">, pi (approx </w:t>
      </w:r>
      <w:r>
        <w:rPr>
          <w:rStyle w:val="htmlcodes"/>
        </w:rPr>
        <w:t>&lt;math&gt;</w:t>
      </w:r>
      <w:r>
        <w:rPr>
          <w:rStyle w:val="math"/>
        </w:rPr>
        <w:t>3.14159</w:t>
      </w:r>
      <w:r>
        <w:rPr>
          <w:rStyle w:val="htmlcodes"/>
        </w:rPr>
        <w:t>&lt;dots&gt;</w:t>
      </w:r>
      <w:r>
        <w:rPr>
          <w:rStyle w:val="math"/>
        </w:rPr>
        <w:t>…</w:t>
      </w:r>
      <w:r>
        <w:rPr>
          <w:rStyle w:val="htmlcodes"/>
        </w:rPr>
        <w:t>&lt;/dots&gt;&lt;/math&gt;</w:t>
      </w:r>
      <w:r>
        <w:t>)</w:t>
      </w:r>
    </w:p>
    <w:p w:rsidR="00B72047" w:rsidRDefault="00B72047">
      <w:pPr>
        <w:pStyle w:val="examplegrouptabs"/>
      </w:pPr>
      <w:r>
        <w:tab/>
        <w:t>te'o</w:t>
      </w:r>
      <w:r>
        <w:tab/>
        <w:t>PA</w:t>
      </w:r>
      <w:r>
        <w:tab/>
        <w:t xml:space="preserve">exponential </w:t>
      </w:r>
      <w:r>
        <w:rPr>
          <w:rStyle w:val="math"/>
        </w:rPr>
        <w:t>e</w:t>
      </w:r>
      <w:r>
        <w:t xml:space="preserve"> (approx </w:t>
      </w:r>
      <w:r>
        <w:rPr>
          <w:rStyle w:val="htmlcodes"/>
        </w:rPr>
        <w:t>&lt;math&gt;</w:t>
      </w:r>
      <w:r>
        <w:rPr>
          <w:rStyle w:val="math"/>
        </w:rPr>
        <w:t>2.71828</w:t>
      </w:r>
      <w:r>
        <w:rPr>
          <w:rStyle w:val="htmlcodes"/>
        </w:rPr>
        <w:t>&lt;dots&gt;</w:t>
      </w:r>
      <w:r>
        <w:rPr>
          <w:rStyle w:val="math"/>
        </w:rPr>
        <w:t>…</w:t>
      </w:r>
      <w:r>
        <w:rPr>
          <w:rStyle w:val="htmlcodes"/>
        </w:rPr>
        <w:t>&lt;/dots&gt;&lt;/math&gt;</w:t>
      </w:r>
      <w:r>
        <w:t>)</w:t>
      </w:r>
    </w:p>
    <w:p w:rsidR="00B72047" w:rsidRDefault="00B72047">
      <w:pPr>
        <w:pStyle w:val="examplegrouptabs"/>
      </w:pPr>
      <w:r>
        <w:tab/>
        <w:t>fi'u</w:t>
      </w:r>
      <w:r>
        <w:tab/>
        <w:t>PA</w:t>
      </w:r>
      <w:r>
        <w:tab/>
        <w:t xml:space="preserve">golden ratio, </w:t>
      </w:r>
      <w:r>
        <w:sym w:font="Symbol" w:char="F066"/>
      </w:r>
      <w:r>
        <w:t>, phi, (</w:t>
      </w:r>
      <w:r>
        <w:rPr>
          <w:rStyle w:val="math"/>
        </w:rPr>
        <w:t>1 + sqrt(5))/2 (</w:t>
      </w:r>
      <w:r>
        <w:t xml:space="preserve">approx. </w:t>
      </w:r>
      <w:r>
        <w:rPr>
          <w:rStyle w:val="htmlcodes"/>
        </w:rPr>
        <w:t>&lt;math&gt;</w:t>
      </w:r>
      <w:r>
        <w:rPr>
          <w:rStyle w:val="math"/>
        </w:rPr>
        <w:t>1.61803</w:t>
      </w:r>
      <w:r>
        <w:rPr>
          <w:rStyle w:val="htmlcodes"/>
        </w:rPr>
        <w:t>&lt;dots&gt;</w:t>
      </w:r>
      <w:r>
        <w:rPr>
          <w:rStyle w:val="math"/>
        </w:rPr>
        <w:t>…</w:t>
      </w:r>
      <w:r>
        <w:rPr>
          <w:rStyle w:val="htmlcodes"/>
        </w:rPr>
        <w:t>&lt;/dots&gt;&lt;/math&gt;</w:t>
      </w:r>
      <w:r>
        <w:t>)</w:t>
      </w:r>
    </w:p>
    <w:p w:rsidR="00B72047" w:rsidRDefault="00B72047">
      <w:pPr>
        <w:pStyle w:val="resumedafterexample"/>
      </w:pPr>
      <w:r>
        <w:rPr>
          <w:rStyle w:val="htmlcodes"/>
        </w:rPr>
        <w:t>&lt;/pre&gt;</w:t>
      </w:r>
      <w:r>
        <w:rPr>
          <w:rStyle w:val="indexentry"/>
        </w:rPr>
        <w:t>&lt;cx "fraction, meaning with elided numerator and denominator"&gt;</w:t>
      </w:r>
      <w:r>
        <w:t>The last cmavo is the same as the fraction sign cmavo: a fraction sign</w:t>
      </w:r>
      <w:r>
        <w:rPr>
          <w:rStyle w:val="deletedparamark"/>
        </w:rPr>
        <w:t xml:space="preserve"> </w:t>
      </w:r>
      <w:r>
        <w:t>with neither nu</w:t>
      </w:r>
      <w:r>
        <w:softHyphen/>
        <w:t>merator nor denominator represents the golden ratio.</w:t>
      </w:r>
    </w:p>
    <w:p w:rsidR="00B72047" w:rsidRDefault="00B72047">
      <w:pPr>
        <w:rPr>
          <w:rStyle w:val="htmlparacode"/>
        </w:rPr>
      </w:pPr>
      <w:r>
        <w:rPr>
          <w:rStyle w:val="htmlparacode"/>
        </w:rPr>
        <w:t>&lt;p&gt;</w:t>
      </w:r>
    </w:p>
    <w:p w:rsidR="00B72047" w:rsidRDefault="00B72047">
      <w:pPr>
        <w:pStyle w:val="normalparagraph"/>
      </w:pPr>
      <w:r>
        <w:t>Numbers can have any of these digit, punctuation, and special-number</w:t>
      </w:r>
      <w:r>
        <w:rPr>
          <w:rStyle w:val="deletedparamark"/>
        </w:rPr>
        <w:t xml:space="preserve"> </w:t>
      </w:r>
      <w:r>
        <w:t>cmavo of Sections 2, 3, and 4 in any combination:</w:t>
      </w:r>
    </w:p>
    <w:p w:rsidR="00B72047" w:rsidRDefault="00B72047">
      <w:pPr>
        <w:rPr>
          <w:rStyle w:val="htmlparacode"/>
        </w:rPr>
      </w:pPr>
      <w:r>
        <w:rPr>
          <w:rStyle w:val="htmlparacode"/>
        </w:rPr>
        <w:t>&lt;p&gt;</w:t>
      </w:r>
    </w:p>
    <w:p w:rsidR="00B72047" w:rsidRDefault="00B72047">
      <w:pPr>
        <w:pStyle w:val="examplescaledpre"/>
      </w:pPr>
      <w:r>
        <w:rPr>
          <w:rStyle w:val="indexentry"/>
        </w:rPr>
        <w:t>&lt;ex "infinity"&gt;</w:t>
      </w:r>
      <w:r>
        <w:rPr>
          <w:rStyle w:val="indexentry"/>
        </w:rPr>
        <w:fldChar w:fldCharType="begin"/>
      </w:r>
      <w:r>
        <w:instrText>xe "</w:instrText>
      </w:r>
      <w:r>
        <w:rPr>
          <w:rStyle w:val="xeentry"/>
        </w:rPr>
        <w:instrText>infinity: example</w:instrText>
      </w:r>
      <w:r>
        <w:instrText>"</w:instrText>
      </w:r>
      <w:r>
        <w:rPr>
          <w:rStyle w:val="indexentry"/>
        </w:rPr>
        <w:fldChar w:fldCharType="end"/>
      </w:r>
      <w:r>
        <w:rPr>
          <w:rStyle w:val="indexentry"/>
        </w:rPr>
        <w:t>&lt;lx "ci'i"&gt;</w:t>
      </w:r>
      <w:r>
        <w:rPr>
          <w:rStyle w:val="indexentry"/>
        </w:rPr>
        <w:fldChar w:fldCharType="begin"/>
      </w:r>
      <w:r>
        <w:instrText>xe "</w:instrText>
      </w:r>
      <w:r>
        <w:rPr>
          <w:rStyle w:val="xeentry"/>
        </w:rPr>
        <w:instrText>ci'i</w:instrText>
      </w:r>
      <w:r>
        <w:instrText>"</w:instrText>
      </w:r>
      <w:r>
        <w:rPr>
          <w:rStyle w:val="indexentry"/>
        </w:rPr>
        <w:fldChar w:fldCharType="end"/>
      </w:r>
      <w:r>
        <w:rPr>
          <w:rStyle w:val="htmlcodes"/>
        </w:rPr>
        <w:t>&lt;pre&gt;&lt;a name=e4d1&gt;</w:t>
      </w:r>
      <w:r>
        <w:t>4.1)</w:t>
      </w:r>
      <w:r>
        <w:tab/>
        <w:t>ma'u ci'i</w:t>
      </w:r>
    </w:p>
    <w:p w:rsidR="00B72047" w:rsidRDefault="00B72047">
      <w:pPr>
        <w:pStyle w:val="examplescaled"/>
      </w:pPr>
      <w:r>
        <w:tab/>
      </w:r>
      <w:r>
        <w:rPr>
          <w:rStyle w:val="htmlcodes"/>
        </w:rPr>
        <w:t>&lt;math&gt;</w:t>
      </w:r>
      <w:r>
        <w:rPr>
          <w:rStyle w:val="math"/>
        </w:rPr>
        <w:t>+</w:t>
      </w:r>
      <w:r>
        <w:rPr>
          <w:rStyle w:val="htmlcodes"/>
        </w:rPr>
        <w:t>&lt;font face="Symbol"&gt;</w:t>
      </w:r>
      <w:r>
        <w:rPr>
          <w:rStyle w:val="math"/>
        </w:rPr>
        <w:sym w:font="Symbol" w:char="F0A5"/>
      </w:r>
      <w:r>
        <w:rPr>
          <w:rStyle w:val="htmlcodes"/>
        </w:rPr>
        <w:t>&amp;#165;&lt;/font&gt;&lt;!–infty–&gt;&lt;/math&gt;</w:t>
      </w:r>
    </w:p>
    <w:p w:rsidR="00B72047" w:rsidRDefault="00B72047">
      <w:pPr>
        <w:pStyle w:val="examplescaledpre"/>
      </w:pPr>
      <w:r>
        <w:rPr>
          <w:rStyle w:val="htmlcodes"/>
        </w:rPr>
        <w:t>&lt;/pre&gt;</w:t>
      </w:r>
      <w:r>
        <w:rPr>
          <w:rStyle w:val="indexentry"/>
        </w:rPr>
        <w:t>&lt;cx "complex numbers, expressing"&gt;</w:t>
      </w:r>
      <w:r>
        <w:rPr>
          <w:rStyle w:val="indexentry"/>
        </w:rPr>
        <w:fldChar w:fldCharType="begin"/>
      </w:r>
      <w:r>
        <w:instrText>xe "</w:instrText>
      </w:r>
      <w:r>
        <w:rPr>
          <w:rStyle w:val="xeentry"/>
        </w:rPr>
        <w:instrText>complex numbers: expressing</w:instrText>
      </w:r>
      <w:r>
        <w:instrText>"</w:instrText>
      </w:r>
      <w:r>
        <w:rPr>
          <w:rStyle w:val="indexentry"/>
        </w:rPr>
        <w:fldChar w:fldCharType="end"/>
      </w:r>
      <w:r>
        <w:rPr>
          <w:rStyle w:val="indexentry"/>
        </w:rPr>
        <w:t>&lt;lx "ka'o"&gt;</w:t>
      </w:r>
      <w:r>
        <w:rPr>
          <w:rStyle w:val="indexentry"/>
        </w:rPr>
        <w:fldChar w:fldCharType="begin"/>
      </w:r>
      <w:r>
        <w:instrText>xe "</w:instrText>
      </w:r>
      <w:r>
        <w:rPr>
          <w:rStyle w:val="xeentry"/>
        </w:rPr>
        <w:instrText>ka'o</w:instrText>
      </w:r>
      <w:r>
        <w:instrText>"</w:instrText>
      </w:r>
      <w:r>
        <w:rPr>
          <w:rStyle w:val="indexentry"/>
        </w:rPr>
        <w:fldChar w:fldCharType="end"/>
      </w:r>
      <w:r>
        <w:rPr>
          <w:rStyle w:val="htmlcodes"/>
        </w:rPr>
        <w:t>&lt;pre&gt;&lt;a name=e4d2&gt;</w:t>
      </w:r>
      <w:r>
        <w:t>4.2)</w:t>
      </w:r>
      <w:r>
        <w:tab/>
        <w:t>ci ka'o re</w:t>
      </w:r>
    </w:p>
    <w:p w:rsidR="00B72047" w:rsidRDefault="00B72047">
      <w:pPr>
        <w:pStyle w:val="examplescaled"/>
      </w:pPr>
      <w:r>
        <w:tab/>
      </w:r>
      <w:r>
        <w:rPr>
          <w:rStyle w:val="htmlcodes"/>
        </w:rPr>
        <w:t>&lt;math&gt;</w:t>
      </w:r>
      <w:r>
        <w:rPr>
          <w:rStyle w:val="math"/>
        </w:rPr>
        <w:t xml:space="preserve">3i2 </w:t>
      </w:r>
      <w:r>
        <w:rPr>
          <w:rStyle w:val="htmlcodes"/>
        </w:rPr>
        <w:t>&lt;/math&gt;</w:t>
      </w:r>
      <w:r>
        <w:t>(a complex number equivalent to “</w:t>
      </w:r>
      <w:r>
        <w:rPr>
          <w:rStyle w:val="htmlcodes"/>
        </w:rPr>
        <w:t>&lt;math&gt;</w:t>
      </w:r>
      <w:r>
        <w:rPr>
          <w:rStyle w:val="math"/>
        </w:rPr>
        <w:t>3 + 2i</w:t>
      </w:r>
      <w:r>
        <w:rPr>
          <w:rStyle w:val="htmlcodes"/>
        </w:rPr>
        <w:t>&lt;/math&gt;</w:t>
      </w:r>
      <w:r>
        <w:t>”)</w:t>
      </w:r>
    </w:p>
    <w:p w:rsidR="00B72047" w:rsidRDefault="00B72047">
      <w:pPr>
        <w:pStyle w:val="resumedafterexample"/>
      </w:pPr>
      <w:r>
        <w:rPr>
          <w:rStyle w:val="htmlcodes"/>
        </w:rPr>
        <w:t>&lt;/pre&gt;</w:t>
      </w:r>
      <w:r>
        <w:rPr>
          <w:rStyle w:val="indexentry"/>
        </w:rPr>
        <w:t>&lt;cx "ka'o, as special number compared with as numerical punctuation"&gt;</w:t>
      </w:r>
      <w:r>
        <w:rPr>
          <w:rStyle w:val="indexentry"/>
        </w:rPr>
        <w:fldChar w:fldCharType="begin"/>
      </w:r>
      <w:r>
        <w:instrText>xe "</w:instrText>
      </w:r>
      <w:r>
        <w:rPr>
          <w:rStyle w:val="xeentry"/>
        </w:rPr>
        <w:instrText>ka'o: as special number compared with as numerical punctuation</w:instrText>
      </w:r>
      <w:r>
        <w:instrText>"</w:instrText>
      </w:r>
      <w:r>
        <w:rPr>
          <w:rStyle w:val="indexentry"/>
        </w:rPr>
        <w:fldChar w:fldCharType="end"/>
      </w:r>
      <w:r>
        <w:t>Note that “ka'o” is both a special number (meaning “</w:t>
      </w:r>
      <w:r>
        <w:rPr>
          <w:rStyle w:val="math"/>
        </w:rPr>
        <w:t>i</w:t>
      </w:r>
      <w:r>
        <w:t>”) and a number</w:t>
      </w:r>
      <w:r>
        <w:rPr>
          <w:rStyle w:val="deletedparamark"/>
        </w:rPr>
        <w:t xml:space="preserve"> </w:t>
      </w:r>
      <w:r>
        <w:t>punctuation mark (separating the real and the imaginary parts of a</w:t>
      </w:r>
      <w:r>
        <w:rPr>
          <w:rStyle w:val="deletedparamark"/>
        </w:rPr>
        <w:t xml:space="preserve"> </w:t>
      </w:r>
      <w:r>
        <w:t>complex number).</w:t>
      </w:r>
    </w:p>
    <w:p w:rsidR="00B72047" w:rsidRDefault="00B72047">
      <w:pPr>
        <w:rPr>
          <w:rStyle w:val="htmlparacode"/>
        </w:rPr>
      </w:pPr>
      <w:r>
        <w:rPr>
          <w:rStyle w:val="htmlparacode"/>
        </w:rPr>
        <w:t>&lt;p&gt;</w:t>
      </w:r>
    </w:p>
    <w:p w:rsidR="00B72047" w:rsidRDefault="00B72047">
      <w:pPr>
        <w:pStyle w:val="examplescaledpre"/>
      </w:pPr>
      <w:r>
        <w:rPr>
          <w:rStyle w:val="indexentry"/>
        </w:rPr>
        <w:t>&lt;ex "transfinite cardinal"&gt;</w:t>
      </w:r>
      <w:r>
        <w:rPr>
          <w:rStyle w:val="indexentry"/>
        </w:rPr>
        <w:fldChar w:fldCharType="begin"/>
      </w:r>
      <w:r>
        <w:instrText>xe "</w:instrText>
      </w:r>
      <w:r>
        <w:rPr>
          <w:rStyle w:val="xeentry"/>
        </w:rPr>
        <w:instrText>transfinite cardinal: example</w:instrText>
      </w:r>
      <w:r>
        <w:instrText>"</w:instrText>
      </w:r>
      <w:r>
        <w:rPr>
          <w:rStyle w:val="indexentry"/>
        </w:rPr>
        <w:fldChar w:fldCharType="end"/>
      </w:r>
      <w:r>
        <w:rPr>
          <w:rStyle w:val="indexentry"/>
        </w:rPr>
        <w:t>&lt;ex "aleph null"&gt;</w:t>
      </w:r>
      <w:r>
        <w:rPr>
          <w:rStyle w:val="indexentry"/>
        </w:rPr>
        <w:fldChar w:fldCharType="begin"/>
      </w:r>
      <w:r>
        <w:instrText>xe "</w:instrText>
      </w:r>
      <w:r>
        <w:rPr>
          <w:rStyle w:val="xeentry"/>
        </w:rPr>
        <w:instrText>aleph null: example</w:instrText>
      </w:r>
      <w:r>
        <w:instrText>"</w:instrText>
      </w:r>
      <w:r>
        <w:rPr>
          <w:rStyle w:val="indexentry"/>
        </w:rPr>
        <w:fldChar w:fldCharType="end"/>
      </w:r>
      <w:r>
        <w:rPr>
          <w:rStyle w:val="indexentry"/>
        </w:rPr>
        <w:t>&lt;lx "ci'i"&gt;</w:t>
      </w:r>
      <w:r>
        <w:rPr>
          <w:rStyle w:val="indexentry"/>
        </w:rPr>
        <w:fldChar w:fldCharType="begin"/>
      </w:r>
      <w:r>
        <w:instrText>xe "</w:instrText>
      </w:r>
      <w:r>
        <w:rPr>
          <w:rStyle w:val="xeentry"/>
        </w:rPr>
        <w:instrText>ci'i</w:instrText>
      </w:r>
      <w:r>
        <w:instrText>"</w:instrText>
      </w:r>
      <w:r>
        <w:rPr>
          <w:rStyle w:val="indexentry"/>
        </w:rPr>
        <w:fldChar w:fldCharType="end"/>
      </w:r>
      <w:r>
        <w:rPr>
          <w:rStyle w:val="htmlcodes"/>
        </w:rPr>
        <w:t>&lt;pre&gt;&lt;a name=e4d3&gt;</w:t>
      </w:r>
      <w:r>
        <w:t>4.3)</w:t>
      </w:r>
      <w:r>
        <w:tab/>
        <w:t>ci'i no</w:t>
      </w:r>
    </w:p>
    <w:p w:rsidR="00B72047" w:rsidRDefault="00B72047">
      <w:pPr>
        <w:pStyle w:val="examplescaled"/>
      </w:pPr>
      <w:r>
        <w:tab/>
        <w:t>infinity zero</w:t>
      </w:r>
    </w:p>
    <w:p w:rsidR="00B72047" w:rsidRDefault="00B72047">
      <w:pPr>
        <w:pStyle w:val="examplescaled"/>
      </w:pPr>
      <w:r>
        <w:tab/>
      </w:r>
      <w:r>
        <w:rPr>
          <w:rStyle w:val="htmlcodes"/>
        </w:rPr>
        <w:t>&lt;math&gt;&lt;font face="Symbol"&gt;</w:t>
      </w:r>
      <w:r>
        <w:rPr>
          <w:rStyle w:val="math"/>
        </w:rPr>
        <w:sym w:font="Symbol" w:char="F0C0"/>
      </w:r>
      <w:r>
        <w:rPr>
          <w:rStyle w:val="htmlcodes"/>
        </w:rPr>
        <w:t>&amp;#192;&lt;/font&gt;&lt;!–aleph–&gt;&lt;sub&gt;</w:t>
      </w:r>
      <w:r>
        <w:rPr>
          <w:rStyle w:val="subscript"/>
        </w:rPr>
        <w:t>0</w:t>
      </w:r>
      <w:r>
        <w:rPr>
          <w:rStyle w:val="htmlcodes"/>
        </w:rPr>
        <w:t>&lt;/sub&gt;&lt;/math&gt;</w:t>
      </w:r>
      <w:r>
        <w:t xml:space="preserve"> (a transfinite cardinal)</w:t>
      </w:r>
    </w:p>
    <w:p w:rsidR="00B72047" w:rsidRDefault="00B72047">
      <w:pPr>
        <w:pStyle w:val="normalafterexample"/>
      </w:pPr>
      <w:r>
        <w:rPr>
          <w:rStyle w:val="htmlcodes"/>
        </w:rPr>
        <w:t>&lt;/pre&gt;&lt;p&gt;</w:t>
      </w:r>
      <w:r>
        <w:t>The special numbers “pai” and “te'o” are mathematically important, which</w:t>
      </w:r>
      <w:r>
        <w:rPr>
          <w:rStyle w:val="deletedparamark"/>
        </w:rPr>
        <w:t xml:space="preserve"> </w:t>
      </w:r>
      <w:r>
        <w:t>is why they are given their own cmavo: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name=e4d4&gt;</w:t>
      </w:r>
      <w:r>
        <w:t>4.4)</w:t>
      </w:r>
      <w:r>
        <w:tab/>
        <w:t>pai</w:t>
      </w:r>
    </w:p>
    <w:p w:rsidR="00B72047" w:rsidRDefault="00B72047">
      <w:pPr>
        <w:pStyle w:val="examplescaled"/>
      </w:pPr>
      <w:r>
        <w:tab/>
        <w:t xml:space="preserve">pi, </w:t>
      </w:r>
      <w:r>
        <w:sym w:font="Symbol" w:char="F070"/>
      </w:r>
    </w:p>
    <w:p w:rsidR="00B72047" w:rsidRDefault="00B72047">
      <w:pPr>
        <w:pStyle w:val="examplescaledpre"/>
      </w:pPr>
      <w:r>
        <w:rPr>
          <w:rStyle w:val="htmlcodes"/>
        </w:rPr>
        <w:t>&lt;a name=e4d5&gt;</w:t>
      </w:r>
      <w:r>
        <w:t>4.5)</w:t>
      </w:r>
      <w:r>
        <w:tab/>
        <w:t>te'o</w:t>
      </w:r>
    </w:p>
    <w:p w:rsidR="00B72047" w:rsidRDefault="00B72047">
      <w:pPr>
        <w:pStyle w:val="examplescaled"/>
      </w:pPr>
      <w:r>
        <w:tab/>
      </w:r>
      <w:r>
        <w:rPr>
          <w:rStyle w:val="math"/>
        </w:rPr>
        <w:t>e</w:t>
      </w:r>
    </w:p>
    <w:p w:rsidR="00B72047" w:rsidRDefault="00B72047">
      <w:pPr>
        <w:pStyle w:val="resumedafterexample"/>
      </w:pPr>
      <w:r>
        <w:rPr>
          <w:rStyle w:val="htmlcodes"/>
        </w:rPr>
        <w:t>&lt;/pre&gt;</w:t>
      </w:r>
      <w:r>
        <w:rPr>
          <w:rStyle w:val="indexentry"/>
        </w:rPr>
        <w:t>&lt;cx "numerical punctuation, undefined"&gt;</w:t>
      </w:r>
      <w:r>
        <w:rPr>
          <w:rStyle w:val="indexentry"/>
        </w:rPr>
        <w:fldChar w:fldCharType="begin"/>
      </w:r>
      <w:r>
        <w:instrText>xe "</w:instrText>
      </w:r>
      <w:r>
        <w:rPr>
          <w:rStyle w:val="xeentry"/>
        </w:rPr>
        <w:instrText>numerical punctuation: undefined</w:instrText>
      </w:r>
      <w:r>
        <w:instrText>"</w:instrText>
      </w:r>
      <w:r>
        <w:rPr>
          <w:rStyle w:val="indexentry"/>
        </w:rPr>
        <w:fldChar w:fldCharType="end"/>
      </w:r>
      <w:r>
        <w:t>However, many combinations are as yet undefined: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name=e4d6&gt;</w:t>
      </w:r>
      <w:r>
        <w:t>4.6)</w:t>
      </w:r>
      <w:r>
        <w:tab/>
        <w:t>pa pi re pi ci</w:t>
      </w:r>
    </w:p>
    <w:p w:rsidR="00B72047" w:rsidRDefault="00B72047">
      <w:pPr>
        <w:pStyle w:val="examplescaled"/>
        <w:rPr>
          <w:rStyle w:val="math"/>
        </w:rPr>
      </w:pPr>
      <w:r>
        <w:tab/>
      </w:r>
      <w:r>
        <w:rPr>
          <w:rStyle w:val="math"/>
        </w:rPr>
        <w:t>1.2.3</w:t>
      </w:r>
    </w:p>
    <w:p w:rsidR="00B72047" w:rsidRDefault="00B72047">
      <w:pPr>
        <w:pStyle w:val="examplescaledpre"/>
      </w:pPr>
      <w:r>
        <w:rPr>
          <w:rStyle w:val="htmlcodes"/>
        </w:rPr>
        <w:t>&lt;a name=e4d7&gt;</w:t>
      </w:r>
      <w:r>
        <w:t>4.7)</w:t>
      </w:r>
      <w:r>
        <w:tab/>
        <w:t>pa ni'u re</w:t>
      </w:r>
    </w:p>
    <w:p w:rsidR="00B72047" w:rsidRDefault="00B72047">
      <w:pPr>
        <w:pStyle w:val="examplescaled"/>
      </w:pPr>
      <w:r>
        <w:tab/>
      </w:r>
      <w:r>
        <w:rPr>
          <w:rStyle w:val="math"/>
        </w:rPr>
        <w:t>1 negative-sign 2</w:t>
      </w:r>
    </w:p>
    <w:p w:rsidR="00B72047" w:rsidRDefault="00B72047">
      <w:pPr>
        <w:pStyle w:val="resumedafterexample"/>
      </w:pPr>
      <w:r>
        <w:rPr>
          <w:rStyle w:val="htmlcodes"/>
        </w:rPr>
        <w:t>&lt;/pre&gt;</w:t>
      </w:r>
      <w:r>
        <w:rPr>
          <w:rStyle w:val="indexentry"/>
        </w:rPr>
        <w:t>&lt;cx "negative sign, contrasted with subtraction operator"&gt;</w:t>
      </w:r>
      <w:r>
        <w:rPr>
          <w:rStyle w:val="indexentry"/>
        </w:rPr>
        <w:fldChar w:fldCharType="begin"/>
      </w:r>
      <w:r>
        <w:instrText>xe "</w:instrText>
      </w:r>
      <w:r>
        <w:rPr>
          <w:rStyle w:val="xeentry"/>
        </w:rPr>
        <w:instrText>negative sign: contrasted with subtraction operator</w:instrText>
      </w:r>
      <w:r>
        <w:instrText>"</w:instrText>
      </w:r>
      <w:r>
        <w:rPr>
          <w:rStyle w:val="indexentry"/>
        </w:rPr>
        <w:fldChar w:fldCharType="end"/>
      </w:r>
      <w:r>
        <w:rPr>
          <w:rStyle w:val="indexentry"/>
        </w:rPr>
        <w:t>&lt;cx "subtraction operator, contrasted with negative sign"&gt;</w:t>
      </w:r>
      <w:r>
        <w:rPr>
          <w:rStyle w:val="indexentry"/>
        </w:rPr>
        <w:fldChar w:fldCharType="begin"/>
      </w:r>
      <w:r>
        <w:instrText>xe "</w:instrText>
      </w:r>
      <w:r>
        <w:rPr>
          <w:rStyle w:val="xeentry"/>
        </w:rPr>
        <w:instrText>subtraction operator: contrasted with negative sign</w:instrText>
      </w:r>
      <w:r>
        <w:instrText>"</w:instrText>
      </w:r>
      <w:r>
        <w:rPr>
          <w:rStyle w:val="indexentry"/>
        </w:rPr>
        <w:fldChar w:fldCharType="end"/>
      </w:r>
      <w:r>
        <w:rPr>
          <w:rStyle w:val="htmlcodes"/>
        </w:rPr>
        <w:t>&lt;a href=#e4d7&gt;</w:t>
      </w:r>
      <w:r>
        <w:t xml:space="preserve">Example 4.7 </w:t>
      </w:r>
      <w:r>
        <w:rPr>
          <w:rStyle w:val="htmlcodes"/>
        </w:rPr>
        <w:t>&lt;/a&gt;</w:t>
      </w:r>
      <w:r>
        <w:t>is not “1 minus 2”, which is represented by a different</w:t>
      </w:r>
      <w:r>
        <w:rPr>
          <w:rStyle w:val="deletedparamark"/>
        </w:rPr>
        <w:t xml:space="preserve"> </w:t>
      </w:r>
      <w:r>
        <w:t>cmavo sequence alt</w:t>
      </w:r>
      <w:r>
        <w:t>o</w:t>
      </w:r>
      <w:r>
        <w:softHyphen/>
        <w:t>gether. It is a single number which has not been</w:t>
      </w:r>
      <w:r>
        <w:rPr>
          <w:rStyle w:val="deletedparamark"/>
        </w:rPr>
        <w:t xml:space="preserve"> </w:t>
      </w:r>
      <w:r>
        <w:t>assigned a meaning. There are many such numbers which have no well-defined</w:t>
      </w:r>
      <w:r>
        <w:rPr>
          <w:rStyle w:val="deletedparamark"/>
        </w:rPr>
        <w:t xml:space="preserve"> </w:t>
      </w:r>
      <w:r>
        <w:t>meaning; they may be used for ex</w:t>
      </w:r>
      <w:r>
        <w:softHyphen/>
        <w:t>perimental pu</w:t>
      </w:r>
      <w:r>
        <w:t>r</w:t>
      </w:r>
      <w:r>
        <w:softHyphen/>
        <w:t>poses or for future</w:t>
      </w:r>
      <w:r>
        <w:rPr>
          <w:rStyle w:val="deletedparamark"/>
        </w:rPr>
        <w:t xml:space="preserve"> </w:t>
      </w:r>
      <w:r>
        <w:t>expansion of the Lojban number system.</w:t>
      </w:r>
    </w:p>
    <w:p w:rsidR="00B72047" w:rsidRDefault="00B72047">
      <w:pPr>
        <w:rPr>
          <w:rStyle w:val="htmlparacode"/>
        </w:rPr>
      </w:pPr>
      <w:r>
        <w:rPr>
          <w:rStyle w:val="htmlparacode"/>
        </w:rPr>
        <w:t>&lt;p&gt;</w:t>
      </w:r>
    </w:p>
    <w:p w:rsidR="00B72047" w:rsidRDefault="00B72047">
      <w:pPr>
        <w:pStyle w:val="normalparagraph"/>
      </w:pPr>
      <w:r>
        <w:t>It is possible, of course, that some of these “oddities” do have a</w:t>
      </w:r>
      <w:r>
        <w:rPr>
          <w:rStyle w:val="deletedparamark"/>
        </w:rPr>
        <w:t xml:space="preserve"> </w:t>
      </w:r>
      <w:r>
        <w:t>meaningful use in some restricted area of mathematics. A mathematician</w:t>
      </w:r>
      <w:r>
        <w:rPr>
          <w:rStyle w:val="deletedparamark"/>
        </w:rPr>
        <w:t xml:space="preserve"> </w:t>
      </w:r>
      <w:r>
        <w:t>appropriating these structures for specialized use needs to consider</w:t>
      </w:r>
      <w:r>
        <w:rPr>
          <w:rStyle w:val="deletedparamark"/>
        </w:rPr>
        <w:t xml:space="preserve"> </w:t>
      </w:r>
      <w:r>
        <w:t>whether some other branch of mathematics would use the structure differently.</w:t>
      </w:r>
    </w:p>
    <w:p w:rsidR="00B72047" w:rsidRDefault="00B72047">
      <w:pPr>
        <w:rPr>
          <w:rStyle w:val="htmlparacode"/>
        </w:rPr>
      </w:pPr>
      <w:r>
        <w:rPr>
          <w:rStyle w:val="htmlparacode"/>
        </w:rPr>
        <w:t>&lt;p&gt;</w:t>
      </w:r>
    </w:p>
    <w:p w:rsidR="00B72047" w:rsidRDefault="00B72047">
      <w:pPr>
        <w:pStyle w:val="normalparagraph"/>
      </w:pPr>
      <w:r>
        <w:t xml:space="preserve">More information on numbers may be found in </w:t>
      </w:r>
      <w:r>
        <w:rPr>
          <w:rStyle w:val="htmlcodes"/>
        </w:rPr>
        <w:t>&lt;a href=#s8&gt;</w:t>
      </w:r>
      <w:r>
        <w:t xml:space="preserve">Sections 8 </w:t>
      </w:r>
      <w:r>
        <w:rPr>
          <w:rStyle w:val="htmlcodes"/>
        </w:rPr>
        <w:t>&lt;/a&gt;</w:t>
      </w:r>
      <w:r>
        <w:t xml:space="preserve">to </w:t>
      </w:r>
      <w:r>
        <w:rPr>
          <w:rStyle w:val="htmlcodes"/>
        </w:rPr>
        <w:t>&lt;a href=#s12&gt;</w:t>
      </w:r>
      <w:r>
        <w:t>12</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name=s5&gt;&lt;h3&gt;</w:t>
      </w:r>
      <w:bookmarkStart w:id="500" w:name="_Toc398970737"/>
      <w:r>
        <w:rPr>
          <w:rStyle w:val="Heading3Text"/>
        </w:rPr>
        <w:t>Simple infix expressions and equations</w:t>
      </w:r>
      <w:bookmarkEnd w:id="50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du</w:t>
      </w:r>
      <w:r>
        <w:tab/>
        <w:t>GOhA</w:t>
      </w:r>
      <w:r>
        <w:tab/>
        <w:t>equals</w:t>
      </w:r>
    </w:p>
    <w:p w:rsidR="00B72047" w:rsidRDefault="00B72047">
      <w:pPr>
        <w:pStyle w:val="examplescaled"/>
      </w:pPr>
      <w:r>
        <w:tab/>
        <w:t>su'i</w:t>
      </w:r>
      <w:r>
        <w:tab/>
        <w:t>VUhU</w:t>
      </w:r>
      <w:r>
        <w:tab/>
        <w:t>plus</w:t>
      </w:r>
    </w:p>
    <w:p w:rsidR="00B72047" w:rsidRDefault="00B72047">
      <w:pPr>
        <w:pStyle w:val="examplescaled"/>
      </w:pPr>
      <w:r>
        <w:tab/>
        <w:t>vu'u</w:t>
      </w:r>
      <w:r>
        <w:tab/>
        <w:t>VUhU</w:t>
      </w:r>
      <w:r>
        <w:tab/>
        <w:t>minus</w:t>
      </w:r>
    </w:p>
    <w:p w:rsidR="00B72047" w:rsidRDefault="00B72047">
      <w:pPr>
        <w:pStyle w:val="examplescaled"/>
      </w:pPr>
      <w:r>
        <w:tab/>
        <w:t>pi'i</w:t>
      </w:r>
      <w:r>
        <w:tab/>
        <w:t>VUhU</w:t>
      </w:r>
      <w:r>
        <w:tab/>
        <w:t>times</w:t>
      </w:r>
    </w:p>
    <w:p w:rsidR="00B72047" w:rsidRDefault="00B72047">
      <w:pPr>
        <w:pStyle w:val="examplescaled"/>
      </w:pPr>
      <w:r>
        <w:tab/>
        <w:t>te'a</w:t>
      </w:r>
      <w:r>
        <w:tab/>
        <w:t>VUhU</w:t>
      </w:r>
      <w:r>
        <w:tab/>
        <w:t>raised to the power</w:t>
      </w:r>
    </w:p>
    <w:p w:rsidR="00B72047" w:rsidRDefault="00B72047">
      <w:pPr>
        <w:pStyle w:val="examplescaled"/>
      </w:pPr>
      <w:r>
        <w:tab/>
        <w:t>ny.</w:t>
      </w:r>
      <w:r>
        <w:tab/>
        <w:t>BY</w:t>
      </w:r>
      <w:r>
        <w:tab/>
        <w:t>letter “n”</w:t>
      </w:r>
    </w:p>
    <w:p w:rsidR="00B72047" w:rsidRDefault="00B72047">
      <w:pPr>
        <w:pStyle w:val="examplescaled"/>
      </w:pPr>
      <w:r>
        <w:tab/>
        <w:t>vei</w:t>
      </w:r>
      <w:r>
        <w:tab/>
        <w:t>VEI</w:t>
      </w:r>
      <w:r>
        <w:tab/>
        <w:t>left parenthesis</w:t>
      </w:r>
    </w:p>
    <w:p w:rsidR="00B72047" w:rsidRDefault="00B72047">
      <w:pPr>
        <w:pStyle w:val="examplescaled"/>
      </w:pPr>
      <w:r>
        <w:tab/>
        <w:t>ve'o</w:t>
      </w:r>
      <w:r>
        <w:tab/>
        <w:t>VEhO</w:t>
      </w:r>
      <w:r>
        <w:tab/>
        <w:t>right parenthesis</w:t>
      </w:r>
    </w:p>
    <w:p w:rsidR="00B72047" w:rsidRDefault="00B72047">
      <w:pPr>
        <w:pStyle w:val="normalafterexample"/>
      </w:pPr>
      <w:r>
        <w:rPr>
          <w:rStyle w:val="htmlcodes"/>
        </w:rPr>
        <w:t>&lt;/pre&gt;</w:t>
      </w:r>
      <w:r>
        <w:rPr>
          <w:rStyle w:val="indexentry"/>
        </w:rPr>
        <w:t>&lt;cx "mathematical notation, infix"&gt;</w:t>
      </w:r>
      <w:r>
        <w:rPr>
          <w:rStyle w:val="indexentry"/>
        </w:rPr>
        <w:fldChar w:fldCharType="begin"/>
      </w:r>
      <w:r>
        <w:instrText>xe "</w:instrText>
      </w:r>
      <w:r>
        <w:rPr>
          <w:rStyle w:val="xeentry"/>
        </w:rPr>
        <w:instrText>mathematical notation: infix</w:instrText>
      </w:r>
      <w:r>
        <w:instrText>"</w:instrText>
      </w:r>
      <w:r>
        <w:rPr>
          <w:rStyle w:val="indexentry"/>
        </w:rPr>
        <w:fldChar w:fldCharType="end"/>
      </w:r>
      <w:r>
        <w:rPr>
          <w:rStyle w:val="indexentry"/>
        </w:rPr>
        <w:t>&lt;ex "1 + 1 = 2"&gt;</w:t>
      </w:r>
      <w:r>
        <w:rPr>
          <w:rStyle w:val="indexentry"/>
        </w:rPr>
        <w:fldChar w:fldCharType="begin"/>
      </w:r>
      <w:r>
        <w:instrText>xe "</w:instrText>
      </w:r>
      <w:r>
        <w:rPr>
          <w:rStyle w:val="xeentry"/>
        </w:rPr>
        <w:instrText>1 + 1 = 2: example</w:instrText>
      </w:r>
      <w:r>
        <w:instrText>"</w:instrText>
      </w:r>
      <w:r>
        <w:rPr>
          <w:rStyle w:val="indexentry"/>
        </w:rPr>
        <w:fldChar w:fldCharType="end"/>
      </w:r>
      <w:r>
        <w:rPr>
          <w:rStyle w:val="indexentry"/>
        </w:rPr>
        <w:t>&lt;lx "su'i"&gt;</w:t>
      </w:r>
      <w:r>
        <w:rPr>
          <w:rStyle w:val="indexentry"/>
        </w:rPr>
        <w:fldChar w:fldCharType="begin"/>
      </w:r>
      <w:r>
        <w:instrText>xe "</w:instrText>
      </w:r>
      <w:r>
        <w:rPr>
          <w:rStyle w:val="xeentry"/>
        </w:rPr>
        <w:instrText>su'i</w:instrText>
      </w:r>
      <w:r>
        <w:instrText>"</w:instrText>
      </w:r>
      <w:r>
        <w:rPr>
          <w:rStyle w:val="indexentry"/>
        </w:rPr>
        <w:fldChar w:fldCharType="end"/>
      </w:r>
      <w:r>
        <w:rPr>
          <w:rStyle w:val="indexentry"/>
        </w:rPr>
        <w:t>&lt;lx "VUhU"&gt;</w:t>
      </w:r>
      <w:r>
        <w:rPr>
          <w:rStyle w:val="indexentry"/>
        </w:rPr>
        <w:fldChar w:fldCharType="begin"/>
      </w:r>
      <w:r>
        <w:instrText>xe "</w:instrText>
      </w:r>
      <w:r>
        <w:rPr>
          <w:rStyle w:val="xeentry"/>
        </w:rPr>
        <w:instrText>VUhU selma’o</w:instrText>
      </w:r>
      <w:r>
        <w:instrText>"</w:instrText>
      </w:r>
      <w:r>
        <w:rPr>
          <w:rStyle w:val="indexentry"/>
        </w:rPr>
        <w:fldChar w:fldCharType="end"/>
      </w:r>
      <w:r>
        <w:t>Let us begin at the beginning: one plus one equals two. In Lojban,</w:t>
      </w:r>
      <w:r>
        <w:rPr>
          <w:rStyle w:val="deletedparamark"/>
        </w:rPr>
        <w:t xml:space="preserve"> </w:t>
      </w:r>
      <w:r>
        <w:t>that sen</w:t>
      </w:r>
      <w:r>
        <w:softHyphen/>
        <w:t>tence translates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li pa su'i pa du li re</w:t>
      </w:r>
    </w:p>
    <w:p w:rsidR="00B72047" w:rsidRDefault="00B72047">
      <w:pPr>
        <w:pStyle w:val="examplescaled"/>
      </w:pPr>
      <w:r>
        <w:tab/>
        <w:t>The-number one plus one equals the-number two.</w:t>
      </w:r>
    </w:p>
    <w:p w:rsidR="00B72047" w:rsidRDefault="00B72047">
      <w:pPr>
        <w:pStyle w:val="examplescaled"/>
      </w:pPr>
      <w:r>
        <w:tab/>
      </w:r>
      <w:r>
        <w:rPr>
          <w:rStyle w:val="htmlcodes"/>
        </w:rPr>
        <w:t>&lt;math&gt;</w:t>
      </w:r>
      <w:r>
        <w:rPr>
          <w:rStyle w:val="math"/>
        </w:rPr>
        <w:t>1 + 1 = 2</w:t>
      </w:r>
      <w:r>
        <w:rPr>
          <w:rStyle w:val="htmlcodes"/>
        </w:rPr>
        <w:t>&lt;/math&gt;</w:t>
      </w:r>
    </w:p>
    <w:p w:rsidR="00B72047" w:rsidRDefault="00B72047">
      <w:pPr>
        <w:pStyle w:val="resumedafterexample"/>
      </w:pPr>
      <w:r>
        <w:rPr>
          <w:rStyle w:val="htmlcodes"/>
        </w:rPr>
        <w:t>&lt;/pre&gt;</w:t>
      </w:r>
      <w:r>
        <w:rPr>
          <w:rStyle w:val="indexentry"/>
        </w:rPr>
        <w:t>&lt;cx "mathematical equality, expressing"&gt;</w:t>
      </w:r>
      <w:r>
        <w:rPr>
          <w:rStyle w:val="indexentry"/>
        </w:rPr>
        <w:fldChar w:fldCharType="begin"/>
      </w:r>
      <w:r>
        <w:instrText>xe "</w:instrText>
      </w:r>
      <w:r>
        <w:rPr>
          <w:rStyle w:val="xeentry"/>
        </w:rPr>
        <w:instrText>mathematical equality: expressing</w:instrText>
      </w:r>
      <w:r>
        <w:instrText>"</w:instrText>
      </w:r>
      <w:r>
        <w:rPr>
          <w:rStyle w:val="indexentry"/>
        </w:rPr>
        <w:fldChar w:fldCharType="end"/>
      </w:r>
      <w:r>
        <w:rPr>
          <w:rStyle w:val="indexentry"/>
        </w:rPr>
        <w:t>&lt;cx "du, grammar of"&gt;</w:t>
      </w:r>
      <w:r>
        <w:rPr>
          <w:rStyle w:val="indexentry"/>
        </w:rPr>
        <w:fldChar w:fldCharType="begin"/>
      </w:r>
      <w:r>
        <w:instrText>xe "</w:instrText>
      </w:r>
      <w:r>
        <w:rPr>
          <w:rStyle w:val="xeentry"/>
        </w:rPr>
        <w:instrText>du: grammar of</w:instrText>
      </w:r>
      <w:r>
        <w:instrText>"</w:instrText>
      </w:r>
      <w:r>
        <w:rPr>
          <w:rStyle w:val="indexentry"/>
        </w:rPr>
        <w:fldChar w:fldCharType="end"/>
      </w:r>
      <w:r>
        <w:rPr>
          <w:rStyle w:val="htmlcodes"/>
        </w:rPr>
        <w:t>&lt;a href=#e5d1&gt;</w:t>
      </w:r>
      <w:r>
        <w:t>Example 5.1</w:t>
      </w:r>
      <w:r>
        <w:rPr>
          <w:rStyle w:val="htmlcodes"/>
        </w:rPr>
        <w:t>&lt;/a&gt;</w:t>
      </w:r>
      <w:r>
        <w:t>, a mekso sentence, is a regular Lojban bridi that exploits mekso</w:t>
      </w:r>
      <w:r>
        <w:rPr>
          <w:rStyle w:val="deletedparamark"/>
        </w:rPr>
        <w:t xml:space="preserve"> </w:t>
      </w:r>
      <w:r>
        <w:t>features. “du” is the predicate meaning “x1 is mathematically equal to x2”.</w:t>
      </w:r>
      <w:r>
        <w:rPr>
          <w:rStyle w:val="deletedparamark"/>
        </w:rPr>
        <w:t xml:space="preserve"> </w:t>
      </w:r>
      <w:r>
        <w:t>It is a cmavo for co</w:t>
      </w:r>
      <w:r>
        <w:t>n</w:t>
      </w:r>
      <w:r>
        <w:softHyphen/>
        <w:t>ciseness, but it has the same grammatical uses as</w:t>
      </w:r>
      <w:r>
        <w:rPr>
          <w:rStyle w:val="deletedparamark"/>
        </w:rPr>
        <w:t xml:space="preserve"> </w:t>
      </w:r>
      <w:r>
        <w:t>any brivla. Outside mathematical co</w:t>
      </w:r>
      <w:r>
        <w:t>n</w:t>
      </w:r>
      <w:r>
        <w:softHyphen/>
        <w:t>texts, “du” means “x1 is identical</w:t>
      </w:r>
      <w:r>
        <w:rPr>
          <w:rStyle w:val="deletedparamark"/>
        </w:rPr>
        <w:t xml:space="preserve"> </w:t>
      </w:r>
      <w:r>
        <w:t>with x2” or “x1 is the same object as x2”.</w:t>
      </w:r>
    </w:p>
    <w:p w:rsidR="00B72047" w:rsidRDefault="00B72047">
      <w:pPr>
        <w:rPr>
          <w:rStyle w:val="htmlparacode"/>
        </w:rPr>
      </w:pPr>
      <w:r>
        <w:rPr>
          <w:rStyle w:val="htmlparacode"/>
        </w:rPr>
        <w:t>&lt;p&gt;</w:t>
      </w:r>
    </w:p>
    <w:p w:rsidR="00B72047" w:rsidRDefault="00B72047">
      <w:pPr>
        <w:pStyle w:val="normalparagraph"/>
      </w:pPr>
      <w:r>
        <w:rPr>
          <w:rStyle w:val="indexentry"/>
        </w:rPr>
        <w:t>&lt;cx "article, number"&gt;</w:t>
      </w:r>
      <w:r>
        <w:rPr>
          <w:rStyle w:val="indexentry"/>
        </w:rPr>
        <w:fldChar w:fldCharType="begin"/>
      </w:r>
      <w:r>
        <w:instrText>xe "</w:instrText>
      </w:r>
      <w:r>
        <w:rPr>
          <w:rStyle w:val="xeentry"/>
        </w:rPr>
        <w:instrText>article: number</w:instrText>
      </w:r>
      <w:r>
        <w:instrText>"</w:instrText>
      </w:r>
      <w:r>
        <w:rPr>
          <w:rStyle w:val="indexentry"/>
        </w:rPr>
        <w:fldChar w:fldCharType="end"/>
      </w:r>
      <w:r>
        <w:rPr>
          <w:rStyle w:val="indexentry"/>
        </w:rPr>
        <w:t>&lt;cx "the, for talking about numbers themselves"&gt;</w:t>
      </w:r>
      <w:r>
        <w:rPr>
          <w:rStyle w:val="indexentry"/>
        </w:rPr>
        <w:fldChar w:fldCharType="begin"/>
      </w:r>
      <w:r>
        <w:instrText>xe "</w:instrText>
      </w:r>
      <w:r>
        <w:rPr>
          <w:rStyle w:val="xeentry"/>
        </w:rPr>
        <w:instrText>the: for talking about numbers themselves</w:instrText>
      </w:r>
      <w:r>
        <w:instrText>"</w:instrText>
      </w:r>
      <w:r>
        <w:rPr>
          <w:rStyle w:val="indexentry"/>
        </w:rPr>
        <w:fldChar w:fldCharType="end"/>
      </w:r>
      <w:r>
        <w:rPr>
          <w:rStyle w:val="indexentry"/>
        </w:rPr>
        <w:t>&lt;lx "li"&gt;</w:t>
      </w:r>
      <w:r>
        <w:rPr>
          <w:rStyle w:val="indexentry"/>
        </w:rPr>
        <w:fldChar w:fldCharType="begin"/>
      </w:r>
      <w:r>
        <w:instrText>xe "</w:instrText>
      </w:r>
      <w:r>
        <w:rPr>
          <w:rStyle w:val="xeentry"/>
        </w:rPr>
        <w:instrText>li</w:instrText>
      </w:r>
      <w:r>
        <w:instrText>"</w:instrText>
      </w:r>
      <w:r>
        <w:rPr>
          <w:rStyle w:val="indexentry"/>
        </w:rPr>
        <w:fldChar w:fldCharType="end"/>
      </w:r>
      <w:r>
        <w:rPr>
          <w:rStyle w:val="indexentry"/>
        </w:rPr>
        <w:t>&lt;cx "number article, explanation of use"&gt;</w:t>
      </w:r>
      <w:r>
        <w:rPr>
          <w:rStyle w:val="indexentry"/>
        </w:rPr>
        <w:fldChar w:fldCharType="begin"/>
      </w:r>
      <w:r>
        <w:instrText>xe "</w:instrText>
      </w:r>
      <w:r>
        <w:rPr>
          <w:rStyle w:val="xeentry"/>
        </w:rPr>
        <w:instrText>number article: explanation of use</w:instrText>
      </w:r>
      <w:r>
        <w:instrText>"</w:instrText>
      </w:r>
      <w:r>
        <w:rPr>
          <w:rStyle w:val="indexentry"/>
        </w:rPr>
        <w:fldChar w:fldCharType="end"/>
      </w:r>
      <w:r>
        <w:rPr>
          <w:rStyle w:val="indexentry"/>
        </w:rPr>
        <w:t>&lt;cx "numbers, talking about contrasted with using for quantification"&gt;</w:t>
      </w:r>
      <w:r>
        <w:rPr>
          <w:rStyle w:val="indexentry"/>
        </w:rPr>
        <w:fldChar w:fldCharType="begin"/>
      </w:r>
      <w:r>
        <w:instrText>xe "</w:instrText>
      </w:r>
      <w:r>
        <w:rPr>
          <w:rStyle w:val="xeentry"/>
        </w:rPr>
        <w:instrText>numbers: talking about contrasted with using for quantification</w:instrText>
      </w:r>
      <w:r>
        <w:instrText>"</w:instrText>
      </w:r>
      <w:r>
        <w:rPr>
          <w:rStyle w:val="indexentry"/>
        </w:rPr>
        <w:fldChar w:fldCharType="end"/>
      </w:r>
      <w:r>
        <w:rPr>
          <w:rStyle w:val="indexentry"/>
        </w:rPr>
        <w:t>&lt;cx "numbers, using for quantification contrasted with talking about"&gt;</w:t>
      </w:r>
      <w:r>
        <w:rPr>
          <w:rStyle w:val="indexentry"/>
        </w:rPr>
        <w:fldChar w:fldCharType="begin"/>
      </w:r>
      <w:r>
        <w:instrText>xe "</w:instrText>
      </w:r>
      <w:r>
        <w:rPr>
          <w:rStyle w:val="xeentry"/>
        </w:rPr>
        <w:instrText>numbers: using for quantification contrasted with talking about</w:instrText>
      </w:r>
      <w:r>
        <w:instrText>"</w:instrText>
      </w:r>
      <w:r>
        <w:rPr>
          <w:rStyle w:val="indexentry"/>
        </w:rPr>
        <w:fldChar w:fldCharType="end"/>
      </w:r>
      <w:r>
        <w:t>The cmavo “li” is the number article. It is required whenever a sentence</w:t>
      </w:r>
      <w:r>
        <w:rPr>
          <w:rStyle w:val="deletedparamark"/>
        </w:rPr>
        <w:t xml:space="preserve"> </w:t>
      </w:r>
      <w:r>
        <w:t>talks about numbers as numbers, as opposed to using numbers to quantify</w:t>
      </w:r>
      <w:r>
        <w:rPr>
          <w:rStyle w:val="deletedparamark"/>
        </w:rPr>
        <w:t xml:space="preserve"> </w:t>
      </w:r>
      <w:r>
        <w:t>things. For exam</w:t>
      </w:r>
      <w:r>
        <w:softHyphen/>
        <w:t>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le ci prenu</w:t>
      </w:r>
    </w:p>
    <w:p w:rsidR="00B72047" w:rsidRDefault="00B72047">
      <w:pPr>
        <w:pStyle w:val="examplescaled"/>
      </w:pPr>
      <w:r>
        <w:tab/>
        <w:t>the three persons</w:t>
      </w:r>
    </w:p>
    <w:p w:rsidR="00B72047" w:rsidRDefault="00B72047">
      <w:pPr>
        <w:pStyle w:val="resumedafterexample"/>
      </w:pPr>
      <w:r>
        <w:rPr>
          <w:rStyle w:val="htmlcodes"/>
        </w:rPr>
        <w:t>&lt;/pre&gt;</w:t>
      </w:r>
      <w:r>
        <w:t>requires no “li” article, because the “ci” is being used to specify the</w:t>
      </w:r>
      <w:r>
        <w:rPr>
          <w:rStyle w:val="deletedparamark"/>
        </w:rPr>
        <w:t xml:space="preserve"> </w:t>
      </w:r>
      <w:r>
        <w:t>number of “prenu”. However, the sentence</w:t>
      </w:r>
    </w:p>
    <w:p w:rsidR="00B72047" w:rsidRDefault="00B72047">
      <w:pPr>
        <w:rPr>
          <w:rStyle w:val="htmlparacode"/>
        </w:rPr>
      </w:pPr>
      <w:r>
        <w:rPr>
          <w:rStyle w:val="htmlparacode"/>
        </w:rPr>
        <w:t>&lt;p&gt;</w:t>
      </w:r>
    </w:p>
    <w:p w:rsidR="00B72047" w:rsidRDefault="00B72047">
      <w:pPr>
        <w:pStyle w:val="examplescaledpre"/>
      </w:pPr>
      <w:r>
        <w:rPr>
          <w:rStyle w:val="indexentry"/>
        </w:rPr>
        <w:t>&lt;ex "3 grams"&gt;</w:t>
      </w:r>
      <w:r>
        <w:rPr>
          <w:rStyle w:val="indexentry"/>
        </w:rPr>
        <w:fldChar w:fldCharType="begin"/>
      </w:r>
      <w:r>
        <w:instrText>xe "</w:instrText>
      </w:r>
      <w:r>
        <w:rPr>
          <w:rStyle w:val="xeentry"/>
        </w:rPr>
        <w:instrText>3 grams: example</w:instrText>
      </w:r>
      <w:r>
        <w:instrText>"</w:instrText>
      </w:r>
      <w:r>
        <w:rPr>
          <w:rStyle w:val="indexentry"/>
        </w:rPr>
        <w:fldChar w:fldCharType="end"/>
      </w:r>
      <w:r>
        <w:rPr>
          <w:rStyle w:val="htmlcodes"/>
        </w:rPr>
        <w:t>&lt;pre&gt;&lt;a name=e5d3&gt;</w:t>
      </w:r>
      <w:r>
        <w:t>5.3)</w:t>
      </w:r>
      <w:r>
        <w:tab/>
        <w:t>levi sfani cu grake li ci</w:t>
      </w:r>
    </w:p>
    <w:p w:rsidR="00B72047" w:rsidRDefault="00B72047">
      <w:pPr>
        <w:pStyle w:val="examplescaled"/>
      </w:pPr>
      <w:r>
        <w:tab/>
        <w:t>This fly masses-in-grams the-number three.</w:t>
      </w:r>
    </w:p>
    <w:p w:rsidR="00B72047" w:rsidRDefault="00B72047">
      <w:pPr>
        <w:pStyle w:val="examplescaled"/>
      </w:pPr>
      <w:r>
        <w:tab/>
        <w:t xml:space="preserve">This fly has a mass of </w:t>
      </w:r>
      <w:r>
        <w:rPr>
          <w:rStyle w:val="math"/>
        </w:rPr>
        <w:t>3</w:t>
      </w:r>
      <w:r>
        <w:t xml:space="preserve"> grams.</w:t>
      </w:r>
    </w:p>
    <w:p w:rsidR="00B72047" w:rsidRDefault="00B72047">
      <w:pPr>
        <w:pStyle w:val="resumedafterexample"/>
      </w:pPr>
      <w:r>
        <w:rPr>
          <w:rStyle w:val="htmlcodes"/>
        </w:rPr>
        <w:t>&lt;/pre&gt;</w:t>
      </w:r>
      <w:r>
        <w:rPr>
          <w:rStyle w:val="indexentry"/>
        </w:rPr>
        <w:t>&lt;cx "measurements, expressing"&gt;</w:t>
      </w:r>
      <w:r>
        <w:rPr>
          <w:rStyle w:val="indexentry"/>
        </w:rPr>
        <w:fldChar w:fldCharType="begin"/>
      </w:r>
      <w:r>
        <w:instrText>xe "</w:instrText>
      </w:r>
      <w:r>
        <w:rPr>
          <w:rStyle w:val="xeentry"/>
        </w:rPr>
        <w:instrText>measurements: expressing</w:instrText>
      </w:r>
      <w:r>
        <w:instrText>"</w:instrText>
      </w:r>
      <w:r>
        <w:rPr>
          <w:rStyle w:val="indexentry"/>
        </w:rPr>
        <w:fldChar w:fldCharType="end"/>
      </w:r>
      <w:r>
        <w:rPr>
          <w:rStyle w:val="indexentry"/>
        </w:rPr>
        <w:t>&lt;cx "units of measurement, expressing"&gt;</w:t>
      </w:r>
      <w:r>
        <w:rPr>
          <w:rStyle w:val="indexentry"/>
        </w:rPr>
        <w:fldChar w:fldCharType="begin"/>
      </w:r>
      <w:r>
        <w:instrText>xe "</w:instrText>
      </w:r>
      <w:r>
        <w:rPr>
          <w:rStyle w:val="xeentry"/>
        </w:rPr>
        <w:instrText>units of measurement: expressing</w:instrText>
      </w:r>
      <w:r>
        <w:instrText>"</w:instrText>
      </w:r>
      <w:r>
        <w:rPr>
          <w:rStyle w:val="indexentry"/>
        </w:rPr>
        <w:fldChar w:fldCharType="end"/>
      </w:r>
      <w:r>
        <w:t>requires “li” because “ci” is being used as a sumti. Note that this is</w:t>
      </w:r>
      <w:r>
        <w:rPr>
          <w:rStyle w:val="deletedparamark"/>
        </w:rPr>
        <w:t xml:space="preserve"> </w:t>
      </w:r>
      <w:r>
        <w:t>the way in which measurements are stated in Lojban: all the predicates for</w:t>
      </w:r>
      <w:r>
        <w:rPr>
          <w:rStyle w:val="deletedparamark"/>
        </w:rPr>
        <w:t xml:space="preserve"> </w:t>
      </w:r>
      <w:r>
        <w:t>units of length, mass, tem</w:t>
      </w:r>
      <w:r>
        <w:softHyphen/>
        <w:t>pera</w:t>
      </w:r>
      <w:r>
        <w:softHyphen/>
        <w:t>ture, and so on have the measured object</w:t>
      </w:r>
      <w:r>
        <w:rPr>
          <w:rStyle w:val="deletedparamark"/>
        </w:rPr>
        <w:t xml:space="preserve"> </w:t>
      </w:r>
      <w:r>
        <w:t>as the first place and a number as the sec</w:t>
      </w:r>
      <w:r>
        <w:softHyphen/>
        <w:t>ond place. Using “li” for</w:t>
      </w:r>
      <w:r>
        <w:rPr>
          <w:rStyle w:val="deletedparamark"/>
        </w:rPr>
        <w:t xml:space="preserve"> “</w:t>
      </w:r>
      <w:r>
        <w:t xml:space="preserve">le” in </w:t>
      </w:r>
      <w:r>
        <w:rPr>
          <w:rStyle w:val="htmlcodes"/>
        </w:rPr>
        <w:t>&lt;a href=#e5d2&gt;</w:t>
      </w:r>
      <w:r>
        <w:t xml:space="preserve">Example 5.2 </w:t>
      </w:r>
      <w:r>
        <w:rPr>
          <w:rStyle w:val="htmlcodes"/>
        </w:rPr>
        <w:t>&lt;/a&gt;</w:t>
      </w:r>
      <w:r>
        <w:t>would 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li ci prenu</w:t>
      </w:r>
    </w:p>
    <w:p w:rsidR="00B72047" w:rsidRDefault="00B72047">
      <w:pPr>
        <w:pStyle w:val="examplescaled"/>
      </w:pPr>
      <w:r>
        <w:tab/>
        <w:t xml:space="preserve">The-number </w:t>
      </w:r>
      <w:r>
        <w:rPr>
          <w:rStyle w:val="math"/>
        </w:rPr>
        <w:t>3</w:t>
      </w:r>
      <w:r>
        <w:t xml:space="preserve"> is-a-person.</w:t>
      </w:r>
    </w:p>
    <w:p w:rsidR="00B72047" w:rsidRDefault="00B72047">
      <w:pPr>
        <w:pStyle w:val="resumedafterexample"/>
      </w:pPr>
      <w:r>
        <w:rPr>
          <w:rStyle w:val="htmlcodes"/>
        </w:rPr>
        <w:t>&lt;/pre&gt;</w:t>
      </w:r>
      <w:r>
        <w:t>which is grammatical but nonsensical: numbers are not persons.</w:t>
      </w:r>
    </w:p>
    <w:p w:rsidR="00B72047" w:rsidRDefault="00B72047">
      <w:pPr>
        <w:rPr>
          <w:rStyle w:val="htmlparacode"/>
        </w:rPr>
      </w:pPr>
      <w:r>
        <w:rPr>
          <w:rStyle w:val="htmlparacode"/>
        </w:rPr>
        <w:t>&lt;p&gt;</w:t>
      </w:r>
    </w:p>
    <w:p w:rsidR="00B72047" w:rsidRDefault="00B72047">
      <w:pPr>
        <w:pStyle w:val="normalparagraph"/>
      </w:pPr>
      <w:r>
        <w:rPr>
          <w:rStyle w:val="indexentry"/>
        </w:rPr>
        <w:t>&lt;lx "su'i"&gt;</w:t>
      </w:r>
      <w:r>
        <w:rPr>
          <w:rStyle w:val="indexentry"/>
        </w:rPr>
        <w:fldChar w:fldCharType="begin"/>
      </w:r>
      <w:r>
        <w:instrText>xe "</w:instrText>
      </w:r>
      <w:r>
        <w:rPr>
          <w:rStyle w:val="xeentry"/>
        </w:rPr>
        <w:instrText>su'i</w:instrText>
      </w:r>
      <w:r>
        <w:instrText>"</w:instrText>
      </w:r>
      <w:r>
        <w:rPr>
          <w:rStyle w:val="indexentry"/>
        </w:rPr>
        <w:fldChar w:fldCharType="end"/>
      </w:r>
      <w:r>
        <w:rPr>
          <w:rStyle w:val="indexentry"/>
        </w:rPr>
        <w:t>&lt;lx "VUhU"&gt;</w:t>
      </w:r>
      <w:r>
        <w:rPr>
          <w:rStyle w:val="indexentry"/>
        </w:rPr>
        <w:fldChar w:fldCharType="begin"/>
      </w:r>
      <w:r>
        <w:instrText>xe "</w:instrText>
      </w:r>
      <w:r>
        <w:rPr>
          <w:rStyle w:val="xeentry"/>
        </w:rPr>
        <w:instrText>VUhU selma’o</w:instrText>
      </w:r>
      <w:r>
        <w:instrText>"</w:instrText>
      </w:r>
      <w:r>
        <w:rPr>
          <w:rStyle w:val="indexentry"/>
        </w:rPr>
        <w:fldChar w:fldCharType="end"/>
      </w:r>
      <w:r>
        <w:rPr>
          <w:rStyle w:val="indexentry"/>
        </w:rPr>
        <w:t>&lt;cx "mathematical operators"&gt;</w:t>
      </w:r>
      <w:r>
        <w:rPr>
          <w:rStyle w:val="indexentry"/>
        </w:rPr>
        <w:fldChar w:fldCharType="begin"/>
      </w:r>
      <w:r>
        <w:instrText>xe "</w:instrText>
      </w:r>
      <w:r>
        <w:rPr>
          <w:rStyle w:val="xeentry"/>
        </w:rPr>
        <w:instrText>mathematical operators</w:instrText>
      </w:r>
      <w:r>
        <w:instrText>"</w:instrText>
      </w:r>
      <w:r>
        <w:rPr>
          <w:rStyle w:val="indexentry"/>
        </w:rPr>
        <w:fldChar w:fldCharType="end"/>
      </w:r>
      <w:r>
        <w:rPr>
          <w:rStyle w:val="indexentry"/>
        </w:rPr>
        <w:t>&lt;cx "addition, a mathematical operator"&gt;</w:t>
      </w:r>
      <w:r>
        <w:rPr>
          <w:rStyle w:val="indexentry"/>
        </w:rPr>
        <w:fldChar w:fldCharType="begin"/>
      </w:r>
      <w:r>
        <w:instrText>xe "</w:instrText>
      </w:r>
      <w:r>
        <w:rPr>
          <w:rStyle w:val="xeentry"/>
        </w:rPr>
        <w:instrText>addition: a mathematical operator</w:instrText>
      </w:r>
      <w:r>
        <w:instrText>"</w:instrText>
      </w:r>
      <w:r>
        <w:rPr>
          <w:rStyle w:val="indexentry"/>
        </w:rPr>
        <w:fldChar w:fldCharType="end"/>
      </w:r>
      <w:r>
        <w:rPr>
          <w:rStyle w:val="indexentry"/>
        </w:rPr>
        <w:t>&lt;cx "positive sign, contrasted with addition operator"&gt;</w:t>
      </w:r>
      <w:r>
        <w:rPr>
          <w:rStyle w:val="indexentry"/>
        </w:rPr>
        <w:fldChar w:fldCharType="begin"/>
      </w:r>
      <w:r>
        <w:instrText>xe "</w:instrText>
      </w:r>
      <w:r>
        <w:rPr>
          <w:rStyle w:val="xeentry"/>
        </w:rPr>
        <w:instrText>positive sign: contrasted with addition operator</w:instrText>
      </w:r>
      <w:r>
        <w:instrText>"</w:instrText>
      </w:r>
      <w:r>
        <w:rPr>
          <w:rStyle w:val="indexentry"/>
        </w:rPr>
        <w:fldChar w:fldCharType="end"/>
      </w:r>
      <w:r>
        <w:rPr>
          <w:rStyle w:val="indexentry"/>
        </w:rPr>
        <w:t>&lt;cx "addition operator, contrasted with positive sign"&gt;</w:t>
      </w:r>
      <w:r>
        <w:rPr>
          <w:rStyle w:val="indexentry"/>
        </w:rPr>
        <w:fldChar w:fldCharType="begin"/>
      </w:r>
      <w:r>
        <w:instrText>xe "</w:instrText>
      </w:r>
      <w:r>
        <w:rPr>
          <w:rStyle w:val="xeentry"/>
        </w:rPr>
        <w:instrText>addition operator: contrasted with positive sign</w:instrText>
      </w:r>
      <w:r>
        <w:instrText>"</w:instrText>
      </w:r>
      <w:r>
        <w:rPr>
          <w:rStyle w:val="indexentry"/>
        </w:rPr>
        <w:fldChar w:fldCharType="end"/>
      </w:r>
      <w:r>
        <w:t>The cmavo “su'i” belongs to selma'o VUhU, which is composed of mathemati</w:t>
      </w:r>
      <w:r>
        <w:softHyphen/>
        <w:t>cal</w:t>
      </w:r>
      <w:r>
        <w:rPr>
          <w:rStyle w:val="deletedparamark"/>
        </w:rPr>
        <w:t xml:space="preserve"> </w:t>
      </w:r>
      <w:r>
        <w:t>o</w:t>
      </w:r>
      <w:r>
        <w:t>p</w:t>
      </w:r>
      <w:r>
        <w:softHyphen/>
        <w:t>erators, and means “addition”. As mentioned before, it is distinct from</w:t>
      </w:r>
      <w:r>
        <w:rPr>
          <w:rStyle w:val="deletedparamark"/>
        </w:rPr>
        <w:t xml:space="preserve"> “</w:t>
      </w:r>
      <w:r>
        <w:t>ma'u” which means the positive sign as an indication of a positive number:</w:t>
      </w:r>
    </w:p>
    <w:p w:rsidR="00B72047" w:rsidRDefault="00B72047">
      <w:pPr>
        <w:rPr>
          <w:rStyle w:val="htmlparacode"/>
        </w:rPr>
      </w:pPr>
      <w:r>
        <w:rPr>
          <w:rStyle w:val="htmlparacode"/>
        </w:rPr>
        <w:t>&lt;p&gt;</w:t>
      </w:r>
    </w:p>
    <w:p w:rsidR="00B72047" w:rsidRDefault="00B72047">
      <w:pPr>
        <w:pStyle w:val="examplescaledpre"/>
      </w:pPr>
      <w:r>
        <w:rPr>
          <w:rStyle w:val="indexentry"/>
        </w:rPr>
        <w:t>&lt;ex "+1 + -1 = 0"&gt;</w:t>
      </w:r>
      <w:r>
        <w:rPr>
          <w:rStyle w:val="indexentry"/>
        </w:rPr>
        <w:fldChar w:fldCharType="begin"/>
      </w:r>
      <w:r>
        <w:instrText>xe "</w:instrText>
      </w:r>
      <w:r>
        <w:rPr>
          <w:rStyle w:val="xeentry"/>
        </w:rPr>
        <w:instrText>+1 + -1 = 0: example</w:instrText>
      </w:r>
      <w:r>
        <w:instrText>"</w:instrText>
      </w:r>
      <w:r>
        <w:rPr>
          <w:rStyle w:val="indexentry"/>
        </w:rPr>
        <w:fldChar w:fldCharType="end"/>
      </w:r>
      <w:r>
        <w:rPr>
          <w:rStyle w:val="htmlcodes"/>
        </w:rPr>
        <w:t>&lt;pre&gt;&lt;a name=e5d5&gt;</w:t>
      </w:r>
      <w:r>
        <w:t>5.5)</w:t>
      </w:r>
      <w:r>
        <w:tab/>
        <w:t xml:space="preserve">li ma'u pa su'i ni'u pa du </w:t>
      </w:r>
    </w:p>
    <w:p w:rsidR="00B72047" w:rsidRDefault="00B72047">
      <w:pPr>
        <w:pStyle w:val="examplescaled"/>
        <w:ind w:firstLine="576"/>
      </w:pPr>
      <w:r>
        <w:t>li no</w:t>
      </w:r>
    </w:p>
    <w:p w:rsidR="00B72047" w:rsidRDefault="00B72047">
      <w:pPr>
        <w:pStyle w:val="examplescaled"/>
      </w:pPr>
      <w:r>
        <w:tab/>
        <w:t xml:space="preserve">The-number positive-sign one plus negative-sign one equals </w:t>
      </w:r>
    </w:p>
    <w:p w:rsidR="00B72047" w:rsidRDefault="00B72047">
      <w:pPr>
        <w:pStyle w:val="examplescaled"/>
        <w:ind w:firstLine="576"/>
      </w:pPr>
      <w:r>
        <w:t>the-number zero.</w:t>
      </w:r>
    </w:p>
    <w:p w:rsidR="00B72047" w:rsidRDefault="00B72047">
      <w:pPr>
        <w:pStyle w:val="examplescaled"/>
      </w:pPr>
      <w:r>
        <w:tab/>
      </w:r>
      <w:r>
        <w:rPr>
          <w:rStyle w:val="htmlcodes"/>
        </w:rPr>
        <w:t>&lt;math&gt;</w:t>
      </w:r>
      <w:r>
        <w:rPr>
          <w:rStyle w:val="math"/>
        </w:rPr>
        <w:t>+1 + -1 = 0</w:t>
      </w:r>
      <w:r>
        <w:rPr>
          <w:rStyle w:val="htmlcodes"/>
        </w:rPr>
        <w:t>&lt;/math&gt;</w:t>
      </w:r>
    </w:p>
    <w:p w:rsidR="00B72047" w:rsidRDefault="00B72047">
      <w:pPr>
        <w:pStyle w:val="normalafterexample"/>
      </w:pPr>
      <w:r>
        <w:rPr>
          <w:rStyle w:val="htmlcodes"/>
        </w:rPr>
        <w:t>&lt;/pre&gt;&lt;p&gt;</w:t>
      </w:r>
      <w:r>
        <w:t>Of course, it is legal to have complex mekso on both sides of “du”:</w:t>
      </w:r>
    </w:p>
    <w:p w:rsidR="00B72047" w:rsidRDefault="00B72047">
      <w:pPr>
        <w:rPr>
          <w:rStyle w:val="htmlparacode"/>
        </w:rPr>
      </w:pPr>
      <w:r>
        <w:rPr>
          <w:rStyle w:val="htmlparacode"/>
        </w:rPr>
        <w:t>&lt;p&gt;</w:t>
      </w:r>
    </w:p>
    <w:p w:rsidR="00B72047" w:rsidRDefault="00B72047">
      <w:pPr>
        <w:pStyle w:val="examplescaledpre"/>
      </w:pPr>
      <w:r>
        <w:rPr>
          <w:rStyle w:val="indexentry"/>
        </w:rPr>
        <w:t>&lt;cx "du, with complex mekso on both sides"&gt;</w:t>
      </w:r>
      <w:r>
        <w:rPr>
          <w:rStyle w:val="indexentry"/>
        </w:rPr>
        <w:fldChar w:fldCharType="begin"/>
      </w:r>
      <w:r>
        <w:instrText>xe "</w:instrText>
      </w:r>
      <w:r>
        <w:rPr>
          <w:rStyle w:val="xeentry"/>
        </w:rPr>
        <w:instrText>du: with complex mekso on both sides</w:instrText>
      </w:r>
      <w:r>
        <w:instrText>"</w:instrText>
      </w:r>
      <w:r>
        <w:rPr>
          <w:rStyle w:val="indexentry"/>
        </w:rPr>
        <w:fldChar w:fldCharType="end"/>
      </w:r>
      <w:r>
        <w:rPr>
          <w:rStyle w:val="htmlcodes"/>
        </w:rPr>
        <w:t>&lt;pre&gt;&lt;a name=e5d6&gt;</w:t>
      </w:r>
      <w:r>
        <w:t>5.6)</w:t>
      </w:r>
      <w:r>
        <w:tab/>
        <w:t>li mu su'i pa du li ci su'i ci</w:t>
      </w:r>
    </w:p>
    <w:p w:rsidR="00B72047" w:rsidRDefault="00B72047">
      <w:pPr>
        <w:pStyle w:val="examplescaled"/>
      </w:pPr>
      <w:r>
        <w:tab/>
        <w:t>The-number five plus one equals the-number three plus three.</w:t>
      </w:r>
    </w:p>
    <w:p w:rsidR="00B72047" w:rsidRDefault="00B72047">
      <w:pPr>
        <w:pStyle w:val="examplescaled"/>
      </w:pPr>
      <w:r>
        <w:tab/>
      </w:r>
      <w:r>
        <w:rPr>
          <w:rStyle w:val="htmlcodes"/>
        </w:rPr>
        <w:t>&lt;math&gt;</w:t>
      </w:r>
      <w:r>
        <w:rPr>
          <w:rStyle w:val="math"/>
        </w:rPr>
        <w:t>5 + 1 = 3 + 3</w:t>
      </w:r>
      <w:r>
        <w:rPr>
          <w:rStyle w:val="htmlcodes"/>
        </w:rPr>
        <w:t>&lt;/math&gt;</w:t>
      </w:r>
    </w:p>
    <w:p w:rsidR="00B72047" w:rsidRDefault="00B72047">
      <w:pPr>
        <w:pStyle w:val="resumedafterexample"/>
      </w:pPr>
      <w:r>
        <w:rPr>
          <w:rStyle w:val="htmlcodes"/>
        </w:rPr>
        <w:t>&lt;/pre&gt;</w:t>
      </w:r>
      <w:r>
        <w:rPr>
          <w:rStyle w:val="indexentry"/>
        </w:rPr>
        <w:t>&lt;cx "operators of VUhU, grammar of operands"&gt;</w:t>
      </w:r>
      <w:r>
        <w:rPr>
          <w:rStyle w:val="indexentry"/>
        </w:rPr>
        <w:fldChar w:fldCharType="begin"/>
      </w:r>
      <w:r>
        <w:instrText>xe "</w:instrText>
      </w:r>
      <w:r>
        <w:rPr>
          <w:rStyle w:val="xeentry"/>
        </w:rPr>
        <w:instrText>operators of VUhU: grammar of operands</w:instrText>
      </w:r>
      <w:r>
        <w:instrText>"</w:instrText>
      </w:r>
      <w:r>
        <w:rPr>
          <w:rStyle w:val="indexentry"/>
        </w:rPr>
        <w:fldChar w:fldCharType="end"/>
      </w:r>
      <w:r>
        <w:rPr>
          <w:rStyle w:val="indexentry"/>
        </w:rPr>
        <w:t>&lt;cx "VUhU operands"&gt;</w:t>
      </w:r>
      <w:r>
        <w:rPr>
          <w:rStyle w:val="indexentry"/>
        </w:rPr>
        <w:fldChar w:fldCharType="begin"/>
      </w:r>
      <w:r>
        <w:instrText>xe "</w:instrText>
      </w:r>
      <w:r>
        <w:rPr>
          <w:rStyle w:val="xeentry"/>
        </w:rPr>
        <w:instrText>VUhU operands</w:instrText>
      </w:r>
      <w:r>
        <w:instrText>"</w:instrText>
      </w:r>
      <w:r>
        <w:rPr>
          <w:rStyle w:val="indexentry"/>
        </w:rPr>
        <w:fldChar w:fldCharType="end"/>
      </w:r>
      <w:r>
        <w:rPr>
          <w:rStyle w:val="indexentry"/>
        </w:rPr>
        <w:t>&lt;cx "operands, contrasted with general sumti"&gt;</w:t>
      </w:r>
      <w:r>
        <w:rPr>
          <w:rStyle w:val="indexentry"/>
        </w:rPr>
        <w:fldChar w:fldCharType="begin"/>
      </w:r>
      <w:r>
        <w:instrText>xe "</w:instrText>
      </w:r>
      <w:r>
        <w:rPr>
          <w:rStyle w:val="xeentry"/>
        </w:rPr>
        <w:instrText>operands: contrasted with general sumti</w:instrText>
      </w:r>
      <w:r>
        <w:instrText>"</w:instrText>
      </w:r>
      <w:r>
        <w:rPr>
          <w:rStyle w:val="indexentry"/>
        </w:rPr>
        <w:fldChar w:fldCharType="end"/>
      </w:r>
      <w:r>
        <w:rPr>
          <w:rStyle w:val="indexentry"/>
        </w:rPr>
        <w:t>&lt;cx "general sumti, contrasted with operands"&gt;</w:t>
      </w:r>
      <w:r>
        <w:rPr>
          <w:rStyle w:val="indexentry"/>
        </w:rPr>
        <w:fldChar w:fldCharType="begin"/>
      </w:r>
      <w:r>
        <w:instrText>xe "</w:instrText>
      </w:r>
      <w:r>
        <w:rPr>
          <w:rStyle w:val="xeentry"/>
        </w:rPr>
        <w:instrText>general sumti: contrasted with operands</w:instrText>
      </w:r>
      <w:r>
        <w:instrText>"</w:instrText>
      </w:r>
      <w:r>
        <w:rPr>
          <w:rStyle w:val="indexentry"/>
        </w:rPr>
        <w:fldChar w:fldCharType="end"/>
      </w:r>
      <w:r>
        <w:rPr>
          <w:rStyle w:val="indexentry"/>
        </w:rPr>
        <w:t>&lt;cx "li, as converter of mekso into sumti"&gt;</w:t>
      </w:r>
      <w:r>
        <w:rPr>
          <w:rStyle w:val="indexentry"/>
        </w:rPr>
        <w:fldChar w:fldCharType="begin"/>
      </w:r>
      <w:r>
        <w:instrText>xe "</w:instrText>
      </w:r>
      <w:r>
        <w:rPr>
          <w:rStyle w:val="xeentry"/>
        </w:rPr>
        <w:instrText>li: as converter of mekso into sumti</w:instrText>
      </w:r>
      <w:r>
        <w:instrText>"</w:instrText>
      </w:r>
      <w:r>
        <w:rPr>
          <w:rStyle w:val="indexentry"/>
        </w:rPr>
        <w:fldChar w:fldCharType="end"/>
      </w:r>
      <w:r>
        <w:rPr>
          <w:rStyle w:val="indexentry"/>
        </w:rPr>
        <w:t>&lt;cx "conversion of mekso into sumti"&gt;</w:t>
      </w:r>
      <w:r>
        <w:rPr>
          <w:rStyle w:val="indexentry"/>
        </w:rPr>
        <w:fldChar w:fldCharType="begin"/>
      </w:r>
      <w:r>
        <w:instrText>xe "</w:instrText>
      </w:r>
      <w:r>
        <w:rPr>
          <w:rStyle w:val="xeentry"/>
        </w:rPr>
        <w:instrText>conversion of mekso into sumti</w:instrText>
      </w:r>
      <w:r>
        <w:instrText>"</w:instrText>
      </w:r>
      <w:r>
        <w:rPr>
          <w:rStyle w:val="indexentry"/>
        </w:rPr>
        <w:fldChar w:fldCharType="end"/>
      </w:r>
      <w:r>
        <w:rPr>
          <w:rStyle w:val="indexentry"/>
        </w:rPr>
        <w:t>&lt;cx "conversion into sumti from mekso"&gt;</w:t>
      </w:r>
      <w:r>
        <w:rPr>
          <w:rStyle w:val="indexentry"/>
        </w:rPr>
        <w:fldChar w:fldCharType="begin"/>
      </w:r>
      <w:r>
        <w:instrText>xe "</w:instrText>
      </w:r>
      <w:r>
        <w:rPr>
          <w:rStyle w:val="xeentry"/>
        </w:rPr>
        <w:instrText>conversion into sumti from mekso</w:instrText>
      </w:r>
      <w:r>
        <w:instrText>"</w:instrText>
      </w:r>
      <w:r>
        <w:rPr>
          <w:rStyle w:val="indexentry"/>
        </w:rPr>
        <w:fldChar w:fldCharType="end"/>
      </w:r>
      <w:r>
        <w:t>Why don't we say “li mu su'i li pa” rather than just “li mu su'i pa”?</w:t>
      </w:r>
      <w:r>
        <w:rPr>
          <w:rStyle w:val="deletedparamark"/>
        </w:rPr>
        <w:t xml:space="preserve"> </w:t>
      </w:r>
      <w:r>
        <w:t>The answer is that VUhU operators connect mekso operands (numbers,</w:t>
      </w:r>
      <w:r>
        <w:rPr>
          <w:rStyle w:val="deletedparamark"/>
        </w:rPr>
        <w:t xml:space="preserve"> </w:t>
      </w:r>
      <w:r>
        <w:t xml:space="preserve">in </w:t>
      </w:r>
      <w:r>
        <w:rPr>
          <w:rStyle w:val="htmlcodes"/>
        </w:rPr>
        <w:t>&lt;a href=#e5d6&gt;</w:t>
      </w:r>
      <w:r>
        <w:t>Example 5.6</w:t>
      </w:r>
      <w:r>
        <w:rPr>
          <w:rStyle w:val="htmlcodes"/>
        </w:rPr>
        <w:t>&lt;/a&gt;</w:t>
      </w:r>
      <w:r>
        <w:t>), not general sumti. “li” is used to make the entire</w:t>
      </w:r>
      <w:r>
        <w:rPr>
          <w:rStyle w:val="deletedparamark"/>
        </w:rPr>
        <w:t xml:space="preserve"> </w:t>
      </w:r>
      <w:r>
        <w:t>mekso into a sumti, which then plays the roles applicable to other sumti:</w:t>
      </w:r>
      <w:r>
        <w:rPr>
          <w:rStyle w:val="deletedparamark"/>
        </w:rPr>
        <w:t xml:space="preserve"> </w:t>
      </w:r>
      <w:r>
        <w:t xml:space="preserve">in </w:t>
      </w:r>
      <w:r>
        <w:rPr>
          <w:rStyle w:val="htmlcodes"/>
        </w:rPr>
        <w:t>&lt;a href=#e5d6&gt;</w:t>
      </w:r>
      <w:r>
        <w:t>Example 5.6</w:t>
      </w:r>
      <w:r>
        <w:rPr>
          <w:rStyle w:val="htmlcodes"/>
        </w:rPr>
        <w:t>&lt;/a&gt;</w:t>
      </w:r>
      <w:r>
        <w:t>, filling the places of a bridi.</w:t>
      </w:r>
    </w:p>
    <w:p w:rsidR="00B72047" w:rsidRDefault="00B72047">
      <w:pPr>
        <w:rPr>
          <w:rStyle w:val="htmlparacode"/>
        </w:rPr>
      </w:pPr>
      <w:r>
        <w:rPr>
          <w:rStyle w:val="htmlparacode"/>
        </w:rPr>
        <w:t>&lt;p&gt;</w:t>
      </w:r>
    </w:p>
    <w:p w:rsidR="00B72047" w:rsidRDefault="00B72047">
      <w:pPr>
        <w:pStyle w:val="normalparagraph"/>
      </w:pPr>
      <w:r>
        <w:rPr>
          <w:rStyle w:val="indexentry"/>
        </w:rPr>
        <w:t>&lt;cx "calculator mathematics, as default in Lojban"&gt;</w:t>
      </w:r>
      <w:r>
        <w:rPr>
          <w:rStyle w:val="indexentry"/>
        </w:rPr>
        <w:fldChar w:fldCharType="begin"/>
      </w:r>
      <w:r>
        <w:instrText>xe "</w:instrText>
      </w:r>
      <w:r>
        <w:rPr>
          <w:rStyle w:val="xeentry"/>
        </w:rPr>
        <w:instrText>calculator mathematics: as default in Lojban</w:instrText>
      </w:r>
      <w:r>
        <w:instrText>"</w:instrText>
      </w:r>
      <w:r>
        <w:rPr>
          <w:rStyle w:val="indexentry"/>
        </w:rPr>
        <w:fldChar w:fldCharType="end"/>
      </w:r>
      <w:r>
        <w:rPr>
          <w:rStyle w:val="indexentry"/>
        </w:rPr>
        <w:t>&lt;cx "operator precedence, in Lojban default"&gt;</w:t>
      </w:r>
      <w:r>
        <w:rPr>
          <w:rStyle w:val="indexentry"/>
        </w:rPr>
        <w:fldChar w:fldCharType="begin"/>
      </w:r>
      <w:r>
        <w:instrText>xe "</w:instrText>
      </w:r>
      <w:r>
        <w:rPr>
          <w:rStyle w:val="xeentry"/>
        </w:rPr>
        <w:instrText>operator precedence: in Lojban default</w:instrText>
      </w:r>
      <w:r>
        <w:instrText>"</w:instrText>
      </w:r>
      <w:r>
        <w:rPr>
          <w:rStyle w:val="indexentry"/>
        </w:rPr>
        <w:fldChar w:fldCharType="end"/>
      </w:r>
      <w:r>
        <w:rPr>
          <w:rStyle w:val="indexentry"/>
        </w:rPr>
        <w:t>&lt;cx "operator left-right grouping, as Lojban default"&gt;</w:t>
      </w:r>
      <w:r>
        <w:rPr>
          <w:rStyle w:val="indexentry"/>
        </w:rPr>
        <w:fldChar w:fldCharType="begin"/>
      </w:r>
      <w:r>
        <w:instrText>xe "</w:instrText>
      </w:r>
      <w:r>
        <w:rPr>
          <w:rStyle w:val="xeentry"/>
        </w:rPr>
        <w:instrText>operator left-right grouping: as Lojban default</w:instrText>
      </w:r>
      <w:r>
        <w:instrText>"</w:instrText>
      </w:r>
      <w:r>
        <w:rPr>
          <w:rStyle w:val="indexentry"/>
        </w:rPr>
        <w:fldChar w:fldCharType="end"/>
      </w:r>
      <w:r>
        <w:rPr>
          <w:rStyle w:val="indexentry"/>
        </w:rPr>
        <w:t>&lt;cx "precedence, mathematical default"&gt;</w:t>
      </w:r>
      <w:r>
        <w:rPr>
          <w:rStyle w:val="indexentry"/>
        </w:rPr>
        <w:fldChar w:fldCharType="begin"/>
      </w:r>
      <w:r>
        <w:instrText>xe "</w:instrText>
      </w:r>
      <w:r>
        <w:rPr>
          <w:rStyle w:val="xeentry"/>
        </w:rPr>
        <w:instrText>precedence: mathematical default</w:instrText>
      </w:r>
      <w:r>
        <w:instrText>"</w:instrText>
      </w:r>
      <w:r>
        <w:rPr>
          <w:rStyle w:val="indexentry"/>
        </w:rPr>
        <w:fldChar w:fldCharType="end"/>
      </w:r>
      <w:r>
        <w:t>By default, Lojban mathematics is like simple calculator mathematics: there</w:t>
      </w:r>
      <w:r>
        <w:rPr>
          <w:rStyle w:val="deletedparamark"/>
        </w:rPr>
        <w:t xml:space="preserve"> </w:t>
      </w:r>
      <w:r>
        <w:t>is no notion of “operator precedence”. Consider the following example, where</w:t>
      </w:r>
      <w:r>
        <w:rPr>
          <w:rStyle w:val="deletedparamark"/>
        </w:rPr>
        <w:t xml:space="preserve"> “</w:t>
      </w:r>
      <w:r>
        <w:t>pi'i” means “times”, the multiplication operator:</w:t>
      </w:r>
    </w:p>
    <w:p w:rsidR="00B72047" w:rsidRDefault="00B72047">
      <w:pPr>
        <w:rPr>
          <w:rStyle w:val="htmlparacode"/>
        </w:rPr>
      </w:pPr>
      <w:r>
        <w:rPr>
          <w:rStyle w:val="htmlparacode"/>
        </w:rPr>
        <w:t>&lt;p&gt;</w:t>
      </w:r>
    </w:p>
    <w:p w:rsidR="00B72047" w:rsidRDefault="00B72047">
      <w:pPr>
        <w:pStyle w:val="examplescaledpre"/>
      </w:pPr>
      <w:r>
        <w:rPr>
          <w:rStyle w:val="indexentry"/>
        </w:rPr>
        <w:t>&lt;lx "pi'i"&gt;</w:t>
      </w:r>
      <w:r>
        <w:rPr>
          <w:rStyle w:val="indexentry"/>
        </w:rPr>
        <w:fldChar w:fldCharType="begin"/>
      </w:r>
      <w:r>
        <w:instrText>xe "</w:instrText>
      </w:r>
      <w:r>
        <w:rPr>
          <w:rStyle w:val="xeentry"/>
        </w:rPr>
        <w:instrText>pi'i</w:instrText>
      </w:r>
      <w:r>
        <w:instrText>"</w:instrText>
      </w:r>
      <w:r>
        <w:rPr>
          <w:rStyle w:val="indexentry"/>
        </w:rPr>
        <w:fldChar w:fldCharType="end"/>
      </w:r>
      <w:r>
        <w:rPr>
          <w:rStyle w:val="htmlcodes"/>
        </w:rPr>
        <w:t>&lt;pre&gt;&lt;a name=e5d7&gt;</w:t>
      </w:r>
      <w:r>
        <w:t>5.7)</w:t>
      </w:r>
      <w:r>
        <w:tab/>
        <w:t>li ci su'i vo pi'i mu du li reci</w:t>
      </w:r>
    </w:p>
    <w:p w:rsidR="00B72047" w:rsidRDefault="00B72047">
      <w:pPr>
        <w:pStyle w:val="examplescaled"/>
      </w:pPr>
      <w:r>
        <w:tab/>
        <w:t>The-number three plus four times five equals the-number two-three.</w:t>
      </w:r>
    </w:p>
    <w:p w:rsidR="00B72047" w:rsidRDefault="00B72047">
      <w:pPr>
        <w:pStyle w:val="examplescaled"/>
      </w:pPr>
      <w:r>
        <w:tab/>
      </w:r>
      <w:r>
        <w:rPr>
          <w:rStyle w:val="htmlcodes"/>
        </w:rPr>
        <w:t>&lt;math&gt;</w:t>
      </w:r>
      <w:r>
        <w:rPr>
          <w:rStyle w:val="math"/>
        </w:rPr>
        <w:t xml:space="preserve">3 + 4 </w:t>
      </w:r>
      <w:r>
        <w:rPr>
          <w:rStyle w:val="htmlcodes"/>
        </w:rPr>
        <w:t>&amp;times;</w:t>
      </w:r>
      <w:r>
        <w:rPr>
          <w:rStyle w:val="math"/>
        </w:rPr>
        <w:sym w:font="Symbol" w:char="F0B4"/>
      </w:r>
      <w:r>
        <w:rPr>
          <w:rStyle w:val="math"/>
        </w:rPr>
        <w:t xml:space="preserve"> 5 = 23</w:t>
      </w:r>
      <w:r>
        <w:rPr>
          <w:rStyle w:val="htmlcodes"/>
        </w:rPr>
        <w:t>&lt;/math&gt;</w:t>
      </w:r>
    </w:p>
    <w:p w:rsidR="00B72047" w:rsidRDefault="00B72047">
      <w:pPr>
        <w:pStyle w:val="resumedafterexample"/>
      </w:pPr>
      <w:r>
        <w:rPr>
          <w:rStyle w:val="htmlcodes"/>
        </w:rPr>
        <w:t>&lt;/pre&gt;&lt;p&gt;</w:t>
      </w:r>
      <w:r>
        <w:t xml:space="preserve">Is the Lojban version of </w:t>
      </w:r>
      <w:r>
        <w:rPr>
          <w:rStyle w:val="htmlcodes"/>
        </w:rPr>
        <w:t>&lt;a href=#e5d7&gt;</w:t>
      </w:r>
      <w:r>
        <w:t xml:space="preserve">Example 5.7 </w:t>
      </w:r>
      <w:r>
        <w:rPr>
          <w:rStyle w:val="htmlcodes"/>
        </w:rPr>
        <w:t>&lt;/a&gt;</w:t>
      </w:r>
      <w:r>
        <w:t>true? No! “</w:t>
      </w:r>
      <w:r>
        <w:rPr>
          <w:rStyle w:val="htmlcodes"/>
        </w:rPr>
        <w:t>&lt;math&gt;</w:t>
      </w:r>
      <w:r>
        <w:rPr>
          <w:rStyle w:val="math"/>
        </w:rPr>
        <w:t xml:space="preserve">3 + 4 </w:t>
      </w:r>
      <w:r>
        <w:rPr>
          <w:rStyle w:val="htmlcodes"/>
        </w:rPr>
        <w:t xml:space="preserve">&amp;times; </w:t>
      </w:r>
      <w:r>
        <w:rPr>
          <w:rStyle w:val="math"/>
        </w:rPr>
        <w:sym w:font="Symbol" w:char="F0B4"/>
      </w:r>
      <w:r>
        <w:rPr>
          <w:rStyle w:val="math"/>
        </w:rPr>
        <w:t xml:space="preserve"> 5</w:t>
      </w:r>
      <w:r>
        <w:rPr>
          <w:rStyle w:val="htmlcodes"/>
        </w:rPr>
        <w:t>&lt;/math&gt;</w:t>
      </w:r>
      <w:r>
        <w:t>” is indeed 23,</w:t>
      </w:r>
      <w:r>
        <w:rPr>
          <w:rStyle w:val="deletedparamark"/>
        </w:rPr>
        <w:t xml:space="preserve"> </w:t>
      </w:r>
      <w:r>
        <w:t>because the usual conventions of mathematics state that multiplication takes</w:t>
      </w:r>
      <w:r>
        <w:rPr>
          <w:rStyle w:val="deletedparamark"/>
        </w:rPr>
        <w:t xml:space="preserve"> </w:t>
      </w:r>
      <w:r>
        <w:t>precedence over addi</w:t>
      </w:r>
      <w:r>
        <w:softHyphen/>
        <w:t>tion; that is, the multiplication “</w:t>
      </w:r>
      <w:r>
        <w:rPr>
          <w:rStyle w:val="htmlcodes"/>
        </w:rPr>
        <w:t>&lt;math&gt;</w:t>
      </w:r>
      <w:r>
        <w:rPr>
          <w:rStyle w:val="math"/>
        </w:rPr>
        <w:t>4</w:t>
      </w:r>
      <w:r>
        <w:rPr>
          <w:rStyle w:val="htmlcodes"/>
        </w:rPr>
        <w:t>&amp;times;</w:t>
      </w:r>
      <w:r>
        <w:rPr>
          <w:rStyle w:val="math"/>
        </w:rPr>
        <w:t xml:space="preserve"> </w:t>
      </w:r>
      <w:r>
        <w:rPr>
          <w:rStyle w:val="math"/>
        </w:rPr>
        <w:sym w:font="Symbol" w:char="F0B4"/>
      </w:r>
      <w:r>
        <w:rPr>
          <w:rStyle w:val="math"/>
        </w:rPr>
        <w:t xml:space="preserve"> 5</w:t>
      </w:r>
      <w:r>
        <w:rPr>
          <w:rStyle w:val="htmlcodes"/>
        </w:rPr>
        <w:t>&lt;/math&gt;</w:t>
      </w:r>
      <w:r>
        <w:t>” is done first,</w:t>
      </w:r>
      <w:r>
        <w:rPr>
          <w:rStyle w:val="deletedparamark"/>
        </w:rPr>
        <w:t xml:space="preserve"> </w:t>
      </w:r>
      <w:r>
        <w:t>giving 20, and only then the addi</w:t>
      </w:r>
      <w:r>
        <w:softHyphen/>
        <w:t>tion “</w:t>
      </w:r>
      <w:r>
        <w:rPr>
          <w:rStyle w:val="htmlcodes"/>
        </w:rPr>
        <w:t>&lt;math&gt;</w:t>
      </w:r>
      <w:r>
        <w:rPr>
          <w:rStyle w:val="math"/>
        </w:rPr>
        <w:t>3 + 20</w:t>
      </w:r>
      <w:r>
        <w:rPr>
          <w:rStyle w:val="htmlcodes"/>
        </w:rPr>
        <w:t>&lt;/math&gt;</w:t>
      </w:r>
      <w:r>
        <w:t>”. But VUhU operators by</w:t>
      </w:r>
      <w:r>
        <w:rPr>
          <w:rStyle w:val="deletedparamark"/>
        </w:rPr>
        <w:t xml:space="preserve"> </w:t>
      </w:r>
      <w:r>
        <w:t>default are done left to right, like other Lojban grou</w:t>
      </w:r>
      <w:r>
        <w:t>p</w:t>
      </w:r>
      <w:r>
        <w:softHyphen/>
        <w:t>ing, and so a truthful</w:t>
      </w:r>
      <w:r>
        <w:rPr>
          <w:rStyle w:val="deletedparamark"/>
        </w:rPr>
        <w:t xml:space="preserve"> </w:t>
      </w:r>
      <w:r>
        <w:t>bridi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name=e5d8&gt;</w:t>
      </w:r>
      <w:r>
        <w:t>5.8)</w:t>
      </w:r>
      <w:r>
        <w:tab/>
        <w:t>li ci su'i vo pi'i mu du li cimu</w:t>
      </w:r>
    </w:p>
    <w:p w:rsidR="00B72047" w:rsidRDefault="00B72047">
      <w:pPr>
        <w:pStyle w:val="examplescaled"/>
      </w:pPr>
      <w:r>
        <w:tab/>
        <w:t>The-number three plus four times five equals the-number three-five.</w:t>
      </w:r>
    </w:p>
    <w:p w:rsidR="00B72047" w:rsidRDefault="00B72047">
      <w:pPr>
        <w:pStyle w:val="examplescaled"/>
      </w:pPr>
      <w:r>
        <w:tab/>
      </w:r>
      <w:r>
        <w:rPr>
          <w:rStyle w:val="htmlcodes"/>
        </w:rPr>
        <w:t>&lt;math&gt;</w:t>
      </w:r>
      <w:r>
        <w:rPr>
          <w:rStyle w:val="math"/>
        </w:rPr>
        <w:t xml:space="preserve">3 + 4 </w:t>
      </w:r>
      <w:r>
        <w:rPr>
          <w:rStyle w:val="htmlcodes"/>
        </w:rPr>
        <w:t>&amp;times;</w:t>
      </w:r>
      <w:r>
        <w:rPr>
          <w:rStyle w:val="math"/>
        </w:rPr>
        <w:sym w:font="Symbol" w:char="F0B4"/>
      </w:r>
      <w:r>
        <w:rPr>
          <w:rStyle w:val="math"/>
        </w:rPr>
        <w:t xml:space="preserve"> 5 = 35</w:t>
      </w:r>
      <w:r>
        <w:rPr>
          <w:rStyle w:val="htmlcodes"/>
        </w:rPr>
        <w:t>&lt;/math&gt;</w:t>
      </w:r>
    </w:p>
    <w:p w:rsidR="00B72047" w:rsidRDefault="00B72047">
      <w:pPr>
        <w:pStyle w:val="resumedafterexample"/>
      </w:pPr>
      <w:r>
        <w:rPr>
          <w:rStyle w:val="htmlcodes"/>
        </w:rPr>
        <w:t>&lt;/pre&gt;</w:t>
      </w:r>
      <w:r>
        <w:rPr>
          <w:rStyle w:val="indexentry"/>
        </w:rPr>
        <w:t>&lt;cx "default operator precedence, contrasted with mekso goal"&gt;</w:t>
      </w:r>
      <w:r>
        <w:rPr>
          <w:rStyle w:val="indexentry"/>
        </w:rPr>
        <w:fldChar w:fldCharType="begin"/>
      </w:r>
      <w:r>
        <w:instrText>xe "</w:instrText>
      </w:r>
      <w:r>
        <w:rPr>
          <w:rStyle w:val="xeentry"/>
        </w:rPr>
        <w:instrText>default operator precedence: contrasted with mekso goal</w:instrText>
      </w:r>
      <w:r>
        <w:instrText>"</w:instrText>
      </w:r>
      <w:r>
        <w:rPr>
          <w:rStyle w:val="indexentry"/>
        </w:rPr>
        <w:fldChar w:fldCharType="end"/>
      </w:r>
      <w:r>
        <w:t xml:space="preserve">Here we calculate </w:t>
      </w:r>
      <w:r>
        <w:rPr>
          <w:rStyle w:val="htmlcodes"/>
        </w:rPr>
        <w:t>&lt;math&gt;</w:t>
      </w:r>
      <w:r>
        <w:rPr>
          <w:rStyle w:val="math"/>
        </w:rPr>
        <w:t>3 + 4</w:t>
      </w:r>
      <w:r>
        <w:rPr>
          <w:rStyle w:val="htmlcodes"/>
        </w:rPr>
        <w:t>&lt;/math&gt;</w:t>
      </w:r>
      <w:r>
        <w:t xml:space="preserve"> first, giving 7, and then calculate </w:t>
      </w:r>
      <w:r>
        <w:rPr>
          <w:rStyle w:val="htmlcodes"/>
        </w:rPr>
        <w:t>&lt;math&gt;</w:t>
      </w:r>
      <w:r>
        <w:rPr>
          <w:rStyle w:val="math"/>
        </w:rPr>
        <w:t xml:space="preserve">7 </w:t>
      </w:r>
      <w:r>
        <w:rPr>
          <w:rStyle w:val="htmlcodes"/>
        </w:rPr>
        <w:t>&amp;times;</w:t>
      </w:r>
      <w:r>
        <w:rPr>
          <w:rStyle w:val="htmlcodes"/>
        </w:rPr>
        <w:sym w:font="Symbol" w:char="F0B4"/>
      </w:r>
      <w:r>
        <w:rPr>
          <w:rStyle w:val="htmlcodes"/>
          <w:vanish w:val="0"/>
        </w:rPr>
        <w:sym w:font="Symbol" w:char="F0B4"/>
      </w:r>
      <w:r>
        <w:rPr>
          <w:rStyle w:val="math"/>
        </w:rPr>
        <w:t xml:space="preserve"> 5</w:t>
      </w:r>
      <w:r>
        <w:rPr>
          <w:rStyle w:val="htmlcodes"/>
        </w:rPr>
        <w:t>&lt;/math&gt;</w:t>
      </w:r>
      <w:r>
        <w:t xml:space="preserve"> second,</w:t>
      </w:r>
      <w:r>
        <w:rPr>
          <w:rStyle w:val="deletedparamark"/>
        </w:rPr>
        <w:t xml:space="preserve"> </w:t>
      </w:r>
      <w:r>
        <w:t>leading to the r</w:t>
      </w:r>
      <w:r>
        <w:t>e</w:t>
      </w:r>
      <w:r>
        <w:softHyphen/>
        <w:t>sult 35. While possessing the advantage of simplicity,</w:t>
      </w:r>
      <w:r>
        <w:rPr>
          <w:rStyle w:val="deletedparamark"/>
        </w:rPr>
        <w:t xml:space="preserve"> </w:t>
      </w:r>
      <w:r>
        <w:t>this result violates the design goal of matching the standards of</w:t>
      </w:r>
      <w:r>
        <w:rPr>
          <w:rStyle w:val="deletedparamark"/>
        </w:rPr>
        <w:t xml:space="preserve"> </w:t>
      </w:r>
      <w:r>
        <w:t>mathematics. What can be done?</w:t>
      </w:r>
    </w:p>
    <w:p w:rsidR="00B72047" w:rsidRDefault="00B72047">
      <w:pPr>
        <w:rPr>
          <w:rStyle w:val="htmlparacode"/>
        </w:rPr>
      </w:pPr>
      <w:r>
        <w:rPr>
          <w:rStyle w:val="htmlparacode"/>
        </w:rPr>
        <w:t>&lt;p&gt;</w:t>
      </w:r>
    </w:p>
    <w:p w:rsidR="00B72047" w:rsidRDefault="00B72047">
      <w:pPr>
        <w:pStyle w:val="normalparagraph"/>
      </w:pPr>
      <w:r>
        <w:rPr>
          <w:rStyle w:val="indexentry"/>
        </w:rPr>
        <w:t>&lt;cx "mathematical notation, and operator precedence"&gt;</w:t>
      </w:r>
      <w:r>
        <w:rPr>
          <w:rStyle w:val="indexentry"/>
        </w:rPr>
        <w:fldChar w:fldCharType="begin"/>
      </w:r>
      <w:r>
        <w:instrText>xe "</w:instrText>
      </w:r>
      <w:r>
        <w:rPr>
          <w:rStyle w:val="xeentry"/>
        </w:rPr>
        <w:instrText>mathematical notation: and operator precedence</w:instrText>
      </w:r>
      <w:r>
        <w:instrText>"</w:instrText>
      </w:r>
      <w:r>
        <w:rPr>
          <w:rStyle w:val="indexentry"/>
        </w:rPr>
        <w:fldChar w:fldCharType="end"/>
      </w:r>
      <w:r>
        <w:rPr>
          <w:rStyle w:val="indexentry"/>
        </w:rPr>
        <w:t>&lt;cx "operator precedence, and mathematical notation"&gt;</w:t>
      </w:r>
      <w:r>
        <w:rPr>
          <w:rStyle w:val="indexentry"/>
        </w:rPr>
        <w:fldChar w:fldCharType="begin"/>
      </w:r>
      <w:r>
        <w:instrText>xe "</w:instrText>
      </w:r>
      <w:r>
        <w:rPr>
          <w:rStyle w:val="xeentry"/>
        </w:rPr>
        <w:instrText>operator precedence: and mathematical notation</w:instrText>
      </w:r>
      <w:r>
        <w:instrText>"</w:instrText>
      </w:r>
      <w:r>
        <w:rPr>
          <w:rStyle w:val="indexentry"/>
        </w:rPr>
        <w:fldChar w:fldCharType="end"/>
      </w:r>
      <w:r>
        <w:rPr>
          <w:rStyle w:val="indexentry"/>
        </w:rPr>
        <w:t>&lt;cx "operator precedence, effect of pragmatic convention"&gt;</w:t>
      </w:r>
      <w:r>
        <w:rPr>
          <w:rStyle w:val="indexentry"/>
        </w:rPr>
        <w:fldChar w:fldCharType="begin"/>
      </w:r>
      <w:r>
        <w:instrText>xe "</w:instrText>
      </w:r>
      <w:r>
        <w:rPr>
          <w:rStyle w:val="xeentry"/>
        </w:rPr>
        <w:instrText>operator precedence: effect of pragmatic convention</w:instrText>
      </w:r>
      <w:r>
        <w:instrText>"</w:instrText>
      </w:r>
      <w:r>
        <w:rPr>
          <w:rStyle w:val="indexentry"/>
        </w:rPr>
        <w:fldChar w:fldCharType="end"/>
      </w:r>
      <w:r>
        <w:t>There are three solutions, all of which will probably be used to some degree.</w:t>
      </w:r>
      <w:r>
        <w:rPr>
          <w:rStyle w:val="deletedparamark"/>
        </w:rPr>
        <w:t xml:space="preserve"> </w:t>
      </w:r>
      <w:r>
        <w:t>The first solution is to ignore the problem. People will say “li ci</w:t>
      </w:r>
      <w:r>
        <w:rPr>
          <w:rStyle w:val="deletedparamark"/>
        </w:rPr>
        <w:t xml:space="preserve"> </w:t>
      </w:r>
      <w:r>
        <w:t>su'i vo pi'i mu” and mean 23 by it, because the notion that multiplication</w:t>
      </w:r>
      <w:r>
        <w:rPr>
          <w:rStyle w:val="deletedparamark"/>
        </w:rPr>
        <w:t xml:space="preserve"> </w:t>
      </w:r>
      <w:r>
        <w:t>takes precedence over addition is too deeply ingrained to be eradicated</w:t>
      </w:r>
      <w:r>
        <w:rPr>
          <w:rStyle w:val="deletedparamark"/>
        </w:rPr>
        <w:t xml:space="preserve"> </w:t>
      </w:r>
      <w:r>
        <w:t>by Lojban parsing, which totally ignores seman</w:t>
      </w:r>
      <w:r>
        <w:softHyphen/>
        <w:t>tics. This co</w:t>
      </w:r>
      <w:r>
        <w:t>n</w:t>
      </w:r>
      <w:r>
        <w:softHyphen/>
        <w:t>vention</w:t>
      </w:r>
      <w:r>
        <w:rPr>
          <w:rStyle w:val="deletedparamark"/>
        </w:rPr>
        <w:t xml:space="preserve"> </w:t>
      </w:r>
      <w:r>
        <w:t>essentially allows semantics to dominate syntax in this one area.</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"operator precedence, rationale for default left-grouping"&gt;</w:t>
      </w:r>
      <w:r>
        <w:rPr>
          <w:rStyle w:val="indexentry"/>
        </w:rPr>
        <w:fldChar w:fldCharType="begin"/>
      </w:r>
      <w:r>
        <w:instrText>xe "</w:instrText>
      </w:r>
      <w:r>
        <w:rPr>
          <w:rStyle w:val="xeentry"/>
        </w:rPr>
        <w:instrText>operator precedence: rationale for default left-grouping</w:instrText>
      </w:r>
      <w:r>
        <w:instrText>"</w:instrText>
      </w:r>
      <w:r>
        <w:rPr>
          <w:rStyle w:val="indexentry"/>
        </w:rPr>
        <w:fldChar w:fldCharType="end"/>
      </w:r>
      <w:r>
        <w:rPr>
          <w:rStyle w:val="indexentry"/>
        </w:rPr>
        <w:t>&lt;cx "operator precedence in other languages"&gt;</w:t>
      </w:r>
      <w:r>
        <w:rPr>
          <w:rStyle w:val="indexentry"/>
        </w:rPr>
        <w:fldChar w:fldCharType="begin"/>
      </w:r>
      <w:r>
        <w:instrText>xe "</w:instrText>
      </w:r>
      <w:r>
        <w:rPr>
          <w:rStyle w:val="xeentry"/>
        </w:rPr>
        <w:instrText>operator precedence in other languages</w:instrText>
      </w:r>
      <w:r>
        <w:instrText>"</w:instrText>
      </w:r>
      <w:r>
        <w:rPr>
          <w:rStyle w:val="indexentry"/>
        </w:rPr>
        <w:fldChar w:fldCharType="end"/>
      </w:r>
      <w:r>
        <w:t>(Why not hard-wire the precedences into the grammar, as is done in computer</w:t>
      </w:r>
      <w:r>
        <w:rPr>
          <w:rStyle w:val="deletedparamark"/>
        </w:rPr>
        <w:t xml:space="preserve"> </w:t>
      </w:r>
      <w:r>
        <w:t>pr</w:t>
      </w:r>
      <w:r>
        <w:t>o</w:t>
      </w:r>
      <w:r>
        <w:softHyphen/>
        <w:t>gramming languages? Essentially because there are too many operators,</w:t>
      </w:r>
      <w:r>
        <w:rPr>
          <w:rStyle w:val="deletedparamark"/>
        </w:rPr>
        <w:t xml:space="preserve"> </w:t>
      </w:r>
      <w:r>
        <w:t>known and u</w:t>
      </w:r>
      <w:r>
        <w:t>n</w:t>
      </w:r>
      <w:r>
        <w:softHyphen/>
        <w:t>known, with levels of precedence that vary according to usage.</w:t>
      </w:r>
      <w:r>
        <w:rPr>
          <w:rStyle w:val="deletedparamark"/>
        </w:rPr>
        <w:t xml:space="preserve"> </w:t>
      </w:r>
      <w:r>
        <w:t>The programming la</w:t>
      </w:r>
      <w:r>
        <w:t>n</w:t>
      </w:r>
      <w:r>
        <w:softHyphen/>
        <w:t>guage 'C' has 13 levels of precedence, and its list</w:t>
      </w:r>
      <w:r>
        <w:rPr>
          <w:rStyle w:val="deletedparamark"/>
        </w:rPr>
        <w:t xml:space="preserve"> </w:t>
      </w:r>
      <w:r>
        <w:t>of operators is not even extensible. For Lojban this approach is just not</w:t>
      </w:r>
      <w:r>
        <w:rPr>
          <w:rStyle w:val="deletedparamark"/>
        </w:rPr>
        <w:t xml:space="preserve"> </w:t>
      </w:r>
      <w:r>
        <w:t>practical. In addition, hard-wired precedence could not be overridden in</w:t>
      </w:r>
      <w:r>
        <w:rPr>
          <w:rStyle w:val="deletedparamark"/>
        </w:rPr>
        <w:t xml:space="preserve"> </w:t>
      </w:r>
      <w:r>
        <w:t>mathematical systems such as spreadsheets where the conventions are</w:t>
      </w:r>
      <w:r>
        <w:rPr>
          <w:rStyle w:val="deletedparamark"/>
        </w:rPr>
        <w:t xml:space="preserve"> </w:t>
      </w:r>
      <w:r>
        <w:t>di</w:t>
      </w:r>
      <w:r>
        <w:t>f</w:t>
      </w:r>
      <w:r>
        <w:softHyphen/>
        <w:t>ferent.)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"operator precedence, generalized explicit specification"&gt;</w:t>
      </w:r>
      <w:r>
        <w:rPr>
          <w:rStyle w:val="indexentry"/>
        </w:rPr>
        <w:fldChar w:fldCharType="begin"/>
      </w:r>
      <w:r>
        <w:instrText>xe "</w:instrText>
      </w:r>
      <w:r>
        <w:rPr>
          <w:rStyle w:val="xeentry"/>
        </w:rPr>
        <w:instrText>operator precedence: generalized explicit specification</w:instrText>
      </w:r>
      <w:r>
        <w:instrText>"</w:instrText>
      </w:r>
      <w:r>
        <w:rPr>
          <w:rStyle w:val="indexentry"/>
        </w:rPr>
        <w:fldChar w:fldCharType="end"/>
      </w:r>
      <w:r>
        <w:t>The second solution is to use explicit means to specify the precedence</w:t>
      </w:r>
      <w:r>
        <w:rPr>
          <w:rStyle w:val="deletedparamark"/>
        </w:rPr>
        <w:t xml:space="preserve"> </w:t>
      </w:r>
      <w:r>
        <w:t>of op</w:t>
      </w:r>
      <w:r>
        <w:softHyphen/>
        <w:t>erators. This approach is fully general, but clumsy, and will be</w:t>
      </w:r>
      <w:r>
        <w:rPr>
          <w:rStyle w:val="deletedparamark"/>
        </w:rPr>
        <w:t xml:space="preserve"> </w:t>
      </w:r>
      <w:r>
        <w:t xml:space="preserve">explained in </w:t>
      </w:r>
      <w:r>
        <w:rPr>
          <w:rStyle w:val="htmlcodes"/>
        </w:rPr>
        <w:t>&lt;a href=#s20&gt;</w:t>
      </w:r>
      <w:r>
        <w:t>Section 20</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"operator precedence, scope modification with bi'e"&gt;</w:t>
      </w:r>
      <w:r>
        <w:rPr>
          <w:rStyle w:val="indexentry"/>
        </w:rPr>
        <w:fldChar w:fldCharType="begin"/>
      </w:r>
      <w:r>
        <w:instrText>xe "</w:instrText>
      </w:r>
      <w:r>
        <w:rPr>
          <w:rStyle w:val="xeentry"/>
        </w:rPr>
        <w:instrText>operator precedence: scope modification with bi'e</w:instrText>
      </w:r>
      <w:r>
        <w:instrText>"</w:instrText>
      </w:r>
      <w:r>
        <w:rPr>
          <w:rStyle w:val="indexentry"/>
        </w:rPr>
        <w:fldChar w:fldCharType="end"/>
      </w:r>
      <w:r>
        <w:rPr>
          <w:rStyle w:val="indexentry"/>
        </w:rPr>
        <w:t>&lt;lx "bi'e"&gt;</w:t>
      </w:r>
      <w:r>
        <w:rPr>
          <w:rStyle w:val="indexentry"/>
        </w:rPr>
        <w:fldChar w:fldCharType="begin"/>
      </w:r>
      <w:r>
        <w:instrText>xe "</w:instrText>
      </w:r>
      <w:r>
        <w:rPr>
          <w:rStyle w:val="xeentry"/>
        </w:rPr>
        <w:instrText>bi'e</w:instrText>
      </w:r>
      <w:r>
        <w:instrText>"</w:instrText>
      </w:r>
      <w:r>
        <w:rPr>
          <w:rStyle w:val="indexentry"/>
        </w:rPr>
        <w:fldChar w:fldCharType="end"/>
      </w:r>
      <w:r>
        <w:rPr>
          <w:rStyle w:val="indexentry"/>
        </w:rPr>
        <w:t>&lt;lx "BIhE"&gt;</w:t>
      </w:r>
      <w:r>
        <w:rPr>
          <w:rStyle w:val="indexentry"/>
        </w:rPr>
        <w:fldChar w:fldCharType="begin"/>
      </w:r>
      <w:r>
        <w:instrText>xe "</w:instrText>
      </w:r>
      <w:r>
        <w:rPr>
          <w:rStyle w:val="xeentry"/>
        </w:rPr>
        <w:instrText>BIhE selma’o</w:instrText>
      </w:r>
      <w:r>
        <w:instrText>"</w:instrText>
      </w:r>
      <w:r>
        <w:rPr>
          <w:rStyle w:val="indexentry"/>
        </w:rPr>
        <w:fldChar w:fldCharType="end"/>
      </w:r>
      <w:r>
        <w:rPr>
          <w:rStyle w:val="indexentry"/>
        </w:rPr>
        <w:t>&lt;cx "bi'e, effect on following operator"&gt;</w:t>
      </w:r>
      <w:r>
        <w:rPr>
          <w:rStyle w:val="indexentry"/>
        </w:rPr>
        <w:fldChar w:fldCharType="begin"/>
      </w:r>
      <w:r>
        <w:instrText>xe "</w:instrText>
      </w:r>
      <w:r>
        <w:rPr>
          <w:rStyle w:val="xeentry"/>
        </w:rPr>
        <w:instrText>bi'e: effect on following operator</w:instrText>
      </w:r>
      <w:r>
        <w:instrText>"</w:instrText>
      </w:r>
      <w:r>
        <w:rPr>
          <w:rStyle w:val="indexentry"/>
        </w:rPr>
        <w:fldChar w:fldCharType="end"/>
      </w:r>
      <w:r>
        <w:t>The third solution is simple but not very general. When an operator is</w:t>
      </w:r>
      <w:r>
        <w:rPr>
          <w:rStyle w:val="deletedparamark"/>
        </w:rPr>
        <w:t xml:space="preserve"> </w:t>
      </w:r>
      <w:r>
        <w:t>prefixed with the cmavo “bi'e” (of selma'o BIhE), it becomes automatically</w:t>
      </w:r>
      <w:r>
        <w:rPr>
          <w:rStyle w:val="deletedparamark"/>
        </w:rPr>
        <w:t xml:space="preserve"> </w:t>
      </w:r>
      <w:r>
        <w:t>of higher precedence than other operators not so prefixed.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li ci su'i vo bi'e pi'i mu du li reci</w:t>
      </w:r>
    </w:p>
    <w:p w:rsidR="00B72047" w:rsidRDefault="00B72047">
      <w:pPr>
        <w:pStyle w:val="examplescaled"/>
      </w:pPr>
      <w:r>
        <w:tab/>
        <w:t>The-number three plus our-times-five equals the-number two-three.</w:t>
      </w:r>
    </w:p>
    <w:p w:rsidR="00B72047" w:rsidRDefault="00B72047">
      <w:pPr>
        <w:pStyle w:val="examplescaled"/>
      </w:pPr>
      <w:r>
        <w:tab/>
      </w:r>
      <w:r>
        <w:rPr>
          <w:rStyle w:val="htmlcodes"/>
        </w:rPr>
        <w:t>&lt;math&gt;</w:t>
      </w:r>
      <w:r>
        <w:rPr>
          <w:rStyle w:val="math"/>
        </w:rPr>
        <w:t xml:space="preserve">3 + 4 </w:t>
      </w:r>
      <w:r>
        <w:rPr>
          <w:rStyle w:val="math"/>
        </w:rPr>
        <w:sym w:font="Symbol" w:char="F0B4"/>
      </w:r>
      <w:r>
        <w:rPr>
          <w:rStyle w:val="htmlcodes"/>
        </w:rPr>
        <w:t>&amp;times;</w:t>
      </w:r>
      <w:r>
        <w:rPr>
          <w:rStyle w:val="math"/>
        </w:rPr>
        <w:t xml:space="preserve"> 5 = 23</w:t>
      </w:r>
      <w:r>
        <w:rPr>
          <w:rStyle w:val="htmlcodes"/>
        </w:rPr>
        <w:t>&lt;/math&gt;</w:t>
      </w:r>
    </w:p>
    <w:p w:rsidR="00B72047" w:rsidRDefault="00B72047">
      <w:pPr>
        <w:pStyle w:val="resumedafterexample"/>
      </w:pPr>
      <w:r>
        <w:rPr>
          <w:rStyle w:val="htmlcodes"/>
        </w:rPr>
        <w:t>&lt;/pre&gt;</w:t>
      </w:r>
      <w:r>
        <w:t>is a truthful Lojban bridi. If more than one operator has a “bi'e”</w:t>
      </w:r>
      <w:r>
        <w:rPr>
          <w:rStyle w:val="deletedparamark"/>
        </w:rPr>
        <w:t xml:space="preserve"> </w:t>
      </w:r>
      <w:r>
        <w:t>prefix, grouping is from the right; multiple “bi'e” prefixes on a single</w:t>
      </w:r>
      <w:r>
        <w:rPr>
          <w:rStyle w:val="deletedparamark"/>
        </w:rPr>
        <w:t xml:space="preserve"> </w:t>
      </w:r>
      <w:r>
        <w:t>operator are not allowed.</w:t>
      </w:r>
    </w:p>
    <w:p w:rsidR="00B72047" w:rsidRDefault="00B72047">
      <w:pPr>
        <w:rPr>
          <w:rStyle w:val="htmlparacode"/>
        </w:rPr>
      </w:pPr>
      <w:r>
        <w:rPr>
          <w:rStyle w:val="htmlparacode"/>
        </w:rPr>
        <w:t>&lt;p&gt;</w:t>
      </w:r>
    </w:p>
    <w:p w:rsidR="00B72047" w:rsidRDefault="00B72047">
      <w:pPr>
        <w:pStyle w:val="normalparagraph"/>
      </w:pPr>
      <w:r>
        <w:rPr>
          <w:rStyle w:val="indexentry"/>
        </w:rPr>
        <w:t>&lt;cx "operator precedence, specifying by parenthesis"&gt;</w:t>
      </w:r>
      <w:r>
        <w:rPr>
          <w:rStyle w:val="indexentry"/>
        </w:rPr>
        <w:fldChar w:fldCharType="begin"/>
      </w:r>
      <w:r>
        <w:instrText>xe "</w:instrText>
      </w:r>
      <w:r>
        <w:rPr>
          <w:rStyle w:val="xeentry"/>
        </w:rPr>
        <w:instrText>operator precedence: specifying by parenthesis</w:instrText>
      </w:r>
      <w:r>
        <w:instrText>"</w:instrText>
      </w:r>
      <w:r>
        <w:rPr>
          <w:rStyle w:val="indexentry"/>
        </w:rPr>
        <w:fldChar w:fldCharType="end"/>
      </w:r>
      <w:r>
        <w:rPr>
          <w:rStyle w:val="indexentry"/>
        </w:rPr>
        <w:t>&lt;cx "parenthesis, mathematical"&gt;</w:t>
      </w:r>
      <w:r>
        <w:rPr>
          <w:rStyle w:val="indexentry"/>
        </w:rPr>
        <w:fldChar w:fldCharType="begin"/>
      </w:r>
      <w:r>
        <w:instrText>xe "</w:instrText>
      </w:r>
      <w:r>
        <w:rPr>
          <w:rStyle w:val="xeentry"/>
        </w:rPr>
        <w:instrText>parenthesis: mathematical</w:instrText>
      </w:r>
      <w:r>
        <w:instrText>"</w:instrText>
      </w:r>
      <w:r>
        <w:rPr>
          <w:rStyle w:val="indexentry"/>
        </w:rPr>
        <w:fldChar w:fldCharType="end"/>
      </w:r>
      <w:r>
        <w:rPr>
          <w:rStyle w:val="indexentry"/>
        </w:rPr>
        <w:t>&lt;lx "vei"&gt;</w:t>
      </w:r>
      <w:r>
        <w:rPr>
          <w:rStyle w:val="indexentry"/>
        </w:rPr>
        <w:fldChar w:fldCharType="begin"/>
      </w:r>
      <w:r>
        <w:instrText>xe "</w:instrText>
      </w:r>
      <w:r>
        <w:rPr>
          <w:rStyle w:val="xeentry"/>
        </w:rPr>
        <w:instrText>vei</w:instrText>
      </w:r>
      <w:r>
        <w:instrText>"</w:instrText>
      </w:r>
      <w:r>
        <w:rPr>
          <w:rStyle w:val="indexentry"/>
        </w:rPr>
        <w:fldChar w:fldCharType="end"/>
      </w:r>
      <w:r>
        <w:rPr>
          <w:rStyle w:val="indexentry"/>
        </w:rPr>
        <w:t>&lt;lx "ve'o"&gt;</w:t>
      </w:r>
      <w:r>
        <w:rPr>
          <w:rStyle w:val="indexentry"/>
        </w:rPr>
        <w:fldChar w:fldCharType="begin"/>
      </w:r>
      <w:r>
        <w:instrText>xe "</w:instrText>
      </w:r>
      <w:r>
        <w:rPr>
          <w:rStyle w:val="xeentry"/>
        </w:rPr>
        <w:instrText>ve'o</w:instrText>
      </w:r>
      <w:r>
        <w:instrText>"</w:instrText>
      </w:r>
      <w:r>
        <w:rPr>
          <w:rStyle w:val="indexentry"/>
        </w:rPr>
        <w:fldChar w:fldCharType="end"/>
      </w:r>
      <w:r>
        <w:t>In addition, of course, Lojban has the mathematical parentheses “vei” and</w:t>
      </w:r>
      <w:r>
        <w:rPr>
          <w:rStyle w:val="deletedparamark"/>
        </w:rPr>
        <w:t xml:space="preserve"> “</w:t>
      </w:r>
      <w:r>
        <w:t>ve'o”, which can be used just like their written equivalents “(” and “)” to group expres</w:t>
      </w:r>
      <w:r>
        <w:softHyphen/>
        <w:t>sions in any way desired:</w:t>
      </w:r>
    </w:p>
    <w:p w:rsidR="00B72047" w:rsidRDefault="00B72047">
      <w:pPr>
        <w:rPr>
          <w:rStyle w:val="htmlparacode"/>
        </w:rPr>
      </w:pPr>
      <w:r>
        <w:rPr>
          <w:rStyle w:val="htmlparacode"/>
        </w:rPr>
        <w:t>&lt;p&gt;</w:t>
      </w:r>
    </w:p>
    <w:p w:rsidR="00B72047" w:rsidRDefault="00B72047">
      <w:pPr>
        <w:pStyle w:val="examplescaledpre"/>
      </w:pPr>
      <w:r>
        <w:rPr>
          <w:rStyle w:val="indexentry"/>
        </w:rPr>
        <w:t>&lt;lx "te'a"&gt;</w:t>
      </w:r>
      <w:r>
        <w:rPr>
          <w:rStyle w:val="indexentry"/>
        </w:rPr>
        <w:fldChar w:fldCharType="begin"/>
      </w:r>
      <w:r>
        <w:instrText>xe "</w:instrText>
      </w:r>
      <w:r>
        <w:rPr>
          <w:rStyle w:val="xeentry"/>
        </w:rPr>
        <w:instrText>te'a</w:instrText>
      </w:r>
      <w:r>
        <w:instrText>"</w:instrText>
      </w:r>
      <w:r>
        <w:rPr>
          <w:rStyle w:val="indexentry"/>
        </w:rPr>
        <w:fldChar w:fldCharType="end"/>
      </w:r>
      <w:r>
        <w:rPr>
          <w:rStyle w:val="indexentry"/>
        </w:rPr>
        <w:t>&lt;lx "ny"&gt;</w:t>
      </w:r>
      <w:r>
        <w:rPr>
          <w:rStyle w:val="indexentry"/>
        </w:rPr>
        <w:fldChar w:fldCharType="begin"/>
      </w:r>
      <w:r>
        <w:instrText>xe "</w:instrText>
      </w:r>
      <w:r>
        <w:rPr>
          <w:rStyle w:val="xeentry"/>
        </w:rPr>
        <w:instrText>ny</w:instrText>
      </w:r>
      <w:r>
        <w:instrText>"</w:instrText>
      </w:r>
      <w:r>
        <w:rPr>
          <w:rStyle w:val="indexentry"/>
        </w:rPr>
        <w:fldChar w:fldCharType="end"/>
      </w:r>
      <w:r>
        <w:rPr>
          <w:rStyle w:val="indexentry"/>
        </w:rPr>
        <w:t>&lt;ex "(n + 1)(n + 1) = n^2 + 2n + 1"&gt;</w:t>
      </w:r>
      <w:r>
        <w:rPr>
          <w:rStyle w:val="indexentry"/>
        </w:rPr>
        <w:fldChar w:fldCharType="begin"/>
      </w:r>
      <w:r>
        <w:instrText>xe "</w:instrText>
      </w:r>
      <w:r>
        <w:rPr>
          <w:rStyle w:val="xeentry"/>
        </w:rPr>
        <w:instrText>(n + 1)(n + 1) = n^2 + 2n + 1: example</w:instrText>
      </w:r>
      <w:r>
        <w:instrText>"</w:instrText>
      </w:r>
      <w:r>
        <w:rPr>
          <w:rStyle w:val="indexentry"/>
        </w:rPr>
        <w:fldChar w:fldCharType="end"/>
      </w:r>
      <w:r>
        <w:rPr>
          <w:rStyle w:val="htmlcodes"/>
        </w:rPr>
        <w:t>&lt;pre&gt;&lt;a name=e5d10&gt;</w:t>
      </w:r>
      <w:r>
        <w:t>5.10)</w:t>
      </w:r>
      <w:r>
        <w:tab/>
        <w:t>li vei ny. su'i pa ve'o pi'i vei ny. su'i pa [ve'o] du</w:t>
      </w:r>
    </w:p>
    <w:p w:rsidR="00B72047" w:rsidRDefault="00B72047">
      <w:pPr>
        <w:pStyle w:val="examplescaled"/>
      </w:pPr>
      <w:r>
        <w:tab/>
      </w:r>
      <w:r>
        <w:tab/>
        <w:t>li ny. [bi'e] te'a re su'i re bi'e pi'i ny. su'i pa</w:t>
      </w:r>
    </w:p>
    <w:p w:rsidR="00B72047" w:rsidRDefault="00B72047">
      <w:pPr>
        <w:pStyle w:val="examplescaled"/>
      </w:pPr>
      <w:r>
        <w:tab/>
        <w:t>The-number (“n” plus one ) times (“n” plus one ) equals</w:t>
      </w:r>
    </w:p>
    <w:p w:rsidR="00B72047" w:rsidRDefault="00B72047">
      <w:pPr>
        <w:pStyle w:val="examplescaled"/>
      </w:pPr>
      <w:r>
        <w:tab/>
      </w:r>
      <w:r>
        <w:tab/>
        <w:t>the-number n-power-two plus two-times-“n” plus 1.</w:t>
      </w:r>
    </w:p>
    <w:p w:rsidR="00B72047" w:rsidRDefault="00B72047">
      <w:pPr>
        <w:pStyle w:val="examplescaled"/>
      </w:pPr>
      <w:r>
        <w:tab/>
      </w:r>
      <w:r>
        <w:rPr>
          <w:rStyle w:val="htmlcodes"/>
        </w:rPr>
        <w:t>&lt;math&gt;</w:t>
      </w:r>
      <w:r>
        <w:rPr>
          <w:rStyle w:val="math"/>
        </w:rPr>
        <w:t>(n + 1)(n + 1) = n</w:t>
      </w:r>
      <w:r>
        <w:rPr>
          <w:rStyle w:val="htmlcodes"/>
        </w:rPr>
        <w:t>&lt;sup&gt;</w:t>
      </w:r>
      <w:r>
        <w:rPr>
          <w:rStyle w:val="Superscript"/>
        </w:rPr>
        <w:t>2</w:t>
      </w:r>
      <w:r>
        <w:rPr>
          <w:rStyle w:val="htmlcodes"/>
        </w:rPr>
        <w:t>&lt;/sup&gt;</w:t>
      </w:r>
      <w:r>
        <w:rPr>
          <w:rStyle w:val="math"/>
        </w:rPr>
        <w:t>+ 2n + 1</w:t>
      </w:r>
      <w:r>
        <w:rPr>
          <w:rStyle w:val="htmlcodes"/>
        </w:rPr>
        <w:t>&lt;/math&gt;</w:t>
      </w:r>
    </w:p>
    <w:p w:rsidR="00B72047" w:rsidRDefault="00B72047">
      <w:pPr>
        <w:pStyle w:val="resumedafterexample"/>
      </w:pPr>
      <w:r>
        <w:rPr>
          <w:rStyle w:val="htmlcodes"/>
        </w:rPr>
        <w:t>&lt;/pre&gt;</w:t>
      </w:r>
      <w:r>
        <w:rPr>
          <w:rStyle w:val="indexentry"/>
        </w:rPr>
        <w:t>&lt;cx "lerfu strings, in mathematical expressions"&gt;</w:t>
      </w:r>
      <w:r>
        <w:rPr>
          <w:rStyle w:val="indexentry"/>
        </w:rPr>
        <w:fldChar w:fldCharType="begin"/>
      </w:r>
      <w:r>
        <w:instrText>xe "</w:instrText>
      </w:r>
      <w:r>
        <w:rPr>
          <w:rStyle w:val="xeentry"/>
        </w:rPr>
        <w:instrText>lerfu string: in mathematical expressions</w:instrText>
      </w:r>
      <w:r>
        <w:instrText>"</w:instrText>
      </w:r>
      <w:r>
        <w:rPr>
          <w:rStyle w:val="indexentry"/>
        </w:rPr>
        <w:fldChar w:fldCharType="end"/>
      </w:r>
      <w:r>
        <w:rPr>
          <w:rStyle w:val="indexentry"/>
        </w:rPr>
        <w:t>&lt;cx "lerfu strings, interpretation of contrasted with normal mathematical interpretation"&gt;</w:t>
      </w:r>
      <w:r>
        <w:rPr>
          <w:rStyle w:val="indexentry"/>
        </w:rPr>
        <w:fldChar w:fldCharType="begin"/>
      </w:r>
      <w:r>
        <w:instrText>xe "</w:instrText>
      </w:r>
      <w:r>
        <w:rPr>
          <w:rStyle w:val="xeentry"/>
        </w:rPr>
        <w:instrText>lerfu string: interpretation of contrasted with normal mathematical interpretation</w:instrText>
      </w:r>
      <w:r>
        <w:instrText>"</w:instrText>
      </w:r>
      <w:r>
        <w:rPr>
          <w:rStyle w:val="indexentry"/>
        </w:rPr>
        <w:fldChar w:fldCharType="end"/>
      </w:r>
      <w:r>
        <w:t xml:space="preserve">There are several new usages in </w:t>
      </w:r>
      <w:r>
        <w:rPr>
          <w:rStyle w:val="htmlcodes"/>
        </w:rPr>
        <w:t>&lt;a href=#e5d10&gt;</w:t>
      </w:r>
      <w:r>
        <w:t>Example 5.10</w:t>
      </w:r>
      <w:r>
        <w:rPr>
          <w:rStyle w:val="htmlcodes"/>
        </w:rPr>
        <w:t>&lt;/a&gt;</w:t>
      </w:r>
      <w:r>
        <w:t>: “te'a” means “raised to the</w:t>
      </w:r>
      <w:r>
        <w:rPr>
          <w:rStyle w:val="deletedparamark"/>
        </w:rPr>
        <w:t xml:space="preserve"> </w:t>
      </w:r>
      <w:r>
        <w:t>power”, and we also see the use of the lerfu word “ny”, representing the</w:t>
      </w:r>
      <w:r>
        <w:rPr>
          <w:rStyle w:val="deletedparamark"/>
        </w:rPr>
        <w:t xml:space="preserve"> </w:t>
      </w:r>
      <w:r>
        <w:t>letter “n”. In mekso, letters stand for just what they do in ordinary</w:t>
      </w:r>
      <w:r>
        <w:rPr>
          <w:rStyle w:val="deletedparamark"/>
        </w:rPr>
        <w:t xml:space="preserve"> </w:t>
      </w:r>
      <w:r>
        <w:t>mathematics: variables. The parser will accept a string of lerfu words</w:t>
      </w:r>
      <w:r>
        <w:rPr>
          <w:rStyle w:val="deletedparamark"/>
        </w:rPr>
        <w:t xml:space="preserve"> </w:t>
      </w:r>
      <w:r>
        <w:t>(called a “lerfu string”) as the equivalent of a single lerfu word, in</w:t>
      </w:r>
      <w:r>
        <w:rPr>
          <w:rStyle w:val="deletedparamark"/>
        </w:rPr>
        <w:t xml:space="preserve"> </w:t>
      </w:r>
      <w:r>
        <w:t>agreement with computer-science conventions; “abc” is a single variable,</w:t>
      </w:r>
      <w:r>
        <w:rPr>
          <w:rStyle w:val="deletedparamark"/>
        </w:rPr>
        <w:t xml:space="preserve"> </w:t>
      </w:r>
      <w:r>
        <w:t>not the equiv</w:t>
      </w:r>
      <w:r>
        <w:t>a</w:t>
      </w:r>
      <w:r>
        <w:softHyphen/>
        <w:t>lent of “</w:t>
      </w:r>
      <w:r>
        <w:rPr>
          <w:rStyle w:val="htmlcodes"/>
        </w:rPr>
        <w:t>&lt;math&gt;</w:t>
      </w:r>
      <w:r>
        <w:rPr>
          <w:rStyle w:val="math"/>
        </w:rPr>
        <w:t xml:space="preserve">a </w:t>
      </w:r>
      <w:r>
        <w:rPr>
          <w:rStyle w:val="math"/>
        </w:rPr>
        <w:sym w:font="Symbol" w:char="F0B4"/>
      </w:r>
      <w:r>
        <w:rPr>
          <w:rStyle w:val="htmlcodes"/>
        </w:rPr>
        <w:t>&amp;times;</w:t>
      </w:r>
      <w:r>
        <w:rPr>
          <w:rStyle w:val="math"/>
        </w:rPr>
        <w:t xml:space="preserve"> b </w:t>
      </w:r>
      <w:r>
        <w:rPr>
          <w:rStyle w:val="math"/>
        </w:rPr>
        <w:sym w:font="Symbol" w:char="F0B4"/>
      </w:r>
      <w:r>
        <w:rPr>
          <w:rStyle w:val="htmlcodes"/>
        </w:rPr>
        <w:t>&amp;times;</w:t>
      </w:r>
      <w:r>
        <w:rPr>
          <w:rStyle w:val="math"/>
        </w:rPr>
        <w:t xml:space="preserve"> c</w:t>
      </w:r>
      <w:r>
        <w:rPr>
          <w:rStyle w:val="htmlcodes"/>
        </w:rPr>
        <w:t>&lt;/math&gt;</w:t>
      </w:r>
      <w:r>
        <w:t>”. (Of course, a local convention could</w:t>
      </w:r>
      <w:r>
        <w:rPr>
          <w:rStyle w:val="deletedparamark"/>
        </w:rPr>
        <w:t xml:space="preserve"> </w:t>
      </w:r>
      <w:r>
        <w:t>state that the value of a variable like “</w:t>
      </w:r>
      <w:r>
        <w:rPr>
          <w:rStyle w:val="htmlcodes"/>
        </w:rPr>
        <w:t>&lt;math&gt;</w:t>
      </w:r>
      <w:r>
        <w:rPr>
          <w:rStyle w:val="math"/>
        </w:rPr>
        <w:t>abc</w:t>
      </w:r>
      <w:r>
        <w:rPr>
          <w:rStyle w:val="htmlcodes"/>
        </w:rPr>
        <w:t>&lt;/math&gt;</w:t>
      </w:r>
      <w:r>
        <w:t>”, with a multi-lerfu name, was</w:t>
      </w:r>
      <w:r>
        <w:rPr>
          <w:rStyle w:val="deletedparamark"/>
        </w:rPr>
        <w:t xml:space="preserve"> </w:t>
      </w:r>
      <w:r>
        <w:t>equal to the values of the variables “</w:t>
      </w:r>
      <w:r>
        <w:rPr>
          <w:rStyle w:val="htmlcodes"/>
        </w:rPr>
        <w:t>&lt;math&gt;</w:t>
      </w:r>
      <w:r>
        <w:rPr>
          <w:rStyle w:val="math"/>
        </w:rPr>
        <w:t>a</w:t>
      </w:r>
      <w:r>
        <w:rPr>
          <w:rStyle w:val="htmlcodes"/>
        </w:rPr>
        <w:t>&lt;/math&gt;</w:t>
      </w:r>
      <w:r>
        <w:t>”, “</w:t>
      </w:r>
      <w:r>
        <w:rPr>
          <w:rStyle w:val="htmlcodes"/>
        </w:rPr>
        <w:t>&lt;math&gt;</w:t>
      </w:r>
      <w:r>
        <w:rPr>
          <w:rStyle w:val="math"/>
        </w:rPr>
        <w:t>b</w:t>
      </w:r>
      <w:r>
        <w:rPr>
          <w:rStyle w:val="htmlcodes"/>
        </w:rPr>
        <w:t>&lt;/math&gt;</w:t>
      </w:r>
      <w:r>
        <w:t>”, and “</w:t>
      </w:r>
      <w:r>
        <w:rPr>
          <w:rStyle w:val="htmlcodes"/>
        </w:rPr>
        <w:t>&lt;math&gt;</w:t>
      </w:r>
      <w:r>
        <w:rPr>
          <w:rStyle w:val="math"/>
        </w:rPr>
        <w:t>c</w:t>
      </w:r>
      <w:r>
        <w:rPr>
          <w:rStyle w:val="htmlcodes"/>
        </w:rPr>
        <w:t>&lt;/math&gt;</w:t>
      </w:r>
      <w:r>
        <w:t>” multiplied together.)</w:t>
      </w:r>
    </w:p>
    <w:p w:rsidR="00B72047" w:rsidRDefault="00B72047">
      <w:pPr>
        <w:rPr>
          <w:rStyle w:val="htmlparacode"/>
        </w:rPr>
      </w:pPr>
      <w:r>
        <w:rPr>
          <w:rStyle w:val="htmlparacode"/>
        </w:rPr>
        <w:t>&lt;p&gt;</w:t>
      </w:r>
    </w:p>
    <w:p w:rsidR="00B72047" w:rsidRDefault="00B72047">
      <w:pPr>
        <w:pStyle w:val="normalparagraph"/>
      </w:pPr>
      <w:r>
        <w:rPr>
          <w:rStyle w:val="indexentry"/>
        </w:rPr>
        <w:t>&lt;cx "times, explicit expression of"&gt;</w:t>
      </w:r>
      <w:r>
        <w:rPr>
          <w:rStyle w:val="indexentry"/>
        </w:rPr>
        <w:fldChar w:fldCharType="begin"/>
      </w:r>
      <w:r>
        <w:instrText>xe "</w:instrText>
      </w:r>
      <w:r>
        <w:rPr>
          <w:rStyle w:val="xeentry"/>
        </w:rPr>
        <w:instrText>times: explicit expression of</w:instrText>
      </w:r>
      <w:r>
        <w:instrText>"</w:instrText>
      </w:r>
      <w:r>
        <w:rPr>
          <w:rStyle w:val="indexentry"/>
        </w:rPr>
        <w:fldChar w:fldCharType="end"/>
      </w:r>
      <w:r>
        <w:rPr>
          <w:rStyle w:val="indexentry"/>
        </w:rPr>
        <w:t>&lt;cx "times, implicit expression of"&gt;</w:t>
      </w:r>
      <w:r>
        <w:rPr>
          <w:rStyle w:val="indexentry"/>
        </w:rPr>
        <w:fldChar w:fldCharType="begin"/>
      </w:r>
      <w:r>
        <w:instrText>xe "</w:instrText>
      </w:r>
      <w:r>
        <w:rPr>
          <w:rStyle w:val="xeentry"/>
        </w:rPr>
        <w:instrText>times: implicit expression of</w:instrText>
      </w:r>
      <w:r>
        <w:instrText>"</w:instrText>
      </w:r>
      <w:r>
        <w:rPr>
          <w:rStyle w:val="indexentry"/>
        </w:rPr>
        <w:fldChar w:fldCharType="end"/>
      </w:r>
      <w:r>
        <w:rPr>
          <w:rStyle w:val="indexentry"/>
        </w:rPr>
        <w:t>&lt;cx "multiplication, explicit expression of"&gt;</w:t>
      </w:r>
      <w:r>
        <w:rPr>
          <w:rStyle w:val="indexentry"/>
        </w:rPr>
        <w:fldChar w:fldCharType="begin"/>
      </w:r>
      <w:r>
        <w:instrText>xe "</w:instrText>
      </w:r>
      <w:r>
        <w:rPr>
          <w:rStyle w:val="xeentry"/>
        </w:rPr>
        <w:instrText>multiplication: explicit expression of</w:instrText>
      </w:r>
      <w:r>
        <w:instrText>"</w:instrText>
      </w:r>
      <w:r>
        <w:rPr>
          <w:rStyle w:val="indexentry"/>
        </w:rPr>
        <w:fldChar w:fldCharType="end"/>
      </w:r>
      <w:r>
        <w:rPr>
          <w:rStyle w:val="indexentry"/>
        </w:rPr>
        <w:t>&lt;cx "multiplication, implicit expression of"&gt;</w:t>
      </w:r>
      <w:r>
        <w:rPr>
          <w:rStyle w:val="indexentry"/>
        </w:rPr>
        <w:fldChar w:fldCharType="begin"/>
      </w:r>
      <w:r>
        <w:instrText>xe "</w:instrText>
      </w:r>
      <w:r>
        <w:rPr>
          <w:rStyle w:val="xeentry"/>
        </w:rPr>
        <w:instrText>multiplication: implicit expression of</w:instrText>
      </w:r>
      <w:r>
        <w:instrText>"</w:instrText>
      </w:r>
      <w:r>
        <w:rPr>
          <w:rStyle w:val="indexentry"/>
        </w:rPr>
        <w:fldChar w:fldCharType="end"/>
      </w:r>
      <w:r>
        <w:t>The explicit operator “pi'i” is required in the Lojban verbal form whereas</w:t>
      </w:r>
      <w:r>
        <w:rPr>
          <w:rStyle w:val="deletedparamark"/>
        </w:rPr>
        <w:t xml:space="preserve"> </w:t>
      </w:r>
      <w:r>
        <w:t>mul</w:t>
      </w:r>
      <w:r>
        <w:softHyphen/>
        <w:t>tiplica</w:t>
      </w:r>
      <w:r>
        <w:softHyphen/>
        <w:t>tion is implicit in the symbolic form. Note that “ve'o” (the</w:t>
      </w:r>
      <w:r>
        <w:rPr>
          <w:rStyle w:val="deletedparamark"/>
        </w:rPr>
        <w:t xml:space="preserve"> </w:t>
      </w:r>
      <w:r>
        <w:t>right parenthesis) is an elidable terminator: the first use of it in</w:t>
      </w:r>
      <w:r>
        <w:rPr>
          <w:rStyle w:val="deletedparamark"/>
        </w:rPr>
        <w:t xml:space="preserve"> </w:t>
      </w:r>
      <w:r>
        <w:rPr>
          <w:rStyle w:val="htmlcodes"/>
        </w:rPr>
        <w:t>&lt;a href=#e5d10&gt;</w:t>
      </w:r>
      <w:r>
        <w:t xml:space="preserve">Example 5.10 </w:t>
      </w:r>
      <w:r>
        <w:rPr>
          <w:rStyle w:val="htmlcodes"/>
        </w:rPr>
        <w:t>&lt;/a&gt;</w:t>
      </w:r>
      <w:r>
        <w:t>is required, but the second use (marked by square brackets) could</w:t>
      </w:r>
      <w:r>
        <w:rPr>
          <w:rStyle w:val="deletedparamark"/>
        </w:rPr>
        <w:t xml:space="preserve"> </w:t>
      </w:r>
      <w:r>
        <w:t>be elided. Additionally, the first “bi'e” (also marked by square brackets)</w:t>
      </w:r>
      <w:r>
        <w:rPr>
          <w:rStyle w:val="deletedparamark"/>
        </w:rPr>
        <w:t xml:space="preserve"> </w:t>
      </w:r>
      <w:r>
        <w:t>is not necessary to get the proper grouping, but it is included here for</w:t>
      </w:r>
      <w:r>
        <w:rPr>
          <w:rStyle w:val="deletedparamark"/>
        </w:rPr>
        <w:t xml:space="preserve"> </w:t>
      </w:r>
      <w:r>
        <w:t>symmetry with the other one.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name=s6&gt;&lt;h3&gt;</w:t>
      </w:r>
      <w:bookmarkStart w:id="501" w:name="_Toc398970738"/>
      <w:r>
        <w:rPr>
          <w:rStyle w:val="Heading3Text"/>
        </w:rPr>
        <w:t>Forethought operators (Polish notation, functions)</w:t>
      </w:r>
      <w:bookmarkEnd w:id="50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ab/>
        <w:t>boi</w:t>
      </w:r>
      <w:r>
        <w:tab/>
        <w:t>BOI</w:t>
      </w:r>
      <w:r>
        <w:tab/>
        <w:t>numeral/lerfu string terminator</w:t>
      </w:r>
    </w:p>
    <w:p w:rsidR="00B72047" w:rsidRDefault="00B72047">
      <w:pPr>
        <w:pStyle w:val="examplescaled"/>
      </w:pPr>
      <w:r>
        <w:tab/>
        <w:t>va'a</w:t>
      </w:r>
      <w:r>
        <w:tab/>
        <w:t>VUhU</w:t>
      </w:r>
      <w:r>
        <w:tab/>
        <w:t>negation/additive inverse</w:t>
      </w:r>
    </w:p>
    <w:p w:rsidR="00B72047" w:rsidRDefault="00B72047">
      <w:pPr>
        <w:pStyle w:val="examplescaled"/>
      </w:pPr>
      <w:r>
        <w:tab/>
        <w:t>pe'o</w:t>
      </w:r>
      <w:r>
        <w:tab/>
        <w:t>PEhO</w:t>
      </w:r>
      <w:r>
        <w:tab/>
        <w:t>forethought flag</w:t>
      </w:r>
    </w:p>
    <w:p w:rsidR="00B72047" w:rsidRDefault="00B72047">
      <w:pPr>
        <w:pStyle w:val="examplescaled"/>
      </w:pPr>
      <w:r>
        <w:tab/>
        <w:t>ku'e</w:t>
      </w:r>
      <w:r>
        <w:tab/>
        <w:t>KUhE</w:t>
      </w:r>
      <w:r>
        <w:tab/>
        <w:t>forethought terminator</w:t>
      </w:r>
    </w:p>
    <w:p w:rsidR="00B72047" w:rsidRDefault="00B72047">
      <w:pPr>
        <w:pStyle w:val="examplescaled"/>
      </w:pPr>
      <w:r>
        <w:tab/>
        <w:t>ma'o</w:t>
      </w:r>
      <w:r>
        <w:tab/>
        <w:t>MAhO</w:t>
      </w:r>
      <w:r>
        <w:tab/>
        <w:t>convert operand to operator</w:t>
      </w:r>
    </w:p>
    <w:p w:rsidR="00B72047" w:rsidRDefault="00B72047">
      <w:pPr>
        <w:pStyle w:val="examplescaled"/>
      </w:pPr>
      <w:r>
        <w:br w:type="page"/>
      </w:r>
      <w:r>
        <w:tab/>
        <w:t>py.</w:t>
      </w:r>
      <w:r>
        <w:tab/>
        <w:t>BY</w:t>
      </w:r>
      <w:r>
        <w:tab/>
        <w:t>letter “p”</w:t>
      </w:r>
    </w:p>
    <w:p w:rsidR="00B72047" w:rsidRDefault="00B72047">
      <w:pPr>
        <w:pStyle w:val="examplescaled"/>
      </w:pPr>
      <w:r>
        <w:tab/>
        <w:t>xy.</w:t>
      </w:r>
      <w:r>
        <w:tab/>
        <w:t>BY</w:t>
      </w:r>
      <w:r>
        <w:tab/>
        <w:t>letter “x”</w:t>
      </w:r>
    </w:p>
    <w:p w:rsidR="00B72047" w:rsidRDefault="00B72047">
      <w:pPr>
        <w:pStyle w:val="examplescaled"/>
      </w:pPr>
      <w:r>
        <w:tab/>
        <w:t>zy.</w:t>
      </w:r>
      <w:r>
        <w:tab/>
        <w:t>BY</w:t>
      </w:r>
      <w:r>
        <w:tab/>
        <w:t>letter “z”</w:t>
      </w:r>
    </w:p>
    <w:p w:rsidR="00B72047" w:rsidRDefault="00B72047">
      <w:pPr>
        <w:pStyle w:val="examplescaled"/>
      </w:pPr>
      <w:r>
        <w:tab/>
        <w:t>fy.</w:t>
      </w:r>
      <w:r>
        <w:tab/>
        <w:t>BY</w:t>
      </w:r>
      <w:r>
        <w:tab/>
        <w:t>letter “f”</w:t>
      </w:r>
    </w:p>
    <w:p w:rsidR="00B72047" w:rsidRDefault="00B72047">
      <w:pPr>
        <w:pStyle w:val="normalafterexample"/>
      </w:pPr>
      <w:r>
        <w:rPr>
          <w:rStyle w:val="htmlcodes"/>
        </w:rPr>
        <w:t>&lt;/pre&gt;</w:t>
      </w:r>
      <w:r>
        <w:rPr>
          <w:rStyle w:val="indexentry"/>
        </w:rPr>
        <w:t>&lt;cx "infix mathematical notation, shortcomings of"&gt;</w:t>
      </w:r>
      <w:r>
        <w:rPr>
          <w:rStyle w:val="indexentry"/>
        </w:rPr>
        <w:fldChar w:fldCharType="begin"/>
      </w:r>
      <w:r>
        <w:instrText>xe "</w:instrText>
      </w:r>
      <w:r>
        <w:rPr>
          <w:rStyle w:val="xeentry"/>
        </w:rPr>
        <w:instrText>infix mathematical notation: shortcomings of</w:instrText>
      </w:r>
      <w:r>
        <w:instrText>"</w:instrText>
      </w:r>
      <w:r>
        <w:rPr>
          <w:rStyle w:val="indexentry"/>
        </w:rPr>
        <w:fldChar w:fldCharType="end"/>
      </w:r>
      <w:r>
        <w:rPr>
          <w:rStyle w:val="indexentry"/>
        </w:rPr>
        <w:t>&lt;cx "mathematical notation, infix shortcomings"&gt;</w:t>
      </w:r>
      <w:r>
        <w:rPr>
          <w:rStyle w:val="indexentry"/>
        </w:rPr>
        <w:fldChar w:fldCharType="begin"/>
      </w:r>
      <w:r>
        <w:instrText>xe "</w:instrText>
      </w:r>
      <w:r>
        <w:rPr>
          <w:rStyle w:val="xeentry"/>
        </w:rPr>
        <w:instrText>mathematical notation: infix shortcomings</w:instrText>
      </w:r>
      <w:r>
        <w:instrText>"</w:instrText>
      </w:r>
      <w:r>
        <w:rPr>
          <w:rStyle w:val="indexentry"/>
        </w:rPr>
        <w:fldChar w:fldCharType="end"/>
      </w:r>
      <w:r>
        <w:t>The infix form explained so far is reasonable for many purposes, but it is</w:t>
      </w:r>
      <w:r>
        <w:rPr>
          <w:rStyle w:val="deletedparamark"/>
        </w:rPr>
        <w:t xml:space="preserve"> </w:t>
      </w:r>
      <w:r>
        <w:t>lim</w:t>
      </w:r>
      <w:r>
        <w:softHyphen/>
        <w:t>ited and rigid. It works smoothly only where all operators have exactly</w:t>
      </w:r>
      <w:r>
        <w:rPr>
          <w:rStyle w:val="deletedparamark"/>
        </w:rPr>
        <w:t xml:space="preserve"> </w:t>
      </w:r>
      <w:r>
        <w:t>two operands, and where precedences can either be assumed from context</w:t>
      </w:r>
      <w:r>
        <w:rPr>
          <w:rStyle w:val="deletedparamark"/>
        </w:rPr>
        <w:t xml:space="preserve"> </w:t>
      </w:r>
      <w:r>
        <w:t>or are limited to just two levels, with some help from parentheses.</w:t>
      </w:r>
    </w:p>
    <w:p w:rsidR="00B72047" w:rsidRDefault="00B72047">
      <w:pPr>
        <w:rPr>
          <w:rStyle w:val="htmlparacode"/>
        </w:rPr>
      </w:pPr>
      <w:r>
        <w:rPr>
          <w:rStyle w:val="htmlparacode"/>
        </w:rPr>
        <w:t>&lt;p&gt;</w:t>
      </w:r>
    </w:p>
    <w:p w:rsidR="00B72047" w:rsidRDefault="00B72047">
      <w:pPr>
        <w:pStyle w:val="normalparagraph"/>
      </w:pPr>
      <w:r>
        <w:rPr>
          <w:rStyle w:val="indexentry"/>
        </w:rPr>
        <w:t>&lt;cx "Polish notation, definition"&gt;</w:t>
      </w:r>
      <w:r>
        <w:rPr>
          <w:rStyle w:val="indexentry"/>
        </w:rPr>
        <w:fldChar w:fldCharType="begin"/>
      </w:r>
      <w:r>
        <w:instrText>xe "</w:instrText>
      </w:r>
      <w:r>
        <w:rPr>
          <w:rStyle w:val="xeentry"/>
        </w:rPr>
        <w:instrText>Polish notation: definition</w:instrText>
      </w:r>
      <w:r>
        <w:instrText>"</w:instrText>
      </w:r>
      <w:r>
        <w:rPr>
          <w:rStyle w:val="indexentry"/>
        </w:rPr>
        <w:fldChar w:fldCharType="end"/>
      </w:r>
      <w:r>
        <w:rPr>
          <w:rStyle w:val="indexentry"/>
        </w:rPr>
        <w:t>&lt;cx "forethought mathematical notation (see also Polish)"&gt;</w:t>
      </w:r>
      <w:r>
        <w:rPr>
          <w:rStyle w:val="indexentry"/>
        </w:rPr>
        <w:fldChar w:fldCharType="begin"/>
      </w:r>
      <w:r>
        <w:instrText>xe "</w:instrText>
      </w:r>
      <w:r>
        <w:rPr>
          <w:rStyle w:val="xeentry"/>
        </w:rPr>
        <w:instrText>forethought mathematical notation (see also Polish)</w:instrText>
      </w:r>
      <w:r>
        <w:instrText>"</w:instrText>
      </w:r>
      <w:r>
        <w:rPr>
          <w:rStyle w:val="indexentry"/>
        </w:rPr>
        <w:fldChar w:fldCharType="end"/>
      </w:r>
      <w:r>
        <w:rPr>
          <w:rStyle w:val="indexentry"/>
        </w:rPr>
        <w:t>&lt;cx "mathematical notation, forethought (see also Polish)"&gt;</w:t>
      </w:r>
      <w:r>
        <w:rPr>
          <w:rStyle w:val="indexentry"/>
        </w:rPr>
        <w:fldChar w:fldCharType="begin"/>
      </w:r>
      <w:r>
        <w:instrText>xe "</w:instrText>
      </w:r>
      <w:r>
        <w:rPr>
          <w:rStyle w:val="xeentry"/>
        </w:rPr>
        <w:instrText>mathematical notation: forethought (see also Polish)</w:instrText>
      </w:r>
      <w:r>
        <w:instrText>"</w:instrText>
      </w:r>
      <w:r>
        <w:rPr>
          <w:rStyle w:val="indexentry"/>
        </w:rPr>
        <w:fldChar w:fldCharType="end"/>
      </w:r>
      <w:r>
        <w:t>But there are many operators which do not have two operands, or which have</w:t>
      </w:r>
      <w:r>
        <w:rPr>
          <w:rStyle w:val="deletedparamark"/>
        </w:rPr>
        <w:t xml:space="preserve"> </w:t>
      </w:r>
      <w:r>
        <w:t>a var</w:t>
      </w:r>
      <w:r>
        <w:t>i</w:t>
      </w:r>
      <w:r>
        <w:softHyphen/>
        <w:t>able number of operands. The preferred form of expression in such</w:t>
      </w:r>
      <w:r>
        <w:rPr>
          <w:rStyle w:val="deletedparamark"/>
        </w:rPr>
        <w:t xml:space="preserve"> </w:t>
      </w:r>
      <w:r>
        <w:t>cases is the use of “forethought operators”, also known as Polish notation.</w:t>
      </w:r>
      <w:r>
        <w:rPr>
          <w:rStyle w:val="deletedparamark"/>
        </w:rPr>
        <w:t xml:space="preserve"> </w:t>
      </w:r>
      <w:r>
        <w:t>In this style of writing math</w:t>
      </w:r>
      <w:r>
        <w:t>e</w:t>
      </w:r>
      <w:r>
        <w:softHyphen/>
        <w:t>matics, the operator comes first and the</w:t>
      </w:r>
      <w:r>
        <w:rPr>
          <w:rStyle w:val="deletedparamark"/>
        </w:rPr>
        <w:t xml:space="preserve"> </w:t>
      </w:r>
      <w:r>
        <w:t>operands afterwards:</w:t>
      </w:r>
    </w:p>
    <w:p w:rsidR="00B72047" w:rsidRDefault="00B72047">
      <w:pPr>
        <w:rPr>
          <w:rStyle w:val="htmlparacode"/>
        </w:rPr>
      </w:pPr>
      <w:r>
        <w:rPr>
          <w:rStyle w:val="htmlparacode"/>
        </w:rPr>
        <w:t>&lt;p&gt;</w:t>
      </w:r>
    </w:p>
    <w:p w:rsidR="00B72047" w:rsidRDefault="00B72047">
      <w:pPr>
        <w:pStyle w:val="examplescaledpre"/>
      </w:pPr>
      <w:r>
        <w:rPr>
          <w:rStyle w:val="indexentry"/>
        </w:rPr>
        <w:t>&lt;ex "sum of 1, 2, 3"&gt;</w:t>
      </w:r>
      <w:r>
        <w:rPr>
          <w:rStyle w:val="indexentry"/>
        </w:rPr>
        <w:fldChar w:fldCharType="begin"/>
      </w:r>
      <w:r>
        <w:instrText>xe "</w:instrText>
      </w:r>
      <w:r>
        <w:rPr>
          <w:rStyle w:val="xeentry"/>
        </w:rPr>
        <w:instrText>sum of 1: 2, 3, example</w:instrText>
      </w:r>
      <w:r>
        <w:instrText>"</w:instrText>
      </w:r>
      <w:r>
        <w:rPr>
          <w:rStyle w:val="indexentry"/>
        </w:rPr>
        <w:fldChar w:fldCharType="end"/>
      </w:r>
      <w:r>
        <w:rPr>
          <w:rStyle w:val="htmlcodes"/>
        </w:rPr>
        <w:t>&lt;pre&gt;&lt;a name=e6d1&gt;</w:t>
      </w:r>
      <w:r>
        <w:t>6.1)</w:t>
      </w:r>
      <w:r>
        <w:tab/>
        <w:t>li su'i paboi reboi ci[boi] du li xa</w:t>
      </w:r>
    </w:p>
    <w:p w:rsidR="00B72047" w:rsidRDefault="00B72047">
      <w:pPr>
        <w:pStyle w:val="examplescaled"/>
      </w:pPr>
      <w:r>
        <w:tab/>
        <w:t>The-number the-sum-of one two three equals the-number six.</w:t>
      </w:r>
    </w:p>
    <w:p w:rsidR="00B72047" w:rsidRDefault="00B72047">
      <w:pPr>
        <w:pStyle w:val="examplescaled"/>
      </w:pPr>
      <w:r>
        <w:tab/>
      </w:r>
      <w:r>
        <w:rPr>
          <w:rStyle w:val="htmlcodes"/>
        </w:rPr>
        <w:t>&lt;math&gt;&lt;r&gt;</w:t>
      </w:r>
      <w:r>
        <w:rPr>
          <w:rStyle w:val="math"/>
        </w:rPr>
        <w:t>sum</w:t>
      </w:r>
      <w:r>
        <w:rPr>
          <w:rStyle w:val="htmlcodes"/>
        </w:rPr>
        <w:t>&lt;/r&gt;</w:t>
      </w:r>
      <w:r>
        <w:rPr>
          <w:rStyle w:val="math"/>
        </w:rPr>
        <w:t>(1,2,3) = 6</w:t>
      </w:r>
      <w:r>
        <w:rPr>
          <w:rStyle w:val="htmlcodes"/>
        </w:rPr>
        <w:t>&lt;/math&gt;</w:t>
      </w:r>
    </w:p>
    <w:p w:rsidR="00B72047" w:rsidRDefault="00B72047">
      <w:pPr>
        <w:pStyle w:val="resumedafterexample"/>
      </w:pPr>
      <w:r>
        <w:rPr>
          <w:rStyle w:val="htmlcodes"/>
        </w:rPr>
        <w:t>&lt;/pre&gt;</w:t>
      </w:r>
      <w:r>
        <w:rPr>
          <w:rStyle w:val="indexentry"/>
        </w:rPr>
        <w:t>&lt;cx "Polish notation, separating operands in"&gt;</w:t>
      </w:r>
      <w:r>
        <w:rPr>
          <w:rStyle w:val="indexentry"/>
        </w:rPr>
        <w:fldChar w:fldCharType="begin"/>
      </w:r>
      <w:r>
        <w:instrText>xe "</w:instrText>
      </w:r>
      <w:r>
        <w:rPr>
          <w:rStyle w:val="xeentry"/>
        </w:rPr>
        <w:instrText>Polish notation: separating operands in</w:instrText>
      </w:r>
      <w:r>
        <w:instrText>"</w:instrText>
      </w:r>
      <w:r>
        <w:rPr>
          <w:rStyle w:val="indexentry"/>
        </w:rPr>
        <w:fldChar w:fldCharType="end"/>
      </w:r>
      <w:r>
        <w:rPr>
          <w:rStyle w:val="indexentry"/>
        </w:rPr>
        <w:t>&lt;cx "Polish notation, and use of boi"&gt;</w:t>
      </w:r>
      <w:r>
        <w:rPr>
          <w:rStyle w:val="indexentry"/>
        </w:rPr>
        <w:fldChar w:fldCharType="begin"/>
      </w:r>
      <w:r>
        <w:instrText>xe "</w:instrText>
      </w:r>
      <w:r>
        <w:rPr>
          <w:rStyle w:val="xeentry"/>
        </w:rPr>
        <w:instrText>Polish notation: and use of boi</w:instrText>
      </w:r>
      <w:r>
        <w:instrText>"</w:instrText>
      </w:r>
      <w:r>
        <w:rPr>
          <w:rStyle w:val="indexentry"/>
        </w:rPr>
        <w:fldChar w:fldCharType="end"/>
      </w: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rPr>
          <w:rStyle w:val="indexentry"/>
        </w:rPr>
        <w:t>&lt;cx "boi, in Polish notation"&gt;</w:t>
      </w:r>
      <w:r>
        <w:rPr>
          <w:rStyle w:val="indexentry"/>
        </w:rPr>
        <w:fldChar w:fldCharType="begin"/>
      </w:r>
      <w:r>
        <w:instrText>xe "</w:instrText>
      </w:r>
      <w:r>
        <w:rPr>
          <w:rStyle w:val="xeentry"/>
        </w:rPr>
        <w:instrText>boi: in Polish notation</w:instrText>
      </w:r>
      <w:r>
        <w:instrText>"</w:instrText>
      </w:r>
      <w:r>
        <w:rPr>
          <w:rStyle w:val="indexentry"/>
        </w:rPr>
        <w:fldChar w:fldCharType="end"/>
      </w:r>
      <w:r>
        <w:t>Note that the normally elidable number terminator “boi” is required</w:t>
      </w:r>
      <w:r>
        <w:rPr>
          <w:rStyle w:val="deletedparamark"/>
        </w:rPr>
        <w:t xml:space="preserve"> </w:t>
      </w:r>
      <w:r>
        <w:t>after “pa” and “re” because otherwise the reading would be “pareci” = 123.</w:t>
      </w:r>
      <w:r>
        <w:rPr>
          <w:rStyle w:val="deletedparamark"/>
        </w:rPr>
        <w:t xml:space="preserve"> </w:t>
      </w:r>
      <w:r>
        <w:t>It is not required after “ci” but is inserted here in brackets for the sake</w:t>
      </w:r>
      <w:r>
        <w:rPr>
          <w:rStyle w:val="deletedparamark"/>
        </w:rPr>
        <w:t xml:space="preserve"> </w:t>
      </w:r>
      <w:r>
        <w:t xml:space="preserve">of symmetry. The only time “boi” is required is, as in </w:t>
      </w:r>
      <w:r>
        <w:rPr>
          <w:rStyle w:val="htmlcodes"/>
        </w:rPr>
        <w:t>&lt;a href=#e6d1&gt;</w:t>
      </w:r>
      <w:r>
        <w:t>Example 6.1</w:t>
      </w:r>
      <w:r>
        <w:rPr>
          <w:rStyle w:val="htmlcodes"/>
        </w:rPr>
        <w:t>&lt;/a&gt;</w:t>
      </w:r>
      <w:r>
        <w:t>, when</w:t>
      </w:r>
      <w:r>
        <w:rPr>
          <w:rStyle w:val="deletedparamark"/>
        </w:rPr>
        <w:t xml:space="preserve"> </w:t>
      </w:r>
      <w:r>
        <w:t>there are two consecutive numbers or lerfu strings.</w:t>
      </w:r>
    </w:p>
    <w:p w:rsidR="00B72047" w:rsidRDefault="00B72047">
      <w:pPr>
        <w:rPr>
          <w:rStyle w:val="htmlparacode"/>
        </w:rPr>
      </w:pPr>
      <w:r>
        <w:rPr>
          <w:rStyle w:val="htmlparacode"/>
        </w:rPr>
        <w:t>&lt;p&gt;</w:t>
      </w:r>
    </w:p>
    <w:p w:rsidR="00B72047" w:rsidRDefault="00B72047">
      <w:pPr>
        <w:pStyle w:val="normalparagraph"/>
      </w:pPr>
      <w:r>
        <w:rPr>
          <w:rStyle w:val="indexentry"/>
        </w:rPr>
        <w:t>&lt;lx "ku'e"&gt;</w:t>
      </w:r>
      <w:r>
        <w:rPr>
          <w:rStyle w:val="indexentry"/>
        </w:rPr>
        <w:fldChar w:fldCharType="begin"/>
      </w:r>
      <w:r>
        <w:instrText>xe "</w:instrText>
      </w:r>
      <w:r>
        <w:rPr>
          <w:rStyle w:val="xeentry"/>
        </w:rPr>
        <w:instrText>ku'e</w:instrText>
      </w:r>
      <w:r>
        <w:instrText>"</w:instrText>
      </w:r>
      <w:r>
        <w:rPr>
          <w:rStyle w:val="indexentry"/>
        </w:rPr>
        <w:fldChar w:fldCharType="end"/>
      </w:r>
      <w:r>
        <w:rPr>
          <w:rStyle w:val="indexentry"/>
        </w:rPr>
        <w:t>&lt;cx "Polish notation, end-of-operands indicator"&gt;</w:t>
      </w:r>
      <w:r>
        <w:rPr>
          <w:rStyle w:val="indexentry"/>
        </w:rPr>
        <w:fldChar w:fldCharType="begin"/>
      </w:r>
      <w:r>
        <w:instrText>xe "</w:instrText>
      </w:r>
      <w:r>
        <w:rPr>
          <w:rStyle w:val="xeentry"/>
        </w:rPr>
        <w:instrText>Polish notation: end-of-operands indicator</w:instrText>
      </w:r>
      <w:r>
        <w:instrText>"</w:instrText>
      </w:r>
      <w:r>
        <w:rPr>
          <w:rStyle w:val="indexentry"/>
        </w:rPr>
        <w:fldChar w:fldCharType="end"/>
      </w:r>
      <w:r>
        <w:t xml:space="preserve">Forethought mekso can use any number of operands, in </w:t>
      </w:r>
      <w:r>
        <w:rPr>
          <w:rStyle w:val="htmlcodes"/>
        </w:rPr>
        <w:t>&lt;a href=#e6d1&gt;</w:t>
      </w:r>
      <w:r>
        <w:t xml:space="preserve">Example 6.1, </w:t>
      </w:r>
      <w:r>
        <w:rPr>
          <w:rStyle w:val="htmlcodes"/>
        </w:rPr>
        <w:t>&lt;/a&gt;</w:t>
      </w:r>
      <w:r>
        <w:t>three.</w:t>
      </w:r>
      <w:r>
        <w:rPr>
          <w:rStyle w:val="deletedparamark"/>
        </w:rPr>
        <w:t xml:space="preserve"> </w:t>
      </w:r>
      <w:r>
        <w:t>How do we know how many operands there are in ambiguous circumstances? The</w:t>
      </w:r>
      <w:r>
        <w:rPr>
          <w:rStyle w:val="deletedparamark"/>
        </w:rPr>
        <w:t xml:space="preserve"> </w:t>
      </w:r>
      <w:r>
        <w:t>usual Lojban solution is employed: an elidable terminator, namely “ku'e”.</w:t>
      </w:r>
      <w:r>
        <w:rPr>
          <w:rStyle w:val="deletedparamark"/>
        </w:rPr>
        <w:t xml:space="preserve"> </w:t>
      </w:r>
      <w:r>
        <w:t>Here is an exam</w:t>
      </w:r>
      <w:r>
        <w:softHyphen/>
        <w:t>ple:</w:t>
      </w:r>
    </w:p>
    <w:p w:rsidR="00B72047" w:rsidRDefault="00B72047">
      <w:pPr>
        <w:rPr>
          <w:rStyle w:val="htmlparacode"/>
        </w:rPr>
      </w:pPr>
      <w:r>
        <w:rPr>
          <w:rStyle w:val="htmlparacode"/>
        </w:rPr>
        <w:t>&lt;p&gt;</w:t>
      </w:r>
    </w:p>
    <w:p w:rsidR="00B72047" w:rsidRDefault="00B72047">
      <w:pPr>
        <w:pStyle w:val="examplescaledpre"/>
      </w:pPr>
      <w:r>
        <w:rPr>
          <w:rStyle w:val="indexentry"/>
        </w:rPr>
        <w:t>&lt;lx "va'a"&gt;</w:t>
      </w:r>
      <w:r>
        <w:rPr>
          <w:rStyle w:val="indexentry"/>
        </w:rPr>
        <w:fldChar w:fldCharType="begin"/>
      </w:r>
      <w:r>
        <w:instrText>xe "</w:instrText>
      </w:r>
      <w:r>
        <w:rPr>
          <w:rStyle w:val="xeentry"/>
        </w:rPr>
        <w:instrText>va'a</w:instrText>
      </w:r>
      <w:r>
        <w:instrText>"</w:instrText>
      </w:r>
      <w:r>
        <w:rPr>
          <w:rStyle w:val="indexentry"/>
        </w:rPr>
        <w:fldChar w:fldCharType="end"/>
      </w:r>
      <w:r>
        <w:rPr>
          <w:rStyle w:val="indexentry"/>
        </w:rPr>
        <w:t>&lt;ex "plus negative of"&gt;</w:t>
      </w:r>
      <w:r>
        <w:rPr>
          <w:rStyle w:val="indexentry"/>
        </w:rPr>
        <w:fldChar w:fldCharType="begin"/>
      </w:r>
      <w:r>
        <w:instrText>xe "</w:instrText>
      </w:r>
      <w:r>
        <w:rPr>
          <w:rStyle w:val="xeentry"/>
        </w:rPr>
        <w:instrText>plus negative of: example</w:instrText>
      </w:r>
      <w:r>
        <w:instrText>"</w:instrText>
      </w:r>
      <w:r>
        <w:rPr>
          <w:rStyle w:val="indexentry"/>
        </w:rPr>
        <w:fldChar w:fldCharType="end"/>
      </w:r>
      <w:r>
        <w:rPr>
          <w:rStyle w:val="htmlcodes"/>
        </w:rPr>
        <w:t>&lt;pre&gt;&lt;a name=e6d2&gt;</w:t>
      </w:r>
      <w:r>
        <w:t>6.2)</w:t>
      </w:r>
      <w:r>
        <w:tab/>
        <w:t>li py. su'i va'a ny. ku'e su'i zy du li xy.</w:t>
      </w:r>
    </w:p>
    <w:p w:rsidR="00B72047" w:rsidRDefault="00B72047">
      <w:pPr>
        <w:pStyle w:val="examplescaled"/>
      </w:pPr>
      <w:r>
        <w:tab/>
        <w:t>The-number “p” plus negative-of (“n”) plus “z” equals the-number “x”.</w:t>
      </w:r>
    </w:p>
    <w:p w:rsidR="00B72047" w:rsidRDefault="00B72047">
      <w:pPr>
        <w:pStyle w:val="examplescaled"/>
        <w:rPr>
          <w:rStyle w:val="math"/>
        </w:rPr>
      </w:pPr>
      <w:r>
        <w:tab/>
      </w:r>
      <w:r>
        <w:rPr>
          <w:rStyle w:val="htmlcodes"/>
        </w:rPr>
        <w:t>&lt;math&gt;</w:t>
      </w:r>
      <w:r>
        <w:rPr>
          <w:rStyle w:val="math"/>
        </w:rPr>
        <w:t>p + -n + z = x</w:t>
      </w:r>
      <w:r>
        <w:rPr>
          <w:rStyle w:val="htmlcodes"/>
        </w:rPr>
        <w:t>&lt;/math&gt;</w:t>
      </w:r>
    </w:p>
    <w:p w:rsidR="00B72047" w:rsidRDefault="00B72047">
      <w:pPr>
        <w:pStyle w:val="resumedafterexample"/>
      </w:pPr>
      <w:r>
        <w:rPr>
          <w:rStyle w:val="htmlcodes"/>
        </w:rPr>
        <w:t>&lt;/pre&gt;</w:t>
      </w:r>
      <w:r>
        <w:t>where we know that “va'a” is a forethought operator because there is no</w:t>
      </w:r>
      <w:r>
        <w:rPr>
          <w:rStyle w:val="deletedparamark"/>
        </w:rPr>
        <w:t xml:space="preserve"> </w:t>
      </w:r>
      <w:r>
        <w:t>operand pre</w:t>
      </w:r>
      <w:r>
        <w:softHyphen/>
        <w:t>ced</w:t>
      </w:r>
      <w:r>
        <w:softHyphen/>
        <w:t>ing it.</w:t>
      </w:r>
    </w:p>
    <w:p w:rsidR="00B72047" w:rsidRDefault="00B72047">
      <w:pPr>
        <w:rPr>
          <w:rStyle w:val="htmlparacode"/>
        </w:rPr>
      </w:pPr>
      <w:r>
        <w:rPr>
          <w:rStyle w:val="htmlparacode"/>
        </w:rPr>
        <w:t>&lt;p&gt;</w:t>
      </w:r>
    </w:p>
    <w:p w:rsidR="00B72047" w:rsidRDefault="00B72047">
      <w:pPr>
        <w:pStyle w:val="normalparagraph"/>
      </w:pPr>
      <w:r>
        <w:rPr>
          <w:rStyle w:val="indexentry"/>
        </w:rPr>
        <w:t>&lt;cx "va'a, contrasted with vu'u and ni'u"&gt;</w:t>
      </w:r>
      <w:r>
        <w:rPr>
          <w:rStyle w:val="indexentry"/>
        </w:rPr>
        <w:fldChar w:fldCharType="begin"/>
      </w:r>
      <w:r>
        <w:instrText>xe "</w:instrText>
      </w:r>
      <w:r>
        <w:rPr>
          <w:rStyle w:val="xeentry"/>
        </w:rPr>
        <w:instrText>va'a: contrasted with vu'u and ni'u</w:instrText>
      </w:r>
      <w:r>
        <w:instrText>"</w:instrText>
      </w:r>
      <w:r>
        <w:rPr>
          <w:rStyle w:val="indexentry"/>
        </w:rPr>
        <w:fldChar w:fldCharType="end"/>
      </w:r>
      <w:r>
        <w:rPr>
          <w:rStyle w:val="indexentry"/>
        </w:rPr>
        <w:t>&lt;cx "vu'u, contrasted with va'a and ni'u"&gt;</w:t>
      </w:r>
      <w:r>
        <w:rPr>
          <w:rStyle w:val="indexentry"/>
        </w:rPr>
        <w:fldChar w:fldCharType="begin"/>
      </w:r>
      <w:r>
        <w:instrText>xe "</w:instrText>
      </w:r>
      <w:r>
        <w:rPr>
          <w:rStyle w:val="xeentry"/>
        </w:rPr>
        <w:instrText>vu'u: contrasted with va'a and ni'u</w:instrText>
      </w:r>
      <w:r>
        <w:instrText>"</w:instrText>
      </w:r>
      <w:r>
        <w:rPr>
          <w:rStyle w:val="indexentry"/>
        </w:rPr>
        <w:fldChar w:fldCharType="end"/>
      </w:r>
      <w:r>
        <w:rPr>
          <w:rStyle w:val="indexentry"/>
        </w:rPr>
        <w:t>&lt;cx "ni'u, contrasted with va'a and vu'u"&gt;</w:t>
      </w:r>
      <w:r>
        <w:rPr>
          <w:rStyle w:val="indexentry"/>
        </w:rPr>
        <w:fldChar w:fldCharType="begin"/>
      </w:r>
      <w:r>
        <w:instrText>xe "</w:instrText>
      </w:r>
      <w:r>
        <w:rPr>
          <w:rStyle w:val="xeentry"/>
        </w:rPr>
        <w:instrText>ni'u: contrasted with va'a and vu'u</w:instrText>
      </w:r>
      <w:r>
        <w:instrText>"</w:instrText>
      </w:r>
      <w:r>
        <w:rPr>
          <w:rStyle w:val="indexentry"/>
        </w:rPr>
        <w:fldChar w:fldCharType="end"/>
      </w:r>
      <w:r>
        <w:rPr>
          <w:rStyle w:val="indexentry"/>
        </w:rPr>
        <w:t>&lt;cx "negation operator, contrasted with subtraction operator"&gt;</w:t>
      </w:r>
      <w:r>
        <w:rPr>
          <w:rStyle w:val="indexentry"/>
        </w:rPr>
        <w:fldChar w:fldCharType="begin"/>
      </w:r>
      <w:r>
        <w:instrText>xe "</w:instrText>
      </w:r>
      <w:r>
        <w:rPr>
          <w:rStyle w:val="xeentry"/>
        </w:rPr>
        <w:instrText>negation operator: contrasted with subtraction operator</w:instrText>
      </w:r>
      <w:r>
        <w:instrText>"</w:instrText>
      </w:r>
      <w:r>
        <w:rPr>
          <w:rStyle w:val="indexentry"/>
        </w:rPr>
        <w:fldChar w:fldCharType="end"/>
      </w:r>
      <w:r>
        <w:rPr>
          <w:rStyle w:val="indexentry"/>
        </w:rPr>
        <w:t>&lt;cx "subtraction operator, contrasted with negation operator"&gt;</w:t>
      </w:r>
      <w:r>
        <w:rPr>
          <w:rStyle w:val="indexentry"/>
        </w:rPr>
        <w:fldChar w:fldCharType="begin"/>
      </w:r>
      <w:r>
        <w:instrText>xe "</w:instrText>
      </w:r>
      <w:r>
        <w:rPr>
          <w:rStyle w:val="xeentry"/>
        </w:rPr>
        <w:instrText>subtraction operator: contrasted with negation operator</w:instrText>
      </w:r>
      <w:r>
        <w:instrText>"</w:instrText>
      </w:r>
      <w:r>
        <w:rPr>
          <w:rStyle w:val="indexentry"/>
        </w:rPr>
        <w:fldChar w:fldCharType="end"/>
      </w:r>
      <w:r>
        <w:rPr>
          <w:rStyle w:val="indexentry"/>
        </w:rPr>
        <w:t>&lt;cx "negation operator, contrasted with negative sign"&gt;</w:t>
      </w:r>
      <w:r>
        <w:rPr>
          <w:rStyle w:val="indexentry"/>
        </w:rPr>
        <w:fldChar w:fldCharType="begin"/>
      </w:r>
      <w:r>
        <w:instrText>xe "</w:instrText>
      </w:r>
      <w:r>
        <w:rPr>
          <w:rStyle w:val="xeentry"/>
        </w:rPr>
        <w:instrText>negation operator: contrasted with negative sign</w:instrText>
      </w:r>
      <w:r>
        <w:instrText>"</w:instrText>
      </w:r>
      <w:r>
        <w:rPr>
          <w:rStyle w:val="indexentry"/>
        </w:rPr>
        <w:fldChar w:fldCharType="end"/>
      </w:r>
      <w:r>
        <w:rPr>
          <w:rStyle w:val="indexentry"/>
        </w:rPr>
        <w:t>&lt;cx "negative sign, contrasted with negation operator"&gt;</w:t>
      </w:r>
      <w:r>
        <w:rPr>
          <w:rStyle w:val="indexentry"/>
        </w:rPr>
        <w:fldChar w:fldCharType="begin"/>
      </w:r>
      <w:r>
        <w:instrText>xe "</w:instrText>
      </w:r>
      <w:r>
        <w:rPr>
          <w:rStyle w:val="xeentry"/>
        </w:rPr>
        <w:instrText>negative sign: contrasted with negation operator</w:instrText>
      </w:r>
      <w:r>
        <w:instrText>"</w:instrText>
      </w:r>
      <w:r>
        <w:rPr>
          <w:rStyle w:val="indexentry"/>
        </w:rPr>
        <w:fldChar w:fldCharType="end"/>
      </w:r>
      <w:r>
        <w:rPr>
          <w:rStyle w:val="indexentry"/>
        </w:rPr>
        <w:t>&lt;lx "vu'u"&gt;</w:t>
      </w:r>
      <w:r>
        <w:rPr>
          <w:rStyle w:val="indexentry"/>
        </w:rPr>
        <w:fldChar w:fldCharType="begin"/>
      </w:r>
      <w:r>
        <w:instrText>xe "</w:instrText>
      </w:r>
      <w:r>
        <w:rPr>
          <w:rStyle w:val="xeentry"/>
        </w:rPr>
        <w:instrText>vu'u</w:instrText>
      </w:r>
      <w:r>
        <w:instrText>"</w:instrText>
      </w:r>
      <w:r>
        <w:rPr>
          <w:rStyle w:val="indexentry"/>
        </w:rPr>
        <w:fldChar w:fldCharType="end"/>
      </w:r>
      <w:r>
        <w:rPr>
          <w:rStyle w:val="indexentry"/>
        </w:rPr>
        <w:t>&lt;lx "ni'u"&gt;</w:t>
      </w:r>
      <w:r>
        <w:rPr>
          <w:rStyle w:val="indexentry"/>
        </w:rPr>
        <w:fldChar w:fldCharType="begin"/>
      </w:r>
      <w:r>
        <w:instrText>xe "</w:instrText>
      </w:r>
      <w:r>
        <w:rPr>
          <w:rStyle w:val="xeentry"/>
        </w:rPr>
        <w:instrText>ni'u</w:instrText>
      </w:r>
      <w:r>
        <w:instrText>"</w:instrText>
      </w:r>
      <w:r>
        <w:rPr>
          <w:rStyle w:val="indexentry"/>
        </w:rPr>
        <w:fldChar w:fldCharType="end"/>
      </w:r>
      <w:r>
        <w:rPr>
          <w:rStyle w:val="indexentry"/>
        </w:rPr>
        <w:t>“</w:t>
      </w:r>
      <w:r>
        <w:t>“va'a” is the numerical negation operator, of selma'o VUhU. In contrast,</w:t>
      </w:r>
      <w:r>
        <w:rPr>
          <w:rStyle w:val="deletedparamark"/>
        </w:rPr>
        <w:t xml:space="preserve"> </w:t>
      </w:r>
      <w:r>
        <w:t>j “vu'u” is not used for numerical negation, but only for subtraction, as</w:t>
      </w:r>
      <w:r>
        <w:rPr>
          <w:rStyle w:val="deletedparamark"/>
        </w:rPr>
        <w:t xml:space="preserve"> </w:t>
      </w:r>
      <w:r>
        <w:t>it always has two or more ope</w:t>
      </w:r>
      <w:r>
        <w:t>r</w:t>
      </w:r>
      <w:r>
        <w:softHyphen/>
        <w:t>ands. Do not confuse “va'a” and “vu'u”,</w:t>
      </w:r>
      <w:r>
        <w:rPr>
          <w:rStyle w:val="deletedparamark"/>
        </w:rPr>
        <w:t xml:space="preserve"> </w:t>
      </w:r>
      <w:r>
        <w:t>which are operators, with “ni'u”, which is part of a number.</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"Polish notation, operator …ku'e compared with parenthesization"&gt;</w:t>
      </w:r>
      <w:r>
        <w:rPr>
          <w:rStyle w:val="indexentry"/>
        </w:rPr>
        <w:fldChar w:fldCharType="begin"/>
      </w:r>
      <w:r>
        <w:instrText>xe "</w:instrText>
      </w:r>
      <w:r>
        <w:rPr>
          <w:rStyle w:val="xeentry"/>
        </w:rPr>
        <w:instrText>Polish notation: operator …ku'e compared with parenthesization</w:instrText>
      </w:r>
      <w:r>
        <w:instrText>"</w:instrText>
      </w:r>
      <w:r>
        <w:rPr>
          <w:rStyle w:val="indexentry"/>
        </w:rPr>
        <w:fldChar w:fldCharType="end"/>
      </w:r>
      <w:r>
        <w:rPr>
          <w:rStyle w:val="indexentry"/>
        </w:rPr>
        <w:t>&lt;cx "Polish notation, vei …ve'o contrasted with operator …ku'e"&gt;</w:t>
      </w:r>
      <w:r>
        <w:rPr>
          <w:rStyle w:val="indexentry"/>
        </w:rPr>
        <w:fldChar w:fldCharType="begin"/>
      </w:r>
      <w:r>
        <w:instrText>xe "</w:instrText>
      </w:r>
      <w:r>
        <w:rPr>
          <w:rStyle w:val="xeentry"/>
        </w:rPr>
        <w:instrText>Polish notation: vei …ve'o contrasted with operator …ku'e</w:instrText>
      </w:r>
      <w:r>
        <w:instrText>"</w:instrText>
      </w:r>
      <w:r>
        <w:rPr>
          <w:rStyle w:val="indexentry"/>
        </w:rPr>
        <w:fldChar w:fldCharType="end"/>
      </w:r>
      <w:r>
        <w:rPr>
          <w:rStyle w:val="indexentry"/>
        </w:rPr>
        <w:t>&lt;cx "vei …ve'o, contrasted with operator …ku'e in Polish notation"&gt;</w:t>
      </w:r>
      <w:r>
        <w:rPr>
          <w:rStyle w:val="indexentry"/>
        </w:rPr>
        <w:fldChar w:fldCharType="begin"/>
      </w:r>
      <w:r>
        <w:instrText>xe "</w:instrText>
      </w:r>
      <w:r>
        <w:rPr>
          <w:rStyle w:val="xeentry"/>
        </w:rPr>
        <w:instrText>vei …ve'o: contrasted with operator …ku'e in Polish notation</w:instrText>
      </w:r>
      <w:r>
        <w:instrText>"</w:instrText>
      </w:r>
      <w:r>
        <w:rPr>
          <w:rStyle w:val="indexentry"/>
        </w:rPr>
        <w:fldChar w:fldCharType="end"/>
      </w:r>
      <w:r>
        <w:rPr>
          <w:rStyle w:val="indexentry"/>
        </w:rPr>
        <w:t>&lt;cx "operator …ku'e in Polish notation, contrasted with vei …ve'o"&gt;</w:t>
      </w:r>
      <w:r>
        <w:rPr>
          <w:rStyle w:val="indexentry"/>
        </w:rPr>
        <w:fldChar w:fldCharType="begin"/>
      </w:r>
      <w:r>
        <w:instrText>xe "</w:instrText>
      </w:r>
      <w:r>
        <w:rPr>
          <w:rStyle w:val="xeentry"/>
        </w:rPr>
        <w:instrText>operator …ku'e in Polish notation: contrasted with vei …ve'o</w:instrText>
      </w:r>
      <w:r>
        <w:instrText>"</w:instrText>
      </w:r>
      <w:r>
        <w:rPr>
          <w:rStyle w:val="indexentry"/>
        </w:rPr>
        <w:fldChar w:fldCharType="end"/>
      </w:r>
      <w:r>
        <w:t xml:space="preserve">In </w:t>
      </w:r>
      <w:r>
        <w:rPr>
          <w:rStyle w:val="htmlcodes"/>
        </w:rPr>
        <w:t>&lt;a href=#e6d2&gt;</w:t>
      </w:r>
      <w:r>
        <w:t>Example 6.2</w:t>
      </w:r>
      <w:r>
        <w:rPr>
          <w:rStyle w:val="htmlcodes"/>
        </w:rPr>
        <w:t>&lt;/a&gt;</w:t>
      </w:r>
      <w:r>
        <w:t>, the operator “va'a” and the terminator “ku'e” serve in ef</w:t>
      </w:r>
      <w:r>
        <w:softHyphen/>
        <w:t>fect</w:t>
      </w:r>
      <w:r>
        <w:rPr>
          <w:rStyle w:val="deletedparamark"/>
        </w:rPr>
        <w:t xml:space="preserve"> </w:t>
      </w:r>
      <w:r>
        <w:t>as p</w:t>
      </w:r>
      <w:r>
        <w:t>a</w:t>
      </w:r>
      <w:r>
        <w:softHyphen/>
        <w:t>rentheses. (The regular parentheses “vei” and “ve'o” are NOT used for</w:t>
      </w:r>
      <w:r>
        <w:rPr>
          <w:rStyle w:val="deletedparamark"/>
        </w:rPr>
        <w:t xml:space="preserve"> </w:t>
      </w:r>
      <w:r>
        <w:t>this purpose.) If the “ku'e” were omitted, the “su'i zy” would be</w:t>
      </w:r>
      <w:r>
        <w:rPr>
          <w:rStyle w:val="deletedparamark"/>
        </w:rPr>
        <w:t xml:space="preserve"> </w:t>
      </w:r>
      <w:r>
        <w:t>swallowed up by the “va'a” forethought operator, which would then appear</w:t>
      </w:r>
      <w:r>
        <w:rPr>
          <w:rStyle w:val="deletedparamark"/>
        </w:rPr>
        <w:t xml:space="preserve"> </w:t>
      </w:r>
      <w:r>
        <w:t>to have two operands, “ny” and “su'i zy.”, where the latter is also a</w:t>
      </w:r>
      <w:r>
        <w:rPr>
          <w:rStyle w:val="deletedparamark"/>
        </w:rPr>
        <w:t xml:space="preserve"> </w:t>
      </w:r>
      <w:r>
        <w:t>forethought expression.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"functional notation, standard"&gt;</w:t>
      </w:r>
      <w:r>
        <w:rPr>
          <w:rStyle w:val="indexentry"/>
        </w:rPr>
        <w:fldChar w:fldCharType="begin"/>
      </w:r>
      <w:r>
        <w:instrText>xe "</w:instrText>
      </w:r>
      <w:r>
        <w:rPr>
          <w:rStyle w:val="xeentry"/>
        </w:rPr>
        <w:instrText>functional notation: standard</w:instrText>
      </w:r>
      <w:r>
        <w:instrText>"</w:instrText>
      </w:r>
      <w:r>
        <w:rPr>
          <w:rStyle w:val="indexentry"/>
        </w:rPr>
        <w:fldChar w:fldCharType="end"/>
      </w:r>
      <w:r>
        <w:t>Forethought mekso is also useful for matching standard functional notation.</w:t>
      </w:r>
      <w:r>
        <w:rPr>
          <w:rStyle w:val="deletedparamark"/>
        </w:rPr>
        <w:t xml:space="preserve"> </w:t>
      </w:r>
      <w:r>
        <w:t>How do we represent “</w:t>
      </w:r>
      <w:r>
        <w:rPr>
          <w:rStyle w:val="math"/>
        </w:rPr>
        <w:t>z = f(x)</w:t>
      </w:r>
      <w:r>
        <w:t>”? The answer is:</w:t>
      </w:r>
    </w:p>
    <w:p w:rsidR="00B72047" w:rsidRDefault="00B72047">
      <w:pPr>
        <w:rPr>
          <w:rStyle w:val="htmlparacode"/>
        </w:rPr>
      </w:pPr>
      <w:r>
        <w:rPr>
          <w:rStyle w:val="htmlparacode"/>
        </w:rPr>
        <w:t>&lt;p&gt;</w:t>
      </w:r>
    </w:p>
    <w:p w:rsidR="00B72047" w:rsidRDefault="00B72047">
      <w:pPr>
        <w:pStyle w:val="examplescaledpre"/>
      </w:pPr>
      <w:r>
        <w:rPr>
          <w:rStyle w:val="indexentry"/>
        </w:rPr>
        <w:t>&lt;ex "z = f(x)"&gt;</w:t>
      </w:r>
      <w:r>
        <w:rPr>
          <w:rStyle w:val="indexentry"/>
        </w:rPr>
        <w:fldChar w:fldCharType="begin"/>
      </w:r>
      <w:r>
        <w:instrText>xe "</w:instrText>
      </w:r>
      <w:r>
        <w:rPr>
          <w:rStyle w:val="xeentry"/>
        </w:rPr>
        <w:instrText>z = f(x): example</w:instrText>
      </w:r>
      <w:r>
        <w:instrText>"</w:instrText>
      </w:r>
      <w:r>
        <w:rPr>
          <w:rStyle w:val="indexentry"/>
        </w:rPr>
        <w:fldChar w:fldCharType="end"/>
      </w:r>
      <w:r>
        <w:rPr>
          <w:rStyle w:val="indexentry"/>
        </w:rPr>
        <w:t>&lt;lx "ma'o"&gt;</w:t>
      </w:r>
      <w:r>
        <w:rPr>
          <w:rStyle w:val="indexentry"/>
        </w:rPr>
        <w:fldChar w:fldCharType="begin"/>
      </w:r>
      <w:r>
        <w:instrText>xe "</w:instrText>
      </w:r>
      <w:r>
        <w:rPr>
          <w:rStyle w:val="xeentry"/>
        </w:rPr>
        <w:instrText>ma'o</w:instrText>
      </w:r>
      <w:r>
        <w:instrText>"</w:instrText>
      </w:r>
      <w:r>
        <w:rPr>
          <w:rStyle w:val="indexentry"/>
        </w:rPr>
        <w:fldChar w:fldCharType="end"/>
      </w:r>
      <w:r>
        <w:rPr>
          <w:rStyle w:val="htmlcodes"/>
        </w:rPr>
        <w:t>&lt;pre&gt;&lt;a name=e6d3&gt;</w:t>
      </w:r>
      <w:r>
        <w:t>6.3)</w:t>
      </w:r>
      <w:r>
        <w:tab/>
        <w:t>li zy du li ma'o fy.boi xy.</w:t>
      </w:r>
    </w:p>
    <w:p w:rsidR="00B72047" w:rsidRDefault="00B72047">
      <w:pPr>
        <w:pStyle w:val="examplescaled"/>
      </w:pPr>
      <w:r>
        <w:tab/>
        <w:t>The-number z equals the-number the-operator f x.</w:t>
      </w:r>
    </w:p>
    <w:p w:rsidR="00B72047" w:rsidRDefault="00B72047">
      <w:pPr>
        <w:pStyle w:val="examplescaled"/>
      </w:pPr>
      <w:r>
        <w:tab/>
      </w:r>
      <w:r>
        <w:rPr>
          <w:rStyle w:val="htmlcodes"/>
        </w:rPr>
        <w:t>&lt;math&gt;</w:t>
      </w:r>
      <w:r>
        <w:rPr>
          <w:rStyle w:val="math"/>
        </w:rPr>
        <w:t>z = f(x)</w:t>
      </w:r>
      <w:r>
        <w:rPr>
          <w:rStyle w:val="htmlcodes"/>
        </w:rPr>
        <w:t>&lt;/math&gt;</w:t>
      </w:r>
    </w:p>
    <w:p w:rsidR="00B72047" w:rsidRDefault="00B72047">
      <w:pPr>
        <w:pStyle w:val="resumedafterexample"/>
      </w:pPr>
      <w:r>
        <w:rPr>
          <w:rStyle w:val="htmlcodes"/>
        </w:rPr>
        <w:t>&lt;/pre&gt;</w:t>
      </w:r>
      <w:r>
        <w:rPr>
          <w:rStyle w:val="indexentry"/>
        </w:rPr>
        <w:t>&lt;cx "lerfu strings as functions, in mathematics"&gt;</w:t>
      </w:r>
      <w:r>
        <w:rPr>
          <w:rStyle w:val="indexentry"/>
        </w:rPr>
        <w:fldChar w:fldCharType="begin"/>
      </w:r>
      <w:r>
        <w:instrText>xe "</w:instrText>
      </w:r>
      <w:r>
        <w:rPr>
          <w:rStyle w:val="xeentry"/>
        </w:rPr>
        <w:instrText>lerfu string: as function, in mathematics</w:instrText>
      </w:r>
      <w:r>
        <w:instrText>"</w:instrText>
      </w:r>
      <w:r>
        <w:rPr>
          <w:rStyle w:val="indexentry"/>
        </w:rPr>
        <w:fldChar w:fldCharType="end"/>
      </w:r>
      <w:r>
        <w:rPr>
          <w:rStyle w:val="indexentry"/>
        </w:rPr>
        <w:t>&lt;cx "lerfu strings as variables, in mathematics"&gt;</w:t>
      </w:r>
      <w:r>
        <w:rPr>
          <w:rStyle w:val="indexentry"/>
        </w:rPr>
        <w:fldChar w:fldCharType="begin"/>
      </w:r>
      <w:r>
        <w:instrText>xe "</w:instrText>
      </w:r>
      <w:r>
        <w:rPr>
          <w:rStyle w:val="xeentry"/>
        </w:rPr>
        <w:instrText>lerfu string: as variable, in mathematics</w:instrText>
      </w:r>
      <w:r>
        <w:instrText>"</w:instrText>
      </w:r>
      <w:r>
        <w:rPr>
          <w:rStyle w:val="indexentry"/>
        </w:rPr>
        <w:fldChar w:fldCharType="end"/>
      </w:r>
      <w:r>
        <w:t>Again, no parentheses are used. The construct “ma'o fy.boi” is the</w:t>
      </w:r>
      <w:r>
        <w:rPr>
          <w:rStyle w:val="deletedparamark"/>
        </w:rPr>
        <w:t xml:space="preserve"> </w:t>
      </w:r>
      <w:r>
        <w:t>equivalent of an op</w:t>
      </w:r>
      <w:r>
        <w:softHyphen/>
        <w:t>erator, and appears in forethought here (although it</w:t>
      </w:r>
      <w:r>
        <w:rPr>
          <w:rStyle w:val="deletedparamark"/>
        </w:rPr>
        <w:t xml:space="preserve"> </w:t>
      </w:r>
      <w:r>
        <w:t>could also be used as a regular infix operator). In mathematics, letters</w:t>
      </w:r>
      <w:r>
        <w:rPr>
          <w:rStyle w:val="deletedparamark"/>
        </w:rPr>
        <w:t xml:space="preserve"> </w:t>
      </w:r>
      <w:r>
        <w:t>sometimes mean functions and sometimes mean vari</w:t>
      </w:r>
      <w:r>
        <w:softHyphen/>
        <w:t>ables, with only the context</w:t>
      </w:r>
      <w:r>
        <w:rPr>
          <w:rStyle w:val="deletedparamark"/>
        </w:rPr>
        <w:t xml:space="preserve"> </w:t>
      </w:r>
      <w:r>
        <w:t>to tell which. Lojban chooses to accept the variable inter</w:t>
      </w:r>
      <w:r>
        <w:softHyphen/>
        <w:t>pre</w:t>
      </w:r>
      <w:r>
        <w:softHyphen/>
        <w:t>tation as the</w:t>
      </w:r>
      <w:r>
        <w:rPr>
          <w:rStyle w:val="deletedparamark"/>
        </w:rPr>
        <w:t xml:space="preserve"> </w:t>
      </w:r>
      <w:r>
        <w:t>default, and uses the special flag “ma'o” to mark a lerfu string as an</w:t>
      </w:r>
      <w:r>
        <w:rPr>
          <w:rStyle w:val="deletedparamark"/>
        </w:rPr>
        <w:t xml:space="preserve"> </w:t>
      </w:r>
      <w:r>
        <w:t>o</w:t>
      </w:r>
      <w:r>
        <w:t>p</w:t>
      </w:r>
      <w:r>
        <w:t>erator. The cmavo “xy.” and “zy.” are variables, but “fy.” is an</w:t>
      </w:r>
      <w:r>
        <w:rPr>
          <w:rStyle w:val="deletedparamark"/>
        </w:rPr>
        <w:t xml:space="preserve"> </w:t>
      </w:r>
      <w:r>
        <w:t>operator (a function) b</w:t>
      </w:r>
      <w:r>
        <w:t>e</w:t>
      </w:r>
      <w:r>
        <w:t>cause “ma'o” marks it as such. The “boi” is</w:t>
      </w:r>
      <w:r>
        <w:rPr>
          <w:rStyle w:val="deletedparamark"/>
        </w:rPr>
        <w:t xml:space="preserve"> </w:t>
      </w:r>
      <w:r>
        <w:t>required because otherwise the “xy.” would look like part of the operator</w:t>
      </w:r>
      <w:r>
        <w:rPr>
          <w:rStyle w:val="deletedparamark"/>
        </w:rPr>
        <w:t xml:space="preserve"> </w:t>
      </w:r>
      <w:r>
        <w:t>name. (The use of “ma'o” can be generalized from lerfu strings to any</w:t>
      </w:r>
      <w:r>
        <w:rPr>
          <w:rStyle w:val="deletedparamark"/>
        </w:rPr>
        <w:t xml:space="preserve"> </w:t>
      </w:r>
      <w:r>
        <w:t xml:space="preserve">mekso operand: see </w:t>
      </w:r>
      <w:r>
        <w:rPr>
          <w:rStyle w:val="htmlcodes"/>
        </w:rPr>
        <w:t>&lt;a href=#s21&gt;</w:t>
      </w:r>
      <w:r>
        <w:t>Section 21</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"pe'o"&gt;</w:t>
      </w:r>
      <w:r>
        <w:rPr>
          <w:rStyle w:val="indexentry"/>
        </w:rPr>
        <w:fldChar w:fldCharType="begin"/>
      </w:r>
      <w:r>
        <w:instrText>xe "</w:instrText>
      </w:r>
      <w:r>
        <w:rPr>
          <w:rStyle w:val="xeentry"/>
        </w:rPr>
        <w:instrText>pe'o</w:instrText>
      </w:r>
      <w:r>
        <w:instrText>"</w:instrText>
      </w:r>
      <w:r>
        <w:rPr>
          <w:rStyle w:val="indexentry"/>
        </w:rPr>
        <w:fldChar w:fldCharType="end"/>
      </w:r>
      <w:r>
        <w:rPr>
          <w:rStyle w:val="indexentry"/>
        </w:rPr>
        <w:t>&lt;cx "Polish notation, explicitly marking as"&gt;</w:t>
      </w:r>
      <w:r>
        <w:rPr>
          <w:rStyle w:val="indexentry"/>
        </w:rPr>
        <w:fldChar w:fldCharType="begin"/>
      </w:r>
      <w:r>
        <w:instrText>xe "</w:instrText>
      </w:r>
      <w:r>
        <w:rPr>
          <w:rStyle w:val="xeentry"/>
        </w:rPr>
        <w:instrText>Polish notation: explicitly marking as</w:instrText>
      </w:r>
      <w:r>
        <w:instrText>"</w:instrText>
      </w:r>
      <w:r>
        <w:rPr>
          <w:rStyle w:val="indexentry"/>
        </w:rPr>
        <w:fldChar w:fldCharType="end"/>
      </w:r>
      <w:r>
        <w:t>When using forethought mekso, the optional marker “pe'o” may be placed</w:t>
      </w:r>
      <w:r>
        <w:rPr>
          <w:rStyle w:val="deletedparamark"/>
        </w:rPr>
        <w:t xml:space="preserve"> </w:t>
      </w:r>
      <w:r>
        <w:t>in front of the operator. This usage can help avoid confusion by providing</w:t>
      </w:r>
      <w:r>
        <w:rPr>
          <w:rStyle w:val="deletedparamark"/>
        </w:rPr>
        <w:t xml:space="preserve"> </w:t>
      </w:r>
      <w:r>
        <w:t>clearly marked “pe'o” and “ku'e” pairs to delimit the operand list.</w:t>
      </w:r>
      <w:r>
        <w:rPr>
          <w:rStyle w:val="deletedparamark"/>
        </w:rPr>
        <w:t xml:space="preserve"> </w:t>
      </w:r>
      <w:r>
        <w:rPr>
          <w:rStyle w:val="htmlcodes"/>
        </w:rPr>
        <w:t>&lt;a href=#e6d{1}&gt;</w:t>
      </w:r>
      <w:r>
        <w:t xml:space="preserve">Examples 6.1 </w:t>
      </w:r>
      <w:r>
        <w:rPr>
          <w:rStyle w:val="htmlcodes"/>
        </w:rPr>
        <w:t>&lt;/a&gt;</w:t>
      </w:r>
      <w:r>
        <w:t xml:space="preserve">to </w:t>
      </w:r>
      <w:r>
        <w:rPr>
          <w:rStyle w:val="htmlcodes"/>
        </w:rPr>
        <w:t>&lt;a href=#e6d3&gt;</w:t>
      </w:r>
      <w:r>
        <w:t>6.3</w:t>
      </w:r>
      <w:r>
        <w:rPr>
          <w:rStyle w:val="htmlcodes"/>
        </w:rPr>
        <w:t>&lt;/a&gt;</w:t>
      </w:r>
      <w:r>
        <w:t>, respectively, with explicit “pe'o” and “ku'e”: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li pe'o su'i paboi reboi ciboi ku'e du li xa</w:t>
      </w:r>
    </w:p>
    <w:p w:rsidR="00B72047" w:rsidRDefault="00B72047">
      <w:pPr>
        <w:pStyle w:val="examplescaledpre"/>
      </w:pPr>
      <w:r>
        <w:rPr>
          <w:rStyle w:val="htmlcodes"/>
        </w:rPr>
        <w:t>&lt;a name=e6d5&gt;</w:t>
      </w:r>
      <w:r>
        <w:t>6.5)</w:t>
      </w:r>
      <w:r>
        <w:tab/>
        <w:t>li py. su'i pe'o va'a ny. ku'e su'i zy du li xy.</w:t>
      </w:r>
    </w:p>
    <w:p w:rsidR="00B72047" w:rsidRDefault="00B72047">
      <w:pPr>
        <w:pStyle w:val="examplescaledpre"/>
      </w:pPr>
      <w:r>
        <w:rPr>
          <w:rStyle w:val="htmlcodes"/>
        </w:rPr>
        <w:t>&lt;a name=e6d6&gt;</w:t>
      </w:r>
      <w:r>
        <w:t>6.6)</w:t>
      </w:r>
      <w:r>
        <w:tab/>
        <w:t>li zy du li pe'o ma'o fy.boi xy. ku'e</w:t>
      </w:r>
    </w:p>
    <w:p w:rsidR="00B72047" w:rsidRDefault="00B72047">
      <w:pPr>
        <w:pStyle w:val="normalafterexample"/>
      </w:pPr>
      <w:r>
        <w:rPr>
          <w:rStyle w:val="htmlcodes"/>
        </w:rPr>
        <w:t>&lt;/pre&gt;</w:t>
      </w:r>
      <w:r>
        <w:rPr>
          <w:rStyle w:val="indexentry"/>
        </w:rPr>
        <w:t>&lt;cx "Polish notation, operands with infix expressions"&gt;</w:t>
      </w:r>
      <w:r>
        <w:rPr>
          <w:rStyle w:val="indexentry"/>
        </w:rPr>
        <w:fldChar w:fldCharType="begin"/>
      </w:r>
      <w:r>
        <w:instrText>xe "</w:instrText>
      </w:r>
      <w:r>
        <w:rPr>
          <w:rStyle w:val="xeentry"/>
        </w:rPr>
        <w:instrText>Polish notation: operands with infix expressions</w:instrText>
      </w:r>
      <w:r>
        <w:instrText>"</w:instrText>
      </w:r>
      <w:r>
        <w:rPr>
          <w:rStyle w:val="indexentry"/>
        </w:rPr>
        <w:fldChar w:fldCharType="end"/>
      </w:r>
      <w:r>
        <w:rPr>
          <w:rStyle w:val="indexentry"/>
        </w:rPr>
        <w:t>&lt;cx "infix expressions, in operands being used in Polish notation"&gt;</w:t>
      </w:r>
      <w:r>
        <w:rPr>
          <w:rStyle w:val="indexentry"/>
        </w:rPr>
        <w:fldChar w:fldCharType="begin"/>
      </w:r>
      <w:r>
        <w:instrText>xe "</w:instrText>
      </w:r>
      <w:r>
        <w:rPr>
          <w:rStyle w:val="xeentry"/>
        </w:rPr>
        <w:instrText>infix expressions: in operands being used in Polish notation</w:instrText>
      </w:r>
      <w:r>
        <w:instrText>"</w:instrText>
      </w:r>
      <w:r>
        <w:rPr>
          <w:rStyle w:val="indexentry"/>
        </w:rPr>
        <w:fldChar w:fldCharType="end"/>
      </w:r>
      <w:r>
        <w:t>Note: When using forethought mekso, be sure that the operands really are</w:t>
      </w:r>
      <w:r>
        <w:rPr>
          <w:rStyle w:val="deletedparamark"/>
        </w:rPr>
        <w:t xml:space="preserve"> </w:t>
      </w:r>
      <w:r>
        <w:t>op</w:t>
      </w:r>
      <w:r>
        <w:softHyphen/>
        <w:t>erands: they cannot contain regular infix expressions unless parenthesized</w:t>
      </w:r>
      <w:r>
        <w:rPr>
          <w:rStyle w:val="deletedparamark"/>
        </w:rPr>
        <w:t xml:space="preserve"> </w:t>
      </w:r>
      <w:r>
        <w:t xml:space="preserve">with “vei” and “ve'o”. An earlier version of the complex </w:t>
      </w:r>
      <w:r>
        <w:rPr>
          <w:rStyle w:val="htmlcodes"/>
        </w:rPr>
        <w:t>&lt;a href=#e17d6&gt;</w:t>
      </w:r>
      <w:r>
        <w:t xml:space="preserve">Example 17.6 </w:t>
      </w:r>
      <w:r>
        <w:rPr>
          <w:rStyle w:val="htmlcodes"/>
        </w:rPr>
        <w:t>&lt;/a&gt;</w:t>
      </w:r>
      <w:r>
        <w:t>came</w:t>
      </w:r>
      <w:r>
        <w:rPr>
          <w:rStyle w:val="deletedparamark"/>
        </w:rPr>
        <w:t xml:space="preserve"> </w:t>
      </w:r>
      <w:r>
        <w:t>to grief because I forgot this rule.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name=s7&gt;&lt;h3&gt;</w:t>
      </w:r>
      <w:bookmarkStart w:id="502" w:name="_Toc398970739"/>
      <w:r>
        <w:rPr>
          <w:rStyle w:val="Heading3Text"/>
        </w:rPr>
        <w:t>Other useful selbri for mekso bridi</w:t>
      </w:r>
      <w:bookmarkEnd w:id="502"/>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&lt;cx "mathematical inequalities, expressing"&gt;</w:t>
      </w:r>
      <w:r>
        <w:rPr>
          <w:rStyle w:val="indexentry"/>
        </w:rPr>
        <w:fldChar w:fldCharType="begin"/>
      </w:r>
      <w:r>
        <w:instrText>xe "</w:instrText>
      </w:r>
      <w:r>
        <w:rPr>
          <w:rStyle w:val="xeentry"/>
        </w:rPr>
        <w:instrText>mathematical inequalities: expressing</w:instrText>
      </w:r>
      <w:r>
        <w:instrText>"</w:instrText>
      </w:r>
      <w:r>
        <w:rPr>
          <w:rStyle w:val="indexentry"/>
        </w:rPr>
        <w:fldChar w:fldCharType="end"/>
      </w:r>
      <w:r>
        <w:t>So far our examples have been isolated mekso (it is legal to have a</w:t>
      </w:r>
      <w:r>
        <w:rPr>
          <w:rStyle w:val="deletedparamark"/>
        </w:rPr>
        <w:t xml:space="preserve"> </w:t>
      </w:r>
      <w:r>
        <w:t>bare mekso as a sentence in Lojban) and equation bridi involving “du”.</w:t>
      </w:r>
      <w:r>
        <w:rPr>
          <w:rStyle w:val="deletedparamark"/>
        </w:rPr>
        <w:t xml:space="preserve"> </w:t>
      </w:r>
      <w:r>
        <w:t>What about inequalities such as “</w:t>
      </w:r>
      <w:r>
        <w:rPr>
          <w:rStyle w:val="htmlcodes"/>
        </w:rPr>
        <w:t>&lt;math&gt;</w:t>
      </w:r>
      <w:r>
        <w:rPr>
          <w:rStyle w:val="math"/>
        </w:rPr>
        <w:t>x &lt; 5</w:t>
      </w:r>
      <w:r>
        <w:rPr>
          <w:rStyle w:val="htmlcodes"/>
        </w:rPr>
        <w:t>&lt;/math&gt;</w:t>
      </w:r>
      <w:r>
        <w:t>”? The answer is to use a bridi with</w:t>
      </w:r>
      <w:r>
        <w:rPr>
          <w:rStyle w:val="deletedparamark"/>
        </w:rPr>
        <w:t xml:space="preserve"> </w:t>
      </w:r>
      <w:r>
        <w:t>an appropriate selbri, thus:</w:t>
      </w:r>
    </w:p>
    <w:p w:rsidR="00B72047" w:rsidRDefault="00B72047">
      <w:pPr>
        <w:rPr>
          <w:rStyle w:val="htmlparacode"/>
        </w:rPr>
      </w:pPr>
      <w:r>
        <w:rPr>
          <w:rStyle w:val="htmlparacode"/>
        </w:rPr>
        <w:t>&lt;p&gt;</w:t>
      </w:r>
    </w:p>
    <w:p w:rsidR="00B72047" w:rsidRDefault="00B72047">
      <w:pPr>
        <w:pStyle w:val="examplescaledpre"/>
      </w:pPr>
      <w:r>
        <w:rPr>
          <w:rStyle w:val="indexentry"/>
        </w:rPr>
        <w:t>&lt;ex "x &lt; 5"&gt;</w:t>
      </w:r>
      <w:r>
        <w:rPr>
          <w:rStyle w:val="indexentry"/>
        </w:rPr>
        <w:fldChar w:fldCharType="begin"/>
      </w:r>
      <w:r>
        <w:instrText>xe "</w:instrText>
      </w:r>
      <w:r>
        <w:rPr>
          <w:rStyle w:val="xeentry"/>
        </w:rPr>
        <w:instrText>x &lt; 5: example</w:instrText>
      </w:r>
      <w:r>
        <w:instrText>"</w:instrText>
      </w:r>
      <w:r>
        <w:rPr>
          <w:rStyle w:val="indexentry"/>
        </w:rPr>
        <w:fldChar w:fldCharType="end"/>
      </w:r>
      <w:r>
        <w:rPr>
          <w:rStyle w:val="htmlcodes"/>
        </w:rPr>
        <w:t>&lt;pre&gt;&lt;a name=e7d1&gt;</w:t>
      </w:r>
      <w:r>
        <w:t>7.1)</w:t>
      </w:r>
      <w:r>
        <w:tab/>
        <w:t>li xy. mleca li mu</w:t>
      </w:r>
    </w:p>
    <w:p w:rsidR="00B72047" w:rsidRDefault="00B72047">
      <w:pPr>
        <w:pStyle w:val="examplescaled"/>
      </w:pPr>
      <w:r>
        <w:tab/>
        <w:t xml:space="preserve">The-number </w:t>
      </w:r>
      <w:r>
        <w:rPr>
          <w:rStyle w:val="math"/>
        </w:rPr>
        <w:t>x</w:t>
      </w:r>
      <w:r>
        <w:t xml:space="preserve"> is-less-than the-number </w:t>
      </w:r>
      <w:r>
        <w:rPr>
          <w:rStyle w:val="math"/>
        </w:rPr>
        <w:t>5.</w:t>
      </w:r>
    </w:p>
    <w:p w:rsidR="00B72047" w:rsidRDefault="00B72047">
      <w:pPr>
        <w:pStyle w:val="normalafterexample"/>
      </w:pPr>
      <w:r>
        <w:rPr>
          <w:rStyle w:val="htmlcodes"/>
        </w:rPr>
        <w:t>&lt;/pre&gt;&lt;p&gt;</w:t>
      </w:r>
      <w:r>
        <w:t>Here is a partial list of selbri useful in mathematical bridi:</w:t>
      </w:r>
    </w:p>
    <w:p w:rsidR="00B72047" w:rsidRDefault="00B72047" w:rsidP="007E67C1">
      <w:pPr>
        <w:pStyle w:val="placestructcont"/>
        <w:numPr>
          <w:ilvl w:val="0"/>
          <w:numId w:val="0"/>
        </w:numPr>
        <w:ind w:left="504" w:hanging="504"/>
        <w:rPr>
          <w:rStyle w:val="htmlparacode"/>
        </w:rPr>
      </w:pPr>
      <w:r>
        <w:rPr>
          <w:rStyle w:val="htmlparacode"/>
        </w:rPr>
        <w:t>&lt;p&gt;</w:t>
      </w:r>
    </w:p>
    <w:p w:rsidR="00B72047" w:rsidRDefault="00B72047" w:rsidP="007E67C1">
      <w:pPr>
        <w:pStyle w:val="Listnobullets"/>
        <w:numPr>
          <w:ilvl w:val="0"/>
          <w:numId w:val="0"/>
        </w:numPr>
        <w:ind w:left="864" w:hanging="504"/>
      </w:pPr>
      <w:r>
        <w:rPr>
          <w:rStyle w:val="htmlcodes"/>
        </w:rPr>
        <w:t>&lt;pre&gt;</w:t>
      </w:r>
      <w:r>
        <w:t xml:space="preserve"> </w:t>
      </w:r>
      <w:r>
        <w:tab/>
        <w:t>du:  x1 is identical to x2, x3, x4, </w:t>
      </w:r>
      <w:r>
        <w:rPr>
          <w:rStyle w:val="htmlcodes"/>
        </w:rPr>
        <w:t>&lt;dots&gt;</w:t>
      </w:r>
      <w:r>
        <w:t>…</w:t>
      </w:r>
      <w:r>
        <w:rPr>
          <w:rStyle w:val="htmlcodes"/>
        </w:rPr>
        <w:t>&lt;/dots&gt;</w:t>
      </w:r>
    </w:p>
    <w:p w:rsidR="00B72047" w:rsidRDefault="00B72047" w:rsidP="007E67C1">
      <w:pPr>
        <w:pStyle w:val="Listnobullcontinued"/>
        <w:numPr>
          <w:ilvl w:val="0"/>
          <w:numId w:val="0"/>
        </w:numPr>
        <w:ind w:left="864" w:hanging="504"/>
      </w:pPr>
      <w:r>
        <w:tab/>
        <w:t>dunli:  x1 is equal/congruent to x2 in/on property/quality/dimension/quantity x3</w:t>
      </w:r>
    </w:p>
    <w:p w:rsidR="00B72047" w:rsidRDefault="00B72047" w:rsidP="007E67C1">
      <w:pPr>
        <w:pStyle w:val="Listnobullcontinued"/>
        <w:numPr>
          <w:ilvl w:val="0"/>
          <w:numId w:val="0"/>
        </w:numPr>
        <w:ind w:left="864" w:hanging="504"/>
      </w:pPr>
      <w:r>
        <w:tab/>
        <w:t>mleca:  x1 is less than x2</w:t>
      </w:r>
    </w:p>
    <w:p w:rsidR="00B72047" w:rsidRDefault="00B72047" w:rsidP="007E67C1">
      <w:pPr>
        <w:pStyle w:val="Listnobullcontinued"/>
        <w:numPr>
          <w:ilvl w:val="0"/>
          <w:numId w:val="0"/>
        </w:numPr>
        <w:ind w:left="864" w:hanging="504"/>
      </w:pPr>
      <w:r>
        <w:tab/>
        <w:t>zmadu:  x1 is greater than x2</w:t>
      </w:r>
    </w:p>
    <w:p w:rsidR="00B72047" w:rsidRDefault="00B72047" w:rsidP="007E67C1">
      <w:pPr>
        <w:pStyle w:val="Listnobullcontinued"/>
        <w:numPr>
          <w:ilvl w:val="0"/>
          <w:numId w:val="0"/>
        </w:numPr>
        <w:ind w:left="864" w:hanging="504"/>
      </w:pPr>
      <w:r>
        <w:tab/>
        <w:t>dubjavme'a:  x1 is less than or equal to x2  [du ja mleca, equal or less]</w:t>
      </w:r>
    </w:p>
    <w:p w:rsidR="00B72047" w:rsidRDefault="00B72047" w:rsidP="007E67C1">
      <w:pPr>
        <w:pStyle w:val="Listnobullcontinued"/>
        <w:numPr>
          <w:ilvl w:val="0"/>
          <w:numId w:val="0"/>
        </w:numPr>
        <w:ind w:left="864" w:hanging="504"/>
      </w:pPr>
      <w:r>
        <w:tab/>
        <w:t>dubjavmau:  x1 is greater than or equal to x2  [du ja zmadu, equal or greater]</w:t>
      </w:r>
    </w:p>
    <w:p w:rsidR="00B72047" w:rsidRDefault="00B72047" w:rsidP="007E67C1">
      <w:pPr>
        <w:pStyle w:val="Listnobullcontinued"/>
        <w:numPr>
          <w:ilvl w:val="0"/>
          <w:numId w:val="0"/>
        </w:numPr>
        <w:ind w:left="864" w:hanging="504"/>
      </w:pPr>
      <w:r>
        <w:tab/>
        <w:t>tamdu'i:  x1 is similar to x2  [tarmi dunli, shape-equal]</w:t>
      </w:r>
    </w:p>
    <w:p w:rsidR="00B72047" w:rsidRDefault="00B72047" w:rsidP="007E67C1">
      <w:pPr>
        <w:pStyle w:val="Listnobullcontinued"/>
        <w:numPr>
          <w:ilvl w:val="0"/>
          <w:numId w:val="0"/>
        </w:numPr>
        <w:ind w:left="864" w:hanging="504"/>
      </w:pPr>
      <w:r>
        <w:tab/>
        <w:t>turdu'i:  x1 is isomorphic to x2  [stura dunli, structure-equal]</w:t>
      </w:r>
    </w:p>
    <w:p w:rsidR="00B72047" w:rsidRDefault="00B72047" w:rsidP="007E67C1">
      <w:pPr>
        <w:pStyle w:val="Listnobullcontinued"/>
        <w:numPr>
          <w:ilvl w:val="0"/>
          <w:numId w:val="0"/>
        </w:numPr>
        <w:ind w:left="864" w:hanging="504"/>
      </w:pPr>
      <w:r>
        <w:tab/>
        <w:t>cmima:  x1 is a member of set x2</w:t>
      </w:r>
    </w:p>
    <w:p w:rsidR="00B72047" w:rsidRDefault="00B72047" w:rsidP="007E67C1">
      <w:pPr>
        <w:pStyle w:val="Listnobullcontinued"/>
        <w:numPr>
          <w:ilvl w:val="0"/>
          <w:numId w:val="0"/>
        </w:numPr>
        <w:ind w:left="864" w:hanging="504"/>
      </w:pPr>
      <w:r>
        <w:tab/>
        <w:t>gripau:  x1 is a subset of set x2  [girzu pagbu, set-part]</w:t>
      </w:r>
    </w:p>
    <w:p w:rsidR="00B72047" w:rsidRDefault="00B72047" w:rsidP="007E67C1">
      <w:pPr>
        <w:pStyle w:val="Listnobullcontinued"/>
        <w:numPr>
          <w:ilvl w:val="0"/>
          <w:numId w:val="0"/>
        </w:numPr>
        <w:ind w:left="864" w:hanging="504"/>
      </w:pPr>
      <w:r>
        <w:tab/>
        <w:t>na'ujbi:  x1 is approximately equal to x2  [namcu jibni, number-near]</w:t>
      </w:r>
    </w:p>
    <w:p w:rsidR="00B72047" w:rsidRDefault="00B72047" w:rsidP="007E67C1">
      <w:pPr>
        <w:pStyle w:val="Listnobullcontinued"/>
        <w:numPr>
          <w:ilvl w:val="0"/>
          <w:numId w:val="0"/>
        </w:numPr>
        <w:ind w:left="864" w:hanging="504"/>
      </w:pPr>
      <w:r>
        <w:tab/>
        <w:t>terci'e:  x1 is a component with function x2 of system x3</w:t>
      </w:r>
    </w:p>
    <w:p w:rsidR="00B72047" w:rsidRDefault="00B72047">
      <w:pPr>
        <w:pStyle w:val="resumedafterexample"/>
      </w:pPr>
      <w:r>
        <w:rPr>
          <w:rStyle w:val="htmlcodes"/>
        </w:rPr>
        <w:t>&lt;/pre&gt;</w:t>
      </w:r>
      <w:r>
        <w:rPr>
          <w:rStyle w:val="indexentry"/>
        </w:rPr>
        <w:t>&lt;cx "dunli, contrasted with du"&gt;</w:t>
      </w:r>
      <w:r>
        <w:rPr>
          <w:rStyle w:val="indexentry"/>
        </w:rPr>
        <w:fldChar w:fldCharType="begin"/>
      </w:r>
      <w:r>
        <w:instrText>xe "</w:instrText>
      </w:r>
      <w:r>
        <w:rPr>
          <w:rStyle w:val="xeentry"/>
        </w:rPr>
        <w:instrText>dunli: contrasted with du</w:instrText>
      </w:r>
      <w:r>
        <w:instrText>"</w:instrText>
      </w:r>
      <w:r>
        <w:rPr>
          <w:rStyle w:val="indexentry"/>
        </w:rPr>
        <w:fldChar w:fldCharType="end"/>
      </w:r>
      <w:r>
        <w:rPr>
          <w:rStyle w:val="indexentry"/>
        </w:rPr>
        <w:t>&lt;cx "du, contrasted with dunli"&gt;</w:t>
      </w:r>
      <w:r>
        <w:rPr>
          <w:rStyle w:val="indexentry"/>
        </w:rPr>
        <w:fldChar w:fldCharType="begin"/>
      </w:r>
      <w:r>
        <w:instrText>xe "</w:instrText>
      </w:r>
      <w:r>
        <w:rPr>
          <w:rStyle w:val="xeentry"/>
        </w:rPr>
        <w:instrText>du: contrasted with dunli</w:instrText>
      </w:r>
      <w:r>
        <w:instrText>"</w:instrText>
      </w:r>
      <w:r>
        <w:rPr>
          <w:rStyle w:val="indexentry"/>
        </w:rPr>
        <w:fldChar w:fldCharType="end"/>
      </w:r>
      <w:r>
        <w:t>Note the difference between “dunli” and “du”; “dunli” has a third place</w:t>
      </w:r>
      <w:r>
        <w:rPr>
          <w:rStyle w:val="deletedparamark"/>
        </w:rPr>
        <w:t xml:space="preserve"> </w:t>
      </w:r>
      <w:r>
        <w:t>that specifies the kind of equality that is meant. “du” refers to</w:t>
      </w:r>
      <w:r>
        <w:rPr>
          <w:rStyle w:val="deletedparamark"/>
        </w:rPr>
        <w:t xml:space="preserve"> </w:t>
      </w:r>
      <w:r>
        <w:t>actual identity, and can have any num</w:t>
      </w:r>
      <w:r>
        <w:softHyphen/>
        <w:t>ber of places:</w:t>
      </w:r>
    </w:p>
    <w:p w:rsidR="00B72047" w:rsidRDefault="00B72047">
      <w:pPr>
        <w:rPr>
          <w:rStyle w:val="htmlparacode"/>
        </w:rPr>
      </w:pPr>
      <w:r>
        <w:rPr>
          <w:rStyle w:val="htmlparacode"/>
        </w:rPr>
        <w:t>&lt;p&gt;</w:t>
      </w:r>
    </w:p>
    <w:p w:rsidR="00B72047" w:rsidRDefault="00B72047">
      <w:pPr>
        <w:pStyle w:val="examplescaledpre"/>
      </w:pPr>
      <w:r>
        <w:rPr>
          <w:rStyle w:val="indexentry"/>
        </w:rPr>
        <w:t>&lt;ex "p = x = z"&gt;</w:t>
      </w:r>
      <w:r>
        <w:rPr>
          <w:rStyle w:val="indexentry"/>
        </w:rPr>
        <w:fldChar w:fldCharType="begin"/>
      </w:r>
      <w:r>
        <w:instrText>xe "</w:instrText>
      </w:r>
      <w:r>
        <w:rPr>
          <w:rStyle w:val="xeentry"/>
        </w:rPr>
        <w:instrText>p = x = z: example</w:instrText>
      </w:r>
      <w:r>
        <w:instrText>"</w:instrText>
      </w:r>
      <w:r>
        <w:rPr>
          <w:rStyle w:val="indexentry"/>
        </w:rPr>
        <w:fldChar w:fldCharType="end"/>
      </w:r>
      <w:r>
        <w:rPr>
          <w:rStyle w:val="htmlcodes"/>
        </w:rPr>
        <w:t>&lt;pre&gt;&lt;a name=e7d2&gt;</w:t>
      </w:r>
      <w:r>
        <w:t>7.2)</w:t>
      </w:r>
      <w:r>
        <w:tab/>
        <w:t>py. du xy.boi zy.</w:t>
      </w:r>
    </w:p>
    <w:p w:rsidR="00B72047" w:rsidRDefault="00B72047">
      <w:pPr>
        <w:pStyle w:val="examplescaled"/>
      </w:pPr>
      <w:r>
        <w:tab/>
        <w:t>“p” is-identical-to “x” “z”</w:t>
      </w:r>
    </w:p>
    <w:p w:rsidR="00B72047" w:rsidRDefault="00B72047">
      <w:pPr>
        <w:pStyle w:val="examplescaled"/>
        <w:rPr>
          <w:rStyle w:val="math"/>
        </w:rPr>
      </w:pPr>
      <w:r>
        <w:rPr>
          <w:rStyle w:val="math"/>
        </w:rPr>
        <w:tab/>
      </w:r>
      <w:r>
        <w:rPr>
          <w:rStyle w:val="htmlcodes"/>
        </w:rPr>
        <w:t>&lt;math&gt;</w:t>
      </w:r>
      <w:r>
        <w:rPr>
          <w:rStyle w:val="math"/>
        </w:rPr>
        <w:t>p = x = z</w:t>
      </w:r>
      <w:r>
        <w:rPr>
          <w:rStyle w:val="htmlcodes"/>
        </w:rPr>
        <w:t>&lt;/math&gt;</w:t>
      </w:r>
    </w:p>
    <w:p w:rsidR="00B72047" w:rsidRDefault="00B72047">
      <w:pPr>
        <w:pStyle w:val="resumedafterexample"/>
      </w:pPr>
      <w:r>
        <w:rPr>
          <w:rStyle w:val="htmlcodes"/>
        </w:rPr>
        <w:t>&lt;/pre&gt;&lt;p&gt;</w:t>
      </w:r>
      <w:r>
        <w:t>Lojban bridi can have only one predicate, so the “du” is not repeated.</w:t>
      </w:r>
    </w:p>
    <w:p w:rsidR="00B72047" w:rsidRDefault="00B72047">
      <w:pPr>
        <w:rPr>
          <w:rStyle w:val="htmlparacode"/>
        </w:rPr>
      </w:pPr>
      <w:r>
        <w:rPr>
          <w:rStyle w:val="htmlparacode"/>
        </w:rPr>
        <w:t>&lt;p&gt;</w:t>
      </w:r>
    </w:p>
    <w:p w:rsidR="00B72047" w:rsidRDefault="00B72047">
      <w:pPr>
        <w:pStyle w:val="normalparagraph"/>
      </w:pPr>
      <w:r>
        <w:rPr>
          <w:rStyle w:val="indexentry"/>
        </w:rPr>
        <w:t>&lt;cx "falsity of mathematical relation, expressing"&gt;</w:t>
      </w:r>
      <w:r>
        <w:rPr>
          <w:rStyle w:val="indexentry"/>
        </w:rPr>
        <w:fldChar w:fldCharType="begin"/>
      </w:r>
      <w:r>
        <w:instrText>xe "</w:instrText>
      </w:r>
      <w:r>
        <w:rPr>
          <w:rStyle w:val="xeentry"/>
        </w:rPr>
        <w:instrText>falsity of mathematical relation: expressing</w:instrText>
      </w:r>
      <w:r>
        <w:instrText>"</w:instrText>
      </w:r>
      <w:r>
        <w:rPr>
          <w:rStyle w:val="indexentry"/>
        </w:rPr>
        <w:fldChar w:fldCharType="end"/>
      </w:r>
      <w:r>
        <w:t>Any of these selbri may usefully be prefixed with “na”, the contradictory</w:t>
      </w:r>
      <w:r>
        <w:rPr>
          <w:rStyle w:val="deletedparamark"/>
        </w:rPr>
        <w:t xml:space="preserve"> </w:t>
      </w:r>
      <w:r>
        <w:t>ne</w:t>
      </w:r>
      <w:r>
        <w:softHyphen/>
        <w:t>gation cmavo, to indicate that the relation is false: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name=e7d3&gt;</w:t>
      </w:r>
      <w:r>
        <w:t>7.3)</w:t>
      </w:r>
      <w:r>
        <w:tab/>
        <w:t>li re su'i re na du li mu</w:t>
      </w:r>
    </w:p>
    <w:p w:rsidR="00B72047" w:rsidRDefault="00B72047">
      <w:pPr>
        <w:pStyle w:val="examplescaled"/>
      </w:pPr>
      <w:r>
        <w:tab/>
        <w:t>The-number 2 + 2 is-not equal-to the-number 5.</w:t>
      </w:r>
    </w:p>
    <w:p w:rsidR="00B72047" w:rsidRDefault="00B72047">
      <w:pPr>
        <w:pStyle w:val="examplescaled"/>
        <w:rPr>
          <w:rStyle w:val="math"/>
        </w:rPr>
      </w:pPr>
      <w:r>
        <w:rPr>
          <w:rStyle w:val="math"/>
        </w:rPr>
        <w:tab/>
      </w:r>
      <w:r>
        <w:rPr>
          <w:rStyle w:val="htmlcodes"/>
        </w:rPr>
        <w:t>&lt;math&gt;</w:t>
      </w:r>
      <w:r>
        <w:rPr>
          <w:rStyle w:val="math"/>
        </w:rPr>
        <w:t xml:space="preserve">2 + 2 </w:t>
      </w:r>
      <w:r>
        <w:rPr>
          <w:rStyle w:val="math"/>
        </w:rPr>
        <w:sym w:font="Symbol" w:char="F0B9"/>
      </w:r>
      <w:r>
        <w:rPr>
          <w:rStyle w:val="math"/>
        </w:rPr>
        <w:t xml:space="preserve"> </w:t>
      </w:r>
      <w:r>
        <w:rPr>
          <w:rStyle w:val="htmlcodes"/>
        </w:rPr>
        <w:t>&lt;font face="Symbol"&gt;&amp;#189;&lt;/font&gt;&lt;!–notequal–&gt;</w:t>
      </w:r>
      <w:r>
        <w:rPr>
          <w:rStyle w:val="math"/>
        </w:rPr>
        <w:t>5</w:t>
      </w:r>
      <w:r>
        <w:rPr>
          <w:rStyle w:val="htmlcodes"/>
        </w:rPr>
        <w:t>&lt;/math&gt;</w:t>
      </w:r>
    </w:p>
    <w:p w:rsidR="00B72047" w:rsidRDefault="00B72047">
      <w:pPr>
        <w:pStyle w:val="resumedafterexample"/>
      </w:pPr>
      <w:r>
        <w:rPr>
          <w:rStyle w:val="htmlcodes"/>
        </w:rPr>
        <w:t>&lt;/pre&gt;&lt;p&gt;</w:t>
      </w:r>
      <w:r>
        <w:t>As usual in Lojban, negated bridi say what is false, and do not say anything</w:t>
      </w:r>
      <w:r>
        <w:rPr>
          <w:rStyle w:val="deletedparamark"/>
        </w:rPr>
        <w:t xml:space="preserve"> </w:t>
      </w:r>
      <w:r>
        <w:t>about what might be true.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503" w:name="_Toc398970740"/>
      <w:r>
        <w:rPr>
          <w:rStyle w:val="Heading3Text"/>
        </w:rPr>
        <w:t>Indefinite numbers</w:t>
      </w:r>
      <w:bookmarkEnd w:id="50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ro</w:t>
      </w:r>
      <w:r>
        <w:tab/>
        <w:t>PA</w:t>
      </w:r>
      <w:r>
        <w:tab/>
        <w:t>all</w:t>
      </w:r>
    </w:p>
    <w:p w:rsidR="00B72047" w:rsidRDefault="00B72047">
      <w:pPr>
        <w:pStyle w:val="examplescaled"/>
      </w:pPr>
      <w:r>
        <w:tab/>
        <w:t>so'a</w:t>
      </w:r>
      <w:r>
        <w:tab/>
        <w:t>PA</w:t>
      </w:r>
      <w:r>
        <w:tab/>
        <w:t>almost all</w:t>
      </w:r>
    </w:p>
    <w:p w:rsidR="00B72047" w:rsidRDefault="00B72047">
      <w:pPr>
        <w:pStyle w:val="examplescaled"/>
      </w:pPr>
      <w:r>
        <w:tab/>
        <w:t>so'e</w:t>
      </w:r>
      <w:r>
        <w:tab/>
        <w:t>PA</w:t>
      </w:r>
      <w:r>
        <w:tab/>
        <w:t>most</w:t>
      </w:r>
    </w:p>
    <w:p w:rsidR="00B72047" w:rsidRDefault="00B72047">
      <w:pPr>
        <w:pStyle w:val="examplescaled"/>
      </w:pPr>
      <w:r>
        <w:tab/>
        <w:t>so'i</w:t>
      </w:r>
      <w:r>
        <w:tab/>
        <w:t>PA</w:t>
      </w:r>
      <w:r>
        <w:tab/>
        <w:t>many</w:t>
      </w:r>
    </w:p>
    <w:p w:rsidR="00B72047" w:rsidRDefault="00B72047">
      <w:pPr>
        <w:pStyle w:val="examplescaled"/>
      </w:pPr>
      <w:r>
        <w:tab/>
        <w:t>so'o</w:t>
      </w:r>
      <w:r>
        <w:tab/>
        <w:t>PA</w:t>
      </w:r>
      <w:r>
        <w:tab/>
        <w:t>several</w:t>
      </w:r>
    </w:p>
    <w:p w:rsidR="00B72047" w:rsidRDefault="00B72047">
      <w:pPr>
        <w:pStyle w:val="examplescaled"/>
      </w:pPr>
      <w:r>
        <w:tab/>
        <w:t>so'u</w:t>
      </w:r>
      <w:r>
        <w:tab/>
        <w:t>PA</w:t>
      </w:r>
      <w:r>
        <w:tab/>
        <w:t>a few</w:t>
      </w:r>
    </w:p>
    <w:p w:rsidR="00B72047" w:rsidRDefault="00B72047">
      <w:pPr>
        <w:pStyle w:val="examplescaled"/>
      </w:pPr>
      <w:r>
        <w:tab/>
        <w:t>no'o</w:t>
      </w:r>
      <w:r>
        <w:tab/>
        <w:t>PA</w:t>
      </w:r>
      <w:r>
        <w:tab/>
        <w:t>the typical number of</w:t>
      </w:r>
    </w:p>
    <w:p w:rsidR="00B72047" w:rsidRDefault="00B72047">
      <w:pPr>
        <w:pStyle w:val="examplescaled"/>
      </w:pPr>
      <w:r>
        <w:tab/>
        <w:t>da'a</w:t>
      </w:r>
      <w:r>
        <w:tab/>
        <w:t>PA</w:t>
      </w:r>
      <w:r>
        <w:tab/>
        <w:t>all but (one) of</w:t>
      </w:r>
    </w:p>
    <w:p w:rsidR="00B72047" w:rsidRDefault="00B72047">
      <w:pPr>
        <w:pStyle w:val="examplescaledpre"/>
        <w:spacing w:before="80"/>
      </w:pPr>
      <w:r>
        <w:tab/>
        <w:t>piro</w:t>
      </w:r>
      <w:r>
        <w:tab/>
        <w:t>PA+PA</w:t>
      </w:r>
      <w:r>
        <w:tab/>
        <w:t>the whole of/all of</w:t>
      </w:r>
    </w:p>
    <w:p w:rsidR="00B72047" w:rsidRDefault="00B72047">
      <w:pPr>
        <w:pStyle w:val="examplescaled"/>
      </w:pPr>
      <w:r>
        <w:tab/>
        <w:t>piso'a</w:t>
      </w:r>
      <w:r>
        <w:tab/>
        <w:t>PA+PA</w:t>
      </w:r>
      <w:r>
        <w:tab/>
        <w:t>almost the whole of</w:t>
      </w:r>
    </w:p>
    <w:p w:rsidR="00B72047" w:rsidRDefault="00B72047">
      <w:pPr>
        <w:pStyle w:val="examplescaled"/>
      </w:pPr>
      <w:r>
        <w:tab/>
        <w:t>piso'e</w:t>
      </w:r>
      <w:r>
        <w:tab/>
        <w:t>PA+PA</w:t>
      </w:r>
      <w:r>
        <w:tab/>
        <w:t>most of</w:t>
      </w:r>
    </w:p>
    <w:p w:rsidR="00B72047" w:rsidRDefault="00B72047">
      <w:pPr>
        <w:pStyle w:val="examplescaled"/>
      </w:pPr>
      <w:r>
        <w:tab/>
        <w:t>piso'i</w:t>
      </w:r>
      <w:r>
        <w:tab/>
        <w:t>PA+PA</w:t>
      </w:r>
      <w:r>
        <w:tab/>
        <w:t>much of</w:t>
      </w:r>
    </w:p>
    <w:p w:rsidR="00B72047" w:rsidRDefault="00B72047">
      <w:pPr>
        <w:pStyle w:val="examplescaled"/>
      </w:pPr>
      <w:r>
        <w:tab/>
        <w:t>piso'o</w:t>
      </w:r>
      <w:r>
        <w:tab/>
        <w:t>PA+PA</w:t>
      </w:r>
      <w:r>
        <w:tab/>
        <w:t>a small part of</w:t>
      </w:r>
    </w:p>
    <w:p w:rsidR="00B72047" w:rsidRDefault="00B72047">
      <w:pPr>
        <w:pStyle w:val="examplescaled"/>
      </w:pPr>
      <w:r>
        <w:tab/>
        <w:t>piso'u</w:t>
      </w:r>
      <w:r>
        <w:tab/>
        <w:t>PA+PA</w:t>
      </w:r>
      <w:r>
        <w:tab/>
        <w:t>a tiny part of</w:t>
      </w:r>
    </w:p>
    <w:p w:rsidR="00B72047" w:rsidRDefault="00B72047">
      <w:pPr>
        <w:pStyle w:val="examplescaled"/>
      </w:pPr>
      <w:r>
        <w:tab/>
        <w:t>pino'o</w:t>
      </w:r>
      <w:r>
        <w:tab/>
        <w:t>PA+PA</w:t>
      </w:r>
      <w:r>
        <w:tab/>
        <w:t>the typical portion of</w:t>
      </w:r>
    </w:p>
    <w:p w:rsidR="00B72047" w:rsidRDefault="00B72047">
      <w:pPr>
        <w:pStyle w:val="examplescaledpre"/>
      </w:pPr>
      <w:r>
        <w:tab/>
        <w:t>rau</w:t>
      </w:r>
      <w:r>
        <w:tab/>
        <w:t>PA</w:t>
      </w:r>
      <w:r>
        <w:tab/>
        <w:t>enough</w:t>
      </w:r>
    </w:p>
    <w:p w:rsidR="00B72047" w:rsidRDefault="00B72047">
      <w:pPr>
        <w:pStyle w:val="examplescaled"/>
      </w:pPr>
      <w:r>
        <w:tab/>
        <w:t>du'e</w:t>
      </w:r>
      <w:r>
        <w:tab/>
        <w:t>PA</w:t>
      </w:r>
      <w:r>
        <w:tab/>
        <w:t>too many</w:t>
      </w:r>
    </w:p>
    <w:p w:rsidR="00B72047" w:rsidRDefault="00B72047">
      <w:pPr>
        <w:pStyle w:val="examplescaled"/>
      </w:pPr>
      <w:r>
        <w:tab/>
        <w:t>mo'a</w:t>
      </w:r>
      <w:r>
        <w:tab/>
        <w:t>PA</w:t>
      </w:r>
      <w:r>
        <w:tab/>
        <w:t>too few</w:t>
      </w:r>
    </w:p>
    <w:p w:rsidR="00B72047" w:rsidRDefault="00B72047">
      <w:pPr>
        <w:pStyle w:val="examplescaledpre"/>
        <w:spacing w:before="80"/>
      </w:pPr>
      <w:r>
        <w:tab/>
        <w:t>pirau</w:t>
      </w:r>
      <w:r>
        <w:tab/>
        <w:t>PA+PA</w:t>
      </w:r>
      <w:r>
        <w:tab/>
        <w:t>enough of</w:t>
      </w:r>
    </w:p>
    <w:p w:rsidR="00B72047" w:rsidRDefault="00B72047">
      <w:pPr>
        <w:pStyle w:val="examplescaled"/>
      </w:pPr>
      <w:r>
        <w:tab/>
        <w:t>pidu'e</w:t>
      </w:r>
      <w:r>
        <w:tab/>
        <w:t>PA+PA</w:t>
      </w:r>
      <w:r>
        <w:tab/>
        <w:t>too much of</w:t>
      </w:r>
    </w:p>
    <w:p w:rsidR="00B72047" w:rsidRDefault="00B72047">
      <w:pPr>
        <w:pStyle w:val="examplescaled"/>
      </w:pPr>
      <w:r>
        <w:tab/>
        <w:t>pimo'a</w:t>
      </w:r>
      <w:r>
        <w:tab/>
        <w:t>PA+PA</w:t>
      </w:r>
      <w:r>
        <w:tab/>
        <w:t>too little of</w:t>
      </w:r>
    </w:p>
    <w:p w:rsidR="00B72047" w:rsidRDefault="00B72047">
      <w:pPr>
        <w:pStyle w:val="normalafterexample"/>
        <w:spacing w:before="100"/>
      </w:pPr>
      <w:r>
        <w:rPr>
          <w:rStyle w:val="htmlcodes"/>
        </w:rPr>
        <w:t>&lt;/pre&gt;</w:t>
      </w:r>
      <w:r>
        <w:rPr>
          <w:rStyle w:val="indexentry"/>
        </w:rPr>
        <w:t>&lt;lx "PA"&gt;</w:t>
      </w:r>
      <w:r>
        <w:rPr>
          <w:rStyle w:val="indexentry"/>
        </w:rPr>
        <w:fldChar w:fldCharType="begin"/>
      </w:r>
      <w:r>
        <w:instrText>xe "</w:instrText>
      </w:r>
      <w:r>
        <w:rPr>
          <w:rStyle w:val="xeentry"/>
        </w:rPr>
        <w:instrText>PA selma’o</w:instrText>
      </w:r>
      <w:r>
        <w:instrText>"</w:instrText>
      </w:r>
      <w:r>
        <w:rPr>
          <w:rStyle w:val="indexentry"/>
        </w:rPr>
        <w:fldChar w:fldCharType="end"/>
      </w:r>
      <w:r>
        <w:rPr>
          <w:rStyle w:val="indexentry"/>
        </w:rPr>
        <w:t>&lt;cx "ro, compared with pa"&gt;</w:t>
      </w:r>
      <w:r>
        <w:rPr>
          <w:rStyle w:val="indexentry"/>
        </w:rPr>
        <w:fldChar w:fldCharType="begin"/>
      </w:r>
      <w:r>
        <w:instrText>xe "</w:instrText>
      </w:r>
      <w:r>
        <w:rPr>
          <w:rStyle w:val="xeentry"/>
        </w:rPr>
        <w:instrText>ro: compared with pa</w:instrText>
      </w:r>
      <w:r>
        <w:instrText>"</w:instrText>
      </w:r>
      <w:r>
        <w:rPr>
          <w:rStyle w:val="indexentry"/>
        </w:rPr>
        <w:fldChar w:fldCharType="end"/>
      </w:r>
      <w:r>
        <w:rPr>
          <w:rStyle w:val="indexentry"/>
        </w:rPr>
        <w:t>&lt;cx "indefinite numbers"&gt;</w:t>
      </w:r>
      <w:r>
        <w:rPr>
          <w:rStyle w:val="indexentry"/>
        </w:rPr>
        <w:fldChar w:fldCharType="begin"/>
      </w:r>
      <w:r>
        <w:instrText>xe "</w:instrText>
      </w:r>
      <w:r>
        <w:rPr>
          <w:rStyle w:val="xeentry"/>
        </w:rPr>
        <w:instrText>indefinite numbers</w:instrText>
      </w:r>
      <w:r>
        <w:instrText>"</w:instrText>
      </w:r>
      <w:r>
        <w:rPr>
          <w:rStyle w:val="indexentry"/>
        </w:rPr>
        <w:fldChar w:fldCharType="end"/>
      </w:r>
      <w:r>
        <w:rPr>
          <w:rStyle w:val="indexentry"/>
        </w:rPr>
        <w:t>&lt;cx "numbers, indefinite"&gt;</w:t>
      </w:r>
      <w:r>
        <w:rPr>
          <w:rStyle w:val="indexentry"/>
        </w:rPr>
        <w:fldChar w:fldCharType="begin"/>
      </w:r>
      <w:r>
        <w:instrText>xe "</w:instrText>
      </w:r>
      <w:r>
        <w:rPr>
          <w:rStyle w:val="xeentry"/>
        </w:rPr>
        <w:instrText>numbers: indefinite</w:instrText>
      </w:r>
      <w:r>
        <w:instrText>"</w:instrText>
      </w:r>
      <w:r>
        <w:rPr>
          <w:rStyle w:val="indexentry"/>
        </w:rPr>
        <w:fldChar w:fldCharType="end"/>
      </w:r>
      <w:r>
        <w:rPr>
          <w:rStyle w:val="indexentry"/>
        </w:rPr>
        <w:t>&lt;lx "ro"&gt;</w:t>
      </w:r>
      <w:r>
        <w:rPr>
          <w:rStyle w:val="indexentry"/>
        </w:rPr>
        <w:fldChar w:fldCharType="begin"/>
      </w:r>
      <w:r>
        <w:instrText>xe "</w:instrText>
      </w:r>
      <w:r>
        <w:rPr>
          <w:rStyle w:val="xeentry"/>
        </w:rPr>
        <w:instrText>ro</w:instrText>
      </w:r>
      <w:r>
        <w:instrText>"</w:instrText>
      </w:r>
      <w:r>
        <w:rPr>
          <w:rStyle w:val="indexentry"/>
        </w:rPr>
        <w:fldChar w:fldCharType="end"/>
      </w:r>
      <w:r>
        <w:t>Not all the cmavo of PA represent numbers in the usual mathematical sense.</w:t>
      </w:r>
      <w:r>
        <w:rPr>
          <w:rStyle w:val="deletedparamark"/>
        </w:rPr>
        <w:t xml:space="preserve"> </w:t>
      </w:r>
      <w:r>
        <w:t>For e</w:t>
      </w:r>
      <w:r>
        <w:t>x</w:t>
      </w:r>
      <w:r>
        <w:softHyphen/>
        <w:t>ample, the cmavo “ro” means “all” or “each”. This number does not</w:t>
      </w:r>
      <w:r>
        <w:rPr>
          <w:rStyle w:val="deletedparamark"/>
        </w:rPr>
        <w:t xml:space="preserve"> </w:t>
      </w:r>
      <w:r>
        <w:t>have a defi</w:t>
      </w:r>
      <w:r>
        <w:softHyphen/>
        <w:t>nite value in the abstract: “li ro” is undefined. But when</w:t>
      </w:r>
      <w:r>
        <w:rPr>
          <w:rStyle w:val="deletedparamark"/>
        </w:rPr>
        <w:t xml:space="preserve"> </w:t>
      </w:r>
      <w:r>
        <w:t>used to count or quantify something, the parallel between “ro” and “pa”</w:t>
      </w:r>
      <w:r>
        <w:rPr>
          <w:rStyle w:val="deletedparamark"/>
        </w:rPr>
        <w:t xml:space="preserve"> </w:t>
      </w:r>
      <w:r>
        <w:t>is clearer: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name=e8d1&gt;</w:t>
      </w:r>
      <w:r>
        <w:t>8.1)</w:t>
      </w:r>
      <w:r>
        <w:tab/>
        <w:t>mi catlu pa prenu</w:t>
      </w:r>
    </w:p>
    <w:p w:rsidR="00B72047" w:rsidRDefault="00B72047">
      <w:pPr>
        <w:pStyle w:val="examplescaled"/>
      </w:pPr>
      <w:r>
        <w:tab/>
        <w:t>I look-at one person</w:t>
      </w:r>
    </w:p>
    <w:p w:rsidR="00B72047" w:rsidRDefault="00B72047">
      <w:pPr>
        <w:pStyle w:val="examplescaledpre"/>
      </w:pPr>
      <w:r>
        <w:rPr>
          <w:rStyle w:val="htmlcodes"/>
        </w:rPr>
        <w:t>&lt;a name=e8d2&gt;</w:t>
      </w:r>
      <w:r>
        <w:t>8.2)</w:t>
      </w:r>
      <w:r>
        <w:tab/>
        <w:t>mi catlu ro prenu</w:t>
      </w:r>
    </w:p>
    <w:p w:rsidR="00B72047" w:rsidRDefault="00B72047">
      <w:pPr>
        <w:pStyle w:val="examplescaled"/>
      </w:pPr>
      <w:r>
        <w:tab/>
        <w:t>I look-at all persons</w:t>
      </w:r>
    </w:p>
    <w:p w:rsidR="00B72047" w:rsidRDefault="00B72047">
      <w:pPr>
        <w:pStyle w:val="resumedafterexample"/>
      </w:pPr>
      <w:r>
        <w:rPr>
          <w:rStyle w:val="htmlcodes"/>
        </w:rPr>
        <w:t>&lt;/pre&gt;&lt;a href=#e8d1&gt;</w:t>
      </w:r>
      <w:r>
        <w:t xml:space="preserve">Example 8.1 </w:t>
      </w:r>
      <w:r>
        <w:rPr>
          <w:rStyle w:val="htmlcodes"/>
        </w:rPr>
        <w:t>&lt;/a&gt;</w:t>
      </w:r>
      <w:r>
        <w:t xml:space="preserve">might be true, whereas </w:t>
      </w:r>
      <w:r>
        <w:rPr>
          <w:rStyle w:val="htmlcodes"/>
        </w:rPr>
        <w:t>&lt;a href=#e8d2&gt;</w:t>
      </w:r>
      <w:r>
        <w:t xml:space="preserve">Example 8.2 </w:t>
      </w:r>
      <w:r>
        <w:rPr>
          <w:rStyle w:val="htmlcodes"/>
        </w:rPr>
        <w:t>&lt;/a&gt;</w:t>
      </w:r>
      <w:r>
        <w:t>is almost certainly false.</w:t>
      </w:r>
    </w:p>
    <w:p w:rsidR="00B72047" w:rsidRDefault="00B72047">
      <w:pPr>
        <w:rPr>
          <w:rStyle w:val="htmlparacode"/>
        </w:rPr>
      </w:pPr>
      <w:r>
        <w:rPr>
          <w:rStyle w:val="htmlparacode"/>
        </w:rPr>
        <w:t>&lt;p&gt;</w:t>
      </w:r>
    </w:p>
    <w:p w:rsidR="00B72047" w:rsidRDefault="00B72047">
      <w:pPr>
        <w:pStyle w:val="normalparagraph"/>
      </w:pPr>
      <w:r>
        <w:rPr>
          <w:rStyle w:val="indexentry"/>
        </w:rPr>
        <w:t>&lt;lx "so'a"&gt;</w:t>
      </w:r>
      <w:r>
        <w:rPr>
          <w:rStyle w:val="indexentry"/>
        </w:rPr>
        <w:fldChar w:fldCharType="begin"/>
      </w:r>
      <w:r>
        <w:instrText>xe "</w:instrText>
      </w:r>
      <w:r>
        <w:rPr>
          <w:rStyle w:val="xeentry"/>
        </w:rPr>
        <w:instrText>so'a</w:instrText>
      </w:r>
      <w:r>
        <w:instrText>"</w:instrText>
      </w:r>
      <w:r>
        <w:rPr>
          <w:rStyle w:val="indexentry"/>
        </w:rPr>
        <w:fldChar w:fldCharType="end"/>
      </w:r>
      <w:r>
        <w:rPr>
          <w:rStyle w:val="indexentry"/>
        </w:rPr>
        <w:t>&lt;lx "so'e"&gt;</w:t>
      </w:r>
      <w:r>
        <w:rPr>
          <w:rStyle w:val="indexentry"/>
        </w:rPr>
        <w:fldChar w:fldCharType="begin"/>
      </w:r>
      <w:r>
        <w:instrText>xe "</w:instrText>
      </w:r>
      <w:r>
        <w:rPr>
          <w:rStyle w:val="xeentry"/>
        </w:rPr>
        <w:instrText>so'e</w:instrText>
      </w:r>
      <w:r>
        <w:instrText>"</w:instrText>
      </w:r>
      <w:r>
        <w:rPr>
          <w:rStyle w:val="indexentry"/>
        </w:rPr>
        <w:fldChar w:fldCharType="end"/>
      </w:r>
      <w:r>
        <w:rPr>
          <w:rStyle w:val="indexentry"/>
        </w:rPr>
        <w:t>&lt;lx "so'i"&gt;</w:t>
      </w:r>
      <w:r>
        <w:rPr>
          <w:rStyle w:val="indexentry"/>
        </w:rPr>
        <w:fldChar w:fldCharType="begin"/>
      </w:r>
      <w:r>
        <w:instrText>xe "</w:instrText>
      </w:r>
      <w:r>
        <w:rPr>
          <w:rStyle w:val="xeentry"/>
        </w:rPr>
        <w:instrText>so'i</w:instrText>
      </w:r>
      <w:r>
        <w:instrText>"</w:instrText>
      </w:r>
      <w:r>
        <w:rPr>
          <w:rStyle w:val="indexentry"/>
        </w:rPr>
        <w:fldChar w:fldCharType="end"/>
      </w:r>
      <w:r>
        <w:rPr>
          <w:rStyle w:val="indexentry"/>
        </w:rPr>
        <w:t>&lt;lx "so'o"&gt;</w:t>
      </w:r>
      <w:r>
        <w:rPr>
          <w:rStyle w:val="indexentry"/>
        </w:rPr>
        <w:fldChar w:fldCharType="begin"/>
      </w:r>
      <w:r>
        <w:instrText>xe "</w:instrText>
      </w:r>
      <w:r>
        <w:rPr>
          <w:rStyle w:val="xeentry"/>
        </w:rPr>
        <w:instrText>so'o</w:instrText>
      </w:r>
      <w:r>
        <w:instrText>"</w:instrText>
      </w:r>
      <w:r>
        <w:rPr>
          <w:rStyle w:val="indexentry"/>
        </w:rPr>
        <w:fldChar w:fldCharType="end"/>
      </w:r>
      <w:r>
        <w:rPr>
          <w:rStyle w:val="indexentry"/>
        </w:rPr>
        <w:t>&lt;lx "so'u"&gt;</w:t>
      </w:r>
      <w:r>
        <w:rPr>
          <w:rStyle w:val="indexentry"/>
        </w:rPr>
        <w:fldChar w:fldCharType="begin"/>
      </w:r>
      <w:r>
        <w:instrText>xe "</w:instrText>
      </w:r>
      <w:r>
        <w:rPr>
          <w:rStyle w:val="xeentry"/>
        </w:rPr>
        <w:instrText>so'u</w:instrText>
      </w:r>
      <w:r>
        <w:instrText>"</w:instrText>
      </w:r>
      <w:r>
        <w:rPr>
          <w:rStyle w:val="indexentry"/>
        </w:rPr>
        <w:fldChar w:fldCharType="end"/>
      </w:r>
      <w:r>
        <w:t>The cmavo “so'a”, “so'e”, “so'i”, “so'o”, and “so'u” represent a set of</w:t>
      </w:r>
      <w:r>
        <w:rPr>
          <w:rStyle w:val="deletedparamark"/>
        </w:rPr>
        <w:t xml:space="preserve"> </w:t>
      </w:r>
      <w:r>
        <w:t>indefinite nu</w:t>
      </w:r>
      <w:r>
        <w:t>m</w:t>
      </w:r>
      <w:r>
        <w:softHyphen/>
        <w:t>bers less than “ro”. As you go down an alphabetical list, the</w:t>
      </w:r>
      <w:r>
        <w:rPr>
          <w:rStyle w:val="deletedparamark"/>
        </w:rPr>
        <w:t xml:space="preserve"> </w:t>
      </w:r>
      <w:r>
        <w:t>magnitude decreases:</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name=e8d3&gt;</w:t>
      </w:r>
      <w:r>
        <w:t>8.3)</w:t>
      </w:r>
      <w:r>
        <w:tab/>
        <w:t>mi catlu so'a prenu</w:t>
      </w:r>
    </w:p>
    <w:p w:rsidR="00B72047" w:rsidRDefault="00B72047">
      <w:pPr>
        <w:pStyle w:val="examplescaled"/>
      </w:pPr>
      <w:r>
        <w:tab/>
        <w:t>I look-at almost-all persons</w:t>
      </w:r>
    </w:p>
    <w:p w:rsidR="00B72047" w:rsidRDefault="00B72047">
      <w:pPr>
        <w:pStyle w:val="examplescaledpre"/>
      </w:pPr>
      <w:r>
        <w:rPr>
          <w:rStyle w:val="htmlcodes"/>
        </w:rPr>
        <w:t>&lt;a name=e8d4&gt;</w:t>
      </w:r>
      <w:r>
        <w:t>8.4)</w:t>
      </w:r>
      <w:r>
        <w:tab/>
        <w:t>mi catlu so'e prenu</w:t>
      </w:r>
    </w:p>
    <w:p w:rsidR="00B72047" w:rsidRDefault="00B72047">
      <w:pPr>
        <w:pStyle w:val="examplescaled"/>
      </w:pPr>
      <w:r>
        <w:tab/>
        <w:t>I look-at most persons</w:t>
      </w:r>
    </w:p>
    <w:p w:rsidR="00B72047" w:rsidRDefault="00B72047">
      <w:pPr>
        <w:pStyle w:val="examplescaledpre"/>
      </w:pPr>
      <w:r>
        <w:rPr>
          <w:rStyle w:val="htmlcodes"/>
        </w:rPr>
        <w:t>&lt;a name=e8d5&gt;</w:t>
      </w:r>
      <w:r>
        <w:t>8.5)</w:t>
      </w:r>
      <w:r>
        <w:tab/>
        <w:t>mi catlu so'i prenu</w:t>
      </w:r>
    </w:p>
    <w:p w:rsidR="00B72047" w:rsidRDefault="00B72047">
      <w:pPr>
        <w:pStyle w:val="examplescaled"/>
      </w:pPr>
      <w:r>
        <w:tab/>
        <w:t>I look-at many persons</w:t>
      </w:r>
    </w:p>
    <w:p w:rsidR="00B72047" w:rsidRDefault="00B72047">
      <w:pPr>
        <w:pStyle w:val="examplescaledpre"/>
      </w:pPr>
      <w:r>
        <w:rPr>
          <w:rStyle w:val="htmlcodes"/>
        </w:rPr>
        <w:t>&lt;a name=e8d6&gt;</w:t>
      </w:r>
      <w:r>
        <w:t>8.6)</w:t>
      </w:r>
      <w:r>
        <w:tab/>
        <w:t>mi catlu so'o prenu</w:t>
      </w:r>
    </w:p>
    <w:p w:rsidR="00B72047" w:rsidRDefault="00B72047">
      <w:pPr>
        <w:pStyle w:val="examplescaled"/>
      </w:pPr>
      <w:r>
        <w:tab/>
        <w:t>I look-at several persons</w:t>
      </w:r>
    </w:p>
    <w:p w:rsidR="00B72047" w:rsidRDefault="00B72047">
      <w:pPr>
        <w:pStyle w:val="examplescaledpre"/>
      </w:pPr>
      <w:r>
        <w:rPr>
          <w:rStyle w:val="htmlcodes"/>
        </w:rPr>
        <w:t>&lt;a name=e8d7&gt;</w:t>
      </w:r>
      <w:r>
        <w:t>8.7)</w:t>
      </w:r>
      <w:r>
        <w:tab/>
        <w:t>mi catlu so'u prenu</w:t>
      </w:r>
    </w:p>
    <w:p w:rsidR="00B72047" w:rsidRDefault="00B72047">
      <w:pPr>
        <w:pStyle w:val="examplescaled"/>
      </w:pPr>
      <w:r>
        <w:tab/>
        <w:t>I look-at a-few persons</w:t>
      </w:r>
    </w:p>
    <w:p w:rsidR="00B72047" w:rsidRDefault="00B72047">
      <w:pPr>
        <w:pStyle w:val="resumedafterexample"/>
      </w:pPr>
      <w:r>
        <w:rPr>
          <w:rStyle w:val="htmlcodes"/>
        </w:rPr>
        <w:t>&lt;/pre&gt;</w:t>
      </w:r>
      <w:r>
        <w:rPr>
          <w:rStyle w:val="indexentry"/>
        </w:rPr>
        <w:t>&lt;cx "so'e, meaning of"&gt;</w:t>
      </w:r>
      <w:r>
        <w:rPr>
          <w:rStyle w:val="indexentry"/>
        </w:rPr>
        <w:fldChar w:fldCharType="begin"/>
      </w:r>
      <w:r>
        <w:instrText>xe "</w:instrText>
      </w:r>
      <w:r>
        <w:rPr>
          <w:rStyle w:val="xeentry"/>
        </w:rPr>
        <w:instrText>so'e: meaning of</w:instrText>
      </w:r>
      <w:r>
        <w:instrText>"</w:instrText>
      </w:r>
      <w:r>
        <w:rPr>
          <w:rStyle w:val="indexentry"/>
        </w:rPr>
        <w:fldChar w:fldCharType="end"/>
      </w:r>
      <w:r>
        <w:t>The English equivalents are only rough: the cmavo provide space for up to</w:t>
      </w:r>
      <w:r>
        <w:rPr>
          <w:rStyle w:val="deletedparamark"/>
        </w:rPr>
        <w:t xml:space="preserve"> </w:t>
      </w:r>
      <w:r>
        <w:t>five indefi</w:t>
      </w:r>
      <w:r>
        <w:softHyphen/>
        <w:t>nite numbers between “ro” and “no”, with a built-in ordering.</w:t>
      </w:r>
      <w:r>
        <w:rPr>
          <w:rStyle w:val="deletedparamark"/>
        </w:rPr>
        <w:t xml:space="preserve"> </w:t>
      </w:r>
      <w:r>
        <w:t>In particular, “so'e” does not mean “most” in the sense of “a majority” or</w:t>
      </w:r>
      <w:r>
        <w:rPr>
          <w:rStyle w:val="deletedparamark"/>
        </w:rPr>
        <w:t xml:space="preserve"> “</w:t>
      </w:r>
      <w:r>
        <w:t>more than half”.</w:t>
      </w:r>
    </w:p>
    <w:p w:rsidR="00B72047" w:rsidRDefault="00B72047">
      <w:pPr>
        <w:rPr>
          <w:rStyle w:val="htmlparacode"/>
        </w:rPr>
      </w:pPr>
      <w:r>
        <w:rPr>
          <w:rStyle w:val="htmlparacode"/>
        </w:rPr>
        <w:t>&lt;p&gt;</w:t>
      </w:r>
    </w:p>
    <w:p w:rsidR="00B72047" w:rsidRDefault="00B72047">
      <w:pPr>
        <w:pStyle w:val="normalparagraph"/>
      </w:pPr>
      <w:r>
        <w:rPr>
          <w:rStyle w:val="indexentry"/>
        </w:rPr>
        <w:t>&lt;lx "pi"&gt;</w:t>
      </w:r>
      <w:r>
        <w:rPr>
          <w:rStyle w:val="indexentry"/>
        </w:rPr>
        <w:fldChar w:fldCharType="begin"/>
      </w:r>
      <w:r>
        <w:instrText>xe "</w:instrText>
      </w:r>
      <w:r>
        <w:rPr>
          <w:rStyle w:val="xeentry"/>
        </w:rPr>
        <w:instrText>pi</w:instrText>
      </w:r>
      <w:r>
        <w:instrText>"</w:instrText>
      </w:r>
      <w:r>
        <w:rPr>
          <w:rStyle w:val="indexentry"/>
        </w:rPr>
        <w:fldChar w:fldCharType="end"/>
      </w:r>
      <w:r>
        <w:rPr>
          <w:rStyle w:val="indexentry"/>
        </w:rPr>
        <w:t>&lt;cx "pi, effect on indefinite numbers"&gt;</w:t>
      </w:r>
      <w:r>
        <w:rPr>
          <w:rStyle w:val="indexentry"/>
        </w:rPr>
        <w:fldChar w:fldCharType="begin"/>
      </w:r>
      <w:r>
        <w:instrText>xe "</w:instrText>
      </w:r>
      <w:r>
        <w:rPr>
          <w:rStyle w:val="xeentry"/>
        </w:rPr>
        <w:instrText>pi: effect on indefinite numbers</w:instrText>
      </w:r>
      <w:r>
        <w:instrText>"</w:instrText>
      </w:r>
      <w:r>
        <w:rPr>
          <w:rStyle w:val="indexentry"/>
        </w:rPr>
        <w:fldChar w:fldCharType="end"/>
      </w:r>
      <w:r>
        <w:rPr>
          <w:rStyle w:val="indexentry"/>
        </w:rPr>
        <w:t>&lt;cx "portion of whole, expressing"&gt;</w:t>
      </w:r>
      <w:r>
        <w:rPr>
          <w:rStyle w:val="indexentry"/>
        </w:rPr>
        <w:fldChar w:fldCharType="begin"/>
      </w:r>
      <w:r>
        <w:instrText>xe "</w:instrText>
      </w:r>
      <w:r>
        <w:rPr>
          <w:rStyle w:val="xeentry"/>
        </w:rPr>
        <w:instrText>portion of whole: expressing</w:instrText>
      </w:r>
      <w:r>
        <w:instrText>"</w:instrText>
      </w:r>
      <w:r>
        <w:rPr>
          <w:rStyle w:val="indexentry"/>
        </w:rPr>
        <w:fldChar w:fldCharType="end"/>
      </w:r>
      <w:r>
        <w:rPr>
          <w:rStyle w:val="indexentry"/>
        </w:rPr>
        <w:t>&lt;cx "indefinite numbers, effect of pi on"&gt;</w:t>
      </w:r>
      <w:r>
        <w:rPr>
          <w:rStyle w:val="indexentry"/>
        </w:rPr>
        <w:fldChar w:fldCharType="begin"/>
      </w:r>
      <w:r>
        <w:instrText>xe "</w:instrText>
      </w:r>
      <w:r>
        <w:rPr>
          <w:rStyle w:val="xeentry"/>
        </w:rPr>
        <w:instrText>indefinite numbers: effect of pi on</w:instrText>
      </w:r>
      <w:r>
        <w:instrText>"</w:instrText>
      </w:r>
      <w:r>
        <w:rPr>
          <w:rStyle w:val="indexentry"/>
        </w:rPr>
        <w:fldChar w:fldCharType="end"/>
      </w:r>
      <w:r>
        <w:rPr>
          <w:rStyle w:val="indexentry"/>
        </w:rPr>
        <w:t>&lt;ex "whole of"&gt;</w:t>
      </w:r>
      <w:r>
        <w:rPr>
          <w:rStyle w:val="indexentry"/>
        </w:rPr>
        <w:fldChar w:fldCharType="begin"/>
      </w:r>
      <w:r>
        <w:instrText>xe "</w:instrText>
      </w:r>
      <w:r>
        <w:rPr>
          <w:rStyle w:val="xeentry"/>
        </w:rPr>
        <w:instrText>whole of: example</w:instrText>
      </w:r>
      <w:r>
        <w:instrText>"</w:instrText>
      </w:r>
      <w:r>
        <w:rPr>
          <w:rStyle w:val="indexentry"/>
        </w:rPr>
        <w:fldChar w:fldCharType="end"/>
      </w:r>
      <w:r>
        <w:t>Each of these numbers, plus “ro”, may be prefixed with “pi” (the decimal</w:t>
      </w:r>
      <w:r>
        <w:rPr>
          <w:rStyle w:val="deletedparamark"/>
        </w:rPr>
        <w:t xml:space="preserve"> </w:t>
      </w:r>
      <w:r>
        <w:t>point) in order to make a fractional form which represents part of a</w:t>
      </w:r>
      <w:r>
        <w:rPr>
          <w:rStyle w:val="deletedparamark"/>
        </w:rPr>
        <w:t xml:space="preserve"> </w:t>
      </w:r>
      <w:r>
        <w:t>whole rather than some el</w:t>
      </w:r>
      <w:r>
        <w:t>e</w:t>
      </w:r>
      <w:r>
        <w:softHyphen/>
        <w:t>ments of a totality. “piro” therefore means</w:t>
      </w:r>
      <w:r>
        <w:rPr>
          <w:rStyle w:val="deletedparamark"/>
        </w:rPr>
        <w:t xml:space="preserve"> “</w:t>
      </w:r>
      <w:r>
        <w:t>the whole of”:</w:t>
      </w:r>
    </w:p>
    <w:p w:rsidR="00B72047" w:rsidRDefault="00B72047">
      <w:pPr>
        <w:rPr>
          <w:rStyle w:val="htmlparacode"/>
        </w:rPr>
      </w:pPr>
      <w:r>
        <w:rPr>
          <w:rStyle w:val="htmlparacode"/>
        </w:rPr>
        <w:t>&lt;p&gt;</w:t>
      </w:r>
    </w:p>
    <w:p w:rsidR="00B72047" w:rsidRDefault="00B72047">
      <w:pPr>
        <w:pStyle w:val="examplescaledpre"/>
      </w:pPr>
      <w:r>
        <w:rPr>
          <w:rStyle w:val="indexentry"/>
        </w:rPr>
        <w:t>&lt;ex "eat bread"&gt;</w:t>
      </w:r>
      <w:r>
        <w:rPr>
          <w:rStyle w:val="indexentry"/>
        </w:rPr>
        <w:fldChar w:fldCharType="begin"/>
      </w:r>
      <w:r>
        <w:instrText>xe "</w:instrText>
      </w:r>
      <w:r>
        <w:rPr>
          <w:rStyle w:val="xeentry"/>
        </w:rPr>
        <w:instrText>eat bread: example</w:instrText>
      </w:r>
      <w:r>
        <w:instrText>"</w:instrText>
      </w:r>
      <w:r>
        <w:rPr>
          <w:rStyle w:val="indexentry"/>
        </w:rPr>
        <w:fldChar w:fldCharType="end"/>
      </w:r>
      <w:r>
        <w:rPr>
          <w:rStyle w:val="htmlcodes"/>
        </w:rPr>
        <w:t>&lt;pre&gt;&lt;a name=e8d8&gt;</w:t>
      </w:r>
      <w:r>
        <w:t>8.8)</w:t>
      </w:r>
      <w:r>
        <w:tab/>
        <w:t>mi citka piro lei nanba</w:t>
      </w:r>
    </w:p>
    <w:p w:rsidR="00B72047" w:rsidRDefault="00B72047">
      <w:pPr>
        <w:pStyle w:val="examplescaled"/>
      </w:pPr>
      <w:r>
        <w:tab/>
        <w:t>I eat the-whole-of the-mass-of bread</w:t>
      </w:r>
    </w:p>
    <w:p w:rsidR="00B72047" w:rsidRDefault="00B72047">
      <w:pPr>
        <w:pStyle w:val="resumedafterexample"/>
      </w:pPr>
      <w:r>
        <w:rPr>
          <w:rStyle w:val="htmlcodes"/>
        </w:rPr>
        <w:t>&lt;/pre&gt;</w:t>
      </w:r>
      <w:r>
        <w:rPr>
          <w:rStyle w:val="indexentry"/>
        </w:rPr>
        <w:t>&lt;cx "masses, expressing portions of"&gt;</w:t>
      </w:r>
      <w:r>
        <w:rPr>
          <w:rStyle w:val="indexentry"/>
        </w:rPr>
        <w:fldChar w:fldCharType="begin"/>
      </w:r>
      <w:r>
        <w:instrText>xe "</w:instrText>
      </w:r>
      <w:r>
        <w:rPr>
          <w:rStyle w:val="xeentry"/>
        </w:rPr>
        <w:instrText>mass: expressing portions of</w:instrText>
      </w:r>
      <w:r>
        <w:instrText>"</w:instrText>
      </w:r>
      <w:r>
        <w:rPr>
          <w:rStyle w:val="indexentry"/>
        </w:rPr>
        <w:fldChar w:fldCharType="end"/>
      </w:r>
      <w:r>
        <w:t>Similarly, “piso'a” means “almost the whole of”; and so on down to “piso'u”,</w:t>
      </w:r>
      <w:r>
        <w:rPr>
          <w:rStyle w:val="deletedparamark"/>
        </w:rPr>
        <w:t xml:space="preserve"> “</w:t>
      </w:r>
      <w:r>
        <w:t>a tiny part of”. These numbers are particularly appropriate with masses,</w:t>
      </w:r>
      <w:r>
        <w:rPr>
          <w:rStyle w:val="deletedparamark"/>
        </w:rPr>
        <w:t xml:space="preserve"> </w:t>
      </w:r>
      <w:r>
        <w:t xml:space="preserve">which are usually measured rather than counted, as </w:t>
      </w:r>
      <w:r>
        <w:rPr>
          <w:rStyle w:val="htmlcodes"/>
        </w:rPr>
        <w:t>&lt;a href=#e8d8&gt;</w:t>
      </w:r>
      <w:r>
        <w:t xml:space="preserve">Example 8.8 </w:t>
      </w:r>
      <w:r>
        <w:rPr>
          <w:rStyle w:val="htmlcodes"/>
        </w:rPr>
        <w:t>&lt;/a&gt;</w:t>
      </w:r>
      <w:r>
        <w:t>shows.</w:t>
      </w:r>
    </w:p>
    <w:p w:rsidR="00B72047" w:rsidRDefault="00B72047">
      <w:pPr>
        <w:rPr>
          <w:rStyle w:val="htmlparacode"/>
        </w:rPr>
      </w:pPr>
      <w:r>
        <w:rPr>
          <w:rStyle w:val="htmlparacode"/>
        </w:rPr>
        <w:t>&lt;p&gt;</w:t>
      </w:r>
    </w:p>
    <w:p w:rsidR="00B72047" w:rsidRDefault="00B72047">
      <w:pPr>
        <w:pStyle w:val="normalparagraph"/>
      </w:pPr>
      <w:r>
        <w:rPr>
          <w:rStyle w:val="indexentry"/>
        </w:rPr>
        <w:t>&lt;lx "no'o"&gt;</w:t>
      </w:r>
      <w:r>
        <w:rPr>
          <w:rStyle w:val="indexentry"/>
        </w:rPr>
        <w:fldChar w:fldCharType="begin"/>
      </w:r>
      <w:r>
        <w:instrText>xe "</w:instrText>
      </w:r>
      <w:r>
        <w:rPr>
          <w:rStyle w:val="xeentry"/>
        </w:rPr>
        <w:instrText>no'o</w:instrText>
      </w:r>
      <w:r>
        <w:instrText>"</w:instrText>
      </w:r>
      <w:r>
        <w:rPr>
          <w:rStyle w:val="indexentry"/>
        </w:rPr>
        <w:fldChar w:fldCharType="end"/>
      </w:r>
      <w:r>
        <w:rPr>
          <w:rStyle w:val="indexentry"/>
        </w:rPr>
        <w:t>&lt;cx "typical value, contrasted with mathematical average"&gt;</w:t>
      </w:r>
      <w:r>
        <w:rPr>
          <w:rStyle w:val="indexentry"/>
        </w:rPr>
        <w:fldChar w:fldCharType="begin"/>
      </w:r>
      <w:r>
        <w:instrText>xe "</w:instrText>
      </w:r>
      <w:r>
        <w:rPr>
          <w:rStyle w:val="xeentry"/>
        </w:rPr>
        <w:instrText>typical value: contrasted with mathematical average</w:instrText>
      </w:r>
      <w:r>
        <w:instrText>"</w:instrText>
      </w:r>
      <w:r>
        <w:rPr>
          <w:rStyle w:val="indexentry"/>
        </w:rPr>
        <w:fldChar w:fldCharType="end"/>
      </w:r>
      <w:r>
        <w:t>In addition to these cmavo, there is “no'o”, meaning “the typical value”,</w:t>
      </w:r>
      <w:r>
        <w:rPr>
          <w:rStyle w:val="deletedparamark"/>
        </w:rPr>
        <w:t xml:space="preserve"> </w:t>
      </w:r>
      <w:r>
        <w:t>and “pino'o”, meaning “the typical portion”: Sometimes “no'o” can be</w:t>
      </w:r>
      <w:r>
        <w:rPr>
          <w:rStyle w:val="deletedparamark"/>
        </w:rPr>
        <w:t xml:space="preserve"> </w:t>
      </w:r>
      <w:r>
        <w:t>translated “the aver</w:t>
      </w:r>
      <w:r>
        <w:softHyphen/>
        <w:t>age value”, but the average in question is not, in</w:t>
      </w:r>
      <w:r>
        <w:rPr>
          <w:rStyle w:val="deletedparamark"/>
        </w:rPr>
        <w:t xml:space="preserve"> </w:t>
      </w:r>
      <w:r>
        <w:t>general, a mathematical mean, median, or mode; these would be more</w:t>
      </w:r>
      <w:r>
        <w:rPr>
          <w:rStyle w:val="deletedparamark"/>
        </w:rPr>
        <w:t xml:space="preserve"> </w:t>
      </w:r>
      <w:r>
        <w:t>appropriately represented by operators.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name=e8d9&gt;</w:t>
      </w:r>
      <w:r>
        <w:t>8.9)</w:t>
      </w:r>
      <w:r>
        <w:tab/>
        <w:t>mi catlu no'o prenu</w:t>
      </w:r>
    </w:p>
    <w:p w:rsidR="00B72047" w:rsidRDefault="00B72047">
      <w:pPr>
        <w:pStyle w:val="examplescaled"/>
      </w:pPr>
      <w:r>
        <w:tab/>
        <w:t>I look-at a-typical-number-of persons</w:t>
      </w:r>
    </w:p>
    <w:p w:rsidR="00B72047" w:rsidRDefault="00B72047">
      <w:pPr>
        <w:pStyle w:val="examplescaledpre"/>
      </w:pPr>
      <w:r>
        <w:rPr>
          <w:rStyle w:val="htmlcodes"/>
        </w:rPr>
        <w:t>&lt;a name=e8d10&gt;</w:t>
      </w:r>
      <w:r>
        <w:t>8.10)</w:t>
      </w:r>
      <w:r>
        <w:tab/>
        <w:t>mi citka pino'o lei nanba</w:t>
      </w:r>
    </w:p>
    <w:p w:rsidR="00B72047" w:rsidRDefault="00B72047">
      <w:pPr>
        <w:pStyle w:val="examplescaled"/>
      </w:pPr>
      <w:r>
        <w:tab/>
        <w:t>I eat a-typical-amount-of the-mass-of bread.</w:t>
      </w:r>
    </w:p>
    <w:p w:rsidR="00B72047" w:rsidRDefault="00B72047">
      <w:pPr>
        <w:pStyle w:val="normalafterexample"/>
      </w:pPr>
      <w:r>
        <w:rPr>
          <w:rStyle w:val="htmlcodes"/>
        </w:rPr>
        <w:t>&lt;/pre&gt;</w:t>
      </w:r>
      <w:r>
        <w:rPr>
          <w:rStyle w:val="indexentry"/>
        </w:rPr>
        <w:t>&lt;lx "da'a"&gt;</w:t>
      </w:r>
      <w:r>
        <w:rPr>
          <w:rStyle w:val="indexentry"/>
        </w:rPr>
        <w:fldChar w:fldCharType="begin"/>
      </w:r>
      <w:r>
        <w:instrText>xe "</w:instrText>
      </w:r>
      <w:r>
        <w:rPr>
          <w:rStyle w:val="xeentry"/>
        </w:rPr>
        <w:instrText>da'a</w:instrText>
      </w:r>
      <w:r>
        <w:instrText>"</w:instrText>
      </w:r>
      <w:r>
        <w:rPr>
          <w:rStyle w:val="indexentry"/>
        </w:rPr>
        <w:fldChar w:fldCharType="end"/>
      </w:r>
      <w:r>
        <w:rPr>
          <w:rStyle w:val="indexentry"/>
        </w:rPr>
        <w:t>“</w:t>
      </w:r>
      <w:r>
        <w:t>“da'a” is a related cmavo meaning “all but”: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name=e8d11&gt;</w:t>
      </w:r>
      <w:r>
        <w:t>8.11)</w:t>
      </w:r>
      <w:r>
        <w:tab/>
        <w:t>mi catlu da'a re prenu</w:t>
      </w:r>
    </w:p>
    <w:p w:rsidR="00B72047" w:rsidRDefault="00B72047">
      <w:pPr>
        <w:pStyle w:val="examplescaled"/>
      </w:pPr>
      <w:r>
        <w:tab/>
        <w:t>I look-at all-but two persons</w:t>
      </w:r>
    </w:p>
    <w:p w:rsidR="00B72047" w:rsidRDefault="00B72047">
      <w:pPr>
        <w:pStyle w:val="examplescaledpre"/>
      </w:pPr>
      <w:r>
        <w:rPr>
          <w:rStyle w:val="htmlcodes"/>
        </w:rPr>
        <w:t>&lt;a name=e8d12&gt;</w:t>
      </w:r>
      <w:r>
        <w:t>8.12)</w:t>
      </w:r>
      <w:r>
        <w:tab/>
        <w:t>mi catlu da'a so'u prenu</w:t>
      </w:r>
    </w:p>
    <w:p w:rsidR="00B72047" w:rsidRDefault="00B72047">
      <w:pPr>
        <w:pStyle w:val="examplescaled"/>
      </w:pPr>
      <w:r>
        <w:tab/>
        <w:t>I look-at all-but a-few persons</w:t>
      </w:r>
    </w:p>
    <w:p w:rsidR="00B72047" w:rsidRDefault="00B72047">
      <w:pPr>
        <w:pStyle w:val="resumedafterexample"/>
      </w:pPr>
      <w:r>
        <w:rPr>
          <w:rStyle w:val="htmlcodes"/>
        </w:rPr>
        <w:t>&lt;/pre&gt;&lt;a href=#e8d12&gt;</w:t>
      </w:r>
      <w:r>
        <w:t xml:space="preserve">Example 8.12 </w:t>
      </w:r>
      <w:r>
        <w:rPr>
          <w:rStyle w:val="htmlcodes"/>
        </w:rPr>
        <w:t>&lt;/a&gt;</w:t>
      </w:r>
      <w:r>
        <w:t xml:space="preserve">is similar in meaning to </w:t>
      </w:r>
      <w:r>
        <w:rPr>
          <w:rStyle w:val="htmlcodes"/>
        </w:rPr>
        <w:t>&lt;a href=#e8d3&gt;</w:t>
      </w:r>
      <w:r>
        <w:t>Example 8.3</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spacing w:before="0"/>
      </w:pPr>
      <w:r>
        <w:rPr>
          <w:rStyle w:val="indexentry"/>
        </w:rPr>
        <w:t>&lt;cx "da'a, default number for"&gt;</w:t>
      </w:r>
      <w:r>
        <w:rPr>
          <w:rStyle w:val="indexentry"/>
        </w:rPr>
        <w:fldChar w:fldCharType="begin"/>
      </w:r>
      <w:r>
        <w:instrText>xe "</w:instrText>
      </w:r>
      <w:r>
        <w:rPr>
          <w:rStyle w:val="xeentry"/>
        </w:rPr>
        <w:instrText>da'a: default number for</w:instrText>
      </w:r>
      <w:r>
        <w:instrText>"</w:instrText>
      </w:r>
      <w:r>
        <w:rPr>
          <w:rStyle w:val="indexentry"/>
        </w:rPr>
        <w:fldChar w:fldCharType="end"/>
      </w:r>
      <w:r>
        <w:t>If no number follows “da'a”, then “pa” is assumed; “da'a” by itself means</w:t>
      </w:r>
      <w:r>
        <w:rPr>
          <w:rStyle w:val="deletedparamark"/>
        </w:rPr>
        <w:t xml:space="preserve"> “</w:t>
      </w:r>
      <w:r>
        <w:t>all but one”, or in ordinal contexts “all but the last”: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name=e8d13&gt;</w:t>
      </w:r>
      <w:r>
        <w:t>8.13)</w:t>
      </w:r>
      <w:r>
        <w:tab/>
        <w:t>ro ratcu ka'e citka da'a ratcu</w:t>
      </w:r>
    </w:p>
    <w:p w:rsidR="00B72047" w:rsidRDefault="00B72047">
      <w:pPr>
        <w:pStyle w:val="examplescaled"/>
      </w:pPr>
      <w:r>
        <w:tab/>
        <w:t>all rats can eat all-but-one rats.</w:t>
      </w:r>
    </w:p>
    <w:p w:rsidR="00B72047" w:rsidRDefault="00B72047">
      <w:pPr>
        <w:pStyle w:val="examplescaled"/>
      </w:pPr>
      <w:r>
        <w:tab/>
        <w:t>All rats can eat all other rats.</w:t>
      </w:r>
    </w:p>
    <w:p w:rsidR="00B72047" w:rsidRDefault="00B72047">
      <w:pPr>
        <w:pStyle w:val="resumedafterexample"/>
      </w:pPr>
      <w:r>
        <w:rPr>
          <w:rStyle w:val="htmlcodes"/>
        </w:rPr>
        <w:t>&lt;/pre&gt;</w:t>
      </w:r>
      <w:r>
        <w:rPr>
          <w:rStyle w:val="indexentry"/>
        </w:rPr>
        <w:t>&lt;ex "eat themselves"&gt;</w:t>
      </w:r>
      <w:r>
        <w:rPr>
          <w:rStyle w:val="indexentry"/>
        </w:rPr>
        <w:fldChar w:fldCharType="begin"/>
      </w:r>
      <w:r>
        <w:instrText>xe "</w:instrText>
      </w:r>
      <w:r>
        <w:rPr>
          <w:rStyle w:val="xeentry"/>
        </w:rPr>
        <w:instrText>eat themselves: example</w:instrText>
      </w:r>
      <w:r>
        <w:instrText>"</w:instrText>
      </w:r>
      <w:r>
        <w:rPr>
          <w:rStyle w:val="indexentry"/>
        </w:rPr>
        <w:fldChar w:fldCharType="end"/>
      </w:r>
      <w:r>
        <w:t xml:space="preserve">(The use of “da'a” means that </w:t>
      </w:r>
      <w:r>
        <w:rPr>
          <w:rStyle w:val="htmlcodes"/>
        </w:rPr>
        <w:t>&lt;a href=#e8d13&gt;</w:t>
      </w:r>
      <w:r>
        <w:t xml:space="preserve">Example 8.13 </w:t>
      </w:r>
      <w:r>
        <w:rPr>
          <w:rStyle w:val="htmlcodes"/>
        </w:rPr>
        <w:t>&lt;/a&gt;</w:t>
      </w:r>
      <w:r>
        <w:t>does not require that all rats</w:t>
      </w:r>
      <w:r>
        <w:rPr>
          <w:rStyle w:val="deletedparamark"/>
        </w:rPr>
        <w:t xml:space="preserve"> </w:t>
      </w:r>
      <w:r>
        <w:t>can eat them</w:t>
      </w:r>
      <w:r>
        <w:softHyphen/>
        <w:t>selves, but does allow it. Each rat has one rat it cannot eat,</w:t>
      </w:r>
      <w:r>
        <w:rPr>
          <w:rStyle w:val="deletedparamark"/>
        </w:rPr>
        <w:t xml:space="preserve"> </w:t>
      </w:r>
      <w:r>
        <w:t>but that one might be some rat other than itself. Context often dictates</w:t>
      </w:r>
      <w:r>
        <w:rPr>
          <w:rStyle w:val="deletedparamark"/>
        </w:rPr>
        <w:t xml:space="preserve"> </w:t>
      </w:r>
      <w:r>
        <w:t>that “itself” is, indeed, the “other” rat.)</w:t>
      </w:r>
    </w:p>
    <w:p w:rsidR="00B72047" w:rsidRDefault="00B72047">
      <w:pPr>
        <w:rPr>
          <w:rStyle w:val="htmlparacode"/>
        </w:rPr>
      </w:pPr>
      <w:r>
        <w:rPr>
          <w:rStyle w:val="htmlparacode"/>
        </w:rPr>
        <w:t>&lt;p&gt;</w:t>
      </w:r>
    </w:p>
    <w:p w:rsidR="00B72047" w:rsidRDefault="00B72047">
      <w:pPr>
        <w:pStyle w:val="normalparagraph"/>
      </w:pPr>
      <w:r>
        <w:rPr>
          <w:rStyle w:val="indexentry"/>
        </w:rPr>
        <w:t>&lt;cx "ma'u, with elided number"&gt;</w:t>
      </w:r>
      <w:r>
        <w:rPr>
          <w:rStyle w:val="indexentry"/>
        </w:rPr>
        <w:fldChar w:fldCharType="begin"/>
      </w:r>
      <w:r>
        <w:instrText>xe "</w:instrText>
      </w:r>
      <w:r>
        <w:rPr>
          <w:rStyle w:val="xeentry"/>
        </w:rPr>
        <w:instrText>ma'u: with elided number</w:instrText>
      </w:r>
      <w:r>
        <w:instrText>"</w:instrText>
      </w:r>
      <w:r>
        <w:rPr>
          <w:rStyle w:val="indexentry"/>
        </w:rPr>
        <w:fldChar w:fldCharType="end"/>
      </w:r>
      <w:r>
        <w:rPr>
          <w:rStyle w:val="indexentry"/>
        </w:rPr>
        <w:t>&lt;cx "ni'u, with elided number"&gt;</w:t>
      </w:r>
      <w:r>
        <w:rPr>
          <w:rStyle w:val="indexentry"/>
        </w:rPr>
        <w:fldChar w:fldCharType="begin"/>
      </w:r>
      <w:r>
        <w:instrText>xe "</w:instrText>
      </w:r>
      <w:r>
        <w:rPr>
          <w:rStyle w:val="xeentry"/>
        </w:rPr>
        <w:instrText>ni'u: with elided number</w:instrText>
      </w:r>
      <w:r>
        <w:instrText>"</w:instrText>
      </w:r>
      <w:r>
        <w:rPr>
          <w:rStyle w:val="indexentry"/>
        </w:rPr>
        <w:fldChar w:fldCharType="end"/>
      </w:r>
      <w:r>
        <w:rPr>
          <w:rStyle w:val="indexentry"/>
        </w:rPr>
        <w:t>&lt;lx "ma'u"&gt;</w:t>
      </w:r>
      <w:r>
        <w:rPr>
          <w:rStyle w:val="indexentry"/>
        </w:rPr>
        <w:fldChar w:fldCharType="begin"/>
      </w:r>
      <w:r>
        <w:instrText>xe "</w:instrText>
      </w:r>
      <w:r>
        <w:rPr>
          <w:rStyle w:val="xeentry"/>
        </w:rPr>
        <w:instrText>ma'u</w:instrText>
      </w:r>
      <w:r>
        <w:instrText>"</w:instrText>
      </w:r>
      <w:r>
        <w:rPr>
          <w:rStyle w:val="indexentry"/>
        </w:rPr>
        <w:fldChar w:fldCharType="end"/>
      </w:r>
      <w:r>
        <w:rPr>
          <w:rStyle w:val="indexentry"/>
        </w:rPr>
        <w:t>&lt;lx "ni'u"&gt;</w:t>
      </w:r>
      <w:r>
        <w:rPr>
          <w:rStyle w:val="indexentry"/>
        </w:rPr>
        <w:fldChar w:fldCharType="begin"/>
      </w:r>
      <w:r>
        <w:instrText>xe "</w:instrText>
      </w:r>
      <w:r>
        <w:rPr>
          <w:rStyle w:val="xeentry"/>
        </w:rPr>
        <w:instrText>ni'u</w:instrText>
      </w:r>
      <w:r>
        <w:instrText>"</w:instrText>
      </w:r>
      <w:r>
        <w:rPr>
          <w:rStyle w:val="indexentry"/>
        </w:rPr>
        <w:fldChar w:fldCharType="end"/>
      </w:r>
      <w:r>
        <w:t xml:space="preserve">As mentioned in </w:t>
      </w:r>
      <w:r>
        <w:rPr>
          <w:rStyle w:val="htmlcodes"/>
        </w:rPr>
        <w:t>&lt;a href=#s3&gt;</w:t>
      </w:r>
      <w:r>
        <w:t>Section 3</w:t>
      </w:r>
      <w:r>
        <w:rPr>
          <w:rStyle w:val="htmlcodes"/>
        </w:rPr>
        <w:t>&lt;/a&gt;</w:t>
      </w:r>
      <w:r>
        <w:t>, “ma'u” and “ni'u” are also legal numbers, and</w:t>
      </w:r>
      <w:r>
        <w:rPr>
          <w:rStyle w:val="deletedparamark"/>
        </w:rPr>
        <w:t xml:space="preserve"> </w:t>
      </w:r>
      <w:r>
        <w:t>they mean “some positive number” and “some negative number” 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name=e8d14&gt;</w:t>
      </w:r>
      <w:r>
        <w:t>8.14)</w:t>
      </w:r>
      <w:r>
        <w:tab/>
        <w:t>li ci vu'u re du li ma'u</w:t>
      </w:r>
    </w:p>
    <w:p w:rsidR="00B72047" w:rsidRDefault="00B72047">
      <w:pPr>
        <w:pStyle w:val="examplescaled"/>
      </w:pPr>
      <w:r>
        <w:tab/>
        <w:t xml:space="preserve">the-number </w:t>
      </w:r>
      <w:r>
        <w:rPr>
          <w:rStyle w:val="math"/>
        </w:rPr>
        <w:t>3 - 2</w:t>
      </w:r>
      <w:r>
        <w:t xml:space="preserve"> = some-positive-number</w:t>
      </w:r>
    </w:p>
    <w:p w:rsidR="00B72047" w:rsidRDefault="00B72047">
      <w:pPr>
        <w:pStyle w:val="examplescaledpre"/>
      </w:pPr>
      <w:r>
        <w:rPr>
          <w:rStyle w:val="htmlcodes"/>
        </w:rPr>
        <w:t>&lt;a name=e8d15&gt;</w:t>
      </w:r>
      <w:r>
        <w:t>8.15)</w:t>
      </w:r>
      <w:r>
        <w:tab/>
        <w:t>li ci vu'u vo du li ni'u</w:t>
      </w:r>
    </w:p>
    <w:p w:rsidR="00B72047" w:rsidRDefault="00B72047">
      <w:pPr>
        <w:pStyle w:val="examplescaled"/>
      </w:pPr>
      <w:r>
        <w:tab/>
        <w:t xml:space="preserve">the-number </w:t>
      </w:r>
      <w:r>
        <w:rPr>
          <w:rStyle w:val="math"/>
        </w:rPr>
        <w:t>3 - 4</w:t>
      </w:r>
      <w:r>
        <w:t xml:space="preserve"> = some-negative-number</w:t>
      </w:r>
    </w:p>
    <w:p w:rsidR="00B72047" w:rsidRDefault="00B72047">
      <w:pPr>
        <w:pStyle w:val="examplescaledpre"/>
      </w:pPr>
      <w:r>
        <w:rPr>
          <w:rStyle w:val="htmlcodes"/>
        </w:rPr>
        <w:t>&lt;a name=e8d16&gt;</w:t>
      </w:r>
      <w:r>
        <w:t>8.16)</w:t>
      </w:r>
      <w:r>
        <w:tab/>
        <w:t>mi ponse ma'u rupnu</w:t>
      </w:r>
    </w:p>
    <w:p w:rsidR="00B72047" w:rsidRDefault="00B72047">
      <w:pPr>
        <w:pStyle w:val="examplescaled"/>
      </w:pPr>
      <w:r>
        <w:tab/>
        <w:t>I possess a-positive-number-of currency-units.</w:t>
      </w:r>
    </w:p>
    <w:p w:rsidR="00B72047" w:rsidRDefault="00B72047">
      <w:pPr>
        <w:pStyle w:val="resumedafterexample"/>
      </w:pPr>
      <w:r>
        <w:rPr>
          <w:rStyle w:val="htmlcodes"/>
        </w:rPr>
        <w:t>&lt;/pre&gt;</w:t>
      </w:r>
      <w:r>
        <w:rPr>
          <w:rStyle w:val="indexentry"/>
        </w:rPr>
        <w:t>&lt;cx "subjective amounts, expressing"&gt;</w:t>
      </w:r>
      <w:r>
        <w:rPr>
          <w:rStyle w:val="indexentry"/>
        </w:rPr>
        <w:fldChar w:fldCharType="begin"/>
      </w:r>
      <w:r>
        <w:instrText>xe "</w:instrText>
      </w:r>
      <w:r>
        <w:rPr>
          <w:rStyle w:val="xeentry"/>
        </w:rPr>
        <w:instrText>subjective amounts: expressing</w:instrText>
      </w:r>
      <w:r>
        <w:instrText>"</w:instrText>
      </w:r>
      <w:r>
        <w:rPr>
          <w:rStyle w:val="indexentry"/>
        </w:rPr>
        <w:fldChar w:fldCharType="end"/>
      </w:r>
      <w:r>
        <w:rPr>
          <w:rStyle w:val="indexentry"/>
        </w:rPr>
        <w:t>&lt;cx "indefinite values, subjective"&gt;</w:t>
      </w:r>
      <w:r>
        <w:rPr>
          <w:rStyle w:val="indexentry"/>
        </w:rPr>
        <w:fldChar w:fldCharType="begin"/>
      </w:r>
      <w:r>
        <w:instrText>xe "</w:instrText>
      </w:r>
      <w:r>
        <w:rPr>
          <w:rStyle w:val="xeentry"/>
        </w:rPr>
        <w:instrText>indefinite values: subjective</w:instrText>
      </w:r>
      <w:r>
        <w:instrText>"</w:instrText>
      </w:r>
      <w:r>
        <w:rPr>
          <w:rStyle w:val="indexentry"/>
        </w:rPr>
        <w:fldChar w:fldCharType="end"/>
      </w:r>
      <w:r>
        <w:rPr>
          <w:rStyle w:val="indexentry"/>
        </w:rPr>
        <w:t>&lt;lx "rau"&gt;</w:t>
      </w:r>
      <w:r>
        <w:rPr>
          <w:rStyle w:val="indexentry"/>
        </w:rPr>
        <w:fldChar w:fldCharType="begin"/>
      </w:r>
      <w:r>
        <w:instrText>xe "</w:instrText>
      </w:r>
      <w:r>
        <w:rPr>
          <w:rStyle w:val="xeentry"/>
        </w:rPr>
        <w:instrText>rau</w:instrText>
      </w:r>
      <w:r>
        <w:instrText>"</w:instrText>
      </w:r>
      <w:r>
        <w:rPr>
          <w:rStyle w:val="indexentry"/>
        </w:rPr>
        <w:fldChar w:fldCharType="end"/>
      </w:r>
      <w:r>
        <w:rPr>
          <w:rStyle w:val="indexentry"/>
        </w:rPr>
        <w:t>&lt;lx "du'e"&gt;</w:t>
      </w:r>
      <w:r>
        <w:rPr>
          <w:rStyle w:val="indexentry"/>
        </w:rPr>
        <w:fldChar w:fldCharType="begin"/>
      </w:r>
      <w:r>
        <w:instrText>xe "</w:instrText>
      </w:r>
      <w:r>
        <w:rPr>
          <w:rStyle w:val="xeentry"/>
        </w:rPr>
        <w:instrText>du'e</w:instrText>
      </w:r>
      <w:r>
        <w:instrText>"</w:instrText>
      </w:r>
      <w:r>
        <w:rPr>
          <w:rStyle w:val="indexentry"/>
        </w:rPr>
        <w:fldChar w:fldCharType="end"/>
      </w:r>
      <w:r>
        <w:rPr>
          <w:rStyle w:val="indexentry"/>
        </w:rPr>
        <w:t>&lt;lx "mo'a"&gt;</w:t>
      </w:r>
      <w:r>
        <w:rPr>
          <w:rStyle w:val="indexentry"/>
        </w:rPr>
        <w:fldChar w:fldCharType="begin"/>
      </w:r>
      <w:r>
        <w:instrText>xe "</w:instrText>
      </w:r>
      <w:r>
        <w:rPr>
          <w:rStyle w:val="xeentry"/>
        </w:rPr>
        <w:instrText>mo'a</w:instrText>
      </w:r>
      <w:r>
        <w:instrText>"</w:instrText>
      </w:r>
      <w:r>
        <w:rPr>
          <w:rStyle w:val="indexentry"/>
        </w:rPr>
        <w:fldChar w:fldCharType="end"/>
      </w:r>
      <w:r>
        <w:t>All of the numbers discussed so far are objective, even if indefinite.</w:t>
      </w:r>
      <w:r>
        <w:rPr>
          <w:rStyle w:val="deletedparamark"/>
        </w:rPr>
        <w:t xml:space="preserve"> </w:t>
      </w:r>
      <w:r>
        <w:t>If there are exactly six superpowers (“rairgugde”, “superlative-states”) in</w:t>
      </w:r>
      <w:r>
        <w:rPr>
          <w:rStyle w:val="deletedparamark"/>
        </w:rPr>
        <w:t xml:space="preserve"> </w:t>
      </w:r>
      <w:r>
        <w:t>the world, then “ro rairgugde” means the same as “xa rairgugde”. It is often</w:t>
      </w:r>
      <w:r>
        <w:rPr>
          <w:rStyle w:val="deletedparamark"/>
        </w:rPr>
        <w:t xml:space="preserve"> </w:t>
      </w:r>
      <w:r>
        <w:t>useful, however, to express subjective i</w:t>
      </w:r>
      <w:r>
        <w:t>n</w:t>
      </w:r>
      <w:r>
        <w:softHyphen/>
        <w:t>definite values. The cmavo</w:t>
      </w:r>
      <w:r>
        <w:rPr>
          <w:rStyle w:val="deletedparamark"/>
        </w:rPr>
        <w:t xml:space="preserve"> “</w:t>
      </w:r>
      <w:r>
        <w:t>rau” (enough), “du'e” (too many), and “mo'a” (too few) are then appropriate:</w:t>
      </w:r>
    </w:p>
    <w:p w:rsidR="00B72047" w:rsidRDefault="00B72047">
      <w:pPr>
        <w:rPr>
          <w:rStyle w:val="htmlparacode"/>
        </w:rPr>
      </w:pPr>
      <w:r>
        <w:rPr>
          <w:rStyle w:val="htmlparacode"/>
        </w:rPr>
        <w:t>&lt;p&gt;</w:t>
      </w:r>
    </w:p>
    <w:p w:rsidR="00B72047" w:rsidRDefault="00B72047">
      <w:pPr>
        <w:pStyle w:val="examplescaledpre"/>
      </w:pPr>
      <w:r>
        <w:rPr>
          <w:rStyle w:val="indexentry"/>
        </w:rPr>
        <w:t>&lt;ex "enough currency"&gt;</w:t>
      </w:r>
      <w:r>
        <w:rPr>
          <w:rStyle w:val="indexentry"/>
        </w:rPr>
        <w:fldChar w:fldCharType="begin"/>
      </w:r>
      <w:r>
        <w:instrText>xe "</w:instrText>
      </w:r>
      <w:r>
        <w:rPr>
          <w:rStyle w:val="xeentry"/>
        </w:rPr>
        <w:instrText>enough currency: example</w:instrText>
      </w:r>
      <w:r>
        <w:instrText>"</w:instrText>
      </w:r>
      <w:r>
        <w:rPr>
          <w:rStyle w:val="indexentry"/>
        </w:rPr>
        <w:fldChar w:fldCharType="end"/>
      </w:r>
      <w:r>
        <w:rPr>
          <w:rStyle w:val="htmlcodes"/>
        </w:rPr>
        <w:t>&lt;pre&gt;&lt;a name=e8d17&gt;</w:t>
      </w:r>
      <w:r>
        <w:t>8.17)</w:t>
      </w:r>
      <w:r>
        <w:tab/>
        <w:t>mi ponse rau rupnu</w:t>
      </w:r>
    </w:p>
    <w:p w:rsidR="00B72047" w:rsidRDefault="00B72047">
      <w:pPr>
        <w:pStyle w:val="examplescaled"/>
      </w:pPr>
      <w:r>
        <w:tab/>
        <w:t>I possess enough currency-units.</w:t>
      </w:r>
    </w:p>
    <w:p w:rsidR="00B72047" w:rsidRDefault="00B72047">
      <w:pPr>
        <w:pStyle w:val="resumedafterexample"/>
      </w:pPr>
      <w:r>
        <w:rPr>
          <w:rStyle w:val="htmlcodes"/>
        </w:rPr>
        <w:t>&lt;/pre&gt;</w:t>
      </w:r>
      <w:r>
        <w:rPr>
          <w:rStyle w:val="indexentry"/>
        </w:rPr>
        <w:t>&lt;lx "pi"&gt;</w:t>
      </w:r>
      <w:r>
        <w:rPr>
          <w:rStyle w:val="indexentry"/>
        </w:rPr>
        <w:fldChar w:fldCharType="begin"/>
      </w:r>
      <w:r>
        <w:instrText>xe "</w:instrText>
      </w:r>
      <w:r>
        <w:rPr>
          <w:rStyle w:val="xeentry"/>
        </w:rPr>
        <w:instrText>pi</w:instrText>
      </w:r>
      <w:r>
        <w:instrText>"</w:instrText>
      </w:r>
      <w:r>
        <w:rPr>
          <w:rStyle w:val="indexentry"/>
        </w:rPr>
        <w:fldChar w:fldCharType="end"/>
      </w:r>
      <w:r>
        <w:rPr>
          <w:rStyle w:val="indexentry"/>
        </w:rPr>
        <w:t>&lt;cx "subjective portions, expressing"&gt;</w:t>
      </w:r>
      <w:r>
        <w:rPr>
          <w:rStyle w:val="indexentry"/>
        </w:rPr>
        <w:fldChar w:fldCharType="begin"/>
      </w:r>
      <w:r>
        <w:instrText>xe "</w:instrText>
      </w:r>
      <w:r>
        <w:rPr>
          <w:rStyle w:val="xeentry"/>
        </w:rPr>
        <w:instrText>subjective portions: expressing</w:instrText>
      </w:r>
      <w:r>
        <w:instrText>"</w:instrText>
      </w:r>
      <w:r>
        <w:rPr>
          <w:rStyle w:val="indexentry"/>
        </w:rPr>
        <w:fldChar w:fldCharType="end"/>
      </w:r>
      <w:r>
        <w:rPr>
          <w:rStyle w:val="indexentry"/>
        </w:rPr>
        <w:t>&lt;cx "indefinite portions, subjective"&gt;</w:t>
      </w:r>
      <w:r>
        <w:rPr>
          <w:rStyle w:val="indexentry"/>
        </w:rPr>
        <w:fldChar w:fldCharType="begin"/>
      </w:r>
      <w:r>
        <w:instrText>xe "</w:instrText>
      </w:r>
      <w:r>
        <w:rPr>
          <w:rStyle w:val="xeentry"/>
        </w:rPr>
        <w:instrText>indefinite portions: subjective</w:instrText>
      </w:r>
      <w:r>
        <w:instrText>"</w:instrText>
      </w:r>
      <w:r>
        <w:rPr>
          <w:rStyle w:val="indexentry"/>
        </w:rPr>
        <w:fldChar w:fldCharType="end"/>
      </w:r>
      <w:r>
        <w:t>Like the “so'a”-series, “rau”, “du'e”, and “mo'a” can be preceded by “pi”;</w:t>
      </w:r>
      <w:r>
        <w:rPr>
          <w:rStyle w:val="deletedparamark"/>
        </w:rPr>
        <w:t xml:space="preserve"> </w:t>
      </w:r>
      <w:r>
        <w:t>for example, “pirau” means “a sufficient part of.”</w:t>
      </w:r>
    </w:p>
    <w:p w:rsidR="00B72047" w:rsidRDefault="00B72047">
      <w:pPr>
        <w:rPr>
          <w:rStyle w:val="htmlparacode"/>
        </w:rPr>
      </w:pPr>
      <w:r>
        <w:rPr>
          <w:rStyle w:val="htmlparacode"/>
        </w:rPr>
        <w:t>&lt;p&gt;</w:t>
      </w:r>
    </w:p>
    <w:p w:rsidR="00B72047" w:rsidRDefault="00B72047">
      <w:pPr>
        <w:pStyle w:val="normalparagraph"/>
      </w:pPr>
      <w:r>
        <w:rPr>
          <w:rStyle w:val="indexentry"/>
        </w:rPr>
        <w:t>&lt;cx "indefinite numbers, combined with definite"&gt;</w:t>
      </w:r>
      <w:r>
        <w:rPr>
          <w:rStyle w:val="indexentry"/>
        </w:rPr>
        <w:fldChar w:fldCharType="begin"/>
      </w:r>
      <w:r>
        <w:instrText>xe "</w:instrText>
      </w:r>
      <w:r>
        <w:rPr>
          <w:rStyle w:val="xeentry"/>
        </w:rPr>
        <w:instrText>indefinite numbers: combined with definite</w:instrText>
      </w:r>
      <w:r>
        <w:instrText>"</w:instrText>
      </w:r>
      <w:r>
        <w:rPr>
          <w:rStyle w:val="indexentry"/>
        </w:rPr>
        <w:fldChar w:fldCharType="end"/>
      </w:r>
      <w:r>
        <w:rPr>
          <w:rStyle w:val="indexentry"/>
        </w:rPr>
        <w:t>&lt;cx "definite numbers, combined with indefinite"&gt;</w:t>
      </w:r>
      <w:r>
        <w:rPr>
          <w:rStyle w:val="indexentry"/>
        </w:rPr>
        <w:fldChar w:fldCharType="begin"/>
      </w:r>
      <w:r>
        <w:instrText>xe "</w:instrText>
      </w:r>
      <w:r>
        <w:rPr>
          <w:rStyle w:val="xeentry"/>
        </w:rPr>
        <w:instrText>definite numbers: combined with indefinite</w:instrText>
      </w:r>
      <w:r>
        <w:instrText>"</w:instrText>
      </w:r>
      <w:r>
        <w:rPr>
          <w:rStyle w:val="indexentry"/>
        </w:rPr>
        <w:fldChar w:fldCharType="end"/>
      </w:r>
      <w:r>
        <w:t>Another possibility is that of combining definite and indefinite numbers into</w:t>
      </w:r>
      <w:r>
        <w:rPr>
          <w:rStyle w:val="deletedparamark"/>
        </w:rPr>
        <w:t xml:space="preserve"> </w:t>
      </w:r>
      <w:r>
        <w:t>a single number. This usage implies that the two kinds of numbers have the</w:t>
      </w:r>
      <w:r>
        <w:rPr>
          <w:rStyle w:val="deletedparamark"/>
        </w:rPr>
        <w:t xml:space="preserve"> </w:t>
      </w:r>
      <w:r>
        <w:t>same value in the given context:</w:t>
      </w:r>
    </w:p>
    <w:p w:rsidR="00B72047" w:rsidRDefault="00B72047">
      <w:pPr>
        <w:rPr>
          <w:rStyle w:val="htmlparacode"/>
        </w:rPr>
      </w:pPr>
      <w:r>
        <w:rPr>
          <w:rStyle w:val="htmlparacode"/>
        </w:rPr>
        <w:t>&lt;p&gt;</w:t>
      </w:r>
    </w:p>
    <w:p w:rsidR="00B72047" w:rsidRDefault="00B72047">
      <w:pPr>
        <w:pStyle w:val="examplescaledpre"/>
      </w:pPr>
      <w:r>
        <w:rPr>
          <w:rStyle w:val="indexentry"/>
        </w:rPr>
        <w:t>&lt;ex "both dogs"&gt;</w:t>
      </w:r>
      <w:r>
        <w:rPr>
          <w:rStyle w:val="indexentry"/>
        </w:rPr>
        <w:fldChar w:fldCharType="begin"/>
      </w:r>
      <w:r>
        <w:instrText>xe "</w:instrText>
      </w:r>
      <w:r>
        <w:rPr>
          <w:rStyle w:val="xeentry"/>
        </w:rPr>
        <w:instrText>both dogs: example</w:instrText>
      </w:r>
      <w:r>
        <w:instrText>"</w:instrText>
      </w:r>
      <w:r>
        <w:rPr>
          <w:rStyle w:val="indexentry"/>
        </w:rPr>
        <w:fldChar w:fldCharType="end"/>
      </w:r>
      <w:r>
        <w:rPr>
          <w:rStyle w:val="htmlcodes"/>
        </w:rPr>
        <w:t>&lt;pre&gt;&lt;a name=e8d18&gt;</w:t>
      </w:r>
      <w:r>
        <w:t>8.18)</w:t>
      </w:r>
      <w:r>
        <w:tab/>
        <w:t>mi viska le rore gerku</w:t>
      </w:r>
    </w:p>
    <w:p w:rsidR="00B72047" w:rsidRDefault="00B72047">
      <w:pPr>
        <w:pStyle w:val="examplescaled"/>
      </w:pPr>
      <w:r>
        <w:tab/>
        <w:t>I saw the all-of/two dogs.</w:t>
      </w:r>
    </w:p>
    <w:p w:rsidR="00B72047" w:rsidRDefault="00B72047">
      <w:pPr>
        <w:pStyle w:val="examplescaled"/>
      </w:pPr>
      <w:r>
        <w:tab/>
        <w:t>I saw both dogs.</w:t>
      </w:r>
    </w:p>
    <w:p w:rsidR="00B72047" w:rsidRDefault="00B72047">
      <w:pPr>
        <w:pStyle w:val="examplescaledpre"/>
      </w:pPr>
      <w:r>
        <w:rPr>
          <w:rStyle w:val="htmlcodes"/>
        </w:rPr>
        <w:t>&lt;a name=e8d19&gt;</w:t>
      </w:r>
      <w:r>
        <w:t>8.19)</w:t>
      </w:r>
      <w:r>
        <w:tab/>
        <w:t>mi speni so'ici prenu</w:t>
      </w:r>
    </w:p>
    <w:p w:rsidR="00B72047" w:rsidRDefault="00B72047">
      <w:pPr>
        <w:pStyle w:val="examplescaled"/>
      </w:pPr>
      <w:r>
        <w:tab/>
        <w:t>I am-married-to many/three persons.</w:t>
      </w:r>
    </w:p>
    <w:p w:rsidR="00B72047" w:rsidRDefault="00B72047">
      <w:pPr>
        <w:pStyle w:val="examplescaled"/>
      </w:pPr>
      <w:r>
        <w:tab/>
        <w:t>I am married to three persons (which is “many” in the circumstances).</w:t>
      </w:r>
    </w:p>
    <w:p w:rsidR="00B72047" w:rsidRDefault="00B72047">
      <w:pPr>
        <w:pStyle w:val="resumedafterexample"/>
      </w:pPr>
      <w:r>
        <w:rPr>
          <w:rStyle w:val="htmlcodes"/>
        </w:rPr>
        <w:t>&lt;/pre&gt;&lt;a href=#e8d19&gt;</w:t>
      </w:r>
      <w:r>
        <w:t xml:space="preserve">Example 8.19 </w:t>
      </w:r>
      <w:r>
        <w:rPr>
          <w:rStyle w:val="htmlcodes"/>
        </w:rPr>
        <w:t>&lt;/a&gt;</w:t>
      </w:r>
      <w:r>
        <w:t>assumes a mostly monogamous culture by stating that three</w:t>
      </w:r>
      <w:r>
        <w:rPr>
          <w:rStyle w:val="deletedparamark"/>
        </w:rPr>
        <w:t xml:space="preserve"> </w:t>
      </w:r>
      <w:r>
        <w:t>is “many”.</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name=s9&gt;&lt;h3&gt;</w:t>
      </w:r>
      <w:bookmarkStart w:id="504" w:name="_Toc398970741"/>
      <w:r>
        <w:rPr>
          <w:rStyle w:val="Heading3Text"/>
        </w:rPr>
        <w:t>Approximation and inexact numbers</w:t>
      </w:r>
      <w:bookmarkEnd w:id="50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ind w:firstLine="720"/>
        <w:rPr>
          <w:rStyle w:val="htmlparacode"/>
        </w:rPr>
      </w:pPr>
      <w:r>
        <w:rPr>
          <w:rStyle w:val="htmlparacode"/>
        </w:rPr>
        <w:t>&lt;p&gt;</w:t>
      </w:r>
    </w:p>
    <w:p w:rsidR="00B72047" w:rsidRDefault="00B72047">
      <w:pPr>
        <w:pStyle w:val="examplescaledpre"/>
      </w:pPr>
      <w:r>
        <w:rPr>
          <w:rStyle w:val="htmlcodes"/>
        </w:rPr>
        <w:t>&lt;pre&gt;</w:t>
      </w:r>
      <w:r>
        <w:t xml:space="preserve"> </w:t>
      </w:r>
      <w:r>
        <w:tab/>
        <w:t>ji'i</w:t>
      </w:r>
      <w:r>
        <w:tab/>
        <w:t>PA</w:t>
      </w:r>
      <w:r>
        <w:tab/>
        <w:t>approximately</w:t>
      </w:r>
    </w:p>
    <w:p w:rsidR="00B72047" w:rsidRDefault="00B72047">
      <w:pPr>
        <w:pStyle w:val="examplescaled"/>
      </w:pPr>
      <w:r>
        <w:tab/>
        <w:t>su'e</w:t>
      </w:r>
      <w:r>
        <w:tab/>
        <w:t>PA</w:t>
      </w:r>
      <w:r>
        <w:tab/>
        <w:t>at most</w:t>
      </w:r>
    </w:p>
    <w:p w:rsidR="00B72047" w:rsidRDefault="00B72047">
      <w:pPr>
        <w:pStyle w:val="examplescaled"/>
      </w:pPr>
      <w:r>
        <w:tab/>
        <w:t>su'o</w:t>
      </w:r>
      <w:r>
        <w:tab/>
        <w:t>PA</w:t>
      </w:r>
      <w:r>
        <w:tab/>
        <w:t>at least</w:t>
      </w:r>
    </w:p>
    <w:p w:rsidR="00B72047" w:rsidRDefault="00B72047">
      <w:pPr>
        <w:pStyle w:val="examplescaled"/>
      </w:pPr>
      <w:r>
        <w:tab/>
        <w:t>me'i</w:t>
      </w:r>
      <w:r>
        <w:tab/>
        <w:t>PA</w:t>
      </w:r>
      <w:r>
        <w:tab/>
        <w:t>less than</w:t>
      </w:r>
    </w:p>
    <w:p w:rsidR="00B72047" w:rsidRDefault="00B72047">
      <w:pPr>
        <w:pStyle w:val="examplescaled"/>
      </w:pPr>
      <w:r>
        <w:tab/>
        <w:t>za'u</w:t>
      </w:r>
      <w:r>
        <w:tab/>
        <w:t>PA</w:t>
      </w:r>
      <w:r>
        <w:tab/>
        <w:t>more than</w:t>
      </w:r>
    </w:p>
    <w:p w:rsidR="00B72047" w:rsidRDefault="00B72047">
      <w:pPr>
        <w:pStyle w:val="normalafterexample"/>
      </w:pPr>
      <w:r>
        <w:rPr>
          <w:rStyle w:val="htmlcodes"/>
        </w:rPr>
        <w:t>&lt;/pre&gt;</w:t>
      </w:r>
      <w:r>
        <w:rPr>
          <w:rStyle w:val="indexentry"/>
        </w:rPr>
        <w:t>&lt;lx "ji'i"&gt;</w:t>
      </w:r>
      <w:r>
        <w:rPr>
          <w:rStyle w:val="indexentry"/>
        </w:rPr>
        <w:fldChar w:fldCharType="begin"/>
      </w:r>
      <w:r>
        <w:instrText>xe "</w:instrText>
      </w:r>
      <w:r>
        <w:rPr>
          <w:rStyle w:val="xeentry"/>
        </w:rPr>
        <w:instrText>ji'i</w:instrText>
      </w:r>
      <w:r>
        <w:instrText>"</w:instrText>
      </w:r>
      <w:r>
        <w:rPr>
          <w:rStyle w:val="indexentry"/>
        </w:rPr>
        <w:fldChar w:fldCharType="end"/>
      </w:r>
      <w:r>
        <w:rPr>
          <w:rStyle w:val="indexentry"/>
        </w:rPr>
        <w:t>&lt;cx "approximate numbers, expressing"&gt;</w:t>
      </w:r>
      <w:r>
        <w:rPr>
          <w:rStyle w:val="indexentry"/>
        </w:rPr>
        <w:fldChar w:fldCharType="begin"/>
      </w:r>
      <w:r>
        <w:instrText>xe "</w:instrText>
      </w:r>
      <w:r>
        <w:rPr>
          <w:rStyle w:val="xeentry"/>
        </w:rPr>
        <w:instrText>approximate numbers: expressing</w:instrText>
      </w:r>
      <w:r>
        <w:instrText>"</w:instrText>
      </w:r>
      <w:r>
        <w:rPr>
          <w:rStyle w:val="indexentry"/>
        </w:rPr>
        <w:fldChar w:fldCharType="end"/>
      </w:r>
      <w:r>
        <w:rPr>
          <w:rStyle w:val="indexentry"/>
        </w:rPr>
        <w:t>&lt;cx "ji'i, effect of placement"&gt;</w:t>
      </w:r>
      <w:r>
        <w:rPr>
          <w:rStyle w:val="indexentry"/>
        </w:rPr>
        <w:fldChar w:fldCharType="begin"/>
      </w:r>
      <w:r>
        <w:instrText>xe "</w:instrText>
      </w:r>
      <w:r>
        <w:rPr>
          <w:rStyle w:val="xeentry"/>
        </w:rPr>
        <w:instrText>ji'i: effect of placement</w:instrText>
      </w:r>
      <w:r>
        <w:instrText>"</w:instrText>
      </w:r>
      <w:r>
        <w:rPr>
          <w:rStyle w:val="indexentry"/>
        </w:rPr>
        <w:fldChar w:fldCharType="end"/>
      </w:r>
      <w:r>
        <w:t>The cmavo “ji'i” (of selma'o PA) is used in several ways to indicate</w:t>
      </w:r>
      <w:r>
        <w:rPr>
          <w:rStyle w:val="deletedparamark"/>
        </w:rPr>
        <w:t xml:space="preserve"> </w:t>
      </w:r>
      <w:r>
        <w:t>approxi</w:t>
      </w:r>
      <w:r>
        <w:softHyphen/>
        <w:t>mate or rounded numbers. If it appears at the beginning of a</w:t>
      </w:r>
      <w:r>
        <w:rPr>
          <w:rStyle w:val="deletedparamark"/>
        </w:rPr>
        <w:t xml:space="preserve"> </w:t>
      </w:r>
      <w:r>
        <w:t>number, the whole number is a</w:t>
      </w:r>
      <w:r>
        <w:t>p</w:t>
      </w:r>
      <w:r>
        <w:softHyphen/>
        <w:t>proximate:</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"approximately 40"&gt;</w:t>
      </w:r>
      <w:r>
        <w:rPr>
          <w:rStyle w:val="indexentry"/>
        </w:rPr>
        <w:fldChar w:fldCharType="begin"/>
      </w:r>
      <w:r>
        <w:instrText>xe "</w:instrText>
      </w:r>
      <w:r>
        <w:rPr>
          <w:rStyle w:val="xeentry"/>
        </w:rPr>
        <w:instrText>approximately 40: example</w:instrText>
      </w:r>
      <w:r>
        <w:instrText>"</w:instrText>
      </w:r>
      <w:r>
        <w:rPr>
          <w:rStyle w:val="indexentry"/>
        </w:rPr>
        <w:fldChar w:fldCharType="end"/>
      </w:r>
      <w:r>
        <w:rPr>
          <w:rStyle w:val="htmlcodes"/>
        </w:rPr>
        <w:t>&lt;pre&gt;&lt;a name=e9d1&gt;</w:t>
      </w:r>
      <w:r>
        <w:t>9.1)</w:t>
      </w:r>
      <w:r>
        <w:tab/>
        <w:t>ji'i vo no</w:t>
      </w:r>
    </w:p>
    <w:p w:rsidR="00B72047" w:rsidRDefault="00B72047">
      <w:pPr>
        <w:pStyle w:val="examplescaled"/>
      </w:pPr>
      <w:r>
        <w:tab/>
        <w:t>approximation four zero</w:t>
      </w:r>
    </w:p>
    <w:p w:rsidR="00B72047" w:rsidRDefault="00B72047">
      <w:pPr>
        <w:pStyle w:val="examplescaled"/>
      </w:pPr>
      <w:r>
        <w:tab/>
        <w:t xml:space="preserve">approximately </w:t>
      </w:r>
      <w:r>
        <w:rPr>
          <w:rStyle w:val="math"/>
        </w:rPr>
        <w:t>40</w:t>
      </w:r>
    </w:p>
    <w:p w:rsidR="00B72047" w:rsidRDefault="00B72047">
      <w:pPr>
        <w:pStyle w:val="resumedafterexample"/>
      </w:pPr>
      <w:r>
        <w:rPr>
          <w:rStyle w:val="htmlcodes"/>
        </w:rPr>
        <w:t>&lt;/pre&gt;</w:t>
      </w:r>
      <w:r>
        <w:rPr>
          <w:rStyle w:val="indexentry"/>
        </w:rPr>
        <w:t>&lt;cx "approximate numbers, expressing some exactness of"&gt;</w:t>
      </w:r>
      <w:r>
        <w:rPr>
          <w:rStyle w:val="indexentry"/>
        </w:rPr>
        <w:fldChar w:fldCharType="begin"/>
      </w:r>
      <w:r>
        <w:instrText>xe "</w:instrText>
      </w:r>
      <w:r>
        <w:rPr>
          <w:rStyle w:val="xeentry"/>
        </w:rPr>
        <w:instrText>approximate numbers: expressing some exactness of</w:instrText>
      </w:r>
      <w:r>
        <w:instrText>"</w:instrText>
      </w:r>
      <w:r>
        <w:rPr>
          <w:rStyle w:val="indexentry"/>
        </w:rPr>
        <w:fldChar w:fldCharType="end"/>
      </w:r>
      <w:r>
        <w:t>If “ji'i” appears in the middle of a number, all the digits following it</w:t>
      </w:r>
      <w:r>
        <w:rPr>
          <w:rStyle w:val="deletedparamark"/>
        </w:rPr>
        <w:t xml:space="preserve"> </w:t>
      </w:r>
      <w:r>
        <w:t>are approximate: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vo no ji'i mu no</w:t>
      </w:r>
    </w:p>
    <w:p w:rsidR="00B72047" w:rsidRDefault="00B72047">
      <w:pPr>
        <w:pStyle w:val="examplescaled"/>
      </w:pPr>
      <w:r>
        <w:tab/>
        <w:t>four zero approximation five zero</w:t>
      </w:r>
    </w:p>
    <w:p w:rsidR="00B72047" w:rsidRDefault="00B72047">
      <w:pPr>
        <w:pStyle w:val="examplescaled"/>
      </w:pPr>
      <w:r>
        <w:tab/>
        <w:t xml:space="preserve">roughly </w:t>
      </w:r>
      <w:r>
        <w:rPr>
          <w:rStyle w:val="math"/>
        </w:rPr>
        <w:t xml:space="preserve">4050 </w:t>
      </w:r>
      <w:r>
        <w:t xml:space="preserve">(where the “four thousand” is exact, </w:t>
      </w:r>
      <w:r>
        <w:tab/>
        <w:t>but the “fifty” is</w:t>
      </w:r>
    </w:p>
    <w:p w:rsidR="00B72047" w:rsidRDefault="00B72047">
      <w:pPr>
        <w:pStyle w:val="examplescaled"/>
        <w:ind w:firstLine="576"/>
      </w:pPr>
      <w:r>
        <w:t>approximate)</w:t>
      </w:r>
    </w:p>
    <w:p w:rsidR="00B72047" w:rsidRDefault="00B72047">
      <w:pPr>
        <w:pStyle w:val="resumedafterexample"/>
      </w:pPr>
      <w:r>
        <w:rPr>
          <w:rStyle w:val="htmlcodes"/>
        </w:rPr>
        <w:t>&lt;/pre&gt;</w:t>
      </w:r>
      <w:r>
        <w:rPr>
          <w:rStyle w:val="indexentry"/>
        </w:rPr>
        <w:t>&lt;cx "truncation of number, expressing"&gt;</w:t>
      </w:r>
      <w:r>
        <w:rPr>
          <w:rStyle w:val="indexentry"/>
        </w:rPr>
        <w:fldChar w:fldCharType="begin"/>
      </w:r>
      <w:r>
        <w:instrText>xe "</w:instrText>
      </w:r>
      <w:r>
        <w:rPr>
          <w:rStyle w:val="xeentry"/>
        </w:rPr>
        <w:instrText>truncation of number: expressing</w:instrText>
      </w:r>
      <w:r>
        <w:instrText>"</w:instrText>
      </w:r>
      <w:r>
        <w:rPr>
          <w:rStyle w:val="indexentry"/>
        </w:rPr>
        <w:fldChar w:fldCharType="end"/>
      </w:r>
      <w:r>
        <w:rPr>
          <w:rStyle w:val="indexentry"/>
        </w:rPr>
        <w:t>&lt;cx "rounded numbers, expressing"&gt;</w:t>
      </w:r>
      <w:r>
        <w:rPr>
          <w:rStyle w:val="indexentry"/>
        </w:rPr>
        <w:fldChar w:fldCharType="begin"/>
      </w:r>
      <w:r>
        <w:instrText>xe "</w:instrText>
      </w:r>
      <w:r>
        <w:rPr>
          <w:rStyle w:val="xeentry"/>
        </w:rPr>
        <w:instrText>rounded numbers: expressing</w:instrText>
      </w:r>
      <w:r>
        <w:instrText>"</w:instrText>
      </w:r>
      <w:r>
        <w:rPr>
          <w:rStyle w:val="indexentry"/>
        </w:rPr>
        <w:fldChar w:fldCharType="end"/>
      </w:r>
      <w:r>
        <w:t>If “ji'i” appears at the end of a number, it indicates that the number</w:t>
      </w:r>
      <w:r>
        <w:rPr>
          <w:rStyle w:val="deletedparamark"/>
        </w:rPr>
        <w:t xml:space="preserve"> </w:t>
      </w:r>
      <w:r>
        <w:t>has been rounded. In addition, it can then be followed by a sign cmavo</w:t>
      </w:r>
      <w:r>
        <w:rPr>
          <w:rStyle w:val="deletedparamark"/>
        </w:rPr>
        <w:t xml:space="preserve"> </w:t>
      </w:r>
      <w:r>
        <w:t>(“ma'u” or “ni'u”), which indicate tru</w:t>
      </w:r>
      <w:r>
        <w:t>n</w:t>
      </w:r>
      <w:r>
        <w:softHyphen/>
        <w:t>cation towards positive or negative</w:t>
      </w:r>
      <w:r>
        <w:rPr>
          <w:rStyle w:val="deletedparamark"/>
        </w:rPr>
        <w:t xml:space="preserve"> </w:t>
      </w:r>
      <w:r>
        <w:t>infinity 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re pi ze re ji'i</w:t>
      </w:r>
    </w:p>
    <w:p w:rsidR="00B72047" w:rsidRDefault="00B72047">
      <w:pPr>
        <w:pStyle w:val="examplescaled"/>
      </w:pPr>
      <w:r>
        <w:tab/>
        <w:t>two point seven two approximation</w:t>
      </w:r>
    </w:p>
    <w:p w:rsidR="00B72047" w:rsidRDefault="00B72047">
      <w:pPr>
        <w:pStyle w:val="examplescaled"/>
      </w:pPr>
      <w:r>
        <w:tab/>
      </w:r>
      <w:r>
        <w:rPr>
          <w:rStyle w:val="math"/>
        </w:rPr>
        <w:t>2.72</w:t>
      </w:r>
      <w:r>
        <w:t xml:space="preserve"> (rounded)</w:t>
      </w:r>
    </w:p>
    <w:p w:rsidR="00B72047" w:rsidRDefault="00B72047">
      <w:pPr>
        <w:pStyle w:val="examplescaledpre"/>
      </w:pPr>
      <w:r>
        <w:rPr>
          <w:rStyle w:val="htmlcodes"/>
        </w:rPr>
        <w:t>&lt;/pre&gt;</w:t>
      </w:r>
      <w:r>
        <w:rPr>
          <w:rStyle w:val="indexentry"/>
        </w:rPr>
        <w:t>&lt;ex "rounded up"&gt;</w:t>
      </w:r>
      <w:r>
        <w:rPr>
          <w:rStyle w:val="indexentry"/>
        </w:rPr>
        <w:fldChar w:fldCharType="begin"/>
      </w:r>
      <w:r>
        <w:instrText>xe "</w:instrText>
      </w:r>
      <w:r>
        <w:rPr>
          <w:rStyle w:val="xeentry"/>
        </w:rPr>
        <w:instrText>rounded up: example</w:instrText>
      </w:r>
      <w:r>
        <w:instrText>"</w:instrText>
      </w:r>
      <w:r>
        <w:rPr>
          <w:rStyle w:val="indexentry"/>
        </w:rPr>
        <w:fldChar w:fldCharType="end"/>
      </w:r>
      <w:r>
        <w:rPr>
          <w:rStyle w:val="htmlcodes"/>
        </w:rPr>
        <w:t>&lt;pre&gt;&lt;a name=e9d4&gt;</w:t>
      </w:r>
      <w:r>
        <w:t>9.4)</w:t>
      </w:r>
      <w:r>
        <w:tab/>
        <w:t>re pi ze re ji'i ma'u</w:t>
      </w:r>
    </w:p>
    <w:p w:rsidR="00B72047" w:rsidRDefault="00B72047">
      <w:pPr>
        <w:pStyle w:val="examplescaled"/>
      </w:pPr>
      <w:r>
        <w:tab/>
        <w:t>two point seven two approximation positive-sign</w:t>
      </w:r>
    </w:p>
    <w:p w:rsidR="00B72047" w:rsidRDefault="00B72047">
      <w:pPr>
        <w:pStyle w:val="examplescaled"/>
      </w:pPr>
      <w:r>
        <w:tab/>
      </w:r>
      <w:r>
        <w:rPr>
          <w:rStyle w:val="math"/>
        </w:rPr>
        <w:t>2.72</w:t>
      </w:r>
      <w:r>
        <w:t xml:space="preserve"> (rounded up)</w:t>
      </w:r>
    </w:p>
    <w:p w:rsidR="00B72047" w:rsidRDefault="00B72047">
      <w:pPr>
        <w:pStyle w:val="examplescaledpre"/>
      </w:pPr>
      <w:r>
        <w:rPr>
          <w:rStyle w:val="htmlcodes"/>
        </w:rPr>
        <w:t>&lt;/pre&gt;</w:t>
      </w:r>
      <w:r>
        <w:rPr>
          <w:rStyle w:val="indexentry"/>
        </w:rPr>
        <w:t>&lt;ex "rounded down"&gt;</w:t>
      </w:r>
      <w:r>
        <w:rPr>
          <w:rStyle w:val="indexentry"/>
        </w:rPr>
        <w:fldChar w:fldCharType="begin"/>
      </w:r>
      <w:r>
        <w:instrText>xe "</w:instrText>
      </w:r>
      <w:r>
        <w:rPr>
          <w:rStyle w:val="xeentry"/>
        </w:rPr>
        <w:instrText>rounded down: example</w:instrText>
      </w:r>
      <w:r>
        <w:instrText>"</w:instrText>
      </w:r>
      <w:r>
        <w:rPr>
          <w:rStyle w:val="indexentry"/>
        </w:rPr>
        <w:fldChar w:fldCharType="end"/>
      </w:r>
      <w:r>
        <w:rPr>
          <w:rStyle w:val="htmlcodes"/>
        </w:rPr>
        <w:t>&lt;pre&gt;&lt;a name=e9d5&gt;</w:t>
      </w:r>
      <w:r>
        <w:t>9.5)</w:t>
      </w:r>
      <w:r>
        <w:tab/>
        <w:t>re pi ze pa ji'i ni'u</w:t>
      </w:r>
    </w:p>
    <w:p w:rsidR="00B72047" w:rsidRDefault="00B72047">
      <w:pPr>
        <w:pStyle w:val="examplescaled"/>
      </w:pPr>
      <w:r>
        <w:tab/>
        <w:t>two point seven one approximation negative-sign</w:t>
      </w:r>
    </w:p>
    <w:p w:rsidR="00B72047" w:rsidRDefault="00B72047">
      <w:pPr>
        <w:pStyle w:val="examplescaled"/>
      </w:pPr>
      <w:r>
        <w:tab/>
      </w:r>
      <w:r>
        <w:rPr>
          <w:rStyle w:val="math"/>
        </w:rPr>
        <w:t>2.71</w:t>
      </w:r>
      <w:r>
        <w:t xml:space="preserve"> (rounded down)</w:t>
      </w:r>
    </w:p>
    <w:p w:rsidR="00B72047" w:rsidRDefault="00B72047">
      <w:pPr>
        <w:pStyle w:val="resumedafterexample"/>
      </w:pPr>
      <w:r>
        <w:rPr>
          <w:rStyle w:val="htmlcodes"/>
        </w:rPr>
        <w:t>&lt;/pre&gt;</w:t>
      </w:r>
      <w:r>
        <w:rPr>
          <w:rStyle w:val="indexentry"/>
        </w:rPr>
        <w:t>&lt;cx "ji'i, with elided number"&gt;</w:t>
      </w:r>
      <w:r>
        <w:rPr>
          <w:rStyle w:val="indexentry"/>
        </w:rPr>
        <w:fldChar w:fldCharType="begin"/>
      </w:r>
      <w:r>
        <w:instrText>xe "</w:instrText>
      </w:r>
      <w:r>
        <w:rPr>
          <w:rStyle w:val="xeentry"/>
        </w:rPr>
        <w:instrText>ji'i: with elided number</w:instrText>
      </w:r>
      <w:r>
        <w:instrText>"</w:instrText>
      </w:r>
      <w:r>
        <w:rPr>
          <w:rStyle w:val="indexentry"/>
        </w:rPr>
        <w:fldChar w:fldCharType="end"/>
      </w:r>
      <w:r>
        <w:rPr>
          <w:rStyle w:val="htmlcodes"/>
        </w:rPr>
        <w:t>&lt;a href=#e9d{3}&gt;</w:t>
      </w:r>
      <w:r>
        <w:t xml:space="preserve">Examples 9.3 </w:t>
      </w:r>
      <w:r>
        <w:rPr>
          <w:rStyle w:val="htmlcodes"/>
        </w:rPr>
        <w:t>&lt;/a&gt;</w:t>
      </w:r>
      <w:r>
        <w:t xml:space="preserve">through </w:t>
      </w:r>
      <w:r>
        <w:rPr>
          <w:rStyle w:val="htmlcodes"/>
        </w:rPr>
        <w:t>&lt;a href=#e9d5&gt;</w:t>
      </w:r>
      <w:r>
        <w:t xml:space="preserve">9.5 </w:t>
      </w:r>
      <w:r>
        <w:rPr>
          <w:rStyle w:val="htmlcodes"/>
        </w:rPr>
        <w:t>&lt;/a&gt;</w:t>
      </w:r>
      <w:r>
        <w:t>are all approximations to “te'o” (exponential e).</w:t>
      </w:r>
      <w:r>
        <w:rPr>
          <w:rStyle w:val="deletedparamark"/>
        </w:rPr>
        <w:t xml:space="preserve"> “</w:t>
      </w:r>
      <w:r>
        <w:t>ji'i” can also appear by itself, in which case it means “approximately</w:t>
      </w:r>
      <w:r>
        <w:rPr>
          <w:rStyle w:val="deletedparamark"/>
        </w:rPr>
        <w:t xml:space="preserve"> </w:t>
      </w:r>
      <w:r>
        <w:t>the typical value in this context”.</w:t>
      </w:r>
    </w:p>
    <w:p w:rsidR="00B72047" w:rsidRDefault="00B72047">
      <w:pPr>
        <w:rPr>
          <w:rStyle w:val="htmlparacode"/>
        </w:rPr>
      </w:pPr>
      <w:r>
        <w:rPr>
          <w:rStyle w:val="htmlparacode"/>
        </w:rPr>
        <w:t>&lt;p&gt;</w:t>
      </w:r>
    </w:p>
    <w:p w:rsidR="00B72047" w:rsidRDefault="00B72047">
      <w:pPr>
        <w:pStyle w:val="normalparagraph"/>
      </w:pPr>
      <w:r>
        <w:rPr>
          <w:rStyle w:val="indexentry"/>
        </w:rPr>
        <w:t>&lt;lx "su'e"&gt;</w:t>
      </w:r>
      <w:r>
        <w:rPr>
          <w:rStyle w:val="indexentry"/>
        </w:rPr>
        <w:fldChar w:fldCharType="begin"/>
      </w:r>
      <w:r>
        <w:instrText>xe "</w:instrText>
      </w:r>
      <w:r>
        <w:rPr>
          <w:rStyle w:val="xeentry"/>
        </w:rPr>
        <w:instrText>su'e</w:instrText>
      </w:r>
      <w:r>
        <w:instrText>"</w:instrText>
      </w:r>
      <w:r>
        <w:rPr>
          <w:rStyle w:val="indexentry"/>
        </w:rPr>
        <w:fldChar w:fldCharType="end"/>
      </w:r>
      <w:r>
        <w:rPr>
          <w:rStyle w:val="indexentry"/>
        </w:rPr>
        <w:t>&lt;lx "su'o"&gt;</w:t>
      </w:r>
      <w:r>
        <w:rPr>
          <w:rStyle w:val="indexentry"/>
        </w:rPr>
        <w:fldChar w:fldCharType="begin"/>
      </w:r>
      <w:r>
        <w:instrText>xe "</w:instrText>
      </w:r>
      <w:r>
        <w:rPr>
          <w:rStyle w:val="xeentry"/>
        </w:rPr>
        <w:instrText>su'o</w:instrText>
      </w:r>
      <w:r>
        <w:instrText>"</w:instrText>
      </w:r>
      <w:r>
        <w:rPr>
          <w:rStyle w:val="indexentry"/>
        </w:rPr>
        <w:fldChar w:fldCharType="end"/>
      </w:r>
      <w:r>
        <w:rPr>
          <w:rStyle w:val="indexentry"/>
        </w:rPr>
        <w:t>&lt;lx "me'i"&gt;</w:t>
      </w:r>
      <w:r>
        <w:rPr>
          <w:rStyle w:val="indexentry"/>
        </w:rPr>
        <w:fldChar w:fldCharType="begin"/>
      </w:r>
      <w:r>
        <w:instrText>xe "</w:instrText>
      </w:r>
      <w:r>
        <w:rPr>
          <w:rStyle w:val="xeentry"/>
        </w:rPr>
        <w:instrText>me'i</w:instrText>
      </w:r>
      <w:r>
        <w:instrText>"</w:instrText>
      </w:r>
      <w:r>
        <w:rPr>
          <w:rStyle w:val="indexentry"/>
        </w:rPr>
        <w:fldChar w:fldCharType="end"/>
      </w:r>
      <w:r>
        <w:rPr>
          <w:rStyle w:val="indexentry"/>
        </w:rPr>
        <w:t>&lt;lx "za'u"&gt;</w:t>
      </w:r>
      <w:r>
        <w:rPr>
          <w:rStyle w:val="indexentry"/>
        </w:rPr>
        <w:fldChar w:fldCharType="begin"/>
      </w:r>
      <w:r>
        <w:instrText>xe "</w:instrText>
      </w:r>
      <w:r>
        <w:rPr>
          <w:rStyle w:val="xeentry"/>
        </w:rPr>
        <w:instrText>za'u</w:instrText>
      </w:r>
      <w:r>
        <w:instrText>"</w:instrText>
      </w:r>
      <w:r>
        <w:rPr>
          <w:rStyle w:val="indexentry"/>
        </w:rPr>
        <w:fldChar w:fldCharType="end"/>
      </w:r>
      <w:r>
        <w:rPr>
          <w:rStyle w:val="indexentry"/>
        </w:rPr>
        <w:t>&lt;cx "inexact numbers with bounds"&gt;</w:t>
      </w:r>
      <w:r>
        <w:rPr>
          <w:rStyle w:val="indexentry"/>
        </w:rPr>
        <w:fldChar w:fldCharType="begin"/>
      </w:r>
      <w:r>
        <w:instrText>xe "</w:instrText>
      </w:r>
      <w:r>
        <w:rPr>
          <w:rStyle w:val="xeentry"/>
        </w:rPr>
        <w:instrText>inexact numbers with bounds</w:instrText>
      </w:r>
      <w:r>
        <w:instrText>"</w:instrText>
      </w:r>
      <w:r>
        <w:rPr>
          <w:rStyle w:val="indexentry"/>
        </w:rPr>
        <w:fldChar w:fldCharType="end"/>
      </w:r>
      <w:r>
        <w:t>The four cmavo “su'e”, “su'o”, “me'i”, and “za'u”, also of selma'o PA,</w:t>
      </w:r>
      <w:r>
        <w:rPr>
          <w:rStyle w:val="deletedparamark"/>
        </w:rPr>
        <w:t xml:space="preserve"> </w:t>
      </w:r>
      <w:r>
        <w:t>express ine</w:t>
      </w:r>
      <w:r>
        <w:t>x</w:t>
      </w:r>
      <w:r>
        <w:softHyphen/>
        <w:t>act numbers with upper or lower bounds:</w:t>
      </w:r>
    </w:p>
    <w:p w:rsidR="00B72047" w:rsidRDefault="00B72047">
      <w:pPr>
        <w:rPr>
          <w:rStyle w:val="htmlparacode"/>
        </w:rPr>
      </w:pPr>
      <w:r>
        <w:rPr>
          <w:rStyle w:val="htmlparacode"/>
        </w:rPr>
        <w:t>&lt;p&gt;</w:t>
      </w:r>
    </w:p>
    <w:p w:rsidR="00B72047" w:rsidRDefault="00B72047">
      <w:pPr>
        <w:pStyle w:val="examplescaledpre"/>
      </w:pPr>
      <w:r>
        <w:rPr>
          <w:rStyle w:val="indexentry"/>
        </w:rPr>
        <w:t>&lt;ex "at most"&gt;</w:t>
      </w:r>
      <w:r>
        <w:rPr>
          <w:rStyle w:val="indexentry"/>
        </w:rPr>
        <w:fldChar w:fldCharType="begin"/>
      </w:r>
      <w:r>
        <w:instrText>xe "</w:instrText>
      </w:r>
      <w:r>
        <w:rPr>
          <w:rStyle w:val="xeentry"/>
        </w:rPr>
        <w:instrText>at most: example</w:instrText>
      </w:r>
      <w:r>
        <w:instrText>"</w:instrText>
      </w:r>
      <w:r>
        <w:rPr>
          <w:rStyle w:val="indexentry"/>
        </w:rPr>
        <w:fldChar w:fldCharType="end"/>
      </w:r>
      <w:r>
        <w:rPr>
          <w:rStyle w:val="htmlcodes"/>
        </w:rPr>
        <w:t>&lt;pre&gt;&lt;a name=e9d6&gt;</w:t>
      </w:r>
      <w:r>
        <w:t>9.6)</w:t>
      </w:r>
      <w:r>
        <w:tab/>
        <w:t>mi catlu su'e re prenu</w:t>
      </w:r>
    </w:p>
    <w:p w:rsidR="00B72047" w:rsidRDefault="00B72047">
      <w:pPr>
        <w:pStyle w:val="examplescaled"/>
      </w:pPr>
      <w:r>
        <w:tab/>
        <w:t>I look-at at-most two persons.</w:t>
      </w:r>
    </w:p>
    <w:p w:rsidR="00B72047" w:rsidRDefault="00B72047">
      <w:pPr>
        <w:pStyle w:val="examplescaledpre"/>
      </w:pPr>
      <w:r>
        <w:rPr>
          <w:rStyle w:val="htmlcodes"/>
        </w:rPr>
        <w:t>&lt;/pre&gt;</w:t>
      </w:r>
      <w:r>
        <w:rPr>
          <w:rStyle w:val="indexentry"/>
        </w:rPr>
        <w:t>&lt;ex "at least"&gt;</w:t>
      </w:r>
      <w:r>
        <w:rPr>
          <w:rStyle w:val="indexentry"/>
        </w:rPr>
        <w:fldChar w:fldCharType="begin"/>
      </w:r>
      <w:r>
        <w:instrText>xe "</w:instrText>
      </w:r>
      <w:r>
        <w:rPr>
          <w:rStyle w:val="xeentry"/>
        </w:rPr>
        <w:instrText>at least: example</w:instrText>
      </w:r>
      <w:r>
        <w:instrText>"</w:instrText>
      </w:r>
      <w:r>
        <w:rPr>
          <w:rStyle w:val="indexentry"/>
        </w:rPr>
        <w:fldChar w:fldCharType="end"/>
      </w:r>
      <w:r>
        <w:rPr>
          <w:rStyle w:val="htmlcodes"/>
        </w:rPr>
        <w:t>&lt;pre&gt;&lt;a name=e9d7&gt;</w:t>
      </w:r>
      <w:r>
        <w:t>9.7)</w:t>
      </w:r>
      <w:r>
        <w:tab/>
        <w:t>mi catlu su'o re prenu</w:t>
      </w:r>
    </w:p>
    <w:p w:rsidR="00B72047" w:rsidRDefault="00B72047">
      <w:pPr>
        <w:pStyle w:val="examplescaled"/>
      </w:pPr>
      <w:r>
        <w:tab/>
        <w:t>I look-at at-least two persons.</w:t>
      </w:r>
    </w:p>
    <w:p w:rsidR="00B72047" w:rsidRDefault="00B72047">
      <w:pPr>
        <w:pStyle w:val="examplescaledpre"/>
      </w:pPr>
      <w:r>
        <w:rPr>
          <w:rStyle w:val="htmlcodes"/>
        </w:rPr>
        <w:t>&lt;/pre&gt;</w:t>
      </w:r>
      <w:r>
        <w:rPr>
          <w:rStyle w:val="indexentry"/>
        </w:rPr>
        <w:t>&lt;ex "less than"&gt;</w:t>
      </w:r>
      <w:r>
        <w:rPr>
          <w:rStyle w:val="indexentry"/>
        </w:rPr>
        <w:fldChar w:fldCharType="begin"/>
      </w:r>
      <w:r>
        <w:instrText>xe "</w:instrText>
      </w:r>
      <w:r>
        <w:rPr>
          <w:rStyle w:val="xeentry"/>
        </w:rPr>
        <w:instrText>less than: example</w:instrText>
      </w:r>
      <w:r>
        <w:instrText>"</w:instrText>
      </w:r>
      <w:r>
        <w:rPr>
          <w:rStyle w:val="indexentry"/>
        </w:rPr>
        <w:fldChar w:fldCharType="end"/>
      </w:r>
      <w:r>
        <w:rPr>
          <w:rStyle w:val="htmlcodes"/>
        </w:rPr>
        <w:t>&lt;pre&gt;&lt;a name=e9d8&gt;</w:t>
      </w:r>
      <w:r>
        <w:t>9.8)</w:t>
      </w:r>
      <w:r>
        <w:tab/>
        <w:t>mi catlu me'i re prenu</w:t>
      </w:r>
    </w:p>
    <w:p w:rsidR="00B72047" w:rsidRDefault="00B72047">
      <w:pPr>
        <w:pStyle w:val="examplescaled"/>
      </w:pPr>
      <w:r>
        <w:tab/>
        <w:t>I look-at less-than two persons.</w:t>
      </w:r>
    </w:p>
    <w:p w:rsidR="00B72047" w:rsidRDefault="00B72047">
      <w:pPr>
        <w:pStyle w:val="examplescaledpre"/>
      </w:pPr>
      <w:r>
        <w:rPr>
          <w:rStyle w:val="htmlcodes"/>
        </w:rPr>
        <w:t>&lt;/pre&gt;</w:t>
      </w:r>
      <w:r>
        <w:rPr>
          <w:rStyle w:val="indexentry"/>
        </w:rPr>
        <w:t>&lt;ex "more than"&gt;</w:t>
      </w:r>
      <w:r>
        <w:rPr>
          <w:rStyle w:val="indexentry"/>
        </w:rPr>
        <w:fldChar w:fldCharType="begin"/>
      </w:r>
      <w:r>
        <w:instrText>xe "</w:instrText>
      </w:r>
      <w:r>
        <w:rPr>
          <w:rStyle w:val="xeentry"/>
        </w:rPr>
        <w:instrText>more than: example</w:instrText>
      </w:r>
      <w:r>
        <w:instrText>"</w:instrText>
      </w:r>
      <w:r>
        <w:rPr>
          <w:rStyle w:val="indexentry"/>
        </w:rPr>
        <w:fldChar w:fldCharType="end"/>
      </w:r>
      <w:r>
        <w:rPr>
          <w:rStyle w:val="htmlcodes"/>
        </w:rPr>
        <w:t>&lt;pre&gt;&lt;a name=e9d9&gt;</w:t>
      </w:r>
      <w:r>
        <w:t>9.9)</w:t>
      </w:r>
      <w:r>
        <w:tab/>
        <w:t>mi catlu za'u re prenu</w:t>
      </w:r>
    </w:p>
    <w:p w:rsidR="00B72047" w:rsidRDefault="00B72047">
      <w:pPr>
        <w:pStyle w:val="examplescaled"/>
      </w:pPr>
      <w:r>
        <w:tab/>
        <w:t>I look-at more-than two persons.</w:t>
      </w:r>
    </w:p>
    <w:p w:rsidR="00B72047" w:rsidRDefault="00B72047">
      <w:pPr>
        <w:pStyle w:val="resumedafterexample"/>
      </w:pPr>
      <w:r>
        <w:rPr>
          <w:rStyle w:val="htmlcodes"/>
        </w:rPr>
        <w:t>&lt;/pre&gt;</w:t>
      </w:r>
      <w:r>
        <w:rPr>
          <w:rStyle w:val="indexentry"/>
        </w:rPr>
        <w:t>&lt;cx "less than, contrasted with more than, at least, at most"&gt;</w:t>
      </w:r>
      <w:r>
        <w:rPr>
          <w:rStyle w:val="indexentry"/>
        </w:rPr>
        <w:fldChar w:fldCharType="begin"/>
      </w:r>
      <w:r>
        <w:instrText>xe "</w:instrText>
      </w:r>
      <w:r>
        <w:rPr>
          <w:rStyle w:val="xeentry"/>
        </w:rPr>
        <w:instrText>less than: contrasted with more than, at least, at most</w:instrText>
      </w:r>
      <w:r>
        <w:instrText>"</w:instrText>
      </w:r>
      <w:r>
        <w:rPr>
          <w:rStyle w:val="indexentry"/>
        </w:rPr>
        <w:fldChar w:fldCharType="end"/>
      </w:r>
      <w:r>
        <w:rPr>
          <w:rStyle w:val="indexentry"/>
        </w:rPr>
        <w:t>&lt;cx "more than, contrasted with less than, at least, at most"&gt;</w:t>
      </w:r>
      <w:r>
        <w:rPr>
          <w:rStyle w:val="indexentry"/>
        </w:rPr>
        <w:fldChar w:fldCharType="begin"/>
      </w:r>
      <w:r>
        <w:instrText>xe "</w:instrText>
      </w:r>
      <w:r>
        <w:rPr>
          <w:rStyle w:val="xeentry"/>
        </w:rPr>
        <w:instrText>more than: contrasted with less than, at least, at most</w:instrText>
      </w:r>
      <w:r>
        <w:instrText>"</w:instrText>
      </w:r>
      <w:r>
        <w:rPr>
          <w:rStyle w:val="indexentry"/>
        </w:rPr>
        <w:fldChar w:fldCharType="end"/>
      </w:r>
      <w:r>
        <w:rPr>
          <w:rStyle w:val="indexentry"/>
        </w:rPr>
        <w:t>&lt;cx "at least, contrasted with more than, less than, at most"&gt;</w:t>
      </w:r>
      <w:r>
        <w:rPr>
          <w:rStyle w:val="indexentry"/>
        </w:rPr>
        <w:fldChar w:fldCharType="begin"/>
      </w:r>
      <w:r>
        <w:instrText>xe "</w:instrText>
      </w:r>
      <w:r>
        <w:rPr>
          <w:rStyle w:val="xeentry"/>
        </w:rPr>
        <w:instrText>at least: contrasted with more than, less than, at most</w:instrText>
      </w:r>
      <w:r>
        <w:instrText>"</w:instrText>
      </w:r>
      <w:r>
        <w:rPr>
          <w:rStyle w:val="indexentry"/>
        </w:rPr>
        <w:fldChar w:fldCharType="end"/>
      </w:r>
      <w:r>
        <w:rPr>
          <w:rStyle w:val="indexentry"/>
        </w:rPr>
        <w:t>&lt;cx "at most, contrasted with more than, at least, less than"&gt;</w:t>
      </w:r>
      <w:r>
        <w:rPr>
          <w:rStyle w:val="indexentry"/>
        </w:rPr>
        <w:fldChar w:fldCharType="begin"/>
      </w:r>
      <w:r>
        <w:instrText>xe "</w:instrText>
      </w:r>
      <w:r>
        <w:rPr>
          <w:rStyle w:val="xeentry"/>
        </w:rPr>
        <w:instrText>at most: contrasted with more than, at least, less than</w:instrText>
      </w:r>
      <w:r>
        <w:instrText>"</w:instrText>
      </w:r>
      <w:r>
        <w:rPr>
          <w:rStyle w:val="indexentry"/>
        </w:rPr>
        <w:fldChar w:fldCharType="end"/>
      </w:r>
      <w:r>
        <w:rPr>
          <w:rStyle w:val="indexentry"/>
        </w:rPr>
        <w:t>&lt;ex "exactly two"&gt;</w:t>
      </w:r>
      <w:r>
        <w:rPr>
          <w:rStyle w:val="indexentry"/>
        </w:rPr>
        <w:fldChar w:fldCharType="begin"/>
      </w:r>
      <w:r>
        <w:instrText>xe "</w:instrText>
      </w:r>
      <w:r>
        <w:rPr>
          <w:rStyle w:val="xeentry"/>
        </w:rPr>
        <w:instrText>exactly two: example</w:instrText>
      </w:r>
      <w:r>
        <w:instrText>"</w:instrText>
      </w:r>
      <w:r>
        <w:rPr>
          <w:rStyle w:val="indexentry"/>
        </w:rPr>
        <w:fldChar w:fldCharType="end"/>
      </w:r>
      <w:r>
        <w:rPr>
          <w:rStyle w:val="indexentry"/>
        </w:rPr>
        <w:t>&lt;cx "exact number, expressing"&gt;</w:t>
      </w:r>
      <w:r>
        <w:rPr>
          <w:rStyle w:val="indexentry"/>
        </w:rPr>
        <w:fldChar w:fldCharType="begin"/>
      </w:r>
      <w:r>
        <w:instrText>xe "</w:instrText>
      </w:r>
      <w:r>
        <w:rPr>
          <w:rStyle w:val="xeentry"/>
        </w:rPr>
        <w:instrText>exact number: expressing</w:instrText>
      </w:r>
      <w:r>
        <w:instrText>"</w:instrText>
      </w:r>
      <w:r>
        <w:rPr>
          <w:rStyle w:val="indexentry"/>
        </w:rPr>
        <w:fldChar w:fldCharType="end"/>
      </w:r>
      <w:r>
        <w:rPr>
          <w:rStyle w:val="indexentry"/>
        </w:rPr>
        <w:t>&lt;cx "plural, Lojban equivalent of"&gt;</w:t>
      </w:r>
      <w:r>
        <w:rPr>
          <w:rStyle w:val="indexentry"/>
        </w:rPr>
        <w:fldChar w:fldCharType="begin"/>
      </w:r>
      <w:r>
        <w:instrText>xe "</w:instrText>
      </w:r>
      <w:r>
        <w:rPr>
          <w:rStyle w:val="xeentry"/>
        </w:rPr>
        <w:instrText>plural: Lojban equivalent of</w:instrText>
      </w:r>
      <w:r>
        <w:instrText>"</w:instrText>
      </w:r>
      <w:r>
        <w:rPr>
          <w:rStyle w:val="indexentry"/>
        </w:rPr>
        <w:fldChar w:fldCharType="end"/>
      </w:r>
      <w:r>
        <w:t xml:space="preserve">Each of these is a subtly different claim: </w:t>
      </w:r>
      <w:r>
        <w:rPr>
          <w:rStyle w:val="htmlcodes"/>
        </w:rPr>
        <w:t>&lt;a href=#e9d7&gt;</w:t>
      </w:r>
      <w:r>
        <w:t xml:space="preserve">Example 9.7 </w:t>
      </w:r>
      <w:r>
        <w:rPr>
          <w:rStyle w:val="htmlcodes"/>
        </w:rPr>
        <w:t>&lt;/a&gt;</w:t>
      </w:r>
      <w:r>
        <w:t>is true of two</w:t>
      </w:r>
      <w:r>
        <w:rPr>
          <w:rStyle w:val="deletedparamark"/>
        </w:rPr>
        <w:t xml:space="preserve"> </w:t>
      </w:r>
      <w:r>
        <w:t>or any greater nu</w:t>
      </w:r>
      <w:r>
        <w:t>m</w:t>
      </w:r>
      <w:r>
        <w:softHyphen/>
        <w:t xml:space="preserve">ber, whereas </w:t>
      </w:r>
      <w:r>
        <w:rPr>
          <w:rStyle w:val="htmlcodes"/>
        </w:rPr>
        <w:t>&lt;a href=#e9d9&gt;</w:t>
      </w:r>
      <w:r>
        <w:t xml:space="preserve">Example 9.9 </w:t>
      </w:r>
      <w:r>
        <w:rPr>
          <w:rStyle w:val="htmlcodes"/>
        </w:rPr>
        <w:t>&lt;/a&gt;</w:t>
      </w:r>
      <w:r>
        <w:t>requires three persons or more.</w:t>
      </w:r>
      <w:r>
        <w:rPr>
          <w:rStyle w:val="deletedparamark"/>
        </w:rPr>
        <w:t xml:space="preserve"> </w:t>
      </w:r>
      <w:r>
        <w:t xml:space="preserve">Likewise, </w:t>
      </w:r>
      <w:r>
        <w:rPr>
          <w:rStyle w:val="htmlcodes"/>
        </w:rPr>
        <w:t>&lt;a href=#e9d6&gt;</w:t>
      </w:r>
      <w:r>
        <w:t xml:space="preserve">Example 9.6 </w:t>
      </w:r>
      <w:r>
        <w:rPr>
          <w:rStyle w:val="htmlcodes"/>
        </w:rPr>
        <w:t>&lt;/a&gt;</w:t>
      </w:r>
      <w:r>
        <w:t xml:space="preserve">refers to zero, one, or two; </w:t>
      </w:r>
      <w:r>
        <w:rPr>
          <w:rStyle w:val="htmlcodes"/>
        </w:rPr>
        <w:t>&lt;a href=#e9d8&gt;</w:t>
      </w:r>
      <w:r>
        <w:t xml:space="preserve">Example 9.8 </w:t>
      </w:r>
      <w:r>
        <w:rPr>
          <w:rStyle w:val="htmlcodes"/>
        </w:rPr>
        <w:t>&lt;/a&gt;</w:t>
      </w:r>
      <w:r>
        <w:t>to zero or</w:t>
      </w:r>
      <w:r>
        <w:rPr>
          <w:rStyle w:val="deletedparamark"/>
        </w:rPr>
        <w:t xml:space="preserve"> </w:t>
      </w:r>
      <w:r>
        <w:t>one. (Of course, when the context allows nu</w:t>
      </w:r>
      <w:r>
        <w:t>m</w:t>
      </w:r>
      <w:r>
        <w:softHyphen/>
        <w:t>bers other than non-negative</w:t>
      </w:r>
      <w:r>
        <w:rPr>
          <w:rStyle w:val="deletedparamark"/>
        </w:rPr>
        <w:t xml:space="preserve"> </w:t>
      </w:r>
      <w:r>
        <w:t>integers, “me'i re” can be any number less than 2, and lik</w:t>
      </w:r>
      <w:r>
        <w:t>e</w:t>
      </w:r>
      <w:r>
        <w:softHyphen/>
        <w:t>wise with the</w:t>
      </w:r>
      <w:r>
        <w:rPr>
          <w:rStyle w:val="deletedparamark"/>
        </w:rPr>
        <w:t xml:space="preserve"> </w:t>
      </w:r>
      <w:r>
        <w:t>other cases.) The exact quantifier, “exactly 2, neither more nor less”</w:t>
      </w:r>
      <w:r>
        <w:rPr>
          <w:rStyle w:val="deletedparamark"/>
        </w:rPr>
        <w:t xml:space="preserve"> </w:t>
      </w:r>
      <w:r>
        <w:t>is just “re”. Note that “su'ore” is the exact Lojban equivalent of</w:t>
      </w:r>
      <w:r>
        <w:rPr>
          <w:rStyle w:val="deletedparamark"/>
        </w:rPr>
        <w:t xml:space="preserve"> </w:t>
      </w:r>
      <w:r>
        <w:t>English plurals.</w:t>
      </w:r>
    </w:p>
    <w:p w:rsidR="00B72047" w:rsidRDefault="00B72047">
      <w:pPr>
        <w:rPr>
          <w:rStyle w:val="htmlparacode"/>
        </w:rPr>
      </w:pPr>
      <w:r>
        <w:rPr>
          <w:rStyle w:val="htmlparacode"/>
        </w:rPr>
        <w:t>&lt;p&gt;</w:t>
      </w:r>
    </w:p>
    <w:p w:rsidR="00B72047" w:rsidRDefault="00B72047">
      <w:pPr>
        <w:pStyle w:val="normalparagraph"/>
      </w:pPr>
      <w:r>
        <w:rPr>
          <w:rStyle w:val="indexentry"/>
        </w:rPr>
        <w:t>&lt;cx "su'e, with elided number"&gt;</w:t>
      </w:r>
      <w:r>
        <w:rPr>
          <w:rStyle w:val="indexentry"/>
        </w:rPr>
        <w:fldChar w:fldCharType="begin"/>
      </w:r>
      <w:r>
        <w:instrText>xe "</w:instrText>
      </w:r>
      <w:r>
        <w:rPr>
          <w:rStyle w:val="xeentry"/>
        </w:rPr>
        <w:instrText>su'e: with elided number</w:instrText>
      </w:r>
      <w:r>
        <w:instrText>"</w:instrText>
      </w:r>
      <w:r>
        <w:rPr>
          <w:rStyle w:val="indexentry"/>
        </w:rPr>
        <w:fldChar w:fldCharType="end"/>
      </w:r>
      <w:r>
        <w:rPr>
          <w:rStyle w:val="indexentry"/>
        </w:rPr>
        <w:t>&lt;cx "su'o, with elided number"&gt;</w:t>
      </w:r>
      <w:r>
        <w:rPr>
          <w:rStyle w:val="indexentry"/>
        </w:rPr>
        <w:fldChar w:fldCharType="begin"/>
      </w:r>
      <w:r>
        <w:instrText>xe "</w:instrText>
      </w:r>
      <w:r>
        <w:rPr>
          <w:rStyle w:val="xeentry"/>
        </w:rPr>
        <w:instrText>su'o: with elided number</w:instrText>
      </w:r>
      <w:r>
        <w:instrText>"</w:instrText>
      </w:r>
      <w:r>
        <w:rPr>
          <w:rStyle w:val="indexentry"/>
        </w:rPr>
        <w:fldChar w:fldCharType="end"/>
      </w:r>
      <w:r>
        <w:rPr>
          <w:rStyle w:val="indexentry"/>
        </w:rPr>
        <w:t>&lt;cx "me'i, with elided number"&gt;</w:t>
      </w:r>
      <w:r>
        <w:rPr>
          <w:rStyle w:val="indexentry"/>
        </w:rPr>
        <w:fldChar w:fldCharType="begin"/>
      </w:r>
      <w:r>
        <w:instrText>xe "</w:instrText>
      </w:r>
      <w:r>
        <w:rPr>
          <w:rStyle w:val="xeentry"/>
        </w:rPr>
        <w:instrText>me'i: with elided number</w:instrText>
      </w:r>
      <w:r>
        <w:instrText>"</w:instrText>
      </w:r>
      <w:r>
        <w:rPr>
          <w:rStyle w:val="indexentry"/>
        </w:rPr>
        <w:fldChar w:fldCharType="end"/>
      </w:r>
      <w:r>
        <w:rPr>
          <w:rStyle w:val="indexentry"/>
        </w:rPr>
        <w:t>&lt;cx "za'u, with elided number"&gt;</w:t>
      </w:r>
      <w:r>
        <w:rPr>
          <w:rStyle w:val="indexentry"/>
        </w:rPr>
        <w:fldChar w:fldCharType="begin"/>
      </w:r>
      <w:r>
        <w:instrText>xe "</w:instrText>
      </w:r>
      <w:r>
        <w:rPr>
          <w:rStyle w:val="xeentry"/>
        </w:rPr>
        <w:instrText>za'u: with elided number</w:instrText>
      </w:r>
      <w:r>
        <w:instrText>"</w:instrText>
      </w:r>
      <w:r>
        <w:rPr>
          <w:rStyle w:val="indexentry"/>
        </w:rPr>
        <w:fldChar w:fldCharType="end"/>
      </w:r>
      <w:r>
        <w:t>If no number follows one of these cmavo, “pa” is understood: therefore,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name=e9d10&gt;</w:t>
      </w:r>
      <w:r>
        <w:t>9.10)</w:t>
      </w:r>
      <w:r>
        <w:tab/>
        <w:t>mi catlu su'o prenu</w:t>
      </w:r>
    </w:p>
    <w:p w:rsidR="00B72047" w:rsidRDefault="00B72047">
      <w:pPr>
        <w:pStyle w:val="examplescaled"/>
      </w:pPr>
      <w:r>
        <w:tab/>
        <w:t>I look-at at-least [one] person.</w:t>
      </w:r>
    </w:p>
    <w:p w:rsidR="00B72047" w:rsidRDefault="00B72047">
      <w:pPr>
        <w:pStyle w:val="resumedafterexample"/>
      </w:pPr>
      <w:r>
        <w:rPr>
          <w:rStyle w:val="htmlcodes"/>
        </w:rPr>
        <w:t>&lt;/pre&gt;</w:t>
      </w:r>
      <w:r>
        <w:t>is a meaningful claim.</w:t>
      </w:r>
    </w:p>
    <w:p w:rsidR="00B72047" w:rsidRDefault="00B72047">
      <w:pPr>
        <w:rPr>
          <w:rStyle w:val="htmlparacode"/>
        </w:rPr>
      </w:pPr>
      <w:r>
        <w:rPr>
          <w:rStyle w:val="htmlparacode"/>
        </w:rPr>
        <w:t>&lt;p&gt;</w:t>
      </w:r>
    </w:p>
    <w:p w:rsidR="00B72047" w:rsidRDefault="00B72047">
      <w:pPr>
        <w:pStyle w:val="normalparagraph"/>
      </w:pPr>
      <w:r>
        <w:rPr>
          <w:rStyle w:val="indexentry"/>
        </w:rPr>
        <w:t>&lt;lx "pi"&gt;</w:t>
      </w:r>
      <w:r>
        <w:rPr>
          <w:rStyle w:val="indexentry"/>
        </w:rPr>
        <w:fldChar w:fldCharType="begin"/>
      </w:r>
      <w:r>
        <w:instrText>xe "</w:instrText>
      </w:r>
      <w:r>
        <w:rPr>
          <w:rStyle w:val="xeentry"/>
        </w:rPr>
        <w:instrText>pi</w:instrText>
      </w:r>
      <w:r>
        <w:instrText>"</w:instrText>
      </w:r>
      <w:r>
        <w:rPr>
          <w:rStyle w:val="indexentry"/>
        </w:rPr>
        <w:fldChar w:fldCharType="end"/>
      </w:r>
      <w:r>
        <w:rPr>
          <w:rStyle w:val="indexentry"/>
        </w:rPr>
        <w:t>&lt;cx "inexact portions with bounds"&gt;</w:t>
      </w:r>
      <w:r>
        <w:rPr>
          <w:rStyle w:val="indexentry"/>
        </w:rPr>
        <w:fldChar w:fldCharType="begin"/>
      </w:r>
      <w:r>
        <w:instrText>xe "</w:instrText>
      </w:r>
      <w:r>
        <w:rPr>
          <w:rStyle w:val="xeentry"/>
        </w:rPr>
        <w:instrText>inexact portions with bounds</w:instrText>
      </w:r>
      <w:r>
        <w:instrText>"</w:instrText>
      </w:r>
      <w:r>
        <w:rPr>
          <w:rStyle w:val="indexentry"/>
        </w:rPr>
        <w:fldChar w:fldCharType="end"/>
      </w:r>
      <w:r>
        <w:t xml:space="preserve">Like the numbers in </w:t>
      </w:r>
      <w:r>
        <w:rPr>
          <w:rStyle w:val="htmlcodes"/>
        </w:rPr>
        <w:t>&lt;a href=#s8&gt;</w:t>
      </w:r>
      <w:r>
        <w:t>Section 8</w:t>
      </w:r>
      <w:r>
        <w:rPr>
          <w:rStyle w:val="htmlcodes"/>
        </w:rPr>
        <w:t>&lt;/a&gt;</w:t>
      </w:r>
      <w:r>
        <w:t>, all of these cmavo may be preceded by “pi”</w:t>
      </w:r>
      <w:r>
        <w:rPr>
          <w:rStyle w:val="deletedparamark"/>
        </w:rPr>
        <w:t xml:space="preserve"> </w:t>
      </w:r>
      <w:r>
        <w:t>to make the corresponding quantifiers for part of a whole. For example,</w:t>
      </w:r>
      <w:r>
        <w:rPr>
          <w:rStyle w:val="deletedparamark"/>
        </w:rPr>
        <w:t xml:space="preserve"> “</w:t>
      </w:r>
      <w:r>
        <w:t>pisu'o” means “at least some part of”. The quantifiers “ro”, “su'o”,</w:t>
      </w:r>
      <w:r>
        <w:rPr>
          <w:rStyle w:val="deletedparamark"/>
        </w:rPr>
        <w:t xml:space="preserve"> “</w:t>
      </w:r>
      <w:r>
        <w:t>piro”, and “pisu'o” are particularly important in Lojban, as they are</w:t>
      </w:r>
      <w:r>
        <w:rPr>
          <w:rStyle w:val="deletedparamark"/>
        </w:rPr>
        <w:t xml:space="preserve"> </w:t>
      </w:r>
      <w:r>
        <w:t>implicitly used in the descriptions introduced by the cmavo of se</w:t>
      </w:r>
      <w:r>
        <w:t>l</w:t>
      </w:r>
      <w:r>
        <w:softHyphen/>
        <w:t>ma'o LA</w:t>
      </w:r>
      <w:r>
        <w:rPr>
          <w:rStyle w:val="deletedparamark"/>
        </w:rPr>
        <w:t xml:space="preserve"> </w:t>
      </w:r>
      <w:r>
        <w:t xml:space="preserve">and LE, as explained in </w:t>
      </w:r>
      <w:r>
        <w:rPr>
          <w:rStyle w:val="htmlcodes"/>
        </w:rPr>
        <w:t>&lt;a href=chap6.html&gt;</w:t>
      </w:r>
      <w:r>
        <w:t>Chapter 6</w:t>
      </w:r>
      <w:r>
        <w:rPr>
          <w:rStyle w:val="htmlcodes"/>
        </w:rPr>
        <w:t>&lt;/a&gt;</w:t>
      </w:r>
      <w:r>
        <w:t>. Descriptions in general are outside</w:t>
      </w:r>
      <w:r>
        <w:rPr>
          <w:rStyle w:val="deletedparamark"/>
        </w:rPr>
        <w:t xml:space="preserve"> </w:t>
      </w:r>
      <w:r>
        <w:t>the scope of this chapter.</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505" w:name="_Toc398970742"/>
      <w:r>
        <w:rPr>
          <w:rStyle w:val="Heading3Text"/>
        </w:rPr>
        <w:t>Non-decimal and compound bases</w:t>
      </w:r>
      <w:bookmarkEnd w:id="505"/>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&lt;pre&gt;</w:t>
      </w:r>
      <w:r>
        <w:t xml:space="preserve"> </w:t>
      </w:r>
      <w:r>
        <w:tab/>
        <w:t>ju'u</w:t>
      </w:r>
      <w:r>
        <w:tab/>
        <w:t>VUhU</w:t>
      </w:r>
      <w:r>
        <w:tab/>
        <w:t>to the base</w:t>
      </w:r>
    </w:p>
    <w:p w:rsidR="00B72047" w:rsidRDefault="00B72047">
      <w:pPr>
        <w:pStyle w:val="examplescaledpre"/>
      </w:pPr>
      <w:r>
        <w:tab/>
        <w:t>dau</w:t>
      </w:r>
      <w:r>
        <w:tab/>
        <w:t>PA</w:t>
      </w:r>
      <w:r>
        <w:tab/>
        <w:t>hex digit A = 10</w:t>
      </w:r>
    </w:p>
    <w:p w:rsidR="00B72047" w:rsidRDefault="00B72047">
      <w:pPr>
        <w:pStyle w:val="examplescaled"/>
      </w:pPr>
      <w:r>
        <w:tab/>
        <w:t>fei</w:t>
      </w:r>
      <w:r>
        <w:tab/>
        <w:t>PA</w:t>
      </w:r>
      <w:r>
        <w:tab/>
        <w:t>hex digit B = 11</w:t>
      </w:r>
    </w:p>
    <w:p w:rsidR="00B72047" w:rsidRDefault="00B72047">
      <w:pPr>
        <w:pStyle w:val="examplescaled"/>
      </w:pPr>
      <w:r>
        <w:tab/>
        <w:t>gai</w:t>
      </w:r>
      <w:r>
        <w:tab/>
        <w:t>PA</w:t>
      </w:r>
      <w:r>
        <w:tab/>
        <w:t>hex digit C = 12</w:t>
      </w:r>
    </w:p>
    <w:p w:rsidR="00B72047" w:rsidRDefault="00B72047">
      <w:pPr>
        <w:pStyle w:val="examplescaled"/>
      </w:pPr>
      <w:r>
        <w:tab/>
        <w:t>jau</w:t>
      </w:r>
      <w:r>
        <w:tab/>
        <w:t>PA</w:t>
      </w:r>
      <w:r>
        <w:tab/>
        <w:t>hex digit D = 13</w:t>
      </w:r>
    </w:p>
    <w:p w:rsidR="00B72047" w:rsidRDefault="00B72047">
      <w:pPr>
        <w:pStyle w:val="examplescaled"/>
      </w:pPr>
      <w:r>
        <w:tab/>
        <w:t>rei</w:t>
      </w:r>
      <w:r>
        <w:tab/>
        <w:t>PA</w:t>
      </w:r>
      <w:r>
        <w:tab/>
        <w:t>hex digit E = 14</w:t>
      </w:r>
    </w:p>
    <w:p w:rsidR="00B72047" w:rsidRDefault="00B72047">
      <w:pPr>
        <w:pStyle w:val="examplescaled"/>
      </w:pPr>
      <w:r>
        <w:tab/>
        <w:t>vai</w:t>
      </w:r>
      <w:r>
        <w:tab/>
        <w:t>PA</w:t>
      </w:r>
      <w:r>
        <w:tab/>
        <w:t>hex digit F = 15</w:t>
      </w:r>
    </w:p>
    <w:p w:rsidR="00B72047" w:rsidRDefault="00B72047">
      <w:pPr>
        <w:pStyle w:val="examplescaled"/>
      </w:pPr>
      <w:r>
        <w:tab/>
        <w:t>pi'e</w:t>
      </w:r>
      <w:r>
        <w:tab/>
        <w:t>PA</w:t>
      </w:r>
      <w:r>
        <w:tab/>
        <w:t>compound base point</w:t>
      </w:r>
    </w:p>
    <w:p w:rsidR="00B72047" w:rsidRDefault="00B72047">
      <w:pPr>
        <w:pStyle w:val="normalafterexample"/>
      </w:pPr>
      <w:r>
        <w:rPr>
          <w:rStyle w:val="htmlcodes"/>
        </w:rPr>
        <w:t>&lt;/pre&gt;</w:t>
      </w:r>
      <w:r>
        <w:rPr>
          <w:rStyle w:val="indexentry"/>
        </w:rPr>
        <w:t>&lt;cx "radix, decimal (see also base)"&gt;</w:t>
      </w:r>
      <w:r>
        <w:rPr>
          <w:rStyle w:val="indexentry"/>
        </w:rPr>
        <w:fldChar w:fldCharType="begin"/>
      </w:r>
      <w:r>
        <w:instrText>xe "</w:instrText>
      </w:r>
      <w:r>
        <w:rPr>
          <w:rStyle w:val="xeentry"/>
        </w:rPr>
        <w:instrText>radix: decimal (see also base)</w:instrText>
      </w:r>
      <w:r>
        <w:instrText>"</w:instrText>
      </w:r>
      <w:r>
        <w:rPr>
          <w:rStyle w:val="indexentry"/>
        </w:rPr>
        <w:fldChar w:fldCharType="end"/>
      </w:r>
      <w:r>
        <w:t>In normal contexts, Lojban assumes that all numbers are expressed in the</w:t>
      </w:r>
      <w:r>
        <w:rPr>
          <w:rStyle w:val="deletedparamark"/>
        </w:rPr>
        <w:t xml:space="preserve"> </w:t>
      </w:r>
      <w:r>
        <w:t>decimal (base 10) system. However, other bases are possible, and may be</w:t>
      </w:r>
      <w:r>
        <w:rPr>
          <w:rStyle w:val="deletedparamark"/>
        </w:rPr>
        <w:t xml:space="preserve"> </w:t>
      </w:r>
      <w:r>
        <w:t>appropriate in particular ci</w:t>
      </w:r>
      <w:r>
        <w:t>r</w:t>
      </w:r>
      <w:r>
        <w:softHyphen/>
        <w:t>cumstances.</w:t>
      </w:r>
    </w:p>
    <w:p w:rsidR="00B72047" w:rsidRDefault="00B72047">
      <w:pPr>
        <w:rPr>
          <w:rStyle w:val="htmlparacode"/>
        </w:rPr>
      </w:pPr>
      <w:r>
        <w:rPr>
          <w:rStyle w:val="htmlparacode"/>
        </w:rPr>
        <w:t>&lt;p&gt;</w:t>
      </w:r>
    </w:p>
    <w:p w:rsidR="00B72047" w:rsidRDefault="00B72047">
      <w:pPr>
        <w:pStyle w:val="normalparagraph"/>
      </w:pPr>
      <w:r>
        <w:rPr>
          <w:rStyle w:val="indexentry"/>
        </w:rPr>
        <w:t>&lt;cx "base, specifying"&gt;</w:t>
      </w:r>
      <w:r>
        <w:rPr>
          <w:rStyle w:val="indexentry"/>
        </w:rPr>
        <w:fldChar w:fldCharType="begin"/>
      </w:r>
      <w:r>
        <w:instrText>xe "</w:instrText>
      </w:r>
      <w:r>
        <w:rPr>
          <w:rStyle w:val="xeentry"/>
        </w:rPr>
        <w:instrText>base: specifying</w:instrText>
      </w:r>
      <w:r>
        <w:instrText>"</w:instrText>
      </w:r>
      <w:r>
        <w:rPr>
          <w:rStyle w:val="indexentry"/>
        </w:rPr>
        <w:fldChar w:fldCharType="end"/>
      </w:r>
      <w:r>
        <w:rPr>
          <w:rStyle w:val="indexentry"/>
        </w:rPr>
        <w:t>&lt;cx "binary system, specifying numbers in (see also base)"&gt;</w:t>
      </w:r>
      <w:r>
        <w:rPr>
          <w:rStyle w:val="indexentry"/>
        </w:rPr>
        <w:fldChar w:fldCharType="begin"/>
      </w:r>
      <w:r>
        <w:instrText>xe "</w:instrText>
      </w:r>
      <w:r>
        <w:rPr>
          <w:rStyle w:val="xeentry"/>
        </w:rPr>
        <w:instrText>binary system: specifying numbers in (see also base)</w:instrText>
      </w:r>
      <w:r>
        <w:instrText>"</w:instrText>
      </w:r>
      <w:r>
        <w:rPr>
          <w:rStyle w:val="indexentry"/>
        </w:rPr>
        <w:fldChar w:fldCharType="end"/>
      </w:r>
      <w:r>
        <w:rPr>
          <w:rStyle w:val="indexentry"/>
        </w:rPr>
        <w:t>&lt;cx "octal system, specifying numbers in (see also base)"&gt;</w:t>
      </w:r>
      <w:r>
        <w:rPr>
          <w:rStyle w:val="indexentry"/>
        </w:rPr>
        <w:fldChar w:fldCharType="begin"/>
      </w:r>
      <w:r>
        <w:instrText>xe "</w:instrText>
      </w:r>
      <w:r>
        <w:rPr>
          <w:rStyle w:val="xeentry"/>
        </w:rPr>
        <w:instrText>octal system: specifying numbers in (see also base)</w:instrText>
      </w:r>
      <w:r>
        <w:instrText>"</w:instrText>
      </w:r>
      <w:r>
        <w:rPr>
          <w:rStyle w:val="indexentry"/>
        </w:rPr>
        <w:fldChar w:fldCharType="end"/>
      </w:r>
      <w:r>
        <w:t>To specify a number in a particular base, the VUhU operator “ju'u” is</w:t>
      </w:r>
      <w:r>
        <w:rPr>
          <w:rStyle w:val="deletedparamark"/>
        </w:rPr>
        <w:t xml:space="preserve"> </w:t>
      </w:r>
      <w:r>
        <w:t>suitable: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li pa no pa no ju'u re du li pa no</w:t>
      </w:r>
    </w:p>
    <w:p w:rsidR="00B72047" w:rsidRDefault="00B72047">
      <w:pPr>
        <w:pStyle w:val="examplescaled"/>
      </w:pPr>
      <w:r>
        <w:tab/>
        <w:t>The-number 1010 base 2 equals the-number 10.</w:t>
      </w:r>
    </w:p>
    <w:p w:rsidR="00B72047" w:rsidRDefault="00B72047">
      <w:pPr>
        <w:pStyle w:val="resumedafterexample"/>
      </w:pPr>
      <w:r>
        <w:rPr>
          <w:rStyle w:val="htmlcodes"/>
        </w:rPr>
        <w:t>&lt;/pre&gt;</w:t>
      </w:r>
      <w:r>
        <w:rPr>
          <w:rStyle w:val="indexentry"/>
        </w:rPr>
        <w:t>&lt;cx "base, assumed"&gt;</w:t>
      </w:r>
      <w:r>
        <w:rPr>
          <w:rStyle w:val="indexentry"/>
        </w:rPr>
        <w:fldChar w:fldCharType="begin"/>
      </w:r>
      <w:r>
        <w:instrText>xe "</w:instrText>
      </w:r>
      <w:r>
        <w:rPr>
          <w:rStyle w:val="xeentry"/>
        </w:rPr>
        <w:instrText>base: assumed</w:instrText>
      </w:r>
      <w:r>
        <w:instrText>"</w:instrText>
      </w:r>
      <w:r>
        <w:rPr>
          <w:rStyle w:val="indexentry"/>
        </w:rPr>
        <w:fldChar w:fldCharType="end"/>
      </w:r>
      <w:r>
        <w:rPr>
          <w:rStyle w:val="indexentry"/>
        </w:rPr>
        <w:t>&lt;cx "base, changing permanently"&gt;</w:t>
      </w:r>
      <w:r>
        <w:rPr>
          <w:rStyle w:val="indexentry"/>
        </w:rPr>
        <w:fldChar w:fldCharType="begin"/>
      </w:r>
      <w:r>
        <w:instrText>xe "</w:instrText>
      </w:r>
      <w:r>
        <w:rPr>
          <w:rStyle w:val="xeentry"/>
        </w:rPr>
        <w:instrText>base: changing permanently</w:instrText>
      </w:r>
      <w:r>
        <w:instrText>"</w:instrText>
      </w:r>
      <w:r>
        <w:rPr>
          <w:rStyle w:val="indexentry"/>
        </w:rPr>
        <w:fldChar w:fldCharType="end"/>
      </w:r>
      <w:r>
        <w:t>Here, the final “pa no” is assumed to be base 10, as usual; so is the</w:t>
      </w:r>
      <w:r>
        <w:rPr>
          <w:rStyle w:val="deletedparamark"/>
        </w:rPr>
        <w:t xml:space="preserve"> </w:t>
      </w:r>
      <w:r>
        <w:t>base specification. (The base may also be changed permanently by a</w:t>
      </w:r>
      <w:r>
        <w:rPr>
          <w:rStyle w:val="deletedparamark"/>
        </w:rPr>
        <w:t xml:space="preserve"> </w:t>
      </w:r>
      <w:r>
        <w:t>metalinguistic specification; no stan</w:t>
      </w:r>
      <w:r>
        <w:softHyphen/>
        <w:t>dard way of doing so has as yet</w:t>
      </w:r>
      <w:r>
        <w:rPr>
          <w:rStyle w:val="deletedparamark"/>
        </w:rPr>
        <w:t xml:space="preserve"> </w:t>
      </w:r>
      <w:r>
        <w:t>been worked out.)</w:t>
      </w:r>
    </w:p>
    <w:p w:rsidR="00B72047" w:rsidRDefault="00B72047">
      <w:pPr>
        <w:rPr>
          <w:rStyle w:val="htmlparacode"/>
        </w:rPr>
      </w:pPr>
      <w:r>
        <w:rPr>
          <w:rStyle w:val="htmlparacode"/>
        </w:rPr>
        <w:t>&lt;p&gt;</w:t>
      </w:r>
    </w:p>
    <w:p w:rsidR="00B72047" w:rsidRDefault="00B72047">
      <w:pPr>
        <w:pStyle w:val="normalparagraph"/>
      </w:pPr>
      <w:r>
        <w:rPr>
          <w:rStyle w:val="indexentry"/>
        </w:rPr>
        <w:t>&lt;cx "digits, rationale for having 16"&gt;</w:t>
      </w:r>
      <w:r>
        <w:rPr>
          <w:rStyle w:val="indexentry"/>
        </w:rPr>
        <w:fldChar w:fldCharType="begin"/>
      </w:r>
      <w:r>
        <w:instrText>xe "</w:instrText>
      </w:r>
      <w:r>
        <w:rPr>
          <w:rStyle w:val="xeentry"/>
        </w:rPr>
        <w:instrText>digits: rationale for having 16</w:instrText>
      </w:r>
      <w:r>
        <w:instrText>"</w:instrText>
      </w:r>
      <w:r>
        <w:rPr>
          <w:rStyle w:val="indexentry"/>
        </w:rPr>
        <w:fldChar w:fldCharType="end"/>
      </w:r>
      <w:r>
        <w:rPr>
          <w:rStyle w:val="indexentry"/>
        </w:rPr>
        <w:t>&lt;cx "hexadecimal system, specifying numbers in (see also base)"&gt;</w:t>
      </w:r>
      <w:r>
        <w:rPr>
          <w:rStyle w:val="indexentry"/>
        </w:rPr>
        <w:fldChar w:fldCharType="begin"/>
      </w:r>
      <w:r>
        <w:instrText>xe "</w:instrText>
      </w:r>
      <w:r>
        <w:rPr>
          <w:rStyle w:val="xeentry"/>
        </w:rPr>
        <w:instrText>hexadecimal system: specifying numbers in (see also base)</w:instrText>
      </w:r>
      <w:r>
        <w:instrText>"</w:instrText>
      </w:r>
      <w:r>
        <w:rPr>
          <w:rStyle w:val="indexentry"/>
        </w:rPr>
        <w:fldChar w:fldCharType="end"/>
      </w:r>
      <w:r>
        <w:t>Lojban has digits for representing bases up to 16, because 16 is a base</w:t>
      </w:r>
      <w:r>
        <w:rPr>
          <w:rStyle w:val="deletedparamark"/>
        </w:rPr>
        <w:t xml:space="preserve"> </w:t>
      </w:r>
      <w:r>
        <w:t>often used in computer applications. In English, it is customary to use</w:t>
      </w:r>
      <w:r>
        <w:rPr>
          <w:rStyle w:val="deletedparamark"/>
        </w:rPr>
        <w:t xml:space="preserve"> </w:t>
      </w:r>
      <w:r>
        <w:t>the letters A-F as the base 16 digits equivalent to the numbers ten through</w:t>
      </w:r>
      <w:r>
        <w:rPr>
          <w:rStyle w:val="deletedparamark"/>
        </w:rPr>
        <w:t xml:space="preserve"> </w:t>
      </w:r>
      <w:r>
        <w:t>fifteen. In Lojban, this ambiguity is avoided:</w:t>
      </w:r>
    </w:p>
    <w:p w:rsidR="00B72047" w:rsidRDefault="00B72047">
      <w:pPr>
        <w:rPr>
          <w:rStyle w:val="htmlparacode"/>
        </w:rPr>
      </w:pPr>
      <w:r>
        <w:rPr>
          <w:rStyle w:val="htmlparacode"/>
        </w:rPr>
        <w:t>&lt;p&gt;</w:t>
      </w:r>
    </w:p>
    <w:p w:rsidR="00B72047" w:rsidRDefault="00B72047">
      <w:pPr>
        <w:pStyle w:val="examplescaledpre"/>
      </w:pPr>
      <w:r>
        <w:rPr>
          <w:rStyle w:val="indexentry"/>
        </w:rPr>
        <w:t>&lt;ex "ABC base 16"&gt;</w:t>
      </w:r>
      <w:r>
        <w:rPr>
          <w:rStyle w:val="indexentry"/>
        </w:rPr>
        <w:fldChar w:fldCharType="begin"/>
      </w:r>
      <w:r>
        <w:instrText>xe "</w:instrText>
      </w:r>
      <w:r>
        <w:rPr>
          <w:rStyle w:val="xeentry"/>
        </w:rPr>
        <w:instrText>ABC base 16: example</w:instrText>
      </w:r>
      <w:r>
        <w:instrText>"</w:instrText>
      </w:r>
      <w:r>
        <w:rPr>
          <w:rStyle w:val="indexentry"/>
        </w:rPr>
        <w:fldChar w:fldCharType="end"/>
      </w:r>
      <w:r>
        <w:rPr>
          <w:rStyle w:val="htmlcodes"/>
        </w:rPr>
        <w:t>&lt;pre&gt;&lt;a name=e10d2&gt;</w:t>
      </w:r>
      <w:r>
        <w:t>10.2)</w:t>
      </w:r>
      <w:r>
        <w:tab/>
        <w:t>li daufeigai ju'u paxa du li rezevobi</w:t>
      </w:r>
    </w:p>
    <w:p w:rsidR="00B72047" w:rsidRDefault="00B72047">
      <w:pPr>
        <w:pStyle w:val="examplescaled"/>
      </w:pPr>
      <w:r>
        <w:tab/>
        <w:t>The-number ABC base 16 equals the-number 2748.</w:t>
      </w:r>
    </w:p>
    <w:p w:rsidR="00B72047" w:rsidRDefault="00B72047">
      <w:pPr>
        <w:pStyle w:val="examplescaledpre"/>
      </w:pPr>
      <w:r>
        <w:rPr>
          <w:rStyle w:val="htmlcodes"/>
        </w:rPr>
        <w:t>&lt;a name=e10d3&gt;</w:t>
      </w:r>
      <w:r>
        <w:t>10.3)</w:t>
      </w:r>
      <w:r>
        <w:tab/>
        <w:t>li jaureivai ju'u paxa du li cimuxaze</w:t>
      </w:r>
    </w:p>
    <w:p w:rsidR="00B72047" w:rsidRDefault="00B72047">
      <w:pPr>
        <w:pStyle w:val="examplescaled"/>
      </w:pPr>
      <w:r>
        <w:tab/>
        <w:t>The-number DEF base 16 equals the-number 3567.</w:t>
      </w:r>
    </w:p>
    <w:p w:rsidR="00B72047" w:rsidRDefault="00B72047">
      <w:pPr>
        <w:pStyle w:val="resumedafterexample"/>
      </w:pPr>
      <w:r>
        <w:rPr>
          <w:rStyle w:val="htmlcodes"/>
        </w:rPr>
        <w:t>&lt;/pre&gt;</w:t>
      </w:r>
      <w:r>
        <w:rPr>
          <w:rStyle w:val="indexentry"/>
        </w:rPr>
        <w:t>&lt;cx "digits beyond 9, word pattern"&gt;</w:t>
      </w:r>
      <w:r>
        <w:rPr>
          <w:rStyle w:val="indexentry"/>
        </w:rPr>
        <w:fldChar w:fldCharType="begin"/>
      </w:r>
      <w:r>
        <w:instrText>xe "</w:instrText>
      </w:r>
      <w:r>
        <w:rPr>
          <w:rStyle w:val="xeentry"/>
        </w:rPr>
        <w:instrText>digits beyond 9: word pattern</w:instrText>
      </w:r>
      <w:r>
        <w:instrText>"</w:instrText>
      </w:r>
      <w:r>
        <w:rPr>
          <w:rStyle w:val="indexentry"/>
        </w:rPr>
        <w:fldChar w:fldCharType="end"/>
      </w:r>
      <w:r>
        <w:t>Note the pattern in the cmavo: the diphthongs “au”, “ei”, “ai” are used</w:t>
      </w:r>
      <w:r>
        <w:rPr>
          <w:rStyle w:val="deletedparamark"/>
        </w:rPr>
        <w:t xml:space="preserve"> </w:t>
      </w:r>
      <w:r>
        <w:t>twice in the same order. The digits for A to D use consonants different</w:t>
      </w:r>
      <w:r>
        <w:rPr>
          <w:rStyle w:val="deletedparamark"/>
        </w:rPr>
        <w:t xml:space="preserve"> </w:t>
      </w:r>
      <w:r>
        <w:t>from those used in the deci</w:t>
      </w:r>
      <w:r>
        <w:softHyphen/>
        <w:t>mal digit cmavo; E and F unfortunately overlap</w:t>
      </w:r>
      <w:r>
        <w:rPr>
          <w:rStyle w:val="deletedparamark"/>
        </w:rPr>
        <w:t xml:space="preserve"> </w:t>
      </w:r>
      <w:r>
        <w:t>2 and 4 — there was simply not enough available cmavo space to make</w:t>
      </w:r>
      <w:r>
        <w:rPr>
          <w:rStyle w:val="deletedparamark"/>
        </w:rPr>
        <w:t xml:space="preserve"> </w:t>
      </w:r>
      <w:r>
        <w:t>a full differentiation possible. The cmavo are also in alphabetical order.</w:t>
      </w:r>
    </w:p>
    <w:p w:rsidR="00B72047" w:rsidRDefault="00B72047">
      <w:pPr>
        <w:rPr>
          <w:rStyle w:val="htmlparacode"/>
        </w:rPr>
      </w:pPr>
      <w:r>
        <w:rPr>
          <w:rStyle w:val="htmlparacode"/>
        </w:rPr>
        <w:t>&lt;p&gt;</w:t>
      </w:r>
    </w:p>
    <w:p w:rsidR="00B72047" w:rsidRDefault="00B72047">
      <w:pPr>
        <w:pStyle w:val="normalparagraph"/>
      </w:pPr>
      <w:r>
        <w:rPr>
          <w:rStyle w:val="indexentry"/>
        </w:rPr>
        <w:t>&lt;cx "base point, in bases other than 10"&gt;</w:t>
      </w:r>
      <w:r>
        <w:rPr>
          <w:rStyle w:val="indexentry"/>
        </w:rPr>
        <w:fldChar w:fldCharType="begin"/>
      </w:r>
      <w:r>
        <w:instrText>xe "</w:instrText>
      </w:r>
      <w:r>
        <w:rPr>
          <w:rStyle w:val="xeentry"/>
        </w:rPr>
        <w:instrText>base point: in bases other than 10</w:instrText>
      </w:r>
      <w:r>
        <w:instrText>"</w:instrText>
      </w:r>
      <w:r>
        <w:rPr>
          <w:rStyle w:val="indexentry"/>
        </w:rPr>
        <w:fldChar w:fldCharType="end"/>
      </w:r>
      <w:r>
        <w:rPr>
          <w:rStyle w:val="indexentry"/>
        </w:rPr>
        <w:t>&lt;cx "decimal point, in bases other than 10"&gt;</w:t>
      </w:r>
      <w:r>
        <w:rPr>
          <w:rStyle w:val="indexentry"/>
        </w:rPr>
        <w:fldChar w:fldCharType="begin"/>
      </w:r>
      <w:r>
        <w:instrText>xe "</w:instrText>
      </w:r>
      <w:r>
        <w:rPr>
          <w:rStyle w:val="xeentry"/>
        </w:rPr>
        <w:instrText>decimal point: in bases other than 10</w:instrText>
      </w:r>
      <w:r>
        <w:instrText>"</w:instrText>
      </w:r>
      <w:r>
        <w:rPr>
          <w:rStyle w:val="indexentry"/>
        </w:rPr>
        <w:fldChar w:fldCharType="end"/>
      </w:r>
      <w:r>
        <w:t>The base point “pi” is used in non-decimal bases just as in base 10:</w:t>
      </w:r>
    </w:p>
    <w:p w:rsidR="00B72047" w:rsidRDefault="00B72047">
      <w:pPr>
        <w:rPr>
          <w:rStyle w:val="htmlparacode"/>
        </w:rPr>
      </w:pPr>
      <w:r>
        <w:rPr>
          <w:rStyle w:val="htmlparacode"/>
        </w:rPr>
        <w:t>&lt;p&gt;</w:t>
      </w:r>
    </w:p>
    <w:p w:rsidR="00B72047" w:rsidRDefault="00B72047">
      <w:pPr>
        <w:pStyle w:val="examplescaledpre"/>
      </w:pPr>
      <w:r>
        <w:rPr>
          <w:rStyle w:val="indexentry"/>
        </w:rPr>
        <w:t>&lt;ex "F.8 base 16"&gt;</w:t>
      </w:r>
      <w:r>
        <w:rPr>
          <w:rStyle w:val="indexentry"/>
        </w:rPr>
        <w:fldChar w:fldCharType="begin"/>
      </w:r>
      <w:r>
        <w:instrText>xe "</w:instrText>
      </w:r>
      <w:r>
        <w:rPr>
          <w:rStyle w:val="xeentry"/>
        </w:rPr>
        <w:instrText>F.8 base 16: example</w:instrText>
      </w:r>
      <w:r>
        <w:instrText>"</w:instrText>
      </w:r>
      <w:r>
        <w:rPr>
          <w:rStyle w:val="indexentry"/>
        </w:rPr>
        <w:fldChar w:fldCharType="end"/>
      </w:r>
      <w:r>
        <w:rPr>
          <w:rStyle w:val="htmlcodes"/>
        </w:rPr>
        <w:t>&lt;pre&gt;&lt;a name=e10d4&gt;</w:t>
      </w:r>
      <w:r>
        <w:t>10.4)</w:t>
      </w:r>
      <w:r>
        <w:tab/>
        <w:t>li vai pi bi ju'u paxa du li pamu pi mu</w:t>
      </w:r>
    </w:p>
    <w:p w:rsidR="00B72047" w:rsidRDefault="00B72047">
      <w:pPr>
        <w:pStyle w:val="examplescaled"/>
      </w:pPr>
      <w:r>
        <w:tab/>
        <w:t>The-number F.8 base 16 equals the-number 15.5.</w:t>
      </w:r>
    </w:p>
    <w:p w:rsidR="00B72047" w:rsidRDefault="00B72047">
      <w:pPr>
        <w:pStyle w:val="resumedafterexample"/>
      </w:pPr>
      <w:r>
        <w:rPr>
          <w:rStyle w:val="htmlcodes"/>
        </w:rPr>
        <w:t>&lt;/pre&gt;</w:t>
      </w:r>
      <w:r>
        <w:rPr>
          <w:rStyle w:val="indexentry"/>
        </w:rPr>
        <w:t>&lt;cx "ju'u, grammar of"&gt;</w:t>
      </w:r>
      <w:r>
        <w:rPr>
          <w:rStyle w:val="indexentry"/>
        </w:rPr>
        <w:fldChar w:fldCharType="begin"/>
      </w:r>
      <w:r>
        <w:instrText>xe "</w:instrText>
      </w:r>
      <w:r>
        <w:rPr>
          <w:rStyle w:val="xeentry"/>
        </w:rPr>
        <w:instrText>ju'u: grammar of</w:instrText>
      </w:r>
      <w:r>
        <w:instrText>"</w:instrText>
      </w:r>
      <w:r>
        <w:rPr>
          <w:rStyle w:val="indexentry"/>
        </w:rPr>
        <w:fldChar w:fldCharType="end"/>
      </w:r>
      <w:r>
        <w:rPr>
          <w:rStyle w:val="indexentry"/>
        </w:rPr>
        <w:t>&lt;lx "VUhU"&gt;</w:t>
      </w:r>
      <w:r>
        <w:rPr>
          <w:rStyle w:val="indexentry"/>
        </w:rPr>
        <w:fldChar w:fldCharType="begin"/>
      </w:r>
      <w:r>
        <w:instrText>xe "</w:instrText>
      </w:r>
      <w:r>
        <w:rPr>
          <w:rStyle w:val="xeentry"/>
        </w:rPr>
        <w:instrText>VUhU selma’o</w:instrText>
      </w:r>
      <w:r>
        <w:instrText>"</w:instrText>
      </w:r>
      <w:r>
        <w:rPr>
          <w:rStyle w:val="indexentry"/>
        </w:rPr>
        <w:fldChar w:fldCharType="end"/>
      </w:r>
      <w:r>
        <w:rPr>
          <w:rStyle w:val="indexentry"/>
        </w:rPr>
        <w:t>&lt;cx "base, non-constant"&gt;</w:t>
      </w:r>
      <w:r>
        <w:rPr>
          <w:rStyle w:val="indexentry"/>
        </w:rPr>
        <w:fldChar w:fldCharType="begin"/>
      </w:r>
      <w:r>
        <w:instrText>xe "</w:instrText>
      </w:r>
      <w:r>
        <w:rPr>
          <w:rStyle w:val="xeentry"/>
        </w:rPr>
        <w:instrText>base: non-constant</w:instrText>
      </w:r>
      <w:r>
        <w:instrText>"</w:instrText>
      </w:r>
      <w:r>
        <w:rPr>
          <w:rStyle w:val="indexentry"/>
        </w:rPr>
        <w:fldChar w:fldCharType="end"/>
      </w:r>
      <w:r>
        <w:t>Since “ju'u” is an operator of selma'o VUhU, it is grammatical to use</w:t>
      </w:r>
      <w:r>
        <w:rPr>
          <w:rStyle w:val="deletedparamark"/>
        </w:rPr>
        <w:t xml:space="preserve"> </w:t>
      </w:r>
      <w:r>
        <w:t>any operand as the left argument. Semantically, however, it is undefined</w:t>
      </w:r>
      <w:r>
        <w:rPr>
          <w:rStyle w:val="deletedparamark"/>
        </w:rPr>
        <w:t xml:space="preserve"> </w:t>
      </w:r>
      <w:r>
        <w:t>to use anything but a numeral string on the left. The reason for making “ju'u”</w:t>
      </w:r>
      <w:r>
        <w:rPr>
          <w:rStyle w:val="deletedparamark"/>
        </w:rPr>
        <w:t xml:space="preserve"> </w:t>
      </w:r>
      <w:r>
        <w:t>an operator is to allow reference to a base which is not a constant.</w:t>
      </w:r>
    </w:p>
    <w:p w:rsidR="00B72047" w:rsidRDefault="00B72047">
      <w:pPr>
        <w:rPr>
          <w:rStyle w:val="htmlparacode"/>
        </w:rPr>
      </w:pPr>
      <w:r>
        <w:rPr>
          <w:rStyle w:val="htmlparacode"/>
        </w:rPr>
        <w:t>&lt;p&gt;</w:t>
      </w:r>
    </w:p>
    <w:p w:rsidR="00B72047" w:rsidRDefault="00B72047">
      <w:pPr>
        <w:pStyle w:val="normalparagraph"/>
      </w:pPr>
      <w:r>
        <w:rPr>
          <w:rStyle w:val="indexentry"/>
        </w:rPr>
        <w:t>&lt;ex "hours:minutes:seconds"&gt;</w:t>
      </w:r>
      <w:r>
        <w:rPr>
          <w:rStyle w:val="indexentry"/>
        </w:rPr>
        <w:fldChar w:fldCharType="begin"/>
      </w:r>
      <w:r>
        <w:instrText>xe "</w:instrText>
      </w:r>
      <w:r>
        <w:rPr>
          <w:rStyle w:val="xeentry"/>
        </w:rPr>
        <w:instrText>hours\:minutes\:seconds: example</w:instrText>
      </w:r>
      <w:r>
        <w:instrText>"</w:instrText>
      </w:r>
      <w:r>
        <w:rPr>
          <w:rStyle w:val="indexentry"/>
        </w:rPr>
        <w:fldChar w:fldCharType="end"/>
      </w:r>
      <w:r>
        <w:rPr>
          <w:rStyle w:val="indexentry"/>
        </w:rPr>
        <w:t>&lt;cx "base varying for each digit, separator for"&gt;</w:t>
      </w:r>
      <w:r>
        <w:rPr>
          <w:rStyle w:val="indexentry"/>
        </w:rPr>
        <w:fldChar w:fldCharType="begin"/>
      </w:r>
      <w:r>
        <w:instrText>xe "</w:instrText>
      </w:r>
      <w:r>
        <w:rPr>
          <w:rStyle w:val="xeentry"/>
        </w:rPr>
        <w:instrText>base varying for each digit: separator for</w:instrText>
      </w:r>
      <w:r>
        <w:instrText>"</w:instrText>
      </w:r>
      <w:r>
        <w:rPr>
          <w:rStyle w:val="indexentry"/>
        </w:rPr>
        <w:fldChar w:fldCharType="end"/>
      </w:r>
      <w:r>
        <w:rPr>
          <w:rStyle w:val="indexentry"/>
        </w:rPr>
        <w:t>&lt;lx "pi'e"&gt;</w:t>
      </w:r>
      <w:r>
        <w:rPr>
          <w:rStyle w:val="indexentry"/>
        </w:rPr>
        <w:fldChar w:fldCharType="begin"/>
      </w:r>
      <w:r>
        <w:instrText>xe "</w:instrText>
      </w:r>
      <w:r>
        <w:rPr>
          <w:rStyle w:val="xeentry"/>
        </w:rPr>
        <w:instrText>pi'e</w:instrText>
      </w:r>
      <w:r>
        <w:instrText>"</w:instrText>
      </w:r>
      <w:r>
        <w:rPr>
          <w:rStyle w:val="indexentry"/>
        </w:rPr>
        <w:fldChar w:fldCharType="end"/>
      </w:r>
      <w:r>
        <w:rPr>
          <w:rStyle w:val="indexentry"/>
        </w:rPr>
        <w:t>&lt;cx "compound base, separator for"&gt;</w:t>
      </w:r>
      <w:r>
        <w:rPr>
          <w:rStyle w:val="indexentry"/>
        </w:rPr>
        <w:fldChar w:fldCharType="begin"/>
      </w:r>
      <w:r>
        <w:instrText>xe "</w:instrText>
      </w:r>
      <w:r>
        <w:rPr>
          <w:rStyle w:val="xeentry"/>
        </w:rPr>
        <w:instrText>compound base: separator for</w:instrText>
      </w:r>
      <w:r>
        <w:instrText>"</w:instrText>
      </w:r>
      <w:r>
        <w:rPr>
          <w:rStyle w:val="indexentry"/>
        </w:rPr>
        <w:fldChar w:fldCharType="end"/>
      </w:r>
      <w:r>
        <w:rPr>
          <w:rStyle w:val="indexentry"/>
        </w:rPr>
        <w:t>&lt;cx "compound base, definition"&gt;</w:t>
      </w:r>
      <w:r>
        <w:rPr>
          <w:rStyle w:val="indexentry"/>
        </w:rPr>
        <w:fldChar w:fldCharType="begin"/>
      </w:r>
      <w:r>
        <w:instrText>xe "</w:instrText>
      </w:r>
      <w:r>
        <w:rPr>
          <w:rStyle w:val="xeentry"/>
        </w:rPr>
        <w:instrText>compound base: definition</w:instrText>
      </w:r>
      <w:r>
        <w:instrText>"</w:instrText>
      </w:r>
      <w:r>
        <w:rPr>
          <w:rStyle w:val="indexentry"/>
        </w:rPr>
        <w:fldChar w:fldCharType="end"/>
      </w:r>
      <w:r>
        <w:t>There are some numerical values that require a “base” that varies from</w:t>
      </w:r>
      <w:r>
        <w:rPr>
          <w:rStyle w:val="deletedparamark"/>
        </w:rPr>
        <w:t xml:space="preserve"> </w:t>
      </w:r>
      <w:r>
        <w:t>digit to digit. For example, times represented in hours, minutes, and</w:t>
      </w:r>
      <w:r>
        <w:rPr>
          <w:rStyle w:val="deletedparamark"/>
        </w:rPr>
        <w:t xml:space="preserve"> </w:t>
      </w:r>
      <w:r>
        <w:t>seconds have, in effect, three “digits”: the first is base 24, the second</w:t>
      </w:r>
      <w:r>
        <w:rPr>
          <w:rStyle w:val="deletedparamark"/>
        </w:rPr>
        <w:t xml:space="preserve"> </w:t>
      </w:r>
      <w:r>
        <w:t>and third are base 60. To express such numbers, the compound base</w:t>
      </w:r>
      <w:r>
        <w:rPr>
          <w:rStyle w:val="deletedparamark"/>
        </w:rPr>
        <w:t xml:space="preserve"> </w:t>
      </w:r>
      <w:r>
        <w:t>separator “pi'e” is used: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ci pi'e rere pi'e vono</w:t>
      </w:r>
    </w:p>
    <w:p w:rsidR="00B72047" w:rsidRDefault="00B72047">
      <w:pPr>
        <w:pStyle w:val="examplescaled"/>
      </w:pPr>
      <w:r>
        <w:tab/>
      </w:r>
      <w:r>
        <w:rPr>
          <w:rStyle w:val="math"/>
        </w:rPr>
        <w:t>3:22:40</w:t>
      </w:r>
    </w:p>
    <w:p w:rsidR="00B72047" w:rsidRDefault="00B72047">
      <w:pPr>
        <w:pStyle w:val="resumedafterexample"/>
      </w:pPr>
      <w:r>
        <w:rPr>
          <w:rStyle w:val="htmlcodes"/>
        </w:rPr>
        <w:t>&lt;/pre&gt;</w:t>
      </w:r>
      <w:r>
        <w:rPr>
          <w:rStyle w:val="indexentry"/>
        </w:rPr>
        <w:t>&lt;cx "compound base, expressing digits in"&gt;</w:t>
      </w:r>
      <w:r>
        <w:rPr>
          <w:rStyle w:val="indexentry"/>
        </w:rPr>
        <w:fldChar w:fldCharType="begin"/>
      </w:r>
      <w:r>
        <w:instrText>xe "</w:instrText>
      </w:r>
      <w:r>
        <w:rPr>
          <w:rStyle w:val="xeentry"/>
        </w:rPr>
        <w:instrText>compound base: expressing digits in</w:instrText>
      </w:r>
      <w:r>
        <w:instrText>"</w:instrText>
      </w:r>
      <w:r>
        <w:rPr>
          <w:rStyle w:val="indexentry"/>
        </w:rPr>
        <w:fldChar w:fldCharType="end"/>
      </w:r>
      <w:r>
        <w:t>Each digit sequence separated by instances of “pi'e” is expressed in decimal</w:t>
      </w:r>
      <w:r>
        <w:rPr>
          <w:rStyle w:val="deletedparamark"/>
        </w:rPr>
        <w:t xml:space="preserve"> </w:t>
      </w:r>
      <w:r>
        <w:t>notation, but the number as a whole is not decimal and can only be added and</w:t>
      </w:r>
      <w:r>
        <w:rPr>
          <w:rStyle w:val="deletedparamark"/>
        </w:rPr>
        <w:t xml:space="preserve"> </w:t>
      </w:r>
      <w:r>
        <w:t>subtracted by spe</w:t>
      </w:r>
      <w:r>
        <w:softHyphen/>
        <w:t>cial rules: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 xml:space="preserve">li ci pi'e rere pi'e vono su'i pi'e ci pi'e cici </w:t>
      </w:r>
      <w:r>
        <w:tab/>
        <w:t>du li ci pi'e rexa pi'e paci</w:t>
      </w:r>
    </w:p>
    <w:p w:rsidR="00B72047" w:rsidRDefault="00B72047">
      <w:pPr>
        <w:pStyle w:val="examplescaled"/>
      </w:pPr>
      <w:r>
        <w:tab/>
        <w:t>The-number 3:22:40 plus :3:33 equals the-number 3:26:13.</w:t>
      </w:r>
    </w:p>
    <w:p w:rsidR="00B72047" w:rsidRDefault="00B72047">
      <w:pPr>
        <w:pStyle w:val="examplescaled"/>
        <w:rPr>
          <w:rStyle w:val="math"/>
        </w:rPr>
      </w:pPr>
      <w:r>
        <w:rPr>
          <w:rStyle w:val="math"/>
        </w:rPr>
        <w:tab/>
      </w:r>
      <w:r>
        <w:rPr>
          <w:rStyle w:val="htmlcodes"/>
        </w:rPr>
        <w:t>&lt;math&gt;</w:t>
      </w:r>
      <w:r>
        <w:rPr>
          <w:rStyle w:val="math"/>
        </w:rPr>
        <w:t>3:22:40 + 0:3:33 = 3:26:13</w:t>
      </w:r>
      <w:r>
        <w:rPr>
          <w:rStyle w:val="htmlcodes"/>
        </w:rPr>
        <w:t>&lt;/math&gt;</w:t>
      </w:r>
    </w:p>
    <w:p w:rsidR="00B72047" w:rsidRDefault="00B72047">
      <w:pPr>
        <w:pStyle w:val="resumedafterexample"/>
      </w:pPr>
      <w:r>
        <w:rPr>
          <w:rStyle w:val="htmlcodes"/>
        </w:rPr>
        <w:t>&lt;/pre&gt;&lt;p&gt;</w:t>
      </w:r>
      <w:r>
        <w:t>Of course, only context tells you that the first part of the numbers in</w:t>
      </w:r>
      <w:r>
        <w:rPr>
          <w:rStyle w:val="deletedparamark"/>
        </w:rPr>
        <w:t xml:space="preserve"> </w:t>
      </w:r>
      <w:r>
        <w:rPr>
          <w:rStyle w:val="htmlcodes"/>
        </w:rPr>
        <w:t>&lt;a href=#e10d5&gt;</w:t>
      </w:r>
      <w:r>
        <w:t xml:space="preserve">Example 10.5 </w:t>
      </w:r>
      <w:r>
        <w:rPr>
          <w:rStyle w:val="htmlcodes"/>
        </w:rPr>
        <w:t>&lt;/a&gt;</w:t>
      </w:r>
      <w:r>
        <w:t xml:space="preserve">and </w:t>
      </w:r>
      <w:r>
        <w:rPr>
          <w:rStyle w:val="htmlcodes"/>
        </w:rPr>
        <w:t>&lt;a href=#e10d6&gt;</w:t>
      </w:r>
      <w:r>
        <w:t xml:space="preserve">Example 10.6 </w:t>
      </w:r>
      <w:r>
        <w:rPr>
          <w:rStyle w:val="htmlcodes"/>
        </w:rPr>
        <w:t>&lt;/a&gt;</w:t>
      </w:r>
      <w:r>
        <w:t>is hours, the second minutes, and the third</w:t>
      </w:r>
      <w:r>
        <w:rPr>
          <w:rStyle w:val="deletedparamark"/>
        </w:rPr>
        <w:t xml:space="preserve"> </w:t>
      </w:r>
      <w:r>
        <w:t>seconds.</w:t>
      </w:r>
    </w:p>
    <w:p w:rsidR="00B72047" w:rsidRDefault="00B72047">
      <w:pPr>
        <w:rPr>
          <w:rStyle w:val="htmlparacode"/>
        </w:rPr>
      </w:pPr>
      <w:r>
        <w:rPr>
          <w:rStyle w:val="htmlparacode"/>
        </w:rPr>
        <w:t>&lt;p&gt;</w:t>
      </w:r>
    </w:p>
    <w:p w:rsidR="00B72047" w:rsidRDefault="00B72047">
      <w:pPr>
        <w:pStyle w:val="normalparagraph"/>
      </w:pPr>
      <w:r>
        <w:rPr>
          <w:rStyle w:val="indexentry"/>
        </w:rPr>
        <w:t>&lt;cx "Mayan mathematics, as a system with base larger than 16"&gt;</w:t>
      </w:r>
      <w:r>
        <w:rPr>
          <w:rStyle w:val="indexentry"/>
        </w:rPr>
        <w:fldChar w:fldCharType="begin"/>
      </w:r>
      <w:r>
        <w:instrText>xe "</w:instrText>
      </w:r>
      <w:r>
        <w:rPr>
          <w:rStyle w:val="xeentry"/>
        </w:rPr>
        <w:instrText>Mayan mathematics: as a system with base larger than 16</w:instrText>
      </w:r>
      <w:r>
        <w:instrText>"</w:instrText>
      </w:r>
      <w:r>
        <w:rPr>
          <w:rStyle w:val="indexentry"/>
        </w:rPr>
        <w:fldChar w:fldCharType="end"/>
      </w:r>
      <w:r>
        <w:rPr>
          <w:rStyle w:val="indexentry"/>
        </w:rPr>
        <w:t>&lt;cx "base greater than 16, expressing numbers in"&gt;</w:t>
      </w:r>
      <w:r>
        <w:rPr>
          <w:rStyle w:val="indexentry"/>
        </w:rPr>
        <w:fldChar w:fldCharType="begin"/>
      </w:r>
      <w:r>
        <w:instrText>xe "</w:instrText>
      </w:r>
      <w:r>
        <w:rPr>
          <w:rStyle w:val="xeentry"/>
        </w:rPr>
        <w:instrText>base greater than 16: expressing numbers in</w:instrText>
      </w:r>
      <w:r>
        <w:instrText>"</w:instrText>
      </w:r>
      <w:r>
        <w:rPr>
          <w:rStyle w:val="indexentry"/>
        </w:rPr>
        <w:fldChar w:fldCharType="end"/>
      </w:r>
      <w:r>
        <w:t>The same mechanism using “pi'e” can be used to express numbers which have</w:t>
      </w:r>
      <w:r>
        <w:rPr>
          <w:rStyle w:val="deletedparamark"/>
        </w:rPr>
        <w:t xml:space="preserve"> </w:t>
      </w:r>
      <w:r>
        <w:t>a base larger than 16. For example, base-20 Mayan mathematics might use</w:t>
      </w:r>
      <w:r>
        <w:rPr>
          <w:rStyle w:val="deletedparamark"/>
        </w:rPr>
        <w:t xml:space="preserve"> </w:t>
      </w:r>
      <w:r>
        <w:t>digits from “no” to “paso”, each separated by “pi'e”: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name=e10d7&gt;</w:t>
      </w:r>
      <w:r>
        <w:t>10.7)</w:t>
      </w:r>
      <w:r>
        <w:tab/>
        <w:t>li pa pi'e re pi'e ci ju'u reno du li vovoci</w:t>
      </w:r>
    </w:p>
    <w:p w:rsidR="00B72047" w:rsidRDefault="00B72047">
      <w:pPr>
        <w:pStyle w:val="examplescaled"/>
      </w:pPr>
      <w:r>
        <w:tab/>
        <w:t>The-number 1;2;3 base 20 equals the-number 443.</w:t>
      </w:r>
    </w:p>
    <w:p w:rsidR="00B72047" w:rsidRDefault="00B72047">
      <w:pPr>
        <w:pStyle w:val="normalafterexample"/>
      </w:pPr>
      <w:r>
        <w:rPr>
          <w:rStyle w:val="htmlcodes"/>
        </w:rPr>
        <w:t>&lt;/pre&gt;</w:t>
      </w:r>
      <w:r>
        <w:rPr>
          <w:rStyle w:val="indexentry"/>
        </w:rPr>
        <w:t>&lt;cx "base greater than 16, compound single-digits contrasted with two digits"&gt;</w:t>
      </w:r>
      <w:r>
        <w:rPr>
          <w:rStyle w:val="indexentry"/>
        </w:rPr>
        <w:fldChar w:fldCharType="begin"/>
      </w:r>
      <w:r>
        <w:instrText>xe "</w:instrText>
      </w:r>
      <w:r>
        <w:rPr>
          <w:rStyle w:val="xeentry"/>
        </w:rPr>
        <w:instrText>base greater than 16: compound single-digits contrasted with two digits</w:instrText>
      </w:r>
      <w:r>
        <w:instrText>"</w:instrText>
      </w:r>
      <w:r>
        <w:rPr>
          <w:rStyle w:val="indexentry"/>
        </w:rPr>
        <w:fldChar w:fldCharType="end"/>
      </w:r>
      <w:r>
        <w:rPr>
          <w:rStyle w:val="indexentry"/>
        </w:rPr>
        <w:t>&lt;cx "base greater than 16, two digits contrasted with compound single-digits"&gt;</w:t>
      </w:r>
      <w:r>
        <w:rPr>
          <w:rStyle w:val="indexentry"/>
        </w:rPr>
        <w:fldChar w:fldCharType="begin"/>
      </w:r>
      <w:r>
        <w:instrText>xe "</w:instrText>
      </w:r>
      <w:r>
        <w:rPr>
          <w:rStyle w:val="xeentry"/>
        </w:rPr>
        <w:instrText>base greater than 16: two digits contrasted with compound single-digits</w:instrText>
      </w:r>
      <w:r>
        <w:instrText>"</w:instrText>
      </w:r>
      <w:r>
        <w:rPr>
          <w:rStyle w:val="indexentry"/>
        </w:rPr>
        <w:fldChar w:fldCharType="end"/>
      </w:r>
      <w:r>
        <w:t>Carefully note the difference between: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name=e10d8&gt;</w:t>
      </w:r>
      <w:r>
        <w:t>10.8)</w:t>
      </w:r>
      <w:r>
        <w:tab/>
        <w:t>pano ju'u reno</w:t>
      </w:r>
    </w:p>
    <w:p w:rsidR="00B72047" w:rsidRDefault="00B72047">
      <w:pPr>
        <w:pStyle w:val="examplescaled"/>
      </w:pPr>
      <w:r>
        <w:tab/>
        <w:t>the-digit-10 base 20</w:t>
      </w:r>
    </w:p>
    <w:p w:rsidR="00B72047" w:rsidRDefault="00B72047">
      <w:pPr>
        <w:pStyle w:val="resumedafterexample"/>
      </w:pPr>
      <w:r>
        <w:rPr>
          <w:rStyle w:val="htmlcodes"/>
        </w:rPr>
        <w:t>&lt;/pre&gt;</w:t>
      </w:r>
      <w:r>
        <w:t>which is equal to ten, 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pa pi'e no ju'u reno</w:t>
      </w:r>
    </w:p>
    <w:p w:rsidR="00B72047" w:rsidRDefault="00B72047">
      <w:pPr>
        <w:pStyle w:val="examplescaled"/>
      </w:pPr>
      <w:r>
        <w:tab/>
        <w:t>1;0 base 20</w:t>
      </w:r>
    </w:p>
    <w:p w:rsidR="00B72047" w:rsidRDefault="00B72047">
      <w:pPr>
        <w:pStyle w:val="resumedafterexample"/>
      </w:pPr>
      <w:r>
        <w:rPr>
          <w:rStyle w:val="htmlcodes"/>
        </w:rPr>
        <w:t>&lt;/pre&gt;</w:t>
      </w:r>
      <w:r>
        <w:t>which is equal to twenty.</w:t>
      </w:r>
    </w:p>
    <w:p w:rsidR="00B72047" w:rsidRDefault="00B72047">
      <w:pPr>
        <w:rPr>
          <w:rStyle w:val="htmlparacode"/>
        </w:rPr>
      </w:pPr>
      <w:r>
        <w:rPr>
          <w:rStyle w:val="htmlparacode"/>
        </w:rPr>
        <w:t>&lt;p&gt;</w:t>
      </w:r>
    </w:p>
    <w:p w:rsidR="00B72047" w:rsidRDefault="00B72047">
      <w:pPr>
        <w:pStyle w:val="normalparagraph"/>
      </w:pPr>
      <w:r>
        <w:rPr>
          <w:rStyle w:val="indexentry"/>
        </w:rPr>
        <w:t>&lt;cx "large-base decimal fraction, expressing"&gt;</w:t>
      </w:r>
      <w:r>
        <w:rPr>
          <w:rStyle w:val="indexentry"/>
        </w:rPr>
        <w:fldChar w:fldCharType="begin"/>
      </w:r>
      <w:r>
        <w:instrText>xe "</w:instrText>
      </w:r>
      <w:r>
        <w:rPr>
          <w:rStyle w:val="xeentry"/>
        </w:rPr>
        <w:instrText>large-base decimal fraction: expressing</w:instrText>
      </w:r>
      <w:r>
        <w:instrText>"</w:instrText>
      </w:r>
      <w:r>
        <w:rPr>
          <w:rStyle w:val="indexentry"/>
        </w:rPr>
        <w:fldChar w:fldCharType="end"/>
      </w:r>
      <w:r>
        <w:t>Both “pi” and “pi'e” can be used to express large-base fractions: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li pa pi'e vo pi ze ju'u reno du li re vo pi ci mu</w:t>
      </w:r>
    </w:p>
    <w:p w:rsidR="00B72047" w:rsidRDefault="00B72047">
      <w:pPr>
        <w:pStyle w:val="examplescaled"/>
      </w:pPr>
      <w:r>
        <w:tab/>
        <w:t>The-number 1;4.7 base 20 equals the-number 24.35.</w:t>
      </w:r>
    </w:p>
    <w:p w:rsidR="00B72047" w:rsidRDefault="00B72047">
      <w:pPr>
        <w:pStyle w:val="resumedafterexample"/>
      </w:pPr>
      <w:r>
        <w:t>“</w:t>
      </w:r>
      <w:r>
        <w:rPr>
          <w:rStyle w:val="htmlcodes"/>
        </w:rPr>
        <w:t>&lt;/pre&gt;</w:t>
      </w:r>
      <w:r>
        <w:rPr>
          <w:rStyle w:val="indexentry"/>
        </w:rPr>
        <w:t>&lt;cx "base, vague"&gt;</w:t>
      </w:r>
      <w:r>
        <w:rPr>
          <w:rStyle w:val="indexentry"/>
        </w:rPr>
        <w:fldChar w:fldCharType="begin"/>
      </w:r>
      <w:r>
        <w:instrText>xe "</w:instrText>
      </w:r>
      <w:r>
        <w:rPr>
          <w:rStyle w:val="xeentry"/>
        </w:rPr>
        <w:instrText>base: vague</w:instrText>
      </w:r>
      <w:r>
        <w:instrText>"</w:instrText>
      </w:r>
      <w:r>
        <w:rPr>
          <w:rStyle w:val="indexentry"/>
        </w:rPr>
        <w:fldChar w:fldCharType="end"/>
      </w:r>
      <w:r>
        <w:rPr>
          <w:rStyle w:val="indexentry"/>
        </w:rPr>
        <w:t>“</w:t>
      </w:r>
      <w:r>
        <w:t>pi'e” is also used where the base of each digit is vague, as in the</w:t>
      </w:r>
      <w:r>
        <w:rPr>
          <w:rStyle w:val="deletedparamark"/>
        </w:rPr>
        <w:t xml:space="preserve"> </w:t>
      </w:r>
      <w:r>
        <w:t>numbering of the ex</w:t>
      </w:r>
      <w:r>
        <w:softHyphen/>
        <w:t>amples in this chapter:</w:t>
      </w:r>
    </w:p>
    <w:p w:rsidR="00B72047" w:rsidRDefault="00B72047">
      <w:pPr>
        <w:rPr>
          <w:rStyle w:val="htmlparacode"/>
        </w:rPr>
      </w:pPr>
      <w:r>
        <w:rPr>
          <w:rStyle w:val="htmlparacode"/>
        </w:rPr>
        <w:t>&lt;p&gt;</w:t>
      </w:r>
    </w:p>
    <w:p w:rsidR="00B72047" w:rsidRDefault="00B72047">
      <w:pPr>
        <w:pStyle w:val="examplescaledpre"/>
      </w:pPr>
      <w:r>
        <w:rPr>
          <w:rStyle w:val="indexentry"/>
        </w:rPr>
        <w:t>&lt;ex "sentence 10.11"&gt;</w:t>
      </w:r>
      <w:r>
        <w:rPr>
          <w:rStyle w:val="indexentry"/>
        </w:rPr>
        <w:fldChar w:fldCharType="begin"/>
      </w:r>
      <w:r>
        <w:instrText>xe "</w:instrText>
      </w:r>
      <w:r>
        <w:rPr>
          <w:rStyle w:val="xeentry"/>
        </w:rPr>
        <w:instrText>sentence 10.11: example</w:instrText>
      </w:r>
      <w:r>
        <w:instrText>"</w:instrText>
      </w:r>
      <w:r>
        <w:rPr>
          <w:rStyle w:val="indexentry"/>
        </w:rPr>
        <w:fldChar w:fldCharType="end"/>
      </w:r>
      <w:r>
        <w:rPr>
          <w:rStyle w:val="htmlcodes"/>
        </w:rPr>
        <w:t>&lt;pre&gt;&lt;a name=e10d11&gt;</w:t>
      </w:r>
      <w:r>
        <w:t>10.11)</w:t>
      </w:r>
      <w:r>
        <w:tab/>
        <w:t>dei jufra panopi'epapamoi</w:t>
      </w:r>
    </w:p>
    <w:p w:rsidR="00B72047" w:rsidRDefault="00B72047">
      <w:pPr>
        <w:pStyle w:val="examplescaled"/>
      </w:pPr>
      <w:r>
        <w:tab/>
        <w:t>This-utterance is-a-sentence-type-of 10;11th-thing.</w:t>
      </w:r>
    </w:p>
    <w:p w:rsidR="00B72047" w:rsidRDefault="00B72047">
      <w:pPr>
        <w:pStyle w:val="examplescaled"/>
      </w:pPr>
      <w:r>
        <w:tab/>
        <w:t>This is Sentence 10.11.</w:t>
      </w:r>
    </w:p>
    <w:p w:rsidR="00B72047" w:rsidRDefault="00B72047">
      <w:pPr>
        <w:pStyle w:val="Heading3"/>
        <w:spacing w:before="0"/>
        <w:rPr>
          <w:rStyle w:val="Heading3Text"/>
        </w:rPr>
      </w:pPr>
      <w:r>
        <w:rPr>
          <w:rStyle w:val="htmlcodes"/>
          <w:vanish w:val="0"/>
        </w:rPr>
        <w:br w:type="page"/>
      </w:r>
      <w:r>
        <w:rPr>
          <w:rStyle w:val="htmlcodes"/>
        </w:rPr>
        <w:t>&lt;/pre&gt;&lt;a name=s11&gt;&lt;h3&gt;</w:t>
      </w:r>
      <w:bookmarkStart w:id="506" w:name="_Toc398970743"/>
      <w:r>
        <w:rPr>
          <w:rStyle w:val="Heading3Text"/>
        </w:rPr>
        <w:t>Special mekso selbri</w:t>
      </w:r>
      <w:bookmarkEnd w:id="506"/>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mei</w:t>
      </w:r>
      <w:r>
        <w:tab/>
        <w:t>MOI</w:t>
      </w:r>
      <w:r>
        <w:tab/>
        <w:t>cardinal selbri</w:t>
      </w:r>
    </w:p>
    <w:p w:rsidR="00B72047" w:rsidRDefault="00B72047">
      <w:pPr>
        <w:pStyle w:val="examplescaled"/>
      </w:pPr>
      <w:r>
        <w:tab/>
        <w:t>moi</w:t>
      </w:r>
      <w:r>
        <w:tab/>
        <w:t>MOI</w:t>
      </w:r>
      <w:r>
        <w:tab/>
        <w:t>ordinal selbri</w:t>
      </w:r>
    </w:p>
    <w:p w:rsidR="00B72047" w:rsidRDefault="00B72047">
      <w:pPr>
        <w:pStyle w:val="examplescaled"/>
      </w:pPr>
      <w:r>
        <w:tab/>
        <w:t>si'e</w:t>
      </w:r>
      <w:r>
        <w:tab/>
        <w:t>MOI</w:t>
      </w:r>
      <w:r>
        <w:tab/>
        <w:t>portion selbri</w:t>
      </w:r>
    </w:p>
    <w:p w:rsidR="00B72047" w:rsidRDefault="00B72047">
      <w:pPr>
        <w:pStyle w:val="examplescaled"/>
      </w:pPr>
      <w:r>
        <w:tab/>
        <w:t>cu'o</w:t>
      </w:r>
      <w:r>
        <w:tab/>
        <w:t>MOI</w:t>
      </w:r>
      <w:r>
        <w:tab/>
        <w:t>probability selbri</w:t>
      </w:r>
    </w:p>
    <w:p w:rsidR="00B72047" w:rsidRDefault="00B72047">
      <w:pPr>
        <w:pStyle w:val="examplescaled"/>
      </w:pPr>
      <w:r>
        <w:tab/>
        <w:t>va'e</w:t>
      </w:r>
      <w:r>
        <w:tab/>
        <w:t>MOI</w:t>
      </w:r>
      <w:r>
        <w:tab/>
        <w:t>scale selbri</w:t>
      </w:r>
    </w:p>
    <w:p w:rsidR="00B72047" w:rsidRDefault="00B72047">
      <w:pPr>
        <w:pStyle w:val="examplescaledpre"/>
      </w:pPr>
      <w:r>
        <w:tab/>
        <w:t>me</w:t>
      </w:r>
      <w:r>
        <w:tab/>
        <w:t>ME</w:t>
      </w:r>
      <w:r>
        <w:tab/>
        <w:t>make sumti into selbri</w:t>
      </w:r>
    </w:p>
    <w:p w:rsidR="00B72047" w:rsidRDefault="00B72047">
      <w:pPr>
        <w:pStyle w:val="examplescaledpre"/>
      </w:pPr>
      <w:r>
        <w:tab/>
        <w:t>me'u</w:t>
      </w:r>
      <w:r>
        <w:tab/>
        <w:t>MEhU</w:t>
      </w:r>
      <w:r>
        <w:tab/>
        <w:t>terminator for ME</w:t>
      </w:r>
    </w:p>
    <w:p w:rsidR="00B72047" w:rsidRDefault="00B72047">
      <w:pPr>
        <w:pStyle w:val="normalafterexample"/>
      </w:pPr>
      <w:r>
        <w:rPr>
          <w:rStyle w:val="htmlcodes"/>
        </w:rPr>
        <w:t>&lt;/pre&gt;</w:t>
      </w:r>
      <w:r>
        <w:rPr>
          <w:rStyle w:val="indexentry"/>
        </w:rPr>
        <w:t>&lt;lx "MOI"&gt;</w:t>
      </w:r>
      <w:r>
        <w:rPr>
          <w:rStyle w:val="indexentry"/>
        </w:rPr>
        <w:fldChar w:fldCharType="begin"/>
      </w:r>
      <w:r>
        <w:instrText>xe "</w:instrText>
      </w:r>
      <w:r>
        <w:rPr>
          <w:rStyle w:val="xeentry"/>
        </w:rPr>
        <w:instrText>MOI selma’o</w:instrText>
      </w:r>
      <w:r>
        <w:instrText>"</w:instrText>
      </w:r>
      <w:r>
        <w:rPr>
          <w:rStyle w:val="indexentry"/>
        </w:rPr>
        <w:fldChar w:fldCharType="end"/>
      </w:r>
      <w:r>
        <w:rPr>
          <w:rStyle w:val="indexentry"/>
        </w:rPr>
        <w:t>&lt;cx "numerical selbri, special"&gt;</w:t>
      </w:r>
      <w:r>
        <w:rPr>
          <w:rStyle w:val="indexentry"/>
        </w:rPr>
        <w:fldChar w:fldCharType="begin"/>
      </w:r>
      <w:r>
        <w:instrText>xe "</w:instrText>
      </w:r>
      <w:r>
        <w:rPr>
          <w:rStyle w:val="xeentry"/>
        </w:rPr>
        <w:instrText>numerical selbri: special</w:instrText>
      </w:r>
      <w:r>
        <w:instrText>"</w:instrText>
      </w:r>
      <w:r>
        <w:rPr>
          <w:rStyle w:val="indexentry"/>
        </w:rPr>
        <w:fldChar w:fldCharType="end"/>
      </w:r>
      <w:r>
        <w:t>Lojban possesses a special category of selbri which are based on mekso.</w:t>
      </w:r>
      <w:r>
        <w:rPr>
          <w:rStyle w:val="deletedparamark"/>
        </w:rPr>
        <w:t xml:space="preserve"> </w:t>
      </w:r>
      <w:r>
        <w:t>The si</w:t>
      </w:r>
      <w:r>
        <w:t>m</w:t>
      </w:r>
      <w:r>
        <w:softHyphen/>
        <w:t>plest kind of such selbri are made by suffixing a member of selma'o</w:t>
      </w:r>
      <w:r>
        <w:rPr>
          <w:rStyle w:val="deletedparamark"/>
        </w:rPr>
        <w:t xml:space="preserve"> </w:t>
      </w:r>
      <w:r>
        <w:t>MOI to a num</w:t>
      </w:r>
      <w:r>
        <w:softHyphen/>
        <w:t>ber. There are five members of MOI, each of which</w:t>
      </w:r>
      <w:r>
        <w:rPr>
          <w:rStyle w:val="deletedparamark"/>
        </w:rPr>
        <w:t xml:space="preserve"> </w:t>
      </w:r>
      <w:r>
        <w:t>serves to create number-based sel</w:t>
      </w:r>
      <w:r>
        <w:softHyphen/>
        <w:t>bri with specific place structures.</w:t>
      </w:r>
    </w:p>
    <w:p w:rsidR="00B72047" w:rsidRDefault="00B72047">
      <w:pPr>
        <w:rPr>
          <w:rStyle w:val="htmlparacode"/>
        </w:rPr>
      </w:pPr>
      <w:r>
        <w:rPr>
          <w:rStyle w:val="htmlparacode"/>
        </w:rPr>
        <w:t>&lt;p&gt;</w:t>
      </w:r>
    </w:p>
    <w:p w:rsidR="00B72047" w:rsidRDefault="00B72047">
      <w:pPr>
        <w:pStyle w:val="normalparagraph"/>
      </w:pPr>
      <w:r>
        <w:rPr>
          <w:rStyle w:val="indexentry"/>
        </w:rPr>
        <w:t>&lt;lx "mei"&gt;</w:t>
      </w:r>
      <w:r>
        <w:rPr>
          <w:rStyle w:val="indexentry"/>
        </w:rPr>
        <w:fldChar w:fldCharType="begin"/>
      </w:r>
      <w:r>
        <w:instrText>xe "</w:instrText>
      </w:r>
      <w:r>
        <w:rPr>
          <w:rStyle w:val="xeentry"/>
        </w:rPr>
        <w:instrText>mei</w:instrText>
      </w:r>
      <w:r>
        <w:instrText>"</w:instrText>
      </w:r>
      <w:r>
        <w:rPr>
          <w:rStyle w:val="indexentry"/>
        </w:rPr>
        <w:fldChar w:fldCharType="end"/>
      </w:r>
      <w:r>
        <w:rPr>
          <w:rStyle w:val="indexentry"/>
        </w:rPr>
        <w:t>&lt;cx "cardinal selbri, place structure"&gt;</w:t>
      </w:r>
      <w:r>
        <w:rPr>
          <w:rStyle w:val="indexentry"/>
        </w:rPr>
        <w:fldChar w:fldCharType="begin"/>
      </w:r>
      <w:r>
        <w:instrText>xe "</w:instrText>
      </w:r>
      <w:r>
        <w:rPr>
          <w:rStyle w:val="xeentry"/>
        </w:rPr>
        <w:instrText>cardinal selbri: place structure</w:instrText>
      </w:r>
      <w:r>
        <w:instrText>"</w:instrText>
      </w:r>
      <w:r>
        <w:rPr>
          <w:rStyle w:val="indexentry"/>
        </w:rPr>
        <w:fldChar w:fldCharType="end"/>
      </w:r>
      <w:r>
        <w:rPr>
          <w:rStyle w:val="indexentry"/>
        </w:rPr>
        <w:t>&lt;cx "cardinal selbri, definition"&gt;</w:t>
      </w:r>
      <w:r>
        <w:rPr>
          <w:rStyle w:val="indexentry"/>
        </w:rPr>
        <w:fldChar w:fldCharType="begin"/>
      </w:r>
      <w:r>
        <w:instrText>xe "</w:instrText>
      </w:r>
      <w:r>
        <w:rPr>
          <w:rStyle w:val="xeentry"/>
        </w:rPr>
        <w:instrText>cardinal selbri: definition</w:instrText>
      </w:r>
      <w:r>
        <w:instrText>"</w:instrText>
      </w:r>
      <w:r>
        <w:rPr>
          <w:rStyle w:val="indexentry"/>
        </w:rPr>
        <w:fldChar w:fldCharType="end"/>
      </w:r>
      <w:r>
        <w:rPr>
          <w:rStyle w:val="indexentry"/>
        </w:rPr>
        <w:t>“</w:t>
      </w:r>
      <w:r>
        <w:t>The cmavo “mei” creates cardinal selbri. The basic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 xml:space="preserve">x1 is a mass formed from the set x2 of </w:t>
      </w:r>
      <w:r>
        <w:rPr>
          <w:rStyle w:val="htmlcodes"/>
        </w:rPr>
        <w:t>&lt;math&gt;</w:t>
      </w:r>
      <w:r>
        <w:rPr>
          <w:rStyle w:val="math"/>
        </w:rPr>
        <w:t>n</w:t>
      </w:r>
      <w:r>
        <w:rPr>
          <w:rStyle w:val="htmlcodes"/>
        </w:rPr>
        <w:t>&lt;/math&gt;</w:t>
      </w:r>
      <w:r>
        <w:rPr>
          <w:rStyle w:val="math"/>
        </w:rPr>
        <w:t xml:space="preserve"> </w:t>
      </w:r>
      <w:r>
        <w:t>members, one or more of which is/are x3</w:t>
      </w:r>
    </w:p>
    <w:p w:rsidR="00B72047" w:rsidRDefault="00B72047">
      <w:pPr>
        <w:pStyle w:val="resumedafterexample"/>
      </w:pPr>
      <w:r>
        <w:rPr>
          <w:rStyle w:val="htmlcodes"/>
        </w:rPr>
        <w:t>&lt;/dl&gt;</w:t>
      </w:r>
      <w:r>
        <w:rPr>
          <w:rStyle w:val="indexentry"/>
        </w:rPr>
        <w:t>&lt;cx "set, expressing relation with mass formed from set"&gt;</w:t>
      </w:r>
      <w:r>
        <w:rPr>
          <w:rStyle w:val="indexentry"/>
        </w:rPr>
        <w:fldChar w:fldCharType="begin"/>
      </w:r>
      <w:r>
        <w:instrText>xe "</w:instrText>
      </w:r>
      <w:r>
        <w:rPr>
          <w:rStyle w:val="xeentry"/>
        </w:rPr>
        <w:instrText>set: expressing relation with mass formed from set</w:instrText>
      </w:r>
      <w:r>
        <w:instrText>"</w:instrText>
      </w:r>
      <w:r>
        <w:rPr>
          <w:rStyle w:val="indexentry"/>
        </w:rPr>
        <w:fldChar w:fldCharType="end"/>
      </w:r>
      <w:r>
        <w:rPr>
          <w:rStyle w:val="indexentry"/>
        </w:rPr>
        <w:t>&lt;cx "set, expressing relation with individuals forming set"&gt;</w:t>
      </w:r>
      <w:r>
        <w:rPr>
          <w:rStyle w:val="indexentry"/>
        </w:rPr>
        <w:fldChar w:fldCharType="begin"/>
      </w:r>
      <w:r>
        <w:instrText>xe "</w:instrText>
      </w:r>
      <w:r>
        <w:rPr>
          <w:rStyle w:val="xeentry"/>
        </w:rPr>
        <w:instrText>set: expressing relation with individuals forming set</w:instrText>
      </w:r>
      <w:r>
        <w:instrText>"</w:instrText>
      </w:r>
      <w:r>
        <w:rPr>
          <w:rStyle w:val="indexentry"/>
        </w:rPr>
        <w:fldChar w:fldCharType="end"/>
      </w:r>
      <w:r>
        <w:rPr>
          <w:rStyle w:val="indexentry"/>
        </w:rPr>
        <w:t>&lt;cx "individuals, expressing relation with set formed"&gt;</w:t>
      </w:r>
      <w:r>
        <w:rPr>
          <w:rStyle w:val="indexentry"/>
        </w:rPr>
        <w:fldChar w:fldCharType="begin"/>
      </w:r>
      <w:r>
        <w:instrText>xe "</w:instrText>
      </w:r>
      <w:r>
        <w:rPr>
          <w:rStyle w:val="xeentry"/>
        </w:rPr>
        <w:instrText>individuals: expressing relation with set formed</w:instrText>
      </w:r>
      <w:r>
        <w:instrText>"</w:instrText>
      </w:r>
      <w:r>
        <w:rPr>
          <w:rStyle w:val="indexentry"/>
        </w:rPr>
        <w:fldChar w:fldCharType="end"/>
      </w:r>
      <w:r>
        <w:rPr>
          <w:rStyle w:val="indexentry"/>
        </w:rPr>
        <w:t>&lt;cx "individuals, expressing relation with mass formed"&gt;</w:t>
      </w:r>
      <w:r>
        <w:rPr>
          <w:rStyle w:val="indexentry"/>
        </w:rPr>
        <w:fldChar w:fldCharType="begin"/>
      </w:r>
      <w:r>
        <w:instrText>xe "</w:instrText>
      </w:r>
      <w:r>
        <w:rPr>
          <w:rStyle w:val="xeentry"/>
        </w:rPr>
        <w:instrText>individuals: expressing relation with mass formed</w:instrText>
      </w:r>
      <w:r>
        <w:instrText>"</w:instrText>
      </w:r>
      <w:r>
        <w:rPr>
          <w:rStyle w:val="indexentry"/>
        </w:rPr>
        <w:fldChar w:fldCharType="end"/>
      </w:r>
      <w:r>
        <w:rPr>
          <w:rStyle w:val="indexentry"/>
        </w:rPr>
        <w:t>&lt;cx "mass, expressing relation with set forming"&gt;</w:t>
      </w:r>
      <w:r>
        <w:rPr>
          <w:rStyle w:val="indexentry"/>
        </w:rPr>
        <w:fldChar w:fldCharType="begin"/>
      </w:r>
      <w:r>
        <w:instrText>xe "</w:instrText>
      </w:r>
      <w:r>
        <w:rPr>
          <w:rStyle w:val="xeentry"/>
        </w:rPr>
        <w:instrText>mass: expressing relation with set forming</w:instrText>
      </w:r>
      <w:r>
        <w:instrText>"</w:instrText>
      </w:r>
      <w:r>
        <w:rPr>
          <w:rStyle w:val="indexentry"/>
        </w:rPr>
        <w:fldChar w:fldCharType="end"/>
      </w:r>
      <w:r>
        <w:rPr>
          <w:rStyle w:val="indexentry"/>
        </w:rPr>
        <w:t>&lt;cx "mass, expressing relation with individuals forming"&gt;</w:t>
      </w:r>
      <w:r>
        <w:rPr>
          <w:rStyle w:val="indexentry"/>
        </w:rPr>
        <w:fldChar w:fldCharType="begin"/>
      </w:r>
      <w:r>
        <w:instrText>xe "</w:instrText>
      </w:r>
      <w:r>
        <w:rPr>
          <w:rStyle w:val="xeentry"/>
        </w:rPr>
        <w:instrText>mass: expressing relation with individuals forming</w:instrText>
      </w:r>
      <w:r>
        <w:instrText>"</w:instrText>
      </w:r>
      <w:r>
        <w:rPr>
          <w:rStyle w:val="indexentry"/>
        </w:rPr>
        <w:fldChar w:fldCharType="end"/>
      </w:r>
      <w:r>
        <w:t>A cardinal selbri interrelates a set with a given number of members, the</w:t>
      </w:r>
      <w:r>
        <w:rPr>
          <w:rStyle w:val="deletedparamark"/>
        </w:rPr>
        <w:t xml:space="preserve"> </w:t>
      </w:r>
      <w:r>
        <w:t>mass formed from that set, and the individuals which make the set up.</w:t>
      </w:r>
      <w:r>
        <w:rPr>
          <w:rStyle w:val="deletedparamark"/>
        </w:rPr>
        <w:t xml:space="preserve"> </w:t>
      </w:r>
      <w:r>
        <w:t>The mass argument is placed first as a matter of convenience, not logical</w:t>
      </w:r>
      <w:r>
        <w:rPr>
          <w:rStyle w:val="deletedparamark"/>
        </w:rPr>
        <w:t xml:space="preserve"> </w:t>
      </w:r>
      <w:r>
        <w:t>necessity.</w:t>
      </w:r>
    </w:p>
    <w:p w:rsidR="00B72047" w:rsidRDefault="00B72047">
      <w:pPr>
        <w:rPr>
          <w:rStyle w:val="htmlparacode"/>
        </w:rPr>
      </w:pPr>
      <w:r>
        <w:rPr>
          <w:rStyle w:val="htmlparacode"/>
        </w:rPr>
        <w:t>&lt;p&gt;</w:t>
      </w:r>
    </w:p>
    <w:p w:rsidR="00B72047" w:rsidRDefault="00B72047">
      <w:pPr>
        <w:pStyle w:val="normalparagraph"/>
      </w:pPr>
      <w:r>
        <w:t>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&lt;ex "three rats"&gt;</w:t>
      </w:r>
      <w:r>
        <w:rPr>
          <w:rStyle w:val="indexentry"/>
        </w:rPr>
        <w:fldChar w:fldCharType="begin"/>
      </w:r>
      <w:r>
        <w:instrText>xe "</w:instrText>
      </w:r>
      <w:r>
        <w:rPr>
          <w:rStyle w:val="xeentry"/>
        </w:rPr>
        <w:instrText>three rats: example</w:instrText>
      </w:r>
      <w:r>
        <w:instrText>"</w:instrText>
      </w:r>
      <w:r>
        <w:rPr>
          <w:rStyle w:val="indexentry"/>
        </w:rPr>
        <w:fldChar w:fldCharType="end"/>
      </w:r>
      <w:r>
        <w:rPr>
          <w:rStyle w:val="htmlcodes"/>
        </w:rPr>
        <w:t>&lt;pre&gt;&lt;a name=e11d1&gt;</w:t>
      </w:r>
      <w:r>
        <w:t>11.1)</w:t>
      </w:r>
      <w:r>
        <w:tab/>
        <w:t>lei mi ratcu cu cimei</w:t>
      </w:r>
    </w:p>
    <w:p w:rsidR="00B72047" w:rsidRDefault="00B72047">
      <w:pPr>
        <w:pStyle w:val="examplescaled"/>
      </w:pPr>
      <w:r>
        <w:tab/>
        <w:t>those-I-describe-as-the-mass-of my rats are-a-threesome.</w:t>
      </w:r>
    </w:p>
    <w:p w:rsidR="00B72047" w:rsidRDefault="00B72047">
      <w:pPr>
        <w:pStyle w:val="examplescaled"/>
      </w:pPr>
      <w:r>
        <w:tab/>
        <w:t>My rats are three.</w:t>
      </w:r>
    </w:p>
    <w:p w:rsidR="00B72047" w:rsidRDefault="00B72047">
      <w:pPr>
        <w:pStyle w:val="examplescaled"/>
      </w:pPr>
      <w:r>
        <w:tab/>
        <w:t>I have three rats.</w:t>
      </w:r>
    </w:p>
    <w:p w:rsidR="00B72047" w:rsidRDefault="00B72047">
      <w:pPr>
        <w:pStyle w:val="resumedafterexample"/>
      </w:pPr>
      <w:r>
        <w:rPr>
          <w:rStyle w:val="htmlcodes"/>
        </w:rPr>
        <w:t>&lt;/pre&gt;&lt;p&gt;</w:t>
      </w:r>
      <w:r>
        <w:t>Here, the mass of my rats is said to have three components; that is, I have</w:t>
      </w:r>
      <w:r>
        <w:rPr>
          <w:rStyle w:val="deletedparamark"/>
        </w:rPr>
        <w:t xml:space="preserve"> </w:t>
      </w:r>
      <w:r>
        <w:t>three rats.</w:t>
      </w:r>
    </w:p>
    <w:p w:rsidR="00B72047" w:rsidRDefault="00B72047">
      <w:pPr>
        <w:rPr>
          <w:rStyle w:val="htmlparacode"/>
        </w:rPr>
      </w:pPr>
      <w:r>
        <w:rPr>
          <w:rStyle w:val="htmlparacode"/>
        </w:rPr>
        <w:t>&lt;p&gt;</w:t>
      </w:r>
    </w:p>
    <w:p w:rsidR="00B72047" w:rsidRDefault="00B72047">
      <w:pPr>
        <w:pStyle w:val="normalparagraph"/>
      </w:pPr>
      <w:r>
        <w:t>Another example, with one element this time:</w:t>
      </w:r>
    </w:p>
    <w:p w:rsidR="00B72047" w:rsidRDefault="00B72047">
      <w:pPr>
        <w:rPr>
          <w:rStyle w:val="htmlparacode"/>
        </w:rPr>
      </w:pPr>
      <w:r>
        <w:rPr>
          <w:rStyle w:val="htmlparacode"/>
        </w:rPr>
        <w:t>&lt;p&gt;</w:t>
      </w:r>
    </w:p>
    <w:p w:rsidR="00B72047" w:rsidRDefault="00B72047">
      <w:pPr>
        <w:pStyle w:val="examplescaledpre"/>
      </w:pPr>
      <w:r>
        <w:rPr>
          <w:rStyle w:val="indexentry"/>
        </w:rPr>
        <w:t>&lt;ex "individual"&gt;</w:t>
      </w:r>
      <w:r>
        <w:rPr>
          <w:rStyle w:val="indexentry"/>
        </w:rPr>
        <w:fldChar w:fldCharType="begin"/>
      </w:r>
      <w:r>
        <w:instrText>xe "</w:instrText>
      </w:r>
      <w:r>
        <w:rPr>
          <w:rStyle w:val="xeentry"/>
        </w:rPr>
        <w:instrText>individual: example</w:instrText>
      </w:r>
      <w:r>
        <w:instrText>"</w:instrText>
      </w:r>
      <w:r>
        <w:rPr>
          <w:rStyle w:val="indexentry"/>
        </w:rPr>
        <w:fldChar w:fldCharType="end"/>
      </w:r>
      <w:r>
        <w:rPr>
          <w:rStyle w:val="indexentry"/>
        </w:rPr>
        <w:t>&lt;ex "singular me"&gt;</w:t>
      </w:r>
      <w:r>
        <w:rPr>
          <w:rStyle w:val="indexentry"/>
        </w:rPr>
        <w:fldChar w:fldCharType="begin"/>
      </w:r>
      <w:r>
        <w:instrText>xe "</w:instrText>
      </w:r>
      <w:r>
        <w:rPr>
          <w:rStyle w:val="xeentry"/>
        </w:rPr>
        <w:instrText>singular me: example</w:instrText>
      </w:r>
      <w:r>
        <w:instrText>"</w:instrText>
      </w:r>
      <w:r>
        <w:rPr>
          <w:rStyle w:val="indexentry"/>
        </w:rPr>
        <w:fldChar w:fldCharType="end"/>
      </w:r>
      <w:r>
        <w:rPr>
          <w:rStyle w:val="htmlcodes"/>
        </w:rPr>
        <w:t>&lt;pre&gt;&lt;a name=e11d2&gt;</w:t>
      </w:r>
      <w:r>
        <w:t>11.2)</w:t>
      </w:r>
      <w:r>
        <w:tab/>
        <w:t>mi poi pamei cu cusku dei</w:t>
      </w:r>
    </w:p>
    <w:p w:rsidR="00B72047" w:rsidRDefault="00B72047">
      <w:pPr>
        <w:pStyle w:val="examplescaled"/>
      </w:pPr>
      <w:r>
        <w:tab/>
        <w:t>I who am-an-individual express this-sentence.</w:t>
      </w:r>
    </w:p>
    <w:p w:rsidR="00B72047" w:rsidRDefault="00B72047">
      <w:pPr>
        <w:pStyle w:val="resumedafterexample"/>
      </w:pPr>
      <w:r>
        <w:rPr>
          <w:rStyle w:val="htmlcodes"/>
        </w:rPr>
        <w:t>&lt;/pre&gt;&lt;p&gt;</w:t>
      </w:r>
      <w:r>
        <w:t xml:space="preserve">In </w:t>
      </w:r>
      <w:r>
        <w:rPr>
          <w:rStyle w:val="htmlcodes"/>
        </w:rPr>
        <w:t>&lt;a href=#e11d2&gt;</w:t>
      </w:r>
      <w:r>
        <w:t>Example 11.2</w:t>
      </w:r>
      <w:r>
        <w:rPr>
          <w:rStyle w:val="htmlcodes"/>
        </w:rPr>
        <w:t>&lt;/a&gt;</w:t>
      </w:r>
      <w:r>
        <w:t>, “mi” refers to a mass, “the mass consisting of me”.</w:t>
      </w:r>
      <w:r>
        <w:rPr>
          <w:rStyle w:val="deletedparamark"/>
        </w:rPr>
        <w:t xml:space="preserve"> </w:t>
      </w:r>
      <w:r>
        <w:t>Personal pronouns are vague between masses, sets, and individuals.</w:t>
      </w:r>
    </w:p>
    <w:p w:rsidR="00B72047" w:rsidRDefault="00B72047">
      <w:pPr>
        <w:rPr>
          <w:rStyle w:val="htmlparacode"/>
        </w:rPr>
      </w:pPr>
      <w:r>
        <w:rPr>
          <w:rStyle w:val="htmlparacode"/>
        </w:rPr>
        <w:t>&lt;p&gt;</w:t>
      </w:r>
    </w:p>
    <w:p w:rsidR="00B72047" w:rsidRDefault="00B72047">
      <w:pPr>
        <w:pStyle w:val="normalparagraph"/>
      </w:pPr>
      <w:r>
        <w:t>However, when the number expressed before “-mei” is an objective indefinite</w:t>
      </w:r>
      <w:r>
        <w:rPr>
          <w:rStyle w:val="deletedparamark"/>
        </w:rPr>
        <w:t xml:space="preserve"> </w:t>
      </w:r>
      <w:r>
        <w:t>nu</w:t>
      </w:r>
      <w:r>
        <w:t>m</w:t>
      </w:r>
      <w:r>
        <w:softHyphen/>
        <w:t xml:space="preserve">ber of the kind explained in </w:t>
      </w:r>
      <w:r>
        <w:rPr>
          <w:rStyle w:val="htmlcodes"/>
        </w:rPr>
        <w:t>&lt;a href=#s8&gt;</w:t>
      </w:r>
      <w:r>
        <w:t>Section 8</w:t>
      </w:r>
      <w:r>
        <w:rPr>
          <w:rStyle w:val="htmlcodes"/>
        </w:rPr>
        <w:t>&lt;/a&gt;</w:t>
      </w:r>
      <w:r>
        <w:t>, a slightly different place</w:t>
      </w:r>
      <w:r>
        <w:rPr>
          <w:rStyle w:val="deletedparamark"/>
        </w:rPr>
        <w:t xml:space="preserve"> </w:t>
      </w:r>
      <w:r>
        <w:t>structure is re</w:t>
      </w:r>
      <w:r>
        <w:softHyphen/>
        <w:t>quired:</w:t>
      </w:r>
    </w:p>
    <w:p w:rsidR="00B72047" w:rsidRDefault="00B72047" w:rsidP="007E67C1">
      <w:pPr>
        <w:pStyle w:val="placestructure"/>
        <w:numPr>
          <w:ilvl w:val="0"/>
          <w:numId w:val="0"/>
        </w:numPr>
        <w:ind w:left="504" w:hanging="504"/>
        <w:rPr>
          <w:rStyle w:val="htmlparacode"/>
        </w:rPr>
      </w:pPr>
      <w:r>
        <w:rPr>
          <w:rStyle w:val="htmlparacode"/>
        </w:rPr>
        <w:t>&lt;p&gt;</w:t>
      </w:r>
    </w:p>
    <w:p w:rsidR="00B72047" w:rsidRDefault="00B72047" w:rsidP="007E67C1">
      <w:pPr>
        <w:pStyle w:val="placestructure"/>
        <w:numPr>
          <w:ilvl w:val="0"/>
          <w:numId w:val="0"/>
        </w:numPr>
        <w:ind w:left="504" w:hanging="504"/>
      </w:pPr>
      <w:r>
        <w:rPr>
          <w:rStyle w:val="indexentry"/>
        </w:rPr>
        <w:t>&lt;cx "mei, place structure formed for objective indefinites"&gt;</w:t>
      </w:r>
      <w:r>
        <w:rPr>
          <w:rStyle w:val="indexentry"/>
        </w:rPr>
        <w:fldChar w:fldCharType="begin"/>
      </w:r>
      <w:r>
        <w:instrText>xe "</w:instrText>
      </w:r>
      <w:r>
        <w:rPr>
          <w:rStyle w:val="xeentry"/>
        </w:rPr>
        <w:instrText>mei: place structure formed for objective indefinites</w:instrText>
      </w:r>
      <w:r>
        <w:instrText>"</w:instrText>
      </w:r>
      <w:r>
        <w:rPr>
          <w:rStyle w:val="indexentry"/>
        </w:rPr>
        <w:fldChar w:fldCharType="end"/>
      </w:r>
      <w:r>
        <w:rPr>
          <w:rStyle w:val="indexentry"/>
        </w:rPr>
        <w:t>&lt;cx "mass, expressing measurement standard for indefinites"&gt;</w:t>
      </w:r>
      <w:r>
        <w:rPr>
          <w:rStyle w:val="indexentry"/>
        </w:rPr>
        <w:fldChar w:fldCharType="begin"/>
      </w:r>
      <w:r>
        <w:instrText>xe "</w:instrText>
      </w:r>
      <w:r>
        <w:rPr>
          <w:rStyle w:val="xeentry"/>
        </w:rPr>
        <w:instrText>mass: expressing measurement standard for indefinites</w:instrText>
      </w:r>
      <w:r>
        <w:instrText>"</w:instrText>
      </w:r>
      <w:r>
        <w:rPr>
          <w:rStyle w:val="indexentry"/>
        </w:rPr>
        <w:fldChar w:fldCharType="end"/>
      </w:r>
      <w:r>
        <w:rPr>
          <w:rStyle w:val="indexentry"/>
        </w:rPr>
        <w:t>&lt;cx "set, expressing measurement standard for indefinites"&gt;</w:t>
      </w:r>
      <w:r>
        <w:rPr>
          <w:rStyle w:val="indexentry"/>
        </w:rPr>
        <w:fldChar w:fldCharType="begin"/>
      </w:r>
      <w:r>
        <w:instrText>xe "</w:instrText>
      </w:r>
      <w:r>
        <w:rPr>
          <w:rStyle w:val="xeentry"/>
        </w:rPr>
        <w:instrText>set: expressing measurement standard for indefinites</w:instrText>
      </w:r>
      <w:r>
        <w:instrText>"</w:instrText>
      </w:r>
      <w:r>
        <w:rPr>
          <w:rStyle w:val="indexentry"/>
        </w:rPr>
        <w:fldChar w:fldCharType="end"/>
      </w:r>
      <w:r>
        <w:rPr>
          <w:rStyle w:val="indexentry"/>
        </w:rPr>
        <w:t>&lt;cx "individuals of set, expressing measurement standard for indefinites"&gt;</w:t>
      </w:r>
      <w:r>
        <w:rPr>
          <w:rStyle w:val="indexentry"/>
        </w:rPr>
        <w:fldChar w:fldCharType="begin"/>
      </w:r>
      <w:r>
        <w:instrText>xe "</w:instrText>
      </w:r>
      <w:r>
        <w:rPr>
          <w:rStyle w:val="xeentry"/>
        </w:rPr>
        <w:instrText>individuals of set: expressing measurement standard for indefinites</w:instrText>
      </w:r>
      <w:r>
        <w:instrText>"</w:instrText>
      </w:r>
      <w:r>
        <w:rPr>
          <w:rStyle w:val="indexentry"/>
        </w:rPr>
        <w:fldChar w:fldCharType="end"/>
      </w:r>
      <w:r>
        <w:rPr>
          <w:rStyle w:val="htmlcodes"/>
        </w:rPr>
        <w:t>&lt;dl compact&gt;&lt;dt&gt;&lt;dd&gt;</w:t>
      </w:r>
      <w:r>
        <w:t xml:space="preserve">x1 is a mass formed from a set x2 of </w:t>
      </w:r>
      <w:r>
        <w:rPr>
          <w:rStyle w:val="htmlcodes"/>
        </w:rPr>
        <w:t>&lt;math&gt;</w:t>
      </w:r>
      <w:r>
        <w:rPr>
          <w:rStyle w:val="math"/>
        </w:rPr>
        <w:t>n</w:t>
      </w:r>
      <w:r>
        <w:t xml:space="preserve"> </w:t>
      </w:r>
      <w:r>
        <w:rPr>
          <w:rStyle w:val="htmlcodes"/>
        </w:rPr>
        <w:t>&lt;/math&gt;</w:t>
      </w:r>
      <w:r>
        <w:t>members, one or more of which is/are x3,</w:t>
      </w:r>
    </w:p>
    <w:p w:rsidR="00B72047" w:rsidRDefault="00B72047" w:rsidP="007E67C1">
      <w:pPr>
        <w:pStyle w:val="placestructcont"/>
        <w:numPr>
          <w:ilvl w:val="0"/>
          <w:numId w:val="0"/>
        </w:numPr>
        <w:ind w:left="504" w:hanging="504"/>
      </w:pPr>
      <w:r>
        <w:t>measured relative to the set x4.</w:t>
      </w:r>
    </w:p>
    <w:p w:rsidR="00B72047" w:rsidRDefault="00B72047">
      <w:pPr>
        <w:pStyle w:val="normalafterexample"/>
      </w:pPr>
      <w:r>
        <w:rPr>
          <w:rStyle w:val="htmlcodes"/>
        </w:rPr>
        <w:t>&lt;/dl&gt;&lt;p&gt;</w:t>
      </w:r>
      <w:r>
        <w:t>An example:</w:t>
      </w:r>
    </w:p>
    <w:p w:rsidR="00B72047" w:rsidRDefault="00B72047">
      <w:pPr>
        <w:rPr>
          <w:rStyle w:val="htmlparacode"/>
        </w:rPr>
      </w:pPr>
      <w:r>
        <w:rPr>
          <w:rStyle w:val="htmlparacode"/>
        </w:rPr>
        <w:t>&lt;p&gt;</w:t>
      </w:r>
    </w:p>
    <w:p w:rsidR="00B72047" w:rsidRDefault="00B72047">
      <w:pPr>
        <w:pStyle w:val="examplescaledpre"/>
      </w:pPr>
      <w:r>
        <w:rPr>
          <w:rStyle w:val="indexentry"/>
        </w:rPr>
        <w:t>&lt;ex "fewsome"&gt;</w:t>
      </w:r>
      <w:r>
        <w:rPr>
          <w:rStyle w:val="indexentry"/>
        </w:rPr>
        <w:fldChar w:fldCharType="begin"/>
      </w:r>
      <w:r>
        <w:instrText>xe "</w:instrText>
      </w:r>
      <w:r>
        <w:rPr>
          <w:rStyle w:val="xeentry"/>
        </w:rPr>
        <w:instrText>fewsome: example</w:instrText>
      </w:r>
      <w:r>
        <w:instrText>"</w:instrText>
      </w:r>
      <w:r>
        <w:rPr>
          <w:rStyle w:val="indexentry"/>
        </w:rPr>
        <w:fldChar w:fldCharType="end"/>
      </w:r>
      <w:r>
        <w:rPr>
          <w:rStyle w:val="indexentry"/>
        </w:rPr>
        <w:t>&lt;ex "rats in park"&gt;</w:t>
      </w:r>
      <w:r>
        <w:rPr>
          <w:rStyle w:val="indexentry"/>
        </w:rPr>
        <w:fldChar w:fldCharType="begin"/>
      </w:r>
      <w:r>
        <w:instrText>xe "</w:instrText>
      </w:r>
      <w:r>
        <w:rPr>
          <w:rStyle w:val="xeentry"/>
        </w:rPr>
        <w:instrText>rats in park: example</w:instrText>
      </w:r>
      <w:r>
        <w:instrText>"</w:instrText>
      </w:r>
      <w:r>
        <w:rPr>
          <w:rStyle w:val="indexentry"/>
        </w:rPr>
        <w:fldChar w:fldCharType="end"/>
      </w:r>
      <w:r>
        <w:rPr>
          <w:rStyle w:val="htmlcodes"/>
        </w:rPr>
        <w:t>&lt;pre&gt;&lt;a name=e11d3&gt;</w:t>
      </w:r>
      <w:r>
        <w:t>11.3)</w:t>
      </w:r>
      <w:r>
        <w:tab/>
        <w:t>lei ratcu poi zvati le panka cu so'umei fo</w:t>
      </w:r>
    </w:p>
    <w:p w:rsidR="00B72047" w:rsidRDefault="00B72047">
      <w:pPr>
        <w:pStyle w:val="examplescaled"/>
      </w:pPr>
      <w:r>
        <w:tab/>
      </w:r>
      <w:r>
        <w:tab/>
        <w:t>lo'i ratcu</w:t>
      </w:r>
    </w:p>
    <w:p w:rsidR="00B72047" w:rsidRDefault="00B72047">
      <w:pPr>
        <w:pStyle w:val="examplescaled"/>
      </w:pPr>
      <w:r>
        <w:tab/>
        <w:t xml:space="preserve">the-mass-of rats which are-in the park are a-fewsome with-respect-to </w:t>
      </w:r>
    </w:p>
    <w:p w:rsidR="00B72047" w:rsidRDefault="00B72047">
      <w:pPr>
        <w:pStyle w:val="examplescaled"/>
        <w:ind w:firstLine="576"/>
      </w:pPr>
      <w:r>
        <w:t>the-set-of rats.</w:t>
      </w:r>
    </w:p>
    <w:p w:rsidR="00B72047" w:rsidRDefault="00B72047">
      <w:pPr>
        <w:pStyle w:val="examplescaled"/>
      </w:pPr>
      <w:r>
        <w:tab/>
        <w:t>The rats in the park are a small number of all the rats there are.</w:t>
      </w:r>
    </w:p>
    <w:p w:rsidR="00B72047" w:rsidRDefault="00B72047">
      <w:pPr>
        <w:pStyle w:val="resumedafterexample"/>
      </w:pPr>
      <w:r>
        <w:rPr>
          <w:rStyle w:val="htmlcodes"/>
        </w:rPr>
        <w:t>&lt;/pre&gt;</w:t>
      </w:r>
      <w:r>
        <w:rPr>
          <w:rStyle w:val="indexentry"/>
        </w:rPr>
        <w:t>&lt;lx "lo'i"&gt;</w:t>
      </w:r>
      <w:r>
        <w:rPr>
          <w:rStyle w:val="indexentry"/>
        </w:rPr>
        <w:fldChar w:fldCharType="begin"/>
      </w:r>
      <w:r>
        <w:instrText>xe "</w:instrText>
      </w:r>
      <w:r>
        <w:rPr>
          <w:rStyle w:val="xeentry"/>
        </w:rPr>
        <w:instrText>lo'i</w:instrText>
      </w:r>
      <w:r>
        <w:instrText>"</w:instrText>
      </w:r>
      <w:r>
        <w:rPr>
          <w:rStyle w:val="indexentry"/>
        </w:rPr>
        <w:fldChar w:fldCharType="end"/>
      </w:r>
      <w:r>
        <w:rPr>
          <w:rStyle w:val="indexentry"/>
        </w:rPr>
        <w:t>&lt;ex "set of all rats"&gt;</w:t>
      </w:r>
      <w:r>
        <w:rPr>
          <w:rStyle w:val="indexentry"/>
        </w:rPr>
        <w:fldChar w:fldCharType="begin"/>
      </w:r>
      <w:r>
        <w:instrText>xe "</w:instrText>
      </w:r>
      <w:r>
        <w:rPr>
          <w:rStyle w:val="xeentry"/>
        </w:rPr>
        <w:instrText>set of all rats: example</w:instrText>
      </w:r>
      <w:r>
        <w:instrText>"</w:instrText>
      </w:r>
      <w:r>
        <w:rPr>
          <w:rStyle w:val="indexentry"/>
        </w:rPr>
        <w:fldChar w:fldCharType="end"/>
      </w:r>
      <w:r>
        <w:rPr>
          <w:rStyle w:val="indexentry"/>
        </w:rPr>
        <w:t>&lt;cx "lo'i, with elided quantifiers"&gt;</w:t>
      </w:r>
      <w:r>
        <w:rPr>
          <w:rStyle w:val="indexentry"/>
        </w:rPr>
        <w:fldChar w:fldCharType="begin"/>
      </w:r>
      <w:r>
        <w:instrText>xe "</w:instrText>
      </w:r>
      <w:r>
        <w:rPr>
          <w:rStyle w:val="xeentry"/>
        </w:rPr>
        <w:instrText>lo'i: with elided quantifiers</w:instrText>
      </w:r>
      <w:r>
        <w:instrText>"</w:instrText>
      </w:r>
      <w:r>
        <w:rPr>
          <w:rStyle w:val="indexentry"/>
        </w:rPr>
        <w:fldChar w:fldCharType="end"/>
      </w:r>
      <w:r>
        <w:t xml:space="preserve">In </w:t>
      </w:r>
      <w:r>
        <w:rPr>
          <w:rStyle w:val="htmlcodes"/>
        </w:rPr>
        <w:t>&lt;a href=#e11d3&gt;</w:t>
      </w:r>
      <w:r>
        <w:t>Example 11.3</w:t>
      </w:r>
      <w:r>
        <w:rPr>
          <w:rStyle w:val="htmlcodes"/>
        </w:rPr>
        <w:t>&lt;/a&gt;</w:t>
      </w:r>
      <w:r>
        <w:t>, the x2 and x3 places are vacant, and the x4 place is filled</w:t>
      </w:r>
      <w:r>
        <w:rPr>
          <w:rStyle w:val="deletedparamark"/>
        </w:rPr>
        <w:t xml:space="preserve"> </w:t>
      </w:r>
      <w:r>
        <w:t>by “lo'i ratcu”, which (because no quantifiers are explicitly given) means</w:t>
      </w:r>
      <w:r>
        <w:rPr>
          <w:rStyle w:val="deletedparamark"/>
        </w:rPr>
        <w:t xml:space="preserve"> “</w:t>
      </w:r>
      <w:r>
        <w:t>the whole of the set of all those things which are rats”, or simply</w:t>
      </w:r>
      <w:r>
        <w:rPr>
          <w:rStyle w:val="deletedparamark"/>
        </w:rPr>
        <w:t xml:space="preserve"> “</w:t>
      </w:r>
      <w:r>
        <w:t>the set of all rats.”</w:t>
      </w:r>
    </w:p>
    <w:p w:rsidR="00B72047" w:rsidRDefault="00B72047">
      <w:pPr>
        <w:rPr>
          <w:rStyle w:val="htmlparacode"/>
        </w:rPr>
      </w:pPr>
      <w:r>
        <w:rPr>
          <w:rStyle w:val="htmlparacode"/>
        </w:rPr>
        <w:t>&lt;p&gt;</w:t>
      </w:r>
    </w:p>
    <w:p w:rsidR="00B72047" w:rsidRDefault="00B72047">
      <w:pPr>
        <w:pStyle w:val="examplescaledpre"/>
      </w:pPr>
      <w:r>
        <w:rPr>
          <w:rStyle w:val="indexentry"/>
        </w:rPr>
        <w:t>&lt;ex "manysome"&gt;</w:t>
      </w:r>
      <w:r>
        <w:rPr>
          <w:rStyle w:val="indexentry"/>
        </w:rPr>
        <w:fldChar w:fldCharType="begin"/>
      </w:r>
      <w:r>
        <w:instrText>xe "</w:instrText>
      </w:r>
      <w:r>
        <w:rPr>
          <w:rStyle w:val="xeentry"/>
        </w:rPr>
        <w:instrText>manysome: example</w:instrText>
      </w:r>
      <w:r>
        <w:instrText>"</w:instrText>
      </w:r>
      <w:r>
        <w:rPr>
          <w:rStyle w:val="indexentry"/>
        </w:rPr>
        <w:fldChar w:fldCharType="end"/>
      </w:r>
      <w:r>
        <w:rPr>
          <w:rStyle w:val="htmlcodes"/>
        </w:rPr>
        <w:t>&lt;pre&gt;&lt;a name=e11d4&gt;</w:t>
      </w:r>
      <w:r>
        <w:t>11.4)</w:t>
      </w:r>
      <w:r>
        <w:tab/>
        <w:t>le'i ratcu poi zvati le panka cu se so'imei</w:t>
      </w:r>
    </w:p>
    <w:p w:rsidR="00B72047" w:rsidRDefault="00B72047">
      <w:pPr>
        <w:pStyle w:val="examplescaled"/>
      </w:pPr>
      <w:r>
        <w:tab/>
        <w:t>The-set-of rats which-are in the park is-a manysome.</w:t>
      </w:r>
    </w:p>
    <w:p w:rsidR="00B72047" w:rsidRDefault="00B72047">
      <w:pPr>
        <w:pStyle w:val="examplescaled"/>
      </w:pPr>
      <w:r>
        <w:tab/>
        <w:t>There are many rats in the park.</w:t>
      </w:r>
    </w:p>
    <w:p w:rsidR="00B72047" w:rsidRDefault="00B72047">
      <w:pPr>
        <w:pStyle w:val="resumedafterexample"/>
      </w:pPr>
      <w:r>
        <w:rPr>
          <w:rStyle w:val="htmlcodes"/>
        </w:rPr>
        <w:t>&lt;/pre&gt;&lt;p&gt;</w:t>
      </w:r>
      <w:r>
        <w:t xml:space="preserve">In </w:t>
      </w:r>
      <w:r>
        <w:rPr>
          <w:rStyle w:val="htmlcodes"/>
        </w:rPr>
        <w:t>&lt;a href=#e11d4&gt;</w:t>
      </w:r>
      <w:r>
        <w:t>Example 11.4</w:t>
      </w:r>
      <w:r>
        <w:rPr>
          <w:rStyle w:val="htmlcodes"/>
        </w:rPr>
        <w:t>&lt;/a&gt;</w:t>
      </w:r>
      <w:r>
        <w:t>, the conversion cmavo “se” swaps the x1 and the x2 places,</w:t>
      </w:r>
      <w:r>
        <w:rPr>
          <w:rStyle w:val="deletedparamark"/>
        </w:rPr>
        <w:t xml:space="preserve"> </w:t>
      </w:r>
      <w:r>
        <w:t>so that the new x1 is the set. The x4 set is unspecified, so the implication</w:t>
      </w:r>
      <w:r>
        <w:rPr>
          <w:rStyle w:val="deletedparamark"/>
        </w:rPr>
        <w:t xml:space="preserve"> </w:t>
      </w:r>
      <w:r>
        <w:t>is that the rats are “many” with respect to some unspecified comparison set.</w:t>
      </w:r>
    </w:p>
    <w:p w:rsidR="00B72047" w:rsidRDefault="00B72047">
      <w:pPr>
        <w:rPr>
          <w:rStyle w:val="htmlparacode"/>
        </w:rPr>
      </w:pPr>
      <w:r>
        <w:rPr>
          <w:rStyle w:val="htmlparacode"/>
        </w:rPr>
        <w:t>&lt;p&gt;</w:t>
      </w:r>
    </w:p>
    <w:p w:rsidR="00B72047" w:rsidRDefault="00B72047">
      <w:pPr>
        <w:pStyle w:val="normalparagraph"/>
      </w:pPr>
      <w:r>
        <w:t>More explanations about the interrelationship of sets, masses, and individuals</w:t>
      </w:r>
      <w:r>
        <w:rPr>
          <w:rStyle w:val="deletedparamark"/>
        </w:rPr>
        <w:t xml:space="preserve"> </w:t>
      </w:r>
      <w:r>
        <w:t xml:space="preserve">can be found in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"moi"&gt;</w:t>
      </w:r>
      <w:r>
        <w:rPr>
          <w:rStyle w:val="indexentry"/>
        </w:rPr>
        <w:fldChar w:fldCharType="begin"/>
      </w:r>
      <w:r>
        <w:instrText>xe "</w:instrText>
      </w:r>
      <w:r>
        <w:rPr>
          <w:rStyle w:val="xeentry"/>
        </w:rPr>
        <w:instrText>moi</w:instrText>
      </w:r>
      <w:r>
        <w:instrText>"</w:instrText>
      </w:r>
      <w:r>
        <w:rPr>
          <w:rStyle w:val="indexentry"/>
        </w:rPr>
        <w:fldChar w:fldCharType="end"/>
      </w:r>
      <w:r>
        <w:rPr>
          <w:rStyle w:val="indexentry"/>
        </w:rPr>
        <w:t>&lt;cx "ordinal selbri, place structure"&gt;</w:t>
      </w:r>
      <w:r>
        <w:rPr>
          <w:rStyle w:val="indexentry"/>
        </w:rPr>
        <w:fldChar w:fldCharType="begin"/>
      </w:r>
      <w:r>
        <w:instrText>xe "</w:instrText>
      </w:r>
      <w:r>
        <w:rPr>
          <w:rStyle w:val="xeentry"/>
        </w:rPr>
        <w:instrText>ordinal selbri: place structure</w:instrText>
      </w:r>
      <w:r>
        <w:instrText>"</w:instrText>
      </w:r>
      <w:r>
        <w:rPr>
          <w:rStyle w:val="indexentry"/>
        </w:rPr>
        <w:fldChar w:fldCharType="end"/>
      </w:r>
      <w:r>
        <w:rPr>
          <w:rStyle w:val="indexentry"/>
        </w:rPr>
        <w:t>&lt;cx "ordinal selbri, definition"&gt;</w:t>
      </w:r>
      <w:r>
        <w:rPr>
          <w:rStyle w:val="indexentry"/>
        </w:rPr>
        <w:fldChar w:fldCharType="begin"/>
      </w:r>
      <w:r>
        <w:instrText>xe "</w:instrText>
      </w:r>
      <w:r>
        <w:rPr>
          <w:rStyle w:val="xeentry"/>
        </w:rPr>
        <w:instrText>ordinal selbri: definition</w:instrText>
      </w:r>
      <w:r>
        <w:instrText>"</w:instrText>
      </w:r>
      <w:r>
        <w:rPr>
          <w:rStyle w:val="indexentry"/>
        </w:rPr>
        <w:fldChar w:fldCharType="end"/>
      </w:r>
      <w:r>
        <w:rPr>
          <w:rStyle w:val="indexentry"/>
        </w:rPr>
        <w:t>“</w:t>
      </w:r>
      <w:r>
        <w:t>The cmavo “moi” creates ordinal selbri. The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 xml:space="preserve">x1 is the </w:t>
      </w:r>
      <w:r>
        <w:rPr>
          <w:rStyle w:val="math"/>
        </w:rPr>
        <w:t>(n)th</w:t>
      </w:r>
      <w:r>
        <w:t xml:space="preserve"> member of set x2 when ordered by rule x3</w:t>
      </w:r>
    </w:p>
    <w:p w:rsidR="00B72047" w:rsidRDefault="00B72047">
      <w:pPr>
        <w:pStyle w:val="resumedafterexample"/>
      </w:pPr>
      <w:r>
        <w:rPr>
          <w:rStyle w:val="htmlcodes"/>
        </w:rPr>
        <w:t>&lt;/dl&gt;&lt;p&gt;</w:t>
      </w:r>
      <w:r>
        <w:t>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&lt;ex "first rat"&gt;</w:t>
      </w:r>
      <w:r>
        <w:rPr>
          <w:rStyle w:val="indexentry"/>
        </w:rPr>
        <w:fldChar w:fldCharType="begin"/>
      </w:r>
      <w:r>
        <w:instrText>xe "</w:instrText>
      </w:r>
      <w:r>
        <w:rPr>
          <w:rStyle w:val="xeentry"/>
        </w:rPr>
        <w:instrText>first rat: example</w:instrText>
      </w:r>
      <w:r>
        <w:instrText>"</w:instrText>
      </w:r>
      <w:r>
        <w:rPr>
          <w:rStyle w:val="indexentry"/>
        </w:rPr>
        <w:fldChar w:fldCharType="end"/>
      </w:r>
      <w:r>
        <w:rPr>
          <w:rStyle w:val="htmlcodes"/>
        </w:rPr>
        <w:t>&lt;pre&gt;&lt;a name=e11d5&gt;</w:t>
      </w:r>
      <w:r>
        <w:t>11.5)</w:t>
      </w:r>
      <w:r>
        <w:tab/>
        <w:t>ti pamoi le'i mi ratcu</w:t>
      </w:r>
    </w:p>
    <w:p w:rsidR="00B72047" w:rsidRDefault="00B72047">
      <w:pPr>
        <w:pStyle w:val="examplescaled"/>
      </w:pPr>
      <w:r>
        <w:tab/>
        <w:t>This-one is the first-of the rats associated-with me.</w:t>
      </w:r>
    </w:p>
    <w:p w:rsidR="00B72047" w:rsidRDefault="00B72047">
      <w:pPr>
        <w:pStyle w:val="examplescaled"/>
      </w:pPr>
      <w:r>
        <w:tab/>
        <w:t>This is my first rat.</w:t>
      </w:r>
    </w:p>
    <w:p w:rsidR="00B72047" w:rsidRDefault="00B72047">
      <w:pPr>
        <w:pStyle w:val="examplescaledpre"/>
      </w:pPr>
      <w:r>
        <w:rPr>
          <w:rStyle w:val="htmlcodes"/>
        </w:rPr>
        <w:t>&lt;/pre&gt;</w:t>
      </w:r>
      <w:r>
        <w:rPr>
          <w:rStyle w:val="indexentry"/>
        </w:rPr>
        <w:t>&lt;ex "all-th"&gt;</w:t>
      </w:r>
      <w:r>
        <w:rPr>
          <w:rStyle w:val="indexentry"/>
        </w:rPr>
        <w:fldChar w:fldCharType="begin"/>
      </w:r>
      <w:r>
        <w:instrText>xe "</w:instrText>
      </w:r>
      <w:r>
        <w:rPr>
          <w:rStyle w:val="xeentry"/>
        </w:rPr>
        <w:instrText>all-th: example</w:instrText>
      </w:r>
      <w:r>
        <w:instrText>"</w:instrText>
      </w:r>
      <w:r>
        <w:rPr>
          <w:rStyle w:val="indexentry"/>
        </w:rPr>
        <w:fldChar w:fldCharType="end"/>
      </w:r>
      <w:r>
        <w:rPr>
          <w:rStyle w:val="htmlcodes"/>
        </w:rPr>
        <w:t>&lt;pre&gt;&lt;a name=e11d6&gt;</w:t>
      </w:r>
      <w:r>
        <w:t>11.6)</w:t>
      </w:r>
      <w:r>
        <w:tab/>
        <w:t>ta romoi le'i mi ratcu</w:t>
      </w:r>
    </w:p>
    <w:p w:rsidR="00B72047" w:rsidRDefault="00B72047">
      <w:pPr>
        <w:pStyle w:val="examplescaled"/>
      </w:pPr>
      <w:r>
        <w:tab/>
        <w:t>That is-the-all-th-of the rats associated-with me.</w:t>
      </w:r>
    </w:p>
    <w:p w:rsidR="00B72047" w:rsidRDefault="00B72047">
      <w:pPr>
        <w:pStyle w:val="examplescaled"/>
      </w:pPr>
      <w:r>
        <w:tab/>
        <w:t>That is my last rat.</w:t>
      </w:r>
    </w:p>
    <w:p w:rsidR="00B72047" w:rsidRDefault="00B72047">
      <w:pPr>
        <w:pStyle w:val="examplescaledpre"/>
      </w:pPr>
      <w:r>
        <w:rPr>
          <w:rStyle w:val="htmlcodes"/>
        </w:rPr>
        <w:t>&lt;/pre&gt;</w:t>
      </w:r>
      <w:r>
        <w:rPr>
          <w:rStyle w:val="indexentry"/>
        </w:rPr>
        <w:t>&lt;ex "enough-th"&gt;</w:t>
      </w:r>
      <w:r>
        <w:rPr>
          <w:rStyle w:val="indexentry"/>
        </w:rPr>
        <w:fldChar w:fldCharType="begin"/>
      </w:r>
      <w:r>
        <w:instrText>xe "</w:instrText>
      </w:r>
      <w:r>
        <w:rPr>
          <w:rStyle w:val="xeentry"/>
        </w:rPr>
        <w:instrText>enough-th: example</w:instrText>
      </w:r>
      <w:r>
        <w:instrText>"</w:instrText>
      </w:r>
      <w:r>
        <w:rPr>
          <w:rStyle w:val="indexentry"/>
        </w:rPr>
        <w:fldChar w:fldCharType="end"/>
      </w:r>
      <w:r>
        <w:rPr>
          <w:rStyle w:val="htmlcodes"/>
        </w:rPr>
        <w:t>&lt;pre&gt;&lt;a name=e11d7&gt;</w:t>
      </w:r>
      <w:r>
        <w:t>11.7)</w:t>
      </w:r>
      <w:r>
        <w:tab/>
        <w:t>mi raumoi le velskina porsi</w:t>
      </w:r>
    </w:p>
    <w:p w:rsidR="00B72047" w:rsidRDefault="00B72047">
      <w:pPr>
        <w:pStyle w:val="examplescaled"/>
      </w:pPr>
      <w:r>
        <w:tab/>
        <w:t>I am-enough-th-in the movie-audience sequence</w:t>
      </w:r>
    </w:p>
    <w:p w:rsidR="00B72047" w:rsidRDefault="00B72047">
      <w:pPr>
        <w:pStyle w:val="examplescaled"/>
      </w:pPr>
      <w:r>
        <w:tab/>
        <w:t>I am enough-th in the movie line.</w:t>
      </w:r>
    </w:p>
    <w:p w:rsidR="00B72047" w:rsidRDefault="00B72047">
      <w:pPr>
        <w:pStyle w:val="resumedafterexample"/>
      </w:pPr>
      <w:r>
        <w:rPr>
          <w:rStyle w:val="htmlcodes"/>
        </w:rPr>
        <w:t>&lt;/pre&gt;&lt;a href=#e11d7&gt;</w:t>
      </w:r>
      <w:r>
        <w:t xml:space="preserve">Example 11.7 </w:t>
      </w:r>
      <w:r>
        <w:rPr>
          <w:rStyle w:val="htmlcodes"/>
        </w:rPr>
        <w:t>&lt;/a&gt;</w:t>
      </w:r>
      <w:r>
        <w:t>means, in the appropriate context, that my position in</w:t>
      </w:r>
      <w:r>
        <w:rPr>
          <w:rStyle w:val="deletedparamark"/>
        </w:rPr>
        <w:t xml:space="preserve"> </w:t>
      </w:r>
      <w:r>
        <w:t>line is sufficiently far to the front that I will get a seat for</w:t>
      </w:r>
      <w:r>
        <w:rPr>
          <w:rStyle w:val="deletedparamark"/>
        </w:rPr>
        <w:t xml:space="preserve"> </w:t>
      </w:r>
      <w:r>
        <w:t>the movie.</w:t>
      </w:r>
    </w:p>
    <w:p w:rsidR="00B72047" w:rsidRDefault="00B72047">
      <w:pPr>
        <w:rPr>
          <w:rStyle w:val="htmlparacode"/>
        </w:rPr>
      </w:pPr>
      <w:r>
        <w:rPr>
          <w:rStyle w:val="htmlparacode"/>
        </w:rPr>
        <w:t>&lt;p&gt;</w:t>
      </w:r>
    </w:p>
    <w:p w:rsidR="00B72047" w:rsidRDefault="00B72047">
      <w:pPr>
        <w:pStyle w:val="normalparagraph"/>
      </w:pPr>
      <w:r>
        <w:rPr>
          <w:rStyle w:val="indexentry"/>
        </w:rPr>
        <w:t>&lt;lx "si'e"&gt;</w:t>
      </w:r>
      <w:r>
        <w:rPr>
          <w:rStyle w:val="indexentry"/>
        </w:rPr>
        <w:fldChar w:fldCharType="begin"/>
      </w:r>
      <w:r>
        <w:instrText>xe "</w:instrText>
      </w:r>
      <w:r>
        <w:rPr>
          <w:rStyle w:val="xeentry"/>
        </w:rPr>
        <w:instrText>si'e</w:instrText>
      </w:r>
      <w:r>
        <w:instrText>"</w:instrText>
      </w:r>
      <w:r>
        <w:rPr>
          <w:rStyle w:val="indexentry"/>
        </w:rPr>
        <w:fldChar w:fldCharType="end"/>
      </w:r>
      <w:r>
        <w:rPr>
          <w:rStyle w:val="indexentry"/>
        </w:rPr>
        <w:t>&lt;cx "portion selbri, definition"&gt;</w:t>
      </w:r>
      <w:r>
        <w:rPr>
          <w:rStyle w:val="indexentry"/>
        </w:rPr>
        <w:fldChar w:fldCharType="begin"/>
      </w:r>
      <w:r>
        <w:instrText>xe "</w:instrText>
      </w:r>
      <w:r>
        <w:rPr>
          <w:rStyle w:val="xeentry"/>
        </w:rPr>
        <w:instrText>portion selbri: definition</w:instrText>
      </w:r>
      <w:r>
        <w:instrText>"</w:instrText>
      </w:r>
      <w:r>
        <w:rPr>
          <w:rStyle w:val="indexentry"/>
        </w:rPr>
        <w:fldChar w:fldCharType="end"/>
      </w:r>
      <w:r>
        <w:rPr>
          <w:rStyle w:val="indexentry"/>
        </w:rPr>
        <w:t>&lt;cx "portion selbri, place structure"&gt;</w:t>
      </w:r>
      <w:r>
        <w:rPr>
          <w:rStyle w:val="indexentry"/>
        </w:rPr>
        <w:fldChar w:fldCharType="begin"/>
      </w:r>
      <w:r>
        <w:instrText>xe "</w:instrText>
      </w:r>
      <w:r>
        <w:rPr>
          <w:rStyle w:val="xeentry"/>
        </w:rPr>
        <w:instrText>portion selbri: place structure</w:instrText>
      </w:r>
      <w:r>
        <w:instrText>"</w:instrText>
      </w:r>
      <w:r>
        <w:rPr>
          <w:rStyle w:val="indexentry"/>
        </w:rPr>
        <w:fldChar w:fldCharType="end"/>
      </w:r>
      <w:r>
        <w:rPr>
          <w:rStyle w:val="indexentry"/>
        </w:rPr>
        <w:t>“</w:t>
      </w:r>
      <w:r>
        <w:t>The cmavo “si'e” creates portion selbri. The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an (n)th portion of mass x2</w:t>
      </w:r>
    </w:p>
    <w:p w:rsidR="00B72047" w:rsidRDefault="00B72047">
      <w:pPr>
        <w:pStyle w:val="resumedafterexample"/>
      </w:pPr>
      <w:r>
        <w:rPr>
          <w:rStyle w:val="htmlcodes"/>
        </w:rPr>
        <w:t>&lt;/dl&gt;&lt;p&gt;</w:t>
      </w:r>
      <w:r>
        <w:t>Some examples:</w:t>
      </w:r>
    </w:p>
    <w:p w:rsidR="00B72047" w:rsidRDefault="00B72047">
      <w:pPr>
        <w:rPr>
          <w:rStyle w:val="htmlparacode"/>
        </w:rPr>
      </w:pPr>
      <w:r>
        <w:rPr>
          <w:rStyle w:val="htmlparacode"/>
        </w:rPr>
        <w:t>&lt;p&gt;</w:t>
      </w:r>
    </w:p>
    <w:p w:rsidR="00B72047" w:rsidRDefault="00B72047">
      <w:pPr>
        <w:pStyle w:val="examplescaledpre"/>
      </w:pPr>
      <w:r>
        <w:rPr>
          <w:rStyle w:val="indexentry"/>
        </w:rPr>
        <w:t>&lt;cx "one-third of food"&gt;</w:t>
      </w:r>
      <w:r>
        <w:rPr>
          <w:rStyle w:val="indexentry"/>
        </w:rPr>
        <w:fldChar w:fldCharType="begin"/>
      </w:r>
      <w:r>
        <w:instrText>xe "</w:instrText>
      </w:r>
      <w:r>
        <w:rPr>
          <w:rStyle w:val="xeentry"/>
        </w:rPr>
        <w:instrText>one-third of food</w:instrText>
      </w:r>
      <w:r>
        <w:instrText>"</w:instrText>
      </w:r>
      <w:r>
        <w:rPr>
          <w:rStyle w:val="indexentry"/>
        </w:rPr>
        <w:fldChar w:fldCharType="end"/>
      </w:r>
      <w:r>
        <w:rPr>
          <w:rStyle w:val="htmlcodes"/>
        </w:rPr>
        <w:t>&lt;pre&gt;&lt;a name=e11d8&gt;</w:t>
      </w:r>
      <w:r>
        <w:t>11.8)</w:t>
      </w:r>
      <w:r>
        <w:tab/>
        <w:t>levi sanmi cu fi'ucisi'e lei mi djedi cidja</w:t>
      </w:r>
    </w:p>
    <w:p w:rsidR="00B72047" w:rsidRDefault="00B72047">
      <w:pPr>
        <w:pStyle w:val="examplescaled"/>
      </w:pPr>
      <w:r>
        <w:tab/>
        <w:t>This-here meal is-a-slash-three-portion-of my day-food.</w:t>
      </w:r>
    </w:p>
    <w:p w:rsidR="00B72047" w:rsidRDefault="00B72047">
      <w:pPr>
        <w:pStyle w:val="examplescaled"/>
      </w:pPr>
      <w:r>
        <w:tab/>
        <w:t>This meal is one-third of my daily food.</w:t>
      </w:r>
    </w:p>
    <w:p w:rsidR="00B72047" w:rsidRDefault="00B72047">
      <w:pPr>
        <w:pStyle w:val="normalafterexample"/>
      </w:pPr>
      <w:r>
        <w:rPr>
          <w:rStyle w:val="htmlcodes"/>
        </w:rPr>
        <w:t>&lt;/pre&gt;</w:t>
      </w:r>
      <w:r>
        <w:rPr>
          <w:rStyle w:val="indexentry"/>
        </w:rPr>
        <w:t>&lt;lx "cu'o"&gt;</w:t>
      </w:r>
      <w:r>
        <w:rPr>
          <w:rStyle w:val="indexentry"/>
        </w:rPr>
        <w:fldChar w:fldCharType="begin"/>
      </w:r>
      <w:r>
        <w:instrText>xe "</w:instrText>
      </w:r>
      <w:r>
        <w:rPr>
          <w:rStyle w:val="xeentry"/>
        </w:rPr>
        <w:instrText>cu'o</w:instrText>
      </w:r>
      <w:r>
        <w:instrText>"</w:instrText>
      </w:r>
      <w:r>
        <w:rPr>
          <w:rStyle w:val="indexentry"/>
        </w:rPr>
        <w:fldChar w:fldCharType="end"/>
      </w:r>
      <w:r>
        <w:rPr>
          <w:rStyle w:val="indexentry"/>
        </w:rPr>
        <w:t>&lt;cx "probability selbri, definition"&gt;</w:t>
      </w:r>
      <w:r>
        <w:rPr>
          <w:rStyle w:val="indexentry"/>
        </w:rPr>
        <w:fldChar w:fldCharType="begin"/>
      </w:r>
      <w:r>
        <w:instrText>xe "</w:instrText>
      </w:r>
      <w:r>
        <w:rPr>
          <w:rStyle w:val="xeentry"/>
        </w:rPr>
        <w:instrText>probability selbri: definition</w:instrText>
      </w:r>
      <w:r>
        <w:instrText>"</w:instrText>
      </w:r>
      <w:r>
        <w:rPr>
          <w:rStyle w:val="indexentry"/>
        </w:rPr>
        <w:fldChar w:fldCharType="end"/>
      </w:r>
      <w:r>
        <w:rPr>
          <w:rStyle w:val="indexentry"/>
        </w:rPr>
        <w:t>&lt;cx "probability selbri, place structure"&gt;</w:t>
      </w:r>
      <w:r>
        <w:rPr>
          <w:rStyle w:val="indexentry"/>
        </w:rPr>
        <w:fldChar w:fldCharType="begin"/>
      </w:r>
      <w:r>
        <w:instrText>xe "</w:instrText>
      </w:r>
      <w:r>
        <w:rPr>
          <w:rStyle w:val="xeentry"/>
        </w:rPr>
        <w:instrText>probability selbri: place structure</w:instrText>
      </w:r>
      <w:r>
        <w:instrText>"</w:instrText>
      </w:r>
      <w:r>
        <w:rPr>
          <w:rStyle w:val="indexentry"/>
        </w:rPr>
        <w:fldChar w:fldCharType="end"/>
      </w:r>
      <w:r>
        <w:rPr>
          <w:rStyle w:val="indexentry"/>
        </w:rPr>
        <w:t>“</w:t>
      </w:r>
      <w:r>
        <w:t>The cmavo “cu'o” creates probability selbri. The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event x1 has probability (n) of occurring under conditions x2</w:t>
      </w:r>
    </w:p>
    <w:p w:rsidR="00B72047" w:rsidRDefault="00B72047">
      <w:pPr>
        <w:pStyle w:val="resumedafterexample"/>
      </w:pPr>
      <w:r>
        <w:rPr>
          <w:rStyle w:val="htmlcodes"/>
        </w:rPr>
        <w:t>&lt;/dl&gt;</w:t>
      </w:r>
      <w:r>
        <w:rPr>
          <w:rStyle w:val="indexentry"/>
        </w:rPr>
        <w:t>&lt;cx "probability selbri, values"&gt;</w:t>
      </w:r>
      <w:r>
        <w:rPr>
          <w:rStyle w:val="indexentry"/>
        </w:rPr>
        <w:fldChar w:fldCharType="begin"/>
      </w:r>
      <w:r>
        <w:instrText>xe "</w:instrText>
      </w:r>
      <w:r>
        <w:rPr>
          <w:rStyle w:val="xeentry"/>
        </w:rPr>
        <w:instrText>probability selbri: values</w:instrText>
      </w:r>
      <w:r>
        <w:instrText>"</w:instrText>
      </w:r>
      <w:r>
        <w:rPr>
          <w:rStyle w:val="indexentry"/>
        </w:rPr>
        <w:fldChar w:fldCharType="end"/>
      </w:r>
      <w:r>
        <w:t>The number must be between 0 and 1 inclusive. For example:</w:t>
      </w:r>
    </w:p>
    <w:p w:rsidR="00B72047" w:rsidRDefault="00B72047">
      <w:pPr>
        <w:rPr>
          <w:rStyle w:val="htmlparacode"/>
        </w:rPr>
      </w:pPr>
      <w:r>
        <w:rPr>
          <w:rStyle w:val="htmlparacode"/>
        </w:rPr>
        <w:t>&lt;p&gt;</w:t>
      </w:r>
    </w:p>
    <w:p w:rsidR="00B72047" w:rsidRDefault="00B72047">
      <w:pPr>
        <w:pStyle w:val="examplescaledpre"/>
      </w:pPr>
      <w:r>
        <w:rPr>
          <w:rStyle w:val="indexentry"/>
        </w:rPr>
        <w:t>&lt;ex "probability .5"&gt;</w:t>
      </w:r>
      <w:r>
        <w:rPr>
          <w:rStyle w:val="indexentry"/>
        </w:rPr>
        <w:fldChar w:fldCharType="begin"/>
      </w:r>
      <w:r>
        <w:instrText>xe "</w:instrText>
      </w:r>
      <w:r>
        <w:rPr>
          <w:rStyle w:val="xeentry"/>
        </w:rPr>
        <w:instrText>probability .5: example</w:instrText>
      </w:r>
      <w:r>
        <w:instrText>"</w:instrText>
      </w:r>
      <w:r>
        <w:rPr>
          <w:rStyle w:val="indexentry"/>
        </w:rPr>
        <w:fldChar w:fldCharType="end"/>
      </w:r>
      <w:r>
        <w:rPr>
          <w:rStyle w:val="indexentry"/>
        </w:rPr>
        <w:t>&lt;ex "coin heads"&gt;</w:t>
      </w:r>
      <w:r>
        <w:rPr>
          <w:rStyle w:val="indexentry"/>
        </w:rPr>
        <w:fldChar w:fldCharType="begin"/>
      </w:r>
      <w:r>
        <w:instrText>xe "</w:instrText>
      </w:r>
      <w:r>
        <w:rPr>
          <w:rStyle w:val="xeentry"/>
        </w:rPr>
        <w:instrText>coin heads: example</w:instrText>
      </w:r>
      <w:r>
        <w:instrText>"</w:instrText>
      </w:r>
      <w:r>
        <w:rPr>
          <w:rStyle w:val="indexentry"/>
        </w:rPr>
        <w:fldChar w:fldCharType="end"/>
      </w:r>
      <w:r>
        <w:rPr>
          <w:rStyle w:val="htmlcodes"/>
        </w:rPr>
        <w:t>&lt;pre&gt;&lt;a name=e11d9&gt;</w:t>
      </w:r>
      <w:r>
        <w:t>11.9)</w:t>
      </w:r>
      <w:r>
        <w:tab/>
        <w:t>le nu lo sicni cu sedja'o cu pimucu'o</w:t>
      </w:r>
    </w:p>
    <w:p w:rsidR="00B72047" w:rsidRDefault="00B72047">
      <w:pPr>
        <w:pStyle w:val="examplescaled"/>
      </w:pPr>
      <w:r>
        <w:tab/>
        <w:t>The event of a coin being a head-displayer has probability .5.</w:t>
      </w:r>
    </w:p>
    <w:p w:rsidR="00B72047" w:rsidRDefault="00B72047">
      <w:pPr>
        <w:pStyle w:val="normalafterexample"/>
      </w:pPr>
      <w:r>
        <w:rPr>
          <w:rStyle w:val="htmlcodes"/>
        </w:rPr>
        <w:t>&lt;/pre&gt;</w:t>
      </w:r>
      <w:r>
        <w:rPr>
          <w:rStyle w:val="indexentry"/>
        </w:rPr>
        <w:t>&lt;lx "va'e"&gt;</w:t>
      </w:r>
      <w:r>
        <w:rPr>
          <w:rStyle w:val="indexentry"/>
        </w:rPr>
        <w:fldChar w:fldCharType="begin"/>
      </w:r>
      <w:r>
        <w:instrText>xe "</w:instrText>
      </w:r>
      <w:r>
        <w:rPr>
          <w:rStyle w:val="xeentry"/>
        </w:rPr>
        <w:instrText>va'e</w:instrText>
      </w:r>
      <w:r>
        <w:instrText>"</w:instrText>
      </w:r>
      <w:r>
        <w:rPr>
          <w:rStyle w:val="indexentry"/>
        </w:rPr>
        <w:fldChar w:fldCharType="end"/>
      </w:r>
      <w:r>
        <w:rPr>
          <w:rStyle w:val="indexentry"/>
        </w:rPr>
        <w:t>&lt;cx "scale selbri, definition"&gt;</w:t>
      </w:r>
      <w:r>
        <w:rPr>
          <w:rStyle w:val="indexentry"/>
        </w:rPr>
        <w:fldChar w:fldCharType="begin"/>
      </w:r>
      <w:r>
        <w:instrText>xe "</w:instrText>
      </w:r>
      <w:r>
        <w:rPr>
          <w:rStyle w:val="xeentry"/>
        </w:rPr>
        <w:instrText>scale selbri: definition</w:instrText>
      </w:r>
      <w:r>
        <w:instrText>"</w:instrText>
      </w:r>
      <w:r>
        <w:rPr>
          <w:rStyle w:val="indexentry"/>
        </w:rPr>
        <w:fldChar w:fldCharType="end"/>
      </w:r>
      <w:r>
        <w:rPr>
          <w:rStyle w:val="indexentry"/>
        </w:rPr>
        <w:t>&lt;cx "scale selbri, place structure"&gt;</w:t>
      </w:r>
      <w:r>
        <w:rPr>
          <w:rStyle w:val="indexentry"/>
        </w:rPr>
        <w:fldChar w:fldCharType="begin"/>
      </w:r>
      <w:r>
        <w:instrText>xe "</w:instrText>
      </w:r>
      <w:r>
        <w:rPr>
          <w:rStyle w:val="xeentry"/>
        </w:rPr>
        <w:instrText>scale selbri: place structure</w:instrText>
      </w:r>
      <w:r>
        <w:instrText>"</w:instrText>
      </w:r>
      <w:r>
        <w:rPr>
          <w:rStyle w:val="indexentry"/>
        </w:rPr>
        <w:fldChar w:fldCharType="end"/>
      </w:r>
      <w:r>
        <w:t>The cmavo “va'e” creates a scale selbri. The place structure is:</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at scale position (n) on the scale x2</w:t>
      </w:r>
    </w:p>
    <w:p w:rsidR="00B72047" w:rsidRDefault="00B72047">
      <w:pPr>
        <w:pStyle w:val="resumedafterexample"/>
      </w:pPr>
      <w:r>
        <w:rPr>
          <w:rStyle w:val="htmlcodes"/>
        </w:rPr>
        <w:t>&lt;/dl&gt;</w:t>
      </w:r>
      <w:r>
        <w:rPr>
          <w:rStyle w:val="indexentry"/>
        </w:rPr>
        <w:t>&lt;cx "scale, granular contrasted with continuous"&gt;</w:t>
      </w:r>
      <w:r>
        <w:rPr>
          <w:rStyle w:val="indexentry"/>
        </w:rPr>
        <w:fldChar w:fldCharType="begin"/>
      </w:r>
      <w:r>
        <w:instrText>xe "</w:instrText>
      </w:r>
      <w:r>
        <w:rPr>
          <w:rStyle w:val="xeentry"/>
        </w:rPr>
        <w:instrText>scale: granular contrasted with continuous</w:instrText>
      </w:r>
      <w:r>
        <w:instrText>"</w:instrText>
      </w:r>
      <w:r>
        <w:rPr>
          <w:rStyle w:val="indexentry"/>
        </w:rPr>
        <w:fldChar w:fldCharType="end"/>
      </w:r>
      <w:r>
        <w:rPr>
          <w:rStyle w:val="indexentry"/>
        </w:rPr>
        <w:t>&lt;cx "unreduced fractions, use in granular scales"&gt;</w:t>
      </w:r>
      <w:r>
        <w:rPr>
          <w:rStyle w:val="indexentry"/>
        </w:rPr>
        <w:fldChar w:fldCharType="begin"/>
      </w:r>
      <w:r>
        <w:instrText>xe "</w:instrText>
      </w:r>
      <w:r>
        <w:rPr>
          <w:rStyle w:val="xeentry"/>
        </w:rPr>
        <w:instrText>unreduced fractions: use in granular scales</w:instrText>
      </w:r>
      <w:r>
        <w:instrText>"</w:instrText>
      </w:r>
      <w:r>
        <w:rPr>
          <w:rStyle w:val="indexentry"/>
        </w:rPr>
        <w:fldChar w:fldCharType="end"/>
      </w:r>
      <w:r>
        <w:t>If the scale is granular rather than continuous, a form like “cifi'uxa”</w:t>
      </w:r>
      <w:r>
        <w:rPr>
          <w:rStyle w:val="deletedparamark"/>
        </w:rPr>
        <w:t xml:space="preserve"> </w:t>
      </w:r>
      <w:r>
        <w:t>(3/6) may be used; in this case, 3/6 is not the same as 1/2, because the third position on a scale of six positions is not the same as the first position on a scale of two positions . Here</w:t>
      </w:r>
      <w:r>
        <w:rPr>
          <w:rStyle w:val="deletedparamark"/>
        </w:rPr>
        <w:t xml:space="preserve"> </w:t>
      </w:r>
      <w:r>
        <w:t>is an example:</w:t>
      </w:r>
    </w:p>
    <w:p w:rsidR="00B72047" w:rsidRDefault="00B72047">
      <w:pPr>
        <w:rPr>
          <w:rStyle w:val="htmlparacode"/>
        </w:rPr>
      </w:pPr>
      <w:r>
        <w:rPr>
          <w:rStyle w:val="htmlparacode"/>
        </w:rPr>
        <w:t>&lt;p&gt;</w:t>
      </w:r>
    </w:p>
    <w:p w:rsidR="00B72047" w:rsidRDefault="00B72047">
      <w:pPr>
        <w:pStyle w:val="examplescaledpre"/>
      </w:pPr>
      <w:r>
        <w:rPr>
          <w:rStyle w:val="indexentry"/>
        </w:rPr>
        <w:t>&lt;ex "8 out of ten"&gt;</w:t>
      </w:r>
      <w:r>
        <w:rPr>
          <w:rStyle w:val="indexentry"/>
        </w:rPr>
        <w:fldChar w:fldCharType="begin"/>
      </w:r>
      <w:r>
        <w:instrText>xe "</w:instrText>
      </w:r>
      <w:r>
        <w:rPr>
          <w:rStyle w:val="xeentry"/>
        </w:rPr>
        <w:instrText>8 out of ten: example</w:instrText>
      </w:r>
      <w:r>
        <w:instrText>"</w:instrText>
      </w:r>
      <w:r>
        <w:rPr>
          <w:rStyle w:val="indexentry"/>
        </w:rPr>
        <w:fldChar w:fldCharType="end"/>
      </w:r>
      <w:r>
        <w:rPr>
          <w:rStyle w:val="indexentry"/>
        </w:rPr>
        <w:t>&lt;ex "scale of redness"&gt;</w:t>
      </w:r>
      <w:r>
        <w:rPr>
          <w:rStyle w:val="indexentry"/>
        </w:rPr>
        <w:fldChar w:fldCharType="begin"/>
      </w:r>
      <w:r>
        <w:instrText>xe "</w:instrText>
      </w:r>
      <w:r>
        <w:rPr>
          <w:rStyle w:val="xeentry"/>
        </w:rPr>
        <w:instrText>scale of redness: example</w:instrText>
      </w:r>
      <w:r>
        <w:instrText>"</w:instrText>
      </w:r>
      <w:r>
        <w:rPr>
          <w:rStyle w:val="indexentry"/>
        </w:rPr>
        <w:fldChar w:fldCharType="end"/>
      </w:r>
      <w:r>
        <w:rPr>
          <w:rStyle w:val="htmlcodes"/>
        </w:rPr>
        <w:t>&lt;pre&gt;&lt;a name=e11d10&gt;</w:t>
      </w:r>
      <w:r>
        <w:t>11.10)</w:t>
      </w:r>
      <w:r>
        <w:tab/>
        <w:t>le vi rozgu cu sofi'upanova'e xunre</w:t>
      </w:r>
    </w:p>
    <w:p w:rsidR="00B72047" w:rsidRDefault="00B72047">
      <w:pPr>
        <w:pStyle w:val="examplescaled"/>
      </w:pPr>
      <w:r>
        <w:tab/>
        <w:t>This rose is 8/10-scale red</w:t>
      </w:r>
    </w:p>
    <w:p w:rsidR="00B72047" w:rsidRDefault="00B72047">
      <w:pPr>
        <w:pStyle w:val="examplescaled"/>
      </w:pPr>
      <w:r>
        <w:tab/>
        <w:t>This rose is 8 out of 10 on the scale of redness.</w:t>
      </w:r>
    </w:p>
    <w:p w:rsidR="00B72047" w:rsidRDefault="00B72047">
      <w:pPr>
        <w:pStyle w:val="examplescaled"/>
      </w:pPr>
      <w:r>
        <w:tab/>
        <w:t>This rose is very red.</w:t>
      </w:r>
    </w:p>
    <w:p w:rsidR="00B72047" w:rsidRDefault="00B72047">
      <w:pPr>
        <w:pStyle w:val="normalafterexample"/>
      </w:pPr>
      <w:r>
        <w:rPr>
          <w:rStyle w:val="htmlcodes"/>
        </w:rPr>
        <w:t>&lt;/pre&gt;</w:t>
      </w:r>
      <w:r>
        <w:rPr>
          <w:rStyle w:val="indexentry"/>
        </w:rPr>
        <w:t>&lt;cx "subjective numbers, effect on place structure for cardinal selbri"&gt;</w:t>
      </w:r>
      <w:r>
        <w:rPr>
          <w:rStyle w:val="indexentry"/>
        </w:rPr>
        <w:fldChar w:fldCharType="begin"/>
      </w:r>
      <w:r>
        <w:instrText>xe "</w:instrText>
      </w:r>
      <w:r>
        <w:rPr>
          <w:rStyle w:val="xeentry"/>
        </w:rPr>
        <w:instrText>subjective numbers: effect on place structure for cardinal selbri</w:instrText>
      </w:r>
      <w:r>
        <w:instrText>"</w:instrText>
      </w:r>
      <w:r>
        <w:rPr>
          <w:rStyle w:val="indexentry"/>
        </w:rPr>
        <w:fldChar w:fldCharType="end"/>
      </w:r>
      <w:r>
        <w:rPr>
          <w:rStyle w:val="indexentry"/>
        </w:rPr>
        <w:t>&lt;cx "subjective numbers, effect on place structure for ordinal selbri"&gt;</w:t>
      </w:r>
      <w:r>
        <w:rPr>
          <w:rStyle w:val="indexentry"/>
        </w:rPr>
        <w:fldChar w:fldCharType="begin"/>
      </w:r>
      <w:r>
        <w:instrText>xe "</w:instrText>
      </w:r>
      <w:r>
        <w:rPr>
          <w:rStyle w:val="xeentry"/>
        </w:rPr>
        <w:instrText>subjective numbers: effect on place structure for ordinal selbri</w:instrText>
      </w:r>
      <w:r>
        <w:instrText>"</w:instrText>
      </w:r>
      <w:r>
        <w:rPr>
          <w:rStyle w:val="indexentry"/>
        </w:rPr>
        <w:fldChar w:fldCharType="end"/>
      </w:r>
      <w:r>
        <w:rPr>
          <w:rStyle w:val="indexentry"/>
        </w:rPr>
        <w:t>&lt;cx "subjective numbers, effect on place structure for portion selbri"&gt;</w:t>
      </w:r>
      <w:r>
        <w:rPr>
          <w:rStyle w:val="indexentry"/>
        </w:rPr>
        <w:fldChar w:fldCharType="begin"/>
      </w:r>
      <w:r>
        <w:instrText>xe "</w:instrText>
      </w:r>
      <w:r>
        <w:rPr>
          <w:rStyle w:val="xeentry"/>
        </w:rPr>
        <w:instrText>subjective numbers: effect on place structure for portion selbri</w:instrText>
      </w:r>
      <w:r>
        <w:instrText>"</w:instrText>
      </w:r>
      <w:r>
        <w:rPr>
          <w:rStyle w:val="indexentry"/>
        </w:rPr>
        <w:fldChar w:fldCharType="end"/>
      </w:r>
      <w:r>
        <w:rPr>
          <w:rStyle w:val="indexentry"/>
        </w:rPr>
        <w:t>&lt;cx "subjective numbers, effect on place structure for probability selbri"&gt;</w:t>
      </w:r>
      <w:r>
        <w:rPr>
          <w:rStyle w:val="indexentry"/>
        </w:rPr>
        <w:fldChar w:fldCharType="begin"/>
      </w:r>
      <w:r>
        <w:instrText>xe "</w:instrText>
      </w:r>
      <w:r>
        <w:rPr>
          <w:rStyle w:val="xeentry"/>
        </w:rPr>
        <w:instrText>subjective numbers: effect on place structure for probability selbri</w:instrText>
      </w:r>
      <w:r>
        <w:instrText>"</w:instrText>
      </w:r>
      <w:r>
        <w:rPr>
          <w:rStyle w:val="indexentry"/>
        </w:rPr>
        <w:fldChar w:fldCharType="end"/>
      </w:r>
      <w:r>
        <w:rPr>
          <w:rStyle w:val="indexentry"/>
        </w:rPr>
        <w:t>&lt;cx "subjective numbers, effect on place structure for scale selbri"&gt;</w:t>
      </w:r>
      <w:r>
        <w:rPr>
          <w:rStyle w:val="indexentry"/>
        </w:rPr>
        <w:fldChar w:fldCharType="begin"/>
      </w:r>
      <w:r>
        <w:instrText>xe "</w:instrText>
      </w:r>
      <w:r>
        <w:rPr>
          <w:rStyle w:val="xeentry"/>
        </w:rPr>
        <w:instrText>subjective numbers: effect on place structure for scale selbri</w:instrText>
      </w:r>
      <w:r>
        <w:instrText>"</w:instrText>
      </w:r>
      <w:r>
        <w:rPr>
          <w:rStyle w:val="indexentry"/>
        </w:rPr>
        <w:fldChar w:fldCharType="end"/>
      </w:r>
      <w:r>
        <w:rPr>
          <w:rStyle w:val="indexentry"/>
        </w:rPr>
        <w:t>&lt;cx "cardinal selbri, place structure effect from subjective numbers"&gt;</w:t>
      </w:r>
      <w:r>
        <w:rPr>
          <w:rStyle w:val="indexentry"/>
        </w:rPr>
        <w:fldChar w:fldCharType="begin"/>
      </w:r>
      <w:r>
        <w:instrText>xe "</w:instrText>
      </w:r>
      <w:r>
        <w:rPr>
          <w:rStyle w:val="xeentry"/>
        </w:rPr>
        <w:instrText>cardinal selbri: place structure effect from subjective numbers</w:instrText>
      </w:r>
      <w:r>
        <w:instrText>"</w:instrText>
      </w:r>
      <w:r>
        <w:rPr>
          <w:rStyle w:val="indexentry"/>
        </w:rPr>
        <w:fldChar w:fldCharType="end"/>
      </w:r>
      <w:r>
        <w:rPr>
          <w:rStyle w:val="indexentry"/>
        </w:rPr>
        <w:t>&lt;cx "ordinal selbri, place structure effect from subjective numbers"&gt;</w:t>
      </w:r>
      <w:r>
        <w:rPr>
          <w:rStyle w:val="indexentry"/>
        </w:rPr>
        <w:fldChar w:fldCharType="begin"/>
      </w:r>
      <w:r>
        <w:instrText>xe "</w:instrText>
      </w:r>
      <w:r>
        <w:rPr>
          <w:rStyle w:val="xeentry"/>
        </w:rPr>
        <w:instrText>ordinal selbri: place structure effect from subjective numbers</w:instrText>
      </w:r>
      <w:r>
        <w:instrText>"</w:instrText>
      </w:r>
      <w:r>
        <w:rPr>
          <w:rStyle w:val="indexentry"/>
        </w:rPr>
        <w:fldChar w:fldCharType="end"/>
      </w:r>
      <w:r>
        <w:rPr>
          <w:rStyle w:val="indexentry"/>
        </w:rPr>
        <w:t>&lt;cx "portion selbri, place structure effect from subjective numbers"&gt;</w:t>
      </w:r>
      <w:r>
        <w:rPr>
          <w:rStyle w:val="indexentry"/>
        </w:rPr>
        <w:fldChar w:fldCharType="begin"/>
      </w:r>
      <w:r>
        <w:instrText>xe "</w:instrText>
      </w:r>
      <w:r>
        <w:rPr>
          <w:rStyle w:val="xeentry"/>
        </w:rPr>
        <w:instrText>portion selbri: place structure effect from subjective numbers</w:instrText>
      </w:r>
      <w:r>
        <w:instrText>"</w:instrText>
      </w:r>
      <w:r>
        <w:rPr>
          <w:rStyle w:val="indexentry"/>
        </w:rPr>
        <w:fldChar w:fldCharType="end"/>
      </w:r>
      <w:r>
        <w:rPr>
          <w:rStyle w:val="indexentry"/>
        </w:rPr>
        <w:t>&lt;cx "probability selbri, place structure effect from subjective numbers"&gt;</w:t>
      </w:r>
      <w:r>
        <w:rPr>
          <w:rStyle w:val="indexentry"/>
        </w:rPr>
        <w:fldChar w:fldCharType="begin"/>
      </w:r>
      <w:r>
        <w:instrText>xe "</w:instrText>
      </w:r>
      <w:r>
        <w:rPr>
          <w:rStyle w:val="xeentry"/>
        </w:rPr>
        <w:instrText>probability selbri: place structure effect from subjective numbers</w:instrText>
      </w:r>
      <w:r>
        <w:instrText>"</w:instrText>
      </w:r>
      <w:r>
        <w:rPr>
          <w:rStyle w:val="indexentry"/>
        </w:rPr>
        <w:fldChar w:fldCharType="end"/>
      </w:r>
      <w:r>
        <w:rPr>
          <w:rStyle w:val="indexentry"/>
        </w:rPr>
        <w:t>&lt;cx "scale selbri, place structure effect from subjective numbers"&gt;</w:t>
      </w:r>
      <w:r>
        <w:rPr>
          <w:rStyle w:val="indexentry"/>
        </w:rPr>
        <w:fldChar w:fldCharType="begin"/>
      </w:r>
      <w:r>
        <w:instrText>xe "</w:instrText>
      </w:r>
      <w:r>
        <w:rPr>
          <w:rStyle w:val="xeentry"/>
        </w:rPr>
        <w:instrText>scale selbri: place structure effect from subjective numbers</w:instrText>
      </w:r>
      <w:r>
        <w:instrText>"</w:instrText>
      </w:r>
      <w:r>
        <w:rPr>
          <w:rStyle w:val="indexentry"/>
        </w:rPr>
        <w:fldChar w:fldCharType="end"/>
      </w:r>
      <w:r>
        <w:rPr>
          <w:rStyle w:val="indexentry"/>
        </w:rPr>
        <w:t>&lt;lx "rau"&gt;</w:t>
      </w:r>
      <w:r>
        <w:rPr>
          <w:rStyle w:val="indexentry"/>
        </w:rPr>
        <w:fldChar w:fldCharType="begin"/>
      </w:r>
      <w:r>
        <w:instrText>xe "</w:instrText>
      </w:r>
      <w:r>
        <w:rPr>
          <w:rStyle w:val="xeentry"/>
        </w:rPr>
        <w:instrText>rau</w:instrText>
      </w:r>
      <w:r>
        <w:instrText>"</w:instrText>
      </w:r>
      <w:r>
        <w:rPr>
          <w:rStyle w:val="indexentry"/>
        </w:rPr>
        <w:fldChar w:fldCharType="end"/>
      </w:r>
      <w:r>
        <w:rPr>
          <w:rStyle w:val="indexentry"/>
        </w:rPr>
        <w:t>&lt;lx "du'e"&gt;</w:t>
      </w:r>
      <w:r>
        <w:rPr>
          <w:rStyle w:val="indexentry"/>
        </w:rPr>
        <w:fldChar w:fldCharType="begin"/>
      </w:r>
      <w:r>
        <w:instrText>xe "</w:instrText>
      </w:r>
      <w:r>
        <w:rPr>
          <w:rStyle w:val="xeentry"/>
        </w:rPr>
        <w:instrText>du'e</w:instrText>
      </w:r>
      <w:r>
        <w:instrText>"</w:instrText>
      </w:r>
      <w:r>
        <w:rPr>
          <w:rStyle w:val="indexentry"/>
        </w:rPr>
        <w:fldChar w:fldCharType="end"/>
      </w:r>
      <w:r>
        <w:rPr>
          <w:rStyle w:val="indexentry"/>
        </w:rPr>
        <w:t>&lt;lx "mo'a"&gt;</w:t>
      </w:r>
      <w:r>
        <w:rPr>
          <w:rStyle w:val="indexentry"/>
        </w:rPr>
        <w:fldChar w:fldCharType="begin"/>
      </w:r>
      <w:r>
        <w:instrText>xe "</w:instrText>
      </w:r>
      <w:r>
        <w:rPr>
          <w:rStyle w:val="xeentry"/>
        </w:rPr>
        <w:instrText>mo'a</w:instrText>
      </w:r>
      <w:r>
        <w:instrText>"</w:instrText>
      </w:r>
      <w:r>
        <w:rPr>
          <w:rStyle w:val="indexentry"/>
        </w:rPr>
        <w:fldChar w:fldCharType="end"/>
      </w:r>
      <w:r>
        <w:t>When the quantifier preceding any MOI cmavo includes the subjective num</w:t>
      </w:r>
      <w:r>
        <w:softHyphen/>
        <w:t>bers</w:t>
      </w:r>
      <w:r>
        <w:rPr>
          <w:rStyle w:val="deletedparamark"/>
        </w:rPr>
        <w:t xml:space="preserve"> “</w:t>
      </w:r>
      <w:r>
        <w:t>rau”, “du'e”, or “mo'a” (enough, too many, too few) then an additional</w:t>
      </w:r>
      <w:r>
        <w:rPr>
          <w:rStyle w:val="deletedparamark"/>
        </w:rPr>
        <w:t xml:space="preserve"> </w:t>
      </w:r>
      <w:r>
        <w:t>place is added for “by standard”. For example:</w:t>
      </w:r>
    </w:p>
    <w:p w:rsidR="00B72047" w:rsidRDefault="00B72047">
      <w:pPr>
        <w:rPr>
          <w:rStyle w:val="htmlparacode"/>
        </w:rPr>
      </w:pPr>
      <w:r>
        <w:rPr>
          <w:rStyle w:val="htmlparacode"/>
        </w:rPr>
        <w:t>&lt;p&gt;</w:t>
      </w:r>
    </w:p>
    <w:p w:rsidR="00B72047" w:rsidRDefault="00B72047">
      <w:pPr>
        <w:pStyle w:val="examplescaledpre"/>
      </w:pPr>
      <w:r>
        <w:rPr>
          <w:rStyle w:val="indexentry"/>
        </w:rPr>
        <w:t>&lt;cx "too many rats"&gt;</w:t>
      </w:r>
      <w:r>
        <w:rPr>
          <w:rStyle w:val="indexentry"/>
        </w:rPr>
        <w:fldChar w:fldCharType="begin"/>
      </w:r>
      <w:r>
        <w:instrText>xe "</w:instrText>
      </w:r>
      <w:r>
        <w:rPr>
          <w:rStyle w:val="xeentry"/>
        </w:rPr>
        <w:instrText>too many rats: example</w:instrText>
      </w:r>
      <w:r>
        <w:instrText>"</w:instrText>
      </w:r>
      <w:r>
        <w:rPr>
          <w:rStyle w:val="indexentry"/>
        </w:rPr>
        <w:fldChar w:fldCharType="end"/>
      </w:r>
      <w:r>
        <w:rPr>
          <w:rStyle w:val="htmlcodes"/>
        </w:rPr>
        <w:t>&lt;pre&gt;&lt;a name=e11d11&gt;</w:t>
      </w:r>
      <w:r>
        <w:t>11.11)</w:t>
      </w:r>
      <w:r>
        <w:tab/>
        <w:t>lei ratcu poi zvati le panka cu du'emei fo mi</w:t>
      </w:r>
    </w:p>
    <w:p w:rsidR="00B72047" w:rsidRDefault="00B72047">
      <w:pPr>
        <w:pStyle w:val="examplescaled"/>
      </w:pPr>
      <w:r>
        <w:tab/>
        <w:t>The-mass-of rats which-are in the park are too-many by-standard me.</w:t>
      </w:r>
    </w:p>
    <w:p w:rsidR="00B72047" w:rsidRDefault="00B72047">
      <w:pPr>
        <w:pStyle w:val="examplescaled"/>
      </w:pPr>
      <w:r>
        <w:tab/>
        <w:t>There are too many rats in the park for me.</w:t>
      </w:r>
    </w:p>
    <w:p w:rsidR="00B72047" w:rsidRDefault="00B72047">
      <w:pPr>
        <w:pStyle w:val="resumedafterexample"/>
      </w:pPr>
      <w:r>
        <w:rPr>
          <w:rStyle w:val="htmlcodes"/>
        </w:rPr>
        <w:t>&lt;/pre&gt;</w:t>
      </w:r>
      <w:r>
        <w:rPr>
          <w:rStyle w:val="indexentry"/>
        </w:rPr>
        <w:t>&lt;cx "subjective numbers, rationale for effect on place structure"&gt;</w:t>
      </w:r>
      <w:r>
        <w:rPr>
          <w:rStyle w:val="indexentry"/>
        </w:rPr>
        <w:fldChar w:fldCharType="begin"/>
      </w:r>
      <w:r>
        <w:instrText>xe "</w:instrText>
      </w:r>
      <w:r>
        <w:rPr>
          <w:rStyle w:val="xeentry"/>
        </w:rPr>
        <w:instrText>subjective numbers: rationale for effect on place structure</w:instrText>
      </w:r>
      <w:r>
        <w:instrText>"</w:instrText>
      </w:r>
      <w:r>
        <w:rPr>
          <w:rStyle w:val="indexentry"/>
        </w:rPr>
        <w:fldChar w:fldCharType="end"/>
      </w:r>
      <w:r>
        <w:t>The extra place (which for “-mei” is the x4 place labeled by “fo”)</w:t>
      </w:r>
      <w:r>
        <w:rPr>
          <w:rStyle w:val="deletedparamark"/>
        </w:rPr>
        <w:t xml:space="preserve"> </w:t>
      </w:r>
      <w:r>
        <w:t>is provided rather than using a BAI tag such as “ma'i” because a</w:t>
      </w:r>
      <w:r>
        <w:rPr>
          <w:rStyle w:val="deletedparamark"/>
        </w:rPr>
        <w:t xml:space="preserve"> </w:t>
      </w:r>
      <w:r>
        <w:t>specification of the standard for judg</w:t>
      </w:r>
      <w:r>
        <w:softHyphen/>
        <w:t>ment is essential to the</w:t>
      </w:r>
      <w:r>
        <w:rPr>
          <w:rStyle w:val="deletedparamark"/>
        </w:rPr>
        <w:t xml:space="preserve"> </w:t>
      </w:r>
      <w:r>
        <w:t>meaning of subjective words like “enough”.</w:t>
      </w:r>
    </w:p>
    <w:p w:rsidR="00B72047" w:rsidRDefault="00B72047">
      <w:pPr>
        <w:rPr>
          <w:rStyle w:val="htmlparacode"/>
        </w:rPr>
      </w:pPr>
      <w:r>
        <w:rPr>
          <w:rStyle w:val="htmlparacode"/>
        </w:rPr>
        <w:t>&lt;p&gt;</w:t>
      </w:r>
    </w:p>
    <w:p w:rsidR="00B72047" w:rsidRDefault="00B72047">
      <w:pPr>
        <w:pStyle w:val="normalparagraph"/>
      </w:pPr>
      <w:r>
        <w:rPr>
          <w:rStyle w:val="indexentry"/>
        </w:rPr>
        <w:t>&lt;cx "standard for subjective numbers, specifying"&gt;</w:t>
      </w:r>
      <w:r>
        <w:rPr>
          <w:rStyle w:val="indexentry"/>
        </w:rPr>
        <w:fldChar w:fldCharType="begin"/>
      </w:r>
      <w:r>
        <w:instrText>xe "</w:instrText>
      </w:r>
      <w:r>
        <w:rPr>
          <w:rStyle w:val="xeentry"/>
        </w:rPr>
        <w:instrText>standard for subjective numbers: specifying</w:instrText>
      </w:r>
      <w:r>
        <w:instrText>"</w:instrText>
      </w:r>
      <w:r>
        <w:rPr>
          <w:rStyle w:val="indexentry"/>
        </w:rPr>
        <w:fldChar w:fldCharType="end"/>
      </w:r>
      <w:r>
        <w:rPr>
          <w:rStyle w:val="indexentry"/>
        </w:rPr>
        <w:t>&lt;cx "subjective numbers, specifying standard for"&gt;</w:t>
      </w:r>
      <w:r>
        <w:rPr>
          <w:rStyle w:val="indexentry"/>
        </w:rPr>
        <w:fldChar w:fldCharType="begin"/>
      </w:r>
      <w:r>
        <w:instrText>xe "</w:instrText>
      </w:r>
      <w:r>
        <w:rPr>
          <w:rStyle w:val="xeentry"/>
        </w:rPr>
        <w:instrText>subjective numbers: specifying standard for</w:instrText>
      </w:r>
      <w:r>
        <w:instrText>"</w:instrText>
      </w:r>
      <w:r>
        <w:rPr>
          <w:rStyle w:val="indexentry"/>
        </w:rPr>
        <w:fldChar w:fldCharType="end"/>
      </w:r>
      <w:r>
        <w:t>This place is not normally explicit when using one of the subjective numbers</w:t>
      </w:r>
      <w:r>
        <w:rPr>
          <w:rStyle w:val="deletedparamark"/>
        </w:rPr>
        <w:t xml:space="preserve"> </w:t>
      </w:r>
      <w:r>
        <w:t>directly as a number. Therefore, “du'e ratcu” means “too many rats”</w:t>
      </w:r>
      <w:r>
        <w:rPr>
          <w:rStyle w:val="deletedparamark"/>
        </w:rPr>
        <w:t xml:space="preserve"> </w:t>
      </w:r>
      <w:r>
        <w:t>without specifying any sta</w:t>
      </w:r>
      <w:r>
        <w:t>n</w:t>
      </w:r>
      <w:r>
        <w:softHyphen/>
        <w:t>dard.</w:t>
      </w:r>
    </w:p>
    <w:p w:rsidR="00B72047" w:rsidRDefault="00B72047">
      <w:pPr>
        <w:rPr>
          <w:rStyle w:val="htmlparacode"/>
        </w:rPr>
      </w:pPr>
      <w:r>
        <w:rPr>
          <w:rStyle w:val="htmlparacode"/>
        </w:rPr>
        <w:t>&lt;p&gt;</w:t>
      </w:r>
    </w:p>
    <w:p w:rsidR="00B72047" w:rsidRDefault="00B72047">
      <w:pPr>
        <w:pStyle w:val="normalparagraph"/>
      </w:pPr>
      <w:r>
        <w:rPr>
          <w:rStyle w:val="indexentry"/>
        </w:rPr>
        <w:t>&lt;cx "numerical selbri, special, with lerfu strings"&gt;</w:t>
      </w:r>
      <w:r>
        <w:rPr>
          <w:rStyle w:val="indexentry"/>
        </w:rPr>
        <w:fldChar w:fldCharType="begin"/>
      </w:r>
      <w:r>
        <w:instrText>xe "</w:instrText>
      </w:r>
      <w:r>
        <w:rPr>
          <w:rStyle w:val="xeentry"/>
        </w:rPr>
        <w:instrText>numerical selbri: special, with lerfu strings</w:instrText>
      </w:r>
      <w:r>
        <w:instrText>"</w:instrText>
      </w:r>
      <w:r>
        <w:rPr>
          <w:rStyle w:val="indexentry"/>
        </w:rPr>
        <w:fldChar w:fldCharType="end"/>
      </w:r>
      <w:r>
        <w:rPr>
          <w:rStyle w:val="indexentry"/>
        </w:rPr>
        <w:t>&lt;cx "lerfu strings, with numerical selbri"&gt;</w:t>
      </w:r>
      <w:r>
        <w:rPr>
          <w:rStyle w:val="indexentry"/>
        </w:rPr>
        <w:fldChar w:fldCharType="begin"/>
      </w:r>
      <w:r>
        <w:instrText>xe "</w:instrText>
      </w:r>
      <w:r>
        <w:rPr>
          <w:rStyle w:val="xeentry"/>
        </w:rPr>
        <w:instrText>lerfu string: with numerical selbri</w:instrText>
      </w:r>
      <w:r>
        <w:instrText>"</w:instrText>
      </w:r>
      <w:r>
        <w:rPr>
          <w:rStyle w:val="indexentry"/>
        </w:rPr>
        <w:fldChar w:fldCharType="end"/>
      </w:r>
      <w:r>
        <w:t>It is also grammatical to substitute a lerfu string for a number:</w:t>
      </w:r>
    </w:p>
    <w:p w:rsidR="00B72047" w:rsidRDefault="00B72047">
      <w:pPr>
        <w:rPr>
          <w:rStyle w:val="htmlparacode"/>
        </w:rPr>
      </w:pPr>
      <w:r>
        <w:rPr>
          <w:rStyle w:val="htmlparacode"/>
        </w:rPr>
        <w:t>&lt;p&gt;</w:t>
      </w:r>
    </w:p>
    <w:p w:rsidR="00B72047" w:rsidRDefault="00B72047">
      <w:pPr>
        <w:pStyle w:val="examplescaledpre"/>
      </w:pPr>
      <w:r>
        <w:rPr>
          <w:rStyle w:val="indexentry"/>
        </w:rPr>
        <w:t>&lt;ex "nth rat"&gt;</w:t>
      </w:r>
      <w:r>
        <w:rPr>
          <w:rStyle w:val="indexentry"/>
        </w:rPr>
        <w:fldChar w:fldCharType="begin"/>
      </w:r>
      <w:r>
        <w:instrText>xe "</w:instrText>
      </w:r>
      <w:r>
        <w:rPr>
          <w:rStyle w:val="xeentry"/>
        </w:rPr>
        <w:instrText>nth rat: example</w:instrText>
      </w:r>
      <w:r>
        <w:instrText>"</w:instrText>
      </w:r>
      <w:r>
        <w:rPr>
          <w:rStyle w:val="indexentry"/>
        </w:rPr>
        <w:fldChar w:fldCharType="end"/>
      </w:r>
      <w:r>
        <w:rPr>
          <w:rStyle w:val="htmlcodes"/>
        </w:rPr>
        <w:t>&lt;pre&gt;&lt;a name=e11d12&gt;</w:t>
      </w:r>
      <w:r>
        <w:t>11.12)</w:t>
      </w:r>
      <w:r>
        <w:tab/>
        <w:t>ta ny.moi le'i mi ratcu</w:t>
      </w:r>
    </w:p>
    <w:p w:rsidR="00B72047" w:rsidRDefault="00B72047">
      <w:pPr>
        <w:pStyle w:val="examplescaled"/>
      </w:pPr>
      <w:r>
        <w:tab/>
        <w:t>That is-nth-of the-set-of my rats</w:t>
      </w:r>
    </w:p>
    <w:p w:rsidR="00B72047" w:rsidRDefault="00B72047">
      <w:pPr>
        <w:pStyle w:val="examplescaled"/>
      </w:pPr>
      <w:r>
        <w:tab/>
        <w:t xml:space="preserve">That is my </w:t>
      </w:r>
      <w:r>
        <w:rPr>
          <w:rStyle w:val="math"/>
        </w:rPr>
        <w:t>n</w:t>
      </w:r>
      <w:r>
        <w:t>th rat.</w:t>
      </w:r>
    </w:p>
    <w:p w:rsidR="00B72047" w:rsidRDefault="00B72047">
      <w:pPr>
        <w:pStyle w:val="normalafterexample"/>
        <w:rPr>
          <w:rStyle w:val="htmlparacode"/>
        </w:rPr>
      </w:pPr>
      <w:r>
        <w:rPr>
          <w:rStyle w:val="htmlcodes"/>
        </w:rPr>
        <w:t>&lt;/pre&gt;</w:t>
      </w:r>
      <w:r>
        <w:rPr>
          <w:rStyle w:val="indexentry"/>
        </w:rPr>
        <w:t>&lt;cx "numerical selbri, grammar"&gt;</w:t>
      </w:r>
      <w:r>
        <w:rPr>
          <w:rStyle w:val="indexentry"/>
        </w:rPr>
        <w:fldChar w:fldCharType="begin"/>
      </w:r>
      <w:r>
        <w:instrText>xe "</w:instrText>
      </w:r>
      <w:r>
        <w:rPr>
          <w:rStyle w:val="xeentry"/>
        </w:rPr>
        <w:instrText>numerical selbri: grammar</w:instrText>
      </w:r>
      <w:r>
        <w:instrText>"</w:instrText>
      </w:r>
      <w:r>
        <w:rPr>
          <w:rStyle w:val="indexentry"/>
        </w:rPr>
        <w:fldChar w:fldCharType="end"/>
      </w:r>
      <w:r>
        <w:rPr>
          <w:rStyle w:val="indexentry"/>
        </w:rPr>
        <w:t>&lt;cx "numerical selbri, restriction on numbers used for"&gt;</w:t>
      </w:r>
      <w:r>
        <w:rPr>
          <w:rStyle w:val="indexentry"/>
        </w:rPr>
        <w:fldChar w:fldCharType="begin"/>
      </w:r>
      <w:r>
        <w:instrText>xe "</w:instrText>
      </w:r>
      <w:r>
        <w:rPr>
          <w:rStyle w:val="xeentry"/>
        </w:rPr>
        <w:instrText>numerical selbri: restriction on numbers used for</w:instrText>
      </w:r>
      <w:r>
        <w:instrText>"</w:instrText>
      </w:r>
      <w:r>
        <w:rPr>
          <w:rStyle w:val="indexentry"/>
        </w:rPr>
        <w:fldChar w:fldCharType="end"/>
      </w:r>
      <w:r>
        <w:t>More complex mekso cannot be placed directly in front of MOI, due to the</w:t>
      </w:r>
      <w:r>
        <w:rPr>
          <w:rStyle w:val="deletedparamark"/>
        </w:rPr>
        <w:t xml:space="preserve"> </w:t>
      </w:r>
      <w:r>
        <w:t>re</w:t>
      </w:r>
      <w:r>
        <w:softHyphen/>
        <w:t>sulting grammatical ambiguities. Instead, a somewhat artificial form of</w:t>
      </w:r>
      <w:r>
        <w:rPr>
          <w:rStyle w:val="deletedparamark"/>
        </w:rPr>
        <w:t xml:space="preserve"> </w:t>
      </w:r>
      <w:r>
        <w:t xml:space="preserve">expression is required. </w:t>
      </w:r>
      <w:r>
        <w:rPr>
          <w:rStyle w:val="htmlparacode"/>
        </w:rPr>
        <w:t>&lt;p&gt;</w:t>
      </w:r>
    </w:p>
    <w:p w:rsidR="00B72047" w:rsidRDefault="00B72047">
      <w:pPr>
        <w:pStyle w:val="normalparagraph"/>
      </w:pPr>
      <w:r>
        <w:rPr>
          <w:rStyle w:val="indexentry"/>
        </w:rPr>
        <w:t>&lt;lx "me"&gt;</w:t>
      </w:r>
      <w:r>
        <w:rPr>
          <w:rStyle w:val="indexentry"/>
        </w:rPr>
        <w:fldChar w:fldCharType="begin"/>
      </w:r>
      <w:r>
        <w:instrText>xe "</w:instrText>
      </w:r>
      <w:r>
        <w:rPr>
          <w:rStyle w:val="xeentry"/>
        </w:rPr>
        <w:instrText>me</w:instrText>
      </w:r>
      <w:r>
        <w:instrText>"</w:instrText>
      </w:r>
      <w:r>
        <w:rPr>
          <w:rStyle w:val="indexentry"/>
        </w:rPr>
        <w:fldChar w:fldCharType="end"/>
      </w:r>
      <w:r>
        <w:rPr>
          <w:rStyle w:val="indexentry"/>
        </w:rPr>
        <w:t>&lt;lx "ME"&gt;</w:t>
      </w:r>
      <w:r>
        <w:rPr>
          <w:rStyle w:val="indexentry"/>
        </w:rPr>
        <w:fldChar w:fldCharType="begin"/>
      </w:r>
      <w:r>
        <w:instrText>xe "</w:instrText>
      </w:r>
      <w:r>
        <w:rPr>
          <w:rStyle w:val="xeentry"/>
        </w:rPr>
        <w:instrText>ME selma’o</w:instrText>
      </w:r>
      <w:r>
        <w:instrText>"</w:instrText>
      </w:r>
      <w:r>
        <w:rPr>
          <w:rStyle w:val="indexentry"/>
        </w:rPr>
        <w:fldChar w:fldCharType="end"/>
      </w:r>
      <w:r>
        <w:t>The cmavo “me” (of selma'o ME) has the function of making a sumti</w:t>
      </w:r>
      <w:r>
        <w:rPr>
          <w:rStyle w:val="deletedparamark"/>
        </w:rPr>
        <w:t xml:space="preserve"> </w:t>
      </w:r>
      <w:r>
        <w:t xml:space="preserve">into a selbri. </w:t>
      </w:r>
      <w:r>
        <w:rPr>
          <w:rStyle w:val="htmlcodes"/>
        </w:rPr>
        <w:t>&lt;/pre&gt;</w:t>
      </w:r>
      <w:r>
        <w:rPr>
          <w:rStyle w:val="indexentry"/>
        </w:rPr>
        <w:t>&lt;cx "numerical selbri, use of “me” with"&gt;</w:t>
      </w:r>
      <w:r>
        <w:rPr>
          <w:rStyle w:val="indexentry"/>
        </w:rPr>
        <w:fldChar w:fldCharType="begin"/>
      </w:r>
      <w:r>
        <w:instrText>xe "</w:instrText>
      </w:r>
      <w:r>
        <w:rPr>
          <w:rStyle w:val="xeentry"/>
        </w:rPr>
        <w:instrText>numerical selbri: use of me with</w:instrText>
      </w:r>
      <w:r>
        <w:instrText>"</w:instrText>
      </w:r>
      <w:r>
        <w:rPr>
          <w:rStyle w:val="indexentry"/>
        </w:rPr>
        <w:fldChar w:fldCharType="end"/>
      </w:r>
      <w:r>
        <w:rPr>
          <w:rStyle w:val="indexentry"/>
        </w:rPr>
        <w:t>&lt;cx "numerical selbri, complex"&gt;</w:t>
      </w:r>
      <w:r>
        <w:rPr>
          <w:rStyle w:val="indexentry"/>
        </w:rPr>
        <w:fldChar w:fldCharType="begin"/>
      </w:r>
      <w:r>
        <w:instrText>xe "</w:instrText>
      </w:r>
      <w:r>
        <w:rPr>
          <w:rStyle w:val="xeentry"/>
        </w:rPr>
        <w:instrText>numerical selbri: complex</w:instrText>
      </w:r>
      <w:r>
        <w:instrText>"</w:instrText>
      </w:r>
      <w:r>
        <w:rPr>
          <w:rStyle w:val="indexentry"/>
        </w:rPr>
        <w:fldChar w:fldCharType="end"/>
      </w:r>
      <w:r>
        <w:rPr>
          <w:rStyle w:val="indexentry"/>
        </w:rPr>
        <w:t>&lt;cx "“me”, effect of MOI on"&gt;</w:t>
      </w:r>
      <w:r>
        <w:rPr>
          <w:rStyle w:val="indexentry"/>
        </w:rPr>
        <w:fldChar w:fldCharType="begin"/>
      </w:r>
      <w:r>
        <w:instrText>xe "</w:instrText>
      </w:r>
      <w:r>
        <w:rPr>
          <w:rStyle w:val="xeentry"/>
        </w:rPr>
        <w:instrText>me: effect of MOI on</w:instrText>
      </w:r>
      <w:r>
        <w:instrText>"</w:instrText>
      </w:r>
      <w:r>
        <w:rPr>
          <w:rStyle w:val="indexentry"/>
        </w:rPr>
        <w:fldChar w:fldCharType="end"/>
      </w:r>
      <w:r>
        <w:rPr>
          <w:rStyle w:val="indexentry"/>
        </w:rPr>
        <w:t>&lt;lx "me'u"&gt;</w:t>
      </w:r>
      <w:r>
        <w:rPr>
          <w:rStyle w:val="indexentry"/>
        </w:rPr>
        <w:fldChar w:fldCharType="begin"/>
      </w:r>
      <w:r>
        <w:instrText>xe "</w:instrText>
      </w:r>
      <w:r>
        <w:rPr>
          <w:rStyle w:val="xeentry"/>
        </w:rPr>
        <w:instrText>me'u</w:instrText>
      </w:r>
      <w:r>
        <w:instrText>"</w:instrText>
      </w:r>
      <w:r>
        <w:rPr>
          <w:rStyle w:val="indexentry"/>
        </w:rPr>
        <w:fldChar w:fldCharType="end"/>
      </w:r>
      <w:r>
        <w:rPr>
          <w:rStyle w:val="indexentry"/>
        </w:rPr>
        <w:t>&lt;cx "numerical selbri, alternative to compensate for restriction on numbers"&gt;</w:t>
      </w:r>
      <w:r>
        <w:rPr>
          <w:rStyle w:val="indexentry"/>
        </w:rPr>
        <w:fldChar w:fldCharType="begin"/>
      </w:r>
      <w:r>
        <w:instrText>xe "</w:instrText>
      </w:r>
      <w:r>
        <w:rPr>
          <w:rStyle w:val="xeentry"/>
        </w:rPr>
        <w:instrText>numerical selbri: alternative to compensate for restriction on numbers</w:instrText>
      </w:r>
      <w:r>
        <w:instrText>"</w:instrText>
      </w:r>
      <w:r>
        <w:rPr>
          <w:rStyle w:val="indexentry"/>
        </w:rPr>
        <w:fldChar w:fldCharType="end"/>
      </w:r>
      <w:r>
        <w:t>A whole “me” construction can have a member of MOI added to the end to</w:t>
      </w:r>
      <w:r>
        <w:rPr>
          <w:rStyle w:val="deletedparamark"/>
        </w:rPr>
        <w:t xml:space="preserve"> </w:t>
      </w:r>
      <w:r>
        <w:t>create a co</w:t>
      </w:r>
      <w:r>
        <w:t>m</w:t>
      </w:r>
      <w:r>
        <w:softHyphen/>
        <w:t>plex mekso selbri:</w:t>
      </w:r>
    </w:p>
    <w:p w:rsidR="00B72047" w:rsidRDefault="00B72047">
      <w:pPr>
        <w:rPr>
          <w:rStyle w:val="htmlparacode"/>
        </w:rPr>
      </w:pPr>
      <w:r>
        <w:rPr>
          <w:rStyle w:val="htmlparacode"/>
        </w:rPr>
        <w:t>&lt;p&gt;</w:t>
      </w:r>
    </w:p>
    <w:p w:rsidR="00B72047" w:rsidRDefault="00B72047">
      <w:pPr>
        <w:pStyle w:val="examplescaledpre"/>
      </w:pPr>
      <w:r>
        <w:rPr>
          <w:rStyle w:val="indexentry"/>
        </w:rPr>
        <w:t>&lt;ex "(n+1)-th rat"&gt;</w:t>
      </w:r>
      <w:r>
        <w:rPr>
          <w:rStyle w:val="indexentry"/>
        </w:rPr>
        <w:fldChar w:fldCharType="begin"/>
      </w:r>
      <w:r>
        <w:instrText>xe "</w:instrText>
      </w:r>
      <w:r>
        <w:rPr>
          <w:rStyle w:val="xeentry"/>
        </w:rPr>
        <w:instrText>(n+1)-th rat: example</w:instrText>
      </w:r>
      <w:r>
        <w:instrText>"</w:instrText>
      </w:r>
      <w:r>
        <w:rPr>
          <w:rStyle w:val="indexentry"/>
        </w:rPr>
        <w:fldChar w:fldCharType="end"/>
      </w:r>
      <w:r>
        <w:rPr>
          <w:rStyle w:val="htmlcodes"/>
        </w:rPr>
        <w:t>&lt;pre&gt;&lt;a name=e11d14&gt;</w:t>
      </w:r>
      <w:r>
        <w:t>11.13)</w:t>
      </w:r>
      <w:r>
        <w:tab/>
        <w:t>ta me li ny. su'i pa me'u moi le'i mi ratcu</w:t>
      </w:r>
    </w:p>
    <w:p w:rsidR="00B72047" w:rsidRDefault="00B72047">
      <w:pPr>
        <w:pStyle w:val="examplescaled"/>
      </w:pPr>
      <w:r>
        <w:tab/>
        <w:t>That is the-number n plus one-th-of the-set-of my rats.</w:t>
      </w:r>
    </w:p>
    <w:p w:rsidR="00B72047" w:rsidRDefault="00B72047">
      <w:pPr>
        <w:pStyle w:val="examplescaled"/>
      </w:pPr>
      <w:r>
        <w:tab/>
        <w:t>That is my (</w:t>
      </w:r>
      <w:r>
        <w:rPr>
          <w:rStyle w:val="math"/>
        </w:rPr>
        <w:t>n+1</w:t>
      </w:r>
      <w:r>
        <w:t>)-th rat.</w:t>
      </w:r>
    </w:p>
    <w:p w:rsidR="00B72047" w:rsidRDefault="00B72047">
      <w:pPr>
        <w:pStyle w:val="resumedafterexample"/>
      </w:pPr>
      <w:r>
        <w:rPr>
          <w:rStyle w:val="htmlcodes"/>
        </w:rPr>
        <w:t>&lt;/pre&gt;&lt;p&gt;</w:t>
      </w:r>
      <w:r>
        <w:t>Here the mekso “ny. su'i pa” is made into a sumti (with “li”) and then</w:t>
      </w:r>
      <w:r>
        <w:rPr>
          <w:rStyle w:val="deletedparamark"/>
        </w:rPr>
        <w:t xml:space="preserve"> </w:t>
      </w:r>
      <w:r>
        <w:t>changed into a mekso selbri with “me” and “me'u moi”. The elidable</w:t>
      </w:r>
      <w:r>
        <w:rPr>
          <w:rStyle w:val="deletedparamark"/>
        </w:rPr>
        <w:t xml:space="preserve"> </w:t>
      </w:r>
      <w:r>
        <w:t>terminator “me'u” is required here in order to keep the “pa” and the</w:t>
      </w:r>
      <w:r>
        <w:rPr>
          <w:rStyle w:val="deletedparamark"/>
        </w:rPr>
        <w:t xml:space="preserve"> “</w:t>
      </w:r>
      <w:r>
        <w:t>moi” separate; otherwise, the parser will com</w:t>
      </w:r>
      <w:r>
        <w:softHyphen/>
        <w:t>bine them into the compound</w:t>
      </w:r>
      <w:r>
        <w:rPr>
          <w:rStyle w:val="deletedparamark"/>
        </w:rPr>
        <w:t xml:space="preserve"> “</w:t>
      </w:r>
      <w:r>
        <w:t>pamoi” and reject the sentence as ungrammatical.</w:t>
      </w:r>
    </w:p>
    <w:p w:rsidR="00B72047" w:rsidRDefault="00B72047">
      <w:pPr>
        <w:rPr>
          <w:rStyle w:val="htmlparacode"/>
        </w:rPr>
      </w:pPr>
      <w:r>
        <w:rPr>
          <w:rStyle w:val="htmlparacode"/>
        </w:rPr>
        <w:t>&lt;p&gt;</w:t>
      </w:r>
    </w:p>
    <w:p w:rsidR="00B72047" w:rsidRDefault="00B72047">
      <w:pPr>
        <w:pStyle w:val="normalparagraph"/>
      </w:pPr>
      <w:r>
        <w:rPr>
          <w:rStyle w:val="indexentry"/>
        </w:rPr>
        <w:t>&lt;cx "numerical selbri, based on non-numerical sumti"&gt;</w:t>
      </w:r>
      <w:r>
        <w:rPr>
          <w:rStyle w:val="indexentry"/>
        </w:rPr>
        <w:fldChar w:fldCharType="begin"/>
      </w:r>
      <w:r>
        <w:instrText>xe "</w:instrText>
      </w:r>
      <w:r>
        <w:rPr>
          <w:rStyle w:val="xeentry"/>
        </w:rPr>
        <w:instrText>numerical selbri: based on non-numerical sumti</w:instrText>
      </w:r>
      <w:r>
        <w:instrText>"</w:instrText>
      </w:r>
      <w:r>
        <w:rPr>
          <w:rStyle w:val="indexentry"/>
        </w:rPr>
        <w:fldChar w:fldCharType="end"/>
      </w:r>
      <w:r>
        <w:t>It is perfectly possible to use non-numerical sumti after “me” and before</w:t>
      </w:r>
      <w:r>
        <w:rPr>
          <w:rStyle w:val="deletedparamark"/>
        </w:rPr>
        <w:t xml:space="preserve"> </w:t>
      </w:r>
      <w:r>
        <w:t>a member of MOI, producing strange results indeed:</w:t>
      </w:r>
    </w:p>
    <w:p w:rsidR="00B72047" w:rsidRDefault="00B72047">
      <w:pPr>
        <w:rPr>
          <w:rStyle w:val="htmlparacode"/>
        </w:rPr>
      </w:pPr>
      <w:r>
        <w:rPr>
          <w:rStyle w:val="htmlparacode"/>
        </w:rPr>
        <w:t>&lt;p&gt;</w:t>
      </w:r>
    </w:p>
    <w:p w:rsidR="00B72047" w:rsidRDefault="00B72047">
      <w:pPr>
        <w:pStyle w:val="examplescaledpre"/>
      </w:pPr>
      <w:r>
        <w:rPr>
          <w:rStyle w:val="indexentry"/>
        </w:rPr>
        <w:t>&lt;ex "snowball's chance"&gt;</w:t>
      </w:r>
      <w:r>
        <w:rPr>
          <w:rStyle w:val="indexentry"/>
        </w:rPr>
        <w:fldChar w:fldCharType="begin"/>
      </w:r>
      <w:r>
        <w:instrText>xe "</w:instrText>
      </w:r>
      <w:r>
        <w:rPr>
          <w:rStyle w:val="xeentry"/>
        </w:rPr>
        <w:instrText>snowball's chance: example</w:instrText>
      </w:r>
      <w:r>
        <w:instrText>"</w:instrText>
      </w:r>
      <w:r>
        <w:rPr>
          <w:rStyle w:val="indexentry"/>
        </w:rPr>
        <w:fldChar w:fldCharType="end"/>
      </w:r>
      <w:r>
        <w:rPr>
          <w:rStyle w:val="htmlcodes"/>
        </w:rPr>
        <w:t>&lt;pre&gt;&lt;a name=e11d15&gt;</w:t>
      </w:r>
      <w:r>
        <w:t>11.14)</w:t>
      </w:r>
      <w:r>
        <w:tab/>
        <w:t xml:space="preserve">le nu mi nolraitru </w:t>
      </w:r>
    </w:p>
    <w:p w:rsidR="00B72047" w:rsidRDefault="00B72047">
      <w:pPr>
        <w:pStyle w:val="examplescaled"/>
      </w:pPr>
      <w:r>
        <w:tab/>
      </w:r>
      <w:r>
        <w:tab/>
        <w:t>cu me le'e snime bolci be vi la xel. cu'o</w:t>
      </w:r>
    </w:p>
    <w:p w:rsidR="00B72047" w:rsidRDefault="00B72047">
      <w:pPr>
        <w:pStyle w:val="examplescaled"/>
      </w:pPr>
      <w:r>
        <w:tab/>
        <w:t>The event-of me being-a-nobly-superlative-ruler</w:t>
      </w:r>
    </w:p>
    <w:p w:rsidR="00B72047" w:rsidRDefault="00B72047">
      <w:pPr>
        <w:pStyle w:val="examplescaled"/>
      </w:pPr>
      <w:r>
        <w:tab/>
      </w:r>
      <w:r>
        <w:tab/>
        <w:t>has-the-stereotypical snow type-of-ball at Hell probability.</w:t>
      </w:r>
    </w:p>
    <w:p w:rsidR="00B72047" w:rsidRDefault="00B72047">
      <w:pPr>
        <w:pStyle w:val="examplescaled"/>
      </w:pPr>
      <w:r>
        <w:tab/>
        <w:t>I have a snowball's chance in Hell of being king.</w:t>
      </w:r>
    </w:p>
    <w:p w:rsidR="00B72047" w:rsidRDefault="00B72047">
      <w:pPr>
        <w:pStyle w:val="resumedafterexample"/>
      </w:pPr>
      <w:r>
        <w:rPr>
          <w:rStyle w:val="htmlcodes"/>
        </w:rPr>
        <w:t>&lt;/pre&gt;</w:t>
      </w:r>
      <w:r>
        <w:rPr>
          <w:rStyle w:val="indexentry"/>
        </w:rPr>
        <w:t>&lt;cx "boi, exception before MOI"&gt;</w:t>
      </w:r>
      <w:r>
        <w:rPr>
          <w:rStyle w:val="indexentry"/>
        </w:rPr>
        <w:fldChar w:fldCharType="begin"/>
      </w:r>
      <w:r>
        <w:instrText>xe "</w:instrText>
      </w:r>
      <w:r>
        <w:rPr>
          <w:rStyle w:val="xeentry"/>
        </w:rPr>
        <w:instrText>boi: exception before MOI</w:instrText>
      </w:r>
      <w:r>
        <w:instrText>"</w:instrText>
      </w:r>
      <w:r>
        <w:rPr>
          <w:rStyle w:val="indexentry"/>
        </w:rPr>
        <w:fldChar w:fldCharType="end"/>
      </w:r>
      <w:r>
        <w:rPr>
          <w:rStyle w:val="indexentry"/>
        </w:rPr>
        <w:t>&lt;cx "PA, exception on use of boi with MOI"&gt;</w:t>
      </w:r>
      <w:r>
        <w:rPr>
          <w:rStyle w:val="indexentry"/>
        </w:rPr>
        <w:fldChar w:fldCharType="begin"/>
      </w:r>
      <w:r>
        <w:instrText>xe "</w:instrText>
      </w:r>
      <w:r>
        <w:rPr>
          <w:rStyle w:val="xeentry"/>
        </w:rPr>
        <w:instrText>PA selma’o: exception on use of boi with MOI</w:instrText>
      </w:r>
      <w:r>
        <w:instrText>"</w:instrText>
      </w:r>
      <w:r>
        <w:rPr>
          <w:rStyle w:val="indexentry"/>
        </w:rPr>
        <w:fldChar w:fldCharType="end"/>
      </w:r>
      <w:r>
        <w:rPr>
          <w:rStyle w:val="indexentry"/>
        </w:rPr>
        <w:t>&lt;cx "MOI, use of boi before"&gt;</w:t>
      </w:r>
      <w:r>
        <w:rPr>
          <w:rStyle w:val="indexentry"/>
        </w:rPr>
        <w:fldChar w:fldCharType="begin"/>
      </w:r>
      <w:r>
        <w:instrText>xe "</w:instrText>
      </w:r>
      <w:r>
        <w:rPr>
          <w:rStyle w:val="xeentry"/>
        </w:rPr>
        <w:instrText>MOI selma’o: use of boi before</w:instrText>
      </w:r>
      <w:r>
        <w:instrText>"</w:instrText>
      </w:r>
      <w:r>
        <w:rPr>
          <w:rStyle w:val="indexentry"/>
        </w:rPr>
        <w:fldChar w:fldCharType="end"/>
      </w:r>
      <w:r>
        <w:rPr>
          <w:rStyle w:val="indexentry"/>
        </w:rPr>
        <w:t>&lt;cx "boi, effect on elidability of me'u"&gt;</w:t>
      </w:r>
      <w:r>
        <w:rPr>
          <w:rStyle w:val="indexentry"/>
        </w:rPr>
        <w:fldChar w:fldCharType="begin"/>
      </w:r>
      <w:r>
        <w:instrText>xe "</w:instrText>
      </w:r>
      <w:r>
        <w:rPr>
          <w:rStyle w:val="xeentry"/>
        </w:rPr>
        <w:instrText>boi: effect on elidability of me'u</w:instrText>
      </w:r>
      <w:r>
        <w:instrText>"</w:instrText>
      </w:r>
      <w:r>
        <w:rPr>
          <w:rStyle w:val="indexentry"/>
        </w:rPr>
        <w:fldChar w:fldCharType="end"/>
      </w:r>
      <w:r>
        <w:rPr>
          <w:rStyle w:val="indexentry"/>
        </w:rPr>
        <w:t>&lt;lx "me'u"&gt;</w:t>
      </w:r>
      <w:r>
        <w:rPr>
          <w:rStyle w:val="indexentry"/>
        </w:rPr>
        <w:fldChar w:fldCharType="begin"/>
      </w:r>
      <w:r>
        <w:instrText>xe "</w:instrText>
      </w:r>
      <w:r>
        <w:rPr>
          <w:rStyle w:val="xeentry"/>
        </w:rPr>
        <w:instrText>me'u</w:instrText>
      </w:r>
      <w:r>
        <w:instrText>"</w:instrText>
      </w:r>
      <w:r>
        <w:rPr>
          <w:rStyle w:val="indexentry"/>
        </w:rPr>
        <w:fldChar w:fldCharType="end"/>
      </w: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rPr>
          <w:rStyle w:val="indexentry"/>
        </w:rPr>
        <w:t>&lt;lx "MOI"&gt;</w:t>
      </w:r>
      <w:r>
        <w:rPr>
          <w:rStyle w:val="indexentry"/>
        </w:rPr>
        <w:fldChar w:fldCharType="begin"/>
      </w:r>
      <w:r>
        <w:instrText>xe "</w:instrText>
      </w:r>
      <w:r>
        <w:rPr>
          <w:rStyle w:val="xeentry"/>
        </w:rPr>
        <w:instrText>MOI selma’o</w:instrText>
      </w:r>
      <w:r>
        <w:instrText>"</w:instrText>
      </w:r>
      <w:r>
        <w:rPr>
          <w:rStyle w:val="indexentry"/>
        </w:rPr>
        <w:fldChar w:fldCharType="end"/>
      </w:r>
      <w:r>
        <w:rPr>
          <w:rStyle w:val="indexentry"/>
        </w:rPr>
        <w:t>&lt;lx "PA"&gt;</w:t>
      </w:r>
      <w:r>
        <w:rPr>
          <w:rStyle w:val="indexentry"/>
        </w:rPr>
        <w:fldChar w:fldCharType="begin"/>
      </w:r>
      <w:r>
        <w:instrText>xe "</w:instrText>
      </w:r>
      <w:r>
        <w:rPr>
          <w:rStyle w:val="xeentry"/>
        </w:rPr>
        <w:instrText>PA selma’o</w:instrText>
      </w:r>
      <w:r>
        <w:instrText>"</w:instrText>
      </w:r>
      <w:r>
        <w:rPr>
          <w:rStyle w:val="indexentry"/>
        </w:rPr>
        <w:fldChar w:fldCharType="end"/>
      </w:r>
      <w:r>
        <w:t>Note: the elidable terminator “boi” is not used between a number and</w:t>
      </w:r>
      <w:r>
        <w:rPr>
          <w:rStyle w:val="deletedparamark"/>
        </w:rPr>
        <w:t xml:space="preserve"> </w:t>
      </w:r>
      <w:r>
        <w:t xml:space="preserve">a member of MOI. As a result, the “me'u” in </w:t>
      </w:r>
      <w:r>
        <w:rPr>
          <w:rStyle w:val="htmlcodes"/>
        </w:rPr>
        <w:t>&lt;a href=#e11d14&gt;</w:t>
      </w:r>
      <w:r>
        <w:t xml:space="preserve">Example 11.13 </w:t>
      </w:r>
      <w:r>
        <w:rPr>
          <w:rStyle w:val="htmlcodes"/>
        </w:rPr>
        <w:t>&lt;/a&gt;</w:t>
      </w:r>
      <w:r>
        <w:t>could also</w:t>
      </w:r>
      <w:r>
        <w:rPr>
          <w:rStyle w:val="deletedparamark"/>
        </w:rPr>
        <w:t xml:space="preserve"> </w:t>
      </w:r>
      <w:r>
        <w:t>be replaced by a “boi”, which would serve the same function of preventing</w:t>
      </w:r>
      <w:r>
        <w:rPr>
          <w:rStyle w:val="deletedparamark"/>
        </w:rPr>
        <w:t xml:space="preserve"> </w:t>
      </w:r>
      <w:r>
        <w:t>the “pa” and “moi” from joining into a compound.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name=s12&gt;&lt;h3&gt;</w:t>
      </w:r>
      <w:bookmarkStart w:id="507" w:name="_Toc398970744"/>
      <w:r>
        <w:rPr>
          <w:rStyle w:val="Heading3Text"/>
        </w:rPr>
        <w:t>Number questions</w:t>
      </w:r>
      <w:bookmarkEnd w:id="507"/>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xo</w:t>
      </w:r>
      <w:r>
        <w:tab/>
        <w:t>PA</w:t>
      </w:r>
      <w:r>
        <w:tab/>
        <w:t>number question</w:t>
      </w:r>
    </w:p>
    <w:p w:rsidR="00B72047" w:rsidRDefault="00B72047">
      <w:pPr>
        <w:pStyle w:val="resumedafterexample"/>
      </w:pPr>
      <w:r>
        <w:rPr>
          <w:rStyle w:val="htmlcodes"/>
        </w:rPr>
        <w:t>&lt;/pre&gt;</w:t>
      </w:r>
      <w:r>
        <w:rPr>
          <w:rStyle w:val="indexentry"/>
        </w:rPr>
        <w:t>&lt;lx "xo"&gt;</w:t>
      </w:r>
      <w:r>
        <w:rPr>
          <w:rStyle w:val="indexentry"/>
        </w:rPr>
        <w:fldChar w:fldCharType="begin"/>
      </w:r>
      <w:r>
        <w:instrText>xe "</w:instrText>
      </w:r>
      <w:r>
        <w:rPr>
          <w:rStyle w:val="xeentry"/>
        </w:rPr>
        <w:instrText>xo</w:instrText>
      </w:r>
      <w:r>
        <w:instrText>"</w:instrText>
      </w:r>
      <w:r>
        <w:rPr>
          <w:rStyle w:val="indexentry"/>
        </w:rPr>
        <w:fldChar w:fldCharType="end"/>
      </w:r>
      <w:r>
        <w:rPr>
          <w:rStyle w:val="indexentry"/>
        </w:rPr>
        <w:t>&lt;cx "questions, number"&gt;</w:t>
      </w:r>
      <w:r>
        <w:rPr>
          <w:rStyle w:val="indexentry"/>
        </w:rPr>
        <w:fldChar w:fldCharType="begin"/>
      </w:r>
      <w:r>
        <w:instrText>xe "</w:instrText>
      </w:r>
      <w:r>
        <w:rPr>
          <w:rStyle w:val="xeentry"/>
        </w:rPr>
        <w:instrText>questions: number</w:instrText>
      </w:r>
      <w:r>
        <w:instrText>"</w:instrText>
      </w:r>
      <w:r>
        <w:rPr>
          <w:rStyle w:val="indexentry"/>
        </w:rPr>
        <w:fldChar w:fldCharType="end"/>
      </w:r>
      <w:r>
        <w:rPr>
          <w:rStyle w:val="indexentry"/>
        </w:rPr>
        <w:t>&lt;cx "number questions"&gt;</w:t>
      </w:r>
      <w:r>
        <w:rPr>
          <w:rStyle w:val="indexentry"/>
        </w:rPr>
        <w:fldChar w:fldCharType="begin"/>
      </w:r>
      <w:r>
        <w:instrText>xe "</w:instrText>
      </w:r>
      <w:r>
        <w:rPr>
          <w:rStyle w:val="xeentry"/>
        </w:rPr>
        <w:instrText>number questions</w:instrText>
      </w:r>
      <w:r>
        <w:instrText>"</w:instrText>
      </w:r>
      <w:r>
        <w:rPr>
          <w:rStyle w:val="indexentry"/>
        </w:rPr>
        <w:fldChar w:fldCharType="end"/>
      </w:r>
      <w:r>
        <w:t>The cmavo “xo”, a member of selma'o PA, is used to ask questions</w:t>
      </w:r>
      <w:r>
        <w:rPr>
          <w:rStyle w:val="deletedparamark"/>
        </w:rPr>
        <w:t xml:space="preserve"> </w:t>
      </w:r>
      <w:r>
        <w:t>whose answers are numbers. Like most Lojban question words, it fills the</w:t>
      </w:r>
      <w:r>
        <w:rPr>
          <w:rStyle w:val="deletedparamark"/>
        </w:rPr>
        <w:t xml:space="preserve"> </w:t>
      </w:r>
      <w:r>
        <w:t xml:space="preserve">blank where the answer should go. (See </w:t>
      </w:r>
      <w:r>
        <w:rPr>
          <w:rStyle w:val="htmlcodes"/>
        </w:rPr>
        <w:t>&lt;a href=chap19.html&gt;</w:t>
      </w:r>
      <w:r>
        <w:t xml:space="preserve">Chapter 19 </w:t>
      </w:r>
      <w:r>
        <w:rPr>
          <w:rStyle w:val="htmlcodes"/>
        </w:rPr>
        <w:t>&lt;/a&gt;</w:t>
      </w:r>
      <w:r>
        <w:t>for more on</w:t>
      </w:r>
      <w:r>
        <w:rPr>
          <w:rStyle w:val="deletedparamark"/>
        </w:rPr>
        <w:t xml:space="preserve"> </w:t>
      </w:r>
      <w:r>
        <w:t>Lojban questions.)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name=e12d1&gt;</w:t>
      </w:r>
      <w:r>
        <w:t>12.1)</w:t>
      </w:r>
      <w:r>
        <w:tab/>
        <w:t>li re su'i re du li xo</w:t>
      </w:r>
    </w:p>
    <w:p w:rsidR="00B72047" w:rsidRDefault="00B72047">
      <w:pPr>
        <w:pStyle w:val="examplescaled"/>
      </w:pPr>
      <w:r>
        <w:tab/>
        <w:t>The-number 2 plus 2 equals the-number what?</w:t>
      </w:r>
    </w:p>
    <w:p w:rsidR="00B72047" w:rsidRDefault="00B72047">
      <w:pPr>
        <w:pStyle w:val="examplescaled"/>
      </w:pPr>
      <w:r>
        <w:tab/>
        <w:t xml:space="preserve">What is </w:t>
      </w:r>
      <w:r>
        <w:rPr>
          <w:rStyle w:val="htmlcodes"/>
        </w:rPr>
        <w:t>&lt;math&gt;</w:t>
      </w:r>
      <w:r>
        <w:rPr>
          <w:rStyle w:val="math"/>
        </w:rPr>
        <w:t>2 + 2</w:t>
      </w:r>
      <w:r>
        <w:rPr>
          <w:rStyle w:val="htmlcodes"/>
        </w:rPr>
        <w:t>&lt;/math&gt;</w:t>
      </w:r>
      <w:r>
        <w:t>?</w:t>
      </w:r>
    </w:p>
    <w:p w:rsidR="00B72047" w:rsidRDefault="00B72047">
      <w:pPr>
        <w:pStyle w:val="examplescaledpre"/>
      </w:pPr>
      <w:r>
        <w:rPr>
          <w:rStyle w:val="htmlcodes"/>
        </w:rPr>
        <w:t>&lt;/pre&gt;</w:t>
      </w:r>
      <w:r>
        <w:rPr>
          <w:rStyle w:val="indexentry"/>
        </w:rPr>
        <w:t>&lt;cx "police lineup"&gt;</w:t>
      </w:r>
      <w:r>
        <w:rPr>
          <w:rStyle w:val="indexentry"/>
        </w:rPr>
        <w:fldChar w:fldCharType="begin"/>
      </w:r>
      <w:r>
        <w:instrText>xe "</w:instrText>
      </w:r>
      <w:r>
        <w:rPr>
          <w:rStyle w:val="xeentry"/>
        </w:rPr>
        <w:instrText>police lineup</w:instrText>
      </w:r>
      <w:r>
        <w:instrText>"</w:instrText>
      </w:r>
      <w:r>
        <w:rPr>
          <w:rStyle w:val="indexentry"/>
        </w:rPr>
        <w:fldChar w:fldCharType="end"/>
      </w:r>
      <w:r>
        <w:rPr>
          <w:rStyle w:val="htmlcodes"/>
        </w:rPr>
        <w:t>&lt;pre&gt;&lt;a name=e12d2&gt;</w:t>
      </w:r>
      <w:r>
        <w:t>12.2)</w:t>
      </w:r>
      <w:r>
        <w:tab/>
        <w:t>le xomoi prenu cu darxi do</w:t>
      </w:r>
    </w:p>
    <w:p w:rsidR="00B72047" w:rsidRDefault="00B72047">
      <w:pPr>
        <w:pStyle w:val="examplescaled"/>
      </w:pPr>
      <w:r>
        <w:tab/>
        <w:t>The what-number-th person hit you?</w:t>
      </w:r>
    </w:p>
    <w:p w:rsidR="00B72047" w:rsidRDefault="00B72047">
      <w:pPr>
        <w:pStyle w:val="examplescaled"/>
      </w:pPr>
      <w:r>
        <w:tab/>
        <w:t>Which person [as in a police lineup] hit you?</w:t>
      </w:r>
    </w:p>
    <w:p w:rsidR="00B72047" w:rsidRDefault="00B72047">
      <w:pPr>
        <w:pStyle w:val="normalafterexample"/>
      </w:pPr>
      <w:r>
        <w:rPr>
          <w:rStyle w:val="htmlcodes"/>
        </w:rPr>
        <w:t>&lt;/pre&gt;</w:t>
      </w:r>
      <w:r>
        <w:rPr>
          <w:rStyle w:val="indexentry"/>
        </w:rPr>
        <w:t>&lt;cx "digit questions"&gt;</w:t>
      </w:r>
      <w:r>
        <w:rPr>
          <w:rStyle w:val="indexentry"/>
        </w:rPr>
        <w:fldChar w:fldCharType="begin"/>
      </w:r>
      <w:r>
        <w:instrText>xe "</w:instrText>
      </w:r>
      <w:r>
        <w:rPr>
          <w:rStyle w:val="xeentry"/>
        </w:rPr>
        <w:instrText>digit questions</w:instrText>
      </w:r>
      <w:r>
        <w:instrText>"</w:instrText>
      </w:r>
      <w:r>
        <w:rPr>
          <w:rStyle w:val="indexentry"/>
        </w:rPr>
        <w:fldChar w:fldCharType="end"/>
      </w:r>
      <w:r>
        <w:rPr>
          <w:rStyle w:val="indexentry"/>
        </w:rPr>
        <w:t>&lt;cx "questions, digit"&gt;</w:t>
      </w:r>
      <w:r>
        <w:rPr>
          <w:rStyle w:val="indexentry"/>
        </w:rPr>
        <w:fldChar w:fldCharType="begin"/>
      </w:r>
      <w:r>
        <w:instrText>xe "</w:instrText>
      </w:r>
      <w:r>
        <w:rPr>
          <w:rStyle w:val="xeentry"/>
        </w:rPr>
        <w:instrText>questions: digit</w:instrText>
      </w:r>
      <w:r>
        <w:instrText>"</w:instrText>
      </w:r>
      <w:r>
        <w:rPr>
          <w:rStyle w:val="indexentry"/>
        </w:rPr>
        <w:fldChar w:fldCharType="end"/>
      </w:r>
      <w:r>
        <w:rPr>
          <w:rStyle w:val="indexentry"/>
        </w:rPr>
        <w:t>“</w:t>
      </w:r>
      <w:r>
        <w:t>“xo” can also be combined with other digits to ask questions whose</w:t>
      </w:r>
      <w:r>
        <w:rPr>
          <w:rStyle w:val="deletedparamark"/>
        </w:rPr>
        <w:t xml:space="preserve"> </w:t>
      </w:r>
      <w:r>
        <w:t>answers are al</w:t>
      </w:r>
      <w:r>
        <w:softHyphen/>
        <w:t>ready partly specified. This ability could be very useful</w:t>
      </w:r>
      <w:r>
        <w:rPr>
          <w:rStyle w:val="deletedparamark"/>
        </w:rPr>
        <w:t xml:space="preserve"> </w:t>
      </w:r>
      <w:r>
        <w:t>in writing tests of elementary arith</w:t>
      </w:r>
      <w:r>
        <w:softHyphen/>
        <w:t>meti</w:t>
      </w:r>
      <w:r>
        <w:softHyphen/>
        <w:t>cal knowledge: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li remu pi'i xa du li paxono</w:t>
      </w:r>
    </w:p>
    <w:p w:rsidR="00B72047" w:rsidRDefault="00B72047">
      <w:pPr>
        <w:pStyle w:val="examplescaled"/>
      </w:pPr>
      <w:r>
        <w:tab/>
        <w:t>The-number 25 times 6 equals the-number 1?0</w:t>
      </w:r>
    </w:p>
    <w:p w:rsidR="00B72047" w:rsidRDefault="00B72047">
      <w:pPr>
        <w:pStyle w:val="resumedafterexample"/>
      </w:pPr>
      <w:r>
        <w:rPr>
          <w:rStyle w:val="htmlcodes"/>
        </w:rPr>
        <w:t>&lt;/pre&gt;</w:t>
      </w:r>
      <w:r>
        <w:rPr>
          <w:rStyle w:val="indexentry"/>
        </w:rPr>
        <w:t>&lt;cx "numbers, as grammatically complete utterances"&gt;</w:t>
      </w:r>
      <w:r>
        <w:rPr>
          <w:rStyle w:val="indexentry"/>
        </w:rPr>
        <w:fldChar w:fldCharType="begin"/>
      </w:r>
      <w:r>
        <w:instrText>xe "</w:instrText>
      </w:r>
      <w:r>
        <w:rPr>
          <w:rStyle w:val="xeentry"/>
        </w:rPr>
        <w:instrText>numbers: as grammatically complete utterances</w:instrText>
      </w:r>
      <w:r>
        <w:instrText>"</w:instrText>
      </w:r>
      <w:r>
        <w:rPr>
          <w:rStyle w:val="indexentry"/>
        </w:rPr>
        <w:fldChar w:fldCharType="end"/>
      </w:r>
      <w:r>
        <w:rPr>
          <w:rStyle w:val="indexentry"/>
        </w:rPr>
        <w:t>&lt;cx "number questions, answers to"&gt;</w:t>
      </w:r>
      <w:r>
        <w:rPr>
          <w:rStyle w:val="indexentry"/>
        </w:rPr>
        <w:fldChar w:fldCharType="begin"/>
      </w:r>
      <w:r>
        <w:instrText>xe "</w:instrText>
      </w:r>
      <w:r>
        <w:rPr>
          <w:rStyle w:val="xeentry"/>
        </w:rPr>
        <w:instrText>number questions: answers to</w:instrText>
      </w:r>
      <w:r>
        <w:instrText>"</w:instrText>
      </w:r>
      <w:r>
        <w:rPr>
          <w:rStyle w:val="indexentry"/>
        </w:rPr>
        <w:fldChar w:fldCharType="end"/>
      </w:r>
      <w:r>
        <w:t>to which the correct reply would be “mu”, or 5. The ability to utter</w:t>
      </w:r>
      <w:r>
        <w:rPr>
          <w:rStyle w:val="deletedparamark"/>
        </w:rPr>
        <w:t xml:space="preserve"> </w:t>
      </w:r>
      <w:r>
        <w:t>bare numbers as grammatical Lojban sentences is primarily intended for</w:t>
      </w:r>
      <w:r>
        <w:rPr>
          <w:rStyle w:val="deletedparamark"/>
        </w:rPr>
        <w:t xml:space="preserve"> </w:t>
      </w:r>
      <w:r>
        <w:t>giving answers to “xo” ques</w:t>
      </w:r>
      <w:r>
        <w:softHyphen/>
        <w:t>tions. (Another use, obviously, is for counting</w:t>
      </w:r>
      <w:r>
        <w:rPr>
          <w:rStyle w:val="deletedparamark"/>
        </w:rPr>
        <w:t xml:space="preserve"> </w:t>
      </w:r>
      <w:r>
        <w:t>off physical objects one by one.)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name=s13&gt;&lt;h3&gt;</w:t>
      </w:r>
      <w:bookmarkStart w:id="508" w:name="_Toc398970745"/>
      <w:r>
        <w:rPr>
          <w:rStyle w:val="Heading3Text"/>
        </w:rPr>
        <w:t>Subscripts</w:t>
      </w:r>
      <w:bookmarkEnd w:id="508"/>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xi</w:t>
      </w:r>
      <w:r>
        <w:tab/>
        <w:t>XI</w:t>
      </w:r>
      <w:r>
        <w:tab/>
        <w:t>subscript</w:t>
      </w:r>
    </w:p>
    <w:p w:rsidR="00B72047" w:rsidRDefault="00B72047">
      <w:pPr>
        <w:pStyle w:val="resumedafterexample"/>
      </w:pPr>
      <w:r>
        <w:rPr>
          <w:rStyle w:val="htmlcodes"/>
        </w:rPr>
        <w:t>&lt;/pre&gt;</w:t>
      </w:r>
      <w:r>
        <w:rPr>
          <w:rStyle w:val="indexentry"/>
        </w:rPr>
        <w:t>&lt;cx “subscripts, external grammar of”&gt;</w:t>
      </w:r>
      <w:r>
        <w:rPr>
          <w:rStyle w:val="indexentry"/>
        </w:rPr>
        <w:fldChar w:fldCharType="begin"/>
      </w:r>
      <w:r>
        <w:rPr>
          <w:rStyle w:val="xeentry"/>
        </w:rPr>
        <w:instrText>xe "subscripts: external grammar of"</w:instrText>
      </w:r>
      <w:r>
        <w:rPr>
          <w:rStyle w:val="indexentry"/>
        </w:rPr>
        <w:fldChar w:fldCharType="end"/>
      </w:r>
      <w:r>
        <w:t>Subscripting is a general Lojban feature, not used only in mekso; there are many things that can logically be subscripted, and grammatically a subscript is a free modifier, us</w:t>
      </w:r>
      <w:r>
        <w:softHyphen/>
        <w:t>able almost anywhere. In particular, of course, mekso variables (lerfu strings) can be su</w:t>
      </w:r>
      <w:r>
        <w:t>b</w:t>
      </w:r>
      <w:r>
        <w:softHyphen/>
        <w:t>scripted:</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"x-sub-3"</w:instrText>
      </w:r>
      <w:r>
        <w:rPr>
          <w:rStyle w:val="xeentry"/>
        </w:rPr>
        <w:fldChar w:fldCharType="end"/>
      </w:r>
      <w:r>
        <w:rPr>
          <w:rStyle w:val="htmlcodes"/>
        </w:rPr>
        <w:t>&lt;pre&gt;&lt;a name=e13d1&gt;</w:t>
      </w:r>
      <w:r>
        <w:t>13.1)</w:t>
      </w:r>
      <w:r>
        <w:tab/>
        <w:t>li xy.boixici du li xy.boixipa su’i xy.boixire</w:t>
      </w:r>
    </w:p>
    <w:p w:rsidR="00B72047" w:rsidRDefault="00B72047">
      <w:pPr>
        <w:pStyle w:val="examplescaled"/>
      </w:pPr>
      <w:r>
        <w:tab/>
        <w:t>The-number x-sub-3 equals the-number x-sub-1 plus x-sub-2.</w:t>
      </w:r>
    </w:p>
    <w:p w:rsidR="00B72047" w:rsidRDefault="00B72047">
      <w:pPr>
        <w:pStyle w:val="examplescaled"/>
        <w:rPr>
          <w:rStyle w:val="math"/>
        </w:rPr>
      </w:pPr>
      <w:r>
        <w:rPr>
          <w:rStyle w:val="math"/>
        </w:rPr>
        <w:tab/>
      </w:r>
      <w:r>
        <w:rPr>
          <w:rStyle w:val="htmlcodes"/>
        </w:rPr>
        <w:t>&lt;math&gt;</w:t>
      </w:r>
      <w:r>
        <w:rPr>
          <w:rStyle w:val="math"/>
        </w:rPr>
        <w:t>x</w:t>
      </w:r>
      <w:r>
        <w:rPr>
          <w:rStyle w:val="htmlcodes"/>
        </w:rPr>
        <w:t>&lt;sub&gt;</w:t>
      </w:r>
      <w:r>
        <w:rPr>
          <w:rStyle w:val="subscript"/>
        </w:rPr>
        <w:t>3</w:t>
      </w:r>
      <w:r>
        <w:rPr>
          <w:rStyle w:val="htmlcodes"/>
        </w:rPr>
        <w:t>&lt;/sub&gt;</w:t>
      </w:r>
      <w:r>
        <w:rPr>
          <w:rStyle w:val="math"/>
        </w:rPr>
        <w:t>= x</w:t>
      </w:r>
      <w:r>
        <w:rPr>
          <w:rStyle w:val="htmlcodes"/>
        </w:rPr>
        <w:t>&lt;sub&gt;</w:t>
      </w:r>
      <w:r>
        <w:rPr>
          <w:rStyle w:val="subscript"/>
        </w:rPr>
        <w:t>1</w:t>
      </w:r>
      <w:r>
        <w:rPr>
          <w:rStyle w:val="htmlcodes"/>
        </w:rPr>
        <w:t>&lt;/sub&gt;</w:t>
      </w:r>
      <w:r>
        <w:rPr>
          <w:rStyle w:val="math"/>
        </w:rPr>
        <w:t>+ x</w:t>
      </w:r>
      <w:r>
        <w:rPr>
          <w:rStyle w:val="htmlcodes"/>
        </w:rPr>
        <w:t>&lt;sub&gt;</w:t>
      </w:r>
      <w:r>
        <w:rPr>
          <w:rStyle w:val="subscript"/>
        </w:rPr>
        <w:t>2</w:t>
      </w:r>
      <w:r>
        <w:rPr>
          <w:rStyle w:val="htmlcodes"/>
        </w:rPr>
        <w:t>&lt;/sub&gt;&lt;/math&gt;</w:t>
      </w:r>
    </w:p>
    <w:p w:rsidR="00B72047" w:rsidRDefault="00B72047">
      <w:pPr>
        <w:pStyle w:val="resumedafterexample"/>
        <w:rPr>
          <w:rStyle w:val="htmlcodes"/>
        </w:rPr>
      </w:pPr>
    </w:p>
    <w:p w:rsidR="00B72047" w:rsidRDefault="00B72047">
      <w:pPr>
        <w:pStyle w:val="resumedafterexample"/>
        <w:rPr>
          <w:rStyle w:val="htmlcodes"/>
        </w:rPr>
      </w:pPr>
      <w:r>
        <w:rPr>
          <w:rStyle w:val="htmlcodes"/>
        </w:rPr>
        <w:t>&lt;/pre&gt;</w:t>
      </w:r>
      <w:r>
        <w:rPr>
          <w:rStyle w:val="htmlcodes"/>
        </w:rPr>
        <w:fldChar w:fldCharType="begin"/>
      </w:r>
      <w:r>
        <w:rPr>
          <w:rStyle w:val="xeentry"/>
        </w:rPr>
        <w:instrText>xe "xi"</w:instrText>
      </w:r>
      <w:r>
        <w:rPr>
          <w:rStyle w:val="htmlcodes"/>
        </w:rPr>
        <w:fldChar w:fldCharType="end"/>
      </w:r>
      <w:r>
        <w:rPr>
          <w:rStyle w:val="htmlcodes"/>
        </w:rPr>
        <w:fldChar w:fldCharType="begin"/>
      </w:r>
      <w:r>
        <w:rPr>
          <w:rStyle w:val="xeentry"/>
        </w:rPr>
        <w:instrText>xe "XI selma’o"</w:instrText>
      </w:r>
      <w:r>
        <w:rPr>
          <w:rStyle w:val="htmlcodes"/>
        </w:rPr>
        <w:fldChar w:fldCharType="end"/>
      </w:r>
      <w:r>
        <w:rPr>
          <w:rStyle w:val="htmlcodes"/>
        </w:rPr>
        <w:fldChar w:fldCharType="begin"/>
      </w:r>
      <w:r>
        <w:rPr>
          <w:rStyle w:val="xeentry"/>
        </w:rPr>
        <w:instrText>xe "subscripts: internal grammar of"</w:instrText>
      </w:r>
      <w:r>
        <w:rPr>
          <w:rStyle w:val="htmlcodes"/>
        </w:rPr>
        <w:fldChar w:fldCharType="end"/>
      </w:r>
    </w:p>
    <w:p w:rsidR="00B72047" w:rsidRDefault="00B72047">
      <w:pPr>
        <w:pStyle w:val="resumedafterexample"/>
      </w:pPr>
      <w:r>
        <w:t>Subscripts always begin with the flag “xi” (of selma'o XI). “xi” may be</w:t>
      </w:r>
      <w:r>
        <w:rPr>
          <w:rStyle w:val="deletedparamark"/>
        </w:rPr>
        <w:t xml:space="preserve"> </w:t>
      </w:r>
      <w:r>
        <w:t>followed by a number, a lerfu string, or a general mekso expression</w:t>
      </w:r>
      <w:r>
        <w:rPr>
          <w:rStyle w:val="deletedparamark"/>
        </w:rPr>
        <w:t xml:space="preserve"> </w:t>
      </w:r>
      <w:r>
        <w:t>in parentheses: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xy.boixino</w:t>
      </w:r>
    </w:p>
    <w:p w:rsidR="00B72047" w:rsidRDefault="00B72047">
      <w:pPr>
        <w:pStyle w:val="examplescaled"/>
        <w:rPr>
          <w:rStyle w:val="math"/>
        </w:rPr>
      </w:pPr>
      <w:r>
        <w:rPr>
          <w:rStyle w:val="math"/>
        </w:rPr>
        <w:tab/>
      </w:r>
      <w:r>
        <w:rPr>
          <w:rStyle w:val="htmlcodes"/>
          <w:i/>
          <w:iCs/>
        </w:rPr>
        <w:t>&lt;math&gt;</w:t>
      </w:r>
      <w:r>
        <w:rPr>
          <w:rStyle w:val="math"/>
          <w:i/>
          <w:iCs/>
        </w:rPr>
        <w:t>x</w:t>
      </w:r>
      <w:r>
        <w:rPr>
          <w:rStyle w:val="htmlcodes"/>
          <w:i/>
          <w:iCs/>
        </w:rPr>
        <w:t>&lt;sub&gt;</w:t>
      </w:r>
      <w:r>
        <w:rPr>
          <w:rStyle w:val="subscript"/>
          <w:i/>
          <w:iCs/>
        </w:rPr>
        <w:t>0</w:t>
      </w:r>
      <w:r>
        <w:rPr>
          <w:rStyle w:val="htmlcodes"/>
        </w:rPr>
        <w:t>&lt;/sub&gt;&lt;/math&gt;</w:t>
      </w:r>
    </w:p>
    <w:p w:rsidR="00B72047" w:rsidRDefault="00B72047">
      <w:pPr>
        <w:pStyle w:val="examplescaledpre"/>
      </w:pPr>
      <w:r>
        <w:rPr>
          <w:rStyle w:val="htmlcodes"/>
        </w:rPr>
        <w:t>&lt;a name=e13d3&gt;</w:t>
      </w:r>
      <w:r>
        <w:t>13.3)</w:t>
      </w:r>
      <w:r>
        <w:tab/>
        <w:t>xy.boixiny.</w:t>
      </w:r>
    </w:p>
    <w:p w:rsidR="00B72047" w:rsidRDefault="00B72047">
      <w:pPr>
        <w:pStyle w:val="examplescaled"/>
        <w:rPr>
          <w:rStyle w:val="math"/>
        </w:rPr>
      </w:pPr>
      <w:r>
        <w:rPr>
          <w:rStyle w:val="math"/>
        </w:rPr>
        <w:tab/>
      </w:r>
      <w:r>
        <w:rPr>
          <w:rStyle w:val="htmlcodes"/>
          <w:i/>
          <w:iCs/>
        </w:rPr>
        <w:t>&lt;math&gt;</w:t>
      </w:r>
      <w:r>
        <w:rPr>
          <w:rStyle w:val="math"/>
          <w:i/>
          <w:iCs/>
        </w:rPr>
        <w:t>x</w:t>
      </w:r>
      <w:r>
        <w:rPr>
          <w:rStyle w:val="htmlcodes"/>
          <w:i/>
          <w:iCs/>
        </w:rPr>
        <w:t>&lt;sub&gt;</w:t>
      </w:r>
      <w:r>
        <w:rPr>
          <w:rStyle w:val="subscript"/>
          <w:i/>
          <w:iCs/>
        </w:rPr>
        <w:t>n</w:t>
      </w:r>
      <w:r>
        <w:rPr>
          <w:rStyle w:val="htmlcodes"/>
        </w:rPr>
        <w:t>&lt;/sub&gt;&lt;/math&gt;</w:t>
      </w:r>
    </w:p>
    <w:p w:rsidR="00B72047" w:rsidRDefault="00B72047">
      <w:pPr>
        <w:pStyle w:val="examplescaledpre"/>
      </w:pPr>
      <w:r>
        <w:rPr>
          <w:rStyle w:val="htmlcodes"/>
        </w:rPr>
        <w:t>&lt;a name=e13d4&gt;</w:t>
      </w:r>
      <w:r>
        <w:t>13.4)</w:t>
      </w:r>
      <w:r>
        <w:tab/>
        <w:t>xy.boixi vei ny. su'i pa [ve'o]</w:t>
      </w:r>
    </w:p>
    <w:p w:rsidR="00B72047" w:rsidRDefault="00B72047">
      <w:pPr>
        <w:pStyle w:val="examplescaled"/>
        <w:rPr>
          <w:rStyle w:val="math"/>
        </w:rPr>
      </w:pPr>
      <w:r>
        <w:rPr>
          <w:rStyle w:val="math"/>
        </w:rPr>
        <w:tab/>
      </w:r>
      <w:r>
        <w:rPr>
          <w:rStyle w:val="htmlcodes"/>
          <w:i/>
          <w:iCs/>
        </w:rPr>
        <w:t>&lt;math&gt;</w:t>
      </w:r>
      <w:r>
        <w:rPr>
          <w:rStyle w:val="math"/>
          <w:i/>
          <w:iCs/>
        </w:rPr>
        <w:t>x</w:t>
      </w:r>
      <w:r>
        <w:rPr>
          <w:rStyle w:val="htmlcodes"/>
          <w:i/>
          <w:iCs/>
        </w:rPr>
        <w:t>&lt;sub&gt;</w:t>
      </w:r>
      <w:r>
        <w:rPr>
          <w:rStyle w:val="subscript"/>
          <w:i/>
          <w:iCs/>
        </w:rPr>
        <w:t>n+1</w:t>
      </w:r>
      <w:r>
        <w:rPr>
          <w:rStyle w:val="htmlcodes"/>
        </w:rPr>
        <w:t>&lt;/math&gt;</w:t>
      </w:r>
    </w:p>
    <w:p w:rsidR="00B72047" w:rsidRDefault="00B72047">
      <w:pPr>
        <w:pStyle w:val="resumedafterexample"/>
      </w:pPr>
      <w:r>
        <w:rPr>
          <w:rStyle w:val="htmlcodes"/>
        </w:rPr>
        <w:t>&lt;/pre&gt;</w:t>
      </w:r>
      <w:r>
        <w:rPr>
          <w:rStyle w:val="indexentry"/>
        </w:rPr>
        <w:t>&lt;cx "subscripts on lerfu words, effect on elidability of boi"&gt;</w:t>
      </w:r>
      <w:r>
        <w:rPr>
          <w:rStyle w:val="indexentry"/>
        </w:rPr>
        <w:fldChar w:fldCharType="begin"/>
      </w:r>
      <w:r>
        <w:instrText>xe "</w:instrText>
      </w:r>
      <w:r>
        <w:rPr>
          <w:rStyle w:val="xeentry"/>
        </w:rPr>
        <w:instrText>subscripts on lerfu words: effect on elidability of boi</w:instrText>
      </w:r>
      <w:r>
        <w:instrText>"</w:instrText>
      </w:r>
      <w:r>
        <w:rPr>
          <w:rStyle w:val="indexentry"/>
        </w:rPr>
        <w:fldChar w:fldCharType="end"/>
      </w:r>
      <w:r>
        <w:rPr>
          <w:rStyle w:val="indexentry"/>
        </w:rPr>
        <w:t>&lt;cx "subscripts, effects on elidability of terminators"&gt;</w:t>
      </w:r>
      <w:r>
        <w:rPr>
          <w:rStyle w:val="indexentry"/>
        </w:rPr>
        <w:fldChar w:fldCharType="begin"/>
      </w:r>
      <w:r>
        <w:instrText>xe "</w:instrText>
      </w:r>
      <w:r>
        <w:rPr>
          <w:rStyle w:val="xeentry"/>
        </w:rPr>
        <w:instrText>subscripts: effects on elidability of terminators</w:instrText>
      </w:r>
      <w:r>
        <w:instrText>"</w:instrText>
      </w:r>
      <w:r>
        <w:rPr>
          <w:rStyle w:val="indexentry"/>
        </w:rPr>
        <w:fldChar w:fldCharType="end"/>
      </w:r>
      <w:r>
        <w:rPr>
          <w:rStyle w:val="indexentry"/>
        </w:rPr>
        <w:t>&lt;cx "free modifiers, effects on elidability of terminators"&gt;</w:t>
      </w:r>
      <w:r>
        <w:rPr>
          <w:rStyle w:val="indexentry"/>
        </w:rPr>
        <w:fldChar w:fldCharType="begin"/>
      </w:r>
      <w:r>
        <w:instrText>xe "</w:instrText>
      </w:r>
      <w:r>
        <w:rPr>
          <w:rStyle w:val="xeentry"/>
        </w:rPr>
        <w:instrText>free modifiers: effects on elidability of terminators</w:instrText>
      </w:r>
      <w:r>
        <w:instrText>"</w:instrText>
      </w:r>
      <w:r>
        <w:rPr>
          <w:rStyle w:val="indexentry"/>
        </w:rPr>
        <w:fldChar w:fldCharType="end"/>
      </w:r>
      <w:r>
        <w:t>Note that subscripts attached directly to lerfu words (variables) generally</w:t>
      </w:r>
      <w:r>
        <w:rPr>
          <w:rStyle w:val="deletedparamark"/>
        </w:rPr>
        <w:t xml:space="preserve"> </w:t>
      </w:r>
      <w:r>
        <w:t>need a “boi” terminating the variable. Free modifiers, of which subscripts</w:t>
      </w:r>
      <w:r>
        <w:rPr>
          <w:rStyle w:val="deletedparamark"/>
        </w:rPr>
        <w:t xml:space="preserve"> </w:t>
      </w:r>
      <w:r>
        <w:t>are one variety, generally require the explicit presence of an otherwise</w:t>
      </w:r>
      <w:r>
        <w:rPr>
          <w:rStyle w:val="deletedparamark"/>
        </w:rPr>
        <w:t xml:space="preserve"> </w:t>
      </w:r>
      <w:r>
        <w:t>elidable terminator.</w:t>
      </w:r>
    </w:p>
    <w:p w:rsidR="00B72047" w:rsidRDefault="00B72047">
      <w:pPr>
        <w:rPr>
          <w:rStyle w:val="htmlparacode"/>
        </w:rPr>
      </w:pPr>
      <w:r>
        <w:rPr>
          <w:rStyle w:val="htmlparacode"/>
        </w:rPr>
        <w:t>&lt;p&gt;</w:t>
      </w:r>
    </w:p>
    <w:p w:rsidR="00B72047" w:rsidRDefault="00B72047">
      <w:pPr>
        <w:pStyle w:val="normalparagraph"/>
      </w:pPr>
      <w:r>
        <w:rPr>
          <w:rStyle w:val="indexentry"/>
        </w:rPr>
        <w:t>&lt;cx "subscripts, before main expression"&gt;</w:t>
      </w:r>
      <w:r>
        <w:rPr>
          <w:rStyle w:val="indexentry"/>
        </w:rPr>
        <w:fldChar w:fldCharType="begin"/>
      </w:r>
      <w:r>
        <w:instrText>xe "</w:instrText>
      </w:r>
      <w:r>
        <w:rPr>
          <w:rStyle w:val="xeentry"/>
        </w:rPr>
        <w:instrText>subscripts: before main expression</w:instrText>
      </w:r>
      <w:r>
        <w:instrText>"</w:instrText>
      </w:r>
      <w:r>
        <w:rPr>
          <w:rStyle w:val="indexentry"/>
        </w:rPr>
        <w:fldChar w:fldCharType="end"/>
      </w:r>
      <w:r>
        <w:rPr>
          <w:rStyle w:val="indexentry"/>
        </w:rPr>
        <w:t>&lt;cx "superscripts"&gt;</w:t>
      </w:r>
      <w:r>
        <w:rPr>
          <w:rStyle w:val="indexentry"/>
        </w:rPr>
        <w:fldChar w:fldCharType="begin"/>
      </w:r>
      <w:r>
        <w:instrText>xe "</w:instrText>
      </w:r>
      <w:r>
        <w:rPr>
          <w:rStyle w:val="xeentry"/>
        </w:rPr>
        <w:instrText>superscripts</w:instrText>
      </w:r>
      <w:r>
        <w:instrText>"</w:instrText>
      </w:r>
      <w:r>
        <w:rPr>
          <w:rStyle w:val="indexentry"/>
        </w:rPr>
        <w:fldChar w:fldCharType="end"/>
      </w:r>
      <w:r>
        <w:t>There is no standard way of handling superscripts (other than those used</w:t>
      </w:r>
      <w:r>
        <w:rPr>
          <w:rStyle w:val="deletedparamark"/>
        </w:rPr>
        <w:t xml:space="preserve"> </w:t>
      </w:r>
      <w:r>
        <w:t>as ex</w:t>
      </w:r>
      <w:r>
        <w:softHyphen/>
        <w:t>po</w:t>
      </w:r>
      <w:r>
        <w:softHyphen/>
        <w:t>nents) or for subscripts or superscripts that come before the</w:t>
      </w:r>
      <w:r>
        <w:rPr>
          <w:rStyle w:val="deletedparamark"/>
        </w:rPr>
        <w:t xml:space="preserve"> </w:t>
      </w:r>
      <w:r>
        <w:t>main expression. If nec</w:t>
      </w:r>
      <w:r>
        <w:softHyphen/>
        <w:t>essary, further cmavo could be assigned to selma'o XI</w:t>
      </w:r>
      <w:r>
        <w:rPr>
          <w:rStyle w:val="deletedparamark"/>
        </w:rPr>
        <w:t xml:space="preserve"> </w:t>
      </w:r>
      <w:r>
        <w:t>for these purposes.</w:t>
      </w:r>
    </w:p>
    <w:p w:rsidR="00B72047" w:rsidRDefault="00B72047">
      <w:pPr>
        <w:rPr>
          <w:rStyle w:val="htmlparacode"/>
        </w:rPr>
      </w:pPr>
      <w:r>
        <w:rPr>
          <w:rStyle w:val="htmlparacode"/>
        </w:rPr>
        <w:t>&lt;p&gt;</w:t>
      </w:r>
    </w:p>
    <w:p w:rsidR="00B72047" w:rsidRDefault="00B72047">
      <w:pPr>
        <w:pStyle w:val="normalparagraph"/>
      </w:pPr>
      <w:r>
        <w:rPr>
          <w:rStyle w:val="indexentry"/>
        </w:rPr>
        <w:t>&lt;cx "subscripts, terminator for"&gt;</w:t>
      </w:r>
      <w:r>
        <w:rPr>
          <w:rStyle w:val="indexentry"/>
        </w:rPr>
        <w:fldChar w:fldCharType="begin"/>
      </w:r>
      <w:r>
        <w:instrText>xe "</w:instrText>
      </w:r>
      <w:r>
        <w:rPr>
          <w:rStyle w:val="xeentry"/>
        </w:rPr>
        <w:instrText>subscripts: terminator for</w:instrText>
      </w:r>
      <w:r>
        <w:instrText>"</w:instrText>
      </w:r>
      <w:r>
        <w:rPr>
          <w:rStyle w:val="indexentry"/>
        </w:rPr>
        <w:fldChar w:fldCharType="end"/>
      </w: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rPr>
          <w:rStyle w:val="indexentry"/>
        </w:rPr>
        <w:t>&lt;cx "subscripts, multiple as sub-subscript"&gt;</w:t>
      </w:r>
      <w:r>
        <w:rPr>
          <w:rStyle w:val="indexentry"/>
        </w:rPr>
        <w:fldChar w:fldCharType="begin"/>
      </w:r>
      <w:r>
        <w:instrText>xe "</w:instrText>
      </w:r>
      <w:r>
        <w:rPr>
          <w:rStyle w:val="xeentry"/>
        </w:rPr>
        <w:instrText>subscripts: multiple as sub-subscript</w:instrText>
      </w:r>
      <w:r>
        <w:instrText>"</w:instrText>
      </w:r>
      <w:r>
        <w:rPr>
          <w:rStyle w:val="indexentry"/>
        </w:rPr>
        <w:fldChar w:fldCharType="end"/>
      </w:r>
      <w:r>
        <w:rPr>
          <w:rStyle w:val="indexentry"/>
        </w:rPr>
        <w:t>&lt;cx "sub-subscripts"&gt;</w:t>
      </w:r>
      <w:r>
        <w:rPr>
          <w:rStyle w:val="indexentry"/>
        </w:rPr>
        <w:fldChar w:fldCharType="begin"/>
      </w:r>
      <w:r>
        <w:instrText>xe "</w:instrText>
      </w:r>
      <w:r>
        <w:rPr>
          <w:rStyle w:val="xeentry"/>
        </w:rPr>
        <w:instrText>sub-subscripts</w:instrText>
      </w:r>
      <w:r>
        <w:instrText>"</w:instrText>
      </w:r>
      <w:r>
        <w:rPr>
          <w:rStyle w:val="indexentry"/>
        </w:rPr>
        <w:fldChar w:fldCharType="end"/>
      </w:r>
      <w:r>
        <w:t>The elidable terminator for a subscript is that for a general number or</w:t>
      </w:r>
      <w:r>
        <w:rPr>
          <w:rStyle w:val="deletedparamark"/>
        </w:rPr>
        <w:t xml:space="preserve"> </w:t>
      </w:r>
      <w:r>
        <w:t>lerfu string, namely “boi”. By convention, a subscript following another</w:t>
      </w:r>
      <w:r>
        <w:rPr>
          <w:rStyle w:val="deletedparamark"/>
        </w:rPr>
        <w:t xml:space="preserve"> </w:t>
      </w:r>
      <w:r>
        <w:t>subscript is taken to be a sub-subscript: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xy.boi xi by.boi xi vo</w:t>
      </w:r>
    </w:p>
    <w:p w:rsidR="00B72047" w:rsidRDefault="00B72047">
      <w:pPr>
        <w:pStyle w:val="examplescaled"/>
        <w:rPr>
          <w:rStyle w:val="math"/>
        </w:rPr>
      </w:pPr>
      <w:r>
        <w:rPr>
          <w:rStyle w:val="math"/>
        </w:rPr>
        <w:tab/>
      </w:r>
      <w:r>
        <w:rPr>
          <w:rStyle w:val="htmlcodes"/>
          <w:i/>
          <w:iCs/>
          <w:vanish w:val="0"/>
        </w:rPr>
        <w:t>x</w:t>
      </w:r>
      <w:r>
        <w:rPr>
          <w:rStyle w:val="htmlcodes"/>
          <w:i/>
          <w:iCs/>
          <w:vanish w:val="0"/>
          <w:position w:val="-6"/>
          <w:sz w:val="14"/>
          <w:szCs w:val="14"/>
        </w:rPr>
        <w:t>b</w:t>
      </w:r>
      <w:r>
        <w:rPr>
          <w:rStyle w:val="htmlcodes"/>
          <w:vanish w:val="0"/>
          <w:position w:val="-12"/>
          <w:sz w:val="14"/>
          <w:szCs w:val="14"/>
        </w:rPr>
        <w:t>4</w:t>
      </w:r>
      <w:r>
        <w:rPr>
          <w:rStyle w:val="htmlcodes"/>
          <w:i/>
          <w:iCs/>
        </w:rPr>
        <w:t>&lt;math&gt;</w:t>
      </w:r>
      <w:r>
        <w:rPr>
          <w:rStyle w:val="htmlcodes"/>
        </w:rPr>
        <w:t>&lt;/sub&gt;&lt;/sub&gt;&lt;/math&gt;</w:t>
      </w:r>
    </w:p>
    <w:p w:rsidR="00B72047" w:rsidRDefault="00B72047">
      <w:pPr>
        <w:pStyle w:val="resumedafterexample"/>
      </w:pPr>
      <w:r>
        <w:rPr>
          <w:rStyle w:val="htmlcodes"/>
        </w:rPr>
        <w:t>&lt;/pre&gt;&lt;p&gt;</w:t>
      </w:r>
      <w:r>
        <w:t xml:space="preserve">See </w:t>
      </w:r>
      <w:r>
        <w:rPr>
          <w:rStyle w:val="htmlcodes"/>
        </w:rPr>
        <w:t>&lt;a href=#e17d10&gt;</w:t>
      </w:r>
      <w:r>
        <w:t xml:space="preserve">Example 17.10 </w:t>
      </w:r>
      <w:r>
        <w:rPr>
          <w:rStyle w:val="htmlcodes"/>
        </w:rPr>
        <w:t>&lt;/a&gt;</w:t>
      </w:r>
      <w:r>
        <w:t>for the standard method of specifying multiple subscripts</w:t>
      </w:r>
      <w:r>
        <w:rPr>
          <w:rStyle w:val="deletedparamark"/>
        </w:rPr>
        <w:t xml:space="preserve"> </w:t>
      </w:r>
      <w:r>
        <w:t>on a sin</w:t>
      </w:r>
      <w:r>
        <w:softHyphen/>
        <w:t>gle object.</w:t>
      </w:r>
    </w:p>
    <w:p w:rsidR="00B72047" w:rsidRDefault="00B72047">
      <w:pPr>
        <w:rPr>
          <w:rStyle w:val="htmlparacode"/>
        </w:rPr>
      </w:pPr>
      <w:r>
        <w:rPr>
          <w:rStyle w:val="htmlparacode"/>
        </w:rPr>
        <w:t>&lt;p&gt;</w:t>
      </w:r>
    </w:p>
    <w:p w:rsidR="00B72047" w:rsidRDefault="00B72047">
      <w:pPr>
        <w:pStyle w:val="normalparagraph"/>
      </w:pPr>
      <w:r>
        <w:t xml:space="preserve">More information on the uses of subscripts may be found in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name=s14&gt;&lt;h3&gt;</w:t>
      </w:r>
      <w:bookmarkStart w:id="509" w:name="_Toc398970746"/>
      <w:r>
        <w:rPr>
          <w:rStyle w:val="Heading3Text"/>
        </w:rPr>
        <w:t>Infix operators revisited</w:t>
      </w:r>
      <w:bookmarkEnd w:id="509"/>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tu'o</w:t>
      </w:r>
      <w:r>
        <w:tab/>
        <w:t>PA</w:t>
      </w:r>
      <w:r>
        <w:tab/>
        <w:t>null operand</w:t>
      </w:r>
    </w:p>
    <w:p w:rsidR="00B72047" w:rsidRDefault="00B72047">
      <w:pPr>
        <w:pStyle w:val="examplescaled"/>
      </w:pPr>
      <w:r>
        <w:tab/>
        <w:t>ge'a</w:t>
      </w:r>
      <w:r>
        <w:tab/>
        <w:t>VUhU</w:t>
      </w:r>
      <w:r>
        <w:tab/>
        <w:t>null operator</w:t>
      </w:r>
    </w:p>
    <w:p w:rsidR="00B72047" w:rsidRDefault="00B72047">
      <w:pPr>
        <w:pStyle w:val="examplescaled"/>
      </w:pPr>
      <w:r>
        <w:tab/>
        <w:t>gei</w:t>
      </w:r>
      <w:r>
        <w:tab/>
        <w:t>VUhU</w:t>
      </w:r>
      <w:r>
        <w:tab/>
        <w:t>exponential notation</w:t>
      </w:r>
    </w:p>
    <w:p w:rsidR="00B72047" w:rsidRDefault="00B72047">
      <w:pPr>
        <w:pStyle w:val="normalafterexample"/>
      </w:pPr>
      <w:r>
        <w:rPr>
          <w:rStyle w:val="htmlcodes"/>
        </w:rPr>
        <w:t>&lt;/pre&gt;</w:t>
      </w:r>
      <w:r>
        <w:rPr>
          <w:rStyle w:val="indexentry"/>
        </w:rPr>
        <w:t>&lt;lx "tu'o"&gt;</w:t>
      </w:r>
      <w:r>
        <w:rPr>
          <w:rStyle w:val="indexentry"/>
        </w:rPr>
        <w:fldChar w:fldCharType="begin"/>
      </w:r>
      <w:r>
        <w:instrText>xe "</w:instrText>
      </w:r>
      <w:r>
        <w:rPr>
          <w:rStyle w:val="xeentry"/>
        </w:rPr>
        <w:instrText>tu'o</w:instrText>
      </w:r>
      <w:r>
        <w:instrText>"</w:instrText>
      </w:r>
      <w:r>
        <w:rPr>
          <w:rStyle w:val="indexentry"/>
        </w:rPr>
        <w:fldChar w:fldCharType="end"/>
      </w:r>
      <w:r>
        <w:rPr>
          <w:rStyle w:val="indexentry"/>
        </w:rPr>
        <w:t>&lt;lx "ge'a"&gt;</w:t>
      </w:r>
      <w:r>
        <w:rPr>
          <w:rStyle w:val="indexentry"/>
        </w:rPr>
        <w:fldChar w:fldCharType="begin"/>
      </w:r>
      <w:r>
        <w:instrText>xe "</w:instrText>
      </w:r>
      <w:r>
        <w:rPr>
          <w:rStyle w:val="xeentry"/>
        </w:rPr>
        <w:instrText>ge'a</w:instrText>
      </w:r>
      <w:r>
        <w:instrText>"</w:instrText>
      </w:r>
      <w:r>
        <w:rPr>
          <w:rStyle w:val="indexentry"/>
        </w:rPr>
        <w:fldChar w:fldCharType="end"/>
      </w:r>
      <w:r>
        <w:t>The infix operators presented so far have always had exactly two operands,</w:t>
      </w:r>
      <w:r>
        <w:rPr>
          <w:rStyle w:val="deletedparamark"/>
        </w:rPr>
        <w:t xml:space="preserve"> </w:t>
      </w:r>
      <w:r>
        <w:t>and for more or fewer operands forethought notation has been required.</w:t>
      </w:r>
      <w:r>
        <w:rPr>
          <w:rStyle w:val="deletedparamark"/>
        </w:rPr>
        <w:t xml:space="preserve"> </w:t>
      </w:r>
      <w:r>
        <w:t>However, it is pos</w:t>
      </w:r>
      <w:r>
        <w:softHyphen/>
        <w:t>sible to use an operator in infix style even though</w:t>
      </w:r>
      <w:r>
        <w:rPr>
          <w:rStyle w:val="deletedparamark"/>
        </w:rPr>
        <w:t xml:space="preserve"> </w:t>
      </w:r>
      <w:r>
        <w:t>it has more or fewer than two oper</w:t>
      </w:r>
      <w:r>
        <w:softHyphen/>
        <w:t>ands, through the use of a pair of tricks:</w:t>
      </w:r>
      <w:r>
        <w:rPr>
          <w:rStyle w:val="deletedparamark"/>
        </w:rPr>
        <w:t xml:space="preserve"> </w:t>
      </w:r>
      <w:r>
        <w:t>the null operand “tu'o” and the null operator “ge'a”. The first is</w:t>
      </w:r>
      <w:r>
        <w:rPr>
          <w:rStyle w:val="deletedparamark"/>
        </w:rPr>
        <w:t xml:space="preserve"> </w:t>
      </w:r>
      <w:r>
        <w:t>suitable when there are too few operands, the second when there are too many.</w:t>
      </w:r>
      <w:r>
        <w:rPr>
          <w:rStyle w:val="deletedparamark"/>
        </w:rPr>
        <w:t xml:space="preserve"> </w:t>
      </w:r>
      <w:r>
        <w:t>For exa</w:t>
      </w:r>
      <w:r>
        <w:t>m</w:t>
      </w:r>
      <w:r>
        <w:softHyphen/>
        <w:t>ple, suppose we wanted to express the numerical negation operator</w:t>
      </w:r>
      <w:r>
        <w:rPr>
          <w:rStyle w:val="deletedparamark"/>
        </w:rPr>
        <w:t xml:space="preserve"> “</w:t>
      </w:r>
      <w:r>
        <w:t>va'a” in infix form. We would 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name=e14d1&gt;</w:t>
      </w:r>
      <w:r>
        <w:t>14.1)</w:t>
      </w:r>
      <w:r>
        <w:tab/>
        <w:t>li tu'o va'a ny. du li no vu'u ny.</w:t>
      </w:r>
    </w:p>
    <w:p w:rsidR="00B72047" w:rsidRDefault="00B72047">
      <w:pPr>
        <w:pStyle w:val="examplescaled"/>
      </w:pPr>
      <w:r>
        <w:tab/>
        <w:t xml:space="preserve">The-number (null) additive-inverse n equals the-number zero minus </w:t>
      </w:r>
      <w:r>
        <w:rPr>
          <w:i/>
          <w:iCs/>
        </w:rPr>
        <w:t>n</w:t>
      </w:r>
      <w:r>
        <w:t>.</w:t>
      </w:r>
    </w:p>
    <w:p w:rsidR="00B72047" w:rsidRDefault="00B72047">
      <w:pPr>
        <w:pStyle w:val="examplescaled"/>
        <w:rPr>
          <w:rStyle w:val="math"/>
        </w:rPr>
      </w:pPr>
      <w:r>
        <w:rPr>
          <w:rStyle w:val="math"/>
        </w:rPr>
        <w:tab/>
        <w:t>-</w:t>
      </w:r>
      <w:r>
        <w:rPr>
          <w:rStyle w:val="htmlcodes"/>
          <w:i/>
          <w:iCs/>
        </w:rPr>
        <w:t>&lt;math&gt;-</w:t>
      </w:r>
      <w:r>
        <w:rPr>
          <w:rStyle w:val="math"/>
          <w:i/>
          <w:iCs/>
        </w:rPr>
        <w:t>n</w:t>
      </w:r>
      <w:r>
        <w:rPr>
          <w:rStyle w:val="math"/>
        </w:rPr>
        <w:t xml:space="preserve"> = 0 - </w:t>
      </w:r>
      <w:r>
        <w:rPr>
          <w:rStyle w:val="math"/>
          <w:i/>
          <w:iCs/>
        </w:rPr>
        <w:t>n</w:t>
      </w:r>
      <w:r>
        <w:rPr>
          <w:rStyle w:val="htmlcodes"/>
        </w:rPr>
        <w:t>&lt;/math&gt;</w:t>
      </w:r>
    </w:p>
    <w:p w:rsidR="00B72047" w:rsidRDefault="00B72047">
      <w:pPr>
        <w:pStyle w:val="resumedafterexample"/>
      </w:pPr>
      <w:r>
        <w:rPr>
          <w:rStyle w:val="htmlcodes"/>
        </w:rPr>
        <w:t>&lt;/pre&gt;</w:t>
      </w:r>
      <w:r>
        <w:rPr>
          <w:rStyle w:val="indexentry"/>
        </w:rPr>
        <w:t>&lt;cx "tu'o, for infix operations with too few operands"&gt;</w:t>
      </w:r>
      <w:r>
        <w:rPr>
          <w:rStyle w:val="indexentry"/>
        </w:rPr>
        <w:fldChar w:fldCharType="begin"/>
      </w:r>
      <w:r>
        <w:instrText>xe "</w:instrText>
      </w:r>
      <w:r>
        <w:rPr>
          <w:rStyle w:val="xeentry"/>
        </w:rPr>
        <w:instrText>tu'o: for infix operations with too few operands</w:instrText>
      </w:r>
      <w:r>
        <w:instrText>"</w:instrText>
      </w:r>
      <w:r>
        <w:rPr>
          <w:rStyle w:val="indexentry"/>
        </w:rPr>
        <w:fldChar w:fldCharType="end"/>
      </w:r>
      <w:r>
        <w:rPr>
          <w:rStyle w:val="indexentry"/>
        </w:rPr>
        <w:t>&lt;cx "null operand, for infix operations with too few operands"&gt;</w:t>
      </w:r>
      <w:r>
        <w:rPr>
          <w:rStyle w:val="indexentry"/>
        </w:rPr>
        <w:fldChar w:fldCharType="begin"/>
      </w:r>
      <w:r>
        <w:instrText>xe "</w:instrText>
      </w:r>
      <w:r>
        <w:rPr>
          <w:rStyle w:val="xeentry"/>
        </w:rPr>
        <w:instrText>null operand: for infix operations with too few operands</w:instrText>
      </w:r>
      <w:r>
        <w:instrText>"</w:instrText>
      </w:r>
      <w:r>
        <w:rPr>
          <w:rStyle w:val="indexentry"/>
        </w:rPr>
        <w:fldChar w:fldCharType="end"/>
      </w:r>
      <w:r>
        <w:rPr>
          <w:rStyle w:val="indexentry"/>
        </w:rPr>
        <w:t>&lt;cx "operands, too few for infix operation"&gt;</w:t>
      </w:r>
      <w:r>
        <w:rPr>
          <w:rStyle w:val="indexentry"/>
        </w:rPr>
        <w:fldChar w:fldCharType="begin"/>
      </w:r>
      <w:r>
        <w:instrText>xe "</w:instrText>
      </w:r>
      <w:r>
        <w:rPr>
          <w:rStyle w:val="xeentry"/>
        </w:rPr>
        <w:instrText>operands: too few for infix operation</w:instrText>
      </w:r>
      <w:r>
        <w:instrText>"</w:instrText>
      </w:r>
      <w:r>
        <w:rPr>
          <w:rStyle w:val="indexentry"/>
        </w:rPr>
        <w:fldChar w:fldCharType="end"/>
      </w:r>
      <w:r>
        <w:t>The “tu'o” fulfills the grammatical requirement for a left operand for</w:t>
      </w:r>
      <w:r>
        <w:rPr>
          <w:rStyle w:val="deletedparamark"/>
        </w:rPr>
        <w:t xml:space="preserve"> </w:t>
      </w:r>
      <w:r>
        <w:t>the infix use of “va'a”, even though semantically none is needed or wanted.</w:t>
      </w:r>
    </w:p>
    <w:p w:rsidR="00B72047" w:rsidRDefault="00B72047">
      <w:pPr>
        <w:rPr>
          <w:rStyle w:val="htmlparacode"/>
        </w:rPr>
      </w:pPr>
      <w:r>
        <w:rPr>
          <w:rStyle w:val="htmlparacode"/>
        </w:rPr>
        <w:t>&lt;p&gt;</w:t>
      </w:r>
    </w:p>
    <w:p w:rsidR="00B72047" w:rsidRDefault="00B72047">
      <w:pPr>
        <w:pStyle w:val="normalparagraph"/>
      </w:pPr>
      <w:r>
        <w:rPr>
          <w:rStyle w:val="indexentry"/>
        </w:rPr>
        <w:t>&lt;lx "gei"&gt;</w:t>
      </w:r>
      <w:r>
        <w:rPr>
          <w:rStyle w:val="indexentry"/>
        </w:rPr>
        <w:fldChar w:fldCharType="begin"/>
      </w:r>
      <w:r>
        <w:instrText>xe "</w:instrText>
      </w:r>
      <w:r>
        <w:rPr>
          <w:rStyle w:val="xeentry"/>
        </w:rPr>
        <w:instrText>gei</w:instrText>
      </w:r>
      <w:r>
        <w:instrText>"</w:instrText>
      </w:r>
      <w:r>
        <w:rPr>
          <w:rStyle w:val="indexentry"/>
        </w:rPr>
        <w:fldChar w:fldCharType="end"/>
      </w:r>
      <w:r>
        <w:rPr>
          <w:rStyle w:val="indexentry"/>
        </w:rPr>
        <w:t>&lt;cx "gei, as a binary operator"&gt;</w:t>
      </w:r>
      <w:r>
        <w:rPr>
          <w:rStyle w:val="indexentry"/>
        </w:rPr>
        <w:fldChar w:fldCharType="begin"/>
      </w:r>
      <w:r>
        <w:instrText>xe "</w:instrText>
      </w:r>
      <w:r>
        <w:rPr>
          <w:rStyle w:val="xeentry"/>
        </w:rPr>
        <w:instrText>gei: as a binary operator</w:instrText>
      </w:r>
      <w:r>
        <w:instrText>"</w:instrText>
      </w:r>
      <w:r>
        <w:rPr>
          <w:rStyle w:val="indexentry"/>
        </w:rPr>
        <w:fldChar w:fldCharType="end"/>
      </w:r>
      <w:r>
        <w:rPr>
          <w:rStyle w:val="indexentry"/>
        </w:rPr>
        <w:t>&lt;cx "scientific notation, with gei"&gt;</w:t>
      </w:r>
      <w:r>
        <w:rPr>
          <w:rStyle w:val="indexentry"/>
        </w:rPr>
        <w:fldChar w:fldCharType="begin"/>
      </w:r>
      <w:r>
        <w:instrText>xe "</w:instrText>
      </w:r>
      <w:r>
        <w:rPr>
          <w:rStyle w:val="xeentry"/>
        </w:rPr>
        <w:instrText>scientific notation: with gei</w:instrText>
      </w:r>
      <w:r>
        <w:instrText>"</w:instrText>
      </w:r>
      <w:r>
        <w:rPr>
          <w:rStyle w:val="indexentry"/>
        </w:rPr>
        <w:fldChar w:fldCharType="end"/>
      </w:r>
      <w:r>
        <w:rPr>
          <w:rStyle w:val="indexentry"/>
        </w:rPr>
        <w:t>&lt;cx "exponential notation, with gei"&gt;</w:t>
      </w:r>
      <w:r>
        <w:rPr>
          <w:rStyle w:val="indexentry"/>
        </w:rPr>
        <w:fldChar w:fldCharType="begin"/>
      </w:r>
      <w:r>
        <w:instrText>xe "</w:instrText>
      </w:r>
      <w:r>
        <w:rPr>
          <w:rStyle w:val="xeentry"/>
        </w:rPr>
        <w:instrText>exponential notation: with gei</w:instrText>
      </w:r>
      <w:r>
        <w:instrText>"</w:instrText>
      </w:r>
      <w:r>
        <w:rPr>
          <w:rStyle w:val="indexentry"/>
        </w:rPr>
        <w:fldChar w:fldCharType="end"/>
      </w:r>
      <w:r>
        <w:t>Finding a suitable example of “ge'a” requires exhibiting a ternary operator,</w:t>
      </w:r>
      <w:r>
        <w:rPr>
          <w:rStyle w:val="deletedparamark"/>
        </w:rPr>
        <w:t xml:space="preserve"> </w:t>
      </w:r>
      <w:r>
        <w:t>and te</w:t>
      </w:r>
      <w:r>
        <w:t>r</w:t>
      </w:r>
      <w:r>
        <w:softHyphen/>
        <w:t>nary operators are not common. The operator “gei”, however, has both</w:t>
      </w:r>
      <w:r>
        <w:rPr>
          <w:rStyle w:val="deletedparamark"/>
        </w:rPr>
        <w:t xml:space="preserve"> </w:t>
      </w:r>
      <w:r>
        <w:t>a binary and a ternary use. As a binary operator, it provides a terse</w:t>
      </w:r>
      <w:r>
        <w:rPr>
          <w:rStyle w:val="deletedparamark"/>
        </w:rPr>
        <w:t xml:space="preserve"> </w:t>
      </w:r>
      <w:r>
        <w:t>representation of scientific (also called “exponential”) notation. The first</w:t>
      </w:r>
      <w:r>
        <w:rPr>
          <w:rStyle w:val="deletedparamark"/>
        </w:rPr>
        <w:t xml:space="preserve"> </w:t>
      </w:r>
      <w:r>
        <w:t>operand of “gei” is the exponent, and the sec</w:t>
      </w:r>
      <w:r>
        <w:softHyphen/>
        <w:t>ond operand is the mantissa</w:t>
      </w:r>
      <w:r>
        <w:rPr>
          <w:rStyle w:val="deletedparamark"/>
        </w:rPr>
        <w:t xml:space="preserve"> </w:t>
      </w:r>
      <w:r>
        <w:t>or fraction:</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 xml:space="preserve">&lt;ex "3 </w:t>
      </w:r>
      <w:r>
        <w:rPr>
          <w:rStyle w:val="indexentry"/>
        </w:rPr>
        <w:sym w:font="Symbol" w:char="F0B4"/>
      </w:r>
      <w:r>
        <w:rPr>
          <w:rStyle w:val="indexentry"/>
        </w:rPr>
        <w:t xml:space="preserve"> 10^8"&gt;</w:t>
      </w:r>
      <w:r>
        <w:rPr>
          <w:rStyle w:val="indexentry"/>
        </w:rPr>
        <w:fldChar w:fldCharType="begin"/>
      </w:r>
      <w:r>
        <w:instrText>xe "</w:instrText>
      </w:r>
      <w:r>
        <w:rPr>
          <w:rStyle w:val="xeentry"/>
        </w:rPr>
        <w:instrText xml:space="preserve">3 </w:instrText>
      </w:r>
      <w:r>
        <w:rPr>
          <w:rStyle w:val="xeentry"/>
        </w:rPr>
        <w:sym w:font="Symbol" w:char="F0B4"/>
      </w:r>
      <w:r>
        <w:rPr>
          <w:rStyle w:val="xeentry"/>
        </w:rPr>
        <w:instrText xml:space="preserve"> 10^8: example</w:instrText>
      </w:r>
      <w:r>
        <w:instrText>"</w:instrText>
      </w:r>
      <w:r>
        <w:rPr>
          <w:rStyle w:val="indexentry"/>
        </w:rPr>
        <w:fldChar w:fldCharType="end"/>
      </w:r>
      <w:r>
        <w:rPr>
          <w:rStyle w:val="htmlcodes"/>
        </w:rPr>
        <w:t>&lt;pre&gt;&lt;a name=e14d2&gt;</w:t>
      </w:r>
      <w:r>
        <w:t>14.2)</w:t>
      </w:r>
      <w:r>
        <w:tab/>
        <w:t>li cinonoki'oki'o du</w:t>
      </w:r>
    </w:p>
    <w:p w:rsidR="00B72047" w:rsidRDefault="00B72047">
      <w:pPr>
        <w:pStyle w:val="examplescaled"/>
      </w:pPr>
      <w:r>
        <w:tab/>
      </w:r>
      <w:r>
        <w:tab/>
        <w:t>li bi gei ci</w:t>
      </w:r>
    </w:p>
    <w:p w:rsidR="00B72047" w:rsidRDefault="00B72047">
      <w:pPr>
        <w:pStyle w:val="examplescaled"/>
      </w:pPr>
      <w:r>
        <w:tab/>
        <w:t xml:space="preserve">The-number three-zero-zero-comma-comma equals </w:t>
      </w:r>
    </w:p>
    <w:p w:rsidR="00B72047" w:rsidRDefault="00B72047">
      <w:pPr>
        <w:pStyle w:val="examplescaled"/>
        <w:ind w:firstLine="576"/>
      </w:pPr>
      <w:r>
        <w:t>the-number eight scientific three.</w:t>
      </w:r>
    </w:p>
    <w:p w:rsidR="00B72047" w:rsidRDefault="00B72047">
      <w:pPr>
        <w:pStyle w:val="examplescaled"/>
        <w:rPr>
          <w:rStyle w:val="math"/>
        </w:rPr>
      </w:pPr>
      <w:r>
        <w:rPr>
          <w:rStyle w:val="math"/>
        </w:rPr>
        <w:tab/>
      </w:r>
      <w:r>
        <w:rPr>
          <w:rStyle w:val="htmlcodes"/>
        </w:rPr>
        <w:t>&lt;math&gt;</w:t>
      </w:r>
      <w:r>
        <w:rPr>
          <w:rStyle w:val="math"/>
        </w:rPr>
        <w:t xml:space="preserve">300,000,000 = 3 </w:t>
      </w:r>
      <w:r>
        <w:rPr>
          <w:rStyle w:val="math"/>
        </w:rPr>
        <w:sym w:font="Symbol" w:char="F0B4"/>
      </w:r>
      <w:r>
        <w:rPr>
          <w:rStyle w:val="htmlcodes"/>
        </w:rPr>
        <w:t xml:space="preserve"> &amp;times;</w:t>
      </w:r>
      <w:r>
        <w:rPr>
          <w:rStyle w:val="math"/>
        </w:rPr>
        <w:t xml:space="preserve"> 10</w:t>
      </w:r>
      <w:r>
        <w:rPr>
          <w:rStyle w:val="htmlcodes"/>
        </w:rPr>
        <w:t>&lt;sup&gt;</w:t>
      </w:r>
      <w:r>
        <w:rPr>
          <w:rStyle w:val="Superscript"/>
          <w:i/>
          <w:iCs/>
        </w:rPr>
        <w:t>8</w:t>
      </w:r>
      <w:r>
        <w:rPr>
          <w:rStyle w:val="htmlcodes"/>
        </w:rPr>
        <w:t>&lt;/sup&gt;&lt;/math&gt;</w:t>
      </w:r>
    </w:p>
    <w:p w:rsidR="00B72047" w:rsidRDefault="00B72047">
      <w:pPr>
        <w:pStyle w:val="resumedafterexample"/>
      </w:pPr>
      <w:r>
        <w:rPr>
          <w:rStyle w:val="htmlcodes"/>
        </w:rPr>
        <w:t>&lt;/pre&gt;</w:t>
      </w:r>
      <w:r>
        <w:rPr>
          <w:rStyle w:val="indexentry"/>
        </w:rPr>
        <w:t>&lt;cx "scientific notation, rationale for order of places"&gt;</w:t>
      </w:r>
      <w:r>
        <w:rPr>
          <w:rStyle w:val="indexentry"/>
        </w:rPr>
        <w:fldChar w:fldCharType="begin"/>
      </w:r>
      <w:r>
        <w:instrText>xe "</w:instrText>
      </w:r>
      <w:r>
        <w:rPr>
          <w:rStyle w:val="xeentry"/>
        </w:rPr>
        <w:instrText>scientific notation: rationale for order of places</w:instrText>
      </w:r>
      <w:r>
        <w:instrText>"</w:instrText>
      </w:r>
      <w:r>
        <w:rPr>
          <w:rStyle w:val="indexentry"/>
        </w:rPr>
        <w:fldChar w:fldCharType="end"/>
      </w:r>
      <w:r>
        <w:rPr>
          <w:rStyle w:val="indexentry"/>
        </w:rPr>
        <w:t>&lt;cx "gei, rationale for order of places"&gt;</w:t>
      </w:r>
      <w:r>
        <w:rPr>
          <w:rStyle w:val="indexentry"/>
        </w:rPr>
        <w:fldChar w:fldCharType="begin"/>
      </w:r>
      <w:r>
        <w:instrText>xe "</w:instrText>
      </w:r>
      <w:r>
        <w:rPr>
          <w:rStyle w:val="xeentry"/>
        </w:rPr>
        <w:instrText>gei: rationale for order of places</w:instrText>
      </w:r>
      <w:r>
        <w:instrText>"</w:instrText>
      </w:r>
      <w:r>
        <w:rPr>
          <w:rStyle w:val="indexentry"/>
        </w:rPr>
        <w:fldChar w:fldCharType="end"/>
      </w:r>
      <w:r>
        <w:t>Why are the arguments to “gei” in reverse order from the conventional</w:t>
      </w:r>
      <w:r>
        <w:rPr>
          <w:rStyle w:val="deletedparamark"/>
        </w:rPr>
        <w:t xml:space="preserve"> </w:t>
      </w:r>
      <w:r>
        <w:t>symbolic nota</w:t>
      </w:r>
      <w:r>
        <w:softHyphen/>
        <w:t>tion? So that “gei” can be used in forethought to allow</w:t>
      </w:r>
      <w:r>
        <w:rPr>
          <w:rStyle w:val="deletedparamark"/>
        </w:rPr>
        <w:t xml:space="preserve"> </w:t>
      </w:r>
      <w:r>
        <w:t>easy specification of a large (or small) imprecise number:</w:t>
      </w:r>
    </w:p>
    <w:p w:rsidR="00B72047" w:rsidRDefault="00B72047">
      <w:pPr>
        <w:rPr>
          <w:rStyle w:val="htmlparacode"/>
        </w:rPr>
      </w:pPr>
      <w:r>
        <w:rPr>
          <w:rStyle w:val="htmlparacode"/>
        </w:rPr>
        <w:t>&lt;p&gt;</w:t>
      </w:r>
    </w:p>
    <w:p w:rsidR="00B72047" w:rsidRDefault="00B72047">
      <w:pPr>
        <w:pStyle w:val="examplescaledpre"/>
      </w:pPr>
      <w:r>
        <w:rPr>
          <w:rStyle w:val="indexentry"/>
        </w:rPr>
        <w:t>&lt;ex "10^20"&gt;</w:t>
      </w:r>
      <w:r>
        <w:rPr>
          <w:rStyle w:val="indexentry"/>
        </w:rPr>
        <w:fldChar w:fldCharType="begin"/>
      </w:r>
      <w:r>
        <w:instrText>xe "</w:instrText>
      </w:r>
      <w:r>
        <w:rPr>
          <w:rStyle w:val="xeentry"/>
        </w:rPr>
        <w:instrText>10^20: example</w:instrText>
      </w:r>
      <w:r>
        <w:instrText>"</w:instrText>
      </w:r>
      <w:r>
        <w:rPr>
          <w:rStyle w:val="indexentry"/>
        </w:rPr>
        <w:fldChar w:fldCharType="end"/>
      </w:r>
      <w:r>
        <w:rPr>
          <w:rStyle w:val="htmlcodes"/>
        </w:rPr>
        <w:t>&lt;pre&gt;&lt;a name=e14d3&gt;</w:t>
      </w:r>
      <w:r>
        <w:t>14.3)</w:t>
      </w:r>
      <w:r>
        <w:tab/>
        <w:t>gei reno</w:t>
      </w:r>
    </w:p>
    <w:p w:rsidR="00B72047" w:rsidRDefault="00B72047">
      <w:pPr>
        <w:pStyle w:val="examplescaled"/>
      </w:pPr>
      <w:r>
        <w:tab/>
        <w:t>(scientific) two-zero</w:t>
      </w:r>
    </w:p>
    <w:p w:rsidR="00B72047" w:rsidRDefault="00B72047">
      <w:pPr>
        <w:pStyle w:val="examplescaled"/>
        <w:rPr>
          <w:rStyle w:val="math"/>
        </w:rPr>
      </w:pPr>
      <w:r>
        <w:rPr>
          <w:rStyle w:val="math"/>
        </w:rPr>
        <w:tab/>
      </w:r>
      <w:r>
        <w:rPr>
          <w:rStyle w:val="htmlcodes"/>
        </w:rPr>
        <w:t>&lt;math&gt;</w:t>
      </w:r>
      <w:r>
        <w:rPr>
          <w:rStyle w:val="math"/>
        </w:rPr>
        <w:t>10</w:t>
      </w:r>
      <w:r>
        <w:rPr>
          <w:rStyle w:val="htmlcodes"/>
        </w:rPr>
        <w:t>&lt;sup&gt;</w:t>
      </w:r>
      <w:r>
        <w:rPr>
          <w:rStyle w:val="Superscript"/>
        </w:rPr>
        <w:t>20</w:t>
      </w:r>
      <w:r>
        <w:rPr>
          <w:rStyle w:val="htmlcodes"/>
        </w:rPr>
        <w:t>&lt;/sup&gt;&lt;/math&gt;</w:t>
      </w:r>
    </w:p>
    <w:p w:rsidR="00B72047" w:rsidRDefault="00B72047">
      <w:pPr>
        <w:pStyle w:val="resumedafterexample"/>
      </w:pPr>
      <w:r>
        <w:rPr>
          <w:rStyle w:val="htmlcodes"/>
        </w:rPr>
        <w:t>&lt;/pre&gt;</w:t>
      </w:r>
      <w:r>
        <w:rPr>
          <w:rStyle w:val="indexentry"/>
        </w:rPr>
        <w:t>&lt;cx "ge'a, for infix operations with too many operands"&gt;</w:t>
      </w:r>
      <w:r>
        <w:rPr>
          <w:rStyle w:val="indexentry"/>
        </w:rPr>
        <w:fldChar w:fldCharType="begin"/>
      </w:r>
      <w:r>
        <w:instrText>xe "</w:instrText>
      </w:r>
      <w:r>
        <w:rPr>
          <w:rStyle w:val="xeentry"/>
        </w:rPr>
        <w:instrText>ge'a: for infix operations with too many operands</w:instrText>
      </w:r>
      <w:r>
        <w:instrText>"</w:instrText>
      </w:r>
      <w:r>
        <w:rPr>
          <w:rStyle w:val="indexentry"/>
        </w:rPr>
        <w:fldChar w:fldCharType="end"/>
      </w:r>
      <w:r>
        <w:rPr>
          <w:rStyle w:val="indexentry"/>
        </w:rPr>
        <w:t>&lt;cx "null operator, for infix operations with too many operands"&gt;</w:t>
      </w:r>
      <w:r>
        <w:rPr>
          <w:rStyle w:val="indexentry"/>
        </w:rPr>
        <w:fldChar w:fldCharType="begin"/>
      </w:r>
      <w:r>
        <w:instrText>xe "</w:instrText>
      </w:r>
      <w:r>
        <w:rPr>
          <w:rStyle w:val="xeentry"/>
        </w:rPr>
        <w:instrText>null operator: for infix operations with too many operands</w:instrText>
      </w:r>
      <w:r>
        <w:instrText>"</w:instrText>
      </w:r>
      <w:r>
        <w:rPr>
          <w:rStyle w:val="indexentry"/>
        </w:rPr>
        <w:fldChar w:fldCharType="end"/>
      </w:r>
      <w:r>
        <w:rPr>
          <w:rStyle w:val="indexentry"/>
        </w:rPr>
        <w:t>&lt;cx "operands, too many for infix operation"&gt;</w:t>
      </w:r>
      <w:r>
        <w:rPr>
          <w:rStyle w:val="indexentry"/>
        </w:rPr>
        <w:fldChar w:fldCharType="begin"/>
      </w:r>
      <w:r>
        <w:instrText>xe "</w:instrText>
      </w:r>
      <w:r>
        <w:rPr>
          <w:rStyle w:val="xeentry"/>
        </w:rPr>
        <w:instrText>operands: too many for infix operation</w:instrText>
      </w:r>
      <w:r>
        <w:instrText>"</w:instrText>
      </w:r>
      <w:r>
        <w:rPr>
          <w:rStyle w:val="indexentry"/>
        </w:rPr>
        <w:fldChar w:fldCharType="end"/>
      </w:r>
      <w:r>
        <w:rPr>
          <w:rStyle w:val="indexentry"/>
        </w:rPr>
        <w:t>&lt;cx "gei, as a ternary operator"&gt;</w:t>
      </w:r>
      <w:r>
        <w:rPr>
          <w:rStyle w:val="indexentry"/>
        </w:rPr>
        <w:fldChar w:fldCharType="begin"/>
      </w:r>
      <w:r>
        <w:instrText>xe "</w:instrText>
      </w:r>
      <w:r>
        <w:rPr>
          <w:rStyle w:val="xeentry"/>
        </w:rPr>
        <w:instrText>gei: as a ternary operator</w:instrText>
      </w:r>
      <w:r>
        <w:instrText>"</w:instrText>
      </w:r>
      <w:r>
        <w:rPr>
          <w:rStyle w:val="indexentry"/>
        </w:rPr>
        <w:fldChar w:fldCharType="end"/>
      </w:r>
      <w:r>
        <w:rPr>
          <w:rStyle w:val="indexentry"/>
        </w:rPr>
        <w:t>&lt;cx "exponential notation, with base other than 10"&gt;</w:t>
      </w:r>
      <w:r>
        <w:rPr>
          <w:rStyle w:val="indexentry"/>
        </w:rPr>
        <w:fldChar w:fldCharType="begin"/>
      </w:r>
      <w:r>
        <w:instrText>xe "</w:instrText>
      </w:r>
      <w:r>
        <w:rPr>
          <w:rStyle w:val="xeentry"/>
        </w:rPr>
        <w:instrText>exponential notation: with base other than 10</w:instrText>
      </w:r>
      <w:r>
        <w:instrText>"</w:instrText>
      </w:r>
      <w:r>
        <w:rPr>
          <w:rStyle w:val="indexentry"/>
        </w:rPr>
        <w:fldChar w:fldCharType="end"/>
      </w:r>
      <w:r>
        <w:rPr>
          <w:rStyle w:val="indexentry"/>
        </w:rPr>
        <w:t>&lt;cx "floating point numbers, expressing"&gt;</w:t>
      </w:r>
      <w:r>
        <w:rPr>
          <w:rStyle w:val="indexentry"/>
        </w:rPr>
        <w:fldChar w:fldCharType="begin"/>
      </w:r>
      <w:r>
        <w:instrText>xe "</w:instrText>
      </w:r>
      <w:r>
        <w:rPr>
          <w:rStyle w:val="xeentry"/>
        </w:rPr>
        <w:instrText>floating point numbers: expressing</w:instrText>
      </w:r>
      <w:r>
        <w:instrText>"</w:instrText>
      </w:r>
      <w:r>
        <w:rPr>
          <w:rStyle w:val="indexentry"/>
        </w:rPr>
        <w:fldChar w:fldCharType="end"/>
      </w:r>
      <w:r>
        <w:t>Note, however, that although 10 is far and away the most common exponent</w:t>
      </w:r>
      <w:r>
        <w:rPr>
          <w:rStyle w:val="deletedparamark"/>
        </w:rPr>
        <w:t xml:space="preserve"> </w:t>
      </w:r>
      <w:r>
        <w:t>base, it is not the only possible one. The third operand of “gei”,</w:t>
      </w:r>
      <w:r>
        <w:rPr>
          <w:rStyle w:val="deletedparamark"/>
        </w:rPr>
        <w:t xml:space="preserve"> </w:t>
      </w:r>
      <w:r>
        <w:t>therefore, is the base, with 10 as the default value. Most computers</w:t>
      </w:r>
      <w:r>
        <w:rPr>
          <w:rStyle w:val="deletedparamark"/>
        </w:rPr>
        <w:t xml:space="preserve"> </w:t>
      </w:r>
      <w:r>
        <w:t>internally store so-called “floating-point” numbers using 2 as the exponent</w:t>
      </w:r>
      <w:r>
        <w:rPr>
          <w:rStyle w:val="deletedparamark"/>
        </w:rPr>
        <w:t xml:space="preserve"> </w:t>
      </w:r>
      <w:r>
        <w:t>base. (This has nothing to do with the fact that computers also represent</w:t>
      </w:r>
      <w:r>
        <w:rPr>
          <w:rStyle w:val="deletedparamark"/>
        </w:rPr>
        <w:t xml:space="preserve"> </w:t>
      </w:r>
      <w:r>
        <w:t>all integers in base 2; the IBM 360 series used an exponent base of 16 for</w:t>
      </w:r>
      <w:r>
        <w:rPr>
          <w:rStyle w:val="deletedparamark"/>
        </w:rPr>
        <w:t xml:space="preserve"> </w:t>
      </w:r>
      <w:r>
        <w:t>floating point, although each component of the number was expressed in base</w:t>
      </w:r>
      <w:r>
        <w:rPr>
          <w:rStyle w:val="deletedparamark"/>
        </w:rPr>
        <w:t xml:space="preserve"> </w:t>
      </w:r>
      <w:r>
        <w:t>2.)  Here is a computer floating-point number with a value of 40:</w:t>
      </w:r>
    </w:p>
    <w:p w:rsidR="00B72047" w:rsidRDefault="00B72047">
      <w:pPr>
        <w:rPr>
          <w:rStyle w:val="htmlparacode"/>
        </w:rPr>
      </w:pPr>
      <w:r>
        <w:rPr>
          <w:rStyle w:val="htmlparacode"/>
        </w:rPr>
        <w:t>&lt;p&gt;</w:t>
      </w:r>
    </w:p>
    <w:p w:rsidR="00B72047" w:rsidRDefault="00B72047">
      <w:pPr>
        <w:pStyle w:val="examplescaledpre"/>
      </w:pPr>
      <w:r>
        <w:rPr>
          <w:rStyle w:val="indexentry"/>
        </w:rPr>
        <w:t xml:space="preserve">&lt;ex ".1010_2 </w:t>
      </w:r>
      <w:r>
        <w:rPr>
          <w:rStyle w:val="indexentry"/>
        </w:rPr>
        <w:sym w:font="Symbol" w:char="F0B4"/>
      </w:r>
      <w:r>
        <w:rPr>
          <w:rStyle w:val="indexentry"/>
        </w:rPr>
        <w:t xml:space="preserve"> 2^{110_2}"&gt;</w:t>
      </w:r>
      <w:r>
        <w:rPr>
          <w:rStyle w:val="indexentry"/>
        </w:rPr>
        <w:fldChar w:fldCharType="begin"/>
      </w:r>
      <w:r>
        <w:instrText>xe "</w:instrText>
      </w:r>
      <w:r>
        <w:rPr>
          <w:rStyle w:val="xeentry"/>
        </w:rPr>
        <w:instrText xml:space="preserve">.1010_2 </w:instrText>
      </w:r>
      <w:r>
        <w:rPr>
          <w:rStyle w:val="xeentry"/>
        </w:rPr>
        <w:sym w:font="Symbol" w:char="F0B4"/>
      </w:r>
      <w:r>
        <w:rPr>
          <w:rStyle w:val="xeentry"/>
        </w:rPr>
        <w:instrText xml:space="preserve"> 2^{110_2}: example</w:instrText>
      </w:r>
      <w:r>
        <w:instrText>"</w:instrText>
      </w:r>
      <w:r>
        <w:rPr>
          <w:rStyle w:val="indexentry"/>
        </w:rPr>
        <w:fldChar w:fldCharType="end"/>
      </w:r>
      <w:r>
        <w:rPr>
          <w:rStyle w:val="htmlcodes"/>
        </w:rPr>
        <w:t>&lt;pre&gt;&lt;a name=e14d4&gt;</w:t>
      </w:r>
      <w:r>
        <w:t>14.4)</w:t>
      </w:r>
      <w:r>
        <w:tab/>
        <w:t>papano bi'eju'u re gei pipanopano bi'eju'u re</w:t>
      </w:r>
    </w:p>
    <w:p w:rsidR="00B72047" w:rsidRDefault="00B72047">
      <w:pPr>
        <w:pStyle w:val="examplescaled"/>
      </w:pPr>
      <w:r>
        <w:tab/>
      </w:r>
      <w:r>
        <w:tab/>
        <w:t>ge'a re</w:t>
      </w:r>
    </w:p>
    <w:p w:rsidR="00B72047" w:rsidRDefault="00B72047">
      <w:pPr>
        <w:pStyle w:val="examplescaled"/>
      </w:pPr>
      <w:r>
        <w:tab/>
        <w:t xml:space="preserve">(one-one-zero base 2) scientific (point-one-zero-one-zero base 2) </w:t>
      </w:r>
    </w:p>
    <w:p w:rsidR="00B72047" w:rsidRDefault="00B72047">
      <w:pPr>
        <w:pStyle w:val="examplescaled"/>
        <w:ind w:firstLine="576"/>
      </w:pPr>
      <w:r>
        <w:t>with-base 2</w:t>
      </w:r>
    </w:p>
    <w:p w:rsidR="00B72047" w:rsidRDefault="00B72047">
      <w:pPr>
        <w:pStyle w:val="examplescaled"/>
        <w:rPr>
          <w:rStyle w:val="math"/>
        </w:rPr>
      </w:pPr>
      <w:r>
        <w:rPr>
          <w:rStyle w:val="math"/>
        </w:rPr>
        <w:tab/>
      </w:r>
      <w:r>
        <w:rPr>
          <w:rStyle w:val="htmlcodes"/>
        </w:rPr>
        <w:t>&lt;math&gt;</w:t>
      </w:r>
      <w:r>
        <w:rPr>
          <w:rStyle w:val="math"/>
        </w:rPr>
        <w:t xml:space="preserve">.1010 </w:t>
      </w:r>
      <w:r>
        <w:rPr>
          <w:rStyle w:val="htmlcodes"/>
        </w:rPr>
        <w:t>&lt;sub&gt;2&lt;/sub&gt;&amp;times;</w:t>
      </w:r>
      <w:r>
        <w:rPr>
          <w:rStyle w:val="math"/>
        </w:rPr>
        <w:sym w:font="Symbol" w:char="F0B4"/>
      </w:r>
      <w:r>
        <w:rPr>
          <w:rStyle w:val="math"/>
        </w:rPr>
        <w:t xml:space="preserve"> 2</w:t>
      </w:r>
      <w:r>
        <w:rPr>
          <w:rStyle w:val="htmlcodes"/>
          <w:position w:val="8"/>
        </w:rPr>
        <w:t>&lt;sup&gt;</w:t>
      </w:r>
      <w:r>
        <w:rPr>
          <w:rStyle w:val="Superscript"/>
          <w:position w:val="8"/>
        </w:rPr>
        <w:t>110</w:t>
      </w:r>
      <w:r>
        <w:rPr>
          <w:rStyle w:val="htmlcodes"/>
          <w:position w:val="4"/>
        </w:rPr>
        <w:t>&lt;sub&gt;</w:t>
      </w:r>
      <w:r>
        <w:rPr>
          <w:rStyle w:val="subscript"/>
          <w:position w:val="4"/>
        </w:rPr>
        <w:t>2</w:t>
      </w:r>
      <w:r>
        <w:rPr>
          <w:rStyle w:val="htmlcodes"/>
        </w:rPr>
        <w:t>&lt;/sub&gt;&lt;/sup&gt;&lt;/math&gt;</w:t>
      </w:r>
    </w:p>
    <w:p w:rsidR="00B72047" w:rsidRDefault="00B72047">
      <w:pPr>
        <w:pStyle w:val="Heading3"/>
        <w:rPr>
          <w:rStyle w:val="Heading3Text"/>
        </w:rPr>
      </w:pPr>
      <w:r>
        <w:rPr>
          <w:rStyle w:val="htmlcodes"/>
        </w:rPr>
        <w:t>&lt;/pre&gt;&lt;a name=s15&gt;&lt;h3&gt;</w:t>
      </w:r>
      <w:bookmarkStart w:id="510" w:name="_Toc398970747"/>
      <w:r>
        <w:rPr>
          <w:rStyle w:val="Heading3Text"/>
        </w:rPr>
        <w:t>Vectors and matrices</w:t>
      </w:r>
      <w:bookmarkEnd w:id="510"/>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jo'i</w:t>
      </w:r>
      <w:r>
        <w:tab/>
        <w:t>JOhI</w:t>
      </w:r>
      <w:r>
        <w:tab/>
        <w:t>start vector</w:t>
      </w:r>
    </w:p>
    <w:p w:rsidR="00B72047" w:rsidRDefault="00B72047">
      <w:pPr>
        <w:pStyle w:val="examplescaled"/>
      </w:pPr>
      <w:r>
        <w:tab/>
        <w:t>te'u</w:t>
      </w:r>
      <w:r>
        <w:tab/>
        <w:t>TEhU</w:t>
      </w:r>
      <w:r>
        <w:tab/>
        <w:t>end vector</w:t>
      </w:r>
    </w:p>
    <w:p w:rsidR="00B72047" w:rsidRDefault="00B72047">
      <w:pPr>
        <w:pStyle w:val="examplescaled"/>
      </w:pPr>
      <w:r>
        <w:tab/>
        <w:t>pi'a</w:t>
      </w:r>
      <w:r>
        <w:tab/>
        <w:t>VUhU</w:t>
      </w:r>
      <w:r>
        <w:tab/>
        <w:t>matrix row combiner</w:t>
      </w:r>
    </w:p>
    <w:p w:rsidR="00B72047" w:rsidRDefault="00B72047">
      <w:pPr>
        <w:pStyle w:val="examplescaled"/>
      </w:pPr>
      <w:r>
        <w:tab/>
        <w:t>sa'i</w:t>
      </w:r>
      <w:r>
        <w:tab/>
        <w:t>VUhU</w:t>
      </w:r>
      <w:r>
        <w:tab/>
        <w:t>matrix column combiner</w:t>
      </w:r>
    </w:p>
    <w:p w:rsidR="00B72047" w:rsidRDefault="00B72047">
      <w:pPr>
        <w:pStyle w:val="normalafterexample"/>
      </w:pPr>
      <w:r>
        <w:rPr>
          <w:rStyle w:val="htmlcodes"/>
        </w:rPr>
        <w:t>&lt;/pre&gt;</w:t>
      </w:r>
      <w:r>
        <w:rPr>
          <w:rStyle w:val="indexentry"/>
        </w:rPr>
        <w:t>&lt;cx "vector, definition"&gt;</w:t>
      </w:r>
      <w:r>
        <w:rPr>
          <w:rStyle w:val="indexentry"/>
        </w:rPr>
        <w:fldChar w:fldCharType="begin"/>
      </w:r>
      <w:r>
        <w:instrText>xe "</w:instrText>
      </w:r>
      <w:r>
        <w:rPr>
          <w:rStyle w:val="xeentry"/>
        </w:rPr>
        <w:instrText>vector: definition</w:instrText>
      </w:r>
      <w:r>
        <w:instrText>"</w:instrText>
      </w:r>
      <w:r>
        <w:rPr>
          <w:rStyle w:val="indexentry"/>
        </w:rPr>
        <w:fldChar w:fldCharType="end"/>
      </w:r>
      <w:r>
        <w:rPr>
          <w:rStyle w:val="indexentry"/>
        </w:rPr>
        <w:t>&lt;cx "matrix, definition"&gt;</w:t>
      </w:r>
      <w:r>
        <w:rPr>
          <w:rStyle w:val="indexentry"/>
        </w:rPr>
        <w:fldChar w:fldCharType="begin"/>
      </w:r>
      <w:r>
        <w:instrText>xe "</w:instrText>
      </w:r>
      <w:r>
        <w:rPr>
          <w:rStyle w:val="xeentry"/>
        </w:rPr>
        <w:instrText>matrix: definition</w:instrText>
      </w:r>
      <w:r>
        <w:instrText>"</w:instrText>
      </w:r>
      <w:r>
        <w:rPr>
          <w:rStyle w:val="indexentry"/>
        </w:rPr>
        <w:fldChar w:fldCharType="end"/>
      </w:r>
      <w:r>
        <w:t>A mathematical vector is a list of numbers, and a mathematical matrix is</w:t>
      </w:r>
      <w:r>
        <w:rPr>
          <w:rStyle w:val="deletedparamark"/>
        </w:rPr>
        <w:t xml:space="preserve"> </w:t>
      </w:r>
      <w:r>
        <w:t>a ta</w:t>
      </w:r>
      <w:r>
        <w:softHyphen/>
        <w:t>ble of numbers. Lojban considers matrices to be built up out of vectors,</w:t>
      </w:r>
      <w:r>
        <w:rPr>
          <w:rStyle w:val="deletedparamark"/>
        </w:rPr>
        <w:t xml:space="preserve"> </w:t>
      </w:r>
      <w:r>
        <w:t>which are in turn built up out of operands.</w:t>
      </w:r>
    </w:p>
    <w:p w:rsidR="00B72047" w:rsidRDefault="00B72047">
      <w:pPr>
        <w:rPr>
          <w:rStyle w:val="htmlparacode"/>
        </w:rPr>
      </w:pPr>
      <w:r>
        <w:rPr>
          <w:rStyle w:val="htmlparacode"/>
        </w:rPr>
        <w:t>&lt;p&gt;</w:t>
      </w:r>
    </w:p>
    <w:p w:rsidR="00B72047" w:rsidRDefault="00B72047">
      <w:pPr>
        <w:pStyle w:val="normalparagraph"/>
      </w:pPr>
      <w:r>
        <w:rPr>
          <w:rStyle w:val="indexentry"/>
        </w:rPr>
        <w:t>&lt;lx "jo'i"&gt;</w:t>
      </w:r>
      <w:r>
        <w:rPr>
          <w:rStyle w:val="indexentry"/>
        </w:rPr>
        <w:fldChar w:fldCharType="begin"/>
      </w:r>
      <w:r>
        <w:instrText>xe "</w:instrText>
      </w:r>
      <w:r>
        <w:rPr>
          <w:rStyle w:val="xeentry"/>
        </w:rPr>
        <w:instrText>jo'i</w:instrText>
      </w:r>
      <w:r>
        <w:instrText>"</w:instrText>
      </w:r>
      <w:r>
        <w:rPr>
          <w:rStyle w:val="indexentry"/>
        </w:rPr>
        <w:fldChar w:fldCharType="end"/>
      </w:r>
      <w:r>
        <w:rPr>
          <w:rStyle w:val="indexentry"/>
        </w:rPr>
        <w:t>&lt;lx "JOhI"&gt;</w:t>
      </w:r>
      <w:r>
        <w:rPr>
          <w:rStyle w:val="indexentry"/>
        </w:rPr>
        <w:fldChar w:fldCharType="begin"/>
      </w:r>
      <w:r>
        <w:instrText>xe "</w:instrText>
      </w:r>
      <w:r>
        <w:rPr>
          <w:rStyle w:val="xeentry"/>
        </w:rPr>
        <w:instrText>JOhI selma’o</w:instrText>
      </w:r>
      <w:r>
        <w:instrText>"</w:instrText>
      </w:r>
      <w:r>
        <w:rPr>
          <w:rStyle w:val="indexentry"/>
        </w:rPr>
        <w:fldChar w:fldCharType="end"/>
      </w:r>
      <w:r>
        <w:rPr>
          <w:rStyle w:val="indexentry"/>
        </w:rPr>
        <w:t>&lt;cx "vector indicator"&gt;</w:t>
      </w:r>
      <w:r>
        <w:rPr>
          <w:rStyle w:val="indexentry"/>
        </w:rPr>
        <w:fldChar w:fldCharType="begin"/>
      </w:r>
      <w:r>
        <w:instrText>xe "</w:instrText>
      </w:r>
      <w:r>
        <w:rPr>
          <w:rStyle w:val="xeentry"/>
        </w:rPr>
        <w:instrText>vector indicator</w:instrText>
      </w:r>
      <w:r>
        <w:instrText>"</w:instrText>
      </w:r>
      <w:r>
        <w:rPr>
          <w:rStyle w:val="indexentry"/>
        </w:rPr>
        <w:fldChar w:fldCharType="end"/>
      </w:r>
      <w:r>
        <w:rPr>
          <w:rStyle w:val="indexentry"/>
        </w:rPr>
        <w:t>&lt;cx "jo'i, precedence of"&gt;</w:t>
      </w:r>
      <w:r>
        <w:rPr>
          <w:rStyle w:val="indexentry"/>
        </w:rPr>
        <w:fldChar w:fldCharType="begin"/>
      </w:r>
      <w:r>
        <w:instrText>xe "</w:instrText>
      </w:r>
      <w:r>
        <w:rPr>
          <w:rStyle w:val="xeentry"/>
        </w:rPr>
        <w:instrText>jo'i: precedence of</w:instrText>
      </w:r>
      <w:r>
        <w:instrText>"</w:instrText>
      </w:r>
      <w:r>
        <w:rPr>
          <w:rStyle w:val="indexentry"/>
        </w:rPr>
        <w:fldChar w:fldCharType="end"/>
      </w:r>
      <w:r>
        <w:rPr>
          <w:rStyle w:val="indexentry"/>
        </w:rPr>
        <w:t>&lt;cx "vector, components of"&gt;</w:t>
      </w:r>
      <w:r>
        <w:rPr>
          <w:rStyle w:val="indexentry"/>
        </w:rPr>
        <w:fldChar w:fldCharType="begin"/>
      </w:r>
      <w:r>
        <w:instrText>xe "</w:instrText>
      </w:r>
      <w:r>
        <w:rPr>
          <w:rStyle w:val="xeentry"/>
        </w:rPr>
        <w:instrText>vector: components of</w:instrText>
      </w:r>
      <w:r>
        <w:instrText>"</w:instrText>
      </w:r>
      <w:r>
        <w:rPr>
          <w:rStyle w:val="indexentry"/>
        </w:rPr>
        <w:fldChar w:fldCharType="end"/>
      </w:r>
      <w:r>
        <w:rPr>
          <w:rStyle w:val="indexentry"/>
        </w:rPr>
        <w:t>&lt;lx "te'u"&gt;</w:t>
      </w:r>
      <w:r>
        <w:rPr>
          <w:rStyle w:val="indexentry"/>
        </w:rPr>
        <w:fldChar w:fldCharType="begin"/>
      </w:r>
      <w:r>
        <w:instrText>xe "</w:instrText>
      </w:r>
      <w:r>
        <w:rPr>
          <w:rStyle w:val="xeentry"/>
        </w:rPr>
        <w:instrText>te'u</w:instrText>
      </w:r>
      <w:r>
        <w:instrText>"</w:instrText>
      </w:r>
      <w:r>
        <w:rPr>
          <w:rStyle w:val="indexentry"/>
        </w:rPr>
        <w:fldChar w:fldCharType="end"/>
      </w:r>
      <w:r>
        <w:rPr>
          <w:rStyle w:val="indexentry"/>
        </w:rPr>
        <w:t>&lt;cx "vector indicator, terminator for"&gt;</w:t>
      </w:r>
      <w:r>
        <w:rPr>
          <w:rStyle w:val="indexentry"/>
        </w:rPr>
        <w:fldChar w:fldCharType="begin"/>
      </w:r>
      <w:r>
        <w:instrText>xe "</w:instrText>
      </w:r>
      <w:r>
        <w:rPr>
          <w:rStyle w:val="xeentry"/>
        </w:rPr>
        <w:instrText>vector indicator: terminator for</w:instrText>
      </w:r>
      <w:r>
        <w:instrText>"</w:instrText>
      </w:r>
      <w:r>
        <w:rPr>
          <w:rStyle w:val="indexentry"/>
        </w:rPr>
        <w:fldChar w:fldCharType="end"/>
      </w:r>
      <w:r>
        <w:t>“jo'i”, the only cmavo of selma'o JOhI, is the vector indicator: it has a</w:t>
      </w:r>
      <w:r>
        <w:rPr>
          <w:rStyle w:val="deletedparamark"/>
        </w:rPr>
        <w:t xml:space="preserve"> </w:t>
      </w:r>
      <w:r>
        <w:t>syntax rem</w:t>
      </w:r>
      <w:r>
        <w:t>i</w:t>
      </w:r>
      <w:r>
        <w:softHyphen/>
        <w:t>niscent of a forethought operator, but has very high precedence.</w:t>
      </w:r>
      <w:r>
        <w:rPr>
          <w:rStyle w:val="deletedparamark"/>
        </w:rPr>
        <w:t xml:space="preserve"> </w:t>
      </w:r>
      <w:r>
        <w:t>The components must be simple operands rather than full expressions (unless</w:t>
      </w:r>
      <w:r>
        <w:rPr>
          <w:rStyle w:val="deletedparamark"/>
        </w:rPr>
        <w:t xml:space="preserve"> </w:t>
      </w:r>
      <w:r>
        <w:t>parenthesized). A vector can have any number of components; “te'u” is the</w:t>
      </w:r>
      <w:r>
        <w:rPr>
          <w:rStyle w:val="deletedparamark"/>
        </w:rPr>
        <w:t xml:space="preserve"> </w:t>
      </w:r>
      <w:r>
        <w:t>elidable terminator. An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name=e15d1&gt;</w:t>
      </w:r>
      <w:r>
        <w:t>15.1)</w:t>
      </w:r>
      <w:r>
        <w:tab/>
        <w:t>li jo'i paboi reboi te'u su'i jo'i ciboi voboi du</w:t>
      </w:r>
    </w:p>
    <w:p w:rsidR="00B72047" w:rsidRDefault="00B72047">
      <w:pPr>
        <w:pStyle w:val="examplescaled"/>
      </w:pPr>
      <w:r>
        <w:tab/>
      </w:r>
      <w:r>
        <w:tab/>
        <w:t>li jo'i voboi xaboi</w:t>
      </w:r>
    </w:p>
    <w:p w:rsidR="00B72047" w:rsidRDefault="00B72047">
      <w:pPr>
        <w:pStyle w:val="examplescaled"/>
      </w:pPr>
      <w:r>
        <w:tab/>
        <w:t>The-number array (one, two) plus array (three, four) equals</w:t>
      </w:r>
    </w:p>
    <w:p w:rsidR="00B72047" w:rsidRDefault="00B72047">
      <w:pPr>
        <w:pStyle w:val="examplescaled"/>
      </w:pPr>
      <w:r>
        <w:tab/>
      </w:r>
      <w:r>
        <w:tab/>
        <w:t>the-number array (four, six).</w:t>
      </w:r>
    </w:p>
    <w:p w:rsidR="00B72047" w:rsidRDefault="00B72047">
      <w:pPr>
        <w:pStyle w:val="examplescaled"/>
        <w:rPr>
          <w:rStyle w:val="math"/>
        </w:rPr>
      </w:pPr>
      <w:r>
        <w:rPr>
          <w:rStyle w:val="math"/>
        </w:rPr>
        <w:tab/>
      </w:r>
      <w:r>
        <w:rPr>
          <w:rStyle w:val="htmlcodes"/>
        </w:rPr>
        <w:t>&lt;math&gt;</w:t>
      </w:r>
      <w:r>
        <w:rPr>
          <w:rStyle w:val="math"/>
        </w:rPr>
        <w:t>(1,2) + (3,4) = (4,6)</w:t>
      </w:r>
      <w:r>
        <w:rPr>
          <w:rStyle w:val="htmlcodes"/>
        </w:rPr>
        <w:t>&lt;/math&gt;</w:t>
      </w:r>
    </w:p>
    <w:p w:rsidR="00B72047" w:rsidRDefault="00B72047">
      <w:pPr>
        <w:pStyle w:val="normalafterexample"/>
      </w:pPr>
      <w:r>
        <w:rPr>
          <w:rStyle w:val="htmlcodes"/>
        </w:rPr>
        <w:t>&lt;/pre&gt;</w:t>
      </w:r>
      <w:r>
        <w:rPr>
          <w:rStyle w:val="indexentry"/>
        </w:rPr>
        <w:t>&lt;lx "pi'a"&gt;</w:t>
      </w:r>
      <w:r>
        <w:rPr>
          <w:rStyle w:val="indexentry"/>
        </w:rPr>
        <w:fldChar w:fldCharType="begin"/>
      </w:r>
      <w:r>
        <w:instrText>xe "</w:instrText>
      </w:r>
      <w:r>
        <w:rPr>
          <w:rStyle w:val="xeentry"/>
        </w:rPr>
        <w:instrText>pi'a</w:instrText>
      </w:r>
      <w:r>
        <w:instrText>"</w:instrText>
      </w:r>
      <w:r>
        <w:rPr>
          <w:rStyle w:val="indexentry"/>
        </w:rPr>
        <w:fldChar w:fldCharType="end"/>
      </w:r>
      <w:r>
        <w:rPr>
          <w:rStyle w:val="indexentry"/>
        </w:rPr>
        <w:t>&lt;lx "sa'i"&gt;</w:t>
      </w:r>
      <w:r>
        <w:rPr>
          <w:rStyle w:val="indexentry"/>
        </w:rPr>
        <w:fldChar w:fldCharType="begin"/>
      </w:r>
      <w:r>
        <w:instrText>xe "</w:instrText>
      </w:r>
      <w:r>
        <w:rPr>
          <w:rStyle w:val="xeentry"/>
        </w:rPr>
        <w:instrText>sa'i</w:instrText>
      </w:r>
      <w:r>
        <w:instrText>"</w:instrText>
      </w:r>
      <w:r>
        <w:rPr>
          <w:rStyle w:val="indexentry"/>
        </w:rPr>
        <w:fldChar w:fldCharType="end"/>
      </w:r>
      <w:r>
        <w:rPr>
          <w:rStyle w:val="indexentry"/>
        </w:rPr>
        <w:t>&lt;cx "matrix row operator"&gt;</w:t>
      </w:r>
      <w:r>
        <w:rPr>
          <w:rStyle w:val="indexentry"/>
        </w:rPr>
        <w:fldChar w:fldCharType="begin"/>
      </w:r>
      <w:r>
        <w:instrText>xe "</w:instrText>
      </w:r>
      <w:r>
        <w:rPr>
          <w:rStyle w:val="xeentry"/>
        </w:rPr>
        <w:instrText>matrix row operator</w:instrText>
      </w:r>
      <w:r>
        <w:instrText>"</w:instrText>
      </w:r>
      <w:r>
        <w:rPr>
          <w:rStyle w:val="indexentry"/>
        </w:rPr>
        <w:fldChar w:fldCharType="end"/>
      </w:r>
      <w:r>
        <w:rPr>
          <w:rStyle w:val="indexentry"/>
        </w:rPr>
        <w:t>&lt;cx "matrix column operator"&gt;</w:t>
      </w:r>
      <w:r>
        <w:rPr>
          <w:rStyle w:val="indexentry"/>
        </w:rPr>
        <w:fldChar w:fldCharType="begin"/>
      </w:r>
      <w:r>
        <w:instrText>xe "</w:instrText>
      </w:r>
      <w:r>
        <w:rPr>
          <w:rStyle w:val="xeentry"/>
        </w:rPr>
        <w:instrText>matrix column operator</w:instrText>
      </w:r>
      <w:r>
        <w:instrText>"</w:instrText>
      </w:r>
      <w:r>
        <w:rPr>
          <w:rStyle w:val="indexentry"/>
        </w:rPr>
        <w:fldChar w:fldCharType="end"/>
      </w:r>
      <w:r>
        <w:rPr>
          <w:rStyle w:val="indexentry"/>
        </w:rPr>
        <w:t>&lt;cx "matrix, as combination of vectors"&gt;</w:t>
      </w:r>
      <w:r>
        <w:rPr>
          <w:rStyle w:val="indexentry"/>
        </w:rPr>
        <w:fldChar w:fldCharType="begin"/>
      </w:r>
      <w:r>
        <w:instrText>xe "</w:instrText>
      </w:r>
      <w:r>
        <w:rPr>
          <w:rStyle w:val="xeentry"/>
        </w:rPr>
        <w:instrText>matrix: as combination of vectors</w:instrText>
      </w:r>
      <w:r>
        <w:instrText>"</w:instrText>
      </w:r>
      <w:r>
        <w:rPr>
          <w:rStyle w:val="indexentry"/>
        </w:rPr>
        <w:fldChar w:fldCharType="end"/>
      </w:r>
      <w:r>
        <w:rPr>
          <w:rStyle w:val="indexentry"/>
        </w:rPr>
        <w:t>&lt;lx "ge'a"&gt;</w:t>
      </w:r>
      <w:r>
        <w:rPr>
          <w:rStyle w:val="indexentry"/>
        </w:rPr>
        <w:fldChar w:fldCharType="begin"/>
      </w:r>
      <w:r>
        <w:instrText>xe "</w:instrText>
      </w:r>
      <w:r>
        <w:rPr>
          <w:rStyle w:val="xeentry"/>
        </w:rPr>
        <w:instrText>ge'a</w:instrText>
      </w:r>
      <w:r>
        <w:instrText>"</w:instrText>
      </w:r>
      <w:r>
        <w:rPr>
          <w:rStyle w:val="indexentry"/>
        </w:rPr>
        <w:fldChar w:fldCharType="end"/>
      </w:r>
      <w:r>
        <w:rPr>
          <w:rStyle w:val="indexentry"/>
        </w:rPr>
        <w:t>&lt;cx "matrix, with ge'a for more than 2 rows/columns"&gt;</w:t>
      </w:r>
      <w:r>
        <w:rPr>
          <w:rStyle w:val="indexentry"/>
        </w:rPr>
        <w:fldChar w:fldCharType="begin"/>
      </w:r>
      <w:r>
        <w:instrText>xe "</w:instrText>
      </w:r>
      <w:r>
        <w:rPr>
          <w:rStyle w:val="xeentry"/>
        </w:rPr>
        <w:instrText>matrix: with ge'a for more than 2 rows/columns</w:instrText>
      </w:r>
      <w:r>
        <w:instrText>"</w:instrText>
      </w:r>
      <w:r>
        <w:rPr>
          <w:rStyle w:val="indexentry"/>
        </w:rPr>
        <w:fldChar w:fldCharType="end"/>
      </w:r>
      <w:r>
        <w:t>Vectors can be combined into matrices using either “pi'a”, the matrix row</w:t>
      </w:r>
      <w:r>
        <w:rPr>
          <w:rStyle w:val="deletedparamark"/>
        </w:rPr>
        <w:t xml:space="preserve"> </w:t>
      </w:r>
      <w:r>
        <w:t>op</w:t>
      </w:r>
      <w:r>
        <w:softHyphen/>
        <w:t>erator, or “sa'i”, the matrix column operator. The first combines vectors</w:t>
      </w:r>
      <w:r>
        <w:rPr>
          <w:rStyle w:val="deletedparamark"/>
        </w:rPr>
        <w:t xml:space="preserve"> </w:t>
      </w:r>
      <w:r>
        <w:t>representing rows of the matrix, and the second combines vectors representing</w:t>
      </w:r>
      <w:r>
        <w:rPr>
          <w:rStyle w:val="deletedparamark"/>
        </w:rPr>
        <w:t xml:space="preserve"> </w:t>
      </w:r>
      <w:r>
        <w:t>columns of the ma</w:t>
      </w:r>
      <w:r>
        <w:softHyphen/>
        <w:t>trix. Both of them allow any number of arguments:</w:t>
      </w:r>
      <w:r>
        <w:rPr>
          <w:rStyle w:val="deletedparamark"/>
        </w:rPr>
        <w:t xml:space="preserve"> </w:t>
      </w:r>
      <w:r>
        <w:t>additional arguments are tacked on with the null operator “ge'a”.</w:t>
      </w:r>
    </w:p>
    <w:p w:rsidR="00B72047" w:rsidRDefault="00B72047">
      <w:pPr>
        <w:rPr>
          <w:rStyle w:val="htmlparacode"/>
        </w:rPr>
      </w:pPr>
      <w:r>
        <w:rPr>
          <w:rStyle w:val="htmlparacode"/>
        </w:rPr>
        <w:t>&lt;p&gt;</w:t>
      </w:r>
    </w:p>
    <w:p w:rsidR="00B72047" w:rsidRDefault="00B72047">
      <w:pPr>
        <w:pStyle w:val="normalparagraph"/>
      </w:pPr>
      <w:r>
        <w:rPr>
          <w:rStyle w:val="indexentry"/>
        </w:rPr>
        <w:t>&lt;ex "magic square"&gt;</w:t>
      </w:r>
      <w:r>
        <w:rPr>
          <w:rStyle w:val="indexentry"/>
        </w:rPr>
        <w:fldChar w:fldCharType="begin"/>
      </w:r>
      <w:r>
        <w:instrText>xe "</w:instrText>
      </w:r>
      <w:r>
        <w:rPr>
          <w:rStyle w:val="xeentry"/>
        </w:rPr>
        <w:instrText>magic square: example</w:instrText>
      </w:r>
      <w:r>
        <w:instrText>"</w:instrText>
      </w:r>
      <w:r>
        <w:rPr>
          <w:rStyle w:val="indexentry"/>
        </w:rPr>
        <w:fldChar w:fldCharType="end"/>
      </w:r>
      <w:r>
        <w:t>Therefore, the “magic square” matrix</w:t>
      </w:r>
    </w:p>
    <w:p w:rsidR="00B72047" w:rsidRDefault="00B72047">
      <w:pPr>
        <w:pStyle w:val="examplescaledpre"/>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8  1  6</w:t>
      </w:r>
    </w:p>
    <w:p w:rsidR="00B72047" w:rsidRDefault="00B72047" w:rsidP="007E67C1">
      <w:pPr>
        <w:pStyle w:val="placestructcont"/>
        <w:numPr>
          <w:ilvl w:val="0"/>
          <w:numId w:val="0"/>
        </w:numPr>
        <w:ind w:left="504" w:hanging="504"/>
      </w:pPr>
      <w:r>
        <w:t>3  5  7</w:t>
      </w:r>
    </w:p>
    <w:p w:rsidR="00B72047" w:rsidRDefault="00B72047" w:rsidP="007E67C1">
      <w:pPr>
        <w:pStyle w:val="placestructcont"/>
        <w:numPr>
          <w:ilvl w:val="0"/>
          <w:numId w:val="0"/>
        </w:numPr>
        <w:ind w:left="504" w:hanging="504"/>
      </w:pPr>
      <w:r>
        <w:t>4  9  2</w:t>
      </w:r>
    </w:p>
    <w:p w:rsidR="00B72047" w:rsidRDefault="00B72047">
      <w:pPr>
        <w:pStyle w:val="resumedafterexample"/>
      </w:pPr>
      <w:r>
        <w:rPr>
          <w:rStyle w:val="htmlcodes"/>
        </w:rPr>
        <w:t>&lt;/dl&gt;</w:t>
      </w:r>
      <w:r>
        <w:t>can be represented either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name=e15d2&gt;</w:t>
      </w:r>
      <w:r>
        <w:t>15.2)</w:t>
      </w:r>
      <w:r>
        <w:tab/>
        <w:t>jo'i biboi paboi xa pi'a jo'i ciboi muboi ze ge'a jo'i voboi soboi re</w:t>
      </w:r>
    </w:p>
    <w:p w:rsidR="00B72047" w:rsidRDefault="00B72047">
      <w:pPr>
        <w:pStyle w:val="examplescaled"/>
      </w:pPr>
      <w:r>
        <w:tab/>
        <w:t>the-vector (8 1 6) matrix-row the-vector (3 5 7), the-vector (4 9 2)</w:t>
      </w:r>
    </w:p>
    <w:p w:rsidR="00B72047" w:rsidRDefault="00B72047">
      <w:pPr>
        <w:pStyle w:val="resumedafterexample"/>
      </w:pPr>
      <w:r>
        <w:rPr>
          <w:rStyle w:val="htmlcodes"/>
        </w:rPr>
        <w:t>&lt;/pre&gt;</w:t>
      </w:r>
      <w:r>
        <w:t>or as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name=e15d3&gt;</w:t>
      </w:r>
      <w:r>
        <w:t>15.3)</w:t>
      </w:r>
      <w:r>
        <w:tab/>
        <w:t>jo'i biboi ciboi vo sa'i jo'i paboi muboi so ge'a jo'i xaboi zeboi re</w:t>
      </w:r>
    </w:p>
    <w:p w:rsidR="00B72047" w:rsidRDefault="00B72047">
      <w:pPr>
        <w:pStyle w:val="examplescaled"/>
      </w:pPr>
      <w:r>
        <w:tab/>
        <w:t>the-vector (8 3 4) matrix-column the-vector (1 5 9), the-vector (6 7 2)</w:t>
      </w:r>
    </w:p>
    <w:p w:rsidR="00B72047" w:rsidRDefault="00B72047">
      <w:pPr>
        <w:pStyle w:val="resumedafterexample"/>
      </w:pPr>
      <w:r>
        <w:rPr>
          <w:rStyle w:val="htmlcodes"/>
        </w:rPr>
        <w:t>&lt;/pre&gt;</w:t>
      </w:r>
      <w:r>
        <w:rPr>
          <w:rStyle w:val="indexentry"/>
        </w:rPr>
        <w:t>&lt;cx "outer product"&gt;</w:t>
      </w:r>
      <w:r>
        <w:rPr>
          <w:rStyle w:val="indexentry"/>
        </w:rPr>
        <w:fldChar w:fldCharType="begin"/>
      </w:r>
      <w:r>
        <w:instrText>xe "</w:instrText>
      </w:r>
      <w:r>
        <w:rPr>
          <w:rStyle w:val="xeentry"/>
        </w:rPr>
        <w:instrText>outer product</w:instrText>
      </w:r>
      <w:r>
        <w:instrText>"</w:instrText>
      </w:r>
      <w:r>
        <w:rPr>
          <w:rStyle w:val="indexentry"/>
        </w:rPr>
        <w:fldChar w:fldCharType="end"/>
      </w:r>
      <w:r>
        <w:rPr>
          <w:rStyle w:val="indexentry"/>
        </w:rPr>
        <w:t>&lt;cx "inner product"&gt;</w:t>
      </w:r>
      <w:r>
        <w:rPr>
          <w:rStyle w:val="indexentry"/>
        </w:rPr>
        <w:fldChar w:fldCharType="begin"/>
      </w:r>
      <w:r>
        <w:instrText>xe "</w:instrText>
      </w:r>
      <w:r>
        <w:rPr>
          <w:rStyle w:val="xeentry"/>
        </w:rPr>
        <w:instrText>inner product</w:instrText>
      </w:r>
      <w:r>
        <w:instrText>"</w:instrText>
      </w:r>
      <w:r>
        <w:rPr>
          <w:rStyle w:val="indexentry"/>
        </w:rPr>
        <w:fldChar w:fldCharType="end"/>
      </w:r>
      <w:r>
        <w:rPr>
          <w:rStyle w:val="indexentry"/>
        </w:rPr>
        <w:t>&lt;cx "vectors, use as operands"&gt;</w:t>
      </w:r>
      <w:r>
        <w:rPr>
          <w:rStyle w:val="indexentry"/>
        </w:rPr>
        <w:fldChar w:fldCharType="begin"/>
      </w:r>
      <w:r>
        <w:instrText>xe "</w:instrText>
      </w:r>
      <w:r>
        <w:rPr>
          <w:rStyle w:val="xeentry"/>
        </w:rPr>
        <w:instrText>vector: use as operand</w:instrText>
      </w:r>
      <w:r>
        <w:instrText>"</w:instrText>
      </w:r>
      <w:r>
        <w:rPr>
          <w:rStyle w:val="indexentry"/>
        </w:rPr>
        <w:fldChar w:fldCharType="end"/>
      </w:r>
      <w:r>
        <w:rPr>
          <w:rStyle w:val="indexentry"/>
        </w:rPr>
        <w:t>&lt;cx "matrices, use as operands"&gt;</w:t>
      </w:r>
      <w:r>
        <w:rPr>
          <w:rStyle w:val="indexentry"/>
        </w:rPr>
        <w:fldChar w:fldCharType="begin"/>
      </w:r>
      <w:r>
        <w:instrText>xe "</w:instrText>
      </w:r>
      <w:r>
        <w:rPr>
          <w:rStyle w:val="xeentry"/>
        </w:rPr>
        <w:instrText>matrix: use as operand</w:instrText>
      </w:r>
      <w:r>
        <w:instrText>"</w:instrText>
      </w:r>
      <w:r>
        <w:rPr>
          <w:rStyle w:val="indexentry"/>
        </w:rPr>
        <w:fldChar w:fldCharType="end"/>
      </w:r>
      <w:r>
        <w:rPr>
          <w:rStyle w:val="indexentry"/>
        </w:rPr>
        <w:t>&lt;cx "vectors, use of parentheses with"&gt;</w:t>
      </w:r>
      <w:r>
        <w:rPr>
          <w:rStyle w:val="indexentry"/>
        </w:rPr>
        <w:fldChar w:fldCharType="begin"/>
      </w:r>
      <w:r>
        <w:instrText>xe "</w:instrText>
      </w:r>
      <w:r>
        <w:rPr>
          <w:rStyle w:val="xeentry"/>
        </w:rPr>
        <w:instrText>vector: use of parentheses with</w:instrText>
      </w:r>
      <w:r>
        <w:instrText>"</w:instrText>
      </w:r>
      <w:r>
        <w:rPr>
          <w:rStyle w:val="indexentry"/>
        </w:rPr>
        <w:fldChar w:fldCharType="end"/>
      </w:r>
      <w:r>
        <w:rPr>
          <w:rStyle w:val="indexentry"/>
        </w:rPr>
        <w:t>&lt;cx "matrices, use of parentheses with"&gt;</w:t>
      </w:r>
      <w:r>
        <w:rPr>
          <w:rStyle w:val="indexentry"/>
        </w:rPr>
        <w:fldChar w:fldCharType="begin"/>
      </w:r>
      <w:r>
        <w:instrText>xe "</w:instrText>
      </w:r>
      <w:r>
        <w:rPr>
          <w:rStyle w:val="xeentry"/>
        </w:rPr>
        <w:instrText>matrix: use of parentheses with</w:instrText>
      </w:r>
      <w:r>
        <w:instrText>"</w:instrText>
      </w:r>
      <w:r>
        <w:rPr>
          <w:rStyle w:val="indexentry"/>
        </w:rPr>
        <w:fldChar w:fldCharType="end"/>
      </w:r>
      <w:r>
        <w:t>The regular mekso operators can be applied to vectors and to matrices,</w:t>
      </w:r>
      <w:r>
        <w:rPr>
          <w:rStyle w:val="deletedparamark"/>
        </w:rPr>
        <w:t xml:space="preserve"> </w:t>
      </w:r>
      <w:r>
        <w:t>since grammati</w:t>
      </w:r>
      <w:r>
        <w:softHyphen/>
        <w:t>cally both of these are expressions. It is usually necessary</w:t>
      </w:r>
      <w:r>
        <w:rPr>
          <w:rStyle w:val="deletedparamark"/>
        </w:rPr>
        <w:t xml:space="preserve"> </w:t>
      </w:r>
      <w:r>
        <w:t>to parenthesize matrices when used with operators in order to avoid incorrect</w:t>
      </w:r>
      <w:r>
        <w:rPr>
          <w:rStyle w:val="deletedparamark"/>
        </w:rPr>
        <w:t xml:space="preserve"> </w:t>
      </w:r>
      <w:r>
        <w:t>groupings. There are no VUhU operators for the matrix operators of inner or</w:t>
      </w:r>
      <w:r>
        <w:rPr>
          <w:rStyle w:val="deletedparamark"/>
        </w:rPr>
        <w:t xml:space="preserve"> </w:t>
      </w:r>
      <w:r>
        <w:t>outer products, but appropriate operators can be cr</w:t>
      </w:r>
      <w:r>
        <w:t>e</w:t>
      </w:r>
      <w:r>
        <w:softHyphen/>
        <w:t>ated using a suitable</w:t>
      </w:r>
      <w:r>
        <w:rPr>
          <w:rStyle w:val="deletedparamark"/>
        </w:rPr>
        <w:t xml:space="preserve"> </w:t>
      </w:r>
      <w:r>
        <w:t>symbolic lerfu word or string prefixed by “ma'o”.</w:t>
      </w:r>
    </w:p>
    <w:p w:rsidR="00B72047" w:rsidRDefault="00B72047">
      <w:pPr>
        <w:rPr>
          <w:rStyle w:val="htmlparacode"/>
        </w:rPr>
      </w:pPr>
      <w:r>
        <w:rPr>
          <w:rStyle w:val="htmlparacode"/>
        </w:rPr>
        <w:t>&lt;p&gt;</w:t>
      </w:r>
    </w:p>
    <w:p w:rsidR="00B72047" w:rsidRDefault="00B72047">
      <w:pPr>
        <w:pStyle w:val="normalparagraph"/>
      </w:pPr>
      <w:r>
        <w:rPr>
          <w:rStyle w:val="indexentry"/>
        </w:rPr>
        <w:t>&lt;cx "matrix, with more than 2 dimensions"&gt;</w:t>
      </w:r>
      <w:r>
        <w:rPr>
          <w:rStyle w:val="indexentry"/>
        </w:rPr>
        <w:fldChar w:fldCharType="begin"/>
      </w:r>
      <w:r>
        <w:instrText>xe "</w:instrText>
      </w:r>
      <w:r>
        <w:rPr>
          <w:rStyle w:val="xeentry"/>
        </w:rPr>
        <w:instrText>matrix: with more than 2 dimensions</w:instrText>
      </w:r>
      <w:r>
        <w:instrText>"</w:instrText>
      </w:r>
      <w:r>
        <w:rPr>
          <w:rStyle w:val="indexentry"/>
        </w:rPr>
        <w:fldChar w:fldCharType="end"/>
      </w:r>
      <w:r>
        <w:rPr>
          <w:rStyle w:val="indexentry"/>
        </w:rPr>
        <w:t>&lt;cx "subscript, to form matrices of more than 2 dimensions"&gt;</w:t>
      </w:r>
      <w:r>
        <w:rPr>
          <w:rStyle w:val="indexentry"/>
        </w:rPr>
        <w:fldChar w:fldCharType="begin"/>
      </w:r>
      <w:r>
        <w:instrText>xe "</w:instrText>
      </w:r>
      <w:r>
        <w:rPr>
          <w:rStyle w:val="xeentry"/>
        </w:rPr>
        <w:instrText>subscripts: to form matrices of more than 2 dimensions</w:instrText>
      </w:r>
      <w:r>
        <w:instrText>"</w:instrText>
      </w:r>
      <w:r>
        <w:rPr>
          <w:rStyle w:val="indexentry"/>
        </w:rPr>
        <w:fldChar w:fldCharType="end"/>
      </w:r>
      <w:r>
        <w:rPr>
          <w:rStyle w:val="indexentry"/>
        </w:rPr>
        <w:t>&lt;lx "xi"&gt;</w:t>
      </w:r>
      <w:r>
        <w:rPr>
          <w:rStyle w:val="indexentry"/>
        </w:rPr>
        <w:fldChar w:fldCharType="begin"/>
      </w:r>
      <w:r>
        <w:instrText>xe "</w:instrText>
      </w:r>
      <w:r>
        <w:rPr>
          <w:rStyle w:val="xeentry"/>
        </w:rPr>
        <w:instrText>xi</w:instrText>
      </w:r>
      <w:r>
        <w:instrText>"</w:instrText>
      </w:r>
      <w:r>
        <w:rPr>
          <w:rStyle w:val="indexentry"/>
        </w:rPr>
        <w:fldChar w:fldCharType="end"/>
      </w:r>
      <w:r>
        <w:t>Matrices of more than two dimensions can be built up using either “pi'a”</w:t>
      </w:r>
      <w:r>
        <w:rPr>
          <w:rStyle w:val="deletedparamark"/>
        </w:rPr>
        <w:t xml:space="preserve"> </w:t>
      </w:r>
      <w:r>
        <w:t>or “sa'i” with an appropriate subscript numbering the dimension. When</w:t>
      </w:r>
      <w:r>
        <w:rPr>
          <w:rStyle w:val="deletedparamark"/>
        </w:rPr>
        <w:t xml:space="preserve"> </w:t>
      </w:r>
      <w:r>
        <w:t>subscripted, there is no difference between “pi'a” and “sa'i”.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name=s16&gt;&lt;h3&gt;</w:t>
      </w:r>
      <w:bookmarkStart w:id="511" w:name="_Toc398970748"/>
      <w:r>
        <w:rPr>
          <w:rStyle w:val="Heading3Text"/>
        </w:rPr>
        <w:t>Reverse Polish notation</w:t>
      </w:r>
      <w:bookmarkEnd w:id="511"/>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fu'a</w:t>
      </w:r>
      <w:r>
        <w:tab/>
        <w:t>FUhA</w:t>
      </w:r>
      <w:r>
        <w:tab/>
        <w:t>reverse Polish flag</w:t>
      </w:r>
    </w:p>
    <w:p w:rsidR="00B72047" w:rsidRDefault="00B72047">
      <w:pPr>
        <w:pStyle w:val="normalafterexample"/>
      </w:pPr>
      <w:r>
        <w:rPr>
          <w:rStyle w:val="htmlcodes"/>
        </w:rPr>
        <w:t>&lt;/pre&gt;</w:t>
      </w:r>
      <w:r>
        <w:rPr>
          <w:rStyle w:val="indexentry"/>
        </w:rPr>
        <w:t>&lt;cx "RP, as abbreviation for reverse Polish notation"&gt;</w:t>
      </w:r>
      <w:r>
        <w:rPr>
          <w:rStyle w:val="indexentry"/>
        </w:rPr>
        <w:fldChar w:fldCharType="begin"/>
      </w:r>
      <w:r>
        <w:instrText>xe "</w:instrText>
      </w:r>
      <w:r>
        <w:rPr>
          <w:rStyle w:val="xeentry"/>
        </w:rPr>
        <w:instrText>RP (see reverse Polish notation)</w:instrText>
      </w:r>
      <w:r>
        <w:instrText>"</w:instrText>
      </w:r>
      <w:r>
        <w:rPr>
          <w:rStyle w:val="indexentry"/>
        </w:rPr>
        <w:fldChar w:fldCharType="end"/>
      </w:r>
      <w:r>
        <w:t>So far, the Lojban notational conventions have mapped fairly familiar kinds</w:t>
      </w:r>
      <w:r>
        <w:rPr>
          <w:rStyle w:val="deletedparamark"/>
        </w:rPr>
        <w:t xml:space="preserve"> </w:t>
      </w:r>
      <w:r>
        <w:t>of mathematical discourse. The use of forethought operators may have seemed</w:t>
      </w:r>
      <w:r>
        <w:rPr>
          <w:rStyle w:val="deletedparamark"/>
        </w:rPr>
        <w:t xml:space="preserve"> </w:t>
      </w:r>
      <w:r>
        <w:t>odd when applied to “+”, but when applied to “f” they appear as the usual</w:t>
      </w:r>
      <w:r>
        <w:rPr>
          <w:rStyle w:val="deletedparamark"/>
        </w:rPr>
        <w:t xml:space="preserve"> </w:t>
      </w:r>
      <w:r>
        <w:t>functional notation. Now comes a sharp break. Reverse Polish (RP) notation</w:t>
      </w:r>
      <w:r>
        <w:rPr>
          <w:rStyle w:val="deletedparamark"/>
        </w:rPr>
        <w:t xml:space="preserve"> </w:t>
      </w:r>
      <w:r>
        <w:t>represents something com</w:t>
      </w:r>
      <w:r>
        <w:softHyphen/>
        <w:t>pletely di</w:t>
      </w:r>
      <w:r>
        <w:t>f</w:t>
      </w:r>
      <w:r>
        <w:softHyphen/>
        <w:t>ferent; even mathematicians don't use</w:t>
      </w:r>
      <w:r>
        <w:rPr>
          <w:rStyle w:val="deletedparamark"/>
        </w:rPr>
        <w:t xml:space="preserve"> </w:t>
      </w:r>
      <w:r>
        <w:t>it much. (The only common uses of RP, in fact, are in some kinds of</w:t>
      </w:r>
      <w:r>
        <w:rPr>
          <w:rStyle w:val="deletedparamark"/>
        </w:rPr>
        <w:t xml:space="preserve"> </w:t>
      </w:r>
      <w:r>
        <w:t>calculators and in the implementation of some pro</w:t>
      </w:r>
      <w:r>
        <w:softHyphen/>
        <w:t>gramming languages.)</w:t>
      </w:r>
    </w:p>
    <w:p w:rsidR="00B72047" w:rsidRDefault="00B72047">
      <w:pPr>
        <w:rPr>
          <w:rStyle w:val="htmlparacode"/>
        </w:rPr>
      </w:pPr>
      <w:r>
        <w:rPr>
          <w:rStyle w:val="htmlparacode"/>
        </w:rPr>
        <w:t>&lt;p&gt;</w:t>
      </w:r>
    </w:p>
    <w:p w:rsidR="00B72047" w:rsidRDefault="00B72047">
      <w:pPr>
        <w:pStyle w:val="normalparagraph"/>
      </w:pPr>
      <w:r>
        <w:rPr>
          <w:rStyle w:val="indexentry"/>
        </w:rPr>
        <w:t>&lt;cx "reverse Polish notation, definition"&gt;</w:t>
      </w:r>
      <w:r>
        <w:rPr>
          <w:rStyle w:val="indexentry"/>
        </w:rPr>
        <w:fldChar w:fldCharType="begin"/>
      </w:r>
      <w:r>
        <w:instrText>xe "</w:instrText>
      </w:r>
      <w:r>
        <w:rPr>
          <w:rStyle w:val="xeentry"/>
        </w:rPr>
        <w:instrText>reverse Polish notation: definition</w:instrText>
      </w:r>
      <w:r>
        <w:instrText>"</w:instrText>
      </w:r>
      <w:r>
        <w:rPr>
          <w:rStyle w:val="indexentry"/>
        </w:rPr>
        <w:fldChar w:fldCharType="end"/>
      </w:r>
      <w:r>
        <w:rPr>
          <w:rStyle w:val="indexentry"/>
        </w:rPr>
        <w:t>&lt;cx "reverse Polish notation, use of parentheses in"&gt;</w:t>
      </w:r>
      <w:r>
        <w:rPr>
          <w:rStyle w:val="indexentry"/>
        </w:rPr>
        <w:fldChar w:fldCharType="begin"/>
      </w:r>
      <w:r>
        <w:instrText>xe "</w:instrText>
      </w:r>
      <w:r>
        <w:rPr>
          <w:rStyle w:val="xeentry"/>
        </w:rPr>
        <w:instrText>reverse Polish notation: use of parentheses in</w:instrText>
      </w:r>
      <w:r>
        <w:instrText>"</w:instrText>
      </w:r>
      <w:r>
        <w:rPr>
          <w:rStyle w:val="indexentry"/>
        </w:rPr>
        <w:fldChar w:fldCharType="end"/>
      </w:r>
      <w:r>
        <w:rPr>
          <w:rStyle w:val="indexentry"/>
        </w:rPr>
        <w:t>&lt;cx "reverse Polish notation, marker"&gt;</w:t>
      </w:r>
      <w:r>
        <w:rPr>
          <w:rStyle w:val="indexentry"/>
        </w:rPr>
        <w:fldChar w:fldCharType="begin"/>
      </w:r>
      <w:r>
        <w:instrText>xe "</w:instrText>
      </w:r>
      <w:r>
        <w:rPr>
          <w:rStyle w:val="xeentry"/>
        </w:rPr>
        <w:instrText>reverse Polish notation: marker</w:instrText>
      </w:r>
      <w:r>
        <w:instrText>"</w:instrText>
      </w:r>
      <w:r>
        <w:rPr>
          <w:rStyle w:val="indexentry"/>
        </w:rPr>
        <w:fldChar w:fldCharType="end"/>
      </w:r>
      <w:r>
        <w:rPr>
          <w:rStyle w:val="indexentry"/>
        </w:rPr>
        <w:t>&lt;cx "reverse Polish notation, terminator"&gt;</w:t>
      </w:r>
      <w:r>
        <w:rPr>
          <w:rStyle w:val="indexentry"/>
        </w:rPr>
        <w:fldChar w:fldCharType="begin"/>
      </w:r>
      <w:r>
        <w:instrText>xe "</w:instrText>
      </w:r>
      <w:r>
        <w:rPr>
          <w:rStyle w:val="xeentry"/>
        </w:rPr>
        <w:instrText>reverse Polish notation: terminator</w:instrText>
      </w:r>
      <w:r>
        <w:instrText>"</w:instrText>
      </w:r>
      <w:r>
        <w:rPr>
          <w:rStyle w:val="indexentry"/>
        </w:rPr>
        <w:fldChar w:fldCharType="end"/>
      </w:r>
      <w:r>
        <w:rPr>
          <w:rStyle w:val="indexentry"/>
        </w:rPr>
        <w:t>&lt;lx "fu'a"&gt;</w:t>
      </w:r>
      <w:r>
        <w:rPr>
          <w:rStyle w:val="indexentry"/>
        </w:rPr>
        <w:fldChar w:fldCharType="begin"/>
      </w:r>
      <w:r>
        <w:instrText>xe "</w:instrText>
      </w:r>
      <w:r>
        <w:rPr>
          <w:rStyle w:val="xeentry"/>
        </w:rPr>
        <w:instrText>fu'a</w:instrText>
      </w:r>
      <w:r>
        <w:instrText>"</w:instrText>
      </w:r>
      <w:r>
        <w:rPr>
          <w:rStyle w:val="indexentry"/>
        </w:rPr>
        <w:fldChar w:fldCharType="end"/>
      </w:r>
      <w:r>
        <w:t>In RP notation, the operator follows the operands. (Polish notation,</w:t>
      </w:r>
      <w:r>
        <w:rPr>
          <w:rStyle w:val="deletedparamark"/>
        </w:rPr>
        <w:t xml:space="preserve"> </w:t>
      </w:r>
      <w:r>
        <w:t>where the oper</w:t>
      </w:r>
      <w:r>
        <w:t>a</w:t>
      </w:r>
      <w:r>
        <w:softHyphen/>
        <w:t>tor precedes its operands, is another name for forethought</w:t>
      </w:r>
      <w:r>
        <w:rPr>
          <w:rStyle w:val="deletedparamark"/>
        </w:rPr>
        <w:t xml:space="preserve"> </w:t>
      </w:r>
      <w:r>
        <w:t>mekso of the kind ex</w:t>
      </w:r>
      <w:r>
        <w:softHyphen/>
        <w:t xml:space="preserve">plained in </w:t>
      </w:r>
      <w:r>
        <w:rPr>
          <w:rStyle w:val="htmlcodes"/>
        </w:rPr>
        <w:t>&lt;a href=#s6&gt;</w:t>
      </w:r>
      <w:r>
        <w:t>Section 6</w:t>
      </w:r>
      <w:r>
        <w:rPr>
          <w:rStyle w:val="htmlcodes"/>
        </w:rPr>
        <w:t>&lt;/a&gt;</w:t>
      </w:r>
      <w:r>
        <w:t>.) The number of operands</w:t>
      </w:r>
      <w:r>
        <w:rPr>
          <w:rStyle w:val="deletedparamark"/>
        </w:rPr>
        <w:t xml:space="preserve"> </w:t>
      </w:r>
      <w:r>
        <w:t>per operator is always fixed. No paren</w:t>
      </w:r>
      <w:r>
        <w:softHyphen/>
        <w:t>theses are r</w:t>
      </w:r>
      <w:r>
        <w:t>e</w:t>
      </w:r>
      <w:r>
        <w:softHyphen/>
        <w:t>quired or permitted.</w:t>
      </w:r>
      <w:r>
        <w:rPr>
          <w:rStyle w:val="deletedparamark"/>
        </w:rPr>
        <w:t xml:space="preserve"> </w:t>
      </w:r>
      <w:r>
        <w:t>In Lojban, RP notation is always explicitly marked by a “fu'a”</w:t>
      </w:r>
      <w:r>
        <w:rPr>
          <w:rStyle w:val="deletedparamark"/>
        </w:rPr>
        <w:t xml:space="preserve"> </w:t>
      </w:r>
      <w:r>
        <w:t>at the beginning of the expression; there is no terminator. Here is a</w:t>
      </w:r>
      <w:r>
        <w:rPr>
          <w:rStyle w:val="deletedparamark"/>
        </w:rPr>
        <w:t xml:space="preserve"> </w:t>
      </w:r>
      <w:r>
        <w:t>simple ex</w:t>
      </w:r>
      <w:r>
        <w:softHyphen/>
        <w:t>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name=e16d1&gt;</w:t>
      </w:r>
      <w:r>
        <w:t>16.1)</w:t>
      </w:r>
      <w:r>
        <w:tab/>
        <w:t>li fu'a reboi ci su'i du li mu</w:t>
      </w:r>
    </w:p>
    <w:p w:rsidR="00B72047" w:rsidRDefault="00B72047">
      <w:pPr>
        <w:pStyle w:val="examplescaled"/>
      </w:pPr>
      <w:r>
        <w:tab/>
        <w:t>the-number (RP!) two, three, plus equals the-number five.</w:t>
      </w:r>
    </w:p>
    <w:p w:rsidR="00B72047" w:rsidRDefault="00B72047">
      <w:pPr>
        <w:pStyle w:val="resumedafterexample"/>
      </w:pPr>
      <w:r>
        <w:rPr>
          <w:rStyle w:val="htmlcodes"/>
        </w:rPr>
        <w:t>&lt;/pre&gt;&lt;p&gt;</w:t>
      </w:r>
      <w:r>
        <w:t>The operands are “re” and “ci”; the operator is “su'i”.</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Here is a more complex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name=e16d2&gt;</w:t>
      </w:r>
      <w:r>
        <w:t>16.2)</w:t>
      </w:r>
      <w:r>
        <w:tab/>
        <w:t>li fu'a reboi ci pi'i voboi mu pi'i su'i du</w:t>
      </w:r>
    </w:p>
    <w:p w:rsidR="00B72047" w:rsidRDefault="00B72047">
      <w:pPr>
        <w:pStyle w:val="examplescaled"/>
      </w:pPr>
      <w:r>
        <w:tab/>
      </w:r>
      <w:r>
        <w:tab/>
        <w:t>li rexa</w:t>
      </w:r>
    </w:p>
    <w:p w:rsidR="00B72047" w:rsidRDefault="00B72047">
      <w:pPr>
        <w:pStyle w:val="examplescaled"/>
      </w:pPr>
      <w:r>
        <w:tab/>
        <w:t>the-number (RP!) (two, three, times), (four, five, times), plus equals</w:t>
      </w:r>
      <w:r>
        <w:tab/>
      </w:r>
      <w:r>
        <w:tab/>
        <w:t>the-number two-six</w:t>
      </w:r>
    </w:p>
    <w:p w:rsidR="00B72047" w:rsidRDefault="00B72047">
      <w:pPr>
        <w:pStyle w:val="resumedafterexample"/>
      </w:pPr>
      <w:r>
        <w:rPr>
          <w:rStyle w:val="htmlcodes"/>
        </w:rPr>
        <w:t>&lt;/pre&gt;&lt;p&gt;</w:t>
      </w:r>
      <w:r>
        <w:t>Here the operands of the first “pi'i” are “re” and “ci”; the operands of</w:t>
      </w:r>
      <w:r>
        <w:rPr>
          <w:rStyle w:val="deletedparamark"/>
        </w:rPr>
        <w:t xml:space="preserve"> </w:t>
      </w:r>
      <w:r>
        <w:t>the second “pi'i” are “vo” and “mu” (with “boi” inserted where needed),</w:t>
      </w:r>
      <w:r>
        <w:rPr>
          <w:rStyle w:val="deletedparamark"/>
        </w:rPr>
        <w:t xml:space="preserve"> </w:t>
      </w:r>
      <w:r>
        <w:t>and the operands of the “su'i” are “reboi ci pi'i”, or 6, and “voboi mu</w:t>
      </w:r>
      <w:r>
        <w:rPr>
          <w:rStyle w:val="deletedparamark"/>
        </w:rPr>
        <w:t xml:space="preserve"> </w:t>
      </w:r>
      <w:r>
        <w:t>pi'i”, or 20. As you can see, it is easy to get lost in the world of</w:t>
      </w:r>
      <w:r>
        <w:rPr>
          <w:rStyle w:val="deletedparamark"/>
        </w:rPr>
        <w:t xml:space="preserve"> </w:t>
      </w:r>
      <w:r>
        <w:t>reverse Polish notation; on the other hand, it is especially easy for</w:t>
      </w:r>
      <w:r>
        <w:rPr>
          <w:rStyle w:val="deletedparamark"/>
        </w:rPr>
        <w:t xml:space="preserve"> </w:t>
      </w:r>
      <w:r>
        <w:t>a me</w:t>
      </w:r>
      <w:r>
        <w:softHyphen/>
        <w:t>chanical listener (who has a deep mental stack and doesn't get lost)</w:t>
      </w:r>
      <w:r>
        <w:rPr>
          <w:rStyle w:val="deletedparamark"/>
        </w:rPr>
        <w:t xml:space="preserve"> </w:t>
      </w:r>
      <w:r>
        <w:t>to comprehend.</w:t>
      </w:r>
    </w:p>
    <w:p w:rsidR="00B72047" w:rsidRDefault="00B72047">
      <w:pPr>
        <w:rPr>
          <w:rStyle w:val="htmlparacode"/>
        </w:rPr>
      </w:pPr>
      <w:r>
        <w:rPr>
          <w:rStyle w:val="htmlparacode"/>
        </w:rPr>
        <w:t>&lt;p&gt;</w:t>
      </w:r>
    </w:p>
    <w:p w:rsidR="00B72047" w:rsidRDefault="00B72047">
      <w:pPr>
        <w:pStyle w:val="normalparagraph"/>
      </w:pPr>
      <w:r>
        <w:rPr>
          <w:rStyle w:val="indexentry"/>
        </w:rPr>
        <w:t>&lt;cx "reverse Polish notation, operands of"&gt;</w:t>
      </w:r>
      <w:r>
        <w:rPr>
          <w:rStyle w:val="indexentry"/>
        </w:rPr>
        <w:fldChar w:fldCharType="begin"/>
      </w:r>
      <w:r>
        <w:instrText>xe "</w:instrText>
      </w:r>
      <w:r>
        <w:rPr>
          <w:rStyle w:val="xeentry"/>
        </w:rPr>
        <w:instrText>reverse Polish notation: operands of</w:instrText>
      </w:r>
      <w:r>
        <w:instrText>"</w:instrText>
      </w:r>
      <w:r>
        <w:rPr>
          <w:rStyle w:val="indexentry"/>
        </w:rPr>
        <w:fldChar w:fldCharType="end"/>
      </w:r>
      <w:r>
        <w:rPr>
          <w:rStyle w:val="indexentry"/>
        </w:rPr>
        <w:t>&lt;cx "reverse Polish notation, parentheses in operands of"&gt;</w:t>
      </w:r>
      <w:r>
        <w:rPr>
          <w:rStyle w:val="indexentry"/>
        </w:rPr>
        <w:fldChar w:fldCharType="begin"/>
      </w:r>
      <w:r>
        <w:instrText>xe "</w:instrText>
      </w:r>
      <w:r>
        <w:rPr>
          <w:rStyle w:val="xeentry"/>
        </w:rPr>
        <w:instrText>reverse Polish notation: parentheses in operands of</w:instrText>
      </w:r>
      <w:r>
        <w:instrText>"</w:instrText>
      </w:r>
      <w:r>
        <w:rPr>
          <w:rStyle w:val="indexentry"/>
        </w:rPr>
        <w:fldChar w:fldCharType="end"/>
      </w:r>
      <w:r>
        <w:t>The operands of an RP operator can be any legal mekso operand,</w:t>
      </w:r>
      <w:r>
        <w:rPr>
          <w:rStyle w:val="deletedparamark"/>
        </w:rPr>
        <w:t xml:space="preserve"> </w:t>
      </w:r>
      <w:r>
        <w:t>including parenth</w:t>
      </w:r>
      <w:r>
        <w:t>e</w:t>
      </w:r>
      <w:r>
        <w:softHyphen/>
        <w:t>sized mekso that can contain any valid syntax, whether</w:t>
      </w:r>
      <w:r>
        <w:rPr>
          <w:rStyle w:val="deletedparamark"/>
        </w:rPr>
        <w:t xml:space="preserve"> </w:t>
      </w:r>
      <w:r>
        <w:t>more RP or something more co</w:t>
      </w:r>
      <w:r>
        <w:t>n</w:t>
      </w:r>
      <w:r>
        <w:softHyphen/>
        <w:t>ventional.</w:t>
      </w:r>
    </w:p>
    <w:p w:rsidR="00B72047" w:rsidRDefault="00B72047">
      <w:pPr>
        <w:rPr>
          <w:rStyle w:val="htmlparacode"/>
        </w:rPr>
      </w:pPr>
      <w:r>
        <w:rPr>
          <w:rStyle w:val="htmlparacode"/>
        </w:rPr>
        <w:t>&lt;p&gt;</w:t>
      </w:r>
    </w:p>
    <w:p w:rsidR="00B72047" w:rsidRDefault="00B72047">
      <w:pPr>
        <w:pStyle w:val="normalparagraph"/>
      </w:pPr>
      <w:r>
        <w:rPr>
          <w:rStyle w:val="indexentry"/>
        </w:rPr>
        <w:t>&lt;cx "reverse Polish notation, number of operands"&gt;</w:t>
      </w:r>
      <w:r>
        <w:rPr>
          <w:rStyle w:val="indexentry"/>
        </w:rPr>
        <w:fldChar w:fldCharType="begin"/>
      </w:r>
      <w:r>
        <w:instrText>xe "</w:instrText>
      </w:r>
      <w:r>
        <w:rPr>
          <w:rStyle w:val="xeentry"/>
        </w:rPr>
        <w:instrText>reverse Polish notation: number of operands</w:instrText>
      </w:r>
      <w:r>
        <w:instrText>"</w:instrText>
      </w:r>
      <w:r>
        <w:rPr>
          <w:rStyle w:val="indexentry"/>
        </w:rPr>
        <w:fldChar w:fldCharType="end"/>
      </w:r>
      <w:r>
        <w:rPr>
          <w:rStyle w:val="indexentry"/>
        </w:rPr>
        <w:t>&lt;lx "tu'o"&gt;</w:t>
      </w:r>
      <w:r>
        <w:rPr>
          <w:rStyle w:val="indexentry"/>
        </w:rPr>
        <w:fldChar w:fldCharType="begin"/>
      </w:r>
      <w:r>
        <w:instrText>xe "</w:instrText>
      </w:r>
      <w:r>
        <w:rPr>
          <w:rStyle w:val="xeentry"/>
        </w:rPr>
        <w:instrText>tu'o</w:instrText>
      </w:r>
      <w:r>
        <w:instrText>"</w:instrText>
      </w:r>
      <w:r>
        <w:rPr>
          <w:rStyle w:val="indexentry"/>
        </w:rPr>
        <w:fldChar w:fldCharType="end"/>
      </w:r>
      <w:r>
        <w:rPr>
          <w:rStyle w:val="indexentry"/>
        </w:rPr>
        <w:t>&lt;lx "ge'a"&gt;</w:t>
      </w:r>
      <w:r>
        <w:rPr>
          <w:rStyle w:val="indexentry"/>
        </w:rPr>
        <w:fldChar w:fldCharType="begin"/>
      </w:r>
      <w:r>
        <w:instrText>xe "</w:instrText>
      </w:r>
      <w:r>
        <w:rPr>
          <w:rStyle w:val="xeentry"/>
        </w:rPr>
        <w:instrText>ge'a</w:instrText>
      </w:r>
      <w:r>
        <w:instrText>"</w:instrText>
      </w:r>
      <w:r>
        <w:rPr>
          <w:rStyle w:val="indexentry"/>
        </w:rPr>
        <w:fldChar w:fldCharType="end"/>
      </w:r>
      <w:r>
        <w:rPr>
          <w:rStyle w:val="indexentry"/>
        </w:rPr>
        <w:t>&lt;cx "reverse Polish notation, with too few operands"&gt;</w:t>
      </w:r>
      <w:r>
        <w:rPr>
          <w:rStyle w:val="indexentry"/>
        </w:rPr>
        <w:fldChar w:fldCharType="begin"/>
      </w:r>
      <w:r>
        <w:instrText>xe "</w:instrText>
      </w:r>
      <w:r>
        <w:rPr>
          <w:rStyle w:val="xeentry"/>
        </w:rPr>
        <w:instrText>reverse Polish notation: with too few operands</w:instrText>
      </w:r>
      <w:r>
        <w:instrText>"</w:instrText>
      </w:r>
      <w:r>
        <w:rPr>
          <w:rStyle w:val="indexentry"/>
        </w:rPr>
        <w:fldChar w:fldCharType="end"/>
      </w:r>
      <w:r>
        <w:rPr>
          <w:rStyle w:val="indexentry"/>
        </w:rPr>
        <w:t>&lt;cx "reverse Polish notation, with too many operands"&gt;</w:t>
      </w:r>
      <w:r>
        <w:rPr>
          <w:rStyle w:val="indexentry"/>
        </w:rPr>
        <w:fldChar w:fldCharType="begin"/>
      </w:r>
      <w:r>
        <w:instrText>xe "</w:instrText>
      </w:r>
      <w:r>
        <w:rPr>
          <w:rStyle w:val="xeentry"/>
        </w:rPr>
        <w:instrText>reverse Polish notation: with too many operands</w:instrText>
      </w:r>
      <w:r>
        <w:instrText>"</w:instrText>
      </w:r>
      <w:r>
        <w:rPr>
          <w:rStyle w:val="indexentry"/>
        </w:rPr>
        <w:fldChar w:fldCharType="end"/>
      </w:r>
      <w:r>
        <w:rPr>
          <w:rStyle w:val="indexentry"/>
        </w:rPr>
        <w:t>&lt;lx "tu'o va'a"&gt;</w:t>
      </w:r>
      <w:r>
        <w:rPr>
          <w:rStyle w:val="indexentry"/>
        </w:rPr>
        <w:fldChar w:fldCharType="begin"/>
      </w:r>
      <w:r>
        <w:instrText>xe "</w:instrText>
      </w:r>
      <w:r>
        <w:rPr>
          <w:rStyle w:val="xeentry"/>
        </w:rPr>
        <w:instrText>tu'o va'a</w:instrText>
      </w:r>
      <w:r>
        <w:instrText>"</w:instrText>
      </w:r>
      <w:r>
        <w:rPr>
          <w:rStyle w:val="indexentry"/>
        </w:rPr>
        <w:fldChar w:fldCharType="end"/>
      </w:r>
      <w:r>
        <w:rPr>
          <w:rStyle w:val="indexentry"/>
        </w:rPr>
        <w:t>&lt;lx "ge'a gei"&gt;</w:t>
      </w:r>
      <w:r>
        <w:rPr>
          <w:rStyle w:val="indexentry"/>
        </w:rPr>
        <w:fldChar w:fldCharType="begin"/>
      </w:r>
      <w:r>
        <w:instrText>xe "</w:instrText>
      </w:r>
      <w:r>
        <w:rPr>
          <w:rStyle w:val="xeentry"/>
        </w:rPr>
        <w:instrText>ge'a gei</w:instrText>
      </w:r>
      <w:r>
        <w:instrText>"</w:instrText>
      </w:r>
      <w:r>
        <w:rPr>
          <w:rStyle w:val="indexentry"/>
        </w:rPr>
        <w:fldChar w:fldCharType="end"/>
      </w:r>
      <w:r>
        <w:t>In Lojban, RP operators are always parsed with exactly two operands. What</w:t>
      </w:r>
      <w:r>
        <w:rPr>
          <w:rStyle w:val="deletedparamark"/>
        </w:rPr>
        <w:t xml:space="preserve"> </w:t>
      </w:r>
      <w:r>
        <w:t>about operators which require only one operand, or more than two operands?</w:t>
      </w:r>
      <w:r>
        <w:rPr>
          <w:rStyle w:val="deletedparamark"/>
        </w:rPr>
        <w:t xml:space="preserve"> </w:t>
      </w:r>
      <w:r>
        <w:t>The null operand “tu'o” and the null operator “ge'a” provide a simple</w:t>
      </w:r>
      <w:r>
        <w:rPr>
          <w:rStyle w:val="deletedparamark"/>
        </w:rPr>
        <w:t xml:space="preserve"> </w:t>
      </w:r>
      <w:r>
        <w:t>solution. A one-operand operator like “va'a” always appears in a reverse</w:t>
      </w:r>
      <w:r>
        <w:rPr>
          <w:rStyle w:val="deletedparamark"/>
        </w:rPr>
        <w:t xml:space="preserve"> </w:t>
      </w:r>
      <w:r>
        <w:t>Polish context as “tu'o va'a”. The “tu'o” provides the second operand, which</w:t>
      </w:r>
      <w:r>
        <w:rPr>
          <w:rStyle w:val="deletedparamark"/>
        </w:rPr>
        <w:t xml:space="preserve"> </w:t>
      </w:r>
      <w:r>
        <w:t>is semantically ignored but grammatically neces</w:t>
      </w:r>
      <w:r>
        <w:softHyphen/>
        <w:t>sary. Likewise, the</w:t>
      </w:r>
      <w:r>
        <w:rPr>
          <w:rStyle w:val="deletedparamark"/>
        </w:rPr>
        <w:t xml:space="preserve"> </w:t>
      </w:r>
      <w:r>
        <w:t>three-operand version of “gei” appears in reverse Polish as “ge'a gei”,</w:t>
      </w:r>
      <w:r>
        <w:rPr>
          <w:rStyle w:val="deletedparamark"/>
        </w:rPr>
        <w:t xml:space="preserve"> </w:t>
      </w:r>
      <w:r>
        <w:t>where the “ge'a” effectively merges the 2nd and 3rd operands into a single</w:t>
      </w:r>
      <w:r>
        <w:rPr>
          <w:rStyle w:val="deletedparamark"/>
        </w:rPr>
        <w:t xml:space="preserve"> </w:t>
      </w:r>
      <w:r>
        <w:t>oper</w:t>
      </w:r>
      <w:r>
        <w:softHyphen/>
        <w:t>and. 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name=e16d3&gt;</w:t>
      </w:r>
      <w:r>
        <w:t>16.3)</w:t>
      </w:r>
      <w:r>
        <w:tab/>
        <w:t>li fu'a ciboi muboi vu'u du</w:t>
      </w:r>
    </w:p>
    <w:p w:rsidR="00B72047" w:rsidRDefault="00B72047">
      <w:pPr>
        <w:pStyle w:val="examplescaled"/>
      </w:pPr>
      <w:r>
        <w:tab/>
      </w:r>
      <w:r>
        <w:tab/>
        <w:t>li fu'a reboi tu'o va'a</w:t>
      </w:r>
    </w:p>
    <w:p w:rsidR="00B72047" w:rsidRDefault="00B72047">
      <w:pPr>
        <w:pStyle w:val="examplescaled"/>
      </w:pPr>
      <w:r>
        <w:tab/>
        <w:t xml:space="preserve">The-number (RP!) (three, five, minus) equals </w:t>
      </w:r>
    </w:p>
    <w:p w:rsidR="00B72047" w:rsidRDefault="00B72047">
      <w:pPr>
        <w:pStyle w:val="examplescaled"/>
        <w:ind w:firstLine="576"/>
      </w:pPr>
      <w:r>
        <w:t>the-number (RP!) two, null, negative-of.</w:t>
      </w:r>
    </w:p>
    <w:p w:rsidR="00B72047" w:rsidRDefault="00B72047">
      <w:pPr>
        <w:pStyle w:val="examplescaled"/>
        <w:rPr>
          <w:rStyle w:val="math"/>
        </w:rPr>
      </w:pPr>
      <w:r>
        <w:rPr>
          <w:rStyle w:val="math"/>
        </w:rPr>
        <w:tab/>
      </w:r>
      <w:r>
        <w:rPr>
          <w:rStyle w:val="htmlcodes"/>
        </w:rPr>
        <w:t>&lt;math&gt;</w:t>
      </w:r>
      <w:r>
        <w:rPr>
          <w:rStyle w:val="math"/>
        </w:rPr>
        <w:t>3 - 5 = -2</w:t>
      </w:r>
      <w:r>
        <w:rPr>
          <w:rStyle w:val="htmlcodes"/>
        </w:rPr>
        <w:t>&lt;/math&gt;</w:t>
      </w:r>
    </w:p>
    <w:p w:rsidR="00B72047" w:rsidRDefault="00B72047">
      <w:pPr>
        <w:pStyle w:val="examplescaledpre"/>
      </w:pPr>
      <w:r>
        <w:rPr>
          <w:rStyle w:val="htmlcodes"/>
        </w:rPr>
        <w:t>&lt;a name=e16d4&gt;</w:t>
      </w:r>
      <w:r>
        <w:t>16.4)</w:t>
      </w:r>
      <w:r>
        <w:tab/>
        <w:t>li cinoki'oki'o du</w:t>
      </w:r>
    </w:p>
    <w:p w:rsidR="00B72047" w:rsidRDefault="00B72047">
      <w:pPr>
        <w:pStyle w:val="examplescaled"/>
      </w:pPr>
      <w:r>
        <w:tab/>
      </w:r>
      <w:r>
        <w:tab/>
        <w:t>li fu'a biboi ciboi panoboi ge'a gei</w:t>
      </w:r>
    </w:p>
    <w:p w:rsidR="00B72047" w:rsidRDefault="00B72047">
      <w:pPr>
        <w:pStyle w:val="examplescaled"/>
      </w:pPr>
      <w:r>
        <w:tab/>
        <w:t>The-number 30-comma-comma equals</w:t>
      </w:r>
    </w:p>
    <w:p w:rsidR="00B72047" w:rsidRDefault="00B72047">
      <w:pPr>
        <w:pStyle w:val="examplescaled"/>
      </w:pPr>
      <w:r>
        <w:tab/>
      </w:r>
      <w:r>
        <w:tab/>
        <w:t>the-number (RP!) 8, (3, 10, null-op), exponential-notation.</w:t>
      </w:r>
    </w:p>
    <w:p w:rsidR="00B72047" w:rsidRDefault="00B72047">
      <w:pPr>
        <w:pStyle w:val="examplescaled"/>
        <w:rPr>
          <w:rStyle w:val="math"/>
        </w:rPr>
      </w:pPr>
      <w:r>
        <w:rPr>
          <w:rStyle w:val="math"/>
        </w:rPr>
        <w:tab/>
      </w:r>
      <w:r>
        <w:rPr>
          <w:rStyle w:val="htmlcodes"/>
        </w:rPr>
        <w:t>&lt;math&gt;</w:t>
      </w:r>
      <w:r>
        <w:rPr>
          <w:rStyle w:val="math"/>
        </w:rPr>
        <w:t xml:space="preserve">30,000,000 = 3 </w:t>
      </w:r>
      <w:r>
        <w:rPr>
          <w:rStyle w:val="math"/>
        </w:rPr>
        <w:sym w:font="Symbol" w:char="F0B4"/>
      </w:r>
      <w:r>
        <w:rPr>
          <w:rStyle w:val="math"/>
        </w:rPr>
        <w:t xml:space="preserve"> </w:t>
      </w:r>
      <w:r>
        <w:rPr>
          <w:rStyle w:val="htmlcodes"/>
        </w:rPr>
        <w:t xml:space="preserve">&amp;times; </w:t>
      </w:r>
      <w:r>
        <w:rPr>
          <w:rStyle w:val="math"/>
        </w:rPr>
        <w:t>10</w:t>
      </w:r>
      <w:r>
        <w:rPr>
          <w:rStyle w:val="htmlcodes"/>
        </w:rPr>
        <w:t>&lt;sup&gt;</w:t>
      </w:r>
      <w:r>
        <w:rPr>
          <w:rStyle w:val="Superscript"/>
        </w:rPr>
        <w:t>8</w:t>
      </w:r>
      <w:r>
        <w:rPr>
          <w:rStyle w:val="htmlcodes"/>
        </w:rPr>
        <w:t>&lt;/sup&gt;&lt;/math&gt;</w:t>
      </w:r>
    </w:p>
    <w:p w:rsidR="00B72047" w:rsidRDefault="00B72047">
      <w:pPr>
        <w:pStyle w:val="Heading3"/>
        <w:rPr>
          <w:rStyle w:val="Heading3Text"/>
        </w:rPr>
      </w:pPr>
      <w:r>
        <w:rPr>
          <w:rStyle w:val="htmlcodes"/>
        </w:rPr>
        <w:t>&lt;/pre&gt;&lt;a name=s17&gt;&lt;h3&gt;</w:t>
      </w:r>
      <w:bookmarkStart w:id="512" w:name="_Toc398970749"/>
      <w:r>
        <w:rPr>
          <w:rStyle w:val="Heading3Text"/>
        </w:rPr>
        <w:t>Logical and non-logical connectives within mekso</w:t>
      </w:r>
      <w:bookmarkEnd w:id="512"/>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.abu</w:t>
      </w:r>
      <w:r>
        <w:tab/>
        <w:t>BY</w:t>
      </w:r>
      <w:r>
        <w:tab/>
        <w:t>letter “a”</w:t>
      </w:r>
    </w:p>
    <w:p w:rsidR="00B72047" w:rsidRDefault="00B72047">
      <w:pPr>
        <w:pStyle w:val="examplescaled"/>
      </w:pPr>
      <w:r>
        <w:tab/>
        <w:t>by</w:t>
      </w:r>
      <w:r>
        <w:tab/>
        <w:t>BY</w:t>
      </w:r>
      <w:r>
        <w:tab/>
        <w:t>letter “b”</w:t>
      </w:r>
    </w:p>
    <w:p w:rsidR="00B72047" w:rsidRDefault="00B72047">
      <w:pPr>
        <w:pStyle w:val="examplescaled"/>
      </w:pPr>
      <w:r>
        <w:tab/>
        <w:t>cy</w:t>
      </w:r>
      <w:r>
        <w:tab/>
        <w:t>BY</w:t>
      </w:r>
      <w:r>
        <w:tab/>
        <w:t>letter “c”</w:t>
      </w:r>
    </w:p>
    <w:p w:rsidR="00B72047" w:rsidRDefault="00B72047">
      <w:pPr>
        <w:pStyle w:val="examplescaled"/>
      </w:pPr>
      <w:r>
        <w:tab/>
        <w:t>fe'a</w:t>
      </w:r>
      <w:r>
        <w:tab/>
        <w:t>VUhU</w:t>
      </w:r>
      <w:r>
        <w:tab/>
        <w:t>nth root of (default square root)</w:t>
      </w:r>
    </w:p>
    <w:p w:rsidR="00B72047" w:rsidRDefault="00B72047">
      <w:pPr>
        <w:pStyle w:val="examplescaled"/>
      </w:pPr>
      <w:r>
        <w:tab/>
        <w:t>lo'o</w:t>
      </w:r>
      <w:r>
        <w:tab/>
        <w:t>LOhO</w:t>
      </w:r>
      <w:r>
        <w:tab/>
        <w:t>terminator for LI</w:t>
      </w:r>
    </w:p>
    <w:p w:rsidR="00B72047" w:rsidRDefault="00B72047">
      <w:pPr>
        <w:pStyle w:val="normalafterexample"/>
      </w:pPr>
      <w:r>
        <w:rPr>
          <w:rStyle w:val="htmlcodes"/>
        </w:rPr>
        <w:t>&lt;/pre&gt;</w:t>
      </w:r>
      <w:r>
        <w:rPr>
          <w:rStyle w:val="indexentry"/>
        </w:rPr>
        <w:t>&lt;cx "operand connection, afterthought"&gt;</w:t>
      </w:r>
      <w:r>
        <w:rPr>
          <w:rStyle w:val="indexentry"/>
        </w:rPr>
        <w:fldChar w:fldCharType="begin"/>
      </w:r>
      <w:r>
        <w:instrText>xe "</w:instrText>
      </w:r>
      <w:r>
        <w:rPr>
          <w:rStyle w:val="xeentry"/>
        </w:rPr>
        <w:instrText>operand connection: afterthought</w:instrText>
      </w:r>
      <w:r>
        <w:instrText>"</w:instrText>
      </w:r>
      <w:r>
        <w:rPr>
          <w:rStyle w:val="indexentry"/>
        </w:rPr>
        <w:fldChar w:fldCharType="end"/>
      </w:r>
      <w:r>
        <w:rPr>
          <w:rStyle w:val="indexentry"/>
        </w:rPr>
        <w:t>&lt;cx "operand connection, forethought"&gt;</w:t>
      </w:r>
      <w:r>
        <w:rPr>
          <w:rStyle w:val="indexentry"/>
        </w:rPr>
        <w:fldChar w:fldCharType="begin"/>
      </w:r>
      <w:r>
        <w:instrText>xe "</w:instrText>
      </w:r>
      <w:r>
        <w:rPr>
          <w:rStyle w:val="xeentry"/>
        </w:rPr>
        <w:instrText>operand connection: forethought</w:instrText>
      </w:r>
      <w:r>
        <w:instrText>"</w:instrText>
      </w:r>
      <w:r>
        <w:rPr>
          <w:rStyle w:val="indexentry"/>
        </w:rPr>
        <w:fldChar w:fldCharType="end"/>
      </w:r>
      <w:r>
        <w:rPr>
          <w:rStyle w:val="indexentry"/>
        </w:rPr>
        <w:t>&lt;cx "operator connection, afterthought"&gt;</w:t>
      </w:r>
      <w:r>
        <w:rPr>
          <w:rStyle w:val="indexentry"/>
        </w:rPr>
        <w:fldChar w:fldCharType="begin"/>
      </w:r>
      <w:r>
        <w:instrText>xe "</w:instrText>
      </w:r>
      <w:r>
        <w:rPr>
          <w:rStyle w:val="xeentry"/>
        </w:rPr>
        <w:instrText>operator connection: afterthought</w:instrText>
      </w:r>
      <w:r>
        <w:instrText>"</w:instrText>
      </w:r>
      <w:r>
        <w:rPr>
          <w:rStyle w:val="indexentry"/>
        </w:rPr>
        <w:fldChar w:fldCharType="end"/>
      </w:r>
      <w:r>
        <w:rPr>
          <w:rStyle w:val="indexentry"/>
        </w:rPr>
        <w:t>&lt;cx "operator connection, forethought"&gt;</w:t>
      </w:r>
      <w:r>
        <w:rPr>
          <w:rStyle w:val="indexentry"/>
        </w:rPr>
        <w:fldChar w:fldCharType="begin"/>
      </w:r>
      <w:r>
        <w:instrText>xe "</w:instrText>
      </w:r>
      <w:r>
        <w:rPr>
          <w:rStyle w:val="xeentry"/>
        </w:rPr>
        <w:instrText>operator connection: forethought</w:instrText>
      </w:r>
      <w:r>
        <w:instrText>"</w:instrText>
      </w:r>
      <w:r>
        <w:rPr>
          <w:rStyle w:val="indexentry"/>
        </w:rPr>
        <w:fldChar w:fldCharType="end"/>
      </w:r>
      <w:r>
        <w:rPr>
          <w:rStyle w:val="indexentry"/>
        </w:rPr>
        <w:t>&lt;cx "forethought connection, of operands"&gt;</w:t>
      </w:r>
      <w:r>
        <w:rPr>
          <w:rStyle w:val="indexentry"/>
        </w:rPr>
        <w:fldChar w:fldCharType="begin"/>
      </w:r>
      <w:r>
        <w:instrText>xe "</w:instrText>
      </w:r>
      <w:r>
        <w:rPr>
          <w:rStyle w:val="xeentry"/>
        </w:rPr>
        <w:instrText>forethought connection: of operands</w:instrText>
      </w:r>
      <w:r>
        <w:instrText>"</w:instrText>
      </w:r>
      <w:r>
        <w:rPr>
          <w:rStyle w:val="indexentry"/>
        </w:rPr>
        <w:fldChar w:fldCharType="end"/>
      </w:r>
      <w:r>
        <w:rPr>
          <w:rStyle w:val="indexentry"/>
        </w:rPr>
        <w:t>&lt;cx "forethought connection, of operators"&gt;</w:t>
      </w:r>
      <w:r>
        <w:rPr>
          <w:rStyle w:val="indexentry"/>
        </w:rPr>
        <w:fldChar w:fldCharType="begin"/>
      </w:r>
      <w:r>
        <w:instrText>xe "</w:instrText>
      </w:r>
      <w:r>
        <w:rPr>
          <w:rStyle w:val="xeentry"/>
        </w:rPr>
        <w:instrText>forethought connection: of operators</w:instrText>
      </w:r>
      <w:r>
        <w:instrText>"</w:instrText>
      </w:r>
      <w:r>
        <w:rPr>
          <w:rStyle w:val="indexentry"/>
        </w:rPr>
        <w:fldChar w:fldCharType="end"/>
      </w:r>
      <w:r>
        <w:rPr>
          <w:rStyle w:val="indexentry"/>
        </w:rPr>
        <w:t>&lt;cx "afterthought connection, of operands"&gt;</w:t>
      </w:r>
      <w:r>
        <w:rPr>
          <w:rStyle w:val="indexentry"/>
        </w:rPr>
        <w:fldChar w:fldCharType="begin"/>
      </w:r>
      <w:r>
        <w:instrText>xe "</w:instrText>
      </w:r>
      <w:r>
        <w:rPr>
          <w:rStyle w:val="xeentry"/>
        </w:rPr>
        <w:instrText>afterthought connection: of operands</w:instrText>
      </w:r>
      <w:r>
        <w:instrText>"</w:instrText>
      </w:r>
      <w:r>
        <w:rPr>
          <w:rStyle w:val="indexentry"/>
        </w:rPr>
        <w:fldChar w:fldCharType="end"/>
      </w:r>
      <w:r>
        <w:rPr>
          <w:rStyle w:val="indexentry"/>
        </w:rPr>
        <w:t>&lt;cx "afterthought connection, of operators"&gt;</w:t>
      </w:r>
      <w:r>
        <w:rPr>
          <w:rStyle w:val="indexentry"/>
        </w:rPr>
        <w:fldChar w:fldCharType="begin"/>
      </w:r>
      <w:r>
        <w:instrText>xe "</w:instrText>
      </w:r>
      <w:r>
        <w:rPr>
          <w:rStyle w:val="xeentry"/>
        </w:rPr>
        <w:instrText>afterthought connection: of operators</w:instrText>
      </w:r>
      <w:r>
        <w:instrText>"</w:instrText>
      </w:r>
      <w:r>
        <w:rPr>
          <w:rStyle w:val="indexentry"/>
        </w:rPr>
        <w:fldChar w:fldCharType="end"/>
      </w:r>
      <w:r>
        <w:rPr>
          <w:rStyle w:val="indexentry"/>
        </w:rPr>
        <w:t>&lt;lx "A"&gt;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&lt;lx "GA"&gt;</w:t>
      </w:r>
      <w:r>
        <w:rPr>
          <w:rStyle w:val="indexentry"/>
        </w:rPr>
        <w:fldChar w:fldCharType="begin"/>
      </w:r>
      <w:r>
        <w:instrText>xe "</w:instrText>
      </w:r>
      <w:r>
        <w:rPr>
          <w:rStyle w:val="xeentry"/>
        </w:rPr>
        <w:instrText>GA selma’o</w:instrText>
      </w:r>
      <w:r>
        <w:instrText>"</w:instrText>
      </w:r>
      <w:r>
        <w:rPr>
          <w:rStyle w:val="indexentry"/>
        </w:rPr>
        <w:fldChar w:fldCharType="end"/>
      </w:r>
      <w:r>
        <w:t>As befits a logical language, Lojban has extensive provision for logical</w:t>
      </w:r>
      <w:r>
        <w:rPr>
          <w:rStyle w:val="deletedparamark"/>
        </w:rPr>
        <w:t xml:space="preserve"> </w:t>
      </w:r>
      <w:r>
        <w:t>con</w:t>
      </w:r>
      <w:r>
        <w:softHyphen/>
        <w:t>nectives within both operators and operands. Full details on logical</w:t>
      </w:r>
      <w:r>
        <w:rPr>
          <w:rStyle w:val="deletedparamark"/>
        </w:rPr>
        <w:t xml:space="preserve"> </w:t>
      </w:r>
      <w:r>
        <w:t xml:space="preserve">and non-logical connectives are provided in </w:t>
      </w:r>
      <w:r>
        <w:rPr>
          <w:rStyle w:val="htmlcodes"/>
        </w:rPr>
        <w:t>&lt;a href=chap14.html&gt;</w:t>
      </w:r>
      <w:r>
        <w:t>Chapter 14</w:t>
      </w:r>
      <w:r>
        <w:rPr>
          <w:rStyle w:val="htmlcodes"/>
        </w:rPr>
        <w:t>&lt;/a&gt;</w:t>
      </w:r>
      <w:r>
        <w:t>. Operands are</w:t>
      </w:r>
      <w:r>
        <w:rPr>
          <w:rStyle w:val="deletedparamark"/>
        </w:rPr>
        <w:t xml:space="preserve"> </w:t>
      </w:r>
      <w:r>
        <w:t>connected in afterthought with selma'o A and in forethought with selma'o GA, just</w:t>
      </w:r>
      <w:r>
        <w:rPr>
          <w:rStyle w:val="deletedparamark"/>
        </w:rPr>
        <w:t xml:space="preserve"> </w:t>
      </w:r>
      <w:r>
        <w:t>like sumti. Operators are connected in afterthought with selma'o JA</w:t>
      </w:r>
      <w:r>
        <w:rPr>
          <w:rStyle w:val="deletedparamark"/>
        </w:rPr>
        <w:t xml:space="preserve"> </w:t>
      </w:r>
      <w:r>
        <w:t>and in forethought with selma'o GUhA, just like tanru components.</w:t>
      </w:r>
      <w:r>
        <w:rPr>
          <w:rStyle w:val="deletedparamark"/>
        </w:rPr>
        <w:t xml:space="preserve"> </w:t>
      </w:r>
      <w:r>
        <w:t>This parallelism is no accident.</w:t>
      </w:r>
    </w:p>
    <w:p w:rsidR="00B72047" w:rsidRDefault="00B72047">
      <w:pPr>
        <w:rPr>
          <w:rStyle w:val="htmlparacode"/>
        </w:rPr>
      </w:pPr>
      <w:r>
        <w:rPr>
          <w:rStyle w:val="htmlparacode"/>
        </w:rPr>
        <w:t>&lt;p&gt;</w:t>
      </w:r>
    </w:p>
    <w:p w:rsidR="00B72047" w:rsidRDefault="00B72047">
      <w:pPr>
        <w:pStyle w:val="normalparagraph"/>
      </w:pPr>
      <w:r>
        <w:rPr>
          <w:rStyle w:val="indexentry"/>
        </w:rPr>
        <w:t>&lt;cx "connection of operands, grouping"&gt;</w:t>
      </w:r>
      <w:r>
        <w:rPr>
          <w:rStyle w:val="indexentry"/>
        </w:rPr>
        <w:fldChar w:fldCharType="begin"/>
      </w:r>
      <w:r>
        <w:instrText>xe "</w:instrText>
      </w:r>
      <w:r>
        <w:rPr>
          <w:rStyle w:val="xeentry"/>
        </w:rPr>
        <w:instrText>connection of operands: grouping</w:instrText>
      </w:r>
      <w:r>
        <w:instrText>"</w:instrText>
      </w:r>
      <w:r>
        <w:rPr>
          <w:rStyle w:val="indexentry"/>
        </w:rPr>
        <w:fldChar w:fldCharType="end"/>
      </w:r>
      <w:r>
        <w:rPr>
          <w:rStyle w:val="indexentry"/>
        </w:rPr>
        <w:t>&lt;cx "connection of operators, grouping"&gt;</w:t>
      </w:r>
      <w:r>
        <w:rPr>
          <w:rStyle w:val="indexentry"/>
        </w:rPr>
        <w:fldChar w:fldCharType="begin"/>
      </w:r>
      <w:r>
        <w:instrText>xe "</w:instrText>
      </w:r>
      <w:r>
        <w:rPr>
          <w:rStyle w:val="xeentry"/>
        </w:rPr>
        <w:instrText>connection of operators: grouping</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&lt;lx "KE"&gt;</w:t>
      </w:r>
      <w:r>
        <w:rPr>
          <w:rStyle w:val="indexentry"/>
        </w:rPr>
        <w:fldChar w:fldCharType="begin"/>
      </w:r>
      <w:r>
        <w:instrText>xe "</w:instrText>
      </w:r>
      <w:r>
        <w:rPr>
          <w:rStyle w:val="xeentry"/>
        </w:rPr>
        <w:instrText>KE selma’o</w:instrText>
      </w:r>
      <w:r>
        <w:instrText>"</w:instrText>
      </w:r>
      <w:r>
        <w:rPr>
          <w:rStyle w:val="indexentry"/>
        </w:rPr>
        <w:fldChar w:fldCharType="end"/>
      </w:r>
      <w:r>
        <w:t>In addition, A+BO and A+KE constructs are allowed for grouping logically</w:t>
      </w:r>
      <w:r>
        <w:rPr>
          <w:rStyle w:val="deletedparamark"/>
        </w:rPr>
        <w:t xml:space="preserve"> </w:t>
      </w:r>
      <w:r>
        <w:t>co</w:t>
      </w:r>
      <w:r>
        <w:t>n</w:t>
      </w:r>
      <w:r>
        <w:softHyphen/>
        <w:t>nected operands, and “ke </w:t>
      </w:r>
      <w:r>
        <w:rPr>
          <w:rStyle w:val="htmlcodes"/>
        </w:rPr>
        <w:t>&lt;dots&gt;</w:t>
      </w:r>
      <w:r>
        <w:t>…</w:t>
      </w:r>
      <w:r>
        <w:rPr>
          <w:rStyle w:val="htmlcodes"/>
        </w:rPr>
        <w:t>&lt;/dots&gt;</w:t>
      </w:r>
      <w:r>
        <w:t>ke'e” is allowed for grouping logically</w:t>
      </w:r>
      <w:r>
        <w:rPr>
          <w:rStyle w:val="deletedparamark"/>
        </w:rPr>
        <w:t xml:space="preserve"> </w:t>
      </w:r>
      <w:r>
        <w:t>connected op</w:t>
      </w:r>
      <w:r>
        <w:softHyphen/>
        <w:t>erators, although there are no analogues of tanru among the</w:t>
      </w:r>
      <w:r>
        <w:rPr>
          <w:rStyle w:val="deletedparamark"/>
        </w:rPr>
        <w:t xml:space="preserve"> </w:t>
      </w:r>
      <w:r>
        <w:t>operators.</w:t>
      </w:r>
    </w:p>
    <w:p w:rsidR="00B72047" w:rsidRDefault="00B72047">
      <w:pPr>
        <w:rPr>
          <w:rStyle w:val="htmlparacode"/>
        </w:rPr>
      </w:pPr>
      <w:r>
        <w:rPr>
          <w:rStyle w:val="htmlparacode"/>
        </w:rPr>
        <w:t>&lt;p&gt;</w:t>
      </w:r>
    </w:p>
    <w:p w:rsidR="00B72047" w:rsidRDefault="00B72047">
      <w:pPr>
        <w:pStyle w:val="normalparagraph"/>
      </w:pPr>
      <w:r>
        <w:t>Despite the large number of rules required to support this feature, it is</w:t>
      </w:r>
      <w:r>
        <w:rPr>
          <w:rStyle w:val="deletedparamark"/>
        </w:rPr>
        <w:t xml:space="preserve"> </w:t>
      </w:r>
      <w:r>
        <w:t>of rela</w:t>
      </w:r>
      <w:r>
        <w:softHyphen/>
        <w:t xml:space="preserve">tively minor importance in the mekso scheme of things. </w:t>
      </w:r>
      <w:r>
        <w:rPr>
          <w:rStyle w:val="htmlcodes"/>
        </w:rPr>
        <w:t>&lt;a href=#e17d1&gt;</w:t>
      </w:r>
      <w:r>
        <w:t xml:space="preserve">Example 17.1 </w:t>
      </w:r>
      <w:r>
        <w:rPr>
          <w:rStyle w:val="htmlcodes"/>
        </w:rPr>
        <w:t>&lt;/a&gt;</w:t>
      </w:r>
      <w:r>
        <w:t>exhibits after</w:t>
      </w:r>
      <w:r>
        <w:softHyphen/>
        <w:t>thought logical connection between operands:</w:t>
      </w:r>
    </w:p>
    <w:p w:rsidR="00B72047" w:rsidRDefault="00B72047">
      <w:pPr>
        <w:rPr>
          <w:rStyle w:val="htmlparacode"/>
        </w:rPr>
      </w:pPr>
      <w:r>
        <w:rPr>
          <w:rStyle w:val="htmlparacode"/>
        </w:rPr>
        <w:t>&lt;p&gt;</w:t>
      </w:r>
    </w:p>
    <w:p w:rsidR="00B72047" w:rsidRDefault="00B72047">
      <w:pPr>
        <w:pStyle w:val="examplescaledpre"/>
      </w:pPr>
      <w:r>
        <w:rPr>
          <w:rStyle w:val="indexentry"/>
        </w:rPr>
        <w:t>&lt;ex "three or four people"&gt;</w:t>
      </w:r>
      <w:r>
        <w:rPr>
          <w:rStyle w:val="indexentry"/>
        </w:rPr>
        <w:fldChar w:fldCharType="begin"/>
      </w:r>
      <w:r>
        <w:instrText>xe "</w:instrText>
      </w:r>
      <w:r>
        <w:rPr>
          <w:rStyle w:val="xeentry"/>
        </w:rPr>
        <w:instrText>three or four people: example</w:instrText>
      </w:r>
      <w:r>
        <w:instrText>"</w:instrText>
      </w:r>
      <w:r>
        <w:rPr>
          <w:rStyle w:val="indexentry"/>
        </w:rPr>
        <w:fldChar w:fldCharType="end"/>
      </w:r>
      <w:r>
        <w:rPr>
          <w:rStyle w:val="htmlcodes"/>
        </w:rPr>
        <w:t>&lt;pre&gt;&lt;a name=e17d1&gt;</w:t>
      </w:r>
      <w:r>
        <w:t>17.1)</w:t>
      </w:r>
      <w:r>
        <w:tab/>
        <w:t>vei ci .a vo ve'o prenu cu klama le zarci</w:t>
      </w:r>
    </w:p>
    <w:p w:rsidR="00B72047" w:rsidRDefault="00B72047">
      <w:pPr>
        <w:pStyle w:val="examplescaled"/>
      </w:pPr>
      <w:r>
        <w:tab/>
        <w:t>( Three or four ) people go-to the market.</w:t>
      </w:r>
    </w:p>
    <w:p w:rsidR="00B72047" w:rsidRDefault="00B72047">
      <w:pPr>
        <w:pStyle w:val="resumedafterexample"/>
      </w:pPr>
      <w:r>
        <w:rPr>
          <w:rStyle w:val="htmlcodes"/>
        </w:rPr>
        <w:t>&lt;/pre&gt;&lt;a href=#e17d2&gt;</w:t>
      </w:r>
      <w:r>
        <w:t xml:space="preserve">Example 17.2 </w:t>
      </w:r>
      <w:r>
        <w:rPr>
          <w:rStyle w:val="htmlcodes"/>
        </w:rPr>
        <w:t>&lt;/a&gt;</w:t>
      </w:r>
      <w:r>
        <w:t>is equivalent in meaning, but uses forethought connection: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name=e17d2&gt;</w:t>
      </w:r>
      <w:r>
        <w:t>17.2)</w:t>
      </w:r>
      <w:r>
        <w:tab/>
        <w:t>vei ga ci gi vo ve'o prenu cu klama le zarci</w:t>
      </w:r>
    </w:p>
    <w:p w:rsidR="00B72047" w:rsidRDefault="00B72047">
      <w:pPr>
        <w:pStyle w:val="examplescaled"/>
      </w:pPr>
      <w:r>
        <w:tab/>
        <w:t>( Either 3 or 4 ) people go-to the market.</w:t>
      </w:r>
    </w:p>
    <w:p w:rsidR="00B72047" w:rsidRDefault="00B72047">
      <w:pPr>
        <w:pStyle w:val="resumedafterexample"/>
      </w:pPr>
      <w:r>
        <w:rPr>
          <w:rStyle w:val="htmlcodes"/>
        </w:rPr>
        <w:t>&lt;/pre&gt;</w:t>
      </w:r>
      <w:r>
        <w:rPr>
          <w:rStyle w:val="indexentry"/>
        </w:rPr>
        <w:t>&lt;cx "mekso, complex used as quantifier"&gt;</w:t>
      </w:r>
      <w:r>
        <w:rPr>
          <w:rStyle w:val="indexentry"/>
        </w:rPr>
        <w:fldChar w:fldCharType="begin"/>
      </w:r>
      <w:r>
        <w:instrText>xe "</w:instrText>
      </w:r>
      <w:r>
        <w:rPr>
          <w:rStyle w:val="xeentry"/>
        </w:rPr>
        <w:instrText>mekso: complex used as quantifier</w:instrText>
      </w:r>
      <w:r>
        <w:instrText>"</w:instrText>
      </w:r>
      <w:r>
        <w:rPr>
          <w:rStyle w:val="indexentry"/>
        </w:rPr>
        <w:fldChar w:fldCharType="end"/>
      </w:r>
      <w:r>
        <w:rPr>
          <w:rStyle w:val="indexentry"/>
        </w:rPr>
        <w:t>&lt;cx "parentheses, for complex mekso used as quantifier"&gt;</w:t>
      </w:r>
      <w:r>
        <w:rPr>
          <w:rStyle w:val="indexentry"/>
        </w:rPr>
        <w:fldChar w:fldCharType="begin"/>
      </w:r>
      <w:r>
        <w:instrText>xe "</w:instrText>
      </w:r>
      <w:r>
        <w:rPr>
          <w:rStyle w:val="xeentry"/>
        </w:rPr>
        <w:instrText>parentheses: for complex mekso used as quantifier</w:instrText>
      </w:r>
      <w:r>
        <w:instrText>"</w:instrText>
      </w:r>
      <w:r>
        <w:rPr>
          <w:rStyle w:val="indexentry"/>
        </w:rPr>
        <w:fldChar w:fldCharType="end"/>
      </w:r>
      <w:r>
        <w:t>Note that the mekso here are being used as quantifiers. Lojban requires</w:t>
      </w:r>
      <w:r>
        <w:rPr>
          <w:rStyle w:val="deletedparamark"/>
        </w:rPr>
        <w:t xml:space="preserve"> </w:t>
      </w:r>
      <w:r>
        <w:t>that any mekso other than a simple number be enclosed in parentheses</w:t>
      </w:r>
      <w:r>
        <w:rPr>
          <w:rStyle w:val="deletedparamark"/>
        </w:rPr>
        <w:t xml:space="preserve"> </w:t>
      </w:r>
      <w:r>
        <w:t>when used as a quantifier. This rule prevents ambiguities that do not exist</w:t>
      </w:r>
      <w:r>
        <w:rPr>
          <w:rStyle w:val="deletedparamark"/>
        </w:rPr>
        <w:t xml:space="preserve"> </w:t>
      </w:r>
      <w:r>
        <w:t>when using “li”.</w:t>
      </w:r>
    </w:p>
    <w:p w:rsidR="00B72047" w:rsidRDefault="00B72047">
      <w:pPr>
        <w:rPr>
          <w:rStyle w:val="htmlparacode"/>
        </w:rPr>
      </w:pPr>
      <w:r>
        <w:rPr>
          <w:rStyle w:val="htmlparacode"/>
        </w:rPr>
        <w:t>&lt;p&gt;</w:t>
      </w:r>
    </w:p>
    <w:p w:rsidR="00B72047" w:rsidRDefault="00B72047">
      <w:pPr>
        <w:pStyle w:val="normalparagraph"/>
      </w:pPr>
      <w:r>
        <w:rPr>
          <w:rStyle w:val="indexentry"/>
        </w:rPr>
        <w:t>&lt;cx "li, terminator for"&gt;</w:t>
      </w:r>
      <w:r>
        <w:rPr>
          <w:rStyle w:val="indexentry"/>
        </w:rPr>
        <w:fldChar w:fldCharType="begin"/>
      </w:r>
      <w:r>
        <w:instrText>xe "</w:instrText>
      </w:r>
      <w:r>
        <w:rPr>
          <w:rStyle w:val="xeentry"/>
        </w:rPr>
        <w:instrText>li: terminator for</w:instrText>
      </w:r>
      <w:r>
        <w:instrText>"</w:instrText>
      </w:r>
      <w:r>
        <w:rPr>
          <w:rStyle w:val="indexentry"/>
        </w:rPr>
        <w:fldChar w:fldCharType="end"/>
      </w:r>
      <w:r>
        <w:rPr>
          <w:rStyle w:val="indexentry"/>
        </w:rPr>
        <w:t>&lt;lx "lo'o"&gt;</w:t>
      </w:r>
      <w:r>
        <w:rPr>
          <w:rStyle w:val="indexentry"/>
        </w:rPr>
        <w:fldChar w:fldCharType="begin"/>
      </w:r>
      <w:r>
        <w:instrText>xe "</w:instrText>
      </w:r>
      <w:r>
        <w:rPr>
          <w:rStyle w:val="xeentry"/>
        </w:rPr>
        <w:instrText>lo'o</w:instrText>
      </w:r>
      <w:r>
        <w:instrText>"</w:instrText>
      </w:r>
      <w:r>
        <w:rPr>
          <w:rStyle w:val="indexentry"/>
        </w:rPr>
        <w:fldChar w:fldCharType="end"/>
      </w:r>
      <w:r>
        <w:rPr>
          <w:rStyle w:val="indexentry"/>
        </w:rPr>
        <w:t>&lt;cx "logical connection, effect on elidability of lo'o"&gt;</w:t>
      </w:r>
      <w:r>
        <w:rPr>
          <w:rStyle w:val="indexentry"/>
        </w:rPr>
        <w:fldChar w:fldCharType="begin"/>
      </w:r>
      <w:r>
        <w:instrText>xe "</w:instrText>
      </w:r>
      <w:r>
        <w:rPr>
          <w:rStyle w:val="xeentry"/>
        </w:rPr>
        <w:instrText>logical connection: effect on elidability of lo'o</w:instrText>
      </w:r>
      <w:r>
        <w:instrText>"</w:instrText>
      </w:r>
      <w:r>
        <w:rPr>
          <w:rStyle w:val="indexentry"/>
        </w:rPr>
        <w:fldChar w:fldCharType="end"/>
      </w:r>
      <w:r>
        <w:rPr>
          <w:rStyle w:val="indexentry"/>
        </w:rPr>
        <w:t>&lt;cx "lo'o, effect of logical connective on elidability of"&gt;</w:t>
      </w:r>
      <w:r>
        <w:rPr>
          <w:rStyle w:val="indexentry"/>
        </w:rPr>
        <w:fldChar w:fldCharType="begin"/>
      </w:r>
      <w:r>
        <w:instrText>xe "</w:instrText>
      </w:r>
      <w:r>
        <w:rPr>
          <w:rStyle w:val="xeentry"/>
        </w:rPr>
        <w:instrText>lo'o: effect of logical connective on elidability of</w:instrText>
      </w:r>
      <w:r>
        <w:instrText>"</w:instrText>
      </w:r>
      <w:r>
        <w:rPr>
          <w:rStyle w:val="indexentry"/>
        </w:rPr>
        <w:fldChar w:fldCharType="end"/>
      </w:r>
      <w:r>
        <w:t>By the way, “li” has an elidable terminator, “lo'o”, which is needed when</w:t>
      </w:r>
      <w:r>
        <w:rPr>
          <w:rStyle w:val="deletedparamark"/>
        </w:rPr>
        <w:t xml:space="preserve"> </w:t>
      </w:r>
      <w:r>
        <w:t>a “li” sumti is followed by a logical connective that could seem to be</w:t>
      </w:r>
      <w:r>
        <w:rPr>
          <w:rStyle w:val="deletedparamark"/>
        </w:rPr>
        <w:t xml:space="preserve"> </w:t>
      </w:r>
      <w:r>
        <w:t>within the mekso.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name=e17d3&gt;</w:t>
      </w:r>
      <w:r>
        <w:t>17.3)</w:t>
      </w:r>
      <w:r>
        <w:tab/>
        <w:t>li re su'i re du</w:t>
      </w:r>
    </w:p>
    <w:p w:rsidR="00B72047" w:rsidRDefault="00B72047">
      <w:pPr>
        <w:pStyle w:val="examplescaled"/>
      </w:pPr>
      <w:r>
        <w:tab/>
      </w:r>
      <w:r>
        <w:tab/>
        <w:t>li vo lo'o .onai lo nalseldjuno namcu</w:t>
      </w:r>
    </w:p>
    <w:p w:rsidR="00B72047" w:rsidRDefault="00B72047">
      <w:pPr>
        <w:pStyle w:val="examplescaled"/>
      </w:pPr>
      <w:r>
        <w:tab/>
        <w:t xml:space="preserve">The-number two plus two equals </w:t>
      </w:r>
    </w:p>
    <w:p w:rsidR="00B72047" w:rsidRDefault="00B72047">
      <w:pPr>
        <w:pStyle w:val="examplescaled"/>
      </w:pPr>
      <w:r>
        <w:tab/>
      </w:r>
      <w:r>
        <w:tab/>
        <w:t>the-number four or else a non-known number.</w:t>
      </w:r>
    </w:p>
    <w:p w:rsidR="00B72047" w:rsidRDefault="00B72047">
      <w:pPr>
        <w:pStyle w:val="resumedafterexample"/>
      </w:pPr>
      <w:r>
        <w:rPr>
          <w:rStyle w:val="htmlcodes"/>
        </w:rPr>
        <w:t>&lt;/pre&gt;&lt;p&gt;</w:t>
      </w:r>
      <w:r>
        <w:t>Omitting the “lo'o” would cause the parser to assume that another</w:t>
      </w:r>
      <w:r>
        <w:rPr>
          <w:rStyle w:val="deletedparamark"/>
        </w:rPr>
        <w:t xml:space="preserve"> </w:t>
      </w:r>
      <w:r>
        <w:t>operand followed the “.onai” and reject “lo” as an invalid operand.</w:t>
      </w:r>
    </w:p>
    <w:p w:rsidR="00B72047" w:rsidRDefault="00B72047">
      <w:pPr>
        <w:rPr>
          <w:rStyle w:val="htmlparacode"/>
        </w:rPr>
      </w:pPr>
      <w:r>
        <w:rPr>
          <w:rStyle w:val="htmlparacode"/>
        </w:rPr>
        <w:t>&lt;p&gt;</w:t>
      </w:r>
    </w:p>
    <w:p w:rsidR="00B72047" w:rsidRDefault="00B72047">
      <w:pPr>
        <w:pStyle w:val="normalparagraph"/>
      </w:pPr>
      <w:r>
        <w:t>Simple examples of logical connection between operators are hard to come by.</w:t>
      </w:r>
      <w:r>
        <w:rPr>
          <w:rStyle w:val="deletedparamark"/>
        </w:rPr>
        <w:t xml:space="preserve"> </w:t>
      </w:r>
      <w:r>
        <w:t>A contrived example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name=e17d4&gt;</w:t>
      </w:r>
      <w:r>
        <w:t>17.4)</w:t>
      </w:r>
      <w:r>
        <w:tab/>
        <w:t>li re su'i je pi'i re du li vo</w:t>
      </w:r>
    </w:p>
    <w:p w:rsidR="00B72047" w:rsidRDefault="00B72047">
      <w:pPr>
        <w:pStyle w:val="examplescaled"/>
      </w:pPr>
      <w:r>
        <w:tab/>
        <w:t>The-number two plus and times two equals the-number four.</w:t>
      </w:r>
    </w:p>
    <w:p w:rsidR="00B72047" w:rsidRDefault="00B72047">
      <w:pPr>
        <w:pStyle w:val="examplescaled"/>
        <w:rPr>
          <w:rStyle w:val="math"/>
        </w:rPr>
      </w:pPr>
      <w:r>
        <w:rPr>
          <w:rStyle w:val="math"/>
        </w:rPr>
        <w:tab/>
      </w:r>
      <w:r>
        <w:rPr>
          <w:rStyle w:val="htmlcodes"/>
        </w:rPr>
        <w:t>&lt;math&gt;</w:t>
      </w:r>
      <w:r>
        <w:rPr>
          <w:rStyle w:val="math"/>
        </w:rPr>
        <w:t xml:space="preserve">2 + 2 = 4 </w:t>
      </w:r>
      <w:r>
        <w:rPr>
          <w:rStyle w:val="htmlcodes"/>
        </w:rPr>
        <w:t xml:space="preserve">&lt;/math&gt; </w:t>
      </w:r>
      <w:r>
        <w:rPr>
          <w:rStyle w:val="math"/>
        </w:rPr>
        <w:t xml:space="preserve">and </w:t>
      </w:r>
      <w:r>
        <w:rPr>
          <w:rStyle w:val="htmlcodes"/>
        </w:rPr>
        <w:t>&lt;math&gt;</w:t>
      </w:r>
      <w:r>
        <w:rPr>
          <w:rStyle w:val="math"/>
        </w:rPr>
        <w:t xml:space="preserve">2 </w:t>
      </w:r>
      <w:r>
        <w:rPr>
          <w:rStyle w:val="math"/>
        </w:rPr>
        <w:sym w:font="Symbol" w:char="F0B4"/>
      </w:r>
      <w:r>
        <w:rPr>
          <w:rStyle w:val="htmlcodes"/>
        </w:rPr>
        <w:t>&amp;times;</w:t>
      </w:r>
      <w:r>
        <w:rPr>
          <w:rStyle w:val="math"/>
        </w:rPr>
        <w:t xml:space="preserve"> 2 = 4</w:t>
      </w:r>
      <w:r>
        <w:rPr>
          <w:rStyle w:val="htmlcodes"/>
        </w:rPr>
        <w:t>&lt;/math&gt;.</w:t>
      </w:r>
    </w:p>
    <w:p w:rsidR="00B72047" w:rsidRDefault="00B72047">
      <w:pPr>
        <w:pStyle w:val="resumedafterexample"/>
      </w:pPr>
      <w:r>
        <w:rPr>
          <w:rStyle w:val="htmlcodes"/>
        </w:rPr>
        <w:t>&lt;/pre&gt;&lt;p&gt;</w:t>
      </w:r>
      <w:r>
        <w:t xml:space="preserve">The forethought-connection form of </w:t>
      </w:r>
      <w:r>
        <w:rPr>
          <w:rStyle w:val="htmlcodes"/>
        </w:rPr>
        <w:t>&lt;a href=#e17d4&gt;</w:t>
      </w:r>
      <w:r>
        <w:t xml:space="preserve">Example 17.4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name=e17d5&gt;</w:t>
      </w:r>
      <w:r>
        <w:t>17.5)</w:t>
      </w:r>
      <w:r>
        <w:tab/>
        <w:t>li re ge su'i gi pi'i re du li vo</w:t>
      </w:r>
    </w:p>
    <w:p w:rsidR="00B72047" w:rsidRDefault="00B72047">
      <w:pPr>
        <w:pStyle w:val="examplescaled"/>
      </w:pPr>
      <w:r>
        <w:tab/>
        <w:t>The-number two both plus and times two equals the-number four.</w:t>
      </w:r>
    </w:p>
    <w:p w:rsidR="00B72047" w:rsidRDefault="00B72047">
      <w:pPr>
        <w:pStyle w:val="examplescaled"/>
      </w:pPr>
      <w:r>
        <w:tab/>
        <w:t xml:space="preserve">Both </w:t>
      </w:r>
      <w:r>
        <w:rPr>
          <w:rStyle w:val="htmlcodes"/>
        </w:rPr>
        <w:t>&lt;math&gt;</w:t>
      </w:r>
      <w:r>
        <w:rPr>
          <w:rStyle w:val="math"/>
        </w:rPr>
        <w:t xml:space="preserve">2 + 2 = 4 </w:t>
      </w:r>
      <w:r>
        <w:rPr>
          <w:rStyle w:val="htmlcodes"/>
        </w:rPr>
        <w:t>&lt;/math&gt;</w:t>
      </w:r>
      <w:r>
        <w:t>and</w:t>
      </w:r>
      <w:r>
        <w:rPr>
          <w:rStyle w:val="math"/>
        </w:rPr>
        <w:t xml:space="preserve"> </w:t>
      </w:r>
      <w:r>
        <w:rPr>
          <w:rStyle w:val="htmlcodes"/>
        </w:rPr>
        <w:t>&lt;math&gt;</w:t>
      </w:r>
      <w:r>
        <w:rPr>
          <w:rStyle w:val="math"/>
        </w:rPr>
        <w:t xml:space="preserve">2 </w:t>
      </w:r>
      <w:r>
        <w:rPr>
          <w:rStyle w:val="math"/>
        </w:rPr>
        <w:sym w:font="Symbol" w:char="F0B4"/>
      </w:r>
      <w:r>
        <w:rPr>
          <w:rStyle w:val="htmlcodes"/>
        </w:rPr>
        <w:t>&amp;times;</w:t>
      </w:r>
      <w:r>
        <w:rPr>
          <w:rStyle w:val="math"/>
        </w:rPr>
        <w:t xml:space="preserve"> 2 = 4</w:t>
      </w:r>
      <w:r>
        <w:rPr>
          <w:rStyle w:val="htmlcodes"/>
        </w:rPr>
        <w:t>&lt;/math&gt;</w:t>
      </w:r>
      <w:r>
        <w:t>.</w:t>
      </w:r>
    </w:p>
    <w:p w:rsidR="00B72047" w:rsidRDefault="00B72047">
      <w:pPr>
        <w:pStyle w:val="resumedafterexample"/>
      </w:pPr>
      <w:r>
        <w:rPr>
          <w:rStyle w:val="htmlcodes"/>
        </w:rPr>
        <w:t>&lt;/pre&gt;&lt;p&gt;</w:t>
      </w:r>
      <w:r>
        <w:t>Here is a classic example of operand logical connection:</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indexentry"/>
        </w:rPr>
        <w:t>&lt;ex "quadratic formula"&gt;</w:t>
      </w:r>
      <w:r>
        <w:rPr>
          <w:rStyle w:val="indexentry"/>
        </w:rPr>
        <w:fldChar w:fldCharType="begin"/>
      </w:r>
      <w:r>
        <w:instrText>xe "</w:instrText>
      </w:r>
      <w:r>
        <w:rPr>
          <w:rStyle w:val="xeentry"/>
        </w:rPr>
        <w:instrText>quadratic formula: example</w:instrText>
      </w:r>
      <w:r>
        <w:instrText>"</w:instrText>
      </w:r>
      <w:r>
        <w:rPr>
          <w:rStyle w:val="indexentry"/>
        </w:rPr>
        <w:fldChar w:fldCharType="end"/>
      </w:r>
      <w:r>
        <w:rPr>
          <w:rStyle w:val="indexentry"/>
        </w:rPr>
        <w:t>&lt;cx "Polish notation mixed with infix"&gt;</w:t>
      </w:r>
      <w:r>
        <w:rPr>
          <w:rStyle w:val="indexentry"/>
        </w:rPr>
        <w:fldChar w:fldCharType="begin"/>
      </w:r>
      <w:r>
        <w:instrText>xe "</w:instrText>
      </w:r>
      <w:r>
        <w:rPr>
          <w:rStyle w:val="xeentry"/>
        </w:rPr>
        <w:instrText>Polish notation mixed with infix</w:instrText>
      </w:r>
      <w:r>
        <w:instrText>"</w:instrText>
      </w:r>
      <w:r>
        <w:rPr>
          <w:rStyle w:val="indexentry"/>
        </w:rPr>
        <w:fldChar w:fldCharType="end"/>
      </w:r>
      <w:r>
        <w:rPr>
          <w:rStyle w:val="indexentry"/>
        </w:rPr>
        <w:t>&lt;cx "infix notation mixed with Polish"&gt;</w:t>
      </w:r>
      <w:r>
        <w:rPr>
          <w:rStyle w:val="indexentry"/>
        </w:rPr>
        <w:fldChar w:fldCharType="begin"/>
      </w:r>
      <w:r>
        <w:instrText>xe "</w:instrText>
      </w:r>
      <w:r>
        <w:rPr>
          <w:rStyle w:val="xeentry"/>
        </w:rPr>
        <w:instrText>infix notation mixed with Polish</w:instrText>
      </w:r>
      <w:r>
        <w:instrText>"</w:instrText>
      </w:r>
      <w:r>
        <w:rPr>
          <w:rStyle w:val="indexentry"/>
        </w:rPr>
        <w:fldChar w:fldCharType="end"/>
      </w:r>
      <w:r>
        <w:rPr>
          <w:rStyle w:val="htmlcodes"/>
        </w:rPr>
        <w:t>&lt;pre&gt;&lt;a name=e17d6&gt;</w:t>
      </w:r>
      <w:r>
        <w:t>17.6)</w:t>
      </w:r>
      <w:r>
        <w:tab/>
        <w:t>go li .abu bi'epi'i vei xy. te'a re ve'o su'i by. bi'epi'i xy.</w:t>
      </w:r>
    </w:p>
    <w:p w:rsidR="00B72047" w:rsidRDefault="00B72047">
      <w:pPr>
        <w:pStyle w:val="examplescaled"/>
      </w:pPr>
      <w:r>
        <w:tab/>
      </w:r>
      <w:r>
        <w:tab/>
        <w:t>su'i cy. du li no</w:t>
      </w:r>
    </w:p>
    <w:p w:rsidR="00B72047" w:rsidRDefault="00B72047">
      <w:pPr>
        <w:pStyle w:val="examplescaled"/>
      </w:pPr>
      <w:r>
        <w:tab/>
        <w:t>gi li xy. du li vei va'a by. ku'e su'i ja vu'u</w:t>
      </w:r>
    </w:p>
    <w:p w:rsidR="00B72047" w:rsidRDefault="00B72047">
      <w:pPr>
        <w:pStyle w:val="examplescaled"/>
      </w:pPr>
      <w:r>
        <w:tab/>
      </w:r>
      <w:r>
        <w:tab/>
        <w:t>fe'a vei by. bi'ete'a re vu'u vo bi'epi'i .abu bi'epi'i cy. ve'o [ku'e] ve'o</w:t>
      </w:r>
    </w:p>
    <w:p w:rsidR="00B72047" w:rsidRDefault="00B72047">
      <w:pPr>
        <w:pStyle w:val="examplescaled"/>
      </w:pPr>
      <w:r>
        <w:tab/>
      </w:r>
      <w:r>
        <w:tab/>
        <w:t>fe'i re bi'epi'i .abu</w:t>
      </w:r>
    </w:p>
    <w:p w:rsidR="00B72047" w:rsidRDefault="00B72047">
      <w:pPr>
        <w:pStyle w:val="examplescaled"/>
      </w:pPr>
      <w:r>
        <w:tab/>
        <w:t>If-and-only-if the-number “a”-times-( “x” power two ) plus “b”-times-“x”</w:t>
      </w:r>
    </w:p>
    <w:p w:rsidR="00B72047" w:rsidRDefault="00B72047">
      <w:pPr>
        <w:pStyle w:val="examplescaled"/>
      </w:pPr>
      <w:r>
        <w:tab/>
      </w:r>
      <w:r>
        <w:tab/>
        <w:t>plus “c” equals the-number zero</w:t>
      </w:r>
    </w:p>
    <w:p w:rsidR="00B72047" w:rsidRDefault="00B72047">
      <w:pPr>
        <w:pStyle w:val="examplescaled"/>
      </w:pPr>
      <w:r>
        <w:tab/>
        <w:t>then the-number x equals the-number [ the-negation-of( b ) plus or minus</w:t>
      </w:r>
    </w:p>
    <w:p w:rsidR="00B72047" w:rsidRDefault="00B72047">
      <w:pPr>
        <w:pStyle w:val="examplescaled"/>
      </w:pPr>
      <w:r>
        <w:tab/>
      </w:r>
      <w:r>
        <w:tab/>
        <w:t>the-root-of (“b”-power-2 minus four-times-“a”-times-“c” ) ]</w:t>
      </w:r>
    </w:p>
    <w:p w:rsidR="00B72047" w:rsidRDefault="00B72047">
      <w:pPr>
        <w:pStyle w:val="examplescaled"/>
      </w:pPr>
      <w:r>
        <w:tab/>
      </w:r>
      <w:r>
        <w:tab/>
        <w:t>divided-by two-times-“a”.</w:t>
      </w:r>
    </w:p>
    <w:p w:rsidR="00B72047" w:rsidRDefault="00B72047">
      <w:pPr>
        <w:pStyle w:val="examplescaled"/>
      </w:pPr>
      <w:r>
        <w:tab/>
      </w:r>
      <w:r>
        <w:rPr>
          <w:rStyle w:val="math"/>
        </w:rPr>
        <w:t xml:space="preserve">Iff </w:t>
      </w:r>
      <w:r>
        <w:rPr>
          <w:rStyle w:val="htmlcodes"/>
          <w:i/>
          <w:iCs/>
        </w:rPr>
        <w:t>&lt;math&gt;</w:t>
      </w:r>
      <w:r>
        <w:rPr>
          <w:rStyle w:val="math"/>
          <w:i/>
          <w:iCs/>
        </w:rPr>
        <w:t>ax</w:t>
      </w:r>
      <w:r>
        <w:rPr>
          <w:rStyle w:val="htmlcodes"/>
        </w:rPr>
        <w:t>&lt;sup&gt;</w:t>
      </w:r>
      <w:r>
        <w:rPr>
          <w:rStyle w:val="Superscript"/>
        </w:rPr>
        <w:t>2</w:t>
      </w:r>
      <w:r>
        <w:rPr>
          <w:rStyle w:val="htmlcodes"/>
        </w:rPr>
        <w:t>&lt;/sup&gt;</w:t>
      </w:r>
      <w:r>
        <w:rPr>
          <w:rStyle w:val="math"/>
        </w:rPr>
        <w:t xml:space="preserve">+ </w:t>
      </w:r>
      <w:r>
        <w:rPr>
          <w:rStyle w:val="math"/>
          <w:i/>
          <w:iCs/>
        </w:rPr>
        <w:t>bx</w:t>
      </w:r>
      <w:r>
        <w:rPr>
          <w:rStyle w:val="math"/>
        </w:rPr>
        <w:t xml:space="preserve"> + </w:t>
      </w:r>
      <w:r>
        <w:rPr>
          <w:rStyle w:val="math"/>
          <w:i/>
          <w:iCs/>
        </w:rPr>
        <w:t>c</w:t>
      </w:r>
      <w:r>
        <w:rPr>
          <w:rStyle w:val="math"/>
        </w:rPr>
        <w:t xml:space="preserve"> = 0</w:t>
      </w:r>
      <w:r>
        <w:rPr>
          <w:rStyle w:val="htmlcodes"/>
        </w:rPr>
        <w:t>&lt;/math&gt;</w:t>
      </w:r>
      <w:r>
        <w:t>,</w:t>
      </w:r>
    </w:p>
    <w:p w:rsidR="00B72047" w:rsidRDefault="00B72047">
      <w:pPr>
        <w:pStyle w:val="examplescaled"/>
        <w:rPr>
          <w:rStyle w:val="math"/>
        </w:rPr>
      </w:pPr>
      <w:r>
        <w:tab/>
      </w:r>
      <w:r>
        <w:tab/>
        <w:t xml:space="preserve">then </w:t>
      </w:r>
      <w:r>
        <w:rPr>
          <w:rStyle w:val="htmlcodes"/>
        </w:rPr>
        <w:t>&lt;math&gt;</w:t>
      </w:r>
      <w:r>
        <w:rPr>
          <w:rStyle w:val="math"/>
        </w:rPr>
        <w:t>x =</w:t>
      </w:r>
      <w:r>
        <w:rPr>
          <w:rStyle w:val="math"/>
          <w:i/>
          <w:iCs/>
          <w:position w:val="-20"/>
        </w:rPr>
        <w:object w:dxaOrig="1420" w:dyaOrig="600">
          <v:shape id="_x0000_i1043" type="#_x0000_t75" style="width:71.25pt;height:30pt" o:ole="">
            <v:imagedata r:id="rId39" o:title=""/>
          </v:shape>
          <o:OLEObject Type="Embed" ProgID="Equation.3" ShapeID="_x0000_i1043" DrawAspect="Content" ObjectID="_1316276194" r:id="rId40"/>
        </w:object>
      </w:r>
    </w:p>
    <w:p w:rsidR="00B72047" w:rsidRDefault="00B72047">
      <w:pPr>
        <w:pStyle w:val="examplescaled"/>
        <w:rPr>
          <w:rStyle w:val="htmlcodes"/>
        </w:rPr>
      </w:pPr>
      <w:r>
        <w:rPr>
          <w:rStyle w:val="htmlcodes"/>
        </w:rPr>
        <w:t>-b &amp;plusmn; &lt;font face="Symbol"&gt;&amp;#214;&lt;/font&gt;&lt;!–sqrt–&gt;(b&lt;sup&gt;2&lt;/sup&gt;- 4ac)&lt;/math&gt;</w:t>
      </w:r>
    </w:p>
    <w:p w:rsidR="00B72047" w:rsidRDefault="00B72047">
      <w:pPr>
        <w:pStyle w:val="examplescaled"/>
        <w:rPr>
          <w:rStyle w:val="htmlcodes"/>
        </w:rPr>
      </w:pPr>
      <w:r>
        <w:rPr>
          <w:rStyle w:val="htmlcodes"/>
        </w:rPr>
        <w:tab/>
      </w:r>
      <w:r>
        <w:rPr>
          <w:rStyle w:val="htmlcodes"/>
        </w:rPr>
        <w:tab/>
      </w:r>
      <w:r>
        <w:rPr>
          <w:rStyle w:val="htmlcodes"/>
        </w:rPr>
        <w:tab/>
        <w:t>———————–</w:t>
      </w:r>
    </w:p>
    <w:p w:rsidR="00B72047" w:rsidRDefault="00B72047">
      <w:pPr>
        <w:pStyle w:val="resumedafterexample"/>
      </w:pPr>
      <w:r>
        <w:rPr>
          <w:rStyle w:val="htmlcodes"/>
        </w:rPr>
        <w:t>&lt;/pre&gt;</w:t>
      </w:r>
      <w:r>
        <w:rPr>
          <w:rStyle w:val="indexentry"/>
        </w:rPr>
        <w:t>&lt;cx "Polish notation mixed with infix, example"&gt;</w:t>
      </w:r>
      <w:r>
        <w:rPr>
          <w:rStyle w:val="indexentry"/>
        </w:rPr>
        <w:fldChar w:fldCharType="begin"/>
      </w:r>
      <w:r>
        <w:instrText>xe "</w:instrText>
      </w:r>
      <w:r>
        <w:rPr>
          <w:rStyle w:val="xeentry"/>
        </w:rPr>
        <w:instrText>Polish notation mixed with infix: example</w:instrText>
      </w:r>
      <w:r>
        <w:instrText>"</w:instrText>
      </w:r>
      <w:r>
        <w:rPr>
          <w:rStyle w:val="indexentry"/>
        </w:rPr>
        <w:fldChar w:fldCharType="end"/>
      </w:r>
      <w:r>
        <w:rPr>
          <w:rStyle w:val="indexentry"/>
        </w:rPr>
        <w:t>&lt;cx "infix notation mixed with Polish, example"&gt;</w:t>
      </w:r>
      <w:r>
        <w:rPr>
          <w:rStyle w:val="indexentry"/>
        </w:rPr>
        <w:fldChar w:fldCharType="begin"/>
      </w:r>
      <w:r>
        <w:instrText>xe "</w:instrText>
      </w:r>
      <w:r>
        <w:rPr>
          <w:rStyle w:val="xeentry"/>
        </w:rPr>
        <w:instrText>infix notation mixed with Polish: example</w:instrText>
      </w:r>
      <w:r>
        <w:instrText>"</w:instrText>
      </w:r>
      <w:r>
        <w:rPr>
          <w:rStyle w:val="indexentry"/>
        </w:rPr>
        <w:fldChar w:fldCharType="end"/>
      </w:r>
      <w:r>
        <w:t xml:space="preserve">Note the mixture of styles in </w:t>
      </w:r>
      <w:r>
        <w:rPr>
          <w:rStyle w:val="htmlcodes"/>
        </w:rPr>
        <w:t>&lt;a href=#e17d6&gt;</w:t>
      </w:r>
      <w:r>
        <w:t>Example 17.6</w:t>
      </w:r>
      <w:r>
        <w:rPr>
          <w:rStyle w:val="htmlcodes"/>
        </w:rPr>
        <w:t>&lt;/a&gt;</w:t>
      </w:r>
      <w:r>
        <w:t>: the negation of b and the</w:t>
      </w:r>
      <w:r>
        <w:rPr>
          <w:rStyle w:val="deletedparamark"/>
        </w:rPr>
        <w:t xml:space="preserve"> </w:t>
      </w:r>
      <w:r>
        <w:t>square root are re</w:t>
      </w:r>
      <w:r>
        <w:t>p</w:t>
      </w:r>
      <w:r>
        <w:softHyphen/>
        <w:t>resented by forethought and most of the operator</w:t>
      </w:r>
      <w:r>
        <w:rPr>
          <w:rStyle w:val="deletedparamark"/>
        </w:rPr>
        <w:t xml:space="preserve"> </w:t>
      </w:r>
      <w:r>
        <w:t>precedence by prefixed “bi'e”, but e</w:t>
      </w:r>
      <w:r>
        <w:t>x</w:t>
      </w:r>
      <w:r>
        <w:softHyphen/>
        <w:t>plicit parentheses had to be added to</w:t>
      </w:r>
      <w:r>
        <w:rPr>
          <w:rStyle w:val="deletedparamark"/>
        </w:rPr>
        <w:t xml:space="preserve"> </w:t>
      </w:r>
      <w:r>
        <w:t>group the numerator properly. In addition, the square root parentheses</w:t>
      </w:r>
      <w:r>
        <w:rPr>
          <w:rStyle w:val="deletedparamark"/>
        </w:rPr>
        <w:t xml:space="preserve"> </w:t>
      </w:r>
      <w:r>
        <w:t>cannot be removed here in favor of simple “fe'a” and “ku'e” bracketing,</w:t>
      </w:r>
      <w:r>
        <w:rPr>
          <w:rStyle w:val="deletedparamark"/>
        </w:rPr>
        <w:t xml:space="preserve"> </w:t>
      </w:r>
      <w:r>
        <w:t xml:space="preserve">because infix operators are present in the operand. Getting </w:t>
      </w:r>
      <w:r>
        <w:rPr>
          <w:rStyle w:val="htmlcodes"/>
        </w:rPr>
        <w:t>&lt;a href=#e17d6&gt;</w:t>
      </w:r>
      <w:r>
        <w:t xml:space="preserve">Example 17.6 </w:t>
      </w:r>
      <w:r>
        <w:rPr>
          <w:rStyle w:val="htmlcodes"/>
        </w:rPr>
        <w:t>&lt;/a&gt;</w:t>
      </w:r>
      <w:r>
        <w:t>to parse pe</w:t>
      </w:r>
      <w:r>
        <w:t>r</w:t>
      </w:r>
      <w:r>
        <w:softHyphen/>
        <w:t>fectly using the current parser took several tries: a more</w:t>
      </w:r>
      <w:r>
        <w:rPr>
          <w:rStyle w:val="deletedparamark"/>
        </w:rPr>
        <w:t xml:space="preserve"> </w:t>
      </w:r>
      <w:r>
        <w:t>relaxed style would dispense with most of the “bi'e” cmavo and just let the</w:t>
      </w:r>
      <w:r>
        <w:rPr>
          <w:rStyle w:val="deletedparamark"/>
        </w:rPr>
        <w:t xml:space="preserve"> </w:t>
      </w:r>
      <w:r>
        <w:t>standard precedence rules be understood.</w:t>
      </w:r>
    </w:p>
    <w:p w:rsidR="00B72047" w:rsidRDefault="00B72047">
      <w:pPr>
        <w:rPr>
          <w:rStyle w:val="htmlparacode"/>
        </w:rPr>
      </w:pPr>
      <w:r>
        <w:rPr>
          <w:rStyle w:val="htmlparacode"/>
        </w:rPr>
        <w:t>&lt;p&gt;</w:t>
      </w:r>
    </w:p>
    <w:p w:rsidR="00B72047" w:rsidRDefault="00B72047">
      <w:pPr>
        <w:pStyle w:val="normalparagraph"/>
      </w:pP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&lt;lx "BIhI"&gt;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&lt;cx "non-logical connection of operands"&gt;</w:t>
      </w:r>
      <w:r>
        <w:rPr>
          <w:rStyle w:val="indexentry"/>
        </w:rPr>
        <w:fldChar w:fldCharType="begin"/>
      </w:r>
      <w:r>
        <w:instrText>xe "</w:instrText>
      </w:r>
      <w:r>
        <w:rPr>
          <w:rStyle w:val="xeentry"/>
        </w:rPr>
        <w:instrText>non-logical connection: of operands</w:instrText>
      </w:r>
      <w:r>
        <w:instrText>"</w:instrText>
      </w:r>
      <w:r>
        <w:rPr>
          <w:rStyle w:val="indexentry"/>
        </w:rPr>
        <w:fldChar w:fldCharType="end"/>
      </w:r>
      <w:r>
        <w:rPr>
          <w:rStyle w:val="indexentry"/>
        </w:rPr>
        <w:t>&lt;cx "non-logical connection of operators"&gt;</w:t>
      </w:r>
      <w:r>
        <w:rPr>
          <w:rStyle w:val="indexentry"/>
        </w:rPr>
        <w:fldChar w:fldCharType="begin"/>
      </w:r>
      <w:r>
        <w:instrText>xe "</w:instrText>
      </w:r>
      <w:r>
        <w:rPr>
          <w:rStyle w:val="xeentry"/>
        </w:rPr>
        <w:instrText>non-logical connection: of operators</w:instrText>
      </w:r>
      <w:r>
        <w:instrText>"</w:instrText>
      </w:r>
      <w:r>
        <w:rPr>
          <w:rStyle w:val="indexentry"/>
        </w:rPr>
        <w:fldChar w:fldCharType="end"/>
      </w:r>
      <w:r>
        <w:t>Non-logical connection with JOI and BIhI is also permitted between operands</w:t>
      </w:r>
      <w:r>
        <w:rPr>
          <w:rStyle w:val="deletedparamark"/>
        </w:rPr>
        <w:t xml:space="preserve"> </w:t>
      </w:r>
      <w:r>
        <w:t>and between operators. One use for this construct is to connect operands</w:t>
      </w:r>
      <w:r>
        <w:rPr>
          <w:rStyle w:val="deletedparamark"/>
        </w:rPr>
        <w:t xml:space="preserve"> </w:t>
      </w:r>
      <w:r>
        <w:t>with “bi'o” to create intervals: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name=e17d7&gt;</w:t>
      </w:r>
      <w:r>
        <w:t>17.7)</w:t>
      </w:r>
      <w:r>
        <w:tab/>
        <w:t>li no ga'o bi'o ke'i pa</w:t>
      </w:r>
    </w:p>
    <w:p w:rsidR="00B72047" w:rsidRDefault="00B72047">
      <w:pPr>
        <w:pStyle w:val="examplescaled"/>
      </w:pPr>
      <w:r>
        <w:tab/>
        <w:t>the-number zero (inclusive) from-to (exclusive) one</w:t>
      </w:r>
    </w:p>
    <w:p w:rsidR="00B72047" w:rsidRDefault="00B72047">
      <w:pPr>
        <w:pStyle w:val="examplescaled"/>
        <w:rPr>
          <w:rStyle w:val="math"/>
        </w:rPr>
      </w:pPr>
      <w:r>
        <w:rPr>
          <w:rStyle w:val="math"/>
        </w:rPr>
        <w:tab/>
      </w:r>
      <w:r>
        <w:rPr>
          <w:rStyle w:val="htmlcodes"/>
        </w:rPr>
        <w:t>&lt;math&gt;</w:t>
      </w:r>
      <w:r>
        <w:rPr>
          <w:rStyle w:val="math"/>
        </w:rPr>
        <w:t>[0,1)</w:t>
      </w:r>
      <w:r>
        <w:rPr>
          <w:rStyle w:val="htmlcodes"/>
        </w:rPr>
        <w:t>&lt;/math&gt;</w:t>
      </w:r>
    </w:p>
    <w:p w:rsidR="00B72047" w:rsidRDefault="00B72047">
      <w:pPr>
        <w:pStyle w:val="examplescaled"/>
      </w:pPr>
      <w:r>
        <w:tab/>
        <w:t>the numbers from zero to one, including zero but not including one</w:t>
      </w:r>
    </w:p>
    <w:p w:rsidR="00B72047" w:rsidRDefault="00B72047">
      <w:pPr>
        <w:pStyle w:val="normalafterexample"/>
      </w:pPr>
      <w:r>
        <w:rPr>
          <w:rStyle w:val="htmlcodes"/>
        </w:rPr>
        <w:t>&lt;/pre&gt;</w:t>
      </w:r>
      <w:r>
        <w:rPr>
          <w:rStyle w:val="indexentry"/>
        </w:rPr>
        <w:t>&lt;lx "mi'i"&gt;</w:t>
      </w:r>
      <w:r>
        <w:rPr>
          <w:rStyle w:val="indexentry"/>
        </w:rPr>
        <w:fldChar w:fldCharType="begin"/>
      </w:r>
      <w:r>
        <w:instrText>xe "</w:instrText>
      </w:r>
      <w:r>
        <w:rPr>
          <w:rStyle w:val="xeentry"/>
        </w:rPr>
        <w:instrText>mi'i</w:instrText>
      </w:r>
      <w:r>
        <w:instrText>"</w:instrText>
      </w:r>
      <w:r>
        <w:rPr>
          <w:rStyle w:val="indexentry"/>
        </w:rPr>
        <w:fldChar w:fldCharType="end"/>
      </w:r>
      <w:r>
        <w:t>Intervals defined by a midpoint and range rather than beginning and end</w:t>
      </w:r>
      <w:r>
        <w:rPr>
          <w:rStyle w:val="deletedparamark"/>
        </w:rPr>
        <w:t xml:space="preserve"> </w:t>
      </w:r>
      <w:r>
        <w:t>points can be expressed by “mi'i”:</w:t>
      </w:r>
    </w:p>
    <w:p w:rsidR="00B72047" w:rsidRDefault="00B72047">
      <w:pPr>
        <w:rPr>
          <w:rStyle w:val="htmlparacode"/>
        </w:rPr>
      </w:pPr>
      <w:r>
        <w:rPr>
          <w:rStyle w:val="htmlparacode"/>
        </w:rPr>
        <w:t>&lt;p&gt;</w:t>
      </w:r>
    </w:p>
    <w:p w:rsidR="00B72047" w:rsidRDefault="00B72047">
      <w:pPr>
        <w:pStyle w:val="examplescaledpre"/>
      </w:pPr>
      <w:r>
        <w:rPr>
          <w:rStyle w:val="indexentry"/>
        </w:rPr>
        <w:t>&lt;cx "open interval, expressed with mi'i"&gt;</w:t>
      </w:r>
      <w:r>
        <w:rPr>
          <w:rStyle w:val="indexentry"/>
        </w:rPr>
        <w:fldChar w:fldCharType="begin"/>
      </w:r>
      <w:r>
        <w:instrText>xe "</w:instrText>
      </w:r>
      <w:r>
        <w:rPr>
          <w:rStyle w:val="xeentry"/>
        </w:rPr>
        <w:instrText>open interval: expressed with mi'i</w:instrText>
      </w:r>
      <w:r>
        <w:instrText>"</w:instrText>
      </w:r>
      <w:r>
        <w:rPr>
          <w:rStyle w:val="indexentry"/>
        </w:rPr>
        <w:fldChar w:fldCharType="end"/>
      </w:r>
      <w:r>
        <w:rPr>
          <w:rStyle w:val="indexentry"/>
        </w:rPr>
        <w:t>&lt;cx "closed interval, expressed with mi'i"&gt;</w:t>
      </w:r>
      <w:r>
        <w:rPr>
          <w:rStyle w:val="indexentry"/>
        </w:rPr>
        <w:fldChar w:fldCharType="begin"/>
      </w:r>
      <w:r>
        <w:instrText>xe "</w:instrText>
      </w:r>
      <w:r>
        <w:rPr>
          <w:rStyle w:val="xeentry"/>
        </w:rPr>
        <w:instrText>closed interval: expressed with mi'i</w:instrText>
      </w:r>
      <w:r>
        <w:instrText>"</w:instrText>
      </w:r>
      <w:r>
        <w:rPr>
          <w:rStyle w:val="indexentry"/>
        </w:rPr>
        <w:fldChar w:fldCharType="end"/>
      </w:r>
      <w:r>
        <w:rPr>
          <w:rStyle w:val="htmlcodes"/>
        </w:rPr>
        <w:t>&lt;pre&gt;&lt;a name=e17d8&gt;</w:t>
      </w:r>
      <w:r>
        <w:t>17.8)</w:t>
      </w:r>
      <w:r>
        <w:tab/>
        <w:t>li pimu ga'o mi'i ke'i pimu</w:t>
      </w:r>
    </w:p>
    <w:p w:rsidR="00B72047" w:rsidRDefault="00B72047">
      <w:pPr>
        <w:pStyle w:val="examplescaled"/>
      </w:pPr>
      <w:r>
        <w:tab/>
        <w:t xml:space="preserve">the-number </w:t>
      </w:r>
      <w:r>
        <w:rPr>
          <w:rStyle w:val="math"/>
        </w:rPr>
        <w:t xml:space="preserve">0.5 </w:t>
      </w:r>
      <w:r>
        <w:rPr>
          <w:rStyle w:val="math"/>
        </w:rPr>
        <w:sym w:font="Symbol" w:char="F0B1"/>
      </w:r>
      <w:r>
        <w:rPr>
          <w:rStyle w:val="htmlcodes"/>
        </w:rPr>
        <w:t>plus-or-minus</w:t>
      </w:r>
      <w:r>
        <w:rPr>
          <w:rStyle w:val="math"/>
        </w:rPr>
        <w:t xml:space="preserve"> 0.5</w:t>
      </w:r>
    </w:p>
    <w:p w:rsidR="00B72047" w:rsidRDefault="00B72047">
      <w:pPr>
        <w:pStyle w:val="resumedafterexample"/>
      </w:pPr>
      <w:r>
        <w:rPr>
          <w:rStyle w:val="htmlcodes"/>
        </w:rPr>
        <w:t>&lt;/pre&gt;</w:t>
      </w:r>
      <w:r>
        <w:t xml:space="preserve">which expresses the same interval as </w:t>
      </w:r>
      <w:r>
        <w:rPr>
          <w:rStyle w:val="htmlcodes"/>
        </w:rPr>
        <w:t>&lt;a href=#e17d7&gt;</w:t>
      </w:r>
      <w:r>
        <w:t>Example 17.7</w:t>
      </w:r>
      <w:r>
        <w:rPr>
          <w:rStyle w:val="htmlcodes"/>
        </w:rPr>
        <w:t>&lt;/a&gt;</w:t>
      </w:r>
      <w:r>
        <w:t>. Note that the “ga'o”</w:t>
      </w:r>
      <w:r>
        <w:rPr>
          <w:rStyle w:val="deletedparamark"/>
        </w:rPr>
        <w:t xml:space="preserve"> </w:t>
      </w:r>
      <w:r>
        <w:t>and “ke'i” still refer to the endpoints, although these are now implied</w:t>
      </w:r>
      <w:r>
        <w:rPr>
          <w:rStyle w:val="deletedparamark"/>
        </w:rPr>
        <w:t xml:space="preserve"> </w:t>
      </w:r>
      <w:r>
        <w:t>rather than expressed. Another way of expressing the same thing:</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name=e17d9&gt;</w:t>
      </w:r>
      <w:r>
        <w:t>17.9)</w:t>
      </w:r>
      <w:r>
        <w:tab/>
        <w:t>li pimu su'i ni'upimu bi'o ma'upimu</w:t>
      </w:r>
    </w:p>
    <w:p w:rsidR="00B72047" w:rsidRDefault="00B72047">
      <w:pPr>
        <w:pStyle w:val="examplescaled"/>
      </w:pPr>
      <w:r>
        <w:tab/>
        <w:t>the-number 0.5 plus [-0.5 from-to +0.5]</w:t>
      </w:r>
    </w:p>
    <w:p w:rsidR="00B72047" w:rsidRDefault="00B72047">
      <w:pPr>
        <w:pStyle w:val="resumedafterexample"/>
      </w:pPr>
      <w:r>
        <w:rPr>
          <w:rStyle w:val="htmlcodes"/>
        </w:rPr>
        <w:t>&lt;/pre&gt;</w:t>
      </w:r>
      <w:r>
        <w:rPr>
          <w:rStyle w:val="indexentry"/>
        </w:rPr>
        <w:t>&lt;cx "connection of operands, precedence over operator"&gt;</w:t>
      </w:r>
      <w:r>
        <w:rPr>
          <w:rStyle w:val="indexentry"/>
        </w:rPr>
        <w:fldChar w:fldCharType="begin"/>
      </w:r>
      <w:r>
        <w:instrText>xe "</w:instrText>
      </w:r>
      <w:r>
        <w:rPr>
          <w:rStyle w:val="xeentry"/>
        </w:rPr>
        <w:instrText>connection of operands: precedence over operator</w:instrText>
      </w:r>
      <w:r>
        <w:instrText>"</w:instrText>
      </w:r>
      <w:r>
        <w:rPr>
          <w:rStyle w:val="indexentry"/>
        </w:rPr>
        <w:fldChar w:fldCharType="end"/>
      </w:r>
      <w:r>
        <w:t>Here we have the sum of a number and an interval, which produces another</w:t>
      </w:r>
      <w:r>
        <w:rPr>
          <w:rStyle w:val="deletedparamark"/>
        </w:rPr>
        <w:t xml:space="preserve"> </w:t>
      </w:r>
      <w:r>
        <w:t>interval ce</w:t>
      </w:r>
      <w:r>
        <w:t>n</w:t>
      </w:r>
      <w:r>
        <w:softHyphen/>
        <w:t xml:space="preserve">tered on the number. As </w:t>
      </w:r>
      <w:r>
        <w:rPr>
          <w:rStyle w:val="htmlcodes"/>
        </w:rPr>
        <w:t>&lt;a href=#e17d9&gt;</w:t>
      </w:r>
      <w:r>
        <w:t xml:space="preserve">Example 17.9 </w:t>
      </w:r>
      <w:r>
        <w:rPr>
          <w:rStyle w:val="htmlcodes"/>
        </w:rPr>
        <w:t>&lt;/a&gt;</w:t>
      </w:r>
      <w:r>
        <w:t>shows, non-logical (or</w:t>
      </w:r>
      <w:r>
        <w:rPr>
          <w:rStyle w:val="deletedparamark"/>
        </w:rPr>
        <w:t xml:space="preserve"> </w:t>
      </w:r>
      <w:r>
        <w:t>logical) connection of o</w:t>
      </w:r>
      <w:r>
        <w:t>p</w:t>
      </w:r>
      <w:r>
        <w:softHyphen/>
        <w:t>erands has higher precedence than any mekso</w:t>
      </w:r>
      <w:r>
        <w:rPr>
          <w:rStyle w:val="deletedparamark"/>
        </w:rPr>
        <w:t xml:space="preserve"> </w:t>
      </w:r>
      <w:r>
        <w:t>operator.</w:t>
      </w:r>
    </w:p>
    <w:p w:rsidR="00B72047" w:rsidRDefault="00B72047">
      <w:pPr>
        <w:rPr>
          <w:rStyle w:val="htmlparacode"/>
        </w:rPr>
      </w:pPr>
      <w:r>
        <w:rPr>
          <w:rStyle w:val="htmlparacode"/>
        </w:rPr>
        <w:t>&lt;p&gt;</w:t>
      </w:r>
    </w:p>
    <w:p w:rsidR="00B72047" w:rsidRDefault="00B72047">
      <w:pPr>
        <w:pStyle w:val="normalparagraph"/>
      </w:pPr>
      <w:r>
        <w:rPr>
          <w:rStyle w:val="indexentry"/>
        </w:rPr>
        <w:t>&lt;cx "compound subscript"&gt;</w:t>
      </w:r>
      <w:r>
        <w:rPr>
          <w:rStyle w:val="indexentry"/>
        </w:rPr>
        <w:fldChar w:fldCharType="begin"/>
      </w:r>
      <w:r>
        <w:instrText>xe "</w:instrText>
      </w:r>
      <w:r>
        <w:rPr>
          <w:rStyle w:val="xeentry"/>
        </w:rPr>
        <w:instrText>compound subscript</w:instrText>
      </w:r>
      <w:r>
        <w:instrText>"</w:instrText>
      </w:r>
      <w:r>
        <w:rPr>
          <w:rStyle w:val="indexentry"/>
        </w:rPr>
        <w:fldChar w:fldCharType="end"/>
      </w:r>
      <w:r>
        <w:rPr>
          <w:rStyle w:val="indexentry"/>
        </w:rPr>
        <w:t>&lt;cx "subscript, multiple for same base word"&gt;</w:t>
      </w:r>
      <w:r>
        <w:rPr>
          <w:rStyle w:val="indexentry"/>
        </w:rPr>
        <w:fldChar w:fldCharType="begin"/>
      </w:r>
      <w:r>
        <w:instrText>xe "</w:instrText>
      </w:r>
      <w:r>
        <w:rPr>
          <w:rStyle w:val="xeentry"/>
        </w:rPr>
        <w:instrText>subscripts: multiple for same base word</w:instrText>
      </w:r>
      <w:r>
        <w:instrText>"</w:instrText>
      </w:r>
      <w:r>
        <w:rPr>
          <w:rStyle w:val="indexentry"/>
        </w:rPr>
        <w:fldChar w:fldCharType="end"/>
      </w:r>
      <w:r>
        <w:t>You can also combine two operands with “ce'o”, the sequence connective of</w:t>
      </w:r>
      <w:r>
        <w:rPr>
          <w:rStyle w:val="deletedparamark"/>
        </w:rPr>
        <w:t xml:space="preserve"> </w:t>
      </w:r>
      <w:r>
        <w:t>selma'o JOI, to make a compound subscript:</w:t>
      </w:r>
    </w:p>
    <w:p w:rsidR="00B72047" w:rsidRDefault="00B72047">
      <w:pPr>
        <w:rPr>
          <w:rStyle w:val="htmlparacode"/>
        </w:rPr>
      </w:pPr>
      <w:r>
        <w:rPr>
          <w:rStyle w:val="htmlparacode"/>
        </w:rPr>
        <w:t>&lt;p&gt;</w:t>
      </w:r>
    </w:p>
    <w:p w:rsidR="00B72047" w:rsidRDefault="00B72047">
      <w:pPr>
        <w:pStyle w:val="examplescaledpre"/>
      </w:pPr>
      <w:r>
        <w:rPr>
          <w:rStyle w:val="indexentry"/>
        </w:rPr>
        <w:t>&lt;ex "x{b,d}"&gt;</w:t>
      </w:r>
      <w:r>
        <w:rPr>
          <w:rStyle w:val="indexentry"/>
        </w:rPr>
        <w:fldChar w:fldCharType="begin"/>
      </w:r>
      <w:r>
        <w:instrText>xe "</w:instrText>
      </w:r>
      <w:r>
        <w:rPr>
          <w:rStyle w:val="xeentry"/>
        </w:rPr>
        <w:instrText>x{b:d}, example</w:instrText>
      </w:r>
      <w:r>
        <w:instrText>"</w:instrText>
      </w:r>
      <w:r>
        <w:rPr>
          <w:rStyle w:val="indexentry"/>
        </w:rPr>
        <w:fldChar w:fldCharType="end"/>
      </w:r>
      <w:r>
        <w:rPr>
          <w:rStyle w:val="htmlcodes"/>
        </w:rPr>
        <w:t>&lt;pre&gt;&lt;a name=e17d10&gt;</w:t>
      </w:r>
      <w:r>
        <w:t>17.10)</w:t>
      </w:r>
      <w:r>
        <w:tab/>
        <w:t>xy. xi vei by. ce'o dy. [ve'o]</w:t>
      </w:r>
    </w:p>
    <w:p w:rsidR="00B72047" w:rsidRDefault="00B72047">
      <w:pPr>
        <w:pStyle w:val="examplescaled"/>
      </w:pPr>
      <w:r>
        <w:tab/>
        <w:t>“x” sub (“b” sequence “d” )</w:t>
      </w:r>
    </w:p>
    <w:p w:rsidR="00B72047" w:rsidRDefault="00B72047">
      <w:pPr>
        <w:pStyle w:val="examplescaled"/>
        <w:rPr>
          <w:rStyle w:val="math"/>
          <w:i/>
          <w:iCs/>
        </w:rPr>
      </w:pPr>
      <w:r>
        <w:rPr>
          <w:rStyle w:val="math"/>
        </w:rPr>
        <w:tab/>
      </w:r>
      <w:r>
        <w:rPr>
          <w:rStyle w:val="htmlcodes"/>
        </w:rPr>
        <w:t>&lt;math&gt;</w:t>
      </w:r>
      <w:r>
        <w:rPr>
          <w:rStyle w:val="math"/>
        </w:rPr>
        <w:t>x</w:t>
      </w:r>
      <w:r>
        <w:rPr>
          <w:rStyle w:val="htmlcodes"/>
          <w:i/>
          <w:iCs/>
        </w:rPr>
        <w:t>&lt;sub&gt;</w:t>
      </w:r>
      <w:r>
        <w:rPr>
          <w:rStyle w:val="subscript"/>
          <w:i/>
          <w:iCs/>
        </w:rPr>
        <w:t>b,d</w:t>
      </w:r>
      <w:r>
        <w:rPr>
          <w:rStyle w:val="htmlcodes"/>
          <w:i/>
          <w:iCs/>
        </w:rPr>
        <w:t>&lt;/math&gt;</w:t>
      </w:r>
    </w:p>
    <w:p w:rsidR="00B72047" w:rsidRDefault="00B72047">
      <w:pPr>
        <w:pStyle w:val="Heading3"/>
        <w:rPr>
          <w:rStyle w:val="Heading3Text"/>
        </w:rPr>
      </w:pPr>
      <w:r>
        <w:rPr>
          <w:rStyle w:val="htmlcodes"/>
        </w:rPr>
        <w:t>&lt;/pre&gt;&lt;a name=s18&gt;&lt;h3&gt;</w:t>
      </w:r>
      <w:bookmarkStart w:id="513" w:name="_Toc398970750"/>
      <w:r>
        <w:rPr>
          <w:rStyle w:val="Heading3Text"/>
        </w:rPr>
        <w:t>Using Lojban resources within mekso</w:t>
      </w:r>
      <w:bookmarkEnd w:id="513"/>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na'u</w:t>
      </w:r>
      <w:r>
        <w:tab/>
        <w:t>NAhU</w:t>
      </w:r>
      <w:r>
        <w:tab/>
        <w:t>selbri to operator</w:t>
      </w:r>
    </w:p>
    <w:p w:rsidR="00B72047" w:rsidRDefault="00B72047">
      <w:pPr>
        <w:pStyle w:val="examplescaled"/>
      </w:pPr>
      <w:r>
        <w:tab/>
        <w:t>ni'e</w:t>
      </w:r>
      <w:r>
        <w:tab/>
        <w:t>NIhE</w:t>
      </w:r>
      <w:r>
        <w:tab/>
        <w:t>selbri to operand</w:t>
      </w:r>
    </w:p>
    <w:p w:rsidR="00B72047" w:rsidRDefault="00B72047">
      <w:pPr>
        <w:pStyle w:val="examplescaled"/>
      </w:pPr>
      <w:r>
        <w:tab/>
        <w:t>mo'e</w:t>
      </w:r>
      <w:r>
        <w:tab/>
        <w:t>MOhE</w:t>
      </w:r>
      <w:r>
        <w:tab/>
        <w:t>sumti to operand</w:t>
      </w:r>
    </w:p>
    <w:p w:rsidR="00B72047" w:rsidRDefault="00B72047">
      <w:pPr>
        <w:pStyle w:val="examplescaled"/>
      </w:pPr>
      <w:r>
        <w:tab/>
        <w:t>te'u</w:t>
      </w:r>
      <w:r>
        <w:tab/>
        <w:t>TEhU</w:t>
      </w:r>
      <w:r>
        <w:tab/>
        <w:t>terminator for all three</w:t>
      </w:r>
    </w:p>
    <w:p w:rsidR="00B72047" w:rsidRDefault="00B72047">
      <w:pPr>
        <w:pStyle w:val="normalafterexample"/>
      </w:pPr>
      <w:r>
        <w:rPr>
          <w:rStyle w:val="htmlcodes"/>
        </w:rPr>
        <w:t>&lt;/pre&gt;</w:t>
      </w:r>
      <w:r>
        <w:rPr>
          <w:rStyle w:val="indexentry"/>
        </w:rPr>
        <w:t>&lt;lx "te'u"&gt;</w:t>
      </w:r>
      <w:r>
        <w:rPr>
          <w:rStyle w:val="indexentry"/>
        </w:rPr>
        <w:fldChar w:fldCharType="begin"/>
      </w:r>
      <w:r>
        <w:instrText>xe "</w:instrText>
      </w:r>
      <w:r>
        <w:rPr>
          <w:rStyle w:val="xeentry"/>
        </w:rPr>
        <w:instrText>te'u</w:instrText>
      </w:r>
      <w:r>
        <w:instrText>"</w:instrText>
      </w:r>
      <w:r>
        <w:rPr>
          <w:rStyle w:val="indexentry"/>
        </w:rPr>
        <w:fldChar w:fldCharType="end"/>
      </w:r>
      <w:r>
        <w:rPr>
          <w:rStyle w:val="indexentry"/>
        </w:rPr>
        <w:t>&lt;cx "na'u, terminator for"&gt;</w:t>
      </w:r>
      <w:r>
        <w:rPr>
          <w:rStyle w:val="indexentry"/>
        </w:rPr>
        <w:fldChar w:fldCharType="begin"/>
      </w:r>
      <w:r>
        <w:instrText>xe "</w:instrText>
      </w:r>
      <w:r>
        <w:rPr>
          <w:rStyle w:val="xeentry"/>
        </w:rPr>
        <w:instrText>na'u: terminator for</w:instrText>
      </w:r>
      <w:r>
        <w:instrText>"</w:instrText>
      </w:r>
      <w:r>
        <w:rPr>
          <w:rStyle w:val="indexentry"/>
        </w:rPr>
        <w:fldChar w:fldCharType="end"/>
      </w:r>
      <w:r>
        <w:rPr>
          <w:rStyle w:val="indexentry"/>
        </w:rPr>
        <w:t>&lt;cx "ni'e, terminator for"&gt;</w:t>
      </w:r>
      <w:r>
        <w:rPr>
          <w:rStyle w:val="indexentry"/>
        </w:rPr>
        <w:fldChar w:fldCharType="begin"/>
      </w:r>
      <w:r>
        <w:instrText>xe "</w:instrText>
      </w:r>
      <w:r>
        <w:rPr>
          <w:rStyle w:val="xeentry"/>
        </w:rPr>
        <w:instrText>ni'e: terminator for</w:instrText>
      </w:r>
      <w:r>
        <w:instrText>"</w:instrText>
      </w:r>
      <w:r>
        <w:rPr>
          <w:rStyle w:val="indexentry"/>
        </w:rPr>
        <w:fldChar w:fldCharType="end"/>
      </w:r>
      <w:r>
        <w:rPr>
          <w:rStyle w:val="indexentry"/>
        </w:rPr>
        <w:t>&lt;cx "mo'e, terminator for"&gt;</w:t>
      </w:r>
      <w:r>
        <w:rPr>
          <w:rStyle w:val="indexentry"/>
        </w:rPr>
        <w:fldChar w:fldCharType="begin"/>
      </w:r>
      <w:r>
        <w:instrText>xe "</w:instrText>
      </w:r>
      <w:r>
        <w:rPr>
          <w:rStyle w:val="xeentry"/>
        </w:rPr>
        <w:instrText>mo'e: terminator for</w:instrText>
      </w:r>
      <w:r>
        <w:instrText>"</w:instrText>
      </w:r>
      <w:r>
        <w:rPr>
          <w:rStyle w:val="indexentry"/>
        </w:rPr>
        <w:fldChar w:fldCharType="end"/>
      </w:r>
      <w:r>
        <w:t>One of the mekso design goals requires the ability to make use of Lojban's</w:t>
      </w:r>
      <w:r>
        <w:rPr>
          <w:rStyle w:val="deletedparamark"/>
        </w:rPr>
        <w:t xml:space="preserve"> </w:t>
      </w:r>
      <w:r>
        <w:t>vo</w:t>
      </w:r>
      <w:r>
        <w:softHyphen/>
        <w:t>cabu</w:t>
      </w:r>
      <w:r>
        <w:softHyphen/>
        <w:t>lary resources within mekso to extend the built-in cmavo for</w:t>
      </w:r>
      <w:r>
        <w:rPr>
          <w:rStyle w:val="deletedparamark"/>
        </w:rPr>
        <w:t xml:space="preserve"> </w:t>
      </w:r>
      <w:r>
        <w:t>operands and opera</w:t>
      </w:r>
      <w:r>
        <w:softHyphen/>
        <w:t>tors. There are three relevant constructs: all three</w:t>
      </w:r>
      <w:r>
        <w:rPr>
          <w:rStyle w:val="deletedparamark"/>
        </w:rPr>
        <w:t xml:space="preserve"> </w:t>
      </w:r>
      <w:r>
        <w:t>share the elidable terminator “te'u” (which is also used to terminate</w:t>
      </w:r>
      <w:r>
        <w:rPr>
          <w:rStyle w:val="deletedparamark"/>
        </w:rPr>
        <w:t xml:space="preserve"> </w:t>
      </w:r>
      <w:r>
        <w:t>vectors marked with “jo'i”).</w:t>
      </w:r>
    </w:p>
    <w:p w:rsidR="00B72047" w:rsidRDefault="00B72047">
      <w:pPr>
        <w:rPr>
          <w:rStyle w:val="htmlparacode"/>
        </w:rPr>
      </w:pPr>
      <w:r>
        <w:rPr>
          <w:rStyle w:val="htmlparacode"/>
        </w:rPr>
        <w:t>&lt;p&gt;</w:t>
      </w:r>
    </w:p>
    <w:p w:rsidR="00B72047" w:rsidRDefault="00B72047">
      <w:pPr>
        <w:pStyle w:val="normalparagraph"/>
      </w:pPr>
      <w:r>
        <w:rPr>
          <w:rStyle w:val="indexentry"/>
        </w:rPr>
        <w:t>&lt;lx "na'u"&gt;</w:t>
      </w:r>
      <w:r>
        <w:rPr>
          <w:rStyle w:val="indexentry"/>
        </w:rPr>
        <w:fldChar w:fldCharType="begin"/>
      </w:r>
      <w:r>
        <w:instrText>xe "</w:instrText>
      </w:r>
      <w:r>
        <w:rPr>
          <w:rStyle w:val="xeentry"/>
        </w:rPr>
        <w:instrText>na'u</w:instrText>
      </w:r>
      <w:r>
        <w:instrText>"</w:instrText>
      </w:r>
      <w:r>
        <w:rPr>
          <w:rStyle w:val="indexentry"/>
        </w:rPr>
        <w:fldChar w:fldCharType="end"/>
      </w:r>
      <w:r>
        <w:rPr>
          <w:rStyle w:val="indexentry"/>
        </w:rPr>
        <w:t>&lt;cx "selbri, converting into an operator"&gt;</w:t>
      </w:r>
      <w:r>
        <w:rPr>
          <w:rStyle w:val="indexentry"/>
        </w:rPr>
        <w:fldChar w:fldCharType="begin"/>
      </w:r>
      <w:r>
        <w:instrText>xe "</w:instrText>
      </w:r>
      <w:r>
        <w:rPr>
          <w:rStyle w:val="xeentry"/>
        </w:rPr>
        <w:instrText>selbri: converting into an operator</w:instrText>
      </w:r>
      <w:r>
        <w:instrText>"</w:instrText>
      </w:r>
      <w:r>
        <w:rPr>
          <w:rStyle w:val="indexentry"/>
        </w:rPr>
        <w:fldChar w:fldCharType="end"/>
      </w:r>
      <w:r>
        <w:rPr>
          <w:rStyle w:val="indexentry"/>
        </w:rPr>
        <w:t>&lt;cx "operator, converting selbri into"&gt;</w:t>
      </w:r>
      <w:r>
        <w:rPr>
          <w:rStyle w:val="indexentry"/>
        </w:rPr>
        <w:fldChar w:fldCharType="begin"/>
      </w:r>
      <w:r>
        <w:instrText>xe "</w:instrText>
      </w:r>
      <w:r>
        <w:rPr>
          <w:rStyle w:val="xeentry"/>
        </w:rPr>
        <w:instrText>operator: converting selbri into</w:instrText>
      </w:r>
      <w:r>
        <w:instrText>"</w:instrText>
      </w:r>
      <w:r>
        <w:rPr>
          <w:rStyle w:val="indexentry"/>
        </w:rPr>
        <w:fldChar w:fldCharType="end"/>
      </w:r>
      <w:r>
        <w:rPr>
          <w:rStyle w:val="indexentry"/>
        </w:rPr>
        <w:t>&lt;cx "conversion, selbri into operator"&gt;</w:t>
      </w:r>
      <w:r>
        <w:rPr>
          <w:rStyle w:val="indexentry"/>
        </w:rPr>
        <w:fldChar w:fldCharType="begin"/>
      </w:r>
      <w:r>
        <w:instrText>xe "</w:instrText>
      </w:r>
      <w:r>
        <w:rPr>
          <w:rStyle w:val="xeentry"/>
        </w:rPr>
        <w:instrText>conversion of selbri into operator</w:instrText>
      </w:r>
      <w:r>
        <w:instrText>"</w:instrText>
      </w:r>
      <w:r>
        <w:rPr>
          <w:rStyle w:val="indexentry"/>
        </w:rPr>
        <w:fldChar w:fldCharType="end"/>
      </w:r>
      <w:r>
        <w:rPr>
          <w:rStyle w:val="indexentry"/>
        </w:rPr>
        <w:t>&lt;cx "selbri place structure, effect on operator formed by"&gt;</w:t>
      </w:r>
      <w:r>
        <w:rPr>
          <w:rStyle w:val="indexentry"/>
        </w:rPr>
        <w:fldChar w:fldCharType="begin"/>
      </w:r>
      <w:r>
        <w:instrText>xe "</w:instrText>
      </w:r>
      <w:r>
        <w:rPr>
          <w:rStyle w:val="xeentry"/>
        </w:rPr>
        <w:instrText>selbri place structure: effect on operator formed by</w:instrText>
      </w:r>
      <w:r>
        <w:instrText>"</w:instrText>
      </w:r>
      <w:r>
        <w:rPr>
          <w:rStyle w:val="indexentry"/>
        </w:rPr>
        <w:fldChar w:fldCharType="end"/>
      </w:r>
      <w:r>
        <w:rPr>
          <w:rStyle w:val="indexentry"/>
        </w:rPr>
        <w:t>&lt;cx "operator derived from selbri, effect of selbri place structure on"&gt;</w:t>
      </w:r>
      <w:r>
        <w:rPr>
          <w:rStyle w:val="indexentry"/>
        </w:rPr>
        <w:fldChar w:fldCharType="begin"/>
      </w:r>
      <w:r>
        <w:instrText>xe "</w:instrText>
      </w:r>
      <w:r>
        <w:rPr>
          <w:rStyle w:val="xeentry"/>
        </w:rPr>
        <w:instrText>operator derived from selbri: effect of selbri place structure on</w:instrText>
      </w:r>
      <w:r>
        <w:instrText>"</w:instrText>
      </w:r>
      <w:r>
        <w:rPr>
          <w:rStyle w:val="indexentry"/>
        </w:rPr>
        <w:fldChar w:fldCharType="end"/>
      </w:r>
      <w:r>
        <w:t>The cmavo “na'u” makes a selbri into an operator. In general, the first</w:t>
      </w:r>
      <w:r>
        <w:rPr>
          <w:rStyle w:val="deletedparamark"/>
        </w:rPr>
        <w:t xml:space="preserve"> </w:t>
      </w:r>
      <w:r>
        <w:t>place of the selbri specifies the result of the operator, and the other</w:t>
      </w:r>
      <w:r>
        <w:rPr>
          <w:rStyle w:val="deletedparamark"/>
        </w:rPr>
        <w:t xml:space="preserve"> </w:t>
      </w:r>
      <w:r>
        <w:t>unfilled places specify the ope</w:t>
      </w:r>
      <w:r>
        <w:t>r</w:t>
      </w:r>
      <w:r>
        <w:softHyphen/>
        <w:t>ands:</w:t>
      </w:r>
    </w:p>
    <w:p w:rsidR="00B72047" w:rsidRDefault="00B72047">
      <w:pPr>
        <w:rPr>
          <w:rStyle w:val="htmlparacode"/>
        </w:rPr>
      </w:pPr>
      <w:r>
        <w:rPr>
          <w:rStyle w:val="htmlparacode"/>
        </w:rPr>
        <w:t>&lt;p&gt;</w:t>
      </w:r>
    </w:p>
    <w:p w:rsidR="00B72047" w:rsidRDefault="00B72047">
      <w:pPr>
        <w:pStyle w:val="examplescaledpre"/>
      </w:pPr>
      <w:r>
        <w:rPr>
          <w:rStyle w:val="indexentry"/>
        </w:rPr>
        <w:t>&lt;ex "tan(pi/2) = infinity"&gt;</w:t>
      </w:r>
      <w:r>
        <w:rPr>
          <w:rStyle w:val="indexentry"/>
        </w:rPr>
        <w:fldChar w:fldCharType="begin"/>
      </w:r>
      <w:r>
        <w:instrText>xe "</w:instrText>
      </w:r>
      <w:r>
        <w:rPr>
          <w:rStyle w:val="xeentry"/>
        </w:rPr>
        <w:instrText>tan(pi/2) = infinity: example</w:instrText>
      </w:r>
      <w:r>
        <w:instrText>"</w:instrText>
      </w:r>
      <w:r>
        <w:rPr>
          <w:rStyle w:val="indexentry"/>
        </w:rPr>
        <w:fldChar w:fldCharType="end"/>
      </w:r>
      <w:r>
        <w:rPr>
          <w:rStyle w:val="htmlcodes"/>
        </w:rPr>
        <w:t>&lt;pre&gt;&lt;a name=e18d1&gt;</w:t>
      </w:r>
      <w:r>
        <w:t>18.1)</w:t>
      </w:r>
      <w:r>
        <w:tab/>
        <w:t>li na'u tanjo te'u vei pai fe'i re [ve'o] du li ci'i</w:t>
      </w:r>
    </w:p>
    <w:p w:rsidR="00B72047" w:rsidRDefault="00B72047">
      <w:pPr>
        <w:pStyle w:val="examplescaled"/>
      </w:pPr>
      <w:r>
        <w:tab/>
        <w:t xml:space="preserve">The-number the-operator tangent ( </w:t>
      </w:r>
      <w:r>
        <w:rPr>
          <w:rStyle w:val="htmlcodes"/>
        </w:rPr>
        <w:t>pi</w:t>
      </w:r>
      <w:r>
        <w:sym w:font="Symbol" w:char="F070"/>
      </w:r>
      <w:r>
        <w:t xml:space="preserve"> / 2 ) = the-number infinity.</w:t>
      </w:r>
    </w:p>
    <w:p w:rsidR="00B72047" w:rsidRDefault="00B72047">
      <w:pPr>
        <w:pStyle w:val="examplescaled"/>
        <w:rPr>
          <w:rStyle w:val="math"/>
        </w:rPr>
      </w:pPr>
      <w:r>
        <w:rPr>
          <w:rStyle w:val="math"/>
        </w:rPr>
        <w:tab/>
      </w:r>
      <w:r>
        <w:rPr>
          <w:rStyle w:val="htmlcodes"/>
        </w:rPr>
        <w:t>&lt;math&gt;</w:t>
      </w:r>
      <w:r>
        <w:rPr>
          <w:rStyle w:val="math"/>
        </w:rPr>
        <w:t>tan(</w:t>
      </w:r>
      <w:r>
        <w:rPr>
          <w:rStyle w:val="math"/>
        </w:rPr>
        <w:sym w:font="Symbol" w:char="F070"/>
      </w:r>
      <w:r>
        <w:rPr>
          <w:rStyle w:val="htmlcodes"/>
        </w:rPr>
        <w:t>pi</w:t>
      </w:r>
      <w:r>
        <w:rPr>
          <w:rStyle w:val="math"/>
        </w:rPr>
        <w:t xml:space="preserve">/2) = </w:t>
      </w:r>
      <w:r>
        <w:rPr>
          <w:rStyle w:val="math"/>
        </w:rPr>
        <w:sym w:font="Symbol" w:char="F0A5"/>
      </w:r>
      <w:r>
        <w:rPr>
          <w:rStyle w:val="htmlcodes"/>
        </w:rPr>
        <w:t>&lt;font face="Symbol"&gt;&amp;#165;&lt;/font&gt;&lt;!–infty–&gt;&lt;/math&gt;</w:t>
      </w:r>
    </w:p>
    <w:p w:rsidR="00B72047" w:rsidRDefault="00B72047">
      <w:pPr>
        <w:pStyle w:val="resumedafterexample"/>
      </w:pPr>
      <w:r>
        <w:rPr>
          <w:rStyle w:val="htmlcodes"/>
        </w:rPr>
        <w:t>&lt;/pre&gt;</w:t>
      </w:r>
      <w:r>
        <w:t>“tanjo” is the gismu for “x1 is the tangent of x2”, and the “na'u” here</w:t>
      </w:r>
      <w:r>
        <w:rPr>
          <w:rStyle w:val="deletedparamark"/>
        </w:rPr>
        <w:t xml:space="preserve"> </w:t>
      </w:r>
      <w:r>
        <w:t>makes it into an operator which is then used in forethought.</w:t>
      </w:r>
    </w:p>
    <w:p w:rsidR="00B72047" w:rsidRDefault="00B72047">
      <w:pPr>
        <w:rPr>
          <w:rStyle w:val="htmlparacode"/>
        </w:rPr>
      </w:pPr>
      <w:r>
        <w:rPr>
          <w:rStyle w:val="htmlparacode"/>
        </w:rPr>
        <w:t>&lt;p&gt;</w:t>
      </w:r>
    </w:p>
    <w:p w:rsidR="00B72047" w:rsidRDefault="00B72047">
      <w:pPr>
        <w:pStyle w:val="normalparagraph"/>
      </w:pPr>
      <w:r>
        <w:rPr>
          <w:rStyle w:val="indexentry"/>
        </w:rPr>
        <w:t>&lt;lx "ni'e"&gt;</w:t>
      </w:r>
      <w:r>
        <w:rPr>
          <w:rStyle w:val="indexentry"/>
        </w:rPr>
        <w:fldChar w:fldCharType="begin"/>
      </w:r>
      <w:r>
        <w:instrText>xe "</w:instrText>
      </w:r>
      <w:r>
        <w:rPr>
          <w:rStyle w:val="xeentry"/>
        </w:rPr>
        <w:instrText>ni'e</w:instrText>
      </w:r>
      <w:r>
        <w:instrText>"</w:instrText>
      </w:r>
      <w:r>
        <w:rPr>
          <w:rStyle w:val="indexentry"/>
        </w:rPr>
        <w:fldChar w:fldCharType="end"/>
      </w:r>
      <w:r>
        <w:rPr>
          <w:rStyle w:val="indexentry"/>
        </w:rPr>
        <w:t>&lt;cx "selbri, converting into an operand"&gt;</w:t>
      </w:r>
      <w:r>
        <w:rPr>
          <w:rStyle w:val="indexentry"/>
        </w:rPr>
        <w:fldChar w:fldCharType="begin"/>
      </w:r>
      <w:r>
        <w:instrText>xe "</w:instrText>
      </w:r>
      <w:r>
        <w:rPr>
          <w:rStyle w:val="xeentry"/>
        </w:rPr>
        <w:instrText>selbri: converting into an operand</w:instrText>
      </w:r>
      <w:r>
        <w:instrText>"</w:instrText>
      </w:r>
      <w:r>
        <w:rPr>
          <w:rStyle w:val="indexentry"/>
        </w:rPr>
        <w:fldChar w:fldCharType="end"/>
      </w:r>
      <w:r>
        <w:rPr>
          <w:rStyle w:val="indexentry"/>
        </w:rPr>
        <w:t>&lt;cx "operand, converting selbri into"&gt;</w:t>
      </w:r>
      <w:r>
        <w:rPr>
          <w:rStyle w:val="indexentry"/>
        </w:rPr>
        <w:fldChar w:fldCharType="begin"/>
      </w:r>
      <w:r>
        <w:instrText>xe "</w:instrText>
      </w:r>
      <w:r>
        <w:rPr>
          <w:rStyle w:val="xeentry"/>
        </w:rPr>
        <w:instrText>operand: converting selbri into</w:instrText>
      </w:r>
      <w:r>
        <w:instrText>"</w:instrText>
      </w:r>
      <w:r>
        <w:rPr>
          <w:rStyle w:val="indexentry"/>
        </w:rPr>
        <w:fldChar w:fldCharType="end"/>
      </w:r>
      <w:r>
        <w:rPr>
          <w:rStyle w:val="indexentry"/>
        </w:rPr>
        <w:t>&lt;cx "conversion, selbri into operand"&gt;</w:t>
      </w:r>
      <w:r>
        <w:rPr>
          <w:rStyle w:val="indexentry"/>
        </w:rPr>
        <w:fldChar w:fldCharType="begin"/>
      </w:r>
      <w:r>
        <w:instrText>xe "</w:instrText>
      </w:r>
      <w:r>
        <w:rPr>
          <w:rStyle w:val="xeentry"/>
        </w:rPr>
        <w:instrText>conversion of selbri into operand</w:instrText>
      </w:r>
      <w:r>
        <w:instrText>"</w:instrText>
      </w:r>
      <w:r>
        <w:rPr>
          <w:rStyle w:val="indexentry"/>
        </w:rPr>
        <w:fldChar w:fldCharType="end"/>
      </w:r>
      <w:r>
        <w:rPr>
          <w:rStyle w:val="indexentry"/>
        </w:rPr>
        <w:t>&lt;cx "formulae, expressing based on pure dimensions"&gt;</w:t>
      </w:r>
      <w:r>
        <w:rPr>
          <w:rStyle w:val="indexentry"/>
        </w:rPr>
        <w:fldChar w:fldCharType="begin"/>
      </w:r>
      <w:r>
        <w:instrText>xe "</w:instrText>
      </w:r>
      <w:r>
        <w:rPr>
          <w:rStyle w:val="xeentry"/>
        </w:rPr>
        <w:instrText>formulae: expressing based on pure dimensions</w:instrText>
      </w:r>
      <w:r>
        <w:instrText>"</w:instrText>
      </w:r>
      <w:r>
        <w:rPr>
          <w:rStyle w:val="indexentry"/>
        </w:rPr>
        <w:fldChar w:fldCharType="end"/>
      </w:r>
      <w:r>
        <w:t>The cmavo “ni'e” makes a selbri into an operand. The x1 place of the selbri</w:t>
      </w:r>
      <w:r>
        <w:rPr>
          <w:rStyle w:val="deletedparamark"/>
        </w:rPr>
        <w:t xml:space="preserve"> </w:t>
      </w:r>
      <w:r>
        <w:t>generally represents a number, and therefore is often a “ni” abstraction,</w:t>
      </w:r>
      <w:r>
        <w:rPr>
          <w:rStyle w:val="deletedparamark"/>
        </w:rPr>
        <w:t xml:space="preserve"> </w:t>
      </w:r>
      <w:r>
        <w:t>since “ni” ab</w:t>
      </w:r>
      <w:r>
        <w:softHyphen/>
        <w:t>stractions re</w:t>
      </w:r>
      <w:r>
        <w:t>p</w:t>
      </w:r>
      <w:r>
        <w:softHyphen/>
        <w:t>resent numbers. The “ni'e” makes that number</w:t>
      </w:r>
      <w:r>
        <w:rPr>
          <w:rStyle w:val="deletedparamark"/>
        </w:rPr>
        <w:t xml:space="preserve"> </w:t>
      </w:r>
      <w:r>
        <w:t>available as a mekso oper</w:t>
      </w:r>
      <w:r>
        <w:softHyphen/>
        <w:t>and. A common application is to make equations</w:t>
      </w:r>
      <w:r>
        <w:rPr>
          <w:rStyle w:val="deletedparamark"/>
        </w:rPr>
        <w:t xml:space="preserve"> </w:t>
      </w:r>
      <w:r>
        <w:t>relating pure dimensions:</w:t>
      </w:r>
    </w:p>
    <w:p w:rsidR="00B72047" w:rsidRDefault="00B72047">
      <w:pPr>
        <w:rPr>
          <w:rStyle w:val="htmlparacode"/>
        </w:rPr>
      </w:pPr>
      <w:r>
        <w:rPr>
          <w:rStyle w:val="htmlparacode"/>
        </w:rPr>
        <w:t>&lt;p&gt;</w:t>
      </w:r>
    </w:p>
    <w:p w:rsidR="00B72047" w:rsidRDefault="00B72047">
      <w:pPr>
        <w:pStyle w:val="examplescaledpre"/>
      </w:pPr>
      <w:r>
        <w:rPr>
          <w:rStyle w:val="indexentry"/>
        </w:rPr>
        <w:t xml:space="preserve">&lt;ex "Length </w:t>
      </w:r>
      <w:r>
        <w:rPr>
          <w:rStyle w:val="indexentry"/>
        </w:rPr>
        <w:sym w:font="Symbol" w:char="F0B4"/>
      </w:r>
      <w:r>
        <w:rPr>
          <w:rStyle w:val="indexentry"/>
        </w:rPr>
        <w:t xml:space="preserve"> Width </w:t>
      </w:r>
      <w:r>
        <w:rPr>
          <w:rStyle w:val="indexentry"/>
        </w:rPr>
        <w:sym w:font="Symbol" w:char="F0B4"/>
      </w:r>
      <w:r>
        <w:rPr>
          <w:rStyle w:val="indexentry"/>
        </w:rPr>
        <w:t xml:space="preserve"> Depth = Volume"&gt;</w:t>
      </w:r>
      <w:r>
        <w:rPr>
          <w:rStyle w:val="indexentry"/>
        </w:rPr>
        <w:fldChar w:fldCharType="begin"/>
      </w:r>
      <w:r>
        <w:instrText>xe "</w:instrText>
      </w:r>
      <w:r>
        <w:rPr>
          <w:rStyle w:val="xeentry"/>
        </w:rPr>
        <w:instrText xml:space="preserve">Length </w:instrText>
      </w:r>
      <w:r>
        <w:rPr>
          <w:rStyle w:val="xeentry"/>
        </w:rPr>
        <w:sym w:font="Symbol" w:char="F0B4"/>
      </w:r>
      <w:r>
        <w:rPr>
          <w:rStyle w:val="xeentry"/>
        </w:rPr>
        <w:instrText xml:space="preserve"> Width </w:instrText>
      </w:r>
      <w:r>
        <w:rPr>
          <w:rStyle w:val="xeentry"/>
        </w:rPr>
        <w:sym w:font="Symbol" w:char="F0B4"/>
      </w:r>
      <w:r>
        <w:rPr>
          <w:rStyle w:val="xeentry"/>
        </w:rPr>
        <w:instrText xml:space="preserve"> Depth = Volume: example</w:instrText>
      </w:r>
      <w:r>
        <w:instrText>"</w:instrText>
      </w:r>
      <w:r>
        <w:rPr>
          <w:rStyle w:val="indexentry"/>
        </w:rPr>
        <w:fldChar w:fldCharType="end"/>
      </w:r>
      <w:r>
        <w:rPr>
          <w:rStyle w:val="htmlcodes"/>
        </w:rPr>
        <w:t>&lt;pre&gt;&lt;a name=e18d2&gt;</w:t>
      </w:r>
      <w:r>
        <w:t>18.2)</w:t>
      </w:r>
      <w:r>
        <w:tab/>
        <w:t>li ni'e ni clani [te'u] pi'i ni'e ni ganra [te'u] pi'i</w:t>
      </w:r>
    </w:p>
    <w:p w:rsidR="00B72047" w:rsidRDefault="00B72047">
      <w:pPr>
        <w:pStyle w:val="examplescaled"/>
      </w:pPr>
      <w:r>
        <w:tab/>
      </w:r>
      <w:r>
        <w:tab/>
        <w:t>ni'e ni condi te'u du li ni'e ni canlu</w:t>
      </w:r>
    </w:p>
    <w:p w:rsidR="00B72047" w:rsidRDefault="00B72047">
      <w:pPr>
        <w:pStyle w:val="examplescaled"/>
      </w:pPr>
      <w:r>
        <w:tab/>
        <w:t>The-number quantity-of length times quantity-of width times</w:t>
      </w:r>
    </w:p>
    <w:p w:rsidR="00B72047" w:rsidRDefault="00B72047">
      <w:pPr>
        <w:pStyle w:val="examplescaled"/>
      </w:pPr>
      <w:r>
        <w:tab/>
      </w:r>
      <w:r>
        <w:tab/>
        <w:t>quantity-of depth equals the-number quantity-of volume.</w:t>
      </w:r>
    </w:p>
    <w:p w:rsidR="00B72047" w:rsidRDefault="00B72047">
      <w:pPr>
        <w:pStyle w:val="examplescaled"/>
        <w:rPr>
          <w:rStyle w:val="math"/>
        </w:rPr>
      </w:pPr>
      <w:r>
        <w:rPr>
          <w:rStyle w:val="math"/>
        </w:rPr>
        <w:tab/>
        <w:t xml:space="preserve">Length </w:t>
      </w:r>
      <w:r>
        <w:rPr>
          <w:rStyle w:val="math"/>
        </w:rPr>
        <w:sym w:font="Symbol" w:char="F0B4"/>
      </w:r>
      <w:r>
        <w:rPr>
          <w:rStyle w:val="htmlcodes"/>
        </w:rPr>
        <w:t>&amp;times;</w:t>
      </w:r>
      <w:r>
        <w:rPr>
          <w:rStyle w:val="math"/>
        </w:rPr>
        <w:t xml:space="preserve"> Width </w:t>
      </w:r>
      <w:r>
        <w:rPr>
          <w:rStyle w:val="math"/>
        </w:rPr>
        <w:sym w:font="Symbol" w:char="F0B4"/>
      </w:r>
      <w:r>
        <w:rPr>
          <w:rStyle w:val="htmlcodes"/>
        </w:rPr>
        <w:t>&amp;times;</w:t>
      </w:r>
      <w:r>
        <w:rPr>
          <w:rStyle w:val="math"/>
        </w:rPr>
        <w:t xml:space="preserve"> Depth = Volume</w:t>
      </w:r>
    </w:p>
    <w:p w:rsidR="00B72047" w:rsidRDefault="00B72047">
      <w:pPr>
        <w:pStyle w:val="resumedafterexample"/>
      </w:pPr>
      <w:r>
        <w:rPr>
          <w:rStyle w:val="htmlcodes"/>
        </w:rPr>
        <w:t>&lt;/pre&gt;</w:t>
      </w:r>
      <w:r>
        <w:rPr>
          <w:rStyle w:val="indexentry"/>
        </w:rPr>
        <w:t>&lt;lx "mo'e"&gt;</w:t>
      </w:r>
      <w:r>
        <w:rPr>
          <w:rStyle w:val="indexentry"/>
        </w:rPr>
        <w:fldChar w:fldCharType="begin"/>
      </w:r>
      <w:r>
        <w:instrText>xe "</w:instrText>
      </w:r>
      <w:r>
        <w:rPr>
          <w:rStyle w:val="xeentry"/>
        </w:rPr>
        <w:instrText>mo'e</w:instrText>
      </w:r>
      <w:r>
        <w:instrText>"</w:instrText>
      </w:r>
      <w:r>
        <w:rPr>
          <w:rStyle w:val="indexentry"/>
        </w:rPr>
        <w:fldChar w:fldCharType="end"/>
      </w:r>
      <w:r>
        <w:rPr>
          <w:rStyle w:val="indexentry"/>
        </w:rPr>
        <w:t>&lt;cx "sumti, converting into an operand"&gt;</w:t>
      </w:r>
      <w:r>
        <w:rPr>
          <w:rStyle w:val="indexentry"/>
        </w:rPr>
        <w:fldChar w:fldCharType="begin"/>
      </w:r>
      <w:r>
        <w:instrText>xe "</w:instrText>
      </w:r>
      <w:r>
        <w:rPr>
          <w:rStyle w:val="xeentry"/>
        </w:rPr>
        <w:instrText>sumti: converting into an operand</w:instrText>
      </w:r>
      <w:r>
        <w:instrText>"</w:instrText>
      </w:r>
      <w:r>
        <w:rPr>
          <w:rStyle w:val="indexentry"/>
        </w:rPr>
        <w:fldChar w:fldCharType="end"/>
      </w:r>
      <w:r>
        <w:rPr>
          <w:rStyle w:val="indexentry"/>
        </w:rPr>
        <w:t>&lt;cx "operand, converting sumti into"&gt;</w:t>
      </w:r>
      <w:r>
        <w:rPr>
          <w:rStyle w:val="indexentry"/>
        </w:rPr>
        <w:fldChar w:fldCharType="begin"/>
      </w:r>
      <w:r>
        <w:instrText>xe "</w:instrText>
      </w:r>
      <w:r>
        <w:rPr>
          <w:rStyle w:val="xeentry"/>
        </w:rPr>
        <w:instrText>operand: converting sumti into</w:instrText>
      </w:r>
      <w:r>
        <w:instrText>"</w:instrText>
      </w:r>
      <w:r>
        <w:rPr>
          <w:rStyle w:val="indexentry"/>
        </w:rPr>
        <w:fldChar w:fldCharType="end"/>
      </w:r>
      <w:r>
        <w:rPr>
          <w:rStyle w:val="indexentry"/>
        </w:rPr>
        <w:t>&lt;cx "conversion, sumti into operand"&gt;</w:t>
      </w:r>
      <w:r>
        <w:rPr>
          <w:rStyle w:val="indexentry"/>
        </w:rPr>
        <w:fldChar w:fldCharType="begin"/>
      </w:r>
      <w:r>
        <w:instrText>xe "</w:instrText>
      </w:r>
      <w:r>
        <w:rPr>
          <w:rStyle w:val="xeentry"/>
        </w:rPr>
        <w:instrText>conversion of sumti into operand</w:instrText>
      </w:r>
      <w:r>
        <w:instrText>"</w:instrText>
      </w:r>
      <w:r>
        <w:rPr>
          <w:rStyle w:val="indexentry"/>
        </w:rPr>
        <w:fldChar w:fldCharType="end"/>
      </w:r>
      <w:r>
        <w:rPr>
          <w:rStyle w:val="indexentry"/>
        </w:rPr>
        <w:t>&lt;cx "dimensioned numbers, expressing"&gt;</w:t>
      </w:r>
      <w:r>
        <w:rPr>
          <w:rStyle w:val="indexentry"/>
        </w:rPr>
        <w:fldChar w:fldCharType="begin"/>
      </w:r>
      <w:r>
        <w:instrText>xe "</w:instrText>
      </w:r>
      <w:r>
        <w:rPr>
          <w:rStyle w:val="xeentry"/>
        </w:rPr>
        <w:instrText>dimensioned numbers: expressing</w:instrText>
      </w:r>
      <w:r>
        <w:instrText>"</w:instrText>
      </w:r>
      <w:r>
        <w:rPr>
          <w:rStyle w:val="indexentry"/>
        </w:rPr>
        <w:fldChar w:fldCharType="end"/>
      </w:r>
      <w:r>
        <w:t>The cmavo “mo'e” operates similarly to “ni'e”, but makes a sumti (rather</w:t>
      </w:r>
      <w:r>
        <w:rPr>
          <w:rStyle w:val="deletedparamark"/>
        </w:rPr>
        <w:t xml:space="preserve"> </w:t>
      </w:r>
      <w:r>
        <w:t>than a selbri) into an operand. This construction is useful in stating</w:t>
      </w:r>
      <w:r>
        <w:rPr>
          <w:rStyle w:val="deletedparamark"/>
        </w:rPr>
        <w:t xml:space="preserve"> </w:t>
      </w:r>
      <w:r>
        <w:t>equations involving dimensioned numbers:</w:t>
      </w:r>
    </w:p>
    <w:p w:rsidR="00B72047" w:rsidRDefault="00B72047">
      <w:pPr>
        <w:rPr>
          <w:rStyle w:val="htmlparacode"/>
        </w:rPr>
      </w:pPr>
      <w:r>
        <w:rPr>
          <w:rStyle w:val="htmlparacode"/>
        </w:rPr>
        <w:t>&lt;p&gt;</w:t>
      </w:r>
    </w:p>
    <w:p w:rsidR="00B72047" w:rsidRDefault="00B72047">
      <w:pPr>
        <w:pStyle w:val="examplescaledpre"/>
      </w:pPr>
      <w:r>
        <w:rPr>
          <w:rStyle w:val="indexentry"/>
        </w:rPr>
        <w:t>&lt;ex "2 rats + 2 rabbits = 4 animals"&gt;</w:t>
      </w:r>
      <w:r>
        <w:rPr>
          <w:rStyle w:val="indexentry"/>
        </w:rPr>
        <w:fldChar w:fldCharType="begin"/>
      </w:r>
      <w:r>
        <w:instrText>xe "</w:instrText>
      </w:r>
      <w:r>
        <w:rPr>
          <w:rStyle w:val="xeentry"/>
        </w:rPr>
        <w:instrText>2 rats + 2 rabbits = 4 animals: example</w:instrText>
      </w:r>
      <w:r>
        <w:instrText>"</w:instrText>
      </w:r>
      <w:r>
        <w:rPr>
          <w:rStyle w:val="indexentry"/>
        </w:rPr>
        <w:fldChar w:fldCharType="end"/>
      </w:r>
      <w:r>
        <w:rPr>
          <w:rStyle w:val="htmlcodes"/>
        </w:rPr>
        <w:t>&lt;pre&gt;&lt;a name=e18d3&gt;</w:t>
      </w:r>
      <w:r>
        <w:t>18.3)</w:t>
      </w:r>
      <w:r>
        <w:tab/>
        <w:t>li mo'e re ratcu su'i mo'e re ractu du li mo'e vo danlu</w:t>
      </w:r>
    </w:p>
    <w:p w:rsidR="00B72047" w:rsidRDefault="00B72047">
      <w:pPr>
        <w:pStyle w:val="examplescaled"/>
      </w:pPr>
      <w:r>
        <w:tab/>
        <w:t>The-number two rats plus two rabbits equals the-number four animals.</w:t>
      </w:r>
    </w:p>
    <w:p w:rsidR="00B72047" w:rsidRDefault="00B72047">
      <w:pPr>
        <w:pStyle w:val="examplescaled"/>
        <w:rPr>
          <w:rStyle w:val="math"/>
        </w:rPr>
      </w:pPr>
      <w:r>
        <w:rPr>
          <w:rStyle w:val="math"/>
        </w:rPr>
        <w:tab/>
        <w:t>2 rats + 2 rabbits = 4 animals.</w:t>
      </w:r>
    </w:p>
    <w:p w:rsidR="00B72047" w:rsidRDefault="00B72047">
      <w:pPr>
        <w:pStyle w:val="resumedafterexample"/>
      </w:pPr>
      <w:r>
        <w:rPr>
          <w:rStyle w:val="htmlcodes"/>
        </w:rPr>
        <w:t>&lt;/pre&gt;</w:t>
      </w:r>
      <w:r>
        <w:rPr>
          <w:rStyle w:val="indexentry"/>
        </w:rPr>
        <w:t>&lt;cx "folk quantifiers, expressing"&gt;</w:t>
      </w:r>
      <w:r>
        <w:rPr>
          <w:rStyle w:val="indexentry"/>
        </w:rPr>
        <w:fldChar w:fldCharType="begin"/>
      </w:r>
      <w:r>
        <w:instrText>xe "</w:instrText>
      </w:r>
      <w:r>
        <w:rPr>
          <w:rStyle w:val="xeentry"/>
        </w:rPr>
        <w:instrText>folk quantifiers: expressing</w:instrText>
      </w:r>
      <w:r>
        <w:instrText>"</w:instrText>
      </w:r>
      <w:r>
        <w:rPr>
          <w:rStyle w:val="indexentry"/>
        </w:rPr>
        <w:fldChar w:fldCharType="end"/>
      </w:r>
      <w:r>
        <w:rPr>
          <w:rStyle w:val="indexentry"/>
        </w:rPr>
        <w:t>&lt;ex "pride of lions"&gt;</w:t>
      </w:r>
      <w:r>
        <w:rPr>
          <w:rStyle w:val="indexentry"/>
        </w:rPr>
        <w:fldChar w:fldCharType="begin"/>
      </w:r>
      <w:r>
        <w:instrText>xe "</w:instrText>
      </w:r>
      <w:r>
        <w:rPr>
          <w:rStyle w:val="xeentry"/>
        </w:rPr>
        <w:instrText>pride of lions: example</w:instrText>
      </w:r>
      <w:r>
        <w:instrText>"</w:instrText>
      </w:r>
      <w:r>
        <w:rPr>
          <w:rStyle w:val="indexentry"/>
        </w:rPr>
        <w:fldChar w:fldCharType="end"/>
      </w:r>
      <w:r>
        <w:t>Another use is in constructing Lojbanic versions of so-called “folk</w:t>
      </w:r>
      <w:r>
        <w:rPr>
          <w:rStyle w:val="deletedparamark"/>
        </w:rPr>
        <w:t xml:space="preserve"> </w:t>
      </w:r>
      <w:r>
        <w:t>quantifiers”, such as “a pride of lions”: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name=e18d4&gt;</w:t>
      </w:r>
      <w:r>
        <w:t>18.4)</w:t>
      </w:r>
      <w:r>
        <w:tab/>
        <w:t>mi viska vei mo'e lo'e lanzu ve'o cinfo</w:t>
      </w:r>
    </w:p>
    <w:p w:rsidR="00B72047" w:rsidRDefault="00B72047">
      <w:pPr>
        <w:pStyle w:val="examplescaled"/>
      </w:pPr>
      <w:r>
        <w:tab/>
        <w:t>I see ( the-typical family )-number-of lions.</w:t>
      </w:r>
    </w:p>
    <w:p w:rsidR="00B72047" w:rsidRDefault="00B72047">
      <w:pPr>
        <w:pStyle w:val="examplescaled"/>
      </w:pPr>
      <w:r>
        <w:tab/>
        <w:t>I see a pride of lions.</w:t>
      </w:r>
    </w:p>
    <w:p w:rsidR="00B72047" w:rsidRDefault="00B72047">
      <w:pPr>
        <w:pStyle w:val="Heading3"/>
        <w:spacing w:before="0"/>
        <w:rPr>
          <w:rStyle w:val="Heading3Text"/>
        </w:rPr>
      </w:pPr>
      <w:r>
        <w:rPr>
          <w:rStyle w:val="htmlcodes"/>
          <w:vanish w:val="0"/>
        </w:rPr>
        <w:br w:type="page"/>
      </w:r>
      <w:r>
        <w:rPr>
          <w:rStyle w:val="htmlcodes"/>
        </w:rPr>
        <w:t>&lt;/pre&gt;&lt;a name=s19&gt;&lt;h3&gt;</w:t>
      </w:r>
      <w:bookmarkStart w:id="514" w:name="_Toc398970751"/>
      <w:r>
        <w:rPr>
          <w:rStyle w:val="Heading3Text"/>
        </w:rPr>
        <w:t>Other uses of mekso</w:t>
      </w:r>
      <w:bookmarkEnd w:id="51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me'o</w:t>
      </w:r>
      <w:r>
        <w:tab/>
        <w:t>LI</w:t>
      </w:r>
      <w:r>
        <w:tab/>
        <w:t>the mekso</w:t>
      </w:r>
    </w:p>
    <w:p w:rsidR="00B72047" w:rsidRDefault="00B72047">
      <w:pPr>
        <w:pStyle w:val="examplescaled"/>
      </w:pPr>
      <w:r>
        <w:tab/>
        <w:t>nu'a</w:t>
      </w:r>
      <w:r>
        <w:tab/>
        <w:t>NUhA</w:t>
      </w:r>
      <w:r>
        <w:tab/>
        <w:t>operator to selbri</w:t>
      </w:r>
    </w:p>
    <w:p w:rsidR="00B72047" w:rsidRDefault="00B72047">
      <w:pPr>
        <w:pStyle w:val="examplescaled"/>
      </w:pPr>
      <w:r>
        <w:tab/>
        <w:t>mai</w:t>
      </w:r>
      <w:r>
        <w:tab/>
        <w:t>MAI</w:t>
      </w:r>
      <w:r>
        <w:tab/>
        <w:t>utterance ordinal</w:t>
      </w:r>
    </w:p>
    <w:p w:rsidR="00B72047" w:rsidRDefault="00B72047">
      <w:pPr>
        <w:pStyle w:val="examplescaled"/>
      </w:pPr>
      <w:r>
        <w:tab/>
        <w:t>mo'o</w:t>
      </w:r>
      <w:r>
        <w:tab/>
        <w:t>MAI</w:t>
      </w:r>
      <w:r>
        <w:tab/>
        <w:t>higher order utterance ordinal</w:t>
      </w:r>
    </w:p>
    <w:p w:rsidR="00B72047" w:rsidRDefault="00B72047">
      <w:pPr>
        <w:pStyle w:val="examplescaled"/>
      </w:pPr>
      <w:r>
        <w:tab/>
        <w:t>roi</w:t>
      </w:r>
      <w:r>
        <w:tab/>
        <w:t>ROI</w:t>
      </w:r>
      <w:r>
        <w:tab/>
        <w:t>quantified tense</w:t>
      </w:r>
    </w:p>
    <w:p w:rsidR="00B72047" w:rsidRDefault="00B72047">
      <w:pPr>
        <w:pStyle w:val="resumedafterexample"/>
      </w:pPr>
      <w:r>
        <w:rPr>
          <w:rStyle w:val="htmlcodes"/>
        </w:rPr>
        <w:t>&lt;/pre&gt;&lt;p&gt;</w:t>
      </w:r>
      <w:r>
        <w:t>So far we have seen mekso used as sumti (with “li”), as quantifiers</w:t>
      </w:r>
      <w:r>
        <w:rPr>
          <w:rStyle w:val="deletedparamark"/>
        </w:rPr>
        <w:t xml:space="preserve"> </w:t>
      </w:r>
      <w:r>
        <w:t>(often parenthe</w:t>
      </w:r>
      <w:r>
        <w:softHyphen/>
        <w:t>sized), and in MOI and ME-MOI selbri. There are a few</w:t>
      </w:r>
      <w:r>
        <w:rPr>
          <w:rStyle w:val="deletedparamark"/>
        </w:rPr>
        <w:t xml:space="preserve"> </w:t>
      </w:r>
      <w:r>
        <w:t>other minor uses of mekso within L</w:t>
      </w:r>
      <w:r>
        <w:t>o</w:t>
      </w:r>
      <w:r>
        <w:t>j</w:t>
      </w:r>
      <w:r>
        <w:softHyphen/>
        <w:t>ban.</w:t>
      </w:r>
    </w:p>
    <w:p w:rsidR="00B72047" w:rsidRDefault="00B72047">
      <w:pPr>
        <w:rPr>
          <w:rStyle w:val="htmlparacode"/>
        </w:rPr>
      </w:pPr>
      <w:r>
        <w:rPr>
          <w:rStyle w:val="htmlparacode"/>
        </w:rPr>
        <w:t>&lt;p&gt;</w:t>
      </w:r>
    </w:p>
    <w:p w:rsidR="00B72047" w:rsidRDefault="00B72047">
      <w:pPr>
        <w:pStyle w:val="normalparagraph"/>
      </w:pPr>
      <w:r>
        <w:rPr>
          <w:rStyle w:val="indexentry"/>
        </w:rPr>
        <w:t>&lt;lx "me'o"&gt;</w:t>
      </w:r>
      <w:r>
        <w:rPr>
          <w:rStyle w:val="indexentry"/>
        </w:rPr>
        <w:fldChar w:fldCharType="begin"/>
      </w:r>
      <w:r>
        <w:instrText>xe "</w:instrText>
      </w:r>
      <w:r>
        <w:rPr>
          <w:rStyle w:val="xeentry"/>
        </w:rPr>
        <w:instrText>me'o</w:instrText>
      </w:r>
      <w:r>
        <w:instrText>"</w:instrText>
      </w:r>
      <w:r>
        <w:rPr>
          <w:rStyle w:val="indexentry"/>
        </w:rPr>
        <w:fldChar w:fldCharType="end"/>
      </w:r>
      <w:r>
        <w:rPr>
          <w:rStyle w:val="indexentry"/>
        </w:rPr>
        <w:t>&lt;cx "me'o, contrasted with li"&gt;</w:t>
      </w:r>
      <w:r>
        <w:rPr>
          <w:rStyle w:val="indexentry"/>
        </w:rPr>
        <w:fldChar w:fldCharType="begin"/>
      </w:r>
      <w:r>
        <w:instrText>xe "</w:instrText>
      </w:r>
      <w:r>
        <w:rPr>
          <w:rStyle w:val="xeentry"/>
        </w:rPr>
        <w:instrText>me'o: contrasted with li</w:instrText>
      </w:r>
      <w:r>
        <w:instrText>"</w:instrText>
      </w:r>
      <w:r>
        <w:rPr>
          <w:rStyle w:val="indexentry"/>
        </w:rPr>
        <w:fldChar w:fldCharType="end"/>
      </w:r>
      <w:r>
        <w:rPr>
          <w:rStyle w:val="indexentry"/>
        </w:rPr>
        <w:t>&lt;cx "li, contrasted with me'o"&gt;</w:t>
      </w:r>
      <w:r>
        <w:rPr>
          <w:rStyle w:val="indexentry"/>
        </w:rPr>
        <w:fldChar w:fldCharType="begin"/>
      </w:r>
      <w:r>
        <w:instrText>xe "</w:instrText>
      </w:r>
      <w:r>
        <w:rPr>
          <w:rStyle w:val="xeentry"/>
        </w:rPr>
        <w:instrText>li: contrasted with me'o</w:instrText>
      </w:r>
      <w:r>
        <w:instrText>"</w:instrText>
      </w:r>
      <w:r>
        <w:rPr>
          <w:rStyle w:val="indexentry"/>
        </w:rPr>
        <w:fldChar w:fldCharType="end"/>
      </w:r>
      <w:r>
        <w:rPr>
          <w:rStyle w:val="indexentry"/>
        </w:rPr>
        <w:t>&lt;cx "mathematical expression, referring to"&gt;</w:t>
      </w:r>
      <w:r>
        <w:rPr>
          <w:rStyle w:val="indexentry"/>
        </w:rPr>
        <w:fldChar w:fldCharType="begin"/>
      </w:r>
      <w:r>
        <w:instrText>xe "</w:instrText>
      </w:r>
      <w:r>
        <w:rPr>
          <w:rStyle w:val="xeentry"/>
        </w:rPr>
        <w:instrText>mathematical expression: referring to</w:instrText>
      </w:r>
      <w:r>
        <w:instrText>"</w:instrText>
      </w:r>
      <w:r>
        <w:rPr>
          <w:rStyle w:val="indexentry"/>
        </w:rPr>
        <w:fldChar w:fldCharType="end"/>
      </w:r>
      <w:r>
        <w:t>The cmavo “me'o” has the same grammatical use as “li” but slightly different</w:t>
      </w:r>
      <w:r>
        <w:rPr>
          <w:rStyle w:val="deletedparamark"/>
        </w:rPr>
        <w:t xml:space="preserve"> </w:t>
      </w:r>
      <w:r>
        <w:t>s</w:t>
      </w:r>
      <w:r>
        <w:t>e</w:t>
      </w:r>
      <w:r>
        <w:softHyphen/>
        <w:t>mantics. “li” means “the number which is the value of the mekso </w:t>
      </w:r>
      <w:r>
        <w:rPr>
          <w:rStyle w:val="htmlcodes"/>
        </w:rPr>
        <w:t>&lt;dots&gt;</w:t>
      </w:r>
      <w:r>
        <w:t>…</w:t>
      </w:r>
      <w:r>
        <w:rPr>
          <w:rStyle w:val="htmlcodes"/>
        </w:rPr>
        <w:t>&lt;/dots&gt;</w:t>
      </w:r>
      <w:r>
        <w:t>”,</w:t>
      </w:r>
      <w:r>
        <w:rPr>
          <w:rStyle w:val="deletedparamark"/>
        </w:rPr>
        <w:t xml:space="preserve"> </w:t>
      </w:r>
      <w:r>
        <w:t>whereas “me'o” just means “the mekso </w:t>
      </w:r>
      <w:r>
        <w:rPr>
          <w:rStyle w:val="htmlcodes"/>
        </w:rPr>
        <w:t>&lt;dots&gt;</w:t>
      </w:r>
      <w:r>
        <w:t>…</w:t>
      </w:r>
      <w:r>
        <w:rPr>
          <w:rStyle w:val="htmlcodes"/>
        </w:rPr>
        <w:t>&lt;/dots&gt;</w:t>
      </w:r>
      <w:r>
        <w:t>” So it is true that: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name=e19d1&gt;</w:t>
      </w:r>
      <w:r>
        <w:t>19.1)</w:t>
      </w:r>
      <w:r>
        <w:tab/>
        <w:t>li re su'i re du li vo</w:t>
      </w:r>
    </w:p>
    <w:p w:rsidR="00B72047" w:rsidRDefault="00B72047">
      <w:pPr>
        <w:pStyle w:val="examplescaled"/>
      </w:pPr>
      <w:r>
        <w:tab/>
        <w:t>The-number two plus two equals the-number four.</w:t>
      </w:r>
    </w:p>
    <w:p w:rsidR="00B72047" w:rsidRDefault="00B72047">
      <w:pPr>
        <w:pStyle w:val="examplescaled"/>
        <w:rPr>
          <w:rStyle w:val="math"/>
        </w:rPr>
      </w:pPr>
      <w:r>
        <w:rPr>
          <w:rStyle w:val="math"/>
        </w:rPr>
        <w:tab/>
      </w:r>
      <w:r>
        <w:rPr>
          <w:rStyle w:val="htmlcodes"/>
        </w:rPr>
        <w:t>&lt;math&gt;</w:t>
      </w:r>
      <w:r>
        <w:rPr>
          <w:rStyle w:val="math"/>
        </w:rPr>
        <w:t>2 + 2 = 4</w:t>
      </w:r>
      <w:r>
        <w:rPr>
          <w:rStyle w:val="htmlcodes"/>
        </w:rPr>
        <w:t>&lt;/math&gt;</w:t>
      </w:r>
    </w:p>
    <w:p w:rsidR="00B72047" w:rsidRDefault="00B72047">
      <w:pPr>
        <w:pStyle w:val="resumedafterexample"/>
      </w:pPr>
      <w:r>
        <w:rPr>
          <w:rStyle w:val="htmlcodes"/>
        </w:rPr>
        <w:t>&lt;/pre&gt;</w:t>
      </w:r>
      <w:r>
        <w:t>but false that: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name=e19d2&gt;</w:t>
      </w:r>
      <w:r>
        <w:t>19.2)</w:t>
      </w:r>
      <w:r>
        <w:tab/>
        <w:t>me'o re su'i re du me'o vo</w:t>
      </w:r>
    </w:p>
    <w:p w:rsidR="00B72047" w:rsidRDefault="00B72047">
      <w:pPr>
        <w:pStyle w:val="examplescaled"/>
      </w:pPr>
      <w:r>
        <w:tab/>
        <w:t>The-mekso two plus two equals the-mekso four.</w:t>
      </w:r>
    </w:p>
    <w:p w:rsidR="00B72047" w:rsidRDefault="00B72047">
      <w:pPr>
        <w:pStyle w:val="examplescaled"/>
      </w:pPr>
      <w:r>
        <w:tab/>
        <w:t>“2 + 2” = “4”</w:t>
      </w:r>
    </w:p>
    <w:p w:rsidR="00B72047" w:rsidRDefault="00B72047">
      <w:pPr>
        <w:pStyle w:val="resumedafterexample"/>
      </w:pPr>
      <w:r>
        <w:rPr>
          <w:rStyle w:val="htmlcodes"/>
        </w:rPr>
        <w:t>&lt;/pre&gt;</w:t>
      </w:r>
      <w:r>
        <w:rPr>
          <w:rStyle w:val="indexentry"/>
        </w:rPr>
        <w:t>&lt;cx "li, relation to me'o compared with la/zo relation"&gt;</w:t>
      </w:r>
      <w:r>
        <w:rPr>
          <w:rStyle w:val="indexentry"/>
        </w:rPr>
        <w:fldChar w:fldCharType="begin"/>
      </w:r>
      <w:r>
        <w:instrText>xe "</w:instrText>
      </w:r>
      <w:r>
        <w:rPr>
          <w:rStyle w:val="xeentry"/>
        </w:rPr>
        <w:instrText>li: relation to me'o compared with la/zo relation</w:instrText>
      </w:r>
      <w:r>
        <w:instrText>"</w:instrText>
      </w:r>
      <w:r>
        <w:rPr>
          <w:rStyle w:val="indexentry"/>
        </w:rPr>
        <w:fldChar w:fldCharType="end"/>
      </w:r>
      <w:r>
        <w:rPr>
          <w:rStyle w:val="indexentry"/>
        </w:rPr>
        <w:t>&lt;cx "me'o, relation to li compared with la/zo relation"&gt;</w:t>
      </w:r>
      <w:r>
        <w:rPr>
          <w:rStyle w:val="indexentry"/>
        </w:rPr>
        <w:fldChar w:fldCharType="begin"/>
      </w:r>
      <w:r>
        <w:instrText>xe "</w:instrText>
      </w:r>
      <w:r>
        <w:rPr>
          <w:rStyle w:val="xeentry"/>
        </w:rPr>
        <w:instrText>me'o: relation to li compared with la/zo relation</w:instrText>
      </w:r>
      <w:r>
        <w:instrText>"</w:instrText>
      </w:r>
      <w:r>
        <w:rPr>
          <w:rStyle w:val="indexentry"/>
        </w:rPr>
        <w:fldChar w:fldCharType="end"/>
      </w:r>
      <w:r>
        <w:t>since the expressions “2 + 2” and “4” are not the same. The relationship</w:t>
      </w:r>
      <w:r>
        <w:rPr>
          <w:rStyle w:val="deletedparamark"/>
        </w:rPr>
        <w:t xml:space="preserve"> </w:t>
      </w:r>
      <w:r>
        <w:t>between “li” and “me'o” is related to that between “la djan.”, the</w:t>
      </w:r>
      <w:r>
        <w:rPr>
          <w:rStyle w:val="deletedparamark"/>
        </w:rPr>
        <w:t xml:space="preserve"> </w:t>
      </w:r>
      <w:r>
        <w:t>person named John, and “zo .djan.”, the name “John”.</w:t>
      </w:r>
    </w:p>
    <w:p w:rsidR="00B72047" w:rsidRDefault="00B72047">
      <w:pPr>
        <w:rPr>
          <w:rStyle w:val="htmlparacode"/>
        </w:rPr>
      </w:pPr>
      <w:r>
        <w:rPr>
          <w:rStyle w:val="htmlparacode"/>
        </w:rPr>
        <w:t>&lt;p&gt;</w:t>
      </w:r>
    </w:p>
    <w:p w:rsidR="00B72047" w:rsidRDefault="00B72047">
      <w:pPr>
        <w:pStyle w:val="normalparagraph"/>
      </w:pPr>
      <w:r>
        <w:rPr>
          <w:rStyle w:val="indexentry"/>
        </w:rPr>
        <w:t>&lt;lx "nu'a"&gt;</w:t>
      </w:r>
      <w:r>
        <w:rPr>
          <w:rStyle w:val="indexentry"/>
        </w:rPr>
        <w:fldChar w:fldCharType="begin"/>
      </w:r>
      <w:r>
        <w:instrText>xe "</w:instrText>
      </w:r>
      <w:r>
        <w:rPr>
          <w:rStyle w:val="xeentry"/>
        </w:rPr>
        <w:instrText>nu'a</w:instrText>
      </w:r>
      <w:r>
        <w:instrText>"</w:instrText>
      </w:r>
      <w:r>
        <w:rPr>
          <w:rStyle w:val="indexentry"/>
        </w:rPr>
        <w:fldChar w:fldCharType="end"/>
      </w:r>
      <w:r>
        <w:rPr>
          <w:rStyle w:val="indexentry"/>
        </w:rPr>
        <w:t>&lt;cx "selbri, converting operator into"&gt;</w:t>
      </w:r>
      <w:r>
        <w:rPr>
          <w:rStyle w:val="indexentry"/>
        </w:rPr>
        <w:fldChar w:fldCharType="begin"/>
      </w:r>
      <w:r>
        <w:instrText>xe "</w:instrText>
      </w:r>
      <w:r>
        <w:rPr>
          <w:rStyle w:val="xeentry"/>
        </w:rPr>
        <w:instrText>selbri: converting operator into</w:instrText>
      </w:r>
      <w:r>
        <w:instrText>"</w:instrText>
      </w:r>
      <w:r>
        <w:rPr>
          <w:rStyle w:val="indexentry"/>
        </w:rPr>
        <w:fldChar w:fldCharType="end"/>
      </w:r>
      <w:r>
        <w:rPr>
          <w:rStyle w:val="indexentry"/>
        </w:rPr>
        <w:t>&lt;cx "operator, converting into selbri"&gt;</w:t>
      </w:r>
      <w:r>
        <w:rPr>
          <w:rStyle w:val="indexentry"/>
        </w:rPr>
        <w:fldChar w:fldCharType="begin"/>
      </w:r>
      <w:r>
        <w:instrText>xe "</w:instrText>
      </w:r>
      <w:r>
        <w:rPr>
          <w:rStyle w:val="xeentry"/>
        </w:rPr>
        <w:instrText>operator: converting into selbri</w:instrText>
      </w:r>
      <w:r>
        <w:instrText>"</w:instrText>
      </w:r>
      <w:r>
        <w:rPr>
          <w:rStyle w:val="indexentry"/>
        </w:rPr>
        <w:fldChar w:fldCharType="end"/>
      </w:r>
      <w:r>
        <w:rPr>
          <w:rStyle w:val="indexentry"/>
        </w:rPr>
        <w:t>&lt;cx "conversion, operator into selbri"&gt;</w:t>
      </w:r>
      <w:r>
        <w:rPr>
          <w:rStyle w:val="indexentry"/>
        </w:rPr>
        <w:fldChar w:fldCharType="begin"/>
      </w:r>
      <w:r>
        <w:instrText>xe "</w:instrText>
      </w:r>
      <w:r>
        <w:rPr>
          <w:rStyle w:val="xeentry"/>
        </w:rPr>
        <w:instrText>conversion of operator into selbri</w:instrText>
      </w:r>
      <w:r>
        <w:instrText>"</w:instrText>
      </w:r>
      <w:r>
        <w:rPr>
          <w:rStyle w:val="indexentry"/>
        </w:rPr>
        <w:fldChar w:fldCharType="end"/>
      </w:r>
      <w:r>
        <w:rPr>
          <w:rStyle w:val="indexentry"/>
        </w:rPr>
        <w:t>&lt;cx "selbri, place structure of converted operator"&gt;</w:t>
      </w:r>
      <w:r>
        <w:rPr>
          <w:rStyle w:val="indexentry"/>
        </w:rPr>
        <w:fldChar w:fldCharType="begin"/>
      </w:r>
      <w:r>
        <w:instrText>xe "</w:instrText>
      </w:r>
      <w:r>
        <w:rPr>
          <w:rStyle w:val="xeentry"/>
        </w:rPr>
        <w:instrText>selbri: place structure of converted operator</w:instrText>
      </w:r>
      <w:r>
        <w:instrText>"</w:instrText>
      </w:r>
      <w:r>
        <w:rPr>
          <w:rStyle w:val="indexentry"/>
        </w:rPr>
        <w:fldChar w:fldCharType="end"/>
      </w:r>
      <w:r>
        <w:t>The cmavo “nu'a” is the inverse of “na'u”, and allows a mekso operator</w:t>
      </w:r>
      <w:r>
        <w:rPr>
          <w:rStyle w:val="deletedparamark"/>
        </w:rPr>
        <w:t xml:space="preserve"> </w:t>
      </w:r>
      <w:r>
        <w:t>to be used as a normal selbri, with the place structure:</w:t>
      </w:r>
    </w:p>
    <w:p w:rsidR="00B72047" w:rsidRDefault="00B72047">
      <w:pPr>
        <w:rPr>
          <w:rStyle w:val="htmlparacode"/>
        </w:rPr>
      </w:pPr>
      <w:r>
        <w:rPr>
          <w:rStyle w:val="htmlparacode"/>
        </w:rPr>
        <w:t>&lt;p&gt;</w:t>
      </w:r>
    </w:p>
    <w:p w:rsidR="00B72047" w:rsidRDefault="00B72047" w:rsidP="007E67C1">
      <w:pPr>
        <w:pStyle w:val="placestructure"/>
        <w:numPr>
          <w:ilvl w:val="0"/>
          <w:numId w:val="0"/>
        </w:numPr>
        <w:ind w:left="504" w:hanging="504"/>
      </w:pPr>
      <w:r>
        <w:rPr>
          <w:rStyle w:val="htmlcodes"/>
        </w:rPr>
        <w:t>&lt;dl compact&gt;&lt;dt&gt;&lt;dd&gt;</w:t>
      </w:r>
      <w:r>
        <w:t>x1 is the result of applying (operator) to x2, x3, </w:t>
      </w:r>
      <w:r>
        <w:rPr>
          <w:rStyle w:val="htmlcodes"/>
        </w:rPr>
        <w:t>&lt;dots&gt;</w:t>
      </w:r>
      <w:r>
        <w:t>…</w:t>
      </w:r>
      <w:r>
        <w:rPr>
          <w:rStyle w:val="htmlcodes"/>
        </w:rPr>
        <w:t>&lt;/dots&gt;</w:t>
      </w:r>
    </w:p>
    <w:p w:rsidR="00B72047" w:rsidRDefault="00B72047">
      <w:pPr>
        <w:pStyle w:val="resumedafterexample"/>
      </w:pPr>
      <w:r>
        <w:rPr>
          <w:rStyle w:val="htmlcodes"/>
        </w:rPr>
        <w:t>&lt;/dl&gt;</w:t>
      </w:r>
      <w:r>
        <w:t>for as many places as may be required.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name=e19d3&gt;</w:t>
      </w:r>
      <w:r>
        <w:t>19.3)</w:t>
      </w:r>
      <w:r>
        <w:tab/>
        <w:t>li ni'umu cu nu'a va'a li ma'umu</w:t>
      </w:r>
    </w:p>
    <w:p w:rsidR="00B72047" w:rsidRDefault="00B72047">
      <w:pPr>
        <w:pStyle w:val="examplescaled"/>
      </w:pPr>
      <w:r>
        <w:tab/>
        <w:t xml:space="preserve">The-number </w:t>
      </w:r>
      <w:r>
        <w:rPr>
          <w:rStyle w:val="htmlcodes"/>
        </w:rPr>
        <w:t>&lt;math&gt;</w:t>
      </w:r>
      <w:r>
        <w:rPr>
          <w:rStyle w:val="math"/>
        </w:rPr>
        <w:t xml:space="preserve">-5 </w:t>
      </w:r>
      <w:r>
        <w:rPr>
          <w:rStyle w:val="htmlcodes"/>
        </w:rPr>
        <w:t>&lt;/math&gt;</w:t>
      </w:r>
      <w:r>
        <w:t xml:space="preserve">is-the-negation-of the-number </w:t>
      </w:r>
      <w:r>
        <w:rPr>
          <w:rStyle w:val="htmlcodes"/>
        </w:rPr>
        <w:t>&lt;math&gt;</w:t>
      </w:r>
      <w:r>
        <w:rPr>
          <w:rStyle w:val="math"/>
        </w:rPr>
        <w:t>+5</w:t>
      </w:r>
      <w:r>
        <w:rPr>
          <w:rStyle w:val="htmlcodes"/>
        </w:rPr>
        <w:t>&lt;/math&gt;</w:t>
      </w:r>
      <w:r>
        <w:t>.</w:t>
      </w:r>
    </w:p>
    <w:p w:rsidR="00B72047" w:rsidRDefault="00B72047">
      <w:pPr>
        <w:pStyle w:val="resumedafterexample"/>
      </w:pPr>
      <w:r>
        <w:rPr>
          <w:rStyle w:val="htmlcodes"/>
        </w:rPr>
        <w:t>&lt;/pre&gt;</w:t>
      </w:r>
      <w:r>
        <w:t>uses “nu'a” to make the operator “va'a” into a two-place bridi.</w:t>
      </w:r>
    </w:p>
    <w:p w:rsidR="00B72047" w:rsidRDefault="00B72047">
      <w:pPr>
        <w:rPr>
          <w:rStyle w:val="htmlparacode"/>
        </w:rPr>
      </w:pPr>
      <w:r>
        <w:rPr>
          <w:rStyle w:val="htmlparacode"/>
        </w:rPr>
        <w:t>&lt;p&gt;</w:t>
      </w:r>
    </w:p>
    <w:p w:rsidR="00B72047" w:rsidRDefault="00B72047">
      <w:pPr>
        <w:pStyle w:val="normalparagraph"/>
      </w:pPr>
      <w:r>
        <w:rPr>
          <w:rStyle w:val="indexentry"/>
        </w:rPr>
        <w:t>&lt;cx "questions, operator"&gt;</w:t>
      </w:r>
      <w:r>
        <w:rPr>
          <w:rStyle w:val="indexentry"/>
        </w:rPr>
        <w:fldChar w:fldCharType="begin"/>
      </w:r>
      <w:r>
        <w:instrText>xe "</w:instrText>
      </w:r>
      <w:r>
        <w:rPr>
          <w:rStyle w:val="xeentry"/>
        </w:rPr>
        <w:instrText>questions: operator</w:instrText>
      </w:r>
      <w:r>
        <w:instrText>"</w:instrText>
      </w:r>
      <w:r>
        <w:rPr>
          <w:rStyle w:val="indexentry"/>
        </w:rPr>
        <w:fldChar w:fldCharType="end"/>
      </w:r>
      <w:r>
        <w:rPr>
          <w:rStyle w:val="indexentry"/>
        </w:rPr>
        <w:t>&lt;cx "answers, to operator questions"&gt;</w:t>
      </w:r>
      <w:r>
        <w:rPr>
          <w:rStyle w:val="indexentry"/>
        </w:rPr>
        <w:fldChar w:fldCharType="begin"/>
      </w:r>
      <w:r>
        <w:instrText>xe "</w:instrText>
      </w:r>
      <w:r>
        <w:rPr>
          <w:rStyle w:val="xeentry"/>
        </w:rPr>
        <w:instrText>answers: to operator questions</w:instrText>
      </w:r>
      <w:r>
        <w:instrText>"</w:instrText>
      </w:r>
      <w:r>
        <w:rPr>
          <w:rStyle w:val="indexentry"/>
        </w:rPr>
        <w:fldChar w:fldCharType="end"/>
      </w:r>
      <w:r>
        <w:rPr>
          <w:rStyle w:val="indexentry"/>
        </w:rPr>
        <w:t>&lt;cx "na'u, use in asking operator questions"&gt;</w:t>
      </w:r>
      <w:r>
        <w:rPr>
          <w:rStyle w:val="indexentry"/>
        </w:rPr>
        <w:fldChar w:fldCharType="begin"/>
      </w:r>
      <w:r>
        <w:instrText>xe "</w:instrText>
      </w:r>
      <w:r>
        <w:rPr>
          <w:rStyle w:val="xeentry"/>
        </w:rPr>
        <w:instrText>na'u: use in asking operator questions</w:instrText>
      </w:r>
      <w:r>
        <w:instrText>"</w:instrText>
      </w:r>
      <w:r>
        <w:rPr>
          <w:rStyle w:val="indexentry"/>
        </w:rPr>
        <w:fldChar w:fldCharType="end"/>
      </w:r>
      <w:r>
        <w:rPr>
          <w:rStyle w:val="indexentry"/>
        </w:rPr>
        <w:t>&lt;cx "nu'a, use in answering operator questions"&gt;</w:t>
      </w:r>
      <w:r>
        <w:rPr>
          <w:rStyle w:val="indexentry"/>
        </w:rPr>
        <w:fldChar w:fldCharType="begin"/>
      </w:r>
      <w:r>
        <w:instrText>xe "</w:instrText>
      </w:r>
      <w:r>
        <w:rPr>
          <w:rStyle w:val="xeentry"/>
        </w:rPr>
        <w:instrText>nu'a: use in answering operator questions</w:instrText>
      </w:r>
      <w:r>
        <w:instrText>"</w:instrText>
      </w:r>
      <w:r>
        <w:rPr>
          <w:rStyle w:val="indexentry"/>
        </w:rPr>
        <w:fldChar w:fldCharType="end"/>
      </w:r>
      <w:r>
        <w:t>Used together, “nu'a” and “na'u” make it possible to ask questions about</w:t>
      </w:r>
      <w:r>
        <w:rPr>
          <w:rStyle w:val="deletedparamark"/>
        </w:rPr>
        <w:t xml:space="preserve"> </w:t>
      </w:r>
      <w:r>
        <w:t>mekso o</w:t>
      </w:r>
      <w:r>
        <w:t>p</w:t>
      </w:r>
      <w:r>
        <w:softHyphen/>
        <w:t>erators, even though there is no specific cmavo for an operator</w:t>
      </w:r>
      <w:r>
        <w:rPr>
          <w:rStyle w:val="deletedparamark"/>
        </w:rPr>
        <w:t xml:space="preserve"> </w:t>
      </w:r>
      <w:r>
        <w:t>question, nor is it gra</w:t>
      </w:r>
      <w:r>
        <w:t>m</w:t>
      </w:r>
      <w:r>
        <w:softHyphen/>
        <w:t>matical to utter an operator in isolation.</w:t>
      </w:r>
      <w:r>
        <w:rPr>
          <w:rStyle w:val="deletedparamark"/>
        </w:rPr>
        <w:t xml:space="preserve"> </w:t>
      </w:r>
      <w:r>
        <w:t xml:space="preserve">Consider </w:t>
      </w:r>
      <w:r>
        <w:rPr>
          <w:rStyle w:val="htmlcodes"/>
        </w:rPr>
        <w:t>&lt;a href=#e19d4&gt;</w:t>
      </w:r>
      <w:r>
        <w:t>Example 19.4</w:t>
      </w:r>
      <w:r>
        <w:rPr>
          <w:rStyle w:val="htmlcodes"/>
        </w:rPr>
        <w:t>&lt;/a&gt;</w:t>
      </w:r>
      <w:r>
        <w:t xml:space="preserve">, to which </w:t>
      </w:r>
      <w:r>
        <w:rPr>
          <w:rStyle w:val="htmlcodes"/>
        </w:rPr>
        <w:t>&lt;a href=#e19d5&gt;</w:t>
      </w:r>
      <w:r>
        <w:t>Exam</w:t>
      </w:r>
      <w:r>
        <w:softHyphen/>
        <w:t xml:space="preserve">ple 19.5 </w:t>
      </w:r>
      <w:r>
        <w:rPr>
          <w:rStyle w:val="htmlcodes"/>
        </w:rPr>
        <w:t>&lt;/a&gt;</w:t>
      </w:r>
      <w:r>
        <w:t>is one correct answer: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name=e19d4&gt;</w:t>
      </w:r>
      <w:r>
        <w:t>19.4)</w:t>
      </w:r>
      <w:r>
        <w:tab/>
        <w:t>li re na'u mo re du li vo</w:t>
      </w:r>
    </w:p>
    <w:p w:rsidR="00B72047" w:rsidRDefault="00B72047">
      <w:pPr>
        <w:pStyle w:val="examplescaled"/>
      </w:pPr>
      <w:r>
        <w:tab/>
        <w:t>The-number two what-operator? two equals the-number four</w:t>
      </w:r>
    </w:p>
    <w:p w:rsidR="00B72047" w:rsidRDefault="00B72047">
      <w:pPr>
        <w:pStyle w:val="examplescaled"/>
        <w:rPr>
          <w:rStyle w:val="math"/>
        </w:rPr>
      </w:pPr>
      <w:r>
        <w:rPr>
          <w:rStyle w:val="math"/>
        </w:rPr>
        <w:tab/>
      </w:r>
      <w:r>
        <w:rPr>
          <w:rStyle w:val="htmlcodes"/>
        </w:rPr>
        <w:t>&lt;math&gt;</w:t>
      </w:r>
      <w:r>
        <w:rPr>
          <w:rStyle w:val="math"/>
        </w:rPr>
        <w:t>2 ? 2 = 4</w:t>
      </w:r>
      <w:r>
        <w:rPr>
          <w:rStyle w:val="htmlcodes"/>
        </w:rPr>
        <w:t>&lt;/math&gt;</w:t>
      </w:r>
    </w:p>
    <w:p w:rsidR="00B72047" w:rsidRDefault="00B72047">
      <w:pPr>
        <w:pStyle w:val="examplescaledpre"/>
      </w:pPr>
      <w:r>
        <w:rPr>
          <w:rStyle w:val="htmlcodes"/>
        </w:rPr>
        <w:t>&lt;a name=e19d5&gt;</w:t>
      </w:r>
      <w:r>
        <w:t>19.5)</w:t>
      </w:r>
      <w:r>
        <w:tab/>
        <w:t>nu'a su'i</w:t>
      </w:r>
    </w:p>
    <w:p w:rsidR="00B72047" w:rsidRDefault="00B72047">
      <w:pPr>
        <w:pStyle w:val="examplescaled"/>
      </w:pPr>
      <w:r>
        <w:tab/>
        <w:t>plus</w:t>
      </w:r>
    </w:p>
    <w:p w:rsidR="00B72047" w:rsidRDefault="00B72047">
      <w:pPr>
        <w:pStyle w:val="resumedafterexample"/>
      </w:pPr>
      <w:r>
        <w:rPr>
          <w:rStyle w:val="htmlcodes"/>
        </w:rPr>
        <w:t>&lt;/pre&gt;&lt;p&gt;</w:t>
      </w:r>
      <w:r>
        <w:t xml:space="preserve">In </w:t>
      </w:r>
      <w:r>
        <w:rPr>
          <w:rStyle w:val="htmlcodes"/>
        </w:rPr>
        <w:t>&lt;a href=#e19d4&gt;</w:t>
      </w:r>
      <w:r>
        <w:t>Example 19.4</w:t>
      </w:r>
      <w:r>
        <w:rPr>
          <w:rStyle w:val="htmlcodes"/>
        </w:rPr>
        <w:t>&lt;/a&gt;</w:t>
      </w:r>
      <w:r>
        <w:t>, “na'u mo” is an operator question, because “mo” is the</w:t>
      </w:r>
      <w:r>
        <w:rPr>
          <w:rStyle w:val="deletedparamark"/>
        </w:rPr>
        <w:t xml:space="preserve"> </w:t>
      </w:r>
      <w:r>
        <w:t>selbri question cmavo and “na'u” makes the selbri into an operator.</w:t>
      </w:r>
      <w:r>
        <w:rPr>
          <w:rStyle w:val="deletedparamark"/>
        </w:rPr>
        <w:t xml:space="preserve"> </w:t>
      </w:r>
      <w:r>
        <w:rPr>
          <w:rStyle w:val="htmlcodes"/>
        </w:rPr>
        <w:t>&lt;a href=#e19d5&gt;</w:t>
      </w:r>
      <w:r>
        <w:t xml:space="preserve">Example 19.5 </w:t>
      </w:r>
      <w:r>
        <w:rPr>
          <w:rStyle w:val="htmlcodes"/>
        </w:rPr>
        <w:t>&lt;/a&gt;</w:t>
      </w:r>
      <w:r>
        <w:t>makes the true an</w:t>
      </w:r>
      <w:r>
        <w:softHyphen/>
        <w:t>swer “su'i” into a selbri (which is a legal</w:t>
      </w:r>
      <w:r>
        <w:rPr>
          <w:rStyle w:val="deletedparamark"/>
        </w:rPr>
        <w:t xml:space="preserve"> </w:t>
      </w:r>
      <w:r>
        <w:t>utterance) with the inverse cmavo “nu'a”. Me</w:t>
      </w:r>
      <w:r>
        <w:softHyphen/>
        <w:t>chani</w:t>
      </w:r>
      <w:r>
        <w:softHyphen/>
        <w:t>cally speaking, inserting</w:t>
      </w:r>
      <w:r>
        <w:rPr>
          <w:rStyle w:val="deletedparamark"/>
        </w:rPr>
        <w:t xml:space="preserve"> </w:t>
      </w:r>
      <w:r>
        <w:rPr>
          <w:rStyle w:val="htmlcodes"/>
        </w:rPr>
        <w:t>&lt;a href=#e19d5&gt;</w:t>
      </w:r>
      <w:r>
        <w:t xml:space="preserve">Example 19.5 </w:t>
      </w:r>
      <w:r>
        <w:rPr>
          <w:rStyle w:val="htmlcodes"/>
        </w:rPr>
        <w:t>&lt;/a&gt;</w:t>
      </w:r>
      <w:r>
        <w:t xml:space="preserve">into </w:t>
      </w:r>
      <w:r>
        <w:rPr>
          <w:rStyle w:val="htmlcodes"/>
        </w:rPr>
        <w:t>&lt;a href=#e19d4&gt;</w:t>
      </w:r>
      <w:r>
        <w:t xml:space="preserve">Example 19.4 </w:t>
      </w:r>
      <w:r>
        <w:rPr>
          <w:rStyle w:val="htmlcodes"/>
        </w:rPr>
        <w:t>&lt;/a&gt;</w:t>
      </w:r>
      <w:r>
        <w:t>produces: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name=e19d6&gt;</w:t>
      </w:r>
      <w:r>
        <w:t>19.6)</w:t>
      </w:r>
      <w:r>
        <w:tab/>
        <w:t>li re na'u nu'a su'i re du li vo</w:t>
      </w:r>
    </w:p>
    <w:p w:rsidR="00B72047" w:rsidRDefault="00B72047">
      <w:pPr>
        <w:pStyle w:val="examplescaled"/>
      </w:pPr>
      <w:r>
        <w:tab/>
        <w:t>The-number two (the-operator the-selbri plus) two equals the-number four.</w:t>
      </w:r>
    </w:p>
    <w:p w:rsidR="00B72047" w:rsidRDefault="00B72047">
      <w:pPr>
        <w:pStyle w:val="resumedafterexample"/>
      </w:pPr>
      <w:r>
        <w:rPr>
          <w:rStyle w:val="htmlcodes"/>
        </w:rPr>
        <w:t>&lt;/pre&gt;</w:t>
      </w:r>
      <w:r>
        <w:t>where the “na'u nu'a” cancels out, leaving a truthful bridi.</w:t>
      </w:r>
    </w:p>
    <w:p w:rsidR="00B72047" w:rsidRDefault="00B72047">
      <w:pPr>
        <w:rPr>
          <w:rStyle w:val="htmlparacode"/>
        </w:rPr>
      </w:pPr>
      <w:r>
        <w:rPr>
          <w:rStyle w:val="htmlparacode"/>
        </w:rPr>
        <w:t>&lt;p&gt;</w:t>
      </w:r>
    </w:p>
    <w:p w:rsidR="00B72047" w:rsidRDefault="00B72047">
      <w:pPr>
        <w:pStyle w:val="normalparagraph"/>
      </w:pPr>
      <w:r>
        <w:rPr>
          <w:rStyle w:val="indexentry"/>
        </w:rPr>
        <w:t>&lt;lx "mai"&gt;</w:t>
      </w:r>
      <w:r>
        <w:rPr>
          <w:rStyle w:val="indexentry"/>
        </w:rPr>
        <w:fldChar w:fldCharType="begin"/>
      </w:r>
      <w:r>
        <w:instrText>xe "</w:instrText>
      </w:r>
      <w:r>
        <w:rPr>
          <w:rStyle w:val="xeentry"/>
        </w:rPr>
        <w:instrText>mai</w:instrText>
      </w:r>
      <w:r>
        <w:instrText>"</w:instrText>
      </w:r>
      <w:r>
        <w:rPr>
          <w:rStyle w:val="indexentry"/>
        </w:rPr>
        <w:fldChar w:fldCharType="end"/>
      </w:r>
      <w:r>
        <w:rPr>
          <w:rStyle w:val="indexentry"/>
        </w:rPr>
        <w:t>&lt;lx "MAI"&gt;</w:t>
      </w:r>
      <w:r>
        <w:rPr>
          <w:rStyle w:val="indexentry"/>
        </w:rPr>
        <w:fldChar w:fldCharType="begin"/>
      </w:r>
      <w:r>
        <w:instrText>xe "</w:instrText>
      </w:r>
      <w:r>
        <w:rPr>
          <w:rStyle w:val="xeentry"/>
        </w:rPr>
        <w:instrText>MAI selma’o</w:instrText>
      </w:r>
      <w:r>
        <w:instrText>"</w:instrText>
      </w:r>
      <w:r>
        <w:rPr>
          <w:rStyle w:val="indexentry"/>
        </w:rPr>
        <w:fldChar w:fldCharType="end"/>
      </w:r>
      <w:r>
        <w:rPr>
          <w:rStyle w:val="indexentry"/>
        </w:rPr>
        <w:t>&lt;ex "firstly"&gt;</w:t>
      </w:r>
      <w:r>
        <w:rPr>
          <w:rStyle w:val="indexentry"/>
        </w:rPr>
        <w:fldChar w:fldCharType="begin"/>
      </w:r>
      <w:r>
        <w:instrText>xe "</w:instrText>
      </w:r>
      <w:r>
        <w:rPr>
          <w:rStyle w:val="xeentry"/>
        </w:rPr>
        <w:instrText>firstly: example</w:instrText>
      </w:r>
      <w:r>
        <w:instrText>"</w:instrText>
      </w:r>
      <w:r>
        <w:rPr>
          <w:rStyle w:val="indexentry"/>
        </w:rPr>
        <w:fldChar w:fldCharType="end"/>
      </w:r>
      <w:r>
        <w:rPr>
          <w:rStyle w:val="indexentry"/>
        </w:rPr>
        <w:t>&lt;cx "text, sub-division numbering with -mai"&gt;</w:t>
      </w:r>
      <w:r>
        <w:rPr>
          <w:rStyle w:val="indexentry"/>
        </w:rPr>
        <w:fldChar w:fldCharType="begin"/>
      </w:r>
      <w:r>
        <w:instrText>xe "</w:instrText>
      </w:r>
      <w:r>
        <w:rPr>
          <w:rStyle w:val="xeentry"/>
        </w:rPr>
        <w:instrText>text: sub-division numbering with -mai</w:instrText>
      </w:r>
      <w:r>
        <w:instrText>"</w:instrText>
      </w:r>
      <w:r>
        <w:rPr>
          <w:rStyle w:val="indexentry"/>
        </w:rPr>
        <w:fldChar w:fldCharType="end"/>
      </w:r>
      <w:r>
        <w:rPr>
          <w:rStyle w:val="indexentry"/>
        </w:rPr>
        <w:t>&lt;cx "section numbering"&gt;</w:t>
      </w:r>
      <w:r>
        <w:rPr>
          <w:rStyle w:val="indexentry"/>
        </w:rPr>
        <w:fldChar w:fldCharType="begin"/>
      </w:r>
      <w:r>
        <w:instrText>xe "</w:instrText>
      </w:r>
      <w:r>
        <w:rPr>
          <w:rStyle w:val="xeentry"/>
        </w:rPr>
        <w:instrText>section numbering</w:instrText>
      </w:r>
      <w:r>
        <w:instrText>"</w:instrText>
      </w:r>
      <w:r>
        <w:rPr>
          <w:rStyle w:val="indexentry"/>
        </w:rPr>
        <w:fldChar w:fldCharType="end"/>
      </w:r>
      <w:r>
        <w:rPr>
          <w:rStyle w:val="indexentry"/>
        </w:rPr>
        <w:t>&lt;cx "digit string, definition of"&gt;</w:t>
      </w:r>
      <w:r>
        <w:rPr>
          <w:rStyle w:val="indexentry"/>
        </w:rPr>
        <w:fldChar w:fldCharType="begin"/>
      </w:r>
      <w:r>
        <w:instrText>xe "</w:instrText>
      </w:r>
      <w:r>
        <w:rPr>
          <w:rStyle w:val="xeentry"/>
        </w:rPr>
        <w:instrText>digit string: definition of</w:instrText>
      </w:r>
      <w:r>
        <w:instrText>"</w:instrText>
      </w:r>
      <w:r>
        <w:rPr>
          <w:rStyle w:val="indexentry"/>
        </w:rPr>
        <w:fldChar w:fldCharType="end"/>
      </w:r>
      <w:r>
        <w:t>Numerical free modifiers, corresponding to English “firstly”, “secondly”,</w:t>
      </w:r>
      <w:r>
        <w:rPr>
          <w:rStyle w:val="deletedparamark"/>
        </w:rPr>
        <w:t xml:space="preserve"> </w:t>
      </w:r>
      <w:r>
        <w:t>and so on, can be created by suffixing a member of selma'o MAI to a digit</w:t>
      </w:r>
      <w:r>
        <w:rPr>
          <w:rStyle w:val="deletedparamark"/>
        </w:rPr>
        <w:t xml:space="preserve"> </w:t>
      </w:r>
      <w:r>
        <w:t>string or a lerfu string. (Digit strings are compound cmavo beginning with</w:t>
      </w:r>
      <w:r>
        <w:rPr>
          <w:rStyle w:val="deletedparamark"/>
        </w:rPr>
        <w:t xml:space="preserve"> </w:t>
      </w:r>
      <w:r>
        <w:t>a cmavo of selma'o PA, and contai</w:t>
      </w:r>
      <w:r>
        <w:t>n</w:t>
      </w:r>
      <w:r>
        <w:softHyphen/>
        <w:t>ing only cmavo of PA or BY; lerfu strings</w:t>
      </w:r>
      <w:r>
        <w:rPr>
          <w:rStyle w:val="deletedparamark"/>
        </w:rPr>
        <w:t xml:space="preserve"> </w:t>
      </w:r>
      <w:r>
        <w:t>begin with a cmavo of selma'o BY, and lik</w:t>
      </w:r>
      <w:r>
        <w:t>e</w:t>
      </w:r>
      <w:r>
        <w:softHyphen/>
        <w:t xml:space="preserve">wise contain only PA or BY cmavo.) </w:t>
      </w:r>
      <w:r>
        <w:rPr>
          <w:rStyle w:val="deletedparamark"/>
        </w:rPr>
        <w:t xml:space="preserve"> </w:t>
      </w:r>
      <w:r>
        <w:t>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name=e19d7&gt;</w:t>
      </w:r>
      <w:r>
        <w:t>19.7)</w:t>
      </w:r>
      <w:r>
        <w:tab/>
        <w:t>pamai</w:t>
      </w:r>
    </w:p>
    <w:p w:rsidR="00B72047" w:rsidRDefault="00B72047">
      <w:pPr>
        <w:pStyle w:val="examplescaled"/>
      </w:pPr>
      <w:r>
        <w:tab/>
        <w:t>firstly</w:t>
      </w:r>
    </w:p>
    <w:p w:rsidR="00B72047" w:rsidRDefault="00B72047">
      <w:pPr>
        <w:pStyle w:val="examplescaledpre"/>
      </w:pPr>
      <w:r>
        <w:rPr>
          <w:rStyle w:val="htmlcodes"/>
        </w:rPr>
        <w:t>&lt;a name=e19d8&gt;</w:t>
      </w:r>
      <w:r>
        <w:t>19.8)</w:t>
      </w:r>
      <w:r>
        <w:tab/>
        <w:t>remai</w:t>
      </w:r>
    </w:p>
    <w:p w:rsidR="00B72047" w:rsidRDefault="00B72047">
      <w:pPr>
        <w:pStyle w:val="examplescaled"/>
      </w:pPr>
      <w:r>
        <w:tab/>
        <w:t>secondly</w:t>
      </w:r>
    </w:p>
    <w:p w:rsidR="00B72047" w:rsidRDefault="00B72047">
      <w:pPr>
        <w:pStyle w:val="examplescaledpre"/>
      </w:pPr>
      <w:r>
        <w:rPr>
          <w:rStyle w:val="htmlcodes"/>
        </w:rPr>
        <w:t>&lt;a name=e19d9&gt;</w:t>
      </w:r>
      <w:r>
        <w:t>19.9)</w:t>
      </w:r>
      <w:r>
        <w:tab/>
        <w:t>romai</w:t>
      </w:r>
    </w:p>
    <w:p w:rsidR="00B72047" w:rsidRDefault="00B72047">
      <w:pPr>
        <w:pStyle w:val="examplescaled"/>
      </w:pPr>
      <w:r>
        <w:tab/>
        <w:t>all-ly</w:t>
      </w:r>
    </w:p>
    <w:p w:rsidR="00B72047" w:rsidRDefault="00B72047">
      <w:pPr>
        <w:pStyle w:val="examplescaled"/>
      </w:pPr>
      <w:r>
        <w:tab/>
        <w:t>lastly</w:t>
      </w:r>
    </w:p>
    <w:p w:rsidR="00B72047" w:rsidRDefault="00B72047">
      <w:pPr>
        <w:pStyle w:val="examplescaledpre"/>
      </w:pPr>
      <w:r>
        <w:t>19.10)</w:t>
      </w:r>
      <w:r>
        <w:tab/>
        <w:t>ny.mai</w:t>
      </w:r>
    </w:p>
    <w:p w:rsidR="00B72047" w:rsidRDefault="00B72047">
      <w:pPr>
        <w:pStyle w:val="examplescaled"/>
      </w:pPr>
      <w:r>
        <w:tab/>
        <w:t>nth-ly</w:t>
      </w:r>
    </w:p>
    <w:p w:rsidR="00B72047" w:rsidRDefault="00B72047">
      <w:pPr>
        <w:pStyle w:val="examplescaledpre"/>
      </w:pPr>
      <w:r>
        <w:rPr>
          <w:rStyle w:val="htmlcodes"/>
        </w:rPr>
        <w:t>&lt;a name=e19d10&gt;&lt;a name=e19d11&gt;</w:t>
      </w:r>
      <w:r>
        <w:t>19.11)</w:t>
      </w:r>
      <w:r>
        <w:tab/>
        <w:t>pasomo'o</w:t>
      </w:r>
    </w:p>
    <w:p w:rsidR="00B72047" w:rsidRDefault="00B72047">
      <w:pPr>
        <w:pStyle w:val="examplescaled"/>
      </w:pPr>
      <w:r>
        <w:tab/>
        <w:t>nineteenthly (higher order)</w:t>
      </w:r>
    </w:p>
    <w:p w:rsidR="00B72047" w:rsidRDefault="00B72047">
      <w:pPr>
        <w:pStyle w:val="examplescaled"/>
      </w:pPr>
      <w:r>
        <w:tab/>
      </w:r>
      <w:r>
        <w:rPr>
          <w:rStyle w:val="htmlcodes"/>
        </w:rPr>
        <w:t>&lt;a href=#s19&gt;</w:t>
      </w:r>
      <w:r>
        <w:t>Section 19</w:t>
      </w:r>
      <w:r>
        <w:rPr>
          <w:rStyle w:val="htmlcodes"/>
        </w:rPr>
        <w:t>&lt;/a&gt;</w:t>
      </w:r>
    </w:p>
    <w:p w:rsidR="00B72047" w:rsidRDefault="00B72047">
      <w:pPr>
        <w:pStyle w:val="resumedafterexample"/>
      </w:pPr>
      <w:r>
        <w:rPr>
          <w:rStyle w:val="htmlcodes"/>
        </w:rPr>
        <w:t>&lt;/pre&gt;</w:t>
      </w:r>
      <w:r>
        <w:rPr>
          <w:rStyle w:val="indexentry"/>
        </w:rPr>
        <w:t>&lt;lx "mo'o"&gt;</w:t>
      </w:r>
      <w:r>
        <w:rPr>
          <w:rStyle w:val="indexentry"/>
        </w:rPr>
        <w:fldChar w:fldCharType="begin"/>
      </w:r>
      <w:r>
        <w:instrText>xe "</w:instrText>
      </w:r>
      <w:r>
        <w:rPr>
          <w:rStyle w:val="xeentry"/>
        </w:rPr>
        <w:instrText>mo'o</w:instrText>
      </w:r>
      <w:r>
        <w:instrText>"</w:instrText>
      </w:r>
      <w:r>
        <w:rPr>
          <w:rStyle w:val="indexentry"/>
        </w:rPr>
        <w:fldChar w:fldCharType="end"/>
      </w:r>
      <w:r>
        <w:rPr>
          <w:rStyle w:val="indexentry"/>
        </w:rPr>
        <w:t>&lt;lx "MAI"&gt;</w:t>
      </w:r>
      <w:r>
        <w:rPr>
          <w:rStyle w:val="indexentry"/>
        </w:rPr>
        <w:fldChar w:fldCharType="begin"/>
      </w:r>
      <w:r>
        <w:instrText>xe "</w:instrText>
      </w:r>
      <w:r>
        <w:rPr>
          <w:rStyle w:val="xeentry"/>
        </w:rPr>
        <w:instrText>MAI selma’o</w:instrText>
      </w:r>
      <w:r>
        <w:instrText>"</w:instrText>
      </w:r>
      <w:r>
        <w:rPr>
          <w:rStyle w:val="indexentry"/>
        </w:rPr>
        <w:fldChar w:fldCharType="end"/>
      </w:r>
      <w:r>
        <w:rPr>
          <w:rStyle w:val="indexentry"/>
        </w:rPr>
        <w:t>&lt;ex "firstly"&gt;</w:t>
      </w:r>
      <w:r>
        <w:rPr>
          <w:rStyle w:val="indexentry"/>
        </w:rPr>
        <w:fldChar w:fldCharType="begin"/>
      </w:r>
      <w:r>
        <w:instrText>xe "</w:instrText>
      </w:r>
      <w:r>
        <w:rPr>
          <w:rStyle w:val="xeentry"/>
        </w:rPr>
        <w:instrText>firstly: example</w:instrText>
      </w:r>
      <w:r>
        <w:instrText>"</w:instrText>
      </w:r>
      <w:r>
        <w:rPr>
          <w:rStyle w:val="indexentry"/>
        </w:rPr>
        <w:fldChar w:fldCharType="end"/>
      </w:r>
      <w:r>
        <w:rPr>
          <w:rStyle w:val="indexentry"/>
        </w:rPr>
        <w:t>&lt;cx "text, division numbering with -mai"&gt;</w:t>
      </w:r>
      <w:r>
        <w:rPr>
          <w:rStyle w:val="indexentry"/>
        </w:rPr>
        <w:fldChar w:fldCharType="begin"/>
      </w:r>
      <w:r>
        <w:instrText>xe "</w:instrText>
      </w:r>
      <w:r>
        <w:rPr>
          <w:rStyle w:val="xeentry"/>
        </w:rPr>
        <w:instrText>text: division numbering with -mai</w:instrText>
      </w:r>
      <w:r>
        <w:instrText>"</w:instrText>
      </w:r>
      <w:r>
        <w:rPr>
          <w:rStyle w:val="indexentry"/>
        </w:rPr>
        <w:fldChar w:fldCharType="end"/>
      </w:r>
      <w:r>
        <w:rPr>
          <w:rStyle w:val="indexentry"/>
        </w:rPr>
        <w:t>&lt;cx "mai, contrasted with mo'o"&gt;</w:t>
      </w:r>
      <w:r>
        <w:rPr>
          <w:rStyle w:val="indexentry"/>
        </w:rPr>
        <w:fldChar w:fldCharType="begin"/>
      </w:r>
      <w:r>
        <w:instrText>xe "</w:instrText>
      </w:r>
      <w:r>
        <w:rPr>
          <w:rStyle w:val="xeentry"/>
        </w:rPr>
        <w:instrText>mai: contrasted with mo'o</w:instrText>
      </w:r>
      <w:r>
        <w:instrText>"</w:instrText>
      </w:r>
      <w:r>
        <w:rPr>
          <w:rStyle w:val="indexentry"/>
        </w:rPr>
        <w:fldChar w:fldCharType="end"/>
      </w:r>
      <w:r>
        <w:rPr>
          <w:rStyle w:val="indexentry"/>
        </w:rPr>
        <w:t>&lt;cx "mo'o, contrasted with mai"&gt;</w:t>
      </w:r>
      <w:r>
        <w:rPr>
          <w:rStyle w:val="indexentry"/>
        </w:rPr>
        <w:fldChar w:fldCharType="begin"/>
      </w:r>
      <w:r>
        <w:instrText>xe "</w:instrText>
      </w:r>
      <w:r>
        <w:rPr>
          <w:rStyle w:val="xeentry"/>
        </w:rPr>
        <w:instrText>mo'o: contrasted with mai</w:instrText>
      </w:r>
      <w:r>
        <w:instrText>"</w:instrText>
      </w:r>
      <w:r>
        <w:rPr>
          <w:rStyle w:val="indexentry"/>
        </w:rPr>
        <w:fldChar w:fldCharType="end"/>
      </w:r>
      <w:r>
        <w:rPr>
          <w:rStyle w:val="indexentry"/>
        </w:rPr>
        <w:t>&lt;cx "chapter numbering"&gt;</w:t>
      </w:r>
      <w:r>
        <w:rPr>
          <w:rStyle w:val="indexentry"/>
        </w:rPr>
        <w:fldChar w:fldCharType="begin"/>
      </w:r>
      <w:r>
        <w:instrText>xe "</w:instrText>
      </w:r>
      <w:r>
        <w:rPr>
          <w:rStyle w:val="xeentry"/>
        </w:rPr>
        <w:instrText>chapter numbering</w:instrText>
      </w:r>
      <w:r>
        <w:instrText>"</w:instrText>
      </w:r>
      <w:r>
        <w:rPr>
          <w:rStyle w:val="indexentry"/>
        </w:rPr>
        <w:fldChar w:fldCharType="end"/>
      </w:r>
      <w:r>
        <w:t>The difference between “mai” and “mo'o” is that “mo'o” enumerates larger</w:t>
      </w:r>
      <w:r>
        <w:rPr>
          <w:rStyle w:val="deletedparamark"/>
        </w:rPr>
        <w:t xml:space="preserve"> </w:t>
      </w:r>
      <w:r>
        <w:t>subdivisions of a text. Each “mo'o” subdivision can then be divided into</w:t>
      </w:r>
      <w:r>
        <w:rPr>
          <w:rStyle w:val="deletedparamark"/>
        </w:rPr>
        <w:t xml:space="preserve"> </w:t>
      </w:r>
      <w:r>
        <w:t>pieces and internally num</w:t>
      </w:r>
      <w:r>
        <w:softHyphen/>
        <w:t>bered with “mai”. If this chapter were translated</w:t>
      </w:r>
      <w:r>
        <w:rPr>
          <w:rStyle w:val="deletedparamark"/>
        </w:rPr>
        <w:t xml:space="preserve"> </w:t>
      </w:r>
      <w:r>
        <w:t>into Lojban, each section would be num</w:t>
      </w:r>
      <w:r>
        <w:softHyphen/>
        <w:t>bered with “mo'o”.  (See Chapter 19 for more on these words.)</w:t>
      </w:r>
    </w:p>
    <w:p w:rsidR="00B72047" w:rsidRDefault="00B72047">
      <w:pPr>
        <w:rPr>
          <w:rStyle w:val="htmlparacode"/>
        </w:rPr>
      </w:pPr>
      <w:r>
        <w:rPr>
          <w:rStyle w:val="htmlparacode"/>
        </w:rPr>
        <w:t>&lt;p&gt;</w:t>
      </w:r>
    </w:p>
    <w:p w:rsidR="00B72047" w:rsidRDefault="00B72047">
      <w:pPr>
        <w:pStyle w:val="normalparagraph"/>
      </w:pPr>
      <w:r>
        <w:rPr>
          <w:rStyle w:val="indexentry"/>
        </w:rPr>
        <w:t>&lt;cx "tense, numerical"&gt;</w:t>
      </w:r>
      <w:r>
        <w:rPr>
          <w:rStyle w:val="indexentry"/>
        </w:rPr>
        <w:fldChar w:fldCharType="begin"/>
      </w:r>
      <w:r>
        <w:instrText>xe "</w:instrText>
      </w:r>
      <w:r>
        <w:rPr>
          <w:rStyle w:val="xeentry"/>
        </w:rPr>
        <w:instrText>tense: numerical</w:instrText>
      </w:r>
      <w:r>
        <w:instrText>"</w:instrText>
      </w:r>
      <w:r>
        <w:rPr>
          <w:rStyle w:val="indexentry"/>
        </w:rPr>
        <w:fldChar w:fldCharType="end"/>
      </w:r>
      <w:r>
        <w:rPr>
          <w:rStyle w:val="indexentry"/>
        </w:rPr>
        <w:t>&lt;lx "roi"&gt;</w:t>
      </w:r>
      <w:r>
        <w:rPr>
          <w:rStyle w:val="indexentry"/>
        </w:rPr>
        <w:fldChar w:fldCharType="begin"/>
      </w:r>
      <w:r>
        <w:instrText>xe "</w:instrText>
      </w:r>
      <w:r>
        <w:rPr>
          <w:rStyle w:val="xeentry"/>
        </w:rPr>
        <w:instrText>roi</w:instrText>
      </w:r>
      <w:r>
        <w:instrText>"</w:instrText>
      </w:r>
      <w:r>
        <w:rPr>
          <w:rStyle w:val="indexentry"/>
        </w:rPr>
        <w:fldChar w:fldCharType="end"/>
      </w:r>
      <w:r>
        <w:rPr>
          <w:rStyle w:val="indexentry"/>
        </w:rPr>
        <w:t>&lt;ex "once"&gt;</w:t>
      </w:r>
      <w:r>
        <w:rPr>
          <w:rStyle w:val="indexentry"/>
        </w:rPr>
        <w:fldChar w:fldCharType="begin"/>
      </w:r>
      <w:r>
        <w:instrText>xe "</w:instrText>
      </w:r>
      <w:r>
        <w:rPr>
          <w:rStyle w:val="xeentry"/>
        </w:rPr>
        <w:instrText>once: example</w:instrText>
      </w:r>
      <w:r>
        <w:instrText>"</w:instrText>
      </w:r>
      <w:r>
        <w:rPr>
          <w:rStyle w:val="indexentry"/>
        </w:rPr>
        <w:fldChar w:fldCharType="end"/>
      </w:r>
      <w:r>
        <w:t>A numerical tense can be created by suffixing a digit string with “roi”.</w:t>
      </w:r>
      <w:r>
        <w:rPr>
          <w:rStyle w:val="deletedparamark"/>
        </w:rPr>
        <w:t xml:space="preserve"> </w:t>
      </w:r>
      <w:r>
        <w:t>This usage generates tenses corresponding to English “once”, “twice”, and</w:t>
      </w:r>
      <w:r>
        <w:rPr>
          <w:rStyle w:val="deletedparamark"/>
        </w:rPr>
        <w:t xml:space="preserve"> </w:t>
      </w:r>
      <w:r>
        <w:t>so on. This topic belongs to a detailed discussion of Lojban tenses, and is</w:t>
      </w:r>
      <w:r>
        <w:rPr>
          <w:rStyle w:val="deletedparamark"/>
        </w:rPr>
        <w:t xml:space="preserve"> </w:t>
      </w:r>
      <w:r>
        <w:t xml:space="preserve">explained further in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&lt;lx "boi"&gt;</w:t>
      </w:r>
      <w:r>
        <w:rPr>
          <w:rStyle w:val="indexentry"/>
        </w:rPr>
        <w:fldChar w:fldCharType="begin"/>
      </w:r>
      <w:r>
        <w:instrText>xe "</w:instrText>
      </w:r>
      <w:r>
        <w:rPr>
          <w:rStyle w:val="xeentry"/>
        </w:rPr>
        <w:instrText>boi</w:instrText>
      </w:r>
      <w:r>
        <w:instrText>"</w:instrText>
      </w:r>
      <w:r>
        <w:rPr>
          <w:rStyle w:val="indexentry"/>
        </w:rPr>
        <w:fldChar w:fldCharType="end"/>
      </w:r>
      <w:r>
        <w:rPr>
          <w:rStyle w:val="indexentry"/>
        </w:rPr>
        <w:t>&lt;cx "ROI, exception on use of boi before"&gt;</w:t>
      </w:r>
      <w:r>
        <w:rPr>
          <w:rStyle w:val="indexentry"/>
        </w:rPr>
        <w:fldChar w:fldCharType="begin"/>
      </w:r>
      <w:r>
        <w:instrText>xe "</w:instrText>
      </w:r>
      <w:r>
        <w:rPr>
          <w:rStyle w:val="xeentry"/>
        </w:rPr>
        <w:instrText>ROI selma’o: exception on use of boi before</w:instrText>
      </w:r>
      <w:r>
        <w:instrText>"</w:instrText>
      </w:r>
      <w:r>
        <w:rPr>
          <w:rStyle w:val="indexentry"/>
        </w:rPr>
        <w:fldChar w:fldCharType="end"/>
      </w:r>
      <w:r>
        <w:rPr>
          <w:rStyle w:val="indexentry"/>
        </w:rPr>
        <w:t>&lt;cx "MAI, exception on use of boi before"&gt;</w:t>
      </w:r>
      <w:r>
        <w:rPr>
          <w:rStyle w:val="indexentry"/>
        </w:rPr>
        <w:fldChar w:fldCharType="begin"/>
      </w:r>
      <w:r>
        <w:instrText>xe "</w:instrText>
      </w:r>
      <w:r>
        <w:rPr>
          <w:rStyle w:val="xeentry"/>
        </w:rPr>
        <w:instrText>MAI selma’o: exception on use of boi before</w:instrText>
      </w:r>
      <w:r>
        <w:instrText>"</w:instrText>
      </w:r>
      <w:r>
        <w:rPr>
          <w:rStyle w:val="indexentry"/>
        </w:rPr>
        <w:fldChar w:fldCharType="end"/>
      </w:r>
      <w:r>
        <w:rPr>
          <w:rStyle w:val="indexentry"/>
        </w:rPr>
        <w:t>&lt;cx "boi, exception before MAI"&gt;</w:t>
      </w:r>
      <w:r>
        <w:rPr>
          <w:rStyle w:val="indexentry"/>
        </w:rPr>
        <w:fldChar w:fldCharType="begin"/>
      </w:r>
      <w:r>
        <w:instrText>xe "</w:instrText>
      </w:r>
      <w:r>
        <w:rPr>
          <w:rStyle w:val="xeentry"/>
        </w:rPr>
        <w:instrText>boi: exception before MAI</w:instrText>
      </w:r>
      <w:r>
        <w:instrText>"</w:instrText>
      </w:r>
      <w:r>
        <w:rPr>
          <w:rStyle w:val="indexentry"/>
        </w:rPr>
        <w:fldChar w:fldCharType="end"/>
      </w:r>
      <w:r>
        <w:rPr>
          <w:rStyle w:val="indexentry"/>
        </w:rPr>
        <w:t>&lt;cx "boi, exception before ROI"&gt;</w:t>
      </w:r>
      <w:r>
        <w:rPr>
          <w:rStyle w:val="indexentry"/>
        </w:rPr>
        <w:fldChar w:fldCharType="begin"/>
      </w:r>
      <w:r>
        <w:instrText>xe "</w:instrText>
      </w:r>
      <w:r>
        <w:rPr>
          <w:rStyle w:val="xeentry"/>
        </w:rPr>
        <w:instrText>boi: exception before ROI</w:instrText>
      </w:r>
      <w:r>
        <w:instrText>"</w:instrText>
      </w:r>
      <w:r>
        <w:rPr>
          <w:rStyle w:val="indexentry"/>
        </w:rPr>
        <w:fldChar w:fldCharType="end"/>
      </w:r>
      <w:r>
        <w:rPr>
          <w:rStyle w:val="indexentry"/>
        </w:rPr>
        <w:t>&lt;cx "numerical tenses, effect on use of boi"&gt;</w:t>
      </w:r>
      <w:r>
        <w:rPr>
          <w:rStyle w:val="indexentry"/>
        </w:rPr>
        <w:fldChar w:fldCharType="begin"/>
      </w:r>
      <w:r>
        <w:instrText>xe "</w:instrText>
      </w:r>
      <w:r>
        <w:rPr>
          <w:rStyle w:val="xeentry"/>
        </w:rPr>
        <w:instrText>numerical tenses: effect on use of boi</w:instrText>
      </w:r>
      <w:r>
        <w:instrText>"</w:instrText>
      </w:r>
      <w:r>
        <w:rPr>
          <w:rStyle w:val="indexentry"/>
        </w:rPr>
        <w:fldChar w:fldCharType="end"/>
      </w:r>
      <w:r>
        <w:t>Note: the elidable terminator “boi” is not used between a number and</w:t>
      </w:r>
      <w:r>
        <w:rPr>
          <w:rStyle w:val="deletedparamark"/>
        </w:rPr>
        <w:t xml:space="preserve"> </w:t>
      </w:r>
      <w:r>
        <w:t>a mem</w:t>
      </w:r>
      <w:r>
        <w:softHyphen/>
        <w:t>ber of MAI or ROI.</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name=s20&gt;&lt;h3&gt;</w:t>
      </w:r>
      <w:bookmarkStart w:id="515" w:name="_Toc398970752"/>
      <w:r>
        <w:rPr>
          <w:rStyle w:val="Heading3Text"/>
        </w:rPr>
        <w:t>Explicit operator precedence</w:t>
      </w:r>
      <w:bookmarkEnd w:id="515"/>
      <w:r>
        <w:rPr>
          <w:rStyle w:val="htmlcodes"/>
        </w:rPr>
        <w:t>&lt;/h3&gt;</w:t>
      </w:r>
    </w:p>
    <w:p w:rsidR="00B72047" w:rsidRDefault="00B72047">
      <w:pPr>
        <w:rPr>
          <w:rStyle w:val="htmlparacode"/>
        </w:rPr>
      </w:pPr>
      <w:r>
        <w:rPr>
          <w:rStyle w:val="htmlparacode"/>
        </w:rPr>
        <w:t>&lt;p&gt;</w:t>
      </w:r>
    </w:p>
    <w:p w:rsidR="00B72047" w:rsidRDefault="00B72047">
      <w:pPr>
        <w:pStyle w:val="normalparagraph"/>
      </w:pPr>
      <w:r>
        <w:t>As mentioned earlier, Lojban does provide a way for the precedences of</w:t>
      </w:r>
      <w:r>
        <w:rPr>
          <w:rStyle w:val="deletedparamark"/>
        </w:rPr>
        <w:t xml:space="preserve"> </w:t>
      </w:r>
      <w:r>
        <w:t>op</w:t>
      </w:r>
      <w:r>
        <w:softHyphen/>
        <w:t>erators to be explicitly declared, although current parsers do not</w:t>
      </w:r>
      <w:r>
        <w:rPr>
          <w:rStyle w:val="deletedparamark"/>
        </w:rPr>
        <w:t xml:space="preserve"> </w:t>
      </w:r>
      <w:r>
        <w:t>understand these decla</w:t>
      </w:r>
      <w:r>
        <w:softHyphen/>
        <w:t>rations.</w:t>
      </w:r>
    </w:p>
    <w:p w:rsidR="00B72047" w:rsidRDefault="00B72047">
      <w:pPr>
        <w:pStyle w:val="normalparagraph"/>
      </w:pPr>
      <w:r>
        <w:rPr>
          <w:rStyle w:val="htmlparacode"/>
        </w:rPr>
        <w:t>&lt;p&gt;</w:t>
      </w:r>
      <w:r>
        <w:rPr>
          <w:rStyle w:val="indexentry"/>
        </w:rPr>
        <w:t>&lt;lx "ti'o"&gt;</w:t>
      </w:r>
      <w:r>
        <w:rPr>
          <w:rStyle w:val="indexentry"/>
        </w:rPr>
        <w:fldChar w:fldCharType="begin"/>
      </w:r>
      <w:r>
        <w:instrText>xe "</w:instrText>
      </w:r>
      <w:r>
        <w:rPr>
          <w:rStyle w:val="xeentry"/>
        </w:rPr>
        <w:instrText>ti'o</w:instrText>
      </w:r>
      <w:r>
        <w:instrText>"</w:instrText>
      </w:r>
      <w:r>
        <w:rPr>
          <w:rStyle w:val="indexentry"/>
        </w:rPr>
        <w:fldChar w:fldCharType="end"/>
      </w:r>
      <w:r>
        <w:rPr>
          <w:rStyle w:val="indexentry"/>
        </w:rPr>
        <w:t>&lt;lx "SEI"&gt;</w:t>
      </w:r>
      <w:r>
        <w:rPr>
          <w:rStyle w:val="indexentry"/>
        </w:rPr>
        <w:fldChar w:fldCharType="begin"/>
      </w:r>
      <w:r>
        <w:instrText>xe "</w:instrText>
      </w:r>
      <w:r>
        <w:rPr>
          <w:rStyle w:val="xeentry"/>
        </w:rPr>
        <w:instrText>SEI selma’o</w:instrText>
      </w:r>
      <w:r>
        <w:instrText>"</w:instrText>
      </w:r>
      <w:r>
        <w:rPr>
          <w:rStyle w:val="indexentry"/>
        </w:rPr>
        <w:fldChar w:fldCharType="end"/>
      </w:r>
      <w:r>
        <w:t>The declaration is made in the form of a metalinguistic comment using</w:t>
      </w:r>
      <w:r>
        <w:rPr>
          <w:rStyle w:val="deletedparamark"/>
        </w:rPr>
        <w:t xml:space="preserve"> “</w:t>
      </w:r>
      <w:r>
        <w:t>ti'o”, a member of selma'o SEI. “sei”, the other member of SEI, is</w:t>
      </w:r>
      <w:r>
        <w:rPr>
          <w:rStyle w:val="deletedparamark"/>
        </w:rPr>
        <w:t xml:space="preserve"> </w:t>
      </w:r>
      <w:r>
        <w:t>used to insert metalinguistic comments on a bridi which give information</w:t>
      </w:r>
      <w:r>
        <w:rPr>
          <w:rStyle w:val="deletedparamark"/>
        </w:rPr>
        <w:t xml:space="preserve"> </w:t>
      </w:r>
      <w:r>
        <w:t>about the discourse which the bridi com</w:t>
      </w:r>
      <w:r>
        <w:softHyphen/>
        <w:t>prises. The format of a “ti'o”</w:t>
      </w:r>
      <w:r>
        <w:rPr>
          <w:rStyle w:val="deletedparamark"/>
        </w:rPr>
        <w:t xml:space="preserve"> </w:t>
      </w:r>
      <w:r>
        <w:t>declaration has not been formally established, but pre</w:t>
      </w:r>
      <w:r>
        <w:softHyphen/>
        <w:t>suma</w:t>
      </w:r>
      <w:r>
        <w:softHyphen/>
        <w:t>bly would take the</w:t>
      </w:r>
      <w:r>
        <w:rPr>
          <w:rStyle w:val="deletedparamark"/>
        </w:rPr>
        <w:t xml:space="preserve"> </w:t>
      </w:r>
      <w:r>
        <w:t>form of mentioning a mekso operator and then giving it either an ab</w:t>
      </w:r>
      <w:r>
        <w:softHyphen/>
        <w:t>solute</w:t>
      </w:r>
      <w:r>
        <w:rPr>
          <w:rStyle w:val="deletedparamark"/>
        </w:rPr>
        <w:t xml:space="preserve"> </w:t>
      </w:r>
      <w:r>
        <w:t xml:space="preserve">numerical precedence on some </w:t>
      </w:r>
      <w:r>
        <w:rPr>
          <w:rStyle w:val="htmlcodes"/>
        </w:rPr>
        <w:t>pre</w:t>
      </w:r>
      <w:r>
        <w:t>-established scale, or else specifying</w:t>
      </w:r>
      <w:r>
        <w:rPr>
          <w:rStyle w:val="deletedparamark"/>
        </w:rPr>
        <w:t xml:space="preserve"> </w:t>
      </w:r>
      <w:r>
        <w:t>relative prece</w:t>
      </w:r>
      <w:r>
        <w:softHyphen/>
        <w:t>dences between new operators and existing operators.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"operator precedence, plans for future"&gt;</w:t>
      </w:r>
      <w:r>
        <w:rPr>
          <w:rStyle w:val="indexentry"/>
        </w:rPr>
        <w:fldChar w:fldCharType="begin"/>
      </w:r>
      <w:r>
        <w:instrText>xe "</w:instrText>
      </w:r>
      <w:r>
        <w:rPr>
          <w:rStyle w:val="xeentry"/>
        </w:rPr>
        <w:instrText>operator precedence: plans for future</w:instrText>
      </w:r>
      <w:r>
        <w:instrText>"</w:instrText>
      </w:r>
      <w:r>
        <w:rPr>
          <w:rStyle w:val="indexentry"/>
        </w:rPr>
        <w:fldChar w:fldCharType="end"/>
      </w:r>
      <w:r>
        <w:t>In future, we hope to create an improved machine parser that can understand</w:t>
      </w:r>
      <w:r>
        <w:rPr>
          <w:rStyle w:val="deletedparamark"/>
        </w:rPr>
        <w:t xml:space="preserve"> </w:t>
      </w:r>
      <w:r>
        <w:t>decl</w:t>
      </w:r>
      <w:r>
        <w:t>a</w:t>
      </w:r>
      <w:r>
        <w:softHyphen/>
        <w:t>rations of the precedences of simple operators belonging</w:t>
      </w:r>
      <w:r>
        <w:rPr>
          <w:rStyle w:val="deletedparamark"/>
        </w:rPr>
        <w:t xml:space="preserve"> </w:t>
      </w:r>
      <w:r>
        <w:t>to selma'o VUhU. Origi</w:t>
      </w:r>
      <w:r>
        <w:softHyphen/>
        <w:t>nally, all operators would have the same precedence.</w:t>
      </w:r>
      <w:r>
        <w:rPr>
          <w:rStyle w:val="deletedparamark"/>
        </w:rPr>
        <w:t xml:space="preserve"> </w:t>
      </w:r>
      <w:r>
        <w:t>Declarations would have the ef</w:t>
      </w:r>
      <w:r>
        <w:softHyphen/>
        <w:t>fect of raising the specified cmavo of VUhU</w:t>
      </w:r>
      <w:r>
        <w:rPr>
          <w:rStyle w:val="deletedparamark"/>
        </w:rPr>
        <w:t xml:space="preserve"> </w:t>
      </w:r>
      <w:r>
        <w:t>to higher precedence levels. Complex op</w:t>
      </w:r>
      <w:r>
        <w:softHyphen/>
        <w:t>erators formed with “na'u”, “ni'e”,</w:t>
      </w:r>
      <w:r>
        <w:rPr>
          <w:rStyle w:val="deletedparamark"/>
        </w:rPr>
        <w:t xml:space="preserve"> </w:t>
      </w:r>
      <w:r>
        <w:t>or “ma'o” would remain at the standard low prece</w:t>
      </w:r>
      <w:r>
        <w:softHyphen/>
        <w:t>dence; declarations with</w:t>
      </w:r>
      <w:r>
        <w:rPr>
          <w:rStyle w:val="deletedparamark"/>
        </w:rPr>
        <w:t xml:space="preserve"> </w:t>
      </w:r>
      <w:r>
        <w:t>respect to them are for future implementation efforts. It is probable</w:t>
      </w:r>
      <w:r>
        <w:rPr>
          <w:rStyle w:val="deletedparamark"/>
        </w:rPr>
        <w:t xml:space="preserve"> </w:t>
      </w:r>
      <w:r>
        <w:t>that such a parser would have a set of “commonly assumed precedences”</w:t>
      </w:r>
      <w:r>
        <w:rPr>
          <w:rStyle w:val="deletedparamark"/>
        </w:rPr>
        <w:t xml:space="preserve"> </w:t>
      </w:r>
      <w:r>
        <w:t>built into it (selectable by a sp</w:t>
      </w:r>
      <w:r>
        <w:t>e</w:t>
      </w:r>
      <w:r>
        <w:softHyphen/>
        <w:t>cial “ti'o” declaration) that would</w:t>
      </w:r>
      <w:r>
        <w:rPr>
          <w:rStyle w:val="deletedparamark"/>
        </w:rPr>
        <w:t xml:space="preserve"> </w:t>
      </w:r>
      <w:r>
        <w:t>match mathematical intui</w:t>
      </w:r>
      <w:r>
        <w:softHyphen/>
        <w:t>tion: times higher than plus, and so on.</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name=s21&gt;&lt;h3&gt;</w:t>
      </w:r>
      <w:bookmarkStart w:id="516" w:name="_Toc398970753"/>
      <w:r>
        <w:rPr>
          <w:rStyle w:val="Heading3Text"/>
        </w:rPr>
        <w:t>Miscellany</w:t>
      </w:r>
      <w:bookmarkEnd w:id="516"/>
      <w:r>
        <w:rPr>
          <w:rStyle w:val="htmlcodes"/>
        </w:rPr>
        <w:t>&lt;/h3&gt;</w:t>
      </w:r>
    </w:p>
    <w:p w:rsidR="00B72047" w:rsidRDefault="00B72047">
      <w:pPr>
        <w:rPr>
          <w:rStyle w:val="htmlparacode"/>
        </w:rPr>
      </w:pPr>
      <w:r>
        <w:rPr>
          <w:rStyle w:val="htmlparacode"/>
        </w:rPr>
        <w:t>&lt;p&gt;</w:t>
      </w:r>
    </w:p>
    <w:p w:rsidR="00B72047" w:rsidRDefault="00B72047">
      <w:pPr>
        <w:pStyle w:val="normalparagraph"/>
      </w:pPr>
      <w:r>
        <w:t>A few other points:</w:t>
      </w:r>
    </w:p>
    <w:p w:rsidR="00B72047" w:rsidRDefault="00B72047">
      <w:pPr>
        <w:pStyle w:val="normalafterexample"/>
        <w:rPr>
          <w:rStyle w:val="htmlparacode"/>
        </w:rPr>
      </w:pPr>
      <w:r>
        <w:rPr>
          <w:rStyle w:val="htmlparacode"/>
        </w:rPr>
        <w:t>&lt;p&gt;</w:t>
      </w:r>
    </w:p>
    <w:p w:rsidR="00B72047" w:rsidRDefault="00B72047">
      <w:pPr>
        <w:pStyle w:val="normalafterexample"/>
      </w:pPr>
      <w:r>
        <w:rPr>
          <w:rStyle w:val="indexentry"/>
        </w:rPr>
        <w:t>&lt;cx "conversion, of operator places"&gt;</w:t>
      </w:r>
      <w:r>
        <w:rPr>
          <w:rStyle w:val="indexentry"/>
        </w:rPr>
        <w:fldChar w:fldCharType="begin"/>
      </w:r>
      <w:r>
        <w:instrText>xe "</w:instrText>
      </w:r>
      <w:r>
        <w:rPr>
          <w:rStyle w:val="xeentry"/>
        </w:rPr>
        <w:instrText>conversion: of operator places</w:instrText>
      </w:r>
      <w:r>
        <w:instrText>"</w:instrText>
      </w:r>
      <w:r>
        <w:rPr>
          <w:rStyle w:val="indexentry"/>
        </w:rPr>
        <w:fldChar w:fldCharType="end"/>
      </w:r>
      <w:r>
        <w:rPr>
          <w:rStyle w:val="indexentry"/>
        </w:rPr>
        <w:t>&lt;cx "se, use with operators"&gt;</w:t>
      </w:r>
      <w:r>
        <w:rPr>
          <w:rStyle w:val="indexentry"/>
        </w:rPr>
        <w:fldChar w:fldCharType="begin"/>
      </w:r>
      <w:r>
        <w:instrText>xe "</w:instrText>
      </w:r>
      <w:r>
        <w:rPr>
          <w:rStyle w:val="xeentry"/>
        </w:rPr>
        <w:instrText>se: use with operators</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t>“se” can be used to convert an operator as if it were a selbri, so that its</w:t>
      </w:r>
      <w:r>
        <w:rPr>
          <w:rStyle w:val="deletedparamark"/>
        </w:rPr>
        <w:t xml:space="preserve"> </w:t>
      </w:r>
      <w:r>
        <w:t>argu</w:t>
      </w:r>
      <w:r>
        <w:softHyphen/>
        <w:t>ments are exchanged.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name=e21d1&gt;</w:t>
      </w:r>
      <w:r>
        <w:t>21.1)</w:t>
      </w:r>
      <w:r>
        <w:tab/>
        <w:t>li ci se vu'u vo du li pa</w:t>
      </w:r>
    </w:p>
    <w:p w:rsidR="00B72047" w:rsidRDefault="00B72047">
      <w:pPr>
        <w:pStyle w:val="examplescaled"/>
      </w:pPr>
      <w:r>
        <w:tab/>
        <w:t>The-number three (inverse) minus four equals the-number one.</w:t>
      </w:r>
    </w:p>
    <w:p w:rsidR="00B72047" w:rsidRDefault="00B72047">
      <w:pPr>
        <w:pStyle w:val="examplescaled"/>
      </w:pPr>
      <w:r>
        <w:tab/>
        <w:t>3 subtracted from 4 equals 1.</w:t>
      </w:r>
    </w:p>
    <w:p w:rsidR="00B72047" w:rsidRDefault="00B72047">
      <w:pPr>
        <w:pStyle w:val="resumedafterexample"/>
      </w:pPr>
      <w:r>
        <w:rPr>
          <w:rStyle w:val="htmlcodes"/>
        </w:rPr>
        <w:t>&lt;/pre&gt;</w:t>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t>The other converters of selma'o SE can also be used on operators with</w:t>
      </w:r>
      <w:r>
        <w:rPr>
          <w:rStyle w:val="deletedparamark"/>
        </w:rPr>
        <w:t xml:space="preserve"> </w:t>
      </w:r>
      <w:r>
        <w:t>more than two op</w:t>
      </w:r>
      <w:r>
        <w:softHyphen/>
        <w:t>erands, and they can be compounded to create (probably</w:t>
      </w:r>
      <w:r>
        <w:rPr>
          <w:rStyle w:val="deletedparamark"/>
        </w:rPr>
        <w:t xml:space="preserve"> </w:t>
      </w:r>
      <w:r>
        <w:t>unintelligible) operators as needed.</w:t>
      </w:r>
    </w:p>
    <w:p w:rsidR="00B72047" w:rsidRDefault="00B72047">
      <w:pPr>
        <w:rPr>
          <w:rStyle w:val="htmlparacode"/>
        </w:rPr>
      </w:pPr>
      <w:r>
        <w:rPr>
          <w:rStyle w:val="htmlparacode"/>
        </w:rPr>
        <w:t>&lt;p&gt;</w:t>
      </w:r>
    </w:p>
    <w:p w:rsidR="00B72047" w:rsidRDefault="00B72047">
      <w:pPr>
        <w:pStyle w:val="normalparagraph"/>
      </w:pPr>
      <w:r>
        <w:rPr>
          <w:rStyle w:val="indexentry"/>
        </w:rPr>
        <w:t>&lt;lx "NAhE"&gt;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&lt;cx "negation, of operator"&gt;</w:t>
      </w:r>
      <w:r>
        <w:rPr>
          <w:rStyle w:val="indexentry"/>
        </w:rPr>
        <w:fldChar w:fldCharType="begin"/>
      </w:r>
      <w:r>
        <w:instrText>xe "</w:instrText>
      </w:r>
      <w:r>
        <w:rPr>
          <w:rStyle w:val="xeentry"/>
        </w:rPr>
        <w:instrText>negation: of operator</w:instrText>
      </w:r>
      <w:r>
        <w:instrText>"</w:instrText>
      </w:r>
      <w:r>
        <w:rPr>
          <w:rStyle w:val="indexentry"/>
        </w:rPr>
        <w:fldChar w:fldCharType="end"/>
      </w:r>
      <w:r>
        <w:t>Members of selma'o NAhE are also legal on an operator to produce a scalar</w:t>
      </w:r>
      <w:r>
        <w:rPr>
          <w:rStyle w:val="deletedparamark"/>
        </w:rPr>
        <w:t xml:space="preserve"> </w:t>
      </w:r>
      <w:r>
        <w:t>negation of it. The implication is that some other operator would apply to</w:t>
      </w:r>
      <w:r>
        <w:rPr>
          <w:rStyle w:val="deletedparamark"/>
        </w:rPr>
        <w:t xml:space="preserve"> </w:t>
      </w:r>
      <w:r>
        <w:t>make the bridi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name=e21d2&gt;</w:t>
      </w:r>
      <w:r>
        <w:t>21.2)</w:t>
      </w:r>
      <w:r>
        <w:tab/>
        <w:t>li ci na'e su'i vo du li pare</w:t>
      </w:r>
    </w:p>
    <w:p w:rsidR="00B72047" w:rsidRDefault="00B72047">
      <w:pPr>
        <w:pStyle w:val="examplescaled"/>
      </w:pPr>
      <w:r>
        <w:tab/>
        <w:t>The-number 3 non-plus 4 equals the-number 12.</w:t>
      </w:r>
    </w:p>
    <w:p w:rsidR="00B72047" w:rsidRDefault="00B72047">
      <w:pPr>
        <w:pStyle w:val="examplescaledpre"/>
      </w:pPr>
      <w:r>
        <w:rPr>
          <w:rStyle w:val="htmlcodes"/>
        </w:rPr>
        <w:t>&lt;/pre&gt;</w:t>
      </w:r>
      <w:r>
        <w:rPr>
          <w:rStyle w:val="indexentry"/>
        </w:rPr>
        <w:t>&lt;ex "opposite-of-minus"&gt;</w:t>
      </w:r>
      <w:r>
        <w:rPr>
          <w:rStyle w:val="indexentry"/>
        </w:rPr>
        <w:fldChar w:fldCharType="begin"/>
      </w:r>
      <w:r>
        <w:instrText>xe "</w:instrText>
      </w:r>
      <w:r>
        <w:rPr>
          <w:rStyle w:val="xeentry"/>
        </w:rPr>
        <w:instrText>opposite-of-minus: example</w:instrText>
      </w:r>
      <w:r>
        <w:instrText>"</w:instrText>
      </w:r>
      <w:r>
        <w:rPr>
          <w:rStyle w:val="indexentry"/>
        </w:rPr>
        <w:fldChar w:fldCharType="end"/>
      </w:r>
      <w:r>
        <w:rPr>
          <w:rStyle w:val="htmlcodes"/>
        </w:rPr>
        <w:t>&lt;pre&gt;&lt;a name=e21d3&gt;</w:t>
      </w:r>
      <w:r>
        <w:t>21.3)</w:t>
      </w:r>
      <w:r>
        <w:tab/>
        <w:t>li ci to'e vu'u re du li mu</w:t>
      </w:r>
    </w:p>
    <w:p w:rsidR="00B72047" w:rsidRDefault="00B72047">
      <w:pPr>
        <w:pStyle w:val="examplescaled"/>
      </w:pPr>
      <w:r>
        <w:tab/>
        <w:t>The-number 3 opposite-of-minus 2 equals the-number 5.</w:t>
      </w:r>
    </w:p>
    <w:p w:rsidR="00B72047" w:rsidRDefault="00B72047">
      <w:pPr>
        <w:pStyle w:val="resumedafterexample"/>
      </w:pPr>
      <w:r>
        <w:rPr>
          <w:rStyle w:val="htmlcodes"/>
        </w:rPr>
        <w:t>&lt;/pre&gt;&lt;p&gt;</w:t>
      </w:r>
      <w:r>
        <w:t>The sense in which “plus” is the opposite of “minus” is not a mathematical</w:t>
      </w:r>
      <w:r>
        <w:rPr>
          <w:rStyle w:val="deletedparamark"/>
        </w:rPr>
        <w:t xml:space="preserve"> </w:t>
      </w:r>
      <w:r>
        <w:t>but rather a linguistic one; negated operators are defined only loosely.</w:t>
      </w:r>
    </w:p>
    <w:p w:rsidR="00B72047" w:rsidRDefault="00B72047">
      <w:pPr>
        <w:rPr>
          <w:rStyle w:val="htmlparacode"/>
        </w:rPr>
      </w:pPr>
      <w:r>
        <w:rPr>
          <w:rStyle w:val="htmlparacode"/>
        </w:rPr>
        <w:t>&lt;p&gt;</w:t>
      </w:r>
    </w:p>
    <w:p w:rsidR="00B72047" w:rsidRDefault="00B72047">
      <w:pPr>
        <w:pStyle w:val="normalparagraph"/>
      </w:pP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rPr>
          <w:rStyle w:val="indexentry"/>
        </w:rPr>
        <w:t>&lt;lx "lu'e"&gt;</w:t>
      </w:r>
      <w:r>
        <w:rPr>
          <w:rStyle w:val="indexentry"/>
        </w:rPr>
        <w:fldChar w:fldCharType="begin"/>
      </w:r>
      <w:r>
        <w:instrText>xe "</w:instrText>
      </w:r>
      <w:r>
        <w:rPr>
          <w:rStyle w:val="xeentry"/>
        </w:rPr>
        <w:instrText>lu'e</w:instrText>
      </w:r>
      <w:r>
        <w:instrText>"</w:instrText>
      </w:r>
      <w:r>
        <w:rPr>
          <w:rStyle w:val="indexentry"/>
        </w:rPr>
        <w:fldChar w:fldCharType="end"/>
      </w:r>
      <w:r>
        <w:rPr>
          <w:rStyle w:val="indexentry"/>
        </w:rPr>
        <w:t>&lt;cx "referent, of operand"&gt;</w:t>
      </w:r>
      <w:r>
        <w:rPr>
          <w:rStyle w:val="indexentry"/>
        </w:rPr>
        <w:fldChar w:fldCharType="begin"/>
      </w:r>
      <w:r>
        <w:instrText>xe "</w:instrText>
      </w:r>
      <w:r>
        <w:rPr>
          <w:rStyle w:val="xeentry"/>
        </w:rPr>
        <w:instrText>referent: of operand</w:instrText>
      </w:r>
      <w:r>
        <w:instrText>"</w:instrText>
      </w:r>
      <w:r>
        <w:rPr>
          <w:rStyle w:val="indexentry"/>
        </w:rPr>
        <w:fldChar w:fldCharType="end"/>
      </w:r>
      <w:r>
        <w:rPr>
          <w:rStyle w:val="indexentry"/>
        </w:rPr>
        <w:t>&lt;cx "symbol, for operand"&gt;</w:t>
      </w:r>
      <w:r>
        <w:rPr>
          <w:rStyle w:val="indexentry"/>
        </w:rPr>
        <w:fldChar w:fldCharType="begin"/>
      </w:r>
      <w:r>
        <w:instrText>xe "</w:instrText>
      </w:r>
      <w:r>
        <w:rPr>
          <w:rStyle w:val="xeentry"/>
        </w:rPr>
        <w:instrText>symbol: for operand</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&lt;cx "negation, of operand"&gt;</w:t>
      </w:r>
      <w:r>
        <w:rPr>
          <w:rStyle w:val="indexentry"/>
        </w:rPr>
        <w:fldChar w:fldCharType="begin"/>
      </w:r>
      <w:r>
        <w:instrText>xe "</w:instrText>
      </w:r>
      <w:r>
        <w:rPr>
          <w:rStyle w:val="xeentry"/>
        </w:rPr>
        <w:instrText>negation: of operand</w:instrText>
      </w:r>
      <w:r>
        <w:instrText>"</w:instrText>
      </w:r>
      <w:r>
        <w:rPr>
          <w:rStyle w:val="indexentry"/>
        </w:rPr>
        <w:fldChar w:fldCharType="end"/>
      </w:r>
      <w:r>
        <w:rPr>
          <w:rStyle w:val="indexentry"/>
        </w:rPr>
        <w:t>“</w:t>
      </w:r>
      <w:r>
        <w:t>“la'e” and “lu'e” can be used on operands with the usual semantics to</w:t>
      </w:r>
      <w:r>
        <w:rPr>
          <w:rStyle w:val="deletedparamark"/>
        </w:rPr>
        <w:t xml:space="preserve"> </w:t>
      </w:r>
      <w:r>
        <w:t>get the referent of or a symbol for an operand. Likewise, a member of</w:t>
      </w:r>
      <w:r>
        <w:rPr>
          <w:rStyle w:val="deletedparamark"/>
        </w:rPr>
        <w:t xml:space="preserve"> </w:t>
      </w:r>
      <w:r>
        <w:t>selma'o NAhE followed by “bo” serves to scalar-negate an operand, implying</w:t>
      </w:r>
      <w:r>
        <w:rPr>
          <w:rStyle w:val="deletedparamark"/>
        </w:rPr>
        <w:t xml:space="preserve"> </w:t>
      </w:r>
      <w:r>
        <w:t>that some other operand would make the bridi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name=e21d4&gt;</w:t>
      </w:r>
      <w:r>
        <w:t>21.4)</w:t>
      </w:r>
      <w:r>
        <w:tab/>
        <w:t>li re su'i re du li na'ebo mu</w:t>
      </w:r>
    </w:p>
    <w:p w:rsidR="00B72047" w:rsidRDefault="00B72047">
      <w:pPr>
        <w:pStyle w:val="examplescaled"/>
      </w:pPr>
      <w:r>
        <w:tab/>
        <w:t>The-number 2 plus 2 equals the-number non-5.</w:t>
      </w:r>
    </w:p>
    <w:p w:rsidR="00B72047" w:rsidRDefault="00B72047">
      <w:pPr>
        <w:pStyle w:val="examplescaled"/>
      </w:pPr>
      <w:r>
        <w:tab/>
      </w:r>
      <w:r>
        <w:rPr>
          <w:rStyle w:val="htmlcodes"/>
        </w:rPr>
        <w:t>&lt;math&gt;</w:t>
      </w:r>
      <w:r>
        <w:rPr>
          <w:rStyle w:val="math"/>
        </w:rPr>
        <w:t xml:space="preserve">2 + 2 = </w:t>
      </w:r>
      <w:r>
        <w:rPr>
          <w:rStyle w:val="htmlcodes"/>
        </w:rPr>
        <w:t xml:space="preserve">&lt;/math&gt; </w:t>
      </w:r>
      <w:r>
        <w:t>something other than 5.</w:t>
      </w:r>
    </w:p>
    <w:p w:rsidR="00B72047" w:rsidRDefault="00B72047">
      <w:pPr>
        <w:pStyle w:val="resumedafterexample"/>
      </w:pPr>
      <w:r>
        <w:rPr>
          <w:rStyle w:val="htmlcodes"/>
        </w:rPr>
        <w:t>&lt;/pre&gt;</w:t>
      </w:r>
      <w:r>
        <w:rPr>
          <w:rStyle w:val="indexentry"/>
        </w:rPr>
        <w:t>&lt;cx "digits, rafsi for"&gt;</w:t>
      </w:r>
      <w:r>
        <w:rPr>
          <w:rStyle w:val="indexentry"/>
        </w:rPr>
        <w:fldChar w:fldCharType="begin"/>
      </w:r>
      <w:r>
        <w:instrText>xe "</w:instrText>
      </w:r>
      <w:r>
        <w:rPr>
          <w:rStyle w:val="xeentry"/>
        </w:rPr>
        <w:instrText>digits: rafsi for</w:instrText>
      </w:r>
      <w:r>
        <w:instrText>"</w:instrText>
      </w:r>
      <w:r>
        <w:rPr>
          <w:rStyle w:val="indexentry"/>
        </w:rPr>
        <w:fldChar w:fldCharType="end"/>
      </w:r>
      <w:r>
        <w:rPr>
          <w:rStyle w:val="indexentry"/>
        </w:rPr>
        <w:t>&lt;cx "digits, names from"&gt;</w:t>
      </w:r>
      <w:r>
        <w:rPr>
          <w:rStyle w:val="indexentry"/>
        </w:rPr>
        <w:fldChar w:fldCharType="begin"/>
      </w:r>
      <w:r>
        <w:instrText>xe "</w:instrText>
      </w:r>
      <w:r>
        <w:rPr>
          <w:rStyle w:val="xeentry"/>
        </w:rPr>
        <w:instrText>digits: names from</w:instrText>
      </w:r>
      <w:r>
        <w:instrText>"</w:instrText>
      </w:r>
      <w:r>
        <w:rPr>
          <w:rStyle w:val="indexentry"/>
        </w:rPr>
        <w:fldChar w:fldCharType="end"/>
      </w:r>
      <w:r>
        <w:t>The digits 0-9 have rafsi, and therefore can be used in making lujvo.</w:t>
      </w:r>
      <w:r>
        <w:rPr>
          <w:rStyle w:val="deletedparamark"/>
        </w:rPr>
        <w:t xml:space="preserve"> </w:t>
      </w:r>
      <w:r>
        <w:t>Additionally, all the rafsi have CVC form and can stand alone or together</w:t>
      </w:r>
      <w:r>
        <w:rPr>
          <w:rStyle w:val="deletedparamark"/>
        </w:rPr>
        <w:t xml:space="preserve"> </w:t>
      </w:r>
      <w:r>
        <w:t>as names: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name=e21d5&gt;</w:t>
      </w:r>
      <w:r>
        <w:t>21.5)</w:t>
      </w:r>
      <w:r>
        <w:tab/>
        <w:t>la zel. poi gunta la tebes. pu nanmu</w:t>
      </w:r>
    </w:p>
    <w:p w:rsidR="00B72047" w:rsidRDefault="00B72047">
      <w:pPr>
        <w:pStyle w:val="examplescaled"/>
      </w:pPr>
      <w:r>
        <w:tab/>
        <w:t>Those-named “Seven” who attack that-named “Thebes” [past] are-men.</w:t>
      </w:r>
    </w:p>
    <w:p w:rsidR="00B72047" w:rsidRDefault="00B72047">
      <w:pPr>
        <w:pStyle w:val="examplescaled"/>
      </w:pPr>
      <w:r>
        <w:tab/>
        <w:t>The Seven Against Thebes were men.</w:t>
      </w:r>
    </w:p>
    <w:p w:rsidR="00B72047" w:rsidRDefault="00B72047">
      <w:pPr>
        <w:pStyle w:val="resumedafterexample"/>
      </w:pPr>
      <w:r>
        <w:rPr>
          <w:rStyle w:val="htmlcodes"/>
        </w:rPr>
        <w:t>&lt;/pre&gt;&lt;p&gt;</w:t>
      </w:r>
      <w:r>
        <w:t>Of course, there is no guarantee that the name “zel.” is connected with</w:t>
      </w:r>
      <w:r>
        <w:rPr>
          <w:rStyle w:val="deletedparamark"/>
        </w:rPr>
        <w:t xml:space="preserve"> </w:t>
      </w:r>
      <w:r>
        <w:t>the number rafsi: an alternative which cannot be misconstrued 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name=e21d6&gt;</w:t>
      </w:r>
      <w:r>
        <w:t>21.6)</w:t>
      </w:r>
      <w:r>
        <w:tab/>
        <w:t>la zemei poi gunta la tebes. pu nanmu</w:t>
      </w:r>
    </w:p>
    <w:p w:rsidR="00B72047" w:rsidRDefault="00B72047">
      <w:pPr>
        <w:pStyle w:val="examplescaled"/>
      </w:pPr>
      <w:r>
        <w:tab/>
        <w:t>Those-named-the Sevensome who attack Thebes [past] are-men.</w:t>
      </w:r>
    </w:p>
    <w:p w:rsidR="00B72047" w:rsidRDefault="00B72047">
      <w:pPr>
        <w:pStyle w:val="normalafterexample"/>
      </w:pPr>
      <w:r>
        <w:rPr>
          <w:rStyle w:val="htmlcodes"/>
        </w:rPr>
        <w:t>&lt;/pre&gt;</w:t>
      </w:r>
      <w:r>
        <w:rPr>
          <w:rStyle w:val="indexentry"/>
        </w:rPr>
        <w:t>&lt;cx "PA, members with rafsi"&gt;</w:t>
      </w:r>
      <w:r>
        <w:rPr>
          <w:rStyle w:val="indexentry"/>
        </w:rPr>
        <w:fldChar w:fldCharType="begin"/>
      </w:r>
      <w:r>
        <w:instrText>xe "</w:instrText>
      </w:r>
      <w:r>
        <w:rPr>
          <w:rStyle w:val="xeentry"/>
        </w:rPr>
        <w:instrText>PA selma’o: members with rafsi</w:instrText>
      </w:r>
      <w:r>
        <w:instrText>"</w:instrText>
      </w:r>
      <w:r>
        <w:rPr>
          <w:rStyle w:val="indexentry"/>
        </w:rPr>
        <w:fldChar w:fldCharType="end"/>
      </w:r>
      <w:r>
        <w:rPr>
          <w:rStyle w:val="indexentry"/>
        </w:rPr>
        <w:t>&lt;cx "rafsi, conventional meaning for frinu"&gt;</w:t>
      </w:r>
      <w:r>
        <w:rPr>
          <w:rStyle w:val="indexentry"/>
        </w:rPr>
        <w:fldChar w:fldCharType="begin"/>
      </w:r>
      <w:r>
        <w:instrText>xe "</w:instrText>
      </w:r>
      <w:r>
        <w:rPr>
          <w:rStyle w:val="xeentry"/>
        </w:rPr>
        <w:instrText>rafsi: conventional meaning for frinu</w:instrText>
      </w:r>
      <w:r>
        <w:instrText>"</w:instrText>
      </w:r>
      <w:r>
        <w:rPr>
          <w:rStyle w:val="indexentry"/>
        </w:rPr>
        <w:fldChar w:fldCharType="end"/>
      </w:r>
      <w:r>
        <w:t>Certain other members of PA also have assigned rafsi: “so'a”, “so'e”, “so'i”,</w:t>
      </w:r>
      <w:r>
        <w:rPr>
          <w:rStyle w:val="deletedparamark"/>
        </w:rPr>
        <w:t xml:space="preserve"> “</w:t>
      </w:r>
      <w:r>
        <w:t>so'o”, “so'u”, “da'a”, “ro”, “su'e”, “su'o”, “pi”, and “ce'i”. Furthermore,</w:t>
      </w:r>
      <w:r>
        <w:rPr>
          <w:rStyle w:val="deletedparamark"/>
        </w:rPr>
        <w:t xml:space="preserve"> </w:t>
      </w:r>
      <w:r>
        <w:t>although the cmavo “fi'u” does not have a rafsi as such, it is closely</w:t>
      </w:r>
      <w:r>
        <w:rPr>
          <w:rStyle w:val="deletedparamark"/>
        </w:rPr>
        <w:t xml:space="preserve"> </w:t>
      </w:r>
      <w:r>
        <w:t>related to the gismu “frinu”, meaning “fraction”; therefore, in a context</w:t>
      </w:r>
      <w:r>
        <w:rPr>
          <w:rStyle w:val="deletedparamark"/>
        </w:rPr>
        <w:t xml:space="preserve"> </w:t>
      </w:r>
      <w:r>
        <w:t>of numeric rafsi, you can use any of the rafsi for “frinu” to indicate</w:t>
      </w:r>
      <w:r>
        <w:rPr>
          <w:rStyle w:val="deletedparamark"/>
        </w:rPr>
        <w:t xml:space="preserve"> </w:t>
      </w:r>
      <w:r>
        <w:t>a fraction slash.</w:t>
      </w:r>
    </w:p>
    <w:p w:rsidR="00B72047" w:rsidRDefault="00B72047">
      <w:pPr>
        <w:rPr>
          <w:rStyle w:val="htmlparacode"/>
        </w:rPr>
      </w:pPr>
      <w:r>
        <w:rPr>
          <w:rStyle w:val="htmlparacode"/>
        </w:rPr>
        <w:t>&lt;p&gt;</w:t>
      </w:r>
    </w:p>
    <w:p w:rsidR="00B72047" w:rsidRDefault="00B72047">
      <w:pPr>
        <w:pStyle w:val="normalparagraph"/>
      </w:pPr>
      <w:r>
        <w:rPr>
          <w:rStyle w:val="indexentry"/>
        </w:rPr>
        <w:t>&lt;cx "rafsi, conventional meaning for cu'o"&gt;</w:t>
      </w:r>
      <w:r>
        <w:rPr>
          <w:rStyle w:val="indexentry"/>
        </w:rPr>
        <w:fldChar w:fldCharType="begin"/>
      </w:r>
      <w:r>
        <w:instrText>xe "</w:instrText>
      </w:r>
      <w:r>
        <w:rPr>
          <w:rStyle w:val="xeentry"/>
        </w:rPr>
        <w:instrText>rafsi: conventional meaning for cu'o</w:instrText>
      </w:r>
      <w:r>
        <w:instrText>"</w:instrText>
      </w:r>
      <w:r>
        <w:rPr>
          <w:rStyle w:val="indexentry"/>
        </w:rPr>
        <w:fldChar w:fldCharType="end"/>
      </w:r>
      <w:r>
        <w:t>A similar convention is used for the cmavo “cu'o” of selma'o MOI, which is</w:t>
      </w:r>
      <w:r>
        <w:rPr>
          <w:rStyle w:val="deletedparamark"/>
        </w:rPr>
        <w:t xml:space="preserve"> </w:t>
      </w:r>
      <w:r>
        <w:t>closely related to “cunso” (probability); use a rafsi for “cunso” in order</w:t>
      </w:r>
      <w:r>
        <w:rPr>
          <w:rStyle w:val="deletedparamark"/>
        </w:rPr>
        <w:t xml:space="preserve"> </w:t>
      </w:r>
      <w:r>
        <w:t>to create lujvo based on “cu'o”. The cmavo “mei” and “moi” of MOI have</w:t>
      </w:r>
      <w:r>
        <w:rPr>
          <w:rStyle w:val="deletedparamark"/>
        </w:rPr>
        <w:t xml:space="preserve"> </w:t>
      </w:r>
      <w:r>
        <w:t>their own rafsi, two each in fact: “mem”/“mei” and “mom”/“moi”</w:t>
      </w:r>
      <w:r>
        <w:rPr>
          <w:rStyle w:val="deletedparamark"/>
        </w:rPr>
        <w:t xml:space="preserve"> </w:t>
      </w:r>
      <w:r>
        <w:t>respectively.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"lambda calculus, operator and operand distinction in"&gt;</w:t>
      </w:r>
      <w:r>
        <w:rPr>
          <w:rStyle w:val="indexentry"/>
        </w:rPr>
        <w:fldChar w:fldCharType="begin"/>
      </w:r>
      <w:r>
        <w:instrText>xe "</w:instrText>
      </w:r>
      <w:r>
        <w:rPr>
          <w:rStyle w:val="xeentry"/>
        </w:rPr>
        <w:instrText>lambda calculus: operator and operand distinction in</w:instrText>
      </w:r>
      <w:r>
        <w:instrText>"</w:instrText>
      </w:r>
      <w:r>
        <w:rPr>
          <w:rStyle w:val="indexentry"/>
        </w:rPr>
        <w:fldChar w:fldCharType="end"/>
      </w:r>
      <w:r>
        <w:rPr>
          <w:rStyle w:val="indexentry"/>
        </w:rPr>
        <w:t>&lt;cx "algebra of functions, operator and operand distinction in"&gt;</w:t>
      </w:r>
      <w:r>
        <w:rPr>
          <w:rStyle w:val="indexentry"/>
        </w:rPr>
        <w:fldChar w:fldCharType="begin"/>
      </w:r>
      <w:r>
        <w:instrText>xe "</w:instrText>
      </w:r>
      <w:r>
        <w:rPr>
          <w:rStyle w:val="xeentry"/>
        </w:rPr>
        <w:instrText>algebra of functions: operator and operand distinction in</w:instrText>
      </w:r>
      <w:r>
        <w:instrText>"</w:instrText>
      </w:r>
      <w:r>
        <w:rPr>
          <w:rStyle w:val="indexentry"/>
        </w:rPr>
        <w:fldChar w:fldCharType="end"/>
      </w:r>
      <w:r>
        <w:rPr>
          <w:rStyle w:val="indexentry"/>
        </w:rPr>
        <w:t>&lt;lx "ni'enu'a"&gt;</w:t>
      </w:r>
      <w:r>
        <w:rPr>
          <w:rStyle w:val="indexentry"/>
        </w:rPr>
        <w:fldChar w:fldCharType="begin"/>
      </w:r>
      <w:r>
        <w:instrText>xe "</w:instrText>
      </w:r>
      <w:r>
        <w:rPr>
          <w:rStyle w:val="xeentry"/>
        </w:rPr>
        <w:instrText>ni'enu'a</w:instrText>
      </w:r>
      <w:r>
        <w:instrText>"</w:instrText>
      </w:r>
      <w:r>
        <w:rPr>
          <w:rStyle w:val="indexentry"/>
        </w:rPr>
        <w:fldChar w:fldCharType="end"/>
      </w:r>
      <w:r>
        <w:rPr>
          <w:rStyle w:val="indexentry"/>
        </w:rPr>
        <w:t>&lt;cx "conversion, operator into operand"&gt;</w:t>
      </w:r>
      <w:r>
        <w:rPr>
          <w:rStyle w:val="indexentry"/>
        </w:rPr>
        <w:fldChar w:fldCharType="begin"/>
      </w:r>
      <w:r>
        <w:instrText>xe "</w:instrText>
      </w:r>
      <w:r>
        <w:rPr>
          <w:rStyle w:val="xeentry"/>
        </w:rPr>
        <w:instrText>conversion of operator into operand</w:instrText>
      </w:r>
      <w:r>
        <w:instrText>"</w:instrText>
      </w:r>
      <w:r>
        <w:rPr>
          <w:rStyle w:val="indexentry"/>
        </w:rPr>
        <w:fldChar w:fldCharType="end"/>
      </w:r>
      <w:r>
        <w:rPr>
          <w:rStyle w:val="indexentry"/>
        </w:rPr>
        <w:t>&lt;cx "operator, converting into operand"&gt;</w:t>
      </w:r>
      <w:r>
        <w:rPr>
          <w:rStyle w:val="indexentry"/>
        </w:rPr>
        <w:fldChar w:fldCharType="begin"/>
      </w:r>
      <w:r>
        <w:instrText>xe "</w:instrText>
      </w:r>
      <w:r>
        <w:rPr>
          <w:rStyle w:val="xeentry"/>
        </w:rPr>
        <w:instrText>operator: converting into operand</w:instrText>
      </w:r>
      <w:r>
        <w:instrText>"</w:instrText>
      </w:r>
      <w:r>
        <w:rPr>
          <w:rStyle w:val="indexentry"/>
        </w:rPr>
        <w:fldChar w:fldCharType="end"/>
      </w:r>
      <w:r>
        <w:rPr>
          <w:rStyle w:val="indexentry"/>
        </w:rPr>
        <w:t>&lt;cx "operand, converting from operator"&gt;</w:t>
      </w:r>
      <w:r>
        <w:rPr>
          <w:rStyle w:val="indexentry"/>
        </w:rPr>
        <w:fldChar w:fldCharType="begin"/>
      </w:r>
      <w:r>
        <w:instrText>xe "</w:instrText>
      </w:r>
      <w:r>
        <w:rPr>
          <w:rStyle w:val="xeentry"/>
        </w:rPr>
        <w:instrText>operand: converting from operator</w:instrText>
      </w:r>
      <w:r>
        <w:instrText>"</w:instrText>
      </w:r>
      <w:r>
        <w:rPr>
          <w:rStyle w:val="indexentry"/>
        </w:rPr>
        <w:fldChar w:fldCharType="end"/>
      </w:r>
      <w:r>
        <w:t>The grammar of mekso as described so far imposes a rigid distinction between</w:t>
      </w:r>
      <w:r>
        <w:rPr>
          <w:rStyle w:val="deletedparamark"/>
        </w:rPr>
        <w:t xml:space="preserve"> </w:t>
      </w:r>
      <w:r>
        <w:t>o</w:t>
      </w:r>
      <w:r>
        <w:t>p</w:t>
      </w:r>
      <w:r>
        <w:softHyphen/>
        <w:t>erators and operands. Some flavors of mathematics (lambda calculus, algebra</w:t>
      </w:r>
      <w:r>
        <w:rPr>
          <w:rStyle w:val="deletedparamark"/>
        </w:rPr>
        <w:t xml:space="preserve"> </w:t>
      </w:r>
      <w:r>
        <w:t>of fun</w:t>
      </w:r>
      <w:r>
        <w:t>c</w:t>
      </w:r>
      <w:r>
        <w:softHyphen/>
        <w:t>tions) blur this distinction, and Lojban must have a method of</w:t>
      </w:r>
      <w:r>
        <w:rPr>
          <w:rStyle w:val="deletedparamark"/>
        </w:rPr>
        <w:t xml:space="preserve"> </w:t>
      </w:r>
      <w:r>
        <w:t>doing the same. An oper</w:t>
      </w:r>
      <w:r>
        <w:t>a</w:t>
      </w:r>
      <w:r>
        <w:softHyphen/>
        <w:t>tor can be changed into an operand with “ni'enu'a”,</w:t>
      </w:r>
      <w:r>
        <w:rPr>
          <w:rStyle w:val="deletedparamark"/>
        </w:rPr>
        <w:t xml:space="preserve"> </w:t>
      </w:r>
      <w:r>
        <w:t>which transforms the operator into a matching selbri and then the selbri into</w:t>
      </w:r>
      <w:r>
        <w:rPr>
          <w:rStyle w:val="deletedparamark"/>
        </w:rPr>
        <w:t xml:space="preserve"> </w:t>
      </w:r>
      <w:r>
        <w:t>an operand.</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"conversion, operand into operator"&gt;</w:t>
      </w:r>
      <w:r>
        <w:rPr>
          <w:rStyle w:val="indexentry"/>
        </w:rPr>
        <w:fldChar w:fldCharType="begin"/>
      </w:r>
      <w:r>
        <w:instrText>xe "</w:instrText>
      </w:r>
      <w:r>
        <w:rPr>
          <w:rStyle w:val="xeentry"/>
        </w:rPr>
        <w:instrText>conversion of operand into operator</w:instrText>
      </w:r>
      <w:r>
        <w:instrText>"</w:instrText>
      </w:r>
      <w:r>
        <w:rPr>
          <w:rStyle w:val="indexentry"/>
        </w:rPr>
        <w:fldChar w:fldCharType="end"/>
      </w:r>
      <w:r>
        <w:rPr>
          <w:rStyle w:val="indexentry"/>
        </w:rPr>
        <w:t>&lt;cx "operand, converting into operator"&gt;</w:t>
      </w:r>
      <w:r>
        <w:rPr>
          <w:rStyle w:val="indexentry"/>
        </w:rPr>
        <w:fldChar w:fldCharType="begin"/>
      </w:r>
      <w:r>
        <w:instrText>xe "</w:instrText>
      </w:r>
      <w:r>
        <w:rPr>
          <w:rStyle w:val="xeentry"/>
        </w:rPr>
        <w:instrText>operand: converting into operator</w:instrText>
      </w:r>
      <w:r>
        <w:instrText>"</w:instrText>
      </w:r>
      <w:r>
        <w:rPr>
          <w:rStyle w:val="indexentry"/>
        </w:rPr>
        <w:fldChar w:fldCharType="end"/>
      </w:r>
      <w:r>
        <w:rPr>
          <w:rStyle w:val="indexentry"/>
        </w:rPr>
        <w:t>&lt;cx "operator, converting from operand"&gt;</w:t>
      </w:r>
      <w:r>
        <w:rPr>
          <w:rStyle w:val="indexentry"/>
        </w:rPr>
        <w:fldChar w:fldCharType="begin"/>
      </w:r>
      <w:r>
        <w:instrText>xe "</w:instrText>
      </w:r>
      <w:r>
        <w:rPr>
          <w:rStyle w:val="xeentry"/>
        </w:rPr>
        <w:instrText>operator: converting from operand</w:instrText>
      </w:r>
      <w:r>
        <w:instrText>"</w:instrText>
      </w:r>
      <w:r>
        <w:rPr>
          <w:rStyle w:val="indexentry"/>
        </w:rPr>
        <w:fldChar w:fldCharType="end"/>
      </w:r>
      <w:r>
        <w:rPr>
          <w:rStyle w:val="indexentry"/>
        </w:rPr>
        <w:t>&lt;lx "ma'o"&gt;</w:t>
      </w:r>
      <w:r>
        <w:rPr>
          <w:rStyle w:val="indexentry"/>
        </w:rPr>
        <w:fldChar w:fldCharType="begin"/>
      </w:r>
      <w:r>
        <w:instrText>xe "</w:instrText>
      </w:r>
      <w:r>
        <w:rPr>
          <w:rStyle w:val="xeentry"/>
        </w:rPr>
        <w:instrText>ma'o</w:instrText>
      </w:r>
      <w:r>
        <w:instrText>"</w:instrText>
      </w:r>
      <w:r>
        <w:rPr>
          <w:rStyle w:val="indexentry"/>
        </w:rPr>
        <w:fldChar w:fldCharType="end"/>
      </w:r>
      <w:r>
        <w:rPr>
          <w:rStyle w:val="indexentry"/>
        </w:rPr>
        <w:t>&lt;lx "te'u"&gt;</w:t>
      </w:r>
      <w:r>
        <w:rPr>
          <w:rStyle w:val="indexentry"/>
        </w:rPr>
        <w:fldChar w:fldCharType="begin"/>
      </w:r>
      <w:r>
        <w:instrText>xe "</w:instrText>
      </w:r>
      <w:r>
        <w:rPr>
          <w:rStyle w:val="xeentry"/>
        </w:rPr>
        <w:instrText>te'u</w:instrText>
      </w:r>
      <w:r>
        <w:instrText>"</w:instrText>
      </w:r>
      <w:r>
        <w:rPr>
          <w:rStyle w:val="indexentry"/>
        </w:rPr>
        <w:fldChar w:fldCharType="end"/>
      </w:r>
      <w:r>
        <w:t>To change an operand into an operator, we use the cmavo “ma'o”, already</w:t>
      </w:r>
      <w:r>
        <w:rPr>
          <w:rStyle w:val="deletedparamark"/>
        </w:rPr>
        <w:t xml:space="preserve"> </w:t>
      </w:r>
      <w:r>
        <w:t>in</w:t>
      </w:r>
      <w:r>
        <w:softHyphen/>
        <w:t>troduced as a means of changing a lerfu string such as “fy.” into an</w:t>
      </w:r>
      <w:r>
        <w:rPr>
          <w:rStyle w:val="deletedparamark"/>
        </w:rPr>
        <w:t xml:space="preserve"> </w:t>
      </w:r>
      <w:r>
        <w:t>operator. In fact, “ma'o” can be followed by any mekso operand, using</w:t>
      </w:r>
      <w:r>
        <w:rPr>
          <w:rStyle w:val="deletedparamark"/>
        </w:rPr>
        <w:t xml:space="preserve"> </w:t>
      </w:r>
      <w:r>
        <w:t>the elidable terminator “te'u” if necessary.</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"ma'o, potential ambiguity caveat"&gt;</w:t>
      </w:r>
      <w:r>
        <w:rPr>
          <w:rStyle w:val="indexentry"/>
        </w:rPr>
        <w:fldChar w:fldCharType="begin"/>
      </w:r>
      <w:r>
        <w:instrText>xe "</w:instrText>
      </w:r>
      <w:r>
        <w:rPr>
          <w:rStyle w:val="xeentry"/>
        </w:rPr>
        <w:instrText>ma'o: potential ambiguity caveat</w:instrText>
      </w:r>
      <w:r>
        <w:instrText>"</w:instrText>
      </w:r>
      <w:r>
        <w:rPr>
          <w:rStyle w:val="indexentry"/>
        </w:rPr>
        <w:fldChar w:fldCharType="end"/>
      </w:r>
      <w:r>
        <w:t>There is a potential semantic ambiguity in “ma'o fy. [te'u]” if “fy.” is</w:t>
      </w:r>
      <w:r>
        <w:rPr>
          <w:rStyle w:val="deletedparamark"/>
        </w:rPr>
        <w:t xml:space="preserve"> </w:t>
      </w:r>
      <w:r>
        <w:t>already in use as a variable: it comes to mean “the function whose value</w:t>
      </w:r>
      <w:r>
        <w:rPr>
          <w:rStyle w:val="deletedparamark"/>
        </w:rPr>
        <w:t xml:space="preserve"> </w:t>
      </w:r>
      <w:r>
        <w:t>is always 'f’”. How</w:t>
      </w:r>
      <w:r>
        <w:softHyphen/>
        <w:t>ever, mathematicians do not normally use the same lerfu</w:t>
      </w:r>
      <w:r>
        <w:rPr>
          <w:rStyle w:val="deletedparamark"/>
        </w:rPr>
        <w:t xml:space="preserve"> </w:t>
      </w:r>
      <w:r>
        <w:t>words or strings as both func</w:t>
      </w:r>
      <w:r>
        <w:softHyphen/>
        <w:t>tions and variables, so this case should not</w:t>
      </w:r>
      <w:r>
        <w:rPr>
          <w:rStyle w:val="deletedparamark"/>
        </w:rPr>
        <w:t xml:space="preserve"> </w:t>
      </w:r>
      <w:r>
        <w:t>arise in practice.</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name=s22&gt;&lt;h3&gt;</w:t>
      </w:r>
      <w:bookmarkStart w:id="517" w:name="_Toc398970754"/>
      <w:r>
        <w:rPr>
          <w:rStyle w:val="Heading3Text"/>
        </w:rPr>
        <w:t>Four score and seven: a mekso problem</w:t>
      </w:r>
      <w:bookmarkEnd w:id="517"/>
      <w:r>
        <w:rPr>
          <w:rStyle w:val="htmlcodes"/>
        </w:rPr>
        <w:t>&lt;/h3&gt;</w:t>
      </w:r>
    </w:p>
    <w:p w:rsidR="00B72047" w:rsidRDefault="00B72047">
      <w:pPr>
        <w:rPr>
          <w:rStyle w:val="htmlparacode"/>
        </w:rPr>
      </w:pPr>
      <w:r>
        <w:rPr>
          <w:rStyle w:val="htmlparacode"/>
        </w:rPr>
        <w:t>&lt;p&gt;</w:t>
      </w:r>
    </w:p>
    <w:p w:rsidR="00B72047" w:rsidRDefault="00B72047">
      <w:pPr>
        <w:pStyle w:val="normalparagraph"/>
      </w:pPr>
      <w:r>
        <w:rPr>
          <w:rStyle w:val="indexentry"/>
        </w:rPr>
        <w:t>&lt;ex "Gettysburg Address"&gt;</w:t>
      </w:r>
      <w:r>
        <w:rPr>
          <w:rStyle w:val="indexentry"/>
        </w:rPr>
        <w:fldChar w:fldCharType="begin"/>
      </w:r>
      <w:r>
        <w:instrText>xe "</w:instrText>
      </w:r>
      <w:r>
        <w:rPr>
          <w:rStyle w:val="xeentry"/>
        </w:rPr>
        <w:instrText>Gettysburg Address: example</w:instrText>
      </w:r>
      <w:r>
        <w:instrText>"</w:instrText>
      </w:r>
      <w:r>
        <w:rPr>
          <w:rStyle w:val="indexentry"/>
        </w:rPr>
        <w:fldChar w:fldCharType="end"/>
      </w:r>
      <w:r>
        <w:rPr>
          <w:rStyle w:val="indexentry"/>
        </w:rPr>
        <w:t>&lt;ex "Four score and seven"&gt;</w:t>
      </w:r>
      <w:r>
        <w:rPr>
          <w:rStyle w:val="indexentry"/>
        </w:rPr>
        <w:fldChar w:fldCharType="begin"/>
      </w:r>
      <w:r>
        <w:instrText>xe "</w:instrText>
      </w:r>
      <w:r>
        <w:rPr>
          <w:rStyle w:val="xeentry"/>
        </w:rPr>
        <w:instrText>Four score and seven: example</w:instrText>
      </w:r>
      <w:r>
        <w:instrText>"</w:instrText>
      </w:r>
      <w:r>
        <w:rPr>
          <w:rStyle w:val="indexentry"/>
        </w:rPr>
        <w:fldChar w:fldCharType="end"/>
      </w:r>
      <w:r>
        <w:rPr>
          <w:rStyle w:val="indexentry"/>
        </w:rPr>
        <w:t>&lt;cx "mekso, and literary translation"&gt;</w:t>
      </w:r>
      <w:r>
        <w:rPr>
          <w:rStyle w:val="indexentry"/>
        </w:rPr>
        <w:fldChar w:fldCharType="begin"/>
      </w:r>
      <w:r>
        <w:instrText>xe "</w:instrText>
      </w:r>
      <w:r>
        <w:rPr>
          <w:rStyle w:val="xeentry"/>
        </w:rPr>
        <w:instrText>mekso: and literary translation</w:instrText>
      </w:r>
      <w:r>
        <w:instrText>"</w:instrText>
      </w:r>
      <w:r>
        <w:rPr>
          <w:rStyle w:val="indexentry"/>
        </w:rPr>
        <w:fldChar w:fldCharType="end"/>
      </w:r>
      <w:r>
        <w:t>Abraham Lincoln's Gettysburg Address begins with the words “Four score</w:t>
      </w:r>
      <w:r>
        <w:rPr>
          <w:rStyle w:val="deletedparamark"/>
        </w:rPr>
        <w:t xml:space="preserve"> </w:t>
      </w:r>
      <w:r>
        <w:t>and seven years ago”. This section exhibits several different ways of saying</w:t>
      </w:r>
      <w:r>
        <w:rPr>
          <w:rStyle w:val="deletedparamark"/>
        </w:rPr>
        <w:t xml:space="preserve"> </w:t>
      </w:r>
      <w:r>
        <w:t>the number “four score and seven”. (A “score”, for those not familiar with</w:t>
      </w:r>
      <w:r>
        <w:rPr>
          <w:rStyle w:val="deletedparamark"/>
        </w:rPr>
        <w:t xml:space="preserve"> </w:t>
      </w:r>
      <w:r>
        <w:t>the term, is 20; it is analogous to a “dozen” for 12.) The trivial way: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name=e22d1&gt;</w:t>
      </w:r>
      <w:r>
        <w:t>22.1)</w:t>
      </w:r>
      <w:r>
        <w:tab/>
        <w:t>bize</w:t>
      </w:r>
    </w:p>
    <w:p w:rsidR="00B72047" w:rsidRDefault="00B72047">
      <w:pPr>
        <w:pStyle w:val="examplescaled"/>
      </w:pPr>
      <w:r>
        <w:tab/>
        <w:t>eight seven</w:t>
      </w:r>
    </w:p>
    <w:p w:rsidR="00B72047" w:rsidRDefault="00B72047">
      <w:pPr>
        <w:pStyle w:val="examplescaled"/>
      </w:pPr>
      <w:r>
        <w:tab/>
      </w:r>
      <w:r>
        <w:rPr>
          <w:rStyle w:val="math"/>
        </w:rPr>
        <w:t>87</w:t>
      </w:r>
    </w:p>
    <w:p w:rsidR="00B72047" w:rsidRDefault="00B72047">
      <w:pPr>
        <w:pStyle w:val="resumedafterexample"/>
      </w:pPr>
      <w:r>
        <w:rPr>
          <w:rStyle w:val="htmlcodes"/>
        </w:rPr>
        <w:t>&lt;/pre&gt;&lt;a href=#e22d1&gt;</w:t>
      </w:r>
      <w:r>
        <w:t xml:space="preserve">Example 22.1 </w:t>
      </w:r>
      <w:r>
        <w:rPr>
          <w:rStyle w:val="htmlcodes"/>
        </w:rPr>
        <w:t>&lt;/a&gt;</w:t>
      </w:r>
      <w:r>
        <w:t>is mathematically correct, but sacrifices the spirit of the</w:t>
      </w:r>
      <w:r>
        <w:rPr>
          <w:rStyle w:val="deletedparamark"/>
        </w:rPr>
        <w:t xml:space="preserve"> </w:t>
      </w:r>
      <w:r>
        <w:t>English words, which are intended to be complex and formal.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name=e22d2&gt;</w:t>
      </w:r>
      <w:r>
        <w:t>22.2)</w:t>
      </w:r>
      <w:r>
        <w:tab/>
        <w:t>vo pi'i reno su'i ze</w:t>
      </w:r>
    </w:p>
    <w:p w:rsidR="00B72047" w:rsidRDefault="00B72047">
      <w:pPr>
        <w:pStyle w:val="examplescaled"/>
      </w:pPr>
      <w:r>
        <w:tab/>
        <w:t>four times twenty plus seven</w:t>
      </w:r>
    </w:p>
    <w:p w:rsidR="00B72047" w:rsidRDefault="00B72047">
      <w:pPr>
        <w:pStyle w:val="examplescaled"/>
        <w:rPr>
          <w:rStyle w:val="math"/>
        </w:rPr>
      </w:pPr>
      <w:r>
        <w:rPr>
          <w:rStyle w:val="math"/>
        </w:rPr>
        <w:tab/>
      </w:r>
      <w:r>
        <w:rPr>
          <w:rStyle w:val="htmlcodes"/>
        </w:rPr>
        <w:t>&lt;math&gt;</w:t>
      </w:r>
      <w:r>
        <w:rPr>
          <w:rStyle w:val="math"/>
        </w:rPr>
        <w:t xml:space="preserve">4 </w:t>
      </w:r>
      <w:r>
        <w:rPr>
          <w:rStyle w:val="htmlcodes"/>
        </w:rPr>
        <w:t>&amp;times;</w:t>
      </w:r>
      <w:r>
        <w:rPr>
          <w:rStyle w:val="math"/>
        </w:rPr>
        <w:sym w:font="Symbol" w:char="F0B4"/>
      </w:r>
      <w:r>
        <w:rPr>
          <w:rStyle w:val="math"/>
        </w:rPr>
        <w:t xml:space="preserve"> 20 + 7</w:t>
      </w:r>
      <w:r>
        <w:rPr>
          <w:rStyle w:val="htmlcodes"/>
        </w:rPr>
        <w:t>&lt;/math&gt;</w:t>
      </w:r>
    </w:p>
    <w:p w:rsidR="00B72047" w:rsidRDefault="00B72047">
      <w:pPr>
        <w:pStyle w:val="resumedafterexample"/>
      </w:pPr>
      <w:r>
        <w:rPr>
          <w:rStyle w:val="htmlcodes"/>
        </w:rPr>
        <w:t>&lt;/pre&gt;</w:t>
      </w:r>
      <w:r>
        <w:rPr>
          <w:rStyle w:val="indexentry"/>
        </w:rPr>
        <w:t>&lt;cx "score, as 20-year span"&gt;</w:t>
      </w:r>
      <w:r>
        <w:rPr>
          <w:rStyle w:val="indexentry"/>
        </w:rPr>
        <w:fldChar w:fldCharType="begin"/>
      </w:r>
      <w:r>
        <w:instrText>xe "</w:instrText>
      </w:r>
      <w:r>
        <w:rPr>
          <w:rStyle w:val="xeentry"/>
        </w:rPr>
        <w:instrText>score: as 20-year span</w:instrText>
      </w:r>
      <w:r>
        <w:instrText>"</w:instrText>
      </w:r>
      <w:r>
        <w:rPr>
          <w:rStyle w:val="indexentry"/>
        </w:rPr>
        <w:fldChar w:fldCharType="end"/>
      </w:r>
      <w:r>
        <w:rPr>
          <w:rStyle w:val="htmlcodes"/>
        </w:rPr>
        <w:t>&lt;a href=#e22d2&gt;</w:t>
      </w:r>
      <w:r>
        <w:t xml:space="preserve">Example 22.2 </w:t>
      </w:r>
      <w:r>
        <w:rPr>
          <w:rStyle w:val="htmlcodes"/>
        </w:rPr>
        <w:t>&lt;/a&gt;</w:t>
      </w:r>
      <w:r>
        <w:t>is also mathematically correct, but still misses something.</w:t>
      </w:r>
      <w:r>
        <w:rPr>
          <w:rStyle w:val="deletedparamark"/>
        </w:rPr>
        <w:t xml:space="preserve"> “</w:t>
      </w:r>
      <w:r>
        <w:t>Score” is not a word for 20 in the same way that “ten” is a word for 10:</w:t>
      </w:r>
      <w:r>
        <w:rPr>
          <w:rStyle w:val="deletedparamark"/>
        </w:rPr>
        <w:t xml:space="preserve"> </w:t>
      </w:r>
      <w:r>
        <w:t>it contains the implication of 20 objects. The original may be taken as</w:t>
      </w:r>
      <w:r>
        <w:rPr>
          <w:rStyle w:val="deletedparamark"/>
        </w:rPr>
        <w:t xml:space="preserve"> </w:t>
      </w:r>
      <w:r>
        <w:t>short for “Four score years and seven years ago”. Thinking of a score</w:t>
      </w:r>
      <w:r>
        <w:rPr>
          <w:rStyle w:val="deletedparamark"/>
        </w:rPr>
        <w:t xml:space="preserve"> </w:t>
      </w:r>
      <w:r>
        <w:t>as a twentysome rather than as 20 leads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name=e22d3&gt;</w:t>
      </w:r>
      <w:r>
        <w:t>22.3)</w:t>
      </w:r>
      <w:r>
        <w:tab/>
        <w:t>mo'e voboi renomei su'i ze</w:t>
      </w:r>
    </w:p>
    <w:p w:rsidR="00B72047" w:rsidRDefault="00B72047">
      <w:pPr>
        <w:pStyle w:val="examplescaled"/>
      </w:pPr>
      <w:r>
        <w:tab/>
        <w:t>the-number-of four twentysomes plus seven</w:t>
      </w:r>
    </w:p>
    <w:p w:rsidR="00B72047" w:rsidRDefault="00B72047">
      <w:pPr>
        <w:pStyle w:val="resumedafterexample"/>
      </w:pPr>
      <w:r>
        <w:rPr>
          <w:rStyle w:val="htmlcodes"/>
        </w:rPr>
        <w:t>&lt;/pre&gt;&lt;p&gt;</w:t>
      </w:r>
      <w:r>
        <w:t xml:space="preserve">In </w:t>
      </w:r>
      <w:r>
        <w:rPr>
          <w:rStyle w:val="htmlcodes"/>
        </w:rPr>
        <w:t>&lt;a href=#e22d3&gt;</w:t>
      </w:r>
      <w:r>
        <w:t>Example 22.3</w:t>
      </w:r>
      <w:r>
        <w:rPr>
          <w:rStyle w:val="htmlcodes"/>
        </w:rPr>
        <w:t>&lt;/a&gt;</w:t>
      </w:r>
      <w:r>
        <w:t>, “voboi renomei” is a sumti signifying four things each of</w:t>
      </w:r>
      <w:r>
        <w:rPr>
          <w:rStyle w:val="deletedparamark"/>
        </w:rPr>
        <w:t xml:space="preserve"> </w:t>
      </w:r>
      <w:r>
        <w:t>which are groups of twenty; the “mo'e” and “te'u” then make this sumti into a</w:t>
      </w:r>
      <w:r>
        <w:rPr>
          <w:rStyle w:val="deletedparamark"/>
        </w:rPr>
        <w:t xml:space="preserve"> </w:t>
      </w:r>
      <w:r>
        <w:t>number in order to allow it to be the operand of “su'i”.</w:t>
      </w:r>
    </w:p>
    <w:p w:rsidR="00B72047" w:rsidRDefault="00B72047">
      <w:pPr>
        <w:rPr>
          <w:rStyle w:val="htmlparacode"/>
        </w:rPr>
      </w:pPr>
      <w:r>
        <w:rPr>
          <w:rStyle w:val="htmlparacode"/>
        </w:rPr>
        <w:t>&lt;p&gt;</w:t>
      </w:r>
    </w:p>
    <w:p w:rsidR="00B72047" w:rsidRDefault="00B72047">
      <w:pPr>
        <w:pStyle w:val="normalparagraph"/>
      </w:pPr>
      <w:r>
        <w:rPr>
          <w:rStyle w:val="indexentry"/>
        </w:rPr>
        <w:t>&lt;cx "score, as alternate base for years"&gt;</w:t>
      </w:r>
      <w:r>
        <w:rPr>
          <w:rStyle w:val="indexentry"/>
        </w:rPr>
        <w:fldChar w:fldCharType="begin"/>
      </w:r>
      <w:r>
        <w:instrText>xe "</w:instrText>
      </w:r>
      <w:r>
        <w:rPr>
          <w:rStyle w:val="xeentry"/>
        </w:rPr>
        <w:instrText>score: as alternate base for years</w:instrText>
      </w:r>
      <w:r>
        <w:instrText>"</w:instrText>
      </w:r>
      <w:r>
        <w:rPr>
          <w:rStyle w:val="indexentry"/>
        </w:rPr>
        <w:fldChar w:fldCharType="end"/>
      </w:r>
      <w:r>
        <w:rPr>
          <w:rStyle w:val="indexentry"/>
        </w:rPr>
        <w:t>&lt;cx "base-20 arithmetic, remnants of"&gt;</w:t>
      </w:r>
      <w:r>
        <w:rPr>
          <w:rStyle w:val="indexentry"/>
        </w:rPr>
        <w:fldChar w:fldCharType="begin"/>
      </w:r>
      <w:r>
        <w:instrText>xe "</w:instrText>
      </w:r>
      <w:r>
        <w:rPr>
          <w:rStyle w:val="xeentry"/>
        </w:rPr>
        <w:instrText>base-20 arithmetic: remnants of</w:instrText>
      </w:r>
      <w:r>
        <w:instrText>"</w:instrText>
      </w:r>
      <w:r>
        <w:rPr>
          <w:rStyle w:val="indexentry"/>
        </w:rPr>
        <w:fldChar w:fldCharType="end"/>
      </w:r>
      <w:r>
        <w:t>Another approach is to think of “score” as setting a representation base.</w:t>
      </w:r>
      <w:r>
        <w:rPr>
          <w:rStyle w:val="deletedparamark"/>
        </w:rPr>
        <w:t xml:space="preserve"> </w:t>
      </w:r>
      <w:r>
        <w:t>There are remnants of base-20 arithmetic in some languages, notably French,</w:t>
      </w:r>
      <w:r>
        <w:rPr>
          <w:rStyle w:val="deletedparamark"/>
        </w:rPr>
        <w:t xml:space="preserve"> </w:t>
      </w:r>
      <w:r>
        <w:t>in which 87 is “quatre-vingt-sept”, literally “four-twenties-seven”.</w:t>
      </w:r>
      <w:r>
        <w:rPr>
          <w:rStyle w:val="deletedparamark"/>
        </w:rPr>
        <w:t xml:space="preserve"> </w:t>
      </w:r>
      <w:r>
        <w:t>(This fact makes the Gettysburg A</w:t>
      </w:r>
      <w:r>
        <w:t>d</w:t>
      </w:r>
      <w:r>
        <w:softHyphen/>
        <w:t>dress hard to translate into French!)</w:t>
      </w:r>
      <w:r>
        <w:rPr>
          <w:rStyle w:val="deletedparamark"/>
        </w:rPr>
        <w:t xml:space="preserve"> </w:t>
      </w:r>
      <w:r>
        <w:t>If “score” is the representation base, then we have: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name=e22d4&gt;</w:t>
      </w:r>
      <w:r>
        <w:t>22.4)</w:t>
      </w:r>
      <w:r>
        <w:tab/>
        <w:t>vo pi'e ze ju'u reno</w:t>
      </w:r>
    </w:p>
    <w:p w:rsidR="00B72047" w:rsidRDefault="00B72047">
      <w:pPr>
        <w:pStyle w:val="examplescaled"/>
      </w:pPr>
      <w:r>
        <w:tab/>
        <w:t>four ; seven base 20</w:t>
      </w:r>
    </w:p>
    <w:p w:rsidR="00B72047" w:rsidRDefault="00B72047">
      <w:pPr>
        <w:pStyle w:val="examplescaled"/>
        <w:rPr>
          <w:rStyle w:val="math"/>
        </w:rPr>
      </w:pPr>
      <w:r>
        <w:rPr>
          <w:rStyle w:val="math"/>
        </w:rPr>
        <w:tab/>
      </w:r>
      <w:r>
        <w:rPr>
          <w:rStyle w:val="htmlcodes"/>
        </w:rPr>
        <w:t>&lt;math&gt;</w:t>
      </w:r>
      <w:r>
        <w:rPr>
          <w:rStyle w:val="math"/>
        </w:rPr>
        <w:t>47</w:t>
      </w:r>
      <w:r>
        <w:rPr>
          <w:rStyle w:val="htmlcodes"/>
        </w:rPr>
        <w:t>&lt;sub&gt;</w:t>
      </w:r>
      <w:r>
        <w:rPr>
          <w:rStyle w:val="subscript"/>
        </w:rPr>
        <w:t>20</w:t>
      </w:r>
      <w:r>
        <w:rPr>
          <w:rStyle w:val="htmlcodes"/>
        </w:rPr>
        <w:t>&lt;/sub&gt;&lt;/math&gt;</w:t>
      </w:r>
    </w:p>
    <w:p w:rsidR="00B72047" w:rsidRDefault="00B72047">
      <w:pPr>
        <w:pStyle w:val="resumedafterexample"/>
      </w:pPr>
      <w:r>
        <w:rPr>
          <w:rStyle w:val="htmlcodes"/>
        </w:rPr>
        <w:t>&lt;/pre&gt;&lt;p&gt;</w:t>
      </w:r>
      <w:r>
        <w:t xml:space="preserve">Overall, </w:t>
      </w:r>
      <w:r>
        <w:rPr>
          <w:rStyle w:val="htmlcodes"/>
        </w:rPr>
        <w:t>&lt;a href=#e22d3&gt;</w:t>
      </w:r>
      <w:r>
        <w:t xml:space="preserve">Example 22.3 </w:t>
      </w:r>
      <w:r>
        <w:rPr>
          <w:rStyle w:val="htmlcodes"/>
        </w:rPr>
        <w:t>&lt;/a&gt;</w:t>
      </w:r>
      <w:r>
        <w:t>probably captures the flavor of the English best.</w:t>
      </w:r>
      <w:r>
        <w:rPr>
          <w:rStyle w:val="deletedparamark"/>
        </w:rPr>
        <w:t xml:space="preserve"> </w:t>
      </w:r>
      <w:r>
        <w:rPr>
          <w:rStyle w:val="htmlcodes"/>
        </w:rPr>
        <w:t>&lt;a href=#e22d1&gt;</w:t>
      </w:r>
      <w:r>
        <w:t xml:space="preserve">Example 22.1 </w:t>
      </w:r>
      <w:r>
        <w:rPr>
          <w:rStyle w:val="htmlcodes"/>
        </w:rPr>
        <w:t>&lt;/a&gt;</w:t>
      </w:r>
      <w:r>
        <w:t xml:space="preserve">and </w:t>
      </w:r>
      <w:r>
        <w:rPr>
          <w:rStyle w:val="htmlcodes"/>
        </w:rPr>
        <w:t>&lt;a href=#e22d2&gt;</w:t>
      </w:r>
      <w:r>
        <w:t xml:space="preserve">Example 22.2 </w:t>
      </w:r>
      <w:r>
        <w:rPr>
          <w:rStyle w:val="htmlcodes"/>
        </w:rPr>
        <w:t>&lt;/a&gt;</w:t>
      </w:r>
      <w:r>
        <w:t xml:space="preserve">are too simple, and </w:t>
      </w:r>
      <w:r>
        <w:rPr>
          <w:rStyle w:val="htmlcodes"/>
        </w:rPr>
        <w:t>&lt;a href=#e22d4&gt;</w:t>
      </w:r>
      <w:r>
        <w:t xml:space="preserve">Example 22.4 </w:t>
      </w:r>
      <w:r>
        <w:rPr>
          <w:rStyle w:val="htmlcodes"/>
        </w:rPr>
        <w:t>&lt;/a&gt;</w:t>
      </w:r>
      <w:r>
        <w:t>is too tricky.</w:t>
      </w:r>
      <w:r>
        <w:rPr>
          <w:rStyle w:val="deletedparamark"/>
        </w:rPr>
        <w:t xml:space="preserve"> </w:t>
      </w:r>
      <w:r>
        <w:t>Nevertheless, all four e</w:t>
      </w:r>
      <w:r>
        <w:t>x</w:t>
      </w:r>
      <w:r>
        <w:softHyphen/>
        <w:t>amples are good Lojban. Pedagogically, these</w:t>
      </w:r>
      <w:r>
        <w:rPr>
          <w:rStyle w:val="deletedparamark"/>
        </w:rPr>
        <w:t xml:space="preserve"> </w:t>
      </w:r>
      <w:r>
        <w:t>examples illustrate the richness of loj</w:t>
      </w:r>
      <w:r>
        <w:softHyphen/>
        <w:t>bau mekso: anything that can be</w:t>
      </w:r>
      <w:r>
        <w:rPr>
          <w:rStyle w:val="deletedparamark"/>
        </w:rPr>
        <w:t xml:space="preserve"> </w:t>
      </w:r>
      <w:r>
        <w:t>said at all, can probably be said in more than one way.</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name=s23&gt;&lt;h3&gt;</w:t>
      </w:r>
      <w:bookmarkStart w:id="518" w:name="_Toc398970755"/>
      <w:r>
        <w:rPr>
          <w:rStyle w:val="Heading3Text"/>
        </w:rPr>
        <w:t>mekso selma'o summary</w:t>
      </w:r>
      <w:bookmarkEnd w:id="518"/>
      <w:r>
        <w:rPr>
          <w:rStyle w:val="htmlcodes"/>
        </w:rPr>
        <w:t>&lt;/h3&gt;</w:t>
      </w:r>
    </w:p>
    <w:p w:rsidR="00B72047" w:rsidRDefault="00B72047">
      <w:pPr>
        <w:rPr>
          <w:rStyle w:val="htmlparacode"/>
        </w:rPr>
      </w:pPr>
      <w:r>
        <w:rPr>
          <w:rStyle w:val="htmlparacode"/>
        </w:rPr>
        <w:t>&lt;p&gt;</w:t>
      </w:r>
    </w:p>
    <w:p w:rsidR="00B72047" w:rsidRDefault="00B72047">
      <w:pPr>
        <w:pStyle w:val="normalparagraph"/>
      </w:pPr>
      <w:r>
        <w:t>Except as noted, each selma'o has only one cmavo.</w:t>
      </w:r>
    </w:p>
    <w:p w:rsidR="00B72047" w:rsidRDefault="00B72047">
      <w:pPr>
        <w:rPr>
          <w:rStyle w:val="htmlparacode"/>
        </w:rPr>
      </w:pPr>
      <w:r>
        <w:rPr>
          <w:rStyle w:val="htmlparacode"/>
        </w:rPr>
        <w:t>&lt;p&gt;</w:t>
      </w:r>
    </w:p>
    <w:p w:rsidR="00B72047" w:rsidRDefault="00B72047">
      <w:pPr>
        <w:pStyle w:val="examplescaledpre"/>
      </w:pPr>
      <w:r>
        <w:rPr>
          <w:rStyle w:val="indexentry"/>
        </w:rPr>
        <w:t>&lt;cx "mekso, list of selma'o for"&gt;</w:t>
      </w:r>
      <w:r>
        <w:rPr>
          <w:rStyle w:val="indexentry"/>
        </w:rPr>
        <w:fldChar w:fldCharType="begin"/>
      </w:r>
      <w:r>
        <w:instrText>xe "</w:instrText>
      </w:r>
      <w:r>
        <w:rPr>
          <w:rStyle w:val="xeentry"/>
        </w:rPr>
        <w:instrText>mekso: list of selma'o for</w:instrText>
      </w:r>
      <w:r>
        <w:instrText>"</w:instrText>
      </w:r>
      <w:r>
        <w:rPr>
          <w:rStyle w:val="indexentry"/>
        </w:rPr>
        <w:fldChar w:fldCharType="end"/>
      </w:r>
      <w:r>
        <w:rPr>
          <w:rStyle w:val="htmlcodes"/>
        </w:rPr>
        <w:t>&lt;pre&gt;</w:t>
      </w:r>
      <w:r>
        <w:t xml:space="preserve"> </w:t>
      </w:r>
      <w:r>
        <w:tab/>
        <w:t>BOI</w:t>
      </w:r>
      <w:r>
        <w:tab/>
        <w:t>elidable terminator for numerals and lerfu strings</w:t>
      </w:r>
    </w:p>
    <w:p w:rsidR="00B72047" w:rsidRDefault="00B72047">
      <w:pPr>
        <w:pStyle w:val="examplescaled"/>
      </w:pPr>
      <w:r>
        <w:tab/>
        <w:t>BY</w:t>
      </w:r>
      <w:r>
        <w:tab/>
        <w:t xml:space="preserve">lerfu for variables and functions (see </w:t>
      </w:r>
      <w:r>
        <w:rPr>
          <w:rStyle w:val="htmlcodes"/>
        </w:rPr>
        <w:t>&lt;a href=chap17.html&gt;</w:t>
      </w:r>
      <w:r>
        <w:t>Chapter 17</w:t>
      </w:r>
      <w:r>
        <w:rPr>
          <w:rStyle w:val="htmlcodes"/>
        </w:rPr>
        <w:t>&lt;/a&gt;</w:t>
      </w:r>
      <w:r>
        <w:t>)</w:t>
      </w:r>
    </w:p>
    <w:p w:rsidR="00B72047" w:rsidRDefault="00B72047">
      <w:pPr>
        <w:pStyle w:val="examplescaled"/>
      </w:pPr>
      <w:r>
        <w:tab/>
        <w:t>FUhA</w:t>
      </w:r>
      <w:r>
        <w:tab/>
        <w:t>reverse-Polish flag</w:t>
      </w:r>
    </w:p>
    <w:p w:rsidR="00B72047" w:rsidRDefault="00B72047">
      <w:pPr>
        <w:pStyle w:val="examplescaled"/>
      </w:pPr>
      <w:r>
        <w:tab/>
        <w:t>GOhA</w:t>
      </w:r>
      <w:r>
        <w:tab/>
        <w:t>includes “du” (mathematical equality) and other non-mekso cmavo</w:t>
      </w:r>
    </w:p>
    <w:p w:rsidR="00B72047" w:rsidRDefault="00B72047">
      <w:pPr>
        <w:pStyle w:val="examplescaled"/>
      </w:pPr>
      <w:r>
        <w:tab/>
        <w:t>JOhI</w:t>
      </w:r>
      <w:r>
        <w:tab/>
        <w:t>array flag</w:t>
      </w:r>
    </w:p>
    <w:p w:rsidR="00B72047" w:rsidRDefault="00B72047">
      <w:pPr>
        <w:pStyle w:val="examplescaled"/>
      </w:pPr>
      <w:r>
        <w:tab/>
        <w:t>KUhE</w:t>
      </w:r>
      <w:r>
        <w:tab/>
        <w:t>elidable terminator for forethought mekso</w:t>
      </w:r>
    </w:p>
    <w:p w:rsidR="00B72047" w:rsidRDefault="00B72047">
      <w:pPr>
        <w:pStyle w:val="examplescaled"/>
      </w:pPr>
      <w:r>
        <w:tab/>
        <w:t>LI</w:t>
      </w:r>
      <w:r>
        <w:tab/>
        <w:t>mekso articles (li and me'o)</w:t>
      </w:r>
    </w:p>
    <w:p w:rsidR="00B72047" w:rsidRDefault="00B72047">
      <w:pPr>
        <w:pStyle w:val="examplescaled"/>
      </w:pPr>
      <w:r>
        <w:tab/>
        <w:t>MAhO</w:t>
      </w:r>
      <w:r>
        <w:tab/>
        <w:t>make operand into operator</w:t>
      </w:r>
    </w:p>
    <w:p w:rsidR="00B72047" w:rsidRDefault="00B72047">
      <w:pPr>
        <w:pStyle w:val="examplescaled"/>
      </w:pPr>
      <w:r>
        <w:tab/>
        <w:t>MOI</w:t>
      </w:r>
      <w:r>
        <w:tab/>
        <w:t xml:space="preserve">creates mekso selbri (moi, mei, si'e, and cu'o, see </w:t>
      </w:r>
      <w:r>
        <w:rPr>
          <w:rStyle w:val="htmlcodes"/>
        </w:rPr>
        <w:t>&lt;a href=#s11&gt;</w:t>
      </w:r>
      <w:r>
        <w:t>Section 11</w:t>
      </w:r>
      <w:r>
        <w:rPr>
          <w:rStyle w:val="htmlcodes"/>
        </w:rPr>
        <w:t>&lt;/a&gt;</w:t>
      </w:r>
      <w:r>
        <w:t>)</w:t>
      </w:r>
    </w:p>
    <w:p w:rsidR="00B72047" w:rsidRDefault="00B72047">
      <w:pPr>
        <w:pStyle w:val="examplescaled"/>
      </w:pPr>
      <w:r>
        <w:tab/>
        <w:t>MOhE</w:t>
      </w:r>
      <w:r>
        <w:tab/>
        <w:t>make sumti into operand</w:t>
      </w:r>
    </w:p>
    <w:p w:rsidR="00B72047" w:rsidRDefault="00B72047">
      <w:pPr>
        <w:pStyle w:val="examplescaled"/>
      </w:pPr>
      <w:r>
        <w:tab/>
        <w:t>NAhU</w:t>
      </w:r>
      <w:r>
        <w:tab/>
        <w:t>make selbri into operator</w:t>
      </w:r>
    </w:p>
    <w:p w:rsidR="00B72047" w:rsidRDefault="00B72047">
      <w:pPr>
        <w:pStyle w:val="examplescaled"/>
      </w:pPr>
      <w:r>
        <w:tab/>
        <w:t>NIhE</w:t>
      </w:r>
      <w:r>
        <w:tab/>
        <w:t>make selbri into operand</w:t>
      </w:r>
    </w:p>
    <w:p w:rsidR="00B72047" w:rsidRDefault="00B72047">
      <w:pPr>
        <w:pStyle w:val="examplescaled"/>
      </w:pPr>
      <w:r>
        <w:tab/>
        <w:t>NUhA</w:t>
      </w:r>
      <w:r>
        <w:tab/>
        <w:t>make operator into selbri</w:t>
      </w:r>
    </w:p>
    <w:p w:rsidR="00B72047" w:rsidRDefault="00B72047">
      <w:pPr>
        <w:pStyle w:val="examplescaled"/>
      </w:pPr>
      <w:r>
        <w:tab/>
        <w:t>PA</w:t>
      </w:r>
      <w:r>
        <w:tab/>
        <w:t xml:space="preserve">numbers (see </w:t>
      </w:r>
      <w:r>
        <w:rPr>
          <w:rStyle w:val="htmlcodes"/>
        </w:rPr>
        <w:t>&lt;a href=#s25&gt;</w:t>
      </w:r>
      <w:r>
        <w:t>Section 25</w:t>
      </w:r>
      <w:r>
        <w:rPr>
          <w:rStyle w:val="htmlcodes"/>
        </w:rPr>
        <w:t>&lt;/a&gt;</w:t>
      </w:r>
      <w:r>
        <w:t>)</w:t>
      </w:r>
    </w:p>
    <w:p w:rsidR="00B72047" w:rsidRDefault="00B72047">
      <w:pPr>
        <w:pStyle w:val="examplescaled"/>
      </w:pPr>
      <w:r>
        <w:tab/>
        <w:t>PEhO</w:t>
      </w:r>
      <w:r>
        <w:tab/>
        <w:t>optional forethought mekso marker</w:t>
      </w:r>
    </w:p>
    <w:p w:rsidR="00B72047" w:rsidRDefault="00B72047">
      <w:pPr>
        <w:pStyle w:val="examplescaled"/>
      </w:pPr>
      <w:r>
        <w:tab/>
        <w:t>TEhU</w:t>
      </w:r>
      <w:r>
        <w:tab/>
        <w:t>elidable terminator for NAhU, NIhE, MOhE, MAhO, and JOhI</w:t>
      </w:r>
    </w:p>
    <w:p w:rsidR="00B72047" w:rsidRDefault="00B72047">
      <w:pPr>
        <w:pStyle w:val="examplescaled"/>
      </w:pPr>
      <w:r>
        <w:tab/>
        <w:t>VEI</w:t>
      </w:r>
      <w:r>
        <w:tab/>
        <w:t>left parenthesis</w:t>
      </w:r>
    </w:p>
    <w:p w:rsidR="00B72047" w:rsidRDefault="00B72047">
      <w:pPr>
        <w:pStyle w:val="examplescaled"/>
      </w:pPr>
      <w:r>
        <w:tab/>
        <w:t>VEhO</w:t>
      </w:r>
      <w:r>
        <w:tab/>
        <w:t>right parenthesis</w:t>
      </w:r>
    </w:p>
    <w:p w:rsidR="00B72047" w:rsidRDefault="00B72047">
      <w:pPr>
        <w:pStyle w:val="examplescaled"/>
      </w:pPr>
      <w:r>
        <w:tab/>
        <w:t>VUhU</w:t>
      </w:r>
      <w:r>
        <w:tab/>
        <w:t xml:space="preserve">operators (see </w:t>
      </w:r>
      <w:r>
        <w:rPr>
          <w:rStyle w:val="htmlcodes"/>
        </w:rPr>
        <w:t>&lt;a href=#s24&gt;</w:t>
      </w:r>
      <w:r>
        <w:t>Section 24</w:t>
      </w:r>
      <w:r>
        <w:rPr>
          <w:rStyle w:val="htmlcodes"/>
        </w:rPr>
        <w:t>&lt;/a&gt;</w:t>
      </w:r>
      <w:r>
        <w:t>)</w:t>
      </w:r>
    </w:p>
    <w:p w:rsidR="00B72047" w:rsidRDefault="00B72047">
      <w:pPr>
        <w:pStyle w:val="examplescaled"/>
      </w:pPr>
      <w:r>
        <w:tab/>
        <w:t>XI</w:t>
      </w:r>
      <w:r>
        <w:tab/>
        <w:t>subscript flag</w:t>
      </w:r>
    </w:p>
    <w:p w:rsidR="00B72047" w:rsidRDefault="00B72047">
      <w:pPr>
        <w:pStyle w:val="Heading3"/>
        <w:rPr>
          <w:rStyle w:val="Heading3Text"/>
        </w:rPr>
      </w:pPr>
      <w:r>
        <w:rPr>
          <w:rStyle w:val="htmlcodes"/>
        </w:rPr>
        <w:t>&lt;/pre&gt;&lt;a name=s24&gt;&lt;h3&gt;</w:t>
      </w:r>
      <w:bookmarkStart w:id="519" w:name="_Toc398970756"/>
      <w:r>
        <w:rPr>
          <w:rStyle w:val="Heading3Text"/>
        </w:rPr>
        <w:t>Complete table of VUhU cmavo, with operand structures</w:t>
      </w:r>
      <w:bookmarkEnd w:id="519"/>
      <w:r>
        <w:rPr>
          <w:rStyle w:val="htmlcodes"/>
        </w:rPr>
        <w:t>&lt;/h3&gt;</w:t>
      </w:r>
    </w:p>
    <w:p w:rsidR="00B72047" w:rsidRDefault="00B72047">
      <w:pPr>
        <w:rPr>
          <w:rStyle w:val="htmlparacode"/>
        </w:rPr>
      </w:pPr>
      <w:r>
        <w:rPr>
          <w:rStyle w:val="htmlparacode"/>
        </w:rPr>
        <w:t>&lt;p&gt;</w:t>
      </w:r>
    </w:p>
    <w:p w:rsidR="00B72047" w:rsidRDefault="00B72047">
      <w:pPr>
        <w:pStyle w:val="normalparagraph"/>
      </w:pPr>
      <w:r>
        <w:t xml:space="preserve">The operand structures specify what various operands (labeled </w:t>
      </w:r>
      <w:r>
        <w:rPr>
          <w:rStyle w:val="htmlcodes"/>
          <w:i/>
          <w:iCs/>
        </w:rPr>
        <w:t>&lt;math&gt;</w:t>
      </w:r>
      <w:r>
        <w:rPr>
          <w:rStyle w:val="math"/>
          <w:i/>
          <w:iCs/>
        </w:rPr>
        <w:t>a</w:t>
      </w:r>
      <w:r>
        <w:rPr>
          <w:rStyle w:val="htmlcodes"/>
          <w:i/>
          <w:iCs/>
        </w:rPr>
        <w:t>&lt;/math&gt;</w:t>
      </w:r>
      <w:r>
        <w:rPr>
          <w:rStyle w:val="math"/>
          <w:i/>
          <w:iCs/>
        </w:rPr>
        <w:t xml:space="preserve">, </w:t>
      </w:r>
      <w:r>
        <w:rPr>
          <w:rStyle w:val="htmlcodes"/>
          <w:i/>
          <w:iCs/>
        </w:rPr>
        <w:t>&lt;math&gt;</w:t>
      </w:r>
      <w:r>
        <w:rPr>
          <w:rStyle w:val="math"/>
          <w:i/>
          <w:iCs/>
        </w:rPr>
        <w:t>b</w:t>
      </w:r>
      <w:r>
        <w:rPr>
          <w:rStyle w:val="htmlcodes"/>
          <w:i/>
          <w:iCs/>
        </w:rPr>
        <w:t>&lt;/math&gt;</w:t>
      </w:r>
      <w:r>
        <w:rPr>
          <w:rStyle w:val="math"/>
          <w:i/>
          <w:iCs/>
        </w:rPr>
        <w:t xml:space="preserve">, </w:t>
      </w:r>
      <w:r>
        <w:rPr>
          <w:rStyle w:val="htmlcodes"/>
          <w:i/>
          <w:iCs/>
        </w:rPr>
        <w:t>&lt;math&gt;</w:t>
      </w:r>
      <w:r>
        <w:rPr>
          <w:rStyle w:val="math"/>
          <w:i/>
          <w:iCs/>
        </w:rPr>
        <w:t>c</w:t>
      </w:r>
      <w:r>
        <w:rPr>
          <w:rStyle w:val="htmlcodes"/>
          <w:i/>
          <w:iCs/>
        </w:rPr>
        <w:t>&lt;/math&gt;</w:t>
      </w:r>
      <w:r>
        <w:rPr>
          <w:i/>
          <w:iCs/>
        </w:rPr>
        <w:t>,</w:t>
      </w:r>
      <w:r>
        <w:t> </w:t>
      </w:r>
      <w:r>
        <w:rPr>
          <w:rStyle w:val="htmlcodes"/>
        </w:rPr>
        <w:t>&lt;dots&gt;</w:t>
      </w:r>
      <w:r>
        <w:t>…</w:t>
      </w:r>
      <w:r>
        <w:rPr>
          <w:rStyle w:val="htmlcodes"/>
        </w:rPr>
        <w:t>&lt;/dots&gt;</w:t>
      </w:r>
      <w:r>
        <w:t>)</w:t>
      </w:r>
      <w:r>
        <w:rPr>
          <w:rStyle w:val="deletedparamark"/>
        </w:rPr>
        <w:t xml:space="preserve"> </w:t>
      </w:r>
      <w:r>
        <w:t>mean. The implied context is forethought, since only forethought operators</w:t>
      </w:r>
      <w:r>
        <w:rPr>
          <w:rStyle w:val="deletedparamark"/>
        </w:rPr>
        <w:t xml:space="preserve"> </w:t>
      </w:r>
      <w:r>
        <w:t>can have a variable nu</w:t>
      </w:r>
      <w:r>
        <w:t>m</w:t>
      </w:r>
      <w:r>
        <w:softHyphen/>
        <w:t>ber of operands; however, the same rules apply to</w:t>
      </w:r>
      <w:r>
        <w:rPr>
          <w:rStyle w:val="deletedparamark"/>
        </w:rPr>
        <w:t xml:space="preserve"> </w:t>
      </w:r>
      <w:r>
        <w:t>infix and RP uses of VUhU.</w:t>
      </w:r>
    </w:p>
    <w:p w:rsidR="00B72047" w:rsidRDefault="00B72047">
      <w:pPr>
        <w:pStyle w:val="examplegrouptabs"/>
        <w:rPr>
          <w:rStyle w:val="htmlparacode"/>
        </w:rPr>
      </w:pPr>
      <w:r>
        <w:rPr>
          <w:rStyle w:val="htmlparacode"/>
        </w:rPr>
        <w:t>&lt;p&gt;</w:t>
      </w:r>
    </w:p>
    <w:p w:rsidR="00B72047" w:rsidRDefault="00B72047">
      <w:pPr>
        <w:pStyle w:val="examplegtabspre"/>
        <w:tabs>
          <w:tab w:val="clear" w:pos="3312"/>
          <w:tab w:val="left" w:pos="3420"/>
        </w:tabs>
      </w:pPr>
      <w:r>
        <w:rPr>
          <w:rStyle w:val="indexentry"/>
        </w:rPr>
        <w:t>&lt;cx "operators, list of simple"&gt;</w:t>
      </w:r>
      <w:r>
        <w:rPr>
          <w:rStyle w:val="indexentry"/>
        </w:rPr>
        <w:fldChar w:fldCharType="begin"/>
      </w:r>
      <w:r>
        <w:instrText>xe "</w:instrText>
      </w:r>
      <w:r>
        <w:rPr>
          <w:rStyle w:val="xeentry"/>
        </w:rPr>
        <w:instrText>operators: list of simple</w:instrText>
      </w:r>
      <w:r>
        <w:instrText>"</w:instrText>
      </w:r>
      <w:r>
        <w:rPr>
          <w:rStyle w:val="indexentry"/>
        </w:rPr>
        <w:fldChar w:fldCharType="end"/>
      </w:r>
      <w:r>
        <w:rPr>
          <w:rStyle w:val="htmlcodes"/>
        </w:rPr>
        <w:t>&lt;dl compact&gt;&lt;dt&gt;</w:t>
      </w:r>
      <w:r>
        <w:t>su'i</w:t>
      </w:r>
      <w:r>
        <w:tab/>
      </w:r>
      <w:r>
        <w:rPr>
          <w:rStyle w:val="htmlcodes"/>
        </w:rPr>
        <w:t>&lt;dd&gt;</w:t>
      </w:r>
      <w:r>
        <w:t>plus</w:t>
      </w:r>
      <w:r>
        <w:tab/>
      </w:r>
      <w:r>
        <w:tab/>
      </w:r>
      <w:r>
        <w:tab/>
      </w:r>
      <w:r>
        <w:rPr>
          <w:rStyle w:val="htmlcodes"/>
        </w:rPr>
        <w:t>&lt;math&gt;</w:t>
      </w:r>
      <w:r>
        <w:t>(((</w:t>
      </w:r>
      <w:r>
        <w:rPr>
          <w:i/>
          <w:iCs/>
        </w:rPr>
        <w:t>a</w:t>
      </w:r>
      <w:r>
        <w:t xml:space="preserve"> + </w:t>
      </w:r>
      <w:r>
        <w:rPr>
          <w:i/>
          <w:iCs/>
        </w:rPr>
        <w:t>b</w:t>
      </w:r>
      <w:r>
        <w:t xml:space="preserve">) + </w:t>
      </w:r>
      <w:r>
        <w:rPr>
          <w:i/>
          <w:iCs/>
        </w:rPr>
        <w:t>c</w:t>
      </w:r>
      <w:r>
        <w:t>) + </w:t>
      </w:r>
      <w:r>
        <w:rPr>
          <w:rStyle w:val="htmlcodes"/>
        </w:rPr>
        <w:t>&lt;dots&gt;</w:t>
      </w:r>
      <w:r>
        <w:t>…</w:t>
      </w:r>
      <w:r>
        <w:rPr>
          <w:rStyle w:val="htmlcodes"/>
        </w:rPr>
        <w:t>&lt;/dots&gt;</w:t>
      </w:r>
      <w:r>
        <w:t>)</w:t>
      </w:r>
      <w:r>
        <w:rPr>
          <w:rStyle w:val="htmlcodes"/>
        </w:rPr>
        <w:t>&lt;/math&gt;</w:t>
      </w:r>
    </w:p>
    <w:p w:rsidR="00B72047" w:rsidRDefault="00B72047">
      <w:pPr>
        <w:pStyle w:val="examplegrouptabs"/>
        <w:tabs>
          <w:tab w:val="clear" w:pos="3312"/>
          <w:tab w:val="left" w:pos="3420"/>
        </w:tabs>
      </w:pPr>
      <w:r>
        <w:t>pi'i</w:t>
      </w:r>
      <w:r>
        <w:tab/>
        <w:t>times</w:t>
      </w:r>
      <w:r>
        <w:tab/>
      </w:r>
      <w:r>
        <w:tab/>
      </w:r>
      <w:r>
        <w:tab/>
      </w:r>
      <w:r>
        <w:rPr>
          <w:rStyle w:val="htmlcodes"/>
        </w:rPr>
        <w:t>&lt;math&gt;</w:t>
      </w:r>
      <w:r>
        <w:t>(((</w:t>
      </w:r>
      <w:r>
        <w:rPr>
          <w:i/>
          <w:iCs/>
        </w:rPr>
        <w:t>a</w:t>
      </w:r>
      <w:r>
        <w:t xml:space="preserve"> </w:t>
      </w:r>
      <w:r>
        <w:sym w:font="Symbol" w:char="F0B4"/>
      </w:r>
      <w:r>
        <w:rPr>
          <w:rStyle w:val="htmlcodes"/>
        </w:rPr>
        <w:t>&amp;times;</w:t>
      </w:r>
      <w:r>
        <w:t xml:space="preserve"> </w:t>
      </w:r>
      <w:r>
        <w:rPr>
          <w:i/>
          <w:iCs/>
        </w:rPr>
        <w:t>b</w:t>
      </w:r>
      <w:r>
        <w:t xml:space="preserve">) </w:t>
      </w:r>
      <w:r>
        <w:sym w:font="Symbol" w:char="F0B4"/>
      </w:r>
      <w:r>
        <w:rPr>
          <w:rStyle w:val="htmlcodes"/>
        </w:rPr>
        <w:t>&amp;times;</w:t>
      </w:r>
      <w:r>
        <w:t xml:space="preserve"> </w:t>
      </w:r>
      <w:r>
        <w:rPr>
          <w:i/>
          <w:iCs/>
        </w:rPr>
        <w:t>c</w:t>
      </w:r>
      <w:r>
        <w:t xml:space="preserve">) </w:t>
      </w:r>
      <w:r>
        <w:sym w:font="Symbol" w:char="F0B4"/>
      </w:r>
      <w:r>
        <w:rPr>
          <w:rStyle w:val="htmlcodes"/>
        </w:rPr>
        <w:t>&amp;times;</w:t>
      </w:r>
      <w:r>
        <w:t> </w:t>
      </w:r>
      <w:r>
        <w:rPr>
          <w:rStyle w:val="htmlcodes"/>
        </w:rPr>
        <w:t>&lt;dots&gt;</w:t>
      </w:r>
      <w:r>
        <w:t>…</w:t>
      </w:r>
      <w:r>
        <w:rPr>
          <w:rStyle w:val="htmlcodes"/>
        </w:rPr>
        <w:t>&lt;/dots&gt;</w:t>
      </w:r>
      <w:r>
        <w:t>)</w:t>
      </w:r>
      <w:r>
        <w:rPr>
          <w:rStyle w:val="htmlcodes"/>
        </w:rPr>
        <w:t>&lt;/math&gt;</w:t>
      </w:r>
    </w:p>
    <w:p w:rsidR="00B72047" w:rsidRDefault="00B72047">
      <w:pPr>
        <w:pStyle w:val="examplegrouptabs"/>
        <w:tabs>
          <w:tab w:val="clear" w:pos="3312"/>
          <w:tab w:val="left" w:pos="3420"/>
        </w:tabs>
      </w:pPr>
      <w:r>
        <w:t>vu'u</w:t>
      </w:r>
      <w:r>
        <w:tab/>
        <w:t>minus</w:t>
      </w:r>
      <w:r>
        <w:tab/>
      </w:r>
      <w:r>
        <w:tab/>
      </w:r>
      <w:r>
        <w:tab/>
      </w:r>
      <w:r>
        <w:rPr>
          <w:rStyle w:val="htmlcodes"/>
        </w:rPr>
        <w:t>&lt;math&gt;</w:t>
      </w:r>
      <w:r>
        <w:t>(((</w:t>
      </w:r>
      <w:r>
        <w:rPr>
          <w:i/>
          <w:iCs/>
        </w:rPr>
        <w:t>a</w:t>
      </w:r>
      <w:r>
        <w:t xml:space="preserve"> - </w:t>
      </w:r>
      <w:r>
        <w:rPr>
          <w:i/>
          <w:iCs/>
        </w:rPr>
        <w:t>b</w:t>
      </w:r>
      <w:r>
        <w:t xml:space="preserve">) - </w:t>
      </w:r>
      <w:r>
        <w:rPr>
          <w:i/>
          <w:iCs/>
        </w:rPr>
        <w:t>c</w:t>
      </w:r>
      <w:r>
        <w:t>) - </w:t>
      </w:r>
      <w:r>
        <w:rPr>
          <w:rStyle w:val="htmlcodes"/>
        </w:rPr>
        <w:t>&lt;dots&gt;</w:t>
      </w:r>
      <w:r>
        <w:t>…</w:t>
      </w:r>
      <w:r>
        <w:rPr>
          <w:rStyle w:val="htmlcodes"/>
        </w:rPr>
        <w:t>&lt;/dots&gt;</w:t>
      </w:r>
      <w:r>
        <w:t>)</w:t>
      </w:r>
      <w:r>
        <w:rPr>
          <w:rStyle w:val="htmlcodes"/>
        </w:rPr>
        <w:t>&lt;/math&gt;</w:t>
      </w:r>
    </w:p>
    <w:p w:rsidR="00B72047" w:rsidRDefault="00B72047">
      <w:pPr>
        <w:pStyle w:val="examplegrouptabs"/>
        <w:tabs>
          <w:tab w:val="clear" w:pos="3312"/>
          <w:tab w:val="left" w:pos="3420"/>
        </w:tabs>
      </w:pPr>
      <w:r>
        <w:t>fe'i</w:t>
      </w:r>
      <w:r>
        <w:tab/>
        <w:t>divided by</w:t>
      </w:r>
      <w:r>
        <w:tab/>
      </w:r>
      <w:r>
        <w:tab/>
      </w:r>
      <w:r>
        <w:rPr>
          <w:rStyle w:val="htmlcodes"/>
        </w:rPr>
        <w:t>&lt;math&gt;</w:t>
      </w:r>
      <w:r>
        <w:t>(((</w:t>
      </w:r>
      <w:r>
        <w:rPr>
          <w:i/>
          <w:iCs/>
        </w:rPr>
        <w:t>a</w:t>
      </w:r>
      <w:r>
        <w:t xml:space="preserve"> / </w:t>
      </w:r>
      <w:r>
        <w:rPr>
          <w:i/>
          <w:iCs/>
        </w:rPr>
        <w:t>b</w:t>
      </w:r>
      <w:r>
        <w:t xml:space="preserve">) / </w:t>
      </w:r>
      <w:r>
        <w:rPr>
          <w:i/>
          <w:iCs/>
        </w:rPr>
        <w:t>c</w:t>
      </w:r>
      <w:r>
        <w:t>) / </w:t>
      </w:r>
      <w:r>
        <w:rPr>
          <w:rStyle w:val="htmlcodes"/>
        </w:rPr>
        <w:t>&lt;dots&gt;</w:t>
      </w:r>
      <w:r>
        <w:t>…</w:t>
      </w:r>
      <w:r>
        <w:rPr>
          <w:rStyle w:val="htmlcodes"/>
        </w:rPr>
        <w:t>&lt;/dots&gt;</w:t>
      </w:r>
      <w:r>
        <w:t>)</w:t>
      </w:r>
      <w:r>
        <w:rPr>
          <w:rStyle w:val="htmlcodes"/>
        </w:rPr>
        <w:t>&lt;/math&gt;</w:t>
      </w:r>
    </w:p>
    <w:p w:rsidR="00B72047" w:rsidRDefault="00B72047">
      <w:pPr>
        <w:pStyle w:val="examplegrouptabs"/>
        <w:tabs>
          <w:tab w:val="clear" w:pos="3312"/>
          <w:tab w:val="left" w:pos="3420"/>
        </w:tabs>
        <w:rPr>
          <w:rStyle w:val="deletedparamark"/>
        </w:rPr>
      </w:pPr>
      <w:r>
        <w:t>ju'u</w:t>
      </w:r>
      <w:r>
        <w:tab/>
        <w:t>number base</w:t>
      </w:r>
      <w:r>
        <w:tab/>
      </w:r>
      <w:r>
        <w:tab/>
        <w:t xml:space="preserve">numeral string “a” interpreted in the base </w:t>
      </w:r>
      <w:r>
        <w:rPr>
          <w:i/>
          <w:iCs/>
        </w:rPr>
        <w:t>b</w:t>
      </w:r>
      <w:r>
        <w:rPr>
          <w:rStyle w:val="deletedparamark"/>
        </w:rPr>
        <w:t xml:space="preserve"> </w:t>
      </w:r>
    </w:p>
    <w:p w:rsidR="00B72047" w:rsidRDefault="00B72047">
      <w:pPr>
        <w:pStyle w:val="examplegrouptabs"/>
        <w:tabs>
          <w:tab w:val="clear" w:pos="3312"/>
          <w:tab w:val="left" w:pos="3420"/>
        </w:tabs>
      </w:pPr>
      <w:r>
        <w:t>pa'i</w:t>
      </w:r>
      <w:r>
        <w:tab/>
        <w:t>ratio</w:t>
      </w:r>
      <w:r>
        <w:tab/>
      </w:r>
      <w:r>
        <w:tab/>
      </w:r>
      <w:r>
        <w:tab/>
        <w:t xml:space="preserve">the ratio of a to b, </w:t>
      </w:r>
      <w:r>
        <w:rPr>
          <w:rStyle w:val="htmlcodes"/>
        </w:rPr>
        <w:t>&lt;math&gt;</w:t>
      </w:r>
      <w:r>
        <w:t>a:b</w:t>
      </w:r>
      <w:r>
        <w:rPr>
          <w:rStyle w:val="htmlcodes"/>
        </w:rPr>
        <w:t>&lt;/math&gt;</w:t>
      </w:r>
    </w:p>
    <w:p w:rsidR="00B72047" w:rsidRDefault="00B72047">
      <w:pPr>
        <w:pStyle w:val="examplegrouptabs"/>
        <w:tabs>
          <w:tab w:val="clear" w:pos="3312"/>
          <w:tab w:val="left" w:pos="3420"/>
        </w:tabs>
      </w:pPr>
      <w:r>
        <w:t>fa'i</w:t>
      </w:r>
      <w:r>
        <w:tab/>
        <w:t>reciprocal/multiplicative inverse</w:t>
      </w:r>
      <w:r>
        <w:tab/>
      </w:r>
      <w:r>
        <w:rPr>
          <w:rStyle w:val="htmlcodes"/>
        </w:rPr>
        <w:t>&lt;math&gt;</w:t>
      </w:r>
      <w:r>
        <w:t xml:space="preserve">1 / </w:t>
      </w:r>
      <w:r>
        <w:rPr>
          <w:i/>
          <w:iCs/>
        </w:rPr>
        <w:t>a</w:t>
      </w:r>
      <w:r>
        <w:rPr>
          <w:rStyle w:val="htmlcodes"/>
        </w:rPr>
        <w:t>&lt;/math&gt;</w:t>
      </w:r>
    </w:p>
    <w:p w:rsidR="00B72047" w:rsidRDefault="00B72047">
      <w:pPr>
        <w:pStyle w:val="examplegrouptabs"/>
        <w:tabs>
          <w:tab w:val="clear" w:pos="3312"/>
          <w:tab w:val="left" w:pos="3420"/>
        </w:tabs>
      </w:pPr>
      <w:r>
        <w:t>gei</w:t>
      </w:r>
      <w:r>
        <w:tab/>
        <w:t>scientific notation</w:t>
      </w:r>
      <w:r>
        <w:tab/>
      </w:r>
      <w:r>
        <w:rPr>
          <w:rStyle w:val="htmlcodes"/>
          <w:i/>
          <w:iCs/>
        </w:rPr>
        <w:t>&lt;math&gt;</w:t>
      </w:r>
      <w:r>
        <w:rPr>
          <w:i/>
          <w:iCs/>
        </w:rPr>
        <w:t>b</w:t>
      </w:r>
      <w:r>
        <w:t xml:space="preserve"> </w:t>
      </w:r>
      <w:r>
        <w:sym w:font="Symbol" w:char="F0B4"/>
      </w:r>
      <w:r>
        <w:rPr>
          <w:rStyle w:val="htmlcodes"/>
        </w:rPr>
        <w:t>&amp;times;</w:t>
      </w:r>
      <w:r>
        <w:t xml:space="preserve"> (</w:t>
      </w:r>
      <w:r>
        <w:rPr>
          <w:i/>
          <w:iCs/>
        </w:rPr>
        <w:t>c</w:t>
      </w:r>
      <w:r>
        <w:t xml:space="preserve"> </w:t>
      </w:r>
      <w:r>
        <w:rPr>
          <w:rStyle w:val="htmlcodes"/>
        </w:rPr>
        <w:t>&lt;/math&gt;</w:t>
      </w:r>
      <w:r>
        <w:t xml:space="preserve">[default 10] to the </w:t>
      </w:r>
      <w:r>
        <w:rPr>
          <w:rStyle w:val="htmlcodes"/>
          <w:i/>
          <w:iCs/>
        </w:rPr>
        <w:t>&lt;math&gt;</w:t>
      </w:r>
      <w:r>
        <w:rPr>
          <w:i/>
          <w:iCs/>
        </w:rPr>
        <w:t>a</w:t>
      </w:r>
      <w:r>
        <w:t xml:space="preserve"> </w:t>
      </w:r>
      <w:r>
        <w:rPr>
          <w:rStyle w:val="htmlcodes"/>
        </w:rPr>
        <w:t>&lt;/math&gt;</w:t>
      </w:r>
      <w:r>
        <w:t>power</w:t>
      </w:r>
      <w:r>
        <w:rPr>
          <w:rStyle w:val="htmlcodes"/>
        </w:rPr>
        <w:t>&lt;math&gt;</w:t>
      </w:r>
      <w:r>
        <w:t>)</w:t>
      </w:r>
      <w:r>
        <w:rPr>
          <w:rStyle w:val="htmlcodes"/>
        </w:rPr>
        <w:t>&lt;/math&gt;</w:t>
      </w:r>
    </w:p>
    <w:p w:rsidR="00B72047" w:rsidRDefault="00B72047">
      <w:pPr>
        <w:pStyle w:val="examplegrouptabs"/>
        <w:tabs>
          <w:tab w:val="clear" w:pos="3312"/>
          <w:tab w:val="left" w:pos="3420"/>
        </w:tabs>
        <w:rPr>
          <w:rStyle w:val="deletedparamark"/>
        </w:rPr>
      </w:pPr>
      <w:r>
        <w:t>ge'a</w:t>
      </w:r>
      <w:r>
        <w:tab/>
        <w:t xml:space="preserve">null operator </w:t>
      </w:r>
      <w:r>
        <w:tab/>
      </w:r>
      <w:r>
        <w:tab/>
        <w:t>(no operands)</w:t>
      </w:r>
      <w:r>
        <w:rPr>
          <w:rStyle w:val="deletedparamark"/>
        </w:rPr>
        <w:t xml:space="preserve"> </w:t>
      </w:r>
    </w:p>
    <w:p w:rsidR="00B72047" w:rsidRDefault="00B72047">
      <w:pPr>
        <w:pStyle w:val="examplegrouptabs"/>
        <w:tabs>
          <w:tab w:val="clear" w:pos="3312"/>
          <w:tab w:val="left" w:pos="3420"/>
        </w:tabs>
      </w:pPr>
      <w:r>
        <w:t>de'o</w:t>
      </w:r>
      <w:r>
        <w:tab/>
        <w:t>logarithm</w:t>
      </w:r>
      <w:r>
        <w:tab/>
      </w:r>
      <w:r>
        <w:tab/>
        <w:t xml:space="preserve">log </w:t>
      </w:r>
      <w:r>
        <w:rPr>
          <w:rStyle w:val="htmlcodes"/>
        </w:rPr>
        <w:t>&lt;i&gt;</w:t>
      </w:r>
      <w:r>
        <w:rPr>
          <w:rFonts w:ascii="Times Roman" w:hAnsi="Times Roman" w:cs="Times Roman"/>
          <w:i/>
          <w:iCs/>
        </w:rPr>
        <w:t xml:space="preserve">a </w:t>
      </w:r>
      <w:r>
        <w:rPr>
          <w:rStyle w:val="htmlcodes"/>
        </w:rPr>
        <w:t>&lt;/i&gt;</w:t>
      </w:r>
      <w:r>
        <w:t xml:space="preserve">to base </w:t>
      </w:r>
      <w:r>
        <w:rPr>
          <w:rStyle w:val="htmlcodes"/>
        </w:rPr>
        <w:t>&lt;i&gt;</w:t>
      </w:r>
      <w:r>
        <w:rPr>
          <w:rFonts w:ascii="Times Roman" w:hAnsi="Times Roman" w:cs="Times Roman"/>
          <w:i/>
          <w:iCs/>
        </w:rPr>
        <w:t xml:space="preserve">b </w:t>
      </w:r>
      <w:r>
        <w:rPr>
          <w:rStyle w:val="htmlcodes"/>
        </w:rPr>
        <w:t>&lt;/i&gt;</w:t>
      </w:r>
      <w:r>
        <w:t xml:space="preserve">(default 10 or </w:t>
      </w:r>
      <w:r>
        <w:rPr>
          <w:rStyle w:val="htmlcodes"/>
        </w:rPr>
        <w:t>&lt;i&gt;</w:t>
      </w:r>
      <w:r>
        <w:rPr>
          <w:rFonts w:ascii="Times Roman" w:hAnsi="Times Roman" w:cs="Times Roman"/>
          <w:i/>
          <w:iCs/>
        </w:rPr>
        <w:t>e</w:t>
      </w:r>
      <w:r>
        <w:rPr>
          <w:rStyle w:val="htmlcodes"/>
        </w:rPr>
        <w:t>&lt;/i&gt;</w:t>
      </w:r>
      <w:r>
        <w:rPr>
          <w:rStyle w:val="htmlcodes"/>
          <w:vanish w:val="0"/>
        </w:rPr>
        <w:t xml:space="preserve"> </w:t>
      </w:r>
      <w:r>
        <w:t>as</w:t>
      </w:r>
    </w:p>
    <w:p w:rsidR="00B72047" w:rsidRDefault="00B72047">
      <w:pPr>
        <w:pStyle w:val="examplegrouptabs"/>
        <w:tabs>
          <w:tab w:val="clear" w:pos="3312"/>
          <w:tab w:val="left" w:pos="3420"/>
        </w:tabs>
        <w:rPr>
          <w:rStyle w:val="deletedparamark"/>
        </w:rPr>
      </w:pPr>
      <w:r>
        <w:tab/>
      </w:r>
      <w:r>
        <w:tab/>
      </w:r>
      <w:r>
        <w:tab/>
      </w:r>
      <w:r>
        <w:tab/>
      </w:r>
      <w:r>
        <w:tab/>
        <w:t>appropriate)</w:t>
      </w:r>
      <w:r>
        <w:rPr>
          <w:rStyle w:val="deletedparamark"/>
        </w:rPr>
        <w:t xml:space="preserve"> </w:t>
      </w:r>
    </w:p>
    <w:p w:rsidR="00B72047" w:rsidRDefault="00B72047">
      <w:pPr>
        <w:pStyle w:val="examplegrouptabs"/>
        <w:tabs>
          <w:tab w:val="clear" w:pos="3312"/>
          <w:tab w:val="left" w:pos="3420"/>
        </w:tabs>
        <w:rPr>
          <w:rStyle w:val="deletedparamark"/>
        </w:rPr>
      </w:pPr>
      <w:r>
        <w:t>te'a</w:t>
      </w:r>
      <w:r>
        <w:tab/>
        <w:t>to the power/exponential</w:t>
      </w:r>
      <w:r>
        <w:tab/>
      </w:r>
      <w:r>
        <w:rPr>
          <w:i/>
          <w:iCs/>
        </w:rPr>
        <w:t>a</w:t>
      </w:r>
      <w:r>
        <w:t xml:space="preserve"> to the </w:t>
      </w:r>
      <w:r>
        <w:rPr>
          <w:i/>
          <w:iCs/>
        </w:rPr>
        <w:t>b</w:t>
      </w:r>
      <w:r>
        <w:t xml:space="preserve"> power</w:t>
      </w:r>
      <w:r>
        <w:rPr>
          <w:rStyle w:val="deletedparamark"/>
        </w:rPr>
        <w:t xml:space="preserve"> </w:t>
      </w:r>
    </w:p>
    <w:p w:rsidR="00B72047" w:rsidRDefault="00B72047">
      <w:pPr>
        <w:pStyle w:val="examplegrouptabs"/>
        <w:tabs>
          <w:tab w:val="clear" w:pos="3312"/>
          <w:tab w:val="left" w:pos="3420"/>
        </w:tabs>
        <w:rPr>
          <w:rStyle w:val="deletedparamark"/>
        </w:rPr>
      </w:pPr>
      <w:r>
        <w:t>fe'a</w:t>
      </w:r>
      <w:r>
        <w:tab/>
        <w:t>nth root/inverse power</w:t>
      </w:r>
      <w:r>
        <w:tab/>
      </w:r>
      <w:r>
        <w:rPr>
          <w:i/>
          <w:iCs/>
        </w:rPr>
        <w:t>b</w:t>
      </w:r>
      <w:r>
        <w:rPr>
          <w:rStyle w:val="Superscript"/>
        </w:rPr>
        <w:t>th</w:t>
      </w:r>
      <w:r>
        <w:t xml:space="preserve"> root of </w:t>
      </w:r>
      <w:r>
        <w:rPr>
          <w:i/>
          <w:iCs/>
        </w:rPr>
        <w:t>a</w:t>
      </w:r>
      <w:r>
        <w:t xml:space="preserve"> (default square root:  </w:t>
      </w:r>
      <w:r>
        <w:rPr>
          <w:i/>
          <w:iCs/>
        </w:rPr>
        <w:t>b</w:t>
      </w:r>
      <w:r>
        <w:t xml:space="preserve"> = 2)</w:t>
      </w:r>
      <w:r>
        <w:rPr>
          <w:rStyle w:val="deletedparamark"/>
        </w:rPr>
        <w:t xml:space="preserve"> </w:t>
      </w:r>
    </w:p>
    <w:p w:rsidR="00B72047" w:rsidRDefault="00B72047">
      <w:pPr>
        <w:pStyle w:val="examplegrouptabs"/>
        <w:tabs>
          <w:tab w:val="clear" w:pos="3312"/>
          <w:tab w:val="left" w:pos="3420"/>
        </w:tabs>
      </w:pPr>
      <w:r>
        <w:t>cu'a</w:t>
      </w:r>
      <w:r>
        <w:tab/>
        <w:t>absolute value/norm</w:t>
      </w:r>
      <w:r>
        <w:tab/>
      </w:r>
      <w:r>
        <w:rPr>
          <w:rStyle w:val="htmlcodes"/>
        </w:rPr>
        <w:t>&lt;math&gt;</w:t>
      </w:r>
      <w:r>
        <w:t xml:space="preserve">| </w:t>
      </w:r>
      <w:r>
        <w:rPr>
          <w:i/>
          <w:iCs/>
        </w:rPr>
        <w:t>a</w:t>
      </w:r>
      <w:r>
        <w:t xml:space="preserve"> |</w:t>
      </w:r>
      <w:r>
        <w:rPr>
          <w:rStyle w:val="htmlcodes"/>
        </w:rPr>
        <w:t>&lt;/math&gt;</w:t>
      </w:r>
    </w:p>
    <w:p w:rsidR="00B72047" w:rsidRDefault="00B72047">
      <w:pPr>
        <w:pStyle w:val="examplegrouptabs"/>
        <w:tabs>
          <w:tab w:val="clear" w:pos="3312"/>
          <w:tab w:val="left" w:pos="3420"/>
        </w:tabs>
      </w:pPr>
      <w:r>
        <w:t>ne'o</w:t>
      </w:r>
      <w:r>
        <w:tab/>
        <w:t>factorial</w:t>
      </w:r>
      <w:r>
        <w:tab/>
      </w:r>
      <w:r>
        <w:tab/>
      </w:r>
      <w:r>
        <w:rPr>
          <w:rStyle w:val="htmlcodes"/>
          <w:i/>
          <w:iCs/>
        </w:rPr>
        <w:t>&lt;math&gt;</w:t>
      </w:r>
      <w:r>
        <w:rPr>
          <w:i/>
          <w:iCs/>
        </w:rPr>
        <w:t>a</w:t>
      </w:r>
      <w:r>
        <w:t>!</w:t>
      </w:r>
      <w:r>
        <w:rPr>
          <w:rStyle w:val="htmlcodes"/>
        </w:rPr>
        <w:t>&lt;/math&gt;</w:t>
      </w:r>
    </w:p>
    <w:p w:rsidR="00B72047" w:rsidRDefault="00B72047">
      <w:pPr>
        <w:pStyle w:val="examplegrouptabs"/>
        <w:tabs>
          <w:tab w:val="clear" w:pos="3312"/>
          <w:tab w:val="left" w:pos="3420"/>
        </w:tabs>
        <w:rPr>
          <w:rStyle w:val="deletedparamark"/>
        </w:rPr>
      </w:pPr>
      <w:r>
        <w:t>pi'a</w:t>
      </w:r>
      <w:r>
        <w:tab/>
        <w:t>matrix row vector combiner</w:t>
      </w:r>
      <w:r>
        <w:tab/>
        <w:t>(all operands are row vectors)</w:t>
      </w:r>
      <w:r>
        <w:rPr>
          <w:rStyle w:val="deletedparamark"/>
        </w:rPr>
        <w:t xml:space="preserve"> </w:t>
      </w:r>
    </w:p>
    <w:p w:rsidR="00B72047" w:rsidRDefault="00B72047">
      <w:pPr>
        <w:pStyle w:val="examplegrouptabs"/>
        <w:tabs>
          <w:tab w:val="clear" w:pos="3312"/>
          <w:tab w:val="left" w:pos="3420"/>
        </w:tabs>
        <w:rPr>
          <w:rStyle w:val="deletedparamark"/>
        </w:rPr>
      </w:pPr>
      <w:r>
        <w:t>sa'i</w:t>
      </w:r>
      <w:r>
        <w:tab/>
        <w:t>matrix column vector combiner</w:t>
      </w:r>
      <w:r>
        <w:tab/>
        <w:t>(all operands are column vectors)</w:t>
      </w:r>
      <w:r>
        <w:rPr>
          <w:rStyle w:val="deletedparamark"/>
        </w:rPr>
        <w:t xml:space="preserve"> </w:t>
      </w:r>
    </w:p>
    <w:p w:rsidR="00B72047" w:rsidRDefault="00B72047">
      <w:pPr>
        <w:pStyle w:val="examplegrouptabs"/>
        <w:tabs>
          <w:tab w:val="clear" w:pos="3312"/>
          <w:tab w:val="left" w:pos="3420"/>
        </w:tabs>
      </w:pPr>
      <w:r>
        <w:t>ri'o</w:t>
      </w:r>
      <w:r>
        <w:tab/>
        <w:t>integral</w:t>
      </w:r>
      <w:r>
        <w:tab/>
      </w:r>
      <w:r>
        <w:tab/>
        <w:t xml:space="preserve">integral of </w:t>
      </w:r>
      <w:r>
        <w:rPr>
          <w:i/>
          <w:iCs/>
        </w:rPr>
        <w:t>a</w:t>
      </w:r>
      <w:r>
        <w:t xml:space="preserve"> with respect to </w:t>
      </w:r>
      <w:r>
        <w:rPr>
          <w:i/>
          <w:iCs/>
        </w:rPr>
        <w:t>b</w:t>
      </w:r>
      <w:r>
        <w:t xml:space="preserve"> over range </w:t>
      </w:r>
      <w:r>
        <w:rPr>
          <w:i/>
          <w:iCs/>
        </w:rPr>
        <w:t>c</w:t>
      </w:r>
      <w:r>
        <w:t xml:space="preserve"> </w:t>
      </w:r>
    </w:p>
    <w:p w:rsidR="00B72047" w:rsidRDefault="00B72047">
      <w:pPr>
        <w:pStyle w:val="examplegrouptabs"/>
        <w:tabs>
          <w:tab w:val="clear" w:pos="3312"/>
          <w:tab w:val="left" w:pos="3420"/>
        </w:tabs>
      </w:pPr>
      <w:r>
        <w:t>sa'o</w:t>
      </w:r>
      <w:r>
        <w:tab/>
        <w:t>derivative</w:t>
      </w:r>
      <w:r>
        <w:tab/>
      </w:r>
      <w:r>
        <w:tab/>
        <w:t xml:space="preserve">derivative of </w:t>
      </w:r>
      <w:r>
        <w:rPr>
          <w:i/>
          <w:iCs/>
        </w:rPr>
        <w:t>a</w:t>
      </w:r>
      <w:r>
        <w:t xml:space="preserve"> with respect to </w:t>
      </w:r>
      <w:r>
        <w:rPr>
          <w:i/>
          <w:iCs/>
        </w:rPr>
        <w:t>b</w:t>
      </w:r>
      <w:r>
        <w:t xml:space="preserve"> of degree </w:t>
      </w:r>
      <w:r>
        <w:rPr>
          <w:i/>
          <w:iCs/>
        </w:rPr>
        <w:t>c</w:t>
      </w:r>
      <w:r>
        <w:t xml:space="preserve"> </w:t>
      </w:r>
      <w:r>
        <w:tab/>
      </w:r>
      <w:r>
        <w:tab/>
      </w:r>
      <w:r>
        <w:tab/>
      </w:r>
      <w:r>
        <w:tab/>
      </w:r>
      <w:r>
        <w:tab/>
      </w:r>
      <w:r>
        <w:tab/>
        <w:t xml:space="preserve">(default 1) </w:t>
      </w:r>
    </w:p>
    <w:p w:rsidR="00B72047" w:rsidRDefault="00B72047">
      <w:pPr>
        <w:pStyle w:val="examplegrouptabs"/>
        <w:tabs>
          <w:tab w:val="clear" w:pos="3312"/>
          <w:tab w:val="left" w:pos="3420"/>
        </w:tabs>
      </w:pPr>
      <w:r>
        <w:t>fu'u</w:t>
      </w:r>
      <w:r>
        <w:tab/>
        <w:t>non-specific operator</w:t>
      </w:r>
      <w:r>
        <w:tab/>
        <w:t xml:space="preserve">(variable) </w:t>
      </w:r>
    </w:p>
    <w:p w:rsidR="00B72047" w:rsidRDefault="00B72047">
      <w:pPr>
        <w:pStyle w:val="examplegrouptabs"/>
        <w:tabs>
          <w:tab w:val="clear" w:pos="3312"/>
          <w:tab w:val="left" w:pos="3420"/>
        </w:tabs>
      </w:pPr>
      <w:r>
        <w:t>si'i</w:t>
      </w:r>
      <w:r>
        <w:tab/>
        <w:t>sigma (</w:t>
      </w:r>
      <w:r>
        <w:sym w:font="Symbol" w:char="F053"/>
      </w:r>
      <w:r>
        <w:t>) summation</w:t>
      </w:r>
      <w:r>
        <w:tab/>
        <w:t xml:space="preserve">summation of </w:t>
      </w:r>
      <w:r>
        <w:rPr>
          <w:i/>
          <w:iCs/>
        </w:rPr>
        <w:t>a</w:t>
      </w:r>
      <w:r>
        <w:t xml:space="preserve"> using variable </w:t>
      </w:r>
      <w:r>
        <w:rPr>
          <w:i/>
          <w:iCs/>
        </w:rPr>
        <w:t>b</w:t>
      </w:r>
      <w:r>
        <w:t xml:space="preserve"> over range </w:t>
      </w:r>
      <w:r>
        <w:rPr>
          <w:i/>
          <w:iCs/>
        </w:rPr>
        <w:t>c</w:t>
      </w:r>
      <w:r>
        <w:t xml:space="preserve"> </w:t>
      </w:r>
    </w:p>
    <w:p w:rsidR="00B72047" w:rsidRDefault="00B72047">
      <w:pPr>
        <w:pStyle w:val="examplegrouptabs"/>
        <w:tabs>
          <w:tab w:val="clear" w:pos="3312"/>
          <w:tab w:val="left" w:pos="3420"/>
        </w:tabs>
      </w:pPr>
      <w:r>
        <w:t>va'a</w:t>
      </w:r>
      <w:r>
        <w:tab/>
        <w:t>negation of/additive inverse</w:t>
      </w:r>
      <w:r>
        <w:tab/>
      </w:r>
      <w:r>
        <w:rPr>
          <w:vanish/>
        </w:rPr>
        <w:t>&lt;math&gt;</w:t>
      </w:r>
      <w:r>
        <w:t>-</w:t>
      </w:r>
      <w:r>
        <w:rPr>
          <w:i/>
          <w:iCs/>
        </w:rPr>
        <w:t>a</w:t>
      </w:r>
      <w:r>
        <w:rPr>
          <w:vanish/>
        </w:rPr>
        <w:t>&lt;/math&gt;</w:t>
      </w:r>
    </w:p>
    <w:p w:rsidR="00B72047" w:rsidRDefault="00B72047">
      <w:pPr>
        <w:pStyle w:val="examplegrouptabs"/>
        <w:tabs>
          <w:tab w:val="clear" w:pos="3312"/>
          <w:tab w:val="left" w:pos="3420"/>
        </w:tabs>
      </w:pPr>
      <w:r>
        <w:t>re'a</w:t>
      </w:r>
      <w:r>
        <w:tab/>
        <w:t>matrix transpose/dual</w:t>
      </w:r>
      <w:r>
        <w:tab/>
      </w:r>
      <w:r>
        <w:rPr>
          <w:i/>
          <w:iCs/>
          <w:vanish/>
        </w:rPr>
        <w:t>&lt;math&gt;</w:t>
      </w:r>
      <w:r>
        <w:rPr>
          <w:i/>
          <w:iCs/>
        </w:rPr>
        <w:t>a</w:t>
      </w:r>
      <w:r>
        <w:t>*</w:t>
      </w:r>
      <w:r>
        <w:rPr>
          <w:rStyle w:val="htmlcodes"/>
        </w:rPr>
        <w:t>&lt;/math&gt;</w:t>
      </w:r>
    </w:p>
    <w:p w:rsidR="00B72047" w:rsidRDefault="00B72047">
      <w:pPr>
        <w:pStyle w:val="Heading3"/>
        <w:rPr>
          <w:rStyle w:val="Heading3Text"/>
        </w:rPr>
      </w:pPr>
      <w:r>
        <w:rPr>
          <w:rStyle w:val="htmlcodes"/>
        </w:rPr>
        <w:t>&lt;/dl&gt;&lt;a name=s25&gt;&lt;h3&gt;</w:t>
      </w:r>
      <w:bookmarkStart w:id="520" w:name="_Toc398970757"/>
      <w:r>
        <w:rPr>
          <w:rStyle w:val="Heading3Text"/>
        </w:rPr>
        <w:t>Complete table of PA cmavo: digits, punctuation, and other nu</w:t>
      </w:r>
      <w:r>
        <w:rPr>
          <w:rStyle w:val="Heading3Text"/>
        </w:rPr>
        <w:t>m</w:t>
      </w:r>
      <w:r>
        <w:rPr>
          <w:rStyle w:val="Heading3Text"/>
        </w:rPr>
        <w:softHyphen/>
        <w:t>bers.</w:t>
      </w:r>
      <w:bookmarkEnd w:id="520"/>
      <w:r>
        <w:rPr>
          <w:rStyle w:val="htmlcodes"/>
        </w:rPr>
        <w:t>&lt;/h3&gt;</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"digits, list of decimal"&gt;</w:t>
      </w:r>
      <w:r>
        <w:rPr>
          <w:rStyle w:val="indexentry"/>
        </w:rPr>
        <w:fldChar w:fldCharType="begin"/>
      </w:r>
      <w:r>
        <w:instrText>xe "</w:instrText>
      </w:r>
      <w:r>
        <w:rPr>
          <w:rStyle w:val="xeentry"/>
        </w:rPr>
        <w:instrText>digits: list of decimal</w:instrText>
      </w:r>
      <w:r>
        <w:instrText>"</w:instrText>
      </w:r>
      <w:r>
        <w:rPr>
          <w:rStyle w:val="indexentry"/>
        </w:rPr>
        <w:fldChar w:fldCharType="end"/>
      </w:r>
      <w:r>
        <w:t>Decimal digits:</w:t>
      </w:r>
    </w:p>
    <w:p w:rsidR="00B72047" w:rsidRDefault="00B72047">
      <w:pPr>
        <w:rPr>
          <w:rStyle w:val="htmlparacode"/>
        </w:rPr>
      </w:pPr>
      <w:r>
        <w:rPr>
          <w:rStyle w:val="htmlparacode"/>
        </w:rPr>
        <w:t>&lt;p&gt;</w:t>
      </w:r>
    </w:p>
    <w:p w:rsidR="00B72047" w:rsidRDefault="00B72047">
      <w:pPr>
        <w:pStyle w:val="examplescaledpre"/>
        <w:spacing w:before="80"/>
      </w:pPr>
      <w:r>
        <w:rPr>
          <w:rStyle w:val="htmlcodes"/>
        </w:rPr>
        <w:t>&lt;dl compact&gt;&lt;dt&gt;</w:t>
      </w:r>
      <w:r>
        <w:tab/>
      </w:r>
      <w:r>
        <w:rPr>
          <w:rStyle w:val="htmlcodes"/>
        </w:rPr>
        <w:t>&lt;dd&gt;</w:t>
      </w:r>
      <w:r>
        <w:t>no, pa, re, ci, vo, mu, xa, ze, bi, so</w:t>
      </w:r>
    </w:p>
    <w:p w:rsidR="00B72047" w:rsidRDefault="00B72047">
      <w:pPr>
        <w:pStyle w:val="examplescaled"/>
      </w:pPr>
      <w:r>
        <w:tab/>
        <w:t>0, 1, 2, 3, 4, 5, 6, 7, 8, 9</w:t>
      </w:r>
    </w:p>
    <w:p w:rsidR="00B72047" w:rsidRDefault="00B72047">
      <w:pPr>
        <w:pStyle w:val="examplescaled"/>
      </w:pPr>
      <w:r>
        <w:tab/>
        <w:t>rafsi:  non, pav, rel, cib, von, mum, xav, zel, biv, soz</w:t>
      </w:r>
    </w:p>
    <w:p w:rsidR="00B72047" w:rsidRDefault="00B72047" w:rsidP="007E67C1">
      <w:pPr>
        <w:pStyle w:val="Listjustified"/>
        <w:numPr>
          <w:ilvl w:val="0"/>
          <w:numId w:val="2"/>
        </w:numPr>
        <w:ind w:left="792" w:hanging="432"/>
      </w:pPr>
      <w:r>
        <w:rPr>
          <w:rStyle w:val="htmlcodes"/>
        </w:rPr>
        <w:t>&lt;/dl&gt;</w:t>
      </w:r>
      <w:r>
        <w:rPr>
          <w:rStyle w:val="indexentry"/>
        </w:rPr>
        <w:t>&lt;cx "digits, list of hexadecimal"&gt;</w:t>
      </w:r>
      <w:r>
        <w:rPr>
          <w:rStyle w:val="indexentry"/>
        </w:rPr>
        <w:fldChar w:fldCharType="begin"/>
      </w:r>
      <w:r>
        <w:instrText>xe "</w:instrText>
      </w:r>
      <w:r>
        <w:rPr>
          <w:rStyle w:val="xeentry"/>
        </w:rPr>
        <w:instrText>digits: list of hexadecimal</w:instrText>
      </w:r>
      <w:r>
        <w:instrText>"</w:instrText>
      </w:r>
      <w:r>
        <w:rPr>
          <w:rStyle w:val="indexentry"/>
        </w:rPr>
        <w:fldChar w:fldCharType="end"/>
      </w:r>
      <w:r>
        <w:t>Hexadecimal digits: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dau, fei, gai, jau, rei, vai</w:t>
      </w:r>
    </w:p>
    <w:p w:rsidR="00B72047" w:rsidRDefault="00B72047">
      <w:pPr>
        <w:pStyle w:val="examplescaled"/>
      </w:pPr>
      <w:r>
        <w:tab/>
        <w:t>A/10, B/11, C/12, D/13, E/14, F/15</w:t>
      </w:r>
    </w:p>
    <w:p w:rsidR="00B72047" w:rsidRDefault="00B72047" w:rsidP="007E67C1">
      <w:pPr>
        <w:pStyle w:val="Listjustified"/>
        <w:numPr>
          <w:ilvl w:val="0"/>
          <w:numId w:val="2"/>
        </w:numPr>
        <w:ind w:left="792" w:hanging="432"/>
      </w:pPr>
      <w:r>
        <w:rPr>
          <w:rStyle w:val="htmlcodes"/>
        </w:rPr>
        <w:t>&lt;/dl&gt;</w:t>
      </w:r>
      <w:r>
        <w:rPr>
          <w:rStyle w:val="indexentry"/>
        </w:rPr>
        <w:t>&lt;cx "numbers, list of special"&gt;</w:t>
      </w:r>
      <w:r>
        <w:rPr>
          <w:rStyle w:val="indexentry"/>
        </w:rPr>
        <w:fldChar w:fldCharType="begin"/>
      </w:r>
      <w:r>
        <w:instrText>xe "</w:instrText>
      </w:r>
      <w:r>
        <w:rPr>
          <w:rStyle w:val="xeentry"/>
        </w:rPr>
        <w:instrText>numbers: list of special</w:instrText>
      </w:r>
      <w:r>
        <w:instrText>"</w:instrText>
      </w:r>
      <w:r>
        <w:rPr>
          <w:rStyle w:val="indexentry"/>
        </w:rPr>
        <w:fldChar w:fldCharType="end"/>
      </w:r>
      <w:r>
        <w:t>Special numbers: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pai, ka'o, te'o, ci'i</w:t>
      </w:r>
    </w:p>
    <w:p w:rsidR="00B72047" w:rsidRDefault="00B72047">
      <w:pPr>
        <w:pStyle w:val="examplescaled"/>
      </w:pPr>
      <w:r>
        <w:tab/>
      </w:r>
      <w:r>
        <w:sym w:font="Symbol" w:char="F070"/>
      </w:r>
      <w:r>
        <w:t>, imaginary i, exponential e, infinity (</w:t>
      </w:r>
      <w:r>
        <w:sym w:font="Symbol" w:char="F0A5"/>
      </w:r>
      <w:r>
        <w:t>)</w:t>
      </w:r>
    </w:p>
    <w:p w:rsidR="00B72047" w:rsidRDefault="00B72047" w:rsidP="007E67C1">
      <w:pPr>
        <w:pStyle w:val="Listjustified"/>
        <w:numPr>
          <w:ilvl w:val="0"/>
          <w:numId w:val="2"/>
        </w:numPr>
        <w:ind w:left="792" w:hanging="432"/>
      </w:pPr>
      <w:r>
        <w:rPr>
          <w:rStyle w:val="htmlcodes"/>
        </w:rPr>
        <w:t>&lt;/dl&gt;</w:t>
      </w:r>
      <w:r>
        <w:rPr>
          <w:rStyle w:val="indexentry"/>
        </w:rPr>
        <w:t>&lt;cx "punctuation, list of numerical"&gt;</w:t>
      </w:r>
      <w:r>
        <w:rPr>
          <w:rStyle w:val="indexentry"/>
        </w:rPr>
        <w:fldChar w:fldCharType="begin"/>
      </w:r>
      <w:r>
        <w:instrText>xe "</w:instrText>
      </w:r>
      <w:r>
        <w:rPr>
          <w:rStyle w:val="xeentry"/>
        </w:rPr>
        <w:instrText>punctuation: list of numerical</w:instrText>
      </w:r>
      <w:r>
        <w:instrText>"</w:instrText>
      </w:r>
      <w:r>
        <w:rPr>
          <w:rStyle w:val="indexentry"/>
        </w:rPr>
        <w:fldChar w:fldCharType="end"/>
      </w:r>
      <w:r>
        <w:t>Number punctuation:</w:t>
      </w:r>
    </w:p>
    <w:p w:rsidR="00B72047" w:rsidRDefault="00B72047">
      <w:pPr>
        <w:pStyle w:val="examplescaledpre"/>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pi, ce'i, fi'u</w:t>
      </w:r>
    </w:p>
    <w:p w:rsidR="00B72047" w:rsidRDefault="00B72047">
      <w:pPr>
        <w:pStyle w:val="examplescaled"/>
      </w:pPr>
      <w:r>
        <w:tab/>
        <w:t>decimal point, percentage, fraction (not division)</w:t>
      </w:r>
    </w:p>
    <w:p w:rsidR="00B72047" w:rsidRDefault="00B72047">
      <w:pPr>
        <w:pStyle w:val="examplescaled"/>
      </w:pPr>
      <w:r>
        <w:tab/>
        <w:t xml:space="preserve">rafsi:  piz, cez, fi'u (from frinu; see </w:t>
      </w:r>
      <w:r>
        <w:rPr>
          <w:rStyle w:val="htmlcodes"/>
        </w:rPr>
        <w:t>&lt;a href=#s20&gt;</w:t>
      </w:r>
      <w:r>
        <w:t>Section 20</w:t>
      </w:r>
      <w:r>
        <w:rPr>
          <w:rStyle w:val="htmlcodes"/>
        </w:rPr>
        <w:t>&lt;/a&gt;</w:t>
      </w:r>
      <w:r>
        <w:t>)</w:t>
      </w:r>
    </w:p>
    <w:p w:rsidR="00B72047" w:rsidRDefault="00B72047">
      <w:pPr>
        <w:pStyle w:val="examplescaledpre"/>
        <w:spacing w:before="80"/>
      </w:pPr>
      <w:r>
        <w:rPr>
          <w:rStyle w:val="htmlcodes"/>
        </w:rPr>
        <w:t>&lt;p&gt;&lt;dt&gt;</w:t>
      </w:r>
      <w:r>
        <w:tab/>
      </w:r>
      <w:r>
        <w:rPr>
          <w:rStyle w:val="htmlcodes"/>
        </w:rPr>
        <w:t>&lt;dd&gt;</w:t>
      </w:r>
      <w:r>
        <w:t>pi'e, ma'u, ni'u</w:t>
      </w:r>
    </w:p>
    <w:p w:rsidR="00B72047" w:rsidRDefault="00B72047">
      <w:pPr>
        <w:pStyle w:val="examplescaled"/>
      </w:pPr>
      <w:r>
        <w:tab/>
        <w:t>mixed-base point, plus sign (not addition), minus sign (not subtraction)</w:t>
      </w:r>
    </w:p>
    <w:p w:rsidR="00B72047" w:rsidRDefault="00B72047">
      <w:pPr>
        <w:pStyle w:val="examplescaledpre"/>
        <w:spacing w:before="80"/>
      </w:pPr>
      <w:r>
        <w:rPr>
          <w:rStyle w:val="htmlcodes"/>
        </w:rPr>
        <w:t>&lt;p&gt;&lt;dt&gt;</w:t>
      </w:r>
      <w:r>
        <w:tab/>
      </w:r>
      <w:r>
        <w:rPr>
          <w:rStyle w:val="htmlcodes"/>
        </w:rPr>
        <w:t>&lt;dd&gt;</w:t>
      </w:r>
      <w:r>
        <w:t>ki'o, ra'e</w:t>
      </w:r>
    </w:p>
    <w:p w:rsidR="00B72047" w:rsidRDefault="00B72047">
      <w:pPr>
        <w:pStyle w:val="examplescaled"/>
      </w:pPr>
      <w:r>
        <w:tab/>
        <w:t>thousands comma, repeating-decimal indicator</w:t>
      </w:r>
    </w:p>
    <w:p w:rsidR="00B72047" w:rsidRDefault="00B72047">
      <w:pPr>
        <w:pStyle w:val="examplescaledpre"/>
        <w:spacing w:before="80"/>
      </w:pPr>
      <w:r>
        <w:rPr>
          <w:rStyle w:val="htmlcodes"/>
        </w:rPr>
        <w:t>&lt;p&gt;&lt;dt&gt;</w:t>
      </w:r>
      <w:r>
        <w:tab/>
      </w:r>
      <w:r>
        <w:rPr>
          <w:rStyle w:val="htmlcodes"/>
        </w:rPr>
        <w:t>&lt;dd&gt;</w:t>
      </w:r>
      <w:r>
        <w:t>ji'i, ka'o</w:t>
      </w:r>
    </w:p>
    <w:p w:rsidR="00B72047" w:rsidRDefault="00B72047">
      <w:pPr>
        <w:pStyle w:val="examplescaled"/>
      </w:pPr>
      <w:r>
        <w:tab/>
        <w:t>approximation sign, complex number separator</w:t>
      </w:r>
    </w:p>
    <w:p w:rsidR="00B72047" w:rsidRDefault="00B72047" w:rsidP="007E67C1">
      <w:pPr>
        <w:pStyle w:val="Listjustified"/>
        <w:numPr>
          <w:ilvl w:val="0"/>
          <w:numId w:val="2"/>
        </w:numPr>
        <w:spacing w:before="0"/>
        <w:ind w:left="792" w:hanging="432"/>
      </w:pPr>
      <w:r>
        <w:rPr>
          <w:rStyle w:val="htmlcodes"/>
          <w:vanish w:val="0"/>
        </w:rPr>
        <w:br w:type="page"/>
      </w:r>
      <w:r>
        <w:rPr>
          <w:rStyle w:val="htmlcodes"/>
        </w:rPr>
        <w:t>&lt;/dl&gt;</w:t>
      </w:r>
      <w:r>
        <w:rPr>
          <w:rStyle w:val="indexentry"/>
        </w:rPr>
        <w:t>&lt;cx "numbers, list of indefinite"&gt;</w:t>
      </w:r>
      <w:r>
        <w:rPr>
          <w:rStyle w:val="indexentry"/>
        </w:rPr>
        <w:fldChar w:fldCharType="begin"/>
      </w:r>
      <w:r>
        <w:instrText>xe "</w:instrText>
      </w:r>
      <w:r>
        <w:rPr>
          <w:rStyle w:val="xeentry"/>
        </w:rPr>
        <w:instrText>numbers: list of indefinite</w:instrText>
      </w:r>
      <w:r>
        <w:instrText>"</w:instrText>
      </w:r>
      <w:r>
        <w:rPr>
          <w:rStyle w:val="indexentry"/>
        </w:rPr>
        <w:fldChar w:fldCharType="end"/>
      </w:r>
      <w:r>
        <w:t>Indefinite numbers:</w:t>
      </w:r>
    </w:p>
    <w:p w:rsidR="00B72047" w:rsidRDefault="00B72047">
      <w:pPr>
        <w:pStyle w:val="examplescaled"/>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ro, so'a, so'e, so'i, so'o, so'u, da'a</w:t>
      </w:r>
    </w:p>
    <w:p w:rsidR="00B72047" w:rsidRDefault="00B72047">
      <w:pPr>
        <w:pStyle w:val="examplescaled"/>
      </w:pPr>
      <w:r>
        <w:tab/>
        <w:t>all, almost all, most, many, several, few, all but</w:t>
      </w:r>
    </w:p>
    <w:p w:rsidR="00B72047" w:rsidRDefault="00B72047">
      <w:pPr>
        <w:pStyle w:val="examplescaled"/>
      </w:pPr>
      <w:r>
        <w:tab/>
        <w:t>rafsi:  rol, soj, sor or so'i, sos, sot, daz</w:t>
      </w:r>
    </w:p>
    <w:p w:rsidR="00B72047" w:rsidRDefault="00B72047">
      <w:pPr>
        <w:pStyle w:val="examplescaledpre"/>
        <w:spacing w:before="80"/>
      </w:pPr>
      <w:r>
        <w:rPr>
          <w:rStyle w:val="htmlcodes"/>
        </w:rPr>
        <w:t>&lt;p&gt;&lt;dt&gt;</w:t>
      </w:r>
      <w:r>
        <w:tab/>
      </w:r>
      <w:r>
        <w:rPr>
          <w:rStyle w:val="htmlcodes"/>
        </w:rPr>
        <w:t>&lt;dd&gt;</w:t>
      </w:r>
      <w:r>
        <w:t>su'e, su'o</w:t>
      </w:r>
    </w:p>
    <w:p w:rsidR="00B72047" w:rsidRDefault="00B72047">
      <w:pPr>
        <w:pStyle w:val="examplescaled"/>
      </w:pPr>
      <w:r>
        <w:tab/>
        <w:t>at most, at least</w:t>
      </w:r>
    </w:p>
    <w:p w:rsidR="00B72047" w:rsidRDefault="00B72047">
      <w:pPr>
        <w:pStyle w:val="examplescaled"/>
      </w:pPr>
      <w:r>
        <w:tab/>
        <w:t>rafsi:  su'e, su'o</w:t>
      </w:r>
    </w:p>
    <w:p w:rsidR="00B72047" w:rsidRDefault="00B72047">
      <w:pPr>
        <w:pStyle w:val="examplescaledpre"/>
        <w:spacing w:before="80"/>
      </w:pPr>
      <w:r>
        <w:rPr>
          <w:rStyle w:val="htmlcodes"/>
        </w:rPr>
        <w:t>&lt;p&gt;&lt;dt&gt;</w:t>
      </w:r>
      <w:r>
        <w:tab/>
      </w:r>
      <w:r>
        <w:rPr>
          <w:rStyle w:val="htmlcodes"/>
        </w:rPr>
        <w:t>&lt;dd&gt;</w:t>
      </w:r>
      <w:r>
        <w:t>me'i, za'u</w:t>
      </w:r>
    </w:p>
    <w:p w:rsidR="00B72047" w:rsidRDefault="00B72047">
      <w:pPr>
        <w:pStyle w:val="examplescaled"/>
      </w:pPr>
      <w:r>
        <w:tab/>
        <w:t>less than, more than</w:t>
      </w:r>
    </w:p>
    <w:p w:rsidR="00B72047" w:rsidRDefault="00B72047">
      <w:pPr>
        <w:pStyle w:val="examplescaledpre"/>
      </w:pPr>
      <w:r>
        <w:rPr>
          <w:rStyle w:val="htmlcodes"/>
        </w:rPr>
        <w:t>&lt;p&gt;&lt;dt&gt;</w:t>
      </w:r>
      <w:r>
        <w:tab/>
      </w:r>
      <w:r>
        <w:rPr>
          <w:rStyle w:val="htmlcodes"/>
        </w:rPr>
        <w:t>&lt;dd&gt;</w:t>
      </w:r>
      <w:r>
        <w:t>no'o</w:t>
      </w:r>
    </w:p>
    <w:p w:rsidR="00B72047" w:rsidRDefault="00B72047">
      <w:pPr>
        <w:pStyle w:val="examplescaled"/>
      </w:pPr>
      <w:r>
        <w:tab/>
        <w:t>the typical number</w:t>
      </w:r>
    </w:p>
    <w:p w:rsidR="00B72047" w:rsidRDefault="00B72047" w:rsidP="007E67C1">
      <w:pPr>
        <w:pStyle w:val="Listjustified"/>
        <w:numPr>
          <w:ilvl w:val="0"/>
          <w:numId w:val="2"/>
        </w:numPr>
        <w:ind w:left="792" w:hanging="432"/>
      </w:pPr>
      <w:r>
        <w:rPr>
          <w:rStyle w:val="htmlcodes"/>
        </w:rPr>
        <w:t>&lt;/dl&gt;&lt;p&gt;</w:t>
      </w:r>
      <w:r>
        <w:t>Subjective numbers: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rau, du'e, mo'a</w:t>
      </w:r>
    </w:p>
    <w:p w:rsidR="00B72047" w:rsidRDefault="00B72047">
      <w:pPr>
        <w:pStyle w:val="examplescaled"/>
      </w:pPr>
      <w:r>
        <w:tab/>
        <w:t>enough, too many, too few</w:t>
      </w:r>
    </w:p>
    <w:p w:rsidR="00B72047" w:rsidRDefault="00B72047" w:rsidP="007E67C1">
      <w:pPr>
        <w:pStyle w:val="Listjustified"/>
        <w:numPr>
          <w:ilvl w:val="0"/>
          <w:numId w:val="2"/>
        </w:numPr>
        <w:ind w:left="792" w:hanging="432"/>
      </w:pPr>
      <w:r>
        <w:rPr>
          <w:rStyle w:val="htmlcodes"/>
        </w:rPr>
        <w:t>&lt;/dl&gt;&lt;p&gt;</w:t>
      </w:r>
      <w:r>
        <w:t>Miscellaneous: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xo, tu'o</w:t>
      </w:r>
    </w:p>
    <w:p w:rsidR="00B72047" w:rsidRDefault="00B72047">
      <w:pPr>
        <w:pStyle w:val="examplescaled"/>
      </w:pPr>
      <w:r>
        <w:tab/>
        <w:t>number question, null operand</w:t>
      </w:r>
    </w:p>
    <w:p w:rsidR="00B72047" w:rsidRDefault="00B72047">
      <w:pPr>
        <w:pStyle w:val="Heading3"/>
        <w:rPr>
          <w:rStyle w:val="Heading3Text"/>
        </w:rPr>
      </w:pPr>
      <w:r>
        <w:rPr>
          <w:rStyle w:val="htmlcodes"/>
        </w:rPr>
        <w:t>&lt;/dl&gt;&lt;a name=s26&gt;&lt;h3&gt;</w:t>
      </w:r>
      <w:bookmarkStart w:id="521" w:name="_Toc398970758"/>
      <w:r>
        <w:rPr>
          <w:rStyle w:val="Heading3Text"/>
        </w:rPr>
        <w:t>Table of MOI cmavo, with associated rafsi and place structures</w:t>
      </w:r>
      <w:bookmarkEnd w:id="521"/>
      <w:r>
        <w:rPr>
          <w:rStyle w:val="htmlcodes"/>
        </w:rPr>
        <w:t>&lt;/h3&gt;</w:t>
      </w:r>
    </w:p>
    <w:p w:rsidR="00B72047" w:rsidRDefault="00B72047">
      <w:pPr>
        <w:rPr>
          <w:rStyle w:val="htmlparacode"/>
        </w:rPr>
      </w:pPr>
      <w:r>
        <w:rPr>
          <w:rStyle w:val="htmlparacode"/>
        </w:rPr>
        <w:t>&lt;p&gt;</w:t>
      </w:r>
    </w:p>
    <w:p w:rsidR="00B72047" w:rsidRDefault="00B72047">
      <w:pPr>
        <w:pStyle w:val="examplescaledpre"/>
      </w:pPr>
      <w:r>
        <w:rPr>
          <w:rStyle w:val="indexentry"/>
        </w:rPr>
        <w:t>&lt;lx "MOI"&gt;</w:t>
      </w:r>
      <w:r>
        <w:rPr>
          <w:rStyle w:val="indexentry"/>
        </w:rPr>
        <w:fldChar w:fldCharType="begin"/>
      </w:r>
      <w:r>
        <w:instrText>xe "</w:instrText>
      </w:r>
      <w:r>
        <w:rPr>
          <w:rStyle w:val="xeentry"/>
        </w:rPr>
        <w:instrText>MOI selma’o</w:instrText>
      </w:r>
      <w:r>
        <w:instrText>"</w:instrText>
      </w:r>
      <w:r>
        <w:rPr>
          <w:rStyle w:val="indexentry"/>
        </w:rPr>
        <w:fldChar w:fldCharType="end"/>
      </w:r>
      <w:r>
        <w:rPr>
          <w:rStyle w:val="indexentry"/>
        </w:rPr>
        <w:t>&lt;cx "MOI, list of cmavo in"&gt;</w:t>
      </w:r>
      <w:r>
        <w:rPr>
          <w:rStyle w:val="indexentry"/>
        </w:rPr>
        <w:fldChar w:fldCharType="begin"/>
      </w:r>
      <w:r>
        <w:instrText>xe "</w:instrText>
      </w:r>
      <w:r>
        <w:rPr>
          <w:rStyle w:val="xeentry"/>
        </w:rPr>
        <w:instrText>MOI selma’o: list of cmavo in</w:instrText>
      </w:r>
      <w:r>
        <w:instrText>"</w:instrText>
      </w:r>
      <w:r>
        <w:rPr>
          <w:rStyle w:val="indexentry"/>
        </w:rPr>
        <w:fldChar w:fldCharType="end"/>
      </w:r>
      <w:r>
        <w:rPr>
          <w:rStyle w:val="htmlcodes"/>
        </w:rPr>
        <w:t>&lt;pre&gt;</w:t>
      </w:r>
      <w:r>
        <w:t xml:space="preserve"> </w:t>
      </w:r>
      <w:r>
        <w:tab/>
        <w:t>mei</w:t>
      </w:r>
      <w:r>
        <w:tab/>
        <w:t xml:space="preserve">x1 is a mass formed from a set x2 of </w:t>
      </w:r>
      <w:r>
        <w:rPr>
          <w:rStyle w:val="htmlcodes"/>
        </w:rPr>
        <w:t>&lt;math&gt;</w:t>
      </w:r>
      <w:r>
        <w:t xml:space="preserve">n </w:t>
      </w:r>
      <w:r>
        <w:rPr>
          <w:rStyle w:val="htmlcodes"/>
        </w:rPr>
        <w:t>&lt;/math&gt;</w:t>
      </w:r>
      <w:r>
        <w:t xml:space="preserve">members, one or more of </w:t>
      </w:r>
    </w:p>
    <w:p w:rsidR="00B72047" w:rsidRDefault="00B72047">
      <w:pPr>
        <w:pStyle w:val="examplescaled"/>
        <w:ind w:firstLine="576"/>
      </w:pPr>
      <w:r>
        <w:t>which is/are x3, [measured relative to the set x4/by standard x4]</w:t>
      </w:r>
    </w:p>
    <w:p w:rsidR="00B72047" w:rsidRDefault="00B72047">
      <w:pPr>
        <w:pStyle w:val="examplescaled"/>
      </w:pPr>
      <w:r>
        <w:tab/>
        <w:t>rafsi:  mem, mei</w:t>
      </w:r>
    </w:p>
    <w:p w:rsidR="00B72047" w:rsidRDefault="00B72047">
      <w:pPr>
        <w:pStyle w:val="examplescaledpre"/>
      </w:pPr>
      <w:r>
        <w:tab/>
        <w:t>moi</w:t>
      </w:r>
      <w:r>
        <w:tab/>
        <w:t xml:space="preserve">x1 is the (n)th member of set x2 when ordered by rule x3 </w:t>
      </w:r>
    </w:p>
    <w:p w:rsidR="00B72047" w:rsidRDefault="00B72047">
      <w:pPr>
        <w:pStyle w:val="examplescaled"/>
        <w:ind w:firstLine="576"/>
      </w:pPr>
      <w:r>
        <w:t>[by standard x4]</w:t>
      </w:r>
    </w:p>
    <w:p w:rsidR="00B72047" w:rsidRDefault="00B72047">
      <w:pPr>
        <w:pStyle w:val="examplescaled"/>
      </w:pPr>
      <w:r>
        <w:tab/>
        <w:t>rafsi:  mom, moi</w:t>
      </w:r>
    </w:p>
    <w:p w:rsidR="00B72047" w:rsidRDefault="00B72047">
      <w:pPr>
        <w:pStyle w:val="examplescaledpre"/>
      </w:pPr>
      <w:r>
        <w:tab/>
        <w:t>si'e</w:t>
      </w:r>
      <w:r>
        <w:tab/>
        <w:t>x1 is an (n)th portion of mass x2 [by standard x3]</w:t>
      </w:r>
    </w:p>
    <w:p w:rsidR="00B72047" w:rsidRDefault="00B72047">
      <w:pPr>
        <w:pStyle w:val="examplescaled"/>
      </w:pPr>
      <w:r>
        <w:tab/>
        <w:t>rafsi:  none</w:t>
      </w:r>
    </w:p>
    <w:p w:rsidR="00B72047" w:rsidRDefault="00B72047">
      <w:pPr>
        <w:pStyle w:val="examplescaledpre"/>
      </w:pPr>
      <w:r>
        <w:tab/>
        <w:t>cu'o</w:t>
      </w:r>
      <w:r>
        <w:tab/>
        <w:t>event x1 has probability (n) of occurring under conditions x2</w:t>
      </w:r>
    </w:p>
    <w:p w:rsidR="00B72047" w:rsidRDefault="00B72047">
      <w:pPr>
        <w:pStyle w:val="examplescaled"/>
        <w:ind w:firstLine="576"/>
      </w:pPr>
      <w:r>
        <w:t>[by standard x3]</w:t>
      </w:r>
    </w:p>
    <w:p w:rsidR="00B72047" w:rsidRDefault="00B72047">
      <w:pPr>
        <w:pStyle w:val="examplescaled"/>
      </w:pPr>
      <w:r>
        <w:tab/>
        <w:t xml:space="preserve">rafsi:  cu'o (borrowed from cunso; see </w:t>
      </w:r>
      <w:r>
        <w:rPr>
          <w:rStyle w:val="htmlcodes"/>
        </w:rPr>
        <w:t>&lt;a href=#s20&gt;</w:t>
      </w:r>
      <w:r>
        <w:t>Section 20</w:t>
      </w:r>
      <w:r>
        <w:rPr>
          <w:rStyle w:val="htmlcodes"/>
        </w:rPr>
        <w:t>&lt;/a&gt;</w:t>
      </w:r>
      <w:r>
        <w:t>)</w:t>
      </w:r>
    </w:p>
    <w:p w:rsidR="00B72047" w:rsidRDefault="00B72047">
      <w:pPr>
        <w:pStyle w:val="examplescaledpre"/>
      </w:pPr>
      <w:r>
        <w:tab/>
        <w:t>va’e</w:t>
      </w:r>
      <w:r>
        <w:tab/>
        <w:t>x1 is at scale position (n) on the scale x2</w:t>
      </w:r>
    </w:p>
    <w:p w:rsidR="00B72047" w:rsidRDefault="00B72047">
      <w:pPr>
        <w:pStyle w:val="examplescaled"/>
        <w:ind w:firstLine="576"/>
      </w:pPr>
      <w:r>
        <w:t>[by standard x3]</w:t>
      </w:r>
    </w:p>
    <w:p w:rsidR="00B72047" w:rsidRDefault="00B72047">
      <w:pPr>
        <w:pStyle w:val="examplescaled"/>
      </w:pPr>
      <w:r>
        <w:tab/>
        <w:t>rafsi:  none</w:t>
      </w:r>
    </w:p>
    <w:p w:rsidR="00B72047" w:rsidRDefault="00B72047">
      <w:pPr>
        <w:pStyle w:val="resumedafterexample"/>
      </w:pPr>
    </w:p>
    <w:p w:rsidR="00B72047" w:rsidRDefault="00B72047">
      <w:pPr>
        <w:pStyle w:val="resumedafterexample"/>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rPr>
          <w:rStyle w:val="htmlcodes"/>
        </w:rPr>
      </w:pPr>
      <w:r>
        <w:rPr>
          <w:rStyle w:val="htmlcodes"/>
        </w:rPr>
        <w:t>&lt;center&gt;&lt;p align=center&gt;</w:t>
      </w:r>
    </w:p>
    <w:p w:rsidR="00B72047" w:rsidRDefault="00B72047">
      <w:pPr>
        <w:rPr>
          <w:rStyle w:val="htmlcodes"/>
        </w:rPr>
      </w:pPr>
      <w:r>
        <w:rPr>
          <w:rStyle w:val="htmlcodes"/>
        </w:rPr>
        <w:t>&lt;img src=chap19.gif alt=[Cartoon] align=center width=405 height=405&gt;</w:t>
      </w:r>
    </w:p>
    <w:p w:rsidR="00B72047" w:rsidRDefault="00B72047">
      <w:pPr>
        <w:pStyle w:val="resumedafterexample"/>
      </w:pPr>
      <w:r>
        <w:pict>
          <v:shape id="_x0000_i1044" type="#_x0000_t75" style="width:356.25pt;height:461.25pt">
            <v:imagedata r:id="rId41" o:title="" croptop="-17130f" cropbottom="-17130f" cropleft="-6323f" cropright="-6323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522" w:name="_Toc395684507"/>
      <w:bookmarkStart w:id="523" w:name="_Toc398970759"/>
      <w:r>
        <w:t>Chapter 19</w:t>
      </w:r>
      <w:bookmarkEnd w:id="522"/>
      <w:bookmarkEnd w:id="523"/>
    </w:p>
    <w:p w:rsidR="00B72047" w:rsidRDefault="00B72047">
      <w:pPr>
        <w:pStyle w:val="Heading2"/>
        <w:rPr>
          <w:rStyle w:val="htmlcodes"/>
        </w:rPr>
      </w:pPr>
      <w:r>
        <w:rPr>
          <w:rStyle w:val="htmlcodes"/>
        </w:rPr>
        <w:t>&lt;br&gt;</w:t>
      </w:r>
    </w:p>
    <w:p w:rsidR="00B72047" w:rsidRDefault="00B72047">
      <w:pPr>
        <w:pStyle w:val="Heading2"/>
      </w:pPr>
      <w:bookmarkStart w:id="524" w:name="_Toc398970760"/>
      <w:r>
        <w:t>Putting It All Together: Notes on the Structure of Lojban Texts</w:t>
      </w:r>
      <w:bookmarkEnd w:id="524"/>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Heading3"/>
        <w:rPr>
          <w:rStyle w:val="Heading3Text"/>
        </w:rPr>
      </w:pPr>
      <w:bookmarkStart w:id="525" w:name="_Toc398970761"/>
      <w:r>
        <w:rPr>
          <w:rStyle w:val="Heading3Text"/>
        </w:rPr>
        <w:t>Introductory</w:t>
      </w:r>
      <w:bookmarkEnd w:id="525"/>
      <w:r>
        <w:rPr>
          <w:rStyle w:val="htmlcodes"/>
        </w:rPr>
        <w:t>&lt;/h3&gt;</w:t>
      </w:r>
    </w:p>
    <w:p w:rsidR="00B72047" w:rsidRDefault="00B72047">
      <w:pPr>
        <w:rPr>
          <w:rStyle w:val="htmlparacode"/>
        </w:rPr>
      </w:pPr>
      <w:r>
        <w:rPr>
          <w:rStyle w:val="htmlparacode"/>
        </w:rPr>
        <w:t>&lt;p&gt;</w:t>
      </w:r>
      <w:r>
        <w:rPr>
          <w:rStyle w:val="indexentry"/>
        </w:rPr>
        <w:t>&lt;cx "text, structure of"&gt;</w:t>
      </w:r>
      <w:r>
        <w:rPr>
          <w:rStyle w:val="indexentry"/>
        </w:rPr>
        <w:fldChar w:fldCharType="begin"/>
      </w:r>
      <w:r>
        <w:instrText>xe "</w:instrText>
      </w:r>
      <w:r>
        <w:rPr>
          <w:rStyle w:val="xeentry"/>
        </w:rPr>
        <w:instrText>text: structure of</w:instrText>
      </w:r>
      <w:r>
        <w:instrText>"</w:instrText>
      </w:r>
      <w:r>
        <w:rPr>
          <w:rStyle w:val="indexentry"/>
        </w:rPr>
        <w:fldChar w:fldCharType="end"/>
      </w:r>
      <w:r>
        <w:rPr>
          <w:rStyle w:val="htmlcodes"/>
        </w:rPr>
        <w:t>&lt;a name=s1&gt;&lt;h3&gt;</w:t>
      </w:r>
    </w:p>
    <w:p w:rsidR="00B72047" w:rsidRDefault="00B72047">
      <w:pPr>
        <w:pStyle w:val="normalparagraph"/>
      </w:pPr>
      <w:r>
        <w:t>This chapter is incurably miscellaneous. It describes the cmavo that specify</w:t>
      </w:r>
      <w:r>
        <w:rPr>
          <w:rStyle w:val="deletedparamark"/>
        </w:rPr>
        <w:t xml:space="preserve"> </w:t>
      </w:r>
      <w:r>
        <w:t>the structure of Lojban texts, from the largest scale (paragraphs) to</w:t>
      </w:r>
      <w:r>
        <w:rPr>
          <w:rStyle w:val="deletedparamark"/>
        </w:rPr>
        <w:t xml:space="preserve"> </w:t>
      </w:r>
      <w:r>
        <w:t>the smallest (single words). There are fewer examples than are found in</w:t>
      </w:r>
      <w:r>
        <w:rPr>
          <w:rStyle w:val="deletedparamark"/>
        </w:rPr>
        <w:t xml:space="preserve"> </w:t>
      </w:r>
      <w:r>
        <w:t>other chapters of this book, since the linguistic mechanisms described</w:t>
      </w:r>
      <w:r>
        <w:rPr>
          <w:rStyle w:val="deletedparamark"/>
        </w:rPr>
        <w:t xml:space="preserve"> </w:t>
      </w:r>
      <w:r>
        <w:t>are generally made use of in conversation or else in long documents.</w:t>
      </w:r>
    </w:p>
    <w:p w:rsidR="00B72047" w:rsidRDefault="00B72047">
      <w:pPr>
        <w:pStyle w:val="normalparagraph"/>
        <w:rPr>
          <w:rStyle w:val="htmlparacode"/>
        </w:rPr>
      </w:pPr>
      <w:r>
        <w:rPr>
          <w:rStyle w:val="htmlparacode"/>
        </w:rPr>
        <w:t>&lt;p&gt;</w:t>
      </w:r>
    </w:p>
    <w:p w:rsidR="00B72047" w:rsidRDefault="00B72047">
      <w:pPr>
        <w:pStyle w:val="normalparagraph"/>
      </w:pPr>
      <w:r>
        <w:t>This chapter is also not very self-contained. It makes passing reference to</w:t>
      </w:r>
      <w:r>
        <w:rPr>
          <w:rStyle w:val="deletedparamark"/>
        </w:rPr>
        <w:t xml:space="preserve"> </w:t>
      </w:r>
      <w:r>
        <w:t>a great many concepts which are explained in full only in other chapters.</w:t>
      </w:r>
      <w:r>
        <w:rPr>
          <w:rStyle w:val="deletedparamark"/>
        </w:rPr>
        <w:t xml:space="preserve"> </w:t>
      </w:r>
      <w:r>
        <w:t>The alternative would be a chapter on text structure which was as complex as</w:t>
      </w:r>
      <w:r>
        <w:rPr>
          <w:rStyle w:val="deletedparamark"/>
        </w:rPr>
        <w:t xml:space="preserve"> </w:t>
      </w:r>
      <w:r>
        <w:t>all the other chapters put together. Lojban is a unified language, and it</w:t>
      </w:r>
      <w:r>
        <w:rPr>
          <w:rStyle w:val="deletedparamark"/>
        </w:rPr>
        <w:t xml:space="preserve"> </w:t>
      </w:r>
      <w:r>
        <w:t>is not possible to understand any part of it (in full) before understanding</w:t>
      </w:r>
      <w:r>
        <w:rPr>
          <w:rStyle w:val="deletedparamark"/>
        </w:rPr>
        <w:t xml:space="preserve"> </w:t>
      </w:r>
      <w:r>
        <w:t>every part of it (to some degree).</w:t>
      </w:r>
    </w:p>
    <w:p w:rsidR="00B72047" w:rsidRDefault="00B72047">
      <w:pPr>
        <w:rPr>
          <w:rStyle w:val="htmlparacode"/>
        </w:rPr>
      </w:pPr>
      <w:r>
        <w:rPr>
          <w:rStyle w:val="htmlparacode"/>
        </w:rPr>
        <w:t>&lt;p&gt;</w:t>
      </w:r>
    </w:p>
    <w:p w:rsidR="00B72047" w:rsidRDefault="00B72047">
      <w:pPr>
        <w:pStyle w:val="Heading3"/>
        <w:rPr>
          <w:rStyle w:val="Heading3Text"/>
        </w:rPr>
      </w:pPr>
      <w:bookmarkStart w:id="526" w:name="_Toc398970762"/>
      <w:r>
        <w:rPr>
          <w:rStyle w:val="Heading3Text"/>
        </w:rPr>
        <w:t>Sentences: I</w:t>
      </w:r>
      <w:bookmarkEnd w:id="526"/>
      <w:r>
        <w:rPr>
          <w:rStyle w:val="htmlcodes"/>
        </w:rPr>
        <w:t>&lt;/h3&gt;</w:t>
      </w:r>
    </w:p>
    <w:p w:rsidR="00B72047" w:rsidRDefault="00B72047">
      <w:pPr>
        <w:rPr>
          <w:rStyle w:val="htmlparacode"/>
        </w:rPr>
      </w:pPr>
      <w:r>
        <w:rPr>
          <w:rStyle w:val="htmlparacode"/>
        </w:rPr>
        <w:t>&lt;p&gt;</w:t>
      </w:r>
      <w:r>
        <w:rPr>
          <w:rStyle w:val="indexentry"/>
        </w:rPr>
        <w:t>&lt;cx "sentences, joining"&gt;</w:t>
      </w:r>
      <w:r>
        <w:rPr>
          <w:rStyle w:val="indexentry"/>
        </w:rPr>
        <w:fldChar w:fldCharType="begin"/>
      </w:r>
      <w:r>
        <w:instrText>xe "</w:instrText>
      </w:r>
      <w:r>
        <w:rPr>
          <w:rStyle w:val="xeentry"/>
        </w:rPr>
        <w:instrText>sentences: joining</w:instrText>
      </w:r>
      <w:r>
        <w:instrText>"</w:instrText>
      </w:r>
      <w:r>
        <w:rPr>
          <w:rStyle w:val="indexentry"/>
        </w:rPr>
        <w:fldChar w:fldCharType="end"/>
      </w:r>
      <w:r>
        <w:rPr>
          <w:rStyle w:val="htmlcodes"/>
        </w:rPr>
        <w:t>&lt;a name=s2&gt;&lt;h3&gt;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indexentry"/>
        </w:rPr>
        <w:t>&lt;lx ".i"&gt;</w:t>
      </w:r>
      <w:r>
        <w:rPr>
          <w:rStyle w:val="indexentry"/>
        </w:rPr>
        <w:fldChar w:fldCharType="begin"/>
      </w:r>
      <w:r>
        <w:instrText>xe "</w:instrText>
      </w:r>
      <w:r>
        <w:rPr>
          <w:rStyle w:val="xeentry"/>
        </w:rPr>
        <w:instrText>i</w:instrText>
      </w:r>
      <w:r>
        <w:instrText>"</w:instrText>
      </w:r>
      <w:r>
        <w:rPr>
          <w:rStyle w:val="indexentry"/>
        </w:rPr>
        <w:fldChar w:fldCharType="end"/>
      </w:r>
      <w:r>
        <w:rPr>
          <w:rStyle w:val="indexentry"/>
        </w:rPr>
        <w:t>&lt;lx "I"&gt;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htmlcodes"/>
        </w:rPr>
        <w:t>&lt;pre&gt;</w:t>
      </w:r>
      <w:r>
        <w:tab/>
        <w:t>.i</w:t>
      </w:r>
      <w:r>
        <w:tab/>
        <w:t>I</w:t>
      </w:r>
      <w:r>
        <w:tab/>
        <w:t>sentence separator</w:t>
      </w:r>
    </w:p>
    <w:p w:rsidR="00B72047" w:rsidRDefault="00B72047">
      <w:pPr>
        <w:pStyle w:val="normalafterexample"/>
      </w:pPr>
      <w:r>
        <w:rPr>
          <w:rStyle w:val="htmlcodes"/>
        </w:rPr>
        <w:t>&lt;/pre&gt;</w:t>
      </w:r>
      <w:r>
        <w:rPr>
          <w:rStyle w:val="indexentry"/>
        </w:rPr>
        <w:t>&lt;cx "audio-visually isomorphic"&gt;</w:t>
      </w:r>
      <w:r>
        <w:rPr>
          <w:rStyle w:val="indexentry"/>
        </w:rPr>
        <w:fldChar w:fldCharType="begin"/>
      </w:r>
      <w:r>
        <w:instrText>xe "</w:instrText>
      </w:r>
      <w:r>
        <w:rPr>
          <w:rStyle w:val="xeentry"/>
        </w:rPr>
        <w:instrText>audio-visually isomorphic</w:instrText>
      </w:r>
      <w:r>
        <w:instrText>"</w:instrText>
      </w:r>
      <w:r>
        <w:rPr>
          <w:rStyle w:val="indexentry"/>
        </w:rPr>
        <w:fldChar w:fldCharType="end"/>
      </w:r>
      <w:r>
        <w:t>Since Lojban is audio-visually isomorphic, there needs to be a spoken and</w:t>
      </w:r>
      <w:r>
        <w:rPr>
          <w:rStyle w:val="deletedparamark"/>
        </w:rPr>
        <w:t xml:space="preserve"> </w:t>
      </w:r>
      <w:r>
        <w:t>written way of signaling the end of a sentence and the start of the following</w:t>
      </w:r>
      <w:r>
        <w:rPr>
          <w:rStyle w:val="deletedparamark"/>
        </w:rPr>
        <w:t xml:space="preserve"> </w:t>
      </w:r>
      <w:r>
        <w:t>one. In written En</w:t>
      </w:r>
      <w:r>
        <w:t>g</w:t>
      </w:r>
      <w:r>
        <w:softHyphen/>
        <w:t>lish, a period serves this purpose; in spoken English,</w:t>
      </w:r>
      <w:r>
        <w:rPr>
          <w:rStyle w:val="deletedparamark"/>
        </w:rPr>
        <w:t xml:space="preserve"> </w:t>
      </w:r>
      <w:r>
        <w:t>a tone contour (rising or falling) usually does the job, or sometimes a</w:t>
      </w:r>
      <w:r>
        <w:rPr>
          <w:rStyle w:val="deletedparamark"/>
        </w:rPr>
        <w:t xml:space="preserve"> </w:t>
      </w:r>
      <w:r>
        <w:t>long pause. Lojban uses a single sepa</w:t>
      </w:r>
      <w:r>
        <w:softHyphen/>
        <w:t>rator: the cmavo “.i” (of selma'o 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name=e2d1&gt;</w:t>
      </w:r>
      <w:r>
        <w:t>2.1)</w:t>
      </w:r>
      <w:r>
        <w:tab/>
        <w:t>mi klama le zarci  .i do cadzu le bisli</w:t>
      </w:r>
    </w:p>
    <w:p w:rsidR="00B72047" w:rsidRDefault="00B72047">
      <w:pPr>
        <w:pStyle w:val="examplescaled"/>
      </w:pPr>
      <w:r>
        <w:tab/>
        <w:t>I go to-the store.  You walk on-the ice.</w:t>
      </w:r>
    </w:p>
    <w:p w:rsidR="00B72047" w:rsidRDefault="00B72047">
      <w:pPr>
        <w:pStyle w:val="resumedafterexample"/>
      </w:pPr>
      <w:r>
        <w:rPr>
          <w:rStyle w:val="htmlcodes"/>
        </w:rPr>
        <w:t>&lt;/pre&gt;</w:t>
      </w:r>
      <w:r>
        <w:rPr>
          <w:rStyle w:val="indexentry"/>
        </w:rPr>
        <w:t>&lt;cx "sentences, separator for joining"&gt;</w:t>
      </w:r>
      <w:r>
        <w:rPr>
          <w:rStyle w:val="indexentry"/>
        </w:rPr>
        <w:fldChar w:fldCharType="begin"/>
      </w:r>
      <w:r>
        <w:instrText>xe "</w:instrText>
      </w:r>
      <w:r>
        <w:rPr>
          <w:rStyle w:val="xeentry"/>
        </w:rPr>
        <w:instrText>sentences: separator for joining</w:instrText>
      </w:r>
      <w:r>
        <w:instrText>"</w:instrText>
      </w:r>
      <w:r>
        <w:rPr>
          <w:rStyle w:val="indexentry"/>
        </w:rPr>
        <w:fldChar w:fldCharType="end"/>
      </w:r>
      <w:r>
        <w:t>The word “separator” should be noted. “.i” is not normally used after the</w:t>
      </w:r>
      <w:r>
        <w:rPr>
          <w:rStyle w:val="deletedparamark"/>
        </w:rPr>
        <w:t xml:space="preserve"> </w:t>
      </w:r>
      <w:r>
        <w:t>last sentence nor before the first one, although both positions are</w:t>
      </w:r>
      <w:r>
        <w:rPr>
          <w:rStyle w:val="deletedparamark"/>
        </w:rPr>
        <w:t xml:space="preserve"> </w:t>
      </w:r>
      <w:r>
        <w:t>technically grammatical. “.i” sig</w:t>
      </w:r>
      <w:r>
        <w:softHyphen/>
        <w:t>nals a new sentence on the same topic, not</w:t>
      </w:r>
      <w:r>
        <w:rPr>
          <w:rStyle w:val="deletedparamark"/>
        </w:rPr>
        <w:t xml:space="preserve"> </w:t>
      </w:r>
      <w:r>
        <w:t>necessarily by the same speaker. The rela</w:t>
      </w:r>
      <w:r>
        <w:softHyphen/>
        <w:t>tionship between the sentences is</w:t>
      </w:r>
      <w:r>
        <w:rPr>
          <w:rStyle w:val="deletedparamark"/>
        </w:rPr>
        <w:t xml:space="preserve"> </w:t>
      </w:r>
      <w:r>
        <w:t>left vague, except in stories, where the relationship usually is temporal,</w:t>
      </w:r>
      <w:r>
        <w:rPr>
          <w:rStyle w:val="deletedparamark"/>
        </w:rPr>
        <w:t xml:space="preserve"> </w:t>
      </w:r>
      <w:r>
        <w:t>and the following sentence states something that happened after the previous</w:t>
      </w:r>
      <w:r>
        <w:rPr>
          <w:rStyle w:val="deletedparamark"/>
        </w:rPr>
        <w:t xml:space="preserve"> </w:t>
      </w:r>
      <w:r>
        <w:t>sentence.</w:t>
      </w:r>
    </w:p>
    <w:p w:rsidR="00B72047" w:rsidRDefault="00B72047">
      <w:pPr>
        <w:rPr>
          <w:rStyle w:val="htmlparacode"/>
        </w:rPr>
      </w:pPr>
      <w:r>
        <w:rPr>
          <w:rStyle w:val="htmlparacode"/>
        </w:rPr>
        <w:t>&lt;p&gt;</w:t>
      </w:r>
    </w:p>
    <w:p w:rsidR="00B72047" w:rsidRDefault="00B72047">
      <w:pPr>
        <w:pStyle w:val="normalparagraph"/>
      </w:pPr>
      <w:r>
        <w:t>Note that although the first letter of an English sentence is capitalized,</w:t>
      </w:r>
      <w:r>
        <w:rPr>
          <w:rStyle w:val="deletedparamark"/>
        </w:rPr>
        <w:t xml:space="preserve"> </w:t>
      </w:r>
      <w:r>
        <w:t>the cmavo “.i” is never capitalized. In writing, it is appropriate to</w:t>
      </w:r>
      <w:r>
        <w:rPr>
          <w:rStyle w:val="deletedparamark"/>
        </w:rPr>
        <w:t xml:space="preserve"> </w:t>
      </w:r>
      <w:r>
        <w:t>place extra space before “.i” to make it stand out better for the</w:t>
      </w:r>
      <w:r>
        <w:rPr>
          <w:rStyle w:val="deletedparamark"/>
        </w:rPr>
        <w:t xml:space="preserve"> </w:t>
      </w:r>
      <w:r>
        <w:t>reader. In some styles of Lojban writing,</w:t>
      </w:r>
      <w:r>
        <w:rPr>
          <w:rStyle w:val="deletedparamark"/>
        </w:rPr>
        <w:t xml:space="preserve"> </w:t>
      </w:r>
      <w:r>
        <w:t>every “.i” is placed at the beginning of a line, possibly leaving space</w:t>
      </w:r>
      <w:r>
        <w:rPr>
          <w:rStyle w:val="deletedparamark"/>
        </w:rPr>
        <w:t xml:space="preserve"> </w:t>
      </w:r>
      <w:r>
        <w:t>at the end of the previous line.</w:t>
      </w:r>
    </w:p>
    <w:p w:rsidR="00B72047" w:rsidRDefault="00B72047">
      <w:pPr>
        <w:rPr>
          <w:rStyle w:val="htmlparacode"/>
        </w:rPr>
      </w:pPr>
      <w:r>
        <w:rPr>
          <w:rStyle w:val="htmlparacode"/>
        </w:rPr>
        <w:t>&lt;p&gt;</w:t>
      </w:r>
    </w:p>
    <w:p w:rsidR="00B72047" w:rsidRDefault="00B72047">
      <w:pPr>
        <w:pStyle w:val="normalparagraph"/>
      </w:pPr>
      <w:r>
        <w:t>An “.i” cmavo may or may not be used when the speaker of the following</w:t>
      </w:r>
      <w:r>
        <w:rPr>
          <w:rStyle w:val="deletedparamark"/>
        </w:rPr>
        <w:t xml:space="preserve"> </w:t>
      </w:r>
      <w:r>
        <w:t>sentence is different from the speaker of the preceding sentence, depending</w:t>
      </w:r>
      <w:r>
        <w:rPr>
          <w:rStyle w:val="deletedparamark"/>
        </w:rPr>
        <w:t xml:space="preserve"> </w:t>
      </w:r>
      <w:r>
        <w:t>on whether the sentences are felt to be connected or not.</w:t>
      </w:r>
    </w:p>
    <w:p w:rsidR="00B72047" w:rsidRDefault="00B72047">
      <w:pPr>
        <w:pStyle w:val="normalparagraph"/>
        <w:rPr>
          <w:rStyle w:val="htmlparacode"/>
        </w:rPr>
      </w:pPr>
      <w:r>
        <w:rPr>
          <w:rStyle w:val="htmlparacode"/>
        </w:rPr>
        <w:t>&lt;p&gt;</w:t>
      </w:r>
    </w:p>
    <w:p w:rsidR="00B72047" w:rsidRDefault="00B72047">
      <w:pPr>
        <w:pStyle w:val="normalparagraph"/>
      </w:pPr>
      <w:r>
        <w:t>An “.i” cmavo can be compounded with a logical or non-logical connective</w:t>
      </w:r>
      <w:r>
        <w:rPr>
          <w:rStyle w:val="deletedparamark"/>
        </w:rPr>
        <w:t xml:space="preserve"> </w:t>
      </w:r>
      <w:r>
        <w:t>(a jek or joik), a modal or tense connective, or both: these constructs are</w:t>
      </w:r>
      <w:r>
        <w:rPr>
          <w:rStyle w:val="deletedparamark"/>
        </w:rPr>
        <w:t xml:space="preserve"> </w:t>
      </w:r>
      <w:r>
        <w:t xml:space="preserve">explained in </w:t>
      </w:r>
      <w:r>
        <w:rPr>
          <w:rStyle w:val="htmlcodes"/>
        </w:rPr>
        <w:t>&lt;a href=chap9.html&gt;</w:t>
      </w:r>
      <w:r>
        <w:t>Chapter 9</w:t>
      </w:r>
      <w:r>
        <w:rPr>
          <w:rStyle w:val="htmlcodes"/>
        </w:rPr>
        <w:t>&lt;/a&gt;</w:t>
      </w:r>
      <w:r>
        <w:t xml:space="preserve">, </w:t>
      </w:r>
      <w:r>
        <w:rPr>
          <w:rStyle w:val="htmlcodes"/>
        </w:rPr>
        <w:t>&lt;a href=chap10.html&gt;</w:t>
      </w:r>
      <w:r>
        <w:t>Chapter 10</w:t>
      </w:r>
      <w:r>
        <w:rPr>
          <w:rStyle w:val="htmlcodes"/>
        </w:rPr>
        <w:t>&lt;/a&gt;</w:t>
      </w:r>
      <w:r>
        <w:t xml:space="preserve">, and </w:t>
      </w:r>
      <w:r>
        <w:rPr>
          <w:rStyle w:val="htmlcodes"/>
        </w:rPr>
        <w:t>&lt;a href=chap14.html&gt;</w:t>
      </w:r>
      <w:r>
        <w:t>Chapter 14</w:t>
      </w:r>
      <w:r>
        <w:rPr>
          <w:rStyle w:val="htmlcodes"/>
        </w:rPr>
        <w:t>&lt;/a&gt;</w:t>
      </w:r>
      <w:r>
        <w:t>. In all cases, the “.i”</w:t>
      </w:r>
      <w:r>
        <w:rPr>
          <w:rStyle w:val="deletedparamark"/>
        </w:rPr>
        <w:t xml:space="preserve"> </w:t>
      </w:r>
      <w:r>
        <w:t>comes first in the com</w:t>
      </w:r>
      <w:r>
        <w:softHyphen/>
        <w:t>pound. Attitud</w:t>
      </w:r>
      <w:r>
        <w:t>i</w:t>
      </w:r>
      <w:r>
        <w:softHyphen/>
        <w:t>nals can also be attached to an “.i”</w:t>
      </w:r>
      <w:r>
        <w:rPr>
          <w:rStyle w:val="deletedparamark"/>
        </w:rPr>
        <w:t xml:space="preserve"> </w:t>
      </w:r>
      <w:r>
        <w:t xml:space="preserve">if they are meant to apply to the whole sentence: see </w:t>
      </w:r>
      <w:r>
        <w:rPr>
          <w:rStyle w:val="htmlcodes"/>
        </w:rPr>
        <w:t>&lt;a href=chap13.html&gt;</w:t>
      </w:r>
      <w:r>
        <w:t>Chapter 13</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"bo"&gt;</w:t>
      </w:r>
      <w:r>
        <w:rPr>
          <w:rStyle w:val="indexentry"/>
        </w:rPr>
        <w:fldChar w:fldCharType="begin"/>
      </w:r>
      <w:r>
        <w:instrText>xe "</w:instrText>
      </w:r>
      <w:r>
        <w:rPr>
          <w:rStyle w:val="xeentry"/>
        </w:rPr>
        <w:instrText>bo</w:instrText>
      </w:r>
      <w:r>
        <w:instrText>"</w:instrText>
      </w:r>
      <w:r>
        <w:rPr>
          <w:rStyle w:val="indexentry"/>
        </w:rPr>
        <w:fldChar w:fldCharType="end"/>
      </w:r>
      <w:r>
        <w:rPr>
          <w:rStyle w:val="indexentry"/>
        </w:rPr>
        <w:t>&lt;lx "BO"&gt;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"sentences, close grouping"&gt;</w:t>
      </w:r>
      <w:r>
        <w:rPr>
          <w:rStyle w:val="indexentry"/>
        </w:rPr>
        <w:fldChar w:fldCharType="begin"/>
      </w:r>
      <w:r>
        <w:instrText>xe "</w:instrText>
      </w:r>
      <w:r>
        <w:rPr>
          <w:rStyle w:val="xeentry"/>
        </w:rPr>
        <w:instrText>sentences: close grouping</w:instrText>
      </w:r>
      <w:r>
        <w:instrText>"</w:instrText>
      </w:r>
      <w:r>
        <w:rPr>
          <w:rStyle w:val="indexentry"/>
        </w:rPr>
        <w:fldChar w:fldCharType="end"/>
      </w:r>
      <w:r>
        <w:t>There exist a pair of mechanisms for binding a sequence of sentences</w:t>
      </w:r>
      <w:r>
        <w:rPr>
          <w:rStyle w:val="deletedparamark"/>
        </w:rPr>
        <w:t xml:space="preserve"> </w:t>
      </w:r>
      <w:r>
        <w:t>closely t</w:t>
      </w:r>
      <w:r>
        <w:t>o</w:t>
      </w:r>
      <w:r>
        <w:softHyphen/>
        <w:t>gether. If the “.i” (with or without connectives) is followed</w:t>
      </w:r>
      <w:r>
        <w:rPr>
          <w:rStyle w:val="deletedparamark"/>
        </w:rPr>
        <w:t xml:space="preserve"> </w:t>
      </w:r>
      <w:r>
        <w:t>by “bo” (of selma'o BO), then the two sentences being separated are</w:t>
      </w:r>
      <w:r>
        <w:rPr>
          <w:rStyle w:val="deletedparamark"/>
        </w:rPr>
        <w:t xml:space="preserve"> </w:t>
      </w:r>
      <w:r>
        <w:t>understood to be more closely grouped than se</w:t>
      </w:r>
      <w:r>
        <w:t>n</w:t>
      </w:r>
      <w:r>
        <w:softHyphen/>
        <w:t>tences connected by “.i” alone.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"tu'e"&gt;</w:t>
      </w:r>
      <w:r>
        <w:rPr>
          <w:rStyle w:val="indexentry"/>
        </w:rPr>
        <w:fldChar w:fldCharType="begin"/>
      </w:r>
      <w:r>
        <w:instrText>xe "</w:instrText>
      </w:r>
      <w:r>
        <w:rPr>
          <w:rStyle w:val="xeentry"/>
        </w:rPr>
        <w:instrText>tu'e</w:instrText>
      </w:r>
      <w:r>
        <w:instrText>"</w:instrText>
      </w:r>
      <w:r>
        <w:rPr>
          <w:rStyle w:val="indexentry"/>
        </w:rPr>
        <w:fldChar w:fldCharType="end"/>
      </w:r>
      <w:r>
        <w:rPr>
          <w:rStyle w:val="indexentry"/>
        </w:rPr>
        <w:t>&lt;lx "tu'u"&gt;</w:t>
      </w:r>
      <w:r>
        <w:rPr>
          <w:rStyle w:val="indexentry"/>
        </w:rPr>
        <w:fldChar w:fldCharType="begin"/>
      </w:r>
      <w:r>
        <w:instrText>xe "</w:instrText>
      </w:r>
      <w:r>
        <w:rPr>
          <w:rStyle w:val="xeentry"/>
        </w:rPr>
        <w:instrText>tu'u</w:instrText>
      </w:r>
      <w:r>
        <w:instrText>"</w:instrText>
      </w:r>
      <w:r>
        <w:rPr>
          <w:rStyle w:val="indexentry"/>
        </w:rPr>
        <w:fldChar w:fldCharType="end"/>
      </w:r>
      <w:r>
        <w:rPr>
          <w:rStyle w:val="indexentry"/>
        </w:rPr>
        <w:t>&lt;lx "TUhE"&gt;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&lt;lx "TUhU"&gt;</w:t>
      </w:r>
      <w:r>
        <w:rPr>
          <w:rStyle w:val="indexentry"/>
        </w:rPr>
        <w:fldChar w:fldCharType="begin"/>
      </w:r>
      <w:r>
        <w:instrText>xe "</w:instrText>
      </w:r>
      <w:r>
        <w:rPr>
          <w:rStyle w:val="xeentry"/>
        </w:rPr>
        <w:instrText>TUhU selma’o</w:instrText>
      </w:r>
      <w:r>
        <w:instrText>"</w:instrText>
      </w:r>
      <w:r>
        <w:rPr>
          <w:rStyle w:val="indexentry"/>
        </w:rPr>
        <w:fldChar w:fldCharType="end"/>
      </w:r>
      <w:r>
        <w:rPr>
          <w:rStyle w:val="indexentry"/>
        </w:rPr>
        <w:t>&lt;cx "title, specifying with tu'e…tu'u"&gt;</w:t>
      </w:r>
      <w:r>
        <w:rPr>
          <w:rStyle w:val="indexentry"/>
        </w:rPr>
        <w:fldChar w:fldCharType="begin"/>
      </w:r>
      <w:r>
        <w:instrText>xe "</w:instrText>
      </w:r>
      <w:r>
        <w:rPr>
          <w:rStyle w:val="xeentry"/>
        </w:rPr>
        <w:instrText>title: specifying with tu'e…tu'u</w:instrText>
      </w:r>
      <w:r>
        <w:instrText>"</w:instrText>
      </w:r>
      <w:r>
        <w:rPr>
          <w:rStyle w:val="indexentry"/>
        </w:rPr>
        <w:fldChar w:fldCharType="end"/>
      </w:r>
      <w:r>
        <w:t>Similarly, a group of sentences can be preceded by “tu'e” (of selma'o TUhE)</w:t>
      </w:r>
      <w:r>
        <w:rPr>
          <w:rStyle w:val="deletedparamark"/>
        </w:rPr>
        <w:t xml:space="preserve"> </w:t>
      </w:r>
      <w:r>
        <w:t>and followed by “tu'u” (of selma'o TUhU) to fuse them into a single unit.</w:t>
      </w:r>
      <w:r>
        <w:rPr>
          <w:rStyle w:val="deletedparamark"/>
        </w:rPr>
        <w:t xml:space="preserve"> </w:t>
      </w:r>
      <w:r>
        <w:t xml:space="preserve">A common use of “tu'e </w:t>
      </w:r>
      <w:r>
        <w:rPr>
          <w:rStyle w:val="htmlcodes"/>
        </w:rPr>
        <w:t>&lt;dots&gt;</w:t>
      </w:r>
      <w:r>
        <w:t>…</w:t>
      </w:r>
      <w:r>
        <w:rPr>
          <w:rStyle w:val="htmlcodes"/>
        </w:rPr>
        <w:t>&lt;/dots&gt;</w:t>
      </w:r>
      <w:r>
        <w:t>tu'u” is to group the sentences which compose a</w:t>
      </w:r>
      <w:r>
        <w:rPr>
          <w:rStyle w:val="deletedparamark"/>
        </w:rPr>
        <w:t xml:space="preserve"> </w:t>
      </w:r>
      <w:r>
        <w:t>poem: the title sentence would precede the group, separated from it by “.i”.</w:t>
      </w:r>
      <w:r>
        <w:rPr>
          <w:rStyle w:val="deletedparamark"/>
        </w:rPr>
        <w:t xml:space="preserve"> </w:t>
      </w:r>
      <w:r>
        <w:t>Another use might be a set of direc</w:t>
      </w:r>
      <w:r>
        <w:softHyphen/>
        <w:t>tions, where each numbered direction</w:t>
      </w:r>
      <w:r>
        <w:rPr>
          <w:rStyle w:val="deletedparamark"/>
        </w:rPr>
        <w:t xml:space="preserve"> </w:t>
      </w:r>
      <w:r>
        <w:t>might be surrounded by “tu'e </w:t>
      </w:r>
      <w:r>
        <w:rPr>
          <w:rStyle w:val="htmlcodes"/>
        </w:rPr>
        <w:t>&lt;dots&gt;</w:t>
      </w:r>
      <w:r>
        <w:t>…</w:t>
      </w:r>
      <w:r>
        <w:rPr>
          <w:rStyle w:val="htmlcodes"/>
        </w:rPr>
        <w:t>&lt;/dots&gt;</w:t>
      </w:r>
      <w:r>
        <w:t>tu'u” and contain one or more sentences</w:t>
      </w:r>
      <w:r>
        <w:rPr>
          <w:rStyle w:val="deletedparamark"/>
        </w:rPr>
        <w:t xml:space="preserve"> </w:t>
      </w:r>
      <w:r>
        <w:t>separated by “.i”. Grouping with “tu'e” and “tu'u” is analogous</w:t>
      </w:r>
      <w:r>
        <w:rPr>
          <w:rStyle w:val="deletedparamark"/>
        </w:rPr>
        <w:t xml:space="preserve"> </w:t>
      </w:r>
      <w:r>
        <w:t>to grou</w:t>
      </w:r>
      <w:r>
        <w:t>p</w:t>
      </w:r>
      <w:r>
        <w:softHyphen/>
        <w:t>ing with “ke” and “ke'e” to establish the scope of logical</w:t>
      </w:r>
      <w:r>
        <w:rPr>
          <w:rStyle w:val="deletedparamark"/>
        </w:rPr>
        <w:t xml:space="preserve"> </w:t>
      </w:r>
      <w:r>
        <w:t>or non-logical connec</w:t>
      </w:r>
      <w:r>
        <w:softHyphen/>
        <w:t xml:space="preserve">tives (see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bookmarkStart w:id="527" w:name="_Toc398970763"/>
      <w:r>
        <w:rPr>
          <w:rStyle w:val="Heading3Text"/>
        </w:rPr>
        <w:t>Paragraphs: NIhO</w:t>
      </w:r>
      <w:bookmarkEnd w:id="527"/>
      <w:r>
        <w:rPr>
          <w:rStyle w:val="htmlcodes"/>
        </w:rPr>
        <w:t>&lt;/h3&gt;</w:t>
      </w:r>
    </w:p>
    <w:p w:rsidR="00B72047" w:rsidRDefault="00B72047">
      <w:pPr>
        <w:rPr>
          <w:rStyle w:val="htmlparacode"/>
        </w:rPr>
      </w:pPr>
      <w:r>
        <w:rPr>
          <w:rStyle w:val="htmlparacode"/>
        </w:rPr>
        <w:t>&lt;p&gt;</w:t>
      </w:r>
      <w:r>
        <w:rPr>
          <w:rStyle w:val="indexentry"/>
        </w:rPr>
        <w:t>&lt;cx "paragraphs, separating"&gt;</w:t>
      </w:r>
      <w:r>
        <w:rPr>
          <w:rStyle w:val="indexentry"/>
        </w:rPr>
        <w:fldChar w:fldCharType="begin"/>
      </w:r>
      <w:r>
        <w:instrText>xe "</w:instrText>
      </w:r>
      <w:r>
        <w:rPr>
          <w:rStyle w:val="xeentry"/>
        </w:rPr>
        <w:instrText>paragraphs: separating</w:instrText>
      </w:r>
      <w:r>
        <w:instrText>"</w:instrText>
      </w:r>
      <w:r>
        <w:rPr>
          <w:rStyle w:val="indexentry"/>
        </w:rPr>
        <w:fldChar w:fldCharType="end"/>
      </w:r>
      <w:r>
        <w:rPr>
          <w:rStyle w:val="htmlcodes"/>
        </w:rPr>
        <w:t>&lt;a name=s3&gt;&lt;h3&gt;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ni'o</w:t>
      </w:r>
      <w:r>
        <w:tab/>
        <w:t>NIhO</w:t>
      </w:r>
      <w:r>
        <w:tab/>
        <w:t>new topic</w:t>
      </w:r>
    </w:p>
    <w:p w:rsidR="00B72047" w:rsidRDefault="00B72047">
      <w:pPr>
        <w:pStyle w:val="examplescaled"/>
      </w:pPr>
      <w:r>
        <w:tab/>
        <w:t>no'i</w:t>
      </w:r>
      <w:r>
        <w:tab/>
        <w:t>NIhO</w:t>
      </w:r>
      <w:r>
        <w:tab/>
        <w:t>old topic</w:t>
      </w:r>
    </w:p>
    <w:p w:rsidR="00B72047" w:rsidRDefault="00B72047">
      <w:pPr>
        <w:pStyle w:val="examplescaledpre"/>
      </w:pPr>
      <w:r>
        <w:tab/>
        <w:t>da'o</w:t>
      </w:r>
      <w:r>
        <w:tab/>
        <w:t>DAhO</w:t>
      </w:r>
      <w:r>
        <w:tab/>
        <w:t>cancel cmavo assignments</w:t>
      </w:r>
    </w:p>
    <w:p w:rsidR="00B72047" w:rsidRDefault="00B72047">
      <w:pPr>
        <w:pStyle w:val="normalafterexample"/>
      </w:pPr>
      <w:r>
        <w:rPr>
          <w:rStyle w:val="htmlcodes"/>
        </w:rPr>
        <w:t>&lt;/pre&gt;&lt;p&gt;</w:t>
      </w:r>
      <w:r>
        <w:t>The paragraph is a concept used in writing systems for two purposes: to</w:t>
      </w:r>
      <w:r>
        <w:rPr>
          <w:rStyle w:val="deletedparamark"/>
        </w:rPr>
        <w:t xml:space="preserve"> </w:t>
      </w:r>
      <w:r>
        <w:t>indi</w:t>
      </w:r>
      <w:r>
        <w:softHyphen/>
        <w:t>cate changes of topic, and to break up the hard-to-read appearance</w:t>
      </w:r>
      <w:r>
        <w:rPr>
          <w:rStyle w:val="deletedparamark"/>
        </w:rPr>
        <w:t xml:space="preserve"> </w:t>
      </w:r>
      <w:r>
        <w:t>of large blocks of text on the page. The former function is represented</w:t>
      </w:r>
      <w:r>
        <w:rPr>
          <w:rStyle w:val="deletedparamark"/>
        </w:rPr>
        <w:t xml:space="preserve"> </w:t>
      </w:r>
      <w:r>
        <w:t>in both spoken and written Lojban by the cmavo “ni'o” and “no'i”, both</w:t>
      </w:r>
      <w:r>
        <w:rPr>
          <w:rStyle w:val="deletedparamark"/>
        </w:rPr>
        <w:t xml:space="preserve"> </w:t>
      </w:r>
      <w:r>
        <w:t>of selma'o NIhO. Of these two, “ni'o” is the more common. By convention,</w:t>
      </w:r>
      <w:r>
        <w:rPr>
          <w:rStyle w:val="deletedparamark"/>
        </w:rPr>
        <w:t xml:space="preserve"> </w:t>
      </w:r>
      <w:r>
        <w:t>written Lojban is broken into paragraphs just before any “ni'o” or “no'i”,</w:t>
      </w:r>
      <w:r>
        <w:rPr>
          <w:rStyle w:val="deletedparamark"/>
        </w:rPr>
        <w:t xml:space="preserve"> </w:t>
      </w:r>
      <w:r>
        <w:t>but a very long passage on a single topic might be paragraphed before an “.i”.</w:t>
      </w:r>
      <w:r>
        <w:rPr>
          <w:rStyle w:val="deletedparamark"/>
        </w:rPr>
        <w:t xml:space="preserve"> </w:t>
      </w:r>
      <w:r>
        <w:t>On the other hand, it is conventional in English to start a new paragraph</w:t>
      </w:r>
      <w:r>
        <w:rPr>
          <w:rStyle w:val="deletedparamark"/>
        </w:rPr>
        <w:t xml:space="preserve"> </w:t>
      </w:r>
      <w:r>
        <w:t>in dia</w:t>
      </w:r>
      <w:r>
        <w:softHyphen/>
        <w:t>logue when a new speaker starts, but this convention is not commonly</w:t>
      </w:r>
      <w:r>
        <w:rPr>
          <w:rStyle w:val="deletedparamark"/>
        </w:rPr>
        <w:t xml:space="preserve"> </w:t>
      </w:r>
      <w:r>
        <w:t>observed in Loj</w:t>
      </w:r>
      <w:r>
        <w:softHyphen/>
        <w:t>ban dialogues. Of course, none of these conventions affect</w:t>
      </w:r>
      <w:r>
        <w:rPr>
          <w:rStyle w:val="deletedparamark"/>
        </w:rPr>
        <w:t xml:space="preserve"> </w:t>
      </w:r>
      <w:r>
        <w:t>meaning in any way.</w:t>
      </w:r>
    </w:p>
    <w:p w:rsidR="00B72047" w:rsidRDefault="00B72047">
      <w:pPr>
        <w:rPr>
          <w:rStyle w:val="htmlparacode"/>
        </w:rPr>
      </w:pPr>
      <w:r>
        <w:rPr>
          <w:rStyle w:val="htmlparacode"/>
        </w:rPr>
        <w:t>&lt;p&gt;</w:t>
      </w:r>
    </w:p>
    <w:p w:rsidR="00B72047" w:rsidRDefault="00B72047">
      <w:pPr>
        <w:pStyle w:val="normalparagraph"/>
      </w:pPr>
      <w:r>
        <w:rPr>
          <w:rStyle w:val="indexentry"/>
        </w:rPr>
        <w:t>&lt;lx "ni'o"&gt;</w:t>
      </w:r>
      <w:r>
        <w:rPr>
          <w:rStyle w:val="indexentry"/>
        </w:rPr>
        <w:fldChar w:fldCharType="begin"/>
      </w:r>
      <w:r>
        <w:instrText>xe "</w:instrText>
      </w:r>
      <w:r>
        <w:rPr>
          <w:rStyle w:val="xeentry"/>
        </w:rPr>
        <w:instrText>ni'o</w:instrText>
      </w:r>
      <w:r>
        <w:instrText>"</w:instrText>
      </w:r>
      <w:r>
        <w:rPr>
          <w:rStyle w:val="indexentry"/>
        </w:rPr>
        <w:fldChar w:fldCharType="end"/>
      </w:r>
      <w:r>
        <w:rPr>
          <w:rStyle w:val="indexentry"/>
        </w:rPr>
        <w:t>&lt;lx "NIhO"&gt;</w:t>
      </w:r>
      <w:r>
        <w:rPr>
          <w:rStyle w:val="indexentry"/>
        </w:rPr>
        <w:fldChar w:fldCharType="begin"/>
      </w:r>
      <w:r>
        <w:instrText>xe "</w:instrText>
      </w:r>
      <w:r>
        <w:rPr>
          <w:rStyle w:val="xeentry"/>
        </w:rPr>
        <w:instrText>NIhO selma’o</w:instrText>
      </w:r>
      <w:r>
        <w:instrText>"</w:instrText>
      </w:r>
      <w:r>
        <w:rPr>
          <w:rStyle w:val="indexentry"/>
        </w:rPr>
        <w:fldChar w:fldCharType="end"/>
      </w:r>
      <w:r>
        <w:rPr>
          <w:rStyle w:val="indexentry"/>
        </w:rPr>
        <w:t>&lt;cx "old topic"&gt;</w:t>
      </w:r>
      <w:r>
        <w:rPr>
          <w:rStyle w:val="indexentry"/>
        </w:rPr>
        <w:fldChar w:fldCharType="begin"/>
      </w:r>
      <w:r>
        <w:instrText>xe "</w:instrText>
      </w:r>
      <w:r>
        <w:rPr>
          <w:rStyle w:val="xeentry"/>
        </w:rPr>
        <w:instrText>old topic</w:instrText>
      </w:r>
      <w:r>
        <w:instrText>"</w:instrText>
      </w:r>
      <w:r>
        <w:rPr>
          <w:rStyle w:val="indexentry"/>
        </w:rPr>
        <w:fldChar w:fldCharType="end"/>
      </w:r>
      <w:r>
        <w:rPr>
          <w:rStyle w:val="indexentry"/>
        </w:rPr>
        <w:t>&lt;cx "paragraphs, separator"&gt;</w:t>
      </w:r>
      <w:r>
        <w:rPr>
          <w:rStyle w:val="indexentry"/>
        </w:rPr>
        <w:fldChar w:fldCharType="begin"/>
      </w:r>
      <w:r>
        <w:instrText>xe "</w:instrText>
      </w:r>
      <w:r>
        <w:rPr>
          <w:rStyle w:val="xeentry"/>
        </w:rPr>
        <w:instrText>paragraphs: separator</w:instrText>
      </w:r>
      <w:r>
        <w:instrText>"</w:instrText>
      </w:r>
      <w:r>
        <w:rPr>
          <w:rStyle w:val="indexentry"/>
        </w:rPr>
        <w:fldChar w:fldCharType="end"/>
      </w:r>
      <w:r>
        <w:t>A “ni'o” can take the place of an “.i” as a sentence separator, and in</w:t>
      </w:r>
      <w:r>
        <w:rPr>
          <w:rStyle w:val="deletedparamark"/>
        </w:rPr>
        <w:t xml:space="preserve"> </w:t>
      </w:r>
      <w:r>
        <w:t>addition signals a new topic or paragraph. Grammatically, any number of</w:t>
      </w:r>
      <w:r>
        <w:rPr>
          <w:rStyle w:val="deletedparamark"/>
        </w:rPr>
        <w:t xml:space="preserve"> “</w:t>
      </w:r>
      <w:r>
        <w:t>ni'o” cmavo can ap</w:t>
      </w:r>
      <w:r>
        <w:softHyphen/>
        <w:t>pear co</w:t>
      </w:r>
      <w:r>
        <w:t>n</w:t>
      </w:r>
      <w:r>
        <w:softHyphen/>
        <w:t>secutively and are equivalent to a single one;</w:t>
      </w:r>
      <w:r>
        <w:rPr>
          <w:rStyle w:val="deletedparamark"/>
        </w:rPr>
        <w:t xml:space="preserve"> </w:t>
      </w:r>
      <w:r>
        <w:t>semantically, a greater number of “ni'o” cmavo indicates a larger-scale</w:t>
      </w:r>
      <w:r>
        <w:rPr>
          <w:rStyle w:val="deletedparamark"/>
        </w:rPr>
        <w:t xml:space="preserve"> </w:t>
      </w:r>
      <w:r>
        <w:t>change of topic. This feature allows complexly structured text, with topics,</w:t>
      </w:r>
      <w:r>
        <w:rPr>
          <w:rStyle w:val="deletedparamark"/>
        </w:rPr>
        <w:t xml:space="preserve"> </w:t>
      </w:r>
      <w:r>
        <w:t>subtopics, and sub-subtopics, to be represented clearly and unambig</w:t>
      </w:r>
      <w:r>
        <w:t>u</w:t>
      </w:r>
      <w:r>
        <w:softHyphen/>
        <w:t>ously in</w:t>
      </w:r>
      <w:r>
        <w:rPr>
          <w:rStyle w:val="deletedparamark"/>
        </w:rPr>
        <w:t xml:space="preserve"> </w:t>
      </w:r>
      <w:r>
        <w:t>both spoken and written Lojban. However, some conventional differ</w:t>
      </w:r>
      <w:r>
        <w:softHyphen/>
        <w:t>ences do</w:t>
      </w:r>
      <w:r>
        <w:rPr>
          <w:rStyle w:val="deletedparamark"/>
        </w:rPr>
        <w:t xml:space="preserve"> </w:t>
      </w:r>
      <w:r>
        <w:t>exist between “ni'o” in writing and in conversation.</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"indicator scope"&gt;</w:t>
      </w:r>
      <w:r>
        <w:rPr>
          <w:rStyle w:val="indexentry"/>
        </w:rPr>
        <w:fldChar w:fldCharType="begin"/>
      </w:r>
      <w:r>
        <w:instrText>xe "</w:instrText>
      </w:r>
      <w:r>
        <w:rPr>
          <w:rStyle w:val="xeentry"/>
        </w:rPr>
        <w:instrText>indicator scope</w:instrText>
      </w:r>
      <w:r>
        <w:instrText>"</w:instrText>
      </w:r>
      <w:r>
        <w:rPr>
          <w:rStyle w:val="indexentry"/>
        </w:rPr>
        <w:fldChar w:fldCharType="end"/>
      </w:r>
      <w:r>
        <w:rPr>
          <w:rStyle w:val="indexentry"/>
        </w:rPr>
        <w:t>&lt;cx "discursive indicator"&gt;</w:t>
      </w:r>
      <w:r>
        <w:rPr>
          <w:rStyle w:val="indexentry"/>
        </w:rPr>
        <w:fldChar w:fldCharType="begin"/>
      </w:r>
      <w:r>
        <w:instrText>xe "</w:instrText>
      </w:r>
      <w:r>
        <w:rPr>
          <w:rStyle w:val="xeentry"/>
        </w:rPr>
        <w:instrText>discursive indicator</w:instrText>
      </w:r>
      <w:r>
        <w:instrText>"</w:instrText>
      </w:r>
      <w:r>
        <w:rPr>
          <w:rStyle w:val="indexentry"/>
        </w:rPr>
        <w:fldChar w:fldCharType="end"/>
      </w:r>
      <w:r>
        <w:rPr>
          <w:rStyle w:val="indexentry"/>
        </w:rPr>
        <w:t>&lt;lx "da'o"&gt;</w:t>
      </w:r>
      <w:r>
        <w:rPr>
          <w:rStyle w:val="indexentry"/>
        </w:rPr>
        <w:fldChar w:fldCharType="begin"/>
      </w:r>
      <w:r>
        <w:instrText>xe "</w:instrText>
      </w:r>
      <w:r>
        <w:rPr>
          <w:rStyle w:val="xeentry"/>
        </w:rPr>
        <w:instrText>da'o</w:instrText>
      </w:r>
      <w:r>
        <w:instrText>"</w:instrText>
      </w:r>
      <w:r>
        <w:rPr>
          <w:rStyle w:val="indexentry"/>
        </w:rPr>
        <w:fldChar w:fldCharType="end"/>
      </w:r>
      <w:r>
        <w:rPr>
          <w:rStyle w:val="indexentry"/>
        </w:rPr>
        <w:t>&lt;lx "DAhO"&gt;</w:t>
      </w:r>
      <w:r>
        <w:rPr>
          <w:rStyle w:val="indexentry"/>
        </w:rPr>
        <w:fldChar w:fldCharType="begin"/>
      </w:r>
      <w:r>
        <w:instrText>xe "</w:instrText>
      </w:r>
      <w:r>
        <w:rPr>
          <w:rStyle w:val="xeentry"/>
        </w:rPr>
        <w:instrText>DAhO selma’o</w:instrText>
      </w:r>
      <w:r>
        <w:instrText>"</w:instrText>
      </w:r>
      <w:r>
        <w:rPr>
          <w:rStyle w:val="indexentry"/>
        </w:rPr>
        <w:fldChar w:fldCharType="end"/>
      </w:r>
      <w:r>
        <w:rPr>
          <w:rStyle w:val="indexentry"/>
        </w:rPr>
        <w:t>&lt;cx "paragraphs, effects on scope"&gt;</w:t>
      </w:r>
      <w:r>
        <w:rPr>
          <w:rStyle w:val="indexentry"/>
        </w:rPr>
        <w:fldChar w:fldCharType="begin"/>
      </w:r>
      <w:r>
        <w:instrText>xe "</w:instrText>
      </w:r>
      <w:r>
        <w:rPr>
          <w:rStyle w:val="xeentry"/>
        </w:rPr>
        <w:instrText>paragraphs: effects on scope</w:instrText>
      </w:r>
      <w:r>
        <w:instrText>"</w:instrText>
      </w:r>
      <w:r>
        <w:rPr>
          <w:rStyle w:val="indexentry"/>
        </w:rPr>
        <w:fldChar w:fldCharType="end"/>
      </w:r>
      <w:r>
        <w:rPr>
          <w:rStyle w:val="indexentry"/>
        </w:rPr>
        <w:t>&lt;cx "pro-bridi, scope effect of new paragraph"&gt;</w:t>
      </w:r>
      <w:r>
        <w:rPr>
          <w:rStyle w:val="indexentry"/>
        </w:rPr>
        <w:fldChar w:fldCharType="begin"/>
      </w:r>
      <w:r>
        <w:instrText>xe "</w:instrText>
      </w:r>
      <w:r>
        <w:rPr>
          <w:rStyle w:val="xeentry"/>
        </w:rPr>
        <w:instrText>pro-bridi: scope effect of new paragraph</w:instrText>
      </w:r>
      <w:r>
        <w:instrText>"</w:instrText>
      </w:r>
      <w:r>
        <w:rPr>
          <w:rStyle w:val="indexentry"/>
        </w:rPr>
        <w:fldChar w:fldCharType="end"/>
      </w:r>
      <w:r>
        <w:rPr>
          <w:rStyle w:val="indexentry"/>
        </w:rPr>
        <w:t>&lt;cx "pro-sumti, scope effect of new paragraph"&gt;</w:t>
      </w:r>
      <w:r>
        <w:rPr>
          <w:rStyle w:val="indexentry"/>
        </w:rPr>
        <w:fldChar w:fldCharType="begin"/>
      </w:r>
      <w:r>
        <w:instrText>xe "</w:instrText>
      </w:r>
      <w:r>
        <w:rPr>
          <w:rStyle w:val="xeentry"/>
        </w:rPr>
        <w:instrText>pro-sumti: scope effect of new paragraph</w:instrText>
      </w:r>
      <w:r>
        <w:instrText>"</w:instrText>
      </w:r>
      <w:r>
        <w:rPr>
          <w:rStyle w:val="indexentry"/>
        </w:rPr>
        <w:fldChar w:fldCharType="end"/>
      </w:r>
      <w:r>
        <w:rPr>
          <w:rStyle w:val="indexentry"/>
        </w:rPr>
        <w:t>&lt;cx "indicators, scope effect of new paragraph"&gt;</w:t>
      </w:r>
      <w:r>
        <w:rPr>
          <w:rStyle w:val="indexentry"/>
        </w:rPr>
        <w:fldChar w:fldCharType="begin"/>
      </w:r>
      <w:r>
        <w:instrText>xe "</w:instrText>
      </w:r>
      <w:r>
        <w:rPr>
          <w:rStyle w:val="xeentry"/>
        </w:rPr>
        <w:instrText>indicators: scope effect of new paragraph</w:instrText>
      </w:r>
      <w:r>
        <w:instrText>"</w:instrText>
      </w:r>
      <w:r>
        <w:rPr>
          <w:rStyle w:val="indexentry"/>
        </w:rPr>
        <w:fldChar w:fldCharType="end"/>
      </w:r>
      <w:r>
        <w:rPr>
          <w:rStyle w:val="indexentry"/>
        </w:rPr>
        <w:t>&lt;cx "tense, scope effect of new paragraph"&gt;</w:t>
      </w:r>
      <w:r>
        <w:rPr>
          <w:rStyle w:val="indexentry"/>
        </w:rPr>
        <w:fldChar w:fldCharType="begin"/>
      </w:r>
      <w:r>
        <w:instrText>xe "</w:instrText>
      </w:r>
      <w:r>
        <w:rPr>
          <w:rStyle w:val="xeentry"/>
        </w:rPr>
        <w:instrText>tense: scope effect of new paragraph</w:instrText>
      </w:r>
      <w:r>
        <w:instrText>"</w:instrText>
      </w:r>
      <w:r>
        <w:rPr>
          <w:rStyle w:val="indexentry"/>
        </w:rPr>
        <w:fldChar w:fldCharType="end"/>
      </w:r>
      <w:r>
        <w:rPr>
          <w:rStyle w:val="indexentry"/>
        </w:rPr>
        <w:t>&lt;cx "paragraph separation, written text"&gt;</w:t>
      </w:r>
      <w:r>
        <w:rPr>
          <w:rStyle w:val="indexentry"/>
        </w:rPr>
        <w:fldChar w:fldCharType="begin"/>
      </w:r>
      <w:r>
        <w:instrText>xe "</w:instrText>
      </w:r>
      <w:r>
        <w:rPr>
          <w:rStyle w:val="xeentry"/>
        </w:rPr>
        <w:instrText>paragraph separation: written text</w:instrText>
      </w:r>
      <w:r>
        <w:instrText>"</w:instrText>
      </w:r>
      <w:r>
        <w:rPr>
          <w:rStyle w:val="indexentry"/>
        </w:rPr>
        <w:fldChar w:fldCharType="end"/>
      </w:r>
      <w:r>
        <w:t>In written text, a single “ni'o” is a mere discursive indicator of a</w:t>
      </w:r>
      <w:r>
        <w:rPr>
          <w:rStyle w:val="deletedparamark"/>
        </w:rPr>
        <w:t xml:space="preserve"> </w:t>
      </w:r>
      <w:r>
        <w:t>new subject, whereas “ni'oni'o” marks a change in the context.</w:t>
      </w:r>
      <w:r>
        <w:rPr>
          <w:rStyle w:val="deletedparamark"/>
        </w:rPr>
        <w:t xml:space="preserve"> </w:t>
      </w:r>
      <w:r>
        <w:t>In this situation, “ni'oni'o” implicitly cancels the definitions of all</w:t>
      </w:r>
      <w:r>
        <w:rPr>
          <w:rStyle w:val="deletedparamark"/>
        </w:rPr>
        <w:t xml:space="preserve"> </w:t>
      </w:r>
      <w:r>
        <w:t>pro-sumti of selma'o KOhA as well as pro-bridi of selma'o GOhA. (Explicit</w:t>
      </w:r>
      <w:r>
        <w:rPr>
          <w:rStyle w:val="deletedparamark"/>
        </w:rPr>
        <w:t xml:space="preserve"> </w:t>
      </w:r>
      <w:r>
        <w:t>cancelling is expressed by the cmavo “da'o” of selma'o DAhO, which has</w:t>
      </w:r>
      <w:r>
        <w:rPr>
          <w:rStyle w:val="deletedparamark"/>
        </w:rPr>
        <w:t xml:space="preserve"> </w:t>
      </w:r>
      <w:r>
        <w:t>the free grammar of an indicator – it can appear almost anywhere.)</w:t>
      </w:r>
      <w:r>
        <w:rPr>
          <w:rStyle w:val="deletedparamark"/>
        </w:rPr>
        <w:t xml:space="preserve"> </w:t>
      </w:r>
      <w:r>
        <w:t>The use of “ni'oni'o” does not affect indicators (of selma'o UI) or tense</w:t>
      </w:r>
      <w:r>
        <w:rPr>
          <w:rStyle w:val="deletedparamark"/>
        </w:rPr>
        <w:t xml:space="preserve"> </w:t>
      </w:r>
      <w:r>
        <w:t>references, but “ni'oni'oni'o”, indicating a drastic change of topic, would</w:t>
      </w:r>
      <w:r>
        <w:rPr>
          <w:rStyle w:val="deletedparamark"/>
        </w:rPr>
        <w:t xml:space="preserve"> </w:t>
      </w:r>
      <w:r>
        <w:t xml:space="preserve">serve to reset both indicators and tenses. (See </w:t>
      </w:r>
      <w:r>
        <w:rPr>
          <w:rStyle w:val="htmlcodes"/>
        </w:rPr>
        <w:t>&lt;a href=#s8&gt;</w:t>
      </w:r>
      <w:r>
        <w:t xml:space="preserve">Section 8 </w:t>
      </w:r>
      <w:r>
        <w:rPr>
          <w:rStyle w:val="htmlcodes"/>
        </w:rPr>
        <w:t>&lt;/a&gt;</w:t>
      </w:r>
      <w:r>
        <w:t>for a discussion</w:t>
      </w:r>
      <w:r>
        <w:rPr>
          <w:rStyle w:val="deletedparamark"/>
        </w:rPr>
        <w:t xml:space="preserve"> </w:t>
      </w:r>
      <w:r>
        <w:t>of indicator scope.)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"Arabian Nights"&gt;</w:t>
      </w:r>
      <w:r>
        <w:rPr>
          <w:rStyle w:val="indexentry"/>
        </w:rPr>
        <w:fldChar w:fldCharType="begin"/>
      </w:r>
      <w:r>
        <w:instrText>xe "</w:instrText>
      </w:r>
      <w:r>
        <w:rPr>
          <w:rStyle w:val="xeentry"/>
        </w:rPr>
        <w:instrText>Arabian Nights: as multi-level narrative</w:instrText>
      </w:r>
      <w:r>
        <w:instrText>"</w:instrText>
      </w:r>
      <w:r>
        <w:rPr>
          <w:rStyle w:val="indexentry"/>
        </w:rPr>
        <w:fldChar w:fldCharType="end"/>
      </w:r>
      <w:r>
        <w:rPr>
          <w:rStyle w:val="indexentry"/>
        </w:rPr>
        <w:t>&lt;cx "paragraph separation, spoken text"&gt;</w:t>
      </w:r>
      <w:r>
        <w:rPr>
          <w:rStyle w:val="indexentry"/>
        </w:rPr>
        <w:fldChar w:fldCharType="begin"/>
      </w:r>
      <w:r>
        <w:instrText>xe "</w:instrText>
      </w:r>
      <w:r>
        <w:rPr>
          <w:rStyle w:val="xeentry"/>
        </w:rPr>
        <w:instrText>paragraph separation: spoken text</w:instrText>
      </w:r>
      <w:r>
        <w:instrText>"</w:instrText>
      </w:r>
      <w:r>
        <w:rPr>
          <w:rStyle w:val="indexentry"/>
        </w:rPr>
        <w:fldChar w:fldCharType="end"/>
      </w:r>
      <w:r>
        <w:t>In spoken text, which is inherently less structured, these levels are reduced</w:t>
      </w:r>
      <w:r>
        <w:rPr>
          <w:rStyle w:val="deletedparamark"/>
        </w:rPr>
        <w:t xml:space="preserve"> </w:t>
      </w:r>
      <w:r>
        <w:t>by one, with “ni'o” indicating a change in context sufficient to cancel</w:t>
      </w:r>
      <w:r>
        <w:rPr>
          <w:rStyle w:val="deletedparamark"/>
        </w:rPr>
        <w:t xml:space="preserve"> </w:t>
      </w:r>
      <w:r>
        <w:t>pro-sumti and pro-bridi assignment. On the other hand, in a book, or in</w:t>
      </w:r>
      <w:r>
        <w:rPr>
          <w:rStyle w:val="deletedparamark"/>
        </w:rPr>
        <w:t xml:space="preserve"> </w:t>
      </w:r>
      <w:r>
        <w:t>stories within stories such as “The Ar</w:t>
      </w:r>
      <w:r>
        <w:t>a</w:t>
      </w:r>
      <w:r>
        <w:softHyphen/>
        <w:t>bian Nights”, further levels may</w:t>
      </w:r>
      <w:r>
        <w:rPr>
          <w:rStyle w:val="deletedparamark"/>
        </w:rPr>
        <w:t xml:space="preserve"> </w:t>
      </w:r>
      <w:r>
        <w:t>be expressed by extending the “ni'o” string as needed. Normally, a written</w:t>
      </w:r>
      <w:r>
        <w:rPr>
          <w:rStyle w:val="deletedparamark"/>
        </w:rPr>
        <w:t xml:space="preserve"> </w:t>
      </w:r>
      <w:r>
        <w:t>text will begin with the number of “ni'o” cmavo needed to signal the largest</w:t>
      </w:r>
      <w:r>
        <w:rPr>
          <w:rStyle w:val="deletedparamark"/>
        </w:rPr>
        <w:t xml:space="preserve"> </w:t>
      </w:r>
      <w:r>
        <w:t>scale division which the text contains. “ni'o” strings may be sub</w:t>
      </w:r>
      <w:r>
        <w:softHyphen/>
        <w:t>scripted</w:t>
      </w:r>
      <w:r>
        <w:rPr>
          <w:rStyle w:val="deletedparamark"/>
        </w:rPr>
        <w:t xml:space="preserve"> </w:t>
      </w:r>
      <w:r>
        <w:t xml:space="preserve">to label each context of discourse: see </w:t>
      </w:r>
      <w:r>
        <w:rPr>
          <w:rStyle w:val="htmlcodes"/>
        </w:rPr>
        <w:t>&lt;a href=#s6&gt;</w:t>
      </w:r>
      <w:r>
        <w:t>Section 6</w:t>
      </w:r>
      <w:r>
        <w:rPr>
          <w:rStyle w:val="htmlcodes"/>
        </w:rPr>
        <w:t>&lt;/a&gt;</w:t>
      </w:r>
      <w:r>
        <w: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"previous topic"&gt;</w:t>
      </w:r>
      <w:r>
        <w:rPr>
          <w:rStyle w:val="indexentry"/>
        </w:rPr>
        <w:fldChar w:fldCharType="begin"/>
      </w:r>
      <w:r>
        <w:instrText>xe "</w:instrText>
      </w:r>
      <w:r>
        <w:rPr>
          <w:rStyle w:val="xeentry"/>
        </w:rPr>
        <w:instrText>previous topic</w:instrText>
      </w:r>
      <w:r>
        <w:instrText>"</w:instrText>
      </w:r>
      <w:r>
        <w:rPr>
          <w:rStyle w:val="indexentry"/>
        </w:rPr>
        <w:fldChar w:fldCharType="end"/>
      </w:r>
      <w:r>
        <w:rPr>
          <w:rStyle w:val="indexentry"/>
        </w:rPr>
        <w:t>&lt;lx "no'i"&gt;</w:t>
      </w:r>
      <w:r>
        <w:rPr>
          <w:rStyle w:val="indexentry"/>
        </w:rPr>
        <w:fldChar w:fldCharType="begin"/>
      </w:r>
      <w:r>
        <w:instrText>xe "</w:instrText>
      </w:r>
      <w:r>
        <w:rPr>
          <w:rStyle w:val="xeentry"/>
        </w:rPr>
        <w:instrText>no'i</w:instrText>
      </w:r>
      <w:r>
        <w:instrText>"</w:instrText>
      </w:r>
      <w:r>
        <w:rPr>
          <w:rStyle w:val="indexentry"/>
        </w:rPr>
        <w:fldChar w:fldCharType="end"/>
      </w:r>
      <w:r>
        <w:rPr>
          <w:rStyle w:val="indexentry"/>
        </w:rPr>
        <w:t>&lt;lx "NIhO"&gt;</w:t>
      </w:r>
      <w:r>
        <w:rPr>
          <w:rStyle w:val="indexentry"/>
        </w:rPr>
        <w:fldChar w:fldCharType="begin"/>
      </w:r>
      <w:r>
        <w:instrText>xe "</w:instrText>
      </w:r>
      <w:r>
        <w:rPr>
          <w:rStyle w:val="xeentry"/>
        </w:rPr>
        <w:instrText>NIhO selma’o</w:instrText>
      </w:r>
      <w:r>
        <w:instrText>"</w:instrText>
      </w:r>
      <w:r>
        <w:rPr>
          <w:rStyle w:val="indexentry"/>
        </w:rPr>
        <w:fldChar w:fldCharType="end"/>
      </w:r>
      <w:r>
        <w:t>“no'i” is similar in effect to “ni'o”, but indicates the resumption of a</w:t>
      </w:r>
      <w:r>
        <w:rPr>
          <w:rStyle w:val="deletedparamark"/>
        </w:rPr>
        <w:t xml:space="preserve"> </w:t>
      </w:r>
      <w:r>
        <w:t>previous topic. In speech, it is analogous to (but much shorter than)</w:t>
      </w:r>
      <w:r>
        <w:rPr>
          <w:rStyle w:val="deletedparamark"/>
        </w:rPr>
        <w:t xml:space="preserve"> </w:t>
      </w:r>
      <w:r>
        <w:t>such English discursive phrases as “But getting back to the point </w:t>
      </w:r>
      <w:r>
        <w:rPr>
          <w:rStyle w:val="htmlcodes"/>
        </w:rPr>
        <w:t>&lt;dots&gt;</w:t>
      </w:r>
      <w:r>
        <w:t>…</w:t>
      </w:r>
      <w:r>
        <w:rPr>
          <w:rStyle w:val="htmlcodes"/>
        </w:rPr>
        <w:t>&lt;/dots&gt;</w:t>
      </w:r>
      <w:r>
        <w:t>”.</w:t>
      </w:r>
      <w:r>
        <w:rPr>
          <w:rStyle w:val="deletedparamark"/>
        </w:rPr>
        <w:t xml:space="preserve"> </w:t>
      </w:r>
      <w:r>
        <w:t>By default, the topic resumed is that in effect before the last “ni'o”.</w:t>
      </w:r>
      <w:r>
        <w:rPr>
          <w:rStyle w:val="deletedparamark"/>
        </w:rPr>
        <w:t xml:space="preserve"> </w:t>
      </w:r>
      <w:r>
        <w:t>When subtopics are nested within topics, then “no'i” would resume</w:t>
      </w:r>
      <w:r>
        <w:rPr>
          <w:rStyle w:val="deletedparamark"/>
        </w:rPr>
        <w:t xml:space="preserve"> </w:t>
      </w:r>
      <w:r>
        <w:t>the previous subtopic and “no'ino'i” the previous topic. Note that</w:t>
      </w:r>
      <w:r>
        <w:rPr>
          <w:rStyle w:val="deletedparamark"/>
        </w:rPr>
        <w:t xml:space="preserve"> “</w:t>
      </w:r>
      <w:r>
        <w:t>no'i” also resumes tense and pro-sumti assignments dropped at the</w:t>
      </w:r>
      <w:r>
        <w:rPr>
          <w:rStyle w:val="deletedparamark"/>
        </w:rPr>
        <w:t xml:space="preserve"> </w:t>
      </w:r>
      <w:r>
        <w:t>previous “ni'o”.</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"subscripted topics"&gt;</w:t>
      </w:r>
      <w:r>
        <w:rPr>
          <w:rStyle w:val="indexentry"/>
        </w:rPr>
        <w:fldChar w:fldCharType="begin"/>
      </w:r>
      <w:r>
        <w:instrText>xe "</w:instrText>
      </w:r>
      <w:r>
        <w:rPr>
          <w:rStyle w:val="xeentry"/>
        </w:rPr>
        <w:instrText>subscripted topics</w:instrText>
      </w:r>
      <w:r>
        <w:instrText>"</w:instrText>
      </w:r>
      <w:r>
        <w:rPr>
          <w:rStyle w:val="indexentry"/>
        </w:rPr>
        <w:fldChar w:fldCharType="end"/>
      </w:r>
      <w:r>
        <w:t>If a “ni'o” is subscripted, then a “no'i” with the same subscript is</w:t>
      </w:r>
      <w:r>
        <w:rPr>
          <w:rStyle w:val="deletedparamark"/>
        </w:rPr>
        <w:t xml:space="preserve"> </w:t>
      </w:r>
      <w:r>
        <w:t>assumed to be a continuation of it. A “no'i” may also have a negative</w:t>
      </w:r>
      <w:r>
        <w:rPr>
          <w:rStyle w:val="deletedparamark"/>
        </w:rPr>
        <w:t xml:space="preserve"> </w:t>
      </w:r>
      <w:r>
        <w:t>subscript, which would specify counting backwards a number of paragraphs</w:t>
      </w:r>
      <w:r>
        <w:rPr>
          <w:rStyle w:val="deletedparamark"/>
        </w:rPr>
        <w:t xml:space="preserve"> </w:t>
      </w:r>
      <w:r>
        <w:t>and resuming the topic found thereby.</w:t>
      </w:r>
    </w:p>
    <w:p w:rsidR="00B72047" w:rsidRDefault="00B72047">
      <w:pPr>
        <w:rPr>
          <w:rStyle w:val="htmlparacode"/>
        </w:rPr>
      </w:pPr>
      <w:r>
        <w:rPr>
          <w:rStyle w:val="htmlparacode"/>
        </w:rPr>
        <w:t>&lt;p&gt;</w:t>
      </w:r>
    </w:p>
    <w:p w:rsidR="00B72047" w:rsidRDefault="00B72047">
      <w:pPr>
        <w:pStyle w:val="Heading3"/>
        <w:rPr>
          <w:rStyle w:val="Heading3Text"/>
        </w:rPr>
      </w:pPr>
      <w:bookmarkStart w:id="528" w:name="_Toc398970764"/>
      <w:r>
        <w:rPr>
          <w:rStyle w:val="Heading3Text"/>
        </w:rPr>
        <w:t>Topic-comment sentences: ZOhU</w:t>
      </w:r>
      <w:bookmarkEnd w:id="528"/>
      <w:r>
        <w:rPr>
          <w:rStyle w:val="htmlcodes"/>
        </w:rPr>
        <w:t>&lt;/h3&gt;</w:t>
      </w:r>
    </w:p>
    <w:p w:rsidR="00B72047" w:rsidRDefault="00B72047">
      <w:pPr>
        <w:pStyle w:val="normalparagraph"/>
        <w:rPr>
          <w:rStyle w:val="htmlparacode"/>
        </w:rPr>
      </w:pPr>
      <w:r>
        <w:rPr>
          <w:rStyle w:val="htmlparacode"/>
        </w:rPr>
        <w:t>&lt;p&gt;</w:t>
      </w:r>
      <w:r>
        <w:rPr>
          <w:rStyle w:val="indexentry"/>
        </w:rPr>
        <w:t>&lt;cx "topic-comment sentences"&gt;</w:t>
      </w:r>
      <w:r>
        <w:rPr>
          <w:rStyle w:val="indexentry"/>
        </w:rPr>
        <w:fldChar w:fldCharType="begin"/>
      </w:r>
      <w:r>
        <w:instrText>xe "</w:instrText>
      </w:r>
      <w:r>
        <w:rPr>
          <w:rStyle w:val="xeentry"/>
        </w:rPr>
        <w:instrText>topic-comment sentences</w:instrText>
      </w:r>
      <w:r>
        <w:instrText>"</w:instrText>
      </w:r>
      <w:r>
        <w:rPr>
          <w:rStyle w:val="indexentry"/>
        </w:rPr>
        <w:fldChar w:fldCharType="end"/>
      </w:r>
      <w:r>
        <w:rPr>
          <w:rStyle w:val="htmlcodes"/>
        </w:rPr>
        <w:t>&lt;a name=s4&gt;&lt;h3&gt;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zo'u</w:t>
      </w:r>
      <w:r>
        <w:tab/>
        <w:t>ZOhU</w:t>
      </w:r>
      <w:r>
        <w:tab/>
        <w:t>topic/comment separator</w:t>
      </w:r>
    </w:p>
    <w:p w:rsidR="00B72047" w:rsidRDefault="00B72047">
      <w:pPr>
        <w:pStyle w:val="normalafterexample"/>
      </w:pPr>
      <w:r>
        <w:rPr>
          <w:rStyle w:val="htmlcodes"/>
        </w:rPr>
        <w:t>&lt;/pre&gt;&lt;p&gt;</w:t>
      </w:r>
      <w:r>
        <w:t>The normal Lojban sentence is just a bridi, parallel to the normal English</w:t>
      </w:r>
      <w:r>
        <w:rPr>
          <w:rStyle w:val="deletedparamark"/>
        </w:rPr>
        <w:t xml:space="preserve"> </w:t>
      </w:r>
      <w:r>
        <w:t>sen</w:t>
      </w:r>
      <w:r>
        <w:softHyphen/>
        <w:t>tence which has a subject and a predicate: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name=e4d1&gt;</w:t>
      </w:r>
      <w:r>
        <w:t>4.1)</w:t>
      </w:r>
      <w:r>
        <w:tab/>
        <w:t>mi klama le zarci</w:t>
      </w:r>
    </w:p>
    <w:p w:rsidR="00B72047" w:rsidRDefault="00B72047">
      <w:pPr>
        <w:pStyle w:val="examplescaled"/>
      </w:pPr>
      <w:r>
        <w:tab/>
        <w:t>I went to the market.</w:t>
      </w:r>
    </w:p>
    <w:p w:rsidR="00B72047" w:rsidRDefault="00B72047">
      <w:pPr>
        <w:pStyle w:val="resumedafterexample"/>
      </w:pPr>
      <w:r>
        <w:rPr>
          <w:rStyle w:val="htmlcodes"/>
        </w:rPr>
        <w:t>&lt;/pre&gt;</w:t>
      </w:r>
      <w:r>
        <w:rPr>
          <w:rStyle w:val="indexentry"/>
        </w:rPr>
        <w:t>&lt;cx "topic-comment, description"&gt;</w:t>
      </w:r>
      <w:r>
        <w:rPr>
          <w:rStyle w:val="indexentry"/>
        </w:rPr>
        <w:fldChar w:fldCharType="begin"/>
      </w:r>
      <w:r>
        <w:instrText>xe "</w:instrText>
      </w:r>
      <w:r>
        <w:rPr>
          <w:rStyle w:val="xeentry"/>
        </w:rPr>
        <w:instrText>topic-comment: description</w:instrText>
      </w:r>
      <w:r>
        <w:instrText>"</w:instrText>
      </w:r>
      <w:r>
        <w:rPr>
          <w:rStyle w:val="indexentry"/>
        </w:rPr>
        <w:fldChar w:fldCharType="end"/>
      </w:r>
      <w:r>
        <w:t>In Chinese, the normal sentence form is different: a topic is stated, and</w:t>
      </w:r>
      <w:r>
        <w:rPr>
          <w:rStyle w:val="deletedparamark"/>
        </w:rPr>
        <w:t xml:space="preserve"> </w:t>
      </w:r>
      <w:r>
        <w:t>a comment about it is made. (Japanese also has the concept of a topic,</w:t>
      </w:r>
      <w:r>
        <w:rPr>
          <w:rStyle w:val="deletedparamark"/>
        </w:rPr>
        <w:t xml:space="preserve"> </w:t>
      </w:r>
      <w:r>
        <w:t>but indicates it by attaching a suffix; other languages also distinguish</w:t>
      </w:r>
      <w:r>
        <w:rPr>
          <w:rStyle w:val="deletedparamark"/>
        </w:rPr>
        <w:t xml:space="preserve"> </w:t>
      </w:r>
      <w:r>
        <w:t>topics in various ways.) The topic says what the sentence is about:</w:t>
      </w:r>
    </w:p>
    <w:p w:rsidR="00B72047" w:rsidRDefault="00B72047">
      <w:pPr>
        <w:rPr>
          <w:rStyle w:val="htmlparacode"/>
        </w:rPr>
      </w:pPr>
      <w:r>
        <w:rPr>
          <w:rStyle w:val="htmlparacode"/>
        </w:rPr>
        <w:t>&lt;p&gt;</w:t>
      </w:r>
    </w:p>
    <w:p w:rsidR="00B72047" w:rsidRDefault="00B72047">
      <w:pPr>
        <w:pStyle w:val="examplescaledpre"/>
      </w:pPr>
      <w:r>
        <w:rPr>
          <w:rStyle w:val="indexentry"/>
        </w:rPr>
        <w:t>&lt;ex "news"&gt;</w:t>
      </w:r>
      <w:r>
        <w:rPr>
          <w:rStyle w:val="indexentry"/>
        </w:rPr>
        <w:fldChar w:fldCharType="begin"/>
      </w:r>
      <w:r>
        <w:instrText>xe "</w:instrText>
      </w:r>
      <w:r>
        <w:rPr>
          <w:rStyle w:val="xeentry"/>
        </w:rPr>
        <w:instrText>news: example</w:instrText>
      </w:r>
      <w:r>
        <w:instrText>"</w:instrText>
      </w:r>
      <w:r>
        <w:rPr>
          <w:rStyle w:val="indexentry"/>
        </w:rPr>
        <w:fldChar w:fldCharType="end"/>
      </w:r>
      <w:r>
        <w:rPr>
          <w:rStyle w:val="htmlcodes"/>
        </w:rPr>
        <w:t>&lt;pre&gt;&lt;a name=e4d2&gt;</w:t>
      </w:r>
      <w:r>
        <w:t>4.2)</w:t>
      </w:r>
      <w:r>
        <w:tab/>
        <w:t>zhe</w:t>
      </w:r>
      <w:r>
        <w:rPr>
          <w:rStyle w:val="htmlcodes"/>
        </w:rPr>
        <w:t>&lt;sup&gt;</w:t>
      </w:r>
      <w:r>
        <w:rPr>
          <w:rStyle w:val="Superscript"/>
        </w:rPr>
        <w:t>4</w:t>
      </w:r>
      <w:r>
        <w:rPr>
          <w:rStyle w:val="htmlcodes"/>
        </w:rPr>
        <w:t>&lt;/sup&gt;</w:t>
      </w:r>
      <w:r>
        <w:t xml:space="preserve"> xiao</w:t>
      </w:r>
      <w:r>
        <w:rPr>
          <w:rStyle w:val="htmlcodes"/>
        </w:rPr>
        <w:t>&lt;sup&gt;</w:t>
      </w:r>
      <w:r>
        <w:rPr>
          <w:rStyle w:val="Superscript"/>
        </w:rPr>
        <w:t>1</w:t>
      </w:r>
      <w:r>
        <w:rPr>
          <w:rStyle w:val="htmlcodes"/>
        </w:rPr>
        <w:t>&lt;/sup&gt;</w:t>
      </w:r>
      <w:r>
        <w:t>xi</w:t>
      </w:r>
      <w:r>
        <w:rPr>
          <w:rStyle w:val="htmlcodes"/>
        </w:rPr>
        <w:t>&lt;sup&gt;</w:t>
      </w:r>
      <w:r>
        <w:rPr>
          <w:rStyle w:val="Superscript"/>
        </w:rPr>
        <w:t>2</w:t>
      </w:r>
      <w:r>
        <w:rPr>
          <w:rStyle w:val="Superscript"/>
        </w:rPr>
        <w:tab/>
      </w:r>
      <w:r>
        <w:rPr>
          <w:rStyle w:val="htmlcodes"/>
        </w:rPr>
        <w:t>&lt;/sup&gt;</w:t>
      </w:r>
      <w:r>
        <w:t>wo</w:t>
      </w:r>
      <w:r>
        <w:rPr>
          <w:rStyle w:val="htmlcodes"/>
        </w:rPr>
        <w:t>&lt;sup&gt;</w:t>
      </w:r>
      <w:r>
        <w:rPr>
          <w:rStyle w:val="Superscript"/>
        </w:rPr>
        <w:t>3</w:t>
      </w:r>
      <w:r>
        <w:rPr>
          <w:rStyle w:val="htmlcodes"/>
        </w:rPr>
        <w:t>&lt;/sup&gt;</w:t>
      </w:r>
      <w:r>
        <w:t xml:space="preserve"> zhi</w:t>
      </w:r>
      <w:r>
        <w:rPr>
          <w:rStyle w:val="htmlcodes"/>
        </w:rPr>
        <w:t>&lt;sup&gt;</w:t>
      </w:r>
      <w:r>
        <w:rPr>
          <w:rStyle w:val="Superscript"/>
        </w:rPr>
        <w:t>1</w:t>
      </w:r>
      <w:r>
        <w:rPr>
          <w:rStyle w:val="htmlcodes"/>
        </w:rPr>
        <w:t>&lt;/sup&gt;</w:t>
      </w:r>
      <w:r>
        <w:t>dao le</w:t>
      </w:r>
    </w:p>
    <w:p w:rsidR="00B72047" w:rsidRDefault="00B72047">
      <w:pPr>
        <w:pStyle w:val="examplescaled"/>
      </w:pPr>
      <w:r>
        <w:tab/>
        <w:t>this news</w:t>
      </w:r>
      <w:r>
        <w:tab/>
        <w:t>I know [perfective]</w:t>
      </w:r>
    </w:p>
    <w:p w:rsidR="00B72047" w:rsidRDefault="00B72047">
      <w:pPr>
        <w:pStyle w:val="examplescaled"/>
      </w:pPr>
      <w:r>
        <w:tab/>
        <w:t>As for this news, I knew it.</w:t>
      </w:r>
    </w:p>
    <w:p w:rsidR="00B72047" w:rsidRDefault="00B72047">
      <w:pPr>
        <w:pStyle w:val="examplescaled"/>
      </w:pPr>
      <w:r>
        <w:tab/>
        <w:t>I've heard this news already.</w:t>
      </w:r>
    </w:p>
    <w:p w:rsidR="00B72047" w:rsidRDefault="00B72047">
      <w:pPr>
        <w:pStyle w:val="resumedafterexample"/>
      </w:pPr>
      <w:r>
        <w:rPr>
          <w:rStyle w:val="htmlcodes"/>
        </w:rPr>
        <w:t>&lt;/pre&gt;</w:t>
      </w:r>
      <w:r>
        <w:rPr>
          <w:rStyle w:val="indexentry"/>
        </w:rPr>
        <w:t>&lt;lx "zo'u"&gt;</w:t>
      </w:r>
      <w:r>
        <w:rPr>
          <w:rStyle w:val="indexentry"/>
        </w:rPr>
        <w:fldChar w:fldCharType="begin"/>
      </w:r>
      <w:r>
        <w:instrText>xe "</w:instrText>
      </w:r>
      <w:r>
        <w:rPr>
          <w:rStyle w:val="xeentry"/>
        </w:rPr>
        <w:instrText>zo'u</w:instrText>
      </w:r>
      <w:r>
        <w:instrText>"</w:instrText>
      </w:r>
      <w:r>
        <w:rPr>
          <w:rStyle w:val="indexentry"/>
        </w:rPr>
        <w:fldChar w:fldCharType="end"/>
      </w:r>
      <w:r>
        <w:rPr>
          <w:rStyle w:val="indexentry"/>
        </w:rPr>
        <w:t>&lt;lx "ZOhU"&gt;</w:t>
      </w:r>
      <w:r>
        <w:rPr>
          <w:rStyle w:val="indexentry"/>
        </w:rPr>
        <w:fldChar w:fldCharType="begin"/>
      </w:r>
      <w:r>
        <w:instrText>xe "</w:instrText>
      </w:r>
      <w:r>
        <w:rPr>
          <w:rStyle w:val="xeentry"/>
        </w:rPr>
        <w:instrText>ZOhU selma’o</w:instrText>
      </w:r>
      <w:r>
        <w:instrText>"</w:instrText>
      </w:r>
      <w:r>
        <w:rPr>
          <w:rStyle w:val="indexentry"/>
        </w:rPr>
        <w:fldChar w:fldCharType="end"/>
      </w:r>
      <w:r>
        <w:t xml:space="preserve">The wide space in the first two versions of </w:t>
      </w:r>
      <w:r>
        <w:rPr>
          <w:rStyle w:val="htmlcodes"/>
        </w:rPr>
        <w:t>&lt;a href=#e4d2&gt;</w:t>
      </w:r>
      <w:r>
        <w:t xml:space="preserve">Example 4.2 </w:t>
      </w:r>
      <w:r>
        <w:rPr>
          <w:rStyle w:val="htmlcodes"/>
        </w:rPr>
        <w:t>&lt;/a&gt;</w:t>
      </w:r>
      <w:r>
        <w:t>separate the topic</w:t>
      </w:r>
      <w:r>
        <w:rPr>
          <w:rStyle w:val="deletedparamark"/>
        </w:rPr>
        <w:t xml:space="preserve"> </w:t>
      </w:r>
      <w:r>
        <w:t>(“this news”) from the comment (“I know already”).</w:t>
      </w:r>
    </w:p>
    <w:p w:rsidR="00B72047" w:rsidRDefault="00B72047">
      <w:pPr>
        <w:rPr>
          <w:rStyle w:val="htmlparacode"/>
        </w:rPr>
      </w:pPr>
      <w:r>
        <w:rPr>
          <w:rStyle w:val="htmlparacode"/>
        </w:rPr>
        <w:t>&lt;p&gt;</w:t>
      </w:r>
    </w:p>
    <w:p w:rsidR="00B72047" w:rsidRDefault="00B72047">
      <w:pPr>
        <w:pStyle w:val="normalparagraph"/>
      </w:pPr>
      <w:r>
        <w:t>Lojban uses the cmavo “zo'u” (of selma'o ZOhU) to separate topic (a sumti)</w:t>
      </w:r>
      <w:r>
        <w:rPr>
          <w:rStyle w:val="deletedparamark"/>
        </w:rPr>
        <w:t xml:space="preserve"> </w:t>
      </w:r>
      <w:r>
        <w:t>from comment (a 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name=e4d3&gt;</w:t>
      </w:r>
      <w:r>
        <w:t>4.3)</w:t>
      </w:r>
      <w:r>
        <w:tab/>
        <w:t>le nuzba zu'o mi ba'o djuno</w:t>
      </w:r>
    </w:p>
    <w:p w:rsidR="00B72047" w:rsidRDefault="00B72047">
      <w:pPr>
        <w:pStyle w:val="examplescaled"/>
      </w:pPr>
      <w:r>
        <w:tab/>
        <w:t>The news :  I [perfective] know.</w:t>
      </w:r>
    </w:p>
    <w:p w:rsidR="00B72047" w:rsidRDefault="00B72047">
      <w:pPr>
        <w:pStyle w:val="resumedafterexample"/>
      </w:pPr>
      <w:r>
        <w:rPr>
          <w:rStyle w:val="htmlcodes"/>
        </w:rPr>
        <w:t>&lt;/pre&gt;&lt;a href=#e4d3&gt;</w:t>
      </w:r>
      <w:r>
        <w:t xml:space="preserve">Example 4.3 </w:t>
      </w:r>
      <w:r>
        <w:rPr>
          <w:rStyle w:val="htmlcodes"/>
        </w:rPr>
        <w:t>&lt;/a&gt;</w:t>
      </w:r>
      <w:r>
        <w:t xml:space="preserve">is the literal Lojban translation of </w:t>
      </w:r>
      <w:r>
        <w:rPr>
          <w:rStyle w:val="htmlcodes"/>
        </w:rPr>
        <w:t>&lt;a href=#e4d2&gt;</w:t>
      </w:r>
      <w:r>
        <w:t>Example 4.2</w:t>
      </w:r>
      <w:r>
        <w:rPr>
          <w:rStyle w:val="htmlcodes"/>
        </w:rPr>
        <w:t>&lt;/a&gt;</w:t>
      </w:r>
      <w:r>
        <w:t>. Of course,</w:t>
      </w:r>
      <w:r>
        <w:rPr>
          <w:rStyle w:val="deletedparamark"/>
        </w:rPr>
        <w:t xml:space="preserve"> </w:t>
      </w:r>
      <w:r>
        <w:t>the topic-com</w:t>
      </w:r>
      <w:r>
        <w:softHyphen/>
        <w:t>ment structure can be changed to a straightforward bridi</w:t>
      </w:r>
      <w:r>
        <w:rPr>
          <w:rStyle w:val="deletedparamark"/>
        </w:rPr>
        <w:t xml:space="preserve"> </w:t>
      </w:r>
      <w:r>
        <w:t>structure: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name=e4d4&gt;</w:t>
      </w:r>
      <w:r>
        <w:t>4.4)</w:t>
      </w:r>
      <w:r>
        <w:tab/>
        <w:t>mi ba'o djuno le nuzba</w:t>
      </w:r>
    </w:p>
    <w:p w:rsidR="00B72047" w:rsidRDefault="00B72047">
      <w:pPr>
        <w:pStyle w:val="examplescaled"/>
      </w:pPr>
      <w:r>
        <w:tab/>
        <w:t>I [perfective] know the news.</w:t>
      </w:r>
    </w:p>
    <w:p w:rsidR="00B72047" w:rsidRDefault="00B72047">
      <w:pPr>
        <w:pStyle w:val="resumedafterexample"/>
      </w:pPr>
      <w:r>
        <w:rPr>
          <w:rStyle w:val="htmlcodes"/>
        </w:rPr>
        <w:t>&lt;/pre&gt;&lt;a href=#e4d4&gt;</w:t>
      </w:r>
      <w:r>
        <w:t xml:space="preserve">Example 4.4 </w:t>
      </w:r>
      <w:r>
        <w:rPr>
          <w:rStyle w:val="htmlcodes"/>
        </w:rPr>
        <w:t>&lt;/a&gt;</w:t>
      </w:r>
      <w:r>
        <w:t xml:space="preserve">means the same as </w:t>
      </w:r>
      <w:r>
        <w:rPr>
          <w:rStyle w:val="htmlcodes"/>
        </w:rPr>
        <w:t>&lt;a href=#e4d3&gt;</w:t>
      </w:r>
      <w:r>
        <w:t>Example 4.3</w:t>
      </w:r>
      <w:r>
        <w:rPr>
          <w:rStyle w:val="htmlcodes"/>
        </w:rPr>
        <w:t>&lt;/a&gt;</w:t>
      </w:r>
      <w:r>
        <w:t>, and it is simpler. However,</w:t>
      </w:r>
      <w:r>
        <w:rPr>
          <w:rStyle w:val="deletedparamark"/>
        </w:rPr>
        <w:t xml:space="preserve"> </w:t>
      </w:r>
      <w:r>
        <w:t>often the po</w:t>
      </w:r>
      <w:r>
        <w:softHyphen/>
        <w:t>sition of the topic in the place structure of the selbri</w:t>
      </w:r>
      <w:r>
        <w:rPr>
          <w:rStyle w:val="deletedparamark"/>
        </w:rPr>
        <w:t xml:space="preserve"> </w:t>
      </w:r>
      <w:r>
        <w:t>within the comment is vague:</w:t>
      </w:r>
    </w:p>
    <w:p w:rsidR="00B72047" w:rsidRDefault="00B72047">
      <w:pPr>
        <w:rPr>
          <w:rStyle w:val="htmlparacode"/>
        </w:rPr>
      </w:pPr>
      <w:r>
        <w:rPr>
          <w:rStyle w:val="htmlparacode"/>
        </w:rPr>
        <w:t>&lt;p&gt;</w:t>
      </w:r>
    </w:p>
    <w:p w:rsidR="00B72047" w:rsidRDefault="00B72047">
      <w:pPr>
        <w:pStyle w:val="examplescaledpre"/>
      </w:pPr>
      <w:r>
        <w:rPr>
          <w:rStyle w:val="indexentry"/>
        </w:rPr>
        <w:t>&lt;ex "fish eat"&gt;</w:t>
      </w:r>
      <w:r>
        <w:rPr>
          <w:rStyle w:val="indexentry"/>
        </w:rPr>
        <w:fldChar w:fldCharType="begin"/>
      </w:r>
      <w:r>
        <w:instrText>xe "</w:instrText>
      </w:r>
      <w:r>
        <w:rPr>
          <w:rStyle w:val="xeentry"/>
        </w:rPr>
        <w:instrText>fish eat: example</w:instrText>
      </w:r>
      <w:r>
        <w:instrText>"</w:instrText>
      </w:r>
      <w:r>
        <w:rPr>
          <w:rStyle w:val="indexentry"/>
        </w:rPr>
        <w:fldChar w:fldCharType="end"/>
      </w:r>
      <w:r>
        <w:rPr>
          <w:rStyle w:val="htmlcodes"/>
        </w:rPr>
        <w:t>&lt;pre&gt;&lt;a name=e4d5&gt;</w:t>
      </w:r>
      <w:r>
        <w:t>4.5)</w:t>
      </w:r>
      <w:r>
        <w:tab/>
        <w:t>le finpe zo'u citka</w:t>
      </w:r>
    </w:p>
    <w:p w:rsidR="00B72047" w:rsidRDefault="00B72047">
      <w:pPr>
        <w:pStyle w:val="examplescaled"/>
      </w:pPr>
      <w:r>
        <w:tab/>
        <w:t>the fish :  eat</w:t>
      </w:r>
    </w:p>
    <w:p w:rsidR="00B72047" w:rsidRDefault="00B72047">
      <w:pPr>
        <w:pStyle w:val="resumedafterexample"/>
      </w:pPr>
      <w:r>
        <w:rPr>
          <w:rStyle w:val="htmlcodes"/>
        </w:rPr>
        <w:t>&lt;/pre&gt;&lt;p&gt;</w:t>
      </w:r>
      <w:r>
        <w:t>Is the fish eating or being eaten? The sentence doesn't say. The Chinese</w:t>
      </w:r>
      <w:r>
        <w:rPr>
          <w:rStyle w:val="deletedparamark"/>
        </w:rPr>
        <w:t xml:space="preserve"> </w:t>
      </w:r>
      <w:r>
        <w:t xml:space="preserve">equivalent of </w:t>
      </w:r>
      <w:r>
        <w:rPr>
          <w:rStyle w:val="htmlcodes"/>
        </w:rPr>
        <w:t>&lt;a href=#e4d5&gt;</w:t>
      </w:r>
      <w:r>
        <w:t xml:space="preserve">Example 4.5 </w:t>
      </w:r>
      <w:r>
        <w:rPr>
          <w:rStyle w:val="htmlcodes"/>
        </w:rPr>
        <w:t>&lt;/a&gt;</w:t>
      </w:r>
      <w:r>
        <w:t>is: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name=e4d6&gt;</w:t>
      </w:r>
      <w:r>
        <w:t>4.6)</w:t>
      </w:r>
      <w:r>
        <w:tab/>
        <w:t>yu</w:t>
      </w:r>
      <w:r>
        <w:rPr>
          <w:rStyle w:val="htmlcodes"/>
        </w:rPr>
        <w:t>&lt;sup&gt;</w:t>
      </w:r>
      <w:r>
        <w:rPr>
          <w:rStyle w:val="Superscript"/>
        </w:rPr>
        <w:t>2</w:t>
      </w:r>
      <w:r>
        <w:rPr>
          <w:rStyle w:val="Superscript"/>
        </w:rPr>
        <w:tab/>
      </w:r>
      <w:r>
        <w:rPr>
          <w:rStyle w:val="htmlcodes"/>
        </w:rPr>
        <w:t>&lt;/sup&gt;</w:t>
      </w:r>
      <w:r>
        <w:t>chi</w:t>
      </w:r>
      <w:r>
        <w:rPr>
          <w:rStyle w:val="htmlcodes"/>
        </w:rPr>
        <w:t>&lt;sup&gt;</w:t>
      </w:r>
      <w:r>
        <w:rPr>
          <w:rStyle w:val="Superscript"/>
        </w:rPr>
        <w:t>1</w:t>
      </w:r>
      <w:r>
        <w:rPr>
          <w:rStyle w:val="htmlcodes"/>
        </w:rPr>
        <w:t>&lt;/sup&gt;</w:t>
      </w:r>
    </w:p>
    <w:p w:rsidR="00B72047" w:rsidRDefault="00B72047">
      <w:pPr>
        <w:pStyle w:val="examplescaled"/>
      </w:pPr>
      <w:r>
        <w:tab/>
        <w:t>fish</w:t>
      </w:r>
      <w:r>
        <w:tab/>
        <w:t>eat</w:t>
      </w:r>
    </w:p>
    <w:p w:rsidR="00B72047" w:rsidRDefault="00B72047">
      <w:pPr>
        <w:pStyle w:val="resumedafterexample"/>
      </w:pPr>
      <w:r>
        <w:rPr>
          <w:rStyle w:val="htmlcodes"/>
        </w:rPr>
        <w:t>&lt;/pre&gt;</w:t>
      </w:r>
      <w:r>
        <w:t>which is vague in exactly the same way.</w:t>
      </w:r>
    </w:p>
    <w:p w:rsidR="00B72047" w:rsidRDefault="00B72047">
      <w:pPr>
        <w:rPr>
          <w:rStyle w:val="htmlparacode"/>
        </w:rPr>
      </w:pPr>
      <w:r>
        <w:rPr>
          <w:rStyle w:val="htmlparacode"/>
        </w:rPr>
        <w:t>&lt;p&gt;</w:t>
      </w:r>
    </w:p>
    <w:p w:rsidR="00B72047" w:rsidRDefault="00B72047">
      <w:pPr>
        <w:pStyle w:val="normalparagraph"/>
      </w:pPr>
      <w:r>
        <w:t>Grammatically, it is possible to have more than one sumti before “zo'u”.</w:t>
      </w:r>
      <w:r>
        <w:rPr>
          <w:rStyle w:val="deletedparamark"/>
        </w:rPr>
        <w:t xml:space="preserve"> </w:t>
      </w:r>
      <w:r>
        <w:t>This is not normally useful in topic-comment sentences, but is necessary</w:t>
      </w:r>
      <w:r>
        <w:rPr>
          <w:rStyle w:val="deletedparamark"/>
        </w:rPr>
        <w:t xml:space="preserve"> </w:t>
      </w:r>
      <w:r>
        <w:t>in the other use of “zo'u”: to separate a quantifying section from a</w:t>
      </w:r>
      <w:r>
        <w:rPr>
          <w:rStyle w:val="deletedparamark"/>
        </w:rPr>
        <w:t xml:space="preserve"> </w:t>
      </w:r>
      <w:r>
        <w:t>bridi containing quantified variables. This usage belongs to a discussion</w:t>
      </w:r>
      <w:r>
        <w:rPr>
          <w:rStyle w:val="deletedparamark"/>
        </w:rPr>
        <w:t xml:space="preserve"> </w:t>
      </w:r>
      <w:r>
        <w:t xml:space="preserve">of quantifier logic in Lojban (see </w:t>
      </w:r>
      <w:r>
        <w:rPr>
          <w:rStyle w:val="htmlcodes"/>
        </w:rPr>
        <w:t>&lt;a href=chap16.html&gt;</w:t>
      </w:r>
      <w:r>
        <w:t>Chapter 16</w:t>
      </w:r>
      <w:r>
        <w:rPr>
          <w:rStyle w:val="htmlcodes"/>
        </w:rPr>
        <w:t>&lt;/a&gt;</w:t>
      </w:r>
      <w:r>
        <w:t>), but an example would be: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name=e4d7&gt;</w:t>
      </w:r>
      <w:r>
        <w:t>4.7)</w:t>
      </w:r>
      <w:r>
        <w:tab/>
        <w:t>roda poi prenu ku'o su'ode zo'u de patfu da</w:t>
      </w:r>
    </w:p>
    <w:p w:rsidR="00B72047" w:rsidRDefault="00B72047">
      <w:pPr>
        <w:pStyle w:val="examplescaled"/>
      </w:pPr>
      <w:r>
        <w:tab/>
        <w:t>For-all X which-are-persons, there-exists-a-Y such-that Y is the father of X.</w:t>
      </w:r>
    </w:p>
    <w:p w:rsidR="00B72047" w:rsidRDefault="00B72047">
      <w:pPr>
        <w:pStyle w:val="examplescaled"/>
      </w:pPr>
      <w:r>
        <w:tab/>
        <w:t>Every person has a father.</w:t>
      </w:r>
    </w:p>
    <w:p w:rsidR="00B72047" w:rsidRDefault="00B72047">
      <w:pPr>
        <w:pStyle w:val="resumedafterexample"/>
      </w:pPr>
      <w:r>
        <w:rPr>
          <w:rStyle w:val="htmlcodes"/>
        </w:rPr>
        <w:t>&lt;/pre&gt;&lt;p&gt;</w:t>
      </w:r>
      <w:r>
        <w:t xml:space="preserve">The string of sumti before “zo'u” (called the “prenex”: see </w:t>
      </w:r>
      <w:r>
        <w:rPr>
          <w:rStyle w:val="htmlcodes"/>
        </w:rPr>
        <w:t>&lt;a href=chap16.html&gt;</w:t>
      </w:r>
      <w:r>
        <w:t>Chapter 16</w:t>
      </w:r>
      <w:r>
        <w:rPr>
          <w:rStyle w:val="htmlcodes"/>
        </w:rPr>
        <w:t>&lt;/a&gt;</w:t>
      </w:r>
      <w:r>
        <w:t>)</w:t>
      </w:r>
      <w:r>
        <w:rPr>
          <w:rStyle w:val="deletedparamark"/>
        </w:rPr>
        <w:t xml:space="preserve"> </w:t>
      </w:r>
      <w:r>
        <w:t>may contain both a topic and bound variables: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name=e4d8&gt;</w:t>
      </w:r>
      <w:r>
        <w:t>4.8)</w:t>
      </w:r>
      <w:r>
        <w:tab/>
        <w:t xml:space="preserve">loi patfu roda poi prenu ku'o </w:t>
      </w:r>
    </w:p>
    <w:p w:rsidR="00B72047" w:rsidRDefault="00B72047">
      <w:pPr>
        <w:pStyle w:val="examplescaled"/>
        <w:ind w:firstLine="576"/>
      </w:pPr>
      <w:r>
        <w:t>su'ode zo'u de patfu da</w:t>
      </w:r>
    </w:p>
    <w:p w:rsidR="00B72047" w:rsidRDefault="00B72047">
      <w:pPr>
        <w:pStyle w:val="examplescaled"/>
      </w:pPr>
      <w:r>
        <w:tab/>
        <w:t xml:space="preserve">For-the-mass-of fathers for-all X which-are-persons, </w:t>
      </w:r>
    </w:p>
    <w:p w:rsidR="00B72047" w:rsidRDefault="00B72047">
      <w:pPr>
        <w:pStyle w:val="examplescaled"/>
        <w:ind w:firstLine="576"/>
      </w:pPr>
      <w:r>
        <w:t>there-exists-a-Y such-that Y is the father of X.</w:t>
      </w:r>
    </w:p>
    <w:p w:rsidR="00B72047" w:rsidRDefault="00B72047">
      <w:pPr>
        <w:pStyle w:val="examplescaled"/>
      </w:pPr>
      <w:r>
        <w:tab/>
        <w:t>As for fathers, every person has one.</w:t>
      </w:r>
    </w:p>
    <w:p w:rsidR="00B72047" w:rsidRDefault="00B72047">
      <w:pPr>
        <w:pStyle w:val="resumedafterexample"/>
      </w:pPr>
      <w:r>
        <w:rPr>
          <w:rStyle w:val="htmlcodes"/>
        </w:rPr>
        <w:t>&lt;/pre&gt;</w:t>
      </w:r>
      <w:r>
        <w:rPr>
          <w:rStyle w:val="indexentry"/>
        </w:rPr>
        <w:t>&lt;cx "topic/comment, multiple sentence"&gt;</w:t>
      </w:r>
      <w:r>
        <w:rPr>
          <w:rStyle w:val="indexentry"/>
        </w:rPr>
        <w:fldChar w:fldCharType="begin"/>
      </w:r>
      <w:r>
        <w:instrText>xe "</w:instrText>
      </w:r>
      <w:r>
        <w:rPr>
          <w:rStyle w:val="xeentry"/>
        </w:rPr>
        <w:instrText>topic/comment: multiple sentence</w:instrText>
      </w:r>
      <w:r>
        <w:instrText>"</w:instrText>
      </w:r>
      <w:r>
        <w:rPr>
          <w:rStyle w:val="indexentry"/>
        </w:rPr>
        <w:fldChar w:fldCharType="end"/>
      </w:r>
      <w:r>
        <w:t>To specify a topic which affects more than one sentence, wrap the sentences</w:t>
      </w:r>
      <w:r>
        <w:rPr>
          <w:rStyle w:val="deletedparamark"/>
        </w:rPr>
        <w:t xml:space="preserve"> </w:t>
      </w:r>
      <w:r>
        <w:t>in “tu'e </w:t>
      </w:r>
      <w:r>
        <w:rPr>
          <w:rStyle w:val="htmlcodes"/>
        </w:rPr>
        <w:t>&lt;dots&gt;</w:t>
      </w:r>
      <w:r>
        <w:t>…</w:t>
      </w:r>
      <w:r>
        <w:rPr>
          <w:rStyle w:val="htmlcodes"/>
        </w:rPr>
        <w:t>&lt;/dots&gt;</w:t>
      </w:r>
      <w:r>
        <w:t>tu'u” brackets and place the topic and the “zo'u” directly in</w:t>
      </w:r>
      <w:r>
        <w:rPr>
          <w:rStyle w:val="deletedparamark"/>
        </w:rPr>
        <w:t xml:space="preserve"> </w:t>
      </w:r>
      <w:r>
        <w:t>front. This is the e</w:t>
      </w:r>
      <w:r>
        <w:t>x</w:t>
      </w:r>
      <w:r>
        <w:softHyphen/>
        <w:t>ception to the rule that a topic attaches directly</w:t>
      </w:r>
      <w:r>
        <w:rPr>
          <w:rStyle w:val="deletedparamark"/>
        </w:rPr>
        <w:t xml:space="preserve"> </w:t>
      </w:r>
      <w:r>
        <w:t>to a 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name=e4d9&gt;</w:t>
      </w:r>
      <w:r>
        <w:t>4.9)</w:t>
      </w:r>
      <w:r>
        <w:tab/>
        <w:t>loi jdini zo'u tu'e do ponse  .inaja do djica [tu'u]</w:t>
      </w:r>
    </w:p>
    <w:p w:rsidR="00B72047" w:rsidRDefault="00B72047">
      <w:pPr>
        <w:pStyle w:val="examplescaled"/>
      </w:pPr>
      <w:r>
        <w:tab/>
        <w:t>The-mass-of money :  ( [if] you possess, then you want )</w:t>
      </w:r>
    </w:p>
    <w:p w:rsidR="00B72047" w:rsidRDefault="00B72047">
      <w:pPr>
        <w:pStyle w:val="examplescaled"/>
      </w:pPr>
      <w:r>
        <w:tab/>
        <w:t>Money:  if you have it, you want it.</w:t>
      </w:r>
    </w:p>
    <w:p w:rsidR="00B72047" w:rsidRDefault="00B72047">
      <w:pPr>
        <w:pStyle w:val="resumedafterexample"/>
      </w:pPr>
      <w:r>
        <w:rPr>
          <w:rStyle w:val="htmlcodes"/>
        </w:rPr>
        <w:t>&lt;/pre&gt;&lt;p&gt;</w:t>
      </w:r>
      <w:r>
        <w:t>Note: In Lojban, you do not “want money”; you “want to have money” or</w:t>
      </w:r>
      <w:r>
        <w:rPr>
          <w:rStyle w:val="deletedparamark"/>
        </w:rPr>
        <w:t xml:space="preserve"> </w:t>
      </w:r>
      <w:r>
        <w:t>something of the sort, as the x2 place of “djica” demands an event.</w:t>
      </w:r>
      <w:r>
        <w:rPr>
          <w:rStyle w:val="deletedparamark"/>
        </w:rPr>
        <w:t xml:space="preserve"> </w:t>
      </w:r>
      <w:r>
        <w:t>As a result, the straightforward re</w:t>
      </w:r>
      <w:r>
        <w:t>n</w:t>
      </w:r>
      <w:r>
        <w:softHyphen/>
        <w:t xml:space="preserve">dering of </w:t>
      </w:r>
      <w:r>
        <w:rPr>
          <w:rStyle w:val="htmlcodes"/>
        </w:rPr>
        <w:t>&lt;a href=#e4d8&gt;</w:t>
      </w:r>
      <w:r>
        <w:t xml:space="preserve">Example 4.8 </w:t>
      </w:r>
      <w:r>
        <w:rPr>
          <w:rStyle w:val="htmlcodes"/>
        </w:rPr>
        <w:t>&lt;/a&gt;</w:t>
      </w:r>
      <w:r>
        <w:t>without a</w:t>
      </w:r>
      <w:r>
        <w:rPr>
          <w:rStyle w:val="deletedparamark"/>
        </w:rPr>
        <w:t xml:space="preserve"> </w:t>
      </w:r>
      <w:r>
        <w:t>topic is not: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name=e4d10&gt;</w:t>
      </w:r>
      <w:r>
        <w:t>4.10)</w:t>
      </w:r>
      <w:r>
        <w:tab/>
        <w:t>do ponse loi jdini  .inaja do djica ri</w:t>
      </w:r>
    </w:p>
    <w:p w:rsidR="00B72047" w:rsidRDefault="00B72047">
      <w:pPr>
        <w:pStyle w:val="examplescaled"/>
      </w:pPr>
      <w:r>
        <w:tab/>
        <w:t>You possess money only-if you desire its-mere-existence.</w:t>
      </w:r>
    </w:p>
    <w:p w:rsidR="00B72047" w:rsidRDefault="00B72047">
      <w:pPr>
        <w:pStyle w:val="resumedafterexample"/>
      </w:pPr>
      <w:r>
        <w:rPr>
          <w:rStyle w:val="htmlcodes"/>
        </w:rPr>
        <w:t>&lt;/pre&gt;</w:t>
      </w:r>
      <w:r>
        <w:t>where “ri” means “loi jdini” and is interpreted as “the mere existence of</w:t>
      </w:r>
      <w:r>
        <w:rPr>
          <w:rStyle w:val="deletedparamark"/>
        </w:rPr>
        <w:t xml:space="preserve"> </w:t>
      </w:r>
      <w:r>
        <w:t>money”, but rather: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name=e4d11&gt;</w:t>
      </w:r>
      <w:r>
        <w:t>4.11)</w:t>
      </w:r>
      <w:r>
        <w:tab/>
        <w:t>do ponse loi jdini  .inaja do djica tu'a ri</w:t>
      </w:r>
    </w:p>
    <w:p w:rsidR="00B72047" w:rsidRDefault="00B72047">
      <w:pPr>
        <w:pStyle w:val="examplescaled"/>
      </w:pPr>
      <w:r>
        <w:tab/>
        <w:t>You possess money only-if you desire something-about it.</w:t>
      </w:r>
    </w:p>
    <w:p w:rsidR="00B72047" w:rsidRDefault="00B72047">
      <w:pPr>
        <w:pStyle w:val="resumedafterexample"/>
      </w:pPr>
      <w:r>
        <w:rPr>
          <w:rStyle w:val="htmlcodes"/>
        </w:rPr>
        <w:t>&lt;/pre&gt;</w:t>
      </w:r>
      <w:r>
        <w:t>namely, the possession of money. But topic-comment sentences like</w:t>
      </w:r>
      <w:r>
        <w:rPr>
          <w:rStyle w:val="deletedparamark"/>
        </w:rPr>
        <w:t xml:space="preserve"> </w:t>
      </w:r>
      <w:r>
        <w:rPr>
          <w:rStyle w:val="htmlcodes"/>
        </w:rPr>
        <w:t>&lt;a href=#e4d9&gt;</w:t>
      </w:r>
      <w:r>
        <w:t xml:space="preserve">Example 4.9 </w:t>
      </w:r>
      <w:r>
        <w:rPr>
          <w:rStyle w:val="htmlcodes"/>
        </w:rPr>
        <w:t>&lt;/a&gt;</w:t>
      </w:r>
      <w:r>
        <w:t>are in</w:t>
      </w:r>
      <w:r>
        <w:softHyphen/>
        <w:t>herently vague, and this difference between “ponse” (which</w:t>
      </w:r>
      <w:r>
        <w:rPr>
          <w:rStyle w:val="deletedparamark"/>
        </w:rPr>
        <w:t xml:space="preserve"> </w:t>
      </w:r>
      <w:r>
        <w:t xml:space="preserve">expects a physical object in x2) and “djica” is ignored. See </w:t>
      </w:r>
      <w:r>
        <w:rPr>
          <w:rStyle w:val="htmlcodes"/>
        </w:rPr>
        <w:t>&lt;a href=#e9d3&gt;</w:t>
      </w:r>
      <w:r>
        <w:t xml:space="preserve">Example 9.3 </w:t>
      </w:r>
      <w:r>
        <w:rPr>
          <w:rStyle w:val="htmlcodes"/>
        </w:rPr>
        <w:t>&lt;/a&gt;</w:t>
      </w:r>
      <w:r>
        <w:t>for another topic/comment sentence.</w:t>
      </w:r>
    </w:p>
    <w:p w:rsidR="00B72047" w:rsidRDefault="00B72047">
      <w:pPr>
        <w:rPr>
          <w:rStyle w:val="htmlparacode"/>
        </w:rPr>
      </w:pPr>
      <w:r>
        <w:rPr>
          <w:rStyle w:val="htmlparacode"/>
        </w:rPr>
        <w:t>&lt;p&gt;</w:t>
      </w:r>
    </w:p>
    <w:p w:rsidR="00B72047" w:rsidRDefault="00B72047">
      <w:pPr>
        <w:pStyle w:val="normalparagraph"/>
      </w:pPr>
      <w:r>
        <w:t>The subject of an English sentence is often the topic as well, but in</w:t>
      </w:r>
      <w:r>
        <w:rPr>
          <w:rStyle w:val="deletedparamark"/>
        </w:rPr>
        <w:t xml:space="preserve"> </w:t>
      </w:r>
      <w:r>
        <w:t>Lojban the sumti in the x1 place is not necessarily the topic, especially</w:t>
      </w:r>
      <w:r>
        <w:rPr>
          <w:rStyle w:val="deletedparamark"/>
        </w:rPr>
        <w:t xml:space="preserve"> </w:t>
      </w:r>
      <w:r>
        <w:t>if it is the normal (unconverted) x1 for the selbri. Thus Lojban sentences</w:t>
      </w:r>
      <w:r>
        <w:rPr>
          <w:rStyle w:val="deletedparamark"/>
        </w:rPr>
        <w:t xml:space="preserve"> </w:t>
      </w:r>
      <w:r>
        <w:t>don't necessarily have a “subject” in the English sense.</w:t>
      </w:r>
    </w:p>
    <w:p w:rsidR="00B72047" w:rsidRDefault="00B72047">
      <w:pPr>
        <w:rPr>
          <w:rStyle w:val="htmlparacode"/>
        </w:rPr>
      </w:pPr>
      <w:r>
        <w:rPr>
          <w:rStyle w:val="htmlparacode"/>
        </w:rPr>
        <w:t>&lt;p&gt;</w:t>
      </w:r>
    </w:p>
    <w:p w:rsidR="00B72047" w:rsidRDefault="00B72047">
      <w:pPr>
        <w:pStyle w:val="Heading3"/>
        <w:rPr>
          <w:rStyle w:val="Heading3Text"/>
        </w:rPr>
      </w:pPr>
      <w:bookmarkStart w:id="529" w:name="_Toc398970765"/>
      <w:r>
        <w:rPr>
          <w:rStyle w:val="Heading3Text"/>
        </w:rPr>
        <w:t>Questions and answers</w:t>
      </w:r>
      <w:bookmarkEnd w:id="529"/>
      <w:r>
        <w:rPr>
          <w:rStyle w:val="htmlcodes"/>
        </w:rPr>
        <w:t>&lt;/h3&gt;</w:t>
      </w:r>
    </w:p>
    <w:p w:rsidR="00B72047" w:rsidRDefault="00B72047">
      <w:pPr>
        <w:rPr>
          <w:rStyle w:val="htmlparacode"/>
        </w:rPr>
      </w:pPr>
      <w:r>
        <w:rPr>
          <w:rStyle w:val="htmlparacode"/>
        </w:rPr>
        <w:t>&lt;p&gt;</w:t>
      </w:r>
      <w:r>
        <w:rPr>
          <w:rStyle w:val="indexentry"/>
        </w:rPr>
        <w:t>&lt;cx "questions"&gt;</w:t>
      </w:r>
      <w:r>
        <w:rPr>
          <w:rStyle w:val="indexentry"/>
        </w:rPr>
        <w:fldChar w:fldCharType="begin"/>
      </w:r>
      <w:r>
        <w:instrText>xe "</w:instrText>
      </w:r>
      <w:r>
        <w:rPr>
          <w:rStyle w:val="xeentry"/>
        </w:rPr>
        <w:instrText>questions</w:instrText>
      </w:r>
      <w:r>
        <w:instrText>"</w:instrText>
      </w:r>
      <w:r>
        <w:rPr>
          <w:rStyle w:val="indexentry"/>
        </w:rPr>
        <w:fldChar w:fldCharType="end"/>
      </w:r>
      <w:r>
        <w:rPr>
          <w:rStyle w:val="indexentry"/>
        </w:rPr>
        <w:t>&lt;cx "answers"&gt;</w:t>
      </w:r>
      <w:r>
        <w:rPr>
          <w:rStyle w:val="indexentry"/>
        </w:rPr>
        <w:fldChar w:fldCharType="begin"/>
      </w:r>
      <w:r>
        <w:instrText>xe "</w:instrText>
      </w:r>
      <w:r>
        <w:rPr>
          <w:rStyle w:val="xeentry"/>
        </w:rPr>
        <w:instrText>answers</w:instrText>
      </w:r>
      <w:r>
        <w:instrText>"</w:instrText>
      </w:r>
      <w:r>
        <w:rPr>
          <w:rStyle w:val="indexentry"/>
        </w:rPr>
        <w:fldChar w:fldCharType="end"/>
      </w:r>
      <w:r>
        <w:rPr>
          <w:rStyle w:val="htmlcodes"/>
        </w:rPr>
        <w:t>&lt;a name=s5&gt;&lt;h3&gt;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xu</w:t>
      </w:r>
      <w:r>
        <w:tab/>
        <w:t>UI</w:t>
      </w:r>
      <w:r>
        <w:tab/>
        <w:t>truth question</w:t>
      </w:r>
    </w:p>
    <w:p w:rsidR="00B72047" w:rsidRDefault="00B72047">
      <w:pPr>
        <w:pStyle w:val="examplescaled"/>
      </w:pPr>
      <w:r>
        <w:tab/>
        <w:t>ma</w:t>
      </w:r>
      <w:r>
        <w:tab/>
        <w:t>KOhA</w:t>
      </w:r>
      <w:r>
        <w:tab/>
        <w:t>sumti question</w:t>
      </w:r>
    </w:p>
    <w:p w:rsidR="00B72047" w:rsidRDefault="00B72047">
      <w:pPr>
        <w:pStyle w:val="examplescaled"/>
      </w:pPr>
      <w:r>
        <w:tab/>
        <w:t>mo</w:t>
      </w:r>
      <w:r>
        <w:tab/>
        <w:t>GOhA</w:t>
      </w:r>
      <w:r>
        <w:tab/>
        <w:t>bridi question</w:t>
      </w:r>
    </w:p>
    <w:p w:rsidR="00B72047" w:rsidRDefault="00B72047">
      <w:pPr>
        <w:pStyle w:val="examplescaled"/>
      </w:pPr>
      <w:r>
        <w:tab/>
        <w:t>xo</w:t>
      </w:r>
      <w:r>
        <w:tab/>
        <w:t>PA</w:t>
      </w:r>
      <w:r>
        <w:tab/>
        <w:t>number question</w:t>
      </w:r>
    </w:p>
    <w:p w:rsidR="00B72047" w:rsidRDefault="00B72047">
      <w:pPr>
        <w:pStyle w:val="examplescaled"/>
      </w:pPr>
      <w:r>
        <w:tab/>
        <w:t>ji</w:t>
      </w:r>
      <w:r>
        <w:tab/>
        <w:t>A</w:t>
      </w:r>
      <w:r>
        <w:tab/>
        <w:t>sumti connective question</w:t>
      </w:r>
    </w:p>
    <w:p w:rsidR="00B72047" w:rsidRDefault="00B72047">
      <w:pPr>
        <w:pStyle w:val="examplescaled"/>
      </w:pPr>
      <w:r>
        <w:tab/>
        <w:t>ge'i</w:t>
      </w:r>
      <w:r>
        <w:tab/>
        <w:t>GA</w:t>
      </w:r>
      <w:r>
        <w:tab/>
        <w:t>forethought connective question</w:t>
      </w:r>
    </w:p>
    <w:p w:rsidR="00B72047" w:rsidRDefault="00B72047">
      <w:pPr>
        <w:pStyle w:val="examplescaled"/>
      </w:pPr>
      <w:r>
        <w:tab/>
        <w:t>gi'i</w:t>
      </w:r>
      <w:r>
        <w:tab/>
        <w:t>GIhA</w:t>
      </w:r>
      <w:r>
        <w:tab/>
        <w:t>bridi-tail connective question</w:t>
      </w:r>
    </w:p>
    <w:p w:rsidR="00B72047" w:rsidRDefault="00B72047">
      <w:pPr>
        <w:pStyle w:val="examplescaled"/>
      </w:pPr>
      <w:r>
        <w:tab/>
        <w:t>gu'i</w:t>
      </w:r>
      <w:r>
        <w:tab/>
        <w:t>GUhA</w:t>
      </w:r>
      <w:r>
        <w:tab/>
        <w:t>tanru forethought connective question</w:t>
      </w:r>
    </w:p>
    <w:p w:rsidR="00B72047" w:rsidRDefault="00B72047">
      <w:pPr>
        <w:pStyle w:val="examplescaled"/>
      </w:pPr>
      <w:r>
        <w:tab/>
        <w:t>je'i</w:t>
      </w:r>
      <w:r>
        <w:tab/>
        <w:t>JA</w:t>
      </w:r>
      <w:r>
        <w:tab/>
        <w:t>tanru connective question</w:t>
      </w:r>
    </w:p>
    <w:p w:rsidR="00B72047" w:rsidRDefault="00B72047">
      <w:pPr>
        <w:pStyle w:val="examplescaled"/>
      </w:pPr>
      <w:r>
        <w:tab/>
        <w:t>pei</w:t>
      </w:r>
      <w:r>
        <w:tab/>
        <w:t>UI</w:t>
      </w:r>
      <w:r>
        <w:tab/>
        <w:t>attitude question</w:t>
      </w:r>
    </w:p>
    <w:p w:rsidR="00B72047" w:rsidRDefault="00B72047">
      <w:pPr>
        <w:pStyle w:val="examplescaled"/>
      </w:pPr>
      <w:r>
        <w:tab/>
        <w:t>fi'a</w:t>
      </w:r>
      <w:r>
        <w:tab/>
        <w:t>FA</w:t>
      </w:r>
      <w:r>
        <w:tab/>
        <w:t>place structure question</w:t>
      </w:r>
    </w:p>
    <w:p w:rsidR="00B72047" w:rsidRDefault="00B72047">
      <w:pPr>
        <w:pStyle w:val="examplescaled"/>
      </w:pPr>
      <w:r>
        <w:tab/>
        <w:t>cu'e</w:t>
      </w:r>
      <w:r>
        <w:tab/>
        <w:t>CUhE</w:t>
      </w:r>
      <w:r>
        <w:tab/>
        <w:t>tense/modal question</w:t>
      </w:r>
    </w:p>
    <w:p w:rsidR="00B72047" w:rsidRDefault="00B72047">
      <w:pPr>
        <w:pStyle w:val="examplescaled"/>
      </w:pPr>
      <w:r>
        <w:tab/>
        <w:t>pau</w:t>
      </w:r>
      <w:r>
        <w:tab/>
        <w:t>UI</w:t>
      </w:r>
      <w:r>
        <w:tab/>
        <w:t>question premarker</w:t>
      </w:r>
    </w:p>
    <w:p w:rsidR="00B72047" w:rsidRDefault="00B72047">
      <w:pPr>
        <w:pStyle w:val="normalafterexample"/>
      </w:pPr>
      <w:r>
        <w:rPr>
          <w:rStyle w:val="htmlcodes"/>
        </w:rPr>
        <w:t>&lt;/pre&gt;</w:t>
      </w:r>
      <w:r>
        <w:rPr>
          <w:rStyle w:val="indexentry"/>
        </w:rPr>
        <w:t>&lt;cx "questions, truth"&gt;</w:t>
      </w:r>
      <w:r>
        <w:rPr>
          <w:rStyle w:val="indexentry"/>
        </w:rPr>
        <w:fldChar w:fldCharType="begin"/>
      </w:r>
      <w:r>
        <w:instrText>xe "</w:instrText>
      </w:r>
      <w:r>
        <w:rPr>
          <w:rStyle w:val="xeentry"/>
        </w:rPr>
        <w:instrText>questions: truth</w:instrText>
      </w:r>
      <w:r>
        <w:instrText>"</w:instrText>
      </w:r>
      <w:r>
        <w:rPr>
          <w:rStyle w:val="indexentry"/>
        </w:rPr>
        <w:fldChar w:fldCharType="end"/>
      </w:r>
      <w:r>
        <w:rPr>
          <w:rStyle w:val="indexentry"/>
        </w:rPr>
        <w:t>&lt;lx "xu"&gt;</w:t>
      </w:r>
      <w:r>
        <w:rPr>
          <w:rStyle w:val="indexentry"/>
        </w:rPr>
        <w:fldChar w:fldCharType="begin"/>
      </w:r>
      <w:r>
        <w:instrText>xe "</w:instrText>
      </w:r>
      <w:r>
        <w:rPr>
          <w:rStyle w:val="xeentry"/>
        </w:rPr>
        <w:instrText>xu</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Lojban questions are not at all like English questions. There are two</w:t>
      </w:r>
      <w:r>
        <w:rPr>
          <w:rStyle w:val="deletedparamark"/>
        </w:rPr>
        <w:t xml:space="preserve"> </w:t>
      </w:r>
      <w:r>
        <w:t>basic types: truth questions, of the form “Is it true that </w:t>
      </w:r>
      <w:r>
        <w:rPr>
          <w:rStyle w:val="htmlcodes"/>
        </w:rPr>
        <w:t>&lt;dots&gt;</w:t>
      </w:r>
      <w:r>
        <w:t>…</w:t>
      </w:r>
      <w:r>
        <w:rPr>
          <w:rStyle w:val="htmlcodes"/>
        </w:rPr>
        <w:t>&lt;/dots&gt;</w:t>
      </w:r>
      <w:r>
        <w:t>”, and</w:t>
      </w:r>
      <w:r>
        <w:rPr>
          <w:rStyle w:val="deletedparamark"/>
        </w:rPr>
        <w:t xml:space="preserve"> </w:t>
      </w:r>
      <w:r>
        <w:t>fill-in-the-blank questions. Truth questions are marked by preceding</w:t>
      </w:r>
      <w:r>
        <w:rPr>
          <w:rStyle w:val="deletedparamark"/>
        </w:rPr>
        <w:t xml:space="preserve"> </w:t>
      </w:r>
      <w:r>
        <w:t>the bridi, or following any part of it specifi</w:t>
      </w:r>
      <w:r>
        <w:softHyphen/>
        <w:t>cally que</w:t>
      </w:r>
      <w:r>
        <w:t>s</w:t>
      </w:r>
      <w:r>
        <w:softHyphen/>
        <w:t>tioned, with the</w:t>
      </w:r>
      <w:r>
        <w:rPr>
          <w:rStyle w:val="deletedparamark"/>
        </w:rPr>
        <w:t xml:space="preserve"> </w:t>
      </w:r>
      <w:r>
        <w:t>cmavo “xu” (of selma'o UI):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name=e5d1&gt;</w:t>
      </w:r>
      <w:r>
        <w:t>5.1)</w:t>
      </w:r>
      <w:r>
        <w:tab/>
        <w:t>xu do klama le zarci</w:t>
      </w:r>
    </w:p>
    <w:p w:rsidR="00B72047" w:rsidRDefault="00B72047">
      <w:pPr>
        <w:pStyle w:val="examplescaled"/>
      </w:pPr>
      <w:r>
        <w:tab/>
        <w:t>[True or false?] You go to the store</w:t>
      </w:r>
    </w:p>
    <w:p w:rsidR="00B72047" w:rsidRDefault="00B72047">
      <w:pPr>
        <w:pStyle w:val="examplescaled"/>
      </w:pPr>
      <w:r>
        <w:tab/>
        <w:t>Are you going to the store/Did you go to the store?</w:t>
      </w:r>
    </w:p>
    <w:p w:rsidR="00B72047" w:rsidRDefault="00B72047">
      <w:pPr>
        <w:pStyle w:val="resumedafterexample"/>
      </w:pPr>
      <w:r>
        <w:rPr>
          <w:rStyle w:val="htmlcodes"/>
        </w:rPr>
        <w:t>&lt;/pre&gt;</w:t>
      </w:r>
      <w:r>
        <w:t>(Since the Lojban is tenseless, either colloquial translation might be</w:t>
      </w:r>
      <w:r>
        <w:rPr>
          <w:rStyle w:val="deletedparamark"/>
        </w:rPr>
        <w:t xml:space="preserve"> </w:t>
      </w:r>
      <w:r>
        <w:t>correct.) Truth que</w:t>
      </w:r>
      <w:r>
        <w:t>s</w:t>
      </w:r>
      <w:r>
        <w:softHyphen/>
        <w:t xml:space="preserve">tions are further discussed in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rPr>
          <w:rStyle w:val="indexentry"/>
        </w:rPr>
        <w:t>&lt;cx "questions, fill-in-the-blank"&gt;</w:t>
      </w:r>
      <w:r>
        <w:rPr>
          <w:rStyle w:val="indexentry"/>
        </w:rPr>
        <w:fldChar w:fldCharType="begin"/>
      </w:r>
      <w:r>
        <w:instrText>xe "</w:instrText>
      </w:r>
      <w:r>
        <w:rPr>
          <w:rStyle w:val="xeentry"/>
        </w:rPr>
        <w:instrText>questions: fill-in-the-blank</w:instrText>
      </w:r>
      <w:r>
        <w:instrText>"</w:instrText>
      </w:r>
      <w:r>
        <w:rPr>
          <w:rStyle w:val="indexentry"/>
        </w:rPr>
        <w:fldChar w:fldCharType="end"/>
      </w:r>
      <w:r>
        <w:t>Fill-in-the-blank questions have a cmavo representing some Lojban word</w:t>
      </w:r>
      <w:r>
        <w:rPr>
          <w:rStyle w:val="deletedparamark"/>
        </w:rPr>
        <w:t xml:space="preserve"> </w:t>
      </w:r>
      <w:r>
        <w:t>or phrase which is not known to the questioner, and which the answerer</w:t>
      </w:r>
      <w:r>
        <w:rPr>
          <w:rStyle w:val="deletedparamark"/>
        </w:rPr>
        <w:t xml:space="preserve"> </w:t>
      </w:r>
      <w:r>
        <w:t>is to supply. There are a variety of cmavo belonging to different</w:t>
      </w:r>
      <w:r>
        <w:rPr>
          <w:rStyle w:val="deletedparamark"/>
        </w:rPr>
        <w:t xml:space="preserve"> </w:t>
      </w:r>
      <w:r>
        <w:t>selma'o which provide different kinds of blanks.</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"ma"&gt;</w:t>
      </w:r>
      <w:r>
        <w:rPr>
          <w:rStyle w:val="indexentry"/>
        </w:rPr>
        <w:fldChar w:fldCharType="begin"/>
      </w:r>
      <w:r>
        <w:instrText>xe "</w:instrText>
      </w:r>
      <w:r>
        <w:rPr>
          <w:rStyle w:val="xeentry"/>
        </w:rPr>
        <w:instrText>ma</w:instrText>
      </w:r>
      <w:r>
        <w:instrText>"</w:instrText>
      </w:r>
      <w:r>
        <w:rPr>
          <w:rStyle w:val="indexentry"/>
        </w:rPr>
        <w:fldChar w:fldCharType="end"/>
      </w:r>
      <w:r>
        <w:rPr>
          <w:rStyle w:val="indexentry"/>
        </w:rPr>
        <w:t>&lt;lx "KOhA"&gt;</w:t>
      </w:r>
      <w:r>
        <w:rPr>
          <w:rStyle w:val="indexentry"/>
        </w:rPr>
        <w:fldChar w:fldCharType="begin"/>
      </w:r>
      <w:r>
        <w:instrText>xe "</w:instrText>
      </w:r>
      <w:r>
        <w:rPr>
          <w:rStyle w:val="xeentry"/>
        </w:rPr>
        <w:instrText>KOhA selma’o</w:instrText>
      </w:r>
      <w:r>
        <w:instrText>"</w:instrText>
      </w:r>
      <w:r>
        <w:rPr>
          <w:rStyle w:val="indexentry"/>
        </w:rPr>
        <w:fldChar w:fldCharType="end"/>
      </w:r>
      <w:r>
        <w:rPr>
          <w:rStyle w:val="indexentry"/>
        </w:rPr>
        <w:t>&lt;cx "questions, sumti"&gt;</w:t>
      </w:r>
      <w:r>
        <w:rPr>
          <w:rStyle w:val="indexentry"/>
        </w:rPr>
        <w:fldChar w:fldCharType="begin"/>
      </w:r>
      <w:r>
        <w:instrText>xe "</w:instrText>
      </w:r>
      <w:r>
        <w:rPr>
          <w:rStyle w:val="xeentry"/>
        </w:rPr>
        <w:instrText>questions: sumti</w:instrText>
      </w:r>
      <w:r>
        <w:instrText>"</w:instrText>
      </w:r>
      <w:r>
        <w:rPr>
          <w:rStyle w:val="indexentry"/>
        </w:rPr>
        <w:fldChar w:fldCharType="end"/>
      </w:r>
      <w:r>
        <w:t>Where a sumti is not known, a question may be formed with “ma” (of selma'o</w:t>
      </w:r>
      <w:r>
        <w:rPr>
          <w:rStyle w:val="deletedparamark"/>
        </w:rPr>
        <w:t xml:space="preserve"> </w:t>
      </w:r>
      <w:r>
        <w:t>KOhA), which is a kind of pro-sumti: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name=e5d2&gt;</w:t>
      </w:r>
      <w:r>
        <w:t>5.2)</w:t>
      </w:r>
      <w:r>
        <w:tab/>
        <w:t>ma klama le zarci</w:t>
      </w:r>
    </w:p>
    <w:p w:rsidR="00B72047" w:rsidRDefault="00B72047">
      <w:pPr>
        <w:pStyle w:val="examplescaled"/>
      </w:pPr>
      <w:r>
        <w:tab/>
        <w:t>[What sumti?] goes-to the store</w:t>
      </w:r>
    </w:p>
    <w:p w:rsidR="00B72047" w:rsidRDefault="00B72047">
      <w:pPr>
        <w:pStyle w:val="examplescaled"/>
      </w:pPr>
      <w:r>
        <w:tab/>
        <w:t>Who is going to the store?</w:t>
      </w:r>
    </w:p>
    <w:p w:rsidR="00B72047" w:rsidRDefault="00B72047">
      <w:pPr>
        <w:pStyle w:val="resumedafterexample"/>
      </w:pPr>
      <w:r>
        <w:rPr>
          <w:rStyle w:val="htmlcodes"/>
        </w:rPr>
        <w:t>&lt;/pre&gt;&lt;p&gt;</w:t>
      </w:r>
      <w:r>
        <w:t>Of course, the “ma” need not be in the x1 place: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name=e5d3&gt;</w:t>
      </w:r>
      <w:r>
        <w:t>5.3)</w:t>
      </w:r>
      <w:r>
        <w:tab/>
        <w:t>do klama ma</w:t>
      </w:r>
    </w:p>
    <w:p w:rsidR="00B72047" w:rsidRDefault="00B72047">
      <w:pPr>
        <w:pStyle w:val="examplescaled"/>
      </w:pPr>
      <w:r>
        <w:tab/>
        <w:t>You go-to [what sumti?]</w:t>
      </w:r>
    </w:p>
    <w:p w:rsidR="00B72047" w:rsidRDefault="00B72047">
      <w:pPr>
        <w:pStyle w:val="examplescaled"/>
      </w:pPr>
      <w:r>
        <w:tab/>
        <w:t>Where are you going?</w:t>
      </w:r>
    </w:p>
    <w:p w:rsidR="00B72047" w:rsidRDefault="00B72047">
      <w:pPr>
        <w:pStyle w:val="resumedafterexample"/>
        <w:spacing w:before="0"/>
      </w:pPr>
      <w:r>
        <w:rPr>
          <w:rStyle w:val="htmlcodes"/>
          <w:vanish w:val="0"/>
        </w:rPr>
        <w:br w:type="page"/>
      </w:r>
      <w:r>
        <w:rPr>
          <w:rStyle w:val="htmlcodes"/>
        </w:rPr>
        <w:t>&lt;/pre&gt;&lt;p&gt;</w:t>
      </w:r>
      <w:r>
        <w:t>The answer is a simple sumti: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name=e5d4&gt;</w:t>
      </w:r>
      <w:r>
        <w:t>5.4)</w:t>
      </w:r>
      <w:r>
        <w:tab/>
        <w:t>le zarci</w:t>
      </w:r>
    </w:p>
    <w:p w:rsidR="00B72047" w:rsidRDefault="00B72047">
      <w:pPr>
        <w:pStyle w:val="examplescaled"/>
      </w:pPr>
      <w:r>
        <w:tab/>
        <w:t>The store.</w:t>
      </w:r>
    </w:p>
    <w:p w:rsidR="00B72047" w:rsidRDefault="00B72047">
      <w:pPr>
        <w:pStyle w:val="resumedafterexample"/>
      </w:pPr>
      <w:r>
        <w:rPr>
          <w:rStyle w:val="htmlcodes"/>
        </w:rPr>
        <w:t>&lt;/pre&gt;&lt;p&gt;</w:t>
      </w:r>
      <w:r>
        <w:t>A sumti, then, is a legal utterance, although it does not by itself</w:t>
      </w:r>
      <w:r>
        <w:rPr>
          <w:rStyle w:val="deletedparamark"/>
        </w:rPr>
        <w:t xml:space="preserve"> </w:t>
      </w:r>
      <w:r>
        <w:t>constitute a bridi – it does not claim anything, but merely completes</w:t>
      </w:r>
      <w:r>
        <w:rPr>
          <w:rStyle w:val="deletedparamark"/>
        </w:rPr>
        <w:t xml:space="preserve"> </w:t>
      </w:r>
      <w:r>
        <w:t>the open-ended claim of the previous bridi.</w:t>
      </w:r>
    </w:p>
    <w:p w:rsidR="00B72047" w:rsidRDefault="00B72047">
      <w:pPr>
        <w:rPr>
          <w:rStyle w:val="htmlparacode"/>
        </w:rPr>
      </w:pPr>
      <w:r>
        <w:rPr>
          <w:rStyle w:val="htmlparacode"/>
        </w:rPr>
        <w:t>&lt;p&gt;</w:t>
      </w:r>
    </w:p>
    <w:p w:rsidR="00B72047" w:rsidRDefault="00B72047">
      <w:pPr>
        <w:pStyle w:val="normalparagraph"/>
      </w:pPr>
      <w:r>
        <w:rPr>
          <w:rStyle w:val="indexentry"/>
        </w:rPr>
        <w:t>&lt;cx "questions, multiple"&gt;</w:t>
      </w:r>
      <w:r>
        <w:rPr>
          <w:rStyle w:val="indexentry"/>
        </w:rPr>
        <w:fldChar w:fldCharType="begin"/>
      </w:r>
      <w:r>
        <w:instrText>xe "</w:instrText>
      </w:r>
      <w:r>
        <w:rPr>
          <w:rStyle w:val="xeentry"/>
        </w:rPr>
        <w:instrText>questions: multiple</w:instrText>
      </w:r>
      <w:r>
        <w:instrText>"</w:instrText>
      </w:r>
      <w:r>
        <w:rPr>
          <w:rStyle w:val="indexentry"/>
        </w:rPr>
        <w:fldChar w:fldCharType="end"/>
      </w:r>
      <w:r>
        <w:t>There can be two “ma” cmavo in a single question: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name=e5d5&gt;</w:t>
      </w:r>
      <w:r>
        <w:t>5.5)</w:t>
      </w:r>
      <w:r>
        <w:tab/>
        <w:t>ma klama ma</w:t>
      </w:r>
    </w:p>
    <w:p w:rsidR="00B72047" w:rsidRDefault="00B72047">
      <w:pPr>
        <w:pStyle w:val="examplescaled"/>
      </w:pPr>
      <w:r>
        <w:tab/>
        <w:t>Who goes where?</w:t>
      </w:r>
    </w:p>
    <w:p w:rsidR="00B72047" w:rsidRDefault="00B72047">
      <w:pPr>
        <w:pStyle w:val="resumedafterexample"/>
      </w:pPr>
      <w:r>
        <w:rPr>
          <w:rStyle w:val="htmlcodes"/>
        </w:rPr>
        <w:t>&lt;/pre&gt;</w:t>
      </w:r>
      <w:r>
        <w:t>and the answer would be two sumti, which are meant to fill in the two</w:t>
      </w:r>
      <w:r>
        <w:rPr>
          <w:rStyle w:val="deletedparamark"/>
        </w:rPr>
        <w:t xml:space="preserve"> “</w:t>
      </w:r>
      <w:r>
        <w:t>ma” cmavo in order: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name=e5d6&gt;</w:t>
      </w:r>
      <w:r>
        <w:t>5.6)</w:t>
      </w:r>
      <w:r>
        <w:tab/>
        <w:t>mi le zarci</w:t>
      </w:r>
    </w:p>
    <w:p w:rsidR="00B72047" w:rsidRDefault="00B72047">
      <w:pPr>
        <w:pStyle w:val="examplescaled"/>
      </w:pPr>
      <w:r>
        <w:tab/>
        <w:t>I, to the store.</w:t>
      </w:r>
    </w:p>
    <w:p w:rsidR="00B72047" w:rsidRDefault="00B72047">
      <w:pPr>
        <w:pStyle w:val="normalafterexample"/>
      </w:pPr>
      <w:r>
        <w:rPr>
          <w:rStyle w:val="htmlcodes"/>
        </w:rPr>
        <w:t>&lt;/pre&gt;</w:t>
      </w:r>
      <w:r>
        <w:rPr>
          <w:rStyle w:val="indexentry"/>
        </w:rPr>
        <w:t>&lt;lx "fa'u"&gt;</w:t>
      </w:r>
      <w:r>
        <w:rPr>
          <w:rStyle w:val="indexentry"/>
        </w:rPr>
        <w:fldChar w:fldCharType="begin"/>
      </w:r>
      <w:r>
        <w:instrText>xe "</w:instrText>
      </w:r>
      <w:r>
        <w:rPr>
          <w:rStyle w:val="xeentry"/>
        </w:rPr>
        <w:instrText>fa'u</w:instrText>
      </w:r>
      <w:r>
        <w:instrText>"</w:instrText>
      </w:r>
      <w:r>
        <w:rPr>
          <w:rStyle w:val="indexentry"/>
        </w:rPr>
        <w:fldChar w:fldCharType="end"/>
      </w:r>
      <w:r>
        <w:rPr>
          <w:rStyle w:val="indexentry"/>
        </w:rPr>
        <w:t>&lt;lx "JOI"&gt;</w:t>
      </w:r>
      <w:r>
        <w:rPr>
          <w:rStyle w:val="indexentry"/>
        </w:rPr>
        <w:fldChar w:fldCharType="begin"/>
      </w:r>
      <w:r>
        <w:instrText>xe "</w:instrText>
      </w:r>
      <w:r>
        <w:rPr>
          <w:rStyle w:val="xeentry"/>
        </w:rPr>
        <w:instrText>JOI selma’o</w:instrText>
      </w:r>
      <w:r>
        <w:instrText>"</w:instrText>
      </w:r>
      <w:r>
        <w:rPr>
          <w:rStyle w:val="indexentry"/>
        </w:rPr>
        <w:fldChar w:fldCharType="end"/>
      </w:r>
      <w:r>
        <w:t>An even more complex example, depending on the non-logical connective</w:t>
      </w:r>
      <w:r>
        <w:rPr>
          <w:rStyle w:val="deletedparamark"/>
        </w:rPr>
        <w:t xml:space="preserve"> “</w:t>
      </w:r>
      <w:r>
        <w:t>fa'u” (of selma'o JOI), which is like the English “and </w:t>
      </w:r>
      <w:r>
        <w:rPr>
          <w:rStyle w:val="htmlcodes"/>
        </w:rPr>
        <w:t>&lt;dots&gt;</w:t>
      </w:r>
      <w:r>
        <w:t>…</w:t>
      </w:r>
      <w:r>
        <w:rPr>
          <w:rStyle w:val="htmlcodes"/>
        </w:rPr>
        <w:t>&lt;/dots&gt;</w:t>
      </w:r>
      <w:r>
        <w:t>respectively”: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name=e5d7&gt;</w:t>
      </w:r>
      <w:r>
        <w:t>5.7)</w:t>
      </w:r>
      <w:r>
        <w:tab/>
        <w:t>ma fa'u ma klama ma fa'u ma</w:t>
      </w:r>
    </w:p>
    <w:p w:rsidR="00B72047" w:rsidRDefault="00B72047">
      <w:pPr>
        <w:pStyle w:val="examplescaled"/>
      </w:pPr>
      <w:r>
        <w:tab/>
        <w:t>Who and who goes where and where, respectively?</w:t>
      </w:r>
    </w:p>
    <w:p w:rsidR="00B72047" w:rsidRDefault="00B72047">
      <w:pPr>
        <w:pStyle w:val="resumedafterexample"/>
      </w:pPr>
      <w:r>
        <w:rPr>
          <w:rStyle w:val="htmlcodes"/>
        </w:rPr>
        <w:t>&lt;/pre&gt;&lt;p&gt;</w:t>
      </w:r>
      <w:r>
        <w:t>An answer might be</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"Marsha: example"</w:instrText>
      </w:r>
      <w:r>
        <w:rPr>
          <w:rStyle w:val="xeentry"/>
        </w:rPr>
        <w:fldChar w:fldCharType="end"/>
      </w:r>
      <w:r>
        <w:rPr>
          <w:rStyle w:val="htmlcodes"/>
        </w:rPr>
        <w:t>&lt;pre&gt;&lt;a name=e5d8&gt;</w:t>
      </w:r>
      <w:r>
        <w:t>5.8)</w:t>
      </w:r>
      <w:r>
        <w:tab/>
        <w:t>la djan. la marcas. le zarci le briju</w:t>
      </w:r>
    </w:p>
    <w:p w:rsidR="00B72047" w:rsidRDefault="00B72047">
      <w:pPr>
        <w:pStyle w:val="examplescaled"/>
      </w:pPr>
      <w:r>
        <w:tab/>
        <w:t>John, Marsha, the store, the office.</w:t>
      </w:r>
    </w:p>
    <w:p w:rsidR="00B72047" w:rsidRDefault="00B72047">
      <w:pPr>
        <w:pStyle w:val="examplescaled"/>
      </w:pPr>
      <w:r>
        <w:tab/>
        <w:t>John and Marsha go to the store and the office,</w:t>
      </w:r>
    </w:p>
    <w:p w:rsidR="00B72047" w:rsidRDefault="00B72047">
      <w:pPr>
        <w:pStyle w:val="examplescaled"/>
      </w:pPr>
      <w:r>
        <w:tab/>
      </w:r>
      <w:r>
        <w:tab/>
        <w:t>respectively.</w:t>
      </w:r>
    </w:p>
    <w:p w:rsidR="00B72047" w:rsidRDefault="00B72047">
      <w:pPr>
        <w:pStyle w:val="resumedafterexample"/>
      </w:pPr>
      <w:r>
        <w:rPr>
          <w:rStyle w:val="htmlcodes"/>
        </w:rPr>
        <w:t>&lt;/pre&gt;</w:t>
      </w:r>
      <w:r>
        <w:t xml:space="preserve">(Note: A mechanical substitution of </w:t>
      </w:r>
      <w:r>
        <w:rPr>
          <w:rStyle w:val="htmlcodes"/>
        </w:rPr>
        <w:t>&lt;a href=#e5d8&gt;</w:t>
      </w:r>
      <w:r>
        <w:t xml:space="preserve">Example 5.8 </w:t>
      </w:r>
      <w:r>
        <w:rPr>
          <w:rStyle w:val="htmlcodes"/>
        </w:rPr>
        <w:t>&lt;/a&gt;</w:t>
      </w:r>
      <w:r>
        <w:t xml:space="preserve">into </w:t>
      </w:r>
      <w:r>
        <w:rPr>
          <w:rStyle w:val="htmlcodes"/>
        </w:rPr>
        <w:t>&lt;a href=#e5d7&gt;</w:t>
      </w:r>
      <w:r>
        <w:t xml:space="preserve">Example 5.7 </w:t>
      </w:r>
      <w:r>
        <w:rPr>
          <w:rStyle w:val="htmlcodes"/>
        </w:rPr>
        <w:t>&lt;/a&gt;</w:t>
      </w:r>
      <w:r>
        <w:t>produces</w:t>
      </w:r>
      <w:r>
        <w:rPr>
          <w:rStyle w:val="deletedparamark"/>
        </w:rPr>
        <w:t xml:space="preserve"> </w:t>
      </w:r>
      <w:r>
        <w:t>an un</w:t>
      </w:r>
      <w:r>
        <w:softHyphen/>
        <w:t>gram</w:t>
      </w:r>
      <w:r>
        <w:softHyphen/>
        <w:t>matical result, because “* </w:t>
      </w:r>
      <w:r>
        <w:rPr>
          <w:rStyle w:val="htmlcodes"/>
        </w:rPr>
        <w:t>&lt;dots&gt;</w:t>
      </w:r>
      <w:r>
        <w:t>…</w:t>
      </w:r>
      <w:r>
        <w:rPr>
          <w:rStyle w:val="htmlcodes"/>
        </w:rPr>
        <w:t>&lt;/dots&gt;</w:t>
      </w:r>
      <w:r>
        <w:t>le zarci fa'u le briju” is</w:t>
      </w:r>
      <w:r>
        <w:rPr>
          <w:rStyle w:val="deletedparamark"/>
        </w:rPr>
        <w:t xml:space="preserve"> </w:t>
      </w:r>
      <w:r>
        <w:t>ungrammatical Lojban: the first “le zarci” has to be closed with its</w:t>
      </w:r>
      <w:r>
        <w:rPr>
          <w:rStyle w:val="deletedparamark"/>
        </w:rPr>
        <w:t xml:space="preserve"> </w:t>
      </w:r>
      <w:r>
        <w:t xml:space="preserve">proper terminator “ku”, for reasons explained in </w:t>
      </w:r>
      <w:r>
        <w:rPr>
          <w:rStyle w:val="htmlcodes"/>
        </w:rPr>
        <w:t>&lt;a href=chap14.html&gt;</w:t>
      </w:r>
      <w:r>
        <w:t>Chapter 14</w:t>
      </w:r>
      <w:r>
        <w:rPr>
          <w:rStyle w:val="htmlcodes"/>
        </w:rPr>
        <w:t>&lt;/a&gt;</w:t>
      </w:r>
      <w:r>
        <w:t>. This effect</w:t>
      </w:r>
      <w:r>
        <w:rPr>
          <w:rStyle w:val="deletedparamark"/>
        </w:rPr>
        <w:t xml:space="preserve"> </w:t>
      </w:r>
      <w:r>
        <w:t>is not important: Lojban behaves as if all elided terminators have been</w:t>
      </w:r>
      <w:r>
        <w:rPr>
          <w:rStyle w:val="deletedparamark"/>
        </w:rPr>
        <w:t xml:space="preserve"> </w:t>
      </w:r>
      <w:r>
        <w:t>supplied in both question and answer before inserting the latter into</w:t>
      </w:r>
      <w:r>
        <w:rPr>
          <w:rStyle w:val="deletedparamark"/>
        </w:rPr>
        <w:t xml:space="preserve"> </w:t>
      </w:r>
      <w:r>
        <w:t>the for</w:t>
      </w:r>
      <w:r>
        <w:softHyphen/>
        <w:t>mer. The ex</w:t>
      </w:r>
      <w:r>
        <w:softHyphen/>
        <w:t>change is grammatical if question and answer are each</w:t>
      </w:r>
      <w:r>
        <w:rPr>
          <w:rStyle w:val="deletedparamark"/>
        </w:rPr>
        <w:t xml:space="preserve"> </w:t>
      </w:r>
      <w:r>
        <w:t>separately gram</w:t>
      </w:r>
      <w:r>
        <w:softHyphen/>
        <w:t>matical.)</w:t>
      </w:r>
    </w:p>
    <w:p w:rsidR="00B72047" w:rsidRDefault="00B72047">
      <w:pPr>
        <w:rPr>
          <w:rStyle w:val="htmlparacode"/>
        </w:rPr>
      </w:pPr>
      <w:r>
        <w:rPr>
          <w:rStyle w:val="htmlparacode"/>
        </w:rPr>
        <w:t>&lt;p&gt;</w:t>
      </w:r>
    </w:p>
    <w:p w:rsidR="00B72047" w:rsidRDefault="00B72047">
      <w:pPr>
        <w:pStyle w:val="normalparagraph"/>
      </w:pPr>
      <w:r>
        <w:rPr>
          <w:rStyle w:val="indexentry"/>
        </w:rPr>
        <w:t>&lt;lx "mo"&gt;</w:t>
      </w:r>
      <w:r>
        <w:rPr>
          <w:rStyle w:val="indexentry"/>
        </w:rPr>
        <w:fldChar w:fldCharType="begin"/>
      </w:r>
      <w:r>
        <w:instrText>xe "</w:instrText>
      </w:r>
      <w:r>
        <w:rPr>
          <w:rStyle w:val="xeentry"/>
        </w:rPr>
        <w:instrText>mo</w:instrText>
      </w:r>
      <w:r>
        <w:instrText>"</w:instrText>
      </w:r>
      <w:r>
        <w:rPr>
          <w:rStyle w:val="indexentry"/>
        </w:rPr>
        <w:fldChar w:fldCharType="end"/>
      </w:r>
      <w:r>
        <w:rPr>
          <w:rStyle w:val="indexentry"/>
        </w:rPr>
        <w:t>&lt;lx "GOhA"&gt;</w:t>
      </w:r>
      <w:r>
        <w:rPr>
          <w:rStyle w:val="indexentry"/>
        </w:rPr>
        <w:fldChar w:fldCharType="begin"/>
      </w:r>
      <w:r>
        <w:instrText>xe "</w:instrText>
      </w:r>
      <w:r>
        <w:rPr>
          <w:rStyle w:val="xeentry"/>
        </w:rPr>
        <w:instrText>GOhA selma’o</w:instrText>
      </w:r>
      <w:r>
        <w:instrText>"</w:instrText>
      </w:r>
      <w:r>
        <w:rPr>
          <w:rStyle w:val="indexentry"/>
        </w:rPr>
        <w:fldChar w:fldCharType="end"/>
      </w:r>
      <w:r>
        <w:rPr>
          <w:rStyle w:val="indexentry"/>
        </w:rPr>
        <w:t>&lt;cx "questions, selbri"&gt;</w:t>
      </w:r>
      <w:r>
        <w:rPr>
          <w:rStyle w:val="indexentry"/>
        </w:rPr>
        <w:fldChar w:fldCharType="begin"/>
      </w:r>
      <w:r>
        <w:instrText>xe "</w:instrText>
      </w:r>
      <w:r>
        <w:rPr>
          <w:rStyle w:val="xeentry"/>
        </w:rPr>
        <w:instrText>questions: selbri</w:instrText>
      </w:r>
      <w:r>
        <w:instrText>"</w:instrText>
      </w:r>
      <w:r>
        <w:rPr>
          <w:rStyle w:val="indexentry"/>
        </w:rPr>
        <w:fldChar w:fldCharType="end"/>
      </w:r>
      <w:r>
        <w:t>Questions to be answered with a selbri are expressed with “mo” of selma'o</w:t>
      </w:r>
      <w:r>
        <w:rPr>
          <w:rStyle w:val="deletedparamark"/>
        </w:rPr>
        <w:t xml:space="preserve"> </w:t>
      </w:r>
      <w:r>
        <w:t>GOhA, which is a kind of pro-bridi: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name=e5d9&gt;</w:t>
      </w:r>
      <w:r>
        <w:t>5.9)</w:t>
      </w:r>
      <w:r>
        <w:tab/>
        <w:t>la lojban. mo</w:t>
      </w:r>
    </w:p>
    <w:p w:rsidR="00B72047" w:rsidRDefault="00B72047">
      <w:pPr>
        <w:pStyle w:val="examplescaled"/>
      </w:pPr>
      <w:r>
        <w:tab/>
        <w:t>Lojban [what selbri?]</w:t>
      </w:r>
    </w:p>
    <w:p w:rsidR="00B72047" w:rsidRDefault="00B72047">
      <w:pPr>
        <w:pStyle w:val="examplescaled"/>
      </w:pPr>
      <w:r>
        <w:tab/>
        <w:t>What is Lojban?</w:t>
      </w:r>
    </w:p>
    <w:p w:rsidR="00B72047" w:rsidRDefault="00B72047">
      <w:pPr>
        <w:pStyle w:val="resumedafterexample"/>
      </w:pPr>
      <w:r>
        <w:rPr>
          <w:rStyle w:val="htmlcodes"/>
        </w:rPr>
        <w:t>&lt;/pre&gt;</w:t>
      </w:r>
      <w:r>
        <w:rPr>
          <w:rStyle w:val="indexentry"/>
        </w:rPr>
        <w:t>&lt;cx "predicate answers"&gt;</w:t>
      </w:r>
      <w:r>
        <w:rPr>
          <w:rStyle w:val="indexentry"/>
        </w:rPr>
        <w:fldChar w:fldCharType="begin"/>
      </w:r>
      <w:r>
        <w:instrText>xe "</w:instrText>
      </w:r>
      <w:r>
        <w:rPr>
          <w:rStyle w:val="xeentry"/>
        </w:rPr>
        <w:instrText>predicate answers</w:instrText>
      </w:r>
      <w:r>
        <w:instrText>"</w:instrText>
      </w:r>
      <w:r>
        <w:rPr>
          <w:rStyle w:val="indexentry"/>
        </w:rPr>
        <w:fldChar w:fldCharType="end"/>
      </w:r>
      <w:r>
        <w:t>Here the answerer is to supply some predicate which is true of Lojban.</w:t>
      </w:r>
      <w:r>
        <w:rPr>
          <w:rStyle w:val="deletedparamark"/>
        </w:rPr>
        <w:t xml:space="preserve"> </w:t>
      </w:r>
      <w:r>
        <w:t>Such questions are extremely open-ended, due to the enormous range of</w:t>
      </w:r>
      <w:r>
        <w:rPr>
          <w:rStyle w:val="deletedparamark"/>
        </w:rPr>
        <w:t xml:space="preserve"> </w:t>
      </w:r>
      <w:r>
        <w:t>possible predicate answers. The an</w:t>
      </w:r>
      <w:r>
        <w:softHyphen/>
        <w:t>swer might be just a selbri, or</w:t>
      </w:r>
      <w:r>
        <w:rPr>
          <w:rStyle w:val="deletedparamark"/>
        </w:rPr>
        <w:t xml:space="preserve"> </w:t>
      </w:r>
      <w:r>
        <w:t>might be a full bridi, in which case the sumti in the a</w:t>
      </w:r>
      <w:r>
        <w:t>n</w:t>
      </w:r>
      <w:r>
        <w:t>swer override</w:t>
      </w:r>
      <w:r>
        <w:rPr>
          <w:rStyle w:val="deletedparamark"/>
        </w:rPr>
        <w:t xml:space="preserve"> </w:t>
      </w:r>
      <w:r>
        <w:t>those provided by the questioner. To limit the range of a “mo” question,</w:t>
      </w:r>
      <w:r>
        <w:rPr>
          <w:rStyle w:val="deletedparamark"/>
        </w:rPr>
        <w:t xml:space="preserve"> </w:t>
      </w:r>
      <w:r>
        <w:t>make it part of a tanru.</w:t>
      </w:r>
    </w:p>
    <w:p w:rsidR="00B72047" w:rsidRDefault="00B72047">
      <w:pPr>
        <w:rPr>
          <w:rStyle w:val="htmlparacode"/>
        </w:rPr>
      </w:pPr>
      <w:r>
        <w:rPr>
          <w:rStyle w:val="htmlparacode"/>
        </w:rPr>
        <w:t>&lt;p&gt;</w:t>
      </w:r>
    </w:p>
    <w:p w:rsidR="00B72047" w:rsidRDefault="00B72047">
      <w:pPr>
        <w:pStyle w:val="normalparagraph"/>
      </w:pPr>
      <w:r>
        <w:rPr>
          <w:rStyle w:val="indexentry"/>
        </w:rPr>
        <w:t>&lt;cx "questions, number"&gt;</w:t>
      </w:r>
      <w:r>
        <w:rPr>
          <w:rStyle w:val="indexentry"/>
        </w:rPr>
        <w:fldChar w:fldCharType="begin"/>
      </w:r>
      <w:r>
        <w:instrText>xe "</w:instrText>
      </w:r>
      <w:r>
        <w:rPr>
          <w:rStyle w:val="xeentry"/>
        </w:rPr>
        <w:instrText>questions: number</w:instrText>
      </w:r>
      <w:r>
        <w:instrText>"</w:instrText>
      </w:r>
      <w:r>
        <w:rPr>
          <w:rStyle w:val="indexentry"/>
        </w:rPr>
        <w:fldChar w:fldCharType="end"/>
      </w:r>
      <w:r>
        <w:t>Questions about numbers are expressed with “xo” of selma'o PA: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name=e5d10&gt;</w:t>
      </w:r>
      <w:r>
        <w:t>5.10)</w:t>
      </w:r>
      <w:r>
        <w:tab/>
        <w:t>do viska xo prenu</w:t>
      </w:r>
    </w:p>
    <w:p w:rsidR="00B72047" w:rsidRDefault="00B72047">
      <w:pPr>
        <w:pStyle w:val="examplescaled"/>
      </w:pPr>
      <w:r>
        <w:tab/>
        <w:t>You saw [what number?] persons.</w:t>
      </w:r>
    </w:p>
    <w:p w:rsidR="00B72047" w:rsidRDefault="00B72047">
      <w:pPr>
        <w:pStyle w:val="examplescaled"/>
      </w:pPr>
      <w:r>
        <w:tab/>
        <w:t>How many people did you see?</w:t>
      </w:r>
    </w:p>
    <w:p w:rsidR="00B72047" w:rsidRDefault="00B72047">
      <w:pPr>
        <w:pStyle w:val="resumedafterexample"/>
        <w:spacing w:before="0"/>
      </w:pPr>
      <w:r>
        <w:rPr>
          <w:rStyle w:val="htmlcodes"/>
          <w:vanish w:val="0"/>
        </w:rPr>
        <w:br w:type="page"/>
      </w:r>
      <w:r>
        <w:rPr>
          <w:rStyle w:val="htmlcodes"/>
        </w:rPr>
        <w:t>&lt;/pre&gt;&lt;p&gt;</w:t>
      </w:r>
      <w:r>
        <w:t>The answer would be a simple number, another kind of non-bridi utterance: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name=e5d11&gt;</w:t>
      </w:r>
      <w:r>
        <w:t>5.11)</w:t>
      </w:r>
      <w:r>
        <w:tab/>
        <w:t>vomu</w:t>
      </w:r>
    </w:p>
    <w:p w:rsidR="00B72047" w:rsidRDefault="00B72047">
      <w:pPr>
        <w:pStyle w:val="examplescaled"/>
      </w:pPr>
      <w:r>
        <w:tab/>
        <w:t>Forty-five.</w:t>
      </w:r>
    </w:p>
    <w:p w:rsidR="00B72047" w:rsidRDefault="00B72047">
      <w:pPr>
        <w:pStyle w:val="normalafterexample"/>
      </w:pPr>
      <w:r>
        <w:rPr>
          <w:rStyle w:val="htmlcodes"/>
        </w:rPr>
        <w:t>&lt;/pre&gt;&lt;p&gt;</w:t>
      </w:r>
      <w:r>
        <w:t>Fill-in-the-blank questions may also be asked about: logical connectives</w:t>
      </w:r>
      <w:r>
        <w:rPr>
          <w:rStyle w:val="deletedparamark"/>
        </w:rPr>
        <w:t xml:space="preserve"> </w:t>
      </w:r>
      <w:r>
        <w:t>(using cmavo “ji” of A, “ge'i” of GA, “gi'i” of GIhA, “gu'i” of GUhA,</w:t>
      </w:r>
      <w:r>
        <w:rPr>
          <w:rStyle w:val="deletedparamark"/>
        </w:rPr>
        <w:t xml:space="preserve"> </w:t>
      </w:r>
      <w:r>
        <w:t>or “je'i” of JA, and re</w:t>
      </w:r>
      <w:r>
        <w:softHyphen/>
        <w:t>ceiving an ek, gihek, ijek, or ijoik as an answer)</w:t>
      </w:r>
      <w:r>
        <w:rPr>
          <w:rStyle w:val="deletedparamark"/>
        </w:rPr>
        <w:t xml:space="preserve"> </w:t>
      </w:r>
      <w:r>
        <w:t xml:space="preserve">— see </w:t>
      </w:r>
      <w:r>
        <w:rPr>
          <w:rStyle w:val="htmlcodes"/>
        </w:rPr>
        <w:t>&lt;a href=chap14.html&gt;</w:t>
      </w:r>
      <w:r>
        <w:t>Chapter 14</w:t>
      </w:r>
      <w:r>
        <w:rPr>
          <w:rStyle w:val="htmlcodes"/>
        </w:rPr>
        <w:t>&lt;/a&gt;</w:t>
      </w:r>
      <w:r>
        <w:t>; attitudes (using “pei” of UI, and receiving an</w:t>
      </w:r>
      <w:r>
        <w:rPr>
          <w:rStyle w:val="deletedparamark"/>
        </w:rPr>
        <w:t xml:space="preserve"> </w:t>
      </w:r>
      <w:r>
        <w:t xml:space="preserve">attitudinal as an answer) — see </w:t>
      </w:r>
      <w:r>
        <w:rPr>
          <w:rStyle w:val="htmlcodes"/>
        </w:rPr>
        <w:t>&lt;a href=chap13.html&gt;</w:t>
      </w:r>
      <w:r>
        <w:t>Chapter 13</w:t>
      </w:r>
      <w:r>
        <w:rPr>
          <w:rStyle w:val="htmlcodes"/>
        </w:rPr>
        <w:t>&lt;/a&gt;</w:t>
      </w:r>
      <w:r>
        <w:t>; place struc</w:t>
      </w:r>
      <w:r>
        <w:softHyphen/>
        <w:t>tures (using “fi'a”</w:t>
      </w:r>
      <w:r>
        <w:rPr>
          <w:rStyle w:val="deletedparamark"/>
        </w:rPr>
        <w:t xml:space="preserve"> </w:t>
      </w:r>
      <w:r>
        <w:t xml:space="preserve">of FA, and receiving a cmavo of FA as an answer) — see </w:t>
      </w:r>
      <w:r>
        <w:rPr>
          <w:rStyle w:val="htmlcodes"/>
        </w:rPr>
        <w:t>&lt;a href=chap9.html&gt;</w:t>
      </w:r>
      <w:r>
        <w:t>Chapter 9</w:t>
      </w:r>
      <w:r>
        <w:rPr>
          <w:rStyle w:val="htmlcodes"/>
        </w:rPr>
        <w:t>&lt;/a&gt;</w:t>
      </w:r>
      <w:r>
        <w:t>; tenses</w:t>
      </w:r>
      <w:r>
        <w:rPr>
          <w:rStyle w:val="deletedparamark"/>
        </w:rPr>
        <w:t xml:space="preserve"> </w:t>
      </w:r>
      <w:r>
        <w:t>and modals (using “cu'e” of CUhE, and receiving any tense or BAI cmavo as</w:t>
      </w:r>
      <w:r>
        <w:rPr>
          <w:rStyle w:val="deletedparamark"/>
        </w:rPr>
        <w:t xml:space="preserve"> </w:t>
      </w:r>
      <w:r>
        <w:t xml:space="preserve">an answer) — see </w:t>
      </w:r>
      <w:r>
        <w:rPr>
          <w:rStyle w:val="htmlcodes"/>
        </w:rPr>
        <w:t>&lt;a href=chap9.html&gt;</w:t>
      </w:r>
      <w:r>
        <w:t xml:space="preserve">Chapter 9 </w:t>
      </w:r>
      <w:r>
        <w:rPr>
          <w:rStyle w:val="htmlcodes"/>
        </w:rPr>
        <w:t>&lt;/a&gt;</w:t>
      </w:r>
      <w:r>
        <w:t xml:space="preserve">and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normalparagraph"/>
      </w:pPr>
      <w:r>
        <w:t>Questions can be marked by placing “pau” (of selma'o UI) before the</w:t>
      </w:r>
      <w:r>
        <w:rPr>
          <w:rStyle w:val="deletedparamark"/>
        </w:rPr>
        <w:t xml:space="preserve"> </w:t>
      </w:r>
      <w:r>
        <w:t xml:space="preserve">question bridi. See </w:t>
      </w:r>
      <w:r>
        <w:rPr>
          <w:rStyle w:val="htmlcodes"/>
        </w:rPr>
        <w:t>&lt;a href=chap13.html&gt;</w:t>
      </w:r>
      <w:r>
        <w:t xml:space="preserve">Chapter 13 </w:t>
      </w:r>
      <w:r>
        <w:rPr>
          <w:rStyle w:val="htmlcodes"/>
        </w:rPr>
        <w:t>&lt;/a&gt;</w:t>
      </w:r>
      <w:r>
        <w:t>for details.</w:t>
      </w:r>
    </w:p>
    <w:p w:rsidR="00B72047" w:rsidRDefault="00B72047">
      <w:pPr>
        <w:rPr>
          <w:rStyle w:val="htmlparacode"/>
        </w:rPr>
      </w:pPr>
      <w:r>
        <w:rPr>
          <w:rStyle w:val="htmlparacode"/>
        </w:rPr>
        <w:t>&lt;p&gt;</w:t>
      </w:r>
    </w:p>
    <w:p w:rsidR="00B72047" w:rsidRDefault="00B72047">
      <w:pPr>
        <w:pStyle w:val="normalparagraph"/>
      </w:pPr>
      <w:r>
        <w:t>The full list of non-bridi utterances suitable as answers to questions is:</w:t>
      </w:r>
    </w:p>
    <w:p w:rsidR="00B72047" w:rsidRDefault="00B72047">
      <w:pPr>
        <w:ind w:left="720" w:firstLine="720"/>
        <w:rPr>
          <w:rStyle w:val="htmlparacode"/>
        </w:rPr>
      </w:pPr>
      <w:r>
        <w:rPr>
          <w:rStyle w:val="htmlparacode"/>
        </w:rPr>
        <w:t>&lt;p&gt;</w:t>
      </w:r>
    </w:p>
    <w:p w:rsidR="00B72047" w:rsidRDefault="00B72047" w:rsidP="007E67C1">
      <w:pPr>
        <w:pStyle w:val="Listjustified"/>
        <w:numPr>
          <w:ilvl w:val="0"/>
          <w:numId w:val="2"/>
        </w:numPr>
        <w:ind w:left="792" w:hanging="432"/>
      </w:pPr>
      <w:r>
        <w:rPr>
          <w:rStyle w:val="indexentry"/>
        </w:rPr>
        <w:t>&lt;cx "utterances, non-bridi"&gt;</w:t>
      </w:r>
      <w:r>
        <w:rPr>
          <w:rStyle w:val="indexentry"/>
        </w:rPr>
        <w:fldChar w:fldCharType="begin"/>
      </w:r>
      <w:r>
        <w:instrText>xe "</w:instrText>
      </w:r>
      <w:r>
        <w:rPr>
          <w:rStyle w:val="xeentry"/>
        </w:rPr>
        <w:instrText>utterances: non-bridi</w:instrText>
      </w:r>
      <w:r>
        <w:instrText>"</w:instrText>
      </w:r>
      <w:r>
        <w:rPr>
          <w:rStyle w:val="indexentry"/>
        </w:rPr>
        <w:fldChar w:fldCharType="end"/>
      </w:r>
      <w:r>
        <w:rPr>
          <w:rStyle w:val="indexentry"/>
        </w:rPr>
        <w:t>&lt;cx "linked arguments"&gt;</w:t>
      </w:r>
      <w:r>
        <w:rPr>
          <w:rStyle w:val="indexentry"/>
        </w:rPr>
        <w:fldChar w:fldCharType="begin"/>
      </w:r>
      <w:r>
        <w:instrText>xe "</w:instrText>
      </w:r>
      <w:r>
        <w:rPr>
          <w:rStyle w:val="xeentry"/>
        </w:rPr>
        <w:instrText>linked arguments</w:instrText>
      </w:r>
      <w:r>
        <w:instrText>"</w:instrText>
      </w:r>
      <w:r>
        <w:rPr>
          <w:rStyle w:val="indexentry"/>
        </w:rPr>
        <w:fldChar w:fldCharType="end"/>
      </w:r>
      <w:r>
        <w:rPr>
          <w:rStyle w:val="htmlcodes"/>
        </w:rPr>
        <w:t>&lt;dl compact&gt;&lt;dt&gt;&lt;dd&gt;</w:t>
      </w:r>
      <w:r>
        <w:t xml:space="preserve">any number of sumti (with elidable terminator “vau”, see </w:t>
      </w:r>
      <w:r>
        <w:rPr>
          <w:rStyle w:val="htmlcodes"/>
        </w:rPr>
        <w:t>&lt;a href=chap6.html&gt;</w:t>
      </w:r>
      <w:r>
        <w:t>Chapter 6</w:t>
      </w:r>
      <w:r>
        <w:rPr>
          <w:rStyle w:val="htmlcodes"/>
        </w:rPr>
        <w:t>&lt;/a&gt;</w:t>
      </w:r>
      <w:r>
        <w:t>)</w:t>
      </w:r>
    </w:p>
    <w:p w:rsidR="00B72047" w:rsidRDefault="00B72047" w:rsidP="007E67C1">
      <w:pPr>
        <w:pStyle w:val="Listjustified"/>
        <w:numPr>
          <w:ilvl w:val="0"/>
          <w:numId w:val="2"/>
        </w:numPr>
        <w:ind w:left="792" w:hanging="432"/>
      </w:pPr>
      <w:r>
        <w:t xml:space="preserve">an ek or gihek (logical connectives, see </w:t>
      </w:r>
      <w:r>
        <w:rPr>
          <w:rStyle w:val="htmlcodes"/>
        </w:rPr>
        <w:t>&lt;a href=chap14.html&gt;</w:t>
      </w:r>
      <w:r>
        <w:t>Chapter 14</w:t>
      </w:r>
      <w:r>
        <w:rPr>
          <w:rStyle w:val="htmlcodes"/>
        </w:rPr>
        <w:t>&lt;/a&gt;</w:t>
      </w:r>
      <w:r>
        <w:t>)</w:t>
      </w:r>
    </w:p>
    <w:p w:rsidR="00B72047" w:rsidRDefault="00B72047" w:rsidP="007E67C1">
      <w:pPr>
        <w:pStyle w:val="Listjustified"/>
        <w:numPr>
          <w:ilvl w:val="0"/>
          <w:numId w:val="2"/>
        </w:numPr>
        <w:ind w:left="792" w:hanging="432"/>
      </w:pPr>
      <w:r>
        <w:t xml:space="preserve">a number, or any mathematical expression placed in parentheses (see </w:t>
      </w:r>
      <w:r>
        <w:rPr>
          <w:rStyle w:val="htmlcodes"/>
        </w:rPr>
        <w:t>&lt;a href=chap18.html&gt;</w:t>
      </w:r>
      <w:r>
        <w:t>Chapter 18</w:t>
      </w:r>
      <w:r>
        <w:rPr>
          <w:rStyle w:val="htmlcodes"/>
        </w:rPr>
        <w:t>&lt;/a&gt;</w:t>
      </w:r>
      <w:r>
        <w:t>)</w:t>
      </w:r>
    </w:p>
    <w:p w:rsidR="00B72047" w:rsidRDefault="00B72047" w:rsidP="007E67C1">
      <w:pPr>
        <w:pStyle w:val="Listjustified"/>
        <w:numPr>
          <w:ilvl w:val="0"/>
          <w:numId w:val="2"/>
        </w:numPr>
        <w:ind w:left="792" w:hanging="432"/>
      </w:pPr>
      <w:r>
        <w:t>a bare “na” negator (to negate some previously expressed bridi), or corre</w:t>
      </w:r>
      <w:r>
        <w:softHyphen/>
        <w:t xml:space="preserve">sponding “ja'a” affirmer (see </w:t>
      </w:r>
      <w:r>
        <w:rPr>
          <w:rStyle w:val="htmlcodes"/>
        </w:rPr>
        <w:t>&lt;a href=chap15.html&gt;</w:t>
      </w:r>
      <w:r>
        <w:t>Chapter 15</w:t>
      </w:r>
      <w:r>
        <w:rPr>
          <w:rStyle w:val="htmlcodes"/>
        </w:rPr>
        <w:t>&lt;/a&gt;</w:t>
      </w:r>
      <w:r>
        <w:t>)</w:t>
      </w:r>
    </w:p>
    <w:p w:rsidR="00B72047" w:rsidRDefault="00B72047" w:rsidP="007E67C1">
      <w:pPr>
        <w:pStyle w:val="Listjustified"/>
        <w:numPr>
          <w:ilvl w:val="0"/>
          <w:numId w:val="2"/>
        </w:numPr>
        <w:ind w:left="792" w:hanging="432"/>
      </w:pPr>
      <w:r>
        <w:t xml:space="preserve">a relative clause (to modify some previously expressed sumti, see </w:t>
      </w:r>
      <w:r>
        <w:rPr>
          <w:rStyle w:val="htmlcodes"/>
        </w:rPr>
        <w:t>&lt;a href=chap8.html&gt;</w:t>
      </w:r>
      <w:r>
        <w:t>Chapter 8</w:t>
      </w:r>
      <w:r>
        <w:rPr>
          <w:rStyle w:val="htmlcodes"/>
        </w:rPr>
        <w:t>&lt;/a&gt;</w:t>
      </w:r>
      <w:r>
        <w:t>)</w:t>
      </w:r>
    </w:p>
    <w:p w:rsidR="00B72047" w:rsidRDefault="00B72047" w:rsidP="007E67C1">
      <w:pPr>
        <w:pStyle w:val="Listjustified"/>
        <w:numPr>
          <w:ilvl w:val="0"/>
          <w:numId w:val="2"/>
        </w:numPr>
        <w:ind w:left="792" w:hanging="432"/>
      </w:pPr>
      <w:r>
        <w:t xml:space="preserve">a prenex/topic (to modify some previously expressed bridi, see </w:t>
      </w:r>
      <w:r>
        <w:rPr>
          <w:rStyle w:val="htmlcodes"/>
        </w:rPr>
        <w:t>&lt;a href=chap16.html&gt;</w:t>
      </w:r>
      <w:r>
        <w:t>Chapter 16</w:t>
      </w:r>
      <w:r>
        <w:rPr>
          <w:rStyle w:val="htmlcodes"/>
        </w:rPr>
        <w:t>&lt;/a&gt;</w:t>
      </w:r>
      <w:r>
        <w:t>)</w:t>
      </w:r>
    </w:p>
    <w:p w:rsidR="00B72047" w:rsidRDefault="00B72047" w:rsidP="007E67C1">
      <w:pPr>
        <w:pStyle w:val="Listjustified"/>
        <w:numPr>
          <w:ilvl w:val="0"/>
          <w:numId w:val="2"/>
        </w:numPr>
        <w:ind w:left="792" w:hanging="432"/>
      </w:pPr>
      <w:r>
        <w:t>linked arguments (beginning with “be” or “bei” and attached to some pre</w:t>
      </w:r>
      <w:r>
        <w:softHyphen/>
        <w:t xml:space="preserve">viously expressed selbri, often in a description, see </w:t>
      </w:r>
      <w:r>
        <w:rPr>
          <w:rStyle w:val="htmlcodes"/>
        </w:rPr>
        <w:t>&lt;a href=chap5.html&gt;</w:t>
      </w:r>
      <w:r>
        <w:t>Chapter 5</w:t>
      </w:r>
      <w:r>
        <w:rPr>
          <w:rStyle w:val="htmlcodes"/>
        </w:rPr>
        <w:t>&lt;/a&gt;</w:t>
      </w:r>
      <w:r>
        <w:t>)</w:t>
      </w:r>
    </w:p>
    <w:p w:rsidR="00B72047" w:rsidRDefault="00B72047">
      <w:pPr>
        <w:pStyle w:val="resumedafterexample"/>
      </w:pPr>
      <w:r>
        <w:rPr>
          <w:rStyle w:val="htmlcodes"/>
        </w:rPr>
        <w:t>&lt;/dl&gt;&lt;p&gt;</w:t>
      </w:r>
      <w:r>
        <w:t>At the beginning of a text, the following non-bridi are also permitted:</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rPr>
          <w:rStyle w:val="htmlcodes"/>
        </w:rPr>
        <w:t>&lt;dl compact&gt;&lt;dt&gt;&lt;dd&gt;</w:t>
      </w:r>
      <w:r>
        <w:t xml:space="preserve">one or more names (to indicate direct address without “doi”, see </w:t>
      </w:r>
      <w:r>
        <w:rPr>
          <w:rStyle w:val="htmlcodes"/>
        </w:rPr>
        <w:t>&lt;a href=chap6.html&gt;</w:t>
      </w:r>
      <w:r>
        <w:t>Chapter 6</w:t>
      </w:r>
      <w:r>
        <w:rPr>
          <w:rStyle w:val="htmlcodes"/>
        </w:rPr>
        <w:t>&lt;/a&gt;</w:t>
      </w:r>
      <w:r>
        <w:t>)</w:t>
      </w:r>
    </w:p>
    <w:p w:rsidR="00B72047" w:rsidRDefault="00B72047" w:rsidP="007E67C1">
      <w:pPr>
        <w:pStyle w:val="Listjustified"/>
        <w:numPr>
          <w:ilvl w:val="0"/>
          <w:numId w:val="2"/>
        </w:numPr>
        <w:ind w:left="792" w:hanging="432"/>
      </w:pPr>
      <w:r>
        <w:t xml:space="preserve">indicators (to express a prevailing attitude, see </w:t>
      </w:r>
      <w:r>
        <w:rPr>
          <w:rStyle w:val="htmlcodes"/>
        </w:rPr>
        <w:t>&lt;a href=chap13.html&gt;</w:t>
      </w:r>
      <w:r>
        <w:t>Chapter 13</w:t>
      </w:r>
      <w:r>
        <w:rPr>
          <w:rStyle w:val="htmlcodes"/>
        </w:rPr>
        <w:t>&lt;/a&gt;</w:t>
      </w:r>
      <w:r>
        <w:t>)</w:t>
      </w:r>
    </w:p>
    <w:p w:rsidR="00B72047" w:rsidRDefault="00B72047" w:rsidP="007E67C1">
      <w:pPr>
        <w:pStyle w:val="Listjustified"/>
        <w:numPr>
          <w:ilvl w:val="0"/>
          <w:numId w:val="2"/>
        </w:numPr>
        <w:ind w:left="792" w:hanging="432"/>
      </w:pPr>
      <w:r>
        <w:t xml:space="preserve">“nai” (to vaguely negate something or other, see </w:t>
      </w:r>
      <w:r>
        <w:rPr>
          <w:rStyle w:val="htmlcodes"/>
        </w:rPr>
        <w:t>&lt;a href=chap15.html&gt;</w:t>
      </w:r>
      <w:r>
        <w:t>Chapter 15</w:t>
      </w:r>
      <w:r>
        <w:rPr>
          <w:rStyle w:val="htmlcodes"/>
        </w:rPr>
        <w:t>&lt;/a&gt;</w:t>
      </w:r>
      <w:r>
        <w:t>)</w:t>
      </w:r>
    </w:p>
    <w:p w:rsidR="00B72047" w:rsidRDefault="00B72047">
      <w:pPr>
        <w:pStyle w:val="normalafterexample"/>
      </w:pPr>
      <w:r>
        <w:rPr>
          <w:rStyle w:val="htmlcodes"/>
        </w:rPr>
        <w:t>&lt;/dl&gt;&lt;p&gt;</w:t>
      </w:r>
      <w:r>
        <w:t>Where not needed for the expression of answers, most of these are made</w:t>
      </w:r>
      <w:r>
        <w:rPr>
          <w:rStyle w:val="deletedparamark"/>
        </w:rPr>
        <w:t xml:space="preserve"> </w:t>
      </w:r>
      <w:r>
        <w:t>grammatical for pragmatic reasons: people will say them in conversation,</w:t>
      </w:r>
      <w:r>
        <w:rPr>
          <w:rStyle w:val="deletedparamark"/>
        </w:rPr>
        <w:t xml:space="preserve"> </w:t>
      </w:r>
      <w:r>
        <w:t>and there is no reason to rule them out as ungrammatical merely because</w:t>
      </w:r>
      <w:r>
        <w:rPr>
          <w:rStyle w:val="deletedparamark"/>
        </w:rPr>
        <w:t xml:space="preserve"> </w:t>
      </w:r>
      <w:r>
        <w:t>most of them are vague.</w:t>
      </w:r>
    </w:p>
    <w:p w:rsidR="00B72047" w:rsidRDefault="00B72047">
      <w:pPr>
        <w:rPr>
          <w:rStyle w:val="htmlparacode"/>
        </w:rPr>
      </w:pPr>
      <w:r>
        <w:rPr>
          <w:rStyle w:val="htmlparacode"/>
        </w:rPr>
        <w:t>&lt;p&gt;</w:t>
      </w:r>
    </w:p>
    <w:p w:rsidR="00B72047" w:rsidRDefault="00B72047">
      <w:pPr>
        <w:pStyle w:val="Heading3"/>
        <w:rPr>
          <w:rStyle w:val="Heading3Text"/>
        </w:rPr>
      </w:pPr>
      <w:bookmarkStart w:id="530" w:name="_Toc398970766"/>
      <w:r>
        <w:rPr>
          <w:rStyle w:val="Heading3Text"/>
        </w:rPr>
        <w:t>Subscripts: XI</w:t>
      </w:r>
      <w:bookmarkEnd w:id="530"/>
      <w:r>
        <w:rPr>
          <w:rStyle w:val="htmlcodes"/>
        </w:rPr>
        <w:t>&lt;/h3&gt;</w:t>
      </w:r>
    </w:p>
    <w:p w:rsidR="00B72047" w:rsidRDefault="00B72047">
      <w:pPr>
        <w:rPr>
          <w:rStyle w:val="htmlparacode"/>
        </w:rPr>
      </w:pPr>
      <w:r>
        <w:rPr>
          <w:rStyle w:val="htmlparacode"/>
        </w:rPr>
        <w:t>&lt;p&gt;</w:t>
      </w:r>
      <w:r>
        <w:rPr>
          <w:rStyle w:val="indexentry"/>
        </w:rPr>
        <w:t>&lt;cx "subscripts"&gt;</w:t>
      </w:r>
      <w:r>
        <w:rPr>
          <w:rStyle w:val="indexentry"/>
        </w:rPr>
        <w:fldChar w:fldCharType="begin"/>
      </w:r>
      <w:r>
        <w:instrText>xe "</w:instrText>
      </w:r>
      <w:r>
        <w:rPr>
          <w:rStyle w:val="xeentry"/>
        </w:rPr>
        <w:instrText>subscripts</w:instrText>
      </w:r>
      <w:r>
        <w:instrText>"</w:instrText>
      </w:r>
      <w:r>
        <w:rPr>
          <w:rStyle w:val="indexentry"/>
        </w:rPr>
        <w:fldChar w:fldCharType="end"/>
      </w:r>
      <w:r>
        <w:rPr>
          <w:rStyle w:val="htmlcodes"/>
        </w:rPr>
        <w:t>&lt;a name=s6&gt;&lt;h3&gt;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xi</w:t>
      </w:r>
      <w:r>
        <w:tab/>
        <w:t>XI</w:t>
      </w:r>
      <w:r>
        <w:tab/>
        <w:t>subscript</w:t>
      </w:r>
    </w:p>
    <w:p w:rsidR="00B72047" w:rsidRDefault="00B72047">
      <w:pPr>
        <w:pStyle w:val="resumedafterexample"/>
      </w:pPr>
      <w:r>
        <w:rPr>
          <w:rStyle w:val="htmlcodes"/>
        </w:rPr>
        <w:t>&lt;/pre&gt;</w:t>
      </w:r>
      <w:r>
        <w:rPr>
          <w:rStyle w:val="indexentry"/>
        </w:rPr>
        <w:t>&lt;lx "xi"&gt;</w:t>
      </w:r>
      <w:r>
        <w:rPr>
          <w:rStyle w:val="indexentry"/>
        </w:rPr>
        <w:fldChar w:fldCharType="begin"/>
      </w:r>
      <w:r>
        <w:instrText>xe "</w:instrText>
      </w:r>
      <w:r>
        <w:rPr>
          <w:rStyle w:val="xeentry"/>
        </w:rPr>
        <w:instrText>xi</w:instrText>
      </w:r>
      <w:r>
        <w:instrText>"</w:instrText>
      </w:r>
      <w:r>
        <w:rPr>
          <w:rStyle w:val="indexentry"/>
        </w:rPr>
        <w:fldChar w:fldCharType="end"/>
      </w:r>
      <w:r>
        <w:rPr>
          <w:rStyle w:val="indexentry"/>
        </w:rPr>
        <w:t>&lt;lx "XI"&gt;</w:t>
      </w:r>
      <w:r>
        <w:rPr>
          <w:rStyle w:val="indexentry"/>
        </w:rPr>
        <w:fldChar w:fldCharType="begin"/>
      </w:r>
      <w:r>
        <w:instrText>xe "</w:instrText>
      </w:r>
      <w:r>
        <w:rPr>
          <w:rStyle w:val="xeentry"/>
        </w:rPr>
        <w:instrText>XI selma’o</w:instrText>
      </w:r>
      <w:r>
        <w:instrText>"</w:instrText>
      </w:r>
      <w:r>
        <w:rPr>
          <w:rStyle w:val="indexentry"/>
        </w:rPr>
        <w:fldChar w:fldCharType="end"/>
      </w:r>
      <w:r>
        <w:rPr>
          <w:rStyle w:val="indexentry"/>
        </w:rPr>
        <w:t>&lt;cx "subscripting"&gt;</w:t>
      </w:r>
      <w:r>
        <w:rPr>
          <w:rStyle w:val="indexentry"/>
        </w:rPr>
        <w:fldChar w:fldCharType="begin"/>
      </w:r>
      <w:r>
        <w:instrText>xe "</w:instrText>
      </w:r>
      <w:r>
        <w:rPr>
          <w:rStyle w:val="xeentry"/>
        </w:rPr>
        <w:instrText>subscripts: marker</w:instrText>
      </w:r>
      <w:r>
        <w:instrText>"</w:instrText>
      </w:r>
      <w:r>
        <w:rPr>
          <w:rStyle w:val="indexentry"/>
        </w:rPr>
        <w:fldChar w:fldCharType="end"/>
      </w:r>
      <w:r>
        <w:t>The cmavo “xi” (of selma'o XI) indicates that a subscript (a number, a lerfu</w:t>
      </w:r>
      <w:r>
        <w:rPr>
          <w:rStyle w:val="deletedparamark"/>
        </w:rPr>
        <w:t xml:space="preserve"> </w:t>
      </w:r>
      <w:r>
        <w:t>string, or a parenthesized mekso) follows. Subscripts can be attached to</w:t>
      </w:r>
      <w:r>
        <w:rPr>
          <w:rStyle w:val="deletedparamark"/>
        </w:rPr>
        <w:t xml:space="preserve"> </w:t>
      </w:r>
      <w:r>
        <w:t>almost any construction and are placed following the construction (or its</w:t>
      </w:r>
      <w:r>
        <w:rPr>
          <w:rStyle w:val="deletedparamark"/>
        </w:rPr>
        <w:t xml:space="preserve"> </w:t>
      </w:r>
      <w:r>
        <w:t>terminator word, which is generally r</w:t>
      </w:r>
      <w:r>
        <w:t>e</w:t>
      </w:r>
      <w:r>
        <w:softHyphen/>
        <w:t>quired). They are useful either to</w:t>
      </w:r>
      <w:r>
        <w:rPr>
          <w:rStyle w:val="deletedparamark"/>
        </w:rPr>
        <w:t xml:space="preserve"> </w:t>
      </w:r>
      <w:r>
        <w:t>extend the finite cmavo list to infinite length, or to make more refined</w:t>
      </w:r>
      <w:r>
        <w:rPr>
          <w:rStyle w:val="deletedparamark"/>
        </w:rPr>
        <w:t xml:space="preserve"> </w:t>
      </w:r>
      <w:r>
        <w:t>distinctions than the standard cmavo list permits. The remainder of this</w:t>
      </w:r>
      <w:r>
        <w:rPr>
          <w:rStyle w:val="deletedparamark"/>
        </w:rPr>
        <w:t xml:space="preserve"> </w:t>
      </w:r>
      <w:r>
        <w:t>se</w:t>
      </w:r>
      <w:r>
        <w:t>c</w:t>
      </w:r>
      <w:r>
        <w:softHyphen/>
        <w:t>tion mentions some places where subscripts might naturally be used.</w:t>
      </w:r>
    </w:p>
    <w:p w:rsidR="00B72047" w:rsidRDefault="00B72047">
      <w:pPr>
        <w:rPr>
          <w:rStyle w:val="htmlparacode"/>
        </w:rPr>
      </w:pPr>
      <w:r>
        <w:rPr>
          <w:rStyle w:val="htmlparacode"/>
        </w:rPr>
        <w:t>&lt;p&gt;</w:t>
      </w:r>
    </w:p>
    <w:p w:rsidR="00B72047" w:rsidRDefault="00B72047">
      <w:pPr>
        <w:pStyle w:val="normalparagraph"/>
      </w:pPr>
      <w:r>
        <w:t>Lojban gismu have at most five places: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name=e6d1&gt;</w:t>
      </w:r>
      <w:r>
        <w:t>6.1)</w:t>
      </w:r>
      <w:r>
        <w:tab/>
        <w:t>mi cu klama le zarci le zdani le dargu le karce</w:t>
      </w:r>
    </w:p>
    <w:p w:rsidR="00B72047" w:rsidRDefault="00B72047">
      <w:pPr>
        <w:pStyle w:val="examplescaled"/>
      </w:pPr>
      <w:r>
        <w:tab/>
        <w:t>I go to-the market from-the house via-the road using-the car.</w:t>
      </w:r>
    </w:p>
    <w:p w:rsidR="00B72047" w:rsidRDefault="00B72047">
      <w:pPr>
        <w:pStyle w:val="resumedafterexample"/>
      </w:pPr>
      <w:r>
        <w:rPr>
          <w:rStyle w:val="htmlcodes"/>
        </w:rPr>
        <w:t>&lt;/pre&gt;&lt;p&gt;</w:t>
      </w:r>
      <w:r>
        <w:t>Consequently, selma'o SE (which operates on a selbri to change the order</w:t>
      </w:r>
      <w:r>
        <w:rPr>
          <w:rStyle w:val="deletedparamark"/>
        </w:rPr>
        <w:t xml:space="preserve"> </w:t>
      </w:r>
      <w:r>
        <w:t>of its places) and selma'o FA (which provides place number tags for</w:t>
      </w:r>
      <w:r>
        <w:rPr>
          <w:rStyle w:val="deletedparamark"/>
        </w:rPr>
        <w:t xml:space="preserve"> </w:t>
      </w:r>
      <w:r>
        <w:t>individual sumti) have only enough members to handle up to five places.</w:t>
      </w:r>
      <w:r>
        <w:rPr>
          <w:rStyle w:val="deletedparamark"/>
        </w:rPr>
        <w:t xml:space="preserve"> </w:t>
      </w:r>
      <w:r>
        <w:t xml:space="preserve">Conversion of </w:t>
      </w:r>
      <w:r>
        <w:rPr>
          <w:rStyle w:val="htmlcodes"/>
        </w:rPr>
        <w:t>&lt;a href=#e6d1&gt;</w:t>
      </w:r>
      <w:r>
        <w:t>Example 6.1</w:t>
      </w:r>
      <w:r>
        <w:rPr>
          <w:rStyle w:val="htmlcodes"/>
        </w:rPr>
        <w:t>&lt;/a&gt;</w:t>
      </w:r>
      <w:r>
        <w:t>, using “xe” to swap the x1 and x5 places,</w:t>
      </w:r>
      <w:r>
        <w:rPr>
          <w:rStyle w:val="deletedparamark"/>
        </w:rPr>
        <w:t xml:space="preserve"> </w:t>
      </w:r>
      <w:r>
        <w:t>would 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name=e6d2&gt;</w:t>
      </w:r>
      <w:r>
        <w:t>6.2)</w:t>
      </w:r>
      <w:r>
        <w:tab/>
        <w:t>le karce cu xe klama le zarci le zdani le dargu</w:t>
      </w:r>
    </w:p>
    <w:p w:rsidR="00B72047" w:rsidRDefault="00B72047">
      <w:pPr>
        <w:pStyle w:val="examplescaled"/>
        <w:ind w:firstLine="576"/>
      </w:pPr>
      <w:r>
        <w:t>mi</w:t>
      </w:r>
    </w:p>
    <w:p w:rsidR="00B72047" w:rsidRDefault="00B72047">
      <w:pPr>
        <w:pStyle w:val="examplescaled"/>
      </w:pPr>
      <w:r>
        <w:tab/>
        <w:t>The car is-a-transportation-means to-the market from-the house via-the road</w:t>
      </w:r>
    </w:p>
    <w:p w:rsidR="00B72047" w:rsidRDefault="00B72047">
      <w:pPr>
        <w:pStyle w:val="examplescaled"/>
        <w:ind w:firstLine="576"/>
      </w:pPr>
      <w:r>
        <w:t>for-me.</w:t>
      </w:r>
    </w:p>
    <w:p w:rsidR="00B72047" w:rsidRDefault="00B72047">
      <w:pPr>
        <w:pStyle w:val="resumedafterexample"/>
      </w:pPr>
      <w:r>
        <w:rPr>
          <w:rStyle w:val="htmlcodes"/>
        </w:rPr>
        <w:t>&lt;/pre&gt;&lt;p&gt;</w:t>
      </w:r>
      <w:r>
        <w:t>And reordering of the place structures might produce: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name=e6d3&gt;</w:t>
      </w:r>
      <w:r>
        <w:t>6.3)</w:t>
      </w:r>
      <w:r>
        <w:tab/>
        <w:t>fo le dargu fi le zdani fa mi fe le zarci fu le karce cu klama</w:t>
      </w:r>
    </w:p>
    <w:p w:rsidR="00B72047" w:rsidRDefault="00B72047">
      <w:pPr>
        <w:pStyle w:val="examplescaled"/>
      </w:pPr>
      <w:r>
        <w:tab/>
        <w:t>Via the road, from the house, I, to the market, using-the car, go.</w:t>
      </w:r>
    </w:p>
    <w:p w:rsidR="00B72047" w:rsidRDefault="00B72047">
      <w:pPr>
        <w:pStyle w:val="resumedafterexample"/>
      </w:pPr>
      <w:r>
        <w:rPr>
          <w:rStyle w:val="htmlcodes"/>
        </w:rPr>
        <w:t>&lt;/pre&gt;&lt;a href=#e6d{1}&gt;</w:t>
      </w:r>
      <w:r>
        <w:t xml:space="preserve">Examples 6.1 </w:t>
      </w:r>
      <w:r>
        <w:rPr>
          <w:rStyle w:val="htmlcodes"/>
        </w:rPr>
        <w:t>&lt;/a&gt;</w:t>
      </w:r>
      <w:r>
        <w:t xml:space="preserve">to </w:t>
      </w:r>
      <w:r>
        <w:rPr>
          <w:rStyle w:val="htmlcodes"/>
        </w:rPr>
        <w:t>&lt;a href=#e6d3&gt;</w:t>
      </w:r>
      <w:r>
        <w:t xml:space="preserve">6.3 </w:t>
      </w:r>
      <w:r>
        <w:rPr>
          <w:rStyle w:val="htmlcodes"/>
        </w:rPr>
        <w:t>&lt;/a&gt;</w:t>
      </w:r>
      <w:r>
        <w:t>all mean the same thing. But consider the lujvo</w:t>
      </w:r>
      <w:r>
        <w:rPr>
          <w:rStyle w:val="deletedparamark"/>
        </w:rPr>
        <w:t xml:space="preserve"> “</w:t>
      </w:r>
      <w:r>
        <w:t>nunkla”, formed by applying the abstraction operator “nu” to “klama”:</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name=e6d4&gt;</w:t>
      </w:r>
      <w:r>
        <w:t>6.4)</w:t>
      </w:r>
      <w:r>
        <w:tab/>
        <w:t>la'edi'u cu nunkla</w:t>
      </w:r>
    </w:p>
    <w:p w:rsidR="00B72047" w:rsidRDefault="00B72047">
      <w:pPr>
        <w:pStyle w:val="examplescaled"/>
      </w:pPr>
      <w:r>
        <w:tab/>
      </w:r>
      <w:r>
        <w:tab/>
        <w:t>mi le zarci le zdani le dargu le karce</w:t>
      </w:r>
    </w:p>
    <w:p w:rsidR="00B72047" w:rsidRDefault="00B72047">
      <w:pPr>
        <w:pStyle w:val="examplescaled"/>
      </w:pPr>
      <w:r>
        <w:tab/>
        <w:t>The-referent-of-the-previous-sentence is-an-event-of-going</w:t>
      </w:r>
    </w:p>
    <w:p w:rsidR="00B72047" w:rsidRDefault="00B72047">
      <w:pPr>
        <w:pStyle w:val="examplescaled"/>
      </w:pPr>
      <w:r>
        <w:tab/>
      </w:r>
      <w:r>
        <w:tab/>
        <w:t>by-me to-the market from-the house via-the road using-the car.</w:t>
      </w:r>
    </w:p>
    <w:p w:rsidR="00B72047" w:rsidRDefault="00B72047">
      <w:pPr>
        <w:pStyle w:val="resumedafterexample"/>
      </w:pPr>
      <w:r>
        <w:rPr>
          <w:rStyle w:val="htmlcodes"/>
        </w:rPr>
        <w:t>&lt;/pre&gt;</w:t>
      </w:r>
      <w:r>
        <w:rPr>
          <w:rStyle w:val="indexentry"/>
        </w:rPr>
        <w:t>&lt;cx "subscripting, and sumti re-ordering"&gt;</w:t>
      </w:r>
      <w:r>
        <w:rPr>
          <w:rStyle w:val="indexentry"/>
        </w:rPr>
        <w:fldChar w:fldCharType="begin"/>
      </w:r>
      <w:r>
        <w:instrText>xe "</w:instrText>
      </w:r>
      <w:r>
        <w:rPr>
          <w:rStyle w:val="xeentry"/>
        </w:rPr>
        <w:instrText>subscripts: and sumti re-ordering</w:instrText>
      </w:r>
      <w:r>
        <w:instrText>"</w:instrText>
      </w:r>
      <w:r>
        <w:rPr>
          <w:rStyle w:val="indexentry"/>
        </w:rPr>
        <w:fldChar w:fldCharType="end"/>
      </w:r>
      <w:r>
        <w:rPr>
          <w:rStyle w:val="indexentry"/>
        </w:rPr>
        <w:t>&lt;cx "SE, after 5th place"&gt;</w:t>
      </w:r>
      <w:r>
        <w:rPr>
          <w:rStyle w:val="indexentry"/>
        </w:rPr>
        <w:fldChar w:fldCharType="begin"/>
      </w:r>
      <w:r>
        <w:instrText>xe "</w:instrText>
      </w:r>
      <w:r>
        <w:rPr>
          <w:rStyle w:val="xeentry"/>
        </w:rPr>
        <w:instrText>SE selma’o: after 5th place</w:instrText>
      </w:r>
      <w:r>
        <w:instrText>"</w:instrText>
      </w:r>
      <w:r>
        <w:rPr>
          <w:rStyle w:val="indexentry"/>
        </w:rPr>
        <w:fldChar w:fldCharType="end"/>
      </w:r>
      <w:r>
        <w:rPr>
          <w:rStyle w:val="indexentry"/>
        </w:rPr>
        <w:t>&lt;cx "FA, after 5th place"&gt;</w:t>
      </w:r>
      <w:r>
        <w:rPr>
          <w:rStyle w:val="indexentry"/>
        </w:rPr>
        <w:fldChar w:fldCharType="begin"/>
      </w:r>
      <w:r>
        <w:instrText>xe "</w:instrText>
      </w:r>
      <w:r>
        <w:rPr>
          <w:rStyle w:val="xeentry"/>
        </w:rPr>
        <w:instrText>FA selma’o: after 5th place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w:instrText>
      </w:r>
      <w:r>
        <w:instrText>"</w:instrText>
      </w:r>
      <w:r>
        <w:rPr>
          <w:rStyle w:val="indexentry"/>
        </w:rPr>
        <w:fldChar w:fldCharType="end"/>
      </w:r>
      <w:r>
        <w:rPr>
          <w:rStyle w:val="indexentry"/>
        </w:rPr>
        <w:t>&lt;lx "SE"&gt;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htmlcodes"/>
        </w:rPr>
        <w:t>&lt;a href=#e6d4&gt;</w:t>
      </w:r>
      <w:r>
        <w:t xml:space="preserve">Example 6.4 </w:t>
      </w:r>
      <w:r>
        <w:rPr>
          <w:rStyle w:val="htmlcodes"/>
        </w:rPr>
        <w:t>&lt;/a&gt;</w:t>
      </w:r>
      <w:r>
        <w:t>shows that “nunkla” has six places: the five places of “klama”</w:t>
      </w:r>
      <w:r>
        <w:rPr>
          <w:rStyle w:val="deletedparamark"/>
        </w:rPr>
        <w:t xml:space="preserve"> </w:t>
      </w:r>
      <w:r>
        <w:t>plus a new one (placed first) for the event itself. Performing</w:t>
      </w:r>
      <w:r>
        <w:rPr>
          <w:rStyle w:val="deletedparamark"/>
        </w:rPr>
        <w:t xml:space="preserve"> </w:t>
      </w:r>
      <w:r>
        <w:t xml:space="preserve">transformations similar to that of </w:t>
      </w:r>
      <w:r>
        <w:rPr>
          <w:rStyle w:val="htmlcodes"/>
        </w:rPr>
        <w:t>&lt;a href=#e6d2&gt;</w:t>
      </w:r>
      <w:r>
        <w:t>Ex</w:t>
      </w:r>
      <w:r>
        <w:softHyphen/>
        <w:t xml:space="preserve">ample 6.2 </w:t>
      </w:r>
      <w:r>
        <w:rPr>
          <w:rStyle w:val="htmlcodes"/>
        </w:rPr>
        <w:t>&lt;/a&gt;</w:t>
      </w:r>
      <w:r>
        <w:t>requires an additional</w:t>
      </w:r>
      <w:r>
        <w:rPr>
          <w:rStyle w:val="deletedparamark"/>
        </w:rPr>
        <w:t xml:space="preserve"> </w:t>
      </w:r>
      <w:r>
        <w:t>conversion cmavo that exchanges the x1 and x6 places. The solution is</w:t>
      </w:r>
      <w:r>
        <w:rPr>
          <w:rStyle w:val="deletedparamark"/>
        </w:rPr>
        <w:t xml:space="preserve"> </w:t>
      </w:r>
      <w:r>
        <w:t>to use any cmavo of SE with a subscript “6” (see Chapter 19):</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name=e6d5&gt;</w:t>
      </w:r>
      <w:r>
        <w:t>6.5)</w:t>
      </w:r>
      <w:r>
        <w:tab/>
        <w:t>le karce cu sexixa nunkla mi</w:t>
      </w:r>
    </w:p>
    <w:p w:rsidR="00B72047" w:rsidRDefault="00B72047">
      <w:pPr>
        <w:pStyle w:val="examplescaled"/>
      </w:pPr>
      <w:r>
        <w:tab/>
      </w:r>
      <w:r>
        <w:tab/>
        <w:t>le zarci le zdani le dargu la'edi'u</w:t>
      </w:r>
    </w:p>
    <w:p w:rsidR="00B72047" w:rsidRDefault="00B72047">
      <w:pPr>
        <w:pStyle w:val="examplescaled"/>
      </w:pPr>
      <w:r>
        <w:tab/>
        <w:t>The car is-a-transportation-means-in-the-event-of-going by-me</w:t>
      </w:r>
    </w:p>
    <w:p w:rsidR="00B72047" w:rsidRDefault="00B72047">
      <w:pPr>
        <w:pStyle w:val="examplescaled"/>
      </w:pPr>
      <w:r>
        <w:tab/>
      </w:r>
      <w:r>
        <w:tab/>
        <w:t>to-the market via-the road which-is-referred-to-by-the-last-sentence.</w:t>
      </w:r>
    </w:p>
    <w:p w:rsidR="00B72047" w:rsidRDefault="00B72047">
      <w:pPr>
        <w:pStyle w:val="resumedafterexample"/>
      </w:pPr>
      <w:r>
        <w:rPr>
          <w:rStyle w:val="htmlcodes"/>
        </w:rPr>
        <w:t>&lt;/pre&gt;&lt;p&gt;</w:t>
      </w:r>
      <w:r>
        <w:t>Likewise, a sixth place tag can be created by using any cmavo of FA</w:t>
      </w:r>
      <w:r>
        <w:rPr>
          <w:rStyle w:val="deletedparamark"/>
        </w:rPr>
        <w:t xml:space="preserve"> </w:t>
      </w:r>
      <w:r>
        <w:t>with a subscript: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name=e6d6&gt;</w:t>
      </w:r>
      <w:r>
        <w:t>6.6)</w:t>
      </w:r>
      <w:r>
        <w:tab/>
        <w:t xml:space="preserve"> fu le dargu fo le zdani fe mi fa la'edi'u</w:t>
      </w:r>
    </w:p>
    <w:p w:rsidR="00B72047" w:rsidRDefault="00B72047">
      <w:pPr>
        <w:pStyle w:val="examplescaled"/>
      </w:pPr>
      <w:r>
        <w:tab/>
      </w:r>
      <w:r>
        <w:tab/>
        <w:t>fi le zarci faxixa le karce cu klama</w:t>
      </w:r>
    </w:p>
    <w:p w:rsidR="00B72047" w:rsidRDefault="00B72047">
      <w:pPr>
        <w:pStyle w:val="examplescaled"/>
      </w:pPr>
      <w:r>
        <w:tab/>
        <w:t>Via the road, from the house, by me, the-referent-of-the-last-sentence,</w:t>
      </w:r>
    </w:p>
    <w:p w:rsidR="00B72047" w:rsidRDefault="00B72047">
      <w:pPr>
        <w:pStyle w:val="examplescaled"/>
      </w:pPr>
      <w:r>
        <w:tab/>
      </w:r>
      <w:r>
        <w:tab/>
        <w:t>to the market, using the car, is-an-event-of-going.</w:t>
      </w:r>
    </w:p>
    <w:p w:rsidR="00B72047" w:rsidRDefault="00B72047">
      <w:pPr>
        <w:pStyle w:val="resumedafterexample"/>
      </w:pPr>
      <w:r>
        <w:rPr>
          <w:rStyle w:val="htmlcodes"/>
        </w:rPr>
        <w:t>&lt;/pre&gt;&lt;a href=#e6d{4}&gt;</w:t>
      </w:r>
      <w:r>
        <w:t xml:space="preserve">Examples 6.4 </w:t>
      </w:r>
      <w:r>
        <w:rPr>
          <w:rStyle w:val="htmlcodes"/>
        </w:rPr>
        <w:t>&lt;/a&gt;</w:t>
      </w:r>
      <w:r>
        <w:t xml:space="preserve">to </w:t>
      </w:r>
      <w:r>
        <w:rPr>
          <w:rStyle w:val="htmlcodes"/>
        </w:rPr>
        <w:t>&lt;a href=#e6d6&gt;</w:t>
      </w:r>
      <w:r>
        <w:t xml:space="preserve">6.6 </w:t>
      </w:r>
      <w:r>
        <w:rPr>
          <w:rStyle w:val="htmlcodes"/>
        </w:rPr>
        <w:t>&lt;/a&gt;</w:t>
      </w:r>
      <w:r>
        <w:t>also all mean the same thing, and each is derived</w:t>
      </w:r>
      <w:r>
        <w:rPr>
          <w:rStyle w:val="deletedparamark"/>
        </w:rPr>
        <w:t xml:space="preserve"> </w:t>
      </w:r>
      <w:r>
        <w:t>straightforwardly from any of the others, despite the tortured nature</w:t>
      </w:r>
      <w:r>
        <w:rPr>
          <w:rStyle w:val="deletedparamark"/>
        </w:rPr>
        <w:t xml:space="preserve"> </w:t>
      </w:r>
      <w:r>
        <w:t>of the English glosses. In addition, any other member of SE or FA</w:t>
      </w:r>
      <w:r>
        <w:rPr>
          <w:rStyle w:val="deletedparamark"/>
        </w:rPr>
        <w:t xml:space="preserve"> </w:t>
      </w:r>
      <w:r>
        <w:t>could be substituted into “sexixa” and “faxixa” without change of</w:t>
      </w:r>
      <w:r>
        <w:rPr>
          <w:rStyle w:val="deletedparamark"/>
        </w:rPr>
        <w:t xml:space="preserve"> </w:t>
      </w:r>
      <w:r>
        <w:t>meaning: “vexixa” means the same thing as “sexixa”.</w:t>
      </w:r>
    </w:p>
    <w:p w:rsidR="00B72047" w:rsidRDefault="00B72047">
      <w:pPr>
        <w:rPr>
          <w:rStyle w:val="htmlparacode"/>
        </w:rPr>
      </w:pPr>
      <w:r>
        <w:rPr>
          <w:rStyle w:val="htmlparacode"/>
        </w:rPr>
        <w:t>&lt;p&gt;</w:t>
      </w:r>
    </w:p>
    <w:p w:rsidR="00B72047" w:rsidRDefault="00B72047">
      <w:pPr>
        <w:pStyle w:val="normalparagraph"/>
      </w:pPr>
      <w:r>
        <w:rPr>
          <w:rStyle w:val="indexentry"/>
        </w:rPr>
        <w:t>&lt;cx "subscripting, and pro-sumti"&gt;</w:t>
      </w:r>
      <w:r>
        <w:rPr>
          <w:rStyle w:val="indexentry"/>
        </w:rPr>
        <w:fldChar w:fldCharType="begin"/>
      </w:r>
      <w:r>
        <w:instrText>xe "</w:instrText>
      </w:r>
      <w:r>
        <w:rPr>
          <w:rStyle w:val="xeentry"/>
        </w:rPr>
        <w:instrText>subscripts: and pro-sumti</w:instrText>
      </w:r>
      <w:r>
        <w:instrText>"</w:instrText>
      </w:r>
      <w:r>
        <w:rPr>
          <w:rStyle w:val="indexentry"/>
        </w:rPr>
        <w:fldChar w:fldCharType="end"/>
      </w:r>
      <w:r>
        <w:rPr>
          <w:rStyle w:val="indexentry"/>
        </w:rPr>
        <w:t>&lt;cx "da-series, after third"&gt;</w:t>
      </w:r>
      <w:r>
        <w:rPr>
          <w:rStyle w:val="indexentry"/>
        </w:rPr>
        <w:fldChar w:fldCharType="begin"/>
      </w:r>
      <w:r>
        <w:instrText>xe "</w:instrText>
      </w:r>
      <w:r>
        <w:rPr>
          <w:rStyle w:val="xeentry"/>
        </w:rPr>
        <w:instrText>da-series: after third</w:instrText>
      </w:r>
      <w:r>
        <w:instrText>"</w:instrText>
      </w:r>
      <w:r>
        <w:rPr>
          <w:rStyle w:val="indexentry"/>
        </w:rPr>
        <w:fldChar w:fldCharType="end"/>
      </w:r>
      <w:r>
        <w:rPr>
          <w:rStyle w:val="indexentry"/>
        </w:rPr>
        <w:t>&lt;cx "ko'a-series, after tenth"&gt;</w:t>
      </w:r>
      <w:r>
        <w:rPr>
          <w:rStyle w:val="indexentry"/>
        </w:rPr>
        <w:fldChar w:fldCharType="begin"/>
      </w:r>
      <w:r>
        <w:instrText>xe "</w:instrText>
      </w:r>
      <w:r>
        <w:rPr>
          <w:rStyle w:val="xeentry"/>
        </w:rPr>
        <w:instrText>ko'a-series: after tenth</w:instrText>
      </w:r>
      <w:r>
        <w:instrText>"</w:instrText>
      </w:r>
      <w:r>
        <w:rPr>
          <w:rStyle w:val="indexentry"/>
        </w:rPr>
        <w:fldChar w:fldCharType="end"/>
      </w:r>
      <w:r>
        <w:t>Lojban provides two groups of pro-sumti, both belonging to selma'o KOhA.</w:t>
      </w:r>
      <w:r>
        <w:rPr>
          <w:rStyle w:val="deletedparamark"/>
        </w:rPr>
        <w:t xml:space="preserve"> </w:t>
      </w:r>
      <w:r>
        <w:t>The ko'a-series cmavo are used to refer to explicitly specified sumti to</w:t>
      </w:r>
      <w:r>
        <w:rPr>
          <w:rStyle w:val="deletedparamark"/>
        </w:rPr>
        <w:t xml:space="preserve"> </w:t>
      </w:r>
      <w:r>
        <w:t>which they have been bound using “goi”. The da-series, on the other</w:t>
      </w:r>
      <w:r>
        <w:rPr>
          <w:rStyle w:val="deletedparamark"/>
        </w:rPr>
        <w:t xml:space="preserve"> </w:t>
      </w:r>
      <w:r>
        <w:t>hand, are existentially or univer</w:t>
      </w:r>
      <w:r>
        <w:softHyphen/>
        <w:t>sally qua</w:t>
      </w:r>
      <w:r>
        <w:t>n</w:t>
      </w:r>
      <w:r>
        <w:softHyphen/>
        <w:t>tified variables. (These</w:t>
      </w:r>
      <w:r>
        <w:rPr>
          <w:rStyle w:val="deletedparamark"/>
        </w:rPr>
        <w:t xml:space="preserve"> </w:t>
      </w:r>
      <w:r>
        <w:t xml:space="preserve">concepts are explained more fully in </w:t>
      </w:r>
      <w:r>
        <w:rPr>
          <w:rStyle w:val="htmlcodes"/>
        </w:rPr>
        <w:t>&lt;a href=chap16.html&gt;</w:t>
      </w:r>
      <w:r>
        <w:t>Chapter 16</w:t>
      </w:r>
      <w:r>
        <w:rPr>
          <w:rStyle w:val="htmlcodes"/>
        </w:rPr>
        <w:t>&lt;/a&gt;</w:t>
      </w:r>
      <w:r>
        <w:t>.)  There are ten ko'a-series</w:t>
      </w:r>
      <w:r>
        <w:rPr>
          <w:rStyle w:val="deletedparamark"/>
        </w:rPr>
        <w:t xml:space="preserve"> </w:t>
      </w:r>
      <w:r>
        <w:t>cmavo and 3 da-series cmavo available.</w:t>
      </w:r>
    </w:p>
    <w:p w:rsidR="00B72047" w:rsidRDefault="00B72047">
      <w:pPr>
        <w:rPr>
          <w:rStyle w:val="htmlparacode"/>
        </w:rPr>
      </w:pPr>
      <w:r>
        <w:rPr>
          <w:rStyle w:val="htmlparacode"/>
        </w:rPr>
        <w:t>&lt;p&gt;</w:t>
      </w:r>
    </w:p>
    <w:p w:rsidR="00B72047" w:rsidRDefault="00B72047">
      <w:pPr>
        <w:pStyle w:val="normalparagraph"/>
      </w:pPr>
      <w:r>
        <w:rPr>
          <w:rStyle w:val="indexentry"/>
        </w:rPr>
        <w:t>&lt;lx "DA"&gt;</w:t>
      </w:r>
      <w:r>
        <w:rPr>
          <w:rStyle w:val="indexentry"/>
        </w:rPr>
        <w:fldChar w:fldCharType="begin"/>
      </w:r>
      <w:r>
        <w:instrText>xe "</w:instrText>
      </w:r>
      <w:r>
        <w:rPr>
          <w:rStyle w:val="xeentry"/>
        </w:rPr>
        <w:instrText>DA selma’o</w:instrText>
      </w:r>
      <w:r>
        <w:instrText>"</w:instrText>
      </w:r>
      <w:r>
        <w:rPr>
          <w:rStyle w:val="indexentry"/>
        </w:rPr>
        <w:fldChar w:fldCharType="end"/>
      </w:r>
      <w:r>
        <w:rPr>
          <w:rStyle w:val="indexentry"/>
        </w:rPr>
        <w:t>&lt;lx "da"&gt;</w:t>
      </w:r>
      <w:r>
        <w:rPr>
          <w:rStyle w:val="indexentry"/>
        </w:rPr>
        <w:fldChar w:fldCharType="begin"/>
      </w:r>
      <w:r>
        <w:instrText>xe "</w:instrText>
      </w:r>
      <w:r>
        <w:rPr>
          <w:rStyle w:val="xeentry"/>
        </w:rPr>
        <w:instrText>da</w:instrText>
      </w:r>
      <w:r>
        <w:instrText>"</w:instrText>
      </w:r>
      <w:r>
        <w:rPr>
          <w:rStyle w:val="indexentry"/>
        </w:rPr>
        <w:fldChar w:fldCharType="end"/>
      </w:r>
      <w:r>
        <w:t>If more are required, any cmavo of the ko'a-series or the da-series can be</w:t>
      </w:r>
      <w:r>
        <w:rPr>
          <w:rStyle w:val="deletedparamark"/>
        </w:rPr>
        <w:t xml:space="preserve"> </w:t>
      </w:r>
      <w:r>
        <w:t>sub</w:t>
      </w:r>
      <w:r>
        <w:softHyphen/>
        <w:t>scripted: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name=e6d7&gt;</w:t>
      </w:r>
      <w:r>
        <w:t>6.7)</w:t>
      </w:r>
      <w:r>
        <w:tab/>
        <w:t>daxivo</w:t>
      </w:r>
    </w:p>
    <w:p w:rsidR="00B72047" w:rsidRDefault="00B72047">
      <w:pPr>
        <w:pStyle w:val="examplescaled"/>
      </w:pPr>
      <w:r>
        <w:tab/>
        <w:t>X sub 4</w:t>
      </w:r>
    </w:p>
    <w:p w:rsidR="00B72047" w:rsidRDefault="00B72047">
      <w:pPr>
        <w:pStyle w:val="resumedafterexample"/>
      </w:pPr>
      <w:r>
        <w:rPr>
          <w:rStyle w:val="htmlcodes"/>
        </w:rPr>
        <w:t>&lt;/pre&gt;</w:t>
      </w:r>
      <w:r>
        <w:t>is the 4th bound variable of the 1st sequence of the da-series, and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name=e6d8&gt;</w:t>
      </w:r>
      <w:r>
        <w:t>6.8)</w:t>
      </w:r>
      <w:r>
        <w:tab/>
        <w:t>ko'ixipaso</w:t>
      </w:r>
    </w:p>
    <w:p w:rsidR="00B72047" w:rsidRDefault="00B72047">
      <w:pPr>
        <w:pStyle w:val="examplescaled"/>
      </w:pPr>
      <w:r>
        <w:tab/>
        <w:t>something-3 sub 18</w:t>
      </w:r>
    </w:p>
    <w:p w:rsidR="00B72047" w:rsidRDefault="00B72047">
      <w:pPr>
        <w:pStyle w:val="resumedafterexample"/>
      </w:pPr>
      <w:r>
        <w:rPr>
          <w:rStyle w:val="htmlcodes"/>
        </w:rPr>
        <w:t>&lt;/pre&gt;</w:t>
      </w:r>
      <w:r>
        <w:t>is the 18th free variable of the 3rd sequence of the ko'a-series.</w:t>
      </w:r>
      <w:r>
        <w:rPr>
          <w:rStyle w:val="deletedparamark"/>
        </w:rPr>
        <w:t xml:space="preserve"> </w:t>
      </w:r>
      <w:r>
        <w:t>This convention allows 10 sequences of ko'a-type pro-sumti and 3 sequences of</w:t>
      </w:r>
      <w:r>
        <w:rPr>
          <w:rStyle w:val="deletedparamark"/>
        </w:rPr>
        <w:t xml:space="preserve"> </w:t>
      </w:r>
      <w:r>
        <w:t>da-type pro-sumti, each with as many members as needed. Note that “daxivo”</w:t>
      </w:r>
      <w:r>
        <w:rPr>
          <w:rStyle w:val="deletedparamark"/>
        </w:rPr>
        <w:t xml:space="preserve"> </w:t>
      </w:r>
      <w:r>
        <w:t>and “dexivo” are considered to be dis</w:t>
      </w:r>
      <w:r>
        <w:softHyphen/>
        <w:t>tinct pro-sumti, unlike the</w:t>
      </w:r>
      <w:r>
        <w:rPr>
          <w:rStyle w:val="deletedparamark"/>
        </w:rPr>
        <w:t xml:space="preserve"> </w:t>
      </w:r>
      <w:r>
        <w:t>situation with “sexixa” and “vexixa” above. Exactly similar trea</w:t>
      </w:r>
      <w:r>
        <w:t>t</w:t>
      </w:r>
      <w:r>
        <w:softHyphen/>
        <w:t>ment can</w:t>
      </w:r>
      <w:r>
        <w:rPr>
          <w:rStyle w:val="deletedparamark"/>
        </w:rPr>
        <w:t xml:space="preserve"> </w:t>
      </w:r>
      <w:r>
        <w:t>be given to the bu'a-series of selma'o GOhA and to the gismu pro-bridi</w:t>
      </w:r>
      <w:r>
        <w:rPr>
          <w:rStyle w:val="deletedparamark"/>
        </w:rPr>
        <w:t xml:space="preserve"> “</w:t>
      </w:r>
      <w:r>
        <w:t>broda”, “brode”, “brodi”, “brodo”, and “brodu”.</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normalparagraph"/>
      </w:pPr>
      <w:r>
        <w:rPr>
          <w:rStyle w:val="indexentry"/>
        </w:rPr>
        <w:t>&lt;cx "subscripting, mathematical"&gt;</w:t>
      </w:r>
      <w:r>
        <w:rPr>
          <w:rStyle w:val="indexentry"/>
        </w:rPr>
        <w:fldChar w:fldCharType="begin"/>
      </w:r>
      <w:r>
        <w:instrText>xe "</w:instrText>
      </w:r>
      <w:r>
        <w:rPr>
          <w:rStyle w:val="xeentry"/>
        </w:rPr>
        <w:instrText>subscripts: mathematical</w:instrText>
      </w:r>
      <w:r>
        <w:instrText>"</w:instrText>
      </w:r>
      <w:r>
        <w:rPr>
          <w:rStyle w:val="indexentry"/>
        </w:rPr>
        <w:fldChar w:fldCharType="end"/>
      </w:r>
      <w:r>
        <w:t>Subscripts on lerfu words are used in the standard mathematical way to extend</w:t>
      </w:r>
      <w:r>
        <w:rPr>
          <w:rStyle w:val="deletedparamark"/>
        </w:rPr>
        <w:t xml:space="preserve"> </w:t>
      </w:r>
      <w:r>
        <w:t>the number of variables: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name=e6d9&gt;</w:t>
      </w:r>
      <w:r>
        <w:t>6.9)</w:t>
      </w:r>
      <w:r>
        <w:tab/>
        <w:t>li xy.boixipa du li xy.boixire su'i xy.boixici</w:t>
      </w:r>
    </w:p>
    <w:p w:rsidR="00B72047" w:rsidRDefault="00B72047">
      <w:pPr>
        <w:pStyle w:val="examplescaled"/>
      </w:pPr>
      <w:r>
        <w:tab/>
        <w:t>The-number x-sub-1 equals the-number x-sub-2 plus x-sub-3</w:t>
      </w:r>
    </w:p>
    <w:p w:rsidR="00B72047" w:rsidRDefault="00B72047">
      <w:pPr>
        <w:pStyle w:val="examplescaled"/>
        <w:rPr>
          <w:rStyle w:val="math"/>
        </w:rPr>
      </w:pPr>
      <w:r>
        <w:rPr>
          <w:rStyle w:val="math"/>
        </w:rPr>
        <w:tab/>
      </w:r>
      <w:r>
        <w:rPr>
          <w:rStyle w:val="htmlcodes"/>
          <w:i/>
          <w:iCs/>
        </w:rPr>
        <w:t>$</w:t>
      </w:r>
      <w:r>
        <w:rPr>
          <w:rStyle w:val="math"/>
          <w:i/>
          <w:iCs/>
        </w:rPr>
        <w:t>x</w:t>
      </w:r>
      <w:r>
        <w:rPr>
          <w:rStyle w:val="htmlcodes"/>
        </w:rPr>
        <w:t>&lt;sub&gt;</w:t>
      </w:r>
      <w:r>
        <w:rPr>
          <w:rStyle w:val="subscript"/>
        </w:rPr>
        <w:t>1</w:t>
      </w:r>
      <w:r>
        <w:rPr>
          <w:rStyle w:val="htmlcodes"/>
        </w:rPr>
        <w:t>&lt;/sub&gt;</w:t>
      </w:r>
      <w:r>
        <w:rPr>
          <w:rStyle w:val="math"/>
        </w:rPr>
        <w:t xml:space="preserve">  = </w:t>
      </w:r>
      <w:r>
        <w:rPr>
          <w:rStyle w:val="math"/>
          <w:i/>
          <w:iCs/>
        </w:rPr>
        <w:t>x</w:t>
      </w:r>
      <w:r>
        <w:rPr>
          <w:rStyle w:val="htmlcodes"/>
        </w:rPr>
        <w:t>&lt;sub&gt;</w:t>
      </w:r>
      <w:r>
        <w:rPr>
          <w:rStyle w:val="subscript"/>
        </w:rPr>
        <w:t>2</w:t>
      </w:r>
      <w:r>
        <w:rPr>
          <w:rStyle w:val="htmlcodes"/>
        </w:rPr>
        <w:t>&lt;/sub&gt;</w:t>
      </w:r>
      <w:r>
        <w:rPr>
          <w:rStyle w:val="math"/>
        </w:rPr>
        <w:t xml:space="preserve"> + </w:t>
      </w:r>
      <w:r>
        <w:rPr>
          <w:rStyle w:val="math"/>
          <w:i/>
          <w:iCs/>
        </w:rPr>
        <w:t>x</w:t>
      </w:r>
      <w:r>
        <w:rPr>
          <w:rStyle w:val="htmlcodes"/>
        </w:rPr>
        <w:t>&lt;sub&gt;</w:t>
      </w:r>
      <w:r>
        <w:rPr>
          <w:rStyle w:val="subscript"/>
        </w:rPr>
        <w:t>3</w:t>
      </w:r>
      <w:r>
        <w:rPr>
          <w:rStyle w:val="htmlcodes"/>
        </w:rPr>
        <w:t>&lt;/sub&gt;$</w:t>
      </w:r>
    </w:p>
    <w:p w:rsidR="00B72047" w:rsidRDefault="00B72047">
      <w:pPr>
        <w:pStyle w:val="resumedafterexample"/>
      </w:pPr>
      <w:r>
        <w:rPr>
          <w:rStyle w:val="htmlcodes"/>
        </w:rPr>
        <w:t>&lt;/pre&gt;</w:t>
      </w:r>
      <w:r>
        <w:t>and can be used to extend the number of pro-sumti as well, since lerfu</w:t>
      </w:r>
      <w:r>
        <w:rPr>
          <w:rStyle w:val="deletedparamark"/>
        </w:rPr>
        <w:t xml:space="preserve"> </w:t>
      </w:r>
      <w:r>
        <w:t>strings outside mathematical contexts are grammatically and semantically</w:t>
      </w:r>
      <w:r>
        <w:rPr>
          <w:rStyle w:val="deletedparamark"/>
        </w:rPr>
        <w:t xml:space="preserve"> </w:t>
      </w:r>
      <w:r>
        <w:t xml:space="preserve">equivalent to pro-sumti of the ko'a-series. (In </w:t>
      </w:r>
      <w:r>
        <w:rPr>
          <w:rStyle w:val="htmlcodes"/>
        </w:rPr>
        <w:t>&lt;a href=#e6d9&gt;</w:t>
      </w:r>
      <w:r>
        <w:t>Example 6.9</w:t>
      </w:r>
      <w:r>
        <w:rPr>
          <w:rStyle w:val="htmlcodes"/>
        </w:rPr>
        <w:t>&lt;/a&gt;</w:t>
      </w:r>
      <w:r>
        <w:t>, note the</w:t>
      </w:r>
      <w:r>
        <w:rPr>
          <w:rStyle w:val="deletedparamark"/>
        </w:rPr>
        <w:t xml:space="preserve"> </w:t>
      </w:r>
      <w:r>
        <w:t>required terminator “boi” after each “xy.” cmavo; this terminator allows</w:t>
      </w:r>
      <w:r>
        <w:rPr>
          <w:rStyle w:val="deletedparamark"/>
        </w:rPr>
        <w:t xml:space="preserve"> </w:t>
      </w:r>
      <w:r>
        <w:t>the subscript to be attached without ambiguity.)</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normalparagraph"/>
      </w:pPr>
      <w:r>
        <w:rPr>
          <w:rStyle w:val="indexentry"/>
        </w:rPr>
        <w:t>&lt;cx "subscripting, and names"&gt;</w:t>
      </w:r>
      <w:r>
        <w:rPr>
          <w:rStyle w:val="indexentry"/>
        </w:rPr>
        <w:fldChar w:fldCharType="begin"/>
      </w:r>
      <w:r>
        <w:instrText>xe "</w:instrText>
      </w:r>
      <w:r>
        <w:rPr>
          <w:rStyle w:val="xeentry"/>
        </w:rPr>
        <w:instrText>subscripts: and names</w:instrText>
      </w:r>
      <w:r>
        <w:instrText>"</w:instrText>
      </w:r>
      <w:r>
        <w:rPr>
          <w:rStyle w:val="indexentry"/>
        </w:rPr>
        <w:fldChar w:fldCharType="end"/>
      </w:r>
      <w:r>
        <w:t>Names, which are similar to pro-sumti, can also be subscripted to distinguish</w:t>
      </w:r>
      <w:r>
        <w:rPr>
          <w:rStyle w:val="deletedparamark"/>
        </w:rPr>
        <w:t xml:space="preserve"> </w:t>
      </w:r>
      <w:r>
        <w:t>two i</w:t>
      </w:r>
      <w:r>
        <w:t>n</w:t>
      </w:r>
      <w:r>
        <w:softHyphen/>
        <w:t>dividuals with the same name: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name=e6d10&gt;</w:t>
      </w:r>
      <w:r>
        <w:t>6.10)</w:t>
      </w:r>
      <w:r>
        <w:tab/>
        <w:t>la djan. xipa cusku lu mi'enai do li'u la djan. xire</w:t>
      </w:r>
    </w:p>
    <w:p w:rsidR="00B72047" w:rsidRDefault="00B72047">
      <w:pPr>
        <w:pStyle w:val="examplescaled"/>
      </w:pPr>
      <w:r>
        <w:tab/>
        <w:t>John</w:t>
      </w:r>
      <w:r>
        <w:rPr>
          <w:rStyle w:val="htmlcodes"/>
        </w:rPr>
        <w:t>&lt;sub&gt;</w:t>
      </w:r>
      <w:r>
        <w:rPr>
          <w:rStyle w:val="subscript"/>
        </w:rPr>
        <w:t>1</w:t>
      </w:r>
      <w:r>
        <w:rPr>
          <w:rStyle w:val="htmlcodes"/>
        </w:rPr>
        <w:t>&lt;/sub&gt;</w:t>
      </w:r>
      <w:r>
        <w:t xml:space="preserve"> expresses “I-am-not you” to John</w:t>
      </w:r>
      <w:r>
        <w:rPr>
          <w:rStyle w:val="htmlcodes"/>
        </w:rPr>
        <w:t>&lt;sub&gt;</w:t>
      </w:r>
      <w:r>
        <w:rPr>
          <w:rStyle w:val="subscript"/>
        </w:rPr>
        <w:t>2</w:t>
      </w:r>
      <w:r>
        <w:rPr>
          <w:rStyle w:val="htmlcodes"/>
        </w:rPr>
        <w:t>&lt;/sub&gt;</w:t>
      </w:r>
      <w:r>
        <w:t>.</w:t>
      </w:r>
    </w:p>
    <w:p w:rsidR="00B72047" w:rsidRDefault="00B72047">
      <w:pPr>
        <w:pStyle w:val="normalafterexample"/>
      </w:pPr>
      <w:r>
        <w:rPr>
          <w:rStyle w:val="indexentry"/>
        </w:rPr>
        <w:t>&lt;cx "subscripting, and tense"&gt;</w:t>
      </w:r>
      <w:r>
        <w:rPr>
          <w:rStyle w:val="indexentry"/>
        </w:rPr>
        <w:fldChar w:fldCharType="begin"/>
      </w:r>
      <w:r>
        <w:instrText>xe "</w:instrText>
      </w:r>
      <w:r>
        <w:rPr>
          <w:rStyle w:val="xeentry"/>
        </w:rPr>
        <w:instrText>subscripts: and tense</w:instrText>
      </w:r>
      <w:r>
        <w:instrText>"</w:instrText>
      </w:r>
      <w:r>
        <w:rPr>
          <w:rStyle w:val="indexentry"/>
        </w:rPr>
        <w:fldChar w:fldCharType="end"/>
      </w:r>
      <w:r>
        <w:t>Subscripts on tenses allow talking about more than one time or place that</w:t>
      </w:r>
      <w:r>
        <w:rPr>
          <w:rStyle w:val="deletedparamark"/>
        </w:rPr>
        <w:t xml:space="preserve"> </w:t>
      </w:r>
      <w:r>
        <w:t>is de</w:t>
      </w:r>
      <w:r>
        <w:softHyphen/>
        <w:t>scribed by the same general cmavo. For example, “puxipa” could refer to</w:t>
      </w:r>
      <w:r>
        <w:rPr>
          <w:rStyle w:val="deletedparamark"/>
        </w:rPr>
        <w:t xml:space="preserve"> </w:t>
      </w:r>
      <w:r>
        <w:t>one point in the past, and “puxire” a second point (earlier or later).</w:t>
      </w:r>
    </w:p>
    <w:p w:rsidR="00B72047" w:rsidRDefault="00B72047">
      <w:pPr>
        <w:rPr>
          <w:rStyle w:val="htmlparacode"/>
        </w:rPr>
      </w:pPr>
      <w:r>
        <w:rPr>
          <w:rStyle w:val="htmlparacode"/>
        </w:rPr>
        <w:t>&lt;p&gt;</w:t>
      </w:r>
    </w:p>
    <w:p w:rsidR="00B72047" w:rsidRDefault="00B72047">
      <w:pPr>
        <w:rPr>
          <w:rStyle w:val="htmlparacode"/>
        </w:rPr>
      </w:pPr>
      <w:r>
        <w:rPr>
          <w:rStyle w:val="htmlparacode"/>
        </w:rPr>
        <w:t>&lt;p&gt;</w:t>
      </w:r>
    </w:p>
    <w:p w:rsidR="00B72047" w:rsidRDefault="00B72047">
      <w:pPr>
        <w:pStyle w:val="normalparagraph"/>
      </w:pPr>
      <w:r>
        <w:rPr>
          <w:rStyle w:val="indexentry"/>
        </w:rPr>
        <w:t>&lt;cx "subscripting, and fuzzy truths"&gt;</w:t>
      </w:r>
      <w:r>
        <w:rPr>
          <w:rStyle w:val="indexentry"/>
        </w:rPr>
        <w:fldChar w:fldCharType="begin"/>
      </w:r>
      <w:r>
        <w:instrText>xe "</w:instrText>
      </w:r>
      <w:r>
        <w:rPr>
          <w:rStyle w:val="xeentry"/>
        </w:rPr>
        <w:instrText>subscripts: and fuzzy truths</w:instrText>
      </w:r>
      <w:r>
        <w:instrText>"</w:instrText>
      </w:r>
      <w:r>
        <w:rPr>
          <w:rStyle w:val="indexentry"/>
        </w:rPr>
        <w:fldChar w:fldCharType="end"/>
      </w:r>
      <w:r>
        <w:t>You can place a subscript on the word “ja'a”, the bridi affirmative of</w:t>
      </w:r>
      <w:r>
        <w:rPr>
          <w:rStyle w:val="deletedparamark"/>
        </w:rPr>
        <w:t xml:space="preserve"> </w:t>
      </w:r>
      <w:r>
        <w:t>selma'o NA, to express so-called fuzzy truths. The usual machinery for</w:t>
      </w:r>
      <w:r>
        <w:rPr>
          <w:rStyle w:val="deletedparamark"/>
        </w:rPr>
        <w:t xml:space="preserve"> </w:t>
      </w:r>
      <w:r>
        <w:t>fuzzy logic (statements whose truth value is not merely “true” or “false”,</w:t>
      </w:r>
      <w:r>
        <w:rPr>
          <w:rStyle w:val="deletedparamark"/>
        </w:rPr>
        <w:t xml:space="preserve"> </w:t>
      </w:r>
      <w:r>
        <w:t>but is expressed by a number in the range 0 to 1) in Lojban is the</w:t>
      </w:r>
      <w:r>
        <w:rPr>
          <w:rStyle w:val="deletedparamark"/>
        </w:rPr>
        <w:t xml:space="preserve"> </w:t>
      </w:r>
      <w:r>
        <w:t>abstractor “jei”: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name=e6d11&gt;</w:t>
      </w:r>
      <w:r>
        <w:t>6.11)</w:t>
      </w:r>
      <w:r>
        <w:tab/>
        <w:t>li pimu jei mi ganra</w:t>
      </w:r>
    </w:p>
    <w:p w:rsidR="00B72047" w:rsidRDefault="00B72047">
      <w:pPr>
        <w:pStyle w:val="examplescaled"/>
      </w:pPr>
      <w:r>
        <w:tab/>
        <w:t>The-number .5 is-the-truth-value-of my being-broad</w:t>
      </w:r>
    </w:p>
    <w:p w:rsidR="00B72047" w:rsidRDefault="00B72047">
      <w:pPr>
        <w:pStyle w:val="resumedafterexample"/>
      </w:pPr>
      <w:r>
        <w:rPr>
          <w:rStyle w:val="htmlcodes"/>
        </w:rPr>
        <w:t>&lt;/pre&gt;&lt;p&gt;</w:t>
      </w:r>
      <w:r>
        <w:t>However, by convention we can attach a subscript to “ja'a” to indicate</w:t>
      </w:r>
      <w:r>
        <w:rPr>
          <w:rStyle w:val="deletedparamark"/>
        </w:rPr>
        <w:t xml:space="preserve"> </w:t>
      </w:r>
      <w:r>
        <w:t>fuzzy truth (or to “na” if we change the amount):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name=e6d12&gt;</w:t>
      </w:r>
      <w:r>
        <w:t>6.12)</w:t>
      </w:r>
      <w:r>
        <w:tab/>
        <w:t>mi ja'a xipimu ganra</w:t>
      </w:r>
    </w:p>
    <w:p w:rsidR="00B72047" w:rsidRDefault="00B72047">
      <w:pPr>
        <w:pStyle w:val="examplescaled"/>
      </w:pPr>
      <w:r>
        <w:tab/>
        <w:t>I truly-sub-.5 am-broad</w:t>
      </w:r>
    </w:p>
    <w:p w:rsidR="00B72047" w:rsidRDefault="00B72047">
      <w:pPr>
        <w:pStyle w:val="normalafterexample"/>
      </w:pPr>
      <w:r>
        <w:rPr>
          <w:rStyle w:val="htmlcodes"/>
        </w:rPr>
        <w:t>&lt;/pre&gt;</w:t>
      </w:r>
      <w:r>
        <w:rPr>
          <w:rStyle w:val="indexentry"/>
        </w:rPr>
        <w:t>&lt;cx "subscripting, and paragraph separators"&gt;</w:t>
      </w:r>
      <w:r>
        <w:rPr>
          <w:rStyle w:val="indexentry"/>
        </w:rPr>
        <w:fldChar w:fldCharType="begin"/>
      </w:r>
      <w:r>
        <w:instrText>xe "</w:instrText>
      </w:r>
      <w:r>
        <w:rPr>
          <w:rStyle w:val="xeentry"/>
        </w:rPr>
        <w:instrText>subscripts: and paragraph separators</w:instrText>
      </w:r>
      <w:r>
        <w:instrText>"</w:instrText>
      </w:r>
      <w:r>
        <w:rPr>
          <w:rStyle w:val="indexentry"/>
        </w:rPr>
        <w:fldChar w:fldCharType="end"/>
      </w:r>
      <w:r>
        <w:t xml:space="preserve">Finally, as mentioned in </w:t>
      </w:r>
      <w:r>
        <w:rPr>
          <w:rStyle w:val="htmlcodes"/>
        </w:rPr>
        <w:t>&lt;a href=#s2&gt;</w:t>
      </w:r>
      <w:r>
        <w:t>Section 2</w:t>
      </w:r>
      <w:r>
        <w:rPr>
          <w:rStyle w:val="htmlcodes"/>
        </w:rPr>
        <w:t>&lt;/a&gt;</w:t>
      </w:r>
      <w:r>
        <w:t>, “ni'o” and “no'i” cmavo with matching</w:t>
      </w:r>
      <w:r>
        <w:rPr>
          <w:rStyle w:val="deletedparamark"/>
        </w:rPr>
        <w:t xml:space="preserve"> </w:t>
      </w:r>
      <w:r>
        <w:t>sub</w:t>
      </w:r>
      <w:r>
        <w:softHyphen/>
        <w:t>scripts mark the start and the continuation of a given topic respectively.</w:t>
      </w:r>
      <w:r>
        <w:rPr>
          <w:rStyle w:val="deletedparamark"/>
        </w:rPr>
        <w:t xml:space="preserve"> </w:t>
      </w:r>
      <w:r>
        <w:t>Different topics can be assigned to different subscripts.</w:t>
      </w:r>
    </w:p>
    <w:p w:rsidR="00B72047" w:rsidRDefault="00B72047">
      <w:pPr>
        <w:rPr>
          <w:rStyle w:val="htmlparacode"/>
        </w:rPr>
      </w:pPr>
      <w:r>
        <w:rPr>
          <w:rStyle w:val="htmlparacode"/>
        </w:rPr>
        <w:t>&lt;p&gt;</w:t>
      </w:r>
    </w:p>
    <w:p w:rsidR="00B72047" w:rsidRDefault="00B72047">
      <w:pPr>
        <w:pStyle w:val="normalparagraph"/>
      </w:pPr>
      <w:r>
        <w:t>Other uses of subscripts will doubtless be devised in future.</w:t>
      </w:r>
    </w:p>
    <w:p w:rsidR="00B72047" w:rsidRDefault="00B72047">
      <w:pPr>
        <w:rPr>
          <w:rStyle w:val="htmlparacode"/>
        </w:rPr>
      </w:pPr>
      <w:r>
        <w:rPr>
          <w:rStyle w:val="htmlparacode"/>
        </w:rPr>
        <w:t>&lt;p&gt;</w:t>
      </w:r>
    </w:p>
    <w:p w:rsidR="00B72047" w:rsidRDefault="00B72047">
      <w:pPr>
        <w:pStyle w:val="Heading3"/>
        <w:rPr>
          <w:rStyle w:val="Heading3Text"/>
        </w:rPr>
      </w:pPr>
      <w:bookmarkStart w:id="531" w:name="_Toc398970767"/>
      <w:r>
        <w:rPr>
          <w:rStyle w:val="Heading3Text"/>
        </w:rPr>
        <w:t>Utterance ordinals: MAI</w:t>
      </w:r>
      <w:bookmarkEnd w:id="531"/>
      <w:r>
        <w:rPr>
          <w:rStyle w:val="htmlcodes"/>
        </w:rPr>
        <w:t>&lt;/h3&gt;</w:t>
      </w:r>
    </w:p>
    <w:p w:rsidR="00B72047" w:rsidRDefault="00B72047">
      <w:pPr>
        <w:rPr>
          <w:rStyle w:val="htmlparacode"/>
        </w:rPr>
      </w:pPr>
      <w:r>
        <w:rPr>
          <w:rStyle w:val="htmlparacode"/>
        </w:rPr>
        <w:t>&lt;p&gt;</w:t>
      </w:r>
      <w:r>
        <w:rPr>
          <w:rStyle w:val="indexentry"/>
        </w:rPr>
        <w:t>&lt;cx "ordinals, utterance"&gt;</w:t>
      </w:r>
      <w:r>
        <w:rPr>
          <w:rStyle w:val="indexentry"/>
        </w:rPr>
        <w:fldChar w:fldCharType="begin"/>
      </w:r>
      <w:r>
        <w:instrText>xe "</w:instrText>
      </w:r>
      <w:r>
        <w:rPr>
          <w:rStyle w:val="xeentry"/>
        </w:rPr>
        <w:instrText>ordinals: utterance</w:instrText>
      </w:r>
      <w:r>
        <w:instrText>"</w:instrText>
      </w:r>
      <w:r>
        <w:rPr>
          <w:rStyle w:val="indexentry"/>
        </w:rPr>
        <w:fldChar w:fldCharType="end"/>
      </w:r>
      <w:r>
        <w:rPr>
          <w:rStyle w:val="htmlcodes"/>
        </w:rPr>
        <w:t>&lt;a name=s7&gt;&lt;h3&gt;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mai</w:t>
      </w:r>
      <w:r>
        <w:tab/>
        <w:t>MAI</w:t>
      </w:r>
      <w:r>
        <w:tab/>
        <w:t>utterance ordinal, -thly</w:t>
      </w:r>
    </w:p>
    <w:p w:rsidR="00B72047" w:rsidRDefault="00B72047">
      <w:pPr>
        <w:pStyle w:val="examplescaled"/>
      </w:pPr>
      <w:r>
        <w:tab/>
        <w:t>mo'o</w:t>
      </w:r>
      <w:r>
        <w:tab/>
        <w:t>MAI</w:t>
      </w:r>
      <w:r>
        <w:tab/>
        <w:t>higher order utterance ordinal</w:t>
      </w:r>
    </w:p>
    <w:p w:rsidR="00B72047" w:rsidRDefault="00B72047">
      <w:pPr>
        <w:pStyle w:val="normalafterexample"/>
      </w:pPr>
      <w:r>
        <w:rPr>
          <w:rStyle w:val="htmlcodes"/>
        </w:rPr>
        <w:t>&lt;/pre&gt;</w:t>
      </w:r>
      <w:r>
        <w:rPr>
          <w:rStyle w:val="indexentry"/>
        </w:rPr>
        <w:t>&lt;lx "mai"&gt;</w:t>
      </w:r>
      <w:r>
        <w:rPr>
          <w:rStyle w:val="indexentry"/>
        </w:rPr>
        <w:fldChar w:fldCharType="begin"/>
      </w:r>
      <w:r>
        <w:instrText>xe "</w:instrText>
      </w:r>
      <w:r>
        <w:rPr>
          <w:rStyle w:val="xeentry"/>
        </w:rPr>
        <w:instrText>mai</w:instrText>
      </w:r>
      <w:r>
        <w:instrText>"</w:instrText>
      </w:r>
      <w:r>
        <w:rPr>
          <w:rStyle w:val="indexentry"/>
        </w:rPr>
        <w:fldChar w:fldCharType="end"/>
      </w:r>
      <w:r>
        <w:rPr>
          <w:rStyle w:val="indexentry"/>
        </w:rPr>
        <w:t>&lt;lx "mo'o"&gt;</w:t>
      </w:r>
      <w:r>
        <w:rPr>
          <w:rStyle w:val="indexentry"/>
        </w:rPr>
        <w:fldChar w:fldCharType="begin"/>
      </w:r>
      <w:r>
        <w:instrText>xe "</w:instrText>
      </w:r>
      <w:r>
        <w:rPr>
          <w:rStyle w:val="xeentry"/>
        </w:rPr>
        <w:instrText>mo'o</w:instrText>
      </w:r>
      <w:r>
        <w:instrText>"</w:instrText>
      </w:r>
      <w:r>
        <w:rPr>
          <w:rStyle w:val="indexentry"/>
        </w:rPr>
        <w:fldChar w:fldCharType="end"/>
      </w:r>
      <w:r>
        <w:rPr>
          <w:rStyle w:val="indexentry"/>
        </w:rPr>
        <w:t>&lt;lx "MAI"&gt;</w:t>
      </w:r>
      <w:r>
        <w:rPr>
          <w:rStyle w:val="indexentry"/>
        </w:rPr>
        <w:fldChar w:fldCharType="begin"/>
      </w:r>
      <w:r>
        <w:instrText>xe "</w:instrText>
      </w:r>
      <w:r>
        <w:rPr>
          <w:rStyle w:val="xeentry"/>
        </w:rPr>
        <w:instrText>MAI selma’o</w:instrText>
      </w:r>
      <w:r>
        <w:instrText>"</w:instrText>
      </w:r>
      <w:r>
        <w:rPr>
          <w:rStyle w:val="indexentry"/>
        </w:rPr>
        <w:fldChar w:fldCharType="end"/>
      </w:r>
      <w:r>
        <w:t>Numerical free modifiers, corresponding to English “firstly”, “secondly”,</w:t>
      </w:r>
      <w:r>
        <w:rPr>
          <w:rStyle w:val="deletedparamark"/>
        </w:rPr>
        <w:t xml:space="preserve"> </w:t>
      </w:r>
      <w:r>
        <w:t>and so on, can be created by suffixing “mai” or “mo'o” of selma'o MAI to a</w:t>
      </w:r>
      <w:r>
        <w:rPr>
          <w:rStyle w:val="deletedparamark"/>
        </w:rPr>
        <w:t xml:space="preserve"> </w:t>
      </w:r>
      <w:r>
        <w:t>number or a lerfu string. Here are some examples: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name=e7d1&gt;</w:t>
      </w:r>
      <w:r>
        <w:t>7.1)</w:t>
      </w:r>
      <w:r>
        <w:tab/>
        <w:t>mi klama pamai le zarci .e remai le zdani</w:t>
      </w:r>
    </w:p>
    <w:p w:rsidR="00B72047" w:rsidRDefault="00B72047">
      <w:pPr>
        <w:pStyle w:val="examplescaled"/>
      </w:pPr>
      <w:r>
        <w:tab/>
        <w:t>I go-to (firstly) the store and (secondly) the market.</w:t>
      </w:r>
    </w:p>
    <w:p w:rsidR="00B72047" w:rsidRDefault="00B72047">
      <w:pPr>
        <w:pStyle w:val="resumedafterexample"/>
      </w:pPr>
      <w:r>
        <w:rPr>
          <w:rStyle w:val="htmlcodes"/>
        </w:rPr>
        <w:t>&lt;/pre&gt;&lt;p&gt;</w:t>
      </w:r>
      <w:r>
        <w:t>This does not imply that I go to the store before I go to the market:</w:t>
      </w:r>
      <w:r>
        <w:rPr>
          <w:rStyle w:val="deletedparamark"/>
        </w:rPr>
        <w:t xml:space="preserve"> </w:t>
      </w:r>
      <w:r>
        <w:t>that meaning re</w:t>
      </w:r>
      <w:r>
        <w:softHyphen/>
        <w:t>quires a tense. The sumti are simply numbered for</w:t>
      </w:r>
      <w:r>
        <w:rPr>
          <w:rStyle w:val="deletedparamark"/>
        </w:rPr>
        <w:t xml:space="preserve"> </w:t>
      </w:r>
      <w:r>
        <w:t>convenience of reference. Like other free modifiers, the utterance</w:t>
      </w:r>
      <w:r>
        <w:rPr>
          <w:rStyle w:val="deletedparamark"/>
        </w:rPr>
        <w:t xml:space="preserve"> </w:t>
      </w:r>
      <w:r>
        <w:t>ordinals can be inserted almost anywhere in a sentence without affecting</w:t>
      </w:r>
      <w:r>
        <w:rPr>
          <w:rStyle w:val="deletedparamark"/>
        </w:rPr>
        <w:t xml:space="preserve"> </w:t>
      </w:r>
      <w:r>
        <w:t>its grammar or its meaning.</w:t>
      </w:r>
    </w:p>
    <w:p w:rsidR="00B72047" w:rsidRDefault="00B72047">
      <w:pPr>
        <w:rPr>
          <w:rStyle w:val="htmlparacode"/>
        </w:rPr>
      </w:pPr>
      <w:r>
        <w:rPr>
          <w:rStyle w:val="htmlparacode"/>
        </w:rPr>
        <w:t>&lt;p&gt;</w:t>
      </w:r>
    </w:p>
    <w:p w:rsidR="00B72047" w:rsidRDefault="00B72047">
      <w:pPr>
        <w:pStyle w:val="normalparagraph"/>
      </w:pPr>
      <w:r>
        <w:t>Any of the Lojban numbers can be used with MAI: “romai”, for example,</w:t>
      </w:r>
      <w:r>
        <w:rPr>
          <w:rStyle w:val="deletedparamark"/>
        </w:rPr>
        <w:t xml:space="preserve"> </w:t>
      </w:r>
      <w:r>
        <w:t>means “all-thly” or “lastly”. Likewise, if you are enumerating a long</w:t>
      </w:r>
      <w:r>
        <w:rPr>
          <w:rStyle w:val="deletedparamark"/>
        </w:rPr>
        <w:t xml:space="preserve"> </w:t>
      </w:r>
      <w:r>
        <w:t>list and have for</w:t>
      </w:r>
      <w:r>
        <w:softHyphen/>
        <w:t>gotten which number is wanted next, you can say</w:t>
      </w:r>
      <w:r>
        <w:rPr>
          <w:rStyle w:val="deletedparamark"/>
        </w:rPr>
        <w:t xml:space="preserve"> “</w:t>
      </w:r>
      <w:r>
        <w:t>ny.mai”, or “Nthly”.</w:t>
      </w:r>
    </w:p>
    <w:p w:rsidR="00B72047" w:rsidRDefault="00B72047">
      <w:pPr>
        <w:pStyle w:val="normalparagraph"/>
        <w:rPr>
          <w:rStyle w:val="htmlparacode"/>
        </w:rPr>
      </w:pPr>
      <w:r>
        <w:rPr>
          <w:rStyle w:val="htmlparacode"/>
        </w:rPr>
        <w:t>&lt;p&gt;</w:t>
      </w:r>
    </w:p>
    <w:p w:rsidR="00B72047" w:rsidRDefault="00B72047">
      <w:pPr>
        <w:pStyle w:val="normalparagraph"/>
      </w:pPr>
      <w:r>
        <w:t>The difference between “mai” and “mo'o” is that “mo'o” enumerates larger</w:t>
      </w:r>
      <w:r>
        <w:rPr>
          <w:rStyle w:val="deletedparamark"/>
        </w:rPr>
        <w:t xml:space="preserve"> </w:t>
      </w:r>
      <w:r>
        <w:t>subdiv</w:t>
      </w:r>
      <w:r>
        <w:t>i</w:t>
      </w:r>
      <w:r>
        <w:softHyphen/>
        <w:t>sions of a text; “mai” was designed for lists of numbered items,</w:t>
      </w:r>
      <w:r>
        <w:rPr>
          <w:rStyle w:val="deletedparamark"/>
        </w:rPr>
        <w:t xml:space="preserve"> </w:t>
      </w:r>
      <w:r>
        <w:t>whereas “mo'o” was i</w:t>
      </w:r>
      <w:r>
        <w:t>n</w:t>
      </w:r>
      <w:r>
        <w:softHyphen/>
        <w:t>tended to subdivide structured works. If this chapter</w:t>
      </w:r>
      <w:r>
        <w:rPr>
          <w:rStyle w:val="deletedparamark"/>
        </w:rPr>
        <w:t xml:space="preserve"> </w:t>
      </w:r>
      <w:r>
        <w:t>were translated into Lojban, it might number each section with “mo'o”:</w:t>
      </w:r>
      <w:r>
        <w:rPr>
          <w:rStyle w:val="deletedparamark"/>
        </w:rPr>
        <w:t xml:space="preserve"> </w:t>
      </w:r>
      <w:r>
        <w:t>this section would then be introduced with “zemo'o”, or “</w:t>
      </w:r>
      <w:r>
        <w:rPr>
          <w:rStyle w:val="htmlcodes"/>
        </w:rPr>
        <w:t>&lt;a href=#s7&gt;</w:t>
      </w:r>
      <w:r>
        <w:t>Section 7</w:t>
      </w:r>
      <w:r>
        <w:rPr>
          <w:rStyle w:val="htmlcodes"/>
        </w:rPr>
        <w:t>&lt;/a&gt;</w:t>
      </w:r>
      <w:r>
        <w:t>.”</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name=s8&gt;&lt;h3&gt;</w:t>
      </w:r>
      <w:bookmarkStart w:id="532" w:name="_Toc398970768"/>
      <w:r>
        <w:rPr>
          <w:rStyle w:val="Heading3Text"/>
        </w:rPr>
        <w:t>Attitude scope markers: FUhE/FUhO</w:t>
      </w:r>
      <w:bookmarkEnd w:id="532"/>
      <w:r>
        <w:rPr>
          <w:rStyle w:val="htmlcodes"/>
        </w:rPr>
        <w:t>&lt;/h3&gt;</w:t>
      </w:r>
    </w:p>
    <w:p w:rsidR="00B72047" w:rsidRDefault="00B72047">
      <w:pPr>
        <w:ind w:firstLine="720"/>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fu'e</w:t>
      </w:r>
      <w:r>
        <w:tab/>
        <w:t>FUhE</w:t>
      </w:r>
      <w:r>
        <w:tab/>
        <w:t>open attitudinal scope</w:t>
      </w:r>
    </w:p>
    <w:p w:rsidR="00B72047" w:rsidRDefault="00B72047">
      <w:pPr>
        <w:pStyle w:val="examplescaled"/>
      </w:pPr>
      <w:r>
        <w:tab/>
        <w:t>fu'o</w:t>
      </w:r>
      <w:r>
        <w:tab/>
        <w:t>FUhO</w:t>
      </w:r>
      <w:r>
        <w:tab/>
        <w:t>close attitudinal scope</w:t>
      </w:r>
    </w:p>
    <w:p w:rsidR="00B72047" w:rsidRDefault="00B72047">
      <w:pPr>
        <w:pStyle w:val="normalafterexample"/>
      </w:pPr>
      <w:r>
        <w:rPr>
          <w:rStyle w:val="htmlcodes"/>
        </w:rPr>
        <w:t>&lt;/pre&gt;</w:t>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t>Lojban has a complex system of “attitudinals”, words which indicate the</w:t>
      </w:r>
      <w:r>
        <w:rPr>
          <w:rStyle w:val="deletedparamark"/>
        </w:rPr>
        <w:t xml:space="preserve"> </w:t>
      </w:r>
      <w:r>
        <w:t>speaker's attitude to what is being said. The attitudinals include</w:t>
      </w:r>
      <w:r>
        <w:rPr>
          <w:rStyle w:val="deletedparamark"/>
        </w:rPr>
        <w:t xml:space="preserve"> </w:t>
      </w:r>
      <w:r>
        <w:t>indicators of emotion, intensity markers, discursives (which show the</w:t>
      </w:r>
      <w:r>
        <w:rPr>
          <w:rStyle w:val="deletedparamark"/>
        </w:rPr>
        <w:t xml:space="preserve"> </w:t>
      </w:r>
      <w:r>
        <w:t>structure of discourse), and evidentials (which ind</w:t>
      </w:r>
      <w:r>
        <w:t>i</w:t>
      </w:r>
      <w:r>
        <w:softHyphen/>
        <w:t>cate “how the speaker</w:t>
      </w:r>
      <w:r>
        <w:rPr>
          <w:rStyle w:val="deletedparamark"/>
        </w:rPr>
        <w:t xml:space="preserve"> </w:t>
      </w:r>
      <w:r>
        <w:t>knows”). Most of these words belong to selma'o UI; the intensity markers</w:t>
      </w:r>
      <w:r>
        <w:rPr>
          <w:rStyle w:val="deletedparamark"/>
        </w:rPr>
        <w:t xml:space="preserve"> </w:t>
      </w:r>
      <w:r>
        <w:t>belong to selma'o CAI for historical reasons, but the two selma'o are</w:t>
      </w:r>
      <w:r>
        <w:rPr>
          <w:rStyle w:val="deletedparamark"/>
        </w:rPr>
        <w:t xml:space="preserve"> </w:t>
      </w:r>
      <w:r>
        <w:t>grammat</w:t>
      </w:r>
      <w:r>
        <w:t>i</w:t>
      </w:r>
      <w:r>
        <w:softHyphen/>
        <w:t>cally identical. The individual cmavo of UI and CAI are</w:t>
      </w:r>
      <w:r>
        <w:rPr>
          <w:rStyle w:val="deletedparamark"/>
        </w:rPr>
        <w:t xml:space="preserve"> </w:t>
      </w:r>
      <w:r>
        <w:t xml:space="preserve">discussed in </w:t>
      </w:r>
      <w:r>
        <w:rPr>
          <w:rStyle w:val="htmlcodes"/>
        </w:rPr>
        <w:t>&lt;a href=chap13.html&gt;</w:t>
      </w:r>
      <w:r>
        <w:t>Chapter 13</w:t>
      </w:r>
      <w:r>
        <w:rPr>
          <w:rStyle w:val="htmlcodes"/>
        </w:rPr>
        <w:t>&lt;/a&gt;</w:t>
      </w:r>
      <w:r>
        <w:t>; only the rules for applying them in discourse</w:t>
      </w:r>
      <w:r>
        <w:rPr>
          <w:rStyle w:val="deletedparamark"/>
        </w:rPr>
        <w:t xml:space="preserve"> </w:t>
      </w:r>
      <w:r>
        <w:t>are presented here.</w:t>
      </w:r>
    </w:p>
    <w:p w:rsidR="00B72047" w:rsidRDefault="00B72047">
      <w:pPr>
        <w:rPr>
          <w:rStyle w:val="htmlparacode"/>
        </w:rPr>
      </w:pPr>
      <w:r>
        <w:rPr>
          <w:rStyle w:val="htmlparacode"/>
        </w:rPr>
        <w:t>&lt;p&gt;</w:t>
      </w:r>
    </w:p>
    <w:p w:rsidR="00B72047" w:rsidRDefault="00B72047">
      <w:pPr>
        <w:pStyle w:val="normalparagraph"/>
      </w:pPr>
      <w:r>
        <w:rPr>
          <w:rStyle w:val="indexentry"/>
        </w:rPr>
        <w:t>&lt;cx "attitudinal, scope"&gt;</w:t>
      </w:r>
      <w:r>
        <w:rPr>
          <w:rStyle w:val="indexentry"/>
        </w:rPr>
        <w:fldChar w:fldCharType="begin"/>
      </w:r>
      <w:r>
        <w:instrText>xe "</w:instrText>
      </w:r>
      <w:r>
        <w:rPr>
          <w:rStyle w:val="xeentry"/>
        </w:rPr>
        <w:instrText>attitudinal: scope</w:instrText>
      </w:r>
      <w:r>
        <w:instrText>"</w:instrText>
      </w:r>
      <w:r>
        <w:rPr>
          <w:rStyle w:val="indexentry"/>
        </w:rPr>
        <w:fldChar w:fldCharType="end"/>
      </w:r>
      <w:r>
        <w:t>Normally, an attitudinal applies to the preceding word only. However, if</w:t>
      </w:r>
      <w:r>
        <w:rPr>
          <w:rStyle w:val="deletedparamark"/>
        </w:rPr>
        <w:t xml:space="preserve"> </w:t>
      </w:r>
      <w:r>
        <w:t>the prece</w:t>
      </w:r>
      <w:r>
        <w:t>d</w:t>
      </w:r>
      <w:r>
        <w:softHyphen/>
        <w:t>ing word is a structural cmavo which begins or ends a whole</w:t>
      </w:r>
      <w:r>
        <w:rPr>
          <w:rStyle w:val="deletedparamark"/>
        </w:rPr>
        <w:t xml:space="preserve"> </w:t>
      </w:r>
      <w:r>
        <w:t>construction, then that whole construction is affected by the attitudinal:</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name=e8d1&gt;</w:t>
      </w:r>
      <w:r>
        <w:t>8.1)</w:t>
      </w:r>
      <w:r>
        <w:tab/>
        <w:t>mi viska le blanu .ia zdani [ku]</w:t>
      </w:r>
    </w:p>
    <w:p w:rsidR="00B72047" w:rsidRDefault="00B72047">
      <w:pPr>
        <w:pStyle w:val="examplescaled"/>
      </w:pPr>
      <w:r>
        <w:tab/>
        <w:t>I see the blue [belief] house.</w:t>
      </w:r>
    </w:p>
    <w:p w:rsidR="00B72047" w:rsidRDefault="00B72047">
      <w:pPr>
        <w:pStyle w:val="examplescaled"/>
      </w:pPr>
      <w:r>
        <w:tab/>
        <w:t>I see the house, which I believe to be blue.</w:t>
      </w:r>
    </w:p>
    <w:p w:rsidR="00B72047" w:rsidRDefault="00B72047">
      <w:pPr>
        <w:pStyle w:val="examplescaledpre"/>
        <w:spacing w:before="60"/>
      </w:pPr>
      <w:r>
        <w:rPr>
          <w:rStyle w:val="htmlcodes"/>
        </w:rPr>
        <w:t>&lt;a name=e8d2&gt;</w:t>
      </w:r>
      <w:r>
        <w:t>8.2)</w:t>
      </w:r>
      <w:r>
        <w:tab/>
        <w:t>mi viska le blanu zdani .ia [ku]</w:t>
      </w:r>
    </w:p>
    <w:p w:rsidR="00B72047" w:rsidRDefault="00B72047">
      <w:pPr>
        <w:pStyle w:val="examplescaled"/>
      </w:pPr>
      <w:r>
        <w:tab/>
        <w:t>I see the blue house [belief].</w:t>
      </w:r>
    </w:p>
    <w:p w:rsidR="00B72047" w:rsidRDefault="00B72047">
      <w:pPr>
        <w:pStyle w:val="examplescaled"/>
      </w:pPr>
      <w:r>
        <w:tab/>
        <w:t>I see the blue thing, which I believe to be a house.</w:t>
      </w:r>
    </w:p>
    <w:p w:rsidR="00B72047" w:rsidRDefault="00B72047">
      <w:pPr>
        <w:pStyle w:val="examplescaledpre"/>
        <w:spacing w:before="60"/>
      </w:pPr>
      <w:r>
        <w:rPr>
          <w:rStyle w:val="htmlcodes"/>
        </w:rPr>
        <w:t>&lt;a name=e8d3&gt;</w:t>
      </w:r>
      <w:r>
        <w:t>8.3)</w:t>
      </w:r>
      <w:r>
        <w:tab/>
        <w:t>mi viska le .ia blanu zdani [ku]</w:t>
      </w:r>
    </w:p>
    <w:p w:rsidR="00B72047" w:rsidRDefault="00B72047">
      <w:pPr>
        <w:pStyle w:val="examplescaled"/>
      </w:pPr>
      <w:r>
        <w:tab/>
        <w:t>I see the [belief] blue house.</w:t>
      </w:r>
    </w:p>
    <w:p w:rsidR="00B72047" w:rsidRDefault="00B72047">
      <w:pPr>
        <w:pStyle w:val="examplescaled"/>
      </w:pPr>
      <w:r>
        <w:tab/>
        <w:t>I see what I believe to be a blue house.</w:t>
      </w:r>
    </w:p>
    <w:p w:rsidR="00B72047" w:rsidRDefault="00B72047">
      <w:pPr>
        <w:pStyle w:val="examplescaledpre"/>
        <w:spacing w:before="60"/>
      </w:pPr>
      <w:r>
        <w:rPr>
          <w:rStyle w:val="htmlcodes"/>
        </w:rPr>
        <w:t>&lt;a name=e8d4&gt;</w:t>
      </w:r>
      <w:r>
        <w:t>8.4)</w:t>
      </w:r>
      <w:r>
        <w:tab/>
        <w:t>mi viska le blanu zdani ku .ia</w:t>
      </w:r>
    </w:p>
    <w:p w:rsidR="00B72047" w:rsidRDefault="00B72047">
      <w:pPr>
        <w:pStyle w:val="examplescaled"/>
      </w:pPr>
      <w:r>
        <w:tab/>
        <w:t>I see (the blue house ) [belief].</w:t>
      </w:r>
    </w:p>
    <w:p w:rsidR="00B72047" w:rsidRDefault="00B72047">
      <w:pPr>
        <w:pStyle w:val="examplescaled"/>
      </w:pPr>
      <w:r>
        <w:tab/>
        <w:t>I see what I believe to be a blue house.</w:t>
      </w:r>
    </w:p>
    <w:p w:rsidR="00B72047" w:rsidRDefault="00B72047">
      <w:pPr>
        <w:pStyle w:val="resumedafterexample"/>
      </w:pPr>
      <w:r>
        <w:rPr>
          <w:rStyle w:val="htmlcodes"/>
        </w:rPr>
        <w:t>&lt;/pre&gt;&lt;p&gt;</w:t>
      </w:r>
      <w:r>
        <w:t>An attitudinal meant to cover a whole sentence can be attached to the</w:t>
      </w:r>
      <w:r>
        <w:rPr>
          <w:rStyle w:val="deletedparamark"/>
        </w:rPr>
        <w:t xml:space="preserve"> </w:t>
      </w:r>
      <w:r>
        <w:t>preceding “.i”, e</w:t>
      </w:r>
      <w:r>
        <w:t>x</w:t>
      </w:r>
      <w:r>
        <w:softHyphen/>
        <w:t>pressed or understood: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name=e8d5&gt;</w:t>
      </w:r>
      <w:r>
        <w:t>8.5)</w:t>
      </w:r>
      <w:r>
        <w:tab/>
        <w:t>[.i] .ia mi viska le blanu zdani</w:t>
      </w:r>
    </w:p>
    <w:p w:rsidR="00B72047" w:rsidRDefault="00B72047">
      <w:pPr>
        <w:pStyle w:val="examplescaled"/>
      </w:pPr>
      <w:r>
        <w:tab/>
        <w:t>[belief] I see the blue house.</w:t>
      </w:r>
    </w:p>
    <w:p w:rsidR="00B72047" w:rsidRDefault="00B72047">
      <w:pPr>
        <w:pStyle w:val="examplescaled"/>
      </w:pPr>
      <w:r>
        <w:tab/>
        <w:t>I believe I see a blue house.</w:t>
      </w:r>
    </w:p>
    <w:p w:rsidR="00B72047" w:rsidRDefault="00B72047">
      <w:pPr>
        <w:pStyle w:val="resumedafterexample"/>
      </w:pPr>
      <w:r>
        <w:rPr>
          <w:rStyle w:val="htmlcodes"/>
        </w:rPr>
        <w:t>&lt;/pre&gt;</w:t>
      </w:r>
      <w:r>
        <w:t>or to an explicit “vau” placed at the end of a bridi.</w:t>
      </w:r>
    </w:p>
    <w:p w:rsidR="00B72047" w:rsidRDefault="00B72047">
      <w:pPr>
        <w:rPr>
          <w:rStyle w:val="htmlparacode"/>
        </w:rPr>
      </w:pPr>
      <w:r>
        <w:rPr>
          <w:rStyle w:val="htmlparacode"/>
        </w:rPr>
        <w:t>&lt;p&gt;</w:t>
      </w:r>
    </w:p>
    <w:p w:rsidR="00B72047" w:rsidRDefault="00B72047">
      <w:pPr>
        <w:pStyle w:val="normalparagraph"/>
      </w:pPr>
      <w:r>
        <w:t>Likewise, an attitudinal meant to cover a whole paragraph can be attached</w:t>
      </w:r>
      <w:r>
        <w:rPr>
          <w:rStyle w:val="deletedparamark"/>
        </w:rPr>
        <w:t xml:space="preserve"> </w:t>
      </w:r>
      <w:r>
        <w:t>to “ni'o” or “no'i”. An attitudinal at the beginning of a text applies to</w:t>
      </w:r>
      <w:r>
        <w:rPr>
          <w:rStyle w:val="deletedparamark"/>
        </w:rPr>
        <w:t xml:space="preserve"> </w:t>
      </w:r>
      <w:r>
        <w:t>the whole text.</w:t>
      </w:r>
    </w:p>
    <w:p w:rsidR="00B72047" w:rsidRDefault="00B72047">
      <w:pPr>
        <w:rPr>
          <w:rStyle w:val="htmlparacode"/>
        </w:rPr>
      </w:pPr>
      <w:r>
        <w:rPr>
          <w:rStyle w:val="htmlparacode"/>
        </w:rPr>
        <w:t>&lt;p&gt;</w:t>
      </w:r>
    </w:p>
    <w:p w:rsidR="00B72047" w:rsidRDefault="00B72047">
      <w:pPr>
        <w:pStyle w:val="normalparagraph"/>
      </w:pPr>
      <w:r>
        <w:rPr>
          <w:rStyle w:val="indexentry"/>
        </w:rPr>
        <w:t>&lt;lx "fu'e"&gt;</w:t>
      </w:r>
      <w:r>
        <w:rPr>
          <w:rStyle w:val="indexentry"/>
        </w:rPr>
        <w:fldChar w:fldCharType="begin"/>
      </w:r>
      <w:r>
        <w:instrText>xe "</w:instrText>
      </w:r>
      <w:r>
        <w:rPr>
          <w:rStyle w:val="xeentry"/>
        </w:rPr>
        <w:instrText>fu'e</w:instrText>
      </w:r>
      <w:r>
        <w:instrText>"</w:instrText>
      </w:r>
      <w:r>
        <w:rPr>
          <w:rStyle w:val="indexentry"/>
        </w:rPr>
        <w:fldChar w:fldCharType="end"/>
      </w:r>
      <w:r>
        <w:rPr>
          <w:rStyle w:val="indexentry"/>
        </w:rPr>
        <w:t>&lt;lx "FUhE"&gt;</w:t>
      </w:r>
      <w:r>
        <w:rPr>
          <w:rStyle w:val="indexentry"/>
        </w:rPr>
        <w:fldChar w:fldCharType="begin"/>
      </w:r>
      <w:r>
        <w:instrText>xe "</w:instrText>
      </w:r>
      <w:r>
        <w:rPr>
          <w:rStyle w:val="xeentry"/>
        </w:rPr>
        <w:instrText>FUhE selma’o</w:instrText>
      </w:r>
      <w:r>
        <w:instrText>"</w:instrText>
      </w:r>
      <w:r>
        <w:rPr>
          <w:rStyle w:val="indexentry"/>
        </w:rPr>
        <w:fldChar w:fldCharType="end"/>
      </w:r>
      <w:r>
        <w:rPr>
          <w:rStyle w:val="indexentry"/>
        </w:rPr>
        <w:t>&lt;lx "fu'o"&gt;</w:t>
      </w:r>
      <w:r>
        <w:rPr>
          <w:rStyle w:val="indexentry"/>
        </w:rPr>
        <w:fldChar w:fldCharType="begin"/>
      </w:r>
      <w:r>
        <w:instrText>xe "</w:instrText>
      </w:r>
      <w:r>
        <w:rPr>
          <w:rStyle w:val="xeentry"/>
        </w:rPr>
        <w:instrText>fu'o</w:instrText>
      </w:r>
      <w:r>
        <w:instrText>"</w:instrText>
      </w:r>
      <w:r>
        <w:rPr>
          <w:rStyle w:val="indexentry"/>
        </w:rPr>
        <w:fldChar w:fldCharType="end"/>
      </w:r>
      <w:r>
        <w:rPr>
          <w:rStyle w:val="indexentry"/>
        </w:rPr>
        <w:t>&lt;lx "FUhO"&gt;</w:t>
      </w:r>
      <w:r>
        <w:rPr>
          <w:rStyle w:val="indexentry"/>
        </w:rPr>
        <w:fldChar w:fldCharType="begin"/>
      </w:r>
      <w:r>
        <w:instrText>xe "</w:instrText>
      </w:r>
      <w:r>
        <w:rPr>
          <w:rStyle w:val="xeentry"/>
        </w:rPr>
        <w:instrText>FUhO selma’o</w:instrText>
      </w:r>
      <w:r>
        <w:instrText>"</w:instrText>
      </w:r>
      <w:r>
        <w:rPr>
          <w:rStyle w:val="indexentry"/>
        </w:rPr>
        <w:fldChar w:fldCharType="end"/>
      </w:r>
      <w:r>
        <w:t>However, sometimes it is necessary to be more specific about the range</w:t>
      </w:r>
      <w:r>
        <w:rPr>
          <w:rStyle w:val="deletedparamark"/>
        </w:rPr>
        <w:t xml:space="preserve"> </w:t>
      </w:r>
      <w:r>
        <w:t>of one or more attitudinals, particularly if the range crosses the boundaries</w:t>
      </w:r>
      <w:r>
        <w:rPr>
          <w:rStyle w:val="deletedparamark"/>
        </w:rPr>
        <w:t xml:space="preserve"> </w:t>
      </w:r>
      <w:r>
        <w:t>of standard Lojban sy</w:t>
      </w:r>
      <w:r>
        <w:t>n</w:t>
      </w:r>
      <w:r>
        <w:softHyphen/>
        <w:t>tactic constructions. The cmavo “fu'e” (of selma'o</w:t>
      </w:r>
      <w:r>
        <w:rPr>
          <w:rStyle w:val="deletedparamark"/>
        </w:rPr>
        <w:t xml:space="preserve"> </w:t>
      </w:r>
      <w:r>
        <w:t>FUhE) and “fu'o” (of selma'o FUhO) provide explicit scope markers. Placing</w:t>
      </w:r>
      <w:r>
        <w:rPr>
          <w:rStyle w:val="deletedparamark"/>
        </w:rPr>
        <w:t xml:space="preserve"> “</w:t>
      </w:r>
      <w:r>
        <w:t>fu'e” in front of an attitudinal discon</w:t>
      </w:r>
      <w:r>
        <w:softHyphen/>
        <w:t>nects it from what precedes it, and</w:t>
      </w:r>
      <w:r>
        <w:rPr>
          <w:rStyle w:val="deletedparamark"/>
        </w:rPr>
        <w:t xml:space="preserve"> </w:t>
      </w:r>
      <w:r>
        <w:t>instead says that it applies to all following words until further notice. The</w:t>
      </w:r>
      <w:r>
        <w:rPr>
          <w:rStyle w:val="deletedparamark"/>
        </w:rPr>
        <w:t xml:space="preserve"> </w:t>
      </w:r>
      <w:r>
        <w:t>notice is given by “fu'o”, which can appear anywhere and can</w:t>
      </w:r>
      <w:r>
        <w:softHyphen/>
        <w:t>cels all</w:t>
      </w:r>
      <w:r>
        <w:rPr>
          <w:rStyle w:val="deletedparamark"/>
        </w:rPr>
        <w:t xml:space="preserve"> </w:t>
      </w:r>
      <w:r>
        <w:t>in-force attitudinals.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name=e8d6&gt;</w:t>
      </w:r>
      <w:r>
        <w:t>8.6)</w:t>
      </w:r>
      <w:r>
        <w:tab/>
        <w:t>mi viska le fu'e .ia blanu zdani fu'o ponse</w:t>
      </w:r>
    </w:p>
    <w:p w:rsidR="00B72047" w:rsidRDefault="00B72047">
      <w:pPr>
        <w:pStyle w:val="examplescaled"/>
      </w:pPr>
      <w:r>
        <w:tab/>
        <w:t>I see the [start] [belief] blue house [end] possessor.</w:t>
      </w:r>
    </w:p>
    <w:p w:rsidR="00B72047" w:rsidRDefault="00B72047">
      <w:pPr>
        <w:pStyle w:val="examplescaled"/>
      </w:pPr>
      <w:r>
        <w:tab/>
        <w:t>I see the owner of what I believe to be a blue house.</w:t>
      </w:r>
    </w:p>
    <w:p w:rsidR="00B72047" w:rsidRDefault="00B72047">
      <w:pPr>
        <w:pStyle w:val="resumedafterexample"/>
      </w:pPr>
      <w:r>
        <w:rPr>
          <w:rStyle w:val="htmlcodes"/>
        </w:rPr>
        <w:t>&lt;/pre&gt;&lt;p&gt;</w:t>
      </w:r>
      <w:r>
        <w:t>Here, only the “blanu zdani” portion of the three-part tanru “blanu zdani</w:t>
      </w:r>
      <w:r>
        <w:rPr>
          <w:rStyle w:val="deletedparamark"/>
        </w:rPr>
        <w:t xml:space="preserve"> </w:t>
      </w:r>
      <w:r>
        <w:t>ponse” is marked as a belief of the speaker. Naturally, the attitudinal</w:t>
      </w:r>
      <w:r>
        <w:rPr>
          <w:rStyle w:val="deletedparamark"/>
        </w:rPr>
        <w:t xml:space="preserve"> </w:t>
      </w:r>
      <w:r>
        <w:t>scope markers do not affect the rules for interpreting multi-part tanru:</w:t>
      </w:r>
      <w:r>
        <w:rPr>
          <w:rStyle w:val="deletedparamark"/>
        </w:rPr>
        <w:t xml:space="preserve"> “</w:t>
      </w:r>
      <w:r>
        <w:t>blanu zdani” groups first because tanru group from left to right unless</w:t>
      </w:r>
      <w:r>
        <w:rPr>
          <w:rStyle w:val="deletedparamark"/>
        </w:rPr>
        <w:t xml:space="preserve"> </w:t>
      </w:r>
      <w:r>
        <w:t>overridden with “ke” or “bo”.</w:t>
      </w:r>
    </w:p>
    <w:p w:rsidR="00B72047" w:rsidRDefault="00B72047">
      <w:pPr>
        <w:rPr>
          <w:rStyle w:val="htmlparacode"/>
        </w:rPr>
      </w:pPr>
      <w:r>
        <w:rPr>
          <w:rStyle w:val="htmlparacode"/>
        </w:rPr>
        <w:t>&lt;p&gt;</w:t>
      </w:r>
    </w:p>
    <w:p w:rsidR="00B72047" w:rsidRDefault="00B72047">
      <w:pPr>
        <w:pStyle w:val="normalparagraph"/>
      </w:pPr>
      <w:r>
        <w:rPr>
          <w:rStyle w:val="indexentry"/>
        </w:rPr>
        <w:t>&lt;cx "global attitudinals"&gt;</w:t>
      </w:r>
      <w:r>
        <w:rPr>
          <w:rStyle w:val="indexentry"/>
        </w:rPr>
        <w:fldChar w:fldCharType="begin"/>
      </w:r>
      <w:r>
        <w:instrText>xe "</w:instrText>
      </w:r>
      <w:r>
        <w:rPr>
          <w:rStyle w:val="xeentry"/>
        </w:rPr>
        <w:instrText>global attitudinals</w:instrText>
      </w:r>
      <w:r>
        <w:instrText>"</w:instrText>
      </w:r>
      <w:r>
        <w:rPr>
          <w:rStyle w:val="indexentry"/>
        </w:rPr>
        <w:fldChar w:fldCharType="end"/>
      </w:r>
      <w:r>
        <w:t>Other attitudinals of more local scope can appear after attitudinals marked</w:t>
      </w:r>
      <w:r>
        <w:rPr>
          <w:rStyle w:val="deletedparamark"/>
        </w:rPr>
        <w:t xml:space="preserve"> </w:t>
      </w:r>
      <w:r>
        <w:t>by FUhE; these attitudinals are added to the globally active attitudinals</w:t>
      </w:r>
      <w:r>
        <w:rPr>
          <w:rStyle w:val="deletedparamark"/>
        </w:rPr>
        <w:t xml:space="preserve"> </w:t>
      </w:r>
      <w:r>
        <w:t>rather than super</w:t>
      </w:r>
      <w:r>
        <w:softHyphen/>
        <w:t>seding them.</w:t>
      </w:r>
    </w:p>
    <w:p w:rsidR="00B72047" w:rsidRDefault="00B72047">
      <w:pPr>
        <w:rPr>
          <w:rStyle w:val="htmlparacode"/>
        </w:rPr>
      </w:pPr>
      <w:r>
        <w:rPr>
          <w:rStyle w:val="htmlparacode"/>
        </w:rPr>
        <w:t>&lt;p&gt;</w:t>
      </w:r>
    </w:p>
    <w:p w:rsidR="00B72047" w:rsidRDefault="00B72047">
      <w:pPr>
        <w:pStyle w:val="Heading3"/>
        <w:spacing w:before="200"/>
        <w:rPr>
          <w:rStyle w:val="Heading3Text"/>
        </w:rPr>
      </w:pPr>
      <w:bookmarkStart w:id="533" w:name="_Toc398970769"/>
      <w:r>
        <w:rPr>
          <w:rStyle w:val="Heading3Text"/>
        </w:rPr>
        <w:t>Quotations: LU, LIhU, LOhU, LEhU</w:t>
      </w:r>
      <w:bookmarkEnd w:id="533"/>
      <w:r>
        <w:rPr>
          <w:rStyle w:val="htmlcodes"/>
        </w:rPr>
        <w:t>&lt;/h3&gt;</w:t>
      </w:r>
    </w:p>
    <w:p w:rsidR="00B72047" w:rsidRDefault="00B72047">
      <w:pPr>
        <w:rPr>
          <w:rStyle w:val="htmlparacode"/>
        </w:rPr>
      </w:pPr>
      <w:r>
        <w:rPr>
          <w:rStyle w:val="htmlparacode"/>
        </w:rPr>
        <w:t>&lt;p&gt;</w:t>
      </w:r>
      <w:r>
        <w:rPr>
          <w:rStyle w:val="indexentry"/>
        </w:rPr>
        <w:t>&lt;cx "quotation"&gt;</w:t>
      </w:r>
      <w:r>
        <w:rPr>
          <w:rStyle w:val="indexentry"/>
        </w:rPr>
        <w:fldChar w:fldCharType="begin"/>
      </w:r>
      <w:r>
        <w:instrText>xe "</w:instrText>
      </w:r>
      <w:r>
        <w:rPr>
          <w:rStyle w:val="xeentry"/>
        </w:rPr>
        <w:instrText>quotation</w:instrText>
      </w:r>
      <w:r>
        <w:instrText>"</w:instrText>
      </w:r>
      <w:r>
        <w:rPr>
          <w:rStyle w:val="indexentry"/>
        </w:rPr>
        <w:fldChar w:fldCharType="end"/>
      </w:r>
      <w:r>
        <w:rPr>
          <w:rStyle w:val="htmlcodes"/>
        </w:rPr>
        <w:t>&lt;a name=s9&gt;&lt;h3&gt;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lu</w:t>
      </w:r>
      <w:r>
        <w:tab/>
        <w:t>LU</w:t>
      </w:r>
      <w:r>
        <w:tab/>
        <w:t>begin quotation</w:t>
      </w:r>
    </w:p>
    <w:p w:rsidR="00B72047" w:rsidRDefault="00B72047">
      <w:pPr>
        <w:pStyle w:val="examplescaled"/>
      </w:pPr>
      <w:r>
        <w:tab/>
        <w:t>li'u</w:t>
      </w:r>
      <w:r>
        <w:tab/>
        <w:t>LIhU</w:t>
      </w:r>
      <w:r>
        <w:tab/>
        <w:t>end quotation</w:t>
      </w:r>
    </w:p>
    <w:p w:rsidR="00B72047" w:rsidRDefault="00B72047">
      <w:pPr>
        <w:pStyle w:val="examplescaled"/>
      </w:pPr>
      <w:r>
        <w:tab/>
        <w:t>lo'u</w:t>
      </w:r>
      <w:r>
        <w:tab/>
        <w:t>LOhU</w:t>
      </w:r>
      <w:r>
        <w:tab/>
        <w:t>begin error quotation</w:t>
      </w:r>
    </w:p>
    <w:p w:rsidR="00B72047" w:rsidRDefault="00B72047">
      <w:pPr>
        <w:pStyle w:val="examplescaled"/>
      </w:pPr>
      <w:r>
        <w:tab/>
        <w:t>le'u</w:t>
      </w:r>
      <w:r>
        <w:tab/>
        <w:t>LEhU</w:t>
      </w:r>
      <w:r>
        <w:tab/>
        <w:t>end error quotation</w:t>
      </w:r>
    </w:p>
    <w:p w:rsidR="00B72047" w:rsidRDefault="00B72047">
      <w:pPr>
        <w:pStyle w:val="normalafterexample"/>
        <w:spacing w:before="120"/>
      </w:pPr>
      <w:r>
        <w:rPr>
          <w:rStyle w:val="htmlcodes"/>
        </w:rPr>
        <w:t>&lt;/pre&gt;&lt;p&gt;</w:t>
      </w:r>
      <w:r>
        <w:t>Grammatically, quotations are very simple in Lojban: all of them are sumti,</w:t>
      </w:r>
      <w:r>
        <w:rPr>
          <w:rStyle w:val="deletedparamark"/>
        </w:rPr>
        <w:t xml:space="preserve"> </w:t>
      </w:r>
      <w:r>
        <w:t>and they all mean something like “the piece of text here quoted”: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name=e9d1&gt;</w:t>
      </w:r>
      <w:r>
        <w:t>9.1)</w:t>
      </w:r>
      <w:r>
        <w:tab/>
        <w:t>mi pu cusku lu mi'e djan [li'u]</w:t>
      </w:r>
    </w:p>
    <w:p w:rsidR="00B72047" w:rsidRDefault="00B72047">
      <w:pPr>
        <w:pStyle w:val="examplescaled"/>
      </w:pPr>
      <w:r>
        <w:tab/>
        <w:t>I [past] express [quote] I-am John [unquote]</w:t>
      </w:r>
    </w:p>
    <w:p w:rsidR="00B72047" w:rsidRDefault="00B72047">
      <w:pPr>
        <w:pStyle w:val="examplescaled"/>
      </w:pPr>
      <w:r>
        <w:tab/>
        <w:t>I said, “I'm John”.</w:t>
      </w:r>
    </w:p>
    <w:p w:rsidR="00B72047" w:rsidRDefault="00B72047">
      <w:pPr>
        <w:pStyle w:val="resumedafterexample"/>
      </w:pPr>
      <w:r>
        <w:rPr>
          <w:rStyle w:val="htmlcodes"/>
        </w:rPr>
        <w:t>&lt;/pre&gt;&lt;p&gt;</w:t>
      </w:r>
      <w:r>
        <w:t>But in fact there are four different flavors of quotation in the language,</w:t>
      </w:r>
      <w:r>
        <w:rPr>
          <w:rStyle w:val="deletedparamark"/>
        </w:rPr>
        <w:t xml:space="preserve"> </w:t>
      </w:r>
      <w:r>
        <w:t>involving six cmavo of six different selma'o. This being the case,</w:t>
      </w:r>
      <w:r>
        <w:rPr>
          <w:rStyle w:val="deletedparamark"/>
        </w:rPr>
        <w:t xml:space="preserve"> </w:t>
      </w:r>
      <w:r>
        <w:t>quotation deserves some elabora</w:t>
      </w:r>
      <w:r>
        <w:softHyphen/>
        <w:t>tion.</w:t>
      </w:r>
    </w:p>
    <w:p w:rsidR="00B72047" w:rsidRDefault="00B72047">
      <w:pPr>
        <w:rPr>
          <w:rStyle w:val="htmlparacode"/>
        </w:rPr>
      </w:pPr>
      <w:r>
        <w:rPr>
          <w:rStyle w:val="htmlparacode"/>
        </w:rPr>
        <w:t>&lt;p&gt;</w:t>
      </w:r>
    </w:p>
    <w:p w:rsidR="00B72047" w:rsidRDefault="00B72047">
      <w:pPr>
        <w:pStyle w:val="normalparagraph"/>
      </w:pPr>
      <w:r>
        <w:rPr>
          <w:rStyle w:val="indexentry"/>
        </w:rPr>
        <w:t>&lt;cx "opening quotation"&gt;</w:t>
      </w:r>
      <w:r>
        <w:rPr>
          <w:rStyle w:val="indexentry"/>
        </w:rPr>
        <w:fldChar w:fldCharType="begin"/>
      </w:r>
      <w:r>
        <w:instrText>xe "</w:instrText>
      </w:r>
      <w:r>
        <w:rPr>
          <w:rStyle w:val="xeentry"/>
        </w:rPr>
        <w:instrText>opening quotation</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w:instrText>
      </w:r>
      <w:r>
        <w:instrText>"</w:instrText>
      </w:r>
      <w:r>
        <w:rPr>
          <w:rStyle w:val="indexentry"/>
        </w:rPr>
        <w:fldChar w:fldCharType="end"/>
      </w:r>
      <w:r>
        <w:rPr>
          <w:rStyle w:val="indexentry"/>
        </w:rPr>
        <w:t>&lt;lx "LU"&gt;</w:t>
      </w:r>
      <w:r>
        <w:rPr>
          <w:rStyle w:val="indexentry"/>
        </w:rPr>
        <w:fldChar w:fldCharType="begin"/>
      </w:r>
      <w:r>
        <w:instrText>xe "</w:instrText>
      </w:r>
      <w:r>
        <w:rPr>
          <w:rStyle w:val="xeentry"/>
        </w:rPr>
        <w:instrText>LU selma’o</w:instrText>
      </w:r>
      <w:r>
        <w:instrText>"</w:instrText>
      </w:r>
      <w:r>
        <w:rPr>
          <w:rStyle w:val="indexentry"/>
        </w:rPr>
        <w:fldChar w:fldCharType="end"/>
      </w:r>
      <w:r>
        <w:rPr>
          <w:rStyle w:val="indexentry"/>
        </w:rPr>
        <w:t>&lt;lx "li'u"&gt;</w:t>
      </w:r>
      <w:r>
        <w:rPr>
          <w:rStyle w:val="indexentry"/>
        </w:rPr>
        <w:fldChar w:fldCharType="begin"/>
      </w:r>
      <w:r>
        <w:instrText>xe "</w:instrText>
      </w:r>
      <w:r>
        <w:rPr>
          <w:rStyle w:val="xeentry"/>
        </w:rPr>
        <w:instrText>li'u</w:instrText>
      </w:r>
      <w:r>
        <w:instrText>"</w:instrText>
      </w:r>
      <w:r>
        <w:rPr>
          <w:rStyle w:val="indexentry"/>
        </w:rPr>
        <w:fldChar w:fldCharType="end"/>
      </w:r>
      <w:r>
        <w:rPr>
          <w:rStyle w:val="indexentry"/>
        </w:rPr>
        <w:t>&lt;lx "LIhU"&gt;</w:t>
      </w:r>
      <w:r>
        <w:rPr>
          <w:rStyle w:val="indexentry"/>
        </w:rPr>
        <w:fldChar w:fldCharType="begin"/>
      </w:r>
      <w:r>
        <w:instrText>xe "</w:instrText>
      </w:r>
      <w:r>
        <w:rPr>
          <w:rStyle w:val="xeentry"/>
        </w:rPr>
        <w:instrText>LIhU selma’o</w:instrText>
      </w:r>
      <w:r>
        <w:instrText>"</w:instrText>
      </w:r>
      <w:r>
        <w:rPr>
          <w:rStyle w:val="indexentry"/>
        </w:rPr>
        <w:fldChar w:fldCharType="end"/>
      </w:r>
      <w:r>
        <w:rPr>
          <w:rStyle w:val="indexentry"/>
        </w:rPr>
        <w:t>&lt;cx "quotation, of grammatical Lojban text"&gt;</w:t>
      </w:r>
      <w:r>
        <w:rPr>
          <w:rStyle w:val="indexentry"/>
        </w:rPr>
        <w:fldChar w:fldCharType="begin"/>
      </w:r>
      <w:r>
        <w:instrText>xe "</w:instrText>
      </w:r>
      <w:r>
        <w:rPr>
          <w:rStyle w:val="xeentry"/>
        </w:rPr>
        <w:instrText>quotation: of grammatical Lojban text</w:instrText>
      </w:r>
      <w:r>
        <w:instrText>"</w:instrText>
      </w:r>
      <w:r>
        <w:rPr>
          <w:rStyle w:val="indexentry"/>
        </w:rPr>
        <w:fldChar w:fldCharType="end"/>
      </w:r>
      <w:r>
        <w:t xml:space="preserve">The simplest kind of quotation, exhibited in </w:t>
      </w:r>
      <w:r>
        <w:rPr>
          <w:rStyle w:val="htmlcodes"/>
        </w:rPr>
        <w:t>&lt;a href=#e9d1&gt;</w:t>
      </w:r>
      <w:r>
        <w:t>Example 9.1</w:t>
      </w:r>
      <w:r>
        <w:rPr>
          <w:rStyle w:val="htmlcodes"/>
        </w:rPr>
        <w:t>&lt;/a&gt;</w:t>
      </w:r>
      <w:r>
        <w:t>, uses the cmavo “lu”</w:t>
      </w:r>
      <w:r>
        <w:rPr>
          <w:rStyle w:val="deletedparamark"/>
        </w:rPr>
        <w:t xml:space="preserve"> </w:t>
      </w:r>
      <w:r>
        <w:t>(of selma'o LU) as the opening quotation mark, and the cmavo “li'u” (of</w:t>
      </w:r>
      <w:r>
        <w:rPr>
          <w:rStyle w:val="deletedparamark"/>
        </w:rPr>
        <w:t xml:space="preserve"> </w:t>
      </w:r>
      <w:r>
        <w:t>selma'o LIhU) as the closing quotation mark. The text between “lu” and</w:t>
      </w:r>
      <w:r>
        <w:rPr>
          <w:rStyle w:val="deletedparamark"/>
        </w:rPr>
        <w:t xml:space="preserve"> “</w:t>
      </w:r>
      <w:r>
        <w:t>li'u” must be a valid, parse</w:t>
      </w:r>
      <w:r>
        <w:softHyphen/>
        <w:t>able L</w:t>
      </w:r>
      <w:r>
        <w:t>o</w:t>
      </w:r>
      <w:r>
        <w:t>j</w:t>
      </w:r>
      <w:r>
        <w:softHyphen/>
        <w:t>ban text. If the quotation is</w:t>
      </w:r>
      <w:r>
        <w:rPr>
          <w:rStyle w:val="deletedparamark"/>
        </w:rPr>
        <w:t xml:space="preserve"> </w:t>
      </w:r>
      <w:r>
        <w:t>ungrammatical, so is the surrounding expression. The cmavo “li'u” is</w:t>
      </w:r>
      <w:r>
        <w:rPr>
          <w:rStyle w:val="deletedparamark"/>
        </w:rPr>
        <w:t xml:space="preserve"> </w:t>
      </w:r>
      <w:r>
        <w:t>technically an elidable terminator, but it's almost never possible to</w:t>
      </w:r>
      <w:r>
        <w:rPr>
          <w:rStyle w:val="deletedparamark"/>
        </w:rPr>
        <w:t xml:space="preserve"> </w:t>
      </w:r>
      <w:r>
        <w:t>elide it except at the end of text.</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"lo'u"&gt;</w:t>
      </w:r>
      <w:r>
        <w:rPr>
          <w:rStyle w:val="indexentry"/>
        </w:rPr>
        <w:fldChar w:fldCharType="begin"/>
      </w:r>
      <w:r>
        <w:instrText>xe "</w:instrText>
      </w:r>
      <w:r>
        <w:rPr>
          <w:rStyle w:val="xeentry"/>
        </w:rPr>
        <w:instrText>lo'u</w:instrText>
      </w:r>
      <w:r>
        <w:instrText>"</w:instrText>
      </w:r>
      <w:r>
        <w:rPr>
          <w:rStyle w:val="indexentry"/>
        </w:rPr>
        <w:fldChar w:fldCharType="end"/>
      </w:r>
      <w:r>
        <w:rPr>
          <w:rStyle w:val="indexentry"/>
        </w:rPr>
        <w:t>&lt;lx "LOhU"&gt;</w:t>
      </w:r>
      <w:r>
        <w:rPr>
          <w:rStyle w:val="indexentry"/>
        </w:rPr>
        <w:fldChar w:fldCharType="begin"/>
      </w:r>
      <w:r>
        <w:instrText>xe "</w:instrText>
      </w:r>
      <w:r>
        <w:rPr>
          <w:rStyle w:val="xeentry"/>
        </w:rPr>
        <w:instrText>LOhU selma’o</w:instrText>
      </w:r>
      <w:r>
        <w:instrText>"</w:instrText>
      </w:r>
      <w:r>
        <w:rPr>
          <w:rStyle w:val="indexentry"/>
        </w:rPr>
        <w:fldChar w:fldCharType="end"/>
      </w:r>
      <w:r>
        <w:rPr>
          <w:rStyle w:val="indexentry"/>
        </w:rPr>
        <w:t>&lt;lx "le'u"&gt;</w:t>
      </w:r>
      <w:r>
        <w:rPr>
          <w:rStyle w:val="indexentry"/>
        </w:rPr>
        <w:fldChar w:fldCharType="begin"/>
      </w:r>
      <w:r>
        <w:instrText>xe "</w:instrText>
      </w:r>
      <w:r>
        <w:rPr>
          <w:rStyle w:val="xeentry"/>
        </w:rPr>
        <w:instrText>le'u</w:instrText>
      </w:r>
      <w:r>
        <w:instrText>"</w:instrText>
      </w:r>
      <w:r>
        <w:rPr>
          <w:rStyle w:val="indexentry"/>
        </w:rPr>
        <w:fldChar w:fldCharType="end"/>
      </w:r>
      <w:r>
        <w:rPr>
          <w:rStyle w:val="indexentry"/>
        </w:rPr>
        <w:t>&lt;lx "LEhU"&gt;</w:t>
      </w:r>
      <w:r>
        <w:rPr>
          <w:rStyle w:val="indexentry"/>
        </w:rPr>
        <w:fldChar w:fldCharType="begin"/>
      </w:r>
      <w:r>
        <w:instrText>xe "</w:instrText>
      </w:r>
      <w:r>
        <w:rPr>
          <w:rStyle w:val="xeentry"/>
        </w:rPr>
        <w:instrText>LEhU selma’o</w:instrText>
      </w:r>
      <w:r>
        <w:instrText>"</w:instrText>
      </w:r>
      <w:r>
        <w:rPr>
          <w:rStyle w:val="indexentry"/>
        </w:rPr>
        <w:fldChar w:fldCharType="end"/>
      </w:r>
      <w:r>
        <w:rPr>
          <w:rStyle w:val="indexentry"/>
        </w:rPr>
        <w:t>&lt;cx "quotation, of parseable Lojban text"&gt;</w:t>
      </w:r>
      <w:r>
        <w:rPr>
          <w:rStyle w:val="indexentry"/>
        </w:rPr>
        <w:fldChar w:fldCharType="begin"/>
      </w:r>
      <w:r>
        <w:instrText>xe "</w:instrText>
      </w:r>
      <w:r>
        <w:rPr>
          <w:rStyle w:val="xeentry"/>
        </w:rPr>
        <w:instrText>quotation: of parseable Lojban text</w:instrText>
      </w:r>
      <w:r>
        <w:instrText>"</w:instrText>
      </w:r>
      <w:r>
        <w:rPr>
          <w:rStyle w:val="indexentry"/>
        </w:rPr>
        <w:fldChar w:fldCharType="end"/>
      </w:r>
      <w:r>
        <w:rPr>
          <w:rStyle w:val="indexentry"/>
        </w:rPr>
        <w:t>&lt;cx "quotation, of ungrammatical Lojban text"&gt;</w:t>
      </w:r>
      <w:r>
        <w:rPr>
          <w:rStyle w:val="indexentry"/>
        </w:rPr>
        <w:fldChar w:fldCharType="begin"/>
      </w:r>
      <w:r>
        <w:instrText>xe "</w:instrText>
      </w:r>
      <w:r>
        <w:rPr>
          <w:rStyle w:val="xeentry"/>
        </w:rPr>
        <w:instrText>quotation: of ungrammatical Lojban text</w:instrText>
      </w:r>
      <w:r>
        <w:instrText>"</w:instrText>
      </w:r>
      <w:r>
        <w:rPr>
          <w:rStyle w:val="indexentry"/>
        </w:rPr>
        <w:fldChar w:fldCharType="end"/>
      </w:r>
      <w:r>
        <w:t>The cmavo “lo'u” (of selma'o LOhU) and “le'u” (of selma'o LEhU) are used</w:t>
      </w:r>
      <w:r>
        <w:rPr>
          <w:rStyle w:val="deletedparamark"/>
        </w:rPr>
        <w:t xml:space="preserve"> </w:t>
      </w:r>
      <w:r>
        <w:t>to su</w:t>
      </w:r>
      <w:r>
        <w:t>r</w:t>
      </w:r>
      <w:r>
        <w:softHyphen/>
        <w:t>round a quotation that is not necessarily grammatical Lojban. However,</w:t>
      </w:r>
      <w:r>
        <w:rPr>
          <w:rStyle w:val="deletedparamark"/>
        </w:rPr>
        <w:t xml:space="preserve"> </w:t>
      </w:r>
      <w:r>
        <w:t>the text must consist of morphologically correct Lojban words (as defined</w:t>
      </w:r>
      <w:r>
        <w:rPr>
          <w:rStyle w:val="deletedparamark"/>
        </w:rPr>
        <w:t xml:space="preserve"> </w:t>
      </w:r>
      <w:r>
        <w:t xml:space="preserve">in </w:t>
      </w:r>
      <w:r>
        <w:rPr>
          <w:rStyle w:val="htmlcodes"/>
        </w:rPr>
        <w:t>&lt;a href=chap4.html&gt;</w:t>
      </w:r>
      <w:r>
        <w:t>Chapter 4</w:t>
      </w:r>
      <w:r>
        <w:rPr>
          <w:rStyle w:val="htmlcodes"/>
        </w:rPr>
        <w:t>&lt;/a&gt;</w:t>
      </w:r>
      <w:r>
        <w:t>), so that the “le'u” can be picked out reliably. The words</w:t>
      </w:r>
      <w:r>
        <w:rPr>
          <w:rStyle w:val="deletedparamark"/>
        </w:rPr>
        <w:t xml:space="preserve"> </w:t>
      </w:r>
      <w:r>
        <w:t>need not be meaningful, but they must be recognizable as cmavo, brivla, or</w:t>
      </w:r>
      <w:r>
        <w:rPr>
          <w:rStyle w:val="deletedparamark"/>
        </w:rPr>
        <w:t xml:space="preserve"> </w:t>
      </w:r>
      <w:r>
        <w:t>cmene. Quotation with “lo'u” is essential to quot</w:t>
      </w:r>
      <w:r>
        <w:softHyphen/>
        <w:t>ing ungrammatical Lojban</w:t>
      </w:r>
      <w:r>
        <w:rPr>
          <w:rStyle w:val="deletedparamark"/>
        </w:rPr>
        <w:t xml:space="preserve"> </w:t>
      </w:r>
      <w:r>
        <w:t>for teaching in the language, the equivalent of the * that is used in English</w:t>
      </w:r>
      <w:r>
        <w:rPr>
          <w:rStyle w:val="deletedparamark"/>
        </w:rPr>
        <w:t xml:space="preserve"> </w:t>
      </w:r>
      <w:r>
        <w:t>to mark such errors: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name=e9d2&gt;</w:t>
      </w:r>
      <w:r>
        <w:t>9.2)</w:t>
      </w:r>
      <w:r>
        <w:tab/>
        <w:t xml:space="preserve">lo'u mi du do du la djan. le'u na tergerna </w:t>
      </w:r>
    </w:p>
    <w:p w:rsidR="00B72047" w:rsidRDefault="00B72047">
      <w:pPr>
        <w:pStyle w:val="examplescaled"/>
        <w:ind w:firstLine="576"/>
      </w:pPr>
      <w:r>
        <w:t>la lojban.</w:t>
      </w:r>
    </w:p>
    <w:p w:rsidR="00B72047" w:rsidRDefault="00B72047">
      <w:pPr>
        <w:pStyle w:val="examplescaled"/>
      </w:pPr>
      <w:r>
        <w:tab/>
        <w:t xml:space="preserve">[quote] mi du do du la djan. [unquote] is-not a-grammatical-structure </w:t>
      </w:r>
    </w:p>
    <w:p w:rsidR="00B72047" w:rsidRDefault="00B72047">
      <w:pPr>
        <w:pStyle w:val="examplescaled"/>
        <w:ind w:firstLine="576"/>
      </w:pPr>
      <w:r>
        <w:t>in Lojban.</w:t>
      </w:r>
    </w:p>
    <w:p w:rsidR="00B72047" w:rsidRDefault="00B72047">
      <w:pPr>
        <w:pStyle w:val="resumedafterexample"/>
      </w:pPr>
      <w:r>
        <w:rPr>
          <w:rStyle w:val="htmlcodes"/>
        </w:rPr>
        <w:t>&lt;/pre&gt;</w:t>
      </w:r>
      <w:r>
        <w:rPr>
          <w:rStyle w:val="indexentry"/>
        </w:rPr>
        <w:t>&lt;cx "embedded quotation"&gt;</w:t>
      </w:r>
      <w:r>
        <w:rPr>
          <w:rStyle w:val="indexentry"/>
        </w:rPr>
        <w:fldChar w:fldCharType="begin"/>
      </w:r>
      <w:r>
        <w:instrText>xe "</w:instrText>
      </w:r>
      <w:r>
        <w:rPr>
          <w:rStyle w:val="xeentry"/>
        </w:rPr>
        <w:instrText>embedded quotation</w:instrText>
      </w:r>
      <w:r>
        <w:instrText>"</w:instrText>
      </w:r>
      <w:r>
        <w:rPr>
          <w:rStyle w:val="indexentry"/>
        </w:rPr>
        <w:fldChar w:fldCharType="end"/>
      </w:r>
      <w:r>
        <w:rPr>
          <w:rStyle w:val="htmlcodes"/>
        </w:rPr>
        <w:t>&lt;a href=#e9d2&gt;</w:t>
      </w:r>
      <w:r>
        <w:t xml:space="preserve">Example 9.2 </w:t>
      </w:r>
      <w:r>
        <w:rPr>
          <w:rStyle w:val="htmlcodes"/>
        </w:rPr>
        <w:t>&lt;/a&gt;</w:t>
      </w:r>
      <w:r>
        <w:t>is grammatical even though the embedded quotation is not.</w:t>
      </w:r>
      <w:r>
        <w:rPr>
          <w:rStyle w:val="deletedparamark"/>
        </w:rPr>
        <w:t xml:space="preserve"> </w:t>
      </w:r>
      <w:r>
        <w:t>Similarly, “lo'u” quotation can quote fragments of a text which themselves</w:t>
      </w:r>
      <w:r>
        <w:rPr>
          <w:rStyle w:val="deletedparamark"/>
        </w:rPr>
        <w:t xml:space="preserve"> </w:t>
      </w:r>
      <w:r>
        <w:t>do not constitute grammatical utterances: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name=e9d3&gt;</w:t>
      </w:r>
      <w:r>
        <w:t>9.3)</w:t>
      </w:r>
      <w:r>
        <w:tab/>
        <w:t>lu le mlatu cu viska le finpe li'u zo'u lo'u viska le le'u</w:t>
      </w:r>
    </w:p>
    <w:p w:rsidR="00B72047" w:rsidRDefault="00B72047">
      <w:pPr>
        <w:pStyle w:val="examplescaled"/>
      </w:pPr>
      <w:r>
        <w:tab/>
      </w:r>
      <w:r>
        <w:tab/>
        <w:t>cu selbasti .ei lo'u viska lo le'u</w:t>
      </w:r>
    </w:p>
    <w:p w:rsidR="00B72047" w:rsidRDefault="00B72047">
      <w:pPr>
        <w:pStyle w:val="examplescaled"/>
      </w:pPr>
      <w:r>
        <w:tab/>
        <w:t>[quote] le mlatu cu viska le finpe [unquote] : [quote] viska le [unquote]</w:t>
      </w:r>
    </w:p>
    <w:p w:rsidR="00B72047" w:rsidRDefault="00B72047">
      <w:pPr>
        <w:pStyle w:val="examplescaled"/>
        <w:ind w:firstLine="576"/>
      </w:pPr>
      <w:r>
        <w:t>is-replaced-by [obligation!] [quote] viska lo [unquote].</w:t>
      </w:r>
    </w:p>
    <w:p w:rsidR="00B72047" w:rsidRDefault="00B72047">
      <w:pPr>
        <w:pStyle w:val="examplescaled"/>
      </w:pPr>
      <w:r>
        <w:tab/>
        <w:t>In the sentence “le mlatu viska le finpe”, “viska le” should be replaced by</w:t>
      </w:r>
    </w:p>
    <w:p w:rsidR="00B72047" w:rsidRDefault="00B72047">
      <w:pPr>
        <w:pStyle w:val="examplescaled"/>
        <w:ind w:firstLine="576"/>
      </w:pPr>
      <w:r>
        <w:t>“viska lo”.</w:t>
      </w:r>
    </w:p>
    <w:p w:rsidR="00B72047" w:rsidRDefault="00B72047">
      <w:pPr>
        <w:pStyle w:val="resumedafterexample"/>
      </w:pPr>
      <w:r>
        <w:rPr>
          <w:rStyle w:val="htmlcodes"/>
        </w:rPr>
        <w:t>&lt;/pre&gt;&lt;p&gt;</w:t>
      </w:r>
      <w:r>
        <w:t>Note the topic-comment formulation (</w:t>
      </w:r>
      <w:r>
        <w:rPr>
          <w:rStyle w:val="htmlcodes"/>
        </w:rPr>
        <w:t>&lt;a href=#s4&gt;</w:t>
      </w:r>
      <w:r>
        <w:t>Section 4</w:t>
      </w:r>
      <w:r>
        <w:rPr>
          <w:rStyle w:val="htmlcodes"/>
        </w:rPr>
        <w:t>&lt;/a&gt;</w:t>
      </w:r>
      <w:r>
        <w:t>) and the indicator applying to</w:t>
      </w:r>
      <w:r>
        <w:rPr>
          <w:rStyle w:val="deletedparamark"/>
        </w:rPr>
        <w:t xml:space="preserve"> </w:t>
      </w:r>
      <w:r>
        <w:t>the selbri only (</w:t>
      </w:r>
      <w:r>
        <w:rPr>
          <w:rStyle w:val="htmlcodes"/>
        </w:rPr>
        <w:t>&lt;a href=#s8&gt;</w:t>
      </w:r>
      <w:r>
        <w:t>Section 8</w:t>
      </w:r>
      <w:r>
        <w:rPr>
          <w:rStyle w:val="htmlcodes"/>
        </w:rPr>
        <w:t>&lt;/a&gt;</w:t>
      </w:r>
      <w:r>
        <w:t>). Neither “viska le” nor “viska lo” is a valid</w:t>
      </w:r>
      <w:r>
        <w:rPr>
          <w:rStyle w:val="deletedparamark"/>
        </w:rPr>
        <w:t xml:space="preserve"> </w:t>
      </w:r>
      <w:r>
        <w:t>Lojban utterance, and both require “lo'u” quotation.</w:t>
      </w:r>
    </w:p>
    <w:p w:rsidR="00B72047" w:rsidRDefault="00B72047">
      <w:pPr>
        <w:rPr>
          <w:rStyle w:val="htmlparacode"/>
        </w:rPr>
      </w:pPr>
      <w:r>
        <w:rPr>
          <w:rStyle w:val="htmlparacode"/>
        </w:rPr>
        <w:t>&lt;p&gt;</w:t>
      </w:r>
    </w:p>
    <w:p w:rsidR="00B72047" w:rsidRDefault="00B72047">
      <w:pPr>
        <w:pStyle w:val="normalparagraph"/>
      </w:pPr>
      <w:r>
        <w:rPr>
          <w:rStyle w:val="indexentry"/>
        </w:rPr>
        <w:t>&lt;cx "pro-sumti, quotation of"&gt;</w:t>
      </w:r>
      <w:r>
        <w:rPr>
          <w:rStyle w:val="indexentry"/>
        </w:rPr>
        <w:fldChar w:fldCharType="begin"/>
      </w:r>
      <w:r>
        <w:instrText>xe "</w:instrText>
      </w:r>
      <w:r>
        <w:rPr>
          <w:rStyle w:val="xeentry"/>
        </w:rPr>
        <w:instrText>pro-sumti: quotation of</w:instrText>
      </w:r>
      <w:r>
        <w:instrText>"</w:instrText>
      </w:r>
      <w:r>
        <w:rPr>
          <w:rStyle w:val="indexentry"/>
        </w:rPr>
        <w:fldChar w:fldCharType="end"/>
      </w:r>
      <w:r>
        <w:rPr>
          <w:rStyle w:val="indexentry"/>
        </w:rPr>
        <w:t>&lt;cx "pro-bridi, quotation of"&gt;</w:t>
      </w:r>
      <w:r>
        <w:rPr>
          <w:rStyle w:val="indexentry"/>
        </w:rPr>
        <w:fldChar w:fldCharType="begin"/>
      </w:r>
      <w:r>
        <w:instrText>xe "</w:instrText>
      </w:r>
      <w:r>
        <w:rPr>
          <w:rStyle w:val="xeentry"/>
        </w:rPr>
        <w:instrText>pro-bridi: quotation of</w:instrText>
      </w:r>
      <w:r>
        <w:instrText>"</w:instrText>
      </w:r>
      <w:r>
        <w:rPr>
          <w:rStyle w:val="indexentry"/>
        </w:rPr>
        <w:fldChar w:fldCharType="end"/>
      </w:r>
      <w:r>
        <w:t>Additionally, pro-sumti or pro-bridi in the quoting sentence can refer to</w:t>
      </w:r>
      <w:r>
        <w:rPr>
          <w:rStyle w:val="deletedparamark"/>
        </w:rPr>
        <w:t xml:space="preserve"> </w:t>
      </w:r>
      <w:r>
        <w:t>words a</w:t>
      </w:r>
      <w:r>
        <w:t>p</w:t>
      </w:r>
      <w:r>
        <w:softHyphen/>
        <w:t>pearing in the quoted sentence when “lu </w:t>
      </w:r>
      <w:r>
        <w:rPr>
          <w:rStyle w:val="htmlcodes"/>
        </w:rPr>
        <w:t>&lt;dots&gt;</w:t>
      </w:r>
      <w:r>
        <w:t>…</w:t>
      </w:r>
      <w:r>
        <w:rPr>
          <w:rStyle w:val="htmlcodes"/>
        </w:rPr>
        <w:t>&lt;/dots&gt;</w:t>
      </w:r>
      <w:r>
        <w:t>li'u” is used, but not</w:t>
      </w:r>
      <w:r>
        <w:rPr>
          <w:rStyle w:val="deletedparamark"/>
        </w:rPr>
        <w:t xml:space="preserve"> </w:t>
      </w:r>
      <w:r>
        <w:t>when “lo'u </w:t>
      </w:r>
      <w:r>
        <w:rPr>
          <w:rStyle w:val="htmlcodes"/>
        </w:rPr>
        <w:t>&lt;dots&gt;</w:t>
      </w:r>
      <w:r>
        <w:t>…</w:t>
      </w:r>
      <w:r>
        <w:rPr>
          <w:rStyle w:val="htmlcodes"/>
        </w:rPr>
        <w:t>&lt;/dots&gt;</w:t>
      </w:r>
      <w:r>
        <w:t>le'u” is used: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name=e9d4&gt;</w:t>
      </w:r>
      <w:r>
        <w:t>9.4)</w:t>
      </w:r>
      <w:r>
        <w:tab/>
        <w:t>la tcarlis. cusku lu le ninmu cu morsi li'u</w:t>
      </w:r>
    </w:p>
    <w:p w:rsidR="00B72047" w:rsidRDefault="00B72047">
      <w:pPr>
        <w:pStyle w:val="examplescaled"/>
      </w:pPr>
      <w:r>
        <w:tab/>
      </w:r>
      <w:r>
        <w:tab/>
        <w:t>.iku'i ri jmive</w:t>
      </w:r>
    </w:p>
    <w:p w:rsidR="00B72047" w:rsidRDefault="00B72047">
      <w:pPr>
        <w:pStyle w:val="examplescaled"/>
      </w:pPr>
      <w:r>
        <w:tab/>
        <w:t xml:space="preserve">Charlie says [quote] the woman is-dead [unquote]. </w:t>
      </w:r>
    </w:p>
    <w:p w:rsidR="00B72047" w:rsidRDefault="00B72047">
      <w:pPr>
        <w:pStyle w:val="examplescaled"/>
      </w:pPr>
      <w:r>
        <w:tab/>
      </w:r>
      <w:r>
        <w:tab/>
        <w:t>However, the-last-mentioned is-alive.</w:t>
      </w:r>
    </w:p>
    <w:p w:rsidR="00B72047" w:rsidRDefault="00B72047">
      <w:pPr>
        <w:pStyle w:val="examplescaled"/>
      </w:pPr>
      <w:r>
        <w:tab/>
        <w:t>Charlie says “The woman is dead”, but she is alive.</w:t>
      </w:r>
    </w:p>
    <w:p w:rsidR="00B72047" w:rsidRDefault="00B72047">
      <w:pPr>
        <w:pStyle w:val="resumedafterexample"/>
      </w:pPr>
      <w:r>
        <w:rPr>
          <w:rStyle w:val="htmlcodes"/>
        </w:rPr>
        <w:t>&lt;/pre&gt;&lt;p&gt;</w:t>
      </w:r>
      <w:r>
        <w:t xml:space="preserve">In </w:t>
      </w:r>
      <w:r>
        <w:rPr>
          <w:rStyle w:val="htmlcodes"/>
        </w:rPr>
        <w:t>&lt;a href=#e9d4&gt;</w:t>
      </w:r>
      <w:r>
        <w:t>Example 9.4</w:t>
      </w:r>
      <w:r>
        <w:rPr>
          <w:rStyle w:val="htmlcodes"/>
        </w:rPr>
        <w:t>&lt;/a&gt;</w:t>
      </w:r>
      <w:r>
        <w:t>, “ri” is a pro-sumti which refers to the most recent previous</w:t>
      </w:r>
      <w:r>
        <w:rPr>
          <w:rStyle w:val="deletedparamark"/>
        </w:rPr>
        <w:t xml:space="preserve"> </w:t>
      </w:r>
      <w:r>
        <w:t>sumti, namely “le ninmu”. Compare: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name=e9d5&gt;</w:t>
      </w:r>
      <w:r>
        <w:t>9.5)</w:t>
      </w:r>
      <w:r>
        <w:tab/>
        <w:t>la tcarlis. cusku lo'u le ninmu cu morsi le'u</w:t>
      </w:r>
    </w:p>
    <w:p w:rsidR="00B72047" w:rsidRDefault="00B72047">
      <w:pPr>
        <w:pStyle w:val="examplescaled"/>
      </w:pPr>
      <w:r>
        <w:tab/>
      </w:r>
      <w:r>
        <w:tab/>
        <w:t>.iku'i ri jmive</w:t>
      </w:r>
    </w:p>
    <w:p w:rsidR="00B72047" w:rsidRDefault="00B72047">
      <w:pPr>
        <w:pStyle w:val="examplescaled"/>
      </w:pPr>
      <w:r>
        <w:tab/>
        <w:t>Charlie says [quote] le ninmu cu morsi [unquote].</w:t>
      </w:r>
    </w:p>
    <w:p w:rsidR="00B72047" w:rsidRDefault="00B72047">
      <w:pPr>
        <w:pStyle w:val="examplescaled"/>
      </w:pPr>
      <w:r>
        <w:tab/>
      </w:r>
      <w:r>
        <w:tab/>
        <w:t>However, the-last-mentioned is-alive.</w:t>
      </w:r>
    </w:p>
    <w:p w:rsidR="00B72047" w:rsidRDefault="00B72047">
      <w:pPr>
        <w:pStyle w:val="examplescaled"/>
      </w:pPr>
      <w:r>
        <w:tab/>
        <w:t>Charlie says “le ninmu cu morsi”, but he is alive.</w:t>
      </w:r>
    </w:p>
    <w:p w:rsidR="00B72047" w:rsidRDefault="00B72047">
      <w:pPr>
        <w:pStyle w:val="resumedafterexample"/>
      </w:pPr>
      <w:r>
        <w:rPr>
          <w:rStyle w:val="htmlcodes"/>
        </w:rPr>
        <w:t>&lt;/pre&gt;</w:t>
      </w:r>
      <w:r>
        <w:rPr>
          <w:rStyle w:val="indexentry"/>
        </w:rPr>
        <w:t>&lt;cx "uninterpreted sequence"&gt;</w:t>
      </w:r>
      <w:r>
        <w:rPr>
          <w:rStyle w:val="indexentry"/>
        </w:rPr>
        <w:fldChar w:fldCharType="begin"/>
      </w:r>
      <w:r>
        <w:instrText>xe "</w:instrText>
      </w:r>
      <w:r>
        <w:rPr>
          <w:rStyle w:val="xeentry"/>
        </w:rPr>
        <w:instrText>uninterpreted sequence</w:instrText>
      </w:r>
      <w:r>
        <w:instrText>"</w:instrText>
      </w:r>
      <w:r>
        <w:rPr>
          <w:rStyle w:val="indexentry"/>
        </w:rPr>
        <w:fldChar w:fldCharType="end"/>
      </w:r>
      <w:r>
        <w:t xml:space="preserve">In </w:t>
      </w:r>
      <w:r>
        <w:rPr>
          <w:rStyle w:val="htmlcodes"/>
        </w:rPr>
        <w:t>&lt;a href=#e9d5&gt;</w:t>
      </w:r>
      <w:r>
        <w:t>Example 9.5</w:t>
      </w:r>
      <w:r>
        <w:rPr>
          <w:rStyle w:val="htmlcodes"/>
        </w:rPr>
        <w:t>&lt;/a&gt;</w:t>
      </w:r>
      <w:r>
        <w:t>, “ri” cannot refer to the referent of the alleged sumti “le</w:t>
      </w:r>
      <w:r>
        <w:rPr>
          <w:rStyle w:val="deletedparamark"/>
        </w:rPr>
        <w:t xml:space="preserve"> </w:t>
      </w:r>
      <w:r>
        <w:t>ninmu”, be</w:t>
      </w:r>
      <w:r>
        <w:softHyphen/>
        <w:t>cause “le ninmu cu morsi” is a mere uninterpreted sequence of</w:t>
      </w:r>
      <w:r>
        <w:rPr>
          <w:rStyle w:val="deletedparamark"/>
        </w:rPr>
        <w:t xml:space="preserve"> </w:t>
      </w:r>
      <w:r>
        <w:t>Lojban words. Instead, “ri” ends up referring to the referent of the sumti</w:t>
      </w:r>
      <w:r>
        <w:rPr>
          <w:rStyle w:val="deletedparamark"/>
        </w:rPr>
        <w:t xml:space="preserve"> “</w:t>
      </w:r>
      <w:r>
        <w:t>la tcarlis.”, and so it is Charlie who is alive.</w:t>
      </w:r>
    </w:p>
    <w:p w:rsidR="00B72047" w:rsidRDefault="00B72047">
      <w:pPr>
        <w:rPr>
          <w:rStyle w:val="htmlparacode"/>
        </w:rPr>
      </w:pPr>
      <w:r>
        <w:rPr>
          <w:rStyle w:val="htmlparacode"/>
        </w:rPr>
        <w:t>&lt;p&gt;</w:t>
      </w:r>
    </w:p>
    <w:p w:rsidR="00B72047" w:rsidRDefault="00B72047">
      <w:pPr>
        <w:pStyle w:val="normalparagraph"/>
      </w:pPr>
      <w:r>
        <w:rPr>
          <w:rStyle w:val="indexentry"/>
        </w:rPr>
        <w:t>&lt;lx "si"&gt;</w:t>
      </w:r>
      <w:r>
        <w:rPr>
          <w:rStyle w:val="indexentry"/>
        </w:rPr>
        <w:fldChar w:fldCharType="begin"/>
      </w:r>
      <w:r>
        <w:instrText>xe "</w:instrText>
      </w:r>
      <w:r>
        <w:rPr>
          <w:rStyle w:val="xeentry"/>
        </w:rPr>
        <w:instrText>si</w:instrText>
      </w:r>
      <w:r>
        <w:instrText>"</w:instrText>
      </w:r>
      <w:r>
        <w:rPr>
          <w:rStyle w:val="indexentry"/>
        </w:rPr>
        <w:fldChar w:fldCharType="end"/>
      </w:r>
      <w:r>
        <w:rPr>
          <w:rStyle w:val="indexentry"/>
        </w:rPr>
        <w:t>&lt;lx "sa"&gt;</w:t>
      </w:r>
      <w:r>
        <w:rPr>
          <w:rStyle w:val="indexentry"/>
        </w:rPr>
        <w:fldChar w:fldCharType="begin"/>
      </w:r>
      <w:r>
        <w:instrText>xe "</w:instrText>
      </w:r>
      <w:r>
        <w:rPr>
          <w:rStyle w:val="xeentry"/>
        </w:rPr>
        <w:instrText>sa</w:instrText>
      </w:r>
      <w:r>
        <w:instrText>"</w:instrText>
      </w:r>
      <w:r>
        <w:rPr>
          <w:rStyle w:val="indexentry"/>
        </w:rPr>
        <w:fldChar w:fldCharType="end"/>
      </w:r>
      <w:r>
        <w:rPr>
          <w:rStyle w:val="indexentry"/>
        </w:rPr>
        <w:t>&lt;lx "su"&gt;</w:t>
      </w:r>
      <w:r>
        <w:rPr>
          <w:rStyle w:val="indexentry"/>
        </w:rPr>
        <w:fldChar w:fldCharType="begin"/>
      </w:r>
      <w:r>
        <w:instrText>xe "</w:instrText>
      </w:r>
      <w:r>
        <w:rPr>
          <w:rStyle w:val="xeentry"/>
        </w:rPr>
        <w:instrText>su</w:instrText>
      </w:r>
      <w:r>
        <w:instrText>"</w:instrText>
      </w:r>
      <w:r>
        <w:rPr>
          <w:rStyle w:val="indexentry"/>
        </w:rPr>
        <w:fldChar w:fldCharType="end"/>
      </w:r>
      <w:r>
        <w:rPr>
          <w:rStyle w:val="indexentry"/>
        </w:rPr>
        <w:t>&lt;cx "metalinguistic erasers, within ungrammatical-Lojban quotation"&gt;</w:t>
      </w:r>
      <w:r>
        <w:rPr>
          <w:rStyle w:val="indexentry"/>
        </w:rPr>
        <w:fldChar w:fldCharType="begin"/>
      </w:r>
      <w:r>
        <w:instrText>xe "</w:instrText>
      </w:r>
      <w:r>
        <w:rPr>
          <w:rStyle w:val="xeentry"/>
        </w:rPr>
        <w:instrText>metalinguistic erasers: within ungrammatical-Lojban quotation</w:instrText>
      </w:r>
      <w:r>
        <w:instrText>"</w:instrText>
      </w:r>
      <w:r>
        <w:rPr>
          <w:rStyle w:val="indexentry"/>
        </w:rPr>
        <w:fldChar w:fldCharType="end"/>
      </w:r>
      <w:r>
        <w:rPr>
          <w:rStyle w:val="indexentry"/>
        </w:rPr>
        <w:t>&lt;cx "quotation, ungrammatical Lojban containing lo'u"&gt;</w:t>
      </w:r>
      <w:r>
        <w:rPr>
          <w:rStyle w:val="indexentry"/>
        </w:rPr>
        <w:fldChar w:fldCharType="begin"/>
      </w:r>
      <w:r>
        <w:instrText>xe "</w:instrText>
      </w:r>
      <w:r>
        <w:rPr>
          <w:rStyle w:val="xeentry"/>
        </w:rPr>
        <w:instrText>quotation: ungrammatical Lojban containing lo'u</w:instrText>
      </w:r>
      <w:r>
        <w:instrText>"</w:instrText>
      </w:r>
      <w:r>
        <w:rPr>
          <w:rStyle w:val="indexentry"/>
        </w:rPr>
        <w:fldChar w:fldCharType="end"/>
      </w:r>
      <w:r>
        <w:rPr>
          <w:rStyle w:val="indexentry"/>
        </w:rPr>
        <w:t>&lt;cx "quotation, ungrammatical Lojban containing le'u"&gt;</w:t>
      </w:r>
      <w:r>
        <w:rPr>
          <w:rStyle w:val="indexentry"/>
        </w:rPr>
        <w:fldChar w:fldCharType="begin"/>
      </w:r>
      <w:r>
        <w:instrText>xe "</w:instrText>
      </w:r>
      <w:r>
        <w:rPr>
          <w:rStyle w:val="xeentry"/>
        </w:rPr>
        <w:instrText>quotation: ungrammatical Lojban containing le'u</w:instrText>
      </w:r>
      <w:r>
        <w:instrText>"</w:instrText>
      </w:r>
      <w:r>
        <w:rPr>
          <w:rStyle w:val="indexentry"/>
        </w:rPr>
        <w:fldChar w:fldCharType="end"/>
      </w:r>
      <w:r>
        <w:t xml:space="preserve">The metalinguistic erasers “si”, “sa”, and “su”, discussed in </w:t>
      </w:r>
      <w:r>
        <w:rPr>
          <w:rStyle w:val="htmlcodes"/>
        </w:rPr>
        <w:t>&lt;a href=#s13&gt;</w:t>
      </w:r>
      <w:r>
        <w:t>Section 13</w:t>
      </w:r>
      <w:r>
        <w:rPr>
          <w:rStyle w:val="htmlcodes"/>
        </w:rPr>
        <w:t>&lt;/a&gt;</w:t>
      </w:r>
      <w:r>
        <w:t>, do</w:t>
      </w:r>
      <w:r>
        <w:rPr>
          <w:rStyle w:val="deletedparamark"/>
        </w:rPr>
        <w:t xml:space="preserve"> </w:t>
      </w:r>
      <w:r>
        <w:t>not ope</w:t>
      </w:r>
      <w:r>
        <w:t>r</w:t>
      </w:r>
      <w:r>
        <w:softHyphen/>
        <w:t>ate in text between “lo'u” and “le'u”. Since the first “le'u”</w:t>
      </w:r>
      <w:r>
        <w:rPr>
          <w:rStyle w:val="deletedparamark"/>
        </w:rPr>
        <w:t xml:space="preserve"> </w:t>
      </w:r>
      <w:r>
        <w:t>terminates a “lo'u” quo</w:t>
      </w:r>
      <w:r>
        <w:softHyphen/>
        <w:t>tation, it is not directly possible to have a</w:t>
      </w:r>
      <w:r>
        <w:rPr>
          <w:rStyle w:val="deletedparamark"/>
        </w:rPr>
        <w:t xml:space="preserve"> “</w:t>
      </w:r>
      <w:r>
        <w:t>lo'u” quotation within another “lo'u” quota</w:t>
      </w:r>
      <w:r>
        <w:softHyphen/>
        <w:t>tion. Ho</w:t>
      </w:r>
      <w:r>
        <w:t>w</w:t>
      </w:r>
      <w:r>
        <w:softHyphen/>
        <w:t>ever, it is possible</w:t>
      </w:r>
      <w:r>
        <w:rPr>
          <w:rStyle w:val="deletedparamark"/>
        </w:rPr>
        <w:t xml:space="preserve"> </w:t>
      </w:r>
      <w:r>
        <w:t>for a “le'u” to occur within a “lo'u </w:t>
      </w:r>
      <w:r>
        <w:rPr>
          <w:rStyle w:val="htmlcodes"/>
        </w:rPr>
        <w:t>&lt;dots&gt;</w:t>
      </w:r>
      <w:r>
        <w:t>…</w:t>
      </w:r>
      <w:r>
        <w:rPr>
          <w:rStyle w:val="htmlcodes"/>
        </w:rPr>
        <w:t>&lt;/dots&gt;</w:t>
      </w:r>
      <w:r>
        <w:t>le'u” quotation by preceding it with</w:t>
      </w:r>
      <w:r>
        <w:rPr>
          <w:rStyle w:val="deletedparamark"/>
        </w:rPr>
        <w:t xml:space="preserve"> </w:t>
      </w:r>
      <w:r>
        <w:t xml:space="preserve">the cmavo “zo”, discussed in </w:t>
      </w:r>
      <w:r>
        <w:rPr>
          <w:rStyle w:val="htmlcodes"/>
        </w:rPr>
        <w:t>&lt;a href=#s10&gt;</w:t>
      </w:r>
      <w:r>
        <w:t>Section 10</w:t>
      </w:r>
      <w:r>
        <w:rPr>
          <w:rStyle w:val="htmlcodes"/>
        </w:rPr>
        <w:t>&lt;/a&gt;</w:t>
      </w:r>
      <w:r>
        <w:t>. Note that “le'u” is not an elidable</w:t>
      </w:r>
      <w:r>
        <w:rPr>
          <w:rStyle w:val="deletedparamark"/>
        </w:rPr>
        <w:t xml:space="preserve"> </w:t>
      </w:r>
      <w:r>
        <w:t>termin</w:t>
      </w:r>
      <w:r>
        <w:t>a</w:t>
      </w:r>
      <w:r>
        <w:softHyphen/>
        <w:t>tor; it is required.</w:t>
      </w:r>
    </w:p>
    <w:p w:rsidR="00B72047" w:rsidRDefault="00B72047">
      <w:pPr>
        <w:rPr>
          <w:rStyle w:val="htmlparacode"/>
        </w:rPr>
      </w:pPr>
      <w:r>
        <w:rPr>
          <w:rStyle w:val="htmlparacode"/>
        </w:rPr>
        <w:t>&lt;p&gt;</w:t>
      </w:r>
    </w:p>
    <w:p w:rsidR="00B72047" w:rsidRDefault="00B72047">
      <w:pPr>
        <w:pStyle w:val="Heading3"/>
        <w:rPr>
          <w:rStyle w:val="Heading3Text"/>
        </w:rPr>
      </w:pPr>
      <w:r>
        <w:rPr>
          <w:rStyle w:val="htmlcodes"/>
        </w:rPr>
        <w:t>&lt;a name=s10&gt;&lt;h3&gt;</w:t>
      </w:r>
      <w:bookmarkStart w:id="534" w:name="_Toc398970770"/>
      <w:r>
        <w:rPr>
          <w:rStyle w:val="Heading3Text"/>
        </w:rPr>
        <w:t>More on quotations: ZO, ZOI</w:t>
      </w:r>
      <w:bookmarkEnd w:id="534"/>
      <w:r>
        <w:rPr>
          <w:rStyle w:val="htmlcodes"/>
        </w:rPr>
        <w:t>&lt;/h3&gt;</w:t>
      </w:r>
    </w:p>
    <w:p w:rsidR="00B72047" w:rsidRDefault="00B72047">
      <w:pPr>
        <w:rPr>
          <w:rStyle w:val="htmlparacode"/>
        </w:rPr>
      </w:pPr>
      <w:r>
        <w:rPr>
          <w:rStyle w:val="htmlparacode"/>
        </w:rPr>
        <w:t>&lt;p&gt;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zo</w:t>
      </w:r>
      <w:r>
        <w:tab/>
        <w:t>ZO</w:t>
      </w:r>
      <w:r>
        <w:tab/>
        <w:t>quote single word</w:t>
      </w:r>
    </w:p>
    <w:p w:rsidR="00B72047" w:rsidRDefault="00B72047">
      <w:pPr>
        <w:pStyle w:val="examplescaled"/>
      </w:pPr>
      <w:r>
        <w:tab/>
        <w:t>zoi</w:t>
      </w:r>
      <w:r>
        <w:tab/>
        <w:t>ZOI</w:t>
      </w:r>
      <w:r>
        <w:tab/>
        <w:t>non-Lojban quotation</w:t>
      </w:r>
    </w:p>
    <w:p w:rsidR="00B72047" w:rsidRDefault="00B72047">
      <w:pPr>
        <w:pStyle w:val="examplescaled"/>
      </w:pPr>
      <w:r>
        <w:tab/>
        <w:t>la'o</w:t>
      </w:r>
      <w:r>
        <w:tab/>
        <w:t>ZOI</w:t>
      </w:r>
      <w:r>
        <w:tab/>
        <w:t>non-Lojban name</w:t>
      </w:r>
    </w:p>
    <w:p w:rsidR="00B72047" w:rsidRDefault="00B72047">
      <w:pPr>
        <w:pStyle w:val="normalafterexample"/>
      </w:pPr>
      <w:r>
        <w:rPr>
          <w:rStyle w:val="htmlcodes"/>
        </w:rPr>
        <w:t>&lt;/pre&gt;</w:t>
      </w:r>
      <w:r>
        <w:rPr>
          <w:rStyle w:val="indexentry"/>
        </w:rPr>
        <w:t>&lt;cx "strong quotation"&gt;</w:t>
      </w:r>
      <w:r>
        <w:rPr>
          <w:rStyle w:val="indexentry"/>
        </w:rPr>
        <w:fldChar w:fldCharType="begin"/>
      </w:r>
      <w:r>
        <w:instrText>xe "</w:instrText>
      </w:r>
      <w:r>
        <w:rPr>
          <w:rStyle w:val="xeentry"/>
        </w:rPr>
        <w:instrText>strong quotation</w:instrText>
      </w:r>
      <w:r>
        <w:instrText>"</w:instrText>
      </w:r>
      <w:r>
        <w:rPr>
          <w:rStyle w:val="indexentry"/>
        </w:rPr>
        <w:fldChar w:fldCharType="end"/>
      </w:r>
      <w:r>
        <w:rPr>
          <w:rStyle w:val="indexentry"/>
        </w:rPr>
        <w:t>&lt;lx "zo"&gt;</w:t>
      </w:r>
      <w:r>
        <w:rPr>
          <w:rStyle w:val="indexentry"/>
        </w:rPr>
        <w:fldChar w:fldCharType="begin"/>
      </w:r>
      <w:r>
        <w:instrText>xe "</w:instrText>
      </w:r>
      <w:r>
        <w:rPr>
          <w:rStyle w:val="xeentry"/>
        </w:rPr>
        <w:instrText>zo</w:instrText>
      </w:r>
      <w:r>
        <w:instrText>"</w:instrText>
      </w:r>
      <w:r>
        <w:rPr>
          <w:rStyle w:val="indexentry"/>
        </w:rPr>
        <w:fldChar w:fldCharType="end"/>
      </w:r>
      <w:r>
        <w:rPr>
          <w:rStyle w:val="indexentry"/>
        </w:rPr>
        <w:t>&lt;lx "ZO"&gt;</w:t>
      </w:r>
      <w:r>
        <w:rPr>
          <w:rStyle w:val="indexentry"/>
        </w:rPr>
        <w:fldChar w:fldCharType="begin"/>
      </w:r>
      <w:r>
        <w:instrText>xe "</w:instrText>
      </w:r>
      <w:r>
        <w:rPr>
          <w:rStyle w:val="xeentry"/>
        </w:rPr>
        <w:instrText>ZO selma’o</w:instrText>
      </w:r>
      <w:r>
        <w:instrText>"</w:instrText>
      </w:r>
      <w:r>
        <w:rPr>
          <w:rStyle w:val="indexentry"/>
        </w:rPr>
        <w:fldChar w:fldCharType="end"/>
      </w:r>
      <w:r>
        <w:rPr>
          <w:rStyle w:val="indexentry"/>
        </w:rPr>
        <w:t>&lt;cx "quotation, of single word"&gt;</w:t>
      </w:r>
      <w:r>
        <w:rPr>
          <w:rStyle w:val="indexentry"/>
        </w:rPr>
        <w:fldChar w:fldCharType="begin"/>
      </w:r>
      <w:r>
        <w:instrText>xe "</w:instrText>
      </w:r>
      <w:r>
        <w:rPr>
          <w:rStyle w:val="xeentry"/>
        </w:rPr>
        <w:instrText>quotation: of single word</w:instrText>
      </w:r>
      <w:r>
        <w:instrText>"</w:instrText>
      </w:r>
      <w:r>
        <w:rPr>
          <w:rStyle w:val="indexentry"/>
        </w:rPr>
        <w:fldChar w:fldCharType="end"/>
      </w:r>
      <w:r>
        <w:t>The cmavo “zo” (of selma'o ZO) is a strong quotation mark for the single</w:t>
      </w:r>
      <w:r>
        <w:rPr>
          <w:rStyle w:val="deletedparamark"/>
        </w:rPr>
        <w:t xml:space="preserve"> </w:t>
      </w:r>
      <w:r>
        <w:t>fol</w:t>
      </w:r>
      <w:r>
        <w:softHyphen/>
        <w:t>lowing word, which can be any Lojban word whatsoever. Among other uses,</w:t>
      </w:r>
      <w:r>
        <w:rPr>
          <w:rStyle w:val="deletedparamark"/>
        </w:rPr>
        <w:t xml:space="preserve"> “</w:t>
      </w:r>
      <w:r>
        <w:t>zo” allows a metalinguistic word to be referenced without having it act on</w:t>
      </w:r>
      <w:r>
        <w:rPr>
          <w:rStyle w:val="deletedparamark"/>
        </w:rPr>
        <w:t xml:space="preserve"> </w:t>
      </w:r>
      <w:r>
        <w:t>the surrounding text. The word must be a morphologically legal (but not</w:t>
      </w:r>
      <w:r>
        <w:rPr>
          <w:rStyle w:val="deletedparamark"/>
        </w:rPr>
        <w:t xml:space="preserve"> </w:t>
      </w:r>
      <w:r>
        <w:t>necessarily meaningful) single Lojban word; compound cmavo are not permitted.</w:t>
      </w:r>
      <w:r>
        <w:rPr>
          <w:rStyle w:val="deletedparamark"/>
        </w:rPr>
        <w:t xml:space="preserve"> </w:t>
      </w:r>
      <w:r>
        <w:t>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name=e10d1&gt;</w:t>
      </w:r>
      <w:r>
        <w:t>10.1)</w:t>
      </w:r>
      <w:r>
        <w:tab/>
        <w:t>zo si cu lojbo valsi</w:t>
      </w:r>
    </w:p>
    <w:p w:rsidR="00B72047" w:rsidRDefault="00B72047">
      <w:pPr>
        <w:pStyle w:val="examplescaled"/>
      </w:pPr>
      <w:r>
        <w:tab/>
        <w:t>“si” is a Lojbanic word.</w:t>
      </w:r>
    </w:p>
    <w:p w:rsidR="00B72047" w:rsidRDefault="00B72047">
      <w:pPr>
        <w:pStyle w:val="resumedafterexample"/>
      </w:pPr>
      <w:r>
        <w:rPr>
          <w:rStyle w:val="htmlcodes"/>
        </w:rPr>
        <w:t>&lt;/pre&gt;&lt;p&gt;</w:t>
      </w:r>
      <w:r>
        <w:t>Since “zo” acts on a single word only, there is no corresponding terminator.</w:t>
      </w:r>
      <w:r>
        <w:rPr>
          <w:rStyle w:val="deletedparamark"/>
        </w:rPr>
        <w:t xml:space="preserve"> </w:t>
      </w:r>
      <w:r>
        <w:t>Brevity, then, is a great advantage of “zo”, since the terminators for</w:t>
      </w:r>
      <w:r>
        <w:rPr>
          <w:rStyle w:val="deletedparamark"/>
        </w:rPr>
        <w:t xml:space="preserve"> </w:t>
      </w:r>
      <w:r>
        <w:t>other kinds of quotation are rarely or never elidable.</w:t>
      </w:r>
    </w:p>
    <w:p w:rsidR="00B72047" w:rsidRDefault="00B72047">
      <w:pPr>
        <w:rPr>
          <w:rStyle w:val="htmlparacode"/>
        </w:rPr>
      </w:pPr>
      <w:r>
        <w:rPr>
          <w:rStyle w:val="htmlparacode"/>
        </w:rPr>
        <w:t>&lt;p&gt;</w:t>
      </w:r>
    </w:p>
    <w:p w:rsidR="00B72047" w:rsidRDefault="00B72047">
      <w:pPr>
        <w:pStyle w:val="normalparagraph"/>
      </w:pPr>
      <w:r>
        <w:rPr>
          <w:rStyle w:val="indexentry"/>
        </w:rPr>
        <w:t>&lt;cx "phoneme stream"&gt;</w:t>
      </w:r>
      <w:r>
        <w:rPr>
          <w:rStyle w:val="indexentry"/>
        </w:rPr>
        <w:fldChar w:fldCharType="begin"/>
      </w:r>
      <w:r>
        <w:instrText>xe "</w:instrText>
      </w:r>
      <w:r>
        <w:rPr>
          <w:rStyle w:val="xeentry"/>
        </w:rPr>
        <w:instrText>phoneme stream</w:instrText>
      </w:r>
      <w:r>
        <w:instrText>"</w:instrText>
      </w:r>
      <w:r>
        <w:rPr>
          <w:rStyle w:val="indexentry"/>
        </w:rPr>
        <w:fldChar w:fldCharType="end"/>
      </w:r>
      <w:r>
        <w:rPr>
          <w:rStyle w:val="indexentry"/>
        </w:rPr>
        <w:t>&lt;lx "zoi"&gt;</w:t>
      </w:r>
      <w:r>
        <w:rPr>
          <w:rStyle w:val="indexentry"/>
        </w:rPr>
        <w:fldChar w:fldCharType="begin"/>
      </w:r>
      <w:r>
        <w:instrText>xe "</w:instrText>
      </w:r>
      <w:r>
        <w:rPr>
          <w:rStyle w:val="xeentry"/>
        </w:rPr>
        <w:instrText>zoi</w:instrText>
      </w:r>
      <w:r>
        <w:instrText>"</w:instrText>
      </w:r>
      <w:r>
        <w:rPr>
          <w:rStyle w:val="indexentry"/>
        </w:rPr>
        <w:fldChar w:fldCharType="end"/>
      </w:r>
      <w:r>
        <w:rPr>
          <w:rStyle w:val="indexentry"/>
        </w:rPr>
        <w:t>&lt;lx "ZOI"&gt;</w:t>
      </w:r>
      <w:r>
        <w:rPr>
          <w:rStyle w:val="indexentry"/>
        </w:rPr>
        <w:fldChar w:fldCharType="begin"/>
      </w:r>
      <w:r>
        <w:instrText>xe "</w:instrText>
      </w:r>
      <w:r>
        <w:rPr>
          <w:rStyle w:val="xeentry"/>
        </w:rPr>
        <w:instrText>ZOI selma’o</w:instrText>
      </w:r>
      <w:r>
        <w:instrText>"</w:instrText>
      </w:r>
      <w:r>
        <w:rPr>
          <w:rStyle w:val="indexentry"/>
        </w:rPr>
        <w:fldChar w:fldCharType="end"/>
      </w:r>
      <w:r>
        <w:rPr>
          <w:rStyle w:val="indexentry"/>
        </w:rPr>
        <w:t>&lt;cx "quotation, of non-Lojban"&gt;</w:t>
      </w:r>
      <w:r>
        <w:rPr>
          <w:rStyle w:val="indexentry"/>
        </w:rPr>
        <w:fldChar w:fldCharType="begin"/>
      </w:r>
      <w:r>
        <w:instrText>xe "</w:instrText>
      </w:r>
      <w:r>
        <w:rPr>
          <w:rStyle w:val="xeentry"/>
        </w:rPr>
        <w:instrText>quotation: of non-Lojban</w:instrText>
      </w:r>
      <w:r>
        <w:instrText>"</w:instrText>
      </w:r>
      <w:r>
        <w:rPr>
          <w:rStyle w:val="indexentry"/>
        </w:rPr>
        <w:fldChar w:fldCharType="end"/>
      </w:r>
      <w:r>
        <w:t>The cmavo “zoi” (of selma'o ZOI) is a quotation mark for quoting non-Lojban text. Its syntax is “zoi X. text .X”, where X is a Lojban word</w:t>
      </w:r>
      <w:r>
        <w:rPr>
          <w:rStyle w:val="deletedparamark"/>
        </w:rPr>
        <w:t xml:space="preserve"> </w:t>
      </w:r>
      <w:r>
        <w:t>(called the delimi</w:t>
      </w:r>
      <w:r>
        <w:t>t</w:t>
      </w:r>
      <w:r>
        <w:softHyphen/>
        <w:t>ing word) which is separated from the quoted text by</w:t>
      </w:r>
      <w:r>
        <w:rPr>
          <w:rStyle w:val="deletedparamark"/>
        </w:rPr>
        <w:t xml:space="preserve"> </w:t>
      </w:r>
      <w:r>
        <w:t>pauses, and which is not found in the written text or spoken phoneme stream.</w:t>
      </w:r>
      <w:r>
        <w:rPr>
          <w:rStyle w:val="deletedparamark"/>
        </w:rPr>
        <w:t xml:space="preserve"> </w:t>
      </w:r>
      <w:r>
        <w:t>It is common, but not required, to use the lerfu word (of selma'o BY) which</w:t>
      </w:r>
      <w:r>
        <w:rPr>
          <w:rStyle w:val="deletedparamark"/>
        </w:rPr>
        <w:t xml:space="preserve"> </w:t>
      </w:r>
      <w:r>
        <w:t>corresponds to the Lojban name of the lan</w:t>
      </w:r>
      <w:r>
        <w:softHyphen/>
        <w:t>guage being quoted: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name=e10d2&gt;</w:t>
      </w:r>
      <w:r>
        <w:t>10.2)</w:t>
      </w:r>
      <w:r>
        <w:tab/>
        <w:t>zoi gy. John is a man .gy. cu glico jufra</w:t>
      </w:r>
    </w:p>
    <w:p w:rsidR="00B72047" w:rsidRDefault="00B72047">
      <w:pPr>
        <w:pStyle w:val="examplescaled"/>
      </w:pPr>
      <w:r>
        <w:tab/>
        <w:t>“John is a man” is an English sentence.</w:t>
      </w:r>
    </w:p>
    <w:p w:rsidR="00B72047" w:rsidRDefault="00B72047">
      <w:pPr>
        <w:pStyle w:val="resumedafterexample"/>
      </w:pPr>
      <w:r>
        <w:rPr>
          <w:rStyle w:val="htmlcodes"/>
        </w:rPr>
        <w:t>&lt;/pre&gt;</w:t>
      </w:r>
      <w:r>
        <w:t>where “gy” stands for “glico”. Other popular choices of delimiting words are “.kuot.”, a Lojban name which sounds like the English word “quote”, and the</w:t>
      </w:r>
      <w:r>
        <w:rPr>
          <w:rStyle w:val="deletedparamark"/>
        </w:rPr>
        <w:t xml:space="preserve"> </w:t>
      </w:r>
      <w:r>
        <w:t>word “zoi” itself. A</w:t>
      </w:r>
      <w:r>
        <w:t>n</w:t>
      </w:r>
      <w:r>
        <w:softHyphen/>
        <w:t>other possibility is a Lojban word suggesting the</w:t>
      </w:r>
      <w:r>
        <w:rPr>
          <w:rStyle w:val="deletedparamark"/>
        </w:rPr>
        <w:t xml:space="preserve"> </w:t>
      </w:r>
      <w:r>
        <w:t>topic of the quotation.</w:t>
      </w:r>
    </w:p>
    <w:p w:rsidR="00B72047" w:rsidRDefault="00B72047">
      <w:pPr>
        <w:rPr>
          <w:rStyle w:val="htmlparacode"/>
        </w:rPr>
      </w:pPr>
      <w:r>
        <w:rPr>
          <w:rStyle w:val="htmlparacode"/>
        </w:rPr>
        <w:t>&lt;p&gt;</w:t>
      </w:r>
    </w:p>
    <w:p w:rsidR="00B72047" w:rsidRDefault="00B72047">
      <w:pPr>
        <w:pStyle w:val="normalparagraph"/>
      </w:pPr>
      <w:r>
        <w:t>Within written text, the Lojban written word used as a delimiting word may</w:t>
      </w:r>
      <w:r>
        <w:rPr>
          <w:rStyle w:val="deletedparamark"/>
        </w:rPr>
        <w:t xml:space="preserve"> </w:t>
      </w:r>
      <w:r>
        <w:t>not a</w:t>
      </w:r>
      <w:r>
        <w:t>p</w:t>
      </w:r>
      <w:r>
        <w:softHyphen/>
        <w:t>pear, whereas within spoken text, the sound of the delimiting word may</w:t>
      </w:r>
      <w:r>
        <w:rPr>
          <w:rStyle w:val="deletedparamark"/>
        </w:rPr>
        <w:t xml:space="preserve"> </w:t>
      </w:r>
      <w:r>
        <w:t>not be uttered. This leads to occasional breakdowns of audio-visual</w:t>
      </w:r>
      <w:r>
        <w:rPr>
          <w:rStyle w:val="deletedparamark"/>
        </w:rPr>
        <w:t xml:space="preserve"> </w:t>
      </w:r>
      <w:r>
        <w:t xml:space="preserve">isomorphism: </w:t>
      </w:r>
      <w:r>
        <w:rPr>
          <w:rStyle w:val="htmlcodes"/>
        </w:rPr>
        <w:t>&lt;a href=#e10d3&gt;</w:t>
      </w:r>
      <w:r>
        <w:t xml:space="preserve">Example 10.3 </w:t>
      </w:r>
      <w:r>
        <w:rPr>
          <w:rStyle w:val="htmlcodes"/>
        </w:rPr>
        <w:t>&lt;/a&gt;</w:t>
      </w:r>
      <w:r>
        <w:t>is fine in speech but ungrammatical as written,</w:t>
      </w:r>
      <w:r>
        <w:rPr>
          <w:rStyle w:val="deletedparamark"/>
        </w:rPr>
        <w:t xml:space="preserve"> </w:t>
      </w:r>
      <w:r>
        <w:t xml:space="preserve">whereas </w:t>
      </w:r>
      <w:r>
        <w:rPr>
          <w:rStyle w:val="htmlcodes"/>
        </w:rPr>
        <w:t>&lt;a href=#e10d4&gt;</w:t>
      </w:r>
      <w:r>
        <w:t xml:space="preserve">Example 10.4 </w:t>
      </w:r>
      <w:r>
        <w:rPr>
          <w:rStyle w:val="htmlcodes"/>
        </w:rPr>
        <w:t>&lt;/a&gt;</w:t>
      </w:r>
      <w:r>
        <w:t>is correct when written but ungrammatical in speech.</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name=e10d3&gt;</w:t>
      </w:r>
      <w:r>
        <w:t>10.3)</w:t>
      </w:r>
      <w:r>
        <w:tab/>
        <w:t>?mi djuno fi le valsi po'u zoi gy. gyrations .gy.</w:t>
      </w:r>
    </w:p>
    <w:p w:rsidR="00B72047" w:rsidRDefault="00B72047">
      <w:pPr>
        <w:pStyle w:val="examplescaled"/>
      </w:pPr>
      <w:r>
        <w:tab/>
        <w:t>I know about the word which-is “gyrations”.</w:t>
      </w:r>
    </w:p>
    <w:p w:rsidR="00B72047" w:rsidRDefault="00B72047">
      <w:pPr>
        <w:pStyle w:val="examplescaledpre"/>
      </w:pPr>
      <w:r>
        <w:rPr>
          <w:rStyle w:val="htmlcodes"/>
        </w:rPr>
        <w:t>&lt;a name=e10d4&gt;</w:t>
      </w:r>
      <w:r>
        <w:t>10.4)</w:t>
      </w:r>
      <w:r>
        <w:tab/>
        <w:t>?mi djuno fi le valsi po'u zoi jai. gyrations .jai</w:t>
      </w:r>
    </w:p>
    <w:p w:rsidR="00B72047" w:rsidRDefault="00B72047">
      <w:pPr>
        <w:pStyle w:val="examplescaled"/>
      </w:pPr>
      <w:r>
        <w:tab/>
        <w:t>I know about the word which-is “gyrations”.</w:t>
      </w:r>
    </w:p>
    <w:p w:rsidR="00B72047" w:rsidRDefault="00B72047">
      <w:pPr>
        <w:pStyle w:val="resumedafterexample"/>
      </w:pPr>
      <w:r>
        <w:rPr>
          <w:rStyle w:val="htmlcodes"/>
        </w:rPr>
        <w:t>&lt;/pre&gt;&lt;p&gt;</w:t>
      </w:r>
      <w:r>
        <w:t>The text “gy” appears in the written word “gyrations”, whereas the sound</w:t>
      </w:r>
      <w:r>
        <w:rPr>
          <w:rStyle w:val="deletedparamark"/>
        </w:rPr>
        <w:t xml:space="preserve"> </w:t>
      </w:r>
      <w:r>
        <w:t>represented in Lojban by “jai” appears in the spoken word “gyrations”.</w:t>
      </w:r>
      <w:r>
        <w:rPr>
          <w:rStyle w:val="deletedparamark"/>
        </w:rPr>
        <w:t xml:space="preserve"> </w:t>
      </w:r>
      <w:r>
        <w:t>Such borderline cases should be avoided as a matter of good style.</w:t>
      </w:r>
    </w:p>
    <w:p w:rsidR="00B72047" w:rsidRDefault="00B72047">
      <w:pPr>
        <w:rPr>
          <w:rStyle w:val="htmlparacode"/>
        </w:rPr>
      </w:pPr>
      <w:r>
        <w:rPr>
          <w:rStyle w:val="htmlparacode"/>
        </w:rPr>
        <w:t>&lt;p&gt;</w:t>
      </w:r>
    </w:p>
    <w:p w:rsidR="00B72047" w:rsidRDefault="00B72047">
      <w:pPr>
        <w:pStyle w:val="normalparagraph"/>
      </w:pPr>
      <w:r>
        <w:rPr>
          <w:rStyle w:val="indexentry"/>
        </w:rPr>
        <w:t>&lt;cx "quotation, of rafsi"&gt;</w:t>
      </w:r>
      <w:r>
        <w:rPr>
          <w:rStyle w:val="indexentry"/>
        </w:rPr>
        <w:fldChar w:fldCharType="begin"/>
      </w:r>
      <w:r>
        <w:instrText>xe "</w:instrText>
      </w:r>
      <w:r>
        <w:rPr>
          <w:rStyle w:val="xeentry"/>
        </w:rPr>
        <w:instrText>quotation: of rafsi</w:instrText>
      </w:r>
      <w:r>
        <w:instrText>"</w:instrText>
      </w:r>
      <w:r>
        <w:rPr>
          <w:rStyle w:val="indexentry"/>
        </w:rPr>
        <w:fldChar w:fldCharType="end"/>
      </w:r>
      <w:r>
        <w:rPr>
          <w:rStyle w:val="indexentry"/>
        </w:rPr>
        <w:t>&lt;cx "rafsi, quotation of"&gt;</w:t>
      </w:r>
      <w:r>
        <w:rPr>
          <w:rStyle w:val="indexentry"/>
        </w:rPr>
        <w:fldChar w:fldCharType="begin"/>
      </w:r>
      <w:r>
        <w:instrText>xe "</w:instrText>
      </w:r>
      <w:r>
        <w:rPr>
          <w:rStyle w:val="xeentry"/>
        </w:rPr>
        <w:instrText>rafsi: quotation of</w:instrText>
      </w:r>
      <w:r>
        <w:instrText>"</w:instrText>
      </w:r>
      <w:r>
        <w:rPr>
          <w:rStyle w:val="indexentry"/>
        </w:rPr>
        <w:fldChar w:fldCharType="end"/>
      </w:r>
      <w:r>
        <w:t>It should be noted particularly that “zoi” quotation is the only way</w:t>
      </w:r>
      <w:r>
        <w:rPr>
          <w:rStyle w:val="deletedparamark"/>
        </w:rPr>
        <w:t xml:space="preserve"> </w:t>
      </w:r>
      <w:r>
        <w:t>to quote rafsi, specifically CCV rafsi, because they are not Lojban words,</w:t>
      </w:r>
      <w:r>
        <w:rPr>
          <w:rStyle w:val="deletedparamark"/>
        </w:rPr>
        <w:t xml:space="preserve"> </w:t>
      </w:r>
      <w:r>
        <w:t>and “zoi” quotation is the only way to quote things which are not Lojban</w:t>
      </w:r>
      <w:r>
        <w:rPr>
          <w:rStyle w:val="deletedparamark"/>
        </w:rPr>
        <w:t xml:space="preserve"> </w:t>
      </w:r>
      <w:r>
        <w:t>words. (CVC and CVV rafsi look like names and cmavo respectively, and so</w:t>
      </w:r>
      <w:r>
        <w:rPr>
          <w:rStyle w:val="deletedparamark"/>
        </w:rPr>
        <w:t xml:space="preserve"> </w:t>
      </w:r>
      <w:r>
        <w:t>can be quoted using other methods.)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name=e10d5&gt;</w:t>
      </w:r>
      <w:r>
        <w:t>10.5)</w:t>
      </w:r>
      <w:r>
        <w:tab/>
        <w:t>zoi ry. sku .ry. cu rafsi zo cusku</w:t>
      </w:r>
    </w:p>
    <w:p w:rsidR="00B72047" w:rsidRDefault="00B72047">
      <w:pPr>
        <w:pStyle w:val="examplescaled"/>
      </w:pPr>
      <w:r>
        <w:tab/>
        <w:t>“sku” is a rafsi of “cusku”.</w:t>
      </w:r>
    </w:p>
    <w:p w:rsidR="00B72047" w:rsidRDefault="00B72047">
      <w:pPr>
        <w:pStyle w:val="normalafterexample"/>
      </w:pPr>
      <w:r>
        <w:rPr>
          <w:rStyle w:val="htmlcodes"/>
        </w:rPr>
        <w:t>&lt;/pre&gt;</w:t>
      </w:r>
      <w:r>
        <w:rPr>
          <w:rStyle w:val="indexentry"/>
        </w:rPr>
        <w:t>&lt;cx "lo'u, interaction with zoi"&gt;</w:t>
      </w:r>
      <w:r>
        <w:rPr>
          <w:rStyle w:val="indexentry"/>
        </w:rPr>
        <w:fldChar w:fldCharType="begin"/>
      </w:r>
      <w:r>
        <w:instrText>xe "</w:instrText>
      </w:r>
      <w:r>
        <w:rPr>
          <w:rStyle w:val="xeentry"/>
        </w:rPr>
        <w:instrText>lo'u: interaction with zoi</w:instrText>
      </w:r>
      <w:r>
        <w:instrText>"</w:instrText>
      </w:r>
      <w:r>
        <w:rPr>
          <w:rStyle w:val="indexentry"/>
        </w:rPr>
        <w:fldChar w:fldCharType="end"/>
      </w:r>
      <w:r>
        <w:rPr>
          <w:rStyle w:val="indexentry"/>
        </w:rPr>
        <w:t>&lt;cx "le'u, interaction with zoi"&gt;</w:t>
      </w:r>
      <w:r>
        <w:rPr>
          <w:rStyle w:val="indexentry"/>
        </w:rPr>
        <w:fldChar w:fldCharType="begin"/>
      </w:r>
      <w:r>
        <w:instrText>xe "</w:instrText>
      </w:r>
      <w:r>
        <w:rPr>
          <w:rStyle w:val="xeentry"/>
        </w:rPr>
        <w:instrText>le'u: interaction with zoi</w:instrText>
      </w:r>
      <w:r>
        <w:instrText>"</w:instrText>
      </w:r>
      <w:r>
        <w:rPr>
          <w:rStyle w:val="indexentry"/>
        </w:rPr>
        <w:fldChar w:fldCharType="end"/>
      </w:r>
      <w:r>
        <w:rPr>
          <w:rStyle w:val="indexentry"/>
        </w:rPr>
        <w:t>&lt;cx "zoi, interaction with lo'u/le'u"&gt;</w:t>
      </w:r>
      <w:r>
        <w:rPr>
          <w:rStyle w:val="indexentry"/>
        </w:rPr>
        <w:fldChar w:fldCharType="begin"/>
      </w:r>
      <w:r>
        <w:instrText>xe "</w:instrText>
      </w:r>
      <w:r>
        <w:rPr>
          <w:rStyle w:val="xeentry"/>
        </w:rPr>
        <w:instrText>zoi: interaction with lo'u/le'u</w:instrText>
      </w:r>
      <w:r>
        <w:instrText>"</w:instrText>
      </w:r>
      <w:r>
        <w:rPr>
          <w:rStyle w:val="indexentry"/>
        </w:rPr>
        <w:fldChar w:fldCharType="end"/>
      </w:r>
      <w:r>
        <w:t>(A minor note on interaction between “lo'u </w:t>
      </w:r>
      <w:r>
        <w:rPr>
          <w:rStyle w:val="htmlcodes"/>
        </w:rPr>
        <w:t>&lt;dots&gt;</w:t>
      </w:r>
      <w:r>
        <w:t>…</w:t>
      </w:r>
      <w:r>
        <w:rPr>
          <w:rStyle w:val="htmlcodes"/>
        </w:rPr>
        <w:t>&lt;/dots&gt;</w:t>
      </w:r>
      <w:r>
        <w:t>le'u” and “zoi”: The text</w:t>
      </w:r>
      <w:r>
        <w:rPr>
          <w:rStyle w:val="deletedparamark"/>
        </w:rPr>
        <w:t xml:space="preserve"> </w:t>
      </w:r>
      <w:r>
        <w:t>be</w:t>
      </w:r>
      <w:r>
        <w:softHyphen/>
        <w:t>tween “lo'u” and “le'u” should consist of Lojban words only. In fact,</w:t>
      </w:r>
      <w:r>
        <w:rPr>
          <w:rStyle w:val="deletedparamark"/>
        </w:rPr>
        <w:t xml:space="preserve"> </w:t>
      </w:r>
      <w:r>
        <w:t>non-Lojban mate</w:t>
      </w:r>
      <w:r>
        <w:softHyphen/>
        <w:t>rial in the form of a “zoi” quotation may also appear.</w:t>
      </w:r>
      <w:r>
        <w:rPr>
          <w:rStyle w:val="deletedparamark"/>
        </w:rPr>
        <w:t xml:space="preserve"> </w:t>
      </w:r>
      <w:r>
        <w:t>However, if the word “le'u” is used either as the delimiting word for</w:t>
      </w:r>
      <w:r>
        <w:rPr>
          <w:rStyle w:val="deletedparamark"/>
        </w:rPr>
        <w:t xml:space="preserve"> </w:t>
      </w:r>
      <w:r>
        <w:t>the “zoi” quotation, or within the quotation itself, the outer “lo'u”</w:t>
      </w:r>
      <w:r>
        <w:rPr>
          <w:rStyle w:val="deletedparamark"/>
        </w:rPr>
        <w:t xml:space="preserve"> </w:t>
      </w:r>
      <w:r>
        <w:t>quotation will be prematurely terminated. Therefore, “le'u” should be</w:t>
      </w:r>
      <w:r>
        <w:rPr>
          <w:rStyle w:val="deletedparamark"/>
        </w:rPr>
        <w:t xml:space="preserve"> </w:t>
      </w:r>
      <w:r>
        <w:t>avoided as the d</w:t>
      </w:r>
      <w:r>
        <w:t>e</w:t>
      </w:r>
      <w:r>
        <w:softHyphen/>
        <w:t>limiting word in any “zoi” quotation.)</w:t>
      </w:r>
    </w:p>
    <w:p w:rsidR="00B72047" w:rsidRDefault="00B72047">
      <w:pPr>
        <w:rPr>
          <w:rStyle w:val="htmlparacode"/>
        </w:rPr>
      </w:pPr>
      <w:r>
        <w:rPr>
          <w:rStyle w:val="htmlparacode"/>
        </w:rPr>
        <w:t>&lt;p&gt;</w:t>
      </w:r>
    </w:p>
    <w:p w:rsidR="00B72047" w:rsidRDefault="00B72047">
      <w:pPr>
        <w:pStyle w:val="normalparagraph"/>
      </w:pPr>
      <w:r>
        <w:rPr>
          <w:rStyle w:val="indexentry"/>
        </w:rPr>
        <w:t>&lt;cx "names, with zo versus la"&gt;</w:t>
      </w:r>
      <w:r>
        <w:rPr>
          <w:rStyle w:val="indexentry"/>
        </w:rPr>
        <w:fldChar w:fldCharType="begin"/>
      </w:r>
      <w:r>
        <w:instrText>xe "</w:instrText>
      </w:r>
      <w:r>
        <w:rPr>
          <w:rStyle w:val="xeentry"/>
        </w:rPr>
        <w:instrText>names: with zo versus la</w:instrText>
      </w:r>
      <w:r>
        <w:instrText>"</w:instrText>
      </w:r>
      <w:r>
        <w:rPr>
          <w:rStyle w:val="indexentry"/>
        </w:rPr>
        <w:fldChar w:fldCharType="end"/>
      </w:r>
      <w:r>
        <w:rPr>
          <w:rStyle w:val="indexentry"/>
        </w:rPr>
        <w:t>&lt;cx "zo, contrasted with la for names"&gt;</w:t>
      </w:r>
      <w:r>
        <w:rPr>
          <w:rStyle w:val="indexentry"/>
        </w:rPr>
        <w:fldChar w:fldCharType="begin"/>
      </w:r>
      <w:r>
        <w:instrText>xe "</w:instrText>
      </w:r>
      <w:r>
        <w:rPr>
          <w:rStyle w:val="xeentry"/>
        </w:rPr>
        <w:instrText>zo: contrasted with la for names</w:instrText>
      </w:r>
      <w:r>
        <w:instrText>"</w:instrText>
      </w:r>
      <w:r>
        <w:rPr>
          <w:rStyle w:val="indexentry"/>
        </w:rPr>
        <w:fldChar w:fldCharType="end"/>
      </w:r>
      <w:r>
        <w:rPr>
          <w:rStyle w:val="indexentry"/>
        </w:rPr>
        <w:t>&lt;cx "la, contrasted with zo"&gt;</w:t>
      </w:r>
      <w:r>
        <w:rPr>
          <w:rStyle w:val="indexentry"/>
        </w:rPr>
        <w:fldChar w:fldCharType="begin"/>
      </w:r>
      <w:r>
        <w:instrText>xe "</w:instrText>
      </w:r>
      <w:r>
        <w:rPr>
          <w:rStyle w:val="xeentry"/>
        </w:rPr>
        <w:instrText>la: contrasted with zo</w:instrText>
      </w:r>
      <w:r>
        <w:instrText>"</w:instrText>
      </w:r>
      <w:r>
        <w:rPr>
          <w:rStyle w:val="indexentry"/>
        </w:rPr>
        <w:fldChar w:fldCharType="end"/>
      </w:r>
      <w:r>
        <w:rPr>
          <w:rStyle w:val="indexentry"/>
        </w:rPr>
        <w:t>&lt;cx "quotation, referent versus symbol"&gt;</w:t>
      </w:r>
      <w:r>
        <w:rPr>
          <w:rStyle w:val="indexentry"/>
        </w:rPr>
        <w:fldChar w:fldCharType="begin"/>
      </w:r>
      <w:r>
        <w:instrText>xe "</w:instrText>
      </w:r>
      <w:r>
        <w:rPr>
          <w:rStyle w:val="xeentry"/>
        </w:rPr>
        <w:instrText>quotation: referent versus symbol</w:instrText>
      </w:r>
      <w:r>
        <w:instrText>"</w:instrText>
      </w:r>
      <w:r>
        <w:rPr>
          <w:rStyle w:val="indexentry"/>
        </w:rPr>
        <w:fldChar w:fldCharType="end"/>
      </w:r>
      <w:r>
        <w:rPr>
          <w:rStyle w:val="indexentry"/>
        </w:rPr>
        <w:t>&lt;cx "referent, contrasted with symbol"&gt;</w:t>
      </w:r>
      <w:r>
        <w:rPr>
          <w:rStyle w:val="indexentry"/>
        </w:rPr>
        <w:fldChar w:fldCharType="begin"/>
      </w:r>
      <w:r>
        <w:instrText>xe "</w:instrText>
      </w:r>
      <w:r>
        <w:rPr>
          <w:rStyle w:val="xeentry"/>
        </w:rPr>
        <w:instrText>referent: contrasted with symbol</w:instrText>
      </w:r>
      <w:r>
        <w:instrText>"</w:instrText>
      </w:r>
      <w:r>
        <w:rPr>
          <w:rStyle w:val="indexentry"/>
        </w:rPr>
        <w:fldChar w:fldCharType="end"/>
      </w:r>
      <w:r>
        <w:rPr>
          <w:rStyle w:val="indexentry"/>
        </w:rPr>
        <w:t>&lt;cx "symbol, contrasted with referent"&gt;</w:t>
      </w:r>
      <w:r>
        <w:rPr>
          <w:rStyle w:val="indexentry"/>
        </w:rPr>
        <w:fldChar w:fldCharType="begin"/>
      </w:r>
      <w:r>
        <w:instrText>xe "</w:instrText>
      </w:r>
      <w:r>
        <w:rPr>
          <w:rStyle w:val="xeentry"/>
        </w:rPr>
        <w:instrText>symbol: contrasted with referent</w:instrText>
      </w:r>
      <w:r>
        <w:instrText>"</w:instrText>
      </w:r>
      <w:r>
        <w:rPr>
          <w:rStyle w:val="indexentry"/>
        </w:rPr>
        <w:fldChar w:fldCharType="end"/>
      </w:r>
      <w:r>
        <w:t>Lojban strictly avoids any confusion between things and the names of things: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name=e10d6&gt;</w:t>
      </w:r>
      <w:r>
        <w:t>10.6)</w:t>
      </w:r>
      <w:r>
        <w:tab/>
        <w:t>zo .bab. cmene la bab.</w:t>
      </w:r>
    </w:p>
    <w:p w:rsidR="00B72047" w:rsidRDefault="00B72047">
      <w:pPr>
        <w:pStyle w:val="examplescaled"/>
      </w:pPr>
      <w:r>
        <w:tab/>
        <w:t>The-word “Bob” is-the-name-of the-one-named Bob.</w:t>
      </w:r>
    </w:p>
    <w:p w:rsidR="00B72047" w:rsidRDefault="00B72047">
      <w:pPr>
        <w:pStyle w:val="resumedafterexample"/>
      </w:pPr>
      <w:r>
        <w:rPr>
          <w:rStyle w:val="htmlcodes"/>
        </w:rPr>
        <w:t>&lt;/pre&gt;</w:t>
      </w:r>
      <w:r>
        <w:rPr>
          <w:rStyle w:val="indexentry"/>
        </w:rPr>
        <w:t>&lt;lx "la'e"&gt;</w:t>
      </w:r>
      <w:r>
        <w:rPr>
          <w:rStyle w:val="indexentry"/>
        </w:rPr>
        <w:fldChar w:fldCharType="begin"/>
      </w:r>
      <w:r>
        <w:instrText>xe "</w:instrText>
      </w:r>
      <w:r>
        <w:rPr>
          <w:rStyle w:val="xeentry"/>
        </w:rPr>
        <w:instrText>la'e</w:instrText>
      </w:r>
      <w:r>
        <w:instrText>"</w:instrText>
      </w:r>
      <w:r>
        <w:rPr>
          <w:rStyle w:val="indexentry"/>
        </w:rPr>
        <w:fldChar w:fldCharType="end"/>
      </w:r>
      <w:r>
        <w:rPr>
          <w:rStyle w:val="indexentry"/>
        </w:rPr>
        <w:t>&lt;lx "lu'e"&gt;</w:t>
      </w:r>
      <w:r>
        <w:rPr>
          <w:rStyle w:val="indexentry"/>
        </w:rPr>
        <w:fldChar w:fldCharType="begin"/>
      </w:r>
      <w:r>
        <w:instrText>xe "</w:instrText>
      </w:r>
      <w:r>
        <w:rPr>
          <w:rStyle w:val="xeentry"/>
        </w:rPr>
        <w:instrText>lu'e</w:instrText>
      </w:r>
      <w:r>
        <w:instrText>"</w:instrText>
      </w:r>
      <w:r>
        <w:rPr>
          <w:rStyle w:val="indexentry"/>
        </w:rPr>
        <w:fldChar w:fldCharType="end"/>
      </w:r>
      <w:r>
        <w:rPr>
          <w:rStyle w:val="indexentry"/>
        </w:rPr>
        <w:t>&lt;lx "LAhE"&gt;</w:t>
      </w:r>
      <w:r>
        <w:rPr>
          <w:rStyle w:val="indexentry"/>
        </w:rPr>
        <w:fldChar w:fldCharType="begin"/>
      </w:r>
      <w:r>
        <w:instrText>xe "</w:instrText>
      </w:r>
      <w:r>
        <w:rPr>
          <w:rStyle w:val="xeentry"/>
        </w:rPr>
        <w:instrText>LAhE selma’o</w:instrText>
      </w:r>
      <w:r>
        <w:instrText>"</w:instrText>
      </w:r>
      <w:r>
        <w:rPr>
          <w:rStyle w:val="indexentry"/>
        </w:rPr>
        <w:fldChar w:fldCharType="end"/>
      </w:r>
      <w:r>
        <w:t xml:space="preserve">In </w:t>
      </w:r>
      <w:r>
        <w:rPr>
          <w:rStyle w:val="htmlcodes"/>
        </w:rPr>
        <w:t>&lt;a href=#e10d6&gt;</w:t>
      </w:r>
      <w:r>
        <w:t>Example 10.6</w:t>
      </w:r>
      <w:r>
        <w:rPr>
          <w:rStyle w:val="htmlcodes"/>
        </w:rPr>
        <w:t>&lt;/a&gt;</w:t>
      </w:r>
      <w:r>
        <w:t>, “zo .bab.” is the word, whereas “la bab.” is the thing</w:t>
      </w:r>
      <w:r>
        <w:rPr>
          <w:rStyle w:val="deletedparamark"/>
        </w:rPr>
        <w:t xml:space="preserve"> </w:t>
      </w:r>
      <w:r>
        <w:t>named by the word. The cmavo “la'e” and “lu'e” (of selma'o</w:t>
      </w:r>
      <w:r>
        <w:rPr>
          <w:rStyle w:val="deletedparamark"/>
        </w:rPr>
        <w:t xml:space="preserve"> </w:t>
      </w:r>
      <w:r>
        <w:t>LAhE) convert back and forth between references and their referents: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name=e10d7&gt;</w:t>
      </w:r>
      <w:r>
        <w:t>10.7)</w:t>
      </w:r>
      <w:r>
        <w:tab/>
        <w:t>zo .bab. cmene la'e zo .bab.</w:t>
      </w:r>
    </w:p>
    <w:p w:rsidR="00B72047" w:rsidRDefault="00B72047">
      <w:pPr>
        <w:pStyle w:val="examplescaled"/>
      </w:pPr>
      <w:r>
        <w:tab/>
        <w:t>The-word “Bob” is-the-name-of the-referent-of the-word “Bob”.</w:t>
      </w:r>
    </w:p>
    <w:p w:rsidR="00B72047" w:rsidRDefault="00B72047">
      <w:pPr>
        <w:pStyle w:val="examplescaledpre"/>
      </w:pPr>
      <w:r>
        <w:rPr>
          <w:rStyle w:val="htmlcodes"/>
        </w:rPr>
        <w:t>&lt;a name=e10d8&gt;</w:t>
      </w:r>
      <w:r>
        <w:t>10.8)</w:t>
      </w:r>
      <w:r>
        <w:tab/>
        <w:t>lu'e la bab. cmene la bab.</w:t>
      </w:r>
    </w:p>
    <w:p w:rsidR="00B72047" w:rsidRDefault="00B72047">
      <w:pPr>
        <w:pStyle w:val="examplescaled"/>
      </w:pPr>
      <w:r>
        <w:tab/>
        <w:t>A-symbol-for Bob is-the-name-of Bob.</w:t>
      </w:r>
    </w:p>
    <w:p w:rsidR="00B72047" w:rsidRDefault="00B72047">
      <w:pPr>
        <w:pStyle w:val="resumedafterexample"/>
      </w:pPr>
      <w:r>
        <w:rPr>
          <w:rStyle w:val="htmlcodes"/>
        </w:rPr>
        <w:t>&lt;/pre&gt;&lt;a href=#e10d{6}&gt;</w:t>
      </w:r>
      <w:r>
        <w:t xml:space="preserve">Examples 10.6 </w:t>
      </w:r>
      <w:r>
        <w:rPr>
          <w:rStyle w:val="htmlcodes"/>
        </w:rPr>
        <w:t>&lt;/a&gt;</w:t>
      </w:r>
      <w:r>
        <w:t xml:space="preserve">through </w:t>
      </w:r>
      <w:r>
        <w:rPr>
          <w:rStyle w:val="htmlcodes"/>
        </w:rPr>
        <w:t>&lt;a href=#e10d8&gt;</w:t>
      </w:r>
      <w:r>
        <w:t xml:space="preserve">10.8 </w:t>
      </w:r>
      <w:r>
        <w:rPr>
          <w:rStyle w:val="htmlcodes"/>
        </w:rPr>
        <w:t>&lt;/a&gt;</w:t>
      </w:r>
      <w:r>
        <w:t>all mean approximately the same thing, except for</w:t>
      </w:r>
      <w:r>
        <w:rPr>
          <w:rStyle w:val="deletedparamark"/>
        </w:rPr>
        <w:t xml:space="preserve"> </w:t>
      </w:r>
      <w:r>
        <w:t>differ</w:t>
      </w:r>
      <w:r>
        <w:softHyphen/>
        <w:t xml:space="preserve">ences in emphasis. </w:t>
      </w:r>
      <w:r>
        <w:rPr>
          <w:rStyle w:val="htmlcodes"/>
        </w:rPr>
        <w:t>&lt;a href=#e10d9&gt;</w:t>
      </w:r>
      <w:r>
        <w:t xml:space="preserve">Example 10.9 </w:t>
      </w:r>
      <w:r>
        <w:rPr>
          <w:rStyle w:val="htmlcodes"/>
        </w:rPr>
        <w:t>&lt;/a&gt;</w:t>
      </w:r>
      <w:r>
        <w:t>is different:</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name=e10d9&gt;</w:t>
      </w:r>
      <w:r>
        <w:t>10.9)</w:t>
      </w:r>
      <w:r>
        <w:tab/>
        <w:t>la bab. cmene la bab.</w:t>
      </w:r>
    </w:p>
    <w:p w:rsidR="00B72047" w:rsidRDefault="00B72047">
      <w:pPr>
        <w:pStyle w:val="examplescaled"/>
      </w:pPr>
      <w:r>
        <w:tab/>
        <w:t>Bob is the name of Bob.</w:t>
      </w:r>
    </w:p>
    <w:p w:rsidR="00B72047" w:rsidRDefault="00B72047">
      <w:pPr>
        <w:pStyle w:val="resumedafterexample"/>
      </w:pPr>
      <w:r>
        <w:rPr>
          <w:rStyle w:val="htmlcodes"/>
        </w:rPr>
        <w:t>&lt;/pre&gt;</w:t>
      </w:r>
      <w:r>
        <w:t>and says that Bob is both the name and the thing named, an unlikely situation.</w:t>
      </w:r>
      <w:r>
        <w:rPr>
          <w:rStyle w:val="deletedparamark"/>
        </w:rPr>
        <w:t xml:space="preserve"> </w:t>
      </w:r>
      <w:r>
        <w:t>People are not names.</w:t>
      </w:r>
    </w:p>
    <w:p w:rsidR="00B72047" w:rsidRDefault="00B72047">
      <w:pPr>
        <w:rPr>
          <w:rStyle w:val="htmlparacode"/>
        </w:rPr>
      </w:pPr>
      <w:r>
        <w:rPr>
          <w:rStyle w:val="htmlparacode"/>
        </w:rPr>
        <w:t>&lt;p&gt;</w:t>
      </w:r>
    </w:p>
    <w:p w:rsidR="00B72047" w:rsidRDefault="00B72047">
      <w:pPr>
        <w:pStyle w:val="normalparagraph"/>
      </w:pPr>
      <w:r>
        <w:t xml:space="preserve">(In </w:t>
      </w:r>
      <w:r>
        <w:rPr>
          <w:rStyle w:val="htmlcodes"/>
        </w:rPr>
        <w:t>&lt;a href=#e10d{6}&gt;</w:t>
      </w:r>
      <w:r>
        <w:t xml:space="preserve">Examples 10.6 </w:t>
      </w:r>
      <w:r>
        <w:rPr>
          <w:rStyle w:val="htmlcodes"/>
        </w:rPr>
        <w:t>&lt;/a&gt;</w:t>
      </w:r>
      <w:r>
        <w:t xml:space="preserve">through </w:t>
      </w:r>
      <w:r>
        <w:rPr>
          <w:rStyle w:val="htmlcodes"/>
        </w:rPr>
        <w:t>&lt;a href=#e10d7&gt;</w:t>
      </w:r>
      <w:r>
        <w:t>10.7</w:t>
      </w:r>
      <w:r>
        <w:rPr>
          <w:rStyle w:val="htmlcodes"/>
        </w:rPr>
        <w:t>&lt;/a&gt;</w:t>
      </w:r>
      <w:r>
        <w:t>, the name “bab.” was separated from</w:t>
      </w:r>
      <w:r>
        <w:rPr>
          <w:rStyle w:val="deletedparamark"/>
        </w:rPr>
        <w:t xml:space="preserve"> </w:t>
      </w:r>
      <w:r>
        <w:t>a pre</w:t>
      </w:r>
      <w:r>
        <w:softHyphen/>
        <w:t>ceding “zo” by a pause, thus: “zo .bab.”. The reason for this extra</w:t>
      </w:r>
      <w:r>
        <w:rPr>
          <w:rStyle w:val="deletedparamark"/>
        </w:rPr>
        <w:t xml:space="preserve"> </w:t>
      </w:r>
      <w:r>
        <w:t>pause is that all Loj</w:t>
      </w:r>
      <w:r>
        <w:softHyphen/>
        <w:t>ban names must be separated by pause from any preceding</w:t>
      </w:r>
      <w:r>
        <w:rPr>
          <w:rStyle w:val="deletedparamark"/>
        </w:rPr>
        <w:t xml:space="preserve"> </w:t>
      </w:r>
      <w:r>
        <w:t>word other than “la”, “lai”, “la'i” (all of selma'o LA) and “doi” (of</w:t>
      </w:r>
      <w:r>
        <w:rPr>
          <w:rStyle w:val="deletedparamark"/>
        </w:rPr>
        <w:t xml:space="preserve"> </w:t>
      </w:r>
      <w:r>
        <w:t>selma'o DOI). There are numerous other cmavo that may pr</w:t>
      </w:r>
      <w:r>
        <w:t>e</w:t>
      </w:r>
      <w:r>
        <w:softHyphen/>
        <w:t>cede a name:</w:t>
      </w:r>
      <w:r>
        <w:rPr>
          <w:rStyle w:val="deletedparamark"/>
        </w:rPr>
        <w:t xml:space="preserve"> </w:t>
      </w:r>
      <w:r>
        <w:t>of these, “zo” is one of the most common.)</w:t>
      </w:r>
    </w:p>
    <w:p w:rsidR="00B72047" w:rsidRDefault="00B72047">
      <w:pPr>
        <w:rPr>
          <w:rStyle w:val="htmlparacode"/>
        </w:rPr>
      </w:pPr>
      <w:r>
        <w:rPr>
          <w:rStyle w:val="htmlparacode"/>
        </w:rPr>
        <w:t>&lt;p&gt;</w:t>
      </w:r>
    </w:p>
    <w:p w:rsidR="00B72047" w:rsidRDefault="00B72047">
      <w:pPr>
        <w:pStyle w:val="normalparagraph"/>
      </w:pPr>
      <w:r>
        <w:rPr>
          <w:rStyle w:val="indexentry"/>
        </w:rPr>
        <w:t>&lt;cx "Linnaean"&gt;</w:t>
      </w:r>
      <w:r>
        <w:rPr>
          <w:rStyle w:val="indexentry"/>
        </w:rPr>
        <w:fldChar w:fldCharType="begin"/>
      </w:r>
      <w:r>
        <w:instrText>xe "</w:instrText>
      </w:r>
      <w:r>
        <w:rPr>
          <w:rStyle w:val="xeentry"/>
        </w:rPr>
        <w:instrText>Linnaean</w:instrText>
      </w:r>
      <w:r>
        <w:instrText>"</w:instrText>
      </w:r>
      <w:r>
        <w:rPr>
          <w:rStyle w:val="indexentry"/>
        </w:rPr>
        <w:fldChar w:fldCharType="end"/>
      </w:r>
      <w:r>
        <w:rPr>
          <w:rStyle w:val="indexentry"/>
        </w:rPr>
        <w:t>&lt;cx "Goethe"&gt;</w:t>
      </w:r>
      <w:r>
        <w:rPr>
          <w:rStyle w:val="indexentry"/>
        </w:rPr>
        <w:fldChar w:fldCharType="begin"/>
      </w:r>
      <w:r>
        <w:instrText>xe "</w:instrText>
      </w:r>
      <w:r>
        <w:rPr>
          <w:rStyle w:val="xeentry"/>
        </w:rPr>
        <w:instrText>Goethe</w:instrText>
      </w:r>
      <w:r>
        <w:instrText>"</w:instrText>
      </w:r>
      <w:r>
        <w:rPr>
          <w:rStyle w:val="indexentry"/>
        </w:rPr>
        <w:fldChar w:fldCharType="end"/>
      </w:r>
      <w:r>
        <w:rPr>
          <w:rStyle w:val="indexentry"/>
        </w:rPr>
        <w:t>&lt;lx "la'o"&gt;</w:t>
      </w:r>
      <w:r>
        <w:rPr>
          <w:rStyle w:val="indexentry"/>
        </w:rPr>
        <w:fldChar w:fldCharType="begin"/>
      </w:r>
      <w:r>
        <w:instrText>xe "</w:instrText>
      </w:r>
      <w:r>
        <w:rPr>
          <w:rStyle w:val="xeentry"/>
        </w:rPr>
        <w:instrText>la'o</w:instrText>
      </w:r>
      <w:r>
        <w:instrText>"</w:instrText>
      </w:r>
      <w:r>
        <w:rPr>
          <w:rStyle w:val="indexentry"/>
        </w:rPr>
        <w:fldChar w:fldCharType="end"/>
      </w:r>
      <w:r>
        <w:rPr>
          <w:rStyle w:val="indexentry"/>
        </w:rPr>
        <w:t>&lt;lx "ZOI"&gt;</w:t>
      </w:r>
      <w:r>
        <w:rPr>
          <w:rStyle w:val="indexentry"/>
        </w:rPr>
        <w:fldChar w:fldCharType="begin"/>
      </w:r>
      <w:r>
        <w:instrText>xe "</w:instrText>
      </w:r>
      <w:r>
        <w:rPr>
          <w:rStyle w:val="xeentry"/>
        </w:rPr>
        <w:instrText>ZOI selma’o</w:instrText>
      </w:r>
      <w:r>
        <w:instrText>"</w:instrText>
      </w:r>
      <w:r>
        <w:rPr>
          <w:rStyle w:val="indexentry"/>
        </w:rPr>
        <w:fldChar w:fldCharType="end"/>
      </w:r>
      <w:r>
        <w:rPr>
          <w:rStyle w:val="indexentry"/>
        </w:rPr>
        <w:t>&lt;cx "names, non-Lojban"&gt;</w:t>
      </w:r>
      <w:r>
        <w:rPr>
          <w:rStyle w:val="indexentry"/>
        </w:rPr>
        <w:fldChar w:fldCharType="begin"/>
      </w:r>
      <w:r>
        <w:instrText>xe "</w:instrText>
      </w:r>
      <w:r>
        <w:rPr>
          <w:rStyle w:val="xeentry"/>
        </w:rPr>
        <w:instrText>names: non-Lojban</w:instrText>
      </w:r>
      <w:r>
        <w:instrText>"</w:instrText>
      </w:r>
      <w:r>
        <w:rPr>
          <w:rStyle w:val="indexentry"/>
        </w:rPr>
        <w:fldChar w:fldCharType="end"/>
      </w:r>
      <w:r>
        <w:rPr>
          <w:rStyle w:val="indexentry"/>
        </w:rPr>
        <w:t>&lt;cx "Linnaean binomials"&gt;</w:t>
      </w:r>
      <w:r>
        <w:rPr>
          <w:rStyle w:val="indexentry"/>
        </w:rPr>
        <w:fldChar w:fldCharType="begin"/>
      </w:r>
      <w:r>
        <w:instrText>xe "</w:instrText>
      </w:r>
      <w:r>
        <w:rPr>
          <w:rStyle w:val="xeentry"/>
        </w:rPr>
        <w:instrText>Linnaean binomials</w:instrText>
      </w:r>
      <w:r>
        <w:instrText>"</w:instrText>
      </w:r>
      <w:r>
        <w:rPr>
          <w:rStyle w:val="indexentry"/>
        </w:rPr>
        <w:fldChar w:fldCharType="end"/>
      </w:r>
      <w:r>
        <w:t>The cmavo “la'o” also belongs to selma'o ZOI, and is mentioned here for</w:t>
      </w:r>
      <w:r>
        <w:rPr>
          <w:rStyle w:val="deletedparamark"/>
        </w:rPr>
        <w:t xml:space="preserve"> </w:t>
      </w:r>
      <w:r>
        <w:t>com</w:t>
      </w:r>
      <w:r>
        <w:softHyphen/>
        <w:t>plete</w:t>
      </w:r>
      <w:r>
        <w:softHyphen/>
        <w:t>ness, although it does not signal the beginning of a quotation.</w:t>
      </w:r>
      <w:r>
        <w:rPr>
          <w:rStyle w:val="deletedparamark"/>
        </w:rPr>
        <w:t xml:space="preserve"> </w:t>
      </w:r>
      <w:r>
        <w:t>Instead, “la'o” serves to mark non-Lojban names, especially the Linnaean</w:t>
      </w:r>
      <w:r>
        <w:rPr>
          <w:rStyle w:val="deletedparamark"/>
        </w:rPr>
        <w:t xml:space="preserve"> </w:t>
      </w:r>
      <w:r>
        <w:t>binomial names (such as “Homo sapi</w:t>
      </w:r>
      <w:r>
        <w:softHyphen/>
        <w:t>ens”) which are the internationally</w:t>
      </w:r>
      <w:r>
        <w:rPr>
          <w:rStyle w:val="deletedparamark"/>
        </w:rPr>
        <w:t xml:space="preserve"> </w:t>
      </w:r>
      <w:r>
        <w:t>standardized names for species of animals and plants. Internationally</w:t>
      </w:r>
      <w:r>
        <w:rPr>
          <w:rStyle w:val="deletedparamark"/>
        </w:rPr>
        <w:t xml:space="preserve"> </w:t>
      </w:r>
      <w:r>
        <w:t>known names which can more easily be recognized by spelling rather than</w:t>
      </w:r>
      <w:r>
        <w:rPr>
          <w:rStyle w:val="deletedparamark"/>
        </w:rPr>
        <w:t xml:space="preserve"> </w:t>
      </w:r>
      <w:r>
        <w:t>pronunciation, such as “Goethe”, can also appear in Lojban text with</w:t>
      </w:r>
      <w:r>
        <w:rPr>
          <w:rStyle w:val="deletedparamark"/>
        </w:rPr>
        <w:t xml:space="preserve"> “</w:t>
      </w:r>
      <w:r>
        <w:t>la'o”: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name=e10d10&gt;</w:t>
      </w:r>
      <w:r>
        <w:t>10.10)</w:t>
      </w:r>
      <w:r>
        <w:tab/>
        <w:t>la'o dy. Goethe .dy. cu me la'o ly. Homo sapiens .ly.</w:t>
      </w:r>
    </w:p>
    <w:p w:rsidR="00B72047" w:rsidRDefault="00B72047">
      <w:pPr>
        <w:pStyle w:val="examplescaled"/>
      </w:pPr>
      <w:r>
        <w:tab/>
        <w:t>Goethe is a Homo sapiens.</w:t>
      </w:r>
    </w:p>
    <w:p w:rsidR="00B72047" w:rsidRDefault="00B72047">
      <w:pPr>
        <w:pStyle w:val="resumedafterexample"/>
      </w:pPr>
      <w:r>
        <w:rPr>
          <w:rStyle w:val="htmlcodes"/>
        </w:rPr>
        <w:t>&lt;/pre&gt;</w:t>
      </w:r>
      <w:r>
        <w:rPr>
          <w:rStyle w:val="indexentry"/>
        </w:rPr>
        <w:t>&lt;cx "cumbersome text"&gt;</w:t>
      </w:r>
      <w:r>
        <w:rPr>
          <w:rStyle w:val="indexentry"/>
        </w:rPr>
        <w:fldChar w:fldCharType="begin"/>
      </w:r>
      <w:r>
        <w:instrText>xe "</w:instrText>
      </w:r>
      <w:r>
        <w:rPr>
          <w:rStyle w:val="xeentry"/>
        </w:rPr>
        <w:instrText>cumbersome text</w:instrText>
      </w:r>
      <w:r>
        <w:instrText>"</w:instrText>
      </w:r>
      <w:r>
        <w:rPr>
          <w:rStyle w:val="indexentry"/>
        </w:rPr>
        <w:fldChar w:fldCharType="end"/>
      </w:r>
      <w:r>
        <w:t>Using “la'o” for all names rather than Lojbanizing, however, makes for</w:t>
      </w:r>
      <w:r>
        <w:rPr>
          <w:rStyle w:val="deletedparamark"/>
        </w:rPr>
        <w:t xml:space="preserve"> </w:t>
      </w:r>
      <w:r>
        <w:t>very cumber</w:t>
      </w:r>
      <w:r>
        <w:softHyphen/>
        <w:t>some text. A rough equivalent of “la'o” might be “la me zoi”.</w:t>
      </w:r>
    </w:p>
    <w:p w:rsidR="00B72047" w:rsidRDefault="00B72047">
      <w:pPr>
        <w:rPr>
          <w:rStyle w:val="htmlparacode"/>
        </w:rPr>
      </w:pPr>
      <w:r>
        <w:rPr>
          <w:rStyle w:val="htmlparacode"/>
        </w:rPr>
        <w:t>&lt;p&gt;</w:t>
      </w:r>
    </w:p>
    <w:p w:rsidR="00B72047" w:rsidRDefault="00B72047">
      <w:pPr>
        <w:pStyle w:val="Heading3"/>
        <w:rPr>
          <w:rStyle w:val="Heading3Text"/>
        </w:rPr>
      </w:pPr>
      <w:bookmarkStart w:id="535" w:name="_Toc398970771"/>
      <w:r>
        <w:rPr>
          <w:rStyle w:val="Heading3Text"/>
        </w:rPr>
        <w:t>Contrastive emphasis: BAhE</w:t>
      </w:r>
      <w:bookmarkEnd w:id="535"/>
      <w:r>
        <w:rPr>
          <w:rStyle w:val="htmlcodes"/>
        </w:rPr>
        <w:t>&lt;/h3&gt;</w:t>
      </w:r>
    </w:p>
    <w:p w:rsidR="00B72047" w:rsidRDefault="00B72047">
      <w:pPr>
        <w:rPr>
          <w:rStyle w:val="htmlparacode"/>
        </w:rPr>
      </w:pPr>
      <w:r>
        <w:rPr>
          <w:rStyle w:val="htmlparacode"/>
        </w:rPr>
        <w:t>&lt;p&gt;</w:t>
      </w:r>
      <w:r>
        <w:rPr>
          <w:rStyle w:val="indexentry"/>
        </w:rPr>
        <w:t>&lt;cx "emphasis"&gt;</w:t>
      </w:r>
      <w:r>
        <w:rPr>
          <w:rStyle w:val="indexentry"/>
        </w:rPr>
        <w:fldChar w:fldCharType="begin"/>
      </w:r>
      <w:r>
        <w:instrText>xe "</w:instrText>
      </w:r>
      <w:r>
        <w:rPr>
          <w:rStyle w:val="xeentry"/>
        </w:rPr>
        <w:instrText>emphasis</w:instrText>
      </w:r>
      <w:r>
        <w:instrText>"</w:instrText>
      </w:r>
      <w:r>
        <w:rPr>
          <w:rStyle w:val="indexentry"/>
        </w:rPr>
        <w:fldChar w:fldCharType="end"/>
      </w:r>
      <w:r>
        <w:rPr>
          <w:rStyle w:val="htmlcodes"/>
        </w:rPr>
        <w:t>&lt;a name=s11&gt;&lt;h3&gt;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ba'e</w:t>
      </w:r>
      <w:r>
        <w:tab/>
        <w:t>BAhE</w:t>
      </w:r>
      <w:r>
        <w:tab/>
        <w:t>emphasize next word</w:t>
      </w:r>
    </w:p>
    <w:p w:rsidR="00B72047" w:rsidRDefault="00B72047">
      <w:pPr>
        <w:pStyle w:val="examplescaled"/>
      </w:pPr>
      <w:r>
        <w:tab/>
        <w:t>za'e</w:t>
      </w:r>
      <w:r>
        <w:tab/>
        <w:t>BAhE</w:t>
      </w:r>
      <w:r>
        <w:tab/>
        <w:t>next word is nonce</w:t>
      </w:r>
    </w:p>
    <w:p w:rsidR="00B72047" w:rsidRDefault="00B72047">
      <w:pPr>
        <w:pStyle w:val="normalafterexample"/>
      </w:pPr>
      <w:r>
        <w:rPr>
          <w:rStyle w:val="htmlcodes"/>
        </w:rPr>
        <w:t>&lt;/pre&gt;&lt;p&gt;</w:t>
      </w:r>
      <w:r>
        <w:t>English often uses strong stress on a word to single it out for contrastive</w:t>
      </w:r>
      <w:r>
        <w:rPr>
          <w:rStyle w:val="deletedparamark"/>
        </w:rPr>
        <w:t xml:space="preserve"> </w:t>
      </w:r>
      <w:r>
        <w:t>em</w:t>
      </w:r>
      <w:r>
        <w:softHyphen/>
        <w:t>phasis, thus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name=e11d1&gt;</w:t>
      </w:r>
      <w:r>
        <w:t>11.1)</w:t>
      </w:r>
      <w:r>
        <w:tab/>
        <w:t>I saw George.</w:t>
      </w:r>
    </w:p>
    <w:p w:rsidR="00B72047" w:rsidRDefault="00B72047">
      <w:pPr>
        <w:pStyle w:val="resumedafterexample"/>
      </w:pPr>
      <w:r>
        <w:rPr>
          <w:rStyle w:val="htmlcodes"/>
        </w:rPr>
        <w:t>&lt;/pre&gt;</w:t>
      </w:r>
      <w:r>
        <w:t>is quite different from</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name=e11d2&gt;</w:t>
      </w:r>
      <w:r>
        <w:t>11.2)</w:t>
      </w:r>
      <w:r>
        <w:tab/>
        <w:t xml:space="preserve">I saw </w:t>
      </w:r>
      <w:r>
        <w:rPr>
          <w:rStyle w:val="htmlcodes"/>
        </w:rPr>
        <w:t>&lt;i&gt;</w:t>
      </w:r>
      <w:r>
        <w:rPr>
          <w:rFonts w:ascii="Times Roman" w:hAnsi="Times Roman" w:cs="Times Roman"/>
          <w:i/>
          <w:iCs/>
        </w:rPr>
        <w:t>George</w:t>
      </w:r>
      <w:r>
        <w:rPr>
          <w:rStyle w:val="htmlcodes"/>
        </w:rPr>
        <w:t>&lt;/i&gt;</w:t>
      </w:r>
      <w:r>
        <w:t>.</w:t>
      </w:r>
    </w:p>
    <w:p w:rsidR="00B72047" w:rsidRDefault="00B72047">
      <w:pPr>
        <w:pStyle w:val="resumedafterexample"/>
      </w:pPr>
      <w:r>
        <w:rPr>
          <w:rStyle w:val="htmlcodes"/>
        </w:rPr>
        <w:t>&lt;/pre&gt;&lt;p&gt;</w:t>
      </w:r>
      <w:r>
        <w:t>The heavy stress on “</w:t>
      </w:r>
      <w:r>
        <w:rPr>
          <w:rStyle w:val="htmlcodes"/>
        </w:rPr>
        <w:t>&lt;i&gt;</w:t>
      </w:r>
      <w:r>
        <w:rPr>
          <w:i/>
          <w:iCs/>
        </w:rPr>
        <w:t>George</w:t>
      </w:r>
      <w:r>
        <w:rPr>
          <w:rStyle w:val="htmlcodes"/>
        </w:rPr>
        <w:t>&lt;/i&gt;</w:t>
      </w:r>
      <w:r>
        <w:t xml:space="preserve">” (represented in writing by </w:t>
      </w:r>
      <w:r>
        <w:rPr>
          <w:rStyle w:val="htmlcodes"/>
        </w:rPr>
        <w:t>&lt;i&gt;</w:t>
      </w:r>
      <w:r>
        <w:rPr>
          <w:i/>
          <w:iCs/>
        </w:rPr>
        <w:t>italics</w:t>
      </w:r>
      <w:r>
        <w:rPr>
          <w:rStyle w:val="htmlcodes"/>
        </w:rPr>
        <w:t>&lt;/i&gt;</w:t>
      </w:r>
      <w:r>
        <w:t>)</w:t>
      </w:r>
      <w:r>
        <w:rPr>
          <w:rStyle w:val="deletedparamark"/>
        </w:rPr>
        <w:t xml:space="preserve"> </w:t>
      </w:r>
      <w:r>
        <w:t>indicates that I saw George rather than someone else. Lojban does not use</w:t>
      </w:r>
      <w:r>
        <w:rPr>
          <w:rStyle w:val="deletedparamark"/>
        </w:rPr>
        <w:t xml:space="preserve"> </w:t>
      </w:r>
      <w:r>
        <w:t>stress in this way: stress is used only to help separate words (because every</w:t>
      </w:r>
      <w:r>
        <w:rPr>
          <w:rStyle w:val="deletedparamark"/>
        </w:rPr>
        <w:t xml:space="preserve"> </w:t>
      </w:r>
      <w:r>
        <w:t>brivla is stressed on the penultimate sylla</w:t>
      </w:r>
      <w:r>
        <w:softHyphen/>
        <w:t>ble) and in names to match other</w:t>
      </w:r>
      <w:r>
        <w:rPr>
          <w:rStyle w:val="deletedparamark"/>
        </w:rPr>
        <w:t xml:space="preserve"> </w:t>
      </w:r>
      <w:r>
        <w:t>languages' stress patterns. Note that many other lan</w:t>
      </w:r>
      <w:r>
        <w:softHyphen/>
        <w:t>guages do not use stress</w:t>
      </w:r>
      <w:r>
        <w:rPr>
          <w:rStyle w:val="deletedparamark"/>
        </w:rPr>
        <w:t xml:space="preserve"> </w:t>
      </w:r>
      <w:r>
        <w:t>in this way either; typically word order is rearranged, produc</w:t>
      </w:r>
      <w:r>
        <w:softHyphen/>
        <w:t>ing something</w:t>
      </w:r>
      <w:r>
        <w:rPr>
          <w:rStyle w:val="deletedparamark"/>
        </w:rPr>
        <w:t xml:space="preserve"> </w:t>
      </w:r>
      <w:r>
        <w:t>like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name=e11d3&gt;</w:t>
      </w:r>
      <w:r>
        <w:t>11.3)</w:t>
      </w:r>
      <w:r>
        <w:tab/>
        <w:t>It was George whom I saw.</w:t>
      </w:r>
    </w:p>
    <w:p w:rsidR="00B72047" w:rsidRDefault="00B72047">
      <w:pPr>
        <w:pStyle w:val="normalafterexample"/>
      </w:pPr>
      <w:r>
        <w:rPr>
          <w:rStyle w:val="htmlcodes"/>
        </w:rPr>
        <w:t>&lt;/pre&gt;</w:t>
      </w:r>
      <w:r>
        <w:rPr>
          <w:rStyle w:val="indexentry"/>
        </w:rPr>
        <w:t>&lt;lx "ba'e"&gt;</w:t>
      </w:r>
      <w:r>
        <w:rPr>
          <w:rStyle w:val="indexentry"/>
        </w:rPr>
        <w:fldChar w:fldCharType="begin"/>
      </w:r>
      <w:r>
        <w:instrText>xe "</w:instrText>
      </w:r>
      <w:r>
        <w:rPr>
          <w:rStyle w:val="xeentry"/>
        </w:rPr>
        <w:instrText>ba'e</w:instrText>
      </w:r>
      <w:r>
        <w:instrText>"</w:instrText>
      </w:r>
      <w:r>
        <w:rPr>
          <w:rStyle w:val="indexentry"/>
        </w:rPr>
        <w:fldChar w:fldCharType="end"/>
      </w:r>
      <w:r>
        <w:rPr>
          <w:rStyle w:val="indexentry"/>
        </w:rPr>
        <w:t>&lt;lx "BAhE"&gt;</w:t>
      </w:r>
      <w:r>
        <w:rPr>
          <w:rStyle w:val="indexentry"/>
        </w:rPr>
        <w:fldChar w:fldCharType="begin"/>
      </w:r>
      <w:r>
        <w:instrText>xe "</w:instrText>
      </w:r>
      <w:r>
        <w:rPr>
          <w:rStyle w:val="xeentry"/>
        </w:rPr>
        <w:instrText>BAhE selma’o</w:instrText>
      </w:r>
      <w:r>
        <w:instrText>"</w:instrText>
      </w:r>
      <w:r>
        <w:rPr>
          <w:rStyle w:val="indexentry"/>
        </w:rPr>
        <w:fldChar w:fldCharType="end"/>
      </w:r>
      <w:r>
        <w:t>In Lojban, the cmavo “ba'e” (of selma'o BAhE) precedes a single word which</w:t>
      </w:r>
      <w:r>
        <w:rPr>
          <w:rStyle w:val="deletedparamark"/>
        </w:rPr>
        <w:t xml:space="preserve"> </w:t>
      </w:r>
      <w:r>
        <w:t>is to be emphasized: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name=e11d4&gt;</w:t>
      </w:r>
      <w:r>
        <w:t>11.4)</w:t>
      </w:r>
      <w:r>
        <w:tab/>
        <w:t>mi viska la ba'e .djordj.</w:t>
      </w:r>
    </w:p>
    <w:p w:rsidR="00B72047" w:rsidRDefault="00B72047">
      <w:pPr>
        <w:pStyle w:val="examplescaled"/>
      </w:pPr>
      <w:r>
        <w:tab/>
        <w:t>I saw the-one-named [emphasis] “George”.</w:t>
      </w:r>
    </w:p>
    <w:p w:rsidR="00B72047" w:rsidRDefault="00B72047">
      <w:pPr>
        <w:pStyle w:val="examplescaled"/>
      </w:pPr>
      <w:r>
        <w:tab/>
        <w:t xml:space="preserve">I saw </w:t>
      </w:r>
      <w:r>
        <w:rPr>
          <w:rStyle w:val="htmlcodes"/>
        </w:rPr>
        <w:t>&lt;i&gt;</w:t>
      </w:r>
      <w:r>
        <w:rPr>
          <w:rFonts w:ascii="Times Roman" w:hAnsi="Times Roman" w:cs="Times Roman"/>
          <w:i/>
          <w:iCs/>
        </w:rPr>
        <w:t>George</w:t>
      </w:r>
      <w:r>
        <w:rPr>
          <w:rStyle w:val="htmlcodes"/>
        </w:rPr>
        <w:t>&lt;/i&gt;</w:t>
      </w:r>
      <w:r>
        <w:t>.</w:t>
      </w:r>
    </w:p>
    <w:p w:rsidR="00B72047" w:rsidRDefault="00B72047">
      <w:pPr>
        <w:pStyle w:val="resumedafterexample"/>
      </w:pPr>
      <w:r>
        <w:rPr>
          <w:rStyle w:val="htmlcodes"/>
        </w:rPr>
        <w:t>&lt;/pre&gt;&lt;p&gt;</w:t>
      </w:r>
      <w:r>
        <w:t>Note the pause before the name “djordj.”, which serves to separate it</w:t>
      </w:r>
      <w:r>
        <w:rPr>
          <w:rStyle w:val="deletedparamark"/>
        </w:rPr>
        <w:t xml:space="preserve"> </w:t>
      </w:r>
      <w:r>
        <w:t>unambiguously from the “ba'e”. Alternatively, the “ba'e” can be moved</w:t>
      </w:r>
      <w:r>
        <w:rPr>
          <w:rStyle w:val="deletedparamark"/>
        </w:rPr>
        <w:t xml:space="preserve"> </w:t>
      </w:r>
      <w:r>
        <w:t>to a position before the “la”, which in effect emphasizes the whole</w:t>
      </w:r>
      <w:r>
        <w:rPr>
          <w:rStyle w:val="deletedparamark"/>
        </w:rPr>
        <w:t xml:space="preserve"> </w:t>
      </w:r>
      <w:r>
        <w:t>construct “la djordj.”:</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name=e11d5&gt;</w:t>
      </w:r>
      <w:r>
        <w:t>11.5)</w:t>
      </w:r>
      <w:r>
        <w:tab/>
        <w:t>mi viska ba'e la djordj.</w:t>
      </w:r>
    </w:p>
    <w:p w:rsidR="00B72047" w:rsidRDefault="00B72047">
      <w:pPr>
        <w:pStyle w:val="examplescaled"/>
      </w:pPr>
      <w:r>
        <w:tab/>
        <w:t>I saw [emphasis] the-one-named “George”.</w:t>
      </w:r>
    </w:p>
    <w:p w:rsidR="00B72047" w:rsidRDefault="00B72047">
      <w:pPr>
        <w:pStyle w:val="examplescaled"/>
      </w:pPr>
      <w:r>
        <w:tab/>
        <w:t xml:space="preserve">I saw </w:t>
      </w:r>
      <w:r>
        <w:rPr>
          <w:rStyle w:val="htmlcodes"/>
        </w:rPr>
        <w:t>&lt;i&gt;</w:t>
      </w:r>
      <w:r>
        <w:rPr>
          <w:rFonts w:ascii="Times Roman" w:hAnsi="Times Roman" w:cs="Times Roman"/>
          <w:i/>
          <w:iCs/>
        </w:rPr>
        <w:t>George</w:t>
      </w:r>
      <w:r>
        <w:rPr>
          <w:rStyle w:val="htmlcodes"/>
        </w:rPr>
        <w:t>&lt;/i&gt;</w:t>
      </w:r>
      <w:r>
        <w:t>.</w:t>
      </w:r>
    </w:p>
    <w:p w:rsidR="00B72047" w:rsidRDefault="00B72047">
      <w:pPr>
        <w:pStyle w:val="resumedafterexample"/>
      </w:pPr>
      <w:r>
        <w:rPr>
          <w:rStyle w:val="htmlcodes"/>
        </w:rPr>
        <w:t>&lt;/pre&gt;</w:t>
      </w:r>
      <w:r>
        <w:rPr>
          <w:rStyle w:val="indexentry"/>
        </w:rPr>
        <w:t>&lt;cx "emphasis marking"&gt;</w:t>
      </w:r>
      <w:r>
        <w:rPr>
          <w:rStyle w:val="indexentry"/>
        </w:rPr>
        <w:fldChar w:fldCharType="begin"/>
      </w:r>
      <w:r>
        <w:instrText>xe "</w:instrText>
      </w:r>
      <w:r>
        <w:rPr>
          <w:rStyle w:val="xeentry"/>
        </w:rPr>
        <w:instrText>emphasis marking</w:instrText>
      </w:r>
      <w:r>
        <w:instrText>"</w:instrText>
      </w:r>
      <w:r>
        <w:rPr>
          <w:rStyle w:val="indexentry"/>
        </w:rPr>
        <w:fldChar w:fldCharType="end"/>
      </w:r>
      <w:r>
        <w:t>Marking a word with a cmavo of BAhE does not change the word's grammar in</w:t>
      </w:r>
      <w:r>
        <w:rPr>
          <w:rStyle w:val="deletedparamark"/>
        </w:rPr>
        <w:t xml:space="preserve"> </w:t>
      </w:r>
      <w:r>
        <w:t>any way. Any word in a bridi can receive contrastive emphasis marking:</w:t>
      </w:r>
    </w:p>
    <w:p w:rsidR="00B72047" w:rsidRDefault="00B72047">
      <w:pPr>
        <w:rPr>
          <w:rStyle w:val="htmlparacode"/>
        </w:rPr>
      </w:pPr>
      <w:r>
        <w:rPr>
          <w:rStyle w:val="htmlparacode"/>
          <w:vanish w:val="0"/>
        </w:rPr>
        <w:br w:type="page"/>
      </w:r>
      <w:r>
        <w:rPr>
          <w:rStyle w:val="htmlparacode"/>
        </w:rPr>
        <w:t>&lt;p&gt;</w:t>
      </w:r>
    </w:p>
    <w:p w:rsidR="00B72047" w:rsidRDefault="00B72047">
      <w:pPr>
        <w:pStyle w:val="examplescaledpre"/>
        <w:spacing w:before="0"/>
      </w:pPr>
      <w:r>
        <w:rPr>
          <w:rStyle w:val="htmlcodes"/>
        </w:rPr>
        <w:t>&lt;pre&gt;&lt;a name=e11d6&gt;</w:t>
      </w:r>
      <w:r>
        <w:t>11.6)</w:t>
      </w:r>
      <w:r>
        <w:tab/>
        <w:t>ba'e mi viska la djordj.</w:t>
      </w:r>
    </w:p>
    <w:p w:rsidR="00B72047" w:rsidRDefault="00B72047">
      <w:pPr>
        <w:pStyle w:val="examplescaled"/>
      </w:pPr>
      <w:r>
        <w:tab/>
        <w:t>I, no one else, saw George.</w:t>
      </w:r>
    </w:p>
    <w:p w:rsidR="00B72047" w:rsidRDefault="00B72047">
      <w:pPr>
        <w:pStyle w:val="examplescaledpre"/>
      </w:pPr>
      <w:r>
        <w:rPr>
          <w:rStyle w:val="htmlcodes"/>
        </w:rPr>
        <w:t>&lt;a name=e11d7&gt;</w:t>
      </w:r>
      <w:r>
        <w:t>11.7)</w:t>
      </w:r>
      <w:r>
        <w:tab/>
        <w:t>mi ba'e viska la djordj.</w:t>
      </w:r>
    </w:p>
    <w:p w:rsidR="00B72047" w:rsidRDefault="00B72047">
      <w:pPr>
        <w:pStyle w:val="examplescaled"/>
      </w:pPr>
      <w:r>
        <w:tab/>
        <w:t>I saw (not heard or smelled) George.</w:t>
      </w:r>
    </w:p>
    <w:p w:rsidR="00B72047" w:rsidRDefault="00B72047">
      <w:pPr>
        <w:pStyle w:val="normalafterexample"/>
      </w:pPr>
      <w:r>
        <w:rPr>
          <w:rStyle w:val="htmlcodes"/>
        </w:rPr>
        <w:t>&lt;/pre&gt;&lt;p&gt;</w:t>
      </w:r>
      <w:r>
        <w:t>Emphasis on one of the structural components of a Lojban bridi can also</w:t>
      </w:r>
      <w:r>
        <w:rPr>
          <w:rStyle w:val="deletedparamark"/>
        </w:rPr>
        <w:t xml:space="preserve"> </w:t>
      </w:r>
      <w:r>
        <w:t>be achieved by rearranging it into an order that is not the speaker's</w:t>
      </w:r>
      <w:r>
        <w:rPr>
          <w:rStyle w:val="deletedparamark"/>
        </w:rPr>
        <w:t xml:space="preserve"> </w:t>
      </w:r>
      <w:r>
        <w:t>or writer's usual order. Any sumti moved out of place, or the selbri</w:t>
      </w:r>
      <w:r>
        <w:rPr>
          <w:rStyle w:val="deletedparamark"/>
        </w:rPr>
        <w:t xml:space="preserve"> </w:t>
      </w:r>
      <w:r>
        <w:t>when moved out of place, is emphatic to some degree.</w:t>
      </w:r>
    </w:p>
    <w:p w:rsidR="00B72047" w:rsidRDefault="00B72047">
      <w:pPr>
        <w:rPr>
          <w:rStyle w:val="htmlparacode"/>
        </w:rPr>
      </w:pPr>
      <w:r>
        <w:rPr>
          <w:rStyle w:val="htmlparacode"/>
        </w:rPr>
        <w:t>&lt;p&gt;</w:t>
      </w:r>
    </w:p>
    <w:p w:rsidR="00B72047" w:rsidRDefault="00B72047">
      <w:pPr>
        <w:pStyle w:val="normalparagraph"/>
      </w:pPr>
      <w:r>
        <w:rPr>
          <w:rStyle w:val="indexentry"/>
        </w:rPr>
        <w:t>&lt;lx "za'e"&gt;</w:t>
      </w:r>
      <w:r>
        <w:rPr>
          <w:rStyle w:val="indexentry"/>
        </w:rPr>
        <w:fldChar w:fldCharType="begin"/>
      </w:r>
      <w:r>
        <w:instrText>xe "</w:instrText>
      </w:r>
      <w:r>
        <w:rPr>
          <w:rStyle w:val="xeentry"/>
        </w:rPr>
        <w:instrText>za'e</w:instrText>
      </w:r>
      <w:r>
        <w:instrText>"</w:instrText>
      </w:r>
      <w:r>
        <w:rPr>
          <w:rStyle w:val="indexentry"/>
        </w:rPr>
        <w:fldChar w:fldCharType="end"/>
      </w:r>
      <w:r>
        <w:rPr>
          <w:rStyle w:val="indexentry"/>
        </w:rPr>
        <w:t>&lt;lx "BAhE"&gt;</w:t>
      </w:r>
      <w:r>
        <w:rPr>
          <w:rStyle w:val="indexentry"/>
        </w:rPr>
        <w:fldChar w:fldCharType="begin"/>
      </w:r>
      <w:r>
        <w:instrText>xe "</w:instrText>
      </w:r>
      <w:r>
        <w:rPr>
          <w:rStyle w:val="xeentry"/>
        </w:rPr>
        <w:instrText>BAhE selma’o</w:instrText>
      </w:r>
      <w:r>
        <w:instrText>"</w:instrText>
      </w:r>
      <w:r>
        <w:rPr>
          <w:rStyle w:val="indexentry"/>
        </w:rPr>
        <w:fldChar w:fldCharType="end"/>
      </w:r>
      <w:r>
        <w:rPr>
          <w:rStyle w:val="indexentry"/>
        </w:rPr>
        <w:t>&lt;cx "non-standard words, marking"&gt;</w:t>
      </w:r>
      <w:r>
        <w:rPr>
          <w:rStyle w:val="indexentry"/>
        </w:rPr>
        <w:fldChar w:fldCharType="begin"/>
      </w:r>
      <w:r>
        <w:instrText>xe "</w:instrText>
      </w:r>
      <w:r>
        <w:rPr>
          <w:rStyle w:val="xeentry"/>
        </w:rPr>
        <w:instrText>non-standard words: marking</w:instrText>
      </w:r>
      <w:r>
        <w:instrText>"</w:instrText>
      </w:r>
      <w:r>
        <w:rPr>
          <w:rStyle w:val="indexentry"/>
        </w:rPr>
        <w:fldChar w:fldCharType="end"/>
      </w:r>
      <w:r>
        <w:rPr>
          <w:rStyle w:val="indexentry"/>
        </w:rPr>
        <w:t>&lt;cx "words, marking non-standard"&gt;</w:t>
      </w:r>
      <w:r>
        <w:rPr>
          <w:rStyle w:val="indexentry"/>
        </w:rPr>
        <w:fldChar w:fldCharType="begin"/>
      </w:r>
      <w:r>
        <w:instrText>xe "</w:instrText>
      </w:r>
      <w:r>
        <w:rPr>
          <w:rStyle w:val="xeentry"/>
        </w:rPr>
        <w:instrText>words: marking non-standard</w:instrText>
      </w:r>
      <w:r>
        <w:instrText>"</w:instrText>
      </w:r>
      <w:r>
        <w:rPr>
          <w:rStyle w:val="indexentry"/>
        </w:rPr>
        <w:fldChar w:fldCharType="end"/>
      </w:r>
      <w:r>
        <w:t>For completeness, the cmavo “za'e” should be mentioned, also of selma'o</w:t>
      </w:r>
      <w:r>
        <w:rPr>
          <w:rStyle w:val="deletedparamark"/>
        </w:rPr>
        <w:t xml:space="preserve"> </w:t>
      </w:r>
      <w:r>
        <w:t>BAhE. It marks a word as possibly irregular, non-standard, or nonce</w:t>
      </w:r>
      <w:r>
        <w:rPr>
          <w:rStyle w:val="deletedparamark"/>
        </w:rPr>
        <w:t xml:space="preserve"> </w:t>
      </w:r>
      <w:r>
        <w:t>(created for the occasion):</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"Albania: example"</w:instrText>
      </w:r>
      <w:r>
        <w:rPr>
          <w:rStyle w:val="xeentry"/>
        </w:rPr>
        <w:fldChar w:fldCharType="end"/>
      </w:r>
      <w:r>
        <w:rPr>
          <w:rStyle w:val="htmlcodes"/>
        </w:rPr>
        <w:t>&lt;pre&gt;&lt;a name=e11d8&gt;</w:t>
      </w:r>
      <w:r>
        <w:t>11.8)</w:t>
      </w:r>
      <w:r>
        <w:tab/>
        <w:t>mi klama la za'e. .albeinias</w:t>
      </w:r>
    </w:p>
    <w:p w:rsidR="00B72047" w:rsidRDefault="00B72047">
      <w:pPr>
        <w:pStyle w:val="examplescaled"/>
      </w:pPr>
      <w:r>
        <w:tab/>
        <w:t>I go-to so-called Albania</w:t>
      </w:r>
    </w:p>
    <w:p w:rsidR="00B72047" w:rsidRDefault="00B72047">
      <w:pPr>
        <w:pStyle w:val="resumedafterexample"/>
      </w:pPr>
      <w:r>
        <w:rPr>
          <w:rStyle w:val="htmlcodes"/>
        </w:rPr>
        <w:t>&lt;/pre&gt;</w:t>
      </w:r>
      <w:r>
        <w:rPr>
          <w:rStyle w:val="indexentry"/>
        </w:rPr>
        <w:t>&lt;cx "appropriate standard"&gt;</w:t>
      </w:r>
      <w:r>
        <w:rPr>
          <w:rStyle w:val="indexentry"/>
        </w:rPr>
        <w:fldChar w:fldCharType="begin"/>
      </w:r>
      <w:r>
        <w:instrText>xe "</w:instrText>
      </w:r>
      <w:r>
        <w:rPr>
          <w:rStyle w:val="xeentry"/>
        </w:rPr>
        <w:instrText>appropriate standard</w:instrText>
      </w:r>
      <w:r>
        <w:instrText>"</w:instrText>
      </w:r>
      <w:r>
        <w:rPr>
          <w:rStyle w:val="indexentry"/>
        </w:rPr>
        <w:fldChar w:fldCharType="end"/>
      </w:r>
      <w:r>
        <w:t>marks a Lojbanization of an English name, where a more appropriate standard</w:t>
      </w:r>
      <w:r>
        <w:rPr>
          <w:rStyle w:val="deletedparamark"/>
        </w:rPr>
        <w:t xml:space="preserve"> </w:t>
      </w:r>
      <w:r>
        <w:t>form might be something like “la ctiipyris.”, reflecting the country's name</w:t>
      </w:r>
      <w:r>
        <w:rPr>
          <w:rStyle w:val="deletedparamark"/>
        </w:rPr>
        <w:t xml:space="preserve"> </w:t>
      </w:r>
      <w:r>
        <w:t>in Albanian.</w:t>
      </w:r>
    </w:p>
    <w:p w:rsidR="00B72047" w:rsidRDefault="00B72047">
      <w:pPr>
        <w:rPr>
          <w:rStyle w:val="htmlparacode"/>
        </w:rPr>
      </w:pPr>
      <w:r>
        <w:rPr>
          <w:rStyle w:val="htmlparacode"/>
        </w:rPr>
        <w:t>&lt;p&gt;</w:t>
      </w:r>
    </w:p>
    <w:p w:rsidR="00B72047" w:rsidRDefault="00B72047">
      <w:pPr>
        <w:pStyle w:val="normalparagraph"/>
      </w:pPr>
      <w:r>
        <w:rPr>
          <w:rStyle w:val="indexentry"/>
        </w:rPr>
        <w:t>&lt;cx "unabridged dictionary"&gt;</w:t>
      </w:r>
      <w:r>
        <w:rPr>
          <w:rStyle w:val="indexentry"/>
        </w:rPr>
        <w:fldChar w:fldCharType="begin"/>
      </w:r>
      <w:r>
        <w:instrText>xe "</w:instrText>
      </w:r>
      <w:r>
        <w:rPr>
          <w:rStyle w:val="xeentry"/>
        </w:rPr>
        <w:instrText>unabridged dictionary</w:instrText>
      </w:r>
      <w:r>
        <w:instrText>"</w:instrText>
      </w:r>
      <w:r>
        <w:rPr>
          <w:rStyle w:val="indexentry"/>
        </w:rPr>
        <w:fldChar w:fldCharType="end"/>
      </w:r>
      <w:r>
        <w:t>Before a lujvo or fu'ivla, “za'e” indicates that the word has been made up</w:t>
      </w:r>
      <w:r>
        <w:rPr>
          <w:rStyle w:val="deletedparamark"/>
        </w:rPr>
        <w:t xml:space="preserve"> </w:t>
      </w:r>
      <w:r>
        <w:t>on the spot and may be used in a sense that is not found in the unabridged</w:t>
      </w:r>
      <w:r>
        <w:rPr>
          <w:rStyle w:val="deletedparamark"/>
        </w:rPr>
        <w:t xml:space="preserve"> </w:t>
      </w:r>
      <w:r>
        <w:t>dictionary (when we have an unabridged dictionary!).</w:t>
      </w:r>
    </w:p>
    <w:p w:rsidR="00B72047" w:rsidRDefault="00B72047">
      <w:pPr>
        <w:rPr>
          <w:rStyle w:val="htmlparacode"/>
        </w:rPr>
      </w:pPr>
      <w:r>
        <w:rPr>
          <w:rStyle w:val="htmlparacode"/>
        </w:rPr>
        <w:t>&lt;p&gt;</w:t>
      </w:r>
    </w:p>
    <w:p w:rsidR="00B72047" w:rsidRDefault="00B72047">
      <w:pPr>
        <w:pStyle w:val="Heading3"/>
        <w:rPr>
          <w:rStyle w:val="Heading3Text"/>
        </w:rPr>
      </w:pPr>
      <w:bookmarkStart w:id="536" w:name="_Toc398970772"/>
      <w:r>
        <w:rPr>
          <w:rStyle w:val="Heading3Text"/>
        </w:rPr>
        <w:t>Parenthesis and metalinguistic commentary: TO, TOI, SEI</w:t>
      </w:r>
      <w:bookmarkEnd w:id="536"/>
      <w:r>
        <w:rPr>
          <w:rStyle w:val="htmlcodes"/>
        </w:rPr>
        <w:t>&lt;/h3&gt;</w:t>
      </w:r>
    </w:p>
    <w:p w:rsidR="00B72047" w:rsidRDefault="00B72047">
      <w:pPr>
        <w:rPr>
          <w:rStyle w:val="htmlparacode"/>
        </w:rPr>
      </w:pPr>
      <w:r>
        <w:rPr>
          <w:rStyle w:val="htmlparacode"/>
        </w:rPr>
        <w:t>&lt;p&gt;</w:t>
      </w:r>
      <w:r>
        <w:rPr>
          <w:rStyle w:val="indexentry"/>
        </w:rPr>
        <w:t>&lt;cx "parenthesis, textual"&gt;</w:t>
      </w:r>
      <w:r>
        <w:rPr>
          <w:rStyle w:val="indexentry"/>
        </w:rPr>
        <w:fldChar w:fldCharType="begin"/>
      </w:r>
      <w:r>
        <w:instrText>xe "</w:instrText>
      </w:r>
      <w:r>
        <w:rPr>
          <w:rStyle w:val="xeentry"/>
        </w:rPr>
        <w:instrText>parenthesis: textual</w:instrText>
      </w:r>
      <w:r>
        <w:instrText>"</w:instrText>
      </w:r>
      <w:r>
        <w:rPr>
          <w:rStyle w:val="indexentry"/>
        </w:rPr>
        <w:fldChar w:fldCharType="end"/>
      </w:r>
      <w:r>
        <w:rPr>
          <w:rStyle w:val="indexentry"/>
        </w:rPr>
        <w:t>&lt;cx "metalinguistic commentary"&gt;</w:t>
      </w:r>
      <w:r>
        <w:rPr>
          <w:rStyle w:val="indexentry"/>
        </w:rPr>
        <w:fldChar w:fldCharType="begin"/>
      </w:r>
      <w:r>
        <w:instrText>xe "</w:instrText>
      </w:r>
      <w:r>
        <w:rPr>
          <w:rStyle w:val="xeentry"/>
        </w:rPr>
        <w:instrText>metalinguistic commentary</w:instrText>
      </w:r>
      <w:r>
        <w:instrText>"</w:instrText>
      </w:r>
      <w:r>
        <w:rPr>
          <w:rStyle w:val="indexentry"/>
        </w:rPr>
        <w:fldChar w:fldCharType="end"/>
      </w:r>
      <w:r>
        <w:rPr>
          <w:rStyle w:val="htmlcodes"/>
        </w:rPr>
        <w:t>&lt;a name=s12&gt;&lt;h3&gt;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to</w:t>
      </w:r>
      <w:r>
        <w:tab/>
        <w:t>TO</w:t>
      </w:r>
      <w:r>
        <w:tab/>
        <w:t>open parenthesis</w:t>
      </w:r>
    </w:p>
    <w:p w:rsidR="00B72047" w:rsidRDefault="00B72047">
      <w:pPr>
        <w:pStyle w:val="examplescaled"/>
      </w:pPr>
      <w:r>
        <w:tab/>
        <w:t>to'i</w:t>
      </w:r>
      <w:r>
        <w:tab/>
        <w:t>TO</w:t>
      </w:r>
      <w:r>
        <w:tab/>
        <w:t>open editorial parenthesis</w:t>
      </w:r>
    </w:p>
    <w:p w:rsidR="00B72047" w:rsidRDefault="00B72047">
      <w:pPr>
        <w:pStyle w:val="examplescaledpre"/>
      </w:pPr>
      <w:r>
        <w:tab/>
        <w:t>toi</w:t>
      </w:r>
      <w:r>
        <w:tab/>
        <w:t>TOI</w:t>
      </w:r>
      <w:r>
        <w:tab/>
        <w:t>close parenthesis</w:t>
      </w:r>
    </w:p>
    <w:p w:rsidR="00B72047" w:rsidRDefault="00B72047">
      <w:pPr>
        <w:pStyle w:val="examplescaledpre"/>
      </w:pPr>
      <w:r>
        <w:tab/>
        <w:t>sei</w:t>
      </w:r>
      <w:r>
        <w:tab/>
        <w:t>SEI</w:t>
      </w:r>
      <w:r>
        <w:tab/>
        <w:t>metalinguistic bridi marker</w:t>
      </w:r>
    </w:p>
    <w:p w:rsidR="00B72047" w:rsidRDefault="00B72047">
      <w:pPr>
        <w:pStyle w:val="normalafterexample"/>
      </w:pPr>
      <w:r>
        <w:rPr>
          <w:rStyle w:val="htmlcodes"/>
        </w:rPr>
        <w:t>&lt;/pre&gt;</w:t>
      </w:r>
      <w:r>
        <w:rPr>
          <w:rStyle w:val="indexentry"/>
        </w:rPr>
        <w:t>&lt;lx "to"&gt;</w:t>
      </w:r>
      <w:r>
        <w:rPr>
          <w:rStyle w:val="indexentry"/>
        </w:rPr>
        <w:fldChar w:fldCharType="begin"/>
      </w:r>
      <w:r>
        <w:instrText>xe "</w:instrText>
      </w:r>
      <w:r>
        <w:rPr>
          <w:rStyle w:val="xeentry"/>
        </w:rPr>
        <w:instrText>to</w:instrText>
      </w:r>
      <w:r>
        <w:instrText>"</w:instrText>
      </w:r>
      <w:r>
        <w:rPr>
          <w:rStyle w:val="indexentry"/>
        </w:rPr>
        <w:fldChar w:fldCharType="end"/>
      </w:r>
      <w:r>
        <w:rPr>
          <w:rStyle w:val="indexentry"/>
        </w:rPr>
        <w:t>&lt;lx "TO"&gt;</w:t>
      </w:r>
      <w:r>
        <w:rPr>
          <w:rStyle w:val="indexentry"/>
        </w:rPr>
        <w:fldChar w:fldCharType="begin"/>
      </w:r>
      <w:r>
        <w:instrText>xe "</w:instrText>
      </w:r>
      <w:r>
        <w:rPr>
          <w:rStyle w:val="xeentry"/>
        </w:rPr>
        <w:instrText>TO selma’o</w:instrText>
      </w:r>
      <w:r>
        <w:instrText>"</w:instrText>
      </w:r>
      <w:r>
        <w:rPr>
          <w:rStyle w:val="indexentry"/>
        </w:rPr>
        <w:fldChar w:fldCharType="end"/>
      </w:r>
      <w:r>
        <w:rPr>
          <w:rStyle w:val="indexentry"/>
        </w:rPr>
        <w:t>&lt;lx "toi"&gt;</w:t>
      </w:r>
      <w:r>
        <w:rPr>
          <w:rStyle w:val="indexentry"/>
        </w:rPr>
        <w:fldChar w:fldCharType="begin"/>
      </w:r>
      <w:r>
        <w:instrText>xe "</w:instrText>
      </w:r>
      <w:r>
        <w:rPr>
          <w:rStyle w:val="xeentry"/>
        </w:rPr>
        <w:instrText>toi</w:instrText>
      </w:r>
      <w:r>
        <w:instrText>"</w:instrText>
      </w:r>
      <w:r>
        <w:rPr>
          <w:rStyle w:val="indexentry"/>
        </w:rPr>
        <w:fldChar w:fldCharType="end"/>
      </w:r>
      <w:r>
        <w:rPr>
          <w:rStyle w:val="indexentry"/>
        </w:rPr>
        <w:t>&lt;lx "TOI"&gt;</w:t>
      </w:r>
      <w:r>
        <w:rPr>
          <w:rStyle w:val="indexentry"/>
        </w:rPr>
        <w:fldChar w:fldCharType="begin"/>
      </w:r>
      <w:r>
        <w:instrText>xe "</w:instrText>
      </w:r>
      <w:r>
        <w:rPr>
          <w:rStyle w:val="xeentry"/>
        </w:rPr>
        <w:instrText>TOI selma’o</w:instrText>
      </w:r>
      <w:r>
        <w:instrText>"</w:instrText>
      </w:r>
      <w:r>
        <w:rPr>
          <w:rStyle w:val="indexentry"/>
        </w:rPr>
        <w:fldChar w:fldCharType="end"/>
      </w:r>
      <w:r>
        <w:t>The cmavo “to” and “toi” are discursive (non-mathematical) parentheses, for</w:t>
      </w:r>
      <w:r>
        <w:rPr>
          <w:rStyle w:val="deletedparamark"/>
        </w:rPr>
        <w:t xml:space="preserve"> </w:t>
      </w:r>
      <w:r>
        <w:t>inser</w:t>
      </w:r>
      <w:r>
        <w:t>t</w:t>
      </w:r>
      <w:r>
        <w:softHyphen/>
        <w:t>ing parenthetical remarks. Any text whatsoever can go within the</w:t>
      </w:r>
      <w:r>
        <w:rPr>
          <w:rStyle w:val="deletedparamark"/>
        </w:rPr>
        <w:t xml:space="preserve"> </w:t>
      </w:r>
      <w:r>
        <w:t>parentheses, and it is completely invisible to its context. It can, however,</w:t>
      </w:r>
      <w:r>
        <w:rPr>
          <w:rStyle w:val="deletedparamark"/>
        </w:rPr>
        <w:t xml:space="preserve"> </w:t>
      </w:r>
      <w:r>
        <w:t>refer to the context by the use of pro-sumti and pro-bridi: any that have</w:t>
      </w:r>
      <w:r>
        <w:rPr>
          <w:rStyle w:val="deletedparamark"/>
        </w:rPr>
        <w:t xml:space="preserve"> </w:t>
      </w:r>
      <w:r>
        <w:t>been assigned in the context are still assigned in the parenthetical</w:t>
      </w:r>
      <w:r>
        <w:rPr>
          <w:rStyle w:val="deletedparamark"/>
        </w:rPr>
        <w:t xml:space="preserve"> </w:t>
      </w:r>
      <w:r>
        <w:t>remarks, but the reverse is not true.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name=e12d1&gt;</w:t>
      </w:r>
      <w:r>
        <w:t>12.1)</w:t>
      </w:r>
      <w:r>
        <w:tab/>
        <w:t>doi lisas. mi djica le nu to doi frank. ko sisti toi do viska le mlatu</w:t>
      </w:r>
    </w:p>
    <w:p w:rsidR="00B72047" w:rsidRDefault="00B72047">
      <w:pPr>
        <w:pStyle w:val="examplescaled"/>
      </w:pPr>
      <w:r>
        <w:tab/>
        <w:t>O Lisa, I desire the event-of (O Frank, [imperative] stop!) you see the cat.</w:t>
      </w:r>
    </w:p>
    <w:p w:rsidR="00B72047" w:rsidRDefault="00B72047">
      <w:pPr>
        <w:pStyle w:val="examplescaled"/>
      </w:pPr>
      <w:r>
        <w:tab/>
        <w:t>Lisa, I want you to (Frank! Stop!) see the cat.</w:t>
      </w:r>
    </w:p>
    <w:p w:rsidR="00B72047" w:rsidRDefault="00B72047">
      <w:pPr>
        <w:pStyle w:val="resumedafterexample"/>
      </w:pPr>
      <w:r>
        <w:rPr>
          <w:rStyle w:val="htmlcodes"/>
        </w:rPr>
        <w:t>&lt;/pre&gt;&lt;a href=#e12d1&gt;</w:t>
      </w:r>
      <w:r>
        <w:t xml:space="preserve">Example 12.1 </w:t>
      </w:r>
      <w:r>
        <w:rPr>
          <w:rStyle w:val="htmlcodes"/>
        </w:rPr>
        <w:t>&lt;/a&gt;</w:t>
      </w:r>
      <w:r>
        <w:t>implicitly redefines “do” within the parentheses: the listener</w:t>
      </w:r>
      <w:r>
        <w:rPr>
          <w:rStyle w:val="deletedparamark"/>
        </w:rPr>
        <w:t xml:space="preserve"> </w:t>
      </w:r>
      <w:r>
        <w:t>is changed by “doi frank.” When the context sentence resumes, however,</w:t>
      </w:r>
      <w:r>
        <w:rPr>
          <w:rStyle w:val="deletedparamark"/>
        </w:rPr>
        <w:t xml:space="preserve"> </w:t>
      </w:r>
      <w:r>
        <w:t>the old listener, Lisa, is aut</w:t>
      </w:r>
      <w:r>
        <w:t>o</w:t>
      </w:r>
      <w:r>
        <w:softHyphen/>
        <w:t>matically restored.</w:t>
      </w:r>
    </w:p>
    <w:p w:rsidR="00B72047" w:rsidRDefault="00B72047">
      <w:pPr>
        <w:rPr>
          <w:rStyle w:val="htmlparacode"/>
        </w:rPr>
      </w:pPr>
      <w:r>
        <w:rPr>
          <w:rStyle w:val="htmlparacode"/>
        </w:rPr>
        <w:t>&lt;p&gt;</w:t>
      </w:r>
    </w:p>
    <w:p w:rsidR="00B72047" w:rsidRDefault="00B72047">
      <w:pPr>
        <w:pStyle w:val="normalparagraph"/>
      </w:pPr>
      <w:r>
        <w:rPr>
          <w:rStyle w:val="indexentry"/>
        </w:rPr>
        <w:t>&lt;lx "to'i"&gt;</w:t>
      </w:r>
      <w:r>
        <w:rPr>
          <w:rStyle w:val="indexentry"/>
        </w:rPr>
        <w:fldChar w:fldCharType="begin"/>
      </w:r>
      <w:r>
        <w:instrText>xe "</w:instrText>
      </w:r>
      <w:r>
        <w:rPr>
          <w:rStyle w:val="xeentry"/>
        </w:rPr>
        <w:instrText>to'i</w:instrText>
      </w:r>
      <w:r>
        <w:instrText>"</w:instrText>
      </w:r>
      <w:r>
        <w:rPr>
          <w:rStyle w:val="indexentry"/>
        </w:rPr>
        <w:fldChar w:fldCharType="end"/>
      </w:r>
      <w:r>
        <w:rPr>
          <w:rStyle w:val="indexentry"/>
        </w:rPr>
        <w:t>&lt;lx "TO"&gt;</w:t>
      </w:r>
      <w:r>
        <w:rPr>
          <w:rStyle w:val="indexentry"/>
        </w:rPr>
        <w:fldChar w:fldCharType="begin"/>
      </w:r>
      <w:r>
        <w:instrText>xe "</w:instrText>
      </w:r>
      <w:r>
        <w:rPr>
          <w:rStyle w:val="xeentry"/>
        </w:rPr>
        <w:instrText>TO selma’o</w:instrText>
      </w:r>
      <w:r>
        <w:instrText>"</w:instrText>
      </w:r>
      <w:r>
        <w:rPr>
          <w:rStyle w:val="indexentry"/>
        </w:rPr>
        <w:fldChar w:fldCharType="end"/>
      </w:r>
      <w:r>
        <w:rPr>
          <w:rStyle w:val="indexentry"/>
        </w:rPr>
        <w:t>&lt;cx "editorial commentary"&gt;</w:t>
      </w:r>
      <w:r>
        <w:rPr>
          <w:rStyle w:val="indexentry"/>
        </w:rPr>
        <w:fldChar w:fldCharType="begin"/>
      </w:r>
      <w:r>
        <w:instrText>xe "</w:instrText>
      </w:r>
      <w:r>
        <w:rPr>
          <w:rStyle w:val="xeentry"/>
        </w:rPr>
        <w:instrText>editorial commentary</w:instrText>
      </w:r>
      <w:r>
        <w:instrText>"</w:instrText>
      </w:r>
      <w:r>
        <w:rPr>
          <w:rStyle w:val="indexentry"/>
        </w:rPr>
        <w:fldChar w:fldCharType="end"/>
      </w:r>
      <w:r>
        <w:t>There is another cmavo of selma'o TO: “to'i”. The difference between “to”</w:t>
      </w:r>
      <w:r>
        <w:rPr>
          <w:rStyle w:val="deletedparamark"/>
        </w:rPr>
        <w:t xml:space="preserve"> </w:t>
      </w:r>
      <w:r>
        <w:t>and “to'i” is the difference between parentheses and square brackets in</w:t>
      </w:r>
      <w:r>
        <w:rPr>
          <w:rStyle w:val="deletedparamark"/>
        </w:rPr>
        <w:t xml:space="preserve"> </w:t>
      </w:r>
      <w:r>
        <w:t>English prose. Re</w:t>
      </w:r>
      <w:r>
        <w:softHyphen/>
        <w:t>marks within “to </w:t>
      </w:r>
      <w:r>
        <w:rPr>
          <w:rStyle w:val="htmlcodes"/>
        </w:rPr>
        <w:t>&lt;dots&gt;</w:t>
      </w:r>
      <w:r>
        <w:t>…</w:t>
      </w:r>
      <w:r>
        <w:rPr>
          <w:rStyle w:val="htmlcodes"/>
        </w:rPr>
        <w:t>&lt;/dots&gt;</w:t>
      </w:r>
      <w:r>
        <w:t>toi” cmavo are implicitly by the</w:t>
      </w:r>
      <w:r>
        <w:rPr>
          <w:rStyle w:val="deletedparamark"/>
        </w:rPr>
        <w:t xml:space="preserve"> </w:t>
      </w:r>
      <w:r>
        <w:t>same speaker, whereas remarks within “to'i </w:t>
      </w:r>
      <w:r>
        <w:rPr>
          <w:rStyle w:val="htmlcodes"/>
        </w:rPr>
        <w:t>&lt;dots&gt;</w:t>
      </w:r>
      <w:r>
        <w:t>…</w:t>
      </w:r>
      <w:r>
        <w:rPr>
          <w:rStyle w:val="htmlcodes"/>
        </w:rPr>
        <w:t>&lt;/dots&gt;</w:t>
      </w:r>
      <w:r>
        <w:t>toi” are implicitly by someone</w:t>
      </w:r>
      <w:r>
        <w:rPr>
          <w:rStyle w:val="deletedparamark"/>
        </w:rPr>
        <w:t xml:space="preserve"> </w:t>
      </w:r>
      <w:r>
        <w:t>else, perhaps an editor:</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name=e12d2&gt;</w:t>
      </w:r>
      <w:r>
        <w:t>12.2)</w:t>
      </w:r>
      <w:r>
        <w:tab/>
        <w:t>la frank. cusku lu mi prami do to'isa'a do du la djein. toi li'u</w:t>
      </w:r>
    </w:p>
    <w:p w:rsidR="00B72047" w:rsidRDefault="00B72047">
      <w:pPr>
        <w:pStyle w:val="examplescaled"/>
      </w:pPr>
      <w:r>
        <w:tab/>
        <w:t>Frank expresses “I love you [you = Jane]”</w:t>
      </w:r>
    </w:p>
    <w:p w:rsidR="00B72047" w:rsidRDefault="00B72047">
      <w:pPr>
        <w:pStyle w:val="normalafterexample"/>
      </w:pPr>
      <w:r>
        <w:rPr>
          <w:rStyle w:val="htmlcodes"/>
        </w:rPr>
        <w:t>&lt;/pre&gt;</w:t>
      </w:r>
      <w:r>
        <w:rPr>
          <w:rStyle w:val="indexentry"/>
        </w:rPr>
        <w:t>&lt;cx "bracketed remark"&gt;</w:t>
      </w:r>
      <w:r>
        <w:rPr>
          <w:rStyle w:val="indexentry"/>
        </w:rPr>
        <w:fldChar w:fldCharType="begin"/>
      </w:r>
      <w:r>
        <w:instrText>xe "</w:instrText>
      </w:r>
      <w:r>
        <w:rPr>
          <w:rStyle w:val="xeentry"/>
        </w:rPr>
        <w:instrText>bracketed remark</w:instrText>
      </w:r>
      <w:r>
        <w:instrText>"</w:instrText>
      </w:r>
      <w:r>
        <w:rPr>
          <w:rStyle w:val="indexentry"/>
        </w:rPr>
        <w:fldChar w:fldCharType="end"/>
      </w:r>
      <w:r>
        <w:rPr>
          <w:rStyle w:val="indexentry"/>
        </w:rPr>
        <w:t>&lt;cx "actual confusion”&gt;&lt;lx "sa'a"&gt;</w:t>
      </w:r>
      <w:r>
        <w:rPr>
          <w:rStyle w:val="indexentry"/>
        </w:rPr>
        <w:fldChar w:fldCharType="begin"/>
      </w:r>
      <w:r>
        <w:instrText>xe "</w:instrText>
      </w:r>
      <w:r>
        <w:rPr>
          <w:rStyle w:val="xeentry"/>
        </w:rPr>
        <w:instrText>sa'a</w:instrText>
      </w:r>
      <w:r>
        <w:instrText>"</w:instrText>
      </w:r>
      <w:r>
        <w:rPr>
          <w:rStyle w:val="indexentry"/>
        </w:rPr>
        <w:fldChar w:fldCharType="end"/>
      </w:r>
      <w:r>
        <w:rPr>
          <w:rStyle w:val="indexentry"/>
        </w:rPr>
        <w:t>&lt;lx "UI"&gt;</w:t>
      </w:r>
      <w:r>
        <w:rPr>
          <w:rStyle w:val="indexentry"/>
        </w:rPr>
        <w:fldChar w:fldCharType="begin"/>
      </w:r>
      <w:r>
        <w:instrText>xe "</w:instrText>
      </w:r>
      <w:r>
        <w:rPr>
          <w:rStyle w:val="xeentry"/>
        </w:rPr>
        <w:instrText>UI selma’o</w:instrText>
      </w:r>
      <w:r>
        <w:instrText>"</w:instrText>
      </w:r>
      <w:r>
        <w:rPr>
          <w:rStyle w:val="indexentry"/>
        </w:rPr>
        <w:fldChar w:fldCharType="end"/>
      </w:r>
      <w:r>
        <w:rPr>
          <w:rStyle w:val="indexentry"/>
        </w:rPr>
        <w:t>&lt;cx "editorial insertion"&gt;</w:t>
      </w:r>
      <w:r>
        <w:rPr>
          <w:rStyle w:val="indexentry"/>
        </w:rPr>
        <w:fldChar w:fldCharType="begin"/>
      </w:r>
      <w:r>
        <w:instrText>xe "</w:instrText>
      </w:r>
      <w:r>
        <w:rPr>
          <w:rStyle w:val="xeentry"/>
        </w:rPr>
        <w:instrText>editorial insertion</w:instrText>
      </w:r>
      <w:r>
        <w:instrText>"</w:instrText>
      </w:r>
      <w:r>
        <w:rPr>
          <w:rStyle w:val="indexentry"/>
        </w:rPr>
        <w:fldChar w:fldCharType="end"/>
      </w:r>
      <w:r>
        <w:t>The “sa'a” suffix is a discursive cmavo (of selma'o UI) meaning “editorial</w:t>
      </w:r>
      <w:r>
        <w:rPr>
          <w:rStyle w:val="deletedparamark"/>
        </w:rPr>
        <w:t xml:space="preserve"> </w:t>
      </w:r>
      <w:r>
        <w:t>in</w:t>
      </w:r>
      <w:r>
        <w:softHyphen/>
        <w:t>sertion”, and indicating that the marked word or construct (in this case,</w:t>
      </w:r>
      <w:r>
        <w:rPr>
          <w:rStyle w:val="deletedparamark"/>
        </w:rPr>
        <w:t xml:space="preserve"> </w:t>
      </w:r>
      <w:r>
        <w:t>the entire bracketed r</w:t>
      </w:r>
      <w:r>
        <w:t>e</w:t>
      </w:r>
      <w:r>
        <w:softHyphen/>
        <w:t>mark) is not part of the quotation. It is required</w:t>
      </w:r>
      <w:r>
        <w:rPr>
          <w:rStyle w:val="deletedparamark"/>
        </w:rPr>
        <w:t xml:space="preserve"> </w:t>
      </w:r>
      <w:r>
        <w:t>whenever the “to'i </w:t>
      </w:r>
      <w:r>
        <w:rPr>
          <w:rStyle w:val="htmlcodes"/>
        </w:rPr>
        <w:t>&lt;dots&gt;</w:t>
      </w:r>
      <w:r>
        <w:t>…</w:t>
      </w:r>
      <w:r>
        <w:rPr>
          <w:rStyle w:val="htmlcodes"/>
        </w:rPr>
        <w:t>&lt;/dots&gt;</w:t>
      </w:r>
      <w:r>
        <w:t>toi” remark is phys</w:t>
      </w:r>
      <w:r>
        <w:t>i</w:t>
      </w:r>
      <w:r>
        <w:softHyphen/>
        <w:t>cally within quotation marks,</w:t>
      </w:r>
      <w:r>
        <w:rPr>
          <w:rStyle w:val="deletedparamark"/>
        </w:rPr>
        <w:t xml:space="preserve"> </w:t>
      </w:r>
      <w:r>
        <w:t>at least when speaking to literal-minded listeners; the co</w:t>
      </w:r>
      <w:r>
        <w:t>n</w:t>
      </w:r>
      <w:r>
        <w:softHyphen/>
        <w:t>vention may be</w:t>
      </w:r>
      <w:r>
        <w:rPr>
          <w:rStyle w:val="deletedparamark"/>
        </w:rPr>
        <w:t xml:space="preserve"> </w:t>
      </w:r>
      <w:r>
        <w:t>relaxed if no actual confusion results.</w:t>
      </w:r>
    </w:p>
    <w:p w:rsidR="00B72047" w:rsidRDefault="00B72047">
      <w:pPr>
        <w:rPr>
          <w:rStyle w:val="htmlparacode"/>
        </w:rPr>
      </w:pPr>
      <w:r>
        <w:rPr>
          <w:rStyle w:val="htmlparacode"/>
        </w:rPr>
        <w:t>&lt;p&gt;</w:t>
      </w:r>
    </w:p>
    <w:p w:rsidR="00B72047" w:rsidRDefault="00B72047">
      <w:pPr>
        <w:pStyle w:val="normalparagraph"/>
      </w:pPr>
      <w:r>
        <w:t>Note: The parser believes that parentheses are attached to the previous</w:t>
      </w:r>
      <w:r>
        <w:rPr>
          <w:rStyle w:val="deletedparamark"/>
        </w:rPr>
        <w:t xml:space="preserve"> </w:t>
      </w:r>
      <w:r>
        <w:t>word or co</w:t>
      </w:r>
      <w:r>
        <w:t>n</w:t>
      </w:r>
      <w:r>
        <w:softHyphen/>
        <w:t>struct, because it treats them as syntactic equivalents of</w:t>
      </w:r>
      <w:r>
        <w:rPr>
          <w:rStyle w:val="deletedparamark"/>
        </w:rPr>
        <w:t xml:space="preserve"> </w:t>
      </w:r>
      <w:r>
        <w:t>subscripts and other such so-called “free modifiers”. Semantically,</w:t>
      </w:r>
      <w:r>
        <w:rPr>
          <w:rStyle w:val="deletedparamark"/>
        </w:rPr>
        <w:t xml:space="preserve"> </w:t>
      </w:r>
      <w:r>
        <w:t>however, parenthetical remarks are not neces</w:t>
      </w:r>
      <w:r>
        <w:softHyphen/>
        <w:t>sarily attached either to what</w:t>
      </w:r>
      <w:r>
        <w:rPr>
          <w:rStyle w:val="deletedparamark"/>
        </w:rPr>
        <w:t xml:space="preserve"> </w:t>
      </w:r>
      <w:r>
        <w:t>precedes them or what follows them.</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&lt;lx "sei"&gt;</w:t>
      </w:r>
      <w:r>
        <w:rPr>
          <w:rStyle w:val="indexentry"/>
        </w:rPr>
        <w:fldChar w:fldCharType="begin"/>
      </w:r>
      <w:r>
        <w:instrText>xe "</w:instrText>
      </w:r>
      <w:r>
        <w:rPr>
          <w:rStyle w:val="xeentry"/>
        </w:rPr>
        <w:instrText>sei</w:instrText>
      </w:r>
      <w:r>
        <w:instrText>"</w:instrText>
      </w:r>
      <w:r>
        <w:rPr>
          <w:rStyle w:val="indexentry"/>
        </w:rPr>
        <w:fldChar w:fldCharType="end"/>
      </w:r>
      <w:r>
        <w:rPr>
          <w:rStyle w:val="indexentry"/>
        </w:rPr>
        <w:t>&lt;lx "SEI"&gt;</w:t>
      </w:r>
      <w:r>
        <w:rPr>
          <w:rStyle w:val="indexentry"/>
        </w:rPr>
        <w:fldChar w:fldCharType="begin"/>
      </w:r>
      <w:r>
        <w:instrText>xe "</w:instrText>
      </w:r>
      <w:r>
        <w:rPr>
          <w:rStyle w:val="xeentry"/>
        </w:rPr>
        <w:instrText>SEI selma’o</w:instrText>
      </w:r>
      <w:r>
        <w:instrText>"</w:instrText>
      </w:r>
      <w:r>
        <w:rPr>
          <w:rStyle w:val="indexentry"/>
        </w:rPr>
        <w:fldChar w:fldCharType="end"/>
      </w:r>
      <w:r>
        <w:rPr>
          <w:rStyle w:val="indexentry"/>
        </w:rPr>
        <w:t>&lt;cx "embedded discursive"&gt;</w:t>
      </w:r>
      <w:r>
        <w:rPr>
          <w:rStyle w:val="indexentry"/>
        </w:rPr>
        <w:fldChar w:fldCharType="begin"/>
      </w:r>
      <w:r>
        <w:instrText>xe "</w:instrText>
      </w:r>
      <w:r>
        <w:rPr>
          <w:rStyle w:val="xeentry"/>
        </w:rPr>
        <w:instrText>embedded discursive</w:instrText>
      </w:r>
      <w:r>
        <w:instrText>"</w:instrText>
      </w:r>
      <w:r>
        <w:rPr>
          <w:rStyle w:val="indexentry"/>
        </w:rPr>
        <w:fldChar w:fldCharType="end"/>
      </w:r>
      <w:r>
        <w:rPr>
          <w:rStyle w:val="indexentry"/>
        </w:rPr>
        <w:t>&lt;cx "discursive, embedded"&gt;</w:t>
      </w:r>
      <w:r>
        <w:rPr>
          <w:rStyle w:val="indexentry"/>
        </w:rPr>
        <w:fldChar w:fldCharType="begin"/>
      </w:r>
      <w:r>
        <w:instrText>xe "</w:instrText>
      </w:r>
      <w:r>
        <w:rPr>
          <w:rStyle w:val="xeentry"/>
        </w:rPr>
        <w:instrText>discursives: embedded</w:instrText>
      </w:r>
      <w:r>
        <w:instrText>"</w:instrText>
      </w:r>
      <w:r>
        <w:rPr>
          <w:rStyle w:val="indexentry"/>
        </w:rPr>
        <w:fldChar w:fldCharType="end"/>
      </w:r>
      <w:r>
        <w:rPr>
          <w:rStyle w:val="indexentry"/>
        </w:rPr>
        <w:t>&lt;cx "metalinguistic comment, with embedded discursive"&gt;</w:t>
      </w:r>
      <w:r>
        <w:rPr>
          <w:rStyle w:val="indexentry"/>
        </w:rPr>
        <w:fldChar w:fldCharType="begin"/>
      </w:r>
      <w:r>
        <w:instrText>xe "</w:instrText>
      </w:r>
      <w:r>
        <w:rPr>
          <w:rStyle w:val="xeentry"/>
        </w:rPr>
        <w:instrText>metalinguistic comment: with embedded discursive</w:instrText>
      </w:r>
      <w:r>
        <w:instrText>"</w:instrText>
      </w:r>
      <w:r>
        <w:rPr>
          <w:rStyle w:val="indexentry"/>
        </w:rPr>
        <w:fldChar w:fldCharType="end"/>
      </w:r>
      <w:r>
        <w:t>The cmavo “sei” (of selma'o SEI) begins an embedded discursive bridi.</w:t>
      </w:r>
      <w:r>
        <w:rPr>
          <w:rStyle w:val="deletedparamark"/>
        </w:rPr>
        <w:t xml:space="preserve"> </w:t>
      </w:r>
      <w:r>
        <w:t>Com</w:t>
      </w:r>
      <w:r>
        <w:softHyphen/>
        <w:t>ments added with “sei” are called “metalinguistic”, because they are</w:t>
      </w:r>
      <w:r>
        <w:rPr>
          <w:rStyle w:val="deletedparamark"/>
        </w:rPr>
        <w:t xml:space="preserve"> </w:t>
      </w:r>
      <w:r>
        <w:t>comments about the di</w:t>
      </w:r>
      <w:r>
        <w:t>s</w:t>
      </w:r>
      <w:r>
        <w:softHyphen/>
        <w:t>course itself rather than about the subject matter</w:t>
      </w:r>
      <w:r>
        <w:rPr>
          <w:rStyle w:val="deletedparamark"/>
        </w:rPr>
        <w:t xml:space="preserve"> </w:t>
      </w:r>
      <w:r>
        <w:t>of the discourse. This sense of the term “metalinguistic” is used throughout</w:t>
      </w:r>
      <w:r>
        <w:rPr>
          <w:rStyle w:val="deletedparamark"/>
        </w:rPr>
        <w:t xml:space="preserve"> </w:t>
      </w:r>
      <w:r>
        <w:t>this chapter, and is not to be confused with the sense “language for</w:t>
      </w:r>
      <w:r>
        <w:rPr>
          <w:rStyle w:val="deletedparamark"/>
        </w:rPr>
        <w:t xml:space="preserve"> </w:t>
      </w:r>
      <w:r>
        <w:t>expressing other languages”.</w:t>
      </w:r>
    </w:p>
    <w:p w:rsidR="00B72047" w:rsidRDefault="00B72047">
      <w:pPr>
        <w:rPr>
          <w:rStyle w:val="htmlparacode"/>
        </w:rPr>
      </w:pPr>
      <w:r>
        <w:rPr>
          <w:rStyle w:val="htmlparacode"/>
        </w:rPr>
        <w:t>&lt;p&gt;</w:t>
      </w:r>
    </w:p>
    <w:p w:rsidR="00B72047" w:rsidRDefault="00B72047">
      <w:pPr>
        <w:pStyle w:val="normalparagraph"/>
      </w:pPr>
      <w:r>
        <w:t>When marked with “sei”, a metalinguistic utterance can be embedded in an</w:t>
      </w:r>
      <w:r>
        <w:softHyphen/>
        <w:t>other</w:t>
      </w:r>
      <w:r>
        <w:rPr>
          <w:rStyle w:val="deletedparamark"/>
        </w:rPr>
        <w:t xml:space="preserve"> </w:t>
      </w:r>
      <w:r>
        <w:t>u</w:t>
      </w:r>
      <w:r>
        <w:t>t</w:t>
      </w:r>
      <w:r>
        <w:softHyphen/>
        <w:t>terance as a discursive. In this way, discursives which do not have</w:t>
      </w:r>
      <w:r>
        <w:rPr>
          <w:rStyle w:val="deletedparamark"/>
        </w:rPr>
        <w:t xml:space="preserve"> </w:t>
      </w:r>
      <w:r>
        <w:t>cmavo as</w:t>
      </w:r>
      <w:r>
        <w:softHyphen/>
        <w:t>signed in selma'o UI can be expressed:</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name=e12d3&gt;</w:t>
      </w:r>
      <w:r>
        <w:t>12.3)</w:t>
      </w:r>
      <w:r>
        <w:tab/>
        <w:t>la frank. prami sei la frank. gleki la djein.</w:t>
      </w:r>
    </w:p>
    <w:p w:rsidR="00B72047" w:rsidRDefault="00B72047">
      <w:pPr>
        <w:pStyle w:val="examplescaled"/>
      </w:pPr>
      <w:r>
        <w:tab/>
        <w:t>Frank loves (Frank is happy) Jane.</w:t>
      </w:r>
    </w:p>
    <w:p w:rsidR="00B72047" w:rsidRDefault="00B72047">
      <w:pPr>
        <w:pStyle w:val="resumedafterexample"/>
      </w:pPr>
      <w:r>
        <w:rPr>
          <w:rStyle w:val="htmlcodes"/>
        </w:rPr>
        <w:t>&lt;/pre&gt;&lt;p&gt;</w:t>
      </w:r>
      <w:r>
        <w:t>Using the happiness attitudinal, “.ui”, would imply that the speaker was</w:t>
      </w:r>
      <w:r>
        <w:rPr>
          <w:rStyle w:val="deletedparamark"/>
        </w:rPr>
        <w:t xml:space="preserve"> </w:t>
      </w:r>
      <w:r>
        <w:t>happy. Instead, the speaker attributes happiness to Frank. It would</w:t>
      </w:r>
      <w:r>
        <w:rPr>
          <w:rStyle w:val="deletedparamark"/>
        </w:rPr>
        <w:t xml:space="preserve"> </w:t>
      </w:r>
      <w:r>
        <w:t>probably be safe to elide the one who is happy, and say:</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name=e12d4&gt;</w:t>
      </w:r>
      <w:r>
        <w:t>12.4)</w:t>
      </w:r>
      <w:r>
        <w:tab/>
        <w:t>la frank. prami sei gleki la djein.</w:t>
      </w:r>
    </w:p>
    <w:p w:rsidR="00B72047" w:rsidRDefault="00B72047">
      <w:pPr>
        <w:pStyle w:val="examplescaled"/>
      </w:pPr>
      <w:r>
        <w:tab/>
        <w:t>Frank loves (he is happy) Jane.</w:t>
      </w:r>
    </w:p>
    <w:p w:rsidR="00B72047" w:rsidRDefault="00B72047">
      <w:pPr>
        <w:pStyle w:val="resumedafterexample"/>
      </w:pPr>
      <w:r>
        <w:rPr>
          <w:rStyle w:val="htmlcodes"/>
        </w:rPr>
        <w:t>&lt;/pre&gt;&lt;p&gt;</w:t>
      </w:r>
      <w:r>
        <w:t>The grammar of the bridi following “sei” has an unusual limitation: the sumti</w:t>
      </w:r>
      <w:r>
        <w:rPr>
          <w:rStyle w:val="deletedparamark"/>
        </w:rPr>
        <w:t xml:space="preserve"> </w:t>
      </w:r>
      <w:r>
        <w:t>must ei</w:t>
      </w:r>
      <w:r>
        <w:softHyphen/>
        <w:t>ther precede the selbri, or must be glued into the selbri with</w:t>
      </w:r>
      <w:r>
        <w:rPr>
          <w:rStyle w:val="deletedparamark"/>
        </w:rPr>
        <w:t xml:space="preserve"> “</w:t>
      </w:r>
      <w:r>
        <w:t>be” and “bei”:</w:t>
      </w:r>
    </w:p>
    <w:p w:rsidR="00B72047" w:rsidRDefault="00B72047">
      <w:pPr>
        <w:rPr>
          <w:rStyle w:val="htmlcodes"/>
        </w:rPr>
      </w:pPr>
      <w:r>
        <w:rPr>
          <w:rStyle w:val="htmlcodes"/>
        </w:rPr>
        <w:t>&lt;p&gt;</w:t>
      </w:r>
    </w:p>
    <w:p w:rsidR="00B72047" w:rsidRDefault="00B72047">
      <w:pPr>
        <w:pStyle w:val="examplescaledpre"/>
      </w:pPr>
      <w:r>
        <w:rPr>
          <w:rStyle w:val="xeentry"/>
        </w:rPr>
        <w:fldChar w:fldCharType="begin"/>
      </w:r>
      <w:r>
        <w:rPr>
          <w:rStyle w:val="xeentry"/>
        </w:rPr>
        <w:instrText>xe "Susan: example"</w:instrText>
      </w:r>
      <w:r>
        <w:rPr>
          <w:rStyle w:val="xeentry"/>
        </w:rPr>
        <w:fldChar w:fldCharType="end"/>
      </w:r>
      <w:r>
        <w:rPr>
          <w:rStyle w:val="htmlcodes"/>
        </w:rPr>
        <w:t>&lt;pre&gt;&lt;a name=e12d5&gt;</w:t>
      </w:r>
      <w:r>
        <w:t>12.5)</w:t>
      </w:r>
      <w:r>
        <w:tab/>
        <w:t>la frank. prami sei gleki be fa la suzn. la djein.</w:t>
      </w:r>
    </w:p>
    <w:p w:rsidR="00B72047" w:rsidRDefault="00B72047">
      <w:pPr>
        <w:pStyle w:val="examplescaled"/>
      </w:pPr>
      <w:r>
        <w:tab/>
        <w:t>Frank loves (Susan is happy) Jane.</w:t>
      </w:r>
    </w:p>
    <w:p w:rsidR="00B72047" w:rsidRDefault="00B72047">
      <w:pPr>
        <w:pStyle w:val="resumedafterexample"/>
      </w:pPr>
      <w:r>
        <w:rPr>
          <w:rStyle w:val="htmlcodes"/>
        </w:rPr>
        <w:t>&lt;/pre&gt;&lt;p&gt;</w:t>
      </w:r>
      <w:r>
        <w:t>This restriction allows the terminator cmavo “se'u” to almost always be</w:t>
      </w:r>
      <w:r>
        <w:rPr>
          <w:rStyle w:val="deletedparamark"/>
        </w:rPr>
        <w:t xml:space="preserve"> </w:t>
      </w:r>
      <w:r>
        <w:t>elided.</w:t>
      </w:r>
    </w:p>
    <w:p w:rsidR="00B72047" w:rsidRDefault="00B72047">
      <w:pPr>
        <w:rPr>
          <w:rStyle w:val="htmlparacode"/>
        </w:rPr>
      </w:pPr>
      <w:r>
        <w:rPr>
          <w:rStyle w:val="htmlparacode"/>
        </w:rPr>
        <w:t>&lt;p&gt;</w:t>
      </w:r>
    </w:p>
    <w:p w:rsidR="00B72047" w:rsidRDefault="00B72047">
      <w:pPr>
        <w:pStyle w:val="normalparagraph"/>
      </w:pPr>
      <w:r>
        <w:rPr>
          <w:rStyle w:val="indexentry"/>
        </w:rPr>
        <w:t>&lt;cx "metalinguistic levels"&gt;</w:t>
      </w:r>
      <w:r>
        <w:rPr>
          <w:rStyle w:val="indexentry"/>
        </w:rPr>
        <w:fldChar w:fldCharType="begin"/>
      </w:r>
      <w:r>
        <w:instrText>xe "</w:instrText>
      </w:r>
      <w:r>
        <w:rPr>
          <w:rStyle w:val="xeentry"/>
        </w:rPr>
        <w:instrText>metalinguistic levels</w:instrText>
      </w:r>
      <w:r>
        <w:instrText>"</w:instrText>
      </w:r>
      <w:r>
        <w:rPr>
          <w:rStyle w:val="indexentry"/>
        </w:rPr>
        <w:fldChar w:fldCharType="end"/>
      </w:r>
      <w:r>
        <w:rPr>
          <w:rStyle w:val="indexentry"/>
        </w:rPr>
        <w:t>&lt;cx "metalinguistic levels or reference"&gt;</w:t>
      </w:r>
      <w:r>
        <w:rPr>
          <w:rStyle w:val="indexentry"/>
        </w:rPr>
        <w:fldChar w:fldCharType="begin"/>
      </w:r>
      <w:r>
        <w:instrText>xe "</w:instrText>
      </w:r>
      <w:r>
        <w:rPr>
          <w:rStyle w:val="xeentry"/>
        </w:rPr>
        <w:instrText>metalinguistic levels or reference</w:instrText>
      </w:r>
      <w:r>
        <w:instrText>"</w:instrText>
      </w:r>
      <w:r>
        <w:rPr>
          <w:rStyle w:val="indexentry"/>
        </w:rPr>
        <w:fldChar w:fldCharType="end"/>
      </w:r>
      <w:r>
        <w:rPr>
          <w:rStyle w:val="indexentry"/>
        </w:rPr>
        <w:t>&lt;cx "pro-sumti, and discursive utterances"&gt;</w:t>
      </w:r>
      <w:r>
        <w:rPr>
          <w:rStyle w:val="indexentry"/>
        </w:rPr>
        <w:fldChar w:fldCharType="begin"/>
      </w:r>
      <w:r>
        <w:instrText>xe "</w:instrText>
      </w:r>
      <w:r>
        <w:rPr>
          <w:rStyle w:val="xeentry"/>
        </w:rPr>
        <w:instrText>pro-sumti: and discursive utterances</w:instrText>
      </w:r>
      <w:r>
        <w:instrText>"</w:instrText>
      </w:r>
      <w:r>
        <w:rPr>
          <w:rStyle w:val="indexentry"/>
        </w:rPr>
        <w:fldChar w:fldCharType="end"/>
      </w:r>
      <w:r>
        <w:rPr>
          <w:rStyle w:val="indexentry"/>
        </w:rPr>
        <w:t>&lt;cx "reference, and discursive utterances"&gt;</w:t>
      </w:r>
      <w:r>
        <w:rPr>
          <w:rStyle w:val="indexentry"/>
        </w:rPr>
        <w:fldChar w:fldCharType="begin"/>
      </w:r>
      <w:r>
        <w:instrText>xe "</w:instrText>
      </w:r>
      <w:r>
        <w:rPr>
          <w:rStyle w:val="xeentry"/>
        </w:rPr>
        <w:instrText>reference: and discursive utterances</w:instrText>
      </w:r>
      <w:r>
        <w:instrText>"</w:instrText>
      </w:r>
      <w:r>
        <w:rPr>
          <w:rStyle w:val="indexentry"/>
        </w:rPr>
        <w:fldChar w:fldCharType="end"/>
      </w:r>
      <w:r>
        <w:t>Since a discursive utterance is working at a “higher” level of abstraction</w:t>
      </w:r>
      <w:r>
        <w:rPr>
          <w:rStyle w:val="deletedparamark"/>
        </w:rPr>
        <w:t xml:space="preserve"> </w:t>
      </w:r>
      <w:r>
        <w:t>than a non-discursive utterance, a non-discursive utterance cannot refer to</w:t>
      </w:r>
      <w:r>
        <w:rPr>
          <w:rStyle w:val="deletedparamark"/>
        </w:rPr>
        <w:t xml:space="preserve"> </w:t>
      </w:r>
      <w:r>
        <w:t>a discursive utter</w:t>
      </w:r>
      <w:r>
        <w:softHyphen/>
        <w:t>ance. Specifically, the various back-counting,</w:t>
      </w:r>
      <w:r>
        <w:rPr>
          <w:rStyle w:val="deletedparamark"/>
        </w:rPr>
        <w:t xml:space="preserve"> </w:t>
      </w:r>
      <w:r>
        <w:t>reciprocal, and reflexive constructs in selma'o KOhA ignore the utterances</w:t>
      </w:r>
      <w:r>
        <w:rPr>
          <w:rStyle w:val="deletedparamark"/>
        </w:rPr>
        <w:t xml:space="preserve"> </w:t>
      </w:r>
      <w:r>
        <w:t>at “higher” metalinguistic levels in determining their refe</w:t>
      </w:r>
      <w:r>
        <w:t>r</w:t>
      </w:r>
      <w:r>
        <w:softHyphen/>
        <w:t>ent. It is</w:t>
      </w:r>
      <w:r>
        <w:rPr>
          <w:rStyle w:val="deletedparamark"/>
        </w:rPr>
        <w:t xml:space="preserve"> </w:t>
      </w:r>
      <w:r>
        <w:t>possible, and sometimes necessary, to refer to lower metalinguistic levels.</w:t>
      </w:r>
      <w:r>
        <w:rPr>
          <w:rStyle w:val="deletedparamark"/>
        </w:rPr>
        <w:t xml:space="preserve"> </w:t>
      </w:r>
      <w:r>
        <w:t>For example, the English “he said” in a conversation is metalinguistic.</w:t>
      </w:r>
      <w:r>
        <w:rPr>
          <w:rStyle w:val="deletedparamark"/>
        </w:rPr>
        <w:t xml:space="preserve"> </w:t>
      </w:r>
      <w:r>
        <w:t>For this purpose, qu</w:t>
      </w:r>
      <w:r>
        <w:t>o</w:t>
      </w:r>
      <w:r>
        <w:softHyphen/>
        <w:t>tations are considered to be at a lower metalinguistic</w:t>
      </w:r>
      <w:r>
        <w:rPr>
          <w:rStyle w:val="deletedparamark"/>
        </w:rPr>
        <w:t xml:space="preserve"> </w:t>
      </w:r>
      <w:r>
        <w:t>level than the sur</w:t>
      </w:r>
      <w:r>
        <w:softHyphen/>
        <w:t>rounding context (a quoted text cannot refer to the</w:t>
      </w:r>
      <w:r>
        <w:rPr>
          <w:rStyle w:val="deletedparamark"/>
        </w:rPr>
        <w:t xml:space="preserve"> </w:t>
      </w:r>
      <w:r>
        <w:t>statements of the one who quotes it), whereas parenthetical remarks are</w:t>
      </w:r>
      <w:r>
        <w:rPr>
          <w:rStyle w:val="deletedparamark"/>
        </w:rPr>
        <w:t xml:space="preserve"> </w:t>
      </w:r>
      <w:r>
        <w:t>considered to be at a higher level than the context.</w:t>
      </w:r>
    </w:p>
    <w:p w:rsidR="00B72047" w:rsidRDefault="00B72047">
      <w:pPr>
        <w:pStyle w:val="normalparagraph"/>
        <w:rPr>
          <w:rStyle w:val="htmlparacode"/>
        </w:rPr>
      </w:pPr>
      <w:r>
        <w:rPr>
          <w:rStyle w:val="htmlparacode"/>
        </w:rPr>
        <w:t>&lt;p&gt;</w:t>
      </w:r>
    </w:p>
    <w:p w:rsidR="00B72047" w:rsidRDefault="00B72047">
      <w:pPr>
        <w:pStyle w:val="normalparagraph"/>
      </w:pPr>
      <w:r>
        <w:t>Lojban works differently from English in that the “he said” can be marked</w:t>
      </w:r>
      <w:r>
        <w:rPr>
          <w:rStyle w:val="deletedparamark"/>
        </w:rPr>
        <w:t xml:space="preserve"> </w:t>
      </w:r>
      <w:r>
        <w:t>in</w:t>
      </w:r>
      <w:r>
        <w:softHyphen/>
        <w:t>stead of the quotation. In Lojban, you can say:</w:t>
      </w:r>
    </w:p>
    <w:p w:rsidR="00B72047" w:rsidRDefault="00B72047">
      <w:pPr>
        <w:rPr>
          <w:rStyle w:val="htmlparacode"/>
        </w:rPr>
      </w:pPr>
      <w:r>
        <w:rPr>
          <w:rStyle w:val="htmlparacode"/>
        </w:rPr>
        <w:t>&lt;p&gt;</w:t>
      </w:r>
    </w:p>
    <w:p w:rsidR="00B72047" w:rsidRDefault="00B72047">
      <w:pPr>
        <w:pStyle w:val="examplescaledpre"/>
      </w:pPr>
      <w:r>
        <w:rPr>
          <w:rStyle w:val="indexentry"/>
        </w:rPr>
        <w:t>&lt;ex "said John"&gt;</w:t>
      </w:r>
      <w:r>
        <w:rPr>
          <w:rStyle w:val="indexentry"/>
        </w:rPr>
        <w:fldChar w:fldCharType="begin"/>
      </w:r>
      <w:r>
        <w:instrText>xe "</w:instrText>
      </w:r>
      <w:r>
        <w:rPr>
          <w:rStyle w:val="xeentry"/>
        </w:rPr>
        <w:instrText>said John: example</w:instrText>
      </w:r>
      <w:r>
        <w:instrText>"</w:instrText>
      </w:r>
      <w:r>
        <w:rPr>
          <w:rStyle w:val="indexentry"/>
        </w:rPr>
        <w:fldChar w:fldCharType="end"/>
      </w:r>
      <w:r>
        <w:rPr>
          <w:rStyle w:val="htmlcodes"/>
        </w:rPr>
        <w:t>&lt;pre&gt;&lt;a name=e12d6&gt;</w:t>
      </w:r>
      <w:r>
        <w:t>12.6)</w:t>
      </w:r>
      <w:r>
        <w:tab/>
        <w:t>la djan. cusku lu mi klama le zarci li'u</w:t>
      </w:r>
    </w:p>
    <w:p w:rsidR="00B72047" w:rsidRDefault="00B72047">
      <w:pPr>
        <w:pStyle w:val="examplescaled"/>
      </w:pPr>
      <w:r>
        <w:tab/>
        <w:t>John expresses “I go to-the store”.</w:t>
      </w:r>
    </w:p>
    <w:p w:rsidR="00B72047" w:rsidRDefault="00B72047">
      <w:pPr>
        <w:pStyle w:val="resumedafterexample"/>
      </w:pPr>
      <w:r>
        <w:rPr>
          <w:rStyle w:val="htmlcodes"/>
        </w:rPr>
        <w:t>&lt;/pre&gt;</w:t>
      </w:r>
      <w:r>
        <w:t>which literally claims that John uttered the quoted text. If the central</w:t>
      </w:r>
      <w:r>
        <w:rPr>
          <w:rStyle w:val="deletedparamark"/>
        </w:rPr>
        <w:t xml:space="preserve"> </w:t>
      </w:r>
      <w:r>
        <w:t>claim is that John made the utterance, as is likely in conversation, this</w:t>
      </w:r>
      <w:r>
        <w:rPr>
          <w:rStyle w:val="deletedparamark"/>
        </w:rPr>
        <w:t xml:space="preserve"> </w:t>
      </w:r>
      <w:r>
        <w:t>style is the most sensible. However, in written text which quotes a</w:t>
      </w:r>
      <w:r>
        <w:rPr>
          <w:rStyle w:val="deletedparamark"/>
        </w:rPr>
        <w:t xml:space="preserve"> </w:t>
      </w:r>
      <w:r>
        <w:t>conversation, you don't want the “he said” or “she said” to be considered</w:t>
      </w:r>
      <w:r>
        <w:rPr>
          <w:rStyle w:val="deletedparamark"/>
        </w:rPr>
        <w:t xml:space="preserve"> </w:t>
      </w:r>
      <w:r>
        <w:t>part of the conversation. If unmarked, it could mess up the anaphora</w:t>
      </w:r>
      <w:r>
        <w:rPr>
          <w:rStyle w:val="deletedparamark"/>
        </w:rPr>
        <w:t xml:space="preserve"> </w:t>
      </w:r>
      <w:r>
        <w:t>counting. Instead, you can use: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name=e12d7&gt;</w:t>
      </w:r>
      <w:r>
        <w:t>12.7)</w:t>
      </w:r>
      <w:r>
        <w:tab/>
        <w:t>lu mi klama le zarci seisa'a la djan. cusku be dei li'u</w:t>
      </w:r>
    </w:p>
    <w:p w:rsidR="00B72047" w:rsidRDefault="00B72047">
      <w:pPr>
        <w:pStyle w:val="examplescaled"/>
      </w:pPr>
      <w:r>
        <w:tab/>
        <w:t>“I go to-the store (John expresses this-sentence)”.</w:t>
      </w:r>
    </w:p>
    <w:p w:rsidR="00B72047" w:rsidRDefault="00B72047">
      <w:pPr>
        <w:pStyle w:val="examplescaled"/>
      </w:pPr>
      <w:r>
        <w:tab/>
        <w:t>“I go to the store”, said John.</w:t>
      </w:r>
    </w:p>
    <w:p w:rsidR="00B72047" w:rsidRDefault="00B72047">
      <w:pPr>
        <w:pStyle w:val="resumedafterexample"/>
      </w:pPr>
      <w:r>
        <w:rPr>
          <w:rStyle w:val="htmlcodes"/>
        </w:rPr>
        <w:t>&lt;/pre&gt;&lt;p&gt;</w:t>
      </w:r>
      <w:r>
        <w:t>And of course other orders are possible: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name=e12d8&gt;</w:t>
      </w:r>
      <w:r>
        <w:t>12.8)</w:t>
      </w:r>
      <w:r>
        <w:tab/>
        <w:t>lu seisa'a la djan. cusku be dei mi klama le zarci</w:t>
      </w:r>
    </w:p>
    <w:p w:rsidR="00B72047" w:rsidRDefault="00B72047">
      <w:pPr>
        <w:pStyle w:val="examplescaled"/>
      </w:pPr>
      <w:r>
        <w:tab/>
        <w:t>John said, “I go to the store”.</w:t>
      </w:r>
    </w:p>
    <w:p w:rsidR="00B72047" w:rsidRDefault="00B72047">
      <w:pPr>
        <w:pStyle w:val="examplescaledpre"/>
      </w:pPr>
      <w:r>
        <w:rPr>
          <w:rStyle w:val="htmlcodes"/>
        </w:rPr>
        <w:t>&lt;a name=e12d9&gt;</w:t>
      </w:r>
      <w:r>
        <w:t>12.9)</w:t>
      </w:r>
      <w:r>
        <w:tab/>
        <w:t>lu mi klama seisa'a la djan cusku le zarci</w:t>
      </w:r>
    </w:p>
    <w:p w:rsidR="00B72047" w:rsidRDefault="00B72047">
      <w:pPr>
        <w:pStyle w:val="examplescaled"/>
      </w:pPr>
      <w:r>
        <w:tab/>
        <w:t>“I go”, John said, “to the store”.</w:t>
      </w:r>
    </w:p>
    <w:p w:rsidR="00B72047" w:rsidRDefault="00B72047">
      <w:pPr>
        <w:pStyle w:val="resumedafterexample"/>
      </w:pPr>
      <w:r>
        <w:rPr>
          <w:rStyle w:val="htmlcodes"/>
        </w:rPr>
        <w:t>&lt;/pre&gt;&lt;p&gt;</w:t>
      </w:r>
      <w:r>
        <w:t>Note the “sa'a” following each “sei”, marking the “sei” and its attached</w:t>
      </w:r>
      <w:r>
        <w:rPr>
          <w:rStyle w:val="deletedparamark"/>
        </w:rPr>
        <w:t xml:space="preserve"> </w:t>
      </w:r>
      <w:r>
        <w:t>bridi as an edi</w:t>
      </w:r>
      <w:r>
        <w:softHyphen/>
        <w:t>torial insert, not part of the quotation. In a more relaxed</w:t>
      </w:r>
      <w:r>
        <w:rPr>
          <w:rStyle w:val="deletedparamark"/>
        </w:rPr>
        <w:t xml:space="preserve"> </w:t>
      </w:r>
      <w:r>
        <w:t>style, these “sa'a” cmavo would probably be dropped.</w:t>
      </w:r>
    </w:p>
    <w:p w:rsidR="00B72047" w:rsidRDefault="00B72047">
      <w:pPr>
        <w:rPr>
          <w:rStyle w:val="htmlparacode"/>
        </w:rPr>
      </w:pPr>
      <w:r>
        <w:rPr>
          <w:rStyle w:val="htmlparacode"/>
        </w:rPr>
        <w:t>&lt;p&gt;</w:t>
      </w:r>
    </w:p>
    <w:p w:rsidR="00B72047" w:rsidRDefault="00B72047">
      <w:pPr>
        <w:pStyle w:val="normalparagraph"/>
      </w:pPr>
      <w:r>
        <w:rPr>
          <w:rStyle w:val="indexentry"/>
        </w:rPr>
        <w:t>&lt;lx "se'u"&gt;</w:t>
      </w:r>
      <w:r>
        <w:rPr>
          <w:rStyle w:val="indexentry"/>
        </w:rPr>
        <w:fldChar w:fldCharType="begin"/>
      </w:r>
      <w:r>
        <w:instrText>xe "</w:instrText>
      </w:r>
      <w:r>
        <w:rPr>
          <w:rStyle w:val="xeentry"/>
        </w:rPr>
        <w:instrText>se'u</w:instrText>
      </w:r>
      <w:r>
        <w:instrText>"</w:instrText>
      </w:r>
      <w:r>
        <w:rPr>
          <w:rStyle w:val="indexentry"/>
        </w:rPr>
        <w:fldChar w:fldCharType="end"/>
      </w:r>
      <w:r>
        <w:rPr>
          <w:rStyle w:val="indexentry"/>
        </w:rPr>
        <w:t>&lt;lx "SEhU"&gt;</w:t>
      </w:r>
      <w:r>
        <w:rPr>
          <w:rStyle w:val="indexentry"/>
        </w:rPr>
        <w:fldChar w:fldCharType="begin"/>
      </w:r>
      <w:r>
        <w:instrText>xe "</w:instrText>
      </w:r>
      <w:r>
        <w:rPr>
          <w:rStyle w:val="xeentry"/>
        </w:rPr>
        <w:instrText>SEhU selma’o</w:instrText>
      </w:r>
      <w:r>
        <w:instrText>"</w:instrText>
      </w:r>
      <w:r>
        <w:rPr>
          <w:rStyle w:val="indexentry"/>
        </w:rPr>
        <w:fldChar w:fldCharType="end"/>
      </w:r>
      <w:r>
        <w:t>The elidable terminator for “sei” is “se'u” (of selma'o SEhU); it is</w:t>
      </w:r>
      <w:r>
        <w:rPr>
          <w:rStyle w:val="deletedparamark"/>
        </w:rPr>
        <w:t xml:space="preserve"> </w:t>
      </w:r>
      <w:r>
        <w:t>rarely needed, e</w:t>
      </w:r>
      <w:r>
        <w:t>x</w:t>
      </w:r>
      <w:r>
        <w:softHyphen/>
        <w:t>cept to separate a selbri within the “sei” comment</w:t>
      </w:r>
      <w:r>
        <w:rPr>
          <w:rStyle w:val="deletedparamark"/>
        </w:rPr>
        <w:t xml:space="preserve"> </w:t>
      </w:r>
      <w:r>
        <w:t>from an immediately fol</w:t>
      </w:r>
      <w:r>
        <w:softHyphen/>
        <w:t>lowing selbri (or component) outside the comment.</w:t>
      </w:r>
    </w:p>
    <w:p w:rsidR="00B72047" w:rsidRDefault="00B72047">
      <w:pPr>
        <w:rPr>
          <w:rStyle w:val="htmlparacode"/>
        </w:rPr>
      </w:pPr>
      <w:r>
        <w:rPr>
          <w:rStyle w:val="htmlparacode"/>
        </w:rPr>
        <w:t>&lt;p&gt;</w:t>
      </w:r>
    </w:p>
    <w:p w:rsidR="00B72047" w:rsidRDefault="00B72047">
      <w:pPr>
        <w:pStyle w:val="Heading3"/>
        <w:rPr>
          <w:rStyle w:val="Heading3Text"/>
        </w:rPr>
      </w:pPr>
      <w:bookmarkStart w:id="537" w:name="_Toc398970773"/>
      <w:r>
        <w:rPr>
          <w:rStyle w:val="Heading3Text"/>
        </w:rPr>
        <w:t>Erasure: SI, SA, SU</w:t>
      </w:r>
      <w:bookmarkEnd w:id="537"/>
      <w:r>
        <w:rPr>
          <w:rStyle w:val="htmlcodes"/>
        </w:rPr>
        <w:t>&lt;/h3&gt;</w:t>
      </w:r>
    </w:p>
    <w:p w:rsidR="00B72047" w:rsidRDefault="00B72047">
      <w:pPr>
        <w:rPr>
          <w:rStyle w:val="htmlparacode"/>
        </w:rPr>
      </w:pPr>
      <w:r>
        <w:rPr>
          <w:rStyle w:val="htmlparacode"/>
        </w:rPr>
        <w:t>&lt;p&gt;</w:t>
      </w:r>
      <w:r>
        <w:rPr>
          <w:rStyle w:val="indexentry"/>
        </w:rPr>
        <w:t>&lt;cx "erasure"&gt;</w:t>
      </w:r>
      <w:r>
        <w:rPr>
          <w:rStyle w:val="indexentry"/>
        </w:rPr>
        <w:fldChar w:fldCharType="begin"/>
      </w:r>
      <w:r>
        <w:instrText>xe "</w:instrText>
      </w:r>
      <w:r>
        <w:rPr>
          <w:rStyle w:val="xeentry"/>
        </w:rPr>
        <w:instrText>erasure</w:instrText>
      </w:r>
      <w:r>
        <w:instrText>"</w:instrText>
      </w:r>
      <w:r>
        <w:rPr>
          <w:rStyle w:val="indexentry"/>
        </w:rPr>
        <w:fldChar w:fldCharType="end"/>
      </w:r>
      <w:r>
        <w:rPr>
          <w:rStyle w:val="htmlcodes"/>
        </w:rPr>
        <w:t>&lt;a name=s13&gt;&lt;h3&gt;</w:t>
      </w:r>
    </w:p>
    <w:p w:rsidR="00B72047" w:rsidRDefault="00B72047">
      <w:pPr>
        <w:pStyle w:val="normalparagraph"/>
      </w:pPr>
      <w:r>
        <w:t>The following cmavo are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si</w:t>
      </w:r>
      <w:r>
        <w:tab/>
        <w:t>SI</w:t>
      </w:r>
      <w:r>
        <w:tab/>
        <w:t>erase word</w:t>
      </w:r>
    </w:p>
    <w:p w:rsidR="00B72047" w:rsidRDefault="00B72047">
      <w:pPr>
        <w:pStyle w:val="examplescaled"/>
      </w:pPr>
      <w:r>
        <w:tab/>
        <w:t>sa</w:t>
      </w:r>
      <w:r>
        <w:tab/>
        <w:t>SA</w:t>
      </w:r>
      <w:r>
        <w:tab/>
        <w:t>erase phrase</w:t>
      </w:r>
    </w:p>
    <w:p w:rsidR="00B72047" w:rsidRDefault="00B72047">
      <w:pPr>
        <w:pStyle w:val="examplescaled"/>
      </w:pPr>
      <w:r>
        <w:tab/>
        <w:t>su</w:t>
      </w:r>
      <w:r>
        <w:tab/>
        <w:t>SU</w:t>
      </w:r>
      <w:r>
        <w:tab/>
        <w:t>erase discourse</w:t>
      </w:r>
    </w:p>
    <w:p w:rsidR="00B72047" w:rsidRDefault="00B72047">
      <w:pPr>
        <w:pStyle w:val="normalafterexample"/>
      </w:pPr>
      <w:r>
        <w:rPr>
          <w:rStyle w:val="htmlcodes"/>
        </w:rPr>
        <w:t>&lt;/pre&gt;</w:t>
      </w:r>
      <w:r>
        <w:rPr>
          <w:rStyle w:val="indexentry"/>
        </w:rPr>
        <w:t>&lt;lx "si"&gt;</w:t>
      </w:r>
      <w:r>
        <w:rPr>
          <w:rStyle w:val="indexentry"/>
        </w:rPr>
        <w:fldChar w:fldCharType="begin"/>
      </w:r>
      <w:r>
        <w:instrText>xe "</w:instrText>
      </w:r>
      <w:r>
        <w:rPr>
          <w:rStyle w:val="xeentry"/>
        </w:rPr>
        <w:instrText>si</w:instrText>
      </w:r>
      <w:r>
        <w:instrText>"</w:instrText>
      </w:r>
      <w:r>
        <w:rPr>
          <w:rStyle w:val="indexentry"/>
        </w:rPr>
        <w:fldChar w:fldCharType="end"/>
      </w:r>
      <w:r>
        <w:rPr>
          <w:rStyle w:val="indexentry"/>
        </w:rPr>
        <w:t>&lt;lx "SI"&gt;</w:t>
      </w:r>
      <w:r>
        <w:rPr>
          <w:rStyle w:val="indexentry"/>
        </w:rPr>
        <w:fldChar w:fldCharType="begin"/>
      </w:r>
      <w:r>
        <w:instrText>xe "</w:instrText>
      </w:r>
      <w:r>
        <w:rPr>
          <w:rStyle w:val="xeentry"/>
        </w:rPr>
        <w:instrText>SI selma’o</w:instrText>
      </w:r>
      <w:r>
        <w:instrText>"</w:instrText>
      </w:r>
      <w:r>
        <w:rPr>
          <w:rStyle w:val="indexentry"/>
        </w:rPr>
        <w:fldChar w:fldCharType="end"/>
      </w:r>
      <w:r>
        <w:rPr>
          <w:rStyle w:val="indexentry"/>
        </w:rPr>
        <w:t>&lt;cx "erasure, word"&gt;</w:t>
      </w:r>
      <w:r>
        <w:rPr>
          <w:rStyle w:val="indexentry"/>
        </w:rPr>
        <w:fldChar w:fldCharType="begin"/>
      </w:r>
      <w:r>
        <w:instrText>xe "</w:instrText>
      </w:r>
      <w:r>
        <w:rPr>
          <w:rStyle w:val="xeentry"/>
        </w:rPr>
        <w:instrText>erasure: word</w:instrText>
      </w:r>
      <w:r>
        <w:instrText>"</w:instrText>
      </w:r>
      <w:r>
        <w:rPr>
          <w:rStyle w:val="indexentry"/>
        </w:rPr>
        <w:fldChar w:fldCharType="end"/>
      </w:r>
      <w:r>
        <w:t>The cmavo “si” (of selma'o SI) is a metalinguistic operator that erases the</w:t>
      </w:r>
      <w:r>
        <w:rPr>
          <w:rStyle w:val="deletedparamark"/>
        </w:rPr>
        <w:t xml:space="preserve"> </w:t>
      </w:r>
      <w:r>
        <w:t>pre</w:t>
      </w:r>
      <w:r>
        <w:softHyphen/>
        <w:t>ceding word, as if it had never been spoken:</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name=e13d1&gt;</w:t>
      </w:r>
      <w:r>
        <w:t>13.1)</w:t>
      </w:r>
      <w:r>
        <w:tab/>
        <w:t>ti gerku si mlatu</w:t>
      </w:r>
    </w:p>
    <w:p w:rsidR="00B72047" w:rsidRDefault="00B72047">
      <w:pPr>
        <w:pStyle w:val="examplescaled"/>
      </w:pPr>
      <w:r>
        <w:tab/>
        <w:t>This is-a-dog, er, is-a-cat.</w:t>
      </w:r>
    </w:p>
    <w:p w:rsidR="00B72047" w:rsidRDefault="00B72047">
      <w:pPr>
        <w:pStyle w:val="resumedafterexample"/>
      </w:pPr>
      <w:r>
        <w:rPr>
          <w:rStyle w:val="htmlcodes"/>
        </w:rPr>
        <w:t>&lt;/pre&gt;</w:t>
      </w:r>
      <w:r>
        <w:t>means the same thing as “ti mlatu”. Multiple “si” cmavo in succession erase</w:t>
      </w:r>
      <w:r>
        <w:rPr>
          <w:rStyle w:val="deletedparamark"/>
        </w:rPr>
        <w:t xml:space="preserve"> </w:t>
      </w:r>
      <w:r>
        <w:t>the appro</w:t>
      </w:r>
      <w:r>
        <w:softHyphen/>
        <w:t>priate number of words:</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name=e13d2&gt;</w:t>
      </w:r>
      <w:r>
        <w:t>13.2)</w:t>
      </w:r>
      <w:r>
        <w:tab/>
        <w:t>ta blanu zdani si si xekri zdani</w:t>
      </w:r>
    </w:p>
    <w:p w:rsidR="00B72047" w:rsidRDefault="00B72047">
      <w:pPr>
        <w:pStyle w:val="examplescaled"/>
      </w:pPr>
      <w:r>
        <w:tab/>
        <w:t>That is-a-blue house, er, er, is-a-black house.</w:t>
      </w:r>
    </w:p>
    <w:p w:rsidR="00B72047" w:rsidRDefault="00B72047">
      <w:pPr>
        <w:pStyle w:val="resumedafterexample"/>
      </w:pPr>
      <w:r>
        <w:rPr>
          <w:rStyle w:val="htmlcodes"/>
        </w:rPr>
        <w:t>&lt;/pre&gt;</w:t>
      </w:r>
      <w:r>
        <w:rPr>
          <w:rStyle w:val="indexentry"/>
        </w:rPr>
        <w:t>&lt;cx "erasure, zo"&gt;</w:t>
      </w:r>
      <w:r>
        <w:rPr>
          <w:rStyle w:val="indexentry"/>
        </w:rPr>
        <w:fldChar w:fldCharType="begin"/>
      </w:r>
      <w:r>
        <w:instrText>xe "</w:instrText>
      </w:r>
      <w:r>
        <w:rPr>
          <w:rStyle w:val="xeentry"/>
        </w:rPr>
        <w:instrText>erasure: zo</w:instrText>
      </w:r>
      <w:r>
        <w:instrText>"</w:instrText>
      </w:r>
      <w:r>
        <w:rPr>
          <w:rStyle w:val="indexentry"/>
        </w:rPr>
        <w:fldChar w:fldCharType="end"/>
      </w:r>
      <w:r>
        <w:t>In order to erase the word “zo”, it is necessary to use three “si” cmavo</w:t>
      </w:r>
      <w:r>
        <w:rPr>
          <w:rStyle w:val="deletedparamark"/>
        </w:rPr>
        <w:t xml:space="preserve"> </w:t>
      </w:r>
      <w:r>
        <w:t>in a row:</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name=e13d3&gt;</w:t>
      </w:r>
      <w:r>
        <w:t>13.3)</w:t>
      </w:r>
      <w:r>
        <w:tab/>
        <w:t>zo .bab. se cmene zo si si si la bab.</w:t>
      </w:r>
    </w:p>
    <w:p w:rsidR="00B72047" w:rsidRDefault="00B72047">
      <w:pPr>
        <w:pStyle w:val="examplescaled"/>
      </w:pPr>
      <w:r>
        <w:tab/>
        <w:t>The-word “Bob” is-the-name-of the word “si”, er, er, Bob.</w:t>
      </w:r>
    </w:p>
    <w:p w:rsidR="00B72047" w:rsidRDefault="00B72047">
      <w:pPr>
        <w:pStyle w:val="resumedafterexample"/>
      </w:pPr>
      <w:r>
        <w:rPr>
          <w:rStyle w:val="htmlcodes"/>
        </w:rPr>
        <w:t>&lt;/pre&gt;&lt;p&gt;</w:t>
      </w:r>
      <w:r>
        <w:t>The first use of “si” does not erase anything, but completes the “zo”</w:t>
      </w:r>
      <w:r>
        <w:rPr>
          <w:rStyle w:val="deletedparamark"/>
        </w:rPr>
        <w:t xml:space="preserve"> </w:t>
      </w:r>
      <w:r>
        <w:t>quotation. Two more “si” cmavo are then necessary to erase the first “si”</w:t>
      </w:r>
      <w:r>
        <w:rPr>
          <w:rStyle w:val="deletedparamark"/>
        </w:rPr>
        <w:t xml:space="preserve"> </w:t>
      </w:r>
      <w:r>
        <w:t>and the “zo”.</w:t>
      </w:r>
    </w:p>
    <w:p w:rsidR="00B72047" w:rsidRDefault="00B72047">
      <w:pPr>
        <w:rPr>
          <w:rStyle w:val="htmlparacode"/>
        </w:rPr>
      </w:pPr>
      <w:r>
        <w:rPr>
          <w:rStyle w:val="htmlparacode"/>
        </w:rPr>
        <w:t>&lt;p&gt;</w:t>
      </w:r>
    </w:p>
    <w:p w:rsidR="00B72047" w:rsidRDefault="00B72047">
      <w:pPr>
        <w:pStyle w:val="normalparagraph"/>
      </w:pPr>
      <w:r>
        <w:t>Incorrect names can likewise cause trouble with “si”:</w:t>
      </w:r>
    </w:p>
    <w:p w:rsidR="00B72047" w:rsidRDefault="00B72047">
      <w:pPr>
        <w:rPr>
          <w:rStyle w:val="htmlparacode"/>
        </w:rPr>
      </w:pPr>
      <w:r>
        <w:rPr>
          <w:rStyle w:val="htmlparacode"/>
        </w:rPr>
        <w:t>&lt;p&gt;</w:t>
      </w:r>
    </w:p>
    <w:p w:rsidR="00B72047" w:rsidRDefault="00B72047">
      <w:pPr>
        <w:pStyle w:val="examplescaledpre"/>
      </w:pPr>
      <w:r>
        <w:rPr>
          <w:rStyle w:val="indexentry"/>
        </w:rPr>
        <w:t>&lt;cx "erasure, names"&gt;</w:t>
      </w:r>
      <w:r>
        <w:rPr>
          <w:rStyle w:val="indexentry"/>
        </w:rPr>
        <w:fldChar w:fldCharType="begin"/>
      </w:r>
      <w:r>
        <w:instrText>xe "</w:instrText>
      </w:r>
      <w:r>
        <w:rPr>
          <w:rStyle w:val="xeentry"/>
        </w:rPr>
        <w:instrText>erasure: names</w:instrText>
      </w:r>
      <w:r>
        <w:instrText>"</w:instrText>
      </w:r>
      <w:r>
        <w:rPr>
          <w:rStyle w:val="indexentry"/>
        </w:rPr>
        <w:fldChar w:fldCharType="end"/>
      </w:r>
      <w:r>
        <w:rPr>
          <w:rStyle w:val="htmlcodes"/>
        </w:rPr>
        <w:t>&lt;pre&gt;&lt;a name=e13d4&gt;</w:t>
      </w:r>
      <w:r>
        <w:t>13.4)</w:t>
      </w:r>
      <w:r>
        <w:tab/>
        <w:t>mi tavla fo la .esperanto si si .esperanton.</w:t>
      </w:r>
    </w:p>
    <w:p w:rsidR="00B72047" w:rsidRDefault="00B72047">
      <w:pPr>
        <w:pStyle w:val="examplescaled"/>
      </w:pPr>
      <w:r>
        <w:tab/>
        <w:t>I talk in-language that-named “and” “speranto”, er, er, Esperanto.</w:t>
      </w:r>
    </w:p>
    <w:p w:rsidR="00B72047" w:rsidRDefault="00B72047">
      <w:pPr>
        <w:pStyle w:val="resumedafterexample"/>
      </w:pPr>
      <w:r>
        <w:rPr>
          <w:rStyle w:val="htmlcodes"/>
        </w:rPr>
        <w:t>&lt;/pre&gt;&lt;p&gt;</w:t>
      </w:r>
      <w:r>
        <w:t>The Lojbanized spelling “.esperanto” breaks up, as a consequence of the</w:t>
      </w:r>
      <w:r>
        <w:rPr>
          <w:rStyle w:val="deletedparamark"/>
        </w:rPr>
        <w:t xml:space="preserve"> </w:t>
      </w:r>
      <w:r>
        <w:t>Lojban mor</w:t>
      </w:r>
      <w:r>
        <w:softHyphen/>
        <w:t xml:space="preserve">phology rules (see </w:t>
      </w:r>
      <w:r>
        <w:rPr>
          <w:rStyle w:val="htmlcodes"/>
        </w:rPr>
        <w:t>&lt;a href=chap4.html&gt;</w:t>
      </w:r>
      <w:r>
        <w:t>Chapter 4</w:t>
      </w:r>
      <w:r>
        <w:rPr>
          <w:rStyle w:val="htmlcodes"/>
        </w:rPr>
        <w:t>&lt;/a&gt;</w:t>
      </w:r>
      <w:r>
        <w:t>) into two Lojban words, the cmavo “.e”</w:t>
      </w:r>
      <w:r>
        <w:rPr>
          <w:rStyle w:val="deletedparamark"/>
        </w:rPr>
        <w:t xml:space="preserve"> </w:t>
      </w:r>
      <w:r>
        <w:t>and the undefined fu'ivla “speranto”. Therefore, two “si” cmavo are</w:t>
      </w:r>
      <w:r>
        <w:rPr>
          <w:rStyle w:val="deletedparamark"/>
        </w:rPr>
        <w:t xml:space="preserve"> </w:t>
      </w:r>
      <w:r>
        <w:t>needed to erase them. Of course, “.e speranto” is not grammatical after</w:t>
      </w:r>
      <w:r>
        <w:rPr>
          <w:rStyle w:val="deletedparamark"/>
        </w:rPr>
        <w:t xml:space="preserve"> “</w:t>
      </w:r>
      <w:r>
        <w:t>la”, but recognition of “si” is done before gram</w:t>
      </w:r>
      <w:r>
        <w:softHyphen/>
        <w:t>mati</w:t>
      </w:r>
      <w:r>
        <w:softHyphen/>
        <w:t>cal analysis.</w:t>
      </w:r>
    </w:p>
    <w:p w:rsidR="00B72047" w:rsidRDefault="00B72047">
      <w:pPr>
        <w:rPr>
          <w:rStyle w:val="htmlparacode"/>
        </w:rPr>
      </w:pPr>
      <w:r>
        <w:rPr>
          <w:rStyle w:val="htmlparacode"/>
        </w:rPr>
        <w:t>&lt;p&gt;</w:t>
      </w:r>
    </w:p>
    <w:p w:rsidR="00B72047" w:rsidRDefault="00B72047">
      <w:pPr>
        <w:pStyle w:val="normalparagraph"/>
      </w:pPr>
      <w:r>
        <w:rPr>
          <w:rStyle w:val="indexentry"/>
        </w:rPr>
        <w:t>&lt;cx "erasure, quotes"&gt;</w:t>
      </w:r>
      <w:r>
        <w:rPr>
          <w:rStyle w:val="indexentry"/>
        </w:rPr>
        <w:fldChar w:fldCharType="begin"/>
      </w:r>
      <w:r>
        <w:instrText>xe "</w:instrText>
      </w:r>
      <w:r>
        <w:rPr>
          <w:rStyle w:val="xeentry"/>
        </w:rPr>
        <w:instrText>erasure: quotes</w:instrText>
      </w:r>
      <w:r>
        <w:instrText>"</w:instrText>
      </w:r>
      <w:r>
        <w:rPr>
          <w:rStyle w:val="indexentry"/>
        </w:rPr>
        <w:fldChar w:fldCharType="end"/>
      </w:r>
      <w:r>
        <w:t>Even more messy is the result of an incorrect “zoi”:</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name=e13d5&gt;</w:t>
      </w:r>
      <w:r>
        <w:t>13.5)</w:t>
      </w:r>
      <w:r>
        <w:tab/>
        <w:t>mi cusku zoi fy. gy. .fy. si si si si zo .djan</w:t>
      </w:r>
    </w:p>
    <w:p w:rsidR="00B72047" w:rsidRDefault="00B72047">
      <w:pPr>
        <w:pStyle w:val="examplescaled"/>
      </w:pPr>
      <w:r>
        <w:tab/>
        <w:t>I express [foreign] [quote] “gy” [unquote], er, er, er, er, “John”.</w:t>
      </w:r>
    </w:p>
    <w:p w:rsidR="00B72047" w:rsidRDefault="00B72047">
      <w:pPr>
        <w:pStyle w:val="resumedafterexample"/>
      </w:pPr>
      <w:r>
        <w:rPr>
          <w:rStyle w:val="htmlcodes"/>
        </w:rPr>
        <w:t>&lt;/pre&gt;&lt;p&gt;</w:t>
      </w:r>
      <w:r>
        <w:t xml:space="preserve">In </w:t>
      </w:r>
      <w:r>
        <w:rPr>
          <w:rStyle w:val="htmlcodes"/>
        </w:rPr>
        <w:t>&lt;a href=#e13d5&gt;</w:t>
      </w:r>
      <w:r>
        <w:t>Example 13.5</w:t>
      </w:r>
      <w:r>
        <w:rPr>
          <w:rStyle w:val="htmlcodes"/>
        </w:rPr>
        <w:t>&lt;/a&gt;</w:t>
      </w:r>
      <w:r>
        <w:t>, the first “fy” is taken to be the delimiting word. The</w:t>
      </w:r>
      <w:r>
        <w:rPr>
          <w:rStyle w:val="deletedparamark"/>
        </w:rPr>
        <w:t xml:space="preserve"> </w:t>
      </w:r>
      <w:r>
        <w:t>next word must be different from the delimiting word, and “gy.”, the Lojban</w:t>
      </w:r>
      <w:r>
        <w:rPr>
          <w:rStyle w:val="deletedparamark"/>
        </w:rPr>
        <w:t xml:space="preserve"> </w:t>
      </w:r>
      <w:r>
        <w:t>name for the letter “g”, was chosen arbitrarily. Then the delimiting word</w:t>
      </w:r>
      <w:r>
        <w:rPr>
          <w:rStyle w:val="deletedparamark"/>
        </w:rPr>
        <w:t xml:space="preserve"> </w:t>
      </w:r>
      <w:r>
        <w:t>must be repeated. For purposes of “si” er</w:t>
      </w:r>
      <w:r>
        <w:t>a</w:t>
      </w:r>
      <w:r>
        <w:softHyphen/>
        <w:t>sure, the entire quoted</w:t>
      </w:r>
      <w:r>
        <w:rPr>
          <w:rStyle w:val="deletedparamark"/>
        </w:rPr>
        <w:t xml:space="preserve"> </w:t>
      </w:r>
      <w:r>
        <w:t>text is taken to be a word, so four words have been uttered, and four</w:t>
      </w:r>
      <w:r>
        <w:rPr>
          <w:rStyle w:val="deletedparamark"/>
        </w:rPr>
        <w:t xml:space="preserve"> </w:t>
      </w:r>
      <w:r>
        <w:t>more “si” cmavo are needed to erase them altogether. Similarly, a stray</w:t>
      </w:r>
      <w:r>
        <w:rPr>
          <w:rStyle w:val="deletedparamark"/>
        </w:rPr>
        <w:t xml:space="preserve"> “</w:t>
      </w:r>
      <w:r>
        <w:t>lo'u” quot</w:t>
      </w:r>
      <w:r>
        <w:t>a</w:t>
      </w:r>
      <w:r>
        <w:softHyphen/>
        <w:t>tion mark must be erased with “fy. le'u si si si”, by</w:t>
      </w:r>
      <w:r>
        <w:rPr>
          <w:rStyle w:val="deletedparamark"/>
        </w:rPr>
        <w:t xml:space="preserve"> </w:t>
      </w:r>
      <w:r>
        <w:t>completing the quotation and then erasing it all with three “si” cmavo.</w:t>
      </w:r>
    </w:p>
    <w:p w:rsidR="00B72047" w:rsidRDefault="00B72047">
      <w:pPr>
        <w:rPr>
          <w:rStyle w:val="htmlparacode"/>
        </w:rPr>
      </w:pPr>
      <w:r>
        <w:rPr>
          <w:rStyle w:val="htmlparacode"/>
        </w:rPr>
        <w:t>&lt;p&gt;</w:t>
      </w:r>
    </w:p>
    <w:p w:rsidR="00B72047" w:rsidRDefault="00B72047">
      <w:pPr>
        <w:pStyle w:val="normalparagraph"/>
      </w:pPr>
      <w:r>
        <w:t>What if less than the entire “zo” or “zoi” construct is erased? The result</w:t>
      </w:r>
      <w:r>
        <w:rPr>
          <w:rStyle w:val="deletedparamark"/>
        </w:rPr>
        <w:t xml:space="preserve"> </w:t>
      </w:r>
      <w:r>
        <w:t>is something which has a loose “zo” or “zoi” in it, without its expected</w:t>
      </w:r>
      <w:r>
        <w:rPr>
          <w:rStyle w:val="deletedparamark"/>
        </w:rPr>
        <w:t xml:space="preserve"> </w:t>
      </w:r>
      <w:r>
        <w:t>sequels, and which is incurably ungrammatical. Thus, to erase just the</w:t>
      </w:r>
      <w:r>
        <w:rPr>
          <w:rStyle w:val="deletedparamark"/>
        </w:rPr>
        <w:t xml:space="preserve"> </w:t>
      </w:r>
      <w:r>
        <w:t>word quoted by “zo”, it turns out to be necessary to erase the “zo” as well:</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name=e13d6&gt;</w:t>
      </w:r>
      <w:r>
        <w:t>13.6)</w:t>
      </w:r>
      <w:r>
        <w:tab/>
        <w:t>mi se cmene zo .djan. si si zo .djordj.</w:t>
      </w:r>
    </w:p>
    <w:p w:rsidR="00B72047" w:rsidRDefault="00B72047">
      <w:pPr>
        <w:pStyle w:val="examplescaled"/>
      </w:pPr>
      <w:r>
        <w:tab/>
        <w:t>I am-named-by the-word “John”, er, er, the-word “George”.</w:t>
      </w:r>
    </w:p>
    <w:p w:rsidR="00B72047" w:rsidRDefault="00B72047">
      <w:pPr>
        <w:pStyle w:val="resumedafterexample"/>
      </w:pPr>
      <w:r>
        <w:rPr>
          <w:rStyle w:val="htmlcodes"/>
        </w:rPr>
        <w:t>&lt;/pre&gt;&lt;p&gt;</w:t>
      </w:r>
      <w:r>
        <w:t>The parser will reject “zo .djan. si .djordj.”, because in that context</w:t>
      </w:r>
      <w:r>
        <w:rPr>
          <w:rStyle w:val="deletedparamark"/>
        </w:rPr>
        <w:t xml:space="preserve"> “</w:t>
      </w:r>
      <w:r>
        <w:t>djordj.” is a name (of selma'o CMENE) rather than a quoted word.</w:t>
      </w:r>
    </w:p>
    <w:p w:rsidR="00B72047" w:rsidRDefault="00B72047">
      <w:pPr>
        <w:rPr>
          <w:rStyle w:val="htmlparacode"/>
        </w:rPr>
      </w:pPr>
      <w:r>
        <w:rPr>
          <w:rStyle w:val="htmlparacode"/>
        </w:rPr>
        <w:t>&lt;p&gt;</w:t>
      </w:r>
    </w:p>
    <w:p w:rsidR="00B72047" w:rsidRDefault="00B72047">
      <w:pPr>
        <w:pStyle w:val="normalparagraph"/>
      </w:pPr>
      <w:r>
        <w:t>Note: The current machine parser does not implement “si” erasure.</w:t>
      </w:r>
    </w:p>
    <w:p w:rsidR="00B72047" w:rsidRDefault="00B72047">
      <w:pPr>
        <w:pStyle w:val="normalparagraph"/>
        <w:rPr>
          <w:rStyle w:val="htmlparacode"/>
        </w:rPr>
      </w:pPr>
      <w:r>
        <w:rPr>
          <w:rStyle w:val="htmlparacode"/>
        </w:rPr>
        <w:t>&lt;p&gt;</w:t>
      </w:r>
    </w:p>
    <w:p w:rsidR="00B72047" w:rsidRDefault="00B72047">
      <w:pPr>
        <w:pStyle w:val="normalparagraph"/>
      </w:pPr>
      <w:r>
        <w:rPr>
          <w:rStyle w:val="indexentry"/>
        </w:rPr>
        <w:t>&lt;cx "starting marker"&gt;</w:t>
      </w:r>
      <w:r>
        <w:rPr>
          <w:rStyle w:val="indexentry"/>
        </w:rPr>
        <w:fldChar w:fldCharType="begin"/>
      </w:r>
      <w:r>
        <w:instrText>xe "</w:instrText>
      </w:r>
      <w:r>
        <w:rPr>
          <w:rStyle w:val="xeentry"/>
        </w:rPr>
        <w:instrText>starting marker</w:instrText>
      </w:r>
      <w:r>
        <w:instrText>"</w:instrText>
      </w:r>
      <w:r>
        <w:rPr>
          <w:rStyle w:val="indexentry"/>
        </w:rPr>
        <w:fldChar w:fldCharType="end"/>
      </w:r>
      <w:r>
        <w:rPr>
          <w:rStyle w:val="indexentry"/>
        </w:rPr>
        <w:t>&lt;cx "precise erasures"&gt;</w:t>
      </w:r>
      <w:r>
        <w:rPr>
          <w:rStyle w:val="indexentry"/>
        </w:rPr>
        <w:fldChar w:fldCharType="begin"/>
      </w:r>
      <w:r>
        <w:instrText>xe "</w:instrText>
      </w:r>
      <w:r>
        <w:rPr>
          <w:rStyle w:val="xeentry"/>
        </w:rPr>
        <w:instrText>precise erasures</w:instrText>
      </w:r>
      <w:r>
        <w:instrText>"</w:instrText>
      </w:r>
      <w:r>
        <w:rPr>
          <w:rStyle w:val="indexentry"/>
        </w:rPr>
        <w:fldChar w:fldCharType="end"/>
      </w:r>
      <w:r>
        <w:rPr>
          <w:rStyle w:val="indexentry"/>
        </w:rPr>
        <w:t>&lt;lx "sa"&gt;</w:t>
      </w:r>
      <w:r>
        <w:rPr>
          <w:rStyle w:val="indexentry"/>
        </w:rPr>
        <w:fldChar w:fldCharType="begin"/>
      </w:r>
      <w:r>
        <w:instrText>xe "</w:instrText>
      </w:r>
      <w:r>
        <w:rPr>
          <w:rStyle w:val="xeentry"/>
        </w:rPr>
        <w:instrText>sa</w:instrText>
      </w:r>
      <w:r>
        <w:instrText>"</w:instrText>
      </w:r>
      <w:r>
        <w:rPr>
          <w:rStyle w:val="indexentry"/>
        </w:rPr>
        <w:fldChar w:fldCharType="end"/>
      </w:r>
      <w:r>
        <w:rPr>
          <w:rStyle w:val="indexentry"/>
        </w:rPr>
        <w:t>&lt;lx "SA"&gt;</w:t>
      </w:r>
      <w:r>
        <w:rPr>
          <w:rStyle w:val="indexentry"/>
        </w:rPr>
        <w:fldChar w:fldCharType="begin"/>
      </w:r>
      <w:r>
        <w:instrText>xe "</w:instrText>
      </w:r>
      <w:r>
        <w:rPr>
          <w:rStyle w:val="xeentry"/>
        </w:rPr>
        <w:instrText>SA selma’o</w:instrText>
      </w:r>
      <w:r>
        <w:instrText>"</w:instrText>
      </w:r>
      <w:r>
        <w:rPr>
          <w:rStyle w:val="indexentry"/>
        </w:rPr>
        <w:fldChar w:fldCharType="end"/>
      </w:r>
      <w:r>
        <w:rPr>
          <w:rStyle w:val="indexentry"/>
        </w:rPr>
        <w:t>&lt;cx "erasure, multiple word"&gt;</w:t>
      </w:r>
      <w:r>
        <w:rPr>
          <w:rStyle w:val="indexentry"/>
        </w:rPr>
        <w:fldChar w:fldCharType="begin"/>
      </w:r>
      <w:r>
        <w:instrText>xe "</w:instrText>
      </w:r>
      <w:r>
        <w:rPr>
          <w:rStyle w:val="xeentry"/>
        </w:rPr>
        <w:instrText>erasure: multiple word</w:instrText>
      </w:r>
      <w:r>
        <w:instrText>"</w:instrText>
      </w:r>
      <w:r>
        <w:rPr>
          <w:rStyle w:val="indexentry"/>
        </w:rPr>
        <w:fldChar w:fldCharType="end"/>
      </w:r>
      <w:r>
        <w:t>As the above examples plainly show, precise erasures with “si” can be</w:t>
      </w:r>
      <w:r>
        <w:rPr>
          <w:rStyle w:val="deletedparamark"/>
        </w:rPr>
        <w:t xml:space="preserve"> </w:t>
      </w:r>
      <w:r>
        <w:t>ex</w:t>
      </w:r>
      <w:r>
        <w:softHyphen/>
        <w:t>tremely hard to get right. Therefore, the cmavo “sa” (of selma'o SA)</w:t>
      </w:r>
      <w:r>
        <w:rPr>
          <w:rStyle w:val="deletedparamark"/>
        </w:rPr>
        <w:t xml:space="preserve"> </w:t>
      </w:r>
      <w:r>
        <w:t>is provided for erasing more than one word. The cmavo following “sa”</w:t>
      </w:r>
      <w:r>
        <w:rPr>
          <w:rStyle w:val="deletedparamark"/>
        </w:rPr>
        <w:t xml:space="preserve"> </w:t>
      </w:r>
      <w:r>
        <w:t>should be the starting marker of some gra</w:t>
      </w:r>
      <w:r>
        <w:t>m</w:t>
      </w:r>
      <w:r>
        <w:softHyphen/>
        <w:t>matical construct. The effect of</w:t>
      </w:r>
      <w:r>
        <w:rPr>
          <w:rStyle w:val="deletedparamark"/>
        </w:rPr>
        <w:t xml:space="preserve"> </w:t>
      </w:r>
      <w:r>
        <w:t>the “sa” is to erase back to and including the last starting marker of the</w:t>
      </w:r>
      <w:r>
        <w:rPr>
          <w:rStyle w:val="deletedparamark"/>
        </w:rPr>
        <w:t xml:space="preserve"> </w:t>
      </w:r>
      <w:r>
        <w:t>same kind. For example: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name=e13d7&gt;</w:t>
      </w:r>
      <w:r>
        <w:t>13.7)</w:t>
      </w:r>
      <w:r>
        <w:tab/>
        <w:t>mi viska le sa  .i mi cusku zo .djan.</w:t>
      </w:r>
    </w:p>
    <w:p w:rsidR="00B72047" w:rsidRDefault="00B72047">
      <w:pPr>
        <w:pStyle w:val="examplescaled"/>
      </w:pPr>
      <w:r>
        <w:tab/>
        <w:t>I see the </w:t>
      </w:r>
      <w:r>
        <w:rPr>
          <w:rStyle w:val="htmlcodes"/>
        </w:rPr>
        <w:t>&lt;dots&gt;</w:t>
      </w:r>
      <w:r>
        <w:t xml:space="preserve">… </w:t>
      </w:r>
      <w:r>
        <w:rPr>
          <w:rStyle w:val="htmlcodes"/>
        </w:rPr>
        <w:t>&lt;/dots&gt;</w:t>
      </w:r>
      <w:r>
        <w:t>I say the-word “John”.</w:t>
      </w:r>
    </w:p>
    <w:p w:rsidR="00B72047" w:rsidRDefault="00B72047">
      <w:pPr>
        <w:pStyle w:val="resumedafterexample"/>
      </w:pPr>
      <w:r>
        <w:rPr>
          <w:rStyle w:val="htmlcodes"/>
        </w:rPr>
        <w:t>&lt;/pre&gt;&lt;p&gt;</w:t>
      </w:r>
      <w:r>
        <w:t>Since the word following “sa” is “.i”, the sentence separator, its effect</w:t>
      </w:r>
      <w:r>
        <w:rPr>
          <w:rStyle w:val="deletedparamark"/>
        </w:rPr>
        <w:t xml:space="preserve"> </w:t>
      </w:r>
      <w:r>
        <w:t>is to erase the pr</w:t>
      </w:r>
      <w:r>
        <w:t>e</w:t>
      </w:r>
      <w:r>
        <w:softHyphen/>
        <w:t xml:space="preserve">ceding sentence. So </w:t>
      </w:r>
      <w:r>
        <w:rPr>
          <w:rStyle w:val="htmlcodes"/>
        </w:rPr>
        <w:t>&lt;a href=#e13d7&gt;</w:t>
      </w:r>
      <w:r>
        <w:t xml:space="preserve">Example 13.7 </w:t>
      </w:r>
      <w:r>
        <w:rPr>
          <w:rStyle w:val="htmlcodes"/>
        </w:rPr>
        <w:t>&lt;/a&gt;</w:t>
      </w:r>
      <w:r>
        <w:t>is equivalent to:</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name=e13d8&gt;</w:t>
      </w:r>
      <w:r>
        <w:t>13.8)</w:t>
      </w:r>
      <w:r>
        <w:tab/>
        <w:t>mi cusku zo .djan.</w:t>
      </w:r>
    </w:p>
    <w:p w:rsidR="00B72047" w:rsidRDefault="00B72047">
      <w:pPr>
        <w:pStyle w:val="resumedafterexample"/>
      </w:pPr>
      <w:r>
        <w:rPr>
          <w:rStyle w:val="htmlcodes"/>
        </w:rPr>
        <w:t>&lt;/pre&gt;&lt;p&gt;</w:t>
      </w:r>
      <w:r>
        <w:t>Another example, erasing a partial description rather than a partial</w:t>
      </w:r>
      <w:r>
        <w:rPr>
          <w:rStyle w:val="deletedparamark"/>
        </w:rPr>
        <w:t xml:space="preserve"> </w:t>
      </w:r>
      <w:r>
        <w:t>sentence:</w:t>
      </w:r>
    </w:p>
    <w:p w:rsidR="00B72047" w:rsidRDefault="00B72047">
      <w:pPr>
        <w:rPr>
          <w:rStyle w:val="htmlparacode"/>
        </w:rPr>
      </w:pPr>
      <w:r>
        <w:rPr>
          <w:rStyle w:val="htmlparacode"/>
        </w:rPr>
        <w:t>&lt;p&gt;</w:t>
      </w:r>
    </w:p>
    <w:p w:rsidR="00B72047" w:rsidRDefault="00B72047">
      <w:pPr>
        <w:pStyle w:val="examplescaledpre"/>
      </w:pPr>
      <w:r>
        <w:rPr>
          <w:rStyle w:val="htmlcodes"/>
        </w:rPr>
        <w:t>&lt;pre&gt;&lt;a name=e13d9&gt;</w:t>
      </w:r>
      <w:r>
        <w:t>13.9)</w:t>
      </w:r>
      <w:r>
        <w:tab/>
        <w:t>mi viska le blanu zdan. sa le xekri zdani</w:t>
      </w:r>
    </w:p>
    <w:p w:rsidR="00B72047" w:rsidRDefault="00B72047">
      <w:pPr>
        <w:pStyle w:val="examplescaled"/>
      </w:pPr>
      <w:r>
        <w:tab/>
        <w:t>I see the blue hou </w:t>
      </w:r>
      <w:r>
        <w:rPr>
          <w:rStyle w:val="htmlcodes"/>
        </w:rPr>
        <w:t>&lt;dots&gt;</w:t>
      </w:r>
      <w:r>
        <w:t>…</w:t>
      </w:r>
      <w:r>
        <w:rPr>
          <w:rStyle w:val="htmlcodes"/>
        </w:rPr>
        <w:t>&lt;/dots&gt;</w:t>
      </w:r>
      <w:r>
        <w:t>the black house.</w:t>
      </w:r>
    </w:p>
    <w:p w:rsidR="00B72047" w:rsidRDefault="00B72047">
      <w:pPr>
        <w:pStyle w:val="resumedafterexample"/>
      </w:pPr>
      <w:r>
        <w:rPr>
          <w:rStyle w:val="htmlcodes"/>
        </w:rPr>
        <w:t>&lt;/pre&gt;&lt;p&gt;</w:t>
      </w:r>
      <w:r>
        <w:t xml:space="preserve">In </w:t>
      </w:r>
      <w:r>
        <w:rPr>
          <w:rStyle w:val="htmlcodes"/>
        </w:rPr>
        <w:t>&lt;a href=#e13d9&gt;</w:t>
      </w:r>
      <w:r>
        <w:t>Example 13.9</w:t>
      </w:r>
      <w:r>
        <w:rPr>
          <w:rStyle w:val="htmlcodes"/>
        </w:rPr>
        <w:t>&lt;/a&gt;</w:t>
      </w:r>
      <w:r>
        <w:t>, “le blanu zdan.” is ungrammatical, but clearly reflects the</w:t>
      </w:r>
      <w:r>
        <w:rPr>
          <w:rStyle w:val="deletedparamark"/>
        </w:rPr>
        <w:t xml:space="preserve"> </w:t>
      </w:r>
      <w:r>
        <w:t>speaker's original intention to say “le blanu zdani”. However, the “zdani”</w:t>
      </w:r>
      <w:r>
        <w:rPr>
          <w:rStyle w:val="deletedparamark"/>
        </w:rPr>
        <w:t xml:space="preserve"> </w:t>
      </w:r>
      <w:r>
        <w:t>was cut off before the end and changed into a name. The entire ungrammatical</w:t>
      </w:r>
      <w:r>
        <w:rPr>
          <w:rStyle w:val="deletedparamark"/>
        </w:rPr>
        <w:t xml:space="preserve"> “</w:t>
      </w:r>
      <w:r>
        <w:t>le” construct is erased and r</w:t>
      </w:r>
      <w:r>
        <w:t>e</w:t>
      </w:r>
      <w:r>
        <w:softHyphen/>
        <w:t>placed by “le xekri zdani”.</w:t>
      </w:r>
    </w:p>
    <w:p w:rsidR="00B72047" w:rsidRDefault="00B72047">
      <w:pPr>
        <w:rPr>
          <w:rStyle w:val="htmlparacode"/>
        </w:rPr>
      </w:pPr>
      <w:r>
        <w:rPr>
          <w:rStyle w:val="htmlparacode"/>
          <w:vanish w:val="0"/>
        </w:rPr>
        <w:br w:type="page"/>
      </w:r>
      <w:r>
        <w:rPr>
          <w:rStyle w:val="htmlparacode"/>
        </w:rPr>
        <w:t>&lt;p&gt;</w:t>
      </w:r>
    </w:p>
    <w:p w:rsidR="00B72047" w:rsidRDefault="00B72047">
      <w:pPr>
        <w:pStyle w:val="normalparagraph"/>
        <w:spacing w:before="0"/>
      </w:pPr>
      <w:r>
        <w:t>Note: The current machine parser does not implement “sa” erasure. Getting</w:t>
      </w:r>
      <w:r>
        <w:rPr>
          <w:rStyle w:val="deletedparamark"/>
        </w:rPr>
        <w:t xml:space="preserve"> “</w:t>
      </w:r>
      <w:r>
        <w:t>sa” right is even more difficult (for a computer) than getting “si” right,</w:t>
      </w:r>
      <w:r>
        <w:rPr>
          <w:rStyle w:val="deletedparamark"/>
        </w:rPr>
        <w:t xml:space="preserve"> </w:t>
      </w:r>
      <w:r>
        <w:t>as the behavior of “si” is defined in terms of words rather than in terms of</w:t>
      </w:r>
      <w:r>
        <w:rPr>
          <w:rStyle w:val="deletedparamark"/>
        </w:rPr>
        <w:t xml:space="preserve"> </w:t>
      </w:r>
      <w:r>
        <w:t>grammatical constructs (possibly i</w:t>
      </w:r>
      <w:r>
        <w:t>n</w:t>
      </w:r>
      <w:r>
        <w:softHyphen/>
        <w:t>correct ones) and words are conceptually</w:t>
      </w:r>
      <w:r>
        <w:rPr>
          <w:rStyle w:val="deletedparamark"/>
        </w:rPr>
        <w:t xml:space="preserve"> </w:t>
      </w:r>
      <w:r>
        <w:t>simpler entities. On the other hand, “sa” is ge</w:t>
      </w:r>
      <w:r>
        <w:t>n</w:t>
      </w:r>
      <w:r>
        <w:softHyphen/>
        <w:t>erally easier for human</w:t>
      </w:r>
      <w:r>
        <w:rPr>
          <w:rStyle w:val="deletedparamark"/>
        </w:rPr>
        <w:t xml:space="preserve"> </w:t>
      </w:r>
      <w:r>
        <w:t>beings, because the rules for using it correctly are less finicky.</w:t>
      </w:r>
    </w:p>
    <w:p w:rsidR="00B72047" w:rsidRDefault="00B72047">
      <w:pPr>
        <w:rPr>
          <w:rStyle w:val="htmlparacode"/>
        </w:rPr>
      </w:pPr>
      <w:r>
        <w:rPr>
          <w:rStyle w:val="htmlparacode"/>
        </w:rPr>
        <w:t>&lt;p&gt;</w:t>
      </w:r>
    </w:p>
    <w:p w:rsidR="00B72047" w:rsidRDefault="00B72047">
      <w:pPr>
        <w:pStyle w:val="normalparagraph"/>
      </w:pPr>
      <w:r>
        <w:rPr>
          <w:rStyle w:val="indexentry"/>
        </w:rPr>
        <w:t>&lt;cx "multiple speakers"&gt;</w:t>
      </w:r>
      <w:r>
        <w:rPr>
          <w:rStyle w:val="indexentry"/>
        </w:rPr>
        <w:fldChar w:fldCharType="begin"/>
      </w:r>
      <w:r>
        <w:instrText>xe "</w:instrText>
      </w:r>
      <w:r>
        <w:rPr>
          <w:rStyle w:val="xeentry"/>
        </w:rPr>
        <w:instrText>multiple speakers</w:instrText>
      </w:r>
      <w:r>
        <w:instrText>"</w:instrText>
      </w:r>
      <w:r>
        <w:rPr>
          <w:rStyle w:val="indexentry"/>
        </w:rPr>
        <w:fldChar w:fldCharType="end"/>
      </w:r>
      <w:r>
        <w:rPr>
          <w:rStyle w:val="indexentry"/>
        </w:rPr>
        <w:t>&lt;lx "su"&gt;</w:t>
      </w:r>
      <w:r>
        <w:rPr>
          <w:rStyle w:val="indexentry"/>
        </w:rPr>
        <w:fldChar w:fldCharType="begin"/>
      </w:r>
      <w:r>
        <w:instrText>xe "</w:instrText>
      </w:r>
      <w:r>
        <w:rPr>
          <w:rStyle w:val="xeentry"/>
        </w:rPr>
        <w:instrText>su</w:instrText>
      </w:r>
      <w:r>
        <w:instrText>"</w:instrText>
      </w:r>
      <w:r>
        <w:rPr>
          <w:rStyle w:val="indexentry"/>
        </w:rPr>
        <w:fldChar w:fldCharType="end"/>
      </w:r>
      <w:r>
        <w:rPr>
          <w:rStyle w:val="indexentry"/>
        </w:rPr>
        <w:t>&lt;lx "SU"&gt;</w:t>
      </w:r>
      <w:r>
        <w:rPr>
          <w:rStyle w:val="indexentry"/>
        </w:rPr>
        <w:fldChar w:fldCharType="begin"/>
      </w:r>
      <w:r>
        <w:instrText>xe "</w:instrText>
      </w:r>
      <w:r>
        <w:rPr>
          <w:rStyle w:val="xeentry"/>
        </w:rPr>
        <w:instrText>SU selma’o</w:instrText>
      </w:r>
      <w:r>
        <w:instrText>"</w:instrText>
      </w:r>
      <w:r>
        <w:rPr>
          <w:rStyle w:val="indexentry"/>
        </w:rPr>
        <w:fldChar w:fldCharType="end"/>
      </w:r>
      <w:r>
        <w:rPr>
          <w:rStyle w:val="indexentry"/>
        </w:rPr>
        <w:t>&lt;cx "erasure, total"&gt;</w:t>
      </w:r>
      <w:r>
        <w:rPr>
          <w:rStyle w:val="indexentry"/>
        </w:rPr>
        <w:fldChar w:fldCharType="begin"/>
      </w:r>
      <w:r>
        <w:instrText>xe "</w:instrText>
      </w:r>
      <w:r>
        <w:rPr>
          <w:rStyle w:val="xeentry"/>
        </w:rPr>
        <w:instrText>erasure: total</w:instrText>
      </w:r>
      <w:r>
        <w:instrText>"</w:instrText>
      </w:r>
      <w:r>
        <w:rPr>
          <w:rStyle w:val="indexentry"/>
        </w:rPr>
        <w:fldChar w:fldCharType="end"/>
      </w:r>
      <w:r>
        <w:t>The cmavo “su” (of selma'o SU) is yet another metalinguistic operator that</w:t>
      </w:r>
      <w:r>
        <w:rPr>
          <w:rStyle w:val="deletedparamark"/>
        </w:rPr>
        <w:t xml:space="preserve"> </w:t>
      </w:r>
      <w:r>
        <w:t>erases the entire text. However, if the text involves multiple speakers,</w:t>
      </w:r>
      <w:r>
        <w:rPr>
          <w:rStyle w:val="deletedparamark"/>
        </w:rPr>
        <w:t xml:space="preserve"> </w:t>
      </w:r>
      <w:r>
        <w:t>then “su” will only erase the remarks made by the one who said it, unless</w:t>
      </w:r>
      <w:r>
        <w:rPr>
          <w:rStyle w:val="deletedparamark"/>
        </w:rPr>
        <w:t xml:space="preserve"> </w:t>
      </w:r>
      <w:r>
        <w:t>that speaker has said noth</w:t>
      </w:r>
      <w:r>
        <w:softHyphen/>
        <w:t>ing. Therefore “susu” is needed to eradicate a</w:t>
      </w:r>
      <w:r>
        <w:rPr>
          <w:rStyle w:val="deletedparamark"/>
        </w:rPr>
        <w:t xml:space="preserve"> </w:t>
      </w:r>
      <w:r>
        <w:t>whole discussion in conversation.</w:t>
      </w:r>
    </w:p>
    <w:p w:rsidR="00B72047" w:rsidRDefault="00B72047">
      <w:pPr>
        <w:pStyle w:val="normalparagraph"/>
        <w:rPr>
          <w:rStyle w:val="htmlparacode"/>
        </w:rPr>
      </w:pPr>
      <w:r>
        <w:rPr>
          <w:rStyle w:val="htmlparacode"/>
        </w:rPr>
        <w:t>&lt;p&gt;</w:t>
      </w:r>
    </w:p>
    <w:p w:rsidR="00B72047" w:rsidRDefault="00B72047">
      <w:pPr>
        <w:pStyle w:val="normalparagraph"/>
      </w:pPr>
      <w:r>
        <w:t>Note: The current machine parser does not implement either “su” or “susu”</w:t>
      </w:r>
      <w:r>
        <w:rPr>
          <w:rStyle w:val="deletedparamark"/>
        </w:rPr>
        <w:t xml:space="preserve"> </w:t>
      </w:r>
      <w:r>
        <w:t>erasure.</w:t>
      </w:r>
    </w:p>
    <w:p w:rsidR="00B72047" w:rsidRDefault="00B72047">
      <w:pPr>
        <w:rPr>
          <w:rStyle w:val="htmlparacode"/>
        </w:rPr>
      </w:pPr>
      <w:r>
        <w:rPr>
          <w:rStyle w:val="htmlparacode"/>
        </w:rPr>
        <w:t>&lt;p&gt;</w:t>
      </w:r>
    </w:p>
    <w:p w:rsidR="00B72047" w:rsidRDefault="00B72047">
      <w:pPr>
        <w:pStyle w:val="Heading3"/>
        <w:rPr>
          <w:rStyle w:val="Heading3Text"/>
        </w:rPr>
      </w:pPr>
      <w:bookmarkStart w:id="538" w:name="_Toc398970774"/>
      <w:r>
        <w:rPr>
          <w:rStyle w:val="Heading3Text"/>
        </w:rPr>
        <w:t>Hesitation: Y</w:t>
      </w:r>
      <w:bookmarkEnd w:id="538"/>
      <w:r>
        <w:rPr>
          <w:rStyle w:val="htmlcodes"/>
        </w:rPr>
        <w:t>&lt;/h3&gt;</w:t>
      </w:r>
    </w:p>
    <w:p w:rsidR="00B72047" w:rsidRDefault="00B72047">
      <w:pPr>
        <w:rPr>
          <w:rStyle w:val="htmlparacode"/>
        </w:rPr>
      </w:pPr>
      <w:r>
        <w:rPr>
          <w:rStyle w:val="htmlparacode"/>
        </w:rPr>
        <w:t>&lt;p&gt;</w:t>
      </w:r>
      <w:r>
        <w:rPr>
          <w:rStyle w:val="indexentry"/>
        </w:rPr>
        <w:t>&lt;cx "hesitation"&gt;</w:t>
      </w:r>
      <w:r>
        <w:rPr>
          <w:rStyle w:val="indexentry"/>
        </w:rPr>
        <w:fldChar w:fldCharType="begin"/>
      </w:r>
      <w:r>
        <w:instrText>xe "</w:instrText>
      </w:r>
      <w:r>
        <w:rPr>
          <w:rStyle w:val="xeentry"/>
        </w:rPr>
        <w:instrText>hesitation</w:instrText>
      </w:r>
      <w:r>
        <w:instrText>"</w:instrText>
      </w:r>
      <w:r>
        <w:rPr>
          <w:rStyle w:val="indexentry"/>
        </w:rPr>
        <w:fldChar w:fldCharType="end"/>
      </w:r>
      <w:r>
        <w:rPr>
          <w:rStyle w:val="htmlcodes"/>
        </w:rPr>
        <w:t>&lt;a name=s14&gt;&lt;h3&gt;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.y.</w:t>
      </w:r>
      <w:r>
        <w:tab/>
        <w:t>Y</w:t>
      </w:r>
      <w:r>
        <w:tab/>
        <w:t>hesitation noise</w:t>
      </w:r>
    </w:p>
    <w:p w:rsidR="00B72047" w:rsidRDefault="00B72047">
      <w:pPr>
        <w:pStyle w:val="normalafterexample"/>
      </w:pPr>
      <w:r>
        <w:rPr>
          <w:rStyle w:val="htmlcodes"/>
        </w:rPr>
        <w:t>&lt;/pre&gt;</w:t>
      </w:r>
      <w:r>
        <w:rPr>
          <w:rStyle w:val="indexentry"/>
        </w:rPr>
        <w:t>&lt;lx ".y"&gt;</w:t>
      </w:r>
      <w:r>
        <w:rPr>
          <w:rStyle w:val="indexentry"/>
        </w:rPr>
        <w:fldChar w:fldCharType="begin"/>
      </w:r>
      <w:r>
        <w:instrText>xe "</w:instrText>
      </w:r>
      <w:r>
        <w:rPr>
          <w:rStyle w:val="xeentry"/>
        </w:rPr>
        <w:instrText>y</w:instrText>
      </w:r>
      <w:r>
        <w:instrText>"</w:instrText>
      </w:r>
      <w:r>
        <w:rPr>
          <w:rStyle w:val="indexentry"/>
        </w:rPr>
        <w:fldChar w:fldCharType="end"/>
      </w:r>
      <w:r>
        <w:rPr>
          <w:rStyle w:val="indexentry"/>
        </w:rPr>
        <w:t>&lt;lx "Y"&gt;</w:t>
      </w:r>
      <w:r>
        <w:rPr>
          <w:rStyle w:val="indexentry"/>
        </w:rPr>
        <w:fldChar w:fldCharType="begin"/>
      </w:r>
      <w:r>
        <w:instrText>xe "</w:instrText>
      </w:r>
      <w:r>
        <w:rPr>
          <w:rStyle w:val="xeentry"/>
        </w:rPr>
        <w:instrText>Y selma’o</w:instrText>
      </w:r>
      <w:r>
        <w:instrText>"</w:instrText>
      </w:r>
      <w:r>
        <w:rPr>
          <w:rStyle w:val="indexentry"/>
        </w:rPr>
        <w:fldChar w:fldCharType="end"/>
      </w:r>
      <w:r>
        <w:t>Speakers often need to hesitate to think of what to say next or for some</w:t>
      </w:r>
      <w:r>
        <w:rPr>
          <w:rStyle w:val="deletedparamark"/>
        </w:rPr>
        <w:t xml:space="preserve"> </w:t>
      </w:r>
      <w:r>
        <w:t>extra-lin</w:t>
      </w:r>
      <w:r>
        <w:softHyphen/>
        <w:t>guistic reason. There are two ways to hesitate in Lojban: to</w:t>
      </w:r>
      <w:r>
        <w:rPr>
          <w:rStyle w:val="deletedparamark"/>
        </w:rPr>
        <w:t xml:space="preserve"> </w:t>
      </w:r>
      <w:r>
        <w:t>pause between words (that is, to say nothing) or to use the cmavo “.y.”</w:t>
      </w:r>
      <w:r>
        <w:rPr>
          <w:rStyle w:val="deletedparamark"/>
        </w:rPr>
        <w:t xml:space="preserve"> </w:t>
      </w:r>
      <w:r>
        <w:t>(of selma'o Y). This resembles in sound the English hesitation noise</w:t>
      </w:r>
      <w:r>
        <w:rPr>
          <w:rStyle w:val="deletedparamark"/>
        </w:rPr>
        <w:t xml:space="preserve"> </w:t>
      </w:r>
      <w:r>
        <w:t>written “uh” (or “er”), but differs from it in the re</w:t>
      </w:r>
      <w:r>
        <w:softHyphen/>
        <w:t>quirement for pauses</w:t>
      </w:r>
      <w:r>
        <w:rPr>
          <w:rStyle w:val="deletedparamark"/>
        </w:rPr>
        <w:t xml:space="preserve"> </w:t>
      </w:r>
      <w:r>
        <w:t>before and after. Unlike a long pause, it cannot be mistaken for having</w:t>
      </w:r>
      <w:r>
        <w:rPr>
          <w:rStyle w:val="deletedparamark"/>
        </w:rPr>
        <w:t xml:space="preserve"> </w:t>
      </w:r>
      <w:r>
        <w:t>nothing more to say: it holds the floor for the speaker. Since vowel length</w:t>
      </w:r>
      <w:r>
        <w:rPr>
          <w:rStyle w:val="deletedparamark"/>
        </w:rPr>
        <w:t xml:space="preserve"> </w:t>
      </w:r>
      <w:r>
        <w:t>is not significant in Lojban, the “y” sound can be dragged out for as long</w:t>
      </w:r>
      <w:r>
        <w:rPr>
          <w:rStyle w:val="deletedparamark"/>
        </w:rPr>
        <w:t xml:space="preserve"> </w:t>
      </w:r>
      <w:r>
        <w:t>as necessary. Fur</w:t>
      </w:r>
      <w:r>
        <w:softHyphen/>
        <w:t>thermore, the sound can be repeated, provided the</w:t>
      </w:r>
      <w:r>
        <w:rPr>
          <w:rStyle w:val="deletedparamark"/>
        </w:rPr>
        <w:t xml:space="preserve"> </w:t>
      </w:r>
      <w:r>
        <w:t>required pauses are respected.</w:t>
      </w:r>
    </w:p>
    <w:p w:rsidR="00B72047" w:rsidRDefault="00B72047">
      <w:pPr>
        <w:rPr>
          <w:rStyle w:val="htmlparacode"/>
        </w:rPr>
      </w:pPr>
      <w:r>
        <w:rPr>
          <w:rStyle w:val="htmlparacode"/>
        </w:rPr>
        <w:t>&lt;p&gt;</w:t>
      </w:r>
    </w:p>
    <w:p w:rsidR="00B72047" w:rsidRDefault="00B72047">
      <w:pPr>
        <w:pStyle w:val="normalparagraph"/>
      </w:pPr>
      <w:r>
        <w:rPr>
          <w:rStyle w:val="indexentry"/>
        </w:rPr>
        <w:t>&lt;cx "hesitation sound"&gt;</w:t>
      </w:r>
      <w:r>
        <w:rPr>
          <w:rStyle w:val="indexentry"/>
        </w:rPr>
        <w:fldChar w:fldCharType="begin"/>
      </w:r>
      <w:r>
        <w:instrText>xe "</w:instrText>
      </w:r>
      <w:r>
        <w:rPr>
          <w:rStyle w:val="xeentry"/>
        </w:rPr>
        <w:instrText>hesitation sound</w:instrText>
      </w:r>
      <w:r>
        <w:instrText>"</w:instrText>
      </w:r>
      <w:r>
        <w:rPr>
          <w:rStyle w:val="indexentry"/>
        </w:rPr>
        <w:fldChar w:fldCharType="end"/>
      </w:r>
      <w:r>
        <w:t>Since the hesitation sound in English is outside the formal language,</w:t>
      </w:r>
      <w:r>
        <w:rPr>
          <w:rStyle w:val="deletedparamark"/>
        </w:rPr>
        <w:t xml:space="preserve"> </w:t>
      </w:r>
      <w:r>
        <w:t>English-speak</w:t>
      </w:r>
      <w:r>
        <w:softHyphen/>
        <w:t>ers may question the need for a formal cmavo. Speakers of</w:t>
      </w:r>
      <w:r>
        <w:rPr>
          <w:rStyle w:val="deletedparamark"/>
        </w:rPr>
        <w:t xml:space="preserve"> </w:t>
      </w:r>
      <w:r>
        <w:t>other languages, how</w:t>
      </w:r>
      <w:r>
        <w:softHyphen/>
        <w:t>ever, often hesitate by saying (or, if necessary,</w:t>
      </w:r>
      <w:r>
        <w:rPr>
          <w:rStyle w:val="deletedparamark"/>
        </w:rPr>
        <w:t xml:space="preserve"> </w:t>
      </w:r>
      <w:r>
        <w:t>repeating) a word (“este” in some dia</w:t>
      </w:r>
      <w:r>
        <w:softHyphen/>
        <w:t>lects of Spanish, roughly meaning “that</w:t>
      </w:r>
      <w:r>
        <w:rPr>
          <w:rStyle w:val="deletedparamark"/>
        </w:rPr>
        <w:t xml:space="preserve"> </w:t>
      </w:r>
      <w:r>
        <w:t>is”), and Lojban's audio-visual isomorphism requires a written</w:t>
      </w:r>
      <w:r>
        <w:rPr>
          <w:rStyle w:val="deletedparamark"/>
        </w:rPr>
        <w:t xml:space="preserve"> </w:t>
      </w:r>
      <w:r>
        <w:t>representation of all meaningful spoken behavior. Of course, “.y.” has no</w:t>
      </w:r>
      <w:r>
        <w:rPr>
          <w:rStyle w:val="deletedparamark"/>
        </w:rPr>
        <w:t xml:space="preserve"> </w:t>
      </w:r>
      <w:r>
        <w:t>gra</w:t>
      </w:r>
      <w:r>
        <w:t>m</w:t>
      </w:r>
      <w:r>
        <w:softHyphen/>
        <w:t>matical significance: it can appear anywhere at all in a Lojban sentence</w:t>
      </w:r>
      <w:r>
        <w:rPr>
          <w:rStyle w:val="deletedparamark"/>
        </w:rPr>
        <w:t xml:space="preserve"> </w:t>
      </w:r>
      <w:r>
        <w:t>except in the middle of a word.</w:t>
      </w:r>
    </w:p>
    <w:p w:rsidR="00B72047" w:rsidRDefault="00B72047">
      <w:pPr>
        <w:rPr>
          <w:rStyle w:val="htmlparacode"/>
        </w:rPr>
      </w:pPr>
      <w:r>
        <w:rPr>
          <w:rStyle w:val="htmlparacode"/>
        </w:rPr>
        <w:t>&lt;p&gt;</w:t>
      </w:r>
    </w:p>
    <w:p w:rsidR="00B72047" w:rsidRDefault="00B72047">
      <w:pPr>
        <w:pStyle w:val="Heading3"/>
        <w:rPr>
          <w:rStyle w:val="Heading3Text"/>
        </w:rPr>
      </w:pPr>
      <w:bookmarkStart w:id="539" w:name="_Toc398970775"/>
      <w:r>
        <w:rPr>
          <w:rStyle w:val="Heading3Text"/>
        </w:rPr>
        <w:t>No more to say: FAhO</w:t>
      </w:r>
      <w:bookmarkEnd w:id="539"/>
      <w:r>
        <w:rPr>
          <w:rStyle w:val="htmlcodes"/>
        </w:rPr>
        <w:t>&lt;/h3&gt;</w:t>
      </w:r>
    </w:p>
    <w:p w:rsidR="00B72047" w:rsidRDefault="00B72047">
      <w:pPr>
        <w:rPr>
          <w:rStyle w:val="htmlparacode"/>
        </w:rPr>
      </w:pPr>
      <w:r>
        <w:rPr>
          <w:rStyle w:val="htmlparacode"/>
        </w:rPr>
        <w:t>&lt;p&gt;</w:t>
      </w:r>
      <w:r>
        <w:rPr>
          <w:rStyle w:val="indexentry"/>
        </w:rPr>
        <w:t>&lt;cx "text, end-marker"&gt;</w:t>
      </w:r>
      <w:r>
        <w:rPr>
          <w:rStyle w:val="indexentry"/>
        </w:rPr>
        <w:fldChar w:fldCharType="begin"/>
      </w:r>
      <w:r>
        <w:instrText>xe "</w:instrText>
      </w:r>
      <w:r>
        <w:rPr>
          <w:rStyle w:val="xeentry"/>
        </w:rPr>
        <w:instrText>text: end-marker</w:instrText>
      </w:r>
      <w:r>
        <w:instrText>"</w:instrText>
      </w:r>
      <w:r>
        <w:rPr>
          <w:rStyle w:val="indexentry"/>
        </w:rPr>
        <w:fldChar w:fldCharType="end"/>
      </w:r>
      <w:r>
        <w:rPr>
          <w:rStyle w:val="htmlcodes"/>
        </w:rPr>
        <w:t>&lt;a name=s15&gt;&lt;h3&gt;</w:t>
      </w:r>
    </w:p>
    <w:p w:rsidR="00B72047" w:rsidRDefault="00B72047">
      <w:pPr>
        <w:pStyle w:val="normalparagraph"/>
      </w:pPr>
      <w:r>
        <w:t>The following cmavo is discussed in this section:</w:t>
      </w:r>
    </w:p>
    <w:p w:rsidR="00B72047" w:rsidRDefault="00B72047">
      <w:pPr>
        <w:rPr>
          <w:rStyle w:val="htmlparacode"/>
        </w:rPr>
      </w:pPr>
      <w:r>
        <w:rPr>
          <w:rStyle w:val="htmlparacode"/>
        </w:rPr>
        <w:t>&lt;p&gt;</w:t>
      </w:r>
    </w:p>
    <w:p w:rsidR="00B72047" w:rsidRDefault="00B72047">
      <w:pPr>
        <w:pStyle w:val="examplescaledpre"/>
      </w:pPr>
      <w:r>
        <w:rPr>
          <w:rStyle w:val="htmlcodes"/>
        </w:rPr>
        <w:t>&lt;pre&gt;</w:t>
      </w:r>
      <w:r>
        <w:t xml:space="preserve"> </w:t>
      </w:r>
      <w:r>
        <w:tab/>
        <w:t>fa'o</w:t>
      </w:r>
      <w:r>
        <w:tab/>
        <w:t>FAhO</w:t>
      </w:r>
      <w:r>
        <w:tab/>
        <w:t>end of text</w:t>
      </w:r>
    </w:p>
    <w:p w:rsidR="00B72047" w:rsidRDefault="00B72047">
      <w:pPr>
        <w:pStyle w:val="normalafterexample"/>
      </w:pPr>
      <w:r>
        <w:rPr>
          <w:rStyle w:val="htmlcodes"/>
        </w:rPr>
        <w:t>&lt;/pre&gt;</w:t>
      </w:r>
      <w:r>
        <w:rPr>
          <w:rStyle w:val="indexentry"/>
        </w:rPr>
        <w:t>&lt;lx "fa'o"&gt;</w:t>
      </w:r>
      <w:r>
        <w:rPr>
          <w:rStyle w:val="indexentry"/>
        </w:rPr>
        <w:fldChar w:fldCharType="begin"/>
      </w:r>
      <w:r>
        <w:instrText>xe "</w:instrText>
      </w:r>
      <w:r>
        <w:rPr>
          <w:rStyle w:val="xeentry"/>
        </w:rPr>
        <w:instrText>fa'o</w:instrText>
      </w:r>
      <w:r>
        <w:instrText>"</w:instrText>
      </w:r>
      <w:r>
        <w:rPr>
          <w:rStyle w:val="indexentry"/>
        </w:rPr>
        <w:fldChar w:fldCharType="end"/>
      </w:r>
      <w:r>
        <w:rPr>
          <w:rStyle w:val="indexentry"/>
        </w:rPr>
        <w:t>&lt;lx "FAhO"&gt;</w:t>
      </w:r>
      <w:r>
        <w:rPr>
          <w:rStyle w:val="indexentry"/>
        </w:rPr>
        <w:fldChar w:fldCharType="begin"/>
      </w:r>
      <w:r>
        <w:instrText>xe "</w:instrText>
      </w:r>
      <w:r>
        <w:rPr>
          <w:rStyle w:val="xeentry"/>
        </w:rPr>
        <w:instrText>FAhO selma’o</w:instrText>
      </w:r>
      <w:r>
        <w:instrText>"</w:instrText>
      </w:r>
      <w:r>
        <w:rPr>
          <w:rStyle w:val="indexentry"/>
        </w:rPr>
        <w:fldChar w:fldCharType="end"/>
      </w:r>
      <w:r>
        <w:rPr>
          <w:rStyle w:val="indexentry"/>
        </w:rPr>
        <w:t>&lt;cx "unconditional signal"&gt;</w:t>
      </w:r>
      <w:r>
        <w:rPr>
          <w:rStyle w:val="indexentry"/>
        </w:rPr>
        <w:fldChar w:fldCharType="begin"/>
      </w:r>
      <w:r>
        <w:instrText>xe "</w:instrText>
      </w:r>
      <w:r>
        <w:rPr>
          <w:rStyle w:val="xeentry"/>
        </w:rPr>
        <w:instrText>unconditional signal</w:instrText>
      </w:r>
      <w:r>
        <w:instrText>"</w:instrText>
      </w:r>
      <w:r>
        <w:rPr>
          <w:rStyle w:val="indexentry"/>
        </w:rPr>
        <w:fldChar w:fldCharType="end"/>
      </w:r>
      <w:r>
        <w:rPr>
          <w:rStyle w:val="indexentry"/>
        </w:rPr>
        <w:t>&lt;cx "computer interaction"&gt;</w:t>
      </w:r>
      <w:r>
        <w:rPr>
          <w:rStyle w:val="indexentry"/>
        </w:rPr>
        <w:fldChar w:fldCharType="begin"/>
      </w:r>
      <w:r>
        <w:instrText>xe "</w:instrText>
      </w:r>
      <w:r>
        <w:rPr>
          <w:rStyle w:val="xeentry"/>
        </w:rPr>
        <w:instrText>computer interaction</w:instrText>
      </w:r>
      <w:r>
        <w:instrText>"</w:instrText>
      </w:r>
      <w:r>
        <w:rPr>
          <w:rStyle w:val="indexentry"/>
        </w:rPr>
        <w:fldChar w:fldCharType="end"/>
      </w:r>
      <w:r>
        <w:rPr>
          <w:rStyle w:val="indexentry"/>
        </w:rPr>
        <w:t>&lt;cx "end of file"&gt;</w:t>
      </w:r>
      <w:r>
        <w:rPr>
          <w:rStyle w:val="indexentry"/>
        </w:rPr>
        <w:fldChar w:fldCharType="begin"/>
      </w:r>
      <w:r>
        <w:instrText>xe "</w:instrText>
      </w:r>
      <w:r>
        <w:rPr>
          <w:rStyle w:val="xeentry"/>
        </w:rPr>
        <w:instrText>end of file</w:instrText>
      </w:r>
      <w:r>
        <w:instrText>"</w:instrText>
      </w:r>
      <w:r>
        <w:rPr>
          <w:rStyle w:val="indexentry"/>
        </w:rPr>
        <w:fldChar w:fldCharType="end"/>
      </w:r>
      <w:r>
        <w:rPr>
          <w:rStyle w:val="indexentry"/>
        </w:rPr>
        <w:t>&lt;cx "yielding the floor"&gt;</w:t>
      </w:r>
      <w:r>
        <w:rPr>
          <w:rStyle w:val="indexentry"/>
        </w:rPr>
        <w:fldChar w:fldCharType="begin"/>
      </w:r>
      <w:r>
        <w:instrText>xe "</w:instrText>
      </w:r>
      <w:r>
        <w:rPr>
          <w:rStyle w:val="xeentry"/>
        </w:rPr>
        <w:instrText>yielding the floor</w:instrText>
      </w:r>
      <w:r>
        <w:instrText>"</w:instrText>
      </w:r>
      <w:r>
        <w:rPr>
          <w:rStyle w:val="indexentry"/>
        </w:rPr>
        <w:fldChar w:fldCharType="end"/>
      </w:r>
      <w:r>
        <w:t>The cmavo “fa'o” (of selma'o FAhO) is the usually omitted marker for the end</w:t>
      </w:r>
      <w:r>
        <w:rPr>
          <w:rStyle w:val="deletedparamark"/>
        </w:rPr>
        <w:t xml:space="preserve"> </w:t>
      </w:r>
      <w:r>
        <w:t>of a text; it can be used in computer interaction to indicate the end of</w:t>
      </w:r>
      <w:r>
        <w:rPr>
          <w:rStyle w:val="deletedparamark"/>
        </w:rPr>
        <w:t xml:space="preserve"> </w:t>
      </w:r>
      <w:r>
        <w:t>input or output, or for explicitly giving up the floor during a discussion.</w:t>
      </w:r>
      <w:r>
        <w:rPr>
          <w:rStyle w:val="deletedparamark"/>
        </w:rPr>
        <w:t xml:space="preserve"> </w:t>
      </w:r>
      <w:r>
        <w:t>It is outside the regular grammar, and the machine parser takes it as an</w:t>
      </w:r>
      <w:r>
        <w:rPr>
          <w:rStyle w:val="deletedparamark"/>
        </w:rPr>
        <w:t xml:space="preserve"> </w:t>
      </w:r>
      <w:r>
        <w:t>unconditional signal to stop parsing unless it is quoted with “zo” or with</w:t>
      </w:r>
      <w:r>
        <w:rPr>
          <w:rStyle w:val="deletedparamark"/>
        </w:rPr>
        <w:t xml:space="preserve"> “</w:t>
      </w:r>
      <w:r>
        <w:t>lo'u </w:t>
      </w:r>
      <w:r>
        <w:rPr>
          <w:rStyle w:val="htmlcodes"/>
        </w:rPr>
        <w:t>&lt;dots&gt;</w:t>
      </w:r>
      <w:r>
        <w:t>…</w:t>
      </w:r>
      <w:r>
        <w:rPr>
          <w:rStyle w:val="htmlcodes"/>
        </w:rPr>
        <w:t>&lt;/dots&gt;</w:t>
      </w:r>
      <w:r>
        <w:t>le'u”. In particular, it is not used at the end of subordi</w:t>
      </w:r>
      <w:r>
        <w:softHyphen/>
        <w:t>nate</w:t>
      </w:r>
      <w:r>
        <w:rPr>
          <w:rStyle w:val="deletedparamark"/>
        </w:rPr>
        <w:t xml:space="preserve"> </w:t>
      </w:r>
      <w:r>
        <w:t>texts quoted with “lu </w:t>
      </w:r>
      <w:r>
        <w:rPr>
          <w:rStyle w:val="htmlcodes"/>
        </w:rPr>
        <w:t>&lt;dots&gt;</w:t>
      </w:r>
      <w:r>
        <w:t>…</w:t>
      </w:r>
      <w:r>
        <w:rPr>
          <w:rStyle w:val="htmlcodes"/>
        </w:rPr>
        <w:t>&lt;/dots&gt;</w:t>
      </w:r>
      <w:r>
        <w:t>li'u” or parenthesized with “to </w:t>
      </w:r>
      <w:r>
        <w:rPr>
          <w:rStyle w:val="htmlcodes"/>
        </w:rPr>
        <w:t>&lt;dots&gt;</w:t>
      </w:r>
      <w:r>
        <w:t>…</w:t>
      </w:r>
      <w:r>
        <w:rPr>
          <w:rStyle w:val="htmlcodes"/>
        </w:rPr>
        <w:t>&lt;/dots&gt;</w:t>
      </w:r>
      <w:r>
        <w:t>toi”.</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bookmarkStart w:id="540" w:name="_Toc398970776"/>
      <w:r>
        <w:rPr>
          <w:rStyle w:val="Heading3Text"/>
        </w:rPr>
        <w:t>List of cmavo interactions</w:t>
      </w:r>
      <w:bookmarkEnd w:id="540"/>
      <w:r>
        <w:rPr>
          <w:rStyle w:val="htmlcodes"/>
        </w:rPr>
        <w:t>&lt;/h3&gt;</w:t>
      </w:r>
    </w:p>
    <w:p w:rsidR="00B72047" w:rsidRDefault="00B72047">
      <w:pPr>
        <w:rPr>
          <w:rStyle w:val="htmlparacode"/>
        </w:rPr>
      </w:pPr>
      <w:r>
        <w:rPr>
          <w:rStyle w:val="htmlparacode"/>
        </w:rPr>
        <w:t>&lt;p&gt;</w:t>
      </w:r>
      <w:r>
        <w:rPr>
          <w:rStyle w:val="indexentry"/>
        </w:rPr>
        <w:t>&lt;cx "cmavo, interaction list"&gt;</w:t>
      </w:r>
      <w:r>
        <w:rPr>
          <w:rStyle w:val="indexentry"/>
        </w:rPr>
        <w:fldChar w:fldCharType="begin"/>
      </w:r>
      <w:r>
        <w:instrText>xe "</w:instrText>
      </w:r>
      <w:r>
        <w:rPr>
          <w:rStyle w:val="xeentry"/>
        </w:rPr>
        <w:instrText>cmavo: interaction list</w:instrText>
      </w:r>
      <w:r>
        <w:instrText>"</w:instrText>
      </w:r>
      <w:r>
        <w:rPr>
          <w:rStyle w:val="indexentry"/>
        </w:rPr>
        <w:fldChar w:fldCharType="end"/>
      </w:r>
      <w:r>
        <w:rPr>
          <w:rStyle w:val="indexentry"/>
        </w:rPr>
        <w:t>&lt;cx "interaction list, cmavo"&gt;</w:t>
      </w:r>
      <w:r>
        <w:rPr>
          <w:rStyle w:val="indexentry"/>
        </w:rPr>
        <w:fldChar w:fldCharType="begin"/>
      </w:r>
      <w:r>
        <w:instrText>xe "</w:instrText>
      </w:r>
      <w:r>
        <w:rPr>
          <w:rStyle w:val="xeentry"/>
        </w:rPr>
        <w:instrText>interaction list: cmavo</w:instrText>
      </w:r>
      <w:r>
        <w:instrText>"</w:instrText>
      </w:r>
      <w:r>
        <w:rPr>
          <w:rStyle w:val="indexentry"/>
        </w:rPr>
        <w:fldChar w:fldCharType="end"/>
      </w:r>
      <w:r>
        <w:rPr>
          <w:rStyle w:val="htmlcodes"/>
        </w:rPr>
        <w:t>&lt;a name=s16&gt;&lt;h3&gt;</w:t>
      </w:r>
    </w:p>
    <w:p w:rsidR="00B72047" w:rsidRDefault="00B72047">
      <w:pPr>
        <w:pStyle w:val="normalparagraph"/>
      </w:pPr>
      <w:r>
        <w:t>The following list gives the cmavo and selma'o that are recognized by the</w:t>
      </w:r>
      <w:r>
        <w:rPr>
          <w:rStyle w:val="deletedparamark"/>
        </w:rPr>
        <w:t xml:space="preserve"> </w:t>
      </w:r>
      <w:r>
        <w:t>ear</w:t>
      </w:r>
      <w:r>
        <w:softHyphen/>
        <w:t>liest stages of the parser, and specifies exactly which of them interact</w:t>
      </w:r>
      <w:r>
        <w:rPr>
          <w:rStyle w:val="deletedparamark"/>
        </w:rPr>
        <w:t xml:space="preserve"> </w:t>
      </w:r>
      <w:r>
        <w:t>with which oth</w:t>
      </w:r>
      <w:r>
        <w:softHyphen/>
        <w:t>ers. All of the cmavo are at least mentioned in this</w:t>
      </w:r>
      <w:r>
        <w:rPr>
          <w:rStyle w:val="deletedparamark"/>
        </w:rPr>
        <w:t xml:space="preserve"> </w:t>
      </w:r>
      <w:r>
        <w:t>chapter. The cmavo are written in lower case, and the selma'o in UPPER CASE.</w:t>
      </w:r>
    </w:p>
    <w:p w:rsidR="00B72047" w:rsidRDefault="00B72047">
      <w:pPr>
        <w:rPr>
          <w:rStyle w:val="htmlparacode"/>
        </w:rPr>
      </w:pPr>
      <w:r>
        <w:rPr>
          <w:rStyle w:val="htmlparacode"/>
        </w:rPr>
        <w:t>&lt;p&gt;</w:t>
      </w:r>
    </w:p>
    <w:p w:rsidR="00B72047" w:rsidRDefault="00B72047" w:rsidP="007E67C1">
      <w:pPr>
        <w:pStyle w:val="Listjustified"/>
        <w:numPr>
          <w:ilvl w:val="0"/>
          <w:numId w:val="2"/>
        </w:numPr>
        <w:ind w:left="792" w:hanging="432"/>
      </w:pPr>
      <w:r>
        <w:t>“zo” quotes the following word, no matter what it is.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“si” erases the preceding word unless it is a “zo”.</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“sa” erases the preceding word and other words,</w:t>
      </w:r>
      <w:r>
        <w:rPr>
          <w:rStyle w:val="deletedparamark"/>
        </w:rPr>
        <w:t xml:space="preserve"> </w:t>
      </w:r>
      <w:r>
        <w:t>unless the preceding word is a “zo”.</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“su” is the same as “sa”, but erases more words.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“lo'u” quotes all following words up to a “le'u”</w:t>
      </w:r>
      <w:r>
        <w:rPr>
          <w:rStyle w:val="deletedparamark"/>
        </w:rPr>
        <w:t xml:space="preserve"> </w:t>
      </w:r>
      <w:r>
        <w:t>(but not a “zo le'u”).</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“le'u” is ungrammatical except at the end of a “lo'u</w:t>
      </w:r>
      <w:r>
        <w:rPr>
          <w:rStyle w:val="deletedparamark"/>
        </w:rPr>
        <w:t xml:space="preserve"> </w:t>
      </w:r>
      <w:r>
        <w:t>quotation.</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ZOI cmavo use the following word as a delimiting word,</w:t>
      </w:r>
      <w:r>
        <w:rPr>
          <w:rStyle w:val="deletedparamark"/>
        </w:rPr>
        <w:t xml:space="preserve"> </w:t>
      </w:r>
      <w:r>
        <w:t>no matter what it is, but using “le'u”</w:t>
      </w:r>
      <w:r>
        <w:rPr>
          <w:rStyle w:val="deletedparamark"/>
        </w:rPr>
        <w:t xml:space="preserve"> </w:t>
      </w:r>
      <w:r>
        <w:t>may create difficulties.</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“zei” combines the preceding and the following word into</w:t>
      </w:r>
      <w:r>
        <w:rPr>
          <w:rStyle w:val="deletedparamark"/>
        </w:rPr>
        <w:t xml:space="preserve"> </w:t>
      </w:r>
      <w:r>
        <w:t>a lujvo, but does not affect “zo”, “si”, “sa”, “su”,</w:t>
      </w:r>
      <w:r>
        <w:rPr>
          <w:rStyle w:val="deletedparamark"/>
        </w:rPr>
        <w:t xml:space="preserve"> “</w:t>
      </w:r>
      <w:r>
        <w:t>lo'u”, ZOI cmavo, “fa'o”, and “zei”.</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BAhE cmavo mark the following word, unless it is “si”,</w:t>
      </w:r>
      <w:r>
        <w:rPr>
          <w:rStyle w:val="deletedparamark"/>
        </w:rPr>
        <w:t xml:space="preserve"> “</w:t>
      </w:r>
      <w:r>
        <w:t>sa”, or “su”, or unless it is preceded by</w:t>
      </w:r>
      <w:r>
        <w:rPr>
          <w:rStyle w:val="deletedparamark"/>
        </w:rPr>
        <w:t xml:space="preserve"> “</w:t>
      </w:r>
      <w:r>
        <w:t>zo”. Multiple BAhE cmavo may be used in succes</w:t>
      </w:r>
      <w:r>
        <w:softHyphen/>
        <w:t>sion.</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“bu” makes the preceding word into a lerfu word,</w:t>
      </w:r>
      <w:r>
        <w:rPr>
          <w:rStyle w:val="deletedparamark"/>
        </w:rPr>
        <w:t xml:space="preserve"> </w:t>
      </w:r>
      <w:r>
        <w:t>except for “zo”, “si”, “sa”, “su”,</w:t>
      </w:r>
      <w:r>
        <w:rPr>
          <w:rStyle w:val="deletedparamark"/>
        </w:rPr>
        <w:t xml:space="preserve"> “</w:t>
      </w:r>
      <w:r>
        <w:t>lo'u”, ZOI cmavo, “fa'o”, “zei”, BAhE cmavo,</w:t>
      </w:r>
      <w:r>
        <w:rPr>
          <w:rStyle w:val="deletedparamark"/>
        </w:rPr>
        <w:t xml:space="preserve"> </w:t>
      </w:r>
      <w:r>
        <w:t>and “bu”. Multiple “bu” cmavo may be used in succession.</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UI and CAI cmavo mark the previous word, except for “zo”,</w:t>
      </w:r>
      <w:r>
        <w:rPr>
          <w:rStyle w:val="deletedparamark"/>
        </w:rPr>
        <w:t xml:space="preserve"> “</w:t>
      </w:r>
      <w:r>
        <w:t>si”, “sa”, “su”, “lo'u”, ZOI, “fa'o”, “zei”, BAhE cmavo,</w:t>
      </w:r>
      <w:r>
        <w:rPr>
          <w:rStyle w:val="deletedparamark"/>
        </w:rPr>
        <w:t xml:space="preserve"> </w:t>
      </w:r>
      <w:r>
        <w:t>and “bu”. Multiple UI cmavo may be used in succession.</w:t>
      </w:r>
      <w:r>
        <w:rPr>
          <w:rStyle w:val="deletedparamark"/>
        </w:rPr>
        <w:t xml:space="preserve"> </w:t>
      </w:r>
      <w:r>
        <w:t>A following “nai” is made part of the UI.</w:t>
      </w:r>
    </w:p>
    <w:p w:rsidR="00B72047" w:rsidRDefault="00B72047" w:rsidP="007E67C1">
      <w:pPr>
        <w:pStyle w:val="Listjustified"/>
        <w:numPr>
          <w:ilvl w:val="0"/>
          <w:numId w:val="2"/>
        </w:numPr>
        <w:ind w:left="792" w:hanging="432"/>
        <w:rPr>
          <w:rStyle w:val="htmlparacode"/>
        </w:rPr>
      </w:pPr>
      <w:r>
        <w:rPr>
          <w:rStyle w:val="htmlparacode"/>
        </w:rPr>
        <w:t>&lt;p&gt;</w:t>
      </w:r>
    </w:p>
    <w:p w:rsidR="00B72047" w:rsidRDefault="00B72047" w:rsidP="007E67C1">
      <w:pPr>
        <w:pStyle w:val="Listjustified"/>
        <w:numPr>
          <w:ilvl w:val="0"/>
          <w:numId w:val="2"/>
        </w:numPr>
        <w:ind w:left="792" w:hanging="432"/>
      </w:pPr>
      <w:r>
        <w:t>“.y.”, “da'o”, “fu'e”, and “fu'o” are the same as UI, but</w:t>
      </w:r>
      <w:r>
        <w:rPr>
          <w:rStyle w:val="deletedparamark"/>
        </w:rPr>
        <w:t xml:space="preserve"> </w:t>
      </w:r>
      <w:r>
        <w:t>do not absorb a following “nai”.</w:t>
      </w:r>
    </w:p>
    <w:p w:rsidR="00B72047" w:rsidRDefault="00B72047">
      <w:pPr>
        <w:rPr>
          <w:rStyle w:val="htmlparacode"/>
        </w:rPr>
      </w:pPr>
      <w:r>
        <w:rPr>
          <w:rStyle w:val="htmlparacode"/>
          <w:vanish w:val="0"/>
        </w:rPr>
        <w:br w:type="page"/>
      </w:r>
      <w:r>
        <w:rPr>
          <w:rStyle w:val="htmlparacode"/>
        </w:rPr>
        <w:t>&lt;p&gt;</w:t>
      </w:r>
    </w:p>
    <w:p w:rsidR="00B72047" w:rsidRDefault="00B72047">
      <w:pPr>
        <w:pStyle w:val="Heading3"/>
        <w:spacing w:before="0"/>
        <w:rPr>
          <w:rStyle w:val="Heading3Text"/>
        </w:rPr>
      </w:pPr>
      <w:bookmarkStart w:id="541" w:name="_Toc398970777"/>
      <w:r>
        <w:rPr>
          <w:rStyle w:val="Heading3Text"/>
        </w:rPr>
        <w:t>List of Elidable Terminators</w:t>
      </w:r>
      <w:bookmarkEnd w:id="541"/>
      <w:r>
        <w:rPr>
          <w:rStyle w:val="htmlcodes"/>
        </w:rPr>
        <w:t>&lt;/h3&gt;</w:t>
      </w:r>
    </w:p>
    <w:p w:rsidR="00B72047" w:rsidRDefault="00B72047">
      <w:pPr>
        <w:rPr>
          <w:rStyle w:val="htmlparacode"/>
        </w:rPr>
      </w:pPr>
      <w:r>
        <w:rPr>
          <w:rStyle w:val="htmlparacode"/>
        </w:rPr>
        <w:t>&lt;p&gt;</w:t>
      </w:r>
      <w:r>
        <w:rPr>
          <w:rStyle w:val="indexentry"/>
        </w:rPr>
        <w:t>&lt;cx "elidable terminators, list"&gt;</w:t>
      </w:r>
      <w:r>
        <w:rPr>
          <w:rStyle w:val="indexentry"/>
        </w:rPr>
        <w:fldChar w:fldCharType="begin"/>
      </w:r>
      <w:r>
        <w:instrText>xe "</w:instrText>
      </w:r>
      <w:r>
        <w:rPr>
          <w:rStyle w:val="xeentry"/>
        </w:rPr>
        <w:instrText>elidable terminators: list</w:instrText>
      </w:r>
      <w:r>
        <w:instrText>"</w:instrText>
      </w:r>
      <w:r>
        <w:rPr>
          <w:rStyle w:val="indexentry"/>
        </w:rPr>
        <w:fldChar w:fldCharType="end"/>
      </w:r>
      <w:r>
        <w:rPr>
          <w:rStyle w:val="htmlcodes"/>
        </w:rPr>
        <w:t>&lt;a name=s17&gt;&lt;h3&gt;</w:t>
      </w:r>
    </w:p>
    <w:p w:rsidR="00B72047" w:rsidRDefault="00B72047">
      <w:pPr>
        <w:pStyle w:val="normalparagraph"/>
      </w:pPr>
      <w:r>
        <w:t>The following list shows all the elidable terminators of Lojban. The</w:t>
      </w:r>
      <w:r>
        <w:rPr>
          <w:rStyle w:val="deletedparamark"/>
        </w:rPr>
        <w:t xml:space="preserve"> </w:t>
      </w:r>
      <w:r>
        <w:t>first col</w:t>
      </w:r>
      <w:r>
        <w:softHyphen/>
        <w:t>umn is the terminator, the second column is the selma'o that starts</w:t>
      </w:r>
      <w:r>
        <w:rPr>
          <w:rStyle w:val="deletedparamark"/>
        </w:rPr>
        <w:t xml:space="preserve"> </w:t>
      </w:r>
      <w:r>
        <w:t>the corresponding constru</w:t>
      </w:r>
      <w:r>
        <w:t>c</w:t>
      </w:r>
      <w:r>
        <w:softHyphen/>
        <w:t>tion, and the third column states what kinds</w:t>
      </w:r>
      <w:r>
        <w:rPr>
          <w:rStyle w:val="deletedparamark"/>
        </w:rPr>
        <w:t xml:space="preserve"> </w:t>
      </w:r>
      <w:r>
        <w:t>of grammatical constructs are ter</w:t>
      </w:r>
      <w:r>
        <w:softHyphen/>
        <w:t>minated. Each terminator is the only cmavo</w:t>
      </w:r>
      <w:r>
        <w:rPr>
          <w:rStyle w:val="deletedparamark"/>
        </w:rPr>
        <w:t xml:space="preserve"> </w:t>
      </w:r>
      <w:r>
        <w:t>of its selma'o, which naturally has the same name as the cmavo.</w:t>
      </w:r>
    </w:p>
    <w:p w:rsidR="00B72047" w:rsidRDefault="00B72047">
      <w:pPr>
        <w:ind w:firstLine="720"/>
        <w:rPr>
          <w:rStyle w:val="htmlparacode"/>
        </w:rPr>
      </w:pPr>
      <w:r>
        <w:rPr>
          <w:rStyle w:val="htmlparacode"/>
        </w:rPr>
        <w:t>&lt;p&gt;</w:t>
      </w:r>
    </w:p>
    <w:p w:rsidR="00B72047" w:rsidRDefault="00B72047">
      <w:pPr>
        <w:pStyle w:val="examplewtabspre"/>
      </w:pPr>
      <w:r>
        <w:rPr>
          <w:rStyle w:val="htmlcodes"/>
        </w:rPr>
        <w:t>&lt;pre&gt;</w:t>
      </w:r>
      <w:r>
        <w:t xml:space="preserve"> </w:t>
      </w:r>
      <w:r>
        <w:tab/>
        <w:t>be'o</w:t>
      </w:r>
      <w:r>
        <w:tab/>
        <w:t>BE</w:t>
      </w:r>
      <w:r>
        <w:tab/>
        <w:t>sumti attached to a tanru unit</w:t>
      </w:r>
    </w:p>
    <w:p w:rsidR="00B72047" w:rsidRDefault="00B72047">
      <w:pPr>
        <w:pStyle w:val="exampwidetabs"/>
      </w:pPr>
      <w:r>
        <w:tab/>
        <w:t>boi</w:t>
      </w:r>
      <w:r>
        <w:tab/>
        <w:t>PA/BY</w:t>
      </w:r>
      <w:r>
        <w:tab/>
        <w:t>number or lerfu string</w:t>
      </w:r>
    </w:p>
    <w:p w:rsidR="00B72047" w:rsidRDefault="00B72047">
      <w:pPr>
        <w:pStyle w:val="exampwidetabs"/>
      </w:pPr>
      <w:r>
        <w:tab/>
        <w:t>do'u</w:t>
      </w:r>
      <w:r>
        <w:tab/>
        <w:t>COI/DOI</w:t>
      </w:r>
      <w:r>
        <w:tab/>
        <w:t>vocative phrases</w:t>
      </w:r>
    </w:p>
    <w:p w:rsidR="00B72047" w:rsidRDefault="00B72047">
      <w:pPr>
        <w:pStyle w:val="exampwidetabs"/>
      </w:pPr>
      <w:r>
        <w:tab/>
        <w:t>fe'u</w:t>
      </w:r>
      <w:r>
        <w:tab/>
        <w:t>FIhO</w:t>
      </w:r>
      <w:r>
        <w:tab/>
        <w:t>ad-hoc modal tags</w:t>
      </w:r>
    </w:p>
    <w:p w:rsidR="00B72047" w:rsidRDefault="00B72047">
      <w:pPr>
        <w:pStyle w:val="exampwidetabs"/>
      </w:pPr>
      <w:r>
        <w:tab/>
        <w:t>ge'u</w:t>
      </w:r>
      <w:r>
        <w:tab/>
        <w:t>GOI</w:t>
      </w:r>
      <w:r>
        <w:tab/>
        <w:t>relative phrases</w:t>
      </w:r>
    </w:p>
    <w:p w:rsidR="00B72047" w:rsidRDefault="00B72047">
      <w:pPr>
        <w:pStyle w:val="exampwidetabs"/>
      </w:pPr>
      <w:r>
        <w:tab/>
        <w:t>kei</w:t>
      </w:r>
      <w:r>
        <w:tab/>
        <w:t>NU</w:t>
      </w:r>
      <w:r>
        <w:tab/>
        <w:t>abstraction bridi</w:t>
      </w:r>
    </w:p>
    <w:p w:rsidR="00B72047" w:rsidRDefault="00B72047">
      <w:pPr>
        <w:pStyle w:val="exampwidetabs"/>
      </w:pPr>
      <w:r>
        <w:tab/>
        <w:t>ke'e</w:t>
      </w:r>
      <w:r>
        <w:tab/>
        <w:t>KE</w:t>
      </w:r>
      <w:r>
        <w:tab/>
        <w:t>groups of various kinds</w:t>
      </w:r>
    </w:p>
    <w:p w:rsidR="00B72047" w:rsidRDefault="00B72047">
      <w:pPr>
        <w:pStyle w:val="exampwidetabs"/>
      </w:pPr>
      <w:r>
        <w:tab/>
        <w:t>ku</w:t>
      </w:r>
      <w:r>
        <w:tab/>
        <w:t>LE/LA</w:t>
      </w:r>
      <w:r>
        <w:tab/>
        <w:t>description sumti</w:t>
      </w:r>
    </w:p>
    <w:p w:rsidR="00B72047" w:rsidRDefault="00B72047">
      <w:pPr>
        <w:pStyle w:val="exampwidetabs"/>
      </w:pPr>
      <w:r>
        <w:tab/>
        <w:t>ku'e</w:t>
      </w:r>
      <w:r>
        <w:tab/>
        <w:t>PEhO</w:t>
      </w:r>
      <w:r>
        <w:tab/>
        <w:t>forethought mekso</w:t>
      </w:r>
    </w:p>
    <w:p w:rsidR="00B72047" w:rsidRDefault="00B72047">
      <w:pPr>
        <w:pStyle w:val="exampwidetabs"/>
      </w:pPr>
      <w:r>
        <w:tab/>
        <w:t>ku'o</w:t>
      </w:r>
      <w:r>
        <w:tab/>
        <w:t>NOI</w:t>
      </w:r>
      <w:r>
        <w:tab/>
        <w:t>relative clauses</w:t>
      </w:r>
    </w:p>
    <w:p w:rsidR="00B72047" w:rsidRDefault="00B72047">
      <w:pPr>
        <w:pStyle w:val="exampwidetabs"/>
      </w:pPr>
      <w:r>
        <w:tab/>
        <w:t>li'u</w:t>
      </w:r>
      <w:r>
        <w:tab/>
        <w:t>LU</w:t>
      </w:r>
      <w:r>
        <w:tab/>
        <w:t>quotations</w:t>
      </w:r>
    </w:p>
    <w:p w:rsidR="00B72047" w:rsidRDefault="00B72047">
      <w:pPr>
        <w:pStyle w:val="exampwidetabs"/>
      </w:pPr>
      <w:r>
        <w:tab/>
        <w:t>lo'o</w:t>
      </w:r>
      <w:r>
        <w:tab/>
        <w:t>LI</w:t>
      </w:r>
      <w:r>
        <w:tab/>
        <w:t>number sumti</w:t>
      </w:r>
    </w:p>
    <w:p w:rsidR="00B72047" w:rsidRDefault="00B72047">
      <w:pPr>
        <w:pStyle w:val="exampwidetabs"/>
      </w:pPr>
      <w:r>
        <w:tab/>
        <w:t>lu'u</w:t>
      </w:r>
      <w:r>
        <w:tab/>
        <w:t>LAhE/NAhE+BO</w:t>
      </w:r>
      <w:r>
        <w:tab/>
        <w:t>sumti qualifiers</w:t>
      </w:r>
    </w:p>
    <w:p w:rsidR="00B72047" w:rsidRDefault="00B72047">
      <w:pPr>
        <w:pStyle w:val="exampwidetabs"/>
      </w:pPr>
      <w:r>
        <w:tab/>
        <w:t>me'u</w:t>
      </w:r>
      <w:r>
        <w:tab/>
        <w:t>ME</w:t>
      </w:r>
      <w:r>
        <w:tab/>
        <w:t>tanru units formed from sumti</w:t>
      </w:r>
    </w:p>
    <w:p w:rsidR="00B72047" w:rsidRDefault="00B72047">
      <w:pPr>
        <w:pStyle w:val="exampwidetabs"/>
      </w:pPr>
      <w:r>
        <w:tab/>
        <w:t>nu'u</w:t>
      </w:r>
      <w:r>
        <w:tab/>
        <w:t>NUhI</w:t>
      </w:r>
      <w:r>
        <w:tab/>
        <w:t>forethought termsets</w:t>
      </w:r>
    </w:p>
    <w:p w:rsidR="00B72047" w:rsidRDefault="00B72047">
      <w:pPr>
        <w:pStyle w:val="exampwidetabs"/>
      </w:pPr>
      <w:r>
        <w:tab/>
        <w:t>se'u</w:t>
      </w:r>
      <w:r>
        <w:tab/>
        <w:t>SEI/SOI</w:t>
      </w:r>
      <w:r>
        <w:tab/>
        <w:t>metalinguistic insertions</w:t>
      </w:r>
    </w:p>
    <w:p w:rsidR="00B72047" w:rsidRDefault="00B72047">
      <w:pPr>
        <w:pStyle w:val="exampwidetabs"/>
      </w:pPr>
      <w:r>
        <w:tab/>
        <w:t>te'u</w:t>
      </w:r>
      <w:r>
        <w:tab/>
        <w:t>various</w:t>
      </w:r>
      <w:r>
        <w:tab/>
        <w:t>mekso conversion constructs</w:t>
      </w:r>
    </w:p>
    <w:p w:rsidR="00B72047" w:rsidRDefault="00B72047">
      <w:pPr>
        <w:pStyle w:val="exampwidetabs"/>
      </w:pPr>
      <w:r>
        <w:tab/>
        <w:t>toi</w:t>
      </w:r>
      <w:r>
        <w:tab/>
        <w:t>TO</w:t>
      </w:r>
      <w:r>
        <w:tab/>
        <w:t>parenthetical remarks</w:t>
      </w:r>
    </w:p>
    <w:p w:rsidR="00B72047" w:rsidRDefault="00B72047">
      <w:pPr>
        <w:pStyle w:val="exampwidetabs"/>
      </w:pPr>
      <w:r>
        <w:tab/>
        <w:t>tu'u</w:t>
      </w:r>
      <w:r>
        <w:tab/>
        <w:t>TUhE</w:t>
      </w:r>
      <w:r>
        <w:tab/>
        <w:t>multiple sentences or paragraphs</w:t>
      </w:r>
    </w:p>
    <w:p w:rsidR="00B72047" w:rsidRDefault="00B72047">
      <w:pPr>
        <w:pStyle w:val="exampwidetabs"/>
      </w:pPr>
      <w:r>
        <w:tab/>
        <w:t>vau</w:t>
      </w:r>
      <w:r>
        <w:tab/>
        <w:t>(none)</w:t>
      </w:r>
      <w:r>
        <w:tab/>
        <w:t>simple bridi or bridi-tails</w:t>
      </w:r>
    </w:p>
    <w:p w:rsidR="00B72047" w:rsidRDefault="00B72047">
      <w:pPr>
        <w:pStyle w:val="exampwidetabs"/>
      </w:pPr>
      <w:r>
        <w:tab/>
        <w:t>ve'o</w:t>
      </w:r>
      <w:r>
        <w:tab/>
        <w:t>VEI</w:t>
      </w:r>
      <w:r>
        <w:tab/>
        <w:t>mekso parentheses</w:t>
      </w:r>
    </w:p>
    <w:p w:rsidR="00B72047" w:rsidRDefault="00B72047">
      <w:pPr>
        <w:pStyle w:val="exampwidetabs"/>
        <w:sectPr w:rsidR="00B72047">
          <w:type w:val="oddPage"/>
          <w:pgSz w:w="9504" w:h="13824" w:code="1"/>
          <w:pgMar w:top="1296" w:right="1296" w:bottom="720" w:left="1008" w:header="480" w:footer="720" w:gutter="0"/>
          <w:paperSrc w:first="1706" w:other="1706"/>
          <w:cols w:space="720"/>
          <w:titlePg/>
        </w:sectPr>
      </w:pPr>
    </w:p>
    <w:p w:rsidR="00B72047" w:rsidRDefault="00B72047">
      <w:pPr>
        <w:rPr>
          <w:rStyle w:val="htmlcodes"/>
        </w:rPr>
      </w:pPr>
      <w:r>
        <w:rPr>
          <w:rStyle w:val="htmlcodes"/>
        </w:rPr>
        <w:t>&lt;/body&gt;&lt;/html&gt;</w:t>
      </w:r>
    </w:p>
    <w:p w:rsidR="00B72047" w:rsidRDefault="00B72047">
      <w:pPr>
        <w:pStyle w:val="resumedafterexample"/>
      </w:pPr>
      <w:r>
        <w:pict>
          <v:shape id="_x0000_i1045" type="#_x0000_t75" style="width:357.75pt;height:467.25pt">
            <v:imagedata r:id="rId42" o:title="" croptop="-24308f" cropbottom="-2860f" cropright="16712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542" w:name="_Toc395684526"/>
      <w:bookmarkStart w:id="543" w:name="_Toc398970778"/>
      <w:r>
        <w:t>Chapter 20</w:t>
      </w:r>
      <w:bookmarkEnd w:id="542"/>
      <w:bookmarkEnd w:id="543"/>
      <w:r>
        <w:rPr>
          <w:rStyle w:val="htmlcodes"/>
        </w:rPr>
        <w:t>&lt;br&gt;</w:t>
      </w:r>
    </w:p>
    <w:p w:rsidR="00B72047" w:rsidRDefault="00B72047">
      <w:pPr>
        <w:pStyle w:val="Heading2"/>
        <w:spacing w:before="0"/>
      </w:pPr>
      <w:bookmarkStart w:id="544" w:name="_Toc398970779"/>
      <w:r>
        <w:t>A Catalogue of selma'o</w:t>
      </w:r>
      <w:bookmarkEnd w:id="544"/>
      <w:r>
        <w:rPr>
          <w:rStyle w:val="htmlcodes"/>
        </w:rPr>
        <w:t>&lt;/h2&gt;</w:t>
      </w:r>
    </w:p>
    <w:p w:rsidR="00B72047" w:rsidRDefault="00B72047">
      <w:pPr>
        <w:pStyle w:val="Heading6"/>
        <w:rPr>
          <w:rStyle w:val="htmlcodes"/>
        </w:rPr>
      </w:pPr>
      <w:r>
        <w:rPr>
          <w:rStyle w:val="htmlcodes"/>
        </w:rPr>
        <w:t>&lt;h6&gt;$Revision: 4.1 $&lt;br&gt;</w:t>
      </w:r>
      <w:r>
        <w:rPr>
          <w:rStyle w:val="htmlcodes"/>
        </w:rPr>
        <w:br/>
        <w:t>mkhtml: 1.1&lt;/h6&gt;&lt;/p&gt;&lt;/center&gt;</w:t>
      </w:r>
    </w:p>
    <w:p w:rsidR="00B72047" w:rsidRDefault="00B72047">
      <w:pPr>
        <w:rPr>
          <w:rStyle w:val="htmlparacode"/>
        </w:rPr>
      </w:pPr>
      <w:r>
        <w:rPr>
          <w:rStyle w:val="htmlparacode"/>
        </w:rPr>
        <w:t>&lt;p&gt;</w:t>
      </w:r>
    </w:p>
    <w:p w:rsidR="00B72047" w:rsidRDefault="00B72047">
      <w:pPr>
        <w:pStyle w:val="normalparagraph"/>
      </w:pPr>
      <w:r>
        <w:rPr>
          <w:rStyle w:val="indexentry"/>
        </w:rPr>
        <w:t>&lt;cx "selma'o, cross-reference list of, selma'o catalog"&gt;</w:t>
      </w:r>
      <w:r>
        <w:rPr>
          <w:rStyle w:val="indexentry"/>
        </w:rPr>
        <w:fldChar w:fldCharType="begin"/>
      </w:r>
      <w:r>
        <w:instrText>xe "</w:instrText>
      </w:r>
      <w:r>
        <w:rPr>
          <w:rStyle w:val="xeentry"/>
        </w:rPr>
        <w:instrText>selma'o: cross-reference list of</w:instrText>
      </w:r>
      <w:r>
        <w:instrText>"</w:instrText>
      </w:r>
      <w:r>
        <w:rPr>
          <w:rStyle w:val="indexentry"/>
        </w:rPr>
        <w:fldChar w:fldCharType="end"/>
      </w:r>
      <w:r>
        <w:t>The following paragraphs list all the selma'o of Lojban, with a brief</w:t>
      </w:r>
      <w:r>
        <w:rPr>
          <w:rStyle w:val="deletedparamark"/>
        </w:rPr>
        <w:t xml:space="preserve"> </w:t>
      </w:r>
      <w:r>
        <w:t>explana</w:t>
      </w:r>
      <w:r>
        <w:softHyphen/>
        <w:t>tion of what each one is about, and reference to the chapter</w:t>
      </w:r>
      <w:r>
        <w:rPr>
          <w:rStyle w:val="deletedparamark"/>
        </w:rPr>
        <w:t xml:space="preserve"> </w:t>
      </w:r>
      <w:r>
        <w:t>number where each is ex</w:t>
      </w:r>
      <w:r>
        <w:softHyphen/>
        <w:t>plained more fully. As usual, all selma'o names</w:t>
      </w:r>
      <w:r>
        <w:rPr>
          <w:rStyle w:val="deletedparamark"/>
        </w:rPr>
        <w:t xml:space="preserve"> </w:t>
      </w:r>
      <w:r>
        <w:t>are given in capital letters (with “h” serving as the capital of “ ' ”)</w:t>
      </w:r>
      <w:r>
        <w:rPr>
          <w:rStyle w:val="deletedparamark"/>
        </w:rPr>
        <w:t xml:space="preserve"> </w:t>
      </w:r>
      <w:r>
        <w:t>and are the names of a representative cmavo, often the most important</w:t>
      </w:r>
      <w:r>
        <w:rPr>
          <w:rStyle w:val="deletedparamark"/>
        </w:rPr>
        <w:t xml:space="preserve"> </w:t>
      </w:r>
      <w:r>
        <w:t>or the first in alphabetical order. One example is given of each selma'o:</w:t>
      </w:r>
      <w:r>
        <w:rPr>
          <w:rStyle w:val="deletedparamark"/>
        </w:rPr>
        <w:t xml:space="preserve"> </w:t>
      </w:r>
      <w:r>
        <w:t>for selma'o which have several uses, the most common use is shown.</w:t>
      </w:r>
    </w:p>
    <w:p w:rsidR="00B72047" w:rsidRDefault="00B72047">
      <w:pPr>
        <w:pStyle w:val="Heading5"/>
        <w:rPr>
          <w:rStyle w:val="htmlparacode"/>
        </w:rPr>
      </w:pPr>
      <w:r>
        <w:rPr>
          <w:rStyle w:val="htmlparacode"/>
        </w:rPr>
        <w:t>&lt;p&gt;</w:t>
      </w:r>
    </w:p>
    <w:p w:rsidR="00B72047" w:rsidRDefault="00B72047">
      <w:pPr>
        <w:pStyle w:val="Heading4"/>
      </w:pPr>
      <w:r>
        <w:rPr>
          <w:rStyle w:val="indexentry"/>
        </w:rPr>
        <w:t>&lt;lx "A, selma'o catalog"&gt;</w:t>
      </w:r>
      <w:r>
        <w:rPr>
          <w:rStyle w:val="indexentry"/>
        </w:rPr>
        <w:fldChar w:fldCharType="begin"/>
      </w:r>
      <w:r>
        <w:instrText>xe "</w:instrText>
      </w:r>
      <w:r>
        <w:rPr>
          <w:rStyle w:val="xeentry"/>
        </w:rPr>
        <w:instrText>A selma’o</w:instrText>
      </w:r>
      <w:r>
        <w:instrText>"</w:instrText>
      </w:r>
      <w:r>
        <w:rPr>
          <w:rStyle w:val="indexentry"/>
        </w:rPr>
        <w:fldChar w:fldCharType="end"/>
      </w:r>
      <w:r>
        <w:rPr>
          <w:rStyle w:val="indexentry"/>
        </w:rPr>
        <w:t>&lt;cx "connection, of sumti, selma'o catalog"&gt;</w:t>
      </w:r>
      <w:r>
        <w:rPr>
          <w:rStyle w:val="indexentry"/>
        </w:rPr>
        <w:fldChar w:fldCharType="begin"/>
      </w:r>
      <w:r>
        <w:instrText>xe "</w:instrText>
      </w:r>
      <w:r>
        <w:rPr>
          <w:rStyle w:val="xeentry"/>
        </w:rPr>
        <w:instrText>connection: of sumti</w:instrText>
      </w:r>
      <w:r>
        <w:instrText>"</w:instrText>
      </w:r>
      <w:r>
        <w:rPr>
          <w:rStyle w:val="indexentry"/>
        </w:rPr>
        <w:fldChar w:fldCharType="end"/>
      </w:r>
      <w:r>
        <w:t>selma'o A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a logical connection (e.g. “and”, “or”, “if”), usually</w:t>
      </w:r>
      <w:r>
        <w:rPr>
          <w:rStyle w:val="deletedparamark"/>
        </w:rPr>
        <w:t xml:space="preserve"> </w:t>
      </w:r>
      <w:r>
        <w:t>between sumti.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.a la djein. klama le zarci</w:t>
      </w:r>
    </w:p>
    <w:p w:rsidR="00B72047" w:rsidRDefault="00B72047">
      <w:pPr>
        <w:pStyle w:val="examplescaled"/>
      </w:pPr>
      <w:r>
        <w:tab/>
        <w:t>John and/or Jane goes to the store.</w:t>
      </w:r>
    </w:p>
    <w:p w:rsidR="00B72047" w:rsidRDefault="00B72047">
      <w:pPr>
        <w:pStyle w:val="resumedafterexample"/>
      </w:pPr>
      <w:r>
        <w:rPr>
          <w:rStyle w:val="htmlcodes"/>
        </w:rPr>
        <w:t>&lt;/dl&gt;&lt;p&gt;</w:t>
      </w:r>
      <w:r>
        <w:t>Also used to create vowel lerfu words when followed with “bu”.</w:t>
      </w:r>
    </w:p>
    <w:p w:rsidR="00B72047" w:rsidRDefault="00B72047">
      <w:pPr>
        <w:rPr>
          <w:rStyle w:val="htmlparacode"/>
        </w:rPr>
      </w:pPr>
      <w:r>
        <w:rPr>
          <w:rStyle w:val="htmlparacode"/>
        </w:rPr>
        <w:t>&lt;p&gt;</w:t>
      </w:r>
    </w:p>
    <w:p w:rsidR="00B72047" w:rsidRDefault="00B72047">
      <w:pPr>
        <w:pStyle w:val="Heading4"/>
      </w:pPr>
      <w:r>
        <w:rPr>
          <w:rStyle w:val="indexentry"/>
        </w:rPr>
        <w:t>&lt;lx "BAI, selma'o catalog"&gt;</w:t>
      </w:r>
      <w:r>
        <w:rPr>
          <w:rStyle w:val="indexentry"/>
        </w:rPr>
        <w:fldChar w:fldCharType="begin"/>
      </w:r>
      <w:r>
        <w:instrText>xe "</w:instrText>
      </w:r>
      <w:r>
        <w:rPr>
          <w:rStyle w:val="xeentry"/>
        </w:rPr>
        <w:instrText>BAI selma’o</w:instrText>
      </w:r>
      <w:r>
        <w:instrText>"</w:instrText>
      </w:r>
      <w:r>
        <w:rPr>
          <w:rStyle w:val="indexentry"/>
        </w:rPr>
        <w:fldChar w:fldCharType="end"/>
      </w:r>
      <w:r>
        <w:rPr>
          <w:rStyle w:val="indexentry"/>
        </w:rPr>
        <w:t>&lt;cx "sumti place, additional, selma'o catalog"&gt;</w:t>
      </w:r>
      <w:r>
        <w:rPr>
          <w:rStyle w:val="indexentry"/>
        </w:rPr>
        <w:fldChar w:fldCharType="begin"/>
      </w:r>
      <w:r>
        <w:instrText>xe "</w:instrText>
      </w:r>
      <w:r>
        <w:rPr>
          <w:rStyle w:val="xeentry"/>
        </w:rPr>
        <w:instrText>sumti place: additional</w:instrText>
      </w:r>
      <w:r>
        <w:instrText>"</w:instrText>
      </w:r>
      <w:r>
        <w:rPr>
          <w:rStyle w:val="indexentry"/>
        </w:rPr>
        <w:fldChar w:fldCharType="end"/>
      </w:r>
      <w:r>
        <w:t>selma'o BAI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May be prefixed to a sumti to specify an additional place, not</w:t>
      </w:r>
      <w:r>
        <w:rPr>
          <w:rStyle w:val="deletedparamark"/>
        </w:rPr>
        <w:t xml:space="preserve"> </w:t>
      </w:r>
      <w:r>
        <w:t>otherwise present in the place structure of the selbri, and derived</w:t>
      </w:r>
      <w:r>
        <w:rPr>
          <w:rStyle w:val="deletedparamark"/>
        </w:rPr>
        <w:t xml:space="preserve"> </w:t>
      </w:r>
      <w:r>
        <w:t>from a single place of some other selbri.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tavla bau la lojban.</w:t>
      </w:r>
    </w:p>
    <w:p w:rsidR="00B72047" w:rsidRDefault="00B72047">
      <w:pPr>
        <w:pStyle w:val="examplescaled"/>
      </w:pPr>
      <w:r>
        <w:tab/>
        <w:t>I speak in-language Lojban.</w:t>
      </w:r>
    </w:p>
    <w:p w:rsidR="00B72047" w:rsidRDefault="00B72047">
      <w:pPr>
        <w:pStyle w:val="Heading4"/>
      </w:pPr>
      <w:r>
        <w:rPr>
          <w:rStyle w:val="htmlcodes"/>
        </w:rPr>
        <w:t>&lt;/dl&gt;</w:t>
      </w:r>
      <w:r>
        <w:rPr>
          <w:rStyle w:val="indexentry"/>
        </w:rPr>
        <w:t>&lt;lx "BAhE, selma'o catalog"&gt;</w:t>
      </w:r>
      <w:r>
        <w:rPr>
          <w:rStyle w:val="indexentry"/>
        </w:rPr>
        <w:fldChar w:fldCharType="begin"/>
      </w:r>
      <w:r>
        <w:instrText>xe "</w:instrText>
      </w:r>
      <w:r>
        <w:rPr>
          <w:rStyle w:val="xeentry"/>
        </w:rPr>
        <w:instrText>BAhE selma’o</w:instrText>
      </w:r>
      <w:r>
        <w:instrText>"</w:instrText>
      </w:r>
      <w:r>
        <w:rPr>
          <w:rStyle w:val="indexentry"/>
        </w:rPr>
        <w:fldChar w:fldCharType="end"/>
      </w:r>
      <w:r>
        <w:rPr>
          <w:rStyle w:val="indexentry"/>
        </w:rPr>
        <w:t>&lt;cx "emphasis, marking, selma'o catalog"&gt;</w:t>
      </w:r>
      <w:r>
        <w:rPr>
          <w:rStyle w:val="indexentry"/>
        </w:rPr>
        <w:fldChar w:fldCharType="begin"/>
      </w:r>
      <w:r>
        <w:instrText>xe "</w:instrText>
      </w:r>
      <w:r>
        <w:rPr>
          <w:rStyle w:val="xeentry"/>
        </w:rPr>
        <w:instrText>emphasis: marking</w:instrText>
      </w:r>
      <w:r>
        <w:instrText>"</w:instrText>
      </w:r>
      <w:r>
        <w:rPr>
          <w:rStyle w:val="indexentry"/>
        </w:rPr>
        <w:fldChar w:fldCharType="end"/>
      </w:r>
      <w:r>
        <w:rPr>
          <w:rStyle w:val="indexentry"/>
        </w:rPr>
        <w:t>&lt;cx "nonce word, marking, selma'o catalog"&gt;</w:t>
      </w:r>
      <w:r>
        <w:rPr>
          <w:rStyle w:val="indexentry"/>
        </w:rPr>
        <w:fldChar w:fldCharType="begin"/>
      </w:r>
      <w:r>
        <w:instrText>xe "</w:instrText>
      </w:r>
      <w:r>
        <w:rPr>
          <w:rStyle w:val="xeentry"/>
        </w:rPr>
        <w:instrText>nonce word: marking</w:instrText>
      </w:r>
      <w:r>
        <w:instrText>"</w:instrText>
      </w:r>
      <w:r>
        <w:rPr>
          <w:rStyle w:val="indexentry"/>
        </w:rPr>
        <w:fldChar w:fldCharType="end"/>
      </w:r>
      <w:r>
        <w:t>selma'o BAhE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Emphasizes the next single word, or marks it as a nonce word (one</w:t>
      </w:r>
      <w:r>
        <w:rPr>
          <w:rStyle w:val="deletedparamark"/>
        </w:rPr>
        <w:t xml:space="preserve"> </w:t>
      </w:r>
      <w:r>
        <w:t>invented for the oc</w:t>
      </w:r>
      <w:r>
        <w:softHyphen/>
        <w:t>casion.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ba'e .djordj. klama le zarci</w:t>
      </w:r>
    </w:p>
    <w:p w:rsidR="00B72047" w:rsidRDefault="00B72047">
      <w:pPr>
        <w:pStyle w:val="examplescaled"/>
      </w:pPr>
      <w:r>
        <w:tab/>
      </w:r>
      <w:r>
        <w:rPr>
          <w:rStyle w:val="htmlcodes"/>
        </w:rPr>
        <w:t>&lt;i&gt;</w:t>
      </w:r>
      <w:r>
        <w:rPr>
          <w:rFonts w:ascii="Times Roman" w:hAnsi="Times Roman" w:cs="Times Roman"/>
          <w:i/>
          <w:iCs/>
        </w:rPr>
        <w:t xml:space="preserve">George </w:t>
      </w:r>
      <w:r>
        <w:rPr>
          <w:rStyle w:val="htmlcodes"/>
        </w:rPr>
        <w:t>&lt;/i&gt;</w:t>
      </w:r>
      <w:r>
        <w:t>goes to the store.</w:t>
      </w:r>
    </w:p>
    <w:p w:rsidR="00B72047" w:rsidRDefault="00B72047">
      <w:pPr>
        <w:pStyle w:val="examplescaled"/>
      </w:pPr>
      <w:r>
        <w:tab/>
        <w:t>It is George who goes to the store.</w:t>
      </w:r>
    </w:p>
    <w:p w:rsidR="00B72047" w:rsidRDefault="00B72047">
      <w:pPr>
        <w:pStyle w:val="Heading4"/>
      </w:pPr>
      <w:r>
        <w:rPr>
          <w:rStyle w:val="htmlcodes"/>
        </w:rPr>
        <w:t>&lt;/dl&gt;</w:t>
      </w:r>
      <w:r>
        <w:rPr>
          <w:rStyle w:val="indexentry"/>
        </w:rPr>
        <w:t>&lt;lx "BE, selma'o catalog"&gt;</w:t>
      </w:r>
      <w:r>
        <w:rPr>
          <w:rStyle w:val="indexentry"/>
        </w:rPr>
        <w:fldChar w:fldCharType="begin"/>
      </w:r>
      <w:r>
        <w:instrText>xe "</w:instrText>
      </w:r>
      <w:r>
        <w:rPr>
          <w:rStyle w:val="xeentry"/>
        </w:rPr>
        <w:instrText>BE selma’o</w:instrText>
      </w:r>
      <w:r>
        <w:instrText>"</w:instrText>
      </w:r>
      <w:r>
        <w:rPr>
          <w:rStyle w:val="indexentry"/>
        </w:rPr>
        <w:fldChar w:fldCharType="end"/>
      </w:r>
      <w:r>
        <w:rPr>
          <w:rStyle w:val="indexentry"/>
        </w:rPr>
        <w:t>&lt;cx "tanru unit, filling in places of, selma'o catalog"&gt;</w:t>
      </w:r>
      <w:r>
        <w:rPr>
          <w:rStyle w:val="indexentry"/>
        </w:rPr>
        <w:fldChar w:fldCharType="begin"/>
      </w:r>
      <w:r>
        <w:instrText>xe "</w:instrText>
      </w:r>
      <w:r>
        <w:rPr>
          <w:rStyle w:val="xeentry"/>
        </w:rPr>
        <w:instrText>tanru unit: filling in places of</w:instrText>
      </w:r>
      <w:r>
        <w:instrText>"</w:instrText>
      </w:r>
      <w:r>
        <w:rPr>
          <w:rStyle w:val="indexentry"/>
        </w:rPr>
        <w:fldChar w:fldCharType="end"/>
      </w:r>
      <w:r>
        <w:t>selma'o BE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Attaches sumti which fill the place structure of a single unit making up a</w:t>
      </w:r>
      <w:r>
        <w:rPr>
          <w:rStyle w:val="deletedparamark"/>
        </w:rPr>
        <w:t xml:space="preserve"> </w:t>
      </w:r>
      <w:r>
        <w:t>tanru. Unless otherwise indicated, the sumti fill the x2, x3, and successive</w:t>
      </w:r>
      <w:r>
        <w:rPr>
          <w:rStyle w:val="deletedparamark"/>
        </w:rPr>
        <w:t xml:space="preserve"> </w:t>
      </w:r>
      <w:r>
        <w:t>places in that order. BE is most useful in descriptions formed with LE.</w:t>
      </w:r>
      <w:r>
        <w:rPr>
          <w:rStyle w:val="deletedparamark"/>
        </w:rPr>
        <w:t xml:space="preserve"> </w:t>
      </w:r>
      <w:r>
        <w:t>See BEI, BEhO.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be ta troci</w:t>
      </w:r>
    </w:p>
    <w:p w:rsidR="00B72047" w:rsidRDefault="00B72047">
      <w:pPr>
        <w:pStyle w:val="examplescaled"/>
      </w:pPr>
      <w:r>
        <w:tab/>
        <w:t>I am-a-(goer to-that) type-of-trier.</w:t>
      </w:r>
    </w:p>
    <w:p w:rsidR="00B72047" w:rsidRDefault="00B72047">
      <w:pPr>
        <w:pStyle w:val="examplescaled"/>
      </w:pPr>
      <w:r>
        <w:tab/>
        <w:t>I try to go to that place.</w:t>
      </w:r>
    </w:p>
    <w:p w:rsidR="00B72047" w:rsidRDefault="00B72047">
      <w:pPr>
        <w:pStyle w:val="Heading4"/>
      </w:pPr>
      <w:r>
        <w:rPr>
          <w:rStyle w:val="htmlcodes"/>
        </w:rPr>
        <w:t>&lt;/dl&gt;</w:t>
      </w:r>
      <w:r>
        <w:rPr>
          <w:rStyle w:val="indexentry"/>
        </w:rPr>
        <w:t>&lt;cx "tanru unit, filling in places of, selma'o catalog"&gt;</w:t>
      </w:r>
      <w:r>
        <w:rPr>
          <w:rStyle w:val="indexentry"/>
        </w:rPr>
        <w:fldChar w:fldCharType="begin"/>
      </w:r>
      <w:r>
        <w:instrText>xe "</w:instrText>
      </w:r>
      <w:r>
        <w:rPr>
          <w:rStyle w:val="xeentry"/>
        </w:rPr>
        <w:instrText>tanru unit: filling in places of</w:instrText>
      </w:r>
      <w:r>
        <w:instrText>"</w:instrText>
      </w:r>
      <w:r>
        <w:rPr>
          <w:rStyle w:val="indexentry"/>
        </w:rPr>
        <w:fldChar w:fldCharType="end"/>
      </w:r>
      <w:r>
        <w:rPr>
          <w:rStyle w:val="indexentry"/>
        </w:rPr>
        <w:t>&lt;lx "BEI, selma'o catalog"&gt;</w:t>
      </w:r>
      <w:r>
        <w:rPr>
          <w:rStyle w:val="indexentry"/>
        </w:rPr>
        <w:fldChar w:fldCharType="begin"/>
      </w:r>
      <w:r>
        <w:instrText>xe "</w:instrText>
      </w:r>
      <w:r>
        <w:rPr>
          <w:rStyle w:val="xeentry"/>
        </w:rPr>
        <w:instrText>BEI selma’o</w:instrText>
      </w:r>
      <w:r>
        <w:instrText>"</w:instrText>
      </w:r>
      <w:r>
        <w:rPr>
          <w:rStyle w:val="indexentry"/>
        </w:rPr>
        <w:fldChar w:fldCharType="end"/>
      </w:r>
      <w:r>
        <w:t>selma'o BEI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Separates multiple sumti attached by BE to a tanru unit.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be le zarci bei le zdani be'o troci</w:t>
      </w:r>
    </w:p>
    <w:p w:rsidR="00B72047" w:rsidRDefault="00B72047">
      <w:pPr>
        <w:pStyle w:val="examplescaled"/>
      </w:pPr>
      <w:r>
        <w:tab/>
        <w:t>I am-a-(goer to-the store from-the home) type-of-trier.</w:t>
      </w:r>
    </w:p>
    <w:p w:rsidR="00B72047" w:rsidRDefault="00B72047">
      <w:pPr>
        <w:pStyle w:val="examplescaled"/>
      </w:pPr>
      <w:r>
        <w:tab/>
        <w:t>I try to go from the home to the market.</w:t>
      </w:r>
    </w:p>
    <w:p w:rsidR="00B72047" w:rsidRDefault="00B72047">
      <w:pPr>
        <w:pStyle w:val="Heading4"/>
      </w:pPr>
      <w:r>
        <w:rPr>
          <w:rStyle w:val="htmlcodes"/>
        </w:rPr>
        <w:t>&lt;/dl&gt;</w:t>
      </w:r>
      <w:r>
        <w:rPr>
          <w:rStyle w:val="indexentry"/>
        </w:rPr>
        <w:t>&lt;lx "BEhO, selma'o catalog"&gt;</w:t>
      </w:r>
      <w:r>
        <w:rPr>
          <w:rStyle w:val="indexentry"/>
        </w:rPr>
        <w:fldChar w:fldCharType="begin"/>
      </w:r>
      <w:r>
        <w:instrText>xe "</w:instrText>
      </w:r>
      <w:r>
        <w:rPr>
          <w:rStyle w:val="xeentry"/>
        </w:rPr>
        <w:instrText>BEhO selma’o</w:instrText>
      </w:r>
      <w:r>
        <w:instrText>"</w:instrText>
      </w:r>
      <w:r>
        <w:rPr>
          <w:rStyle w:val="indexentry"/>
        </w:rPr>
        <w:fldChar w:fldCharType="end"/>
      </w:r>
      <w:r>
        <w:rPr>
          <w:rStyle w:val="indexentry"/>
        </w:rPr>
        <w:t>&lt;cx "BE, terminator for, selma'o catalog"&gt;</w:t>
      </w:r>
      <w:r>
        <w:rPr>
          <w:rStyle w:val="indexentry"/>
        </w:rPr>
        <w:fldChar w:fldCharType="begin"/>
      </w:r>
      <w:r>
        <w:instrText>xe "</w:instrText>
      </w:r>
      <w:r>
        <w:rPr>
          <w:rStyle w:val="xeentry"/>
        </w:rPr>
        <w:instrText>BE selma’o: terminator for</w:instrText>
      </w:r>
      <w:r>
        <w:instrText>"</w:instrText>
      </w:r>
      <w:r>
        <w:rPr>
          <w:rStyle w:val="indexentry"/>
        </w:rPr>
        <w:fldChar w:fldCharType="end"/>
      </w:r>
      <w:r>
        <w:t>selma'o BEhO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BE. Terminates sumti that are attached</w:t>
      </w:r>
      <w:r>
        <w:rPr>
          <w:rStyle w:val="deletedparamark"/>
        </w:rPr>
        <w:t xml:space="preserve"> </w:t>
      </w:r>
      <w:r>
        <w:t>to a tanru unit.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be le zarci be'o troci</w:t>
      </w:r>
    </w:p>
    <w:p w:rsidR="00B72047" w:rsidRDefault="00B72047">
      <w:pPr>
        <w:pStyle w:val="examplescaled"/>
      </w:pPr>
      <w:r>
        <w:tab/>
        <w:t>I am-a-(goer to-the market) type-of-trier.</w:t>
      </w:r>
    </w:p>
    <w:p w:rsidR="00B72047" w:rsidRDefault="00B72047">
      <w:pPr>
        <w:pStyle w:val="examplescaled"/>
      </w:pPr>
      <w:r>
        <w:tab/>
        <w:t>I try to go to the market.</w:t>
      </w:r>
    </w:p>
    <w:p w:rsidR="00B72047" w:rsidRDefault="00B72047">
      <w:pPr>
        <w:pStyle w:val="Heading4"/>
      </w:pPr>
      <w:r>
        <w:rPr>
          <w:rStyle w:val="htmlcodes"/>
        </w:rPr>
        <w:t>&lt;/dl&gt;</w:t>
      </w:r>
      <w:r>
        <w:rPr>
          <w:rStyle w:val="indexentry"/>
        </w:rPr>
        <w:t>&lt;lx "BIhE, selma'o catalog"&gt;</w:t>
      </w:r>
      <w:r>
        <w:rPr>
          <w:rStyle w:val="indexentry"/>
        </w:rPr>
        <w:fldChar w:fldCharType="begin"/>
      </w:r>
      <w:r>
        <w:instrText>xe "</w:instrText>
      </w:r>
      <w:r>
        <w:rPr>
          <w:rStyle w:val="xeentry"/>
        </w:rPr>
        <w:instrText>BIhE selma’o</w:instrText>
      </w:r>
      <w:r>
        <w:instrText>"</w:instrText>
      </w:r>
      <w:r>
        <w:rPr>
          <w:rStyle w:val="indexentry"/>
        </w:rPr>
        <w:fldChar w:fldCharType="end"/>
      </w:r>
      <w:r>
        <w:rPr>
          <w:rStyle w:val="indexentry"/>
        </w:rPr>
        <w:t>&lt;cx "operator priority, selma'o catalog"&gt;</w:t>
      </w:r>
      <w:r>
        <w:rPr>
          <w:rStyle w:val="indexentry"/>
        </w:rPr>
        <w:fldChar w:fldCharType="begin"/>
      </w:r>
      <w:r>
        <w:instrText>xe "</w:instrText>
      </w:r>
      <w:r>
        <w:rPr>
          <w:rStyle w:val="xeentry"/>
        </w:rPr>
        <w:instrText>operator priority</w:instrText>
      </w:r>
      <w:r>
        <w:instrText>"</w:instrText>
      </w:r>
      <w:r>
        <w:rPr>
          <w:rStyle w:val="indexentry"/>
        </w:rPr>
        <w:fldChar w:fldCharType="end"/>
      </w:r>
      <w:r>
        <w:t>selma'o BIhE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Prefixed to a mathematical operator to mark it as higher priority</w:t>
      </w:r>
      <w:r>
        <w:rPr>
          <w:rStyle w:val="deletedparamark"/>
        </w:rPr>
        <w:t xml:space="preserve"> </w:t>
      </w:r>
      <w:r>
        <w:t>than other mathematical operators, binding its operands more closely.</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ci bi'e pi'u vo su'i mu du li paze</w:t>
      </w:r>
    </w:p>
    <w:p w:rsidR="00B72047" w:rsidRDefault="00B72047">
      <w:pPr>
        <w:pStyle w:val="examplescaled"/>
      </w:pPr>
      <w:r>
        <w:tab/>
        <w:t>The-number 3 [priority] times 4 plus 5 equals the-number 17.</w:t>
      </w:r>
    </w:p>
    <w:p w:rsidR="00B72047" w:rsidRDefault="00B72047">
      <w:pPr>
        <w:pStyle w:val="examplescaled"/>
        <w:rPr>
          <w:rStyle w:val="math"/>
        </w:rPr>
      </w:pPr>
      <w:r>
        <w:rPr>
          <w:rStyle w:val="math"/>
        </w:rPr>
        <w:tab/>
        <w:t xml:space="preserve">3 </w:t>
      </w:r>
      <w:r>
        <w:rPr>
          <w:rStyle w:val="math"/>
        </w:rPr>
        <w:sym w:font="Symbol" w:char="F0B4"/>
      </w:r>
      <w:r>
        <w:rPr>
          <w:rStyle w:val="math"/>
        </w:rPr>
        <w:t xml:space="preserve"> 4 + 5 = 17</w:t>
      </w:r>
    </w:p>
    <w:p w:rsidR="00B72047" w:rsidRDefault="00B72047">
      <w:pPr>
        <w:pStyle w:val="Heading4"/>
      </w:pPr>
      <w:r>
        <w:rPr>
          <w:rStyle w:val="htmlcodes"/>
        </w:rPr>
        <w:t>&lt;/dl&gt;</w:t>
      </w:r>
      <w:r>
        <w:rPr>
          <w:rStyle w:val="indexentry"/>
        </w:rPr>
        <w:t>&lt;lx "BIhI, selma'o catalog"&gt;</w:t>
      </w:r>
      <w:r>
        <w:rPr>
          <w:rStyle w:val="indexentry"/>
        </w:rPr>
        <w:fldChar w:fldCharType="begin"/>
      </w:r>
      <w:r>
        <w:instrText>xe "</w:instrText>
      </w:r>
      <w:r>
        <w:rPr>
          <w:rStyle w:val="xeentry"/>
        </w:rPr>
        <w:instrText>BIhI selma’o</w:instrText>
      </w:r>
      <w:r>
        <w:instrText>"</w:instrText>
      </w:r>
      <w:r>
        <w:rPr>
          <w:rStyle w:val="indexentry"/>
        </w:rPr>
        <w:fldChar w:fldCharType="end"/>
      </w:r>
      <w:r>
        <w:rPr>
          <w:rStyle w:val="indexentry"/>
        </w:rPr>
        <w:t>&lt;cx "intervals, forming, selma'o catalog"&gt;</w:t>
      </w:r>
      <w:r>
        <w:rPr>
          <w:rStyle w:val="indexentry"/>
        </w:rPr>
        <w:fldChar w:fldCharType="begin"/>
      </w:r>
      <w:r>
        <w:instrText>xe "</w:instrText>
      </w:r>
      <w:r>
        <w:rPr>
          <w:rStyle w:val="xeentry"/>
        </w:rPr>
        <w:instrText>interval: forming</w:instrText>
      </w:r>
      <w:r>
        <w:instrText>"</w:instrText>
      </w:r>
      <w:r>
        <w:rPr>
          <w:rStyle w:val="indexentry"/>
        </w:rPr>
        <w:fldChar w:fldCharType="end"/>
      </w:r>
      <w:r>
        <w:t>selma'o BIhI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Joins sumti or tanru units (as well as some other things) to</w:t>
      </w:r>
      <w:r>
        <w:rPr>
          <w:rStyle w:val="deletedparamark"/>
        </w:rPr>
        <w:t xml:space="preserve"> </w:t>
      </w:r>
      <w:r>
        <w:t>form intervals. See GAhO.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ca sanli la drezdn. bi'i la frankfurt.</w:t>
      </w:r>
    </w:p>
    <w:p w:rsidR="00B72047" w:rsidRDefault="00B72047">
      <w:pPr>
        <w:pStyle w:val="examplescaled"/>
      </w:pPr>
      <w:r>
        <w:tab/>
        <w:t>I [present] stand-on-surface Dresden [interval] Frankfurt.</w:t>
      </w:r>
    </w:p>
    <w:p w:rsidR="00B72047" w:rsidRDefault="00B72047">
      <w:pPr>
        <w:pStyle w:val="examplescaled"/>
      </w:pPr>
      <w:r>
        <w:tab/>
        <w:t>I am standing between Dresden and Frankfurt.</w:t>
      </w:r>
    </w:p>
    <w:p w:rsidR="00B72047" w:rsidRDefault="00B72047">
      <w:pPr>
        <w:pStyle w:val="Heading4"/>
      </w:pPr>
      <w:r>
        <w:rPr>
          <w:rStyle w:val="htmlcodes"/>
        </w:rPr>
        <w:t>&lt;/dl&gt;</w:t>
      </w:r>
      <w:r>
        <w:rPr>
          <w:rStyle w:val="indexentry"/>
        </w:rPr>
        <w:t>&lt;lx "BO, selma'o catalog"&gt;</w:t>
      </w:r>
      <w:r>
        <w:rPr>
          <w:rStyle w:val="indexentry"/>
        </w:rPr>
        <w:fldChar w:fldCharType="begin"/>
      </w:r>
      <w:r>
        <w:instrText>xe "</w:instrText>
      </w:r>
      <w:r>
        <w:rPr>
          <w:rStyle w:val="xeentry"/>
        </w:rPr>
        <w:instrText>BO selma’o</w:instrText>
      </w:r>
      <w:r>
        <w:instrText>"</w:instrText>
      </w:r>
      <w:r>
        <w:rPr>
          <w:rStyle w:val="indexentry"/>
        </w:rPr>
        <w:fldChar w:fldCharType="end"/>
      </w:r>
      <w:r>
        <w:rPr>
          <w:rStyle w:val="indexentry"/>
        </w:rPr>
        <w:t>&lt;cx "close-binding, selma'o catalog"&gt;</w:t>
      </w:r>
      <w:r>
        <w:rPr>
          <w:rStyle w:val="indexentry"/>
        </w:rPr>
        <w:fldChar w:fldCharType="begin"/>
      </w:r>
      <w:r>
        <w:instrText>xe "</w:instrText>
      </w:r>
      <w:r>
        <w:rPr>
          <w:rStyle w:val="xeentry"/>
        </w:rPr>
        <w:instrText>close-binding</w:instrText>
      </w:r>
      <w:r>
        <w:instrText>"</w:instrText>
      </w:r>
      <w:r>
        <w:rPr>
          <w:rStyle w:val="indexentry"/>
        </w:rPr>
        <w:fldChar w:fldCharType="end"/>
      </w:r>
      <w:r>
        <w:t>selma'o BO (</w:t>
      </w:r>
      <w:r>
        <w:rPr>
          <w:rStyle w:val="htmlcodes"/>
        </w:rPr>
        <w:t>&lt;a href=chap5.html&gt;</w:t>
      </w:r>
      <w:r>
        <w:t>Chapter 5</w:t>
      </w:r>
      <w:r>
        <w:rPr>
          <w:rStyle w:val="htmlcodes"/>
        </w:rPr>
        <w:t>&lt;/a&gt;</w:t>
      </w:r>
      <w:r>
        <w:t xml:space="preserve">, </w:t>
      </w:r>
      <w:r>
        <w:rPr>
          <w:rStyle w:val="htmlcodes"/>
        </w:rPr>
        <w:t>&lt;a href=chap15.html&gt;</w:t>
      </w:r>
      <w:r>
        <w:t>Chapter 15</w:t>
      </w:r>
      <w:r>
        <w:rPr>
          <w:rStyle w:val="htmlcodes"/>
        </w:rPr>
        <w:t>&lt;/a&gt;</w:t>
      </w:r>
      <w:r>
        <w:t xml:space="preserv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Joins tanru units, binding them together closely. Also used to</w:t>
      </w:r>
      <w:r>
        <w:rPr>
          <w:rStyle w:val="deletedparamark"/>
        </w:rPr>
        <w:t xml:space="preserve"> </w:t>
      </w:r>
      <w:r>
        <w:t>bind logically or non-logi</w:t>
      </w:r>
      <w:r>
        <w:softHyphen/>
        <w:t>cally connected phrases, sentences, etc.</w:t>
      </w:r>
      <w:r>
        <w:rPr>
          <w:rStyle w:val="deletedparamark"/>
        </w:rPr>
        <w:t xml:space="preserve"> </w:t>
      </w:r>
      <w:r>
        <w:t>BO is always high precedence and right-group</w:t>
      </w:r>
      <w:r>
        <w:softHyphen/>
        <w:t>ing.</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cmalu nixli bo ckule</w:t>
      </w:r>
    </w:p>
    <w:p w:rsidR="00B72047" w:rsidRDefault="00B72047">
      <w:pPr>
        <w:pStyle w:val="examplescaled"/>
      </w:pPr>
      <w:r>
        <w:tab/>
        <w:t>That is-a-small type-of (girl type-of school).</w:t>
      </w:r>
    </w:p>
    <w:p w:rsidR="00B72047" w:rsidRDefault="00B72047">
      <w:pPr>
        <w:pStyle w:val="examplescaled"/>
      </w:pPr>
      <w:r>
        <w:tab/>
        <w:t>That is a small school for girls.</w:t>
      </w:r>
    </w:p>
    <w:p w:rsidR="00B72047" w:rsidRDefault="00B72047">
      <w:pPr>
        <w:pStyle w:val="Heading4"/>
      </w:pPr>
      <w:r>
        <w:rPr>
          <w:rStyle w:val="htmlcodes"/>
        </w:rPr>
        <w:t>&lt;/dl&gt;</w:t>
      </w:r>
      <w:r>
        <w:rPr>
          <w:rStyle w:val="indexentry"/>
        </w:rPr>
        <w:t>&lt;lx "BOI, selma'o catalog"&gt;</w:t>
      </w:r>
      <w:r>
        <w:rPr>
          <w:rStyle w:val="indexentry"/>
        </w:rPr>
        <w:fldChar w:fldCharType="begin"/>
      </w:r>
      <w:r>
        <w:instrText>xe "</w:instrText>
      </w:r>
      <w:r>
        <w:rPr>
          <w:rStyle w:val="xeentry"/>
        </w:rPr>
        <w:instrText>BOI selma’o</w:instrText>
      </w:r>
      <w:r>
        <w:instrText>"</w:instrText>
      </w:r>
      <w:r>
        <w:rPr>
          <w:rStyle w:val="indexentry"/>
        </w:rPr>
        <w:fldChar w:fldCharType="end"/>
      </w:r>
      <w:r>
        <w:rPr>
          <w:rStyle w:val="indexentry"/>
        </w:rPr>
        <w:t>&lt;cx "PA, terminator for, selma'o catalog"&gt;</w:t>
      </w:r>
      <w:r>
        <w:rPr>
          <w:rStyle w:val="indexentry"/>
        </w:rPr>
        <w:fldChar w:fldCharType="begin"/>
      </w:r>
      <w:r>
        <w:instrText>xe "</w:instrText>
      </w:r>
      <w:r>
        <w:rPr>
          <w:rStyle w:val="xeentry"/>
        </w:rPr>
        <w:instrText>PA selma’o: terminator for</w:instrText>
      </w:r>
      <w:r>
        <w:instrText>"</w:instrText>
      </w:r>
      <w:r>
        <w:rPr>
          <w:rStyle w:val="indexentry"/>
        </w:rPr>
        <w:fldChar w:fldCharType="end"/>
      </w:r>
      <w:r>
        <w:rPr>
          <w:rStyle w:val="indexentry"/>
        </w:rPr>
        <w:t>&lt;cx "BY, terminator for, selma'o catalog"&gt;</w:t>
      </w:r>
      <w:r>
        <w:rPr>
          <w:rStyle w:val="indexentry"/>
        </w:rPr>
        <w:fldChar w:fldCharType="begin"/>
      </w:r>
      <w:r>
        <w:instrText>xe "</w:instrText>
      </w:r>
      <w:r>
        <w:rPr>
          <w:rStyle w:val="xeentry"/>
        </w:rPr>
        <w:instrText>BY selma’o: terminator for</w:instrText>
      </w:r>
      <w:r>
        <w:instrText>"</w:instrText>
      </w:r>
      <w:r>
        <w:rPr>
          <w:rStyle w:val="indexentry"/>
        </w:rPr>
        <w:fldChar w:fldCharType="end"/>
      </w:r>
      <w:r>
        <w:t>selma'o BOI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PA or BY. Used to terminate a number</w:t>
      </w:r>
      <w:r>
        <w:rPr>
          <w:rStyle w:val="deletedparamark"/>
        </w:rPr>
        <w:t xml:space="preserve"> </w:t>
      </w:r>
      <w:r>
        <w:t>(string of numeric cmavo) or lerfu string (string of letter words)</w:t>
      </w:r>
      <w:r>
        <w:rPr>
          <w:rStyle w:val="deletedparamark"/>
        </w:rPr>
        <w:t xml:space="preserve"> </w:t>
      </w:r>
      <w:r>
        <w:t>when another string immediately follows.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re du li vu'u voboi re</w:t>
      </w:r>
    </w:p>
    <w:p w:rsidR="00B72047" w:rsidRDefault="00B72047">
      <w:pPr>
        <w:pStyle w:val="examplescaled"/>
      </w:pPr>
      <w:r>
        <w:tab/>
        <w:t>The-number two equals the-number the-difference-of four-and two.</w:t>
      </w:r>
    </w:p>
    <w:p w:rsidR="00B72047" w:rsidRDefault="00B72047">
      <w:pPr>
        <w:pStyle w:val="Heading4"/>
      </w:pPr>
      <w:r>
        <w:rPr>
          <w:rStyle w:val="htmlcodes"/>
        </w:rPr>
        <w:t>&lt;/dl&gt;</w:t>
      </w:r>
      <w:r>
        <w:rPr>
          <w:rStyle w:val="indexentry"/>
        </w:rPr>
        <w:t>&lt;lx "BU, selma'o catalog"&gt;</w:t>
      </w:r>
      <w:r>
        <w:rPr>
          <w:rStyle w:val="indexentry"/>
        </w:rPr>
        <w:fldChar w:fldCharType="begin"/>
      </w:r>
      <w:r>
        <w:instrText>xe "</w:instrText>
      </w:r>
      <w:r>
        <w:rPr>
          <w:rStyle w:val="xeentry"/>
        </w:rPr>
        <w:instrText>BU selma’o</w:instrText>
      </w:r>
      <w:r>
        <w:instrText>"</w:instrText>
      </w:r>
      <w:r>
        <w:rPr>
          <w:rStyle w:val="indexentry"/>
        </w:rPr>
        <w:fldChar w:fldCharType="end"/>
      </w:r>
      <w:r>
        <w:rPr>
          <w:rStyle w:val="indexentry"/>
        </w:rPr>
        <w:t>&lt;cx "letter, making a word into, selma'o catalog"&gt;</w:t>
      </w:r>
      <w:r>
        <w:rPr>
          <w:rStyle w:val="indexentry"/>
        </w:rPr>
        <w:fldChar w:fldCharType="begin"/>
      </w:r>
      <w:r>
        <w:instrText>xe "</w:instrText>
      </w:r>
      <w:r>
        <w:rPr>
          <w:rStyle w:val="xeentry"/>
        </w:rPr>
        <w:instrText>letter: making a word into</w:instrText>
      </w:r>
      <w:r>
        <w:instrText>"</w:instrText>
      </w:r>
      <w:r>
        <w:rPr>
          <w:rStyle w:val="indexentry"/>
        </w:rPr>
        <w:fldChar w:fldCharType="end"/>
      </w:r>
      <w:r>
        <w:t>selma'o BU (</w:t>
      </w:r>
      <w:r>
        <w:rPr>
          <w:rStyle w:val="htmlcodes"/>
        </w:rPr>
        <w:t>&lt;a href=chap17.html&gt;</w:t>
      </w:r>
      <w:r>
        <w:t>Chapter 17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suffix which can be attached to any word, typically a word</w:t>
      </w:r>
      <w:r>
        <w:rPr>
          <w:rStyle w:val="deletedparamark"/>
        </w:rPr>
        <w:t xml:space="preserve"> </w:t>
      </w:r>
      <w:r>
        <w:t>representing a letter of the alphabet or else a name, to make a word</w:t>
      </w:r>
      <w:r>
        <w:rPr>
          <w:rStyle w:val="deletedparamark"/>
        </w:rPr>
        <w:t xml:space="preserve"> </w:t>
      </w:r>
      <w:r>
        <w:t>for a symbol or a different letter of the alpha</w:t>
      </w:r>
      <w:r>
        <w:softHyphen/>
        <w:t>bet. In particular, attached</w:t>
      </w:r>
      <w:r>
        <w:rPr>
          <w:rStyle w:val="deletedparamark"/>
        </w:rPr>
        <w:t xml:space="preserve"> </w:t>
      </w:r>
      <w:r>
        <w:t>to single-vowel cmavo to make words for vowel letters.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.abu .ebu .ibu .obu .ubu .ybu</w:t>
      </w:r>
    </w:p>
    <w:p w:rsidR="00B72047" w:rsidRDefault="00B72047">
      <w:pPr>
        <w:pStyle w:val="examplescaled"/>
      </w:pPr>
      <w:r>
        <w:tab/>
        <w:t>a, e, i, o, u, y.</w:t>
      </w:r>
    </w:p>
    <w:p w:rsidR="00B72047" w:rsidRDefault="00B72047">
      <w:pPr>
        <w:pStyle w:val="Heading4"/>
        <w:spacing w:before="0"/>
      </w:pPr>
      <w:r>
        <w:rPr>
          <w:rStyle w:val="htmlcodes"/>
          <w:vanish w:val="0"/>
        </w:rPr>
        <w:br w:type="page"/>
      </w:r>
      <w:r>
        <w:rPr>
          <w:rStyle w:val="htmlcodes"/>
        </w:rPr>
        <w:t>&lt;/dl&gt;</w:t>
      </w:r>
      <w:r>
        <w:rPr>
          <w:rStyle w:val="indexentry"/>
        </w:rPr>
        <w:t>&lt;lx "BY, selma'o catalog"&gt;</w:t>
      </w:r>
      <w:r>
        <w:rPr>
          <w:rStyle w:val="indexentry"/>
        </w:rPr>
        <w:fldChar w:fldCharType="begin"/>
      </w:r>
      <w:r>
        <w:instrText>xe "</w:instrText>
      </w:r>
      <w:r>
        <w:rPr>
          <w:rStyle w:val="xeentry"/>
        </w:rPr>
        <w:instrText>BY selma’o</w:instrText>
      </w:r>
      <w:r>
        <w:instrText>"</w:instrText>
      </w:r>
      <w:r>
        <w:rPr>
          <w:rStyle w:val="indexentry"/>
        </w:rPr>
        <w:fldChar w:fldCharType="end"/>
      </w:r>
      <w:r>
        <w:rPr>
          <w:rStyle w:val="indexentry"/>
        </w:rPr>
        <w:t>&lt;cx "letters, selma'o catalog"&gt;</w:t>
      </w:r>
      <w:r>
        <w:rPr>
          <w:rStyle w:val="indexentry"/>
        </w:rPr>
        <w:fldChar w:fldCharType="begin"/>
      </w:r>
      <w:r>
        <w:instrText>xe "</w:instrText>
      </w:r>
      <w:r>
        <w:rPr>
          <w:rStyle w:val="xeentry"/>
        </w:rPr>
        <w:instrText>letters</w:instrText>
      </w:r>
      <w:r>
        <w:instrText>"</w:instrText>
      </w:r>
      <w:r>
        <w:rPr>
          <w:rStyle w:val="indexentry"/>
        </w:rPr>
        <w:fldChar w:fldCharType="end"/>
      </w:r>
      <w:r>
        <w:t>selma'o BY (</w:t>
      </w:r>
      <w:r>
        <w:rPr>
          <w:rStyle w:val="htmlcodes"/>
        </w:rPr>
        <w:t>&lt;a href=chap17.html&gt;</w:t>
      </w:r>
      <w:r>
        <w:t>Chapter 17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Words representing the letters of the Lojban alphabet, plus various</w:t>
      </w:r>
      <w:r>
        <w:rPr>
          <w:rStyle w:val="deletedparamark"/>
        </w:rPr>
        <w:t xml:space="preserve"> </w:t>
      </w:r>
      <w:r>
        <w:t>shift words which al</w:t>
      </w:r>
      <w:r>
        <w:softHyphen/>
        <w:t>ter the interpretation of other letter words. Terminated by BOI.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.abu tavla .by le la .ibymym. skami</w:t>
      </w:r>
    </w:p>
    <w:p w:rsidR="00B72047" w:rsidRDefault="00B72047">
      <w:pPr>
        <w:pStyle w:val="examplescaled"/>
      </w:pPr>
      <w:r>
        <w:tab/>
        <w:t>A talks-to B about-the of-IBM computers.</w:t>
      </w:r>
    </w:p>
    <w:p w:rsidR="00B72047" w:rsidRDefault="00B72047">
      <w:pPr>
        <w:pStyle w:val="examplescaled"/>
      </w:pPr>
      <w:r>
        <w:tab/>
        <w:t>A talks to B about IBM computers.</w:t>
      </w:r>
    </w:p>
    <w:p w:rsidR="00B72047" w:rsidRDefault="00B72047">
      <w:pPr>
        <w:pStyle w:val="Heading4"/>
      </w:pPr>
      <w:r>
        <w:rPr>
          <w:rStyle w:val="htmlcodes"/>
        </w:rPr>
        <w:t>&lt;/dl&gt;</w:t>
      </w:r>
      <w:r>
        <w:rPr>
          <w:rStyle w:val="indexentry"/>
        </w:rPr>
        <w:t>&lt;lx "CAI, selma'o catalog"&gt;</w:t>
      </w:r>
      <w:r>
        <w:rPr>
          <w:rStyle w:val="indexentry"/>
        </w:rPr>
        <w:fldChar w:fldCharType="begin"/>
      </w:r>
      <w:r>
        <w:instrText>xe "</w:instrText>
      </w:r>
      <w:r>
        <w:rPr>
          <w:rStyle w:val="xeentry"/>
        </w:rPr>
        <w:instrText>CAI selma’o</w:instrText>
      </w:r>
      <w:r>
        <w:instrText>"</w:instrText>
      </w:r>
      <w:r>
        <w:rPr>
          <w:rStyle w:val="indexentry"/>
        </w:rPr>
        <w:fldChar w:fldCharType="end"/>
      </w:r>
      <w:r>
        <w:rPr>
          <w:rStyle w:val="indexentry"/>
        </w:rPr>
        <w:t>&lt;cx "emotion, marking intensity of, selma'o catalog"&gt;</w:t>
      </w:r>
      <w:r>
        <w:rPr>
          <w:rStyle w:val="indexentry"/>
        </w:rPr>
        <w:fldChar w:fldCharType="begin"/>
      </w:r>
      <w:r>
        <w:instrText>xe "</w:instrText>
      </w:r>
      <w:r>
        <w:rPr>
          <w:rStyle w:val="xeentry"/>
        </w:rPr>
        <w:instrText>emotions: marking intensity of</w:instrText>
      </w:r>
      <w:r>
        <w:instrText>"</w:instrText>
      </w:r>
      <w:r>
        <w:rPr>
          <w:rStyle w:val="indexentry"/>
        </w:rPr>
        <w:fldChar w:fldCharType="end"/>
      </w:r>
      <w:r>
        <w:t>selma'o CAI (</w:t>
      </w:r>
      <w:r>
        <w:rPr>
          <w:rStyle w:val="htmlcodes"/>
        </w:rPr>
        <w:t>&lt;a href=chap13.html&gt;</w:t>
      </w:r>
      <w:r>
        <w:t>Chapter 13</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intensity of an emotion: maximum,</w:t>
      </w:r>
      <w:r>
        <w:rPr>
          <w:rStyle w:val="deletedparamark"/>
        </w:rPr>
        <w:t xml:space="preserve"> </w:t>
      </w:r>
      <w:r>
        <w:t>strong, weak, or not at all. Typically follows another particle</w:t>
      </w:r>
      <w:r>
        <w:rPr>
          <w:rStyle w:val="deletedparamark"/>
        </w:rPr>
        <w:t xml:space="preserve"> </w:t>
      </w:r>
      <w:r>
        <w:t>which specifies the emotion.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.ei cai mi klama le zarci</w:t>
      </w:r>
    </w:p>
    <w:p w:rsidR="00B72047" w:rsidRDefault="00B72047">
      <w:pPr>
        <w:pStyle w:val="examplescaled"/>
      </w:pPr>
      <w:r>
        <w:tab/>
        <w:t>[Obligation!] [Intense!] I go-to the market.</w:t>
      </w:r>
    </w:p>
    <w:p w:rsidR="00B72047" w:rsidRDefault="00B72047">
      <w:pPr>
        <w:pStyle w:val="examplescaled"/>
      </w:pPr>
      <w:r>
        <w:tab/>
        <w:t>I must go to the market.</w:t>
      </w:r>
    </w:p>
    <w:p w:rsidR="00B72047" w:rsidRDefault="00B72047">
      <w:pPr>
        <w:pStyle w:val="Heading4"/>
      </w:pPr>
      <w:r>
        <w:rPr>
          <w:rStyle w:val="htmlcodes"/>
        </w:rPr>
        <w:t>&lt;/dl&gt;</w:t>
      </w:r>
      <w:r>
        <w:rPr>
          <w:rStyle w:val="indexentry"/>
        </w:rPr>
        <w:t>&lt;lx "CAhA, selma'o catalog"&gt;</w:t>
      </w:r>
      <w:r>
        <w:rPr>
          <w:rStyle w:val="indexentry"/>
        </w:rPr>
        <w:fldChar w:fldCharType="begin"/>
      </w:r>
      <w:r>
        <w:instrText>xe "</w:instrText>
      </w:r>
      <w:r>
        <w:rPr>
          <w:rStyle w:val="xeentry"/>
        </w:rPr>
        <w:instrText>CAhA selma’o</w:instrText>
      </w:r>
      <w:r>
        <w:instrText>"</w:instrText>
      </w:r>
      <w:r>
        <w:rPr>
          <w:rStyle w:val="indexentry"/>
        </w:rPr>
        <w:fldChar w:fldCharType="end"/>
      </w:r>
      <w:r>
        <w:rPr>
          <w:rStyle w:val="indexentry"/>
        </w:rPr>
        <w:t>&lt;cx "actuality, marking, selma'o catalog"&gt;</w:t>
      </w:r>
      <w:r>
        <w:rPr>
          <w:rStyle w:val="indexentry"/>
        </w:rPr>
        <w:fldChar w:fldCharType="begin"/>
      </w:r>
      <w:r>
        <w:instrText>xe "</w:instrText>
      </w:r>
      <w:r>
        <w:rPr>
          <w:rStyle w:val="xeentry"/>
        </w:rPr>
        <w:instrText>actuality: marking</w:instrText>
      </w:r>
      <w:r>
        <w:instrText>"</w:instrText>
      </w:r>
      <w:r>
        <w:rPr>
          <w:rStyle w:val="indexentry"/>
        </w:rPr>
        <w:fldChar w:fldCharType="end"/>
      </w:r>
      <w:r>
        <w:t>selma'o CAhA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whether a bridi refers to an actual fact, a potential</w:t>
      </w:r>
      <w:r>
        <w:rPr>
          <w:rStyle w:val="deletedparamark"/>
        </w:rPr>
        <w:t xml:space="preserve"> </w:t>
      </w:r>
      <w:r>
        <w:t>(achieved or not), or merely an innate capability.</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ro datka ka'e flulimna</w:t>
      </w:r>
    </w:p>
    <w:p w:rsidR="00B72047" w:rsidRDefault="00B72047">
      <w:pPr>
        <w:pStyle w:val="examplescaled"/>
      </w:pPr>
      <w:r>
        <w:tab/>
        <w:t>all ducks [capability] are-float-swimmers</w:t>
      </w:r>
    </w:p>
    <w:p w:rsidR="00B72047" w:rsidRDefault="00B72047">
      <w:pPr>
        <w:pStyle w:val="examplescaled"/>
      </w:pPr>
      <w:r>
        <w:tab/>
        <w:t>All ducks have the capability of swimming by floating.</w:t>
      </w:r>
    </w:p>
    <w:p w:rsidR="00B72047" w:rsidRDefault="00B72047">
      <w:pPr>
        <w:pStyle w:val="Heading4"/>
      </w:pPr>
      <w:r>
        <w:rPr>
          <w:rStyle w:val="htmlcodes"/>
        </w:rPr>
        <w:t>&lt;/dl&gt;</w:t>
      </w:r>
      <w:r>
        <w:rPr>
          <w:rStyle w:val="indexentry"/>
        </w:rPr>
        <w:t>&lt;lx "CEI, selma'o catalog"&gt;</w:t>
      </w:r>
      <w:r>
        <w:rPr>
          <w:rStyle w:val="indexentry"/>
        </w:rPr>
        <w:fldChar w:fldCharType="begin"/>
      </w:r>
      <w:r>
        <w:instrText>xe "</w:instrText>
      </w:r>
      <w:r>
        <w:rPr>
          <w:rStyle w:val="xeentry"/>
        </w:rPr>
        <w:instrText>CEI selma’o</w:instrText>
      </w:r>
      <w:r>
        <w:instrText>"</w:instrText>
      </w:r>
      <w:r>
        <w:rPr>
          <w:rStyle w:val="indexentry"/>
        </w:rPr>
        <w:fldChar w:fldCharType="end"/>
      </w:r>
      <w:r>
        <w:rPr>
          <w:rStyle w:val="indexentry"/>
        </w:rPr>
        <w:t>&lt;cx "selbri assignment, selma'o catalog"&gt;</w:t>
      </w:r>
      <w:r>
        <w:rPr>
          <w:rStyle w:val="indexentry"/>
        </w:rPr>
        <w:fldChar w:fldCharType="begin"/>
      </w:r>
      <w:r>
        <w:instrText>xe "</w:instrText>
      </w:r>
      <w:r>
        <w:rPr>
          <w:rStyle w:val="xeentry"/>
        </w:rPr>
        <w:instrText>selbri assignment</w:instrText>
      </w:r>
      <w:r>
        <w:instrText>"</w:instrText>
      </w:r>
      <w:r>
        <w:rPr>
          <w:rStyle w:val="indexentry"/>
        </w:rPr>
        <w:fldChar w:fldCharType="end"/>
      </w:r>
      <w:r>
        <w:t>selma'o CEI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Assigns a selbri definition to one of the five pro-bridi gismu: “broda”,</w:t>
      </w:r>
      <w:r>
        <w:rPr>
          <w:rStyle w:val="deletedparamark"/>
        </w:rPr>
        <w:t xml:space="preserve"> “</w:t>
      </w:r>
      <w:r>
        <w:t>brode”, “brodi”, “brodo”, or “brodu”, for later use.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ti slasi je mlatu bo cidja lante gacri cei broda</w:t>
      </w:r>
    </w:p>
    <w:p w:rsidR="00B72047" w:rsidRDefault="00B72047">
      <w:pPr>
        <w:pStyle w:val="examplescaled"/>
      </w:pPr>
      <w:r>
        <w:tab/>
      </w:r>
      <w:r>
        <w:tab/>
        <w:t>.i le crino broda cu barda  .i le xunre broda cu cmalu</w:t>
      </w:r>
    </w:p>
    <w:p w:rsidR="00B72047" w:rsidRDefault="00B72047">
      <w:pPr>
        <w:pStyle w:val="examplescaled"/>
      </w:pPr>
      <w:r>
        <w:tab/>
        <w:t>This is a plastic cat-food can cover, or thingy.</w:t>
      </w:r>
    </w:p>
    <w:p w:rsidR="00B72047" w:rsidRDefault="00B72047">
      <w:pPr>
        <w:pStyle w:val="examplescaled"/>
      </w:pPr>
      <w:r>
        <w:tab/>
      </w:r>
      <w:r>
        <w:tab/>
        <w:t>The green thingy is large.  The red thingy is small.</w:t>
      </w:r>
    </w:p>
    <w:p w:rsidR="00B72047" w:rsidRDefault="00B72047">
      <w:pPr>
        <w:pStyle w:val="Heading4"/>
      </w:pPr>
      <w:r>
        <w:rPr>
          <w:rStyle w:val="htmlcodes"/>
        </w:rPr>
        <w:t>&lt;/dl&gt;</w:t>
      </w:r>
      <w:r>
        <w:rPr>
          <w:rStyle w:val="indexentry"/>
        </w:rPr>
        <w:t>&lt;lx "CEhE, selma'o catalog"&gt;</w:t>
      </w:r>
      <w:r>
        <w:rPr>
          <w:rStyle w:val="indexentry"/>
        </w:rPr>
        <w:fldChar w:fldCharType="begin"/>
      </w:r>
      <w:r>
        <w:instrText>xe "</w:instrText>
      </w:r>
      <w:r>
        <w:rPr>
          <w:rStyle w:val="xeentry"/>
        </w:rPr>
        <w:instrText>CEhE selma’o</w:instrText>
      </w:r>
      <w:r>
        <w:instrText>"</w:instrText>
      </w:r>
      <w:r>
        <w:rPr>
          <w:rStyle w:val="indexentry"/>
        </w:rPr>
        <w:fldChar w:fldCharType="end"/>
      </w:r>
      <w:r>
        <w:rPr>
          <w:rStyle w:val="indexentry"/>
        </w:rPr>
        <w:t>&lt;cx "termsets, selma'o catalog"&gt;</w:t>
      </w:r>
      <w:r>
        <w:rPr>
          <w:rStyle w:val="indexentry"/>
        </w:rPr>
        <w:fldChar w:fldCharType="begin"/>
      </w:r>
      <w:r>
        <w:instrText>xe "</w:instrText>
      </w:r>
      <w:r>
        <w:rPr>
          <w:rStyle w:val="xeentry"/>
        </w:rPr>
        <w:instrText>termsets</w:instrText>
      </w:r>
      <w:r>
        <w:instrText>"</w:instrText>
      </w:r>
      <w:r>
        <w:rPr>
          <w:rStyle w:val="indexentry"/>
        </w:rPr>
        <w:fldChar w:fldCharType="end"/>
      </w:r>
      <w:r>
        <w:t>selma'o CEhE (</w:t>
      </w:r>
      <w:r>
        <w:rPr>
          <w:rStyle w:val="htmlcodes"/>
        </w:rPr>
        <w:t>&lt;a href=chap14.html&gt;</w:t>
      </w:r>
      <w:r>
        <w:t>Chapter 14</w:t>
      </w:r>
      <w:r>
        <w:rPr>
          <w:rStyle w:val="htmlcodes"/>
        </w:rPr>
        <w:t>&lt;/a&gt;</w:t>
      </w:r>
      <w:r>
        <w:t xml:space="preserve">, </w:t>
      </w:r>
      <w:r>
        <w:rPr>
          <w:rStyle w:val="htmlcodes"/>
        </w:rPr>
        <w:t>&lt;a href=chap16.html&gt;</w:t>
      </w:r>
      <w:r>
        <w:t>Chapter 16</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Joins multiple terms into a termset. Termsets are used to associate</w:t>
      </w:r>
      <w:r>
        <w:rPr>
          <w:rStyle w:val="deletedparamark"/>
        </w:rPr>
        <w:t xml:space="preserve"> </w:t>
      </w:r>
      <w:r>
        <w:t>several terms for log</w:t>
      </w:r>
      <w:r>
        <w:t>i</w:t>
      </w:r>
      <w:r>
        <w:softHyphen/>
        <w:t>cal connectives, for equal quantifier scope, or</w:t>
      </w:r>
      <w:r>
        <w:rPr>
          <w:rStyle w:val="deletedparamark"/>
        </w:rPr>
        <w:t xml:space="preserve"> </w:t>
      </w:r>
      <w:r>
        <w:t>for special constructs in tenses.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ce'e do pe'e je la djan. ce'e la djeimyz. cu pendo</w:t>
      </w:r>
    </w:p>
    <w:p w:rsidR="00B72047" w:rsidRDefault="00B72047">
      <w:pPr>
        <w:pStyle w:val="examplescaled"/>
      </w:pPr>
      <w:r>
        <w:tab/>
        <w:t>I [,] you [joint] and John [,] James are-friends-of.</w:t>
      </w:r>
    </w:p>
    <w:p w:rsidR="00B72047" w:rsidRDefault="00B72047">
      <w:pPr>
        <w:pStyle w:val="examplescaled"/>
      </w:pPr>
      <w:r>
        <w:tab/>
        <w:t>I am a friend of you, and John are a friend of James.</w:t>
      </w:r>
    </w:p>
    <w:p w:rsidR="00B72047" w:rsidRDefault="00B72047">
      <w:pPr>
        <w:pStyle w:val="Heading4"/>
      </w:pPr>
      <w:r>
        <w:rPr>
          <w:rStyle w:val="htmlcodes"/>
        </w:rPr>
        <w:t>&lt;/dl&gt;</w:t>
      </w:r>
      <w:r>
        <w:rPr>
          <w:rStyle w:val="indexentry"/>
        </w:rPr>
        <w:t>&lt;lx "CO, selma'o catalog"&gt;</w:t>
      </w:r>
      <w:r>
        <w:rPr>
          <w:rStyle w:val="indexentry"/>
        </w:rPr>
        <w:fldChar w:fldCharType="begin"/>
      </w:r>
      <w:r>
        <w:instrText>xe "</w:instrText>
      </w:r>
      <w:r>
        <w:rPr>
          <w:rStyle w:val="xeentry"/>
        </w:rPr>
        <w:instrText>CO selma’o</w:instrText>
      </w:r>
      <w:r>
        <w:instrText>"</w:instrText>
      </w:r>
      <w:r>
        <w:rPr>
          <w:rStyle w:val="indexentry"/>
        </w:rPr>
        <w:fldChar w:fldCharType="end"/>
      </w:r>
      <w:r>
        <w:rPr>
          <w:rStyle w:val="indexentry"/>
        </w:rPr>
        <w:t>&lt;cx "inverting a tanru, selma'o catalog"&gt;</w:t>
      </w:r>
      <w:r>
        <w:rPr>
          <w:rStyle w:val="indexentry"/>
        </w:rPr>
        <w:fldChar w:fldCharType="begin"/>
      </w:r>
      <w:r>
        <w:instrText>xe "</w:instrText>
      </w:r>
      <w:r>
        <w:rPr>
          <w:rStyle w:val="xeentry"/>
        </w:rPr>
        <w:instrText>inverting a tanru</w:instrText>
      </w:r>
      <w:r>
        <w:instrText>"</w:instrText>
      </w:r>
      <w:r>
        <w:rPr>
          <w:rStyle w:val="indexentry"/>
        </w:rPr>
        <w:fldChar w:fldCharType="end"/>
      </w:r>
      <w:r>
        <w:t>selma'o CO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inserted between the components of a tanru, inverts it, so that</w:t>
      </w:r>
      <w:r>
        <w:rPr>
          <w:rStyle w:val="deletedparamark"/>
        </w:rPr>
        <w:t xml:space="preserve"> </w:t>
      </w:r>
      <w:r>
        <w:t>the following tanru unit modifies the previous one.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troci co klama le zarci le zdani</w:t>
      </w:r>
    </w:p>
    <w:p w:rsidR="00B72047" w:rsidRDefault="00B72047">
      <w:pPr>
        <w:pStyle w:val="examplescaled"/>
      </w:pPr>
      <w:r>
        <w:tab/>
        <w:t>I am-a-trier of-type (goer to-the market from-the house).</w:t>
      </w:r>
    </w:p>
    <w:p w:rsidR="00B72047" w:rsidRDefault="00B72047">
      <w:pPr>
        <w:pStyle w:val="examplescaled"/>
      </w:pPr>
      <w:r>
        <w:tab/>
        <w:t>I try to go to the market from the house.</w:t>
      </w:r>
    </w:p>
    <w:p w:rsidR="00B72047" w:rsidRDefault="00B72047">
      <w:pPr>
        <w:pStyle w:val="Heading4"/>
      </w:pPr>
      <w:r>
        <w:rPr>
          <w:rStyle w:val="htmlcodes"/>
        </w:rPr>
        <w:t>&lt;/dl&gt;</w:t>
      </w:r>
      <w:r>
        <w:rPr>
          <w:rStyle w:val="indexentry"/>
        </w:rPr>
        <w:t>&lt;lx "COI, selma'o catalog"&gt;</w:t>
      </w:r>
      <w:r>
        <w:rPr>
          <w:rStyle w:val="indexentry"/>
        </w:rPr>
        <w:fldChar w:fldCharType="begin"/>
      </w:r>
      <w:r>
        <w:instrText>xe "</w:instrText>
      </w:r>
      <w:r>
        <w:rPr>
          <w:rStyle w:val="xeentry"/>
        </w:rPr>
        <w:instrText>COI selma’o</w:instrText>
      </w:r>
      <w:r>
        <w:instrText>"</w:instrText>
      </w:r>
      <w:r>
        <w:rPr>
          <w:rStyle w:val="indexentry"/>
        </w:rPr>
        <w:fldChar w:fldCharType="end"/>
      </w:r>
      <w:r>
        <w:rPr>
          <w:rStyle w:val="indexentry"/>
        </w:rPr>
        <w:t>&lt;cx "vocative, selma'o catalog"&gt;</w:t>
      </w:r>
      <w:r>
        <w:rPr>
          <w:rStyle w:val="indexentry"/>
        </w:rPr>
        <w:fldChar w:fldCharType="begin"/>
      </w:r>
      <w:r>
        <w:instrText>xe "</w:instrText>
      </w:r>
      <w:r>
        <w:rPr>
          <w:rStyle w:val="xeentry"/>
        </w:rPr>
        <w:instrText>vocative</w:instrText>
      </w:r>
      <w:r>
        <w:instrText>"</w:instrText>
      </w:r>
      <w:r>
        <w:rPr>
          <w:rStyle w:val="indexentry"/>
        </w:rPr>
        <w:fldChar w:fldCharType="end"/>
      </w:r>
      <w:r>
        <w:t>selma'o COI (</w:t>
      </w:r>
      <w:r>
        <w:rPr>
          <w:rStyle w:val="htmlcodes"/>
        </w:rPr>
        <w:t>&lt;a href=chap6.html&gt;</w:t>
      </w:r>
      <w:r>
        <w:t>Chapter 6</w:t>
      </w:r>
      <w:r>
        <w:rPr>
          <w:rStyle w:val="htmlcodes"/>
        </w:rPr>
        <w:t>&lt;/a&gt;</w:t>
      </w:r>
      <w:r>
        <w:t xml:space="preserve">, </w:t>
      </w:r>
      <w:r>
        <w:rPr>
          <w:rStyle w:val="htmlcodes"/>
        </w:rPr>
        <w:t>&lt;a href=chap13.html&gt;</w:t>
      </w:r>
      <w:r>
        <w:t>Chapter 13</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prefixed to a name, description, or sumti, produces a vocative:</w:t>
      </w:r>
      <w:r>
        <w:rPr>
          <w:rStyle w:val="deletedparamark"/>
        </w:rPr>
        <w:t xml:space="preserve"> </w:t>
      </w:r>
      <w:r>
        <w:t>a phrase which ind</w:t>
      </w:r>
      <w:r>
        <w:t>i</w:t>
      </w:r>
      <w:r>
        <w:softHyphen/>
        <w:t>cates who is being spoken to (or who is speaking).</w:t>
      </w:r>
      <w:r>
        <w:rPr>
          <w:rStyle w:val="deletedparamark"/>
        </w:rPr>
        <w:t xml:space="preserve"> </w:t>
      </w:r>
      <w:r>
        <w:t>Vocatives are used in conversa</w:t>
      </w:r>
      <w:r>
        <w:softHyphen/>
        <w:t>tional protocols, including greeting,</w:t>
      </w:r>
      <w:r>
        <w:rPr>
          <w:rStyle w:val="deletedparamark"/>
        </w:rPr>
        <w:t xml:space="preserve"> </w:t>
      </w:r>
      <w:r>
        <w:t>farewell, and radio communication. Terminated by DOhU. See DOI.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coi .djan.</w:t>
      </w:r>
    </w:p>
    <w:p w:rsidR="00B72047" w:rsidRDefault="00B72047">
      <w:pPr>
        <w:pStyle w:val="examplescaled"/>
      </w:pPr>
      <w:r>
        <w:tab/>
        <w:t>Greetings, John.</w:t>
      </w:r>
    </w:p>
    <w:p w:rsidR="00B72047" w:rsidRDefault="00B72047">
      <w:pPr>
        <w:pStyle w:val="Heading4"/>
      </w:pPr>
      <w:r>
        <w:rPr>
          <w:rStyle w:val="htmlcodes"/>
        </w:rPr>
        <w:t>&lt;/dl&gt;</w:t>
      </w:r>
      <w:r>
        <w:rPr>
          <w:rStyle w:val="indexentry"/>
        </w:rPr>
        <w:t>&lt;lx "CU, selma'o catalog"&gt;</w:t>
      </w:r>
      <w:r>
        <w:rPr>
          <w:rStyle w:val="indexentry"/>
        </w:rPr>
        <w:fldChar w:fldCharType="begin"/>
      </w:r>
      <w:r>
        <w:instrText>xe "</w:instrText>
      </w:r>
      <w:r>
        <w:rPr>
          <w:rStyle w:val="xeentry"/>
        </w:rPr>
        <w:instrText>CU selma’o</w:instrText>
      </w:r>
      <w:r>
        <w:instrText>"</w:instrText>
      </w:r>
      <w:r>
        <w:rPr>
          <w:rStyle w:val="indexentry"/>
        </w:rPr>
        <w:fldChar w:fldCharType="end"/>
      </w:r>
      <w:r>
        <w:rPr>
          <w:rStyle w:val="indexentry"/>
        </w:rPr>
        <w:t>&lt;cx "selbri separator, selma'o catalog"&gt;</w:t>
      </w:r>
      <w:r>
        <w:rPr>
          <w:rStyle w:val="indexentry"/>
        </w:rPr>
        <w:fldChar w:fldCharType="begin"/>
      </w:r>
      <w:r>
        <w:instrText>xe "</w:instrText>
      </w:r>
      <w:r>
        <w:rPr>
          <w:rStyle w:val="xeentry"/>
        </w:rPr>
        <w:instrText>selbri separator</w:instrText>
      </w:r>
      <w:r>
        <w:instrText>"</w:instrText>
      </w:r>
      <w:r>
        <w:rPr>
          <w:rStyle w:val="indexentry"/>
        </w:rPr>
        <w:fldChar w:fldCharType="end"/>
      </w:r>
      <w:r>
        <w:t>selma'o CU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Separates the selbri of a bridi from any sumti which precede it.</w:t>
      </w:r>
      <w:r>
        <w:rPr>
          <w:rStyle w:val="deletedparamark"/>
        </w:rPr>
        <w:t xml:space="preserve"> </w:t>
      </w:r>
      <w:r>
        <w:t>Never strictly necessary, but often useful to eliminate various</w:t>
      </w:r>
      <w:r>
        <w:rPr>
          <w:rStyle w:val="deletedparamark"/>
        </w:rPr>
        <w:t xml:space="preserve"> </w:t>
      </w:r>
      <w:r>
        <w:t>elidable terminators.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gerku cu klama le zarci</w:t>
      </w:r>
    </w:p>
    <w:p w:rsidR="00B72047" w:rsidRDefault="00B72047">
      <w:pPr>
        <w:pStyle w:val="examplescaled"/>
      </w:pPr>
      <w:r>
        <w:tab/>
        <w:t>The dog goes to-the store.</w:t>
      </w:r>
    </w:p>
    <w:p w:rsidR="00B72047" w:rsidRDefault="00B72047">
      <w:pPr>
        <w:pStyle w:val="Heading4"/>
      </w:pPr>
      <w:r>
        <w:rPr>
          <w:rStyle w:val="htmlcodes"/>
        </w:rPr>
        <w:t>&lt;/dl&gt;</w:t>
      </w:r>
      <w:r>
        <w:rPr>
          <w:rStyle w:val="indexentry"/>
        </w:rPr>
        <w:t>&lt;lx "CUhE, selma'o catalog"&gt;</w:t>
      </w:r>
      <w:r>
        <w:rPr>
          <w:rStyle w:val="indexentry"/>
        </w:rPr>
        <w:fldChar w:fldCharType="begin"/>
      </w:r>
      <w:r>
        <w:instrText>xe "</w:instrText>
      </w:r>
      <w:r>
        <w:rPr>
          <w:rStyle w:val="xeentry"/>
        </w:rPr>
        <w:instrText>CUhE selma’o</w:instrText>
      </w:r>
      <w:r>
        <w:instrText>"</w:instrText>
      </w:r>
      <w:r>
        <w:rPr>
          <w:rStyle w:val="indexentry"/>
        </w:rPr>
        <w:fldChar w:fldCharType="end"/>
      </w:r>
      <w:r>
        <w:rPr>
          <w:rStyle w:val="indexentry"/>
        </w:rPr>
        <w:t>&lt;cx "question, modal, selma'o catalog"&gt;</w:t>
      </w:r>
      <w:r>
        <w:rPr>
          <w:rStyle w:val="indexentry"/>
        </w:rPr>
        <w:fldChar w:fldCharType="begin"/>
      </w:r>
      <w:r>
        <w:instrText>xe "</w:instrText>
      </w:r>
      <w:r>
        <w:rPr>
          <w:rStyle w:val="xeentry"/>
        </w:rPr>
        <w:instrText>questions: modal</w:instrText>
      </w:r>
      <w:r>
        <w:instrText>"</w:instrText>
      </w:r>
      <w:r>
        <w:rPr>
          <w:rStyle w:val="indexentry"/>
        </w:rPr>
        <w:fldChar w:fldCharType="end"/>
      </w:r>
      <w:r>
        <w:t>selma'o CUhE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Forms a question which asks when, where, or in what mode the</w:t>
      </w:r>
      <w:r>
        <w:rPr>
          <w:rStyle w:val="deletedparamark"/>
        </w:rPr>
        <w:t xml:space="preserve"> </w:t>
      </w:r>
      <w:r>
        <w:t>rest of the bridi is true. See PU, CAhA, TAhE, and BAI.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do cu'e klama le zarci</w:t>
      </w:r>
    </w:p>
    <w:p w:rsidR="00B72047" w:rsidRDefault="00B72047">
      <w:pPr>
        <w:pStyle w:val="examplescaled"/>
      </w:pPr>
      <w:r>
        <w:tab/>
        <w:t>You [When/Where?] go to-the store?</w:t>
      </w:r>
    </w:p>
    <w:p w:rsidR="00B72047" w:rsidRDefault="00B72047">
      <w:pPr>
        <w:pStyle w:val="examplescaled"/>
      </w:pPr>
      <w:r>
        <w:tab/>
        <w:t>When are you going to the store?</w:t>
      </w:r>
    </w:p>
    <w:p w:rsidR="00B72047" w:rsidRDefault="00B72047">
      <w:pPr>
        <w:pStyle w:val="Heading4"/>
      </w:pPr>
      <w:r>
        <w:rPr>
          <w:rStyle w:val="htmlcodes"/>
        </w:rPr>
        <w:t>&lt;/dl&gt;</w:t>
      </w:r>
      <w:r>
        <w:rPr>
          <w:rStyle w:val="indexentry"/>
        </w:rPr>
        <w:t>&lt;lx "DAhO, selma'o catalog"&gt;</w:t>
      </w:r>
      <w:r>
        <w:rPr>
          <w:rStyle w:val="indexentry"/>
        </w:rPr>
        <w:fldChar w:fldCharType="begin"/>
      </w:r>
      <w:r>
        <w:instrText>xe "</w:instrText>
      </w:r>
      <w:r>
        <w:rPr>
          <w:rStyle w:val="xeentry"/>
        </w:rPr>
        <w:instrText>DAhO selma’o</w:instrText>
      </w:r>
      <w:r>
        <w:instrText>"</w:instrText>
      </w:r>
      <w:r>
        <w:rPr>
          <w:rStyle w:val="indexentry"/>
        </w:rPr>
        <w:fldChar w:fldCharType="end"/>
      </w:r>
      <w:r>
        <w:rPr>
          <w:rStyle w:val="indexentry"/>
        </w:rPr>
        <w:t>&lt;cx "cancellation of sumti assignment, selma'o catalog"&gt;</w:t>
      </w:r>
      <w:r>
        <w:rPr>
          <w:rStyle w:val="indexentry"/>
        </w:rPr>
        <w:fldChar w:fldCharType="begin"/>
      </w:r>
      <w:r>
        <w:instrText>xe "</w:instrText>
      </w:r>
      <w:r>
        <w:rPr>
          <w:rStyle w:val="xeentry"/>
        </w:rPr>
        <w:instrText>cancellation of sumti assignment</w:instrText>
      </w:r>
      <w:r>
        <w:instrText>"</w:instrText>
      </w:r>
      <w:r>
        <w:rPr>
          <w:rStyle w:val="indexentry"/>
        </w:rPr>
        <w:fldChar w:fldCharType="end"/>
      </w:r>
      <w:r>
        <w:rPr>
          <w:rStyle w:val="indexentry"/>
        </w:rPr>
        <w:t>&lt;cx "sumti assignment, cancellation of, selma'o catalog"&gt;</w:t>
      </w:r>
      <w:r>
        <w:rPr>
          <w:rStyle w:val="indexentry"/>
        </w:rPr>
        <w:fldChar w:fldCharType="begin"/>
      </w:r>
      <w:r>
        <w:instrText>xe "</w:instrText>
      </w:r>
      <w:r>
        <w:rPr>
          <w:rStyle w:val="xeentry"/>
        </w:rPr>
        <w:instrText>sumti assignment: cancellation of</w:instrText>
      </w:r>
      <w:r>
        <w:instrText>"</w:instrText>
      </w:r>
      <w:r>
        <w:rPr>
          <w:rStyle w:val="indexentry"/>
        </w:rPr>
        <w:fldChar w:fldCharType="end"/>
      </w:r>
      <w:r>
        <w:t>selma'o DAhO (</w:t>
      </w:r>
      <w:r>
        <w:rPr>
          <w:rStyle w:val="htmlcodes"/>
        </w:rPr>
        <w:t>&lt;a href=chap7.html&gt;</w:t>
      </w:r>
      <w:r>
        <w:t>Chapter 7</w:t>
      </w:r>
      <w:r>
        <w:rPr>
          <w:rStyle w:val="htmlcodes"/>
        </w:rPr>
        <w:t>&lt;/a&gt;</w:t>
      </w:r>
      <w:r>
        <w:t>)</w:t>
      </w:r>
    </w:p>
    <w:p w:rsidR="00B72047" w:rsidRDefault="00B72047">
      <w:pPr>
        <w:pStyle w:val="resumedafterexample"/>
        <w:rPr>
          <w:rStyle w:val="htmlparacode"/>
        </w:rPr>
      </w:pPr>
      <w:r>
        <w:rPr>
          <w:rStyle w:val="htmlparacode"/>
        </w:rPr>
        <w:t>&lt;p&gt;</w:t>
      </w:r>
    </w:p>
    <w:p w:rsidR="00B72047" w:rsidRDefault="00B72047">
      <w:pPr>
        <w:pStyle w:val="resumedafterexample"/>
      </w:pPr>
      <w:r>
        <w:t>Cancels the assigned significance of all sumti cmavo (of selma'o KOhA)</w:t>
      </w:r>
      <w:r>
        <w:rPr>
          <w:rStyle w:val="deletedparamark"/>
        </w:rPr>
        <w:t xml:space="preserve"> </w:t>
      </w:r>
      <w:r>
        <w:t>and bridi cmavo (of selma'o GOhA).</w:t>
      </w:r>
    </w:p>
    <w:p w:rsidR="00B72047" w:rsidRDefault="00B72047">
      <w:pPr>
        <w:rPr>
          <w:rStyle w:val="htmlparacode"/>
        </w:rPr>
      </w:pPr>
      <w:r>
        <w:rPr>
          <w:rStyle w:val="htmlparacode"/>
        </w:rPr>
        <w:t>&lt;p&gt;</w:t>
      </w:r>
    </w:p>
    <w:p w:rsidR="00B72047" w:rsidRDefault="00B72047">
      <w:pPr>
        <w:pStyle w:val="Heading4"/>
      </w:pPr>
      <w:r>
        <w:rPr>
          <w:rStyle w:val="indexentry"/>
        </w:rPr>
        <w:t>&lt;lx "DOI, selma'o catalog"&gt;</w:t>
      </w:r>
      <w:r>
        <w:rPr>
          <w:rStyle w:val="indexentry"/>
        </w:rPr>
        <w:fldChar w:fldCharType="begin"/>
      </w:r>
      <w:r>
        <w:instrText>xe "</w:instrText>
      </w:r>
      <w:r>
        <w:rPr>
          <w:rStyle w:val="xeentry"/>
        </w:rPr>
        <w:instrText>DOI selma’o</w:instrText>
      </w:r>
      <w:r>
        <w:instrText>"</w:instrText>
      </w:r>
      <w:r>
        <w:rPr>
          <w:rStyle w:val="indexentry"/>
        </w:rPr>
        <w:fldChar w:fldCharType="end"/>
      </w:r>
      <w:r>
        <w:rPr>
          <w:rStyle w:val="indexentry"/>
        </w:rPr>
        <w:t>&lt;cx "vocative indicator, selma'o catalog"&gt;</w:t>
      </w:r>
      <w:r>
        <w:rPr>
          <w:rStyle w:val="indexentry"/>
        </w:rPr>
        <w:fldChar w:fldCharType="begin"/>
      </w:r>
      <w:r>
        <w:instrText>xe "</w:instrText>
      </w:r>
      <w:r>
        <w:rPr>
          <w:rStyle w:val="xeentry"/>
        </w:rPr>
        <w:instrText>vocative indicator</w:instrText>
      </w:r>
      <w:r>
        <w:instrText>"</w:instrText>
      </w:r>
      <w:r>
        <w:rPr>
          <w:rStyle w:val="indexentry"/>
        </w:rPr>
        <w:fldChar w:fldCharType="end"/>
      </w:r>
      <w:r>
        <w:t>selma'o DOI (</w:t>
      </w:r>
      <w:r>
        <w:rPr>
          <w:rStyle w:val="htmlcodes"/>
        </w:rPr>
        <w:t>&lt;a href=chap13.html&gt;</w:t>
      </w:r>
      <w:r>
        <w:t>Chapter 13</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The non-specific vocative indicator. May be used with or without COI. No</w:t>
      </w:r>
      <w:r>
        <w:rPr>
          <w:rStyle w:val="deletedparamark"/>
        </w:rPr>
        <w:t xml:space="preserve"> </w:t>
      </w:r>
      <w:r>
        <w:t>pause is re</w:t>
      </w:r>
      <w:r>
        <w:softHyphen/>
        <w:t>quired between “doi” and a following name. See DOhU.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doi frank. mi tavla do</w:t>
      </w:r>
    </w:p>
    <w:p w:rsidR="00B72047" w:rsidRDefault="00B72047">
      <w:pPr>
        <w:pStyle w:val="examplescaled"/>
      </w:pPr>
      <w:r>
        <w:tab/>
        <w:t>O Frank, I speak-to you.</w:t>
      </w:r>
    </w:p>
    <w:p w:rsidR="00B72047" w:rsidRDefault="00B72047">
      <w:pPr>
        <w:pStyle w:val="examplescaled"/>
      </w:pPr>
      <w:r>
        <w:tab/>
        <w:t>Frank, I'm talking to you.</w:t>
      </w:r>
    </w:p>
    <w:p w:rsidR="00B72047" w:rsidRDefault="00B72047">
      <w:pPr>
        <w:pStyle w:val="Heading4"/>
      </w:pPr>
      <w:r>
        <w:rPr>
          <w:rStyle w:val="htmlcodes"/>
        </w:rPr>
        <w:t>&lt;/dl&gt;</w:t>
      </w:r>
      <w:r>
        <w:rPr>
          <w:rStyle w:val="indexentry"/>
        </w:rPr>
        <w:t>&lt;lx "DOhU, selma'o catalog"&gt;</w:t>
      </w:r>
      <w:r>
        <w:rPr>
          <w:rStyle w:val="indexentry"/>
        </w:rPr>
        <w:fldChar w:fldCharType="begin"/>
      </w:r>
      <w:r>
        <w:instrText>xe "</w:instrText>
      </w:r>
      <w:r>
        <w:rPr>
          <w:rStyle w:val="xeentry"/>
        </w:rPr>
        <w:instrText>DOhU selma’o</w:instrText>
      </w:r>
      <w:r>
        <w:instrText>"</w:instrText>
      </w:r>
      <w:r>
        <w:rPr>
          <w:rStyle w:val="indexentry"/>
        </w:rPr>
        <w:fldChar w:fldCharType="end"/>
      </w:r>
      <w:r>
        <w:rPr>
          <w:rStyle w:val="indexentry"/>
        </w:rPr>
        <w:t>&lt;cx "COI, terminator for, selma'o catalog"&gt;</w:t>
      </w:r>
      <w:r>
        <w:rPr>
          <w:rStyle w:val="indexentry"/>
        </w:rPr>
        <w:fldChar w:fldCharType="begin"/>
      </w:r>
      <w:r>
        <w:instrText>xe "</w:instrText>
      </w:r>
      <w:r>
        <w:rPr>
          <w:rStyle w:val="xeentry"/>
        </w:rPr>
        <w:instrText>COI selma’o: terminator for</w:instrText>
      </w:r>
      <w:r>
        <w:instrText>"</w:instrText>
      </w:r>
      <w:r>
        <w:rPr>
          <w:rStyle w:val="indexentry"/>
        </w:rPr>
        <w:fldChar w:fldCharType="end"/>
      </w:r>
      <w:r>
        <w:rPr>
          <w:rStyle w:val="indexentry"/>
        </w:rPr>
        <w:t>&lt;cx "DOI, terminator for, selma'o catalog"&gt;</w:t>
      </w:r>
      <w:r>
        <w:rPr>
          <w:rStyle w:val="indexentry"/>
        </w:rPr>
        <w:fldChar w:fldCharType="begin"/>
      </w:r>
      <w:r>
        <w:instrText>xe "</w:instrText>
      </w:r>
      <w:r>
        <w:rPr>
          <w:rStyle w:val="xeentry"/>
        </w:rPr>
        <w:instrText>DOI selma’o: terminator for</w:instrText>
      </w:r>
      <w:r>
        <w:instrText>"</w:instrText>
      </w:r>
      <w:r>
        <w:rPr>
          <w:rStyle w:val="indexentry"/>
        </w:rPr>
        <w:fldChar w:fldCharType="end"/>
      </w:r>
      <w:r>
        <w:t>selma'o DOhU (</w:t>
      </w:r>
      <w:r>
        <w:rPr>
          <w:rStyle w:val="htmlcodes"/>
        </w:rPr>
        <w:t>&lt;a href=chap13.html&gt;</w:t>
      </w:r>
      <w:r>
        <w:t>Chapter 13</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COI or DOI. Signals the end of a vocative.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coi do'u</w:t>
      </w:r>
    </w:p>
    <w:p w:rsidR="00B72047" w:rsidRDefault="00B72047">
      <w:pPr>
        <w:pStyle w:val="examplescaled"/>
      </w:pPr>
      <w:r>
        <w:tab/>
        <w:t>Greetings [terminator]</w:t>
      </w:r>
    </w:p>
    <w:p w:rsidR="00B72047" w:rsidRDefault="00B72047">
      <w:pPr>
        <w:pStyle w:val="examplescaled"/>
      </w:pPr>
      <w:r>
        <w:tab/>
        <w:t>Greetings, O unspecified one!</w:t>
      </w:r>
    </w:p>
    <w:p w:rsidR="00B72047" w:rsidRDefault="00B72047">
      <w:pPr>
        <w:pStyle w:val="Heading4"/>
        <w:spacing w:before="0"/>
      </w:pPr>
      <w:r>
        <w:rPr>
          <w:rStyle w:val="htmlcodes"/>
          <w:vanish w:val="0"/>
        </w:rPr>
        <w:br w:type="page"/>
      </w:r>
      <w:r>
        <w:rPr>
          <w:rStyle w:val="htmlcodes"/>
        </w:rPr>
        <w:t>&lt;/dl&gt;</w:t>
      </w:r>
      <w:r>
        <w:rPr>
          <w:rStyle w:val="indexentry"/>
        </w:rPr>
        <w:t>&lt;lx "FA, selma'o catalog"&gt;</w:t>
      </w:r>
      <w:r>
        <w:rPr>
          <w:rStyle w:val="indexentry"/>
        </w:rPr>
        <w:fldChar w:fldCharType="begin"/>
      </w:r>
      <w:r>
        <w:instrText>xe "</w:instrText>
      </w:r>
      <w:r>
        <w:rPr>
          <w:rStyle w:val="xeentry"/>
        </w:rPr>
        <w:instrText>FA selma’o</w:instrText>
      </w:r>
      <w:r>
        <w:instrText>"</w:instrText>
      </w:r>
      <w:r>
        <w:rPr>
          <w:rStyle w:val="indexentry"/>
        </w:rPr>
        <w:fldChar w:fldCharType="end"/>
      </w:r>
      <w:r>
        <w:rPr>
          <w:rStyle w:val="indexentry"/>
        </w:rPr>
        <w:t>&lt;cx "place number, specifying, selma'o catalog"&gt;</w:t>
      </w:r>
      <w:r>
        <w:rPr>
          <w:rStyle w:val="indexentry"/>
        </w:rPr>
        <w:fldChar w:fldCharType="begin"/>
      </w:r>
      <w:r>
        <w:instrText>xe "</w:instrText>
      </w:r>
      <w:r>
        <w:rPr>
          <w:rStyle w:val="xeentry"/>
        </w:rPr>
        <w:instrText>place number: specifying</w:instrText>
      </w:r>
      <w:r>
        <w:instrText>"</w:instrText>
      </w:r>
      <w:r>
        <w:rPr>
          <w:rStyle w:val="indexentry"/>
        </w:rPr>
        <w:fldChar w:fldCharType="end"/>
      </w:r>
      <w:r>
        <w:t>selma'o FA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Prefix for a sumti, indicating which numbered place in the</w:t>
      </w:r>
      <w:r>
        <w:rPr>
          <w:rStyle w:val="deletedparamark"/>
        </w:rPr>
        <w:t xml:space="preserve"> </w:t>
      </w:r>
      <w:r>
        <w:t>place structure the sumti b</w:t>
      </w:r>
      <w:r>
        <w:t>e</w:t>
      </w:r>
      <w:r>
        <w:softHyphen/>
        <w:t>longs in; overrides word order.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fa mi cu klama fi la .atlantas. fe la bastn. fo le dargu fu le karce</w:t>
      </w:r>
    </w:p>
    <w:p w:rsidR="00B72047" w:rsidRDefault="00B72047">
      <w:pPr>
        <w:pStyle w:val="examplescaled"/>
      </w:pPr>
      <w:r>
        <w:tab/>
        <w:t>x1= I   go   x3= Atlanta   x2= Boston   x4= the road   x5= the car.</w:t>
      </w:r>
    </w:p>
    <w:p w:rsidR="00B72047" w:rsidRDefault="00B72047">
      <w:pPr>
        <w:pStyle w:val="examplescaled"/>
      </w:pPr>
      <w:r>
        <w:tab/>
        <w:t>I go from Atlanta to Boston via the road using the car.</w:t>
      </w:r>
    </w:p>
    <w:p w:rsidR="00B72047" w:rsidRDefault="00B72047">
      <w:pPr>
        <w:pStyle w:val="Heading4"/>
      </w:pPr>
      <w:r>
        <w:rPr>
          <w:rStyle w:val="htmlcodes"/>
        </w:rPr>
        <w:t>&lt;/dl&gt;</w:t>
      </w:r>
      <w:r>
        <w:rPr>
          <w:rStyle w:val="indexentry"/>
        </w:rPr>
        <w:t>&lt;lx "FAhA, selma'o catalog"&gt;</w:t>
      </w:r>
      <w:r>
        <w:rPr>
          <w:rStyle w:val="indexentry"/>
        </w:rPr>
        <w:fldChar w:fldCharType="begin"/>
      </w:r>
      <w:r>
        <w:instrText>xe "</w:instrText>
      </w:r>
      <w:r>
        <w:rPr>
          <w:rStyle w:val="xeentry"/>
        </w:rPr>
        <w:instrText>FAhA selma’o</w:instrText>
      </w:r>
      <w:r>
        <w:instrText>"</w:instrText>
      </w:r>
      <w:r>
        <w:rPr>
          <w:rStyle w:val="indexentry"/>
        </w:rPr>
        <w:fldChar w:fldCharType="end"/>
      </w:r>
      <w:r>
        <w:rPr>
          <w:rStyle w:val="indexentry"/>
        </w:rPr>
        <w:t>&lt;cx "direction, spatial, selma'o catalog"&gt;</w:t>
      </w:r>
      <w:r>
        <w:rPr>
          <w:rStyle w:val="indexentry"/>
        </w:rPr>
        <w:fldChar w:fldCharType="begin"/>
      </w:r>
      <w:r>
        <w:instrText>xe "</w:instrText>
      </w:r>
      <w:r>
        <w:rPr>
          <w:rStyle w:val="xeentry"/>
        </w:rPr>
        <w:instrText>direction: spatial</w:instrText>
      </w:r>
      <w:r>
        <w:instrText>"</w:instrText>
      </w:r>
      <w:r>
        <w:rPr>
          <w:rStyle w:val="indexentry"/>
        </w:rPr>
        <w:fldChar w:fldCharType="end"/>
      </w:r>
      <w:r>
        <w:t>selma'o FAhA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the direction in which, or toward which (when marked with MOhI)</w:t>
      </w:r>
      <w:r>
        <w:rPr>
          <w:rStyle w:val="deletedparamark"/>
        </w:rPr>
        <w:t xml:space="preserve"> </w:t>
      </w:r>
      <w:r>
        <w:t>or along which (when prefixed by VEhA or VIhA) the action of the bridi takes</w:t>
      </w:r>
      <w:r>
        <w:rPr>
          <w:rStyle w:val="deletedparamark"/>
        </w:rPr>
        <w:t xml:space="preserve"> </w:t>
      </w:r>
      <w:r>
        <w:t>place.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nanmu zu'a batci le gerku</w:t>
      </w:r>
    </w:p>
    <w:p w:rsidR="00B72047" w:rsidRDefault="00B72047">
      <w:pPr>
        <w:pStyle w:val="examplescaled"/>
      </w:pPr>
      <w:r>
        <w:tab/>
        <w:t>The man [left] bites the dog.</w:t>
      </w:r>
    </w:p>
    <w:p w:rsidR="00B72047" w:rsidRDefault="00B72047">
      <w:pPr>
        <w:pStyle w:val="examplescaled"/>
      </w:pPr>
      <w:r>
        <w:tab/>
        <w:t>To my left, the man bites the dog.</w:t>
      </w:r>
    </w:p>
    <w:p w:rsidR="00B72047" w:rsidRDefault="00B72047">
      <w:pPr>
        <w:pStyle w:val="Heading4"/>
      </w:pPr>
      <w:r>
        <w:rPr>
          <w:rStyle w:val="htmlcodes"/>
        </w:rPr>
        <w:t>&lt;/dl&gt;</w:t>
      </w:r>
      <w:r>
        <w:rPr>
          <w:rStyle w:val="indexentry"/>
        </w:rPr>
        <w:t>&lt;lx "FAhO, selma'o catalog"&gt;</w:t>
      </w:r>
      <w:r>
        <w:rPr>
          <w:rStyle w:val="indexentry"/>
        </w:rPr>
        <w:fldChar w:fldCharType="begin"/>
      </w:r>
      <w:r>
        <w:instrText>xe "</w:instrText>
      </w:r>
      <w:r>
        <w:rPr>
          <w:rStyle w:val="xeentry"/>
        </w:rPr>
        <w:instrText>FAhO selma’o</w:instrText>
      </w:r>
      <w:r>
        <w:instrText>"</w:instrText>
      </w:r>
      <w:r>
        <w:rPr>
          <w:rStyle w:val="indexentry"/>
        </w:rPr>
        <w:fldChar w:fldCharType="end"/>
      </w:r>
      <w:r>
        <w:rPr>
          <w:rStyle w:val="indexentry"/>
        </w:rPr>
        <w:t>&lt;cx "end of text indicator, selma'o catalog"&gt;</w:t>
      </w:r>
      <w:r>
        <w:rPr>
          <w:rStyle w:val="indexentry"/>
        </w:rPr>
        <w:fldChar w:fldCharType="begin"/>
      </w:r>
      <w:r>
        <w:instrText>xe "</w:instrText>
      </w:r>
      <w:r>
        <w:rPr>
          <w:rStyle w:val="xeentry"/>
        </w:rPr>
        <w:instrText>end of text indicator</w:instrText>
      </w:r>
      <w:r>
        <w:instrText>"</w:instrText>
      </w:r>
      <w:r>
        <w:rPr>
          <w:rStyle w:val="indexentry"/>
        </w:rPr>
        <w:fldChar w:fldCharType="end"/>
      </w:r>
      <w:r>
        <w:t>selma'o FAhO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mechanical signal, outside the grammar, indicating that there</w:t>
      </w:r>
      <w:r>
        <w:rPr>
          <w:rStyle w:val="deletedparamark"/>
        </w:rPr>
        <w:t xml:space="preserve"> </w:t>
      </w:r>
      <w:r>
        <w:t>is no more text. Useful in talking to computers.</w:t>
      </w:r>
    </w:p>
    <w:p w:rsidR="00B72047" w:rsidRDefault="00B72047">
      <w:pPr>
        <w:rPr>
          <w:rStyle w:val="htmlparacode"/>
        </w:rPr>
      </w:pPr>
      <w:r>
        <w:rPr>
          <w:rStyle w:val="htmlparacode"/>
        </w:rPr>
        <w:t>&lt;p&gt;</w:t>
      </w:r>
    </w:p>
    <w:p w:rsidR="00B72047" w:rsidRDefault="00B72047">
      <w:pPr>
        <w:pStyle w:val="Heading4"/>
      </w:pPr>
      <w:r>
        <w:rPr>
          <w:rStyle w:val="indexentry"/>
        </w:rPr>
        <w:t>&lt;lx "FEhE, selma'o catalog"&gt;</w:t>
      </w:r>
      <w:r>
        <w:rPr>
          <w:rStyle w:val="indexentry"/>
        </w:rPr>
        <w:fldChar w:fldCharType="begin"/>
      </w:r>
      <w:r>
        <w:instrText>xe "</w:instrText>
      </w:r>
      <w:r>
        <w:rPr>
          <w:rStyle w:val="xeentry"/>
        </w:rPr>
        <w:instrText>FEhE selma’o</w:instrText>
      </w:r>
      <w:r>
        <w:instrText>"</w:instrText>
      </w:r>
      <w:r>
        <w:rPr>
          <w:rStyle w:val="indexentry"/>
        </w:rPr>
        <w:fldChar w:fldCharType="end"/>
      </w:r>
      <w:r>
        <w:rPr>
          <w:rStyle w:val="indexentry"/>
        </w:rPr>
        <w:t>&lt;cx "space indicator for interval modifiers, selma'o catalog"&gt;</w:t>
      </w:r>
      <w:r>
        <w:rPr>
          <w:rStyle w:val="indexentry"/>
        </w:rPr>
        <w:fldChar w:fldCharType="begin"/>
      </w:r>
      <w:r>
        <w:instrText>xe "</w:instrText>
      </w:r>
      <w:r>
        <w:rPr>
          <w:rStyle w:val="xeentry"/>
        </w:rPr>
        <w:instrText>space indicator for interval modifiers</w:instrText>
      </w:r>
      <w:r>
        <w:instrText>"</w:instrText>
      </w:r>
      <w:r>
        <w:rPr>
          <w:rStyle w:val="indexentry"/>
        </w:rPr>
        <w:fldChar w:fldCharType="end"/>
      </w:r>
      <w:r>
        <w:t>selma'o FEhE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that the following interval modifier (using TAhE, ROI, or</w:t>
      </w:r>
      <w:r>
        <w:rPr>
          <w:rStyle w:val="deletedparamark"/>
        </w:rPr>
        <w:t xml:space="preserve"> </w:t>
      </w:r>
      <w:r>
        <w:t>ZAhO) refers to space rather than time.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ko vi'i fe'e di'i sombo le gurni</w:t>
      </w:r>
    </w:p>
    <w:p w:rsidR="00B72047" w:rsidRDefault="00B72047">
      <w:pPr>
        <w:pStyle w:val="examplescaled"/>
      </w:pPr>
      <w:r>
        <w:tab/>
        <w:t>You-imperative [1-dimensional] [space] [regularly] sow the grain.</w:t>
      </w:r>
    </w:p>
    <w:p w:rsidR="00B72047" w:rsidRDefault="00B72047">
      <w:pPr>
        <w:pStyle w:val="examplescaled"/>
      </w:pPr>
      <w:r>
        <w:tab/>
        <w:t>Sow the grain in a line and evenly!</w:t>
      </w:r>
    </w:p>
    <w:p w:rsidR="00B72047" w:rsidRDefault="00B72047">
      <w:pPr>
        <w:pStyle w:val="Heading4"/>
      </w:pPr>
      <w:r>
        <w:rPr>
          <w:rStyle w:val="htmlcodes"/>
        </w:rPr>
        <w:t>&lt;/dl&gt;</w:t>
      </w:r>
      <w:r>
        <w:rPr>
          <w:rStyle w:val="indexentry"/>
        </w:rPr>
        <w:t>&lt;lx "FEhU, selma'o catalog"&gt;</w:t>
      </w:r>
      <w:r>
        <w:rPr>
          <w:rStyle w:val="indexentry"/>
        </w:rPr>
        <w:fldChar w:fldCharType="begin"/>
      </w:r>
      <w:r>
        <w:instrText>xe "</w:instrText>
      </w:r>
      <w:r>
        <w:rPr>
          <w:rStyle w:val="xeentry"/>
        </w:rPr>
        <w:instrText>FEhU selma’o</w:instrText>
      </w:r>
      <w:r>
        <w:instrText>"</w:instrText>
      </w:r>
      <w:r>
        <w:rPr>
          <w:rStyle w:val="indexentry"/>
        </w:rPr>
        <w:fldChar w:fldCharType="end"/>
      </w:r>
      <w:r>
        <w:rPr>
          <w:rStyle w:val="indexentry"/>
        </w:rPr>
        <w:t>&lt;cx "FIhO, terminator for, selma'o catalog"&gt;</w:t>
      </w:r>
      <w:r>
        <w:rPr>
          <w:rStyle w:val="indexentry"/>
        </w:rPr>
        <w:fldChar w:fldCharType="begin"/>
      </w:r>
      <w:r>
        <w:instrText>xe "</w:instrText>
      </w:r>
      <w:r>
        <w:rPr>
          <w:rStyle w:val="xeentry"/>
        </w:rPr>
        <w:instrText>FIhO selma’o: terminator for</w:instrText>
      </w:r>
      <w:r>
        <w:instrText>"</w:instrText>
      </w:r>
      <w:r>
        <w:rPr>
          <w:rStyle w:val="indexentry"/>
        </w:rPr>
        <w:fldChar w:fldCharType="end"/>
      </w:r>
      <w:r>
        <w:t>selma'o FEhU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FIhO. Indicates the end of an ad hoc</w:t>
      </w:r>
      <w:r>
        <w:rPr>
          <w:rStyle w:val="deletedparamark"/>
        </w:rPr>
        <w:t xml:space="preserve"> </w:t>
      </w:r>
      <w:r>
        <w:t>modal tag: the tagged sumti immediately follows.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do fi'o kanla [fe'u] le zunle</w:t>
      </w:r>
    </w:p>
    <w:p w:rsidR="00B72047" w:rsidRDefault="00B72047">
      <w:pPr>
        <w:pStyle w:val="examplescaled"/>
      </w:pPr>
      <w:r>
        <w:tab/>
        <w:t>I see you [modal] eye:  the left-thing</w:t>
      </w:r>
    </w:p>
    <w:p w:rsidR="00B72047" w:rsidRDefault="00B72047">
      <w:pPr>
        <w:pStyle w:val="examplescaled"/>
      </w:pPr>
      <w:r>
        <w:tab/>
        <w:t>I see you with my left eye.</w:t>
      </w:r>
    </w:p>
    <w:p w:rsidR="00B72047" w:rsidRDefault="00B72047">
      <w:pPr>
        <w:pStyle w:val="Heading4"/>
      </w:pPr>
      <w:r>
        <w:rPr>
          <w:rStyle w:val="htmlcodes"/>
        </w:rPr>
        <w:t>&lt;/dl&gt;</w:t>
      </w:r>
      <w:r>
        <w:rPr>
          <w:rStyle w:val="indexentry"/>
        </w:rPr>
        <w:t>&lt;lx "FIhO, selma'o catalog"&gt;</w:t>
      </w:r>
      <w:r>
        <w:rPr>
          <w:rStyle w:val="indexentry"/>
        </w:rPr>
        <w:fldChar w:fldCharType="begin"/>
      </w:r>
      <w:r>
        <w:instrText>xe "</w:instrText>
      </w:r>
      <w:r>
        <w:rPr>
          <w:rStyle w:val="xeentry"/>
        </w:rPr>
        <w:instrText>FIhO selma’o</w:instrText>
      </w:r>
      <w:r>
        <w:instrText>"</w:instrText>
      </w:r>
      <w:r>
        <w:rPr>
          <w:rStyle w:val="indexentry"/>
        </w:rPr>
        <w:fldChar w:fldCharType="end"/>
      </w:r>
      <w:r>
        <w:rPr>
          <w:rStyle w:val="indexentry"/>
        </w:rPr>
        <w:t>&lt;cx "selbri to modal converter, selma'o catalog"&gt;</w:t>
      </w:r>
      <w:r>
        <w:rPr>
          <w:rStyle w:val="indexentry"/>
        </w:rPr>
        <w:fldChar w:fldCharType="begin"/>
      </w:r>
      <w:r>
        <w:instrText>xe "</w:instrText>
      </w:r>
      <w:r>
        <w:rPr>
          <w:rStyle w:val="xeentry"/>
        </w:rPr>
        <w:instrText>selbri to modal converter</w:instrText>
      </w:r>
      <w:r>
        <w:instrText>"</w:instrText>
      </w:r>
      <w:r>
        <w:rPr>
          <w:rStyle w:val="indexentry"/>
        </w:rPr>
        <w:fldChar w:fldCharType="end"/>
      </w:r>
      <w:r>
        <w:rPr>
          <w:rStyle w:val="indexentry"/>
        </w:rPr>
        <w:t>&lt;cx "conversion, selbri to modal, selma'o catalog"&gt;</w:t>
      </w:r>
      <w:r>
        <w:rPr>
          <w:rStyle w:val="indexentry"/>
        </w:rPr>
        <w:fldChar w:fldCharType="begin"/>
      </w:r>
      <w:r>
        <w:instrText>xe "</w:instrText>
      </w:r>
      <w:r>
        <w:rPr>
          <w:rStyle w:val="xeentry"/>
        </w:rPr>
        <w:instrText>conversion of selbri to modal</w:instrText>
      </w:r>
      <w:r>
        <w:instrText>"</w:instrText>
      </w:r>
      <w:r>
        <w:rPr>
          <w:rStyle w:val="indexentry"/>
        </w:rPr>
        <w:fldChar w:fldCharType="end"/>
      </w:r>
      <w:r>
        <w:t>selma'o FIhO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placed before a selbri, transforms the selbri into a modal</w:t>
      </w:r>
      <w:r>
        <w:rPr>
          <w:rStyle w:val="deletedparamark"/>
        </w:rPr>
        <w:t xml:space="preserve"> </w:t>
      </w:r>
      <w:r>
        <w:t>tag, grammatically and semantically equivalent to a member of</w:t>
      </w:r>
      <w:r>
        <w:rPr>
          <w:rStyle w:val="deletedparamark"/>
        </w:rPr>
        <w:t xml:space="preserve"> </w:t>
      </w:r>
      <w:r>
        <w:t>selma'o BAI. Terminated by FEhU.</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do fi'o kanla le zunle</w:t>
      </w:r>
    </w:p>
    <w:p w:rsidR="00B72047" w:rsidRDefault="00B72047">
      <w:pPr>
        <w:pStyle w:val="examplescaled"/>
      </w:pPr>
      <w:r>
        <w:tab/>
        <w:t>I see you with eye the left-thing.</w:t>
      </w:r>
    </w:p>
    <w:p w:rsidR="00B72047" w:rsidRDefault="00B72047">
      <w:pPr>
        <w:pStyle w:val="examplescaled"/>
      </w:pPr>
      <w:r>
        <w:tab/>
        <w:t>I see you with my left eye.</w:t>
      </w:r>
    </w:p>
    <w:p w:rsidR="00B72047" w:rsidRDefault="00B72047">
      <w:pPr>
        <w:pStyle w:val="Heading4"/>
        <w:spacing w:before="0"/>
      </w:pPr>
      <w:r>
        <w:rPr>
          <w:rStyle w:val="htmlcodes"/>
          <w:vanish w:val="0"/>
        </w:rPr>
        <w:br w:type="page"/>
      </w:r>
      <w:r>
        <w:rPr>
          <w:rStyle w:val="htmlcodes"/>
        </w:rPr>
        <w:t>&lt;/dl&gt;</w:t>
      </w:r>
      <w:r>
        <w:rPr>
          <w:rStyle w:val="indexentry"/>
        </w:rPr>
        <w:t>&lt;lx "FOI, selma'o catalog"&gt;</w:t>
      </w:r>
      <w:r>
        <w:rPr>
          <w:rStyle w:val="indexentry"/>
        </w:rPr>
        <w:fldChar w:fldCharType="begin"/>
      </w:r>
      <w:r>
        <w:instrText>xe "</w:instrText>
      </w:r>
      <w:r>
        <w:rPr>
          <w:rStyle w:val="xeentry"/>
        </w:rPr>
        <w:instrText>FOI selma’o</w:instrText>
      </w:r>
      <w:r>
        <w:instrText>"</w:instrText>
      </w:r>
      <w:r>
        <w:rPr>
          <w:rStyle w:val="indexentry"/>
        </w:rPr>
        <w:fldChar w:fldCharType="end"/>
      </w:r>
      <w:r>
        <w:rPr>
          <w:rStyle w:val="indexentry"/>
        </w:rPr>
        <w:t>&lt;cx "TEI, terminator for, selma'o catalog"&gt;</w:t>
      </w:r>
      <w:r>
        <w:rPr>
          <w:rStyle w:val="indexentry"/>
        </w:rPr>
        <w:fldChar w:fldCharType="begin"/>
      </w:r>
      <w:r>
        <w:instrText>xe "</w:instrText>
      </w:r>
      <w:r>
        <w:rPr>
          <w:rStyle w:val="xeentry"/>
        </w:rPr>
        <w:instrText>TEI selma’o: terminator for</w:instrText>
      </w:r>
      <w:r>
        <w:instrText>"</w:instrText>
      </w:r>
      <w:r>
        <w:rPr>
          <w:rStyle w:val="indexentry"/>
        </w:rPr>
        <w:fldChar w:fldCharType="end"/>
      </w:r>
      <w:r>
        <w:t>selma'o FOI (</w:t>
      </w:r>
      <w:r>
        <w:rPr>
          <w:rStyle w:val="htmlcodes"/>
        </w:rPr>
        <w:t>&lt;a href=chap17.html&gt;</w:t>
      </w:r>
      <w:r>
        <w:t>Chapter 17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Signals the end of a compound alphabet letter word that begins with</w:t>
      </w:r>
      <w:r>
        <w:rPr>
          <w:rStyle w:val="deletedparamark"/>
        </w:rPr>
        <w:t xml:space="preserve"> </w:t>
      </w:r>
      <w:r>
        <w:t>TEI. Not an eli</w:t>
      </w:r>
      <w:r>
        <w:softHyphen/>
        <w:t>dable terminator.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tei .ebu .akut. bu foi</w:t>
      </w:r>
    </w:p>
    <w:p w:rsidR="00B72047" w:rsidRDefault="00B72047">
      <w:pPr>
        <w:pStyle w:val="examplescaled"/>
      </w:pPr>
      <w:r>
        <w:tab/>
        <w:t>(“e” “acute” )</w:t>
      </w:r>
    </w:p>
    <w:p w:rsidR="00B72047" w:rsidRDefault="00B72047">
      <w:pPr>
        <w:pStyle w:val="examplescaled"/>
      </w:pPr>
      <w:r>
        <w:tab/>
        <w:t>the letter “e” with an acute accent</w:t>
      </w:r>
    </w:p>
    <w:p w:rsidR="00B72047" w:rsidRDefault="00B72047">
      <w:pPr>
        <w:pStyle w:val="Heading4"/>
      </w:pPr>
      <w:r>
        <w:rPr>
          <w:rStyle w:val="htmlcodes"/>
        </w:rPr>
        <w:t>&lt;/dl&gt;</w:t>
      </w:r>
      <w:r>
        <w:rPr>
          <w:rStyle w:val="indexentry"/>
        </w:rPr>
        <w:t>&lt;lx "FUhA, selma'o catalog"&gt;</w:t>
      </w:r>
      <w:r>
        <w:rPr>
          <w:rStyle w:val="indexentry"/>
        </w:rPr>
        <w:fldChar w:fldCharType="begin"/>
      </w:r>
      <w:r>
        <w:instrText>xe "</w:instrText>
      </w:r>
      <w:r>
        <w:rPr>
          <w:rStyle w:val="xeentry"/>
        </w:rPr>
        <w:instrText>FUhA selma’o</w:instrText>
      </w:r>
      <w:r>
        <w:instrText>"</w:instrText>
      </w:r>
      <w:r>
        <w:rPr>
          <w:rStyle w:val="indexentry"/>
        </w:rPr>
        <w:fldChar w:fldCharType="end"/>
      </w:r>
      <w:r>
        <w:rPr>
          <w:rStyle w:val="indexentry"/>
        </w:rPr>
        <w:t>&lt;cx "reverse Polish indicator, selma'o catalog"&gt;</w:t>
      </w:r>
      <w:r>
        <w:rPr>
          <w:rStyle w:val="indexentry"/>
        </w:rPr>
        <w:fldChar w:fldCharType="begin"/>
      </w:r>
      <w:r>
        <w:instrText>xe "</w:instrText>
      </w:r>
      <w:r>
        <w:rPr>
          <w:rStyle w:val="xeentry"/>
        </w:rPr>
        <w:instrText>reverse Polish notation: indicator</w:instrText>
      </w:r>
      <w:r>
        <w:instrText>"</w:instrText>
      </w:r>
      <w:r>
        <w:rPr>
          <w:rStyle w:val="indexentry"/>
        </w:rPr>
        <w:fldChar w:fldCharType="end"/>
      </w:r>
      <w:r>
        <w:t>selma'o FUhA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that the following mathematical expression is to be</w:t>
      </w:r>
      <w:r>
        <w:rPr>
          <w:rStyle w:val="deletedparamark"/>
        </w:rPr>
        <w:t xml:space="preserve"> </w:t>
      </w:r>
      <w:r>
        <w:t>interpreted as reverse Polish (RP), a mode in which mathematical</w:t>
      </w:r>
      <w:r>
        <w:rPr>
          <w:rStyle w:val="deletedparamark"/>
        </w:rPr>
        <w:t xml:space="preserve"> </w:t>
      </w:r>
      <w:r>
        <w:t>operators follow their operands.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fu'a reboi re[boi] su'i du li vo</w:t>
      </w:r>
    </w:p>
    <w:p w:rsidR="00B72047" w:rsidRDefault="00B72047">
      <w:pPr>
        <w:pStyle w:val="examplescaled"/>
      </w:pPr>
      <w:r>
        <w:tab/>
        <w:t>The-number [RP!] two, two, plus equals the-number four.</w:t>
      </w:r>
    </w:p>
    <w:p w:rsidR="00B72047" w:rsidRDefault="00B72047">
      <w:pPr>
        <w:pStyle w:val="examplescaled"/>
      </w:pPr>
      <w:r>
        <w:tab/>
      </w:r>
      <w:r>
        <w:rPr>
          <w:rStyle w:val="math"/>
        </w:rPr>
        <w:t>2 + 2 = 4</w:t>
      </w:r>
    </w:p>
    <w:p w:rsidR="00B72047" w:rsidRDefault="00B72047">
      <w:pPr>
        <w:pStyle w:val="Heading4"/>
      </w:pPr>
      <w:r>
        <w:rPr>
          <w:rStyle w:val="htmlcodes"/>
        </w:rPr>
        <w:t>&lt;/dl&gt;</w:t>
      </w:r>
      <w:r>
        <w:rPr>
          <w:rStyle w:val="indexentry"/>
        </w:rPr>
        <w:t>&lt;lx "FUhE, selma'o catalog"&gt;</w:t>
      </w:r>
      <w:r>
        <w:rPr>
          <w:rStyle w:val="indexentry"/>
        </w:rPr>
        <w:fldChar w:fldCharType="begin"/>
      </w:r>
      <w:r>
        <w:instrText>xe "</w:instrText>
      </w:r>
      <w:r>
        <w:rPr>
          <w:rStyle w:val="xeentry"/>
        </w:rPr>
        <w:instrText>FUhE selma’o</w:instrText>
      </w:r>
      <w:r>
        <w:instrText>"</w:instrText>
      </w:r>
      <w:r>
        <w:rPr>
          <w:rStyle w:val="indexentry"/>
        </w:rPr>
        <w:fldChar w:fldCharType="end"/>
      </w:r>
      <w:r>
        <w:rPr>
          <w:rStyle w:val="indexentry"/>
        </w:rPr>
        <w:t>&lt;cx "UI, extending the scope of, selma'o catalog"&gt;</w:t>
      </w:r>
      <w:r>
        <w:rPr>
          <w:rStyle w:val="indexentry"/>
        </w:rPr>
        <w:fldChar w:fldCharType="begin"/>
      </w:r>
      <w:r>
        <w:instrText>xe "</w:instrText>
      </w:r>
      <w:r>
        <w:rPr>
          <w:rStyle w:val="xeentry"/>
        </w:rPr>
        <w:instrText>UI selma’o: extending the scope of</w:instrText>
      </w:r>
      <w:r>
        <w:instrText>"</w:instrText>
      </w:r>
      <w:r>
        <w:rPr>
          <w:rStyle w:val="indexentry"/>
        </w:rPr>
        <w:fldChar w:fldCharType="end"/>
      </w:r>
      <w:r>
        <w:t>selma'o FUhE (</w:t>
      </w:r>
      <w:r>
        <w:rPr>
          <w:rStyle w:val="htmlcodes"/>
        </w:rPr>
        <w:t>&lt;a href=chap19.html&gt;</w:t>
      </w:r>
      <w:r>
        <w:t>Chapter 19</w:t>
      </w:r>
      <w:r>
        <w:rPr>
          <w:rStyle w:val="htmlcodes"/>
        </w:rPr>
        <w:t>&lt;/a&gt;</w:t>
      </w:r>
      <w:r>
        <w:t>)</w:t>
      </w:r>
    </w:p>
    <w:p w:rsidR="00B72047" w:rsidRDefault="00B72047">
      <w:pPr>
        <w:pStyle w:val="resumedafterexample"/>
        <w:rPr>
          <w:rStyle w:val="htmlparacode"/>
        </w:rPr>
      </w:pPr>
      <w:r>
        <w:rPr>
          <w:rStyle w:val="htmlparacode"/>
        </w:rPr>
        <w:t>&lt;p&gt;</w:t>
      </w:r>
    </w:p>
    <w:p w:rsidR="00B72047" w:rsidRDefault="00B72047">
      <w:pPr>
        <w:pStyle w:val="resumedafterexample"/>
      </w:pPr>
      <w:r>
        <w:t>Indicates that the following indicator(s) of selma'o</w:t>
      </w:r>
      <w:r>
        <w:rPr>
          <w:rStyle w:val="deletedparamark"/>
        </w:rPr>
        <w:t xml:space="preserve"> </w:t>
      </w:r>
      <w:r>
        <w:t>UI affect not the preceding word, as usual, but rather</w:t>
      </w:r>
      <w:r>
        <w:rPr>
          <w:rStyle w:val="deletedparamark"/>
        </w:rPr>
        <w:t xml:space="preserve"> </w:t>
      </w:r>
      <w:r>
        <w:t>all following words until a FUhO.</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le fu'e .ia blanu zdani fu'o ponse</w:t>
      </w:r>
    </w:p>
    <w:p w:rsidR="00B72047" w:rsidRDefault="00B72047">
      <w:pPr>
        <w:pStyle w:val="examplescaled"/>
      </w:pPr>
      <w:r>
        <w:tab/>
        <w:t>I see the [start] [belief] blue house [end] possessor.</w:t>
      </w:r>
    </w:p>
    <w:p w:rsidR="00B72047" w:rsidRDefault="00B72047">
      <w:pPr>
        <w:pStyle w:val="examplescaled"/>
      </w:pPr>
      <w:r>
        <w:tab/>
        <w:t>I see the owner of a blue house, or what I believe to be one.</w:t>
      </w:r>
    </w:p>
    <w:p w:rsidR="00B72047" w:rsidRDefault="00B72047">
      <w:pPr>
        <w:pStyle w:val="Heading4"/>
      </w:pPr>
      <w:r>
        <w:rPr>
          <w:rStyle w:val="htmlcodes"/>
        </w:rPr>
        <w:t>&lt;/dl&gt;</w:t>
      </w:r>
      <w:r>
        <w:rPr>
          <w:rStyle w:val="indexentry"/>
        </w:rPr>
        <w:t>&lt;lx "FUhO, selma'o catalog"&gt;</w:t>
      </w:r>
      <w:r>
        <w:rPr>
          <w:rStyle w:val="indexentry"/>
        </w:rPr>
        <w:fldChar w:fldCharType="begin"/>
      </w:r>
      <w:r>
        <w:instrText>xe "</w:instrText>
      </w:r>
      <w:r>
        <w:rPr>
          <w:rStyle w:val="xeentry"/>
        </w:rPr>
        <w:instrText>FUhO selma’o</w:instrText>
      </w:r>
      <w:r>
        <w:instrText>"</w:instrText>
      </w:r>
      <w:r>
        <w:rPr>
          <w:rStyle w:val="indexentry"/>
        </w:rPr>
        <w:fldChar w:fldCharType="end"/>
      </w:r>
      <w:r>
        <w:rPr>
          <w:rStyle w:val="indexentry"/>
        </w:rPr>
        <w:t>&lt;cx "cancellation of indicators, selma'o catalog"&gt;</w:t>
      </w:r>
      <w:r>
        <w:rPr>
          <w:rStyle w:val="indexentry"/>
        </w:rPr>
        <w:fldChar w:fldCharType="begin"/>
      </w:r>
      <w:r>
        <w:instrText>xe "</w:instrText>
      </w:r>
      <w:r>
        <w:rPr>
          <w:rStyle w:val="xeentry"/>
        </w:rPr>
        <w:instrText>cancellation of indicators</w:instrText>
      </w:r>
      <w:r>
        <w:instrText>"</w:instrText>
      </w:r>
      <w:r>
        <w:rPr>
          <w:rStyle w:val="indexentry"/>
        </w:rPr>
        <w:fldChar w:fldCharType="end"/>
      </w:r>
      <w:r>
        <w:rPr>
          <w:rStyle w:val="indexentry"/>
        </w:rPr>
        <w:t>&lt;cx "indicators, cancellation of, selma'o catalog"&gt;</w:t>
      </w:r>
      <w:r>
        <w:rPr>
          <w:rStyle w:val="indexentry"/>
        </w:rPr>
        <w:fldChar w:fldCharType="begin"/>
      </w:r>
      <w:r>
        <w:instrText>xe "</w:instrText>
      </w:r>
      <w:r>
        <w:rPr>
          <w:rStyle w:val="xeentry"/>
        </w:rPr>
        <w:instrText>indicators: cancellation of</w:instrText>
      </w:r>
      <w:r>
        <w:instrText>"</w:instrText>
      </w:r>
      <w:r>
        <w:rPr>
          <w:rStyle w:val="indexentry"/>
        </w:rPr>
        <w:fldChar w:fldCharType="end"/>
      </w:r>
      <w:r>
        <w:t>selma'o FUhO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Cancels all indicators of selma'o UI which are in effect.</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le fu'e .ia blanu zdani fu'o ponse</w:t>
      </w:r>
    </w:p>
    <w:p w:rsidR="00B72047" w:rsidRDefault="00B72047">
      <w:pPr>
        <w:pStyle w:val="examplescaled"/>
      </w:pPr>
      <w:r>
        <w:tab/>
        <w:t>I see the [start] [belief] blue house [end] possessor.</w:t>
      </w:r>
    </w:p>
    <w:p w:rsidR="00B72047" w:rsidRDefault="00B72047">
      <w:pPr>
        <w:pStyle w:val="examplescaled"/>
      </w:pPr>
      <w:r>
        <w:tab/>
        <w:t>I see the owner of what I believe to be a blue house.</w:t>
      </w:r>
    </w:p>
    <w:p w:rsidR="00B72047" w:rsidRDefault="00B72047">
      <w:pPr>
        <w:pStyle w:val="Heading4"/>
      </w:pPr>
      <w:r>
        <w:rPr>
          <w:rStyle w:val="htmlcodes"/>
        </w:rPr>
        <w:t>&lt;/dl&gt;</w:t>
      </w:r>
      <w:r>
        <w:rPr>
          <w:rStyle w:val="indexentry"/>
        </w:rPr>
        <w:t>&lt;lx "GA, selma'o catalog"&gt;</w:t>
      </w:r>
      <w:r>
        <w:rPr>
          <w:rStyle w:val="indexentry"/>
        </w:rPr>
        <w:fldChar w:fldCharType="begin"/>
      </w:r>
      <w:r>
        <w:instrText>xe "</w:instrText>
      </w:r>
      <w:r>
        <w:rPr>
          <w:rStyle w:val="xeentry"/>
        </w:rPr>
        <w:instrText>GA selma’o</w:instrText>
      </w:r>
      <w:r>
        <w:instrText>"</w:instrText>
      </w:r>
      <w:r>
        <w:rPr>
          <w:rStyle w:val="indexentry"/>
        </w:rPr>
        <w:fldChar w:fldCharType="end"/>
      </w:r>
      <w:r>
        <w:rPr>
          <w:rStyle w:val="indexentry"/>
        </w:rPr>
        <w:t>&lt;cx "connection, forethought, selma'o catalog"&gt;</w:t>
      </w:r>
      <w:r>
        <w:rPr>
          <w:rStyle w:val="indexentry"/>
        </w:rPr>
        <w:fldChar w:fldCharType="begin"/>
      </w:r>
      <w:r>
        <w:instrText>xe "</w:instrText>
      </w:r>
      <w:r>
        <w:rPr>
          <w:rStyle w:val="xeentry"/>
        </w:rPr>
        <w:instrText>connection: forethought</w:instrText>
      </w:r>
      <w:r>
        <w:instrText>"</w:instrText>
      </w:r>
      <w:r>
        <w:rPr>
          <w:rStyle w:val="indexentry"/>
        </w:rPr>
        <w:fldChar w:fldCharType="end"/>
      </w:r>
      <w:r>
        <w:t>selma'o GA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beginning of two logically connected sumti, bridi-tails,</w:t>
      </w:r>
      <w:r>
        <w:rPr>
          <w:rStyle w:val="deletedparamark"/>
        </w:rPr>
        <w:t xml:space="preserve"> </w:t>
      </w:r>
      <w:r>
        <w:t>or various other things. Logical connections include “both </w:t>
      </w:r>
      <w:r>
        <w:rPr>
          <w:rStyle w:val="htmlcodes"/>
        </w:rPr>
        <w:t>&lt;dots&gt;</w:t>
      </w:r>
      <w:r>
        <w:t>…</w:t>
      </w:r>
      <w:r>
        <w:rPr>
          <w:rStyle w:val="htmlcodes"/>
        </w:rPr>
        <w:t>&lt;/dots&gt;</w:t>
      </w:r>
      <w:r>
        <w:t>and”,</w:t>
      </w:r>
      <w:r>
        <w:rPr>
          <w:rStyle w:val="deletedparamark"/>
        </w:rPr>
        <w:t xml:space="preserve"> “</w:t>
      </w:r>
      <w:r>
        <w:t>either </w:t>
      </w:r>
      <w:r>
        <w:rPr>
          <w:rStyle w:val="htmlcodes"/>
        </w:rPr>
        <w:t>&lt;dots&gt;</w:t>
      </w:r>
      <w:r>
        <w:t>…</w:t>
      </w:r>
      <w:r>
        <w:rPr>
          <w:rStyle w:val="htmlcodes"/>
        </w:rPr>
        <w:t>&lt;/dots&gt;</w:t>
      </w:r>
      <w:r>
        <w:t>or”, “if </w:t>
      </w:r>
      <w:r>
        <w:rPr>
          <w:rStyle w:val="htmlcodes"/>
        </w:rPr>
        <w:t>&lt;dots&gt;</w:t>
      </w:r>
      <w:r>
        <w:t>…</w:t>
      </w:r>
      <w:r>
        <w:rPr>
          <w:rStyle w:val="htmlcodes"/>
        </w:rPr>
        <w:t>&lt;/dots&gt;</w:t>
      </w:r>
      <w:r>
        <w:t>then”, and so on. See GI.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ga la djan. nanmu gi la djeimyz. ninmu</w:t>
      </w:r>
    </w:p>
    <w:p w:rsidR="00B72047" w:rsidRDefault="00B72047">
      <w:pPr>
        <w:pStyle w:val="examplescaled"/>
      </w:pPr>
      <w:r>
        <w:tab/>
        <w:t>Either John is a man or James is a woman (or both).</w:t>
      </w:r>
    </w:p>
    <w:p w:rsidR="00B72047" w:rsidRDefault="00B72047">
      <w:pPr>
        <w:pStyle w:val="Heading4"/>
      </w:pPr>
      <w:r>
        <w:rPr>
          <w:rStyle w:val="htmlcodes"/>
        </w:rPr>
        <w:t>&lt;/dl&gt;</w:t>
      </w:r>
      <w:r>
        <w:rPr>
          <w:rStyle w:val="indexentry"/>
        </w:rPr>
        <w:t>&lt;lx "GAhO, selma'o catalog"&gt;</w:t>
      </w:r>
      <w:r>
        <w:rPr>
          <w:rStyle w:val="indexentry"/>
        </w:rPr>
        <w:fldChar w:fldCharType="begin"/>
      </w:r>
      <w:r>
        <w:instrText>xe "</w:instrText>
      </w:r>
      <w:r>
        <w:rPr>
          <w:rStyle w:val="xeentry"/>
        </w:rPr>
        <w:instrText>GAhO selma’o</w:instrText>
      </w:r>
      <w:r>
        <w:instrText>"</w:instrText>
      </w:r>
      <w:r>
        <w:rPr>
          <w:rStyle w:val="indexentry"/>
        </w:rPr>
        <w:fldChar w:fldCharType="end"/>
      </w:r>
      <w:r>
        <w:rPr>
          <w:rStyle w:val="indexentry"/>
        </w:rPr>
        <w:t>&lt;cx "interval, open/closed specification, selma'o catalog"&gt;</w:t>
      </w:r>
      <w:r>
        <w:rPr>
          <w:rStyle w:val="indexentry"/>
        </w:rPr>
        <w:fldChar w:fldCharType="begin"/>
      </w:r>
      <w:r>
        <w:instrText>xe "</w:instrText>
      </w:r>
      <w:r>
        <w:rPr>
          <w:rStyle w:val="xeentry"/>
        </w:rPr>
        <w:instrText>interval: open/closed specification</w:instrText>
      </w:r>
      <w:r>
        <w:instrText>"</w:instrText>
      </w:r>
      <w:r>
        <w:rPr>
          <w:rStyle w:val="indexentry"/>
        </w:rPr>
        <w:fldChar w:fldCharType="end"/>
      </w:r>
      <w:r>
        <w:t>selma'o GAhO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whether an interval specified by BIhI includes or</w:t>
      </w:r>
      <w:r>
        <w:rPr>
          <w:rStyle w:val="deletedparamark"/>
        </w:rPr>
        <w:t xml:space="preserve"> </w:t>
      </w:r>
      <w:r>
        <w:t>excludes its endpoints. Used in pairs before and after the BIhI</w:t>
      </w:r>
      <w:r>
        <w:rPr>
          <w:rStyle w:val="deletedparamark"/>
        </w:rPr>
        <w:t xml:space="preserve"> </w:t>
      </w:r>
      <w:r>
        <w:t>cmavo, to specify the nature of both the left- and the right-hand endpoints.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ca sanli la drezdn. ga'o bi'i ga'o la frankfurt.</w:t>
      </w:r>
    </w:p>
    <w:p w:rsidR="00B72047" w:rsidRDefault="00B72047">
      <w:pPr>
        <w:pStyle w:val="examplescaled"/>
      </w:pPr>
      <w:r>
        <w:tab/>
        <w:t>I [present] stand Dresden [inclusive] [interval] [inclusive] Frankfurt.</w:t>
      </w:r>
    </w:p>
    <w:p w:rsidR="00B72047" w:rsidRDefault="00B72047">
      <w:pPr>
        <w:pStyle w:val="examplescaled"/>
      </w:pPr>
      <w:r>
        <w:tab/>
        <w:t>I am standing between Dresden and Frankfurt, inclusive of both.</w:t>
      </w:r>
    </w:p>
    <w:p w:rsidR="00B72047" w:rsidRDefault="00B72047">
      <w:pPr>
        <w:pStyle w:val="Heading4"/>
      </w:pPr>
      <w:r>
        <w:rPr>
          <w:rStyle w:val="htmlcodes"/>
        </w:rPr>
        <w:t>&lt;/dl&gt;</w:t>
      </w:r>
      <w:r>
        <w:rPr>
          <w:rStyle w:val="indexentry"/>
        </w:rPr>
        <w:t>&lt;lx "GEhU, selma'o catalog"&gt;</w:t>
      </w:r>
      <w:r>
        <w:rPr>
          <w:rStyle w:val="indexentry"/>
        </w:rPr>
        <w:fldChar w:fldCharType="begin"/>
      </w:r>
      <w:r>
        <w:instrText>xe "</w:instrText>
      </w:r>
      <w:r>
        <w:rPr>
          <w:rStyle w:val="xeentry"/>
        </w:rPr>
        <w:instrText>GEhU selma’o</w:instrText>
      </w:r>
      <w:r>
        <w:instrText>"</w:instrText>
      </w:r>
      <w:r>
        <w:rPr>
          <w:rStyle w:val="indexentry"/>
        </w:rPr>
        <w:fldChar w:fldCharType="end"/>
      </w:r>
      <w:r>
        <w:rPr>
          <w:rStyle w:val="indexentry"/>
        </w:rPr>
        <w:t>&lt;cx "GOI, terminator for, selma'o catalog"&gt;</w:t>
      </w:r>
      <w:r>
        <w:rPr>
          <w:rStyle w:val="indexentry"/>
        </w:rPr>
        <w:fldChar w:fldCharType="begin"/>
      </w:r>
      <w:r>
        <w:instrText>xe "</w:instrText>
      </w:r>
      <w:r>
        <w:rPr>
          <w:rStyle w:val="xeentry"/>
        </w:rPr>
        <w:instrText>GOI selma’o: terminator for</w:instrText>
      </w:r>
      <w:r>
        <w:instrText>"</w:instrText>
      </w:r>
      <w:r>
        <w:rPr>
          <w:rStyle w:val="indexentry"/>
        </w:rPr>
        <w:fldChar w:fldCharType="end"/>
      </w:r>
      <w:r>
        <w:t>selma'o GEhU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GOI. Marks the end of a relative phrase. See</w:t>
      </w:r>
      <w:r>
        <w:rPr>
          <w:rStyle w:val="deletedparamark"/>
        </w:rPr>
        <w:t xml:space="preserve"> </w:t>
      </w:r>
      <w:r>
        <w:t>KUhO.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goi ko'a ge'u blanu</w:t>
      </w:r>
    </w:p>
    <w:p w:rsidR="00B72047" w:rsidRDefault="00B72047">
      <w:pPr>
        <w:pStyle w:val="examplescaled"/>
      </w:pPr>
      <w:r>
        <w:tab/>
        <w:t>John (referred to as it-1) is-blue.</w:t>
      </w:r>
    </w:p>
    <w:p w:rsidR="00B72047" w:rsidRDefault="00B72047">
      <w:pPr>
        <w:pStyle w:val="Heading4"/>
      </w:pPr>
      <w:r>
        <w:rPr>
          <w:rStyle w:val="htmlcodes"/>
        </w:rPr>
        <w:t>&lt;/dl&gt;</w:t>
      </w:r>
      <w:r>
        <w:rPr>
          <w:rStyle w:val="indexentry"/>
        </w:rPr>
        <w:t>&lt;lx "GI, selma'o catalog"&gt;</w:t>
      </w:r>
      <w:r>
        <w:rPr>
          <w:rStyle w:val="indexentry"/>
        </w:rPr>
        <w:fldChar w:fldCharType="begin"/>
      </w:r>
      <w:r>
        <w:instrText>xe "</w:instrText>
      </w:r>
      <w:r>
        <w:rPr>
          <w:rStyle w:val="xeentry"/>
        </w:rPr>
        <w:instrText>GI selma’o</w:instrText>
      </w:r>
      <w:r>
        <w:instrText>"</w:instrText>
      </w:r>
      <w:r>
        <w:rPr>
          <w:rStyle w:val="indexentry"/>
        </w:rPr>
        <w:fldChar w:fldCharType="end"/>
      </w:r>
      <w:r>
        <w:rPr>
          <w:rStyle w:val="indexentry"/>
        </w:rPr>
        <w:t>&lt;cx "connection, forethought separator, selma'o catalog"&gt;</w:t>
      </w:r>
      <w:r>
        <w:rPr>
          <w:rStyle w:val="indexentry"/>
        </w:rPr>
        <w:fldChar w:fldCharType="begin"/>
      </w:r>
      <w:r>
        <w:instrText>xe "</w:instrText>
      </w:r>
      <w:r>
        <w:rPr>
          <w:rStyle w:val="xeentry"/>
        </w:rPr>
        <w:instrText>connection: forethought separator</w:instrText>
      </w:r>
      <w:r>
        <w:instrText>"</w:instrText>
      </w:r>
      <w:r>
        <w:rPr>
          <w:rStyle w:val="indexentry"/>
        </w:rPr>
        <w:fldChar w:fldCharType="end"/>
      </w:r>
      <w:r>
        <w:t>selma'o GI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Separates two logically or non-logically connected sumti, tanru</w:t>
      </w:r>
      <w:r>
        <w:rPr>
          <w:rStyle w:val="deletedparamark"/>
        </w:rPr>
        <w:t xml:space="preserve"> </w:t>
      </w:r>
      <w:r>
        <w:t>units, bridi-tails, or other things, when the prefix is a forethought</w:t>
      </w:r>
      <w:r>
        <w:rPr>
          <w:rStyle w:val="deletedparamark"/>
        </w:rPr>
        <w:t xml:space="preserve"> </w:t>
      </w:r>
      <w:r>
        <w:t>connective involving GA, GUhA, or JOI.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ge la djan. nanmu gi la djeimyz. ninmu</w:t>
      </w:r>
    </w:p>
    <w:p w:rsidR="00B72047" w:rsidRDefault="00B72047">
      <w:pPr>
        <w:pStyle w:val="examplescaled"/>
      </w:pPr>
      <w:r>
        <w:tab/>
        <w:t>(It is true that) both John is a man and James is a woman.</w:t>
      </w:r>
    </w:p>
    <w:p w:rsidR="00B72047" w:rsidRDefault="00B72047">
      <w:pPr>
        <w:pStyle w:val="Heading4"/>
      </w:pPr>
      <w:r>
        <w:rPr>
          <w:rStyle w:val="htmlcodes"/>
        </w:rPr>
        <w:t>&lt;/dl&gt;</w:t>
      </w:r>
      <w:r>
        <w:rPr>
          <w:rStyle w:val="indexentry"/>
        </w:rPr>
        <w:t>&lt;lx "GIhA, selma'o catalog"&gt;</w:t>
      </w:r>
      <w:r>
        <w:rPr>
          <w:rStyle w:val="indexentry"/>
        </w:rPr>
        <w:fldChar w:fldCharType="begin"/>
      </w:r>
      <w:r>
        <w:instrText>xe "</w:instrText>
      </w:r>
      <w:r>
        <w:rPr>
          <w:rStyle w:val="xeentry"/>
        </w:rPr>
        <w:instrText>GIhA selma’o</w:instrText>
      </w:r>
      <w:r>
        <w:instrText>"</w:instrText>
      </w:r>
      <w:r>
        <w:rPr>
          <w:rStyle w:val="indexentry"/>
        </w:rPr>
        <w:fldChar w:fldCharType="end"/>
      </w:r>
      <w:r>
        <w:rPr>
          <w:rStyle w:val="indexentry"/>
        </w:rPr>
        <w:t>&lt;cx "connection, of bridi-tails, selma'o catalog"&gt;</w:t>
      </w:r>
      <w:r>
        <w:rPr>
          <w:rStyle w:val="indexentry"/>
        </w:rPr>
        <w:fldChar w:fldCharType="begin"/>
      </w:r>
      <w:r>
        <w:instrText>xe "</w:instrText>
      </w:r>
      <w:r>
        <w:rPr>
          <w:rStyle w:val="xeentry"/>
        </w:rPr>
        <w:instrText>connection: of bridi-tails</w:instrText>
      </w:r>
      <w:r>
        <w:instrText>"</w:instrText>
      </w:r>
      <w:r>
        <w:rPr>
          <w:rStyle w:val="indexentry"/>
        </w:rPr>
        <w:fldChar w:fldCharType="end"/>
      </w:r>
      <w:r>
        <w:rPr>
          <w:rStyle w:val="indexentry"/>
        </w:rPr>
        <w:t>&lt;cx "bridi-tail, definition, selma'o catalog"&gt;</w:t>
      </w:r>
      <w:r>
        <w:rPr>
          <w:rStyle w:val="indexentry"/>
        </w:rPr>
        <w:fldChar w:fldCharType="begin"/>
      </w:r>
      <w:r>
        <w:instrText>xe "</w:instrText>
      </w:r>
      <w:r>
        <w:rPr>
          <w:rStyle w:val="xeentry"/>
        </w:rPr>
        <w:instrText>bridi-tail: definition</w:instrText>
      </w:r>
      <w:r>
        <w:instrText>"</w:instrText>
      </w:r>
      <w:r>
        <w:rPr>
          <w:rStyle w:val="indexentry"/>
        </w:rPr>
        <w:fldChar w:fldCharType="end"/>
      </w:r>
      <w:r>
        <w:t>selma'o GIhA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a logical connective (e.g. “and”, “or”, “if”) between</w:t>
      </w:r>
      <w:r>
        <w:rPr>
          <w:rStyle w:val="deletedparamark"/>
        </w:rPr>
        <w:t xml:space="preserve"> </w:t>
      </w:r>
      <w:r>
        <w:t>two bridi-tails: a bridi-tail is a selbri with any associated</w:t>
      </w:r>
      <w:r>
        <w:rPr>
          <w:rStyle w:val="deletedparamark"/>
        </w:rPr>
        <w:t xml:space="preserve"> </w:t>
      </w:r>
      <w:r>
        <w:t>following sumti, but not including any preceding sumti.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le zarci gi'e nelci la djan.</w:t>
      </w:r>
    </w:p>
    <w:p w:rsidR="00B72047" w:rsidRDefault="00B72047">
      <w:pPr>
        <w:pStyle w:val="examplescaled"/>
      </w:pPr>
      <w:r>
        <w:tab/>
        <w:t>I go-to the market and like John.</w:t>
      </w:r>
    </w:p>
    <w:p w:rsidR="00B72047" w:rsidRDefault="00B72047">
      <w:pPr>
        <w:pStyle w:val="Heading4"/>
      </w:pPr>
      <w:r>
        <w:rPr>
          <w:rStyle w:val="htmlcodes"/>
        </w:rPr>
        <w:t>&lt;/dl&gt;</w:t>
      </w:r>
      <w:r>
        <w:rPr>
          <w:rStyle w:val="indexentry"/>
        </w:rPr>
        <w:t>&lt;lx "GOI, selma'o catalog"&gt;</w:t>
      </w:r>
      <w:r>
        <w:rPr>
          <w:rStyle w:val="indexentry"/>
        </w:rPr>
        <w:fldChar w:fldCharType="begin"/>
      </w:r>
      <w:r>
        <w:instrText>xe "</w:instrText>
      </w:r>
      <w:r>
        <w:rPr>
          <w:rStyle w:val="xeentry"/>
        </w:rPr>
        <w:instrText>GOI selma’o</w:instrText>
      </w:r>
      <w:r>
        <w:instrText>"</w:instrText>
      </w:r>
      <w:r>
        <w:rPr>
          <w:rStyle w:val="indexentry"/>
        </w:rPr>
        <w:fldChar w:fldCharType="end"/>
      </w:r>
      <w:r>
        <w:rPr>
          <w:rStyle w:val="indexentry"/>
        </w:rPr>
        <w:t>&lt;cx "relative phrase marker, selma'o catalog"&gt;</w:t>
      </w:r>
      <w:r>
        <w:rPr>
          <w:rStyle w:val="indexentry"/>
        </w:rPr>
        <w:fldChar w:fldCharType="begin"/>
      </w:r>
      <w:r>
        <w:instrText>xe "</w:instrText>
      </w:r>
      <w:r>
        <w:rPr>
          <w:rStyle w:val="xeentry"/>
        </w:rPr>
        <w:instrText>relative phrase marker</w:instrText>
      </w:r>
      <w:r>
        <w:instrText>"</w:instrText>
      </w:r>
      <w:r>
        <w:rPr>
          <w:rStyle w:val="indexentry"/>
        </w:rPr>
        <w:fldChar w:fldCharType="end"/>
      </w:r>
      <w:r>
        <w:t>selma'o GOI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the beginning of a relative phrase, which associates</w:t>
      </w:r>
      <w:r>
        <w:rPr>
          <w:rStyle w:val="deletedparamark"/>
        </w:rPr>
        <w:t xml:space="preserve"> </w:t>
      </w:r>
      <w:r>
        <w:t>a subordinate sumti (following) to another sumti (preceding). Terminated by GEhU. See NOI.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goi ko'a cu blanu</w:t>
      </w:r>
    </w:p>
    <w:p w:rsidR="00B72047" w:rsidRDefault="00B72047">
      <w:pPr>
        <w:pStyle w:val="examplescaled"/>
      </w:pPr>
      <w:r>
        <w:tab/>
        <w:t>John (referred to as #1) is blue.</w:t>
      </w:r>
    </w:p>
    <w:p w:rsidR="00B72047" w:rsidRDefault="00B72047">
      <w:pPr>
        <w:pStyle w:val="Heading4"/>
      </w:pPr>
      <w:r>
        <w:rPr>
          <w:rStyle w:val="htmlcodes"/>
        </w:rPr>
        <w:t>&lt;/dl&gt;</w:t>
      </w:r>
      <w:r>
        <w:rPr>
          <w:rStyle w:val="indexentry"/>
        </w:rPr>
        <w:t>&lt;lx "GOhA, selma'o catalog"&gt;</w:t>
      </w:r>
      <w:r>
        <w:rPr>
          <w:rStyle w:val="indexentry"/>
        </w:rPr>
        <w:fldChar w:fldCharType="begin"/>
      </w:r>
      <w:r>
        <w:instrText>xe "</w:instrText>
      </w:r>
      <w:r>
        <w:rPr>
          <w:rStyle w:val="xeentry"/>
        </w:rPr>
        <w:instrText>GOhA selma’o</w:instrText>
      </w:r>
      <w:r>
        <w:instrText>"</w:instrText>
      </w:r>
      <w:r>
        <w:rPr>
          <w:rStyle w:val="indexentry"/>
        </w:rPr>
        <w:fldChar w:fldCharType="end"/>
      </w:r>
      <w:r>
        <w:rPr>
          <w:rStyle w:val="indexentry"/>
        </w:rPr>
        <w:t>&lt;cx "cmavo as brivla, selma'o catalog"&gt;</w:t>
      </w:r>
      <w:r>
        <w:rPr>
          <w:rStyle w:val="indexentry"/>
        </w:rPr>
        <w:fldChar w:fldCharType="begin"/>
      </w:r>
      <w:r>
        <w:instrText>xe "</w:instrText>
      </w:r>
      <w:r>
        <w:rPr>
          <w:rStyle w:val="xeentry"/>
        </w:rPr>
        <w:instrText>cmavo as brivla</w:instrText>
      </w:r>
      <w:r>
        <w:instrText>"</w:instrText>
      </w:r>
      <w:r>
        <w:rPr>
          <w:rStyle w:val="indexentry"/>
        </w:rPr>
        <w:fldChar w:fldCharType="end"/>
      </w:r>
      <w:r>
        <w:t>selma'o GOhA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general selma'o for all cmavo which can take the place of brivla.</w:t>
      </w:r>
      <w:r>
        <w:rPr>
          <w:rStyle w:val="deletedparamark"/>
        </w:rPr>
        <w:t xml:space="preserve"> </w:t>
      </w:r>
      <w:r>
        <w:t>There are several groups of these.</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A: mi klama le zarci</w:t>
      </w:r>
    </w:p>
    <w:p w:rsidR="00B72047" w:rsidRDefault="00B72047">
      <w:pPr>
        <w:pStyle w:val="examplescaledpre"/>
        <w:spacing w:before="40"/>
      </w:pPr>
      <w:r>
        <w:tab/>
        <w:t>B:  mi go'i</w:t>
      </w:r>
    </w:p>
    <w:p w:rsidR="00B72047" w:rsidRDefault="00B72047">
      <w:pPr>
        <w:pStyle w:val="examplescaledpre"/>
      </w:pPr>
      <w:r>
        <w:tab/>
        <w:t>A:  I'm going to the market.</w:t>
      </w:r>
    </w:p>
    <w:p w:rsidR="00B72047" w:rsidRDefault="00B72047">
      <w:pPr>
        <w:pStyle w:val="examplescaledpre"/>
        <w:spacing w:before="40"/>
      </w:pPr>
      <w:r>
        <w:tab/>
        <w:t>B:  Me, too.</w:t>
      </w:r>
    </w:p>
    <w:p w:rsidR="00B72047" w:rsidRDefault="00B72047">
      <w:pPr>
        <w:pStyle w:val="Heading4"/>
      </w:pPr>
      <w:r>
        <w:rPr>
          <w:rStyle w:val="htmlcodes"/>
        </w:rPr>
        <w:t>&lt;/dl&gt;</w:t>
      </w:r>
      <w:r>
        <w:rPr>
          <w:rStyle w:val="indexentry"/>
        </w:rPr>
        <w:t>&lt;lx "GUhA, selma'o catalog"&gt;</w:t>
      </w:r>
      <w:r>
        <w:rPr>
          <w:rStyle w:val="indexentry"/>
        </w:rPr>
        <w:fldChar w:fldCharType="begin"/>
      </w:r>
      <w:r>
        <w:instrText>xe "</w:instrText>
      </w:r>
      <w:r>
        <w:rPr>
          <w:rStyle w:val="xeentry"/>
        </w:rPr>
        <w:instrText>GUhA selma’o</w:instrText>
      </w:r>
      <w:r>
        <w:instrText>"</w:instrText>
      </w:r>
      <w:r>
        <w:rPr>
          <w:rStyle w:val="indexentry"/>
        </w:rPr>
        <w:fldChar w:fldCharType="end"/>
      </w:r>
      <w:r>
        <w:rPr>
          <w:rStyle w:val="indexentry"/>
        </w:rPr>
        <w:t>&lt;cx "connection, of tanru units, selma'o catalog"&gt;</w:t>
      </w:r>
      <w:r>
        <w:rPr>
          <w:rStyle w:val="indexentry"/>
        </w:rPr>
        <w:fldChar w:fldCharType="begin"/>
      </w:r>
      <w:r>
        <w:instrText>xe "</w:instrText>
      </w:r>
      <w:r>
        <w:rPr>
          <w:rStyle w:val="xeentry"/>
        </w:rPr>
        <w:instrText>connection: of tanru units</w:instrText>
      </w:r>
      <w:r>
        <w:instrText>"</w:instrText>
      </w:r>
      <w:r>
        <w:rPr>
          <w:rStyle w:val="indexentry"/>
        </w:rPr>
        <w:fldChar w:fldCharType="end"/>
      </w:r>
      <w:r>
        <w:t>selma'o GUhA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beginning of two logically connected tanru units.</w:t>
      </w:r>
      <w:r>
        <w:rPr>
          <w:rStyle w:val="deletedparamark"/>
        </w:rPr>
        <w:t xml:space="preserve"> </w:t>
      </w:r>
      <w:r>
        <w:t>Takes the place of GA when forming logically-connected tanru. See GI.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.alis. gu'e ricfu gi blanu</w:t>
      </w:r>
    </w:p>
    <w:p w:rsidR="00B72047" w:rsidRDefault="00B72047">
      <w:pPr>
        <w:pStyle w:val="examplescaled"/>
      </w:pPr>
      <w:r>
        <w:tab/>
        <w:t>Alice is both rich and blue.</w:t>
      </w:r>
    </w:p>
    <w:p w:rsidR="00B72047" w:rsidRDefault="00B72047">
      <w:pPr>
        <w:pStyle w:val="Heading4"/>
      </w:pPr>
      <w:r>
        <w:rPr>
          <w:rStyle w:val="htmlcodes"/>
        </w:rPr>
        <w:t>&lt;/dl&gt;</w:t>
      </w:r>
      <w:r>
        <w:rPr>
          <w:rStyle w:val="indexentry"/>
        </w:rPr>
        <w:t>&lt;lx "I, selma'o catalog"&gt;</w:t>
      </w:r>
      <w:r>
        <w:rPr>
          <w:rStyle w:val="indexentry"/>
        </w:rPr>
        <w:fldChar w:fldCharType="begin"/>
      </w:r>
      <w:r>
        <w:instrText>xe "</w:instrText>
      </w:r>
      <w:r>
        <w:rPr>
          <w:rStyle w:val="xeentry"/>
        </w:rPr>
        <w:instrText>I selma’o</w:instrText>
      </w:r>
      <w:r>
        <w:instrText>"</w:instrText>
      </w:r>
      <w:r>
        <w:rPr>
          <w:rStyle w:val="indexentry"/>
        </w:rPr>
        <w:fldChar w:fldCharType="end"/>
      </w:r>
      <w:r>
        <w:rPr>
          <w:rStyle w:val="indexentry"/>
        </w:rPr>
        <w:t>&lt;cx "sentence separator, selma'o catalog"&gt;</w:t>
      </w:r>
      <w:r>
        <w:rPr>
          <w:rStyle w:val="indexentry"/>
        </w:rPr>
        <w:fldChar w:fldCharType="begin"/>
      </w:r>
      <w:r>
        <w:instrText>xe "</w:instrText>
      </w:r>
      <w:r>
        <w:rPr>
          <w:rStyle w:val="xeentry"/>
        </w:rPr>
        <w:instrText>sentence separator</w:instrText>
      </w:r>
      <w:r>
        <w:instrText>"</w:instrText>
      </w:r>
      <w:r>
        <w:rPr>
          <w:rStyle w:val="indexentry"/>
        </w:rPr>
        <w:fldChar w:fldCharType="end"/>
      </w:r>
      <w:r>
        <w:t>selma'o I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Separates two sentences from each other.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le zarci  .i mi klama le zdani</w:t>
      </w:r>
    </w:p>
    <w:p w:rsidR="00B72047" w:rsidRDefault="00B72047">
      <w:pPr>
        <w:pStyle w:val="examplescaled"/>
      </w:pPr>
      <w:r>
        <w:tab/>
        <w:t>I go-to the market.  I go-to the office.</w:t>
      </w:r>
    </w:p>
    <w:p w:rsidR="00B72047" w:rsidRDefault="00B72047">
      <w:pPr>
        <w:pStyle w:val="Heading4"/>
      </w:pPr>
      <w:r>
        <w:rPr>
          <w:rStyle w:val="htmlcodes"/>
        </w:rPr>
        <w:t>&lt;/dl&gt;</w:t>
      </w:r>
      <w:r>
        <w:rPr>
          <w:rStyle w:val="indexentry"/>
        </w:rPr>
        <w:t>&lt;lx "JA, selma'o catalog"&gt;</w:t>
      </w:r>
      <w:r>
        <w:rPr>
          <w:rStyle w:val="indexentry"/>
        </w:rPr>
        <w:fldChar w:fldCharType="begin"/>
      </w:r>
      <w:r>
        <w:instrText>xe "</w:instrText>
      </w:r>
      <w:r>
        <w:rPr>
          <w:rStyle w:val="xeentry"/>
        </w:rPr>
        <w:instrText>JA selma’o</w:instrText>
      </w:r>
      <w:r>
        <w:instrText>"</w:instrText>
      </w:r>
      <w:r>
        <w:rPr>
          <w:rStyle w:val="indexentry"/>
        </w:rPr>
        <w:fldChar w:fldCharType="end"/>
      </w:r>
      <w:r>
        <w:rPr>
          <w:rStyle w:val="indexentry"/>
        </w:rPr>
        <w:t>&lt;cx "connection, of tanru units, selma'o catalog"&gt;</w:t>
      </w:r>
      <w:r>
        <w:rPr>
          <w:rStyle w:val="indexentry"/>
        </w:rPr>
        <w:fldChar w:fldCharType="begin"/>
      </w:r>
      <w:r>
        <w:instrText>xe "</w:instrText>
      </w:r>
      <w:r>
        <w:rPr>
          <w:rStyle w:val="xeentry"/>
        </w:rPr>
        <w:instrText>connection: of tanru units</w:instrText>
      </w:r>
      <w:r>
        <w:instrText>"</w:instrText>
      </w:r>
      <w:r>
        <w:rPr>
          <w:rStyle w:val="indexentry"/>
        </w:rPr>
        <w:fldChar w:fldCharType="end"/>
      </w:r>
      <w:r>
        <w:t>selma'o JA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a logical connection (e.g. “and”, “or”, “if”) between</w:t>
      </w:r>
      <w:r>
        <w:rPr>
          <w:rStyle w:val="deletedparamark"/>
        </w:rPr>
        <w:t xml:space="preserve"> </w:t>
      </w:r>
      <w:r>
        <w:t>two tanru units, mathe</w:t>
      </w:r>
      <w:r>
        <w:softHyphen/>
        <w:t>matical operands, tenses, or abstractions.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ti blanu je zdani</w:t>
      </w:r>
    </w:p>
    <w:p w:rsidR="00B72047" w:rsidRDefault="00B72047">
      <w:pPr>
        <w:pStyle w:val="examplescaled"/>
      </w:pPr>
      <w:r>
        <w:tab/>
        <w:t>This is-blue and a-house.</w:t>
      </w:r>
    </w:p>
    <w:p w:rsidR="00B72047" w:rsidRDefault="00B72047">
      <w:pPr>
        <w:pStyle w:val="Heading4"/>
      </w:pPr>
      <w:r>
        <w:rPr>
          <w:rStyle w:val="htmlcodes"/>
        </w:rPr>
        <w:t>&lt;/dl&gt;</w:t>
      </w:r>
      <w:r>
        <w:rPr>
          <w:rStyle w:val="indexentry"/>
        </w:rPr>
        <w:t>&lt;lx "JAI, selma'o catalog"&gt;</w:t>
      </w:r>
      <w:r>
        <w:rPr>
          <w:rStyle w:val="indexentry"/>
        </w:rPr>
        <w:fldChar w:fldCharType="begin"/>
      </w:r>
      <w:r>
        <w:instrText>xe "</w:instrText>
      </w:r>
      <w:r>
        <w:rPr>
          <w:rStyle w:val="xeentry"/>
        </w:rPr>
        <w:instrText>JAI selma’o</w:instrText>
      </w:r>
      <w:r>
        <w:instrText>"</w:instrText>
      </w:r>
      <w:r>
        <w:rPr>
          <w:rStyle w:val="indexentry"/>
        </w:rPr>
        <w:fldChar w:fldCharType="end"/>
      </w:r>
      <w:r>
        <w:rPr>
          <w:rStyle w:val="indexentry"/>
        </w:rPr>
        <w:t>&lt;cx "conversion, modal, selma'o catalog"&gt;</w:t>
      </w:r>
      <w:r>
        <w:rPr>
          <w:rStyle w:val="indexentry"/>
        </w:rPr>
        <w:fldChar w:fldCharType="begin"/>
      </w:r>
      <w:r>
        <w:instrText>xe "</w:instrText>
      </w:r>
      <w:r>
        <w:rPr>
          <w:rStyle w:val="xeentry"/>
        </w:rPr>
        <w:instrText>conversion: modal</w:instrText>
      </w:r>
      <w:r>
        <w:instrText>"</w:instrText>
      </w:r>
      <w:r>
        <w:rPr>
          <w:rStyle w:val="indexentry"/>
        </w:rPr>
        <w:fldChar w:fldCharType="end"/>
      </w:r>
      <w:r>
        <w:t>selma'o JAI (</w:t>
      </w:r>
      <w:r>
        <w:rPr>
          <w:rStyle w:val="htmlcodes"/>
        </w:rPr>
        <w:t>&lt;a href=chap9.html&gt;</w:t>
      </w:r>
      <w:r>
        <w:t>Chapter 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followed by a tense or modal, creates a conversion operator</w:t>
      </w:r>
      <w:r>
        <w:rPr>
          <w:rStyle w:val="deletedparamark"/>
        </w:rPr>
        <w:t xml:space="preserve"> </w:t>
      </w:r>
      <w:r>
        <w:t>attachable to a selbri which exchanges the modal place with the x1</w:t>
      </w:r>
      <w:r>
        <w:rPr>
          <w:rStyle w:val="deletedparamark"/>
        </w:rPr>
        <w:t xml:space="preserve"> </w:t>
      </w:r>
      <w:r>
        <w:t>place of the selbri. When alone, is a con</w:t>
      </w:r>
      <w:r>
        <w:softHyphen/>
        <w:t>version operator exchanging</w:t>
      </w:r>
      <w:r>
        <w:rPr>
          <w:rStyle w:val="deletedparamark"/>
        </w:rPr>
        <w:t xml:space="preserve"> </w:t>
      </w:r>
      <w:r>
        <w:t>the x1 place of the selbri (which should be an abstract sumti) with</w:t>
      </w:r>
      <w:r>
        <w:rPr>
          <w:rStyle w:val="deletedparamark"/>
        </w:rPr>
        <w:t xml:space="preserve"> </w:t>
      </w:r>
      <w:r>
        <w:t>one of the places of the abstracted-over bridi.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jai gau galfi le bitmu skari</w:t>
      </w:r>
    </w:p>
    <w:p w:rsidR="00B72047" w:rsidRDefault="00B72047">
      <w:pPr>
        <w:pStyle w:val="examplescaled"/>
      </w:pPr>
      <w:r>
        <w:tab/>
        <w:t>I am-the-actor-in modifying the wall color.</w:t>
      </w:r>
    </w:p>
    <w:p w:rsidR="00B72047" w:rsidRDefault="00B72047">
      <w:pPr>
        <w:pStyle w:val="examplescaled"/>
      </w:pPr>
      <w:r>
        <w:tab/>
        <w:t>I act so as to modify the wall color.</w:t>
      </w:r>
    </w:p>
    <w:p w:rsidR="00B72047" w:rsidRDefault="00B72047">
      <w:pPr>
        <w:pStyle w:val="examplescaled"/>
      </w:pPr>
      <w:r>
        <w:tab/>
        <w:t>I change the color of the wall.</w:t>
      </w:r>
    </w:p>
    <w:p w:rsidR="00B72047" w:rsidRDefault="00B72047">
      <w:pPr>
        <w:pStyle w:val="Heading4"/>
      </w:pPr>
      <w:r>
        <w:rPr>
          <w:rStyle w:val="htmlcodes"/>
        </w:rPr>
        <w:t>&lt;/dl&gt;</w:t>
      </w:r>
      <w:r>
        <w:rPr>
          <w:rStyle w:val="indexentry"/>
        </w:rPr>
        <w:t>&lt;lx "JOI, selma'o catalog"&gt;</w:t>
      </w:r>
      <w:r>
        <w:rPr>
          <w:rStyle w:val="indexentry"/>
        </w:rPr>
        <w:fldChar w:fldCharType="begin"/>
      </w:r>
      <w:r>
        <w:instrText>xe "</w:instrText>
      </w:r>
      <w:r>
        <w:rPr>
          <w:rStyle w:val="xeentry"/>
        </w:rPr>
        <w:instrText>JOI selma’o</w:instrText>
      </w:r>
      <w:r>
        <w:instrText>"</w:instrText>
      </w:r>
      <w:r>
        <w:rPr>
          <w:rStyle w:val="indexentry"/>
        </w:rPr>
        <w:fldChar w:fldCharType="end"/>
      </w:r>
      <w:r>
        <w:rPr>
          <w:rStyle w:val="indexentry"/>
        </w:rPr>
        <w:t>&lt;cx "connection, of sumti, selma'o catalog"&gt;</w:t>
      </w:r>
      <w:r>
        <w:rPr>
          <w:rStyle w:val="indexentry"/>
        </w:rPr>
        <w:fldChar w:fldCharType="begin"/>
      </w:r>
      <w:r>
        <w:instrText>xe "</w:instrText>
      </w:r>
      <w:r>
        <w:rPr>
          <w:rStyle w:val="xeentry"/>
        </w:rPr>
        <w:instrText>connection: of sumti</w:instrText>
      </w:r>
      <w:r>
        <w:instrText>"</w:instrText>
      </w:r>
      <w:r>
        <w:rPr>
          <w:rStyle w:val="indexentry"/>
        </w:rPr>
        <w:fldChar w:fldCharType="end"/>
      </w:r>
      <w:r>
        <w:t>selma'o JOI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a non-logical connection (e.g. together-with-as-mass,</w:t>
      </w:r>
      <w:r>
        <w:rPr>
          <w:rStyle w:val="deletedparamark"/>
        </w:rPr>
        <w:t xml:space="preserve"> </w:t>
      </w:r>
      <w:r>
        <w:t>-set, or -sequence) be</w:t>
      </w:r>
      <w:r>
        <w:softHyphen/>
        <w:t>tween two sumti, tanru units,</w:t>
      </w:r>
      <w:r>
        <w:rPr>
          <w:rStyle w:val="deletedparamark"/>
        </w:rPr>
        <w:t xml:space="preserve"> </w:t>
      </w:r>
      <w:r>
        <w:t>or various other things. When immediately followed by GI, provides</w:t>
      </w:r>
      <w:r>
        <w:rPr>
          <w:rStyle w:val="deletedparamark"/>
        </w:rPr>
        <w:t xml:space="preserve"> </w:t>
      </w:r>
      <w:r>
        <w:t>forethought non-logical connection analogous to GA.</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joi la .alis. cu bevri le pipno</w:t>
      </w:r>
    </w:p>
    <w:p w:rsidR="00B72047" w:rsidRDefault="00B72047">
      <w:pPr>
        <w:pStyle w:val="examplescaled"/>
      </w:pPr>
      <w:r>
        <w:tab/>
        <w:t>John massed-with Alice carry the piano.</w:t>
      </w:r>
    </w:p>
    <w:p w:rsidR="00B72047" w:rsidRDefault="00B72047">
      <w:pPr>
        <w:pStyle w:val="Heading4"/>
      </w:pPr>
      <w:r>
        <w:rPr>
          <w:rStyle w:val="htmlcodes"/>
        </w:rPr>
        <w:t>&lt;/dl&gt;</w:t>
      </w:r>
      <w:r>
        <w:rPr>
          <w:rStyle w:val="indexentry"/>
        </w:rPr>
        <w:t>&lt;lx "JOhI, selma'o catalog"&gt;</w:t>
      </w:r>
      <w:r>
        <w:rPr>
          <w:rStyle w:val="indexentry"/>
        </w:rPr>
        <w:fldChar w:fldCharType="begin"/>
      </w:r>
      <w:r>
        <w:instrText>xe "</w:instrText>
      </w:r>
      <w:r>
        <w:rPr>
          <w:rStyle w:val="xeentry"/>
        </w:rPr>
        <w:instrText>JOhI selma’o</w:instrText>
      </w:r>
      <w:r>
        <w:instrText>"</w:instrText>
      </w:r>
      <w:r>
        <w:rPr>
          <w:rStyle w:val="indexentry"/>
        </w:rPr>
        <w:fldChar w:fldCharType="end"/>
      </w:r>
      <w:r>
        <w:rPr>
          <w:rStyle w:val="indexentry"/>
        </w:rPr>
        <w:t>&lt;cx "vector, forming, selma'o catalog"&gt;</w:t>
      </w:r>
      <w:r>
        <w:rPr>
          <w:rStyle w:val="indexentry"/>
        </w:rPr>
        <w:fldChar w:fldCharType="begin"/>
      </w:r>
      <w:r>
        <w:instrText>xe "</w:instrText>
      </w:r>
      <w:r>
        <w:rPr>
          <w:rStyle w:val="xeentry"/>
        </w:rPr>
        <w:instrText>vector: forming</w:instrText>
      </w:r>
      <w:r>
        <w:instrText>"</w:instrText>
      </w:r>
      <w:r>
        <w:rPr>
          <w:rStyle w:val="indexentry"/>
        </w:rPr>
        <w:fldChar w:fldCharType="end"/>
      </w:r>
      <w:r>
        <w:t>selma'o JOhI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that the following mathematical operands (a list terminated</w:t>
      </w:r>
      <w:r>
        <w:rPr>
          <w:rStyle w:val="deletedparamark"/>
        </w:rPr>
        <w:t xml:space="preserve"> </w:t>
      </w:r>
      <w:r>
        <w:t>by TEhU) form a mathematical vector (one-dimensional array).</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jo'i paboi reboi te'u su'i jo'i ciboi voboi du</w:t>
      </w:r>
    </w:p>
    <w:p w:rsidR="00B72047" w:rsidRDefault="00B72047">
      <w:pPr>
        <w:pStyle w:val="examplescaled"/>
      </w:pPr>
      <w:r>
        <w:tab/>
      </w:r>
      <w:r>
        <w:tab/>
        <w:t>li jo'i voboi xaboi</w:t>
      </w:r>
    </w:p>
    <w:p w:rsidR="00B72047" w:rsidRDefault="00B72047">
      <w:pPr>
        <w:pStyle w:val="examplescaled"/>
      </w:pPr>
      <w:r>
        <w:tab/>
        <w:t>The-number array (one, two) plus array (three, four) equals</w:t>
      </w:r>
    </w:p>
    <w:p w:rsidR="00B72047" w:rsidRDefault="00B72047">
      <w:pPr>
        <w:pStyle w:val="examplescaled"/>
      </w:pPr>
      <w:r>
        <w:tab/>
      </w:r>
      <w:r>
        <w:tab/>
        <w:t>the-number array (four, six).</w:t>
      </w:r>
    </w:p>
    <w:p w:rsidR="00B72047" w:rsidRDefault="00B72047">
      <w:pPr>
        <w:pStyle w:val="examplescaled"/>
      </w:pPr>
      <w:r>
        <w:tab/>
      </w:r>
      <w:r>
        <w:rPr>
          <w:rStyle w:val="math"/>
        </w:rPr>
        <w:t>(1,2) + (3,4) = (4,6)</w:t>
      </w:r>
    </w:p>
    <w:p w:rsidR="00B72047" w:rsidRDefault="00B72047">
      <w:pPr>
        <w:pStyle w:val="Heading4"/>
      </w:pPr>
      <w:r>
        <w:rPr>
          <w:rStyle w:val="htmlcodes"/>
        </w:rPr>
        <w:t>&lt;/dl&gt;</w:t>
      </w:r>
      <w:r>
        <w:rPr>
          <w:rStyle w:val="indexentry"/>
        </w:rPr>
        <w:t>&lt;lx "KE, selma'o catalog"&gt;</w:t>
      </w:r>
      <w:r>
        <w:rPr>
          <w:rStyle w:val="indexentry"/>
        </w:rPr>
        <w:fldChar w:fldCharType="begin"/>
      </w:r>
      <w:r>
        <w:instrText>xe "</w:instrText>
      </w:r>
      <w:r>
        <w:rPr>
          <w:rStyle w:val="xeentry"/>
        </w:rPr>
        <w:instrText>KE selma’o</w:instrText>
      </w:r>
      <w:r>
        <w:instrText>"</w:instrText>
      </w:r>
      <w:r>
        <w:rPr>
          <w:rStyle w:val="indexentry"/>
        </w:rPr>
        <w:fldChar w:fldCharType="end"/>
      </w:r>
      <w:r>
        <w:rPr>
          <w:rStyle w:val="indexentry"/>
        </w:rPr>
        <w:t>&lt;cx "grouping, indicator for, selma'o catalog"&gt;</w:t>
      </w:r>
      <w:r>
        <w:rPr>
          <w:rStyle w:val="indexentry"/>
        </w:rPr>
        <w:fldChar w:fldCharType="begin"/>
      </w:r>
      <w:r>
        <w:instrText>xe "</w:instrText>
      </w:r>
      <w:r>
        <w:rPr>
          <w:rStyle w:val="xeentry"/>
        </w:rPr>
        <w:instrText>grouping: indicator for</w:instrText>
      </w:r>
      <w:r>
        <w:instrText>"</w:instrText>
      </w:r>
      <w:r>
        <w:rPr>
          <w:rStyle w:val="indexentry"/>
        </w:rPr>
        <w:fldChar w:fldCharType="end"/>
      </w:r>
      <w:r>
        <w:t>selma'o KE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Groups everything between itself and a following KEhE for purposes of logical</w:t>
      </w:r>
      <w:r>
        <w:rPr>
          <w:rStyle w:val="deletedparamark"/>
        </w:rPr>
        <w:t xml:space="preserve"> </w:t>
      </w:r>
      <w:r>
        <w:t>con</w:t>
      </w:r>
      <w:r>
        <w:softHyphen/>
        <w:t>nec</w:t>
      </w:r>
      <w:r>
        <w:softHyphen/>
        <w:t>tion, tanru construction, or other purposes. KE and KEhE are not used</w:t>
      </w:r>
      <w:r>
        <w:rPr>
          <w:rStyle w:val="deletedparamark"/>
        </w:rPr>
        <w:t xml:space="preserve"> </w:t>
      </w:r>
      <w:r>
        <w:t>for mathe</w:t>
      </w:r>
      <w:r>
        <w:softHyphen/>
        <w:t>matical (see VEI and VEhO) or discursive (see TO and TOI) purposes.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ke melbi cmalu ke'e nixli ckule</w:t>
      </w:r>
    </w:p>
    <w:p w:rsidR="00B72047" w:rsidRDefault="00B72047">
      <w:pPr>
        <w:pStyle w:val="examplescaled"/>
      </w:pPr>
      <w:r>
        <w:tab/>
        <w:t>That is-a-( pretty little ) girl school.</w:t>
      </w:r>
    </w:p>
    <w:p w:rsidR="00B72047" w:rsidRDefault="00B72047">
      <w:pPr>
        <w:pStyle w:val="examplescaled"/>
      </w:pPr>
      <w:r>
        <w:tab/>
        <w:t>That is a school for girls who are pretty in their littleness.</w:t>
      </w:r>
    </w:p>
    <w:p w:rsidR="00B72047" w:rsidRDefault="00B72047">
      <w:pPr>
        <w:pStyle w:val="Heading4"/>
        <w:spacing w:before="0"/>
      </w:pPr>
      <w:r>
        <w:rPr>
          <w:rStyle w:val="htmlcodes"/>
          <w:vanish w:val="0"/>
        </w:rPr>
        <w:br w:type="page"/>
      </w:r>
      <w:r>
        <w:rPr>
          <w:rStyle w:val="htmlcodes"/>
        </w:rPr>
        <w:t>&lt;/dl&gt;</w:t>
      </w:r>
      <w:r>
        <w:rPr>
          <w:rStyle w:val="indexentry"/>
        </w:rPr>
        <w:t>&lt;lx "KEI, selma'o catalog"&gt;</w:t>
      </w:r>
      <w:r>
        <w:rPr>
          <w:rStyle w:val="indexentry"/>
        </w:rPr>
        <w:fldChar w:fldCharType="begin"/>
      </w:r>
      <w:r>
        <w:instrText>xe "</w:instrText>
      </w:r>
      <w:r>
        <w:rPr>
          <w:rStyle w:val="xeentry"/>
        </w:rPr>
        <w:instrText>KEI selma’o</w:instrText>
      </w:r>
      <w:r>
        <w:instrText>"</w:instrText>
      </w:r>
      <w:r>
        <w:rPr>
          <w:rStyle w:val="indexentry"/>
        </w:rPr>
        <w:fldChar w:fldCharType="end"/>
      </w:r>
      <w:r>
        <w:rPr>
          <w:rStyle w:val="indexentry"/>
        </w:rPr>
        <w:t>&lt;cx "NU, terminator for, selma'o catalog"&gt;</w:t>
      </w:r>
      <w:r>
        <w:rPr>
          <w:rStyle w:val="indexentry"/>
        </w:rPr>
        <w:fldChar w:fldCharType="begin"/>
      </w:r>
      <w:r>
        <w:instrText>xe "</w:instrText>
      </w:r>
      <w:r>
        <w:rPr>
          <w:rStyle w:val="xeentry"/>
        </w:rPr>
        <w:instrText>NU selma’o: terminator for</w:instrText>
      </w:r>
      <w:r>
        <w:instrText>"</w:instrText>
      </w:r>
      <w:r>
        <w:rPr>
          <w:rStyle w:val="indexentry"/>
        </w:rPr>
        <w:fldChar w:fldCharType="end"/>
      </w:r>
      <w:r>
        <w:t>selma'o KEI (</w:t>
      </w:r>
      <w:r>
        <w:rPr>
          <w:rStyle w:val="htmlcodes"/>
        </w:rPr>
        <w:t>&lt;a href=chap11.html&gt;</w:t>
      </w:r>
      <w:r>
        <w:t>Chapter 11</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NU. Marks the end of an abstraction bridi.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cu nu sonci kei djica</w:t>
      </w:r>
    </w:p>
    <w:p w:rsidR="00B72047" w:rsidRDefault="00B72047">
      <w:pPr>
        <w:pStyle w:val="examplescaled"/>
      </w:pPr>
      <w:r>
        <w:tab/>
        <w:t>John is-an-(event-of being-a-soldier) type-of desirer.</w:t>
      </w:r>
    </w:p>
    <w:p w:rsidR="00B72047" w:rsidRDefault="00B72047">
      <w:pPr>
        <w:pStyle w:val="examplescaled"/>
      </w:pPr>
      <w:r>
        <w:tab/>
        <w:t>John wants to be a soldier.</w:t>
      </w:r>
    </w:p>
    <w:p w:rsidR="00B72047" w:rsidRDefault="00B72047">
      <w:pPr>
        <w:pStyle w:val="Heading4"/>
      </w:pPr>
      <w:r>
        <w:rPr>
          <w:rStyle w:val="htmlcodes"/>
        </w:rPr>
        <w:t>&lt;/dl&gt;</w:t>
      </w:r>
      <w:r>
        <w:rPr>
          <w:rStyle w:val="indexentry"/>
        </w:rPr>
        <w:t>&lt;lx "KEhE, selma'o catalog"&gt;</w:t>
      </w:r>
      <w:r>
        <w:rPr>
          <w:rStyle w:val="indexentry"/>
        </w:rPr>
        <w:fldChar w:fldCharType="begin"/>
      </w:r>
      <w:r>
        <w:instrText>xe "</w:instrText>
      </w:r>
      <w:r>
        <w:rPr>
          <w:rStyle w:val="xeentry"/>
        </w:rPr>
        <w:instrText>KEhE selma’o</w:instrText>
      </w:r>
      <w:r>
        <w:instrText>"</w:instrText>
      </w:r>
      <w:r>
        <w:rPr>
          <w:rStyle w:val="indexentry"/>
        </w:rPr>
        <w:fldChar w:fldCharType="end"/>
      </w:r>
      <w:r>
        <w:rPr>
          <w:rStyle w:val="indexentry"/>
        </w:rPr>
        <w:t>&lt;cx "KE, terminator for, selma'o catalog"&gt;</w:t>
      </w:r>
      <w:r>
        <w:rPr>
          <w:rStyle w:val="indexentry"/>
        </w:rPr>
        <w:fldChar w:fldCharType="begin"/>
      </w:r>
      <w:r>
        <w:instrText>xe "</w:instrText>
      </w:r>
      <w:r>
        <w:rPr>
          <w:rStyle w:val="xeentry"/>
        </w:rPr>
        <w:instrText>KE selma’o: terminator for</w:instrText>
      </w:r>
      <w:r>
        <w:instrText>"</w:instrText>
      </w:r>
      <w:r>
        <w:rPr>
          <w:rStyle w:val="indexentry"/>
        </w:rPr>
        <w:fldChar w:fldCharType="end"/>
      </w:r>
      <w:r>
        <w:t>selma'o KEhE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KE. Marks the end of a grouping.</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ke melbi cmalu ke'e nixli ckule</w:t>
      </w:r>
    </w:p>
    <w:p w:rsidR="00B72047" w:rsidRDefault="00B72047">
      <w:pPr>
        <w:pStyle w:val="examplescaled"/>
      </w:pPr>
      <w:r>
        <w:tab/>
        <w:t>That is-a-( pretty little ) girl school.</w:t>
      </w:r>
    </w:p>
    <w:p w:rsidR="00B72047" w:rsidRDefault="00B72047">
      <w:pPr>
        <w:pStyle w:val="examplescaled"/>
      </w:pPr>
      <w:r>
        <w:tab/>
        <w:t>That is a school for girls who are pretty in their littleness.</w:t>
      </w:r>
    </w:p>
    <w:p w:rsidR="00B72047" w:rsidRDefault="00B72047">
      <w:pPr>
        <w:pStyle w:val="Heading4"/>
      </w:pPr>
      <w:r>
        <w:rPr>
          <w:rStyle w:val="htmlcodes"/>
        </w:rPr>
        <w:t>&lt;/dl&gt;</w:t>
      </w:r>
      <w:r>
        <w:rPr>
          <w:rStyle w:val="indexentry"/>
        </w:rPr>
        <w:t>&lt;lx "KI, selma'o catalog"&gt;</w:t>
      </w:r>
      <w:r>
        <w:rPr>
          <w:rStyle w:val="indexentry"/>
        </w:rPr>
        <w:fldChar w:fldCharType="begin"/>
      </w:r>
      <w:r>
        <w:instrText>xe "</w:instrText>
      </w:r>
      <w:r>
        <w:rPr>
          <w:rStyle w:val="xeentry"/>
        </w:rPr>
        <w:instrText>KI selma’o</w:instrText>
      </w:r>
      <w:r>
        <w:instrText>"</w:instrText>
      </w:r>
      <w:r>
        <w:rPr>
          <w:rStyle w:val="indexentry"/>
        </w:rPr>
        <w:fldChar w:fldCharType="end"/>
      </w:r>
      <w:r>
        <w:rPr>
          <w:rStyle w:val="indexentry"/>
        </w:rPr>
        <w:t>&lt;cx "tense, making sticky, selma'o catalog"&gt;</w:t>
      </w:r>
      <w:r>
        <w:rPr>
          <w:rStyle w:val="indexentry"/>
        </w:rPr>
        <w:fldChar w:fldCharType="begin"/>
      </w:r>
      <w:r>
        <w:instrText>xe "</w:instrText>
      </w:r>
      <w:r>
        <w:rPr>
          <w:rStyle w:val="xeentry"/>
        </w:rPr>
        <w:instrText>tense: making sticky</w:instrText>
      </w:r>
      <w:r>
        <w:instrText>"</w:instrText>
      </w:r>
      <w:r>
        <w:rPr>
          <w:rStyle w:val="indexentry"/>
        </w:rPr>
        <w:fldChar w:fldCharType="end"/>
      </w:r>
      <w:r>
        <w:t>selma'o KI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preceded by a tense or modal, makes it “sticky”, so that it applies to</w:t>
      </w:r>
      <w:r>
        <w:rPr>
          <w:rStyle w:val="deletedparamark"/>
        </w:rPr>
        <w:t xml:space="preserve"> </w:t>
      </w:r>
      <w:r>
        <w:t>all further bridi until reset by another appearance of KI.</w:t>
      </w:r>
      <w:r>
        <w:rPr>
          <w:rStyle w:val="deletedparamark"/>
        </w:rPr>
        <w:t xml:space="preserve"> </w:t>
      </w:r>
      <w:r>
        <w:t>When alone, eliminates all sticky tenses.</w:t>
      </w:r>
    </w:p>
    <w:p w:rsidR="00B72047" w:rsidRDefault="00B72047">
      <w:pPr>
        <w:rPr>
          <w:rStyle w:val="htmlparacode"/>
        </w:rPr>
      </w:pPr>
      <w:r>
        <w:rPr>
          <w:rStyle w:val="htmlparacode"/>
        </w:rPr>
        <w:t>&lt;p&gt;</w:t>
      </w:r>
    </w:p>
    <w:p w:rsidR="00B72047" w:rsidRDefault="00B72047">
      <w:pPr>
        <w:pStyle w:val="Heading4"/>
      </w:pPr>
      <w:r>
        <w:rPr>
          <w:rStyle w:val="indexentry"/>
        </w:rPr>
        <w:t>&lt;lx "KOhA, selma'o catalog"&gt;</w:t>
      </w:r>
      <w:r>
        <w:rPr>
          <w:rStyle w:val="indexentry"/>
        </w:rPr>
        <w:fldChar w:fldCharType="begin"/>
      </w:r>
      <w:r>
        <w:instrText>xe "</w:instrText>
      </w:r>
      <w:r>
        <w:rPr>
          <w:rStyle w:val="xeentry"/>
        </w:rPr>
        <w:instrText>KOhA selma’o</w:instrText>
      </w:r>
      <w:r>
        <w:instrText>"</w:instrText>
      </w:r>
      <w:r>
        <w:rPr>
          <w:rStyle w:val="indexentry"/>
        </w:rPr>
        <w:fldChar w:fldCharType="end"/>
      </w:r>
      <w:r>
        <w:rPr>
          <w:rStyle w:val="indexentry"/>
        </w:rPr>
        <w:t>&lt;cx "cmavo as sumti, selma'o catalog"&gt;</w:t>
      </w:r>
      <w:r>
        <w:rPr>
          <w:rStyle w:val="indexentry"/>
        </w:rPr>
        <w:fldChar w:fldCharType="begin"/>
      </w:r>
      <w:r>
        <w:instrText>xe "</w:instrText>
      </w:r>
      <w:r>
        <w:rPr>
          <w:rStyle w:val="xeentry"/>
        </w:rPr>
        <w:instrText>cmavo as sumti</w:instrText>
      </w:r>
      <w:r>
        <w:instrText>"</w:instrText>
      </w:r>
      <w:r>
        <w:rPr>
          <w:rStyle w:val="indexentry"/>
        </w:rPr>
        <w:fldChar w:fldCharType="end"/>
      </w:r>
      <w:r>
        <w:t>selma'o KOhA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general selma'o which contains all cmavo which can substitute for</w:t>
      </w:r>
      <w:r>
        <w:rPr>
          <w:rStyle w:val="deletedparamark"/>
        </w:rPr>
        <w:t xml:space="preserve"> </w:t>
      </w:r>
      <w:r>
        <w:t>sumti. These cmavo are divided into several groups.</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blanu zdani goi ko'a cu barda  .i ko'a na cmamau ti</w:t>
      </w:r>
    </w:p>
    <w:p w:rsidR="00B72047" w:rsidRDefault="00B72047">
      <w:pPr>
        <w:pStyle w:val="examplescaled"/>
      </w:pPr>
      <w:r>
        <w:tab/>
        <w:t>The blue house (referred to as #1) is big.  #1 is-not smaller-than this-thing.</w:t>
      </w:r>
    </w:p>
    <w:p w:rsidR="00B72047" w:rsidRDefault="00B72047">
      <w:pPr>
        <w:pStyle w:val="Heading4"/>
      </w:pPr>
      <w:r>
        <w:rPr>
          <w:rStyle w:val="htmlcodes"/>
        </w:rPr>
        <w:t>&lt;/dl&gt;</w:t>
      </w:r>
      <w:r>
        <w:rPr>
          <w:rStyle w:val="indexentry"/>
        </w:rPr>
        <w:t>&lt;lx "KU, selma'o catalog"&gt;</w:t>
      </w:r>
      <w:r>
        <w:rPr>
          <w:rStyle w:val="indexentry"/>
        </w:rPr>
        <w:fldChar w:fldCharType="begin"/>
      </w:r>
      <w:r>
        <w:instrText>xe "</w:instrText>
      </w:r>
      <w:r>
        <w:rPr>
          <w:rStyle w:val="xeentry"/>
        </w:rPr>
        <w:instrText>KU selma’o</w:instrText>
      </w:r>
      <w:r>
        <w:instrText>"</w:instrText>
      </w:r>
      <w:r>
        <w:rPr>
          <w:rStyle w:val="indexentry"/>
        </w:rPr>
        <w:fldChar w:fldCharType="end"/>
      </w:r>
      <w:r>
        <w:rPr>
          <w:rStyle w:val="indexentry"/>
        </w:rPr>
        <w:t>&lt;cx "LE, terminator for, selma'o catalog"&gt;</w:t>
      </w:r>
      <w:r>
        <w:rPr>
          <w:rStyle w:val="indexentry"/>
        </w:rPr>
        <w:fldChar w:fldCharType="begin"/>
      </w:r>
      <w:r>
        <w:instrText>xe "</w:instrText>
      </w:r>
      <w:r>
        <w:rPr>
          <w:rStyle w:val="xeentry"/>
        </w:rPr>
        <w:instrText>LE selma’o: terminator for</w:instrText>
      </w:r>
      <w:r>
        <w:instrText>"</w:instrText>
      </w:r>
      <w:r>
        <w:rPr>
          <w:rStyle w:val="indexentry"/>
        </w:rPr>
        <w:fldChar w:fldCharType="end"/>
      </w:r>
      <w:r>
        <w:rPr>
          <w:rStyle w:val="indexentry"/>
        </w:rPr>
        <w:t>&lt;cx "LA, terminator for, selma'o catalog"&gt;</w:t>
      </w:r>
      <w:r>
        <w:rPr>
          <w:rStyle w:val="indexentry"/>
        </w:rPr>
        <w:fldChar w:fldCharType="begin"/>
      </w:r>
      <w:r>
        <w:instrText>xe "</w:instrText>
      </w:r>
      <w:r>
        <w:rPr>
          <w:rStyle w:val="xeentry"/>
        </w:rPr>
        <w:instrText>LA selma’o: terminator for</w:instrText>
      </w:r>
      <w:r>
        <w:instrText>"</w:instrText>
      </w:r>
      <w:r>
        <w:rPr>
          <w:rStyle w:val="indexentry"/>
        </w:rPr>
        <w:fldChar w:fldCharType="end"/>
      </w:r>
      <w:r>
        <w:rPr>
          <w:rStyle w:val="indexentry"/>
        </w:rPr>
        <w:t>&lt;cx "tense with no sumti, indicator for, selma'o catalog"&gt;</w:t>
      </w:r>
      <w:r>
        <w:rPr>
          <w:rStyle w:val="indexentry"/>
        </w:rPr>
        <w:fldChar w:fldCharType="begin"/>
      </w:r>
      <w:r>
        <w:instrText>xe "</w:instrText>
      </w:r>
      <w:r>
        <w:rPr>
          <w:rStyle w:val="xeentry"/>
        </w:rPr>
        <w:instrText>tense with no sumti: indicator for</w:instrText>
      </w:r>
      <w:r>
        <w:instrText>"</w:instrText>
      </w:r>
      <w:r>
        <w:rPr>
          <w:rStyle w:val="indexentry"/>
        </w:rPr>
        <w:fldChar w:fldCharType="end"/>
      </w:r>
      <w:r>
        <w:rPr>
          <w:rStyle w:val="indexentry"/>
        </w:rPr>
        <w:t>&lt;cx "modal with no sumti, indicator for, selma'o catalog"&gt;</w:t>
      </w:r>
      <w:r>
        <w:rPr>
          <w:rStyle w:val="indexentry"/>
        </w:rPr>
        <w:fldChar w:fldCharType="begin"/>
      </w:r>
      <w:r>
        <w:instrText>xe "</w:instrText>
      </w:r>
      <w:r>
        <w:rPr>
          <w:rStyle w:val="xeentry"/>
        </w:rPr>
        <w:instrText>modal with no sumti: indicator for</w:instrText>
      </w:r>
      <w:r>
        <w:instrText>"</w:instrText>
      </w:r>
      <w:r>
        <w:rPr>
          <w:rStyle w:val="indexentry"/>
        </w:rPr>
        <w:fldChar w:fldCharType="end"/>
      </w:r>
      <w:r>
        <w:rPr>
          <w:rStyle w:val="indexentry"/>
        </w:rPr>
        <w:t>&lt;cx "negation boundary, forming, selma'o catalog"&gt;</w:t>
      </w:r>
      <w:r>
        <w:rPr>
          <w:rStyle w:val="indexentry"/>
        </w:rPr>
        <w:fldChar w:fldCharType="begin"/>
      </w:r>
      <w:r>
        <w:instrText>xe "</w:instrText>
      </w:r>
      <w:r>
        <w:rPr>
          <w:rStyle w:val="xeentry"/>
        </w:rPr>
        <w:instrText>negation boundary: forming</w:instrText>
      </w:r>
      <w:r>
        <w:instrText>"</w:instrText>
      </w:r>
      <w:r>
        <w:rPr>
          <w:rStyle w:val="indexentry"/>
        </w:rPr>
        <w:fldChar w:fldCharType="end"/>
      </w:r>
      <w:r>
        <w:t>selma'o KU (</w:t>
      </w:r>
      <w:r>
        <w:rPr>
          <w:rStyle w:val="htmlcodes"/>
        </w:rPr>
        <w:t>&lt;a href=chap6.html&gt;</w:t>
      </w:r>
      <w:r>
        <w:t>Chapter 6</w:t>
      </w:r>
      <w:r>
        <w:rPr>
          <w:rStyle w:val="htmlcodes"/>
        </w:rPr>
        <w:t>&lt;/a&gt;</w:t>
      </w:r>
      <w:r>
        <w:t xml:space="preserve">,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LE and some uses of LA. Indicates the end</w:t>
      </w:r>
      <w:r>
        <w:rPr>
          <w:rStyle w:val="deletedparamark"/>
        </w:rPr>
        <w:t xml:space="preserve"> </w:t>
      </w:r>
      <w:r>
        <w:t>of a description sumti. Also used after a tense or modal to indicate</w:t>
      </w:r>
      <w:r>
        <w:rPr>
          <w:rStyle w:val="deletedparamark"/>
        </w:rPr>
        <w:t xml:space="preserve"> </w:t>
      </w:r>
      <w:r>
        <w:t>that no sumti follows, and in the compound NA+KU to indicate natural</w:t>
      </w:r>
      <w:r>
        <w:rPr>
          <w:rStyle w:val="deletedparamark"/>
        </w:rPr>
        <w:t xml:space="preserve"> </w:t>
      </w:r>
      <w:r>
        <w:t>language-style negation.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prenu ku le zdani ku klama</w:t>
      </w:r>
    </w:p>
    <w:p w:rsidR="00B72047" w:rsidRDefault="00B72047">
      <w:pPr>
        <w:pStyle w:val="examplescaled"/>
      </w:pPr>
      <w:r>
        <w:tab/>
        <w:t>The person, to-the house, goes.</w:t>
      </w:r>
    </w:p>
    <w:p w:rsidR="00B72047" w:rsidRDefault="00B72047">
      <w:pPr>
        <w:pStyle w:val="examplescaled"/>
      </w:pPr>
      <w:r>
        <w:tab/>
        <w:t>The person goes to the house.</w:t>
      </w:r>
    </w:p>
    <w:p w:rsidR="00B72047" w:rsidRDefault="00B72047">
      <w:pPr>
        <w:pStyle w:val="Heading4"/>
      </w:pPr>
      <w:r>
        <w:rPr>
          <w:rStyle w:val="htmlcodes"/>
        </w:rPr>
        <w:t>&lt;/dl&gt;</w:t>
      </w:r>
      <w:r>
        <w:rPr>
          <w:rStyle w:val="indexentry"/>
        </w:rPr>
        <w:t>&lt;lx "KUhE, selma'o catalog"&gt;</w:t>
      </w:r>
      <w:r>
        <w:rPr>
          <w:rStyle w:val="indexentry"/>
        </w:rPr>
        <w:fldChar w:fldCharType="begin"/>
      </w:r>
      <w:r>
        <w:instrText>xe "</w:instrText>
      </w:r>
      <w:r>
        <w:rPr>
          <w:rStyle w:val="xeentry"/>
        </w:rPr>
        <w:instrText>KUhE selma’o</w:instrText>
      </w:r>
      <w:r>
        <w:instrText>"</w:instrText>
      </w:r>
      <w:r>
        <w:rPr>
          <w:rStyle w:val="indexentry"/>
        </w:rPr>
        <w:fldChar w:fldCharType="end"/>
      </w:r>
      <w:r>
        <w:rPr>
          <w:rStyle w:val="indexentry"/>
        </w:rPr>
        <w:t>&lt;cx "PEhO, terminator for, selma'o catalog"&gt;</w:t>
      </w:r>
      <w:r>
        <w:rPr>
          <w:rStyle w:val="indexentry"/>
        </w:rPr>
        <w:fldChar w:fldCharType="begin"/>
      </w:r>
      <w:r>
        <w:instrText>xe "</w:instrText>
      </w:r>
      <w:r>
        <w:rPr>
          <w:rStyle w:val="xeentry"/>
        </w:rPr>
        <w:instrText>PEhO selma’o: terminator for</w:instrText>
      </w:r>
      <w:r>
        <w:instrText>"</w:instrText>
      </w:r>
      <w:r>
        <w:rPr>
          <w:rStyle w:val="indexentry"/>
        </w:rPr>
        <w:fldChar w:fldCharType="end"/>
      </w:r>
      <w:r>
        <w:t>selma'o KUhE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PEhO: indicates the end of a forethought</w:t>
      </w:r>
      <w:r>
        <w:rPr>
          <w:rStyle w:val="deletedparamark"/>
        </w:rPr>
        <w:t xml:space="preserve"> </w:t>
      </w:r>
      <w:r>
        <w:t>mathematical expres</w:t>
      </w:r>
      <w:r>
        <w:softHyphen/>
        <w:t>sion (one in which the operator precedes the</w:t>
      </w:r>
      <w:r>
        <w:rPr>
          <w:rStyle w:val="deletedparamark"/>
        </w:rPr>
        <w:t xml:space="preserve"> </w:t>
      </w:r>
      <w:r>
        <w:t>operands).</w:t>
      </w:r>
    </w:p>
    <w:p w:rsidR="00B72047" w:rsidRDefault="00B72047">
      <w:pPr>
        <w:pStyle w:val="examplescaledpre"/>
      </w:pPr>
      <w:r>
        <w:rPr>
          <w:rStyle w:val="deletedparamark"/>
        </w:rPr>
        <w:t xml:space="preserve"> </w:t>
      </w:r>
      <w:r>
        <w:rPr>
          <w:rStyle w:val="htmlcodes"/>
        </w:rPr>
        <w:t>&lt;dl compact&gt;&lt;dt&gt;</w:t>
      </w:r>
      <w:r>
        <w:tab/>
      </w:r>
      <w:r>
        <w:rPr>
          <w:rStyle w:val="htmlcodes"/>
        </w:rPr>
        <w:t>&lt;dd&gt;</w:t>
      </w:r>
      <w:r>
        <w:t>li pe'o su'i reboi reboi re[boi] ku'e du</w:t>
      </w:r>
    </w:p>
    <w:p w:rsidR="00B72047" w:rsidRDefault="00B72047">
      <w:pPr>
        <w:pStyle w:val="examplescaled"/>
      </w:pPr>
      <w:r>
        <w:tab/>
      </w:r>
      <w:r>
        <w:tab/>
        <w:t>li xa</w:t>
      </w:r>
    </w:p>
    <w:p w:rsidR="00B72047" w:rsidRDefault="00B72047">
      <w:pPr>
        <w:pStyle w:val="examplescaled"/>
      </w:pPr>
      <w:r>
        <w:tab/>
        <w:t xml:space="preserve">The number [forethought] the-sum-of two two two [end] equals </w:t>
      </w:r>
    </w:p>
    <w:p w:rsidR="00B72047" w:rsidRDefault="00B72047">
      <w:pPr>
        <w:pStyle w:val="examplescaled"/>
        <w:ind w:firstLine="576"/>
      </w:pPr>
      <w:r>
        <w:t>the-number six.</w:t>
      </w:r>
    </w:p>
    <w:p w:rsidR="00B72047" w:rsidRDefault="00B72047">
      <w:pPr>
        <w:pStyle w:val="Heading4"/>
        <w:spacing w:before="0"/>
      </w:pPr>
      <w:r>
        <w:rPr>
          <w:rStyle w:val="htmlcodes"/>
          <w:vanish w:val="0"/>
        </w:rPr>
        <w:br w:type="page"/>
      </w:r>
      <w:r>
        <w:rPr>
          <w:rStyle w:val="htmlcodes"/>
        </w:rPr>
        <w:t>&lt;/dl&gt;</w:t>
      </w:r>
      <w:r>
        <w:rPr>
          <w:rStyle w:val="indexentry"/>
        </w:rPr>
        <w:t>&lt;lx "KUhO, selma'o catalog"&gt;</w:t>
      </w:r>
      <w:r>
        <w:rPr>
          <w:rStyle w:val="indexentry"/>
        </w:rPr>
        <w:fldChar w:fldCharType="begin"/>
      </w:r>
      <w:r>
        <w:instrText>xe "</w:instrText>
      </w:r>
      <w:r>
        <w:rPr>
          <w:rStyle w:val="xeentry"/>
        </w:rPr>
        <w:instrText>KUhO selma’o</w:instrText>
      </w:r>
      <w:r>
        <w:instrText>"</w:instrText>
      </w:r>
      <w:r>
        <w:rPr>
          <w:rStyle w:val="indexentry"/>
        </w:rPr>
        <w:fldChar w:fldCharType="end"/>
      </w:r>
      <w:r>
        <w:rPr>
          <w:rStyle w:val="indexentry"/>
        </w:rPr>
        <w:t>&lt;cx "NOI, terminator for, selma'o catalog"&gt;</w:t>
      </w:r>
      <w:r>
        <w:rPr>
          <w:rStyle w:val="indexentry"/>
        </w:rPr>
        <w:fldChar w:fldCharType="begin"/>
      </w:r>
      <w:r>
        <w:instrText>xe "</w:instrText>
      </w:r>
      <w:r>
        <w:rPr>
          <w:rStyle w:val="xeentry"/>
        </w:rPr>
        <w:instrText>NOI selma’o: terminator for</w:instrText>
      </w:r>
      <w:r>
        <w:instrText>"</w:instrText>
      </w:r>
      <w:r>
        <w:rPr>
          <w:rStyle w:val="indexentry"/>
        </w:rPr>
        <w:fldChar w:fldCharType="end"/>
      </w:r>
      <w:r>
        <w:t>selma'o KUhO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rPr>
          <w:rStyle w:val="deletedparamark"/>
        </w:rPr>
      </w:pPr>
      <w:r>
        <w:t>Elidable terminator for NOI. Indicates the end of a relative clause.</w:t>
      </w:r>
    </w:p>
    <w:p w:rsidR="00B72047" w:rsidRDefault="00B72047">
      <w:pPr>
        <w:pStyle w:val="examplescaledpre"/>
      </w:pPr>
      <w:r>
        <w:rPr>
          <w:rStyle w:val="htmlcodes"/>
        </w:rPr>
        <w:t>&lt;dl compact&gt;&lt;dt&gt;</w:t>
      </w:r>
      <w:r>
        <w:tab/>
      </w:r>
      <w:r>
        <w:rPr>
          <w:rStyle w:val="htmlcodes"/>
        </w:rPr>
        <w:t>&lt;dd&gt;</w:t>
      </w:r>
      <w:r>
        <w:t>le zdani poi blanu ku'o barda</w:t>
      </w:r>
    </w:p>
    <w:p w:rsidR="00B72047" w:rsidRDefault="00B72047">
      <w:pPr>
        <w:pStyle w:val="examplescaled"/>
      </w:pPr>
      <w:r>
        <w:tab/>
        <w:t>The house which is-blue is-big.</w:t>
      </w:r>
    </w:p>
    <w:p w:rsidR="00B72047" w:rsidRDefault="00B72047">
      <w:pPr>
        <w:pStyle w:val="Heading4"/>
      </w:pPr>
      <w:r>
        <w:rPr>
          <w:rStyle w:val="htmlcodes"/>
        </w:rPr>
        <w:t>&lt;/dl&gt;</w:t>
      </w:r>
      <w:r>
        <w:rPr>
          <w:rStyle w:val="indexentry"/>
        </w:rPr>
        <w:t>&lt;lx "LA, selma'o catalog"&gt;</w:t>
      </w:r>
      <w:r>
        <w:rPr>
          <w:rStyle w:val="indexentry"/>
        </w:rPr>
        <w:fldChar w:fldCharType="begin"/>
      </w:r>
      <w:r>
        <w:instrText>xe "</w:instrText>
      </w:r>
      <w:r>
        <w:rPr>
          <w:rStyle w:val="xeentry"/>
        </w:rPr>
        <w:instrText>LA selma’o</w:instrText>
      </w:r>
      <w:r>
        <w:instrText>"</w:instrText>
      </w:r>
      <w:r>
        <w:rPr>
          <w:rStyle w:val="indexentry"/>
        </w:rPr>
        <w:fldChar w:fldCharType="end"/>
      </w:r>
      <w:r>
        <w:rPr>
          <w:rStyle w:val="indexentry"/>
        </w:rPr>
        <w:t>&lt;cx "name descriptor, selma'o catalog"&gt;</w:t>
      </w:r>
      <w:r>
        <w:rPr>
          <w:rStyle w:val="indexentry"/>
        </w:rPr>
        <w:fldChar w:fldCharType="begin"/>
      </w:r>
      <w:r>
        <w:instrText>xe "</w:instrText>
      </w:r>
      <w:r>
        <w:rPr>
          <w:rStyle w:val="xeentry"/>
        </w:rPr>
        <w:instrText>name descriptor</w:instrText>
      </w:r>
      <w:r>
        <w:instrText>"</w:instrText>
      </w:r>
      <w:r>
        <w:rPr>
          <w:rStyle w:val="indexentry"/>
        </w:rPr>
        <w:fldChar w:fldCharType="end"/>
      </w:r>
      <w:r>
        <w:t>selma'o LA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Descriptors which change name words (or selbri) into sumti which</w:t>
      </w:r>
      <w:r>
        <w:rPr>
          <w:rStyle w:val="deletedparamark"/>
        </w:rPr>
        <w:t xml:space="preserve"> </w:t>
      </w:r>
      <w:r>
        <w:t>identify people or things by name. Similar to LE. May be terminated</w:t>
      </w:r>
      <w:r>
        <w:rPr>
          <w:rStyle w:val="deletedparamark"/>
        </w:rPr>
        <w:t xml:space="preserve"> </w:t>
      </w:r>
      <w:r>
        <w:t>with KU if followed by a description selbri.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kikeros. du la tulis.</w:t>
      </w:r>
    </w:p>
    <w:p w:rsidR="00B72047" w:rsidRDefault="00B72047">
      <w:pPr>
        <w:pStyle w:val="examplescaled"/>
      </w:pPr>
      <w:r>
        <w:tab/>
        <w:t>Cicero is Tully.</w:t>
      </w:r>
    </w:p>
    <w:p w:rsidR="00B72047" w:rsidRDefault="00B72047">
      <w:pPr>
        <w:pStyle w:val="Heading4"/>
      </w:pPr>
      <w:r>
        <w:rPr>
          <w:rStyle w:val="htmlcodes"/>
        </w:rPr>
        <w:t>&lt;/dl&gt;</w:t>
      </w:r>
      <w:r>
        <w:rPr>
          <w:rStyle w:val="indexentry"/>
        </w:rPr>
        <w:t>&lt;lx "LAU, selma'o catalog"&gt;</w:t>
      </w:r>
      <w:r>
        <w:rPr>
          <w:rStyle w:val="indexentry"/>
        </w:rPr>
        <w:fldChar w:fldCharType="begin"/>
      </w:r>
      <w:r>
        <w:instrText>xe "</w:instrText>
      </w:r>
      <w:r>
        <w:rPr>
          <w:rStyle w:val="xeentry"/>
        </w:rPr>
        <w:instrText>LAU selma’o</w:instrText>
      </w:r>
      <w:r>
        <w:instrText>"</w:instrText>
      </w:r>
      <w:r>
        <w:rPr>
          <w:rStyle w:val="indexentry"/>
        </w:rPr>
        <w:fldChar w:fldCharType="end"/>
      </w:r>
      <w:r>
        <w:rPr>
          <w:rStyle w:val="indexentry"/>
        </w:rPr>
        <w:t>&lt;cx "letter shift, selma'o catalog"&gt;</w:t>
      </w:r>
      <w:r>
        <w:rPr>
          <w:rStyle w:val="indexentry"/>
        </w:rPr>
        <w:fldChar w:fldCharType="begin"/>
      </w:r>
      <w:r>
        <w:instrText>xe "</w:instrText>
      </w:r>
      <w:r>
        <w:rPr>
          <w:rStyle w:val="xeentry"/>
        </w:rPr>
        <w:instrText>letter shift</w:instrText>
      </w:r>
      <w:r>
        <w:instrText>"</w:instrText>
      </w:r>
      <w:r>
        <w:rPr>
          <w:rStyle w:val="indexentry"/>
        </w:rPr>
        <w:fldChar w:fldCharType="end"/>
      </w:r>
      <w:r>
        <w:t>selma'o LAU (</w:t>
      </w:r>
      <w:r>
        <w:rPr>
          <w:rStyle w:val="htmlcodes"/>
        </w:rPr>
        <w:t>&lt;a href=chap17.html&gt;</w:t>
      </w:r>
      <w:r>
        <w:t>Chapter 17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Combines with the following alphabetic letter to represent</w:t>
      </w:r>
      <w:r>
        <w:rPr>
          <w:rStyle w:val="deletedparamark"/>
        </w:rPr>
        <w:t xml:space="preserve"> </w:t>
      </w:r>
      <w:r>
        <w:t>a single marker: change from lower to upper case, change of font,</w:t>
      </w:r>
      <w:r>
        <w:rPr>
          <w:rStyle w:val="deletedparamark"/>
        </w:rPr>
        <w:t xml:space="preserve"> </w:t>
      </w:r>
      <w:r>
        <w:t>punctuation, etc.)</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tau sy. .ibu</w:t>
      </w:r>
    </w:p>
    <w:p w:rsidR="00B72047" w:rsidRDefault="00B72047">
      <w:pPr>
        <w:pStyle w:val="examplescaled"/>
      </w:pPr>
      <w:r>
        <w:tab/>
        <w:t>[single-shift] “s” “i”</w:t>
      </w:r>
    </w:p>
    <w:p w:rsidR="00B72047" w:rsidRDefault="00B72047">
      <w:pPr>
        <w:pStyle w:val="examplescaled"/>
      </w:pPr>
      <w:r>
        <w:tab/>
        <w:t>Si (chemical symbol for silicon)</w:t>
      </w:r>
    </w:p>
    <w:p w:rsidR="00B72047" w:rsidRDefault="00B72047">
      <w:pPr>
        <w:pStyle w:val="Heading4"/>
      </w:pPr>
      <w:r>
        <w:rPr>
          <w:rStyle w:val="htmlcodes"/>
        </w:rPr>
        <w:t>&lt;/dl&gt;</w:t>
      </w:r>
      <w:r>
        <w:rPr>
          <w:rStyle w:val="indexentry"/>
        </w:rPr>
        <w:t>&lt;lx "LAhE, selma'o catalog"&gt;</w:t>
      </w:r>
      <w:r>
        <w:rPr>
          <w:rStyle w:val="indexentry"/>
        </w:rPr>
        <w:fldChar w:fldCharType="begin"/>
      </w:r>
      <w:r>
        <w:instrText>xe "</w:instrText>
      </w:r>
      <w:r>
        <w:rPr>
          <w:rStyle w:val="xeentry"/>
        </w:rPr>
        <w:instrText>LAhE selma’o</w:instrText>
      </w:r>
      <w:r>
        <w:instrText>"</w:instrText>
      </w:r>
      <w:r>
        <w:rPr>
          <w:rStyle w:val="indexentry"/>
        </w:rPr>
        <w:fldChar w:fldCharType="end"/>
      </w:r>
      <w:r>
        <w:rPr>
          <w:rStyle w:val="indexentry"/>
        </w:rPr>
        <w:t>&lt;cx "converting sumti to related meaning, selma'o catalog"&gt;</w:t>
      </w:r>
      <w:r>
        <w:rPr>
          <w:rStyle w:val="indexentry"/>
        </w:rPr>
        <w:fldChar w:fldCharType="begin"/>
      </w:r>
      <w:r>
        <w:instrText>xe "</w:instrText>
      </w:r>
      <w:r>
        <w:rPr>
          <w:rStyle w:val="xeentry"/>
        </w:rPr>
        <w:instrText>converting sumti to related meaning</w:instrText>
      </w:r>
      <w:r>
        <w:instrText>"</w:instrText>
      </w:r>
      <w:r>
        <w:rPr>
          <w:rStyle w:val="indexentry"/>
        </w:rPr>
        <w:fldChar w:fldCharType="end"/>
      </w:r>
      <w:r>
        <w:t>selma'o LAhE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Qualifiers which, when prefixed to a sumti, change it into</w:t>
      </w:r>
      <w:r>
        <w:rPr>
          <w:rStyle w:val="deletedparamark"/>
        </w:rPr>
        <w:t xml:space="preserve"> </w:t>
      </w:r>
      <w:r>
        <w:t>another sumti with related meaning. Qualifiers can also</w:t>
      </w:r>
      <w:r>
        <w:rPr>
          <w:rStyle w:val="deletedparamark"/>
        </w:rPr>
        <w:t xml:space="preserve"> </w:t>
      </w:r>
      <w:r>
        <w:t>consist of a cmavo from selma'o NAhE plus BO. Termi</w:t>
      </w:r>
      <w:r>
        <w:softHyphen/>
        <w:t>nated by LUhU.</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la'e zoi kuot. A Tale of Two Cities .kuot</w:t>
      </w:r>
    </w:p>
    <w:p w:rsidR="00B72047" w:rsidRDefault="00B72047">
      <w:pPr>
        <w:pStyle w:val="examplescaled"/>
      </w:pPr>
      <w:r>
        <w:tab/>
        <w:t>I see that-represented-by the-text “A Tale of Two Cities”.</w:t>
      </w:r>
    </w:p>
    <w:p w:rsidR="00B72047" w:rsidRDefault="00B72047">
      <w:pPr>
        <w:pStyle w:val="examplescaled"/>
      </w:pPr>
      <w:r>
        <w:tab/>
        <w:t>I see the book “A Tale of Two Cities”.</w:t>
      </w:r>
    </w:p>
    <w:p w:rsidR="00B72047" w:rsidRDefault="00B72047">
      <w:pPr>
        <w:pStyle w:val="Heading4"/>
      </w:pPr>
      <w:r>
        <w:rPr>
          <w:rStyle w:val="htmlcodes"/>
        </w:rPr>
        <w:t>&lt;/dl&gt;</w:t>
      </w:r>
      <w:r>
        <w:rPr>
          <w:rStyle w:val="indexentry"/>
        </w:rPr>
        <w:t>&lt;lx "LE, selma'o catalog"&gt;</w:t>
      </w:r>
      <w:r>
        <w:rPr>
          <w:rStyle w:val="indexentry"/>
        </w:rPr>
        <w:fldChar w:fldCharType="begin"/>
      </w:r>
      <w:r>
        <w:instrText>xe "</w:instrText>
      </w:r>
      <w:r>
        <w:rPr>
          <w:rStyle w:val="xeentry"/>
        </w:rPr>
        <w:instrText>LE selma’o</w:instrText>
      </w:r>
      <w:r>
        <w:instrText>"</w:instrText>
      </w:r>
      <w:r>
        <w:rPr>
          <w:rStyle w:val="indexentry"/>
        </w:rPr>
        <w:fldChar w:fldCharType="end"/>
      </w:r>
      <w:r>
        <w:rPr>
          <w:rStyle w:val="indexentry"/>
        </w:rPr>
        <w:t>&lt;cx "descriptor, selma'o catalog"&gt;</w:t>
      </w:r>
      <w:r>
        <w:rPr>
          <w:rStyle w:val="indexentry"/>
        </w:rPr>
        <w:fldChar w:fldCharType="begin"/>
      </w:r>
      <w:r>
        <w:instrText>xe "</w:instrText>
      </w:r>
      <w:r>
        <w:rPr>
          <w:rStyle w:val="xeentry"/>
        </w:rPr>
        <w:instrText>descriptor</w:instrText>
      </w:r>
      <w:r>
        <w:instrText>"</w:instrText>
      </w:r>
      <w:r>
        <w:rPr>
          <w:rStyle w:val="indexentry"/>
        </w:rPr>
        <w:fldChar w:fldCharType="end"/>
      </w:r>
      <w:r>
        <w:rPr>
          <w:rStyle w:val="indexentry"/>
        </w:rPr>
        <w:t>&lt;cx "article, selma'o catalog"&gt;</w:t>
      </w:r>
      <w:r>
        <w:rPr>
          <w:rStyle w:val="indexentry"/>
        </w:rPr>
        <w:fldChar w:fldCharType="begin"/>
      </w:r>
      <w:r>
        <w:instrText>xe "</w:instrText>
      </w:r>
      <w:r>
        <w:rPr>
          <w:rStyle w:val="xeentry"/>
        </w:rPr>
        <w:instrText>article</w:instrText>
      </w:r>
      <w:r>
        <w:instrText>"</w:instrText>
      </w:r>
      <w:r>
        <w:rPr>
          <w:rStyle w:val="indexentry"/>
        </w:rPr>
        <w:fldChar w:fldCharType="end"/>
      </w:r>
      <w:r>
        <w:t>selma'o LE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Descriptors which make selbri into sumti which describe or specify</w:t>
      </w:r>
      <w:r>
        <w:rPr>
          <w:rStyle w:val="deletedparamark"/>
        </w:rPr>
        <w:t xml:space="preserve"> </w:t>
      </w:r>
      <w:r>
        <w:t>things that fit into the x1 place of the selbri. Termionated by KU. See LA.</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gerku klama le zdani</w:t>
      </w:r>
    </w:p>
    <w:p w:rsidR="00B72047" w:rsidRDefault="00B72047">
      <w:pPr>
        <w:pStyle w:val="examplescaled"/>
      </w:pPr>
      <w:r>
        <w:tab/>
        <w:t>The dog goes-to the house.</w:t>
      </w:r>
    </w:p>
    <w:p w:rsidR="00B72047" w:rsidRDefault="00B72047">
      <w:pPr>
        <w:pStyle w:val="Heading4"/>
      </w:pPr>
      <w:r>
        <w:rPr>
          <w:rStyle w:val="htmlcodes"/>
        </w:rPr>
        <w:t>&lt;/dl&gt;</w:t>
      </w:r>
      <w:r>
        <w:rPr>
          <w:rStyle w:val="indexentry"/>
        </w:rPr>
        <w:t>&lt;lx "LEhU, selma'o catalog"&gt;</w:t>
      </w:r>
      <w:r>
        <w:rPr>
          <w:rStyle w:val="indexentry"/>
        </w:rPr>
        <w:fldChar w:fldCharType="begin"/>
      </w:r>
      <w:r>
        <w:instrText>xe "</w:instrText>
      </w:r>
      <w:r>
        <w:rPr>
          <w:rStyle w:val="xeentry"/>
        </w:rPr>
        <w:instrText>LEhU selma’o</w:instrText>
      </w:r>
      <w:r>
        <w:instrText>"</w:instrText>
      </w:r>
      <w:r>
        <w:rPr>
          <w:rStyle w:val="indexentry"/>
        </w:rPr>
        <w:fldChar w:fldCharType="end"/>
      </w:r>
      <w:r>
        <w:rPr>
          <w:rStyle w:val="indexentry"/>
        </w:rPr>
        <w:t>&lt;cx "LOhU, terminator for, selma'o catalog"&gt;</w:t>
      </w:r>
      <w:r>
        <w:rPr>
          <w:rStyle w:val="indexentry"/>
        </w:rPr>
        <w:fldChar w:fldCharType="begin"/>
      </w:r>
      <w:r>
        <w:instrText>xe "</w:instrText>
      </w:r>
      <w:r>
        <w:rPr>
          <w:rStyle w:val="xeentry"/>
        </w:rPr>
        <w:instrText>LOhU selma’o: terminator for</w:instrText>
      </w:r>
      <w:r>
        <w:instrText>"</w:instrText>
      </w:r>
      <w:r>
        <w:rPr>
          <w:rStyle w:val="indexentry"/>
        </w:rPr>
        <w:fldChar w:fldCharType="end"/>
      </w:r>
      <w:r>
        <w:t>selma'o LEhU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end of a quotation begun with LOhU. Not an elidable</w:t>
      </w:r>
      <w:r>
        <w:rPr>
          <w:rStyle w:val="deletedparamark"/>
        </w:rPr>
        <w:t xml:space="preserve"> </w:t>
      </w:r>
      <w:r>
        <w:t>terminator.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lo'u mi du do du mi le'u cu na lojbo drani</w:t>
      </w:r>
    </w:p>
    <w:p w:rsidR="00B72047" w:rsidRDefault="00B72047">
      <w:pPr>
        <w:pStyle w:val="examplescaled"/>
      </w:pPr>
      <w:r>
        <w:tab/>
        <w:t>[quote] mi du do du mi [unquote] is-not Lojbanically correct.</w:t>
      </w:r>
    </w:p>
    <w:p w:rsidR="00B72047" w:rsidRDefault="00B72047">
      <w:pPr>
        <w:pStyle w:val="examplescaled"/>
      </w:pPr>
      <w:r>
        <w:tab/>
        <w:t>“mi du do du mi” is not correct Lojban.</w:t>
      </w:r>
    </w:p>
    <w:p w:rsidR="00B72047" w:rsidRDefault="00B72047">
      <w:pPr>
        <w:pStyle w:val="Heading4"/>
        <w:spacing w:before="0"/>
      </w:pPr>
      <w:r>
        <w:rPr>
          <w:rStyle w:val="htmlcodes"/>
          <w:vanish w:val="0"/>
        </w:rPr>
        <w:br w:type="page"/>
      </w:r>
      <w:r>
        <w:rPr>
          <w:rStyle w:val="htmlcodes"/>
        </w:rPr>
        <w:t>&lt;/dl&gt;</w:t>
      </w:r>
      <w:r>
        <w:rPr>
          <w:rStyle w:val="indexentry"/>
        </w:rPr>
        <w:t>&lt;lx "LI, selma'o catalog"&gt;</w:t>
      </w:r>
      <w:r>
        <w:rPr>
          <w:rStyle w:val="indexentry"/>
        </w:rPr>
        <w:fldChar w:fldCharType="begin"/>
      </w:r>
      <w:r>
        <w:instrText>xe "</w:instrText>
      </w:r>
      <w:r>
        <w:rPr>
          <w:rStyle w:val="xeentry"/>
        </w:rPr>
        <w:instrText>LI selma’o</w:instrText>
      </w:r>
      <w:r>
        <w:instrText>"</w:instrText>
      </w:r>
      <w:r>
        <w:rPr>
          <w:rStyle w:val="indexentry"/>
        </w:rPr>
        <w:fldChar w:fldCharType="end"/>
      </w:r>
      <w:r>
        <w:rPr>
          <w:rStyle w:val="indexentry"/>
        </w:rPr>
        <w:t>&lt;cx "number, descriptor for, selma'o catalog"&gt;</w:t>
      </w:r>
      <w:r>
        <w:rPr>
          <w:rStyle w:val="indexentry"/>
        </w:rPr>
        <w:fldChar w:fldCharType="begin"/>
      </w:r>
      <w:r>
        <w:instrText>xe "</w:instrText>
      </w:r>
      <w:r>
        <w:rPr>
          <w:rStyle w:val="xeentry"/>
        </w:rPr>
        <w:instrText>numbers: descriptor for</w:instrText>
      </w:r>
      <w:r>
        <w:instrText>"</w:instrText>
      </w:r>
      <w:r>
        <w:rPr>
          <w:rStyle w:val="indexentry"/>
        </w:rPr>
        <w:fldChar w:fldCharType="end"/>
      </w:r>
      <w:r>
        <w:rPr>
          <w:rStyle w:val="indexentry"/>
        </w:rPr>
        <w:t>&lt;cx "descriptor for numbers, selma'o catalog"&gt;</w:t>
      </w:r>
      <w:r>
        <w:rPr>
          <w:rStyle w:val="indexentry"/>
        </w:rPr>
        <w:fldChar w:fldCharType="begin"/>
      </w:r>
      <w:r>
        <w:instrText>xe "</w:instrText>
      </w:r>
      <w:r>
        <w:rPr>
          <w:rStyle w:val="xeentry"/>
        </w:rPr>
        <w:instrText>descriptor for numbers</w:instrText>
      </w:r>
      <w:r>
        <w:instrText>"</w:instrText>
      </w:r>
      <w:r>
        <w:rPr>
          <w:rStyle w:val="indexentry"/>
        </w:rPr>
        <w:fldChar w:fldCharType="end"/>
      </w:r>
      <w:r>
        <w:t>selma'o LI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Descriptors which change numbers or other mathematical expressions</w:t>
      </w:r>
      <w:r>
        <w:rPr>
          <w:rStyle w:val="deletedparamark"/>
        </w:rPr>
        <w:t xml:space="preserve"> </w:t>
      </w:r>
      <w:r>
        <w:t>into sumti which specify numbers or numerical expressions. Terminated by LOhO.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re su'u re na du li vo su'i vo</w:t>
      </w:r>
    </w:p>
    <w:p w:rsidR="00B72047" w:rsidRDefault="00B72047">
      <w:pPr>
        <w:pStyle w:val="examplescaled"/>
      </w:pPr>
      <w:r>
        <w:tab/>
        <w:t>The-number 2 minus 2 not equals the-number 4 plus 4.</w:t>
      </w:r>
    </w:p>
    <w:p w:rsidR="00B72047" w:rsidRDefault="00B72047">
      <w:pPr>
        <w:pStyle w:val="examplescaled"/>
        <w:rPr>
          <w:rStyle w:val="math"/>
        </w:rPr>
      </w:pPr>
      <w:r>
        <w:rPr>
          <w:rStyle w:val="math"/>
        </w:rPr>
        <w:tab/>
      </w:r>
      <w:r>
        <w:rPr>
          <w:rStyle w:val="htmlcodes"/>
        </w:rPr>
        <w:t>$</w:t>
      </w:r>
      <w:r>
        <w:rPr>
          <w:rStyle w:val="math"/>
        </w:rPr>
        <w:t>2 - 2</w:t>
      </w:r>
      <w:r>
        <w:rPr>
          <w:rStyle w:val="htmlcodes"/>
        </w:rPr>
        <w:t>&lt;&gt;</w:t>
      </w:r>
      <w:r>
        <w:rPr>
          <w:rStyle w:val="htmlcodes"/>
        </w:rPr>
        <w:sym w:font="Symbol" w:char="F0B9"/>
      </w:r>
      <w:r>
        <w:rPr>
          <w:rStyle w:val="math"/>
        </w:rPr>
        <w:t xml:space="preserve"> </w:t>
      </w:r>
      <w:r>
        <w:rPr>
          <w:rStyle w:val="math"/>
        </w:rPr>
        <w:sym w:font="Symbol" w:char="F0B9"/>
      </w:r>
      <w:r>
        <w:rPr>
          <w:rStyle w:val="math"/>
        </w:rPr>
        <w:t xml:space="preserve"> 4 + 4</w:t>
      </w:r>
      <w:r>
        <w:rPr>
          <w:rStyle w:val="htmlcodes"/>
        </w:rPr>
        <w:t>$</w:t>
      </w:r>
    </w:p>
    <w:p w:rsidR="00B72047" w:rsidRDefault="00B72047">
      <w:pPr>
        <w:pStyle w:val="Heading4"/>
      </w:pPr>
      <w:r>
        <w:rPr>
          <w:rStyle w:val="htmlcodes"/>
        </w:rPr>
        <w:t>&lt;/dl&gt;</w:t>
      </w:r>
      <w:r>
        <w:rPr>
          <w:rStyle w:val="indexentry"/>
        </w:rPr>
        <w:t>&lt;lx "LIhU, selma'o catalog"&gt;</w:t>
      </w:r>
      <w:r>
        <w:rPr>
          <w:rStyle w:val="indexentry"/>
        </w:rPr>
        <w:fldChar w:fldCharType="begin"/>
      </w:r>
      <w:r>
        <w:instrText>xe "</w:instrText>
      </w:r>
      <w:r>
        <w:rPr>
          <w:rStyle w:val="xeentry"/>
        </w:rPr>
        <w:instrText>LIhU selma’o</w:instrText>
      </w:r>
      <w:r>
        <w:instrText>"</w:instrText>
      </w:r>
      <w:r>
        <w:rPr>
          <w:rStyle w:val="indexentry"/>
        </w:rPr>
        <w:fldChar w:fldCharType="end"/>
      </w:r>
      <w:r>
        <w:rPr>
          <w:rStyle w:val="indexentry"/>
        </w:rPr>
        <w:t>&lt;cx "LU, terminator for, selma'o catalog"&gt;</w:t>
      </w:r>
      <w:r>
        <w:rPr>
          <w:rStyle w:val="indexentry"/>
        </w:rPr>
        <w:fldChar w:fldCharType="begin"/>
      </w:r>
      <w:r>
        <w:instrText>xe "</w:instrText>
      </w:r>
      <w:r>
        <w:rPr>
          <w:rStyle w:val="xeentry"/>
        </w:rPr>
        <w:instrText>LU selma’o: terminator for</w:instrText>
      </w:r>
      <w:r>
        <w:instrText>"</w:instrText>
      </w:r>
      <w:r>
        <w:rPr>
          <w:rStyle w:val="indexentry"/>
        </w:rPr>
        <w:fldChar w:fldCharType="end"/>
      </w:r>
      <w:r>
        <w:t>selma'o LIhU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LU. Indicates the end of a text quotation.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cusku lu mi klama le zarci li'u</w:t>
      </w:r>
    </w:p>
    <w:p w:rsidR="00B72047" w:rsidRDefault="00B72047">
      <w:pPr>
        <w:pStyle w:val="examplescaled"/>
      </w:pPr>
      <w:r>
        <w:tab/>
        <w:t>I express [quote] I go-to the market [end quote].</w:t>
      </w:r>
    </w:p>
    <w:p w:rsidR="00B72047" w:rsidRDefault="00B72047">
      <w:pPr>
        <w:pStyle w:val="Heading4"/>
      </w:pPr>
      <w:r>
        <w:rPr>
          <w:rStyle w:val="htmlcodes"/>
        </w:rPr>
        <w:t>&lt;/dl&gt;</w:t>
      </w:r>
      <w:r>
        <w:rPr>
          <w:rStyle w:val="indexentry"/>
        </w:rPr>
        <w:t>&lt;lx "LOhO, selma'o catalog"&gt;</w:t>
      </w:r>
      <w:r>
        <w:rPr>
          <w:rStyle w:val="indexentry"/>
        </w:rPr>
        <w:fldChar w:fldCharType="begin"/>
      </w:r>
      <w:r>
        <w:instrText>xe "</w:instrText>
      </w:r>
      <w:r>
        <w:rPr>
          <w:rStyle w:val="xeentry"/>
        </w:rPr>
        <w:instrText>LOhO selma’o</w:instrText>
      </w:r>
      <w:r>
        <w:instrText>"</w:instrText>
      </w:r>
      <w:r>
        <w:rPr>
          <w:rStyle w:val="indexentry"/>
        </w:rPr>
        <w:fldChar w:fldCharType="end"/>
      </w:r>
      <w:r>
        <w:rPr>
          <w:rStyle w:val="indexentry"/>
        </w:rPr>
        <w:t>&lt;cx "LI, terminator for, selma'o catalog"&gt;</w:t>
      </w:r>
      <w:r>
        <w:rPr>
          <w:rStyle w:val="indexentry"/>
        </w:rPr>
        <w:fldChar w:fldCharType="begin"/>
      </w:r>
      <w:r>
        <w:instrText>xe "</w:instrText>
      </w:r>
      <w:r>
        <w:rPr>
          <w:rStyle w:val="xeentry"/>
        </w:rPr>
        <w:instrText>LI selma’o: terminator for</w:instrText>
      </w:r>
      <w:r>
        <w:instrText>"</w:instrText>
      </w:r>
      <w:r>
        <w:rPr>
          <w:rStyle w:val="indexentry"/>
        </w:rPr>
        <w:fldChar w:fldCharType="end"/>
      </w:r>
      <w:r>
        <w:t>selma'o LOhO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LI. Indicates the end of a mathematical</w:t>
      </w:r>
      <w:r>
        <w:rPr>
          <w:rStyle w:val="deletedparamark"/>
        </w:rPr>
        <w:t xml:space="preserve"> </w:t>
      </w:r>
      <w:r>
        <w:t>expression used in a LI description.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vo lo'o li ci lo'o cu zmadu</w:t>
      </w:r>
    </w:p>
    <w:p w:rsidR="00B72047" w:rsidRDefault="00B72047">
      <w:pPr>
        <w:pStyle w:val="examplescaled"/>
      </w:pPr>
      <w:r>
        <w:tab/>
        <w:t>The-number 4 [end number], the number 3 [end number], is greater.</w:t>
      </w:r>
    </w:p>
    <w:p w:rsidR="00B72047" w:rsidRDefault="00B72047">
      <w:pPr>
        <w:pStyle w:val="examplescaled"/>
        <w:rPr>
          <w:rStyle w:val="math"/>
        </w:rPr>
      </w:pPr>
      <w:r>
        <w:rPr>
          <w:rStyle w:val="math"/>
        </w:rPr>
        <w:tab/>
      </w:r>
      <w:r>
        <w:rPr>
          <w:rStyle w:val="htmlcodes"/>
        </w:rPr>
        <w:t>$</w:t>
      </w:r>
      <w:r>
        <w:rPr>
          <w:rStyle w:val="math"/>
        </w:rPr>
        <w:t>4 &gt; 3</w:t>
      </w:r>
      <w:r>
        <w:rPr>
          <w:rStyle w:val="htmlcodes"/>
        </w:rPr>
        <w:t>$</w:t>
      </w:r>
    </w:p>
    <w:p w:rsidR="00B72047" w:rsidRDefault="00B72047">
      <w:pPr>
        <w:pStyle w:val="Heading4"/>
      </w:pPr>
      <w:r>
        <w:rPr>
          <w:rStyle w:val="htmlcodes"/>
        </w:rPr>
        <w:t>&lt;/dl&gt;</w:t>
      </w:r>
      <w:r>
        <w:rPr>
          <w:rStyle w:val="indexentry"/>
        </w:rPr>
        <w:t>&lt;lx "LOhU, selma'o catalog"&gt;</w:t>
      </w:r>
      <w:r>
        <w:rPr>
          <w:rStyle w:val="indexentry"/>
        </w:rPr>
        <w:fldChar w:fldCharType="begin"/>
      </w:r>
      <w:r>
        <w:instrText>xe "</w:instrText>
      </w:r>
      <w:r>
        <w:rPr>
          <w:rStyle w:val="xeentry"/>
        </w:rPr>
        <w:instrText>LOhU selma’o</w:instrText>
      </w:r>
      <w:r>
        <w:instrText>"</w:instrText>
      </w:r>
      <w:r>
        <w:rPr>
          <w:rStyle w:val="indexentry"/>
        </w:rPr>
        <w:fldChar w:fldCharType="end"/>
      </w:r>
      <w:r>
        <w:rPr>
          <w:rStyle w:val="indexentry"/>
        </w:rPr>
        <w:t>&lt;cx "quotation, of Lojban words, selma'o catalog"&gt;</w:t>
      </w:r>
      <w:r>
        <w:rPr>
          <w:rStyle w:val="indexentry"/>
        </w:rPr>
        <w:fldChar w:fldCharType="begin"/>
      </w:r>
      <w:r>
        <w:instrText>xe "</w:instrText>
      </w:r>
      <w:r>
        <w:rPr>
          <w:rStyle w:val="xeentry"/>
        </w:rPr>
        <w:instrText>quotation: of Lojban words</w:instrText>
      </w:r>
      <w:r>
        <w:instrText>"</w:instrText>
      </w:r>
      <w:r>
        <w:rPr>
          <w:rStyle w:val="indexentry"/>
        </w:rPr>
        <w:fldChar w:fldCharType="end"/>
      </w:r>
      <w:r>
        <w:t>selma'o LOhU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beginning of a quotation (a sumti) which is grammatical</w:t>
      </w:r>
      <w:r>
        <w:rPr>
          <w:rStyle w:val="deletedparamark"/>
        </w:rPr>
        <w:t xml:space="preserve"> </w:t>
      </w:r>
      <w:r>
        <w:t>as long as the quoted material consists of Lojban words, whether they</w:t>
      </w:r>
      <w:r>
        <w:rPr>
          <w:rStyle w:val="deletedparamark"/>
        </w:rPr>
        <w:t xml:space="preserve"> </w:t>
      </w:r>
      <w:r>
        <w:t>form a text or not. Terminated by LEhU.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do cusku lo'u mi du do du ko'a le'u</w:t>
      </w:r>
    </w:p>
    <w:p w:rsidR="00B72047" w:rsidRDefault="00B72047">
      <w:pPr>
        <w:pStyle w:val="examplescaled"/>
      </w:pPr>
      <w:r>
        <w:tab/>
        <w:t>You express [quote] mi du do du ko'a [end quote].</w:t>
      </w:r>
    </w:p>
    <w:p w:rsidR="00B72047" w:rsidRDefault="00B72047">
      <w:pPr>
        <w:pStyle w:val="examplescaled"/>
      </w:pPr>
      <w:r>
        <w:tab/>
        <w:t>You said, “mi du do du ko'a”.</w:t>
      </w:r>
    </w:p>
    <w:p w:rsidR="00B72047" w:rsidRDefault="00B72047">
      <w:pPr>
        <w:pStyle w:val="Heading4"/>
      </w:pPr>
      <w:r>
        <w:rPr>
          <w:rStyle w:val="htmlcodes"/>
        </w:rPr>
        <w:t>&lt;/dl&gt;</w:t>
      </w:r>
      <w:r>
        <w:rPr>
          <w:rStyle w:val="indexentry"/>
        </w:rPr>
        <w:t>&lt;lx "LU, selma'o catalog"&gt;</w:t>
      </w:r>
      <w:r>
        <w:rPr>
          <w:rStyle w:val="indexentry"/>
        </w:rPr>
        <w:fldChar w:fldCharType="begin"/>
      </w:r>
      <w:r>
        <w:instrText>xe "</w:instrText>
      </w:r>
      <w:r>
        <w:rPr>
          <w:rStyle w:val="xeentry"/>
        </w:rPr>
        <w:instrText>LU selma’o</w:instrText>
      </w:r>
      <w:r>
        <w:instrText>"</w:instrText>
      </w:r>
      <w:r>
        <w:rPr>
          <w:rStyle w:val="indexentry"/>
        </w:rPr>
        <w:fldChar w:fldCharType="end"/>
      </w:r>
      <w:r>
        <w:rPr>
          <w:rStyle w:val="indexentry"/>
        </w:rPr>
        <w:t>&lt;cx "quotation, grammatical, selma'o catalog"&gt;</w:t>
      </w:r>
      <w:r>
        <w:rPr>
          <w:rStyle w:val="indexentry"/>
        </w:rPr>
        <w:fldChar w:fldCharType="begin"/>
      </w:r>
      <w:r>
        <w:instrText>xe "</w:instrText>
      </w:r>
      <w:r>
        <w:rPr>
          <w:rStyle w:val="xeentry"/>
        </w:rPr>
        <w:instrText>quotation: grammatical</w:instrText>
      </w:r>
      <w:r>
        <w:instrText>"</w:instrText>
      </w:r>
      <w:r>
        <w:rPr>
          <w:rStyle w:val="indexentry"/>
        </w:rPr>
        <w:fldChar w:fldCharType="end"/>
      </w:r>
      <w:r>
        <w:t>selma'o LU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beginning of a quotation (a sumti) which is grammatical</w:t>
      </w:r>
      <w:r>
        <w:rPr>
          <w:rStyle w:val="deletedparamark"/>
        </w:rPr>
        <w:t xml:space="preserve"> </w:t>
      </w:r>
      <w:r>
        <w:t>only if the quoted material also forms a grammatical Lojban text.</w:t>
      </w:r>
      <w:r>
        <w:rPr>
          <w:rStyle w:val="deletedparamark"/>
        </w:rPr>
        <w:t xml:space="preserve"> </w:t>
      </w:r>
      <w:r>
        <w:t>Terminated by LIhU.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cusku lu mi klama le zarci li'u</w:t>
      </w:r>
    </w:p>
    <w:p w:rsidR="00B72047" w:rsidRDefault="00B72047">
      <w:pPr>
        <w:pStyle w:val="examplescaled"/>
      </w:pPr>
      <w:r>
        <w:tab/>
        <w:t>I express [quote] I go-to the market [end quote].</w:t>
      </w:r>
    </w:p>
    <w:p w:rsidR="00B72047" w:rsidRDefault="00B72047">
      <w:pPr>
        <w:pStyle w:val="Heading4"/>
      </w:pPr>
      <w:r>
        <w:rPr>
          <w:rStyle w:val="htmlcodes"/>
        </w:rPr>
        <w:t>&lt;/dl&gt;</w:t>
      </w:r>
      <w:r>
        <w:rPr>
          <w:rStyle w:val="indexentry"/>
        </w:rPr>
        <w:t>&lt;lx "LUhU, selma'o catalog"&gt;</w:t>
      </w:r>
      <w:r>
        <w:rPr>
          <w:rStyle w:val="indexentry"/>
        </w:rPr>
        <w:fldChar w:fldCharType="begin"/>
      </w:r>
      <w:r>
        <w:instrText>xe "</w:instrText>
      </w:r>
      <w:r>
        <w:rPr>
          <w:rStyle w:val="xeentry"/>
        </w:rPr>
        <w:instrText>LUhU selma’o</w:instrText>
      </w:r>
      <w:r>
        <w:instrText>"</w:instrText>
      </w:r>
      <w:r>
        <w:rPr>
          <w:rStyle w:val="indexentry"/>
        </w:rPr>
        <w:fldChar w:fldCharType="end"/>
      </w:r>
      <w:r>
        <w:rPr>
          <w:rStyle w:val="indexentry"/>
        </w:rPr>
        <w:t>&lt;cx "LAhE, terminator for, selma'o catalog"&gt;</w:t>
      </w:r>
      <w:r>
        <w:rPr>
          <w:rStyle w:val="indexentry"/>
        </w:rPr>
        <w:fldChar w:fldCharType="begin"/>
      </w:r>
      <w:r>
        <w:instrText>xe "</w:instrText>
      </w:r>
      <w:r>
        <w:rPr>
          <w:rStyle w:val="xeentry"/>
        </w:rPr>
        <w:instrText>LAhE selma’o: terminator for</w:instrText>
      </w:r>
      <w:r>
        <w:instrText>"</w:instrText>
      </w:r>
      <w:r>
        <w:rPr>
          <w:rStyle w:val="indexentry"/>
        </w:rPr>
        <w:fldChar w:fldCharType="end"/>
      </w:r>
      <w:r>
        <w:rPr>
          <w:rStyle w:val="indexentry"/>
        </w:rPr>
        <w:t>&lt;cx "NAhE+BO, terminator for, selma'o catalog"&gt;</w:t>
      </w:r>
      <w:r>
        <w:rPr>
          <w:rStyle w:val="indexentry"/>
        </w:rPr>
        <w:fldChar w:fldCharType="begin"/>
      </w:r>
      <w:r>
        <w:instrText>xe "</w:instrText>
      </w:r>
      <w:r>
        <w:rPr>
          <w:rStyle w:val="xeentry"/>
        </w:rPr>
        <w:instrText>NAhE+BO: terminator for</w:instrText>
      </w:r>
      <w:r>
        <w:instrText>"</w:instrText>
      </w:r>
      <w:r>
        <w:rPr>
          <w:rStyle w:val="indexentry"/>
        </w:rPr>
        <w:fldChar w:fldCharType="end"/>
      </w:r>
      <w:r>
        <w:t>selma'o LUhU (</w:t>
      </w:r>
      <w:r>
        <w:rPr>
          <w:rStyle w:val="htmlcodes"/>
        </w:rPr>
        <w:t>&lt;a href=chap6.html&gt;</w:t>
      </w:r>
      <w:r>
        <w:t>Chapter 6</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LAhE and NAhE+BO. Indicates the end of a</w:t>
      </w:r>
      <w:r>
        <w:rPr>
          <w:rStyle w:val="deletedparamark"/>
        </w:rPr>
        <w:t xml:space="preserve"> </w:t>
      </w:r>
      <w:r>
        <w:t>qualified sumti.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viska la'e lu barda gerku li'u lu'u</w:t>
      </w:r>
    </w:p>
    <w:p w:rsidR="00B72047" w:rsidRDefault="00B72047">
      <w:pPr>
        <w:pStyle w:val="examplescaled"/>
      </w:pPr>
      <w:r>
        <w:tab/>
        <w:t>I see the-referent-of [quote] big dog [end quote] [end ref]</w:t>
      </w:r>
    </w:p>
    <w:p w:rsidR="00B72047" w:rsidRDefault="00B72047">
      <w:pPr>
        <w:pStyle w:val="examplescaled"/>
      </w:pPr>
      <w:r>
        <w:tab/>
        <w:t>I saw “Big Dog” [not the words, but a book or movie].</w:t>
      </w:r>
    </w:p>
    <w:p w:rsidR="00B72047" w:rsidRDefault="00B72047">
      <w:pPr>
        <w:pStyle w:val="Heading4"/>
        <w:spacing w:before="0"/>
      </w:pPr>
      <w:r>
        <w:rPr>
          <w:rStyle w:val="htmlcodes"/>
          <w:vanish w:val="0"/>
        </w:rPr>
        <w:br w:type="page"/>
      </w:r>
      <w:r>
        <w:rPr>
          <w:rStyle w:val="htmlcodes"/>
        </w:rPr>
        <w:t>&lt;/dl&gt;</w:t>
      </w:r>
      <w:r>
        <w:rPr>
          <w:rStyle w:val="indexentry"/>
        </w:rPr>
        <w:t>&lt;lx "MAI, selma'o catalog"&gt;</w:t>
      </w:r>
      <w:r>
        <w:rPr>
          <w:rStyle w:val="indexentry"/>
        </w:rPr>
        <w:fldChar w:fldCharType="begin"/>
      </w:r>
      <w:r>
        <w:instrText>xe "</w:instrText>
      </w:r>
      <w:r>
        <w:rPr>
          <w:rStyle w:val="xeentry"/>
        </w:rPr>
        <w:instrText>MAI selma’o</w:instrText>
      </w:r>
      <w:r>
        <w:instrText>"</w:instrText>
      </w:r>
      <w:r>
        <w:rPr>
          <w:rStyle w:val="indexentry"/>
        </w:rPr>
        <w:fldChar w:fldCharType="end"/>
      </w:r>
      <w:r>
        <w:rPr>
          <w:rStyle w:val="indexentry"/>
        </w:rPr>
        <w:t>&lt;cx "index numbering, selma'o catalog"&gt;</w:t>
      </w:r>
      <w:r>
        <w:rPr>
          <w:rStyle w:val="indexentry"/>
        </w:rPr>
        <w:fldChar w:fldCharType="begin"/>
      </w:r>
      <w:r>
        <w:instrText>xe "</w:instrText>
      </w:r>
      <w:r>
        <w:rPr>
          <w:rStyle w:val="xeentry"/>
        </w:rPr>
        <w:instrText>index numbering</w:instrText>
      </w:r>
      <w:r>
        <w:instrText>"</w:instrText>
      </w:r>
      <w:r>
        <w:rPr>
          <w:rStyle w:val="indexentry"/>
        </w:rPr>
        <w:fldChar w:fldCharType="end"/>
      </w:r>
      <w:r>
        <w:t>selma'o MAI (</w:t>
      </w:r>
      <w:r>
        <w:rPr>
          <w:rStyle w:val="htmlcodes"/>
        </w:rPr>
        <w:t>&lt;a href=chap18.html&gt;</w:t>
      </w:r>
      <w:r>
        <w:t>Chapter 18</w:t>
      </w:r>
      <w:r>
        <w:rPr>
          <w:rStyle w:val="htmlcodes"/>
        </w:rPr>
        <w:t>&lt;/a&gt;</w:t>
      </w:r>
      <w:r>
        <w:t xml:space="preserve">,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suffixed to a number or string of letter words, produces a</w:t>
      </w:r>
      <w:r>
        <w:rPr>
          <w:rStyle w:val="deletedparamark"/>
        </w:rPr>
        <w:t xml:space="preserve"> </w:t>
      </w:r>
      <w:r>
        <w:t>free modifier which serves as an index number within a text.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pamai mi pu klama le zarci</w:t>
      </w:r>
    </w:p>
    <w:p w:rsidR="00B72047" w:rsidRDefault="00B72047">
      <w:pPr>
        <w:pStyle w:val="examplescaled"/>
      </w:pPr>
      <w:r>
        <w:tab/>
        <w:t>1-thly, I [past] go to-the market.</w:t>
      </w:r>
    </w:p>
    <w:p w:rsidR="00B72047" w:rsidRDefault="00B72047">
      <w:pPr>
        <w:pStyle w:val="examplescaled"/>
      </w:pPr>
      <w:r>
        <w:tab/>
        <w:t>First, I went to the market.</w:t>
      </w:r>
    </w:p>
    <w:p w:rsidR="00B72047" w:rsidRDefault="00B72047">
      <w:pPr>
        <w:pStyle w:val="Heading4"/>
      </w:pPr>
      <w:r>
        <w:rPr>
          <w:rStyle w:val="htmlcodes"/>
        </w:rPr>
        <w:t>&lt;/dl&gt;</w:t>
      </w:r>
      <w:r>
        <w:rPr>
          <w:rStyle w:val="indexentry"/>
        </w:rPr>
        <w:t>&lt;lx "MAhO, selma'o catalog"&gt;</w:t>
      </w:r>
      <w:r>
        <w:rPr>
          <w:rStyle w:val="indexentry"/>
        </w:rPr>
        <w:fldChar w:fldCharType="begin"/>
      </w:r>
      <w:r>
        <w:instrText>xe "</w:instrText>
      </w:r>
      <w:r>
        <w:rPr>
          <w:rStyle w:val="xeentry"/>
        </w:rPr>
        <w:instrText>MAhO selma’o</w:instrText>
      </w:r>
      <w:r>
        <w:instrText>"</w:instrText>
      </w:r>
      <w:r>
        <w:rPr>
          <w:rStyle w:val="indexentry"/>
        </w:rPr>
        <w:fldChar w:fldCharType="end"/>
      </w:r>
      <w:r>
        <w:rPr>
          <w:rStyle w:val="indexentry"/>
        </w:rPr>
        <w:t>&lt;cx "converting, operand to operator, selma'o catalog"&gt;</w:t>
      </w:r>
      <w:r>
        <w:rPr>
          <w:rStyle w:val="indexentry"/>
        </w:rPr>
        <w:fldChar w:fldCharType="begin"/>
      </w:r>
      <w:r>
        <w:instrText>xe "</w:instrText>
      </w:r>
      <w:r>
        <w:rPr>
          <w:rStyle w:val="xeentry"/>
        </w:rPr>
        <w:instrText>converting: operand to operator</w:instrText>
      </w:r>
      <w:r>
        <w:instrText>"</w:instrText>
      </w:r>
      <w:r>
        <w:rPr>
          <w:rStyle w:val="indexentry"/>
        </w:rPr>
        <w:fldChar w:fldCharType="end"/>
      </w:r>
      <w:r>
        <w:t>selma'o MAhO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Produces a mathematical operator from a letter or other operand.</w:t>
      </w:r>
      <w:r>
        <w:rPr>
          <w:rStyle w:val="deletedparamark"/>
        </w:rPr>
        <w:t xml:space="preserve"> Terminated by TEhU. </w:t>
      </w:r>
      <w:r>
        <w:t>See VUhU.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ma'o fy. boi xy.</w:t>
      </w:r>
    </w:p>
    <w:p w:rsidR="00B72047" w:rsidRDefault="00B72047">
      <w:pPr>
        <w:pStyle w:val="examplescaled"/>
      </w:pPr>
      <w:r>
        <w:tab/>
        <w:t>[operator] f x</w:t>
      </w:r>
    </w:p>
    <w:p w:rsidR="00B72047" w:rsidRDefault="00B72047">
      <w:pPr>
        <w:pStyle w:val="examplescaled"/>
        <w:rPr>
          <w:rStyle w:val="math"/>
        </w:rPr>
      </w:pPr>
      <w:r>
        <w:rPr>
          <w:rStyle w:val="math"/>
        </w:rPr>
        <w:tab/>
      </w:r>
      <w:r>
        <w:rPr>
          <w:rStyle w:val="math"/>
          <w:i/>
          <w:iCs/>
        </w:rPr>
        <w:t>f(x)</w:t>
      </w:r>
    </w:p>
    <w:p w:rsidR="00B72047" w:rsidRDefault="00B72047">
      <w:pPr>
        <w:pStyle w:val="Heading4"/>
      </w:pPr>
      <w:r>
        <w:rPr>
          <w:rStyle w:val="htmlcodes"/>
        </w:rPr>
        <w:t>&lt;/dl&gt;</w:t>
      </w:r>
      <w:r>
        <w:rPr>
          <w:rStyle w:val="indexentry"/>
        </w:rPr>
        <w:t>&lt;lx "ME, selma'o catalog"&gt;</w:t>
      </w:r>
      <w:r>
        <w:rPr>
          <w:rStyle w:val="indexentry"/>
        </w:rPr>
        <w:fldChar w:fldCharType="begin"/>
      </w:r>
      <w:r>
        <w:instrText>xe "</w:instrText>
      </w:r>
      <w:r>
        <w:rPr>
          <w:rStyle w:val="xeentry"/>
        </w:rPr>
        <w:instrText>ME selma’o</w:instrText>
      </w:r>
      <w:r>
        <w:instrText>"</w:instrText>
      </w:r>
      <w:r>
        <w:rPr>
          <w:rStyle w:val="indexentry"/>
        </w:rPr>
        <w:fldChar w:fldCharType="end"/>
      </w:r>
      <w:r>
        <w:rPr>
          <w:rStyle w:val="indexentry"/>
        </w:rPr>
        <w:t>&lt;cx "converting, sumti to tanru unit, selma'o catalog"&gt;</w:t>
      </w:r>
      <w:r>
        <w:rPr>
          <w:rStyle w:val="indexentry"/>
        </w:rPr>
        <w:fldChar w:fldCharType="begin"/>
      </w:r>
      <w:r>
        <w:instrText>xe "</w:instrText>
      </w:r>
      <w:r>
        <w:rPr>
          <w:rStyle w:val="xeentry"/>
        </w:rPr>
        <w:instrText>converting: sumti to tanru unit</w:instrText>
      </w:r>
      <w:r>
        <w:instrText>"</w:instrText>
      </w:r>
      <w:r>
        <w:rPr>
          <w:rStyle w:val="indexentry"/>
        </w:rPr>
        <w:fldChar w:fldCharType="end"/>
      </w:r>
      <w:r>
        <w:t>selma'o ME (</w:t>
      </w:r>
      <w:r>
        <w:rPr>
          <w:rStyle w:val="htmlcodes"/>
        </w:rPr>
        <w:t>&lt;a href=chap5.html&gt;</w:t>
      </w:r>
      <w:r>
        <w:t>Chapter 5</w:t>
      </w:r>
      <w:r>
        <w:rPr>
          <w:rStyle w:val="htmlcodes"/>
        </w:rPr>
        <w:t>&lt;/a&gt;</w:t>
      </w:r>
      <w:r>
        <w:t xml:space="preserv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Produces a tanru unit from a sumti, which is applicable to the things</w:t>
      </w:r>
      <w:r>
        <w:rPr>
          <w:rStyle w:val="deletedparamark"/>
        </w:rPr>
        <w:t xml:space="preserve"> </w:t>
      </w:r>
      <w:r>
        <w:t>referenced by the sumti. Terminated by MEhU.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me la ford. karce</w:t>
      </w:r>
    </w:p>
    <w:p w:rsidR="00B72047" w:rsidRDefault="00B72047">
      <w:pPr>
        <w:pStyle w:val="examplescaled"/>
      </w:pPr>
      <w:r>
        <w:tab/>
        <w:t>That is-a-Ford-type car.</w:t>
      </w:r>
    </w:p>
    <w:p w:rsidR="00B72047" w:rsidRDefault="00B72047">
      <w:pPr>
        <w:pStyle w:val="examplescaled"/>
      </w:pPr>
      <w:r>
        <w:tab/>
        <w:t>That's a Ford car.</w:t>
      </w:r>
    </w:p>
    <w:p w:rsidR="00B72047" w:rsidRDefault="00B72047">
      <w:pPr>
        <w:pStyle w:val="Heading4"/>
      </w:pPr>
      <w:r>
        <w:rPr>
          <w:rStyle w:val="htmlcodes"/>
        </w:rPr>
        <w:t>&lt;/dl&gt;</w:t>
      </w:r>
      <w:r>
        <w:rPr>
          <w:rStyle w:val="indexentry"/>
        </w:rPr>
        <w:t>&lt;lx "MEhU, selma'o catalog"&gt;</w:t>
      </w:r>
      <w:r>
        <w:rPr>
          <w:rStyle w:val="indexentry"/>
        </w:rPr>
        <w:fldChar w:fldCharType="begin"/>
      </w:r>
      <w:r>
        <w:instrText>xe "</w:instrText>
      </w:r>
      <w:r>
        <w:rPr>
          <w:rStyle w:val="xeentry"/>
        </w:rPr>
        <w:instrText>MEhU selma’o</w:instrText>
      </w:r>
      <w:r>
        <w:instrText>"</w:instrText>
      </w:r>
      <w:r>
        <w:rPr>
          <w:rStyle w:val="indexentry"/>
        </w:rPr>
        <w:fldChar w:fldCharType="end"/>
      </w:r>
      <w:r>
        <w:rPr>
          <w:rStyle w:val="indexentry"/>
        </w:rPr>
        <w:t>&lt;cx "ME, terminator for, selma'o catalog"&gt;</w:t>
      </w:r>
      <w:r>
        <w:rPr>
          <w:rStyle w:val="indexentry"/>
        </w:rPr>
        <w:fldChar w:fldCharType="begin"/>
      </w:r>
      <w:r>
        <w:instrText>xe "</w:instrText>
      </w:r>
      <w:r>
        <w:rPr>
          <w:rStyle w:val="xeentry"/>
        </w:rPr>
        <w:instrText>ME selma’o: terminator for</w:instrText>
      </w:r>
      <w:r>
        <w:instrText>"</w:instrText>
      </w:r>
      <w:r>
        <w:rPr>
          <w:rStyle w:val="indexentry"/>
        </w:rPr>
        <w:fldChar w:fldCharType="end"/>
      </w:r>
      <w:r>
        <w:t>selma'o MEhU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The elidable terminator for ME. Indicates the end of a sumti</w:t>
      </w:r>
      <w:r>
        <w:rPr>
          <w:rStyle w:val="deletedparamark"/>
        </w:rPr>
        <w:t xml:space="preserve"> </w:t>
      </w:r>
      <w:r>
        <w:t>converted to a tanru unit.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me mi me'u zdani</w:t>
      </w:r>
    </w:p>
    <w:p w:rsidR="00B72047" w:rsidRDefault="00B72047">
      <w:pPr>
        <w:pStyle w:val="examplescaled"/>
      </w:pPr>
      <w:r>
        <w:tab/>
        <w:t>That's a me type of house.</w:t>
      </w:r>
    </w:p>
    <w:p w:rsidR="00B72047" w:rsidRDefault="00B72047">
      <w:pPr>
        <w:pStyle w:val="Heading4"/>
      </w:pPr>
      <w:r>
        <w:rPr>
          <w:rStyle w:val="htmlcodes"/>
        </w:rPr>
        <w:t>&lt;/dl&gt;</w:t>
      </w:r>
      <w:r>
        <w:rPr>
          <w:rStyle w:val="indexentry"/>
        </w:rPr>
        <w:t>&lt;lx "MOI, selma'o catalog"&gt;</w:t>
      </w:r>
      <w:r>
        <w:rPr>
          <w:rStyle w:val="indexentry"/>
        </w:rPr>
        <w:fldChar w:fldCharType="begin"/>
      </w:r>
      <w:r>
        <w:instrText>xe "</w:instrText>
      </w:r>
      <w:r>
        <w:rPr>
          <w:rStyle w:val="xeentry"/>
        </w:rPr>
        <w:instrText>MOI selma’o</w:instrText>
      </w:r>
      <w:r>
        <w:instrText>"</w:instrText>
      </w:r>
      <w:r>
        <w:rPr>
          <w:rStyle w:val="indexentry"/>
        </w:rPr>
        <w:fldChar w:fldCharType="end"/>
      </w:r>
      <w:r>
        <w:rPr>
          <w:rStyle w:val="indexentry"/>
        </w:rPr>
        <w:t>&lt;cx "converting, quantifier to selbri, selma'o catalog"&gt;</w:t>
      </w:r>
      <w:r>
        <w:rPr>
          <w:rStyle w:val="indexentry"/>
        </w:rPr>
        <w:fldChar w:fldCharType="begin"/>
      </w:r>
      <w:r>
        <w:instrText>xe "</w:instrText>
      </w:r>
      <w:r>
        <w:rPr>
          <w:rStyle w:val="xeentry"/>
        </w:rPr>
        <w:instrText>converting: quantifier to selbri</w:instrText>
      </w:r>
      <w:r>
        <w:instrText>"</w:instrText>
      </w:r>
      <w:r>
        <w:rPr>
          <w:rStyle w:val="indexentry"/>
        </w:rPr>
        <w:fldChar w:fldCharType="end"/>
      </w:r>
      <w:r>
        <w:t>selma'o MOI (</w:t>
      </w:r>
      <w:r>
        <w:rPr>
          <w:rStyle w:val="htmlcodes"/>
        </w:rPr>
        <w:t>&lt;a href=chap5.html&gt;</w:t>
      </w:r>
      <w:r>
        <w:t>Chapter 5, 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Suffixes added to numbers or other quantifiers to make various</w:t>
      </w:r>
      <w:r>
        <w:rPr>
          <w:rStyle w:val="deletedparamark"/>
        </w:rPr>
        <w:t xml:space="preserve"> </w:t>
      </w:r>
      <w:r>
        <w:t>numerically-based sel</w:t>
      </w:r>
      <w:r>
        <w:softHyphen/>
        <w:t>bri.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joi la frank. cu bruna remei</w:t>
      </w:r>
    </w:p>
    <w:p w:rsidR="00B72047" w:rsidRDefault="00B72047">
      <w:pPr>
        <w:pStyle w:val="examplescaled"/>
      </w:pPr>
      <w:r>
        <w:tab/>
        <w:t>John in-a-mass-with Frank are-a-brother-type-of twosome.</w:t>
      </w:r>
    </w:p>
    <w:p w:rsidR="00B72047" w:rsidRDefault="00B72047">
      <w:pPr>
        <w:pStyle w:val="examplescaled"/>
      </w:pPr>
      <w:r>
        <w:tab/>
        <w:t>John and Frank are two brothers.</w:t>
      </w:r>
    </w:p>
    <w:p w:rsidR="00B72047" w:rsidRDefault="00B72047">
      <w:pPr>
        <w:pStyle w:val="Heading4"/>
      </w:pPr>
      <w:r>
        <w:rPr>
          <w:rStyle w:val="htmlcodes"/>
        </w:rPr>
        <w:t>&lt;/dl&gt;</w:t>
      </w:r>
      <w:r>
        <w:rPr>
          <w:rStyle w:val="indexentry"/>
        </w:rPr>
        <w:t>&lt;lx "MOhE, selma'o catalog"&gt;</w:t>
      </w:r>
      <w:r>
        <w:rPr>
          <w:rStyle w:val="indexentry"/>
        </w:rPr>
        <w:fldChar w:fldCharType="begin"/>
      </w:r>
      <w:r>
        <w:instrText>xe "</w:instrText>
      </w:r>
      <w:r>
        <w:rPr>
          <w:rStyle w:val="xeentry"/>
        </w:rPr>
        <w:instrText>MOhE selma’o</w:instrText>
      </w:r>
      <w:r>
        <w:instrText>"</w:instrText>
      </w:r>
      <w:r>
        <w:rPr>
          <w:rStyle w:val="indexentry"/>
        </w:rPr>
        <w:fldChar w:fldCharType="end"/>
      </w:r>
      <w:r>
        <w:rPr>
          <w:rStyle w:val="indexentry"/>
        </w:rPr>
        <w:t>&lt;cx "converting, sumti to operand, selma'o catalog"&gt;</w:t>
      </w:r>
      <w:r>
        <w:rPr>
          <w:rStyle w:val="indexentry"/>
        </w:rPr>
        <w:fldChar w:fldCharType="begin"/>
      </w:r>
      <w:r>
        <w:instrText>xe "</w:instrText>
      </w:r>
      <w:r>
        <w:rPr>
          <w:rStyle w:val="xeentry"/>
        </w:rPr>
        <w:instrText>converting: sumti to operand</w:instrText>
      </w:r>
      <w:r>
        <w:instrText>"</w:instrText>
      </w:r>
      <w:r>
        <w:rPr>
          <w:rStyle w:val="indexentry"/>
        </w:rPr>
        <w:fldChar w:fldCharType="end"/>
      </w:r>
      <w:r>
        <w:t>selma'o MOhE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Produces a mathematical operand from a sumti; used to make</w:t>
      </w:r>
      <w:r>
        <w:rPr>
          <w:rStyle w:val="deletedparamark"/>
        </w:rPr>
        <w:t xml:space="preserve"> </w:t>
      </w:r>
      <w:r>
        <w:t>dimensioned units. Ter</w:t>
      </w:r>
      <w:r>
        <w:softHyphen/>
        <w:t>mi</w:t>
      </w:r>
      <w:r>
        <w:softHyphen/>
        <w:t>nated by TEhU.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mo'e re ratcu su'i mo'e re ractu du li mo'e vo danlu</w:t>
      </w:r>
    </w:p>
    <w:p w:rsidR="00B72047" w:rsidRDefault="00B72047">
      <w:pPr>
        <w:pStyle w:val="examplescaled"/>
        <w:ind w:firstLine="0"/>
      </w:pPr>
      <w:r>
        <w:t>The-number two rats plus two rabbits equals the-number four animals.</w:t>
      </w:r>
    </w:p>
    <w:p w:rsidR="00B72047" w:rsidRDefault="00B72047">
      <w:pPr>
        <w:pStyle w:val="examplescaled"/>
        <w:rPr>
          <w:rStyle w:val="math"/>
        </w:rPr>
      </w:pPr>
      <w:r>
        <w:rPr>
          <w:rStyle w:val="math"/>
        </w:rPr>
        <w:tab/>
        <w:t>2 rats + 2 rabbits = 4 animals.</w:t>
      </w:r>
    </w:p>
    <w:p w:rsidR="00B72047" w:rsidRDefault="00B72047">
      <w:pPr>
        <w:pStyle w:val="Heading4"/>
        <w:spacing w:before="0"/>
      </w:pPr>
      <w:r>
        <w:rPr>
          <w:rStyle w:val="htmlcodes"/>
          <w:vanish w:val="0"/>
        </w:rPr>
        <w:br w:type="page"/>
      </w:r>
      <w:r>
        <w:rPr>
          <w:rStyle w:val="htmlcodes"/>
        </w:rPr>
        <w:t>&lt;/dl&gt;</w:t>
      </w:r>
      <w:r>
        <w:rPr>
          <w:rStyle w:val="indexentry"/>
        </w:rPr>
        <w:t>&lt;lx "MOhI, selma'o catalog"&gt;</w:t>
      </w:r>
      <w:r>
        <w:rPr>
          <w:rStyle w:val="indexentry"/>
        </w:rPr>
        <w:fldChar w:fldCharType="begin"/>
      </w:r>
      <w:r>
        <w:instrText>xe "</w:instrText>
      </w:r>
      <w:r>
        <w:rPr>
          <w:rStyle w:val="xeentry"/>
        </w:rPr>
        <w:instrText>MOhI selma’o</w:instrText>
      </w:r>
      <w:r>
        <w:instrText>"</w:instrText>
      </w:r>
      <w:r>
        <w:rPr>
          <w:rStyle w:val="indexentry"/>
        </w:rPr>
        <w:fldChar w:fldCharType="end"/>
      </w:r>
      <w:r>
        <w:rPr>
          <w:rStyle w:val="indexentry"/>
        </w:rPr>
        <w:t>&lt;cx "space movement indicator, selma'o catalog"&gt;</w:t>
      </w:r>
      <w:r>
        <w:rPr>
          <w:rStyle w:val="indexentry"/>
        </w:rPr>
        <w:fldChar w:fldCharType="begin"/>
      </w:r>
      <w:r>
        <w:instrText>xe "</w:instrText>
      </w:r>
      <w:r>
        <w:rPr>
          <w:rStyle w:val="xeentry"/>
        </w:rPr>
        <w:instrText>space movement indicator</w:instrText>
      </w:r>
      <w:r>
        <w:instrText>"</w:instrText>
      </w:r>
      <w:r>
        <w:rPr>
          <w:rStyle w:val="indexentry"/>
        </w:rPr>
        <w:fldChar w:fldCharType="end"/>
      </w:r>
      <w:r>
        <w:t>selma'o MOhI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flag indicating movement in space, in a direction specified</w:t>
      </w:r>
      <w:r>
        <w:rPr>
          <w:rStyle w:val="deletedparamark"/>
        </w:rPr>
        <w:t xml:space="preserve"> </w:t>
      </w:r>
      <w:r>
        <w:t>by a following FAhA cmavo.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verba mo'i ri'u cadzu le bisli</w:t>
      </w:r>
    </w:p>
    <w:p w:rsidR="00B72047" w:rsidRDefault="00B72047">
      <w:pPr>
        <w:pStyle w:val="examplescaled"/>
      </w:pPr>
      <w:r>
        <w:tab/>
        <w:t>The child [movement] [right] walks-on the ice.</w:t>
      </w:r>
    </w:p>
    <w:p w:rsidR="00B72047" w:rsidRDefault="00B72047">
      <w:pPr>
        <w:pStyle w:val="examplescaled"/>
      </w:pPr>
      <w:r>
        <w:tab/>
        <w:t>The child walks toward my right on the ice.</w:t>
      </w:r>
    </w:p>
    <w:p w:rsidR="00B72047" w:rsidRDefault="00B72047">
      <w:pPr>
        <w:pStyle w:val="Heading4"/>
      </w:pPr>
      <w:r>
        <w:rPr>
          <w:rStyle w:val="htmlcodes"/>
        </w:rPr>
        <w:t>&lt;/dl&gt;</w:t>
      </w:r>
      <w:r>
        <w:rPr>
          <w:rStyle w:val="indexentry"/>
        </w:rPr>
        <w:t>&lt;lx "NA, selma'o catalog"&gt;</w:t>
      </w:r>
      <w:r>
        <w:rPr>
          <w:rStyle w:val="indexentry"/>
        </w:rPr>
        <w:fldChar w:fldCharType="begin"/>
      </w:r>
      <w:r>
        <w:instrText>xe "</w:instrText>
      </w:r>
      <w:r>
        <w:rPr>
          <w:rStyle w:val="xeentry"/>
        </w:rPr>
        <w:instrText>NA selma’o</w:instrText>
      </w:r>
      <w:r>
        <w:instrText>"</w:instrText>
      </w:r>
      <w:r>
        <w:rPr>
          <w:rStyle w:val="indexentry"/>
        </w:rPr>
        <w:fldChar w:fldCharType="end"/>
      </w:r>
      <w:r>
        <w:rPr>
          <w:rStyle w:val="indexentry"/>
        </w:rPr>
        <w:t>&lt;cx "negator, contradictory, selma'o catalog"&gt;</w:t>
      </w:r>
      <w:r>
        <w:rPr>
          <w:rStyle w:val="indexentry"/>
        </w:rPr>
        <w:fldChar w:fldCharType="begin"/>
      </w:r>
      <w:r>
        <w:instrText>xe "</w:instrText>
      </w:r>
      <w:r>
        <w:rPr>
          <w:rStyle w:val="xeentry"/>
        </w:rPr>
        <w:instrText>negator: contradictory</w:instrText>
      </w:r>
      <w:r>
        <w:instrText>"</w:instrText>
      </w:r>
      <w:r>
        <w:rPr>
          <w:rStyle w:val="indexentry"/>
        </w:rPr>
        <w:fldChar w:fldCharType="end"/>
      </w:r>
      <w:r>
        <w:t>selma'o NA (</w:t>
      </w:r>
      <w:r>
        <w:rPr>
          <w:rStyle w:val="htmlcodes"/>
        </w:rPr>
        <w:t>&lt;a href=chap14.html&gt;</w:t>
      </w:r>
      <w:r>
        <w:t>Chapter 14</w:t>
      </w:r>
      <w:r>
        <w:rPr>
          <w:rStyle w:val="htmlcodes"/>
        </w:rPr>
        <w:t>&lt;/a&gt;</w:t>
      </w:r>
      <w:r>
        <w:t xml:space="preserve">,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Contradictory negators, asserting that a whole bridi is false (or</w:t>
      </w:r>
      <w:r>
        <w:rPr>
          <w:rStyle w:val="deletedparamark"/>
        </w:rPr>
        <w:t xml:space="preserve"> </w:t>
      </w:r>
      <w:r>
        <w:t>true).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na klama le zarci</w:t>
      </w:r>
    </w:p>
    <w:p w:rsidR="00B72047" w:rsidRDefault="00B72047">
      <w:pPr>
        <w:pStyle w:val="examplescaled"/>
      </w:pPr>
      <w:r>
        <w:tab/>
        <w:t>It is not true that I go to the market.</w:t>
      </w:r>
    </w:p>
    <w:p w:rsidR="00B72047" w:rsidRDefault="00B72047">
      <w:pPr>
        <w:pStyle w:val="resumedafterexample"/>
      </w:pPr>
      <w:r>
        <w:rPr>
          <w:rStyle w:val="htmlcodes"/>
        </w:rPr>
        <w:t>&lt;/dl&gt;&lt;p&gt;</w:t>
      </w:r>
      <w:r>
        <w:t>Also used to construct logical connective compound cmavo.</w:t>
      </w:r>
    </w:p>
    <w:p w:rsidR="00B72047" w:rsidRDefault="00B72047">
      <w:pPr>
        <w:rPr>
          <w:rStyle w:val="htmlparacode"/>
        </w:rPr>
      </w:pPr>
      <w:r>
        <w:rPr>
          <w:rStyle w:val="htmlparacode"/>
        </w:rPr>
        <w:t>&lt;p&gt;</w:t>
      </w:r>
    </w:p>
    <w:p w:rsidR="00B72047" w:rsidRDefault="00B72047">
      <w:pPr>
        <w:pStyle w:val="Heading4"/>
      </w:pPr>
      <w:r>
        <w:rPr>
          <w:rStyle w:val="indexentry"/>
        </w:rPr>
        <w:t>&lt;lx "NAI, selma'o catalog"&gt;</w:t>
      </w:r>
      <w:r>
        <w:rPr>
          <w:rStyle w:val="indexentry"/>
        </w:rPr>
        <w:fldChar w:fldCharType="begin"/>
      </w:r>
      <w:r>
        <w:instrText>xe "</w:instrText>
      </w:r>
      <w:r>
        <w:rPr>
          <w:rStyle w:val="xeentry"/>
        </w:rPr>
        <w:instrText>NAI selma’o</w:instrText>
      </w:r>
      <w:r>
        <w:instrText>"</w:instrText>
      </w:r>
      <w:r>
        <w:rPr>
          <w:rStyle w:val="indexentry"/>
        </w:rPr>
        <w:fldChar w:fldCharType="end"/>
      </w:r>
      <w:r>
        <w:rPr>
          <w:rStyle w:val="indexentry"/>
        </w:rPr>
        <w:t>&lt;cx "negator, single-word, selma'o catalog"&gt;</w:t>
      </w:r>
      <w:r>
        <w:rPr>
          <w:rStyle w:val="indexentry"/>
        </w:rPr>
        <w:fldChar w:fldCharType="begin"/>
      </w:r>
      <w:r>
        <w:instrText>xe "</w:instrText>
      </w:r>
      <w:r>
        <w:rPr>
          <w:rStyle w:val="xeentry"/>
        </w:rPr>
        <w:instrText>negator: single-word</w:instrText>
      </w:r>
      <w:r>
        <w:instrText>"</w:instrText>
      </w:r>
      <w:r>
        <w:rPr>
          <w:rStyle w:val="indexentry"/>
        </w:rPr>
        <w:fldChar w:fldCharType="end"/>
      </w:r>
      <w:r>
        <w:t>selma'o NAI (</w:t>
      </w:r>
      <w:r>
        <w:rPr>
          <w:rStyle w:val="htmlcodes"/>
        </w:rPr>
        <w:t>&lt;a href=chap14.html&gt;</w:t>
      </w:r>
      <w:r>
        <w:t>Chapter 14</w:t>
      </w:r>
      <w:r>
        <w:rPr>
          <w:rStyle w:val="htmlcodes"/>
        </w:rPr>
        <w:t>&lt;/a&gt;</w:t>
      </w:r>
      <w:r>
        <w:t xml:space="preserve">,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Negates the previous word, but can only be used with certain selma'o</w:t>
      </w:r>
      <w:r>
        <w:rPr>
          <w:rStyle w:val="deletedparamark"/>
        </w:rPr>
        <w:t xml:space="preserve"> </w:t>
      </w:r>
      <w:r>
        <w:t>as specified by the grammar.</w:t>
      </w:r>
    </w:p>
    <w:p w:rsidR="00B72047" w:rsidRDefault="00B72047">
      <w:pPr>
        <w:pStyle w:val="Heading4"/>
        <w:rPr>
          <w:rStyle w:val="htmlparacode"/>
        </w:rPr>
      </w:pPr>
      <w:r>
        <w:rPr>
          <w:rStyle w:val="htmlparacode"/>
        </w:rPr>
        <w:t>&lt;p&gt;</w:t>
      </w:r>
    </w:p>
    <w:p w:rsidR="00B72047" w:rsidRDefault="00B72047">
      <w:pPr>
        <w:pStyle w:val="Heading4"/>
      </w:pPr>
      <w:r>
        <w:rPr>
          <w:rStyle w:val="indexentry"/>
        </w:rPr>
        <w:t>&lt;lx "NAhE, selma'o catalog"&gt;</w:t>
      </w:r>
      <w:r>
        <w:rPr>
          <w:rStyle w:val="indexentry"/>
        </w:rPr>
        <w:fldChar w:fldCharType="begin"/>
      </w:r>
      <w:r>
        <w:instrText>xe "</w:instrText>
      </w:r>
      <w:r>
        <w:rPr>
          <w:rStyle w:val="xeentry"/>
        </w:rPr>
        <w:instrText>NAhE selma’o</w:instrText>
      </w:r>
      <w:r>
        <w:instrText>"</w:instrText>
      </w:r>
      <w:r>
        <w:rPr>
          <w:rStyle w:val="indexentry"/>
        </w:rPr>
        <w:fldChar w:fldCharType="end"/>
      </w:r>
      <w:r>
        <w:rPr>
          <w:rStyle w:val="indexentry"/>
        </w:rPr>
        <w:t>&lt;cx "negator, scalar, selma'o catalog"&gt;</w:t>
      </w:r>
      <w:r>
        <w:rPr>
          <w:rStyle w:val="indexentry"/>
        </w:rPr>
        <w:fldChar w:fldCharType="begin"/>
      </w:r>
      <w:r>
        <w:instrText>xe "</w:instrText>
      </w:r>
      <w:r>
        <w:rPr>
          <w:rStyle w:val="xeentry"/>
        </w:rPr>
        <w:instrText>negator: scalar</w:instrText>
      </w:r>
      <w:r>
        <w:instrText>"</w:instrText>
      </w:r>
      <w:r>
        <w:rPr>
          <w:rStyle w:val="indexentry"/>
        </w:rPr>
        <w:fldChar w:fldCharType="end"/>
      </w:r>
      <w:r>
        <w:t>selma'o NAhE (</w:t>
      </w:r>
      <w:r>
        <w:rPr>
          <w:rStyle w:val="htmlcodes"/>
        </w:rPr>
        <w:t>&lt;a href=chap15.html&gt;</w:t>
      </w:r>
      <w:r>
        <w:t>Chapter 15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Scalar negators, modifying a selbri or a sumti to a value other</w:t>
      </w:r>
      <w:r>
        <w:rPr>
          <w:rStyle w:val="deletedparamark"/>
        </w:rPr>
        <w:t xml:space="preserve"> </w:t>
      </w:r>
      <w:r>
        <w:t>than the one stated, the opposite of the one stated, etc.</w:t>
      </w:r>
      <w:r>
        <w:rPr>
          <w:rStyle w:val="deletedparamark"/>
        </w:rPr>
        <w:t xml:space="preserve"> </w:t>
      </w:r>
      <w:r>
        <w:t>Also used with following BO to construct a sumti quali</w:t>
      </w:r>
      <w:r>
        <w:softHyphen/>
        <w:t>fier; see LAhE.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na'e blanu zdani</w:t>
      </w:r>
    </w:p>
    <w:p w:rsidR="00B72047" w:rsidRDefault="00B72047">
      <w:pPr>
        <w:pStyle w:val="examplescaled"/>
      </w:pPr>
      <w:r>
        <w:tab/>
        <w:t>That is-a-non- blue house.</w:t>
      </w:r>
    </w:p>
    <w:p w:rsidR="00B72047" w:rsidRDefault="00B72047">
      <w:pPr>
        <w:pStyle w:val="examplescaled"/>
      </w:pPr>
      <w:r>
        <w:tab/>
        <w:t>That is a house which is other than blue.</w:t>
      </w:r>
    </w:p>
    <w:p w:rsidR="00B72047" w:rsidRDefault="00B72047">
      <w:pPr>
        <w:pStyle w:val="Heading4"/>
      </w:pPr>
      <w:r>
        <w:rPr>
          <w:rStyle w:val="htmlcodes"/>
        </w:rPr>
        <w:t>&lt;/dl&gt;</w:t>
      </w:r>
      <w:r>
        <w:rPr>
          <w:rStyle w:val="indexentry"/>
        </w:rPr>
        <w:t>&lt;lx "NAhU, selma'o catalog"&gt;</w:t>
      </w:r>
      <w:r>
        <w:rPr>
          <w:rStyle w:val="indexentry"/>
        </w:rPr>
        <w:fldChar w:fldCharType="begin"/>
      </w:r>
      <w:r>
        <w:instrText>xe "</w:instrText>
      </w:r>
      <w:r>
        <w:rPr>
          <w:rStyle w:val="xeentry"/>
        </w:rPr>
        <w:instrText>NAhU selma’o</w:instrText>
      </w:r>
      <w:r>
        <w:instrText>"</w:instrText>
      </w:r>
      <w:r>
        <w:rPr>
          <w:rStyle w:val="indexentry"/>
        </w:rPr>
        <w:fldChar w:fldCharType="end"/>
      </w:r>
      <w:r>
        <w:rPr>
          <w:rStyle w:val="indexentry"/>
        </w:rPr>
        <w:t>&lt;cx "converting, selbri to operator, selma'o catalog"&gt;</w:t>
      </w:r>
      <w:r>
        <w:rPr>
          <w:rStyle w:val="indexentry"/>
        </w:rPr>
        <w:fldChar w:fldCharType="begin"/>
      </w:r>
      <w:r>
        <w:instrText>xe "</w:instrText>
      </w:r>
      <w:r>
        <w:rPr>
          <w:rStyle w:val="xeentry"/>
        </w:rPr>
        <w:instrText>converting: selbri to operator</w:instrText>
      </w:r>
      <w:r>
        <w:instrText>"</w:instrText>
      </w:r>
      <w:r>
        <w:rPr>
          <w:rStyle w:val="indexentry"/>
        </w:rPr>
        <w:fldChar w:fldCharType="end"/>
      </w:r>
      <w:r>
        <w:t>selma'o NAhU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Creates a mathematical operator from a selbri. Terminated by TEhU. See VUhU.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na'u tanjo te'u vei pai fe'i re [ve'o] du li ci'i</w:t>
      </w:r>
    </w:p>
    <w:p w:rsidR="00B72047" w:rsidRDefault="00B72047">
      <w:pPr>
        <w:pStyle w:val="examplescaled"/>
      </w:pPr>
      <w:r>
        <w:tab/>
        <w:t>The-number the-operator tangent (</w:t>
      </w:r>
      <w:r>
        <w:rPr>
          <w:rStyle w:val="math"/>
        </w:rPr>
        <w:sym w:font="Symbol" w:char="F070"/>
      </w:r>
      <w:r>
        <w:rPr>
          <w:rStyle w:val="htmlcodes"/>
        </w:rPr>
        <w:t>pi</w:t>
      </w:r>
      <w:r>
        <w:rPr>
          <w:rStyle w:val="math"/>
        </w:rPr>
        <w:t xml:space="preserve"> / 2 </w:t>
      </w:r>
      <w:r>
        <w:t>) = the-number infinity.</w:t>
      </w:r>
    </w:p>
    <w:p w:rsidR="00B72047" w:rsidRDefault="00B72047">
      <w:pPr>
        <w:pStyle w:val="examplescaled"/>
        <w:rPr>
          <w:rStyle w:val="math"/>
        </w:rPr>
      </w:pPr>
      <w:r>
        <w:rPr>
          <w:rStyle w:val="math"/>
        </w:rPr>
        <w:tab/>
        <w:t>tan(</w:t>
      </w:r>
      <w:r>
        <w:rPr>
          <w:rStyle w:val="math"/>
        </w:rPr>
        <w:sym w:font="Symbol" w:char="F070"/>
      </w:r>
      <w:r>
        <w:rPr>
          <w:rStyle w:val="htmlcodes"/>
        </w:rPr>
        <w:t>pi</w:t>
      </w:r>
      <w:r>
        <w:rPr>
          <w:rStyle w:val="math"/>
        </w:rPr>
        <w:t xml:space="preserve">/2) = </w:t>
      </w:r>
      <w:r>
        <w:rPr>
          <w:rStyle w:val="htmlcodes"/>
        </w:rPr>
        <w:t>infinity</w:t>
      </w:r>
      <w:r>
        <w:rPr>
          <w:rStyle w:val="math"/>
        </w:rPr>
        <w:sym w:font="Symbol" w:char="F0A5"/>
      </w:r>
    </w:p>
    <w:p w:rsidR="00B72047" w:rsidRDefault="00B72047">
      <w:pPr>
        <w:pStyle w:val="Heading4"/>
      </w:pPr>
      <w:r>
        <w:rPr>
          <w:rStyle w:val="htmlcodes"/>
        </w:rPr>
        <w:t>&lt;/dl&gt;</w:t>
      </w:r>
      <w:r>
        <w:rPr>
          <w:rStyle w:val="indexentry"/>
        </w:rPr>
        <w:t>&lt;lx "NIhE, selma'o catalog"&gt;</w:t>
      </w:r>
      <w:r>
        <w:rPr>
          <w:rStyle w:val="indexentry"/>
        </w:rPr>
        <w:fldChar w:fldCharType="begin"/>
      </w:r>
      <w:r>
        <w:instrText>xe "</w:instrText>
      </w:r>
      <w:r>
        <w:rPr>
          <w:rStyle w:val="xeentry"/>
        </w:rPr>
        <w:instrText>NIhE selma’o</w:instrText>
      </w:r>
      <w:r>
        <w:instrText>"</w:instrText>
      </w:r>
      <w:r>
        <w:rPr>
          <w:rStyle w:val="indexentry"/>
        </w:rPr>
        <w:fldChar w:fldCharType="end"/>
      </w:r>
      <w:r>
        <w:rPr>
          <w:rStyle w:val="indexentry"/>
        </w:rPr>
        <w:t>&lt;cx "converting, selbri to operand, selma'o catalog"&gt;</w:t>
      </w:r>
      <w:r>
        <w:rPr>
          <w:rStyle w:val="indexentry"/>
        </w:rPr>
        <w:fldChar w:fldCharType="begin"/>
      </w:r>
      <w:r>
        <w:instrText>xe "</w:instrText>
      </w:r>
      <w:r>
        <w:rPr>
          <w:rStyle w:val="xeentry"/>
        </w:rPr>
        <w:instrText>converting: selbri to operand</w:instrText>
      </w:r>
      <w:r>
        <w:instrText>"</w:instrText>
      </w:r>
      <w:r>
        <w:rPr>
          <w:rStyle w:val="indexentry"/>
        </w:rPr>
        <w:fldChar w:fldCharType="end"/>
      </w:r>
      <w:r>
        <w:t>selma'o NIhE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Creates a mathematical operand from a selbri, usually a “ni”</w:t>
      </w:r>
      <w:r>
        <w:rPr>
          <w:rStyle w:val="deletedparamark"/>
        </w:rPr>
        <w:t xml:space="preserve"> </w:t>
      </w:r>
      <w:r>
        <w:t>abstraction. Terminated by TEhU.</w:t>
      </w:r>
      <w:r>
        <w:rPr>
          <w:rStyle w:val="math"/>
        </w:rPr>
        <w:t xml:space="preserve"> </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ni'e ni clani [te'u] pi'i ni'e ni ganra [te'u] pi'i</w:t>
      </w:r>
    </w:p>
    <w:p w:rsidR="00B72047" w:rsidRDefault="00B72047">
      <w:pPr>
        <w:pStyle w:val="examplescaled"/>
      </w:pPr>
      <w:r>
        <w:tab/>
      </w:r>
      <w:r>
        <w:tab/>
        <w:t>ni'e ni condi te'u du li ni'e ni canlu</w:t>
      </w:r>
    </w:p>
    <w:p w:rsidR="00B72047" w:rsidRDefault="00B72047">
      <w:pPr>
        <w:pStyle w:val="examplescaled"/>
      </w:pPr>
      <w:r>
        <w:tab/>
        <w:t>The-number quantity-of length times quantity-of width times</w:t>
      </w:r>
    </w:p>
    <w:p w:rsidR="00B72047" w:rsidRDefault="00B72047">
      <w:pPr>
        <w:pStyle w:val="examplescaled"/>
      </w:pPr>
      <w:r>
        <w:tab/>
      </w:r>
      <w:r>
        <w:tab/>
        <w:t>quantity-of depth equals the-number quantity-of volume.</w:t>
      </w:r>
    </w:p>
    <w:p w:rsidR="00B72047" w:rsidRDefault="00B72047">
      <w:pPr>
        <w:pStyle w:val="examplescaled"/>
      </w:pPr>
      <w:r>
        <w:tab/>
        <w:t xml:space="preserve">Length </w:t>
      </w:r>
      <w:r>
        <w:sym w:font="Symbol" w:char="F0B4"/>
      </w:r>
      <w:r>
        <w:t xml:space="preserve"> Width </w:t>
      </w:r>
      <w:r>
        <w:sym w:font="Symbol" w:char="F0B4"/>
      </w:r>
      <w:r>
        <w:t xml:space="preserve"> Depth = Volume</w:t>
      </w:r>
    </w:p>
    <w:p w:rsidR="00B72047" w:rsidRDefault="00B72047">
      <w:pPr>
        <w:pStyle w:val="Heading4"/>
        <w:spacing w:before="0"/>
      </w:pPr>
      <w:r>
        <w:rPr>
          <w:rStyle w:val="htmlcodes"/>
          <w:vanish w:val="0"/>
        </w:rPr>
        <w:br w:type="page"/>
      </w:r>
      <w:r>
        <w:rPr>
          <w:rStyle w:val="htmlcodes"/>
        </w:rPr>
        <w:t>&lt;/dl&gt;</w:t>
      </w:r>
      <w:r>
        <w:rPr>
          <w:rStyle w:val="indexentry"/>
        </w:rPr>
        <w:t>&lt;lx "NIhO, selma'o catalog"&gt;</w:t>
      </w:r>
      <w:r>
        <w:rPr>
          <w:rStyle w:val="indexentry"/>
        </w:rPr>
        <w:fldChar w:fldCharType="begin"/>
      </w:r>
      <w:r>
        <w:instrText>xe "</w:instrText>
      </w:r>
      <w:r>
        <w:rPr>
          <w:rStyle w:val="xeentry"/>
        </w:rPr>
        <w:instrText>NIhO selma’o</w:instrText>
      </w:r>
      <w:r>
        <w:instrText>"</w:instrText>
      </w:r>
      <w:r>
        <w:rPr>
          <w:rStyle w:val="indexentry"/>
        </w:rPr>
        <w:fldChar w:fldCharType="end"/>
      </w:r>
      <w:r>
        <w:rPr>
          <w:rStyle w:val="indexentry"/>
        </w:rPr>
        <w:t>&lt;cx "paragraph marker, selma'o catalog"&gt;</w:t>
      </w:r>
      <w:r>
        <w:rPr>
          <w:rStyle w:val="indexentry"/>
        </w:rPr>
        <w:fldChar w:fldCharType="begin"/>
      </w:r>
      <w:r>
        <w:instrText>xe "</w:instrText>
      </w:r>
      <w:r>
        <w:rPr>
          <w:rStyle w:val="xeentry"/>
        </w:rPr>
        <w:instrText>paragraph marker</w:instrText>
      </w:r>
      <w:r>
        <w:instrText>"</w:instrText>
      </w:r>
      <w:r>
        <w:rPr>
          <w:rStyle w:val="indexentry"/>
        </w:rPr>
        <w:fldChar w:fldCharType="end"/>
      </w:r>
      <w:r>
        <w:t>selma'o NIhO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Marks the beginning of a new paragraph, and indicates whether</w:t>
      </w:r>
      <w:r>
        <w:rPr>
          <w:rStyle w:val="deletedparamark"/>
        </w:rPr>
        <w:t xml:space="preserve"> </w:t>
      </w:r>
      <w:r>
        <w:t>it contains old or new subject matter.</w:t>
      </w:r>
    </w:p>
    <w:p w:rsidR="00B72047" w:rsidRDefault="00B72047">
      <w:pPr>
        <w:rPr>
          <w:rStyle w:val="htmlparacode"/>
        </w:rPr>
      </w:pPr>
      <w:r>
        <w:rPr>
          <w:rStyle w:val="htmlparacode"/>
        </w:rPr>
        <w:t>&lt;p&gt;</w:t>
      </w:r>
    </w:p>
    <w:p w:rsidR="00B72047" w:rsidRDefault="00B72047">
      <w:pPr>
        <w:pStyle w:val="Heading4"/>
      </w:pPr>
      <w:r>
        <w:rPr>
          <w:rStyle w:val="indexentry"/>
        </w:rPr>
        <w:t>&lt;lx "NOI, selma'o catalog"&gt;</w:t>
      </w:r>
      <w:r>
        <w:rPr>
          <w:rStyle w:val="indexentry"/>
        </w:rPr>
        <w:fldChar w:fldCharType="begin"/>
      </w:r>
      <w:r>
        <w:instrText>xe "</w:instrText>
      </w:r>
      <w:r>
        <w:rPr>
          <w:rStyle w:val="xeentry"/>
        </w:rPr>
        <w:instrText>NOI selma’o</w:instrText>
      </w:r>
      <w:r>
        <w:instrText>"</w:instrText>
      </w:r>
      <w:r>
        <w:rPr>
          <w:rStyle w:val="indexentry"/>
        </w:rPr>
        <w:fldChar w:fldCharType="end"/>
      </w:r>
      <w:r>
        <w:rPr>
          <w:rStyle w:val="indexentry"/>
        </w:rPr>
        <w:t>&lt;cx "relative clause marker, selma'o catalog"&gt;</w:t>
      </w:r>
      <w:r>
        <w:rPr>
          <w:rStyle w:val="indexentry"/>
        </w:rPr>
        <w:fldChar w:fldCharType="begin"/>
      </w:r>
      <w:r>
        <w:instrText>xe "</w:instrText>
      </w:r>
      <w:r>
        <w:rPr>
          <w:rStyle w:val="xeentry"/>
        </w:rPr>
        <w:instrText>relative clause marker</w:instrText>
      </w:r>
      <w:r>
        <w:instrText>"</w:instrText>
      </w:r>
      <w:r>
        <w:rPr>
          <w:rStyle w:val="indexentry"/>
        </w:rPr>
        <w:fldChar w:fldCharType="end"/>
      </w:r>
      <w:r>
        <w:t>selma'o NOI (</w:t>
      </w:r>
      <w:r>
        <w:rPr>
          <w:rStyle w:val="htmlcodes"/>
        </w:rPr>
        <w:t>&lt;a href=chap8.html&gt;</w:t>
      </w:r>
      <w:r>
        <w:t>Chapter 8</w:t>
      </w:r>
      <w:r>
        <w:rPr>
          <w:rStyle w:val="htmlcodes"/>
        </w:rPr>
        <w:t>&lt;/a&gt;</w:t>
      </w:r>
      <w:r>
        <w:t>)</w:t>
      </w:r>
    </w:p>
    <w:p w:rsidR="00B72047" w:rsidRDefault="00B72047">
      <w:pPr>
        <w:pStyle w:val="resumedafterexample"/>
        <w:rPr>
          <w:rStyle w:val="htmlparacode"/>
        </w:rPr>
      </w:pPr>
      <w:r>
        <w:t>Introduces r</w:t>
      </w:r>
      <w:r>
        <w:rPr>
          <w:rStyle w:val="htmlparacode"/>
        </w:rPr>
        <w:t>&lt;p&gt;</w:t>
      </w:r>
    </w:p>
    <w:p w:rsidR="00B72047" w:rsidRDefault="00B72047">
      <w:pPr>
        <w:pStyle w:val="resumedafterexample"/>
      </w:pPr>
      <w:r>
        <w:t>elative clauses. The following bridi modifies the</w:t>
      </w:r>
      <w:r>
        <w:rPr>
          <w:rStyle w:val="deletedparamark"/>
        </w:rPr>
        <w:t xml:space="preserve"> </w:t>
      </w:r>
      <w:r>
        <w:t>preceding sumti. Termi</w:t>
      </w:r>
      <w:r>
        <w:softHyphen/>
        <w:t>nated by KUhO. See GOI.</w:t>
      </w:r>
    </w:p>
    <w:p w:rsidR="00B72047" w:rsidRDefault="00B72047">
      <w:pPr>
        <w:pStyle w:val="examplescaledpre"/>
      </w:pPr>
      <w:r>
        <w:rPr>
          <w:rStyle w:val="deletedparamark"/>
        </w:rPr>
        <w:t xml:space="preserve"> </w:t>
      </w:r>
      <w:r>
        <w:rPr>
          <w:rStyle w:val="htmlcodes"/>
        </w:rPr>
        <w:t>&lt;dl compact&gt;&lt;dt&gt;</w:t>
      </w:r>
      <w:r>
        <w:tab/>
      </w:r>
      <w:r>
        <w:rPr>
          <w:rStyle w:val="htmlcodes"/>
        </w:rPr>
        <w:t>&lt;dd&gt;</w:t>
      </w:r>
      <w:r>
        <w:t>le zdani poi blanu cu cmalu</w:t>
      </w:r>
    </w:p>
    <w:p w:rsidR="00B72047" w:rsidRDefault="00B72047">
      <w:pPr>
        <w:pStyle w:val="examplescaled"/>
      </w:pPr>
      <w:r>
        <w:tab/>
        <w:t>The house which is blue is small.</w:t>
      </w:r>
    </w:p>
    <w:p w:rsidR="00B72047" w:rsidRDefault="00B72047">
      <w:pPr>
        <w:pStyle w:val="Heading4"/>
      </w:pPr>
      <w:r>
        <w:rPr>
          <w:rStyle w:val="htmlcodes"/>
        </w:rPr>
        <w:t>&lt;/dl&gt;</w:t>
      </w:r>
      <w:r>
        <w:rPr>
          <w:rStyle w:val="indexentry"/>
        </w:rPr>
        <w:t>&lt;lx "NU, selma'o catalog"&gt;</w:t>
      </w:r>
      <w:r>
        <w:rPr>
          <w:rStyle w:val="indexentry"/>
        </w:rPr>
        <w:fldChar w:fldCharType="begin"/>
      </w:r>
      <w:r>
        <w:instrText>xe "</w:instrText>
      </w:r>
      <w:r>
        <w:rPr>
          <w:rStyle w:val="xeentry"/>
        </w:rPr>
        <w:instrText>NU selma’o</w:instrText>
      </w:r>
      <w:r>
        <w:instrText>"</w:instrText>
      </w:r>
      <w:r>
        <w:rPr>
          <w:rStyle w:val="indexentry"/>
        </w:rPr>
        <w:fldChar w:fldCharType="end"/>
      </w:r>
      <w:r>
        <w:rPr>
          <w:rStyle w:val="indexentry"/>
        </w:rPr>
        <w:t>&lt;cx "abstractors, selma'o catalog"&gt;</w:t>
      </w:r>
      <w:r>
        <w:rPr>
          <w:rStyle w:val="indexentry"/>
        </w:rPr>
        <w:fldChar w:fldCharType="begin"/>
      </w:r>
      <w:r>
        <w:instrText>xe "</w:instrText>
      </w:r>
      <w:r>
        <w:rPr>
          <w:rStyle w:val="xeentry"/>
        </w:rPr>
        <w:instrText>abstractors</w:instrText>
      </w:r>
      <w:r>
        <w:instrText>"</w:instrText>
      </w:r>
      <w:r>
        <w:rPr>
          <w:rStyle w:val="indexentry"/>
        </w:rPr>
        <w:fldChar w:fldCharType="end"/>
      </w:r>
      <w:r>
        <w:t>selma'o NU (</w:t>
      </w:r>
      <w:r>
        <w:rPr>
          <w:rStyle w:val="htmlcodes"/>
        </w:rPr>
        <w:t>&lt;a href=chap11.html&gt;</w:t>
      </w:r>
      <w:r>
        <w:t>Chapter 11</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Abstractors which, when prefixed to a bridi, create abstraction selbri.</w:t>
      </w:r>
      <w:r>
        <w:rPr>
          <w:rStyle w:val="deletedparamark"/>
        </w:rPr>
        <w:t xml:space="preserve"> </w:t>
      </w:r>
      <w:r>
        <w:t>Terminated by KEI.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djan. cu djica le nu sonci [kei]</w:t>
      </w:r>
    </w:p>
    <w:p w:rsidR="00B72047" w:rsidRDefault="00B72047">
      <w:pPr>
        <w:pStyle w:val="examplescaled"/>
      </w:pPr>
      <w:r>
        <w:tab/>
        <w:t>John desires the event-of being-a-soldier.</w:t>
      </w:r>
    </w:p>
    <w:p w:rsidR="00B72047" w:rsidRDefault="00B72047">
      <w:pPr>
        <w:pStyle w:val="Heading4"/>
      </w:pPr>
      <w:r>
        <w:rPr>
          <w:rStyle w:val="htmlcodes"/>
        </w:rPr>
        <w:t>&lt;/dl&gt;</w:t>
      </w:r>
      <w:r>
        <w:rPr>
          <w:rStyle w:val="indexentry"/>
        </w:rPr>
        <w:t>&lt;lx "NUhA, selma'o catalog"&gt;</w:t>
      </w:r>
      <w:r>
        <w:rPr>
          <w:rStyle w:val="indexentry"/>
        </w:rPr>
        <w:fldChar w:fldCharType="begin"/>
      </w:r>
      <w:r>
        <w:instrText>xe "</w:instrText>
      </w:r>
      <w:r>
        <w:rPr>
          <w:rStyle w:val="xeentry"/>
        </w:rPr>
        <w:instrText>NUhA selma’o</w:instrText>
      </w:r>
      <w:r>
        <w:instrText>"</w:instrText>
      </w:r>
      <w:r>
        <w:rPr>
          <w:rStyle w:val="indexentry"/>
        </w:rPr>
        <w:fldChar w:fldCharType="end"/>
      </w:r>
      <w:r>
        <w:rPr>
          <w:rStyle w:val="indexentry"/>
        </w:rPr>
        <w:t>&lt;cx "converting, operator to selbri, selma'o catalog"&gt;</w:t>
      </w:r>
      <w:r>
        <w:rPr>
          <w:rStyle w:val="indexentry"/>
        </w:rPr>
        <w:fldChar w:fldCharType="begin"/>
      </w:r>
      <w:r>
        <w:instrText>xe "</w:instrText>
      </w:r>
      <w:r>
        <w:rPr>
          <w:rStyle w:val="xeentry"/>
        </w:rPr>
        <w:instrText>converting: operator to selbri</w:instrText>
      </w:r>
      <w:r>
        <w:instrText>"</w:instrText>
      </w:r>
      <w:r>
        <w:rPr>
          <w:rStyle w:val="indexentry"/>
        </w:rPr>
        <w:fldChar w:fldCharType="end"/>
      </w:r>
      <w:r>
        <w:t>selma'o NUhA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Creates a selbri from a mathematical operator. See VUhU.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ni'umu cu nu'a va'a li ma'umu</w:t>
      </w:r>
    </w:p>
    <w:p w:rsidR="00B72047" w:rsidRDefault="00B72047">
      <w:pPr>
        <w:pStyle w:val="examplescaled"/>
      </w:pPr>
      <w:r>
        <w:tab/>
        <w:t>The-number -5 is-the-negation-of the-number +5.</w:t>
      </w:r>
    </w:p>
    <w:p w:rsidR="00B72047" w:rsidRDefault="00B72047">
      <w:pPr>
        <w:pStyle w:val="Heading4"/>
      </w:pPr>
      <w:r>
        <w:rPr>
          <w:rStyle w:val="htmlcodes"/>
        </w:rPr>
        <w:t>&lt;/dl&gt;</w:t>
      </w:r>
      <w:r>
        <w:rPr>
          <w:rStyle w:val="indexentry"/>
        </w:rPr>
        <w:t>&lt;lx "NUhI, selma'o catalog"&gt;</w:t>
      </w:r>
      <w:r>
        <w:rPr>
          <w:rStyle w:val="indexentry"/>
        </w:rPr>
        <w:fldChar w:fldCharType="begin"/>
      </w:r>
      <w:r>
        <w:instrText>xe "</w:instrText>
      </w:r>
      <w:r>
        <w:rPr>
          <w:rStyle w:val="xeentry"/>
        </w:rPr>
        <w:instrText>NUhI selma’o</w:instrText>
      </w:r>
      <w:r>
        <w:instrText>"</w:instrText>
      </w:r>
      <w:r>
        <w:rPr>
          <w:rStyle w:val="indexentry"/>
        </w:rPr>
        <w:fldChar w:fldCharType="end"/>
      </w:r>
      <w:r>
        <w:rPr>
          <w:rStyle w:val="indexentry"/>
        </w:rPr>
        <w:t>&lt;cx "termset marker, selma'o catalog"&gt;</w:t>
      </w:r>
      <w:r>
        <w:rPr>
          <w:rStyle w:val="indexentry"/>
        </w:rPr>
        <w:fldChar w:fldCharType="begin"/>
      </w:r>
      <w:r>
        <w:instrText>xe "</w:instrText>
      </w:r>
      <w:r>
        <w:rPr>
          <w:rStyle w:val="xeentry"/>
        </w:rPr>
        <w:instrText>termset marker</w:instrText>
      </w:r>
      <w:r>
        <w:instrText>"</w:instrText>
      </w:r>
      <w:r>
        <w:rPr>
          <w:rStyle w:val="indexentry"/>
        </w:rPr>
        <w:fldChar w:fldCharType="end"/>
      </w:r>
      <w:r>
        <w:t>selma'o NUhI (</w:t>
      </w:r>
      <w:r>
        <w:rPr>
          <w:rStyle w:val="htmlcodes"/>
        </w:rPr>
        <w:t>&lt;a href=chap14.html&gt;</w:t>
      </w:r>
      <w:r>
        <w:t>Chapter 14</w:t>
      </w:r>
      <w:r>
        <w:rPr>
          <w:rStyle w:val="htmlcodes"/>
        </w:rPr>
        <w:t>&lt;/a&gt;</w:t>
      </w:r>
      <w:r>
        <w:t xml:space="preserve">, </w:t>
      </w:r>
      <w:r>
        <w:rPr>
          <w:rStyle w:val="htmlcodes"/>
        </w:rPr>
        <w:t>&lt;a href=chap16.html&gt;</w:t>
      </w:r>
      <w:r>
        <w:t>Chapter 16</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Marks the beginning of a termset, which is used to make simultaneous</w:t>
      </w:r>
      <w:r>
        <w:rPr>
          <w:rStyle w:val="deletedparamark"/>
        </w:rPr>
        <w:t xml:space="preserve"> </w:t>
      </w:r>
      <w:r>
        <w:t>claims involving two or more different places of a selbri. Terminated by NUhU.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nu'i ge le zarci le briju nu’u gi le zdani</w:t>
      </w:r>
    </w:p>
    <w:p w:rsidR="00B72047" w:rsidRDefault="00B72047">
      <w:pPr>
        <w:pStyle w:val="examplescaled"/>
      </w:pPr>
      <w:r>
        <w:tab/>
      </w:r>
      <w:r>
        <w:tab/>
        <w:t>le ckule [nu'u]</w:t>
      </w:r>
    </w:p>
    <w:p w:rsidR="00B72047" w:rsidRDefault="00B72047">
      <w:pPr>
        <w:pStyle w:val="examplescaled"/>
      </w:pPr>
      <w:r>
        <w:tab/>
        <w:t>I go [start] to-the market from-the office [joint] and to-the house</w:t>
      </w:r>
    </w:p>
    <w:p w:rsidR="00B72047" w:rsidRDefault="00B72047">
      <w:pPr>
        <w:pStyle w:val="examplescaled"/>
      </w:pPr>
      <w:r>
        <w:tab/>
      </w:r>
      <w:r>
        <w:tab/>
        <w:t>from-the school.</w:t>
      </w:r>
    </w:p>
    <w:p w:rsidR="00B72047" w:rsidRDefault="00B72047">
      <w:pPr>
        <w:pStyle w:val="Heading4"/>
      </w:pPr>
      <w:r>
        <w:rPr>
          <w:rStyle w:val="htmlcodes"/>
        </w:rPr>
        <w:t>&lt;/dl&gt;</w:t>
      </w:r>
      <w:r>
        <w:rPr>
          <w:rStyle w:val="indexentry"/>
        </w:rPr>
        <w:t>&lt;lx "NUhU, selma'o catalog"&gt;</w:t>
      </w:r>
      <w:r>
        <w:rPr>
          <w:rStyle w:val="indexentry"/>
        </w:rPr>
        <w:fldChar w:fldCharType="begin"/>
      </w:r>
      <w:r>
        <w:instrText>xe "</w:instrText>
      </w:r>
      <w:r>
        <w:rPr>
          <w:rStyle w:val="xeentry"/>
        </w:rPr>
        <w:instrText>NUhU selma’o</w:instrText>
      </w:r>
      <w:r>
        <w:instrText>"</w:instrText>
      </w:r>
      <w:r>
        <w:rPr>
          <w:rStyle w:val="indexentry"/>
        </w:rPr>
        <w:fldChar w:fldCharType="end"/>
      </w:r>
      <w:r>
        <w:rPr>
          <w:rStyle w:val="indexentry"/>
        </w:rPr>
        <w:t>&lt;cx "NUhU, terminator for, selma'o catalog"&gt;</w:t>
      </w:r>
      <w:r>
        <w:rPr>
          <w:rStyle w:val="indexentry"/>
        </w:rPr>
        <w:fldChar w:fldCharType="begin"/>
      </w:r>
      <w:r>
        <w:instrText>xe "</w:instrText>
      </w:r>
      <w:r>
        <w:rPr>
          <w:rStyle w:val="xeentry"/>
        </w:rPr>
        <w:instrText>NUhU selma’o: terminator for</w:instrText>
      </w:r>
      <w:r>
        <w:instrText>"</w:instrText>
      </w:r>
      <w:r>
        <w:rPr>
          <w:rStyle w:val="indexentry"/>
        </w:rPr>
        <w:fldChar w:fldCharType="end"/>
      </w:r>
      <w:r>
        <w:t>selma'o NUhU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NUhI. Marks the end of a termset.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 xml:space="preserve"> mi klama nu'i ge le zarci le briju nu’u gi le zdani</w:t>
      </w:r>
    </w:p>
    <w:p w:rsidR="00B72047" w:rsidRDefault="00B72047">
      <w:pPr>
        <w:pStyle w:val="examplescaled"/>
      </w:pPr>
      <w:r>
        <w:tab/>
      </w:r>
      <w:r>
        <w:tab/>
        <w:t>le ckule [nu'u]</w:t>
      </w:r>
    </w:p>
    <w:p w:rsidR="00B72047" w:rsidRDefault="00B72047">
      <w:pPr>
        <w:pStyle w:val="examplescaled"/>
      </w:pPr>
      <w:r>
        <w:tab/>
        <w:t>I go [start] to-the market from-the office [joint] and to-the house</w:t>
      </w:r>
    </w:p>
    <w:p w:rsidR="00B72047" w:rsidRDefault="00B72047">
      <w:pPr>
        <w:pStyle w:val="examplescaled"/>
      </w:pPr>
      <w:r>
        <w:tab/>
      </w:r>
      <w:r>
        <w:tab/>
        <w:t>from-the school.</w:t>
      </w:r>
    </w:p>
    <w:p w:rsidR="00B72047" w:rsidRDefault="00B72047">
      <w:pPr>
        <w:pStyle w:val="Heading4"/>
      </w:pPr>
      <w:r>
        <w:rPr>
          <w:rStyle w:val="htmlcodes"/>
        </w:rPr>
        <w:t>&lt;/dl&gt;</w:t>
      </w:r>
      <w:r>
        <w:rPr>
          <w:rStyle w:val="indexentry"/>
        </w:rPr>
        <w:t>&lt;lx "PA, selma'o catalog"&gt;</w:t>
      </w:r>
      <w:r>
        <w:rPr>
          <w:rStyle w:val="indexentry"/>
        </w:rPr>
        <w:fldChar w:fldCharType="begin"/>
      </w:r>
      <w:r>
        <w:instrText>xe "</w:instrText>
      </w:r>
      <w:r>
        <w:rPr>
          <w:rStyle w:val="xeentry"/>
        </w:rPr>
        <w:instrText>PA selma’o</w:instrText>
      </w:r>
      <w:r>
        <w:instrText>"</w:instrText>
      </w:r>
      <w:r>
        <w:rPr>
          <w:rStyle w:val="indexentry"/>
        </w:rPr>
        <w:fldChar w:fldCharType="end"/>
      </w:r>
      <w:r>
        <w:rPr>
          <w:rStyle w:val="indexentry"/>
        </w:rPr>
        <w:t>&lt;cx "quantifiers, selma'o catalog"&gt;</w:t>
      </w:r>
      <w:r>
        <w:rPr>
          <w:rStyle w:val="indexentry"/>
        </w:rPr>
        <w:fldChar w:fldCharType="begin"/>
      </w:r>
      <w:r>
        <w:instrText>xe "</w:instrText>
      </w:r>
      <w:r>
        <w:rPr>
          <w:rStyle w:val="xeentry"/>
        </w:rPr>
        <w:instrText>quantifier</w:instrText>
      </w:r>
      <w:r>
        <w:instrText>"</w:instrText>
      </w:r>
      <w:r>
        <w:rPr>
          <w:rStyle w:val="indexentry"/>
        </w:rPr>
        <w:fldChar w:fldCharType="end"/>
      </w:r>
      <w:r>
        <w:rPr>
          <w:rStyle w:val="indexentry"/>
        </w:rPr>
        <w:t>&lt;cx "digits, selma'o catalog"&gt;</w:t>
      </w:r>
      <w:r>
        <w:rPr>
          <w:rStyle w:val="indexentry"/>
        </w:rPr>
        <w:fldChar w:fldCharType="begin"/>
      </w:r>
      <w:r>
        <w:instrText>xe "</w:instrText>
      </w:r>
      <w:r>
        <w:rPr>
          <w:rStyle w:val="xeentry"/>
        </w:rPr>
        <w:instrText>digits</w:instrText>
      </w:r>
      <w:r>
        <w:instrText>"</w:instrText>
      </w:r>
      <w:r>
        <w:rPr>
          <w:rStyle w:val="indexentry"/>
        </w:rPr>
        <w:fldChar w:fldCharType="end"/>
      </w:r>
      <w:r>
        <w:t>selma'o PA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Digits and related quantifiers (some, all, many, etc.). Terminated by BOI.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speni re ninmu</w:t>
      </w:r>
    </w:p>
    <w:p w:rsidR="00B72047" w:rsidRDefault="00B72047">
      <w:pPr>
        <w:pStyle w:val="examplescaled"/>
      </w:pPr>
      <w:r>
        <w:tab/>
        <w:t>I am-married-to two women.</w:t>
      </w:r>
    </w:p>
    <w:p w:rsidR="00B72047" w:rsidRDefault="00B72047">
      <w:pPr>
        <w:pStyle w:val="Heading4"/>
        <w:spacing w:before="0"/>
      </w:pPr>
      <w:r>
        <w:rPr>
          <w:rStyle w:val="htmlcodes"/>
          <w:vanish w:val="0"/>
        </w:rPr>
        <w:br w:type="page"/>
      </w:r>
      <w:r>
        <w:rPr>
          <w:rStyle w:val="htmlcodes"/>
        </w:rPr>
        <w:t>&lt;/dl&gt;</w:t>
      </w:r>
      <w:r>
        <w:rPr>
          <w:rStyle w:val="indexentry"/>
        </w:rPr>
        <w:t>&lt;lx "PEhE, selma'o catalog"&gt;</w:t>
      </w:r>
      <w:r>
        <w:rPr>
          <w:rStyle w:val="indexentry"/>
        </w:rPr>
        <w:fldChar w:fldCharType="begin"/>
      </w:r>
      <w:r>
        <w:instrText>xe "</w:instrText>
      </w:r>
      <w:r>
        <w:rPr>
          <w:rStyle w:val="xeentry"/>
        </w:rPr>
        <w:instrText>PEhE selma’o</w:instrText>
      </w:r>
      <w:r>
        <w:instrText>"</w:instrText>
      </w:r>
      <w:r>
        <w:rPr>
          <w:rStyle w:val="indexentry"/>
        </w:rPr>
        <w:fldChar w:fldCharType="end"/>
      </w:r>
      <w:r>
        <w:rPr>
          <w:rStyle w:val="indexentry"/>
        </w:rPr>
        <w:t>&lt;cx "termset connectives, selma'o catalog"&gt;</w:t>
      </w:r>
      <w:r>
        <w:rPr>
          <w:rStyle w:val="indexentry"/>
        </w:rPr>
        <w:fldChar w:fldCharType="begin"/>
      </w:r>
      <w:r>
        <w:instrText>xe "</w:instrText>
      </w:r>
      <w:r>
        <w:rPr>
          <w:rStyle w:val="xeentry"/>
        </w:rPr>
        <w:instrText>termset connectives</w:instrText>
      </w:r>
      <w:r>
        <w:instrText>"</w:instrText>
      </w:r>
      <w:r>
        <w:rPr>
          <w:rStyle w:val="indexentry"/>
        </w:rPr>
        <w:fldChar w:fldCharType="end"/>
      </w:r>
      <w:r>
        <w:t>selma'o PEhE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Precedes a logical or non-logical connective that joins two termsets.</w:t>
      </w:r>
      <w:r>
        <w:rPr>
          <w:rStyle w:val="deletedparamark"/>
        </w:rPr>
        <w:t xml:space="preserve"> </w:t>
      </w:r>
      <w:r>
        <w:t>Termsets (see CEhE) are used to associate</w:t>
      </w:r>
      <w:r>
        <w:rPr>
          <w:rStyle w:val="deletedparamark"/>
        </w:rPr>
        <w:t xml:space="preserve"> </w:t>
      </w:r>
      <w:r>
        <w:t>several terms for logical connectives, for equal quantifier scope, or</w:t>
      </w:r>
      <w:r>
        <w:rPr>
          <w:rStyle w:val="deletedparamark"/>
        </w:rPr>
        <w:t xml:space="preserve"> </w:t>
      </w:r>
      <w:r>
        <w:t>for special constructs in tenses.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ce'e do pe'e je la djan. ce'e la djeimyz. cu pendo</w:t>
      </w:r>
    </w:p>
    <w:p w:rsidR="00B72047" w:rsidRDefault="00B72047">
      <w:pPr>
        <w:pStyle w:val="examplescaled"/>
      </w:pPr>
      <w:r>
        <w:tab/>
        <w:t>I [,] you [joint] and John [,] James are-friends-of.</w:t>
      </w:r>
    </w:p>
    <w:p w:rsidR="00B72047" w:rsidRDefault="00B72047">
      <w:pPr>
        <w:pStyle w:val="examplescaled"/>
      </w:pPr>
      <w:r>
        <w:tab/>
        <w:t>I am a friend of you, and John is a friend of James.</w:t>
      </w:r>
    </w:p>
    <w:p w:rsidR="00B72047" w:rsidRDefault="00B72047">
      <w:pPr>
        <w:pStyle w:val="Heading4"/>
      </w:pPr>
      <w:r>
        <w:rPr>
          <w:rStyle w:val="htmlcodes"/>
        </w:rPr>
        <w:t>&lt;/dl&gt;</w:t>
      </w:r>
      <w:r>
        <w:rPr>
          <w:rStyle w:val="indexentry"/>
        </w:rPr>
        <w:t>&lt;lx "PEhO, selma'o catalog"&gt;</w:t>
      </w:r>
      <w:r>
        <w:rPr>
          <w:rStyle w:val="indexentry"/>
        </w:rPr>
        <w:fldChar w:fldCharType="begin"/>
      </w:r>
      <w:r>
        <w:instrText>xe "</w:instrText>
      </w:r>
      <w:r>
        <w:rPr>
          <w:rStyle w:val="xeentry"/>
        </w:rPr>
        <w:instrText>PEhO selma’o</w:instrText>
      </w:r>
      <w:r>
        <w:instrText>"</w:instrText>
      </w:r>
      <w:r>
        <w:rPr>
          <w:rStyle w:val="indexentry"/>
        </w:rPr>
        <w:fldChar w:fldCharType="end"/>
      </w:r>
      <w:r>
        <w:rPr>
          <w:rStyle w:val="indexentry"/>
        </w:rPr>
        <w:t>&lt;cx "operator, forethought marker, selma'o catalog"&gt;</w:t>
      </w:r>
      <w:r>
        <w:rPr>
          <w:rStyle w:val="indexentry"/>
        </w:rPr>
        <w:fldChar w:fldCharType="begin"/>
      </w:r>
      <w:r>
        <w:instrText>xe "</w:instrText>
      </w:r>
      <w:r>
        <w:rPr>
          <w:rStyle w:val="xeentry"/>
        </w:rPr>
        <w:instrText>operator: forethought marker</w:instrText>
      </w:r>
      <w:r>
        <w:instrText>"</w:instrText>
      </w:r>
      <w:r>
        <w:rPr>
          <w:rStyle w:val="indexentry"/>
        </w:rPr>
        <w:fldChar w:fldCharType="end"/>
      </w:r>
      <w:r>
        <w:t>selma'o PEhO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An optional signal of forethought mathematical operators, which</w:t>
      </w:r>
      <w:r>
        <w:rPr>
          <w:rStyle w:val="deletedparamark"/>
        </w:rPr>
        <w:t xml:space="preserve"> </w:t>
      </w:r>
      <w:r>
        <w:t>precede their oper</w:t>
      </w:r>
      <w:r>
        <w:softHyphen/>
        <w:t>ands. Terminated by KUhE.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vo du li pe'o su'i reboi re</w:t>
      </w:r>
    </w:p>
    <w:p w:rsidR="00B72047" w:rsidRDefault="00B72047">
      <w:pPr>
        <w:pStyle w:val="examplescaled"/>
      </w:pPr>
      <w:r>
        <w:tab/>
        <w:t>The-number four equals the-number [forethought] sum-of two two.</w:t>
      </w:r>
    </w:p>
    <w:p w:rsidR="00B72047" w:rsidRDefault="00B72047">
      <w:pPr>
        <w:pStyle w:val="Heading4"/>
      </w:pPr>
      <w:r>
        <w:rPr>
          <w:rStyle w:val="htmlcodes"/>
        </w:rPr>
        <w:t>&lt;/dl&gt;</w:t>
      </w:r>
      <w:r>
        <w:rPr>
          <w:rStyle w:val="indexentry"/>
        </w:rPr>
        <w:t>&lt;lx "PU, selma'o catalog"&gt;</w:t>
      </w:r>
      <w:r>
        <w:rPr>
          <w:rStyle w:val="indexentry"/>
        </w:rPr>
        <w:fldChar w:fldCharType="begin"/>
      </w:r>
      <w:r>
        <w:instrText>xe "</w:instrText>
      </w:r>
      <w:r>
        <w:rPr>
          <w:rStyle w:val="xeentry"/>
        </w:rPr>
        <w:instrText>PU selma’o</w:instrText>
      </w:r>
      <w:r>
        <w:instrText>"</w:instrText>
      </w:r>
      <w:r>
        <w:rPr>
          <w:rStyle w:val="indexentry"/>
        </w:rPr>
        <w:fldChar w:fldCharType="end"/>
      </w:r>
      <w:r>
        <w:rPr>
          <w:rStyle w:val="indexentry"/>
        </w:rPr>
        <w:t>&lt;cx "direction, time, selma'o catalog"&gt;</w:t>
      </w:r>
      <w:r>
        <w:rPr>
          <w:rStyle w:val="indexentry"/>
        </w:rPr>
        <w:fldChar w:fldCharType="begin"/>
      </w:r>
      <w:r>
        <w:instrText>xe "</w:instrText>
      </w:r>
      <w:r>
        <w:rPr>
          <w:rStyle w:val="xeentry"/>
        </w:rPr>
        <w:instrText>direction: time</w:instrText>
      </w:r>
      <w:r>
        <w:instrText>"</w:instrText>
      </w:r>
      <w:r>
        <w:rPr>
          <w:rStyle w:val="indexentry"/>
        </w:rPr>
        <w:fldChar w:fldCharType="end"/>
      </w:r>
      <w:r>
        <w:t>selma'o PU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Specifies simple time directions (future, past, or neither).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pu klama le zarci</w:t>
      </w:r>
    </w:p>
    <w:p w:rsidR="00B72047" w:rsidRDefault="00B72047">
      <w:pPr>
        <w:pStyle w:val="examplescaled"/>
      </w:pPr>
      <w:r>
        <w:tab/>
        <w:t>I [past] go-to the market.</w:t>
      </w:r>
    </w:p>
    <w:p w:rsidR="00B72047" w:rsidRDefault="00B72047">
      <w:pPr>
        <w:pStyle w:val="examplescaled"/>
      </w:pPr>
      <w:r>
        <w:tab/>
        <w:t>I went to the market.</w:t>
      </w:r>
    </w:p>
    <w:p w:rsidR="00B72047" w:rsidRDefault="00B72047">
      <w:pPr>
        <w:pStyle w:val="Heading4"/>
      </w:pPr>
      <w:r>
        <w:rPr>
          <w:rStyle w:val="htmlcodes"/>
        </w:rPr>
        <w:t>&lt;/dl&gt;</w:t>
      </w:r>
      <w:r>
        <w:rPr>
          <w:rStyle w:val="indexentry"/>
        </w:rPr>
        <w:t>&lt;lx "RAhO, selma'o catalog"&gt;</w:t>
      </w:r>
      <w:r>
        <w:rPr>
          <w:rStyle w:val="indexentry"/>
        </w:rPr>
        <w:fldChar w:fldCharType="begin"/>
      </w:r>
      <w:r>
        <w:instrText>xe "</w:instrText>
      </w:r>
      <w:r>
        <w:rPr>
          <w:rStyle w:val="xeentry"/>
        </w:rPr>
        <w:instrText>RAhO selma’o</w:instrText>
      </w:r>
      <w:r>
        <w:instrText>"</w:instrText>
      </w:r>
      <w:r>
        <w:rPr>
          <w:rStyle w:val="indexentry"/>
        </w:rPr>
        <w:fldChar w:fldCharType="end"/>
      </w:r>
      <w:r>
        <w:rPr>
          <w:rStyle w:val="indexentry"/>
        </w:rPr>
        <w:t>&lt;cx "pro-bridi update, flag for, selma'o catalog"&gt;</w:t>
      </w:r>
      <w:r>
        <w:rPr>
          <w:rStyle w:val="indexentry"/>
        </w:rPr>
        <w:fldChar w:fldCharType="begin"/>
      </w:r>
      <w:r>
        <w:instrText>xe "</w:instrText>
      </w:r>
      <w:r>
        <w:rPr>
          <w:rStyle w:val="xeentry"/>
        </w:rPr>
        <w:instrText>pro-bridi update: flag for</w:instrText>
      </w:r>
      <w:r>
        <w:instrText>"</w:instrText>
      </w:r>
      <w:r>
        <w:rPr>
          <w:rStyle w:val="indexentry"/>
        </w:rPr>
        <w:fldChar w:fldCharType="end"/>
      </w:r>
      <w:r>
        <w:rPr>
          <w:rStyle w:val="indexentry"/>
        </w:rPr>
        <w:t>&lt;cx "re-evaluation of referents, flag for, selma'o catalog"&gt;</w:t>
      </w:r>
      <w:r>
        <w:rPr>
          <w:rStyle w:val="indexentry"/>
        </w:rPr>
        <w:fldChar w:fldCharType="begin"/>
      </w:r>
      <w:r>
        <w:instrText>xe "</w:instrText>
      </w:r>
      <w:r>
        <w:rPr>
          <w:rStyle w:val="xeentry"/>
        </w:rPr>
        <w:instrText>re-evaluation of referents: flag for</w:instrText>
      </w:r>
      <w:r>
        <w:instrText>"</w:instrText>
      </w:r>
      <w:r>
        <w:rPr>
          <w:rStyle w:val="indexentry"/>
        </w:rPr>
        <w:fldChar w:fldCharType="end"/>
      </w:r>
      <w:r>
        <w:t>selma'o RAhO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The pro-bridi update flag: changes the meaning of sumti implicitly</w:t>
      </w:r>
      <w:r>
        <w:rPr>
          <w:rStyle w:val="deletedparamark"/>
        </w:rPr>
        <w:t xml:space="preserve"> </w:t>
      </w:r>
      <w:r>
        <w:t>attached to a pro-bridi (see GOhA) to fit the current context rather than</w:t>
      </w:r>
      <w:r>
        <w:rPr>
          <w:rStyle w:val="deletedparamark"/>
        </w:rPr>
        <w:t xml:space="preserve"> </w:t>
      </w:r>
      <w:r>
        <w:t>the original context.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A: mi ba lumci le mi karce</w:t>
      </w:r>
    </w:p>
    <w:p w:rsidR="00B72047" w:rsidRDefault="00B72047">
      <w:pPr>
        <w:pStyle w:val="examplescaled"/>
      </w:pPr>
      <w:r>
        <w:tab/>
        <w:t>B:  mi go'i</w:t>
      </w:r>
    </w:p>
    <w:p w:rsidR="00B72047" w:rsidRDefault="00B72047">
      <w:pPr>
        <w:pStyle w:val="examplescaled"/>
        <w:spacing w:before="40"/>
      </w:pPr>
      <w:r>
        <w:tab/>
        <w:t>A:  I [future] wash my car.</w:t>
      </w:r>
    </w:p>
    <w:p w:rsidR="00B72047" w:rsidRDefault="00B72047">
      <w:pPr>
        <w:pStyle w:val="examplescaled"/>
      </w:pPr>
      <w:r>
        <w:tab/>
        <w:t>B:  I do-the-same-thing (i.e. wash A's car).</w:t>
      </w:r>
    </w:p>
    <w:p w:rsidR="00B72047" w:rsidRDefault="00B72047">
      <w:pPr>
        <w:pStyle w:val="examplescaledpre"/>
      </w:pPr>
      <w:r>
        <w:tab/>
        <w:t>A:  mi ba lumci le mi karce</w:t>
      </w:r>
    </w:p>
    <w:p w:rsidR="00B72047" w:rsidRDefault="00B72047">
      <w:pPr>
        <w:pStyle w:val="examplescaled"/>
      </w:pPr>
      <w:r>
        <w:tab/>
        <w:t>B:  mi go'i ra'o</w:t>
      </w:r>
    </w:p>
    <w:p w:rsidR="00B72047" w:rsidRDefault="00B72047">
      <w:pPr>
        <w:pStyle w:val="examplescaled"/>
        <w:spacing w:before="40"/>
      </w:pPr>
      <w:r>
        <w:tab/>
        <w:t>A:  I [future] wash my car.</w:t>
      </w:r>
    </w:p>
    <w:p w:rsidR="00B72047" w:rsidRDefault="00B72047">
      <w:pPr>
        <w:pStyle w:val="examplescaled"/>
      </w:pPr>
      <w:r>
        <w:tab/>
        <w:t>B:  I do-the-corresponding-thing (i.e. wash B's car).</w:t>
      </w:r>
    </w:p>
    <w:p w:rsidR="00B72047" w:rsidRDefault="00B72047">
      <w:pPr>
        <w:pStyle w:val="Heading4"/>
      </w:pPr>
      <w:r>
        <w:rPr>
          <w:rStyle w:val="htmlcodes"/>
        </w:rPr>
        <w:t>&lt;/dl&gt;</w:t>
      </w:r>
      <w:r>
        <w:rPr>
          <w:rStyle w:val="indexentry"/>
        </w:rPr>
        <w:t>&lt;lx "ROI, selma'o catalog"&gt;</w:t>
      </w:r>
      <w:r>
        <w:rPr>
          <w:rStyle w:val="indexentry"/>
        </w:rPr>
        <w:fldChar w:fldCharType="begin"/>
      </w:r>
      <w:r>
        <w:instrText>xe "</w:instrText>
      </w:r>
      <w:r>
        <w:rPr>
          <w:rStyle w:val="xeentry"/>
        </w:rPr>
        <w:instrText>ROI selma’o</w:instrText>
      </w:r>
      <w:r>
        <w:instrText>"</w:instrText>
      </w:r>
      <w:r>
        <w:rPr>
          <w:rStyle w:val="indexentry"/>
        </w:rPr>
        <w:fldChar w:fldCharType="end"/>
      </w:r>
      <w:r>
        <w:rPr>
          <w:rStyle w:val="indexentry"/>
        </w:rPr>
        <w:t>&lt;cx "tense, extensional, selma'o catalog"&gt;</w:t>
      </w:r>
      <w:r>
        <w:rPr>
          <w:rStyle w:val="indexentry"/>
        </w:rPr>
        <w:fldChar w:fldCharType="begin"/>
      </w:r>
      <w:r>
        <w:instrText>xe "</w:instrText>
      </w:r>
      <w:r>
        <w:rPr>
          <w:rStyle w:val="xeentry"/>
        </w:rPr>
        <w:instrText>tense: extensional</w:instrText>
      </w:r>
      <w:r>
        <w:instrText>"</w:instrText>
      </w:r>
      <w:r>
        <w:rPr>
          <w:rStyle w:val="indexentry"/>
        </w:rPr>
        <w:fldChar w:fldCharType="end"/>
      </w:r>
      <w:r>
        <w:t>selma'o ROI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When suffixed to a number, makes an extensional</w:t>
      </w:r>
      <w:r>
        <w:rPr>
          <w:rStyle w:val="deletedparamark"/>
        </w:rPr>
        <w:t xml:space="preserve"> </w:t>
      </w:r>
      <w:r>
        <w:t>tense (e.g. once, twice, many times).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reroi klama le zarci</w:t>
      </w:r>
    </w:p>
    <w:p w:rsidR="00B72047" w:rsidRDefault="00B72047">
      <w:pPr>
        <w:pStyle w:val="examplescaled"/>
      </w:pPr>
      <w:r>
        <w:tab/>
        <w:t>I twice go-to the market.</w:t>
      </w:r>
    </w:p>
    <w:p w:rsidR="00B72047" w:rsidRDefault="00B72047">
      <w:pPr>
        <w:pStyle w:val="Heading4"/>
      </w:pPr>
      <w:r>
        <w:rPr>
          <w:rStyle w:val="htmlcodes"/>
        </w:rPr>
        <w:t>&lt;/dl&gt;</w:t>
      </w:r>
      <w:r>
        <w:rPr>
          <w:rStyle w:val="indexentry"/>
        </w:rPr>
        <w:t>&lt;lx "SA, selma'o catalog"&gt;</w:t>
      </w:r>
      <w:r>
        <w:rPr>
          <w:rStyle w:val="indexentry"/>
        </w:rPr>
        <w:fldChar w:fldCharType="begin"/>
      </w:r>
      <w:r>
        <w:instrText>xe "</w:instrText>
      </w:r>
      <w:r>
        <w:rPr>
          <w:rStyle w:val="xeentry"/>
        </w:rPr>
        <w:instrText>SA selma’o</w:instrText>
      </w:r>
      <w:r>
        <w:instrText>"</w:instrText>
      </w:r>
      <w:r>
        <w:rPr>
          <w:rStyle w:val="indexentry"/>
        </w:rPr>
        <w:fldChar w:fldCharType="end"/>
      </w:r>
      <w:r>
        <w:rPr>
          <w:rStyle w:val="indexentry"/>
        </w:rPr>
        <w:t>&lt;cx "erasing phrase, selma'o catalog"&gt;</w:t>
      </w:r>
      <w:r>
        <w:rPr>
          <w:rStyle w:val="indexentry"/>
        </w:rPr>
        <w:fldChar w:fldCharType="begin"/>
      </w:r>
      <w:r>
        <w:instrText>xe "</w:instrText>
      </w:r>
      <w:r>
        <w:rPr>
          <w:rStyle w:val="xeentry"/>
        </w:rPr>
        <w:instrText>erasure: phrase</w:instrText>
      </w:r>
      <w:r>
        <w:instrText>"</w:instrText>
      </w:r>
      <w:r>
        <w:rPr>
          <w:rStyle w:val="indexentry"/>
        </w:rPr>
        <w:fldChar w:fldCharType="end"/>
      </w:r>
      <w:r>
        <w:rPr>
          <w:rStyle w:val="indexentry"/>
        </w:rPr>
        <w:t>&lt;cx "erasing sentence, selma'o catalog"&gt;</w:t>
      </w:r>
      <w:r>
        <w:rPr>
          <w:rStyle w:val="indexentry"/>
        </w:rPr>
        <w:fldChar w:fldCharType="begin"/>
      </w:r>
      <w:r>
        <w:instrText>xe "</w:instrText>
      </w:r>
      <w:r>
        <w:rPr>
          <w:rStyle w:val="xeentry"/>
        </w:rPr>
        <w:instrText>erasure: sentence</w:instrText>
      </w:r>
      <w:r>
        <w:instrText>"</w:instrText>
      </w:r>
      <w:r>
        <w:rPr>
          <w:rStyle w:val="indexentry"/>
        </w:rPr>
        <w:fldChar w:fldCharType="end"/>
      </w:r>
      <w:r>
        <w:t>selma'o SA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Erases the previous phrase or sentence.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klama sa do klama le zarci</w:t>
      </w:r>
    </w:p>
    <w:p w:rsidR="00B72047" w:rsidRDefault="00B72047">
      <w:pPr>
        <w:pStyle w:val="examplescaled"/>
      </w:pPr>
      <w:r>
        <w:tab/>
        <w:t>I go, er, you go-to the market.</w:t>
      </w:r>
    </w:p>
    <w:p w:rsidR="00B72047" w:rsidRDefault="00B72047">
      <w:pPr>
        <w:pStyle w:val="Heading4"/>
      </w:pPr>
      <w:r>
        <w:rPr>
          <w:rStyle w:val="htmlcodes"/>
        </w:rPr>
        <w:t>&lt;/dl&gt;</w:t>
      </w:r>
      <w:r>
        <w:rPr>
          <w:rStyle w:val="indexentry"/>
        </w:rPr>
        <w:t>&lt;lx "SE, selma'o catalog"&gt;</w:t>
      </w:r>
      <w:r>
        <w:rPr>
          <w:rStyle w:val="indexentry"/>
        </w:rPr>
        <w:fldChar w:fldCharType="begin"/>
      </w:r>
      <w:r>
        <w:instrText>xe "</w:instrText>
      </w:r>
      <w:r>
        <w:rPr>
          <w:rStyle w:val="xeentry"/>
        </w:rPr>
        <w:instrText>SE selma’o</w:instrText>
      </w:r>
      <w:r>
        <w:instrText>"</w:instrText>
      </w:r>
      <w:r>
        <w:rPr>
          <w:rStyle w:val="indexentry"/>
        </w:rPr>
        <w:fldChar w:fldCharType="end"/>
      </w:r>
      <w:r>
        <w:rPr>
          <w:rStyle w:val="indexentry"/>
        </w:rPr>
        <w:t>&lt;cx "conversion, of selbri, selma'o catalog"&gt;</w:t>
      </w:r>
      <w:r>
        <w:rPr>
          <w:rStyle w:val="indexentry"/>
        </w:rPr>
        <w:fldChar w:fldCharType="begin"/>
      </w:r>
      <w:r>
        <w:instrText>xe "</w:instrText>
      </w:r>
      <w:r>
        <w:rPr>
          <w:rStyle w:val="xeentry"/>
        </w:rPr>
        <w:instrText>conversion: of selbri</w:instrText>
      </w:r>
      <w:r>
        <w:instrText>"</w:instrText>
      </w:r>
      <w:r>
        <w:rPr>
          <w:rStyle w:val="indexentry"/>
        </w:rPr>
        <w:fldChar w:fldCharType="end"/>
      </w:r>
      <w:r>
        <w:rPr>
          <w:rStyle w:val="indexentry"/>
        </w:rPr>
        <w:t>&lt;cx "selbri places, re-ordering, selma'o catalog"&gt;</w:t>
      </w:r>
      <w:r>
        <w:rPr>
          <w:rStyle w:val="indexentry"/>
        </w:rPr>
        <w:fldChar w:fldCharType="begin"/>
      </w:r>
      <w:r>
        <w:instrText>xe "</w:instrText>
      </w:r>
      <w:r>
        <w:rPr>
          <w:rStyle w:val="xeentry"/>
        </w:rPr>
        <w:instrText>selbri place structure: re-ordering</w:instrText>
      </w:r>
      <w:r>
        <w:instrText>"</w:instrText>
      </w:r>
      <w:r>
        <w:rPr>
          <w:rStyle w:val="indexentry"/>
        </w:rPr>
        <w:fldChar w:fldCharType="end"/>
      </w:r>
      <w:r>
        <w:t>selma'o SE (</w:t>
      </w:r>
      <w:r>
        <w:rPr>
          <w:rStyle w:val="htmlcodes"/>
        </w:rPr>
        <w:t>&lt;a href=chap5.html&gt;</w:t>
      </w:r>
      <w:r>
        <w:t>Chapter 5</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Converts a selbri, rearranging the order of</w:t>
      </w:r>
      <w:r>
        <w:rPr>
          <w:rStyle w:val="deletedparamark"/>
        </w:rPr>
        <w:t xml:space="preserve"> </w:t>
      </w:r>
      <w:r>
        <w:t>places by exchanging the x1 place with a specified numbered place.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zarci se klama mi</w:t>
      </w:r>
    </w:p>
    <w:p w:rsidR="00B72047" w:rsidRDefault="00B72047">
      <w:pPr>
        <w:pStyle w:val="examplescaled"/>
      </w:pPr>
      <w:r>
        <w:tab/>
        <w:t>The market is-gone-to by me.</w:t>
      </w:r>
    </w:p>
    <w:p w:rsidR="00B72047" w:rsidRDefault="00B72047">
      <w:pPr>
        <w:pStyle w:val="resumedafterexample"/>
      </w:pPr>
      <w:r>
        <w:rPr>
          <w:rStyle w:val="htmlcodes"/>
        </w:rPr>
        <w:t>&lt;/dl&gt;&lt;p&gt;</w:t>
      </w:r>
      <w:r>
        <w:t>Also used in constructing connective and modal compound cmavo.</w:t>
      </w:r>
    </w:p>
    <w:p w:rsidR="00B72047" w:rsidRDefault="00B72047">
      <w:pPr>
        <w:rPr>
          <w:rStyle w:val="htmlparacode"/>
        </w:rPr>
      </w:pPr>
      <w:r>
        <w:rPr>
          <w:rStyle w:val="htmlparacode"/>
        </w:rPr>
        <w:t>&lt;p&gt;</w:t>
      </w:r>
    </w:p>
    <w:p w:rsidR="00B72047" w:rsidRDefault="00B72047">
      <w:pPr>
        <w:pStyle w:val="Heading4"/>
      </w:pPr>
      <w:r>
        <w:rPr>
          <w:rStyle w:val="indexentry"/>
        </w:rPr>
        <w:t>&lt;lx "SEI, selma'o catalog"&gt;</w:t>
      </w:r>
      <w:r>
        <w:rPr>
          <w:rStyle w:val="indexentry"/>
        </w:rPr>
        <w:fldChar w:fldCharType="begin"/>
      </w:r>
      <w:r>
        <w:instrText>xe "</w:instrText>
      </w:r>
      <w:r>
        <w:rPr>
          <w:rStyle w:val="xeentry"/>
        </w:rPr>
        <w:instrText>SEI selma’o</w:instrText>
      </w:r>
      <w:r>
        <w:instrText>"</w:instrText>
      </w:r>
      <w:r>
        <w:rPr>
          <w:rStyle w:val="indexentry"/>
        </w:rPr>
        <w:fldChar w:fldCharType="end"/>
      </w:r>
      <w:r>
        <w:rPr>
          <w:rStyle w:val="indexentry"/>
        </w:rPr>
        <w:t>&lt;cx "metalinguistic insertions, marker for, selma'o catalog"&gt;</w:t>
      </w:r>
      <w:r>
        <w:rPr>
          <w:rStyle w:val="indexentry"/>
        </w:rPr>
        <w:fldChar w:fldCharType="begin"/>
      </w:r>
      <w:r>
        <w:instrText>xe "</w:instrText>
      </w:r>
      <w:r>
        <w:rPr>
          <w:rStyle w:val="xeentry"/>
        </w:rPr>
        <w:instrText>metalinguistic insertions: marker for</w:instrText>
      </w:r>
      <w:r>
        <w:instrText>"</w:instrText>
      </w:r>
      <w:r>
        <w:rPr>
          <w:rStyle w:val="indexentry"/>
        </w:rPr>
        <w:fldChar w:fldCharType="end"/>
      </w:r>
      <w:r>
        <w:t>selma'o SEI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Marks the beginning of metalinguistic insertions which comment on</w:t>
      </w:r>
      <w:r>
        <w:rPr>
          <w:rStyle w:val="deletedparamark"/>
        </w:rPr>
        <w:t xml:space="preserve"> </w:t>
      </w:r>
      <w:r>
        <w:t>the main bridi. Te</w:t>
      </w:r>
      <w:r>
        <w:t>r</w:t>
      </w:r>
      <w:r>
        <w:softHyphen/>
        <w:t>minated by SEhU.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frank. prami sei gleki [se'u] la djein.</w:t>
      </w:r>
    </w:p>
    <w:p w:rsidR="00B72047" w:rsidRDefault="00B72047">
      <w:pPr>
        <w:pStyle w:val="examplescaled"/>
      </w:pPr>
      <w:r>
        <w:tab/>
        <w:t>Frank loves (he is happy) Jane.</w:t>
      </w:r>
    </w:p>
    <w:p w:rsidR="00B72047" w:rsidRDefault="00B72047">
      <w:pPr>
        <w:pStyle w:val="Heading4"/>
      </w:pPr>
      <w:r>
        <w:rPr>
          <w:rStyle w:val="htmlcodes"/>
        </w:rPr>
        <w:t>&lt;/dl&gt;</w:t>
      </w:r>
      <w:r>
        <w:rPr>
          <w:rStyle w:val="indexentry"/>
        </w:rPr>
        <w:t>&lt;lx "SEhU, selma'o catalog"&gt;</w:t>
      </w:r>
      <w:r>
        <w:rPr>
          <w:rStyle w:val="indexentry"/>
        </w:rPr>
        <w:fldChar w:fldCharType="begin"/>
      </w:r>
      <w:r>
        <w:instrText>xe "</w:instrText>
      </w:r>
      <w:r>
        <w:rPr>
          <w:rStyle w:val="xeentry"/>
        </w:rPr>
        <w:instrText>SEhU selma’o</w:instrText>
      </w:r>
      <w:r>
        <w:instrText>"</w:instrText>
      </w:r>
      <w:r>
        <w:rPr>
          <w:rStyle w:val="indexentry"/>
        </w:rPr>
        <w:fldChar w:fldCharType="end"/>
      </w:r>
      <w:r>
        <w:rPr>
          <w:rStyle w:val="indexentry"/>
        </w:rPr>
        <w:t>&lt;cx "SEI, terminator for, selma'o catalog"&gt;</w:t>
      </w:r>
      <w:r>
        <w:rPr>
          <w:rStyle w:val="indexentry"/>
        </w:rPr>
        <w:fldChar w:fldCharType="begin"/>
      </w:r>
      <w:r>
        <w:instrText>xe "</w:instrText>
      </w:r>
      <w:r>
        <w:rPr>
          <w:rStyle w:val="xeentry"/>
        </w:rPr>
        <w:instrText>SEI selma’o: terminator for</w:instrText>
      </w:r>
      <w:r>
        <w:instrText>"</w:instrText>
      </w:r>
      <w:r>
        <w:rPr>
          <w:rStyle w:val="indexentry"/>
        </w:rPr>
        <w:fldChar w:fldCharType="end"/>
      </w:r>
      <w:r>
        <w:rPr>
          <w:rStyle w:val="indexentry"/>
        </w:rPr>
        <w:t>&lt;cx "SOI, terminator for, selma'o catalog"&gt;</w:t>
      </w:r>
      <w:r>
        <w:rPr>
          <w:rStyle w:val="indexentry"/>
        </w:rPr>
        <w:fldChar w:fldCharType="begin"/>
      </w:r>
      <w:r>
        <w:instrText>xe "</w:instrText>
      </w:r>
      <w:r>
        <w:rPr>
          <w:rStyle w:val="xeentry"/>
        </w:rPr>
        <w:instrText>SOI selma’o: terminator for</w:instrText>
      </w:r>
      <w:r>
        <w:instrText>"</w:instrText>
      </w:r>
      <w:r>
        <w:rPr>
          <w:rStyle w:val="indexentry"/>
        </w:rPr>
        <w:fldChar w:fldCharType="end"/>
      </w:r>
      <w:r>
        <w:t>selma'o SEhU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SEI and SOI. Ends metalinguistic</w:t>
      </w:r>
      <w:r>
        <w:rPr>
          <w:rStyle w:val="deletedparamark"/>
        </w:rPr>
        <w:t xml:space="preserve"> </w:t>
      </w:r>
      <w:r>
        <w:t>insertions.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frank. prami sei gleki se'u la djein.</w:t>
      </w:r>
    </w:p>
    <w:p w:rsidR="00B72047" w:rsidRDefault="00B72047">
      <w:pPr>
        <w:pStyle w:val="examplescaled"/>
      </w:pPr>
      <w:r>
        <w:tab/>
        <w:t>Frank loves (he is happy) Jane.</w:t>
      </w:r>
    </w:p>
    <w:p w:rsidR="00B72047" w:rsidRDefault="00B72047">
      <w:pPr>
        <w:pStyle w:val="Heading4"/>
      </w:pPr>
      <w:r>
        <w:rPr>
          <w:rStyle w:val="htmlcodes"/>
        </w:rPr>
        <w:t>&lt;/dl&gt;</w:t>
      </w:r>
      <w:r>
        <w:rPr>
          <w:rStyle w:val="indexentry"/>
        </w:rPr>
        <w:t>&lt;lx "SI, selma'o catalog"&gt;</w:t>
      </w:r>
      <w:r>
        <w:rPr>
          <w:rStyle w:val="indexentry"/>
        </w:rPr>
        <w:fldChar w:fldCharType="begin"/>
      </w:r>
      <w:r>
        <w:instrText>xe "</w:instrText>
      </w:r>
      <w:r>
        <w:rPr>
          <w:rStyle w:val="xeentry"/>
        </w:rPr>
        <w:instrText>SI selma’o</w:instrText>
      </w:r>
      <w:r>
        <w:instrText>"</w:instrText>
      </w:r>
      <w:r>
        <w:rPr>
          <w:rStyle w:val="indexentry"/>
        </w:rPr>
        <w:fldChar w:fldCharType="end"/>
      </w:r>
      <w:r>
        <w:rPr>
          <w:rStyle w:val="indexentry"/>
        </w:rPr>
        <w:t>&lt;cx "erasing, word, selma'o catalog"&gt;</w:t>
      </w:r>
      <w:r>
        <w:rPr>
          <w:rStyle w:val="indexentry"/>
        </w:rPr>
        <w:fldChar w:fldCharType="begin"/>
      </w:r>
      <w:r>
        <w:instrText>xe "</w:instrText>
      </w:r>
      <w:r>
        <w:rPr>
          <w:rStyle w:val="xeentry"/>
        </w:rPr>
        <w:instrText>erasure: word</w:instrText>
      </w:r>
      <w:r>
        <w:instrText>"</w:instrText>
      </w:r>
      <w:r>
        <w:rPr>
          <w:rStyle w:val="indexentry"/>
        </w:rPr>
        <w:fldChar w:fldCharType="end"/>
      </w:r>
      <w:r>
        <w:t>selma'o SI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Erases the previous single word.</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si do klama le zarci</w:t>
      </w:r>
    </w:p>
    <w:p w:rsidR="00B72047" w:rsidRDefault="00B72047">
      <w:pPr>
        <w:pStyle w:val="examplescaled"/>
      </w:pPr>
      <w:r>
        <w:tab/>
        <w:t>I, er, you go to-the market.</w:t>
      </w:r>
    </w:p>
    <w:p w:rsidR="00B72047" w:rsidRDefault="00B72047">
      <w:pPr>
        <w:pStyle w:val="Heading4"/>
      </w:pPr>
      <w:r>
        <w:rPr>
          <w:rStyle w:val="htmlcodes"/>
        </w:rPr>
        <w:t>&lt;/dl&gt;</w:t>
      </w:r>
      <w:r>
        <w:rPr>
          <w:rStyle w:val="indexentry"/>
        </w:rPr>
        <w:t>&lt;lx "SOI, selma'o catalog"&gt;</w:t>
      </w:r>
      <w:r>
        <w:rPr>
          <w:rStyle w:val="indexentry"/>
        </w:rPr>
        <w:fldChar w:fldCharType="begin"/>
      </w:r>
      <w:r>
        <w:instrText>xe "</w:instrText>
      </w:r>
      <w:r>
        <w:rPr>
          <w:rStyle w:val="xeentry"/>
        </w:rPr>
        <w:instrText>SOI selma’o</w:instrText>
      </w:r>
      <w:r>
        <w:instrText>"</w:instrText>
      </w:r>
      <w:r>
        <w:rPr>
          <w:rStyle w:val="indexentry"/>
        </w:rPr>
        <w:fldChar w:fldCharType="end"/>
      </w:r>
      <w:r>
        <w:rPr>
          <w:rStyle w:val="indexentry"/>
        </w:rPr>
        <w:t>&lt;cx "reciprocity, marking, selma'o catalog"&gt;</w:t>
      </w:r>
      <w:r>
        <w:rPr>
          <w:rStyle w:val="indexentry"/>
        </w:rPr>
        <w:fldChar w:fldCharType="begin"/>
      </w:r>
      <w:r>
        <w:instrText>xe "</w:instrText>
      </w:r>
      <w:r>
        <w:rPr>
          <w:rStyle w:val="xeentry"/>
        </w:rPr>
        <w:instrText>reciprocity: marking</w:instrText>
      </w:r>
      <w:r>
        <w:instrText>"</w:instrText>
      </w:r>
      <w:r>
        <w:rPr>
          <w:rStyle w:val="indexentry"/>
        </w:rPr>
        <w:fldChar w:fldCharType="end"/>
      </w:r>
      <w:r>
        <w:t>selma'o SOI (</w:t>
      </w:r>
      <w:r>
        <w:rPr>
          <w:rStyle w:val="htmlcodes"/>
        </w:rPr>
        <w:t>&lt;a href=chap7.html&gt;</w:t>
      </w:r>
      <w:r>
        <w:t>Chapter 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Marks reciprocity between two sumti (like “vice versa” in English).</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prami do soi mi</w:t>
      </w:r>
    </w:p>
    <w:p w:rsidR="00B72047" w:rsidRDefault="00B72047">
      <w:pPr>
        <w:pStyle w:val="examplescaled"/>
      </w:pPr>
      <w:r>
        <w:tab/>
        <w:t>I love you [reciprocally] me.</w:t>
      </w:r>
    </w:p>
    <w:p w:rsidR="00B72047" w:rsidRDefault="00B72047">
      <w:pPr>
        <w:pStyle w:val="examplescaled"/>
      </w:pPr>
      <w:r>
        <w:tab/>
        <w:t>I love you and vice versa.</w:t>
      </w:r>
    </w:p>
    <w:p w:rsidR="00B72047" w:rsidRDefault="00B72047">
      <w:pPr>
        <w:pStyle w:val="Heading4"/>
      </w:pPr>
      <w:r>
        <w:rPr>
          <w:rStyle w:val="htmlcodes"/>
        </w:rPr>
        <w:t>&lt;/dl&gt;</w:t>
      </w:r>
      <w:r>
        <w:rPr>
          <w:rStyle w:val="indexentry"/>
        </w:rPr>
        <w:t>&lt;lx "SU, selma'o catalog"&gt;</w:t>
      </w:r>
      <w:r>
        <w:rPr>
          <w:rStyle w:val="indexentry"/>
        </w:rPr>
        <w:fldChar w:fldCharType="begin"/>
      </w:r>
      <w:r>
        <w:instrText>xe "</w:instrText>
      </w:r>
      <w:r>
        <w:rPr>
          <w:rStyle w:val="xeentry"/>
        </w:rPr>
        <w:instrText>SU selma’o</w:instrText>
      </w:r>
      <w:r>
        <w:instrText>"</w:instrText>
      </w:r>
      <w:r>
        <w:rPr>
          <w:rStyle w:val="indexentry"/>
        </w:rPr>
        <w:fldChar w:fldCharType="end"/>
      </w:r>
      <w:r>
        <w:rPr>
          <w:rStyle w:val="indexentry"/>
        </w:rPr>
        <w:t>&lt;cx "erasing, discourse, selma'o catalog"&gt;</w:t>
      </w:r>
      <w:r>
        <w:rPr>
          <w:rStyle w:val="indexentry"/>
        </w:rPr>
        <w:fldChar w:fldCharType="begin"/>
      </w:r>
      <w:r>
        <w:instrText>xe "</w:instrText>
      </w:r>
      <w:r>
        <w:rPr>
          <w:rStyle w:val="xeentry"/>
        </w:rPr>
        <w:instrText>erasure: discourse</w:instrText>
      </w:r>
      <w:r>
        <w:instrText>"</w:instrText>
      </w:r>
      <w:r>
        <w:rPr>
          <w:rStyle w:val="indexentry"/>
        </w:rPr>
        <w:fldChar w:fldCharType="end"/>
      </w:r>
      <w:r>
        <w:t>selma'o SU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Closes and erases the entire previous discourse.</w:t>
      </w:r>
    </w:p>
    <w:p w:rsidR="00B72047" w:rsidRDefault="00B72047">
      <w:pPr>
        <w:rPr>
          <w:rStyle w:val="htmlparacode"/>
        </w:rPr>
      </w:pPr>
      <w:r>
        <w:rPr>
          <w:rStyle w:val="htmlparacode"/>
        </w:rPr>
        <w:t>&lt;p&gt;</w:t>
      </w:r>
    </w:p>
    <w:p w:rsidR="00B72047" w:rsidRDefault="00B72047">
      <w:pPr>
        <w:pStyle w:val="Heading4"/>
      </w:pPr>
      <w:r>
        <w:rPr>
          <w:rStyle w:val="indexentry"/>
        </w:rPr>
        <w:t>&lt;lx "TAhE, selma'o catalog"&gt;</w:t>
      </w:r>
      <w:r>
        <w:rPr>
          <w:rStyle w:val="indexentry"/>
        </w:rPr>
        <w:fldChar w:fldCharType="begin"/>
      </w:r>
      <w:r>
        <w:instrText>xe "</w:instrText>
      </w:r>
      <w:r>
        <w:rPr>
          <w:rStyle w:val="xeentry"/>
        </w:rPr>
        <w:instrText>TAhE selma’o</w:instrText>
      </w:r>
      <w:r>
        <w:instrText>"</w:instrText>
      </w:r>
      <w:r>
        <w:rPr>
          <w:rStyle w:val="indexentry"/>
        </w:rPr>
        <w:fldChar w:fldCharType="end"/>
      </w:r>
      <w:r>
        <w:rPr>
          <w:rStyle w:val="indexentry"/>
        </w:rPr>
        <w:t>&lt;cx "frequency within interval, specifying, selma'o catalog"&gt;</w:t>
      </w:r>
      <w:r>
        <w:rPr>
          <w:rStyle w:val="indexentry"/>
        </w:rPr>
        <w:fldChar w:fldCharType="begin"/>
      </w:r>
      <w:r>
        <w:instrText>xe "</w:instrText>
      </w:r>
      <w:r>
        <w:rPr>
          <w:rStyle w:val="xeentry"/>
        </w:rPr>
        <w:instrText>frequency within interval: specifying</w:instrText>
      </w:r>
      <w:r>
        <w:instrText>"</w:instrText>
      </w:r>
      <w:r>
        <w:rPr>
          <w:rStyle w:val="indexentry"/>
        </w:rPr>
        <w:fldChar w:fldCharType="end"/>
      </w:r>
      <w:r>
        <w:t>selma'o TAhE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modifier specifying frequencies within an interval of time</w:t>
      </w:r>
      <w:r>
        <w:rPr>
          <w:rStyle w:val="deletedparamark"/>
        </w:rPr>
        <w:t xml:space="preserve"> </w:t>
      </w:r>
      <w:r>
        <w:t>or space (regularly, habitually, etc.).</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verba ta'e klama le ckule</w:t>
      </w:r>
    </w:p>
    <w:p w:rsidR="00B72047" w:rsidRDefault="00B72047">
      <w:pPr>
        <w:pStyle w:val="examplescaled"/>
      </w:pPr>
      <w:r>
        <w:tab/>
        <w:t>The child habitually goes to-the school.</w:t>
      </w:r>
    </w:p>
    <w:p w:rsidR="00B72047" w:rsidRDefault="00B72047">
      <w:pPr>
        <w:pStyle w:val="Heading4"/>
        <w:spacing w:before="0"/>
      </w:pPr>
      <w:r>
        <w:rPr>
          <w:rStyle w:val="htmlcodes"/>
          <w:vanish w:val="0"/>
        </w:rPr>
        <w:br w:type="page"/>
      </w:r>
      <w:r>
        <w:rPr>
          <w:rStyle w:val="htmlcodes"/>
        </w:rPr>
        <w:t>&lt;/dl&gt;</w:t>
      </w:r>
      <w:r>
        <w:rPr>
          <w:rStyle w:val="indexentry"/>
        </w:rPr>
        <w:t>&lt;lx "TEI, selma'o catalog"&gt;</w:t>
      </w:r>
      <w:r>
        <w:rPr>
          <w:rStyle w:val="indexentry"/>
        </w:rPr>
        <w:fldChar w:fldCharType="begin"/>
      </w:r>
      <w:r>
        <w:instrText>xe "</w:instrText>
      </w:r>
      <w:r>
        <w:rPr>
          <w:rStyle w:val="xeentry"/>
        </w:rPr>
        <w:instrText>TEI selma’o</w:instrText>
      </w:r>
      <w:r>
        <w:instrText>"</w:instrText>
      </w:r>
      <w:r>
        <w:rPr>
          <w:rStyle w:val="indexentry"/>
        </w:rPr>
        <w:fldChar w:fldCharType="end"/>
      </w:r>
      <w:r>
        <w:rPr>
          <w:rStyle w:val="indexentry"/>
        </w:rPr>
        <w:t>&lt;cx "compound letter marker, selma'o catalog"&gt;</w:t>
      </w:r>
      <w:r>
        <w:rPr>
          <w:rStyle w:val="indexentry"/>
        </w:rPr>
        <w:fldChar w:fldCharType="begin"/>
      </w:r>
      <w:r>
        <w:instrText>xe "</w:instrText>
      </w:r>
      <w:r>
        <w:rPr>
          <w:rStyle w:val="xeentry"/>
        </w:rPr>
        <w:instrText>compound letter marker</w:instrText>
      </w:r>
      <w:r>
        <w:instrText>"</w:instrText>
      </w:r>
      <w:r>
        <w:rPr>
          <w:rStyle w:val="indexentry"/>
        </w:rPr>
        <w:fldChar w:fldCharType="end"/>
      </w:r>
      <w:r>
        <w:t>selma'o TEI (</w:t>
      </w:r>
      <w:r>
        <w:rPr>
          <w:rStyle w:val="htmlcodes"/>
        </w:rPr>
        <w:t>&lt;a href=chap17.html&gt;</w:t>
      </w:r>
      <w:r>
        <w:t>Chapter 17</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Signals the beginning of a compound letter word, which acts</w:t>
      </w:r>
      <w:r>
        <w:rPr>
          <w:rStyle w:val="deletedparamark"/>
        </w:rPr>
        <w:t xml:space="preserve"> </w:t>
      </w:r>
      <w:r>
        <w:t>grammatically like a sin</w:t>
      </w:r>
      <w:r>
        <w:softHyphen/>
        <w:t>gle letter. Compound letter words end</w:t>
      </w:r>
      <w:r>
        <w:rPr>
          <w:rStyle w:val="deletedparamark"/>
        </w:rPr>
        <w:t xml:space="preserve"> </w:t>
      </w:r>
      <w:r>
        <w:t>with the non-elidable selma'o FOI.</w:t>
      </w:r>
    </w:p>
    <w:p w:rsidR="00B72047" w:rsidRDefault="00B72047">
      <w:pPr>
        <w:pStyle w:val="Heading4"/>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tei .ebu .akut. bu foi</w:t>
      </w:r>
    </w:p>
    <w:p w:rsidR="00B72047" w:rsidRDefault="00B72047">
      <w:pPr>
        <w:pStyle w:val="examplescaled"/>
      </w:pPr>
      <w:r>
        <w:tab/>
        <w:t>(“e” “acute” )</w:t>
      </w:r>
    </w:p>
    <w:p w:rsidR="00B72047" w:rsidRDefault="00B72047">
      <w:pPr>
        <w:pStyle w:val="examplescaled"/>
      </w:pPr>
      <w:r>
        <w:tab/>
        <w:t>the letter “e” with an acute accent</w:t>
      </w:r>
    </w:p>
    <w:p w:rsidR="00B72047" w:rsidRDefault="00B72047">
      <w:pPr>
        <w:pStyle w:val="Heading4"/>
      </w:pPr>
      <w:r>
        <w:rPr>
          <w:rStyle w:val="htmlcodes"/>
        </w:rPr>
        <w:t>&lt;/dl&gt;</w:t>
      </w:r>
      <w:r>
        <w:rPr>
          <w:rStyle w:val="indexentry"/>
        </w:rPr>
        <w:t>&lt;lx "TEhU, selma'o catalog"&gt;</w:t>
      </w:r>
      <w:r>
        <w:rPr>
          <w:rStyle w:val="indexentry"/>
        </w:rPr>
        <w:fldChar w:fldCharType="begin"/>
      </w:r>
      <w:r>
        <w:instrText>xe "</w:instrText>
      </w:r>
      <w:r>
        <w:rPr>
          <w:rStyle w:val="xeentry"/>
        </w:rPr>
        <w:instrText>TEhU selma’o</w:instrText>
      </w:r>
      <w:r>
        <w:instrText>"</w:instrText>
      </w:r>
      <w:r>
        <w:rPr>
          <w:rStyle w:val="indexentry"/>
        </w:rPr>
        <w:fldChar w:fldCharType="end"/>
      </w:r>
      <w:r>
        <w:rPr>
          <w:rStyle w:val="indexentry"/>
        </w:rPr>
        <w:t>&lt;cx "JOhI, terminator for, selma'o catalog"&gt;</w:t>
      </w:r>
      <w:r>
        <w:rPr>
          <w:rStyle w:val="indexentry"/>
        </w:rPr>
        <w:fldChar w:fldCharType="begin"/>
      </w:r>
      <w:r>
        <w:instrText>xe "</w:instrText>
      </w:r>
      <w:r>
        <w:rPr>
          <w:rStyle w:val="xeentry"/>
        </w:rPr>
        <w:instrText>JOhI selma’o: terminator for</w:instrText>
      </w:r>
      <w:r>
        <w:instrText>"</w:instrText>
      </w:r>
      <w:r>
        <w:rPr>
          <w:rStyle w:val="indexentry"/>
        </w:rPr>
        <w:fldChar w:fldCharType="end"/>
      </w:r>
      <w:r>
        <w:rPr>
          <w:rStyle w:val="indexentry"/>
        </w:rPr>
        <w:t>&lt;cx "MAhO, terminator for, selma'o catalog"&gt;</w:t>
      </w:r>
      <w:r>
        <w:rPr>
          <w:rStyle w:val="indexentry"/>
        </w:rPr>
        <w:fldChar w:fldCharType="begin"/>
      </w:r>
      <w:r>
        <w:instrText>xe "</w:instrText>
      </w:r>
      <w:r>
        <w:rPr>
          <w:rStyle w:val="xeentry"/>
        </w:rPr>
        <w:instrText>MAhO selma’o: terminator for</w:instrText>
      </w:r>
      <w:r>
        <w:instrText>"</w:instrText>
      </w:r>
      <w:r>
        <w:rPr>
          <w:rStyle w:val="indexentry"/>
        </w:rPr>
        <w:fldChar w:fldCharType="end"/>
      </w:r>
      <w:r>
        <w:rPr>
          <w:rStyle w:val="indexentry"/>
        </w:rPr>
        <w:t>&lt;cx "MOhE, terminator for, selma'o catalog"&gt;</w:t>
      </w:r>
      <w:r>
        <w:rPr>
          <w:rStyle w:val="indexentry"/>
        </w:rPr>
        <w:fldChar w:fldCharType="begin"/>
      </w:r>
      <w:r>
        <w:instrText>xe "</w:instrText>
      </w:r>
      <w:r>
        <w:rPr>
          <w:rStyle w:val="xeentry"/>
        </w:rPr>
        <w:instrText>MOhE selma’o: terminator for</w:instrText>
      </w:r>
      <w:r>
        <w:instrText>"</w:instrText>
      </w:r>
      <w:r>
        <w:rPr>
          <w:rStyle w:val="indexentry"/>
        </w:rPr>
        <w:fldChar w:fldCharType="end"/>
      </w:r>
      <w:r>
        <w:rPr>
          <w:rStyle w:val="indexentry"/>
        </w:rPr>
        <w:t>&lt;cx "NAhU, terminator for, selma'o catalog"&gt;</w:t>
      </w:r>
      <w:r>
        <w:rPr>
          <w:rStyle w:val="indexentry"/>
        </w:rPr>
        <w:fldChar w:fldCharType="begin"/>
      </w:r>
      <w:r>
        <w:instrText>xe "</w:instrText>
      </w:r>
      <w:r>
        <w:rPr>
          <w:rStyle w:val="xeentry"/>
        </w:rPr>
        <w:instrText>NAhU selma’o: terminator for</w:instrText>
      </w:r>
      <w:r>
        <w:instrText>"</w:instrText>
      </w:r>
      <w:r>
        <w:rPr>
          <w:rStyle w:val="indexentry"/>
        </w:rPr>
        <w:fldChar w:fldCharType="end"/>
      </w:r>
      <w:r>
        <w:rPr>
          <w:rStyle w:val="indexentry"/>
        </w:rPr>
        <w:t>&lt;cx "NIhE, terminator for, selma'o catalog"&gt;</w:t>
      </w:r>
      <w:r>
        <w:rPr>
          <w:rStyle w:val="indexentry"/>
        </w:rPr>
        <w:fldChar w:fldCharType="begin"/>
      </w:r>
      <w:r>
        <w:instrText>xe "</w:instrText>
      </w:r>
      <w:r>
        <w:rPr>
          <w:rStyle w:val="xeentry"/>
        </w:rPr>
        <w:instrText>NIhE selma’o: terminator for</w:instrText>
      </w:r>
      <w:r>
        <w:instrText>"</w:instrText>
      </w:r>
      <w:r>
        <w:rPr>
          <w:rStyle w:val="indexentry"/>
        </w:rPr>
        <w:fldChar w:fldCharType="end"/>
      </w:r>
      <w:r>
        <w:t>selma'o TEhU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JOhI, MAhO, MOhE, NAhU, or NIhE. Marks the</w:t>
      </w:r>
      <w:r>
        <w:rPr>
          <w:rStyle w:val="deletedparamark"/>
        </w:rPr>
        <w:t xml:space="preserve"> </w:t>
      </w:r>
      <w:r>
        <w:t>end of a mathematical conversion construct.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jo'i paboi reboi te'u su'i jo'i ciboi voboi du</w:t>
      </w:r>
    </w:p>
    <w:p w:rsidR="00B72047" w:rsidRDefault="00B72047">
      <w:pPr>
        <w:pStyle w:val="examplescaled"/>
      </w:pPr>
      <w:r>
        <w:tab/>
      </w:r>
      <w:r>
        <w:tab/>
        <w:t>li jo'i voboi xaboi</w:t>
      </w:r>
    </w:p>
    <w:p w:rsidR="00B72047" w:rsidRDefault="00B72047">
      <w:pPr>
        <w:pStyle w:val="examplescaled"/>
      </w:pPr>
      <w:r>
        <w:tab/>
        <w:t>The-number array (one, two) plus array (three, four) equals</w:t>
      </w:r>
    </w:p>
    <w:p w:rsidR="00B72047" w:rsidRDefault="00B72047">
      <w:pPr>
        <w:pStyle w:val="examplescaled"/>
      </w:pPr>
      <w:r>
        <w:tab/>
      </w:r>
      <w:r>
        <w:tab/>
        <w:t>the-number array (four, six).</w:t>
      </w:r>
    </w:p>
    <w:p w:rsidR="00B72047" w:rsidRDefault="00B72047">
      <w:pPr>
        <w:pStyle w:val="examplescaled"/>
        <w:rPr>
          <w:rStyle w:val="math"/>
        </w:rPr>
      </w:pPr>
      <w:r>
        <w:rPr>
          <w:rStyle w:val="math"/>
        </w:rPr>
        <w:tab/>
        <w:t>(1,2) + (3,4) = (4,6)</w:t>
      </w:r>
    </w:p>
    <w:p w:rsidR="00B72047" w:rsidRDefault="00B72047">
      <w:pPr>
        <w:pStyle w:val="Heading4"/>
      </w:pPr>
      <w:r>
        <w:rPr>
          <w:rStyle w:val="htmlcodes"/>
        </w:rPr>
        <w:t>&lt;/dl&gt;</w:t>
      </w:r>
      <w:r>
        <w:rPr>
          <w:rStyle w:val="indexentry"/>
        </w:rPr>
        <w:t>&lt;lx "TO, selma'o catalog"&gt;</w:t>
      </w:r>
      <w:r>
        <w:rPr>
          <w:rStyle w:val="indexentry"/>
        </w:rPr>
        <w:fldChar w:fldCharType="begin"/>
      </w:r>
      <w:r>
        <w:instrText>xe "</w:instrText>
      </w:r>
      <w:r>
        <w:rPr>
          <w:rStyle w:val="xeentry"/>
        </w:rPr>
        <w:instrText>TO selma’o</w:instrText>
      </w:r>
      <w:r>
        <w:instrText>"</w:instrText>
      </w:r>
      <w:r>
        <w:rPr>
          <w:rStyle w:val="indexentry"/>
        </w:rPr>
        <w:fldChar w:fldCharType="end"/>
      </w:r>
      <w:r>
        <w:rPr>
          <w:rStyle w:val="indexentry"/>
        </w:rPr>
        <w:t>&lt;cx "parenthesis, discourse, selma'o catalog"&gt;</w:t>
      </w:r>
      <w:r>
        <w:rPr>
          <w:rStyle w:val="indexentry"/>
        </w:rPr>
        <w:fldChar w:fldCharType="begin"/>
      </w:r>
      <w:r>
        <w:instrText>xe "</w:instrText>
      </w:r>
      <w:r>
        <w:rPr>
          <w:rStyle w:val="xeentry"/>
        </w:rPr>
        <w:instrText>parenthesis: discourse</w:instrText>
      </w:r>
      <w:r>
        <w:instrText>"</w:instrText>
      </w:r>
      <w:r>
        <w:rPr>
          <w:rStyle w:val="indexentry"/>
        </w:rPr>
        <w:fldChar w:fldCharType="end"/>
      </w:r>
      <w:r>
        <w:t>selma'o TO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Left discursive parenthesis: allows inserting a digression. Terminated by</w:t>
      </w:r>
      <w:r>
        <w:rPr>
          <w:rStyle w:val="deletedparamark"/>
        </w:rPr>
        <w:t xml:space="preserve"> </w:t>
      </w:r>
      <w:r>
        <w:t>TOI.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doi lisas. mi djica le nu to doi frank. ko sisti toi do viska le mlatu</w:t>
      </w:r>
    </w:p>
    <w:p w:rsidR="00B72047" w:rsidRDefault="00B72047">
      <w:pPr>
        <w:pStyle w:val="examplescaled"/>
      </w:pPr>
      <w:r>
        <w:tab/>
        <w:t>O Lisa, I desire the event-of ( O Frank, [imperative] stop! ) you see the cat.</w:t>
      </w:r>
    </w:p>
    <w:p w:rsidR="00B72047" w:rsidRDefault="00B72047">
      <w:pPr>
        <w:pStyle w:val="examplescaled"/>
      </w:pPr>
      <w:r>
        <w:tab/>
        <w:t>Lisa, I want you to (Frank! Stop!) see the cat.</w:t>
      </w:r>
    </w:p>
    <w:p w:rsidR="00B72047" w:rsidRDefault="00B72047">
      <w:pPr>
        <w:pStyle w:val="Heading4"/>
      </w:pPr>
      <w:r>
        <w:rPr>
          <w:rStyle w:val="htmlcodes"/>
        </w:rPr>
        <w:t>&lt;/dl&gt;</w:t>
      </w:r>
      <w:r>
        <w:rPr>
          <w:rStyle w:val="indexentry"/>
        </w:rPr>
        <w:t>&lt;lx "TOI, selma'o catalog"&gt;</w:t>
      </w:r>
      <w:r>
        <w:rPr>
          <w:rStyle w:val="indexentry"/>
        </w:rPr>
        <w:fldChar w:fldCharType="begin"/>
      </w:r>
      <w:r>
        <w:instrText>xe "</w:instrText>
      </w:r>
      <w:r>
        <w:rPr>
          <w:rStyle w:val="xeentry"/>
        </w:rPr>
        <w:instrText>TOI selma’o</w:instrText>
      </w:r>
      <w:r>
        <w:instrText>"</w:instrText>
      </w:r>
      <w:r>
        <w:rPr>
          <w:rStyle w:val="indexentry"/>
        </w:rPr>
        <w:fldChar w:fldCharType="end"/>
      </w:r>
      <w:r>
        <w:rPr>
          <w:rStyle w:val="indexentry"/>
        </w:rPr>
        <w:t>&lt;cx "TO, terminator for, selma'o catalog"&gt;</w:t>
      </w:r>
      <w:r>
        <w:rPr>
          <w:rStyle w:val="indexentry"/>
        </w:rPr>
        <w:fldChar w:fldCharType="begin"/>
      </w:r>
      <w:r>
        <w:instrText>xe "</w:instrText>
      </w:r>
      <w:r>
        <w:rPr>
          <w:rStyle w:val="xeentry"/>
        </w:rPr>
        <w:instrText>TO selma’o: terminator for</w:instrText>
      </w:r>
      <w:r>
        <w:instrText>"</w:instrText>
      </w:r>
      <w:r>
        <w:rPr>
          <w:rStyle w:val="indexentry"/>
        </w:rPr>
        <w:fldChar w:fldCharType="end"/>
      </w:r>
      <w:r>
        <w:t>selma'o TOI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TO. The right discursive parenthesis.</w:t>
      </w:r>
    </w:p>
    <w:p w:rsidR="00B72047" w:rsidRDefault="00B72047">
      <w:pPr>
        <w:pStyle w:val="examplescaledpre"/>
      </w:pPr>
      <w:r>
        <w:rPr>
          <w:rStyle w:val="deletedparamark"/>
        </w:rPr>
        <w:t xml:space="preserve"> </w:t>
      </w:r>
      <w:r>
        <w:rPr>
          <w:rStyle w:val="htmlcodes"/>
        </w:rPr>
        <w:t>&lt;dl compact&gt;&lt;dt&gt;</w:t>
      </w:r>
      <w:r>
        <w:tab/>
      </w:r>
      <w:r>
        <w:rPr>
          <w:rStyle w:val="htmlcodes"/>
        </w:rPr>
        <w:t>&lt;dd&gt;</w:t>
      </w:r>
      <w:r>
        <w:t>doi lisas. mi djica le nu to doi frank. ko sisti toi do viska le mlatu</w:t>
      </w:r>
    </w:p>
    <w:p w:rsidR="00B72047" w:rsidRDefault="00B72047">
      <w:pPr>
        <w:pStyle w:val="examplescaled"/>
      </w:pPr>
      <w:r>
        <w:tab/>
        <w:t>O Lisa, I desire the event-of ( O Frank, [imperative] stop! ) you see the cat.</w:t>
      </w:r>
    </w:p>
    <w:p w:rsidR="00B72047" w:rsidRDefault="00B72047">
      <w:pPr>
        <w:pStyle w:val="examplescaled"/>
      </w:pPr>
      <w:r>
        <w:tab/>
        <w:t>Lisa, I want you to (Frank! Stop!) see the cat.</w:t>
      </w:r>
    </w:p>
    <w:p w:rsidR="00B72047" w:rsidRDefault="00B72047">
      <w:pPr>
        <w:pStyle w:val="Heading4"/>
      </w:pPr>
      <w:r>
        <w:rPr>
          <w:rStyle w:val="htmlcodes"/>
        </w:rPr>
        <w:t>&lt;/dl&gt;</w:t>
      </w:r>
      <w:r>
        <w:rPr>
          <w:rStyle w:val="indexentry"/>
        </w:rPr>
        <w:t>&lt;lx "TUhE, selma'o catalog"&gt;</w:t>
      </w:r>
      <w:r>
        <w:rPr>
          <w:rStyle w:val="indexentry"/>
        </w:rPr>
        <w:fldChar w:fldCharType="begin"/>
      </w:r>
      <w:r>
        <w:instrText>xe "</w:instrText>
      </w:r>
      <w:r>
        <w:rPr>
          <w:rStyle w:val="xeentry"/>
        </w:rPr>
        <w:instrText>TUhE selma’o</w:instrText>
      </w:r>
      <w:r>
        <w:instrText>"</w:instrText>
      </w:r>
      <w:r>
        <w:rPr>
          <w:rStyle w:val="indexentry"/>
        </w:rPr>
        <w:fldChar w:fldCharType="end"/>
      </w:r>
      <w:r>
        <w:rPr>
          <w:rStyle w:val="indexentry"/>
        </w:rPr>
        <w:t>&lt;cx "sentence grouping, selma'o catalog"&gt;</w:t>
      </w:r>
      <w:r>
        <w:rPr>
          <w:rStyle w:val="indexentry"/>
        </w:rPr>
        <w:fldChar w:fldCharType="begin"/>
      </w:r>
      <w:r>
        <w:instrText>xe "</w:instrText>
      </w:r>
      <w:r>
        <w:rPr>
          <w:rStyle w:val="xeentry"/>
        </w:rPr>
        <w:instrText>sentence grouping</w:instrText>
      </w:r>
      <w:r>
        <w:instrText>"</w:instrText>
      </w:r>
      <w:r>
        <w:rPr>
          <w:rStyle w:val="indexentry"/>
        </w:rPr>
        <w:fldChar w:fldCharType="end"/>
      </w:r>
      <w:r>
        <w:t>selma'o TUhE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Groups multiple sentences or paragraphs into a logical unit. Terminated</w:t>
      </w:r>
      <w:r>
        <w:rPr>
          <w:rStyle w:val="deletedparamark"/>
        </w:rPr>
        <w:t xml:space="preserve"> </w:t>
      </w:r>
      <w:r>
        <w:t>by TUhU.</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xagmau zo'u tu'e ganai cidja gi cnino  .i ganai vanju gi tolci'o [tu'u]</w:t>
      </w:r>
    </w:p>
    <w:p w:rsidR="00B72047" w:rsidRDefault="00B72047">
      <w:pPr>
        <w:pStyle w:val="examplescaled"/>
      </w:pPr>
      <w:r>
        <w:tab/>
        <w:t>Is-best :  [start] If food, then new.  If wine, then old.</w:t>
      </w:r>
    </w:p>
    <w:p w:rsidR="00B72047" w:rsidRDefault="00B72047">
      <w:pPr>
        <w:pStyle w:val="examplescaled"/>
      </w:pPr>
      <w:r>
        <w:tab/>
        <w:t>As for what is best:  if food, then new [is best]; if wine, then old [is best].</w:t>
      </w:r>
    </w:p>
    <w:p w:rsidR="00B72047" w:rsidRDefault="00B72047">
      <w:pPr>
        <w:pStyle w:val="Heading4"/>
      </w:pPr>
      <w:r>
        <w:rPr>
          <w:rStyle w:val="htmlcodes"/>
        </w:rPr>
        <w:t>&lt;/dl&gt;</w:t>
      </w:r>
      <w:r>
        <w:rPr>
          <w:rStyle w:val="indexentry"/>
        </w:rPr>
        <w:t>&lt;lx "TUhU, selma'o catalog"&gt;</w:t>
      </w:r>
      <w:r>
        <w:rPr>
          <w:rStyle w:val="indexentry"/>
        </w:rPr>
        <w:fldChar w:fldCharType="begin"/>
      </w:r>
      <w:r>
        <w:instrText>xe "</w:instrText>
      </w:r>
      <w:r>
        <w:rPr>
          <w:rStyle w:val="xeentry"/>
        </w:rPr>
        <w:instrText>TUhU selma’o</w:instrText>
      </w:r>
      <w:r>
        <w:instrText>"</w:instrText>
      </w:r>
      <w:r>
        <w:rPr>
          <w:rStyle w:val="indexentry"/>
        </w:rPr>
        <w:fldChar w:fldCharType="end"/>
      </w:r>
      <w:r>
        <w:rPr>
          <w:rStyle w:val="indexentry"/>
        </w:rPr>
        <w:t>&lt;cx "TUhE, terminator for, selma'o catalog"&gt;</w:t>
      </w:r>
      <w:r>
        <w:rPr>
          <w:rStyle w:val="indexentry"/>
        </w:rPr>
        <w:fldChar w:fldCharType="begin"/>
      </w:r>
      <w:r>
        <w:instrText>xe "</w:instrText>
      </w:r>
      <w:r>
        <w:rPr>
          <w:rStyle w:val="xeentry"/>
        </w:rPr>
        <w:instrText>TUhE selma’o: terminator for</w:instrText>
      </w:r>
      <w:r>
        <w:instrText>"</w:instrText>
      </w:r>
      <w:r>
        <w:rPr>
          <w:rStyle w:val="indexentry"/>
        </w:rPr>
        <w:fldChar w:fldCharType="end"/>
      </w:r>
      <w:r>
        <w:t>selma'o TUhU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TUhE. Marks the end of a multiple sentence</w:t>
      </w:r>
      <w:r>
        <w:rPr>
          <w:rStyle w:val="deletedparamark"/>
        </w:rPr>
        <w:t xml:space="preserve"> </w:t>
      </w:r>
      <w:r>
        <w:t>group.</w:t>
      </w:r>
    </w:p>
    <w:p w:rsidR="00B72047" w:rsidRDefault="00B72047">
      <w:pPr>
        <w:rPr>
          <w:rStyle w:val="htmlparacode"/>
        </w:rPr>
      </w:pPr>
      <w:r>
        <w:rPr>
          <w:rStyle w:val="htmlparacode"/>
        </w:rPr>
        <w:t>&lt;p&gt;</w:t>
      </w:r>
    </w:p>
    <w:p w:rsidR="00B72047" w:rsidRDefault="00B72047">
      <w:pPr>
        <w:pStyle w:val="Heading4"/>
      </w:pPr>
      <w:r>
        <w:rPr>
          <w:rStyle w:val="indexentry"/>
        </w:rPr>
        <w:t>&lt;lx "UI, selma'o catalog"&gt;</w:t>
      </w:r>
      <w:r>
        <w:rPr>
          <w:rStyle w:val="indexentry"/>
        </w:rPr>
        <w:fldChar w:fldCharType="begin"/>
      </w:r>
      <w:r>
        <w:instrText>xe "</w:instrText>
      </w:r>
      <w:r>
        <w:rPr>
          <w:rStyle w:val="xeentry"/>
        </w:rPr>
        <w:instrText>UI selma’o</w:instrText>
      </w:r>
      <w:r>
        <w:instrText>"</w:instrText>
      </w:r>
      <w:r>
        <w:rPr>
          <w:rStyle w:val="indexentry"/>
        </w:rPr>
        <w:fldChar w:fldCharType="end"/>
      </w:r>
      <w:r>
        <w:rPr>
          <w:rStyle w:val="indexentry"/>
        </w:rPr>
        <w:t>&lt;cx "emotion, marking, selma'o catalog"&gt;</w:t>
      </w:r>
      <w:r>
        <w:rPr>
          <w:rStyle w:val="indexentry"/>
        </w:rPr>
        <w:fldChar w:fldCharType="begin"/>
      </w:r>
      <w:r>
        <w:instrText>xe "</w:instrText>
      </w:r>
      <w:r>
        <w:rPr>
          <w:rStyle w:val="xeentry"/>
        </w:rPr>
        <w:instrText>emotions: marking</w:instrText>
      </w:r>
      <w:r>
        <w:instrText>"</w:instrText>
      </w:r>
      <w:r>
        <w:rPr>
          <w:rStyle w:val="indexentry"/>
        </w:rPr>
        <w:fldChar w:fldCharType="end"/>
      </w:r>
      <w:r>
        <w:t>selma'o UI (</w:t>
      </w:r>
      <w:r>
        <w:rPr>
          <w:rStyle w:val="htmlcodes"/>
        </w:rPr>
        <w:t>&lt;a href=chap13.html&gt;</w:t>
      </w:r>
      <w:r>
        <w:t>Chapter 13</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Indicates the speaker's emotional state or source of</w:t>
      </w:r>
      <w:r>
        <w:rPr>
          <w:rStyle w:val="deletedparamark"/>
        </w:rPr>
        <w:t xml:space="preserve"> </w:t>
      </w:r>
      <w:r>
        <w:t>knowledge, or the present stage of discourse.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.ui la djan. klama</w:t>
      </w:r>
    </w:p>
    <w:p w:rsidR="00B72047" w:rsidRDefault="00B72047">
      <w:pPr>
        <w:pStyle w:val="examplescaled"/>
      </w:pPr>
      <w:r>
        <w:tab/>
        <w:t>[Happiness!] John is-coming.</w:t>
      </w:r>
    </w:p>
    <w:p w:rsidR="00B72047" w:rsidRDefault="00B72047">
      <w:pPr>
        <w:pStyle w:val="examplescaled"/>
      </w:pPr>
      <w:r>
        <w:tab/>
        <w:t>Hurrah! John is coming!</w:t>
      </w:r>
    </w:p>
    <w:p w:rsidR="00B72047" w:rsidRDefault="00B72047">
      <w:pPr>
        <w:pStyle w:val="Heading4"/>
      </w:pPr>
      <w:r>
        <w:rPr>
          <w:rStyle w:val="htmlcodes"/>
        </w:rPr>
        <w:t>&lt;/dl&gt;</w:t>
      </w:r>
      <w:r>
        <w:rPr>
          <w:rStyle w:val="indexentry"/>
        </w:rPr>
        <w:t>&lt;lx "VA, selma'o catalog"&gt;</w:t>
      </w:r>
      <w:r>
        <w:rPr>
          <w:rStyle w:val="indexentry"/>
        </w:rPr>
        <w:fldChar w:fldCharType="begin"/>
      </w:r>
      <w:r>
        <w:instrText>xe "</w:instrText>
      </w:r>
      <w:r>
        <w:rPr>
          <w:rStyle w:val="xeentry"/>
        </w:rPr>
        <w:instrText>VA selma’o</w:instrText>
      </w:r>
      <w:r>
        <w:instrText>"</w:instrText>
      </w:r>
      <w:r>
        <w:rPr>
          <w:rStyle w:val="indexentry"/>
        </w:rPr>
        <w:fldChar w:fldCharType="end"/>
      </w:r>
      <w:r>
        <w:rPr>
          <w:rStyle w:val="indexentry"/>
        </w:rPr>
        <w:t>&lt;cx "distance, spatial, selma'o catalog"&gt;</w:t>
      </w:r>
      <w:r>
        <w:rPr>
          <w:rStyle w:val="indexentry"/>
        </w:rPr>
        <w:fldChar w:fldCharType="begin"/>
      </w:r>
      <w:r>
        <w:instrText>xe "</w:instrText>
      </w:r>
      <w:r>
        <w:rPr>
          <w:rStyle w:val="xeentry"/>
        </w:rPr>
        <w:instrText>distance: spatial</w:instrText>
      </w:r>
      <w:r>
        <w:instrText>"</w:instrText>
      </w:r>
      <w:r>
        <w:rPr>
          <w:rStyle w:val="indexentry"/>
        </w:rPr>
        <w:fldChar w:fldCharType="end"/>
      </w:r>
      <w:r>
        <w:t>selma'o VA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indicating distance in space (near, far, or neither).</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le nanmu va batci le gerku</w:t>
      </w:r>
    </w:p>
    <w:p w:rsidR="00B72047" w:rsidRDefault="00B72047">
      <w:pPr>
        <w:pStyle w:val="examplescaled"/>
      </w:pPr>
      <w:r>
        <w:tab/>
        <w:t>The man [medium distance] bites the dog.</w:t>
      </w:r>
    </w:p>
    <w:p w:rsidR="00B72047" w:rsidRDefault="00B72047">
      <w:pPr>
        <w:pStyle w:val="examplescaled"/>
      </w:pPr>
      <w:r>
        <w:tab/>
        <w:t>Over there the man is biting the dog.</w:t>
      </w:r>
    </w:p>
    <w:p w:rsidR="00B72047" w:rsidRDefault="00B72047">
      <w:pPr>
        <w:pStyle w:val="Heading4"/>
      </w:pPr>
      <w:r>
        <w:rPr>
          <w:rStyle w:val="htmlcodes"/>
        </w:rPr>
        <w:t>&lt;/dl&gt;</w:t>
      </w:r>
      <w:r>
        <w:rPr>
          <w:rStyle w:val="indexentry"/>
        </w:rPr>
        <w:t>&lt;lx "VAU, selma'o catalog"&gt;</w:t>
      </w:r>
      <w:r>
        <w:rPr>
          <w:rStyle w:val="indexentry"/>
        </w:rPr>
        <w:fldChar w:fldCharType="begin"/>
      </w:r>
      <w:r>
        <w:instrText>xe "</w:instrText>
      </w:r>
      <w:r>
        <w:rPr>
          <w:rStyle w:val="xeentry"/>
        </w:rPr>
        <w:instrText>VAU selma’o</w:instrText>
      </w:r>
      <w:r>
        <w:instrText>"</w:instrText>
      </w:r>
      <w:r>
        <w:rPr>
          <w:rStyle w:val="indexentry"/>
        </w:rPr>
        <w:fldChar w:fldCharType="end"/>
      </w:r>
      <w:r>
        <w:rPr>
          <w:rStyle w:val="indexentry"/>
        </w:rPr>
        <w:t>&lt;cx "simple bridi, terminator for, selma'o catalog"&gt;</w:t>
      </w:r>
      <w:r>
        <w:rPr>
          <w:rStyle w:val="indexentry"/>
        </w:rPr>
        <w:fldChar w:fldCharType="begin"/>
      </w:r>
      <w:r>
        <w:instrText>xe "</w:instrText>
      </w:r>
      <w:r>
        <w:rPr>
          <w:rStyle w:val="xeentry"/>
        </w:rPr>
        <w:instrText>simple bridi: terminator for</w:instrText>
      </w:r>
      <w:r>
        <w:instrText>"</w:instrText>
      </w:r>
      <w:r>
        <w:rPr>
          <w:rStyle w:val="indexentry"/>
        </w:rPr>
        <w:fldChar w:fldCharType="end"/>
      </w:r>
      <w:r>
        <w:rPr>
          <w:rStyle w:val="indexentry"/>
        </w:rPr>
        <w:t>&lt;cx "GIhA, terminator for, selma'o catalog"&gt;</w:t>
      </w:r>
      <w:r>
        <w:rPr>
          <w:rStyle w:val="indexentry"/>
        </w:rPr>
        <w:fldChar w:fldCharType="begin"/>
      </w:r>
      <w:r>
        <w:instrText>xe "</w:instrText>
      </w:r>
      <w:r>
        <w:rPr>
          <w:rStyle w:val="xeentry"/>
        </w:rPr>
        <w:instrText>GIhA selma’o: terminator for</w:instrText>
      </w:r>
      <w:r>
        <w:instrText>"</w:instrText>
      </w:r>
      <w:r>
        <w:rPr>
          <w:rStyle w:val="indexentry"/>
        </w:rPr>
        <w:fldChar w:fldCharType="end"/>
      </w:r>
      <w:r>
        <w:t>selma'o VAU (</w:t>
      </w:r>
      <w:r>
        <w:rPr>
          <w:rStyle w:val="htmlcodes"/>
        </w:rPr>
        <w:t>&lt;a href=chap14.html&gt;</w:t>
      </w:r>
      <w:r>
        <w:t>Chapter 14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a simple bridi, or for each bridi-tail of a</w:t>
      </w:r>
      <w:r>
        <w:rPr>
          <w:rStyle w:val="deletedparamark"/>
        </w:rPr>
        <w:t xml:space="preserve"> </w:t>
      </w:r>
      <w:r>
        <w:t>GIhA logical connec</w:t>
      </w:r>
      <w:r>
        <w:softHyphen/>
        <w:t>tion.</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dunda le cukta [vau] gi'e lebna lo rupnu vau do [vau]</w:t>
      </w:r>
    </w:p>
    <w:p w:rsidR="00B72047" w:rsidRDefault="00B72047">
      <w:pPr>
        <w:pStyle w:val="examplescaled"/>
      </w:pPr>
      <w:r>
        <w:tab/>
        <w:t>I (give the book) and (take some currency-units) to/from you.</w:t>
      </w:r>
    </w:p>
    <w:p w:rsidR="00B72047" w:rsidRDefault="00B72047">
      <w:pPr>
        <w:pStyle w:val="Heading4"/>
      </w:pPr>
      <w:r>
        <w:rPr>
          <w:rStyle w:val="htmlcodes"/>
        </w:rPr>
        <w:t>&lt;/dl&gt;</w:t>
      </w:r>
      <w:r>
        <w:rPr>
          <w:rStyle w:val="indexentry"/>
        </w:rPr>
        <w:t>&lt;lx "VEI, selma'o catalog"&gt;</w:t>
      </w:r>
      <w:r>
        <w:rPr>
          <w:rStyle w:val="indexentry"/>
        </w:rPr>
        <w:fldChar w:fldCharType="begin"/>
      </w:r>
      <w:r>
        <w:instrText>xe "</w:instrText>
      </w:r>
      <w:r>
        <w:rPr>
          <w:rStyle w:val="xeentry"/>
        </w:rPr>
        <w:instrText>VEI selma’o</w:instrText>
      </w:r>
      <w:r>
        <w:instrText>"</w:instrText>
      </w:r>
      <w:r>
        <w:rPr>
          <w:rStyle w:val="indexentry"/>
        </w:rPr>
        <w:fldChar w:fldCharType="end"/>
      </w:r>
      <w:r>
        <w:rPr>
          <w:rStyle w:val="indexentry"/>
        </w:rPr>
        <w:t>&lt;cx "mathematical parenthesis, left, selma'o catalog"&gt;</w:t>
      </w:r>
      <w:r>
        <w:rPr>
          <w:rStyle w:val="indexentry"/>
        </w:rPr>
        <w:fldChar w:fldCharType="begin"/>
      </w:r>
      <w:r>
        <w:instrText>xe "</w:instrText>
      </w:r>
      <w:r>
        <w:rPr>
          <w:rStyle w:val="xeentry"/>
        </w:rPr>
        <w:instrText>mathematical parenthesis: left</w:instrText>
      </w:r>
      <w:r>
        <w:instrText>"</w:instrText>
      </w:r>
      <w:r>
        <w:rPr>
          <w:rStyle w:val="indexentry"/>
        </w:rPr>
        <w:fldChar w:fldCharType="end"/>
      </w:r>
      <w:r>
        <w:t>selma'o VEI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Left mathematical parenthesis: groups mathematical operations. Terminated</w:t>
      </w:r>
      <w:r>
        <w:rPr>
          <w:rStyle w:val="deletedparamark"/>
        </w:rPr>
        <w:t xml:space="preserve"> </w:t>
      </w:r>
      <w:r>
        <w:t>by VEhO.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vei ny. su'i pa ve'o pi'i vei ny. su'i pa [ve'o] du</w:t>
      </w:r>
    </w:p>
    <w:p w:rsidR="00B72047" w:rsidRDefault="00B72047">
      <w:pPr>
        <w:pStyle w:val="examplescaled"/>
      </w:pPr>
      <w:r>
        <w:tab/>
      </w:r>
      <w:r>
        <w:tab/>
        <w:t>li ny. [bo] te'a re su'i re bo pi'i ny. su'i pa</w:t>
      </w:r>
    </w:p>
    <w:p w:rsidR="00B72047" w:rsidRDefault="00B72047">
      <w:pPr>
        <w:pStyle w:val="examplescaled"/>
      </w:pPr>
      <w:r>
        <w:tab/>
        <w:t>The-number (“n” plus one ) times (“n” plus one ) equals</w:t>
      </w:r>
    </w:p>
    <w:p w:rsidR="00B72047" w:rsidRDefault="00B72047">
      <w:pPr>
        <w:pStyle w:val="examplescaled"/>
      </w:pPr>
      <w:r>
        <w:tab/>
      </w:r>
      <w:r>
        <w:tab/>
        <w:t>the-number n-power-two plus two-times-“n” plus 1.</w:t>
      </w:r>
    </w:p>
    <w:p w:rsidR="00B72047" w:rsidRDefault="00B72047">
      <w:pPr>
        <w:pStyle w:val="examplescaled"/>
        <w:rPr>
          <w:rStyle w:val="math"/>
        </w:rPr>
      </w:pPr>
      <w:r>
        <w:rPr>
          <w:rStyle w:val="math"/>
        </w:rPr>
        <w:tab/>
        <w:t>(n + 1)(n + 1) = n</w:t>
      </w:r>
      <w:r>
        <w:rPr>
          <w:rStyle w:val="htmlcodes"/>
        </w:rPr>
        <w:t>&lt;sup&gt;</w:t>
      </w:r>
      <w:r>
        <w:rPr>
          <w:rStyle w:val="Superscript"/>
        </w:rPr>
        <w:t>2</w:t>
      </w:r>
      <w:r>
        <w:rPr>
          <w:rStyle w:val="htmlcodes"/>
        </w:rPr>
        <w:t>&lt;/sup&gt;</w:t>
      </w:r>
      <w:r>
        <w:rPr>
          <w:rStyle w:val="math"/>
        </w:rPr>
        <w:t>+ 2n + 1</w:t>
      </w:r>
    </w:p>
    <w:p w:rsidR="00B72047" w:rsidRDefault="00B72047">
      <w:pPr>
        <w:pStyle w:val="Heading4"/>
      </w:pPr>
      <w:r>
        <w:rPr>
          <w:rStyle w:val="htmlcodes"/>
        </w:rPr>
        <w:t>&lt;/dl&gt;</w:t>
      </w:r>
      <w:r>
        <w:rPr>
          <w:rStyle w:val="indexentry"/>
        </w:rPr>
        <w:t>&lt;lx "VEhA, selma'o catalog"&gt;</w:t>
      </w:r>
      <w:r>
        <w:rPr>
          <w:rStyle w:val="indexentry"/>
        </w:rPr>
        <w:fldChar w:fldCharType="begin"/>
      </w:r>
      <w:r>
        <w:instrText>xe "</w:instrText>
      </w:r>
      <w:r>
        <w:rPr>
          <w:rStyle w:val="xeentry"/>
        </w:rPr>
        <w:instrText>VEhA selma’o</w:instrText>
      </w:r>
      <w:r>
        <w:instrText>"</w:instrText>
      </w:r>
      <w:r>
        <w:rPr>
          <w:rStyle w:val="indexentry"/>
        </w:rPr>
        <w:fldChar w:fldCharType="end"/>
      </w:r>
      <w:r>
        <w:rPr>
          <w:rStyle w:val="indexentry"/>
        </w:rPr>
        <w:t>&lt;cx "interval size, spatial, selma'o catalog"&gt;</w:t>
      </w:r>
      <w:r>
        <w:rPr>
          <w:rStyle w:val="indexentry"/>
        </w:rPr>
        <w:fldChar w:fldCharType="begin"/>
      </w:r>
      <w:r>
        <w:instrText>xe "</w:instrText>
      </w:r>
      <w:r>
        <w:rPr>
          <w:rStyle w:val="xeentry"/>
        </w:rPr>
        <w:instrText>interval size: spatial</w:instrText>
      </w:r>
      <w:r>
        <w:instrText>"</w:instrText>
      </w:r>
      <w:r>
        <w:rPr>
          <w:rStyle w:val="indexentry"/>
        </w:rPr>
        <w:fldChar w:fldCharType="end"/>
      </w:r>
      <w:r>
        <w:t>selma'o VEhA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indicating the size of an interval in space (long, medium,</w:t>
      </w:r>
      <w:r>
        <w:rPr>
          <w:rStyle w:val="deletedparamark"/>
        </w:rPr>
        <w:t xml:space="preserve"> </w:t>
      </w:r>
      <w:r>
        <w:t>or short).</w:t>
      </w:r>
    </w:p>
    <w:p w:rsidR="00B72047" w:rsidRDefault="00B72047">
      <w:pPr>
        <w:rPr>
          <w:rStyle w:val="htmlparacode"/>
        </w:rPr>
      </w:pPr>
      <w:r>
        <w:rPr>
          <w:rStyle w:val="htmlparacode"/>
        </w:rPr>
        <w:t>&lt;p&gt;</w:t>
      </w:r>
    </w:p>
    <w:p w:rsidR="00B72047" w:rsidRDefault="00B72047">
      <w:pPr>
        <w:pStyle w:val="Heading4"/>
      </w:pPr>
      <w:r>
        <w:rPr>
          <w:rStyle w:val="indexentry"/>
        </w:rPr>
        <w:t>&lt;lx "VEhO, selma'o catalog"&gt;</w:t>
      </w:r>
      <w:r>
        <w:rPr>
          <w:rStyle w:val="indexentry"/>
        </w:rPr>
        <w:fldChar w:fldCharType="begin"/>
      </w:r>
      <w:r>
        <w:instrText>xe "</w:instrText>
      </w:r>
      <w:r>
        <w:rPr>
          <w:rStyle w:val="xeentry"/>
        </w:rPr>
        <w:instrText>VEhO selma’o</w:instrText>
      </w:r>
      <w:r>
        <w:instrText>"</w:instrText>
      </w:r>
      <w:r>
        <w:rPr>
          <w:rStyle w:val="indexentry"/>
        </w:rPr>
        <w:fldChar w:fldCharType="end"/>
      </w:r>
      <w:r>
        <w:rPr>
          <w:rStyle w:val="indexentry"/>
        </w:rPr>
        <w:t>&lt;cx "VEI, terminator for, selma'o catalog"&gt;</w:t>
      </w:r>
      <w:r>
        <w:rPr>
          <w:rStyle w:val="indexentry"/>
        </w:rPr>
        <w:fldChar w:fldCharType="begin"/>
      </w:r>
      <w:r>
        <w:instrText>xe "</w:instrText>
      </w:r>
      <w:r>
        <w:rPr>
          <w:rStyle w:val="xeentry"/>
        </w:rPr>
        <w:instrText>VEI selma’o: terminator for</w:instrText>
      </w:r>
      <w:r>
        <w:instrText>"</w:instrText>
      </w:r>
      <w:r>
        <w:rPr>
          <w:rStyle w:val="indexentry"/>
        </w:rPr>
        <w:fldChar w:fldCharType="end"/>
      </w:r>
      <w:r>
        <w:t>selma'o VEhO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Elidable terminator for VEI: right mathematical parenthesis.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&lt;dd&gt;&lt;dl compact&gt;&lt;dt&gt;&lt;dd&gt;</w:t>
      </w:r>
      <w:r>
        <w:t>li vei ny. su'i pa ve'o pi'i vei ny. su'i pa [ve'o] du</w:t>
      </w:r>
    </w:p>
    <w:p w:rsidR="00B72047" w:rsidRDefault="00B72047">
      <w:pPr>
        <w:pStyle w:val="examplescaled"/>
      </w:pPr>
      <w:r>
        <w:tab/>
      </w:r>
      <w:r>
        <w:tab/>
        <w:t>li ny. [bo] te'a re su'i re bo pi'i ny. su'i pa</w:t>
      </w:r>
    </w:p>
    <w:p w:rsidR="00B72047" w:rsidRDefault="00B72047">
      <w:pPr>
        <w:pStyle w:val="examplescaled"/>
      </w:pPr>
      <w:r>
        <w:tab/>
        <w:t>The-number (“n” plus one ) times (“n” plus one ) equals</w:t>
      </w:r>
    </w:p>
    <w:p w:rsidR="00B72047" w:rsidRDefault="00B72047">
      <w:pPr>
        <w:pStyle w:val="examplescaled"/>
      </w:pPr>
      <w:r>
        <w:tab/>
      </w:r>
      <w:r>
        <w:tab/>
        <w:t>the-number n-power-two plus two-times-“n” plus 1.</w:t>
      </w:r>
    </w:p>
    <w:p w:rsidR="00B72047" w:rsidRDefault="00B72047">
      <w:pPr>
        <w:pStyle w:val="examplescaled"/>
        <w:rPr>
          <w:rStyle w:val="math"/>
        </w:rPr>
      </w:pPr>
      <w:r>
        <w:rPr>
          <w:rStyle w:val="math"/>
        </w:rPr>
        <w:tab/>
        <w:t>(n + 1)(n + 1) = n</w:t>
      </w:r>
      <w:r>
        <w:rPr>
          <w:rStyle w:val="htmlcodes"/>
        </w:rPr>
        <w:t>&lt;sup&gt;</w:t>
      </w:r>
      <w:r>
        <w:rPr>
          <w:rStyle w:val="Superscript"/>
        </w:rPr>
        <w:t>2</w:t>
      </w:r>
      <w:r>
        <w:rPr>
          <w:rStyle w:val="htmlcodes"/>
        </w:rPr>
        <w:t>&lt;/sup&gt;</w:t>
      </w:r>
      <w:r>
        <w:rPr>
          <w:rStyle w:val="math"/>
        </w:rPr>
        <w:t>+ 2n + 1</w:t>
      </w:r>
    </w:p>
    <w:p w:rsidR="00B72047" w:rsidRDefault="00B72047">
      <w:pPr>
        <w:pStyle w:val="Heading4"/>
      </w:pPr>
      <w:r>
        <w:rPr>
          <w:rStyle w:val="htmlcodes"/>
        </w:rPr>
        <w:t>&lt;/dl&gt;</w:t>
      </w:r>
      <w:r>
        <w:rPr>
          <w:rStyle w:val="indexentry"/>
        </w:rPr>
        <w:t>&lt;lx "VIhA, selma'o catalog"&gt;</w:t>
      </w:r>
      <w:r>
        <w:rPr>
          <w:rStyle w:val="indexentry"/>
        </w:rPr>
        <w:fldChar w:fldCharType="begin"/>
      </w:r>
      <w:r>
        <w:instrText>xe "</w:instrText>
      </w:r>
      <w:r>
        <w:rPr>
          <w:rStyle w:val="xeentry"/>
        </w:rPr>
        <w:instrText>VIhA selma’o</w:instrText>
      </w:r>
      <w:r>
        <w:instrText>"</w:instrText>
      </w:r>
      <w:r>
        <w:rPr>
          <w:rStyle w:val="indexentry"/>
        </w:rPr>
        <w:fldChar w:fldCharType="end"/>
      </w:r>
      <w:r>
        <w:rPr>
          <w:rStyle w:val="indexentry"/>
        </w:rPr>
        <w:t>&lt;cx "dimensionality, spatial, selma'o catalog"&gt;</w:t>
      </w:r>
      <w:r>
        <w:rPr>
          <w:rStyle w:val="indexentry"/>
        </w:rPr>
        <w:fldChar w:fldCharType="begin"/>
      </w:r>
      <w:r>
        <w:instrText>xe "</w:instrText>
      </w:r>
      <w:r>
        <w:rPr>
          <w:rStyle w:val="xeentry"/>
        </w:rPr>
        <w:instrText>dimensionality: spatial</w:instrText>
      </w:r>
      <w:r>
        <w:instrText>"</w:instrText>
      </w:r>
      <w:r>
        <w:rPr>
          <w:rStyle w:val="indexentry"/>
        </w:rPr>
        <w:fldChar w:fldCharType="end"/>
      </w:r>
      <w:r>
        <w:t>selma'o VIhA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indicating dimensionality in space (line, plane, volume, or</w:t>
      </w:r>
      <w:r>
        <w:rPr>
          <w:rStyle w:val="deletedparamark"/>
        </w:rPr>
        <w:t xml:space="preserve"> </w:t>
      </w:r>
      <w:r>
        <w:t>space-time interval).</w:t>
      </w:r>
    </w:p>
    <w:p w:rsidR="00B72047" w:rsidRDefault="00B72047">
      <w:pPr>
        <w:pStyle w:val="examplescaledpre"/>
      </w:pPr>
      <w:r>
        <w:rPr>
          <w:rStyle w:val="deletedparamark"/>
        </w:rPr>
        <w:t xml:space="preserve"> </w:t>
      </w:r>
      <w:r>
        <w:rPr>
          <w:rStyle w:val="htmlcodes"/>
        </w:rPr>
        <w:t>&lt;dl compact&gt;&lt;dt&gt;</w:t>
      </w:r>
      <w:r>
        <w:tab/>
      </w:r>
      <w:r>
        <w:rPr>
          <w:rStyle w:val="htmlcodes"/>
        </w:rPr>
        <w:t>&lt;dd&gt;</w:t>
      </w:r>
      <w:r>
        <w:t>le verba ve'a vi'a cadzu le bisli</w:t>
      </w:r>
    </w:p>
    <w:p w:rsidR="00B72047" w:rsidRDefault="00B72047">
      <w:pPr>
        <w:pStyle w:val="examplescaled"/>
      </w:pPr>
      <w:r>
        <w:tab/>
        <w:t>The child [medium space interval] [2-dimensional] walks-on the ice.</w:t>
      </w:r>
    </w:p>
    <w:p w:rsidR="00B72047" w:rsidRDefault="00B72047">
      <w:pPr>
        <w:pStyle w:val="examplescaled"/>
      </w:pPr>
      <w:r>
        <w:tab/>
        <w:t>In a medium-sized area, the child walks on the ice.</w:t>
      </w:r>
    </w:p>
    <w:p w:rsidR="00B72047" w:rsidRDefault="00B72047">
      <w:pPr>
        <w:pStyle w:val="Heading4"/>
      </w:pPr>
      <w:r>
        <w:rPr>
          <w:rStyle w:val="htmlcodes"/>
        </w:rPr>
        <w:t>&lt;/dl&gt;</w:t>
      </w:r>
      <w:r>
        <w:rPr>
          <w:rStyle w:val="indexentry"/>
        </w:rPr>
        <w:t>&lt;lx "VUhO, selma'o catalog"&gt;</w:t>
      </w:r>
      <w:r>
        <w:rPr>
          <w:rStyle w:val="indexentry"/>
        </w:rPr>
        <w:fldChar w:fldCharType="begin"/>
      </w:r>
      <w:r>
        <w:instrText>xe "</w:instrText>
      </w:r>
      <w:r>
        <w:rPr>
          <w:rStyle w:val="xeentry"/>
        </w:rPr>
        <w:instrText>VUhO selma’o</w:instrText>
      </w:r>
      <w:r>
        <w:instrText>"</w:instrText>
      </w:r>
      <w:r>
        <w:rPr>
          <w:rStyle w:val="indexentry"/>
        </w:rPr>
        <w:fldChar w:fldCharType="end"/>
      </w:r>
      <w:r>
        <w:rPr>
          <w:rStyle w:val="indexentry"/>
        </w:rPr>
        <w:t>&lt;cx "relative clauses, connecting to whole sumti, selma'o catalog"&gt;</w:t>
      </w:r>
      <w:r>
        <w:rPr>
          <w:rStyle w:val="indexentry"/>
        </w:rPr>
        <w:fldChar w:fldCharType="begin"/>
      </w:r>
      <w:r>
        <w:instrText>xe "</w:instrText>
      </w:r>
      <w:r>
        <w:rPr>
          <w:rStyle w:val="xeentry"/>
        </w:rPr>
        <w:instrText>relative clause: connecting to whole sumti</w:instrText>
      </w:r>
      <w:r>
        <w:instrText>"</w:instrText>
      </w:r>
      <w:r>
        <w:rPr>
          <w:rStyle w:val="indexentry"/>
        </w:rPr>
        <w:fldChar w:fldCharType="end"/>
      </w:r>
      <w:r>
        <w:t>selma'o VUhO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Attaches relative clauses or phrases to a whole</w:t>
      </w:r>
      <w:r>
        <w:rPr>
          <w:rStyle w:val="deletedparamark"/>
        </w:rPr>
        <w:t xml:space="preserve"> </w:t>
      </w:r>
      <w:r>
        <w:t>(possibly connected) sumti, rather than simply to the leftmost</w:t>
      </w:r>
      <w:r>
        <w:rPr>
          <w:rStyle w:val="deletedparamark"/>
        </w:rPr>
        <w:t xml:space="preserve"> </w:t>
      </w:r>
      <w:r>
        <w:t>portion of the sumti.</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la frank. ce la djordj. vu'o noi gidva cu zvati le kumfa</w:t>
      </w:r>
    </w:p>
    <w:p w:rsidR="00B72047" w:rsidRDefault="00B72047">
      <w:pPr>
        <w:pStyle w:val="examplescaled"/>
      </w:pPr>
      <w:r>
        <w:tab/>
        <w:t>Frank [in-set-with] George, which are-guides, are-in the room.</w:t>
      </w:r>
    </w:p>
    <w:p w:rsidR="00B72047" w:rsidRDefault="00B72047">
      <w:pPr>
        <w:pStyle w:val="examplescaled"/>
      </w:pPr>
      <w:r>
        <w:tab/>
        <w:t>Frank and George, who are guides, are in the room.</w:t>
      </w:r>
    </w:p>
    <w:p w:rsidR="00B72047" w:rsidRDefault="00B72047">
      <w:pPr>
        <w:pStyle w:val="Heading4"/>
      </w:pPr>
      <w:r>
        <w:rPr>
          <w:rStyle w:val="htmlcodes"/>
        </w:rPr>
        <w:t>&lt;/dl&gt;</w:t>
      </w:r>
      <w:r>
        <w:rPr>
          <w:rStyle w:val="indexentry"/>
        </w:rPr>
        <w:t>&lt;lx "VUhU, selma'o catalog"&gt;</w:t>
      </w:r>
      <w:r>
        <w:rPr>
          <w:rStyle w:val="indexentry"/>
        </w:rPr>
        <w:fldChar w:fldCharType="begin"/>
      </w:r>
      <w:r>
        <w:instrText>xe "</w:instrText>
      </w:r>
      <w:r>
        <w:rPr>
          <w:rStyle w:val="xeentry"/>
        </w:rPr>
        <w:instrText>VUhU selma’o</w:instrText>
      </w:r>
      <w:r>
        <w:instrText>"</w:instrText>
      </w:r>
      <w:r>
        <w:rPr>
          <w:rStyle w:val="indexentry"/>
        </w:rPr>
        <w:fldChar w:fldCharType="end"/>
      </w:r>
      <w:r>
        <w:rPr>
          <w:rStyle w:val="indexentry"/>
        </w:rPr>
        <w:t>&lt;cx "operators, mathematical, selma'o catalog"&gt;</w:t>
      </w:r>
      <w:r>
        <w:rPr>
          <w:rStyle w:val="indexentry"/>
        </w:rPr>
        <w:fldChar w:fldCharType="begin"/>
      </w:r>
      <w:r>
        <w:instrText>xe "</w:instrText>
      </w:r>
      <w:r>
        <w:rPr>
          <w:rStyle w:val="xeentry"/>
        </w:rPr>
        <w:instrText>operators: mathematical</w:instrText>
      </w:r>
      <w:r>
        <w:instrText>"</w:instrText>
      </w:r>
      <w:r>
        <w:rPr>
          <w:rStyle w:val="indexentry"/>
        </w:rPr>
        <w:fldChar w:fldCharType="end"/>
      </w:r>
      <w:r>
        <w:t>selma'o VUhU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 xml:space="preserve">Mathematical operators (e.g. </w:t>
      </w:r>
      <w:r>
        <w:rPr>
          <w:rStyle w:val="math"/>
        </w:rPr>
        <w:sym w:font="Symbol" w:char="F02B"/>
      </w:r>
      <w:r>
        <w:rPr>
          <w:rStyle w:val="math"/>
        </w:rPr>
        <w:t xml:space="preserve">, </w:t>
      </w:r>
      <w:r>
        <w:rPr>
          <w:rStyle w:val="math"/>
        </w:rPr>
        <w:sym w:font="Symbol" w:char="F02D"/>
      </w:r>
      <w:r>
        <w:t>). See MAhO.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li mu vu'u re du li ci</w:t>
      </w:r>
    </w:p>
    <w:p w:rsidR="00B72047" w:rsidRDefault="00B72047">
      <w:pPr>
        <w:pStyle w:val="examplescaled"/>
      </w:pPr>
      <w:r>
        <w:tab/>
        <w:t>The-number 5 minus 2 equals the-number 3.</w:t>
      </w:r>
    </w:p>
    <w:p w:rsidR="00B72047" w:rsidRDefault="00B72047">
      <w:pPr>
        <w:pStyle w:val="examplescaled"/>
        <w:rPr>
          <w:rStyle w:val="math"/>
        </w:rPr>
      </w:pPr>
      <w:r>
        <w:rPr>
          <w:rStyle w:val="math"/>
        </w:rPr>
        <w:tab/>
        <w:t xml:space="preserve">5 </w:t>
      </w:r>
      <w:r>
        <w:rPr>
          <w:rStyle w:val="math"/>
        </w:rPr>
        <w:sym w:font="Symbol" w:char="F02D"/>
      </w:r>
      <w:r>
        <w:rPr>
          <w:rStyle w:val="math"/>
        </w:rPr>
        <w:t xml:space="preserve"> 2 = 3</w:t>
      </w:r>
    </w:p>
    <w:p w:rsidR="00B72047" w:rsidRDefault="00B72047">
      <w:pPr>
        <w:pStyle w:val="Heading4"/>
      </w:pPr>
      <w:r>
        <w:rPr>
          <w:rStyle w:val="htmlcodes"/>
        </w:rPr>
        <w:t>&lt;/dl&gt;</w:t>
      </w:r>
      <w:r>
        <w:rPr>
          <w:rStyle w:val="indexentry"/>
        </w:rPr>
        <w:t>&lt;lx "XI, selma'o catalog"&gt;</w:t>
      </w:r>
      <w:r>
        <w:rPr>
          <w:rStyle w:val="indexentry"/>
        </w:rPr>
        <w:fldChar w:fldCharType="begin"/>
      </w:r>
      <w:r>
        <w:instrText>xe "</w:instrText>
      </w:r>
      <w:r>
        <w:rPr>
          <w:rStyle w:val="xeentry"/>
        </w:rPr>
        <w:instrText>XI selma’o</w:instrText>
      </w:r>
      <w:r>
        <w:instrText>"</w:instrText>
      </w:r>
      <w:r>
        <w:rPr>
          <w:rStyle w:val="indexentry"/>
        </w:rPr>
        <w:fldChar w:fldCharType="end"/>
      </w:r>
      <w:r>
        <w:rPr>
          <w:rStyle w:val="indexentry"/>
        </w:rPr>
        <w:t>&lt;cx "subscript marker, selma'o catalog"&gt;</w:t>
      </w:r>
      <w:r>
        <w:rPr>
          <w:rStyle w:val="indexentry"/>
        </w:rPr>
        <w:fldChar w:fldCharType="begin"/>
      </w:r>
      <w:r>
        <w:instrText>xe "</w:instrText>
      </w:r>
      <w:r>
        <w:rPr>
          <w:rStyle w:val="xeentry"/>
        </w:rPr>
        <w:instrText>subscripts: marker</w:instrText>
      </w:r>
      <w:r>
        <w:instrText>"</w:instrText>
      </w:r>
      <w:r>
        <w:rPr>
          <w:rStyle w:val="indexentry"/>
        </w:rPr>
        <w:fldChar w:fldCharType="end"/>
      </w:r>
      <w:r>
        <w:t>selma'o XI (</w:t>
      </w:r>
      <w:r>
        <w:rPr>
          <w:rStyle w:val="htmlcodes"/>
        </w:rPr>
        <w:t>&lt;a href=chap18.html&gt;</w:t>
      </w:r>
      <w:r>
        <w:t>Chapter 18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The subscript marker: the following number or lerfu string is a subscript</w:t>
      </w:r>
      <w:r>
        <w:rPr>
          <w:rStyle w:val="deletedparamark"/>
        </w:rPr>
        <w:t xml:space="preserve"> </w:t>
      </w:r>
      <w:r>
        <w:t>for whatever precedes it.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xy. xi re</w:t>
      </w:r>
    </w:p>
    <w:p w:rsidR="00B72047" w:rsidRDefault="00B72047">
      <w:pPr>
        <w:pStyle w:val="examplescaled"/>
      </w:pPr>
      <w:r>
        <w:tab/>
        <w:t>x sub 2</w:t>
      </w:r>
    </w:p>
    <w:p w:rsidR="00B72047" w:rsidRDefault="00B72047">
      <w:pPr>
        <w:pStyle w:val="examplescaled"/>
        <w:rPr>
          <w:rStyle w:val="math"/>
        </w:rPr>
      </w:pPr>
      <w:r>
        <w:rPr>
          <w:rStyle w:val="math"/>
        </w:rPr>
        <w:tab/>
        <w:t>x</w:t>
      </w:r>
      <w:r>
        <w:rPr>
          <w:rStyle w:val="htmlcodes"/>
        </w:rPr>
        <w:t>&lt;sub&gt;</w:t>
      </w:r>
      <w:r>
        <w:rPr>
          <w:rStyle w:val="subscript"/>
          <w:i/>
          <w:iCs/>
        </w:rPr>
        <w:t>2</w:t>
      </w:r>
      <w:r>
        <w:rPr>
          <w:rStyle w:val="htmlcodes"/>
        </w:rPr>
        <w:t>&lt;/sub&gt;</w:t>
      </w:r>
    </w:p>
    <w:p w:rsidR="00B72047" w:rsidRDefault="00B72047">
      <w:pPr>
        <w:pStyle w:val="Heading4"/>
      </w:pPr>
      <w:r>
        <w:rPr>
          <w:rStyle w:val="htmlcodes"/>
        </w:rPr>
        <w:t>&lt;/dl&gt;</w:t>
      </w:r>
      <w:r>
        <w:rPr>
          <w:rStyle w:val="indexentry"/>
        </w:rPr>
        <w:t>&lt;lx "Y, selma'o catalog"&gt;</w:t>
      </w:r>
      <w:r>
        <w:rPr>
          <w:rStyle w:val="indexentry"/>
        </w:rPr>
        <w:fldChar w:fldCharType="begin"/>
      </w:r>
      <w:r>
        <w:instrText>xe "</w:instrText>
      </w:r>
      <w:r>
        <w:rPr>
          <w:rStyle w:val="xeentry"/>
        </w:rPr>
        <w:instrText>Y selma’o</w:instrText>
      </w:r>
      <w:r>
        <w:instrText>"</w:instrText>
      </w:r>
      <w:r>
        <w:rPr>
          <w:rStyle w:val="indexentry"/>
        </w:rPr>
        <w:fldChar w:fldCharType="end"/>
      </w:r>
      <w:r>
        <w:rPr>
          <w:rStyle w:val="indexentry"/>
        </w:rPr>
        <w:t>&lt;cx "hesitation, selma'o catalog"&gt;</w:t>
      </w:r>
      <w:r>
        <w:rPr>
          <w:rStyle w:val="indexentry"/>
        </w:rPr>
        <w:fldChar w:fldCharType="begin"/>
      </w:r>
      <w:r>
        <w:instrText>xe "</w:instrText>
      </w:r>
      <w:r>
        <w:rPr>
          <w:rStyle w:val="xeentry"/>
        </w:rPr>
        <w:instrText>hesitation</w:instrText>
      </w:r>
      <w:r>
        <w:instrText>"</w:instrText>
      </w:r>
      <w:r>
        <w:rPr>
          <w:rStyle w:val="indexentry"/>
        </w:rPr>
        <w:fldChar w:fldCharType="end"/>
      </w:r>
      <w:r>
        <w:t>selma'o Y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Hesitation noise: content-free, but holds the floor or continues the</w:t>
      </w:r>
      <w:r>
        <w:rPr>
          <w:rStyle w:val="deletedparamark"/>
        </w:rPr>
        <w:t xml:space="preserve"> </w:t>
      </w:r>
      <w:r>
        <w:t>conversation. It is di</w:t>
      </w:r>
      <w:r>
        <w:t>f</w:t>
      </w:r>
      <w:r>
        <w:softHyphen/>
        <w:t>ferent from silence in that silence may</w:t>
      </w:r>
      <w:r>
        <w:rPr>
          <w:rStyle w:val="deletedparamark"/>
        </w:rPr>
        <w:t xml:space="preserve"> </w:t>
      </w:r>
      <w:r>
        <w:t>be interpreted as having nothing more to say.</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doi .y. .y. .djan</w:t>
      </w:r>
    </w:p>
    <w:p w:rsidR="00B72047" w:rsidRDefault="00B72047">
      <w:pPr>
        <w:pStyle w:val="examplescaled"/>
      </w:pPr>
      <w:r>
        <w:tab/>
        <w:t>O, uh, uh, John!</w:t>
      </w:r>
    </w:p>
    <w:p w:rsidR="00B72047" w:rsidRDefault="00B72047">
      <w:pPr>
        <w:pStyle w:val="Heading4"/>
      </w:pPr>
      <w:r>
        <w:rPr>
          <w:rStyle w:val="htmlcodes"/>
        </w:rPr>
        <w:t>&lt;/dl&gt;</w:t>
      </w:r>
      <w:r>
        <w:rPr>
          <w:rStyle w:val="indexentry"/>
        </w:rPr>
        <w:t>&lt;lx "ZAhO, selma'o catalog"&gt;</w:t>
      </w:r>
      <w:r>
        <w:rPr>
          <w:rStyle w:val="indexentry"/>
        </w:rPr>
        <w:fldChar w:fldCharType="begin"/>
      </w:r>
      <w:r>
        <w:instrText>xe "</w:instrText>
      </w:r>
      <w:r>
        <w:rPr>
          <w:rStyle w:val="xeentry"/>
        </w:rPr>
        <w:instrText>ZAhO selma’o</w:instrText>
      </w:r>
      <w:r>
        <w:instrText>"</w:instrText>
      </w:r>
      <w:r>
        <w:rPr>
          <w:rStyle w:val="indexentry"/>
        </w:rPr>
        <w:fldChar w:fldCharType="end"/>
      </w:r>
      <w:r>
        <w:rPr>
          <w:rStyle w:val="indexentry"/>
        </w:rPr>
        <w:t>&lt;cx "tense aspect, selma'o catalog"&gt;</w:t>
      </w:r>
      <w:r>
        <w:rPr>
          <w:rStyle w:val="indexentry"/>
        </w:rPr>
        <w:fldChar w:fldCharType="begin"/>
      </w:r>
      <w:r>
        <w:instrText>xe "</w:instrText>
      </w:r>
      <w:r>
        <w:rPr>
          <w:rStyle w:val="xeentry"/>
        </w:rPr>
        <w:instrText>tense aspect</w:instrText>
      </w:r>
      <w:r>
        <w:instrText>"</w:instrText>
      </w:r>
      <w:r>
        <w:rPr>
          <w:rStyle w:val="indexentry"/>
        </w:rPr>
        <w:fldChar w:fldCharType="end"/>
      </w:r>
      <w:r>
        <w:t>selma'o ZAhO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modifier specifying the contour of an event (e.g. beginning, ending,</w:t>
      </w:r>
      <w:r>
        <w:rPr>
          <w:rStyle w:val="deletedparamark"/>
        </w:rPr>
        <w:t xml:space="preserve"> </w:t>
      </w:r>
      <w:r>
        <w:t>continu</w:t>
      </w:r>
      <w:r>
        <w:softHyphen/>
        <w:t>ing).</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pu'o damba</w:t>
      </w:r>
    </w:p>
    <w:p w:rsidR="00B72047" w:rsidRDefault="00B72047">
      <w:pPr>
        <w:pStyle w:val="examplescaled"/>
      </w:pPr>
      <w:r>
        <w:tab/>
        <w:t>I [inchoative] fight.</w:t>
      </w:r>
    </w:p>
    <w:p w:rsidR="00B72047" w:rsidRDefault="00B72047">
      <w:pPr>
        <w:pStyle w:val="examplescaled"/>
      </w:pPr>
      <w:r>
        <w:tab/>
        <w:t>I'm on the verge of fighting.</w:t>
      </w:r>
    </w:p>
    <w:p w:rsidR="00B72047" w:rsidRDefault="00B72047">
      <w:pPr>
        <w:pStyle w:val="Heading4"/>
      </w:pPr>
      <w:r>
        <w:rPr>
          <w:rStyle w:val="htmlcodes"/>
        </w:rPr>
        <w:t>&lt;/dl&gt;</w:t>
      </w:r>
      <w:r>
        <w:rPr>
          <w:rStyle w:val="indexentry"/>
        </w:rPr>
        <w:t>&lt;lx "ZEI, selma'o catalog"&gt;</w:t>
      </w:r>
      <w:r>
        <w:rPr>
          <w:rStyle w:val="indexentry"/>
        </w:rPr>
        <w:fldChar w:fldCharType="begin"/>
      </w:r>
      <w:r>
        <w:instrText>xe "</w:instrText>
      </w:r>
      <w:r>
        <w:rPr>
          <w:rStyle w:val="xeentry"/>
        </w:rPr>
        <w:instrText>ZEI selma’o</w:instrText>
      </w:r>
      <w:r>
        <w:instrText>"</w:instrText>
      </w:r>
      <w:r>
        <w:rPr>
          <w:rStyle w:val="indexentry"/>
        </w:rPr>
        <w:fldChar w:fldCharType="end"/>
      </w:r>
      <w:r>
        <w:rPr>
          <w:rStyle w:val="indexentry"/>
        </w:rPr>
        <w:t>&lt;cx "morphological glue, selma'o catalog"&gt;</w:t>
      </w:r>
      <w:r>
        <w:rPr>
          <w:rStyle w:val="indexentry"/>
        </w:rPr>
        <w:fldChar w:fldCharType="begin"/>
      </w:r>
      <w:r>
        <w:instrText>xe "</w:instrText>
      </w:r>
      <w:r>
        <w:rPr>
          <w:rStyle w:val="xeentry"/>
        </w:rPr>
        <w:instrText>morphological glue</w:instrText>
      </w:r>
      <w:r>
        <w:instrText>"</w:instrText>
      </w:r>
      <w:r>
        <w:rPr>
          <w:rStyle w:val="indexentry"/>
        </w:rPr>
        <w:fldChar w:fldCharType="end"/>
      </w:r>
      <w:r>
        <w:rPr>
          <w:rStyle w:val="indexentry"/>
        </w:rPr>
        <w:t>&lt;cx "combining words into one, selma'o catalog"&gt;</w:t>
      </w:r>
      <w:r>
        <w:rPr>
          <w:rStyle w:val="indexentry"/>
        </w:rPr>
        <w:fldChar w:fldCharType="begin"/>
      </w:r>
      <w:r>
        <w:instrText>xe "</w:instrText>
      </w:r>
      <w:r>
        <w:rPr>
          <w:rStyle w:val="xeentry"/>
        </w:rPr>
        <w:instrText>combining words into one</w:instrText>
      </w:r>
      <w:r>
        <w:instrText>"</w:instrText>
      </w:r>
      <w:r>
        <w:rPr>
          <w:rStyle w:val="indexentry"/>
        </w:rPr>
        <w:fldChar w:fldCharType="end"/>
      </w:r>
      <w:r>
        <w:t>selma'o ZEI (</w:t>
      </w:r>
      <w:r>
        <w:rPr>
          <w:rStyle w:val="htmlcodes"/>
        </w:rPr>
        <w:t>&lt;a href=chap4.html&gt;</w:t>
      </w:r>
      <w:r>
        <w:t>Chapter 4</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morphological glue word, which joins the two words it stands</w:t>
      </w:r>
      <w:r>
        <w:rPr>
          <w:rStyle w:val="deletedparamark"/>
        </w:rPr>
        <w:t xml:space="preserve"> </w:t>
      </w:r>
      <w:r>
        <w:t>between into the equivalent of a lujvo.</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ta xy. zei kantu kacma</w:t>
      </w:r>
    </w:p>
    <w:p w:rsidR="00B72047" w:rsidRDefault="00B72047">
      <w:pPr>
        <w:pStyle w:val="examplescaled"/>
      </w:pPr>
      <w:r>
        <w:tab/>
        <w:t>That is-an-(X - ray) camera</w:t>
      </w:r>
    </w:p>
    <w:p w:rsidR="00B72047" w:rsidRDefault="00B72047">
      <w:pPr>
        <w:pStyle w:val="examplescaled"/>
      </w:pPr>
      <w:r>
        <w:tab/>
        <w:t>That is an X-ray camera.</w:t>
      </w:r>
    </w:p>
    <w:p w:rsidR="00B72047" w:rsidRDefault="00B72047">
      <w:pPr>
        <w:pStyle w:val="Heading4"/>
      </w:pPr>
      <w:r>
        <w:rPr>
          <w:rStyle w:val="htmlcodes"/>
        </w:rPr>
        <w:t>&lt;/dl&gt;</w:t>
      </w:r>
      <w:r>
        <w:rPr>
          <w:rStyle w:val="indexentry"/>
        </w:rPr>
        <w:t>&lt;lx "ZEhA, selma'o catalog"&gt;</w:t>
      </w:r>
      <w:r>
        <w:rPr>
          <w:rStyle w:val="indexentry"/>
        </w:rPr>
        <w:fldChar w:fldCharType="begin"/>
      </w:r>
      <w:r>
        <w:instrText>xe "</w:instrText>
      </w:r>
      <w:r>
        <w:rPr>
          <w:rStyle w:val="xeentry"/>
        </w:rPr>
        <w:instrText>ZEhA selma’o</w:instrText>
      </w:r>
      <w:r>
        <w:instrText>"</w:instrText>
      </w:r>
      <w:r>
        <w:rPr>
          <w:rStyle w:val="indexentry"/>
        </w:rPr>
        <w:fldChar w:fldCharType="end"/>
      </w:r>
      <w:r>
        <w:rPr>
          <w:rStyle w:val="indexentry"/>
        </w:rPr>
        <w:t>&lt;cx "interval size, time, selma'o catalog"&gt;</w:t>
      </w:r>
      <w:r>
        <w:rPr>
          <w:rStyle w:val="indexentry"/>
        </w:rPr>
        <w:fldChar w:fldCharType="begin"/>
      </w:r>
      <w:r>
        <w:instrText>xe "</w:instrText>
      </w:r>
      <w:r>
        <w:rPr>
          <w:rStyle w:val="xeentry"/>
        </w:rPr>
        <w:instrText>interval size: time</w:instrText>
      </w:r>
      <w:r>
        <w:instrText>"</w:instrText>
      </w:r>
      <w:r>
        <w:rPr>
          <w:rStyle w:val="indexentry"/>
        </w:rPr>
        <w:fldChar w:fldCharType="end"/>
      </w:r>
      <w:r>
        <w:t>selma'o ZEhA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indicating the size of an interval in time (long, medium, or</w:t>
      </w:r>
      <w:r>
        <w:rPr>
          <w:rStyle w:val="deletedparamark"/>
        </w:rPr>
        <w:t xml:space="preserve"> </w:t>
      </w:r>
      <w:r>
        <w:t>short).</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puze'a citka</w:t>
      </w:r>
    </w:p>
    <w:p w:rsidR="00B72047" w:rsidRDefault="00B72047">
      <w:pPr>
        <w:pStyle w:val="examplescaled"/>
      </w:pPr>
      <w:r>
        <w:tab/>
        <w:t>I [past] [short interval] eat.</w:t>
      </w:r>
    </w:p>
    <w:p w:rsidR="00B72047" w:rsidRDefault="00B72047">
      <w:pPr>
        <w:pStyle w:val="examplescaled"/>
      </w:pPr>
      <w:r>
        <w:tab/>
        <w:t>I ate for a little while.</w:t>
      </w:r>
    </w:p>
    <w:p w:rsidR="00B72047" w:rsidRDefault="00B72047">
      <w:pPr>
        <w:pStyle w:val="Heading4"/>
      </w:pPr>
      <w:r>
        <w:rPr>
          <w:rStyle w:val="htmlcodes"/>
        </w:rPr>
        <w:t>&lt;/dl&gt;</w:t>
      </w:r>
      <w:r>
        <w:rPr>
          <w:rStyle w:val="indexentry"/>
        </w:rPr>
        <w:t>&lt;lx "ZI, selma'o catalog"&gt;</w:t>
      </w:r>
      <w:r>
        <w:rPr>
          <w:rStyle w:val="indexentry"/>
        </w:rPr>
        <w:fldChar w:fldCharType="begin"/>
      </w:r>
      <w:r>
        <w:instrText>xe "</w:instrText>
      </w:r>
      <w:r>
        <w:rPr>
          <w:rStyle w:val="xeentry"/>
        </w:rPr>
        <w:instrText>ZI selma’o</w:instrText>
      </w:r>
      <w:r>
        <w:instrText>"</w:instrText>
      </w:r>
      <w:r>
        <w:rPr>
          <w:rStyle w:val="indexentry"/>
        </w:rPr>
        <w:fldChar w:fldCharType="end"/>
      </w:r>
      <w:r>
        <w:rPr>
          <w:rStyle w:val="indexentry"/>
        </w:rPr>
        <w:t>&lt;cx "distance, time, selma'o catalog"&gt;</w:t>
      </w:r>
      <w:r>
        <w:rPr>
          <w:rStyle w:val="indexentry"/>
        </w:rPr>
        <w:fldChar w:fldCharType="begin"/>
      </w:r>
      <w:r>
        <w:instrText>xe "</w:instrText>
      </w:r>
      <w:r>
        <w:rPr>
          <w:rStyle w:val="xeentry"/>
        </w:rPr>
        <w:instrText>distance: time</w:instrText>
      </w:r>
      <w:r>
        <w:instrText>"</w:instrText>
      </w:r>
      <w:r>
        <w:rPr>
          <w:rStyle w:val="indexentry"/>
        </w:rPr>
        <w:fldChar w:fldCharType="end"/>
      </w:r>
      <w:r>
        <w:t>selma'o ZI (</w:t>
      </w:r>
      <w:r>
        <w:rPr>
          <w:rStyle w:val="htmlcodes"/>
        </w:rPr>
        <w:t>&lt;a href=chap10.html&gt;</w:t>
      </w:r>
      <w:r>
        <w:t>Chapter 10</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A tense indicating distance in time (a long, medium or short time</w:t>
      </w:r>
      <w:r>
        <w:rPr>
          <w:rStyle w:val="deletedparamark"/>
        </w:rPr>
        <w:t xml:space="preserve"> </w:t>
      </w:r>
      <w:r>
        <w:t>ago or in the future).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puzi citka</w:t>
      </w:r>
    </w:p>
    <w:p w:rsidR="00B72047" w:rsidRDefault="00B72047">
      <w:pPr>
        <w:pStyle w:val="examplescaled"/>
      </w:pPr>
      <w:r>
        <w:tab/>
        <w:t>I [past] [short distance] eat.</w:t>
      </w:r>
    </w:p>
    <w:p w:rsidR="00B72047" w:rsidRDefault="00B72047">
      <w:pPr>
        <w:pStyle w:val="examplescaled"/>
      </w:pPr>
      <w:r>
        <w:tab/>
        <w:t>I ate a little while ago.</w:t>
      </w:r>
    </w:p>
    <w:p w:rsidR="00B72047" w:rsidRDefault="00B72047">
      <w:pPr>
        <w:pStyle w:val="Heading4"/>
        <w:spacing w:before="0"/>
      </w:pPr>
      <w:r>
        <w:rPr>
          <w:rStyle w:val="htmlcodes"/>
          <w:vanish w:val="0"/>
        </w:rPr>
        <w:br w:type="page"/>
      </w:r>
      <w:r>
        <w:rPr>
          <w:rStyle w:val="htmlcodes"/>
        </w:rPr>
        <w:t>&lt;/dl&gt;</w:t>
      </w:r>
      <w:r>
        <w:rPr>
          <w:rStyle w:val="indexentry"/>
        </w:rPr>
        <w:t>&lt;lx "ZIhE, selma'o catalog"&gt;</w:t>
      </w:r>
      <w:r>
        <w:rPr>
          <w:rStyle w:val="indexentry"/>
        </w:rPr>
        <w:fldChar w:fldCharType="begin"/>
      </w:r>
      <w:r>
        <w:instrText>xe "</w:instrText>
      </w:r>
      <w:r>
        <w:rPr>
          <w:rStyle w:val="xeentry"/>
        </w:rPr>
        <w:instrText>ZIhE selma’o</w:instrText>
      </w:r>
      <w:r>
        <w:instrText>"</w:instrText>
      </w:r>
      <w:r>
        <w:rPr>
          <w:rStyle w:val="indexentry"/>
        </w:rPr>
        <w:fldChar w:fldCharType="end"/>
      </w:r>
      <w:r>
        <w:rPr>
          <w:rStyle w:val="indexentry"/>
        </w:rPr>
        <w:t>&lt;cx "connector, for relative clauses, selma'o catalog"&gt;</w:t>
      </w:r>
      <w:r>
        <w:rPr>
          <w:rStyle w:val="indexentry"/>
        </w:rPr>
        <w:fldChar w:fldCharType="begin"/>
      </w:r>
      <w:r>
        <w:instrText>xe "</w:instrText>
      </w:r>
      <w:r>
        <w:rPr>
          <w:rStyle w:val="xeentry"/>
        </w:rPr>
        <w:instrText>connector: for relative clauses</w:instrText>
      </w:r>
      <w:r>
        <w:instrText>"</w:instrText>
      </w:r>
      <w:r>
        <w:rPr>
          <w:rStyle w:val="indexentry"/>
        </w:rPr>
        <w:fldChar w:fldCharType="end"/>
      </w:r>
      <w:r>
        <w:t>selma'o ZIhE (</w:t>
      </w:r>
      <w:r>
        <w:rPr>
          <w:rStyle w:val="htmlcodes"/>
        </w:rPr>
        <w:t>&lt;a href=chap8.html&gt;</w:t>
      </w:r>
      <w:r>
        <w:t>Chapter 8</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Joins multiple relative phrases or clauses which apply to the</w:t>
      </w:r>
      <w:r>
        <w:rPr>
          <w:rStyle w:val="deletedparamark"/>
        </w:rPr>
        <w:t xml:space="preserve"> </w:t>
      </w:r>
      <w:r>
        <w:t>same sumti. Although gene</w:t>
      </w:r>
      <w:r>
        <w:t>r</w:t>
      </w:r>
      <w:r>
        <w:softHyphen/>
        <w:t>ally translated with “and”, it is</w:t>
      </w:r>
      <w:r>
        <w:rPr>
          <w:rStyle w:val="deletedparamark"/>
        </w:rPr>
        <w:t xml:space="preserve"> </w:t>
      </w:r>
      <w:r>
        <w:t>not considered a logical connective.</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mi ponse pa gerku ku poi blabi zi'e noi mi prami ke'a</w:t>
      </w:r>
    </w:p>
    <w:p w:rsidR="00B72047" w:rsidRDefault="00B72047">
      <w:pPr>
        <w:pStyle w:val="examplescaled"/>
      </w:pPr>
      <w:r>
        <w:tab/>
        <w:t>I own one dog such-that it-is-white and such-that-incidentally I love it.</w:t>
      </w:r>
    </w:p>
    <w:p w:rsidR="00B72047" w:rsidRDefault="00B72047">
      <w:pPr>
        <w:pStyle w:val="examplescaled"/>
      </w:pPr>
      <w:r>
        <w:tab/>
        <w:t>I own a dog that is white and which, incidentally, I love.</w:t>
      </w:r>
    </w:p>
    <w:p w:rsidR="00B72047" w:rsidRDefault="00B72047">
      <w:pPr>
        <w:pStyle w:val="examplescaled"/>
      </w:pPr>
      <w:r>
        <w:tab/>
        <w:t>I own a white dog, which I love.</w:t>
      </w:r>
    </w:p>
    <w:p w:rsidR="00B72047" w:rsidRDefault="00B72047">
      <w:pPr>
        <w:pStyle w:val="Heading4"/>
      </w:pPr>
      <w:r>
        <w:rPr>
          <w:rStyle w:val="htmlcodes"/>
        </w:rPr>
        <w:t>&lt;/dl&gt;</w:t>
      </w:r>
      <w:r>
        <w:rPr>
          <w:rStyle w:val="indexentry"/>
        </w:rPr>
        <w:t>&lt;lx "ZO, selma'o catalog"&gt;</w:t>
      </w:r>
      <w:r>
        <w:rPr>
          <w:rStyle w:val="indexentry"/>
        </w:rPr>
        <w:fldChar w:fldCharType="begin"/>
      </w:r>
      <w:r>
        <w:instrText>xe "</w:instrText>
      </w:r>
      <w:r>
        <w:rPr>
          <w:rStyle w:val="xeentry"/>
        </w:rPr>
        <w:instrText>ZO selma’o</w:instrText>
      </w:r>
      <w:r>
        <w:instrText>"</w:instrText>
      </w:r>
      <w:r>
        <w:rPr>
          <w:rStyle w:val="indexentry"/>
        </w:rPr>
        <w:fldChar w:fldCharType="end"/>
      </w:r>
      <w:r>
        <w:rPr>
          <w:rStyle w:val="indexentry"/>
        </w:rPr>
        <w:t>&lt;cx "quotation, single-word, selma'o catalog"&gt;</w:t>
      </w:r>
      <w:r>
        <w:rPr>
          <w:rStyle w:val="indexentry"/>
        </w:rPr>
        <w:fldChar w:fldCharType="begin"/>
      </w:r>
      <w:r>
        <w:instrText>xe "</w:instrText>
      </w:r>
      <w:r>
        <w:rPr>
          <w:rStyle w:val="xeentry"/>
        </w:rPr>
        <w:instrText>quotation: single-word</w:instrText>
      </w:r>
      <w:r>
        <w:instrText>"</w:instrText>
      </w:r>
      <w:r>
        <w:rPr>
          <w:rStyle w:val="indexentry"/>
        </w:rPr>
        <w:fldChar w:fldCharType="end"/>
      </w:r>
      <w:r>
        <w:t>selma'o ZO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Single-word quotation: quotes the following single Lojban word.</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zo si cu lojbo valsi</w:t>
      </w:r>
    </w:p>
    <w:p w:rsidR="00B72047" w:rsidRDefault="00B72047">
      <w:pPr>
        <w:pStyle w:val="examplescaled"/>
      </w:pPr>
      <w:r>
        <w:tab/>
        <w:t>The-word “si” is-a-Lojbanic word.</w:t>
      </w:r>
    </w:p>
    <w:p w:rsidR="00B72047" w:rsidRDefault="00B72047">
      <w:pPr>
        <w:pStyle w:val="Heading4"/>
      </w:pPr>
      <w:r>
        <w:rPr>
          <w:rStyle w:val="htmlcodes"/>
        </w:rPr>
        <w:t>&lt;/dl&gt;</w:t>
      </w:r>
      <w:r>
        <w:rPr>
          <w:rStyle w:val="indexentry"/>
        </w:rPr>
        <w:t>&lt;lx "ZOI, selma'o catalog"&gt;</w:t>
      </w:r>
      <w:r>
        <w:rPr>
          <w:rStyle w:val="indexentry"/>
        </w:rPr>
        <w:fldChar w:fldCharType="begin"/>
      </w:r>
      <w:r>
        <w:instrText>xe "</w:instrText>
      </w:r>
      <w:r>
        <w:rPr>
          <w:rStyle w:val="xeentry"/>
        </w:rPr>
        <w:instrText>ZOI selma’o</w:instrText>
      </w:r>
      <w:r>
        <w:instrText>"</w:instrText>
      </w:r>
      <w:r>
        <w:rPr>
          <w:rStyle w:val="indexentry"/>
        </w:rPr>
        <w:fldChar w:fldCharType="end"/>
      </w:r>
      <w:r>
        <w:rPr>
          <w:rStyle w:val="indexentry"/>
        </w:rPr>
        <w:t>&lt;cx "quotation, delimited, selma'o catalog"&gt;</w:t>
      </w:r>
      <w:r>
        <w:rPr>
          <w:rStyle w:val="indexentry"/>
        </w:rPr>
        <w:fldChar w:fldCharType="begin"/>
      </w:r>
      <w:r>
        <w:instrText>xe "</w:instrText>
      </w:r>
      <w:r>
        <w:rPr>
          <w:rStyle w:val="xeentry"/>
        </w:rPr>
        <w:instrText>quotation: delimited</w:instrText>
      </w:r>
      <w:r>
        <w:instrText>"</w:instrText>
      </w:r>
      <w:r>
        <w:rPr>
          <w:rStyle w:val="indexentry"/>
        </w:rPr>
        <w:fldChar w:fldCharType="end"/>
      </w:r>
      <w:r>
        <w:rPr>
          <w:rStyle w:val="indexentry"/>
        </w:rPr>
        <w:t>&lt;cx "quotation, any text, selma'o catalog"&gt;</w:t>
      </w:r>
      <w:r>
        <w:rPr>
          <w:rStyle w:val="indexentry"/>
        </w:rPr>
        <w:fldChar w:fldCharType="begin"/>
      </w:r>
      <w:r>
        <w:instrText>xe "</w:instrText>
      </w:r>
      <w:r>
        <w:rPr>
          <w:rStyle w:val="xeentry"/>
        </w:rPr>
        <w:instrText>quotation: any text</w:instrText>
      </w:r>
      <w:r>
        <w:instrText>"</w:instrText>
      </w:r>
      <w:r>
        <w:rPr>
          <w:rStyle w:val="indexentry"/>
        </w:rPr>
        <w:fldChar w:fldCharType="end"/>
      </w:r>
      <w:r>
        <w:t>selma'o ZOI (</w:t>
      </w:r>
      <w:r>
        <w:rPr>
          <w:rStyle w:val="htmlcodes"/>
        </w:rPr>
        <w:t>&lt;a href=chap19.html&gt;</w:t>
      </w:r>
      <w:r>
        <w:t>Chapter 19</w:t>
      </w:r>
      <w:r>
        <w:rPr>
          <w:rStyle w:val="htmlcodes"/>
        </w:rPr>
        <w:t>&lt;/a&gt;</w:t>
      </w:r>
      <w:r>
        <w:t>)</w:t>
      </w:r>
    </w:p>
    <w:p w:rsidR="00B72047" w:rsidRDefault="00B72047">
      <w:pPr>
        <w:rPr>
          <w:rStyle w:val="htmlparacode"/>
        </w:rPr>
      </w:pPr>
      <w:r>
        <w:rPr>
          <w:rStyle w:val="htmlparacode"/>
        </w:rPr>
        <w:t>&lt;p&gt;</w:t>
      </w:r>
    </w:p>
    <w:p w:rsidR="00B72047" w:rsidRDefault="00B72047">
      <w:pPr>
        <w:pStyle w:val="resumedafterexample"/>
      </w:pPr>
      <w:r>
        <w:t>Non-Lojban quotation: quotes any text using a delimiting word</w:t>
      </w:r>
      <w:r>
        <w:rPr>
          <w:rStyle w:val="deletedparamark"/>
        </w:rPr>
        <w:t xml:space="preserve"> </w:t>
      </w:r>
      <w:r>
        <w:t>(which can be any sin</w:t>
      </w:r>
      <w:r>
        <w:softHyphen/>
        <w:t>gle Lojban word) placed before and after the</w:t>
      </w:r>
      <w:r>
        <w:rPr>
          <w:rStyle w:val="deletedparamark"/>
        </w:rPr>
        <w:t xml:space="preserve"> </w:t>
      </w:r>
      <w:r>
        <w:t>text. The delimiting word must not appear in the text, and must</w:t>
      </w:r>
      <w:r>
        <w:rPr>
          <w:rStyle w:val="deletedparamark"/>
        </w:rPr>
        <w:t xml:space="preserve"> </w:t>
      </w:r>
      <w:r>
        <w:t>be separated from the text by pauses.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zoi kuot. Socrates is mortal .kuot. cu glico jufra</w:t>
      </w:r>
    </w:p>
    <w:p w:rsidR="00B72047" w:rsidRDefault="00B72047">
      <w:pPr>
        <w:pStyle w:val="examplescaled"/>
      </w:pPr>
      <w:r>
        <w:tab/>
        <w:t>The-text “ Socrates is mortal ” is-an-English sentence.</w:t>
      </w:r>
    </w:p>
    <w:p w:rsidR="00B72047" w:rsidRDefault="00B72047">
      <w:pPr>
        <w:pStyle w:val="Heading4"/>
      </w:pPr>
      <w:r>
        <w:rPr>
          <w:rStyle w:val="htmlcodes"/>
        </w:rPr>
        <w:t>&lt;/dl&gt;</w:t>
      </w:r>
      <w:r>
        <w:rPr>
          <w:rStyle w:val="indexentry"/>
        </w:rPr>
        <w:t>&lt;lx "ZOhU, selma'o catalog"&gt;</w:t>
      </w:r>
      <w:r>
        <w:rPr>
          <w:rStyle w:val="indexentry"/>
        </w:rPr>
        <w:fldChar w:fldCharType="begin"/>
      </w:r>
      <w:r>
        <w:instrText>xe "</w:instrText>
      </w:r>
      <w:r>
        <w:rPr>
          <w:rStyle w:val="xeentry"/>
        </w:rPr>
        <w:instrText>ZOhU selma’o</w:instrText>
      </w:r>
      <w:r>
        <w:instrText>"</w:instrText>
      </w:r>
      <w:r>
        <w:rPr>
          <w:rStyle w:val="indexentry"/>
        </w:rPr>
        <w:fldChar w:fldCharType="end"/>
      </w:r>
      <w:r>
        <w:rPr>
          <w:rStyle w:val="indexentry"/>
        </w:rPr>
        <w:t>&lt;cx "prenex marker, selma'o catalog"&gt;</w:t>
      </w:r>
      <w:r>
        <w:rPr>
          <w:rStyle w:val="indexentry"/>
        </w:rPr>
        <w:fldChar w:fldCharType="begin"/>
      </w:r>
      <w:r>
        <w:instrText>xe "</w:instrText>
      </w:r>
      <w:r>
        <w:rPr>
          <w:rStyle w:val="xeentry"/>
        </w:rPr>
        <w:instrText>prenex marker</w:instrText>
      </w:r>
      <w:r>
        <w:instrText>"</w:instrText>
      </w:r>
      <w:r>
        <w:rPr>
          <w:rStyle w:val="indexentry"/>
        </w:rPr>
        <w:fldChar w:fldCharType="end"/>
      </w:r>
      <w:r>
        <w:t>selma'o ZOhU (</w:t>
      </w:r>
      <w:r>
        <w:rPr>
          <w:rStyle w:val="htmlcodes"/>
        </w:rPr>
        <w:t>&lt;a href=chap16.html&gt;</w:t>
      </w:r>
      <w:r>
        <w:t>Chapter 16</w:t>
      </w:r>
      <w:r>
        <w:rPr>
          <w:rStyle w:val="htmlcodes"/>
        </w:rPr>
        <w:t>&lt;/a&gt;</w:t>
      </w:r>
      <w:r>
        <w:t xml:space="preserve">, </w:t>
      </w:r>
      <w:r>
        <w:rPr>
          <w:rStyle w:val="htmlcodes"/>
        </w:rPr>
        <w:t>&lt;a href=chap19.html&gt;</w:t>
      </w:r>
      <w:r>
        <w:t>Chapter 19</w:t>
      </w:r>
      <w:r>
        <w:rPr>
          <w:rStyle w:val="htmlcodes"/>
        </w:rPr>
        <w:t>&lt;/a&gt;</w:t>
      </w:r>
      <w:r>
        <w:t>)</w:t>
      </w:r>
    </w:p>
    <w:p w:rsidR="00B72047" w:rsidRDefault="00B72047">
      <w:pPr>
        <w:pStyle w:val="resumedafterexample"/>
        <w:rPr>
          <w:rStyle w:val="htmlparacode"/>
        </w:rPr>
      </w:pPr>
      <w:r>
        <w:rPr>
          <w:rStyle w:val="htmlparacode"/>
        </w:rPr>
        <w:t>&lt;p&gt;</w:t>
      </w:r>
    </w:p>
    <w:p w:rsidR="00B72047" w:rsidRDefault="00B72047">
      <w:pPr>
        <w:pStyle w:val="resumedafterexample"/>
      </w:pPr>
      <w:r>
        <w:t>Separates a logical prenex from a bridi or group of sentences to</w:t>
      </w:r>
      <w:r>
        <w:rPr>
          <w:rStyle w:val="deletedparamark"/>
        </w:rPr>
        <w:t xml:space="preserve"> </w:t>
      </w:r>
      <w:r>
        <w:t>which it applies. Also separates a topic from a comment in</w:t>
      </w:r>
      <w:r>
        <w:rPr>
          <w:rStyle w:val="deletedparamark"/>
        </w:rPr>
        <w:t xml:space="preserve"> </w:t>
      </w:r>
      <w:r>
        <w:t>topic/comment sentences.</w:t>
      </w:r>
    </w:p>
    <w:p w:rsidR="00B72047" w:rsidRDefault="00B72047">
      <w:pPr>
        <w:rPr>
          <w:rStyle w:val="htmlparacode"/>
        </w:rPr>
      </w:pPr>
      <w:r>
        <w:rPr>
          <w:rStyle w:val="htmlparacode"/>
        </w:rPr>
        <w:t>&lt;p&gt;</w:t>
      </w:r>
    </w:p>
    <w:p w:rsidR="00B72047" w:rsidRDefault="00B72047">
      <w:pPr>
        <w:pStyle w:val="examplescaledpre"/>
      </w:pPr>
      <w:r>
        <w:rPr>
          <w:rStyle w:val="htmlcodes"/>
        </w:rPr>
        <w:t>&lt;dl compact&gt;&lt;dt&gt;</w:t>
      </w:r>
      <w:r>
        <w:tab/>
      </w:r>
      <w:r>
        <w:rPr>
          <w:rStyle w:val="htmlcodes"/>
        </w:rPr>
        <w:t>&lt;dd&gt;</w:t>
      </w:r>
      <w:r>
        <w:t>su'o da poi remna ro da poi finpe zo'u da prami de</w:t>
      </w:r>
    </w:p>
    <w:p w:rsidR="00B72047" w:rsidRDefault="00B72047">
      <w:pPr>
        <w:pStyle w:val="examplescaled"/>
      </w:pPr>
      <w:r>
        <w:tab/>
        <w:t>For-at-least-one X which is-a-man, for-all Ys which are-fish : X loves Y</w:t>
      </w:r>
    </w:p>
    <w:p w:rsidR="00B72047" w:rsidRDefault="00B72047">
      <w:pPr>
        <w:pStyle w:val="examplescaled"/>
      </w:pPr>
      <w:r>
        <w:tab/>
        <w:t>There is a man who loves all fish.</w:t>
      </w:r>
    </w:p>
    <w:p w:rsidR="00B72047" w:rsidRDefault="00B72047">
      <w:pPr>
        <w:pStyle w:val="resumedafterexample"/>
        <w:sectPr w:rsidR="00B72047">
          <w:headerReference w:type="default" r:id="rId43"/>
          <w:type w:val="oddPage"/>
          <w:pgSz w:w="9504" w:h="13824" w:code="1"/>
          <w:pgMar w:top="1296" w:right="1296" w:bottom="720" w:left="1008" w:header="480" w:footer="720" w:gutter="0"/>
          <w:paperSrc w:first="1706" w:other="1706"/>
          <w:cols w:space="720"/>
          <w:titlePg/>
        </w:sectPr>
      </w:pPr>
    </w:p>
    <w:p w:rsidR="00B72047" w:rsidRDefault="00B72047">
      <w:pPr>
        <w:pStyle w:val="normalparagraph"/>
      </w:pPr>
      <w:r>
        <w:rPr>
          <w:rStyle w:val="htmlcodes"/>
        </w:rPr>
        <w:t>&lt;img src=chap21.gif alt=[Cartoon] align=center width=405 height=405&gt;</w:t>
      </w:r>
    </w:p>
    <w:p w:rsidR="00B72047" w:rsidRDefault="00B72047">
      <w:pPr>
        <w:pStyle w:val="normalparagraph"/>
      </w:pPr>
      <w:r>
        <w:pict>
          <v:shape id="_x0000_i1046" type="#_x0000_t75" style="width:5in;height:547.5pt">
            <v:imagedata r:id="rId44" o:title="" croptop="-18687f" cropbottom="-18687f" cropleft="-1581f" cropright="-1581f"/>
          </v:shape>
        </w:pict>
      </w:r>
    </w:p>
    <w:p w:rsidR="00B72047" w:rsidRDefault="00B72047">
      <w:pPr>
        <w:pStyle w:val="normalparagraph"/>
        <w:sectPr w:rsidR="00B72047">
          <w:type w:val="evenPage"/>
          <w:pgSz w:w="9504" w:h="13824" w:code="1"/>
          <w:pgMar w:top="1296" w:right="1296" w:bottom="720" w:left="1008" w:header="480" w:footer="720" w:gutter="0"/>
          <w:paperSrc w:first="1706" w:other="1706"/>
          <w:cols w:space="720"/>
          <w:titlePg/>
        </w:sectPr>
      </w:pPr>
    </w:p>
    <w:p w:rsidR="00B72047" w:rsidRDefault="00B72047">
      <w:pPr>
        <w:pStyle w:val="Heading2"/>
      </w:pPr>
      <w:r>
        <w:rPr>
          <w:rStyle w:val="htmlcodes"/>
        </w:rPr>
        <w:t>&lt;h2&gt;</w:t>
      </w:r>
      <w:bookmarkStart w:id="545" w:name="_Toc395684528"/>
      <w:bookmarkStart w:id="546" w:name="_Toc398970780"/>
      <w:r>
        <w:t>Chapter 21</w:t>
      </w:r>
      <w:bookmarkEnd w:id="545"/>
      <w:bookmarkEnd w:id="546"/>
    </w:p>
    <w:p w:rsidR="00B72047" w:rsidRDefault="00B72047">
      <w:pPr>
        <w:pStyle w:val="Heading2"/>
        <w:rPr>
          <w:rStyle w:val="htmlcodes"/>
        </w:rPr>
      </w:pPr>
      <w:r>
        <w:rPr>
          <w:rStyle w:val="htmlcodes"/>
        </w:rPr>
        <w:t>&lt;br&gt;</w:t>
      </w:r>
    </w:p>
    <w:p w:rsidR="00B72047" w:rsidRDefault="00B72047">
      <w:pPr>
        <w:pStyle w:val="Heading2"/>
      </w:pPr>
      <w:bookmarkStart w:id="547" w:name="_Toc398970781"/>
      <w:r>
        <w:t>Formal Grammars</w:t>
      </w:r>
      <w:bookmarkEnd w:id="547"/>
      <w:r>
        <w:rPr>
          <w:rStyle w:val="htmlcodes"/>
        </w:rPr>
        <w:t>&lt;/h2&gt;</w:t>
      </w:r>
    </w:p>
    <w:p w:rsidR="00B72047" w:rsidRDefault="00B72047">
      <w:pPr>
        <w:pStyle w:val="Heading6"/>
        <w:rPr>
          <w:rStyle w:val="htmlcodes"/>
        </w:rPr>
      </w:pPr>
      <w:r>
        <w:rPr>
          <w:rStyle w:val="htmlcodes"/>
        </w:rPr>
        <w:t>&lt;h6&gt;$Revision: 4.0 $&lt;/h6&gt;</w:t>
      </w:r>
    </w:p>
    <w:p w:rsidR="00B72047" w:rsidRDefault="00B72047">
      <w:pPr>
        <w:rPr>
          <w:rStyle w:val="htmlcodes"/>
        </w:rPr>
      </w:pPr>
      <w:r>
        <w:rPr>
          <w:rStyle w:val="htmlcodes"/>
        </w:rPr>
        <w:t>&lt;/p&gt;&lt;/center&gt;</w:t>
      </w:r>
    </w:p>
    <w:p w:rsidR="00B72047" w:rsidRDefault="00B72047">
      <w:pPr>
        <w:rPr>
          <w:rStyle w:val="htmlparacode"/>
        </w:rPr>
      </w:pPr>
      <w:r>
        <w:rPr>
          <w:rStyle w:val="htmlparacode"/>
        </w:rPr>
        <w:t>&lt;p&gt;</w:t>
      </w:r>
    </w:p>
    <w:p w:rsidR="00B72047" w:rsidRDefault="00B72047">
      <w:pPr>
        <w:pStyle w:val="normalparagraph"/>
      </w:pPr>
      <w:r>
        <w:rPr>
          <w:rStyle w:val="indexentry"/>
        </w:rPr>
        <w:t>&lt;cx "formal grammar"&gt;</w:t>
      </w:r>
      <w:r>
        <w:rPr>
          <w:rStyle w:val="indexentry"/>
        </w:rPr>
        <w:fldChar w:fldCharType="begin"/>
      </w:r>
      <w:r>
        <w:instrText>xe "</w:instrText>
      </w:r>
      <w:r>
        <w:rPr>
          <w:rStyle w:val="xeentry"/>
        </w:rPr>
        <w:instrText>formal grammar</w:instrText>
      </w:r>
      <w:r>
        <w:instrText>"</w:instrText>
      </w:r>
      <w:r>
        <w:rPr>
          <w:rStyle w:val="indexentry"/>
        </w:rPr>
        <w:fldChar w:fldCharType="end"/>
      </w:r>
      <w:r>
        <w:rPr>
          <w:rStyle w:val="indexentry"/>
        </w:rPr>
        <w:t>&lt;cx "machine grammar"&gt;</w:t>
      </w:r>
      <w:r>
        <w:rPr>
          <w:rStyle w:val="indexentry"/>
        </w:rPr>
        <w:fldChar w:fldCharType="begin"/>
      </w:r>
      <w:r>
        <w:instrText>xe "</w:instrText>
      </w:r>
      <w:r>
        <w:rPr>
          <w:rStyle w:val="xeentry"/>
        </w:rPr>
        <w:instrText>machine grammar</w:instrText>
      </w:r>
      <w:r>
        <w:instrText>"</w:instrText>
      </w:r>
      <w:r>
        <w:rPr>
          <w:rStyle w:val="indexentry"/>
        </w:rPr>
        <w:fldChar w:fldCharType="end"/>
      </w:r>
      <w:r>
        <w:t>The following two listings constitute the formal grammar of Lojban.</w:t>
      </w:r>
      <w:r>
        <w:rPr>
          <w:rStyle w:val="deletedparamark"/>
        </w:rPr>
        <w:t xml:space="preserve"> </w:t>
      </w:r>
      <w:r>
        <w:t>The first version is written in the YACC language, which is used</w:t>
      </w:r>
      <w:r>
        <w:rPr>
          <w:rStyle w:val="deletedparamark"/>
        </w:rPr>
        <w:t xml:space="preserve"> </w:t>
      </w:r>
      <w:r>
        <w:t>to describe parsers, and has been used to create a parser for</w:t>
      </w:r>
      <w:r>
        <w:rPr>
          <w:rStyle w:val="deletedparamark"/>
        </w:rPr>
        <w:t xml:space="preserve"> </w:t>
      </w:r>
      <w:r>
        <w:t>Lojban texts. This parser is available from the Logical Language Group.</w:t>
      </w:r>
      <w:r>
        <w:rPr>
          <w:rStyle w:val="deletedparamark"/>
        </w:rPr>
        <w:t xml:space="preserve"> </w:t>
      </w:r>
      <w:r>
        <w:t>The second listing is in Extended Backus-Naur Form (EBNF) and</w:t>
      </w:r>
      <w:r>
        <w:rPr>
          <w:rStyle w:val="deletedparamark"/>
        </w:rPr>
        <w:t xml:space="preserve"> </w:t>
      </w:r>
      <w:r>
        <w:t>represents the same grammar in a more human-readable form.</w:t>
      </w:r>
      <w:r>
        <w:rPr>
          <w:rStyle w:val="deletedparamark"/>
        </w:rPr>
        <w:t xml:space="preserve"> </w:t>
      </w:r>
      <w:r>
        <w:t>(In case of discrepancies, the YACC ve</w:t>
      </w:r>
      <w:r>
        <w:t>r</w:t>
      </w:r>
      <w:r>
        <w:softHyphen/>
        <w:t>sion is official.)</w:t>
      </w:r>
      <w:r>
        <w:rPr>
          <w:rStyle w:val="deletedparamark"/>
        </w:rPr>
        <w:t xml:space="preserve"> </w:t>
      </w:r>
      <w:r>
        <w:t>There is a cross-reference listing for each format</w:t>
      </w:r>
      <w:r>
        <w:rPr>
          <w:rStyle w:val="deletedparamark"/>
        </w:rPr>
        <w:t xml:space="preserve"> </w:t>
      </w:r>
      <w:r>
        <w:t>that shows, for each selma'o and rule, which rules refer to it.</w:t>
      </w:r>
    </w:p>
    <w:p w:rsidR="00B72047" w:rsidRDefault="00B72047">
      <w:pPr>
        <w:pStyle w:val="normalparagraph"/>
        <w:sectPr w:rsidR="00B72047">
          <w:type w:val="oddPage"/>
          <w:pgSz w:w="9504" w:h="13824" w:code="1"/>
          <w:pgMar w:top="1296" w:right="1296" w:bottom="720" w:left="1008" w:header="480" w:footer="720" w:gutter="0"/>
          <w:paperSrc w:first="1706" w:other="1706"/>
          <w:cols w:space="720"/>
          <w:titlePg/>
        </w:sectPr>
      </w:pPr>
    </w:p>
    <w:p w:rsidR="00B72047" w:rsidRDefault="00B72047">
      <w:pPr>
        <w:pStyle w:val="Heading3"/>
        <w:rPr>
          <w:rStyle w:val="Heading3Text"/>
        </w:rPr>
      </w:pPr>
      <w:bookmarkStart w:id="548" w:name="_Toc398970782"/>
      <w:r>
        <w:rPr>
          <w:rStyle w:val="Heading3Text"/>
        </w:rPr>
        <w:t>YACC Grammar of Lojban</w:t>
      </w:r>
      <w:bookmarkEnd w:id="548"/>
      <w:r>
        <w:rPr>
          <w:rStyle w:val="htmlcodes"/>
        </w:rPr>
        <w:t>&lt;/h3&gt;</w:t>
      </w:r>
    </w:p>
    <w:p w:rsidR="00B72047" w:rsidRDefault="00B72047">
      <w:pPr>
        <w:pStyle w:val="YACCCenter"/>
        <w:rPr>
          <w:rStyle w:val="htmlcodes"/>
        </w:rPr>
      </w:pPr>
      <w:r>
        <w:rPr>
          <w:rStyle w:val="htmlcodes"/>
        </w:rPr>
        <w:t>&lt;landscape&gt;</w:t>
      </w:r>
      <w:r>
        <w:rPr>
          <w:rStyle w:val="indexentry"/>
        </w:rPr>
        <w:t>&lt;cx "YACC grammar"&gt;</w:t>
      </w:r>
      <w:r>
        <w:rPr>
          <w:rStyle w:val="indexentry"/>
        </w:rPr>
        <w:fldChar w:fldCharType="begin"/>
      </w:r>
      <w:r>
        <w:instrText>xe "</w:instrText>
      </w:r>
      <w:r>
        <w:rPr>
          <w:rStyle w:val="xeentry"/>
        </w:rPr>
        <w:instrText>YACC grammar</w:instrText>
      </w:r>
      <w:r>
        <w:instrText>"</w:instrText>
      </w:r>
      <w:r>
        <w:rPr>
          <w:rStyle w:val="indexentry"/>
        </w:rPr>
        <w:fldChar w:fldCharType="end"/>
      </w:r>
      <w:r>
        <w:rPr>
          <w:rStyle w:val="htmlcodes"/>
        </w:rPr>
        <w:t>&lt;h3&gt;</w:t>
      </w:r>
    </w:p>
    <w:p w:rsidR="00B72047" w:rsidRDefault="00B72047">
      <w:pPr>
        <w:pStyle w:val="YACCCenter"/>
      </w:pPr>
      <w:r>
        <w:rPr>
          <w:rStyle w:val="htmlcodes"/>
        </w:rPr>
        <w:t>&lt;p align=center&gt;&lt;center&gt;</w:t>
      </w:r>
      <w:r>
        <w:t>/*Lojban Machine Grammar, Final Baseline</w:t>
      </w:r>
    </w:p>
    <w:p w:rsidR="00B72047" w:rsidRDefault="00B72047">
      <w:pPr>
        <w:pStyle w:val="YACCCenter"/>
      </w:pPr>
      <w:r>
        <w:rPr>
          <w:rStyle w:val="htmlcodes"/>
        </w:rPr>
        <w:t>&lt;br&gt;</w:t>
      </w:r>
      <w:r>
        <w:t>The Lojban Machine Grammar document is explicitly dedicated to the public domain by its author, The Logical Language Group, Inc.</w:t>
      </w:r>
      <w:r>
        <w:rPr>
          <w:rStyle w:val="htmlcodes"/>
        </w:rPr>
        <w:t>&lt;br&gt;</w:t>
      </w:r>
      <w:r>
        <w:br/>
      </w:r>
    </w:p>
    <w:p w:rsidR="00B72047" w:rsidRDefault="00B72047">
      <w:pPr>
        <w:pStyle w:val="YACC"/>
        <w:rPr>
          <w:rStyle w:val="htmlcodes"/>
        </w:rPr>
      </w:pPr>
      <w:r>
        <w:rPr>
          <w:rStyle w:val="htmlcodes"/>
        </w:rPr>
        <w:t>&lt;/center&gt;&lt;/p&gt;</w:t>
      </w:r>
    </w:p>
    <w:p w:rsidR="00B72047" w:rsidRDefault="00B72047">
      <w:pPr>
        <w:pStyle w:val="YACC"/>
      </w:pPr>
      <w:r>
        <w:t>grammar.300 */</w:t>
      </w:r>
    </w:p>
    <w:p w:rsidR="00B72047" w:rsidRDefault="00B72047">
      <w:pPr>
        <w:pStyle w:val="YACC"/>
        <w:rPr>
          <w:rStyle w:val="htmlparacode"/>
          <w:vanish w:val="0"/>
          <w:sz w:val="16"/>
          <w:szCs w:val="16"/>
        </w:rPr>
      </w:pP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 The Lojban machine parsing algorithm is a multi-step process. The YACC m</w:t>
      </w:r>
      <w:r>
        <w:t>a</w:t>
      </w:r>
      <w:r>
        <w:softHyphen/>
        <w:t>chine grammar presented here is an amalgam of those steps, concatenated so as to allow YACC to verify the syntactic ambiguity of the grammar. YACC is used to gener</w:t>
      </w:r>
      <w:r>
        <w:softHyphen/>
        <w:t>ate a parser for a portion of the grammar, which is LALR1 (the type of grammar that YACC is designed to identify and process successfully), but most of the rest of the grammar must be parsed using some language-coded processing.</w:t>
      </w:r>
    </w:p>
    <w:p w:rsidR="00B72047" w:rsidRDefault="00B72047">
      <w:pPr>
        <w:pStyle w:val="YACC"/>
        <w:rPr>
          <w:rStyle w:val="htmlcodes"/>
        </w:rPr>
      </w:pPr>
      <w:r>
        <w:rPr>
          <w:rStyle w:val="htmlcodes"/>
        </w:rPr>
        <w:t>&lt;p&gt;</w:t>
      </w:r>
    </w:p>
    <w:p w:rsidR="00B72047" w:rsidRDefault="00B72047">
      <w:pPr>
        <w:pStyle w:val="Heading4"/>
      </w:pPr>
      <w:r>
        <w:rPr>
          <w:rStyle w:val="htmlcodes"/>
        </w:rPr>
        <w:t>&lt;h4&gt;</w:t>
      </w:r>
      <w:r>
        <w:t xml:space="preserve"> Step 1 - Lexing</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From phonemes, stress, and pause, it is possible to resolve Lojban  unambigu</w:t>
      </w:r>
      <w:r>
        <w:softHyphen/>
        <w:t>ously into a stream of words. Any machine processing of speech will have to have some way to deal with 'non-Lojban' failures of fluent speech, of course. The resolved words can be expressed as a text file using Lojban's phonetic spelling rules.</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The following steps assume that there is the possibility of non-Lojban text within the Lojban text (delimited appropriately). Such non-Lojban text may not be re</w:t>
      </w:r>
      <w:r>
        <w:softHyphen/>
        <w:t>ducible from speech phonetically. However, step 2 allows the filtering of a phonetically transcribed text stream, to recognize such portions of non-Lojban text where properly delimited, without interference with the parsing algorithm.</w:t>
      </w:r>
    </w:p>
    <w:p w:rsidR="00B72047" w:rsidRDefault="00B72047">
      <w:pPr>
        <w:pStyle w:val="Heading4"/>
        <w:rPr>
          <w:rStyle w:val="htmlcodes"/>
        </w:rPr>
      </w:pPr>
      <w:r>
        <w:rPr>
          <w:rStyle w:val="htmlcodes"/>
        </w:rPr>
        <w:t>&lt;p&gt;</w:t>
      </w:r>
    </w:p>
    <w:p w:rsidR="00B72047" w:rsidRDefault="00B72047">
      <w:pPr>
        <w:pStyle w:val="Heading4"/>
        <w:rPr>
          <w:rStyle w:val="htmlcodes"/>
        </w:rPr>
      </w:pPr>
      <w:r>
        <w:rPr>
          <w:rStyle w:val="htmlcodes"/>
        </w:rPr>
        <w:t>&lt;p&gt;</w:t>
      </w:r>
    </w:p>
    <w:p w:rsidR="00B72047" w:rsidRDefault="00B72047">
      <w:pPr>
        <w:pStyle w:val="Heading4"/>
      </w:pPr>
      <w:r>
        <w:rPr>
          <w:rStyle w:val="htmlcodes"/>
        </w:rPr>
        <w:t>&lt;h4&gt;</w:t>
      </w:r>
      <w:r>
        <w:t xml:space="preserve"> Step 2 - Filtering</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From start to end, performing the following filtering and lexing tasks using the given order of precedence in case of conflict:</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a. If the Lojban word “zoi” (selma'o ZOI) is identified, take the following Loj</w:t>
      </w:r>
      <w:r>
        <w:softHyphen/>
        <w:t>ban word (which should be end delimited with a pause for separation from the follow</w:t>
      </w:r>
      <w:r>
        <w:softHyphen/>
        <w:t>ing non-Lojban text) as an opening delimiter.</w:t>
      </w:r>
    </w:p>
    <w:p w:rsidR="00B72047" w:rsidRDefault="00B72047">
      <w:pPr>
        <w:pStyle w:val="normalparagraph"/>
      </w:pPr>
      <w:r>
        <w:t xml:space="preserve">Treat all text following that delimiter, until that delimiter recurs </w:t>
      </w:r>
      <w:r>
        <w:rPr>
          <w:i/>
          <w:iCs/>
        </w:rPr>
        <w:t>after a pause</w:t>
      </w:r>
      <w:r>
        <w:t>, as grammatically a single token (labelled '</w:t>
      </w:r>
      <w:r>
        <w:rPr>
          <w:rStyle w:val="htmlcodes"/>
        </w:rPr>
        <w:t>&lt;a href=#y699&gt;</w:t>
      </w:r>
      <w:r>
        <w:t>anything_699</w:t>
      </w:r>
      <w:r>
        <w:rPr>
          <w:rStyle w:val="htmlcodes"/>
        </w:rPr>
        <w:t>&lt;/a&gt;</w:t>
      </w:r>
      <w:r>
        <w:t>' in this grammar). There is no need for processing within this text except as necessary to find the closing delimiter.</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b. If the Lojban word “zo” (selma'o ZO) is identified, treat the following Loj</w:t>
      </w:r>
      <w:r>
        <w:softHyphen/>
        <w:t>ban word as a token labelled '</w:t>
      </w:r>
      <w:r>
        <w:rPr>
          <w:rStyle w:val="htmlcodes"/>
        </w:rPr>
        <w:t>&lt;a href=#y698&gt;</w:t>
      </w:r>
      <w:r>
        <w:t>any_word_698</w:t>
      </w:r>
      <w:r>
        <w:rPr>
          <w:rStyle w:val="htmlcodes"/>
        </w:rPr>
        <w:t>&lt;/a&gt;</w:t>
      </w:r>
      <w:r>
        <w:t>', instead of lexing it by its normal gram</w:t>
      </w:r>
      <w:r>
        <w:softHyphen/>
        <w:t>matical function.</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c. If the Lojban word “lo'u” (selma'o LOhU) is identified, search for the clos</w:t>
      </w:r>
      <w:r>
        <w:softHyphen/>
        <w:t>ing d</w:t>
      </w:r>
      <w:r>
        <w:t>e</w:t>
      </w:r>
      <w:r>
        <w:softHyphen/>
        <w:t>limiter “le'u” (selma'o LEhU), ignoring any such closing delimiters absorbed by the pr</w:t>
      </w:r>
      <w:r>
        <w:t>e</w:t>
      </w:r>
      <w:r>
        <w:softHyphen/>
        <w:t>vious two steps. The text between the delimiters should be treated as the single token '</w:t>
      </w:r>
      <w:r>
        <w:rPr>
          <w:rStyle w:val="htmlcodes"/>
        </w:rPr>
        <w:t>&lt;a href=#y697&gt;</w:t>
      </w:r>
      <w:r>
        <w:t>any_words_697</w:t>
      </w:r>
      <w:r>
        <w:rPr>
          <w:rStyle w:val="htmlcodes"/>
        </w:rPr>
        <w:t>&lt;/a&gt;</w:t>
      </w:r>
      <w:r>
        <w:t>'.</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d. Categorize all remaining words into their Lojban selma'o category, includ</w:t>
      </w:r>
      <w:r>
        <w:softHyphen/>
        <w:t>ing the various delimiters mentioned in the previous steps. In all steps after step 2, only the se</w:t>
      </w:r>
      <w:r>
        <w:t>l</w:t>
      </w:r>
      <w:r>
        <w:softHyphen/>
        <w:t>ma'o token type is significant for each word.</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e. If the word “si” (selma'o SI) is identified, erase it and the previous word (or token, if the previous text has been condensed into a single token by one of the above rules).</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f. If the word “sa” (selma'o SA) is identified, erase it and all preceding text as far back as necessary to make what follows attach to what precedes. (This rule is hard to formalize and may receive further definition later.)</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g. If the word 'su' (selma'o SU) is identified, erase it and all preceding text back to and including the first preceding token word which is in one of the selma'o: NIhO, LU, TUhE, and TO. However, if speaker identification is available, a SU shall only erase to the beginning of a speaker's discourse, unless it occurs at the beginning of a speaker's discourse. (Thus, if the speaker has said something, two “su”s are required to erase the entire conversation.</w:t>
      </w:r>
    </w:p>
    <w:p w:rsidR="00B72047" w:rsidRDefault="00B72047">
      <w:pPr>
        <w:pStyle w:val="Heading4"/>
        <w:rPr>
          <w:rStyle w:val="htmlcodes"/>
        </w:rPr>
      </w:pPr>
      <w:r>
        <w:rPr>
          <w:rStyle w:val="htmlcodes"/>
        </w:rPr>
        <w:t>&lt;p&gt;</w:t>
      </w:r>
    </w:p>
    <w:p w:rsidR="00B72047" w:rsidRDefault="00B72047">
      <w:pPr>
        <w:pStyle w:val="Heading4"/>
        <w:rPr>
          <w:rStyle w:val="htmlcodes"/>
        </w:rPr>
      </w:pPr>
      <w:r>
        <w:rPr>
          <w:rStyle w:val="htmlcodes"/>
        </w:rPr>
        <w:t>&lt;p&gt;</w:t>
      </w:r>
    </w:p>
    <w:p w:rsidR="00B72047" w:rsidRDefault="00B72047">
      <w:pPr>
        <w:pStyle w:val="Heading4"/>
      </w:pPr>
      <w:r>
        <w:rPr>
          <w:rStyle w:val="htmlcodes"/>
        </w:rPr>
        <w:t>&lt;h4&gt;</w:t>
      </w:r>
      <w:r>
        <w:t xml:space="preserve"> Step 3 - Termination</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If the text contains a FAhO, treat that as the end-of-text and ignore everything that follows it.</w:t>
      </w:r>
    </w:p>
    <w:p w:rsidR="00B72047" w:rsidRDefault="00B72047">
      <w:pPr>
        <w:pStyle w:val="Heading4"/>
        <w:rPr>
          <w:rStyle w:val="htmlcodes"/>
        </w:rPr>
      </w:pPr>
      <w:r>
        <w:rPr>
          <w:rStyle w:val="htmlcodes"/>
        </w:rPr>
        <w:t>&lt;p&gt;</w:t>
      </w:r>
    </w:p>
    <w:p w:rsidR="00B72047" w:rsidRDefault="00B72047">
      <w:pPr>
        <w:pStyle w:val="Heading4"/>
        <w:rPr>
          <w:rStyle w:val="htmlcodes"/>
        </w:rPr>
      </w:pPr>
      <w:r>
        <w:rPr>
          <w:rStyle w:val="htmlcodes"/>
        </w:rPr>
        <w:t>&lt;p&gt;</w:t>
      </w:r>
    </w:p>
    <w:p w:rsidR="00B72047" w:rsidRDefault="00B72047">
      <w:pPr>
        <w:pStyle w:val="Heading4"/>
      </w:pPr>
      <w:r>
        <w:rPr>
          <w:rStyle w:val="htmlcodes"/>
        </w:rPr>
        <w:t>&lt;h4&gt;</w:t>
      </w:r>
      <w:r>
        <w:t xml:space="preserve"> Step 4 - Absorption of Grammar-Free Tokens</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In a new pass, perform the following absorptions (absorption means that the token is removed from the grammar for processing in following steps, and optionally reinserted, grouped with the absorbing token after parsing is completed).</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a. Token sequences of the form any - (ZEI - any) </w:t>
      </w:r>
      <w:r>
        <w:rPr>
          <w:rStyle w:val="htmlcodes"/>
        </w:rPr>
        <w:t>&lt;dots&gt;</w:t>
      </w:r>
      <w:r>
        <w:t>…</w:t>
      </w:r>
      <w:r>
        <w:rPr>
          <w:rStyle w:val="htmlcodes"/>
        </w:rPr>
        <w:t>&lt;/dots&gt;</w:t>
      </w:r>
      <w:r>
        <w:t>, where there may be any number of ZEIs, are merged into a single token of selma'o BRIVLA.</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b. Absorb all selma'o BAhE tokens into the following token. If they occur at the end of text, leave them alone (they are errors).</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c. Absorb all selma'o BU tokens into the previous token. Relabel the previous token as selma'o BY.</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d. If selma'o NAI occurs immediately following any of tokens UI or CAI, ab</w:t>
      </w:r>
      <w:r>
        <w:softHyphen/>
        <w:t>sorb the NAI into the previous token.</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e. Absorb all members of selma'o DAhO, FUhO, FUhE, UI, Y, and CAI into the pr</w:t>
      </w:r>
      <w:r>
        <w:t>e</w:t>
      </w:r>
      <w:r>
        <w:softHyphen/>
        <w:t>vious token. All of these null grammar tokens are permitted following any word of the grammar, without interfering with that word's grammatical function, or causing any effect on the grammatical interpretation of any other token in the text. Indicators at the begi</w:t>
      </w:r>
      <w:r>
        <w:t>n</w:t>
      </w:r>
      <w:r>
        <w:softHyphen/>
        <w:t>ning of text are explicitly handled by the grammar.</w:t>
      </w:r>
    </w:p>
    <w:p w:rsidR="00B72047" w:rsidRDefault="00B72047">
      <w:pPr>
        <w:pStyle w:val="Heading4"/>
        <w:rPr>
          <w:rStyle w:val="htmlcodes"/>
        </w:rPr>
      </w:pPr>
      <w:r>
        <w:rPr>
          <w:rStyle w:val="htmlcodes"/>
        </w:rPr>
        <w:t>&lt;p&gt;</w:t>
      </w:r>
    </w:p>
    <w:p w:rsidR="00B72047" w:rsidRDefault="00B72047">
      <w:pPr>
        <w:pStyle w:val="Heading4"/>
        <w:rPr>
          <w:rStyle w:val="htmlcodes"/>
        </w:rPr>
      </w:pPr>
      <w:r>
        <w:rPr>
          <w:rStyle w:val="htmlcodes"/>
        </w:rPr>
        <w:t>&lt;p&gt;</w:t>
      </w:r>
    </w:p>
    <w:p w:rsidR="00B72047" w:rsidRDefault="00B72047">
      <w:pPr>
        <w:pStyle w:val="Heading4"/>
      </w:pPr>
      <w:r>
        <w:rPr>
          <w:rStyle w:val="htmlcodes"/>
        </w:rPr>
        <w:t>&lt;h4&gt;</w:t>
      </w:r>
      <w:r>
        <w:t xml:space="preserve"> Step 5 - Insertion of Lexer Lexemes</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pPr>
      <w:r>
        <w:t>Lojban is not in itself LALR1. There are words whose grammatical function is d</w:t>
      </w:r>
      <w:r>
        <w:t>e</w:t>
      </w:r>
      <w:r>
        <w:softHyphen/>
        <w:t>termined by following tokens. As a result, parsing of the YACC grammar must take place in two steps. In the first step, certain strings of tokens with defined grammars are ident</w:t>
      </w:r>
      <w:r>
        <w:t>i</w:t>
      </w:r>
      <w:r>
        <w:softHyphen/>
        <w:t>fied, and either</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a. are replaced by a single specified 'lexer token' for step 6, or</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b. the lexer token is inserted in front of the token string to identify it uniquely.</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The YACC grammar included herein is written to make YACC generation of a step 6 parser easy regardless of whether a. or b. is used. The strings of tokens to be la</w:t>
      </w:r>
      <w:r>
        <w:softHyphen/>
        <w:t>belled with lexer tokens are found in rule terminals labelled with numbers between 900 and 1099. These rules are defined with the lexer tokens inserted, with the result that it can be ver</w:t>
      </w:r>
      <w:r>
        <w:t>i</w:t>
      </w:r>
      <w:r>
        <w:softHyphen/>
        <w:t>fied that the language is LALR1 under option b. after steps 1 through 4 have been pe</w:t>
      </w:r>
      <w:r>
        <w:t>r</w:t>
      </w:r>
      <w:r>
        <w:softHyphen/>
        <w:t xml:space="preserve">formed. Alternatively, if option a. is to be used, these rules are commented out, and the rule terminals labelled from 800 to 900 refer to the lexer tokens </w:t>
      </w:r>
      <w:r>
        <w:rPr>
          <w:i/>
          <w:iCs/>
        </w:rPr>
        <w:t>without</w:t>
      </w:r>
      <w:r>
        <w:t xml:space="preserve"> the strings of defining tokens. Two sets of lexer tokens are defined in the token set so as to be compat</w:t>
      </w:r>
      <w:r>
        <w:t>i</w:t>
      </w:r>
      <w:r>
        <w:softHyphen/>
        <w:t>ble with either option.</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In this step, the strings must be labelled with the appropriate lexer tokens. Or</w:t>
      </w:r>
      <w:r>
        <w:softHyphen/>
        <w:t xml:space="preserve">der of inserting lexer tokens </w:t>
      </w:r>
      <w:r>
        <w:rPr>
          <w:i/>
          <w:iCs/>
        </w:rPr>
        <w:t>IS</w:t>
      </w:r>
      <w:r>
        <w:t xml:space="preserve"> significant, since some shorter strings that would be marked with a lexer token may be found inside longer strings. If the tokens are inserted before or in place of the shorter strings, the longer strings cannot be identified.</w:t>
      </w: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pPr>
      <w:r>
        <w:t>If option a. is chosen, the following order of insertion works correctly (it is not the only possible order): A, C, D, B, U, E, H, I, J, K, M, N, G, O, V, W, F, P, R, T, S, Y, L, Q. This ensures that the longest rules will be processed first; a PA+MAI will not be seen as a PA with a dangling MAI at the end, for example.</w:t>
      </w:r>
    </w:p>
    <w:p w:rsidR="00B72047" w:rsidRDefault="00B72047">
      <w:pPr>
        <w:pStyle w:val="Heading4"/>
        <w:rPr>
          <w:rStyle w:val="htmlcodes"/>
        </w:rPr>
      </w:pPr>
      <w:r>
        <w:rPr>
          <w:rStyle w:val="htmlcodes"/>
        </w:rPr>
        <w:t>&lt;p&gt;</w:t>
      </w:r>
    </w:p>
    <w:p w:rsidR="00B72047" w:rsidRDefault="00B72047">
      <w:pPr>
        <w:pStyle w:val="Heading4"/>
        <w:rPr>
          <w:rStyle w:val="htmlcodes"/>
        </w:rPr>
      </w:pPr>
      <w:r>
        <w:rPr>
          <w:rStyle w:val="htmlcodes"/>
        </w:rPr>
        <w:t>&lt;p&gt;</w:t>
      </w:r>
    </w:p>
    <w:p w:rsidR="00B72047" w:rsidRDefault="00B72047">
      <w:pPr>
        <w:pStyle w:val="Heading4"/>
      </w:pPr>
      <w:r>
        <w:rPr>
          <w:rStyle w:val="htmlcodes"/>
        </w:rPr>
        <w:t>&lt;h4&gt;</w:t>
      </w:r>
      <w:r>
        <w:t xml:space="preserve"> Step 6 - YACC Parsing</w:t>
      </w:r>
      <w:r>
        <w:rPr>
          <w:rStyle w:val="htmlcodes"/>
        </w:rPr>
        <w:t>&lt;/h4&gt;</w:t>
      </w:r>
    </w:p>
    <w:p w:rsidR="00B72047" w:rsidRDefault="00B72047">
      <w:pPr>
        <w:pStyle w:val="YACC"/>
        <w:rPr>
          <w:rStyle w:val="htmlparacode"/>
          <w:sz w:val="16"/>
          <w:szCs w:val="16"/>
        </w:rPr>
      </w:pPr>
      <w:r>
        <w:rPr>
          <w:rStyle w:val="htmlparacode"/>
          <w:sz w:val="16"/>
          <w:szCs w:val="16"/>
        </w:rPr>
        <w:t>&lt;p&gt;</w:t>
      </w:r>
    </w:p>
    <w:p w:rsidR="00B72047" w:rsidRDefault="00B72047">
      <w:pPr>
        <w:pStyle w:val="normalparagraph"/>
        <w:rPr>
          <w:rStyle w:val="htmlparacode"/>
          <w:sz w:val="16"/>
          <w:szCs w:val="16"/>
        </w:rPr>
      </w:pPr>
      <w:r>
        <w:t>YACC should now be able to parse the Lojban text in accordance with the rule te</w:t>
      </w:r>
      <w:r>
        <w:t>r</w:t>
      </w:r>
      <w:r>
        <w:softHyphen/>
        <w:t>minals labelled from 1 to 899 under option 5a, or 1 to 1099 under option 5b. Com</w:t>
      </w:r>
      <w:r>
        <w:softHyphen/>
        <w:t xml:space="preserve">ment out the rules beyond 900 if option 5a is used, and comment out the 700-series of lexer-tokens, while restoring the series of lexer tokens numbered from 900 up.  </w:t>
      </w:r>
      <w:r>
        <w:rPr>
          <w:rStyle w:val="htmlparacode"/>
          <w:sz w:val="16"/>
          <w:szCs w:val="16"/>
        </w:rPr>
        <w:t>&lt;p&gt;</w:t>
      </w:r>
    </w:p>
    <w:p w:rsidR="00B72047" w:rsidRDefault="00B72047">
      <w:pPr>
        <w:pStyle w:val="YACC"/>
      </w:pPr>
      <w:r>
        <w:t>*/</w:t>
      </w:r>
    </w:p>
    <w:p w:rsidR="00B72047" w:rsidRDefault="00B72047">
      <w:pPr>
        <w:pStyle w:val="YACCtoken"/>
        <w:rPr>
          <w:rStyle w:val="deletedparamark"/>
          <w:sz w:val="16"/>
          <w:szCs w:val="16"/>
        </w:rPr>
      </w:pPr>
      <w:r>
        <w:rPr>
          <w:rStyle w:val="htmlcodes"/>
        </w:rPr>
        <w:t>&lt;pre&gt;</w:t>
      </w:r>
      <w:r>
        <w:t xml:space="preserve">%token </w:t>
      </w:r>
      <w:r>
        <w:rPr>
          <w:rStyle w:val="htmlcodes"/>
        </w:rPr>
        <w:t>&lt;a name=y501&gt;</w:t>
      </w:r>
      <w:r>
        <w:t xml:space="preserve">A_501 </w:t>
      </w:r>
      <w:r>
        <w:rPr>
          <w:rStyle w:val="htmlcodes"/>
        </w:rPr>
        <w:t>&lt;/a&gt;</w:t>
      </w:r>
      <w:r>
        <w:tab/>
        <w:t>/* eks; basic afterthought logical connectives */</w:t>
      </w:r>
    </w:p>
    <w:p w:rsidR="00B72047" w:rsidRDefault="00B72047">
      <w:pPr>
        <w:pStyle w:val="YACC"/>
        <w:rPr>
          <w:rStyle w:val="deletedparamark"/>
          <w:sz w:val="16"/>
          <w:szCs w:val="16"/>
        </w:rPr>
      </w:pPr>
      <w:r>
        <w:t xml:space="preserve">%token </w:t>
      </w:r>
      <w:r>
        <w:rPr>
          <w:rStyle w:val="htmlcodes"/>
        </w:rPr>
        <w:t>&lt;a name=y502&gt;</w:t>
      </w:r>
      <w:r>
        <w:t xml:space="preserve">BAI_502 </w:t>
      </w:r>
      <w:r>
        <w:rPr>
          <w:rStyle w:val="htmlcodes"/>
        </w:rPr>
        <w:t>&lt;/a&gt;</w:t>
      </w:r>
      <w:r>
        <w:tab/>
        <w:t>/* modal operators */</w:t>
      </w:r>
    </w:p>
    <w:p w:rsidR="00B72047" w:rsidRDefault="00B72047">
      <w:pPr>
        <w:pStyle w:val="YACC"/>
        <w:rPr>
          <w:rStyle w:val="deletedparamark"/>
          <w:sz w:val="16"/>
          <w:szCs w:val="16"/>
        </w:rPr>
      </w:pPr>
      <w:r>
        <w:t xml:space="preserve">%token </w:t>
      </w:r>
      <w:r>
        <w:rPr>
          <w:rStyle w:val="htmlcodes"/>
        </w:rPr>
        <w:t>&lt;a name=y503&gt;</w:t>
      </w:r>
      <w:r>
        <w:t xml:space="preserve">BAhE_503 </w:t>
      </w:r>
      <w:r>
        <w:rPr>
          <w:rStyle w:val="htmlcodes"/>
        </w:rPr>
        <w:t>&lt;/a&gt;</w:t>
      </w:r>
      <w:r>
        <w:tab/>
        <w:t>/* next word intensifier */</w:t>
      </w:r>
    </w:p>
    <w:p w:rsidR="00B72047" w:rsidRDefault="00B72047">
      <w:pPr>
        <w:pStyle w:val="YACC"/>
        <w:rPr>
          <w:rStyle w:val="deletedparamark"/>
          <w:sz w:val="16"/>
          <w:szCs w:val="16"/>
        </w:rPr>
      </w:pPr>
      <w:r>
        <w:t xml:space="preserve">%token </w:t>
      </w:r>
      <w:r>
        <w:rPr>
          <w:rStyle w:val="htmlcodes"/>
        </w:rPr>
        <w:t>&lt;a name=y504&gt;</w:t>
      </w:r>
      <w:r>
        <w:t xml:space="preserve">BE_504 </w:t>
      </w:r>
      <w:r>
        <w:rPr>
          <w:rStyle w:val="htmlcodes"/>
        </w:rPr>
        <w:t>&lt;/a&gt;</w:t>
      </w:r>
      <w:r>
        <w:tab/>
        <w:t>/* sumti link to attach sumti to a selbri */</w:t>
      </w:r>
    </w:p>
    <w:p w:rsidR="00B72047" w:rsidRDefault="00B72047">
      <w:pPr>
        <w:pStyle w:val="YACC"/>
        <w:rPr>
          <w:rStyle w:val="deletedparamark"/>
          <w:sz w:val="16"/>
          <w:szCs w:val="16"/>
        </w:rPr>
      </w:pPr>
      <w:r>
        <w:t xml:space="preserve">%token </w:t>
      </w:r>
      <w:r>
        <w:rPr>
          <w:rStyle w:val="htmlcodes"/>
        </w:rPr>
        <w:t>&lt;a name=y505&gt;</w:t>
      </w:r>
      <w:r>
        <w:t xml:space="preserve">BEI_505 </w:t>
      </w:r>
      <w:r>
        <w:rPr>
          <w:rStyle w:val="htmlcodes"/>
        </w:rPr>
        <w:t>&lt;/a&gt;</w:t>
      </w:r>
      <w:r>
        <w:tab/>
        <w:t>/* multiple sumti separator between BE, BEI */</w:t>
      </w:r>
    </w:p>
    <w:p w:rsidR="00B72047" w:rsidRDefault="00B72047">
      <w:pPr>
        <w:pStyle w:val="YACC"/>
        <w:rPr>
          <w:rStyle w:val="deletedparamark"/>
          <w:sz w:val="16"/>
          <w:szCs w:val="16"/>
        </w:rPr>
      </w:pPr>
      <w:r>
        <w:t xml:space="preserve">%token </w:t>
      </w:r>
      <w:r>
        <w:rPr>
          <w:rStyle w:val="htmlcodes"/>
        </w:rPr>
        <w:t>&lt;a name=y506&gt;</w:t>
      </w:r>
      <w:r>
        <w:t xml:space="preserve">BEhO_506 </w:t>
      </w:r>
      <w:r>
        <w:rPr>
          <w:rStyle w:val="htmlcodes"/>
        </w:rPr>
        <w:t>&lt;/a&gt;</w:t>
      </w:r>
      <w:r>
        <w:tab/>
        <w:t>/* terminates BE/BEI specified descriptors */</w:t>
      </w:r>
    </w:p>
    <w:p w:rsidR="00B72047" w:rsidRDefault="00B72047">
      <w:pPr>
        <w:pStyle w:val="YACC"/>
        <w:rPr>
          <w:rStyle w:val="deletedparamark"/>
          <w:sz w:val="16"/>
          <w:szCs w:val="16"/>
        </w:rPr>
      </w:pPr>
      <w:r>
        <w:t xml:space="preserve">%token </w:t>
      </w:r>
      <w:r>
        <w:rPr>
          <w:rStyle w:val="htmlcodes"/>
        </w:rPr>
        <w:t>&lt;a name=y507&gt;</w:t>
      </w:r>
      <w:r>
        <w:t xml:space="preserve">BIhI_507 </w:t>
      </w:r>
      <w:r>
        <w:rPr>
          <w:rStyle w:val="htmlcodes"/>
        </w:rPr>
        <w:t>&lt;/a&gt;</w:t>
      </w:r>
      <w:r>
        <w:tab/>
        <w:t>/* interval component of JOI */</w:t>
      </w:r>
    </w:p>
    <w:p w:rsidR="00B72047" w:rsidRDefault="00B72047">
      <w:pPr>
        <w:pStyle w:val="YACC"/>
        <w:rPr>
          <w:rStyle w:val="deletedparamark"/>
          <w:sz w:val="16"/>
          <w:szCs w:val="16"/>
        </w:rPr>
      </w:pPr>
      <w:r>
        <w:t xml:space="preserve">%token </w:t>
      </w:r>
      <w:r>
        <w:rPr>
          <w:rStyle w:val="htmlcodes"/>
        </w:rPr>
        <w:t>&lt;a name=y508&gt;</w:t>
      </w:r>
      <w:r>
        <w:t xml:space="preserve">BO_508 </w:t>
      </w:r>
      <w:r>
        <w:rPr>
          <w:rStyle w:val="htmlcodes"/>
        </w:rPr>
        <w:t>&lt;/a&gt;</w:t>
      </w:r>
      <w:r>
        <w:tab/>
        <w:t>/* joins two units with shortest scope */</w:t>
      </w:r>
    </w:p>
    <w:p w:rsidR="00B72047" w:rsidRDefault="00B72047">
      <w:pPr>
        <w:pStyle w:val="YACC"/>
        <w:rPr>
          <w:rStyle w:val="deletedparamark"/>
          <w:sz w:val="16"/>
          <w:szCs w:val="16"/>
        </w:rPr>
      </w:pPr>
      <w:r>
        <w:t xml:space="preserve">%token </w:t>
      </w:r>
      <w:r>
        <w:rPr>
          <w:rStyle w:val="htmlcodes"/>
        </w:rPr>
        <w:t>&lt;a name=y509&gt;</w:t>
      </w:r>
      <w:r>
        <w:t xml:space="preserve">BRIVLA_509 </w:t>
      </w:r>
      <w:r>
        <w:rPr>
          <w:rStyle w:val="htmlcodes"/>
        </w:rPr>
        <w:t>&lt;/a&gt;</w:t>
      </w:r>
      <w:r>
        <w:tab/>
        <w:t>/* any brivla */</w:t>
      </w:r>
    </w:p>
    <w:p w:rsidR="00B72047" w:rsidRDefault="00B72047">
      <w:pPr>
        <w:pStyle w:val="YACC"/>
        <w:rPr>
          <w:rStyle w:val="deletedparamark"/>
          <w:sz w:val="16"/>
          <w:szCs w:val="16"/>
        </w:rPr>
      </w:pPr>
      <w:r>
        <w:t xml:space="preserve">%token </w:t>
      </w:r>
      <w:r>
        <w:rPr>
          <w:rStyle w:val="htmlcodes"/>
        </w:rPr>
        <w:t>&lt;a name=y511&gt;</w:t>
      </w:r>
      <w:r>
        <w:t xml:space="preserve">BU_511 </w:t>
      </w:r>
      <w:r>
        <w:rPr>
          <w:rStyle w:val="htmlcodes"/>
        </w:rPr>
        <w:t>&lt;/a&gt;</w:t>
      </w:r>
      <w:r>
        <w:tab/>
        <w:t>/* turns any word into a BY lerfu word */</w:t>
      </w:r>
    </w:p>
    <w:p w:rsidR="00B72047" w:rsidRDefault="00B72047">
      <w:pPr>
        <w:pStyle w:val="YACC"/>
        <w:rPr>
          <w:rStyle w:val="deletedparamark"/>
          <w:sz w:val="16"/>
          <w:szCs w:val="16"/>
        </w:rPr>
      </w:pPr>
      <w:r>
        <w:t xml:space="preserve">%token </w:t>
      </w:r>
      <w:r>
        <w:rPr>
          <w:rStyle w:val="htmlcodes"/>
        </w:rPr>
        <w:t>&lt;a name=y513&gt;</w:t>
      </w:r>
      <w:r>
        <w:t xml:space="preserve">BY_513 </w:t>
      </w:r>
      <w:r>
        <w:rPr>
          <w:rStyle w:val="htmlcodes"/>
        </w:rPr>
        <w:t>&lt;/a&gt;</w:t>
      </w:r>
      <w:r>
        <w:tab/>
        <w:t>/* individual lerfu words */</w:t>
      </w:r>
    </w:p>
    <w:p w:rsidR="00B72047" w:rsidRDefault="00B72047">
      <w:pPr>
        <w:pStyle w:val="YACC"/>
        <w:rPr>
          <w:rStyle w:val="deletedparamark"/>
          <w:sz w:val="16"/>
          <w:szCs w:val="16"/>
        </w:rPr>
      </w:pPr>
      <w:r>
        <w:t xml:space="preserve">%token </w:t>
      </w:r>
      <w:r>
        <w:rPr>
          <w:rStyle w:val="htmlcodes"/>
        </w:rPr>
        <w:t>&lt;a name=y514&gt;</w:t>
      </w:r>
      <w:r>
        <w:t xml:space="preserve">CAhA_514 </w:t>
      </w:r>
      <w:r>
        <w:rPr>
          <w:rStyle w:val="htmlcodes"/>
        </w:rPr>
        <w:t>&lt;/a&gt;</w:t>
      </w:r>
      <w:r>
        <w:tab/>
        <w:t>/* specifies actuality/potentiality of tense */</w:t>
      </w:r>
    </w:p>
    <w:p w:rsidR="00B72047" w:rsidRDefault="00B72047">
      <w:pPr>
        <w:pStyle w:val="YACC"/>
        <w:rPr>
          <w:rStyle w:val="deletedparamark"/>
          <w:sz w:val="16"/>
          <w:szCs w:val="16"/>
        </w:rPr>
      </w:pPr>
      <w:r>
        <w:t xml:space="preserve">%token </w:t>
      </w:r>
      <w:r>
        <w:rPr>
          <w:rStyle w:val="htmlcodes"/>
        </w:rPr>
        <w:t>&lt;a name=y515&gt;</w:t>
      </w:r>
      <w:r>
        <w:t xml:space="preserve">CAI_515 </w:t>
      </w:r>
      <w:r>
        <w:rPr>
          <w:rStyle w:val="htmlcodes"/>
        </w:rPr>
        <w:t>&lt;/a&gt;</w:t>
      </w:r>
      <w:r>
        <w:tab/>
        <w:t>/* afterthought intensity marker */</w:t>
      </w:r>
    </w:p>
    <w:p w:rsidR="00B72047" w:rsidRDefault="00B72047">
      <w:pPr>
        <w:pStyle w:val="YACC"/>
        <w:rPr>
          <w:rStyle w:val="deletedparamark"/>
          <w:sz w:val="16"/>
          <w:szCs w:val="16"/>
        </w:rPr>
      </w:pPr>
      <w:r>
        <w:t xml:space="preserve">%token </w:t>
      </w:r>
      <w:r>
        <w:rPr>
          <w:rStyle w:val="htmlcodes"/>
        </w:rPr>
        <w:t>&lt;a name=y516&gt;</w:t>
      </w:r>
      <w:r>
        <w:t xml:space="preserve">CEI_516 </w:t>
      </w:r>
      <w:r>
        <w:rPr>
          <w:rStyle w:val="htmlcodes"/>
        </w:rPr>
        <w:t>&lt;/a&gt;</w:t>
      </w:r>
      <w:r>
        <w:tab/>
        <w:t>/* pro</w:t>
      </w:r>
      <w:r>
        <w:noBreakHyphen/>
        <w:t>bridi assignment operator */</w:t>
      </w:r>
    </w:p>
    <w:p w:rsidR="00B72047" w:rsidRDefault="00B72047">
      <w:pPr>
        <w:pStyle w:val="YACC"/>
        <w:rPr>
          <w:rStyle w:val="deletedparamark"/>
          <w:sz w:val="16"/>
          <w:szCs w:val="16"/>
        </w:rPr>
      </w:pPr>
      <w:r>
        <w:t xml:space="preserve">%token </w:t>
      </w:r>
      <w:r>
        <w:rPr>
          <w:rStyle w:val="htmlcodes"/>
        </w:rPr>
        <w:t>&lt;a name=y517&gt;</w:t>
      </w:r>
      <w:r>
        <w:t xml:space="preserve">CEhE_517 </w:t>
      </w:r>
      <w:r>
        <w:rPr>
          <w:rStyle w:val="htmlcodes"/>
        </w:rPr>
        <w:t>&lt;/a&gt;</w:t>
      </w:r>
      <w:r>
        <w:tab/>
        <w:t>/* afterthought term list connective */</w:t>
      </w:r>
    </w:p>
    <w:p w:rsidR="00B72047" w:rsidRDefault="00B72047">
      <w:pPr>
        <w:pStyle w:val="YACC"/>
        <w:rPr>
          <w:rStyle w:val="deletedparamark"/>
          <w:sz w:val="16"/>
          <w:szCs w:val="16"/>
        </w:rPr>
      </w:pPr>
      <w:r>
        <w:t xml:space="preserve">%token </w:t>
      </w:r>
      <w:r>
        <w:rPr>
          <w:rStyle w:val="htmlcodes"/>
        </w:rPr>
        <w:t>&lt;a name=y518&gt;</w:t>
      </w:r>
      <w:r>
        <w:t xml:space="preserve">CMENE_518 </w:t>
      </w:r>
      <w:r>
        <w:rPr>
          <w:rStyle w:val="htmlcodes"/>
        </w:rPr>
        <w:t>&lt;/a&gt;</w:t>
      </w:r>
      <w:r>
        <w:tab/>
        <w:t>/* names; require consonant end, then pause no LA or DOI sel</w:t>
      </w:r>
      <w:r>
        <w:softHyphen/>
        <w:t>ma'o embedded, pause before if vowel initial and preceded by a vowel */</w:t>
      </w:r>
    </w:p>
    <w:p w:rsidR="00B72047" w:rsidRDefault="00B72047">
      <w:pPr>
        <w:pStyle w:val="YACC"/>
        <w:rPr>
          <w:rStyle w:val="deletedparamark"/>
          <w:sz w:val="16"/>
          <w:szCs w:val="16"/>
        </w:rPr>
      </w:pPr>
      <w:r>
        <w:t xml:space="preserve">%token </w:t>
      </w:r>
      <w:r>
        <w:rPr>
          <w:rStyle w:val="htmlcodes"/>
        </w:rPr>
        <w:t>&lt;a name=y519&gt;</w:t>
      </w:r>
      <w:r>
        <w:t xml:space="preserve">CO_519 </w:t>
      </w:r>
      <w:r>
        <w:rPr>
          <w:rStyle w:val="htmlcodes"/>
        </w:rPr>
        <w:t>&lt;/a&gt;</w:t>
      </w:r>
      <w:r>
        <w:tab/>
        <w:t>/* tanru inversion */</w:t>
      </w:r>
    </w:p>
    <w:p w:rsidR="00B72047" w:rsidRDefault="00B72047">
      <w:pPr>
        <w:pStyle w:val="YACC"/>
        <w:rPr>
          <w:rStyle w:val="deletedparamark"/>
          <w:sz w:val="16"/>
          <w:szCs w:val="16"/>
        </w:rPr>
      </w:pPr>
      <w:r>
        <w:t xml:space="preserve">%token </w:t>
      </w:r>
      <w:r>
        <w:rPr>
          <w:rStyle w:val="htmlcodes"/>
        </w:rPr>
        <w:t>&lt;a name=y520&gt;</w:t>
      </w:r>
      <w:r>
        <w:t xml:space="preserve">COI_520 </w:t>
      </w:r>
      <w:r>
        <w:rPr>
          <w:rStyle w:val="htmlcodes"/>
        </w:rPr>
        <w:t>&lt;/a&gt;</w:t>
      </w:r>
      <w:r>
        <w:tab/>
        <w:t>/* vocative marker permitted inside names; must always be fol</w:t>
      </w:r>
      <w:r>
        <w:softHyphen/>
        <w:t>lowed by pause or DOI */</w:t>
      </w:r>
    </w:p>
    <w:p w:rsidR="00B72047" w:rsidRDefault="00B72047">
      <w:pPr>
        <w:pStyle w:val="YACC"/>
        <w:rPr>
          <w:rStyle w:val="deletedparamark"/>
          <w:sz w:val="16"/>
          <w:szCs w:val="16"/>
        </w:rPr>
      </w:pPr>
      <w:r>
        <w:t xml:space="preserve">%token </w:t>
      </w:r>
      <w:r>
        <w:rPr>
          <w:rStyle w:val="htmlcodes"/>
        </w:rPr>
        <w:t>&lt;a name=y521&gt;</w:t>
      </w:r>
      <w:r>
        <w:t xml:space="preserve">CU_521 </w:t>
      </w:r>
      <w:r>
        <w:rPr>
          <w:rStyle w:val="htmlcodes"/>
        </w:rPr>
        <w:t>&lt;/a&gt;</w:t>
      </w:r>
      <w:r>
        <w:tab/>
        <w:t>/* separator between head sumti and selbri */</w:t>
      </w:r>
    </w:p>
    <w:p w:rsidR="00B72047" w:rsidRDefault="00B72047">
      <w:pPr>
        <w:pStyle w:val="YACC"/>
        <w:rPr>
          <w:rStyle w:val="deletedparamark"/>
          <w:sz w:val="16"/>
          <w:szCs w:val="16"/>
        </w:rPr>
      </w:pPr>
      <w:r>
        <w:t xml:space="preserve">%token </w:t>
      </w:r>
      <w:r>
        <w:rPr>
          <w:rStyle w:val="htmlcodes"/>
        </w:rPr>
        <w:t>&lt;a name=y522&gt;</w:t>
      </w:r>
      <w:r>
        <w:t xml:space="preserve">CUhE_522 </w:t>
      </w:r>
      <w:r>
        <w:rPr>
          <w:rStyle w:val="htmlcodes"/>
        </w:rPr>
        <w:t>&lt;/a&gt;</w:t>
      </w:r>
      <w:r>
        <w:tab/>
        <w:t>/* tense/modal question */</w:t>
      </w:r>
    </w:p>
    <w:p w:rsidR="00B72047" w:rsidRDefault="00B72047">
      <w:pPr>
        <w:pStyle w:val="YACC"/>
        <w:rPr>
          <w:rStyle w:val="deletedparamark"/>
          <w:sz w:val="16"/>
          <w:szCs w:val="16"/>
        </w:rPr>
      </w:pPr>
      <w:r>
        <w:t xml:space="preserve">%token </w:t>
      </w:r>
      <w:r>
        <w:rPr>
          <w:rStyle w:val="htmlcodes"/>
        </w:rPr>
        <w:t>&lt;a name=y524&gt;</w:t>
      </w:r>
      <w:r>
        <w:t xml:space="preserve">DAhO_524 </w:t>
      </w:r>
      <w:r>
        <w:rPr>
          <w:rStyle w:val="htmlcodes"/>
        </w:rPr>
        <w:t>&lt;/a&gt;</w:t>
      </w:r>
      <w:r>
        <w:tab/>
        <w:t>/* cancel anaphora/cataphora assignments */</w:t>
      </w:r>
    </w:p>
    <w:p w:rsidR="00B72047" w:rsidRDefault="00B72047">
      <w:pPr>
        <w:pStyle w:val="YACC"/>
        <w:rPr>
          <w:rStyle w:val="deletedparamark"/>
          <w:sz w:val="16"/>
          <w:szCs w:val="16"/>
        </w:rPr>
      </w:pPr>
      <w:r>
        <w:t xml:space="preserve">%token </w:t>
      </w:r>
      <w:r>
        <w:rPr>
          <w:rStyle w:val="htmlcodes"/>
        </w:rPr>
        <w:t>&lt;a name=y525&gt;</w:t>
      </w:r>
      <w:r>
        <w:t xml:space="preserve">DOI_525 </w:t>
      </w:r>
      <w:r>
        <w:rPr>
          <w:rStyle w:val="htmlcodes"/>
        </w:rPr>
        <w:t>&lt;/a&gt;</w:t>
      </w:r>
      <w:r>
        <w:tab/>
        <w:t>/* vocative marker */</w:t>
      </w:r>
    </w:p>
    <w:p w:rsidR="00B72047" w:rsidRDefault="00B72047">
      <w:pPr>
        <w:pStyle w:val="YACC"/>
        <w:rPr>
          <w:rStyle w:val="deletedparamark"/>
          <w:sz w:val="16"/>
          <w:szCs w:val="16"/>
        </w:rPr>
      </w:pPr>
      <w:r>
        <w:t xml:space="preserve">%token </w:t>
      </w:r>
      <w:r>
        <w:rPr>
          <w:rStyle w:val="htmlcodes"/>
        </w:rPr>
        <w:t>&lt;a name=y526&gt;</w:t>
      </w:r>
      <w:r>
        <w:t xml:space="preserve">DOhU_526 </w:t>
      </w:r>
      <w:r>
        <w:rPr>
          <w:rStyle w:val="htmlcodes"/>
        </w:rPr>
        <w:t>&lt;/a&gt;</w:t>
      </w:r>
      <w:r>
        <w:tab/>
        <w:t>/* terminator for DOI</w:t>
      </w:r>
      <w:r>
        <w:noBreakHyphen/>
        <w:t>marked vocatives */</w:t>
      </w:r>
    </w:p>
    <w:p w:rsidR="00B72047" w:rsidRDefault="00B72047">
      <w:pPr>
        <w:pStyle w:val="YACC"/>
        <w:rPr>
          <w:rStyle w:val="deletedparamark"/>
          <w:sz w:val="16"/>
          <w:szCs w:val="16"/>
        </w:rPr>
      </w:pPr>
      <w:r>
        <w:t xml:space="preserve">%token </w:t>
      </w:r>
      <w:r>
        <w:rPr>
          <w:rStyle w:val="htmlcodes"/>
        </w:rPr>
        <w:t>&lt;a name=y527&gt;</w:t>
      </w:r>
      <w:r>
        <w:t xml:space="preserve">FA_527 </w:t>
      </w:r>
      <w:r>
        <w:rPr>
          <w:rStyle w:val="htmlcodes"/>
        </w:rPr>
        <w:t>&lt;/a&gt;</w:t>
      </w:r>
      <w:r>
        <w:tab/>
        <w:t>/* modifier head generic case tag */</w:t>
      </w:r>
    </w:p>
    <w:p w:rsidR="00B72047" w:rsidRDefault="00B72047">
      <w:pPr>
        <w:pStyle w:val="YACC"/>
        <w:rPr>
          <w:rStyle w:val="deletedparamark"/>
          <w:sz w:val="16"/>
          <w:szCs w:val="16"/>
        </w:rPr>
      </w:pPr>
      <w:r>
        <w:t xml:space="preserve">%token </w:t>
      </w:r>
      <w:r>
        <w:rPr>
          <w:rStyle w:val="htmlcodes"/>
        </w:rPr>
        <w:t>&lt;a name=y528&gt;</w:t>
      </w:r>
      <w:r>
        <w:t xml:space="preserve">FAhA_528 </w:t>
      </w:r>
      <w:r>
        <w:rPr>
          <w:rStyle w:val="htmlcodes"/>
        </w:rPr>
        <w:t>&lt;/a&gt;</w:t>
      </w:r>
      <w:r>
        <w:tab/>
        <w:t>/* superdirections in space */</w:t>
      </w:r>
    </w:p>
    <w:p w:rsidR="00B72047" w:rsidRDefault="00B72047">
      <w:pPr>
        <w:pStyle w:val="YACC"/>
        <w:rPr>
          <w:rStyle w:val="deletedparamark"/>
          <w:sz w:val="16"/>
          <w:szCs w:val="16"/>
        </w:rPr>
      </w:pPr>
      <w:r>
        <w:t xml:space="preserve">%token </w:t>
      </w:r>
      <w:r>
        <w:rPr>
          <w:rStyle w:val="htmlcodes"/>
        </w:rPr>
        <w:t>&lt;a name=y529&gt;</w:t>
      </w:r>
      <w:r>
        <w:t xml:space="preserve">FAhO_529 </w:t>
      </w:r>
      <w:r>
        <w:rPr>
          <w:rStyle w:val="htmlcodes"/>
        </w:rPr>
        <w:t>&lt;/a&gt;</w:t>
      </w:r>
      <w:r>
        <w:tab/>
        <w:t>/* normally elided 'done pause' to indicate end of utterance string */</w:t>
      </w:r>
    </w:p>
    <w:p w:rsidR="00B72047" w:rsidRDefault="00B72047">
      <w:pPr>
        <w:pStyle w:val="YACC"/>
        <w:rPr>
          <w:rStyle w:val="deletedparamark"/>
          <w:sz w:val="16"/>
          <w:szCs w:val="16"/>
        </w:rPr>
      </w:pPr>
      <w:r>
        <w:t xml:space="preserve">%token </w:t>
      </w:r>
      <w:r>
        <w:rPr>
          <w:rStyle w:val="htmlcodes"/>
        </w:rPr>
        <w:t>&lt;a name=y530&gt;</w:t>
      </w:r>
      <w:r>
        <w:t xml:space="preserve">FEhE_530 </w:t>
      </w:r>
      <w:r>
        <w:rPr>
          <w:rStyle w:val="htmlcodes"/>
        </w:rPr>
        <w:t>&lt;/a&gt;</w:t>
      </w:r>
      <w:r>
        <w:tab/>
        <w:t>/* space interval mod flag */</w:t>
      </w:r>
    </w:p>
    <w:p w:rsidR="00B72047" w:rsidRDefault="00B72047">
      <w:pPr>
        <w:pStyle w:val="YACC"/>
        <w:rPr>
          <w:rStyle w:val="deletedparamark"/>
          <w:sz w:val="16"/>
          <w:szCs w:val="16"/>
        </w:rPr>
      </w:pPr>
      <w:r>
        <w:t xml:space="preserve">%token </w:t>
      </w:r>
      <w:r>
        <w:rPr>
          <w:rStyle w:val="htmlcodes"/>
        </w:rPr>
        <w:t>&lt;a name=y531&gt;</w:t>
      </w:r>
      <w:r>
        <w:t xml:space="preserve">FEhU_531 </w:t>
      </w:r>
      <w:r>
        <w:rPr>
          <w:rStyle w:val="htmlcodes"/>
        </w:rPr>
        <w:t>&lt;/a&gt;</w:t>
      </w:r>
      <w:r>
        <w:tab/>
        <w:t>/* ends bridi to modal conversion */</w:t>
      </w:r>
    </w:p>
    <w:p w:rsidR="00B72047" w:rsidRDefault="00B72047">
      <w:pPr>
        <w:pStyle w:val="YACC"/>
        <w:rPr>
          <w:rStyle w:val="deletedparamark"/>
          <w:sz w:val="16"/>
          <w:szCs w:val="16"/>
        </w:rPr>
      </w:pPr>
      <w:r>
        <w:t xml:space="preserve">%token </w:t>
      </w:r>
      <w:r>
        <w:rPr>
          <w:rStyle w:val="htmlcodes"/>
        </w:rPr>
        <w:t>&lt;a name=y532&gt;</w:t>
      </w:r>
      <w:r>
        <w:t xml:space="preserve">FIhO_532 </w:t>
      </w:r>
      <w:r>
        <w:rPr>
          <w:rStyle w:val="htmlcodes"/>
        </w:rPr>
        <w:t>&lt;/a&gt;</w:t>
      </w:r>
      <w:r>
        <w:tab/>
        <w:t>/* marks bridi to modal conversion */</w:t>
      </w:r>
    </w:p>
    <w:p w:rsidR="00B72047" w:rsidRDefault="00B72047">
      <w:pPr>
        <w:pStyle w:val="YACC"/>
        <w:rPr>
          <w:rStyle w:val="deletedparamark"/>
          <w:sz w:val="16"/>
          <w:szCs w:val="16"/>
        </w:rPr>
      </w:pPr>
      <w:r>
        <w:t xml:space="preserve">%token </w:t>
      </w:r>
      <w:r>
        <w:rPr>
          <w:rStyle w:val="htmlcodes"/>
        </w:rPr>
        <w:t>&lt;a name=y533&gt;</w:t>
      </w:r>
      <w:r>
        <w:t xml:space="preserve">FOI_533 </w:t>
      </w:r>
      <w:r>
        <w:rPr>
          <w:rStyle w:val="htmlcodes"/>
        </w:rPr>
        <w:t>&lt;/a&gt;</w:t>
      </w:r>
      <w:r>
        <w:tab/>
        <w:t>/* end compound lerfu */</w:t>
      </w:r>
    </w:p>
    <w:p w:rsidR="00B72047" w:rsidRDefault="00B72047">
      <w:pPr>
        <w:pStyle w:val="YACC"/>
        <w:rPr>
          <w:rStyle w:val="deletedparamark"/>
          <w:sz w:val="16"/>
          <w:szCs w:val="16"/>
        </w:rPr>
      </w:pPr>
      <w:r>
        <w:t xml:space="preserve">%token </w:t>
      </w:r>
      <w:r>
        <w:rPr>
          <w:rStyle w:val="htmlcodes"/>
        </w:rPr>
        <w:t>&lt;a name=y535&gt;</w:t>
      </w:r>
      <w:r>
        <w:t xml:space="preserve">FUhE_535 </w:t>
      </w:r>
      <w:r>
        <w:rPr>
          <w:rStyle w:val="htmlcodes"/>
        </w:rPr>
        <w:t>&lt;/a&gt;</w:t>
      </w:r>
      <w:r>
        <w:tab/>
        <w:t>/* open long scope for indicator */</w:t>
      </w:r>
    </w:p>
    <w:p w:rsidR="00B72047" w:rsidRDefault="00B72047">
      <w:pPr>
        <w:pStyle w:val="YACC"/>
        <w:rPr>
          <w:rStyle w:val="deletedparamark"/>
          <w:sz w:val="16"/>
          <w:szCs w:val="16"/>
        </w:rPr>
      </w:pPr>
      <w:r>
        <w:t xml:space="preserve">%token </w:t>
      </w:r>
      <w:r>
        <w:rPr>
          <w:rStyle w:val="htmlcodes"/>
        </w:rPr>
        <w:t>&lt;a name=y536&gt;</w:t>
      </w:r>
      <w:r>
        <w:t xml:space="preserve">FUhO_536 </w:t>
      </w:r>
      <w:r>
        <w:rPr>
          <w:rStyle w:val="htmlcodes"/>
        </w:rPr>
        <w:t>&lt;/a&gt;</w:t>
      </w:r>
      <w:r>
        <w:tab/>
        <w:t>/* close long scope for indicator */</w:t>
      </w:r>
    </w:p>
    <w:p w:rsidR="00B72047" w:rsidRDefault="00B72047">
      <w:pPr>
        <w:pStyle w:val="YACC"/>
        <w:rPr>
          <w:rStyle w:val="deletedparamark"/>
          <w:sz w:val="16"/>
          <w:szCs w:val="16"/>
        </w:rPr>
      </w:pPr>
      <w:r>
        <w:t xml:space="preserve">%token </w:t>
      </w:r>
      <w:r>
        <w:rPr>
          <w:rStyle w:val="htmlcodes"/>
        </w:rPr>
        <w:t>&lt;a name=y537&gt;</w:t>
      </w:r>
      <w:r>
        <w:t xml:space="preserve">GA_537 </w:t>
      </w:r>
      <w:r>
        <w:rPr>
          <w:rStyle w:val="htmlcodes"/>
        </w:rPr>
        <w:t>&lt;/a&gt;</w:t>
      </w:r>
      <w:r>
        <w:tab/>
        <w:t>/* geks; forethought logical connectives */</w:t>
      </w:r>
    </w:p>
    <w:p w:rsidR="00B72047" w:rsidRDefault="00B72047">
      <w:pPr>
        <w:pStyle w:val="YACC"/>
        <w:rPr>
          <w:rStyle w:val="deletedparamark"/>
          <w:sz w:val="16"/>
          <w:szCs w:val="16"/>
        </w:rPr>
      </w:pPr>
      <w:r>
        <w:t xml:space="preserve">%token </w:t>
      </w:r>
      <w:r>
        <w:rPr>
          <w:rStyle w:val="htmlcodes"/>
        </w:rPr>
        <w:t>&lt;a name=y538&gt;</w:t>
      </w:r>
      <w:r>
        <w:t xml:space="preserve">GEhU_538 </w:t>
      </w:r>
      <w:r>
        <w:rPr>
          <w:rStyle w:val="htmlcodes"/>
        </w:rPr>
        <w:t>&lt;/a&gt;</w:t>
      </w:r>
      <w:r>
        <w:tab/>
        <w:t>/* marker ending GOI relative clauses */</w:t>
      </w:r>
    </w:p>
    <w:p w:rsidR="00B72047" w:rsidRDefault="00B72047">
      <w:pPr>
        <w:pStyle w:val="YACC"/>
        <w:rPr>
          <w:rStyle w:val="deletedparamark"/>
          <w:sz w:val="16"/>
          <w:szCs w:val="16"/>
        </w:rPr>
      </w:pPr>
      <w:r>
        <w:t xml:space="preserve">%token </w:t>
      </w:r>
      <w:r>
        <w:rPr>
          <w:rStyle w:val="htmlcodes"/>
        </w:rPr>
        <w:t>&lt;a name=y539&gt;</w:t>
      </w:r>
      <w:r>
        <w:t xml:space="preserve">GI_539 </w:t>
      </w:r>
      <w:r>
        <w:rPr>
          <w:rStyle w:val="htmlcodes"/>
        </w:rPr>
        <w:t>&lt;/a&gt;</w:t>
      </w:r>
      <w:r>
        <w:tab/>
        <w:t>/* forethought medial marker */</w:t>
      </w:r>
    </w:p>
    <w:p w:rsidR="00B72047" w:rsidRDefault="00B72047">
      <w:pPr>
        <w:pStyle w:val="YACC"/>
        <w:rPr>
          <w:rStyle w:val="deletedparamark"/>
          <w:sz w:val="16"/>
          <w:szCs w:val="16"/>
        </w:rPr>
      </w:pPr>
      <w:r>
        <w:t xml:space="preserve">%token </w:t>
      </w:r>
      <w:r>
        <w:rPr>
          <w:rStyle w:val="htmlcodes"/>
        </w:rPr>
        <w:t>&lt;a name=y541&gt;</w:t>
      </w:r>
      <w:r>
        <w:t xml:space="preserve">GIhA_541 </w:t>
      </w:r>
      <w:r>
        <w:rPr>
          <w:rStyle w:val="htmlcodes"/>
        </w:rPr>
        <w:t>&lt;/a&gt;</w:t>
      </w:r>
      <w:r>
        <w:tab/>
        <w:t>/* logical connectives for bridi</w:t>
      </w:r>
      <w:r>
        <w:noBreakHyphen/>
        <w:t>tails */</w:t>
      </w:r>
    </w:p>
    <w:p w:rsidR="00B72047" w:rsidRDefault="00B72047">
      <w:pPr>
        <w:pStyle w:val="YACC"/>
        <w:rPr>
          <w:rStyle w:val="deletedparamark"/>
          <w:sz w:val="16"/>
          <w:szCs w:val="16"/>
        </w:rPr>
      </w:pPr>
      <w:r>
        <w:t xml:space="preserve">%token </w:t>
      </w:r>
      <w:r>
        <w:rPr>
          <w:rStyle w:val="htmlcodes"/>
        </w:rPr>
        <w:t>&lt;a name=y542&gt;</w:t>
      </w:r>
      <w:r>
        <w:t xml:space="preserve">GOI_542   </w:t>
      </w:r>
      <w:r>
        <w:rPr>
          <w:rStyle w:val="htmlcodes"/>
        </w:rPr>
        <w:t>&lt;/a&gt;</w:t>
      </w:r>
      <w:r>
        <w:tab/>
        <w:t>/* attaches a sumti modifier to a sumti */</w:t>
      </w:r>
    </w:p>
    <w:p w:rsidR="00B72047" w:rsidRDefault="00B72047">
      <w:pPr>
        <w:pStyle w:val="YACC"/>
        <w:rPr>
          <w:rStyle w:val="deletedparamark"/>
          <w:sz w:val="16"/>
          <w:szCs w:val="16"/>
        </w:rPr>
      </w:pPr>
      <w:r>
        <w:t xml:space="preserve">%token </w:t>
      </w:r>
      <w:r>
        <w:rPr>
          <w:rStyle w:val="htmlcodes"/>
        </w:rPr>
        <w:t>&lt;a name=y543&gt;</w:t>
      </w:r>
      <w:r>
        <w:t xml:space="preserve">GOhA_543  </w:t>
      </w:r>
      <w:r>
        <w:rPr>
          <w:rStyle w:val="htmlcodes"/>
        </w:rPr>
        <w:t>&lt;/a&gt;</w:t>
      </w:r>
      <w:r>
        <w:tab/>
        <w:t>/* pro</w:t>
      </w:r>
      <w:r>
        <w:noBreakHyphen/>
        <w:t>bridi */</w:t>
      </w:r>
    </w:p>
    <w:p w:rsidR="00B72047" w:rsidRDefault="00B72047">
      <w:pPr>
        <w:pStyle w:val="YACC"/>
        <w:rPr>
          <w:rStyle w:val="deletedparamark"/>
          <w:sz w:val="16"/>
          <w:szCs w:val="16"/>
        </w:rPr>
      </w:pPr>
      <w:r>
        <w:t xml:space="preserve">%token </w:t>
      </w:r>
      <w:r>
        <w:rPr>
          <w:rStyle w:val="htmlcodes"/>
        </w:rPr>
        <w:t>&lt;a name=y544&gt;</w:t>
      </w:r>
      <w:r>
        <w:t xml:space="preserve">GUhA_544  </w:t>
      </w:r>
      <w:r>
        <w:rPr>
          <w:rStyle w:val="htmlcodes"/>
        </w:rPr>
        <w:t>&lt;/a&gt;</w:t>
      </w:r>
      <w:r>
        <w:tab/>
        <w:t>/* GEK for tanru units, corresponds to JEKs */</w:t>
      </w:r>
    </w:p>
    <w:p w:rsidR="00B72047" w:rsidRDefault="00B72047">
      <w:pPr>
        <w:pStyle w:val="YACC"/>
        <w:rPr>
          <w:rStyle w:val="deletedparamark"/>
          <w:sz w:val="16"/>
          <w:szCs w:val="16"/>
        </w:rPr>
      </w:pPr>
      <w:r>
        <w:t xml:space="preserve">%token </w:t>
      </w:r>
      <w:r>
        <w:rPr>
          <w:rStyle w:val="htmlcodes"/>
        </w:rPr>
        <w:t>&lt;a name=y545&gt;</w:t>
      </w:r>
      <w:r>
        <w:t xml:space="preserve">I_545  </w:t>
      </w:r>
      <w:r>
        <w:rPr>
          <w:rStyle w:val="htmlcodes"/>
        </w:rPr>
        <w:t>&lt;/a&gt;</w:t>
      </w:r>
      <w:r>
        <w:tab/>
        <w:t>/* sentence link */</w:t>
      </w:r>
    </w:p>
    <w:p w:rsidR="00B72047" w:rsidRDefault="00B72047">
      <w:pPr>
        <w:pStyle w:val="YACC"/>
        <w:rPr>
          <w:rStyle w:val="deletedparamark"/>
          <w:sz w:val="16"/>
          <w:szCs w:val="16"/>
        </w:rPr>
      </w:pPr>
      <w:r>
        <w:t xml:space="preserve">%token </w:t>
      </w:r>
      <w:r>
        <w:rPr>
          <w:rStyle w:val="htmlcodes"/>
        </w:rPr>
        <w:t>&lt;a name=y546&gt;</w:t>
      </w:r>
      <w:r>
        <w:t xml:space="preserve">JA_546  </w:t>
      </w:r>
      <w:r>
        <w:rPr>
          <w:rStyle w:val="htmlcodes"/>
        </w:rPr>
        <w:t>&lt;/a&gt;</w:t>
      </w:r>
      <w:r>
        <w:tab/>
        <w:t>/* jeks; logical connectives within tanru */</w:t>
      </w:r>
    </w:p>
    <w:p w:rsidR="00B72047" w:rsidRDefault="00B72047">
      <w:pPr>
        <w:pStyle w:val="YACC"/>
        <w:rPr>
          <w:rStyle w:val="deletedparamark"/>
          <w:sz w:val="16"/>
          <w:szCs w:val="16"/>
        </w:rPr>
      </w:pPr>
      <w:r>
        <w:t xml:space="preserve">%token </w:t>
      </w:r>
      <w:r>
        <w:rPr>
          <w:rStyle w:val="htmlcodes"/>
        </w:rPr>
        <w:t>&lt;a name=y547&gt;</w:t>
      </w:r>
      <w:r>
        <w:t xml:space="preserve">JAI_547  </w:t>
      </w:r>
      <w:r>
        <w:rPr>
          <w:rStyle w:val="htmlcodes"/>
        </w:rPr>
        <w:t>&lt;/a&gt;</w:t>
      </w:r>
      <w:r>
        <w:tab/>
        <w:t>/* modal conversion flag */</w:t>
      </w:r>
    </w:p>
    <w:p w:rsidR="00B72047" w:rsidRDefault="00B72047">
      <w:pPr>
        <w:pStyle w:val="YACC"/>
        <w:rPr>
          <w:rStyle w:val="deletedparamark"/>
          <w:sz w:val="16"/>
          <w:szCs w:val="16"/>
        </w:rPr>
      </w:pPr>
      <w:r>
        <w:t xml:space="preserve">%token </w:t>
      </w:r>
      <w:r>
        <w:rPr>
          <w:rStyle w:val="htmlcodes"/>
        </w:rPr>
        <w:t>&lt;a name=y548&gt;</w:t>
      </w:r>
      <w:r>
        <w:t xml:space="preserve">JOI_548  </w:t>
      </w:r>
      <w:r>
        <w:rPr>
          <w:rStyle w:val="htmlcodes"/>
        </w:rPr>
        <w:t>&lt;/a&gt;</w:t>
      </w:r>
      <w:r>
        <w:tab/>
        <w:t>/* non</w:t>
      </w:r>
      <w:r>
        <w:noBreakHyphen/>
        <w:t>logical connectives */</w:t>
      </w:r>
    </w:p>
    <w:p w:rsidR="00B72047" w:rsidRDefault="00B72047">
      <w:pPr>
        <w:pStyle w:val="YACC"/>
        <w:rPr>
          <w:rStyle w:val="deletedparamark"/>
          <w:sz w:val="16"/>
          <w:szCs w:val="16"/>
        </w:rPr>
      </w:pPr>
      <w:r>
        <w:t xml:space="preserve">%token </w:t>
      </w:r>
      <w:r>
        <w:rPr>
          <w:rStyle w:val="htmlcodes"/>
        </w:rPr>
        <w:t>&lt;a name=y550&gt;</w:t>
      </w:r>
      <w:r>
        <w:t xml:space="preserve">KEhE_550   </w:t>
      </w:r>
      <w:r>
        <w:rPr>
          <w:rStyle w:val="htmlcodes"/>
        </w:rPr>
        <w:t>&lt;/a&gt;</w:t>
      </w:r>
      <w:r>
        <w:tab/>
        <w:t>/* right terminator for KE groups */</w:t>
      </w:r>
    </w:p>
    <w:p w:rsidR="00B72047" w:rsidRDefault="00B72047">
      <w:pPr>
        <w:pStyle w:val="YACC"/>
        <w:rPr>
          <w:rStyle w:val="deletedparamark"/>
          <w:sz w:val="16"/>
          <w:szCs w:val="16"/>
        </w:rPr>
      </w:pPr>
      <w:r>
        <w:t xml:space="preserve">%token </w:t>
      </w:r>
      <w:r>
        <w:rPr>
          <w:rStyle w:val="htmlcodes"/>
        </w:rPr>
        <w:t>&lt;a name=y551&gt;</w:t>
      </w:r>
      <w:r>
        <w:t xml:space="preserve">KE_551   </w:t>
      </w:r>
      <w:r>
        <w:rPr>
          <w:rStyle w:val="htmlcodes"/>
        </w:rPr>
        <w:t>&lt;/a&gt;</w:t>
      </w:r>
      <w:r>
        <w:tab/>
        <w:t>/* left long scope marker */</w:t>
      </w:r>
    </w:p>
    <w:p w:rsidR="00B72047" w:rsidRDefault="00B72047">
      <w:pPr>
        <w:pStyle w:val="YACC"/>
        <w:rPr>
          <w:rStyle w:val="deletedparamark"/>
          <w:sz w:val="16"/>
          <w:szCs w:val="16"/>
        </w:rPr>
      </w:pPr>
      <w:r>
        <w:t xml:space="preserve">%token </w:t>
      </w:r>
      <w:r>
        <w:rPr>
          <w:rStyle w:val="htmlcodes"/>
        </w:rPr>
        <w:t>&lt;a name=y552&gt;</w:t>
      </w:r>
      <w:r>
        <w:t xml:space="preserve">KEI_552   </w:t>
      </w:r>
      <w:r>
        <w:rPr>
          <w:rStyle w:val="htmlcodes"/>
        </w:rPr>
        <w:t>&lt;/a&gt;</w:t>
      </w:r>
      <w:r>
        <w:tab/>
        <w:t>/* right terminator, NU abstractions */</w:t>
      </w:r>
    </w:p>
    <w:p w:rsidR="00B72047" w:rsidRDefault="00B72047">
      <w:pPr>
        <w:pStyle w:val="YACC"/>
        <w:rPr>
          <w:rStyle w:val="deletedparamark"/>
          <w:sz w:val="16"/>
          <w:szCs w:val="16"/>
        </w:rPr>
      </w:pPr>
      <w:r>
        <w:t xml:space="preserve">%token </w:t>
      </w:r>
      <w:r>
        <w:rPr>
          <w:rStyle w:val="htmlcodes"/>
        </w:rPr>
        <w:t>&lt;a name=y554&gt;</w:t>
      </w:r>
      <w:r>
        <w:t xml:space="preserve">KI_554  </w:t>
      </w:r>
      <w:r>
        <w:rPr>
          <w:rStyle w:val="htmlcodes"/>
        </w:rPr>
        <w:t>&lt;/a&gt;</w:t>
      </w:r>
      <w:r>
        <w:tab/>
        <w:t>/* multiple utterance scope for tenses */</w:t>
      </w:r>
    </w:p>
    <w:p w:rsidR="00B72047" w:rsidRDefault="00B72047">
      <w:pPr>
        <w:pStyle w:val="YACC"/>
        <w:rPr>
          <w:rStyle w:val="deletedparamark"/>
          <w:sz w:val="16"/>
          <w:szCs w:val="16"/>
        </w:rPr>
      </w:pPr>
      <w:r>
        <w:t xml:space="preserve">%token </w:t>
      </w:r>
      <w:r>
        <w:rPr>
          <w:rStyle w:val="htmlcodes"/>
        </w:rPr>
        <w:t>&lt;a name=y555&gt;</w:t>
      </w:r>
      <w:r>
        <w:t xml:space="preserve">KOhA_555  </w:t>
      </w:r>
      <w:r>
        <w:rPr>
          <w:rStyle w:val="htmlcodes"/>
        </w:rPr>
        <w:t>&lt;/a&gt;</w:t>
      </w:r>
      <w:r>
        <w:tab/>
        <w:t>/* sumti anaphora */</w:t>
      </w:r>
    </w:p>
    <w:p w:rsidR="00B72047" w:rsidRDefault="00B72047">
      <w:pPr>
        <w:pStyle w:val="YACC"/>
        <w:rPr>
          <w:rStyle w:val="deletedparamark"/>
          <w:sz w:val="16"/>
          <w:szCs w:val="16"/>
        </w:rPr>
      </w:pPr>
      <w:r>
        <w:t xml:space="preserve">%token </w:t>
      </w:r>
      <w:r>
        <w:rPr>
          <w:rStyle w:val="htmlcodes"/>
        </w:rPr>
        <w:t>&lt;a name=y556&gt;</w:t>
      </w:r>
      <w:r>
        <w:t xml:space="preserve">KU_556  </w:t>
      </w:r>
      <w:r>
        <w:rPr>
          <w:rStyle w:val="htmlcodes"/>
        </w:rPr>
        <w:t>&lt;/a&gt;</w:t>
      </w:r>
      <w:r>
        <w:tab/>
        <w:t>/* right terminator for descriptions, etc. */</w:t>
      </w:r>
    </w:p>
    <w:p w:rsidR="00B72047" w:rsidRDefault="00B72047">
      <w:pPr>
        <w:pStyle w:val="YACC"/>
        <w:rPr>
          <w:rStyle w:val="deletedparamark"/>
          <w:sz w:val="16"/>
          <w:szCs w:val="16"/>
        </w:rPr>
      </w:pPr>
      <w:r>
        <w:t xml:space="preserve">%token </w:t>
      </w:r>
      <w:r>
        <w:rPr>
          <w:rStyle w:val="htmlcodes"/>
        </w:rPr>
        <w:t>&lt;a name=y557&gt;</w:t>
      </w:r>
      <w:r>
        <w:t xml:space="preserve">KUhO_557  </w:t>
      </w:r>
      <w:r>
        <w:rPr>
          <w:rStyle w:val="htmlcodes"/>
        </w:rPr>
        <w:t>&lt;/a&gt;</w:t>
      </w:r>
      <w:r>
        <w:tab/>
        <w:t>/* right terminator, NOI relative clauses */</w:t>
      </w:r>
    </w:p>
    <w:p w:rsidR="00B72047" w:rsidRDefault="00B72047">
      <w:pPr>
        <w:pStyle w:val="YACC"/>
        <w:rPr>
          <w:rStyle w:val="deletedparamark"/>
          <w:sz w:val="16"/>
          <w:szCs w:val="16"/>
        </w:rPr>
      </w:pPr>
      <w:r>
        <w:t xml:space="preserve">%token </w:t>
      </w:r>
      <w:r>
        <w:rPr>
          <w:rStyle w:val="htmlcodes"/>
        </w:rPr>
        <w:t>&lt;a name=y558&gt;</w:t>
      </w:r>
      <w:r>
        <w:t xml:space="preserve">LA_558  </w:t>
      </w:r>
      <w:r>
        <w:rPr>
          <w:rStyle w:val="htmlcodes"/>
        </w:rPr>
        <w:t>&lt;/a&gt;</w:t>
      </w:r>
      <w:r>
        <w:tab/>
        <w:t>/* name descriptors */</w:t>
      </w:r>
    </w:p>
    <w:p w:rsidR="00B72047" w:rsidRDefault="00B72047">
      <w:pPr>
        <w:pStyle w:val="YACC"/>
        <w:rPr>
          <w:rStyle w:val="deletedparamark"/>
          <w:sz w:val="16"/>
          <w:szCs w:val="16"/>
        </w:rPr>
      </w:pPr>
      <w:r>
        <w:t xml:space="preserve">%token </w:t>
      </w:r>
      <w:r>
        <w:rPr>
          <w:rStyle w:val="htmlcodes"/>
        </w:rPr>
        <w:t>&lt;a name=y559&gt;</w:t>
      </w:r>
      <w:r>
        <w:t xml:space="preserve">LAU_559  </w:t>
      </w:r>
      <w:r>
        <w:rPr>
          <w:rStyle w:val="htmlcodes"/>
        </w:rPr>
        <w:t>&lt;/a&gt;</w:t>
      </w:r>
      <w:r>
        <w:tab/>
        <w:t>/* lerfu prefixes */</w:t>
      </w:r>
    </w:p>
    <w:p w:rsidR="00B72047" w:rsidRDefault="00B72047">
      <w:pPr>
        <w:pStyle w:val="YACC"/>
        <w:rPr>
          <w:rStyle w:val="deletedparamark"/>
          <w:sz w:val="16"/>
          <w:szCs w:val="16"/>
        </w:rPr>
      </w:pPr>
      <w:r>
        <w:t xml:space="preserve">%token </w:t>
      </w:r>
      <w:r>
        <w:rPr>
          <w:rStyle w:val="htmlcodes"/>
        </w:rPr>
        <w:t>&lt;a name=y561&gt;</w:t>
      </w:r>
      <w:r>
        <w:t xml:space="preserve">LAhE_561   </w:t>
      </w:r>
      <w:r>
        <w:rPr>
          <w:rStyle w:val="htmlcodes"/>
        </w:rPr>
        <w:t>&lt;/a&gt;</w:t>
      </w:r>
      <w:r>
        <w:tab/>
        <w:t>/* sumti qualifiers */</w:t>
      </w:r>
    </w:p>
    <w:p w:rsidR="00B72047" w:rsidRDefault="00B72047">
      <w:pPr>
        <w:pStyle w:val="YACC"/>
        <w:rPr>
          <w:rStyle w:val="deletedparamark"/>
          <w:sz w:val="16"/>
          <w:szCs w:val="16"/>
        </w:rPr>
      </w:pPr>
      <w:r>
        <w:t xml:space="preserve">%token </w:t>
      </w:r>
      <w:r>
        <w:rPr>
          <w:rStyle w:val="htmlcodes"/>
        </w:rPr>
        <w:t>&lt;a name=y562&gt;</w:t>
      </w:r>
      <w:r>
        <w:t xml:space="preserve">LE_562   </w:t>
      </w:r>
      <w:r>
        <w:rPr>
          <w:rStyle w:val="htmlcodes"/>
        </w:rPr>
        <w:t>&lt;/a&gt;</w:t>
      </w:r>
      <w:r>
        <w:tab/>
        <w:t>/* sumti descriptors */</w:t>
      </w:r>
    </w:p>
    <w:p w:rsidR="00B72047" w:rsidRDefault="00B72047">
      <w:pPr>
        <w:pStyle w:val="YACC"/>
        <w:rPr>
          <w:rStyle w:val="deletedparamark"/>
          <w:sz w:val="16"/>
          <w:szCs w:val="16"/>
        </w:rPr>
      </w:pPr>
      <w:r>
        <w:t xml:space="preserve">%token </w:t>
      </w:r>
      <w:r>
        <w:rPr>
          <w:rStyle w:val="htmlcodes"/>
        </w:rPr>
        <w:t>&lt;a name=y565&gt;</w:t>
      </w:r>
      <w:r>
        <w:t xml:space="preserve">LEhU_565  </w:t>
      </w:r>
      <w:r>
        <w:rPr>
          <w:rStyle w:val="htmlcodes"/>
        </w:rPr>
        <w:t>&lt;/a&gt;</w:t>
      </w:r>
      <w:r>
        <w:tab/>
        <w:t>/* possibly ungrammatical text right quote */</w:t>
      </w:r>
    </w:p>
    <w:p w:rsidR="00B72047" w:rsidRDefault="00B72047">
      <w:pPr>
        <w:pStyle w:val="YACC"/>
        <w:rPr>
          <w:rStyle w:val="deletedparamark"/>
          <w:sz w:val="16"/>
          <w:szCs w:val="16"/>
        </w:rPr>
      </w:pPr>
      <w:r>
        <w:t xml:space="preserve">%token </w:t>
      </w:r>
      <w:r>
        <w:rPr>
          <w:rStyle w:val="htmlcodes"/>
        </w:rPr>
        <w:t>&lt;a name=y566&gt;</w:t>
      </w:r>
      <w:r>
        <w:t xml:space="preserve">LI_566  </w:t>
      </w:r>
      <w:r>
        <w:rPr>
          <w:rStyle w:val="htmlcodes"/>
        </w:rPr>
        <w:t>&lt;/a&gt;</w:t>
      </w:r>
      <w:r>
        <w:tab/>
        <w:t>/* convert number to sumti */</w:t>
      </w:r>
    </w:p>
    <w:p w:rsidR="00B72047" w:rsidRDefault="00B72047">
      <w:pPr>
        <w:pStyle w:val="YACC"/>
        <w:rPr>
          <w:rStyle w:val="deletedparamark"/>
          <w:sz w:val="16"/>
          <w:szCs w:val="16"/>
        </w:rPr>
      </w:pPr>
      <w:r>
        <w:t xml:space="preserve">%token </w:t>
      </w:r>
      <w:r>
        <w:rPr>
          <w:rStyle w:val="htmlcodes"/>
        </w:rPr>
        <w:t>&lt;a name=y567&gt;</w:t>
      </w:r>
      <w:r>
        <w:t xml:space="preserve">LIhU_567  </w:t>
      </w:r>
      <w:r>
        <w:rPr>
          <w:rStyle w:val="htmlcodes"/>
        </w:rPr>
        <w:t>&lt;/a&gt;</w:t>
      </w:r>
      <w:r>
        <w:tab/>
        <w:t>/* grammatical text right quote */</w:t>
      </w:r>
    </w:p>
    <w:p w:rsidR="00B72047" w:rsidRDefault="00B72047">
      <w:pPr>
        <w:pStyle w:val="YACC"/>
        <w:rPr>
          <w:rStyle w:val="deletedparamark"/>
          <w:sz w:val="16"/>
          <w:szCs w:val="16"/>
        </w:rPr>
      </w:pPr>
      <w:r>
        <w:t xml:space="preserve">%token </w:t>
      </w:r>
      <w:r>
        <w:rPr>
          <w:rStyle w:val="htmlcodes"/>
        </w:rPr>
        <w:t>&lt;a name=y568&gt;</w:t>
      </w:r>
      <w:r>
        <w:t xml:space="preserve">LOhO_568  </w:t>
      </w:r>
      <w:r>
        <w:rPr>
          <w:rStyle w:val="htmlcodes"/>
        </w:rPr>
        <w:t>&lt;/a&gt;</w:t>
      </w:r>
      <w:r>
        <w:tab/>
        <w:t>/* elidable terminator for LI */</w:t>
      </w:r>
    </w:p>
    <w:p w:rsidR="00B72047" w:rsidRDefault="00B72047">
      <w:pPr>
        <w:pStyle w:val="YACC"/>
        <w:rPr>
          <w:rStyle w:val="deletedparamark"/>
          <w:sz w:val="16"/>
          <w:szCs w:val="16"/>
        </w:rPr>
      </w:pPr>
      <w:r>
        <w:t xml:space="preserve">%token </w:t>
      </w:r>
      <w:r>
        <w:rPr>
          <w:rStyle w:val="htmlcodes"/>
        </w:rPr>
        <w:t>&lt;a name=y569&gt;</w:t>
      </w:r>
      <w:r>
        <w:t xml:space="preserve">LOhU_569  </w:t>
      </w:r>
      <w:r>
        <w:rPr>
          <w:rStyle w:val="htmlcodes"/>
        </w:rPr>
        <w:t>&lt;/a&gt;</w:t>
      </w:r>
      <w:r>
        <w:tab/>
        <w:t>/* possibly ungrammatical text left quote */</w:t>
      </w:r>
    </w:p>
    <w:p w:rsidR="00B72047" w:rsidRDefault="00B72047">
      <w:pPr>
        <w:pStyle w:val="YACC"/>
        <w:rPr>
          <w:rStyle w:val="deletedparamark"/>
          <w:sz w:val="16"/>
          <w:szCs w:val="16"/>
        </w:rPr>
      </w:pPr>
      <w:r>
        <w:t xml:space="preserve">%token </w:t>
      </w:r>
      <w:r>
        <w:rPr>
          <w:rStyle w:val="htmlcodes"/>
        </w:rPr>
        <w:t>&lt;a name=y571&gt;</w:t>
      </w:r>
      <w:r>
        <w:t xml:space="preserve">LU_571   </w:t>
      </w:r>
      <w:r>
        <w:rPr>
          <w:rStyle w:val="htmlcodes"/>
        </w:rPr>
        <w:t>&lt;/a&gt;</w:t>
      </w:r>
      <w:r>
        <w:tab/>
        <w:t>/* grammatical text left quote */</w:t>
      </w:r>
    </w:p>
    <w:p w:rsidR="00B72047" w:rsidRDefault="00B72047">
      <w:pPr>
        <w:pStyle w:val="YACC"/>
        <w:rPr>
          <w:rStyle w:val="deletedparamark"/>
          <w:sz w:val="16"/>
          <w:szCs w:val="16"/>
        </w:rPr>
      </w:pPr>
      <w:r>
        <w:t xml:space="preserve">%token </w:t>
      </w:r>
      <w:r>
        <w:rPr>
          <w:rStyle w:val="htmlcodes"/>
        </w:rPr>
        <w:t>&lt;a name=y573&gt;</w:t>
      </w:r>
      <w:r>
        <w:t xml:space="preserve">LUhU_573  </w:t>
      </w:r>
      <w:r>
        <w:rPr>
          <w:rStyle w:val="htmlcodes"/>
        </w:rPr>
        <w:t>&lt;/a&gt;</w:t>
      </w:r>
      <w:r>
        <w:tab/>
        <w:t>/* LAhE close delimiter */</w:t>
      </w:r>
    </w:p>
    <w:p w:rsidR="00B72047" w:rsidRDefault="00B72047">
      <w:pPr>
        <w:pStyle w:val="YACC"/>
        <w:rPr>
          <w:rStyle w:val="deletedparamark"/>
          <w:sz w:val="16"/>
          <w:szCs w:val="16"/>
        </w:rPr>
      </w:pPr>
      <w:r>
        <w:t xml:space="preserve">%token </w:t>
      </w:r>
      <w:r>
        <w:rPr>
          <w:rStyle w:val="htmlcodes"/>
        </w:rPr>
        <w:t>&lt;a name=y574&gt;</w:t>
      </w:r>
      <w:r>
        <w:t xml:space="preserve">ME_574  </w:t>
      </w:r>
      <w:r>
        <w:rPr>
          <w:rStyle w:val="htmlcodes"/>
        </w:rPr>
        <w:t>&lt;/a&gt;</w:t>
      </w:r>
      <w:r>
        <w:tab/>
        <w:t>/* converts a sumti into a tanru_unit */</w:t>
      </w:r>
    </w:p>
    <w:p w:rsidR="00B72047" w:rsidRDefault="00B72047">
      <w:pPr>
        <w:pStyle w:val="YACC"/>
        <w:rPr>
          <w:rStyle w:val="deletedparamark"/>
          <w:sz w:val="16"/>
          <w:szCs w:val="16"/>
        </w:rPr>
      </w:pPr>
      <w:r>
        <w:t xml:space="preserve">%token </w:t>
      </w:r>
      <w:r>
        <w:rPr>
          <w:rStyle w:val="htmlcodes"/>
        </w:rPr>
        <w:t>&lt;a name=y575&gt;</w:t>
      </w:r>
      <w:r>
        <w:t xml:space="preserve">MEhU_575  </w:t>
      </w:r>
      <w:r>
        <w:rPr>
          <w:rStyle w:val="htmlcodes"/>
        </w:rPr>
        <w:t>&lt;/a&gt;</w:t>
      </w:r>
      <w:r>
        <w:tab/>
        <w:t>/* terminator for ME */</w:t>
      </w:r>
    </w:p>
    <w:p w:rsidR="00B72047" w:rsidRDefault="00B72047">
      <w:pPr>
        <w:pStyle w:val="YACC"/>
        <w:rPr>
          <w:rStyle w:val="deletedparamark"/>
          <w:sz w:val="16"/>
          <w:szCs w:val="16"/>
        </w:rPr>
      </w:pPr>
      <w:r>
        <w:t xml:space="preserve">%token </w:t>
      </w:r>
      <w:r>
        <w:rPr>
          <w:rStyle w:val="htmlcodes"/>
        </w:rPr>
        <w:t>&lt;a name=y577&gt;</w:t>
      </w:r>
      <w:r>
        <w:t xml:space="preserve">MOhI_577  </w:t>
      </w:r>
      <w:r>
        <w:rPr>
          <w:rStyle w:val="htmlcodes"/>
        </w:rPr>
        <w:t>&lt;/a&gt;</w:t>
      </w:r>
      <w:r>
        <w:tab/>
        <w:t>/* motion tense marker */</w:t>
      </w:r>
    </w:p>
    <w:p w:rsidR="00B72047" w:rsidRDefault="00B72047">
      <w:pPr>
        <w:pStyle w:val="YACC"/>
        <w:rPr>
          <w:rStyle w:val="deletedparamark"/>
          <w:sz w:val="16"/>
          <w:szCs w:val="16"/>
        </w:rPr>
      </w:pPr>
      <w:r>
        <w:t xml:space="preserve">%token </w:t>
      </w:r>
      <w:r>
        <w:rPr>
          <w:rStyle w:val="htmlcodes"/>
        </w:rPr>
        <w:t>&lt;a name=y578&gt;</w:t>
      </w:r>
      <w:r>
        <w:t xml:space="preserve">NA_578  </w:t>
      </w:r>
      <w:r>
        <w:rPr>
          <w:rStyle w:val="htmlcodes"/>
        </w:rPr>
        <w:t>&lt;/a&gt;</w:t>
      </w:r>
      <w:r>
        <w:tab/>
        <w:t>/* bridi negation */</w:t>
      </w:r>
    </w:p>
    <w:p w:rsidR="00B72047" w:rsidRDefault="00B72047">
      <w:pPr>
        <w:pStyle w:val="YACC"/>
        <w:rPr>
          <w:rStyle w:val="deletedparamark"/>
          <w:sz w:val="16"/>
          <w:szCs w:val="16"/>
        </w:rPr>
      </w:pPr>
      <w:r>
        <w:t xml:space="preserve">%token </w:t>
      </w:r>
      <w:r>
        <w:rPr>
          <w:rStyle w:val="htmlcodes"/>
        </w:rPr>
        <w:t>&lt;a name=y581&gt;</w:t>
      </w:r>
      <w:r>
        <w:t xml:space="preserve">NAI_581   </w:t>
      </w:r>
      <w:r>
        <w:rPr>
          <w:rStyle w:val="htmlcodes"/>
        </w:rPr>
        <w:t>&lt;/a&gt;</w:t>
      </w:r>
      <w:r>
        <w:tab/>
        <w:t>/* attached to words to negate them */</w:t>
      </w:r>
    </w:p>
    <w:p w:rsidR="00B72047" w:rsidRDefault="00B72047">
      <w:pPr>
        <w:pStyle w:val="YACC"/>
        <w:rPr>
          <w:rStyle w:val="deletedparamark"/>
          <w:sz w:val="16"/>
          <w:szCs w:val="16"/>
        </w:rPr>
      </w:pPr>
      <w:r>
        <w:t xml:space="preserve">%token </w:t>
      </w:r>
      <w:r>
        <w:rPr>
          <w:rStyle w:val="htmlcodes"/>
        </w:rPr>
        <w:t>&lt;a name=y583&gt;</w:t>
      </w:r>
      <w:r>
        <w:t xml:space="preserve">NAhE_583  </w:t>
      </w:r>
      <w:r>
        <w:rPr>
          <w:rStyle w:val="htmlcodes"/>
        </w:rPr>
        <w:t>&lt;/a&gt;</w:t>
      </w:r>
      <w:r>
        <w:tab/>
        <w:t>/* scalar negation */</w:t>
      </w:r>
    </w:p>
    <w:p w:rsidR="00B72047" w:rsidRDefault="00B72047">
      <w:pPr>
        <w:pStyle w:val="YACC"/>
        <w:rPr>
          <w:rStyle w:val="deletedparamark"/>
          <w:sz w:val="16"/>
          <w:szCs w:val="16"/>
        </w:rPr>
      </w:pPr>
      <w:r>
        <w:t xml:space="preserve">%token </w:t>
      </w:r>
      <w:r>
        <w:rPr>
          <w:rStyle w:val="htmlcodes"/>
        </w:rPr>
        <w:t>&lt;a name=y584&gt;</w:t>
      </w:r>
      <w:r>
        <w:t xml:space="preserve">NIhO_584  </w:t>
      </w:r>
      <w:r>
        <w:rPr>
          <w:rStyle w:val="htmlcodes"/>
        </w:rPr>
        <w:t>&lt;/a&gt;</w:t>
      </w:r>
      <w:r>
        <w:tab/>
        <w:t>/* new paragraph; change of subject */</w:t>
      </w:r>
    </w:p>
    <w:p w:rsidR="00B72047" w:rsidRDefault="00B72047">
      <w:pPr>
        <w:pStyle w:val="YACC"/>
        <w:rPr>
          <w:rStyle w:val="deletedparamark"/>
          <w:sz w:val="16"/>
          <w:szCs w:val="16"/>
        </w:rPr>
      </w:pPr>
      <w:r>
        <w:t xml:space="preserve">%token </w:t>
      </w:r>
      <w:r>
        <w:rPr>
          <w:rStyle w:val="htmlcodes"/>
        </w:rPr>
        <w:t>&lt;a name=y585&gt;</w:t>
      </w:r>
      <w:r>
        <w:t xml:space="preserve">NOI_585  </w:t>
      </w:r>
      <w:r>
        <w:rPr>
          <w:rStyle w:val="htmlcodes"/>
        </w:rPr>
        <w:t>&lt;/a&gt;</w:t>
      </w:r>
      <w:r>
        <w:tab/>
        <w:t>/* attaches a subordinate clause to a sumti */</w:t>
      </w:r>
    </w:p>
    <w:p w:rsidR="00B72047" w:rsidRDefault="00B72047">
      <w:pPr>
        <w:pStyle w:val="YACC"/>
        <w:rPr>
          <w:rStyle w:val="deletedparamark"/>
          <w:sz w:val="16"/>
          <w:szCs w:val="16"/>
        </w:rPr>
      </w:pPr>
      <w:r>
        <w:t xml:space="preserve">%token </w:t>
      </w:r>
      <w:r>
        <w:rPr>
          <w:rStyle w:val="htmlcodes"/>
        </w:rPr>
        <w:t>&lt;a name=y586&gt;</w:t>
      </w:r>
      <w:r>
        <w:t xml:space="preserve">NU_586  </w:t>
      </w:r>
      <w:r>
        <w:rPr>
          <w:rStyle w:val="htmlcodes"/>
        </w:rPr>
        <w:t>&lt;/a&gt;</w:t>
      </w:r>
      <w:r>
        <w:tab/>
        <w:t>/* abstraction */</w:t>
      </w:r>
    </w:p>
    <w:p w:rsidR="00B72047" w:rsidRDefault="00B72047">
      <w:pPr>
        <w:pStyle w:val="YACC"/>
        <w:rPr>
          <w:rStyle w:val="deletedparamark"/>
          <w:sz w:val="16"/>
          <w:szCs w:val="16"/>
        </w:rPr>
      </w:pPr>
      <w:r>
        <w:t xml:space="preserve">%token </w:t>
      </w:r>
      <w:r>
        <w:rPr>
          <w:rStyle w:val="htmlcodes"/>
        </w:rPr>
        <w:t>&lt;a name=y587&gt;</w:t>
      </w:r>
      <w:r>
        <w:t xml:space="preserve">NUhI_587  </w:t>
      </w:r>
      <w:r>
        <w:rPr>
          <w:rStyle w:val="htmlcodes"/>
        </w:rPr>
        <w:t>&lt;/a&gt;</w:t>
      </w:r>
      <w:r>
        <w:tab/>
        <w:t>/* marks the start of a termset */</w:t>
      </w:r>
    </w:p>
    <w:p w:rsidR="00B72047" w:rsidRDefault="00B72047">
      <w:pPr>
        <w:pStyle w:val="YACC"/>
        <w:rPr>
          <w:rStyle w:val="deletedparamark"/>
          <w:sz w:val="16"/>
          <w:szCs w:val="16"/>
        </w:rPr>
      </w:pPr>
      <w:r>
        <w:t xml:space="preserve">%token </w:t>
      </w:r>
      <w:r>
        <w:rPr>
          <w:rStyle w:val="htmlcodes"/>
        </w:rPr>
        <w:t>&lt;a name=y588&gt;</w:t>
      </w:r>
      <w:r>
        <w:t xml:space="preserve">NUhU_588  </w:t>
      </w:r>
      <w:r>
        <w:rPr>
          <w:rStyle w:val="htmlcodes"/>
        </w:rPr>
        <w:t>&lt;/a&gt;</w:t>
      </w:r>
      <w:r>
        <w:tab/>
        <w:t>/* marks the middle and end of a termset */</w:t>
      </w:r>
    </w:p>
    <w:p w:rsidR="00B72047" w:rsidRDefault="00B72047">
      <w:pPr>
        <w:pStyle w:val="YACC"/>
        <w:rPr>
          <w:rStyle w:val="deletedparamark"/>
          <w:sz w:val="16"/>
          <w:szCs w:val="16"/>
        </w:rPr>
      </w:pPr>
      <w:r>
        <w:t xml:space="preserve">%token </w:t>
      </w:r>
      <w:r>
        <w:rPr>
          <w:rStyle w:val="htmlcodes"/>
        </w:rPr>
        <w:t>&lt;a name=y591&gt;</w:t>
      </w:r>
      <w:r>
        <w:t xml:space="preserve">PEhE_591   </w:t>
      </w:r>
      <w:r>
        <w:rPr>
          <w:rStyle w:val="htmlcodes"/>
        </w:rPr>
        <w:t>&lt;/a&gt;</w:t>
      </w:r>
      <w:r>
        <w:tab/>
        <w:t>/* afterthought termset connective prefix */</w:t>
      </w:r>
    </w:p>
    <w:p w:rsidR="00B72047" w:rsidRDefault="00B72047">
      <w:pPr>
        <w:pStyle w:val="YACC"/>
        <w:rPr>
          <w:rStyle w:val="deletedparamark"/>
          <w:sz w:val="16"/>
          <w:szCs w:val="16"/>
        </w:rPr>
      </w:pPr>
      <w:r>
        <w:t xml:space="preserve">%token </w:t>
      </w:r>
      <w:r>
        <w:rPr>
          <w:rStyle w:val="htmlcodes"/>
        </w:rPr>
        <w:t>&lt;a name=y592&gt;</w:t>
      </w:r>
      <w:r>
        <w:t xml:space="preserve">PU_592   </w:t>
      </w:r>
      <w:r>
        <w:rPr>
          <w:rStyle w:val="htmlcodes"/>
        </w:rPr>
        <w:t>&lt;/a&gt;</w:t>
      </w:r>
      <w:r>
        <w:tab/>
        <w:t>/* directions in time */</w:t>
      </w:r>
    </w:p>
    <w:p w:rsidR="00B72047" w:rsidRDefault="00B72047">
      <w:pPr>
        <w:pStyle w:val="YACC"/>
        <w:rPr>
          <w:rStyle w:val="deletedparamark"/>
          <w:sz w:val="16"/>
          <w:szCs w:val="16"/>
        </w:rPr>
      </w:pPr>
      <w:r>
        <w:t xml:space="preserve">%token </w:t>
      </w:r>
      <w:r>
        <w:rPr>
          <w:rStyle w:val="htmlcodes"/>
        </w:rPr>
        <w:t>&lt;a name=y593&gt;</w:t>
      </w:r>
      <w:r>
        <w:t xml:space="preserve">RAhO_593  </w:t>
      </w:r>
      <w:r>
        <w:rPr>
          <w:rStyle w:val="htmlcodes"/>
        </w:rPr>
        <w:t>&lt;/a&gt;</w:t>
      </w:r>
      <w:r>
        <w:tab/>
        <w:t>/* flag for modified interpretation of GOhI */</w:t>
      </w:r>
    </w:p>
    <w:p w:rsidR="00B72047" w:rsidRDefault="00B72047">
      <w:pPr>
        <w:pStyle w:val="YACC"/>
        <w:rPr>
          <w:rStyle w:val="deletedparamark"/>
          <w:sz w:val="16"/>
          <w:szCs w:val="16"/>
        </w:rPr>
      </w:pPr>
      <w:r>
        <w:t xml:space="preserve">%token </w:t>
      </w:r>
      <w:r>
        <w:rPr>
          <w:rStyle w:val="htmlcodes"/>
        </w:rPr>
        <w:t>&lt;a name=y594&gt;</w:t>
      </w:r>
      <w:r>
        <w:t xml:space="preserve">ROI_594  </w:t>
      </w:r>
      <w:r>
        <w:rPr>
          <w:rStyle w:val="htmlcodes"/>
        </w:rPr>
        <w:t>&lt;/a&gt;</w:t>
      </w:r>
      <w:r>
        <w:tab/>
        <w:t>/* converts number to extensional tense */</w:t>
      </w:r>
    </w:p>
    <w:p w:rsidR="00B72047" w:rsidRDefault="00B72047">
      <w:pPr>
        <w:pStyle w:val="YACC"/>
        <w:rPr>
          <w:rStyle w:val="deletedparamark"/>
          <w:sz w:val="16"/>
          <w:szCs w:val="16"/>
        </w:rPr>
      </w:pPr>
      <w:r>
        <w:t xml:space="preserve">%token </w:t>
      </w:r>
      <w:r>
        <w:rPr>
          <w:rStyle w:val="htmlcodes"/>
        </w:rPr>
        <w:t>&lt;a name=y595&gt;</w:t>
      </w:r>
      <w:r>
        <w:t xml:space="preserve">SA_595  </w:t>
      </w:r>
      <w:r>
        <w:rPr>
          <w:rStyle w:val="htmlcodes"/>
        </w:rPr>
        <w:t>&lt;/a&gt;</w:t>
      </w:r>
      <w:r>
        <w:tab/>
        <w:t>/* metalinguistic eraser to the beginning of the current utterance */</w:t>
      </w:r>
    </w:p>
    <w:p w:rsidR="00B72047" w:rsidRDefault="00B72047">
      <w:pPr>
        <w:pStyle w:val="YACC"/>
        <w:rPr>
          <w:rStyle w:val="deletedparamark"/>
          <w:sz w:val="16"/>
          <w:szCs w:val="16"/>
        </w:rPr>
      </w:pPr>
      <w:r>
        <w:t xml:space="preserve">%token </w:t>
      </w:r>
      <w:r>
        <w:rPr>
          <w:rStyle w:val="htmlcodes"/>
        </w:rPr>
        <w:t>&lt;a name=y596&gt;</w:t>
      </w:r>
      <w:r>
        <w:t xml:space="preserve">SE_596  </w:t>
      </w:r>
      <w:r>
        <w:rPr>
          <w:rStyle w:val="htmlcodes"/>
        </w:rPr>
        <w:t>&lt;/a&gt;</w:t>
      </w:r>
      <w:r>
        <w:tab/>
        <w:t>/* conversions */</w:t>
      </w:r>
    </w:p>
    <w:p w:rsidR="00B72047" w:rsidRDefault="00B72047">
      <w:pPr>
        <w:pStyle w:val="YACC"/>
        <w:rPr>
          <w:rStyle w:val="deletedparamark"/>
          <w:sz w:val="16"/>
          <w:szCs w:val="16"/>
        </w:rPr>
      </w:pPr>
      <w:r>
        <w:t xml:space="preserve">%token </w:t>
      </w:r>
      <w:r>
        <w:rPr>
          <w:rStyle w:val="htmlcodes"/>
        </w:rPr>
        <w:t>&lt;a name=y597&gt;</w:t>
      </w:r>
      <w:r>
        <w:t xml:space="preserve">SEI_597  </w:t>
      </w:r>
      <w:r>
        <w:rPr>
          <w:rStyle w:val="htmlcodes"/>
        </w:rPr>
        <w:t>&lt;/a&gt;</w:t>
      </w:r>
      <w:r>
        <w:tab/>
        <w:t>/* metalinguistic bridi insert marker */</w:t>
      </w:r>
    </w:p>
    <w:p w:rsidR="00B72047" w:rsidRDefault="00B72047">
      <w:pPr>
        <w:pStyle w:val="YACC"/>
        <w:rPr>
          <w:rStyle w:val="deletedparamark"/>
          <w:sz w:val="16"/>
          <w:szCs w:val="16"/>
        </w:rPr>
      </w:pPr>
      <w:r>
        <w:t xml:space="preserve">%token </w:t>
      </w:r>
      <w:r>
        <w:rPr>
          <w:rStyle w:val="htmlcodes"/>
        </w:rPr>
        <w:t>&lt;a name=y598&gt;</w:t>
      </w:r>
      <w:r>
        <w:t xml:space="preserve">SEhU_598  </w:t>
      </w:r>
      <w:r>
        <w:rPr>
          <w:rStyle w:val="htmlcodes"/>
        </w:rPr>
        <w:t>&lt;/a&gt;</w:t>
      </w:r>
      <w:r>
        <w:tab/>
        <w:t>/* metalinguistic bridi end marker */</w:t>
      </w:r>
    </w:p>
    <w:p w:rsidR="00B72047" w:rsidRDefault="00B72047">
      <w:pPr>
        <w:pStyle w:val="YACC"/>
        <w:rPr>
          <w:rStyle w:val="deletedparamark"/>
          <w:sz w:val="16"/>
          <w:szCs w:val="16"/>
        </w:rPr>
      </w:pPr>
      <w:r>
        <w:t xml:space="preserve">%token </w:t>
      </w:r>
      <w:r>
        <w:rPr>
          <w:rStyle w:val="htmlcodes"/>
        </w:rPr>
        <w:t>&lt;a name=y601&gt;</w:t>
      </w:r>
      <w:r>
        <w:t xml:space="preserve">SI_601   </w:t>
      </w:r>
      <w:r>
        <w:rPr>
          <w:rStyle w:val="htmlcodes"/>
        </w:rPr>
        <w:t>&lt;/a&gt;</w:t>
      </w:r>
      <w:r>
        <w:tab/>
        <w:t>/* metalinguistic single word eraser */</w:t>
      </w:r>
    </w:p>
    <w:p w:rsidR="00B72047" w:rsidRDefault="00B72047">
      <w:pPr>
        <w:pStyle w:val="YACC"/>
        <w:rPr>
          <w:rStyle w:val="deletedparamark"/>
          <w:sz w:val="16"/>
          <w:szCs w:val="16"/>
        </w:rPr>
      </w:pPr>
      <w:r>
        <w:t xml:space="preserve">%token </w:t>
      </w:r>
      <w:r>
        <w:rPr>
          <w:rStyle w:val="htmlcodes"/>
        </w:rPr>
        <w:t>&lt;a name=y602&gt;</w:t>
      </w:r>
      <w:r>
        <w:t xml:space="preserve">SOI_602   </w:t>
      </w:r>
      <w:r>
        <w:rPr>
          <w:rStyle w:val="htmlcodes"/>
        </w:rPr>
        <w:t>&lt;/a&gt;</w:t>
      </w:r>
      <w:r>
        <w:tab/>
        <w:t>/* reciprocal sumti marker */</w:t>
      </w:r>
    </w:p>
    <w:p w:rsidR="00B72047" w:rsidRDefault="00B72047">
      <w:pPr>
        <w:pStyle w:val="YACC"/>
        <w:rPr>
          <w:rStyle w:val="deletedparamark"/>
          <w:sz w:val="16"/>
          <w:szCs w:val="16"/>
        </w:rPr>
      </w:pPr>
      <w:r>
        <w:t xml:space="preserve">%token </w:t>
      </w:r>
      <w:r>
        <w:rPr>
          <w:rStyle w:val="htmlcodes"/>
        </w:rPr>
        <w:t>&lt;a name=y603&gt;</w:t>
      </w:r>
      <w:r>
        <w:t xml:space="preserve">SU_603  </w:t>
      </w:r>
      <w:r>
        <w:rPr>
          <w:rStyle w:val="htmlcodes"/>
        </w:rPr>
        <w:t>&lt;/a&gt;</w:t>
      </w:r>
      <w:r>
        <w:tab/>
        <w:t>/* metalinguistic eraser of the entire text */</w:t>
      </w:r>
    </w:p>
    <w:p w:rsidR="00B72047" w:rsidRDefault="00B72047">
      <w:pPr>
        <w:pStyle w:val="YACC"/>
        <w:rPr>
          <w:rStyle w:val="deletedparamark"/>
          <w:sz w:val="16"/>
          <w:szCs w:val="16"/>
        </w:rPr>
      </w:pPr>
      <w:r>
        <w:t xml:space="preserve">%token </w:t>
      </w:r>
      <w:r>
        <w:rPr>
          <w:rStyle w:val="htmlcodes"/>
        </w:rPr>
        <w:t>&lt;a name=y604&gt;</w:t>
      </w:r>
      <w:r>
        <w:t xml:space="preserve">TAhE_604  </w:t>
      </w:r>
      <w:r>
        <w:rPr>
          <w:rStyle w:val="htmlcodes"/>
        </w:rPr>
        <w:t>&lt;/a&gt;</w:t>
      </w:r>
      <w:r>
        <w:tab/>
        <w:t>/* tense interval properties */</w:t>
      </w:r>
    </w:p>
    <w:p w:rsidR="00B72047" w:rsidRDefault="00B72047">
      <w:pPr>
        <w:pStyle w:val="YACC"/>
        <w:rPr>
          <w:rStyle w:val="deletedparamark"/>
          <w:sz w:val="16"/>
          <w:szCs w:val="16"/>
        </w:rPr>
      </w:pPr>
      <w:r>
        <w:t xml:space="preserve">%token </w:t>
      </w:r>
      <w:r>
        <w:rPr>
          <w:rStyle w:val="htmlcodes"/>
        </w:rPr>
        <w:t>&lt;a name=y605&gt;</w:t>
      </w:r>
      <w:r>
        <w:t xml:space="preserve">TEI_605  </w:t>
      </w:r>
      <w:r>
        <w:rPr>
          <w:rStyle w:val="htmlcodes"/>
        </w:rPr>
        <w:t>&lt;/a&gt;</w:t>
      </w:r>
      <w:r>
        <w:tab/>
        <w:t>/* start compound lerfu */</w:t>
      </w:r>
    </w:p>
    <w:p w:rsidR="00B72047" w:rsidRDefault="00B72047">
      <w:pPr>
        <w:pStyle w:val="YACC"/>
        <w:rPr>
          <w:rStyle w:val="deletedparamark"/>
          <w:sz w:val="16"/>
          <w:szCs w:val="16"/>
        </w:rPr>
      </w:pPr>
      <w:r>
        <w:t xml:space="preserve">%token </w:t>
      </w:r>
      <w:r>
        <w:rPr>
          <w:rStyle w:val="htmlcodes"/>
        </w:rPr>
        <w:t>&lt;a name=y606&gt;</w:t>
      </w:r>
      <w:r>
        <w:t xml:space="preserve">TO_606  </w:t>
      </w:r>
      <w:r>
        <w:rPr>
          <w:rStyle w:val="htmlcodes"/>
        </w:rPr>
        <w:t>&lt;/a&gt;</w:t>
      </w:r>
      <w:r>
        <w:tab/>
        <w:t>/* left discursive parenthesis */</w:t>
      </w:r>
    </w:p>
    <w:p w:rsidR="00B72047" w:rsidRDefault="00B72047">
      <w:pPr>
        <w:pStyle w:val="YACC"/>
        <w:rPr>
          <w:rStyle w:val="deletedparamark"/>
          <w:sz w:val="16"/>
          <w:szCs w:val="16"/>
        </w:rPr>
      </w:pPr>
      <w:r>
        <w:t xml:space="preserve">%token </w:t>
      </w:r>
      <w:r>
        <w:rPr>
          <w:rStyle w:val="htmlcodes"/>
        </w:rPr>
        <w:t>&lt;a name=y607&gt;</w:t>
      </w:r>
      <w:r>
        <w:t xml:space="preserve">TOI_607  </w:t>
      </w:r>
      <w:r>
        <w:rPr>
          <w:rStyle w:val="htmlcodes"/>
        </w:rPr>
        <w:t>&lt;/a&gt;</w:t>
      </w:r>
      <w:r>
        <w:tab/>
        <w:t>/* right discursive parenthesis */</w:t>
      </w:r>
    </w:p>
    <w:p w:rsidR="00B72047" w:rsidRDefault="00B72047">
      <w:pPr>
        <w:pStyle w:val="YACC"/>
        <w:rPr>
          <w:rStyle w:val="deletedparamark"/>
          <w:sz w:val="16"/>
          <w:szCs w:val="16"/>
        </w:rPr>
      </w:pPr>
      <w:r>
        <w:t xml:space="preserve">%token </w:t>
      </w:r>
      <w:r>
        <w:rPr>
          <w:rStyle w:val="htmlcodes"/>
        </w:rPr>
        <w:t>&lt;a name=y610&gt;</w:t>
      </w:r>
      <w:r>
        <w:t xml:space="preserve">TUhE_610   </w:t>
      </w:r>
      <w:r>
        <w:rPr>
          <w:rStyle w:val="htmlcodes"/>
        </w:rPr>
        <w:t>&lt;/a&gt;</w:t>
      </w:r>
      <w:r>
        <w:tab/>
        <w:t>/* multiple utterance scope mark */</w:t>
      </w:r>
    </w:p>
    <w:p w:rsidR="00B72047" w:rsidRDefault="00B72047">
      <w:pPr>
        <w:pStyle w:val="YACC"/>
        <w:rPr>
          <w:rStyle w:val="deletedparamark"/>
          <w:sz w:val="16"/>
          <w:szCs w:val="16"/>
        </w:rPr>
      </w:pPr>
      <w:r>
        <w:t xml:space="preserve">%token </w:t>
      </w:r>
      <w:r>
        <w:rPr>
          <w:rStyle w:val="htmlcodes"/>
        </w:rPr>
        <w:t>&lt;a name=y611&gt;</w:t>
      </w:r>
      <w:r>
        <w:t xml:space="preserve">TUhU_611   </w:t>
      </w:r>
      <w:r>
        <w:rPr>
          <w:rStyle w:val="htmlcodes"/>
        </w:rPr>
        <w:t>&lt;/a&gt;</w:t>
      </w:r>
      <w:r>
        <w:tab/>
        <w:t>/* multiple utterance end scope mark */</w:t>
      </w:r>
    </w:p>
    <w:p w:rsidR="00B72047" w:rsidRDefault="00B72047">
      <w:pPr>
        <w:pStyle w:val="YACC"/>
        <w:rPr>
          <w:rStyle w:val="deletedparamark"/>
          <w:sz w:val="16"/>
          <w:szCs w:val="16"/>
        </w:rPr>
      </w:pPr>
      <w:r>
        <w:t xml:space="preserve">%token </w:t>
      </w:r>
      <w:r>
        <w:rPr>
          <w:rStyle w:val="htmlcodes"/>
        </w:rPr>
        <w:t>&lt;a name=y612&gt;</w:t>
      </w:r>
      <w:r>
        <w:t xml:space="preserve">UI_612   </w:t>
      </w:r>
      <w:r>
        <w:rPr>
          <w:rStyle w:val="htmlcodes"/>
        </w:rPr>
        <w:t>&lt;/a&gt;</w:t>
      </w:r>
      <w:r>
        <w:tab/>
        <w:t>/* attitudinals, observationals, discursives */</w:t>
      </w:r>
    </w:p>
    <w:p w:rsidR="00B72047" w:rsidRDefault="00B72047">
      <w:pPr>
        <w:pStyle w:val="YACC"/>
        <w:rPr>
          <w:rStyle w:val="deletedparamark"/>
          <w:sz w:val="16"/>
          <w:szCs w:val="16"/>
        </w:rPr>
      </w:pPr>
      <w:r>
        <w:t xml:space="preserve">%token </w:t>
      </w:r>
      <w:r>
        <w:rPr>
          <w:rStyle w:val="htmlcodes"/>
        </w:rPr>
        <w:t>&lt;a name=y613&gt;</w:t>
      </w:r>
      <w:r>
        <w:t xml:space="preserve">VA_613  </w:t>
      </w:r>
      <w:r>
        <w:rPr>
          <w:rStyle w:val="htmlcodes"/>
        </w:rPr>
        <w:t>&lt;/a&gt;</w:t>
      </w:r>
      <w:r>
        <w:tab/>
        <w:t>/* distance in space</w:t>
      </w:r>
      <w:r>
        <w:noBreakHyphen/>
        <w:t>time */</w:t>
      </w:r>
    </w:p>
    <w:p w:rsidR="00B72047" w:rsidRDefault="00B72047">
      <w:pPr>
        <w:pStyle w:val="YACC"/>
        <w:rPr>
          <w:rStyle w:val="deletedparamark"/>
          <w:sz w:val="16"/>
          <w:szCs w:val="16"/>
        </w:rPr>
      </w:pPr>
      <w:r>
        <w:t xml:space="preserve">%token </w:t>
      </w:r>
      <w:r>
        <w:rPr>
          <w:rStyle w:val="htmlcodes"/>
        </w:rPr>
        <w:t>&lt;a name=y614&gt;</w:t>
      </w:r>
      <w:r>
        <w:t xml:space="preserve">VAU_614  </w:t>
      </w:r>
      <w:r>
        <w:rPr>
          <w:rStyle w:val="htmlcodes"/>
        </w:rPr>
        <w:t>&lt;/a&gt;</w:t>
      </w:r>
      <w:r>
        <w:tab/>
        <w:t>/* end simple bridi or bridi</w:t>
      </w:r>
      <w:r>
        <w:noBreakHyphen/>
        <w:t>tail */</w:t>
      </w:r>
    </w:p>
    <w:p w:rsidR="00B72047" w:rsidRDefault="00B72047">
      <w:pPr>
        <w:pStyle w:val="YACC"/>
        <w:rPr>
          <w:rStyle w:val="deletedparamark"/>
          <w:sz w:val="16"/>
          <w:szCs w:val="16"/>
        </w:rPr>
      </w:pPr>
      <w:r>
        <w:t xml:space="preserve">%token </w:t>
      </w:r>
      <w:r>
        <w:rPr>
          <w:rStyle w:val="htmlcodes"/>
        </w:rPr>
        <w:t>&lt;a name=y615&gt;</w:t>
      </w:r>
      <w:r>
        <w:t xml:space="preserve">VEhA_615  </w:t>
      </w:r>
      <w:r>
        <w:rPr>
          <w:rStyle w:val="htmlcodes"/>
        </w:rPr>
        <w:t>&lt;/a&gt;</w:t>
      </w:r>
      <w:r>
        <w:tab/>
        <w:t>/* space</w:t>
      </w:r>
      <w:r>
        <w:noBreakHyphen/>
        <w:t>time interval size */</w:t>
      </w:r>
    </w:p>
    <w:p w:rsidR="00B72047" w:rsidRDefault="00B72047">
      <w:pPr>
        <w:pStyle w:val="YACC"/>
        <w:rPr>
          <w:rStyle w:val="deletedparamark"/>
          <w:sz w:val="16"/>
          <w:szCs w:val="16"/>
        </w:rPr>
      </w:pPr>
      <w:r>
        <w:t xml:space="preserve">%token </w:t>
      </w:r>
      <w:r>
        <w:rPr>
          <w:rStyle w:val="htmlcodes"/>
        </w:rPr>
        <w:t>&lt;a name=y616&gt;</w:t>
      </w:r>
      <w:r>
        <w:t xml:space="preserve">VIhA_616  </w:t>
      </w:r>
      <w:r>
        <w:rPr>
          <w:rStyle w:val="htmlcodes"/>
        </w:rPr>
        <w:t>&lt;/a&gt;</w:t>
      </w:r>
      <w:r>
        <w:tab/>
        <w:t>/* space</w:t>
      </w:r>
      <w:r>
        <w:noBreakHyphen/>
        <w:t>time dimensionality marker */</w:t>
      </w:r>
    </w:p>
    <w:p w:rsidR="00B72047" w:rsidRDefault="00B72047">
      <w:pPr>
        <w:pStyle w:val="YACC"/>
        <w:rPr>
          <w:rStyle w:val="deletedparamark"/>
          <w:sz w:val="16"/>
          <w:szCs w:val="16"/>
        </w:rPr>
      </w:pPr>
      <w:r>
        <w:t xml:space="preserve">%token </w:t>
      </w:r>
      <w:r>
        <w:rPr>
          <w:rStyle w:val="htmlcodes"/>
        </w:rPr>
        <w:t>&lt;a name=y617&gt;</w:t>
      </w:r>
      <w:r>
        <w:t xml:space="preserve">VUhO_617  </w:t>
      </w:r>
      <w:r>
        <w:rPr>
          <w:rStyle w:val="htmlcodes"/>
        </w:rPr>
        <w:t>&lt;/a&gt;</w:t>
      </w:r>
      <w:r>
        <w:tab/>
        <w:t>/* glue between logically connected sumti and relative clauses */</w:t>
      </w:r>
    </w:p>
    <w:p w:rsidR="00B72047" w:rsidRDefault="00B72047">
      <w:pPr>
        <w:pStyle w:val="YACC"/>
        <w:rPr>
          <w:rStyle w:val="deletedparamark"/>
          <w:sz w:val="16"/>
          <w:szCs w:val="16"/>
        </w:rPr>
      </w:pPr>
      <w:r>
        <w:t xml:space="preserve">%token </w:t>
      </w:r>
      <w:r>
        <w:rPr>
          <w:rStyle w:val="htmlcodes"/>
        </w:rPr>
        <w:t>&lt;a name=y618&gt;</w:t>
      </w:r>
      <w:r>
        <w:t xml:space="preserve">XI_618  </w:t>
      </w:r>
      <w:r>
        <w:rPr>
          <w:rStyle w:val="htmlcodes"/>
        </w:rPr>
        <w:t>&lt;/a&gt;</w:t>
      </w:r>
      <w:r>
        <w:tab/>
        <w:t>/* subscripting operator */</w:t>
      </w:r>
    </w:p>
    <w:p w:rsidR="00B72047" w:rsidRDefault="00B72047">
      <w:pPr>
        <w:pStyle w:val="YACC"/>
        <w:rPr>
          <w:rStyle w:val="deletedparamark"/>
          <w:sz w:val="16"/>
          <w:szCs w:val="16"/>
        </w:rPr>
      </w:pPr>
      <w:r>
        <w:t xml:space="preserve">%token </w:t>
      </w:r>
      <w:r>
        <w:rPr>
          <w:rStyle w:val="htmlcodes"/>
        </w:rPr>
        <w:t>&lt;a name=y619&gt;</w:t>
      </w:r>
      <w:r>
        <w:t xml:space="preserve">Y_619  </w:t>
      </w:r>
      <w:r>
        <w:rPr>
          <w:rStyle w:val="htmlcodes"/>
        </w:rPr>
        <w:t>&lt;/a&gt;</w:t>
      </w:r>
      <w:r>
        <w:tab/>
        <w:t>/* hesitation */</w:t>
      </w:r>
    </w:p>
    <w:p w:rsidR="00B72047" w:rsidRDefault="00B72047">
      <w:pPr>
        <w:pStyle w:val="YACC"/>
        <w:rPr>
          <w:rStyle w:val="deletedparamark"/>
          <w:sz w:val="16"/>
          <w:szCs w:val="16"/>
        </w:rPr>
      </w:pPr>
      <w:r>
        <w:t xml:space="preserve">%token </w:t>
      </w:r>
      <w:r>
        <w:rPr>
          <w:rStyle w:val="htmlcodes"/>
        </w:rPr>
        <w:t>&lt;a name=y621&gt;</w:t>
      </w:r>
      <w:r>
        <w:t xml:space="preserve">ZAhO_621   </w:t>
      </w:r>
      <w:r>
        <w:rPr>
          <w:rStyle w:val="htmlcodes"/>
        </w:rPr>
        <w:t>&lt;/a&gt;</w:t>
      </w:r>
      <w:r>
        <w:tab/>
        <w:t xml:space="preserve">/* event properties </w:t>
      </w:r>
      <w:r>
        <w:noBreakHyphen/>
        <w:t xml:space="preserve"> inchoative, etc. */</w:t>
      </w:r>
    </w:p>
    <w:p w:rsidR="00B72047" w:rsidRDefault="00B72047">
      <w:pPr>
        <w:pStyle w:val="YACC"/>
        <w:rPr>
          <w:rStyle w:val="deletedparamark"/>
          <w:sz w:val="16"/>
          <w:szCs w:val="16"/>
        </w:rPr>
      </w:pPr>
      <w:r>
        <w:t xml:space="preserve">%token </w:t>
      </w:r>
      <w:r>
        <w:rPr>
          <w:rStyle w:val="htmlcodes"/>
        </w:rPr>
        <w:t>&lt;a name=y622&gt;</w:t>
      </w:r>
      <w:r>
        <w:t xml:space="preserve">ZEhA_622   </w:t>
      </w:r>
      <w:r>
        <w:rPr>
          <w:rStyle w:val="htmlcodes"/>
        </w:rPr>
        <w:t>&lt;/a&gt;</w:t>
      </w:r>
      <w:r>
        <w:tab/>
        <w:t>/* time interval size tense */</w:t>
      </w:r>
    </w:p>
    <w:p w:rsidR="00B72047" w:rsidRDefault="00B72047">
      <w:pPr>
        <w:pStyle w:val="YACC"/>
        <w:rPr>
          <w:rStyle w:val="deletedparamark"/>
          <w:sz w:val="16"/>
          <w:szCs w:val="16"/>
        </w:rPr>
      </w:pPr>
      <w:r>
        <w:t xml:space="preserve">%token </w:t>
      </w:r>
      <w:r>
        <w:rPr>
          <w:rStyle w:val="htmlcodes"/>
        </w:rPr>
        <w:t>&lt;a name=y623&gt;</w:t>
      </w:r>
      <w:r>
        <w:t xml:space="preserve">ZEI_623  </w:t>
      </w:r>
      <w:r>
        <w:rPr>
          <w:rStyle w:val="htmlcodes"/>
        </w:rPr>
        <w:t>&lt;/a&gt;</w:t>
      </w:r>
      <w:r>
        <w:tab/>
        <w:t>/* lujvo glue */</w:t>
      </w:r>
    </w:p>
    <w:p w:rsidR="00B72047" w:rsidRDefault="00B72047">
      <w:pPr>
        <w:pStyle w:val="YACC"/>
        <w:rPr>
          <w:rStyle w:val="deletedparamark"/>
          <w:sz w:val="16"/>
          <w:szCs w:val="16"/>
        </w:rPr>
      </w:pPr>
      <w:r>
        <w:t xml:space="preserve">%token </w:t>
      </w:r>
      <w:r>
        <w:rPr>
          <w:rStyle w:val="htmlcodes"/>
        </w:rPr>
        <w:t>&lt;a name=y624&gt;</w:t>
      </w:r>
      <w:r>
        <w:t xml:space="preserve">ZI_624  </w:t>
      </w:r>
      <w:r>
        <w:rPr>
          <w:rStyle w:val="htmlcodes"/>
        </w:rPr>
        <w:t>&lt;/a&gt;</w:t>
      </w:r>
      <w:r>
        <w:tab/>
        <w:t>/* time distance tense */</w:t>
      </w:r>
    </w:p>
    <w:p w:rsidR="00B72047" w:rsidRDefault="00B72047">
      <w:pPr>
        <w:pStyle w:val="YACC"/>
        <w:rPr>
          <w:rStyle w:val="deletedparamark"/>
          <w:sz w:val="16"/>
          <w:szCs w:val="16"/>
        </w:rPr>
      </w:pPr>
      <w:r>
        <w:t xml:space="preserve">%token </w:t>
      </w:r>
      <w:r>
        <w:rPr>
          <w:rStyle w:val="htmlcodes"/>
        </w:rPr>
        <w:t>&lt;a name=y625&gt;</w:t>
      </w:r>
      <w:r>
        <w:t xml:space="preserve">ZIhE_625  </w:t>
      </w:r>
      <w:r>
        <w:rPr>
          <w:rStyle w:val="htmlcodes"/>
        </w:rPr>
        <w:t>&lt;/a&gt;</w:t>
      </w:r>
      <w:r>
        <w:tab/>
        <w:t>/* conjoins relative clauses */</w:t>
      </w:r>
    </w:p>
    <w:p w:rsidR="00B72047" w:rsidRDefault="00B72047">
      <w:pPr>
        <w:pStyle w:val="YACC"/>
        <w:rPr>
          <w:rStyle w:val="deletedparamark"/>
          <w:sz w:val="16"/>
          <w:szCs w:val="16"/>
        </w:rPr>
      </w:pPr>
      <w:r>
        <w:t xml:space="preserve">%token </w:t>
      </w:r>
      <w:r>
        <w:rPr>
          <w:rStyle w:val="htmlcodes"/>
        </w:rPr>
        <w:t>&lt;a name=y626&gt;</w:t>
      </w:r>
      <w:r>
        <w:t xml:space="preserve">ZO_626  </w:t>
      </w:r>
      <w:r>
        <w:rPr>
          <w:rStyle w:val="htmlcodes"/>
        </w:rPr>
        <w:t>&lt;/a&gt;</w:t>
      </w:r>
      <w:r>
        <w:tab/>
        <w:t>/* single word metalinguistic quote marker */</w:t>
      </w:r>
    </w:p>
    <w:p w:rsidR="00B72047" w:rsidRDefault="00B72047">
      <w:pPr>
        <w:pStyle w:val="YACC"/>
        <w:rPr>
          <w:rStyle w:val="deletedparamark"/>
          <w:sz w:val="16"/>
          <w:szCs w:val="16"/>
        </w:rPr>
      </w:pPr>
      <w:r>
        <w:t xml:space="preserve">%token </w:t>
      </w:r>
      <w:r>
        <w:rPr>
          <w:rStyle w:val="htmlcodes"/>
        </w:rPr>
        <w:t>&lt;a name=y627&gt;</w:t>
      </w:r>
      <w:r>
        <w:t xml:space="preserve">ZOI_627  </w:t>
      </w:r>
      <w:r>
        <w:rPr>
          <w:rStyle w:val="htmlcodes"/>
        </w:rPr>
        <w:t>&lt;/a&gt;</w:t>
      </w:r>
      <w:r>
        <w:tab/>
        <w:t>/* delimited quote marker */</w:t>
      </w:r>
    </w:p>
    <w:p w:rsidR="00B72047" w:rsidRDefault="00B72047">
      <w:pPr>
        <w:pStyle w:val="YACC"/>
      </w:pPr>
      <w:r>
        <w:t xml:space="preserve">%token </w:t>
      </w:r>
      <w:r>
        <w:rPr>
          <w:rStyle w:val="htmlcodes"/>
        </w:rPr>
        <w:t>&lt;a name=y628&gt;</w:t>
      </w:r>
      <w:r>
        <w:t xml:space="preserve">ZOhU_628  </w:t>
      </w:r>
      <w:r>
        <w:rPr>
          <w:rStyle w:val="htmlcodes"/>
        </w:rPr>
        <w:t>&lt;/a&gt;</w:t>
      </w:r>
      <w:r>
        <w:tab/>
        <w:t>/* prenex terminator (not elidable) */</w:t>
      </w:r>
    </w:p>
    <w:p w:rsidR="00B72047" w:rsidRDefault="00B72047">
      <w:pPr>
        <w:pStyle w:val="YACCtoken"/>
        <w:rPr>
          <w:rStyle w:val="deletedparamark"/>
          <w:sz w:val="16"/>
          <w:szCs w:val="16"/>
        </w:rPr>
      </w:pPr>
      <w:r>
        <w:t xml:space="preserve">%token </w:t>
      </w:r>
      <w:r>
        <w:rPr>
          <w:rStyle w:val="htmlcodes"/>
        </w:rPr>
        <w:t>&lt;a name=y650&gt;</w:t>
      </w:r>
      <w:r>
        <w:t xml:space="preserve">BIhE_650   </w:t>
      </w:r>
      <w:r>
        <w:rPr>
          <w:rStyle w:val="htmlcodes"/>
        </w:rPr>
        <w:t>&lt;/a&gt;</w:t>
      </w:r>
      <w:r>
        <w:tab/>
        <w:t>/* prefix for high</w:t>
      </w:r>
      <w:r>
        <w:noBreakHyphen/>
        <w:t>priority MEX operator */</w:t>
      </w:r>
    </w:p>
    <w:p w:rsidR="00B72047" w:rsidRDefault="00B72047">
      <w:pPr>
        <w:pStyle w:val="YACC"/>
        <w:rPr>
          <w:rStyle w:val="deletedparamark"/>
          <w:sz w:val="16"/>
          <w:szCs w:val="16"/>
        </w:rPr>
      </w:pPr>
      <w:r>
        <w:t xml:space="preserve">%token </w:t>
      </w:r>
      <w:r>
        <w:rPr>
          <w:rStyle w:val="htmlcodes"/>
        </w:rPr>
        <w:t>&lt;a name=y651&gt;</w:t>
      </w:r>
      <w:r>
        <w:t xml:space="preserve">BOI_651   </w:t>
      </w:r>
      <w:r>
        <w:rPr>
          <w:rStyle w:val="htmlcodes"/>
        </w:rPr>
        <w:t>&lt;/a&gt;</w:t>
      </w:r>
      <w:r>
        <w:tab/>
        <w:t>/* number or lerfu</w:t>
      </w:r>
      <w:r>
        <w:noBreakHyphen/>
        <w:t>string terminator */</w:t>
      </w:r>
    </w:p>
    <w:p w:rsidR="00B72047" w:rsidRDefault="00B72047">
      <w:pPr>
        <w:pStyle w:val="YACC"/>
        <w:rPr>
          <w:rStyle w:val="deletedparamark"/>
          <w:sz w:val="16"/>
          <w:szCs w:val="16"/>
        </w:rPr>
      </w:pPr>
      <w:r>
        <w:t xml:space="preserve">%token </w:t>
      </w:r>
      <w:r>
        <w:rPr>
          <w:rStyle w:val="htmlcodes"/>
        </w:rPr>
        <w:t>&lt;a name=y655&gt;</w:t>
      </w:r>
      <w:r>
        <w:t xml:space="preserve">FUhA_655  </w:t>
      </w:r>
      <w:r>
        <w:rPr>
          <w:rStyle w:val="htmlcodes"/>
        </w:rPr>
        <w:t>&lt;/a&gt;</w:t>
      </w:r>
      <w:r>
        <w:tab/>
        <w:t>/* reverse Polish flag */</w:t>
      </w:r>
    </w:p>
    <w:p w:rsidR="00B72047" w:rsidRDefault="00B72047">
      <w:pPr>
        <w:pStyle w:val="YACC"/>
        <w:rPr>
          <w:rStyle w:val="deletedparamark"/>
          <w:sz w:val="16"/>
          <w:szCs w:val="16"/>
        </w:rPr>
      </w:pPr>
      <w:r>
        <w:t xml:space="preserve">%token </w:t>
      </w:r>
      <w:r>
        <w:rPr>
          <w:rStyle w:val="htmlcodes"/>
        </w:rPr>
        <w:t>&lt;a name=y656&gt;</w:t>
      </w:r>
      <w:r>
        <w:t xml:space="preserve">GAhO_656  </w:t>
      </w:r>
      <w:r>
        <w:rPr>
          <w:rStyle w:val="htmlcodes"/>
        </w:rPr>
        <w:t>&lt;/a&gt;</w:t>
      </w:r>
      <w:r>
        <w:tab/>
        <w:t>/* open/closed interval markers for BIhI */</w:t>
      </w:r>
    </w:p>
    <w:p w:rsidR="00B72047" w:rsidRDefault="00B72047">
      <w:pPr>
        <w:pStyle w:val="YACC"/>
        <w:rPr>
          <w:rStyle w:val="deletedparamark"/>
          <w:sz w:val="16"/>
          <w:szCs w:val="16"/>
        </w:rPr>
      </w:pPr>
      <w:r>
        <w:t xml:space="preserve">%token </w:t>
      </w:r>
      <w:r>
        <w:rPr>
          <w:rStyle w:val="htmlcodes"/>
        </w:rPr>
        <w:t>&lt;a name=y657&gt;</w:t>
      </w:r>
      <w:r>
        <w:t xml:space="preserve">JOhI_657  </w:t>
      </w:r>
      <w:r>
        <w:rPr>
          <w:rStyle w:val="htmlcodes"/>
        </w:rPr>
        <w:t>&lt;/a&gt;</w:t>
      </w:r>
      <w:r>
        <w:tab/>
        <w:t>/* flags an array operand */</w:t>
      </w:r>
    </w:p>
    <w:p w:rsidR="00B72047" w:rsidRDefault="00B72047">
      <w:pPr>
        <w:pStyle w:val="YACC"/>
        <w:rPr>
          <w:rStyle w:val="deletedparamark"/>
          <w:sz w:val="16"/>
          <w:szCs w:val="16"/>
        </w:rPr>
      </w:pPr>
      <w:r>
        <w:t xml:space="preserve">%token </w:t>
      </w:r>
      <w:r>
        <w:rPr>
          <w:rStyle w:val="htmlcodes"/>
        </w:rPr>
        <w:t>&lt;a name=y658&gt;</w:t>
      </w:r>
      <w:r>
        <w:t xml:space="preserve">KUhE_658  </w:t>
      </w:r>
      <w:r>
        <w:rPr>
          <w:rStyle w:val="htmlcodes"/>
        </w:rPr>
        <w:t>&lt;/a&gt;</w:t>
      </w:r>
      <w:r>
        <w:tab/>
        <w:t>/* MEX forethought delimiter */</w:t>
      </w:r>
    </w:p>
    <w:p w:rsidR="00B72047" w:rsidRDefault="00B72047">
      <w:pPr>
        <w:pStyle w:val="YACC"/>
        <w:rPr>
          <w:rStyle w:val="deletedparamark"/>
          <w:sz w:val="16"/>
          <w:szCs w:val="16"/>
        </w:rPr>
      </w:pPr>
      <w:r>
        <w:t xml:space="preserve">%token </w:t>
      </w:r>
      <w:r>
        <w:rPr>
          <w:rStyle w:val="htmlcodes"/>
        </w:rPr>
        <w:t>&lt;a name=y661&gt;</w:t>
      </w:r>
      <w:r>
        <w:t xml:space="preserve">MAI_661   </w:t>
      </w:r>
      <w:r>
        <w:rPr>
          <w:rStyle w:val="htmlcodes"/>
        </w:rPr>
        <w:t>&lt;/a&gt;</w:t>
      </w:r>
      <w:r>
        <w:tab/>
        <w:t>/* change numbers to utterance ordinals */</w:t>
      </w:r>
    </w:p>
    <w:p w:rsidR="00B72047" w:rsidRDefault="00B72047">
      <w:pPr>
        <w:pStyle w:val="YACC"/>
        <w:rPr>
          <w:rStyle w:val="deletedparamark"/>
          <w:sz w:val="16"/>
          <w:szCs w:val="16"/>
        </w:rPr>
      </w:pPr>
      <w:r>
        <w:t xml:space="preserve">%token </w:t>
      </w:r>
      <w:r>
        <w:rPr>
          <w:rStyle w:val="htmlcodes"/>
        </w:rPr>
        <w:t>&lt;a name=y662&gt;</w:t>
      </w:r>
      <w:r>
        <w:t xml:space="preserve">MAhO_662   </w:t>
      </w:r>
      <w:r>
        <w:rPr>
          <w:rStyle w:val="htmlcodes"/>
        </w:rPr>
        <w:t>&lt;/a&gt;</w:t>
      </w:r>
      <w:r>
        <w:tab/>
        <w:t>/* change MEX expressions to MEX operators */</w:t>
      </w:r>
    </w:p>
    <w:p w:rsidR="00B72047" w:rsidRDefault="00B72047">
      <w:pPr>
        <w:pStyle w:val="YACC"/>
        <w:rPr>
          <w:rStyle w:val="deletedparamark"/>
          <w:sz w:val="16"/>
          <w:szCs w:val="16"/>
        </w:rPr>
      </w:pPr>
      <w:r>
        <w:t xml:space="preserve">%token </w:t>
      </w:r>
      <w:r>
        <w:rPr>
          <w:rStyle w:val="htmlcodes"/>
        </w:rPr>
        <w:t>&lt;a name=y663&gt;</w:t>
      </w:r>
      <w:r>
        <w:t xml:space="preserve">MOI_663  </w:t>
      </w:r>
      <w:r>
        <w:rPr>
          <w:rStyle w:val="htmlcodes"/>
        </w:rPr>
        <w:t>&lt;/a&gt;</w:t>
      </w:r>
      <w:r>
        <w:tab/>
        <w:t>/* change number to selbri */</w:t>
      </w:r>
    </w:p>
    <w:p w:rsidR="00B72047" w:rsidRDefault="00B72047">
      <w:pPr>
        <w:pStyle w:val="YACC"/>
        <w:rPr>
          <w:rStyle w:val="deletedparamark"/>
          <w:sz w:val="16"/>
          <w:szCs w:val="16"/>
        </w:rPr>
      </w:pPr>
      <w:r>
        <w:t xml:space="preserve">%token </w:t>
      </w:r>
      <w:r>
        <w:rPr>
          <w:rStyle w:val="htmlcodes"/>
        </w:rPr>
        <w:t>&lt;a name=y664&gt;</w:t>
      </w:r>
      <w:r>
        <w:t xml:space="preserve">MOhE_664  </w:t>
      </w:r>
      <w:r>
        <w:rPr>
          <w:rStyle w:val="htmlcodes"/>
        </w:rPr>
        <w:t>&lt;/a&gt;</w:t>
      </w:r>
      <w:r>
        <w:tab/>
        <w:t>/* change sumti to operand, inverse of LI */</w:t>
      </w:r>
    </w:p>
    <w:p w:rsidR="00B72047" w:rsidRDefault="00B72047">
      <w:pPr>
        <w:pStyle w:val="YACC"/>
        <w:rPr>
          <w:rStyle w:val="deletedparamark"/>
          <w:sz w:val="16"/>
          <w:szCs w:val="16"/>
        </w:rPr>
      </w:pPr>
      <w:r>
        <w:t xml:space="preserve">%token </w:t>
      </w:r>
      <w:r>
        <w:rPr>
          <w:rStyle w:val="htmlcodes"/>
        </w:rPr>
        <w:t>&lt;a name=y665&gt;</w:t>
      </w:r>
      <w:r>
        <w:t xml:space="preserve">NAhU_665  </w:t>
      </w:r>
      <w:r>
        <w:rPr>
          <w:rStyle w:val="htmlcodes"/>
        </w:rPr>
        <w:t>&lt;/a&gt;</w:t>
      </w:r>
      <w:r>
        <w:tab/>
        <w:t>/* change a selbri into an operator */</w:t>
      </w:r>
    </w:p>
    <w:p w:rsidR="00B72047" w:rsidRDefault="00B72047">
      <w:pPr>
        <w:pStyle w:val="YACC"/>
        <w:rPr>
          <w:rStyle w:val="deletedparamark"/>
          <w:sz w:val="16"/>
          <w:szCs w:val="16"/>
        </w:rPr>
      </w:pPr>
      <w:r>
        <w:t xml:space="preserve">%token </w:t>
      </w:r>
      <w:r>
        <w:rPr>
          <w:rStyle w:val="htmlcodes"/>
        </w:rPr>
        <w:t>&lt;a name=y666&gt;</w:t>
      </w:r>
      <w:r>
        <w:t xml:space="preserve">NIhE_666  </w:t>
      </w:r>
      <w:r>
        <w:rPr>
          <w:rStyle w:val="htmlcodes"/>
        </w:rPr>
        <w:t>&lt;/a&gt;</w:t>
      </w:r>
      <w:r>
        <w:tab/>
        <w:t>/* change selbri to operand; inverse of MOI */</w:t>
      </w:r>
    </w:p>
    <w:p w:rsidR="00B72047" w:rsidRDefault="00B72047">
      <w:pPr>
        <w:pStyle w:val="YACC"/>
        <w:rPr>
          <w:rStyle w:val="deletedparamark"/>
          <w:sz w:val="16"/>
          <w:szCs w:val="16"/>
        </w:rPr>
      </w:pPr>
      <w:r>
        <w:t xml:space="preserve">%token </w:t>
      </w:r>
      <w:r>
        <w:rPr>
          <w:rStyle w:val="htmlcodes"/>
        </w:rPr>
        <w:t>&lt;a name=y667&gt;</w:t>
      </w:r>
      <w:r>
        <w:t xml:space="preserve">NUhA_667  </w:t>
      </w:r>
      <w:r>
        <w:rPr>
          <w:rStyle w:val="htmlcodes"/>
        </w:rPr>
        <w:t>&lt;/a&gt;</w:t>
      </w:r>
      <w:r>
        <w:tab/>
        <w:t>/* change operator to selbri; inverse of MOhE */</w:t>
      </w:r>
    </w:p>
    <w:p w:rsidR="00B72047" w:rsidRDefault="00B72047">
      <w:pPr>
        <w:pStyle w:val="YACC"/>
        <w:rPr>
          <w:rStyle w:val="deletedparamark"/>
          <w:sz w:val="16"/>
          <w:szCs w:val="16"/>
        </w:rPr>
      </w:pPr>
      <w:r>
        <w:t xml:space="preserve">%token </w:t>
      </w:r>
      <w:r>
        <w:rPr>
          <w:rStyle w:val="htmlcodes"/>
        </w:rPr>
        <w:t>&lt;a name=y672&gt;</w:t>
      </w:r>
      <w:r>
        <w:t xml:space="preserve">PA_672   </w:t>
      </w:r>
      <w:r>
        <w:rPr>
          <w:rStyle w:val="htmlcodes"/>
        </w:rPr>
        <w:t>&lt;/a&gt;</w:t>
      </w:r>
      <w:r>
        <w:tab/>
        <w:t>/* numbers and numeric punctuation */</w:t>
      </w:r>
    </w:p>
    <w:p w:rsidR="00B72047" w:rsidRDefault="00B72047">
      <w:pPr>
        <w:pStyle w:val="YACC"/>
        <w:rPr>
          <w:rStyle w:val="deletedparamark"/>
          <w:sz w:val="16"/>
          <w:szCs w:val="16"/>
        </w:rPr>
      </w:pPr>
      <w:r>
        <w:t xml:space="preserve">%token </w:t>
      </w:r>
      <w:r>
        <w:rPr>
          <w:rStyle w:val="htmlcodes"/>
        </w:rPr>
        <w:t>&lt;a name=y673&gt;</w:t>
      </w:r>
      <w:r>
        <w:t xml:space="preserve">PEhO_673  </w:t>
      </w:r>
      <w:r>
        <w:rPr>
          <w:rStyle w:val="htmlcodes"/>
        </w:rPr>
        <w:t>&lt;/a&gt;</w:t>
      </w:r>
      <w:r>
        <w:tab/>
        <w:t>/* forethought (Polish) flag */</w:t>
      </w:r>
    </w:p>
    <w:p w:rsidR="00B72047" w:rsidRDefault="00B72047">
      <w:pPr>
        <w:pStyle w:val="YACC"/>
        <w:rPr>
          <w:rStyle w:val="deletedparamark"/>
          <w:sz w:val="16"/>
          <w:szCs w:val="16"/>
        </w:rPr>
      </w:pPr>
      <w:r>
        <w:t xml:space="preserve">%token </w:t>
      </w:r>
      <w:r>
        <w:rPr>
          <w:rStyle w:val="htmlcodes"/>
        </w:rPr>
        <w:t>&lt;a name=y675&gt;</w:t>
      </w:r>
      <w:r>
        <w:t xml:space="preserve">TEhU_675  </w:t>
      </w:r>
      <w:r>
        <w:rPr>
          <w:rStyle w:val="htmlcodes"/>
        </w:rPr>
        <w:t>&lt;/a&gt;</w:t>
      </w:r>
      <w:r>
        <w:tab/>
        <w:t>/* closing gap for MEX constructs */</w:t>
      </w:r>
    </w:p>
    <w:p w:rsidR="00B72047" w:rsidRDefault="00B72047">
      <w:pPr>
        <w:pStyle w:val="YACC"/>
        <w:rPr>
          <w:rStyle w:val="deletedparamark"/>
          <w:sz w:val="16"/>
          <w:szCs w:val="16"/>
        </w:rPr>
      </w:pPr>
      <w:r>
        <w:t xml:space="preserve">%token </w:t>
      </w:r>
      <w:r>
        <w:rPr>
          <w:rStyle w:val="htmlcodes"/>
        </w:rPr>
        <w:t>&lt;a name=y677&gt;</w:t>
      </w:r>
      <w:r>
        <w:t xml:space="preserve">VEI_677  </w:t>
      </w:r>
      <w:r>
        <w:rPr>
          <w:rStyle w:val="htmlcodes"/>
        </w:rPr>
        <w:t>&lt;/a&gt;</w:t>
      </w:r>
      <w:r>
        <w:tab/>
        <w:t>/* left MEX bracket */</w:t>
      </w:r>
    </w:p>
    <w:p w:rsidR="00B72047" w:rsidRDefault="00B72047">
      <w:pPr>
        <w:pStyle w:val="YACC"/>
        <w:rPr>
          <w:rStyle w:val="deletedparamark"/>
          <w:sz w:val="16"/>
          <w:szCs w:val="16"/>
        </w:rPr>
      </w:pPr>
      <w:r>
        <w:t xml:space="preserve">%token </w:t>
      </w:r>
      <w:r>
        <w:rPr>
          <w:rStyle w:val="htmlcodes"/>
        </w:rPr>
        <w:t>&lt;a name=y678&gt;</w:t>
      </w:r>
      <w:r>
        <w:t xml:space="preserve">VEhO_678  </w:t>
      </w:r>
      <w:r>
        <w:rPr>
          <w:rStyle w:val="htmlcodes"/>
        </w:rPr>
        <w:t>&lt;/a&gt;</w:t>
      </w:r>
      <w:r>
        <w:tab/>
        <w:t>/* right MEX bracket */</w:t>
      </w:r>
    </w:p>
    <w:p w:rsidR="00B72047" w:rsidRDefault="00B72047">
      <w:pPr>
        <w:pStyle w:val="YACC"/>
      </w:pPr>
      <w:r>
        <w:t xml:space="preserve">%token </w:t>
      </w:r>
      <w:r>
        <w:rPr>
          <w:rStyle w:val="htmlcodes"/>
        </w:rPr>
        <w:t>&lt;a name=y679&gt;</w:t>
      </w:r>
      <w:r>
        <w:t xml:space="preserve">VUhU_679  </w:t>
      </w:r>
      <w:r>
        <w:rPr>
          <w:rStyle w:val="htmlcodes"/>
        </w:rPr>
        <w:t>&lt;/a&gt;</w:t>
      </w:r>
      <w:r>
        <w:tab/>
        <w:t>/* MEX operator */</w:t>
      </w:r>
    </w:p>
    <w:p w:rsidR="00B72047" w:rsidRDefault="00B72047">
      <w:pPr>
        <w:pStyle w:val="YACCtoken"/>
        <w:rPr>
          <w:rStyle w:val="deletedparamark"/>
          <w:sz w:val="16"/>
          <w:szCs w:val="16"/>
        </w:rPr>
      </w:pPr>
      <w:r>
        <w:t xml:space="preserve">%token any_words_697  </w:t>
      </w:r>
      <w:r>
        <w:rPr>
          <w:rStyle w:val="htmlcodes"/>
        </w:rPr>
        <w:t>&lt;/a&gt;</w:t>
      </w:r>
      <w:r>
        <w:tab/>
        <w:t>/* a string of lexable Lojban words */</w:t>
      </w:r>
    </w:p>
    <w:p w:rsidR="00B72047" w:rsidRDefault="00B72047">
      <w:pPr>
        <w:pStyle w:val="YACC"/>
        <w:rPr>
          <w:rStyle w:val="deletedparamark"/>
          <w:sz w:val="16"/>
          <w:szCs w:val="16"/>
        </w:rPr>
      </w:pPr>
      <w:r>
        <w:t xml:space="preserve">%token any_word_698  </w:t>
      </w:r>
      <w:r>
        <w:rPr>
          <w:rStyle w:val="htmlcodes"/>
        </w:rPr>
        <w:t>&lt;/a&gt;</w:t>
      </w:r>
      <w:r>
        <w:tab/>
        <w:t>/* any single lexable Lojban words */</w:t>
      </w:r>
    </w:p>
    <w:p w:rsidR="00B72047" w:rsidRDefault="00B72047">
      <w:pPr>
        <w:pStyle w:val="YACC"/>
      </w:pPr>
      <w:r>
        <w:t xml:space="preserve">%token anything_699  </w:t>
      </w:r>
      <w:r>
        <w:rPr>
          <w:rStyle w:val="htmlcodes"/>
        </w:rPr>
        <w:t>&lt;/a&gt;</w:t>
      </w:r>
      <w:r>
        <w:tab/>
        <w:t>/* a possibly unlexable phoneme string */</w:t>
      </w:r>
    </w:p>
    <w:p w:rsidR="00B72047" w:rsidRDefault="00B72047">
      <w:pPr>
        <w:pStyle w:val="YACCcomment"/>
      </w:pPr>
      <w:r>
        <w:rPr>
          <w:rStyle w:val="deletedparamark"/>
          <w:sz w:val="16"/>
          <w:szCs w:val="16"/>
        </w:rPr>
        <w:t>/*</w:t>
      </w:r>
      <w:r>
        <w:t xml:space="preserve"> The following tokens are the actual lexer tokens. The _900 series</w:t>
      </w:r>
      <w:r>
        <w:rPr>
          <w:rStyle w:val="deletedparamark"/>
          <w:sz w:val="16"/>
          <w:szCs w:val="16"/>
        </w:rPr>
        <w:t xml:space="preserve"> </w:t>
      </w:r>
      <w:r>
        <w:t>tokens are duplicates that allow limited testing of lexer rules in the</w:t>
      </w:r>
      <w:r>
        <w:rPr>
          <w:rStyle w:val="deletedparamark"/>
          <w:sz w:val="16"/>
          <w:szCs w:val="16"/>
        </w:rPr>
        <w:t xml:space="preserve"> </w:t>
      </w:r>
      <w:r>
        <w:t>context of the total grammar. They are used in the actual parser, where</w:t>
      </w:r>
      <w:r>
        <w:rPr>
          <w:rStyle w:val="deletedparamark"/>
          <w:sz w:val="16"/>
          <w:szCs w:val="16"/>
        </w:rPr>
        <w:t xml:space="preserve"> </w:t>
      </w:r>
      <w:r>
        <w:t>the 900 series rules are found in the lexer. */</w:t>
      </w:r>
    </w:p>
    <w:p w:rsidR="00B72047" w:rsidRDefault="00B72047">
      <w:pPr>
        <w:pStyle w:val="YACCtoken"/>
        <w:tabs>
          <w:tab w:val="left" w:pos="6840"/>
        </w:tabs>
        <w:rPr>
          <w:rStyle w:val="deletedparamark"/>
          <w:sz w:val="16"/>
          <w:szCs w:val="16"/>
        </w:rPr>
      </w:pPr>
      <w:r>
        <w:t>%token lexer_</w:t>
      </w:r>
      <w:r>
        <w:rPr>
          <w:rStyle w:val="htmlcodes"/>
        </w:rPr>
        <w:t>&lt;a name=y701&gt;</w:t>
      </w:r>
      <w:r>
        <w:t xml:space="preserve">A_701   </w:t>
      </w:r>
      <w:r>
        <w:rPr>
          <w:rStyle w:val="htmlcodes"/>
        </w:rPr>
        <w:t>&lt;/a&gt;</w:t>
      </w:r>
      <w:r>
        <w:tab/>
        <w:t>/* flags a MAI utterance ordinal */</w:t>
      </w:r>
    </w:p>
    <w:p w:rsidR="00B72047" w:rsidRDefault="00B72047">
      <w:pPr>
        <w:pStyle w:val="YACC"/>
        <w:tabs>
          <w:tab w:val="left" w:pos="6840"/>
        </w:tabs>
        <w:rPr>
          <w:rStyle w:val="deletedparamark"/>
          <w:sz w:val="16"/>
          <w:szCs w:val="16"/>
        </w:rPr>
      </w:pPr>
      <w:r>
        <w:t>%token lexer_</w:t>
      </w:r>
      <w:r>
        <w:rPr>
          <w:rStyle w:val="htmlcodes"/>
        </w:rPr>
        <w:t>&lt;a name=y702&gt;</w:t>
      </w:r>
      <w:r>
        <w:t xml:space="preserve">B_702   </w:t>
      </w:r>
      <w:r>
        <w:rPr>
          <w:rStyle w:val="htmlcodes"/>
        </w:rPr>
        <w:t>&lt;/a&gt;</w:t>
      </w:r>
      <w:r>
        <w:tab/>
        <w:t>/* flags an EK unless EK_BO, EK_KE */</w:t>
      </w:r>
    </w:p>
    <w:p w:rsidR="00B72047" w:rsidRDefault="00B72047">
      <w:pPr>
        <w:pStyle w:val="YACC"/>
        <w:tabs>
          <w:tab w:val="left" w:pos="6840"/>
        </w:tabs>
        <w:rPr>
          <w:rStyle w:val="deletedparamark"/>
          <w:sz w:val="16"/>
          <w:szCs w:val="16"/>
        </w:rPr>
      </w:pPr>
      <w:r>
        <w:t>%token lexer_</w:t>
      </w:r>
      <w:r>
        <w:rPr>
          <w:rStyle w:val="htmlcodes"/>
        </w:rPr>
        <w:t>&lt;a name=y703&gt;</w:t>
      </w:r>
      <w:r>
        <w:t xml:space="preserve">C_703  </w:t>
      </w:r>
      <w:r>
        <w:rPr>
          <w:rStyle w:val="htmlcodes"/>
        </w:rPr>
        <w:t>&lt;/a&gt;</w:t>
      </w:r>
      <w:r>
        <w:tab/>
        <w:t>/* flags an EK_BO */</w:t>
      </w:r>
    </w:p>
    <w:p w:rsidR="00B72047" w:rsidRDefault="00B72047">
      <w:pPr>
        <w:pStyle w:val="YACC"/>
        <w:tabs>
          <w:tab w:val="left" w:pos="6840"/>
        </w:tabs>
        <w:rPr>
          <w:rStyle w:val="deletedparamark"/>
          <w:sz w:val="16"/>
          <w:szCs w:val="16"/>
        </w:rPr>
      </w:pPr>
      <w:r>
        <w:t>%token lexer_</w:t>
      </w:r>
      <w:r>
        <w:rPr>
          <w:rStyle w:val="htmlcodes"/>
        </w:rPr>
        <w:t>&lt;a name=y704&gt;</w:t>
      </w:r>
      <w:r>
        <w:t xml:space="preserve">D_704  </w:t>
      </w:r>
      <w:r>
        <w:rPr>
          <w:rStyle w:val="htmlcodes"/>
        </w:rPr>
        <w:t>&lt;/a&gt;</w:t>
      </w:r>
      <w:r>
        <w:tab/>
        <w:t>/* flags an EK_KE */</w:t>
      </w:r>
    </w:p>
    <w:p w:rsidR="00B72047" w:rsidRDefault="00B72047">
      <w:pPr>
        <w:pStyle w:val="YACC"/>
        <w:tabs>
          <w:tab w:val="left" w:pos="6840"/>
        </w:tabs>
        <w:rPr>
          <w:rStyle w:val="deletedparamark"/>
          <w:sz w:val="16"/>
          <w:szCs w:val="16"/>
        </w:rPr>
      </w:pPr>
      <w:r>
        <w:t>%token lexer_</w:t>
      </w:r>
      <w:r>
        <w:rPr>
          <w:rStyle w:val="htmlcodes"/>
        </w:rPr>
        <w:t>&lt;a name=y705&gt;</w:t>
      </w:r>
      <w:r>
        <w:t xml:space="preserve">E_705  </w:t>
      </w:r>
      <w:r>
        <w:rPr>
          <w:rStyle w:val="htmlcodes"/>
        </w:rPr>
        <w:t>&lt;/a&gt;</w:t>
      </w:r>
      <w:r>
        <w:tab/>
        <w:t>/* flags a JEK */</w:t>
      </w:r>
    </w:p>
    <w:p w:rsidR="00B72047" w:rsidRDefault="00B72047">
      <w:pPr>
        <w:pStyle w:val="YACC"/>
        <w:tabs>
          <w:tab w:val="left" w:pos="6840"/>
        </w:tabs>
        <w:rPr>
          <w:rStyle w:val="deletedparamark"/>
          <w:sz w:val="16"/>
          <w:szCs w:val="16"/>
        </w:rPr>
      </w:pPr>
      <w:r>
        <w:t>%token lexer_</w:t>
      </w:r>
      <w:r>
        <w:rPr>
          <w:rStyle w:val="htmlcodes"/>
        </w:rPr>
        <w:t>&lt;a name=y706&gt;</w:t>
      </w:r>
      <w:r>
        <w:t xml:space="preserve">F_706  </w:t>
      </w:r>
      <w:r>
        <w:rPr>
          <w:rStyle w:val="htmlcodes"/>
        </w:rPr>
        <w:t>&lt;/a&gt;</w:t>
      </w:r>
      <w:r>
        <w:tab/>
        <w:t>/* flags a JOIK */</w:t>
      </w:r>
    </w:p>
    <w:p w:rsidR="00B72047" w:rsidRDefault="00B72047">
      <w:pPr>
        <w:pStyle w:val="YACC"/>
        <w:tabs>
          <w:tab w:val="left" w:pos="6840"/>
        </w:tabs>
        <w:rPr>
          <w:rStyle w:val="deletedparamark"/>
          <w:sz w:val="16"/>
          <w:szCs w:val="16"/>
        </w:rPr>
      </w:pPr>
      <w:r>
        <w:t>%token lexer_</w:t>
      </w:r>
      <w:r>
        <w:rPr>
          <w:rStyle w:val="htmlcodes"/>
        </w:rPr>
        <w:t>&lt;a name=y707&gt;</w:t>
      </w:r>
      <w:r>
        <w:t xml:space="preserve">G_707  </w:t>
      </w:r>
      <w:r>
        <w:rPr>
          <w:rStyle w:val="htmlcodes"/>
        </w:rPr>
        <w:t>&lt;/a&gt;</w:t>
      </w:r>
      <w:r>
        <w:tab/>
        <w:t>/* flags a GEK */</w:t>
      </w:r>
    </w:p>
    <w:p w:rsidR="00B72047" w:rsidRDefault="00B72047">
      <w:pPr>
        <w:pStyle w:val="YACC"/>
        <w:tabs>
          <w:tab w:val="left" w:pos="6840"/>
        </w:tabs>
        <w:rPr>
          <w:rStyle w:val="deletedparamark"/>
          <w:sz w:val="16"/>
          <w:szCs w:val="16"/>
        </w:rPr>
      </w:pPr>
      <w:r>
        <w:t>%token lexer_</w:t>
      </w:r>
      <w:r>
        <w:rPr>
          <w:rStyle w:val="htmlcodes"/>
        </w:rPr>
        <w:t>&lt;a name=y708&gt;</w:t>
      </w:r>
      <w:r>
        <w:t xml:space="preserve">H_708  </w:t>
      </w:r>
      <w:r>
        <w:rPr>
          <w:rStyle w:val="htmlcodes"/>
        </w:rPr>
        <w:t>&lt;/a&gt;</w:t>
      </w:r>
      <w:r>
        <w:tab/>
        <w:t>/* flags a GUhEK */</w:t>
      </w:r>
    </w:p>
    <w:p w:rsidR="00B72047" w:rsidRDefault="00B72047">
      <w:pPr>
        <w:pStyle w:val="YACC"/>
        <w:tabs>
          <w:tab w:val="left" w:pos="6840"/>
        </w:tabs>
        <w:rPr>
          <w:rStyle w:val="deletedparamark"/>
          <w:sz w:val="16"/>
          <w:szCs w:val="16"/>
        </w:rPr>
      </w:pPr>
      <w:r>
        <w:t>%token lexer_</w:t>
      </w:r>
      <w:r>
        <w:rPr>
          <w:rStyle w:val="htmlcodes"/>
        </w:rPr>
        <w:t>&lt;a name=y709&gt;</w:t>
      </w:r>
      <w:r>
        <w:t xml:space="preserve">I_709  </w:t>
      </w:r>
      <w:r>
        <w:rPr>
          <w:rStyle w:val="htmlcodes"/>
        </w:rPr>
        <w:t>&lt;/a&gt;</w:t>
      </w:r>
      <w:r>
        <w:tab/>
        <w:t>/* flags a NAhE_BO */</w:t>
      </w:r>
    </w:p>
    <w:p w:rsidR="00B72047" w:rsidRDefault="00B72047">
      <w:pPr>
        <w:pStyle w:val="YACC"/>
        <w:tabs>
          <w:tab w:val="left" w:pos="6840"/>
        </w:tabs>
        <w:rPr>
          <w:rStyle w:val="deletedparamark"/>
          <w:sz w:val="16"/>
          <w:szCs w:val="16"/>
        </w:rPr>
      </w:pPr>
      <w:r>
        <w:t>%token lexer_</w:t>
      </w:r>
      <w:r>
        <w:rPr>
          <w:rStyle w:val="htmlcodes"/>
        </w:rPr>
        <w:t>&lt;a name=y710&gt;</w:t>
      </w:r>
      <w:r>
        <w:t xml:space="preserve">J_710   </w:t>
      </w:r>
      <w:r>
        <w:rPr>
          <w:rStyle w:val="htmlcodes"/>
        </w:rPr>
        <w:t>&lt;/a&gt;</w:t>
      </w:r>
      <w:r>
        <w:tab/>
        <w:t>/* flags a NA_KU */</w:t>
      </w:r>
    </w:p>
    <w:p w:rsidR="00B72047" w:rsidRDefault="00B72047">
      <w:pPr>
        <w:pStyle w:val="YACC"/>
        <w:tabs>
          <w:tab w:val="left" w:pos="6840"/>
        </w:tabs>
        <w:rPr>
          <w:rStyle w:val="deletedparamark"/>
          <w:sz w:val="16"/>
          <w:szCs w:val="16"/>
        </w:rPr>
      </w:pPr>
      <w:r>
        <w:t>%token lexer_</w:t>
      </w:r>
      <w:r>
        <w:rPr>
          <w:rStyle w:val="htmlcodes"/>
        </w:rPr>
        <w:t>&lt;a name=y711&gt;</w:t>
      </w:r>
      <w:r>
        <w:t xml:space="preserve">K_711   </w:t>
      </w:r>
      <w:r>
        <w:rPr>
          <w:rStyle w:val="htmlcodes"/>
        </w:rPr>
        <w:t>&lt;/a&gt;</w:t>
      </w:r>
      <w:r>
        <w:tab/>
        <w:t>/* flags an I_BO (option. JOIK/JEK lexer tags)*/</w:t>
      </w:r>
    </w:p>
    <w:p w:rsidR="00B72047" w:rsidRDefault="00B72047">
      <w:pPr>
        <w:pStyle w:val="YACC"/>
        <w:tabs>
          <w:tab w:val="left" w:pos="6840"/>
        </w:tabs>
        <w:rPr>
          <w:rStyle w:val="deletedparamark"/>
          <w:sz w:val="16"/>
          <w:szCs w:val="16"/>
        </w:rPr>
      </w:pPr>
      <w:r>
        <w:t>%token lexer_</w:t>
      </w:r>
      <w:r>
        <w:rPr>
          <w:rStyle w:val="htmlcodes"/>
        </w:rPr>
        <w:t>&lt;a name=y712&gt;</w:t>
      </w:r>
      <w:r>
        <w:t xml:space="preserve">L_712   </w:t>
      </w:r>
      <w:r>
        <w:rPr>
          <w:rStyle w:val="htmlcodes"/>
        </w:rPr>
        <w:t>&lt;/a&gt;</w:t>
      </w:r>
      <w:r>
        <w:tab/>
        <w:t>/* flags a PA, unless MAI (then lexer A) */</w:t>
      </w:r>
    </w:p>
    <w:p w:rsidR="00B72047" w:rsidRDefault="00B72047">
      <w:pPr>
        <w:pStyle w:val="YACC"/>
        <w:tabs>
          <w:tab w:val="left" w:pos="6840"/>
        </w:tabs>
        <w:rPr>
          <w:rStyle w:val="deletedparamark"/>
          <w:sz w:val="16"/>
          <w:szCs w:val="16"/>
        </w:rPr>
      </w:pPr>
      <w:r>
        <w:t>%token lexer_</w:t>
      </w:r>
      <w:r>
        <w:rPr>
          <w:rStyle w:val="htmlcodes"/>
        </w:rPr>
        <w:t>&lt;a name=y713&gt;</w:t>
      </w:r>
      <w:r>
        <w:t xml:space="preserve">M_713  </w:t>
      </w:r>
      <w:r>
        <w:rPr>
          <w:rStyle w:val="htmlcodes"/>
        </w:rPr>
        <w:t>&lt;/a&gt;</w:t>
      </w:r>
      <w:r>
        <w:tab/>
        <w:t>/* flags a GIhEK_BO */</w:t>
      </w:r>
    </w:p>
    <w:p w:rsidR="00B72047" w:rsidRDefault="00B72047">
      <w:pPr>
        <w:pStyle w:val="YACC"/>
        <w:tabs>
          <w:tab w:val="left" w:pos="6840"/>
        </w:tabs>
        <w:rPr>
          <w:rStyle w:val="deletedparamark"/>
          <w:sz w:val="16"/>
          <w:szCs w:val="16"/>
        </w:rPr>
      </w:pPr>
      <w:r>
        <w:t>%token lexer_</w:t>
      </w:r>
      <w:r>
        <w:rPr>
          <w:rStyle w:val="htmlcodes"/>
        </w:rPr>
        <w:t>&lt;a name=y714&gt;</w:t>
      </w:r>
      <w:r>
        <w:t xml:space="preserve">N_714  </w:t>
      </w:r>
      <w:r>
        <w:rPr>
          <w:rStyle w:val="htmlcodes"/>
        </w:rPr>
        <w:t>&lt;/a&gt;</w:t>
      </w:r>
      <w:r>
        <w:tab/>
        <w:t>/* flags a GIhEK_KE */</w:t>
      </w:r>
    </w:p>
    <w:p w:rsidR="00B72047" w:rsidRDefault="00B72047">
      <w:pPr>
        <w:pStyle w:val="YACC"/>
        <w:tabs>
          <w:tab w:val="left" w:pos="6840"/>
        </w:tabs>
        <w:rPr>
          <w:rStyle w:val="deletedparamark"/>
          <w:sz w:val="16"/>
          <w:szCs w:val="16"/>
        </w:rPr>
      </w:pPr>
      <w:r>
        <w:t>%token lexer_</w:t>
      </w:r>
      <w:r>
        <w:rPr>
          <w:rStyle w:val="htmlcodes"/>
        </w:rPr>
        <w:t>&lt;a name=y715&gt;</w:t>
      </w:r>
      <w:r>
        <w:t xml:space="preserve">O_715  </w:t>
      </w:r>
      <w:r>
        <w:rPr>
          <w:rStyle w:val="htmlcodes"/>
        </w:rPr>
        <w:t>&lt;/a&gt;</w:t>
      </w:r>
      <w:r>
        <w:tab/>
        <w:t>/* flags a modal operator BAI or compound */</w:t>
      </w:r>
    </w:p>
    <w:p w:rsidR="00B72047" w:rsidRDefault="00B72047">
      <w:pPr>
        <w:pStyle w:val="YACC"/>
        <w:tabs>
          <w:tab w:val="left" w:pos="6840"/>
        </w:tabs>
        <w:rPr>
          <w:rStyle w:val="deletedparamark"/>
          <w:sz w:val="16"/>
          <w:szCs w:val="16"/>
        </w:rPr>
      </w:pPr>
      <w:r>
        <w:t>%token lexer_</w:t>
      </w:r>
      <w:r>
        <w:rPr>
          <w:rStyle w:val="htmlcodes"/>
        </w:rPr>
        <w:t>&lt;a name=y716&gt;</w:t>
      </w:r>
      <w:r>
        <w:t xml:space="preserve">P_716  </w:t>
      </w:r>
      <w:r>
        <w:rPr>
          <w:rStyle w:val="htmlcodes"/>
        </w:rPr>
        <w:t>&lt;/a&gt;</w:t>
      </w:r>
      <w:r>
        <w:tab/>
        <w:t>/* flags a GIK */</w:t>
      </w:r>
    </w:p>
    <w:p w:rsidR="00B72047" w:rsidRDefault="00B72047">
      <w:pPr>
        <w:pStyle w:val="YACC"/>
        <w:tabs>
          <w:tab w:val="left" w:pos="6840"/>
        </w:tabs>
        <w:rPr>
          <w:rStyle w:val="deletedparamark"/>
          <w:sz w:val="16"/>
          <w:szCs w:val="16"/>
        </w:rPr>
      </w:pPr>
      <w:r>
        <w:t>%token lexer_</w:t>
      </w:r>
      <w:r>
        <w:rPr>
          <w:rStyle w:val="htmlcodes"/>
        </w:rPr>
        <w:t>&lt;a name=y717&gt;</w:t>
      </w:r>
      <w:r>
        <w:t xml:space="preserve">Q_717  </w:t>
      </w:r>
      <w:r>
        <w:rPr>
          <w:rStyle w:val="htmlcodes"/>
        </w:rPr>
        <w:t>&lt;/a&gt;</w:t>
      </w:r>
      <w:r>
        <w:tab/>
        <w:t>/* flags a lerfu_string unless MAI (then lexer_A)*/</w:t>
      </w:r>
    </w:p>
    <w:p w:rsidR="00B72047" w:rsidRDefault="00B72047">
      <w:pPr>
        <w:pStyle w:val="YACC"/>
        <w:tabs>
          <w:tab w:val="left" w:pos="6840"/>
        </w:tabs>
        <w:rPr>
          <w:rStyle w:val="deletedparamark"/>
          <w:sz w:val="16"/>
          <w:szCs w:val="16"/>
        </w:rPr>
      </w:pPr>
      <w:r>
        <w:t>%token lexer_</w:t>
      </w:r>
      <w:r>
        <w:rPr>
          <w:rStyle w:val="htmlcodes"/>
        </w:rPr>
        <w:t>&lt;a name=y718&gt;</w:t>
      </w:r>
      <w:r>
        <w:t xml:space="preserve">R_718  </w:t>
      </w:r>
      <w:r>
        <w:rPr>
          <w:rStyle w:val="htmlcodes"/>
        </w:rPr>
        <w:t>&lt;/a&gt;</w:t>
      </w:r>
      <w:r>
        <w:tab/>
        <w:t>/* flags a GIhEK, not BO or KE */</w:t>
      </w:r>
    </w:p>
    <w:p w:rsidR="00B72047" w:rsidRDefault="00B72047">
      <w:pPr>
        <w:pStyle w:val="YACC"/>
        <w:tabs>
          <w:tab w:val="left" w:pos="6840"/>
        </w:tabs>
        <w:rPr>
          <w:rStyle w:val="deletedparamark"/>
          <w:sz w:val="16"/>
          <w:szCs w:val="16"/>
        </w:rPr>
      </w:pPr>
      <w:r>
        <w:t>%token lexer_</w:t>
      </w:r>
      <w:r>
        <w:rPr>
          <w:rStyle w:val="htmlcodes"/>
        </w:rPr>
        <w:t>&lt;a name=y719&gt;</w:t>
      </w:r>
      <w:r>
        <w:t xml:space="preserve">S_719  </w:t>
      </w:r>
      <w:r>
        <w:rPr>
          <w:rStyle w:val="htmlcodes"/>
        </w:rPr>
        <w:t>&lt;/a&gt;</w:t>
      </w:r>
      <w:r>
        <w:tab/>
        <w:t>/* flags simple I */</w:t>
      </w:r>
    </w:p>
    <w:p w:rsidR="00B72047" w:rsidRDefault="00B72047">
      <w:pPr>
        <w:pStyle w:val="YACC"/>
        <w:tabs>
          <w:tab w:val="left" w:pos="6840"/>
        </w:tabs>
        <w:rPr>
          <w:rStyle w:val="deletedparamark"/>
          <w:sz w:val="16"/>
          <w:szCs w:val="16"/>
        </w:rPr>
      </w:pPr>
      <w:r>
        <w:t>%token lexer_</w:t>
      </w:r>
      <w:r>
        <w:rPr>
          <w:rStyle w:val="htmlcodes"/>
        </w:rPr>
        <w:t>&lt;a name=y720&gt;</w:t>
      </w:r>
      <w:r>
        <w:t xml:space="preserve">T_720   </w:t>
      </w:r>
      <w:r>
        <w:rPr>
          <w:rStyle w:val="htmlcodes"/>
        </w:rPr>
        <w:t>&lt;/a&gt;</w:t>
      </w:r>
      <w:r>
        <w:tab/>
        <w:t>/* flags I_JEK */</w:t>
      </w:r>
    </w:p>
    <w:p w:rsidR="00B72047" w:rsidRDefault="00B72047">
      <w:pPr>
        <w:pStyle w:val="YACC"/>
        <w:tabs>
          <w:tab w:val="left" w:pos="6840"/>
        </w:tabs>
        <w:rPr>
          <w:rStyle w:val="deletedparamark"/>
          <w:sz w:val="16"/>
          <w:szCs w:val="16"/>
        </w:rPr>
      </w:pPr>
      <w:r>
        <w:t>%token lexer_</w:t>
      </w:r>
      <w:r>
        <w:rPr>
          <w:rStyle w:val="htmlcodes"/>
        </w:rPr>
        <w:t>&lt;a name=y721&gt;</w:t>
      </w:r>
      <w:r>
        <w:t xml:space="preserve">U_721   </w:t>
      </w:r>
      <w:r>
        <w:rPr>
          <w:rStyle w:val="htmlcodes"/>
        </w:rPr>
        <w:t>&lt;/a&gt;</w:t>
      </w:r>
      <w:r>
        <w:tab/>
        <w:t>/* flags a JEK_BO */</w:t>
      </w:r>
    </w:p>
    <w:p w:rsidR="00B72047" w:rsidRDefault="00B72047">
      <w:pPr>
        <w:pStyle w:val="YACC"/>
        <w:tabs>
          <w:tab w:val="left" w:pos="6840"/>
        </w:tabs>
        <w:rPr>
          <w:rStyle w:val="deletedparamark"/>
          <w:sz w:val="16"/>
          <w:szCs w:val="16"/>
        </w:rPr>
      </w:pPr>
      <w:r>
        <w:t>%token lexer_</w:t>
      </w:r>
      <w:r>
        <w:rPr>
          <w:rStyle w:val="htmlcodes"/>
        </w:rPr>
        <w:t>&lt;a name=y722&gt;</w:t>
      </w:r>
      <w:r>
        <w:t xml:space="preserve">V_722   </w:t>
      </w:r>
      <w:r>
        <w:rPr>
          <w:rStyle w:val="htmlcodes"/>
        </w:rPr>
        <w:t>&lt;/a&gt;</w:t>
      </w:r>
      <w:r>
        <w:tab/>
        <w:t>/* flags a JOIK_BO */</w:t>
      </w:r>
    </w:p>
    <w:p w:rsidR="00B72047" w:rsidRDefault="00B72047">
      <w:pPr>
        <w:pStyle w:val="YACC"/>
        <w:tabs>
          <w:tab w:val="left" w:pos="6840"/>
        </w:tabs>
      </w:pPr>
      <w:r>
        <w:t>%token lexer_</w:t>
      </w:r>
      <w:r>
        <w:rPr>
          <w:rStyle w:val="htmlcodes"/>
        </w:rPr>
        <w:t>&lt;a name=y723&gt;</w:t>
      </w:r>
      <w:r>
        <w:t xml:space="preserve">W_723  </w:t>
      </w:r>
      <w:r>
        <w:rPr>
          <w:rStyle w:val="htmlcodes"/>
        </w:rPr>
        <w:t>&lt;/a&gt;</w:t>
      </w:r>
      <w:r>
        <w:tab/>
        <w:t>/* flags a JOIK_KE */</w:t>
      </w:r>
      <w:r>
        <w:rPr>
          <w:rStyle w:val="deletedparamark"/>
          <w:sz w:val="16"/>
          <w:szCs w:val="16"/>
        </w:rPr>
        <w:tab/>
        <w:t>/*</w:t>
      </w:r>
    </w:p>
    <w:p w:rsidR="00B72047" w:rsidRDefault="00B72047">
      <w:pPr>
        <w:pStyle w:val="YACC"/>
        <w:tabs>
          <w:tab w:val="left" w:pos="6840"/>
        </w:tabs>
        <w:rPr>
          <w:rStyle w:val="deletedparamark"/>
          <w:sz w:val="16"/>
          <w:szCs w:val="16"/>
        </w:rPr>
      </w:pPr>
      <w:r>
        <w:t>%token lexer_</w:t>
      </w:r>
      <w:r>
        <w:rPr>
          <w:rStyle w:val="htmlcodes"/>
        </w:rPr>
        <w:t>&lt;a name=y724&gt;</w:t>
      </w:r>
      <w:r>
        <w:t xml:space="preserve">X_724  </w:t>
      </w:r>
      <w:r>
        <w:rPr>
          <w:rStyle w:val="htmlcodes"/>
        </w:rPr>
        <w:t>&lt;/a&gt;</w:t>
      </w:r>
      <w:r>
        <w:tab/>
        <w:t>/* null */</w:t>
      </w:r>
    </w:p>
    <w:p w:rsidR="00B72047" w:rsidRDefault="00B72047">
      <w:pPr>
        <w:pStyle w:val="YACC"/>
        <w:tabs>
          <w:tab w:val="left" w:pos="6840"/>
        </w:tabs>
      </w:pPr>
      <w:r>
        <w:t>%token lexer_</w:t>
      </w:r>
      <w:r>
        <w:rPr>
          <w:rStyle w:val="htmlcodes"/>
        </w:rPr>
        <w:t>&lt;a name=y725&gt;</w:t>
      </w:r>
      <w:r>
        <w:t xml:space="preserve">Y_725  </w:t>
      </w:r>
      <w:r>
        <w:rPr>
          <w:rStyle w:val="htmlcodes"/>
        </w:rPr>
        <w:t>&lt;/a&gt;</w:t>
      </w:r>
      <w:r>
        <w:tab/>
        <w:t>/* flags a PA_MOI */</w:t>
      </w:r>
    </w:p>
    <w:p w:rsidR="00B72047" w:rsidRDefault="00B72047">
      <w:pPr>
        <w:pStyle w:val="YACCtoken"/>
        <w:tabs>
          <w:tab w:val="left" w:pos="6840"/>
        </w:tabs>
      </w:pPr>
      <w:r>
        <w:rPr>
          <w:rStyle w:val="deletedparamark"/>
          <w:sz w:val="16"/>
          <w:szCs w:val="16"/>
        </w:rPr>
        <w:tab/>
        <w:t>/*</w:t>
      </w:r>
    </w:p>
    <w:p w:rsidR="00B72047" w:rsidRDefault="00B72047">
      <w:pPr>
        <w:pStyle w:val="YACC"/>
        <w:tabs>
          <w:tab w:val="left" w:pos="6840"/>
        </w:tabs>
      </w:pPr>
      <w:r>
        <w:t>%token lexer_A_905</w:t>
      </w:r>
      <w:r>
        <w:tab/>
        <w:t>/* :</w:t>
      </w:r>
      <w:r>
        <w:tab/>
        <w:t>lexer_A_701   utt_ordinal_root_906  */</w:t>
      </w:r>
      <w:r>
        <w:rPr>
          <w:rStyle w:val="deletedparamark"/>
          <w:sz w:val="16"/>
          <w:szCs w:val="16"/>
        </w:rPr>
        <w:tab/>
        <w:t>/*</w:t>
      </w:r>
    </w:p>
    <w:p w:rsidR="00B72047" w:rsidRDefault="00B72047">
      <w:pPr>
        <w:pStyle w:val="YACC"/>
        <w:tabs>
          <w:tab w:val="left" w:pos="6840"/>
        </w:tabs>
      </w:pPr>
      <w:r>
        <w:t>%token lexer_B_910</w:t>
      </w:r>
      <w:r>
        <w:tab/>
        <w:t>/* :</w:t>
      </w:r>
      <w:r>
        <w:tab/>
        <w:t>lexer_B_702   EK_root_911   */</w:t>
      </w:r>
      <w:r>
        <w:rPr>
          <w:rStyle w:val="deletedparamark"/>
          <w:sz w:val="16"/>
          <w:szCs w:val="16"/>
        </w:rPr>
        <w:tab/>
        <w:t>/*</w:t>
      </w:r>
    </w:p>
    <w:p w:rsidR="00B72047" w:rsidRDefault="00B72047">
      <w:pPr>
        <w:pStyle w:val="YACC"/>
        <w:tabs>
          <w:tab w:val="left" w:pos="6840"/>
        </w:tabs>
      </w:pPr>
      <w:r>
        <w:t>%token lexer_C_915</w:t>
      </w:r>
      <w:r>
        <w:tab/>
        <w:t>/* :</w:t>
      </w:r>
      <w:r>
        <w:tab/>
        <w:t>lexer_C_703  EK_root_911   BO_508  */</w:t>
      </w:r>
      <w:r>
        <w:rPr>
          <w:rStyle w:val="deletedparamark"/>
          <w:sz w:val="16"/>
          <w:szCs w:val="16"/>
        </w:rPr>
        <w:tab/>
        <w:t>/*</w:t>
      </w:r>
    </w:p>
    <w:p w:rsidR="00B72047" w:rsidRDefault="00B72047">
      <w:pPr>
        <w:pStyle w:val="YACC"/>
        <w:tabs>
          <w:tab w:val="left" w:pos="6840"/>
        </w:tabs>
      </w:pPr>
      <w:r>
        <w:t>%token lexer_D_916</w:t>
      </w:r>
      <w:r>
        <w:tab/>
        <w:t>/* :</w:t>
      </w:r>
      <w:r>
        <w:tab/>
        <w:t>lexer_D_704  EK_root_911   KE_551   */</w:t>
      </w:r>
      <w:r>
        <w:rPr>
          <w:rStyle w:val="deletedparamark"/>
          <w:sz w:val="16"/>
          <w:szCs w:val="16"/>
        </w:rPr>
        <w:tab/>
        <w:t>/*</w:t>
      </w:r>
    </w:p>
    <w:p w:rsidR="00B72047" w:rsidRDefault="00B72047">
      <w:pPr>
        <w:pStyle w:val="YACC"/>
        <w:tabs>
          <w:tab w:val="left" w:pos="6840"/>
        </w:tabs>
      </w:pPr>
      <w:r>
        <w:t>%token lexer_E_925</w:t>
      </w:r>
      <w:r>
        <w:tab/>
        <w:t>/* :</w:t>
      </w:r>
      <w:r>
        <w:tab/>
        <w:t>lexer_E_705  JEK_root_926  */</w:t>
      </w:r>
      <w:r>
        <w:rPr>
          <w:rStyle w:val="deletedparamark"/>
          <w:sz w:val="16"/>
          <w:szCs w:val="16"/>
        </w:rPr>
        <w:tab/>
        <w:t>/*</w:t>
      </w:r>
    </w:p>
    <w:p w:rsidR="00B72047" w:rsidRDefault="00B72047">
      <w:pPr>
        <w:pStyle w:val="YACC"/>
        <w:tabs>
          <w:tab w:val="left" w:pos="6840"/>
        </w:tabs>
      </w:pPr>
      <w:r>
        <w:t>%token lexer_F_930</w:t>
      </w:r>
      <w:r>
        <w:tab/>
        <w:t>/* :</w:t>
      </w:r>
      <w:r>
        <w:tab/>
        <w:t>lexer_F_706  JOIK_root_931   */</w:t>
      </w:r>
      <w:r>
        <w:rPr>
          <w:rStyle w:val="deletedparamark"/>
          <w:sz w:val="16"/>
          <w:szCs w:val="16"/>
        </w:rPr>
        <w:tab/>
        <w:t>/*</w:t>
      </w:r>
    </w:p>
    <w:p w:rsidR="00B72047" w:rsidRDefault="00B72047">
      <w:pPr>
        <w:pStyle w:val="YACC"/>
        <w:tabs>
          <w:tab w:val="left" w:pos="6840"/>
        </w:tabs>
      </w:pPr>
      <w:r>
        <w:t>%token lexer_G_935</w:t>
      </w:r>
      <w:r>
        <w:tab/>
        <w:t>/* :</w:t>
      </w:r>
      <w:r>
        <w:tab/>
        <w:t>lexer_G_707  GA_537  */</w:t>
      </w:r>
      <w:r>
        <w:rPr>
          <w:rStyle w:val="deletedparamark"/>
          <w:sz w:val="16"/>
          <w:szCs w:val="16"/>
        </w:rPr>
        <w:tab/>
        <w:t>/*</w:t>
      </w:r>
    </w:p>
    <w:p w:rsidR="00B72047" w:rsidRDefault="00B72047">
      <w:pPr>
        <w:pStyle w:val="YACC"/>
        <w:tabs>
          <w:tab w:val="left" w:pos="6840"/>
        </w:tabs>
      </w:pPr>
      <w:r>
        <w:t>%token lexer_H_940</w:t>
      </w:r>
      <w:r>
        <w:tab/>
        <w:t>/* :</w:t>
      </w:r>
      <w:r>
        <w:tab/>
        <w:t>lexer_H_708  GUhA_544  */</w:t>
      </w:r>
      <w:r>
        <w:rPr>
          <w:rStyle w:val="deletedparamark"/>
          <w:sz w:val="16"/>
          <w:szCs w:val="16"/>
        </w:rPr>
        <w:tab/>
        <w:t>/*</w:t>
      </w:r>
    </w:p>
    <w:p w:rsidR="00B72047" w:rsidRDefault="00B72047">
      <w:pPr>
        <w:pStyle w:val="YACC"/>
        <w:tabs>
          <w:tab w:val="left" w:pos="6840"/>
        </w:tabs>
      </w:pPr>
      <w:r>
        <w:t>%token lexer_I_945</w:t>
      </w:r>
      <w:r>
        <w:tab/>
        <w:t>/* :</w:t>
      </w:r>
      <w:r>
        <w:tab/>
        <w:t>lexer_I_709  NAhE_583  BO_508  */</w:t>
      </w:r>
      <w:r>
        <w:rPr>
          <w:rStyle w:val="deletedparamark"/>
          <w:sz w:val="16"/>
          <w:szCs w:val="16"/>
        </w:rPr>
        <w:tab/>
        <w:t>/*</w:t>
      </w:r>
    </w:p>
    <w:p w:rsidR="00B72047" w:rsidRDefault="00B72047">
      <w:pPr>
        <w:pStyle w:val="YACC"/>
        <w:tabs>
          <w:tab w:val="left" w:pos="6840"/>
        </w:tabs>
      </w:pPr>
      <w:r>
        <w:t>%token lexer_J_950</w:t>
      </w:r>
      <w:r>
        <w:tab/>
        <w:t>/* :</w:t>
      </w:r>
      <w:r>
        <w:tab/>
        <w:t>lexer_J_710   NA_578  KU_556  */</w:t>
      </w:r>
      <w:r>
        <w:rPr>
          <w:rStyle w:val="deletedparamark"/>
          <w:sz w:val="16"/>
          <w:szCs w:val="16"/>
        </w:rPr>
        <w:tab/>
        <w:t>/*</w:t>
      </w:r>
    </w:p>
    <w:p w:rsidR="00B72047" w:rsidRDefault="00B72047">
      <w:pPr>
        <w:pStyle w:val="YACC"/>
        <w:tabs>
          <w:tab w:val="left" w:pos="6840"/>
        </w:tabs>
      </w:pPr>
      <w:r>
        <w:t>%token lexer_K_955</w:t>
      </w:r>
      <w:r>
        <w:tab/>
        <w:t>/* :</w:t>
      </w:r>
      <w:r>
        <w:tab/>
        <w:t>lexer_K_711   I_432   BO_508  */</w:t>
      </w:r>
      <w:r>
        <w:rPr>
          <w:rStyle w:val="deletedparamark"/>
          <w:sz w:val="16"/>
          <w:szCs w:val="16"/>
        </w:rPr>
        <w:tab/>
        <w:t>/*</w:t>
      </w:r>
    </w:p>
    <w:p w:rsidR="00B72047" w:rsidRDefault="00B72047">
      <w:pPr>
        <w:pStyle w:val="YACC"/>
        <w:tabs>
          <w:tab w:val="left" w:pos="6840"/>
        </w:tabs>
      </w:pPr>
      <w:r>
        <w:t>%token lexer_L_960</w:t>
      </w:r>
      <w:r>
        <w:tab/>
        <w:t>/* :</w:t>
      </w:r>
      <w:r>
        <w:tab/>
        <w:t>lexer_L_712   number_root_961   */</w:t>
      </w:r>
      <w:r>
        <w:rPr>
          <w:rStyle w:val="deletedparamark"/>
          <w:sz w:val="16"/>
          <w:szCs w:val="16"/>
        </w:rPr>
        <w:tab/>
        <w:t>/*</w:t>
      </w:r>
    </w:p>
    <w:p w:rsidR="00B72047" w:rsidRDefault="00B72047">
      <w:pPr>
        <w:pStyle w:val="YACC"/>
        <w:tabs>
          <w:tab w:val="left" w:pos="6840"/>
        </w:tabs>
      </w:pPr>
      <w:r>
        <w:t>%token lexer_M_965</w:t>
      </w:r>
      <w:r>
        <w:tab/>
        <w:t>/* :</w:t>
      </w:r>
      <w:r>
        <w:tab/>
        <w:t>lexer_M_713  GIhEK_root_991   BO_508  */</w:t>
      </w:r>
      <w:r>
        <w:rPr>
          <w:rStyle w:val="deletedparamark"/>
          <w:sz w:val="16"/>
          <w:szCs w:val="16"/>
        </w:rPr>
        <w:tab/>
        <w:t>/*</w:t>
      </w:r>
    </w:p>
    <w:p w:rsidR="00B72047" w:rsidRDefault="00B72047">
      <w:pPr>
        <w:pStyle w:val="YACC"/>
        <w:tabs>
          <w:tab w:val="left" w:pos="6840"/>
        </w:tabs>
      </w:pPr>
      <w:r>
        <w:t>%token lexer_N_966</w:t>
      </w:r>
      <w:r>
        <w:tab/>
        <w:t>/* :</w:t>
      </w:r>
      <w:r>
        <w:tab/>
        <w:t>lexer_N_714  GIhEK_root_991   KE_551   */</w:t>
      </w:r>
      <w:r>
        <w:rPr>
          <w:rStyle w:val="deletedparamark"/>
          <w:sz w:val="16"/>
          <w:szCs w:val="16"/>
        </w:rPr>
        <w:tab/>
        <w:t>/*</w:t>
      </w:r>
    </w:p>
    <w:p w:rsidR="00B72047" w:rsidRDefault="00B72047">
      <w:pPr>
        <w:pStyle w:val="YACC"/>
        <w:tabs>
          <w:tab w:val="left" w:pos="6840"/>
        </w:tabs>
      </w:pPr>
      <w:r>
        <w:t>%token lexer_O_970</w:t>
      </w:r>
      <w:r>
        <w:tab/>
        <w:t>/* :</w:t>
      </w:r>
      <w:r>
        <w:tab/>
        <w:t>lexer_O_715  simple_tense_modal_972   */</w:t>
      </w:r>
      <w:r>
        <w:rPr>
          <w:rStyle w:val="deletedparamark"/>
          <w:sz w:val="16"/>
          <w:szCs w:val="16"/>
        </w:rPr>
        <w:tab/>
        <w:t>/*</w:t>
      </w:r>
    </w:p>
    <w:p w:rsidR="00B72047" w:rsidRDefault="00B72047">
      <w:pPr>
        <w:pStyle w:val="YACC"/>
        <w:tabs>
          <w:tab w:val="left" w:pos="6840"/>
        </w:tabs>
      </w:pPr>
      <w:r>
        <w:t>%token lexer_P_980</w:t>
      </w:r>
      <w:r>
        <w:tab/>
        <w:t>/* :</w:t>
      </w:r>
      <w:r>
        <w:tab/>
        <w:t>lexer_P_716  GIK_root_981   */</w:t>
      </w:r>
      <w:r>
        <w:rPr>
          <w:rStyle w:val="deletedparamark"/>
          <w:sz w:val="16"/>
          <w:szCs w:val="16"/>
        </w:rPr>
        <w:tab/>
        <w:t>/*</w:t>
      </w:r>
    </w:p>
    <w:p w:rsidR="00B72047" w:rsidRDefault="00B72047">
      <w:pPr>
        <w:pStyle w:val="YACC"/>
        <w:tabs>
          <w:tab w:val="left" w:pos="6840"/>
        </w:tabs>
      </w:pPr>
      <w:r>
        <w:t>%token lexer_Q_985</w:t>
      </w:r>
      <w:r>
        <w:tab/>
        <w:t>/* :</w:t>
      </w:r>
      <w:r>
        <w:tab/>
        <w:t>lexer_Q_717  lerfu_string_root_986  */</w:t>
      </w:r>
      <w:r>
        <w:rPr>
          <w:rStyle w:val="deletedparamark"/>
          <w:sz w:val="16"/>
          <w:szCs w:val="16"/>
        </w:rPr>
        <w:tab/>
        <w:t>/*</w:t>
      </w:r>
    </w:p>
    <w:p w:rsidR="00B72047" w:rsidRDefault="00B72047">
      <w:pPr>
        <w:pStyle w:val="YACC"/>
        <w:tabs>
          <w:tab w:val="left" w:pos="6840"/>
        </w:tabs>
      </w:pPr>
      <w:r>
        <w:t>%token lexer_R_990</w:t>
      </w:r>
      <w:r>
        <w:tab/>
        <w:t>/* :</w:t>
      </w:r>
      <w:r>
        <w:tab/>
        <w:t>lexer_R_718  GIhEK_root_991   */</w:t>
      </w:r>
      <w:r>
        <w:rPr>
          <w:rStyle w:val="deletedparamark"/>
          <w:sz w:val="16"/>
          <w:szCs w:val="16"/>
        </w:rPr>
        <w:tab/>
        <w:t>/*</w:t>
      </w:r>
    </w:p>
    <w:p w:rsidR="00B72047" w:rsidRDefault="00B72047">
      <w:pPr>
        <w:pStyle w:val="YACC"/>
        <w:tabs>
          <w:tab w:val="left" w:pos="6840"/>
        </w:tabs>
      </w:pPr>
      <w:r>
        <w:t>%token lexer_S_995</w:t>
      </w:r>
      <w:r>
        <w:tab/>
        <w:t>/* :</w:t>
      </w:r>
      <w:r>
        <w:tab/>
        <w:t>lexer_S_719  I_545  */</w:t>
      </w:r>
      <w:r>
        <w:rPr>
          <w:rStyle w:val="deletedparamark"/>
          <w:sz w:val="16"/>
          <w:szCs w:val="16"/>
        </w:rPr>
        <w:tab/>
        <w:t>/*</w:t>
      </w:r>
    </w:p>
    <w:p w:rsidR="00B72047" w:rsidRDefault="00B72047">
      <w:pPr>
        <w:pStyle w:val="YACC"/>
        <w:tabs>
          <w:tab w:val="left" w:pos="6840"/>
        </w:tabs>
      </w:pPr>
      <w:r>
        <w:t>%token lexer_T_1000</w:t>
      </w:r>
      <w:r>
        <w:tab/>
        <w:t>/* :</w:t>
      </w:r>
      <w:r>
        <w:tab/>
        <w:t>lexer_T_720   I_545  simple_JOIK_JEK_957  */</w:t>
      </w:r>
      <w:r>
        <w:rPr>
          <w:rStyle w:val="deletedparamark"/>
          <w:sz w:val="16"/>
          <w:szCs w:val="16"/>
        </w:rPr>
        <w:tab/>
        <w:t>/*</w:t>
      </w:r>
    </w:p>
    <w:p w:rsidR="00B72047" w:rsidRDefault="00B72047">
      <w:pPr>
        <w:pStyle w:val="YACC"/>
        <w:tabs>
          <w:tab w:val="left" w:pos="6840"/>
        </w:tabs>
      </w:pPr>
      <w:r>
        <w:t>%token lexer_U_1005</w:t>
      </w:r>
      <w:r>
        <w:tab/>
        <w:t>/* :</w:t>
      </w:r>
      <w:r>
        <w:tab/>
        <w:t>lexer_U_721   JEK_root_926  BO_508  */</w:t>
      </w:r>
      <w:r>
        <w:rPr>
          <w:rStyle w:val="deletedparamark"/>
          <w:sz w:val="16"/>
          <w:szCs w:val="16"/>
        </w:rPr>
        <w:tab/>
        <w:t>/*</w:t>
      </w:r>
    </w:p>
    <w:p w:rsidR="00B72047" w:rsidRDefault="00B72047">
      <w:pPr>
        <w:pStyle w:val="YACC"/>
        <w:tabs>
          <w:tab w:val="left" w:pos="6840"/>
        </w:tabs>
      </w:pPr>
      <w:r>
        <w:t>%token lexer_V_1010</w:t>
      </w:r>
      <w:r>
        <w:tab/>
        <w:t>/* :</w:t>
      </w:r>
      <w:r>
        <w:tab/>
        <w:t>lexer_V_722   JOIK_root_931   BO_508  */</w:t>
      </w:r>
      <w:r>
        <w:rPr>
          <w:rStyle w:val="deletedparamark"/>
          <w:sz w:val="16"/>
          <w:szCs w:val="16"/>
        </w:rPr>
        <w:tab/>
        <w:t>/*</w:t>
      </w:r>
    </w:p>
    <w:p w:rsidR="00B72047" w:rsidRDefault="00B72047">
      <w:pPr>
        <w:pStyle w:val="YACC"/>
        <w:tabs>
          <w:tab w:val="left" w:pos="6840"/>
        </w:tabs>
      </w:pPr>
      <w:r>
        <w:t>%token lexer_W_1015</w:t>
      </w:r>
      <w:r>
        <w:tab/>
        <w:t>/* :</w:t>
      </w:r>
      <w:r>
        <w:tab/>
        <w:t>lexer_W_723  JOIK_root_931   KE_551   */</w:t>
      </w:r>
      <w:r>
        <w:rPr>
          <w:rStyle w:val="deletedparamark"/>
          <w:sz w:val="16"/>
          <w:szCs w:val="16"/>
        </w:rPr>
        <w:tab/>
        <w:t>/*</w:t>
      </w:r>
    </w:p>
    <w:p w:rsidR="00B72047" w:rsidRDefault="00B72047">
      <w:pPr>
        <w:pStyle w:val="YACC"/>
        <w:tabs>
          <w:tab w:val="left" w:pos="6840"/>
        </w:tabs>
      </w:pPr>
      <w:r>
        <w:t>%token lexer_X_1020</w:t>
      </w:r>
      <w:r>
        <w:tab/>
        <w:t>/* null */</w:t>
      </w:r>
      <w:r>
        <w:rPr>
          <w:rStyle w:val="deletedparamark"/>
          <w:sz w:val="16"/>
          <w:szCs w:val="16"/>
        </w:rPr>
        <w:tab/>
        <w:t>/*</w:t>
      </w:r>
    </w:p>
    <w:p w:rsidR="00B72047" w:rsidRDefault="00B72047">
      <w:pPr>
        <w:pStyle w:val="YACC"/>
        <w:tabs>
          <w:tab w:val="left" w:pos="6840"/>
        </w:tabs>
      </w:pPr>
      <w:r>
        <w:t>%token lexer_Y_1025</w:t>
      </w:r>
      <w:r>
        <w:tab/>
        <w:t>/* :</w:t>
      </w:r>
      <w:r>
        <w:tab/>
        <w:t>lexer_Y_725  number_root_961   MOI_663  */</w:t>
      </w:r>
    </w:p>
    <w:p w:rsidR="00B72047" w:rsidRDefault="00B72047">
      <w:pPr>
        <w:pStyle w:val="YACCtoken"/>
      </w:pPr>
      <w:r>
        <w:t xml:space="preserve">%start </w:t>
      </w:r>
      <w:r>
        <w:rPr>
          <w:rStyle w:val="htmlcodes"/>
        </w:rPr>
        <w:t>&lt;a href=#y0&gt;</w:t>
      </w:r>
      <w:r>
        <w:t xml:space="preserve">text_0   </w:t>
      </w:r>
      <w:r>
        <w:rPr>
          <w:rStyle w:val="htmlcodes"/>
        </w:rPr>
        <w:t>&lt;/a&gt;</w:t>
      </w:r>
    </w:p>
    <w:p w:rsidR="00B72047" w:rsidRDefault="00B72047">
      <w:pPr>
        <w:pStyle w:val="YACCtoken"/>
      </w:pPr>
      <w:r>
        <w:t>%%</w:t>
      </w:r>
    </w:p>
    <w:p w:rsidR="00B72047" w:rsidRDefault="00B72047">
      <w:pPr>
        <w:pStyle w:val="YACCtoken"/>
      </w:pPr>
      <w:r>
        <w:rPr>
          <w:rStyle w:val="htmlcodes"/>
        </w:rPr>
        <w:t>&lt;a name=y0&gt;</w:t>
      </w:r>
      <w:r>
        <w:t xml:space="preserve">text_0  </w:t>
      </w:r>
      <w:r>
        <w:rPr>
          <w:rStyle w:val="htmlcodes"/>
        </w:rPr>
        <w:t>&lt;/a&gt;</w:t>
      </w:r>
      <w:r>
        <w:tab/>
        <w:t>:</w:t>
      </w:r>
      <w:r>
        <w:tab/>
      </w:r>
      <w:r>
        <w:rPr>
          <w:rStyle w:val="htmlcodes"/>
        </w:rPr>
        <w:t>&lt;a href=#y1&gt;</w:t>
      </w:r>
      <w:r>
        <w:t xml:space="preserve">text_A_1  </w:t>
      </w:r>
      <w:r>
        <w:rPr>
          <w:rStyle w:val="htmlcodes"/>
        </w:rPr>
        <w:t>&lt;/a&gt;</w:t>
      </w:r>
    </w:p>
    <w:p w:rsidR="00B72047" w:rsidRDefault="00B72047">
      <w:pPr>
        <w:pStyle w:val="YACC"/>
      </w:pPr>
      <w:r>
        <w:tab/>
        <w:t>|</w:t>
      </w:r>
      <w:r>
        <w:tab/>
      </w:r>
      <w:r>
        <w:rPr>
          <w:rStyle w:val="htmlcodes"/>
        </w:rPr>
        <w:t>&lt;a href=#y411&gt;</w:t>
      </w:r>
      <w:r>
        <w:t xml:space="preserve">indicators_411   </w:t>
      </w:r>
      <w:r>
        <w:rPr>
          <w:rStyle w:val="htmlcodes"/>
        </w:rPr>
        <w:t>&lt;/a&gt;&lt;a href=#y1&gt;</w:t>
      </w:r>
      <w:r>
        <w:t xml:space="preserve">text_A_1   </w:t>
      </w:r>
      <w:r>
        <w:rPr>
          <w:rStyle w:val="htmlcodes"/>
        </w:rPr>
        <w:t>&lt;/a&gt;</w:t>
      </w:r>
    </w:p>
    <w:p w:rsidR="00B72047" w:rsidRDefault="00B72047">
      <w:pPr>
        <w:pStyle w:val="YACC"/>
      </w:pPr>
      <w:r>
        <w:tab/>
        <w:t>|</w:t>
      </w:r>
      <w:r>
        <w:tab/>
      </w:r>
      <w:r>
        <w:rPr>
          <w:rStyle w:val="htmlcodes"/>
        </w:rPr>
        <w:t>&lt;a href=#y32&gt;</w:t>
      </w:r>
      <w:r>
        <w:t xml:space="preserve">free_modifier_32   </w:t>
      </w:r>
      <w:r>
        <w:rPr>
          <w:rStyle w:val="htmlcodes"/>
        </w:rPr>
        <w:t>&lt;/a&gt;&lt;a href=#y1&gt;</w:t>
      </w:r>
      <w:r>
        <w:t xml:space="preserve">text_A_1   </w:t>
      </w:r>
      <w:r>
        <w:rPr>
          <w:rStyle w:val="htmlcodes"/>
        </w:rPr>
        <w:t>&lt;/a&gt;</w:t>
      </w:r>
    </w:p>
    <w:p w:rsidR="00B72047" w:rsidRDefault="00B72047">
      <w:pPr>
        <w:pStyle w:val="YACC"/>
      </w:pPr>
      <w:r>
        <w:tab/>
        <w:t>|</w:t>
      </w:r>
      <w:r>
        <w:tab/>
      </w:r>
      <w:r>
        <w:rPr>
          <w:rStyle w:val="htmlcodes"/>
        </w:rPr>
        <w:t>&lt;a href=#y404&gt;</w:t>
      </w:r>
      <w:r>
        <w:t xml:space="preserve">cmene_404  </w:t>
      </w:r>
      <w:r>
        <w:rPr>
          <w:rStyle w:val="htmlcodes"/>
        </w:rPr>
        <w:t>&lt;/a&gt;&lt;a href=#y1&gt;</w:t>
      </w:r>
      <w:r>
        <w:t xml:space="preserve">text_A_1   </w:t>
      </w:r>
      <w:r>
        <w:rPr>
          <w:rStyle w:val="htmlcodes"/>
        </w:rPr>
        <w:t>&lt;/a&gt;</w:t>
      </w:r>
    </w:p>
    <w:p w:rsidR="00B72047" w:rsidRDefault="00B72047">
      <w:pPr>
        <w:pStyle w:val="YACC"/>
      </w:pPr>
      <w:r>
        <w:tab/>
        <w:t>|</w:t>
      </w:r>
      <w:r>
        <w:tab/>
      </w:r>
      <w:r>
        <w:rPr>
          <w:rStyle w:val="htmlcodes"/>
        </w:rPr>
        <w:t>&lt;a href=#y411&gt;</w:t>
      </w:r>
      <w:r>
        <w:t xml:space="preserve">indicators_411   </w:t>
      </w:r>
      <w:r>
        <w:rPr>
          <w:rStyle w:val="htmlcodes"/>
        </w:rPr>
        <w:t>&lt;/a&gt;&lt;a href=#y32&gt;</w:t>
      </w:r>
      <w:r>
        <w:t xml:space="preserve">free_modifier_32   </w:t>
      </w:r>
      <w:r>
        <w:rPr>
          <w:rStyle w:val="htmlcodes"/>
        </w:rPr>
        <w:t>&lt;/a&gt;&lt;a href=#y1&gt;</w:t>
      </w:r>
      <w:r>
        <w:t xml:space="preserve">text_A_1   </w:t>
      </w:r>
      <w:r>
        <w:rPr>
          <w:rStyle w:val="htmlcodes"/>
        </w:rPr>
        <w:t>&lt;/a&gt;</w:t>
      </w:r>
    </w:p>
    <w:p w:rsidR="00B72047" w:rsidRDefault="00B72047">
      <w:pPr>
        <w:pStyle w:val="YACC"/>
      </w:pPr>
      <w:r>
        <w:tab/>
        <w:t>|</w:t>
      </w:r>
      <w:r>
        <w:tab/>
      </w:r>
      <w:r>
        <w:rPr>
          <w:rStyle w:val="htmlcodes"/>
        </w:rPr>
        <w:t>&lt;a href=#y581&gt;</w:t>
      </w:r>
      <w:r>
        <w:t xml:space="preserve">NAI_581   </w:t>
      </w:r>
      <w:r>
        <w:rPr>
          <w:rStyle w:val="htmlcodes"/>
        </w:rPr>
        <w:t>&lt;/a&gt;&lt;a href=#y0&gt;</w:t>
      </w:r>
      <w:r>
        <w:t xml:space="preserve">text_0   </w:t>
      </w:r>
      <w:r>
        <w:rPr>
          <w:rStyle w:val="htmlcodes"/>
        </w:rPr>
        <w:t>&lt;/a&gt;</w:t>
      </w:r>
    </w:p>
    <w:p w:rsidR="00B72047" w:rsidRDefault="00B72047">
      <w:pPr>
        <w:pStyle w:val="YACC"/>
      </w:pPr>
      <w:r>
        <w:tab/>
        <w:t>;</w:t>
      </w:r>
    </w:p>
    <w:p w:rsidR="00B72047" w:rsidRDefault="00B72047">
      <w:pPr>
        <w:pStyle w:val="YACCtoken"/>
      </w:pPr>
      <w:r>
        <w:rPr>
          <w:rStyle w:val="htmlcodes"/>
        </w:rPr>
        <w:t>&lt;a name=y1&gt;</w:t>
      </w:r>
      <w:r>
        <w:t xml:space="preserve">text_A_1  </w:t>
      </w:r>
      <w:r>
        <w:rPr>
          <w:rStyle w:val="htmlcodes"/>
        </w:rPr>
        <w:t>&lt;/a&gt;</w:t>
      </w:r>
      <w:r>
        <w:tab/>
        <w:t>:</w:t>
      </w:r>
      <w:r>
        <w:tab/>
      </w:r>
      <w:r>
        <w:rPr>
          <w:rStyle w:val="htmlcodes"/>
        </w:rPr>
        <w:t>&lt;a href=#y422&gt;</w:t>
      </w:r>
      <w:r>
        <w:t xml:space="preserve">JOIK_JEK_422  </w:t>
      </w:r>
      <w:r>
        <w:rPr>
          <w:rStyle w:val="htmlcodes"/>
        </w:rPr>
        <w:t>&lt;/a&gt;&lt;a href=#y2&gt;</w:t>
      </w:r>
      <w:r>
        <w:t xml:space="preserve">text_B_2  </w:t>
      </w:r>
      <w:r>
        <w:rPr>
          <w:rStyle w:val="htmlcodes"/>
        </w:rPr>
        <w:t>&lt;/a&gt;</w:t>
      </w:r>
    </w:p>
    <w:p w:rsidR="00B72047" w:rsidRDefault="00B72047">
      <w:pPr>
        <w:pStyle w:val="YACC"/>
      </w:pPr>
      <w:r>
        <w:tab/>
      </w:r>
      <w:r>
        <w:tab/>
        <w:t>/* incomplete JOIK_JEK without preceding I */</w:t>
      </w:r>
    </w:p>
    <w:p w:rsidR="00B72047" w:rsidRDefault="00B72047">
      <w:pPr>
        <w:pStyle w:val="YACC"/>
      </w:pPr>
      <w:r>
        <w:tab/>
      </w:r>
      <w:r>
        <w:tab/>
        <w:t xml:space="preserve">/* compare note on </w:t>
      </w:r>
      <w:r>
        <w:rPr>
          <w:rStyle w:val="htmlcodes"/>
        </w:rPr>
        <w:t>&lt;a href=#y10&gt;</w:t>
      </w:r>
      <w:r>
        <w:t xml:space="preserve">paragraph_10   </w:t>
      </w:r>
      <w:r>
        <w:rPr>
          <w:rStyle w:val="htmlcodes"/>
        </w:rPr>
        <w:t>&lt;/a&gt;</w:t>
      </w:r>
      <w:r>
        <w:t>*/</w:t>
      </w:r>
    </w:p>
    <w:p w:rsidR="00B72047" w:rsidRDefault="00B72047">
      <w:pPr>
        <w:pStyle w:val="YACC"/>
      </w:pPr>
      <w:r>
        <w:tab/>
        <w:t>|</w:t>
      </w:r>
      <w:r>
        <w:tab/>
      </w:r>
      <w:r>
        <w:rPr>
          <w:rStyle w:val="htmlcodes"/>
        </w:rPr>
        <w:t>&lt;a href=#y2&gt;</w:t>
      </w:r>
      <w:r>
        <w:t xml:space="preserve">text_B_2   </w:t>
      </w:r>
      <w:r>
        <w:rPr>
          <w:rStyle w:val="htmlcodes"/>
        </w:rPr>
        <w:t>&lt;/a&gt;</w:t>
      </w:r>
    </w:p>
    <w:p w:rsidR="00B72047" w:rsidRDefault="00B72047">
      <w:pPr>
        <w:pStyle w:val="YACC"/>
      </w:pPr>
      <w:r>
        <w:tab/>
        <w:t>;</w:t>
      </w:r>
    </w:p>
    <w:p w:rsidR="00B72047" w:rsidRDefault="00B72047">
      <w:pPr>
        <w:pStyle w:val="YACCtoken"/>
      </w:pPr>
      <w:r>
        <w:rPr>
          <w:rStyle w:val="htmlcodes"/>
        </w:rPr>
        <w:t>&lt;a name=y2&gt;</w:t>
      </w:r>
      <w:r>
        <w:t xml:space="preserve">text_B_2  </w:t>
      </w:r>
      <w:r>
        <w:rPr>
          <w:rStyle w:val="htmlcodes"/>
        </w:rPr>
        <w:t>&lt;/a&gt;</w:t>
      </w:r>
      <w:r>
        <w:tab/>
        <w:t>:</w:t>
      </w:r>
      <w:r>
        <w:tab/>
      </w:r>
      <w:r>
        <w:rPr>
          <w:rStyle w:val="htmlcodes"/>
        </w:rPr>
        <w:t>&lt;a href=#y819&gt;</w:t>
      </w:r>
      <w:r>
        <w:t xml:space="preserve">I_819  </w:t>
      </w:r>
      <w:r>
        <w:rPr>
          <w:rStyle w:val="htmlcodes"/>
        </w:rPr>
        <w:t>&lt;/a&gt;&lt;a href=#y2&gt;</w:t>
      </w:r>
      <w:r>
        <w:t xml:space="preserve">text_B_2  </w:t>
      </w:r>
      <w:r>
        <w:rPr>
          <w:rStyle w:val="htmlcodes"/>
        </w:rPr>
        <w:t>&lt;/a&gt;</w:t>
      </w:r>
    </w:p>
    <w:p w:rsidR="00B72047" w:rsidRDefault="00B72047">
      <w:pPr>
        <w:pStyle w:val="YACC"/>
      </w:pPr>
      <w:r>
        <w:tab/>
        <w:t>|</w:t>
      </w:r>
      <w:r>
        <w:tab/>
      </w:r>
      <w:r>
        <w:rPr>
          <w:rStyle w:val="htmlcodes"/>
        </w:rPr>
        <w:t>&lt;a href=#y820&gt;</w:t>
      </w:r>
      <w:r>
        <w:t xml:space="preserve">I_JEK_820   </w:t>
      </w:r>
      <w:r>
        <w:rPr>
          <w:rStyle w:val="htmlcodes"/>
        </w:rPr>
        <w:t>&lt;/a&gt;&lt;a href=#y2&gt;</w:t>
      </w:r>
      <w:r>
        <w:t xml:space="preserve">text_B_2   </w:t>
      </w:r>
      <w:r>
        <w:rPr>
          <w:rStyle w:val="htmlcodes"/>
        </w:rPr>
        <w:t>&lt;/a&gt;</w:t>
      </w:r>
    </w:p>
    <w:p w:rsidR="00B72047" w:rsidRDefault="00B72047">
      <w:pPr>
        <w:pStyle w:val="YACC"/>
      </w:pPr>
      <w:r>
        <w:tab/>
        <w:t>|</w:t>
      </w:r>
      <w:r>
        <w:tab/>
      </w:r>
      <w:r>
        <w:rPr>
          <w:rStyle w:val="htmlcodes"/>
        </w:rPr>
        <w:t>&lt;a href=#y811&gt;</w:t>
      </w:r>
      <w:r>
        <w:t xml:space="preserve">I_BO_811   </w:t>
      </w:r>
      <w:r>
        <w:rPr>
          <w:rStyle w:val="htmlcodes"/>
        </w:rPr>
        <w:t>&lt;/a&gt;&lt;a href=#y2&gt;</w:t>
      </w:r>
      <w:r>
        <w:t xml:space="preserve">text_B_2   </w:t>
      </w:r>
      <w:r>
        <w:rPr>
          <w:rStyle w:val="htmlcodes"/>
        </w:rPr>
        <w:t>&lt;/a&gt;</w:t>
      </w:r>
    </w:p>
    <w:p w:rsidR="00B72047" w:rsidRDefault="00B72047">
      <w:pPr>
        <w:pStyle w:val="YACC"/>
      </w:pPr>
      <w:r>
        <w:tab/>
        <w:t>|</w:t>
      </w:r>
      <w:r>
        <w:tab/>
      </w:r>
      <w:r>
        <w:rPr>
          <w:rStyle w:val="htmlcodes"/>
        </w:rPr>
        <w:t>&lt;a href=#y410&gt;</w:t>
      </w:r>
      <w:r>
        <w:t xml:space="preserve">para_mark_410   </w:t>
      </w:r>
      <w:r>
        <w:rPr>
          <w:rStyle w:val="htmlcodes"/>
        </w:rPr>
        <w:t>&lt;/a&gt;&lt;a href=#y3&gt;</w:t>
      </w:r>
      <w:r>
        <w:t xml:space="preserve">text_C_3  </w:t>
      </w:r>
      <w:r>
        <w:rPr>
          <w:rStyle w:val="htmlcodes"/>
        </w:rPr>
        <w:t>&lt;/a&gt;</w:t>
      </w:r>
    </w:p>
    <w:p w:rsidR="00B72047" w:rsidRDefault="00B72047">
      <w:pPr>
        <w:pStyle w:val="YACC"/>
      </w:pPr>
      <w:r>
        <w:tab/>
        <w:t>|</w:t>
      </w:r>
      <w:r>
        <w:tab/>
      </w:r>
      <w:r>
        <w:rPr>
          <w:rStyle w:val="htmlcodes"/>
        </w:rPr>
        <w:t>&lt;a href=#y3&gt;</w:t>
      </w:r>
      <w:r>
        <w:t xml:space="preserve">text_C_3  </w:t>
      </w:r>
      <w:r>
        <w:rPr>
          <w:rStyle w:val="htmlcodes"/>
        </w:rPr>
        <w:t>&lt;/a&gt;</w:t>
      </w:r>
    </w:p>
    <w:p w:rsidR="00B72047" w:rsidRDefault="00B72047">
      <w:pPr>
        <w:pStyle w:val="YACC"/>
      </w:pPr>
      <w:r>
        <w:tab/>
        <w:t>;</w:t>
      </w:r>
    </w:p>
    <w:p w:rsidR="00B72047" w:rsidRDefault="00B72047">
      <w:pPr>
        <w:pStyle w:val="YACCtoken"/>
      </w:pPr>
      <w:r>
        <w:rPr>
          <w:rStyle w:val="htmlcodes"/>
        </w:rPr>
        <w:t>&lt;a name=y3&gt;</w:t>
      </w:r>
      <w:r>
        <w:t xml:space="preserve">text_C_3  </w:t>
      </w:r>
      <w:r>
        <w:rPr>
          <w:rStyle w:val="htmlcodes"/>
        </w:rPr>
        <w:t>&lt;/a&gt;</w:t>
      </w:r>
      <w:r>
        <w:tab/>
        <w:t>:</w:t>
      </w:r>
      <w:r>
        <w:tab/>
      </w:r>
      <w:r>
        <w:rPr>
          <w:rStyle w:val="htmlcodes"/>
        </w:rPr>
        <w:t>&lt;a href=#y4&gt;</w:t>
      </w:r>
      <w:r>
        <w:t xml:space="preserve">paragraphs_4  </w:t>
      </w:r>
      <w:r>
        <w:rPr>
          <w:rStyle w:val="htmlcodes"/>
        </w:rPr>
        <w:t>&lt;/a&gt;</w:t>
      </w:r>
    </w:p>
    <w:p w:rsidR="00B72047" w:rsidRDefault="00B72047">
      <w:pPr>
        <w:pStyle w:val="YACCcomment"/>
      </w:pPr>
      <w:r>
        <w:t xml:space="preserve">/* Only indicators which follow certain selma'o: cmene, </w:t>
      </w:r>
      <w:r>
        <w:rPr>
          <w:rStyle w:val="htmlcodes"/>
        </w:rPr>
        <w:t>&lt;a href=#y607&gt;</w:t>
      </w:r>
      <w:r>
        <w:t xml:space="preserve">TOI_607 </w:t>
      </w:r>
      <w:r>
        <w:rPr>
          <w:rStyle w:val="htmlcodes"/>
        </w:rPr>
        <w:t>&lt;/a&gt;</w:t>
      </w:r>
      <w:r>
        <w:t xml:space="preserve">, </w:t>
      </w:r>
      <w:r>
        <w:rPr>
          <w:rStyle w:val="htmlcodes"/>
        </w:rPr>
        <w:t>&lt;a href=#y571&gt;</w:t>
      </w:r>
      <w:r>
        <w:t xml:space="preserve">LU_571 </w:t>
      </w:r>
      <w:r>
        <w:rPr>
          <w:rStyle w:val="htmlcodes"/>
        </w:rPr>
        <w:t>&lt;/a&gt;</w:t>
      </w:r>
      <w:r>
        <w:t>, and the lexer_K and lexer_S I_roots and compounds, and at the start of text(_0), will survive the lexer; all other valid ones will be absorbed. The only strings for which indicators generate a potential ambiguity are those which contain NAI. An indicator cannot be inserted in between a token and its n</w:t>
      </w:r>
      <w:r>
        <w:t>e</w:t>
      </w:r>
      <w:r>
        <w:softHyphen/>
        <w:t>gating NAI, else you can't tell whether it is the indicator or the original token being negated. */</w:t>
      </w:r>
    </w:p>
    <w:p w:rsidR="00B72047" w:rsidRDefault="00B72047">
      <w:pPr>
        <w:pStyle w:val="YACC"/>
      </w:pPr>
      <w:r>
        <w:tab/>
        <w:t>|</w:t>
      </w:r>
      <w:r>
        <w:tab/>
        <w:t>/* empty */</w:t>
      </w:r>
    </w:p>
    <w:p w:rsidR="00B72047" w:rsidRDefault="00B72047">
      <w:pPr>
        <w:pStyle w:val="YACCcomment"/>
      </w:pPr>
      <w:r>
        <w:t>/* An empty text is legal; formerly this was handled by the explicit appear</w:t>
      </w:r>
      <w:r>
        <w:softHyphen/>
        <w:t xml:space="preserve">ance of </w:t>
      </w:r>
      <w:r>
        <w:rPr>
          <w:rStyle w:val="htmlcodes"/>
        </w:rPr>
        <w:t>&lt;a href=#y529&gt;</w:t>
      </w:r>
      <w:r>
        <w:t xml:space="preserve">FAhO_529 </w:t>
      </w:r>
      <w:r>
        <w:rPr>
          <w:rStyle w:val="htmlcodes"/>
        </w:rPr>
        <w:t>&lt;/a&gt;</w:t>
      </w:r>
      <w:r>
        <w:t>, but this is now absorbed by the preparser. */</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name=y4&gt;</w:t>
      </w:r>
      <w:r>
        <w:t xml:space="preserve">paragraphs_4  </w:t>
      </w:r>
      <w:r>
        <w:rPr>
          <w:rStyle w:val="htmlcodes"/>
        </w:rPr>
        <w:t>&lt;/a&gt;</w:t>
      </w:r>
      <w:r>
        <w:tab/>
        <w:t>:</w:t>
      </w:r>
      <w:r>
        <w:tab/>
      </w:r>
      <w:r>
        <w:rPr>
          <w:rStyle w:val="htmlcodes"/>
        </w:rPr>
        <w:t>&lt;a href=#y10&gt;</w:t>
      </w:r>
      <w:r>
        <w:t xml:space="preserve">paragraph_10  </w:t>
      </w:r>
      <w:r>
        <w:rPr>
          <w:rStyle w:val="htmlcodes"/>
        </w:rPr>
        <w:t>&lt;/a&gt;</w:t>
      </w:r>
    </w:p>
    <w:p w:rsidR="00B72047" w:rsidRDefault="00B72047">
      <w:pPr>
        <w:pStyle w:val="YACC"/>
      </w:pPr>
      <w:r>
        <w:tab/>
        <w:t>|</w:t>
      </w:r>
      <w:r>
        <w:tab/>
      </w:r>
      <w:r>
        <w:rPr>
          <w:rStyle w:val="htmlcodes"/>
        </w:rPr>
        <w:t>&lt;a href=#y10&gt;</w:t>
      </w:r>
      <w:r>
        <w:t xml:space="preserve">paragraph_10   </w:t>
      </w:r>
      <w:r>
        <w:rPr>
          <w:rStyle w:val="htmlcodes"/>
        </w:rPr>
        <w:t>&lt;/a&gt;&lt;a href=#y410&gt;</w:t>
      </w:r>
      <w:r>
        <w:t xml:space="preserve">para_mark_410   </w:t>
      </w:r>
      <w:r>
        <w:rPr>
          <w:rStyle w:val="htmlcodes"/>
        </w:rPr>
        <w:t>&lt;/a&gt;&lt;a href=#y4&gt;</w:t>
      </w:r>
      <w:r>
        <w:t xml:space="preserve">paragraphs_4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name=y10&gt;</w:t>
      </w:r>
      <w:r>
        <w:t xml:space="preserve">paragraph_10  </w:t>
      </w:r>
      <w:r>
        <w:rPr>
          <w:rStyle w:val="htmlcodes"/>
        </w:rPr>
        <w:t>&lt;/a&gt;</w:t>
      </w:r>
      <w:r>
        <w:tab/>
        <w:t>:</w:t>
      </w:r>
      <w:r>
        <w:tab/>
      </w:r>
      <w:r>
        <w:rPr>
          <w:rStyle w:val="htmlcodes"/>
        </w:rPr>
        <w:t>&lt;a href=#y11&gt;</w:t>
      </w:r>
      <w:r>
        <w:t xml:space="preserve">statement_11  </w:t>
      </w:r>
      <w:r>
        <w:rPr>
          <w:rStyle w:val="htmlcodes"/>
        </w:rPr>
        <w:t>&lt;/a&gt;</w:t>
      </w:r>
    </w:p>
    <w:p w:rsidR="00B72047" w:rsidRDefault="00B72047">
      <w:pPr>
        <w:pStyle w:val="YACC"/>
      </w:pPr>
      <w:r>
        <w:tab/>
        <w:t>|</w:t>
      </w:r>
      <w:r>
        <w:tab/>
      </w:r>
      <w:r>
        <w:rPr>
          <w:rStyle w:val="htmlcodes"/>
        </w:rPr>
        <w:t>&lt;a href=#y20&gt;</w:t>
      </w:r>
      <w:r>
        <w:t xml:space="preserve">fragment_20   </w:t>
      </w:r>
      <w:r>
        <w:rPr>
          <w:rStyle w:val="htmlcodes"/>
        </w:rPr>
        <w:t>&lt;/a&gt;</w:t>
      </w:r>
    </w:p>
    <w:p w:rsidR="00B72047" w:rsidRDefault="00B72047">
      <w:pPr>
        <w:pStyle w:val="YACC"/>
      </w:pPr>
      <w:r>
        <w:tab/>
        <w:t>|</w:t>
      </w:r>
      <w:r>
        <w:tab/>
      </w:r>
      <w:r>
        <w:rPr>
          <w:rStyle w:val="htmlcodes"/>
        </w:rPr>
        <w:t>&lt;a href=#y10&gt;</w:t>
      </w:r>
      <w:r>
        <w:t xml:space="preserve">paragraph_10   </w:t>
      </w:r>
      <w:r>
        <w:rPr>
          <w:rStyle w:val="htmlcodes"/>
        </w:rPr>
        <w:t>&lt;/a&gt;&lt;a href=#y819&gt;</w:t>
      </w:r>
      <w:r>
        <w:t xml:space="preserve">I_819  </w:t>
      </w:r>
      <w:r>
        <w:rPr>
          <w:rStyle w:val="htmlcodes"/>
        </w:rPr>
        <w:t>&lt;/a&gt;&lt;a href=#y11&gt;</w:t>
      </w:r>
      <w:r>
        <w:t xml:space="preserve">statement_11   </w:t>
      </w:r>
      <w:r>
        <w:rPr>
          <w:rStyle w:val="htmlcodes"/>
        </w:rPr>
        <w:t>&lt;/a&gt;</w:t>
      </w:r>
    </w:p>
    <w:p w:rsidR="00B72047" w:rsidRDefault="00B72047">
      <w:pPr>
        <w:pStyle w:val="YACC"/>
      </w:pPr>
      <w:r>
        <w:tab/>
        <w:t>|</w:t>
      </w:r>
      <w:r>
        <w:tab/>
      </w:r>
      <w:r>
        <w:rPr>
          <w:rStyle w:val="htmlcodes"/>
        </w:rPr>
        <w:t>&lt;a href=#y10&gt;</w:t>
      </w:r>
      <w:r>
        <w:t xml:space="preserve">paragraph_10   </w:t>
      </w:r>
      <w:r>
        <w:rPr>
          <w:rStyle w:val="htmlcodes"/>
        </w:rPr>
        <w:t>&lt;/a&gt;&lt;a href=#y819&gt;</w:t>
      </w:r>
      <w:r>
        <w:t xml:space="preserve">I_819  </w:t>
      </w:r>
      <w:r>
        <w:rPr>
          <w:rStyle w:val="htmlcodes"/>
        </w:rPr>
        <w:t>&lt;/a&gt;&lt;a href=#y20&gt;</w:t>
      </w:r>
      <w:r>
        <w:t xml:space="preserve">fragment_20   </w:t>
      </w:r>
      <w:r>
        <w:rPr>
          <w:rStyle w:val="htmlcodes"/>
        </w:rPr>
        <w:t>&lt;/a&gt;</w:t>
      </w:r>
    </w:p>
    <w:p w:rsidR="00B72047" w:rsidRDefault="00B72047">
      <w:pPr>
        <w:pStyle w:val="YACC"/>
      </w:pPr>
      <w:r>
        <w:tab/>
        <w:t>|</w:t>
      </w:r>
      <w:r>
        <w:tab/>
      </w:r>
      <w:r>
        <w:rPr>
          <w:rStyle w:val="htmlcodes"/>
        </w:rPr>
        <w:t>&lt;a href=#y10&gt;</w:t>
      </w:r>
      <w:r>
        <w:t xml:space="preserve">paragraph_10   </w:t>
      </w:r>
      <w:r>
        <w:rPr>
          <w:rStyle w:val="htmlcodes"/>
        </w:rPr>
        <w:t>&lt;/a&gt;&lt;a href=#y819&gt;</w:t>
      </w:r>
      <w:r>
        <w:t xml:space="preserve">I_819  </w:t>
      </w:r>
      <w:r>
        <w:rPr>
          <w:rStyle w:val="htmlcodes"/>
        </w:rPr>
        <w:t>&lt;/a&gt;</w:t>
      </w:r>
    </w:p>
    <w:p w:rsidR="00B72047" w:rsidRDefault="00B72047">
      <w:pPr>
        <w:pStyle w:val="YACCcomment"/>
      </w:pPr>
      <w:r>
        <w:t>/* this last fixes an erroneous start to a sentence, and permits incomplete JOIK_JEK after I, as well in answer to questions on those connectives */</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name=y11&gt;</w:t>
      </w:r>
      <w:r>
        <w:t xml:space="preserve">statement_11  </w:t>
      </w:r>
      <w:r>
        <w:rPr>
          <w:rStyle w:val="htmlcodes"/>
        </w:rPr>
        <w:t>&lt;/a&gt;</w:t>
      </w:r>
      <w:r>
        <w:tab/>
        <w:t>:</w:t>
      </w:r>
      <w:r>
        <w:tab/>
      </w:r>
      <w:r>
        <w:rPr>
          <w:rStyle w:val="htmlcodes"/>
        </w:rPr>
        <w:t>&lt;a href=#y12&gt;</w:t>
      </w:r>
      <w:r>
        <w:t xml:space="preserve">statement_A_12  </w:t>
      </w:r>
      <w:r>
        <w:rPr>
          <w:rStyle w:val="htmlcodes"/>
        </w:rPr>
        <w:t>&lt;/a&gt;</w:t>
      </w:r>
    </w:p>
    <w:p w:rsidR="00B72047" w:rsidRDefault="00B72047">
      <w:pPr>
        <w:pStyle w:val="YACC"/>
      </w:pPr>
      <w:r>
        <w:tab/>
        <w:t>|</w:t>
      </w:r>
      <w:r>
        <w:tab/>
      </w:r>
      <w:r>
        <w:rPr>
          <w:rStyle w:val="htmlcodes"/>
        </w:rPr>
        <w:t>&lt;a href=#y30&gt;</w:t>
      </w:r>
      <w:r>
        <w:t xml:space="preserve">prenex_30   </w:t>
      </w:r>
      <w:r>
        <w:rPr>
          <w:rStyle w:val="htmlcodes"/>
        </w:rPr>
        <w:t>&lt;/a&gt;&lt;a href=#y11&gt;</w:t>
      </w:r>
      <w:r>
        <w:t xml:space="preserve">statement_11   </w:t>
      </w:r>
      <w:r>
        <w:rPr>
          <w:rStyle w:val="htmlcodes"/>
        </w:rPr>
        <w:t>&lt;/a&gt;</w:t>
      </w:r>
    </w:p>
    <w:p w:rsidR="00B72047" w:rsidRDefault="00B72047">
      <w:pPr>
        <w:pStyle w:val="YACC"/>
      </w:pPr>
      <w:r>
        <w:tab/>
        <w:t>;</w:t>
      </w:r>
    </w:p>
    <w:p w:rsidR="00B72047" w:rsidRDefault="00B72047">
      <w:pPr>
        <w:pStyle w:val="YACCtoken"/>
      </w:pPr>
      <w:r>
        <w:rPr>
          <w:rStyle w:val="htmlcodes"/>
        </w:rPr>
        <w:t>&lt;a name=y12&gt;</w:t>
      </w:r>
      <w:r>
        <w:t xml:space="preserve">statement_A_12  </w:t>
      </w:r>
      <w:r>
        <w:rPr>
          <w:rStyle w:val="htmlcodes"/>
        </w:rPr>
        <w:t>&lt;/a&gt;</w:t>
      </w:r>
      <w:r>
        <w:tab/>
        <w:t>:</w:t>
      </w:r>
      <w:r>
        <w:tab/>
      </w:r>
      <w:r>
        <w:rPr>
          <w:rStyle w:val="htmlcodes"/>
        </w:rPr>
        <w:t>&lt;a href=#y13&gt;</w:t>
      </w:r>
      <w:r>
        <w:t xml:space="preserve">statement_B_13  </w:t>
      </w:r>
      <w:r>
        <w:rPr>
          <w:rStyle w:val="htmlcodes"/>
        </w:rPr>
        <w:t>&lt;/a&gt;</w:t>
      </w:r>
    </w:p>
    <w:p w:rsidR="00B72047" w:rsidRDefault="00B72047">
      <w:pPr>
        <w:pStyle w:val="YACC"/>
      </w:pPr>
      <w:r>
        <w:tab/>
        <w:t>|</w:t>
      </w:r>
      <w:r>
        <w:tab/>
      </w:r>
      <w:r>
        <w:rPr>
          <w:rStyle w:val="htmlcodes"/>
        </w:rPr>
        <w:t>&lt;a href=#y12&gt;</w:t>
      </w:r>
      <w:r>
        <w:t xml:space="preserve">statement_A_12   </w:t>
      </w:r>
      <w:r>
        <w:rPr>
          <w:rStyle w:val="htmlcodes"/>
        </w:rPr>
        <w:t>&lt;/a&gt;&lt;a href=#y820&gt;</w:t>
      </w:r>
      <w:r>
        <w:t xml:space="preserve">I_JEK_820   </w:t>
      </w:r>
      <w:r>
        <w:rPr>
          <w:rStyle w:val="htmlcodes"/>
        </w:rPr>
        <w:t>&lt;/a&gt;&lt;a href=#y13&gt;</w:t>
      </w:r>
      <w:r>
        <w:t xml:space="preserve">statement_B_13  </w:t>
      </w:r>
      <w:r>
        <w:rPr>
          <w:rStyle w:val="htmlcodes"/>
        </w:rPr>
        <w:t>&lt;/a&gt;</w:t>
      </w:r>
    </w:p>
    <w:p w:rsidR="00B72047" w:rsidRDefault="00B72047">
      <w:pPr>
        <w:pStyle w:val="YACC"/>
      </w:pPr>
      <w:r>
        <w:tab/>
        <w:t>|</w:t>
      </w:r>
      <w:r>
        <w:tab/>
      </w:r>
      <w:r>
        <w:rPr>
          <w:rStyle w:val="htmlcodes"/>
        </w:rPr>
        <w:t>&lt;a href=#y12&gt;</w:t>
      </w:r>
      <w:r>
        <w:t xml:space="preserve">statement_A_12   </w:t>
      </w:r>
      <w:r>
        <w:rPr>
          <w:rStyle w:val="htmlcodes"/>
        </w:rPr>
        <w:t>&lt;/a&gt;&lt;a href=#y820&gt;</w:t>
      </w:r>
      <w:r>
        <w:t xml:space="preserve">I_JEK_820   </w:t>
      </w:r>
      <w:r>
        <w:rPr>
          <w:rStyle w:val="htmlcodes"/>
        </w:rPr>
        <w:t>&lt;/a&gt;</w:t>
      </w:r>
    </w:p>
    <w:p w:rsidR="00B72047" w:rsidRDefault="00B72047">
      <w:pPr>
        <w:pStyle w:val="YACC"/>
      </w:pPr>
      <w:r>
        <w:tab/>
        <w:t>;</w:t>
      </w:r>
    </w:p>
    <w:p w:rsidR="00B72047" w:rsidRDefault="00B72047">
      <w:pPr>
        <w:pStyle w:val="YACCtoken"/>
      </w:pPr>
      <w:r>
        <w:rPr>
          <w:rStyle w:val="htmlcodes"/>
        </w:rPr>
        <w:t>&lt;a name=y13&gt;</w:t>
      </w:r>
      <w:r>
        <w:t xml:space="preserve">statement_B_13  </w:t>
      </w:r>
      <w:r>
        <w:rPr>
          <w:rStyle w:val="htmlcodes"/>
        </w:rPr>
        <w:t>&lt;/a&gt;</w:t>
      </w:r>
      <w:r>
        <w:tab/>
        <w:t>:</w:t>
      </w:r>
      <w:r>
        <w:tab/>
      </w:r>
      <w:r>
        <w:rPr>
          <w:rStyle w:val="htmlcodes"/>
        </w:rPr>
        <w:t>&lt;a href=#y14&gt;</w:t>
      </w:r>
      <w:r>
        <w:t xml:space="preserve">statement_C_14  </w:t>
      </w:r>
      <w:r>
        <w:rPr>
          <w:rStyle w:val="htmlcodes"/>
        </w:rPr>
        <w:t>&lt;/a&gt;</w:t>
      </w:r>
    </w:p>
    <w:p w:rsidR="00B72047" w:rsidRDefault="00B72047">
      <w:pPr>
        <w:pStyle w:val="YACC"/>
      </w:pPr>
      <w:r>
        <w:tab/>
        <w:t>|</w:t>
      </w:r>
      <w:r>
        <w:tab/>
      </w:r>
      <w:r>
        <w:rPr>
          <w:rStyle w:val="htmlcodes"/>
        </w:rPr>
        <w:t>&lt;a href=#y14&gt;</w:t>
      </w:r>
      <w:r>
        <w:t xml:space="preserve">statement_C_14  </w:t>
      </w:r>
      <w:r>
        <w:rPr>
          <w:rStyle w:val="htmlcodes"/>
        </w:rPr>
        <w:t>&lt;/a&gt;&lt;a href=#y811&gt;</w:t>
      </w:r>
      <w:r>
        <w:t xml:space="preserve">I_BO_811   </w:t>
      </w:r>
      <w:r>
        <w:rPr>
          <w:rStyle w:val="htmlcodes"/>
        </w:rPr>
        <w:t>&lt;/a&gt;&lt;a href=#y13&gt;</w:t>
      </w:r>
      <w:r>
        <w:t xml:space="preserve">statement_B_13  </w:t>
      </w:r>
      <w:r>
        <w:rPr>
          <w:rStyle w:val="htmlcodes"/>
        </w:rPr>
        <w:t>&lt;/a&gt;</w:t>
      </w:r>
    </w:p>
    <w:p w:rsidR="00B72047" w:rsidRDefault="00B72047">
      <w:pPr>
        <w:pStyle w:val="YACC"/>
      </w:pPr>
      <w:r>
        <w:tab/>
        <w:t>|</w:t>
      </w:r>
      <w:r>
        <w:tab/>
      </w:r>
      <w:r>
        <w:rPr>
          <w:rStyle w:val="htmlcodes"/>
        </w:rPr>
        <w:t>&lt;a href=#y14&gt;</w:t>
      </w:r>
      <w:r>
        <w:t xml:space="preserve">statement_C_14  </w:t>
      </w:r>
      <w:r>
        <w:rPr>
          <w:rStyle w:val="htmlcodes"/>
        </w:rPr>
        <w:t>&lt;/a&gt;&lt;a href=#y811&gt;</w:t>
      </w:r>
      <w:r>
        <w:t xml:space="preserve">I_BO_811   </w:t>
      </w:r>
      <w:r>
        <w:rPr>
          <w:rStyle w:val="htmlcodes"/>
        </w:rPr>
        <w:t>&lt;/a&gt;</w:t>
      </w:r>
    </w:p>
    <w:p w:rsidR="00B72047" w:rsidRDefault="00B72047">
      <w:pPr>
        <w:pStyle w:val="YACC"/>
      </w:pPr>
      <w:r>
        <w:tab/>
        <w:t>;</w:t>
      </w:r>
    </w:p>
    <w:p w:rsidR="00B72047" w:rsidRDefault="00B72047">
      <w:pPr>
        <w:pStyle w:val="YACCtoken"/>
      </w:pPr>
      <w:r>
        <w:rPr>
          <w:rStyle w:val="htmlcodes"/>
        </w:rPr>
        <w:t>&lt;a name=y14&gt;</w:t>
      </w:r>
      <w:r>
        <w:t xml:space="preserve">statement_C_14  </w:t>
      </w:r>
      <w:r>
        <w:rPr>
          <w:rStyle w:val="htmlcodes"/>
        </w:rPr>
        <w:t>&lt;/a&gt;</w:t>
      </w:r>
      <w:r>
        <w:tab/>
        <w:t>:</w:t>
      </w:r>
      <w:r>
        <w:tab/>
      </w:r>
      <w:r>
        <w:rPr>
          <w:rStyle w:val="htmlcodes"/>
        </w:rPr>
        <w:t>&lt;a href=#y40&gt;</w:t>
      </w:r>
      <w:r>
        <w:t xml:space="preserve">sentence_40  </w:t>
      </w:r>
      <w:r>
        <w:rPr>
          <w:rStyle w:val="htmlcodes"/>
        </w:rPr>
        <w:t>&lt;/a&gt;</w:t>
      </w:r>
    </w:p>
    <w:p w:rsidR="00B72047" w:rsidRDefault="00B72047">
      <w:pPr>
        <w:pStyle w:val="YACC"/>
      </w:pPr>
      <w:r>
        <w:tab/>
        <w:t>|</w:t>
      </w:r>
      <w:r>
        <w:tab/>
      </w:r>
      <w:r>
        <w:rPr>
          <w:rStyle w:val="htmlcodes"/>
        </w:rPr>
        <w:t>&lt;a href=#y447&gt;</w:t>
      </w:r>
      <w:r>
        <w:t xml:space="preserve">TUhE_447  </w:t>
      </w:r>
      <w:r>
        <w:rPr>
          <w:rStyle w:val="htmlcodes"/>
        </w:rPr>
        <w:t>&lt;/a&gt;&lt;a href=#y2&gt;</w:t>
      </w:r>
      <w:r>
        <w:t xml:space="preserve">text_B_2   </w:t>
      </w:r>
      <w:r>
        <w:rPr>
          <w:rStyle w:val="htmlcodes"/>
        </w:rPr>
        <w:t>&lt;/a&gt;&lt;a href=#y454&gt;</w:t>
      </w:r>
      <w:r>
        <w:t xml:space="preserve">TUhU_gap_454  </w:t>
      </w:r>
      <w:r>
        <w:rPr>
          <w:rStyle w:val="htmlcodes"/>
        </w:rPr>
        <w:t>&lt;/a&gt;</w:t>
      </w:r>
    </w:p>
    <w:p w:rsidR="00B72047" w:rsidRDefault="00B72047">
      <w:pPr>
        <w:pStyle w:val="YACC"/>
      </w:pPr>
      <w:r>
        <w:tab/>
        <w:t>|</w:t>
      </w:r>
      <w:r>
        <w:tab/>
      </w:r>
      <w:r>
        <w:rPr>
          <w:rStyle w:val="htmlcodes"/>
        </w:rPr>
        <w:t>&lt;a href=#y491&gt;</w:t>
      </w:r>
      <w:r>
        <w:t xml:space="preserve">tag_491   </w:t>
      </w:r>
      <w:r>
        <w:rPr>
          <w:rStyle w:val="htmlcodes"/>
        </w:rPr>
        <w:t>&lt;/a&gt;&lt;a href=#y447&gt;</w:t>
      </w:r>
      <w:r>
        <w:t xml:space="preserve">TUhE_447  </w:t>
      </w:r>
      <w:r>
        <w:rPr>
          <w:rStyle w:val="htmlcodes"/>
        </w:rPr>
        <w:t>&lt;/a&gt;&lt;a href=#y2&gt;</w:t>
      </w:r>
      <w:r>
        <w:t xml:space="preserve">text_B_2   </w:t>
      </w:r>
      <w:r>
        <w:rPr>
          <w:rStyle w:val="htmlcodes"/>
        </w:rPr>
        <w:t>&lt;/a&gt;&lt;a href=#y454&gt;</w:t>
      </w:r>
      <w:r>
        <w:t xml:space="preserve">TUhU_gap_454  </w:t>
      </w:r>
      <w:r>
        <w:rPr>
          <w:rStyle w:val="htmlcodes"/>
        </w:rPr>
        <w:t>&lt;/a&gt;</w:t>
      </w:r>
    </w:p>
    <w:p w:rsidR="00B72047" w:rsidRDefault="00B72047">
      <w:pPr>
        <w:pStyle w:val="YACC"/>
      </w:pPr>
      <w:r>
        <w:tab/>
        <w:t>;</w:t>
      </w:r>
    </w:p>
    <w:p w:rsidR="00B72047" w:rsidRDefault="00B72047">
      <w:pPr>
        <w:pStyle w:val="YACCtoken"/>
      </w:pPr>
      <w:r>
        <w:rPr>
          <w:rStyle w:val="htmlcodes"/>
        </w:rPr>
        <w:t>&lt;a name=y20&gt;</w:t>
      </w:r>
      <w:r>
        <w:t xml:space="preserve">fragment_20  </w:t>
      </w:r>
      <w:r>
        <w:rPr>
          <w:rStyle w:val="htmlcodes"/>
        </w:rPr>
        <w:t>&lt;/a&gt;</w:t>
      </w:r>
      <w:r>
        <w:tab/>
        <w:t>:</w:t>
      </w:r>
      <w:r>
        <w:tab/>
      </w:r>
      <w:r>
        <w:rPr>
          <w:rStyle w:val="htmlcodes"/>
        </w:rPr>
        <w:t>&lt;a href=#y802&gt;</w:t>
      </w:r>
      <w:r>
        <w:t xml:space="preserve">EK_802  </w:t>
      </w:r>
      <w:r>
        <w:rPr>
          <w:rStyle w:val="htmlcodes"/>
        </w:rPr>
        <w:t>&lt;/a&gt;</w:t>
      </w:r>
    </w:p>
    <w:p w:rsidR="00B72047" w:rsidRDefault="00B72047">
      <w:pPr>
        <w:pStyle w:val="YACC"/>
      </w:pPr>
      <w:r>
        <w:tab/>
        <w:t>|</w:t>
      </w:r>
      <w:r>
        <w:tab/>
      </w:r>
      <w:r>
        <w:rPr>
          <w:rStyle w:val="htmlcodes"/>
        </w:rPr>
        <w:t>&lt;a href=#y445&gt;</w:t>
      </w:r>
      <w:r>
        <w:t xml:space="preserve">NA_445  </w:t>
      </w:r>
      <w:r>
        <w:rPr>
          <w:rStyle w:val="htmlcodes"/>
        </w:rPr>
        <w:t>&lt;/a&gt;</w:t>
      </w:r>
    </w:p>
    <w:p w:rsidR="00B72047" w:rsidRDefault="00B72047">
      <w:pPr>
        <w:pStyle w:val="YACC"/>
      </w:pPr>
      <w:r>
        <w:tab/>
        <w:t>|</w:t>
      </w:r>
      <w:r>
        <w:tab/>
      </w:r>
      <w:r>
        <w:rPr>
          <w:rStyle w:val="htmlcodes"/>
        </w:rPr>
        <w:t>&lt;a href=#y818&gt;</w:t>
      </w:r>
      <w:r>
        <w:t xml:space="preserve">GIhEK_818  </w:t>
      </w:r>
      <w:r>
        <w:rPr>
          <w:rStyle w:val="htmlcodes"/>
        </w:rPr>
        <w:t>&lt;/a&gt;</w:t>
      </w:r>
    </w:p>
    <w:p w:rsidR="00B72047" w:rsidRDefault="00B72047">
      <w:pPr>
        <w:pStyle w:val="YACC"/>
      </w:pPr>
      <w:r>
        <w:tab/>
        <w:t>|</w:t>
      </w:r>
      <w:r>
        <w:tab/>
      </w:r>
      <w:r>
        <w:rPr>
          <w:rStyle w:val="htmlcodes"/>
        </w:rPr>
        <w:t>&lt;a href=#y300&gt;</w:t>
      </w:r>
      <w:r>
        <w:t xml:space="preserve">quantifier_300   </w:t>
      </w:r>
      <w:r>
        <w:rPr>
          <w:rStyle w:val="htmlcodes"/>
        </w:rPr>
        <w:t>&lt;/a&gt;</w:t>
      </w:r>
    </w:p>
    <w:p w:rsidR="00B72047" w:rsidRDefault="00B72047">
      <w:pPr>
        <w:pStyle w:val="YACC"/>
      </w:pPr>
      <w:r>
        <w:tab/>
        <w:t>|</w:t>
      </w:r>
      <w:r>
        <w:tab/>
      </w:r>
      <w:r>
        <w:rPr>
          <w:rStyle w:val="htmlcodes"/>
        </w:rPr>
        <w:t>&lt;a href=#y80&gt;</w:t>
      </w:r>
      <w:r>
        <w:t xml:space="preserve">terms_80   </w:t>
      </w:r>
      <w:r>
        <w:rPr>
          <w:rStyle w:val="htmlcodes"/>
        </w:rPr>
        <w:t>&lt;/a&gt;&lt;a href=#y456&gt;</w:t>
      </w:r>
      <w:r>
        <w:t xml:space="preserve">VAU_gap_456   </w:t>
      </w:r>
      <w:r>
        <w:rPr>
          <w:rStyle w:val="htmlcodes"/>
        </w:rPr>
        <w:t>&lt;/a&gt;</w:t>
      </w:r>
      <w:r>
        <w:t>/* answer to ma */</w:t>
      </w:r>
    </w:p>
    <w:p w:rsidR="00B72047" w:rsidRDefault="00B72047">
      <w:pPr>
        <w:pStyle w:val="YACCcomment"/>
      </w:pPr>
      <w:r>
        <w:t xml:space="preserve">/* </w:t>
      </w:r>
      <w:r>
        <w:rPr>
          <w:rStyle w:val="htmlcodes"/>
        </w:rPr>
        <w:t>&lt;a href=#y490&gt;</w:t>
      </w:r>
      <w:r>
        <w:t xml:space="preserve">mod_head_490 </w:t>
      </w:r>
      <w:r>
        <w:rPr>
          <w:rStyle w:val="htmlcodes"/>
        </w:rPr>
        <w:t>&lt;/a&gt;</w:t>
      </w:r>
      <w:r>
        <w:t xml:space="preserve">requires both </w:t>
      </w:r>
      <w:r>
        <w:rPr>
          <w:rStyle w:val="htmlcodes"/>
        </w:rPr>
        <w:t>&lt;a href=#y450&gt;</w:t>
      </w:r>
      <w:r>
        <w:t xml:space="preserve">gap_450 </w:t>
      </w:r>
      <w:r>
        <w:rPr>
          <w:rStyle w:val="htmlcodes"/>
        </w:rPr>
        <w:t>&lt;/a&gt;</w:t>
      </w:r>
      <w:r>
        <w:t xml:space="preserve">and </w:t>
      </w:r>
      <w:r>
        <w:rPr>
          <w:rStyle w:val="htmlcodes"/>
        </w:rPr>
        <w:t>&lt;a href=#y456&gt;</w:t>
      </w:r>
      <w:r>
        <w:t xml:space="preserve">VAU_gap_456 </w:t>
      </w:r>
      <w:r>
        <w:rPr>
          <w:rStyle w:val="htmlcodes"/>
        </w:rPr>
        <w:t>&lt;/a&gt;</w:t>
      </w:r>
      <w:r>
        <w:t xml:space="preserve"> but needs no extra rule to accomplish this */</w:t>
      </w:r>
    </w:p>
    <w:p w:rsidR="00B72047" w:rsidRDefault="00B72047">
      <w:pPr>
        <w:pStyle w:val="YACC"/>
      </w:pPr>
      <w:r>
        <w:tab/>
        <w:t>|</w:t>
      </w:r>
      <w:r>
        <w:tab/>
      </w:r>
      <w:r>
        <w:rPr>
          <w:rStyle w:val="htmlcodes"/>
        </w:rPr>
        <w:t>&lt;a href=#y121&gt;</w:t>
      </w:r>
      <w:r>
        <w:t xml:space="preserve">relative_clauses_121   </w:t>
      </w:r>
      <w:r>
        <w:rPr>
          <w:rStyle w:val="htmlcodes"/>
        </w:rPr>
        <w:t>&lt;/a&gt;</w:t>
      </w:r>
    </w:p>
    <w:p w:rsidR="00B72047" w:rsidRDefault="00B72047">
      <w:pPr>
        <w:pStyle w:val="YACC"/>
      </w:pPr>
      <w:r>
        <w:tab/>
        <w:t>|</w:t>
      </w:r>
      <w:r>
        <w:tab/>
      </w:r>
      <w:r>
        <w:rPr>
          <w:rStyle w:val="htmlcodes"/>
        </w:rPr>
        <w:t>&lt;a href=#y161&gt;</w:t>
      </w:r>
      <w:r>
        <w:t xml:space="preserve">links_161   </w:t>
      </w:r>
      <w:r>
        <w:rPr>
          <w:rStyle w:val="htmlcodes"/>
        </w:rPr>
        <w:t>&lt;/a&gt;</w:t>
      </w:r>
    </w:p>
    <w:p w:rsidR="00B72047" w:rsidRDefault="00B72047">
      <w:pPr>
        <w:pStyle w:val="YACC"/>
      </w:pPr>
      <w:r>
        <w:tab/>
        <w:t>|</w:t>
      </w:r>
      <w:r>
        <w:tab/>
      </w:r>
      <w:r>
        <w:rPr>
          <w:rStyle w:val="htmlcodes"/>
        </w:rPr>
        <w:t>&lt;a href=#y160&gt;</w:t>
      </w:r>
      <w:r>
        <w:t xml:space="preserve">linkargs_160   </w:t>
      </w:r>
      <w:r>
        <w:rPr>
          <w:rStyle w:val="htmlcodes"/>
        </w:rPr>
        <w:t>&lt;/a&gt;</w:t>
      </w:r>
    </w:p>
    <w:p w:rsidR="00B72047" w:rsidRDefault="00B72047">
      <w:pPr>
        <w:pStyle w:val="YACC"/>
      </w:pPr>
      <w:r>
        <w:tab/>
        <w:t>|</w:t>
      </w:r>
      <w:r>
        <w:tab/>
      </w:r>
      <w:r>
        <w:rPr>
          <w:rStyle w:val="htmlcodes"/>
        </w:rPr>
        <w:t>&lt;a href=#y30&gt;</w:t>
      </w:r>
      <w:r>
        <w:t xml:space="preserve">prenex_30   </w:t>
      </w:r>
      <w:r>
        <w:rPr>
          <w:rStyle w:val="htmlcodes"/>
        </w:rPr>
        <w:t>&lt;/a&gt;</w:t>
      </w:r>
    </w:p>
    <w:p w:rsidR="00B72047" w:rsidRDefault="00B72047">
      <w:pPr>
        <w:pStyle w:val="YACC"/>
      </w:pPr>
      <w:r>
        <w:tab/>
        <w:t>;</w:t>
      </w:r>
    </w:p>
    <w:p w:rsidR="00B72047" w:rsidRDefault="00B72047">
      <w:pPr>
        <w:pStyle w:val="YACCtoken"/>
        <w:spacing w:before="0"/>
        <w:rPr>
          <w:rStyle w:val="htmlcodes"/>
          <w:vanish w:val="0"/>
        </w:rPr>
      </w:pPr>
    </w:p>
    <w:p w:rsidR="00B72047" w:rsidRDefault="00B72047">
      <w:pPr>
        <w:pStyle w:val="YACCtoken"/>
      </w:pPr>
      <w:r>
        <w:rPr>
          <w:rStyle w:val="htmlcodes"/>
        </w:rPr>
        <w:t>&lt;a name=y30&gt;</w:t>
      </w:r>
      <w:r>
        <w:t xml:space="preserve">prenex_30  </w:t>
      </w:r>
      <w:r>
        <w:rPr>
          <w:rStyle w:val="htmlcodes"/>
        </w:rPr>
        <w:t>&lt;/a&gt;</w:t>
      </w:r>
      <w:r>
        <w:tab/>
        <w:t>:</w:t>
      </w:r>
      <w:r>
        <w:tab/>
      </w:r>
      <w:r>
        <w:rPr>
          <w:rStyle w:val="htmlcodes"/>
        </w:rPr>
        <w:t>&lt;a href=#y80&gt;</w:t>
      </w:r>
      <w:r>
        <w:t xml:space="preserve">terms_80  </w:t>
      </w:r>
      <w:r>
        <w:rPr>
          <w:rStyle w:val="htmlcodes"/>
        </w:rPr>
        <w:t>&lt;/a&gt;&lt;a href=#y492&gt;</w:t>
      </w:r>
      <w:r>
        <w:t xml:space="preserve">ZOhU_492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name=y32&gt;</w:t>
      </w:r>
      <w:r>
        <w:t xml:space="preserve">free_modifier_32  </w:t>
      </w:r>
      <w:r>
        <w:rPr>
          <w:rStyle w:val="htmlcodes"/>
        </w:rPr>
        <w:t>&lt;/a&gt;</w:t>
      </w:r>
      <w:r>
        <w:tab/>
        <w:t>:</w:t>
      </w:r>
      <w:r>
        <w:tab/>
      </w:r>
      <w:r>
        <w:rPr>
          <w:rStyle w:val="htmlcodes"/>
        </w:rPr>
        <w:t>&lt;a href=#y33&gt;</w:t>
      </w:r>
      <w:r>
        <w:t xml:space="preserve">free_modifier_A_33  </w:t>
      </w:r>
      <w:r>
        <w:rPr>
          <w:rStyle w:val="htmlcodes"/>
        </w:rPr>
        <w:t>&lt;/a&gt;</w:t>
      </w:r>
    </w:p>
    <w:p w:rsidR="00B72047" w:rsidRDefault="00B72047">
      <w:pPr>
        <w:pStyle w:val="YACC"/>
      </w:pPr>
      <w:r>
        <w:tab/>
        <w:t>|</w:t>
      </w:r>
      <w:r>
        <w:tab/>
      </w:r>
      <w:r>
        <w:rPr>
          <w:rStyle w:val="htmlcodes"/>
        </w:rPr>
        <w:t>&lt;a href=#y33&gt;</w:t>
      </w:r>
      <w:r>
        <w:t xml:space="preserve">free_modifier_A_33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name=y33&gt;</w:t>
      </w:r>
      <w:r>
        <w:t>free_modifier_A_33</w:t>
      </w:r>
      <w:r>
        <w:tab/>
      </w:r>
      <w:r>
        <w:rPr>
          <w:rStyle w:val="htmlcodes"/>
        </w:rPr>
        <w:t>&lt;/a&gt;</w:t>
      </w:r>
      <w:r>
        <w:t>:</w:t>
      </w:r>
      <w:r>
        <w:tab/>
      </w:r>
      <w:r>
        <w:rPr>
          <w:rStyle w:val="htmlcodes"/>
        </w:rPr>
        <w:t>&lt;a href=#y35&gt;</w:t>
      </w:r>
      <w:r>
        <w:t xml:space="preserve">vocative_35  </w:t>
      </w:r>
      <w:r>
        <w:rPr>
          <w:rStyle w:val="htmlcodes"/>
        </w:rPr>
        <w:t>&lt;/a&gt;</w:t>
      </w:r>
    </w:p>
    <w:p w:rsidR="00B72047" w:rsidRDefault="00B72047">
      <w:pPr>
        <w:pStyle w:val="YACC"/>
      </w:pPr>
      <w:r>
        <w:tab/>
        <w:t>|</w:t>
      </w:r>
      <w:r>
        <w:tab/>
      </w:r>
      <w:r>
        <w:rPr>
          <w:rStyle w:val="htmlcodes"/>
        </w:rPr>
        <w:t>&lt;a href=#y36&gt;</w:t>
      </w:r>
      <w:r>
        <w:t xml:space="preserve">parenthetical_36  </w:t>
      </w:r>
      <w:r>
        <w:rPr>
          <w:rStyle w:val="htmlcodes"/>
        </w:rPr>
        <w:t>&lt;/a&gt;</w:t>
      </w:r>
    </w:p>
    <w:p w:rsidR="00B72047" w:rsidRDefault="00B72047">
      <w:pPr>
        <w:pStyle w:val="YACC"/>
      </w:pPr>
      <w:r>
        <w:tab/>
        <w:t>|</w:t>
      </w:r>
      <w:r>
        <w:tab/>
      </w:r>
      <w:r>
        <w:rPr>
          <w:rStyle w:val="htmlcodes"/>
        </w:rPr>
        <w:t>&lt;a href=#y34&gt;</w:t>
      </w:r>
      <w:r>
        <w:t xml:space="preserve">discursive_bridi_34  </w:t>
      </w:r>
      <w:r>
        <w:rPr>
          <w:rStyle w:val="htmlcodes"/>
        </w:rPr>
        <w:t>&lt;/a&gt;</w:t>
      </w:r>
    </w:p>
    <w:p w:rsidR="00B72047" w:rsidRDefault="00B72047">
      <w:pPr>
        <w:pStyle w:val="YACC"/>
      </w:pPr>
      <w:r>
        <w:tab/>
        <w:t>|</w:t>
      </w:r>
      <w:r>
        <w:tab/>
      </w:r>
      <w:r>
        <w:rPr>
          <w:rStyle w:val="htmlcodes"/>
        </w:rPr>
        <w:t>&lt;a href=#y486&gt;</w:t>
      </w:r>
      <w:r>
        <w:t xml:space="preserve">subscript_486  </w:t>
      </w:r>
      <w:r>
        <w:rPr>
          <w:rStyle w:val="htmlcodes"/>
        </w:rPr>
        <w:t>&lt;/a&gt;</w:t>
      </w:r>
    </w:p>
    <w:p w:rsidR="00B72047" w:rsidRDefault="00B72047">
      <w:pPr>
        <w:pStyle w:val="YACC"/>
      </w:pPr>
      <w:r>
        <w:tab/>
        <w:t>|</w:t>
      </w:r>
      <w:r>
        <w:tab/>
      </w:r>
      <w:r>
        <w:rPr>
          <w:rStyle w:val="htmlcodes"/>
        </w:rPr>
        <w:t>&lt;a href=#y801&gt;</w:t>
      </w:r>
      <w:r>
        <w:t xml:space="preserve">utterance_ordinal_801   </w:t>
      </w:r>
      <w:r>
        <w:rPr>
          <w:rStyle w:val="htmlcodes"/>
        </w:rPr>
        <w:t>&lt;/a&gt;</w:t>
      </w:r>
    </w:p>
    <w:p w:rsidR="00B72047" w:rsidRDefault="00B72047">
      <w:pPr>
        <w:pStyle w:val="YACC"/>
      </w:pPr>
      <w:r>
        <w:tab/>
        <w:t>;</w:t>
      </w:r>
    </w:p>
    <w:p w:rsidR="00B72047" w:rsidRDefault="00B72047">
      <w:pPr>
        <w:pStyle w:val="YACCtoken"/>
      </w:pPr>
      <w:r>
        <w:rPr>
          <w:rStyle w:val="htmlcodes"/>
        </w:rPr>
        <w:t>&lt;a name=y34&gt;</w:t>
      </w:r>
      <w:r>
        <w:t>discursive_bridi_34</w:t>
      </w:r>
      <w:r>
        <w:tab/>
      </w:r>
      <w:r>
        <w:rPr>
          <w:rStyle w:val="htmlcodes"/>
        </w:rPr>
        <w:t>&lt;/a&gt;</w:t>
      </w:r>
      <w:r>
        <w:t>:</w:t>
      </w:r>
      <w:r>
        <w:tab/>
      </w:r>
      <w:r>
        <w:rPr>
          <w:rStyle w:val="htmlcodes"/>
        </w:rPr>
        <w:t>&lt;a href=#y440&gt;</w:t>
      </w:r>
      <w:r>
        <w:t xml:space="preserve">SEI_440  </w:t>
      </w:r>
      <w:r>
        <w:rPr>
          <w:rStyle w:val="htmlcodes"/>
        </w:rPr>
        <w:t>&lt;/a&gt;&lt;a href=#y130&gt;</w:t>
      </w:r>
      <w:r>
        <w:t xml:space="preserve">selbri_130  </w:t>
      </w:r>
      <w:r>
        <w:rPr>
          <w:rStyle w:val="htmlcodes"/>
        </w:rPr>
        <w:t>&lt;/a&gt;&lt;a href=#y459&gt;</w:t>
      </w:r>
      <w:r>
        <w:t xml:space="preserve">SEhU_gap_459  </w:t>
      </w:r>
      <w:r>
        <w:rPr>
          <w:rStyle w:val="htmlcodes"/>
        </w:rPr>
        <w:t>&lt;/a&gt;</w:t>
      </w:r>
    </w:p>
    <w:p w:rsidR="00B72047" w:rsidRDefault="00B72047">
      <w:pPr>
        <w:pStyle w:val="YACC"/>
      </w:pPr>
      <w:r>
        <w:tab/>
        <w:t>|</w:t>
      </w:r>
      <w:r>
        <w:tab/>
      </w:r>
      <w:r>
        <w:rPr>
          <w:rStyle w:val="htmlcodes"/>
        </w:rPr>
        <w:t>&lt;a href=#y498&gt;</w:t>
      </w:r>
      <w:r>
        <w:t xml:space="preserve">SOI_498  </w:t>
      </w:r>
      <w:r>
        <w:rPr>
          <w:rStyle w:val="htmlcodes"/>
        </w:rPr>
        <w:t>&lt;/a&gt;&lt;a href=#y90&gt;</w:t>
      </w:r>
      <w:r>
        <w:t xml:space="preserve">sumti_90   </w:t>
      </w:r>
      <w:r>
        <w:rPr>
          <w:rStyle w:val="htmlcodes"/>
        </w:rPr>
        <w:t>&lt;/a&gt;&lt;a href=#y459&gt;</w:t>
      </w:r>
      <w:r>
        <w:t xml:space="preserve">SEhU_gap_459  </w:t>
      </w:r>
      <w:r>
        <w:rPr>
          <w:rStyle w:val="htmlcodes"/>
        </w:rPr>
        <w:t>&lt;/a&gt;</w:t>
      </w:r>
    </w:p>
    <w:p w:rsidR="00B72047" w:rsidRDefault="00B72047">
      <w:pPr>
        <w:pStyle w:val="YACC"/>
      </w:pPr>
      <w:r>
        <w:tab/>
        <w:t>|</w:t>
      </w:r>
      <w:r>
        <w:tab/>
      </w:r>
      <w:r>
        <w:rPr>
          <w:rStyle w:val="htmlcodes"/>
        </w:rPr>
        <w:t>&lt;a href=#y498&gt;</w:t>
      </w:r>
      <w:r>
        <w:t xml:space="preserve">SOI_498  </w:t>
      </w:r>
      <w:r>
        <w:rPr>
          <w:rStyle w:val="htmlcodes"/>
        </w:rPr>
        <w:t>&lt;/a&gt;&lt;a href=#y90&gt;</w:t>
      </w:r>
      <w:r>
        <w:t xml:space="preserve">sumti_90   </w:t>
      </w:r>
      <w:r>
        <w:rPr>
          <w:rStyle w:val="htmlcodes"/>
        </w:rPr>
        <w:t>&lt;/a&gt;&lt;a href=#y90&gt;</w:t>
      </w:r>
      <w:r>
        <w:t xml:space="preserve">sumti_90   </w:t>
      </w:r>
      <w:r>
        <w:rPr>
          <w:rStyle w:val="htmlcodes"/>
        </w:rPr>
        <w:t>&lt;/a&gt;&lt;a href=#y459&gt;</w:t>
      </w:r>
      <w:r>
        <w:t xml:space="preserve">SEhU_gap_459  </w:t>
      </w:r>
      <w:r>
        <w:rPr>
          <w:rStyle w:val="htmlcodes"/>
        </w:rPr>
        <w:t>&lt;/a&gt;</w:t>
      </w:r>
    </w:p>
    <w:p w:rsidR="00B72047" w:rsidRDefault="00B72047">
      <w:pPr>
        <w:pStyle w:val="YACC"/>
      </w:pPr>
      <w:r>
        <w:tab/>
        <w:t>|</w:t>
      </w:r>
      <w:r>
        <w:tab/>
      </w:r>
      <w:r>
        <w:rPr>
          <w:rStyle w:val="htmlcodes"/>
        </w:rPr>
        <w:t>&lt;a href=#y440&gt;</w:t>
      </w:r>
      <w:r>
        <w:t xml:space="preserve">SEI_440   </w:t>
      </w:r>
      <w:r>
        <w:rPr>
          <w:rStyle w:val="htmlcodes"/>
        </w:rPr>
        <w:t>&lt;/a&gt;&lt;a href=#y80&gt;</w:t>
      </w:r>
      <w:r>
        <w:t xml:space="preserve">terms_80   </w:t>
      </w:r>
      <w:r>
        <w:rPr>
          <w:rStyle w:val="htmlcodes"/>
        </w:rPr>
        <w:t>&lt;/a&gt;&lt;a href=#y451&gt;</w:t>
      </w:r>
      <w:r>
        <w:t xml:space="preserve">front_gap_451   </w:t>
      </w:r>
      <w:r>
        <w:rPr>
          <w:rStyle w:val="htmlcodes"/>
        </w:rPr>
        <w:t>&lt;/a&gt;&lt;a href=#y130&gt;</w:t>
      </w:r>
      <w:r>
        <w:t xml:space="preserve">selbri_130   </w:t>
      </w:r>
      <w:r>
        <w:rPr>
          <w:rStyle w:val="htmlcodes"/>
        </w:rPr>
        <w:t>&lt;/a&gt;&lt;a href=#y459&gt;</w:t>
      </w:r>
      <w:r>
        <w:t xml:space="preserve">SEhU_gap_459  </w:t>
      </w:r>
      <w:r>
        <w:rPr>
          <w:rStyle w:val="htmlcodes"/>
        </w:rPr>
        <w:t>&lt;/a&gt;</w:t>
      </w:r>
    </w:p>
    <w:p w:rsidR="00B72047" w:rsidRDefault="00B72047">
      <w:pPr>
        <w:pStyle w:val="YACC"/>
      </w:pPr>
      <w:r>
        <w:tab/>
        <w:t>|</w:t>
      </w:r>
      <w:r>
        <w:tab/>
      </w:r>
      <w:r>
        <w:rPr>
          <w:rStyle w:val="htmlcodes"/>
        </w:rPr>
        <w:t>&lt;a href=#y440&gt;</w:t>
      </w:r>
      <w:r>
        <w:t xml:space="preserve">SEI_440   </w:t>
      </w:r>
      <w:r>
        <w:rPr>
          <w:rStyle w:val="htmlcodes"/>
        </w:rPr>
        <w:t>&lt;/a&gt;&lt;a href=#y80&gt;</w:t>
      </w:r>
      <w:r>
        <w:t xml:space="preserve">terms_80   </w:t>
      </w:r>
      <w:r>
        <w:rPr>
          <w:rStyle w:val="htmlcodes"/>
        </w:rPr>
        <w:t>&lt;/a&gt;&lt;a href=#y130&gt;</w:t>
      </w:r>
      <w:r>
        <w:t xml:space="preserve">selbri_130   </w:t>
      </w:r>
      <w:r>
        <w:rPr>
          <w:rStyle w:val="htmlcodes"/>
        </w:rPr>
        <w:t>&lt;/a&gt;&lt;a href=#y459&gt;</w:t>
      </w:r>
      <w:r>
        <w:t xml:space="preserve">SEhU_gap_459  </w:t>
      </w:r>
      <w:r>
        <w:rPr>
          <w:rStyle w:val="htmlcodes"/>
        </w:rPr>
        <w:t>&lt;/a&gt;</w:t>
      </w:r>
    </w:p>
    <w:p w:rsidR="00B72047" w:rsidRDefault="00B72047">
      <w:pPr>
        <w:pStyle w:val="YACC"/>
      </w:pPr>
      <w:r>
        <w:tab/>
        <w:t>;</w:t>
      </w:r>
    </w:p>
    <w:p w:rsidR="00B72047" w:rsidRDefault="00B72047">
      <w:pPr>
        <w:pStyle w:val="YACCtoken"/>
      </w:pPr>
      <w:r>
        <w:rPr>
          <w:rStyle w:val="htmlcodes"/>
        </w:rPr>
        <w:t>&lt;a name=y35&gt;</w:t>
      </w:r>
      <w:r>
        <w:t xml:space="preserve">vocative_35  </w:t>
      </w:r>
      <w:r>
        <w:rPr>
          <w:rStyle w:val="htmlcodes"/>
        </w:rPr>
        <w:t>&lt;/a&gt;</w:t>
      </w:r>
      <w:r>
        <w:tab/>
        <w:t>:</w:t>
      </w:r>
      <w:r>
        <w:tab/>
      </w:r>
      <w:r>
        <w:rPr>
          <w:rStyle w:val="htmlcodes"/>
        </w:rPr>
        <w:t>&lt;a href=#y415&gt;</w:t>
      </w:r>
      <w:r>
        <w:t xml:space="preserve">DOI_415  </w:t>
      </w:r>
      <w:r>
        <w:rPr>
          <w:rStyle w:val="htmlcodes"/>
        </w:rPr>
        <w:t>&lt;/a&gt;&lt;a href=#y130&gt;</w:t>
      </w:r>
      <w:r>
        <w:t xml:space="preserve">selbri_130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href=#y130&gt;</w:t>
      </w:r>
      <w:r>
        <w:t xml:space="preserve">selbri_130   </w:t>
      </w:r>
      <w:r>
        <w:rPr>
          <w:rStyle w:val="htmlcodes"/>
        </w:rPr>
        <w:t>&lt;/a&gt;&lt;a href=#y121&gt;</w:t>
      </w:r>
      <w:r>
        <w:t xml:space="preserve">relative_clauses_121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href=#y121&gt;</w:t>
      </w:r>
      <w:r>
        <w:t xml:space="preserve">relative_clauses_121   </w:t>
      </w:r>
      <w:r>
        <w:rPr>
          <w:rStyle w:val="htmlcodes"/>
        </w:rPr>
        <w:t>&lt;/a&gt;&lt;a href=#y130&gt;</w:t>
      </w:r>
      <w:r>
        <w:t xml:space="preserve">selbri_130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href=#y121&gt;</w:t>
      </w:r>
      <w:r>
        <w:t xml:space="preserve">relative_clauses_121   </w:t>
      </w:r>
      <w:r>
        <w:rPr>
          <w:rStyle w:val="htmlcodes"/>
        </w:rPr>
        <w:t>&lt;/a&gt;&lt;a href=#y130&gt;</w:t>
      </w:r>
      <w:r>
        <w:t xml:space="preserve">selbri_130   </w:t>
      </w:r>
      <w:r>
        <w:rPr>
          <w:rStyle w:val="htmlcodes"/>
        </w:rPr>
        <w:t>&lt;/a&gt;&lt;a href=#y121&gt;</w:t>
      </w:r>
      <w:r>
        <w:t>rel</w:t>
      </w:r>
      <w:r>
        <w:t>a</w:t>
      </w:r>
      <w:r>
        <w:t xml:space="preserve">tive_clauses_121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href=#y404&gt;</w:t>
      </w:r>
      <w:r>
        <w:t xml:space="preserve">cmene_404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href=#y404&gt;</w:t>
      </w:r>
      <w:r>
        <w:t xml:space="preserve">cmene_404  </w:t>
      </w:r>
      <w:r>
        <w:rPr>
          <w:rStyle w:val="htmlcodes"/>
        </w:rPr>
        <w:t>&lt;/a&gt;&lt;a href=#y121&gt;</w:t>
      </w:r>
      <w:r>
        <w:t xml:space="preserve">relative_clauses_121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href=#y121&gt;</w:t>
      </w:r>
      <w:r>
        <w:t xml:space="preserve">relative_clauses_121   </w:t>
      </w:r>
      <w:r>
        <w:rPr>
          <w:rStyle w:val="htmlcodes"/>
        </w:rPr>
        <w:t>&lt;/a&gt;&lt;a href=#y404&gt;</w:t>
      </w:r>
      <w:r>
        <w:t xml:space="preserve">cmene_404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href=#y121&gt;</w:t>
      </w:r>
      <w:r>
        <w:t xml:space="preserve">relative_clauses_121   </w:t>
      </w:r>
      <w:r>
        <w:rPr>
          <w:rStyle w:val="htmlcodes"/>
        </w:rPr>
        <w:t>&lt;/a&gt;&lt;a href=#y404&gt;</w:t>
      </w:r>
      <w:r>
        <w:t xml:space="preserve">cmene_404  </w:t>
      </w:r>
      <w:r>
        <w:rPr>
          <w:rStyle w:val="htmlcodes"/>
        </w:rPr>
        <w:t>&lt;/a&gt;&lt;a href=#y121&gt;</w:t>
      </w:r>
      <w:r>
        <w:t>rel</w:t>
      </w:r>
      <w:r>
        <w:t>a</w:t>
      </w:r>
      <w:r>
        <w:t xml:space="preserve">tive_clauses_121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href=#y90&gt;</w:t>
      </w:r>
      <w:r>
        <w:t xml:space="preserve">sumti_90   </w:t>
      </w:r>
      <w:r>
        <w:rPr>
          <w:rStyle w:val="htmlcodes"/>
        </w:rPr>
        <w:t>&lt;/a&gt;&lt;a href=#y457&gt;</w:t>
      </w:r>
      <w:r>
        <w:t xml:space="preserve">DOhU_gap_457  </w:t>
      </w:r>
      <w:r>
        <w:rPr>
          <w:rStyle w:val="htmlcodes"/>
        </w:rPr>
        <w:t>&lt;/a&gt;</w:t>
      </w:r>
    </w:p>
    <w:p w:rsidR="00B72047" w:rsidRDefault="00B72047">
      <w:pPr>
        <w:pStyle w:val="YACC"/>
      </w:pPr>
      <w:r>
        <w:tab/>
        <w:t>|</w:t>
      </w:r>
      <w:r>
        <w:tab/>
      </w:r>
      <w:r>
        <w:rPr>
          <w:rStyle w:val="htmlcodes"/>
        </w:rPr>
        <w:t>&lt;a href=#y415&gt;</w:t>
      </w:r>
      <w:r>
        <w:t xml:space="preserve">DOI_415  </w:t>
      </w:r>
      <w:r>
        <w:rPr>
          <w:rStyle w:val="htmlcodes"/>
        </w:rPr>
        <w:t>&lt;/a&gt;&lt;a href=#y457&gt;</w:t>
      </w:r>
      <w:r>
        <w:t xml:space="preserve">DOhU_gap_457  </w:t>
      </w:r>
      <w:r>
        <w:rPr>
          <w:rStyle w:val="htmlcodes"/>
        </w:rPr>
        <w:t>&lt;/a&gt;</w:t>
      </w:r>
    </w:p>
    <w:p w:rsidR="00B72047" w:rsidRDefault="00B72047">
      <w:pPr>
        <w:pStyle w:val="YACC"/>
      </w:pPr>
      <w:r>
        <w:tab/>
        <w:t>;</w:t>
      </w:r>
    </w:p>
    <w:p w:rsidR="00B72047" w:rsidRDefault="00B72047">
      <w:pPr>
        <w:pStyle w:val="YACCtoken"/>
      </w:pPr>
      <w:r>
        <w:rPr>
          <w:rStyle w:val="htmlcodes"/>
        </w:rPr>
        <w:t>&lt;a name=y36&gt;</w:t>
      </w:r>
      <w:r>
        <w:t xml:space="preserve">parenthetical_36  </w:t>
      </w:r>
      <w:r>
        <w:rPr>
          <w:rStyle w:val="htmlcodes"/>
        </w:rPr>
        <w:t>&lt;/a&gt;</w:t>
      </w:r>
      <w:r>
        <w:tab/>
        <w:t>:</w:t>
      </w:r>
      <w:r>
        <w:tab/>
      </w:r>
      <w:r>
        <w:rPr>
          <w:rStyle w:val="htmlcodes"/>
        </w:rPr>
        <w:t>&lt;a href=#y606&gt;</w:t>
      </w:r>
      <w:r>
        <w:t xml:space="preserve">TO_606  </w:t>
      </w:r>
      <w:r>
        <w:rPr>
          <w:rStyle w:val="htmlcodes"/>
        </w:rPr>
        <w:t>&lt;/a&gt;&lt;a href=#y0&gt;</w:t>
      </w:r>
      <w:r>
        <w:t xml:space="preserve">text_0  </w:t>
      </w:r>
      <w:r>
        <w:rPr>
          <w:rStyle w:val="htmlcodes"/>
        </w:rPr>
        <w:t>&lt;/a&gt;&lt;a href=#y468&gt;</w:t>
      </w:r>
      <w:r>
        <w:t xml:space="preserve">TOI_gap_468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name=y40&gt;</w:t>
      </w:r>
      <w:r>
        <w:t xml:space="preserve">sentence_40  </w:t>
      </w:r>
      <w:r>
        <w:rPr>
          <w:rStyle w:val="htmlcodes"/>
        </w:rPr>
        <w:t>&lt;/a&gt;</w:t>
      </w:r>
      <w:r>
        <w:tab/>
        <w:t>:</w:t>
      </w:r>
      <w:r>
        <w:tab/>
      </w:r>
      <w:r>
        <w:rPr>
          <w:rStyle w:val="htmlcodes"/>
        </w:rPr>
        <w:t>&lt;a href=#y50&gt;</w:t>
      </w:r>
      <w:r>
        <w:t>bridi_tail_50</w:t>
      </w:r>
      <w:r>
        <w:tab/>
      </w:r>
      <w:r>
        <w:rPr>
          <w:rStyle w:val="htmlcodes"/>
        </w:rPr>
        <w:t>&lt;/a&gt;</w:t>
      </w:r>
      <w:r>
        <w:t>/* bare observative or mo answer */</w:t>
      </w:r>
    </w:p>
    <w:p w:rsidR="00B72047" w:rsidRDefault="00B72047">
      <w:pPr>
        <w:pStyle w:val="YACC"/>
      </w:pPr>
      <w:r>
        <w:tab/>
        <w:t>|</w:t>
      </w:r>
      <w:r>
        <w:tab/>
      </w:r>
      <w:r>
        <w:rPr>
          <w:rStyle w:val="htmlcodes"/>
        </w:rPr>
        <w:t>&lt;a href=#y80&gt;</w:t>
      </w:r>
      <w:r>
        <w:t xml:space="preserve">terms_80   </w:t>
      </w:r>
      <w:r>
        <w:rPr>
          <w:rStyle w:val="htmlcodes"/>
        </w:rPr>
        <w:t>&lt;/a&gt;&lt;a href=#y451&gt;</w:t>
      </w:r>
      <w:r>
        <w:t xml:space="preserve">front_gap_451   </w:t>
      </w:r>
      <w:r>
        <w:rPr>
          <w:rStyle w:val="htmlcodes"/>
        </w:rPr>
        <w:t>&lt;/a&gt;&lt;a href=#y50&gt;</w:t>
      </w:r>
      <w:r>
        <w:t xml:space="preserve">bridi_tail_50   </w:t>
      </w:r>
      <w:r>
        <w:rPr>
          <w:rStyle w:val="htmlcodes"/>
        </w:rPr>
        <w:t>&lt;/a&gt;</w:t>
      </w:r>
    </w:p>
    <w:p w:rsidR="00B72047" w:rsidRDefault="00B72047">
      <w:pPr>
        <w:pStyle w:val="YACC"/>
      </w:pPr>
      <w:r>
        <w:tab/>
        <w:t>|</w:t>
      </w:r>
      <w:r>
        <w:tab/>
      </w:r>
      <w:r>
        <w:rPr>
          <w:rStyle w:val="htmlcodes"/>
        </w:rPr>
        <w:t>&lt;a href=#y80&gt;</w:t>
      </w:r>
      <w:r>
        <w:t xml:space="preserve">terms_80   </w:t>
      </w:r>
      <w:r>
        <w:rPr>
          <w:rStyle w:val="htmlcodes"/>
        </w:rPr>
        <w:t>&lt;/a&gt;&lt;a href=#y50&gt;</w:t>
      </w:r>
      <w:r>
        <w:t xml:space="preserve">bridi_tail_50   </w:t>
      </w:r>
      <w:r>
        <w:rPr>
          <w:rStyle w:val="htmlcodes"/>
        </w:rPr>
        <w:t>&lt;/a&gt;</w:t>
      </w:r>
    </w:p>
    <w:p w:rsidR="00B72047" w:rsidRDefault="00B72047">
      <w:pPr>
        <w:pStyle w:val="YACC"/>
      </w:pPr>
      <w:r>
        <w:tab/>
        <w:t>;</w:t>
      </w:r>
    </w:p>
    <w:p w:rsidR="00B72047" w:rsidRDefault="00B72047">
      <w:pPr>
        <w:pStyle w:val="YACCtoken"/>
      </w:pPr>
      <w:r>
        <w:rPr>
          <w:rStyle w:val="htmlcodes"/>
        </w:rPr>
        <w:t>&lt;a name=y41&gt;</w:t>
      </w:r>
      <w:r>
        <w:t xml:space="preserve">subsentence_41  </w:t>
      </w:r>
      <w:r>
        <w:rPr>
          <w:rStyle w:val="htmlcodes"/>
        </w:rPr>
        <w:t>&lt;/a&gt;</w:t>
      </w:r>
      <w:r>
        <w:tab/>
        <w:t>:</w:t>
      </w:r>
      <w:r>
        <w:tab/>
      </w:r>
      <w:r>
        <w:rPr>
          <w:rStyle w:val="htmlcodes"/>
        </w:rPr>
        <w:t>&lt;a href=#y40&gt;</w:t>
      </w:r>
      <w:r>
        <w:t xml:space="preserve">sentence_40  </w:t>
      </w:r>
      <w:r>
        <w:rPr>
          <w:rStyle w:val="htmlcodes"/>
        </w:rPr>
        <w:t>&lt;/a&gt;</w:t>
      </w:r>
    </w:p>
    <w:p w:rsidR="00B72047" w:rsidRDefault="00B72047">
      <w:pPr>
        <w:pStyle w:val="YACC"/>
      </w:pPr>
      <w:r>
        <w:tab/>
        <w:t>|</w:t>
      </w:r>
      <w:r>
        <w:tab/>
      </w:r>
      <w:r>
        <w:rPr>
          <w:rStyle w:val="htmlcodes"/>
        </w:rPr>
        <w:t>&lt;a href=#y30&gt;</w:t>
      </w:r>
      <w:r>
        <w:t xml:space="preserve">prenex_30   </w:t>
      </w:r>
      <w:r>
        <w:rPr>
          <w:rStyle w:val="htmlcodes"/>
        </w:rPr>
        <w:t>&lt;/a&gt;&lt;a href=#y41&gt;</w:t>
      </w:r>
      <w:r>
        <w:t xml:space="preserve">subsentence_41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name=y50&gt;</w:t>
      </w:r>
      <w:r>
        <w:t xml:space="preserve">bridi_tail_50  </w:t>
      </w:r>
      <w:r>
        <w:rPr>
          <w:rStyle w:val="htmlcodes"/>
        </w:rPr>
        <w:t>&lt;/a&gt;</w:t>
      </w:r>
      <w:r>
        <w:tab/>
        <w:t>:</w:t>
      </w:r>
      <w:r>
        <w:tab/>
      </w:r>
      <w:r>
        <w:rPr>
          <w:rStyle w:val="htmlcodes"/>
        </w:rPr>
        <w:t>&lt;a href=#y51&gt;</w:t>
      </w:r>
      <w:r>
        <w:t xml:space="preserve">bridi_tail_A_51  </w:t>
      </w:r>
      <w:r>
        <w:rPr>
          <w:rStyle w:val="htmlcodes"/>
        </w:rPr>
        <w:t>&lt;/a&gt;</w:t>
      </w:r>
    </w:p>
    <w:p w:rsidR="00B72047" w:rsidRDefault="00B72047">
      <w:pPr>
        <w:pStyle w:val="YACC"/>
      </w:pPr>
      <w:r>
        <w:tab/>
        <w:t>|</w:t>
      </w:r>
      <w:r>
        <w:tab/>
      </w:r>
      <w:r>
        <w:rPr>
          <w:rStyle w:val="htmlcodes"/>
        </w:rPr>
        <w:t>&lt;a href=#y51&gt;</w:t>
      </w:r>
      <w:r>
        <w:t xml:space="preserve">bridi_tail_A_51   </w:t>
      </w:r>
      <w:r>
        <w:rPr>
          <w:rStyle w:val="htmlcodes"/>
        </w:rPr>
        <w:t>&lt;/a&gt;&lt;a href=#y814&gt;</w:t>
      </w:r>
      <w:r>
        <w:t xml:space="preserve">GIhEK_KE_814  </w:t>
      </w:r>
      <w:r>
        <w:rPr>
          <w:rStyle w:val="htmlcodes"/>
        </w:rPr>
        <w:t>&lt;/a&gt;&lt;a href=#y50&gt;</w:t>
      </w:r>
      <w:r>
        <w:t xml:space="preserve">bridi_tail_50   </w:t>
      </w:r>
      <w:r>
        <w:rPr>
          <w:rStyle w:val="htmlcodes"/>
        </w:rPr>
        <w:t>&lt;/a&gt;&lt;a href=#y466&gt;</w:t>
      </w:r>
      <w:r>
        <w:t xml:space="preserve">KEhE_gap_466  </w:t>
      </w:r>
      <w:r>
        <w:rPr>
          <w:rStyle w:val="htmlcodes"/>
        </w:rPr>
        <w:t>&lt;/a&gt;&lt;a href=#y71&gt;</w:t>
      </w:r>
      <w:r>
        <w:t xml:space="preserve">tail_terms_71   </w:t>
      </w:r>
      <w:r>
        <w:rPr>
          <w:rStyle w:val="htmlcodes"/>
        </w:rPr>
        <w:t>&lt;/a&gt;</w:t>
      </w:r>
    </w:p>
    <w:p w:rsidR="00B72047" w:rsidRDefault="00B72047">
      <w:pPr>
        <w:pStyle w:val="YACC"/>
      </w:pPr>
      <w:r>
        <w:tab/>
        <w:t>;</w:t>
      </w:r>
    </w:p>
    <w:p w:rsidR="00B72047" w:rsidRDefault="00B72047">
      <w:pPr>
        <w:pStyle w:val="YACCtoken"/>
      </w:pPr>
      <w:r>
        <w:rPr>
          <w:rStyle w:val="htmlcodes"/>
        </w:rPr>
        <w:t>&lt;a name=y51&gt;</w:t>
      </w:r>
      <w:r>
        <w:t xml:space="preserve">bridi_tail_A_51  </w:t>
      </w:r>
      <w:r>
        <w:rPr>
          <w:rStyle w:val="htmlcodes"/>
        </w:rPr>
        <w:t>&lt;/a&gt;</w:t>
      </w:r>
      <w:r>
        <w:tab/>
        <w:t>:</w:t>
      </w:r>
      <w:r>
        <w:tab/>
      </w:r>
      <w:r>
        <w:rPr>
          <w:rStyle w:val="htmlcodes"/>
        </w:rPr>
        <w:t>&lt;a href=#y52&gt;</w:t>
      </w:r>
      <w:r>
        <w:t xml:space="preserve">bridi_tail_B_52  </w:t>
      </w:r>
      <w:r>
        <w:rPr>
          <w:rStyle w:val="htmlcodes"/>
        </w:rPr>
        <w:t>&lt;/a&gt;</w:t>
      </w:r>
    </w:p>
    <w:p w:rsidR="00B72047" w:rsidRDefault="00B72047">
      <w:pPr>
        <w:pStyle w:val="YACC"/>
      </w:pPr>
      <w:r>
        <w:tab/>
        <w:t>|</w:t>
      </w:r>
      <w:r>
        <w:tab/>
      </w:r>
      <w:r>
        <w:rPr>
          <w:rStyle w:val="htmlcodes"/>
        </w:rPr>
        <w:t>&lt;a href=#y51&gt;</w:t>
      </w:r>
      <w:r>
        <w:t xml:space="preserve">bridi_tail_A_51   </w:t>
      </w:r>
      <w:r>
        <w:rPr>
          <w:rStyle w:val="htmlcodes"/>
        </w:rPr>
        <w:t>&lt;/a&gt;&lt;a href=#y818&gt;</w:t>
      </w:r>
      <w:r>
        <w:t xml:space="preserve">GIhEK_818  </w:t>
      </w:r>
      <w:r>
        <w:rPr>
          <w:rStyle w:val="htmlcodes"/>
        </w:rPr>
        <w:t>&lt;/a&gt;&lt;a href=#y52&gt;</w:t>
      </w:r>
      <w:r>
        <w:t xml:space="preserve">bridi_tail_B_52   </w:t>
      </w:r>
      <w:r>
        <w:rPr>
          <w:rStyle w:val="htmlcodes"/>
        </w:rPr>
        <w:t>&lt;/a&gt;&lt;a href=#y71&gt;</w:t>
      </w:r>
      <w:r>
        <w:t xml:space="preserve">tail_terms_71   </w:t>
      </w:r>
      <w:r>
        <w:rPr>
          <w:rStyle w:val="htmlcodes"/>
        </w:rPr>
        <w:t>&lt;/a&gt;</w:t>
      </w:r>
    </w:p>
    <w:p w:rsidR="00B72047" w:rsidRDefault="00B72047">
      <w:pPr>
        <w:pStyle w:val="YACC"/>
      </w:pPr>
      <w:r>
        <w:tab/>
        <w:t>;</w:t>
      </w:r>
    </w:p>
    <w:p w:rsidR="00B72047" w:rsidRDefault="00B72047">
      <w:pPr>
        <w:pStyle w:val="YACCtoken"/>
      </w:pPr>
      <w:r>
        <w:rPr>
          <w:rStyle w:val="htmlcodes"/>
        </w:rPr>
        <w:t>&lt;a name=y52&gt;</w:t>
      </w:r>
      <w:r>
        <w:t xml:space="preserve">bridi_tail_B_52  </w:t>
      </w:r>
      <w:r>
        <w:rPr>
          <w:rStyle w:val="htmlcodes"/>
        </w:rPr>
        <w:t>&lt;/a&gt;</w:t>
      </w:r>
      <w:r>
        <w:tab/>
        <w:t>:</w:t>
      </w:r>
      <w:r>
        <w:tab/>
      </w:r>
      <w:r>
        <w:rPr>
          <w:rStyle w:val="htmlcodes"/>
        </w:rPr>
        <w:t>&lt;a href=#y53&gt;</w:t>
      </w:r>
      <w:r>
        <w:t xml:space="preserve">bridi_tail_C_53  </w:t>
      </w:r>
      <w:r>
        <w:rPr>
          <w:rStyle w:val="htmlcodes"/>
        </w:rPr>
        <w:t>&lt;/a&gt;</w:t>
      </w:r>
    </w:p>
    <w:p w:rsidR="00B72047" w:rsidRDefault="00B72047">
      <w:pPr>
        <w:pStyle w:val="YACC"/>
      </w:pPr>
      <w:r>
        <w:tab/>
        <w:t>|</w:t>
      </w:r>
      <w:r>
        <w:tab/>
      </w:r>
      <w:r>
        <w:rPr>
          <w:rStyle w:val="htmlcodes"/>
        </w:rPr>
        <w:t>&lt;a href=#y53&gt;</w:t>
      </w:r>
      <w:r>
        <w:t xml:space="preserve">bridi_tail_C_53  </w:t>
      </w:r>
      <w:r>
        <w:rPr>
          <w:rStyle w:val="htmlcodes"/>
        </w:rPr>
        <w:t>&lt;/a&gt;&lt;a href=#y813&gt;</w:t>
      </w:r>
      <w:r>
        <w:t xml:space="preserve">GIhEK_BO_813  </w:t>
      </w:r>
      <w:r>
        <w:rPr>
          <w:rStyle w:val="htmlcodes"/>
        </w:rPr>
        <w:t>&lt;/a&gt;&lt;a href=#y52&gt;</w:t>
      </w:r>
      <w:r>
        <w:t xml:space="preserve">bridi_tail_B_52   </w:t>
      </w:r>
      <w:r>
        <w:rPr>
          <w:rStyle w:val="htmlcodes"/>
        </w:rPr>
        <w:t>&lt;/a&gt;&lt;a href=#y71&gt;</w:t>
      </w:r>
      <w:r>
        <w:t xml:space="preserve">tail_terms_71   </w:t>
      </w:r>
      <w:r>
        <w:rPr>
          <w:rStyle w:val="htmlcodes"/>
        </w:rPr>
        <w:t>&lt;/a&gt;</w:t>
      </w:r>
    </w:p>
    <w:p w:rsidR="00B72047" w:rsidRDefault="00B72047">
      <w:pPr>
        <w:pStyle w:val="YACC"/>
      </w:pPr>
      <w:r>
        <w:tab/>
        <w:t>;</w:t>
      </w:r>
    </w:p>
    <w:p w:rsidR="00B72047" w:rsidRDefault="00B72047">
      <w:pPr>
        <w:pStyle w:val="YACCtoken"/>
      </w:pPr>
      <w:r>
        <w:rPr>
          <w:rStyle w:val="htmlcodes"/>
        </w:rPr>
        <w:t>&lt;a name=y53&gt;</w:t>
      </w:r>
      <w:r>
        <w:t xml:space="preserve">bridi_tail_C_53  </w:t>
      </w:r>
      <w:r>
        <w:rPr>
          <w:rStyle w:val="htmlcodes"/>
        </w:rPr>
        <w:t>&lt;/a&gt;</w:t>
      </w:r>
      <w:r>
        <w:tab/>
        <w:t>:</w:t>
      </w:r>
      <w:r>
        <w:tab/>
      </w:r>
      <w:r>
        <w:rPr>
          <w:rStyle w:val="htmlcodes"/>
        </w:rPr>
        <w:t>&lt;a href=#y54&gt;</w:t>
      </w:r>
      <w:r>
        <w:t xml:space="preserve">gek_sentence_54  </w:t>
      </w:r>
      <w:r>
        <w:rPr>
          <w:rStyle w:val="htmlcodes"/>
        </w:rPr>
        <w:t>&lt;/a&gt;</w:t>
      </w:r>
    </w:p>
    <w:p w:rsidR="00B72047" w:rsidRDefault="00B72047">
      <w:pPr>
        <w:pStyle w:val="YACC"/>
      </w:pPr>
      <w:r>
        <w:tab/>
        <w:t>|</w:t>
      </w:r>
      <w:r>
        <w:tab/>
      </w:r>
      <w:r>
        <w:rPr>
          <w:rStyle w:val="htmlcodes"/>
        </w:rPr>
        <w:t>&lt;a href=#y130&gt;</w:t>
      </w:r>
      <w:r>
        <w:t xml:space="preserve">selbri_130   </w:t>
      </w:r>
      <w:r>
        <w:rPr>
          <w:rStyle w:val="htmlcodes"/>
        </w:rPr>
        <w:t>&lt;/a&gt;&lt;a href=#y71&gt;</w:t>
      </w:r>
      <w:r>
        <w:t xml:space="preserve">tail_terms_71   </w:t>
      </w:r>
      <w:r>
        <w:rPr>
          <w:rStyle w:val="htmlcodes"/>
        </w:rPr>
        <w:t>&lt;/a&gt;</w:t>
      </w:r>
    </w:p>
    <w:p w:rsidR="00B72047" w:rsidRDefault="00B72047">
      <w:pPr>
        <w:pStyle w:val="YACC"/>
      </w:pPr>
      <w:r>
        <w:tab/>
        <w:t>;</w:t>
      </w:r>
    </w:p>
    <w:p w:rsidR="00B72047" w:rsidRDefault="00B72047">
      <w:pPr>
        <w:pStyle w:val="YACCtoken"/>
      </w:pPr>
      <w:r>
        <w:rPr>
          <w:rStyle w:val="htmlcodes"/>
        </w:rPr>
        <w:t>&lt;a name=y54&gt;</w:t>
      </w:r>
      <w:r>
        <w:t xml:space="preserve">gek_sentence_54  </w:t>
      </w:r>
      <w:r>
        <w:rPr>
          <w:rStyle w:val="htmlcodes"/>
        </w:rPr>
        <w:t>&lt;/a&gt;</w:t>
      </w:r>
      <w:r>
        <w:tab/>
        <w:t>:</w:t>
      </w:r>
      <w:r>
        <w:tab/>
      </w:r>
      <w:r>
        <w:rPr>
          <w:rStyle w:val="htmlcodes"/>
        </w:rPr>
        <w:t>&lt;a href=#y807&gt;</w:t>
      </w:r>
      <w:r>
        <w:t xml:space="preserve">GEK_807  </w:t>
      </w:r>
      <w:r>
        <w:rPr>
          <w:rStyle w:val="htmlcodes"/>
        </w:rPr>
        <w:t>&lt;/a&gt;&lt;a href=#y41&gt;</w:t>
      </w:r>
      <w:r>
        <w:t xml:space="preserve">subsentence_41  </w:t>
      </w:r>
      <w:r>
        <w:rPr>
          <w:rStyle w:val="htmlcodes"/>
        </w:rPr>
        <w:t>&lt;/a&gt;&lt;a href=#y816&gt;</w:t>
      </w:r>
      <w:r>
        <w:t xml:space="preserve">GIK_816  </w:t>
      </w:r>
      <w:r>
        <w:rPr>
          <w:rStyle w:val="htmlcodes"/>
        </w:rPr>
        <w:t>&lt;/a&gt;&lt;a href=#y41&gt;</w:t>
      </w:r>
      <w:r>
        <w:t xml:space="preserve">subsentence_41   </w:t>
      </w:r>
      <w:r>
        <w:rPr>
          <w:rStyle w:val="htmlcodes"/>
        </w:rPr>
        <w:t>&lt;/a&gt;&lt;a href=#y71&gt;</w:t>
      </w:r>
      <w:r>
        <w:t xml:space="preserve">tail_terms_71   </w:t>
      </w:r>
      <w:r>
        <w:rPr>
          <w:rStyle w:val="htmlcodes"/>
        </w:rPr>
        <w:t>&lt;/a&gt;</w:t>
      </w:r>
    </w:p>
    <w:p w:rsidR="00B72047" w:rsidRDefault="00B72047">
      <w:pPr>
        <w:pStyle w:val="YACC"/>
      </w:pPr>
      <w:r>
        <w:tab/>
        <w:t>|</w:t>
      </w:r>
      <w:r>
        <w:tab/>
      </w:r>
      <w:r>
        <w:rPr>
          <w:rStyle w:val="htmlcodes"/>
        </w:rPr>
        <w:t>&lt;a href=#y491&gt;</w:t>
      </w:r>
      <w:r>
        <w:t xml:space="preserve">tag_491   </w:t>
      </w:r>
      <w:r>
        <w:rPr>
          <w:rStyle w:val="htmlcodes"/>
        </w:rPr>
        <w:t>&lt;/a&gt;&lt;a href=#y493&gt;</w:t>
      </w:r>
      <w:r>
        <w:t xml:space="preserve">KE_493  </w:t>
      </w:r>
      <w:r>
        <w:rPr>
          <w:rStyle w:val="htmlcodes"/>
        </w:rPr>
        <w:t>&lt;/a&gt;&lt;a href=#y54&gt;</w:t>
      </w:r>
      <w:r>
        <w:t xml:space="preserve">gek_sentence_54  </w:t>
      </w:r>
      <w:r>
        <w:rPr>
          <w:rStyle w:val="htmlcodes"/>
        </w:rPr>
        <w:t>&lt;/a&gt;&lt;a href=#y466&gt;</w:t>
      </w:r>
      <w:r>
        <w:t xml:space="preserve">KEhE_gap_466  </w:t>
      </w:r>
      <w:r>
        <w:rPr>
          <w:rStyle w:val="htmlcodes"/>
        </w:rPr>
        <w:t>&lt;/a&gt;</w:t>
      </w:r>
    </w:p>
    <w:p w:rsidR="00B72047" w:rsidRDefault="00B72047">
      <w:pPr>
        <w:pStyle w:val="YACC"/>
      </w:pPr>
      <w:r>
        <w:tab/>
        <w:t>|</w:t>
      </w:r>
      <w:r>
        <w:tab/>
      </w:r>
      <w:r>
        <w:rPr>
          <w:rStyle w:val="htmlcodes"/>
        </w:rPr>
        <w:t>&lt;a href=#y445&gt;</w:t>
      </w:r>
      <w:r>
        <w:t xml:space="preserve">NA_445  </w:t>
      </w:r>
      <w:r>
        <w:rPr>
          <w:rStyle w:val="htmlcodes"/>
        </w:rPr>
        <w:t>&lt;/a&gt;&lt;a href=#y54&gt;</w:t>
      </w:r>
      <w:r>
        <w:t xml:space="preserve">gek_sentence_54  </w:t>
      </w:r>
      <w:r>
        <w:rPr>
          <w:rStyle w:val="htmlcodes"/>
        </w:rPr>
        <w:t>&lt;/a&gt;</w:t>
      </w:r>
    </w:p>
    <w:p w:rsidR="00B72047" w:rsidRDefault="00B72047">
      <w:pPr>
        <w:pStyle w:val="YACC"/>
      </w:pPr>
      <w:r>
        <w:tab/>
        <w:t>;</w:t>
      </w:r>
    </w:p>
    <w:p w:rsidR="00B72047" w:rsidRDefault="00B72047">
      <w:pPr>
        <w:pStyle w:val="YACCtoken"/>
      </w:pPr>
      <w:r>
        <w:rPr>
          <w:rStyle w:val="htmlcodes"/>
        </w:rPr>
        <w:t>&lt;a name=y71&gt;</w:t>
      </w:r>
      <w:r>
        <w:t xml:space="preserve">tail_terms_71  </w:t>
      </w:r>
      <w:r>
        <w:rPr>
          <w:rStyle w:val="htmlcodes"/>
        </w:rPr>
        <w:t>&lt;/a&gt;</w:t>
      </w:r>
      <w:r>
        <w:tab/>
        <w:t>:</w:t>
      </w:r>
      <w:r>
        <w:tab/>
      </w:r>
      <w:r>
        <w:rPr>
          <w:rStyle w:val="htmlcodes"/>
        </w:rPr>
        <w:t>&lt;a href=#y80&gt;</w:t>
      </w:r>
      <w:r>
        <w:t xml:space="preserve">terms_80  </w:t>
      </w:r>
      <w:r>
        <w:rPr>
          <w:rStyle w:val="htmlcodes"/>
        </w:rPr>
        <w:t>&lt;/a&gt;&lt;a href=#y456&gt;</w:t>
      </w:r>
      <w:r>
        <w:t xml:space="preserve">VAU_gap_456  </w:t>
      </w:r>
      <w:r>
        <w:rPr>
          <w:rStyle w:val="htmlcodes"/>
        </w:rPr>
        <w:t>&lt;/a&gt;</w:t>
      </w:r>
    </w:p>
    <w:p w:rsidR="00B72047" w:rsidRDefault="00B72047">
      <w:pPr>
        <w:pStyle w:val="YACC"/>
      </w:pPr>
      <w:r>
        <w:tab/>
        <w:t>|</w:t>
      </w:r>
      <w:r>
        <w:tab/>
      </w:r>
      <w:r>
        <w:rPr>
          <w:rStyle w:val="htmlcodes"/>
        </w:rPr>
        <w:t>&lt;a href=#y456&gt;</w:t>
      </w:r>
      <w:r>
        <w:t xml:space="preserve">VAU_gap_456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name=y80&gt;</w:t>
      </w:r>
      <w:r>
        <w:t xml:space="preserve">terms_80  </w:t>
      </w:r>
      <w:r>
        <w:rPr>
          <w:rStyle w:val="htmlcodes"/>
        </w:rPr>
        <w:t>&lt;/a&gt;</w:t>
      </w:r>
      <w:r>
        <w:tab/>
        <w:t>:</w:t>
      </w:r>
      <w:r>
        <w:tab/>
      </w:r>
      <w:r>
        <w:rPr>
          <w:rStyle w:val="htmlcodes"/>
        </w:rPr>
        <w:t>&lt;a href=#y81&gt;</w:t>
      </w:r>
      <w:r>
        <w:t xml:space="preserve">terms_A_81  </w:t>
      </w:r>
      <w:r>
        <w:rPr>
          <w:rStyle w:val="htmlcodes"/>
        </w:rPr>
        <w:t>&lt;/a&gt;</w:t>
      </w:r>
    </w:p>
    <w:p w:rsidR="00B72047" w:rsidRDefault="00B72047">
      <w:pPr>
        <w:pStyle w:val="YACC"/>
      </w:pPr>
      <w:r>
        <w:tab/>
        <w:t>|</w:t>
      </w:r>
      <w:r>
        <w:tab/>
      </w:r>
      <w:r>
        <w:rPr>
          <w:rStyle w:val="htmlcodes"/>
        </w:rPr>
        <w:t>&lt;a href=#y80&gt;</w:t>
      </w:r>
      <w:r>
        <w:t xml:space="preserve">terms_80   </w:t>
      </w:r>
      <w:r>
        <w:rPr>
          <w:rStyle w:val="htmlcodes"/>
        </w:rPr>
        <w:t>&lt;/a&gt;&lt;a href=#y81&gt;</w:t>
      </w:r>
      <w:r>
        <w:t xml:space="preserve">terms_A_81   </w:t>
      </w:r>
      <w:r>
        <w:rPr>
          <w:rStyle w:val="htmlcodes"/>
        </w:rPr>
        <w:t>&lt;/a&gt;</w:t>
      </w:r>
    </w:p>
    <w:p w:rsidR="00B72047" w:rsidRDefault="00B72047">
      <w:pPr>
        <w:pStyle w:val="YACC"/>
      </w:pPr>
      <w:r>
        <w:tab/>
        <w:t>;</w:t>
      </w:r>
    </w:p>
    <w:p w:rsidR="00B72047" w:rsidRDefault="00B72047">
      <w:pPr>
        <w:pStyle w:val="YACCtoken"/>
      </w:pPr>
      <w:r>
        <w:rPr>
          <w:rStyle w:val="htmlcodes"/>
        </w:rPr>
        <w:t>&lt;a name=y81&gt;</w:t>
      </w:r>
      <w:r>
        <w:t xml:space="preserve">terms_A_81  </w:t>
      </w:r>
      <w:r>
        <w:rPr>
          <w:rStyle w:val="htmlcodes"/>
        </w:rPr>
        <w:t>&lt;/a&gt;</w:t>
      </w:r>
      <w:r>
        <w:tab/>
        <w:t>:</w:t>
      </w:r>
      <w:r>
        <w:tab/>
      </w:r>
      <w:r>
        <w:rPr>
          <w:rStyle w:val="htmlcodes"/>
        </w:rPr>
        <w:t>&lt;a href=#y82&gt;</w:t>
      </w:r>
      <w:r>
        <w:t xml:space="preserve">terms_B_82  </w:t>
      </w:r>
      <w:r>
        <w:rPr>
          <w:rStyle w:val="htmlcodes"/>
        </w:rPr>
        <w:t>&lt;/a&gt;</w:t>
      </w:r>
    </w:p>
    <w:p w:rsidR="00B72047" w:rsidRDefault="00B72047">
      <w:pPr>
        <w:pStyle w:val="YACC"/>
      </w:pPr>
      <w:r>
        <w:tab/>
        <w:t>|</w:t>
      </w:r>
      <w:r>
        <w:tab/>
      </w:r>
      <w:r>
        <w:rPr>
          <w:rStyle w:val="htmlcodes"/>
        </w:rPr>
        <w:t>&lt;a href=#y81&gt;</w:t>
      </w:r>
      <w:r>
        <w:t xml:space="preserve">terms_A_81   </w:t>
      </w:r>
      <w:r>
        <w:rPr>
          <w:rStyle w:val="htmlcodes"/>
        </w:rPr>
        <w:t>&lt;/a&gt;&lt;a href=#y494&gt;</w:t>
      </w:r>
      <w:r>
        <w:t xml:space="preserve">PEhE_494  </w:t>
      </w:r>
      <w:r>
        <w:rPr>
          <w:rStyle w:val="htmlcodes"/>
        </w:rPr>
        <w:t>&lt;/a&gt;&lt;a href=#y422&gt;</w:t>
      </w:r>
      <w:r>
        <w:t xml:space="preserve">JOIK_JEK_422   </w:t>
      </w:r>
      <w:r>
        <w:rPr>
          <w:rStyle w:val="htmlcodes"/>
        </w:rPr>
        <w:t>&lt;/a&gt;&lt;a href=#y82&gt;</w:t>
      </w:r>
      <w:r>
        <w:t xml:space="preserve">terms_B_82   </w:t>
      </w:r>
      <w:r>
        <w:rPr>
          <w:rStyle w:val="htmlcodes"/>
        </w:rPr>
        <w:t>&lt;/a&gt;</w:t>
      </w:r>
    </w:p>
    <w:p w:rsidR="00B72047" w:rsidRDefault="00B72047">
      <w:pPr>
        <w:pStyle w:val="YACC"/>
      </w:pPr>
      <w:r>
        <w:tab/>
        <w:t>;</w:t>
      </w:r>
    </w:p>
    <w:p w:rsidR="00B72047" w:rsidRDefault="00B72047">
      <w:pPr>
        <w:pStyle w:val="YACCtoken"/>
      </w:pPr>
      <w:r>
        <w:rPr>
          <w:rStyle w:val="htmlcodes"/>
        </w:rPr>
        <w:t>&lt;a name=y82&gt;</w:t>
      </w:r>
      <w:r>
        <w:t xml:space="preserve">terms_B_82  </w:t>
      </w:r>
      <w:r>
        <w:rPr>
          <w:rStyle w:val="htmlcodes"/>
        </w:rPr>
        <w:t>&lt;/a&gt;</w:t>
      </w:r>
      <w:r>
        <w:tab/>
        <w:t>:</w:t>
      </w:r>
      <w:r>
        <w:tab/>
      </w:r>
      <w:r>
        <w:rPr>
          <w:rStyle w:val="htmlcodes"/>
        </w:rPr>
        <w:t>&lt;a href=#y83&gt;</w:t>
      </w:r>
      <w:r>
        <w:t xml:space="preserve">term_83  </w:t>
      </w:r>
      <w:r>
        <w:rPr>
          <w:rStyle w:val="htmlcodes"/>
        </w:rPr>
        <w:t>&lt;/a&gt;</w:t>
      </w:r>
    </w:p>
    <w:p w:rsidR="00B72047" w:rsidRDefault="00B72047">
      <w:pPr>
        <w:pStyle w:val="YACC"/>
      </w:pPr>
      <w:r>
        <w:tab/>
        <w:t>|</w:t>
      </w:r>
      <w:r>
        <w:tab/>
      </w:r>
      <w:r>
        <w:rPr>
          <w:rStyle w:val="htmlcodes"/>
        </w:rPr>
        <w:t>&lt;a href=#y82&gt;</w:t>
      </w:r>
      <w:r>
        <w:t xml:space="preserve">terms_B_82   </w:t>
      </w:r>
      <w:r>
        <w:rPr>
          <w:rStyle w:val="htmlcodes"/>
        </w:rPr>
        <w:t>&lt;/a&gt;&lt;a href=#y495&gt;</w:t>
      </w:r>
      <w:r>
        <w:t xml:space="preserve">CEhE_495  </w:t>
      </w:r>
      <w:r>
        <w:rPr>
          <w:rStyle w:val="htmlcodes"/>
        </w:rPr>
        <w:t>&lt;/a&gt;&lt;a href=#y83&gt;</w:t>
      </w:r>
      <w:r>
        <w:t xml:space="preserve">term_83  </w:t>
      </w:r>
      <w:r>
        <w:rPr>
          <w:rStyle w:val="htmlcodes"/>
        </w:rPr>
        <w:t>&lt;/a&gt;</w:t>
      </w:r>
    </w:p>
    <w:p w:rsidR="00B72047" w:rsidRDefault="00B72047">
      <w:pPr>
        <w:pStyle w:val="YACC"/>
      </w:pPr>
      <w:r>
        <w:tab/>
        <w:t>;</w:t>
      </w:r>
    </w:p>
    <w:p w:rsidR="00B72047" w:rsidRDefault="00B72047">
      <w:pPr>
        <w:pStyle w:val="YACCtoken"/>
      </w:pPr>
      <w:r>
        <w:rPr>
          <w:rStyle w:val="htmlcodes"/>
        </w:rPr>
        <w:t>&lt;a name=y83&gt;</w:t>
      </w:r>
      <w:r>
        <w:t xml:space="preserve">term_83  </w:t>
      </w:r>
      <w:r>
        <w:rPr>
          <w:rStyle w:val="htmlcodes"/>
        </w:rPr>
        <w:t>&lt;/a&gt;</w:t>
      </w:r>
      <w:r>
        <w:tab/>
        <w:t>:</w:t>
      </w:r>
      <w:r>
        <w:tab/>
      </w:r>
      <w:r>
        <w:rPr>
          <w:rStyle w:val="htmlcodes"/>
        </w:rPr>
        <w:t>&lt;a href=#y90&gt;</w:t>
      </w:r>
      <w:r>
        <w:t xml:space="preserve">sumti_90  </w:t>
      </w:r>
      <w:r>
        <w:rPr>
          <w:rStyle w:val="htmlcodes"/>
        </w:rPr>
        <w:t>&lt;/a&gt;</w:t>
      </w:r>
    </w:p>
    <w:p w:rsidR="00B72047" w:rsidRDefault="00B72047">
      <w:pPr>
        <w:pStyle w:val="YACC"/>
      </w:pPr>
      <w:r>
        <w:tab/>
        <w:t>|</w:t>
      </w:r>
      <w:r>
        <w:tab/>
      </w:r>
      <w:r>
        <w:rPr>
          <w:rStyle w:val="htmlcodes"/>
        </w:rPr>
        <w:t>&lt;a href=#y84&gt;</w:t>
      </w:r>
      <w:r>
        <w:t xml:space="preserve">modifier_84  </w:t>
      </w:r>
      <w:r>
        <w:rPr>
          <w:rStyle w:val="htmlcodes"/>
        </w:rPr>
        <w:t>&lt;/a&gt;</w:t>
      </w:r>
    </w:p>
    <w:p w:rsidR="00B72047" w:rsidRDefault="00B72047">
      <w:pPr>
        <w:pStyle w:val="YACC"/>
      </w:pPr>
      <w:r>
        <w:tab/>
        <w:t>|</w:t>
      </w:r>
      <w:r>
        <w:tab/>
      </w:r>
      <w:r>
        <w:rPr>
          <w:rStyle w:val="htmlcodes"/>
        </w:rPr>
        <w:t>&lt;a href=#y85&gt;</w:t>
      </w:r>
      <w:r>
        <w:t xml:space="preserve">term_set_85  </w:t>
      </w:r>
      <w:r>
        <w:rPr>
          <w:rStyle w:val="htmlcodes"/>
        </w:rPr>
        <w:t>&lt;/a&gt;</w:t>
      </w:r>
    </w:p>
    <w:p w:rsidR="00B72047" w:rsidRDefault="00B72047">
      <w:pPr>
        <w:pStyle w:val="YACC"/>
      </w:pPr>
      <w:r>
        <w:tab/>
        <w:t>|</w:t>
      </w:r>
      <w:r>
        <w:tab/>
      </w:r>
      <w:r>
        <w:rPr>
          <w:rStyle w:val="htmlcodes"/>
        </w:rPr>
        <w:t>&lt;a href=#y810&gt;</w:t>
      </w:r>
      <w:r>
        <w:t xml:space="preserve">NA_KU_810   </w:t>
      </w:r>
      <w:r>
        <w:rPr>
          <w:rStyle w:val="htmlcodes"/>
        </w:rPr>
        <w:t>&lt;/a&gt;</w:t>
      </w:r>
    </w:p>
    <w:p w:rsidR="00B72047" w:rsidRDefault="00B72047">
      <w:pPr>
        <w:pStyle w:val="YACC"/>
      </w:pPr>
      <w:r>
        <w:tab/>
        <w:t>;</w:t>
      </w:r>
    </w:p>
    <w:p w:rsidR="00B72047" w:rsidRDefault="00B72047">
      <w:pPr>
        <w:pStyle w:val="YACCtoken"/>
      </w:pPr>
      <w:r>
        <w:rPr>
          <w:rStyle w:val="htmlcodes"/>
        </w:rPr>
        <w:t>&lt;a name=y84&gt;</w:t>
      </w:r>
      <w:r>
        <w:t xml:space="preserve">modifier_84  </w:t>
      </w:r>
      <w:r>
        <w:rPr>
          <w:rStyle w:val="htmlcodes"/>
        </w:rPr>
        <w:t>&lt;/a&gt;</w:t>
      </w:r>
      <w:r>
        <w:tab/>
        <w:t>:</w:t>
      </w:r>
      <w:r>
        <w:tab/>
      </w:r>
      <w:r>
        <w:rPr>
          <w:rStyle w:val="htmlcodes"/>
        </w:rPr>
        <w:t>&lt;a href=#y490&gt;</w:t>
      </w:r>
      <w:r>
        <w:t xml:space="preserve">mod_head_490  </w:t>
      </w:r>
      <w:r>
        <w:rPr>
          <w:rStyle w:val="htmlcodes"/>
        </w:rPr>
        <w:t>&lt;/a&gt;&lt;a href=#y450&gt;</w:t>
      </w:r>
      <w:r>
        <w:t xml:space="preserve">gap_450  </w:t>
      </w:r>
      <w:r>
        <w:rPr>
          <w:rStyle w:val="htmlcodes"/>
        </w:rPr>
        <w:t>&lt;/a&gt;</w:t>
      </w:r>
    </w:p>
    <w:p w:rsidR="00B72047" w:rsidRDefault="00B72047">
      <w:pPr>
        <w:pStyle w:val="YACC"/>
      </w:pPr>
      <w:r>
        <w:tab/>
        <w:t>|</w:t>
      </w:r>
      <w:r>
        <w:tab/>
      </w:r>
      <w:r>
        <w:rPr>
          <w:rStyle w:val="htmlcodes"/>
        </w:rPr>
        <w:t>&lt;a href=#y490&gt;</w:t>
      </w:r>
      <w:r>
        <w:t xml:space="preserve">mod_head_490   </w:t>
      </w:r>
      <w:r>
        <w:rPr>
          <w:rStyle w:val="htmlcodes"/>
        </w:rPr>
        <w:t>&lt;/a&gt;&lt;a href=#y90&gt;</w:t>
      </w:r>
      <w:r>
        <w:t xml:space="preserve">sumti_90   </w:t>
      </w:r>
      <w:r>
        <w:rPr>
          <w:rStyle w:val="htmlcodes"/>
        </w:rPr>
        <w:t>&lt;/a&gt;</w:t>
      </w:r>
    </w:p>
    <w:p w:rsidR="00B72047" w:rsidRDefault="00B72047">
      <w:pPr>
        <w:pStyle w:val="YACC"/>
      </w:pPr>
      <w:r>
        <w:tab/>
        <w:t>;</w:t>
      </w:r>
    </w:p>
    <w:p w:rsidR="00B72047" w:rsidRDefault="00B72047">
      <w:pPr>
        <w:pStyle w:val="YACCtoken"/>
      </w:pPr>
      <w:r>
        <w:rPr>
          <w:rStyle w:val="htmlcodes"/>
        </w:rPr>
        <w:t>&lt;a name=y85&gt;</w:t>
      </w:r>
      <w:r>
        <w:t xml:space="preserve">term_set_85  </w:t>
      </w:r>
      <w:r>
        <w:rPr>
          <w:rStyle w:val="htmlcodes"/>
        </w:rPr>
        <w:t>&lt;/a&gt;</w:t>
      </w:r>
      <w:r>
        <w:tab/>
        <w:t>:</w:t>
      </w:r>
      <w:r>
        <w:tab/>
      </w:r>
      <w:r>
        <w:rPr>
          <w:rStyle w:val="htmlcodes"/>
        </w:rPr>
        <w:t>&lt;a href=#y496&gt;</w:t>
      </w:r>
      <w:r>
        <w:t xml:space="preserve">NUhI_496  </w:t>
      </w:r>
      <w:r>
        <w:rPr>
          <w:rStyle w:val="htmlcodes"/>
        </w:rPr>
        <w:t>&lt;/a&gt;&lt;a href=#y80&gt;</w:t>
      </w:r>
      <w:r>
        <w:t xml:space="preserve">terms_80  </w:t>
      </w:r>
      <w:r>
        <w:rPr>
          <w:rStyle w:val="htmlcodes"/>
        </w:rPr>
        <w:t>&lt;/a&gt;&lt;a href=#y460&gt;</w:t>
      </w:r>
      <w:r>
        <w:t xml:space="preserve">NUhU_gap_460  </w:t>
      </w:r>
      <w:r>
        <w:rPr>
          <w:rStyle w:val="htmlcodes"/>
        </w:rPr>
        <w:t>&lt;/a&gt;</w:t>
      </w:r>
    </w:p>
    <w:p w:rsidR="00B72047" w:rsidRDefault="00B72047">
      <w:pPr>
        <w:pStyle w:val="YACC"/>
      </w:pPr>
      <w:r>
        <w:tab/>
        <w:t>|</w:t>
      </w:r>
      <w:r>
        <w:tab/>
      </w:r>
      <w:r>
        <w:rPr>
          <w:rStyle w:val="htmlcodes"/>
        </w:rPr>
        <w:t>&lt;a href=#y496&gt;</w:t>
      </w:r>
      <w:r>
        <w:t xml:space="preserve">NUhI_496  </w:t>
      </w:r>
      <w:r>
        <w:rPr>
          <w:rStyle w:val="htmlcodes"/>
        </w:rPr>
        <w:t>&lt;/a&gt;&lt;a href=#y807&gt;</w:t>
      </w:r>
      <w:r>
        <w:t xml:space="preserve">GEK_807  </w:t>
      </w:r>
      <w:r>
        <w:rPr>
          <w:rStyle w:val="htmlcodes"/>
        </w:rPr>
        <w:t>&lt;/a&gt;&lt;a href=#y80&gt;</w:t>
      </w:r>
      <w:r>
        <w:t xml:space="preserve">terms_80   </w:t>
      </w:r>
      <w:r>
        <w:rPr>
          <w:rStyle w:val="htmlcodes"/>
        </w:rPr>
        <w:t>&lt;/a&gt;&lt;a href=#y460&gt;</w:t>
      </w:r>
      <w:r>
        <w:t xml:space="preserve">NUhU_gap_460   </w:t>
      </w:r>
      <w:r>
        <w:rPr>
          <w:rStyle w:val="htmlcodes"/>
        </w:rPr>
        <w:t>&lt;/a&gt;&lt;a href=#y816&gt;</w:t>
      </w:r>
      <w:r>
        <w:t xml:space="preserve">GIK_816  </w:t>
      </w:r>
      <w:r>
        <w:rPr>
          <w:rStyle w:val="htmlcodes"/>
        </w:rPr>
        <w:t>&lt;/a&gt;&lt;a href=#y80&gt;</w:t>
      </w:r>
      <w:r>
        <w:t xml:space="preserve">terms_80   </w:t>
      </w:r>
      <w:r>
        <w:rPr>
          <w:rStyle w:val="htmlcodes"/>
        </w:rPr>
        <w:t>&lt;/a&gt;&lt;a href=#y460&gt;</w:t>
      </w:r>
      <w:r>
        <w:t xml:space="preserve">NUhU_gap_460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rPr>
          <w:rStyle w:val="htmlcodes"/>
          <w:vanish w:val="0"/>
        </w:rPr>
      </w:pPr>
    </w:p>
    <w:p w:rsidR="00B72047" w:rsidRDefault="00B72047">
      <w:pPr>
        <w:pStyle w:val="YACCtoken"/>
      </w:pPr>
      <w:r>
        <w:rPr>
          <w:rStyle w:val="htmlcodes"/>
        </w:rPr>
        <w:t>&lt;a name=y90&gt;</w:t>
      </w:r>
      <w:r>
        <w:t xml:space="preserve">sumti_90  </w:t>
      </w:r>
      <w:r>
        <w:rPr>
          <w:rStyle w:val="htmlcodes"/>
        </w:rPr>
        <w:t>&lt;/a&gt;</w:t>
      </w:r>
      <w:r>
        <w:tab/>
        <w:t>:</w:t>
      </w:r>
      <w:r>
        <w:tab/>
      </w:r>
      <w:r>
        <w:rPr>
          <w:rStyle w:val="htmlcodes"/>
        </w:rPr>
        <w:t>&lt;a href=#y91&gt;</w:t>
      </w:r>
      <w:r>
        <w:t xml:space="preserve">sumti_A_91  </w:t>
      </w:r>
      <w:r>
        <w:rPr>
          <w:rStyle w:val="htmlcodes"/>
        </w:rPr>
        <w:t>&lt;/a&gt;</w:t>
      </w:r>
    </w:p>
    <w:p w:rsidR="00B72047" w:rsidRDefault="00B72047">
      <w:pPr>
        <w:pStyle w:val="YACC"/>
      </w:pPr>
      <w:r>
        <w:tab/>
        <w:t>|</w:t>
      </w:r>
      <w:r>
        <w:tab/>
      </w:r>
      <w:r>
        <w:rPr>
          <w:rStyle w:val="htmlcodes"/>
        </w:rPr>
        <w:t>&lt;a href=#y91&gt;</w:t>
      </w:r>
      <w:r>
        <w:t xml:space="preserve">sumti_A_91   </w:t>
      </w:r>
      <w:r>
        <w:rPr>
          <w:rStyle w:val="htmlcodes"/>
        </w:rPr>
        <w:t>&lt;/a&gt;&lt;a href=#y497&gt;</w:t>
      </w:r>
      <w:r>
        <w:t xml:space="preserve">VUhO_497  </w:t>
      </w:r>
      <w:r>
        <w:rPr>
          <w:rStyle w:val="htmlcodes"/>
        </w:rPr>
        <w:t>&lt;/a&gt;&lt;a href=#y121&gt;</w:t>
      </w:r>
      <w:r>
        <w:t xml:space="preserve">relative_clauses_121   </w:t>
      </w:r>
      <w:r>
        <w:rPr>
          <w:rStyle w:val="htmlcodes"/>
        </w:rPr>
        <w:t>&lt;/a&gt;</w:t>
      </w:r>
    </w:p>
    <w:p w:rsidR="00B72047" w:rsidRDefault="00B72047">
      <w:pPr>
        <w:pStyle w:val="YACC"/>
      </w:pPr>
      <w:r>
        <w:tab/>
        <w:t>;</w:t>
      </w:r>
    </w:p>
    <w:p w:rsidR="00B72047" w:rsidRDefault="00B72047">
      <w:pPr>
        <w:pStyle w:val="YACCtoken"/>
      </w:pPr>
      <w:r>
        <w:rPr>
          <w:rStyle w:val="htmlcodes"/>
        </w:rPr>
        <w:t>&lt;a name=y91&gt;</w:t>
      </w:r>
      <w:r>
        <w:t xml:space="preserve">sumti_A_91  </w:t>
      </w:r>
      <w:r>
        <w:rPr>
          <w:rStyle w:val="htmlcodes"/>
        </w:rPr>
        <w:t>&lt;/a&gt;</w:t>
      </w:r>
      <w:r>
        <w:tab/>
        <w:t>:</w:t>
      </w:r>
      <w:r>
        <w:tab/>
      </w:r>
      <w:r>
        <w:rPr>
          <w:rStyle w:val="htmlcodes"/>
        </w:rPr>
        <w:t>&lt;a href=#y92&gt;</w:t>
      </w:r>
      <w:r>
        <w:t xml:space="preserve">sumti_B_92  </w:t>
      </w:r>
      <w:r>
        <w:rPr>
          <w:rStyle w:val="htmlcodes"/>
        </w:rPr>
        <w:t>&lt;/a&gt;</w:t>
      </w:r>
    </w:p>
    <w:p w:rsidR="00B72047" w:rsidRDefault="00B72047">
      <w:pPr>
        <w:pStyle w:val="YACC"/>
      </w:pPr>
      <w:r>
        <w:tab/>
        <w:t>|</w:t>
      </w:r>
      <w:r>
        <w:tab/>
      </w:r>
      <w:r>
        <w:rPr>
          <w:rStyle w:val="htmlcodes"/>
        </w:rPr>
        <w:t>&lt;a href=#y92&gt;</w:t>
      </w:r>
      <w:r>
        <w:t xml:space="preserve">sumti_B_92   </w:t>
      </w:r>
      <w:r>
        <w:rPr>
          <w:rStyle w:val="htmlcodes"/>
        </w:rPr>
        <w:t>&lt;/a&gt;&lt;a href=#y804&gt;</w:t>
      </w:r>
      <w:r>
        <w:t xml:space="preserve">EK_KE_804  </w:t>
      </w:r>
      <w:r>
        <w:rPr>
          <w:rStyle w:val="htmlcodes"/>
        </w:rPr>
        <w:t>&lt;/a&gt;&lt;a href=#y90&gt;</w:t>
      </w:r>
      <w:r>
        <w:t xml:space="preserve">sumti_90   </w:t>
      </w:r>
      <w:r>
        <w:rPr>
          <w:rStyle w:val="htmlcodes"/>
        </w:rPr>
        <w:t>&lt;/a&gt;&lt;a href=#y466&gt;</w:t>
      </w:r>
      <w:r>
        <w:t xml:space="preserve">KEhE_gap_466  </w:t>
      </w:r>
      <w:r>
        <w:rPr>
          <w:rStyle w:val="htmlcodes"/>
        </w:rPr>
        <w:t>&lt;/a&gt;</w:t>
      </w:r>
    </w:p>
    <w:p w:rsidR="00B72047" w:rsidRDefault="00B72047">
      <w:pPr>
        <w:pStyle w:val="YACC"/>
      </w:pPr>
      <w:r>
        <w:tab/>
        <w:t>|</w:t>
      </w:r>
      <w:r>
        <w:tab/>
      </w:r>
      <w:r>
        <w:rPr>
          <w:rStyle w:val="htmlcodes"/>
        </w:rPr>
        <w:t>&lt;a href=#y92&gt;</w:t>
      </w:r>
      <w:r>
        <w:t xml:space="preserve">sumti_B_92   </w:t>
      </w:r>
      <w:r>
        <w:rPr>
          <w:rStyle w:val="htmlcodes"/>
        </w:rPr>
        <w:t>&lt;/a&gt;&lt;a href=#y823&gt;</w:t>
      </w:r>
      <w:r>
        <w:t xml:space="preserve">JOIK_KE_823  </w:t>
      </w:r>
      <w:r>
        <w:rPr>
          <w:rStyle w:val="htmlcodes"/>
        </w:rPr>
        <w:t>&lt;/a&gt;&lt;a href=#y90&gt;</w:t>
      </w:r>
      <w:r>
        <w:t xml:space="preserve">sumti_90   </w:t>
      </w:r>
      <w:r>
        <w:rPr>
          <w:rStyle w:val="htmlcodes"/>
        </w:rPr>
        <w:t>&lt;/a&gt;&lt;a href=#y466&gt;</w:t>
      </w:r>
      <w:r>
        <w:t xml:space="preserve">KEhE_gap_466  </w:t>
      </w:r>
      <w:r>
        <w:rPr>
          <w:rStyle w:val="htmlcodes"/>
        </w:rPr>
        <w:t>&lt;/a&gt;</w:t>
      </w:r>
    </w:p>
    <w:p w:rsidR="00B72047" w:rsidRDefault="00B72047">
      <w:pPr>
        <w:pStyle w:val="YACC"/>
      </w:pPr>
      <w:r>
        <w:tab/>
        <w:t>;</w:t>
      </w:r>
    </w:p>
    <w:p w:rsidR="00B72047" w:rsidRDefault="00B72047">
      <w:pPr>
        <w:pStyle w:val="YACCtoken"/>
      </w:pPr>
      <w:r>
        <w:rPr>
          <w:rStyle w:val="htmlcodes"/>
        </w:rPr>
        <w:t>&lt;a name=y92&gt;</w:t>
      </w:r>
      <w:r>
        <w:t xml:space="preserve">sumti_B_92  </w:t>
      </w:r>
      <w:r>
        <w:rPr>
          <w:rStyle w:val="htmlcodes"/>
        </w:rPr>
        <w:t>&lt;/a&gt;</w:t>
      </w:r>
      <w:r>
        <w:tab/>
        <w:t>:</w:t>
      </w:r>
      <w:r>
        <w:tab/>
      </w:r>
      <w:r>
        <w:rPr>
          <w:rStyle w:val="htmlcodes"/>
        </w:rPr>
        <w:t>&lt;a href=#y93&gt;</w:t>
      </w:r>
      <w:r>
        <w:t xml:space="preserve">sumti_C_93  </w:t>
      </w:r>
      <w:r>
        <w:rPr>
          <w:rStyle w:val="htmlcodes"/>
        </w:rPr>
        <w:t>&lt;/a&gt;</w:t>
      </w:r>
    </w:p>
    <w:p w:rsidR="00B72047" w:rsidRDefault="00B72047">
      <w:pPr>
        <w:pStyle w:val="YACC"/>
      </w:pPr>
      <w:r>
        <w:tab/>
        <w:t>|</w:t>
      </w:r>
      <w:r>
        <w:tab/>
      </w:r>
      <w:r>
        <w:rPr>
          <w:rStyle w:val="htmlcodes"/>
        </w:rPr>
        <w:t>&lt;a href=#y92&gt;</w:t>
      </w:r>
      <w:r>
        <w:t xml:space="preserve">sumti_B_92   </w:t>
      </w:r>
      <w:r>
        <w:rPr>
          <w:rStyle w:val="htmlcodes"/>
        </w:rPr>
        <w:t>&lt;/a&gt;&lt;a href=#y421&gt;</w:t>
      </w:r>
      <w:r>
        <w:t xml:space="preserve">JOIK_EK_421   </w:t>
      </w:r>
      <w:r>
        <w:rPr>
          <w:rStyle w:val="htmlcodes"/>
        </w:rPr>
        <w:t>&lt;/a&gt;&lt;a href=#y93&gt;</w:t>
      </w:r>
      <w:r>
        <w:t xml:space="preserve">sumti_C_93  </w:t>
      </w:r>
      <w:r>
        <w:rPr>
          <w:rStyle w:val="htmlcodes"/>
        </w:rPr>
        <w:t>&lt;/a&gt;</w:t>
      </w:r>
    </w:p>
    <w:p w:rsidR="00B72047" w:rsidRDefault="00B72047">
      <w:pPr>
        <w:pStyle w:val="YACC"/>
      </w:pPr>
      <w:r>
        <w:tab/>
        <w:t>;</w:t>
      </w:r>
    </w:p>
    <w:p w:rsidR="00B72047" w:rsidRDefault="00B72047">
      <w:pPr>
        <w:pStyle w:val="YACCtoken"/>
      </w:pPr>
      <w:r>
        <w:rPr>
          <w:rStyle w:val="htmlcodes"/>
        </w:rPr>
        <w:t>&lt;a name=y93&gt;</w:t>
      </w:r>
      <w:r>
        <w:t xml:space="preserve">sumti_C_93  </w:t>
      </w:r>
      <w:r>
        <w:rPr>
          <w:rStyle w:val="htmlcodes"/>
        </w:rPr>
        <w:t>&lt;/a&gt;</w:t>
      </w:r>
      <w:r>
        <w:tab/>
        <w:t>:</w:t>
      </w:r>
      <w:r>
        <w:tab/>
      </w:r>
      <w:r>
        <w:rPr>
          <w:rStyle w:val="htmlcodes"/>
        </w:rPr>
        <w:t>&lt;a href=#y94&gt;</w:t>
      </w:r>
      <w:r>
        <w:t xml:space="preserve">sumti_D_94  </w:t>
      </w:r>
      <w:r>
        <w:rPr>
          <w:rStyle w:val="htmlcodes"/>
        </w:rPr>
        <w:t>&lt;/a&gt;</w:t>
      </w:r>
    </w:p>
    <w:p w:rsidR="00B72047" w:rsidRDefault="00B72047">
      <w:pPr>
        <w:pStyle w:val="YACC"/>
      </w:pPr>
      <w:r>
        <w:tab/>
        <w:t>|</w:t>
      </w:r>
      <w:r>
        <w:tab/>
      </w:r>
      <w:r>
        <w:rPr>
          <w:rStyle w:val="htmlcodes"/>
        </w:rPr>
        <w:t>&lt;a href=#y94&gt;</w:t>
      </w:r>
      <w:r>
        <w:t xml:space="preserve">sumti_D_94  </w:t>
      </w:r>
      <w:r>
        <w:rPr>
          <w:rStyle w:val="htmlcodes"/>
        </w:rPr>
        <w:t>&lt;/a&gt;&lt;a href=#y803&gt;</w:t>
      </w:r>
      <w:r>
        <w:t xml:space="preserve">EK_BO_803  </w:t>
      </w:r>
      <w:r>
        <w:rPr>
          <w:rStyle w:val="htmlcodes"/>
        </w:rPr>
        <w:t>&lt;/a&gt;&lt;a href=#y93&gt;</w:t>
      </w:r>
      <w:r>
        <w:t xml:space="preserve">sumti_C_93  </w:t>
      </w:r>
      <w:r>
        <w:rPr>
          <w:rStyle w:val="htmlcodes"/>
        </w:rPr>
        <w:t>&lt;/a&gt;</w:t>
      </w:r>
    </w:p>
    <w:p w:rsidR="00B72047" w:rsidRDefault="00B72047">
      <w:pPr>
        <w:pStyle w:val="YACC"/>
      </w:pPr>
      <w:r>
        <w:tab/>
        <w:t>|</w:t>
      </w:r>
      <w:r>
        <w:tab/>
      </w:r>
      <w:r>
        <w:rPr>
          <w:rStyle w:val="htmlcodes"/>
        </w:rPr>
        <w:t>&lt;a href=#y94&gt;</w:t>
      </w:r>
      <w:r>
        <w:t xml:space="preserve">sumti_D_94  </w:t>
      </w:r>
      <w:r>
        <w:rPr>
          <w:rStyle w:val="htmlcodes"/>
        </w:rPr>
        <w:t>&lt;/a&gt;&lt;a href=#y822&gt;</w:t>
      </w:r>
      <w:r>
        <w:t xml:space="preserve">JOIK_BO_822   </w:t>
      </w:r>
      <w:r>
        <w:rPr>
          <w:rStyle w:val="htmlcodes"/>
        </w:rPr>
        <w:t>&lt;/a&gt;&lt;a href=#y93&gt;</w:t>
      </w:r>
      <w:r>
        <w:t xml:space="preserve">sumti_C_93  </w:t>
      </w:r>
      <w:r>
        <w:rPr>
          <w:rStyle w:val="htmlcodes"/>
        </w:rPr>
        <w:t>&lt;/a&gt;</w:t>
      </w:r>
    </w:p>
    <w:p w:rsidR="00B72047" w:rsidRDefault="00B72047">
      <w:pPr>
        <w:pStyle w:val="YACC"/>
      </w:pPr>
      <w:r>
        <w:tab/>
        <w:t>;</w:t>
      </w:r>
    </w:p>
    <w:p w:rsidR="00B72047" w:rsidRDefault="00B72047">
      <w:pPr>
        <w:pStyle w:val="YACCtoken"/>
      </w:pPr>
      <w:r>
        <w:rPr>
          <w:rStyle w:val="htmlcodes"/>
        </w:rPr>
        <w:t>&lt;a name=y94&gt;</w:t>
      </w:r>
      <w:r>
        <w:t xml:space="preserve">sumti_D_94  </w:t>
      </w:r>
      <w:r>
        <w:rPr>
          <w:rStyle w:val="htmlcodes"/>
        </w:rPr>
        <w:t>&lt;/a&gt;</w:t>
      </w:r>
      <w:r>
        <w:tab/>
        <w:t>:</w:t>
      </w:r>
      <w:r>
        <w:tab/>
      </w:r>
      <w:r>
        <w:rPr>
          <w:rStyle w:val="htmlcodes"/>
        </w:rPr>
        <w:t>&lt;a href=#y95&gt;</w:t>
      </w:r>
      <w:r>
        <w:t xml:space="preserve">sumti_E_95  </w:t>
      </w:r>
      <w:r>
        <w:rPr>
          <w:rStyle w:val="htmlcodes"/>
        </w:rPr>
        <w:t>&lt;/a&gt;</w:t>
      </w:r>
    </w:p>
    <w:p w:rsidR="00B72047" w:rsidRDefault="00B72047">
      <w:pPr>
        <w:pStyle w:val="YACC"/>
      </w:pPr>
      <w:r>
        <w:tab/>
        <w:t>|</w:t>
      </w:r>
      <w:r>
        <w:tab/>
      </w:r>
      <w:r>
        <w:rPr>
          <w:rStyle w:val="htmlcodes"/>
        </w:rPr>
        <w:t>&lt;a href=#y807&gt;</w:t>
      </w:r>
      <w:r>
        <w:t xml:space="preserve">GEK_807  </w:t>
      </w:r>
      <w:r>
        <w:rPr>
          <w:rStyle w:val="htmlcodes"/>
        </w:rPr>
        <w:t>&lt;/a&gt;&lt;a href=#y90&gt;</w:t>
      </w:r>
      <w:r>
        <w:t xml:space="preserve">sumti_90   </w:t>
      </w:r>
      <w:r>
        <w:rPr>
          <w:rStyle w:val="htmlcodes"/>
        </w:rPr>
        <w:t>&lt;/a&gt;&lt;a href=#y816&gt;</w:t>
      </w:r>
      <w:r>
        <w:t xml:space="preserve">GIK_816  </w:t>
      </w:r>
      <w:r>
        <w:rPr>
          <w:rStyle w:val="htmlcodes"/>
        </w:rPr>
        <w:t>&lt;/a&gt;&lt;a href=#y94&gt;</w:t>
      </w:r>
      <w:r>
        <w:t xml:space="preserve">sumti_D_94  </w:t>
      </w:r>
      <w:r>
        <w:rPr>
          <w:rStyle w:val="htmlcodes"/>
        </w:rPr>
        <w:t>&lt;/a&gt;</w:t>
      </w:r>
    </w:p>
    <w:p w:rsidR="00B72047" w:rsidRDefault="00B72047">
      <w:pPr>
        <w:pStyle w:val="YACC"/>
      </w:pPr>
      <w:r>
        <w:tab/>
        <w:t>;</w:t>
      </w:r>
    </w:p>
    <w:p w:rsidR="00B72047" w:rsidRDefault="00B72047">
      <w:pPr>
        <w:pStyle w:val="YACCtoken"/>
      </w:pPr>
      <w:r>
        <w:rPr>
          <w:rStyle w:val="htmlcodes"/>
        </w:rPr>
        <w:t>&lt;a name=y95&gt;</w:t>
      </w:r>
      <w:r>
        <w:t xml:space="preserve">sumti_E_95  </w:t>
      </w:r>
      <w:r>
        <w:rPr>
          <w:rStyle w:val="htmlcodes"/>
        </w:rPr>
        <w:t>&lt;/a&gt;</w:t>
      </w:r>
      <w:r>
        <w:tab/>
        <w:t>:</w:t>
      </w:r>
      <w:r>
        <w:tab/>
      </w:r>
      <w:r>
        <w:rPr>
          <w:rStyle w:val="htmlcodes"/>
        </w:rPr>
        <w:t>&lt;a href=#y96&gt;</w:t>
      </w:r>
      <w:r>
        <w:t xml:space="preserve">sumti_F_96  </w:t>
      </w:r>
      <w:r>
        <w:rPr>
          <w:rStyle w:val="htmlcodes"/>
        </w:rPr>
        <w:t>&lt;/a&gt;</w:t>
      </w:r>
    </w:p>
    <w:p w:rsidR="00B72047" w:rsidRDefault="00B72047">
      <w:pPr>
        <w:pStyle w:val="YACC"/>
      </w:pPr>
      <w:r>
        <w:tab/>
        <w:t>|</w:t>
      </w:r>
      <w:r>
        <w:tab/>
      </w:r>
      <w:r>
        <w:rPr>
          <w:rStyle w:val="htmlcodes"/>
        </w:rPr>
        <w:t>&lt;a href=#y96&gt;</w:t>
      </w:r>
      <w:r>
        <w:t xml:space="preserve">sumti_F_96  </w:t>
      </w:r>
      <w:r>
        <w:rPr>
          <w:rStyle w:val="htmlcodes"/>
        </w:rPr>
        <w:t>&lt;/a&gt;&lt;a href=#y121&gt;</w:t>
      </w:r>
      <w:r>
        <w:t xml:space="preserve">relative_clauses_121   </w:t>
      </w:r>
      <w:r>
        <w:rPr>
          <w:rStyle w:val="htmlcodes"/>
        </w:rPr>
        <w:t>&lt;/a&gt;</w:t>
      </w:r>
    </w:p>
    <w:p w:rsidR="00B72047" w:rsidRDefault="00B72047">
      <w:pPr>
        <w:pStyle w:val="YACCInline"/>
      </w:pPr>
      <w:r>
        <w:tab/>
      </w:r>
      <w:r>
        <w:tab/>
        <w:t>/* indefinite sumti */</w:t>
      </w:r>
    </w:p>
    <w:p w:rsidR="00B72047" w:rsidRDefault="00B72047">
      <w:pPr>
        <w:pStyle w:val="YACC"/>
      </w:pPr>
      <w:r>
        <w:tab/>
        <w:t>|</w:t>
      </w:r>
      <w:r>
        <w:tab/>
      </w:r>
      <w:r>
        <w:rPr>
          <w:rStyle w:val="htmlcodes"/>
        </w:rPr>
        <w:t>&lt;a href=#y300&gt;</w:t>
      </w:r>
      <w:r>
        <w:t xml:space="preserve">quantifier_300   </w:t>
      </w:r>
      <w:r>
        <w:rPr>
          <w:rStyle w:val="htmlcodes"/>
        </w:rPr>
        <w:t>&lt;/a&gt;&lt;a href=#y130&gt;</w:t>
      </w:r>
      <w:r>
        <w:t xml:space="preserve">selbri_130   </w:t>
      </w:r>
      <w:r>
        <w:rPr>
          <w:rStyle w:val="htmlcodes"/>
        </w:rPr>
        <w:t>&lt;/a&gt;&lt;a href=#y450&gt;</w:t>
      </w:r>
      <w:r>
        <w:t xml:space="preserve">gap_450   </w:t>
      </w:r>
      <w:r>
        <w:rPr>
          <w:rStyle w:val="htmlcodes"/>
        </w:rPr>
        <w:t>&lt;/a&gt;</w:t>
      </w:r>
    </w:p>
    <w:p w:rsidR="00B72047" w:rsidRDefault="00B72047">
      <w:pPr>
        <w:pStyle w:val="YACC"/>
      </w:pPr>
      <w:r>
        <w:tab/>
        <w:t>|</w:t>
      </w:r>
      <w:r>
        <w:tab/>
      </w:r>
      <w:r>
        <w:rPr>
          <w:rStyle w:val="htmlcodes"/>
        </w:rPr>
        <w:t>&lt;a href=#y300&gt;</w:t>
      </w:r>
      <w:r>
        <w:t xml:space="preserve">quantifier_300   </w:t>
      </w:r>
      <w:r>
        <w:rPr>
          <w:rStyle w:val="htmlcodes"/>
        </w:rPr>
        <w:t>&lt;/a&gt;&lt;a href=#y130&gt;</w:t>
      </w:r>
      <w:r>
        <w:t xml:space="preserve">selbri_130   </w:t>
      </w:r>
      <w:r>
        <w:rPr>
          <w:rStyle w:val="htmlcodes"/>
        </w:rPr>
        <w:t>&lt;/a&gt;&lt;a href=#y450&gt;</w:t>
      </w:r>
      <w:r>
        <w:t xml:space="preserve">gap_450   </w:t>
      </w:r>
      <w:r>
        <w:rPr>
          <w:rStyle w:val="htmlcodes"/>
        </w:rPr>
        <w:t>&lt;/a&gt;&lt;a href=#y121&gt;</w:t>
      </w:r>
      <w:r>
        <w:t xml:space="preserve">relative_clauses_121   </w:t>
      </w:r>
      <w:r>
        <w:rPr>
          <w:rStyle w:val="htmlcodes"/>
        </w:rPr>
        <w:t>&lt;/a&gt;</w:t>
      </w:r>
    </w:p>
    <w:p w:rsidR="00B72047" w:rsidRDefault="00B72047">
      <w:pPr>
        <w:pStyle w:val="YACC"/>
      </w:pPr>
      <w:r>
        <w:tab/>
        <w:t>;</w:t>
      </w:r>
    </w:p>
    <w:p w:rsidR="00B72047" w:rsidRDefault="00B72047">
      <w:pPr>
        <w:pStyle w:val="YACC"/>
      </w:pPr>
    </w:p>
    <w:p w:rsidR="00B72047" w:rsidRDefault="00B72047">
      <w:pPr>
        <w:pStyle w:val="YACCtoken"/>
      </w:pPr>
      <w:r>
        <w:rPr>
          <w:rStyle w:val="htmlcodes"/>
        </w:rPr>
        <w:t>&lt;a name=y96&gt;</w:t>
      </w:r>
      <w:r>
        <w:t xml:space="preserve">sumti_F_96  </w:t>
      </w:r>
      <w:r>
        <w:rPr>
          <w:rStyle w:val="htmlcodes"/>
        </w:rPr>
        <w:t>&lt;/a&gt;</w:t>
      </w:r>
      <w:r>
        <w:tab/>
        <w:t>:</w:t>
      </w:r>
      <w:r>
        <w:tab/>
      </w:r>
      <w:r>
        <w:rPr>
          <w:rStyle w:val="htmlcodes"/>
        </w:rPr>
        <w:t>&lt;a href=#y97&gt;</w:t>
      </w:r>
      <w:r>
        <w:t xml:space="preserve">sumti_G_97  </w:t>
      </w:r>
      <w:r>
        <w:rPr>
          <w:rStyle w:val="htmlcodes"/>
        </w:rPr>
        <w:t>&lt;/a&gt;</w:t>
      </w:r>
    </w:p>
    <w:p w:rsidR="00B72047" w:rsidRDefault="00B72047">
      <w:pPr>
        <w:pStyle w:val="YACCInline"/>
      </w:pPr>
      <w:r>
        <w:tab/>
      </w:r>
      <w:r>
        <w:tab/>
        <w:t>/* outer</w:t>
      </w:r>
      <w:r>
        <w:noBreakHyphen/>
        <w:t>quantified sumti */</w:t>
      </w:r>
    </w:p>
    <w:p w:rsidR="00B72047" w:rsidRDefault="00B72047">
      <w:pPr>
        <w:pStyle w:val="YACC"/>
      </w:pPr>
      <w:r>
        <w:tab/>
        <w:t>|</w:t>
      </w:r>
      <w:r>
        <w:tab/>
      </w:r>
      <w:r>
        <w:rPr>
          <w:rStyle w:val="htmlcodes"/>
        </w:rPr>
        <w:t>&lt;a href=#y300&gt;</w:t>
      </w:r>
      <w:r>
        <w:t xml:space="preserve">quantifier_300   </w:t>
      </w:r>
      <w:r>
        <w:rPr>
          <w:rStyle w:val="htmlcodes"/>
        </w:rPr>
        <w:t>&lt;/a&gt;&lt;a href=#y97&gt;</w:t>
      </w:r>
      <w:r>
        <w:t xml:space="preserve">sumti_G_97  </w:t>
      </w:r>
      <w:r>
        <w:rPr>
          <w:rStyle w:val="htmlcodes"/>
        </w:rPr>
        <w:t>&lt;/a&gt;</w:t>
      </w:r>
    </w:p>
    <w:p w:rsidR="00B72047" w:rsidRDefault="00B72047">
      <w:pPr>
        <w:pStyle w:val="YACC"/>
      </w:pPr>
      <w:r>
        <w:tab/>
        <w:t>;</w:t>
      </w:r>
    </w:p>
    <w:p w:rsidR="00B72047" w:rsidRDefault="00B72047">
      <w:pPr>
        <w:pStyle w:val="YACC"/>
      </w:pPr>
    </w:p>
    <w:p w:rsidR="00B72047" w:rsidRDefault="00B72047">
      <w:pPr>
        <w:pStyle w:val="YACCtoken"/>
        <w:spacing w:before="0"/>
      </w:pPr>
      <w:r>
        <w:rPr>
          <w:rStyle w:val="htmlcodes"/>
        </w:rPr>
        <w:t>&lt;a name=y97&gt;</w:t>
      </w:r>
      <w:r>
        <w:t xml:space="preserve">sumti_G_97  </w:t>
      </w:r>
      <w:r>
        <w:rPr>
          <w:rStyle w:val="htmlcodes"/>
        </w:rPr>
        <w:t>&lt;/a&gt;</w:t>
      </w:r>
      <w:r>
        <w:tab/>
        <w:t>:</w:t>
      </w:r>
      <w:r>
        <w:tab/>
      </w:r>
      <w:r>
        <w:rPr>
          <w:rStyle w:val="htmlcodes"/>
        </w:rPr>
        <w:t>&lt;a href=#y483&gt;</w:t>
      </w:r>
      <w:r>
        <w:t xml:space="preserve">qualifier_483  </w:t>
      </w:r>
      <w:r>
        <w:rPr>
          <w:rStyle w:val="htmlcodes"/>
        </w:rPr>
        <w:t>&lt;/a&gt;&lt;a href=#y90&gt;</w:t>
      </w:r>
      <w:r>
        <w:t xml:space="preserve">sumti_90  </w:t>
      </w:r>
      <w:r>
        <w:rPr>
          <w:rStyle w:val="htmlcodes"/>
        </w:rPr>
        <w:t>&lt;/a&gt;&lt;a href=#y463&gt;</w:t>
      </w:r>
      <w:r>
        <w:t xml:space="preserve">LUhU_gap_463  </w:t>
      </w:r>
      <w:r>
        <w:rPr>
          <w:rStyle w:val="htmlcodes"/>
        </w:rPr>
        <w:t>&lt;/a&gt;</w:t>
      </w:r>
    </w:p>
    <w:p w:rsidR="00B72047" w:rsidRDefault="00B72047">
      <w:pPr>
        <w:pStyle w:val="YACC"/>
      </w:pPr>
      <w:r>
        <w:tab/>
        <w:t>|</w:t>
      </w:r>
      <w:r>
        <w:tab/>
      </w:r>
      <w:r>
        <w:rPr>
          <w:rStyle w:val="htmlcodes"/>
        </w:rPr>
        <w:t>&lt;a href=#y483&gt;</w:t>
      </w:r>
      <w:r>
        <w:t xml:space="preserve">qualifier_483  </w:t>
      </w:r>
      <w:r>
        <w:rPr>
          <w:rStyle w:val="htmlcodes"/>
        </w:rPr>
        <w:t>&lt;/a&gt;&lt;a href=#y121&gt;</w:t>
      </w:r>
      <w:r>
        <w:t xml:space="preserve">relative_clauses_121   </w:t>
      </w:r>
      <w:r>
        <w:rPr>
          <w:rStyle w:val="htmlcodes"/>
        </w:rPr>
        <w:t>&lt;/a&gt;&lt;a href=#y90&gt;</w:t>
      </w:r>
      <w:r>
        <w:t xml:space="preserve">sumti_90   </w:t>
      </w:r>
      <w:r>
        <w:rPr>
          <w:rStyle w:val="htmlcodes"/>
        </w:rPr>
        <w:t>&lt;/a&gt;&lt;a href=#y463&gt;</w:t>
      </w:r>
      <w:r>
        <w:t xml:space="preserve">LUhU_gap_463  </w:t>
      </w:r>
      <w:r>
        <w:rPr>
          <w:rStyle w:val="htmlcodes"/>
        </w:rPr>
        <w:t>&lt;/a&gt;</w:t>
      </w:r>
    </w:p>
    <w:p w:rsidR="00B72047" w:rsidRDefault="00B72047">
      <w:pPr>
        <w:pStyle w:val="YACCInline"/>
      </w:pPr>
      <w:r>
        <w:tab/>
      </w:r>
      <w:r>
        <w:tab/>
        <w:t>/*sumti grouping, set/mass/individual conversion; also sumti scalar negation */</w:t>
      </w:r>
    </w:p>
    <w:p w:rsidR="00B72047" w:rsidRDefault="00B72047">
      <w:pPr>
        <w:pStyle w:val="YACC"/>
      </w:pPr>
      <w:r>
        <w:tab/>
        <w:t>|</w:t>
      </w:r>
      <w:r>
        <w:tab/>
      </w:r>
      <w:r>
        <w:rPr>
          <w:rStyle w:val="htmlcodes"/>
        </w:rPr>
        <w:t>&lt;a href=#y400&gt;</w:t>
      </w:r>
      <w:r>
        <w:t xml:space="preserve">anaphora_400   </w:t>
      </w:r>
      <w:r>
        <w:rPr>
          <w:rStyle w:val="htmlcodes"/>
        </w:rPr>
        <w:t>&lt;/a&gt;</w:t>
      </w:r>
    </w:p>
    <w:p w:rsidR="00B72047" w:rsidRDefault="00B72047">
      <w:pPr>
        <w:pStyle w:val="YACC"/>
      </w:pPr>
      <w:r>
        <w:tab/>
        <w:t>|</w:t>
      </w:r>
      <w:r>
        <w:tab/>
      </w:r>
      <w:r>
        <w:rPr>
          <w:rStyle w:val="htmlcodes"/>
        </w:rPr>
        <w:t>&lt;a href=#y499&gt;</w:t>
      </w:r>
      <w:r>
        <w:t xml:space="preserve">LA_499  </w:t>
      </w:r>
      <w:r>
        <w:rPr>
          <w:rStyle w:val="htmlcodes"/>
        </w:rPr>
        <w:t>&lt;/a&gt;&lt;a href=#y404&gt;</w:t>
      </w:r>
      <w:r>
        <w:t xml:space="preserve">cmene_404  </w:t>
      </w:r>
      <w:r>
        <w:rPr>
          <w:rStyle w:val="htmlcodes"/>
        </w:rPr>
        <w:t>&lt;/a&gt;</w:t>
      </w:r>
    </w:p>
    <w:p w:rsidR="00B72047" w:rsidRDefault="00B72047">
      <w:pPr>
        <w:pStyle w:val="YACC"/>
      </w:pPr>
      <w:r>
        <w:tab/>
        <w:t>|</w:t>
      </w:r>
      <w:r>
        <w:tab/>
      </w:r>
      <w:r>
        <w:rPr>
          <w:rStyle w:val="htmlcodes"/>
        </w:rPr>
        <w:t>&lt;a href=#y499&gt;</w:t>
      </w:r>
      <w:r>
        <w:t xml:space="preserve">LA_499  </w:t>
      </w:r>
      <w:r>
        <w:rPr>
          <w:rStyle w:val="htmlcodes"/>
        </w:rPr>
        <w:t>&lt;/a&gt;&lt;a href=#y121&gt;</w:t>
      </w:r>
      <w:r>
        <w:t xml:space="preserve">relative_clauses_121   </w:t>
      </w:r>
      <w:r>
        <w:rPr>
          <w:rStyle w:val="htmlcodes"/>
        </w:rPr>
        <w:t>&lt;/a&gt;&lt;a href=#y404&gt;</w:t>
      </w:r>
      <w:r>
        <w:t xml:space="preserve">cmene_404  </w:t>
      </w:r>
      <w:r>
        <w:rPr>
          <w:rStyle w:val="htmlcodes"/>
        </w:rPr>
        <w:t>&lt;/a&gt;</w:t>
      </w:r>
    </w:p>
    <w:p w:rsidR="00B72047" w:rsidRDefault="00B72047">
      <w:pPr>
        <w:pStyle w:val="YACC"/>
      </w:pPr>
      <w:r>
        <w:tab/>
        <w:t>|</w:t>
      </w:r>
      <w:r>
        <w:tab/>
      </w:r>
      <w:r>
        <w:rPr>
          <w:rStyle w:val="htmlcodes"/>
        </w:rPr>
        <w:t>&lt;a href=#y489&gt;</w:t>
      </w:r>
      <w:r>
        <w:t xml:space="preserve">LI_489  </w:t>
      </w:r>
      <w:r>
        <w:rPr>
          <w:rStyle w:val="htmlcodes"/>
        </w:rPr>
        <w:t>&lt;/a&gt;&lt;a href=#y310&gt;</w:t>
      </w:r>
      <w:r>
        <w:t xml:space="preserve">MEX_310   </w:t>
      </w:r>
      <w:r>
        <w:rPr>
          <w:rStyle w:val="htmlcodes"/>
        </w:rPr>
        <w:t>&lt;/a&gt;&lt;a href=#y472&gt;</w:t>
      </w:r>
      <w:r>
        <w:t xml:space="preserve">LOhO_gap_472   </w:t>
      </w:r>
      <w:r>
        <w:rPr>
          <w:rStyle w:val="htmlcodes"/>
        </w:rPr>
        <w:t>&lt;/a&gt;</w:t>
      </w:r>
    </w:p>
    <w:p w:rsidR="00B72047" w:rsidRDefault="00B72047">
      <w:pPr>
        <w:pStyle w:val="YACC"/>
      </w:pPr>
      <w:r>
        <w:tab/>
        <w:t>|</w:t>
      </w:r>
      <w:r>
        <w:tab/>
      </w:r>
      <w:r>
        <w:rPr>
          <w:rStyle w:val="htmlcodes"/>
        </w:rPr>
        <w:t>&lt;a href=#y110&gt;</w:t>
      </w:r>
      <w:r>
        <w:t xml:space="preserve">description_110   </w:t>
      </w:r>
      <w:r>
        <w:rPr>
          <w:rStyle w:val="htmlcodes"/>
        </w:rPr>
        <w:t>&lt;/a&gt;</w:t>
      </w:r>
    </w:p>
    <w:p w:rsidR="00B72047" w:rsidRDefault="00B72047">
      <w:pPr>
        <w:pStyle w:val="YACC"/>
      </w:pPr>
      <w:r>
        <w:tab/>
        <w:t>|</w:t>
      </w:r>
      <w:r>
        <w:tab/>
      </w:r>
      <w:r>
        <w:rPr>
          <w:rStyle w:val="htmlcodes"/>
        </w:rPr>
        <w:t>&lt;a href=#y432&gt;</w:t>
      </w:r>
      <w:r>
        <w:t xml:space="preserve">quote_arg_432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name=y110&gt;</w:t>
      </w:r>
      <w:r>
        <w:t xml:space="preserve">description_110  </w:t>
      </w:r>
      <w:r>
        <w:rPr>
          <w:rStyle w:val="htmlcodes"/>
        </w:rPr>
        <w:t>&lt;/a&gt;</w:t>
      </w:r>
      <w:r>
        <w:tab/>
        <w:t>:</w:t>
      </w:r>
      <w:r>
        <w:tab/>
      </w:r>
      <w:r>
        <w:rPr>
          <w:rStyle w:val="htmlcodes"/>
        </w:rPr>
        <w:t>&lt;a href=#y499&gt;</w:t>
      </w:r>
      <w:r>
        <w:t xml:space="preserve">LA_499  </w:t>
      </w:r>
      <w:r>
        <w:rPr>
          <w:rStyle w:val="htmlcodes"/>
        </w:rPr>
        <w:t>&lt;/a&gt;&lt;a href=#y111&gt;</w:t>
      </w:r>
      <w:r>
        <w:t xml:space="preserve">sumti_tail_111  </w:t>
      </w:r>
      <w:r>
        <w:rPr>
          <w:rStyle w:val="htmlcodes"/>
        </w:rPr>
        <w:t>&lt;/a&gt;&lt;a href=#y450&gt;</w:t>
      </w:r>
      <w:r>
        <w:t xml:space="preserve">gap_450  </w:t>
      </w:r>
      <w:r>
        <w:rPr>
          <w:rStyle w:val="htmlcodes"/>
        </w:rPr>
        <w:t>&lt;/a&gt;</w:t>
      </w:r>
    </w:p>
    <w:p w:rsidR="00B72047" w:rsidRDefault="00B72047">
      <w:pPr>
        <w:pStyle w:val="YACC"/>
      </w:pPr>
      <w:r>
        <w:tab/>
        <w:t>|</w:t>
      </w:r>
      <w:r>
        <w:tab/>
      </w:r>
      <w:r>
        <w:rPr>
          <w:rStyle w:val="htmlcodes"/>
        </w:rPr>
        <w:t>&lt;a href=#y488&gt;</w:t>
      </w:r>
      <w:r>
        <w:t xml:space="preserve">LE_488  </w:t>
      </w:r>
      <w:r>
        <w:rPr>
          <w:rStyle w:val="htmlcodes"/>
        </w:rPr>
        <w:t>&lt;/a&gt;&lt;a href=#y111&gt;</w:t>
      </w:r>
      <w:r>
        <w:t xml:space="preserve">sumti_tail_111   </w:t>
      </w:r>
      <w:r>
        <w:rPr>
          <w:rStyle w:val="htmlcodes"/>
        </w:rPr>
        <w:t>&lt;/a&gt;&lt;a href=#y450&gt;</w:t>
      </w:r>
      <w:r>
        <w:t xml:space="preserve">gap_450   </w:t>
      </w:r>
      <w:r>
        <w:rPr>
          <w:rStyle w:val="htmlcodes"/>
        </w:rPr>
        <w:t>&lt;/a&gt;</w:t>
      </w:r>
    </w:p>
    <w:p w:rsidR="00B72047" w:rsidRDefault="00B72047">
      <w:pPr>
        <w:pStyle w:val="YACC"/>
      </w:pPr>
      <w:r>
        <w:tab/>
        <w:t>;</w:t>
      </w:r>
    </w:p>
    <w:p w:rsidR="00B72047" w:rsidRDefault="00B72047">
      <w:pPr>
        <w:pStyle w:val="YACCtoken"/>
      </w:pPr>
      <w:r>
        <w:rPr>
          <w:rStyle w:val="htmlcodes"/>
        </w:rPr>
        <w:t>&lt;a name=y111&gt;</w:t>
      </w:r>
      <w:r>
        <w:t xml:space="preserve">sumti_tail_111  </w:t>
      </w:r>
      <w:r>
        <w:rPr>
          <w:rStyle w:val="htmlcodes"/>
        </w:rPr>
        <w:t>&lt;/a&gt;</w:t>
      </w:r>
      <w:r>
        <w:tab/>
        <w:t>:</w:t>
      </w:r>
      <w:r>
        <w:tab/>
      </w:r>
      <w:r>
        <w:rPr>
          <w:rStyle w:val="htmlcodes"/>
        </w:rPr>
        <w:t>&lt;a href=#y112&gt;</w:t>
      </w:r>
      <w:r>
        <w:t xml:space="preserve">sumti_tail_A_112  </w:t>
      </w:r>
      <w:r>
        <w:rPr>
          <w:rStyle w:val="htmlcodes"/>
        </w:rPr>
        <w:t>&lt;/a&gt;</w:t>
      </w:r>
    </w:p>
    <w:p w:rsidR="00B72047" w:rsidRDefault="00B72047">
      <w:pPr>
        <w:pStyle w:val="YACCInline"/>
      </w:pPr>
      <w:r>
        <w:tab/>
      </w:r>
      <w:r>
        <w:tab/>
        <w:t>/* inner</w:t>
      </w:r>
      <w:r>
        <w:noBreakHyphen/>
        <w:t>quantified sumti relative clause */</w:t>
      </w:r>
    </w:p>
    <w:p w:rsidR="00B72047" w:rsidRDefault="00B72047">
      <w:pPr>
        <w:pStyle w:val="YACC"/>
      </w:pPr>
      <w:r>
        <w:tab/>
        <w:t>|</w:t>
      </w:r>
      <w:r>
        <w:tab/>
      </w:r>
      <w:r>
        <w:rPr>
          <w:rStyle w:val="htmlcodes"/>
        </w:rPr>
        <w:t>&lt;a href=#y121&gt;</w:t>
      </w:r>
      <w:r>
        <w:t xml:space="preserve">relative_clauses_121   </w:t>
      </w:r>
      <w:r>
        <w:rPr>
          <w:rStyle w:val="htmlcodes"/>
        </w:rPr>
        <w:t>&lt;/a&gt;&lt;a href=#y112&gt;</w:t>
      </w:r>
      <w:r>
        <w:t xml:space="preserve">sumti_tail_A_112   </w:t>
      </w:r>
      <w:r>
        <w:rPr>
          <w:rStyle w:val="htmlcodes"/>
        </w:rPr>
        <w:t>&lt;/a&gt;</w:t>
      </w:r>
    </w:p>
    <w:p w:rsidR="00B72047" w:rsidRDefault="00B72047">
      <w:pPr>
        <w:pStyle w:val="YACCInline"/>
      </w:pPr>
      <w:r>
        <w:tab/>
      </w:r>
      <w:r>
        <w:tab/>
        <w:t>/* pseudo</w:t>
      </w:r>
      <w:r>
        <w:noBreakHyphen/>
        <w:t>possessive (an abbreviated inner restriction); note that sumti cannot be quantified */</w:t>
      </w:r>
    </w:p>
    <w:p w:rsidR="00B72047" w:rsidRDefault="00B72047">
      <w:pPr>
        <w:pStyle w:val="YACC"/>
      </w:pPr>
      <w:r>
        <w:tab/>
        <w:t>|</w:t>
      </w:r>
      <w:r>
        <w:tab/>
      </w:r>
      <w:r>
        <w:rPr>
          <w:rStyle w:val="htmlcodes"/>
        </w:rPr>
        <w:t>&lt;a href=#y97&gt;</w:t>
      </w:r>
      <w:r>
        <w:t xml:space="preserve">sumti_G_97  </w:t>
      </w:r>
      <w:r>
        <w:rPr>
          <w:rStyle w:val="htmlcodes"/>
        </w:rPr>
        <w:t>&lt;/a&gt;&lt;a href=#y112&gt;</w:t>
      </w:r>
      <w:r>
        <w:t xml:space="preserve">sumti_tail_A_112   </w:t>
      </w:r>
      <w:r>
        <w:rPr>
          <w:rStyle w:val="htmlcodes"/>
        </w:rPr>
        <w:t>&lt;/a&gt;</w:t>
      </w:r>
    </w:p>
    <w:p w:rsidR="00B72047" w:rsidRDefault="00B72047">
      <w:pPr>
        <w:pStyle w:val="YACCInline"/>
      </w:pPr>
      <w:r>
        <w:tab/>
      </w:r>
      <w:r>
        <w:tab/>
        <w:t>/* pseudo</w:t>
      </w:r>
      <w:r>
        <w:noBreakHyphen/>
        <w:t>possessive with outer restriction */</w:t>
      </w:r>
    </w:p>
    <w:p w:rsidR="00B72047" w:rsidRDefault="00B72047">
      <w:pPr>
        <w:pStyle w:val="YACC"/>
      </w:pPr>
      <w:r>
        <w:tab/>
        <w:t>|</w:t>
      </w:r>
      <w:r>
        <w:tab/>
      </w:r>
      <w:r>
        <w:rPr>
          <w:rStyle w:val="htmlcodes"/>
        </w:rPr>
        <w:t>&lt;a href=#y97&gt;</w:t>
      </w:r>
      <w:r>
        <w:t xml:space="preserve">sumti_G_97  </w:t>
      </w:r>
      <w:r>
        <w:rPr>
          <w:rStyle w:val="htmlcodes"/>
        </w:rPr>
        <w:t>&lt;/a&gt;&lt;a href=#y121&gt;</w:t>
      </w:r>
      <w:r>
        <w:t xml:space="preserve">relative_clauses_121   </w:t>
      </w:r>
      <w:r>
        <w:rPr>
          <w:rStyle w:val="htmlcodes"/>
        </w:rPr>
        <w:t>&lt;/a&gt;&lt;a href=#y112&gt;</w:t>
      </w:r>
      <w:r>
        <w:t xml:space="preserve">sumti_tail_A_112   </w:t>
      </w:r>
      <w:r>
        <w:rPr>
          <w:rStyle w:val="htmlcodes"/>
        </w:rPr>
        <w:t>&lt;/a&gt;</w:t>
      </w:r>
    </w:p>
    <w:p w:rsidR="00B72047" w:rsidRDefault="00B72047">
      <w:pPr>
        <w:pStyle w:val="YACC"/>
      </w:pPr>
      <w:r>
        <w:tab/>
        <w:t>;</w:t>
      </w:r>
    </w:p>
    <w:p w:rsidR="00B72047" w:rsidRDefault="00B72047">
      <w:pPr>
        <w:pStyle w:val="YACCtoken"/>
      </w:pPr>
      <w:r>
        <w:rPr>
          <w:rStyle w:val="htmlcodes"/>
        </w:rPr>
        <w:t>&lt;a name=y112&gt;</w:t>
      </w:r>
      <w:r>
        <w:t xml:space="preserve">sumti_tail_A_112  </w:t>
      </w:r>
      <w:r>
        <w:rPr>
          <w:rStyle w:val="htmlcodes"/>
        </w:rPr>
        <w:t>&lt;/a&gt;</w:t>
      </w:r>
      <w:r>
        <w:tab/>
        <w:t>:</w:t>
      </w:r>
      <w:r>
        <w:tab/>
      </w:r>
      <w:r>
        <w:rPr>
          <w:rStyle w:val="htmlcodes"/>
        </w:rPr>
        <w:t>&lt;a href=#y130&gt;</w:t>
      </w:r>
      <w:r>
        <w:t xml:space="preserve">selbri_130  </w:t>
      </w:r>
      <w:r>
        <w:rPr>
          <w:rStyle w:val="htmlcodes"/>
        </w:rPr>
        <w:t>&lt;/a&gt;</w:t>
      </w:r>
    </w:p>
    <w:p w:rsidR="00B72047" w:rsidRDefault="00B72047">
      <w:pPr>
        <w:pStyle w:val="YACC"/>
      </w:pPr>
      <w:r>
        <w:tab/>
        <w:t>|</w:t>
      </w:r>
      <w:r>
        <w:tab/>
      </w:r>
      <w:r>
        <w:rPr>
          <w:rStyle w:val="htmlcodes"/>
        </w:rPr>
        <w:t>&lt;a href=#y130&gt;</w:t>
      </w:r>
      <w:r>
        <w:t xml:space="preserve">selbri_130   </w:t>
      </w:r>
      <w:r>
        <w:rPr>
          <w:rStyle w:val="htmlcodes"/>
        </w:rPr>
        <w:t>&lt;/a&gt;&lt;a href=#y121&gt;</w:t>
      </w:r>
      <w:r>
        <w:t xml:space="preserve">relative_clauses_121   </w:t>
      </w:r>
      <w:r>
        <w:rPr>
          <w:rStyle w:val="htmlcodes"/>
        </w:rPr>
        <w:t>&lt;/a&gt;</w:t>
      </w:r>
    </w:p>
    <w:p w:rsidR="00B72047" w:rsidRDefault="00B72047">
      <w:pPr>
        <w:pStyle w:val="YACCInline"/>
      </w:pPr>
      <w:r>
        <w:tab/>
      </w:r>
      <w:r>
        <w:tab/>
        <w:t>/* explicit inner quantifier */</w:t>
      </w:r>
    </w:p>
    <w:p w:rsidR="00B72047" w:rsidRDefault="00B72047">
      <w:pPr>
        <w:pStyle w:val="YACC"/>
      </w:pPr>
      <w:r>
        <w:tab/>
        <w:t>|</w:t>
      </w:r>
      <w:r>
        <w:tab/>
      </w:r>
      <w:r>
        <w:rPr>
          <w:rStyle w:val="htmlcodes"/>
        </w:rPr>
        <w:t>&lt;a href=#y300&gt;</w:t>
      </w:r>
      <w:r>
        <w:t xml:space="preserve">quantifier_300   </w:t>
      </w:r>
      <w:r>
        <w:rPr>
          <w:rStyle w:val="htmlcodes"/>
        </w:rPr>
        <w:t>&lt;/a&gt;&lt;a href=#y130&gt;</w:t>
      </w:r>
      <w:r>
        <w:t xml:space="preserve">selbri_130   </w:t>
      </w:r>
      <w:r>
        <w:rPr>
          <w:rStyle w:val="htmlcodes"/>
        </w:rPr>
        <w:t>&lt;/a&gt;</w:t>
      </w:r>
    </w:p>
    <w:p w:rsidR="00B72047" w:rsidRDefault="00B72047">
      <w:pPr>
        <w:pStyle w:val="YACCInline"/>
      </w:pPr>
      <w:r>
        <w:tab/>
      </w:r>
      <w:r>
        <w:tab/>
        <w:t>/* quantifier both internal to a description, and external to a sumti thereby made specific */</w:t>
      </w:r>
    </w:p>
    <w:p w:rsidR="00B72047" w:rsidRDefault="00B72047">
      <w:pPr>
        <w:pStyle w:val="YACC"/>
      </w:pPr>
      <w:r>
        <w:tab/>
        <w:t>|</w:t>
      </w:r>
      <w:r>
        <w:tab/>
      </w:r>
      <w:r>
        <w:rPr>
          <w:rStyle w:val="htmlcodes"/>
        </w:rPr>
        <w:t>&lt;a href=#y300&gt;</w:t>
      </w:r>
      <w:r>
        <w:t xml:space="preserve">quantifier_300   </w:t>
      </w:r>
      <w:r>
        <w:rPr>
          <w:rStyle w:val="htmlcodes"/>
        </w:rPr>
        <w:t>&lt;/a&gt;&lt;a href=#y130&gt;</w:t>
      </w:r>
      <w:r>
        <w:t xml:space="preserve">selbri_130   </w:t>
      </w:r>
      <w:r>
        <w:rPr>
          <w:rStyle w:val="htmlcodes"/>
        </w:rPr>
        <w:t>&lt;/a&gt;&lt;a href=#y121&gt;</w:t>
      </w:r>
      <w:r>
        <w:t xml:space="preserve">relative_clauses_121   </w:t>
      </w:r>
      <w:r>
        <w:rPr>
          <w:rStyle w:val="htmlcodes"/>
        </w:rPr>
        <w:t>&lt;/a&gt;</w:t>
      </w:r>
    </w:p>
    <w:p w:rsidR="00B72047" w:rsidRDefault="00B72047">
      <w:pPr>
        <w:pStyle w:val="YACC"/>
      </w:pPr>
      <w:r>
        <w:tab/>
        <w:t>|</w:t>
      </w:r>
      <w:r>
        <w:tab/>
      </w:r>
      <w:r>
        <w:rPr>
          <w:rStyle w:val="htmlcodes"/>
        </w:rPr>
        <w:t>&lt;a href=#y300&gt;</w:t>
      </w:r>
      <w:r>
        <w:t xml:space="preserve">quantifier_300   </w:t>
      </w:r>
      <w:r>
        <w:rPr>
          <w:rStyle w:val="htmlcodes"/>
        </w:rPr>
        <w:t>&lt;/a&gt;&lt;a href=#y90&gt;</w:t>
      </w:r>
      <w:r>
        <w:t xml:space="preserve">sumti_90   </w:t>
      </w:r>
      <w:r>
        <w:rPr>
          <w:rStyle w:val="htmlcodes"/>
        </w:rPr>
        <w:t>&lt;/a&gt;</w:t>
      </w:r>
    </w:p>
    <w:p w:rsidR="00B72047" w:rsidRDefault="00B72047">
      <w:pPr>
        <w:pStyle w:val="YACC"/>
      </w:pPr>
      <w:r>
        <w:tab/>
        <w:t>;</w:t>
      </w:r>
    </w:p>
    <w:p w:rsidR="00B72047" w:rsidRDefault="00B72047">
      <w:pPr>
        <w:pStyle w:val="YACCtoken"/>
      </w:pPr>
      <w:r>
        <w:rPr>
          <w:rStyle w:val="htmlcodes"/>
        </w:rPr>
        <w:t>&lt;a name=y121&gt;</w:t>
      </w:r>
      <w:r>
        <w:t>relative_clauses_121</w:t>
      </w:r>
      <w:r>
        <w:tab/>
      </w:r>
      <w:r>
        <w:rPr>
          <w:rStyle w:val="htmlcodes"/>
        </w:rPr>
        <w:t>&lt;/a&gt;</w:t>
      </w:r>
      <w:r>
        <w:t>:</w:t>
      </w:r>
      <w:r>
        <w:tab/>
      </w:r>
      <w:r>
        <w:rPr>
          <w:rStyle w:val="htmlcodes"/>
        </w:rPr>
        <w:t>&lt;a href=#y122&gt;</w:t>
      </w:r>
      <w:r>
        <w:t xml:space="preserve">relative_clause_122  </w:t>
      </w:r>
      <w:r>
        <w:rPr>
          <w:rStyle w:val="htmlcodes"/>
        </w:rPr>
        <w:t>&lt;/a&gt;</w:t>
      </w:r>
    </w:p>
    <w:p w:rsidR="00B72047" w:rsidRDefault="00B72047">
      <w:pPr>
        <w:pStyle w:val="YACC"/>
      </w:pPr>
      <w:r>
        <w:tab/>
        <w:t>|</w:t>
      </w:r>
      <w:r>
        <w:tab/>
      </w:r>
      <w:r>
        <w:rPr>
          <w:rStyle w:val="htmlcodes"/>
        </w:rPr>
        <w:t>&lt;a href=#y121&gt;</w:t>
      </w:r>
      <w:r>
        <w:t xml:space="preserve">relative_clauses_121   </w:t>
      </w:r>
      <w:r>
        <w:rPr>
          <w:rStyle w:val="htmlcodes"/>
        </w:rPr>
        <w:t>&lt;/a&gt;&lt;a href=#y487&gt;</w:t>
      </w:r>
      <w:r>
        <w:t xml:space="preserve">ZIhE_487  </w:t>
      </w:r>
      <w:r>
        <w:rPr>
          <w:rStyle w:val="htmlcodes"/>
        </w:rPr>
        <w:t>&lt;/a&gt;&lt;a href=#y122&gt;</w:t>
      </w:r>
      <w:r>
        <w:t xml:space="preserve">relative_clause_122   </w:t>
      </w:r>
      <w:r>
        <w:rPr>
          <w:rStyle w:val="htmlcodes"/>
        </w:rPr>
        <w:t>&lt;/a&gt;</w:t>
      </w:r>
    </w:p>
    <w:p w:rsidR="00B72047" w:rsidRDefault="00B72047">
      <w:pPr>
        <w:pStyle w:val="YACC"/>
      </w:pPr>
      <w:r>
        <w:tab/>
        <w:t>;</w:t>
      </w:r>
    </w:p>
    <w:p w:rsidR="00B72047" w:rsidRDefault="00B72047">
      <w:pPr>
        <w:pStyle w:val="YACCtoken"/>
      </w:pPr>
      <w:r>
        <w:rPr>
          <w:rStyle w:val="htmlcodes"/>
        </w:rPr>
        <w:t>&lt;a name=y122&gt;</w:t>
      </w:r>
      <w:r>
        <w:t>relative_clause_122</w:t>
      </w:r>
      <w:r>
        <w:tab/>
      </w:r>
      <w:r>
        <w:rPr>
          <w:rStyle w:val="htmlcodes"/>
        </w:rPr>
        <w:t>&lt;/a&gt;</w:t>
      </w:r>
      <w:r>
        <w:t>:</w:t>
      </w:r>
      <w:r>
        <w:tab/>
      </w:r>
      <w:r>
        <w:rPr>
          <w:rStyle w:val="htmlcodes"/>
        </w:rPr>
        <w:t>&lt;a href=#y485&gt;</w:t>
      </w:r>
      <w:r>
        <w:t xml:space="preserve">GOI_485  </w:t>
      </w:r>
      <w:r>
        <w:rPr>
          <w:rStyle w:val="htmlcodes"/>
        </w:rPr>
        <w:t>&lt;/a&gt;&lt;a href=#y83&gt;</w:t>
      </w:r>
      <w:r>
        <w:t xml:space="preserve">term_83  </w:t>
      </w:r>
      <w:r>
        <w:rPr>
          <w:rStyle w:val="htmlcodes"/>
        </w:rPr>
        <w:t>&lt;/a&gt;&lt;a href=#y464&gt;</w:t>
      </w:r>
      <w:r>
        <w:t xml:space="preserve">GEhU_gap_464  </w:t>
      </w:r>
      <w:r>
        <w:rPr>
          <w:rStyle w:val="htmlcodes"/>
        </w:rPr>
        <w:t>&lt;/a&gt;</w:t>
      </w:r>
    </w:p>
    <w:p w:rsidR="00B72047" w:rsidRDefault="00B72047">
      <w:pPr>
        <w:pStyle w:val="YACC"/>
      </w:pPr>
      <w:r>
        <w:tab/>
        <w:t>|</w:t>
      </w:r>
      <w:r>
        <w:tab/>
      </w:r>
      <w:r>
        <w:rPr>
          <w:rStyle w:val="htmlcodes"/>
        </w:rPr>
        <w:t>&lt;a href=#y484&gt;</w:t>
      </w:r>
      <w:r>
        <w:t xml:space="preserve">NOI_484  </w:t>
      </w:r>
      <w:r>
        <w:rPr>
          <w:rStyle w:val="htmlcodes"/>
        </w:rPr>
        <w:t>&lt;/a&gt;&lt;a href=#y41&gt;</w:t>
      </w:r>
      <w:r>
        <w:t xml:space="preserve">subsentence_41   </w:t>
      </w:r>
      <w:r>
        <w:rPr>
          <w:rStyle w:val="htmlcodes"/>
        </w:rPr>
        <w:t>&lt;/a&gt;&lt;a href=#y469&gt;</w:t>
      </w:r>
      <w:r>
        <w:t xml:space="preserve">KUhO_gap_469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name=y130&gt;</w:t>
      </w:r>
      <w:r>
        <w:t xml:space="preserve">selbri_130  </w:t>
      </w:r>
      <w:r>
        <w:rPr>
          <w:rStyle w:val="htmlcodes"/>
        </w:rPr>
        <w:t>&lt;/a&gt;</w:t>
      </w:r>
      <w:r>
        <w:tab/>
        <w:t>:</w:t>
      </w:r>
      <w:r>
        <w:tab/>
      </w:r>
      <w:r>
        <w:rPr>
          <w:rStyle w:val="htmlcodes"/>
        </w:rPr>
        <w:t>&lt;a href=#y491&gt;</w:t>
      </w:r>
      <w:r>
        <w:t xml:space="preserve">tag_491  </w:t>
      </w:r>
      <w:r>
        <w:rPr>
          <w:rStyle w:val="htmlcodes"/>
        </w:rPr>
        <w:t>&lt;/a&gt;&lt;a href=#y131&gt;</w:t>
      </w:r>
      <w:r>
        <w:t xml:space="preserve">selbri_A_131  </w:t>
      </w:r>
      <w:r>
        <w:rPr>
          <w:rStyle w:val="htmlcodes"/>
        </w:rPr>
        <w:t>&lt;/a&gt;</w:t>
      </w:r>
    </w:p>
    <w:p w:rsidR="00B72047" w:rsidRDefault="00B72047">
      <w:pPr>
        <w:pStyle w:val="YACC"/>
      </w:pPr>
      <w:r>
        <w:tab/>
        <w:t>|</w:t>
      </w:r>
      <w:r>
        <w:tab/>
      </w:r>
      <w:r>
        <w:rPr>
          <w:rStyle w:val="htmlcodes"/>
        </w:rPr>
        <w:t>&lt;a href=#y131&gt;</w:t>
      </w:r>
      <w:r>
        <w:t xml:space="preserve">selbri_A_131   </w:t>
      </w:r>
      <w:r>
        <w:rPr>
          <w:rStyle w:val="htmlcodes"/>
        </w:rPr>
        <w:t>&lt;/a&gt;</w:t>
      </w:r>
    </w:p>
    <w:p w:rsidR="00B72047" w:rsidRDefault="00B72047">
      <w:pPr>
        <w:pStyle w:val="YACC"/>
      </w:pPr>
      <w:r>
        <w:tab/>
        <w:t>;</w:t>
      </w:r>
    </w:p>
    <w:p w:rsidR="00B72047" w:rsidRDefault="00B72047">
      <w:pPr>
        <w:pStyle w:val="YACCtoken"/>
      </w:pPr>
      <w:r>
        <w:rPr>
          <w:rStyle w:val="htmlcodes"/>
        </w:rPr>
        <w:t>&lt;a name=y131&gt;</w:t>
      </w:r>
      <w:r>
        <w:t xml:space="preserve">selbri_A_131  </w:t>
      </w:r>
      <w:r>
        <w:rPr>
          <w:rStyle w:val="htmlcodes"/>
        </w:rPr>
        <w:t>&lt;/a&gt;</w:t>
      </w:r>
      <w:r>
        <w:tab/>
        <w:t>:</w:t>
      </w:r>
      <w:r>
        <w:tab/>
      </w:r>
      <w:r>
        <w:rPr>
          <w:rStyle w:val="htmlcodes"/>
        </w:rPr>
        <w:t>&lt;a href=#y132&gt;</w:t>
      </w:r>
      <w:r>
        <w:t xml:space="preserve">selbri_B_132  </w:t>
      </w:r>
      <w:r>
        <w:rPr>
          <w:rStyle w:val="htmlcodes"/>
        </w:rPr>
        <w:t>&lt;/a&gt;</w:t>
      </w:r>
    </w:p>
    <w:p w:rsidR="00B72047" w:rsidRDefault="00B72047">
      <w:pPr>
        <w:pStyle w:val="YACC"/>
      </w:pPr>
      <w:r>
        <w:tab/>
        <w:t>|</w:t>
      </w:r>
      <w:r>
        <w:tab/>
      </w:r>
      <w:r>
        <w:rPr>
          <w:rStyle w:val="htmlcodes"/>
        </w:rPr>
        <w:t>&lt;a href=#y445&gt;</w:t>
      </w:r>
      <w:r>
        <w:t xml:space="preserve">NA_445  </w:t>
      </w:r>
      <w:r>
        <w:rPr>
          <w:rStyle w:val="htmlcodes"/>
        </w:rPr>
        <w:t>&lt;/a&gt;&lt;a href=#y130&gt;</w:t>
      </w:r>
      <w:r>
        <w:t xml:space="preserve">selbri_130   </w:t>
      </w:r>
      <w:r>
        <w:rPr>
          <w:rStyle w:val="htmlcodes"/>
        </w:rPr>
        <w:t>&lt;/a&gt;</w:t>
      </w:r>
    </w:p>
    <w:p w:rsidR="00B72047" w:rsidRDefault="00B72047">
      <w:pPr>
        <w:pStyle w:val="YACC"/>
      </w:pPr>
      <w:r>
        <w:tab/>
        <w:t>;</w:t>
      </w:r>
    </w:p>
    <w:p w:rsidR="00B72047" w:rsidRDefault="00B72047">
      <w:pPr>
        <w:pStyle w:val="YACCtoken"/>
      </w:pPr>
      <w:r>
        <w:rPr>
          <w:rStyle w:val="htmlcodes"/>
        </w:rPr>
        <w:t>&lt;a name=y132&gt;</w:t>
      </w:r>
      <w:r>
        <w:t xml:space="preserve">selbri_B_132  </w:t>
      </w:r>
      <w:r>
        <w:rPr>
          <w:rStyle w:val="htmlcodes"/>
        </w:rPr>
        <w:t>&lt;/a&gt;</w:t>
      </w:r>
      <w:r>
        <w:tab/>
        <w:t>:</w:t>
      </w:r>
      <w:r>
        <w:tab/>
      </w:r>
      <w:r>
        <w:rPr>
          <w:rStyle w:val="htmlcodes"/>
        </w:rPr>
        <w:t>&lt;a href=#y133&gt;</w:t>
      </w:r>
      <w:r>
        <w:t xml:space="preserve">selbri_C_133  </w:t>
      </w:r>
      <w:r>
        <w:rPr>
          <w:rStyle w:val="htmlcodes"/>
        </w:rPr>
        <w:t>&lt;/a&gt;</w:t>
      </w:r>
    </w:p>
    <w:p w:rsidR="00B72047" w:rsidRDefault="00B72047">
      <w:pPr>
        <w:pStyle w:val="YACC"/>
      </w:pPr>
      <w:r>
        <w:tab/>
        <w:t>|</w:t>
      </w:r>
      <w:r>
        <w:tab/>
      </w:r>
      <w:r>
        <w:rPr>
          <w:rStyle w:val="htmlcodes"/>
        </w:rPr>
        <w:t>&lt;a href=#y133&gt;</w:t>
      </w:r>
      <w:r>
        <w:t xml:space="preserve">selbri_C_133  </w:t>
      </w:r>
      <w:r>
        <w:rPr>
          <w:rStyle w:val="htmlcodes"/>
        </w:rPr>
        <w:t>&lt;/a&gt;&lt;a href=#y443&gt;</w:t>
      </w:r>
      <w:r>
        <w:t xml:space="preserve">CO_443  </w:t>
      </w:r>
      <w:r>
        <w:rPr>
          <w:rStyle w:val="htmlcodes"/>
        </w:rPr>
        <w:t>&lt;/a&gt;&lt;a href=#y132&gt;</w:t>
      </w:r>
      <w:r>
        <w:t xml:space="preserve">selbri_B_132   </w:t>
      </w:r>
      <w:r>
        <w:rPr>
          <w:rStyle w:val="htmlcodes"/>
        </w:rPr>
        <w:t>&lt;/a&gt;</w:t>
      </w:r>
    </w:p>
    <w:p w:rsidR="00B72047" w:rsidRDefault="00B72047">
      <w:pPr>
        <w:pStyle w:val="YACC"/>
      </w:pPr>
      <w:r>
        <w:tab/>
        <w:t>;</w:t>
      </w:r>
    </w:p>
    <w:p w:rsidR="00B72047" w:rsidRDefault="00B72047">
      <w:pPr>
        <w:pStyle w:val="YACCtoken"/>
      </w:pPr>
      <w:r>
        <w:rPr>
          <w:rStyle w:val="htmlcodes"/>
        </w:rPr>
        <w:t>&lt;a name=y133&gt;</w:t>
      </w:r>
      <w:r>
        <w:t xml:space="preserve">selbri_C_133  </w:t>
      </w:r>
      <w:r>
        <w:rPr>
          <w:rStyle w:val="htmlcodes"/>
        </w:rPr>
        <w:t>&lt;/a&gt;</w:t>
      </w:r>
      <w:r>
        <w:tab/>
        <w:t>:</w:t>
      </w:r>
      <w:r>
        <w:tab/>
      </w:r>
      <w:r>
        <w:rPr>
          <w:rStyle w:val="htmlcodes"/>
        </w:rPr>
        <w:t>&lt;a href=#y134&gt;</w:t>
      </w:r>
      <w:r>
        <w:t xml:space="preserve">selbri_D_134  </w:t>
      </w:r>
      <w:r>
        <w:rPr>
          <w:rStyle w:val="htmlcodes"/>
        </w:rPr>
        <w:t>&lt;/a&gt;</w:t>
      </w:r>
    </w:p>
    <w:p w:rsidR="00B72047" w:rsidRDefault="00B72047">
      <w:pPr>
        <w:pStyle w:val="YACC"/>
      </w:pPr>
      <w:r>
        <w:tab/>
        <w:t>|</w:t>
      </w:r>
      <w:r>
        <w:tab/>
      </w:r>
      <w:r>
        <w:rPr>
          <w:rStyle w:val="htmlcodes"/>
        </w:rPr>
        <w:t>&lt;a href=#y133&gt;</w:t>
      </w:r>
      <w:r>
        <w:t xml:space="preserve">selbri_C_133  </w:t>
      </w:r>
      <w:r>
        <w:rPr>
          <w:rStyle w:val="htmlcodes"/>
        </w:rPr>
        <w:t>&lt;/a&gt;&lt;a href=#y134&gt;</w:t>
      </w:r>
      <w:r>
        <w:t xml:space="preserve">selbri_D_134  </w:t>
      </w:r>
      <w:r>
        <w:rPr>
          <w:rStyle w:val="htmlcodes"/>
        </w:rPr>
        <w:t>&lt;/a&gt;</w:t>
      </w:r>
    </w:p>
    <w:p w:rsidR="00B72047" w:rsidRDefault="00B72047">
      <w:pPr>
        <w:pStyle w:val="YACC"/>
      </w:pPr>
      <w:r>
        <w:tab/>
        <w:t>;</w:t>
      </w:r>
    </w:p>
    <w:p w:rsidR="00B72047" w:rsidRDefault="00B72047">
      <w:pPr>
        <w:pStyle w:val="YACCtoken"/>
      </w:pPr>
      <w:r>
        <w:rPr>
          <w:rStyle w:val="htmlcodes"/>
        </w:rPr>
        <w:t>&lt;a name=y134&gt;</w:t>
      </w:r>
      <w:r>
        <w:t xml:space="preserve">selbri_D_134  </w:t>
      </w:r>
      <w:r>
        <w:rPr>
          <w:rStyle w:val="htmlcodes"/>
        </w:rPr>
        <w:t>&lt;/a&gt;</w:t>
      </w:r>
      <w:r>
        <w:tab/>
        <w:t>:</w:t>
      </w:r>
      <w:r>
        <w:tab/>
      </w:r>
      <w:r>
        <w:rPr>
          <w:rStyle w:val="htmlcodes"/>
        </w:rPr>
        <w:t>&lt;a href=#y135&gt;</w:t>
      </w:r>
      <w:r>
        <w:t xml:space="preserve">selbri_E_135  </w:t>
      </w:r>
      <w:r>
        <w:rPr>
          <w:rStyle w:val="htmlcodes"/>
        </w:rPr>
        <w:t>&lt;/a&gt;</w:t>
      </w:r>
    </w:p>
    <w:p w:rsidR="00B72047" w:rsidRDefault="00B72047">
      <w:pPr>
        <w:pStyle w:val="YACC"/>
      </w:pPr>
      <w:r>
        <w:tab/>
        <w:t>|</w:t>
      </w:r>
      <w:r>
        <w:tab/>
      </w:r>
      <w:r>
        <w:rPr>
          <w:rStyle w:val="htmlcodes"/>
        </w:rPr>
        <w:t>&lt;a href=#y134&gt;</w:t>
      </w:r>
      <w:r>
        <w:t xml:space="preserve">selbri_D_134  </w:t>
      </w:r>
      <w:r>
        <w:rPr>
          <w:rStyle w:val="htmlcodes"/>
        </w:rPr>
        <w:t>&lt;/a&gt;&lt;a href=#y422&gt;</w:t>
      </w:r>
      <w:r>
        <w:t xml:space="preserve">JOIK_JEK_422   </w:t>
      </w:r>
      <w:r>
        <w:rPr>
          <w:rStyle w:val="htmlcodes"/>
        </w:rPr>
        <w:t>&lt;/a&gt;&lt;a href=#y135&gt;</w:t>
      </w:r>
      <w:r>
        <w:t xml:space="preserve">selbri_E_135  </w:t>
      </w:r>
      <w:r>
        <w:rPr>
          <w:rStyle w:val="htmlcodes"/>
        </w:rPr>
        <w:t>&lt;/a&gt;</w:t>
      </w:r>
    </w:p>
    <w:p w:rsidR="00B72047" w:rsidRDefault="00B72047">
      <w:pPr>
        <w:pStyle w:val="YACC"/>
      </w:pPr>
      <w:r>
        <w:tab/>
        <w:t>|</w:t>
      </w:r>
      <w:r>
        <w:tab/>
      </w:r>
      <w:r>
        <w:rPr>
          <w:rStyle w:val="htmlcodes"/>
        </w:rPr>
        <w:t>&lt;a href=#y134&gt;</w:t>
      </w:r>
      <w:r>
        <w:t xml:space="preserve">selbri_D_134  </w:t>
      </w:r>
      <w:r>
        <w:rPr>
          <w:rStyle w:val="htmlcodes"/>
        </w:rPr>
        <w:t>&lt;/a&gt;&lt;a href=#y823&gt;</w:t>
      </w:r>
      <w:r>
        <w:t xml:space="preserve">JOIK_KE_823  </w:t>
      </w:r>
      <w:r>
        <w:rPr>
          <w:rStyle w:val="htmlcodes"/>
        </w:rPr>
        <w:t>&lt;/a&gt;&lt;a href=#y133&gt;</w:t>
      </w:r>
      <w:r>
        <w:t xml:space="preserve">selbri_C_133   </w:t>
      </w:r>
      <w:r>
        <w:rPr>
          <w:rStyle w:val="htmlcodes"/>
        </w:rPr>
        <w:t>&lt;/a&gt;&lt;a href=#y466&gt;</w:t>
      </w:r>
      <w:r>
        <w:t xml:space="preserve">KEhE_gap_466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name=y135&gt;</w:t>
      </w:r>
      <w:r>
        <w:t xml:space="preserve">selbri_E_135  </w:t>
      </w:r>
      <w:r>
        <w:rPr>
          <w:rStyle w:val="htmlcodes"/>
        </w:rPr>
        <w:t>&lt;/a&gt;</w:t>
      </w:r>
      <w:r>
        <w:tab/>
        <w:t>:</w:t>
      </w:r>
      <w:r>
        <w:tab/>
      </w:r>
      <w:r>
        <w:rPr>
          <w:rStyle w:val="htmlcodes"/>
        </w:rPr>
        <w:t>&lt;a href=#y136&gt;</w:t>
      </w:r>
      <w:r>
        <w:t xml:space="preserve">selbri_F_136  </w:t>
      </w:r>
      <w:r>
        <w:rPr>
          <w:rStyle w:val="htmlcodes"/>
        </w:rPr>
        <w:t>&lt;/a&gt;</w:t>
      </w:r>
    </w:p>
    <w:p w:rsidR="00B72047" w:rsidRDefault="00B72047">
      <w:pPr>
        <w:pStyle w:val="YACC"/>
      </w:pPr>
      <w:r>
        <w:tab/>
        <w:t>|</w:t>
      </w:r>
      <w:r>
        <w:tab/>
      </w:r>
      <w:r>
        <w:rPr>
          <w:rStyle w:val="htmlcodes"/>
        </w:rPr>
        <w:t>&lt;a href=#y136&gt;</w:t>
      </w:r>
      <w:r>
        <w:t xml:space="preserve">selbri_F_136  </w:t>
      </w:r>
      <w:r>
        <w:rPr>
          <w:rStyle w:val="htmlcodes"/>
        </w:rPr>
        <w:t>&lt;/a&gt;&lt;a href=#y821&gt;</w:t>
      </w:r>
      <w:r>
        <w:t xml:space="preserve">JEK_BO_821   </w:t>
      </w:r>
      <w:r>
        <w:rPr>
          <w:rStyle w:val="htmlcodes"/>
        </w:rPr>
        <w:t>&lt;/a&gt;&lt;a href=#y135&gt;</w:t>
      </w:r>
      <w:r>
        <w:t xml:space="preserve">selbri_E_135  </w:t>
      </w:r>
      <w:r>
        <w:rPr>
          <w:rStyle w:val="htmlcodes"/>
        </w:rPr>
        <w:t>&lt;/a&gt;</w:t>
      </w:r>
    </w:p>
    <w:p w:rsidR="00B72047" w:rsidRDefault="00B72047">
      <w:pPr>
        <w:pStyle w:val="YACC"/>
      </w:pPr>
      <w:r>
        <w:tab/>
        <w:t>|</w:t>
      </w:r>
      <w:r>
        <w:tab/>
      </w:r>
      <w:r>
        <w:rPr>
          <w:rStyle w:val="htmlcodes"/>
        </w:rPr>
        <w:t>&lt;a href=#y136&gt;</w:t>
      </w:r>
      <w:r>
        <w:t xml:space="preserve">selbri_F_136  </w:t>
      </w:r>
      <w:r>
        <w:rPr>
          <w:rStyle w:val="htmlcodes"/>
        </w:rPr>
        <w:t>&lt;/a&gt;&lt;a href=#y822&gt;</w:t>
      </w:r>
      <w:r>
        <w:t xml:space="preserve">JOIK_BO_822   </w:t>
      </w:r>
      <w:r>
        <w:rPr>
          <w:rStyle w:val="htmlcodes"/>
        </w:rPr>
        <w:t>&lt;/a&gt;&lt;a href=#y135&gt;</w:t>
      </w:r>
      <w:r>
        <w:t xml:space="preserve">selbri_E_135  </w:t>
      </w:r>
      <w:r>
        <w:rPr>
          <w:rStyle w:val="htmlcodes"/>
        </w:rPr>
        <w:t>&lt;/a&gt;</w:t>
      </w:r>
    </w:p>
    <w:p w:rsidR="00B72047" w:rsidRDefault="00B72047">
      <w:pPr>
        <w:pStyle w:val="YACC"/>
      </w:pPr>
      <w:r>
        <w:tab/>
        <w:t>;</w:t>
      </w:r>
    </w:p>
    <w:p w:rsidR="00B72047" w:rsidRDefault="00B72047">
      <w:pPr>
        <w:pStyle w:val="YACCtoken"/>
      </w:pPr>
      <w:r>
        <w:rPr>
          <w:rStyle w:val="htmlcodes"/>
        </w:rPr>
        <w:t>&lt;a name=y136&gt;</w:t>
      </w:r>
      <w:r>
        <w:t xml:space="preserve">selbri_F_136  </w:t>
      </w:r>
      <w:r>
        <w:rPr>
          <w:rStyle w:val="htmlcodes"/>
        </w:rPr>
        <w:t>&lt;/a&gt;</w:t>
      </w:r>
      <w:r>
        <w:tab/>
        <w:t>:</w:t>
      </w:r>
      <w:r>
        <w:tab/>
      </w:r>
      <w:r>
        <w:rPr>
          <w:rStyle w:val="htmlcodes"/>
        </w:rPr>
        <w:t>&lt;a href=#y150&gt;</w:t>
      </w:r>
      <w:r>
        <w:t xml:space="preserve">tanru_unit_150  </w:t>
      </w:r>
      <w:r>
        <w:rPr>
          <w:rStyle w:val="htmlcodes"/>
        </w:rPr>
        <w:t>&lt;/a&gt;</w:t>
      </w:r>
    </w:p>
    <w:p w:rsidR="00B72047" w:rsidRDefault="00B72047">
      <w:pPr>
        <w:pStyle w:val="YACC"/>
      </w:pPr>
      <w:r>
        <w:tab/>
        <w:t>|</w:t>
      </w:r>
      <w:r>
        <w:tab/>
      </w:r>
      <w:r>
        <w:rPr>
          <w:rStyle w:val="htmlcodes"/>
        </w:rPr>
        <w:t>&lt;a href=#y150&gt;</w:t>
      </w:r>
      <w:r>
        <w:t xml:space="preserve">tanru_unit_150   </w:t>
      </w:r>
      <w:r>
        <w:rPr>
          <w:rStyle w:val="htmlcodes"/>
        </w:rPr>
        <w:t>&lt;/a&gt;&lt;a href=#y479&gt;</w:t>
      </w:r>
      <w:r>
        <w:t xml:space="preserve">BO_479  </w:t>
      </w:r>
      <w:r>
        <w:rPr>
          <w:rStyle w:val="htmlcodes"/>
        </w:rPr>
        <w:t>&lt;/a&gt;&lt;a href=#y136&gt;</w:t>
      </w:r>
      <w:r>
        <w:t xml:space="preserve">selbri_F_136  </w:t>
      </w:r>
      <w:r>
        <w:rPr>
          <w:rStyle w:val="htmlcodes"/>
        </w:rPr>
        <w:t>&lt;/a&gt;</w:t>
      </w:r>
    </w:p>
    <w:p w:rsidR="00B72047" w:rsidRDefault="00B72047">
      <w:pPr>
        <w:pStyle w:val="YACC"/>
      </w:pPr>
      <w:r>
        <w:tab/>
        <w:t>|</w:t>
      </w:r>
      <w:r>
        <w:tab/>
      </w:r>
      <w:r>
        <w:rPr>
          <w:rStyle w:val="htmlcodes"/>
        </w:rPr>
        <w:t>&lt;a href=#y137&gt;</w:t>
      </w:r>
      <w:r>
        <w:t xml:space="preserve">GUhEK_selbri_137  </w:t>
      </w:r>
      <w:r>
        <w:rPr>
          <w:rStyle w:val="htmlcodes"/>
        </w:rPr>
        <w:t>&lt;/a&gt;</w:t>
      </w:r>
    </w:p>
    <w:p w:rsidR="00B72047" w:rsidRDefault="00B72047">
      <w:pPr>
        <w:pStyle w:val="YACC"/>
      </w:pPr>
      <w:r>
        <w:tab/>
        <w:t>|</w:t>
      </w:r>
      <w:r>
        <w:tab/>
      </w:r>
      <w:r>
        <w:rPr>
          <w:rStyle w:val="htmlcodes"/>
        </w:rPr>
        <w:t>&lt;a href=#y482&gt;</w:t>
      </w:r>
      <w:r>
        <w:t xml:space="preserve">NAhE_482   </w:t>
      </w:r>
      <w:r>
        <w:rPr>
          <w:rStyle w:val="htmlcodes"/>
        </w:rPr>
        <w:t>&lt;/a&gt;&lt;a href=#y137&gt;</w:t>
      </w:r>
      <w:r>
        <w:t xml:space="preserve">GUhEK_selbri_137  </w:t>
      </w:r>
      <w:r>
        <w:rPr>
          <w:rStyle w:val="htmlcodes"/>
        </w:rPr>
        <w:t>&lt;/a&gt;</w:t>
      </w:r>
    </w:p>
    <w:p w:rsidR="00B72047" w:rsidRDefault="00B72047">
      <w:pPr>
        <w:pStyle w:val="YACC"/>
      </w:pPr>
      <w:r>
        <w:tab/>
        <w:t>;</w:t>
      </w:r>
    </w:p>
    <w:p w:rsidR="00B72047" w:rsidRDefault="00B72047">
      <w:pPr>
        <w:pStyle w:val="YACCtoken"/>
      </w:pPr>
      <w:r>
        <w:rPr>
          <w:rStyle w:val="htmlcodes"/>
        </w:rPr>
        <w:t>&lt;a name=y137&gt;</w:t>
      </w:r>
      <w:r>
        <w:t xml:space="preserve">GUhEK_selbri_137  </w:t>
      </w:r>
      <w:r>
        <w:rPr>
          <w:rStyle w:val="htmlcodes"/>
        </w:rPr>
        <w:t>&lt;/a&gt;</w:t>
      </w:r>
      <w:r>
        <w:tab/>
        <w:t>:</w:t>
      </w:r>
      <w:r>
        <w:tab/>
      </w:r>
      <w:r>
        <w:rPr>
          <w:rStyle w:val="htmlcodes"/>
        </w:rPr>
        <w:t>&lt;a href=#y808&gt;</w:t>
      </w:r>
      <w:r>
        <w:t xml:space="preserve">GUhEK_808  </w:t>
      </w:r>
      <w:r>
        <w:rPr>
          <w:rStyle w:val="htmlcodes"/>
        </w:rPr>
        <w:t>&lt;/a&gt;&lt;a href=#y130&gt;</w:t>
      </w:r>
      <w:r>
        <w:t xml:space="preserve">selbri_130  </w:t>
      </w:r>
      <w:r>
        <w:rPr>
          <w:rStyle w:val="htmlcodes"/>
        </w:rPr>
        <w:t>&lt;/a&gt;&lt;a href=#y816&gt;</w:t>
      </w:r>
      <w:r>
        <w:t xml:space="preserve">GIK_816  </w:t>
      </w:r>
      <w:r>
        <w:rPr>
          <w:rStyle w:val="htmlcodes"/>
        </w:rPr>
        <w:t>&lt;/a&gt;&lt;a href=#y136&gt;</w:t>
      </w:r>
      <w:r>
        <w:t xml:space="preserve">selbri_F_136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name=y150&gt;</w:t>
      </w:r>
      <w:r>
        <w:t xml:space="preserve">tanru_unit_150  </w:t>
      </w:r>
      <w:r>
        <w:rPr>
          <w:rStyle w:val="htmlcodes"/>
        </w:rPr>
        <w:t>&lt;/a&gt;</w:t>
      </w:r>
      <w:r>
        <w:tab/>
        <w:t>:</w:t>
      </w:r>
      <w:r>
        <w:tab/>
      </w:r>
      <w:r>
        <w:rPr>
          <w:rStyle w:val="htmlcodes"/>
        </w:rPr>
        <w:t>&lt;a href=#y151&gt;</w:t>
      </w:r>
      <w:r>
        <w:t xml:space="preserve">tanru_unit_A_151  </w:t>
      </w:r>
      <w:r>
        <w:rPr>
          <w:rStyle w:val="htmlcodes"/>
        </w:rPr>
        <w:t>&lt;/a&gt;</w:t>
      </w:r>
    </w:p>
    <w:p w:rsidR="00B72047" w:rsidRDefault="00B72047">
      <w:pPr>
        <w:pStyle w:val="YACC"/>
      </w:pPr>
      <w:r>
        <w:tab/>
        <w:t>|</w:t>
      </w:r>
      <w:r>
        <w:tab/>
      </w:r>
      <w:r>
        <w:rPr>
          <w:rStyle w:val="htmlcodes"/>
        </w:rPr>
        <w:t>&lt;a href=#y150&gt;</w:t>
      </w:r>
      <w:r>
        <w:t xml:space="preserve">tanru_unit_150   </w:t>
      </w:r>
      <w:r>
        <w:rPr>
          <w:rStyle w:val="htmlcodes"/>
        </w:rPr>
        <w:t>&lt;/a&gt;&lt;a href=#y444&gt;</w:t>
      </w:r>
      <w:r>
        <w:t xml:space="preserve">CEI_444  </w:t>
      </w:r>
      <w:r>
        <w:rPr>
          <w:rStyle w:val="htmlcodes"/>
        </w:rPr>
        <w:t>&lt;/a&gt;&lt;a href=#y151&gt;</w:t>
      </w:r>
      <w:r>
        <w:t xml:space="preserve">tanru_unit_A_151   </w:t>
      </w:r>
      <w:r>
        <w:rPr>
          <w:rStyle w:val="htmlcodes"/>
        </w:rPr>
        <w:t>&lt;/a&gt;</w:t>
      </w:r>
    </w:p>
    <w:p w:rsidR="00B72047" w:rsidRDefault="00B72047">
      <w:pPr>
        <w:pStyle w:val="YACC"/>
      </w:pPr>
      <w:r>
        <w:tab/>
        <w:t>;</w:t>
      </w:r>
    </w:p>
    <w:p w:rsidR="00B72047" w:rsidRDefault="00B72047">
      <w:pPr>
        <w:pStyle w:val="YACCtoken"/>
      </w:pPr>
      <w:r>
        <w:rPr>
          <w:rStyle w:val="htmlcodes"/>
        </w:rPr>
        <w:t>&lt;a name=y151&gt;</w:t>
      </w:r>
      <w:r>
        <w:t xml:space="preserve">tanru_unit_A_151  </w:t>
      </w:r>
      <w:r>
        <w:rPr>
          <w:rStyle w:val="htmlcodes"/>
        </w:rPr>
        <w:t>&lt;/a&gt;</w:t>
      </w:r>
      <w:r>
        <w:tab/>
        <w:t>:</w:t>
      </w:r>
      <w:r>
        <w:tab/>
      </w:r>
      <w:r>
        <w:rPr>
          <w:rStyle w:val="htmlcodes"/>
        </w:rPr>
        <w:t>&lt;a href=#y152&gt;</w:t>
      </w:r>
      <w:r>
        <w:t xml:space="preserve">tanru_unit_B_152  </w:t>
      </w:r>
      <w:r>
        <w:rPr>
          <w:rStyle w:val="htmlcodes"/>
        </w:rPr>
        <w:t>&lt;/a&gt;</w:t>
      </w:r>
    </w:p>
    <w:p w:rsidR="00B72047" w:rsidRDefault="00B72047">
      <w:pPr>
        <w:pStyle w:val="YACC"/>
      </w:pPr>
      <w:r>
        <w:tab/>
        <w:t>|</w:t>
      </w:r>
      <w:r>
        <w:tab/>
      </w:r>
      <w:r>
        <w:rPr>
          <w:rStyle w:val="htmlcodes"/>
        </w:rPr>
        <w:t>&lt;a href=#y152&gt;</w:t>
      </w:r>
      <w:r>
        <w:t xml:space="preserve">tanru_unit_B_152   </w:t>
      </w:r>
      <w:r>
        <w:rPr>
          <w:rStyle w:val="htmlcodes"/>
        </w:rPr>
        <w:t>&lt;/a&gt;&lt;a href=#y160&gt;</w:t>
      </w:r>
      <w:r>
        <w:t xml:space="preserve">linkargs_160   </w:t>
      </w:r>
      <w:r>
        <w:rPr>
          <w:rStyle w:val="htmlcodes"/>
        </w:rPr>
        <w:t>&lt;/a&gt;</w:t>
      </w:r>
    </w:p>
    <w:p w:rsidR="00B72047" w:rsidRDefault="00B72047">
      <w:pPr>
        <w:pStyle w:val="YACC"/>
      </w:pPr>
      <w:r>
        <w:tab/>
        <w:t>;</w:t>
      </w:r>
    </w:p>
    <w:p w:rsidR="00B72047" w:rsidRDefault="00B72047">
      <w:pPr>
        <w:pStyle w:val="YACCtoken"/>
      </w:pPr>
      <w:r>
        <w:rPr>
          <w:rStyle w:val="htmlcodes"/>
        </w:rPr>
        <w:t>&lt;a name=y152&gt;</w:t>
      </w:r>
      <w:r>
        <w:t xml:space="preserve">tanru_unit_B_152  </w:t>
      </w:r>
      <w:r>
        <w:rPr>
          <w:rStyle w:val="htmlcodes"/>
        </w:rPr>
        <w:t>&lt;/a&gt;</w:t>
      </w:r>
      <w:r>
        <w:tab/>
        <w:t>:</w:t>
      </w:r>
      <w:r>
        <w:tab/>
      </w:r>
      <w:r>
        <w:rPr>
          <w:rStyle w:val="htmlcodes"/>
        </w:rPr>
        <w:t>&lt;a href=#y407&gt;</w:t>
      </w:r>
      <w:r>
        <w:t xml:space="preserve">bridi_valsi_407  </w:t>
      </w:r>
      <w:r>
        <w:rPr>
          <w:rStyle w:val="htmlcodes"/>
        </w:rPr>
        <w:t>&lt;/a&gt;</w:t>
      </w:r>
    </w:p>
    <w:p w:rsidR="00B72047" w:rsidRDefault="00B72047">
      <w:pPr>
        <w:pStyle w:val="YACC"/>
      </w:pPr>
      <w:r>
        <w:tab/>
        <w:t>|</w:t>
      </w:r>
      <w:r>
        <w:tab/>
      </w:r>
      <w:r>
        <w:rPr>
          <w:rStyle w:val="htmlcodes"/>
        </w:rPr>
        <w:t>&lt;a href=#y493&gt;</w:t>
      </w:r>
      <w:r>
        <w:t xml:space="preserve">KE_493  </w:t>
      </w:r>
      <w:r>
        <w:rPr>
          <w:rStyle w:val="htmlcodes"/>
        </w:rPr>
        <w:t>&lt;/a&gt;&lt;a href=#y133&gt;</w:t>
      </w:r>
      <w:r>
        <w:t xml:space="preserve">selbri_C_133  </w:t>
      </w:r>
      <w:r>
        <w:rPr>
          <w:rStyle w:val="htmlcodes"/>
        </w:rPr>
        <w:t>&lt;/a&gt;&lt;a href=#y466&gt;</w:t>
      </w:r>
      <w:r>
        <w:t xml:space="preserve">KEhE_gap_466  </w:t>
      </w:r>
      <w:r>
        <w:rPr>
          <w:rStyle w:val="htmlcodes"/>
        </w:rPr>
        <w:t>&lt;/a&gt;</w:t>
      </w:r>
    </w:p>
    <w:p w:rsidR="00B72047" w:rsidRDefault="00B72047">
      <w:pPr>
        <w:pStyle w:val="YACC"/>
      </w:pPr>
      <w:r>
        <w:tab/>
        <w:t>|</w:t>
      </w:r>
      <w:r>
        <w:tab/>
      </w:r>
      <w:r>
        <w:rPr>
          <w:rStyle w:val="htmlcodes"/>
        </w:rPr>
        <w:t>&lt;a href=#y480&gt;</w:t>
      </w:r>
      <w:r>
        <w:t xml:space="preserve">SE_480   </w:t>
      </w:r>
      <w:r>
        <w:rPr>
          <w:rStyle w:val="htmlcodes"/>
        </w:rPr>
        <w:t>&lt;/a&gt;&lt;a href=#y152&gt;</w:t>
      </w:r>
      <w:r>
        <w:t xml:space="preserve">tanru_unit_B_152   </w:t>
      </w:r>
      <w:r>
        <w:rPr>
          <w:rStyle w:val="htmlcodes"/>
        </w:rPr>
        <w:t>&lt;/a&gt;</w:t>
      </w:r>
    </w:p>
    <w:p w:rsidR="00B72047" w:rsidRDefault="00B72047">
      <w:pPr>
        <w:pStyle w:val="YACC"/>
      </w:pPr>
      <w:r>
        <w:tab/>
        <w:t>|</w:t>
      </w:r>
      <w:r>
        <w:tab/>
      </w:r>
      <w:r>
        <w:rPr>
          <w:rStyle w:val="htmlcodes"/>
        </w:rPr>
        <w:t>&lt;a href=#y478&gt;</w:t>
      </w:r>
      <w:r>
        <w:t xml:space="preserve">JAI_478  </w:t>
      </w:r>
      <w:r>
        <w:rPr>
          <w:rStyle w:val="htmlcodes"/>
        </w:rPr>
        <w:t>&lt;/a&gt;&lt;a href=#y491&gt;</w:t>
      </w:r>
      <w:r>
        <w:t xml:space="preserve">tag_491   </w:t>
      </w:r>
      <w:r>
        <w:rPr>
          <w:rStyle w:val="htmlcodes"/>
        </w:rPr>
        <w:t>&lt;/a&gt;&lt;a href=#y152&gt;</w:t>
      </w:r>
      <w:r>
        <w:t xml:space="preserve">tanru_unit_B_152   </w:t>
      </w:r>
      <w:r>
        <w:rPr>
          <w:rStyle w:val="htmlcodes"/>
        </w:rPr>
        <w:t>&lt;/a&gt;</w:t>
      </w:r>
    </w:p>
    <w:p w:rsidR="00B72047" w:rsidRDefault="00B72047">
      <w:pPr>
        <w:pStyle w:val="YACC"/>
      </w:pPr>
      <w:r>
        <w:tab/>
        <w:t>|</w:t>
      </w:r>
      <w:r>
        <w:tab/>
      </w:r>
      <w:r>
        <w:rPr>
          <w:rStyle w:val="htmlcodes"/>
        </w:rPr>
        <w:t>&lt;a href=#y478&gt;</w:t>
      </w:r>
      <w:r>
        <w:t xml:space="preserve">JAI_478  </w:t>
      </w:r>
      <w:r>
        <w:rPr>
          <w:rStyle w:val="htmlcodes"/>
        </w:rPr>
        <w:t>&lt;/a&gt;&lt;a href=#y152&gt;</w:t>
      </w:r>
      <w:r>
        <w:t xml:space="preserve">tanru_unit_B_152   </w:t>
      </w:r>
      <w:r>
        <w:rPr>
          <w:rStyle w:val="htmlcodes"/>
        </w:rPr>
        <w:t>&lt;/a&gt;</w:t>
      </w:r>
    </w:p>
    <w:p w:rsidR="00B72047" w:rsidRDefault="00B72047">
      <w:pPr>
        <w:pStyle w:val="YACC"/>
      </w:pPr>
      <w:r>
        <w:tab/>
        <w:t>|</w:t>
      </w:r>
      <w:r>
        <w:tab/>
      </w:r>
      <w:r>
        <w:rPr>
          <w:rStyle w:val="htmlcodes"/>
        </w:rPr>
        <w:t>&lt;a href=#y477&gt;</w:t>
      </w:r>
      <w:r>
        <w:t xml:space="preserve">ME_477  </w:t>
      </w:r>
      <w:r>
        <w:rPr>
          <w:rStyle w:val="htmlcodes"/>
        </w:rPr>
        <w:t>&lt;/a&gt;&lt;a href=#y90&gt;</w:t>
      </w:r>
      <w:r>
        <w:t xml:space="preserve">sumti_90   </w:t>
      </w:r>
      <w:r>
        <w:rPr>
          <w:rStyle w:val="htmlcodes"/>
        </w:rPr>
        <w:t>&lt;/a&gt;&lt;a href=#y465&gt;</w:t>
      </w:r>
      <w:r>
        <w:t xml:space="preserve">MEhU_gap_465  </w:t>
      </w:r>
      <w:r>
        <w:rPr>
          <w:rStyle w:val="htmlcodes"/>
        </w:rPr>
        <w:t>&lt;/a&gt;</w:t>
      </w:r>
    </w:p>
    <w:p w:rsidR="00B72047" w:rsidRDefault="00B72047">
      <w:pPr>
        <w:pStyle w:val="YACC"/>
      </w:pPr>
      <w:r>
        <w:tab/>
        <w:t>|</w:t>
      </w:r>
      <w:r>
        <w:tab/>
      </w:r>
      <w:r>
        <w:rPr>
          <w:rStyle w:val="htmlcodes"/>
        </w:rPr>
        <w:t>&lt;a href=#y477&gt;</w:t>
      </w:r>
      <w:r>
        <w:t xml:space="preserve">ME_477  </w:t>
      </w:r>
      <w:r>
        <w:rPr>
          <w:rStyle w:val="htmlcodes"/>
        </w:rPr>
        <w:t>&lt;/a&gt;&lt;a href=#y90&gt;</w:t>
      </w:r>
      <w:r>
        <w:t xml:space="preserve">sumti_90   </w:t>
      </w:r>
      <w:r>
        <w:rPr>
          <w:rStyle w:val="htmlcodes"/>
        </w:rPr>
        <w:t>&lt;/a&gt;&lt;a href=#y465&gt;</w:t>
      </w:r>
      <w:r>
        <w:t xml:space="preserve">MEhU_gap_465  </w:t>
      </w:r>
      <w:r>
        <w:rPr>
          <w:rStyle w:val="htmlcodes"/>
        </w:rPr>
        <w:t>&lt;/a&gt;&lt;a href=#y476&gt;</w:t>
      </w:r>
      <w:r>
        <w:t xml:space="preserve">MOI_476  </w:t>
      </w:r>
      <w:r>
        <w:rPr>
          <w:rStyle w:val="htmlcodes"/>
        </w:rPr>
        <w:t>&lt;/a&gt;</w:t>
      </w:r>
    </w:p>
    <w:p w:rsidR="00B72047" w:rsidRDefault="00B72047">
      <w:pPr>
        <w:pStyle w:val="YACC"/>
      </w:pPr>
      <w:r>
        <w:tab/>
        <w:t>|</w:t>
      </w:r>
      <w:r>
        <w:tab/>
      </w:r>
      <w:r>
        <w:rPr>
          <w:rStyle w:val="htmlcodes"/>
        </w:rPr>
        <w:t>&lt;a href=#y475&gt;</w:t>
      </w:r>
      <w:r>
        <w:t xml:space="preserve">NUhA_475  </w:t>
      </w:r>
      <w:r>
        <w:rPr>
          <w:rStyle w:val="htmlcodes"/>
        </w:rPr>
        <w:t>&lt;/a&gt;&lt;a href=#y374&gt;</w:t>
      </w:r>
      <w:r>
        <w:t xml:space="preserve">MEX_operator_374  </w:t>
      </w:r>
      <w:r>
        <w:rPr>
          <w:rStyle w:val="htmlcodes"/>
        </w:rPr>
        <w:t>&lt;/a&gt;</w:t>
      </w:r>
    </w:p>
    <w:p w:rsidR="00B72047" w:rsidRDefault="00B72047">
      <w:pPr>
        <w:pStyle w:val="YACC"/>
      </w:pPr>
      <w:r>
        <w:tab/>
        <w:t>|</w:t>
      </w:r>
      <w:r>
        <w:tab/>
      </w:r>
      <w:r>
        <w:rPr>
          <w:rStyle w:val="htmlcodes"/>
        </w:rPr>
        <w:t>&lt;a href=#y482&gt;</w:t>
      </w:r>
      <w:r>
        <w:t xml:space="preserve">NAhE_482   </w:t>
      </w:r>
      <w:r>
        <w:rPr>
          <w:rStyle w:val="htmlcodes"/>
        </w:rPr>
        <w:t>&lt;/a&gt;&lt;a href=#y152&gt;</w:t>
      </w:r>
      <w:r>
        <w:t xml:space="preserve">tanru_unit_B_152   </w:t>
      </w:r>
      <w:r>
        <w:rPr>
          <w:rStyle w:val="htmlcodes"/>
        </w:rPr>
        <w:t>&lt;/a&gt;</w:t>
      </w:r>
    </w:p>
    <w:p w:rsidR="00B72047" w:rsidRDefault="00B72047">
      <w:pPr>
        <w:pStyle w:val="YACC"/>
      </w:pPr>
      <w:r>
        <w:tab/>
        <w:t>|</w:t>
      </w:r>
      <w:r>
        <w:tab/>
      </w:r>
      <w:r>
        <w:rPr>
          <w:rStyle w:val="htmlcodes"/>
        </w:rPr>
        <w:t>&lt;a href=#y425&gt;</w:t>
      </w:r>
      <w:r>
        <w:t xml:space="preserve">NU_425  </w:t>
      </w:r>
      <w:r>
        <w:rPr>
          <w:rStyle w:val="htmlcodes"/>
        </w:rPr>
        <w:t>&lt;/a&gt;&lt;a href=#y41&gt;</w:t>
      </w:r>
      <w:r>
        <w:t xml:space="preserve">subsentence_41   </w:t>
      </w:r>
      <w:r>
        <w:rPr>
          <w:rStyle w:val="htmlcodes"/>
        </w:rPr>
        <w:t>&lt;/a&gt;&lt;a href=#y453&gt;</w:t>
      </w:r>
      <w:r>
        <w:t xml:space="preserve">KEI_gap_453  </w:t>
      </w:r>
      <w:r>
        <w:rPr>
          <w:rStyle w:val="htmlcodes"/>
        </w:rPr>
        <w:t>&lt;/a&gt;</w:t>
      </w:r>
    </w:p>
    <w:p w:rsidR="00B72047" w:rsidRDefault="00B72047">
      <w:pPr>
        <w:pStyle w:val="YACC"/>
      </w:pPr>
      <w:r>
        <w:tab/>
        <w:t>;</w:t>
      </w:r>
    </w:p>
    <w:p w:rsidR="00B72047" w:rsidRDefault="00B72047">
      <w:pPr>
        <w:pStyle w:val="YACCtoken"/>
      </w:pPr>
      <w:r>
        <w:rPr>
          <w:rStyle w:val="htmlcodes"/>
        </w:rPr>
        <w:t>&lt;a name=y160&gt;</w:t>
      </w:r>
      <w:r>
        <w:t xml:space="preserve">linkargs_160  </w:t>
      </w:r>
      <w:r>
        <w:rPr>
          <w:rStyle w:val="htmlcodes"/>
        </w:rPr>
        <w:t>&lt;/a&gt;</w:t>
      </w:r>
      <w:r>
        <w:tab/>
        <w:t>:</w:t>
      </w:r>
      <w:r>
        <w:tab/>
      </w:r>
      <w:r>
        <w:rPr>
          <w:rStyle w:val="htmlcodes"/>
        </w:rPr>
        <w:t>&lt;a href=#y446&gt;</w:t>
      </w:r>
      <w:r>
        <w:t xml:space="preserve">BE_446  </w:t>
      </w:r>
      <w:r>
        <w:rPr>
          <w:rStyle w:val="htmlcodes"/>
        </w:rPr>
        <w:t>&lt;/a&gt;&lt;a href=#y83&gt;</w:t>
      </w:r>
      <w:r>
        <w:t xml:space="preserve">term_83  </w:t>
      </w:r>
      <w:r>
        <w:rPr>
          <w:rStyle w:val="htmlcodes"/>
        </w:rPr>
        <w:t>&lt;/a&gt;&lt;a href=#y467&gt;</w:t>
      </w:r>
      <w:r>
        <w:t xml:space="preserve">BEhO_gap_467  </w:t>
      </w:r>
      <w:r>
        <w:rPr>
          <w:rStyle w:val="htmlcodes"/>
        </w:rPr>
        <w:t>&lt;/a&gt;</w:t>
      </w:r>
    </w:p>
    <w:p w:rsidR="00B72047" w:rsidRDefault="00B72047">
      <w:pPr>
        <w:pStyle w:val="YACC"/>
      </w:pPr>
      <w:r>
        <w:tab/>
        <w:t>|</w:t>
      </w:r>
      <w:r>
        <w:tab/>
      </w:r>
      <w:r>
        <w:rPr>
          <w:rStyle w:val="htmlcodes"/>
        </w:rPr>
        <w:t>&lt;a href=#y446&gt;</w:t>
      </w:r>
      <w:r>
        <w:t xml:space="preserve">BE_446  </w:t>
      </w:r>
      <w:r>
        <w:rPr>
          <w:rStyle w:val="htmlcodes"/>
        </w:rPr>
        <w:t>&lt;/a&gt;&lt;a href=#y83&gt;</w:t>
      </w:r>
      <w:r>
        <w:t xml:space="preserve">term_83  </w:t>
      </w:r>
      <w:r>
        <w:rPr>
          <w:rStyle w:val="htmlcodes"/>
        </w:rPr>
        <w:t>&lt;/a&gt;&lt;a href=#y161&gt;</w:t>
      </w:r>
      <w:r>
        <w:t xml:space="preserve">links_161   </w:t>
      </w:r>
      <w:r>
        <w:rPr>
          <w:rStyle w:val="htmlcodes"/>
        </w:rPr>
        <w:t>&lt;/a&gt;&lt;a href=#y467&gt;</w:t>
      </w:r>
      <w:r>
        <w:t xml:space="preserve">BEhO_gap_467  </w:t>
      </w:r>
      <w:r>
        <w:rPr>
          <w:rStyle w:val="htmlcodes"/>
        </w:rPr>
        <w:t>&lt;/a&gt;</w:t>
      </w:r>
    </w:p>
    <w:p w:rsidR="00B72047" w:rsidRDefault="00B72047">
      <w:pPr>
        <w:pStyle w:val="YACC"/>
      </w:pPr>
      <w:r>
        <w:tab/>
        <w:t>;</w:t>
      </w:r>
    </w:p>
    <w:p w:rsidR="00B72047" w:rsidRDefault="00B72047">
      <w:pPr>
        <w:pStyle w:val="YACCtoken"/>
      </w:pPr>
      <w:r>
        <w:rPr>
          <w:rStyle w:val="htmlcodes"/>
        </w:rPr>
        <w:t>&lt;a name=y161&gt;</w:t>
      </w:r>
      <w:r>
        <w:t xml:space="preserve">links_161  </w:t>
      </w:r>
      <w:r>
        <w:rPr>
          <w:rStyle w:val="htmlcodes"/>
        </w:rPr>
        <w:t>&lt;/a&gt;</w:t>
      </w:r>
      <w:r>
        <w:tab/>
        <w:t>:</w:t>
      </w:r>
      <w:r>
        <w:tab/>
      </w:r>
      <w:r>
        <w:rPr>
          <w:rStyle w:val="htmlcodes"/>
        </w:rPr>
        <w:t>&lt;a href=#y442&gt;</w:t>
      </w:r>
      <w:r>
        <w:t xml:space="preserve">BEI_442  </w:t>
      </w:r>
      <w:r>
        <w:rPr>
          <w:rStyle w:val="htmlcodes"/>
        </w:rPr>
        <w:t>&lt;/a&gt;&lt;a href=#y83&gt;</w:t>
      </w:r>
      <w:r>
        <w:t xml:space="preserve">term_83  </w:t>
      </w:r>
      <w:r>
        <w:rPr>
          <w:rStyle w:val="htmlcodes"/>
        </w:rPr>
        <w:t>&lt;/a&gt;</w:t>
      </w:r>
    </w:p>
    <w:p w:rsidR="00B72047" w:rsidRDefault="00B72047">
      <w:pPr>
        <w:pStyle w:val="YACC"/>
      </w:pPr>
      <w:r>
        <w:tab/>
        <w:t>|</w:t>
      </w:r>
      <w:r>
        <w:tab/>
      </w:r>
      <w:r>
        <w:rPr>
          <w:rStyle w:val="htmlcodes"/>
        </w:rPr>
        <w:t>&lt;a href=#y442&gt;</w:t>
      </w:r>
      <w:r>
        <w:t xml:space="preserve">BEI_442   </w:t>
      </w:r>
      <w:r>
        <w:rPr>
          <w:rStyle w:val="htmlcodes"/>
        </w:rPr>
        <w:t>&lt;/a&gt;&lt;a href=#y83&gt;</w:t>
      </w:r>
      <w:r>
        <w:t xml:space="preserve">term_83  </w:t>
      </w:r>
      <w:r>
        <w:rPr>
          <w:rStyle w:val="htmlcodes"/>
        </w:rPr>
        <w:t>&lt;/a&gt;&lt;a href=#y161&gt;</w:t>
      </w:r>
      <w:r>
        <w:t xml:space="preserve">links_161   </w:t>
      </w:r>
      <w:r>
        <w:rPr>
          <w:rStyle w:val="htmlcodes"/>
        </w:rPr>
        <w:t>&lt;/a&gt;</w:t>
      </w:r>
    </w:p>
    <w:p w:rsidR="00B72047" w:rsidRDefault="00B72047">
      <w:pPr>
        <w:pStyle w:val="YACC"/>
      </w:pPr>
      <w:r>
        <w:tab/>
        <w:t>;</w:t>
      </w:r>
    </w:p>
    <w:p w:rsidR="00B72047" w:rsidRDefault="00B72047">
      <w:pPr>
        <w:pStyle w:val="YACC"/>
      </w:pPr>
    </w:p>
    <w:p w:rsidR="00B72047" w:rsidRDefault="00B72047">
      <w:pPr>
        <w:pStyle w:val="YACC"/>
      </w:pPr>
    </w:p>
    <w:p w:rsidR="00B72047" w:rsidRDefault="00B72047">
      <w:pPr>
        <w:pStyle w:val="YACC"/>
      </w:pPr>
    </w:p>
    <w:p w:rsidR="00B72047" w:rsidRDefault="00B72047">
      <w:pPr>
        <w:pStyle w:val="YACCcomment"/>
        <w:spacing w:before="0"/>
      </w:pPr>
      <w:r>
        <w:rPr>
          <w:rStyle w:val="deletedparamark"/>
          <w:sz w:val="16"/>
          <w:szCs w:val="16"/>
        </w:rPr>
        <w:br w:type="page"/>
        <w:t>/*</w:t>
      </w:r>
      <w:r>
        <w:t xml:space="preserve"> Main entry point for MEX; everything but a number must be in parens. */</w:t>
      </w:r>
    </w:p>
    <w:p w:rsidR="00B72047" w:rsidRDefault="00B72047">
      <w:pPr>
        <w:pStyle w:val="YACCtoken"/>
      </w:pPr>
      <w:r>
        <w:rPr>
          <w:rStyle w:val="htmlcodes"/>
        </w:rPr>
        <w:t>&lt;a name=y300&gt;</w:t>
      </w:r>
      <w:r>
        <w:t xml:space="preserve">quantifier_300  </w:t>
      </w:r>
      <w:r>
        <w:rPr>
          <w:rStyle w:val="htmlcodes"/>
        </w:rPr>
        <w:t>&lt;/a&gt;</w:t>
      </w:r>
      <w:r>
        <w:tab/>
        <w:t>:</w:t>
      </w:r>
      <w:r>
        <w:tab/>
      </w:r>
      <w:r>
        <w:rPr>
          <w:rStyle w:val="htmlcodes"/>
        </w:rPr>
        <w:t>&lt;a href=#y812&gt;</w:t>
      </w:r>
      <w:r>
        <w:t xml:space="preserve">number_812  </w:t>
      </w:r>
      <w:r>
        <w:rPr>
          <w:rStyle w:val="htmlcodes"/>
        </w:rPr>
        <w:t>&lt;/a&gt;&lt;a href=#y461&gt;</w:t>
      </w:r>
      <w:r>
        <w:t xml:space="preserve">BOI_gap_461  </w:t>
      </w:r>
      <w:r>
        <w:rPr>
          <w:rStyle w:val="htmlcodes"/>
        </w:rPr>
        <w:t>&lt;/a&gt;</w:t>
      </w:r>
    </w:p>
    <w:p w:rsidR="00B72047" w:rsidRDefault="00B72047">
      <w:pPr>
        <w:pStyle w:val="YACC"/>
      </w:pPr>
      <w:r>
        <w:tab/>
        <w:t>|</w:t>
      </w:r>
      <w:r>
        <w:tab/>
      </w:r>
      <w:r>
        <w:rPr>
          <w:rStyle w:val="htmlcodes"/>
        </w:rPr>
        <w:t>&lt;a href=#y470&gt;</w:t>
      </w:r>
      <w:r>
        <w:t xml:space="preserve">left_bracket_470   </w:t>
      </w:r>
      <w:r>
        <w:rPr>
          <w:rStyle w:val="htmlcodes"/>
        </w:rPr>
        <w:t>&lt;/a&gt;&lt;a href=#y310&gt;</w:t>
      </w:r>
      <w:r>
        <w:t xml:space="preserve">MEX_310   </w:t>
      </w:r>
      <w:r>
        <w:rPr>
          <w:rStyle w:val="htmlcodes"/>
        </w:rPr>
        <w:t>&lt;/a&gt;&lt;a href=#y471&gt;</w:t>
      </w:r>
      <w:r>
        <w:t xml:space="preserve">right_bracket_gap_471   </w:t>
      </w:r>
      <w:r>
        <w:rPr>
          <w:rStyle w:val="htmlcodes"/>
        </w:rPr>
        <w:t>&lt;/a&gt;</w:t>
      </w:r>
    </w:p>
    <w:p w:rsidR="00B72047" w:rsidRDefault="00B72047">
      <w:pPr>
        <w:pStyle w:val="YACC"/>
      </w:pPr>
      <w:r>
        <w:tab/>
        <w:t>;</w:t>
      </w:r>
    </w:p>
    <w:p w:rsidR="00B72047" w:rsidRDefault="00B72047">
      <w:pPr>
        <w:pStyle w:val="YACC"/>
      </w:pPr>
    </w:p>
    <w:p w:rsidR="00B72047" w:rsidRDefault="00B72047">
      <w:pPr>
        <w:pStyle w:val="YACCcomment"/>
      </w:pPr>
      <w:r>
        <w:t>/* Entry point for MEX used after LI; no parens needed, but LI now has an el</w:t>
      </w:r>
      <w:r>
        <w:t>i</w:t>
      </w:r>
      <w:r>
        <w:softHyphen/>
        <w:t>dable terminator. (This allows us to express the difference between “the e</w:t>
      </w:r>
      <w:r>
        <w:t>x</w:t>
      </w:r>
      <w:r>
        <w:softHyphen/>
        <w:t>pression a + b” and “the expression (a + b)” _) */</w:t>
      </w:r>
    </w:p>
    <w:p w:rsidR="00B72047" w:rsidRDefault="00B72047">
      <w:pPr>
        <w:pStyle w:val="YACCcomment"/>
      </w:pPr>
      <w:r>
        <w:t>/* This rule supports left</w:t>
      </w:r>
      <w:r>
        <w:noBreakHyphen/>
        <w:t>grouping infix expressions and reverse Polish ex</w:t>
      </w:r>
      <w:r>
        <w:softHyphen/>
        <w:t>pres</w:t>
      </w:r>
      <w:r>
        <w:softHyphen/>
        <w:t>sions. To handle infix monadic, use a null operand; to handle infix with more than two operands (whatever that means) use an extra operator or an ar</w:t>
      </w:r>
      <w:r>
        <w:softHyphen/>
        <w:t>ray op</w:t>
      </w:r>
      <w:r>
        <w:softHyphen/>
        <w:t>erand. */</w:t>
      </w:r>
    </w:p>
    <w:p w:rsidR="00B72047" w:rsidRDefault="00B72047">
      <w:pPr>
        <w:pStyle w:val="YACCtoken"/>
      </w:pPr>
      <w:r>
        <w:rPr>
          <w:rStyle w:val="htmlcodes"/>
        </w:rPr>
        <w:t>&lt;a name=y310&gt;</w:t>
      </w:r>
      <w:r>
        <w:t xml:space="preserve">MEX_310  </w:t>
      </w:r>
      <w:r>
        <w:rPr>
          <w:rStyle w:val="htmlcodes"/>
        </w:rPr>
        <w:t>&lt;/a&gt;</w:t>
      </w:r>
      <w:r>
        <w:tab/>
        <w:t>:</w:t>
      </w:r>
      <w:r>
        <w:tab/>
      </w:r>
      <w:r>
        <w:rPr>
          <w:rStyle w:val="htmlcodes"/>
        </w:rPr>
        <w:t>&lt;a href=#y311&gt;</w:t>
      </w:r>
      <w:r>
        <w:t xml:space="preserve">MEX_A_311  </w:t>
      </w:r>
      <w:r>
        <w:rPr>
          <w:rStyle w:val="htmlcodes"/>
        </w:rPr>
        <w:t>&lt;/a&gt;</w:t>
      </w:r>
    </w:p>
    <w:p w:rsidR="00B72047" w:rsidRDefault="00B72047">
      <w:pPr>
        <w:pStyle w:val="YACC"/>
      </w:pPr>
      <w:r>
        <w:tab/>
        <w:t>|</w:t>
      </w:r>
      <w:r>
        <w:tab/>
      </w:r>
      <w:r>
        <w:rPr>
          <w:rStyle w:val="htmlcodes"/>
        </w:rPr>
        <w:t>&lt;a href=#y310&gt;</w:t>
      </w:r>
      <w:r>
        <w:t xml:space="preserve">MEX_310   </w:t>
      </w:r>
      <w:r>
        <w:rPr>
          <w:rStyle w:val="htmlcodes"/>
        </w:rPr>
        <w:t>&lt;/a&gt;&lt;a href=#y370&gt;</w:t>
      </w:r>
      <w:r>
        <w:t xml:space="preserve">operator_370   </w:t>
      </w:r>
      <w:r>
        <w:rPr>
          <w:rStyle w:val="htmlcodes"/>
        </w:rPr>
        <w:t>&lt;/a&gt;&lt;a href=#y311&gt;</w:t>
      </w:r>
      <w:r>
        <w:t xml:space="preserve">MEX_A_311   </w:t>
      </w:r>
      <w:r>
        <w:rPr>
          <w:rStyle w:val="htmlcodes"/>
        </w:rPr>
        <w:t>&lt;/a&gt;</w:t>
      </w:r>
    </w:p>
    <w:p w:rsidR="00B72047" w:rsidRDefault="00B72047">
      <w:pPr>
        <w:pStyle w:val="YACC"/>
      </w:pPr>
      <w:r>
        <w:tab/>
        <w:t>|</w:t>
      </w:r>
      <w:r>
        <w:tab/>
      </w:r>
      <w:r>
        <w:rPr>
          <w:rStyle w:val="htmlcodes"/>
        </w:rPr>
        <w:t>&lt;a href=#y441&gt;</w:t>
      </w:r>
      <w:r>
        <w:t xml:space="preserve">FUhA_441   </w:t>
      </w:r>
      <w:r>
        <w:rPr>
          <w:rStyle w:val="htmlcodes"/>
        </w:rPr>
        <w:t>&lt;/a&gt;&lt;a href=#y330&gt;</w:t>
      </w:r>
      <w:r>
        <w:t xml:space="preserve">rp_expression_330   </w:t>
      </w:r>
      <w:r>
        <w:rPr>
          <w:rStyle w:val="htmlcodes"/>
        </w:rPr>
        <w:t>&lt;/a&gt;</w:t>
      </w:r>
    </w:p>
    <w:p w:rsidR="00B72047" w:rsidRDefault="00B72047">
      <w:pPr>
        <w:pStyle w:val="YACC"/>
      </w:pPr>
      <w:r>
        <w:tab/>
        <w:t>;</w:t>
      </w:r>
    </w:p>
    <w:p w:rsidR="00B72047" w:rsidRDefault="00B72047">
      <w:pPr>
        <w:pStyle w:val="YACCcomment"/>
      </w:pPr>
      <w:r>
        <w:t>/* Support for right</w:t>
      </w:r>
      <w:r>
        <w:noBreakHyphen/>
        <w:t>grouping (short scope) infix expressions with BIhE. */</w:t>
      </w:r>
    </w:p>
    <w:p w:rsidR="00B72047" w:rsidRDefault="00B72047">
      <w:pPr>
        <w:pStyle w:val="YACCtoken"/>
      </w:pPr>
      <w:r>
        <w:rPr>
          <w:rStyle w:val="htmlcodes"/>
        </w:rPr>
        <w:t>&lt;a name=y311&gt;</w:t>
      </w:r>
      <w:r>
        <w:t xml:space="preserve">MEX_A_311  </w:t>
      </w:r>
      <w:r>
        <w:rPr>
          <w:rStyle w:val="htmlcodes"/>
        </w:rPr>
        <w:t>&lt;/a&gt;</w:t>
      </w:r>
      <w:r>
        <w:tab/>
        <w:t>:</w:t>
      </w:r>
      <w:r>
        <w:tab/>
      </w:r>
      <w:r>
        <w:rPr>
          <w:rStyle w:val="htmlcodes"/>
        </w:rPr>
        <w:t>&lt;a href=#y312&gt;</w:t>
      </w:r>
      <w:r>
        <w:t xml:space="preserve">MEX_B_312  </w:t>
      </w:r>
      <w:r>
        <w:rPr>
          <w:rStyle w:val="htmlcodes"/>
        </w:rPr>
        <w:t>&lt;/a&gt;</w:t>
      </w:r>
    </w:p>
    <w:p w:rsidR="00B72047" w:rsidRDefault="00B72047">
      <w:pPr>
        <w:pStyle w:val="YACC"/>
      </w:pPr>
      <w:r>
        <w:tab/>
        <w:t>|</w:t>
      </w:r>
      <w:r>
        <w:tab/>
      </w:r>
      <w:r>
        <w:rPr>
          <w:rStyle w:val="htmlcodes"/>
        </w:rPr>
        <w:t>&lt;a href=#y312&gt;</w:t>
      </w:r>
      <w:r>
        <w:t xml:space="preserve">MEX_B_312   </w:t>
      </w:r>
      <w:r>
        <w:rPr>
          <w:rStyle w:val="htmlcodes"/>
        </w:rPr>
        <w:t>&lt;/a&gt;&lt;a href=#y439&gt;</w:t>
      </w:r>
      <w:r>
        <w:t xml:space="preserve">BIhE_439  </w:t>
      </w:r>
      <w:r>
        <w:rPr>
          <w:rStyle w:val="htmlcodes"/>
        </w:rPr>
        <w:t>&lt;/a&gt;&lt;a href=#y370&gt;</w:t>
      </w:r>
      <w:r>
        <w:t xml:space="preserve">operator_370   </w:t>
      </w:r>
      <w:r>
        <w:rPr>
          <w:rStyle w:val="htmlcodes"/>
        </w:rPr>
        <w:t>&lt;/a&gt;&lt;a href=#y311&gt;</w:t>
      </w:r>
      <w:r>
        <w:t xml:space="preserve">MEX_A_311   </w:t>
      </w:r>
      <w:r>
        <w:rPr>
          <w:rStyle w:val="htmlcodes"/>
        </w:rPr>
        <w:t>&lt;/a&gt;</w:t>
      </w:r>
    </w:p>
    <w:p w:rsidR="00B72047" w:rsidRDefault="00B72047">
      <w:pPr>
        <w:pStyle w:val="YACC"/>
      </w:pPr>
      <w:r>
        <w:tab/>
        <w:t>;</w:t>
      </w:r>
    </w:p>
    <w:p w:rsidR="00B72047" w:rsidRDefault="00B72047">
      <w:pPr>
        <w:pStyle w:val="YACCcomment"/>
      </w:pPr>
      <w:r>
        <w:t>/* Support for forethought (Polish) expressions. These begin with a fore</w:t>
      </w:r>
      <w:r>
        <w:softHyphen/>
        <w:t>thought flag, then the operator and then the argument(s). */</w:t>
      </w:r>
    </w:p>
    <w:p w:rsidR="00B72047" w:rsidRDefault="00B72047">
      <w:pPr>
        <w:pStyle w:val="YACCtoken"/>
      </w:pPr>
      <w:r>
        <w:rPr>
          <w:rStyle w:val="htmlcodes"/>
        </w:rPr>
        <w:t>&lt;a name=y312&gt;</w:t>
      </w:r>
      <w:r>
        <w:t xml:space="preserve">MEX_B_312  </w:t>
      </w:r>
      <w:r>
        <w:rPr>
          <w:rStyle w:val="htmlcodes"/>
        </w:rPr>
        <w:t>&lt;/a&gt;</w:t>
      </w:r>
      <w:r>
        <w:tab/>
        <w:t>:</w:t>
      </w:r>
      <w:r>
        <w:tab/>
      </w:r>
      <w:r>
        <w:rPr>
          <w:rStyle w:val="htmlcodes"/>
        </w:rPr>
        <w:t>&lt;a href=#y381&gt;</w:t>
      </w:r>
      <w:r>
        <w:t xml:space="preserve">operand_381  </w:t>
      </w:r>
      <w:r>
        <w:rPr>
          <w:rStyle w:val="htmlcodes"/>
        </w:rPr>
        <w:t>&lt;/a&gt;</w:t>
      </w:r>
    </w:p>
    <w:p w:rsidR="00B72047" w:rsidRDefault="00B72047">
      <w:pPr>
        <w:pStyle w:val="YACC"/>
      </w:pPr>
      <w:r>
        <w:tab/>
        <w:t>|</w:t>
      </w:r>
      <w:r>
        <w:tab/>
      </w:r>
      <w:r>
        <w:rPr>
          <w:rStyle w:val="htmlcodes"/>
        </w:rPr>
        <w:t>&lt;a href=#y370&gt;</w:t>
      </w:r>
      <w:r>
        <w:t xml:space="preserve">operator_370   </w:t>
      </w:r>
      <w:r>
        <w:rPr>
          <w:rStyle w:val="htmlcodes"/>
        </w:rPr>
        <w:t>&lt;/a&gt;&lt;a href=#y313&gt;</w:t>
      </w:r>
      <w:r>
        <w:t xml:space="preserve">MEX_C_313  </w:t>
      </w:r>
      <w:r>
        <w:rPr>
          <w:rStyle w:val="htmlcodes"/>
        </w:rPr>
        <w:t>&lt;/a&gt;&lt;a href=#y452&gt;</w:t>
      </w:r>
      <w:r>
        <w:t xml:space="preserve">MEX_gap_452   </w:t>
      </w:r>
      <w:r>
        <w:rPr>
          <w:rStyle w:val="htmlcodes"/>
        </w:rPr>
        <w:t>&lt;/a&gt;</w:t>
      </w:r>
    </w:p>
    <w:p w:rsidR="00B72047" w:rsidRDefault="00B72047">
      <w:pPr>
        <w:pStyle w:val="YACC"/>
      </w:pPr>
      <w:r>
        <w:tab/>
        <w:t>|</w:t>
      </w:r>
      <w:r>
        <w:tab/>
      </w:r>
      <w:r>
        <w:rPr>
          <w:rStyle w:val="htmlcodes"/>
        </w:rPr>
        <w:t>&lt;a href=#y438&gt;</w:t>
      </w:r>
      <w:r>
        <w:t xml:space="preserve">PEhO_438  </w:t>
      </w:r>
      <w:r>
        <w:rPr>
          <w:rStyle w:val="htmlcodes"/>
        </w:rPr>
        <w:t>&lt;/a&gt;&lt;a href=#y370&gt;</w:t>
      </w:r>
      <w:r>
        <w:t xml:space="preserve">operator_370   </w:t>
      </w:r>
      <w:r>
        <w:rPr>
          <w:rStyle w:val="htmlcodes"/>
        </w:rPr>
        <w:t>&lt;/a&gt;&lt;a href=#y313&gt;</w:t>
      </w:r>
      <w:r>
        <w:t xml:space="preserve">MEX_C_313  </w:t>
      </w:r>
      <w:r>
        <w:rPr>
          <w:rStyle w:val="htmlcodes"/>
        </w:rPr>
        <w:t>&lt;/a&gt;&lt;a href=#y452&gt;</w:t>
      </w:r>
      <w:r>
        <w:t xml:space="preserve">MEX_gap_452   </w:t>
      </w:r>
      <w:r>
        <w:rPr>
          <w:rStyle w:val="htmlcodes"/>
        </w:rPr>
        <w:t>&lt;/a&gt;</w:t>
      </w:r>
    </w:p>
    <w:p w:rsidR="00B72047" w:rsidRDefault="00B72047">
      <w:pPr>
        <w:pStyle w:val="YACC"/>
      </w:pPr>
      <w:r>
        <w:tab/>
        <w:t>;</w:t>
      </w:r>
    </w:p>
    <w:p w:rsidR="00B72047" w:rsidRDefault="00B72047">
      <w:pPr>
        <w:pStyle w:val="YACCtoken"/>
      </w:pPr>
      <w:r>
        <w:rPr>
          <w:rStyle w:val="htmlcodes"/>
        </w:rPr>
        <w:t>&lt;a name=y313&gt;</w:t>
      </w:r>
      <w:r>
        <w:t xml:space="preserve">MEX_C_313  </w:t>
      </w:r>
      <w:r>
        <w:rPr>
          <w:rStyle w:val="htmlcodes"/>
        </w:rPr>
        <w:t>&lt;/a&gt;</w:t>
      </w:r>
      <w:r>
        <w:tab/>
        <w:t>:</w:t>
      </w:r>
      <w:r>
        <w:tab/>
      </w:r>
      <w:r>
        <w:rPr>
          <w:rStyle w:val="htmlcodes"/>
        </w:rPr>
        <w:t>&lt;a href=#y312&gt;</w:t>
      </w:r>
      <w:r>
        <w:t xml:space="preserve">MEX_B_312  </w:t>
      </w:r>
      <w:r>
        <w:rPr>
          <w:rStyle w:val="htmlcodes"/>
        </w:rPr>
        <w:t>&lt;/a&gt;</w:t>
      </w:r>
    </w:p>
    <w:p w:rsidR="00B72047" w:rsidRDefault="00B72047">
      <w:pPr>
        <w:pStyle w:val="YACC"/>
      </w:pPr>
      <w:r>
        <w:tab/>
        <w:t>|</w:t>
      </w:r>
      <w:r>
        <w:tab/>
      </w:r>
      <w:r>
        <w:rPr>
          <w:rStyle w:val="htmlcodes"/>
        </w:rPr>
        <w:t>&lt;a href=#y313&gt;</w:t>
      </w:r>
      <w:r>
        <w:t xml:space="preserve">MEX_C_313  </w:t>
      </w:r>
      <w:r>
        <w:rPr>
          <w:rStyle w:val="htmlcodes"/>
        </w:rPr>
        <w:t>&lt;/a&gt;&lt;a href=#y312&gt;</w:t>
      </w:r>
      <w:r>
        <w:t xml:space="preserve">MEX_B_312   </w:t>
      </w:r>
      <w:r>
        <w:rPr>
          <w:rStyle w:val="htmlcodes"/>
        </w:rPr>
        <w:t>&lt;/a&gt;</w:t>
      </w:r>
    </w:p>
    <w:p w:rsidR="00B72047" w:rsidRDefault="00B72047">
      <w:pPr>
        <w:pStyle w:val="YACC"/>
      </w:pPr>
      <w:r>
        <w:tab/>
        <w:t>;</w:t>
      </w:r>
    </w:p>
    <w:p w:rsidR="00B72047" w:rsidRDefault="00B72047">
      <w:pPr>
        <w:pStyle w:val="YACC"/>
      </w:pPr>
    </w:p>
    <w:p w:rsidR="00B72047" w:rsidRDefault="00B72047">
      <w:pPr>
        <w:pStyle w:val="YACCcomment"/>
        <w:spacing w:before="0"/>
      </w:pPr>
      <w:r>
        <w:rPr>
          <w:rStyle w:val="deletedparamark"/>
          <w:sz w:val="16"/>
          <w:szCs w:val="16"/>
        </w:rPr>
        <w:t>/*</w:t>
      </w:r>
      <w:r>
        <w:t xml:space="preserve"> Reverse Polish expressions always have exactly two operands. To handle one operand, use a null operand; to handle more than two operands, use a null operator. */</w:t>
      </w:r>
    </w:p>
    <w:p w:rsidR="00B72047" w:rsidRDefault="00B72047">
      <w:pPr>
        <w:pStyle w:val="YACCtoken"/>
      </w:pPr>
      <w:r>
        <w:rPr>
          <w:rStyle w:val="htmlcodes"/>
        </w:rPr>
        <w:t>&lt;a name=y330&gt;</w:t>
      </w:r>
      <w:r>
        <w:t>rp_expression_330</w:t>
      </w:r>
      <w:r>
        <w:tab/>
      </w:r>
      <w:r>
        <w:rPr>
          <w:rStyle w:val="htmlcodes"/>
        </w:rPr>
        <w:t>&lt;/a&gt;</w:t>
      </w:r>
      <w:r>
        <w:t>:</w:t>
      </w:r>
      <w:r>
        <w:tab/>
      </w:r>
      <w:r>
        <w:rPr>
          <w:rStyle w:val="htmlcodes"/>
        </w:rPr>
        <w:t>&lt;a href=#y332&gt;</w:t>
      </w:r>
      <w:r>
        <w:t xml:space="preserve">rp_operand_332  </w:t>
      </w:r>
      <w:r>
        <w:rPr>
          <w:rStyle w:val="htmlcodes"/>
        </w:rPr>
        <w:t>&lt;/a&gt;&lt;a href=#y332&gt;</w:t>
      </w:r>
      <w:r>
        <w:t xml:space="preserve">rp_operand_332  </w:t>
      </w:r>
      <w:r>
        <w:rPr>
          <w:rStyle w:val="htmlcodes"/>
        </w:rPr>
        <w:t>&lt;/a&gt;&lt;a href=#y370&gt;</w:t>
      </w:r>
      <w:r>
        <w:t xml:space="preserve">operator_370  </w:t>
      </w:r>
      <w:r>
        <w:rPr>
          <w:rStyle w:val="htmlcodes"/>
        </w:rPr>
        <w:t>&lt;/a&gt;</w:t>
      </w:r>
    </w:p>
    <w:p w:rsidR="00B72047" w:rsidRDefault="00B72047">
      <w:pPr>
        <w:pStyle w:val="YACC"/>
      </w:pPr>
      <w:r>
        <w:tab/>
        <w:t>;</w:t>
      </w:r>
    </w:p>
    <w:p w:rsidR="00B72047" w:rsidRDefault="00B72047">
      <w:pPr>
        <w:pStyle w:val="YACCtoken"/>
      </w:pPr>
      <w:r>
        <w:rPr>
          <w:rStyle w:val="htmlcodes"/>
        </w:rPr>
        <w:t>&lt;a name=y332&gt;</w:t>
      </w:r>
      <w:r>
        <w:t xml:space="preserve">rp_operand_332  </w:t>
      </w:r>
      <w:r>
        <w:rPr>
          <w:rStyle w:val="htmlcodes"/>
        </w:rPr>
        <w:t>&lt;/a&gt;</w:t>
      </w:r>
      <w:r>
        <w:tab/>
        <w:t>:</w:t>
      </w:r>
      <w:r>
        <w:tab/>
      </w:r>
      <w:r>
        <w:rPr>
          <w:rStyle w:val="htmlcodes"/>
        </w:rPr>
        <w:t>&lt;a href=#y381&gt;</w:t>
      </w:r>
      <w:r>
        <w:t xml:space="preserve">operand_381  </w:t>
      </w:r>
      <w:r>
        <w:rPr>
          <w:rStyle w:val="htmlcodes"/>
        </w:rPr>
        <w:t>&lt;/a&gt;</w:t>
      </w:r>
    </w:p>
    <w:p w:rsidR="00B72047" w:rsidRDefault="00B72047">
      <w:pPr>
        <w:pStyle w:val="YACC"/>
      </w:pPr>
      <w:r>
        <w:tab/>
        <w:t>|</w:t>
      </w:r>
      <w:r>
        <w:tab/>
      </w:r>
      <w:r>
        <w:rPr>
          <w:rStyle w:val="htmlcodes"/>
        </w:rPr>
        <w:t>&lt;a href=#y330&gt;</w:t>
      </w:r>
      <w:r>
        <w:t xml:space="preserve">rp_expression_330   </w:t>
      </w:r>
      <w:r>
        <w:rPr>
          <w:rStyle w:val="htmlcodes"/>
        </w:rPr>
        <w:t>&lt;/a&gt;</w:t>
      </w:r>
    </w:p>
    <w:p w:rsidR="00B72047" w:rsidRDefault="00B72047">
      <w:pPr>
        <w:pStyle w:val="YACC"/>
      </w:pPr>
      <w:r>
        <w:tab/>
        <w:t>;</w:t>
      </w:r>
    </w:p>
    <w:p w:rsidR="00B72047" w:rsidRDefault="00B72047">
      <w:pPr>
        <w:pStyle w:val="YACCcomment"/>
        <w:spacing w:before="0"/>
      </w:pPr>
      <w:r>
        <w:rPr>
          <w:rStyle w:val="deletedparamark"/>
          <w:sz w:val="16"/>
          <w:szCs w:val="16"/>
        </w:rPr>
        <w:br w:type="page"/>
        <w:t>/*</w:t>
      </w:r>
      <w:r>
        <w:t xml:space="preserve"> Operators may be joined by logical connectives. */</w:t>
      </w:r>
    </w:p>
    <w:p w:rsidR="00B72047" w:rsidRDefault="00B72047">
      <w:pPr>
        <w:pStyle w:val="YACCtoken"/>
      </w:pPr>
      <w:r>
        <w:rPr>
          <w:rStyle w:val="htmlcodes"/>
        </w:rPr>
        <w:t>&lt;a name=y370&gt;</w:t>
      </w:r>
      <w:r>
        <w:t xml:space="preserve">operator_370  </w:t>
      </w:r>
      <w:r>
        <w:rPr>
          <w:rStyle w:val="htmlcodes"/>
        </w:rPr>
        <w:t>&lt;/a&gt;</w:t>
      </w:r>
      <w:r>
        <w:tab/>
        <w:t>:</w:t>
      </w:r>
      <w:r>
        <w:tab/>
      </w:r>
      <w:r>
        <w:rPr>
          <w:rStyle w:val="htmlcodes"/>
        </w:rPr>
        <w:t>&lt;a href=#y371&gt;</w:t>
      </w:r>
      <w:r>
        <w:t xml:space="preserve">operator_A_371  </w:t>
      </w:r>
      <w:r>
        <w:rPr>
          <w:rStyle w:val="htmlcodes"/>
        </w:rPr>
        <w:t>&lt;/a&gt;</w:t>
      </w:r>
    </w:p>
    <w:p w:rsidR="00B72047" w:rsidRDefault="00B72047">
      <w:pPr>
        <w:pStyle w:val="YACC"/>
      </w:pPr>
      <w:r>
        <w:tab/>
        <w:t>|</w:t>
      </w:r>
      <w:r>
        <w:tab/>
      </w:r>
      <w:r>
        <w:rPr>
          <w:rStyle w:val="htmlcodes"/>
        </w:rPr>
        <w:t>&lt;a href=#y370&gt;</w:t>
      </w:r>
      <w:r>
        <w:t xml:space="preserve">operator_370   </w:t>
      </w:r>
      <w:r>
        <w:rPr>
          <w:rStyle w:val="htmlcodes"/>
        </w:rPr>
        <w:t>&lt;/a&gt;&lt;a href=#y422&gt;</w:t>
      </w:r>
      <w:r>
        <w:t xml:space="preserve">JOIK_JEK_422   </w:t>
      </w:r>
      <w:r>
        <w:rPr>
          <w:rStyle w:val="htmlcodes"/>
        </w:rPr>
        <w:t>&lt;/a&gt;&lt;a href=#y371&gt;</w:t>
      </w:r>
      <w:r>
        <w:t xml:space="preserve">operator_A_371   </w:t>
      </w:r>
      <w:r>
        <w:rPr>
          <w:rStyle w:val="htmlcodes"/>
        </w:rPr>
        <w:t>&lt;/a&gt;</w:t>
      </w:r>
    </w:p>
    <w:p w:rsidR="00B72047" w:rsidRDefault="00B72047">
      <w:pPr>
        <w:pStyle w:val="YACC"/>
      </w:pPr>
      <w:r>
        <w:tab/>
        <w:t>|</w:t>
      </w:r>
      <w:r>
        <w:tab/>
      </w:r>
      <w:r>
        <w:rPr>
          <w:rStyle w:val="htmlcodes"/>
        </w:rPr>
        <w:t>&lt;a href=#y370&gt;</w:t>
      </w:r>
      <w:r>
        <w:t xml:space="preserve">operator_370   </w:t>
      </w:r>
      <w:r>
        <w:rPr>
          <w:rStyle w:val="htmlcodes"/>
        </w:rPr>
        <w:t>&lt;/a&gt;&lt;a href=#y823&gt;</w:t>
      </w:r>
      <w:r>
        <w:t xml:space="preserve">JOIK_KE_823  </w:t>
      </w:r>
      <w:r>
        <w:rPr>
          <w:rStyle w:val="htmlcodes"/>
        </w:rPr>
        <w:t>&lt;/a&gt;&lt;a href=#y370&gt;</w:t>
      </w:r>
      <w:r>
        <w:t xml:space="preserve">operator_370   </w:t>
      </w:r>
      <w:r>
        <w:rPr>
          <w:rStyle w:val="htmlcodes"/>
        </w:rPr>
        <w:t>&lt;/a&gt;&lt;a href=#y466&gt;</w:t>
      </w:r>
      <w:r>
        <w:t xml:space="preserve">KEhE_gap_466  </w:t>
      </w:r>
      <w:r>
        <w:rPr>
          <w:rStyle w:val="htmlcodes"/>
        </w:rPr>
        <w:t>&lt;/a&gt;</w:t>
      </w:r>
    </w:p>
    <w:p w:rsidR="00B72047" w:rsidRDefault="00B72047">
      <w:pPr>
        <w:pStyle w:val="YACC"/>
      </w:pPr>
      <w:r>
        <w:tab/>
        <w:t>;</w:t>
      </w:r>
    </w:p>
    <w:p w:rsidR="00B72047" w:rsidRDefault="00B72047">
      <w:pPr>
        <w:pStyle w:val="YACCtoken"/>
      </w:pPr>
      <w:r>
        <w:rPr>
          <w:rStyle w:val="htmlcodes"/>
        </w:rPr>
        <w:t>&lt;a name=y371&gt;</w:t>
      </w:r>
      <w:r>
        <w:t xml:space="preserve">operator_A_371  </w:t>
      </w:r>
      <w:r>
        <w:rPr>
          <w:rStyle w:val="htmlcodes"/>
        </w:rPr>
        <w:t>&lt;/a&gt;</w:t>
      </w:r>
      <w:r>
        <w:tab/>
        <w:t>:</w:t>
      </w:r>
      <w:r>
        <w:tab/>
      </w:r>
      <w:r>
        <w:rPr>
          <w:rStyle w:val="htmlcodes"/>
        </w:rPr>
        <w:t>&lt;a href=#y372&gt;</w:t>
      </w:r>
      <w:r>
        <w:t xml:space="preserve">operator_B_372  </w:t>
      </w:r>
      <w:r>
        <w:rPr>
          <w:rStyle w:val="htmlcodes"/>
        </w:rPr>
        <w:t>&lt;/a&gt;</w:t>
      </w:r>
    </w:p>
    <w:p w:rsidR="00B72047" w:rsidRDefault="00B72047">
      <w:pPr>
        <w:pStyle w:val="YACC"/>
      </w:pPr>
      <w:r>
        <w:tab/>
        <w:t>|</w:t>
      </w:r>
      <w:r>
        <w:tab/>
      </w:r>
      <w:r>
        <w:rPr>
          <w:rStyle w:val="htmlcodes"/>
        </w:rPr>
        <w:t>&lt;a href=#y808&gt;</w:t>
      </w:r>
      <w:r>
        <w:t xml:space="preserve">GUhEK_808  </w:t>
      </w:r>
      <w:r>
        <w:rPr>
          <w:rStyle w:val="htmlcodes"/>
        </w:rPr>
        <w:t>&lt;/a&gt;&lt;a href=#y371&gt;</w:t>
      </w:r>
      <w:r>
        <w:t xml:space="preserve">operator_A_371   </w:t>
      </w:r>
      <w:r>
        <w:rPr>
          <w:rStyle w:val="htmlcodes"/>
        </w:rPr>
        <w:t>&lt;/a&gt;&lt;a href=#y816&gt;</w:t>
      </w:r>
      <w:r>
        <w:t xml:space="preserve">GIK_816  </w:t>
      </w:r>
      <w:r>
        <w:rPr>
          <w:rStyle w:val="htmlcodes"/>
        </w:rPr>
        <w:t>&lt;/a&gt;&lt;a href=#y372&gt;</w:t>
      </w:r>
      <w:r>
        <w:t xml:space="preserve">operator_B_372   </w:t>
      </w:r>
      <w:r>
        <w:rPr>
          <w:rStyle w:val="htmlcodes"/>
        </w:rPr>
        <w:t>&lt;/a&gt;</w:t>
      </w:r>
    </w:p>
    <w:p w:rsidR="00B72047" w:rsidRDefault="00B72047">
      <w:pPr>
        <w:pStyle w:val="YACC"/>
      </w:pPr>
      <w:r>
        <w:tab/>
        <w:t>|</w:t>
      </w:r>
      <w:r>
        <w:tab/>
      </w:r>
      <w:r>
        <w:rPr>
          <w:rStyle w:val="htmlcodes"/>
        </w:rPr>
        <w:t>&lt;a href=#y372&gt;</w:t>
      </w:r>
      <w:r>
        <w:t xml:space="preserve">operator_B_372   </w:t>
      </w:r>
      <w:r>
        <w:rPr>
          <w:rStyle w:val="htmlcodes"/>
        </w:rPr>
        <w:t>&lt;/a&gt;&lt;a href=#y822&gt;</w:t>
      </w:r>
      <w:r>
        <w:t xml:space="preserve">JOIK_BO_822   </w:t>
      </w:r>
      <w:r>
        <w:rPr>
          <w:rStyle w:val="htmlcodes"/>
        </w:rPr>
        <w:t>&lt;/a&gt;&lt;a href=#y371&gt;</w:t>
      </w:r>
      <w:r>
        <w:t xml:space="preserve">operator_A_371   </w:t>
      </w:r>
      <w:r>
        <w:rPr>
          <w:rStyle w:val="htmlcodes"/>
        </w:rPr>
        <w:t>&lt;/a&gt;</w:t>
      </w:r>
    </w:p>
    <w:p w:rsidR="00B72047" w:rsidRDefault="00B72047">
      <w:pPr>
        <w:pStyle w:val="YACC"/>
      </w:pPr>
      <w:r>
        <w:tab/>
        <w:t>|</w:t>
      </w:r>
      <w:r>
        <w:tab/>
      </w:r>
      <w:r>
        <w:rPr>
          <w:rStyle w:val="htmlcodes"/>
        </w:rPr>
        <w:t>&lt;a href=#y372&gt;</w:t>
      </w:r>
      <w:r>
        <w:t xml:space="preserve">operator_B_372   </w:t>
      </w:r>
      <w:r>
        <w:rPr>
          <w:rStyle w:val="htmlcodes"/>
        </w:rPr>
        <w:t>&lt;/a&gt;&lt;a href=#y821&gt;</w:t>
      </w:r>
      <w:r>
        <w:t xml:space="preserve">JEK_BO_821   </w:t>
      </w:r>
      <w:r>
        <w:rPr>
          <w:rStyle w:val="htmlcodes"/>
        </w:rPr>
        <w:t>&lt;/a&gt;&lt;a href=#y371&gt;</w:t>
      </w:r>
      <w:r>
        <w:t xml:space="preserve">operator_A_371   </w:t>
      </w:r>
      <w:r>
        <w:rPr>
          <w:rStyle w:val="htmlcodes"/>
        </w:rPr>
        <w:t>&lt;/a&gt;</w:t>
      </w:r>
    </w:p>
    <w:p w:rsidR="00B72047" w:rsidRDefault="00B72047">
      <w:pPr>
        <w:pStyle w:val="YACC"/>
      </w:pPr>
      <w:r>
        <w:tab/>
        <w:t>;</w:t>
      </w:r>
    </w:p>
    <w:p w:rsidR="00B72047" w:rsidRDefault="00B72047">
      <w:pPr>
        <w:pStyle w:val="YACCtoken"/>
      </w:pPr>
      <w:r>
        <w:rPr>
          <w:rStyle w:val="htmlcodes"/>
        </w:rPr>
        <w:t>&lt;a name=y372&gt;</w:t>
      </w:r>
      <w:r>
        <w:t xml:space="preserve">operator_B_372  </w:t>
      </w:r>
      <w:r>
        <w:rPr>
          <w:rStyle w:val="htmlcodes"/>
        </w:rPr>
        <w:t>&lt;/a&gt;</w:t>
      </w:r>
      <w:r>
        <w:tab/>
        <w:t>:</w:t>
      </w:r>
      <w:r>
        <w:tab/>
      </w:r>
      <w:r>
        <w:rPr>
          <w:rStyle w:val="htmlcodes"/>
        </w:rPr>
        <w:t>&lt;a href=#y374&gt;</w:t>
      </w:r>
      <w:r>
        <w:t xml:space="preserve">MEX_operator_374  </w:t>
      </w:r>
      <w:r>
        <w:rPr>
          <w:rStyle w:val="htmlcodes"/>
        </w:rPr>
        <w:t>&lt;/a&gt;</w:t>
      </w:r>
    </w:p>
    <w:p w:rsidR="00B72047" w:rsidRDefault="00B72047">
      <w:pPr>
        <w:pStyle w:val="YACC"/>
      </w:pPr>
      <w:r>
        <w:tab/>
        <w:t>|</w:t>
      </w:r>
      <w:r>
        <w:tab/>
      </w:r>
      <w:r>
        <w:rPr>
          <w:rStyle w:val="htmlcodes"/>
        </w:rPr>
        <w:t>&lt;a href=#y493&gt;</w:t>
      </w:r>
      <w:r>
        <w:t xml:space="preserve">KE_493  </w:t>
      </w:r>
      <w:r>
        <w:rPr>
          <w:rStyle w:val="htmlcodes"/>
        </w:rPr>
        <w:t>&lt;/a&gt;&lt;a href=#y370&gt;</w:t>
      </w:r>
      <w:r>
        <w:t xml:space="preserve">operator_370   </w:t>
      </w:r>
      <w:r>
        <w:rPr>
          <w:rStyle w:val="htmlcodes"/>
        </w:rPr>
        <w:t>&lt;/a&gt;&lt;a href=#y466&gt;</w:t>
      </w:r>
      <w:r>
        <w:t xml:space="preserve">KEhE_gap_466  </w:t>
      </w:r>
      <w:r>
        <w:rPr>
          <w:rStyle w:val="htmlcodes"/>
        </w:rPr>
        <w:t>&lt;/a&gt;</w:t>
      </w:r>
    </w:p>
    <w:p w:rsidR="00B72047" w:rsidRDefault="00B72047">
      <w:pPr>
        <w:pStyle w:val="YACC"/>
      </w:pPr>
      <w:r>
        <w:tab/>
        <w:t>;</w:t>
      </w:r>
    </w:p>
    <w:p w:rsidR="00B72047" w:rsidRDefault="00B72047">
      <w:pPr>
        <w:pStyle w:val="YACCtoken"/>
      </w:pPr>
      <w:r>
        <w:rPr>
          <w:rStyle w:val="htmlcodes"/>
        </w:rPr>
        <w:t>&lt;a name=y374&gt;</w:t>
      </w:r>
      <w:r>
        <w:t xml:space="preserve">MEX_operator_374  </w:t>
      </w:r>
      <w:r>
        <w:rPr>
          <w:rStyle w:val="htmlcodes"/>
        </w:rPr>
        <w:t>&lt;/a&gt;</w:t>
      </w:r>
      <w:r>
        <w:tab/>
        <w:t>:</w:t>
      </w:r>
      <w:r>
        <w:tab/>
      </w:r>
      <w:r>
        <w:rPr>
          <w:rStyle w:val="htmlcodes"/>
        </w:rPr>
        <w:t>&lt;a href=#y679&gt;</w:t>
      </w:r>
      <w:r>
        <w:t xml:space="preserve">VUhU_679  </w:t>
      </w:r>
      <w:r>
        <w:rPr>
          <w:rStyle w:val="htmlcodes"/>
        </w:rPr>
        <w:t>&lt;/a&gt;</w:t>
      </w:r>
    </w:p>
    <w:p w:rsidR="00B72047" w:rsidRDefault="00B72047">
      <w:pPr>
        <w:pStyle w:val="YACC"/>
      </w:pPr>
      <w:r>
        <w:tab/>
        <w:t>|</w:t>
      </w:r>
      <w:r>
        <w:tab/>
      </w:r>
      <w:r>
        <w:rPr>
          <w:rStyle w:val="htmlcodes"/>
        </w:rPr>
        <w:t>&lt;a href=#y679&gt;</w:t>
      </w:r>
      <w:r>
        <w:t xml:space="preserve">VUhU_679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href=#y480&gt;</w:t>
      </w:r>
      <w:r>
        <w:t xml:space="preserve">SE_480   </w:t>
      </w:r>
      <w:r>
        <w:rPr>
          <w:rStyle w:val="htmlcodes"/>
        </w:rPr>
        <w:t>&lt;/a&gt;&lt;a href=#y374&gt;</w:t>
      </w:r>
      <w:r>
        <w:t xml:space="preserve">MEX_operator_374  </w:t>
      </w:r>
      <w:r>
        <w:rPr>
          <w:rStyle w:val="htmlcodes"/>
        </w:rPr>
        <w:t>&lt;/a&gt;</w:t>
      </w:r>
    </w:p>
    <w:p w:rsidR="00B72047" w:rsidRDefault="00B72047">
      <w:pPr>
        <w:pStyle w:val="YACCInline"/>
      </w:pPr>
      <w:r>
        <w:tab/>
      </w:r>
      <w:r>
        <w:tab/>
        <w:t>/* changes argument order */</w:t>
      </w:r>
    </w:p>
    <w:p w:rsidR="00B72047" w:rsidRDefault="00B72047">
      <w:pPr>
        <w:pStyle w:val="YACC"/>
      </w:pPr>
      <w:r>
        <w:tab/>
        <w:t>|</w:t>
      </w:r>
      <w:r>
        <w:tab/>
      </w:r>
      <w:r>
        <w:rPr>
          <w:rStyle w:val="htmlcodes"/>
        </w:rPr>
        <w:t>&lt;a href=#y482&gt;</w:t>
      </w:r>
      <w:r>
        <w:t xml:space="preserve">NAhE_482   </w:t>
      </w:r>
      <w:r>
        <w:rPr>
          <w:rStyle w:val="htmlcodes"/>
        </w:rPr>
        <w:t>&lt;/a&gt;&lt;a href=#y374&gt;</w:t>
      </w:r>
      <w:r>
        <w:t xml:space="preserve">MEX_operator_374  </w:t>
      </w:r>
      <w:r>
        <w:rPr>
          <w:rStyle w:val="htmlcodes"/>
        </w:rPr>
        <w:t>&lt;/a&gt;</w:t>
      </w:r>
    </w:p>
    <w:p w:rsidR="00B72047" w:rsidRDefault="00B72047">
      <w:pPr>
        <w:pStyle w:val="YACCInline"/>
      </w:pPr>
      <w:r>
        <w:tab/>
      </w:r>
      <w:r>
        <w:tab/>
        <w:t>/* scalar negation */</w:t>
      </w:r>
    </w:p>
    <w:p w:rsidR="00B72047" w:rsidRDefault="00B72047">
      <w:pPr>
        <w:pStyle w:val="YACC"/>
      </w:pPr>
      <w:r>
        <w:tab/>
        <w:t>|</w:t>
      </w:r>
      <w:r>
        <w:tab/>
      </w:r>
      <w:r>
        <w:rPr>
          <w:rStyle w:val="htmlcodes"/>
        </w:rPr>
        <w:t>&lt;a href=#y430&gt;</w:t>
      </w:r>
      <w:r>
        <w:t xml:space="preserve">MAhO_430   </w:t>
      </w:r>
      <w:r>
        <w:rPr>
          <w:rStyle w:val="htmlcodes"/>
        </w:rPr>
        <w:t>&lt;/a&gt;&lt;a href=#y310&gt;</w:t>
      </w:r>
      <w:r>
        <w:t xml:space="preserve">MEX_310   </w:t>
      </w:r>
      <w:r>
        <w:rPr>
          <w:rStyle w:val="htmlcodes"/>
        </w:rPr>
        <w:t>&lt;/a&gt;&lt;a href=#y473&gt;</w:t>
      </w:r>
      <w:r>
        <w:t xml:space="preserve">TEhU_gap_473  </w:t>
      </w:r>
      <w:r>
        <w:rPr>
          <w:rStyle w:val="htmlcodes"/>
        </w:rPr>
        <w:t>&lt;/a&gt;</w:t>
      </w:r>
    </w:p>
    <w:p w:rsidR="00B72047" w:rsidRDefault="00B72047">
      <w:pPr>
        <w:pStyle w:val="YACC"/>
      </w:pPr>
      <w:r>
        <w:tab/>
        <w:t>|</w:t>
      </w:r>
      <w:r>
        <w:tab/>
      </w:r>
      <w:r>
        <w:rPr>
          <w:rStyle w:val="htmlcodes"/>
        </w:rPr>
        <w:t>&lt;a href=#y429&gt;</w:t>
      </w:r>
      <w:r>
        <w:t xml:space="preserve">NAhU_429  </w:t>
      </w:r>
      <w:r>
        <w:rPr>
          <w:rStyle w:val="htmlcodes"/>
        </w:rPr>
        <w:t>&lt;/a&gt;&lt;a href=#y130&gt;</w:t>
      </w:r>
      <w:r>
        <w:t xml:space="preserve">selbri_130   </w:t>
      </w:r>
      <w:r>
        <w:rPr>
          <w:rStyle w:val="htmlcodes"/>
        </w:rPr>
        <w:t>&lt;/a&gt;&lt;a href=#y473&gt;</w:t>
      </w:r>
      <w:r>
        <w:t xml:space="preserve">TEhU_gap_473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name=y381&gt;</w:t>
      </w:r>
      <w:r>
        <w:t xml:space="preserve">operand_381  </w:t>
      </w:r>
      <w:r>
        <w:rPr>
          <w:rStyle w:val="htmlcodes"/>
        </w:rPr>
        <w:t>&lt;/a&gt;</w:t>
      </w:r>
      <w:r>
        <w:tab/>
        <w:t>:</w:t>
      </w:r>
      <w:r>
        <w:tab/>
      </w:r>
      <w:r>
        <w:rPr>
          <w:rStyle w:val="htmlcodes"/>
        </w:rPr>
        <w:t>&lt;a href=#y382&gt;</w:t>
      </w:r>
      <w:r>
        <w:t xml:space="preserve">operand_A_382  </w:t>
      </w:r>
      <w:r>
        <w:rPr>
          <w:rStyle w:val="htmlcodes"/>
        </w:rPr>
        <w:t>&lt;/a&gt;</w:t>
      </w:r>
    </w:p>
    <w:p w:rsidR="00B72047" w:rsidRDefault="00B72047">
      <w:pPr>
        <w:pStyle w:val="YACC"/>
      </w:pPr>
      <w:r>
        <w:tab/>
        <w:t>|</w:t>
      </w:r>
      <w:r>
        <w:tab/>
      </w:r>
      <w:r>
        <w:rPr>
          <w:rStyle w:val="htmlcodes"/>
        </w:rPr>
        <w:t>&lt;a href=#y382&gt;</w:t>
      </w:r>
      <w:r>
        <w:t xml:space="preserve">operand_A_382   </w:t>
      </w:r>
      <w:r>
        <w:rPr>
          <w:rStyle w:val="htmlcodes"/>
        </w:rPr>
        <w:t>&lt;/a&gt;&lt;a href=#y804&gt;</w:t>
      </w:r>
      <w:r>
        <w:t xml:space="preserve">EK_KE_804  </w:t>
      </w:r>
      <w:r>
        <w:rPr>
          <w:rStyle w:val="htmlcodes"/>
        </w:rPr>
        <w:t>&lt;/a&gt;&lt;a href=#y381&gt;</w:t>
      </w:r>
      <w:r>
        <w:t xml:space="preserve">operand_381   </w:t>
      </w:r>
      <w:r>
        <w:rPr>
          <w:rStyle w:val="htmlcodes"/>
        </w:rPr>
        <w:t>&lt;/a&gt;&lt;a href=#y466&gt;</w:t>
      </w:r>
      <w:r>
        <w:t xml:space="preserve">KEhE_gap_466  </w:t>
      </w:r>
      <w:r>
        <w:rPr>
          <w:rStyle w:val="htmlcodes"/>
        </w:rPr>
        <w:t>&lt;/a&gt;</w:t>
      </w:r>
    </w:p>
    <w:p w:rsidR="00B72047" w:rsidRDefault="00B72047">
      <w:pPr>
        <w:pStyle w:val="YACC"/>
      </w:pPr>
      <w:r>
        <w:tab/>
        <w:t>|</w:t>
      </w:r>
      <w:r>
        <w:tab/>
      </w:r>
      <w:r>
        <w:rPr>
          <w:rStyle w:val="htmlcodes"/>
        </w:rPr>
        <w:t>&lt;a href=#y382&gt;</w:t>
      </w:r>
      <w:r>
        <w:t xml:space="preserve">operand_A_382   </w:t>
      </w:r>
      <w:r>
        <w:rPr>
          <w:rStyle w:val="htmlcodes"/>
        </w:rPr>
        <w:t>&lt;/a&gt;&lt;a href=#y823&gt;</w:t>
      </w:r>
      <w:r>
        <w:t xml:space="preserve">JOIK_KE_823  </w:t>
      </w:r>
      <w:r>
        <w:rPr>
          <w:rStyle w:val="htmlcodes"/>
        </w:rPr>
        <w:t>&lt;/a&gt;&lt;a href=#y381&gt;</w:t>
      </w:r>
      <w:r>
        <w:t xml:space="preserve">operand_381   </w:t>
      </w:r>
      <w:r>
        <w:rPr>
          <w:rStyle w:val="htmlcodes"/>
        </w:rPr>
        <w:t>&lt;/a&gt;&lt;a href=#y466&gt;</w:t>
      </w:r>
      <w:r>
        <w:t xml:space="preserve">KEhE_gap_466  </w:t>
      </w:r>
      <w:r>
        <w:rPr>
          <w:rStyle w:val="htmlcodes"/>
        </w:rPr>
        <w:t>&lt;/a&gt;</w:t>
      </w:r>
    </w:p>
    <w:p w:rsidR="00B72047" w:rsidRDefault="00B72047">
      <w:pPr>
        <w:pStyle w:val="YACC"/>
      </w:pPr>
      <w:r>
        <w:tab/>
        <w:t>;</w:t>
      </w:r>
    </w:p>
    <w:p w:rsidR="00B72047" w:rsidRDefault="00B72047">
      <w:pPr>
        <w:pStyle w:val="YACCtoken"/>
      </w:pPr>
      <w:r>
        <w:rPr>
          <w:rStyle w:val="htmlcodes"/>
        </w:rPr>
        <w:t>&lt;a name=y382&gt;</w:t>
      </w:r>
      <w:r>
        <w:t xml:space="preserve">operand_A_382  </w:t>
      </w:r>
      <w:r>
        <w:rPr>
          <w:rStyle w:val="htmlcodes"/>
        </w:rPr>
        <w:t>&lt;/a&gt;</w:t>
      </w:r>
      <w:r>
        <w:tab/>
        <w:t>:</w:t>
      </w:r>
      <w:r>
        <w:tab/>
      </w:r>
      <w:r>
        <w:rPr>
          <w:rStyle w:val="htmlcodes"/>
        </w:rPr>
        <w:t>&lt;a href=#y383&gt;</w:t>
      </w:r>
      <w:r>
        <w:t xml:space="preserve">operand_B_383  </w:t>
      </w:r>
      <w:r>
        <w:rPr>
          <w:rStyle w:val="htmlcodes"/>
        </w:rPr>
        <w:t>&lt;/a&gt;</w:t>
      </w:r>
    </w:p>
    <w:p w:rsidR="00B72047" w:rsidRDefault="00B72047">
      <w:pPr>
        <w:pStyle w:val="YACC"/>
      </w:pPr>
      <w:r>
        <w:tab/>
        <w:t>|</w:t>
      </w:r>
      <w:r>
        <w:tab/>
      </w:r>
      <w:r>
        <w:rPr>
          <w:rStyle w:val="htmlcodes"/>
        </w:rPr>
        <w:t>&lt;a href=#y382&gt;</w:t>
      </w:r>
      <w:r>
        <w:t xml:space="preserve">operand_A_382   </w:t>
      </w:r>
      <w:r>
        <w:rPr>
          <w:rStyle w:val="htmlcodes"/>
        </w:rPr>
        <w:t>&lt;/a&gt;&lt;a href=#y421&gt;</w:t>
      </w:r>
      <w:r>
        <w:t xml:space="preserve">JOIK_EK_421   </w:t>
      </w:r>
      <w:r>
        <w:rPr>
          <w:rStyle w:val="htmlcodes"/>
        </w:rPr>
        <w:t>&lt;/a&gt;&lt;a href=#y383&gt;</w:t>
      </w:r>
      <w:r>
        <w:t xml:space="preserve">operand_B_383  </w:t>
      </w:r>
      <w:r>
        <w:rPr>
          <w:rStyle w:val="htmlcodes"/>
        </w:rPr>
        <w:t>&lt;/a&gt;</w:t>
      </w:r>
    </w:p>
    <w:p w:rsidR="00B72047" w:rsidRDefault="00B72047">
      <w:pPr>
        <w:pStyle w:val="YACC"/>
      </w:pPr>
      <w:r>
        <w:tab/>
        <w:t>;</w:t>
      </w:r>
    </w:p>
    <w:p w:rsidR="00B72047" w:rsidRDefault="00B72047">
      <w:pPr>
        <w:pStyle w:val="YACCtoken"/>
      </w:pPr>
      <w:r>
        <w:rPr>
          <w:rStyle w:val="htmlcodes"/>
        </w:rPr>
        <w:t>&lt;a name=y383&gt;</w:t>
      </w:r>
      <w:r>
        <w:t xml:space="preserve">operand_B_383  </w:t>
      </w:r>
      <w:r>
        <w:rPr>
          <w:rStyle w:val="htmlcodes"/>
        </w:rPr>
        <w:t>&lt;/a&gt;</w:t>
      </w:r>
      <w:r>
        <w:tab/>
        <w:t>:</w:t>
      </w:r>
      <w:r>
        <w:tab/>
      </w:r>
      <w:r>
        <w:rPr>
          <w:rStyle w:val="htmlcodes"/>
        </w:rPr>
        <w:t>&lt;a href=#y385&gt;</w:t>
      </w:r>
      <w:r>
        <w:t xml:space="preserve">operand_C_385  </w:t>
      </w:r>
      <w:r>
        <w:rPr>
          <w:rStyle w:val="htmlcodes"/>
        </w:rPr>
        <w:t>&lt;/a&gt;</w:t>
      </w:r>
    </w:p>
    <w:p w:rsidR="00B72047" w:rsidRDefault="00B72047">
      <w:pPr>
        <w:pStyle w:val="YACC"/>
      </w:pPr>
      <w:r>
        <w:tab/>
        <w:t>|</w:t>
      </w:r>
      <w:r>
        <w:tab/>
      </w:r>
      <w:r>
        <w:rPr>
          <w:rStyle w:val="htmlcodes"/>
        </w:rPr>
        <w:t>&lt;a href=#y385&gt;</w:t>
      </w:r>
      <w:r>
        <w:t xml:space="preserve">operand_C_385  </w:t>
      </w:r>
      <w:r>
        <w:rPr>
          <w:rStyle w:val="htmlcodes"/>
        </w:rPr>
        <w:t>&lt;/a&gt;&lt;a href=#y803&gt;</w:t>
      </w:r>
      <w:r>
        <w:t xml:space="preserve">EK_BO_803  </w:t>
      </w:r>
      <w:r>
        <w:rPr>
          <w:rStyle w:val="htmlcodes"/>
        </w:rPr>
        <w:t>&lt;/a&gt;&lt;a href=#y383&gt;</w:t>
      </w:r>
      <w:r>
        <w:t xml:space="preserve">operand_B_383  </w:t>
      </w:r>
      <w:r>
        <w:rPr>
          <w:rStyle w:val="htmlcodes"/>
        </w:rPr>
        <w:t>&lt;/a&gt;</w:t>
      </w:r>
    </w:p>
    <w:p w:rsidR="00B72047" w:rsidRDefault="00B72047">
      <w:pPr>
        <w:pStyle w:val="YACC"/>
      </w:pPr>
      <w:r>
        <w:tab/>
        <w:t>|</w:t>
      </w:r>
      <w:r>
        <w:tab/>
      </w:r>
      <w:r>
        <w:rPr>
          <w:rStyle w:val="htmlcodes"/>
        </w:rPr>
        <w:t>&lt;a href=#y385&gt;</w:t>
      </w:r>
      <w:r>
        <w:t xml:space="preserve">operand_C_385  </w:t>
      </w:r>
      <w:r>
        <w:rPr>
          <w:rStyle w:val="htmlcodes"/>
        </w:rPr>
        <w:t>&lt;/a&gt;&lt;a href=#y822&gt;</w:t>
      </w:r>
      <w:r>
        <w:t xml:space="preserve">JOIK_BO_822   </w:t>
      </w:r>
      <w:r>
        <w:rPr>
          <w:rStyle w:val="htmlcodes"/>
        </w:rPr>
        <w:t>&lt;/a&gt;&lt;a href=#y383&gt;</w:t>
      </w:r>
      <w:r>
        <w:t xml:space="preserve">operand_B_383  </w:t>
      </w:r>
      <w:r>
        <w:rPr>
          <w:rStyle w:val="htmlcodes"/>
        </w:rPr>
        <w:t>&lt;/a&gt;</w:t>
      </w:r>
    </w:p>
    <w:p w:rsidR="00B72047" w:rsidRDefault="00B72047">
      <w:pPr>
        <w:pStyle w:val="YACC"/>
      </w:pPr>
      <w:r>
        <w:tab/>
        <w:t>;</w:t>
      </w:r>
    </w:p>
    <w:p w:rsidR="00B72047" w:rsidRDefault="00B72047">
      <w:pPr>
        <w:pStyle w:val="YACCtoken"/>
        <w:spacing w:before="0"/>
      </w:pPr>
      <w:r>
        <w:rPr>
          <w:rStyle w:val="htmlcodes"/>
        </w:rPr>
        <w:t>&lt;a name=y385&gt;</w:t>
      </w:r>
      <w:r>
        <w:t xml:space="preserve">operand_C_385  </w:t>
      </w:r>
      <w:r>
        <w:rPr>
          <w:rStyle w:val="htmlcodes"/>
        </w:rPr>
        <w:t>&lt;/a&gt;</w:t>
      </w:r>
      <w:r>
        <w:tab/>
        <w:t>:</w:t>
      </w:r>
      <w:r>
        <w:tab/>
      </w:r>
      <w:r>
        <w:rPr>
          <w:rStyle w:val="htmlcodes"/>
        </w:rPr>
        <w:t>&lt;a href=#y300&gt;</w:t>
      </w:r>
      <w:r>
        <w:t xml:space="preserve">quantifier_300  </w:t>
      </w:r>
      <w:r>
        <w:rPr>
          <w:rStyle w:val="htmlcodes"/>
        </w:rPr>
        <w:t>&lt;/a&gt;</w:t>
      </w:r>
    </w:p>
    <w:p w:rsidR="00B72047" w:rsidRDefault="00B72047">
      <w:pPr>
        <w:pStyle w:val="YACC"/>
      </w:pPr>
      <w:r>
        <w:tab/>
        <w:t>|</w:t>
      </w:r>
      <w:r>
        <w:tab/>
      </w:r>
      <w:r>
        <w:rPr>
          <w:rStyle w:val="htmlcodes"/>
        </w:rPr>
        <w:t>&lt;a href=#y817&gt;</w:t>
      </w:r>
      <w:r>
        <w:t xml:space="preserve">lerfu_string_817  </w:t>
      </w:r>
      <w:r>
        <w:rPr>
          <w:rStyle w:val="htmlcodes"/>
        </w:rPr>
        <w:t>&lt;/a&gt;&lt;a href=#y461&gt;</w:t>
      </w:r>
      <w:r>
        <w:t xml:space="preserve">BOI_gap_461   </w:t>
      </w:r>
      <w:r>
        <w:rPr>
          <w:rStyle w:val="htmlcodes"/>
        </w:rPr>
        <w:t>&lt;/a&gt;</w:t>
      </w:r>
    </w:p>
    <w:p w:rsidR="00B72047" w:rsidRDefault="00B72047">
      <w:pPr>
        <w:pStyle w:val="YACCInline"/>
      </w:pPr>
      <w:r>
        <w:tab/>
      </w:r>
      <w:r>
        <w:tab/>
        <w:t xml:space="preserve">/* lerfu string as operand </w:t>
      </w:r>
      <w:r>
        <w:noBreakHyphen/>
        <w:t xml:space="preserve"> classic math variable */</w:t>
      </w:r>
    </w:p>
    <w:p w:rsidR="00B72047" w:rsidRDefault="00B72047">
      <w:pPr>
        <w:pStyle w:val="YACC"/>
      </w:pPr>
      <w:r>
        <w:tab/>
        <w:t>|</w:t>
      </w:r>
      <w:r>
        <w:tab/>
      </w:r>
      <w:r>
        <w:rPr>
          <w:rStyle w:val="htmlcodes"/>
        </w:rPr>
        <w:t>&lt;a href=#y428&gt;</w:t>
      </w:r>
      <w:r>
        <w:t xml:space="preserve">NIhE_428  </w:t>
      </w:r>
      <w:r>
        <w:rPr>
          <w:rStyle w:val="htmlcodes"/>
        </w:rPr>
        <w:t>&lt;/a&gt;&lt;a href=#y130&gt;</w:t>
      </w:r>
      <w:r>
        <w:t xml:space="preserve">selbri_130   </w:t>
      </w:r>
      <w:r>
        <w:rPr>
          <w:rStyle w:val="htmlcodes"/>
        </w:rPr>
        <w:t>&lt;/a&gt;&lt;a href=#y473&gt;</w:t>
      </w:r>
      <w:r>
        <w:t xml:space="preserve">TEhU_gap_473  </w:t>
      </w:r>
      <w:r>
        <w:rPr>
          <w:rStyle w:val="htmlcodes"/>
        </w:rPr>
        <w:t>&lt;/a&gt;</w:t>
      </w:r>
    </w:p>
    <w:p w:rsidR="00B72047" w:rsidRDefault="00B72047">
      <w:pPr>
        <w:pStyle w:val="YACCInline"/>
      </w:pPr>
      <w:r>
        <w:tab/>
      </w:r>
      <w:r>
        <w:tab/>
        <w:t xml:space="preserve">/* quantifies a bridi </w:t>
      </w:r>
      <w:r>
        <w:noBreakHyphen/>
        <w:t xml:space="preserve"> inverse of </w:t>
      </w:r>
      <w:r>
        <w:noBreakHyphen/>
        <w:t>MOI */</w:t>
      </w:r>
    </w:p>
    <w:p w:rsidR="00B72047" w:rsidRDefault="00B72047">
      <w:pPr>
        <w:pStyle w:val="YACC"/>
      </w:pPr>
      <w:r>
        <w:tab/>
        <w:t>|</w:t>
      </w:r>
      <w:r>
        <w:tab/>
      </w:r>
      <w:r>
        <w:rPr>
          <w:rStyle w:val="htmlcodes"/>
        </w:rPr>
        <w:t>&lt;a href=#y427&gt;</w:t>
      </w:r>
      <w:r>
        <w:t xml:space="preserve">MOhE_427  </w:t>
      </w:r>
      <w:r>
        <w:rPr>
          <w:rStyle w:val="htmlcodes"/>
        </w:rPr>
        <w:t>&lt;/a&gt;&lt;a href=#y90&gt;</w:t>
      </w:r>
      <w:r>
        <w:t xml:space="preserve">sumti_90   </w:t>
      </w:r>
      <w:r>
        <w:rPr>
          <w:rStyle w:val="htmlcodes"/>
        </w:rPr>
        <w:t>&lt;/a&gt;&lt;a href=#y473&gt;</w:t>
      </w:r>
      <w:r>
        <w:t xml:space="preserve">TEhU_gap_473  </w:t>
      </w:r>
      <w:r>
        <w:rPr>
          <w:rStyle w:val="htmlcodes"/>
        </w:rPr>
        <w:t>&lt;/a&gt;</w:t>
      </w:r>
    </w:p>
    <w:p w:rsidR="00B72047" w:rsidRDefault="00B72047">
      <w:pPr>
        <w:pStyle w:val="YACCInline"/>
      </w:pPr>
      <w:r>
        <w:tab/>
      </w:r>
      <w:r>
        <w:tab/>
        <w:t xml:space="preserve">/* quantifies a sumti </w:t>
      </w:r>
      <w:r>
        <w:noBreakHyphen/>
        <w:t xml:space="preserve"> inverse of LI */</w:t>
      </w:r>
    </w:p>
    <w:p w:rsidR="00B72047" w:rsidRDefault="00B72047">
      <w:pPr>
        <w:pStyle w:val="YACC"/>
      </w:pPr>
      <w:r>
        <w:tab/>
        <w:t>|</w:t>
      </w:r>
      <w:r>
        <w:tab/>
      </w:r>
      <w:r>
        <w:rPr>
          <w:rStyle w:val="htmlcodes"/>
        </w:rPr>
        <w:t>&lt;a href=#y431&gt;</w:t>
      </w:r>
      <w:r>
        <w:t xml:space="preserve">JOhI_431   </w:t>
      </w:r>
      <w:r>
        <w:rPr>
          <w:rStyle w:val="htmlcodes"/>
        </w:rPr>
        <w:t>&lt;/a&gt;&lt;a href=#y313&gt;</w:t>
      </w:r>
      <w:r>
        <w:t xml:space="preserve">MEX_C_313  </w:t>
      </w:r>
      <w:r>
        <w:rPr>
          <w:rStyle w:val="htmlcodes"/>
        </w:rPr>
        <w:t>&lt;/a&gt;&lt;a href=#y473&gt;</w:t>
      </w:r>
      <w:r>
        <w:t xml:space="preserve">TEhU_gap_473  </w:t>
      </w:r>
      <w:r>
        <w:rPr>
          <w:rStyle w:val="htmlcodes"/>
        </w:rPr>
        <w:t>&lt;/a&gt;</w:t>
      </w:r>
    </w:p>
    <w:p w:rsidR="00B72047" w:rsidRDefault="00B72047">
      <w:pPr>
        <w:pStyle w:val="YACC"/>
      </w:pPr>
      <w:r>
        <w:tab/>
        <w:t>|</w:t>
      </w:r>
      <w:r>
        <w:tab/>
      </w:r>
      <w:r>
        <w:rPr>
          <w:rStyle w:val="htmlcodes"/>
        </w:rPr>
        <w:t>&lt;a href=#y807&gt;</w:t>
      </w:r>
      <w:r>
        <w:t xml:space="preserve">GEK_807  </w:t>
      </w:r>
      <w:r>
        <w:rPr>
          <w:rStyle w:val="htmlcodes"/>
        </w:rPr>
        <w:t>&lt;/a&gt;&lt;a href=#y381&gt;</w:t>
      </w:r>
      <w:r>
        <w:t xml:space="preserve">operand_381   </w:t>
      </w:r>
      <w:r>
        <w:rPr>
          <w:rStyle w:val="htmlcodes"/>
        </w:rPr>
        <w:t>&lt;/a&gt;&lt;a href=#y816&gt;</w:t>
      </w:r>
      <w:r>
        <w:t xml:space="preserve">GIK_816  </w:t>
      </w:r>
      <w:r>
        <w:rPr>
          <w:rStyle w:val="htmlcodes"/>
        </w:rPr>
        <w:t>&lt;/a&gt;&lt;a href=#y385&gt;</w:t>
      </w:r>
      <w:r>
        <w:t xml:space="preserve">operand_C_385  </w:t>
      </w:r>
      <w:r>
        <w:rPr>
          <w:rStyle w:val="htmlcodes"/>
        </w:rPr>
        <w:t>&lt;/a&gt;</w:t>
      </w:r>
    </w:p>
    <w:p w:rsidR="00B72047" w:rsidRDefault="00B72047">
      <w:pPr>
        <w:pStyle w:val="YACC"/>
      </w:pPr>
      <w:r>
        <w:tab/>
        <w:t>|</w:t>
      </w:r>
      <w:r>
        <w:tab/>
      </w:r>
      <w:r>
        <w:rPr>
          <w:rStyle w:val="htmlcodes"/>
        </w:rPr>
        <w:t>&lt;a href=#y483&gt;</w:t>
      </w:r>
      <w:r>
        <w:t xml:space="preserve">qualifier_483  </w:t>
      </w:r>
      <w:r>
        <w:rPr>
          <w:rStyle w:val="htmlcodes"/>
        </w:rPr>
        <w:t>&lt;/a&gt;&lt;a href=#y381&gt;</w:t>
      </w:r>
      <w:r>
        <w:t xml:space="preserve">operand_381   </w:t>
      </w:r>
      <w:r>
        <w:rPr>
          <w:rStyle w:val="htmlcodes"/>
        </w:rPr>
        <w:t>&lt;/a&gt;&lt;a href=#y463&gt;</w:t>
      </w:r>
      <w:r>
        <w:t xml:space="preserve">LUhU_gap_463  </w:t>
      </w:r>
      <w:r>
        <w:rPr>
          <w:rStyle w:val="htmlcodes"/>
        </w:rPr>
        <w:t>&lt;/a&gt;</w:t>
      </w:r>
    </w:p>
    <w:p w:rsidR="00B72047" w:rsidRDefault="00B72047">
      <w:pPr>
        <w:pStyle w:val="YACC"/>
      </w:pPr>
      <w:r>
        <w:tab/>
        <w:t>;</w:t>
      </w:r>
    </w:p>
    <w:p w:rsidR="00B72047" w:rsidRDefault="00B72047">
      <w:pPr>
        <w:pStyle w:val="YACCcomment"/>
        <w:spacing w:before="0"/>
      </w:pPr>
      <w:r>
        <w:rPr>
          <w:rStyle w:val="deletedparamark"/>
          <w:sz w:val="16"/>
          <w:szCs w:val="16"/>
        </w:rPr>
        <w:br w:type="page"/>
        <w:t>/*</w:t>
      </w:r>
      <w:r>
        <w:t xml:space="preserve"> _400 series constructs are mostly specific strings, some of which may also be used by the lexer; the lexer should not use any reference to terminals nu</w:t>
      </w:r>
      <w:r>
        <w:t>m</w:t>
      </w:r>
      <w:r>
        <w:softHyphen/>
        <w:t>bered less than _400, as they have grammars composed on non</w:t>
      </w:r>
      <w:r>
        <w:noBreakHyphen/>
        <w:t xml:space="preserve">deterministic strings of selma'o. Some above _400 also are this way, so care should be taken; this is especially true for those that reference </w:t>
      </w:r>
      <w:r>
        <w:rPr>
          <w:rStyle w:val="htmlcodes"/>
        </w:rPr>
        <w:t>&lt;a href=#y32&gt;</w:t>
      </w:r>
      <w:r>
        <w:t>free_modifier_32</w:t>
      </w:r>
      <w:r>
        <w:rPr>
          <w:rStyle w:val="htmlcodes"/>
        </w:rPr>
        <w:t>&lt;/a&gt;</w:t>
      </w:r>
      <w:r>
        <w:t>. */</w:t>
      </w:r>
    </w:p>
    <w:p w:rsidR="00B72047" w:rsidRDefault="00B72047">
      <w:pPr>
        <w:pStyle w:val="YACCtoken"/>
      </w:pPr>
      <w:r>
        <w:rPr>
          <w:rStyle w:val="htmlcodes"/>
        </w:rPr>
        <w:t>&lt;a name=y400&gt;</w:t>
      </w:r>
      <w:r>
        <w:t xml:space="preserve">anaphora_400  </w:t>
      </w:r>
      <w:r>
        <w:rPr>
          <w:rStyle w:val="htmlcodes"/>
        </w:rPr>
        <w:t>&lt;/a&gt;</w:t>
      </w:r>
      <w:r>
        <w:tab/>
        <w:t>:</w:t>
      </w:r>
      <w:r>
        <w:tab/>
      </w:r>
      <w:r>
        <w:rPr>
          <w:rStyle w:val="htmlcodes"/>
        </w:rPr>
        <w:t>&lt;a href=#y555&gt;</w:t>
      </w:r>
      <w:r>
        <w:t xml:space="preserve">KOhA_555  </w:t>
      </w:r>
      <w:r>
        <w:rPr>
          <w:rStyle w:val="htmlcodes"/>
        </w:rPr>
        <w:t>&lt;/a&gt;</w:t>
      </w:r>
    </w:p>
    <w:p w:rsidR="00B72047" w:rsidRDefault="00B72047">
      <w:pPr>
        <w:pStyle w:val="YACC"/>
      </w:pPr>
      <w:r>
        <w:tab/>
        <w:t>|</w:t>
      </w:r>
      <w:r>
        <w:tab/>
      </w:r>
      <w:r>
        <w:rPr>
          <w:rStyle w:val="htmlcodes"/>
        </w:rPr>
        <w:t>&lt;a href=#y555&gt;</w:t>
      </w:r>
      <w:r>
        <w:t xml:space="preserve">KOhA_555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href=#y817&gt;</w:t>
      </w:r>
      <w:r>
        <w:t xml:space="preserve">lerfu_string_817  </w:t>
      </w:r>
      <w:r>
        <w:rPr>
          <w:rStyle w:val="htmlcodes"/>
        </w:rPr>
        <w:t>&lt;/a&gt;&lt;a href=#y461&gt;</w:t>
      </w:r>
      <w:r>
        <w:t xml:space="preserve">BOI_gap_461   </w:t>
      </w:r>
      <w:r>
        <w:rPr>
          <w:rStyle w:val="htmlcodes"/>
        </w:rPr>
        <w:t>&lt;/a&gt;</w:t>
      </w:r>
    </w:p>
    <w:p w:rsidR="00B72047" w:rsidRDefault="00B72047">
      <w:pPr>
        <w:pStyle w:val="YACC"/>
      </w:pPr>
      <w:r>
        <w:tab/>
        <w:t>;</w:t>
      </w:r>
    </w:p>
    <w:p w:rsidR="00B72047" w:rsidRDefault="00B72047">
      <w:pPr>
        <w:pStyle w:val="YACCtoken"/>
      </w:pPr>
      <w:r>
        <w:rPr>
          <w:rStyle w:val="htmlcodes"/>
        </w:rPr>
        <w:t>&lt;a name=y404&gt;</w:t>
      </w:r>
      <w:r>
        <w:t xml:space="preserve">cmene_404  </w:t>
      </w:r>
      <w:r>
        <w:rPr>
          <w:rStyle w:val="htmlcodes"/>
        </w:rPr>
        <w:t>&lt;/a&gt;</w:t>
      </w:r>
      <w:r>
        <w:tab/>
        <w:t>:</w:t>
      </w:r>
      <w:r>
        <w:tab/>
      </w:r>
      <w:r>
        <w:rPr>
          <w:rStyle w:val="htmlcodes"/>
        </w:rPr>
        <w:t>&lt;a href=#y405&gt;</w:t>
      </w:r>
      <w:r>
        <w:t xml:space="preserve">cmene_A_405  </w:t>
      </w:r>
      <w:r>
        <w:rPr>
          <w:rStyle w:val="htmlcodes"/>
        </w:rPr>
        <w:t>&lt;/a&gt;</w:t>
      </w:r>
    </w:p>
    <w:p w:rsidR="00B72047" w:rsidRDefault="00B72047">
      <w:pPr>
        <w:pStyle w:val="YACC"/>
      </w:pPr>
      <w:r>
        <w:tab/>
        <w:t>|</w:t>
      </w:r>
      <w:r>
        <w:tab/>
      </w:r>
      <w:r>
        <w:rPr>
          <w:rStyle w:val="htmlcodes"/>
        </w:rPr>
        <w:t>&lt;a href=#y405&gt;</w:t>
      </w:r>
      <w:r>
        <w:t xml:space="preserve">cmene_A_405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name=y405&gt;</w:t>
      </w:r>
      <w:r>
        <w:t xml:space="preserve">cmene_A_405  </w:t>
      </w:r>
      <w:r>
        <w:rPr>
          <w:rStyle w:val="htmlcodes"/>
        </w:rPr>
        <w:t>&lt;/a&gt;</w:t>
      </w:r>
      <w:r>
        <w:tab/>
        <w:t>:</w:t>
      </w:r>
      <w:r>
        <w:tab/>
      </w:r>
      <w:r>
        <w:rPr>
          <w:rStyle w:val="htmlcodes"/>
        </w:rPr>
        <w:t>&lt;a href=#y518&gt;</w:t>
      </w:r>
      <w:r>
        <w:t xml:space="preserve">CMENE_518  </w:t>
      </w:r>
      <w:r>
        <w:rPr>
          <w:rStyle w:val="htmlcodes"/>
        </w:rPr>
        <w:t>&lt;/a&gt;</w:t>
      </w:r>
      <w:r>
        <w:t>/* pause */</w:t>
      </w:r>
    </w:p>
    <w:p w:rsidR="00B72047" w:rsidRDefault="00B72047">
      <w:pPr>
        <w:pStyle w:val="YACC"/>
        <w:rPr>
          <w:rStyle w:val="deletedparamark"/>
          <w:sz w:val="16"/>
          <w:szCs w:val="16"/>
        </w:rPr>
      </w:pPr>
      <w:r>
        <w:tab/>
        <w:t>|</w:t>
      </w:r>
      <w:r>
        <w:tab/>
      </w:r>
      <w:r>
        <w:rPr>
          <w:rStyle w:val="htmlcodes"/>
        </w:rPr>
        <w:t>&lt;a href=#y405&gt;</w:t>
      </w:r>
      <w:r>
        <w:t xml:space="preserve">cmene_A_405  </w:t>
      </w:r>
      <w:r>
        <w:rPr>
          <w:rStyle w:val="htmlcodes"/>
        </w:rPr>
        <w:t>&lt;/a&gt;&lt;a href=#y518&gt;</w:t>
      </w:r>
      <w:r>
        <w:t xml:space="preserve">CMENE_518  </w:t>
      </w:r>
      <w:r>
        <w:rPr>
          <w:rStyle w:val="htmlcodes"/>
        </w:rPr>
        <w:t>&lt;/a&gt;</w:t>
      </w:r>
      <w:r>
        <w:t>/* pause*/</w:t>
      </w:r>
      <w:r>
        <w:rPr>
          <w:rStyle w:val="deletedparamark"/>
          <w:sz w:val="16"/>
          <w:szCs w:val="16"/>
        </w:rPr>
        <w:tab/>
      </w:r>
    </w:p>
    <w:p w:rsidR="00B72047" w:rsidRDefault="00B72047">
      <w:pPr>
        <w:pStyle w:val="YACCcomment"/>
      </w:pPr>
      <w:r>
        <w:rPr>
          <w:rStyle w:val="deletedparamark"/>
          <w:sz w:val="16"/>
          <w:szCs w:val="16"/>
        </w:rPr>
        <w:t>/*</w:t>
      </w:r>
      <w:r>
        <w:t xml:space="preserve"> multiple CMENE are identified morphologically (by the lexer) – separated by consonant &amp; pause */</w:t>
      </w:r>
    </w:p>
    <w:p w:rsidR="00B72047" w:rsidRDefault="00B72047">
      <w:pPr>
        <w:pStyle w:val="YACC"/>
      </w:pPr>
      <w:r>
        <w:tab/>
        <w:t>;</w:t>
      </w:r>
    </w:p>
    <w:p w:rsidR="00B72047" w:rsidRDefault="00B72047">
      <w:pPr>
        <w:pStyle w:val="YACCtoken"/>
      </w:pPr>
      <w:r>
        <w:rPr>
          <w:rStyle w:val="htmlcodes"/>
        </w:rPr>
        <w:t>&lt;a name=y407&gt;</w:t>
      </w:r>
      <w:r>
        <w:t xml:space="preserve">bridi_valsi_407  </w:t>
      </w:r>
      <w:r>
        <w:rPr>
          <w:rStyle w:val="htmlcodes"/>
        </w:rPr>
        <w:t>&lt;/a&gt;</w:t>
      </w:r>
      <w:r>
        <w:tab/>
        <w:t>:</w:t>
      </w:r>
      <w:r>
        <w:tab/>
      </w:r>
      <w:r>
        <w:rPr>
          <w:rStyle w:val="htmlcodes"/>
        </w:rPr>
        <w:t>&lt;a href=#y408&gt;</w:t>
      </w:r>
      <w:r>
        <w:t xml:space="preserve">bridi_valsi_A_408  </w:t>
      </w:r>
      <w:r>
        <w:rPr>
          <w:rStyle w:val="htmlcodes"/>
        </w:rPr>
        <w:t>&lt;/a&gt;</w:t>
      </w:r>
    </w:p>
    <w:p w:rsidR="00B72047" w:rsidRDefault="00B72047">
      <w:pPr>
        <w:pStyle w:val="YACC"/>
      </w:pPr>
      <w:r>
        <w:tab/>
        <w:t>|</w:t>
      </w:r>
      <w:r>
        <w:tab/>
      </w:r>
      <w:r>
        <w:rPr>
          <w:rStyle w:val="htmlcodes"/>
        </w:rPr>
        <w:t>&lt;a href=#y408&gt;</w:t>
      </w:r>
      <w:r>
        <w:t xml:space="preserve">bridi_valsi_A_408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name=y408&gt;</w:t>
      </w:r>
      <w:r>
        <w:t>bridi_valsi_A_408</w:t>
      </w:r>
      <w:r>
        <w:tab/>
      </w:r>
      <w:r>
        <w:rPr>
          <w:rStyle w:val="htmlcodes"/>
        </w:rPr>
        <w:t>&lt;/a&gt;</w:t>
      </w:r>
      <w:r>
        <w:t>:</w:t>
      </w:r>
      <w:r>
        <w:tab/>
      </w:r>
      <w:r>
        <w:rPr>
          <w:rStyle w:val="htmlcodes"/>
        </w:rPr>
        <w:t>&lt;a href=#y509&gt;</w:t>
      </w:r>
      <w:r>
        <w:t xml:space="preserve">BRIVLA_509  </w:t>
      </w:r>
      <w:r>
        <w:rPr>
          <w:rStyle w:val="htmlcodes"/>
        </w:rPr>
        <w:t>&lt;/a&gt;</w:t>
      </w:r>
    </w:p>
    <w:p w:rsidR="00B72047" w:rsidRDefault="00B72047">
      <w:pPr>
        <w:pStyle w:val="YACC"/>
      </w:pPr>
      <w:r>
        <w:tab/>
        <w:t>|</w:t>
      </w:r>
      <w:r>
        <w:tab/>
      </w:r>
      <w:r>
        <w:rPr>
          <w:rStyle w:val="htmlcodes"/>
        </w:rPr>
        <w:t>&lt;a href=#y824&gt;</w:t>
      </w:r>
      <w:r>
        <w:t xml:space="preserve">PA_MOI_824  </w:t>
      </w:r>
      <w:r>
        <w:rPr>
          <w:rStyle w:val="htmlcodes"/>
        </w:rPr>
        <w:t>&lt;/a&gt;</w:t>
      </w:r>
    </w:p>
    <w:p w:rsidR="00B72047" w:rsidRDefault="00B72047">
      <w:pPr>
        <w:pStyle w:val="YACC"/>
      </w:pPr>
      <w:r>
        <w:tab/>
        <w:t>|</w:t>
      </w:r>
      <w:r>
        <w:tab/>
      </w:r>
      <w:r>
        <w:rPr>
          <w:rStyle w:val="htmlcodes"/>
        </w:rPr>
        <w:t>&lt;a href=#y543&gt;</w:t>
      </w:r>
      <w:r>
        <w:t xml:space="preserve">GOhA_543  </w:t>
      </w:r>
      <w:r>
        <w:rPr>
          <w:rStyle w:val="htmlcodes"/>
        </w:rPr>
        <w:t>&lt;/a&gt;</w:t>
      </w:r>
    </w:p>
    <w:p w:rsidR="00B72047" w:rsidRDefault="00B72047">
      <w:pPr>
        <w:pStyle w:val="YACC"/>
      </w:pPr>
      <w:r>
        <w:tab/>
        <w:t>|</w:t>
      </w:r>
      <w:r>
        <w:tab/>
      </w:r>
      <w:r>
        <w:rPr>
          <w:rStyle w:val="htmlcodes"/>
        </w:rPr>
        <w:t>&lt;a href=#y543&gt;</w:t>
      </w:r>
      <w:r>
        <w:t xml:space="preserve">GOhA_543  </w:t>
      </w:r>
      <w:r>
        <w:rPr>
          <w:rStyle w:val="htmlcodes"/>
        </w:rPr>
        <w:t>&lt;/a&gt;&lt;a href=#y593&gt;</w:t>
      </w:r>
      <w:r>
        <w:t xml:space="preserve">RAhO_593  </w:t>
      </w:r>
      <w:r>
        <w:rPr>
          <w:rStyle w:val="htmlcodes"/>
        </w:rPr>
        <w:t>&lt;/a&gt;</w:t>
      </w:r>
    </w:p>
    <w:p w:rsidR="00B72047" w:rsidRDefault="00B72047">
      <w:pPr>
        <w:pStyle w:val="YACC"/>
      </w:pPr>
      <w:r>
        <w:tab/>
        <w:t>;</w:t>
      </w:r>
    </w:p>
    <w:p w:rsidR="00B72047" w:rsidRDefault="00B72047">
      <w:pPr>
        <w:pStyle w:val="YACCtoken"/>
      </w:pPr>
      <w:r>
        <w:rPr>
          <w:rStyle w:val="htmlcodes"/>
        </w:rPr>
        <w:t>&lt;a name=y410&gt;</w:t>
      </w:r>
      <w:r>
        <w:t xml:space="preserve">para_mark_410  </w:t>
      </w:r>
      <w:r>
        <w:rPr>
          <w:rStyle w:val="htmlcodes"/>
        </w:rPr>
        <w:t>&lt;/a&gt;</w:t>
      </w:r>
      <w:r>
        <w:tab/>
        <w:t>:</w:t>
      </w:r>
      <w:r>
        <w:tab/>
      </w:r>
      <w:r>
        <w:rPr>
          <w:rStyle w:val="htmlcodes"/>
        </w:rPr>
        <w:t>&lt;a href=#y584&gt;</w:t>
      </w:r>
      <w:r>
        <w:t xml:space="preserve">NIhO_584  </w:t>
      </w:r>
      <w:r>
        <w:rPr>
          <w:rStyle w:val="htmlcodes"/>
        </w:rPr>
        <w:t>&lt;/a&gt;</w:t>
      </w:r>
    </w:p>
    <w:p w:rsidR="00B72047" w:rsidRDefault="00B72047">
      <w:pPr>
        <w:pStyle w:val="YACC"/>
      </w:pPr>
      <w:r>
        <w:tab/>
        <w:t>|</w:t>
      </w:r>
      <w:r>
        <w:tab/>
      </w:r>
      <w:r>
        <w:rPr>
          <w:rStyle w:val="htmlcodes"/>
        </w:rPr>
        <w:t>&lt;a href=#y584&gt;</w:t>
      </w:r>
      <w:r>
        <w:t xml:space="preserve">NIhO_584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href=#y584&gt;</w:t>
      </w:r>
      <w:r>
        <w:t xml:space="preserve">NIhO_584  </w:t>
      </w:r>
      <w:r>
        <w:rPr>
          <w:rStyle w:val="htmlcodes"/>
        </w:rPr>
        <w:t>&lt;/a&gt;&lt;a href=#y410&gt;</w:t>
      </w:r>
      <w:r>
        <w:t xml:space="preserve">para_mark_410   </w:t>
      </w:r>
      <w:r>
        <w:rPr>
          <w:rStyle w:val="htmlcodes"/>
        </w:rPr>
        <w:t>&lt;/a&gt;</w:t>
      </w:r>
    </w:p>
    <w:p w:rsidR="00B72047" w:rsidRDefault="00B72047">
      <w:pPr>
        <w:pStyle w:val="YACC"/>
      </w:pPr>
      <w:r>
        <w:tab/>
        <w:t>;</w:t>
      </w:r>
    </w:p>
    <w:p w:rsidR="00B72047" w:rsidRDefault="00B72047">
      <w:pPr>
        <w:pStyle w:val="YACCtoken"/>
      </w:pPr>
      <w:r>
        <w:rPr>
          <w:rStyle w:val="htmlcodes"/>
        </w:rPr>
        <w:t>&lt;a name=y411&gt;</w:t>
      </w:r>
      <w:r>
        <w:t xml:space="preserve">indicators_411  </w:t>
      </w:r>
      <w:r>
        <w:rPr>
          <w:rStyle w:val="htmlcodes"/>
        </w:rPr>
        <w:t>&lt;/a&gt;</w:t>
      </w:r>
      <w:r>
        <w:tab/>
        <w:t>:</w:t>
      </w:r>
      <w:r>
        <w:tab/>
      </w:r>
      <w:r>
        <w:rPr>
          <w:rStyle w:val="htmlcodes"/>
        </w:rPr>
        <w:t>&lt;a href=#y412&gt;</w:t>
      </w:r>
      <w:r>
        <w:t xml:space="preserve">indicators_A_412  </w:t>
      </w:r>
      <w:r>
        <w:rPr>
          <w:rStyle w:val="htmlcodes"/>
        </w:rPr>
        <w:t>&lt;/a&gt;</w:t>
      </w:r>
    </w:p>
    <w:p w:rsidR="00B72047" w:rsidRDefault="00B72047">
      <w:pPr>
        <w:pStyle w:val="YACC"/>
      </w:pPr>
      <w:r>
        <w:tab/>
        <w:t>|</w:t>
      </w:r>
      <w:r>
        <w:tab/>
      </w:r>
      <w:r>
        <w:rPr>
          <w:rStyle w:val="htmlcodes"/>
        </w:rPr>
        <w:t>&lt;a href=#y535&gt;</w:t>
      </w:r>
      <w:r>
        <w:t xml:space="preserve">FUhE_535  </w:t>
      </w:r>
      <w:r>
        <w:rPr>
          <w:rStyle w:val="htmlcodes"/>
        </w:rPr>
        <w:t>&lt;/a&gt;&lt;a href=#y412&gt;</w:t>
      </w:r>
      <w:r>
        <w:t xml:space="preserve">indicators_A_412   </w:t>
      </w:r>
      <w:r>
        <w:rPr>
          <w:rStyle w:val="htmlcodes"/>
        </w:rPr>
        <w:t>&lt;/a&gt;</w:t>
      </w:r>
    </w:p>
    <w:p w:rsidR="00B72047" w:rsidRDefault="00B72047">
      <w:pPr>
        <w:pStyle w:val="YACC"/>
      </w:pPr>
      <w:r>
        <w:tab/>
        <w:t>;</w:t>
      </w:r>
    </w:p>
    <w:p w:rsidR="00B72047" w:rsidRDefault="00B72047">
      <w:pPr>
        <w:pStyle w:val="YACCtoken"/>
      </w:pPr>
      <w:r>
        <w:rPr>
          <w:rStyle w:val="htmlcodes"/>
        </w:rPr>
        <w:t>&lt;a name=y412&gt;</w:t>
      </w:r>
      <w:r>
        <w:t xml:space="preserve">indicators_A_412  </w:t>
      </w:r>
      <w:r>
        <w:rPr>
          <w:rStyle w:val="htmlcodes"/>
        </w:rPr>
        <w:t>&lt;/a&gt;</w:t>
      </w:r>
      <w:r>
        <w:tab/>
        <w:t>:</w:t>
      </w:r>
      <w:r>
        <w:tab/>
      </w:r>
      <w:r>
        <w:rPr>
          <w:rStyle w:val="htmlcodes"/>
        </w:rPr>
        <w:t>&lt;a href=#y413&gt;</w:t>
      </w:r>
      <w:r>
        <w:t xml:space="preserve">indicator_413  </w:t>
      </w:r>
      <w:r>
        <w:rPr>
          <w:rStyle w:val="htmlcodes"/>
        </w:rPr>
        <w:t>&lt;/a&gt;</w:t>
      </w:r>
    </w:p>
    <w:p w:rsidR="00B72047" w:rsidRDefault="00B72047">
      <w:pPr>
        <w:pStyle w:val="YACC"/>
      </w:pPr>
      <w:r>
        <w:tab/>
        <w:t>|</w:t>
      </w:r>
      <w:r>
        <w:tab/>
      </w:r>
      <w:r>
        <w:rPr>
          <w:rStyle w:val="htmlcodes"/>
        </w:rPr>
        <w:t>&lt;a href=#y412&gt;</w:t>
      </w:r>
      <w:r>
        <w:t xml:space="preserve">indicators_A_412   </w:t>
      </w:r>
      <w:r>
        <w:rPr>
          <w:rStyle w:val="htmlcodes"/>
        </w:rPr>
        <w:t>&lt;/a&gt;&lt;a href=#y413&gt;</w:t>
      </w:r>
      <w:r>
        <w:t xml:space="preserve">indicator_413  </w:t>
      </w:r>
      <w:r>
        <w:rPr>
          <w:rStyle w:val="htmlcodes"/>
        </w:rPr>
        <w:t>&lt;/a&gt;</w:t>
      </w:r>
    </w:p>
    <w:p w:rsidR="00B72047" w:rsidRDefault="00B72047">
      <w:pPr>
        <w:pStyle w:val="YACC"/>
      </w:pPr>
      <w:r>
        <w:tab/>
        <w:t>;</w:t>
      </w:r>
    </w:p>
    <w:p w:rsidR="00B72047" w:rsidRDefault="00B72047">
      <w:pPr>
        <w:pStyle w:val="YACCtoken"/>
      </w:pPr>
      <w:r>
        <w:rPr>
          <w:rStyle w:val="htmlcodes"/>
        </w:rPr>
        <w:t>&lt;a name=y413&gt;</w:t>
      </w:r>
      <w:r>
        <w:t xml:space="preserve">indicator_413  </w:t>
      </w:r>
      <w:r>
        <w:rPr>
          <w:rStyle w:val="htmlcodes"/>
        </w:rPr>
        <w:t>&lt;/a&gt;</w:t>
      </w:r>
      <w:r>
        <w:tab/>
        <w:t>:</w:t>
      </w:r>
      <w:r>
        <w:tab/>
      </w:r>
      <w:r>
        <w:rPr>
          <w:rStyle w:val="htmlcodes"/>
        </w:rPr>
        <w:t>&lt;a href=#y612&gt;</w:t>
      </w:r>
      <w:r>
        <w:t xml:space="preserve">UI_612  </w:t>
      </w:r>
      <w:r>
        <w:rPr>
          <w:rStyle w:val="htmlcodes"/>
        </w:rPr>
        <w:t>&lt;/a&gt;</w:t>
      </w:r>
    </w:p>
    <w:p w:rsidR="00B72047" w:rsidRDefault="00B72047">
      <w:pPr>
        <w:pStyle w:val="YACC"/>
      </w:pPr>
      <w:r>
        <w:tab/>
        <w:t>|</w:t>
      </w:r>
      <w:r>
        <w:tab/>
      </w:r>
      <w:r>
        <w:rPr>
          <w:rStyle w:val="htmlcodes"/>
        </w:rPr>
        <w:t>&lt;a href=#y515&gt;</w:t>
      </w:r>
      <w:r>
        <w:t xml:space="preserve">CAI_515  </w:t>
      </w:r>
      <w:r>
        <w:rPr>
          <w:rStyle w:val="htmlcodes"/>
        </w:rPr>
        <w:t>&lt;/a&gt;</w:t>
      </w:r>
    </w:p>
    <w:p w:rsidR="00B72047" w:rsidRDefault="00B72047">
      <w:pPr>
        <w:pStyle w:val="YACC"/>
      </w:pPr>
      <w:r>
        <w:tab/>
        <w:t>|</w:t>
      </w:r>
      <w:r>
        <w:tab/>
      </w:r>
      <w:r>
        <w:rPr>
          <w:rStyle w:val="htmlcodes"/>
        </w:rPr>
        <w:t>&lt;a href=#y612&gt;</w:t>
      </w:r>
      <w:r>
        <w:t xml:space="preserve">UI_612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href=#y515&gt;</w:t>
      </w:r>
      <w:r>
        <w:t xml:space="preserve">CAI_515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href=#y619&gt;</w:t>
      </w:r>
      <w:r>
        <w:t xml:space="preserve">Y_619  </w:t>
      </w:r>
      <w:r>
        <w:rPr>
          <w:rStyle w:val="htmlcodes"/>
        </w:rPr>
        <w:t>&lt;/a&gt;</w:t>
      </w:r>
    </w:p>
    <w:p w:rsidR="00B72047" w:rsidRDefault="00B72047">
      <w:pPr>
        <w:pStyle w:val="YACC"/>
      </w:pPr>
      <w:r>
        <w:tab/>
        <w:t>|</w:t>
      </w:r>
      <w:r>
        <w:tab/>
      </w:r>
      <w:r>
        <w:rPr>
          <w:rStyle w:val="htmlcodes"/>
        </w:rPr>
        <w:t>&lt;a href=#y524&gt;</w:t>
      </w:r>
      <w:r>
        <w:t xml:space="preserve">DAhO_524  </w:t>
      </w:r>
      <w:r>
        <w:rPr>
          <w:rStyle w:val="htmlcodes"/>
        </w:rPr>
        <w:t>&lt;/a&gt;</w:t>
      </w:r>
    </w:p>
    <w:p w:rsidR="00B72047" w:rsidRDefault="00B72047">
      <w:pPr>
        <w:pStyle w:val="YACC"/>
      </w:pPr>
      <w:r>
        <w:tab/>
        <w:t>|</w:t>
      </w:r>
      <w:r>
        <w:tab/>
      </w:r>
      <w:r>
        <w:rPr>
          <w:rStyle w:val="htmlcodes"/>
        </w:rPr>
        <w:t>&lt;a href=#y536&gt;</w:t>
      </w:r>
      <w:r>
        <w:t xml:space="preserve">FUhO_536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name=y415&gt;</w:t>
      </w:r>
      <w:r>
        <w:t xml:space="preserve">DOI_415  </w:t>
      </w:r>
      <w:r>
        <w:rPr>
          <w:rStyle w:val="htmlcodes"/>
        </w:rPr>
        <w:t>&lt;/a&gt;</w:t>
      </w:r>
      <w:r>
        <w:tab/>
        <w:t>:</w:t>
      </w:r>
      <w:r>
        <w:tab/>
      </w:r>
      <w:r>
        <w:rPr>
          <w:rStyle w:val="htmlcodes"/>
        </w:rPr>
        <w:t>&lt;a href=#y525&gt;</w:t>
      </w:r>
      <w:r>
        <w:t xml:space="preserve">DOI_525  </w:t>
      </w:r>
      <w:r>
        <w:rPr>
          <w:rStyle w:val="htmlcodes"/>
        </w:rPr>
        <w:t>&lt;/a&gt;</w:t>
      </w:r>
    </w:p>
    <w:p w:rsidR="00B72047" w:rsidRDefault="00B72047">
      <w:pPr>
        <w:pStyle w:val="YACC"/>
      </w:pPr>
      <w:r>
        <w:tab/>
        <w:t>|</w:t>
      </w:r>
      <w:r>
        <w:tab/>
      </w:r>
      <w:r>
        <w:rPr>
          <w:rStyle w:val="htmlcodes"/>
        </w:rPr>
        <w:t>&lt;a href=#y416&gt;</w:t>
      </w:r>
      <w:r>
        <w:t xml:space="preserve">COI_416  </w:t>
      </w:r>
      <w:r>
        <w:rPr>
          <w:rStyle w:val="htmlcodes"/>
        </w:rPr>
        <w:t>&lt;/a&gt;</w:t>
      </w:r>
    </w:p>
    <w:p w:rsidR="00B72047" w:rsidRDefault="00B72047">
      <w:pPr>
        <w:pStyle w:val="YACC"/>
      </w:pPr>
      <w:r>
        <w:tab/>
        <w:t>|</w:t>
      </w:r>
      <w:r>
        <w:tab/>
      </w:r>
      <w:r>
        <w:rPr>
          <w:rStyle w:val="htmlcodes"/>
        </w:rPr>
        <w:t>&lt;a href=#y416&gt;</w:t>
      </w:r>
      <w:r>
        <w:t xml:space="preserve">COI_416  </w:t>
      </w:r>
      <w:r>
        <w:rPr>
          <w:rStyle w:val="htmlcodes"/>
        </w:rPr>
        <w:t>&lt;/a&gt;&lt;a href=#y525&gt;</w:t>
      </w:r>
      <w:r>
        <w:t xml:space="preserve">DOI_525  </w:t>
      </w:r>
      <w:r>
        <w:rPr>
          <w:rStyle w:val="htmlcodes"/>
        </w:rPr>
        <w:t>&lt;/a&gt;</w:t>
      </w:r>
    </w:p>
    <w:p w:rsidR="00B72047" w:rsidRDefault="00B72047">
      <w:pPr>
        <w:pStyle w:val="YACC"/>
      </w:pPr>
      <w:r>
        <w:tab/>
        <w:t>;</w:t>
      </w:r>
    </w:p>
    <w:p w:rsidR="00B72047" w:rsidRDefault="00B72047">
      <w:pPr>
        <w:pStyle w:val="YACCtoken"/>
      </w:pPr>
      <w:r>
        <w:rPr>
          <w:rStyle w:val="htmlcodes"/>
        </w:rPr>
        <w:t>&lt;a name=y416&gt;</w:t>
      </w:r>
      <w:r>
        <w:t xml:space="preserve">COI_416  </w:t>
      </w:r>
      <w:r>
        <w:rPr>
          <w:rStyle w:val="htmlcodes"/>
        </w:rPr>
        <w:t>&lt;/a&gt;</w:t>
      </w:r>
      <w:r>
        <w:tab/>
        <w:t>:</w:t>
      </w:r>
      <w:r>
        <w:tab/>
      </w:r>
      <w:r>
        <w:rPr>
          <w:rStyle w:val="htmlcodes"/>
        </w:rPr>
        <w:t>&lt;a href=#y417&gt;</w:t>
      </w:r>
      <w:r>
        <w:t xml:space="preserve">COI_A_417  </w:t>
      </w:r>
      <w:r>
        <w:rPr>
          <w:rStyle w:val="htmlcodes"/>
        </w:rPr>
        <w:t>&lt;/a&gt;</w:t>
      </w:r>
    </w:p>
    <w:p w:rsidR="00B72047" w:rsidRDefault="00B72047">
      <w:pPr>
        <w:pStyle w:val="YACC"/>
      </w:pPr>
      <w:r>
        <w:tab/>
        <w:t>|</w:t>
      </w:r>
      <w:r>
        <w:tab/>
      </w:r>
      <w:r>
        <w:rPr>
          <w:rStyle w:val="htmlcodes"/>
        </w:rPr>
        <w:t>&lt;a href=#y416&gt;</w:t>
      </w:r>
      <w:r>
        <w:t xml:space="preserve">COI_416  </w:t>
      </w:r>
      <w:r>
        <w:rPr>
          <w:rStyle w:val="htmlcodes"/>
        </w:rPr>
        <w:t>&lt;/a&gt;&lt;a href=#y417&gt;</w:t>
      </w:r>
      <w:r>
        <w:t xml:space="preserve">COI_A_417  </w:t>
      </w:r>
      <w:r>
        <w:rPr>
          <w:rStyle w:val="htmlcodes"/>
        </w:rPr>
        <w:t>&lt;/a&gt;</w:t>
      </w:r>
    </w:p>
    <w:p w:rsidR="00B72047" w:rsidRDefault="00B72047">
      <w:pPr>
        <w:pStyle w:val="YACC"/>
      </w:pPr>
      <w:r>
        <w:tab/>
        <w:t>;</w:t>
      </w:r>
    </w:p>
    <w:p w:rsidR="00B72047" w:rsidRDefault="00B72047">
      <w:pPr>
        <w:pStyle w:val="YACCtoken"/>
      </w:pPr>
      <w:r>
        <w:rPr>
          <w:rStyle w:val="htmlcodes"/>
        </w:rPr>
        <w:t>&lt;a name=y417&gt;</w:t>
      </w:r>
      <w:r>
        <w:t xml:space="preserve">COI_A_417  </w:t>
      </w:r>
      <w:r>
        <w:rPr>
          <w:rStyle w:val="htmlcodes"/>
        </w:rPr>
        <w:t>&lt;/a&gt;</w:t>
      </w:r>
      <w:r>
        <w:tab/>
        <w:t>:</w:t>
      </w:r>
      <w:r>
        <w:tab/>
      </w:r>
      <w:r>
        <w:rPr>
          <w:rStyle w:val="htmlcodes"/>
        </w:rPr>
        <w:t>&lt;a href=#y520&gt;</w:t>
      </w:r>
      <w:r>
        <w:t xml:space="preserve">COI_520  </w:t>
      </w:r>
      <w:r>
        <w:rPr>
          <w:rStyle w:val="htmlcodes"/>
        </w:rPr>
        <w:t>&lt;/a&gt;</w:t>
      </w:r>
    </w:p>
    <w:p w:rsidR="00B72047" w:rsidRDefault="00B72047">
      <w:pPr>
        <w:pStyle w:val="YACC"/>
      </w:pPr>
      <w:r>
        <w:tab/>
        <w:t>|</w:t>
      </w:r>
      <w:r>
        <w:tab/>
      </w:r>
      <w:r>
        <w:rPr>
          <w:rStyle w:val="htmlcodes"/>
        </w:rPr>
        <w:t>&lt;a href=#y520&gt;</w:t>
      </w:r>
      <w:r>
        <w:t xml:space="preserve">COI_520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name=y421&gt;</w:t>
      </w:r>
      <w:r>
        <w:t xml:space="preserve">JOIK_EK_421  </w:t>
      </w:r>
      <w:r>
        <w:rPr>
          <w:rStyle w:val="htmlcodes"/>
        </w:rPr>
        <w:t>&lt;/a&gt;</w:t>
      </w:r>
      <w:r>
        <w:tab/>
        <w:t>:</w:t>
      </w:r>
      <w:r>
        <w:tab/>
      </w:r>
      <w:r>
        <w:rPr>
          <w:rStyle w:val="htmlcodes"/>
        </w:rPr>
        <w:t>&lt;a href=#y802&gt;</w:t>
      </w:r>
      <w:r>
        <w:t xml:space="preserve">EK_802  </w:t>
      </w:r>
      <w:r>
        <w:rPr>
          <w:rStyle w:val="htmlcodes"/>
        </w:rPr>
        <w:t>&lt;/a&gt;</w:t>
      </w:r>
    </w:p>
    <w:p w:rsidR="00B72047" w:rsidRDefault="00B72047">
      <w:pPr>
        <w:pStyle w:val="YACC"/>
      </w:pPr>
      <w:r>
        <w:tab/>
        <w:t>|</w:t>
      </w:r>
      <w:r>
        <w:tab/>
      </w:r>
      <w:r>
        <w:rPr>
          <w:rStyle w:val="htmlcodes"/>
        </w:rPr>
        <w:t>&lt;a href=#y806&gt;</w:t>
      </w:r>
      <w:r>
        <w:t xml:space="preserve">JOIK_806  </w:t>
      </w:r>
      <w:r>
        <w:rPr>
          <w:rStyle w:val="htmlcodes"/>
        </w:rPr>
        <w:t>&lt;/a&gt;</w:t>
      </w:r>
    </w:p>
    <w:p w:rsidR="00B72047" w:rsidRDefault="00B72047">
      <w:pPr>
        <w:pStyle w:val="YACC"/>
      </w:pPr>
      <w:r>
        <w:tab/>
        <w:t>|</w:t>
      </w:r>
      <w:r>
        <w:tab/>
      </w:r>
      <w:r>
        <w:rPr>
          <w:rStyle w:val="htmlcodes"/>
        </w:rPr>
        <w:t>&lt;a href=#y806&gt;</w:t>
      </w:r>
      <w:r>
        <w:t xml:space="preserve">JOIK_806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name=y422&gt;</w:t>
      </w:r>
      <w:r>
        <w:t xml:space="preserve">JOIK_JEK_422  </w:t>
      </w:r>
      <w:r>
        <w:rPr>
          <w:rStyle w:val="htmlcodes"/>
        </w:rPr>
        <w:t>&lt;/a&gt;</w:t>
      </w:r>
      <w:r>
        <w:tab/>
        <w:t>:</w:t>
      </w:r>
      <w:r>
        <w:tab/>
      </w:r>
      <w:r>
        <w:rPr>
          <w:rStyle w:val="htmlcodes"/>
        </w:rPr>
        <w:t>&lt;a href=#y806&gt;</w:t>
      </w:r>
      <w:r>
        <w:t xml:space="preserve">JOIK_806  </w:t>
      </w:r>
      <w:r>
        <w:rPr>
          <w:rStyle w:val="htmlcodes"/>
        </w:rPr>
        <w:t>&lt;/a&gt;</w:t>
      </w:r>
    </w:p>
    <w:p w:rsidR="00B72047" w:rsidRDefault="00B72047">
      <w:pPr>
        <w:pStyle w:val="YACC"/>
      </w:pPr>
      <w:r>
        <w:tab/>
        <w:t>|</w:t>
      </w:r>
      <w:r>
        <w:tab/>
      </w:r>
      <w:r>
        <w:rPr>
          <w:rStyle w:val="htmlcodes"/>
        </w:rPr>
        <w:t>&lt;a href=#y806&gt;</w:t>
      </w:r>
      <w:r>
        <w:t xml:space="preserve">JOIK_806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href=#y805&gt;</w:t>
      </w:r>
      <w:r>
        <w:t xml:space="preserve">JEK_805  </w:t>
      </w:r>
      <w:r>
        <w:rPr>
          <w:rStyle w:val="htmlcodes"/>
        </w:rPr>
        <w:t>&lt;/a&gt;</w:t>
      </w:r>
    </w:p>
    <w:p w:rsidR="00B72047" w:rsidRDefault="00B72047">
      <w:pPr>
        <w:pStyle w:val="YACC"/>
      </w:pPr>
      <w:r>
        <w:tab/>
        <w:t>|</w:t>
      </w:r>
      <w:r>
        <w:tab/>
      </w:r>
      <w:r>
        <w:rPr>
          <w:rStyle w:val="htmlcodes"/>
        </w:rPr>
        <w:t>&lt;a href=#y805&gt;</w:t>
      </w:r>
      <w:r>
        <w:t xml:space="preserve">JEK_805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name=y424&gt;</w:t>
      </w:r>
      <w:r>
        <w:t xml:space="preserve">XI_424  </w:t>
      </w:r>
      <w:r>
        <w:rPr>
          <w:rStyle w:val="htmlcodes"/>
        </w:rPr>
        <w:t>&lt;/a&gt;</w:t>
      </w:r>
      <w:r>
        <w:tab/>
        <w:t>:</w:t>
      </w:r>
      <w:r>
        <w:tab/>
      </w:r>
      <w:r>
        <w:rPr>
          <w:rStyle w:val="htmlcodes"/>
        </w:rPr>
        <w:t>&lt;a href=#y618&gt;</w:t>
      </w:r>
      <w:r>
        <w:t xml:space="preserve">XI_618  </w:t>
      </w:r>
      <w:r>
        <w:rPr>
          <w:rStyle w:val="htmlcodes"/>
        </w:rPr>
        <w:t>&lt;/a&gt;</w:t>
      </w:r>
    </w:p>
    <w:p w:rsidR="00B72047" w:rsidRDefault="00B72047">
      <w:pPr>
        <w:pStyle w:val="YACC"/>
      </w:pPr>
      <w:r>
        <w:tab/>
        <w:t>|</w:t>
      </w:r>
      <w:r>
        <w:tab/>
      </w:r>
      <w:r>
        <w:rPr>
          <w:rStyle w:val="htmlcodes"/>
        </w:rPr>
        <w:t>&lt;a href=#y618&gt;</w:t>
      </w:r>
      <w:r>
        <w:t xml:space="preserve">XI_618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name=y425&gt;</w:t>
      </w:r>
      <w:r>
        <w:t xml:space="preserve">NU_425  </w:t>
      </w:r>
      <w:r>
        <w:rPr>
          <w:rStyle w:val="htmlcodes"/>
        </w:rPr>
        <w:t>&lt;/a&gt;</w:t>
      </w:r>
      <w:r>
        <w:tab/>
        <w:t>:</w:t>
      </w:r>
      <w:r>
        <w:tab/>
      </w:r>
      <w:r>
        <w:rPr>
          <w:rStyle w:val="htmlcodes"/>
        </w:rPr>
        <w:t>&lt;a href=#y426&gt;</w:t>
      </w:r>
      <w:r>
        <w:t xml:space="preserve">NU_A_426  </w:t>
      </w:r>
      <w:r>
        <w:rPr>
          <w:rStyle w:val="htmlcodes"/>
        </w:rPr>
        <w:t>&lt;/a&gt;</w:t>
      </w:r>
    </w:p>
    <w:p w:rsidR="00B72047" w:rsidRDefault="00B72047">
      <w:pPr>
        <w:pStyle w:val="YACC"/>
      </w:pPr>
      <w:r>
        <w:tab/>
        <w:t>|</w:t>
      </w:r>
      <w:r>
        <w:tab/>
      </w:r>
      <w:r>
        <w:rPr>
          <w:rStyle w:val="htmlcodes"/>
        </w:rPr>
        <w:t>&lt;a href=#y425&gt;</w:t>
      </w:r>
      <w:r>
        <w:t xml:space="preserve">NU_425  </w:t>
      </w:r>
      <w:r>
        <w:rPr>
          <w:rStyle w:val="htmlcodes"/>
        </w:rPr>
        <w:t>&lt;/a&gt;&lt;a href=#y422&gt;</w:t>
      </w:r>
      <w:r>
        <w:t xml:space="preserve">JOIK_JEK_422   </w:t>
      </w:r>
      <w:r>
        <w:rPr>
          <w:rStyle w:val="htmlcodes"/>
        </w:rPr>
        <w:t>&lt;/a&gt;&lt;a href=#y426&gt;</w:t>
      </w:r>
      <w:r>
        <w:t xml:space="preserve">NU_A_426  </w:t>
      </w:r>
      <w:r>
        <w:rPr>
          <w:rStyle w:val="htmlcodes"/>
        </w:rPr>
        <w:t>&lt;/a&gt;</w:t>
      </w:r>
    </w:p>
    <w:p w:rsidR="00B72047" w:rsidRDefault="00B72047">
      <w:pPr>
        <w:pStyle w:val="YACC"/>
      </w:pPr>
      <w:r>
        <w:tab/>
        <w:t>;</w:t>
      </w:r>
    </w:p>
    <w:p w:rsidR="00B72047" w:rsidRDefault="00B72047">
      <w:pPr>
        <w:pStyle w:val="YACCtoken"/>
      </w:pPr>
      <w:r>
        <w:rPr>
          <w:rStyle w:val="htmlcodes"/>
        </w:rPr>
        <w:t>&lt;a name=y426&gt;</w:t>
      </w:r>
      <w:r>
        <w:t xml:space="preserve">NU_A_426  </w:t>
      </w:r>
      <w:r>
        <w:rPr>
          <w:rStyle w:val="htmlcodes"/>
        </w:rPr>
        <w:t>&lt;/a&gt;</w:t>
      </w:r>
      <w:r>
        <w:tab/>
        <w:t>:</w:t>
      </w:r>
      <w:r>
        <w:tab/>
      </w:r>
      <w:r>
        <w:rPr>
          <w:rStyle w:val="htmlcodes"/>
        </w:rPr>
        <w:t>&lt;a href=#y586&gt;</w:t>
      </w:r>
      <w:r>
        <w:t xml:space="preserve">NU_586  </w:t>
      </w:r>
      <w:r>
        <w:rPr>
          <w:rStyle w:val="htmlcodes"/>
        </w:rPr>
        <w:t>&lt;/a&gt;</w:t>
      </w:r>
    </w:p>
    <w:p w:rsidR="00B72047" w:rsidRDefault="00B72047">
      <w:pPr>
        <w:pStyle w:val="YACC"/>
      </w:pPr>
      <w:r>
        <w:tab/>
        <w:t>|</w:t>
      </w:r>
      <w:r>
        <w:tab/>
      </w:r>
      <w:r>
        <w:rPr>
          <w:rStyle w:val="htmlcodes"/>
        </w:rPr>
        <w:t>&lt;a href=#y586&gt;</w:t>
      </w:r>
      <w:r>
        <w:t xml:space="preserve">NU_586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href=#y586&gt;</w:t>
      </w:r>
      <w:r>
        <w:t xml:space="preserve">NU_586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href=#y586&gt;</w:t>
      </w:r>
      <w:r>
        <w:t xml:space="preserve">NU_586  </w:t>
      </w:r>
      <w:r>
        <w:rPr>
          <w:rStyle w:val="htmlcodes"/>
        </w:rPr>
        <w:t>&lt;/a&gt;&lt;a href=#y581&gt;</w:t>
      </w:r>
      <w:r>
        <w:t xml:space="preserve">NAI_581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name=y427&gt;</w:t>
      </w:r>
      <w:r>
        <w:t xml:space="preserve">MOhE_427  </w:t>
      </w:r>
      <w:r>
        <w:rPr>
          <w:rStyle w:val="htmlcodes"/>
        </w:rPr>
        <w:t>&lt;/a&gt;</w:t>
      </w:r>
      <w:r>
        <w:tab/>
        <w:t>:</w:t>
      </w:r>
      <w:r>
        <w:tab/>
      </w:r>
      <w:r>
        <w:rPr>
          <w:rStyle w:val="htmlcodes"/>
        </w:rPr>
        <w:t>&lt;a href=#y664&gt;</w:t>
      </w:r>
      <w:r>
        <w:t xml:space="preserve">MOhE_664  </w:t>
      </w:r>
      <w:r>
        <w:rPr>
          <w:rStyle w:val="htmlcodes"/>
        </w:rPr>
        <w:t>&lt;/a&gt;</w:t>
      </w:r>
    </w:p>
    <w:p w:rsidR="00B72047" w:rsidRDefault="00B72047">
      <w:pPr>
        <w:pStyle w:val="YACC"/>
      </w:pPr>
      <w:r>
        <w:tab/>
        <w:t>|</w:t>
      </w:r>
      <w:r>
        <w:tab/>
      </w:r>
      <w:r>
        <w:rPr>
          <w:rStyle w:val="htmlcodes"/>
        </w:rPr>
        <w:t>&lt;a href=#y664&gt;</w:t>
      </w:r>
      <w:r>
        <w:t xml:space="preserve">MOhE_664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name=y428&gt;</w:t>
      </w:r>
      <w:r>
        <w:t xml:space="preserve">NIhE_428  </w:t>
      </w:r>
      <w:r>
        <w:rPr>
          <w:rStyle w:val="htmlcodes"/>
        </w:rPr>
        <w:t>&lt;/a&gt;</w:t>
      </w:r>
      <w:r>
        <w:tab/>
        <w:t>:</w:t>
      </w:r>
      <w:r>
        <w:tab/>
      </w:r>
      <w:r>
        <w:rPr>
          <w:rStyle w:val="htmlcodes"/>
        </w:rPr>
        <w:t>&lt;a href=#y666&gt;</w:t>
      </w:r>
      <w:r>
        <w:t xml:space="preserve">NIhE_666  </w:t>
      </w:r>
      <w:r>
        <w:rPr>
          <w:rStyle w:val="htmlcodes"/>
        </w:rPr>
        <w:t>&lt;/a&gt;</w:t>
      </w:r>
    </w:p>
    <w:p w:rsidR="00B72047" w:rsidRDefault="00B72047">
      <w:pPr>
        <w:pStyle w:val="YACC"/>
      </w:pPr>
      <w:r>
        <w:tab/>
        <w:t>|</w:t>
      </w:r>
      <w:r>
        <w:tab/>
      </w:r>
      <w:r>
        <w:rPr>
          <w:rStyle w:val="htmlcodes"/>
        </w:rPr>
        <w:t>&lt;a href=#y666&gt;</w:t>
      </w:r>
      <w:r>
        <w:t xml:space="preserve">NIhE_666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name=y429&gt;</w:t>
      </w:r>
      <w:r>
        <w:t xml:space="preserve">NAhU_429  </w:t>
      </w:r>
      <w:r>
        <w:rPr>
          <w:rStyle w:val="htmlcodes"/>
        </w:rPr>
        <w:t>&lt;/a&gt;</w:t>
      </w:r>
      <w:r>
        <w:tab/>
        <w:t>:</w:t>
      </w:r>
      <w:r>
        <w:tab/>
      </w:r>
      <w:r>
        <w:rPr>
          <w:rStyle w:val="htmlcodes"/>
        </w:rPr>
        <w:t>&lt;a href=#y665&gt;</w:t>
      </w:r>
      <w:r>
        <w:t xml:space="preserve">NAhU_665  </w:t>
      </w:r>
      <w:r>
        <w:rPr>
          <w:rStyle w:val="htmlcodes"/>
        </w:rPr>
        <w:t>&lt;/a&gt;</w:t>
      </w:r>
    </w:p>
    <w:p w:rsidR="00B72047" w:rsidRDefault="00B72047">
      <w:pPr>
        <w:pStyle w:val="YACC"/>
      </w:pPr>
      <w:r>
        <w:tab/>
        <w:t>|</w:t>
      </w:r>
      <w:r>
        <w:tab/>
      </w:r>
      <w:r>
        <w:rPr>
          <w:rStyle w:val="htmlcodes"/>
        </w:rPr>
        <w:t>&lt;a href=#y665&gt;</w:t>
      </w:r>
      <w:r>
        <w:t xml:space="preserve">NAhU_665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name=y430&gt;</w:t>
      </w:r>
      <w:r>
        <w:t xml:space="preserve">MAhO_430  </w:t>
      </w:r>
      <w:r>
        <w:rPr>
          <w:rStyle w:val="htmlcodes"/>
        </w:rPr>
        <w:t>&lt;/a&gt;</w:t>
      </w:r>
      <w:r>
        <w:tab/>
        <w:t>:</w:t>
      </w:r>
      <w:r>
        <w:tab/>
      </w:r>
      <w:r>
        <w:rPr>
          <w:rStyle w:val="htmlcodes"/>
        </w:rPr>
        <w:t>&lt;a href=#y662&gt;</w:t>
      </w:r>
      <w:r>
        <w:t xml:space="preserve">MAhO_662  </w:t>
      </w:r>
      <w:r>
        <w:rPr>
          <w:rStyle w:val="htmlcodes"/>
        </w:rPr>
        <w:t>&lt;/a&gt;</w:t>
      </w:r>
    </w:p>
    <w:p w:rsidR="00B72047" w:rsidRDefault="00B72047">
      <w:pPr>
        <w:pStyle w:val="YACC"/>
      </w:pPr>
      <w:r>
        <w:tab/>
        <w:t>|</w:t>
      </w:r>
      <w:r>
        <w:tab/>
      </w:r>
      <w:r>
        <w:rPr>
          <w:rStyle w:val="htmlcodes"/>
        </w:rPr>
        <w:t>&lt;a href=#y662&gt;</w:t>
      </w:r>
      <w:r>
        <w:t xml:space="preserve">MAhO_662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name=y431&gt;</w:t>
      </w:r>
      <w:r>
        <w:t xml:space="preserve">JOhI_431  </w:t>
      </w:r>
      <w:r>
        <w:rPr>
          <w:rStyle w:val="htmlcodes"/>
        </w:rPr>
        <w:t>&lt;/a&gt;</w:t>
      </w:r>
      <w:r>
        <w:tab/>
        <w:t>:</w:t>
      </w:r>
      <w:r>
        <w:tab/>
      </w:r>
      <w:r>
        <w:rPr>
          <w:rStyle w:val="htmlcodes"/>
        </w:rPr>
        <w:t>&lt;a href=#y657&gt;</w:t>
      </w:r>
      <w:r>
        <w:t xml:space="preserve">JOhI_657  </w:t>
      </w:r>
      <w:r>
        <w:rPr>
          <w:rStyle w:val="htmlcodes"/>
        </w:rPr>
        <w:t>&lt;/a&gt;</w:t>
      </w:r>
    </w:p>
    <w:p w:rsidR="00B72047" w:rsidRDefault="00B72047">
      <w:pPr>
        <w:pStyle w:val="YACC"/>
      </w:pPr>
      <w:r>
        <w:tab/>
        <w:t>|</w:t>
      </w:r>
      <w:r>
        <w:tab/>
      </w:r>
      <w:r>
        <w:rPr>
          <w:rStyle w:val="htmlcodes"/>
        </w:rPr>
        <w:t>&lt;a href=#y657&gt;</w:t>
      </w:r>
      <w:r>
        <w:t xml:space="preserve">JOhI_657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name=y432&gt;</w:t>
      </w:r>
      <w:r>
        <w:t xml:space="preserve">quote_arg_432  </w:t>
      </w:r>
      <w:r>
        <w:rPr>
          <w:rStyle w:val="htmlcodes"/>
        </w:rPr>
        <w:t>&lt;/a&gt;</w:t>
      </w:r>
      <w:r>
        <w:tab/>
        <w:t>:</w:t>
      </w:r>
      <w:r>
        <w:tab/>
      </w:r>
      <w:r>
        <w:rPr>
          <w:rStyle w:val="htmlcodes"/>
        </w:rPr>
        <w:t>&lt;a href=#y433&gt;</w:t>
      </w:r>
      <w:r>
        <w:t xml:space="preserve">quote_arg_A_433  </w:t>
      </w:r>
      <w:r>
        <w:rPr>
          <w:rStyle w:val="htmlcodes"/>
        </w:rPr>
        <w:t>&lt;/a&gt;</w:t>
      </w:r>
    </w:p>
    <w:p w:rsidR="00B72047" w:rsidRDefault="00B72047">
      <w:pPr>
        <w:pStyle w:val="YACC"/>
      </w:pPr>
      <w:r>
        <w:tab/>
        <w:t>|</w:t>
      </w:r>
      <w:r>
        <w:tab/>
      </w:r>
      <w:r>
        <w:rPr>
          <w:rStyle w:val="htmlcodes"/>
        </w:rPr>
        <w:t>&lt;a href=#y433&gt;</w:t>
      </w:r>
      <w:r>
        <w:t xml:space="preserve">quote_arg_A_433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name=y433&gt;</w:t>
      </w:r>
      <w:r>
        <w:t xml:space="preserve">quote_arg_A_433  </w:t>
      </w:r>
      <w:r>
        <w:rPr>
          <w:rStyle w:val="htmlcodes"/>
        </w:rPr>
        <w:t>&lt;/a&gt;</w:t>
      </w:r>
      <w:r>
        <w:tab/>
        <w:t>:</w:t>
      </w:r>
      <w:r>
        <w:tab/>
      </w:r>
      <w:r>
        <w:rPr>
          <w:rStyle w:val="htmlcodes"/>
        </w:rPr>
        <w:t>&lt;a href=#y434&gt;</w:t>
      </w:r>
      <w:r>
        <w:t xml:space="preserve">ZOI_quote_434  </w:t>
      </w:r>
      <w:r>
        <w:rPr>
          <w:rStyle w:val="htmlcodes"/>
        </w:rPr>
        <w:t>&lt;/a&gt;</w:t>
      </w:r>
    </w:p>
    <w:p w:rsidR="00B72047" w:rsidRDefault="00B72047">
      <w:pPr>
        <w:pStyle w:val="YACC"/>
      </w:pPr>
      <w:r>
        <w:tab/>
        <w:t>|</w:t>
      </w:r>
      <w:r>
        <w:tab/>
      </w:r>
      <w:r>
        <w:rPr>
          <w:rStyle w:val="htmlcodes"/>
        </w:rPr>
        <w:t>&lt;a href=#y435&gt;</w:t>
      </w:r>
      <w:r>
        <w:t xml:space="preserve">ZO_quote_435  </w:t>
      </w:r>
      <w:r>
        <w:rPr>
          <w:rStyle w:val="htmlcodes"/>
        </w:rPr>
        <w:t>&lt;/a&gt;</w:t>
      </w:r>
    </w:p>
    <w:p w:rsidR="00B72047" w:rsidRDefault="00B72047">
      <w:pPr>
        <w:pStyle w:val="YACC"/>
      </w:pPr>
      <w:r>
        <w:tab/>
        <w:t>|</w:t>
      </w:r>
      <w:r>
        <w:tab/>
      </w:r>
      <w:r>
        <w:rPr>
          <w:rStyle w:val="htmlcodes"/>
        </w:rPr>
        <w:t>&lt;a href=#y436&gt;</w:t>
      </w:r>
      <w:r>
        <w:t xml:space="preserve">LOhU_quote_436  </w:t>
      </w:r>
      <w:r>
        <w:rPr>
          <w:rStyle w:val="htmlcodes"/>
        </w:rPr>
        <w:t>&lt;/a&gt;</w:t>
      </w:r>
    </w:p>
    <w:p w:rsidR="00B72047" w:rsidRDefault="00B72047">
      <w:pPr>
        <w:pStyle w:val="YACC"/>
      </w:pPr>
      <w:r>
        <w:tab/>
        <w:t>|</w:t>
      </w:r>
      <w:r>
        <w:tab/>
      </w:r>
      <w:r>
        <w:rPr>
          <w:rStyle w:val="htmlcodes"/>
        </w:rPr>
        <w:t>&lt;a href=#y571&gt;</w:t>
      </w:r>
      <w:r>
        <w:t xml:space="preserve">LU_571   </w:t>
      </w:r>
      <w:r>
        <w:rPr>
          <w:rStyle w:val="htmlcodes"/>
        </w:rPr>
        <w:t>&lt;/a&gt;&lt;a href=#y0&gt;</w:t>
      </w:r>
      <w:r>
        <w:t xml:space="preserve">text_0   </w:t>
      </w:r>
      <w:r>
        <w:rPr>
          <w:rStyle w:val="htmlcodes"/>
        </w:rPr>
        <w:t>&lt;/a&gt;&lt;a href=#y448&gt;</w:t>
      </w:r>
      <w:r>
        <w:t xml:space="preserve">LIhU_gap_448  </w:t>
      </w:r>
      <w:r>
        <w:rPr>
          <w:rStyle w:val="htmlcodes"/>
        </w:rPr>
        <w:t>&lt;/a&gt;</w:t>
      </w:r>
    </w:p>
    <w:p w:rsidR="00B72047" w:rsidRDefault="00B72047">
      <w:pPr>
        <w:pStyle w:val="YACC"/>
      </w:pPr>
      <w:r>
        <w:tab/>
        <w:t>;</w:t>
      </w:r>
    </w:p>
    <w:p w:rsidR="00B72047" w:rsidRDefault="00B72047">
      <w:pPr>
        <w:pStyle w:val="YACCcomment"/>
      </w:pPr>
      <w:r>
        <w:t>/* The quoted material in the following three terminals must be identified by the lexer, but no additional lexer processing is needed. */</w:t>
      </w:r>
    </w:p>
    <w:p w:rsidR="00B72047" w:rsidRDefault="00B72047">
      <w:pPr>
        <w:pStyle w:val="YACCtoken"/>
      </w:pPr>
      <w:r>
        <w:rPr>
          <w:rStyle w:val="htmlcodes"/>
        </w:rPr>
        <w:t>&lt;a name=y434&gt;</w:t>
      </w:r>
      <w:r>
        <w:t xml:space="preserve">ZOI_quote_434  </w:t>
      </w:r>
      <w:r>
        <w:rPr>
          <w:rStyle w:val="htmlcodes"/>
        </w:rPr>
        <w:t>&lt;/a&gt;</w:t>
      </w:r>
      <w:r>
        <w:tab/>
        <w:t>:</w:t>
      </w:r>
      <w:r>
        <w:tab/>
      </w:r>
      <w:r>
        <w:rPr>
          <w:rStyle w:val="htmlcodes"/>
        </w:rPr>
        <w:t>&lt;a href=#y627&gt;</w:t>
      </w:r>
      <w:r>
        <w:t xml:space="preserve">ZOI_627  </w:t>
      </w:r>
      <w:r>
        <w:rPr>
          <w:rStyle w:val="htmlcodes"/>
        </w:rPr>
        <w:t>&lt;/a&gt;&lt;a href=#y698&gt;</w:t>
      </w:r>
      <w:r>
        <w:t xml:space="preserve">any_word_698  </w:t>
      </w:r>
      <w:r>
        <w:rPr>
          <w:rStyle w:val="htmlcodes"/>
        </w:rPr>
        <w:t>&lt;/a&gt;</w:t>
      </w:r>
      <w:r>
        <w:t xml:space="preserve">/*pause*/   </w:t>
      </w:r>
      <w:r>
        <w:rPr>
          <w:rStyle w:val="htmlcodes"/>
        </w:rPr>
        <w:t>&lt;a href=#y699&gt;</w:t>
      </w:r>
      <w:r>
        <w:t xml:space="preserve">anything_699  </w:t>
      </w:r>
      <w:r>
        <w:rPr>
          <w:rStyle w:val="htmlcodes"/>
        </w:rPr>
        <w:t>&lt;/a&gt;</w:t>
      </w:r>
      <w:r>
        <w:t xml:space="preserve">/*pause*/   </w:t>
      </w:r>
      <w:r>
        <w:rPr>
          <w:rStyle w:val="htmlcodes"/>
        </w:rPr>
        <w:t>&lt;a href=#y698&gt;</w:t>
      </w:r>
      <w:r>
        <w:t xml:space="preserve">any_word_698  </w:t>
      </w:r>
      <w:r>
        <w:rPr>
          <w:rStyle w:val="htmlcodes"/>
        </w:rPr>
        <w:t>&lt;/a&gt;</w:t>
      </w:r>
    </w:p>
    <w:p w:rsidR="00B72047" w:rsidRDefault="00B72047">
      <w:pPr>
        <w:pStyle w:val="YACC"/>
      </w:pPr>
      <w:r>
        <w:tab/>
        <w:t>;</w:t>
      </w:r>
    </w:p>
    <w:p w:rsidR="00B72047" w:rsidRDefault="00B72047">
      <w:pPr>
        <w:pStyle w:val="YACCcomment"/>
        <w:spacing w:before="40"/>
      </w:pPr>
      <w:r>
        <w:t xml:space="preserve">/* 'pause' is morphemic, represented by '.' The lexer assembles </w:t>
      </w:r>
      <w:r>
        <w:rPr>
          <w:rStyle w:val="htmlcodes"/>
        </w:rPr>
        <w:t>&lt;a href=#y699&gt;</w:t>
      </w:r>
      <w:r>
        <w:t xml:space="preserve">anything_699  </w:t>
      </w:r>
      <w:r>
        <w:rPr>
          <w:rStyle w:val="htmlcodes"/>
        </w:rPr>
        <w:t>&lt;/a&gt;</w:t>
      </w:r>
      <w:r>
        <w:t>*/</w:t>
      </w:r>
    </w:p>
    <w:p w:rsidR="00B72047" w:rsidRDefault="00B72047">
      <w:pPr>
        <w:pStyle w:val="YACCtoken"/>
      </w:pPr>
      <w:r>
        <w:rPr>
          <w:rStyle w:val="htmlcodes"/>
        </w:rPr>
        <w:t>&lt;a name=y435&gt;</w:t>
      </w:r>
      <w:r>
        <w:t xml:space="preserve">ZO_quote_435  </w:t>
      </w:r>
      <w:r>
        <w:rPr>
          <w:rStyle w:val="htmlcodes"/>
        </w:rPr>
        <w:t>&lt;/a&gt;</w:t>
      </w:r>
      <w:r>
        <w:tab/>
        <w:t>:</w:t>
      </w:r>
      <w:r>
        <w:tab/>
      </w:r>
      <w:r>
        <w:rPr>
          <w:rStyle w:val="htmlcodes"/>
        </w:rPr>
        <w:t>&lt;a href=#y626&gt;</w:t>
      </w:r>
      <w:r>
        <w:t xml:space="preserve">ZO_626  </w:t>
      </w:r>
      <w:r>
        <w:rPr>
          <w:rStyle w:val="htmlcodes"/>
        </w:rPr>
        <w:t>&lt;/a&gt;&lt;a href=#y698&gt;</w:t>
      </w:r>
      <w:r>
        <w:t xml:space="preserve">any_word_698  </w:t>
      </w:r>
      <w:r>
        <w:rPr>
          <w:rStyle w:val="htmlcodes"/>
        </w:rPr>
        <w:t>&lt;/a&gt;</w:t>
      </w:r>
    </w:p>
    <w:p w:rsidR="00B72047" w:rsidRDefault="00B72047">
      <w:pPr>
        <w:pStyle w:val="YACC"/>
      </w:pPr>
      <w:r>
        <w:tab/>
        <w:t>;</w:t>
      </w:r>
    </w:p>
    <w:p w:rsidR="00B72047" w:rsidRDefault="00B72047">
      <w:pPr>
        <w:pStyle w:val="YACCcomment"/>
        <w:spacing w:before="40"/>
      </w:pPr>
      <w:r>
        <w:t>/* 'word' may not be a compound; but it can be any valid Lojban selma'o value, including ZO, ZOI, SI, SA, SU. The preparser will not lex the word per its normal selma'o. */</w:t>
      </w:r>
    </w:p>
    <w:p w:rsidR="00B72047" w:rsidRDefault="00B72047">
      <w:pPr>
        <w:pStyle w:val="YACCtoken"/>
      </w:pPr>
      <w:r>
        <w:rPr>
          <w:rStyle w:val="htmlcodes"/>
        </w:rPr>
        <w:t>&lt;a name=y436&gt;</w:t>
      </w:r>
      <w:r>
        <w:t xml:space="preserve">LOhU_quote_436  </w:t>
      </w:r>
      <w:r>
        <w:rPr>
          <w:rStyle w:val="htmlcodes"/>
        </w:rPr>
        <w:t>&lt;/a&gt;</w:t>
      </w:r>
      <w:r>
        <w:tab/>
        <w:t>:</w:t>
      </w:r>
      <w:r>
        <w:tab/>
      </w:r>
      <w:r>
        <w:rPr>
          <w:rStyle w:val="htmlcodes"/>
        </w:rPr>
        <w:t>&lt;a href=#y569&gt;</w:t>
      </w:r>
      <w:r>
        <w:t xml:space="preserve">LOhU_569  </w:t>
      </w:r>
      <w:r>
        <w:rPr>
          <w:rStyle w:val="htmlcodes"/>
        </w:rPr>
        <w:t>&lt;/a&gt;&lt;a href=#y697&gt;</w:t>
      </w:r>
      <w:r>
        <w:t xml:space="preserve">any_words_697  </w:t>
      </w:r>
      <w:r>
        <w:rPr>
          <w:rStyle w:val="htmlcodes"/>
        </w:rPr>
        <w:t>&lt;/a&gt;&lt;a href=#y565&gt;</w:t>
      </w:r>
      <w:r>
        <w:t xml:space="preserve">LEhU_565  </w:t>
      </w:r>
      <w:r>
        <w:rPr>
          <w:rStyle w:val="htmlcodes"/>
        </w:rPr>
        <w:t>&lt;/a&gt;</w:t>
      </w:r>
    </w:p>
    <w:p w:rsidR="00B72047" w:rsidRDefault="00B72047">
      <w:pPr>
        <w:pStyle w:val="YACC"/>
      </w:pPr>
      <w:r>
        <w:tab/>
        <w:t>;</w:t>
      </w:r>
    </w:p>
    <w:p w:rsidR="00B72047" w:rsidRDefault="00B72047">
      <w:pPr>
        <w:pStyle w:val="YACCcomment"/>
        <w:spacing w:before="40"/>
      </w:pPr>
      <w:r>
        <w:t>/* 'words' may be any Lojban words, with no claim of grammaticality; the pr</w:t>
      </w:r>
      <w:r>
        <w:t>e</w:t>
      </w:r>
      <w:r>
        <w:softHyphen/>
        <w:t>parser will not lex the individual words per their normal selma'o; used to quote ungrammatical Lojban, equivalent to the * or ? writing convention for such text.</w:t>
      </w:r>
    </w:p>
    <w:p w:rsidR="00B72047" w:rsidRDefault="00B72047">
      <w:pPr>
        <w:pStyle w:val="YACCcomment"/>
        <w:spacing w:before="40"/>
      </w:pPr>
      <w:r>
        <w:t xml:space="preserve">The preparser needs one bit of sophistication for this rule. A quoted string should be able to contain other quoted strings </w:t>
      </w:r>
      <w:r>
        <w:noBreakHyphen/>
        <w:t xml:space="preserve"> this is only a problem for a LOhU quote itself, since the LEhU clossing this quote would otherwise close the outer quotes, which is incorrect. For this purpose, we will cheat on the use of ZO in such a quote (since this is ungrammatical text, it is a sign ig</w:t>
      </w:r>
      <w:r>
        <w:softHyphen/>
        <w:t>nored by the parser). Use ZO to mark any nested quotation LOhU. The pre</w:t>
      </w:r>
      <w:r>
        <w:softHyphen/>
        <w:t>parser then will absorb it by the ZO rule, before testing for LOhU. This is obviously not the standard usage for ZO, which would otherwise cause the result to be a sumti. But, since the result will be part of an unparsed string anyway, it doesn't matter.</w:t>
      </w:r>
    </w:p>
    <w:p w:rsidR="00B72047" w:rsidRDefault="00B72047">
      <w:pPr>
        <w:pStyle w:val="YACCcomment"/>
        <w:spacing w:before="40"/>
      </w:pPr>
      <w:r>
        <w:t>It may be seen that any of the ZO/ZOI/LOhU trio of quotation markers may contain the powerful metalinguistic erasers. Since these quotations are not parsed internally, these operators are ignored within the quote. To erase a ZO, then, two SI's are needed after giving a quoted word of any type. ZOI takes four SI's, with the ENTIRE BODY OF THE QUOTE treated as a single 'word' since it is one selma'o. Thus one for the quote body, two for the single word delimiters, and one for the ZOI. In LOhU, the entire body is treated as a single word, so three SI's can erase it.*/</w:t>
      </w:r>
    </w:p>
    <w:p w:rsidR="00B72047" w:rsidRDefault="00B72047">
      <w:pPr>
        <w:pStyle w:val="YACCcomment"/>
      </w:pPr>
    </w:p>
    <w:p w:rsidR="00B72047" w:rsidRDefault="00B72047">
      <w:pPr>
        <w:pStyle w:val="YACCcomment"/>
        <w:spacing w:before="0"/>
      </w:pPr>
      <w:r>
        <w:br w:type="page"/>
        <w:t>/*All rule terminator names with 'gap' in them are potentially elidable, where such elision does not cause an ambiguity. This is implemented through use of the YACC 'error' token, which effectively recovers from an elision. */</w:t>
      </w:r>
    </w:p>
    <w:p w:rsidR="00B72047" w:rsidRDefault="00B72047">
      <w:pPr>
        <w:pStyle w:val="YACCtoken"/>
      </w:pPr>
      <w:r>
        <w:rPr>
          <w:rStyle w:val="htmlcodes"/>
        </w:rPr>
        <w:t>&lt;a name=y437&gt;</w:t>
      </w:r>
      <w:r>
        <w:t xml:space="preserve">FIhO_437  </w:t>
      </w:r>
      <w:r>
        <w:rPr>
          <w:rStyle w:val="htmlcodes"/>
        </w:rPr>
        <w:t>&lt;/a&gt;</w:t>
      </w:r>
      <w:r>
        <w:tab/>
        <w:t>:</w:t>
      </w:r>
      <w:r>
        <w:tab/>
      </w:r>
      <w:r>
        <w:rPr>
          <w:rStyle w:val="htmlcodes"/>
        </w:rPr>
        <w:t>&lt;a href=#y532&gt;</w:t>
      </w:r>
      <w:r>
        <w:t xml:space="preserve">FIhO_532  </w:t>
      </w:r>
      <w:r>
        <w:rPr>
          <w:rStyle w:val="htmlcodes"/>
        </w:rPr>
        <w:t>&lt;/a&gt;</w:t>
      </w:r>
    </w:p>
    <w:p w:rsidR="00B72047" w:rsidRDefault="00B72047">
      <w:pPr>
        <w:pStyle w:val="YACC"/>
      </w:pPr>
      <w:r>
        <w:tab/>
        <w:t>|</w:t>
      </w:r>
      <w:r>
        <w:tab/>
      </w:r>
      <w:r>
        <w:rPr>
          <w:rStyle w:val="htmlcodes"/>
        </w:rPr>
        <w:t>&lt;a href=#y532&gt;</w:t>
      </w:r>
      <w:r>
        <w:t xml:space="preserve">FIhO_532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name=y438&gt;</w:t>
      </w:r>
      <w:r>
        <w:t xml:space="preserve">PEhO_438  </w:t>
      </w:r>
      <w:r>
        <w:rPr>
          <w:rStyle w:val="htmlcodes"/>
        </w:rPr>
        <w:t>&lt;/a&gt;</w:t>
      </w:r>
      <w:r>
        <w:tab/>
        <w:t>:</w:t>
      </w:r>
      <w:r>
        <w:tab/>
      </w:r>
      <w:r>
        <w:rPr>
          <w:rStyle w:val="htmlcodes"/>
        </w:rPr>
        <w:t>&lt;a href=#y673&gt;</w:t>
      </w:r>
      <w:r>
        <w:t xml:space="preserve">PEhO_673  </w:t>
      </w:r>
      <w:r>
        <w:rPr>
          <w:rStyle w:val="htmlcodes"/>
        </w:rPr>
        <w:t>&lt;/a&gt;</w:t>
      </w:r>
    </w:p>
    <w:p w:rsidR="00B72047" w:rsidRDefault="00B72047">
      <w:pPr>
        <w:pStyle w:val="YACC"/>
      </w:pPr>
      <w:r>
        <w:tab/>
        <w:t>|</w:t>
      </w:r>
      <w:r>
        <w:tab/>
      </w:r>
      <w:r>
        <w:rPr>
          <w:rStyle w:val="htmlcodes"/>
        </w:rPr>
        <w:t>&lt;a href=#y673&gt;</w:t>
      </w:r>
      <w:r>
        <w:t xml:space="preserve">PEhO_673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name=y439&gt;</w:t>
      </w:r>
      <w:r>
        <w:t xml:space="preserve">BIhE_439  </w:t>
      </w:r>
      <w:r>
        <w:rPr>
          <w:rStyle w:val="htmlcodes"/>
        </w:rPr>
        <w:t>&lt;/a&gt;</w:t>
      </w:r>
      <w:r>
        <w:tab/>
        <w:t>:</w:t>
      </w:r>
      <w:r>
        <w:tab/>
      </w:r>
      <w:r>
        <w:rPr>
          <w:rStyle w:val="htmlcodes"/>
        </w:rPr>
        <w:t>&lt;a href=#y650&gt;</w:t>
      </w:r>
      <w:r>
        <w:t xml:space="preserve">BIhE_650  </w:t>
      </w:r>
      <w:r>
        <w:rPr>
          <w:rStyle w:val="htmlcodes"/>
        </w:rPr>
        <w:t>&lt;/a&gt;</w:t>
      </w:r>
    </w:p>
    <w:p w:rsidR="00B72047" w:rsidRDefault="00B72047">
      <w:pPr>
        <w:pStyle w:val="YACC"/>
      </w:pPr>
      <w:r>
        <w:tab/>
        <w:t>|</w:t>
      </w:r>
      <w:r>
        <w:tab/>
      </w:r>
      <w:r>
        <w:rPr>
          <w:rStyle w:val="htmlcodes"/>
        </w:rPr>
        <w:t>&lt;a href=#y650&gt;</w:t>
      </w:r>
      <w:r>
        <w:t xml:space="preserve">BIhE_650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name=y440&gt;</w:t>
      </w:r>
      <w:r>
        <w:t xml:space="preserve">SEI_440  </w:t>
      </w:r>
      <w:r>
        <w:rPr>
          <w:rStyle w:val="htmlcodes"/>
        </w:rPr>
        <w:t>&lt;/a&gt;</w:t>
      </w:r>
      <w:r>
        <w:tab/>
        <w:t>:</w:t>
      </w:r>
      <w:r>
        <w:tab/>
      </w:r>
      <w:r>
        <w:rPr>
          <w:rStyle w:val="htmlcodes"/>
        </w:rPr>
        <w:t>&lt;a href=#y597&gt;</w:t>
      </w:r>
      <w:r>
        <w:t xml:space="preserve">SEI_597  </w:t>
      </w:r>
      <w:r>
        <w:rPr>
          <w:rStyle w:val="htmlcodes"/>
        </w:rPr>
        <w:t>&lt;/a&gt;</w:t>
      </w:r>
    </w:p>
    <w:p w:rsidR="00B72047" w:rsidRDefault="00B72047">
      <w:pPr>
        <w:pStyle w:val="YACC"/>
      </w:pPr>
      <w:r>
        <w:tab/>
        <w:t>|</w:t>
      </w:r>
      <w:r>
        <w:tab/>
      </w:r>
      <w:r>
        <w:rPr>
          <w:rStyle w:val="htmlcodes"/>
        </w:rPr>
        <w:t>&lt;a href=#y597&gt;</w:t>
      </w:r>
      <w:r>
        <w:t xml:space="preserve">SEI_597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name=y441&gt;</w:t>
      </w:r>
      <w:r>
        <w:t xml:space="preserve">FUhA_441  </w:t>
      </w:r>
      <w:r>
        <w:rPr>
          <w:rStyle w:val="htmlcodes"/>
        </w:rPr>
        <w:t>&lt;/a&gt;</w:t>
      </w:r>
      <w:r>
        <w:tab/>
        <w:t>:</w:t>
      </w:r>
      <w:r>
        <w:tab/>
      </w:r>
      <w:r>
        <w:rPr>
          <w:rStyle w:val="htmlcodes"/>
        </w:rPr>
        <w:t>&lt;a href=#y655&gt;</w:t>
      </w:r>
      <w:r>
        <w:t xml:space="preserve">FUhA_655  </w:t>
      </w:r>
      <w:r>
        <w:rPr>
          <w:rStyle w:val="htmlcodes"/>
        </w:rPr>
        <w:t>&lt;/a&gt;</w:t>
      </w:r>
    </w:p>
    <w:p w:rsidR="00B72047" w:rsidRDefault="00B72047">
      <w:pPr>
        <w:pStyle w:val="YACC"/>
      </w:pPr>
      <w:r>
        <w:tab/>
        <w:t>|</w:t>
      </w:r>
      <w:r>
        <w:tab/>
      </w:r>
      <w:r>
        <w:rPr>
          <w:rStyle w:val="htmlcodes"/>
        </w:rPr>
        <w:t>&lt;a href=#y655&gt;</w:t>
      </w:r>
      <w:r>
        <w:t xml:space="preserve">FUhA_655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name=y442&gt;</w:t>
      </w:r>
      <w:r>
        <w:t xml:space="preserve">BEI_442  </w:t>
      </w:r>
      <w:r>
        <w:rPr>
          <w:rStyle w:val="htmlcodes"/>
        </w:rPr>
        <w:t>&lt;/a&gt;</w:t>
      </w:r>
      <w:r>
        <w:tab/>
        <w:t>:</w:t>
      </w:r>
      <w:r>
        <w:tab/>
      </w:r>
      <w:r>
        <w:rPr>
          <w:rStyle w:val="htmlcodes"/>
        </w:rPr>
        <w:t>&lt;a href=#y505&gt;</w:t>
      </w:r>
      <w:r>
        <w:t xml:space="preserve">BEI_505  </w:t>
      </w:r>
      <w:r>
        <w:rPr>
          <w:rStyle w:val="htmlcodes"/>
        </w:rPr>
        <w:t>&lt;/a&gt;</w:t>
      </w:r>
    </w:p>
    <w:p w:rsidR="00B72047" w:rsidRDefault="00B72047">
      <w:pPr>
        <w:pStyle w:val="YACC"/>
      </w:pPr>
      <w:r>
        <w:tab/>
        <w:t>|</w:t>
      </w:r>
      <w:r>
        <w:tab/>
      </w:r>
      <w:r>
        <w:rPr>
          <w:rStyle w:val="htmlcodes"/>
        </w:rPr>
        <w:t>&lt;a href=#y505&gt;</w:t>
      </w:r>
      <w:r>
        <w:t xml:space="preserve">BEI_505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name=y443&gt;</w:t>
      </w:r>
      <w:r>
        <w:t xml:space="preserve">CO_443  </w:t>
      </w:r>
      <w:r>
        <w:rPr>
          <w:rStyle w:val="htmlcodes"/>
        </w:rPr>
        <w:t>&lt;/a&gt;</w:t>
      </w:r>
      <w:r>
        <w:tab/>
        <w:t>:</w:t>
      </w:r>
      <w:r>
        <w:tab/>
      </w:r>
      <w:r>
        <w:rPr>
          <w:rStyle w:val="htmlcodes"/>
        </w:rPr>
        <w:t>&lt;a href=#y519&gt;</w:t>
      </w:r>
      <w:r>
        <w:t xml:space="preserve">CO_519  </w:t>
      </w:r>
      <w:r>
        <w:rPr>
          <w:rStyle w:val="htmlcodes"/>
        </w:rPr>
        <w:t>&lt;/a&gt;</w:t>
      </w:r>
    </w:p>
    <w:p w:rsidR="00B72047" w:rsidRDefault="00B72047">
      <w:pPr>
        <w:pStyle w:val="YACC"/>
      </w:pPr>
      <w:r>
        <w:tab/>
        <w:t>|</w:t>
      </w:r>
      <w:r>
        <w:tab/>
      </w:r>
      <w:r>
        <w:rPr>
          <w:rStyle w:val="htmlcodes"/>
        </w:rPr>
        <w:t>&lt;a href=#y519&gt;</w:t>
      </w:r>
      <w:r>
        <w:t xml:space="preserve">CO_519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name=y444&gt;</w:t>
      </w:r>
      <w:r>
        <w:t xml:space="preserve">CEI_444  </w:t>
      </w:r>
      <w:r>
        <w:rPr>
          <w:rStyle w:val="htmlcodes"/>
        </w:rPr>
        <w:t>&lt;/a&gt;</w:t>
      </w:r>
      <w:r>
        <w:tab/>
        <w:t>:</w:t>
      </w:r>
      <w:r>
        <w:tab/>
      </w:r>
      <w:r>
        <w:rPr>
          <w:rStyle w:val="htmlcodes"/>
        </w:rPr>
        <w:t>&lt;a href=#y516&gt;</w:t>
      </w:r>
      <w:r>
        <w:t xml:space="preserve">CEI_516  </w:t>
      </w:r>
      <w:r>
        <w:rPr>
          <w:rStyle w:val="htmlcodes"/>
        </w:rPr>
        <w:t>&lt;/a&gt;</w:t>
      </w:r>
    </w:p>
    <w:p w:rsidR="00B72047" w:rsidRDefault="00B72047">
      <w:pPr>
        <w:pStyle w:val="YACC"/>
      </w:pPr>
      <w:r>
        <w:tab/>
        <w:t>|</w:t>
      </w:r>
      <w:r>
        <w:tab/>
      </w:r>
      <w:r>
        <w:rPr>
          <w:rStyle w:val="htmlcodes"/>
        </w:rPr>
        <w:t>&lt;a href=#y516&gt;</w:t>
      </w:r>
      <w:r>
        <w:t xml:space="preserve">CEI_516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name=y445&gt;</w:t>
      </w:r>
      <w:r>
        <w:t xml:space="preserve">NA_445  </w:t>
      </w:r>
      <w:r>
        <w:rPr>
          <w:rStyle w:val="htmlcodes"/>
        </w:rPr>
        <w:t>&lt;/a&gt;</w:t>
      </w:r>
      <w:r>
        <w:tab/>
        <w:t>:</w:t>
      </w:r>
      <w:r>
        <w:tab/>
      </w:r>
      <w:r>
        <w:rPr>
          <w:rStyle w:val="htmlcodes"/>
        </w:rPr>
        <w:t>&lt;a href=#y578&gt;</w:t>
      </w:r>
      <w:r>
        <w:t xml:space="preserve">NA_578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name=y446&gt;</w:t>
      </w:r>
      <w:r>
        <w:t xml:space="preserve">BE_446  </w:t>
      </w:r>
      <w:r>
        <w:rPr>
          <w:rStyle w:val="htmlcodes"/>
        </w:rPr>
        <w:t>&lt;/a&gt;</w:t>
      </w:r>
      <w:r>
        <w:tab/>
        <w:t>:</w:t>
      </w:r>
      <w:r>
        <w:tab/>
      </w:r>
      <w:r>
        <w:rPr>
          <w:rStyle w:val="htmlcodes"/>
        </w:rPr>
        <w:t>&lt;a href=#y504&gt;</w:t>
      </w:r>
      <w:r>
        <w:t xml:space="preserve">BE_504  </w:t>
      </w:r>
      <w:r>
        <w:rPr>
          <w:rStyle w:val="htmlcodes"/>
        </w:rPr>
        <w:t>&lt;/a&gt;</w:t>
      </w:r>
    </w:p>
    <w:p w:rsidR="00B72047" w:rsidRDefault="00B72047">
      <w:pPr>
        <w:pStyle w:val="YACC"/>
      </w:pPr>
      <w:r>
        <w:tab/>
        <w:t>|</w:t>
      </w:r>
      <w:r>
        <w:tab/>
      </w:r>
      <w:r>
        <w:rPr>
          <w:rStyle w:val="htmlcodes"/>
        </w:rPr>
        <w:t>&lt;a href=#y504&gt;</w:t>
      </w:r>
      <w:r>
        <w:t xml:space="preserve">BE_504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name=y447&gt;</w:t>
      </w:r>
      <w:r>
        <w:t xml:space="preserve">TUhE_447  </w:t>
      </w:r>
      <w:r>
        <w:rPr>
          <w:rStyle w:val="htmlcodes"/>
        </w:rPr>
        <w:t>&lt;/a&gt;</w:t>
      </w:r>
      <w:r>
        <w:tab/>
        <w:t>:</w:t>
      </w:r>
      <w:r>
        <w:tab/>
      </w:r>
      <w:r>
        <w:rPr>
          <w:rStyle w:val="htmlcodes"/>
        </w:rPr>
        <w:t>&lt;a href=#y610&gt;</w:t>
      </w:r>
      <w:r>
        <w:t xml:space="preserve">TUhE_610  </w:t>
      </w:r>
      <w:r>
        <w:rPr>
          <w:rStyle w:val="htmlcodes"/>
        </w:rPr>
        <w:t>&lt;/a&gt;</w:t>
      </w:r>
    </w:p>
    <w:p w:rsidR="00B72047" w:rsidRDefault="00B72047">
      <w:pPr>
        <w:pStyle w:val="YACC"/>
      </w:pPr>
      <w:r>
        <w:tab/>
        <w:t>|</w:t>
      </w:r>
      <w:r>
        <w:tab/>
      </w:r>
      <w:r>
        <w:rPr>
          <w:rStyle w:val="htmlcodes"/>
        </w:rPr>
        <w:t>&lt;a href=#y610&gt;</w:t>
      </w:r>
      <w:r>
        <w:t xml:space="preserve">TUhE_610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name=y448&gt;</w:t>
      </w:r>
      <w:r>
        <w:t xml:space="preserve">LIhU_gap_448  </w:t>
      </w:r>
      <w:r>
        <w:rPr>
          <w:rStyle w:val="htmlcodes"/>
        </w:rPr>
        <w:t>&lt;/a&gt;</w:t>
      </w:r>
      <w:r>
        <w:tab/>
        <w:t>:</w:t>
      </w:r>
      <w:r>
        <w:tab/>
      </w:r>
      <w:r>
        <w:rPr>
          <w:rStyle w:val="htmlcodes"/>
        </w:rPr>
        <w:t>&lt;a href=#y567&gt;</w:t>
      </w:r>
      <w:r>
        <w:t xml:space="preserve">LIhU_567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name=y450&gt;</w:t>
      </w:r>
      <w:r>
        <w:t xml:space="preserve">gap_450  </w:t>
      </w:r>
      <w:r>
        <w:rPr>
          <w:rStyle w:val="htmlcodes"/>
        </w:rPr>
        <w:t>&lt;/a&gt;</w:t>
      </w:r>
      <w:r>
        <w:tab/>
        <w:t>:</w:t>
      </w:r>
      <w:r>
        <w:tab/>
      </w:r>
      <w:r>
        <w:rPr>
          <w:rStyle w:val="htmlcodes"/>
        </w:rPr>
        <w:t>&lt;a href=#y556&gt;</w:t>
      </w:r>
      <w:r>
        <w:t xml:space="preserve">KU_556  </w:t>
      </w:r>
      <w:r>
        <w:rPr>
          <w:rStyle w:val="htmlcodes"/>
        </w:rPr>
        <w:t>&lt;/a&gt;</w:t>
      </w:r>
    </w:p>
    <w:p w:rsidR="00B72047" w:rsidRDefault="00B72047">
      <w:pPr>
        <w:pStyle w:val="YACC"/>
      </w:pPr>
      <w:r>
        <w:tab/>
        <w:t>|</w:t>
      </w:r>
      <w:r>
        <w:tab/>
      </w:r>
      <w:r>
        <w:rPr>
          <w:rStyle w:val="htmlcodes"/>
        </w:rPr>
        <w:t>&lt;a href=#y556&gt;</w:t>
      </w:r>
      <w:r>
        <w:t xml:space="preserve">KU_556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name=y451&gt;</w:t>
      </w:r>
      <w:r>
        <w:t xml:space="preserve">front_gap_451  </w:t>
      </w:r>
      <w:r>
        <w:rPr>
          <w:rStyle w:val="htmlcodes"/>
        </w:rPr>
        <w:t>&lt;/a&gt;</w:t>
      </w:r>
      <w:r>
        <w:tab/>
        <w:t>:</w:t>
      </w:r>
      <w:r>
        <w:tab/>
      </w:r>
      <w:r>
        <w:rPr>
          <w:rStyle w:val="htmlcodes"/>
        </w:rPr>
        <w:t>&lt;a href=#y521&gt;</w:t>
      </w:r>
      <w:r>
        <w:t xml:space="preserve">CU_521  </w:t>
      </w:r>
      <w:r>
        <w:rPr>
          <w:rStyle w:val="htmlcodes"/>
        </w:rPr>
        <w:t>&lt;/a&gt;</w:t>
      </w:r>
    </w:p>
    <w:p w:rsidR="00B72047" w:rsidRDefault="00B72047">
      <w:pPr>
        <w:pStyle w:val="YACC"/>
      </w:pPr>
      <w:r>
        <w:tab/>
        <w:t>|</w:t>
      </w:r>
      <w:r>
        <w:tab/>
      </w:r>
      <w:r>
        <w:rPr>
          <w:rStyle w:val="htmlcodes"/>
        </w:rPr>
        <w:t>&lt;a href=#y521&gt;</w:t>
      </w:r>
      <w:r>
        <w:t xml:space="preserve">CU_521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name=y452&gt;</w:t>
      </w:r>
      <w:r>
        <w:t xml:space="preserve">MEX_gap_452  </w:t>
      </w:r>
      <w:r>
        <w:rPr>
          <w:rStyle w:val="htmlcodes"/>
        </w:rPr>
        <w:t>&lt;/a&gt;</w:t>
      </w:r>
      <w:r>
        <w:tab/>
        <w:t>:</w:t>
      </w:r>
      <w:r>
        <w:tab/>
      </w:r>
      <w:r>
        <w:rPr>
          <w:rStyle w:val="htmlcodes"/>
        </w:rPr>
        <w:t>&lt;a href=#y658&gt;</w:t>
      </w:r>
      <w:r>
        <w:t xml:space="preserve">KUhE_658  </w:t>
      </w:r>
      <w:r>
        <w:rPr>
          <w:rStyle w:val="htmlcodes"/>
        </w:rPr>
        <w:t>&lt;/a&gt;</w:t>
      </w:r>
    </w:p>
    <w:p w:rsidR="00B72047" w:rsidRDefault="00B72047">
      <w:pPr>
        <w:pStyle w:val="YACC"/>
      </w:pPr>
      <w:r>
        <w:tab/>
        <w:t>|</w:t>
      </w:r>
      <w:r>
        <w:tab/>
      </w:r>
      <w:r>
        <w:rPr>
          <w:rStyle w:val="htmlcodes"/>
        </w:rPr>
        <w:t>&lt;a href=#y658&gt;</w:t>
      </w:r>
      <w:r>
        <w:t xml:space="preserve">KUhE_658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name=y453&gt;</w:t>
      </w:r>
      <w:r>
        <w:t xml:space="preserve">KEI_gap_453  </w:t>
      </w:r>
      <w:r>
        <w:rPr>
          <w:rStyle w:val="htmlcodes"/>
        </w:rPr>
        <w:t>&lt;/a&gt;</w:t>
      </w:r>
      <w:r>
        <w:tab/>
        <w:t>:</w:t>
      </w:r>
      <w:r>
        <w:tab/>
      </w:r>
      <w:r>
        <w:rPr>
          <w:rStyle w:val="htmlcodes"/>
        </w:rPr>
        <w:t>&lt;a href=#y552&gt;</w:t>
      </w:r>
      <w:r>
        <w:t xml:space="preserve">KEI_552  </w:t>
      </w:r>
      <w:r>
        <w:rPr>
          <w:rStyle w:val="htmlcodes"/>
        </w:rPr>
        <w:t>&lt;/a&gt;</w:t>
      </w:r>
    </w:p>
    <w:p w:rsidR="00B72047" w:rsidRDefault="00B72047">
      <w:pPr>
        <w:pStyle w:val="YACC"/>
      </w:pPr>
      <w:r>
        <w:tab/>
        <w:t>|</w:t>
      </w:r>
      <w:r>
        <w:tab/>
      </w:r>
      <w:r>
        <w:rPr>
          <w:rStyle w:val="htmlcodes"/>
        </w:rPr>
        <w:t>&lt;a href=#y552&gt;</w:t>
      </w:r>
      <w:r>
        <w:t xml:space="preserve">KEI_552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name=y454&gt;</w:t>
      </w:r>
      <w:r>
        <w:t xml:space="preserve">TUhU_gap_454  </w:t>
      </w:r>
      <w:r>
        <w:rPr>
          <w:rStyle w:val="htmlcodes"/>
        </w:rPr>
        <w:t>&lt;/a&gt;</w:t>
      </w:r>
      <w:r>
        <w:tab/>
        <w:t>:</w:t>
      </w:r>
      <w:r>
        <w:tab/>
      </w:r>
      <w:r>
        <w:rPr>
          <w:rStyle w:val="htmlcodes"/>
        </w:rPr>
        <w:t>&lt;a href=#y611&gt;</w:t>
      </w:r>
      <w:r>
        <w:t xml:space="preserve">TUhU_611  </w:t>
      </w:r>
      <w:r>
        <w:rPr>
          <w:rStyle w:val="htmlcodes"/>
        </w:rPr>
        <w:t>&lt;/a&gt;</w:t>
      </w:r>
    </w:p>
    <w:p w:rsidR="00B72047" w:rsidRDefault="00B72047">
      <w:pPr>
        <w:pStyle w:val="YACC"/>
      </w:pPr>
      <w:r>
        <w:tab/>
        <w:t>|</w:t>
      </w:r>
      <w:r>
        <w:tab/>
      </w:r>
      <w:r>
        <w:rPr>
          <w:rStyle w:val="htmlcodes"/>
        </w:rPr>
        <w:t>&lt;a href=#y611&gt;</w:t>
      </w:r>
      <w:r>
        <w:t xml:space="preserve">TUhU_611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name=y456&gt;</w:t>
      </w:r>
      <w:r>
        <w:t xml:space="preserve">VAU_gap_456  </w:t>
      </w:r>
      <w:r>
        <w:rPr>
          <w:rStyle w:val="htmlcodes"/>
        </w:rPr>
        <w:t>&lt;/a&gt;</w:t>
      </w:r>
      <w:r>
        <w:tab/>
        <w:t>:</w:t>
      </w:r>
      <w:r>
        <w:tab/>
      </w:r>
      <w:r>
        <w:rPr>
          <w:rStyle w:val="htmlcodes"/>
        </w:rPr>
        <w:t>&lt;a href=#y614&gt;</w:t>
      </w:r>
      <w:r>
        <w:t xml:space="preserve">VAU_614  </w:t>
      </w:r>
      <w:r>
        <w:rPr>
          <w:rStyle w:val="htmlcodes"/>
        </w:rPr>
        <w:t>&lt;/a&gt;</w:t>
      </w:r>
    </w:p>
    <w:p w:rsidR="00B72047" w:rsidRDefault="00B72047">
      <w:pPr>
        <w:pStyle w:val="YACC"/>
      </w:pPr>
      <w:r>
        <w:tab/>
        <w:t>|</w:t>
      </w:r>
      <w:r>
        <w:tab/>
      </w:r>
      <w:r>
        <w:rPr>
          <w:rStyle w:val="htmlcodes"/>
        </w:rPr>
        <w:t>&lt;a href=#y614&gt;</w:t>
      </w:r>
      <w:r>
        <w:t xml:space="preserve">VAU_614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comment"/>
      </w:pPr>
      <w:r>
        <w:t>/* redundant to attach a free modifier on the following */</w:t>
      </w:r>
    </w:p>
    <w:p w:rsidR="00B72047" w:rsidRDefault="00B72047">
      <w:pPr>
        <w:pStyle w:val="YACCtoken"/>
        <w:spacing w:before="40"/>
      </w:pPr>
      <w:r>
        <w:rPr>
          <w:rStyle w:val="htmlcodes"/>
        </w:rPr>
        <w:t>&lt;a name=y457&gt;</w:t>
      </w:r>
      <w:r>
        <w:t xml:space="preserve">DOhU_gap_457  </w:t>
      </w:r>
      <w:r>
        <w:rPr>
          <w:rStyle w:val="htmlcodes"/>
        </w:rPr>
        <w:t>&lt;/a&gt;</w:t>
      </w:r>
      <w:r>
        <w:tab/>
        <w:t>:</w:t>
      </w:r>
      <w:r>
        <w:tab/>
      </w:r>
      <w:r>
        <w:rPr>
          <w:rStyle w:val="htmlcodes"/>
        </w:rPr>
        <w:t>&lt;a href=#y526&gt;</w:t>
      </w:r>
      <w:r>
        <w:t xml:space="preserve">DOhU_526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name=y458&gt;</w:t>
      </w:r>
      <w:r>
        <w:t xml:space="preserve">FEhU_gap_458  </w:t>
      </w:r>
      <w:r>
        <w:rPr>
          <w:rStyle w:val="htmlcodes"/>
        </w:rPr>
        <w:t>&lt;/a&gt;</w:t>
      </w:r>
      <w:r>
        <w:tab/>
        <w:t>:</w:t>
      </w:r>
      <w:r>
        <w:tab/>
      </w:r>
      <w:r>
        <w:rPr>
          <w:rStyle w:val="htmlcodes"/>
        </w:rPr>
        <w:t>&lt;a href=#y531&gt;</w:t>
      </w:r>
      <w:r>
        <w:t xml:space="preserve">FEhU_531  </w:t>
      </w:r>
      <w:r>
        <w:rPr>
          <w:rStyle w:val="htmlcodes"/>
        </w:rPr>
        <w:t>&lt;/a&gt;</w:t>
      </w:r>
    </w:p>
    <w:p w:rsidR="00B72047" w:rsidRDefault="00B72047">
      <w:pPr>
        <w:pStyle w:val="YACC"/>
      </w:pPr>
      <w:r>
        <w:tab/>
        <w:t>|</w:t>
      </w:r>
      <w:r>
        <w:tab/>
      </w:r>
      <w:r>
        <w:rPr>
          <w:rStyle w:val="htmlcodes"/>
        </w:rPr>
        <w:t>&lt;a href=#y531&gt;</w:t>
      </w:r>
      <w:r>
        <w:t xml:space="preserve">FEhU_531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name=y459&gt;</w:t>
      </w:r>
      <w:r>
        <w:t xml:space="preserve">SEhU_gap_459  </w:t>
      </w:r>
      <w:r>
        <w:rPr>
          <w:rStyle w:val="htmlcodes"/>
        </w:rPr>
        <w:t>&lt;/a&gt;</w:t>
      </w:r>
      <w:r>
        <w:tab/>
        <w:t>:</w:t>
      </w:r>
      <w:r>
        <w:tab/>
      </w:r>
      <w:r>
        <w:rPr>
          <w:rStyle w:val="htmlcodes"/>
        </w:rPr>
        <w:t>&lt;a href=#y598&gt;</w:t>
      </w:r>
      <w:r>
        <w:t xml:space="preserve">SEhU_598  </w:t>
      </w:r>
      <w:r>
        <w:rPr>
          <w:rStyle w:val="htmlcodes"/>
        </w:rPr>
        <w:t>&lt;/a&gt;</w:t>
      </w:r>
    </w:p>
    <w:p w:rsidR="00B72047" w:rsidRDefault="00B72047">
      <w:pPr>
        <w:pStyle w:val="YACC"/>
      </w:pPr>
      <w:r>
        <w:tab/>
        <w:t>|</w:t>
      </w:r>
      <w:r>
        <w:tab/>
        <w:t>error</w:t>
      </w:r>
    </w:p>
    <w:p w:rsidR="00B72047" w:rsidRDefault="00B72047">
      <w:pPr>
        <w:pStyle w:val="YACCcomment"/>
        <w:spacing w:before="0"/>
      </w:pPr>
      <w:r>
        <w:rPr>
          <w:rStyle w:val="deletedparamark"/>
          <w:sz w:val="16"/>
          <w:szCs w:val="16"/>
        </w:rPr>
        <w:t>/*</w:t>
      </w:r>
      <w:r>
        <w:t xml:space="preserve"> a free modifier on a discursive should be somewhere within the discursive. See </w:t>
      </w:r>
      <w:r>
        <w:rPr>
          <w:rStyle w:val="htmlcodes"/>
        </w:rPr>
        <w:t>&lt;a href=#y440&gt;</w:t>
      </w:r>
      <w:r>
        <w:t xml:space="preserve">SEI_440   </w:t>
      </w:r>
      <w:r>
        <w:rPr>
          <w:rStyle w:val="htmlcodes"/>
        </w:rPr>
        <w:t>&lt;/a&gt;</w:t>
      </w:r>
      <w:r>
        <w:t>*/</w:t>
      </w:r>
    </w:p>
    <w:p w:rsidR="00B72047" w:rsidRDefault="00B72047">
      <w:pPr>
        <w:pStyle w:val="YACC"/>
      </w:pPr>
      <w:r>
        <w:tab/>
        <w:t>;</w:t>
      </w:r>
    </w:p>
    <w:p w:rsidR="00B72047" w:rsidRDefault="00B72047">
      <w:pPr>
        <w:pStyle w:val="YACCtoken"/>
      </w:pPr>
      <w:r>
        <w:rPr>
          <w:rStyle w:val="htmlcodes"/>
        </w:rPr>
        <w:t>&lt;a name=y460&gt;</w:t>
      </w:r>
      <w:r>
        <w:t xml:space="preserve">NUhU_gap_460  </w:t>
      </w:r>
      <w:r>
        <w:rPr>
          <w:rStyle w:val="htmlcodes"/>
        </w:rPr>
        <w:t>&lt;/a&gt;</w:t>
      </w:r>
      <w:r>
        <w:tab/>
        <w:t>:</w:t>
      </w:r>
      <w:r>
        <w:tab/>
      </w:r>
      <w:r>
        <w:rPr>
          <w:rStyle w:val="htmlcodes"/>
        </w:rPr>
        <w:t>&lt;a href=#y588&gt;</w:t>
      </w:r>
      <w:r>
        <w:t xml:space="preserve">NUhU_588  </w:t>
      </w:r>
      <w:r>
        <w:rPr>
          <w:rStyle w:val="htmlcodes"/>
        </w:rPr>
        <w:t>&lt;/a&gt;</w:t>
      </w:r>
    </w:p>
    <w:p w:rsidR="00B72047" w:rsidRDefault="00B72047">
      <w:pPr>
        <w:pStyle w:val="YACC"/>
      </w:pPr>
      <w:r>
        <w:tab/>
        <w:t>|</w:t>
      </w:r>
      <w:r>
        <w:tab/>
      </w:r>
      <w:r>
        <w:rPr>
          <w:rStyle w:val="htmlcodes"/>
        </w:rPr>
        <w:t>&lt;a href=#y588&gt;</w:t>
      </w:r>
      <w:r>
        <w:t xml:space="preserve">NUhU_588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name=y461&gt;</w:t>
      </w:r>
      <w:r>
        <w:t xml:space="preserve">BOI_gap_461  </w:t>
      </w:r>
      <w:r>
        <w:rPr>
          <w:rStyle w:val="htmlcodes"/>
        </w:rPr>
        <w:t>&lt;/a&gt;</w:t>
      </w:r>
      <w:r>
        <w:tab/>
        <w:t>:</w:t>
      </w:r>
      <w:r>
        <w:tab/>
      </w:r>
      <w:r>
        <w:rPr>
          <w:rStyle w:val="htmlcodes"/>
        </w:rPr>
        <w:t>&lt;a href=#y651&gt;</w:t>
      </w:r>
      <w:r>
        <w:t xml:space="preserve">BOI_651  </w:t>
      </w:r>
      <w:r>
        <w:rPr>
          <w:rStyle w:val="htmlcodes"/>
        </w:rPr>
        <w:t>&lt;/a&gt;</w:t>
      </w:r>
    </w:p>
    <w:p w:rsidR="00B72047" w:rsidRDefault="00B72047">
      <w:pPr>
        <w:pStyle w:val="YACC"/>
      </w:pPr>
      <w:r>
        <w:tab/>
        <w:t>|</w:t>
      </w:r>
      <w:r>
        <w:tab/>
      </w:r>
      <w:r>
        <w:rPr>
          <w:rStyle w:val="htmlcodes"/>
        </w:rPr>
        <w:t>&lt;a href=#y651&gt;</w:t>
      </w:r>
      <w:r>
        <w:t xml:space="preserve">BOI_651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name=y462&gt;</w:t>
      </w:r>
      <w:r>
        <w:t xml:space="preserve">sub_gap_462  </w:t>
      </w:r>
      <w:r>
        <w:rPr>
          <w:rStyle w:val="htmlcodes"/>
        </w:rPr>
        <w:t>&lt;/a&gt;</w:t>
      </w:r>
      <w:r>
        <w:tab/>
        <w:t>:</w:t>
      </w:r>
      <w:r>
        <w:tab/>
      </w:r>
      <w:r>
        <w:rPr>
          <w:rStyle w:val="htmlcodes"/>
        </w:rPr>
        <w:t>&lt;a href=#y651&gt;</w:t>
      </w:r>
      <w:r>
        <w:t xml:space="preserve">BOI_651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name=y463&gt;</w:t>
      </w:r>
      <w:r>
        <w:t xml:space="preserve">LUhU_gap_463  </w:t>
      </w:r>
      <w:r>
        <w:rPr>
          <w:rStyle w:val="htmlcodes"/>
        </w:rPr>
        <w:t>&lt;/a&gt;</w:t>
      </w:r>
      <w:r>
        <w:tab/>
        <w:t>:</w:t>
      </w:r>
      <w:r>
        <w:tab/>
      </w:r>
      <w:r>
        <w:rPr>
          <w:rStyle w:val="htmlcodes"/>
        </w:rPr>
        <w:t>&lt;a href=#y573&gt;</w:t>
      </w:r>
      <w:r>
        <w:t xml:space="preserve">LUhU_573  </w:t>
      </w:r>
      <w:r>
        <w:rPr>
          <w:rStyle w:val="htmlcodes"/>
        </w:rPr>
        <w:t>&lt;/a&gt;</w:t>
      </w:r>
    </w:p>
    <w:p w:rsidR="00B72047" w:rsidRDefault="00B72047">
      <w:pPr>
        <w:pStyle w:val="YACC"/>
      </w:pPr>
      <w:r>
        <w:tab/>
        <w:t>|</w:t>
      </w:r>
      <w:r>
        <w:tab/>
      </w:r>
      <w:r>
        <w:rPr>
          <w:rStyle w:val="htmlcodes"/>
        </w:rPr>
        <w:t>&lt;a href=#y573&gt;</w:t>
      </w:r>
      <w:r>
        <w:t xml:space="preserve">LUhU_573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name=y464&gt;</w:t>
      </w:r>
      <w:r>
        <w:t xml:space="preserve">GEhU_gap_464  </w:t>
      </w:r>
      <w:r>
        <w:rPr>
          <w:rStyle w:val="htmlcodes"/>
        </w:rPr>
        <w:t>&lt;/a&gt;</w:t>
      </w:r>
      <w:r>
        <w:tab/>
        <w:t>:</w:t>
      </w:r>
      <w:r>
        <w:tab/>
      </w:r>
      <w:r>
        <w:rPr>
          <w:rStyle w:val="htmlcodes"/>
        </w:rPr>
        <w:t>&lt;a href=#y538&gt;</w:t>
      </w:r>
      <w:r>
        <w:t xml:space="preserve">GEhU_538  </w:t>
      </w:r>
      <w:r>
        <w:rPr>
          <w:rStyle w:val="htmlcodes"/>
        </w:rPr>
        <w:t>&lt;/a&gt;</w:t>
      </w:r>
    </w:p>
    <w:p w:rsidR="00B72047" w:rsidRDefault="00B72047">
      <w:pPr>
        <w:pStyle w:val="YACC"/>
      </w:pPr>
      <w:r>
        <w:tab/>
        <w:t>|</w:t>
      </w:r>
      <w:r>
        <w:tab/>
      </w:r>
      <w:r>
        <w:rPr>
          <w:rStyle w:val="htmlcodes"/>
        </w:rPr>
        <w:t>&lt;a href=#y538&gt;</w:t>
      </w:r>
      <w:r>
        <w:t xml:space="preserve">GEhU_538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name=y465&gt;</w:t>
      </w:r>
      <w:r>
        <w:t xml:space="preserve">MEhU_gap_465  </w:t>
      </w:r>
      <w:r>
        <w:rPr>
          <w:rStyle w:val="htmlcodes"/>
        </w:rPr>
        <w:t>&lt;/a&gt;</w:t>
      </w:r>
      <w:r>
        <w:tab/>
        <w:t>:</w:t>
      </w:r>
      <w:r>
        <w:tab/>
      </w:r>
      <w:r>
        <w:rPr>
          <w:rStyle w:val="htmlcodes"/>
        </w:rPr>
        <w:t>&lt;a href=#y575&gt;</w:t>
      </w:r>
      <w:r>
        <w:t xml:space="preserve">MEhU_575  </w:t>
      </w:r>
      <w:r>
        <w:rPr>
          <w:rStyle w:val="htmlcodes"/>
        </w:rPr>
        <w:t>&lt;/a&gt;</w:t>
      </w:r>
    </w:p>
    <w:p w:rsidR="00B72047" w:rsidRDefault="00B72047">
      <w:pPr>
        <w:pStyle w:val="YACC"/>
      </w:pPr>
      <w:r>
        <w:tab/>
        <w:t>|</w:t>
      </w:r>
      <w:r>
        <w:tab/>
      </w:r>
      <w:r>
        <w:rPr>
          <w:rStyle w:val="htmlcodes"/>
        </w:rPr>
        <w:t>&lt;a href=#y575&gt;</w:t>
      </w:r>
      <w:r>
        <w:t xml:space="preserve">MEhU_575  </w:t>
      </w:r>
      <w:r>
        <w:rPr>
          <w:rStyle w:val="htmlcodes"/>
        </w:rPr>
        <w:t>&lt;/a&gt;</w:t>
      </w:r>
      <w:r>
        <w:t xml:space="preserve"> </w:t>
      </w:r>
      <w:r>
        <w:rPr>
          <w:rStyle w:val="htmlcodes"/>
        </w:rPr>
        <w: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name=y466&gt;</w:t>
      </w:r>
      <w:r>
        <w:t xml:space="preserve">KEhE_gap_466  </w:t>
      </w:r>
      <w:r>
        <w:rPr>
          <w:rStyle w:val="htmlcodes"/>
        </w:rPr>
        <w:t>&lt;/a&gt;</w:t>
      </w:r>
      <w:r>
        <w:tab/>
        <w:t>:</w:t>
      </w:r>
      <w:r>
        <w:tab/>
      </w:r>
      <w:r>
        <w:rPr>
          <w:rStyle w:val="htmlcodes"/>
        </w:rPr>
        <w:t>&lt;a href=#y550&gt;</w:t>
      </w:r>
      <w:r>
        <w:t xml:space="preserve">KEhE_550  </w:t>
      </w:r>
      <w:r>
        <w:rPr>
          <w:rStyle w:val="htmlcodes"/>
        </w:rPr>
        <w:t>&lt;/a&gt;</w:t>
      </w:r>
    </w:p>
    <w:p w:rsidR="00B72047" w:rsidRDefault="00B72047">
      <w:pPr>
        <w:pStyle w:val="YACC"/>
      </w:pPr>
      <w:r>
        <w:tab/>
        <w:t>|</w:t>
      </w:r>
      <w:r>
        <w:tab/>
      </w:r>
      <w:r>
        <w:rPr>
          <w:rStyle w:val="htmlcodes"/>
        </w:rPr>
        <w:t>&lt;a href=#y550&gt;</w:t>
      </w:r>
      <w:r>
        <w:t xml:space="preserve">KEhE_550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name=y467&gt;</w:t>
      </w:r>
      <w:r>
        <w:t xml:space="preserve">BEhO_gap_467  </w:t>
      </w:r>
      <w:r>
        <w:rPr>
          <w:rStyle w:val="htmlcodes"/>
        </w:rPr>
        <w:t>&lt;/a&gt;</w:t>
      </w:r>
      <w:r>
        <w:tab/>
        <w:t>:</w:t>
      </w:r>
      <w:r>
        <w:tab/>
      </w:r>
      <w:r>
        <w:rPr>
          <w:rStyle w:val="htmlcodes"/>
        </w:rPr>
        <w:t>&lt;a href=#y506&gt;</w:t>
      </w:r>
      <w:r>
        <w:t xml:space="preserve">BEhO_506  </w:t>
      </w:r>
      <w:r>
        <w:rPr>
          <w:rStyle w:val="htmlcodes"/>
        </w:rPr>
        <w:t>&lt;/a&gt;</w:t>
      </w:r>
    </w:p>
    <w:p w:rsidR="00B72047" w:rsidRDefault="00B72047">
      <w:pPr>
        <w:pStyle w:val="YACC"/>
      </w:pPr>
      <w:r>
        <w:tab/>
        <w:t>|</w:t>
      </w:r>
      <w:r>
        <w:tab/>
      </w:r>
      <w:r>
        <w:rPr>
          <w:rStyle w:val="htmlcodes"/>
        </w:rPr>
        <w:t>&lt;a href=#y506&gt;</w:t>
      </w:r>
      <w:r>
        <w:t xml:space="preserve">BEhO_506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name=y468&gt;</w:t>
      </w:r>
      <w:r>
        <w:t xml:space="preserve">TOI_gap_468  </w:t>
      </w:r>
      <w:r>
        <w:rPr>
          <w:rStyle w:val="htmlcodes"/>
        </w:rPr>
        <w:t>&lt;/a&gt;</w:t>
      </w:r>
      <w:r>
        <w:tab/>
        <w:t>:</w:t>
      </w:r>
      <w:r>
        <w:tab/>
      </w:r>
      <w:r>
        <w:rPr>
          <w:rStyle w:val="htmlcodes"/>
        </w:rPr>
        <w:t>&lt;a href=#y607&gt;</w:t>
      </w:r>
      <w:r>
        <w:t xml:space="preserve">TOI_607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name=y469&gt;</w:t>
      </w:r>
      <w:r>
        <w:t xml:space="preserve">KUhO_gap_469  </w:t>
      </w:r>
      <w:r>
        <w:rPr>
          <w:rStyle w:val="htmlcodes"/>
        </w:rPr>
        <w:t>&lt;/a&gt;</w:t>
      </w:r>
      <w:r>
        <w:tab/>
        <w:t>:</w:t>
      </w:r>
      <w:r>
        <w:tab/>
      </w:r>
      <w:r>
        <w:rPr>
          <w:rStyle w:val="htmlcodes"/>
        </w:rPr>
        <w:t>&lt;a href=#y557&gt;</w:t>
      </w:r>
      <w:r>
        <w:t xml:space="preserve">KUhO_557  </w:t>
      </w:r>
      <w:r>
        <w:rPr>
          <w:rStyle w:val="htmlcodes"/>
        </w:rPr>
        <w:t>&lt;/a&gt;</w:t>
      </w:r>
    </w:p>
    <w:p w:rsidR="00B72047" w:rsidRDefault="00B72047">
      <w:pPr>
        <w:pStyle w:val="YACC"/>
      </w:pPr>
      <w:r>
        <w:tab/>
        <w:t>|</w:t>
      </w:r>
      <w:r>
        <w:tab/>
      </w:r>
      <w:r>
        <w:rPr>
          <w:rStyle w:val="htmlcodes"/>
        </w:rPr>
        <w:t>&lt;a href=#y557&gt;</w:t>
      </w:r>
      <w:r>
        <w:t xml:space="preserve">KUhO_557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name=y470&gt;</w:t>
      </w:r>
      <w:r>
        <w:t xml:space="preserve">left_bracket_470  </w:t>
      </w:r>
      <w:r>
        <w:rPr>
          <w:rStyle w:val="htmlcodes"/>
        </w:rPr>
        <w:t>&lt;/a&gt;</w:t>
      </w:r>
      <w:r>
        <w:tab/>
        <w:t>:</w:t>
      </w:r>
      <w:r>
        <w:tab/>
      </w:r>
      <w:r>
        <w:rPr>
          <w:rStyle w:val="htmlcodes"/>
        </w:rPr>
        <w:t>&lt;a href=#y677&gt;</w:t>
      </w:r>
      <w:r>
        <w:t xml:space="preserve">VEI_677  </w:t>
      </w:r>
      <w:r>
        <w:rPr>
          <w:rStyle w:val="htmlcodes"/>
        </w:rPr>
        <w:t>&lt;/a&gt;</w:t>
      </w:r>
    </w:p>
    <w:p w:rsidR="00B72047" w:rsidRDefault="00B72047">
      <w:pPr>
        <w:pStyle w:val="YACC"/>
      </w:pPr>
      <w:r>
        <w:tab/>
        <w:t>|</w:t>
      </w:r>
      <w:r>
        <w:tab/>
      </w:r>
      <w:r>
        <w:rPr>
          <w:rStyle w:val="htmlcodes"/>
        </w:rPr>
        <w:t>&lt;a href=#y677&gt;</w:t>
      </w:r>
      <w:r>
        <w:t xml:space="preserve">VEI_677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name=y471&gt;</w:t>
      </w:r>
      <w:r>
        <w:t>right_bracket_gap_471</w:t>
      </w:r>
      <w:r>
        <w:tab/>
      </w:r>
      <w:r>
        <w:rPr>
          <w:rStyle w:val="htmlcodes"/>
        </w:rPr>
        <w:t>&lt;/a&gt;</w:t>
      </w:r>
      <w:r>
        <w:t>:</w:t>
      </w:r>
      <w:r>
        <w:tab/>
      </w:r>
      <w:r>
        <w:rPr>
          <w:rStyle w:val="htmlcodes"/>
        </w:rPr>
        <w:t>&lt;a href=#y678&gt;</w:t>
      </w:r>
      <w:r>
        <w:t xml:space="preserve">VEhO_678  </w:t>
      </w:r>
      <w:r>
        <w:rPr>
          <w:rStyle w:val="htmlcodes"/>
        </w:rPr>
        <w:t>&lt;/a&gt;</w:t>
      </w:r>
    </w:p>
    <w:p w:rsidR="00B72047" w:rsidRDefault="00B72047">
      <w:pPr>
        <w:pStyle w:val="YACC"/>
      </w:pPr>
      <w:r>
        <w:tab/>
        <w:t>|</w:t>
      </w:r>
      <w:r>
        <w:tab/>
      </w:r>
      <w:r>
        <w:rPr>
          <w:rStyle w:val="htmlcodes"/>
        </w:rPr>
        <w:t>&lt;a href=#y678&gt;</w:t>
      </w:r>
      <w:r>
        <w:t xml:space="preserve">VEhO_678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name=y472&gt;</w:t>
      </w:r>
      <w:r>
        <w:t xml:space="preserve">LOhO_gap_472  </w:t>
      </w:r>
      <w:r>
        <w:rPr>
          <w:rStyle w:val="htmlcodes"/>
        </w:rPr>
        <w:t>&lt;/a&gt;</w:t>
      </w:r>
      <w:r>
        <w:tab/>
        <w:t>:</w:t>
      </w:r>
      <w:r>
        <w:tab/>
      </w:r>
      <w:r>
        <w:rPr>
          <w:rStyle w:val="htmlcodes"/>
        </w:rPr>
        <w:t>&lt;a href=#y568&gt;</w:t>
      </w:r>
      <w:r>
        <w:t xml:space="preserve">LOhO_568  </w:t>
      </w:r>
      <w:r>
        <w:rPr>
          <w:rStyle w:val="htmlcodes"/>
        </w:rPr>
        <w:t>&lt;/a&gt;</w:t>
      </w:r>
    </w:p>
    <w:p w:rsidR="00B72047" w:rsidRDefault="00B72047">
      <w:pPr>
        <w:pStyle w:val="YACC"/>
      </w:pPr>
      <w:r>
        <w:tab/>
        <w:t>|</w:t>
      </w:r>
      <w:r>
        <w:tab/>
      </w:r>
      <w:r>
        <w:rPr>
          <w:rStyle w:val="htmlcodes"/>
        </w:rPr>
        <w:t>&lt;a href=#y568&gt;</w:t>
      </w:r>
      <w:r>
        <w:t xml:space="preserve">LOhO_568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name=y473&gt;</w:t>
      </w:r>
      <w:r>
        <w:t xml:space="preserve">TEhU_gap_473  </w:t>
      </w:r>
      <w:r>
        <w:rPr>
          <w:rStyle w:val="htmlcodes"/>
        </w:rPr>
        <w:t>&lt;/a&gt;</w:t>
      </w:r>
      <w:r>
        <w:tab/>
        <w:t>:</w:t>
      </w:r>
      <w:r>
        <w:tab/>
      </w:r>
      <w:r>
        <w:rPr>
          <w:rStyle w:val="htmlcodes"/>
        </w:rPr>
        <w:t>&lt;a href=#y675&gt;</w:t>
      </w:r>
      <w:r>
        <w:t xml:space="preserve">TEhU_675  </w:t>
      </w:r>
      <w:r>
        <w:rPr>
          <w:rStyle w:val="htmlcodes"/>
        </w:rPr>
        <w:t>&lt;/a&gt;</w:t>
      </w:r>
    </w:p>
    <w:p w:rsidR="00B72047" w:rsidRDefault="00B72047">
      <w:pPr>
        <w:pStyle w:val="YACC"/>
      </w:pPr>
      <w:r>
        <w:tab/>
        <w:t>|</w:t>
      </w:r>
      <w:r>
        <w:tab/>
      </w:r>
      <w:r>
        <w:rPr>
          <w:rStyle w:val="htmlcodes"/>
        </w:rPr>
        <w:t>&lt;a href=#y675&gt;</w:t>
      </w:r>
      <w:r>
        <w:t xml:space="preserve">TEhU_675  </w:t>
      </w:r>
      <w:r>
        <w:rPr>
          <w:rStyle w:val="htmlcodes"/>
        </w:rPr>
        <w:t>&lt;/a&gt;&lt;a href=#y32&gt;</w:t>
      </w:r>
      <w:r>
        <w:t xml:space="preserve">free_modifier_32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name=y474&gt;</w:t>
      </w:r>
      <w:r>
        <w:t>right_br_no_free_474</w:t>
      </w:r>
      <w:r>
        <w:tab/>
      </w:r>
      <w:r>
        <w:rPr>
          <w:rStyle w:val="htmlcodes"/>
        </w:rPr>
        <w:t>&lt;/a&gt;</w:t>
      </w:r>
      <w:r>
        <w:t>:</w:t>
      </w:r>
      <w:r>
        <w:tab/>
      </w:r>
      <w:r>
        <w:rPr>
          <w:rStyle w:val="htmlcodes"/>
        </w:rPr>
        <w:t>&lt;a href=#y678&gt;</w:t>
      </w:r>
      <w:r>
        <w:t xml:space="preserve">VEhO_678  </w:t>
      </w:r>
      <w:r>
        <w:rPr>
          <w:rStyle w:val="htmlcodes"/>
        </w:rPr>
        <w:t>&lt;/a&gt;</w:t>
      </w:r>
    </w:p>
    <w:p w:rsidR="00B72047" w:rsidRDefault="00B72047">
      <w:pPr>
        <w:pStyle w:val="YACC"/>
      </w:pPr>
      <w:r>
        <w:tab/>
        <w:t>|</w:t>
      </w:r>
      <w:r>
        <w:tab/>
        <w:t>error</w:t>
      </w:r>
    </w:p>
    <w:p w:rsidR="00B72047" w:rsidRDefault="00B72047">
      <w:pPr>
        <w:pStyle w:val="YACC"/>
      </w:pPr>
      <w:r>
        <w:tab/>
        <w:t>;</w:t>
      </w:r>
    </w:p>
    <w:p w:rsidR="00B72047" w:rsidRDefault="00B72047">
      <w:pPr>
        <w:pStyle w:val="YACCtoken"/>
      </w:pPr>
      <w:r>
        <w:rPr>
          <w:rStyle w:val="htmlcodes"/>
        </w:rPr>
        <w:t>&lt;a name=y475&gt;</w:t>
      </w:r>
      <w:r>
        <w:t xml:space="preserve">NUhA_475  </w:t>
      </w:r>
      <w:r>
        <w:rPr>
          <w:rStyle w:val="htmlcodes"/>
        </w:rPr>
        <w:t>&lt;/a&gt;</w:t>
      </w:r>
      <w:r>
        <w:tab/>
        <w:t>:</w:t>
      </w:r>
      <w:r>
        <w:tab/>
      </w:r>
      <w:r>
        <w:rPr>
          <w:rStyle w:val="htmlcodes"/>
        </w:rPr>
        <w:t>&lt;a href=#y667&gt;</w:t>
      </w:r>
      <w:r>
        <w:t xml:space="preserve">NUhA_667  </w:t>
      </w:r>
      <w:r>
        <w:rPr>
          <w:rStyle w:val="htmlcodes"/>
        </w:rPr>
        <w:t>&lt;/a&gt;</w:t>
      </w:r>
    </w:p>
    <w:p w:rsidR="00B72047" w:rsidRDefault="00B72047">
      <w:pPr>
        <w:pStyle w:val="YACC"/>
      </w:pPr>
      <w:r>
        <w:tab/>
        <w:t>|</w:t>
      </w:r>
      <w:r>
        <w:tab/>
      </w:r>
      <w:r>
        <w:rPr>
          <w:rStyle w:val="htmlcodes"/>
        </w:rPr>
        <w:t>&lt;a href=#y667&gt;</w:t>
      </w:r>
      <w:r>
        <w:t xml:space="preserve">NUhA_667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name=y476&gt;</w:t>
      </w:r>
      <w:r>
        <w:t xml:space="preserve">MOI_476  </w:t>
      </w:r>
      <w:r>
        <w:rPr>
          <w:rStyle w:val="htmlcodes"/>
        </w:rPr>
        <w:t>&lt;/a&gt;</w:t>
      </w:r>
      <w:r>
        <w:tab/>
        <w:t>:</w:t>
      </w:r>
      <w:r>
        <w:tab/>
      </w:r>
      <w:r>
        <w:rPr>
          <w:rStyle w:val="htmlcodes"/>
        </w:rPr>
        <w:t>&lt;a href=#y663&gt;</w:t>
      </w:r>
      <w:r>
        <w:t xml:space="preserve">MOI_663  </w:t>
      </w:r>
      <w:r>
        <w:rPr>
          <w:rStyle w:val="htmlcodes"/>
        </w:rPr>
        <w:t>&lt;/a&gt;</w:t>
      </w:r>
    </w:p>
    <w:p w:rsidR="00B72047" w:rsidRDefault="00B72047">
      <w:pPr>
        <w:pStyle w:val="YACC"/>
      </w:pPr>
      <w:r>
        <w:tab/>
        <w:t>|</w:t>
      </w:r>
      <w:r>
        <w:tab/>
      </w:r>
      <w:r>
        <w:rPr>
          <w:rStyle w:val="htmlcodes"/>
        </w:rPr>
        <w:t>&lt;a href=#y663&gt;</w:t>
      </w:r>
      <w:r>
        <w:t xml:space="preserve">MOI_663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name=y477&gt;</w:t>
      </w:r>
      <w:r>
        <w:t xml:space="preserve">ME_477  </w:t>
      </w:r>
      <w:r>
        <w:rPr>
          <w:rStyle w:val="htmlcodes"/>
        </w:rPr>
        <w:t>&lt;/a&gt;</w:t>
      </w:r>
      <w:r>
        <w:tab/>
        <w:t>:</w:t>
      </w:r>
      <w:r>
        <w:tab/>
      </w:r>
      <w:r>
        <w:rPr>
          <w:rStyle w:val="htmlcodes"/>
        </w:rPr>
        <w:t>&lt;a href=#y574&gt;</w:t>
      </w:r>
      <w:r>
        <w:t xml:space="preserve">ME_574  </w:t>
      </w:r>
      <w:r>
        <w:rPr>
          <w:rStyle w:val="htmlcodes"/>
        </w:rPr>
        <w:t>&lt;/a&gt;</w:t>
      </w:r>
    </w:p>
    <w:p w:rsidR="00B72047" w:rsidRDefault="00B72047">
      <w:pPr>
        <w:pStyle w:val="YACC"/>
      </w:pPr>
      <w:r>
        <w:tab/>
        <w:t>|</w:t>
      </w:r>
      <w:r>
        <w:tab/>
      </w:r>
      <w:r>
        <w:rPr>
          <w:rStyle w:val="htmlcodes"/>
        </w:rPr>
        <w:t>&lt;a href=#y574&gt;</w:t>
      </w:r>
      <w:r>
        <w:t xml:space="preserve">ME_574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name=y478&gt;</w:t>
      </w:r>
      <w:r>
        <w:t xml:space="preserve">JAI_478  </w:t>
      </w:r>
      <w:r>
        <w:rPr>
          <w:rStyle w:val="htmlcodes"/>
        </w:rPr>
        <w:t>&lt;/a&gt;</w:t>
      </w:r>
      <w:r>
        <w:tab/>
        <w:t>:</w:t>
      </w:r>
      <w:r>
        <w:tab/>
      </w:r>
      <w:r>
        <w:rPr>
          <w:rStyle w:val="htmlcodes"/>
        </w:rPr>
        <w:t>&lt;a href=#y547&gt;</w:t>
      </w:r>
      <w:r>
        <w:t xml:space="preserve">JAI_547  </w:t>
      </w:r>
      <w:r>
        <w:rPr>
          <w:rStyle w:val="htmlcodes"/>
        </w:rPr>
        <w:t>&lt;/a&gt;</w:t>
      </w:r>
    </w:p>
    <w:p w:rsidR="00B72047" w:rsidRDefault="00B72047">
      <w:pPr>
        <w:pStyle w:val="YACC"/>
      </w:pPr>
      <w:r>
        <w:tab/>
        <w:t>|</w:t>
      </w:r>
      <w:r>
        <w:tab/>
      </w:r>
      <w:r>
        <w:rPr>
          <w:rStyle w:val="htmlcodes"/>
        </w:rPr>
        <w:t>&lt;a href=#y547&gt;</w:t>
      </w:r>
      <w:r>
        <w:t xml:space="preserve">JAI_547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name=y479&gt;</w:t>
      </w:r>
      <w:r>
        <w:t xml:space="preserve">BO_479  </w:t>
      </w:r>
      <w:r>
        <w:rPr>
          <w:rStyle w:val="htmlcodes"/>
        </w:rPr>
        <w:t>&lt;/a&gt;</w:t>
      </w:r>
      <w:r>
        <w:tab/>
        <w:t>:</w:t>
      </w:r>
      <w:r>
        <w:tab/>
      </w:r>
      <w:r>
        <w:rPr>
          <w:rStyle w:val="htmlcodes"/>
        </w:rPr>
        <w:t>&lt;a href=#y508&gt;</w:t>
      </w:r>
      <w:r>
        <w:t xml:space="preserve">BO_508  </w:t>
      </w:r>
      <w:r>
        <w:rPr>
          <w:rStyle w:val="htmlcodes"/>
        </w:rPr>
        <w:t>&lt;/a&gt;</w:t>
      </w:r>
    </w:p>
    <w:p w:rsidR="00B72047" w:rsidRDefault="00B72047">
      <w:pPr>
        <w:pStyle w:val="YACC"/>
      </w:pPr>
      <w:r>
        <w:tab/>
        <w:t>|</w:t>
      </w:r>
      <w:r>
        <w:tab/>
      </w:r>
      <w:r>
        <w:rPr>
          <w:rStyle w:val="htmlcodes"/>
        </w:rPr>
        <w:t>&lt;a href=#y508&gt;</w:t>
      </w:r>
      <w:r>
        <w:t xml:space="preserve">BO_508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name=y480&gt;</w:t>
      </w:r>
      <w:r>
        <w:t xml:space="preserve">SE_480  </w:t>
      </w:r>
      <w:r>
        <w:rPr>
          <w:rStyle w:val="htmlcodes"/>
        </w:rPr>
        <w:t>&lt;/a&gt;</w:t>
      </w:r>
      <w:r>
        <w:tab/>
        <w:t>:</w:t>
      </w:r>
      <w:r>
        <w:tab/>
      </w:r>
      <w:r>
        <w:rPr>
          <w:rStyle w:val="htmlcodes"/>
        </w:rPr>
        <w:t>&lt;a href=#y596&gt;</w:t>
      </w:r>
      <w:r>
        <w:t xml:space="preserve">SE_596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name=y481&gt;</w:t>
      </w:r>
      <w:r>
        <w:t xml:space="preserve">FA_481  </w:t>
      </w:r>
      <w:r>
        <w:rPr>
          <w:rStyle w:val="htmlcodes"/>
        </w:rPr>
        <w:t>&lt;/a&gt;</w:t>
      </w:r>
      <w:r>
        <w:tab/>
        <w:t>:</w:t>
      </w:r>
      <w:r>
        <w:tab/>
      </w:r>
      <w:r>
        <w:rPr>
          <w:rStyle w:val="htmlcodes"/>
        </w:rPr>
        <w:t>&lt;a href=#y527&gt;</w:t>
      </w:r>
      <w:r>
        <w:t xml:space="preserve">FA_527  </w:t>
      </w:r>
      <w:r>
        <w:rPr>
          <w:rStyle w:val="htmlcodes"/>
        </w:rPr>
        <w:t>&lt;/a&gt;</w:t>
      </w:r>
    </w:p>
    <w:p w:rsidR="00B72047" w:rsidRDefault="00B72047">
      <w:pPr>
        <w:pStyle w:val="YACC"/>
      </w:pPr>
      <w:r>
        <w:tab/>
        <w:t>|</w:t>
      </w:r>
      <w:r>
        <w:tab/>
      </w:r>
      <w:r>
        <w:rPr>
          <w:rStyle w:val="htmlcodes"/>
        </w:rPr>
        <w:t>&lt;a href=#y527&gt;</w:t>
      </w:r>
      <w:r>
        <w:t xml:space="preserve">FA_527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name=y482&gt;</w:t>
      </w:r>
      <w:r>
        <w:t xml:space="preserve">NAhE_482  </w:t>
      </w:r>
      <w:r>
        <w:rPr>
          <w:rStyle w:val="htmlcodes"/>
        </w:rPr>
        <w:t>&lt;/a&gt;</w:t>
      </w:r>
      <w:r>
        <w:tab/>
        <w:t>:</w:t>
      </w:r>
      <w:r>
        <w:tab/>
      </w:r>
      <w:r>
        <w:rPr>
          <w:rStyle w:val="htmlcodes"/>
        </w:rPr>
        <w:t>&lt;a href=#y583&gt;</w:t>
      </w:r>
      <w:r>
        <w:t xml:space="preserve">NAhE_583  </w:t>
      </w:r>
      <w:r>
        <w:rPr>
          <w:rStyle w:val="htmlcodes"/>
        </w:rPr>
        <w:t>&lt;/a&gt;</w:t>
      </w:r>
    </w:p>
    <w:p w:rsidR="00B72047" w:rsidRDefault="00B72047">
      <w:pPr>
        <w:pStyle w:val="YACC"/>
      </w:pPr>
      <w:r>
        <w:tab/>
        <w:t>|</w:t>
      </w:r>
      <w:r>
        <w:tab/>
      </w:r>
      <w:r>
        <w:rPr>
          <w:rStyle w:val="htmlcodes"/>
        </w:rPr>
        <w:t>&lt;a href=#y583&gt;</w:t>
      </w:r>
      <w:r>
        <w:t xml:space="preserve">NAhE_583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name=y483&gt;</w:t>
      </w:r>
      <w:r>
        <w:t xml:space="preserve">qualifier_483  </w:t>
      </w:r>
      <w:r>
        <w:rPr>
          <w:rStyle w:val="htmlcodes"/>
        </w:rPr>
        <w:t>&lt;/a&gt;</w:t>
      </w:r>
      <w:r>
        <w:tab/>
        <w:t>:</w:t>
      </w:r>
      <w:r>
        <w:tab/>
      </w:r>
      <w:r>
        <w:rPr>
          <w:rStyle w:val="htmlcodes"/>
        </w:rPr>
        <w:t>&lt;a href=#y561&gt;</w:t>
      </w:r>
      <w:r>
        <w:t xml:space="preserve">LAhE_561  </w:t>
      </w:r>
      <w:r>
        <w:rPr>
          <w:rStyle w:val="htmlcodes"/>
        </w:rPr>
        <w:t>&lt;/a&gt;</w:t>
      </w:r>
    </w:p>
    <w:p w:rsidR="00B72047" w:rsidRDefault="00B72047">
      <w:pPr>
        <w:pStyle w:val="YACC"/>
      </w:pPr>
      <w:r>
        <w:tab/>
        <w:t>|</w:t>
      </w:r>
      <w:r>
        <w:tab/>
      </w:r>
      <w:r>
        <w:rPr>
          <w:rStyle w:val="htmlcodes"/>
        </w:rPr>
        <w:t>&lt;a href=#y561&gt;</w:t>
      </w:r>
      <w:r>
        <w:t xml:space="preserve">LAhE_561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href=#y809&gt;</w:t>
      </w:r>
      <w:r>
        <w:t xml:space="preserve">NAhE_BO_809  </w:t>
      </w:r>
      <w:r>
        <w:rPr>
          <w:rStyle w:val="htmlcodes"/>
        </w:rPr>
        <w:t>&lt;/a&gt;</w:t>
      </w:r>
    </w:p>
    <w:p w:rsidR="00B72047" w:rsidRDefault="00B72047">
      <w:pPr>
        <w:pStyle w:val="YACC"/>
      </w:pPr>
      <w:r>
        <w:tab/>
        <w:t>;</w:t>
      </w:r>
    </w:p>
    <w:p w:rsidR="00B72047" w:rsidRDefault="00B72047">
      <w:pPr>
        <w:pStyle w:val="YACCtoken"/>
      </w:pPr>
      <w:r>
        <w:rPr>
          <w:rStyle w:val="htmlcodes"/>
        </w:rPr>
        <w:t>&lt;a name=y484&gt;</w:t>
      </w:r>
      <w:r>
        <w:t xml:space="preserve">NOI_484  </w:t>
      </w:r>
      <w:r>
        <w:rPr>
          <w:rStyle w:val="htmlcodes"/>
        </w:rPr>
        <w:t>&lt;/a&gt;</w:t>
      </w:r>
      <w:r>
        <w:tab/>
        <w:t>:</w:t>
      </w:r>
      <w:r>
        <w:tab/>
      </w:r>
      <w:r>
        <w:rPr>
          <w:rStyle w:val="htmlcodes"/>
        </w:rPr>
        <w:t>&lt;a href=#y585&gt;</w:t>
      </w:r>
      <w:r>
        <w:t xml:space="preserve">NOI_585  </w:t>
      </w:r>
      <w:r>
        <w:rPr>
          <w:rStyle w:val="htmlcodes"/>
        </w:rPr>
        <w:t>&lt;/a&gt;</w:t>
      </w:r>
    </w:p>
    <w:p w:rsidR="00B72047" w:rsidRDefault="00B72047">
      <w:pPr>
        <w:pStyle w:val="YACC"/>
      </w:pPr>
      <w:r>
        <w:tab/>
        <w:t>|</w:t>
      </w:r>
      <w:r>
        <w:tab/>
      </w:r>
      <w:r>
        <w:rPr>
          <w:rStyle w:val="htmlcodes"/>
        </w:rPr>
        <w:t>&lt;a href=#y585&gt;</w:t>
      </w:r>
      <w:r>
        <w:t xml:space="preserve">NOI_585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name=y485&gt;</w:t>
      </w:r>
      <w:r>
        <w:t xml:space="preserve">GOI_485  </w:t>
      </w:r>
      <w:r>
        <w:rPr>
          <w:rStyle w:val="htmlcodes"/>
        </w:rPr>
        <w:t>&lt;/a&gt;</w:t>
      </w:r>
      <w:r>
        <w:tab/>
        <w:t>:</w:t>
      </w:r>
      <w:r>
        <w:tab/>
      </w:r>
      <w:r>
        <w:rPr>
          <w:rStyle w:val="htmlcodes"/>
        </w:rPr>
        <w:t>&lt;a href=#y542&gt;</w:t>
      </w:r>
      <w:r>
        <w:t xml:space="preserve">GOI_542  </w:t>
      </w:r>
      <w:r>
        <w:rPr>
          <w:rStyle w:val="htmlcodes"/>
        </w:rPr>
        <w:t>&lt;/a&gt;</w:t>
      </w:r>
    </w:p>
    <w:p w:rsidR="00B72047" w:rsidRDefault="00B72047">
      <w:pPr>
        <w:pStyle w:val="YACC"/>
      </w:pPr>
      <w:r>
        <w:tab/>
        <w:t>|</w:t>
      </w:r>
      <w:r>
        <w:tab/>
      </w:r>
      <w:r>
        <w:rPr>
          <w:rStyle w:val="htmlcodes"/>
        </w:rPr>
        <w:t>&lt;a href=#y542&gt;</w:t>
      </w:r>
      <w:r>
        <w:t xml:space="preserve">GOI_542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name=y486&gt;</w:t>
      </w:r>
      <w:r>
        <w:t xml:space="preserve">subscript_486  </w:t>
      </w:r>
      <w:r>
        <w:rPr>
          <w:rStyle w:val="htmlcodes"/>
        </w:rPr>
        <w:t>&lt;/a&gt;</w:t>
      </w:r>
      <w:r>
        <w:tab/>
        <w:t>:</w:t>
      </w:r>
      <w:r>
        <w:tab/>
      </w:r>
      <w:r>
        <w:rPr>
          <w:rStyle w:val="htmlcodes"/>
        </w:rPr>
        <w:t>&lt;a href=#y424&gt;</w:t>
      </w:r>
      <w:r>
        <w:t xml:space="preserve">XI_424  </w:t>
      </w:r>
      <w:r>
        <w:rPr>
          <w:rStyle w:val="htmlcodes"/>
        </w:rPr>
        <w:t>&lt;/a&gt;&lt;a href=#y812&gt;</w:t>
      </w:r>
      <w:r>
        <w:t xml:space="preserve">number_812  </w:t>
      </w:r>
      <w:r>
        <w:rPr>
          <w:rStyle w:val="htmlcodes"/>
        </w:rPr>
        <w:t>&lt;/a&gt;&lt;a href=#y462&gt;</w:t>
      </w:r>
      <w:r>
        <w:t xml:space="preserve">sub_gap_462  </w:t>
      </w:r>
      <w:r>
        <w:rPr>
          <w:rStyle w:val="htmlcodes"/>
        </w:rPr>
        <w:t>&lt;/a&gt;</w:t>
      </w:r>
    </w:p>
    <w:p w:rsidR="00B72047" w:rsidRDefault="00B72047">
      <w:pPr>
        <w:pStyle w:val="YACC"/>
      </w:pPr>
      <w:r>
        <w:tab/>
        <w:t>|</w:t>
      </w:r>
      <w:r>
        <w:tab/>
      </w:r>
      <w:r>
        <w:rPr>
          <w:rStyle w:val="htmlcodes"/>
        </w:rPr>
        <w:t>&lt;a href=#y424&gt;</w:t>
      </w:r>
      <w:r>
        <w:t xml:space="preserve">XI_424  </w:t>
      </w:r>
      <w:r>
        <w:rPr>
          <w:rStyle w:val="htmlcodes"/>
        </w:rPr>
        <w:t>&lt;/a&gt;&lt;a href=#y470&gt;</w:t>
      </w:r>
      <w:r>
        <w:t xml:space="preserve">left_bracket_470   </w:t>
      </w:r>
      <w:r>
        <w:rPr>
          <w:rStyle w:val="htmlcodes"/>
        </w:rPr>
        <w:t>&lt;/a&gt;&lt;a href=#y310&gt;</w:t>
      </w:r>
      <w:r>
        <w:t xml:space="preserve">MEX_310   </w:t>
      </w:r>
      <w:r>
        <w:rPr>
          <w:rStyle w:val="htmlcodes"/>
        </w:rPr>
        <w:t>&lt;/a&gt;&lt;a href=#y474&gt;</w:t>
      </w:r>
      <w:r>
        <w:t xml:space="preserve">right_br_no_free_474  </w:t>
      </w:r>
      <w:r>
        <w:rPr>
          <w:rStyle w:val="htmlcodes"/>
        </w:rPr>
        <w:t>&lt;/a&gt;</w:t>
      </w:r>
    </w:p>
    <w:p w:rsidR="00B72047" w:rsidRDefault="00B72047">
      <w:pPr>
        <w:pStyle w:val="YACC"/>
      </w:pPr>
      <w:r>
        <w:tab/>
        <w:t>|</w:t>
      </w:r>
      <w:r>
        <w:tab/>
      </w:r>
      <w:r>
        <w:rPr>
          <w:rStyle w:val="htmlcodes"/>
        </w:rPr>
        <w:t>&lt;a href=#y424&gt;</w:t>
      </w:r>
      <w:r>
        <w:t xml:space="preserve">XI_424  </w:t>
      </w:r>
      <w:r>
        <w:rPr>
          <w:rStyle w:val="htmlcodes"/>
        </w:rPr>
        <w:t>&lt;/a&gt;&lt;a href=#y817&gt;</w:t>
      </w:r>
      <w:r>
        <w:t xml:space="preserve">lerfu_string_817  </w:t>
      </w:r>
      <w:r>
        <w:rPr>
          <w:rStyle w:val="htmlcodes"/>
        </w:rPr>
        <w:t>&lt;/a&gt;&lt;a href=#y462&gt;</w:t>
      </w:r>
      <w:r>
        <w:t xml:space="preserve">sub_gap_462   </w:t>
      </w:r>
      <w:r>
        <w:rPr>
          <w:rStyle w:val="htmlcodes"/>
        </w:rPr>
        <w:t>&lt;/a&gt;</w:t>
      </w:r>
    </w:p>
    <w:p w:rsidR="00B72047" w:rsidRDefault="00B72047">
      <w:pPr>
        <w:pStyle w:val="YACC"/>
      </w:pPr>
      <w:r>
        <w:tab/>
        <w:t>;</w:t>
      </w:r>
    </w:p>
    <w:p w:rsidR="00B72047" w:rsidRDefault="00B72047">
      <w:pPr>
        <w:pStyle w:val="YACCtoken"/>
      </w:pPr>
      <w:r>
        <w:rPr>
          <w:rStyle w:val="htmlcodes"/>
        </w:rPr>
        <w:t>&lt;a name=y487&gt;</w:t>
      </w:r>
      <w:r>
        <w:t xml:space="preserve">ZIhE_487  </w:t>
      </w:r>
      <w:r>
        <w:rPr>
          <w:rStyle w:val="htmlcodes"/>
        </w:rPr>
        <w:t>&lt;/a&gt;</w:t>
      </w:r>
      <w:r>
        <w:tab/>
        <w:t>:</w:t>
      </w:r>
      <w:r>
        <w:tab/>
      </w:r>
      <w:r>
        <w:rPr>
          <w:rStyle w:val="htmlcodes"/>
        </w:rPr>
        <w:t>&lt;a href=#y625&gt;</w:t>
      </w:r>
      <w:r>
        <w:t xml:space="preserve">ZIhE_625  </w:t>
      </w:r>
      <w:r>
        <w:rPr>
          <w:rStyle w:val="htmlcodes"/>
        </w:rPr>
        <w:t>&lt;/a&gt;</w:t>
      </w:r>
    </w:p>
    <w:p w:rsidR="00B72047" w:rsidRDefault="00B72047">
      <w:pPr>
        <w:pStyle w:val="YACC"/>
      </w:pPr>
      <w:r>
        <w:tab/>
        <w:t>|</w:t>
      </w:r>
      <w:r>
        <w:tab/>
      </w:r>
      <w:r>
        <w:rPr>
          <w:rStyle w:val="htmlcodes"/>
        </w:rPr>
        <w:t>&lt;a href=#y625&gt;</w:t>
      </w:r>
      <w:r>
        <w:t xml:space="preserve">ZIhE_625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name=y488&gt;</w:t>
      </w:r>
      <w:r>
        <w:t xml:space="preserve">LE_488  </w:t>
      </w:r>
      <w:r>
        <w:rPr>
          <w:rStyle w:val="htmlcodes"/>
        </w:rPr>
        <w:t>&lt;/a&gt;</w:t>
      </w:r>
      <w:r>
        <w:tab/>
        <w:t>:</w:t>
      </w:r>
      <w:r>
        <w:tab/>
      </w:r>
      <w:r>
        <w:rPr>
          <w:rStyle w:val="htmlcodes"/>
        </w:rPr>
        <w:t>&lt;a href=#y562&gt;</w:t>
      </w:r>
      <w:r>
        <w:t xml:space="preserve">LE_562  </w:t>
      </w:r>
      <w:r>
        <w:rPr>
          <w:rStyle w:val="htmlcodes"/>
        </w:rPr>
        <w:t>&lt;/a&gt;</w:t>
      </w:r>
    </w:p>
    <w:p w:rsidR="00B72047" w:rsidRDefault="00B72047">
      <w:pPr>
        <w:pStyle w:val="YACC"/>
      </w:pPr>
      <w:r>
        <w:tab/>
        <w:t>|</w:t>
      </w:r>
      <w:r>
        <w:tab/>
      </w:r>
      <w:r>
        <w:rPr>
          <w:rStyle w:val="htmlcodes"/>
        </w:rPr>
        <w:t>&lt;a href=#y562&gt;</w:t>
      </w:r>
      <w:r>
        <w:t xml:space="preserve">LE_562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name=y489&gt;</w:t>
      </w:r>
      <w:r>
        <w:t xml:space="preserve">LI_489  </w:t>
      </w:r>
      <w:r>
        <w:rPr>
          <w:rStyle w:val="htmlcodes"/>
        </w:rPr>
        <w:t>&lt;/a&gt;</w:t>
      </w:r>
      <w:r>
        <w:tab/>
        <w:t>:</w:t>
      </w:r>
      <w:r>
        <w:tab/>
      </w:r>
      <w:r>
        <w:rPr>
          <w:rStyle w:val="htmlcodes"/>
        </w:rPr>
        <w:t>&lt;a href=#y566&gt;</w:t>
      </w:r>
      <w:r>
        <w:t xml:space="preserve">LI_566  </w:t>
      </w:r>
      <w:r>
        <w:rPr>
          <w:rStyle w:val="htmlcodes"/>
        </w:rPr>
        <w:t>&lt;/a&gt;</w:t>
      </w:r>
    </w:p>
    <w:p w:rsidR="00B72047" w:rsidRDefault="00B72047">
      <w:pPr>
        <w:pStyle w:val="YACC"/>
      </w:pPr>
      <w:r>
        <w:tab/>
        <w:t>|</w:t>
      </w:r>
      <w:r>
        <w:tab/>
      </w:r>
      <w:r>
        <w:rPr>
          <w:rStyle w:val="htmlcodes"/>
        </w:rPr>
        <w:t>&lt;a href=#y566&gt;</w:t>
      </w:r>
      <w:r>
        <w:t xml:space="preserve">LI_566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name=y490&gt;</w:t>
      </w:r>
      <w:r>
        <w:t xml:space="preserve">mod_head_490  </w:t>
      </w:r>
      <w:r>
        <w:rPr>
          <w:rStyle w:val="htmlcodes"/>
        </w:rPr>
        <w:t>&lt;/a&gt;</w:t>
      </w:r>
      <w:r>
        <w:tab/>
        <w:t>:</w:t>
      </w:r>
      <w:r>
        <w:tab/>
      </w:r>
      <w:r>
        <w:rPr>
          <w:rStyle w:val="htmlcodes"/>
        </w:rPr>
        <w:t>&lt;a href=#y491&gt;</w:t>
      </w:r>
      <w:r>
        <w:t xml:space="preserve">tag_491  </w:t>
      </w:r>
      <w:r>
        <w:rPr>
          <w:rStyle w:val="htmlcodes"/>
        </w:rPr>
        <w:t>&lt;/a&gt;</w:t>
      </w:r>
    </w:p>
    <w:p w:rsidR="00B72047" w:rsidRDefault="00B72047">
      <w:pPr>
        <w:pStyle w:val="YACC"/>
      </w:pPr>
      <w:r>
        <w:tab/>
        <w:t>|</w:t>
      </w:r>
      <w:r>
        <w:tab/>
      </w:r>
      <w:r>
        <w:rPr>
          <w:rStyle w:val="htmlcodes"/>
        </w:rPr>
        <w:t>&lt;a href=#y481&gt;</w:t>
      </w:r>
      <w:r>
        <w:t xml:space="preserve">FA_481   </w:t>
      </w:r>
      <w:r>
        <w:rPr>
          <w:rStyle w:val="htmlcodes"/>
        </w:rPr>
        <w:t>&lt;/a&gt;</w:t>
      </w:r>
    </w:p>
    <w:p w:rsidR="00B72047" w:rsidRDefault="00B72047">
      <w:pPr>
        <w:pStyle w:val="YACC"/>
      </w:pPr>
      <w:r>
        <w:tab/>
        <w:t>;</w:t>
      </w:r>
    </w:p>
    <w:p w:rsidR="00B72047" w:rsidRDefault="00B72047">
      <w:pPr>
        <w:pStyle w:val="YACCtoken"/>
      </w:pPr>
      <w:r>
        <w:rPr>
          <w:rStyle w:val="htmlcodes"/>
        </w:rPr>
        <w:t>&lt;a name=y491&gt;</w:t>
      </w:r>
      <w:r>
        <w:t xml:space="preserve">tag_491  </w:t>
      </w:r>
      <w:r>
        <w:rPr>
          <w:rStyle w:val="htmlcodes"/>
        </w:rPr>
        <w:t>&lt;/a&gt;</w:t>
      </w:r>
      <w:r>
        <w:tab/>
        <w:t>:</w:t>
      </w:r>
      <w:r>
        <w:tab/>
      </w:r>
      <w:r>
        <w:rPr>
          <w:rStyle w:val="htmlcodes"/>
        </w:rPr>
        <w:t>&lt;a href=#y815&gt;</w:t>
      </w:r>
      <w:r>
        <w:t xml:space="preserve">tense_modal_815  </w:t>
      </w:r>
      <w:r>
        <w:rPr>
          <w:rStyle w:val="htmlcodes"/>
        </w:rPr>
        <w:t>&lt;/a&gt;</w:t>
      </w:r>
    </w:p>
    <w:p w:rsidR="00B72047" w:rsidRDefault="00B72047">
      <w:pPr>
        <w:pStyle w:val="YACC"/>
      </w:pPr>
      <w:r>
        <w:tab/>
        <w:t>|</w:t>
      </w:r>
      <w:r>
        <w:tab/>
      </w:r>
      <w:r>
        <w:rPr>
          <w:rStyle w:val="htmlcodes"/>
        </w:rPr>
        <w:t>&lt;a href=#y491&gt;</w:t>
      </w:r>
      <w:r>
        <w:t xml:space="preserve">tag_491   </w:t>
      </w:r>
      <w:r>
        <w:rPr>
          <w:rStyle w:val="htmlcodes"/>
        </w:rPr>
        <w:t>&lt;/a&gt;&lt;a href=#y422&gt;</w:t>
      </w:r>
      <w:r>
        <w:t xml:space="preserve">JOIK_JEK_422   </w:t>
      </w:r>
      <w:r>
        <w:rPr>
          <w:rStyle w:val="htmlcodes"/>
        </w:rPr>
        <w:t>&lt;/a&gt;&lt;a href=#y815&gt;</w:t>
      </w:r>
      <w:r>
        <w:t xml:space="preserve">tense_modal_815  </w:t>
      </w:r>
      <w:r>
        <w:rPr>
          <w:rStyle w:val="htmlcodes"/>
        </w:rPr>
        <w:t>&lt;/a&gt;</w:t>
      </w:r>
    </w:p>
    <w:p w:rsidR="00B72047" w:rsidRDefault="00B72047">
      <w:pPr>
        <w:pStyle w:val="YACC"/>
      </w:pPr>
      <w:r>
        <w:tab/>
        <w:t>;</w:t>
      </w:r>
    </w:p>
    <w:p w:rsidR="00B72047" w:rsidRDefault="00B72047">
      <w:pPr>
        <w:pStyle w:val="YACCtoken"/>
      </w:pPr>
      <w:r>
        <w:rPr>
          <w:rStyle w:val="htmlcodes"/>
        </w:rPr>
        <w:t>&lt;a name=y492&gt;</w:t>
      </w:r>
      <w:r>
        <w:t xml:space="preserve">ZOhU_492  </w:t>
      </w:r>
      <w:r>
        <w:rPr>
          <w:rStyle w:val="htmlcodes"/>
        </w:rPr>
        <w:t>&lt;/a&gt;</w:t>
      </w:r>
      <w:r>
        <w:tab/>
        <w:t>:</w:t>
      </w:r>
      <w:r>
        <w:tab/>
      </w:r>
      <w:r>
        <w:rPr>
          <w:rStyle w:val="htmlcodes"/>
        </w:rPr>
        <w:t>&lt;a href=#y628&gt;</w:t>
      </w:r>
      <w:r>
        <w:t xml:space="preserve">ZOhU_628  </w:t>
      </w:r>
      <w:r>
        <w:rPr>
          <w:rStyle w:val="htmlcodes"/>
        </w:rPr>
        <w:t>&lt;/a&gt;</w:t>
      </w:r>
    </w:p>
    <w:p w:rsidR="00B72047" w:rsidRDefault="00B72047">
      <w:pPr>
        <w:pStyle w:val="YACC"/>
      </w:pPr>
      <w:r>
        <w:tab/>
        <w:t>|</w:t>
      </w:r>
      <w:r>
        <w:tab/>
      </w:r>
      <w:r>
        <w:rPr>
          <w:rStyle w:val="htmlcodes"/>
        </w:rPr>
        <w:t>&lt;a href=#y628&gt;</w:t>
      </w:r>
      <w:r>
        <w:t xml:space="preserve">ZOhU_628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name=y493&gt;</w:t>
      </w:r>
      <w:r>
        <w:t xml:space="preserve">KE_493  </w:t>
      </w:r>
      <w:r>
        <w:rPr>
          <w:rStyle w:val="htmlcodes"/>
        </w:rPr>
        <w:t>&lt;/a&gt;</w:t>
      </w:r>
      <w:r>
        <w:tab/>
        <w:t>:</w:t>
      </w:r>
      <w:r>
        <w:tab/>
      </w:r>
      <w:r>
        <w:rPr>
          <w:rStyle w:val="htmlcodes"/>
        </w:rPr>
        <w:t>&lt;a href=#y551&gt;</w:t>
      </w:r>
      <w:r>
        <w:t xml:space="preserve">KE_551  </w:t>
      </w:r>
      <w:r>
        <w:rPr>
          <w:rStyle w:val="htmlcodes"/>
        </w:rPr>
        <w:t>&lt;/a&gt;</w:t>
      </w:r>
    </w:p>
    <w:p w:rsidR="00B72047" w:rsidRDefault="00B72047">
      <w:pPr>
        <w:pStyle w:val="YACC"/>
      </w:pPr>
      <w:r>
        <w:tab/>
        <w:t>|</w:t>
      </w:r>
      <w:r>
        <w:tab/>
      </w:r>
      <w:r>
        <w:rPr>
          <w:rStyle w:val="htmlcodes"/>
        </w:rPr>
        <w:t>&lt;a href=#y551&gt;</w:t>
      </w:r>
      <w:r>
        <w:t xml:space="preserve">KE_551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name=y494&gt;</w:t>
      </w:r>
      <w:r>
        <w:t xml:space="preserve">PEhE_494  </w:t>
      </w:r>
      <w:r>
        <w:rPr>
          <w:rStyle w:val="htmlcodes"/>
        </w:rPr>
        <w:t>&lt;/a&gt;</w:t>
      </w:r>
      <w:r>
        <w:tab/>
        <w:t>:</w:t>
      </w:r>
      <w:r>
        <w:tab/>
      </w:r>
      <w:r>
        <w:rPr>
          <w:rStyle w:val="htmlcodes"/>
        </w:rPr>
        <w:t>&lt;a href=#y591&gt;</w:t>
      </w:r>
      <w:r>
        <w:t xml:space="preserve">PEhE_591  </w:t>
      </w:r>
      <w:r>
        <w:rPr>
          <w:rStyle w:val="htmlcodes"/>
        </w:rPr>
        <w:t>&lt;/a&gt;</w:t>
      </w:r>
    </w:p>
    <w:p w:rsidR="00B72047" w:rsidRDefault="00B72047">
      <w:pPr>
        <w:pStyle w:val="YACC"/>
      </w:pPr>
      <w:r>
        <w:tab/>
        <w:t>|</w:t>
      </w:r>
      <w:r>
        <w:tab/>
      </w:r>
      <w:r>
        <w:rPr>
          <w:rStyle w:val="htmlcodes"/>
        </w:rPr>
        <w:t>&lt;a href=#y591&gt;</w:t>
      </w:r>
      <w:r>
        <w:t xml:space="preserve">PEhE_591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name=y495&gt;</w:t>
      </w:r>
      <w:r>
        <w:t xml:space="preserve">CEhE_495  </w:t>
      </w:r>
      <w:r>
        <w:rPr>
          <w:rStyle w:val="htmlcodes"/>
        </w:rPr>
        <w:t>&lt;/a&gt;</w:t>
      </w:r>
      <w:r>
        <w:tab/>
        <w:t>:</w:t>
      </w:r>
      <w:r>
        <w:tab/>
      </w:r>
      <w:r>
        <w:rPr>
          <w:rStyle w:val="htmlcodes"/>
        </w:rPr>
        <w:t>&lt;a href=#y517&gt;</w:t>
      </w:r>
      <w:r>
        <w:t xml:space="preserve">CEhE_517  </w:t>
      </w:r>
      <w:r>
        <w:rPr>
          <w:rStyle w:val="htmlcodes"/>
        </w:rPr>
        <w:t>&lt;/a&gt;</w:t>
      </w:r>
    </w:p>
    <w:p w:rsidR="00B72047" w:rsidRDefault="00B72047">
      <w:pPr>
        <w:pStyle w:val="YACC"/>
      </w:pPr>
      <w:r>
        <w:tab/>
        <w:t>|</w:t>
      </w:r>
      <w:r>
        <w:tab/>
      </w:r>
      <w:r>
        <w:rPr>
          <w:rStyle w:val="htmlcodes"/>
        </w:rPr>
        <w:t>&lt;a href=#y517&gt;</w:t>
      </w:r>
      <w:r>
        <w:t xml:space="preserve">CEhE_517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name=y496&gt;</w:t>
      </w:r>
      <w:r>
        <w:t xml:space="preserve">NUhI_496  </w:t>
      </w:r>
      <w:r>
        <w:rPr>
          <w:rStyle w:val="htmlcodes"/>
        </w:rPr>
        <w:t>&lt;/a&gt;</w:t>
      </w:r>
      <w:r>
        <w:tab/>
        <w:t>:</w:t>
      </w:r>
      <w:r>
        <w:tab/>
      </w:r>
      <w:r>
        <w:rPr>
          <w:rStyle w:val="htmlcodes"/>
        </w:rPr>
        <w:t>&lt;a href=#y587&gt;</w:t>
      </w:r>
      <w:r>
        <w:t xml:space="preserve">NUhI_587  </w:t>
      </w:r>
      <w:r>
        <w:rPr>
          <w:rStyle w:val="htmlcodes"/>
        </w:rPr>
        <w:t>&lt;/a&gt;</w:t>
      </w:r>
    </w:p>
    <w:p w:rsidR="00B72047" w:rsidRDefault="00B72047">
      <w:pPr>
        <w:pStyle w:val="YACC"/>
      </w:pPr>
      <w:r>
        <w:tab/>
        <w:t>|</w:t>
      </w:r>
      <w:r>
        <w:tab/>
      </w:r>
      <w:r>
        <w:rPr>
          <w:rStyle w:val="htmlcodes"/>
        </w:rPr>
        <w:t>&lt;a href=#y587&gt;</w:t>
      </w:r>
      <w:r>
        <w:t xml:space="preserve">NUhI_587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name=y497&gt;</w:t>
      </w:r>
      <w:r>
        <w:t xml:space="preserve">VUhO_497  </w:t>
      </w:r>
      <w:r>
        <w:rPr>
          <w:rStyle w:val="htmlcodes"/>
        </w:rPr>
        <w:t>&lt;/a&gt;</w:t>
      </w:r>
      <w:r>
        <w:tab/>
        <w:t>:</w:t>
      </w:r>
      <w:r>
        <w:tab/>
      </w:r>
      <w:r>
        <w:rPr>
          <w:rStyle w:val="htmlcodes"/>
        </w:rPr>
        <w:t>&lt;a href=#y617&gt;</w:t>
      </w:r>
      <w:r>
        <w:t xml:space="preserve">VUhO_617  </w:t>
      </w:r>
      <w:r>
        <w:rPr>
          <w:rStyle w:val="htmlcodes"/>
        </w:rPr>
        <w:t>&lt;/a&gt;</w:t>
      </w:r>
    </w:p>
    <w:p w:rsidR="00B72047" w:rsidRDefault="00B72047">
      <w:pPr>
        <w:pStyle w:val="YACC"/>
      </w:pPr>
      <w:r>
        <w:tab/>
        <w:t>|</w:t>
      </w:r>
      <w:r>
        <w:tab/>
      </w:r>
      <w:r>
        <w:rPr>
          <w:rStyle w:val="htmlcodes"/>
        </w:rPr>
        <w:t>&lt;a href=#y617&gt;</w:t>
      </w:r>
      <w:r>
        <w:t xml:space="preserve">VUhO_617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name=y498&gt;</w:t>
      </w:r>
      <w:r>
        <w:t xml:space="preserve">SOI_498  </w:t>
      </w:r>
      <w:r>
        <w:rPr>
          <w:rStyle w:val="htmlcodes"/>
        </w:rPr>
        <w:t>&lt;/a&gt;</w:t>
      </w:r>
      <w:r>
        <w:tab/>
        <w:t>:</w:t>
      </w:r>
      <w:r>
        <w:tab/>
      </w:r>
      <w:r>
        <w:rPr>
          <w:rStyle w:val="htmlcodes"/>
        </w:rPr>
        <w:t>&lt;a href=#y602&gt;</w:t>
      </w:r>
      <w:r>
        <w:t xml:space="preserve">SOI_602  </w:t>
      </w:r>
      <w:r>
        <w:rPr>
          <w:rStyle w:val="htmlcodes"/>
        </w:rPr>
        <w:t>&lt;/a&gt;</w:t>
      </w:r>
    </w:p>
    <w:p w:rsidR="00B72047" w:rsidRDefault="00B72047">
      <w:pPr>
        <w:pStyle w:val="YACC"/>
      </w:pPr>
      <w:r>
        <w:tab/>
        <w:t>|</w:t>
      </w:r>
      <w:r>
        <w:tab/>
      </w:r>
      <w:r>
        <w:rPr>
          <w:rStyle w:val="htmlcodes"/>
        </w:rPr>
        <w:t>&lt;a href=#y602&gt;</w:t>
      </w:r>
      <w:r>
        <w:t xml:space="preserve">SOI_602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name=y499&gt;</w:t>
      </w:r>
      <w:r>
        <w:t xml:space="preserve">LA_499  </w:t>
      </w:r>
      <w:r>
        <w:rPr>
          <w:rStyle w:val="htmlcodes"/>
        </w:rPr>
        <w:t>&lt;/a&gt;</w:t>
      </w:r>
      <w:r>
        <w:tab/>
        <w:t>:</w:t>
      </w:r>
      <w:r>
        <w:tab/>
      </w:r>
      <w:r>
        <w:rPr>
          <w:rStyle w:val="htmlcodes"/>
        </w:rPr>
        <w:t>&lt;a href=#y558&gt;</w:t>
      </w:r>
      <w:r>
        <w:t xml:space="preserve">LA_558  </w:t>
      </w:r>
      <w:r>
        <w:rPr>
          <w:rStyle w:val="htmlcodes"/>
        </w:rPr>
        <w:t>&lt;/a&gt;</w:t>
      </w:r>
    </w:p>
    <w:p w:rsidR="00B72047" w:rsidRDefault="00B72047">
      <w:pPr>
        <w:pStyle w:val="YACC"/>
      </w:pPr>
      <w:r>
        <w:tab/>
        <w:t>|</w:t>
      </w:r>
      <w:r>
        <w:tab/>
      </w:r>
      <w:r>
        <w:rPr>
          <w:rStyle w:val="htmlcodes"/>
        </w:rPr>
        <w:t>&lt;a href=#y558&gt;</w:t>
      </w:r>
      <w:r>
        <w:t xml:space="preserve">LA_558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spacing w:before="0"/>
        <w:rPr>
          <w:rStyle w:val="htmlcodes"/>
          <w:vanish w:val="0"/>
        </w:rPr>
      </w:pPr>
    </w:p>
    <w:p w:rsidR="00B72047" w:rsidRDefault="00B72047">
      <w:pPr>
        <w:pStyle w:val="YACCtoken"/>
        <w:spacing w:before="0"/>
        <w:rPr>
          <w:rStyle w:val="htmlcodes"/>
          <w:vanish w:val="0"/>
        </w:rPr>
      </w:pPr>
    </w:p>
    <w:p w:rsidR="00B72047" w:rsidRDefault="00B72047">
      <w:pPr>
        <w:pStyle w:val="YACCtoken"/>
        <w:spacing w:before="0"/>
      </w:pPr>
      <w:r>
        <w:rPr>
          <w:rStyle w:val="htmlcodes"/>
        </w:rPr>
        <w:t>&lt;a name=y801&gt;</w:t>
      </w:r>
      <w:r>
        <w:t>utterance_ordinal_801</w:t>
      </w:r>
      <w:r>
        <w:tab/>
      </w:r>
      <w:r>
        <w:rPr>
          <w:rStyle w:val="htmlcodes"/>
        </w:rPr>
        <w:t>&lt;/a&gt;</w:t>
      </w:r>
      <w:r>
        <w:t>:</w:t>
      </w:r>
      <w:r>
        <w:tab/>
      </w:r>
      <w:r>
        <w:rPr>
          <w:rStyle w:val="htmlcodes"/>
        </w:rPr>
        <w:t>&lt;a href=#y905&gt;</w:t>
      </w:r>
      <w:r>
        <w:t xml:space="preserve">lexer_A_905  </w:t>
      </w:r>
      <w:r>
        <w:rPr>
          <w:rStyle w:val="htmlcodes"/>
        </w:rPr>
        <w:t>&lt;/a&gt;</w:t>
      </w:r>
    </w:p>
    <w:p w:rsidR="00B72047" w:rsidRDefault="00B72047">
      <w:pPr>
        <w:pStyle w:val="YACC"/>
      </w:pPr>
      <w:r>
        <w:tab/>
        <w:t>;</w:t>
      </w:r>
    </w:p>
    <w:p w:rsidR="00B72047" w:rsidRDefault="00B72047">
      <w:pPr>
        <w:pStyle w:val="YACCtoken"/>
      </w:pPr>
      <w:r>
        <w:rPr>
          <w:rStyle w:val="htmlcodes"/>
        </w:rPr>
        <w:t>&lt;a name=y802&gt;</w:t>
      </w:r>
      <w:r>
        <w:t xml:space="preserve">EK_802  </w:t>
      </w:r>
      <w:r>
        <w:rPr>
          <w:rStyle w:val="htmlcodes"/>
        </w:rPr>
        <w:t>&lt;/a&gt;</w:t>
      </w:r>
      <w:r>
        <w:tab/>
        <w:t>:</w:t>
      </w:r>
      <w:r>
        <w:tab/>
      </w:r>
      <w:r>
        <w:rPr>
          <w:rStyle w:val="htmlcodes"/>
        </w:rPr>
        <w:t>&lt;a href=#y910&gt;</w:t>
      </w:r>
      <w:r>
        <w:t xml:space="preserve">lexer_B_910  </w:t>
      </w:r>
      <w:r>
        <w:rPr>
          <w:rStyle w:val="htmlcodes"/>
        </w:rPr>
        <w:t>&lt;/a&gt;</w:t>
      </w:r>
    </w:p>
    <w:p w:rsidR="00B72047" w:rsidRDefault="00B72047">
      <w:pPr>
        <w:pStyle w:val="YACC"/>
      </w:pPr>
      <w:r>
        <w:tab/>
        <w:t>|</w:t>
      </w:r>
      <w:r>
        <w:tab/>
      </w:r>
      <w:r>
        <w:rPr>
          <w:rStyle w:val="htmlcodes"/>
        </w:rPr>
        <w:t>&lt;a href=#y910&gt;</w:t>
      </w:r>
      <w:r>
        <w:t xml:space="preserve">lexer_B_910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name=y803&gt;</w:t>
      </w:r>
      <w:r>
        <w:t xml:space="preserve">EK_BO_803  </w:t>
      </w:r>
      <w:r>
        <w:rPr>
          <w:rStyle w:val="htmlcodes"/>
        </w:rPr>
        <w:t>&lt;/a&gt;</w:t>
      </w:r>
      <w:r>
        <w:tab/>
        <w:t>:</w:t>
      </w:r>
      <w:r>
        <w:tab/>
      </w:r>
      <w:r>
        <w:rPr>
          <w:rStyle w:val="htmlcodes"/>
        </w:rPr>
        <w:t>&lt;a href=#y915&gt;</w:t>
      </w:r>
      <w:r>
        <w:t xml:space="preserve">lexer_C_915  </w:t>
      </w:r>
      <w:r>
        <w:rPr>
          <w:rStyle w:val="htmlcodes"/>
        </w:rPr>
        <w:t>&lt;/a&gt;</w:t>
      </w:r>
    </w:p>
    <w:p w:rsidR="00B72047" w:rsidRDefault="00B72047">
      <w:pPr>
        <w:pStyle w:val="YACC"/>
      </w:pPr>
      <w:r>
        <w:tab/>
        <w:t>|</w:t>
      </w:r>
      <w:r>
        <w:tab/>
      </w:r>
      <w:r>
        <w:rPr>
          <w:rStyle w:val="htmlcodes"/>
        </w:rPr>
        <w:t>&lt;a href=#y915&gt;</w:t>
      </w:r>
      <w:r>
        <w:t xml:space="preserve">lexer_C_915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name=y804&gt;</w:t>
      </w:r>
      <w:r>
        <w:t xml:space="preserve">EK_KE_804  </w:t>
      </w:r>
      <w:r>
        <w:rPr>
          <w:rStyle w:val="htmlcodes"/>
        </w:rPr>
        <w:t>&lt;/a&gt;</w:t>
      </w:r>
      <w:r>
        <w:tab/>
        <w:t>:</w:t>
      </w:r>
      <w:r>
        <w:tab/>
      </w:r>
      <w:r>
        <w:rPr>
          <w:rStyle w:val="htmlcodes"/>
        </w:rPr>
        <w:t>&lt;a href=#y916&gt;</w:t>
      </w:r>
      <w:r>
        <w:t xml:space="preserve">lexer_D_916  </w:t>
      </w:r>
      <w:r>
        <w:rPr>
          <w:rStyle w:val="htmlcodes"/>
        </w:rPr>
        <w:t>&lt;/a&gt;</w:t>
      </w:r>
    </w:p>
    <w:p w:rsidR="00B72047" w:rsidRDefault="00B72047">
      <w:pPr>
        <w:pStyle w:val="YACC"/>
      </w:pPr>
      <w:r>
        <w:tab/>
        <w:t>|</w:t>
      </w:r>
      <w:r>
        <w:tab/>
      </w:r>
      <w:r>
        <w:rPr>
          <w:rStyle w:val="htmlcodes"/>
        </w:rPr>
        <w:t>&lt;a href=#y916&gt;</w:t>
      </w:r>
      <w:r>
        <w:t xml:space="preserve">lexer_D_916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name=y805&gt;</w:t>
      </w:r>
      <w:r>
        <w:t xml:space="preserve">JEK_805  </w:t>
      </w:r>
      <w:r>
        <w:rPr>
          <w:rStyle w:val="htmlcodes"/>
        </w:rPr>
        <w:t>&lt;/a&gt;</w:t>
      </w:r>
      <w:r>
        <w:tab/>
        <w:t>:</w:t>
      </w:r>
      <w:r>
        <w:tab/>
      </w:r>
      <w:r>
        <w:rPr>
          <w:rStyle w:val="htmlcodes"/>
        </w:rPr>
        <w:t>&lt;a href=#y925&gt;</w:t>
      </w:r>
      <w:r>
        <w:t xml:space="preserve">lexer_E_925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name=y806&gt;</w:t>
      </w:r>
      <w:r>
        <w:t xml:space="preserve">JOIK_806  </w:t>
      </w:r>
      <w:r>
        <w:rPr>
          <w:rStyle w:val="htmlcodes"/>
        </w:rPr>
        <w:t>&lt;/a&gt;</w:t>
      </w:r>
      <w:r>
        <w:tab/>
        <w:t>:</w:t>
      </w:r>
      <w:r>
        <w:tab/>
      </w:r>
      <w:r>
        <w:rPr>
          <w:rStyle w:val="htmlcodes"/>
        </w:rPr>
        <w:t>&lt;a href=#y930&gt;</w:t>
      </w:r>
      <w:r>
        <w:t xml:space="preserve">lexer_F_930  </w:t>
      </w:r>
      <w:r>
        <w:rPr>
          <w:rStyle w:val="htmlcodes"/>
        </w:rPr>
        <w:t>&lt;/a&gt;</w:t>
      </w:r>
    </w:p>
    <w:p w:rsidR="00B72047" w:rsidRDefault="00B72047">
      <w:pPr>
        <w:pStyle w:val="YACC"/>
      </w:pPr>
      <w:r>
        <w:tab/>
        <w:t>;</w:t>
      </w:r>
    </w:p>
    <w:p w:rsidR="00B72047" w:rsidRDefault="00B72047">
      <w:pPr>
        <w:pStyle w:val="YACCtoken"/>
      </w:pPr>
      <w:r>
        <w:rPr>
          <w:rStyle w:val="htmlcodes"/>
        </w:rPr>
        <w:t>&lt;a name=y807&gt;</w:t>
      </w:r>
      <w:r>
        <w:t xml:space="preserve">GEK_807  </w:t>
      </w:r>
      <w:r>
        <w:rPr>
          <w:rStyle w:val="htmlcodes"/>
        </w:rPr>
        <w:t>&lt;/a&gt;</w:t>
      </w:r>
      <w:r>
        <w:tab/>
        <w:t>:</w:t>
      </w:r>
      <w:r>
        <w:tab/>
      </w:r>
      <w:r>
        <w:rPr>
          <w:rStyle w:val="htmlcodes"/>
        </w:rPr>
        <w:t>&lt;a href=#y935&gt;</w:t>
      </w:r>
      <w:r>
        <w:t xml:space="preserve">lexer_G_935  </w:t>
      </w:r>
      <w:r>
        <w:rPr>
          <w:rStyle w:val="htmlcodes"/>
        </w:rPr>
        <w:t>&lt;/a&gt;</w:t>
      </w:r>
    </w:p>
    <w:p w:rsidR="00B72047" w:rsidRDefault="00B72047">
      <w:pPr>
        <w:pStyle w:val="YACC"/>
      </w:pPr>
      <w:r>
        <w:tab/>
        <w:t>|</w:t>
      </w:r>
      <w:r>
        <w:tab/>
      </w:r>
      <w:r>
        <w:rPr>
          <w:rStyle w:val="htmlcodes"/>
        </w:rPr>
        <w:t>&lt;a href=#y935&gt;</w:t>
      </w:r>
      <w:r>
        <w:t xml:space="preserve">lexer_G_935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name=y808&gt;</w:t>
      </w:r>
      <w:r>
        <w:t xml:space="preserve">GUhEK_808  </w:t>
      </w:r>
      <w:r>
        <w:rPr>
          <w:rStyle w:val="htmlcodes"/>
        </w:rPr>
        <w:t>&lt;/a&gt;</w:t>
      </w:r>
      <w:r>
        <w:tab/>
        <w:t>:</w:t>
      </w:r>
      <w:r>
        <w:tab/>
      </w:r>
      <w:r>
        <w:rPr>
          <w:rStyle w:val="htmlcodes"/>
        </w:rPr>
        <w:t>&lt;a href=#y940&gt;</w:t>
      </w:r>
      <w:r>
        <w:t xml:space="preserve">lexer_H_940  </w:t>
      </w:r>
      <w:r>
        <w:rPr>
          <w:rStyle w:val="htmlcodes"/>
        </w:rPr>
        <w:t>&lt;/a&gt;</w:t>
      </w:r>
    </w:p>
    <w:p w:rsidR="00B72047" w:rsidRDefault="00B72047">
      <w:pPr>
        <w:pStyle w:val="YACC"/>
      </w:pPr>
      <w:r>
        <w:tab/>
        <w:t>|</w:t>
      </w:r>
      <w:r>
        <w:tab/>
      </w:r>
      <w:r>
        <w:rPr>
          <w:rStyle w:val="htmlcodes"/>
        </w:rPr>
        <w:t>&lt;a href=#y940&gt;</w:t>
      </w:r>
      <w:r>
        <w:t xml:space="preserve">lexer_H_940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name=y809&gt;</w:t>
      </w:r>
      <w:r>
        <w:t xml:space="preserve">NAhE_BO_809  </w:t>
      </w:r>
      <w:r>
        <w:rPr>
          <w:rStyle w:val="htmlcodes"/>
        </w:rPr>
        <w:t>&lt;/a&gt;</w:t>
      </w:r>
      <w:r>
        <w:tab/>
        <w:t>:</w:t>
      </w:r>
      <w:r>
        <w:tab/>
      </w:r>
      <w:r>
        <w:rPr>
          <w:rStyle w:val="htmlcodes"/>
        </w:rPr>
        <w:t>&lt;a href=#y945&gt;</w:t>
      </w:r>
      <w:r>
        <w:t xml:space="preserve">lexer_I_945  </w:t>
      </w:r>
      <w:r>
        <w:rPr>
          <w:rStyle w:val="htmlcodes"/>
        </w:rPr>
        <w:t>&lt;/a&gt;</w:t>
      </w:r>
    </w:p>
    <w:p w:rsidR="00B72047" w:rsidRDefault="00B72047">
      <w:pPr>
        <w:pStyle w:val="YACC"/>
      </w:pPr>
      <w:r>
        <w:tab/>
        <w:t>|</w:t>
      </w:r>
      <w:r>
        <w:tab/>
      </w:r>
      <w:r>
        <w:rPr>
          <w:rStyle w:val="htmlcodes"/>
        </w:rPr>
        <w:t>&lt;a href=#y945&gt;</w:t>
      </w:r>
      <w:r>
        <w:t xml:space="preserve">lexer_I_945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name=y810&gt;</w:t>
      </w:r>
      <w:r>
        <w:t xml:space="preserve">NA_KU_810  </w:t>
      </w:r>
      <w:r>
        <w:rPr>
          <w:rStyle w:val="htmlcodes"/>
        </w:rPr>
        <w:t>&lt;/a&gt;</w:t>
      </w:r>
      <w:r>
        <w:tab/>
        <w:t>:</w:t>
      </w:r>
      <w:r>
        <w:tab/>
      </w:r>
      <w:r>
        <w:rPr>
          <w:rStyle w:val="htmlcodes"/>
        </w:rPr>
        <w:t>&lt;a href=#y950&gt;</w:t>
      </w:r>
      <w:r>
        <w:t xml:space="preserve">lexer_J_950  </w:t>
      </w:r>
      <w:r>
        <w:rPr>
          <w:rStyle w:val="htmlcodes"/>
        </w:rPr>
        <w:t>&lt;/a&gt;</w:t>
      </w:r>
    </w:p>
    <w:p w:rsidR="00B72047" w:rsidRDefault="00B72047">
      <w:pPr>
        <w:pStyle w:val="YACC"/>
      </w:pPr>
      <w:r>
        <w:tab/>
        <w:t>|</w:t>
      </w:r>
      <w:r>
        <w:tab/>
      </w:r>
      <w:r>
        <w:rPr>
          <w:rStyle w:val="htmlcodes"/>
        </w:rPr>
        <w:t>&lt;a href=#y950&gt;</w:t>
      </w:r>
      <w:r>
        <w:t xml:space="preserve">lexer_J_950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name=y811&gt;</w:t>
      </w:r>
      <w:r>
        <w:t xml:space="preserve">I_BO_811  </w:t>
      </w:r>
      <w:r>
        <w:rPr>
          <w:rStyle w:val="htmlcodes"/>
        </w:rPr>
        <w:t>&lt;/a&gt;</w:t>
      </w:r>
      <w:r>
        <w:tab/>
        <w:t>:</w:t>
      </w:r>
      <w:r>
        <w:tab/>
      </w:r>
      <w:r>
        <w:rPr>
          <w:rStyle w:val="htmlcodes"/>
        </w:rPr>
        <w:t>&lt;a href=#y955&gt;</w:t>
      </w:r>
      <w:r>
        <w:t xml:space="preserve">lexer_K_955  </w:t>
      </w:r>
      <w:r>
        <w:rPr>
          <w:rStyle w:val="htmlcodes"/>
        </w:rPr>
        <w:t>&lt;/a&gt;</w:t>
      </w:r>
    </w:p>
    <w:p w:rsidR="00B72047" w:rsidRDefault="00B72047">
      <w:pPr>
        <w:pStyle w:val="YACC"/>
      </w:pPr>
      <w:r>
        <w:tab/>
        <w:t>|</w:t>
      </w:r>
      <w:r>
        <w:tab/>
      </w:r>
      <w:r>
        <w:rPr>
          <w:rStyle w:val="htmlcodes"/>
        </w:rPr>
        <w:t>&lt;a href=#y955&gt;</w:t>
      </w:r>
      <w:r>
        <w:t xml:space="preserve">lexer_K_955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name=y812&gt;</w:t>
      </w:r>
      <w:r>
        <w:t xml:space="preserve">number_812  </w:t>
      </w:r>
      <w:r>
        <w:rPr>
          <w:rStyle w:val="htmlcodes"/>
        </w:rPr>
        <w:t>&lt;/a&gt;</w:t>
      </w:r>
      <w:r>
        <w:tab/>
        <w:t>:</w:t>
      </w:r>
      <w:r>
        <w:tab/>
      </w:r>
      <w:r>
        <w:rPr>
          <w:rStyle w:val="htmlcodes"/>
        </w:rPr>
        <w:t>&lt;a href=#y960&gt;</w:t>
      </w:r>
      <w:r>
        <w:t xml:space="preserve">lexer_L_960  </w:t>
      </w:r>
      <w:r>
        <w:rPr>
          <w:rStyle w:val="htmlcodes"/>
        </w:rPr>
        <w:t>&lt;/a&gt;</w:t>
      </w:r>
    </w:p>
    <w:p w:rsidR="00B72047" w:rsidRDefault="00B72047">
      <w:pPr>
        <w:pStyle w:val="YACC"/>
      </w:pPr>
      <w:r>
        <w:tab/>
        <w:t>;</w:t>
      </w:r>
    </w:p>
    <w:p w:rsidR="00B72047" w:rsidRDefault="00B72047">
      <w:pPr>
        <w:pStyle w:val="YACCtoken"/>
      </w:pPr>
      <w:r>
        <w:rPr>
          <w:rStyle w:val="htmlcodes"/>
        </w:rPr>
        <w:t>&lt;a name=y813&gt;</w:t>
      </w:r>
      <w:r>
        <w:t xml:space="preserve">GIhEK_BO_813  </w:t>
      </w:r>
      <w:r>
        <w:rPr>
          <w:rStyle w:val="htmlcodes"/>
        </w:rPr>
        <w:t>&lt;/a&gt;</w:t>
      </w:r>
      <w:r>
        <w:tab/>
        <w:t>:</w:t>
      </w:r>
      <w:r>
        <w:tab/>
      </w:r>
      <w:r>
        <w:rPr>
          <w:rStyle w:val="htmlcodes"/>
        </w:rPr>
        <w:t>&lt;a href=#y965&gt;</w:t>
      </w:r>
      <w:r>
        <w:t xml:space="preserve">lexer_M_965  </w:t>
      </w:r>
      <w:r>
        <w:rPr>
          <w:rStyle w:val="htmlcodes"/>
        </w:rPr>
        <w:t>&lt;/a&gt;</w:t>
      </w:r>
    </w:p>
    <w:p w:rsidR="00B72047" w:rsidRDefault="00B72047">
      <w:pPr>
        <w:pStyle w:val="YACC"/>
      </w:pPr>
      <w:r>
        <w:tab/>
        <w:t>|</w:t>
      </w:r>
      <w:r>
        <w:tab/>
      </w:r>
      <w:r>
        <w:rPr>
          <w:rStyle w:val="htmlcodes"/>
        </w:rPr>
        <w:t>&lt;a href=#y965&gt;</w:t>
      </w:r>
      <w:r>
        <w:t xml:space="preserve">lexer_M_965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name=y814&gt;</w:t>
      </w:r>
      <w:r>
        <w:t xml:space="preserve">GIhEK_KE_814  </w:t>
      </w:r>
      <w:r>
        <w:rPr>
          <w:rStyle w:val="htmlcodes"/>
        </w:rPr>
        <w:t>&lt;/a&gt;</w:t>
      </w:r>
      <w:r>
        <w:tab/>
        <w:t>:</w:t>
      </w:r>
      <w:r>
        <w:tab/>
      </w:r>
      <w:r>
        <w:rPr>
          <w:rStyle w:val="htmlcodes"/>
        </w:rPr>
        <w:t>&lt;a href=#y966&gt;</w:t>
      </w:r>
      <w:r>
        <w:t xml:space="preserve">lexer_N_966  </w:t>
      </w:r>
      <w:r>
        <w:rPr>
          <w:rStyle w:val="htmlcodes"/>
        </w:rPr>
        <w:t>&lt;/a&gt;</w:t>
      </w:r>
    </w:p>
    <w:p w:rsidR="00B72047" w:rsidRDefault="00B72047">
      <w:pPr>
        <w:pStyle w:val="YACC"/>
      </w:pPr>
      <w:r>
        <w:tab/>
        <w:t>|</w:t>
      </w:r>
      <w:r>
        <w:tab/>
      </w:r>
      <w:r>
        <w:rPr>
          <w:rStyle w:val="htmlcodes"/>
        </w:rPr>
        <w:t>&lt;a href=#y966&gt;</w:t>
      </w:r>
      <w:r>
        <w:t xml:space="preserve">lexer_N_966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name=y815&gt;</w:t>
      </w:r>
      <w:r>
        <w:t xml:space="preserve">tense_modal_815  </w:t>
      </w:r>
      <w:r>
        <w:rPr>
          <w:rStyle w:val="htmlcodes"/>
        </w:rPr>
        <w:t>&lt;/a&gt;</w:t>
      </w:r>
      <w:r>
        <w:tab/>
        <w:t>:</w:t>
      </w:r>
      <w:r>
        <w:tab/>
      </w:r>
      <w:r>
        <w:rPr>
          <w:rStyle w:val="htmlcodes"/>
        </w:rPr>
        <w:t>&lt;a href=#y970&gt;</w:t>
      </w:r>
      <w:r>
        <w:t xml:space="preserve">lexer_O_970  </w:t>
      </w:r>
      <w:r>
        <w:rPr>
          <w:rStyle w:val="htmlcodes"/>
        </w:rPr>
        <w:t>&lt;/a&gt;</w:t>
      </w:r>
    </w:p>
    <w:p w:rsidR="00B72047" w:rsidRDefault="00B72047">
      <w:pPr>
        <w:pStyle w:val="YACC"/>
      </w:pPr>
      <w:r>
        <w:tab/>
        <w:t>|</w:t>
      </w:r>
      <w:r>
        <w:tab/>
      </w:r>
      <w:r>
        <w:rPr>
          <w:rStyle w:val="htmlcodes"/>
        </w:rPr>
        <w:t>&lt;a href=#y970&gt;</w:t>
      </w:r>
      <w:r>
        <w:t xml:space="preserve">lexer_O_970   </w:t>
      </w:r>
      <w:r>
        <w:rPr>
          <w:rStyle w:val="htmlcodes"/>
        </w:rPr>
        <w:t>&lt;/a&gt;&lt;a href=#y32&gt;</w:t>
      </w:r>
      <w:r>
        <w:t xml:space="preserve">free_modifier_32   </w:t>
      </w:r>
      <w:r>
        <w:rPr>
          <w:rStyle w:val="htmlcodes"/>
        </w:rPr>
        <w:t>&lt;/a&gt;</w:t>
      </w:r>
    </w:p>
    <w:p w:rsidR="00B72047" w:rsidRDefault="00B72047">
      <w:pPr>
        <w:pStyle w:val="YACC"/>
      </w:pPr>
      <w:r>
        <w:tab/>
        <w:t>|</w:t>
      </w:r>
      <w:r>
        <w:tab/>
      </w:r>
      <w:r>
        <w:rPr>
          <w:rStyle w:val="htmlcodes"/>
        </w:rPr>
        <w:t>&lt;a href=#y437&gt;</w:t>
      </w:r>
      <w:r>
        <w:t xml:space="preserve">FIhO_437  </w:t>
      </w:r>
      <w:r>
        <w:rPr>
          <w:rStyle w:val="htmlcodes"/>
        </w:rPr>
        <w:t>&lt;/a&gt;&lt;a href=#y130&gt;</w:t>
      </w:r>
      <w:r>
        <w:t xml:space="preserve">selbri_130   </w:t>
      </w:r>
      <w:r>
        <w:rPr>
          <w:rStyle w:val="htmlcodes"/>
        </w:rPr>
        <w:t>&lt;/a&gt;&lt;a href=#y458&gt;</w:t>
      </w:r>
      <w:r>
        <w:t xml:space="preserve">FEhU_gap_458  </w:t>
      </w:r>
      <w:r>
        <w:rPr>
          <w:rStyle w:val="htmlcodes"/>
        </w:rPr>
        <w:t>&lt;/a&gt;</w:t>
      </w:r>
    </w:p>
    <w:p w:rsidR="00B72047" w:rsidRDefault="00B72047">
      <w:pPr>
        <w:pStyle w:val="YACC"/>
      </w:pPr>
      <w:r>
        <w:tab/>
        <w:t>;</w:t>
      </w:r>
    </w:p>
    <w:p w:rsidR="00B72047" w:rsidRDefault="00B72047">
      <w:pPr>
        <w:pStyle w:val="YACCtoken"/>
      </w:pPr>
      <w:r>
        <w:rPr>
          <w:rStyle w:val="htmlcodes"/>
        </w:rPr>
        <w:t>&lt;a name=y816&gt;</w:t>
      </w:r>
      <w:r>
        <w:t xml:space="preserve">GIK_816  </w:t>
      </w:r>
      <w:r>
        <w:rPr>
          <w:rStyle w:val="htmlcodes"/>
        </w:rPr>
        <w:t>&lt;/a&gt;</w:t>
      </w:r>
      <w:r>
        <w:tab/>
        <w:t>:</w:t>
      </w:r>
      <w:r>
        <w:tab/>
      </w:r>
      <w:r>
        <w:rPr>
          <w:rStyle w:val="htmlcodes"/>
        </w:rPr>
        <w:t>&lt;a href=#y980&gt;</w:t>
      </w:r>
      <w:r>
        <w:t xml:space="preserve">lexer_P_980  </w:t>
      </w:r>
      <w:r>
        <w:rPr>
          <w:rStyle w:val="htmlcodes"/>
        </w:rPr>
        <w:t>&lt;/a&gt;</w:t>
      </w:r>
    </w:p>
    <w:p w:rsidR="00B72047" w:rsidRDefault="00B72047">
      <w:pPr>
        <w:pStyle w:val="YACC"/>
      </w:pPr>
      <w:r>
        <w:tab/>
        <w:t>|</w:t>
      </w:r>
      <w:r>
        <w:tab/>
      </w:r>
      <w:r>
        <w:rPr>
          <w:rStyle w:val="htmlcodes"/>
        </w:rPr>
        <w:t>&lt;a href=#y980&gt;</w:t>
      </w:r>
      <w:r>
        <w:t xml:space="preserve">lexer_P_980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name=y817&gt;</w:t>
      </w:r>
      <w:r>
        <w:t xml:space="preserve">lerfu_string_817  </w:t>
      </w:r>
      <w:r>
        <w:rPr>
          <w:rStyle w:val="htmlcodes"/>
        </w:rPr>
        <w:t>&lt;/a&gt;</w:t>
      </w:r>
      <w:r>
        <w:tab/>
        <w:t>:</w:t>
      </w:r>
      <w:r>
        <w:tab/>
      </w:r>
      <w:r>
        <w:rPr>
          <w:rStyle w:val="htmlcodes"/>
        </w:rPr>
        <w:t>&lt;a href=#y985&gt;</w:t>
      </w:r>
      <w:r>
        <w:t xml:space="preserve">lexer_Q_985  </w:t>
      </w:r>
      <w:r>
        <w:rPr>
          <w:rStyle w:val="htmlcodes"/>
        </w:rPr>
        <w:t>&lt;/a&gt;</w:t>
      </w:r>
    </w:p>
    <w:p w:rsidR="00B72047" w:rsidRDefault="00B72047">
      <w:pPr>
        <w:pStyle w:val="YACC"/>
      </w:pPr>
      <w:r>
        <w:tab/>
        <w:t>;</w:t>
      </w:r>
    </w:p>
    <w:p w:rsidR="00B72047" w:rsidRDefault="00B72047">
      <w:pPr>
        <w:pStyle w:val="YACCtoken"/>
      </w:pPr>
      <w:r>
        <w:rPr>
          <w:rStyle w:val="htmlcodes"/>
        </w:rPr>
        <w:t>&lt;a name=y818&gt;</w:t>
      </w:r>
      <w:r>
        <w:t xml:space="preserve">GIhEK_818  </w:t>
      </w:r>
      <w:r>
        <w:rPr>
          <w:rStyle w:val="htmlcodes"/>
        </w:rPr>
        <w:t>&lt;/a&gt;</w:t>
      </w:r>
      <w:r>
        <w:tab/>
        <w:t>:</w:t>
      </w:r>
      <w:r>
        <w:tab/>
      </w:r>
      <w:r>
        <w:rPr>
          <w:rStyle w:val="htmlcodes"/>
        </w:rPr>
        <w:t>&lt;a href=#y990&gt;</w:t>
      </w:r>
      <w:r>
        <w:t xml:space="preserve">lexer_R_990  </w:t>
      </w:r>
      <w:r>
        <w:rPr>
          <w:rStyle w:val="htmlcodes"/>
        </w:rPr>
        <w:t>&lt;/a&gt;</w:t>
      </w:r>
    </w:p>
    <w:p w:rsidR="00B72047" w:rsidRDefault="00B72047">
      <w:pPr>
        <w:pStyle w:val="YACC"/>
      </w:pPr>
      <w:r>
        <w:tab/>
        <w:t>|</w:t>
      </w:r>
      <w:r>
        <w:tab/>
      </w:r>
      <w:r>
        <w:rPr>
          <w:rStyle w:val="htmlcodes"/>
        </w:rPr>
        <w:t>&lt;a href=#y990&gt;</w:t>
      </w:r>
      <w:r>
        <w:t xml:space="preserve">lexer_R_990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name=y819&gt;</w:t>
      </w:r>
      <w:r>
        <w:t xml:space="preserve">I_819  </w:t>
      </w:r>
      <w:r>
        <w:rPr>
          <w:rStyle w:val="htmlcodes"/>
        </w:rPr>
        <w:t>&lt;/a&gt;</w:t>
      </w:r>
      <w:r>
        <w:tab/>
        <w:t>:</w:t>
      </w:r>
      <w:r>
        <w:tab/>
      </w:r>
      <w:r>
        <w:rPr>
          <w:rStyle w:val="htmlcodes"/>
        </w:rPr>
        <w:t>&lt;a href=#y995&gt;</w:t>
      </w:r>
      <w:r>
        <w:t xml:space="preserve">lexer_S_995  </w:t>
      </w:r>
      <w:r>
        <w:rPr>
          <w:rStyle w:val="htmlcodes"/>
        </w:rPr>
        <w:t>&lt;/a&gt;</w:t>
      </w:r>
    </w:p>
    <w:p w:rsidR="00B72047" w:rsidRDefault="00B72047">
      <w:pPr>
        <w:pStyle w:val="YACC"/>
      </w:pPr>
      <w:r>
        <w:tab/>
        <w:t>|</w:t>
      </w:r>
      <w:r>
        <w:tab/>
      </w:r>
      <w:r>
        <w:rPr>
          <w:rStyle w:val="htmlcodes"/>
        </w:rPr>
        <w:t>&lt;a href=#y995&gt;</w:t>
      </w:r>
      <w:r>
        <w:t xml:space="preserve">lexer_S_995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name=y820&gt;</w:t>
      </w:r>
      <w:r>
        <w:t xml:space="preserve">I_JEK_820  </w:t>
      </w:r>
      <w:r>
        <w:rPr>
          <w:rStyle w:val="htmlcodes"/>
        </w:rPr>
        <w:t>&lt;/a&gt;</w:t>
      </w:r>
      <w:r>
        <w:tab/>
        <w:t>:</w:t>
      </w:r>
      <w:r>
        <w:tab/>
      </w:r>
      <w:r>
        <w:rPr>
          <w:rStyle w:val="htmlcodes"/>
        </w:rPr>
        <w:t>&lt;a href=#y1000&gt;</w:t>
      </w:r>
      <w:r>
        <w:t xml:space="preserve">lexer_T_1000  </w:t>
      </w:r>
      <w:r>
        <w:rPr>
          <w:rStyle w:val="htmlcodes"/>
        </w:rPr>
        <w:t>&lt;/a&gt;</w:t>
      </w:r>
    </w:p>
    <w:p w:rsidR="00B72047" w:rsidRDefault="00B72047">
      <w:pPr>
        <w:pStyle w:val="YACC"/>
      </w:pPr>
      <w:r>
        <w:tab/>
        <w:t>|</w:t>
      </w:r>
      <w:r>
        <w:tab/>
      </w:r>
      <w:r>
        <w:rPr>
          <w:rStyle w:val="htmlcodes"/>
        </w:rPr>
        <w:t>&lt;a href=#y1000&gt;</w:t>
      </w:r>
      <w:r>
        <w:t xml:space="preserve">lexer_T_1000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name=y821&gt;</w:t>
      </w:r>
      <w:r>
        <w:t xml:space="preserve">JEK_BO_821  </w:t>
      </w:r>
      <w:r>
        <w:rPr>
          <w:rStyle w:val="htmlcodes"/>
        </w:rPr>
        <w:t>&lt;/a&gt;</w:t>
      </w:r>
      <w:r>
        <w:tab/>
        <w:t>:</w:t>
      </w:r>
      <w:r>
        <w:tab/>
      </w:r>
      <w:r>
        <w:rPr>
          <w:rStyle w:val="htmlcodes"/>
        </w:rPr>
        <w:t>&lt;a href=#y1005&gt;</w:t>
      </w:r>
      <w:r>
        <w:t xml:space="preserve">lexer_U_1005  </w:t>
      </w:r>
      <w:r>
        <w:rPr>
          <w:rStyle w:val="htmlcodes"/>
        </w:rPr>
        <w:t>&lt;/a&gt;</w:t>
      </w:r>
    </w:p>
    <w:p w:rsidR="00B72047" w:rsidRDefault="00B72047">
      <w:pPr>
        <w:pStyle w:val="YACC"/>
      </w:pPr>
      <w:r>
        <w:tab/>
        <w:t>|</w:t>
      </w:r>
      <w:r>
        <w:tab/>
      </w:r>
      <w:r>
        <w:rPr>
          <w:rStyle w:val="htmlcodes"/>
        </w:rPr>
        <w:t>&lt;a href=#y1005&gt;</w:t>
      </w:r>
      <w:r>
        <w:t xml:space="preserve">lexer_U_1005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name=y822&gt;</w:t>
      </w:r>
      <w:r>
        <w:t xml:space="preserve">JOIK_BO_822  </w:t>
      </w:r>
      <w:r>
        <w:rPr>
          <w:rStyle w:val="htmlcodes"/>
        </w:rPr>
        <w:t>&lt;/a&gt;</w:t>
      </w:r>
      <w:r>
        <w:tab/>
        <w:t>:</w:t>
      </w:r>
      <w:r>
        <w:tab/>
      </w:r>
      <w:r>
        <w:rPr>
          <w:rStyle w:val="htmlcodes"/>
        </w:rPr>
        <w:t>&lt;a href=#y1010&gt;</w:t>
      </w:r>
      <w:r>
        <w:t xml:space="preserve">lexer_V_1010  </w:t>
      </w:r>
      <w:r>
        <w:rPr>
          <w:rStyle w:val="htmlcodes"/>
        </w:rPr>
        <w:t>&lt;/a&gt;</w:t>
      </w:r>
    </w:p>
    <w:p w:rsidR="00B72047" w:rsidRDefault="00B72047">
      <w:pPr>
        <w:pStyle w:val="YACC"/>
      </w:pPr>
      <w:r>
        <w:tab/>
        <w:t>|</w:t>
      </w:r>
      <w:r>
        <w:tab/>
      </w:r>
      <w:r>
        <w:rPr>
          <w:rStyle w:val="htmlcodes"/>
        </w:rPr>
        <w:t>&lt;a href=#y1010&gt;</w:t>
      </w:r>
      <w:r>
        <w:t xml:space="preserve">lexer_V_1010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name=y823&gt;</w:t>
      </w:r>
      <w:r>
        <w:t xml:space="preserve">JOIK_KE_823  </w:t>
      </w:r>
      <w:r>
        <w:rPr>
          <w:rStyle w:val="htmlcodes"/>
        </w:rPr>
        <w:t>&lt;/a&gt;</w:t>
      </w:r>
      <w:r>
        <w:tab/>
        <w:t>:</w:t>
      </w:r>
      <w:r>
        <w:tab/>
      </w:r>
      <w:r>
        <w:rPr>
          <w:rStyle w:val="htmlcodes"/>
        </w:rPr>
        <w:t>&lt;a href=#y1015&gt;</w:t>
      </w:r>
      <w:r>
        <w:t xml:space="preserve">lexer_W_1015  </w:t>
      </w:r>
      <w:r>
        <w:rPr>
          <w:rStyle w:val="htmlcodes"/>
        </w:rPr>
        <w:t>&lt;/a&gt;</w:t>
      </w:r>
    </w:p>
    <w:p w:rsidR="00B72047" w:rsidRDefault="00B72047">
      <w:pPr>
        <w:pStyle w:val="YACC"/>
      </w:pPr>
      <w:r>
        <w:tab/>
        <w:t>|</w:t>
      </w:r>
      <w:r>
        <w:tab/>
      </w:r>
      <w:r>
        <w:rPr>
          <w:rStyle w:val="htmlcodes"/>
        </w:rPr>
        <w:t>&lt;a href=#y1015&gt;</w:t>
      </w:r>
      <w:r>
        <w:t xml:space="preserve">lexer_W_1015  </w:t>
      </w:r>
      <w:r>
        <w:rPr>
          <w:rStyle w:val="htmlcodes"/>
        </w:rPr>
        <w:t>&lt;/a&gt;&lt;a href=#y32&gt;</w:t>
      </w:r>
      <w:r>
        <w:t xml:space="preserve">free_modifier_32   </w:t>
      </w:r>
      <w:r>
        <w:rPr>
          <w:rStyle w:val="htmlcodes"/>
        </w:rPr>
        <w:t>&lt;/a&gt;</w:t>
      </w:r>
    </w:p>
    <w:p w:rsidR="00B72047" w:rsidRDefault="00B72047">
      <w:pPr>
        <w:pStyle w:val="YACC"/>
      </w:pPr>
      <w:r>
        <w:tab/>
        <w:t>;</w:t>
      </w:r>
    </w:p>
    <w:p w:rsidR="00B72047" w:rsidRDefault="00B72047">
      <w:pPr>
        <w:pStyle w:val="YACCtoken"/>
      </w:pPr>
      <w:r>
        <w:rPr>
          <w:rStyle w:val="htmlcodes"/>
        </w:rPr>
        <w:t>&lt;a name=y824&gt;</w:t>
      </w:r>
      <w:r>
        <w:t xml:space="preserve">PA_MOI_824  </w:t>
      </w:r>
      <w:r>
        <w:rPr>
          <w:rStyle w:val="htmlcodes"/>
        </w:rPr>
        <w:t>&lt;/a&gt;</w:t>
      </w:r>
      <w:r>
        <w:tab/>
        <w:t>:</w:t>
      </w:r>
      <w:r>
        <w:tab/>
      </w:r>
      <w:r>
        <w:rPr>
          <w:rStyle w:val="htmlcodes"/>
        </w:rPr>
        <w:t>&lt;a href=#y1025&gt;</w:t>
      </w:r>
      <w:r>
        <w:t xml:space="preserve">lexer_Y_1025  </w:t>
      </w:r>
      <w:r>
        <w:rPr>
          <w:rStyle w:val="htmlcodes"/>
        </w:rPr>
        <w:t>&lt;/a&gt;</w:t>
      </w:r>
    </w:p>
    <w:p w:rsidR="00B72047" w:rsidRDefault="00B72047">
      <w:pPr>
        <w:pStyle w:val="YACC"/>
      </w:pPr>
      <w:r>
        <w:tab/>
        <w:t>;</w:t>
      </w:r>
    </w:p>
    <w:p w:rsidR="00B72047" w:rsidRDefault="00B72047">
      <w:pPr>
        <w:pStyle w:val="YACC"/>
      </w:pPr>
    </w:p>
    <w:p w:rsidR="00B72047" w:rsidRDefault="00B72047">
      <w:pPr>
        <w:pStyle w:val="YACC"/>
      </w:pPr>
    </w:p>
    <w:p w:rsidR="00B72047" w:rsidRDefault="00B72047">
      <w:pPr>
        <w:pStyle w:val="YACCcomment"/>
      </w:pPr>
      <w:r>
        <w:rPr>
          <w:rStyle w:val="deletedparamark"/>
          <w:sz w:val="16"/>
          <w:szCs w:val="16"/>
        </w:rPr>
        <w:t>/*</w:t>
      </w:r>
      <w:r>
        <w:t xml:space="preserve"> The following rules are used only in lexer processing. They have been tested for ambiguity at various levels in the YACC grammar, but are in the recursive descent lexer in the current parser. The lexer inserts the lexer to</w:t>
      </w:r>
      <w:r>
        <w:softHyphen/>
        <w:t>kens before the processed strings, but leaves the original tokens. */</w:t>
      </w:r>
    </w:p>
    <w:p w:rsidR="00B72047" w:rsidRDefault="00B72047">
      <w:pPr>
        <w:pStyle w:val="YACCtoken"/>
        <w:rPr>
          <w:rStyle w:val="htmlcodes"/>
          <w:vanish w:val="0"/>
        </w:rPr>
      </w:pPr>
    </w:p>
    <w:p w:rsidR="00B72047" w:rsidRDefault="00B72047">
      <w:pPr>
        <w:pStyle w:val="YACCtoken"/>
      </w:pPr>
      <w:r>
        <w:rPr>
          <w:rStyle w:val="htmlcodes"/>
        </w:rPr>
        <w:t>&lt;a name=y905&gt;</w:t>
      </w:r>
      <w:r>
        <w:t xml:space="preserve">lexer_A_905  </w:t>
      </w:r>
      <w:r>
        <w:rPr>
          <w:rStyle w:val="htmlcodes"/>
        </w:rPr>
        <w:t>&lt;/a&gt;</w:t>
      </w:r>
      <w:r>
        <w:tab/>
        <w:t>:</w:t>
      </w:r>
      <w:r>
        <w:tab/>
      </w:r>
      <w:r>
        <w:rPr>
          <w:rStyle w:val="htmlcodes"/>
        </w:rPr>
        <w:t>&lt;a href=#y701&gt;</w:t>
      </w:r>
      <w:r>
        <w:t xml:space="preserve">lexer_A_701  </w:t>
      </w:r>
      <w:r>
        <w:rPr>
          <w:rStyle w:val="htmlcodes"/>
        </w:rPr>
        <w:t>&lt;/a&gt;&lt;a href=#y906&gt;</w:t>
      </w:r>
      <w:r>
        <w:t xml:space="preserve">utt_ordinal_root_906  </w:t>
      </w:r>
      <w:r>
        <w:rPr>
          <w:rStyle w:val="htmlcodes"/>
        </w:rPr>
        <w:t>&lt;/a&gt;</w:t>
      </w:r>
    </w:p>
    <w:p w:rsidR="00B72047" w:rsidRDefault="00B72047">
      <w:pPr>
        <w:pStyle w:val="YACC"/>
      </w:pPr>
      <w:r>
        <w:tab/>
        <w:t>;</w:t>
      </w:r>
    </w:p>
    <w:p w:rsidR="00B72047" w:rsidRDefault="00B72047">
      <w:pPr>
        <w:pStyle w:val="YACCtoken"/>
      </w:pPr>
      <w:r>
        <w:rPr>
          <w:rStyle w:val="htmlcodes"/>
        </w:rPr>
        <w:t>&lt;a name=y906&gt;</w:t>
      </w:r>
      <w:r>
        <w:t>utt_ordinal_root_906</w:t>
      </w:r>
      <w:r>
        <w:tab/>
      </w:r>
      <w:r>
        <w:rPr>
          <w:rStyle w:val="htmlcodes"/>
        </w:rPr>
        <w:t>&lt;/a&gt;</w:t>
      </w:r>
      <w:r>
        <w:t>:</w:t>
      </w:r>
      <w:r>
        <w:tab/>
      </w:r>
      <w:r>
        <w:rPr>
          <w:rStyle w:val="htmlcodes"/>
        </w:rPr>
        <w:t>&lt;a href=#y986&gt;</w:t>
      </w:r>
      <w:r>
        <w:t xml:space="preserve">lerfu_string_root_986  </w:t>
      </w:r>
      <w:r>
        <w:rPr>
          <w:rStyle w:val="htmlcodes"/>
        </w:rPr>
        <w:t>&lt;/a&gt;&lt;a href=#y661&gt;</w:t>
      </w:r>
      <w:r>
        <w:t xml:space="preserve">MAI_661  </w:t>
      </w:r>
      <w:r>
        <w:rPr>
          <w:rStyle w:val="htmlcodes"/>
        </w:rPr>
        <w:t>&lt;/a&gt;</w:t>
      </w:r>
    </w:p>
    <w:p w:rsidR="00B72047" w:rsidRDefault="00B72047">
      <w:pPr>
        <w:pStyle w:val="YACC"/>
      </w:pPr>
      <w:r>
        <w:tab/>
        <w:t>|</w:t>
      </w:r>
      <w:r>
        <w:tab/>
      </w:r>
      <w:r>
        <w:rPr>
          <w:rStyle w:val="htmlcodes"/>
        </w:rPr>
        <w:t>&lt;a href=#y961&gt;</w:t>
      </w:r>
      <w:r>
        <w:t xml:space="preserve">number_root_961   </w:t>
      </w:r>
      <w:r>
        <w:rPr>
          <w:rStyle w:val="htmlcodes"/>
        </w:rPr>
        <w:t>&lt;/a&gt;&lt;a href=#y661&gt;</w:t>
      </w:r>
      <w:r>
        <w:t xml:space="preserve">MAI_661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name=y910&gt;</w:t>
      </w:r>
      <w:r>
        <w:t xml:space="preserve">lexer_B_910  </w:t>
      </w:r>
      <w:r>
        <w:rPr>
          <w:rStyle w:val="htmlcodes"/>
        </w:rPr>
        <w:t>&lt;/a&gt;</w:t>
      </w:r>
      <w:r>
        <w:tab/>
        <w:t>:</w:t>
      </w:r>
      <w:r>
        <w:tab/>
      </w:r>
      <w:r>
        <w:rPr>
          <w:rStyle w:val="htmlcodes"/>
        </w:rPr>
        <w:t>&lt;a href=#y702&gt;</w:t>
      </w:r>
      <w:r>
        <w:t xml:space="preserve">lexer_B_702  </w:t>
      </w:r>
      <w:r>
        <w:rPr>
          <w:rStyle w:val="htmlcodes"/>
        </w:rPr>
        <w:t>&lt;/a&gt;&lt;a href=#y911&gt;</w:t>
      </w:r>
      <w:r>
        <w:t xml:space="preserve">EK_root_911  </w:t>
      </w:r>
      <w:r>
        <w:rPr>
          <w:rStyle w:val="htmlcodes"/>
        </w:rPr>
        <w:t>&lt;/a&gt;</w:t>
      </w:r>
    </w:p>
    <w:p w:rsidR="00B72047" w:rsidRDefault="00B72047">
      <w:pPr>
        <w:pStyle w:val="YACC"/>
      </w:pPr>
      <w:r>
        <w:tab/>
        <w:t>;</w:t>
      </w:r>
    </w:p>
    <w:p w:rsidR="00B72047" w:rsidRDefault="00B72047">
      <w:pPr>
        <w:pStyle w:val="YACCtoken"/>
      </w:pPr>
      <w:r>
        <w:rPr>
          <w:rStyle w:val="htmlcodes"/>
        </w:rPr>
        <w:t>&lt;a name=y911&gt;</w:t>
      </w:r>
      <w:r>
        <w:t xml:space="preserve">EK_root_911  </w:t>
      </w:r>
      <w:r>
        <w:rPr>
          <w:rStyle w:val="htmlcodes"/>
        </w:rPr>
        <w:t>&lt;/a&gt;</w:t>
      </w:r>
      <w:r>
        <w:tab/>
        <w:t>:</w:t>
      </w:r>
      <w:r>
        <w:tab/>
      </w:r>
      <w:r>
        <w:rPr>
          <w:rStyle w:val="htmlcodes"/>
        </w:rPr>
        <w:t>&lt;a href=#y501&gt;</w:t>
      </w:r>
      <w:r>
        <w:t xml:space="preserve">A_501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href=#y501&gt;</w:t>
      </w:r>
      <w:r>
        <w:t xml:space="preserve">A_501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href=#y501&gt;</w:t>
      </w:r>
      <w:r>
        <w:t xml:space="preserve">A_501   </w:t>
      </w:r>
      <w:r>
        <w:rPr>
          <w:rStyle w:val="htmlcodes"/>
        </w:rPr>
        <w:t>&lt;/a&gt;</w:t>
      </w:r>
    </w:p>
    <w:p w:rsidR="00B72047" w:rsidRDefault="00B72047">
      <w:pPr>
        <w:pStyle w:val="YACC"/>
      </w:pPr>
      <w:r>
        <w:tab/>
        <w:t>|</w:t>
      </w:r>
      <w:r>
        <w:tab/>
      </w:r>
      <w:r>
        <w:rPr>
          <w:rStyle w:val="htmlcodes"/>
        </w:rPr>
        <w:t>&lt;a href=#y501&gt;</w:t>
      </w:r>
      <w:r>
        <w:t xml:space="preserve">A_501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href=#y501&gt;</w:t>
      </w:r>
      <w:r>
        <w:t xml:space="preserve">A_501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href=#y501&gt;</w:t>
      </w:r>
      <w:r>
        <w:t xml:space="preserve">A_501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href=#y501&gt;</w:t>
      </w:r>
      <w:r>
        <w:t xml:space="preserve">A_501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href=#y501&gt;</w:t>
      </w:r>
      <w:r>
        <w:t xml:space="preserve">A_501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name=y915&gt;</w:t>
      </w:r>
      <w:r>
        <w:t xml:space="preserve">lexer_C_915  </w:t>
      </w:r>
      <w:r>
        <w:rPr>
          <w:rStyle w:val="htmlcodes"/>
        </w:rPr>
        <w:t>&lt;/a&gt;</w:t>
      </w:r>
      <w:r>
        <w:tab/>
        <w:t>:</w:t>
      </w:r>
      <w:r>
        <w:tab/>
      </w:r>
      <w:r>
        <w:rPr>
          <w:rStyle w:val="htmlcodes"/>
        </w:rPr>
        <w:t>&lt;a href=#y703&gt;</w:t>
      </w:r>
      <w:r>
        <w:t xml:space="preserve">lexer_C_703  </w:t>
      </w:r>
      <w:r>
        <w:rPr>
          <w:rStyle w:val="htmlcodes"/>
        </w:rPr>
        <w:t>&lt;/a&gt;&lt;a href=#y911&gt;</w:t>
      </w:r>
      <w:r>
        <w:t xml:space="preserve">EK_root_911  </w:t>
      </w:r>
      <w:r>
        <w:rPr>
          <w:rStyle w:val="htmlcodes"/>
        </w:rPr>
        <w:t>&lt;/a&gt;&lt;a href=#y508&gt;</w:t>
      </w:r>
      <w:r>
        <w:t xml:space="preserve">BO_508  </w:t>
      </w:r>
      <w:r>
        <w:rPr>
          <w:rStyle w:val="htmlcodes"/>
        </w:rPr>
        <w:t>&lt;/a&gt;</w:t>
      </w:r>
    </w:p>
    <w:p w:rsidR="00B72047" w:rsidRDefault="00B72047">
      <w:pPr>
        <w:pStyle w:val="YACC"/>
      </w:pPr>
      <w:r>
        <w:tab/>
        <w:t>|</w:t>
      </w:r>
      <w:r>
        <w:tab/>
      </w:r>
      <w:r>
        <w:rPr>
          <w:rStyle w:val="htmlcodes"/>
        </w:rPr>
        <w:t>&lt;a href=#y703&gt;</w:t>
      </w:r>
      <w:r>
        <w:t xml:space="preserve">lexer_C_703  </w:t>
      </w:r>
      <w:r>
        <w:rPr>
          <w:rStyle w:val="htmlcodes"/>
        </w:rPr>
        <w:t>&lt;/a&gt;&lt;a href=#y911&gt;</w:t>
      </w:r>
      <w:r>
        <w:t xml:space="preserve">EK_root_911   </w:t>
      </w:r>
      <w:r>
        <w:rPr>
          <w:rStyle w:val="htmlcodes"/>
        </w:rPr>
        <w:t>&lt;/a&gt;&lt;a href=#y971&gt;</w:t>
      </w:r>
      <w:r>
        <w:t xml:space="preserve">simple_tag_971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name=y916&gt;</w:t>
      </w:r>
      <w:r>
        <w:t xml:space="preserve">lexer_D_916  </w:t>
      </w:r>
      <w:r>
        <w:rPr>
          <w:rStyle w:val="htmlcodes"/>
        </w:rPr>
        <w:t>&lt;/a&gt;</w:t>
      </w:r>
      <w:r>
        <w:tab/>
        <w:t>:</w:t>
      </w:r>
      <w:r>
        <w:tab/>
      </w:r>
      <w:r>
        <w:rPr>
          <w:rStyle w:val="htmlcodes"/>
        </w:rPr>
        <w:t>&lt;a href=#y704&gt;</w:t>
      </w:r>
      <w:r>
        <w:t xml:space="preserve">lexer_D_704  </w:t>
      </w:r>
      <w:r>
        <w:rPr>
          <w:rStyle w:val="htmlcodes"/>
        </w:rPr>
        <w:t>&lt;/a&gt;&lt;a href=#y911&gt;</w:t>
      </w:r>
      <w:r>
        <w:t xml:space="preserve">EK_root_911  </w:t>
      </w:r>
      <w:r>
        <w:rPr>
          <w:rStyle w:val="htmlcodes"/>
        </w:rPr>
        <w:t>&lt;/a&gt;&lt;a href=#y551&gt;</w:t>
      </w:r>
      <w:r>
        <w:t xml:space="preserve">KE_551  </w:t>
      </w:r>
      <w:r>
        <w:rPr>
          <w:rStyle w:val="htmlcodes"/>
        </w:rPr>
        <w:t>&lt;/a&gt;</w:t>
      </w:r>
    </w:p>
    <w:p w:rsidR="00B72047" w:rsidRDefault="00B72047">
      <w:pPr>
        <w:pStyle w:val="YACC"/>
      </w:pPr>
      <w:r>
        <w:tab/>
        <w:t>|</w:t>
      </w:r>
      <w:r>
        <w:tab/>
      </w:r>
      <w:r>
        <w:rPr>
          <w:rStyle w:val="htmlcodes"/>
        </w:rPr>
        <w:t>&lt;a href=#y704&gt;</w:t>
      </w:r>
      <w:r>
        <w:t xml:space="preserve">lexer_D_704  </w:t>
      </w:r>
      <w:r>
        <w:rPr>
          <w:rStyle w:val="htmlcodes"/>
        </w:rPr>
        <w:t>&lt;/a&gt;&lt;a href=#y911&gt;</w:t>
      </w:r>
      <w:r>
        <w:t xml:space="preserve">EK_root_911   </w:t>
      </w:r>
      <w:r>
        <w:rPr>
          <w:rStyle w:val="htmlcodes"/>
        </w:rPr>
        <w:t>&lt;/a&gt;&lt;a href=#y971&gt;</w:t>
      </w:r>
      <w:r>
        <w:t xml:space="preserve">simple_tag_971   </w:t>
      </w:r>
      <w:r>
        <w:rPr>
          <w:rStyle w:val="htmlcodes"/>
        </w:rPr>
        <w:t>&lt;/a&gt;&lt;a href=#y551&gt;</w:t>
      </w:r>
      <w:r>
        <w:t xml:space="preserve">KE_551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name=y925&gt;</w:t>
      </w:r>
      <w:r>
        <w:t xml:space="preserve">lexer_E_925  </w:t>
      </w:r>
      <w:r>
        <w:rPr>
          <w:rStyle w:val="htmlcodes"/>
        </w:rPr>
        <w:t>&lt;/a&gt;</w:t>
      </w:r>
      <w:r>
        <w:tab/>
        <w:t>:</w:t>
      </w:r>
      <w:r>
        <w:tab/>
      </w:r>
      <w:r>
        <w:rPr>
          <w:rStyle w:val="htmlcodes"/>
        </w:rPr>
        <w:t>&lt;a href=#y705&gt;</w:t>
      </w:r>
      <w:r>
        <w:t xml:space="preserve">lexer_E_705  </w:t>
      </w:r>
      <w:r>
        <w:rPr>
          <w:rStyle w:val="htmlcodes"/>
        </w:rPr>
        <w:t>&lt;/a&gt;&lt;a href=#y926&gt;</w:t>
      </w:r>
      <w:r>
        <w:t xml:space="preserve">JEK_root_926  </w:t>
      </w:r>
      <w:r>
        <w:rPr>
          <w:rStyle w:val="htmlcodes"/>
        </w:rPr>
        <w:t>&lt;/a&gt;</w:t>
      </w:r>
    </w:p>
    <w:p w:rsidR="00B72047" w:rsidRDefault="00B72047">
      <w:pPr>
        <w:pStyle w:val="YACC"/>
      </w:pPr>
      <w:r>
        <w:tab/>
        <w:t>;</w:t>
      </w:r>
    </w:p>
    <w:p w:rsidR="00B72047" w:rsidRDefault="00B72047">
      <w:pPr>
        <w:pStyle w:val="YACCtoken"/>
      </w:pPr>
      <w:r>
        <w:rPr>
          <w:rStyle w:val="htmlcodes"/>
        </w:rPr>
        <w:t>&lt;a name=y926&gt;</w:t>
      </w:r>
      <w:r>
        <w:t xml:space="preserve">JEK_root_926  </w:t>
      </w:r>
      <w:r>
        <w:rPr>
          <w:rStyle w:val="htmlcodes"/>
        </w:rPr>
        <w:t>&lt;/a&gt;</w:t>
      </w:r>
      <w:r>
        <w:tab/>
        <w:t>:</w:t>
      </w:r>
      <w:r>
        <w:tab/>
      </w:r>
      <w:r>
        <w:rPr>
          <w:rStyle w:val="htmlcodes"/>
        </w:rPr>
        <w:t>&lt;a href=#y546&gt;</w:t>
      </w:r>
      <w:r>
        <w:t xml:space="preserve">JA_546  </w:t>
      </w:r>
      <w:r>
        <w:rPr>
          <w:rStyle w:val="htmlcodes"/>
        </w:rPr>
        <w:t>&lt;/a&gt;</w:t>
      </w:r>
    </w:p>
    <w:p w:rsidR="00B72047" w:rsidRDefault="00B72047">
      <w:pPr>
        <w:pStyle w:val="YACC"/>
      </w:pPr>
      <w:r>
        <w:tab/>
        <w:t>|</w:t>
      </w:r>
      <w:r>
        <w:tab/>
      </w:r>
      <w:r>
        <w:rPr>
          <w:rStyle w:val="htmlcodes"/>
        </w:rPr>
        <w:t>&lt;a href=#y546&gt;</w:t>
      </w:r>
      <w:r>
        <w:t xml:space="preserve">JA_546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href=#y546&gt;</w:t>
      </w:r>
      <w:r>
        <w:t xml:space="preserve">JA_546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href=#y546&gt;</w:t>
      </w:r>
      <w:r>
        <w:t xml:space="preserve">JA_546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href=#y546&gt;</w:t>
      </w:r>
      <w:r>
        <w:t xml:space="preserve">JA_546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href=#y546&gt;</w:t>
      </w:r>
      <w:r>
        <w:t xml:space="preserve">JA_546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href=#y546&gt;</w:t>
      </w:r>
      <w:r>
        <w:t xml:space="preserve">JA_546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href=#y546&gt;</w:t>
      </w:r>
      <w:r>
        <w:t xml:space="preserve">JA_546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name=y930&gt;</w:t>
      </w:r>
      <w:r>
        <w:t xml:space="preserve">lexer_F_930  </w:t>
      </w:r>
      <w:r>
        <w:rPr>
          <w:rStyle w:val="htmlcodes"/>
        </w:rPr>
        <w:t>&lt;/a&gt;</w:t>
      </w:r>
      <w:r>
        <w:tab/>
        <w:t>:</w:t>
      </w:r>
      <w:r>
        <w:tab/>
      </w:r>
      <w:r>
        <w:rPr>
          <w:rStyle w:val="htmlcodes"/>
        </w:rPr>
        <w:t>&lt;a href=#y706&gt;</w:t>
      </w:r>
      <w:r>
        <w:t xml:space="preserve">lexer_F_706  </w:t>
      </w:r>
      <w:r>
        <w:rPr>
          <w:rStyle w:val="htmlcodes"/>
        </w:rPr>
        <w:t>&lt;/a&gt;&lt;a href=#y931&gt;</w:t>
      </w:r>
      <w:r>
        <w:t xml:space="preserve">JOIK_root_931  </w:t>
      </w:r>
      <w:r>
        <w:rPr>
          <w:rStyle w:val="htmlcodes"/>
        </w:rPr>
        <w:t>&lt;/a&gt;</w:t>
      </w:r>
    </w:p>
    <w:p w:rsidR="00B72047" w:rsidRDefault="00B72047">
      <w:pPr>
        <w:pStyle w:val="YACC"/>
      </w:pPr>
      <w:r>
        <w:tab/>
        <w:t>;</w:t>
      </w:r>
    </w:p>
    <w:p w:rsidR="00B72047" w:rsidRDefault="00B72047">
      <w:pPr>
        <w:pStyle w:val="YACCtoken"/>
      </w:pPr>
      <w:r>
        <w:rPr>
          <w:rStyle w:val="htmlcodes"/>
        </w:rPr>
        <w:t>&lt;a name=y931&gt;</w:t>
      </w:r>
      <w:r>
        <w:t xml:space="preserve">JOIK_root_931  </w:t>
      </w:r>
      <w:r>
        <w:rPr>
          <w:rStyle w:val="htmlcodes"/>
        </w:rPr>
        <w:t>&lt;/a&gt;</w:t>
      </w:r>
      <w:r>
        <w:tab/>
        <w:t>:</w:t>
      </w:r>
      <w:r>
        <w:tab/>
      </w:r>
      <w:r>
        <w:rPr>
          <w:rStyle w:val="htmlcodes"/>
        </w:rPr>
        <w:t>&lt;a href=#y548&gt;</w:t>
      </w:r>
      <w:r>
        <w:t xml:space="preserve">JOI_548  </w:t>
      </w:r>
      <w:r>
        <w:rPr>
          <w:rStyle w:val="htmlcodes"/>
        </w:rPr>
        <w:t>&lt;/a&gt;</w:t>
      </w:r>
    </w:p>
    <w:p w:rsidR="00B72047" w:rsidRDefault="00B72047">
      <w:pPr>
        <w:pStyle w:val="YACC"/>
      </w:pPr>
      <w:r>
        <w:tab/>
        <w:t>|</w:t>
      </w:r>
      <w:r>
        <w:tab/>
      </w:r>
      <w:r>
        <w:rPr>
          <w:rStyle w:val="htmlcodes"/>
        </w:rPr>
        <w:t>&lt;a href=#y548&gt;</w:t>
      </w:r>
      <w:r>
        <w:t xml:space="preserve">JOI_548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href=#y548&gt;</w:t>
      </w:r>
      <w:r>
        <w:t xml:space="preserve">JOI_548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href=#y548&gt;</w:t>
      </w:r>
      <w:r>
        <w:t xml:space="preserve">JOI_548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href=#y932&gt;</w:t>
      </w:r>
      <w:r>
        <w:t xml:space="preserve">interval_932   </w:t>
      </w:r>
      <w:r>
        <w:rPr>
          <w:rStyle w:val="htmlcodes"/>
        </w:rPr>
        <w:t>&lt;/a&gt;</w:t>
      </w:r>
    </w:p>
    <w:p w:rsidR="00B72047" w:rsidRDefault="00B72047">
      <w:pPr>
        <w:pStyle w:val="YACC"/>
      </w:pPr>
      <w:r>
        <w:tab/>
        <w:t>|</w:t>
      </w:r>
      <w:r>
        <w:tab/>
      </w:r>
      <w:r>
        <w:rPr>
          <w:rStyle w:val="htmlcodes"/>
        </w:rPr>
        <w:t>&lt;a href=#y656&gt;</w:t>
      </w:r>
      <w:r>
        <w:t xml:space="preserve">GAhO_656  </w:t>
      </w:r>
      <w:r>
        <w:rPr>
          <w:rStyle w:val="htmlcodes"/>
        </w:rPr>
        <w:t>&lt;/a&gt;&lt;a href=#y932&gt;</w:t>
      </w:r>
      <w:r>
        <w:t xml:space="preserve">interval_932   </w:t>
      </w:r>
      <w:r>
        <w:rPr>
          <w:rStyle w:val="htmlcodes"/>
        </w:rPr>
        <w:t>&lt;/a&gt;&lt;a href=#y656&gt;</w:t>
      </w:r>
      <w:r>
        <w:t xml:space="preserve">GAhO_656  </w:t>
      </w:r>
      <w:r>
        <w:rPr>
          <w:rStyle w:val="htmlcodes"/>
        </w:rPr>
        <w:t>&lt;/a&gt;</w:t>
      </w:r>
    </w:p>
    <w:p w:rsidR="00B72047" w:rsidRDefault="00B72047">
      <w:pPr>
        <w:pStyle w:val="YACC"/>
      </w:pPr>
      <w:r>
        <w:tab/>
        <w:t>;</w:t>
      </w:r>
    </w:p>
    <w:p w:rsidR="00B72047" w:rsidRDefault="00B72047">
      <w:pPr>
        <w:pStyle w:val="YACCtoken"/>
      </w:pPr>
      <w:r>
        <w:rPr>
          <w:rStyle w:val="htmlcodes"/>
        </w:rPr>
        <w:t>&lt;a name=y932&gt;</w:t>
      </w:r>
      <w:r>
        <w:t xml:space="preserve">interval_932  </w:t>
      </w:r>
      <w:r>
        <w:rPr>
          <w:rStyle w:val="htmlcodes"/>
        </w:rPr>
        <w:t>&lt;/a&gt;</w:t>
      </w:r>
      <w:r>
        <w:tab/>
        <w:t>:</w:t>
      </w:r>
      <w:r>
        <w:tab/>
      </w:r>
      <w:r>
        <w:rPr>
          <w:rStyle w:val="htmlcodes"/>
        </w:rPr>
        <w:t>&lt;a href=#y507&gt;</w:t>
      </w:r>
      <w:r>
        <w:t xml:space="preserve">BIhI_507  </w:t>
      </w:r>
      <w:r>
        <w:rPr>
          <w:rStyle w:val="htmlcodes"/>
        </w:rPr>
        <w:t>&lt;/a&gt;</w:t>
      </w:r>
    </w:p>
    <w:p w:rsidR="00B72047" w:rsidRDefault="00B72047">
      <w:pPr>
        <w:pStyle w:val="YACC"/>
      </w:pPr>
      <w:r>
        <w:tab/>
        <w:t>|</w:t>
      </w:r>
      <w:r>
        <w:tab/>
      </w:r>
      <w:r>
        <w:rPr>
          <w:rStyle w:val="htmlcodes"/>
        </w:rPr>
        <w:t>&lt;a href=#y507&gt;</w:t>
      </w:r>
      <w:r>
        <w:t xml:space="preserve">BIhI_507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href=#y507&gt;</w:t>
      </w:r>
      <w:r>
        <w:t xml:space="preserve">BIhI_507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href=#y507&gt;</w:t>
      </w:r>
      <w:r>
        <w:t xml:space="preserve">BIhI_507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name=y935&gt;</w:t>
      </w:r>
      <w:r>
        <w:t xml:space="preserve">lexer_G_935  </w:t>
      </w:r>
      <w:r>
        <w:rPr>
          <w:rStyle w:val="htmlcodes"/>
        </w:rPr>
        <w:t>&lt;/a&gt;</w:t>
      </w:r>
      <w:r>
        <w:tab/>
        <w:t>:</w:t>
      </w:r>
      <w:r>
        <w:tab/>
      </w:r>
      <w:r>
        <w:rPr>
          <w:rStyle w:val="htmlcodes"/>
        </w:rPr>
        <w:t>&lt;a href=#y707&gt;</w:t>
      </w:r>
      <w:r>
        <w:t xml:space="preserve">lexer_G_707  </w:t>
      </w:r>
      <w:r>
        <w:rPr>
          <w:rStyle w:val="htmlcodes"/>
        </w:rPr>
        <w:t>&lt;/a&gt;&lt;a href=#y537&gt;</w:t>
      </w:r>
      <w:r>
        <w:t xml:space="preserve">GA_537  </w:t>
      </w:r>
      <w:r>
        <w:rPr>
          <w:rStyle w:val="htmlcodes"/>
        </w:rPr>
        <w:t>&lt;/a&gt;</w:t>
      </w:r>
    </w:p>
    <w:p w:rsidR="00B72047" w:rsidRDefault="00B72047">
      <w:pPr>
        <w:pStyle w:val="YACC"/>
      </w:pPr>
      <w:r>
        <w:tab/>
        <w:t>|</w:t>
      </w:r>
      <w:r>
        <w:tab/>
      </w:r>
      <w:r>
        <w:rPr>
          <w:rStyle w:val="htmlcodes"/>
        </w:rPr>
        <w:t>&lt;a href=#y707&gt;</w:t>
      </w:r>
      <w:r>
        <w:t xml:space="preserve">lexer_G_707  </w:t>
      </w:r>
      <w:r>
        <w:rPr>
          <w:rStyle w:val="htmlcodes"/>
        </w:rPr>
        <w:t>&lt;/a&gt;&lt;a href=#y596&gt;</w:t>
      </w:r>
      <w:r>
        <w:t xml:space="preserve">SE_596  </w:t>
      </w:r>
      <w:r>
        <w:rPr>
          <w:rStyle w:val="htmlcodes"/>
        </w:rPr>
        <w:t>&lt;/a&gt;&lt;a href=#y537&gt;</w:t>
      </w:r>
      <w:r>
        <w:t xml:space="preserve">GA_537  </w:t>
      </w:r>
      <w:r>
        <w:rPr>
          <w:rStyle w:val="htmlcodes"/>
        </w:rPr>
        <w:t>&lt;/a&gt;</w:t>
      </w:r>
    </w:p>
    <w:p w:rsidR="00B72047" w:rsidRDefault="00B72047">
      <w:pPr>
        <w:pStyle w:val="YACC"/>
      </w:pPr>
      <w:r>
        <w:tab/>
        <w:t>|</w:t>
      </w:r>
      <w:r>
        <w:tab/>
      </w:r>
      <w:r>
        <w:rPr>
          <w:rStyle w:val="htmlcodes"/>
        </w:rPr>
        <w:t>&lt;a href=#y707&gt;</w:t>
      </w:r>
      <w:r>
        <w:t xml:space="preserve">lexer_G_707  </w:t>
      </w:r>
      <w:r>
        <w:rPr>
          <w:rStyle w:val="htmlcodes"/>
        </w:rPr>
        <w:t>&lt;/a&gt;&lt;a href=#y537&gt;</w:t>
      </w:r>
      <w:r>
        <w:t xml:space="preserve">GA_537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href=#y707&gt;</w:t>
      </w:r>
      <w:r>
        <w:t xml:space="preserve">lexer_G_707  </w:t>
      </w:r>
      <w:r>
        <w:rPr>
          <w:rStyle w:val="htmlcodes"/>
        </w:rPr>
        <w:t>&lt;/a&gt;&lt;a href=#y596&gt;</w:t>
      </w:r>
      <w:r>
        <w:t xml:space="preserve">SE_596  </w:t>
      </w:r>
      <w:r>
        <w:rPr>
          <w:rStyle w:val="htmlcodes"/>
        </w:rPr>
        <w:t>&lt;/a&gt;&lt;a href=#y537&gt;</w:t>
      </w:r>
      <w:r>
        <w:t xml:space="preserve">GA_537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href=#y707&gt;</w:t>
      </w:r>
      <w:r>
        <w:t xml:space="preserve">lexer_G_707  </w:t>
      </w:r>
      <w:r>
        <w:rPr>
          <w:rStyle w:val="htmlcodes"/>
        </w:rPr>
        <w:t>&lt;/a&gt;&lt;a href=#y971&gt;</w:t>
      </w:r>
      <w:r>
        <w:t xml:space="preserve">simple_tag_971   </w:t>
      </w:r>
      <w:r>
        <w:rPr>
          <w:rStyle w:val="htmlcodes"/>
        </w:rPr>
        <w:t>&lt;/a&gt;&lt;a href=#y981&gt;</w:t>
      </w:r>
      <w:r>
        <w:t xml:space="preserve">GIK_root_981   </w:t>
      </w:r>
      <w:r>
        <w:rPr>
          <w:rStyle w:val="htmlcodes"/>
        </w:rPr>
        <w:t>&lt;/a&gt;</w:t>
      </w:r>
    </w:p>
    <w:p w:rsidR="00B72047" w:rsidRDefault="00B72047">
      <w:pPr>
        <w:pStyle w:val="YACC"/>
      </w:pPr>
      <w:r>
        <w:tab/>
        <w:t>|</w:t>
      </w:r>
      <w:r>
        <w:tab/>
      </w:r>
      <w:r>
        <w:rPr>
          <w:rStyle w:val="htmlcodes"/>
        </w:rPr>
        <w:t>&lt;a href=#y707&gt;</w:t>
      </w:r>
      <w:r>
        <w:t xml:space="preserve">lexer_G_707  </w:t>
      </w:r>
      <w:r>
        <w:rPr>
          <w:rStyle w:val="htmlcodes"/>
        </w:rPr>
        <w:t>&lt;/a&gt;&lt;a href=#y931&gt;</w:t>
      </w:r>
      <w:r>
        <w:t xml:space="preserve">JOIK_root_931   </w:t>
      </w:r>
      <w:r>
        <w:rPr>
          <w:rStyle w:val="htmlcodes"/>
        </w:rPr>
        <w:t>&lt;/a&gt;&lt;a href=#y539&gt;</w:t>
      </w:r>
      <w:r>
        <w:t xml:space="preserve">GI_539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name=y940&gt;</w:t>
      </w:r>
      <w:r>
        <w:t xml:space="preserve">lexer_H_940  </w:t>
      </w:r>
      <w:r>
        <w:rPr>
          <w:rStyle w:val="htmlcodes"/>
        </w:rPr>
        <w:t>&lt;/a&gt;</w:t>
      </w:r>
      <w:r>
        <w:tab/>
        <w:t>:</w:t>
      </w:r>
      <w:r>
        <w:tab/>
      </w:r>
      <w:r>
        <w:rPr>
          <w:rStyle w:val="htmlcodes"/>
        </w:rPr>
        <w:t>&lt;a href=#y708&gt;</w:t>
      </w:r>
      <w:r>
        <w:t xml:space="preserve">lexer_H_708  </w:t>
      </w:r>
      <w:r>
        <w:rPr>
          <w:rStyle w:val="htmlcodes"/>
        </w:rPr>
        <w:t>&lt;/a&gt;&lt;a href=#y544&gt;</w:t>
      </w:r>
      <w:r>
        <w:t xml:space="preserve">GUhA_544  </w:t>
      </w:r>
      <w:r>
        <w:rPr>
          <w:rStyle w:val="htmlcodes"/>
        </w:rPr>
        <w:t>&lt;/a&gt;</w:t>
      </w:r>
    </w:p>
    <w:p w:rsidR="00B72047" w:rsidRDefault="00B72047">
      <w:pPr>
        <w:pStyle w:val="YACC"/>
      </w:pPr>
      <w:r>
        <w:tab/>
        <w:t>|</w:t>
      </w:r>
      <w:r>
        <w:tab/>
      </w:r>
      <w:r>
        <w:rPr>
          <w:rStyle w:val="htmlcodes"/>
        </w:rPr>
        <w:t>&lt;a href=#y708&gt;</w:t>
      </w:r>
      <w:r>
        <w:t xml:space="preserve">lexer_H_708  </w:t>
      </w:r>
      <w:r>
        <w:rPr>
          <w:rStyle w:val="htmlcodes"/>
        </w:rPr>
        <w:t>&lt;/a&gt;&lt;a href=#y596&gt;</w:t>
      </w:r>
      <w:r>
        <w:t xml:space="preserve">SE_596  </w:t>
      </w:r>
      <w:r>
        <w:rPr>
          <w:rStyle w:val="htmlcodes"/>
        </w:rPr>
        <w:t>&lt;/a&gt;&lt;a href=#y544&gt;</w:t>
      </w:r>
      <w:r>
        <w:t xml:space="preserve">GUhA_544  </w:t>
      </w:r>
      <w:r>
        <w:rPr>
          <w:rStyle w:val="htmlcodes"/>
        </w:rPr>
        <w:t>&lt;/a&gt;</w:t>
      </w:r>
    </w:p>
    <w:p w:rsidR="00B72047" w:rsidRDefault="00B72047">
      <w:pPr>
        <w:pStyle w:val="YACC"/>
      </w:pPr>
      <w:r>
        <w:tab/>
        <w:t>|</w:t>
      </w:r>
      <w:r>
        <w:tab/>
      </w:r>
      <w:r>
        <w:rPr>
          <w:rStyle w:val="htmlcodes"/>
        </w:rPr>
        <w:t>&lt;a href=#y708&gt;</w:t>
      </w:r>
      <w:r>
        <w:t xml:space="preserve">lexer_H_708  </w:t>
      </w:r>
      <w:r>
        <w:rPr>
          <w:rStyle w:val="htmlcodes"/>
        </w:rPr>
        <w:t>&lt;/a&gt;&lt;a href=#y544&gt;</w:t>
      </w:r>
      <w:r>
        <w:t xml:space="preserve">GUhA_544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href=#y708&gt;</w:t>
      </w:r>
      <w:r>
        <w:t xml:space="preserve">lexer_H_708  </w:t>
      </w:r>
      <w:r>
        <w:rPr>
          <w:rStyle w:val="htmlcodes"/>
        </w:rPr>
        <w:t>&lt;/a&gt;&lt;a href=#y596&gt;</w:t>
      </w:r>
      <w:r>
        <w:t xml:space="preserve">SE_596  </w:t>
      </w:r>
      <w:r>
        <w:rPr>
          <w:rStyle w:val="htmlcodes"/>
        </w:rPr>
        <w:t>&lt;/a&gt;&lt;a href=#y544&gt;</w:t>
      </w:r>
      <w:r>
        <w:t xml:space="preserve">GUhA_544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name=y945&gt;</w:t>
      </w:r>
      <w:r>
        <w:t xml:space="preserve">lexer_I_945  </w:t>
      </w:r>
      <w:r>
        <w:rPr>
          <w:rStyle w:val="htmlcodes"/>
        </w:rPr>
        <w:t>&lt;/a&gt;</w:t>
      </w:r>
      <w:r>
        <w:tab/>
        <w:t>:</w:t>
      </w:r>
      <w:r>
        <w:tab/>
      </w:r>
      <w:r>
        <w:rPr>
          <w:rStyle w:val="htmlcodes"/>
        </w:rPr>
        <w:t>&lt;a href=#y709&gt;</w:t>
      </w:r>
      <w:r>
        <w:t xml:space="preserve">lexer_I_709  </w:t>
      </w:r>
      <w:r>
        <w:rPr>
          <w:rStyle w:val="htmlcodes"/>
        </w:rPr>
        <w:t>&lt;/a&gt;&lt;a href=#y583&gt;</w:t>
      </w:r>
      <w:r>
        <w:t xml:space="preserve">NAhE_583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name=y950&gt;</w:t>
      </w:r>
      <w:r>
        <w:t xml:space="preserve">lexer_J_950  </w:t>
      </w:r>
      <w:r>
        <w:rPr>
          <w:rStyle w:val="htmlcodes"/>
        </w:rPr>
        <w:t>&lt;/a&gt;</w:t>
      </w:r>
      <w:r>
        <w:tab/>
        <w:t>:</w:t>
      </w:r>
      <w:r>
        <w:tab/>
      </w:r>
      <w:r>
        <w:rPr>
          <w:rStyle w:val="htmlcodes"/>
        </w:rPr>
        <w:t>&lt;a href=#y710&gt;</w:t>
      </w:r>
      <w:r>
        <w:t xml:space="preserve">lexer_J_710  </w:t>
      </w:r>
      <w:r>
        <w:rPr>
          <w:rStyle w:val="htmlcodes"/>
        </w:rPr>
        <w:t>&lt;/a&gt;&lt;a href=#y578&gt;</w:t>
      </w:r>
      <w:r>
        <w:t xml:space="preserve">NA_578  </w:t>
      </w:r>
      <w:r>
        <w:rPr>
          <w:rStyle w:val="htmlcodes"/>
        </w:rPr>
        <w:t>&lt;/a&gt;&lt;a href=#y556&gt;</w:t>
      </w:r>
      <w:r>
        <w:t xml:space="preserve">KU_556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name=y955&gt;</w:t>
      </w:r>
      <w:r>
        <w:t xml:space="preserve">lexer_K_955  </w:t>
      </w:r>
      <w:r>
        <w:rPr>
          <w:rStyle w:val="htmlcodes"/>
        </w:rPr>
        <w:t>&lt;/a&gt;</w:t>
      </w:r>
      <w:r>
        <w:tab/>
        <w:t>:</w:t>
      </w:r>
      <w:r>
        <w:tab/>
      </w:r>
      <w:r>
        <w:rPr>
          <w:rStyle w:val="htmlcodes"/>
        </w:rPr>
        <w:t>&lt;a href=#y711&gt;</w:t>
      </w:r>
      <w:r>
        <w:t xml:space="preserve">lexer_K_711  </w:t>
      </w:r>
      <w:r>
        <w:rPr>
          <w:rStyle w:val="htmlcodes"/>
        </w:rPr>
        <w:t>&lt;/a&gt;&lt;a href=#y956&gt;</w:t>
      </w:r>
      <w:r>
        <w:t xml:space="preserve">I_root_956  </w:t>
      </w:r>
      <w:r>
        <w:rPr>
          <w:rStyle w:val="htmlcodes"/>
        </w:rPr>
        <w:t>&lt;/a&gt;&lt;a href=#y508&gt;</w:t>
      </w:r>
      <w:r>
        <w:t xml:space="preserve">BO_508  </w:t>
      </w:r>
      <w:r>
        <w:rPr>
          <w:rStyle w:val="htmlcodes"/>
        </w:rPr>
        <w:t>&lt;/a&gt;</w:t>
      </w:r>
    </w:p>
    <w:p w:rsidR="00B72047" w:rsidRDefault="00B72047">
      <w:pPr>
        <w:pStyle w:val="YACC"/>
      </w:pPr>
      <w:r>
        <w:tab/>
        <w:t>|</w:t>
      </w:r>
      <w:r>
        <w:tab/>
      </w:r>
      <w:r>
        <w:rPr>
          <w:rStyle w:val="htmlcodes"/>
        </w:rPr>
        <w:t>&lt;a href=#y711&gt;</w:t>
      </w:r>
      <w:r>
        <w:t xml:space="preserve">lexer_K_711   </w:t>
      </w:r>
      <w:r>
        <w:rPr>
          <w:rStyle w:val="htmlcodes"/>
        </w:rPr>
        <w:t>&lt;/a&gt;&lt;a href=#y956&gt;</w:t>
      </w:r>
      <w:r>
        <w:t xml:space="preserve">I_root_956  </w:t>
      </w:r>
      <w:r>
        <w:rPr>
          <w:rStyle w:val="htmlcodes"/>
        </w:rPr>
        <w:t>&lt;/a&gt;&lt;a href=#y971&gt;</w:t>
      </w:r>
      <w:r>
        <w:t xml:space="preserve">simple_tag_971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pPr>
      <w:r>
        <w:rPr>
          <w:rStyle w:val="htmlcodes"/>
        </w:rPr>
        <w:t>&lt;a name=y956&gt;</w:t>
      </w:r>
      <w:r>
        <w:t xml:space="preserve">I_root_956  </w:t>
      </w:r>
      <w:r>
        <w:rPr>
          <w:rStyle w:val="htmlcodes"/>
        </w:rPr>
        <w:t>&lt;/a&gt;</w:t>
      </w:r>
      <w:r>
        <w:tab/>
        <w:t>:</w:t>
      </w:r>
      <w:r>
        <w:tab/>
      </w:r>
      <w:r>
        <w:rPr>
          <w:rStyle w:val="htmlcodes"/>
        </w:rPr>
        <w:t>&lt;a href=#y545&gt;</w:t>
      </w:r>
      <w:r>
        <w:t xml:space="preserve">I_545  </w:t>
      </w:r>
      <w:r>
        <w:rPr>
          <w:rStyle w:val="htmlcodes"/>
        </w:rPr>
        <w:t>&lt;/a&gt;</w:t>
      </w:r>
    </w:p>
    <w:p w:rsidR="00B72047" w:rsidRDefault="00B72047">
      <w:pPr>
        <w:pStyle w:val="YACC"/>
      </w:pPr>
      <w:r>
        <w:tab/>
        <w:t>|</w:t>
      </w:r>
      <w:r>
        <w:tab/>
      </w:r>
      <w:r>
        <w:rPr>
          <w:rStyle w:val="htmlcodes"/>
        </w:rPr>
        <w:t>&lt;a href=#y545&gt;</w:t>
      </w:r>
      <w:r>
        <w:t xml:space="preserve">I_545  </w:t>
      </w:r>
      <w:r>
        <w:rPr>
          <w:rStyle w:val="htmlcodes"/>
        </w:rPr>
        <w:t>&lt;/a&gt;&lt;a href=#y957&gt;</w:t>
      </w:r>
      <w:r>
        <w:t xml:space="preserve">simple_JOIK_JEK_957  </w:t>
      </w:r>
      <w:r>
        <w:rPr>
          <w:rStyle w:val="htmlcodes"/>
        </w:rPr>
        <w:t>&lt;/a&gt;</w:t>
      </w:r>
    </w:p>
    <w:p w:rsidR="00B72047" w:rsidRDefault="00B72047">
      <w:pPr>
        <w:pStyle w:val="YACC"/>
      </w:pPr>
      <w:r>
        <w:tab/>
        <w:t>;</w:t>
      </w:r>
    </w:p>
    <w:p w:rsidR="00B72047" w:rsidRDefault="00B72047">
      <w:pPr>
        <w:pStyle w:val="YACCtoken"/>
      </w:pPr>
      <w:r>
        <w:rPr>
          <w:rStyle w:val="htmlcodes"/>
        </w:rPr>
        <w:t>&lt;a name=y957&gt;</w:t>
      </w:r>
      <w:r>
        <w:t>simple_JOIK_JEK_957</w:t>
      </w:r>
      <w:r>
        <w:tab/>
      </w:r>
      <w:r>
        <w:rPr>
          <w:rStyle w:val="htmlcodes"/>
        </w:rPr>
        <w:t>&lt;/a&gt;</w:t>
      </w:r>
      <w:r>
        <w:t>:</w:t>
      </w:r>
      <w:r>
        <w:tab/>
      </w:r>
      <w:r>
        <w:rPr>
          <w:rStyle w:val="htmlcodes"/>
        </w:rPr>
        <w:t>&lt;a href=#y806&gt;</w:t>
      </w:r>
      <w:r>
        <w:t xml:space="preserve">JOIK_806  </w:t>
      </w:r>
      <w:r>
        <w:rPr>
          <w:rStyle w:val="htmlcodes"/>
        </w:rPr>
        <w:t>&lt;/a&gt;</w:t>
      </w:r>
    </w:p>
    <w:p w:rsidR="00B72047" w:rsidRDefault="00B72047">
      <w:pPr>
        <w:pStyle w:val="YACC"/>
      </w:pPr>
      <w:r>
        <w:tab/>
        <w:t>|</w:t>
      </w:r>
      <w:r>
        <w:tab/>
      </w:r>
      <w:r>
        <w:rPr>
          <w:rStyle w:val="htmlcodes"/>
        </w:rPr>
        <w:t>&lt;a href=#y805&gt;</w:t>
      </w:r>
      <w:r>
        <w:t xml:space="preserve">JEK_805  </w:t>
      </w:r>
      <w:r>
        <w:rPr>
          <w:rStyle w:val="htmlcodes"/>
        </w:rPr>
        <w:t>&lt;/a&gt;</w:t>
      </w:r>
    </w:p>
    <w:p w:rsidR="00B72047" w:rsidRDefault="00B72047">
      <w:pPr>
        <w:pStyle w:val="YACC"/>
      </w:pPr>
      <w:r>
        <w:tab/>
        <w:t>;</w:t>
      </w:r>
    </w:p>
    <w:p w:rsidR="00B72047" w:rsidRDefault="00B72047">
      <w:pPr>
        <w:pStyle w:val="YACCcomment"/>
      </w:pPr>
      <w:r>
        <w:t xml:space="preserve">/* no freemod in this version; cf. </w:t>
      </w:r>
      <w:r>
        <w:rPr>
          <w:rStyle w:val="htmlcodes"/>
        </w:rPr>
        <w:t>&lt;a href=#y422&gt;</w:t>
      </w:r>
      <w:r>
        <w:t xml:space="preserve">JOIK_JEK_422   </w:t>
      </w:r>
      <w:r>
        <w:rPr>
          <w:rStyle w:val="htmlcodes"/>
        </w:rPr>
        <w:t>&lt;/a&gt;</w:t>
      </w:r>
      <w:r>
        <w:t>*/</w:t>
      </w:r>
    </w:p>
    <w:p w:rsidR="00B72047" w:rsidRDefault="00B72047">
      <w:pPr>
        <w:pStyle w:val="YACCcommentcont"/>
      </w:pPr>
      <w:r>
        <w:t>/* this reference to a version of JOIK and JEK which already have the lexer t</w:t>
      </w:r>
      <w:r>
        <w:t>o</w:t>
      </w:r>
      <w:r>
        <w:softHyphen/>
        <w:t>kens attached prevents shift/reduce errors. The problem is resolved in a hard</w:t>
      </w:r>
      <w:r>
        <w:noBreakHyphen/>
        <w:t>coded parser implementation which builds lexer_K, before lexer_S, be</w:t>
      </w:r>
      <w:r>
        <w:softHyphen/>
        <w:t>fore lexer_E and lexer_F. */</w:t>
      </w:r>
    </w:p>
    <w:p w:rsidR="00B72047" w:rsidRDefault="00B72047">
      <w:pPr>
        <w:pStyle w:val="YACCtoken"/>
        <w:rPr>
          <w:rStyle w:val="htmlcodes"/>
          <w:vanish w:val="0"/>
        </w:rPr>
      </w:pPr>
    </w:p>
    <w:p w:rsidR="00B72047" w:rsidRDefault="00B72047">
      <w:pPr>
        <w:pStyle w:val="YACCtoken"/>
      </w:pPr>
      <w:r>
        <w:rPr>
          <w:rStyle w:val="htmlcodes"/>
        </w:rPr>
        <w:t>&lt;a name=y960&gt;</w:t>
      </w:r>
      <w:r>
        <w:t xml:space="preserve">lexer_L_960  </w:t>
      </w:r>
      <w:r>
        <w:rPr>
          <w:rStyle w:val="htmlcodes"/>
        </w:rPr>
        <w:t>&lt;/a&gt;</w:t>
      </w:r>
      <w:r>
        <w:tab/>
        <w:t>:</w:t>
      </w:r>
      <w:r>
        <w:tab/>
      </w:r>
      <w:r>
        <w:rPr>
          <w:rStyle w:val="htmlcodes"/>
        </w:rPr>
        <w:t>&lt;a href=#y712&gt;</w:t>
      </w:r>
      <w:r>
        <w:t xml:space="preserve">lexer_L_712  </w:t>
      </w:r>
      <w:r>
        <w:rPr>
          <w:rStyle w:val="htmlcodes"/>
        </w:rPr>
        <w:t>&lt;/a&gt;&lt;a href=#y961&gt;</w:t>
      </w:r>
      <w:r>
        <w:t xml:space="preserve">number_root_961  </w:t>
      </w:r>
      <w:r>
        <w:rPr>
          <w:rStyle w:val="htmlcodes"/>
        </w:rPr>
        <w:t>&lt;/a&gt;</w:t>
      </w:r>
    </w:p>
    <w:p w:rsidR="00B72047" w:rsidRDefault="00B72047">
      <w:pPr>
        <w:pStyle w:val="YACC"/>
      </w:pPr>
      <w:r>
        <w:tab/>
        <w:t>;</w:t>
      </w:r>
    </w:p>
    <w:p w:rsidR="00B72047" w:rsidRDefault="00B72047">
      <w:pPr>
        <w:pStyle w:val="YACCtoken"/>
      </w:pPr>
      <w:r>
        <w:rPr>
          <w:rStyle w:val="htmlcodes"/>
        </w:rPr>
        <w:t>&lt;a name=y961&gt;</w:t>
      </w:r>
      <w:r>
        <w:t xml:space="preserve">number_root_961  </w:t>
      </w:r>
      <w:r>
        <w:rPr>
          <w:rStyle w:val="htmlcodes"/>
        </w:rPr>
        <w:t>&lt;/a&gt;</w:t>
      </w:r>
      <w:r>
        <w:tab/>
        <w:t>:</w:t>
      </w:r>
      <w:r>
        <w:tab/>
      </w:r>
      <w:r>
        <w:rPr>
          <w:rStyle w:val="htmlcodes"/>
        </w:rPr>
        <w:t>&lt;a href=#y672&gt;</w:t>
      </w:r>
      <w:r>
        <w:t xml:space="preserve">PA_672  </w:t>
      </w:r>
      <w:r>
        <w:rPr>
          <w:rStyle w:val="htmlcodes"/>
        </w:rPr>
        <w:t>&lt;/a&gt;</w:t>
      </w:r>
    </w:p>
    <w:p w:rsidR="00B72047" w:rsidRDefault="00B72047">
      <w:pPr>
        <w:pStyle w:val="YACC"/>
      </w:pPr>
      <w:r>
        <w:tab/>
        <w:t>|</w:t>
      </w:r>
      <w:r>
        <w:tab/>
      </w:r>
      <w:r>
        <w:rPr>
          <w:rStyle w:val="htmlcodes"/>
        </w:rPr>
        <w:t>&lt;a href=#y961&gt;</w:t>
      </w:r>
      <w:r>
        <w:t xml:space="preserve">number_root_961   </w:t>
      </w:r>
      <w:r>
        <w:rPr>
          <w:rStyle w:val="htmlcodes"/>
        </w:rPr>
        <w:t>&lt;/a&gt;&lt;a href=#y672&gt;</w:t>
      </w:r>
      <w:r>
        <w:t xml:space="preserve">PA_672   </w:t>
      </w:r>
      <w:r>
        <w:rPr>
          <w:rStyle w:val="htmlcodes"/>
        </w:rPr>
        <w:t>&lt;/a&gt;</w:t>
      </w:r>
    </w:p>
    <w:p w:rsidR="00B72047" w:rsidRDefault="00B72047">
      <w:pPr>
        <w:pStyle w:val="YACC"/>
      </w:pPr>
      <w:r>
        <w:tab/>
        <w:t>|</w:t>
      </w:r>
      <w:r>
        <w:tab/>
      </w:r>
      <w:r>
        <w:rPr>
          <w:rStyle w:val="htmlcodes"/>
        </w:rPr>
        <w:t>&lt;a href=#y961&gt;</w:t>
      </w:r>
      <w:r>
        <w:t xml:space="preserve">number_root_961   </w:t>
      </w:r>
      <w:r>
        <w:rPr>
          <w:rStyle w:val="htmlcodes"/>
        </w:rPr>
        <w:t>&lt;/a&gt;&lt;a href=#y987&gt;</w:t>
      </w:r>
      <w:r>
        <w:t xml:space="preserve">lerfu_word_987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name=y965&gt;</w:t>
      </w:r>
      <w:r>
        <w:t xml:space="preserve">lexer_M_965  </w:t>
      </w:r>
      <w:r>
        <w:rPr>
          <w:rStyle w:val="htmlcodes"/>
        </w:rPr>
        <w:t>&lt;/a&gt;</w:t>
      </w:r>
      <w:r>
        <w:tab/>
        <w:t>:</w:t>
      </w:r>
      <w:r>
        <w:tab/>
      </w:r>
      <w:r>
        <w:rPr>
          <w:rStyle w:val="htmlcodes"/>
        </w:rPr>
        <w:t>&lt;a href=#y713&gt;</w:t>
      </w:r>
      <w:r>
        <w:t xml:space="preserve">lexer_M_713  </w:t>
      </w:r>
      <w:r>
        <w:rPr>
          <w:rStyle w:val="htmlcodes"/>
        </w:rPr>
        <w:t>&lt;/a&gt;&lt;a href=#y991&gt;</w:t>
      </w:r>
      <w:r>
        <w:t xml:space="preserve">GIhEK_root_991  </w:t>
      </w:r>
      <w:r>
        <w:rPr>
          <w:rStyle w:val="htmlcodes"/>
        </w:rPr>
        <w:t>&lt;/a&gt;&lt;a href=#y508&gt;</w:t>
      </w:r>
      <w:r>
        <w:t xml:space="preserve">BO_508  </w:t>
      </w:r>
      <w:r>
        <w:rPr>
          <w:rStyle w:val="htmlcodes"/>
        </w:rPr>
        <w:t>&lt;/a&gt;</w:t>
      </w:r>
    </w:p>
    <w:p w:rsidR="00B72047" w:rsidRDefault="00B72047">
      <w:pPr>
        <w:pStyle w:val="YACC"/>
      </w:pPr>
      <w:r>
        <w:tab/>
        <w:t>|</w:t>
      </w:r>
      <w:r>
        <w:tab/>
      </w:r>
      <w:r>
        <w:rPr>
          <w:rStyle w:val="htmlcodes"/>
        </w:rPr>
        <w:t>&lt;a href=#y713&gt;</w:t>
      </w:r>
      <w:r>
        <w:t xml:space="preserve">lexer_M_713  </w:t>
      </w:r>
      <w:r>
        <w:rPr>
          <w:rStyle w:val="htmlcodes"/>
        </w:rPr>
        <w:t>&lt;/a&gt;&lt;a href=#y991&gt;</w:t>
      </w:r>
      <w:r>
        <w:t xml:space="preserve">GIhEK_root_991   </w:t>
      </w:r>
      <w:r>
        <w:rPr>
          <w:rStyle w:val="htmlcodes"/>
        </w:rPr>
        <w:t>&lt;/a&gt;&lt;a href=#y971&gt;</w:t>
      </w:r>
      <w:r>
        <w:t xml:space="preserve">simple_tag_971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name=y966&gt;</w:t>
      </w:r>
      <w:r>
        <w:t xml:space="preserve">lexer_N_966  </w:t>
      </w:r>
      <w:r>
        <w:rPr>
          <w:rStyle w:val="htmlcodes"/>
        </w:rPr>
        <w:t>&lt;/a&gt;</w:t>
      </w:r>
      <w:r>
        <w:tab/>
        <w:t>:</w:t>
      </w:r>
      <w:r>
        <w:tab/>
      </w:r>
      <w:r>
        <w:rPr>
          <w:rStyle w:val="htmlcodes"/>
        </w:rPr>
        <w:t>&lt;a href=#y714&gt;</w:t>
      </w:r>
      <w:r>
        <w:t xml:space="preserve">lexer_N_714  </w:t>
      </w:r>
      <w:r>
        <w:rPr>
          <w:rStyle w:val="htmlcodes"/>
        </w:rPr>
        <w:t>&lt;/a&gt;&lt;a href=#y991&gt;</w:t>
      </w:r>
      <w:r>
        <w:t xml:space="preserve">GIhEK_root_991  </w:t>
      </w:r>
      <w:r>
        <w:rPr>
          <w:rStyle w:val="htmlcodes"/>
        </w:rPr>
        <w:t>&lt;/a&gt;&lt;a href=#y551&gt;</w:t>
      </w:r>
      <w:r>
        <w:t xml:space="preserve">KE_551  </w:t>
      </w:r>
      <w:r>
        <w:rPr>
          <w:rStyle w:val="htmlcodes"/>
        </w:rPr>
        <w:t>&lt;/a&gt;</w:t>
      </w:r>
    </w:p>
    <w:p w:rsidR="00B72047" w:rsidRDefault="00B72047">
      <w:pPr>
        <w:pStyle w:val="YACC"/>
      </w:pPr>
      <w:r>
        <w:tab/>
        <w:t>|</w:t>
      </w:r>
      <w:r>
        <w:tab/>
      </w:r>
      <w:r>
        <w:rPr>
          <w:rStyle w:val="htmlcodes"/>
        </w:rPr>
        <w:t>&lt;a href=#y714&gt;</w:t>
      </w:r>
      <w:r>
        <w:t xml:space="preserve">lexer_N_714  </w:t>
      </w:r>
      <w:r>
        <w:rPr>
          <w:rStyle w:val="htmlcodes"/>
        </w:rPr>
        <w:t>&lt;/a&gt;&lt;a href=#y991&gt;</w:t>
      </w:r>
      <w:r>
        <w:t xml:space="preserve">GIhEK_root_991   </w:t>
      </w:r>
      <w:r>
        <w:rPr>
          <w:rStyle w:val="htmlcodes"/>
        </w:rPr>
        <w:t>&lt;/a&gt;&lt;a href=#y971&gt;</w:t>
      </w:r>
      <w:r>
        <w:t xml:space="preserve">simple_tag_971   </w:t>
      </w:r>
      <w:r>
        <w:rPr>
          <w:rStyle w:val="htmlcodes"/>
        </w:rPr>
        <w:t>&lt;/a&gt;&lt;a href=#y551&gt;</w:t>
      </w:r>
      <w:r>
        <w:t xml:space="preserve">KE_551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name=y970&gt;</w:t>
      </w:r>
      <w:r>
        <w:t xml:space="preserve">lexer_O_970  </w:t>
      </w:r>
      <w:r>
        <w:rPr>
          <w:rStyle w:val="htmlcodes"/>
        </w:rPr>
        <w:t>&lt;/a&gt;</w:t>
      </w:r>
      <w:r>
        <w:tab/>
        <w:t>:</w:t>
      </w:r>
      <w:r>
        <w:tab/>
      </w:r>
      <w:r>
        <w:rPr>
          <w:rStyle w:val="htmlcodes"/>
        </w:rPr>
        <w:t>&lt;a href=#y715&gt;</w:t>
      </w:r>
      <w:r>
        <w:t xml:space="preserve">lexer_O_715  </w:t>
      </w:r>
      <w:r>
        <w:rPr>
          <w:rStyle w:val="htmlcodes"/>
        </w:rPr>
        <w:t>&lt;/a&gt;&lt;a href=#y972&gt;</w:t>
      </w:r>
      <w:r>
        <w:t xml:space="preserve">simple_tense_modal_972  </w:t>
      </w:r>
      <w:r>
        <w:rPr>
          <w:rStyle w:val="htmlcodes"/>
        </w:rPr>
        <w:t>&lt;/a&gt;</w:t>
      </w:r>
    </w:p>
    <w:p w:rsidR="00B72047" w:rsidRDefault="00B72047">
      <w:pPr>
        <w:pStyle w:val="YACC"/>
        <w:rPr>
          <w:rStyle w:val="deletedparamark"/>
          <w:sz w:val="16"/>
          <w:szCs w:val="16"/>
        </w:rPr>
      </w:pPr>
      <w:r>
        <w:tab/>
        <w:t>;</w:t>
      </w:r>
      <w:r>
        <w:rPr>
          <w:rStyle w:val="deletedparamark"/>
          <w:sz w:val="16"/>
          <w:szCs w:val="16"/>
        </w:rPr>
        <w:tab/>
      </w:r>
    </w:p>
    <w:p w:rsidR="00B72047" w:rsidRDefault="00B72047">
      <w:pPr>
        <w:pStyle w:val="YACCcomment"/>
      </w:pPr>
      <w:r>
        <w:rPr>
          <w:rStyle w:val="deletedparamark"/>
          <w:sz w:val="16"/>
          <w:szCs w:val="16"/>
        </w:rPr>
        <w:t>/*</w:t>
      </w:r>
      <w:r>
        <w:t xml:space="preserve"> the following rule is a lexer version of non</w:t>
      </w:r>
      <w:r>
        <w:noBreakHyphen/>
        <w:t>terminal_815  for compounding PU/modals; it disallows the lexer picking out FIhO clauses, which would re</w:t>
      </w:r>
      <w:r>
        <w:softHyphen/>
        <w:t>quire it to have knowledge of the main parser grammar */</w:t>
      </w:r>
    </w:p>
    <w:p w:rsidR="00B72047" w:rsidRDefault="00B72047">
      <w:pPr>
        <w:pStyle w:val="YACCtoken"/>
        <w:spacing w:before="40"/>
      </w:pPr>
      <w:r>
        <w:rPr>
          <w:rStyle w:val="htmlcodes"/>
        </w:rPr>
        <w:t>&lt;a name=y971&gt;</w:t>
      </w:r>
      <w:r>
        <w:t xml:space="preserve">simple_tag_971  </w:t>
      </w:r>
      <w:r>
        <w:rPr>
          <w:rStyle w:val="htmlcodes"/>
        </w:rPr>
        <w:t>&lt;/a&gt;</w:t>
      </w:r>
      <w:r>
        <w:tab/>
        <w:t>:</w:t>
      </w:r>
      <w:r>
        <w:tab/>
      </w:r>
      <w:r>
        <w:rPr>
          <w:rStyle w:val="htmlcodes"/>
        </w:rPr>
        <w:t>&lt;a href=#y972&gt;</w:t>
      </w:r>
      <w:r>
        <w:t xml:space="preserve">simple_tense_modal_972  </w:t>
      </w:r>
      <w:r>
        <w:rPr>
          <w:rStyle w:val="htmlcodes"/>
        </w:rPr>
        <w:t>&lt;/a&gt;</w:t>
      </w:r>
    </w:p>
    <w:p w:rsidR="00B72047" w:rsidRDefault="00B72047">
      <w:pPr>
        <w:pStyle w:val="YACC"/>
      </w:pPr>
      <w:r>
        <w:tab/>
        <w:t>|</w:t>
      </w:r>
      <w:r>
        <w:tab/>
      </w:r>
      <w:r>
        <w:rPr>
          <w:rStyle w:val="htmlcodes"/>
        </w:rPr>
        <w:t>&lt;a href=#y971&gt;</w:t>
      </w:r>
      <w:r>
        <w:t xml:space="preserve">simple_tag_971   </w:t>
      </w:r>
      <w:r>
        <w:rPr>
          <w:rStyle w:val="htmlcodes"/>
        </w:rPr>
        <w:t>&lt;/a&gt;&lt;a href=#y957&gt;</w:t>
      </w:r>
      <w:r>
        <w:t xml:space="preserve">simple_JOIK_JEK_957  </w:t>
      </w:r>
      <w:r>
        <w:rPr>
          <w:rStyle w:val="htmlcodes"/>
        </w:rPr>
        <w:t>&lt;/a&gt;&lt;a href=#y972&gt;</w:t>
      </w:r>
      <w:r>
        <w:t>si</w:t>
      </w:r>
      <w:r>
        <w:t>m</w:t>
      </w:r>
      <w:r>
        <w:t xml:space="preserve">ple_tense_modal_972   </w:t>
      </w:r>
      <w:r>
        <w:rPr>
          <w:rStyle w:val="htmlcodes"/>
        </w:rPr>
        <w:t>&lt;/a&gt;</w:t>
      </w:r>
    </w:p>
    <w:p w:rsidR="00B72047" w:rsidRDefault="00B72047">
      <w:pPr>
        <w:pStyle w:val="YACC"/>
      </w:pPr>
      <w:r>
        <w:tab/>
        <w:t>;</w:t>
      </w:r>
    </w:p>
    <w:p w:rsidR="00B72047" w:rsidRDefault="00B72047">
      <w:pPr>
        <w:pStyle w:val="YACCtoken"/>
      </w:pPr>
      <w:r>
        <w:rPr>
          <w:rStyle w:val="htmlcodes"/>
        </w:rPr>
        <w:t>&lt;a name=y972&gt;</w:t>
      </w:r>
      <w:r>
        <w:t>simple_tense_modal_972</w:t>
      </w:r>
      <w:r>
        <w:tab/>
      </w:r>
      <w:r>
        <w:rPr>
          <w:rStyle w:val="htmlcodes"/>
        </w:rPr>
        <w:t>&lt;/a&gt;</w:t>
      </w:r>
      <w:r>
        <w:t>:</w:t>
      </w:r>
      <w:r>
        <w:tab/>
      </w:r>
      <w:r>
        <w:rPr>
          <w:rStyle w:val="htmlcodes"/>
        </w:rPr>
        <w:t>&lt;a href=#y973&gt;</w:t>
      </w:r>
      <w:r>
        <w:t xml:space="preserve">simple_tense_modal_A_973  </w:t>
      </w:r>
      <w:r>
        <w:rPr>
          <w:rStyle w:val="htmlcodes"/>
        </w:rPr>
        <w:t>&lt;/a&gt;</w:t>
      </w:r>
    </w:p>
    <w:p w:rsidR="00B72047" w:rsidRDefault="00B72047">
      <w:pPr>
        <w:pStyle w:val="YACC"/>
      </w:pPr>
      <w:r>
        <w:tab/>
        <w:t>|</w:t>
      </w:r>
      <w:r>
        <w:tab/>
      </w:r>
      <w:r>
        <w:rPr>
          <w:rStyle w:val="htmlcodes"/>
        </w:rPr>
        <w:t>&lt;a href=#y583&gt;</w:t>
      </w:r>
      <w:r>
        <w:t xml:space="preserve">NAhE_583  </w:t>
      </w:r>
      <w:r>
        <w:rPr>
          <w:rStyle w:val="htmlcodes"/>
        </w:rPr>
        <w:t>&lt;/a&gt;&lt;a href=#y973&gt;</w:t>
      </w:r>
      <w:r>
        <w:t xml:space="preserve">simple_tense_modal_A_973  </w:t>
      </w:r>
      <w:r>
        <w:rPr>
          <w:rStyle w:val="htmlcodes"/>
        </w:rPr>
        <w:t>&lt;/a&gt;</w:t>
      </w:r>
    </w:p>
    <w:p w:rsidR="00B72047" w:rsidRDefault="00B72047">
      <w:pPr>
        <w:pStyle w:val="YACC"/>
      </w:pPr>
      <w:r>
        <w:tab/>
        <w:t>|</w:t>
      </w:r>
      <w:r>
        <w:tab/>
      </w:r>
      <w:r>
        <w:rPr>
          <w:rStyle w:val="htmlcodes"/>
        </w:rPr>
        <w:t>&lt;a href=#y554&gt;</w:t>
      </w:r>
      <w:r>
        <w:t xml:space="preserve">KI_554  </w:t>
      </w:r>
      <w:r>
        <w:rPr>
          <w:rStyle w:val="htmlcodes"/>
        </w:rPr>
        <w:t>&lt;/a&gt;</w:t>
      </w:r>
    </w:p>
    <w:p w:rsidR="00B72047" w:rsidRDefault="00B72047">
      <w:pPr>
        <w:pStyle w:val="YACC"/>
      </w:pPr>
      <w:r>
        <w:tab/>
        <w:t>|</w:t>
      </w:r>
      <w:r>
        <w:tab/>
      </w:r>
      <w:r>
        <w:rPr>
          <w:rStyle w:val="htmlcodes"/>
        </w:rPr>
        <w:t>&lt;a href=#y522&gt;</w:t>
      </w:r>
      <w:r>
        <w:t xml:space="preserve">CUhE_522   </w:t>
      </w:r>
      <w:r>
        <w:rPr>
          <w:rStyle w:val="htmlcodes"/>
        </w:rPr>
        <w:t>&lt;/a&gt;</w:t>
      </w:r>
    </w:p>
    <w:p w:rsidR="00B72047" w:rsidRDefault="00B72047">
      <w:pPr>
        <w:pStyle w:val="YACC"/>
      </w:pPr>
      <w:r>
        <w:tab/>
        <w:t>;</w:t>
      </w:r>
    </w:p>
    <w:p w:rsidR="00B72047" w:rsidRDefault="00B72047">
      <w:pPr>
        <w:pStyle w:val="YACCtoken"/>
        <w:spacing w:before="0"/>
      </w:pPr>
      <w:r>
        <w:rPr>
          <w:rStyle w:val="htmlcodes"/>
          <w:vanish w:val="0"/>
        </w:rPr>
        <w:br w:type="page"/>
      </w:r>
      <w:r>
        <w:rPr>
          <w:rStyle w:val="htmlcodes"/>
        </w:rPr>
        <w:t>&lt;a name=y973&gt;</w:t>
      </w:r>
      <w:r>
        <w:t>simple_tense_modal_A_973</w:t>
      </w:r>
      <w:r>
        <w:tab/>
      </w:r>
      <w:r>
        <w:rPr>
          <w:rStyle w:val="htmlcodes"/>
        </w:rPr>
        <w:t>&lt;/a&gt;</w:t>
      </w:r>
      <w:r>
        <w:t>:</w:t>
      </w:r>
      <w:r>
        <w:tab/>
      </w:r>
      <w:r>
        <w:rPr>
          <w:rStyle w:val="htmlcodes"/>
        </w:rPr>
        <w:t>&lt;/a&gt;&lt;a href=#y974&gt;</w:t>
      </w:r>
      <w:r>
        <w:t xml:space="preserve">modal_974  </w:t>
      </w:r>
      <w:r>
        <w:rPr>
          <w:rStyle w:val="htmlcodes"/>
        </w:rPr>
        <w:t>&lt;/a&gt;</w:t>
      </w:r>
    </w:p>
    <w:p w:rsidR="00B72047" w:rsidRDefault="00B72047">
      <w:pPr>
        <w:pStyle w:val="YACC"/>
      </w:pPr>
      <w:r>
        <w:tab/>
        <w:t>|</w:t>
      </w:r>
      <w:r>
        <w:tab/>
      </w:r>
      <w:r>
        <w:rPr>
          <w:rStyle w:val="htmlcodes"/>
        </w:rPr>
        <w:t>&lt;a href=#y974&gt;</w:t>
      </w:r>
      <w:r>
        <w:t xml:space="preserve">modal_974  </w:t>
      </w:r>
      <w:r>
        <w:rPr>
          <w:rStyle w:val="htmlcodes"/>
        </w:rPr>
        <w:t>&lt;/a&gt;&lt;a href=#y554&gt;</w:t>
      </w:r>
      <w:r>
        <w:t xml:space="preserve">KI_554  </w:t>
      </w:r>
      <w:r>
        <w:rPr>
          <w:rStyle w:val="htmlcodes"/>
        </w:rPr>
        <w:t>&lt;/a&gt;</w:t>
      </w:r>
    </w:p>
    <w:p w:rsidR="00B72047" w:rsidRDefault="00B72047">
      <w:pPr>
        <w:pStyle w:val="YACC"/>
      </w:pPr>
      <w:r>
        <w:tab/>
        <w:t>|</w:t>
      </w:r>
      <w:r>
        <w:tab/>
      </w:r>
      <w:r>
        <w:rPr>
          <w:rStyle w:val="htmlcodes"/>
        </w:rPr>
        <w:t>&lt;a href=#y977&gt;</w:t>
      </w:r>
      <w:r>
        <w:t xml:space="preserve">tense_A_977  </w:t>
      </w:r>
      <w:r>
        <w:rPr>
          <w:rStyle w:val="htmlcodes"/>
        </w:rPr>
        <w:t>&lt;/a&gt;</w:t>
      </w:r>
    </w:p>
    <w:p w:rsidR="00B72047" w:rsidRDefault="00B72047">
      <w:pPr>
        <w:pStyle w:val="YACC"/>
      </w:pPr>
      <w:r>
        <w:tab/>
        <w:t>;</w:t>
      </w:r>
    </w:p>
    <w:p w:rsidR="00B72047" w:rsidRDefault="00B72047">
      <w:pPr>
        <w:pStyle w:val="YACCtoken"/>
      </w:pPr>
      <w:r>
        <w:rPr>
          <w:rStyle w:val="htmlcodes"/>
        </w:rPr>
        <w:t>&lt;a name=y974&gt;</w:t>
      </w:r>
      <w:r>
        <w:t xml:space="preserve">modal_974  </w:t>
      </w:r>
      <w:r>
        <w:rPr>
          <w:rStyle w:val="htmlcodes"/>
        </w:rPr>
        <w:t>&lt;/a&gt;</w:t>
      </w:r>
      <w:r>
        <w:tab/>
        <w:t>:</w:t>
      </w:r>
      <w:r>
        <w:tab/>
      </w:r>
      <w:r>
        <w:rPr>
          <w:rStyle w:val="htmlcodes"/>
        </w:rPr>
        <w:t>&lt;a href=#y975&gt;</w:t>
      </w:r>
      <w:r>
        <w:t xml:space="preserve">modal_A_975  </w:t>
      </w:r>
      <w:r>
        <w:rPr>
          <w:rStyle w:val="htmlcodes"/>
        </w:rPr>
        <w:t>&lt;/a&gt;</w:t>
      </w:r>
    </w:p>
    <w:p w:rsidR="00B72047" w:rsidRDefault="00B72047">
      <w:pPr>
        <w:pStyle w:val="YACC"/>
      </w:pPr>
      <w:r>
        <w:tab/>
        <w:t>|</w:t>
      </w:r>
      <w:r>
        <w:tab/>
      </w:r>
      <w:r>
        <w:rPr>
          <w:rStyle w:val="htmlcodes"/>
        </w:rPr>
        <w:t>&lt;a href=#y975&gt;</w:t>
      </w:r>
      <w:r>
        <w:t xml:space="preserve">modal_A_975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name=y975&gt;</w:t>
      </w:r>
      <w:r>
        <w:t xml:space="preserve">modal_A_975  </w:t>
      </w:r>
      <w:r>
        <w:rPr>
          <w:rStyle w:val="htmlcodes"/>
        </w:rPr>
        <w:t>&lt;/a&gt;</w:t>
      </w:r>
      <w:r>
        <w:tab/>
        <w:t>:</w:t>
      </w:r>
      <w:r>
        <w:tab/>
      </w:r>
      <w:r>
        <w:rPr>
          <w:rStyle w:val="htmlcodes"/>
        </w:rPr>
        <w:t>&lt;a href=#y502&gt;</w:t>
      </w:r>
      <w:r>
        <w:t xml:space="preserve">BAI_502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href=#y502&gt;</w:t>
      </w:r>
      <w:r>
        <w:t xml:space="preserve">BAI_502   </w:t>
      </w:r>
      <w:r>
        <w:rPr>
          <w:rStyle w:val="htmlcodes"/>
        </w:rPr>
        <w:t>&lt;/a&gt;</w:t>
      </w:r>
    </w:p>
    <w:p w:rsidR="00B72047" w:rsidRDefault="00B72047">
      <w:pPr>
        <w:pStyle w:val="YACC"/>
      </w:pPr>
      <w:r>
        <w:tab/>
        <w:t>;</w:t>
      </w:r>
    </w:p>
    <w:p w:rsidR="00B72047" w:rsidRDefault="00B72047">
      <w:pPr>
        <w:pStyle w:val="YACCtoken"/>
      </w:pPr>
      <w:r>
        <w:rPr>
          <w:rStyle w:val="htmlcodes"/>
        </w:rPr>
        <w:t>&lt;a name=y977&gt;</w:t>
      </w:r>
      <w:r>
        <w:t xml:space="preserve">tense_A_977  </w:t>
      </w:r>
      <w:r>
        <w:rPr>
          <w:rStyle w:val="htmlcodes"/>
        </w:rPr>
        <w:t>&lt;/a&gt;</w:t>
      </w:r>
      <w:r>
        <w:tab/>
        <w:t>:</w:t>
      </w:r>
      <w:r>
        <w:tab/>
      </w:r>
      <w:r>
        <w:rPr>
          <w:rStyle w:val="htmlcodes"/>
        </w:rPr>
        <w:t>&lt;a href=#y978&gt;</w:t>
      </w:r>
      <w:r>
        <w:t xml:space="preserve">tense_B_978  </w:t>
      </w:r>
      <w:r>
        <w:rPr>
          <w:rStyle w:val="htmlcodes"/>
        </w:rPr>
        <w:t>&lt;/a&gt;</w:t>
      </w:r>
    </w:p>
    <w:p w:rsidR="00B72047" w:rsidRDefault="00B72047">
      <w:pPr>
        <w:pStyle w:val="YACC"/>
      </w:pPr>
      <w:r>
        <w:tab/>
        <w:t>|</w:t>
      </w:r>
      <w:r>
        <w:tab/>
      </w:r>
      <w:r>
        <w:rPr>
          <w:rStyle w:val="htmlcodes"/>
        </w:rPr>
        <w:t>&lt;a href=#y978&gt;</w:t>
      </w:r>
      <w:r>
        <w:t xml:space="preserve">tense_B_978  </w:t>
      </w:r>
      <w:r>
        <w:rPr>
          <w:rStyle w:val="htmlcodes"/>
        </w:rPr>
        <w:t>&lt;/a&gt;&lt;a href=#y554&gt;</w:t>
      </w:r>
      <w:r>
        <w:t xml:space="preserve">KI_554  </w:t>
      </w:r>
      <w:r>
        <w:rPr>
          <w:rStyle w:val="htmlcodes"/>
        </w:rPr>
        <w:t>&lt;/a&gt;</w:t>
      </w:r>
    </w:p>
    <w:p w:rsidR="00B72047" w:rsidRDefault="00B72047">
      <w:pPr>
        <w:pStyle w:val="YACC"/>
      </w:pPr>
      <w:r>
        <w:tab/>
        <w:t>;</w:t>
      </w:r>
    </w:p>
    <w:p w:rsidR="00B72047" w:rsidRDefault="00B72047">
      <w:pPr>
        <w:pStyle w:val="YACCtoken"/>
      </w:pPr>
      <w:r>
        <w:rPr>
          <w:rStyle w:val="htmlcodes"/>
        </w:rPr>
        <w:t>&lt;a name=y978&gt;</w:t>
      </w:r>
      <w:r>
        <w:t xml:space="preserve">tense_B_978  </w:t>
      </w:r>
      <w:r>
        <w:rPr>
          <w:rStyle w:val="htmlcodes"/>
        </w:rPr>
        <w:t>&lt;/a&gt;</w:t>
      </w:r>
      <w:r>
        <w:tab/>
        <w:t>:</w:t>
      </w:r>
      <w:r>
        <w:tab/>
      </w:r>
      <w:r>
        <w:rPr>
          <w:rStyle w:val="htmlcodes"/>
        </w:rPr>
        <w:t>&lt;a href=#y979&gt;</w:t>
      </w:r>
      <w:r>
        <w:t xml:space="preserve">tense_C_979  </w:t>
      </w:r>
      <w:r>
        <w:rPr>
          <w:rStyle w:val="htmlcodes"/>
        </w:rPr>
        <w:t>&lt;/a&gt;</w:t>
      </w:r>
    </w:p>
    <w:p w:rsidR="00B72047" w:rsidRDefault="00B72047">
      <w:pPr>
        <w:pStyle w:val="YACC"/>
      </w:pPr>
      <w:r>
        <w:tab/>
        <w:t>|</w:t>
      </w:r>
      <w:r>
        <w:tab/>
      </w:r>
      <w:r>
        <w:rPr>
          <w:rStyle w:val="htmlcodes"/>
        </w:rPr>
        <w:t>&lt;a href=#y514&gt;</w:t>
      </w:r>
      <w:r>
        <w:t xml:space="preserve">CAhA_514  </w:t>
      </w:r>
      <w:r>
        <w:rPr>
          <w:rStyle w:val="htmlcodes"/>
        </w:rPr>
        <w:t>&lt;/a&gt;</w:t>
      </w:r>
    </w:p>
    <w:p w:rsidR="00B72047" w:rsidRDefault="00B72047">
      <w:pPr>
        <w:pStyle w:val="YACC"/>
      </w:pPr>
      <w:r>
        <w:tab/>
        <w:t>|</w:t>
      </w:r>
      <w:r>
        <w:tab/>
      </w:r>
      <w:r>
        <w:rPr>
          <w:rStyle w:val="htmlcodes"/>
        </w:rPr>
        <w:t>&lt;a href=#y979&gt;</w:t>
      </w:r>
      <w:r>
        <w:t xml:space="preserve">tense_C_979  </w:t>
      </w:r>
      <w:r>
        <w:rPr>
          <w:rStyle w:val="htmlcodes"/>
        </w:rPr>
        <w:t>&lt;/a&gt;&lt;a href=#y514&gt;</w:t>
      </w:r>
      <w:r>
        <w:t xml:space="preserve">CAhA_514  </w:t>
      </w:r>
      <w:r>
        <w:rPr>
          <w:rStyle w:val="htmlcodes"/>
        </w:rPr>
        <w:t>&lt;/a&gt;</w:t>
      </w:r>
    </w:p>
    <w:p w:rsidR="00B72047" w:rsidRDefault="00B72047">
      <w:pPr>
        <w:pStyle w:val="YACC"/>
        <w:rPr>
          <w:rStyle w:val="deletedparamark"/>
          <w:sz w:val="16"/>
          <w:szCs w:val="16"/>
        </w:rPr>
      </w:pPr>
      <w:r>
        <w:tab/>
        <w:t>;</w:t>
      </w:r>
      <w:r>
        <w:rPr>
          <w:rStyle w:val="deletedparamark"/>
          <w:sz w:val="16"/>
          <w:szCs w:val="16"/>
        </w:rPr>
        <w:tab/>
      </w:r>
    </w:p>
    <w:p w:rsidR="00B72047" w:rsidRDefault="00B72047">
      <w:pPr>
        <w:pStyle w:val="YACCcomment"/>
        <w:spacing w:before="40"/>
      </w:pPr>
      <w:r>
        <w:rPr>
          <w:rStyle w:val="deletedparamark"/>
          <w:sz w:val="16"/>
          <w:szCs w:val="16"/>
        </w:rPr>
        <w:t>/*</w:t>
      </w:r>
      <w:r>
        <w:t xml:space="preserve"> specifies actuality/potentiality of the bridi */</w:t>
      </w:r>
    </w:p>
    <w:p w:rsidR="00B72047" w:rsidRDefault="00B72047">
      <w:pPr>
        <w:pStyle w:val="YACCcommentcont"/>
      </w:pPr>
      <w:r>
        <w:t>/* puca'a = actually was */</w:t>
      </w:r>
    </w:p>
    <w:p w:rsidR="00B72047" w:rsidRDefault="00B72047">
      <w:pPr>
        <w:pStyle w:val="YACCcommentcont"/>
      </w:pPr>
      <w:r>
        <w:rPr>
          <w:rStyle w:val="deletedparamark"/>
          <w:sz w:val="16"/>
          <w:szCs w:val="16"/>
        </w:rPr>
        <w:t>/*</w:t>
      </w:r>
      <w:r>
        <w:t xml:space="preserve"> baca'a = actually will be */</w:t>
      </w:r>
    </w:p>
    <w:p w:rsidR="00B72047" w:rsidRDefault="00B72047">
      <w:pPr>
        <w:pStyle w:val="YACCcommentcont"/>
      </w:pPr>
      <w:r>
        <w:rPr>
          <w:rStyle w:val="deletedparamark"/>
          <w:sz w:val="16"/>
          <w:szCs w:val="16"/>
        </w:rPr>
        <w:t>/*</w:t>
      </w:r>
      <w:r>
        <w:t xml:space="preserve"> bapu'i = can and will have */</w:t>
      </w:r>
    </w:p>
    <w:p w:rsidR="00B72047" w:rsidRDefault="00B72047">
      <w:pPr>
        <w:pStyle w:val="YACCcommentcont"/>
      </w:pPr>
      <w:r>
        <w:rPr>
          <w:rStyle w:val="deletedparamark"/>
          <w:sz w:val="16"/>
          <w:szCs w:val="16"/>
        </w:rPr>
        <w:t>/*</w:t>
      </w:r>
      <w:r>
        <w:t xml:space="preserve"> banu'o = can, but won't have yet */</w:t>
      </w:r>
    </w:p>
    <w:p w:rsidR="00B72047" w:rsidRDefault="00B72047">
      <w:pPr>
        <w:pStyle w:val="YACCcommentcont"/>
      </w:pPr>
      <w:r>
        <w:rPr>
          <w:rStyle w:val="deletedparamark"/>
          <w:sz w:val="16"/>
          <w:szCs w:val="16"/>
        </w:rPr>
        <w:t>/*</w:t>
      </w:r>
      <w:r>
        <w:t xml:space="preserve"> canu'ojebapu'i = can, hasn't yet, but will */</w:t>
      </w:r>
    </w:p>
    <w:p w:rsidR="00B72047" w:rsidRDefault="00B72047">
      <w:pPr>
        <w:pStyle w:val="YACCtoken"/>
      </w:pPr>
      <w:r>
        <w:rPr>
          <w:rStyle w:val="htmlcodes"/>
        </w:rPr>
        <w:t>&lt;a name=y979&gt;</w:t>
      </w:r>
      <w:r>
        <w:t xml:space="preserve">tense_C_979  </w:t>
      </w:r>
      <w:r>
        <w:rPr>
          <w:rStyle w:val="htmlcodes"/>
        </w:rPr>
        <w:t>&lt;/a&gt;</w:t>
      </w:r>
      <w:r>
        <w:tab/>
        <w:t>:</w:t>
      </w:r>
      <w:r>
        <w:tab/>
      </w:r>
      <w:r>
        <w:rPr>
          <w:rStyle w:val="htmlcodes"/>
        </w:rPr>
        <w:t>&lt;a href=#y1030&gt;</w:t>
      </w:r>
      <w:r>
        <w:t xml:space="preserve">time_1030  </w:t>
      </w:r>
      <w:r>
        <w:rPr>
          <w:rStyle w:val="htmlcodes"/>
        </w:rPr>
        <w:t>&lt;/a&gt;</w:t>
      </w:r>
    </w:p>
    <w:p w:rsidR="00B72047" w:rsidRDefault="00B72047">
      <w:pPr>
        <w:pStyle w:val="YACCcomment"/>
      </w:pPr>
      <w:r>
        <w:t>/* time</w:t>
      </w:r>
      <w:r>
        <w:noBreakHyphen/>
        <w:t>only */</w:t>
      </w:r>
    </w:p>
    <w:p w:rsidR="00B72047" w:rsidRDefault="00B72047">
      <w:pPr>
        <w:pStyle w:val="YACCcommentcont"/>
      </w:pPr>
      <w:r>
        <w:t>/* space defaults to time</w:t>
      </w:r>
      <w:r>
        <w:noBreakHyphen/>
        <w:t>space reference space */</w:t>
      </w:r>
    </w:p>
    <w:p w:rsidR="00B72047" w:rsidRDefault="00B72047">
      <w:pPr>
        <w:pStyle w:val="YACC"/>
      </w:pPr>
      <w:r>
        <w:tab/>
        <w:t>|</w:t>
      </w:r>
      <w:r>
        <w:tab/>
      </w:r>
      <w:r>
        <w:rPr>
          <w:rStyle w:val="htmlcodes"/>
        </w:rPr>
        <w:t>&lt;a href=#y1040&gt;</w:t>
      </w:r>
      <w:r>
        <w:t xml:space="preserve">space_1040   </w:t>
      </w:r>
      <w:r>
        <w:rPr>
          <w:rStyle w:val="htmlcodes"/>
        </w:rPr>
        <w:t>&lt;/a&gt;</w:t>
      </w:r>
    </w:p>
    <w:p w:rsidR="00B72047" w:rsidRDefault="00B72047">
      <w:pPr>
        <w:pStyle w:val="YACCcomment"/>
      </w:pPr>
      <w:r>
        <w:t>/* can include time if specified with VIhA; otherwise time defaults to the time</w:t>
      </w:r>
      <w:r>
        <w:noBreakHyphen/>
        <w:t>space reference time */</w:t>
      </w:r>
    </w:p>
    <w:p w:rsidR="00B72047" w:rsidRDefault="00B72047">
      <w:pPr>
        <w:pStyle w:val="YACC"/>
      </w:pPr>
      <w:r>
        <w:tab/>
        <w:t>|</w:t>
      </w:r>
      <w:r>
        <w:tab/>
      </w:r>
      <w:r>
        <w:rPr>
          <w:rStyle w:val="htmlcodes"/>
        </w:rPr>
        <w:t>&lt;a href=#y1030&gt;</w:t>
      </w:r>
      <w:r>
        <w:t xml:space="preserve">time_1030   </w:t>
      </w:r>
      <w:r>
        <w:rPr>
          <w:rStyle w:val="htmlcodes"/>
        </w:rPr>
        <w:t>&lt;/a&gt;&lt;a href=#y1040&gt;</w:t>
      </w:r>
      <w:r>
        <w:t xml:space="preserve">space_1040   </w:t>
      </w:r>
      <w:r>
        <w:rPr>
          <w:rStyle w:val="htmlcodes"/>
        </w:rPr>
        <w:t>&lt;/a&gt;</w:t>
      </w:r>
    </w:p>
    <w:p w:rsidR="00B72047" w:rsidRDefault="00B72047">
      <w:pPr>
        <w:pStyle w:val="YACCcomment"/>
      </w:pPr>
      <w:r>
        <w:t xml:space="preserve">/* time and space </w:t>
      </w:r>
      <w:r>
        <w:noBreakHyphen/>
        <w:t xml:space="preserve"> If </w:t>
      </w:r>
      <w:r>
        <w:rPr>
          <w:rStyle w:val="htmlcodes"/>
        </w:rPr>
        <w:t>&lt;a href=#y1040&gt;</w:t>
      </w:r>
      <w:r>
        <w:t xml:space="preserve">space_1040   </w:t>
      </w:r>
      <w:r>
        <w:rPr>
          <w:rStyle w:val="htmlcodes"/>
        </w:rPr>
        <w:t>&lt;/a&gt;</w:t>
      </w:r>
      <w:r>
        <w:t>is marked with VIhA for space</w:t>
      </w:r>
      <w:r>
        <w:noBreakHyphen/>
        <w:t>time the tense may be self</w:t>
      </w:r>
      <w:r>
        <w:noBreakHyphen/>
        <w:t>contradictory */</w:t>
      </w:r>
    </w:p>
    <w:p w:rsidR="00B72047" w:rsidRDefault="00B72047">
      <w:pPr>
        <w:pStyle w:val="YACCcommentcont"/>
      </w:pPr>
      <w:r>
        <w:t>/* interval prop before space_time is for time distribution */</w:t>
      </w:r>
    </w:p>
    <w:p w:rsidR="00B72047" w:rsidRDefault="00B72047">
      <w:pPr>
        <w:pStyle w:val="YACC"/>
      </w:pPr>
      <w:r>
        <w:tab/>
        <w:t>|</w:t>
      </w:r>
      <w:r>
        <w:tab/>
      </w:r>
      <w:r>
        <w:rPr>
          <w:rStyle w:val="htmlcodes"/>
        </w:rPr>
        <w:t>&lt;a href=#y1040&gt;</w:t>
      </w:r>
      <w:r>
        <w:t xml:space="preserve">space_1040   </w:t>
      </w:r>
      <w:r>
        <w:rPr>
          <w:rStyle w:val="htmlcodes"/>
        </w:rPr>
        <w:t>&lt;/a&gt;&lt;a href=#y1030&gt;</w:t>
      </w:r>
      <w:r>
        <w:t xml:space="preserve">time_1030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name=y980&gt;</w:t>
      </w:r>
      <w:r>
        <w:t xml:space="preserve">lexer_P_980  </w:t>
      </w:r>
      <w:r>
        <w:rPr>
          <w:rStyle w:val="htmlcodes"/>
        </w:rPr>
        <w:t>&lt;/a&gt;</w:t>
      </w:r>
      <w:r>
        <w:tab/>
        <w:t>:</w:t>
      </w:r>
      <w:r>
        <w:tab/>
      </w:r>
      <w:r>
        <w:rPr>
          <w:rStyle w:val="htmlcodes"/>
        </w:rPr>
        <w:t>&lt;a href=#y716&gt;</w:t>
      </w:r>
      <w:r>
        <w:t xml:space="preserve">lexer_P_716  </w:t>
      </w:r>
      <w:r>
        <w:rPr>
          <w:rStyle w:val="htmlcodes"/>
        </w:rPr>
        <w:t>&lt;/a&gt;&lt;a href=#y981&gt;</w:t>
      </w:r>
      <w:r>
        <w:t xml:space="preserve">GIK_root_981  </w:t>
      </w:r>
      <w:r>
        <w:rPr>
          <w:rStyle w:val="htmlcodes"/>
        </w:rPr>
        <w:t>&lt;/a&gt;</w:t>
      </w:r>
    </w:p>
    <w:p w:rsidR="00B72047" w:rsidRDefault="00B72047">
      <w:pPr>
        <w:pStyle w:val="YACC"/>
      </w:pPr>
      <w:r>
        <w:tab/>
        <w:t>;</w:t>
      </w:r>
    </w:p>
    <w:p w:rsidR="00B72047" w:rsidRDefault="00B72047">
      <w:pPr>
        <w:pStyle w:val="YACCtoken"/>
      </w:pPr>
      <w:r>
        <w:rPr>
          <w:rStyle w:val="htmlcodes"/>
        </w:rPr>
        <w:t>&lt;a name=y981&gt;</w:t>
      </w:r>
      <w:r>
        <w:t xml:space="preserve">GIK_root_981  </w:t>
      </w:r>
      <w:r>
        <w:rPr>
          <w:rStyle w:val="htmlcodes"/>
        </w:rPr>
        <w:t>&lt;/a&gt;</w:t>
      </w:r>
      <w:r>
        <w:tab/>
        <w:t>:</w:t>
      </w:r>
      <w:r>
        <w:tab/>
      </w:r>
      <w:r>
        <w:rPr>
          <w:rStyle w:val="htmlcodes"/>
        </w:rPr>
        <w:t>&lt;a href=#y539&gt;</w:t>
      </w:r>
      <w:r>
        <w:t xml:space="preserve">GI_539  </w:t>
      </w:r>
      <w:r>
        <w:rPr>
          <w:rStyle w:val="htmlcodes"/>
        </w:rPr>
        <w:t>&lt;/a&gt;</w:t>
      </w:r>
    </w:p>
    <w:p w:rsidR="00B72047" w:rsidRDefault="00B72047">
      <w:pPr>
        <w:pStyle w:val="YACC"/>
      </w:pPr>
      <w:r>
        <w:tab/>
        <w:t>|</w:t>
      </w:r>
      <w:r>
        <w:tab/>
      </w:r>
      <w:r>
        <w:rPr>
          <w:rStyle w:val="htmlcodes"/>
        </w:rPr>
        <w:t>&lt;a href=#y539&gt;</w:t>
      </w:r>
      <w:r>
        <w:t xml:space="preserve">GI_539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name=y985&gt;</w:t>
      </w:r>
      <w:r>
        <w:t xml:space="preserve">lexer_Q_985  </w:t>
      </w:r>
      <w:r>
        <w:rPr>
          <w:rStyle w:val="htmlcodes"/>
        </w:rPr>
        <w:t>&lt;/a&gt;</w:t>
      </w:r>
      <w:r>
        <w:tab/>
        <w:t>:</w:t>
      </w:r>
      <w:r>
        <w:tab/>
      </w:r>
      <w:r>
        <w:rPr>
          <w:rStyle w:val="htmlcodes"/>
        </w:rPr>
        <w:t>&lt;a href=#y717&gt;</w:t>
      </w:r>
      <w:r>
        <w:t xml:space="preserve">lexer_Q_717  </w:t>
      </w:r>
      <w:r>
        <w:rPr>
          <w:rStyle w:val="htmlcodes"/>
        </w:rPr>
        <w:t>&lt;/a&gt;&lt;a href=#y986&gt;</w:t>
      </w:r>
      <w:r>
        <w:t xml:space="preserve">lerfu_string_root_986  </w:t>
      </w:r>
      <w:r>
        <w:rPr>
          <w:rStyle w:val="htmlcodes"/>
        </w:rPr>
        <w:t>&lt;/a&gt;</w:t>
      </w:r>
    </w:p>
    <w:p w:rsidR="00B72047" w:rsidRDefault="00B72047">
      <w:pPr>
        <w:pStyle w:val="YACC"/>
      </w:pPr>
      <w:r>
        <w:tab/>
        <w:t>;</w:t>
      </w:r>
    </w:p>
    <w:p w:rsidR="00B72047" w:rsidRDefault="00B72047">
      <w:pPr>
        <w:pStyle w:val="YACCtoken"/>
      </w:pPr>
      <w:r>
        <w:rPr>
          <w:rStyle w:val="htmlcodes"/>
        </w:rPr>
        <w:t>&lt;a name=y986&gt;</w:t>
      </w:r>
      <w:r>
        <w:t>lerfu_string_root_986</w:t>
      </w:r>
      <w:r>
        <w:tab/>
      </w:r>
      <w:r>
        <w:rPr>
          <w:rStyle w:val="htmlcodes"/>
        </w:rPr>
        <w:t>&lt;/a&gt;</w:t>
      </w:r>
      <w:r>
        <w:t>:</w:t>
      </w:r>
      <w:r>
        <w:tab/>
      </w:r>
      <w:r>
        <w:rPr>
          <w:rStyle w:val="htmlcodes"/>
        </w:rPr>
        <w:t>&lt;a href=#y987&gt;</w:t>
      </w:r>
      <w:r>
        <w:t xml:space="preserve">lerfu_word_987  </w:t>
      </w:r>
      <w:r>
        <w:rPr>
          <w:rStyle w:val="htmlcodes"/>
        </w:rPr>
        <w:t>&lt;/a&gt;</w:t>
      </w:r>
    </w:p>
    <w:p w:rsidR="00B72047" w:rsidRDefault="00B72047">
      <w:pPr>
        <w:pStyle w:val="YACC"/>
      </w:pPr>
      <w:r>
        <w:tab/>
        <w:t>|</w:t>
      </w:r>
      <w:r>
        <w:tab/>
      </w:r>
      <w:r>
        <w:rPr>
          <w:rStyle w:val="htmlcodes"/>
        </w:rPr>
        <w:t>&lt;a href=#y986&gt;</w:t>
      </w:r>
      <w:r>
        <w:t xml:space="preserve">lerfu_string_root_986  </w:t>
      </w:r>
      <w:r>
        <w:rPr>
          <w:rStyle w:val="htmlcodes"/>
        </w:rPr>
        <w:t>&lt;/a&gt;&lt;a href=#y987&gt;</w:t>
      </w:r>
      <w:r>
        <w:t xml:space="preserve">lerfu_word_987  </w:t>
      </w:r>
      <w:r>
        <w:rPr>
          <w:rStyle w:val="htmlcodes"/>
        </w:rPr>
        <w:t>&lt;/a&gt;</w:t>
      </w:r>
    </w:p>
    <w:p w:rsidR="00B72047" w:rsidRDefault="00B72047">
      <w:pPr>
        <w:pStyle w:val="YACC"/>
      </w:pPr>
      <w:r>
        <w:tab/>
        <w:t>|</w:t>
      </w:r>
      <w:r>
        <w:tab/>
      </w:r>
      <w:r>
        <w:rPr>
          <w:rStyle w:val="htmlcodes"/>
        </w:rPr>
        <w:t>&lt;a href=#y986&gt;</w:t>
      </w:r>
      <w:r>
        <w:t xml:space="preserve">lerfu_string_root_986  </w:t>
      </w:r>
      <w:r>
        <w:rPr>
          <w:rStyle w:val="htmlcodes"/>
        </w:rPr>
        <w:t>&lt;/a&gt;&lt;a href=#y672&gt;</w:t>
      </w:r>
      <w:r>
        <w:t xml:space="preserve">PA_672   </w:t>
      </w:r>
      <w:r>
        <w:rPr>
          <w:rStyle w:val="htmlcodes"/>
        </w:rPr>
        <w:t>&lt;/a&gt;</w:t>
      </w:r>
    </w:p>
    <w:p w:rsidR="00B72047" w:rsidRDefault="00B72047">
      <w:pPr>
        <w:pStyle w:val="YACC"/>
      </w:pPr>
      <w:r>
        <w:tab/>
        <w:t>;</w:t>
      </w:r>
    </w:p>
    <w:p w:rsidR="00B72047" w:rsidRDefault="00B72047">
      <w:pPr>
        <w:pStyle w:val="YACCtoken"/>
      </w:pPr>
      <w:r>
        <w:rPr>
          <w:rStyle w:val="htmlcodes"/>
        </w:rPr>
        <w:t>&lt;a name=y987&gt;</w:t>
      </w:r>
      <w:r>
        <w:t xml:space="preserve">lerfu_word_987  </w:t>
      </w:r>
      <w:r>
        <w:rPr>
          <w:rStyle w:val="htmlcodes"/>
        </w:rPr>
        <w:t>&lt;/a&gt;</w:t>
      </w:r>
      <w:r>
        <w:tab/>
        <w:t>:</w:t>
      </w:r>
      <w:r>
        <w:tab/>
      </w:r>
      <w:r>
        <w:rPr>
          <w:rStyle w:val="htmlcodes"/>
        </w:rPr>
        <w:t>&lt;a href=#y513&gt;</w:t>
      </w:r>
      <w:r>
        <w:t xml:space="preserve">BY_513  </w:t>
      </w:r>
      <w:r>
        <w:rPr>
          <w:rStyle w:val="htmlcodes"/>
        </w:rPr>
        <w:t>&lt;/a&gt;</w:t>
      </w:r>
    </w:p>
    <w:p w:rsidR="00B72047" w:rsidRDefault="00B72047">
      <w:pPr>
        <w:pStyle w:val="YACC"/>
      </w:pPr>
      <w:r>
        <w:tab/>
        <w:t>|</w:t>
      </w:r>
      <w:r>
        <w:tab/>
      </w:r>
      <w:r>
        <w:rPr>
          <w:rStyle w:val="htmlcodes"/>
        </w:rPr>
        <w:t>&lt;a href=#y559&gt;</w:t>
      </w:r>
      <w:r>
        <w:t xml:space="preserve">LAU_559  </w:t>
      </w:r>
      <w:r>
        <w:rPr>
          <w:rStyle w:val="htmlcodes"/>
        </w:rPr>
        <w:t>&lt;/a&gt;&lt;a href=#y987&gt;</w:t>
      </w:r>
      <w:r>
        <w:t xml:space="preserve">lerfu_word_987  </w:t>
      </w:r>
      <w:r>
        <w:rPr>
          <w:rStyle w:val="htmlcodes"/>
        </w:rPr>
        <w:t>&lt;/a&gt;</w:t>
      </w:r>
    </w:p>
    <w:p w:rsidR="00B72047" w:rsidRDefault="00B72047">
      <w:pPr>
        <w:pStyle w:val="YACC"/>
      </w:pPr>
      <w:r>
        <w:tab/>
        <w:t>|</w:t>
      </w:r>
      <w:r>
        <w:tab/>
      </w:r>
      <w:r>
        <w:rPr>
          <w:rStyle w:val="htmlcodes"/>
        </w:rPr>
        <w:t>&lt;a href=#y605&gt;</w:t>
      </w:r>
      <w:r>
        <w:t xml:space="preserve">TEI_605  </w:t>
      </w:r>
      <w:r>
        <w:rPr>
          <w:rStyle w:val="htmlcodes"/>
        </w:rPr>
        <w:t>&lt;/a&gt;&lt;a href=#y986&gt;</w:t>
      </w:r>
      <w:r>
        <w:t xml:space="preserve">lerfu_string_root_986  </w:t>
      </w:r>
      <w:r>
        <w:rPr>
          <w:rStyle w:val="htmlcodes"/>
        </w:rPr>
        <w:t>&lt;/a&gt;&lt;a href=#y533&gt;</w:t>
      </w:r>
      <w:r>
        <w:t xml:space="preserve">FOI_533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name=y990&gt;</w:t>
      </w:r>
      <w:r>
        <w:t xml:space="preserve">lexer_R_990  </w:t>
      </w:r>
      <w:r>
        <w:rPr>
          <w:rStyle w:val="htmlcodes"/>
        </w:rPr>
        <w:t>&lt;/a&gt;</w:t>
      </w:r>
      <w:r>
        <w:tab/>
        <w:t>:</w:t>
      </w:r>
      <w:r>
        <w:tab/>
      </w:r>
      <w:r>
        <w:rPr>
          <w:rStyle w:val="htmlcodes"/>
        </w:rPr>
        <w:t>&lt;a href=#y718&gt;</w:t>
      </w:r>
      <w:r>
        <w:t xml:space="preserve">lexer_R_718  </w:t>
      </w:r>
      <w:r>
        <w:rPr>
          <w:rStyle w:val="htmlcodes"/>
        </w:rPr>
        <w:t>&lt;/a&gt;&lt;a href=#y991&gt;</w:t>
      </w:r>
      <w:r>
        <w:t xml:space="preserve">GIhEK_root_991  </w:t>
      </w:r>
      <w:r>
        <w:rPr>
          <w:rStyle w:val="htmlcodes"/>
        </w:rPr>
        <w:t>&lt;/a&gt;</w:t>
      </w:r>
    </w:p>
    <w:p w:rsidR="00B72047" w:rsidRDefault="00B72047">
      <w:pPr>
        <w:pStyle w:val="YACC"/>
      </w:pPr>
      <w:r>
        <w:tab/>
        <w:t>;</w:t>
      </w:r>
    </w:p>
    <w:p w:rsidR="00B72047" w:rsidRDefault="00B72047">
      <w:pPr>
        <w:pStyle w:val="YACCtoken"/>
      </w:pPr>
      <w:r>
        <w:rPr>
          <w:rStyle w:val="htmlcodes"/>
        </w:rPr>
        <w:t>&lt;a name=y991&gt;</w:t>
      </w:r>
      <w:r>
        <w:t xml:space="preserve">GIhEK_root_991  </w:t>
      </w:r>
      <w:r>
        <w:rPr>
          <w:rStyle w:val="htmlcodes"/>
        </w:rPr>
        <w:t>&lt;/a&gt;</w:t>
      </w:r>
      <w:r>
        <w:tab/>
        <w:t>:</w:t>
      </w:r>
      <w:r>
        <w:tab/>
      </w:r>
      <w:r>
        <w:rPr>
          <w:rStyle w:val="htmlcodes"/>
        </w:rPr>
        <w:t>&lt;a href=#y541&gt;</w:t>
      </w:r>
      <w:r>
        <w:t xml:space="preserve">GIhA_541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href=#y541&gt;</w:t>
      </w:r>
      <w:r>
        <w:t xml:space="preserve">GIhA_541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href=#y541&gt;</w:t>
      </w:r>
      <w:r>
        <w:t xml:space="preserve">GIhA_541   </w:t>
      </w:r>
      <w:r>
        <w:rPr>
          <w:rStyle w:val="htmlcodes"/>
        </w:rPr>
        <w:t>&lt;/a&gt;</w:t>
      </w:r>
    </w:p>
    <w:p w:rsidR="00B72047" w:rsidRDefault="00B72047">
      <w:pPr>
        <w:pStyle w:val="YACC"/>
      </w:pPr>
      <w:r>
        <w:tab/>
        <w:t>|</w:t>
      </w:r>
      <w:r>
        <w:tab/>
      </w:r>
      <w:r>
        <w:rPr>
          <w:rStyle w:val="htmlcodes"/>
        </w:rPr>
        <w:t>&lt;a href=#y541&gt;</w:t>
      </w:r>
      <w:r>
        <w:t xml:space="preserve">GIhA_541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href=#y596&gt;</w:t>
      </w:r>
      <w:r>
        <w:t xml:space="preserve">SE_596  </w:t>
      </w:r>
      <w:r>
        <w:rPr>
          <w:rStyle w:val="htmlcodes"/>
        </w:rPr>
        <w:t>&lt;/a&gt;&lt;a href=#y541&gt;</w:t>
      </w:r>
      <w:r>
        <w:t xml:space="preserve">GIhA_541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href=#y541&gt;</w:t>
      </w:r>
      <w:r>
        <w:t xml:space="preserve">GIhA_541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href=#y541&gt;</w:t>
      </w:r>
      <w:r>
        <w:t xml:space="preserve">GIhA_541   </w:t>
      </w:r>
      <w:r>
        <w:rPr>
          <w:rStyle w:val="htmlcodes"/>
        </w:rPr>
        <w:t>&lt;/a&gt;</w:t>
      </w:r>
    </w:p>
    <w:p w:rsidR="00B72047" w:rsidRDefault="00B72047">
      <w:pPr>
        <w:pStyle w:val="YACC"/>
      </w:pPr>
      <w:r>
        <w:tab/>
        <w:t>|</w:t>
      </w:r>
      <w:r>
        <w:tab/>
      </w:r>
      <w:r>
        <w:rPr>
          <w:rStyle w:val="htmlcodes"/>
        </w:rPr>
        <w:t>&lt;a href=#y578&gt;</w:t>
      </w:r>
      <w:r>
        <w:t xml:space="preserve">NA_578  </w:t>
      </w:r>
      <w:r>
        <w:rPr>
          <w:rStyle w:val="htmlcodes"/>
        </w:rPr>
        <w:t>&lt;/a&gt;&lt;a href=#y596&gt;</w:t>
      </w:r>
      <w:r>
        <w:t xml:space="preserve">SE_596  </w:t>
      </w:r>
      <w:r>
        <w:rPr>
          <w:rStyle w:val="htmlcodes"/>
        </w:rPr>
        <w:t>&lt;/a&gt;&lt;a href=#y541&gt;</w:t>
      </w:r>
      <w:r>
        <w:t xml:space="preserve">GIhA_541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name=y995&gt;</w:t>
      </w:r>
      <w:r>
        <w:t xml:space="preserve">lexer_S_995  </w:t>
      </w:r>
      <w:r>
        <w:rPr>
          <w:rStyle w:val="htmlcodes"/>
        </w:rPr>
        <w:t>&lt;/a&gt;</w:t>
      </w:r>
      <w:r>
        <w:tab/>
        <w:t>:</w:t>
      </w:r>
      <w:r>
        <w:tab/>
      </w:r>
      <w:r>
        <w:rPr>
          <w:rStyle w:val="htmlcodes"/>
        </w:rPr>
        <w:t>&lt;a href=#y719&gt;</w:t>
      </w:r>
      <w:r>
        <w:t xml:space="preserve">lexer_S_719  </w:t>
      </w:r>
      <w:r>
        <w:rPr>
          <w:rStyle w:val="htmlcodes"/>
        </w:rPr>
        <w:t>&lt;/a&gt;&lt;a href=#y545&gt;</w:t>
      </w:r>
      <w:r>
        <w:t xml:space="preserve">I_545  </w:t>
      </w:r>
      <w:r>
        <w:rPr>
          <w:rStyle w:val="htmlcodes"/>
        </w:rPr>
        <w:t>&lt;/a&gt;</w:t>
      </w:r>
    </w:p>
    <w:p w:rsidR="00B72047" w:rsidRDefault="00B72047">
      <w:pPr>
        <w:pStyle w:val="YACC"/>
      </w:pPr>
      <w:r>
        <w:tab/>
        <w:t>;</w:t>
      </w:r>
    </w:p>
    <w:p w:rsidR="00B72047" w:rsidRDefault="00B72047">
      <w:pPr>
        <w:pStyle w:val="YACCtoken"/>
      </w:pPr>
      <w:r>
        <w:rPr>
          <w:rStyle w:val="htmlcodes"/>
        </w:rPr>
        <w:t>&lt;a name=y1000&gt;</w:t>
      </w:r>
      <w:r>
        <w:t xml:space="preserve">lexer_T_1000  </w:t>
      </w:r>
      <w:r>
        <w:rPr>
          <w:rStyle w:val="htmlcodes"/>
        </w:rPr>
        <w:t>&lt;/a&gt;</w:t>
      </w:r>
      <w:r>
        <w:tab/>
        <w:t>:</w:t>
      </w:r>
      <w:r>
        <w:tab/>
      </w:r>
      <w:r>
        <w:rPr>
          <w:rStyle w:val="htmlcodes"/>
        </w:rPr>
        <w:t>&lt;a href=#y720&gt;</w:t>
      </w:r>
      <w:r>
        <w:t xml:space="preserve">lexer_T_720  </w:t>
      </w:r>
      <w:r>
        <w:rPr>
          <w:rStyle w:val="htmlcodes"/>
        </w:rPr>
        <w:t>&lt;/a&gt;&lt;a href=#y545&gt;</w:t>
      </w:r>
      <w:r>
        <w:t xml:space="preserve">I_545  </w:t>
      </w:r>
      <w:r>
        <w:rPr>
          <w:rStyle w:val="htmlcodes"/>
        </w:rPr>
        <w:t>&lt;/a&gt;&lt;a href=#y957&gt;</w:t>
      </w:r>
      <w:r>
        <w:t xml:space="preserve">simple_JOIK_JEK_957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name=y1005&gt;</w:t>
      </w:r>
      <w:r>
        <w:t xml:space="preserve">lexer_U_1005  </w:t>
      </w:r>
      <w:r>
        <w:rPr>
          <w:rStyle w:val="htmlcodes"/>
        </w:rPr>
        <w:t>&lt;/a&gt;</w:t>
      </w:r>
      <w:r>
        <w:tab/>
        <w:t>:</w:t>
      </w:r>
      <w:r>
        <w:tab/>
      </w:r>
      <w:r>
        <w:rPr>
          <w:rStyle w:val="htmlcodes"/>
        </w:rPr>
        <w:t>&lt;a href=#y721&gt;</w:t>
      </w:r>
      <w:r>
        <w:t xml:space="preserve">lexer_U_721  </w:t>
      </w:r>
      <w:r>
        <w:rPr>
          <w:rStyle w:val="htmlcodes"/>
        </w:rPr>
        <w:t>&lt;/a&gt;&lt;a href=#y926&gt;</w:t>
      </w:r>
      <w:r>
        <w:t xml:space="preserve">JEK_root_926  </w:t>
      </w:r>
      <w:r>
        <w:rPr>
          <w:rStyle w:val="htmlcodes"/>
        </w:rPr>
        <w:t>&lt;/a&gt;&lt;a href=#y508&gt;</w:t>
      </w:r>
      <w:r>
        <w:t xml:space="preserve">BO_508  </w:t>
      </w:r>
      <w:r>
        <w:rPr>
          <w:rStyle w:val="htmlcodes"/>
        </w:rPr>
        <w:t>&lt;/a&gt;</w:t>
      </w:r>
    </w:p>
    <w:p w:rsidR="00B72047" w:rsidRDefault="00B72047">
      <w:pPr>
        <w:pStyle w:val="YACC"/>
      </w:pPr>
      <w:r>
        <w:tab/>
        <w:t>|</w:t>
      </w:r>
      <w:r>
        <w:tab/>
      </w:r>
      <w:r>
        <w:rPr>
          <w:rStyle w:val="htmlcodes"/>
        </w:rPr>
        <w:t>&lt;a href=#y721&gt;</w:t>
      </w:r>
      <w:r>
        <w:t xml:space="preserve">lexer_U_721   </w:t>
      </w:r>
      <w:r>
        <w:rPr>
          <w:rStyle w:val="htmlcodes"/>
        </w:rPr>
        <w:t>&lt;/a&gt;&lt;a href=#y926&gt;</w:t>
      </w:r>
      <w:r>
        <w:t xml:space="preserve">JEK_root_926  </w:t>
      </w:r>
      <w:r>
        <w:rPr>
          <w:rStyle w:val="htmlcodes"/>
        </w:rPr>
        <w:t>&lt;/a&gt;&lt;a href=#y971&gt;</w:t>
      </w:r>
      <w:r>
        <w:t xml:space="preserve">simple_tag_971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name=y1010&gt;</w:t>
      </w:r>
      <w:r>
        <w:t xml:space="preserve">lexer_V_1010  </w:t>
      </w:r>
      <w:r>
        <w:rPr>
          <w:rStyle w:val="htmlcodes"/>
        </w:rPr>
        <w:t>&lt;/a&gt;</w:t>
      </w:r>
      <w:r>
        <w:tab/>
        <w:t>:</w:t>
      </w:r>
      <w:r>
        <w:tab/>
      </w:r>
      <w:r>
        <w:rPr>
          <w:rStyle w:val="htmlcodes"/>
        </w:rPr>
        <w:t>&lt;a href=#y722&gt;</w:t>
      </w:r>
      <w:r>
        <w:t xml:space="preserve">lexer_V_722  </w:t>
      </w:r>
      <w:r>
        <w:rPr>
          <w:rStyle w:val="htmlcodes"/>
        </w:rPr>
        <w:t>&lt;/a&gt;&lt;a href=#y931&gt;</w:t>
      </w:r>
      <w:r>
        <w:t xml:space="preserve">JOIK_root_931  </w:t>
      </w:r>
      <w:r>
        <w:rPr>
          <w:rStyle w:val="htmlcodes"/>
        </w:rPr>
        <w:t>&lt;/a&gt;&lt;a href=#y508&gt;</w:t>
      </w:r>
      <w:r>
        <w:t xml:space="preserve">BO_508  </w:t>
      </w:r>
      <w:r>
        <w:rPr>
          <w:rStyle w:val="htmlcodes"/>
        </w:rPr>
        <w:t>&lt;/a&gt;</w:t>
      </w:r>
    </w:p>
    <w:p w:rsidR="00B72047" w:rsidRDefault="00B72047">
      <w:pPr>
        <w:pStyle w:val="YACC"/>
      </w:pPr>
      <w:r>
        <w:tab/>
        <w:t>|</w:t>
      </w:r>
      <w:r>
        <w:tab/>
      </w:r>
      <w:r>
        <w:rPr>
          <w:rStyle w:val="htmlcodes"/>
        </w:rPr>
        <w:t>&lt;a href=#y722&gt;</w:t>
      </w:r>
      <w:r>
        <w:t xml:space="preserve">lexer_V_722   </w:t>
      </w:r>
      <w:r>
        <w:rPr>
          <w:rStyle w:val="htmlcodes"/>
        </w:rPr>
        <w:t>&lt;/a&gt;&lt;a href=#y931&gt;</w:t>
      </w:r>
      <w:r>
        <w:t xml:space="preserve">JOIK_root_931   </w:t>
      </w:r>
      <w:r>
        <w:rPr>
          <w:rStyle w:val="htmlcodes"/>
        </w:rPr>
        <w:t>&lt;/a&gt;&lt;a href=#y971&gt;</w:t>
      </w:r>
      <w:r>
        <w:t xml:space="preserve">simple_tag_971   </w:t>
      </w:r>
      <w:r>
        <w:rPr>
          <w:rStyle w:val="htmlcodes"/>
        </w:rPr>
        <w:t>&lt;/a&gt;&lt;a href=#y508&gt;</w:t>
      </w:r>
      <w:r>
        <w:t xml:space="preserve">BO_508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rPr>
        <w:t>&lt;a name=y1015&gt;</w:t>
      </w:r>
      <w:r>
        <w:t xml:space="preserve">lexer_W_1015  </w:t>
      </w:r>
      <w:r>
        <w:rPr>
          <w:rStyle w:val="htmlcodes"/>
        </w:rPr>
        <w:t>&lt;/a&gt;</w:t>
      </w:r>
      <w:r>
        <w:tab/>
        <w:t>:</w:t>
      </w:r>
      <w:r>
        <w:tab/>
      </w:r>
      <w:r>
        <w:rPr>
          <w:rStyle w:val="htmlcodes"/>
        </w:rPr>
        <w:t>&lt;a href=#y723&gt;</w:t>
      </w:r>
      <w:r>
        <w:t xml:space="preserve">lexer_W_723  </w:t>
      </w:r>
      <w:r>
        <w:rPr>
          <w:rStyle w:val="htmlcodes"/>
        </w:rPr>
        <w:t>&lt;/a&gt;&lt;a href=#y931&gt;</w:t>
      </w:r>
      <w:r>
        <w:t xml:space="preserve">JOIK_root_931  </w:t>
      </w:r>
      <w:r>
        <w:rPr>
          <w:rStyle w:val="htmlcodes"/>
        </w:rPr>
        <w:t>&lt;/a&gt;&lt;a href=#y551&gt;</w:t>
      </w:r>
      <w:r>
        <w:t xml:space="preserve">KE_551  </w:t>
      </w:r>
      <w:r>
        <w:rPr>
          <w:rStyle w:val="htmlcodes"/>
        </w:rPr>
        <w:t>&lt;/a&gt;</w:t>
      </w:r>
    </w:p>
    <w:p w:rsidR="00B72047" w:rsidRDefault="00B72047">
      <w:pPr>
        <w:pStyle w:val="YACC"/>
      </w:pPr>
      <w:r>
        <w:tab/>
        <w:t>|</w:t>
      </w:r>
      <w:r>
        <w:tab/>
      </w:r>
      <w:r>
        <w:rPr>
          <w:rStyle w:val="htmlcodes"/>
        </w:rPr>
        <w:t>&lt;a href=#y723&gt;</w:t>
      </w:r>
      <w:r>
        <w:t xml:space="preserve">lexer_W_723  </w:t>
      </w:r>
      <w:r>
        <w:rPr>
          <w:rStyle w:val="htmlcodes"/>
        </w:rPr>
        <w:t>&lt;/a&gt;&lt;a href=#y931&gt;</w:t>
      </w:r>
      <w:r>
        <w:t xml:space="preserve">JOIK_root_931   </w:t>
      </w:r>
      <w:r>
        <w:rPr>
          <w:rStyle w:val="htmlcodes"/>
        </w:rPr>
        <w:t>&lt;/a&gt;&lt;a href=#y971&gt;</w:t>
      </w:r>
      <w:r>
        <w:t xml:space="preserve">simple_tag_971   </w:t>
      </w:r>
      <w:r>
        <w:rPr>
          <w:rStyle w:val="htmlcodes"/>
        </w:rPr>
        <w:t>&lt;/a&gt;&lt;a href=#y551&gt;</w:t>
      </w:r>
      <w:r>
        <w:t xml:space="preserve">KE_551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pPr>
      <w:r>
        <w:rPr>
          <w:rStyle w:val="htmlcodes"/>
        </w:rPr>
        <w:t>&lt;a name=y1025&gt;</w:t>
      </w:r>
      <w:r>
        <w:t xml:space="preserve">lexer_Y_1025  </w:t>
      </w:r>
      <w:r>
        <w:rPr>
          <w:rStyle w:val="htmlcodes"/>
        </w:rPr>
        <w:t>&lt;/a&gt;</w:t>
      </w:r>
      <w:r>
        <w:tab/>
        <w:t>:</w:t>
      </w:r>
      <w:r>
        <w:tab/>
      </w:r>
      <w:r>
        <w:rPr>
          <w:rStyle w:val="htmlcodes"/>
        </w:rPr>
        <w:t>&lt;a href=#y725&gt;</w:t>
      </w:r>
      <w:r>
        <w:t xml:space="preserve">lexer_Y_725  </w:t>
      </w:r>
      <w:r>
        <w:rPr>
          <w:rStyle w:val="htmlcodes"/>
        </w:rPr>
        <w:t>&lt;/a&gt;&lt;a href=#y961&gt;</w:t>
      </w:r>
      <w:r>
        <w:t xml:space="preserve">number_root_961  </w:t>
      </w:r>
      <w:r>
        <w:rPr>
          <w:rStyle w:val="htmlcodes"/>
        </w:rPr>
        <w:t>&lt;/a&gt;&lt;a href=#y663&gt;</w:t>
      </w:r>
      <w:r>
        <w:t xml:space="preserve">MOI_663  </w:t>
      </w:r>
      <w:r>
        <w:rPr>
          <w:rStyle w:val="htmlcodes"/>
        </w:rPr>
        <w:t>&lt;/a&gt;</w:t>
      </w:r>
    </w:p>
    <w:p w:rsidR="00B72047" w:rsidRDefault="00B72047">
      <w:pPr>
        <w:pStyle w:val="YACC"/>
      </w:pPr>
      <w:r>
        <w:tab/>
        <w:t>|</w:t>
      </w:r>
      <w:r>
        <w:tab/>
      </w:r>
      <w:r>
        <w:rPr>
          <w:rStyle w:val="htmlcodes"/>
        </w:rPr>
        <w:t>&lt;a href=#y725&gt;</w:t>
      </w:r>
      <w:r>
        <w:t xml:space="preserve">lexer_Y_725  </w:t>
      </w:r>
      <w:r>
        <w:rPr>
          <w:rStyle w:val="htmlcodes"/>
        </w:rPr>
        <w:t>&lt;/a&gt;&lt;a href=#y986&gt;</w:t>
      </w:r>
      <w:r>
        <w:t xml:space="preserve">lerfu_string_root_986  </w:t>
      </w:r>
      <w:r>
        <w:rPr>
          <w:rStyle w:val="htmlcodes"/>
        </w:rPr>
        <w:t>&lt;/a&gt;&lt;a href=#y663&gt;</w:t>
      </w:r>
      <w:r>
        <w:t xml:space="preserve">MOI_663  </w:t>
      </w:r>
      <w:r>
        <w:rPr>
          <w:rStyle w:val="htmlcodes"/>
        </w:rPr>
        <w:t>&lt;/a&gt;</w:t>
      </w:r>
    </w:p>
    <w:p w:rsidR="00B72047" w:rsidRDefault="00B72047">
      <w:pPr>
        <w:pStyle w:val="YACC"/>
      </w:pPr>
      <w:r>
        <w:tab/>
        <w:t>;</w:t>
      </w:r>
    </w:p>
    <w:p w:rsidR="00B72047" w:rsidRDefault="00B72047">
      <w:pPr>
        <w:pStyle w:val="YACCtoken"/>
        <w:rPr>
          <w:rStyle w:val="htmlcodes"/>
          <w:vanish w:val="0"/>
        </w:rPr>
      </w:pPr>
    </w:p>
    <w:p w:rsidR="00B72047" w:rsidRDefault="00B72047">
      <w:pPr>
        <w:pStyle w:val="YACCtoken"/>
        <w:spacing w:before="0"/>
      </w:pPr>
      <w:r>
        <w:rPr>
          <w:rStyle w:val="htmlcodes"/>
          <w:vanish w:val="0"/>
        </w:rPr>
        <w:br w:type="page"/>
      </w:r>
      <w:r>
        <w:rPr>
          <w:rStyle w:val="htmlcodes"/>
        </w:rPr>
        <w:t>&lt;a name=y1030&gt;</w:t>
      </w:r>
      <w:r>
        <w:t xml:space="preserve">time_1030  </w:t>
      </w:r>
      <w:r>
        <w:rPr>
          <w:rStyle w:val="htmlcodes"/>
        </w:rPr>
        <w:t>&lt;/a&gt;</w:t>
      </w:r>
      <w:r>
        <w:tab/>
        <w:t>:</w:t>
      </w:r>
      <w:r>
        <w:tab/>
      </w:r>
      <w:r>
        <w:rPr>
          <w:rStyle w:val="htmlcodes"/>
        </w:rPr>
        <w:t>&lt;a href=#y624&gt;</w:t>
      </w:r>
      <w:r>
        <w:t xml:space="preserve">ZI_624  </w:t>
      </w:r>
      <w:r>
        <w:rPr>
          <w:rStyle w:val="htmlcodes"/>
        </w:rPr>
        <w:t>&lt;/a&gt;</w:t>
      </w:r>
    </w:p>
    <w:p w:rsidR="00B72047" w:rsidRDefault="00B72047">
      <w:pPr>
        <w:pStyle w:val="YACC"/>
      </w:pPr>
      <w:r>
        <w:tab/>
        <w:t>|</w:t>
      </w:r>
      <w:r>
        <w:tab/>
      </w:r>
      <w:r>
        <w:rPr>
          <w:rStyle w:val="htmlcodes"/>
        </w:rPr>
        <w:t>&lt;a href=#y624&gt;</w:t>
      </w:r>
      <w:r>
        <w:t xml:space="preserve">ZI_624  </w:t>
      </w:r>
      <w:r>
        <w:rPr>
          <w:rStyle w:val="htmlcodes"/>
        </w:rPr>
        <w:t>&lt;/a&gt;&lt;a href=#y1031&gt;</w:t>
      </w:r>
      <w:r>
        <w:t xml:space="preserve">time_A_1031   </w:t>
      </w:r>
      <w:r>
        <w:rPr>
          <w:rStyle w:val="htmlcodes"/>
        </w:rPr>
        <w:t>&lt;/a&gt;</w:t>
      </w:r>
    </w:p>
    <w:p w:rsidR="00B72047" w:rsidRDefault="00B72047">
      <w:pPr>
        <w:pStyle w:val="YACC"/>
      </w:pPr>
      <w:r>
        <w:tab/>
        <w:t>|</w:t>
      </w:r>
      <w:r>
        <w:tab/>
      </w:r>
      <w:r>
        <w:rPr>
          <w:rStyle w:val="htmlcodes"/>
        </w:rPr>
        <w:t>&lt;a href=#y1031&gt;</w:t>
      </w:r>
      <w:r>
        <w:t xml:space="preserve">time_A_1031   </w:t>
      </w:r>
      <w:r>
        <w:rPr>
          <w:rStyle w:val="htmlcodes"/>
        </w:rPr>
        <w:t>&lt;/a&gt;</w:t>
      </w:r>
    </w:p>
    <w:p w:rsidR="00B72047" w:rsidRDefault="00B72047">
      <w:pPr>
        <w:pStyle w:val="YACC"/>
      </w:pPr>
      <w:r>
        <w:tab/>
        <w:t>;</w:t>
      </w:r>
    </w:p>
    <w:p w:rsidR="00B72047" w:rsidRDefault="00B72047">
      <w:pPr>
        <w:pStyle w:val="YACCtoken"/>
      </w:pPr>
      <w:r>
        <w:rPr>
          <w:rStyle w:val="htmlcodes"/>
        </w:rPr>
        <w:t>&lt;a name=y1031&gt;</w:t>
      </w:r>
      <w:r>
        <w:t xml:space="preserve">time_A_1031  </w:t>
      </w:r>
      <w:r>
        <w:rPr>
          <w:rStyle w:val="htmlcodes"/>
        </w:rPr>
        <w:t>&lt;/a&gt;</w:t>
      </w:r>
      <w:r>
        <w:tab/>
        <w:t>:</w:t>
      </w:r>
      <w:r>
        <w:tab/>
      </w:r>
      <w:r>
        <w:rPr>
          <w:rStyle w:val="htmlcodes"/>
        </w:rPr>
        <w:t>&lt;a href=#y1032&gt;</w:t>
      </w:r>
      <w:r>
        <w:t xml:space="preserve">time_B_1032  </w:t>
      </w:r>
      <w:r>
        <w:rPr>
          <w:rStyle w:val="htmlcodes"/>
        </w:rPr>
        <w:t>&lt;/a&gt;</w:t>
      </w:r>
    </w:p>
    <w:p w:rsidR="00B72047" w:rsidRDefault="00B72047">
      <w:pPr>
        <w:pStyle w:val="YACC"/>
      </w:pPr>
      <w:r>
        <w:tab/>
        <w:t>|</w:t>
      </w:r>
      <w:r>
        <w:tab/>
      </w:r>
      <w:r>
        <w:rPr>
          <w:rStyle w:val="htmlcodes"/>
        </w:rPr>
        <w:t>&lt;a href=#y1034&gt;</w:t>
      </w:r>
      <w:r>
        <w:t xml:space="preserve">time_interval_1034  </w:t>
      </w:r>
      <w:r>
        <w:rPr>
          <w:rStyle w:val="htmlcodes"/>
        </w:rPr>
        <w:t>&lt;/a&gt;</w:t>
      </w:r>
    </w:p>
    <w:p w:rsidR="00B72047" w:rsidRDefault="00B72047">
      <w:pPr>
        <w:pStyle w:val="YACC"/>
      </w:pPr>
      <w:r>
        <w:tab/>
        <w:t>|</w:t>
      </w:r>
      <w:r>
        <w:tab/>
      </w:r>
      <w:r>
        <w:rPr>
          <w:rStyle w:val="htmlcodes"/>
        </w:rPr>
        <w:t>&lt;a href=#y1032&gt;</w:t>
      </w:r>
      <w:r>
        <w:t xml:space="preserve">time_B_1032   </w:t>
      </w:r>
      <w:r>
        <w:rPr>
          <w:rStyle w:val="htmlcodes"/>
        </w:rPr>
        <w:t>&lt;/a&gt;&lt;a href=#y1034&gt;</w:t>
      </w:r>
      <w:r>
        <w:t xml:space="preserve">time_interval_1034  </w:t>
      </w:r>
      <w:r>
        <w:rPr>
          <w:rStyle w:val="htmlcodes"/>
        </w:rPr>
        <w:t>&lt;/a&gt;</w:t>
      </w:r>
    </w:p>
    <w:p w:rsidR="00B72047" w:rsidRDefault="00B72047">
      <w:pPr>
        <w:pStyle w:val="YACC"/>
      </w:pPr>
      <w:r>
        <w:tab/>
        <w:t>;</w:t>
      </w:r>
    </w:p>
    <w:p w:rsidR="00B72047" w:rsidRDefault="00B72047">
      <w:pPr>
        <w:pStyle w:val="YACCtoken"/>
      </w:pPr>
      <w:r>
        <w:rPr>
          <w:rStyle w:val="htmlcodes"/>
        </w:rPr>
        <w:t>&lt;a name=y1032&gt;</w:t>
      </w:r>
      <w:r>
        <w:t xml:space="preserve">time_B_1032  </w:t>
      </w:r>
      <w:r>
        <w:rPr>
          <w:rStyle w:val="htmlcodes"/>
        </w:rPr>
        <w:t>&lt;/a&gt;</w:t>
      </w:r>
      <w:r>
        <w:tab/>
        <w:t>:</w:t>
      </w:r>
      <w:r>
        <w:tab/>
      </w:r>
      <w:r>
        <w:rPr>
          <w:rStyle w:val="htmlcodes"/>
        </w:rPr>
        <w:t>&lt;a href=#y1033&gt;</w:t>
      </w:r>
      <w:r>
        <w:t xml:space="preserve">time_offset_1033  </w:t>
      </w:r>
      <w:r>
        <w:rPr>
          <w:rStyle w:val="htmlcodes"/>
        </w:rPr>
        <w:t>&lt;/a&gt;</w:t>
      </w:r>
    </w:p>
    <w:p w:rsidR="00B72047" w:rsidRDefault="00B72047">
      <w:pPr>
        <w:pStyle w:val="YACC"/>
      </w:pPr>
      <w:r>
        <w:tab/>
        <w:t>|</w:t>
      </w:r>
      <w:r>
        <w:tab/>
      </w:r>
      <w:r>
        <w:rPr>
          <w:rStyle w:val="htmlcodes"/>
        </w:rPr>
        <w:t>&lt;a href=#y1032&gt;</w:t>
      </w:r>
      <w:r>
        <w:t xml:space="preserve">time_B_1032   </w:t>
      </w:r>
      <w:r>
        <w:rPr>
          <w:rStyle w:val="htmlcodes"/>
        </w:rPr>
        <w:t>&lt;/a&gt;&lt;a href=#y1033&gt;</w:t>
      </w:r>
      <w:r>
        <w:t xml:space="preserve">time_offset_1033  </w:t>
      </w:r>
      <w:r>
        <w:rPr>
          <w:rStyle w:val="htmlcodes"/>
        </w:rPr>
        <w:t>&lt;/a&gt;</w:t>
      </w:r>
    </w:p>
    <w:p w:rsidR="00B72047" w:rsidRDefault="00B72047">
      <w:pPr>
        <w:pStyle w:val="YACC"/>
      </w:pPr>
      <w:r>
        <w:tab/>
        <w:t>;</w:t>
      </w:r>
    </w:p>
    <w:p w:rsidR="00B72047" w:rsidRDefault="00B72047">
      <w:pPr>
        <w:pStyle w:val="YACCtoken"/>
      </w:pPr>
      <w:r>
        <w:rPr>
          <w:rStyle w:val="htmlcodes"/>
        </w:rPr>
        <w:t>&lt;a name=y1033&gt;</w:t>
      </w:r>
      <w:r>
        <w:t xml:space="preserve">time_offset_1033  </w:t>
      </w:r>
      <w:r>
        <w:rPr>
          <w:rStyle w:val="htmlcodes"/>
        </w:rPr>
        <w:t>&lt;/a&gt;</w:t>
      </w:r>
      <w:r>
        <w:tab/>
        <w:t>:</w:t>
      </w:r>
      <w:r>
        <w:tab/>
      </w:r>
      <w:r>
        <w:rPr>
          <w:rStyle w:val="htmlcodes"/>
        </w:rPr>
        <w:t>&lt;a href=#y1035&gt;</w:t>
      </w:r>
      <w:r>
        <w:t xml:space="preserve">time_direction_1035  </w:t>
      </w:r>
      <w:r>
        <w:rPr>
          <w:rStyle w:val="htmlcodes"/>
        </w:rPr>
        <w:t>&lt;/a&gt;</w:t>
      </w:r>
    </w:p>
    <w:p w:rsidR="00B72047" w:rsidRDefault="00B72047">
      <w:pPr>
        <w:pStyle w:val="YACC"/>
      </w:pPr>
      <w:r>
        <w:tab/>
        <w:t>|</w:t>
      </w:r>
      <w:r>
        <w:tab/>
      </w:r>
      <w:r>
        <w:rPr>
          <w:rStyle w:val="htmlcodes"/>
        </w:rPr>
        <w:t>&lt;a href=#y1035&gt;</w:t>
      </w:r>
      <w:r>
        <w:t xml:space="preserve">time_direction_1035  </w:t>
      </w:r>
      <w:r>
        <w:rPr>
          <w:rStyle w:val="htmlcodes"/>
        </w:rPr>
        <w:t>&lt;/a&gt;&lt;a href=#y624&gt;</w:t>
      </w:r>
      <w:r>
        <w:t xml:space="preserve">ZI_624  </w:t>
      </w:r>
      <w:r>
        <w:rPr>
          <w:rStyle w:val="htmlcodes"/>
        </w:rPr>
        <w:t>&lt;/a&gt;</w:t>
      </w:r>
    </w:p>
    <w:p w:rsidR="00B72047" w:rsidRDefault="00B72047">
      <w:pPr>
        <w:pStyle w:val="YACC"/>
      </w:pPr>
      <w:r>
        <w:tab/>
        <w:t>;</w:t>
      </w:r>
    </w:p>
    <w:p w:rsidR="00B72047" w:rsidRDefault="00B72047">
      <w:pPr>
        <w:pStyle w:val="YACCtoken"/>
      </w:pPr>
      <w:r>
        <w:rPr>
          <w:rStyle w:val="htmlcodes"/>
        </w:rPr>
        <w:t>&lt;a name=y1034&gt;</w:t>
      </w:r>
      <w:r>
        <w:t>time_interval_1034</w:t>
      </w:r>
      <w:r>
        <w:tab/>
      </w:r>
      <w:r>
        <w:rPr>
          <w:rStyle w:val="htmlcodes"/>
        </w:rPr>
        <w:t>&lt;/a&gt;</w:t>
      </w:r>
      <w:r>
        <w:t>:</w:t>
      </w:r>
      <w:r>
        <w:tab/>
      </w:r>
      <w:r>
        <w:rPr>
          <w:rStyle w:val="htmlcodes"/>
        </w:rPr>
        <w:t>&lt;a href=#y622&gt;</w:t>
      </w:r>
      <w:r>
        <w:t xml:space="preserve">ZEhA_622  </w:t>
      </w:r>
      <w:r>
        <w:rPr>
          <w:rStyle w:val="htmlcodes"/>
        </w:rPr>
        <w:t>&lt;/a&gt;</w:t>
      </w:r>
    </w:p>
    <w:p w:rsidR="00B72047" w:rsidRDefault="00B72047">
      <w:pPr>
        <w:pStyle w:val="YACC"/>
      </w:pPr>
      <w:r>
        <w:tab/>
        <w:t>|</w:t>
      </w:r>
      <w:r>
        <w:tab/>
      </w:r>
      <w:r>
        <w:rPr>
          <w:rStyle w:val="htmlcodes"/>
        </w:rPr>
        <w:t>&lt;a href=#y622&gt;</w:t>
      </w:r>
      <w:r>
        <w:t xml:space="preserve">ZEhA_622   </w:t>
      </w:r>
      <w:r>
        <w:rPr>
          <w:rStyle w:val="htmlcodes"/>
        </w:rPr>
        <w:t>&lt;/a&gt;&lt;a href=#y1035&gt;</w:t>
      </w:r>
      <w:r>
        <w:t xml:space="preserve">time_direction_1035  </w:t>
      </w:r>
      <w:r>
        <w:rPr>
          <w:rStyle w:val="htmlcodes"/>
        </w:rPr>
        <w:t>&lt;/a&gt;</w:t>
      </w:r>
    </w:p>
    <w:p w:rsidR="00B72047" w:rsidRDefault="00B72047">
      <w:pPr>
        <w:pStyle w:val="YACC"/>
      </w:pPr>
      <w:r>
        <w:tab/>
        <w:t>|</w:t>
      </w:r>
      <w:r>
        <w:tab/>
      </w:r>
      <w:r>
        <w:rPr>
          <w:rStyle w:val="htmlcodes"/>
        </w:rPr>
        <w:t>&lt;a href=#y1036&gt;</w:t>
      </w:r>
      <w:r>
        <w:t xml:space="preserve">time_int_props_1036  </w:t>
      </w:r>
      <w:r>
        <w:rPr>
          <w:rStyle w:val="htmlcodes"/>
        </w:rPr>
        <w:t>&lt;/a&gt;</w:t>
      </w:r>
    </w:p>
    <w:p w:rsidR="00B72047" w:rsidRDefault="00B72047">
      <w:pPr>
        <w:pStyle w:val="YACC"/>
      </w:pPr>
      <w:r>
        <w:tab/>
        <w:t>|</w:t>
      </w:r>
      <w:r>
        <w:tab/>
      </w:r>
      <w:r>
        <w:rPr>
          <w:rStyle w:val="htmlcodes"/>
        </w:rPr>
        <w:t>&lt;a href=#y622&gt;</w:t>
      </w:r>
      <w:r>
        <w:t xml:space="preserve">ZEhA_622   </w:t>
      </w:r>
      <w:r>
        <w:rPr>
          <w:rStyle w:val="htmlcodes"/>
        </w:rPr>
        <w:t>&lt;/a&gt;&lt;a href=#y1036&gt;</w:t>
      </w:r>
      <w:r>
        <w:t xml:space="preserve">time_int_props_1036  </w:t>
      </w:r>
      <w:r>
        <w:rPr>
          <w:rStyle w:val="htmlcodes"/>
        </w:rPr>
        <w:t>&lt;/a&gt;</w:t>
      </w:r>
    </w:p>
    <w:p w:rsidR="00B72047" w:rsidRDefault="00B72047">
      <w:pPr>
        <w:pStyle w:val="YACC"/>
      </w:pPr>
      <w:r>
        <w:tab/>
        <w:t>|</w:t>
      </w:r>
      <w:r>
        <w:tab/>
      </w:r>
      <w:r>
        <w:rPr>
          <w:rStyle w:val="htmlcodes"/>
        </w:rPr>
        <w:t>&lt;a href=#y622&gt;</w:t>
      </w:r>
      <w:r>
        <w:t xml:space="preserve">ZEhA_622   </w:t>
      </w:r>
      <w:r>
        <w:rPr>
          <w:rStyle w:val="htmlcodes"/>
        </w:rPr>
        <w:t>&lt;/a&gt;&lt;a href=#y1035&gt;</w:t>
      </w:r>
      <w:r>
        <w:t xml:space="preserve">time_direction_1035  </w:t>
      </w:r>
      <w:r>
        <w:rPr>
          <w:rStyle w:val="htmlcodes"/>
        </w:rPr>
        <w:t>&lt;/a&gt;&lt;a href=#y1036&gt;</w:t>
      </w:r>
      <w:r>
        <w:t xml:space="preserve">time_int_props_1036  </w:t>
      </w:r>
      <w:r>
        <w:rPr>
          <w:rStyle w:val="htmlcodes"/>
        </w:rPr>
        <w:t>&lt;/a&gt;</w:t>
      </w:r>
    </w:p>
    <w:p w:rsidR="00B72047" w:rsidRDefault="00B72047">
      <w:pPr>
        <w:pStyle w:val="YACC"/>
      </w:pPr>
      <w:r>
        <w:tab/>
        <w:t>;</w:t>
      </w:r>
    </w:p>
    <w:p w:rsidR="00B72047" w:rsidRDefault="00B72047">
      <w:pPr>
        <w:pStyle w:val="YACCtoken"/>
      </w:pPr>
      <w:r>
        <w:rPr>
          <w:rStyle w:val="htmlcodes"/>
        </w:rPr>
        <w:t>&lt;a name=y1035&gt;</w:t>
      </w:r>
      <w:r>
        <w:t>time_direction_1035</w:t>
      </w:r>
      <w:r>
        <w:tab/>
      </w:r>
      <w:r>
        <w:rPr>
          <w:rStyle w:val="htmlcodes"/>
        </w:rPr>
        <w:t>&lt;/a&gt;</w:t>
      </w:r>
      <w:r>
        <w:t>:</w:t>
      </w:r>
      <w:r>
        <w:tab/>
      </w:r>
      <w:r>
        <w:rPr>
          <w:rStyle w:val="htmlcodes"/>
        </w:rPr>
        <w:t>&lt;a href=#y592&gt;</w:t>
      </w:r>
      <w:r>
        <w:t xml:space="preserve">PU_592  </w:t>
      </w:r>
      <w:r>
        <w:rPr>
          <w:rStyle w:val="htmlcodes"/>
        </w:rPr>
        <w:t>&lt;/a&gt;</w:t>
      </w:r>
    </w:p>
    <w:p w:rsidR="00B72047" w:rsidRDefault="00B72047">
      <w:pPr>
        <w:pStyle w:val="YACC"/>
      </w:pPr>
      <w:r>
        <w:tab/>
        <w:t>|</w:t>
      </w:r>
      <w:r>
        <w:tab/>
      </w:r>
      <w:r>
        <w:rPr>
          <w:rStyle w:val="htmlcodes"/>
        </w:rPr>
        <w:t>&lt;a href=#y592&gt;</w:t>
      </w:r>
      <w:r>
        <w:t xml:space="preserve">PU_592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name=y1036&gt;</w:t>
      </w:r>
      <w:r>
        <w:t>time_int_props_1036</w:t>
      </w:r>
      <w:r>
        <w:tab/>
      </w:r>
      <w:r>
        <w:rPr>
          <w:rStyle w:val="htmlcodes"/>
        </w:rPr>
        <w:t>&lt;/a&gt;</w:t>
      </w:r>
      <w:r>
        <w:t>:</w:t>
      </w:r>
      <w:r>
        <w:tab/>
      </w:r>
      <w:r>
        <w:rPr>
          <w:rStyle w:val="htmlcodes"/>
        </w:rPr>
        <w:t>&lt;a href=#y1051&gt;</w:t>
      </w:r>
      <w:r>
        <w:t xml:space="preserve">interval_property_1051  </w:t>
      </w:r>
      <w:r>
        <w:rPr>
          <w:rStyle w:val="htmlcodes"/>
        </w:rPr>
        <w:t>&lt;/a&gt;</w:t>
      </w:r>
    </w:p>
    <w:p w:rsidR="00B72047" w:rsidRDefault="00B72047">
      <w:pPr>
        <w:pStyle w:val="YACC"/>
      </w:pPr>
      <w:r>
        <w:tab/>
        <w:t>|</w:t>
      </w:r>
      <w:r>
        <w:tab/>
      </w:r>
      <w:r>
        <w:rPr>
          <w:rStyle w:val="htmlcodes"/>
        </w:rPr>
        <w:t>&lt;a href=#y1036&gt;</w:t>
      </w:r>
      <w:r>
        <w:t xml:space="preserve">time_int_props_1036  </w:t>
      </w:r>
      <w:r>
        <w:rPr>
          <w:rStyle w:val="htmlcodes"/>
        </w:rPr>
        <w:t>&lt;/a&gt;&lt;a href=#y1051&gt;</w:t>
      </w:r>
      <w:r>
        <w:t xml:space="preserve">interval_property_1051   </w:t>
      </w:r>
      <w:r>
        <w:rPr>
          <w:rStyle w:val="htmlcodes"/>
        </w:rPr>
        <w:t>&lt;/a&gt;</w:t>
      </w:r>
    </w:p>
    <w:p w:rsidR="00B72047" w:rsidRDefault="00B72047">
      <w:pPr>
        <w:pStyle w:val="YACC"/>
      </w:pPr>
      <w:r>
        <w:tab/>
        <w:t>;</w:t>
      </w:r>
    </w:p>
    <w:p w:rsidR="00B72047" w:rsidRDefault="00B72047">
      <w:pPr>
        <w:pStyle w:val="YACCtoken"/>
      </w:pPr>
      <w:r>
        <w:rPr>
          <w:rStyle w:val="htmlcodes"/>
        </w:rPr>
        <w:t>&lt;a name=y1040&gt;</w:t>
      </w:r>
      <w:r>
        <w:t xml:space="preserve">space_1040  </w:t>
      </w:r>
      <w:r>
        <w:rPr>
          <w:rStyle w:val="htmlcodes"/>
        </w:rPr>
        <w:t>&lt;/a&gt;</w:t>
      </w:r>
      <w:r>
        <w:tab/>
        <w:t>:</w:t>
      </w:r>
      <w:r>
        <w:tab/>
      </w:r>
      <w:r>
        <w:rPr>
          <w:rStyle w:val="htmlcodes"/>
        </w:rPr>
        <w:t>&lt;a href=#y1042&gt;</w:t>
      </w:r>
      <w:r>
        <w:t xml:space="preserve">space_A_1042  </w:t>
      </w:r>
      <w:r>
        <w:rPr>
          <w:rStyle w:val="htmlcodes"/>
        </w:rPr>
        <w:t>&lt;/a&gt;</w:t>
      </w:r>
    </w:p>
    <w:p w:rsidR="00B72047" w:rsidRDefault="00B72047">
      <w:pPr>
        <w:pStyle w:val="YACC"/>
      </w:pPr>
      <w:r>
        <w:tab/>
        <w:t>|</w:t>
      </w:r>
      <w:r>
        <w:tab/>
      </w:r>
      <w:r>
        <w:rPr>
          <w:rStyle w:val="htmlcodes"/>
        </w:rPr>
        <w:t>&lt;a href=#y1041&gt;</w:t>
      </w:r>
      <w:r>
        <w:t xml:space="preserve">space_motion_1041   </w:t>
      </w:r>
      <w:r>
        <w:rPr>
          <w:rStyle w:val="htmlcodes"/>
        </w:rPr>
        <w:t>&lt;/a&gt;</w:t>
      </w:r>
    </w:p>
    <w:p w:rsidR="00B72047" w:rsidRDefault="00B72047">
      <w:pPr>
        <w:pStyle w:val="YACC"/>
      </w:pPr>
      <w:r>
        <w:tab/>
        <w:t>|</w:t>
      </w:r>
      <w:r>
        <w:tab/>
      </w:r>
      <w:r>
        <w:rPr>
          <w:rStyle w:val="htmlcodes"/>
        </w:rPr>
        <w:t>&lt;a href=#y1042&gt;</w:t>
      </w:r>
      <w:r>
        <w:t xml:space="preserve">space_A_1042   </w:t>
      </w:r>
      <w:r>
        <w:rPr>
          <w:rStyle w:val="htmlcodes"/>
        </w:rPr>
        <w:t>&lt;/a&gt;&lt;a href=#y1041&gt;</w:t>
      </w:r>
      <w:r>
        <w:t xml:space="preserve">space_motion_1041   </w:t>
      </w:r>
      <w:r>
        <w:rPr>
          <w:rStyle w:val="htmlcodes"/>
        </w:rPr>
        <w:t>&lt;/a&gt;</w:t>
      </w:r>
    </w:p>
    <w:p w:rsidR="00B72047" w:rsidRDefault="00B72047">
      <w:pPr>
        <w:pStyle w:val="YACC"/>
      </w:pPr>
      <w:r>
        <w:tab/>
        <w:t>;</w:t>
      </w:r>
    </w:p>
    <w:p w:rsidR="00B72047" w:rsidRDefault="00B72047">
      <w:pPr>
        <w:pStyle w:val="YACCtoken"/>
      </w:pPr>
      <w:r>
        <w:rPr>
          <w:rStyle w:val="htmlcodes"/>
        </w:rPr>
        <w:t>&lt;a name=y1041&gt;</w:t>
      </w:r>
      <w:r>
        <w:t>space_motion_1041</w:t>
      </w:r>
      <w:r>
        <w:tab/>
      </w:r>
      <w:r>
        <w:rPr>
          <w:rStyle w:val="htmlcodes"/>
        </w:rPr>
        <w:t>&lt;/a&gt;</w:t>
      </w:r>
      <w:r>
        <w:t>:</w:t>
      </w:r>
      <w:r>
        <w:tab/>
      </w:r>
      <w:r>
        <w:rPr>
          <w:rStyle w:val="htmlcodes"/>
        </w:rPr>
        <w:t>&lt;a href=#y577&gt;</w:t>
      </w:r>
      <w:r>
        <w:t xml:space="preserve">MOhI_577  </w:t>
      </w:r>
      <w:r>
        <w:rPr>
          <w:rStyle w:val="htmlcodes"/>
        </w:rPr>
        <w:t>&lt;/a&gt;&lt;a href=#y1045&gt;</w:t>
      </w:r>
      <w:r>
        <w:t xml:space="preserve">space_offset_1045  </w:t>
      </w:r>
      <w:r>
        <w:rPr>
          <w:rStyle w:val="htmlcodes"/>
        </w:rPr>
        <w:t>&lt;/a&gt;</w:t>
      </w:r>
    </w:p>
    <w:p w:rsidR="00B72047" w:rsidRDefault="00B72047">
      <w:pPr>
        <w:pStyle w:val="YACC"/>
      </w:pPr>
      <w:r>
        <w:tab/>
        <w:t>;</w:t>
      </w:r>
    </w:p>
    <w:p w:rsidR="00B72047" w:rsidRDefault="00B72047">
      <w:pPr>
        <w:pStyle w:val="YACCtoken"/>
      </w:pPr>
      <w:r>
        <w:rPr>
          <w:rStyle w:val="htmlcodes"/>
        </w:rPr>
        <w:t>&lt;a name=y1042&gt;</w:t>
      </w:r>
      <w:r>
        <w:t xml:space="preserve">space_A_1042  </w:t>
      </w:r>
      <w:r>
        <w:rPr>
          <w:rStyle w:val="htmlcodes"/>
        </w:rPr>
        <w:t>&lt;/a&gt;</w:t>
      </w:r>
      <w:r>
        <w:tab/>
        <w:t>:</w:t>
      </w:r>
      <w:r>
        <w:tab/>
      </w:r>
      <w:r>
        <w:rPr>
          <w:rStyle w:val="htmlcodes"/>
        </w:rPr>
        <w:t>&lt;a href=#y613&gt;</w:t>
      </w:r>
      <w:r>
        <w:t xml:space="preserve">VA_613  </w:t>
      </w:r>
      <w:r>
        <w:rPr>
          <w:rStyle w:val="htmlcodes"/>
        </w:rPr>
        <w:t>&lt;/a&gt;</w:t>
      </w:r>
    </w:p>
    <w:p w:rsidR="00B72047" w:rsidRDefault="00B72047">
      <w:pPr>
        <w:pStyle w:val="YACC"/>
      </w:pPr>
      <w:r>
        <w:tab/>
        <w:t>|</w:t>
      </w:r>
      <w:r>
        <w:tab/>
      </w:r>
      <w:r>
        <w:rPr>
          <w:rStyle w:val="htmlcodes"/>
        </w:rPr>
        <w:t>&lt;a href=#y613&gt;</w:t>
      </w:r>
      <w:r>
        <w:t xml:space="preserve">VA_613  </w:t>
      </w:r>
      <w:r>
        <w:rPr>
          <w:rStyle w:val="htmlcodes"/>
        </w:rPr>
        <w:t>&lt;/a&gt;&lt;a href=#y1043&gt;</w:t>
      </w:r>
      <w:r>
        <w:t xml:space="preserve">space_B_1043  </w:t>
      </w:r>
      <w:r>
        <w:rPr>
          <w:rStyle w:val="htmlcodes"/>
        </w:rPr>
        <w:t>&lt;/a&gt;</w:t>
      </w:r>
    </w:p>
    <w:p w:rsidR="00B72047" w:rsidRDefault="00B72047">
      <w:pPr>
        <w:pStyle w:val="YACC"/>
      </w:pPr>
      <w:r>
        <w:tab/>
        <w:t>|</w:t>
      </w:r>
      <w:r>
        <w:tab/>
      </w:r>
      <w:r>
        <w:rPr>
          <w:rStyle w:val="htmlcodes"/>
        </w:rPr>
        <w:t>&lt;a href=#y1043&gt;</w:t>
      </w:r>
      <w:r>
        <w:t xml:space="preserve">space_B_1043  </w:t>
      </w:r>
      <w:r>
        <w:rPr>
          <w:rStyle w:val="htmlcodes"/>
        </w:rPr>
        <w:t>&lt;/a&gt;</w:t>
      </w:r>
    </w:p>
    <w:p w:rsidR="00B72047" w:rsidRDefault="00B72047">
      <w:pPr>
        <w:pStyle w:val="YACC"/>
      </w:pPr>
      <w:r>
        <w:tab/>
        <w:t>;</w:t>
      </w:r>
    </w:p>
    <w:p w:rsidR="00B72047" w:rsidRDefault="00B72047">
      <w:pPr>
        <w:pStyle w:val="YACCtoken"/>
      </w:pPr>
      <w:r>
        <w:rPr>
          <w:rStyle w:val="htmlcodes"/>
        </w:rPr>
        <w:t>&lt;a name=y1043&gt;</w:t>
      </w:r>
      <w:r>
        <w:t xml:space="preserve">space_B_1043  </w:t>
      </w:r>
      <w:r>
        <w:rPr>
          <w:rStyle w:val="htmlcodes"/>
        </w:rPr>
        <w:t>&lt;/a&gt;</w:t>
      </w:r>
      <w:r>
        <w:tab/>
        <w:t>:</w:t>
      </w:r>
      <w:r>
        <w:tab/>
      </w:r>
      <w:r>
        <w:rPr>
          <w:rStyle w:val="htmlcodes"/>
        </w:rPr>
        <w:t>&lt;a href=#y1044&gt;</w:t>
      </w:r>
      <w:r>
        <w:t xml:space="preserve">space_C_1044  </w:t>
      </w:r>
      <w:r>
        <w:rPr>
          <w:rStyle w:val="htmlcodes"/>
        </w:rPr>
        <w:t>&lt;/a&gt;</w:t>
      </w:r>
    </w:p>
    <w:p w:rsidR="00B72047" w:rsidRDefault="00B72047">
      <w:pPr>
        <w:pStyle w:val="YACC"/>
      </w:pPr>
      <w:r>
        <w:tab/>
        <w:t>|</w:t>
      </w:r>
      <w:r>
        <w:tab/>
      </w:r>
      <w:r>
        <w:rPr>
          <w:rStyle w:val="htmlcodes"/>
        </w:rPr>
        <w:t>&lt;a href=#y1046&gt;</w:t>
      </w:r>
      <w:r>
        <w:t xml:space="preserve">space_intval_1046  </w:t>
      </w:r>
      <w:r>
        <w:rPr>
          <w:rStyle w:val="htmlcodes"/>
        </w:rPr>
        <w:t>&lt;/a&gt;</w:t>
      </w:r>
    </w:p>
    <w:p w:rsidR="00B72047" w:rsidRDefault="00B72047">
      <w:pPr>
        <w:pStyle w:val="YACC"/>
      </w:pPr>
      <w:r>
        <w:tab/>
        <w:t>|</w:t>
      </w:r>
      <w:r>
        <w:tab/>
      </w:r>
      <w:r>
        <w:rPr>
          <w:rStyle w:val="htmlcodes"/>
        </w:rPr>
        <w:t>&lt;a href=#y1044&gt;</w:t>
      </w:r>
      <w:r>
        <w:t xml:space="preserve">space_C_1044  </w:t>
      </w:r>
      <w:r>
        <w:rPr>
          <w:rStyle w:val="htmlcodes"/>
        </w:rPr>
        <w:t>&lt;/a&gt;&lt;a href=#y1046&gt;</w:t>
      </w:r>
      <w:r>
        <w:t xml:space="preserve">space_intval_1046  </w:t>
      </w:r>
      <w:r>
        <w:rPr>
          <w:rStyle w:val="htmlcodes"/>
        </w:rPr>
        <w:t>&lt;/a&gt;</w:t>
      </w:r>
    </w:p>
    <w:p w:rsidR="00B72047" w:rsidRDefault="00B72047">
      <w:pPr>
        <w:pStyle w:val="YACC"/>
      </w:pPr>
      <w:r>
        <w:tab/>
        <w:t>;</w:t>
      </w:r>
    </w:p>
    <w:p w:rsidR="00B72047" w:rsidRDefault="00B72047">
      <w:pPr>
        <w:pStyle w:val="YACCtoken"/>
      </w:pPr>
      <w:r>
        <w:rPr>
          <w:rStyle w:val="htmlcodes"/>
        </w:rPr>
        <w:t>&lt;a name=y1044&gt;</w:t>
      </w:r>
      <w:r>
        <w:t xml:space="preserve">space_C_1044  </w:t>
      </w:r>
      <w:r>
        <w:rPr>
          <w:rStyle w:val="htmlcodes"/>
        </w:rPr>
        <w:t>&lt;/a&gt;</w:t>
      </w:r>
      <w:r>
        <w:tab/>
        <w:t>:</w:t>
      </w:r>
      <w:r>
        <w:tab/>
      </w:r>
      <w:r>
        <w:rPr>
          <w:rStyle w:val="htmlcodes"/>
        </w:rPr>
        <w:t>&lt;a href=#y1045&gt;</w:t>
      </w:r>
      <w:r>
        <w:t xml:space="preserve">space_offset_1045  </w:t>
      </w:r>
      <w:r>
        <w:rPr>
          <w:rStyle w:val="htmlcodes"/>
        </w:rPr>
        <w:t>&lt;/a&gt;</w:t>
      </w:r>
    </w:p>
    <w:p w:rsidR="00B72047" w:rsidRDefault="00B72047">
      <w:pPr>
        <w:pStyle w:val="YACC"/>
      </w:pPr>
      <w:r>
        <w:tab/>
        <w:t>|</w:t>
      </w:r>
      <w:r>
        <w:tab/>
      </w:r>
      <w:r>
        <w:rPr>
          <w:rStyle w:val="htmlcodes"/>
        </w:rPr>
        <w:t>&lt;a href=#y1044&gt;</w:t>
      </w:r>
      <w:r>
        <w:t xml:space="preserve">space_C_1044  </w:t>
      </w:r>
      <w:r>
        <w:rPr>
          <w:rStyle w:val="htmlcodes"/>
        </w:rPr>
        <w:t>&lt;/a&gt;&lt;a href=#y1045&gt;</w:t>
      </w:r>
      <w:r>
        <w:t xml:space="preserve">space_offset_1045  </w:t>
      </w:r>
      <w:r>
        <w:rPr>
          <w:rStyle w:val="htmlcodes"/>
        </w:rPr>
        <w:t>&lt;/a&gt;</w:t>
      </w:r>
    </w:p>
    <w:p w:rsidR="00B72047" w:rsidRDefault="00B72047">
      <w:pPr>
        <w:pStyle w:val="YACC"/>
      </w:pPr>
      <w:r>
        <w:tab/>
        <w:t>;</w:t>
      </w:r>
    </w:p>
    <w:p w:rsidR="00B72047" w:rsidRDefault="00B72047">
      <w:pPr>
        <w:pStyle w:val="YACCtoken"/>
      </w:pPr>
      <w:r>
        <w:rPr>
          <w:rStyle w:val="htmlcodes"/>
        </w:rPr>
        <w:t>&lt;a name=y1045&gt;</w:t>
      </w:r>
      <w:r>
        <w:t>space_offset_1045</w:t>
      </w:r>
      <w:r>
        <w:tab/>
      </w:r>
      <w:r>
        <w:rPr>
          <w:rStyle w:val="htmlcodes"/>
        </w:rPr>
        <w:t>&lt;/a&gt;</w:t>
      </w:r>
      <w:r>
        <w:t>:</w:t>
      </w:r>
      <w:r>
        <w:tab/>
      </w:r>
      <w:r>
        <w:rPr>
          <w:rStyle w:val="htmlcodes"/>
        </w:rPr>
        <w:t>&lt;a href=#y1048&gt;</w:t>
      </w:r>
      <w:r>
        <w:t xml:space="preserve">space_direction_1048  </w:t>
      </w:r>
      <w:r>
        <w:rPr>
          <w:rStyle w:val="htmlcodes"/>
        </w:rPr>
        <w:t>&lt;/a&gt;</w:t>
      </w:r>
    </w:p>
    <w:p w:rsidR="00B72047" w:rsidRDefault="00B72047">
      <w:pPr>
        <w:pStyle w:val="YACC"/>
      </w:pPr>
      <w:r>
        <w:tab/>
        <w:t>|</w:t>
      </w:r>
      <w:r>
        <w:tab/>
      </w:r>
      <w:r>
        <w:rPr>
          <w:rStyle w:val="htmlcodes"/>
        </w:rPr>
        <w:t>&lt;a href=#y1048&gt;</w:t>
      </w:r>
      <w:r>
        <w:t xml:space="preserve">space_direction_1048  </w:t>
      </w:r>
      <w:r>
        <w:rPr>
          <w:rStyle w:val="htmlcodes"/>
        </w:rPr>
        <w:t>&lt;/a&gt;&lt;a href=#y613&gt;</w:t>
      </w:r>
      <w:r>
        <w:t xml:space="preserve">VA_613  </w:t>
      </w:r>
      <w:r>
        <w:rPr>
          <w:rStyle w:val="htmlcodes"/>
        </w:rPr>
        <w:t>&lt;/a&gt;</w:t>
      </w:r>
    </w:p>
    <w:p w:rsidR="00B72047" w:rsidRDefault="00B72047">
      <w:pPr>
        <w:pStyle w:val="YACC"/>
      </w:pPr>
      <w:r>
        <w:tab/>
        <w:t>;</w:t>
      </w:r>
    </w:p>
    <w:p w:rsidR="00B72047" w:rsidRDefault="00B72047">
      <w:pPr>
        <w:pStyle w:val="YACCtoken"/>
      </w:pPr>
      <w:r>
        <w:rPr>
          <w:rStyle w:val="htmlcodes"/>
        </w:rPr>
        <w:t>&lt;a name=y1046&gt;</w:t>
      </w:r>
      <w:r>
        <w:t>space_intval_1046</w:t>
      </w:r>
      <w:r>
        <w:tab/>
      </w:r>
      <w:r>
        <w:rPr>
          <w:rStyle w:val="htmlcodes"/>
        </w:rPr>
        <w:t>&lt;/a&gt;</w:t>
      </w:r>
      <w:r>
        <w:t>:</w:t>
      </w:r>
      <w:r>
        <w:tab/>
      </w:r>
      <w:r>
        <w:rPr>
          <w:rStyle w:val="htmlcodes"/>
        </w:rPr>
        <w:t>&lt;a href=#y1047&gt;</w:t>
      </w:r>
      <w:r>
        <w:t xml:space="preserve">space_intval_A_1047  </w:t>
      </w:r>
      <w:r>
        <w:rPr>
          <w:rStyle w:val="htmlcodes"/>
        </w:rPr>
        <w:t>&lt;/a&gt;</w:t>
      </w:r>
    </w:p>
    <w:p w:rsidR="00B72047" w:rsidRDefault="00B72047">
      <w:pPr>
        <w:pStyle w:val="YACC"/>
      </w:pPr>
      <w:r>
        <w:tab/>
        <w:t>|</w:t>
      </w:r>
      <w:r>
        <w:tab/>
      </w:r>
      <w:r>
        <w:rPr>
          <w:rStyle w:val="htmlcodes"/>
        </w:rPr>
        <w:t>&lt;a href=#y1047&gt;</w:t>
      </w:r>
      <w:r>
        <w:t xml:space="preserve">space_intval_A_1047  </w:t>
      </w:r>
      <w:r>
        <w:rPr>
          <w:rStyle w:val="htmlcodes"/>
        </w:rPr>
        <w:t>&lt;/a&gt;&lt;a href=#y1048&gt;</w:t>
      </w:r>
      <w:r>
        <w:t xml:space="preserve">space_direction_1048  </w:t>
      </w:r>
      <w:r>
        <w:rPr>
          <w:rStyle w:val="htmlcodes"/>
        </w:rPr>
        <w:t>&lt;/a&gt;</w:t>
      </w:r>
    </w:p>
    <w:p w:rsidR="00B72047" w:rsidRDefault="00B72047">
      <w:pPr>
        <w:pStyle w:val="YACC"/>
      </w:pPr>
      <w:r>
        <w:tab/>
        <w:t>|</w:t>
      </w:r>
      <w:r>
        <w:tab/>
      </w:r>
      <w:r>
        <w:rPr>
          <w:rStyle w:val="htmlcodes"/>
        </w:rPr>
        <w:t>&lt;a href=#y1049&gt;</w:t>
      </w:r>
      <w:r>
        <w:t xml:space="preserve">space_int_props_1049  </w:t>
      </w:r>
      <w:r>
        <w:rPr>
          <w:rStyle w:val="htmlcodes"/>
        </w:rPr>
        <w:t>&lt;/a&gt;</w:t>
      </w:r>
    </w:p>
    <w:p w:rsidR="00B72047" w:rsidRDefault="00B72047">
      <w:pPr>
        <w:pStyle w:val="YACC"/>
      </w:pPr>
      <w:r>
        <w:tab/>
        <w:t>|</w:t>
      </w:r>
      <w:r>
        <w:tab/>
      </w:r>
      <w:r>
        <w:rPr>
          <w:rStyle w:val="htmlcodes"/>
        </w:rPr>
        <w:t>&lt;a href=#y1047&gt;</w:t>
      </w:r>
      <w:r>
        <w:t xml:space="preserve">space_intval_A_1047  </w:t>
      </w:r>
      <w:r>
        <w:rPr>
          <w:rStyle w:val="htmlcodes"/>
        </w:rPr>
        <w:t>&lt;/a&gt;&lt;a href=#y1049&gt;</w:t>
      </w:r>
      <w:r>
        <w:t xml:space="preserve">space_int_props_1049  </w:t>
      </w:r>
      <w:r>
        <w:rPr>
          <w:rStyle w:val="htmlcodes"/>
        </w:rPr>
        <w:t>&lt;/a&gt;</w:t>
      </w:r>
    </w:p>
    <w:p w:rsidR="00B72047" w:rsidRDefault="00B72047">
      <w:pPr>
        <w:pStyle w:val="YACC"/>
      </w:pPr>
      <w:r>
        <w:tab/>
        <w:t>|</w:t>
      </w:r>
      <w:r>
        <w:tab/>
      </w:r>
      <w:r>
        <w:rPr>
          <w:rStyle w:val="htmlcodes"/>
        </w:rPr>
        <w:t>&lt;a href=#y1047&gt;</w:t>
      </w:r>
      <w:r>
        <w:t xml:space="preserve">space_intval_A_1047  </w:t>
      </w:r>
      <w:r>
        <w:rPr>
          <w:rStyle w:val="htmlcodes"/>
        </w:rPr>
        <w:t>&lt;/a&gt;&lt;a href=#y1048&gt;</w:t>
      </w:r>
      <w:r>
        <w:t xml:space="preserve">space_direction_1048  </w:t>
      </w:r>
      <w:r>
        <w:rPr>
          <w:rStyle w:val="htmlcodes"/>
        </w:rPr>
        <w:t>&lt;/a&gt;&lt;a href=#y1049&gt;</w:t>
      </w:r>
      <w:r>
        <w:t xml:space="preserve">space_int_props_1049  </w:t>
      </w:r>
      <w:r>
        <w:rPr>
          <w:rStyle w:val="htmlcodes"/>
        </w:rPr>
        <w:t>&lt;/a&gt;</w:t>
      </w:r>
    </w:p>
    <w:p w:rsidR="00B72047" w:rsidRDefault="00B72047">
      <w:pPr>
        <w:pStyle w:val="YACC"/>
      </w:pPr>
      <w:r>
        <w:tab/>
        <w:t>;</w:t>
      </w:r>
    </w:p>
    <w:p w:rsidR="00B72047" w:rsidRDefault="00B72047">
      <w:pPr>
        <w:pStyle w:val="YACCtoken"/>
      </w:pPr>
      <w:r>
        <w:rPr>
          <w:rStyle w:val="htmlcodes"/>
        </w:rPr>
        <w:t>&lt;a name=y1047&gt;</w:t>
      </w:r>
      <w:r>
        <w:t>space_intval_A_1047</w:t>
      </w:r>
      <w:r>
        <w:tab/>
      </w:r>
      <w:r>
        <w:rPr>
          <w:rStyle w:val="htmlcodes"/>
        </w:rPr>
        <w:t>&lt;/a&gt;</w:t>
      </w:r>
      <w:r>
        <w:t>:</w:t>
      </w:r>
      <w:r>
        <w:tab/>
      </w:r>
      <w:r>
        <w:rPr>
          <w:rStyle w:val="htmlcodes"/>
        </w:rPr>
        <w:t>&lt;a href=#y615&gt;</w:t>
      </w:r>
      <w:r>
        <w:t xml:space="preserve">VEhA_615  </w:t>
      </w:r>
      <w:r>
        <w:rPr>
          <w:rStyle w:val="htmlcodes"/>
        </w:rPr>
        <w:t>&lt;/a&gt;</w:t>
      </w:r>
    </w:p>
    <w:p w:rsidR="00B72047" w:rsidRDefault="00B72047">
      <w:pPr>
        <w:pStyle w:val="YACC"/>
      </w:pPr>
      <w:r>
        <w:tab/>
        <w:t>|</w:t>
      </w:r>
      <w:r>
        <w:tab/>
      </w:r>
      <w:r>
        <w:rPr>
          <w:rStyle w:val="htmlcodes"/>
        </w:rPr>
        <w:t>&lt;a href=#y616&gt;</w:t>
      </w:r>
      <w:r>
        <w:t xml:space="preserve">VIhA_616  </w:t>
      </w:r>
      <w:r>
        <w:rPr>
          <w:rStyle w:val="htmlcodes"/>
        </w:rPr>
        <w:t>&lt;/a&gt;</w:t>
      </w:r>
    </w:p>
    <w:p w:rsidR="00B72047" w:rsidRDefault="00B72047">
      <w:pPr>
        <w:pStyle w:val="YACC"/>
      </w:pPr>
      <w:r>
        <w:tab/>
        <w:t>|</w:t>
      </w:r>
      <w:r>
        <w:tab/>
      </w:r>
      <w:r>
        <w:rPr>
          <w:rStyle w:val="htmlcodes"/>
        </w:rPr>
        <w:t>&lt;a href=#y615&gt;</w:t>
      </w:r>
      <w:r>
        <w:t xml:space="preserve">VEhA_615  </w:t>
      </w:r>
      <w:r>
        <w:rPr>
          <w:rStyle w:val="htmlcodes"/>
        </w:rPr>
        <w:t>&lt;/a&gt;&lt;a href=#y616&gt;</w:t>
      </w:r>
      <w:r>
        <w:t xml:space="preserve">VIhA_616  </w:t>
      </w:r>
      <w:r>
        <w:rPr>
          <w:rStyle w:val="htmlcodes"/>
        </w:rPr>
        <w:t>&lt;/a&gt;</w:t>
      </w:r>
    </w:p>
    <w:p w:rsidR="00B72047" w:rsidRDefault="00B72047">
      <w:pPr>
        <w:pStyle w:val="YACC"/>
      </w:pPr>
      <w:r>
        <w:tab/>
        <w:t>;</w:t>
      </w:r>
    </w:p>
    <w:p w:rsidR="00B72047" w:rsidRDefault="00B72047">
      <w:pPr>
        <w:pStyle w:val="YACCtoken"/>
      </w:pPr>
      <w:r>
        <w:rPr>
          <w:rStyle w:val="htmlcodes"/>
        </w:rPr>
        <w:t>&lt;a name=y1048&gt;</w:t>
      </w:r>
      <w:r>
        <w:t>space_direction_1048</w:t>
      </w:r>
      <w:r>
        <w:tab/>
      </w:r>
      <w:r>
        <w:rPr>
          <w:rStyle w:val="htmlcodes"/>
        </w:rPr>
        <w:t>&lt;/a&gt;</w:t>
      </w:r>
      <w:r>
        <w:t>:</w:t>
      </w:r>
      <w:r>
        <w:tab/>
      </w:r>
      <w:r>
        <w:rPr>
          <w:rStyle w:val="htmlcodes"/>
        </w:rPr>
        <w:t>&lt;a href=#y528&gt;</w:t>
      </w:r>
      <w:r>
        <w:t xml:space="preserve">FAhA_528  </w:t>
      </w:r>
      <w:r>
        <w:rPr>
          <w:rStyle w:val="htmlcodes"/>
        </w:rPr>
        <w:t>&lt;/a&gt;</w:t>
      </w:r>
    </w:p>
    <w:p w:rsidR="00B72047" w:rsidRDefault="00B72047">
      <w:pPr>
        <w:pStyle w:val="YACC"/>
      </w:pPr>
      <w:r>
        <w:tab/>
        <w:t>|</w:t>
      </w:r>
      <w:r>
        <w:tab/>
      </w:r>
      <w:r>
        <w:rPr>
          <w:rStyle w:val="htmlcodes"/>
        </w:rPr>
        <w:t>&lt;a href=#y528&gt;</w:t>
      </w:r>
      <w:r>
        <w:t xml:space="preserve">FAhA_528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name=y1049&gt;</w:t>
      </w:r>
      <w:r>
        <w:t>space_int_props_1049</w:t>
      </w:r>
      <w:r>
        <w:tab/>
      </w:r>
      <w:r>
        <w:rPr>
          <w:rStyle w:val="htmlcodes"/>
        </w:rPr>
        <w:t>&lt;/a&gt;</w:t>
      </w:r>
      <w:r>
        <w:t>:</w:t>
      </w:r>
      <w:r>
        <w:tab/>
      </w:r>
      <w:r>
        <w:rPr>
          <w:rStyle w:val="htmlcodes"/>
        </w:rPr>
        <w:t>&lt;a href=#y1050&gt;</w:t>
      </w:r>
      <w:r>
        <w:t xml:space="preserve">space_int_props_A_1050  </w:t>
      </w:r>
      <w:r>
        <w:rPr>
          <w:rStyle w:val="htmlcodes"/>
        </w:rPr>
        <w:t>&lt;/a&gt;</w:t>
      </w:r>
    </w:p>
    <w:p w:rsidR="00B72047" w:rsidRDefault="00B72047">
      <w:pPr>
        <w:pStyle w:val="YACC"/>
      </w:pPr>
      <w:r>
        <w:tab/>
        <w:t>|</w:t>
      </w:r>
      <w:r>
        <w:tab/>
      </w:r>
      <w:r>
        <w:rPr>
          <w:rStyle w:val="htmlcodes"/>
        </w:rPr>
        <w:t>&lt;a href=#y1049&gt;</w:t>
      </w:r>
      <w:r>
        <w:t xml:space="preserve">space_int_props_1049  </w:t>
      </w:r>
      <w:r>
        <w:rPr>
          <w:rStyle w:val="htmlcodes"/>
        </w:rPr>
        <w:t>&lt;/a&gt;&lt;a href=#y1050&gt;</w:t>
      </w:r>
      <w:r>
        <w:t xml:space="preserve">space_int_props_A_1050   </w:t>
      </w:r>
      <w:r>
        <w:rPr>
          <w:rStyle w:val="htmlcodes"/>
        </w:rPr>
        <w:t>&lt;/a&gt;</w:t>
      </w:r>
    </w:p>
    <w:p w:rsidR="00B72047" w:rsidRDefault="00B72047">
      <w:pPr>
        <w:pStyle w:val="YACC"/>
      </w:pPr>
      <w:r>
        <w:tab/>
        <w:t>;</w:t>
      </w:r>
    </w:p>
    <w:p w:rsidR="00B72047" w:rsidRDefault="00B72047">
      <w:pPr>
        <w:pStyle w:val="YACCtoken"/>
      </w:pPr>
      <w:r>
        <w:rPr>
          <w:rStyle w:val="htmlcodes"/>
        </w:rPr>
        <w:t>&lt;a name=y1050&gt;</w:t>
      </w:r>
      <w:r>
        <w:t>space_int_props_A_1050</w:t>
      </w:r>
      <w:r>
        <w:tab/>
      </w:r>
      <w:r>
        <w:rPr>
          <w:rStyle w:val="htmlcodes"/>
        </w:rPr>
        <w:t>&lt;/a&gt;</w:t>
      </w:r>
      <w:r>
        <w:t>:</w:t>
      </w:r>
      <w:r>
        <w:tab/>
      </w:r>
      <w:r>
        <w:rPr>
          <w:rStyle w:val="htmlcodes"/>
        </w:rPr>
        <w:t>&lt;a href=#y530&gt;</w:t>
      </w:r>
      <w:r>
        <w:t xml:space="preserve">FEhE_530  </w:t>
      </w:r>
      <w:r>
        <w:rPr>
          <w:rStyle w:val="htmlcodes"/>
        </w:rPr>
        <w:t>&lt;/a&gt;&lt;a href=#y1051&gt;</w:t>
      </w:r>
      <w:r>
        <w:t xml:space="preserve">interval_property_1051  </w:t>
      </w:r>
      <w:r>
        <w:rPr>
          <w:rStyle w:val="htmlcodes"/>
        </w:rPr>
        <w:t>&lt;/a&gt;</w:t>
      </w:r>
    </w:p>
    <w:p w:rsidR="00B72047" w:rsidRDefault="00B72047">
      <w:pPr>
        <w:pStyle w:val="YACC"/>
      </w:pPr>
      <w:r>
        <w:tab/>
        <w:t>;</w:t>
      </w:r>
    </w:p>
    <w:p w:rsidR="00B72047" w:rsidRDefault="00B72047">
      <w:pPr>
        <w:pStyle w:val="YACCcomment"/>
        <w:spacing w:before="40"/>
      </w:pPr>
      <w:r>
        <w:t>/* This terminal gives an interval size in space</w:t>
      </w:r>
      <w:r>
        <w:noBreakHyphen/>
        <w:t>time (VEhA), and possibly a dimensionality of the interval. The dimensionality may also be used with the interval size left unspecified. When this terminal is used for the spacetime or</w:t>
      </w:r>
      <w:r>
        <w:t>i</w:t>
      </w:r>
      <w:r>
        <w:softHyphen/>
        <w:t>gin, then barring any overriding VIhA, a VIhA here defines the dimen</w:t>
      </w:r>
      <w:r>
        <w:softHyphen/>
        <w:t>sionality of the space</w:t>
      </w:r>
      <w:r>
        <w:noBreakHyphen/>
        <w:t>time being discussed. */</w:t>
      </w:r>
    </w:p>
    <w:p w:rsidR="00B72047" w:rsidRDefault="00B72047">
      <w:pPr>
        <w:pStyle w:val="YACCtoken"/>
      </w:pPr>
      <w:r>
        <w:rPr>
          <w:rStyle w:val="htmlcodes"/>
        </w:rPr>
        <w:t>&lt;a name=y1051&gt;</w:t>
      </w:r>
      <w:r>
        <w:t>interval_property_1051</w:t>
      </w:r>
      <w:r>
        <w:tab/>
      </w:r>
      <w:r>
        <w:rPr>
          <w:rStyle w:val="htmlcodes"/>
        </w:rPr>
        <w:t>&lt;/a&gt;</w:t>
      </w:r>
      <w:r>
        <w:t>:</w:t>
      </w:r>
      <w:r>
        <w:tab/>
      </w:r>
      <w:r>
        <w:rPr>
          <w:rStyle w:val="htmlcodes"/>
        </w:rPr>
        <w:t>&lt;a href=#y961&gt;</w:t>
      </w:r>
      <w:r>
        <w:t xml:space="preserve">number_root_961  </w:t>
      </w:r>
      <w:r>
        <w:rPr>
          <w:rStyle w:val="htmlcodes"/>
        </w:rPr>
        <w:t>&lt;/a&gt;&lt;a href=#y594&gt;</w:t>
      </w:r>
      <w:r>
        <w:t xml:space="preserve">ROI_594  </w:t>
      </w:r>
      <w:r>
        <w:rPr>
          <w:rStyle w:val="htmlcodes"/>
        </w:rPr>
        <w:t>&lt;/a&gt;</w:t>
      </w:r>
    </w:p>
    <w:p w:rsidR="00B72047" w:rsidRDefault="00B72047">
      <w:pPr>
        <w:pStyle w:val="YACC"/>
      </w:pPr>
      <w:r>
        <w:tab/>
        <w:t>|</w:t>
      </w:r>
      <w:r>
        <w:tab/>
      </w:r>
      <w:r>
        <w:rPr>
          <w:rStyle w:val="htmlcodes"/>
        </w:rPr>
        <w:t>&lt;a href=#y961&gt;</w:t>
      </w:r>
      <w:r>
        <w:t xml:space="preserve">number_root_961   </w:t>
      </w:r>
      <w:r>
        <w:rPr>
          <w:rStyle w:val="htmlcodes"/>
        </w:rPr>
        <w:t>&lt;/a&gt;&lt;a href=#y594&gt;</w:t>
      </w:r>
      <w:r>
        <w:t xml:space="preserve">ROI_594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href=#y604&gt;</w:t>
      </w:r>
      <w:r>
        <w:t xml:space="preserve">TAhE_604  </w:t>
      </w:r>
      <w:r>
        <w:rPr>
          <w:rStyle w:val="htmlcodes"/>
        </w:rPr>
        <w:t>&lt;/a&gt;</w:t>
      </w:r>
    </w:p>
    <w:p w:rsidR="00B72047" w:rsidRDefault="00B72047">
      <w:pPr>
        <w:pStyle w:val="YACC"/>
      </w:pPr>
      <w:r>
        <w:tab/>
        <w:t>|</w:t>
      </w:r>
      <w:r>
        <w:tab/>
      </w:r>
      <w:r>
        <w:rPr>
          <w:rStyle w:val="htmlcodes"/>
        </w:rPr>
        <w:t>&lt;a href=#y604&gt;</w:t>
      </w:r>
      <w:r>
        <w:t xml:space="preserve">TAhE_604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href=#y621&gt;</w:t>
      </w:r>
      <w:r>
        <w:t xml:space="preserve">ZAhO_621   </w:t>
      </w:r>
      <w:r>
        <w:rPr>
          <w:rStyle w:val="htmlcodes"/>
        </w:rPr>
        <w:t>&lt;/a&gt;</w:t>
      </w:r>
    </w:p>
    <w:p w:rsidR="00B72047" w:rsidRDefault="00B72047">
      <w:pPr>
        <w:pStyle w:val="YACC"/>
      </w:pPr>
      <w:r>
        <w:tab/>
        <w:t>|</w:t>
      </w:r>
      <w:r>
        <w:tab/>
      </w:r>
      <w:r>
        <w:rPr>
          <w:rStyle w:val="htmlcodes"/>
        </w:rPr>
        <w:t>&lt;a href=#y621&gt;</w:t>
      </w:r>
      <w:r>
        <w:t xml:space="preserve">ZAhO_621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comment"/>
      </w:pPr>
      <w:r>
        <w:t>/* extensional/intensional interval parameters */</w:t>
      </w:r>
    </w:p>
    <w:p w:rsidR="00B72047" w:rsidRDefault="00B72047">
      <w:pPr>
        <w:pStyle w:val="YACCcommentcont"/>
      </w:pPr>
      <w:r>
        <w:rPr>
          <w:rStyle w:val="deletedparamark"/>
          <w:sz w:val="16"/>
          <w:szCs w:val="16"/>
        </w:rPr>
        <w:t>/*</w:t>
      </w:r>
      <w:r>
        <w:t xml:space="preserve"> These may be appended to any defined interval, or may stand in place of e</w:t>
      </w:r>
      <w:r>
        <w:t>i</w:t>
      </w:r>
      <w:r>
        <w:softHyphen/>
        <w:t>ther time or space tenses. If no other tense is present, this terminal stands for the time</w:t>
      </w:r>
      <w:r>
        <w:noBreakHyphen/>
        <w:t>space interval parameter with an unspecified interval.*/</w:t>
      </w:r>
    </w:p>
    <w:p w:rsidR="00B72047" w:rsidRDefault="00B72047">
      <w:pPr>
        <w:pStyle w:val="YACCcommentcont"/>
      </w:pPr>
      <w:r>
        <w:t>/* roroi = always and everywhere */</w:t>
      </w:r>
    </w:p>
    <w:p w:rsidR="00B72047" w:rsidRDefault="00B72047">
      <w:pPr>
        <w:pStyle w:val="YACCcommentcont"/>
      </w:pPr>
      <w:r>
        <w:t>/* roroiku'avi = always here (ku'a = intersection) */</w:t>
      </w:r>
    </w:p>
    <w:p w:rsidR="00B72047" w:rsidRDefault="00B72047">
      <w:pPr>
        <w:pStyle w:val="YACCcommentcont"/>
      </w:pPr>
      <w:r>
        <w:t>/* puroroi = always in the past</w:t>
      </w:r>
    </w:p>
    <w:p w:rsidR="00B72047" w:rsidRDefault="00B72047">
      <w:pPr>
        <w:pStyle w:val="YACCcommentcont"/>
      </w:pPr>
      <w:r>
        <w:t>/* paroi = once upon a time (somewhere) */</w:t>
      </w:r>
    </w:p>
    <w:p w:rsidR="00B72047" w:rsidRDefault="00B72047">
      <w:pPr>
        <w:pStyle w:val="YACCcommentcont"/>
      </w:pPr>
      <w:r>
        <w:t>/* paroiku'avi = once upon a time here */</w:t>
      </w:r>
    </w:p>
    <w:p w:rsidR="00B72047" w:rsidRDefault="00B72047">
      <w:pPr>
        <w:pStyle w:val="YACC"/>
      </w:pPr>
    </w:p>
    <w:p w:rsidR="00B72047" w:rsidRDefault="00B72047">
      <w:pPr>
        <w:pStyle w:val="YACC"/>
      </w:pPr>
    </w:p>
    <w:p w:rsidR="00B72047" w:rsidRDefault="00B72047">
      <w:pPr>
        <w:pStyle w:val="YACCcomment"/>
        <w:spacing w:before="0"/>
      </w:pPr>
      <w:r>
        <w:rPr>
          <w:rStyle w:val="deletedparamark"/>
          <w:sz w:val="16"/>
          <w:szCs w:val="16"/>
        </w:rPr>
        <w:br w:type="page"/>
        <w:t>/*</w:t>
      </w:r>
      <w:r>
        <w:t xml:space="preserve"> The following are “Lexer</w:t>
      </w:r>
      <w:r>
        <w:noBreakHyphen/>
        <w:t>only rules”, covered by steps 1</w:t>
      </w:r>
      <w:r>
        <w:noBreakHyphen/>
        <w:t>4  described at the beginning. The grammar of these constructs is nonexistent, except possi</w:t>
      </w:r>
      <w:r>
        <w:softHyphen/>
        <w:t>bly in cases where they interact with each other. Even there, however, the ef</w:t>
      </w:r>
      <w:r>
        <w:softHyphen/>
        <w:t>fects are semantic rather than grammatical. Where it is believed possible that conflicts could exist, the grammar of these constructs has been put in the above gra</w:t>
      </w:r>
      <w:r>
        <w:t>m</w:t>
      </w:r>
      <w:r>
        <w:softHyphen/>
        <w:t>mar, even though the lexer/Preparser will actually prevent these from being passed thru to the parse routine. (Otherwise we have to put unac</w:t>
      </w:r>
      <w:r>
        <w:softHyphen/>
        <w:t>ceptably fancy code in the PreParser to determine just when these can be passed thru, and when they can't.)</w:t>
      </w:r>
    </w:p>
    <w:p w:rsidR="00B72047" w:rsidRDefault="00B72047">
      <w:pPr>
        <w:pStyle w:val="YACCcomment"/>
      </w:pPr>
      <w:r>
        <w:t>Constructs in this category include quotes and indicators as defined above. (The above grammar handles utterance scope (free_modifier) and clause scope (gap) applications of the latter, however, and indicators should be al</w:t>
      </w:r>
      <w:r>
        <w:softHyphen/>
        <w:t>lowed to be absorbed into almost any word without changing its grammar.</w:t>
      </w:r>
    </w:p>
    <w:p w:rsidR="00B72047" w:rsidRDefault="00B72047">
      <w:pPr>
        <w:pStyle w:val="YACCcomment"/>
      </w:pPr>
      <w:r>
        <w:rPr>
          <w:rStyle w:val="htmlcodes"/>
        </w:rPr>
        <w:t>&lt;a href=#y601&gt;</w:t>
      </w:r>
      <w:r>
        <w:t xml:space="preserve">SI_601   </w:t>
      </w:r>
      <w:r>
        <w:rPr>
          <w:rStyle w:val="htmlcodes"/>
        </w:rPr>
        <w:t>&lt;/a&gt;</w:t>
      </w:r>
      <w:r>
        <w:t xml:space="preserve">, </w:t>
      </w:r>
      <w:r>
        <w:rPr>
          <w:rStyle w:val="htmlcodes"/>
        </w:rPr>
        <w:t>&lt;a href=#y595&gt;</w:t>
      </w:r>
      <w:r>
        <w:t xml:space="preserve">SA_595  </w:t>
      </w:r>
      <w:r>
        <w:rPr>
          <w:rStyle w:val="htmlcodes"/>
        </w:rPr>
        <w:t>&lt;/a&gt;</w:t>
      </w:r>
      <w:r>
        <w:t xml:space="preserve">, and </w:t>
      </w:r>
      <w:r>
        <w:rPr>
          <w:rStyle w:val="htmlcodes"/>
        </w:rPr>
        <w:t>&lt;a href=#y603&gt;</w:t>
      </w:r>
      <w:r>
        <w:t xml:space="preserve">SU_603  </w:t>
      </w:r>
      <w:r>
        <w:rPr>
          <w:rStyle w:val="htmlcodes"/>
        </w:rPr>
        <w:t>&lt;/a&gt;</w:t>
      </w:r>
      <w:r>
        <w:t>are metalinguistic erasers.</w:t>
      </w:r>
    </w:p>
    <w:p w:rsidR="00B72047" w:rsidRDefault="00B72047">
      <w:pPr>
        <w:pStyle w:val="YACC"/>
      </w:pPr>
    </w:p>
    <w:p w:rsidR="00B72047" w:rsidRDefault="00B72047">
      <w:pPr>
        <w:pStyle w:val="YACCtoken"/>
      </w:pPr>
      <w:r>
        <w:rPr>
          <w:rStyle w:val="htmlcodes"/>
        </w:rPr>
        <w:t>&lt;a name=y1100&gt;</w:t>
      </w:r>
      <w:r>
        <w:t xml:space="preserve">token_1100  </w:t>
      </w:r>
      <w:r>
        <w:rPr>
          <w:rStyle w:val="htmlcodes"/>
        </w:rPr>
        <w:t>&lt;/a&gt;</w:t>
      </w:r>
      <w:r>
        <w:tab/>
        <w:t>:</w:t>
      </w:r>
      <w:r>
        <w:tab/>
      </w:r>
      <w:r>
        <w:rPr>
          <w:rStyle w:val="htmlcodes"/>
        </w:rPr>
        <w:t>&lt;a href=#y698&gt;</w:t>
      </w:r>
      <w:r>
        <w:t xml:space="preserve">any_word_698  </w:t>
      </w:r>
      <w:r>
        <w:rPr>
          <w:rStyle w:val="htmlcodes"/>
        </w:rPr>
        <w:t>&lt;/a&gt;</w:t>
      </w:r>
    </w:p>
    <w:p w:rsidR="00B72047" w:rsidRDefault="00B72047">
      <w:pPr>
        <w:pStyle w:val="YACC"/>
      </w:pPr>
      <w:r>
        <w:tab/>
        <w:t>|</w:t>
      </w:r>
      <w:r>
        <w:tab/>
      </w:r>
      <w:r>
        <w:rPr>
          <w:rStyle w:val="htmlcodes"/>
        </w:rPr>
        <w:t>&lt;a href=#y503&gt;</w:t>
      </w:r>
      <w:r>
        <w:t xml:space="preserve">BAhE_503  </w:t>
      </w:r>
      <w:r>
        <w:rPr>
          <w:rStyle w:val="htmlcodes"/>
        </w:rPr>
        <w:t>&lt;/a&gt;&lt;a href=#y698&gt;</w:t>
      </w:r>
      <w:r>
        <w:t xml:space="preserve">any_word_698  </w:t>
      </w:r>
      <w:r>
        <w:rPr>
          <w:rStyle w:val="htmlcodes"/>
        </w:rPr>
        <w:t>&lt;/a&gt;</w:t>
      </w:r>
    </w:p>
    <w:p w:rsidR="00B72047" w:rsidRDefault="00B72047">
      <w:pPr>
        <w:pStyle w:val="YACC"/>
      </w:pPr>
      <w:r>
        <w:tab/>
        <w:t>|</w:t>
      </w:r>
      <w:r>
        <w:tab/>
      </w:r>
      <w:r>
        <w:rPr>
          <w:rStyle w:val="htmlcodes"/>
        </w:rPr>
        <w:t>&lt;a href=#y699&gt;</w:t>
      </w:r>
      <w:r>
        <w:t xml:space="preserve">anything_699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href=#y511&gt;</w:t>
      </w:r>
      <w:r>
        <w:t xml:space="preserve">BU_511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href=#y524&gt;</w:t>
      </w:r>
      <w:r>
        <w:t xml:space="preserve">DAhO_524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href=#y536&gt;</w:t>
      </w:r>
      <w:r>
        <w:t xml:space="preserve">FUhO_536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href=#y535&gt;</w:t>
      </w:r>
      <w:r>
        <w:t xml:space="preserve">FUhE_535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href=#y612&gt;</w:t>
      </w:r>
      <w:r>
        <w:t xml:space="preserve">UI_612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href=#y612&gt;</w:t>
      </w:r>
      <w:r>
        <w:t xml:space="preserve">UI_612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href=#y619&gt;</w:t>
      </w:r>
      <w:r>
        <w:t xml:space="preserve">Y_619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href=#y515&gt;</w:t>
      </w:r>
      <w:r>
        <w:t xml:space="preserve">CAI_515  </w:t>
      </w:r>
      <w:r>
        <w:rPr>
          <w:rStyle w:val="htmlcodes"/>
        </w:rPr>
        <w:t>&lt;/a&gt;</w:t>
      </w:r>
    </w:p>
    <w:p w:rsidR="00B72047" w:rsidRDefault="00B72047">
      <w:pPr>
        <w:pStyle w:val="YACC"/>
      </w:pPr>
      <w:r>
        <w:tab/>
        <w:t>|</w:t>
      </w:r>
      <w:r>
        <w:tab/>
      </w:r>
      <w:r>
        <w:rPr>
          <w:rStyle w:val="htmlcodes"/>
        </w:rPr>
        <w:t>&lt;a href=#y698&gt;</w:t>
      </w:r>
      <w:r>
        <w:t xml:space="preserve">any_word_698  </w:t>
      </w:r>
      <w:r>
        <w:rPr>
          <w:rStyle w:val="htmlcodes"/>
        </w:rPr>
        <w:t>&lt;/a&gt;&lt;a href=#y515&gt;</w:t>
      </w:r>
      <w:r>
        <w:t xml:space="preserve">CAI_515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href=#y612&gt;</w:t>
      </w:r>
      <w:r>
        <w:t xml:space="preserve">UI_612   </w:t>
      </w:r>
      <w:r>
        <w:rPr>
          <w:rStyle w:val="htmlcodes"/>
        </w:rPr>
        <w:t>&lt;/a&gt;&lt;a href=#y581&gt;</w:t>
      </w:r>
      <w:r>
        <w:t xml:space="preserve">NAI_581   </w:t>
      </w:r>
      <w:r>
        <w:rPr>
          <w:rStyle w:val="htmlcodes"/>
        </w:rPr>
        <w:t>&lt;/a&gt;</w:t>
      </w:r>
    </w:p>
    <w:p w:rsidR="00B72047" w:rsidRDefault="00B72047">
      <w:pPr>
        <w:pStyle w:val="YACC"/>
      </w:pPr>
      <w:r>
        <w:tab/>
        <w:t>|</w:t>
      </w:r>
      <w:r>
        <w:tab/>
      </w:r>
      <w:r>
        <w:rPr>
          <w:rStyle w:val="htmlcodes"/>
        </w:rPr>
        <w:t>&lt;a href=#y515&gt;</w:t>
      </w:r>
      <w:r>
        <w:t xml:space="preserve">CAI_515  </w:t>
      </w:r>
      <w:r>
        <w:rPr>
          <w:rStyle w:val="htmlcodes"/>
        </w:rPr>
        <w:t>&lt;/a&gt;&lt;a href=#y581&gt;</w:t>
      </w:r>
      <w:r>
        <w:t xml:space="preserve">NAI_581   </w:t>
      </w:r>
      <w:r>
        <w:rPr>
          <w:rStyle w:val="htmlcodes"/>
        </w:rPr>
        <w:t>&lt;/a&gt;</w:t>
      </w:r>
    </w:p>
    <w:p w:rsidR="00B72047" w:rsidRDefault="00B72047">
      <w:pPr>
        <w:pStyle w:val="YACC"/>
      </w:pPr>
      <w:r>
        <w:tab/>
        <w:t>;</w:t>
      </w:r>
    </w:p>
    <w:p w:rsidR="00B72047" w:rsidRDefault="00B72047">
      <w:pPr>
        <w:pStyle w:val="YACCtoken"/>
      </w:pPr>
      <w:r>
        <w:rPr>
          <w:rStyle w:val="htmlcodes"/>
        </w:rPr>
        <w:t>&lt;a name=y1101&gt;</w:t>
      </w:r>
      <w:r>
        <w:t xml:space="preserve">null_1101  </w:t>
      </w:r>
      <w:r>
        <w:rPr>
          <w:rStyle w:val="htmlcodes"/>
        </w:rPr>
        <w:t>&lt;/a&gt;</w:t>
      </w:r>
      <w:r>
        <w:tab/>
        <w:t>:</w:t>
      </w:r>
      <w:r>
        <w:tab/>
      </w:r>
      <w:r>
        <w:rPr>
          <w:rStyle w:val="htmlcodes"/>
        </w:rPr>
        <w:t>&lt;a href=#y698&gt;</w:t>
      </w:r>
      <w:r>
        <w:t xml:space="preserve">any_word_698  </w:t>
      </w:r>
      <w:r>
        <w:rPr>
          <w:rStyle w:val="htmlcodes"/>
        </w:rPr>
        <w:t>&lt;/a&gt;&lt;a href=#y601&gt;</w:t>
      </w:r>
      <w:r>
        <w:t xml:space="preserve">SI_601  </w:t>
      </w:r>
      <w:r>
        <w:rPr>
          <w:rStyle w:val="htmlcodes"/>
        </w:rPr>
        <w:t>&lt;/a&gt;</w:t>
      </w:r>
    </w:p>
    <w:p w:rsidR="00B72047" w:rsidRDefault="00B72047">
      <w:pPr>
        <w:pStyle w:val="YACC"/>
      </w:pPr>
      <w:r>
        <w:tab/>
        <w:t>|</w:t>
      </w:r>
      <w:r>
        <w:tab/>
        <w:t xml:space="preserve">possibly_unlexable_word (PAUSE)   </w:t>
      </w:r>
      <w:r>
        <w:rPr>
          <w:rStyle w:val="htmlcodes"/>
        </w:rPr>
        <w:t>&lt;a href=#y601&gt;</w:t>
      </w:r>
      <w:r>
        <w:t xml:space="preserve">SI_601   </w:t>
      </w:r>
      <w:r>
        <w:rPr>
          <w:rStyle w:val="htmlcodes"/>
        </w:rPr>
        <w:t>&lt;/a&gt;</w:t>
      </w:r>
    </w:p>
    <w:p w:rsidR="00B72047" w:rsidRDefault="00B72047">
      <w:pPr>
        <w:pStyle w:val="YACC"/>
      </w:pPr>
      <w:r>
        <w:tab/>
        <w:t>|</w:t>
      </w:r>
      <w:r>
        <w:tab/>
      </w:r>
      <w:r>
        <w:rPr>
          <w:rStyle w:val="htmlcodes"/>
        </w:rPr>
        <w:t>&lt;a href=#y20&gt;</w:t>
      </w:r>
      <w:r>
        <w:t xml:space="preserve">utterance_20   </w:t>
      </w:r>
      <w:r>
        <w:rPr>
          <w:rStyle w:val="htmlcodes"/>
        </w:rPr>
        <w:t>&lt;/a&gt;&lt;a href=#y595&gt;</w:t>
      </w:r>
      <w:r>
        <w:t xml:space="preserve">SA_595  </w:t>
      </w:r>
      <w:r>
        <w:rPr>
          <w:rStyle w:val="htmlcodes"/>
        </w:rPr>
        <w:t>&lt;/a&gt;</w:t>
      </w:r>
    </w:p>
    <w:p w:rsidR="00B72047" w:rsidRDefault="00B72047">
      <w:pPr>
        <w:pStyle w:val="YACC"/>
      </w:pPr>
      <w:r>
        <w:tab/>
        <w:t>|</w:t>
      </w:r>
      <w:r>
        <w:tab/>
        <w:t xml:space="preserve">possibly unlexable string (PAUSE)   </w:t>
      </w:r>
      <w:r>
        <w:rPr>
          <w:rStyle w:val="htmlcodes"/>
        </w:rPr>
        <w:t>&lt;a href=#y595&gt;</w:t>
      </w:r>
      <w:r>
        <w:t xml:space="preserve">SA_595  </w:t>
      </w:r>
      <w:r>
        <w:rPr>
          <w:rStyle w:val="htmlcodes"/>
        </w:rPr>
        <w:t>&lt;/a&gt;</w:t>
      </w:r>
    </w:p>
    <w:p w:rsidR="00B72047" w:rsidRDefault="00B72047">
      <w:pPr>
        <w:pStyle w:val="YACCcomment"/>
      </w:pPr>
      <w:r>
        <w:t>erases back to the last individual token I or NIhO or start of text, ignoring the insides of ZOI, ZO, and LOhU/LEhU quotes. Start of text is defined for SU below.</w:t>
      </w:r>
    </w:p>
    <w:p w:rsidR="00B72047" w:rsidRDefault="00B72047">
      <w:pPr>
        <w:pStyle w:val="YACC"/>
      </w:pPr>
      <w:r>
        <w:tab/>
        <w:t>|</w:t>
      </w:r>
      <w:r>
        <w:tab/>
      </w:r>
      <w:r>
        <w:rPr>
          <w:rStyle w:val="htmlcodes"/>
        </w:rPr>
        <w:t>&lt;a href=#y3&gt;</w:t>
      </w:r>
      <w:r>
        <w:t xml:space="preserve">text_C_3  </w:t>
      </w:r>
      <w:r>
        <w:rPr>
          <w:rStyle w:val="htmlcodes"/>
        </w:rPr>
        <w:t>&lt;/a&gt;&lt;a href=#y603&gt;</w:t>
      </w:r>
      <w:r>
        <w:t xml:space="preserve">SU_603  </w:t>
      </w:r>
      <w:r>
        <w:rPr>
          <w:rStyle w:val="htmlcodes"/>
        </w:rPr>
        <w:t>&lt;/a&gt;</w:t>
      </w:r>
    </w:p>
    <w:p w:rsidR="00B72047" w:rsidRDefault="00B72047">
      <w:pPr>
        <w:pStyle w:val="YACC"/>
      </w:pPr>
      <w:r>
        <w:tab/>
        <w:t>|</w:t>
      </w:r>
      <w:r>
        <w:tab/>
        <w:t>possibly unparsable text (PAUSE)</w:t>
      </w:r>
      <w:r>
        <w:tab/>
      </w:r>
      <w:r>
        <w:rPr>
          <w:rStyle w:val="htmlcodes"/>
        </w:rPr>
        <w:t>&lt;a href=#y603&gt;</w:t>
      </w:r>
      <w:r>
        <w:t xml:space="preserve">SU_603  </w:t>
      </w:r>
      <w:r>
        <w:rPr>
          <w:rStyle w:val="htmlcodes"/>
        </w:rPr>
        <w:t>&lt;/a&gt;</w:t>
      </w:r>
    </w:p>
    <w:p w:rsidR="00B72047" w:rsidRDefault="00B72047">
      <w:pPr>
        <w:pStyle w:val="YACCcomment"/>
      </w:pPr>
      <w:r>
        <w:t>erases back to start of text which is the beginning of a speaker's statement, a parenthesis (TO/TOI), a LU/LIhU quote, or a TUhE/TUhU utterance string.</w:t>
      </w:r>
    </w:p>
    <w:p w:rsidR="00B72047" w:rsidRDefault="00B72047">
      <w:pPr>
        <w:pStyle w:val="YACC"/>
      </w:pPr>
      <w:r>
        <w:tab/>
        <w:t>;</w:t>
      </w:r>
    </w:p>
    <w:p w:rsidR="00B72047" w:rsidRDefault="00B72047">
      <w:pPr>
        <w:pStyle w:val="YACC"/>
      </w:pPr>
      <w:r>
        <w:t>*/</w:t>
      </w:r>
      <w:r>
        <w:rPr>
          <w:rStyle w:val="deletedparamark"/>
          <w:sz w:val="16"/>
          <w:szCs w:val="16"/>
        </w:rPr>
        <w:t xml:space="preserve"> </w:t>
      </w:r>
      <w:r>
        <w:t>%%</w:t>
      </w:r>
    </w:p>
    <w:p w:rsidR="00B72047" w:rsidRDefault="00B72047">
      <w:pPr>
        <w:pStyle w:val="YACC"/>
        <w:sectPr w:rsidR="00B72047">
          <w:headerReference w:type="default" r:id="rId45"/>
          <w:type w:val="continuous"/>
          <w:pgSz w:w="9504" w:h="13824" w:code="1"/>
          <w:pgMar w:top="1296" w:right="1296" w:bottom="720" w:left="1008" w:header="480" w:footer="720" w:gutter="0"/>
          <w:paperSrc w:first="1706" w:other="1706"/>
          <w:cols w:space="720"/>
          <w:titlePg/>
        </w:sectPr>
      </w:pPr>
    </w:p>
    <w:p w:rsidR="00B72047" w:rsidRDefault="00B72047">
      <w:pPr>
        <w:pStyle w:val="Heading3"/>
        <w:spacing w:before="0"/>
      </w:pPr>
      <w:bookmarkStart w:id="549" w:name="_Toc398970783"/>
      <w:r>
        <w:t>YACC Grammar Cross-Reference</w:t>
      </w:r>
      <w:bookmarkEnd w:id="549"/>
    </w:p>
    <w:p w:rsidR="00B72047" w:rsidRDefault="00B72047">
      <w:pPr>
        <w:pStyle w:val="YACCXREF"/>
      </w:pPr>
      <w:r>
        <w:t>A_501</w:t>
      </w:r>
      <w:r>
        <w:tab/>
        <w:t>EK_root_911</w:t>
      </w:r>
    </w:p>
    <w:p w:rsidR="00B72047" w:rsidRDefault="00B72047">
      <w:pPr>
        <w:pStyle w:val="YACCXREF"/>
      </w:pPr>
      <w:r>
        <w:t>anaphora_400</w:t>
      </w:r>
      <w:r>
        <w:tab/>
        <w:t>sumti_G_97</w:t>
      </w:r>
    </w:p>
    <w:p w:rsidR="00B72047" w:rsidRDefault="00B72047">
      <w:pPr>
        <w:pStyle w:val="YACCXREF"/>
      </w:pPr>
      <w:r>
        <w:t>anything_699</w:t>
      </w:r>
      <w:r>
        <w:tab/>
        <w:t>token_1100, ZOI_quote_434</w:t>
      </w:r>
    </w:p>
    <w:p w:rsidR="00B72047" w:rsidRDefault="00B72047">
      <w:pPr>
        <w:pStyle w:val="YACCXREF"/>
      </w:pPr>
      <w:r>
        <w:t>any_word_698</w:t>
      </w:r>
      <w:r>
        <w:tab/>
        <w:t>null_1101, token_1100, ZOI_quote_434, ZO_quote_435</w:t>
      </w:r>
    </w:p>
    <w:p w:rsidR="00B72047" w:rsidRDefault="00B72047">
      <w:pPr>
        <w:pStyle w:val="YACCXREF"/>
      </w:pPr>
      <w:r>
        <w:t>any_words_697</w:t>
      </w:r>
      <w:r>
        <w:tab/>
        <w:t>LOhU_quote_436</w:t>
      </w:r>
    </w:p>
    <w:p w:rsidR="00B72047" w:rsidRDefault="00B72047">
      <w:pPr>
        <w:pStyle w:val="YACCXREF"/>
      </w:pPr>
      <w:r>
        <w:t>BAhE_503</w:t>
      </w:r>
      <w:r>
        <w:tab/>
        <w:t>token_1100</w:t>
      </w:r>
    </w:p>
    <w:p w:rsidR="00B72047" w:rsidRDefault="00B72047">
      <w:pPr>
        <w:pStyle w:val="YACCXREF"/>
      </w:pPr>
      <w:r>
        <w:t>BAI_502</w:t>
      </w:r>
      <w:r>
        <w:tab/>
        <w:t>modal_A_975</w:t>
      </w:r>
    </w:p>
    <w:p w:rsidR="00B72047" w:rsidRDefault="00B72047">
      <w:pPr>
        <w:pStyle w:val="YACCXREF"/>
      </w:pPr>
      <w:r>
        <w:t>BE_446</w:t>
      </w:r>
      <w:r>
        <w:tab/>
        <w:t>linkargs_160</w:t>
      </w:r>
    </w:p>
    <w:p w:rsidR="00B72047" w:rsidRDefault="00B72047">
      <w:pPr>
        <w:pStyle w:val="YACCXREF"/>
      </w:pPr>
      <w:r>
        <w:t>BE_504</w:t>
      </w:r>
      <w:r>
        <w:tab/>
        <w:t>BE_446</w:t>
      </w:r>
    </w:p>
    <w:p w:rsidR="00B72047" w:rsidRDefault="00B72047">
      <w:pPr>
        <w:pStyle w:val="YACCXREF"/>
      </w:pPr>
      <w:r>
        <w:t>BEhO_506</w:t>
      </w:r>
      <w:r>
        <w:tab/>
        <w:t>BEhO_gap_467</w:t>
      </w:r>
    </w:p>
    <w:p w:rsidR="00B72047" w:rsidRDefault="00B72047">
      <w:pPr>
        <w:pStyle w:val="YACCXREF"/>
      </w:pPr>
      <w:r>
        <w:t>BEhO_gap_467</w:t>
      </w:r>
      <w:r>
        <w:tab/>
        <w:t>linkargs_160</w:t>
      </w:r>
    </w:p>
    <w:p w:rsidR="00B72047" w:rsidRDefault="00B72047">
      <w:pPr>
        <w:pStyle w:val="YACCXREF"/>
      </w:pPr>
      <w:r>
        <w:t>BEI_442</w:t>
      </w:r>
      <w:r>
        <w:tab/>
        <w:t>links_161</w:t>
      </w:r>
    </w:p>
    <w:p w:rsidR="00B72047" w:rsidRDefault="00B72047">
      <w:pPr>
        <w:pStyle w:val="YACCXREF"/>
      </w:pPr>
      <w:r>
        <w:t>BEI_505</w:t>
      </w:r>
      <w:r>
        <w:tab/>
        <w:t>BEI_442</w:t>
      </w:r>
    </w:p>
    <w:p w:rsidR="00B72047" w:rsidRDefault="00B72047">
      <w:pPr>
        <w:pStyle w:val="YACCXREF"/>
      </w:pPr>
      <w:r>
        <w:t>BIhE_439</w:t>
      </w:r>
      <w:r>
        <w:tab/>
        <w:t>MEX_A_311</w:t>
      </w:r>
    </w:p>
    <w:p w:rsidR="00B72047" w:rsidRDefault="00B72047">
      <w:pPr>
        <w:pStyle w:val="YACCXREF"/>
      </w:pPr>
      <w:r>
        <w:t>BIhE_650</w:t>
      </w:r>
      <w:r>
        <w:tab/>
        <w:t>BIhE_439</w:t>
      </w:r>
    </w:p>
    <w:p w:rsidR="00B72047" w:rsidRDefault="00B72047">
      <w:pPr>
        <w:pStyle w:val="YACCXREF"/>
      </w:pPr>
      <w:r>
        <w:t>BIhI_507</w:t>
      </w:r>
      <w:r>
        <w:tab/>
        <w:t>interval_932</w:t>
      </w:r>
    </w:p>
    <w:p w:rsidR="00B72047" w:rsidRDefault="00B72047">
      <w:pPr>
        <w:pStyle w:val="YACCXREF"/>
      </w:pPr>
      <w:r>
        <w:t>BO_479</w:t>
      </w:r>
      <w:r>
        <w:tab/>
        <w:t>selbri_F_136</w:t>
      </w:r>
    </w:p>
    <w:p w:rsidR="00B72047" w:rsidRDefault="00B72047">
      <w:pPr>
        <w:pStyle w:val="YACCXREF"/>
      </w:pPr>
      <w:r>
        <w:t>BO_508</w:t>
      </w:r>
      <w:r>
        <w:tab/>
        <w:t>BO_479, lexer_C_915, lexer_I_945, lexer_K_955, lexer_M_965, lexer_U_1005, lexer_V_1010</w:t>
      </w:r>
    </w:p>
    <w:p w:rsidR="00B72047" w:rsidRDefault="00B72047">
      <w:pPr>
        <w:pStyle w:val="YACCXREF"/>
      </w:pPr>
      <w:r>
        <w:t>BOI_651</w:t>
      </w:r>
      <w:r>
        <w:tab/>
        <w:t>BOI_gap_461, sub_gap_462</w:t>
      </w:r>
    </w:p>
    <w:p w:rsidR="00B72047" w:rsidRDefault="00B72047">
      <w:pPr>
        <w:pStyle w:val="YACCXREF"/>
      </w:pPr>
      <w:r>
        <w:t>BOI_gap_461</w:t>
      </w:r>
      <w:r>
        <w:tab/>
        <w:t>anaphora_400, operand_C_385, quantifier_300</w:t>
      </w:r>
    </w:p>
    <w:p w:rsidR="00B72047" w:rsidRDefault="00B72047">
      <w:pPr>
        <w:pStyle w:val="YACCXREF"/>
      </w:pPr>
      <w:r>
        <w:t>bridi_tail_50</w:t>
      </w:r>
      <w:r>
        <w:tab/>
        <w:t>bridi_tail_50, sentence_40</w:t>
      </w:r>
    </w:p>
    <w:p w:rsidR="00B72047" w:rsidRDefault="00B72047">
      <w:pPr>
        <w:pStyle w:val="YACCXREF"/>
      </w:pPr>
      <w:r>
        <w:t>bridi_tail_A_51</w:t>
      </w:r>
      <w:r>
        <w:tab/>
        <w:t>bridi_tail_50, bridi_tail_A_51</w:t>
      </w:r>
    </w:p>
    <w:p w:rsidR="00B72047" w:rsidRDefault="00B72047">
      <w:pPr>
        <w:pStyle w:val="YACCXREF"/>
      </w:pPr>
      <w:r>
        <w:t>bridi_tail_B_52</w:t>
      </w:r>
      <w:r>
        <w:tab/>
        <w:t>bridi_tail_A_51, bridi_tail_B_52</w:t>
      </w:r>
    </w:p>
    <w:p w:rsidR="00B72047" w:rsidRDefault="00B72047">
      <w:pPr>
        <w:pStyle w:val="YACCXREF"/>
      </w:pPr>
      <w:r>
        <w:t>bridi_tail_C_53</w:t>
      </w:r>
      <w:r>
        <w:tab/>
        <w:t>bridi_tail_B_52</w:t>
      </w:r>
    </w:p>
    <w:p w:rsidR="00B72047" w:rsidRDefault="00B72047">
      <w:pPr>
        <w:pStyle w:val="YACCXREF"/>
      </w:pPr>
      <w:r>
        <w:t>bridi_valsi_407</w:t>
      </w:r>
      <w:r>
        <w:tab/>
        <w:t>tanru_unit_B_152</w:t>
      </w:r>
    </w:p>
    <w:p w:rsidR="00B72047" w:rsidRDefault="00B72047">
      <w:pPr>
        <w:pStyle w:val="YACCXREF"/>
      </w:pPr>
      <w:r>
        <w:t>bridi_valsi_A_408</w:t>
      </w:r>
      <w:r>
        <w:tab/>
        <w:t>bridi_valsi_407</w:t>
      </w:r>
    </w:p>
    <w:p w:rsidR="00B72047" w:rsidRDefault="00B72047">
      <w:pPr>
        <w:pStyle w:val="YACCXREF"/>
      </w:pPr>
      <w:r>
        <w:t>BRIVLA_509</w:t>
      </w:r>
      <w:r>
        <w:tab/>
        <w:t>bridi_valsi_A_408</w:t>
      </w:r>
    </w:p>
    <w:p w:rsidR="00B72047" w:rsidRDefault="00B72047">
      <w:pPr>
        <w:pStyle w:val="YACCXREF"/>
      </w:pPr>
      <w:r>
        <w:t>BU_511</w:t>
      </w:r>
      <w:r>
        <w:tab/>
        <w:t>token_1100</w:t>
      </w:r>
    </w:p>
    <w:p w:rsidR="00B72047" w:rsidRDefault="00B72047">
      <w:pPr>
        <w:pStyle w:val="YACCXREF"/>
      </w:pPr>
      <w:r>
        <w:t>BY_513</w:t>
      </w:r>
      <w:r>
        <w:tab/>
        <w:t>lerfu_word_987</w:t>
      </w:r>
    </w:p>
    <w:p w:rsidR="00B72047" w:rsidRDefault="00B72047">
      <w:pPr>
        <w:pStyle w:val="YACCXREF"/>
      </w:pPr>
      <w:r>
        <w:t>CAhA_514</w:t>
      </w:r>
      <w:r>
        <w:tab/>
        <w:t>tense_B_978</w:t>
      </w:r>
    </w:p>
    <w:p w:rsidR="00B72047" w:rsidRDefault="00B72047">
      <w:pPr>
        <w:pStyle w:val="YACCXREF"/>
      </w:pPr>
      <w:r>
        <w:t>CAI_515</w:t>
      </w:r>
      <w:r>
        <w:tab/>
        <w:t>indicator_413, token_1100</w:t>
      </w:r>
    </w:p>
    <w:p w:rsidR="00B72047" w:rsidRDefault="00B72047">
      <w:pPr>
        <w:pStyle w:val="YACCXREF"/>
      </w:pPr>
      <w:r>
        <w:t>CEhE_495</w:t>
      </w:r>
      <w:r>
        <w:tab/>
        <w:t>terms_B_82</w:t>
      </w:r>
    </w:p>
    <w:p w:rsidR="00B72047" w:rsidRDefault="00B72047">
      <w:pPr>
        <w:pStyle w:val="YACCXREF"/>
      </w:pPr>
      <w:r>
        <w:t>CEhE_517</w:t>
      </w:r>
      <w:r>
        <w:tab/>
        <w:t>CEhE_495</w:t>
      </w:r>
    </w:p>
    <w:p w:rsidR="00B72047" w:rsidRDefault="00B72047">
      <w:pPr>
        <w:pStyle w:val="YACCXREF"/>
      </w:pPr>
      <w:r>
        <w:t>CEI_444</w:t>
      </w:r>
      <w:r>
        <w:tab/>
        <w:t>tanru_unit_150</w:t>
      </w:r>
    </w:p>
    <w:p w:rsidR="00B72047" w:rsidRDefault="00B72047">
      <w:pPr>
        <w:pStyle w:val="YACCXREF"/>
      </w:pPr>
      <w:r>
        <w:t>CEI_516</w:t>
      </w:r>
      <w:r>
        <w:tab/>
        <w:t>CEI_444</w:t>
      </w:r>
    </w:p>
    <w:p w:rsidR="00B72047" w:rsidRDefault="00B72047">
      <w:pPr>
        <w:pStyle w:val="YACCXREF"/>
      </w:pPr>
      <w:r>
        <w:t>cmene_404</w:t>
      </w:r>
      <w:r>
        <w:tab/>
        <w:t>sumti_G_97, text_0, vocative_35</w:t>
      </w:r>
    </w:p>
    <w:p w:rsidR="00B72047" w:rsidRDefault="00B72047">
      <w:pPr>
        <w:pStyle w:val="YACCXREF"/>
      </w:pPr>
      <w:r>
        <w:t>CMENE_518</w:t>
      </w:r>
      <w:r>
        <w:tab/>
        <w:t>cmene_A_405</w:t>
      </w:r>
    </w:p>
    <w:p w:rsidR="00B72047" w:rsidRDefault="00B72047">
      <w:pPr>
        <w:pStyle w:val="YACCXREF"/>
      </w:pPr>
      <w:r>
        <w:t>cmene_A_405</w:t>
      </w:r>
      <w:r>
        <w:tab/>
        <w:t>cmene_404, cmene_A_405</w:t>
      </w:r>
    </w:p>
    <w:p w:rsidR="00B72047" w:rsidRDefault="00B72047">
      <w:pPr>
        <w:pStyle w:val="YACCXREF"/>
      </w:pPr>
      <w:r>
        <w:t>CO_443</w:t>
      </w:r>
      <w:r>
        <w:tab/>
        <w:t>selbri_B_132</w:t>
      </w:r>
    </w:p>
    <w:p w:rsidR="00B72047" w:rsidRDefault="00B72047">
      <w:pPr>
        <w:pStyle w:val="YACCXREF"/>
      </w:pPr>
      <w:r>
        <w:t>CO_519</w:t>
      </w:r>
      <w:r>
        <w:tab/>
        <w:t>CO_443</w:t>
      </w:r>
    </w:p>
    <w:p w:rsidR="00B72047" w:rsidRDefault="00B72047">
      <w:pPr>
        <w:pStyle w:val="YACCXREF"/>
      </w:pPr>
      <w:r>
        <w:t>COI_416</w:t>
      </w:r>
      <w:r>
        <w:tab/>
        <w:t>COI_416, DOI_415</w:t>
      </w:r>
    </w:p>
    <w:p w:rsidR="00B72047" w:rsidRDefault="00B72047">
      <w:pPr>
        <w:pStyle w:val="YACCXREF"/>
      </w:pPr>
      <w:r>
        <w:t>COI_520</w:t>
      </w:r>
      <w:r>
        <w:tab/>
        <w:t>COI_A_417</w:t>
      </w:r>
    </w:p>
    <w:p w:rsidR="00B72047" w:rsidRDefault="00B72047">
      <w:pPr>
        <w:pStyle w:val="YACCXREF"/>
      </w:pPr>
      <w:r>
        <w:t>COI_A_417</w:t>
      </w:r>
      <w:r>
        <w:tab/>
        <w:t>COI_416</w:t>
      </w:r>
    </w:p>
    <w:p w:rsidR="00B72047" w:rsidRDefault="00B72047">
      <w:pPr>
        <w:pStyle w:val="YACCXREF"/>
      </w:pPr>
      <w:r>
        <w:t>CU_521</w:t>
      </w:r>
      <w:r>
        <w:tab/>
        <w:t>front_gap_451</w:t>
      </w:r>
    </w:p>
    <w:p w:rsidR="00B72047" w:rsidRDefault="00B72047">
      <w:pPr>
        <w:pStyle w:val="YACCXREF"/>
      </w:pPr>
      <w:r>
        <w:t>CUhE_522</w:t>
      </w:r>
      <w:r>
        <w:tab/>
        <w:t>simple_tense_modal_972</w:t>
      </w:r>
    </w:p>
    <w:p w:rsidR="00B72047" w:rsidRDefault="00B72047">
      <w:pPr>
        <w:pStyle w:val="YACCXREF"/>
      </w:pPr>
      <w:r>
        <w:t>DAhO_524</w:t>
      </w:r>
      <w:r>
        <w:tab/>
        <w:t>indicator_413, token_1100</w:t>
      </w:r>
    </w:p>
    <w:p w:rsidR="00B72047" w:rsidRDefault="00B72047">
      <w:pPr>
        <w:pStyle w:val="YACCXREF"/>
      </w:pPr>
      <w:r>
        <w:t>description_110</w:t>
      </w:r>
      <w:r>
        <w:tab/>
        <w:t>sumti_G_97</w:t>
      </w:r>
    </w:p>
    <w:p w:rsidR="00B72047" w:rsidRDefault="00B72047">
      <w:pPr>
        <w:pStyle w:val="YACCXREF"/>
      </w:pPr>
      <w:r>
        <w:t>discursive_bridi_34</w:t>
      </w:r>
      <w:r>
        <w:tab/>
        <w:t>free_modifier_A_33</w:t>
      </w:r>
    </w:p>
    <w:p w:rsidR="00B72047" w:rsidRDefault="00B72047">
      <w:pPr>
        <w:pStyle w:val="YACCXREF"/>
      </w:pPr>
      <w:r>
        <w:t>DOhU_526</w:t>
      </w:r>
      <w:r>
        <w:tab/>
        <w:t>DOhU_gap_457</w:t>
      </w:r>
    </w:p>
    <w:p w:rsidR="00B72047" w:rsidRDefault="00B72047">
      <w:pPr>
        <w:pStyle w:val="YACCXREF"/>
      </w:pPr>
      <w:r>
        <w:t>DOhU_gap_457</w:t>
      </w:r>
      <w:r>
        <w:tab/>
        <w:t>vocative_35</w:t>
      </w:r>
    </w:p>
    <w:p w:rsidR="00B72047" w:rsidRDefault="00B72047">
      <w:pPr>
        <w:pStyle w:val="YACCXREF"/>
      </w:pPr>
      <w:r>
        <w:t>DOI_415</w:t>
      </w:r>
      <w:r>
        <w:tab/>
        <w:t>vocative_35</w:t>
      </w:r>
    </w:p>
    <w:p w:rsidR="00B72047" w:rsidRDefault="00B72047">
      <w:pPr>
        <w:pStyle w:val="YACCXREF"/>
      </w:pPr>
      <w:r>
        <w:t>DOI_525</w:t>
      </w:r>
      <w:r>
        <w:tab/>
        <w:t>DOI_415</w:t>
      </w:r>
    </w:p>
    <w:p w:rsidR="00B72047" w:rsidRDefault="00B72047">
      <w:pPr>
        <w:pStyle w:val="YACCXREF"/>
      </w:pPr>
      <w:r>
        <w:t>EK_802</w:t>
      </w:r>
      <w:r>
        <w:tab/>
        <w:t>fragment_20, JOIK_EK_421</w:t>
      </w:r>
    </w:p>
    <w:p w:rsidR="00B72047" w:rsidRDefault="00B72047">
      <w:pPr>
        <w:pStyle w:val="YACCXREF"/>
      </w:pPr>
      <w:r>
        <w:t>EK_BO_803</w:t>
      </w:r>
      <w:r>
        <w:tab/>
        <w:t>operand_B_383, sumti_C_93</w:t>
      </w:r>
    </w:p>
    <w:p w:rsidR="00B72047" w:rsidRDefault="00B72047">
      <w:pPr>
        <w:pStyle w:val="YACCXREF"/>
      </w:pPr>
      <w:r>
        <w:t>EK_KE_804</w:t>
      </w:r>
      <w:r>
        <w:tab/>
        <w:t>operand_381, sumti_A_91</w:t>
      </w:r>
    </w:p>
    <w:p w:rsidR="00B72047" w:rsidRDefault="00B72047">
      <w:pPr>
        <w:pStyle w:val="YACCXREF"/>
      </w:pPr>
      <w:r>
        <w:t>EK_root_911</w:t>
      </w:r>
      <w:r>
        <w:tab/>
        <w:t>lexer_B_910, lexer_C_915, lexer_D_916</w:t>
      </w:r>
    </w:p>
    <w:p w:rsidR="00B72047" w:rsidRDefault="00B72047">
      <w:pPr>
        <w:pStyle w:val="YACCXREF"/>
      </w:pPr>
      <w:r>
        <w:t>error</w:t>
      </w:r>
      <w:r>
        <w:tab/>
        <w:t>BEhO_gap_467, BOI_gap_461, DOhU_gap_457, FEhU_gap_458, gap_450, GEhU_gap_464, KEhE_gap_466, KEI_gap_453, KUhO_gap_469, LIhU_gap_448, LOhO_gap_472, LUhU_gap_463, MEhU_gap_465, MEX_gap_452, NUhU_gap_460, right_bracket_gap_471, right_br_no_free_474, SEhU_gap_459, sub_gap_462, TEhU_gap_473, TOI_gap_468, TUhU_gap_454, VAU_gap_456</w:t>
      </w:r>
    </w:p>
    <w:p w:rsidR="00B72047" w:rsidRDefault="00B72047">
      <w:pPr>
        <w:pStyle w:val="YACCXREF"/>
      </w:pPr>
      <w:r>
        <w:t>FA_481</w:t>
      </w:r>
      <w:r>
        <w:tab/>
        <w:t>mod_head_490</w:t>
      </w:r>
    </w:p>
    <w:p w:rsidR="00B72047" w:rsidRDefault="00B72047">
      <w:pPr>
        <w:pStyle w:val="YACCXREF"/>
      </w:pPr>
      <w:r>
        <w:t>FA_527</w:t>
      </w:r>
      <w:r>
        <w:tab/>
        <w:t>FA_481</w:t>
      </w:r>
    </w:p>
    <w:p w:rsidR="00B72047" w:rsidRDefault="00B72047">
      <w:pPr>
        <w:pStyle w:val="YACCXREF"/>
      </w:pPr>
      <w:r>
        <w:t>FAhA_528</w:t>
      </w:r>
      <w:r>
        <w:tab/>
        <w:t>space_direction_1048</w:t>
      </w:r>
    </w:p>
    <w:p w:rsidR="00B72047" w:rsidRDefault="00B72047">
      <w:pPr>
        <w:pStyle w:val="YACCXREF"/>
      </w:pPr>
      <w:r>
        <w:t>FEhE_530</w:t>
      </w:r>
      <w:r>
        <w:tab/>
        <w:t>space_int_props_A_1050</w:t>
      </w:r>
    </w:p>
    <w:p w:rsidR="00B72047" w:rsidRDefault="00B72047">
      <w:pPr>
        <w:pStyle w:val="YACCXREF"/>
      </w:pPr>
      <w:r>
        <w:t>FEhU_531</w:t>
      </w:r>
      <w:r>
        <w:tab/>
        <w:t>FEhU_gap_458</w:t>
      </w:r>
    </w:p>
    <w:p w:rsidR="00B72047" w:rsidRDefault="00B72047">
      <w:pPr>
        <w:pStyle w:val="YACCXREF"/>
      </w:pPr>
      <w:r>
        <w:t>FEhU_gap_458</w:t>
      </w:r>
      <w:r>
        <w:tab/>
        <w:t>tense_modal_815</w:t>
      </w:r>
    </w:p>
    <w:p w:rsidR="00B72047" w:rsidRDefault="00B72047">
      <w:pPr>
        <w:pStyle w:val="YACCXREF"/>
      </w:pPr>
      <w:r>
        <w:t>FIhO_437</w:t>
      </w:r>
      <w:r>
        <w:tab/>
        <w:t>tense_modal_815</w:t>
      </w:r>
    </w:p>
    <w:p w:rsidR="00B72047" w:rsidRDefault="00B72047">
      <w:pPr>
        <w:pStyle w:val="YACCXREF"/>
      </w:pPr>
      <w:r>
        <w:t>FIhO_532</w:t>
      </w:r>
      <w:r>
        <w:tab/>
        <w:t>FIhO_437</w:t>
      </w:r>
    </w:p>
    <w:p w:rsidR="00B72047" w:rsidRDefault="00B72047">
      <w:pPr>
        <w:pStyle w:val="YACCXREF"/>
      </w:pPr>
      <w:r>
        <w:t>FOI_533</w:t>
      </w:r>
      <w:r>
        <w:tab/>
        <w:t>lerfu_word_987</w:t>
      </w:r>
    </w:p>
    <w:p w:rsidR="00B72047" w:rsidRDefault="00B72047">
      <w:pPr>
        <w:pStyle w:val="YACCXREF"/>
      </w:pPr>
      <w:r>
        <w:t>fragment_20</w:t>
      </w:r>
      <w:r>
        <w:tab/>
        <w:t>paragraph_10</w:t>
      </w:r>
    </w:p>
    <w:p w:rsidR="00B72047" w:rsidRDefault="00B72047">
      <w:pPr>
        <w:pStyle w:val="YACCXREF"/>
      </w:pPr>
      <w:r>
        <w:t>free_modifier_32</w:t>
      </w:r>
      <w:r>
        <w:tab/>
        <w:t>anaphora_400, BE_446, BEhO_gap_467, BEI_442, BIhE_439, BO_479, BOI_gap_461, bridi_valsi_407, CEhE_495, CEI_444, cmene_404, CO_443, EK_802, EK_BO_803, EK_KE_804, FA_481, FEhU_gap_458, FIhO_437, free_modifier_32, front_gap_451, FUhA_441, gap_450, GEhU_gap_464, GEK_807, GIhEK_818, GIhEK_BO_813, GIhEK_KE_814, GIK_816, GOI_485, GUhEK_808, I_819, I_BO_811, I_JEK_820, JAI_478, JEK_BO_821, JOhI_431, JOIK_BO_822, JOIK_EK_421, JOIK_JEK_422, JOIK_KE_823, KE_493, KEhE_gap_466, KEI_gap_453, KUhO_gap_469, LA_499, LE_488, left_bracket_470, LI_489, LOhO_gap_472, LUhU_gap_463, MAhO_430, ME_477, MEhU_gap_465, MEX_gap_452, MEX_operator_374, MOhE_427, MOI_476, NA_445, NAhE_482, NAhE_BO_809, NAhU_429, NA_KU_810, NIhE_428, NOI_484, NU_A_426, NUhA_475, NUhI_496, NUhU_gap_460, para_mark_410, PEhE_494, PEhO_438, qualifier_483, quote_arg_432, right_bracket_gap_471, SE_480, SEI_440, SOI_498, TEhU_gap_473, tense_modal_815, text_0, TUhE_447, TUhU_gap_454, VAU_gap_456, VUhO_497, XI_424, ZIhE_487, ZOhU_492</w:t>
      </w:r>
    </w:p>
    <w:p w:rsidR="00B72047" w:rsidRDefault="00B72047">
      <w:pPr>
        <w:pStyle w:val="YACCXREF"/>
      </w:pPr>
      <w:r>
        <w:t>free_modifier_A_33</w:t>
      </w:r>
      <w:r>
        <w:tab/>
        <w:t>free_modifier_32</w:t>
      </w:r>
    </w:p>
    <w:p w:rsidR="00B72047" w:rsidRDefault="00B72047">
      <w:pPr>
        <w:pStyle w:val="YACCXREF"/>
      </w:pPr>
      <w:r>
        <w:t>front_gap_451</w:t>
      </w:r>
      <w:r>
        <w:tab/>
        <w:t>discursive_bridi_34, sentence_40</w:t>
      </w:r>
    </w:p>
    <w:p w:rsidR="00B72047" w:rsidRDefault="00B72047">
      <w:pPr>
        <w:pStyle w:val="YACCXREF"/>
      </w:pPr>
      <w:r>
        <w:t>FUhA_441</w:t>
      </w:r>
      <w:r>
        <w:tab/>
        <w:t>MEX_310</w:t>
      </w:r>
    </w:p>
    <w:p w:rsidR="00B72047" w:rsidRDefault="00B72047">
      <w:pPr>
        <w:pStyle w:val="YACCXREF"/>
      </w:pPr>
      <w:r>
        <w:t>FUhA_655</w:t>
      </w:r>
      <w:r>
        <w:tab/>
        <w:t>FUhA_441</w:t>
      </w:r>
    </w:p>
    <w:p w:rsidR="00B72047" w:rsidRDefault="00B72047">
      <w:pPr>
        <w:pStyle w:val="YACCXREF"/>
      </w:pPr>
      <w:r>
        <w:t>FUhE_535</w:t>
      </w:r>
      <w:r>
        <w:tab/>
        <w:t>indicators_411, token_1100</w:t>
      </w:r>
    </w:p>
    <w:p w:rsidR="00B72047" w:rsidRDefault="00B72047">
      <w:pPr>
        <w:pStyle w:val="YACCXREF"/>
      </w:pPr>
      <w:r>
        <w:t>FUhO_536</w:t>
      </w:r>
      <w:r>
        <w:tab/>
        <w:t>indicator_413, token_1100</w:t>
      </w:r>
    </w:p>
    <w:p w:rsidR="00B72047" w:rsidRDefault="00B72047">
      <w:pPr>
        <w:pStyle w:val="YACCXREF"/>
      </w:pPr>
      <w:r>
        <w:t>GA_537</w:t>
      </w:r>
      <w:r>
        <w:tab/>
        <w:t>lexer_G_935</w:t>
      </w:r>
    </w:p>
    <w:p w:rsidR="00B72047" w:rsidRDefault="00B72047">
      <w:pPr>
        <w:pStyle w:val="YACCXREF"/>
      </w:pPr>
      <w:r>
        <w:t>GAhO_656</w:t>
      </w:r>
      <w:r>
        <w:tab/>
        <w:t>JOIK_root_931</w:t>
      </w:r>
    </w:p>
    <w:p w:rsidR="00B72047" w:rsidRDefault="00B72047">
      <w:pPr>
        <w:pStyle w:val="YACCXREF"/>
      </w:pPr>
      <w:r>
        <w:t>gap_450</w:t>
      </w:r>
      <w:r>
        <w:tab/>
        <w:t>description_110, modifier_84, sumti_E_95</w:t>
      </w:r>
    </w:p>
    <w:p w:rsidR="00B72047" w:rsidRDefault="00B72047">
      <w:pPr>
        <w:pStyle w:val="YACCXREF"/>
      </w:pPr>
      <w:r>
        <w:t>GEhU_538</w:t>
      </w:r>
      <w:r>
        <w:tab/>
        <w:t>GEhU_gap_464</w:t>
      </w:r>
    </w:p>
    <w:p w:rsidR="00B72047" w:rsidRDefault="00B72047">
      <w:pPr>
        <w:pStyle w:val="YACCXREF"/>
      </w:pPr>
      <w:r>
        <w:t>GEhU_gap_464</w:t>
      </w:r>
      <w:r>
        <w:tab/>
        <w:t>relative_clause_122</w:t>
      </w:r>
    </w:p>
    <w:p w:rsidR="00B72047" w:rsidRDefault="00B72047">
      <w:pPr>
        <w:pStyle w:val="YACCXREF"/>
      </w:pPr>
      <w:r>
        <w:t>GEK_807</w:t>
      </w:r>
      <w:r>
        <w:tab/>
        <w:t>gek_sentence_54, operand_C_385, sumti_D_94, term_set_85</w:t>
      </w:r>
    </w:p>
    <w:p w:rsidR="00B72047" w:rsidRDefault="00B72047">
      <w:pPr>
        <w:pStyle w:val="YACCXREF"/>
      </w:pPr>
      <w:r>
        <w:t>gek_sentence_54</w:t>
      </w:r>
      <w:r>
        <w:tab/>
        <w:t>bridi_tail_C_53, gek_sentence_54</w:t>
      </w:r>
    </w:p>
    <w:p w:rsidR="00B72047" w:rsidRDefault="00B72047">
      <w:pPr>
        <w:pStyle w:val="YACCXREF"/>
      </w:pPr>
      <w:r>
        <w:t>GI_539</w:t>
      </w:r>
      <w:r>
        <w:tab/>
        <w:t>GIK_root_981, lexer_G_935</w:t>
      </w:r>
    </w:p>
    <w:p w:rsidR="00B72047" w:rsidRDefault="00B72047">
      <w:pPr>
        <w:pStyle w:val="YACCXREF"/>
      </w:pPr>
      <w:r>
        <w:t>GIhA_541</w:t>
      </w:r>
      <w:r>
        <w:tab/>
        <w:t>GIhEK_root_991</w:t>
      </w:r>
    </w:p>
    <w:p w:rsidR="00B72047" w:rsidRDefault="00B72047">
      <w:pPr>
        <w:pStyle w:val="YACCXREF"/>
      </w:pPr>
      <w:r>
        <w:t>GIhEK_818</w:t>
      </w:r>
      <w:r>
        <w:tab/>
        <w:t>bridi_tail_A_51, fragment_20</w:t>
      </w:r>
    </w:p>
    <w:p w:rsidR="00B72047" w:rsidRDefault="00B72047">
      <w:pPr>
        <w:pStyle w:val="YACCXREF"/>
      </w:pPr>
      <w:r>
        <w:t>GIhEK_BO_813</w:t>
      </w:r>
      <w:r>
        <w:tab/>
        <w:t>bridi_tail_B_52</w:t>
      </w:r>
    </w:p>
    <w:p w:rsidR="00B72047" w:rsidRDefault="00B72047">
      <w:pPr>
        <w:pStyle w:val="YACCXREF"/>
      </w:pPr>
      <w:r>
        <w:t>GIhEK_KE_814</w:t>
      </w:r>
      <w:r>
        <w:tab/>
        <w:t>bridi_tail_50</w:t>
      </w:r>
    </w:p>
    <w:p w:rsidR="00B72047" w:rsidRDefault="00B72047">
      <w:pPr>
        <w:pStyle w:val="YACCXREF"/>
      </w:pPr>
      <w:r>
        <w:t>GIhEK_root_991</w:t>
      </w:r>
      <w:r>
        <w:tab/>
        <w:t>lexer_M_965, lexer_N_966, lexer_R_990</w:t>
      </w:r>
    </w:p>
    <w:p w:rsidR="00B72047" w:rsidRDefault="00B72047">
      <w:pPr>
        <w:pStyle w:val="YACCXREF"/>
      </w:pPr>
      <w:r>
        <w:t>GIK_816</w:t>
      </w:r>
      <w:r>
        <w:tab/>
        <w:t>gek_sentence_54, GUhEK_selbri_137, operand_C_385, oper</w:t>
      </w:r>
      <w:r>
        <w:t>a</w:t>
      </w:r>
      <w:r>
        <w:t>tor_A_371, sumti_D_94, term_set_85</w:t>
      </w:r>
    </w:p>
    <w:p w:rsidR="00B72047" w:rsidRDefault="00B72047">
      <w:pPr>
        <w:pStyle w:val="YACCXREF"/>
      </w:pPr>
      <w:r>
        <w:t>GIK_root_981</w:t>
      </w:r>
      <w:r>
        <w:tab/>
        <w:t>lexer_G_935, lexer_P_980</w:t>
      </w:r>
    </w:p>
    <w:p w:rsidR="00B72047" w:rsidRDefault="00B72047">
      <w:pPr>
        <w:pStyle w:val="YACCXREF"/>
      </w:pPr>
      <w:r>
        <w:t>GOhA_543</w:t>
      </w:r>
      <w:r>
        <w:tab/>
        <w:t>bridi_valsi_A_408</w:t>
      </w:r>
    </w:p>
    <w:p w:rsidR="00B72047" w:rsidRDefault="00B72047">
      <w:pPr>
        <w:pStyle w:val="YACCXREF"/>
      </w:pPr>
      <w:r>
        <w:t>GOI_485</w:t>
      </w:r>
      <w:r>
        <w:tab/>
        <w:t>relative_clause_122</w:t>
      </w:r>
    </w:p>
    <w:p w:rsidR="00B72047" w:rsidRDefault="00B72047">
      <w:pPr>
        <w:pStyle w:val="YACCXREF"/>
      </w:pPr>
      <w:r>
        <w:t>GOI_542</w:t>
      </w:r>
      <w:r>
        <w:tab/>
        <w:t>GOI_485</w:t>
      </w:r>
    </w:p>
    <w:p w:rsidR="00B72047" w:rsidRDefault="00B72047">
      <w:pPr>
        <w:pStyle w:val="YACCXREF"/>
      </w:pPr>
      <w:r>
        <w:t>GUhA_544</w:t>
      </w:r>
      <w:r>
        <w:tab/>
        <w:t>lexer_H_940</w:t>
      </w:r>
    </w:p>
    <w:p w:rsidR="00B72047" w:rsidRDefault="00B72047">
      <w:pPr>
        <w:pStyle w:val="YACCXREF"/>
      </w:pPr>
      <w:r>
        <w:t>GUhEK_808</w:t>
      </w:r>
      <w:r>
        <w:tab/>
        <w:t>GUhEK_selbri_137, operator_A_371</w:t>
      </w:r>
    </w:p>
    <w:p w:rsidR="00B72047" w:rsidRDefault="00B72047">
      <w:pPr>
        <w:pStyle w:val="YACCXREF"/>
      </w:pPr>
      <w:r>
        <w:t>GUhEK_selbri_137</w:t>
      </w:r>
      <w:r>
        <w:tab/>
        <w:t>selbri_F_136</w:t>
      </w:r>
    </w:p>
    <w:p w:rsidR="00B72047" w:rsidRDefault="00B72047">
      <w:pPr>
        <w:pStyle w:val="YACCXREF"/>
      </w:pPr>
      <w:r>
        <w:t>I_545</w:t>
      </w:r>
      <w:r>
        <w:tab/>
        <w:t>I_root_956, lexer_S_995, lexer_T_1000</w:t>
      </w:r>
    </w:p>
    <w:p w:rsidR="00B72047" w:rsidRDefault="00B72047">
      <w:pPr>
        <w:pStyle w:val="YACCXREF"/>
      </w:pPr>
      <w:r>
        <w:t>I_819</w:t>
      </w:r>
      <w:r>
        <w:tab/>
        <w:t>paragraph_10, text_B_2</w:t>
      </w:r>
    </w:p>
    <w:p w:rsidR="00B72047" w:rsidRDefault="00B72047">
      <w:pPr>
        <w:pStyle w:val="YACCXREF"/>
      </w:pPr>
      <w:r>
        <w:t>I_BO_811</w:t>
      </w:r>
      <w:r>
        <w:tab/>
        <w:t>statement_B_13, text_B_2</w:t>
      </w:r>
    </w:p>
    <w:p w:rsidR="00B72047" w:rsidRDefault="00B72047">
      <w:pPr>
        <w:pStyle w:val="YACCXREF"/>
      </w:pPr>
      <w:r>
        <w:t>I_JEK_820</w:t>
      </w:r>
      <w:r>
        <w:tab/>
        <w:t>statement_A_12, text_B_2</w:t>
      </w:r>
    </w:p>
    <w:p w:rsidR="00B72047" w:rsidRDefault="00B72047">
      <w:pPr>
        <w:pStyle w:val="YACCXREF"/>
      </w:pPr>
      <w:r>
        <w:t>indicator_413</w:t>
      </w:r>
      <w:r>
        <w:tab/>
        <w:t>indicators_A_412</w:t>
      </w:r>
    </w:p>
    <w:p w:rsidR="00B72047" w:rsidRDefault="00B72047">
      <w:pPr>
        <w:pStyle w:val="YACCXREF"/>
      </w:pPr>
      <w:r>
        <w:t>indicators_411</w:t>
      </w:r>
      <w:r>
        <w:tab/>
        <w:t>text_0</w:t>
      </w:r>
    </w:p>
    <w:p w:rsidR="00B72047" w:rsidRDefault="00B72047">
      <w:pPr>
        <w:pStyle w:val="YACCXREF"/>
      </w:pPr>
      <w:r>
        <w:t>indicators_A_412</w:t>
      </w:r>
      <w:r>
        <w:tab/>
        <w:t>indicators_411, indicators_A_412</w:t>
      </w:r>
    </w:p>
    <w:p w:rsidR="00B72047" w:rsidRDefault="00B72047">
      <w:pPr>
        <w:pStyle w:val="YACCXREF"/>
      </w:pPr>
      <w:r>
        <w:t>interval_932</w:t>
      </w:r>
      <w:r>
        <w:tab/>
        <w:t>JOIK_root_931</w:t>
      </w:r>
    </w:p>
    <w:p w:rsidR="00B72047" w:rsidRDefault="00B72047">
      <w:pPr>
        <w:pStyle w:val="YACCXREF"/>
      </w:pPr>
      <w:r>
        <w:t>interval_property_1051</w:t>
      </w:r>
      <w:r>
        <w:tab/>
        <w:t>space_int_props_A_1050, time_int_props_1036</w:t>
      </w:r>
    </w:p>
    <w:p w:rsidR="00B72047" w:rsidRDefault="00B72047">
      <w:pPr>
        <w:pStyle w:val="YACCXREF"/>
      </w:pPr>
      <w:r>
        <w:t>I_root_956</w:t>
      </w:r>
      <w:r>
        <w:tab/>
        <w:t>lexer_K_955</w:t>
      </w:r>
    </w:p>
    <w:p w:rsidR="00B72047" w:rsidRDefault="00B72047">
      <w:pPr>
        <w:pStyle w:val="YACCXREF"/>
      </w:pPr>
      <w:r>
        <w:t>JA_546</w:t>
      </w:r>
      <w:r>
        <w:tab/>
        <w:t>JEK_root_926</w:t>
      </w:r>
    </w:p>
    <w:p w:rsidR="00B72047" w:rsidRDefault="00B72047">
      <w:pPr>
        <w:pStyle w:val="YACCXREF"/>
      </w:pPr>
      <w:r>
        <w:t>JAI_478</w:t>
      </w:r>
      <w:r>
        <w:tab/>
        <w:t>tanru_unit_B_152</w:t>
      </w:r>
    </w:p>
    <w:p w:rsidR="00B72047" w:rsidRDefault="00B72047">
      <w:pPr>
        <w:pStyle w:val="YACCXREF"/>
      </w:pPr>
      <w:r>
        <w:t>JAI_547</w:t>
      </w:r>
      <w:r>
        <w:tab/>
        <w:t>JAI_478</w:t>
      </w:r>
    </w:p>
    <w:p w:rsidR="00B72047" w:rsidRDefault="00B72047">
      <w:pPr>
        <w:pStyle w:val="YACCXREF"/>
      </w:pPr>
      <w:r>
        <w:t>JEK_805</w:t>
      </w:r>
      <w:r>
        <w:tab/>
        <w:t>JOIK_JEK_422, simple_JOIK_JEK_957</w:t>
      </w:r>
    </w:p>
    <w:p w:rsidR="00B72047" w:rsidRDefault="00B72047">
      <w:pPr>
        <w:pStyle w:val="YACCXREF"/>
      </w:pPr>
      <w:r>
        <w:t>JEK_BO_821</w:t>
      </w:r>
      <w:r>
        <w:tab/>
        <w:t>operator_A_371, selbri_E_135</w:t>
      </w:r>
    </w:p>
    <w:p w:rsidR="00B72047" w:rsidRDefault="00B72047">
      <w:pPr>
        <w:pStyle w:val="YACCXREF"/>
      </w:pPr>
      <w:r>
        <w:t>JEK_root_926</w:t>
      </w:r>
      <w:r>
        <w:tab/>
        <w:t>lexer_E_925, lexer_U_1005</w:t>
      </w:r>
    </w:p>
    <w:p w:rsidR="00B72047" w:rsidRDefault="00B72047">
      <w:pPr>
        <w:pStyle w:val="YACCXREF"/>
      </w:pPr>
      <w:r>
        <w:t>JOhI_431</w:t>
      </w:r>
      <w:r>
        <w:tab/>
        <w:t>operand_C_385</w:t>
      </w:r>
    </w:p>
    <w:p w:rsidR="00B72047" w:rsidRDefault="00B72047">
      <w:pPr>
        <w:pStyle w:val="YACCXREF"/>
      </w:pPr>
      <w:r>
        <w:t>JOhI_657</w:t>
      </w:r>
      <w:r>
        <w:tab/>
        <w:t>JOhI_431</w:t>
      </w:r>
    </w:p>
    <w:p w:rsidR="00B72047" w:rsidRDefault="00B72047">
      <w:pPr>
        <w:pStyle w:val="YACCXREF"/>
      </w:pPr>
      <w:r>
        <w:t>JOI_548</w:t>
      </w:r>
      <w:r>
        <w:tab/>
        <w:t>JOIK_root_931</w:t>
      </w:r>
    </w:p>
    <w:p w:rsidR="00B72047" w:rsidRDefault="00B72047">
      <w:pPr>
        <w:pStyle w:val="YACCXREF"/>
      </w:pPr>
      <w:r>
        <w:t>JOIK_806</w:t>
      </w:r>
      <w:r>
        <w:tab/>
        <w:t>JOIK_EK_421, JOIK_JEK_422, simple_JOIK_JEK_957</w:t>
      </w:r>
    </w:p>
    <w:p w:rsidR="00B72047" w:rsidRDefault="00B72047">
      <w:pPr>
        <w:pStyle w:val="YACCXREF"/>
      </w:pPr>
      <w:r>
        <w:t>JOIK_BO_822</w:t>
      </w:r>
      <w:r>
        <w:tab/>
        <w:t>operand_B_383, operator_A_371, selbri_E_135, sumti_C_93</w:t>
      </w:r>
    </w:p>
    <w:p w:rsidR="00B72047" w:rsidRDefault="00B72047">
      <w:pPr>
        <w:pStyle w:val="YACCXREF"/>
      </w:pPr>
      <w:r>
        <w:t>JOIK_EK_421</w:t>
      </w:r>
      <w:r>
        <w:tab/>
        <w:t>operand_A_382, sumti_B_92</w:t>
      </w:r>
    </w:p>
    <w:p w:rsidR="00B72047" w:rsidRDefault="00B72047">
      <w:pPr>
        <w:pStyle w:val="YACCXREF"/>
      </w:pPr>
      <w:r>
        <w:t>JOIK_JEK_422</w:t>
      </w:r>
      <w:r>
        <w:tab/>
        <w:t>NU_425, operator_370, selbri_D_134, tag_491, terms_A_81, text_A_1</w:t>
      </w:r>
    </w:p>
    <w:p w:rsidR="00B72047" w:rsidRDefault="00B72047">
      <w:pPr>
        <w:pStyle w:val="YACCXREF"/>
      </w:pPr>
      <w:r>
        <w:t>JOIK_KE_823</w:t>
      </w:r>
      <w:r>
        <w:tab/>
        <w:t>operand_381, operator_370, selbri_D_134, sumti_A_91</w:t>
      </w:r>
    </w:p>
    <w:p w:rsidR="00B72047" w:rsidRDefault="00B72047">
      <w:pPr>
        <w:pStyle w:val="YACCXREF"/>
      </w:pPr>
      <w:r>
        <w:t>JOIK_root_931</w:t>
      </w:r>
      <w:r>
        <w:tab/>
        <w:t>lexer_F_930, lexer_G_935, lexer_V_1010, lexer_W_1015</w:t>
      </w:r>
    </w:p>
    <w:p w:rsidR="00B72047" w:rsidRDefault="00B72047">
      <w:pPr>
        <w:pStyle w:val="YACCXREF"/>
      </w:pPr>
      <w:r>
        <w:t>KE_493</w:t>
      </w:r>
      <w:r>
        <w:tab/>
        <w:t>gek_sentence_54, operator_B_372, tanru_unit_B_152</w:t>
      </w:r>
    </w:p>
    <w:p w:rsidR="00B72047" w:rsidRDefault="00B72047">
      <w:pPr>
        <w:pStyle w:val="YACCXREF"/>
      </w:pPr>
      <w:r>
        <w:t>KE_551</w:t>
      </w:r>
      <w:r>
        <w:tab/>
        <w:t>KE_493, lexer_D_916, lexer_N_966, lexer_W_1015</w:t>
      </w:r>
    </w:p>
    <w:p w:rsidR="00B72047" w:rsidRDefault="00B72047">
      <w:pPr>
        <w:pStyle w:val="YACCXREF"/>
      </w:pPr>
      <w:r>
        <w:t>KEhE_550</w:t>
      </w:r>
      <w:r>
        <w:tab/>
        <w:t>KEhE_gap_466</w:t>
      </w:r>
    </w:p>
    <w:p w:rsidR="00B72047" w:rsidRDefault="00B72047">
      <w:pPr>
        <w:pStyle w:val="YACCXREF"/>
      </w:pPr>
      <w:r>
        <w:t>KEhE_gap_466</w:t>
      </w:r>
      <w:r>
        <w:tab/>
        <w:t>bridi_tail_50, gek_sentence_54, operand_381, operator_370, oper</w:t>
      </w:r>
      <w:r>
        <w:t>a</w:t>
      </w:r>
      <w:r>
        <w:t>tor_B_372, selbri_D_134, sumti_A_91, tanru_unit_B_152</w:t>
      </w:r>
    </w:p>
    <w:p w:rsidR="00B72047" w:rsidRDefault="00B72047">
      <w:pPr>
        <w:pStyle w:val="YACCXREF"/>
      </w:pPr>
      <w:r>
        <w:t>KEI_552</w:t>
      </w:r>
      <w:r>
        <w:tab/>
        <w:t>KEI_gap_453</w:t>
      </w:r>
    </w:p>
    <w:p w:rsidR="00B72047" w:rsidRDefault="00B72047">
      <w:pPr>
        <w:pStyle w:val="YACCXREF"/>
      </w:pPr>
      <w:r>
        <w:t>KEI_gap_453</w:t>
      </w:r>
      <w:r>
        <w:tab/>
        <w:t>tanru_unit_B_152</w:t>
      </w:r>
    </w:p>
    <w:p w:rsidR="00B72047" w:rsidRDefault="00B72047">
      <w:pPr>
        <w:pStyle w:val="YACCXREF"/>
      </w:pPr>
      <w:r>
        <w:t>KI_554</w:t>
      </w:r>
      <w:r>
        <w:tab/>
        <w:t>simple_tense_modal_972, simple_tense_modal_A_973, tense_A_977</w:t>
      </w:r>
    </w:p>
    <w:p w:rsidR="00B72047" w:rsidRDefault="00B72047">
      <w:pPr>
        <w:pStyle w:val="YACCXREF"/>
      </w:pPr>
      <w:r>
        <w:t>KOhA_555</w:t>
      </w:r>
      <w:r>
        <w:tab/>
        <w:t>anaphora_400</w:t>
      </w:r>
    </w:p>
    <w:p w:rsidR="00B72047" w:rsidRDefault="00B72047">
      <w:pPr>
        <w:pStyle w:val="YACCXREF"/>
      </w:pPr>
      <w:r>
        <w:t>KU_556</w:t>
      </w:r>
      <w:r>
        <w:tab/>
        <w:t>gap_450, lexer_J_950</w:t>
      </w:r>
    </w:p>
    <w:p w:rsidR="00B72047" w:rsidRDefault="00B72047">
      <w:pPr>
        <w:pStyle w:val="YACCXREF"/>
      </w:pPr>
      <w:r>
        <w:t>KUhE_658</w:t>
      </w:r>
      <w:r>
        <w:tab/>
        <w:t>MEX_gap_452</w:t>
      </w:r>
    </w:p>
    <w:p w:rsidR="00B72047" w:rsidRDefault="00B72047">
      <w:pPr>
        <w:pStyle w:val="YACCXREF"/>
      </w:pPr>
      <w:r>
        <w:t>KUhO_557</w:t>
      </w:r>
      <w:r>
        <w:tab/>
        <w:t>KUhO_gap_469</w:t>
      </w:r>
    </w:p>
    <w:p w:rsidR="00B72047" w:rsidRDefault="00B72047">
      <w:pPr>
        <w:pStyle w:val="YACCXREF"/>
      </w:pPr>
      <w:r>
        <w:t>KUhO_gap_469</w:t>
      </w:r>
      <w:r>
        <w:tab/>
        <w:t>relative_clause_122</w:t>
      </w:r>
    </w:p>
    <w:p w:rsidR="00B72047" w:rsidRDefault="00B72047">
      <w:pPr>
        <w:pStyle w:val="YACCXREF"/>
      </w:pPr>
      <w:r>
        <w:t>LA_499</w:t>
      </w:r>
      <w:r>
        <w:tab/>
        <w:t>description_110, sumti_G_97</w:t>
      </w:r>
    </w:p>
    <w:p w:rsidR="00B72047" w:rsidRDefault="00B72047">
      <w:pPr>
        <w:pStyle w:val="YACCXREF"/>
      </w:pPr>
      <w:r>
        <w:t>LA_558</w:t>
      </w:r>
      <w:r>
        <w:tab/>
        <w:t>LA_499</w:t>
      </w:r>
    </w:p>
    <w:p w:rsidR="00B72047" w:rsidRDefault="00B72047">
      <w:pPr>
        <w:pStyle w:val="YACCXREF"/>
      </w:pPr>
      <w:r>
        <w:t>LAhE_561</w:t>
      </w:r>
      <w:r>
        <w:tab/>
        <w:t>qualifier_483</w:t>
      </w:r>
    </w:p>
    <w:p w:rsidR="00B72047" w:rsidRDefault="00B72047">
      <w:pPr>
        <w:pStyle w:val="YACCXREF"/>
      </w:pPr>
      <w:r>
        <w:t>LAU_559</w:t>
      </w:r>
      <w:r>
        <w:tab/>
        <w:t>lerfu_word_987</w:t>
      </w:r>
    </w:p>
    <w:p w:rsidR="00B72047" w:rsidRDefault="00B72047">
      <w:pPr>
        <w:pStyle w:val="YACCXREF"/>
      </w:pPr>
      <w:r>
        <w:t>LE_488</w:t>
      </w:r>
      <w:r>
        <w:tab/>
        <w:t>description_110</w:t>
      </w:r>
    </w:p>
    <w:p w:rsidR="00B72047" w:rsidRDefault="00B72047">
      <w:pPr>
        <w:pStyle w:val="YACCXREF"/>
      </w:pPr>
      <w:r>
        <w:t>LE_562</w:t>
      </w:r>
      <w:r>
        <w:tab/>
        <w:t>LE_488</w:t>
      </w:r>
    </w:p>
    <w:p w:rsidR="00B72047" w:rsidRDefault="00B72047">
      <w:pPr>
        <w:pStyle w:val="YACCXREF"/>
      </w:pPr>
      <w:r>
        <w:t>left_bracket_470</w:t>
      </w:r>
      <w:r>
        <w:tab/>
        <w:t>quantifier_300, subscript_486</w:t>
      </w:r>
    </w:p>
    <w:p w:rsidR="00B72047" w:rsidRDefault="00B72047">
      <w:pPr>
        <w:pStyle w:val="YACCXREF"/>
      </w:pPr>
      <w:r>
        <w:t>LEhU_565</w:t>
      </w:r>
      <w:r>
        <w:tab/>
        <w:t>LOhU_quote_436</w:t>
      </w:r>
    </w:p>
    <w:p w:rsidR="00B72047" w:rsidRDefault="00B72047">
      <w:pPr>
        <w:pStyle w:val="YACCXREF"/>
      </w:pPr>
      <w:r>
        <w:t>lerfu_string_817</w:t>
      </w:r>
      <w:r>
        <w:tab/>
        <w:t>anaphora_400, operand_C_385, subscript_486</w:t>
      </w:r>
    </w:p>
    <w:p w:rsidR="00B72047" w:rsidRDefault="00B72047">
      <w:pPr>
        <w:pStyle w:val="YACCXREF"/>
      </w:pPr>
      <w:r>
        <w:t>lerfu_string_root_986</w:t>
      </w:r>
      <w:r>
        <w:tab/>
        <w:t>lerfu_string_root_986, lerfu_word_987, lexer_Q_985, lexer_Y_1025, utt_ordinal_root_906</w:t>
      </w:r>
    </w:p>
    <w:p w:rsidR="00B72047" w:rsidRDefault="00B72047">
      <w:pPr>
        <w:pStyle w:val="YACCXREF"/>
      </w:pPr>
      <w:r>
        <w:t>lerfu_word_987</w:t>
      </w:r>
      <w:r>
        <w:tab/>
        <w:t>lerfu_string_root_986, lerfu_word_987, number_root_961</w:t>
      </w:r>
    </w:p>
    <w:p w:rsidR="00B72047" w:rsidRDefault="00B72047">
      <w:pPr>
        <w:pStyle w:val="YACCXREF"/>
      </w:pPr>
      <w:r>
        <w:t>lexer_A_701</w:t>
      </w:r>
      <w:r>
        <w:tab/>
        <w:t>lexer_A_905</w:t>
      </w:r>
    </w:p>
    <w:p w:rsidR="00B72047" w:rsidRDefault="00B72047">
      <w:pPr>
        <w:pStyle w:val="YACCXREF"/>
      </w:pPr>
      <w:r>
        <w:t>lexer_A_905</w:t>
      </w:r>
      <w:r>
        <w:tab/>
        <w:t>utterance_ordinal_801</w:t>
      </w:r>
    </w:p>
    <w:p w:rsidR="00B72047" w:rsidRDefault="00B72047">
      <w:pPr>
        <w:pStyle w:val="YACCXREF"/>
      </w:pPr>
      <w:r>
        <w:t>lexer_B_702</w:t>
      </w:r>
      <w:r>
        <w:tab/>
        <w:t>lexer_B_910</w:t>
      </w:r>
    </w:p>
    <w:p w:rsidR="00B72047" w:rsidRDefault="00B72047">
      <w:pPr>
        <w:pStyle w:val="YACCXREF"/>
      </w:pPr>
      <w:r>
        <w:t>lexer_B_910</w:t>
      </w:r>
      <w:r>
        <w:tab/>
        <w:t>EK_802</w:t>
      </w:r>
    </w:p>
    <w:p w:rsidR="00B72047" w:rsidRDefault="00B72047">
      <w:pPr>
        <w:pStyle w:val="YACCXREF"/>
      </w:pPr>
      <w:r>
        <w:t>lexer_C_703</w:t>
      </w:r>
      <w:r>
        <w:tab/>
        <w:t>lexer_C_915</w:t>
      </w:r>
    </w:p>
    <w:p w:rsidR="00B72047" w:rsidRDefault="00B72047">
      <w:pPr>
        <w:pStyle w:val="YACCXREF"/>
      </w:pPr>
      <w:r>
        <w:t>lexer_C_915</w:t>
      </w:r>
      <w:r>
        <w:tab/>
        <w:t>EK_BO_803</w:t>
      </w:r>
    </w:p>
    <w:p w:rsidR="00B72047" w:rsidRDefault="00B72047">
      <w:pPr>
        <w:pStyle w:val="YACCXREF"/>
      </w:pPr>
      <w:r>
        <w:t>lexer_D_704</w:t>
      </w:r>
      <w:r>
        <w:tab/>
        <w:t>lexer_D_916</w:t>
      </w:r>
    </w:p>
    <w:p w:rsidR="00B72047" w:rsidRDefault="00B72047">
      <w:pPr>
        <w:pStyle w:val="YACCXREF"/>
      </w:pPr>
      <w:r>
        <w:t>lexer_D_916</w:t>
      </w:r>
      <w:r>
        <w:tab/>
        <w:t>EK_KE_804</w:t>
      </w:r>
    </w:p>
    <w:p w:rsidR="00B72047" w:rsidRDefault="00B72047">
      <w:pPr>
        <w:pStyle w:val="YACCXREF"/>
      </w:pPr>
      <w:r>
        <w:t>lexer_E_705</w:t>
      </w:r>
      <w:r>
        <w:tab/>
        <w:t>lexer_E_925</w:t>
      </w:r>
    </w:p>
    <w:p w:rsidR="00B72047" w:rsidRDefault="00B72047">
      <w:pPr>
        <w:pStyle w:val="YACCXREF"/>
      </w:pPr>
      <w:r>
        <w:t>lexer_E_925</w:t>
      </w:r>
      <w:r>
        <w:tab/>
        <w:t>JEK_805</w:t>
      </w:r>
    </w:p>
    <w:p w:rsidR="00B72047" w:rsidRDefault="00B72047">
      <w:pPr>
        <w:pStyle w:val="YACCXREF"/>
      </w:pPr>
      <w:r>
        <w:t>lexer_F_706</w:t>
      </w:r>
      <w:r>
        <w:tab/>
        <w:t>lexer_F_930</w:t>
      </w:r>
    </w:p>
    <w:p w:rsidR="00B72047" w:rsidRDefault="00B72047">
      <w:pPr>
        <w:pStyle w:val="YACCXREF"/>
      </w:pPr>
      <w:r>
        <w:t>lexer_F_930</w:t>
      </w:r>
      <w:r>
        <w:tab/>
        <w:t>JOIK_806</w:t>
      </w:r>
    </w:p>
    <w:p w:rsidR="00B72047" w:rsidRDefault="00B72047">
      <w:pPr>
        <w:pStyle w:val="YACCXREF"/>
      </w:pPr>
      <w:r>
        <w:t>lexer_G_707</w:t>
      </w:r>
      <w:r>
        <w:tab/>
        <w:t>lexer_G_935</w:t>
      </w:r>
    </w:p>
    <w:p w:rsidR="00B72047" w:rsidRDefault="00B72047">
      <w:pPr>
        <w:pStyle w:val="YACCXREF"/>
      </w:pPr>
      <w:r>
        <w:t>lexer_G_935</w:t>
      </w:r>
      <w:r>
        <w:tab/>
        <w:t>GEK_807</w:t>
      </w:r>
    </w:p>
    <w:p w:rsidR="00B72047" w:rsidRDefault="00B72047">
      <w:pPr>
        <w:pStyle w:val="YACCXREF"/>
      </w:pPr>
      <w:r>
        <w:t>lexer_H_708</w:t>
      </w:r>
      <w:r>
        <w:tab/>
        <w:t>lexer_H_940</w:t>
      </w:r>
    </w:p>
    <w:p w:rsidR="00B72047" w:rsidRDefault="00B72047">
      <w:pPr>
        <w:pStyle w:val="YACCXREF"/>
      </w:pPr>
      <w:r>
        <w:t>lexer_H_940</w:t>
      </w:r>
      <w:r>
        <w:tab/>
        <w:t>GUhEK_808</w:t>
      </w:r>
    </w:p>
    <w:p w:rsidR="00B72047" w:rsidRDefault="00B72047">
      <w:pPr>
        <w:pStyle w:val="YACCXREF"/>
      </w:pPr>
      <w:r>
        <w:t>lexer_I_709</w:t>
      </w:r>
      <w:r>
        <w:tab/>
        <w:t>lexer_I_945</w:t>
      </w:r>
    </w:p>
    <w:p w:rsidR="00B72047" w:rsidRDefault="00B72047">
      <w:pPr>
        <w:pStyle w:val="YACCXREF"/>
      </w:pPr>
      <w:r>
        <w:t>lexer_I_945</w:t>
      </w:r>
      <w:r>
        <w:tab/>
        <w:t>NAhE_BO_809</w:t>
      </w:r>
    </w:p>
    <w:p w:rsidR="00B72047" w:rsidRDefault="00B72047">
      <w:pPr>
        <w:pStyle w:val="YACCXREF"/>
      </w:pPr>
      <w:r>
        <w:t>lexer_J_710</w:t>
      </w:r>
      <w:r>
        <w:tab/>
        <w:t>lexer_J_950</w:t>
      </w:r>
    </w:p>
    <w:p w:rsidR="00B72047" w:rsidRDefault="00B72047">
      <w:pPr>
        <w:pStyle w:val="YACCXREF"/>
      </w:pPr>
      <w:r>
        <w:t>lexer_J_950</w:t>
      </w:r>
      <w:r>
        <w:tab/>
        <w:t>NA_KU_810</w:t>
      </w:r>
    </w:p>
    <w:p w:rsidR="00B72047" w:rsidRDefault="00B72047">
      <w:pPr>
        <w:pStyle w:val="YACCXREF"/>
      </w:pPr>
      <w:r>
        <w:t>lexer_K_711</w:t>
      </w:r>
      <w:r>
        <w:tab/>
        <w:t>lexer_K_955</w:t>
      </w:r>
    </w:p>
    <w:p w:rsidR="00B72047" w:rsidRDefault="00B72047">
      <w:pPr>
        <w:pStyle w:val="YACCXREF"/>
      </w:pPr>
      <w:r>
        <w:t>lexer_K_955</w:t>
      </w:r>
      <w:r>
        <w:tab/>
        <w:t>I_BO_811</w:t>
      </w:r>
    </w:p>
    <w:p w:rsidR="00B72047" w:rsidRDefault="00B72047">
      <w:pPr>
        <w:pStyle w:val="YACCXREF"/>
      </w:pPr>
      <w:r>
        <w:t>lexer_L_712</w:t>
      </w:r>
      <w:r>
        <w:tab/>
        <w:t>lexer_L_960</w:t>
      </w:r>
    </w:p>
    <w:p w:rsidR="00B72047" w:rsidRDefault="00B72047">
      <w:pPr>
        <w:pStyle w:val="YACCXREF"/>
      </w:pPr>
      <w:r>
        <w:t>lexer_L_960</w:t>
      </w:r>
      <w:r>
        <w:tab/>
        <w:t>number_812</w:t>
      </w:r>
    </w:p>
    <w:p w:rsidR="00B72047" w:rsidRDefault="00B72047">
      <w:pPr>
        <w:pStyle w:val="YACCXREF"/>
      </w:pPr>
      <w:r>
        <w:t>lexer_M_713</w:t>
      </w:r>
      <w:r>
        <w:tab/>
        <w:t>lexer_M_965</w:t>
      </w:r>
    </w:p>
    <w:p w:rsidR="00B72047" w:rsidRDefault="00B72047">
      <w:pPr>
        <w:pStyle w:val="YACCXREF"/>
      </w:pPr>
      <w:r>
        <w:t>lexer_M_965</w:t>
      </w:r>
      <w:r>
        <w:tab/>
        <w:t>GIhEK_BO_813</w:t>
      </w:r>
    </w:p>
    <w:p w:rsidR="00B72047" w:rsidRDefault="00B72047">
      <w:pPr>
        <w:pStyle w:val="YACCXREF"/>
      </w:pPr>
      <w:r>
        <w:t>lexer_N_714</w:t>
      </w:r>
      <w:r>
        <w:tab/>
        <w:t>lexer_N_966</w:t>
      </w:r>
    </w:p>
    <w:p w:rsidR="00B72047" w:rsidRDefault="00B72047">
      <w:pPr>
        <w:pStyle w:val="YACCXREF"/>
      </w:pPr>
      <w:r>
        <w:t>lexer_N_966</w:t>
      </w:r>
      <w:r>
        <w:tab/>
        <w:t>GIhEK_KE_814</w:t>
      </w:r>
    </w:p>
    <w:p w:rsidR="00B72047" w:rsidRDefault="00B72047">
      <w:pPr>
        <w:pStyle w:val="YACCXREF"/>
      </w:pPr>
      <w:r>
        <w:t>lexer_O_715</w:t>
      </w:r>
      <w:r>
        <w:tab/>
        <w:t>lexer_O_970</w:t>
      </w:r>
    </w:p>
    <w:p w:rsidR="00B72047" w:rsidRDefault="00B72047">
      <w:pPr>
        <w:pStyle w:val="YACCXREF"/>
      </w:pPr>
      <w:r>
        <w:t>lexer_O_970</w:t>
      </w:r>
      <w:r>
        <w:tab/>
        <w:t>tense_modal_815</w:t>
      </w:r>
    </w:p>
    <w:p w:rsidR="00B72047" w:rsidRDefault="00B72047">
      <w:pPr>
        <w:pStyle w:val="YACCXREF"/>
      </w:pPr>
      <w:r>
        <w:t>lexer_P_716</w:t>
      </w:r>
      <w:r>
        <w:tab/>
        <w:t>lexer_P_980</w:t>
      </w:r>
    </w:p>
    <w:p w:rsidR="00B72047" w:rsidRDefault="00B72047">
      <w:pPr>
        <w:pStyle w:val="YACCXREF"/>
      </w:pPr>
      <w:r>
        <w:t>lexer_P_980</w:t>
      </w:r>
      <w:r>
        <w:tab/>
        <w:t>GIK_816</w:t>
      </w:r>
    </w:p>
    <w:p w:rsidR="00B72047" w:rsidRDefault="00B72047">
      <w:pPr>
        <w:pStyle w:val="YACCXREF"/>
      </w:pPr>
      <w:r>
        <w:t>lexer_Q_717</w:t>
      </w:r>
      <w:r>
        <w:tab/>
        <w:t>lexer_Q_985</w:t>
      </w:r>
    </w:p>
    <w:p w:rsidR="00B72047" w:rsidRDefault="00B72047">
      <w:pPr>
        <w:pStyle w:val="YACCXREF"/>
      </w:pPr>
      <w:r>
        <w:t>lexer_Q_985</w:t>
      </w:r>
      <w:r>
        <w:tab/>
        <w:t>lerfu_string_817</w:t>
      </w:r>
    </w:p>
    <w:p w:rsidR="00B72047" w:rsidRDefault="00B72047">
      <w:pPr>
        <w:pStyle w:val="YACCXREF"/>
      </w:pPr>
      <w:r>
        <w:t>lexer_R_718</w:t>
      </w:r>
      <w:r>
        <w:tab/>
        <w:t>lexer_R_990</w:t>
      </w:r>
    </w:p>
    <w:p w:rsidR="00B72047" w:rsidRDefault="00B72047">
      <w:pPr>
        <w:pStyle w:val="YACCXREF"/>
      </w:pPr>
      <w:r>
        <w:t>lexer_R_990</w:t>
      </w:r>
      <w:r>
        <w:tab/>
        <w:t>GIhEK_818</w:t>
      </w:r>
    </w:p>
    <w:p w:rsidR="00B72047" w:rsidRDefault="00B72047">
      <w:pPr>
        <w:pStyle w:val="YACCXREF"/>
      </w:pPr>
      <w:r>
        <w:t>lexer_S_719</w:t>
      </w:r>
      <w:r>
        <w:tab/>
        <w:t>lexer_S_995</w:t>
      </w:r>
    </w:p>
    <w:p w:rsidR="00B72047" w:rsidRDefault="00B72047">
      <w:pPr>
        <w:pStyle w:val="YACCXREF"/>
      </w:pPr>
      <w:r>
        <w:t>lexer_S_995</w:t>
      </w:r>
      <w:r>
        <w:tab/>
        <w:t>I_819</w:t>
      </w:r>
    </w:p>
    <w:p w:rsidR="00B72047" w:rsidRDefault="00B72047">
      <w:pPr>
        <w:pStyle w:val="YACCXREF"/>
      </w:pPr>
      <w:r>
        <w:t>lexer_T_1000</w:t>
      </w:r>
      <w:r>
        <w:tab/>
        <w:t>I_JEK_820</w:t>
      </w:r>
    </w:p>
    <w:p w:rsidR="00B72047" w:rsidRDefault="00B72047">
      <w:pPr>
        <w:pStyle w:val="YACCXREF"/>
      </w:pPr>
      <w:r>
        <w:t>lexer_T_720</w:t>
      </w:r>
      <w:r>
        <w:tab/>
        <w:t>lexer_T_1000</w:t>
      </w:r>
    </w:p>
    <w:p w:rsidR="00B72047" w:rsidRDefault="00B72047">
      <w:pPr>
        <w:pStyle w:val="YACCXREF"/>
      </w:pPr>
      <w:r>
        <w:t>lexer_U_1005</w:t>
      </w:r>
      <w:r>
        <w:tab/>
        <w:t>JEK_BO_821</w:t>
      </w:r>
    </w:p>
    <w:p w:rsidR="00B72047" w:rsidRDefault="00B72047">
      <w:pPr>
        <w:pStyle w:val="YACCXREF"/>
      </w:pPr>
      <w:r>
        <w:t>lexer_U_721</w:t>
      </w:r>
      <w:r>
        <w:tab/>
        <w:t>lexer_U_1005</w:t>
      </w:r>
    </w:p>
    <w:p w:rsidR="00B72047" w:rsidRDefault="00B72047">
      <w:pPr>
        <w:pStyle w:val="YACCXREF"/>
      </w:pPr>
      <w:r>
        <w:t>lexer_V_1010</w:t>
      </w:r>
      <w:r>
        <w:tab/>
        <w:t>JOIK_BO_822</w:t>
      </w:r>
    </w:p>
    <w:p w:rsidR="00B72047" w:rsidRDefault="00B72047">
      <w:pPr>
        <w:pStyle w:val="YACCXREF"/>
      </w:pPr>
      <w:r>
        <w:t>lexer_V_722</w:t>
      </w:r>
      <w:r>
        <w:tab/>
        <w:t>lexer_V_1010</w:t>
      </w:r>
    </w:p>
    <w:p w:rsidR="00B72047" w:rsidRDefault="00B72047">
      <w:pPr>
        <w:pStyle w:val="YACCXREF"/>
      </w:pPr>
      <w:r>
        <w:t>lexer_W_1015</w:t>
      </w:r>
      <w:r>
        <w:tab/>
        <w:t>JOIK_KE_823</w:t>
      </w:r>
    </w:p>
    <w:p w:rsidR="00B72047" w:rsidRDefault="00B72047">
      <w:pPr>
        <w:pStyle w:val="YACCXREF"/>
      </w:pPr>
      <w:r>
        <w:t>lexer_W_723</w:t>
      </w:r>
      <w:r>
        <w:tab/>
        <w:t>lexer_W_1015</w:t>
      </w:r>
    </w:p>
    <w:p w:rsidR="00B72047" w:rsidRDefault="00B72047">
      <w:pPr>
        <w:pStyle w:val="YACCXREF"/>
      </w:pPr>
      <w:r>
        <w:t>lexer_Y_1025</w:t>
      </w:r>
      <w:r>
        <w:tab/>
        <w:t>PA_MOI_824</w:t>
      </w:r>
    </w:p>
    <w:p w:rsidR="00B72047" w:rsidRDefault="00B72047">
      <w:pPr>
        <w:pStyle w:val="YACCXREF"/>
      </w:pPr>
      <w:r>
        <w:t>lexer_Y_725</w:t>
      </w:r>
      <w:r>
        <w:tab/>
        <w:t>lexer_Y_1025</w:t>
      </w:r>
    </w:p>
    <w:p w:rsidR="00B72047" w:rsidRDefault="00B72047">
      <w:pPr>
        <w:pStyle w:val="YACCXREF"/>
      </w:pPr>
      <w:r>
        <w:t>LI_489</w:t>
      </w:r>
      <w:r>
        <w:tab/>
        <w:t>sumti_G_97</w:t>
      </w:r>
    </w:p>
    <w:p w:rsidR="00B72047" w:rsidRDefault="00B72047">
      <w:pPr>
        <w:pStyle w:val="YACCXREF"/>
      </w:pPr>
      <w:r>
        <w:t>LI_566</w:t>
      </w:r>
      <w:r>
        <w:tab/>
        <w:t>LI_489</w:t>
      </w:r>
    </w:p>
    <w:p w:rsidR="00B72047" w:rsidRDefault="00B72047">
      <w:pPr>
        <w:pStyle w:val="YACCXREF"/>
      </w:pPr>
      <w:r>
        <w:t>LIhU_567</w:t>
      </w:r>
      <w:r>
        <w:tab/>
        <w:t>LIhU_gap_448</w:t>
      </w:r>
    </w:p>
    <w:p w:rsidR="00B72047" w:rsidRDefault="00B72047">
      <w:pPr>
        <w:pStyle w:val="YACCXREF"/>
      </w:pPr>
      <w:r>
        <w:t>LIhU_gap_448</w:t>
      </w:r>
      <w:r>
        <w:tab/>
        <w:t>quote_arg_A_433</w:t>
      </w:r>
    </w:p>
    <w:p w:rsidR="00B72047" w:rsidRDefault="00B72047">
      <w:pPr>
        <w:pStyle w:val="YACCXREF"/>
      </w:pPr>
      <w:r>
        <w:t>linkargs_160</w:t>
      </w:r>
      <w:r>
        <w:tab/>
        <w:t>fragment_20, tanru_unit_A_151</w:t>
      </w:r>
    </w:p>
    <w:p w:rsidR="00B72047" w:rsidRDefault="00B72047">
      <w:pPr>
        <w:pStyle w:val="YACCXREF"/>
      </w:pPr>
      <w:r>
        <w:t>links_161</w:t>
      </w:r>
      <w:r>
        <w:tab/>
        <w:t>fragment_20, linkargs_160, links_161</w:t>
      </w:r>
    </w:p>
    <w:p w:rsidR="00B72047" w:rsidRDefault="00B72047">
      <w:pPr>
        <w:pStyle w:val="YACCXREF"/>
      </w:pPr>
      <w:r>
        <w:t>LOhO_568</w:t>
      </w:r>
      <w:r>
        <w:tab/>
        <w:t>LOhO_gap_472</w:t>
      </w:r>
    </w:p>
    <w:p w:rsidR="00B72047" w:rsidRDefault="00B72047">
      <w:pPr>
        <w:pStyle w:val="YACCXREF"/>
      </w:pPr>
      <w:r>
        <w:t>LOhO_gap_472</w:t>
      </w:r>
      <w:r>
        <w:tab/>
        <w:t>sumti_G_97</w:t>
      </w:r>
    </w:p>
    <w:p w:rsidR="00B72047" w:rsidRDefault="00B72047">
      <w:pPr>
        <w:pStyle w:val="YACCXREF"/>
      </w:pPr>
      <w:r>
        <w:t>LOhU_569</w:t>
      </w:r>
      <w:r>
        <w:tab/>
        <w:t>LOhU_quote_436</w:t>
      </w:r>
    </w:p>
    <w:p w:rsidR="00B72047" w:rsidRDefault="00B72047">
      <w:pPr>
        <w:pStyle w:val="YACCXREF"/>
      </w:pPr>
      <w:r>
        <w:t>LOhU_quote_436</w:t>
      </w:r>
      <w:r>
        <w:tab/>
        <w:t>quote_arg_A_433</w:t>
      </w:r>
    </w:p>
    <w:p w:rsidR="00B72047" w:rsidRDefault="00B72047">
      <w:pPr>
        <w:pStyle w:val="YACCXREF"/>
      </w:pPr>
      <w:r>
        <w:t>LU_571</w:t>
      </w:r>
      <w:r>
        <w:tab/>
        <w:t>quote_arg_A_433</w:t>
      </w:r>
    </w:p>
    <w:p w:rsidR="00B72047" w:rsidRDefault="00B72047">
      <w:pPr>
        <w:pStyle w:val="YACCXREF"/>
      </w:pPr>
      <w:r>
        <w:t>LUhU_573</w:t>
      </w:r>
      <w:r>
        <w:tab/>
        <w:t>LUhU_gap_463</w:t>
      </w:r>
    </w:p>
    <w:p w:rsidR="00B72047" w:rsidRDefault="00B72047">
      <w:pPr>
        <w:pStyle w:val="YACCXREF"/>
      </w:pPr>
      <w:r>
        <w:t>LUhU_gap_463</w:t>
      </w:r>
      <w:r>
        <w:tab/>
        <w:t>operand_C_385, sumti_G_97</w:t>
      </w:r>
    </w:p>
    <w:p w:rsidR="00B72047" w:rsidRDefault="00B72047">
      <w:pPr>
        <w:pStyle w:val="YACCXREF"/>
      </w:pPr>
      <w:r>
        <w:t>MAhO_430</w:t>
      </w:r>
      <w:r>
        <w:tab/>
        <w:t>MEX_operator_374</w:t>
      </w:r>
    </w:p>
    <w:p w:rsidR="00B72047" w:rsidRDefault="00B72047">
      <w:pPr>
        <w:pStyle w:val="YACCXREF"/>
      </w:pPr>
      <w:r>
        <w:t>MAhO_662</w:t>
      </w:r>
      <w:r>
        <w:tab/>
        <w:t>MAhO_430</w:t>
      </w:r>
    </w:p>
    <w:p w:rsidR="00B72047" w:rsidRDefault="00B72047">
      <w:pPr>
        <w:pStyle w:val="YACCXREF"/>
      </w:pPr>
      <w:r>
        <w:t>MAI_661</w:t>
      </w:r>
      <w:r>
        <w:tab/>
        <w:t>utt_ordinal_root_906</w:t>
      </w:r>
    </w:p>
    <w:p w:rsidR="00B72047" w:rsidRDefault="00B72047">
      <w:pPr>
        <w:pStyle w:val="YACCXREF"/>
      </w:pPr>
      <w:r>
        <w:t>ME_477</w:t>
      </w:r>
      <w:r>
        <w:tab/>
        <w:t>tanru_unit_B_152</w:t>
      </w:r>
    </w:p>
    <w:p w:rsidR="00B72047" w:rsidRDefault="00B72047">
      <w:pPr>
        <w:pStyle w:val="YACCXREF"/>
      </w:pPr>
      <w:r>
        <w:t>ME_574</w:t>
      </w:r>
      <w:r>
        <w:tab/>
        <w:t>ME_477</w:t>
      </w:r>
    </w:p>
    <w:p w:rsidR="00B72047" w:rsidRDefault="00B72047">
      <w:pPr>
        <w:pStyle w:val="YACCXREF"/>
      </w:pPr>
      <w:r>
        <w:t>MEhU_575</w:t>
      </w:r>
      <w:r>
        <w:tab/>
        <w:t>MEhU_gap_465</w:t>
      </w:r>
    </w:p>
    <w:p w:rsidR="00B72047" w:rsidRDefault="00B72047">
      <w:pPr>
        <w:pStyle w:val="YACCXREF"/>
      </w:pPr>
      <w:r>
        <w:t>MEhU_gap_465</w:t>
      </w:r>
      <w:r>
        <w:tab/>
        <w:t>tanru_unit_B_152</w:t>
      </w:r>
    </w:p>
    <w:p w:rsidR="00B72047" w:rsidRDefault="00B72047">
      <w:pPr>
        <w:pStyle w:val="YACCXREF"/>
      </w:pPr>
      <w:r>
        <w:t>MEX_310</w:t>
      </w:r>
      <w:r>
        <w:tab/>
        <w:t>MEX_310, MEX_operator_374, quantifier_300, subscript_486, sumti_G_97</w:t>
      </w:r>
    </w:p>
    <w:p w:rsidR="00B72047" w:rsidRDefault="00B72047">
      <w:pPr>
        <w:pStyle w:val="YACCXREF"/>
      </w:pPr>
      <w:r>
        <w:t>MEX_A_311</w:t>
      </w:r>
      <w:r>
        <w:tab/>
        <w:t>MEX_310, MEX_A_311</w:t>
      </w:r>
    </w:p>
    <w:p w:rsidR="00B72047" w:rsidRDefault="00B72047">
      <w:pPr>
        <w:pStyle w:val="YACCXREF"/>
      </w:pPr>
      <w:r>
        <w:t>MEX_B_312</w:t>
      </w:r>
      <w:r>
        <w:tab/>
        <w:t>MEX_A_311, MEX_C_313</w:t>
      </w:r>
    </w:p>
    <w:p w:rsidR="00B72047" w:rsidRDefault="00B72047">
      <w:pPr>
        <w:pStyle w:val="YACCXREF"/>
      </w:pPr>
      <w:r>
        <w:t>MEX_C_313</w:t>
      </w:r>
      <w:r>
        <w:tab/>
        <w:t>MEX_B_312, MEX_C_313, operand_C_385</w:t>
      </w:r>
    </w:p>
    <w:p w:rsidR="00B72047" w:rsidRDefault="00B72047">
      <w:pPr>
        <w:pStyle w:val="YACCXREF"/>
      </w:pPr>
      <w:r>
        <w:t>MEX_gap_452</w:t>
      </w:r>
      <w:r>
        <w:tab/>
        <w:t>MEX_B_312</w:t>
      </w:r>
    </w:p>
    <w:p w:rsidR="00B72047" w:rsidRDefault="00B72047">
      <w:pPr>
        <w:pStyle w:val="YACCXREF"/>
      </w:pPr>
      <w:r>
        <w:t>MEX_operator_374</w:t>
      </w:r>
      <w:r>
        <w:tab/>
        <w:t>MEX_operator_374, operator_B_372, tanru_unit_B_152</w:t>
      </w:r>
    </w:p>
    <w:p w:rsidR="00B72047" w:rsidRDefault="00B72047">
      <w:pPr>
        <w:pStyle w:val="YACCXREF"/>
      </w:pPr>
      <w:r>
        <w:t>modal_974</w:t>
      </w:r>
      <w:r>
        <w:tab/>
        <w:t>simple_tense_modal_A_973</w:t>
      </w:r>
    </w:p>
    <w:p w:rsidR="00B72047" w:rsidRDefault="00B72047">
      <w:pPr>
        <w:pStyle w:val="YACCXREF"/>
      </w:pPr>
      <w:r>
        <w:t>modal_A_975</w:t>
      </w:r>
      <w:r>
        <w:tab/>
        <w:t>modal_974</w:t>
      </w:r>
    </w:p>
    <w:p w:rsidR="00B72047" w:rsidRDefault="00B72047">
      <w:pPr>
        <w:pStyle w:val="YACCXREF"/>
      </w:pPr>
      <w:r>
        <w:t>mod_head_490</w:t>
      </w:r>
      <w:r>
        <w:tab/>
        <w:t>modifier_84</w:t>
      </w:r>
    </w:p>
    <w:p w:rsidR="00B72047" w:rsidRDefault="00B72047">
      <w:pPr>
        <w:pStyle w:val="YACCXREF"/>
      </w:pPr>
      <w:r>
        <w:t>modifier_84</w:t>
      </w:r>
      <w:r>
        <w:tab/>
        <w:t>term_83</w:t>
      </w:r>
    </w:p>
    <w:p w:rsidR="00B72047" w:rsidRDefault="00B72047">
      <w:pPr>
        <w:pStyle w:val="YACCXREF"/>
      </w:pPr>
      <w:r>
        <w:t>MOhE_427</w:t>
      </w:r>
      <w:r>
        <w:tab/>
        <w:t>operand_C_385</w:t>
      </w:r>
    </w:p>
    <w:p w:rsidR="00B72047" w:rsidRDefault="00B72047">
      <w:pPr>
        <w:pStyle w:val="YACCXREF"/>
      </w:pPr>
      <w:r>
        <w:t>MOhE_664</w:t>
      </w:r>
      <w:r>
        <w:tab/>
        <w:t>MOhE_427</w:t>
      </w:r>
    </w:p>
    <w:p w:rsidR="00B72047" w:rsidRDefault="00B72047">
      <w:pPr>
        <w:pStyle w:val="YACCXREF"/>
      </w:pPr>
      <w:r>
        <w:t>MOhI_577</w:t>
      </w:r>
      <w:r>
        <w:tab/>
        <w:t>space_motion_1041</w:t>
      </w:r>
    </w:p>
    <w:p w:rsidR="00B72047" w:rsidRDefault="00B72047">
      <w:pPr>
        <w:pStyle w:val="YACCXREF"/>
      </w:pPr>
      <w:r>
        <w:t>MOI_476</w:t>
      </w:r>
      <w:r>
        <w:tab/>
        <w:t>tanru_unit_B_152</w:t>
      </w:r>
    </w:p>
    <w:p w:rsidR="00B72047" w:rsidRDefault="00B72047">
      <w:pPr>
        <w:pStyle w:val="YACCXREF"/>
      </w:pPr>
      <w:r>
        <w:t>MOI_663</w:t>
      </w:r>
      <w:r>
        <w:tab/>
        <w:t>lexer_Y_1025, MOI_476</w:t>
      </w:r>
    </w:p>
    <w:p w:rsidR="00B72047" w:rsidRDefault="00B72047">
      <w:pPr>
        <w:pStyle w:val="YACCXREF"/>
      </w:pPr>
      <w:r>
        <w:t>NA_445</w:t>
      </w:r>
      <w:r>
        <w:tab/>
        <w:t>fragment_20, gek_sentence_54, selbri_A_131</w:t>
      </w:r>
    </w:p>
    <w:p w:rsidR="00B72047" w:rsidRDefault="00B72047">
      <w:pPr>
        <w:pStyle w:val="YACCXREF"/>
      </w:pPr>
      <w:r>
        <w:t>NA_578</w:t>
      </w:r>
      <w:r>
        <w:tab/>
        <w:t>EK_root_911, GIhEK_root_991, JEK_root_926, lexer_J_950, NA_445</w:t>
      </w:r>
    </w:p>
    <w:p w:rsidR="00B72047" w:rsidRDefault="00B72047">
      <w:pPr>
        <w:pStyle w:val="YACCXREF"/>
      </w:pPr>
      <w:r>
        <w:t>NAhE_482</w:t>
      </w:r>
      <w:r>
        <w:tab/>
        <w:t>MEX_operator_374, selbri_F_136, tanru_unit_B_152</w:t>
      </w:r>
    </w:p>
    <w:p w:rsidR="00B72047" w:rsidRDefault="00B72047">
      <w:pPr>
        <w:pStyle w:val="YACCXREF"/>
      </w:pPr>
      <w:r>
        <w:t>NAhE_583</w:t>
      </w:r>
      <w:r>
        <w:tab/>
        <w:t>lexer_I_945, NAhE_482, simple_tense_modal_972</w:t>
      </w:r>
    </w:p>
    <w:p w:rsidR="00B72047" w:rsidRDefault="00B72047">
      <w:pPr>
        <w:pStyle w:val="YACCXREF"/>
      </w:pPr>
      <w:r>
        <w:t>NAhE_BO_809</w:t>
      </w:r>
      <w:r>
        <w:tab/>
        <w:t>qualifier_483</w:t>
      </w:r>
    </w:p>
    <w:p w:rsidR="00B72047" w:rsidRDefault="00B72047">
      <w:pPr>
        <w:pStyle w:val="YACCXREF"/>
      </w:pPr>
      <w:r>
        <w:t>NAhU_429</w:t>
      </w:r>
      <w:r>
        <w:tab/>
        <w:t>MEX_operator_374</w:t>
      </w:r>
    </w:p>
    <w:p w:rsidR="00B72047" w:rsidRDefault="00B72047">
      <w:pPr>
        <w:pStyle w:val="YACCXREF"/>
      </w:pPr>
      <w:r>
        <w:t>NAhU_665</w:t>
      </w:r>
      <w:r>
        <w:tab/>
        <w:t>NAhU_429</w:t>
      </w:r>
    </w:p>
    <w:p w:rsidR="00B72047" w:rsidRDefault="00B72047">
      <w:pPr>
        <w:pStyle w:val="YACCXREF"/>
      </w:pPr>
      <w:r>
        <w:t>NAI_581</w:t>
      </w:r>
      <w:r>
        <w:tab/>
        <w:t>COI_A_417, EK_root_911, GIhEK_root_991, GIK_root_981, indic</w:t>
      </w:r>
      <w:r>
        <w:t>a</w:t>
      </w:r>
      <w:r>
        <w:t>tor_413, interval_932, interval_property_1051, JEK_root_926, JOIK_root_931, lexer_G_935, lexer_H_940, modal_974, NU_A_426, space_direction_1048, text_0, time_direction_1035, token_1100</w:t>
      </w:r>
    </w:p>
    <w:p w:rsidR="00B72047" w:rsidRDefault="00B72047">
      <w:pPr>
        <w:pStyle w:val="YACCXREF"/>
      </w:pPr>
      <w:r>
        <w:t>NA_KU_810</w:t>
      </w:r>
      <w:r>
        <w:tab/>
        <w:t>term_83</w:t>
      </w:r>
    </w:p>
    <w:p w:rsidR="00B72047" w:rsidRDefault="00B72047">
      <w:pPr>
        <w:pStyle w:val="YACCXREF"/>
      </w:pPr>
      <w:r>
        <w:t>NIhE_428</w:t>
      </w:r>
      <w:r>
        <w:tab/>
        <w:t>operand_C_385</w:t>
      </w:r>
    </w:p>
    <w:p w:rsidR="00B72047" w:rsidRDefault="00B72047">
      <w:pPr>
        <w:pStyle w:val="YACCXREF"/>
      </w:pPr>
      <w:r>
        <w:t>NIhE_666</w:t>
      </w:r>
      <w:r>
        <w:tab/>
        <w:t>NIhE_428</w:t>
      </w:r>
    </w:p>
    <w:p w:rsidR="00B72047" w:rsidRDefault="00B72047">
      <w:pPr>
        <w:pStyle w:val="YACCXREF"/>
      </w:pPr>
      <w:r>
        <w:t>NIhO_584</w:t>
      </w:r>
      <w:r>
        <w:tab/>
        <w:t>para_mark_410</w:t>
      </w:r>
    </w:p>
    <w:p w:rsidR="00B72047" w:rsidRDefault="00B72047">
      <w:pPr>
        <w:pStyle w:val="YACCXREF"/>
      </w:pPr>
      <w:r>
        <w:t>NOI_484</w:t>
      </w:r>
      <w:r>
        <w:tab/>
        <w:t>relative_clause_122</w:t>
      </w:r>
    </w:p>
    <w:p w:rsidR="00B72047" w:rsidRDefault="00B72047">
      <w:pPr>
        <w:pStyle w:val="YACCXREF"/>
      </w:pPr>
      <w:r>
        <w:t>NOI_585</w:t>
      </w:r>
      <w:r>
        <w:tab/>
        <w:t>NOI_484</w:t>
      </w:r>
    </w:p>
    <w:p w:rsidR="00B72047" w:rsidRDefault="00B72047">
      <w:pPr>
        <w:pStyle w:val="YACCXREF"/>
      </w:pPr>
      <w:r>
        <w:t>NU_425</w:t>
      </w:r>
      <w:r>
        <w:tab/>
        <w:t>NU_425, tanru_unit_B_152</w:t>
      </w:r>
    </w:p>
    <w:p w:rsidR="00B72047" w:rsidRDefault="00B72047">
      <w:pPr>
        <w:pStyle w:val="YACCXREF"/>
      </w:pPr>
      <w:r>
        <w:t>NU_586</w:t>
      </w:r>
      <w:r>
        <w:tab/>
        <w:t>NU_A_426</w:t>
      </w:r>
    </w:p>
    <w:p w:rsidR="00B72047" w:rsidRDefault="00B72047">
      <w:pPr>
        <w:pStyle w:val="YACCXREF"/>
      </w:pPr>
      <w:r>
        <w:t>NU_A_426</w:t>
      </w:r>
      <w:r>
        <w:tab/>
        <w:t>NU_425</w:t>
      </w:r>
    </w:p>
    <w:p w:rsidR="00B72047" w:rsidRDefault="00B72047">
      <w:pPr>
        <w:pStyle w:val="YACCXREF"/>
      </w:pPr>
      <w:r>
        <w:t>NUhA_475</w:t>
      </w:r>
      <w:r>
        <w:tab/>
        <w:t>tanru_unit_B_152</w:t>
      </w:r>
    </w:p>
    <w:p w:rsidR="00B72047" w:rsidRDefault="00B72047">
      <w:pPr>
        <w:pStyle w:val="YACCXREF"/>
      </w:pPr>
      <w:r>
        <w:t>NUhA_667</w:t>
      </w:r>
      <w:r>
        <w:tab/>
        <w:t>NUhA_475</w:t>
      </w:r>
    </w:p>
    <w:p w:rsidR="00B72047" w:rsidRDefault="00B72047">
      <w:pPr>
        <w:pStyle w:val="YACCXREF"/>
      </w:pPr>
      <w:r>
        <w:t>NUhI_496</w:t>
      </w:r>
      <w:r>
        <w:tab/>
        <w:t>term_set_85</w:t>
      </w:r>
    </w:p>
    <w:p w:rsidR="00B72047" w:rsidRDefault="00B72047">
      <w:pPr>
        <w:pStyle w:val="YACCXREF"/>
      </w:pPr>
      <w:r>
        <w:t>NUhI_587</w:t>
      </w:r>
      <w:r>
        <w:tab/>
        <w:t>NUhI_496</w:t>
      </w:r>
    </w:p>
    <w:p w:rsidR="00B72047" w:rsidRDefault="00B72047">
      <w:pPr>
        <w:pStyle w:val="YACCXREF"/>
      </w:pPr>
      <w:r>
        <w:t>NUhU_588</w:t>
      </w:r>
      <w:r>
        <w:tab/>
        <w:t>NUhU_gap_460</w:t>
      </w:r>
    </w:p>
    <w:p w:rsidR="00B72047" w:rsidRDefault="00B72047">
      <w:pPr>
        <w:pStyle w:val="YACCXREF"/>
      </w:pPr>
      <w:r>
        <w:t>NUhU_gap_460</w:t>
      </w:r>
      <w:r>
        <w:tab/>
        <w:t>term_set_85</w:t>
      </w:r>
    </w:p>
    <w:p w:rsidR="00B72047" w:rsidRDefault="00B72047">
      <w:pPr>
        <w:pStyle w:val="YACCXREF"/>
      </w:pPr>
      <w:r>
        <w:t>number_812</w:t>
      </w:r>
      <w:r>
        <w:tab/>
        <w:t>quantifier_300, subscript_486</w:t>
      </w:r>
    </w:p>
    <w:p w:rsidR="00B72047" w:rsidRDefault="00B72047">
      <w:pPr>
        <w:pStyle w:val="YACCXREF"/>
      </w:pPr>
      <w:r>
        <w:t>number_root_961</w:t>
      </w:r>
      <w:r>
        <w:tab/>
        <w:t>interval_property_1051, lexer_L_960, lexer_Y_1025, nu</w:t>
      </w:r>
      <w:r>
        <w:t>m</w:t>
      </w:r>
      <w:r>
        <w:t>ber_root_961, utt_ordinal_root_906</w:t>
      </w:r>
    </w:p>
    <w:p w:rsidR="00B72047" w:rsidRDefault="00B72047">
      <w:pPr>
        <w:pStyle w:val="YACCXREF"/>
      </w:pPr>
      <w:r>
        <w:t>operand_381</w:t>
      </w:r>
      <w:r>
        <w:tab/>
        <w:t>MEX_B_312, operand_381, operand_C_385, rp_operand_332</w:t>
      </w:r>
    </w:p>
    <w:p w:rsidR="00B72047" w:rsidRDefault="00B72047">
      <w:pPr>
        <w:pStyle w:val="YACCXREF"/>
      </w:pPr>
      <w:r>
        <w:t>operand_A_382</w:t>
      </w:r>
      <w:r>
        <w:tab/>
        <w:t>operand_381, operand_A_382</w:t>
      </w:r>
    </w:p>
    <w:p w:rsidR="00B72047" w:rsidRDefault="00B72047">
      <w:pPr>
        <w:pStyle w:val="YACCXREF"/>
      </w:pPr>
      <w:r>
        <w:t>operand_B_383</w:t>
      </w:r>
      <w:r>
        <w:tab/>
        <w:t>operand_A_382, operand_B_383</w:t>
      </w:r>
    </w:p>
    <w:p w:rsidR="00B72047" w:rsidRDefault="00B72047">
      <w:pPr>
        <w:pStyle w:val="YACCXREF"/>
      </w:pPr>
      <w:r>
        <w:t>operand_C_385</w:t>
      </w:r>
      <w:r>
        <w:tab/>
        <w:t>operand_B_383, operand_C_385</w:t>
      </w:r>
    </w:p>
    <w:p w:rsidR="00B72047" w:rsidRDefault="00B72047">
      <w:pPr>
        <w:pStyle w:val="YACCXREF"/>
      </w:pPr>
      <w:r>
        <w:t>operator_370</w:t>
      </w:r>
      <w:r>
        <w:tab/>
        <w:t>MEX_310, MEX_A_311, MEX_B_312, operator_370, oper</w:t>
      </w:r>
      <w:r>
        <w:t>a</w:t>
      </w:r>
      <w:r>
        <w:t>tor_B_372, rp_expression_330</w:t>
      </w:r>
    </w:p>
    <w:p w:rsidR="00B72047" w:rsidRDefault="00B72047">
      <w:pPr>
        <w:pStyle w:val="YACCXREF"/>
      </w:pPr>
      <w:r>
        <w:t>operator_A_371</w:t>
      </w:r>
      <w:r>
        <w:tab/>
        <w:t>operator_370, operator_A_371</w:t>
      </w:r>
    </w:p>
    <w:p w:rsidR="00B72047" w:rsidRDefault="00B72047">
      <w:pPr>
        <w:pStyle w:val="YACCXREF"/>
      </w:pPr>
      <w:r>
        <w:t>operator_B_372</w:t>
      </w:r>
      <w:r>
        <w:tab/>
        <w:t>operator_A_371</w:t>
      </w:r>
    </w:p>
    <w:p w:rsidR="00B72047" w:rsidRDefault="00B72047">
      <w:pPr>
        <w:pStyle w:val="YACCXREF"/>
      </w:pPr>
      <w:r>
        <w:t>PA_672</w:t>
      </w:r>
      <w:r>
        <w:tab/>
        <w:t>lerfu_string_root_986, number_root_961</w:t>
      </w:r>
    </w:p>
    <w:p w:rsidR="00B72047" w:rsidRDefault="00B72047">
      <w:pPr>
        <w:pStyle w:val="YACCXREF"/>
      </w:pPr>
      <w:r>
        <w:t>PA_MOI_824</w:t>
      </w:r>
      <w:r>
        <w:tab/>
        <w:t>bridi_valsi_A_408</w:t>
      </w:r>
    </w:p>
    <w:p w:rsidR="00B72047" w:rsidRDefault="00B72047">
      <w:pPr>
        <w:pStyle w:val="YACCXREF"/>
      </w:pPr>
      <w:r>
        <w:t>paragraph_10</w:t>
      </w:r>
      <w:r>
        <w:tab/>
        <w:t>paragraph_10, paragraphs_4</w:t>
      </w:r>
    </w:p>
    <w:p w:rsidR="00B72047" w:rsidRDefault="00B72047">
      <w:pPr>
        <w:pStyle w:val="YACCXREF"/>
      </w:pPr>
      <w:r>
        <w:t>paragraphs_4</w:t>
      </w:r>
      <w:r>
        <w:tab/>
        <w:t>paragraphs_4, text_C_3</w:t>
      </w:r>
    </w:p>
    <w:p w:rsidR="00B72047" w:rsidRDefault="00B72047">
      <w:pPr>
        <w:pStyle w:val="YACCXREF"/>
      </w:pPr>
      <w:r>
        <w:t>para_mark_410</w:t>
      </w:r>
      <w:r>
        <w:tab/>
        <w:t>paragraphs_4, para_mark_410, text_B_2</w:t>
      </w:r>
    </w:p>
    <w:p w:rsidR="00B72047" w:rsidRDefault="00B72047">
      <w:pPr>
        <w:pStyle w:val="YACCXREF"/>
      </w:pPr>
      <w:r>
        <w:t>parenthetical_36</w:t>
      </w:r>
      <w:r>
        <w:tab/>
        <w:t>free_modifier_A_33</w:t>
      </w:r>
    </w:p>
    <w:p w:rsidR="00B72047" w:rsidRDefault="00B72047">
      <w:pPr>
        <w:pStyle w:val="YACCXREF"/>
      </w:pPr>
      <w:r>
        <w:t>PEhE_494</w:t>
      </w:r>
      <w:r>
        <w:tab/>
        <w:t>terms_A_81</w:t>
      </w:r>
    </w:p>
    <w:p w:rsidR="00B72047" w:rsidRDefault="00B72047">
      <w:pPr>
        <w:pStyle w:val="YACCXREF"/>
      </w:pPr>
      <w:r>
        <w:t>PEhE_591</w:t>
      </w:r>
      <w:r>
        <w:tab/>
        <w:t>PEhE_494</w:t>
      </w:r>
    </w:p>
    <w:p w:rsidR="00B72047" w:rsidRDefault="00B72047">
      <w:pPr>
        <w:pStyle w:val="YACCXREF"/>
      </w:pPr>
      <w:r>
        <w:t>PEhO_438</w:t>
      </w:r>
      <w:r>
        <w:tab/>
        <w:t>MEX_B_312</w:t>
      </w:r>
    </w:p>
    <w:p w:rsidR="00B72047" w:rsidRDefault="00B72047">
      <w:pPr>
        <w:pStyle w:val="YACCXREF"/>
      </w:pPr>
      <w:r>
        <w:t>PEhO_673</w:t>
      </w:r>
      <w:r>
        <w:tab/>
        <w:t>PEhO_438</w:t>
      </w:r>
    </w:p>
    <w:p w:rsidR="00B72047" w:rsidRDefault="00B72047">
      <w:pPr>
        <w:pStyle w:val="YACCXREF"/>
      </w:pPr>
      <w:r>
        <w:t>prenex_30</w:t>
      </w:r>
      <w:r>
        <w:tab/>
        <w:t>fragment_20, statement_11, subsentence_41</w:t>
      </w:r>
    </w:p>
    <w:p w:rsidR="00B72047" w:rsidRDefault="00B72047">
      <w:pPr>
        <w:pStyle w:val="YACCXREF"/>
      </w:pPr>
      <w:r>
        <w:t>PU_592</w:t>
      </w:r>
      <w:r>
        <w:tab/>
        <w:t>time_direction_1035</w:t>
      </w:r>
    </w:p>
    <w:p w:rsidR="00B72047" w:rsidRDefault="00B72047">
      <w:pPr>
        <w:pStyle w:val="YACCXREF"/>
      </w:pPr>
      <w:r>
        <w:t>qualifier_483</w:t>
      </w:r>
      <w:r>
        <w:tab/>
        <w:t>operand_C_385, sumti_G_97</w:t>
      </w:r>
    </w:p>
    <w:p w:rsidR="00B72047" w:rsidRDefault="00B72047">
      <w:pPr>
        <w:pStyle w:val="YACCXREF"/>
      </w:pPr>
      <w:r>
        <w:t>quantifier_300</w:t>
      </w:r>
      <w:r>
        <w:tab/>
        <w:t>fragment_20, operand_C_385, sumti_E_95, sumti_F_96, sumti_tail_A_112</w:t>
      </w:r>
    </w:p>
    <w:p w:rsidR="00B72047" w:rsidRDefault="00B72047">
      <w:pPr>
        <w:pStyle w:val="YACCXREF"/>
      </w:pPr>
      <w:r>
        <w:t>quote_arg_432</w:t>
      </w:r>
      <w:r>
        <w:tab/>
        <w:t>sumti_G_97</w:t>
      </w:r>
    </w:p>
    <w:p w:rsidR="00B72047" w:rsidRDefault="00B72047">
      <w:pPr>
        <w:pStyle w:val="YACCXREF"/>
      </w:pPr>
      <w:r>
        <w:t>quote_arg_A_433</w:t>
      </w:r>
      <w:r>
        <w:tab/>
        <w:t>quote_arg_432</w:t>
      </w:r>
    </w:p>
    <w:p w:rsidR="00B72047" w:rsidRDefault="00B72047">
      <w:pPr>
        <w:pStyle w:val="YACCXREF"/>
      </w:pPr>
      <w:r>
        <w:t>RAhO_593</w:t>
      </w:r>
      <w:r>
        <w:tab/>
        <w:t>bridi_valsi_A_408</w:t>
      </w:r>
    </w:p>
    <w:p w:rsidR="00B72047" w:rsidRDefault="00B72047">
      <w:pPr>
        <w:pStyle w:val="YACCXREF"/>
      </w:pPr>
      <w:r>
        <w:t>relative_clause_122</w:t>
      </w:r>
      <w:r>
        <w:tab/>
        <w:t>relative_clauses_121</w:t>
      </w:r>
    </w:p>
    <w:p w:rsidR="00B72047" w:rsidRDefault="00B72047">
      <w:pPr>
        <w:pStyle w:val="YACCXREF"/>
      </w:pPr>
      <w:r>
        <w:t>relative_clauses_121</w:t>
      </w:r>
      <w:r>
        <w:tab/>
        <w:t>fragment_20, relative_clauses_121, sumti_90, sumti_E_95, sumti_G_97, sumti_tail_111, sumti_tail_A_112, vocative_35</w:t>
      </w:r>
    </w:p>
    <w:p w:rsidR="00B72047" w:rsidRDefault="00B72047">
      <w:pPr>
        <w:pStyle w:val="YACCXREF"/>
      </w:pPr>
      <w:r>
        <w:t>right_bracket_gap_471</w:t>
      </w:r>
      <w:r>
        <w:tab/>
        <w:t>quantifier_300</w:t>
      </w:r>
    </w:p>
    <w:p w:rsidR="00B72047" w:rsidRDefault="00B72047">
      <w:pPr>
        <w:pStyle w:val="YACCXREF"/>
      </w:pPr>
      <w:r>
        <w:t>right_br_no_free_474</w:t>
      </w:r>
      <w:r>
        <w:tab/>
        <w:t>subscript_486</w:t>
      </w:r>
    </w:p>
    <w:p w:rsidR="00B72047" w:rsidRDefault="00B72047">
      <w:pPr>
        <w:pStyle w:val="YACCXREF"/>
      </w:pPr>
      <w:r>
        <w:t>ROI_594</w:t>
      </w:r>
      <w:r>
        <w:tab/>
        <w:t>interval_property_1051</w:t>
      </w:r>
    </w:p>
    <w:p w:rsidR="00B72047" w:rsidRDefault="00B72047">
      <w:pPr>
        <w:pStyle w:val="YACCXREF"/>
      </w:pPr>
      <w:r>
        <w:t>rp_expression_330</w:t>
      </w:r>
      <w:r>
        <w:tab/>
        <w:t>MEX_310, rp_operand_332</w:t>
      </w:r>
    </w:p>
    <w:p w:rsidR="00B72047" w:rsidRDefault="00B72047">
      <w:pPr>
        <w:pStyle w:val="YACCXREF"/>
      </w:pPr>
      <w:r>
        <w:t>rp_operand_332</w:t>
      </w:r>
      <w:r>
        <w:tab/>
        <w:t>rp_expression_330</w:t>
      </w:r>
    </w:p>
    <w:p w:rsidR="00B72047" w:rsidRDefault="00B72047">
      <w:pPr>
        <w:pStyle w:val="YACCXREF"/>
      </w:pPr>
      <w:r>
        <w:t>SA_595</w:t>
      </w:r>
      <w:r>
        <w:tab/>
        <w:t>null_1101</w:t>
      </w:r>
    </w:p>
    <w:p w:rsidR="00B72047" w:rsidRDefault="00B72047">
      <w:pPr>
        <w:pStyle w:val="YACCXREF"/>
      </w:pPr>
      <w:r>
        <w:t>SE_480</w:t>
      </w:r>
      <w:r>
        <w:tab/>
        <w:t>MEX_operator_374, tanru_unit_B_152</w:t>
      </w:r>
    </w:p>
    <w:p w:rsidR="00B72047" w:rsidRDefault="00B72047">
      <w:pPr>
        <w:pStyle w:val="YACCXREF"/>
      </w:pPr>
      <w:r>
        <w:t>SE_596</w:t>
      </w:r>
      <w:r>
        <w:tab/>
        <w:t>EK_root_911, GIhEK_root_991, interval_932, JEK_root_926, JOIK_root_931, lexer_G_935, lexer_H_940, modal_A_975, SE_480</w:t>
      </w:r>
    </w:p>
    <w:p w:rsidR="00B72047" w:rsidRDefault="00B72047">
      <w:pPr>
        <w:pStyle w:val="YACCXREF"/>
      </w:pPr>
      <w:r>
        <w:t>SEhU_598</w:t>
      </w:r>
      <w:r>
        <w:tab/>
        <w:t>SEhU_gap_459</w:t>
      </w:r>
    </w:p>
    <w:p w:rsidR="00B72047" w:rsidRDefault="00B72047">
      <w:pPr>
        <w:pStyle w:val="YACCXREF"/>
      </w:pPr>
      <w:r>
        <w:t>SEhU_gap_459</w:t>
      </w:r>
      <w:r>
        <w:tab/>
        <w:t>discursive_bridi_34</w:t>
      </w:r>
    </w:p>
    <w:p w:rsidR="00B72047" w:rsidRDefault="00B72047">
      <w:pPr>
        <w:pStyle w:val="YACCXREF"/>
      </w:pPr>
      <w:r>
        <w:t>SEI_440</w:t>
      </w:r>
      <w:r>
        <w:tab/>
        <w:t>discursive_bridi_34</w:t>
      </w:r>
    </w:p>
    <w:p w:rsidR="00B72047" w:rsidRDefault="00B72047">
      <w:pPr>
        <w:pStyle w:val="YACCXREF"/>
      </w:pPr>
      <w:r>
        <w:t>SEI_597</w:t>
      </w:r>
      <w:r>
        <w:tab/>
        <w:t>SEI_440</w:t>
      </w:r>
    </w:p>
    <w:p w:rsidR="00B72047" w:rsidRDefault="00B72047">
      <w:pPr>
        <w:pStyle w:val="YACCXREF"/>
      </w:pPr>
      <w:r>
        <w:t>selbri_130</w:t>
      </w:r>
      <w:r>
        <w:tab/>
        <w:t>bridi_tail_C_53, discursive_bridi_34, GUhEK_selbri_137, MEX_operator_374, operand_C_385, selbri_A_131, sumti_E_95, sumti_tail_A_112, tense_modal_815, vocative_35</w:t>
      </w:r>
    </w:p>
    <w:p w:rsidR="00B72047" w:rsidRDefault="00B72047">
      <w:pPr>
        <w:pStyle w:val="YACCXREF"/>
      </w:pPr>
      <w:r>
        <w:t>selbri_A_131</w:t>
      </w:r>
      <w:r>
        <w:tab/>
        <w:t>selbri_130</w:t>
      </w:r>
    </w:p>
    <w:p w:rsidR="00B72047" w:rsidRDefault="00B72047">
      <w:pPr>
        <w:pStyle w:val="YACCXREF"/>
      </w:pPr>
      <w:r>
        <w:t>selbri_B_132</w:t>
      </w:r>
      <w:r>
        <w:tab/>
        <w:t>selbri_A_131, selbri_B_132</w:t>
      </w:r>
    </w:p>
    <w:p w:rsidR="00B72047" w:rsidRDefault="00B72047">
      <w:pPr>
        <w:pStyle w:val="YACCXREF"/>
      </w:pPr>
      <w:r>
        <w:t>selbri_C_133</w:t>
      </w:r>
      <w:r>
        <w:tab/>
        <w:t>selbri_B_132, selbri_C_133, selbri_D_134, tanru_unit_B_152</w:t>
      </w:r>
    </w:p>
    <w:p w:rsidR="00B72047" w:rsidRDefault="00B72047">
      <w:pPr>
        <w:pStyle w:val="YACCXREF"/>
      </w:pPr>
      <w:r>
        <w:t>selbri_D_134</w:t>
      </w:r>
      <w:r>
        <w:tab/>
        <w:t>selbri_C_133, selbri_D_134</w:t>
      </w:r>
    </w:p>
    <w:p w:rsidR="00B72047" w:rsidRDefault="00B72047">
      <w:pPr>
        <w:pStyle w:val="YACCXREF"/>
      </w:pPr>
      <w:r>
        <w:t>selbri_E_135</w:t>
      </w:r>
      <w:r>
        <w:tab/>
        <w:t>selbri_D_134, selbri_E_135</w:t>
      </w:r>
    </w:p>
    <w:p w:rsidR="00B72047" w:rsidRDefault="00B72047">
      <w:pPr>
        <w:pStyle w:val="YACCXREF"/>
      </w:pPr>
      <w:r>
        <w:t>selbri_F_136</w:t>
      </w:r>
      <w:r>
        <w:tab/>
        <w:t>GUhEK_selbri_137, selbri_E_135, selbri_F_136</w:t>
      </w:r>
    </w:p>
    <w:p w:rsidR="00B72047" w:rsidRDefault="00B72047">
      <w:pPr>
        <w:pStyle w:val="YACCXREF"/>
      </w:pPr>
      <w:r>
        <w:t>sentence_40</w:t>
      </w:r>
      <w:r>
        <w:tab/>
        <w:t>statement_C_14, subsentence_41</w:t>
      </w:r>
    </w:p>
    <w:p w:rsidR="00B72047" w:rsidRDefault="00B72047">
      <w:pPr>
        <w:pStyle w:val="YACCXREF"/>
      </w:pPr>
      <w:r>
        <w:t>SI_601</w:t>
      </w:r>
      <w:r>
        <w:tab/>
        <w:t>null_1101</w:t>
      </w:r>
    </w:p>
    <w:p w:rsidR="00B72047" w:rsidRDefault="00B72047">
      <w:pPr>
        <w:pStyle w:val="YACCXREF"/>
      </w:pPr>
      <w:r>
        <w:t>simple_JOIK_JEK_957</w:t>
      </w:r>
      <w:r>
        <w:tab/>
        <w:t>I_root_956, lexer_T_1000, simple_tag_971</w:t>
      </w:r>
    </w:p>
    <w:p w:rsidR="00B72047" w:rsidRDefault="00B72047">
      <w:pPr>
        <w:pStyle w:val="YACCXREF"/>
      </w:pPr>
      <w:r>
        <w:t>simple_tag_971</w:t>
      </w:r>
      <w:r>
        <w:tab/>
        <w:t>lexer_C_915, lexer_D_916, lexer_G_935, lexer_K_955, lexer_M_965, lexer_N_966, lexer_U_1005, lexer_V_1010, lexer_W_1015, si</w:t>
      </w:r>
      <w:r>
        <w:t>m</w:t>
      </w:r>
      <w:r>
        <w:t>ple_tag_971</w:t>
      </w:r>
    </w:p>
    <w:p w:rsidR="00B72047" w:rsidRDefault="00B72047">
      <w:pPr>
        <w:pStyle w:val="YACCXREF"/>
      </w:pPr>
      <w:r>
        <w:t>simple_tense_modal_972</w:t>
      </w:r>
      <w:r>
        <w:tab/>
        <w:t>lexer_O_970, simple_tag_971</w:t>
      </w:r>
    </w:p>
    <w:p w:rsidR="00B72047" w:rsidRDefault="00B72047">
      <w:pPr>
        <w:pStyle w:val="YACCXREF"/>
      </w:pPr>
      <w:r>
        <w:t>simple_tense_modal_A_973</w:t>
      </w:r>
      <w:r>
        <w:tab/>
        <w:t>simple_tense_modal_972</w:t>
      </w:r>
    </w:p>
    <w:p w:rsidR="00B72047" w:rsidRDefault="00B72047">
      <w:pPr>
        <w:pStyle w:val="YACCXREF"/>
      </w:pPr>
      <w:r>
        <w:t>SOI_498</w:t>
      </w:r>
      <w:r>
        <w:tab/>
        <w:t>discursive_bridi_34</w:t>
      </w:r>
    </w:p>
    <w:p w:rsidR="00B72047" w:rsidRDefault="00B72047">
      <w:pPr>
        <w:pStyle w:val="YACCXREF"/>
      </w:pPr>
      <w:r>
        <w:t>SOI_602</w:t>
      </w:r>
      <w:r>
        <w:tab/>
        <w:t>SOI_498</w:t>
      </w:r>
    </w:p>
    <w:p w:rsidR="00B72047" w:rsidRDefault="00B72047">
      <w:pPr>
        <w:pStyle w:val="YACCXREF"/>
      </w:pPr>
      <w:r>
        <w:t>space_1040</w:t>
      </w:r>
      <w:r>
        <w:tab/>
        <w:t>tense_C_979</w:t>
      </w:r>
    </w:p>
    <w:p w:rsidR="00B72047" w:rsidRDefault="00B72047">
      <w:pPr>
        <w:pStyle w:val="YACCXREF"/>
      </w:pPr>
      <w:r>
        <w:t>space_A_1042</w:t>
      </w:r>
      <w:r>
        <w:tab/>
        <w:t>space_1040</w:t>
      </w:r>
    </w:p>
    <w:p w:rsidR="00B72047" w:rsidRDefault="00B72047">
      <w:pPr>
        <w:pStyle w:val="YACCXREF"/>
      </w:pPr>
      <w:r>
        <w:t>space_B_1043</w:t>
      </w:r>
      <w:r>
        <w:tab/>
        <w:t>space_A_1042</w:t>
      </w:r>
    </w:p>
    <w:p w:rsidR="00B72047" w:rsidRDefault="00B72047">
      <w:pPr>
        <w:pStyle w:val="YACCXREF"/>
      </w:pPr>
      <w:r>
        <w:t>space_C_1044</w:t>
      </w:r>
      <w:r>
        <w:tab/>
        <w:t>space_B_1043, space_C_1044</w:t>
      </w:r>
    </w:p>
    <w:p w:rsidR="00B72047" w:rsidRDefault="00B72047">
      <w:pPr>
        <w:pStyle w:val="YACCXREF"/>
      </w:pPr>
      <w:r>
        <w:t>space_direction_1048</w:t>
      </w:r>
      <w:r>
        <w:tab/>
        <w:t>space_intval_1046, space_offset_1045</w:t>
      </w:r>
    </w:p>
    <w:p w:rsidR="00B72047" w:rsidRDefault="00B72047">
      <w:pPr>
        <w:pStyle w:val="YACCXREF"/>
      </w:pPr>
      <w:r>
        <w:t>space_int_props_1049</w:t>
      </w:r>
      <w:r>
        <w:tab/>
        <w:t>space_int_props_1049, space_intval_1046</w:t>
      </w:r>
    </w:p>
    <w:p w:rsidR="00B72047" w:rsidRDefault="00B72047">
      <w:pPr>
        <w:pStyle w:val="YACCXREF"/>
      </w:pPr>
      <w:r>
        <w:t>space_int_props_A_1050</w:t>
      </w:r>
      <w:r>
        <w:tab/>
        <w:t>space_int_props_1049</w:t>
      </w:r>
    </w:p>
    <w:p w:rsidR="00B72047" w:rsidRDefault="00B72047">
      <w:pPr>
        <w:pStyle w:val="YACCXREF"/>
      </w:pPr>
      <w:r>
        <w:t>space_intval_1046</w:t>
      </w:r>
      <w:r>
        <w:tab/>
        <w:t>space_B_1043</w:t>
      </w:r>
    </w:p>
    <w:p w:rsidR="00B72047" w:rsidRDefault="00B72047">
      <w:pPr>
        <w:pStyle w:val="YACCXREF"/>
      </w:pPr>
      <w:r>
        <w:t>space_intval_A_1047</w:t>
      </w:r>
      <w:r>
        <w:tab/>
        <w:t>space_intval_1046</w:t>
      </w:r>
    </w:p>
    <w:p w:rsidR="00B72047" w:rsidRDefault="00B72047">
      <w:pPr>
        <w:pStyle w:val="YACCXREF"/>
      </w:pPr>
      <w:r>
        <w:t>space_motion_1041</w:t>
      </w:r>
      <w:r>
        <w:tab/>
        <w:t>space_1040</w:t>
      </w:r>
    </w:p>
    <w:p w:rsidR="00B72047" w:rsidRDefault="00B72047">
      <w:pPr>
        <w:pStyle w:val="YACCXREF"/>
      </w:pPr>
      <w:r>
        <w:t>space_offset_1045</w:t>
      </w:r>
      <w:r>
        <w:tab/>
        <w:t>space_C_1044, space_motion_1041</w:t>
      </w:r>
    </w:p>
    <w:p w:rsidR="00B72047" w:rsidRDefault="00B72047">
      <w:pPr>
        <w:pStyle w:val="YACCXREF"/>
      </w:pPr>
      <w:r>
        <w:t>statement_11</w:t>
      </w:r>
      <w:r>
        <w:tab/>
        <w:t>paragraph_10, statement_11</w:t>
      </w:r>
    </w:p>
    <w:p w:rsidR="00B72047" w:rsidRDefault="00B72047">
      <w:pPr>
        <w:pStyle w:val="YACCXREF"/>
      </w:pPr>
      <w:r>
        <w:t>statement_A_12</w:t>
      </w:r>
      <w:r>
        <w:tab/>
        <w:t>statement_11, statement_A_12</w:t>
      </w:r>
    </w:p>
    <w:p w:rsidR="00B72047" w:rsidRDefault="00B72047">
      <w:pPr>
        <w:pStyle w:val="YACCXREF"/>
      </w:pPr>
      <w:r>
        <w:t>statement_B_13</w:t>
      </w:r>
      <w:r>
        <w:tab/>
        <w:t>statement_A_12, statement_B_13</w:t>
      </w:r>
    </w:p>
    <w:p w:rsidR="00B72047" w:rsidRDefault="00B72047">
      <w:pPr>
        <w:pStyle w:val="YACCXREF"/>
      </w:pPr>
      <w:r>
        <w:t>statement_C_14</w:t>
      </w:r>
      <w:r>
        <w:tab/>
        <w:t>statement_B_13</w:t>
      </w:r>
    </w:p>
    <w:p w:rsidR="00B72047" w:rsidRDefault="00B72047">
      <w:pPr>
        <w:pStyle w:val="YACCXREF"/>
      </w:pPr>
      <w:r>
        <w:t>SU_603</w:t>
      </w:r>
      <w:r>
        <w:tab/>
        <w:t>null_1101</w:t>
      </w:r>
    </w:p>
    <w:p w:rsidR="00B72047" w:rsidRDefault="00B72047">
      <w:pPr>
        <w:pStyle w:val="YACCXREF"/>
      </w:pPr>
      <w:r>
        <w:t>sub_gap_462</w:t>
      </w:r>
      <w:r>
        <w:tab/>
        <w:t>subscript_486</w:t>
      </w:r>
    </w:p>
    <w:p w:rsidR="00B72047" w:rsidRDefault="00B72047">
      <w:pPr>
        <w:pStyle w:val="YACCXREF"/>
      </w:pPr>
      <w:r>
        <w:t>subscript_486</w:t>
      </w:r>
      <w:r>
        <w:tab/>
        <w:t>free_modifier_A_33</w:t>
      </w:r>
    </w:p>
    <w:p w:rsidR="00B72047" w:rsidRDefault="00B72047">
      <w:pPr>
        <w:pStyle w:val="YACCXREF"/>
      </w:pPr>
      <w:r>
        <w:t>subsentence_41</w:t>
      </w:r>
      <w:r>
        <w:tab/>
        <w:t>gek_sentence_54, relative_clause_122, subsentence_41, tanru_unit_B_152</w:t>
      </w:r>
    </w:p>
    <w:p w:rsidR="00B72047" w:rsidRDefault="00B72047">
      <w:pPr>
        <w:pStyle w:val="YACCXREF"/>
      </w:pPr>
      <w:r>
        <w:t>sumti_90</w:t>
      </w:r>
      <w:r>
        <w:tab/>
        <w:t>discursive_bridi_34, modifier_84, operand_C_385, sumti_A_91, sumti_D_94, sumti_G_97, sumti_tail_A_112, tanru_unit_B_152, term_83, vocative_35</w:t>
      </w:r>
    </w:p>
    <w:p w:rsidR="00B72047" w:rsidRDefault="00B72047">
      <w:pPr>
        <w:pStyle w:val="YACCXREF"/>
      </w:pPr>
      <w:r>
        <w:t>sumti_A_91</w:t>
      </w:r>
      <w:r>
        <w:tab/>
        <w:t>sumti_90</w:t>
      </w:r>
    </w:p>
    <w:p w:rsidR="00B72047" w:rsidRDefault="00B72047">
      <w:pPr>
        <w:pStyle w:val="YACCXREF"/>
      </w:pPr>
      <w:r>
        <w:t>sumti_B_92</w:t>
      </w:r>
      <w:r>
        <w:tab/>
        <w:t>sumti_A_91, sumti_B_92</w:t>
      </w:r>
    </w:p>
    <w:p w:rsidR="00B72047" w:rsidRDefault="00B72047">
      <w:pPr>
        <w:pStyle w:val="YACCXREF"/>
      </w:pPr>
      <w:r>
        <w:t>sumti_C_93</w:t>
      </w:r>
      <w:r>
        <w:tab/>
        <w:t>sumti_B_92, sumti_C_93</w:t>
      </w:r>
    </w:p>
    <w:p w:rsidR="00B72047" w:rsidRDefault="00B72047">
      <w:pPr>
        <w:pStyle w:val="YACCXREF"/>
      </w:pPr>
      <w:r>
        <w:t>sumti_D_94</w:t>
      </w:r>
      <w:r>
        <w:tab/>
        <w:t>sumti_C_93, sumti_D_94</w:t>
      </w:r>
    </w:p>
    <w:p w:rsidR="00B72047" w:rsidRDefault="00B72047">
      <w:pPr>
        <w:pStyle w:val="YACCXREF"/>
      </w:pPr>
      <w:r>
        <w:t>sumti_E_95</w:t>
      </w:r>
      <w:r>
        <w:tab/>
        <w:t>sumti_D_94</w:t>
      </w:r>
    </w:p>
    <w:p w:rsidR="00B72047" w:rsidRDefault="00B72047">
      <w:pPr>
        <w:pStyle w:val="YACCXREF"/>
      </w:pPr>
      <w:r>
        <w:t>sumti_F_96</w:t>
      </w:r>
      <w:r>
        <w:tab/>
        <w:t>sumti_E_95</w:t>
      </w:r>
    </w:p>
    <w:p w:rsidR="00B72047" w:rsidRDefault="00B72047">
      <w:pPr>
        <w:pStyle w:val="YACCXREF"/>
      </w:pPr>
      <w:r>
        <w:t>sumti_G_97</w:t>
      </w:r>
      <w:r>
        <w:tab/>
        <w:t>sumti_F_96, sumti_tail_111</w:t>
      </w:r>
    </w:p>
    <w:p w:rsidR="00B72047" w:rsidRDefault="00B72047">
      <w:pPr>
        <w:pStyle w:val="YACCXREF"/>
      </w:pPr>
      <w:r>
        <w:t>sumti_tail_111</w:t>
      </w:r>
      <w:r>
        <w:tab/>
        <w:t>description_110</w:t>
      </w:r>
    </w:p>
    <w:p w:rsidR="00B72047" w:rsidRDefault="00B72047">
      <w:pPr>
        <w:pStyle w:val="YACCXREF"/>
      </w:pPr>
      <w:r>
        <w:t>sumti_tail_A_112</w:t>
      </w:r>
      <w:r>
        <w:tab/>
        <w:t>sumti_tail_111</w:t>
      </w:r>
    </w:p>
    <w:p w:rsidR="00B72047" w:rsidRDefault="00B72047">
      <w:pPr>
        <w:pStyle w:val="YACCXREF"/>
      </w:pPr>
      <w:r>
        <w:t>tag_491</w:t>
      </w:r>
      <w:r>
        <w:tab/>
        <w:t>gek_sentence_54, mod_head_490, selbri_130, statement_C_14, tag_491, tanru_unit_B_152</w:t>
      </w:r>
    </w:p>
    <w:p w:rsidR="00B72047" w:rsidRDefault="00B72047">
      <w:pPr>
        <w:pStyle w:val="YACCXREF"/>
      </w:pPr>
      <w:r>
        <w:t>TAhE_604</w:t>
      </w:r>
      <w:r>
        <w:tab/>
        <w:t>interval_property_1051</w:t>
      </w:r>
    </w:p>
    <w:p w:rsidR="00B72047" w:rsidRDefault="00B72047">
      <w:pPr>
        <w:pStyle w:val="YACCXREF"/>
      </w:pPr>
      <w:r>
        <w:t>tail_terms_71</w:t>
      </w:r>
      <w:r>
        <w:tab/>
        <w:t>bridi_tail_50, bridi_tail_A_51, bridi_tail_B_52, bridi_tail_C_53, gek_sentence_54</w:t>
      </w:r>
    </w:p>
    <w:p w:rsidR="00B72047" w:rsidRDefault="00B72047">
      <w:pPr>
        <w:pStyle w:val="YACCXREF"/>
      </w:pPr>
      <w:r>
        <w:t>tanru_unit_150</w:t>
      </w:r>
      <w:r>
        <w:tab/>
        <w:t>selbri_F_136, tanru_unit_150</w:t>
      </w:r>
    </w:p>
    <w:p w:rsidR="00B72047" w:rsidRDefault="00B72047">
      <w:pPr>
        <w:pStyle w:val="YACCXREF"/>
      </w:pPr>
      <w:r>
        <w:t>tanru_unit_A_151</w:t>
      </w:r>
      <w:r>
        <w:tab/>
        <w:t>tanru_unit_150</w:t>
      </w:r>
    </w:p>
    <w:p w:rsidR="00B72047" w:rsidRDefault="00B72047">
      <w:pPr>
        <w:pStyle w:val="YACCXREF"/>
      </w:pPr>
      <w:r>
        <w:t>tanru_unit_B_152</w:t>
      </w:r>
      <w:r>
        <w:tab/>
        <w:t>tanru_unit_A_151, tanru_unit_B_152</w:t>
      </w:r>
    </w:p>
    <w:p w:rsidR="00B72047" w:rsidRDefault="00B72047">
      <w:pPr>
        <w:pStyle w:val="YACCXREF"/>
      </w:pPr>
      <w:r>
        <w:t>TEhU_675</w:t>
      </w:r>
      <w:r>
        <w:tab/>
        <w:t>TEhU_gap_473</w:t>
      </w:r>
    </w:p>
    <w:p w:rsidR="00B72047" w:rsidRDefault="00B72047">
      <w:pPr>
        <w:pStyle w:val="YACCXREF"/>
      </w:pPr>
      <w:r>
        <w:t>TEhU_gap_473</w:t>
      </w:r>
      <w:r>
        <w:tab/>
        <w:t>MEX_operator_374, operand_C_385</w:t>
      </w:r>
    </w:p>
    <w:p w:rsidR="00B72047" w:rsidRDefault="00B72047">
      <w:pPr>
        <w:pStyle w:val="YACCXREF"/>
      </w:pPr>
      <w:r>
        <w:t>TEI_605</w:t>
      </w:r>
      <w:r>
        <w:tab/>
        <w:t>lerfu_word_987</w:t>
      </w:r>
    </w:p>
    <w:p w:rsidR="00B72047" w:rsidRDefault="00B72047">
      <w:pPr>
        <w:pStyle w:val="YACCXREF"/>
      </w:pPr>
      <w:r>
        <w:t>tense_A_977</w:t>
      </w:r>
      <w:r>
        <w:tab/>
        <w:t>simple_tense_modal_A_973</w:t>
      </w:r>
    </w:p>
    <w:p w:rsidR="00B72047" w:rsidRDefault="00B72047">
      <w:pPr>
        <w:pStyle w:val="YACCXREF"/>
      </w:pPr>
      <w:r>
        <w:t>tense_B_978</w:t>
      </w:r>
      <w:r>
        <w:tab/>
        <w:t>tense_A_977</w:t>
      </w:r>
    </w:p>
    <w:p w:rsidR="00B72047" w:rsidRDefault="00B72047">
      <w:pPr>
        <w:pStyle w:val="YACCXREF"/>
      </w:pPr>
      <w:r>
        <w:t>tense_C_979</w:t>
      </w:r>
      <w:r>
        <w:tab/>
        <w:t>tense_B_978</w:t>
      </w:r>
    </w:p>
    <w:p w:rsidR="00B72047" w:rsidRDefault="00B72047">
      <w:pPr>
        <w:pStyle w:val="YACCXREF"/>
      </w:pPr>
      <w:r>
        <w:t>tense_modal_815</w:t>
      </w:r>
      <w:r>
        <w:tab/>
        <w:t>tag_491</w:t>
      </w:r>
    </w:p>
    <w:p w:rsidR="00B72047" w:rsidRDefault="00B72047">
      <w:pPr>
        <w:pStyle w:val="YACCXREF"/>
      </w:pPr>
      <w:r>
        <w:t>term_83</w:t>
      </w:r>
      <w:r>
        <w:tab/>
        <w:t>linkargs_160, links_161, relative_clause_122, terms_B_82</w:t>
      </w:r>
    </w:p>
    <w:p w:rsidR="00B72047" w:rsidRDefault="00B72047">
      <w:pPr>
        <w:pStyle w:val="YACCXREF"/>
      </w:pPr>
      <w:r>
        <w:t>terms_80</w:t>
      </w:r>
      <w:r>
        <w:tab/>
        <w:t>discursive_bridi_34, fragment_20, prenex_30, sentence_40, tail_terms_71, terms_80, term_set_85</w:t>
      </w:r>
    </w:p>
    <w:p w:rsidR="00B72047" w:rsidRDefault="00B72047">
      <w:pPr>
        <w:pStyle w:val="YACCXREF"/>
      </w:pPr>
      <w:r>
        <w:t>terms_A_81</w:t>
      </w:r>
      <w:r>
        <w:tab/>
        <w:t>terms_80, terms_A_81</w:t>
      </w:r>
    </w:p>
    <w:p w:rsidR="00B72047" w:rsidRDefault="00B72047">
      <w:pPr>
        <w:pStyle w:val="YACCXREF"/>
      </w:pPr>
      <w:r>
        <w:t>terms_B_82</w:t>
      </w:r>
      <w:r>
        <w:tab/>
        <w:t>terms_A_81, terms_B_82</w:t>
      </w:r>
    </w:p>
    <w:p w:rsidR="00B72047" w:rsidRDefault="00B72047">
      <w:pPr>
        <w:pStyle w:val="YACCXREF"/>
      </w:pPr>
      <w:r>
        <w:t>term_set_85</w:t>
      </w:r>
      <w:r>
        <w:tab/>
        <w:t>term_83</w:t>
      </w:r>
    </w:p>
    <w:p w:rsidR="00B72047" w:rsidRDefault="00B72047">
      <w:pPr>
        <w:pStyle w:val="YACCXREF"/>
      </w:pPr>
      <w:r>
        <w:t>text_0</w:t>
      </w:r>
      <w:r>
        <w:tab/>
        <w:t>parenthetical_36, quote_arg_A_433, text_0</w:t>
      </w:r>
    </w:p>
    <w:p w:rsidR="00B72047" w:rsidRDefault="00B72047">
      <w:pPr>
        <w:pStyle w:val="YACCXREF"/>
      </w:pPr>
      <w:r>
        <w:t>text_A_1</w:t>
      </w:r>
      <w:r>
        <w:tab/>
        <w:t>text_0</w:t>
      </w:r>
    </w:p>
    <w:p w:rsidR="00B72047" w:rsidRDefault="00B72047">
      <w:pPr>
        <w:pStyle w:val="YACCXREF"/>
      </w:pPr>
      <w:r>
        <w:t>text_B_2</w:t>
      </w:r>
      <w:r>
        <w:tab/>
        <w:t>statement_C_14, text_A_1, text_B_2</w:t>
      </w:r>
    </w:p>
    <w:p w:rsidR="00B72047" w:rsidRDefault="00B72047">
      <w:pPr>
        <w:pStyle w:val="YACCXREF"/>
      </w:pPr>
      <w:r>
        <w:t>text_C_3</w:t>
      </w:r>
      <w:r>
        <w:tab/>
        <w:t>null_1101, text_B_2</w:t>
      </w:r>
    </w:p>
    <w:p w:rsidR="00B72047" w:rsidRDefault="00B72047">
      <w:pPr>
        <w:pStyle w:val="YACCXREF"/>
      </w:pPr>
      <w:r>
        <w:t>time_1030</w:t>
      </w:r>
      <w:r>
        <w:tab/>
        <w:t>tense_C_979</w:t>
      </w:r>
    </w:p>
    <w:p w:rsidR="00B72047" w:rsidRDefault="00B72047">
      <w:pPr>
        <w:pStyle w:val="YACCXREF"/>
      </w:pPr>
      <w:r>
        <w:t>time_A_1031</w:t>
      </w:r>
      <w:r>
        <w:tab/>
        <w:t>time_1030</w:t>
      </w:r>
    </w:p>
    <w:p w:rsidR="00B72047" w:rsidRDefault="00B72047">
      <w:pPr>
        <w:pStyle w:val="YACCXREF"/>
      </w:pPr>
      <w:r>
        <w:t>time_B_1032</w:t>
      </w:r>
      <w:r>
        <w:tab/>
        <w:t>time_A_1031, time_B_1032</w:t>
      </w:r>
    </w:p>
    <w:p w:rsidR="00B72047" w:rsidRDefault="00B72047">
      <w:pPr>
        <w:pStyle w:val="YACCXREF"/>
      </w:pPr>
      <w:r>
        <w:t>time_direction_1035</w:t>
      </w:r>
      <w:r>
        <w:tab/>
        <w:t>time_interval_1034, time_offset_1033</w:t>
      </w:r>
    </w:p>
    <w:p w:rsidR="00B72047" w:rsidRDefault="00B72047">
      <w:pPr>
        <w:pStyle w:val="YACCXREF"/>
      </w:pPr>
      <w:r>
        <w:t>time_interval_1034</w:t>
      </w:r>
      <w:r>
        <w:tab/>
        <w:t>time_A_1031</w:t>
      </w:r>
    </w:p>
    <w:p w:rsidR="00B72047" w:rsidRDefault="00B72047">
      <w:pPr>
        <w:pStyle w:val="YACCXREF"/>
      </w:pPr>
      <w:r>
        <w:t>time_int_props_1036</w:t>
      </w:r>
      <w:r>
        <w:tab/>
        <w:t>time_interval_1034, time_int_props_1036</w:t>
      </w:r>
    </w:p>
    <w:p w:rsidR="00B72047" w:rsidRDefault="00B72047">
      <w:pPr>
        <w:pStyle w:val="YACCXREF"/>
      </w:pPr>
      <w:r>
        <w:t>time_offset_1033</w:t>
      </w:r>
      <w:r>
        <w:tab/>
        <w:t>time_B_1032</w:t>
      </w:r>
    </w:p>
    <w:p w:rsidR="00B72047" w:rsidRDefault="00B72047">
      <w:pPr>
        <w:pStyle w:val="YACCXREF"/>
      </w:pPr>
      <w:r>
        <w:t>TO_606</w:t>
      </w:r>
      <w:r>
        <w:tab/>
        <w:t>parenthetical_36</w:t>
      </w:r>
    </w:p>
    <w:p w:rsidR="00B72047" w:rsidRDefault="00B72047">
      <w:pPr>
        <w:pStyle w:val="YACCXREF"/>
      </w:pPr>
      <w:r>
        <w:t>TOI_607</w:t>
      </w:r>
      <w:r>
        <w:tab/>
        <w:t>TOI_gap_468</w:t>
      </w:r>
    </w:p>
    <w:p w:rsidR="00B72047" w:rsidRDefault="00B72047">
      <w:pPr>
        <w:pStyle w:val="YACCXREF"/>
      </w:pPr>
      <w:r>
        <w:t>TOI_gap_468</w:t>
      </w:r>
      <w:r>
        <w:tab/>
        <w:t>parenthetical_36</w:t>
      </w:r>
    </w:p>
    <w:p w:rsidR="00B72047" w:rsidRDefault="00B72047">
      <w:pPr>
        <w:pStyle w:val="YACCXREF"/>
      </w:pPr>
      <w:r>
        <w:t>TUhE_447</w:t>
      </w:r>
      <w:r>
        <w:tab/>
        <w:t>statement_C_14</w:t>
      </w:r>
    </w:p>
    <w:p w:rsidR="00B72047" w:rsidRDefault="00B72047">
      <w:pPr>
        <w:pStyle w:val="YACCXREF"/>
      </w:pPr>
      <w:r>
        <w:t>TUhE_610</w:t>
      </w:r>
      <w:r>
        <w:tab/>
        <w:t>TUhE_447</w:t>
      </w:r>
    </w:p>
    <w:p w:rsidR="00B72047" w:rsidRDefault="00B72047">
      <w:pPr>
        <w:pStyle w:val="YACCXREF"/>
      </w:pPr>
      <w:r>
        <w:t>TUhU_611</w:t>
      </w:r>
      <w:r>
        <w:tab/>
        <w:t>TUhU_gap_454</w:t>
      </w:r>
    </w:p>
    <w:p w:rsidR="00B72047" w:rsidRDefault="00B72047">
      <w:pPr>
        <w:pStyle w:val="YACCXREF"/>
      </w:pPr>
      <w:r>
        <w:t>TUhU_gap_454</w:t>
      </w:r>
      <w:r>
        <w:tab/>
        <w:t>statement_C_14</w:t>
      </w:r>
    </w:p>
    <w:p w:rsidR="00B72047" w:rsidRDefault="00B72047">
      <w:pPr>
        <w:pStyle w:val="YACCXREF"/>
      </w:pPr>
      <w:r>
        <w:t>UI_612</w:t>
      </w:r>
      <w:r>
        <w:tab/>
        <w:t>indicator_413, token_1100</w:t>
      </w:r>
    </w:p>
    <w:p w:rsidR="00B72047" w:rsidRDefault="00B72047">
      <w:pPr>
        <w:pStyle w:val="YACCXREF"/>
      </w:pPr>
      <w:r>
        <w:t>utterance_20</w:t>
      </w:r>
      <w:r>
        <w:tab/>
        <w:t>null_1101</w:t>
      </w:r>
    </w:p>
    <w:p w:rsidR="00B72047" w:rsidRDefault="00B72047">
      <w:pPr>
        <w:pStyle w:val="YACCXREF"/>
      </w:pPr>
      <w:r>
        <w:t>utterance_ordinal_801</w:t>
      </w:r>
      <w:r>
        <w:tab/>
        <w:t>free_modifier_A_33</w:t>
      </w:r>
    </w:p>
    <w:p w:rsidR="00B72047" w:rsidRDefault="00B72047">
      <w:pPr>
        <w:pStyle w:val="YACCXREF"/>
      </w:pPr>
      <w:r>
        <w:t>utt_ordinal_root_906</w:t>
      </w:r>
      <w:r>
        <w:tab/>
        <w:t>lexer_A_905</w:t>
      </w:r>
    </w:p>
    <w:p w:rsidR="00B72047" w:rsidRDefault="00B72047">
      <w:pPr>
        <w:pStyle w:val="YACCXREF"/>
      </w:pPr>
      <w:r>
        <w:t>VA_613</w:t>
      </w:r>
      <w:r>
        <w:tab/>
        <w:t>space_A_1042, space_offset_1045</w:t>
      </w:r>
    </w:p>
    <w:p w:rsidR="00B72047" w:rsidRDefault="00B72047">
      <w:pPr>
        <w:pStyle w:val="YACCXREF"/>
      </w:pPr>
      <w:r>
        <w:t>VAU_614</w:t>
      </w:r>
      <w:r>
        <w:tab/>
        <w:t>VAU_gap_456</w:t>
      </w:r>
    </w:p>
    <w:p w:rsidR="00B72047" w:rsidRDefault="00B72047">
      <w:pPr>
        <w:pStyle w:val="YACCXREF"/>
      </w:pPr>
      <w:r>
        <w:t>VAU_gap_456</w:t>
      </w:r>
      <w:r>
        <w:tab/>
        <w:t>fragment_20, tail_terms_71</w:t>
      </w:r>
    </w:p>
    <w:p w:rsidR="00B72047" w:rsidRDefault="00B72047">
      <w:pPr>
        <w:pStyle w:val="YACCXREF"/>
      </w:pPr>
      <w:r>
        <w:t>VEhA_615</w:t>
      </w:r>
      <w:r>
        <w:tab/>
        <w:t>space_intval_A_1047</w:t>
      </w:r>
    </w:p>
    <w:p w:rsidR="00B72047" w:rsidRDefault="00B72047">
      <w:pPr>
        <w:pStyle w:val="YACCXREF"/>
      </w:pPr>
      <w:r>
        <w:t>VEhO_678</w:t>
      </w:r>
      <w:r>
        <w:tab/>
        <w:t>right_bracket_gap_471, right_br_no_free_474</w:t>
      </w:r>
    </w:p>
    <w:p w:rsidR="00B72047" w:rsidRDefault="00B72047">
      <w:pPr>
        <w:pStyle w:val="YACCXREF"/>
      </w:pPr>
      <w:r>
        <w:t>VEI_677</w:t>
      </w:r>
      <w:r>
        <w:tab/>
        <w:t>left_bracket_470</w:t>
      </w:r>
    </w:p>
    <w:p w:rsidR="00B72047" w:rsidRDefault="00B72047">
      <w:pPr>
        <w:pStyle w:val="YACCXREF"/>
      </w:pPr>
      <w:r>
        <w:t>VIhA_616</w:t>
      </w:r>
      <w:r>
        <w:tab/>
        <w:t>space_intval_A_1047</w:t>
      </w:r>
    </w:p>
    <w:p w:rsidR="00B72047" w:rsidRDefault="00B72047">
      <w:pPr>
        <w:pStyle w:val="YACCXREF"/>
      </w:pPr>
      <w:r>
        <w:t>vocative_35</w:t>
      </w:r>
      <w:r>
        <w:tab/>
        <w:t>free_modifier_A_33</w:t>
      </w:r>
    </w:p>
    <w:p w:rsidR="00B72047" w:rsidRDefault="00B72047">
      <w:pPr>
        <w:pStyle w:val="YACCXREF"/>
      </w:pPr>
      <w:r>
        <w:t>VUhO_497</w:t>
      </w:r>
      <w:r>
        <w:tab/>
        <w:t>sumti_90</w:t>
      </w:r>
    </w:p>
    <w:p w:rsidR="00B72047" w:rsidRDefault="00B72047">
      <w:pPr>
        <w:pStyle w:val="YACCXREF"/>
      </w:pPr>
      <w:r>
        <w:t>VUhO_617</w:t>
      </w:r>
      <w:r>
        <w:tab/>
        <w:t>VUhO_497</w:t>
      </w:r>
    </w:p>
    <w:p w:rsidR="00B72047" w:rsidRDefault="00B72047">
      <w:pPr>
        <w:pStyle w:val="YACCXREF"/>
      </w:pPr>
      <w:r>
        <w:t>VUhU_679</w:t>
      </w:r>
      <w:r>
        <w:tab/>
        <w:t>MEX_operator_374</w:t>
      </w:r>
    </w:p>
    <w:p w:rsidR="00B72047" w:rsidRDefault="00B72047">
      <w:pPr>
        <w:pStyle w:val="YACCXREF"/>
      </w:pPr>
      <w:r>
        <w:t>XI_424</w:t>
      </w:r>
      <w:r>
        <w:tab/>
        <w:t>subscript_486</w:t>
      </w:r>
    </w:p>
    <w:p w:rsidR="00B72047" w:rsidRDefault="00B72047">
      <w:pPr>
        <w:pStyle w:val="YACCXREF"/>
      </w:pPr>
      <w:r>
        <w:t>XI_618</w:t>
      </w:r>
      <w:r>
        <w:tab/>
        <w:t>XI_424</w:t>
      </w:r>
    </w:p>
    <w:p w:rsidR="00B72047" w:rsidRDefault="00B72047">
      <w:pPr>
        <w:pStyle w:val="YACCXREF"/>
      </w:pPr>
      <w:r>
        <w:t>Y_619</w:t>
      </w:r>
      <w:r>
        <w:tab/>
        <w:t>indicator_413, token_1100</w:t>
      </w:r>
    </w:p>
    <w:p w:rsidR="00B72047" w:rsidRDefault="00B72047">
      <w:pPr>
        <w:pStyle w:val="YACCXREF"/>
      </w:pPr>
      <w:r>
        <w:t>ZAhO_621</w:t>
      </w:r>
      <w:r>
        <w:tab/>
        <w:t>interval_property_1051</w:t>
      </w:r>
    </w:p>
    <w:p w:rsidR="00B72047" w:rsidRDefault="00B72047">
      <w:pPr>
        <w:pStyle w:val="YACCXREF"/>
      </w:pPr>
      <w:r>
        <w:t>ZEhA_622</w:t>
      </w:r>
      <w:r>
        <w:tab/>
        <w:t>time_interval_1034</w:t>
      </w:r>
    </w:p>
    <w:p w:rsidR="00B72047" w:rsidRDefault="00B72047">
      <w:pPr>
        <w:pStyle w:val="YACCXREF"/>
      </w:pPr>
      <w:r>
        <w:t>ZI_624</w:t>
      </w:r>
      <w:r>
        <w:tab/>
        <w:t>time_1030, time_offset_1033</w:t>
      </w:r>
    </w:p>
    <w:p w:rsidR="00B72047" w:rsidRDefault="00B72047">
      <w:pPr>
        <w:pStyle w:val="YACCXREF"/>
      </w:pPr>
      <w:r>
        <w:t>ZIhE_487</w:t>
      </w:r>
      <w:r>
        <w:tab/>
        <w:t>relative_clauses_121</w:t>
      </w:r>
    </w:p>
    <w:p w:rsidR="00B72047" w:rsidRDefault="00B72047">
      <w:pPr>
        <w:pStyle w:val="YACCXREF"/>
      </w:pPr>
      <w:r>
        <w:t>ZIhE_625</w:t>
      </w:r>
      <w:r>
        <w:tab/>
        <w:t>ZIhE_487</w:t>
      </w:r>
    </w:p>
    <w:p w:rsidR="00B72047" w:rsidRDefault="00B72047">
      <w:pPr>
        <w:pStyle w:val="YACCXREF"/>
      </w:pPr>
      <w:r>
        <w:t>ZO_626</w:t>
      </w:r>
      <w:r>
        <w:tab/>
        <w:t>ZO_quote_435</w:t>
      </w:r>
    </w:p>
    <w:p w:rsidR="00B72047" w:rsidRDefault="00B72047">
      <w:pPr>
        <w:pStyle w:val="YACCXREF"/>
      </w:pPr>
      <w:r>
        <w:t>ZOhU_492</w:t>
      </w:r>
      <w:r>
        <w:tab/>
        <w:t>prenex_30</w:t>
      </w:r>
    </w:p>
    <w:p w:rsidR="00B72047" w:rsidRDefault="00B72047">
      <w:pPr>
        <w:pStyle w:val="YACCXREF"/>
      </w:pPr>
      <w:r>
        <w:t>ZOhU_628</w:t>
      </w:r>
      <w:r>
        <w:tab/>
        <w:t>ZOhU_492</w:t>
      </w:r>
    </w:p>
    <w:p w:rsidR="00B72047" w:rsidRDefault="00B72047">
      <w:pPr>
        <w:pStyle w:val="YACCXREF"/>
      </w:pPr>
      <w:r>
        <w:t>ZOI_627</w:t>
      </w:r>
      <w:r>
        <w:tab/>
        <w:t>ZOI_quote_434</w:t>
      </w:r>
    </w:p>
    <w:p w:rsidR="00B72047" w:rsidRDefault="00B72047">
      <w:pPr>
        <w:pStyle w:val="YACCXREF"/>
      </w:pPr>
      <w:r>
        <w:t>ZOI_quote_434</w:t>
      </w:r>
      <w:r>
        <w:tab/>
        <w:t>quote_arg_A_433</w:t>
      </w:r>
    </w:p>
    <w:p w:rsidR="00B72047" w:rsidRDefault="00B72047">
      <w:pPr>
        <w:pStyle w:val="YACCXREF"/>
      </w:pPr>
      <w:r>
        <w:t>ZO_quote_435</w:t>
      </w:r>
      <w:r>
        <w:tab/>
        <w:t>quote_arg_A_433</w:t>
      </w:r>
    </w:p>
    <w:p w:rsidR="00B72047" w:rsidRDefault="00B72047">
      <w:pPr>
        <w:pStyle w:val="YACC"/>
      </w:pPr>
    </w:p>
    <w:p w:rsidR="00B72047" w:rsidRDefault="00B72047">
      <w:pPr>
        <w:pStyle w:val="YACC"/>
      </w:pPr>
    </w:p>
    <w:p w:rsidR="00B72047" w:rsidRDefault="00B72047">
      <w:pPr>
        <w:pStyle w:val="YACC"/>
        <w:sectPr w:rsidR="00B72047">
          <w:headerReference w:type="default" r:id="rId46"/>
          <w:headerReference w:type="first" r:id="rId47"/>
          <w:pgSz w:w="9504" w:h="13824" w:code="1"/>
          <w:pgMar w:top="1296" w:right="1296" w:bottom="720" w:left="1008" w:header="480" w:footer="720" w:gutter="0"/>
          <w:paperSrc w:first="1706" w:other="1706"/>
          <w:cols w:space="720"/>
        </w:sectPr>
      </w:pPr>
    </w:p>
    <w:p w:rsidR="00B72047" w:rsidRDefault="00B72047">
      <w:pPr>
        <w:pStyle w:val="normalparagraph"/>
        <w:rPr>
          <w:rStyle w:val="htmlcodes"/>
        </w:rPr>
      </w:pPr>
      <w:r>
        <w:rPr>
          <w:rStyle w:val="htmlcodes"/>
        </w:rPr>
        <w:t>&lt;/pre&gt;&lt;/landscape&gt;</w:t>
      </w:r>
    </w:p>
    <w:p w:rsidR="00B72047" w:rsidRDefault="00B72047">
      <w:pPr>
        <w:pStyle w:val="Heading3"/>
        <w:rPr>
          <w:rStyle w:val="Heading3Text"/>
        </w:rPr>
      </w:pPr>
      <w:bookmarkStart w:id="550" w:name="_Toc398970784"/>
      <w:r>
        <w:rPr>
          <w:rStyle w:val="Heading3Text"/>
        </w:rPr>
        <w:t>EBNF Grammar of Lojban</w:t>
      </w:r>
      <w:bookmarkEnd w:id="550"/>
    </w:p>
    <w:p w:rsidR="00B72047" w:rsidRDefault="00B72047">
      <w:pPr>
        <w:pStyle w:val="YACCCenter"/>
      </w:pPr>
      <w:r>
        <w:rPr>
          <w:rStyle w:val="indexentry"/>
        </w:rPr>
        <w:t>&lt;cx "EBNF grammar"&gt;</w:t>
      </w:r>
      <w:r>
        <w:rPr>
          <w:rStyle w:val="indexentry"/>
        </w:rPr>
        <w:fldChar w:fldCharType="begin"/>
      </w:r>
      <w:r>
        <w:instrText>xe "</w:instrText>
      </w:r>
      <w:r>
        <w:rPr>
          <w:rStyle w:val="xeentry"/>
        </w:rPr>
        <w:instrText>EBNF grammar</w:instrText>
      </w:r>
      <w:r>
        <w:instrText>"</w:instrText>
      </w:r>
      <w:r>
        <w:rPr>
          <w:rStyle w:val="indexentry"/>
        </w:rPr>
        <w:fldChar w:fldCharType="end"/>
      </w:r>
      <w:r>
        <w:rPr>
          <w:rStyle w:val="htmlcodes"/>
        </w:rPr>
        <w:t>&lt;h3&gt;&lt;/h3&gt;</w:t>
      </w:r>
      <w:r>
        <w:t>Lojban Machine Grammar, EBNF Version, Final Baseline</w:t>
      </w:r>
    </w:p>
    <w:p w:rsidR="00B72047" w:rsidRDefault="00B72047">
      <w:pPr>
        <w:pStyle w:val="YACCCenter"/>
        <w:rPr>
          <w:rStyle w:val="htmlparacode"/>
          <w:sz w:val="16"/>
          <w:szCs w:val="16"/>
        </w:rPr>
      </w:pPr>
      <w:r>
        <w:rPr>
          <w:rStyle w:val="htmlparacode"/>
          <w:sz w:val="16"/>
          <w:szCs w:val="16"/>
        </w:rPr>
        <w:t>&lt;p&gt;</w:t>
      </w:r>
    </w:p>
    <w:p w:rsidR="00B72047" w:rsidRDefault="00B72047">
      <w:pPr>
        <w:pStyle w:val="YACCCenter"/>
      </w:pPr>
      <w:r>
        <w:t>This EBNF document is explicitly dedicated to the public domain by its author,</w:t>
      </w:r>
      <w:r>
        <w:rPr>
          <w:rStyle w:val="deletedparamark"/>
          <w:sz w:val="16"/>
          <w:szCs w:val="16"/>
        </w:rPr>
        <w:t xml:space="preserve"> </w:t>
      </w:r>
      <w:r>
        <w:t>The Logical Language Group, Inc.</w:t>
      </w:r>
    </w:p>
    <w:p w:rsidR="00B72047" w:rsidRDefault="00B72047">
      <w:pPr>
        <w:pStyle w:val="normalparagraph"/>
        <w:rPr>
          <w:rStyle w:val="htmlparacode"/>
          <w:vanish w:val="0"/>
          <w:sz w:val="16"/>
          <w:szCs w:val="16"/>
        </w:rPr>
      </w:pPr>
    </w:p>
    <w:p w:rsidR="00B72047" w:rsidRDefault="00B72047">
      <w:pPr>
        <w:pStyle w:val="normalparagraph"/>
        <w:rPr>
          <w:rStyle w:val="htmlparacode"/>
          <w:sz w:val="16"/>
          <w:szCs w:val="16"/>
        </w:rPr>
      </w:pPr>
      <w:r>
        <w:rPr>
          <w:rStyle w:val="htmlparacode"/>
          <w:sz w:val="16"/>
          <w:szCs w:val="16"/>
        </w:rPr>
        <w:t>&lt;p&gt;</w:t>
      </w:r>
    </w:p>
    <w:p w:rsidR="00B72047" w:rsidRDefault="00B72047">
      <w:pPr>
        <w:pStyle w:val="normalparagraph"/>
        <w:rPr>
          <w:rStyle w:val="deletedparamark"/>
          <w:sz w:val="16"/>
          <w:szCs w:val="16"/>
        </w:rPr>
      </w:pPr>
      <w:r>
        <w:t>Explanation of notation: All rules have the form:</w:t>
      </w:r>
      <w:r>
        <w:rPr>
          <w:rStyle w:val="deletedparamark"/>
          <w:sz w:val="16"/>
          <w:szCs w:val="16"/>
        </w:rPr>
        <w:t xml:space="preserve"> </w:t>
      </w:r>
    </w:p>
    <w:p w:rsidR="00B72047" w:rsidRDefault="00B72047">
      <w:pPr>
        <w:pStyle w:val="YACCCenter"/>
        <w:rPr>
          <w:rStyle w:val="htmlcodes"/>
        </w:rPr>
      </w:pPr>
      <w:r>
        <w:rPr>
          <w:rStyle w:val="htmlcodes"/>
        </w:rPr>
        <w:t>&lt;p align=center&gt;&lt;center&gt;</w:t>
      </w:r>
    </w:p>
    <w:p w:rsidR="00B72047" w:rsidRDefault="00B72047">
      <w:pPr>
        <w:pStyle w:val="YACCCenter"/>
      </w:pPr>
      <w:r>
        <w:t>name</w:t>
      </w:r>
      <w:r>
        <w:rPr>
          <w:rStyle w:val="htmlcodes"/>
        </w:rPr>
        <w:t>&lt;sub&gt;</w:t>
      </w:r>
      <w:r>
        <w:rPr>
          <w:rStyle w:val="subscript"/>
        </w:rPr>
        <w:t>number</w:t>
      </w:r>
      <w:r>
        <w:rPr>
          <w:rStyle w:val="htmlcodes"/>
        </w:rPr>
        <w:t>&lt;/sub&gt;</w:t>
      </w:r>
      <w:r>
        <w:t>= bnf</w:t>
      </w:r>
      <w:r>
        <w:noBreakHyphen/>
        <w:t>expression</w:t>
      </w:r>
    </w:p>
    <w:p w:rsidR="00B72047" w:rsidRDefault="00B72047">
      <w:pPr>
        <w:pStyle w:val="resumedafterexample"/>
      </w:pPr>
      <w:r>
        <w:rPr>
          <w:rStyle w:val="htmlcodes"/>
        </w:rPr>
        <w:t>&lt;/center&gt;&lt;/p&gt;</w:t>
      </w:r>
      <w:r>
        <w:t>which means that the grammatical construct “name” is defined by</w:t>
      </w:r>
      <w:r>
        <w:rPr>
          <w:rStyle w:val="deletedparamark"/>
          <w:sz w:val="16"/>
          <w:szCs w:val="16"/>
        </w:rPr>
        <w:t xml:space="preserve"> “</w:t>
      </w:r>
      <w:r>
        <w:t>bnf</w:t>
      </w:r>
      <w:r>
        <w:noBreakHyphen/>
        <w:t>expression”. The number cross</w:t>
      </w:r>
      <w:r>
        <w:noBreakHyphen/>
        <w:t>references this grammar with</w:t>
      </w:r>
      <w:r>
        <w:rPr>
          <w:rStyle w:val="deletedparamark"/>
          <w:sz w:val="16"/>
          <w:szCs w:val="16"/>
        </w:rPr>
        <w:t xml:space="preserve"> </w:t>
      </w:r>
      <w:r>
        <w:t>the rule numbers in the YACC gram</w:t>
      </w:r>
      <w:r>
        <w:softHyphen/>
        <w:t>mar. The names are the same as those</w:t>
      </w:r>
      <w:r>
        <w:rPr>
          <w:rStyle w:val="deletedparamark"/>
          <w:sz w:val="16"/>
          <w:szCs w:val="16"/>
        </w:rPr>
        <w:t xml:space="preserve"> </w:t>
      </w:r>
      <w:r>
        <w:t>in the YACC grammar, except that subrules are labeled with A, B, C,</w:t>
      </w:r>
      <w:r>
        <w:rPr>
          <w:rStyle w:val="htmlcodes"/>
        </w:rPr>
        <w:t>&lt;dots&gt;</w:t>
      </w:r>
      <w:r>
        <w:t xml:space="preserve">… </w:t>
      </w:r>
      <w:r>
        <w:rPr>
          <w:rStyle w:val="htmlcodes"/>
        </w:rPr>
        <w:t>&lt;/dots&gt;</w:t>
      </w:r>
      <w:r>
        <w:t>in the</w:t>
      </w:r>
      <w:r>
        <w:rPr>
          <w:rStyle w:val="deletedparamark"/>
          <w:sz w:val="16"/>
          <w:szCs w:val="16"/>
        </w:rPr>
        <w:t xml:space="preserve"> </w:t>
      </w:r>
      <w:r>
        <w:t>YACC grammar and with 1, 2, 3,</w:t>
      </w:r>
      <w:r>
        <w:rPr>
          <w:rStyle w:val="htmlcodes"/>
        </w:rPr>
        <w:t>&lt;dots&gt;</w:t>
      </w:r>
      <w:r>
        <w:t xml:space="preserve">… </w:t>
      </w:r>
      <w:r>
        <w:rPr>
          <w:rStyle w:val="htmlcodes"/>
        </w:rPr>
        <w:t>&lt;/dots&gt;</w:t>
      </w:r>
      <w:r>
        <w:t>in this grammar. In addition, rule 971 is</w:t>
      </w:r>
      <w:r>
        <w:rPr>
          <w:rStyle w:val="deletedparamark"/>
          <w:sz w:val="16"/>
          <w:szCs w:val="16"/>
        </w:rPr>
        <w:t xml:space="preserve"> “</w:t>
      </w:r>
      <w:r>
        <w:t>simple_tag” in the YACC grammar but “stag” in this grammar, because of its</w:t>
      </w:r>
      <w:r>
        <w:rPr>
          <w:rStyle w:val="deletedparamark"/>
          <w:sz w:val="16"/>
          <w:szCs w:val="16"/>
        </w:rPr>
        <w:t xml:space="preserve"> </w:t>
      </w:r>
      <w:r>
        <w:t>fr</w:t>
      </w:r>
      <w:r>
        <w:t>e</w:t>
      </w:r>
      <w:r>
        <w:softHyphen/>
        <w:t>quent appearance.</w:t>
      </w:r>
      <w:r>
        <w:rPr>
          <w:rStyle w:val="deletedparamark"/>
          <w:sz w:val="16"/>
          <w:szCs w:val="16"/>
        </w:rPr>
        <w:t xml:space="preserve"> </w:t>
      </w:r>
      <w:r>
        <w:rPr>
          <w:rStyle w:val="htmlcodes"/>
        </w:rPr>
        <w:t>&lt;ol&gt;</w:t>
      </w:r>
    </w:p>
    <w:p w:rsidR="00B72047" w:rsidRDefault="00B72047" w:rsidP="007E67C1">
      <w:pPr>
        <w:pStyle w:val="Listjustified"/>
        <w:numPr>
          <w:ilvl w:val="0"/>
          <w:numId w:val="2"/>
        </w:numPr>
        <w:ind w:left="792" w:hanging="432"/>
        <w:rPr>
          <w:rStyle w:val="deletedparamark"/>
        </w:rPr>
      </w:pPr>
      <w:r>
        <w:rPr>
          <w:rStyle w:val="htmlcodes"/>
        </w:rPr>
        <w:t>&lt;li&gt;</w:t>
      </w:r>
      <w:r>
        <w:t>Names in lower case are grammatical constructs.</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rPr>
      </w:pPr>
      <w:r>
        <w:rPr>
          <w:rStyle w:val="htmlcodes"/>
        </w:rPr>
        <w:t>&lt;li&gt;</w:t>
      </w:r>
      <w:r>
        <w:t>Names in UPPER CASE are selma'o (lexeme) names, and are terminals.</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rPr>
      </w:pPr>
      <w:r>
        <w:rPr>
          <w:rStyle w:val="htmlcodes"/>
        </w:rPr>
        <w:t>&lt;li&gt;</w:t>
      </w:r>
      <w:r>
        <w:t>Concatenation is expressed by juxtaposition with no operator symbol.</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rPr>
      </w:pPr>
      <w:r>
        <w:rPr>
          <w:rStyle w:val="htmlcodes"/>
        </w:rPr>
        <w:t>&lt;li&gt;</w:t>
      </w:r>
      <w:r>
        <w:t>| represents alternation (choice).</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rPr>
      </w:pPr>
      <w:r>
        <w:rPr>
          <w:rStyle w:val="htmlcodes"/>
        </w:rPr>
        <w:t>&lt;li&gt;</w:t>
      </w:r>
      <w:r>
        <w:t>[] represents an optional element.</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rPr>
      </w:pPr>
      <w:r>
        <w:rPr>
          <w:rStyle w:val="htmlcodes"/>
        </w:rPr>
        <w:t>&lt;li&gt;</w:t>
      </w:r>
      <w:r>
        <w:t>&amp; represents and/or (“A &amp; B” is the same as “A   | B   | A B”).</w:t>
      </w:r>
      <w:r>
        <w:rPr>
          <w:rStyle w:val="deletedparamark"/>
          <w:sz w:val="16"/>
          <w:szCs w:val="16"/>
        </w:rPr>
        <w:t xml:space="preserve"> </w:t>
      </w:r>
    </w:p>
    <w:p w:rsidR="00B72047" w:rsidRDefault="00B72047" w:rsidP="007E67C1">
      <w:pPr>
        <w:pStyle w:val="Listjustified"/>
        <w:numPr>
          <w:ilvl w:val="0"/>
          <w:numId w:val="2"/>
        </w:numPr>
        <w:ind w:left="792" w:hanging="432"/>
      </w:pPr>
      <w:r>
        <w:rPr>
          <w:rStyle w:val="htmlcodes"/>
        </w:rPr>
        <w:t>&lt;li&gt;&lt;dots&gt;</w:t>
      </w:r>
      <w:r>
        <w:t xml:space="preserve">… </w:t>
      </w:r>
      <w:r>
        <w:rPr>
          <w:rStyle w:val="htmlcodes"/>
        </w:rPr>
        <w:t>&lt;/dots&gt;</w:t>
      </w:r>
      <w:r>
        <w:t>represents optional repetition of the construct to the left.</w:t>
      </w:r>
    </w:p>
    <w:p w:rsidR="00B72047" w:rsidRDefault="00B72047" w:rsidP="007E67C1">
      <w:pPr>
        <w:pStyle w:val="listjustcont"/>
        <w:numPr>
          <w:ilvl w:val="0"/>
          <w:numId w:val="0"/>
        </w:numPr>
        <w:ind w:left="792" w:hanging="432"/>
      </w:pPr>
      <w:r>
        <w:t>Left</w:t>
      </w:r>
      <w:r>
        <w:noBreakHyphen/>
        <w:t>grouping is implied; right</w:t>
      </w:r>
      <w:r>
        <w:noBreakHyphen/>
        <w:t>grouping is shown by explicit</w:t>
      </w:r>
    </w:p>
    <w:p w:rsidR="00B72047" w:rsidRDefault="00B72047" w:rsidP="007E67C1">
      <w:pPr>
        <w:pStyle w:val="listjustcont"/>
        <w:numPr>
          <w:ilvl w:val="0"/>
          <w:numId w:val="0"/>
        </w:numPr>
        <w:ind w:left="792" w:hanging="432"/>
      </w:pPr>
      <w:r>
        <w:t>self</w:t>
      </w:r>
      <w:r>
        <w:noBreakHyphen/>
        <w:t>referential recursion with no “</w:t>
      </w:r>
      <w:r>
        <w:rPr>
          <w:rStyle w:val="htmlcodes"/>
        </w:rPr>
        <w:t>&lt;dots&gt;</w:t>
      </w:r>
      <w:r>
        <w:t xml:space="preserve">… </w:t>
      </w:r>
      <w:r>
        <w:rPr>
          <w:rStyle w:val="htmlcodes"/>
        </w:rPr>
        <w:t>&lt;/dots&gt;</w:t>
      </w:r>
      <w:r>
        <w:t>”</w:t>
      </w:r>
    </w:p>
    <w:p w:rsidR="00B72047" w:rsidRDefault="00B72047" w:rsidP="007E67C1">
      <w:pPr>
        <w:pStyle w:val="Listjustified"/>
        <w:numPr>
          <w:ilvl w:val="0"/>
          <w:numId w:val="2"/>
        </w:numPr>
        <w:ind w:left="792" w:hanging="432"/>
      </w:pPr>
      <w:r>
        <w:rPr>
          <w:rStyle w:val="htmlcodes"/>
        </w:rPr>
        <w:t>&lt;li&gt;</w:t>
      </w:r>
      <w:r>
        <w:t>() serves to indicate the grouping of the other operators.</w:t>
      </w:r>
    </w:p>
    <w:p w:rsidR="00B72047" w:rsidRDefault="00B72047" w:rsidP="007E67C1">
      <w:pPr>
        <w:pStyle w:val="listjustcont"/>
        <w:numPr>
          <w:ilvl w:val="0"/>
          <w:numId w:val="0"/>
        </w:numPr>
        <w:ind w:left="792" w:hanging="432"/>
        <w:rPr>
          <w:rStyle w:val="deletedparamark"/>
          <w:sz w:val="16"/>
          <w:szCs w:val="16"/>
        </w:rPr>
      </w:pPr>
      <w:r>
        <w:t>Otherwise, “</w:t>
      </w:r>
      <w:r>
        <w:rPr>
          <w:rStyle w:val="htmlcodes"/>
        </w:rPr>
        <w:t>&lt;dots&gt;</w:t>
      </w:r>
      <w:r>
        <w:t xml:space="preserve">… </w:t>
      </w:r>
      <w:r>
        <w:rPr>
          <w:rStyle w:val="htmlcodes"/>
        </w:rPr>
        <w:t>&lt;/dots&gt;</w:t>
      </w:r>
      <w:r>
        <w:t>” binds closer than &amp;, which binds closer than |.</w:t>
      </w:r>
      <w:r>
        <w:rPr>
          <w:rStyle w:val="deletedparamark"/>
          <w:sz w:val="16"/>
          <w:szCs w:val="16"/>
        </w:rPr>
        <w:t xml:space="preserve"> </w:t>
      </w:r>
    </w:p>
    <w:p w:rsidR="00B72047" w:rsidRDefault="00B72047" w:rsidP="007E67C1">
      <w:pPr>
        <w:pStyle w:val="Listjustified"/>
        <w:numPr>
          <w:ilvl w:val="0"/>
          <w:numId w:val="2"/>
        </w:numPr>
        <w:ind w:left="792" w:hanging="432"/>
        <w:rPr>
          <w:rStyle w:val="deletedparamark"/>
          <w:sz w:val="16"/>
          <w:szCs w:val="16"/>
        </w:rPr>
      </w:pPr>
      <w:r>
        <w:rPr>
          <w:rStyle w:val="htmlcodes"/>
        </w:rPr>
        <w:t>&lt;li&gt;</w:t>
      </w:r>
      <w:r>
        <w:t># is shorthand for “[free</w:t>
      </w:r>
      <w:r>
        <w:rPr>
          <w:rStyle w:val="htmlcodes"/>
        </w:rPr>
        <w:t>&lt;dots&gt;</w:t>
      </w:r>
      <w:r>
        <w:t>…</w:t>
      </w:r>
      <w:r>
        <w:rPr>
          <w:rStyle w:val="htmlcodes"/>
        </w:rPr>
        <w:t>&lt;/dots&gt;</w:t>
      </w:r>
      <w:r>
        <w:t>]”, a construct which appears in many places.</w:t>
      </w:r>
      <w:r>
        <w:rPr>
          <w:rStyle w:val="deletedparamark"/>
          <w:sz w:val="16"/>
          <w:szCs w:val="16"/>
        </w:rPr>
        <w:t xml:space="preserve"> </w:t>
      </w:r>
    </w:p>
    <w:p w:rsidR="00B72047" w:rsidRDefault="00B72047" w:rsidP="007E67C1">
      <w:pPr>
        <w:pStyle w:val="Listjustified"/>
        <w:numPr>
          <w:ilvl w:val="0"/>
          <w:numId w:val="2"/>
        </w:numPr>
        <w:ind w:left="792" w:hanging="432"/>
      </w:pPr>
      <w:r>
        <w:rPr>
          <w:rStyle w:val="htmlcodes"/>
        </w:rPr>
        <w:t>&lt;li&gt;</w:t>
      </w:r>
      <w:r>
        <w:t>// encloses an elidable terminator, which may be omitted (without change</w:t>
      </w:r>
    </w:p>
    <w:p w:rsidR="00B72047" w:rsidRDefault="00B72047" w:rsidP="007E67C1">
      <w:pPr>
        <w:pStyle w:val="listjustcont"/>
        <w:numPr>
          <w:ilvl w:val="0"/>
          <w:numId w:val="0"/>
        </w:numPr>
        <w:ind w:left="792" w:hanging="432"/>
      </w:pPr>
      <w:r>
        <w:t>of meaning) if no grammatical ambiguity results.</w:t>
      </w:r>
    </w:p>
    <w:p w:rsidR="00B72047" w:rsidRDefault="00B72047">
      <w:pPr>
        <w:pStyle w:val="normalparagraph"/>
        <w:rPr>
          <w:rStyle w:val="htmlcodes"/>
        </w:rPr>
      </w:pPr>
      <w:r>
        <w:rPr>
          <w:rStyle w:val="htmlcodes"/>
        </w:rPr>
        <w:t>&lt;/ol&gt;</w:t>
      </w:r>
    </w:p>
    <w:p w:rsidR="00B72047" w:rsidRDefault="00B72047">
      <w:pPr>
        <w:pStyle w:val="YACC"/>
      </w:pPr>
      <w:r>
        <w:rPr>
          <w:rStyle w:val="htmlcodes"/>
        </w:rPr>
        <w:t>&lt;dl compact&gt;</w:t>
      </w:r>
    </w:p>
    <w:p w:rsidR="00B72047" w:rsidRDefault="00B72047">
      <w:pPr>
        <w:pStyle w:val="EBNF"/>
      </w:pPr>
      <w:r>
        <w:rPr>
          <w:rStyle w:val="htmlcodes"/>
        </w:rPr>
        <w:t>&lt;a name=b0&gt;&lt;/a&gt;&lt;a href=#y0&gt;&lt;dt&gt;</w:t>
      </w:r>
      <w:r>
        <w:t>text</w:t>
      </w:r>
      <w:r>
        <w:rPr>
          <w:rStyle w:val="htmlcodes"/>
        </w:rPr>
        <w:t>&lt;/a&gt;&lt;sub&gt;</w:t>
      </w:r>
      <w:r>
        <w:rPr>
          <w:rStyle w:val="subscript"/>
        </w:rPr>
        <w:t>0</w:t>
      </w:r>
      <w:r>
        <w:rPr>
          <w:rStyle w:val="htmlcodes"/>
        </w:rPr>
        <w:t>&lt;/sub&gt;</w:t>
      </w:r>
      <w:r>
        <w:t>=</w:t>
      </w:r>
      <w:r>
        <w:tab/>
      </w:r>
      <w:r>
        <w:rPr>
          <w:rStyle w:val="htmlcodes"/>
        </w:rPr>
        <w:t>&lt;dd&gt;</w:t>
      </w:r>
      <w:r>
        <w:t>[NAI</w:t>
      </w:r>
      <w:r>
        <w:rPr>
          <w:rStyle w:val="htmlcodes"/>
        </w:rPr>
        <w:t>&lt;dots&gt;</w:t>
      </w:r>
      <w:r>
        <w:t>…</w:t>
      </w:r>
      <w:r>
        <w:rPr>
          <w:rStyle w:val="htmlcodes"/>
        </w:rPr>
        <w:t>&lt;/dots&gt;</w:t>
      </w:r>
      <w:r>
        <w:t>]  [CMENE</w:t>
      </w:r>
      <w:r>
        <w:rPr>
          <w:rStyle w:val="htmlcodes"/>
        </w:rPr>
        <w:t>&lt;dots&gt;</w:t>
      </w:r>
      <w:r>
        <w:t xml:space="preserve">…  </w:t>
      </w:r>
      <w:r>
        <w:rPr>
          <w:rStyle w:val="htmlcodes"/>
        </w:rPr>
        <w:t>&lt;/dots&gt;</w:t>
      </w:r>
      <w:r>
        <w:t xml:space="preserve">#  </w:t>
      </w:r>
      <w:r>
        <w:rPr>
          <w:b/>
          <w:bCs/>
          <w:sz w:val="22"/>
          <w:szCs w:val="22"/>
        </w:rPr>
        <w:t>|</w:t>
      </w:r>
      <w:r>
        <w:t xml:space="preserve">  (indicators  &amp;  free</w:t>
      </w:r>
      <w:r>
        <w:rPr>
          <w:rStyle w:val="htmlcodes"/>
        </w:rPr>
        <w:t>&lt;dots&gt;</w:t>
      </w:r>
      <w:r>
        <w:t>…</w:t>
      </w:r>
      <w:r>
        <w:rPr>
          <w:rStyle w:val="htmlcodes"/>
        </w:rPr>
        <w:t>&lt;/dots&gt;</w:t>
      </w:r>
      <w:r>
        <w:t>)]  [joik</w:t>
      </w:r>
      <w:r>
        <w:noBreakHyphen/>
        <w:t>jek]  text</w:t>
      </w:r>
      <w:r>
        <w:noBreakHyphen/>
        <w:t>1</w:t>
      </w:r>
    </w:p>
    <w:p w:rsidR="00B72047" w:rsidRDefault="00B72047">
      <w:pPr>
        <w:pStyle w:val="EBNF"/>
      </w:pPr>
      <w:r>
        <w:rPr>
          <w:rStyle w:val="htmlcodes"/>
        </w:rPr>
        <w:t>&lt;a name=b2&gt;&lt;/a&gt;&lt;a href=#y2&gt;&lt;dt&gt;</w:t>
      </w:r>
      <w:r>
        <w:t>text</w:t>
      </w:r>
      <w:r>
        <w:noBreakHyphen/>
        <w:t>1</w:t>
      </w:r>
      <w:r>
        <w:rPr>
          <w:rStyle w:val="htmlcodes"/>
        </w:rPr>
        <w:t>&lt;/a&gt;&lt;sub&gt;</w:t>
      </w:r>
      <w:r>
        <w:rPr>
          <w:rStyle w:val="subscript"/>
        </w:rPr>
        <w:t>2</w:t>
      </w:r>
      <w:r>
        <w:rPr>
          <w:rStyle w:val="htmlcodes"/>
        </w:rPr>
        <w:t>&lt;/sub&gt;</w:t>
      </w:r>
      <w:r>
        <w:t>=</w:t>
      </w:r>
      <w:r>
        <w:tab/>
      </w:r>
      <w:r>
        <w:rPr>
          <w:rStyle w:val="htmlcodes"/>
        </w:rPr>
        <w:t>&lt;dd&gt;</w:t>
      </w:r>
      <w:r>
        <w:t xml:space="preserve">[(I  [jek  </w:t>
      </w:r>
      <w:r>
        <w:rPr>
          <w:b/>
          <w:bCs/>
          <w:sz w:val="22"/>
          <w:szCs w:val="22"/>
        </w:rPr>
        <w:t>|</w:t>
      </w:r>
      <w:r>
        <w:t xml:space="preserve">  joik]  [[stag]  BO] #)</w:t>
      </w:r>
      <w:r>
        <w:rPr>
          <w:rStyle w:val="htmlcodes"/>
        </w:rPr>
        <w:t>&lt;dots&gt;</w:t>
      </w:r>
      <w:r>
        <w:t>…</w:t>
      </w:r>
      <w:r>
        <w:rPr>
          <w:rStyle w:val="htmlcodes"/>
        </w:rPr>
        <w:t>&lt;/dots&gt;</w:t>
      </w:r>
      <w:r>
        <w:t xml:space="preserve">  </w:t>
      </w:r>
      <w:r>
        <w:rPr>
          <w:b/>
          <w:bCs/>
          <w:sz w:val="22"/>
          <w:szCs w:val="22"/>
        </w:rPr>
        <w:t>|</w:t>
      </w:r>
      <w:r>
        <w:t xml:space="preserve">  NIhO</w:t>
      </w:r>
      <w:r>
        <w:rPr>
          <w:rStyle w:val="htmlcodes"/>
        </w:rPr>
        <w:t>&lt;dots&gt;</w:t>
      </w:r>
      <w:r>
        <w:t xml:space="preserve">…  </w:t>
      </w:r>
      <w:r>
        <w:rPr>
          <w:rStyle w:val="htmlcodes"/>
        </w:rPr>
        <w:t>&lt;/dots&gt;</w:t>
      </w:r>
      <w:r>
        <w:t>#]  [paragraphs]</w:t>
      </w:r>
    </w:p>
    <w:p w:rsidR="00B72047" w:rsidRDefault="00B72047">
      <w:pPr>
        <w:pStyle w:val="EBNF"/>
      </w:pPr>
      <w:r>
        <w:rPr>
          <w:rStyle w:val="htmlcodes"/>
        </w:rPr>
        <w:t>&lt;a name=b4&gt;&lt;/a&gt;&lt;a href=#y4&gt;&lt;dt&gt;</w:t>
      </w:r>
      <w:r>
        <w:t>paragraphs</w:t>
      </w:r>
      <w:r>
        <w:rPr>
          <w:rStyle w:val="htmlcodes"/>
        </w:rPr>
        <w:t>&lt;/a&gt;&lt;sub&gt;</w:t>
      </w:r>
      <w:r>
        <w:rPr>
          <w:rStyle w:val="subscript"/>
        </w:rPr>
        <w:t>4</w:t>
      </w:r>
      <w:r>
        <w:rPr>
          <w:rStyle w:val="htmlcodes"/>
        </w:rPr>
        <w:t>&lt;/sub&gt;</w:t>
      </w:r>
      <w:r>
        <w:t>=</w:t>
      </w:r>
      <w:r>
        <w:tab/>
      </w:r>
      <w:r>
        <w:rPr>
          <w:rStyle w:val="htmlcodes"/>
        </w:rPr>
        <w:t>&lt;dd&gt;</w:t>
      </w:r>
      <w:r>
        <w:t>paragraph  [NIhO</w:t>
      </w:r>
      <w:r>
        <w:rPr>
          <w:rStyle w:val="htmlcodes"/>
        </w:rPr>
        <w:t>&lt;dots&gt;</w:t>
      </w:r>
      <w:r>
        <w:t xml:space="preserve">…  </w:t>
      </w:r>
      <w:r>
        <w:rPr>
          <w:rStyle w:val="htmlcodes"/>
        </w:rPr>
        <w:t>&lt;/dots&gt;</w:t>
      </w:r>
      <w:r>
        <w:t>#  paragraphs]</w:t>
      </w:r>
    </w:p>
    <w:p w:rsidR="00B72047" w:rsidRDefault="00B72047">
      <w:pPr>
        <w:pStyle w:val="EBNF"/>
      </w:pPr>
      <w:r>
        <w:rPr>
          <w:rStyle w:val="htmlcodes"/>
        </w:rPr>
        <w:t>&lt;a name=b10&gt;&lt;/a&gt;&lt;a href=#y10&gt;&lt;dt&gt;</w:t>
      </w:r>
      <w:r>
        <w:t>paragraph</w:t>
      </w:r>
      <w:r>
        <w:rPr>
          <w:rStyle w:val="htmlcodes"/>
        </w:rPr>
        <w:t>&lt;/a&gt;&lt;sub&gt;</w:t>
      </w:r>
      <w:r>
        <w:rPr>
          <w:rStyle w:val="subscript"/>
        </w:rPr>
        <w:t>10</w:t>
      </w:r>
      <w:r>
        <w:rPr>
          <w:rStyle w:val="htmlcodes"/>
        </w:rPr>
        <w:t>&lt;/sub&gt;</w:t>
      </w:r>
      <w:r>
        <w:t>=</w:t>
      </w:r>
      <w:r>
        <w:tab/>
      </w:r>
      <w:r>
        <w:rPr>
          <w:rStyle w:val="htmlcodes"/>
        </w:rPr>
        <w:t>&lt;dd&gt;</w:t>
      </w:r>
      <w:r>
        <w:t xml:space="preserve">(statement  </w:t>
      </w:r>
      <w:r>
        <w:rPr>
          <w:b/>
          <w:bCs/>
          <w:sz w:val="22"/>
          <w:szCs w:val="22"/>
        </w:rPr>
        <w:t>|</w:t>
      </w:r>
      <w:r>
        <w:t xml:space="preserve">  fragment)  [I #  [statement  </w:t>
      </w:r>
      <w:r>
        <w:rPr>
          <w:b/>
          <w:bCs/>
          <w:sz w:val="22"/>
          <w:szCs w:val="22"/>
        </w:rPr>
        <w:t>|</w:t>
      </w:r>
      <w:r>
        <w:t xml:space="preserve">  fragment]]</w:t>
      </w:r>
      <w:r>
        <w:rPr>
          <w:rStyle w:val="htmlcodes"/>
        </w:rPr>
        <w:t>&lt;dots&gt;</w:t>
      </w:r>
      <w:r>
        <w:t>…</w:t>
      </w:r>
      <w:r>
        <w:rPr>
          <w:rStyle w:val="htmlcodes"/>
        </w:rPr>
        <w:t>&lt;/dots&gt;</w:t>
      </w:r>
    </w:p>
    <w:p w:rsidR="00B72047" w:rsidRDefault="00B72047">
      <w:pPr>
        <w:pStyle w:val="EBNF"/>
        <w:spacing w:before="0"/>
      </w:pPr>
      <w:r>
        <w:rPr>
          <w:rStyle w:val="htmlcodes"/>
          <w:vanish w:val="0"/>
        </w:rPr>
        <w:br w:type="page"/>
      </w:r>
      <w:r>
        <w:rPr>
          <w:rStyle w:val="htmlcodes"/>
        </w:rPr>
        <w:t>&lt;a name=b11&gt;&lt;/a&gt;&lt;a href=#y11&gt;&lt;dt&gt;</w:t>
      </w:r>
      <w:r>
        <w:t>statement</w:t>
      </w:r>
      <w:r>
        <w:rPr>
          <w:rStyle w:val="htmlcodes"/>
        </w:rPr>
        <w:t>&lt;/a&gt;&lt;sub&gt;</w:t>
      </w:r>
      <w:r>
        <w:rPr>
          <w:rStyle w:val="subscript"/>
        </w:rPr>
        <w:t>11</w:t>
      </w:r>
      <w:r>
        <w:rPr>
          <w:rStyle w:val="htmlcodes"/>
        </w:rPr>
        <w:t>&lt;/sub&gt;</w:t>
      </w:r>
      <w:r>
        <w:t>=</w:t>
      </w:r>
      <w:r>
        <w:tab/>
      </w:r>
      <w:r>
        <w:rPr>
          <w:rStyle w:val="htmlcodes"/>
        </w:rPr>
        <w:t>&lt;dd&gt;</w:t>
      </w:r>
      <w:r>
        <w:t>statement</w:t>
      </w:r>
      <w:r>
        <w:noBreakHyphen/>
        <w:t>1</w:t>
      </w:r>
      <w:r>
        <w:rPr>
          <w:rStyle w:val="htmlcodes"/>
        </w:rPr>
        <w:t>&lt;br&gt;</w:t>
      </w:r>
      <w:r>
        <w:t xml:space="preserve">  </w:t>
      </w:r>
      <w:r>
        <w:rPr>
          <w:b/>
          <w:bCs/>
          <w:sz w:val="22"/>
          <w:szCs w:val="22"/>
        </w:rPr>
        <w:t>|</w:t>
      </w:r>
      <w:r>
        <w:t xml:space="preserve">  prenex  statement</w:t>
      </w:r>
    </w:p>
    <w:p w:rsidR="00B72047" w:rsidRDefault="00B72047">
      <w:pPr>
        <w:pStyle w:val="EBNF"/>
      </w:pPr>
      <w:r>
        <w:rPr>
          <w:rStyle w:val="htmlcodes"/>
        </w:rPr>
        <w:t>&lt;a name=b12&gt;&lt;/a&gt;&lt;a href=#y12&gt;&lt;dt&gt;</w:t>
      </w:r>
      <w:r>
        <w:t>statement</w:t>
      </w:r>
      <w:r>
        <w:noBreakHyphen/>
        <w:t>1</w:t>
      </w:r>
      <w:r>
        <w:rPr>
          <w:rStyle w:val="htmlcodes"/>
        </w:rPr>
        <w:t>&lt;/a&gt;&lt;sub&gt;</w:t>
      </w:r>
      <w:r>
        <w:rPr>
          <w:rStyle w:val="subscript"/>
        </w:rPr>
        <w:t>12</w:t>
      </w:r>
      <w:r>
        <w:rPr>
          <w:rStyle w:val="htmlcodes"/>
        </w:rPr>
        <w:t>&lt;/sub&gt;</w:t>
      </w:r>
      <w:r>
        <w:t>=</w:t>
      </w:r>
      <w:r>
        <w:tab/>
      </w:r>
      <w:r>
        <w:rPr>
          <w:rStyle w:val="htmlcodes"/>
        </w:rPr>
        <w:t>&lt;dd&gt;</w:t>
      </w:r>
      <w:r>
        <w:t>statement</w:t>
      </w:r>
      <w:r>
        <w:noBreakHyphen/>
        <w:t>2  [I  joik</w:t>
      </w:r>
      <w:r>
        <w:noBreakHyphen/>
        <w:t>jek  [statement</w:t>
      </w:r>
      <w:r>
        <w:noBreakHyphen/>
        <w:t>2]]</w:t>
      </w:r>
      <w:r>
        <w:rPr>
          <w:rStyle w:val="htmlcodes"/>
        </w:rPr>
        <w:t>&lt;dots&gt;</w:t>
      </w:r>
      <w:r>
        <w:t>…</w:t>
      </w:r>
      <w:r>
        <w:rPr>
          <w:rStyle w:val="htmlcodes"/>
        </w:rPr>
        <w:t>&lt;/dots&gt;</w:t>
      </w:r>
    </w:p>
    <w:p w:rsidR="00B72047" w:rsidRDefault="00B72047">
      <w:pPr>
        <w:pStyle w:val="EBNF"/>
      </w:pPr>
      <w:r>
        <w:rPr>
          <w:rStyle w:val="htmlcodes"/>
        </w:rPr>
        <w:t>&lt;a name=b13&gt;&lt;/a&gt;&lt;a href=#y13&gt;&lt;dt&gt;</w:t>
      </w:r>
      <w:r>
        <w:t>statement</w:t>
      </w:r>
      <w:r>
        <w:noBreakHyphen/>
        <w:t>2</w:t>
      </w:r>
      <w:r>
        <w:rPr>
          <w:rStyle w:val="htmlcodes"/>
        </w:rPr>
        <w:t>&lt;/a&gt;&lt;sub&gt;</w:t>
      </w:r>
      <w:r>
        <w:rPr>
          <w:rStyle w:val="subscript"/>
        </w:rPr>
        <w:t>13</w:t>
      </w:r>
      <w:r>
        <w:rPr>
          <w:rStyle w:val="htmlcodes"/>
        </w:rPr>
        <w:t>&lt;/sub&gt;</w:t>
      </w:r>
      <w:r>
        <w:t>=</w:t>
      </w:r>
      <w:r>
        <w:tab/>
      </w:r>
      <w:r>
        <w:rPr>
          <w:rStyle w:val="htmlcodes"/>
        </w:rPr>
        <w:t>&lt;dd&gt;</w:t>
      </w:r>
      <w:r>
        <w:t>statement</w:t>
      </w:r>
      <w:r>
        <w:noBreakHyphen/>
        <w:t xml:space="preserve">3  [I  [jek  </w:t>
      </w:r>
      <w:r>
        <w:rPr>
          <w:b/>
          <w:bCs/>
          <w:sz w:val="22"/>
          <w:szCs w:val="22"/>
        </w:rPr>
        <w:t>|</w:t>
      </w:r>
      <w:r>
        <w:t xml:space="preserve">  joik]  [stag]  BO #  [statement</w:t>
      </w:r>
      <w:r>
        <w:noBreakHyphen/>
        <w:t>2]]</w:t>
      </w:r>
    </w:p>
    <w:p w:rsidR="00B72047" w:rsidRDefault="00B72047">
      <w:pPr>
        <w:pStyle w:val="EBNF"/>
      </w:pPr>
      <w:r>
        <w:rPr>
          <w:rStyle w:val="htmlcodes"/>
        </w:rPr>
        <w:t>&lt;a name=b14&gt;&lt;/a&gt;&lt;a href=#y14&gt;&lt;dt&gt;</w:t>
      </w:r>
      <w:r>
        <w:t>statement</w:t>
      </w:r>
      <w:r>
        <w:noBreakHyphen/>
        <w:t>3</w:t>
      </w:r>
      <w:r>
        <w:rPr>
          <w:rStyle w:val="htmlcodes"/>
        </w:rPr>
        <w:t>&lt;/a&gt;&lt;sub&gt;</w:t>
      </w:r>
      <w:r>
        <w:rPr>
          <w:rStyle w:val="subscript"/>
        </w:rPr>
        <w:t>14</w:t>
      </w:r>
      <w:r>
        <w:rPr>
          <w:rStyle w:val="htmlcodes"/>
        </w:rPr>
        <w:t>&lt;/sub&gt;</w:t>
      </w:r>
      <w:r>
        <w:t>=</w:t>
      </w:r>
      <w:r>
        <w:tab/>
      </w:r>
      <w:r>
        <w:rPr>
          <w:rStyle w:val="htmlcodes"/>
        </w:rPr>
        <w:t>&lt;dd&gt;</w:t>
      </w:r>
      <w:r>
        <w:t>sentence</w:t>
      </w:r>
      <w:r>
        <w:rPr>
          <w:rStyle w:val="htmlcodes"/>
        </w:rPr>
        <w:t>&lt;br&gt;</w:t>
      </w:r>
      <w:r>
        <w:t xml:space="preserve">  </w:t>
      </w:r>
      <w:r>
        <w:rPr>
          <w:b/>
          <w:bCs/>
          <w:sz w:val="22"/>
          <w:szCs w:val="22"/>
        </w:rPr>
        <w:t>|</w:t>
      </w:r>
      <w:r>
        <w:t xml:space="preserve">  [tag]  TUhE #  text</w:t>
      </w:r>
      <w:r>
        <w:noBreakHyphen/>
        <w:t>1  /TUhU#/</w:t>
      </w:r>
    </w:p>
    <w:p w:rsidR="00B72047" w:rsidRDefault="00B72047">
      <w:pPr>
        <w:pStyle w:val="EBNF"/>
      </w:pPr>
      <w:r>
        <w:rPr>
          <w:rStyle w:val="htmlcodes"/>
        </w:rPr>
        <w:t>&lt;a name=b20&gt;&lt;/a&gt;&lt;a href=#y20&gt;&lt;dt&gt;</w:t>
      </w:r>
      <w:r>
        <w:t>fragment</w:t>
      </w:r>
      <w:r>
        <w:rPr>
          <w:rStyle w:val="htmlcodes"/>
        </w:rPr>
        <w:t>&lt;/a&gt;&lt;sub&gt;</w:t>
      </w:r>
      <w:r>
        <w:rPr>
          <w:rStyle w:val="subscript"/>
        </w:rPr>
        <w:t>20</w:t>
      </w:r>
      <w:r>
        <w:rPr>
          <w:rStyle w:val="htmlcodes"/>
        </w:rPr>
        <w:t>&lt;/sub&gt;</w:t>
      </w:r>
      <w:r>
        <w:t>=</w:t>
      </w:r>
      <w:r>
        <w:tab/>
      </w:r>
      <w:r>
        <w:rPr>
          <w:rStyle w:val="htmlcodes"/>
        </w:rPr>
        <w:t>&lt;dd&gt;</w:t>
      </w:r>
      <w:r>
        <w:t>ek #</w:t>
      </w:r>
      <w:r>
        <w:rPr>
          <w:rStyle w:val="htmlcodes"/>
        </w:rPr>
        <w:t>&lt;br&gt;</w:t>
      </w:r>
      <w:r>
        <w:t xml:space="preserve">  </w:t>
      </w:r>
      <w:r>
        <w:rPr>
          <w:b/>
          <w:bCs/>
          <w:sz w:val="22"/>
          <w:szCs w:val="22"/>
        </w:rPr>
        <w:t>|</w:t>
      </w:r>
      <w:r>
        <w:t xml:space="preserve">  gihek #</w:t>
      </w:r>
      <w:r>
        <w:rPr>
          <w:rStyle w:val="htmlcodes"/>
        </w:rPr>
        <w:t>&lt;br&gt;</w:t>
      </w:r>
      <w:r>
        <w:t xml:space="preserve">  </w:t>
      </w:r>
      <w:r>
        <w:rPr>
          <w:b/>
          <w:bCs/>
          <w:sz w:val="22"/>
          <w:szCs w:val="22"/>
        </w:rPr>
        <w:t>|</w:t>
      </w:r>
      <w:r>
        <w:t xml:space="preserve">  quantifier</w:t>
      </w:r>
      <w:r>
        <w:rPr>
          <w:rStyle w:val="htmlcodes"/>
        </w:rPr>
        <w:t>&lt;br&gt;</w:t>
      </w:r>
      <w:r>
        <w:t xml:space="preserve">  </w:t>
      </w:r>
      <w:r>
        <w:rPr>
          <w:rStyle w:val="htmlcodes"/>
        </w:rPr>
        <w:t>|</w:t>
      </w:r>
      <w:r>
        <w:t xml:space="preserve">  NA #</w:t>
      </w:r>
      <w:r>
        <w:rPr>
          <w:rStyle w:val="htmlcodes"/>
        </w:rPr>
        <w:t>&lt;br&gt;</w:t>
      </w:r>
      <w:r>
        <w:t xml:space="preserve">  </w:t>
      </w:r>
      <w:r>
        <w:rPr>
          <w:b/>
          <w:bCs/>
          <w:sz w:val="22"/>
          <w:szCs w:val="22"/>
        </w:rPr>
        <w:t>|</w:t>
      </w:r>
      <w:r>
        <w:t xml:space="preserve">  terms  /VAU#/</w:t>
      </w:r>
      <w:r>
        <w:rPr>
          <w:rStyle w:val="htmlcodes"/>
        </w:rPr>
        <w:t>&lt;br&gt;</w:t>
      </w:r>
      <w:r>
        <w:t xml:space="preserve">  </w:t>
      </w:r>
      <w:r>
        <w:rPr>
          <w:b/>
          <w:bCs/>
          <w:sz w:val="22"/>
          <w:szCs w:val="22"/>
        </w:rPr>
        <w:t>|</w:t>
      </w:r>
      <w:r>
        <w:t xml:space="preserve">  pr</w:t>
      </w:r>
      <w:r>
        <w:t>e</w:t>
      </w:r>
      <w:r>
        <w:t>nex</w:t>
      </w:r>
      <w:r>
        <w:rPr>
          <w:rStyle w:val="htmlcodes"/>
        </w:rPr>
        <w:t>&lt;br&gt;</w:t>
      </w:r>
      <w:r>
        <w:t xml:space="preserve">  </w:t>
      </w:r>
      <w:r>
        <w:rPr>
          <w:b/>
          <w:bCs/>
          <w:sz w:val="22"/>
          <w:szCs w:val="22"/>
        </w:rPr>
        <w:t>|</w:t>
      </w:r>
      <w:r>
        <w:t xml:space="preserve">  relative</w:t>
      </w:r>
      <w:r>
        <w:noBreakHyphen/>
        <w:t>clauses</w:t>
      </w:r>
      <w:r>
        <w:rPr>
          <w:rStyle w:val="htmlcodes"/>
        </w:rPr>
        <w:t>&lt;br&gt;</w:t>
      </w:r>
      <w:r>
        <w:t xml:space="preserve">  </w:t>
      </w:r>
      <w:r>
        <w:rPr>
          <w:b/>
          <w:bCs/>
          <w:sz w:val="22"/>
          <w:szCs w:val="22"/>
        </w:rPr>
        <w:t>|</w:t>
      </w:r>
      <w:r>
        <w:t xml:space="preserve">  links</w:t>
      </w:r>
      <w:r>
        <w:rPr>
          <w:rStyle w:val="htmlcodes"/>
        </w:rPr>
        <w:t>&lt;br&gt;</w:t>
      </w:r>
      <w:r>
        <w:t xml:space="preserve">  </w:t>
      </w:r>
      <w:r>
        <w:rPr>
          <w:b/>
          <w:bCs/>
          <w:sz w:val="22"/>
          <w:szCs w:val="22"/>
        </w:rPr>
        <w:t>|</w:t>
      </w:r>
      <w:r>
        <w:t xml:space="preserve">  linkargs</w:t>
      </w:r>
    </w:p>
    <w:p w:rsidR="00B72047" w:rsidRDefault="00B72047">
      <w:pPr>
        <w:pStyle w:val="EBNF"/>
      </w:pPr>
      <w:r>
        <w:rPr>
          <w:rStyle w:val="htmlcodes"/>
        </w:rPr>
        <w:t>&lt;a name=b30&gt;&lt;/a&gt;&lt;a href=#y30&gt;&lt;dt&gt;</w:t>
      </w:r>
      <w:r>
        <w:t>prenex</w:t>
      </w:r>
      <w:r>
        <w:rPr>
          <w:rStyle w:val="htmlcodes"/>
        </w:rPr>
        <w:t>&lt;/a&gt;&lt;sub&gt;</w:t>
      </w:r>
      <w:r>
        <w:rPr>
          <w:rStyle w:val="subscript"/>
        </w:rPr>
        <w:t>30</w:t>
      </w:r>
      <w:r>
        <w:rPr>
          <w:rStyle w:val="htmlcodes"/>
        </w:rPr>
        <w:t>&lt;/sub&gt;</w:t>
      </w:r>
      <w:r>
        <w:t>=</w:t>
      </w:r>
      <w:r>
        <w:tab/>
      </w:r>
      <w:r>
        <w:rPr>
          <w:rStyle w:val="htmlcodes"/>
        </w:rPr>
        <w:t>&lt;dd&gt;</w:t>
      </w:r>
      <w:r>
        <w:t>terms  ZOhU #</w:t>
      </w:r>
    </w:p>
    <w:p w:rsidR="00B72047" w:rsidRDefault="00B72047">
      <w:pPr>
        <w:pStyle w:val="EBNF"/>
      </w:pPr>
      <w:r>
        <w:rPr>
          <w:rStyle w:val="htmlcodes"/>
        </w:rPr>
        <w:t>&lt;a name=b40&gt;&lt;/a&gt;&lt;a href=#y40&gt;&lt;dt&gt;</w:t>
      </w:r>
      <w:r>
        <w:t>sentence</w:t>
      </w:r>
      <w:r>
        <w:rPr>
          <w:rStyle w:val="htmlcodes"/>
        </w:rPr>
        <w:t>&lt;/a&gt;&lt;sub&gt;</w:t>
      </w:r>
      <w:r>
        <w:rPr>
          <w:rStyle w:val="subscript"/>
        </w:rPr>
        <w:t>40</w:t>
      </w:r>
      <w:r>
        <w:rPr>
          <w:rStyle w:val="htmlcodes"/>
        </w:rPr>
        <w:t>&lt;/sub&gt;</w:t>
      </w:r>
      <w:r>
        <w:t>=</w:t>
      </w:r>
      <w:r>
        <w:tab/>
      </w:r>
      <w:r>
        <w:rPr>
          <w:rStyle w:val="htmlcodes"/>
        </w:rPr>
        <w:t>&lt;dd&gt;</w:t>
      </w:r>
      <w:r>
        <w:t>[terms  [CU #]]  bridi</w:t>
      </w:r>
      <w:r>
        <w:noBreakHyphen/>
        <w:t>tail</w:t>
      </w:r>
    </w:p>
    <w:p w:rsidR="00B72047" w:rsidRDefault="00B72047">
      <w:pPr>
        <w:pStyle w:val="EBNF"/>
      </w:pPr>
      <w:r>
        <w:rPr>
          <w:rStyle w:val="htmlcodes"/>
        </w:rPr>
        <w:t>&lt;a name=b41&gt;&lt;/a&gt;&lt;a href=#y41&gt;&lt;dt&gt;</w:t>
      </w:r>
      <w:r>
        <w:t>subsentence</w:t>
      </w:r>
      <w:r>
        <w:rPr>
          <w:rStyle w:val="htmlcodes"/>
        </w:rPr>
        <w:t>&lt;/a&gt;&lt;sub&gt;</w:t>
      </w:r>
      <w:r>
        <w:rPr>
          <w:rStyle w:val="subscript"/>
        </w:rPr>
        <w:t>41</w:t>
      </w:r>
      <w:r>
        <w:rPr>
          <w:rStyle w:val="htmlcodes"/>
        </w:rPr>
        <w:t>&lt;/sub&gt;</w:t>
      </w:r>
      <w:r>
        <w:t>=</w:t>
      </w:r>
      <w:r>
        <w:tab/>
      </w:r>
      <w:r>
        <w:rPr>
          <w:rStyle w:val="htmlcodes"/>
        </w:rPr>
        <w:t>&lt;dd&gt;</w:t>
      </w:r>
      <w:r>
        <w:t>sentence</w:t>
      </w:r>
      <w:r>
        <w:rPr>
          <w:rStyle w:val="htmlcodes"/>
        </w:rPr>
        <w:t>&lt;br&gt;</w:t>
      </w:r>
      <w:r>
        <w:t xml:space="preserve">  </w:t>
      </w:r>
      <w:r>
        <w:rPr>
          <w:b/>
          <w:bCs/>
          <w:sz w:val="22"/>
          <w:szCs w:val="22"/>
        </w:rPr>
        <w:t>|</w:t>
      </w:r>
      <w:r>
        <w:t xml:space="preserve">  prenex  subsentence</w:t>
      </w:r>
    </w:p>
    <w:p w:rsidR="00B72047" w:rsidRDefault="00B72047">
      <w:pPr>
        <w:pStyle w:val="EBNF"/>
      </w:pPr>
      <w:r>
        <w:rPr>
          <w:rStyle w:val="htmlcodes"/>
        </w:rPr>
        <w:t>&lt;a name=b50&gt;&lt;/a&gt;&lt;a href=#y50&gt;&lt;dt&gt;</w:t>
      </w:r>
      <w:r>
        <w:t>bridi</w:t>
      </w:r>
      <w:r>
        <w:noBreakHyphen/>
        <w:t>tail</w:t>
      </w:r>
      <w:r>
        <w:rPr>
          <w:rStyle w:val="htmlcodes"/>
        </w:rPr>
        <w:t>&lt;/a&gt;&lt;sub&gt;</w:t>
      </w:r>
      <w:r>
        <w:rPr>
          <w:rStyle w:val="subscript"/>
        </w:rPr>
        <w:t>50</w:t>
      </w:r>
      <w:r>
        <w:rPr>
          <w:rStyle w:val="htmlcodes"/>
        </w:rPr>
        <w:t>&lt;/sub&gt;</w:t>
      </w:r>
      <w:r>
        <w:t>=</w:t>
      </w:r>
      <w:r>
        <w:tab/>
      </w:r>
      <w:r>
        <w:rPr>
          <w:rStyle w:val="htmlcodes"/>
        </w:rPr>
        <w:t>&lt;dd&gt;</w:t>
      </w:r>
      <w:r>
        <w:t>bridi</w:t>
      </w:r>
      <w:r>
        <w:noBreakHyphen/>
        <w:t>tail</w:t>
      </w:r>
      <w:r>
        <w:noBreakHyphen/>
        <w:t>1  [gihek  [stag]  KE #  bridi</w:t>
      </w:r>
      <w:r>
        <w:noBreakHyphen/>
        <w:t>tail  /KEhE#/  tail</w:t>
      </w:r>
      <w:r>
        <w:noBreakHyphen/>
        <w:t>terms]</w:t>
      </w:r>
    </w:p>
    <w:p w:rsidR="00B72047" w:rsidRDefault="00B72047">
      <w:pPr>
        <w:pStyle w:val="EBNF"/>
      </w:pPr>
      <w:r>
        <w:rPr>
          <w:rStyle w:val="htmlcodes"/>
        </w:rPr>
        <w:t>&lt;a name=b51&gt;&lt;/a&gt;&lt;a href=#y51&gt;&lt;dt&gt;</w:t>
      </w:r>
      <w:r>
        <w:t>bridi</w:t>
      </w:r>
      <w:r>
        <w:noBreakHyphen/>
        <w:t>tail</w:t>
      </w:r>
      <w:r>
        <w:noBreakHyphen/>
        <w:t>1</w:t>
      </w:r>
      <w:r>
        <w:rPr>
          <w:rStyle w:val="htmlcodes"/>
        </w:rPr>
        <w:t>&lt;/a&gt;&lt;sub&gt;</w:t>
      </w:r>
      <w:r>
        <w:rPr>
          <w:rStyle w:val="subscript"/>
        </w:rPr>
        <w:t>51</w:t>
      </w:r>
      <w:r>
        <w:rPr>
          <w:rStyle w:val="htmlcodes"/>
        </w:rPr>
        <w:t>&lt;/sub&gt;</w:t>
      </w:r>
      <w:r>
        <w:t>=</w:t>
      </w:r>
      <w:r>
        <w:tab/>
      </w:r>
      <w:r>
        <w:rPr>
          <w:rStyle w:val="htmlcodes"/>
        </w:rPr>
        <w:t>&lt;dd&gt;</w:t>
      </w:r>
      <w:r>
        <w:t>bridi</w:t>
      </w:r>
      <w:r>
        <w:noBreakHyphen/>
        <w:t>tail</w:t>
      </w:r>
      <w:r>
        <w:noBreakHyphen/>
        <w:t>2  [gihek #  bridi</w:t>
      </w:r>
      <w:r>
        <w:noBreakHyphen/>
        <w:t>tail</w:t>
      </w:r>
      <w:r>
        <w:noBreakHyphen/>
        <w:t>2  tail</w:t>
      </w:r>
      <w:r>
        <w:noBreakHyphen/>
        <w:t>terms]</w:t>
      </w:r>
      <w:r>
        <w:rPr>
          <w:rStyle w:val="htmlcodes"/>
        </w:rPr>
        <w:t>&lt;dots&gt;</w:t>
      </w:r>
      <w:r>
        <w:t>…</w:t>
      </w:r>
      <w:r>
        <w:rPr>
          <w:rStyle w:val="htmlcodes"/>
        </w:rPr>
        <w:t>&lt;/dots&gt;</w:t>
      </w:r>
    </w:p>
    <w:p w:rsidR="00B72047" w:rsidRDefault="00B72047">
      <w:pPr>
        <w:pStyle w:val="EBNF"/>
      </w:pPr>
      <w:r>
        <w:rPr>
          <w:rStyle w:val="htmlcodes"/>
        </w:rPr>
        <w:t>&lt;a name=b52&gt;&lt;/a&gt;&lt;a href=#y52&gt;&lt;dt&gt;</w:t>
      </w:r>
      <w:r>
        <w:t>bridi</w:t>
      </w:r>
      <w:r>
        <w:noBreakHyphen/>
        <w:t>tail</w:t>
      </w:r>
      <w:r>
        <w:noBreakHyphen/>
        <w:t>2</w:t>
      </w:r>
      <w:r>
        <w:rPr>
          <w:rStyle w:val="htmlcodes"/>
        </w:rPr>
        <w:t>&lt;/a&gt;&lt;sub&gt;</w:t>
      </w:r>
      <w:r>
        <w:rPr>
          <w:rStyle w:val="subscript"/>
        </w:rPr>
        <w:t>52</w:t>
      </w:r>
      <w:r>
        <w:rPr>
          <w:rStyle w:val="htmlcodes"/>
        </w:rPr>
        <w:t>&lt;/sub&gt;</w:t>
      </w:r>
      <w:r>
        <w:t>=</w:t>
      </w:r>
      <w:r>
        <w:tab/>
      </w:r>
      <w:r>
        <w:rPr>
          <w:rStyle w:val="htmlcodes"/>
        </w:rPr>
        <w:t>&lt;dd&gt;</w:t>
      </w:r>
      <w:r>
        <w:t>bridi</w:t>
      </w:r>
      <w:r>
        <w:noBreakHyphen/>
        <w:t>tail</w:t>
      </w:r>
      <w:r>
        <w:noBreakHyphen/>
        <w:t>3  [gihek  [stag]  BO #  bridi</w:t>
      </w:r>
      <w:r>
        <w:noBreakHyphen/>
        <w:t>tail</w:t>
      </w:r>
      <w:r>
        <w:noBreakHyphen/>
        <w:t>2  tail</w:t>
      </w:r>
      <w:r>
        <w:noBreakHyphen/>
        <w:t>terms]</w:t>
      </w:r>
    </w:p>
    <w:p w:rsidR="00B72047" w:rsidRDefault="00B72047">
      <w:pPr>
        <w:pStyle w:val="EBNF"/>
      </w:pPr>
      <w:r>
        <w:rPr>
          <w:rStyle w:val="htmlcodes"/>
        </w:rPr>
        <w:t>&lt;a name=b53&gt;&lt;/a&gt;&lt;a href=#y53&gt;&lt;dt&gt;</w:t>
      </w:r>
      <w:r>
        <w:t>bridi</w:t>
      </w:r>
      <w:r>
        <w:noBreakHyphen/>
        <w:t>tail</w:t>
      </w:r>
      <w:r>
        <w:noBreakHyphen/>
        <w:t>3</w:t>
      </w:r>
      <w:r>
        <w:rPr>
          <w:rStyle w:val="htmlcodes"/>
        </w:rPr>
        <w:t>&lt;/a&gt;&lt;sub&gt;</w:t>
      </w:r>
      <w:r>
        <w:rPr>
          <w:rStyle w:val="subscript"/>
        </w:rPr>
        <w:t>53</w:t>
      </w:r>
      <w:r>
        <w:rPr>
          <w:rStyle w:val="htmlcodes"/>
        </w:rPr>
        <w:t>&lt;/sub&gt;</w:t>
      </w:r>
      <w:r>
        <w:t>=</w:t>
      </w:r>
      <w:r>
        <w:tab/>
      </w:r>
      <w:r>
        <w:rPr>
          <w:rStyle w:val="htmlcodes"/>
        </w:rPr>
        <w:t>&lt;dd&gt;</w:t>
      </w:r>
      <w:r>
        <w:t>selbri  tail</w:t>
      </w:r>
      <w:r>
        <w:noBreakHyphen/>
        <w:t>terms</w:t>
      </w:r>
      <w:r>
        <w:rPr>
          <w:rStyle w:val="htmlcodes"/>
        </w:rPr>
        <w:t>&lt;br&gt;</w:t>
      </w:r>
      <w:r>
        <w:t xml:space="preserve">  </w:t>
      </w:r>
      <w:r>
        <w:rPr>
          <w:b/>
          <w:bCs/>
          <w:sz w:val="22"/>
          <w:szCs w:val="22"/>
        </w:rPr>
        <w:t>|</w:t>
      </w:r>
      <w:r>
        <w:t xml:space="preserve">  gek</w:t>
      </w:r>
      <w:r>
        <w:noBreakHyphen/>
        <w:t>sentence</w:t>
      </w:r>
    </w:p>
    <w:p w:rsidR="00B72047" w:rsidRDefault="00B72047">
      <w:pPr>
        <w:pStyle w:val="EBNF"/>
      </w:pPr>
      <w:r>
        <w:rPr>
          <w:rStyle w:val="htmlcodes"/>
        </w:rPr>
        <w:t>&lt;a name=b54&gt;&lt;/a&gt;&lt;a href=#y54&gt;&lt;dt&gt;</w:t>
      </w:r>
      <w:r>
        <w:t>gek</w:t>
      </w:r>
      <w:r>
        <w:noBreakHyphen/>
        <w:t>sentence</w:t>
      </w:r>
      <w:r>
        <w:rPr>
          <w:rStyle w:val="htmlcodes"/>
        </w:rPr>
        <w:t>&lt;/a&gt;&lt;sub&gt;</w:t>
      </w:r>
      <w:r>
        <w:rPr>
          <w:rStyle w:val="subscript"/>
        </w:rPr>
        <w:t>54</w:t>
      </w:r>
      <w:r>
        <w:rPr>
          <w:rStyle w:val="htmlcodes"/>
        </w:rPr>
        <w:t>&lt;/sub&gt;</w:t>
      </w:r>
      <w:r>
        <w:t>=</w:t>
      </w:r>
      <w:r>
        <w:tab/>
      </w:r>
      <w:r>
        <w:rPr>
          <w:rStyle w:val="htmlcodes"/>
        </w:rPr>
        <w:t>&lt;dd&gt;</w:t>
      </w:r>
      <w:r>
        <w:t>gek  subsentence  gik  subsentence  tail</w:t>
      </w:r>
      <w:r>
        <w:noBreakHyphen/>
        <w:t>terms</w:t>
      </w:r>
      <w:r>
        <w:rPr>
          <w:rStyle w:val="htmlcodes"/>
        </w:rPr>
        <w:t>&lt;br&gt;</w:t>
      </w:r>
      <w:r>
        <w:t xml:space="preserve">  </w:t>
      </w:r>
      <w:r>
        <w:rPr>
          <w:b/>
          <w:bCs/>
          <w:sz w:val="22"/>
          <w:szCs w:val="22"/>
        </w:rPr>
        <w:t>|</w:t>
      </w:r>
      <w:r>
        <w:t xml:space="preserve">  [tag]  KE #  gek</w:t>
      </w:r>
      <w:r>
        <w:noBreakHyphen/>
        <w:t>sentence  /KEhE#/</w:t>
      </w:r>
      <w:r>
        <w:rPr>
          <w:rStyle w:val="htmlcodes"/>
        </w:rPr>
        <w:t>&lt;br&gt;</w:t>
      </w:r>
      <w:r>
        <w:t xml:space="preserve">  </w:t>
      </w:r>
      <w:r>
        <w:rPr>
          <w:b/>
          <w:bCs/>
          <w:sz w:val="22"/>
          <w:szCs w:val="22"/>
        </w:rPr>
        <w:t>|</w:t>
      </w:r>
      <w:r>
        <w:t xml:space="preserve">  NA #  gek</w:t>
      </w:r>
      <w:r>
        <w:noBreakHyphen/>
        <w:t>sentence</w:t>
      </w:r>
    </w:p>
    <w:p w:rsidR="00B72047" w:rsidRDefault="00B72047">
      <w:pPr>
        <w:pStyle w:val="EBNF"/>
      </w:pPr>
      <w:r>
        <w:rPr>
          <w:rStyle w:val="htmlcodes"/>
        </w:rPr>
        <w:t>&lt;a name=b71&gt;&lt;/a&gt;&lt;a href=#y71&gt;&lt;dt&gt;</w:t>
      </w:r>
      <w:r>
        <w:t>tail</w:t>
      </w:r>
      <w:r>
        <w:noBreakHyphen/>
        <w:t>terms</w:t>
      </w:r>
      <w:r>
        <w:rPr>
          <w:rStyle w:val="htmlcodes"/>
        </w:rPr>
        <w:t>&lt;/a&gt;&lt;sub&gt;</w:t>
      </w:r>
      <w:r>
        <w:rPr>
          <w:rStyle w:val="subscript"/>
        </w:rPr>
        <w:t>71</w:t>
      </w:r>
      <w:r>
        <w:rPr>
          <w:rStyle w:val="htmlcodes"/>
        </w:rPr>
        <w:t>&lt;/sub&gt;</w:t>
      </w:r>
      <w:r>
        <w:t>=</w:t>
      </w:r>
      <w:r>
        <w:tab/>
      </w:r>
      <w:r>
        <w:rPr>
          <w:rStyle w:val="htmlcodes"/>
        </w:rPr>
        <w:t>&lt;dd&gt;</w:t>
      </w:r>
      <w:r>
        <w:t>[terms]  /VAU#/</w:t>
      </w:r>
    </w:p>
    <w:p w:rsidR="00B72047" w:rsidRDefault="00B72047">
      <w:pPr>
        <w:pStyle w:val="EBNF"/>
      </w:pPr>
      <w:r>
        <w:rPr>
          <w:rStyle w:val="htmlcodes"/>
        </w:rPr>
        <w:t>&lt;a name=b80&gt;&lt;/a&gt;&lt;a href=#y80&gt;&lt;dt&gt;</w:t>
      </w:r>
      <w:r>
        <w:t>terms</w:t>
      </w:r>
      <w:r>
        <w:rPr>
          <w:rStyle w:val="htmlcodes"/>
        </w:rPr>
        <w:t>&lt;/a&gt;&lt;sub&gt;</w:t>
      </w:r>
      <w:r>
        <w:rPr>
          <w:rStyle w:val="subscript"/>
        </w:rPr>
        <w:t>80</w:t>
      </w:r>
      <w:r>
        <w:rPr>
          <w:rStyle w:val="htmlcodes"/>
        </w:rPr>
        <w:t>&lt;/sub&gt;</w:t>
      </w:r>
      <w:r>
        <w:t>=</w:t>
      </w:r>
      <w:r>
        <w:tab/>
      </w:r>
      <w:r>
        <w:rPr>
          <w:rStyle w:val="htmlcodes"/>
        </w:rPr>
        <w:t>&lt;dd&gt;</w:t>
      </w:r>
      <w:r>
        <w:t>terms</w:t>
      </w:r>
      <w:r>
        <w:noBreakHyphen/>
        <w:t>1</w:t>
      </w:r>
      <w:r>
        <w:rPr>
          <w:rStyle w:val="htmlcodes"/>
        </w:rPr>
        <w:t>&lt;dots&gt;</w:t>
      </w:r>
      <w:r>
        <w:t>…</w:t>
      </w:r>
      <w:r>
        <w:rPr>
          <w:rStyle w:val="htmlcodes"/>
        </w:rPr>
        <w:t>&lt;/dots&gt;</w:t>
      </w:r>
    </w:p>
    <w:p w:rsidR="00B72047" w:rsidRDefault="00B72047">
      <w:pPr>
        <w:pStyle w:val="EBNF"/>
      </w:pPr>
      <w:r>
        <w:rPr>
          <w:rStyle w:val="htmlcodes"/>
        </w:rPr>
        <w:t>&lt;a name=b81&gt;&lt;/a&gt;&lt;a href=#y81&gt;&lt;dt&gt;</w:t>
      </w:r>
      <w:r>
        <w:t>terms</w:t>
      </w:r>
      <w:r>
        <w:noBreakHyphen/>
        <w:t>1</w:t>
      </w:r>
      <w:r>
        <w:rPr>
          <w:rStyle w:val="htmlcodes"/>
        </w:rPr>
        <w:t>&lt;/a&gt;&lt;sub&gt;</w:t>
      </w:r>
      <w:r>
        <w:rPr>
          <w:rStyle w:val="subscript"/>
        </w:rPr>
        <w:t>81</w:t>
      </w:r>
      <w:r>
        <w:rPr>
          <w:rStyle w:val="htmlcodes"/>
        </w:rPr>
        <w:t>&lt;/sub&gt;</w:t>
      </w:r>
      <w:r>
        <w:t>=</w:t>
      </w:r>
      <w:r>
        <w:tab/>
      </w:r>
      <w:r>
        <w:rPr>
          <w:rStyle w:val="htmlcodes"/>
        </w:rPr>
        <w:t>&lt;dd&gt;</w:t>
      </w:r>
      <w:r>
        <w:t>terms</w:t>
      </w:r>
      <w:r>
        <w:noBreakHyphen/>
        <w:t>2  [PEhE #  joik</w:t>
      </w:r>
      <w:r>
        <w:noBreakHyphen/>
        <w:t>jek  terms</w:t>
      </w:r>
      <w:r>
        <w:noBreakHyphen/>
        <w:t>2]</w:t>
      </w:r>
      <w:r>
        <w:rPr>
          <w:rStyle w:val="htmlcodes"/>
        </w:rPr>
        <w:t>&lt;dots&gt;</w:t>
      </w:r>
      <w:r>
        <w:t>…</w:t>
      </w:r>
      <w:r>
        <w:rPr>
          <w:rStyle w:val="htmlcodes"/>
        </w:rPr>
        <w:t>&lt;/dots&gt;</w:t>
      </w:r>
    </w:p>
    <w:p w:rsidR="00B72047" w:rsidRDefault="00B72047">
      <w:pPr>
        <w:pStyle w:val="EBNF"/>
      </w:pPr>
      <w:r>
        <w:rPr>
          <w:rStyle w:val="htmlcodes"/>
        </w:rPr>
        <w:t>&lt;a name=b82&gt;&lt;/a&gt;&lt;a href=#y82&gt;&lt;dt&gt;</w:t>
      </w:r>
      <w:r>
        <w:t>terms</w:t>
      </w:r>
      <w:r>
        <w:noBreakHyphen/>
        <w:t>2</w:t>
      </w:r>
      <w:r>
        <w:rPr>
          <w:rStyle w:val="htmlcodes"/>
        </w:rPr>
        <w:t>&lt;/a&gt;&lt;sub&gt;</w:t>
      </w:r>
      <w:r>
        <w:rPr>
          <w:rStyle w:val="subscript"/>
        </w:rPr>
        <w:t>82</w:t>
      </w:r>
      <w:r>
        <w:rPr>
          <w:rStyle w:val="htmlcodes"/>
        </w:rPr>
        <w:t>&lt;/sub&gt;</w:t>
      </w:r>
      <w:r>
        <w:t>=</w:t>
      </w:r>
      <w:r>
        <w:tab/>
      </w:r>
      <w:r>
        <w:rPr>
          <w:rStyle w:val="htmlcodes"/>
        </w:rPr>
        <w:t>&lt;dd&gt;</w:t>
      </w:r>
      <w:r>
        <w:t>term  [CEhE #  term]</w:t>
      </w:r>
      <w:r>
        <w:rPr>
          <w:rStyle w:val="htmlcodes"/>
        </w:rPr>
        <w:t>&lt;dots&gt;</w:t>
      </w:r>
      <w:r>
        <w:t>…</w:t>
      </w:r>
      <w:r>
        <w:rPr>
          <w:rStyle w:val="htmlcodes"/>
        </w:rPr>
        <w:t>&lt;/dots&gt;</w:t>
      </w:r>
    </w:p>
    <w:p w:rsidR="00B72047" w:rsidRDefault="00B72047">
      <w:pPr>
        <w:pStyle w:val="EBNF"/>
      </w:pPr>
      <w:r>
        <w:rPr>
          <w:rStyle w:val="htmlcodes"/>
        </w:rPr>
        <w:t>&lt;a name=b83&gt;&lt;/a&gt;&lt;a href=#y83&gt;&lt;dt&gt;</w:t>
      </w:r>
      <w:r>
        <w:t>term</w:t>
      </w:r>
      <w:r>
        <w:rPr>
          <w:rStyle w:val="htmlcodes"/>
        </w:rPr>
        <w:t>&lt;/a&gt;&lt;sub&gt;</w:t>
      </w:r>
      <w:r>
        <w:rPr>
          <w:rStyle w:val="subscript"/>
        </w:rPr>
        <w:t>83</w:t>
      </w:r>
      <w:r>
        <w:rPr>
          <w:rStyle w:val="htmlcodes"/>
        </w:rPr>
        <w:t>&lt;/sub&gt;</w:t>
      </w:r>
      <w:r>
        <w:t>=</w:t>
      </w:r>
      <w:r>
        <w:tab/>
      </w:r>
      <w:r>
        <w:rPr>
          <w:rStyle w:val="htmlcodes"/>
        </w:rPr>
        <w:t>&lt;dd&gt;</w:t>
      </w:r>
      <w:r>
        <w:t xml:space="preserve">sumti  </w:t>
      </w:r>
      <w:r>
        <w:rPr>
          <w:b/>
          <w:bCs/>
          <w:sz w:val="22"/>
          <w:szCs w:val="22"/>
        </w:rPr>
        <w:t>|</w:t>
      </w:r>
      <w:r>
        <w:t xml:space="preserve"> (tag  </w:t>
      </w:r>
      <w:r>
        <w:rPr>
          <w:b/>
          <w:bCs/>
          <w:sz w:val="22"/>
          <w:szCs w:val="22"/>
        </w:rPr>
        <w:t>|</w:t>
      </w:r>
      <w:r>
        <w:t xml:space="preserve">  FA #) (sumti</w:t>
      </w:r>
      <w:r>
        <w:rPr>
          <w:rStyle w:val="htmlcodes"/>
        </w:rPr>
        <w:t>&lt;br&gt;</w:t>
      </w:r>
      <w:r>
        <w:t xml:space="preserve">  </w:t>
      </w:r>
      <w:r>
        <w:rPr>
          <w:b/>
          <w:bCs/>
          <w:sz w:val="22"/>
          <w:szCs w:val="22"/>
        </w:rPr>
        <w:t>|</w:t>
      </w:r>
      <w:r>
        <w:t xml:space="preserve">  /KU#/)</w:t>
      </w:r>
      <w:r>
        <w:rPr>
          <w:rStyle w:val="htmlcodes"/>
        </w:rPr>
        <w:t>&lt;br&gt;</w:t>
      </w:r>
      <w:r>
        <w:t xml:space="preserve">  </w:t>
      </w:r>
      <w:r>
        <w:rPr>
          <w:b/>
          <w:bCs/>
          <w:sz w:val="22"/>
          <w:szCs w:val="22"/>
        </w:rPr>
        <w:t>|</w:t>
      </w:r>
      <w:r>
        <w:t xml:space="preserve">  termset</w:t>
      </w:r>
      <w:r>
        <w:rPr>
          <w:rStyle w:val="htmlcodes"/>
        </w:rPr>
        <w:t>&lt;br&gt;</w:t>
      </w:r>
      <w:r>
        <w:t xml:space="preserve">  </w:t>
      </w:r>
      <w:r>
        <w:rPr>
          <w:b/>
          <w:bCs/>
          <w:sz w:val="22"/>
          <w:szCs w:val="22"/>
        </w:rPr>
        <w:t>|</w:t>
      </w:r>
      <w:r>
        <w:t xml:space="preserve">  NA  KU #</w:t>
      </w:r>
    </w:p>
    <w:p w:rsidR="00B72047" w:rsidRDefault="00B72047">
      <w:pPr>
        <w:pStyle w:val="EBNF"/>
      </w:pPr>
      <w:r>
        <w:rPr>
          <w:rStyle w:val="htmlcodes"/>
        </w:rPr>
        <w:t>&lt;a name=b85&gt;&lt;/a&gt;&lt;a href=#y85&gt;&lt;dt&gt;</w:t>
      </w:r>
      <w:r>
        <w:t>termset</w:t>
      </w:r>
      <w:r>
        <w:rPr>
          <w:rStyle w:val="htmlcodes"/>
        </w:rPr>
        <w:t>&lt;/a&gt;&lt;sub&gt;</w:t>
      </w:r>
      <w:r>
        <w:rPr>
          <w:rStyle w:val="subscript"/>
        </w:rPr>
        <w:t>85</w:t>
      </w:r>
      <w:r>
        <w:rPr>
          <w:rStyle w:val="htmlcodes"/>
        </w:rPr>
        <w:t>&lt;/sub&gt;</w:t>
      </w:r>
      <w:r>
        <w:t>=</w:t>
      </w:r>
      <w:r>
        <w:tab/>
      </w:r>
      <w:r>
        <w:rPr>
          <w:rStyle w:val="htmlcodes"/>
        </w:rPr>
        <w:t>&lt;dd&gt;</w:t>
      </w:r>
      <w:r>
        <w:t>NUhI #  gek  terms  /NUhU#/  gik  terms  /NUhU#/</w:t>
      </w:r>
      <w:r>
        <w:rPr>
          <w:rStyle w:val="htmlcodes"/>
        </w:rPr>
        <w:t>&lt;br&gt;</w:t>
      </w:r>
      <w:r>
        <w:t xml:space="preserve">  </w:t>
      </w:r>
      <w:r>
        <w:rPr>
          <w:b/>
          <w:bCs/>
          <w:sz w:val="22"/>
          <w:szCs w:val="22"/>
        </w:rPr>
        <w:t>|</w:t>
      </w:r>
      <w:r>
        <w:t xml:space="preserve">  NUhI #  terms  /NUhU#/</w:t>
      </w:r>
    </w:p>
    <w:p w:rsidR="00B72047" w:rsidRDefault="00B72047">
      <w:pPr>
        <w:pStyle w:val="EBNF"/>
      </w:pPr>
      <w:r>
        <w:rPr>
          <w:rStyle w:val="htmlcodes"/>
        </w:rPr>
        <w:t>&lt;a name=b90&gt;&lt;/a&gt;&lt;a href=#y90&gt;&lt;dt&gt;</w:t>
      </w:r>
      <w:r>
        <w:t>sumti</w:t>
      </w:r>
      <w:r>
        <w:rPr>
          <w:rStyle w:val="htmlcodes"/>
        </w:rPr>
        <w:t>&lt;/a&gt;&lt;sub&gt;</w:t>
      </w:r>
      <w:r>
        <w:rPr>
          <w:rStyle w:val="subscript"/>
        </w:rPr>
        <w:t>90</w:t>
      </w:r>
      <w:r>
        <w:rPr>
          <w:rStyle w:val="htmlcodes"/>
        </w:rPr>
        <w:t>&lt;/sub&gt;</w:t>
      </w:r>
      <w:r>
        <w:t>=</w:t>
      </w:r>
      <w:r>
        <w:tab/>
      </w:r>
      <w:r>
        <w:rPr>
          <w:rStyle w:val="htmlcodes"/>
        </w:rPr>
        <w:t>&lt;dd&gt;</w:t>
      </w:r>
      <w:r>
        <w:t>sumti</w:t>
      </w:r>
      <w:r>
        <w:noBreakHyphen/>
        <w:t>1  [VUhO #  relative</w:t>
      </w:r>
      <w:r>
        <w:noBreakHyphen/>
        <w:t>clauses]</w:t>
      </w:r>
    </w:p>
    <w:p w:rsidR="00B72047" w:rsidRDefault="00B72047">
      <w:pPr>
        <w:pStyle w:val="EBNF"/>
      </w:pPr>
      <w:r>
        <w:rPr>
          <w:rStyle w:val="htmlcodes"/>
        </w:rPr>
        <w:t>&lt;a name=b91&gt;&lt;/a&gt;&lt;a href=#y91&gt;&lt;dt&gt;</w:t>
      </w:r>
      <w:r>
        <w:t>sumti</w:t>
      </w:r>
      <w:r>
        <w:noBreakHyphen/>
        <w:t>1</w:t>
      </w:r>
      <w:r>
        <w:rPr>
          <w:rStyle w:val="htmlcodes"/>
        </w:rPr>
        <w:t>&lt;/a&gt;&lt;sub&gt;</w:t>
      </w:r>
      <w:r>
        <w:rPr>
          <w:rStyle w:val="subscript"/>
        </w:rPr>
        <w:t>91</w:t>
      </w:r>
      <w:r>
        <w:rPr>
          <w:rStyle w:val="htmlcodes"/>
        </w:rPr>
        <w:t>&lt;/sub&gt;</w:t>
      </w:r>
      <w:r>
        <w:t>=</w:t>
      </w:r>
      <w:r>
        <w:tab/>
      </w:r>
      <w:r>
        <w:rPr>
          <w:rStyle w:val="htmlcodes"/>
        </w:rPr>
        <w:t>&lt;dd&gt;</w:t>
      </w:r>
      <w:r>
        <w:t>sumti</w:t>
      </w:r>
      <w:r>
        <w:noBreakHyphen/>
        <w:t xml:space="preserve">2  [(ek  </w:t>
      </w:r>
      <w:r>
        <w:rPr>
          <w:b/>
          <w:bCs/>
          <w:sz w:val="22"/>
          <w:szCs w:val="22"/>
        </w:rPr>
        <w:t>|</w:t>
      </w:r>
      <w:r>
        <w:t xml:space="preserve">  joik)  [stag]  KE #  sumti  /KEhE#/]</w:t>
      </w:r>
    </w:p>
    <w:p w:rsidR="00B72047" w:rsidRDefault="00B72047">
      <w:pPr>
        <w:pStyle w:val="EBNF"/>
      </w:pPr>
      <w:r>
        <w:rPr>
          <w:rStyle w:val="htmlcodes"/>
        </w:rPr>
        <w:t>&lt;a name=b92&gt;&lt;/a&gt;&lt;a href=#y92&gt;&lt;dt&gt;</w:t>
      </w:r>
      <w:r>
        <w:t>sumti</w:t>
      </w:r>
      <w:r>
        <w:noBreakHyphen/>
        <w:t>2</w:t>
      </w:r>
      <w:r>
        <w:rPr>
          <w:rStyle w:val="htmlcodes"/>
        </w:rPr>
        <w:t>&lt;/a&gt;&lt;sub&gt;</w:t>
      </w:r>
      <w:r>
        <w:rPr>
          <w:rStyle w:val="subscript"/>
        </w:rPr>
        <w:t>92</w:t>
      </w:r>
      <w:r>
        <w:rPr>
          <w:rStyle w:val="htmlcodes"/>
        </w:rPr>
        <w:t>&lt;/sub&gt;</w:t>
      </w:r>
      <w:r>
        <w:t>=</w:t>
      </w:r>
      <w:r>
        <w:tab/>
      </w:r>
      <w:r>
        <w:rPr>
          <w:rStyle w:val="htmlcodes"/>
        </w:rPr>
        <w:t>&lt;dd&gt;</w:t>
      </w:r>
      <w:r>
        <w:t>sumti</w:t>
      </w:r>
      <w:r>
        <w:noBreakHyphen/>
        <w:t>3  [joik</w:t>
      </w:r>
      <w:r>
        <w:noBreakHyphen/>
        <w:t>ek  sumti</w:t>
      </w:r>
      <w:r>
        <w:noBreakHyphen/>
        <w:t>3]</w:t>
      </w:r>
      <w:r>
        <w:rPr>
          <w:rStyle w:val="htmlcodes"/>
        </w:rPr>
        <w:t>&lt;dots&gt;</w:t>
      </w:r>
      <w:r>
        <w:t>…</w:t>
      </w:r>
      <w:r>
        <w:rPr>
          <w:rStyle w:val="htmlcodes"/>
        </w:rPr>
        <w:t>&lt;/dots&gt;</w:t>
      </w:r>
    </w:p>
    <w:p w:rsidR="00B72047" w:rsidRDefault="00B72047">
      <w:pPr>
        <w:pStyle w:val="EBNF"/>
      </w:pPr>
      <w:r>
        <w:rPr>
          <w:rStyle w:val="htmlcodes"/>
        </w:rPr>
        <w:t>&lt;a name=b93&gt;&lt;/a&gt;&lt;a href=#y93&gt;&lt;dt&gt;</w:t>
      </w:r>
      <w:r>
        <w:t>sumti</w:t>
      </w:r>
      <w:r>
        <w:noBreakHyphen/>
        <w:t>3</w:t>
      </w:r>
      <w:r>
        <w:rPr>
          <w:rStyle w:val="htmlcodes"/>
        </w:rPr>
        <w:t>&lt;/a&gt;&lt;sub&gt;</w:t>
      </w:r>
      <w:r>
        <w:rPr>
          <w:rStyle w:val="subscript"/>
        </w:rPr>
        <w:t>93</w:t>
      </w:r>
      <w:r>
        <w:rPr>
          <w:rStyle w:val="htmlcodes"/>
        </w:rPr>
        <w:t>&lt;/sub&gt;</w:t>
      </w:r>
      <w:r>
        <w:t>=</w:t>
      </w:r>
      <w:r>
        <w:tab/>
      </w:r>
      <w:r>
        <w:rPr>
          <w:rStyle w:val="htmlcodes"/>
        </w:rPr>
        <w:t>&lt;dd&gt;</w:t>
      </w:r>
      <w:r>
        <w:t>sumti</w:t>
      </w:r>
      <w:r>
        <w:noBreakHyphen/>
        <w:t>4  [(ek</w:t>
      </w:r>
      <w:r>
        <w:rPr>
          <w:rStyle w:val="htmlcodes"/>
        </w:rPr>
        <w:t>&lt;br&gt;</w:t>
      </w:r>
      <w:r>
        <w:t xml:space="preserve">  </w:t>
      </w:r>
      <w:r>
        <w:rPr>
          <w:b/>
          <w:bCs/>
          <w:sz w:val="22"/>
          <w:szCs w:val="22"/>
        </w:rPr>
        <w:t>|</w:t>
      </w:r>
      <w:r>
        <w:t xml:space="preserve">  joik)  [stag]  BO #  sumti</w:t>
      </w:r>
      <w:r>
        <w:noBreakHyphen/>
        <w:t>3]</w:t>
      </w:r>
    </w:p>
    <w:p w:rsidR="00B72047" w:rsidRDefault="00B72047">
      <w:pPr>
        <w:pStyle w:val="EBNF"/>
      </w:pPr>
      <w:r>
        <w:rPr>
          <w:rStyle w:val="htmlcodes"/>
        </w:rPr>
        <w:t>&lt;a name=b94&gt;&lt;/a&gt;&lt;a href=#y94&gt;&lt;dt&gt;</w:t>
      </w:r>
      <w:r>
        <w:t>sumti</w:t>
      </w:r>
      <w:r>
        <w:noBreakHyphen/>
        <w:t>4</w:t>
      </w:r>
      <w:r>
        <w:rPr>
          <w:rStyle w:val="htmlcodes"/>
        </w:rPr>
        <w:t>&lt;/a&gt;&lt;sub&gt;</w:t>
      </w:r>
      <w:r>
        <w:rPr>
          <w:rStyle w:val="subscript"/>
        </w:rPr>
        <w:t>94</w:t>
      </w:r>
      <w:r>
        <w:rPr>
          <w:rStyle w:val="htmlcodes"/>
        </w:rPr>
        <w:t>&lt;/sub&gt;</w:t>
      </w:r>
      <w:r>
        <w:t>=</w:t>
      </w:r>
      <w:r>
        <w:tab/>
      </w:r>
      <w:r>
        <w:rPr>
          <w:rStyle w:val="htmlcodes"/>
        </w:rPr>
        <w:t>&lt;dd&gt;</w:t>
      </w:r>
      <w:r>
        <w:t>sumti</w:t>
      </w:r>
      <w:r>
        <w:noBreakHyphen/>
        <w:t>5</w:t>
      </w:r>
      <w:r>
        <w:rPr>
          <w:rStyle w:val="htmlcodes"/>
        </w:rPr>
        <w:t>&lt;br&gt;</w:t>
      </w:r>
      <w:r>
        <w:t xml:space="preserve">  </w:t>
      </w:r>
      <w:r>
        <w:rPr>
          <w:b/>
          <w:bCs/>
          <w:sz w:val="22"/>
          <w:szCs w:val="22"/>
        </w:rPr>
        <w:t>|</w:t>
      </w:r>
      <w:r>
        <w:t xml:space="preserve">  gek  sumti  gik  sumti</w:t>
      </w:r>
      <w:r>
        <w:noBreakHyphen/>
        <w:t>4</w:t>
      </w:r>
    </w:p>
    <w:p w:rsidR="00B72047" w:rsidRDefault="00B72047">
      <w:pPr>
        <w:pStyle w:val="EBNF"/>
      </w:pPr>
      <w:r>
        <w:rPr>
          <w:rStyle w:val="htmlcodes"/>
        </w:rPr>
        <w:t>&lt;a name=b95&gt;&lt;/a&gt;&lt;a href=#y95&gt;&lt;dt&gt;</w:t>
      </w:r>
      <w:r>
        <w:t>sumti</w:t>
      </w:r>
      <w:r>
        <w:noBreakHyphen/>
        <w:t>5</w:t>
      </w:r>
      <w:r>
        <w:rPr>
          <w:rStyle w:val="htmlcodes"/>
        </w:rPr>
        <w:t>&lt;/a&gt;&lt;sub&gt;</w:t>
      </w:r>
      <w:r>
        <w:rPr>
          <w:rStyle w:val="subscript"/>
        </w:rPr>
        <w:t>95</w:t>
      </w:r>
      <w:r>
        <w:rPr>
          <w:rStyle w:val="htmlcodes"/>
        </w:rPr>
        <w:t>&lt;/sub&gt;</w:t>
      </w:r>
      <w:r>
        <w:t>=</w:t>
      </w:r>
      <w:r>
        <w:tab/>
      </w:r>
      <w:r>
        <w:rPr>
          <w:rStyle w:val="htmlcodes"/>
        </w:rPr>
        <w:t>&lt;dd&gt;</w:t>
      </w:r>
      <w:r>
        <w:t>[quantifier]  sumti</w:t>
      </w:r>
      <w:r>
        <w:noBreakHyphen/>
        <w:t>6  [relative</w:t>
      </w:r>
      <w:r>
        <w:noBreakHyphen/>
        <w:t>clauses]</w:t>
      </w:r>
      <w:r>
        <w:rPr>
          <w:rStyle w:val="htmlcodes"/>
        </w:rPr>
        <w:t>&lt;br&gt;</w:t>
      </w:r>
      <w:r>
        <w:t xml:space="preserve">  </w:t>
      </w:r>
      <w:r>
        <w:rPr>
          <w:b/>
          <w:bCs/>
          <w:sz w:val="22"/>
          <w:szCs w:val="22"/>
        </w:rPr>
        <w:t>|</w:t>
      </w:r>
      <w:r>
        <w:t xml:space="preserve">  quantifier  selbri  /KU#/  [relative</w:t>
      </w:r>
      <w:r>
        <w:noBreakHyphen/>
        <w:t>clauses]</w:t>
      </w:r>
    </w:p>
    <w:p w:rsidR="00B72047" w:rsidRDefault="00B72047">
      <w:pPr>
        <w:pStyle w:val="EBNF"/>
        <w:spacing w:before="0"/>
      </w:pPr>
      <w:r>
        <w:rPr>
          <w:rStyle w:val="htmlcodes"/>
          <w:vanish w:val="0"/>
        </w:rPr>
        <w:br w:type="page"/>
      </w:r>
      <w:r>
        <w:rPr>
          <w:rStyle w:val="htmlcodes"/>
        </w:rPr>
        <w:t>&lt;a name=b97&gt;&lt;/a&gt;&lt;a href=#y97&gt;&lt;dt&gt;</w:t>
      </w:r>
      <w:r>
        <w:t>sumti</w:t>
      </w:r>
      <w:r>
        <w:noBreakHyphen/>
        <w:t>6</w:t>
      </w:r>
      <w:r>
        <w:rPr>
          <w:rStyle w:val="htmlcodes"/>
        </w:rPr>
        <w:t>&lt;/a&gt;&lt;sub&gt;</w:t>
      </w:r>
      <w:r>
        <w:rPr>
          <w:rStyle w:val="subscript"/>
        </w:rPr>
        <w:t>97</w:t>
      </w:r>
      <w:r>
        <w:rPr>
          <w:rStyle w:val="htmlcodes"/>
        </w:rPr>
        <w:t>&lt;/sub&gt;</w:t>
      </w:r>
      <w:r>
        <w:t>=</w:t>
      </w:r>
      <w:r>
        <w:tab/>
      </w:r>
      <w:r>
        <w:rPr>
          <w:rStyle w:val="htmlcodes"/>
        </w:rPr>
        <w:t>&lt;dd&gt;</w:t>
      </w:r>
      <w:r>
        <w:t xml:space="preserve">(LAhE #  </w:t>
      </w:r>
      <w:r>
        <w:rPr>
          <w:b/>
          <w:bCs/>
          <w:sz w:val="22"/>
          <w:szCs w:val="22"/>
        </w:rPr>
        <w:t>|</w:t>
      </w:r>
      <w:r>
        <w:t xml:space="preserve">  NAhE  BO #)  [relative</w:t>
      </w:r>
      <w:r>
        <w:noBreakHyphen/>
        <w:t>clauses]  sumti  /LUhU#/</w:t>
      </w:r>
      <w:r>
        <w:rPr>
          <w:rStyle w:val="htmlcodes"/>
        </w:rPr>
        <w:t>&lt;br&gt;</w:t>
      </w:r>
      <w:r>
        <w:t xml:space="preserve">  </w:t>
      </w:r>
      <w:r>
        <w:rPr>
          <w:b/>
          <w:bCs/>
          <w:sz w:val="22"/>
          <w:szCs w:val="22"/>
        </w:rPr>
        <w:t>|</w:t>
      </w:r>
      <w:r>
        <w:t xml:space="preserve">  KOhA #</w:t>
      </w:r>
      <w:r>
        <w:rPr>
          <w:rStyle w:val="htmlcodes"/>
        </w:rPr>
        <w:t>&lt;br&gt;</w:t>
      </w:r>
      <w:r>
        <w:t xml:space="preserve">  </w:t>
      </w:r>
      <w:r>
        <w:rPr>
          <w:b/>
          <w:bCs/>
          <w:sz w:val="22"/>
          <w:szCs w:val="22"/>
        </w:rPr>
        <w:t>|</w:t>
      </w:r>
      <w:r>
        <w:t xml:space="preserve">  lerfu</w:t>
      </w:r>
      <w:r>
        <w:noBreakHyphen/>
        <w:t>string  /BOI#/</w:t>
      </w:r>
      <w:r>
        <w:rPr>
          <w:rStyle w:val="htmlcodes"/>
        </w:rPr>
        <w:t>&lt;br&gt;</w:t>
      </w:r>
      <w:r>
        <w:t xml:space="preserve">  </w:t>
      </w:r>
      <w:r>
        <w:rPr>
          <w:b/>
          <w:bCs/>
          <w:sz w:val="22"/>
          <w:szCs w:val="22"/>
        </w:rPr>
        <w:t>|</w:t>
      </w:r>
      <w:r>
        <w:t xml:space="preserve">  </w:t>
      </w:r>
    </w:p>
    <w:p w:rsidR="00B72047" w:rsidRDefault="00B72047">
      <w:pPr>
        <w:pStyle w:val="EBNF"/>
        <w:spacing w:before="0"/>
        <w:rPr>
          <w:b/>
          <w:bCs/>
          <w:sz w:val="22"/>
          <w:szCs w:val="22"/>
        </w:rPr>
      </w:pPr>
      <w:r>
        <w:tab/>
      </w:r>
      <w:r>
        <w:tab/>
      </w:r>
      <w:r>
        <w:tab/>
        <w:t>LA #  [relative</w:t>
      </w:r>
      <w:r>
        <w:noBreakHyphen/>
        <w:t>clauses]  CMENE</w:t>
      </w:r>
      <w:r>
        <w:rPr>
          <w:rStyle w:val="htmlcodes"/>
        </w:rPr>
        <w:t>&lt;dots&gt;</w:t>
      </w:r>
      <w:r>
        <w:t xml:space="preserve">…  </w:t>
      </w:r>
      <w:r>
        <w:rPr>
          <w:rStyle w:val="htmlcodes"/>
        </w:rPr>
        <w:t>&lt;/dots&gt;</w:t>
      </w:r>
      <w:r>
        <w:t>#</w:t>
      </w:r>
      <w:r>
        <w:rPr>
          <w:rStyle w:val="htmlcodes"/>
        </w:rPr>
        <w:t>&lt;br&gt;</w:t>
      </w:r>
      <w:r>
        <w:t xml:space="preserve">  </w:t>
      </w:r>
      <w:r>
        <w:rPr>
          <w:b/>
          <w:bCs/>
          <w:sz w:val="22"/>
          <w:szCs w:val="22"/>
        </w:rPr>
        <w:t>|</w:t>
      </w:r>
    </w:p>
    <w:p w:rsidR="00B72047" w:rsidRDefault="00B72047">
      <w:pPr>
        <w:pStyle w:val="EBNF"/>
        <w:spacing w:before="0"/>
      </w:pPr>
      <w:r>
        <w:rPr>
          <w:b/>
          <w:bCs/>
          <w:sz w:val="22"/>
          <w:szCs w:val="22"/>
        </w:rPr>
        <w:tab/>
      </w:r>
      <w:r>
        <w:rPr>
          <w:b/>
          <w:bCs/>
          <w:sz w:val="22"/>
          <w:szCs w:val="22"/>
        </w:rPr>
        <w:tab/>
      </w:r>
      <w:r>
        <w:rPr>
          <w:b/>
          <w:bCs/>
          <w:sz w:val="22"/>
          <w:szCs w:val="22"/>
        </w:rPr>
        <w:tab/>
      </w:r>
      <w:r>
        <w:t xml:space="preserve"> (LA  </w:t>
      </w:r>
      <w:r>
        <w:rPr>
          <w:b/>
          <w:bCs/>
          <w:sz w:val="22"/>
          <w:szCs w:val="22"/>
        </w:rPr>
        <w:t>|</w:t>
      </w:r>
      <w:r>
        <w:t xml:space="preserve">  LE) #  sumti</w:t>
      </w:r>
      <w:r>
        <w:noBreakHyphen/>
        <w:t>tail  /KU#/</w:t>
      </w:r>
      <w:r>
        <w:rPr>
          <w:rStyle w:val="htmlcodes"/>
        </w:rPr>
        <w:t>&lt;br&gt;</w:t>
      </w:r>
      <w:r>
        <w:t xml:space="preserve">  </w:t>
      </w:r>
      <w:r>
        <w:rPr>
          <w:b/>
          <w:bCs/>
          <w:sz w:val="22"/>
          <w:szCs w:val="22"/>
        </w:rPr>
        <w:t>|</w:t>
      </w:r>
      <w:r>
        <w:t xml:space="preserve">  LI #  mex  /LOhO#/</w:t>
      </w:r>
      <w:r>
        <w:rPr>
          <w:rStyle w:val="htmlcodes"/>
        </w:rPr>
        <w:t>&lt;br&gt;</w:t>
      </w:r>
      <w:r>
        <w:t xml:space="preserve">  </w:t>
      </w:r>
      <w:r>
        <w:rPr>
          <w:b/>
          <w:bCs/>
          <w:sz w:val="22"/>
          <w:szCs w:val="22"/>
        </w:rPr>
        <w:t>|</w:t>
      </w:r>
      <w:r>
        <w:t xml:space="preserve">  ZO  any</w:t>
      </w:r>
      <w:r>
        <w:noBreakHyphen/>
        <w:t>word #</w:t>
      </w:r>
      <w:r>
        <w:rPr>
          <w:rStyle w:val="htmlcodes"/>
        </w:rPr>
        <w:t>&lt;br&gt;</w:t>
      </w:r>
      <w:r>
        <w:t xml:space="preserve">  </w:t>
      </w:r>
      <w:r>
        <w:rPr>
          <w:b/>
          <w:bCs/>
          <w:sz w:val="22"/>
          <w:szCs w:val="22"/>
        </w:rPr>
        <w:t>|</w:t>
      </w:r>
      <w:r>
        <w:t xml:space="preserve">  LU  text  /LIhU#/</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LOhU  any</w:t>
      </w:r>
      <w:r>
        <w:noBreakHyphen/>
        <w:t>word</w:t>
      </w:r>
      <w:r>
        <w:rPr>
          <w:rStyle w:val="htmlcodes"/>
        </w:rPr>
        <w:t>&lt;dots&gt;</w:t>
      </w:r>
      <w:r>
        <w:t xml:space="preserve">…  </w:t>
      </w:r>
      <w:r>
        <w:rPr>
          <w:rStyle w:val="htmlcodes"/>
        </w:rPr>
        <w:t>&lt;/dots&gt;</w:t>
      </w:r>
      <w:r>
        <w:t>LEhU #</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ZOI  any</w:t>
      </w:r>
      <w:r>
        <w:noBreakHyphen/>
        <w:t>word  anything  any</w:t>
      </w:r>
      <w:r>
        <w:noBreakHyphen/>
        <w:t>word #</w:t>
      </w:r>
    </w:p>
    <w:p w:rsidR="00B72047" w:rsidRDefault="00B72047">
      <w:pPr>
        <w:pStyle w:val="EBNF"/>
      </w:pPr>
      <w:r>
        <w:rPr>
          <w:rStyle w:val="htmlcodes"/>
        </w:rPr>
        <w:t>&lt;a name=b111&gt;&lt;/a&gt;&lt;a href=#y111&gt;&lt;dt&gt;</w:t>
      </w:r>
      <w:r>
        <w:t>sumti</w:t>
      </w:r>
      <w:r>
        <w:noBreakHyphen/>
        <w:t>tail</w:t>
      </w:r>
      <w:r>
        <w:rPr>
          <w:rStyle w:val="htmlcodes"/>
        </w:rPr>
        <w:t>&lt;/a&gt;&lt;sub&gt;</w:t>
      </w:r>
      <w:r>
        <w:rPr>
          <w:rStyle w:val="subscript"/>
        </w:rPr>
        <w:t>111</w:t>
      </w:r>
      <w:r>
        <w:rPr>
          <w:rStyle w:val="htmlcodes"/>
        </w:rPr>
        <w:t>&lt;/sub&gt;</w:t>
      </w:r>
      <w:r>
        <w:t>=</w:t>
      </w:r>
      <w:r>
        <w:tab/>
      </w:r>
      <w:r>
        <w:rPr>
          <w:rStyle w:val="htmlcodes"/>
        </w:rPr>
        <w:t>&lt;dd&gt;</w:t>
      </w:r>
      <w:r>
        <w:t>[sumti</w:t>
      </w:r>
      <w:r>
        <w:noBreakHyphen/>
        <w:t>6  [relative</w:t>
      </w:r>
      <w:r>
        <w:noBreakHyphen/>
        <w:t>clauses]]  sumti</w:t>
      </w:r>
      <w:r>
        <w:noBreakHyphen/>
        <w:t>tail</w:t>
      </w:r>
      <w:r>
        <w:noBreakHyphen/>
        <w:t xml:space="preserve">1  </w:t>
      </w:r>
      <w:r>
        <w:rPr>
          <w:rStyle w:val="htmlcodes"/>
        </w:rPr>
        <w:t>&lt;br&gt;</w:t>
      </w:r>
      <w:r>
        <w:t xml:space="preserve">  </w:t>
      </w:r>
      <w:r>
        <w:rPr>
          <w:rStyle w:val="htmlcodes"/>
        </w:rPr>
        <w:t>|</w:t>
      </w:r>
      <w:r>
        <w:t>relative</w:t>
      </w:r>
      <w:r>
        <w:noBreakHyphen/>
        <w:t>clauses  sumti</w:t>
      </w:r>
      <w:r>
        <w:noBreakHyphen/>
        <w:t>tail</w:t>
      </w:r>
      <w:r>
        <w:noBreakHyphen/>
        <w:t>1</w:t>
      </w:r>
    </w:p>
    <w:p w:rsidR="00B72047" w:rsidRDefault="00B72047">
      <w:pPr>
        <w:pStyle w:val="EBNF"/>
      </w:pPr>
      <w:r>
        <w:rPr>
          <w:rStyle w:val="htmlcodes"/>
        </w:rPr>
        <w:t>&lt;a name=b112&gt;&lt;/a&gt;&lt;a href=#y112&gt;&lt;dt&gt;</w:t>
      </w:r>
      <w:r>
        <w:t>sumti</w:t>
      </w:r>
      <w:r>
        <w:noBreakHyphen/>
        <w:t>tail</w:t>
      </w:r>
      <w:r>
        <w:noBreakHyphen/>
        <w:t>1</w:t>
      </w:r>
      <w:r>
        <w:rPr>
          <w:rStyle w:val="htmlcodes"/>
        </w:rPr>
        <w:t>&lt;/a&gt;&lt;sub&gt;</w:t>
      </w:r>
      <w:r>
        <w:rPr>
          <w:rStyle w:val="subscript"/>
        </w:rPr>
        <w:t>112</w:t>
      </w:r>
      <w:r>
        <w:rPr>
          <w:rStyle w:val="htmlcodes"/>
        </w:rPr>
        <w:t>&lt;/sub&gt;</w:t>
      </w:r>
      <w:r>
        <w:t>=</w:t>
      </w:r>
      <w:r>
        <w:tab/>
      </w:r>
      <w:r>
        <w:rPr>
          <w:rStyle w:val="htmlcodes"/>
        </w:rPr>
        <w:t>&lt;dd&gt;</w:t>
      </w:r>
      <w:r>
        <w:t>[quantifier]  selbri  [relative</w:t>
      </w:r>
      <w:r>
        <w:noBreakHyphen/>
        <w:t>clauses]</w:t>
      </w:r>
      <w:r>
        <w:rPr>
          <w:rStyle w:val="htmlcodes"/>
        </w:rPr>
        <w:t>&lt;br&gt;</w:t>
      </w:r>
      <w:r>
        <w:t xml:space="preserve">  </w:t>
      </w:r>
      <w:r>
        <w:rPr>
          <w:b/>
          <w:bCs/>
          <w:sz w:val="22"/>
          <w:szCs w:val="22"/>
        </w:rPr>
        <w:t>|</w:t>
      </w:r>
      <w:r>
        <w:t xml:space="preserve">  quantifier  sumti</w:t>
      </w:r>
    </w:p>
    <w:p w:rsidR="00B72047" w:rsidRDefault="00B72047">
      <w:pPr>
        <w:pStyle w:val="EBNF"/>
      </w:pPr>
      <w:r>
        <w:rPr>
          <w:rStyle w:val="htmlcodes"/>
        </w:rPr>
        <w:t>&lt;a name=b121&gt;&lt;/a&gt;&lt;a href=#y121&gt;&lt;dt&gt;</w:t>
      </w:r>
      <w:r>
        <w:t>relative</w:t>
      </w:r>
      <w:r>
        <w:noBreakHyphen/>
        <w:t>clauses</w:t>
      </w:r>
      <w:r>
        <w:rPr>
          <w:rStyle w:val="htmlcodes"/>
        </w:rPr>
        <w:t>&lt;/a&gt;&lt;sub&gt;</w:t>
      </w:r>
      <w:r>
        <w:rPr>
          <w:rStyle w:val="subscript"/>
        </w:rPr>
        <w:t>121</w:t>
      </w:r>
      <w:r>
        <w:rPr>
          <w:rStyle w:val="htmlcodes"/>
        </w:rPr>
        <w:t>&lt;/sub&gt;</w:t>
      </w:r>
      <w:r>
        <w:t>=</w:t>
      </w:r>
      <w:r>
        <w:tab/>
      </w:r>
      <w:r>
        <w:rPr>
          <w:rStyle w:val="htmlcodes"/>
        </w:rPr>
        <w:t>&lt;dd&gt;</w:t>
      </w:r>
      <w:r>
        <w:t>relative</w:t>
      </w:r>
      <w:r>
        <w:noBreakHyphen/>
        <w:t>clause  [ZIhE #  relative</w:t>
      </w:r>
      <w:r>
        <w:noBreakHyphen/>
        <w:t>clause]</w:t>
      </w:r>
      <w:r>
        <w:rPr>
          <w:rStyle w:val="htmlcodes"/>
        </w:rPr>
        <w:t>&lt;dots&gt;</w:t>
      </w:r>
      <w:r>
        <w:t>…</w:t>
      </w:r>
      <w:r>
        <w:rPr>
          <w:rStyle w:val="htmlcodes"/>
        </w:rPr>
        <w:t>&lt;/dots&gt;</w:t>
      </w:r>
    </w:p>
    <w:p w:rsidR="00B72047" w:rsidRDefault="00B72047">
      <w:pPr>
        <w:pStyle w:val="EBNF"/>
      </w:pPr>
      <w:r>
        <w:rPr>
          <w:rStyle w:val="htmlcodes"/>
        </w:rPr>
        <w:t>&lt;a name=b122&gt;&lt;/a&gt;&lt;a href=#y122&gt;&lt;dt&gt;</w:t>
      </w:r>
      <w:r>
        <w:t>relative</w:t>
      </w:r>
      <w:r>
        <w:noBreakHyphen/>
        <w:t>clause</w:t>
      </w:r>
      <w:r>
        <w:rPr>
          <w:rStyle w:val="htmlcodes"/>
        </w:rPr>
        <w:t>&lt;/a&gt;&lt;sub&gt;</w:t>
      </w:r>
      <w:r>
        <w:rPr>
          <w:rStyle w:val="subscript"/>
        </w:rPr>
        <w:t>122</w:t>
      </w:r>
      <w:r>
        <w:rPr>
          <w:rStyle w:val="htmlcodes"/>
        </w:rPr>
        <w:t>&lt;/sub&gt;</w:t>
      </w:r>
      <w:r>
        <w:t>=</w:t>
      </w:r>
      <w:r>
        <w:tab/>
      </w:r>
      <w:r>
        <w:rPr>
          <w:rStyle w:val="htmlcodes"/>
        </w:rPr>
        <w:t>&lt;dd&gt;</w:t>
      </w:r>
      <w:r>
        <w:t>GOI #  term  /GEhU#/</w:t>
      </w:r>
      <w:r>
        <w:rPr>
          <w:rStyle w:val="htmlcodes"/>
        </w:rPr>
        <w:t>&lt;br&gt;</w:t>
      </w:r>
      <w:r>
        <w:t xml:space="preserve">  </w:t>
      </w:r>
      <w:r>
        <w:rPr>
          <w:b/>
          <w:bCs/>
          <w:sz w:val="22"/>
          <w:szCs w:val="22"/>
        </w:rPr>
        <w:t>|</w:t>
      </w:r>
      <w:r>
        <w:t xml:space="preserve">  NOI #  subsentence  /KUhO#/</w:t>
      </w:r>
    </w:p>
    <w:p w:rsidR="00B72047" w:rsidRDefault="00B72047">
      <w:pPr>
        <w:pStyle w:val="EBNF"/>
      </w:pPr>
      <w:r>
        <w:rPr>
          <w:rStyle w:val="htmlcodes"/>
        </w:rPr>
        <w:t>&lt;a name=b130&gt;&lt;/a&gt;&lt;a href=#y130&gt;&lt;dt&gt;</w:t>
      </w:r>
      <w:r>
        <w:t>selbri</w:t>
      </w:r>
      <w:r>
        <w:rPr>
          <w:rStyle w:val="htmlcodes"/>
        </w:rPr>
        <w:t>&lt;/a&gt;&lt;sub&gt;</w:t>
      </w:r>
      <w:r>
        <w:rPr>
          <w:rStyle w:val="subscript"/>
        </w:rPr>
        <w:t>130</w:t>
      </w:r>
      <w:r>
        <w:rPr>
          <w:rStyle w:val="htmlcodes"/>
        </w:rPr>
        <w:t>&lt;/sub&gt;</w:t>
      </w:r>
      <w:r>
        <w:t>=</w:t>
      </w:r>
      <w:r>
        <w:tab/>
      </w:r>
      <w:r>
        <w:rPr>
          <w:rStyle w:val="htmlcodes"/>
        </w:rPr>
        <w:t>&lt;dd&gt;</w:t>
      </w:r>
      <w:r>
        <w:t>[tag]  selbri</w:t>
      </w:r>
      <w:r>
        <w:noBreakHyphen/>
        <w:t>1</w:t>
      </w:r>
    </w:p>
    <w:p w:rsidR="00B72047" w:rsidRDefault="00B72047">
      <w:pPr>
        <w:pStyle w:val="EBNF"/>
      </w:pPr>
      <w:r>
        <w:rPr>
          <w:rStyle w:val="htmlcodes"/>
        </w:rPr>
        <w:t>&lt;a name=b131&gt;&lt;/a&gt;&lt;a href=#y131&gt;&lt;dt&gt;</w:t>
      </w:r>
      <w:r>
        <w:t>selbri</w:t>
      </w:r>
      <w:r>
        <w:noBreakHyphen/>
        <w:t>1</w:t>
      </w:r>
      <w:r>
        <w:rPr>
          <w:rStyle w:val="htmlcodes"/>
        </w:rPr>
        <w:t>&lt;/a&gt;&lt;sub&gt;</w:t>
      </w:r>
      <w:r>
        <w:rPr>
          <w:rStyle w:val="subscript"/>
        </w:rPr>
        <w:t>131</w:t>
      </w:r>
      <w:r>
        <w:rPr>
          <w:rStyle w:val="htmlcodes"/>
        </w:rPr>
        <w:t>&lt;/sub&gt;</w:t>
      </w:r>
      <w:r>
        <w:t>=</w:t>
      </w:r>
      <w:r>
        <w:tab/>
      </w:r>
      <w:r>
        <w:rPr>
          <w:rStyle w:val="htmlcodes"/>
        </w:rPr>
        <w:t>&lt;dd&gt;</w:t>
      </w:r>
      <w:r>
        <w:t>selbri</w:t>
      </w:r>
      <w:r>
        <w:noBreakHyphen/>
        <w:t>2</w:t>
      </w:r>
      <w:r>
        <w:rPr>
          <w:rStyle w:val="htmlcodes"/>
        </w:rPr>
        <w:t>&lt;br&gt;</w:t>
      </w:r>
      <w:r>
        <w:t xml:space="preserve">  </w:t>
      </w:r>
      <w:r>
        <w:rPr>
          <w:rStyle w:val="htmlcodes"/>
        </w:rPr>
        <w:t>|</w:t>
      </w:r>
      <w:r>
        <w:t xml:space="preserve">  NA #  selbri</w:t>
      </w:r>
    </w:p>
    <w:p w:rsidR="00B72047" w:rsidRDefault="00B72047">
      <w:pPr>
        <w:pStyle w:val="EBNF"/>
      </w:pPr>
      <w:r>
        <w:rPr>
          <w:rStyle w:val="htmlcodes"/>
        </w:rPr>
        <w:t>&lt;a name=b132&gt;&lt;/a&gt;&lt;a href=#y132&gt;&lt;dt&gt;</w:t>
      </w:r>
      <w:r>
        <w:t>selbri</w:t>
      </w:r>
      <w:r>
        <w:noBreakHyphen/>
        <w:t>2</w:t>
      </w:r>
      <w:r>
        <w:rPr>
          <w:rStyle w:val="htmlcodes"/>
        </w:rPr>
        <w:t>&lt;/a&gt;&lt;sub&gt;</w:t>
      </w:r>
      <w:r>
        <w:rPr>
          <w:rStyle w:val="subscript"/>
        </w:rPr>
        <w:t>132</w:t>
      </w:r>
      <w:r>
        <w:rPr>
          <w:rStyle w:val="htmlcodes"/>
        </w:rPr>
        <w:t>&lt;/sub&gt;</w:t>
      </w:r>
      <w:r>
        <w:t>=</w:t>
      </w:r>
      <w:r>
        <w:tab/>
      </w:r>
      <w:r>
        <w:rPr>
          <w:rStyle w:val="htmlcodes"/>
        </w:rPr>
        <w:t>&lt;dd&gt;</w:t>
      </w:r>
      <w:r>
        <w:t>selbri</w:t>
      </w:r>
      <w:r>
        <w:noBreakHyphen/>
        <w:t>3  [CO #  selbri</w:t>
      </w:r>
      <w:r>
        <w:noBreakHyphen/>
        <w:t>2]</w:t>
      </w:r>
    </w:p>
    <w:p w:rsidR="00B72047" w:rsidRDefault="00B72047">
      <w:pPr>
        <w:pStyle w:val="EBNF"/>
      </w:pPr>
      <w:r>
        <w:rPr>
          <w:rStyle w:val="htmlcodes"/>
        </w:rPr>
        <w:t>&lt;a name=b133&gt;&lt;/a&gt;&lt;a href=#y133&gt;&lt;dt&gt;</w:t>
      </w:r>
      <w:r>
        <w:t>selbri</w:t>
      </w:r>
      <w:r>
        <w:noBreakHyphen/>
        <w:t>3</w:t>
      </w:r>
      <w:r>
        <w:rPr>
          <w:rStyle w:val="htmlcodes"/>
        </w:rPr>
        <w:t>&lt;/a&gt;&lt;sub&gt;</w:t>
      </w:r>
      <w:r>
        <w:rPr>
          <w:rStyle w:val="subscript"/>
        </w:rPr>
        <w:t>133</w:t>
      </w:r>
      <w:r>
        <w:rPr>
          <w:rStyle w:val="htmlcodes"/>
        </w:rPr>
        <w:t>&lt;/sub&gt;</w:t>
      </w:r>
      <w:r>
        <w:t>=</w:t>
      </w:r>
      <w:r>
        <w:tab/>
      </w:r>
      <w:r>
        <w:rPr>
          <w:rStyle w:val="htmlcodes"/>
        </w:rPr>
        <w:t>&lt;dd&gt;</w:t>
      </w:r>
      <w:r>
        <w:t>selbri</w:t>
      </w:r>
      <w:r>
        <w:noBreakHyphen/>
        <w:t>4</w:t>
      </w:r>
      <w:r>
        <w:rPr>
          <w:rStyle w:val="htmlcodes"/>
        </w:rPr>
        <w:t>&lt;dots&gt;</w:t>
      </w:r>
      <w:r>
        <w:t>…</w:t>
      </w:r>
      <w:r>
        <w:rPr>
          <w:rStyle w:val="htmlcodes"/>
        </w:rPr>
        <w:t>&lt;/dots&gt;</w:t>
      </w:r>
    </w:p>
    <w:p w:rsidR="00B72047" w:rsidRDefault="00B72047">
      <w:pPr>
        <w:pStyle w:val="EBNF"/>
      </w:pPr>
      <w:r>
        <w:rPr>
          <w:rStyle w:val="htmlcodes"/>
        </w:rPr>
        <w:t>&lt;a name=b134&gt;&lt;/a&gt;&lt;a href=#y134&gt;&lt;dt&gt;</w:t>
      </w:r>
      <w:r>
        <w:t>selbri</w:t>
      </w:r>
      <w:r>
        <w:noBreakHyphen/>
        <w:t>4</w:t>
      </w:r>
      <w:r>
        <w:rPr>
          <w:rStyle w:val="htmlcodes"/>
        </w:rPr>
        <w:t>&lt;/a&gt;&lt;sub&gt;</w:t>
      </w:r>
      <w:r>
        <w:rPr>
          <w:rStyle w:val="subscript"/>
        </w:rPr>
        <w:t>134</w:t>
      </w:r>
      <w:r>
        <w:rPr>
          <w:rStyle w:val="htmlcodes"/>
        </w:rPr>
        <w:t>&lt;/sub&gt;</w:t>
      </w:r>
      <w:r>
        <w:t>=</w:t>
      </w:r>
      <w:r>
        <w:tab/>
      </w:r>
      <w:r>
        <w:rPr>
          <w:rStyle w:val="htmlcodes"/>
        </w:rPr>
        <w:t>&lt;dd&gt;</w:t>
      </w:r>
      <w:r>
        <w:t>selbri</w:t>
      </w:r>
      <w:r>
        <w:noBreakHyphen/>
        <w:t>5  [joik</w:t>
      </w:r>
      <w:r>
        <w:noBreakHyphen/>
        <w:t>jek  selbri</w:t>
      </w:r>
      <w:r>
        <w:noBreakHyphen/>
        <w:t xml:space="preserve">5  </w:t>
      </w:r>
      <w:r>
        <w:rPr>
          <w:b/>
          <w:bCs/>
          <w:sz w:val="22"/>
          <w:szCs w:val="22"/>
        </w:rPr>
        <w:t>|</w:t>
      </w:r>
      <w:r>
        <w:t xml:space="preserve">  joik  [stag]  KE #  selbri</w:t>
      </w:r>
      <w:r>
        <w:noBreakHyphen/>
        <w:t>3  /KEhE#/]</w:t>
      </w:r>
      <w:r>
        <w:rPr>
          <w:rStyle w:val="htmlcodes"/>
        </w:rPr>
        <w:t>&lt;dots&gt;</w:t>
      </w:r>
      <w:r>
        <w:t>…</w:t>
      </w:r>
      <w:r>
        <w:rPr>
          <w:rStyle w:val="htmlcodes"/>
        </w:rPr>
        <w:t>&lt;/dots&gt;</w:t>
      </w:r>
    </w:p>
    <w:p w:rsidR="00B72047" w:rsidRDefault="00B72047">
      <w:pPr>
        <w:pStyle w:val="EBNF"/>
      </w:pPr>
      <w:r>
        <w:rPr>
          <w:rStyle w:val="htmlcodes"/>
        </w:rPr>
        <w:t>&lt;a name=b135&gt;&lt;/a&gt;&lt;a href=#y135&gt;&lt;dt&gt;</w:t>
      </w:r>
      <w:r>
        <w:t>selbri</w:t>
      </w:r>
      <w:r>
        <w:noBreakHyphen/>
        <w:t>5</w:t>
      </w:r>
      <w:r>
        <w:rPr>
          <w:rStyle w:val="htmlcodes"/>
        </w:rPr>
        <w:t>&lt;/a&gt;&lt;sub&gt;</w:t>
      </w:r>
      <w:r>
        <w:rPr>
          <w:rStyle w:val="subscript"/>
        </w:rPr>
        <w:t>135</w:t>
      </w:r>
      <w:r>
        <w:rPr>
          <w:rStyle w:val="htmlcodes"/>
        </w:rPr>
        <w:t>&lt;/sub&gt;</w:t>
      </w:r>
      <w:r>
        <w:t>=</w:t>
      </w:r>
      <w:r>
        <w:tab/>
      </w:r>
      <w:r>
        <w:rPr>
          <w:rStyle w:val="htmlcodes"/>
        </w:rPr>
        <w:t>&lt;dd&gt;</w:t>
      </w:r>
      <w:r>
        <w:t>selbri</w:t>
      </w:r>
      <w:r>
        <w:noBreakHyphen/>
        <w:t xml:space="preserve">6  [(jek  </w:t>
      </w:r>
      <w:r>
        <w:rPr>
          <w:b/>
          <w:bCs/>
          <w:sz w:val="22"/>
          <w:szCs w:val="22"/>
        </w:rPr>
        <w:t>|</w:t>
      </w:r>
      <w:r>
        <w:t xml:space="preserve">  joik)  [stag]  BO #  selbri</w:t>
      </w:r>
      <w:r>
        <w:noBreakHyphen/>
        <w:t>5]</w:t>
      </w:r>
    </w:p>
    <w:p w:rsidR="00B72047" w:rsidRDefault="00B72047">
      <w:pPr>
        <w:pStyle w:val="EBNF"/>
      </w:pPr>
      <w:r>
        <w:rPr>
          <w:rStyle w:val="htmlcodes"/>
        </w:rPr>
        <w:t>&lt;a name=b136&gt;&lt;/a&gt;&lt;a href=#y136&gt;&lt;dt&gt;</w:t>
      </w:r>
      <w:r>
        <w:t>selbri</w:t>
      </w:r>
      <w:r>
        <w:noBreakHyphen/>
        <w:t>6</w:t>
      </w:r>
      <w:r>
        <w:rPr>
          <w:rStyle w:val="htmlcodes"/>
        </w:rPr>
        <w:t>&lt;/a&gt;&lt;sub&gt;</w:t>
      </w:r>
      <w:r>
        <w:rPr>
          <w:rStyle w:val="subscript"/>
        </w:rPr>
        <w:t>136</w:t>
      </w:r>
      <w:r>
        <w:rPr>
          <w:rStyle w:val="htmlcodes"/>
        </w:rPr>
        <w:t>&lt;/sub&gt;</w:t>
      </w:r>
      <w:r>
        <w:t>=</w:t>
      </w:r>
      <w:r>
        <w:tab/>
      </w:r>
      <w:r>
        <w:rPr>
          <w:rStyle w:val="htmlcodes"/>
        </w:rPr>
        <w:t>&lt;dd&gt;</w:t>
      </w:r>
      <w:r>
        <w:t>tanru</w:t>
      </w:r>
      <w:r>
        <w:noBreakHyphen/>
        <w:t>unit  [BO #  selbri</w:t>
      </w:r>
      <w:r>
        <w:noBreakHyphen/>
        <w:t>6]</w:t>
      </w:r>
      <w:r>
        <w:rPr>
          <w:rStyle w:val="htmlcodes"/>
        </w:rPr>
        <w:t>&lt;br&gt;</w:t>
      </w:r>
      <w:r>
        <w:t xml:space="preserve">  </w:t>
      </w:r>
      <w:r>
        <w:rPr>
          <w:b/>
          <w:bCs/>
          <w:sz w:val="22"/>
          <w:szCs w:val="22"/>
        </w:rPr>
        <w:t>|</w:t>
      </w:r>
      <w:r>
        <w:t xml:space="preserve">  [NAhE #]  guhek  selbri  gik  selbri</w:t>
      </w:r>
      <w:r>
        <w:noBreakHyphen/>
        <w:t>6</w:t>
      </w:r>
    </w:p>
    <w:p w:rsidR="00B72047" w:rsidRDefault="00B72047">
      <w:pPr>
        <w:pStyle w:val="EBNF"/>
      </w:pPr>
      <w:r>
        <w:rPr>
          <w:rStyle w:val="htmlcodes"/>
        </w:rPr>
        <w:t>&lt;a name=b150&gt;&lt;/a&gt;&lt;a href=#y150&gt;&lt;dt&gt;</w:t>
      </w:r>
      <w:r>
        <w:t>tanru</w:t>
      </w:r>
      <w:r>
        <w:noBreakHyphen/>
        <w:t>unit</w:t>
      </w:r>
      <w:r>
        <w:rPr>
          <w:rStyle w:val="htmlcodes"/>
        </w:rPr>
        <w:t>&lt;/a&gt;&lt;sub&gt;</w:t>
      </w:r>
      <w:r>
        <w:rPr>
          <w:rStyle w:val="subscript"/>
        </w:rPr>
        <w:t>150</w:t>
      </w:r>
      <w:r>
        <w:rPr>
          <w:rStyle w:val="htmlcodes"/>
        </w:rPr>
        <w:t>&lt;/sub&gt;</w:t>
      </w:r>
      <w:r>
        <w:t>=</w:t>
      </w:r>
      <w:r>
        <w:tab/>
      </w:r>
      <w:r>
        <w:rPr>
          <w:rStyle w:val="htmlcodes"/>
        </w:rPr>
        <w:t>&lt;dd&gt;</w:t>
      </w:r>
      <w:r>
        <w:t>tanru</w:t>
      </w:r>
      <w:r>
        <w:noBreakHyphen/>
        <w:t>unit</w:t>
      </w:r>
      <w:r>
        <w:noBreakHyphen/>
        <w:t>1  [CEI #  tanru</w:t>
      </w:r>
      <w:r>
        <w:noBreakHyphen/>
        <w:t>unit</w:t>
      </w:r>
      <w:r>
        <w:noBreakHyphen/>
        <w:t>1]</w:t>
      </w:r>
      <w:r>
        <w:rPr>
          <w:rStyle w:val="htmlcodes"/>
        </w:rPr>
        <w:t>&lt;dots&gt;</w:t>
      </w:r>
      <w:r>
        <w:t>…</w:t>
      </w:r>
      <w:r>
        <w:rPr>
          <w:rStyle w:val="htmlcodes"/>
        </w:rPr>
        <w:t>&lt;/dots&gt;</w:t>
      </w:r>
    </w:p>
    <w:p w:rsidR="00B72047" w:rsidRDefault="00B72047">
      <w:pPr>
        <w:pStyle w:val="EBNF"/>
      </w:pPr>
      <w:r>
        <w:rPr>
          <w:rStyle w:val="htmlcodes"/>
        </w:rPr>
        <w:t>&lt;a name=b151&gt;&lt;/a&gt;&lt;a href=#y151&gt;&lt;dt&gt;</w:t>
      </w:r>
      <w:r>
        <w:t>tanru</w:t>
      </w:r>
      <w:r>
        <w:noBreakHyphen/>
        <w:t>unit</w:t>
      </w:r>
      <w:r>
        <w:noBreakHyphen/>
        <w:t>1</w:t>
      </w:r>
      <w:r>
        <w:rPr>
          <w:rStyle w:val="htmlcodes"/>
        </w:rPr>
        <w:t>&lt;/a&gt;&lt;sub&gt;</w:t>
      </w:r>
      <w:r>
        <w:rPr>
          <w:rStyle w:val="subscript"/>
        </w:rPr>
        <w:t>151</w:t>
      </w:r>
      <w:r>
        <w:rPr>
          <w:rStyle w:val="htmlcodes"/>
        </w:rPr>
        <w:t>&lt;/sub&gt;</w:t>
      </w:r>
      <w:r>
        <w:t>=</w:t>
      </w:r>
      <w:r>
        <w:tab/>
      </w:r>
      <w:r>
        <w:rPr>
          <w:rStyle w:val="htmlcodes"/>
        </w:rPr>
        <w:t>&lt;dd&gt;</w:t>
      </w:r>
      <w:r>
        <w:t>tanru</w:t>
      </w:r>
      <w:r>
        <w:noBreakHyphen/>
        <w:t>unit</w:t>
      </w:r>
      <w:r>
        <w:noBreakHyphen/>
        <w:t>2  [linkargs]</w:t>
      </w:r>
    </w:p>
    <w:p w:rsidR="00B72047" w:rsidRDefault="00B72047">
      <w:pPr>
        <w:pStyle w:val="EBNF"/>
      </w:pPr>
      <w:r>
        <w:rPr>
          <w:rStyle w:val="htmlcodes"/>
        </w:rPr>
        <w:t>&lt;a name=b152&gt;&lt;/a&gt;&lt;a href=#y152&gt;&lt;dt&gt;</w:t>
      </w:r>
      <w:r>
        <w:t>tanru</w:t>
      </w:r>
      <w:r>
        <w:noBreakHyphen/>
        <w:t>unit</w:t>
      </w:r>
      <w:r>
        <w:noBreakHyphen/>
        <w:t>2</w:t>
      </w:r>
      <w:r>
        <w:rPr>
          <w:rStyle w:val="htmlcodes"/>
        </w:rPr>
        <w:t>&lt;/a&gt;&lt;sub&gt;</w:t>
      </w:r>
      <w:r>
        <w:rPr>
          <w:rStyle w:val="subscript"/>
        </w:rPr>
        <w:t>152</w:t>
      </w:r>
      <w:r>
        <w:rPr>
          <w:rStyle w:val="htmlcodes"/>
        </w:rPr>
        <w:t>&lt;/sub&gt;</w:t>
      </w:r>
      <w:r>
        <w:t>=</w:t>
      </w:r>
      <w:r>
        <w:tab/>
      </w:r>
      <w:r>
        <w:rPr>
          <w:rStyle w:val="htmlcodes"/>
        </w:rPr>
        <w:t>&lt;dd&gt;</w:t>
      </w:r>
      <w:r>
        <w:t>BRIVLA #</w:t>
      </w:r>
      <w:r>
        <w:rPr>
          <w:rStyle w:val="htmlcodes"/>
        </w:rPr>
        <w:t>&lt;br&gt;</w:t>
      </w:r>
      <w:r>
        <w:t xml:space="preserve">  </w:t>
      </w:r>
      <w:r>
        <w:rPr>
          <w:b/>
          <w:bCs/>
          <w:sz w:val="22"/>
          <w:szCs w:val="22"/>
        </w:rPr>
        <w:t>|</w:t>
      </w:r>
      <w:r>
        <w:t xml:space="preserve">  GOhA  [RAhO] #</w:t>
      </w:r>
      <w:r>
        <w:rPr>
          <w:rStyle w:val="htmlcodes"/>
        </w:rPr>
        <w:t>&lt;br&gt;</w:t>
      </w:r>
      <w:r>
        <w:t xml:space="preserve">  </w:t>
      </w:r>
      <w:r>
        <w:rPr>
          <w:b/>
          <w:bCs/>
          <w:sz w:val="22"/>
          <w:szCs w:val="22"/>
        </w:rPr>
        <w:t>|</w:t>
      </w:r>
      <w:r>
        <w:t xml:space="preserve">  KE #  selbri</w:t>
      </w:r>
      <w:r>
        <w:noBreakHyphen/>
        <w:t>3  /KEhE#/</w:t>
      </w:r>
      <w:r>
        <w:rPr>
          <w:rStyle w:val="htmlcodes"/>
        </w:rPr>
        <w:t>&lt;br&gt;</w:t>
      </w:r>
      <w:r>
        <w:t xml:space="preserve">  </w:t>
      </w:r>
      <w:r>
        <w:rPr>
          <w:b/>
          <w:bCs/>
          <w:sz w:val="22"/>
          <w:szCs w:val="22"/>
        </w:rPr>
        <w:t>|</w:t>
      </w:r>
      <w:r>
        <w:t xml:space="preserve">  ME #  sumti  /MEhU#/  [MOI #]  </w:t>
      </w:r>
      <w:r>
        <w:rPr>
          <w:b/>
          <w:bCs/>
          <w:sz w:val="22"/>
          <w:szCs w:val="22"/>
        </w:rPr>
        <w:t>|</w:t>
      </w:r>
      <w:r>
        <w:t xml:space="preserve">  (number</w:t>
      </w:r>
      <w:r>
        <w:rPr>
          <w:rStyle w:val="htmlcodes"/>
        </w:rPr>
        <w:t>&lt;br&gt;</w:t>
      </w:r>
      <w:r>
        <w:t xml:space="preserve">  </w:t>
      </w:r>
      <w:r>
        <w:rPr>
          <w:b/>
          <w:bCs/>
          <w:sz w:val="22"/>
          <w:szCs w:val="22"/>
        </w:rPr>
        <w:t>|</w:t>
      </w:r>
      <w:r>
        <w:t xml:space="preserve">  lerfu</w:t>
      </w:r>
      <w:r>
        <w:noBreakHyphen/>
        <w:t>string)  MOI #</w:t>
      </w:r>
      <w:r>
        <w:rPr>
          <w:rStyle w:val="htmlcodes"/>
        </w:rPr>
        <w:t>&lt;br&gt;</w:t>
      </w:r>
      <w:r>
        <w:t xml:space="preserve">  </w:t>
      </w:r>
      <w:r>
        <w:rPr>
          <w:b/>
          <w:bCs/>
          <w:sz w:val="22"/>
          <w:szCs w:val="22"/>
        </w:rPr>
        <w:t>|</w:t>
      </w:r>
      <w:r>
        <w:t xml:space="preserve">  NUhA #  mex</w:t>
      </w:r>
      <w:r>
        <w:noBreakHyphen/>
        <w:t>operator</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SE #  tanru</w:t>
      </w:r>
      <w:r>
        <w:noBreakHyphen/>
        <w:t>unit</w:t>
      </w:r>
      <w:r>
        <w:noBreakHyphen/>
        <w:t>2</w:t>
      </w:r>
      <w:r>
        <w:rPr>
          <w:rStyle w:val="htmlcodes"/>
        </w:rPr>
        <w:t>&lt;br&gt;</w:t>
      </w:r>
      <w:r>
        <w:t xml:space="preserve">  </w:t>
      </w:r>
      <w:r>
        <w:rPr>
          <w:rStyle w:val="htmlcodes"/>
        </w:rPr>
        <w:t>|</w:t>
      </w:r>
      <w:r>
        <w:t xml:space="preserve">  JAI #  [tag]  tanru</w:t>
      </w:r>
      <w:r>
        <w:noBreakHyphen/>
        <w:t>unit</w:t>
      </w:r>
      <w:r>
        <w:noBreakHyphen/>
        <w:t>2</w:t>
      </w:r>
      <w:r>
        <w:rPr>
          <w:rStyle w:val="htmlcodes"/>
        </w:rPr>
        <w:t>&lt;br&gt;</w:t>
      </w:r>
      <w:r>
        <w:t xml:space="preserve">  </w:t>
      </w:r>
      <w:r>
        <w:rPr>
          <w:b/>
          <w:bCs/>
          <w:sz w:val="22"/>
          <w:szCs w:val="22"/>
        </w:rPr>
        <w:t>|</w:t>
      </w:r>
      <w:r>
        <w:t xml:space="preserve">  any</w:t>
      </w:r>
      <w:r>
        <w:noBreakHyphen/>
        <w:t>word  (ZEI  any</w:t>
      </w:r>
      <w:r>
        <w:noBreakHyphen/>
        <w:t>word)</w:t>
      </w:r>
      <w:r>
        <w:rPr>
          <w:rStyle w:val="htmlcodes"/>
        </w:rPr>
        <w:t>&lt;dots&gt;</w:t>
      </w:r>
      <w:r>
        <w:t>…</w:t>
      </w:r>
      <w:r>
        <w:rPr>
          <w:rStyle w:val="htmlcodes"/>
        </w:rPr>
        <w:t>&lt;/dots&gt;&lt;br&gt;</w:t>
      </w:r>
      <w:r>
        <w:t xml:space="preserve">  </w:t>
      </w:r>
      <w:r>
        <w:rPr>
          <w:b/>
          <w:bCs/>
          <w:sz w:val="22"/>
          <w:szCs w:val="22"/>
        </w:rPr>
        <w:t>|</w:t>
      </w:r>
      <w:r>
        <w:t xml:space="preserve">  NAhE #  tanru</w:t>
      </w:r>
      <w:r>
        <w:noBreakHyphen/>
        <w:t>unit</w:t>
      </w:r>
      <w:r>
        <w:noBreakHyphen/>
        <w:t>2</w:t>
      </w:r>
      <w:r>
        <w:rPr>
          <w:rStyle w:val="htmlcodes"/>
        </w:rPr>
        <w:t>&lt;br&gt;</w:t>
      </w:r>
      <w:r>
        <w:t xml:space="preserve">  </w:t>
      </w:r>
      <w:r>
        <w:rPr>
          <w:b/>
          <w:bCs/>
          <w:sz w:val="22"/>
          <w:szCs w:val="22"/>
        </w:rPr>
        <w:t>|</w:t>
      </w:r>
      <w:r>
        <w:t xml:space="preserve"> </w:t>
      </w:r>
      <w:r>
        <w:rPr>
          <w:rStyle w:val="htmlcodes"/>
        </w:rPr>
        <w:t>|</w:t>
      </w:r>
      <w:r>
        <w:t xml:space="preserve">  NU  [NAI] #  [joik</w:t>
      </w:r>
      <w:r>
        <w:noBreakHyphen/>
        <w:t>jek  NU  [NAI] #]</w:t>
      </w:r>
      <w:r>
        <w:rPr>
          <w:rStyle w:val="htmlcodes"/>
        </w:rPr>
        <w:t>&lt;dots&gt;</w:t>
      </w:r>
      <w:r>
        <w:t xml:space="preserve">…  </w:t>
      </w:r>
      <w:r>
        <w:rPr>
          <w:rStyle w:val="htmlcodes"/>
        </w:rPr>
        <w:t>&lt;/dots&gt;</w:t>
      </w:r>
      <w:r>
        <w:t>subsentence  /KEI#/</w:t>
      </w:r>
    </w:p>
    <w:p w:rsidR="00B72047" w:rsidRDefault="00B72047">
      <w:pPr>
        <w:pStyle w:val="EBNF"/>
      </w:pPr>
      <w:r>
        <w:rPr>
          <w:rStyle w:val="htmlcodes"/>
        </w:rPr>
        <w:t>&lt;a name=b160&gt;&lt;/a&gt;&lt;a href=#y160&gt;&lt;dt&gt;</w:t>
      </w:r>
      <w:r>
        <w:t>linkargs</w:t>
      </w:r>
      <w:r>
        <w:rPr>
          <w:rStyle w:val="htmlcodes"/>
        </w:rPr>
        <w:t>&lt;/a&gt;&lt;sub&gt;</w:t>
      </w:r>
      <w:r>
        <w:rPr>
          <w:rStyle w:val="subscript"/>
        </w:rPr>
        <w:t>160</w:t>
      </w:r>
      <w:r>
        <w:rPr>
          <w:rStyle w:val="htmlcodes"/>
        </w:rPr>
        <w:t>&lt;/sub&gt;</w:t>
      </w:r>
      <w:r>
        <w:t>=</w:t>
      </w:r>
      <w:r>
        <w:tab/>
      </w:r>
      <w:r>
        <w:rPr>
          <w:rStyle w:val="htmlcodes"/>
        </w:rPr>
        <w:t>&lt;dd&gt;</w:t>
      </w:r>
      <w:r>
        <w:t>BE #  term  [links]  /BEhO#/</w:t>
      </w:r>
    </w:p>
    <w:p w:rsidR="00B72047" w:rsidRDefault="00B72047">
      <w:pPr>
        <w:pStyle w:val="EBNF"/>
      </w:pPr>
      <w:r>
        <w:rPr>
          <w:rStyle w:val="htmlcodes"/>
        </w:rPr>
        <w:t>&lt;a name=b161&gt;&lt;/a&gt;&lt;a href=#y161&gt;&lt;dt&gt;</w:t>
      </w:r>
      <w:r>
        <w:t>links</w:t>
      </w:r>
      <w:r>
        <w:rPr>
          <w:rStyle w:val="htmlcodes"/>
        </w:rPr>
        <w:t>&lt;/a&gt;&lt;sub&gt;</w:t>
      </w:r>
      <w:r>
        <w:rPr>
          <w:rStyle w:val="subscript"/>
        </w:rPr>
        <w:t>161</w:t>
      </w:r>
      <w:r>
        <w:rPr>
          <w:rStyle w:val="htmlcodes"/>
        </w:rPr>
        <w:t>&lt;/sub&gt;</w:t>
      </w:r>
      <w:r>
        <w:t>=</w:t>
      </w:r>
      <w:r>
        <w:tab/>
      </w:r>
      <w:r>
        <w:rPr>
          <w:rStyle w:val="htmlcodes"/>
        </w:rPr>
        <w:t>&lt;dd&gt;</w:t>
      </w:r>
      <w:r>
        <w:t>BEI #  term  [links]</w:t>
      </w:r>
    </w:p>
    <w:p w:rsidR="00B72047" w:rsidRDefault="00B72047">
      <w:pPr>
        <w:pStyle w:val="EBNF"/>
        <w:spacing w:before="0"/>
      </w:pPr>
      <w:r>
        <w:rPr>
          <w:rStyle w:val="htmlcodes"/>
          <w:vanish w:val="0"/>
        </w:rPr>
        <w:br w:type="page"/>
      </w:r>
      <w:r>
        <w:rPr>
          <w:rStyle w:val="htmlcodes"/>
        </w:rPr>
        <w:t>&lt;a name=b300&gt;&lt;/a&gt;&lt;a href=#y300&gt;&lt;dt&gt;</w:t>
      </w:r>
      <w:r>
        <w:t>quantifier</w:t>
      </w:r>
      <w:r>
        <w:rPr>
          <w:rStyle w:val="htmlcodes"/>
        </w:rPr>
        <w:t>&lt;/a&gt;&lt;sub&gt;</w:t>
      </w:r>
      <w:r>
        <w:rPr>
          <w:rStyle w:val="subscript"/>
        </w:rPr>
        <w:t>300</w:t>
      </w:r>
      <w:r>
        <w:rPr>
          <w:rStyle w:val="htmlcodes"/>
        </w:rPr>
        <w:t>&lt;/sub&gt;</w:t>
      </w:r>
      <w:r>
        <w:t>=</w:t>
      </w:r>
      <w:r>
        <w:tab/>
      </w:r>
      <w:r>
        <w:rPr>
          <w:rStyle w:val="htmlcodes"/>
        </w:rPr>
        <w:t>&lt;dd&gt;</w:t>
      </w:r>
      <w:r>
        <w:t>number  /BOI#/</w:t>
      </w:r>
      <w:r>
        <w:rPr>
          <w:rStyle w:val="htmlcodes"/>
        </w:rPr>
        <w:t>&lt;br&gt;</w:t>
      </w:r>
      <w:r>
        <w:t xml:space="preserve">  </w:t>
      </w:r>
      <w:r>
        <w:rPr>
          <w:b/>
          <w:bCs/>
          <w:sz w:val="22"/>
          <w:szCs w:val="22"/>
        </w:rPr>
        <w:t>|</w:t>
      </w:r>
      <w:r>
        <w:t xml:space="preserve">  VEI #  mex  /VEhO#/</w:t>
      </w:r>
    </w:p>
    <w:p w:rsidR="00B72047" w:rsidRDefault="00B72047">
      <w:pPr>
        <w:pStyle w:val="EBNF"/>
      </w:pPr>
      <w:r>
        <w:rPr>
          <w:rStyle w:val="htmlcodes"/>
        </w:rPr>
        <w:t>&lt;a name=b310&gt;&lt;/a&gt;&lt;a href=#y310&gt;&lt;dt&gt;</w:t>
      </w:r>
      <w:r>
        <w:t>mex</w:t>
      </w:r>
      <w:r>
        <w:rPr>
          <w:rStyle w:val="htmlcodes"/>
        </w:rPr>
        <w:t>&lt;/a&gt;&lt;sub&gt;</w:t>
      </w:r>
      <w:r>
        <w:rPr>
          <w:rStyle w:val="subscript"/>
        </w:rPr>
        <w:t>310</w:t>
      </w:r>
      <w:r>
        <w:rPr>
          <w:rStyle w:val="htmlcodes"/>
        </w:rPr>
        <w:t>&lt;/sub&gt;</w:t>
      </w:r>
      <w:r>
        <w:t>=</w:t>
      </w:r>
      <w:r>
        <w:tab/>
      </w:r>
      <w:r>
        <w:rPr>
          <w:rStyle w:val="htmlcodes"/>
        </w:rPr>
        <w:t>&lt;dd&gt;</w:t>
      </w:r>
      <w:r>
        <w:t>mex</w:t>
      </w:r>
      <w:r>
        <w:noBreakHyphen/>
        <w:t>1  [operator  mex</w:t>
      </w:r>
      <w:r>
        <w:noBreakHyphen/>
        <w:t>1]</w:t>
      </w:r>
      <w:r>
        <w:rPr>
          <w:rStyle w:val="htmlcodes"/>
        </w:rPr>
        <w:t>&lt;dots&gt;</w:t>
      </w:r>
      <w:r>
        <w:t>…</w:t>
      </w:r>
      <w:r>
        <w:rPr>
          <w:rStyle w:val="htmlcodes"/>
        </w:rPr>
        <w:t>&lt;/dots&gt;&lt;br&gt;</w:t>
      </w:r>
      <w:r>
        <w:t xml:space="preserve">  </w:t>
      </w:r>
      <w:r>
        <w:rPr>
          <w:b/>
          <w:bCs/>
          <w:sz w:val="22"/>
          <w:szCs w:val="22"/>
        </w:rPr>
        <w:t>|</w:t>
      </w:r>
      <w:r>
        <w:t xml:space="preserve">  FUhA #  rp</w:t>
      </w:r>
      <w:r>
        <w:noBreakHyphen/>
        <w:t>expression</w:t>
      </w:r>
    </w:p>
    <w:p w:rsidR="00B72047" w:rsidRDefault="00B72047">
      <w:pPr>
        <w:pStyle w:val="EBNF"/>
      </w:pPr>
      <w:r>
        <w:rPr>
          <w:rStyle w:val="htmlcodes"/>
        </w:rPr>
        <w:t>&lt;a name=b311&gt;&lt;/a&gt;&lt;a href=#y311&gt;&lt;dt&gt;</w:t>
      </w:r>
      <w:r>
        <w:t>mex</w:t>
      </w:r>
      <w:r>
        <w:noBreakHyphen/>
        <w:t>1</w:t>
      </w:r>
      <w:r>
        <w:rPr>
          <w:rStyle w:val="htmlcodes"/>
        </w:rPr>
        <w:t>&lt;/a&gt;&lt;sub&gt;</w:t>
      </w:r>
      <w:r>
        <w:rPr>
          <w:rStyle w:val="subscript"/>
        </w:rPr>
        <w:t>311</w:t>
      </w:r>
      <w:r>
        <w:rPr>
          <w:rStyle w:val="htmlcodes"/>
        </w:rPr>
        <w:t>&lt;/sub&gt;</w:t>
      </w:r>
      <w:r>
        <w:t>=</w:t>
      </w:r>
      <w:r>
        <w:tab/>
      </w:r>
      <w:r>
        <w:rPr>
          <w:rStyle w:val="htmlcodes"/>
        </w:rPr>
        <w:t>&lt;dd&gt;</w:t>
      </w:r>
      <w:r>
        <w:t>mex</w:t>
      </w:r>
      <w:r>
        <w:noBreakHyphen/>
        <w:t>2  [BIhE #  operator  mex</w:t>
      </w:r>
      <w:r>
        <w:noBreakHyphen/>
        <w:t>1]</w:t>
      </w:r>
    </w:p>
    <w:p w:rsidR="00B72047" w:rsidRDefault="00B72047">
      <w:pPr>
        <w:pStyle w:val="EBNF"/>
      </w:pPr>
      <w:r>
        <w:rPr>
          <w:rStyle w:val="htmlcodes"/>
        </w:rPr>
        <w:t>&lt;a name=b312&gt;&lt;/a&gt;&lt;a href=#y312&gt;&lt;dt&gt;</w:t>
      </w:r>
      <w:r>
        <w:t>mex</w:t>
      </w:r>
      <w:r>
        <w:noBreakHyphen/>
        <w:t>2</w:t>
      </w:r>
      <w:r>
        <w:rPr>
          <w:rStyle w:val="htmlcodes"/>
        </w:rPr>
        <w:t>&lt;/a&gt;&lt;sub&gt;</w:t>
      </w:r>
      <w:r>
        <w:rPr>
          <w:rStyle w:val="subscript"/>
        </w:rPr>
        <w:t>312</w:t>
      </w:r>
      <w:r>
        <w:rPr>
          <w:rStyle w:val="htmlcodes"/>
        </w:rPr>
        <w:t>&lt;/sub&gt;</w:t>
      </w:r>
      <w:r>
        <w:t>=</w:t>
      </w:r>
      <w:r>
        <w:tab/>
      </w:r>
      <w:r>
        <w:rPr>
          <w:rStyle w:val="htmlcodes"/>
        </w:rPr>
        <w:t>&lt;dd&gt;</w:t>
      </w:r>
      <w:r>
        <w:t>operand</w:t>
      </w:r>
      <w:r>
        <w:rPr>
          <w:rStyle w:val="htmlcodes"/>
        </w:rPr>
        <w:t>&lt;br&gt;</w:t>
      </w:r>
      <w:r>
        <w:t xml:space="preserve">  </w:t>
      </w:r>
      <w:r>
        <w:rPr>
          <w:b/>
          <w:bCs/>
          <w:sz w:val="22"/>
          <w:szCs w:val="22"/>
        </w:rPr>
        <w:t>|</w:t>
      </w:r>
      <w:r>
        <w:t xml:space="preserve">  [PEhO #]  operator  mex</w:t>
      </w:r>
      <w:r>
        <w:noBreakHyphen/>
        <w:t>2</w:t>
      </w:r>
      <w:r>
        <w:rPr>
          <w:rStyle w:val="htmlcodes"/>
        </w:rPr>
        <w:t>&lt;dots&gt;</w:t>
      </w:r>
      <w:r>
        <w:t xml:space="preserve">…  </w:t>
      </w:r>
      <w:r>
        <w:rPr>
          <w:rStyle w:val="htmlcodes"/>
        </w:rPr>
        <w:t>&lt;/dots&gt;</w:t>
      </w:r>
      <w:r>
        <w:t>/KUhE#/</w:t>
      </w:r>
    </w:p>
    <w:p w:rsidR="00B72047" w:rsidRDefault="00B72047">
      <w:pPr>
        <w:pStyle w:val="EBNF"/>
      </w:pPr>
      <w:r>
        <w:rPr>
          <w:rStyle w:val="htmlcodes"/>
        </w:rPr>
        <w:t>&lt;a name=b330&gt;&lt;/a&gt;&lt;a href=#y330&gt;&lt;dt&gt;</w:t>
      </w:r>
      <w:r>
        <w:t>rp</w:t>
      </w:r>
      <w:r>
        <w:noBreakHyphen/>
        <w:t>expression</w:t>
      </w:r>
      <w:r>
        <w:rPr>
          <w:rStyle w:val="htmlcodes"/>
        </w:rPr>
        <w:t>&lt;/a&gt;&lt;sub&gt;</w:t>
      </w:r>
      <w:r>
        <w:rPr>
          <w:rStyle w:val="subscript"/>
        </w:rPr>
        <w:t>330</w:t>
      </w:r>
      <w:r>
        <w:rPr>
          <w:rStyle w:val="htmlcodes"/>
        </w:rPr>
        <w:t>&lt;/sub&gt;</w:t>
      </w:r>
      <w:r>
        <w:t>=</w:t>
      </w:r>
      <w:r>
        <w:tab/>
      </w:r>
      <w:r>
        <w:rPr>
          <w:rStyle w:val="htmlcodes"/>
        </w:rPr>
        <w:t>&lt;dd&gt;</w:t>
      </w:r>
      <w:r>
        <w:t>rp</w:t>
      </w:r>
      <w:r>
        <w:noBreakHyphen/>
        <w:t>operand  rp</w:t>
      </w:r>
      <w:r>
        <w:noBreakHyphen/>
        <w:t>operand  operator</w:t>
      </w:r>
    </w:p>
    <w:p w:rsidR="00B72047" w:rsidRDefault="00B72047">
      <w:pPr>
        <w:pStyle w:val="EBNF"/>
      </w:pPr>
      <w:r>
        <w:rPr>
          <w:rStyle w:val="htmlcodes"/>
        </w:rPr>
        <w:t>&lt;a name=b332&gt;&lt;/a&gt;&lt;a href=#y332&gt;&lt;dt&gt;</w:t>
      </w:r>
      <w:r>
        <w:t>rp</w:t>
      </w:r>
      <w:r>
        <w:noBreakHyphen/>
        <w:t>operand</w:t>
      </w:r>
      <w:r>
        <w:rPr>
          <w:rStyle w:val="htmlcodes"/>
        </w:rPr>
        <w:t>&lt;/a&gt;&lt;sub&gt;</w:t>
      </w:r>
      <w:r>
        <w:rPr>
          <w:rStyle w:val="subscript"/>
        </w:rPr>
        <w:t>332</w:t>
      </w:r>
      <w:r>
        <w:rPr>
          <w:rStyle w:val="htmlcodes"/>
        </w:rPr>
        <w:t>&lt;/sub&gt;</w:t>
      </w:r>
      <w:r>
        <w:t>=</w:t>
      </w:r>
      <w:r>
        <w:tab/>
      </w:r>
      <w:r>
        <w:rPr>
          <w:rStyle w:val="htmlcodes"/>
        </w:rPr>
        <w:t>&lt;dd&gt;</w:t>
      </w:r>
      <w:r>
        <w:t>operand</w:t>
      </w:r>
      <w:r>
        <w:rPr>
          <w:rStyle w:val="htmlcodes"/>
        </w:rPr>
        <w:t>&lt;br&gt;</w:t>
      </w:r>
      <w:r>
        <w:t xml:space="preserve">  </w:t>
      </w:r>
      <w:r>
        <w:rPr>
          <w:b/>
          <w:bCs/>
          <w:sz w:val="22"/>
          <w:szCs w:val="22"/>
        </w:rPr>
        <w:t>|</w:t>
      </w:r>
      <w:r>
        <w:t xml:space="preserve">  rp</w:t>
      </w:r>
      <w:r>
        <w:noBreakHyphen/>
        <w:t>expression</w:t>
      </w:r>
    </w:p>
    <w:p w:rsidR="00B72047" w:rsidRDefault="00B72047">
      <w:pPr>
        <w:pStyle w:val="EBNF"/>
      </w:pPr>
      <w:r>
        <w:rPr>
          <w:rStyle w:val="htmlcodes"/>
        </w:rPr>
        <w:t>&lt;a name=b370&gt;&lt;/a&gt;&lt;a href=#y370&gt;&lt;dt&gt;</w:t>
      </w:r>
      <w:r>
        <w:t>operator</w:t>
      </w:r>
      <w:r>
        <w:rPr>
          <w:rStyle w:val="htmlcodes"/>
        </w:rPr>
        <w:t>&lt;/a&gt;&lt;sub&gt;</w:t>
      </w:r>
      <w:r>
        <w:rPr>
          <w:rStyle w:val="subscript"/>
        </w:rPr>
        <w:t>370</w:t>
      </w:r>
      <w:r>
        <w:rPr>
          <w:rStyle w:val="htmlcodes"/>
        </w:rPr>
        <w:t>&lt;/sub&gt;</w:t>
      </w:r>
      <w:r>
        <w:t>=</w:t>
      </w:r>
      <w:r>
        <w:tab/>
      </w:r>
      <w:r>
        <w:rPr>
          <w:rStyle w:val="htmlcodes"/>
        </w:rPr>
        <w:t>&lt;dd&gt;</w:t>
      </w:r>
      <w:r>
        <w:t>operator</w:t>
      </w:r>
      <w:r>
        <w:noBreakHyphen/>
        <w:t>1  [joik</w:t>
      </w:r>
      <w:r>
        <w:noBreakHyphen/>
        <w:t>jek  operator</w:t>
      </w:r>
      <w:r>
        <w:noBreakHyphen/>
        <w:t xml:space="preserve">1  </w:t>
      </w:r>
      <w:r>
        <w:rPr>
          <w:b/>
          <w:bCs/>
          <w:sz w:val="22"/>
          <w:szCs w:val="22"/>
        </w:rPr>
        <w:t>|</w:t>
      </w:r>
      <w:r>
        <w:t xml:space="preserve">  </w:t>
      </w:r>
    </w:p>
    <w:p w:rsidR="00B72047" w:rsidRDefault="00B72047">
      <w:pPr>
        <w:pStyle w:val="EBNF"/>
        <w:spacing w:before="0"/>
      </w:pPr>
      <w:r>
        <w:tab/>
      </w:r>
      <w:r>
        <w:tab/>
      </w:r>
      <w:r>
        <w:tab/>
        <w:t>joik  [stag]  KE #  operator  /KEhE#/]</w:t>
      </w:r>
      <w:r>
        <w:rPr>
          <w:rStyle w:val="htmlcodes"/>
        </w:rPr>
        <w:t>&lt;dots&gt;</w:t>
      </w:r>
      <w:r>
        <w:t>…</w:t>
      </w:r>
      <w:r>
        <w:rPr>
          <w:rStyle w:val="htmlcodes"/>
        </w:rPr>
        <w:t>&lt;/dots&gt;</w:t>
      </w:r>
    </w:p>
    <w:p w:rsidR="00B72047" w:rsidRDefault="00B72047">
      <w:pPr>
        <w:pStyle w:val="EBNF"/>
      </w:pPr>
      <w:r>
        <w:rPr>
          <w:rStyle w:val="htmlcodes"/>
        </w:rPr>
        <w:t>&lt;a name=b371&gt;&lt;/a&gt;&lt;a href=#y371&gt;&lt;dt&gt;</w:t>
      </w:r>
      <w:r>
        <w:t>operator</w:t>
      </w:r>
      <w:r>
        <w:noBreakHyphen/>
        <w:t>1</w:t>
      </w:r>
      <w:r>
        <w:rPr>
          <w:rStyle w:val="htmlcodes"/>
        </w:rPr>
        <w:t>&lt;/a&gt;&lt;sub&gt;</w:t>
      </w:r>
      <w:r>
        <w:rPr>
          <w:rStyle w:val="subscript"/>
        </w:rPr>
        <w:t>371</w:t>
      </w:r>
      <w:r>
        <w:rPr>
          <w:rStyle w:val="htmlcodes"/>
        </w:rPr>
        <w:t>&lt;/sub&gt;</w:t>
      </w:r>
      <w:r>
        <w:t>=</w:t>
      </w:r>
      <w:r>
        <w:tab/>
      </w:r>
      <w:r>
        <w:rPr>
          <w:rStyle w:val="htmlcodes"/>
        </w:rPr>
        <w:t>&lt;dd&gt;</w:t>
      </w:r>
      <w:r>
        <w:t>operator</w:t>
      </w:r>
      <w:r>
        <w:noBreakHyphen/>
        <w:t xml:space="preserve">2  </w:t>
      </w:r>
      <w:r>
        <w:rPr>
          <w:rStyle w:val="htmlcodes"/>
        </w:rPr>
        <w:t>&lt;br&gt;</w:t>
      </w:r>
      <w:r>
        <w:t xml:space="preserve">  </w:t>
      </w:r>
      <w:r>
        <w:rPr>
          <w:rStyle w:val="htmlcodes"/>
        </w:rPr>
        <w:t>|</w:t>
      </w:r>
      <w:r>
        <w:t xml:space="preserve">  guhek  operator</w:t>
      </w:r>
      <w:r>
        <w:noBreakHyphen/>
        <w:t>1  gik  operator</w:t>
      </w:r>
      <w:r>
        <w:noBreakHyphen/>
        <w:t>2</w:t>
      </w:r>
      <w:r>
        <w:rPr>
          <w:rStyle w:val="htmlcodes"/>
        </w:rPr>
        <w:t>&lt;br&gt;</w:t>
      </w:r>
      <w:r>
        <w:t xml:space="preserve">  </w:t>
      </w:r>
      <w:r>
        <w:rPr>
          <w:rStyle w:val="htmlcodes"/>
        </w:rPr>
        <w:t>|</w:t>
      </w:r>
      <w:r>
        <w:t xml:space="preserve">  operator</w:t>
      </w:r>
      <w:r>
        <w:noBreakHyphen/>
        <w:t xml:space="preserve">2  (jek  </w:t>
      </w:r>
      <w:r>
        <w:rPr>
          <w:b/>
          <w:bCs/>
          <w:sz w:val="22"/>
          <w:szCs w:val="22"/>
        </w:rPr>
        <w:t>|</w:t>
      </w:r>
      <w:r>
        <w:t xml:space="preserve">  joik)  [stag]  BO #  operator</w:t>
      </w:r>
      <w:r>
        <w:noBreakHyphen/>
        <w:t>1</w:t>
      </w:r>
    </w:p>
    <w:p w:rsidR="00B72047" w:rsidRDefault="00B72047">
      <w:pPr>
        <w:pStyle w:val="EBNF"/>
      </w:pPr>
      <w:r>
        <w:rPr>
          <w:rStyle w:val="htmlcodes"/>
        </w:rPr>
        <w:t>&lt;a name=b372&gt;&lt;/a&gt;&lt;a href=#y372&gt;&lt;dt&gt;</w:t>
      </w:r>
      <w:r>
        <w:t>operator</w:t>
      </w:r>
      <w:r>
        <w:noBreakHyphen/>
        <w:t>2</w:t>
      </w:r>
      <w:r>
        <w:rPr>
          <w:rStyle w:val="htmlcodes"/>
        </w:rPr>
        <w:t>&lt;/a&gt;&lt;sub&gt;</w:t>
      </w:r>
      <w:r>
        <w:rPr>
          <w:rStyle w:val="subscript"/>
        </w:rPr>
        <w:t>372</w:t>
      </w:r>
      <w:r>
        <w:rPr>
          <w:rStyle w:val="htmlcodes"/>
        </w:rPr>
        <w:t>&lt;/sub&gt;</w:t>
      </w:r>
      <w:r>
        <w:t>=</w:t>
      </w:r>
      <w:r>
        <w:tab/>
      </w:r>
      <w:r>
        <w:rPr>
          <w:rStyle w:val="htmlcodes"/>
        </w:rPr>
        <w:t>&lt;dd&gt;</w:t>
      </w:r>
      <w:r>
        <w:t>mex</w:t>
      </w:r>
      <w:r>
        <w:noBreakHyphen/>
        <w:t>operator</w:t>
      </w:r>
      <w:r>
        <w:rPr>
          <w:rStyle w:val="htmlcodes"/>
        </w:rPr>
        <w:t>&lt;br&gt;</w:t>
      </w:r>
      <w:r>
        <w:t xml:space="preserve">  </w:t>
      </w:r>
      <w:r>
        <w:rPr>
          <w:b/>
          <w:bCs/>
          <w:sz w:val="22"/>
          <w:szCs w:val="22"/>
        </w:rPr>
        <w:t>|</w:t>
      </w:r>
      <w:r>
        <w:t xml:space="preserve">  KE #  operator  /KEhE#/</w:t>
      </w:r>
    </w:p>
    <w:p w:rsidR="00B72047" w:rsidRDefault="00B72047">
      <w:pPr>
        <w:pStyle w:val="EBNF"/>
      </w:pPr>
      <w:r>
        <w:rPr>
          <w:rStyle w:val="htmlcodes"/>
        </w:rPr>
        <w:t>&lt;a name=b374&gt;&lt;/a&gt;&lt;a href=#y374&gt;&lt;dt&gt;</w:t>
      </w:r>
      <w:r>
        <w:t>mex</w:t>
      </w:r>
      <w:r>
        <w:noBreakHyphen/>
        <w:t>operator</w:t>
      </w:r>
      <w:r>
        <w:rPr>
          <w:rStyle w:val="htmlcodes"/>
        </w:rPr>
        <w:t>&lt;/a&gt;&lt;sub&gt;</w:t>
      </w:r>
      <w:r>
        <w:rPr>
          <w:rStyle w:val="subscript"/>
        </w:rPr>
        <w:t>374</w:t>
      </w:r>
      <w:r>
        <w:rPr>
          <w:rStyle w:val="htmlcodes"/>
        </w:rPr>
        <w:t>&lt;/sub&gt;</w:t>
      </w:r>
      <w:r>
        <w:t>=</w:t>
      </w:r>
      <w:r>
        <w:tab/>
      </w:r>
      <w:r>
        <w:rPr>
          <w:rStyle w:val="htmlcodes"/>
        </w:rPr>
        <w:t>&lt;dd&gt;</w:t>
      </w:r>
      <w:r>
        <w:t>SE #  mex</w:t>
      </w:r>
      <w:r>
        <w:noBreakHyphen/>
        <w:t>operator</w:t>
      </w:r>
      <w:r>
        <w:rPr>
          <w:rStyle w:val="htmlcodes"/>
        </w:rPr>
        <w:t>&lt;br&gt;</w:t>
      </w:r>
      <w:r>
        <w:t xml:space="preserve">  </w:t>
      </w:r>
      <w:r>
        <w:rPr>
          <w:b/>
          <w:bCs/>
          <w:sz w:val="22"/>
          <w:szCs w:val="22"/>
        </w:rPr>
        <w:t>|</w:t>
      </w:r>
      <w:r>
        <w:t xml:space="preserve">  NAhE #  mex</w:t>
      </w:r>
      <w:r>
        <w:noBreakHyphen/>
        <w:t>operator</w:t>
      </w:r>
      <w:r>
        <w:rPr>
          <w:rStyle w:val="htmlcodes"/>
        </w:rPr>
        <w:t>&lt;br&gt;</w:t>
      </w:r>
      <w:r>
        <w:t xml:space="preserve">  </w:t>
      </w:r>
      <w:r>
        <w:rPr>
          <w:rStyle w:val="htmlcodes"/>
        </w:rPr>
        <w:t>|</w:t>
      </w:r>
      <w:r>
        <w:t xml:space="preserve">  MAhO #  mex  /TEhU#/</w:t>
      </w:r>
      <w:r>
        <w:rPr>
          <w:rStyle w:val="htmlcodes"/>
        </w:rPr>
        <w:t>&lt;br&gt;</w:t>
      </w:r>
      <w:r>
        <w:t xml:space="preserve">  </w:t>
      </w:r>
      <w:r>
        <w:rPr>
          <w:b/>
          <w:bCs/>
          <w:sz w:val="22"/>
          <w:szCs w:val="22"/>
        </w:rPr>
        <w:t>|</w:t>
      </w:r>
      <w:r>
        <w:t xml:space="preserve">  NAhU #  selbri  /TEhU#/</w:t>
      </w:r>
      <w:r>
        <w:rPr>
          <w:rStyle w:val="htmlcodes"/>
        </w:rPr>
        <w:t>&lt;br&gt;</w:t>
      </w:r>
      <w:r>
        <w:t xml:space="preserve">  </w:t>
      </w:r>
      <w:r>
        <w:rPr>
          <w:rStyle w:val="htmlcodes"/>
        </w:rPr>
        <w:t>|</w:t>
      </w:r>
      <w:r>
        <w:t xml:space="preserve">  VUhU #</w:t>
      </w:r>
    </w:p>
    <w:p w:rsidR="00B72047" w:rsidRDefault="00B72047">
      <w:pPr>
        <w:pStyle w:val="EBNF"/>
      </w:pPr>
      <w:r>
        <w:rPr>
          <w:rStyle w:val="htmlcodes"/>
        </w:rPr>
        <w:t>&lt;a name=b381&gt;&lt;/a&gt;&lt;a href=#y381&gt;&lt;dt&gt;</w:t>
      </w:r>
      <w:r>
        <w:t>operand</w:t>
      </w:r>
      <w:r>
        <w:rPr>
          <w:rStyle w:val="htmlcodes"/>
        </w:rPr>
        <w:t>&lt;/a&gt;&lt;sub&gt;</w:t>
      </w:r>
      <w:r>
        <w:rPr>
          <w:rStyle w:val="subscript"/>
        </w:rPr>
        <w:t>381</w:t>
      </w:r>
      <w:r>
        <w:rPr>
          <w:rStyle w:val="htmlcodes"/>
        </w:rPr>
        <w:t>&lt;/sub&gt;</w:t>
      </w:r>
      <w:r>
        <w:t>=</w:t>
      </w:r>
      <w:r>
        <w:tab/>
      </w:r>
      <w:r>
        <w:rPr>
          <w:rStyle w:val="htmlcodes"/>
        </w:rPr>
        <w:t>&lt;dd&gt;</w:t>
      </w:r>
      <w:r>
        <w:t>operand</w:t>
      </w:r>
      <w:r>
        <w:noBreakHyphen/>
        <w:t xml:space="preserve">1  [(ek  </w:t>
      </w:r>
      <w:r>
        <w:rPr>
          <w:b/>
          <w:bCs/>
          <w:sz w:val="22"/>
          <w:szCs w:val="22"/>
        </w:rPr>
        <w:t>|</w:t>
      </w:r>
      <w:r>
        <w:t xml:space="preserve">  joik)  [stag]  KE #  operand  /KEhE#/]</w:t>
      </w:r>
    </w:p>
    <w:p w:rsidR="00B72047" w:rsidRDefault="00B72047">
      <w:pPr>
        <w:pStyle w:val="EBNF"/>
      </w:pPr>
      <w:r>
        <w:rPr>
          <w:rStyle w:val="htmlcodes"/>
        </w:rPr>
        <w:t>&lt;a name=b382&gt;&lt;/a&gt;&lt;a href=#y382&gt;&lt;dt&gt;</w:t>
      </w:r>
      <w:r>
        <w:t>operand</w:t>
      </w:r>
      <w:r>
        <w:noBreakHyphen/>
        <w:t>1</w:t>
      </w:r>
      <w:r>
        <w:rPr>
          <w:rStyle w:val="htmlcodes"/>
        </w:rPr>
        <w:t>&lt;/a&gt;&lt;sub&gt;</w:t>
      </w:r>
      <w:r>
        <w:rPr>
          <w:rStyle w:val="subscript"/>
        </w:rPr>
        <w:t>382</w:t>
      </w:r>
      <w:r>
        <w:rPr>
          <w:rStyle w:val="htmlcodes"/>
        </w:rPr>
        <w:t>&lt;/sub&gt;</w:t>
      </w:r>
      <w:r>
        <w:t>=</w:t>
      </w:r>
      <w:r>
        <w:tab/>
      </w:r>
      <w:r>
        <w:rPr>
          <w:rStyle w:val="htmlcodes"/>
        </w:rPr>
        <w:t>&lt;dd&gt;</w:t>
      </w:r>
      <w:r>
        <w:t>operand</w:t>
      </w:r>
      <w:r>
        <w:noBreakHyphen/>
        <w:t>2  [joik</w:t>
      </w:r>
      <w:r>
        <w:noBreakHyphen/>
        <w:t>ek  operand</w:t>
      </w:r>
      <w:r>
        <w:noBreakHyphen/>
        <w:t>2]</w:t>
      </w:r>
      <w:r>
        <w:rPr>
          <w:rStyle w:val="htmlcodes"/>
        </w:rPr>
        <w:t>&lt;dots&gt;</w:t>
      </w:r>
      <w:r>
        <w:t>…</w:t>
      </w:r>
      <w:r>
        <w:rPr>
          <w:rStyle w:val="htmlcodes"/>
        </w:rPr>
        <w:t>&lt;/dots&gt;</w:t>
      </w:r>
    </w:p>
    <w:p w:rsidR="00B72047" w:rsidRDefault="00B72047">
      <w:pPr>
        <w:pStyle w:val="EBNF"/>
      </w:pPr>
      <w:r>
        <w:rPr>
          <w:rStyle w:val="htmlcodes"/>
        </w:rPr>
        <w:t>&lt;a name=b383&gt;&lt;/a&gt;&lt;a href=#y383&gt;&lt;dt&gt;</w:t>
      </w:r>
      <w:r>
        <w:t>operand</w:t>
      </w:r>
      <w:r>
        <w:noBreakHyphen/>
        <w:t>2</w:t>
      </w:r>
      <w:r>
        <w:rPr>
          <w:rStyle w:val="htmlcodes"/>
        </w:rPr>
        <w:t>&lt;/a&gt;&lt;sub&gt;</w:t>
      </w:r>
      <w:r>
        <w:rPr>
          <w:rStyle w:val="subscript"/>
        </w:rPr>
        <w:t>383</w:t>
      </w:r>
      <w:r>
        <w:rPr>
          <w:rStyle w:val="htmlcodes"/>
        </w:rPr>
        <w:t>&lt;/sub&gt;</w:t>
      </w:r>
      <w:r>
        <w:t>=</w:t>
      </w:r>
      <w:r>
        <w:tab/>
      </w:r>
      <w:r>
        <w:rPr>
          <w:rStyle w:val="htmlcodes"/>
        </w:rPr>
        <w:t>&lt;dd&gt;</w:t>
      </w:r>
      <w:r>
        <w:t>operand</w:t>
      </w:r>
      <w:r>
        <w:noBreakHyphen/>
        <w:t xml:space="preserve">3  [(ek  </w:t>
      </w:r>
      <w:r>
        <w:rPr>
          <w:b/>
          <w:bCs/>
          <w:sz w:val="22"/>
          <w:szCs w:val="22"/>
        </w:rPr>
        <w:t>|</w:t>
      </w:r>
      <w:r>
        <w:t xml:space="preserve">  joik)  [stag]  BO #  operand</w:t>
      </w:r>
      <w:r>
        <w:noBreakHyphen/>
        <w:t>2]</w:t>
      </w:r>
    </w:p>
    <w:p w:rsidR="00B72047" w:rsidRDefault="00B72047">
      <w:pPr>
        <w:pStyle w:val="EBNF"/>
      </w:pPr>
      <w:r>
        <w:rPr>
          <w:rStyle w:val="htmlcodes"/>
        </w:rPr>
        <w:t>&lt;a name=b385&gt;&lt;/a&gt;&lt;a href=#y385&gt;&lt;dt&gt;</w:t>
      </w:r>
      <w:r>
        <w:t>operand</w:t>
      </w:r>
      <w:r>
        <w:noBreakHyphen/>
        <w:t>3</w:t>
      </w:r>
      <w:r>
        <w:rPr>
          <w:rStyle w:val="htmlcodes"/>
        </w:rPr>
        <w:t>&lt;/a&gt;&lt;sub&gt;</w:t>
      </w:r>
      <w:r>
        <w:rPr>
          <w:rStyle w:val="subscript"/>
        </w:rPr>
        <w:t>385</w:t>
      </w:r>
      <w:r>
        <w:rPr>
          <w:rStyle w:val="htmlcodes"/>
        </w:rPr>
        <w:t>&lt;/sub&gt;</w:t>
      </w:r>
      <w:r>
        <w:t>=</w:t>
      </w:r>
      <w:r>
        <w:tab/>
      </w:r>
      <w:r>
        <w:rPr>
          <w:rStyle w:val="htmlcodes"/>
        </w:rPr>
        <w:t>&lt;dd&gt;</w:t>
      </w:r>
      <w:r>
        <w:t>quantifier</w:t>
      </w:r>
      <w:r>
        <w:rPr>
          <w:rStyle w:val="htmlcodes"/>
        </w:rPr>
        <w:t>&lt;br&gt;</w:t>
      </w:r>
      <w:r>
        <w:t xml:space="preserve">  </w:t>
      </w:r>
      <w:r>
        <w:rPr>
          <w:b/>
          <w:bCs/>
          <w:sz w:val="22"/>
          <w:szCs w:val="22"/>
        </w:rPr>
        <w:t>|</w:t>
      </w:r>
      <w:r>
        <w:t xml:space="preserve">  lerfu</w:t>
      </w:r>
      <w:r>
        <w:noBreakHyphen/>
        <w:t>string  /BOI#/</w:t>
      </w:r>
      <w:r>
        <w:rPr>
          <w:rStyle w:val="htmlcodes"/>
        </w:rPr>
        <w:t>&lt;br&gt;</w:t>
      </w:r>
      <w:r>
        <w:t xml:space="preserve">  </w:t>
      </w:r>
      <w:r>
        <w:rPr>
          <w:rStyle w:val="htmlcodes"/>
        </w:rPr>
        <w:t>|</w:t>
      </w:r>
      <w:r>
        <w:t xml:space="preserve">  NIhE #  selbri  /TEhU#/</w:t>
      </w:r>
      <w:r>
        <w:rPr>
          <w:rStyle w:val="htmlcodes"/>
        </w:rPr>
        <w:t>&lt;br&gt;</w:t>
      </w:r>
      <w:r>
        <w:t xml:space="preserve">  </w:t>
      </w:r>
      <w:r>
        <w:rPr>
          <w:b/>
          <w:bCs/>
          <w:sz w:val="22"/>
          <w:szCs w:val="22"/>
        </w:rPr>
        <w:t>|</w:t>
      </w:r>
      <w:r>
        <w:t xml:space="preserve">  MOhE #  sumti  /TEhU#/</w:t>
      </w:r>
      <w:r>
        <w:rPr>
          <w:rStyle w:val="htmlcodes"/>
        </w:rPr>
        <w:t>&lt;br&gt;</w:t>
      </w:r>
      <w:r>
        <w:t xml:space="preserve">  </w:t>
      </w:r>
      <w:r>
        <w:rPr>
          <w:b/>
          <w:bCs/>
          <w:sz w:val="22"/>
          <w:szCs w:val="22"/>
        </w:rPr>
        <w:t>|</w:t>
      </w:r>
      <w:r>
        <w:t xml:space="preserve">  JOhI #  mex</w:t>
      </w:r>
      <w:r>
        <w:noBreakHyphen/>
        <w:t>2</w:t>
      </w:r>
      <w:r>
        <w:rPr>
          <w:rStyle w:val="htmlcodes"/>
        </w:rPr>
        <w:t>&lt;dots&gt;</w:t>
      </w:r>
      <w:r>
        <w:t xml:space="preserve">…  </w:t>
      </w:r>
      <w:r>
        <w:rPr>
          <w:rStyle w:val="htmlcodes"/>
        </w:rPr>
        <w:t>&lt;/dots&gt;</w:t>
      </w:r>
      <w:r>
        <w:t>/TEhU#/</w:t>
      </w:r>
      <w:r>
        <w:rPr>
          <w:rStyle w:val="htmlcodes"/>
        </w:rPr>
        <w:t>&lt;br&gt;</w:t>
      </w:r>
      <w:r>
        <w:t xml:space="preserve">  </w:t>
      </w:r>
      <w:r>
        <w:rPr>
          <w:b/>
          <w:bCs/>
          <w:sz w:val="22"/>
          <w:szCs w:val="22"/>
        </w:rPr>
        <w:t>|</w:t>
      </w:r>
      <w:r>
        <w:t xml:space="preserve">  gek  operand  gik  operand</w:t>
      </w:r>
      <w:r>
        <w:noBreakHyphen/>
        <w:t>3</w:t>
      </w:r>
      <w:r>
        <w:rPr>
          <w:rStyle w:val="htmlcodes"/>
        </w:rPr>
        <w:t>&lt;br&gt;</w:t>
      </w:r>
      <w:r>
        <w:t xml:space="preserve">  </w:t>
      </w:r>
      <w:r>
        <w:rPr>
          <w:b/>
          <w:bCs/>
          <w:sz w:val="22"/>
          <w:szCs w:val="22"/>
        </w:rPr>
        <w:t>|</w:t>
      </w:r>
      <w:r>
        <w:t xml:space="preserve">  (LAhE #  </w:t>
      </w:r>
      <w:r>
        <w:rPr>
          <w:b/>
          <w:bCs/>
          <w:sz w:val="22"/>
          <w:szCs w:val="22"/>
        </w:rPr>
        <w:t>|</w:t>
      </w:r>
      <w:r>
        <w:t xml:space="preserve">  NAhE  BO #)  operand  /LUhU#/</w:t>
      </w:r>
    </w:p>
    <w:p w:rsidR="00B72047" w:rsidRDefault="00B72047">
      <w:pPr>
        <w:pStyle w:val="EBNF"/>
      </w:pPr>
      <w:r>
        <w:rPr>
          <w:rStyle w:val="htmlcodes"/>
        </w:rPr>
        <w:t>&lt;a name=b812&gt;&lt;/a&gt;&lt;a href=#y812&gt;&lt;dt&gt;</w:t>
      </w:r>
      <w:r>
        <w:t>number</w:t>
      </w:r>
      <w:r>
        <w:rPr>
          <w:rStyle w:val="htmlcodes"/>
        </w:rPr>
        <w:t>&lt;/a&gt;&lt;sub&gt;</w:t>
      </w:r>
      <w:r>
        <w:rPr>
          <w:rStyle w:val="subscript"/>
        </w:rPr>
        <w:t>812</w:t>
      </w:r>
      <w:r>
        <w:rPr>
          <w:rStyle w:val="htmlcodes"/>
        </w:rPr>
        <w:t>&lt;/sub&gt;</w:t>
      </w:r>
      <w:r>
        <w:t>=</w:t>
      </w:r>
      <w:r>
        <w:tab/>
      </w:r>
      <w:r>
        <w:rPr>
          <w:rStyle w:val="htmlcodes"/>
        </w:rPr>
        <w:t>&lt;dd&gt;</w:t>
      </w:r>
      <w:r>
        <w:t xml:space="preserve">PA  [PA  </w:t>
      </w:r>
      <w:r>
        <w:rPr>
          <w:b/>
          <w:bCs/>
          <w:sz w:val="22"/>
          <w:szCs w:val="22"/>
        </w:rPr>
        <w:t>|</w:t>
      </w:r>
      <w:r>
        <w:t xml:space="preserve">  lerfu</w:t>
      </w:r>
      <w:r>
        <w:noBreakHyphen/>
        <w:t>word]</w:t>
      </w:r>
      <w:r>
        <w:rPr>
          <w:rStyle w:val="htmlcodes"/>
        </w:rPr>
        <w:t>&lt;dots&gt;</w:t>
      </w:r>
      <w:r>
        <w:t>…</w:t>
      </w:r>
      <w:r>
        <w:rPr>
          <w:rStyle w:val="htmlcodes"/>
        </w:rPr>
        <w:t>&lt;/dots&gt;</w:t>
      </w:r>
    </w:p>
    <w:p w:rsidR="00B72047" w:rsidRDefault="00B72047">
      <w:pPr>
        <w:pStyle w:val="EBNF"/>
      </w:pPr>
      <w:r>
        <w:rPr>
          <w:rStyle w:val="htmlcodes"/>
        </w:rPr>
        <w:t>&lt;a name=b817&gt;&lt;/a&gt;&lt;a href=#y817&gt;&lt;dt&gt;</w:t>
      </w:r>
      <w:r>
        <w:t>lerfu</w:t>
      </w:r>
      <w:r>
        <w:noBreakHyphen/>
        <w:t>string</w:t>
      </w:r>
      <w:r>
        <w:rPr>
          <w:rStyle w:val="htmlcodes"/>
        </w:rPr>
        <w:t>&lt;/a&gt;&lt;sub&gt;</w:t>
      </w:r>
      <w:r>
        <w:rPr>
          <w:rStyle w:val="subscript"/>
        </w:rPr>
        <w:t>817</w:t>
      </w:r>
      <w:r>
        <w:rPr>
          <w:rStyle w:val="htmlcodes"/>
        </w:rPr>
        <w:t>&lt;/sub&gt;</w:t>
      </w:r>
      <w:r>
        <w:t>=</w:t>
      </w:r>
      <w:r>
        <w:tab/>
      </w:r>
      <w:r>
        <w:rPr>
          <w:rStyle w:val="htmlcodes"/>
        </w:rPr>
        <w:t>&lt;dd&gt;</w:t>
      </w:r>
      <w:r>
        <w:t>lerfu</w:t>
      </w:r>
      <w:r>
        <w:noBreakHyphen/>
        <w:t xml:space="preserve">word  [PA  </w:t>
      </w:r>
      <w:r>
        <w:rPr>
          <w:b/>
          <w:bCs/>
          <w:sz w:val="22"/>
          <w:szCs w:val="22"/>
        </w:rPr>
        <w:t>|</w:t>
      </w:r>
      <w:r>
        <w:t xml:space="preserve">  lerfu</w:t>
      </w:r>
      <w:r>
        <w:noBreakHyphen/>
        <w:t>word]</w:t>
      </w:r>
      <w:r>
        <w:rPr>
          <w:rStyle w:val="htmlcodes"/>
        </w:rPr>
        <w:t>&lt;dots&gt;</w:t>
      </w:r>
      <w:r>
        <w:t>…</w:t>
      </w:r>
      <w:r>
        <w:rPr>
          <w:rStyle w:val="htmlcodes"/>
        </w:rPr>
        <w:t>&lt;/dots&gt;</w:t>
      </w:r>
    </w:p>
    <w:p w:rsidR="00B72047" w:rsidRDefault="00B72047">
      <w:pPr>
        <w:pStyle w:val="EBNF"/>
      </w:pPr>
      <w:r>
        <w:rPr>
          <w:rStyle w:val="htmlcodes"/>
        </w:rPr>
        <w:t>&lt;a name=b987&gt;&lt;/a&gt;&lt;a href=#y987&gt;&lt;dt&gt;</w:t>
      </w:r>
      <w:r>
        <w:t>lerfu</w:t>
      </w:r>
      <w:r>
        <w:noBreakHyphen/>
        <w:t>word</w:t>
      </w:r>
      <w:r>
        <w:rPr>
          <w:rStyle w:val="htmlcodes"/>
        </w:rPr>
        <w:t>&lt;/a&gt;&lt;sub&gt;</w:t>
      </w:r>
      <w:r>
        <w:rPr>
          <w:rStyle w:val="subscript"/>
        </w:rPr>
        <w:t>987</w:t>
      </w:r>
      <w:r>
        <w:rPr>
          <w:rStyle w:val="htmlcodes"/>
        </w:rPr>
        <w:t>&lt;/sub&gt;</w:t>
      </w:r>
      <w:r>
        <w:t>=</w:t>
      </w:r>
      <w:r>
        <w:tab/>
      </w:r>
      <w:r>
        <w:rPr>
          <w:rStyle w:val="htmlcodes"/>
        </w:rPr>
        <w:t>&lt;dd&gt;</w:t>
      </w:r>
      <w:r>
        <w:t>BY</w:t>
      </w:r>
      <w:r>
        <w:rPr>
          <w:rStyle w:val="htmlcodes"/>
        </w:rPr>
        <w:t>&lt;br&gt;</w:t>
      </w:r>
      <w:r>
        <w:t xml:space="preserve">  </w:t>
      </w:r>
      <w:r>
        <w:rPr>
          <w:b/>
          <w:bCs/>
          <w:sz w:val="22"/>
          <w:szCs w:val="22"/>
        </w:rPr>
        <w:t>|</w:t>
      </w:r>
      <w:r>
        <w:t xml:space="preserve">  any</w:t>
      </w:r>
      <w:r>
        <w:noBreakHyphen/>
        <w:t>word  BU</w:t>
      </w:r>
      <w:r>
        <w:rPr>
          <w:rStyle w:val="htmlcodes"/>
        </w:rPr>
        <w:t>&lt;br&gt;</w:t>
      </w:r>
      <w:r>
        <w:t xml:space="preserve">  </w:t>
      </w:r>
      <w:r>
        <w:rPr>
          <w:b/>
          <w:bCs/>
          <w:sz w:val="22"/>
          <w:szCs w:val="22"/>
        </w:rPr>
        <w:t>|</w:t>
      </w:r>
      <w:r>
        <w:t xml:space="preserve">  LAU  lerfu</w:t>
      </w:r>
      <w:r>
        <w:noBreakHyphen/>
        <w:t>word</w:t>
      </w:r>
      <w:r>
        <w:rPr>
          <w:rStyle w:val="htmlcodes"/>
        </w:rPr>
        <w:t>&lt;br&gt;</w:t>
      </w:r>
      <w:r>
        <w:t xml:space="preserve">  </w:t>
      </w:r>
      <w:r>
        <w:rPr>
          <w:b/>
          <w:bCs/>
          <w:sz w:val="22"/>
          <w:szCs w:val="22"/>
        </w:rPr>
        <w:t>|</w:t>
      </w:r>
      <w:r>
        <w:t xml:space="preserve">  </w:t>
      </w:r>
    </w:p>
    <w:p w:rsidR="00B72047" w:rsidRDefault="00B72047">
      <w:pPr>
        <w:pStyle w:val="EBNF"/>
      </w:pPr>
      <w:r>
        <w:tab/>
      </w:r>
      <w:r>
        <w:tab/>
      </w:r>
      <w:r>
        <w:tab/>
        <w:t>TEI  lerfu</w:t>
      </w:r>
      <w:r>
        <w:noBreakHyphen/>
        <w:t>string  FOI</w:t>
      </w:r>
    </w:p>
    <w:p w:rsidR="00B72047" w:rsidRDefault="00B72047">
      <w:pPr>
        <w:pStyle w:val="EBNF"/>
      </w:pPr>
      <w:r>
        <w:rPr>
          <w:rStyle w:val="htmlcodes"/>
        </w:rPr>
        <w:t>&lt;a name=b802&gt;&lt;/a&gt;&lt;a href=#y802&gt;&lt;dt&gt;</w:t>
      </w:r>
      <w:r>
        <w:t>ek</w:t>
      </w:r>
      <w:r>
        <w:rPr>
          <w:rStyle w:val="htmlcodes"/>
        </w:rPr>
        <w:t>&lt;/a&gt;&lt;sub&gt;</w:t>
      </w:r>
      <w:r>
        <w:rPr>
          <w:rStyle w:val="subscript"/>
        </w:rPr>
        <w:t>802</w:t>
      </w:r>
      <w:r>
        <w:rPr>
          <w:rStyle w:val="htmlcodes"/>
        </w:rPr>
        <w:t>&lt;/sub&gt;</w:t>
      </w:r>
      <w:r>
        <w:t>=</w:t>
      </w:r>
      <w:r>
        <w:tab/>
      </w:r>
      <w:r>
        <w:rPr>
          <w:rStyle w:val="htmlcodes"/>
        </w:rPr>
        <w:t>&lt;dd&gt;</w:t>
      </w:r>
      <w:r>
        <w:t>[NA]  [SE]  A  [NAI]</w:t>
      </w:r>
    </w:p>
    <w:p w:rsidR="00B72047" w:rsidRDefault="00B72047">
      <w:pPr>
        <w:pStyle w:val="EBNF"/>
      </w:pPr>
      <w:r>
        <w:rPr>
          <w:rStyle w:val="htmlcodes"/>
        </w:rPr>
        <w:t>&lt;a name=b818&gt;&lt;/a&gt;&lt;a href=#y818&gt;&lt;dt&gt;</w:t>
      </w:r>
      <w:r>
        <w:t>gihek</w:t>
      </w:r>
      <w:r>
        <w:rPr>
          <w:rStyle w:val="htmlcodes"/>
        </w:rPr>
        <w:t>&lt;/a&gt;&lt;sub&gt;</w:t>
      </w:r>
      <w:r>
        <w:rPr>
          <w:rStyle w:val="subscript"/>
        </w:rPr>
        <w:t>818</w:t>
      </w:r>
      <w:r>
        <w:rPr>
          <w:rStyle w:val="htmlcodes"/>
        </w:rPr>
        <w:t>&lt;/sub&gt;</w:t>
      </w:r>
      <w:r>
        <w:t>=</w:t>
      </w:r>
      <w:r>
        <w:tab/>
      </w:r>
      <w:r>
        <w:rPr>
          <w:rStyle w:val="htmlcodes"/>
        </w:rPr>
        <w:t>&lt;dd&gt;</w:t>
      </w:r>
      <w:r>
        <w:t>[NA]  [SE]  GIhA  [NAI]</w:t>
      </w:r>
    </w:p>
    <w:p w:rsidR="00B72047" w:rsidRDefault="00B72047">
      <w:pPr>
        <w:pStyle w:val="EBNF"/>
      </w:pPr>
      <w:r>
        <w:rPr>
          <w:rStyle w:val="htmlcodes"/>
        </w:rPr>
        <w:t>&lt;a name=b805&gt;&lt;/a&gt;&lt;a href=#y805&gt;&lt;dt&gt;</w:t>
      </w:r>
      <w:r>
        <w:t>jek</w:t>
      </w:r>
      <w:r>
        <w:rPr>
          <w:rStyle w:val="htmlcodes"/>
        </w:rPr>
        <w:t>&lt;/a&gt;&lt;sub&gt;</w:t>
      </w:r>
      <w:r>
        <w:rPr>
          <w:rStyle w:val="subscript"/>
        </w:rPr>
        <w:t>805</w:t>
      </w:r>
      <w:r>
        <w:rPr>
          <w:rStyle w:val="htmlcodes"/>
        </w:rPr>
        <w:t>&lt;/sub&gt;</w:t>
      </w:r>
      <w:r>
        <w:t>=</w:t>
      </w:r>
      <w:r>
        <w:tab/>
      </w:r>
      <w:r>
        <w:rPr>
          <w:rStyle w:val="htmlcodes"/>
        </w:rPr>
        <w:t>&lt;dd&gt;</w:t>
      </w:r>
      <w:r>
        <w:t>[NA]  [SE]  JA  [NAI]</w:t>
      </w:r>
    </w:p>
    <w:p w:rsidR="00B72047" w:rsidRDefault="00B72047">
      <w:pPr>
        <w:pStyle w:val="EBNF"/>
      </w:pPr>
      <w:r>
        <w:rPr>
          <w:rStyle w:val="htmlcodes"/>
        </w:rPr>
        <w:t>&lt;a name=b806&gt;&lt;/a&gt;&lt;a href=#y806&gt;&lt;dt&gt;</w:t>
      </w:r>
      <w:r>
        <w:t>joik</w:t>
      </w:r>
      <w:r>
        <w:rPr>
          <w:rStyle w:val="htmlcodes"/>
        </w:rPr>
        <w:t>&lt;/a&gt;&lt;sub&gt;</w:t>
      </w:r>
      <w:r>
        <w:rPr>
          <w:rStyle w:val="subscript"/>
        </w:rPr>
        <w:t>806</w:t>
      </w:r>
      <w:r>
        <w:rPr>
          <w:rStyle w:val="htmlcodes"/>
        </w:rPr>
        <w:t>&lt;/sub&gt;</w:t>
      </w:r>
      <w:r>
        <w:t>=</w:t>
      </w:r>
      <w:r>
        <w:tab/>
      </w:r>
      <w:r>
        <w:rPr>
          <w:rStyle w:val="htmlcodes"/>
        </w:rPr>
        <w:t>&lt;dd&gt;</w:t>
      </w:r>
      <w:r>
        <w:t>[SE]  JOI  [NAI]</w:t>
      </w:r>
      <w:r>
        <w:rPr>
          <w:rStyle w:val="htmlcodes"/>
        </w:rPr>
        <w:t>&lt;br&gt;</w:t>
      </w:r>
      <w:r>
        <w:t xml:space="preserve">  </w:t>
      </w:r>
      <w:r>
        <w:rPr>
          <w:b/>
          <w:bCs/>
          <w:sz w:val="22"/>
          <w:szCs w:val="22"/>
        </w:rPr>
        <w:t>|</w:t>
      </w:r>
      <w:r>
        <w:t xml:space="preserve">  interval</w:t>
      </w:r>
      <w:r>
        <w:rPr>
          <w:rStyle w:val="htmlcodes"/>
        </w:rPr>
        <w:t>&lt;br&gt;</w:t>
      </w:r>
      <w:r>
        <w:t xml:space="preserve">  </w:t>
      </w:r>
      <w:r>
        <w:rPr>
          <w:b/>
          <w:bCs/>
          <w:sz w:val="22"/>
          <w:szCs w:val="22"/>
        </w:rPr>
        <w:t>|</w:t>
      </w:r>
      <w:r>
        <w:t xml:space="preserve">  GAhO  interval  GAhO</w:t>
      </w:r>
    </w:p>
    <w:p w:rsidR="00B72047" w:rsidRDefault="00B72047">
      <w:pPr>
        <w:pStyle w:val="EBNF"/>
      </w:pPr>
      <w:r>
        <w:rPr>
          <w:rStyle w:val="htmlcodes"/>
        </w:rPr>
        <w:t>&lt;a name=b932&gt;&lt;/a&gt;&lt;a href=#y932&gt;&lt;dt&gt;</w:t>
      </w:r>
      <w:r>
        <w:t>interval</w:t>
      </w:r>
      <w:r>
        <w:rPr>
          <w:rStyle w:val="htmlcodes"/>
        </w:rPr>
        <w:t>&lt;/a&gt;&lt;sub&gt;</w:t>
      </w:r>
      <w:r>
        <w:rPr>
          <w:rStyle w:val="subscript"/>
        </w:rPr>
        <w:t>932</w:t>
      </w:r>
      <w:r>
        <w:rPr>
          <w:rStyle w:val="htmlcodes"/>
        </w:rPr>
        <w:t>&lt;/sub&gt;</w:t>
      </w:r>
      <w:r>
        <w:t>=</w:t>
      </w:r>
      <w:r>
        <w:tab/>
      </w:r>
      <w:r>
        <w:rPr>
          <w:rStyle w:val="htmlcodes"/>
        </w:rPr>
        <w:t>&lt;dd&gt;</w:t>
      </w:r>
      <w:r>
        <w:t>[SE]  BIhI  [NAI]</w:t>
      </w:r>
    </w:p>
    <w:p w:rsidR="00B72047" w:rsidRDefault="00B72047">
      <w:pPr>
        <w:pStyle w:val="EBNF"/>
      </w:pPr>
      <w:r>
        <w:rPr>
          <w:rStyle w:val="htmlcodes"/>
        </w:rPr>
        <w:t>&lt;a name=b421&gt;&lt;/a&gt;&lt;a href=#y421&gt;&lt;dt&gt;</w:t>
      </w:r>
      <w:r>
        <w:t>joik</w:t>
      </w:r>
      <w:r>
        <w:noBreakHyphen/>
        <w:t>ek</w:t>
      </w:r>
      <w:r>
        <w:rPr>
          <w:rStyle w:val="htmlcodes"/>
        </w:rPr>
        <w:t>&lt;/a&gt;&lt;sub&gt;</w:t>
      </w:r>
      <w:r>
        <w:rPr>
          <w:rStyle w:val="subscript"/>
        </w:rPr>
        <w:t>421</w:t>
      </w:r>
      <w:r>
        <w:rPr>
          <w:rStyle w:val="htmlcodes"/>
        </w:rPr>
        <w:t>&lt;/sub&gt;</w:t>
      </w:r>
      <w:r>
        <w:t>=</w:t>
      </w:r>
      <w:r>
        <w:tab/>
      </w:r>
      <w:r>
        <w:rPr>
          <w:rStyle w:val="htmlcodes"/>
        </w:rPr>
        <w:t>&lt;dd&gt;</w:t>
      </w:r>
      <w:r>
        <w:t>joik #</w:t>
      </w:r>
      <w:r>
        <w:rPr>
          <w:rStyle w:val="htmlcodes"/>
        </w:rPr>
        <w:t>&lt;br&gt;</w:t>
      </w:r>
      <w:r>
        <w:t xml:space="preserve">  </w:t>
      </w:r>
      <w:r>
        <w:rPr>
          <w:b/>
          <w:bCs/>
          <w:sz w:val="22"/>
          <w:szCs w:val="22"/>
        </w:rPr>
        <w:t>|</w:t>
      </w:r>
      <w:r>
        <w:t xml:space="preserve">  ek #</w:t>
      </w:r>
    </w:p>
    <w:p w:rsidR="00B72047" w:rsidRDefault="00B72047">
      <w:pPr>
        <w:pStyle w:val="EBNF"/>
      </w:pPr>
      <w:r>
        <w:rPr>
          <w:rStyle w:val="htmlcodes"/>
        </w:rPr>
        <w:t>&lt;a name=b422&gt;&lt;/a&gt;&lt;a href=#y422&gt;&lt;dt&gt;</w:t>
      </w:r>
      <w:r>
        <w:t>joik</w:t>
      </w:r>
      <w:r>
        <w:noBreakHyphen/>
        <w:t>jek</w:t>
      </w:r>
      <w:r>
        <w:rPr>
          <w:rStyle w:val="htmlcodes"/>
        </w:rPr>
        <w:t>&lt;/a&gt;&lt;sub&gt;</w:t>
      </w:r>
      <w:r>
        <w:rPr>
          <w:rStyle w:val="subscript"/>
        </w:rPr>
        <w:t>422</w:t>
      </w:r>
      <w:r>
        <w:rPr>
          <w:rStyle w:val="htmlcodes"/>
        </w:rPr>
        <w:t>&lt;/sub&gt;</w:t>
      </w:r>
      <w:r>
        <w:t>=</w:t>
      </w:r>
      <w:r>
        <w:tab/>
      </w:r>
      <w:r>
        <w:rPr>
          <w:rStyle w:val="htmlcodes"/>
        </w:rPr>
        <w:t>&lt;dd&gt;</w:t>
      </w:r>
      <w:r>
        <w:t>joik #</w:t>
      </w:r>
      <w:r>
        <w:rPr>
          <w:rStyle w:val="htmlcodes"/>
        </w:rPr>
        <w:t>&lt;br&gt;</w:t>
      </w:r>
      <w:r>
        <w:t xml:space="preserve">  </w:t>
      </w:r>
      <w:r>
        <w:rPr>
          <w:b/>
          <w:bCs/>
          <w:sz w:val="22"/>
          <w:szCs w:val="22"/>
        </w:rPr>
        <w:t>|</w:t>
      </w:r>
      <w:r>
        <w:t xml:space="preserve">  jek #</w:t>
      </w:r>
    </w:p>
    <w:p w:rsidR="00B72047" w:rsidRDefault="00B72047">
      <w:pPr>
        <w:pStyle w:val="EBNF"/>
      </w:pPr>
      <w:r>
        <w:rPr>
          <w:rStyle w:val="htmlcodes"/>
        </w:rPr>
        <w:t>&lt;a name=b807&gt;&lt;/a&gt;&lt;a href=#y807&gt;&lt;dt&gt;</w:t>
      </w:r>
      <w:r>
        <w:t>gek</w:t>
      </w:r>
      <w:r>
        <w:rPr>
          <w:rStyle w:val="htmlcodes"/>
        </w:rPr>
        <w:t>&lt;/a&gt;&lt;sub&gt;</w:t>
      </w:r>
      <w:r>
        <w:rPr>
          <w:rStyle w:val="subscript"/>
        </w:rPr>
        <w:t>807</w:t>
      </w:r>
      <w:r>
        <w:rPr>
          <w:rStyle w:val="htmlcodes"/>
        </w:rPr>
        <w:t>&lt;/sub&gt;</w:t>
      </w:r>
      <w:r>
        <w:t>=</w:t>
      </w:r>
      <w:r>
        <w:tab/>
      </w:r>
      <w:r>
        <w:rPr>
          <w:rStyle w:val="htmlcodes"/>
        </w:rPr>
        <w:t>&lt;dd&gt;</w:t>
      </w:r>
      <w:r>
        <w:t>[SE]  GA  [NAI] #</w:t>
      </w:r>
      <w:r>
        <w:rPr>
          <w:rStyle w:val="htmlcodes"/>
        </w:rPr>
        <w:t>&lt;br&gt;</w:t>
      </w:r>
      <w:r>
        <w:t xml:space="preserve">  </w:t>
      </w:r>
      <w:r>
        <w:rPr>
          <w:b/>
          <w:bCs/>
          <w:sz w:val="22"/>
          <w:szCs w:val="22"/>
        </w:rPr>
        <w:t>|</w:t>
      </w:r>
      <w:r>
        <w:t xml:space="preserve">  joik  GI #</w:t>
      </w:r>
      <w:r>
        <w:rPr>
          <w:rStyle w:val="htmlcodes"/>
        </w:rPr>
        <w:t>&lt;br&gt;</w:t>
      </w:r>
      <w:r>
        <w:t xml:space="preserve">  </w:t>
      </w:r>
      <w:r>
        <w:rPr>
          <w:b/>
          <w:bCs/>
          <w:sz w:val="22"/>
          <w:szCs w:val="22"/>
        </w:rPr>
        <w:t>|</w:t>
      </w:r>
      <w:r>
        <w:t xml:space="preserve">  stag  gik</w:t>
      </w:r>
    </w:p>
    <w:p w:rsidR="00B72047" w:rsidRDefault="00B72047">
      <w:pPr>
        <w:pStyle w:val="EBNF"/>
      </w:pPr>
      <w:r>
        <w:rPr>
          <w:rStyle w:val="htmlcodes"/>
        </w:rPr>
        <w:t>&lt;a name=b808&gt;&lt;/a&gt;&lt;a href=#y808&gt;&lt;dt&gt;</w:t>
      </w:r>
      <w:r>
        <w:t>guhek</w:t>
      </w:r>
      <w:r>
        <w:rPr>
          <w:rStyle w:val="htmlcodes"/>
        </w:rPr>
        <w:t>&lt;/a&gt;&lt;sub&gt;</w:t>
      </w:r>
      <w:r>
        <w:rPr>
          <w:rStyle w:val="subscript"/>
        </w:rPr>
        <w:t>808</w:t>
      </w:r>
      <w:r>
        <w:rPr>
          <w:rStyle w:val="htmlcodes"/>
        </w:rPr>
        <w:t>&lt;/sub&gt;</w:t>
      </w:r>
      <w:r>
        <w:t>=</w:t>
      </w:r>
      <w:r>
        <w:tab/>
      </w:r>
      <w:r>
        <w:rPr>
          <w:rStyle w:val="htmlcodes"/>
        </w:rPr>
        <w:t>&lt;dd&gt;</w:t>
      </w:r>
      <w:r>
        <w:t>[SE]  GUhA  [NAI] #</w:t>
      </w:r>
    </w:p>
    <w:p w:rsidR="00B72047" w:rsidRDefault="00B72047">
      <w:pPr>
        <w:pStyle w:val="EBNF"/>
      </w:pPr>
      <w:r>
        <w:rPr>
          <w:rStyle w:val="htmlcodes"/>
        </w:rPr>
        <w:t>&lt;a name=b816&gt;&lt;/a&gt;&lt;a href=#y816&gt;&lt;dt&gt;</w:t>
      </w:r>
      <w:r>
        <w:t>gik</w:t>
      </w:r>
      <w:r>
        <w:rPr>
          <w:rStyle w:val="htmlcodes"/>
        </w:rPr>
        <w:t>&lt;/a&gt;&lt;sub&gt;</w:t>
      </w:r>
      <w:r>
        <w:rPr>
          <w:rStyle w:val="subscript"/>
        </w:rPr>
        <w:t>816</w:t>
      </w:r>
      <w:r>
        <w:rPr>
          <w:rStyle w:val="htmlcodes"/>
        </w:rPr>
        <w:t>&lt;/sub&gt;</w:t>
      </w:r>
      <w:r>
        <w:t>=</w:t>
      </w:r>
      <w:r>
        <w:tab/>
      </w:r>
      <w:r>
        <w:rPr>
          <w:rStyle w:val="htmlcodes"/>
        </w:rPr>
        <w:t>&lt;dd&gt;</w:t>
      </w:r>
      <w:r>
        <w:t>GI  [NAI] #</w:t>
      </w:r>
    </w:p>
    <w:p w:rsidR="00B72047" w:rsidRDefault="00B72047">
      <w:pPr>
        <w:pStyle w:val="EBNF"/>
      </w:pPr>
      <w:r>
        <w:rPr>
          <w:rStyle w:val="htmlcodes"/>
        </w:rPr>
        <w:t>&lt;a name=b491&gt;&lt;/a&gt;&lt;a href=#y491&gt;&lt;dt&gt;</w:t>
      </w:r>
      <w:r>
        <w:t>tag</w:t>
      </w:r>
      <w:r>
        <w:rPr>
          <w:rStyle w:val="htmlcodes"/>
        </w:rPr>
        <w:t>&lt;/a&gt;&lt;sub&gt;</w:t>
      </w:r>
      <w:r>
        <w:rPr>
          <w:rStyle w:val="subscript"/>
        </w:rPr>
        <w:t>491</w:t>
      </w:r>
      <w:r>
        <w:rPr>
          <w:rStyle w:val="htmlcodes"/>
        </w:rPr>
        <w:t>&lt;/sub&gt;</w:t>
      </w:r>
      <w:r>
        <w:t>=</w:t>
      </w:r>
      <w:r>
        <w:tab/>
      </w:r>
      <w:r>
        <w:rPr>
          <w:rStyle w:val="htmlcodes"/>
        </w:rPr>
        <w:t>&lt;dd&gt;</w:t>
      </w:r>
      <w:r>
        <w:t>tense</w:t>
      </w:r>
      <w:r>
        <w:noBreakHyphen/>
        <w:t>modal  [joik</w:t>
      </w:r>
      <w:r>
        <w:noBreakHyphen/>
        <w:t>jek  tense</w:t>
      </w:r>
      <w:r>
        <w:noBreakHyphen/>
        <w:t>modal]</w:t>
      </w:r>
      <w:r>
        <w:rPr>
          <w:rStyle w:val="htmlcodes"/>
        </w:rPr>
        <w:t>&lt;dots&gt;</w:t>
      </w:r>
      <w:r>
        <w:t>…</w:t>
      </w:r>
      <w:r>
        <w:rPr>
          <w:rStyle w:val="htmlcodes"/>
        </w:rPr>
        <w:t>&lt;/dots&gt;</w:t>
      </w:r>
    </w:p>
    <w:p w:rsidR="00B72047" w:rsidRDefault="00B72047">
      <w:pPr>
        <w:pStyle w:val="EBNF"/>
      </w:pPr>
      <w:r>
        <w:rPr>
          <w:rStyle w:val="htmlcodes"/>
        </w:rPr>
        <w:t>&lt;a name=b971&gt;&lt;/a&gt;&lt;a href=#y971&gt;&lt;dt&gt;</w:t>
      </w:r>
      <w:r>
        <w:t>stag</w:t>
      </w:r>
      <w:r>
        <w:rPr>
          <w:rStyle w:val="htmlcodes"/>
        </w:rPr>
        <w:t>&lt;/a&gt;&lt;sub&gt;</w:t>
      </w:r>
      <w:r>
        <w:rPr>
          <w:rStyle w:val="subscript"/>
        </w:rPr>
        <w:t>971</w:t>
      </w:r>
      <w:r>
        <w:rPr>
          <w:rStyle w:val="htmlcodes"/>
        </w:rPr>
        <w:t>&lt;/sub&gt;</w:t>
      </w:r>
      <w:r>
        <w:t>=</w:t>
      </w:r>
      <w:r>
        <w:tab/>
      </w:r>
      <w:r>
        <w:rPr>
          <w:rStyle w:val="htmlcodes"/>
        </w:rPr>
        <w:t>&lt;dd&gt;</w:t>
      </w:r>
      <w:r>
        <w:t>simple</w:t>
      </w:r>
      <w:r>
        <w:noBreakHyphen/>
        <w:t>tense</w:t>
      </w:r>
      <w:r>
        <w:noBreakHyphen/>
        <w:t xml:space="preserve">modal  [(jek  </w:t>
      </w:r>
      <w:r>
        <w:rPr>
          <w:b/>
          <w:bCs/>
          <w:sz w:val="22"/>
          <w:szCs w:val="22"/>
        </w:rPr>
        <w:t>|</w:t>
      </w:r>
      <w:r>
        <w:t xml:space="preserve">  joik)  simple</w:t>
      </w:r>
      <w:r>
        <w:noBreakHyphen/>
        <w:t>tense</w:t>
      </w:r>
      <w:r>
        <w:noBreakHyphen/>
        <w:t>modal]</w:t>
      </w:r>
      <w:r>
        <w:rPr>
          <w:rStyle w:val="htmlcodes"/>
        </w:rPr>
        <w:t>&lt;dots&gt;</w:t>
      </w:r>
      <w:r>
        <w:t>…</w:t>
      </w:r>
      <w:r>
        <w:rPr>
          <w:rStyle w:val="htmlcodes"/>
        </w:rPr>
        <w:t>&lt;/dots&gt;</w:t>
      </w:r>
    </w:p>
    <w:p w:rsidR="00B72047" w:rsidRDefault="00B72047">
      <w:pPr>
        <w:pStyle w:val="EBNF"/>
      </w:pPr>
      <w:r>
        <w:rPr>
          <w:rStyle w:val="htmlcodes"/>
        </w:rPr>
        <w:t>&lt;a name=b815&gt;&lt;/a&gt;&lt;a href=#y815&gt;&lt;dt&gt;</w:t>
      </w:r>
      <w:r>
        <w:t>tense</w:t>
      </w:r>
      <w:r>
        <w:noBreakHyphen/>
        <w:t>modal</w:t>
      </w:r>
      <w:r>
        <w:rPr>
          <w:rStyle w:val="htmlcodes"/>
        </w:rPr>
        <w:t>&lt;/a&gt;&lt;sub&gt;</w:t>
      </w:r>
      <w:r>
        <w:rPr>
          <w:rStyle w:val="subscript"/>
        </w:rPr>
        <w:t>815</w:t>
      </w:r>
      <w:r>
        <w:rPr>
          <w:rStyle w:val="htmlcodes"/>
        </w:rPr>
        <w:t>&lt;/sub&gt;</w:t>
      </w:r>
      <w:r>
        <w:t>=</w:t>
      </w:r>
      <w:r>
        <w:tab/>
      </w:r>
      <w:r>
        <w:rPr>
          <w:rStyle w:val="htmlcodes"/>
        </w:rPr>
        <w:t>&lt;dd&gt;</w:t>
      </w:r>
      <w:r>
        <w:t>simple</w:t>
      </w:r>
      <w:r>
        <w:noBreakHyphen/>
        <w:t>tense</w:t>
      </w:r>
      <w:r>
        <w:noBreakHyphen/>
        <w:t>modal #</w:t>
      </w:r>
      <w:r>
        <w:rPr>
          <w:rStyle w:val="htmlcodes"/>
        </w:rPr>
        <w:t>&lt;br&gt;</w:t>
      </w:r>
      <w:r>
        <w:t xml:space="preserve">  </w:t>
      </w:r>
      <w:r>
        <w:rPr>
          <w:b/>
          <w:bCs/>
          <w:sz w:val="22"/>
          <w:szCs w:val="22"/>
        </w:rPr>
        <w:t>|</w:t>
      </w:r>
      <w:r>
        <w:t xml:space="preserve">  FIhO #  selbri  /FEhU#/</w:t>
      </w:r>
    </w:p>
    <w:p w:rsidR="00B72047" w:rsidRDefault="00B72047">
      <w:pPr>
        <w:pStyle w:val="EBNF"/>
      </w:pPr>
      <w:r>
        <w:rPr>
          <w:rStyle w:val="htmlcodes"/>
        </w:rPr>
        <w:t>&lt;a name=b972&gt;&lt;/a&gt;&lt;a href=#y972&gt;&lt;dt&gt;</w:t>
      </w:r>
      <w:r>
        <w:t>simple</w:t>
      </w:r>
      <w:r>
        <w:noBreakHyphen/>
        <w:t>tense</w:t>
      </w:r>
      <w:r>
        <w:noBreakHyphen/>
        <w:t>modal</w:t>
      </w:r>
      <w:r>
        <w:rPr>
          <w:rStyle w:val="htmlcodes"/>
        </w:rPr>
        <w:t>&lt;/a&gt;&lt;sub&gt;</w:t>
      </w:r>
      <w:r>
        <w:rPr>
          <w:rStyle w:val="subscript"/>
        </w:rPr>
        <w:t>972</w:t>
      </w:r>
      <w:r>
        <w:rPr>
          <w:rStyle w:val="htmlcodes"/>
        </w:rPr>
        <w:t>&lt;/sub&gt;</w:t>
      </w:r>
      <w:r>
        <w:t>=</w:t>
      </w:r>
      <w:r>
        <w:tab/>
      </w:r>
      <w:r>
        <w:rPr>
          <w:rStyle w:val="htmlcodes"/>
        </w:rPr>
        <w:t>&lt;dd&gt;</w:t>
      </w:r>
      <w:r>
        <w:t>[NAhE]  [SE]  BAI  [NAI]  [KI]</w:t>
      </w:r>
      <w:r>
        <w:rPr>
          <w:rStyle w:val="htmlcodes"/>
        </w:rPr>
        <w:t>&lt;br&gt;</w:t>
      </w:r>
      <w:r>
        <w:t xml:space="preserve">  </w:t>
      </w:r>
      <w:r>
        <w:rPr>
          <w:b/>
          <w:bCs/>
          <w:sz w:val="22"/>
          <w:szCs w:val="22"/>
        </w:rPr>
        <w:t>|</w:t>
      </w:r>
      <w:r>
        <w:t xml:space="preserve">  [NAhE]  (time  [space]</w:t>
      </w:r>
      <w:r>
        <w:rPr>
          <w:rStyle w:val="htmlcodes"/>
        </w:rPr>
        <w:t>&lt;br&gt;</w:t>
      </w:r>
      <w:r>
        <w:t xml:space="preserve">  </w:t>
      </w:r>
      <w:r>
        <w:rPr>
          <w:b/>
          <w:bCs/>
          <w:sz w:val="22"/>
          <w:szCs w:val="22"/>
        </w:rPr>
        <w:t>|</w:t>
      </w:r>
      <w:r>
        <w:t xml:space="preserve">  space  [time])  &amp;  CAhA  [KI]</w:t>
      </w:r>
      <w:r>
        <w:rPr>
          <w:rStyle w:val="htmlcodes"/>
        </w:rPr>
        <w:t>&lt;br&gt;</w:t>
      </w:r>
      <w:r>
        <w:t xml:space="preserve">  </w:t>
      </w:r>
      <w:r>
        <w:rPr>
          <w:b/>
          <w:bCs/>
          <w:sz w:val="22"/>
          <w:szCs w:val="22"/>
        </w:rPr>
        <w:t>|</w:t>
      </w:r>
      <w:r>
        <w:t xml:space="preserve">  KI</w:t>
      </w:r>
      <w:r>
        <w:rPr>
          <w:rStyle w:val="htmlcodes"/>
        </w:rPr>
        <w:t>&lt;br&gt;</w:t>
      </w:r>
      <w:r>
        <w:t xml:space="preserve">  </w:t>
      </w:r>
      <w:r>
        <w:rPr>
          <w:rStyle w:val="htmlcodes"/>
        </w:rPr>
        <w:t>|</w:t>
      </w:r>
      <w:r>
        <w:t xml:space="preserve">  CUhE</w:t>
      </w:r>
    </w:p>
    <w:p w:rsidR="00B72047" w:rsidRDefault="00B72047">
      <w:pPr>
        <w:pStyle w:val="EBNF"/>
      </w:pPr>
      <w:r>
        <w:rPr>
          <w:rStyle w:val="htmlcodes"/>
        </w:rPr>
        <w:t>&lt;a name=b1030&gt;&lt;/a&gt;&lt;a href=#y1030&gt;&lt;dt&gt;</w:t>
      </w:r>
      <w:r>
        <w:t>time</w:t>
      </w:r>
      <w:r>
        <w:rPr>
          <w:rStyle w:val="htmlcodes"/>
        </w:rPr>
        <w:t>&lt;/a&gt;&lt;sub&gt;</w:t>
      </w:r>
      <w:r>
        <w:rPr>
          <w:rStyle w:val="subscript"/>
        </w:rPr>
        <w:t>1030</w:t>
      </w:r>
      <w:r>
        <w:rPr>
          <w:rStyle w:val="htmlcodes"/>
        </w:rPr>
        <w:t>&lt;/sub&gt;</w:t>
      </w:r>
      <w:r>
        <w:t>=</w:t>
      </w:r>
      <w:r>
        <w:tab/>
      </w:r>
      <w:r>
        <w:rPr>
          <w:rStyle w:val="htmlcodes"/>
        </w:rPr>
        <w:t>&lt;dd&gt;</w:t>
      </w:r>
      <w:r>
        <w:t>ZI  &amp;  time</w:t>
      </w:r>
      <w:r>
        <w:noBreakHyphen/>
        <w:t>offset</w:t>
      </w:r>
      <w:r>
        <w:rPr>
          <w:rStyle w:val="htmlcodes"/>
        </w:rPr>
        <w:t>&lt;dots&gt;</w:t>
      </w:r>
      <w:r>
        <w:t xml:space="preserve">…  </w:t>
      </w:r>
      <w:r>
        <w:rPr>
          <w:rStyle w:val="htmlcodes"/>
        </w:rPr>
        <w:t>&lt;/dots&gt;</w:t>
      </w:r>
      <w:r>
        <w:t>&amp;  ZEhA  [PU  [NAI]]  &amp;  inte</w:t>
      </w:r>
      <w:r>
        <w:t>r</w:t>
      </w:r>
      <w:r>
        <w:t>val</w:t>
      </w:r>
      <w:r>
        <w:noBreakHyphen/>
        <w:t>property</w:t>
      </w:r>
      <w:r>
        <w:rPr>
          <w:rStyle w:val="htmlcodes"/>
        </w:rPr>
        <w:t>&lt;dots&gt;</w:t>
      </w:r>
      <w:r>
        <w:t>…</w:t>
      </w:r>
      <w:r>
        <w:rPr>
          <w:rStyle w:val="htmlcodes"/>
        </w:rPr>
        <w:t>&lt;/dots&gt;</w:t>
      </w:r>
    </w:p>
    <w:p w:rsidR="00B72047" w:rsidRDefault="00B72047">
      <w:pPr>
        <w:pStyle w:val="EBNF"/>
      </w:pPr>
      <w:r>
        <w:rPr>
          <w:rStyle w:val="htmlcodes"/>
        </w:rPr>
        <w:t>&lt;a name=b1033&gt;&lt;/a&gt;&lt;a href=#y1033&gt;&lt;dt&gt;</w:t>
      </w:r>
      <w:r>
        <w:t>time</w:t>
      </w:r>
      <w:r>
        <w:noBreakHyphen/>
        <w:t>offset</w:t>
      </w:r>
      <w:r>
        <w:rPr>
          <w:rStyle w:val="htmlcodes"/>
        </w:rPr>
        <w:t>&lt;/a&gt;&lt;sub&gt;</w:t>
      </w:r>
      <w:r>
        <w:rPr>
          <w:rStyle w:val="subscript"/>
        </w:rPr>
        <w:t>1033</w:t>
      </w:r>
      <w:r>
        <w:rPr>
          <w:rStyle w:val="htmlcodes"/>
        </w:rPr>
        <w:t>&lt;/sub&gt;</w:t>
      </w:r>
      <w:r>
        <w:t>=</w:t>
      </w:r>
      <w:r>
        <w:tab/>
      </w:r>
      <w:r>
        <w:rPr>
          <w:rStyle w:val="htmlcodes"/>
        </w:rPr>
        <w:t>&lt;dd&gt;</w:t>
      </w:r>
      <w:r>
        <w:t>PU  [NAI]  [ZI]</w:t>
      </w:r>
    </w:p>
    <w:p w:rsidR="00B72047" w:rsidRDefault="00B72047">
      <w:pPr>
        <w:pStyle w:val="EBNF"/>
      </w:pPr>
      <w:r>
        <w:rPr>
          <w:rStyle w:val="htmlcodes"/>
        </w:rPr>
        <w:t>&lt;a name=b1040&gt;&lt;/a&gt;&lt;a href=#y1040&gt;&lt;dt&gt;</w:t>
      </w:r>
      <w:r>
        <w:t>space</w:t>
      </w:r>
      <w:r>
        <w:rPr>
          <w:rStyle w:val="htmlcodes"/>
        </w:rPr>
        <w:t>&lt;/a&gt;&lt;sub&gt;</w:t>
      </w:r>
      <w:r>
        <w:rPr>
          <w:rStyle w:val="subscript"/>
        </w:rPr>
        <w:t>1040</w:t>
      </w:r>
      <w:r>
        <w:rPr>
          <w:rStyle w:val="htmlcodes"/>
        </w:rPr>
        <w:t>&lt;/sub&gt;</w:t>
      </w:r>
      <w:r>
        <w:t>=</w:t>
      </w:r>
      <w:r>
        <w:tab/>
      </w:r>
      <w:r>
        <w:rPr>
          <w:rStyle w:val="htmlcodes"/>
        </w:rPr>
        <w:t>&lt;dd&gt;</w:t>
      </w:r>
      <w:r>
        <w:t>VA  &amp;  space</w:t>
      </w:r>
      <w:r>
        <w:noBreakHyphen/>
        <w:t>offset</w:t>
      </w:r>
      <w:r>
        <w:rPr>
          <w:rStyle w:val="htmlcodes"/>
        </w:rPr>
        <w:t>&lt;dots&gt;</w:t>
      </w:r>
      <w:r>
        <w:t xml:space="preserve">…  </w:t>
      </w:r>
      <w:r>
        <w:rPr>
          <w:rStyle w:val="htmlcodes"/>
        </w:rPr>
        <w:t>&lt;/dots&gt;</w:t>
      </w:r>
      <w:r>
        <w:t>&amp;  space</w:t>
      </w:r>
      <w:r>
        <w:noBreakHyphen/>
        <w:t>interval  &amp;  (MOhI  space</w:t>
      </w:r>
      <w:r>
        <w:noBreakHyphen/>
        <w:t>offset)</w:t>
      </w:r>
    </w:p>
    <w:p w:rsidR="00B72047" w:rsidRDefault="00B72047">
      <w:pPr>
        <w:pStyle w:val="EBNF"/>
      </w:pPr>
      <w:r>
        <w:rPr>
          <w:rStyle w:val="htmlcodes"/>
        </w:rPr>
        <w:t>&lt;a name=b1045&gt;&lt;/a&gt;&lt;a href=#y1045&gt;&lt;dt&gt;</w:t>
      </w:r>
      <w:r>
        <w:t>space</w:t>
      </w:r>
      <w:r>
        <w:noBreakHyphen/>
        <w:t>offset</w:t>
      </w:r>
      <w:r>
        <w:rPr>
          <w:rStyle w:val="htmlcodes"/>
        </w:rPr>
        <w:t>&lt;/a&gt;&lt;sub&gt;</w:t>
      </w:r>
      <w:r>
        <w:rPr>
          <w:rStyle w:val="subscript"/>
        </w:rPr>
        <w:t>1045</w:t>
      </w:r>
      <w:r>
        <w:rPr>
          <w:rStyle w:val="htmlcodes"/>
        </w:rPr>
        <w:t>&lt;/sub&gt;</w:t>
      </w:r>
      <w:r>
        <w:t>=</w:t>
      </w:r>
      <w:r>
        <w:tab/>
      </w:r>
      <w:r>
        <w:rPr>
          <w:rStyle w:val="htmlcodes"/>
        </w:rPr>
        <w:t>&lt;dd&gt;</w:t>
      </w:r>
      <w:r>
        <w:t>FAhA  [NAI]  [VA]</w:t>
      </w:r>
    </w:p>
    <w:p w:rsidR="00B72047" w:rsidRDefault="00B72047">
      <w:pPr>
        <w:pStyle w:val="EBNF"/>
      </w:pPr>
      <w:r>
        <w:rPr>
          <w:rStyle w:val="htmlcodes"/>
        </w:rPr>
        <w:t>&lt;a name=b1046&gt;&lt;/a&gt;&lt;a href=#y1046&gt;&lt;dt&gt;</w:t>
      </w:r>
      <w:r>
        <w:t>space</w:t>
      </w:r>
      <w:r>
        <w:noBreakHyphen/>
        <w:t>interval</w:t>
      </w:r>
      <w:r>
        <w:rPr>
          <w:rStyle w:val="htmlcodes"/>
        </w:rPr>
        <w:t>&lt;/a&gt;&lt;sub&gt;</w:t>
      </w:r>
      <w:r>
        <w:rPr>
          <w:rStyle w:val="subscript"/>
        </w:rPr>
        <w:t>1046</w:t>
      </w:r>
      <w:r>
        <w:rPr>
          <w:rStyle w:val="htmlcodes"/>
        </w:rPr>
        <w:t>&lt;/sub&gt;</w:t>
      </w:r>
      <w:r>
        <w:t>=</w:t>
      </w:r>
      <w:r>
        <w:tab/>
      </w:r>
      <w:r>
        <w:rPr>
          <w:rStyle w:val="htmlcodes"/>
        </w:rPr>
        <w:t>&lt;dd&gt;</w:t>
      </w:r>
      <w:r>
        <w:t>((VEhA  &amp;  VIhA)  [FAhA  [NAI]])  &amp;  space</w:t>
      </w:r>
      <w:r>
        <w:noBreakHyphen/>
        <w:t>int</w:t>
      </w:r>
      <w:r>
        <w:noBreakHyphen/>
        <w:t>props</w:t>
      </w:r>
    </w:p>
    <w:p w:rsidR="00B72047" w:rsidRDefault="00B72047">
      <w:pPr>
        <w:pStyle w:val="EBNF"/>
      </w:pPr>
      <w:r>
        <w:rPr>
          <w:rStyle w:val="htmlcodes"/>
        </w:rPr>
        <w:t>&lt;a name=b1049&gt;&lt;/a&gt;&lt;a href=#y1049&gt;&lt;dt&gt;</w:t>
      </w:r>
      <w:r>
        <w:t>space</w:t>
      </w:r>
      <w:r>
        <w:noBreakHyphen/>
        <w:t>int</w:t>
      </w:r>
      <w:r>
        <w:noBreakHyphen/>
        <w:t>props</w:t>
      </w:r>
      <w:r>
        <w:rPr>
          <w:rStyle w:val="htmlcodes"/>
        </w:rPr>
        <w:t>&lt;/a&gt;&lt;sub&gt;</w:t>
      </w:r>
      <w:r>
        <w:rPr>
          <w:rStyle w:val="subscript"/>
        </w:rPr>
        <w:t>1049</w:t>
      </w:r>
      <w:r>
        <w:rPr>
          <w:rStyle w:val="htmlcodes"/>
        </w:rPr>
        <w:t>&lt;/sub&gt;</w:t>
      </w:r>
      <w:r>
        <w:t>=</w:t>
      </w:r>
      <w:r>
        <w:tab/>
      </w:r>
      <w:r>
        <w:rPr>
          <w:rStyle w:val="htmlcodes"/>
        </w:rPr>
        <w:t>&lt;dd&gt;</w:t>
      </w:r>
      <w:r>
        <w:t>(FEhE  interval</w:t>
      </w:r>
      <w:r>
        <w:noBreakHyphen/>
        <w:t>property)</w:t>
      </w:r>
      <w:r>
        <w:rPr>
          <w:rStyle w:val="htmlcodes"/>
        </w:rPr>
        <w:t>&lt;dots&gt;</w:t>
      </w:r>
      <w:r>
        <w:t>…</w:t>
      </w:r>
      <w:r>
        <w:rPr>
          <w:rStyle w:val="htmlcodes"/>
        </w:rPr>
        <w:t>&lt;/dots&gt;</w:t>
      </w:r>
    </w:p>
    <w:p w:rsidR="00B72047" w:rsidRDefault="00B72047">
      <w:pPr>
        <w:pStyle w:val="EBNF"/>
      </w:pPr>
      <w:r>
        <w:rPr>
          <w:rStyle w:val="htmlcodes"/>
        </w:rPr>
        <w:t>&lt;a name=b1051&gt;&lt;/a&gt;&lt;a href=#y1051&gt;&lt;dt&gt;</w:t>
      </w:r>
      <w:r>
        <w:t>interval</w:t>
      </w:r>
      <w:r>
        <w:noBreakHyphen/>
        <w:t>property</w:t>
      </w:r>
      <w:r>
        <w:rPr>
          <w:rStyle w:val="htmlcodes"/>
        </w:rPr>
        <w:t>&lt;/a&gt;&lt;sub&gt;</w:t>
      </w:r>
      <w:r>
        <w:rPr>
          <w:rStyle w:val="subscript"/>
        </w:rPr>
        <w:t>1051</w:t>
      </w:r>
      <w:r>
        <w:rPr>
          <w:rStyle w:val="htmlcodes"/>
        </w:rPr>
        <w:t>&lt;/sub&gt;</w:t>
      </w:r>
      <w:r>
        <w:t>=</w:t>
      </w:r>
      <w:r>
        <w:tab/>
      </w:r>
      <w:r>
        <w:rPr>
          <w:rStyle w:val="htmlcodes"/>
        </w:rPr>
        <w:t>&lt;dd&gt;</w:t>
      </w:r>
      <w:r>
        <w:t>number  ROI  [NAI]</w:t>
      </w:r>
      <w:r>
        <w:rPr>
          <w:rStyle w:val="htmlcodes"/>
        </w:rPr>
        <w:t>&lt;br&gt;</w:t>
      </w:r>
      <w:r>
        <w:t xml:space="preserve">  </w:t>
      </w:r>
      <w:r>
        <w:rPr>
          <w:b/>
          <w:bCs/>
          <w:sz w:val="22"/>
          <w:szCs w:val="22"/>
        </w:rPr>
        <w:t>|</w:t>
      </w:r>
      <w:r>
        <w:t xml:space="preserve">  TAhE  [NAI]</w:t>
      </w:r>
      <w:r>
        <w:rPr>
          <w:rStyle w:val="htmlcodes"/>
        </w:rPr>
        <w:t>&lt;br&gt;</w:t>
      </w:r>
      <w:r>
        <w:t xml:space="preserve">  </w:t>
      </w:r>
      <w:r>
        <w:rPr>
          <w:b/>
          <w:bCs/>
          <w:sz w:val="22"/>
          <w:szCs w:val="22"/>
        </w:rPr>
        <w:t>|</w:t>
      </w:r>
      <w:r>
        <w:t xml:space="preserve">  ZAhO  [NAI]</w:t>
      </w:r>
    </w:p>
    <w:p w:rsidR="00B72047" w:rsidRDefault="00B72047">
      <w:pPr>
        <w:pStyle w:val="EBNF"/>
      </w:pPr>
      <w:r>
        <w:rPr>
          <w:rStyle w:val="htmlcodes"/>
        </w:rPr>
        <w:t>&lt;a name=b32&gt;&lt;/a&gt;&lt;a href=#y32&gt;&lt;dt&gt;</w:t>
      </w:r>
      <w:r>
        <w:t>free</w:t>
      </w:r>
      <w:r>
        <w:rPr>
          <w:rStyle w:val="htmlcodes"/>
        </w:rPr>
        <w:t>&lt;/a&gt;&lt;sub&gt;</w:t>
      </w:r>
      <w:r>
        <w:rPr>
          <w:rStyle w:val="subscript"/>
        </w:rPr>
        <w:t>32</w:t>
      </w:r>
      <w:r>
        <w:rPr>
          <w:rStyle w:val="htmlcodes"/>
        </w:rPr>
        <w:t>&lt;/sub&gt;</w:t>
      </w:r>
      <w:r>
        <w:t>=</w:t>
      </w:r>
      <w:r>
        <w:tab/>
      </w:r>
      <w:r>
        <w:rPr>
          <w:rStyle w:val="htmlcodes"/>
        </w:rPr>
        <w:t>&lt;dd&gt;</w:t>
      </w:r>
      <w:r>
        <w:t>SEI #  [terms  [CU #]]  selbri  /SEhU/</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SOI #  sumti  [sumti]  /SEhU/</w:t>
      </w:r>
      <w:r>
        <w:rPr>
          <w:rStyle w:val="htmlcodes"/>
        </w:rPr>
        <w:t>&lt;br&gt;</w:t>
      </w:r>
      <w:r>
        <w:t xml:space="preserve">  </w:t>
      </w:r>
      <w:r>
        <w:rPr>
          <w:b/>
          <w:bCs/>
          <w:sz w:val="22"/>
          <w:szCs w:val="22"/>
        </w:rPr>
        <w:t>|</w:t>
      </w:r>
      <w:r>
        <w:t xml:space="preserve">  vocative  [relative</w:t>
      </w:r>
      <w:r>
        <w:noBreakHyphen/>
        <w:t>clauses]  selbri  [relative</w:t>
      </w:r>
      <w:r>
        <w:noBreakHyphen/>
        <w:t>clauses]  /DOhU/</w:t>
      </w:r>
      <w:r>
        <w:rPr>
          <w:rStyle w:val="htmlcodes"/>
        </w:rPr>
        <w:t>&lt;br&gt;</w:t>
      </w:r>
      <w:r>
        <w:t xml:space="preserve">  </w:t>
      </w:r>
      <w:r>
        <w:rPr>
          <w:b/>
          <w:bCs/>
          <w:sz w:val="22"/>
          <w:szCs w:val="22"/>
        </w:rPr>
        <w:t>|</w:t>
      </w:r>
      <w:r>
        <w:t xml:space="preserve">  vocative  [relative</w:t>
      </w:r>
      <w:r>
        <w:noBreakHyphen/>
        <w:t>clauses]  CMENE</w:t>
      </w:r>
      <w:r>
        <w:rPr>
          <w:rStyle w:val="htmlcodes"/>
        </w:rPr>
        <w:t>&lt;dots&gt;</w:t>
      </w:r>
      <w:r>
        <w:t xml:space="preserve">…  </w:t>
      </w:r>
      <w:r>
        <w:rPr>
          <w:rStyle w:val="htmlcodes"/>
        </w:rPr>
        <w:t>&lt;/dots&gt;</w:t>
      </w:r>
      <w:r>
        <w:t>#  [relative</w:t>
      </w:r>
      <w:r>
        <w:noBreakHyphen/>
        <w:t>clauses]  /DOhU/</w:t>
      </w:r>
      <w:r>
        <w:rPr>
          <w:rStyle w:val="htmlcodes"/>
        </w:rPr>
        <w:t>&lt;br&gt;</w:t>
      </w:r>
      <w:r>
        <w:t xml:space="preserve">  </w:t>
      </w:r>
      <w:r>
        <w:rPr>
          <w:b/>
          <w:bCs/>
          <w:sz w:val="22"/>
          <w:szCs w:val="22"/>
        </w:rPr>
        <w:t>|</w:t>
      </w:r>
      <w:r>
        <w:t xml:space="preserve">  vocative  [sumti]  /DOhU/</w:t>
      </w:r>
      <w:r>
        <w:rPr>
          <w:rStyle w:val="htmlcodes"/>
        </w:rPr>
        <w:t>&lt;br&gt;</w:t>
      </w:r>
      <w:r>
        <w:t xml:space="preserve">  </w:t>
      </w:r>
      <w:r>
        <w:rPr>
          <w:b/>
          <w:bCs/>
          <w:sz w:val="22"/>
          <w:szCs w:val="22"/>
        </w:rPr>
        <w:t>|</w:t>
      </w:r>
      <w:r>
        <w:t xml:space="preserve">  (number  </w:t>
      </w:r>
      <w:r>
        <w:rPr>
          <w:b/>
          <w:bCs/>
          <w:sz w:val="22"/>
          <w:szCs w:val="22"/>
        </w:rPr>
        <w:t>|</w:t>
      </w:r>
      <w:r>
        <w:t xml:space="preserve">  lerfu</w:t>
      </w:r>
      <w:r>
        <w:noBreakHyphen/>
        <w:t>string)  MAI</w:t>
      </w:r>
      <w:r>
        <w:rPr>
          <w:rStyle w:val="htmlcodes"/>
        </w:rPr>
        <w:t>&lt;br&gt;</w:t>
      </w:r>
      <w:r>
        <w:t xml:space="preserve">  </w:t>
      </w:r>
      <w:r>
        <w:rPr>
          <w:b/>
          <w:bCs/>
          <w:sz w:val="22"/>
          <w:szCs w:val="22"/>
        </w:rPr>
        <w:t>|</w:t>
      </w:r>
      <w:r>
        <w:t xml:space="preserve">  TO  text  /TOI/</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 xml:space="preserve">XI #  (number  </w:t>
      </w:r>
      <w:r>
        <w:rPr>
          <w:b/>
          <w:bCs/>
          <w:sz w:val="22"/>
          <w:szCs w:val="22"/>
        </w:rPr>
        <w:t>|</w:t>
      </w:r>
      <w:r>
        <w:t xml:space="preserve">  lerfu</w:t>
      </w:r>
      <w:r>
        <w:noBreakHyphen/>
        <w:t>string)  /BOI/</w:t>
      </w:r>
      <w:r>
        <w:rPr>
          <w:rStyle w:val="htmlcodes"/>
        </w:rPr>
        <w:t>&lt;br&gt;</w:t>
      </w:r>
      <w:r>
        <w:t xml:space="preserve">  </w:t>
      </w:r>
      <w:r>
        <w:rPr>
          <w:b/>
          <w:bCs/>
          <w:sz w:val="22"/>
          <w:szCs w:val="22"/>
        </w:rPr>
        <w:t>|</w:t>
      </w:r>
      <w:r>
        <w:t xml:space="preserve">  </w:t>
      </w:r>
    </w:p>
    <w:p w:rsidR="00B72047" w:rsidRDefault="00B72047">
      <w:pPr>
        <w:pStyle w:val="EBNF"/>
        <w:spacing w:before="0"/>
      </w:pPr>
      <w:r>
        <w:tab/>
      </w:r>
      <w:r>
        <w:tab/>
      </w:r>
      <w:r>
        <w:tab/>
        <w:t>XI #  VEI #  mex  /VEhO/</w:t>
      </w:r>
    </w:p>
    <w:p w:rsidR="00B72047" w:rsidRDefault="00B72047">
      <w:pPr>
        <w:pStyle w:val="EBNF"/>
      </w:pPr>
      <w:r>
        <w:rPr>
          <w:rStyle w:val="htmlcodes"/>
        </w:rPr>
        <w:t>&lt;a name=b415&gt;&lt;/a&gt;&lt;a href=#y415&gt;&lt;dt&gt;</w:t>
      </w:r>
      <w:r>
        <w:t>vocative</w:t>
      </w:r>
      <w:r>
        <w:rPr>
          <w:rStyle w:val="htmlcodes"/>
        </w:rPr>
        <w:t>&lt;/a&gt;&lt;sub&gt;</w:t>
      </w:r>
      <w:r>
        <w:rPr>
          <w:rStyle w:val="subscript"/>
        </w:rPr>
        <w:t>415</w:t>
      </w:r>
      <w:r>
        <w:rPr>
          <w:rStyle w:val="htmlcodes"/>
        </w:rPr>
        <w:t>&lt;/sub&gt;</w:t>
      </w:r>
      <w:r>
        <w:t>=</w:t>
      </w:r>
      <w:r>
        <w:tab/>
      </w:r>
      <w:r>
        <w:rPr>
          <w:rStyle w:val="htmlcodes"/>
        </w:rPr>
        <w:t>&lt;dd&gt;</w:t>
      </w:r>
      <w:r>
        <w:t>(COI  [NAI])</w:t>
      </w:r>
      <w:r>
        <w:rPr>
          <w:rStyle w:val="htmlcodes"/>
        </w:rPr>
        <w:t>&lt;dots&gt;</w:t>
      </w:r>
      <w:r>
        <w:t>…</w:t>
      </w:r>
      <w:r>
        <w:rPr>
          <w:rStyle w:val="htmlcodes"/>
        </w:rPr>
        <w:t>&lt;/dots&gt;</w:t>
      </w:r>
      <w:r>
        <w:t>&amp;  DOI</w:t>
      </w:r>
    </w:p>
    <w:p w:rsidR="00B72047" w:rsidRDefault="00B72047">
      <w:pPr>
        <w:pStyle w:val="EBNF"/>
      </w:pPr>
      <w:r>
        <w:rPr>
          <w:rStyle w:val="htmlcodes"/>
        </w:rPr>
        <w:t>&lt;a name=b411&gt;&lt;/a&gt;&lt;a href=#y411&gt;&lt;dt&gt;</w:t>
      </w:r>
      <w:r>
        <w:t>indicators</w:t>
      </w:r>
      <w:r>
        <w:rPr>
          <w:rStyle w:val="htmlcodes"/>
        </w:rPr>
        <w:t>&lt;/a&gt;&lt;sub&gt;</w:t>
      </w:r>
      <w:r>
        <w:rPr>
          <w:rStyle w:val="subscript"/>
        </w:rPr>
        <w:t>411</w:t>
      </w:r>
      <w:r>
        <w:rPr>
          <w:rStyle w:val="htmlcodes"/>
        </w:rPr>
        <w:t>&lt;/sub&gt;</w:t>
      </w:r>
      <w:r>
        <w:t>=</w:t>
      </w:r>
      <w:r>
        <w:tab/>
      </w:r>
      <w:r>
        <w:rPr>
          <w:rStyle w:val="htmlcodes"/>
        </w:rPr>
        <w:t>&lt;dd&gt;</w:t>
      </w:r>
      <w:r>
        <w:t>[FUhE]  indicator</w:t>
      </w:r>
      <w:r>
        <w:rPr>
          <w:rStyle w:val="htmlcodes"/>
        </w:rPr>
        <w:t>&lt;dots&gt;</w:t>
      </w:r>
      <w:r>
        <w:t>…</w:t>
      </w:r>
      <w:r>
        <w:rPr>
          <w:rStyle w:val="htmlcodes"/>
        </w:rPr>
        <w:t>&lt;/dots&gt;</w:t>
      </w:r>
    </w:p>
    <w:p w:rsidR="00B72047" w:rsidRDefault="00B72047">
      <w:pPr>
        <w:pStyle w:val="EBNF"/>
      </w:pPr>
      <w:r>
        <w:rPr>
          <w:rStyle w:val="htmlcodes"/>
        </w:rPr>
        <w:t>&lt;a name=b413&gt;&lt;/a&gt;&lt;a href=#y413&gt;&lt;dt&gt;</w:t>
      </w:r>
      <w:r>
        <w:t>indicator</w:t>
      </w:r>
      <w:r>
        <w:rPr>
          <w:rStyle w:val="htmlcodes"/>
        </w:rPr>
        <w:t>&lt;/a&gt;&lt;sub&gt;</w:t>
      </w:r>
      <w:r>
        <w:rPr>
          <w:rStyle w:val="subscript"/>
        </w:rPr>
        <w:t>413</w:t>
      </w:r>
      <w:r>
        <w:rPr>
          <w:rStyle w:val="htmlcodes"/>
        </w:rPr>
        <w:t>&lt;/sub&gt;</w:t>
      </w:r>
      <w:r>
        <w:t>=</w:t>
      </w:r>
      <w:r>
        <w:tab/>
      </w:r>
      <w:r>
        <w:rPr>
          <w:rStyle w:val="htmlcodes"/>
        </w:rPr>
        <w:t>&lt;dd&gt;</w:t>
      </w:r>
      <w:r>
        <w:t xml:space="preserve">(UI  </w:t>
      </w:r>
      <w:r>
        <w:rPr>
          <w:b/>
          <w:bCs/>
          <w:sz w:val="22"/>
          <w:szCs w:val="22"/>
        </w:rPr>
        <w:t>|</w:t>
      </w:r>
      <w:r>
        <w:t xml:space="preserve"> CAI) [NAI]</w:t>
      </w:r>
      <w:r>
        <w:rPr>
          <w:rStyle w:val="htmlcodes"/>
        </w:rPr>
        <w:t>&lt;br&gt;</w:t>
      </w:r>
      <w:r>
        <w:t xml:space="preserve">   </w:t>
      </w:r>
      <w:r>
        <w:rPr>
          <w:b/>
          <w:bCs/>
          <w:sz w:val="22"/>
          <w:szCs w:val="22"/>
        </w:rPr>
        <w:t>|</w:t>
      </w:r>
      <w:r>
        <w:t xml:space="preserve">  Y</w:t>
      </w:r>
      <w:r>
        <w:rPr>
          <w:rStyle w:val="htmlcodes"/>
        </w:rPr>
        <w:t>&lt;br&gt;</w:t>
      </w:r>
      <w:r>
        <w:t xml:space="preserve">  </w:t>
      </w:r>
      <w:r>
        <w:rPr>
          <w:b/>
          <w:bCs/>
          <w:sz w:val="22"/>
          <w:szCs w:val="22"/>
        </w:rPr>
        <w:t>|</w:t>
      </w:r>
      <w:r>
        <w:t xml:space="preserve">  DAhO</w:t>
      </w:r>
      <w:r>
        <w:rPr>
          <w:rStyle w:val="htmlcodes"/>
        </w:rPr>
        <w:t>&lt;br&gt;</w:t>
      </w:r>
      <w:r>
        <w:t xml:space="preserve">  </w:t>
      </w:r>
      <w:r>
        <w:rPr>
          <w:b/>
          <w:bCs/>
          <w:sz w:val="22"/>
          <w:szCs w:val="22"/>
        </w:rPr>
        <w:t>|</w:t>
      </w:r>
      <w:r>
        <w:t xml:space="preserve">  FUhO</w:t>
      </w:r>
    </w:p>
    <w:p w:rsidR="00B72047" w:rsidRDefault="00B72047">
      <w:pPr>
        <w:pStyle w:val="EBNF"/>
      </w:pPr>
      <w:r>
        <w:rPr>
          <w:rStyle w:val="htmlcodes"/>
        </w:rPr>
        <w:t>&lt;/dl&gt;</w:t>
      </w:r>
    </w:p>
    <w:p w:rsidR="00B72047" w:rsidRDefault="00B72047">
      <w:pPr>
        <w:pStyle w:val="EBNF"/>
        <w:rPr>
          <w:rStyle w:val="htmlparacode"/>
          <w:sz w:val="16"/>
          <w:szCs w:val="16"/>
        </w:rPr>
      </w:pPr>
      <w:r>
        <w:rPr>
          <w:rStyle w:val="htmlparacode"/>
          <w:sz w:val="16"/>
          <w:szCs w:val="16"/>
        </w:rPr>
        <w:t>&lt;p&gt;</w:t>
      </w:r>
    </w:p>
    <w:p w:rsidR="00B72047" w:rsidRDefault="00B72047">
      <w:pPr>
        <w:pStyle w:val="EBNF"/>
        <w:rPr>
          <w:rStyle w:val="htmlcodes"/>
        </w:rPr>
      </w:pPr>
      <w:r>
        <w:t>The  following  rules  are  non</w:t>
      </w:r>
      <w:r>
        <w:noBreakHyphen/>
        <w:t>formal:</w:t>
      </w:r>
      <w:r>
        <w:tab/>
      </w:r>
      <w:r>
        <w:rPr>
          <w:rStyle w:val="htmlcodes"/>
        </w:rPr>
        <w:t>&lt;dl&gt;</w:t>
      </w:r>
    </w:p>
    <w:p w:rsidR="00B72047" w:rsidRDefault="00B72047">
      <w:pPr>
        <w:pStyle w:val="EBNF"/>
      </w:pPr>
      <w:r>
        <w:rPr>
          <w:rStyle w:val="htmlcodes"/>
        </w:rPr>
        <w:t>&lt;a name=b1100&gt;</w:t>
      </w:r>
      <w:r>
        <w:t xml:space="preserve">  </w:t>
      </w:r>
    </w:p>
    <w:p w:rsidR="00B72047" w:rsidRDefault="00B72047">
      <w:pPr>
        <w:pStyle w:val="EBNF"/>
      </w:pPr>
      <w:r>
        <w:rPr>
          <w:rStyle w:val="htmlcodes"/>
        </w:rPr>
        <w:t>&lt;/a&gt;&lt;a href=#y1100&gt;&lt;dt&gt;</w:t>
      </w:r>
      <w:r>
        <w:t>word</w:t>
      </w:r>
      <w:r>
        <w:rPr>
          <w:rStyle w:val="htmlcodes"/>
        </w:rPr>
        <w:t>&lt;/a&gt;&lt;sub&gt;</w:t>
      </w:r>
      <w:r>
        <w:rPr>
          <w:rStyle w:val="subscript"/>
        </w:rPr>
        <w:t>1100</w:t>
      </w:r>
      <w:r>
        <w:rPr>
          <w:rStyle w:val="htmlcodes"/>
        </w:rPr>
        <w:t>&lt;/sub&gt;</w:t>
      </w:r>
      <w:r>
        <w:t>=</w:t>
      </w:r>
      <w:r>
        <w:tab/>
      </w:r>
      <w:r>
        <w:rPr>
          <w:rStyle w:val="htmlcodes"/>
        </w:rPr>
        <w:t>&lt;dd&gt;</w:t>
      </w:r>
      <w:r>
        <w:t>[BAhE]  any</w:t>
      </w:r>
      <w:r>
        <w:noBreakHyphen/>
        <w:t>word  [indicators]</w:t>
      </w:r>
    </w:p>
    <w:p w:rsidR="00B72047" w:rsidRDefault="00B72047">
      <w:pPr>
        <w:pStyle w:val="EBNF"/>
      </w:pPr>
      <w:r>
        <w:rPr>
          <w:rStyle w:val="htmlcodes"/>
        </w:rPr>
        <w:t>&lt;dt&gt;</w:t>
      </w:r>
      <w:r>
        <w:t>any</w:t>
      </w:r>
      <w:r>
        <w:noBreakHyphen/>
        <w:t>word=</w:t>
      </w:r>
      <w:r>
        <w:tab/>
      </w:r>
      <w:r>
        <w:rPr>
          <w:rStyle w:val="htmlcodes"/>
        </w:rPr>
        <w:t>&lt;dd&gt;</w:t>
      </w:r>
      <w:r>
        <w:t>“any  single  word  (no  compound  cmavo)”</w:t>
      </w:r>
    </w:p>
    <w:p w:rsidR="00B72047" w:rsidRDefault="00B72047">
      <w:pPr>
        <w:pStyle w:val="EBNF"/>
      </w:pPr>
      <w:r>
        <w:rPr>
          <w:rStyle w:val="htmlcodes"/>
        </w:rPr>
        <w:t>&lt;dt&gt;</w:t>
      </w:r>
      <w:r>
        <w:t>anything=</w:t>
      </w:r>
      <w:r>
        <w:tab/>
      </w:r>
      <w:r>
        <w:rPr>
          <w:rStyle w:val="htmlcodes"/>
        </w:rPr>
        <w:t>&lt;dd&gt;</w:t>
      </w:r>
      <w:r>
        <w:t>“any  text  at  all,  whether  Lojban  or  not”</w:t>
      </w:r>
    </w:p>
    <w:p w:rsidR="00B72047" w:rsidRDefault="00B72047">
      <w:pPr>
        <w:pStyle w:val="EBNF"/>
      </w:pPr>
      <w:r>
        <w:rPr>
          <w:rStyle w:val="htmlcodes"/>
        </w:rPr>
        <w:t>&lt;a name=b1101&gt;&lt;/a&gt;&lt;a href=#y1101&gt;&lt;dt&gt;</w:t>
      </w:r>
      <w:r>
        <w:t>null</w:t>
      </w:r>
      <w:r>
        <w:rPr>
          <w:rStyle w:val="htmlcodes"/>
        </w:rPr>
        <w:t>&lt;/a&gt;&lt;sub&gt;</w:t>
      </w:r>
      <w:r>
        <w:rPr>
          <w:rStyle w:val="subscript"/>
        </w:rPr>
        <w:t>1101</w:t>
      </w:r>
      <w:r>
        <w:rPr>
          <w:rStyle w:val="htmlcodes"/>
        </w:rPr>
        <w:t>&lt;/sub&gt;</w:t>
      </w:r>
      <w:r>
        <w:t>=</w:t>
      </w:r>
      <w:r>
        <w:tab/>
      </w:r>
      <w:r>
        <w:rPr>
          <w:rStyle w:val="htmlcodes"/>
        </w:rPr>
        <w:t>&lt;dd&gt;</w:t>
      </w:r>
      <w:r>
        <w:t>any</w:t>
      </w:r>
      <w:r>
        <w:noBreakHyphen/>
        <w:t>word  SI</w:t>
      </w:r>
      <w:r>
        <w:rPr>
          <w:rStyle w:val="htmlcodes"/>
        </w:rPr>
        <w:t>&lt;br&gt;</w:t>
      </w:r>
      <w:r>
        <w:t xml:space="preserve">  </w:t>
      </w:r>
      <w:r>
        <w:rPr>
          <w:b/>
          <w:bCs/>
          <w:sz w:val="22"/>
          <w:szCs w:val="22"/>
        </w:rPr>
        <w:t>|</w:t>
      </w:r>
      <w:r>
        <w:t xml:space="preserve">  utterance  SA</w:t>
      </w:r>
      <w:r>
        <w:rPr>
          <w:rStyle w:val="htmlcodes"/>
        </w:rPr>
        <w:t>&lt;br&gt;</w:t>
      </w:r>
      <w:r>
        <w:t xml:space="preserve">  </w:t>
      </w:r>
      <w:r>
        <w:rPr>
          <w:b/>
          <w:bCs/>
          <w:sz w:val="22"/>
          <w:szCs w:val="22"/>
        </w:rPr>
        <w:t>|</w:t>
      </w:r>
      <w:r>
        <w:t xml:space="preserve">  text  SU</w:t>
      </w:r>
    </w:p>
    <w:p w:rsidR="00B72047" w:rsidRDefault="00B72047">
      <w:pPr>
        <w:pStyle w:val="YACCtoken"/>
      </w:pPr>
      <w:r>
        <w:rPr>
          <w:rStyle w:val="htmlcodes"/>
        </w:rPr>
        <w:t>&lt;/dl&gt;</w:t>
      </w:r>
      <w:r>
        <w:t>FAhO  is  a  universal  terminator  and  signals  the  end  of  parsable  input.</w:t>
      </w:r>
    </w:p>
    <w:p w:rsidR="00B72047" w:rsidRDefault="00B72047">
      <w:pPr>
        <w:pStyle w:val="YACCtoken"/>
        <w:sectPr w:rsidR="00B72047">
          <w:pgSz w:w="9504" w:h="13824" w:code="1"/>
          <w:pgMar w:top="1296" w:right="1296" w:bottom="720" w:left="1008" w:header="480" w:footer="720" w:gutter="0"/>
          <w:paperSrc w:first="1706" w:other="1706"/>
          <w:cols w:space="720"/>
        </w:sectPr>
      </w:pPr>
    </w:p>
    <w:p w:rsidR="00B72047" w:rsidRDefault="00B72047">
      <w:pPr>
        <w:pStyle w:val="Heading3"/>
        <w:spacing w:before="0"/>
        <w:rPr>
          <w:rStyle w:val="Heading3Text"/>
        </w:rPr>
      </w:pPr>
      <w:r>
        <w:rPr>
          <w:rStyle w:val="htmlcodes"/>
        </w:rPr>
        <w:t>&lt;h3&gt;</w:t>
      </w:r>
      <w:bookmarkStart w:id="551" w:name="_Toc398970785"/>
      <w:r>
        <w:rPr>
          <w:rStyle w:val="Heading3Text"/>
        </w:rPr>
        <w:t>EBNF Grammar Cross</w:t>
      </w:r>
      <w:r>
        <w:rPr>
          <w:rStyle w:val="Heading3Text"/>
        </w:rPr>
        <w:noBreakHyphen/>
        <w:t>Reference</w:t>
      </w:r>
      <w:bookmarkEnd w:id="551"/>
      <w:r>
        <w:rPr>
          <w:rStyle w:val="htmlcodes"/>
        </w:rPr>
        <w:t>&lt;/h3&gt;</w:t>
      </w:r>
    </w:p>
    <w:p w:rsidR="00B72047" w:rsidRDefault="00B72047">
      <w:pPr>
        <w:pStyle w:val="EBNFXREF"/>
        <w:rPr>
          <w:rStyle w:val="htmlcodes"/>
        </w:rPr>
      </w:pPr>
      <w:r>
        <w:rPr>
          <w:rStyle w:val="htmlcodes"/>
        </w:rPr>
        <w:t>&lt;dl&gt;</w:t>
      </w:r>
    </w:p>
    <w:p w:rsidR="00B72047" w:rsidRDefault="00B72047">
      <w:pPr>
        <w:pStyle w:val="EBNFXREF"/>
      </w:pPr>
      <w:r>
        <w:rPr>
          <w:rStyle w:val="htmlcodes"/>
        </w:rPr>
        <w:t>&lt;dt&gt;</w:t>
      </w:r>
      <w:r>
        <w:t>A</w:t>
      </w:r>
      <w:r>
        <w:tab/>
      </w:r>
      <w:r>
        <w:rPr>
          <w:rStyle w:val="htmlcodes"/>
        </w:rPr>
        <w:t>&lt;dd&gt;&lt;a href=#b802&gt;</w:t>
      </w:r>
      <w:r>
        <w:t>ek</w:t>
      </w:r>
      <w:r>
        <w:rPr>
          <w:rStyle w:val="htmlcodes"/>
        </w:rPr>
        <w:t>&lt;/a&gt;&lt;sub&gt;</w:t>
      </w:r>
      <w:r>
        <w:rPr>
          <w:rStyle w:val="subscript"/>
        </w:rPr>
        <w:t>802</w:t>
      </w:r>
      <w:r>
        <w:rPr>
          <w:rStyle w:val="htmlcodes"/>
        </w:rPr>
        <w:t>&lt;/sub&gt;</w:t>
      </w:r>
    </w:p>
    <w:p w:rsidR="00B72047" w:rsidRDefault="00B72047">
      <w:pPr>
        <w:pStyle w:val="EBNFXREF"/>
      </w:pPr>
      <w:r>
        <w:rPr>
          <w:rStyle w:val="htmlcodes"/>
        </w:rPr>
        <w:t>&lt;dt&gt;</w:t>
      </w:r>
      <w:r>
        <w:t>BAI</w:t>
      </w:r>
      <w:r>
        <w:tab/>
      </w:r>
      <w:r>
        <w:rPr>
          <w:rStyle w:val="htmlcodes"/>
        </w:rPr>
        <w:t>&lt;dd&gt;&lt;a href=#b972&gt;</w:t>
      </w:r>
      <w:r>
        <w:t>simple</w:t>
      </w:r>
      <w:r>
        <w:noBreakHyphen/>
        <w:t>tense</w:t>
      </w:r>
      <w:r>
        <w:noBreakHyphen/>
        <w:t>modal</w:t>
      </w:r>
      <w:r>
        <w:rPr>
          <w:rStyle w:val="htmlcodes"/>
        </w:rPr>
        <w:t>&lt;/a&gt;&lt;sub&gt;</w:t>
      </w:r>
      <w:r>
        <w:rPr>
          <w:rStyle w:val="subscript"/>
        </w:rPr>
        <w:t>972</w:t>
      </w:r>
      <w:r>
        <w:rPr>
          <w:rStyle w:val="htmlcodes"/>
        </w:rPr>
        <w:t>&lt;/sub&gt;</w:t>
      </w:r>
    </w:p>
    <w:p w:rsidR="00B72047" w:rsidRDefault="00B72047">
      <w:pPr>
        <w:pStyle w:val="EBNFXREF"/>
      </w:pPr>
      <w:r>
        <w:rPr>
          <w:rStyle w:val="htmlcodes"/>
        </w:rPr>
        <w:t>&lt;dt&gt;</w:t>
      </w:r>
      <w:r>
        <w:t>BAhE</w:t>
      </w:r>
      <w:r>
        <w:tab/>
      </w:r>
      <w:r>
        <w:rPr>
          <w:rStyle w:val="htmlcodes"/>
        </w:rPr>
        <w:t>&lt;dd&gt;&lt;a href=#b1100&gt;</w:t>
      </w:r>
      <w:r>
        <w:t>word</w:t>
      </w:r>
      <w:r>
        <w:rPr>
          <w:rStyle w:val="htmlcodes"/>
        </w:rPr>
        <w:t>&lt;/a&gt;&lt;sub&gt;</w:t>
      </w:r>
      <w:r>
        <w:rPr>
          <w:rStyle w:val="subscript"/>
        </w:rPr>
        <w:t>1100</w:t>
      </w:r>
      <w:r>
        <w:rPr>
          <w:rStyle w:val="htmlcodes"/>
        </w:rPr>
        <w:t>&lt;/sub&gt;</w:t>
      </w:r>
    </w:p>
    <w:p w:rsidR="00B72047" w:rsidRDefault="00B72047">
      <w:pPr>
        <w:pStyle w:val="EBNFXREF"/>
      </w:pPr>
      <w:r>
        <w:rPr>
          <w:rStyle w:val="htmlcodes"/>
        </w:rPr>
        <w:t>&lt;dt&gt;</w:t>
      </w:r>
      <w:r>
        <w:t>BE</w:t>
      </w:r>
      <w:r>
        <w:tab/>
      </w:r>
      <w:r>
        <w:rPr>
          <w:rStyle w:val="htmlcodes"/>
        </w:rPr>
        <w:t>&lt;dd&gt;&lt;a href=#b160&gt;</w:t>
      </w:r>
      <w:r>
        <w:t>linkargs</w:t>
      </w:r>
      <w:r>
        <w:rPr>
          <w:rStyle w:val="htmlcodes"/>
        </w:rPr>
        <w:t>&lt;/a&gt;&lt;sub&gt;</w:t>
      </w:r>
      <w:r>
        <w:rPr>
          <w:rStyle w:val="subscript"/>
        </w:rPr>
        <w:t>160</w:t>
      </w:r>
      <w:r>
        <w:rPr>
          <w:rStyle w:val="htmlcodes"/>
        </w:rPr>
        <w:t>&lt;/sub&gt;</w:t>
      </w:r>
    </w:p>
    <w:p w:rsidR="00B72047" w:rsidRDefault="00B72047">
      <w:pPr>
        <w:pStyle w:val="EBNFXREF"/>
      </w:pPr>
      <w:r>
        <w:rPr>
          <w:rStyle w:val="htmlcodes"/>
        </w:rPr>
        <w:t>&lt;dt&gt;</w:t>
      </w:r>
      <w:r>
        <w:t>BEI</w:t>
      </w:r>
      <w:r>
        <w:tab/>
      </w:r>
      <w:r>
        <w:rPr>
          <w:rStyle w:val="htmlcodes"/>
        </w:rPr>
        <w:t>&lt;dd&gt;&lt;a href=#b161&gt;</w:t>
      </w:r>
      <w:r>
        <w:t>links</w:t>
      </w:r>
      <w:r>
        <w:rPr>
          <w:rStyle w:val="htmlcodes"/>
        </w:rPr>
        <w:t>&lt;/a&gt;&lt;sub&gt;</w:t>
      </w:r>
      <w:r>
        <w:rPr>
          <w:rStyle w:val="subscript"/>
        </w:rPr>
        <w:t>161</w:t>
      </w:r>
      <w:r>
        <w:rPr>
          <w:rStyle w:val="htmlcodes"/>
        </w:rPr>
        <w:t>&lt;/sub&gt;</w:t>
      </w:r>
    </w:p>
    <w:p w:rsidR="00B72047" w:rsidRDefault="00B72047">
      <w:pPr>
        <w:pStyle w:val="EBNFXREF"/>
      </w:pPr>
      <w:r>
        <w:rPr>
          <w:rStyle w:val="htmlcodes"/>
        </w:rPr>
        <w:t>&lt;dt&gt;</w:t>
      </w:r>
      <w:r>
        <w:t>BEhO</w:t>
      </w:r>
      <w:r>
        <w:tab/>
      </w:r>
      <w:r>
        <w:rPr>
          <w:rStyle w:val="htmlcodes"/>
        </w:rPr>
        <w:t>&lt;dd&gt;&lt;a href=#b160&gt;</w:t>
      </w:r>
      <w:r>
        <w:t>linkargs</w:t>
      </w:r>
      <w:r>
        <w:rPr>
          <w:rStyle w:val="htmlcodes"/>
        </w:rPr>
        <w:t>&lt;/a&gt;&lt;sub&gt;</w:t>
      </w:r>
      <w:r>
        <w:rPr>
          <w:rStyle w:val="subscript"/>
        </w:rPr>
        <w:t>160</w:t>
      </w:r>
      <w:r>
        <w:rPr>
          <w:rStyle w:val="htmlcodes"/>
        </w:rPr>
        <w:t>&lt;/sub&gt;</w:t>
      </w:r>
    </w:p>
    <w:p w:rsidR="00B72047" w:rsidRDefault="00B72047">
      <w:pPr>
        <w:pStyle w:val="EBNFXREF"/>
      </w:pPr>
      <w:r>
        <w:rPr>
          <w:rStyle w:val="htmlcodes"/>
        </w:rPr>
        <w:t>&lt;dt&gt;</w:t>
      </w:r>
      <w:r>
        <w:t>BIhE</w:t>
      </w:r>
      <w:r>
        <w:tab/>
      </w:r>
      <w:r>
        <w:rPr>
          <w:rStyle w:val="htmlcodes"/>
        </w:rPr>
        <w:t>&lt;dd&gt;&lt;a href=#b311&gt;</w:t>
      </w:r>
      <w:r>
        <w:t>mex</w:t>
      </w:r>
      <w:r>
        <w:noBreakHyphen/>
        <w:t>1</w:t>
      </w:r>
      <w:r>
        <w:rPr>
          <w:rStyle w:val="htmlcodes"/>
        </w:rPr>
        <w:t>&lt;/a&gt;&lt;sub&gt;</w:t>
      </w:r>
      <w:r>
        <w:rPr>
          <w:rStyle w:val="subscript"/>
        </w:rPr>
        <w:t>311</w:t>
      </w:r>
      <w:r>
        <w:rPr>
          <w:rStyle w:val="htmlcodes"/>
        </w:rPr>
        <w:t>&lt;/sub&gt;</w:t>
      </w:r>
    </w:p>
    <w:p w:rsidR="00B72047" w:rsidRDefault="00B72047">
      <w:pPr>
        <w:pStyle w:val="EBNFXREF"/>
      </w:pPr>
      <w:r>
        <w:rPr>
          <w:rStyle w:val="htmlcodes"/>
        </w:rPr>
        <w:t>&lt;dt&gt;</w:t>
      </w:r>
      <w:r>
        <w:t>BIhI</w:t>
      </w:r>
      <w:r>
        <w:tab/>
      </w:r>
      <w:r>
        <w:rPr>
          <w:rStyle w:val="htmlcodes"/>
        </w:rPr>
        <w:t>&lt;dd&gt;&lt;a href=#b932&gt;</w:t>
      </w:r>
      <w:r>
        <w:t>interval</w:t>
      </w:r>
      <w:r>
        <w:rPr>
          <w:rStyle w:val="htmlcodes"/>
        </w:rPr>
        <w:t>&lt;/a&gt;&lt;sub&gt;</w:t>
      </w:r>
      <w:r>
        <w:rPr>
          <w:rStyle w:val="subscript"/>
        </w:rPr>
        <w:t>932</w:t>
      </w:r>
      <w:r>
        <w:rPr>
          <w:rStyle w:val="htmlcodes"/>
        </w:rPr>
        <w:t>&lt;/sub&gt;</w:t>
      </w:r>
    </w:p>
    <w:p w:rsidR="00B72047" w:rsidRDefault="00B72047">
      <w:pPr>
        <w:pStyle w:val="EBNFXREF"/>
      </w:pPr>
      <w:r>
        <w:rPr>
          <w:rStyle w:val="htmlcodes"/>
        </w:rPr>
        <w:t>&lt;dt&gt;</w:t>
      </w:r>
      <w:r>
        <w:t>BO</w:t>
      </w:r>
      <w:r>
        <w:tab/>
      </w:r>
      <w:r>
        <w:rPr>
          <w:rStyle w:val="htmlcodes"/>
        </w:rPr>
        <w:t>&lt;dd&gt;&lt;a href=#b52&gt;</w:t>
      </w:r>
      <w:r>
        <w:t>bridi</w:t>
      </w:r>
      <w:r>
        <w:noBreakHyphen/>
        <w:t>tail</w:t>
      </w:r>
      <w:r>
        <w:noBreakHyphen/>
        <w:t>2</w:t>
      </w:r>
      <w:r>
        <w:rPr>
          <w:rStyle w:val="htmlcodes"/>
        </w:rPr>
        <w:t>&lt;/a&gt;&lt;sub&gt;</w:t>
      </w:r>
      <w:r>
        <w:rPr>
          <w:rStyle w:val="subscript"/>
        </w:rPr>
        <w:t>52</w:t>
      </w:r>
      <w:r>
        <w:rPr>
          <w:rStyle w:val="htmlcodes"/>
        </w:rPr>
        <w:t>&lt;/sub&gt;</w:t>
      </w:r>
      <w:r>
        <w:t xml:space="preserve">, </w:t>
      </w:r>
      <w:r>
        <w:rPr>
          <w:rStyle w:val="htmlcodes"/>
        </w:rPr>
        <w:t>&lt;a href=#b383&gt;</w:t>
      </w:r>
      <w:r>
        <w:t>operand</w:t>
      </w:r>
      <w:r>
        <w:noBreakHyphen/>
        <w:t>2</w:t>
      </w:r>
      <w:r>
        <w:rPr>
          <w:rStyle w:val="htmlcodes"/>
        </w:rPr>
        <w:t>&lt;/a&gt;&lt;sub&gt;</w:t>
      </w:r>
      <w:r>
        <w:rPr>
          <w:rStyle w:val="subscript"/>
        </w:rPr>
        <w:t>383</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href=#b371&gt;</w:t>
      </w:r>
      <w:r>
        <w:t>operator</w:t>
      </w:r>
      <w:r>
        <w:noBreakHyphen/>
        <w:t>1</w:t>
      </w:r>
      <w:r>
        <w:rPr>
          <w:rStyle w:val="htmlcodes"/>
        </w:rPr>
        <w:t>&lt;/a&gt;&lt;sub&gt;</w:t>
      </w:r>
      <w:r>
        <w:rPr>
          <w:rStyle w:val="subscript"/>
        </w:rPr>
        <w:t>371</w:t>
      </w:r>
      <w:r>
        <w:rPr>
          <w:rStyle w:val="htmlcodes"/>
        </w:rPr>
        <w:t>&lt;/sub&gt;</w:t>
      </w:r>
      <w:r>
        <w:t xml:space="preserve">, </w:t>
      </w:r>
      <w:r>
        <w:rPr>
          <w:rStyle w:val="htmlcodes"/>
        </w:rPr>
        <w:t>&lt;a href=#b135&gt;</w:t>
      </w:r>
      <w:r>
        <w:t>se</w:t>
      </w:r>
      <w:r>
        <w:t>l</w:t>
      </w:r>
      <w:r>
        <w:t>bri</w:t>
      </w:r>
      <w:r>
        <w:noBreakHyphen/>
        <w:t>5</w:t>
      </w:r>
      <w:r>
        <w:rPr>
          <w:rStyle w:val="htmlcodes"/>
        </w:rPr>
        <w:t>&lt;/a&gt;&lt;sub&gt;</w:t>
      </w:r>
      <w:r>
        <w:rPr>
          <w:rStyle w:val="subscript"/>
        </w:rPr>
        <w:t>135</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r>
        <w:t xml:space="preserve">, </w:t>
      </w:r>
      <w:r>
        <w:rPr>
          <w:rStyle w:val="htmlcodes"/>
        </w:rPr>
        <w:t>&lt;a href=#b13&gt;</w:t>
      </w:r>
      <w:r>
        <w:t>statement</w:t>
      </w:r>
      <w:r>
        <w:noBreakHyphen/>
        <w:t>2</w:t>
      </w:r>
      <w:r>
        <w:rPr>
          <w:rStyle w:val="htmlcodes"/>
        </w:rPr>
        <w:t>&lt;/a&gt;&lt;sub&gt;</w:t>
      </w:r>
      <w:r>
        <w:rPr>
          <w:rStyle w:val="subscript"/>
        </w:rPr>
        <w:t>13</w:t>
      </w:r>
      <w:r>
        <w:rPr>
          <w:rStyle w:val="htmlcodes"/>
        </w:rPr>
        <w:t>&lt;/sub&gt;</w:t>
      </w:r>
      <w:r>
        <w:t xml:space="preserve">, </w:t>
      </w:r>
      <w:r>
        <w:rPr>
          <w:rStyle w:val="htmlcodes"/>
        </w:rPr>
        <w:t>&lt;a href=#b93&gt;</w:t>
      </w:r>
      <w:r>
        <w:t>sumti</w:t>
      </w:r>
      <w:r>
        <w:noBreakHyphen/>
        <w:t>3</w:t>
      </w:r>
      <w:r>
        <w:rPr>
          <w:rStyle w:val="htmlcodes"/>
        </w:rPr>
        <w:t>&lt;/a&gt;&lt;sub&gt;</w:t>
      </w:r>
      <w:r>
        <w:rPr>
          <w:rStyle w:val="subscript"/>
        </w:rPr>
        <w:t>93</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BOI</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href=#b300&gt;</w:t>
      </w:r>
      <w:r>
        <w:t>quantifier</w:t>
      </w:r>
      <w:r>
        <w:rPr>
          <w:rStyle w:val="htmlcodes"/>
        </w:rPr>
        <w:t>&lt;/a&gt;&lt;sub&gt;</w:t>
      </w:r>
      <w:r>
        <w:rPr>
          <w:rStyle w:val="subscript"/>
        </w:rPr>
        <w:t>300</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BRIVLA</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BU</w:t>
      </w:r>
      <w:r>
        <w:tab/>
      </w:r>
      <w:r>
        <w:rPr>
          <w:rStyle w:val="htmlcodes"/>
        </w:rPr>
        <w:t>&lt;dd&gt;&lt;a href=#b987&gt;</w:t>
      </w:r>
      <w:r>
        <w:t>lerfu</w:t>
      </w:r>
      <w:r>
        <w:noBreakHyphen/>
        <w:t>word</w:t>
      </w:r>
      <w:r>
        <w:rPr>
          <w:rStyle w:val="htmlcodes"/>
        </w:rPr>
        <w:t>&lt;/a&gt;&lt;sub&gt;</w:t>
      </w:r>
      <w:r>
        <w:rPr>
          <w:rStyle w:val="subscript"/>
        </w:rPr>
        <w:t>987</w:t>
      </w:r>
      <w:r>
        <w:rPr>
          <w:rStyle w:val="htmlcodes"/>
        </w:rPr>
        <w:t>&lt;/sub&gt;</w:t>
      </w:r>
    </w:p>
    <w:p w:rsidR="00B72047" w:rsidRDefault="00B72047">
      <w:pPr>
        <w:pStyle w:val="EBNFXREF"/>
      </w:pPr>
      <w:r>
        <w:rPr>
          <w:rStyle w:val="htmlcodes"/>
        </w:rPr>
        <w:t>&lt;dt&gt;</w:t>
      </w:r>
      <w:r>
        <w:t>BY</w:t>
      </w:r>
      <w:r>
        <w:tab/>
      </w:r>
      <w:r>
        <w:rPr>
          <w:rStyle w:val="htmlcodes"/>
        </w:rPr>
        <w:t>&lt;dd&gt;&lt;a href=#b987&gt;</w:t>
      </w:r>
      <w:r>
        <w:t>lerfu</w:t>
      </w:r>
      <w:r>
        <w:noBreakHyphen/>
        <w:t>word</w:t>
      </w:r>
      <w:r>
        <w:rPr>
          <w:rStyle w:val="htmlcodes"/>
        </w:rPr>
        <w:t>&lt;/a&gt;&lt;sub&gt;</w:t>
      </w:r>
      <w:r>
        <w:rPr>
          <w:rStyle w:val="subscript"/>
        </w:rPr>
        <w:t>987</w:t>
      </w:r>
      <w:r>
        <w:rPr>
          <w:rStyle w:val="htmlcodes"/>
        </w:rPr>
        <w:t>&lt;/sub&gt;</w:t>
      </w:r>
    </w:p>
    <w:p w:rsidR="00B72047" w:rsidRDefault="00B72047">
      <w:pPr>
        <w:pStyle w:val="EBNFXREF"/>
      </w:pPr>
      <w:r>
        <w:rPr>
          <w:rStyle w:val="htmlcodes"/>
        </w:rPr>
        <w:t>&lt;dt&gt;</w:t>
      </w:r>
      <w:r>
        <w:t>CAI</w:t>
      </w:r>
      <w:r>
        <w:tab/>
      </w:r>
      <w:r>
        <w:rPr>
          <w:rStyle w:val="htmlcodes"/>
        </w:rPr>
        <w:t>&lt;dd&gt;&lt;a href=#b413&gt;</w:t>
      </w:r>
      <w:r>
        <w:t>indicator</w:t>
      </w:r>
      <w:r>
        <w:rPr>
          <w:rStyle w:val="htmlcodes"/>
        </w:rPr>
        <w:t>&lt;/a&gt;&lt;sub&gt;</w:t>
      </w:r>
      <w:r>
        <w:rPr>
          <w:rStyle w:val="subscript"/>
        </w:rPr>
        <w:t>413</w:t>
      </w:r>
      <w:r>
        <w:rPr>
          <w:rStyle w:val="htmlcodes"/>
        </w:rPr>
        <w:t>&lt;/sub&gt;</w:t>
      </w:r>
    </w:p>
    <w:p w:rsidR="00B72047" w:rsidRDefault="00B72047">
      <w:pPr>
        <w:pStyle w:val="EBNFXREF"/>
      </w:pPr>
      <w:r>
        <w:rPr>
          <w:rStyle w:val="htmlcodes"/>
        </w:rPr>
        <w:t>&lt;dt&gt;</w:t>
      </w:r>
      <w:r>
        <w:t>CAhA</w:t>
      </w:r>
      <w:r>
        <w:tab/>
      </w:r>
      <w:r>
        <w:rPr>
          <w:rStyle w:val="htmlcodes"/>
        </w:rPr>
        <w:t>&lt;dd&gt;&lt;a href=#b972&gt;</w:t>
      </w:r>
      <w:r>
        <w:t>simple</w:t>
      </w:r>
      <w:r>
        <w:noBreakHyphen/>
        <w:t>tense</w:t>
      </w:r>
      <w:r>
        <w:noBreakHyphen/>
        <w:t>modal</w:t>
      </w:r>
      <w:r>
        <w:rPr>
          <w:rStyle w:val="htmlcodes"/>
        </w:rPr>
        <w:t>&lt;/a&gt;&lt;sub&gt;</w:t>
      </w:r>
      <w:r>
        <w:rPr>
          <w:rStyle w:val="subscript"/>
        </w:rPr>
        <w:t>972</w:t>
      </w:r>
      <w:r>
        <w:rPr>
          <w:rStyle w:val="htmlcodes"/>
        </w:rPr>
        <w:t>&lt;/sub&gt;</w:t>
      </w:r>
    </w:p>
    <w:p w:rsidR="00B72047" w:rsidRDefault="00B72047">
      <w:pPr>
        <w:pStyle w:val="EBNFXREF"/>
      </w:pPr>
      <w:r>
        <w:rPr>
          <w:rStyle w:val="htmlcodes"/>
        </w:rPr>
        <w:t>&lt;dt&gt;</w:t>
      </w:r>
      <w:r>
        <w:t>CEI</w:t>
      </w:r>
      <w:r>
        <w:tab/>
      </w:r>
      <w:r>
        <w:rPr>
          <w:rStyle w:val="htmlcodes"/>
        </w:rPr>
        <w:t>&lt;dd&gt;&lt;a href=#b150&gt;</w:t>
      </w:r>
      <w:r>
        <w:t>tanru</w:t>
      </w:r>
      <w:r>
        <w:noBreakHyphen/>
        <w:t>unit</w:t>
      </w:r>
      <w:r>
        <w:rPr>
          <w:rStyle w:val="htmlcodes"/>
        </w:rPr>
        <w:t>&lt;/a&gt;&lt;sub&gt;</w:t>
      </w:r>
      <w:r>
        <w:rPr>
          <w:rStyle w:val="subscript"/>
        </w:rPr>
        <w:t>150</w:t>
      </w:r>
      <w:r>
        <w:rPr>
          <w:rStyle w:val="htmlcodes"/>
        </w:rPr>
        <w:t>&lt;/sub&gt;</w:t>
      </w:r>
    </w:p>
    <w:p w:rsidR="00B72047" w:rsidRDefault="00B72047">
      <w:pPr>
        <w:pStyle w:val="EBNFXREF"/>
      </w:pPr>
      <w:r>
        <w:rPr>
          <w:rStyle w:val="htmlcodes"/>
        </w:rPr>
        <w:t>&lt;dt&gt;</w:t>
      </w:r>
      <w:r>
        <w:t>CEhE</w:t>
      </w:r>
      <w:r>
        <w:tab/>
      </w:r>
      <w:r>
        <w:rPr>
          <w:rStyle w:val="htmlcodes"/>
        </w:rPr>
        <w:t>&lt;dd&gt;&lt;a href=#b82&gt;</w:t>
      </w:r>
      <w:r>
        <w:t>terms</w:t>
      </w:r>
      <w:r>
        <w:noBreakHyphen/>
        <w:t>2</w:t>
      </w:r>
      <w:r>
        <w:rPr>
          <w:rStyle w:val="htmlcodes"/>
        </w:rPr>
        <w:t>&lt;/a&gt;&lt;sub&gt;</w:t>
      </w:r>
      <w:r>
        <w:rPr>
          <w:rStyle w:val="subscript"/>
        </w:rPr>
        <w:t>82</w:t>
      </w:r>
      <w:r>
        <w:rPr>
          <w:rStyle w:val="htmlcodes"/>
        </w:rPr>
        <w:t>&lt;/sub&gt;</w:t>
      </w:r>
    </w:p>
    <w:p w:rsidR="00B72047" w:rsidRDefault="00B72047">
      <w:pPr>
        <w:pStyle w:val="EBNFXREF"/>
      </w:pPr>
      <w:r>
        <w:rPr>
          <w:rStyle w:val="htmlcodes"/>
        </w:rPr>
        <w:t>&lt;dt&gt;</w:t>
      </w:r>
      <w:r>
        <w:t>CMENE</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href=#b0&gt;</w:t>
      </w:r>
      <w:r>
        <w:t>text</w:t>
      </w:r>
      <w:r>
        <w:rPr>
          <w:rStyle w:val="htmlcodes"/>
        </w:rPr>
        <w:t>&lt;/a&gt;&lt;sub&gt;</w:t>
      </w:r>
      <w:r>
        <w:rPr>
          <w:rStyle w:val="subscript"/>
        </w:rPr>
        <w:t>0</w:t>
      </w:r>
      <w:r>
        <w:rPr>
          <w:rStyle w:val="htmlcodes"/>
        </w:rPr>
        <w:t>&lt;/sub&gt;</w:t>
      </w:r>
    </w:p>
    <w:p w:rsidR="00B72047" w:rsidRDefault="00B72047">
      <w:pPr>
        <w:pStyle w:val="EBNFXREF"/>
      </w:pPr>
      <w:r>
        <w:rPr>
          <w:rStyle w:val="htmlcodes"/>
        </w:rPr>
        <w:t>&lt;dt&gt;</w:t>
      </w:r>
      <w:r>
        <w:t>CO</w:t>
      </w:r>
      <w:r>
        <w:tab/>
      </w:r>
      <w:r>
        <w:rPr>
          <w:rStyle w:val="htmlcodes"/>
        </w:rPr>
        <w:t>&lt;dd&gt;&lt;a href=#b132&gt;</w:t>
      </w:r>
      <w:r>
        <w:t>selbri</w:t>
      </w:r>
      <w:r>
        <w:noBreakHyphen/>
        <w:t>2</w:t>
      </w:r>
      <w:r>
        <w:rPr>
          <w:rStyle w:val="htmlcodes"/>
        </w:rPr>
        <w:t>&lt;/a&gt;&lt;sub&gt;</w:t>
      </w:r>
      <w:r>
        <w:rPr>
          <w:rStyle w:val="subscript"/>
        </w:rPr>
        <w:t>132</w:t>
      </w:r>
      <w:r>
        <w:rPr>
          <w:rStyle w:val="htmlcodes"/>
        </w:rPr>
        <w:t>&lt;/sub&gt;</w:t>
      </w:r>
    </w:p>
    <w:p w:rsidR="00B72047" w:rsidRDefault="00B72047">
      <w:pPr>
        <w:pStyle w:val="EBNFXREF"/>
      </w:pPr>
      <w:r>
        <w:rPr>
          <w:rStyle w:val="htmlcodes"/>
        </w:rPr>
        <w:t>&lt;dt&gt;</w:t>
      </w:r>
      <w:r>
        <w:t>COI</w:t>
      </w:r>
      <w:r>
        <w:tab/>
      </w:r>
      <w:r>
        <w:rPr>
          <w:rStyle w:val="htmlcodes"/>
        </w:rPr>
        <w:t>&lt;dd&gt;&lt;a href=#b415&gt;</w:t>
      </w:r>
      <w:r>
        <w:t>vocative</w:t>
      </w:r>
      <w:r>
        <w:rPr>
          <w:rStyle w:val="htmlcodes"/>
        </w:rPr>
        <w:t>&lt;/a&gt;&lt;sub&gt;</w:t>
      </w:r>
      <w:r>
        <w:rPr>
          <w:rStyle w:val="subscript"/>
        </w:rPr>
        <w:t>415</w:t>
      </w:r>
      <w:r>
        <w:rPr>
          <w:rStyle w:val="htmlcodes"/>
        </w:rPr>
        <w:t>&lt;/sub&gt;</w:t>
      </w:r>
    </w:p>
    <w:p w:rsidR="00B72047" w:rsidRDefault="00B72047">
      <w:pPr>
        <w:pStyle w:val="EBNFXREF"/>
      </w:pPr>
      <w:r>
        <w:rPr>
          <w:rStyle w:val="htmlcodes"/>
        </w:rPr>
        <w:t>&lt;dt&gt;</w:t>
      </w:r>
      <w:r>
        <w:t>CU</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href=#b40&gt;</w:t>
      </w:r>
      <w:r>
        <w:t>sentence</w:t>
      </w:r>
      <w:r>
        <w:rPr>
          <w:rStyle w:val="htmlcodes"/>
        </w:rPr>
        <w:t>&lt;/a&gt;&lt;sub&gt;</w:t>
      </w:r>
      <w:r>
        <w:rPr>
          <w:rStyle w:val="subscript"/>
        </w:rPr>
        <w:t>40</w:t>
      </w:r>
      <w:r>
        <w:rPr>
          <w:rStyle w:val="htmlcodes"/>
        </w:rPr>
        <w:t>&lt;/sub&gt;</w:t>
      </w:r>
    </w:p>
    <w:p w:rsidR="00B72047" w:rsidRDefault="00B72047">
      <w:pPr>
        <w:pStyle w:val="EBNFXREF"/>
      </w:pPr>
      <w:r>
        <w:rPr>
          <w:rStyle w:val="htmlcodes"/>
        </w:rPr>
        <w:t>&lt;dt&gt;</w:t>
      </w:r>
      <w:r>
        <w:t>CUhE</w:t>
      </w:r>
      <w:r>
        <w:tab/>
      </w:r>
      <w:r>
        <w:rPr>
          <w:rStyle w:val="htmlcodes"/>
        </w:rPr>
        <w:t>&lt;dd&gt;&lt;a href=#b972&gt;</w:t>
      </w:r>
      <w:r>
        <w:t>simple</w:t>
      </w:r>
      <w:r>
        <w:noBreakHyphen/>
        <w:t>tense</w:t>
      </w:r>
      <w:r>
        <w:noBreakHyphen/>
        <w:t>modal</w:t>
      </w:r>
      <w:r>
        <w:rPr>
          <w:rStyle w:val="htmlcodes"/>
        </w:rPr>
        <w:t>&lt;/a&gt;&lt;sub&gt;</w:t>
      </w:r>
      <w:r>
        <w:rPr>
          <w:rStyle w:val="subscript"/>
        </w:rPr>
        <w:t>972</w:t>
      </w:r>
      <w:r>
        <w:rPr>
          <w:rStyle w:val="htmlcodes"/>
        </w:rPr>
        <w:t>&lt;/sub&gt;</w:t>
      </w:r>
    </w:p>
    <w:p w:rsidR="00B72047" w:rsidRDefault="00B72047">
      <w:pPr>
        <w:pStyle w:val="EBNFXREF"/>
      </w:pPr>
      <w:r>
        <w:rPr>
          <w:rStyle w:val="htmlcodes"/>
        </w:rPr>
        <w:t>&lt;dt&gt;</w:t>
      </w:r>
      <w:r>
        <w:t>DAhO</w:t>
      </w:r>
      <w:r>
        <w:tab/>
      </w:r>
      <w:r>
        <w:rPr>
          <w:rStyle w:val="htmlcodes"/>
        </w:rPr>
        <w:t>&lt;dd&gt;&lt;a href=#b413&gt;</w:t>
      </w:r>
      <w:r>
        <w:t>indicator</w:t>
      </w:r>
      <w:r>
        <w:rPr>
          <w:rStyle w:val="htmlcodes"/>
        </w:rPr>
        <w:t>&lt;/a&gt;&lt;sub&gt;</w:t>
      </w:r>
      <w:r>
        <w:rPr>
          <w:rStyle w:val="subscript"/>
        </w:rPr>
        <w:t>413</w:t>
      </w:r>
      <w:r>
        <w:rPr>
          <w:rStyle w:val="htmlcodes"/>
        </w:rPr>
        <w:t>&lt;/sub&gt;</w:t>
      </w:r>
    </w:p>
    <w:p w:rsidR="00B72047" w:rsidRDefault="00B72047">
      <w:pPr>
        <w:pStyle w:val="EBNFXREF"/>
      </w:pPr>
      <w:r>
        <w:rPr>
          <w:rStyle w:val="htmlcodes"/>
        </w:rPr>
        <w:t>&lt;dt&gt;</w:t>
      </w:r>
      <w:r>
        <w:t>DOI</w:t>
      </w:r>
      <w:r>
        <w:tab/>
      </w:r>
      <w:r>
        <w:rPr>
          <w:rStyle w:val="htmlcodes"/>
        </w:rPr>
        <w:t>&lt;dd&gt;&lt;a href=#b415&gt;</w:t>
      </w:r>
      <w:r>
        <w:t>vocative</w:t>
      </w:r>
      <w:r>
        <w:rPr>
          <w:rStyle w:val="htmlcodes"/>
        </w:rPr>
        <w:t>&lt;/a&gt;&lt;sub&gt;</w:t>
      </w:r>
      <w:r>
        <w:rPr>
          <w:rStyle w:val="subscript"/>
        </w:rPr>
        <w:t>415</w:t>
      </w:r>
      <w:r>
        <w:rPr>
          <w:rStyle w:val="htmlcodes"/>
        </w:rPr>
        <w:t>&lt;/sub&gt;</w:t>
      </w:r>
    </w:p>
    <w:p w:rsidR="00B72047" w:rsidRDefault="00B72047">
      <w:pPr>
        <w:pStyle w:val="EBNFXREF"/>
      </w:pPr>
      <w:r>
        <w:rPr>
          <w:rStyle w:val="htmlcodes"/>
        </w:rPr>
        <w:t>&lt;dt&gt;</w:t>
      </w:r>
      <w:r>
        <w:t>DOhU</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FA</w:t>
      </w:r>
      <w:r>
        <w:tab/>
      </w:r>
      <w:r>
        <w:rPr>
          <w:rStyle w:val="htmlcodes"/>
        </w:rPr>
        <w:t>&lt;dd&gt;&lt;a href=#b83&gt;</w:t>
      </w:r>
      <w:r>
        <w:t>term</w:t>
      </w:r>
      <w:r>
        <w:rPr>
          <w:rStyle w:val="htmlcodes"/>
        </w:rPr>
        <w:t>&lt;/a&gt;&lt;sub&gt;</w:t>
      </w:r>
      <w:r>
        <w:rPr>
          <w:rStyle w:val="subscript"/>
        </w:rPr>
        <w:t>83</w:t>
      </w:r>
      <w:r>
        <w:rPr>
          <w:rStyle w:val="htmlcodes"/>
        </w:rPr>
        <w:t>&lt;/sub&gt;</w:t>
      </w:r>
    </w:p>
    <w:p w:rsidR="00B72047" w:rsidRDefault="00B72047">
      <w:pPr>
        <w:pStyle w:val="EBNFXREF"/>
      </w:pPr>
      <w:r>
        <w:rPr>
          <w:rStyle w:val="htmlcodes"/>
        </w:rPr>
        <w:t>&lt;dt&gt;</w:t>
      </w:r>
      <w:r>
        <w:t>FAhA</w:t>
      </w:r>
      <w:r>
        <w:tab/>
      </w:r>
      <w:r>
        <w:rPr>
          <w:rStyle w:val="htmlcodes"/>
        </w:rPr>
        <w:t>&lt;dd&gt;&lt;a href=#b1046&gt;</w:t>
      </w:r>
      <w:r>
        <w:t>space</w:t>
      </w:r>
      <w:r>
        <w:noBreakHyphen/>
        <w:t>interval</w:t>
      </w:r>
      <w:r>
        <w:rPr>
          <w:rStyle w:val="htmlcodes"/>
        </w:rPr>
        <w:t>&lt;/a&gt;&lt;sub&gt;</w:t>
      </w:r>
      <w:r>
        <w:rPr>
          <w:rStyle w:val="subscript"/>
        </w:rPr>
        <w:t>1046</w:t>
      </w:r>
      <w:r>
        <w:rPr>
          <w:rStyle w:val="htmlcodes"/>
        </w:rPr>
        <w:t>&lt;/sub&gt;</w:t>
      </w:r>
      <w:r>
        <w:t xml:space="preserve">, </w:t>
      </w:r>
      <w:r>
        <w:rPr>
          <w:rStyle w:val="htmlcodes"/>
        </w:rPr>
        <w:t>&lt;a href=#b1045&gt;</w:t>
      </w:r>
      <w:r>
        <w:t>space</w:t>
      </w:r>
      <w:r>
        <w:noBreakHyphen/>
        <w:t>offset</w:t>
      </w:r>
      <w:r>
        <w:rPr>
          <w:rStyle w:val="htmlcodes"/>
        </w:rPr>
        <w:t>&lt;/a&gt;&lt;sub&gt;</w:t>
      </w:r>
      <w:r>
        <w:rPr>
          <w:rStyle w:val="subscript"/>
        </w:rPr>
        <w:t>1045</w:t>
      </w:r>
      <w:r>
        <w:rPr>
          <w:rStyle w:val="htmlcodes"/>
        </w:rPr>
        <w:t>&lt;/sub&gt;</w:t>
      </w:r>
    </w:p>
    <w:p w:rsidR="00B72047" w:rsidRDefault="00B72047">
      <w:pPr>
        <w:pStyle w:val="EBNFXREF"/>
      </w:pPr>
      <w:r>
        <w:rPr>
          <w:rStyle w:val="htmlcodes"/>
        </w:rPr>
        <w:t>&lt;dt&gt;</w:t>
      </w:r>
      <w:r>
        <w:t>FEhE</w:t>
      </w:r>
      <w:r>
        <w:tab/>
      </w:r>
      <w:r>
        <w:rPr>
          <w:rStyle w:val="htmlcodes"/>
        </w:rPr>
        <w:t>&lt;dd&gt;&lt;a href=#b1049&gt;</w:t>
      </w:r>
      <w:r>
        <w:t>space</w:t>
      </w:r>
      <w:r>
        <w:noBreakHyphen/>
        <w:t>int</w:t>
      </w:r>
      <w:r>
        <w:noBreakHyphen/>
        <w:t>props</w:t>
      </w:r>
      <w:r>
        <w:rPr>
          <w:rStyle w:val="htmlcodes"/>
        </w:rPr>
        <w:t>&lt;/a&gt;&lt;sub&gt;</w:t>
      </w:r>
      <w:r>
        <w:rPr>
          <w:rStyle w:val="subscript"/>
        </w:rPr>
        <w:t>1049</w:t>
      </w:r>
      <w:r>
        <w:rPr>
          <w:rStyle w:val="htmlcodes"/>
        </w:rPr>
        <w:t>&lt;/sub&gt;</w:t>
      </w:r>
    </w:p>
    <w:p w:rsidR="00B72047" w:rsidRDefault="00B72047">
      <w:pPr>
        <w:pStyle w:val="EBNFXREF"/>
      </w:pPr>
      <w:r>
        <w:rPr>
          <w:rStyle w:val="htmlcodes"/>
        </w:rPr>
        <w:t>&lt;dt&gt;</w:t>
      </w:r>
      <w:r>
        <w:t>FEhU</w:t>
      </w:r>
      <w:r>
        <w:tab/>
      </w:r>
      <w:r>
        <w:rPr>
          <w:rStyle w:val="htmlcodes"/>
        </w:rPr>
        <w:t>&lt;dd&gt;&lt;a href=#b815&gt;</w:t>
      </w:r>
      <w:r>
        <w:t>tense</w:t>
      </w:r>
      <w:r>
        <w:noBreakHyphen/>
        <w:t>modal</w:t>
      </w:r>
      <w:r>
        <w:rPr>
          <w:rStyle w:val="htmlcodes"/>
        </w:rPr>
        <w:t>&lt;/a&gt;&lt;sub&gt;</w:t>
      </w:r>
      <w:r>
        <w:rPr>
          <w:rStyle w:val="subscript"/>
        </w:rPr>
        <w:t>815</w:t>
      </w:r>
      <w:r>
        <w:rPr>
          <w:rStyle w:val="htmlcodes"/>
        </w:rPr>
        <w:t>&lt;/sub&gt;</w:t>
      </w:r>
    </w:p>
    <w:p w:rsidR="00B72047" w:rsidRDefault="00B72047">
      <w:pPr>
        <w:pStyle w:val="EBNFXREF"/>
      </w:pPr>
      <w:r>
        <w:rPr>
          <w:rStyle w:val="htmlcodes"/>
        </w:rPr>
        <w:t>&lt;dt&gt;</w:t>
      </w:r>
      <w:r>
        <w:t>FIhO</w:t>
      </w:r>
      <w:r>
        <w:tab/>
      </w:r>
      <w:r>
        <w:rPr>
          <w:rStyle w:val="htmlcodes"/>
        </w:rPr>
        <w:t>&lt;dd&gt;&lt;a href=#b815&gt;</w:t>
      </w:r>
      <w:r>
        <w:t>tense</w:t>
      </w:r>
      <w:r>
        <w:noBreakHyphen/>
        <w:t>modal</w:t>
      </w:r>
      <w:r>
        <w:rPr>
          <w:rStyle w:val="htmlcodes"/>
        </w:rPr>
        <w:t>&lt;/a&gt;&lt;sub&gt;</w:t>
      </w:r>
      <w:r>
        <w:rPr>
          <w:rStyle w:val="subscript"/>
        </w:rPr>
        <w:t>815</w:t>
      </w:r>
      <w:r>
        <w:rPr>
          <w:rStyle w:val="htmlcodes"/>
        </w:rPr>
        <w:t>&lt;/sub&gt;</w:t>
      </w:r>
    </w:p>
    <w:p w:rsidR="00B72047" w:rsidRDefault="00B72047">
      <w:pPr>
        <w:pStyle w:val="EBNFXREF"/>
      </w:pPr>
      <w:r>
        <w:rPr>
          <w:rStyle w:val="htmlcodes"/>
        </w:rPr>
        <w:t>&lt;dt&gt;</w:t>
      </w:r>
      <w:r>
        <w:t>FOI</w:t>
      </w:r>
      <w:r>
        <w:tab/>
      </w:r>
      <w:r>
        <w:rPr>
          <w:rStyle w:val="htmlcodes"/>
        </w:rPr>
        <w:t>&lt;dd&gt;&lt;a href=#b987&gt;</w:t>
      </w:r>
      <w:r>
        <w:t>lerfu</w:t>
      </w:r>
      <w:r>
        <w:noBreakHyphen/>
        <w:t>word</w:t>
      </w:r>
      <w:r>
        <w:rPr>
          <w:rStyle w:val="htmlcodes"/>
        </w:rPr>
        <w:t>&lt;/a&gt;&lt;sub&gt;</w:t>
      </w:r>
      <w:r>
        <w:rPr>
          <w:rStyle w:val="subscript"/>
        </w:rPr>
        <w:t>987</w:t>
      </w:r>
      <w:r>
        <w:rPr>
          <w:rStyle w:val="htmlcodes"/>
        </w:rPr>
        <w:t>&lt;/sub&gt;</w:t>
      </w:r>
    </w:p>
    <w:p w:rsidR="00B72047" w:rsidRDefault="00B72047">
      <w:pPr>
        <w:pStyle w:val="EBNFXREF"/>
      </w:pPr>
      <w:r>
        <w:rPr>
          <w:rStyle w:val="htmlcodes"/>
        </w:rPr>
        <w:t>&lt;dt&gt;</w:t>
      </w:r>
      <w:r>
        <w:t>FUhA</w:t>
      </w:r>
      <w:r>
        <w:tab/>
      </w:r>
      <w:r>
        <w:rPr>
          <w:rStyle w:val="htmlcodes"/>
        </w:rPr>
        <w:t>&lt;dd&gt;&lt;a href=#b310&gt;</w:t>
      </w:r>
      <w:r>
        <w:t>mex</w:t>
      </w:r>
      <w:r>
        <w:rPr>
          <w:rStyle w:val="htmlcodes"/>
        </w:rPr>
        <w:t>&lt;/a&gt;&lt;sub&gt;</w:t>
      </w:r>
      <w:r>
        <w:rPr>
          <w:rStyle w:val="subscript"/>
        </w:rPr>
        <w:t>310</w:t>
      </w:r>
      <w:r>
        <w:rPr>
          <w:rStyle w:val="htmlcodes"/>
        </w:rPr>
        <w:t>&lt;/sub&gt;</w:t>
      </w:r>
    </w:p>
    <w:p w:rsidR="00B72047" w:rsidRDefault="00B72047">
      <w:pPr>
        <w:pStyle w:val="EBNFXREF"/>
      </w:pPr>
      <w:r>
        <w:rPr>
          <w:rStyle w:val="htmlcodes"/>
        </w:rPr>
        <w:t>&lt;dt&gt;</w:t>
      </w:r>
      <w:r>
        <w:t>FUhE</w:t>
      </w:r>
      <w:r>
        <w:tab/>
      </w:r>
      <w:r>
        <w:rPr>
          <w:rStyle w:val="htmlcodes"/>
        </w:rPr>
        <w:t>&lt;dd&gt;&lt;a href=#b411&gt;</w:t>
      </w:r>
      <w:r>
        <w:t>indicators</w:t>
      </w:r>
      <w:r>
        <w:rPr>
          <w:rStyle w:val="htmlcodes"/>
        </w:rPr>
        <w:t>&lt;/a&gt;&lt;sub&gt;</w:t>
      </w:r>
      <w:r>
        <w:rPr>
          <w:rStyle w:val="subscript"/>
        </w:rPr>
        <w:t>411</w:t>
      </w:r>
      <w:r>
        <w:rPr>
          <w:rStyle w:val="htmlcodes"/>
        </w:rPr>
        <w:t>&lt;/sub&gt;</w:t>
      </w:r>
    </w:p>
    <w:p w:rsidR="00B72047" w:rsidRDefault="00B72047">
      <w:pPr>
        <w:pStyle w:val="EBNFXREF"/>
      </w:pPr>
      <w:r>
        <w:rPr>
          <w:rStyle w:val="htmlcodes"/>
        </w:rPr>
        <w:t>&lt;dt&gt;</w:t>
      </w:r>
      <w:r>
        <w:t>FUhO</w:t>
      </w:r>
      <w:r>
        <w:tab/>
      </w:r>
      <w:r>
        <w:rPr>
          <w:rStyle w:val="htmlcodes"/>
        </w:rPr>
        <w:t>&lt;dd&gt;&lt;a href=#b413&gt;</w:t>
      </w:r>
      <w:r>
        <w:t>indicator</w:t>
      </w:r>
      <w:r>
        <w:rPr>
          <w:rStyle w:val="htmlcodes"/>
        </w:rPr>
        <w:t>&lt;/a&gt;&lt;sub&gt;</w:t>
      </w:r>
      <w:r>
        <w:rPr>
          <w:rStyle w:val="subscript"/>
        </w:rPr>
        <w:t>413</w:t>
      </w:r>
      <w:r>
        <w:rPr>
          <w:rStyle w:val="htmlcodes"/>
        </w:rPr>
        <w:t>&lt;/sub&gt;</w:t>
      </w:r>
    </w:p>
    <w:p w:rsidR="00B72047" w:rsidRDefault="00B72047">
      <w:pPr>
        <w:pStyle w:val="EBNFXREF"/>
      </w:pPr>
      <w:r>
        <w:rPr>
          <w:rStyle w:val="htmlcodes"/>
        </w:rPr>
        <w:t>&lt;dt&gt;</w:t>
      </w:r>
      <w:r>
        <w:t>GA</w:t>
      </w:r>
      <w:r>
        <w:tab/>
      </w:r>
      <w:r>
        <w:rPr>
          <w:rStyle w:val="htmlcodes"/>
        </w:rPr>
        <w:t>&lt;dd&gt;&lt;a href=#b807&gt;</w:t>
      </w:r>
      <w:r>
        <w:t>gek</w:t>
      </w:r>
      <w:r>
        <w:rPr>
          <w:rStyle w:val="htmlcodes"/>
        </w:rPr>
        <w:t>&lt;/a&gt;&lt;sub&gt;</w:t>
      </w:r>
      <w:r>
        <w:rPr>
          <w:rStyle w:val="subscript"/>
        </w:rPr>
        <w:t>807</w:t>
      </w:r>
      <w:r>
        <w:rPr>
          <w:rStyle w:val="htmlcodes"/>
        </w:rPr>
        <w:t>&lt;/sub&gt;</w:t>
      </w:r>
    </w:p>
    <w:p w:rsidR="00B72047" w:rsidRDefault="00B72047">
      <w:pPr>
        <w:pStyle w:val="EBNFXREF"/>
      </w:pPr>
      <w:r>
        <w:rPr>
          <w:rStyle w:val="htmlcodes"/>
        </w:rPr>
        <w:t>&lt;dt&gt;</w:t>
      </w:r>
      <w:r>
        <w:t>GAhO</w:t>
      </w:r>
      <w:r>
        <w:tab/>
      </w:r>
      <w:r>
        <w:rPr>
          <w:rStyle w:val="htmlcodes"/>
        </w:rPr>
        <w:t>&lt;dd&gt;&lt;a href=#b806&gt;</w:t>
      </w:r>
      <w:r>
        <w:t>joik</w:t>
      </w:r>
      <w:r>
        <w:rPr>
          <w:rStyle w:val="htmlcodes"/>
        </w:rPr>
        <w:t>&lt;/a&gt;&lt;sub&gt;</w:t>
      </w:r>
      <w:r>
        <w:rPr>
          <w:rStyle w:val="subscript"/>
        </w:rPr>
        <w:t>806</w:t>
      </w:r>
      <w:r>
        <w:rPr>
          <w:rStyle w:val="htmlcodes"/>
        </w:rPr>
        <w:t>&lt;/sub&gt;</w:t>
      </w:r>
    </w:p>
    <w:p w:rsidR="00B72047" w:rsidRDefault="00B72047">
      <w:pPr>
        <w:pStyle w:val="EBNFXREF"/>
      </w:pPr>
      <w:r>
        <w:rPr>
          <w:rStyle w:val="htmlcodes"/>
        </w:rPr>
        <w:t>&lt;dt&gt;</w:t>
      </w:r>
      <w:r>
        <w:t>GEhU</w:t>
      </w:r>
      <w:r>
        <w:tab/>
      </w:r>
      <w:r>
        <w:rPr>
          <w:rStyle w:val="htmlcodes"/>
        </w:rPr>
        <w:t>&lt;dd&gt;&lt;a href=#b122&gt;</w:t>
      </w:r>
      <w:r>
        <w:t>relative</w:t>
      </w:r>
      <w:r>
        <w:noBreakHyphen/>
        <w:t>clause</w:t>
      </w:r>
      <w:r>
        <w:rPr>
          <w:rStyle w:val="htmlcodes"/>
        </w:rPr>
        <w:t>&lt;/a&gt;&lt;sub&gt;</w:t>
      </w:r>
      <w:r>
        <w:rPr>
          <w:rStyle w:val="subscript"/>
        </w:rPr>
        <w:t>122</w:t>
      </w:r>
      <w:r>
        <w:rPr>
          <w:rStyle w:val="htmlcodes"/>
        </w:rPr>
        <w:t>&lt;/sub&gt;</w:t>
      </w:r>
    </w:p>
    <w:p w:rsidR="00B72047" w:rsidRDefault="00B72047">
      <w:pPr>
        <w:pStyle w:val="EBNFXREF"/>
      </w:pPr>
      <w:r>
        <w:rPr>
          <w:rStyle w:val="htmlcodes"/>
        </w:rPr>
        <w:t>&lt;dt&gt;</w:t>
      </w:r>
      <w:r>
        <w:t>GI</w:t>
      </w:r>
      <w:r>
        <w:tab/>
      </w:r>
      <w:r>
        <w:rPr>
          <w:rStyle w:val="htmlcodes"/>
        </w:rPr>
        <w:t>&lt;dd&gt;&lt;a href=#b807&gt;</w:t>
      </w:r>
      <w:r>
        <w:t>gek</w:t>
      </w:r>
      <w:r>
        <w:rPr>
          <w:rStyle w:val="htmlcodes"/>
        </w:rPr>
        <w:t>&lt;/a&gt;&lt;sub&gt;</w:t>
      </w:r>
      <w:r>
        <w:rPr>
          <w:rStyle w:val="subscript"/>
        </w:rPr>
        <w:t>807</w:t>
      </w:r>
      <w:r>
        <w:rPr>
          <w:rStyle w:val="htmlcodes"/>
        </w:rPr>
        <w:t>&lt;/sub&gt;</w:t>
      </w:r>
      <w:r>
        <w:t xml:space="preserve">, </w:t>
      </w:r>
      <w:r>
        <w:rPr>
          <w:rStyle w:val="htmlcodes"/>
        </w:rPr>
        <w:t>&lt;a href=#b816&gt;</w:t>
      </w:r>
      <w:r>
        <w:t>gik</w:t>
      </w:r>
      <w:r>
        <w:rPr>
          <w:rStyle w:val="htmlcodes"/>
        </w:rPr>
        <w:t>&lt;/a&gt;&lt;sub&gt;</w:t>
      </w:r>
      <w:r>
        <w:rPr>
          <w:rStyle w:val="subscript"/>
        </w:rPr>
        <w:t>816</w:t>
      </w:r>
      <w:r>
        <w:rPr>
          <w:rStyle w:val="htmlcodes"/>
        </w:rPr>
        <w:t>&lt;/sub&gt;</w:t>
      </w:r>
    </w:p>
    <w:p w:rsidR="00B72047" w:rsidRDefault="00B72047">
      <w:pPr>
        <w:pStyle w:val="EBNFXREF"/>
      </w:pPr>
      <w:r>
        <w:rPr>
          <w:rStyle w:val="htmlcodes"/>
        </w:rPr>
        <w:t>&lt;dt&gt;</w:t>
      </w:r>
      <w:r>
        <w:t>GIhA</w:t>
      </w:r>
      <w:r>
        <w:tab/>
      </w:r>
      <w:r>
        <w:rPr>
          <w:rStyle w:val="htmlcodes"/>
        </w:rPr>
        <w:t>&lt;dd&gt;&lt;a href=#b818&gt;</w:t>
      </w:r>
      <w:r>
        <w:t>gihek</w:t>
      </w:r>
      <w:r>
        <w:rPr>
          <w:rStyle w:val="htmlcodes"/>
        </w:rPr>
        <w:t>&lt;/a&gt;&lt;sub&gt;</w:t>
      </w:r>
      <w:r>
        <w:rPr>
          <w:rStyle w:val="subscript"/>
        </w:rPr>
        <w:t>818</w:t>
      </w:r>
      <w:r>
        <w:rPr>
          <w:rStyle w:val="htmlcodes"/>
        </w:rPr>
        <w:t>&lt;/sub&gt;</w:t>
      </w:r>
    </w:p>
    <w:p w:rsidR="00B72047" w:rsidRDefault="00B72047">
      <w:pPr>
        <w:pStyle w:val="EBNFXREF"/>
      </w:pPr>
      <w:r>
        <w:rPr>
          <w:rStyle w:val="htmlcodes"/>
        </w:rPr>
        <w:t>&lt;dt&gt;</w:t>
      </w:r>
      <w:r>
        <w:t>GOI</w:t>
      </w:r>
      <w:r>
        <w:tab/>
      </w:r>
      <w:r>
        <w:rPr>
          <w:rStyle w:val="htmlcodes"/>
        </w:rPr>
        <w:t>&lt;dd&gt;&lt;a href=#b122&gt;</w:t>
      </w:r>
      <w:r>
        <w:t>relative</w:t>
      </w:r>
      <w:r>
        <w:noBreakHyphen/>
        <w:t>clause</w:t>
      </w:r>
      <w:r>
        <w:rPr>
          <w:rStyle w:val="htmlcodes"/>
        </w:rPr>
        <w:t>&lt;/a&gt;&lt;sub&gt;</w:t>
      </w:r>
      <w:r>
        <w:rPr>
          <w:rStyle w:val="subscript"/>
        </w:rPr>
        <w:t>122</w:t>
      </w:r>
      <w:r>
        <w:rPr>
          <w:rStyle w:val="htmlcodes"/>
        </w:rPr>
        <w:t>&lt;/sub&gt;</w:t>
      </w:r>
    </w:p>
    <w:p w:rsidR="00B72047" w:rsidRDefault="00B72047">
      <w:pPr>
        <w:pStyle w:val="EBNFXREF"/>
      </w:pPr>
      <w:r>
        <w:rPr>
          <w:rStyle w:val="htmlcodes"/>
        </w:rPr>
        <w:t>&lt;dt&gt;</w:t>
      </w:r>
      <w:r>
        <w:t>GOhA</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GUhA</w:t>
      </w:r>
      <w:r>
        <w:tab/>
      </w:r>
      <w:r>
        <w:rPr>
          <w:rStyle w:val="htmlcodes"/>
        </w:rPr>
        <w:t>&lt;dd&gt;&lt;a href=#b808&gt;</w:t>
      </w:r>
      <w:r>
        <w:t>guhek</w:t>
      </w:r>
      <w:r>
        <w:rPr>
          <w:rStyle w:val="htmlcodes"/>
        </w:rPr>
        <w:t>&lt;/a&gt;&lt;sub&gt;</w:t>
      </w:r>
      <w:r>
        <w:rPr>
          <w:rStyle w:val="subscript"/>
        </w:rPr>
        <w:t>808</w:t>
      </w:r>
      <w:r>
        <w:rPr>
          <w:rStyle w:val="htmlcodes"/>
        </w:rPr>
        <w:t>&lt;/sub&gt;</w:t>
      </w:r>
    </w:p>
    <w:p w:rsidR="00B72047" w:rsidRDefault="00B72047">
      <w:pPr>
        <w:pStyle w:val="EBNFXREF"/>
      </w:pPr>
      <w:r>
        <w:rPr>
          <w:rStyle w:val="htmlcodes"/>
        </w:rPr>
        <w:t>&lt;dt&gt;</w:t>
      </w:r>
      <w:r>
        <w:t>I</w:t>
      </w:r>
      <w:r>
        <w:tab/>
      </w:r>
      <w:r>
        <w:rPr>
          <w:rStyle w:val="htmlcodes"/>
        </w:rPr>
        <w:t>&lt;dd&gt;&lt;a href=#b10&gt;</w:t>
      </w:r>
      <w:r>
        <w:t>paragraph</w:t>
      </w:r>
      <w:r>
        <w:rPr>
          <w:rStyle w:val="htmlcodes"/>
        </w:rPr>
        <w:t>&lt;/a&gt;&lt;sub&gt;</w:t>
      </w:r>
      <w:r>
        <w:rPr>
          <w:rStyle w:val="subscript"/>
        </w:rPr>
        <w:t>10</w:t>
      </w:r>
      <w:r>
        <w:rPr>
          <w:rStyle w:val="htmlcodes"/>
        </w:rPr>
        <w:t>&lt;/sub&gt;</w:t>
      </w:r>
      <w:r>
        <w:t xml:space="preserve">, </w:t>
      </w:r>
      <w:r>
        <w:rPr>
          <w:rStyle w:val="htmlcodes"/>
        </w:rPr>
        <w:t>&lt;a href=#b12&gt;</w:t>
      </w:r>
      <w:r>
        <w:t>statement</w:t>
      </w:r>
      <w:r>
        <w:noBreakHyphen/>
        <w:t>1</w:t>
      </w:r>
      <w:r>
        <w:rPr>
          <w:rStyle w:val="htmlcodes"/>
        </w:rPr>
        <w:t>&lt;/a&gt;&lt;sub&gt;</w:t>
      </w:r>
      <w:r>
        <w:rPr>
          <w:rStyle w:val="subscript"/>
        </w:rPr>
        <w:t>12</w:t>
      </w:r>
      <w:r>
        <w:rPr>
          <w:rStyle w:val="htmlcodes"/>
        </w:rPr>
        <w:t>&lt;/sub&gt;</w:t>
      </w:r>
      <w:r>
        <w:t xml:space="preserve">, </w:t>
      </w:r>
      <w:r>
        <w:rPr>
          <w:rStyle w:val="htmlcodes"/>
        </w:rPr>
        <w:t>&lt;a href=#b13&gt;</w:t>
      </w:r>
      <w:r>
        <w:t>statement</w:t>
      </w:r>
      <w:r>
        <w:noBreakHyphen/>
        <w:t>2</w:t>
      </w:r>
      <w:r>
        <w:rPr>
          <w:rStyle w:val="htmlcodes"/>
        </w:rPr>
        <w:t>&lt;/a&gt;&lt;sub&gt;</w:t>
      </w:r>
      <w:r>
        <w:rPr>
          <w:rStyle w:val="subscript"/>
        </w:rPr>
        <w:t>13</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JA</w:t>
      </w:r>
      <w:r>
        <w:tab/>
      </w:r>
      <w:r>
        <w:rPr>
          <w:rStyle w:val="htmlcodes"/>
        </w:rPr>
        <w:t>&lt;dd&gt;&lt;a href=#b805&gt;</w:t>
      </w:r>
      <w:r>
        <w:t>jek</w:t>
      </w:r>
      <w:r>
        <w:rPr>
          <w:rStyle w:val="htmlcodes"/>
        </w:rPr>
        <w:t>&lt;/a&gt;&lt;sub&gt;</w:t>
      </w:r>
      <w:r>
        <w:rPr>
          <w:rStyle w:val="subscript"/>
        </w:rPr>
        <w:t>805</w:t>
      </w:r>
      <w:r>
        <w:rPr>
          <w:rStyle w:val="htmlcodes"/>
        </w:rPr>
        <w:t>&lt;/sub&gt;</w:t>
      </w:r>
    </w:p>
    <w:p w:rsidR="00B72047" w:rsidRDefault="00B72047">
      <w:pPr>
        <w:pStyle w:val="EBNFXREF"/>
      </w:pPr>
      <w:r>
        <w:rPr>
          <w:rStyle w:val="htmlcodes"/>
        </w:rPr>
        <w:t>&lt;dt&gt;</w:t>
      </w:r>
      <w:r>
        <w:t>JAI</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JOI</w:t>
      </w:r>
      <w:r>
        <w:tab/>
      </w:r>
      <w:r>
        <w:rPr>
          <w:rStyle w:val="htmlcodes"/>
        </w:rPr>
        <w:t>&lt;dd&gt;&lt;a href=#b806&gt;</w:t>
      </w:r>
      <w:r>
        <w:t>joik</w:t>
      </w:r>
      <w:r>
        <w:rPr>
          <w:rStyle w:val="htmlcodes"/>
        </w:rPr>
        <w:t>&lt;/a&gt;&lt;sub&gt;</w:t>
      </w:r>
      <w:r>
        <w:rPr>
          <w:rStyle w:val="subscript"/>
        </w:rPr>
        <w:t>806</w:t>
      </w:r>
      <w:r>
        <w:rPr>
          <w:rStyle w:val="htmlcodes"/>
        </w:rPr>
        <w:t>&lt;/sub&gt;</w:t>
      </w:r>
    </w:p>
    <w:p w:rsidR="00B72047" w:rsidRDefault="00B72047">
      <w:pPr>
        <w:pStyle w:val="EBNFXREF"/>
      </w:pPr>
      <w:r>
        <w:rPr>
          <w:rStyle w:val="htmlcodes"/>
        </w:rPr>
        <w:t>&lt;dt&gt;</w:t>
      </w:r>
      <w:r>
        <w:t>JOhI</w:t>
      </w:r>
      <w:r>
        <w:tab/>
      </w:r>
      <w:r>
        <w:rPr>
          <w:rStyle w:val="htmlcodes"/>
        </w:rPr>
        <w:t>&lt;dd&gt;&lt;a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KE</w:t>
      </w:r>
      <w:r>
        <w:tab/>
      </w:r>
      <w:r>
        <w:rPr>
          <w:rStyle w:val="htmlcodes"/>
        </w:rPr>
        <w:t>&lt;dd&gt;&lt;a href=#b50&gt;</w:t>
      </w:r>
      <w:r>
        <w:t>bridi</w:t>
      </w:r>
      <w:r>
        <w:noBreakHyphen/>
        <w:t>tail</w:t>
      </w:r>
      <w:r>
        <w:rPr>
          <w:rStyle w:val="htmlcodes"/>
        </w:rPr>
        <w:t>&lt;/a&gt;&lt;sub&gt;</w:t>
      </w:r>
      <w:r>
        <w:rPr>
          <w:rStyle w:val="subscript"/>
        </w:rPr>
        <w:t>50</w:t>
      </w:r>
      <w:r>
        <w:rPr>
          <w:rStyle w:val="htmlcodes"/>
        </w:rPr>
        <w:t>&lt;/sub&gt;</w:t>
      </w:r>
      <w:r>
        <w:t xml:space="preserve">, </w:t>
      </w:r>
      <w:r>
        <w:rPr>
          <w:rStyle w:val="htmlcodes"/>
        </w:rPr>
        <w:t>&lt;a href=#b54&gt;</w:t>
      </w:r>
      <w:r>
        <w:t>gek</w:t>
      </w:r>
      <w:r>
        <w:noBreakHyphen/>
        <w:t>sentence</w:t>
      </w:r>
      <w:r>
        <w:rPr>
          <w:rStyle w:val="htmlcodes"/>
        </w:rPr>
        <w:t>&lt;/a&gt;&lt;sub&gt;</w:t>
      </w:r>
      <w:r>
        <w:rPr>
          <w:rStyle w:val="subscript"/>
        </w:rPr>
        <w:t>54</w:t>
      </w:r>
      <w:r>
        <w:rPr>
          <w:rStyle w:val="htmlcodes"/>
        </w:rPr>
        <w:t>&lt;/sub&gt;</w:t>
      </w:r>
      <w:r>
        <w:t xml:space="preserve">, </w:t>
      </w:r>
      <w:r>
        <w:rPr>
          <w:rStyle w:val="htmlcodes"/>
        </w:rPr>
        <w:t>&lt;a href=#b381&gt;</w:t>
      </w:r>
      <w:r>
        <w:t>operand</w:t>
      </w:r>
      <w:r>
        <w:rPr>
          <w:rStyle w:val="htmlcodes"/>
        </w:rPr>
        <w:t>&lt;/a&gt;&lt;sub&gt;</w:t>
      </w:r>
      <w:r>
        <w:rPr>
          <w:rStyle w:val="subscript"/>
        </w:rPr>
        <w:t>381</w:t>
      </w:r>
      <w:r>
        <w:rPr>
          <w:rStyle w:val="htmlcodes"/>
        </w:rPr>
        <w:t>&lt;/sub&gt;</w:t>
      </w:r>
      <w:r>
        <w:t xml:space="preserve">, </w:t>
      </w:r>
      <w:r>
        <w:rPr>
          <w:rStyle w:val="htmlcodes"/>
        </w:rPr>
        <w:t>&lt;a href=#b372&gt;</w:t>
      </w:r>
      <w:r>
        <w:t>operator</w:t>
      </w:r>
      <w:r>
        <w:noBreakHyphen/>
        <w:t>2</w:t>
      </w:r>
      <w:r>
        <w:rPr>
          <w:rStyle w:val="htmlcodes"/>
        </w:rPr>
        <w:t>&lt;/a&gt;&lt;sub&gt;</w:t>
      </w:r>
      <w:r>
        <w:rPr>
          <w:rStyle w:val="subscript"/>
        </w:rPr>
        <w:t>372</w:t>
      </w:r>
      <w:r>
        <w:rPr>
          <w:rStyle w:val="htmlcodes"/>
        </w:rPr>
        <w:t>&lt;/sub&gt;</w:t>
      </w:r>
      <w:r>
        <w:t xml:space="preserve">, </w:t>
      </w:r>
      <w:r>
        <w:rPr>
          <w:rStyle w:val="htmlcodes"/>
        </w:rPr>
        <w:t>&lt;a href=#b370&gt;</w:t>
      </w:r>
      <w:r>
        <w:t>operator</w:t>
      </w:r>
      <w:r>
        <w:rPr>
          <w:rStyle w:val="htmlcodes"/>
        </w:rPr>
        <w:t>&lt;/a&gt;&lt;sub&gt;</w:t>
      </w:r>
      <w:r>
        <w:rPr>
          <w:rStyle w:val="subscript"/>
        </w:rPr>
        <w:t>370</w:t>
      </w:r>
      <w:r>
        <w:rPr>
          <w:rStyle w:val="htmlcodes"/>
        </w:rPr>
        <w:t>&lt;/sub&gt;</w:t>
      </w:r>
      <w:r>
        <w:t xml:space="preserve">, </w:t>
      </w:r>
      <w:r>
        <w:rPr>
          <w:rStyle w:val="htmlcodes"/>
        </w:rPr>
        <w: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href=#b91&gt;</w:t>
      </w:r>
      <w:r>
        <w:t>sumti</w:t>
      </w:r>
      <w:r>
        <w:noBreakHyphen/>
        <w:t>1</w:t>
      </w:r>
      <w:r>
        <w:rPr>
          <w:rStyle w:val="htmlcodes"/>
        </w:rPr>
        <w:t>&lt;/a&gt;&lt;sub&gt;</w:t>
      </w:r>
      <w:r>
        <w:rPr>
          <w:rStyle w:val="subscript"/>
        </w:rPr>
        <w:t>91</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KEI</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KEhE</w:t>
      </w:r>
      <w:r>
        <w:tab/>
      </w:r>
      <w:r>
        <w:rPr>
          <w:rStyle w:val="htmlcodes"/>
        </w:rPr>
        <w:t>&lt;dd&gt;&lt;a href=#b50&gt;</w:t>
      </w:r>
      <w:r>
        <w:t>bridi</w:t>
      </w:r>
      <w:r>
        <w:noBreakHyphen/>
        <w:t>tail</w:t>
      </w:r>
      <w:r>
        <w:rPr>
          <w:rStyle w:val="htmlcodes"/>
        </w:rPr>
        <w:t>&lt;/a&gt;&lt;sub&gt;</w:t>
      </w:r>
      <w:r>
        <w:rPr>
          <w:rStyle w:val="subscript"/>
        </w:rPr>
        <w:t>50</w:t>
      </w:r>
      <w:r>
        <w:rPr>
          <w:rStyle w:val="htmlcodes"/>
        </w:rPr>
        <w:t>&lt;/sub&gt;</w:t>
      </w:r>
      <w:r>
        <w:t xml:space="preserve">, </w:t>
      </w:r>
      <w:r>
        <w:rPr>
          <w:rStyle w:val="htmlcodes"/>
        </w:rPr>
        <w:t>&lt;a href=#b54&gt;</w:t>
      </w:r>
      <w:r>
        <w:t>gek</w:t>
      </w:r>
      <w:r>
        <w:noBreakHyphen/>
        <w:t>sentence</w:t>
      </w:r>
      <w:r>
        <w:rPr>
          <w:rStyle w:val="htmlcodes"/>
        </w:rPr>
        <w:t>&lt;/a&gt;&lt;sub&gt;</w:t>
      </w:r>
      <w:r>
        <w:rPr>
          <w:rStyle w:val="subscript"/>
        </w:rPr>
        <w:t>54</w:t>
      </w:r>
      <w:r>
        <w:rPr>
          <w:rStyle w:val="htmlcodes"/>
        </w:rPr>
        <w:t>&lt;/sub&gt;</w:t>
      </w:r>
      <w:r>
        <w:t xml:space="preserve">, </w:t>
      </w:r>
      <w:r>
        <w:rPr>
          <w:rStyle w:val="htmlcodes"/>
        </w:rPr>
        <w:t>&lt;a href=#b381&gt;</w:t>
      </w:r>
      <w:r>
        <w:t>operand</w:t>
      </w:r>
      <w:r>
        <w:rPr>
          <w:rStyle w:val="htmlcodes"/>
        </w:rPr>
        <w:t>&lt;/a&gt;&lt;sub&gt;</w:t>
      </w:r>
      <w:r>
        <w:rPr>
          <w:rStyle w:val="subscript"/>
        </w:rPr>
        <w:t>381</w:t>
      </w:r>
      <w:r>
        <w:rPr>
          <w:rStyle w:val="htmlcodes"/>
        </w:rPr>
        <w:t>&lt;/sub&gt;</w:t>
      </w:r>
      <w:r>
        <w:t xml:space="preserve">, </w:t>
      </w:r>
      <w:r>
        <w:rPr>
          <w:rStyle w:val="htmlcodes"/>
        </w:rPr>
        <w:t>&lt;a href=#b372&gt;</w:t>
      </w:r>
      <w:r>
        <w:t>operator</w:t>
      </w:r>
      <w:r>
        <w:noBreakHyphen/>
        <w:t>2</w:t>
      </w:r>
      <w:r>
        <w:rPr>
          <w:rStyle w:val="htmlcodes"/>
        </w:rPr>
        <w:t>&lt;/a&gt;&lt;sub&gt;</w:t>
      </w:r>
      <w:r>
        <w:rPr>
          <w:rStyle w:val="subscript"/>
        </w:rPr>
        <w:t>372</w:t>
      </w:r>
      <w:r>
        <w:rPr>
          <w:rStyle w:val="htmlcodes"/>
        </w:rPr>
        <w:t>&lt;/sub&gt;</w:t>
      </w:r>
      <w:r>
        <w:t xml:space="preserve">, </w:t>
      </w:r>
      <w:r>
        <w:rPr>
          <w:rStyle w:val="htmlcodes"/>
        </w:rPr>
        <w:t>&lt;a href=#b370&gt;</w:t>
      </w:r>
      <w:r>
        <w:t>operator</w:t>
      </w:r>
      <w:r>
        <w:rPr>
          <w:rStyle w:val="htmlcodes"/>
        </w:rPr>
        <w:t>&lt;/a&gt;&lt;sub&gt;</w:t>
      </w:r>
      <w:r>
        <w:rPr>
          <w:rStyle w:val="subscript"/>
        </w:rPr>
        <w:t>370</w:t>
      </w:r>
      <w:r>
        <w:rPr>
          <w:rStyle w:val="htmlcodes"/>
        </w:rPr>
        <w:t>&lt;/sub&gt;</w:t>
      </w:r>
      <w:r>
        <w:t xml:space="preserve">, </w:t>
      </w:r>
      <w:r>
        <w:rPr>
          <w:rStyle w:val="htmlcodes"/>
        </w:rPr>
        <w: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href=#b91&gt;</w:t>
      </w:r>
      <w:r>
        <w:t>sumti</w:t>
      </w:r>
      <w:r>
        <w:noBreakHyphen/>
        <w:t>1</w:t>
      </w:r>
      <w:r>
        <w:rPr>
          <w:rStyle w:val="htmlcodes"/>
        </w:rPr>
        <w:t>&lt;/a&gt;&lt;sub&gt;</w:t>
      </w:r>
      <w:r>
        <w:rPr>
          <w:rStyle w:val="subscript"/>
        </w:rPr>
        <w:t>91</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KI</w:t>
      </w:r>
      <w:r>
        <w:tab/>
      </w:r>
      <w:r>
        <w:rPr>
          <w:rStyle w:val="htmlcodes"/>
        </w:rPr>
        <w:t>&lt;dd&gt;&lt;a href=#b972&gt;</w:t>
      </w:r>
      <w:r>
        <w:t>simple</w:t>
      </w:r>
      <w:r>
        <w:noBreakHyphen/>
        <w:t>tense</w:t>
      </w:r>
      <w:r>
        <w:noBreakHyphen/>
        <w:t>modal</w:t>
      </w:r>
      <w:r>
        <w:rPr>
          <w:rStyle w:val="htmlcodes"/>
        </w:rPr>
        <w:t>&lt;/a&gt;&lt;sub&gt;</w:t>
      </w:r>
      <w:r>
        <w:rPr>
          <w:rStyle w:val="subscript"/>
        </w:rPr>
        <w:t>972</w:t>
      </w:r>
      <w:r>
        <w:rPr>
          <w:rStyle w:val="htmlcodes"/>
        </w:rPr>
        <w:t>&lt;/sub&gt;</w:t>
      </w:r>
    </w:p>
    <w:p w:rsidR="00B72047" w:rsidRDefault="00B72047">
      <w:pPr>
        <w:pStyle w:val="EBNFXREF"/>
      </w:pPr>
      <w:r>
        <w:rPr>
          <w:rStyle w:val="htmlcodes"/>
        </w:rPr>
        <w:t>&lt;dt&gt;</w:t>
      </w:r>
      <w:r>
        <w:t>KOhA</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KU</w:t>
      </w:r>
      <w:r>
        <w:tab/>
      </w:r>
      <w:r>
        <w:rPr>
          <w:rStyle w:val="htmlcodes"/>
        </w:rPr>
        <w:t>&lt;dd&gt;&lt;a href=#b95&gt;</w:t>
      </w:r>
      <w:r>
        <w:t>sumti</w:t>
      </w:r>
      <w:r>
        <w:noBreakHyphen/>
        <w:t>5</w:t>
      </w:r>
      <w:r>
        <w:rPr>
          <w:rStyle w:val="htmlcodes"/>
        </w:rPr>
        <w:t>&lt;/a&gt;&lt;sub&gt;</w:t>
      </w:r>
      <w:r>
        <w:rPr>
          <w:rStyle w:val="subscript"/>
        </w:rPr>
        <w:t>95</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href=#b83&gt;</w:t>
      </w:r>
      <w:r>
        <w:t>term</w:t>
      </w:r>
      <w:r>
        <w:rPr>
          <w:rStyle w:val="htmlcodes"/>
        </w:rPr>
        <w:t>&lt;/a&gt;&lt;sub&gt;</w:t>
      </w:r>
      <w:r>
        <w:rPr>
          <w:rStyle w:val="subscript"/>
        </w:rPr>
        <w:t>83</w:t>
      </w:r>
      <w:r>
        <w:rPr>
          <w:rStyle w:val="htmlcodes"/>
        </w:rPr>
        <w:t>&lt;/sub&gt;</w:t>
      </w:r>
    </w:p>
    <w:p w:rsidR="00B72047" w:rsidRDefault="00B72047">
      <w:pPr>
        <w:pStyle w:val="EBNFXREF"/>
      </w:pPr>
      <w:r>
        <w:rPr>
          <w:rStyle w:val="htmlcodes"/>
        </w:rPr>
        <w:t>&lt;dt&gt;</w:t>
      </w:r>
      <w:r>
        <w:t>KUhE</w:t>
      </w:r>
      <w:r>
        <w:tab/>
      </w:r>
      <w:r>
        <w:rPr>
          <w:rStyle w:val="htmlcodes"/>
        </w:rPr>
        <w:t>&lt;dd&gt;&lt;a href=#b312&gt;</w:t>
      </w:r>
      <w:r>
        <w:t>mex</w:t>
      </w:r>
      <w:r>
        <w:noBreakHyphen/>
        <w:t>2</w:t>
      </w:r>
      <w:r>
        <w:rPr>
          <w:rStyle w:val="htmlcodes"/>
        </w:rPr>
        <w:t>&lt;/a&gt;&lt;sub&gt;</w:t>
      </w:r>
      <w:r>
        <w:rPr>
          <w:rStyle w:val="subscript"/>
        </w:rPr>
        <w:t>312</w:t>
      </w:r>
      <w:r>
        <w:rPr>
          <w:rStyle w:val="htmlcodes"/>
        </w:rPr>
        <w:t>&lt;/sub&gt;</w:t>
      </w:r>
    </w:p>
    <w:p w:rsidR="00B72047" w:rsidRDefault="00B72047">
      <w:pPr>
        <w:pStyle w:val="EBNFXREF"/>
      </w:pPr>
      <w:r>
        <w:rPr>
          <w:rStyle w:val="htmlcodes"/>
        </w:rPr>
        <w:t>&lt;dt&gt;</w:t>
      </w:r>
      <w:r>
        <w:t>KUhO</w:t>
      </w:r>
      <w:r>
        <w:tab/>
      </w:r>
      <w:r>
        <w:rPr>
          <w:rStyle w:val="htmlcodes"/>
        </w:rPr>
        <w:t>&lt;dd&gt;&lt;a href=#b122&gt;</w:t>
      </w:r>
      <w:r>
        <w:t>relative</w:t>
      </w:r>
      <w:r>
        <w:noBreakHyphen/>
        <w:t>clause</w:t>
      </w:r>
      <w:r>
        <w:rPr>
          <w:rStyle w:val="htmlcodes"/>
        </w:rPr>
        <w:t>&lt;/a&gt;&lt;sub&gt;</w:t>
      </w:r>
      <w:r>
        <w:rPr>
          <w:rStyle w:val="subscript"/>
        </w:rPr>
        <w:t>122</w:t>
      </w:r>
      <w:r>
        <w:rPr>
          <w:rStyle w:val="htmlcodes"/>
        </w:rPr>
        <w:t>&lt;/sub&gt;</w:t>
      </w:r>
    </w:p>
    <w:p w:rsidR="00B72047" w:rsidRDefault="00B72047">
      <w:pPr>
        <w:pStyle w:val="EBNFXREF"/>
      </w:pPr>
      <w:r>
        <w:rPr>
          <w:rStyle w:val="htmlcodes"/>
        </w:rPr>
        <w:t>&lt;dt&gt;</w:t>
      </w:r>
      <w:r>
        <w:t>LA</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LAU</w:t>
      </w:r>
      <w:r>
        <w:tab/>
      </w:r>
      <w:r>
        <w:rPr>
          <w:rStyle w:val="htmlcodes"/>
        </w:rPr>
        <w:t>&lt;dd&gt;&lt;a href=#b987&gt;</w:t>
      </w:r>
      <w:r>
        <w:t>lerfu</w:t>
      </w:r>
      <w:r>
        <w:noBreakHyphen/>
        <w:t>word</w:t>
      </w:r>
      <w:r>
        <w:rPr>
          <w:rStyle w:val="htmlcodes"/>
        </w:rPr>
        <w:t>&lt;/a&gt;&lt;sub&gt;</w:t>
      </w:r>
      <w:r>
        <w:rPr>
          <w:rStyle w:val="subscript"/>
        </w:rPr>
        <w:t>987</w:t>
      </w:r>
      <w:r>
        <w:rPr>
          <w:rStyle w:val="htmlcodes"/>
        </w:rPr>
        <w:t>&lt;/sub&gt;</w:t>
      </w:r>
    </w:p>
    <w:p w:rsidR="00B72047" w:rsidRDefault="00B72047">
      <w:pPr>
        <w:pStyle w:val="EBNFXREF"/>
      </w:pPr>
      <w:r>
        <w:rPr>
          <w:rStyle w:val="htmlcodes"/>
        </w:rPr>
        <w:t>&lt;dt&gt;</w:t>
      </w:r>
      <w:r>
        <w:t>LAhE</w:t>
      </w:r>
      <w:r>
        <w:tab/>
      </w:r>
      <w:r>
        <w:rPr>
          <w:rStyle w:val="htmlcodes"/>
        </w:rPr>
        <w:t>&lt;dd&gt;&lt;a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LE</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LEhU</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LI</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LIhU</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LOhO</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LOhU</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LU</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LUhU</w:t>
      </w:r>
      <w:r>
        <w:tab/>
      </w:r>
      <w:r>
        <w:rPr>
          <w:rStyle w:val="htmlcodes"/>
        </w:rPr>
        <w:t>&lt;dd&gt;&lt;a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MAI</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MAhO</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p>
    <w:p w:rsidR="00B72047" w:rsidRDefault="00B72047">
      <w:pPr>
        <w:pStyle w:val="EBNFXREF"/>
      </w:pPr>
      <w:r>
        <w:rPr>
          <w:rStyle w:val="htmlcodes"/>
        </w:rPr>
        <w:t>&lt;dt&gt;</w:t>
      </w:r>
      <w:r>
        <w:t>ME</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MEhU</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MOI</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MOhE</w:t>
      </w:r>
      <w:r>
        <w:tab/>
      </w:r>
      <w:r>
        <w:rPr>
          <w:rStyle w:val="htmlcodes"/>
        </w:rPr>
        <w:t>&lt;dd&gt;&lt;a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MOhI</w:t>
      </w:r>
      <w:r>
        <w:tab/>
      </w:r>
      <w:r>
        <w:rPr>
          <w:rStyle w:val="htmlcodes"/>
        </w:rPr>
        <w:t>&lt;dd&gt;&lt;a href=#b1040&gt;</w:t>
      </w:r>
      <w:r>
        <w:t>space</w:t>
      </w:r>
      <w:r>
        <w:rPr>
          <w:rStyle w:val="htmlcodes"/>
        </w:rPr>
        <w:t>&lt;/a&gt;&lt;sub&gt;</w:t>
      </w:r>
      <w:r>
        <w:rPr>
          <w:rStyle w:val="subscript"/>
        </w:rPr>
        <w:t>1040</w:t>
      </w:r>
      <w:r>
        <w:rPr>
          <w:rStyle w:val="htmlcodes"/>
        </w:rPr>
        <w:t>&lt;/sub&gt;</w:t>
      </w:r>
    </w:p>
    <w:p w:rsidR="00B72047" w:rsidRDefault="00B72047">
      <w:pPr>
        <w:pStyle w:val="EBNFXREF"/>
      </w:pPr>
      <w:r>
        <w:rPr>
          <w:rStyle w:val="htmlcodes"/>
        </w:rPr>
        <w:t>&lt;dt&gt;</w:t>
      </w:r>
      <w:r>
        <w:t>NA</w:t>
      </w:r>
      <w:r>
        <w:tab/>
      </w:r>
      <w:r>
        <w:rPr>
          <w:rStyle w:val="htmlcodes"/>
        </w:rPr>
        <w:t>&lt;dd&gt;&lt;a href=#b802&gt;</w:t>
      </w:r>
      <w:r>
        <w:t>ek</w:t>
      </w:r>
      <w:r>
        <w:rPr>
          <w:rStyle w:val="htmlcodes"/>
        </w:rPr>
        <w:t>&lt;/a&gt;&lt;sub&gt;</w:t>
      </w:r>
      <w:r>
        <w:rPr>
          <w:rStyle w:val="subscript"/>
        </w:rPr>
        <w:t>802</w:t>
      </w:r>
      <w:r>
        <w:rPr>
          <w:rStyle w:val="htmlcodes"/>
        </w:rPr>
        <w:t>&lt;/sub&gt;</w:t>
      </w:r>
      <w:r>
        <w:t xml:space="preserve">, </w:t>
      </w:r>
      <w:r>
        <w:rPr>
          <w:rStyle w:val="htmlcodes"/>
        </w:rPr>
        <w:t>&lt;a href=#b20&gt;</w:t>
      </w:r>
      <w:r>
        <w:t>fragment</w:t>
      </w:r>
      <w:r>
        <w:rPr>
          <w:rStyle w:val="htmlcodes"/>
        </w:rPr>
        <w:t>&lt;/a&gt;&lt;sub&gt;</w:t>
      </w:r>
      <w:r>
        <w:rPr>
          <w:rStyle w:val="subscript"/>
        </w:rPr>
        <w:t>20</w:t>
      </w:r>
      <w:r>
        <w:rPr>
          <w:rStyle w:val="htmlcodes"/>
        </w:rPr>
        <w:t>&lt;/sub&gt;</w:t>
      </w:r>
      <w:r>
        <w:t xml:space="preserve">, </w:t>
      </w:r>
      <w:r>
        <w:rPr>
          <w:rStyle w:val="htmlcodes"/>
        </w:rPr>
        <w:t>&lt;a href=#b54&gt;</w:t>
      </w:r>
      <w:r>
        <w:t>gek</w:t>
      </w:r>
      <w:r>
        <w:noBreakHyphen/>
        <w:t>sentence</w:t>
      </w:r>
      <w:r>
        <w:rPr>
          <w:rStyle w:val="htmlcodes"/>
        </w:rPr>
        <w:t>&lt;/a&gt;&lt;sub&gt;</w:t>
      </w:r>
      <w:r>
        <w:rPr>
          <w:rStyle w:val="subscript"/>
        </w:rPr>
        <w:t>54</w:t>
      </w:r>
      <w:r>
        <w:rPr>
          <w:rStyle w:val="htmlcodes"/>
        </w:rPr>
        <w:t>&lt;/sub&gt;</w:t>
      </w:r>
      <w:r>
        <w:t xml:space="preserve">, </w:t>
      </w:r>
      <w:r>
        <w:rPr>
          <w:rStyle w:val="htmlcodes"/>
        </w:rPr>
        <w:t>&lt;a href=#b818&gt;</w:t>
      </w:r>
      <w:r>
        <w:t>gihek</w:t>
      </w:r>
      <w:r>
        <w:rPr>
          <w:rStyle w:val="htmlcodes"/>
        </w:rPr>
        <w:t>&lt;/a&gt;&lt;sub&gt;</w:t>
      </w:r>
      <w:r>
        <w:rPr>
          <w:rStyle w:val="subscript"/>
        </w:rPr>
        <w:t>818</w:t>
      </w:r>
      <w:r>
        <w:rPr>
          <w:rStyle w:val="htmlcodes"/>
        </w:rPr>
        <w:t>&lt;/sub&gt;</w:t>
      </w:r>
      <w:r>
        <w:t xml:space="preserve">, </w:t>
      </w:r>
      <w:r>
        <w:rPr>
          <w:rStyle w:val="htmlcodes"/>
        </w:rPr>
        <w:t>&lt;a href=#b805&gt;</w:t>
      </w:r>
      <w:r>
        <w:t>jek</w:t>
      </w:r>
      <w:r>
        <w:rPr>
          <w:rStyle w:val="htmlcodes"/>
        </w:rPr>
        <w:t>&lt;/a&gt;&lt;sub&gt;</w:t>
      </w:r>
      <w:r>
        <w:rPr>
          <w:rStyle w:val="subscript"/>
        </w:rPr>
        <w:t>805</w:t>
      </w:r>
      <w:r>
        <w:rPr>
          <w:rStyle w:val="htmlcodes"/>
        </w:rPr>
        <w:t>&lt;/sub&gt;</w:t>
      </w:r>
      <w:r>
        <w:t xml:space="preserve">, </w:t>
      </w:r>
      <w:r>
        <w:rPr>
          <w:rStyle w:val="htmlcodes"/>
        </w:rPr>
        <w:t>&lt;a href=#b131&gt;</w:t>
      </w:r>
      <w:r>
        <w:t>selbri</w:t>
      </w:r>
      <w:r>
        <w:noBreakHyphen/>
        <w:t>1</w:t>
      </w:r>
      <w:r>
        <w:rPr>
          <w:rStyle w:val="htmlcodes"/>
        </w:rPr>
        <w:t>&lt;/a&gt;&lt;sub&gt;</w:t>
      </w:r>
      <w:r>
        <w:rPr>
          <w:rStyle w:val="subscript"/>
        </w:rPr>
        <w:t>131</w:t>
      </w:r>
      <w:r>
        <w:rPr>
          <w:rStyle w:val="htmlcodes"/>
        </w:rPr>
        <w:t>&lt;/sub&gt;</w:t>
      </w:r>
      <w:r>
        <w:t xml:space="preserve">, </w:t>
      </w:r>
      <w:r>
        <w:rPr>
          <w:rStyle w:val="htmlcodes"/>
        </w:rPr>
        <w:t>&lt;a href=#b83&gt;</w:t>
      </w:r>
      <w:r>
        <w:t>term</w:t>
      </w:r>
      <w:r>
        <w:rPr>
          <w:rStyle w:val="htmlcodes"/>
        </w:rPr>
        <w:t>&lt;/a&gt;&lt;sub&gt;</w:t>
      </w:r>
      <w:r>
        <w:rPr>
          <w:rStyle w:val="subscript"/>
        </w:rPr>
        <w:t>83</w:t>
      </w:r>
      <w:r>
        <w:rPr>
          <w:rStyle w:val="htmlcodes"/>
        </w:rPr>
        <w:t>&lt;/sub&gt;</w:t>
      </w:r>
    </w:p>
    <w:p w:rsidR="00B72047" w:rsidRDefault="00B72047">
      <w:pPr>
        <w:pStyle w:val="EBNFXREF"/>
      </w:pPr>
      <w:r>
        <w:rPr>
          <w:rStyle w:val="htmlcodes"/>
        </w:rPr>
        <w:t>&lt;dt&gt;</w:t>
      </w:r>
      <w:r>
        <w:t>NAI</w:t>
      </w:r>
      <w:r>
        <w:tab/>
      </w:r>
      <w:r>
        <w:rPr>
          <w:rStyle w:val="htmlcodes"/>
        </w:rPr>
        <w:t>&lt;dd&gt;&lt;a href=#b802&gt;</w:t>
      </w:r>
      <w:r>
        <w:t>ek</w:t>
      </w:r>
      <w:r>
        <w:rPr>
          <w:rStyle w:val="htmlcodes"/>
        </w:rPr>
        <w:t>&lt;/a&gt;&lt;sub&gt;</w:t>
      </w:r>
      <w:r>
        <w:rPr>
          <w:rStyle w:val="subscript"/>
        </w:rPr>
        <w:t>802</w:t>
      </w:r>
      <w:r>
        <w:rPr>
          <w:rStyle w:val="htmlcodes"/>
        </w:rPr>
        <w:t>&lt;/sub&gt;</w:t>
      </w:r>
      <w:r>
        <w:t xml:space="preserve">, </w:t>
      </w:r>
      <w:r>
        <w:rPr>
          <w:rStyle w:val="htmlcodes"/>
        </w:rPr>
        <w:t>&lt;a href=#b807&gt;</w:t>
      </w:r>
      <w:r>
        <w:t>gek</w:t>
      </w:r>
      <w:r>
        <w:rPr>
          <w:rStyle w:val="htmlcodes"/>
        </w:rPr>
        <w:t>&lt;/a&gt;&lt;sub&gt;</w:t>
      </w:r>
      <w:r>
        <w:rPr>
          <w:rStyle w:val="subscript"/>
        </w:rPr>
        <w:t>807</w:t>
      </w:r>
      <w:r>
        <w:rPr>
          <w:rStyle w:val="htmlcodes"/>
        </w:rPr>
        <w:t>&lt;/sub&gt;</w:t>
      </w:r>
      <w:r>
        <w:t xml:space="preserve">, </w:t>
      </w:r>
      <w:r>
        <w:rPr>
          <w:rStyle w:val="htmlcodes"/>
        </w:rPr>
        <w:t>&lt;a href=#b818&gt;</w:t>
      </w:r>
      <w:r>
        <w:t>gihek</w:t>
      </w:r>
      <w:r>
        <w:rPr>
          <w:rStyle w:val="htmlcodes"/>
        </w:rPr>
        <w:t>&lt;/a&gt;&lt;sub&gt;</w:t>
      </w:r>
      <w:r>
        <w:rPr>
          <w:rStyle w:val="subscript"/>
        </w:rPr>
        <w:t>818</w:t>
      </w:r>
      <w:r>
        <w:rPr>
          <w:rStyle w:val="htmlcodes"/>
        </w:rPr>
        <w:t>&lt;/sub&gt;</w:t>
      </w:r>
      <w:r>
        <w:t xml:space="preserve">, </w:t>
      </w:r>
      <w:r>
        <w:rPr>
          <w:rStyle w:val="htmlcodes"/>
        </w:rPr>
        <w:t>&lt;a href=#b816&gt;</w:t>
      </w:r>
      <w:r>
        <w:t>gik</w:t>
      </w:r>
      <w:r>
        <w:rPr>
          <w:rStyle w:val="htmlcodes"/>
        </w:rPr>
        <w:t>&lt;/a&gt;&lt;sub&gt;</w:t>
      </w:r>
      <w:r>
        <w:rPr>
          <w:rStyle w:val="subscript"/>
        </w:rPr>
        <w:t>816</w:t>
      </w:r>
      <w:r>
        <w:rPr>
          <w:rStyle w:val="htmlcodes"/>
        </w:rPr>
        <w:t>&lt;/sub&gt;</w:t>
      </w:r>
      <w:r>
        <w:t xml:space="preserve">, </w:t>
      </w:r>
      <w:r>
        <w:rPr>
          <w:rStyle w:val="htmlcodes"/>
        </w:rPr>
        <w:t>&lt;a href=#b808&gt;</w:t>
      </w:r>
      <w:r>
        <w:t>guhek</w:t>
      </w:r>
      <w:r>
        <w:rPr>
          <w:rStyle w:val="htmlcodes"/>
        </w:rPr>
        <w:t>&lt;/a&gt;&lt;sub&gt;</w:t>
      </w:r>
      <w:r>
        <w:rPr>
          <w:rStyle w:val="subscript"/>
        </w:rPr>
        <w:t>808</w:t>
      </w:r>
      <w:r>
        <w:rPr>
          <w:rStyle w:val="htmlcodes"/>
        </w:rPr>
        <w:t>&lt;/sub&gt;</w:t>
      </w:r>
      <w:r>
        <w:t xml:space="preserve">, </w:t>
      </w:r>
      <w:r>
        <w:rPr>
          <w:rStyle w:val="htmlcodes"/>
        </w:rPr>
        <w:t>&lt;a href=#b413&gt;</w:t>
      </w:r>
      <w:r>
        <w:t>indicator</w:t>
      </w:r>
      <w:r>
        <w:rPr>
          <w:rStyle w:val="htmlcodes"/>
        </w:rPr>
        <w:t>&lt;/a&gt;&lt;sub&gt;</w:t>
      </w:r>
      <w:r>
        <w:rPr>
          <w:rStyle w:val="subscript"/>
        </w:rPr>
        <w:t>413</w:t>
      </w:r>
      <w:r>
        <w:rPr>
          <w:rStyle w:val="htmlcodes"/>
        </w:rPr>
        <w:t>&lt;/sub&gt;</w:t>
      </w:r>
      <w:r>
        <w:t xml:space="preserve">, </w:t>
      </w:r>
      <w:r>
        <w:rPr>
          <w:rStyle w:val="htmlcodes"/>
        </w:rPr>
        <w:t>&lt;a href=#b1051&gt;</w:t>
      </w:r>
      <w:r>
        <w:t>inte</w:t>
      </w:r>
      <w:r>
        <w:t>r</w:t>
      </w:r>
      <w:r>
        <w:t>val</w:t>
      </w:r>
      <w:r>
        <w:noBreakHyphen/>
        <w:t>property</w:t>
      </w:r>
      <w:r>
        <w:rPr>
          <w:rStyle w:val="htmlcodes"/>
        </w:rPr>
        <w:t>&lt;/a&gt;&lt;sub&gt;</w:t>
      </w:r>
      <w:r>
        <w:rPr>
          <w:rStyle w:val="subscript"/>
        </w:rPr>
        <w:t>1051</w:t>
      </w:r>
      <w:r>
        <w:rPr>
          <w:rStyle w:val="htmlcodes"/>
        </w:rPr>
        <w:t>&lt;/sub&gt;</w:t>
      </w:r>
      <w:r>
        <w:t xml:space="preserve">, </w:t>
      </w:r>
      <w:r>
        <w:rPr>
          <w:rStyle w:val="htmlcodes"/>
        </w:rPr>
        <w:t>&lt;a href=#b932&gt;</w:t>
      </w:r>
      <w:r>
        <w:t>interval</w:t>
      </w:r>
      <w:r>
        <w:rPr>
          <w:rStyle w:val="htmlcodes"/>
        </w:rPr>
        <w:t>&lt;/a&gt;&lt;sub&gt;</w:t>
      </w:r>
      <w:r>
        <w:rPr>
          <w:rStyle w:val="subscript"/>
        </w:rPr>
        <w:t>932</w:t>
      </w:r>
      <w:r>
        <w:rPr>
          <w:rStyle w:val="htmlcodes"/>
        </w:rPr>
        <w:t>&lt;/sub&gt;</w:t>
      </w:r>
      <w:r>
        <w:t xml:space="preserve">, </w:t>
      </w:r>
      <w:r>
        <w:rPr>
          <w:rStyle w:val="htmlcodes"/>
        </w:rPr>
        <w:t>&lt;a href=#b805&gt;</w:t>
      </w:r>
      <w:r>
        <w:t>jek</w:t>
      </w:r>
      <w:r>
        <w:rPr>
          <w:rStyle w:val="htmlcodes"/>
        </w:rPr>
        <w:t>&lt;/a&gt;&lt;sub&gt;</w:t>
      </w:r>
      <w:r>
        <w:rPr>
          <w:rStyle w:val="subscript"/>
        </w:rPr>
        <w:t>805</w:t>
      </w:r>
      <w:r>
        <w:rPr>
          <w:rStyle w:val="htmlcodes"/>
        </w:rPr>
        <w:t>&lt;/sub&gt;</w:t>
      </w:r>
      <w:r>
        <w:t xml:space="preserve">, </w:t>
      </w:r>
      <w:r>
        <w:rPr>
          <w:rStyle w:val="htmlcodes"/>
        </w:rPr>
        <w:t>&lt;a href=#b806&gt;</w:t>
      </w:r>
      <w:r>
        <w:t>joik</w:t>
      </w:r>
      <w:r>
        <w:rPr>
          <w:rStyle w:val="htmlcodes"/>
        </w:rPr>
        <w:t>&lt;/a&gt;&lt;sub&gt;</w:t>
      </w:r>
      <w:r>
        <w:rPr>
          <w:rStyle w:val="subscript"/>
        </w:rPr>
        <w:t>806</w:t>
      </w:r>
      <w:r>
        <w:rPr>
          <w:rStyle w:val="htmlcodes"/>
        </w:rPr>
        <w:t>&lt;/sub&gt;</w:t>
      </w:r>
      <w:r>
        <w:t xml:space="preserve">, </w:t>
      </w:r>
      <w:r>
        <w:rPr>
          <w:rStyle w:val="htmlcodes"/>
        </w:rPr>
        <w:t>&lt;a href=#b972&gt;</w:t>
      </w:r>
      <w:r>
        <w:t>si</w:t>
      </w:r>
      <w:r>
        <w:t>m</w:t>
      </w:r>
      <w:r>
        <w:t>ple</w:t>
      </w:r>
      <w:r>
        <w:noBreakHyphen/>
        <w:t>tense</w:t>
      </w:r>
      <w:r>
        <w:noBreakHyphen/>
        <w:t>modal</w:t>
      </w:r>
      <w:r>
        <w:rPr>
          <w:rStyle w:val="htmlcodes"/>
        </w:rPr>
        <w:t>&lt;/a&gt;&lt;sub&gt;</w:t>
      </w:r>
      <w:r>
        <w:rPr>
          <w:rStyle w:val="subscript"/>
        </w:rPr>
        <w:t>972</w:t>
      </w:r>
      <w:r>
        <w:rPr>
          <w:rStyle w:val="htmlcodes"/>
        </w:rPr>
        <w:t>&lt;/sub&gt;</w:t>
      </w:r>
      <w:r>
        <w:t xml:space="preserve">, </w:t>
      </w:r>
      <w:r>
        <w:rPr>
          <w:rStyle w:val="htmlcodes"/>
        </w:rPr>
        <w:t>&lt;a href=#b1046&gt;</w:t>
      </w:r>
      <w:r>
        <w:t>space</w:t>
      </w:r>
      <w:r>
        <w:noBreakHyphen/>
        <w:t>interval</w:t>
      </w:r>
      <w:r>
        <w:rPr>
          <w:rStyle w:val="htmlcodes"/>
        </w:rPr>
        <w:t>&lt;/a&gt;&lt;sub&gt;</w:t>
      </w:r>
      <w:r>
        <w:rPr>
          <w:rStyle w:val="subscript"/>
        </w:rPr>
        <w:t>1046</w:t>
      </w:r>
      <w:r>
        <w:rPr>
          <w:rStyle w:val="htmlcodes"/>
        </w:rPr>
        <w:t>&lt;/sub&gt;</w:t>
      </w:r>
      <w:r>
        <w:t xml:space="preserve">, </w:t>
      </w:r>
      <w:r>
        <w:rPr>
          <w:rStyle w:val="htmlcodes"/>
        </w:rPr>
        <w:t>&lt;a href=#b1045&gt;</w:t>
      </w:r>
      <w:r>
        <w:t>space</w:t>
      </w:r>
      <w:r>
        <w:noBreakHyphen/>
        <w:t>offset</w:t>
      </w:r>
      <w:r>
        <w:rPr>
          <w:rStyle w:val="htmlcodes"/>
        </w:rPr>
        <w:t>&lt;/a&gt;&lt;sub&gt;</w:t>
      </w:r>
      <w:r>
        <w:rPr>
          <w:rStyle w:val="subscript"/>
        </w:rPr>
        <w:t>1045</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r>
        <w:t xml:space="preserve">, </w:t>
      </w:r>
      <w:r>
        <w:rPr>
          <w:rStyle w:val="htmlcodes"/>
        </w:rPr>
        <w:t>&lt;a href=#b0&gt;</w:t>
      </w:r>
      <w:r>
        <w:t>text</w:t>
      </w:r>
      <w:r>
        <w:rPr>
          <w:rStyle w:val="htmlcodes"/>
        </w:rPr>
        <w:t>&lt;/a&gt;&lt;sub&gt;</w:t>
      </w:r>
      <w:r>
        <w:rPr>
          <w:rStyle w:val="subscript"/>
        </w:rPr>
        <w:t>0</w:t>
      </w:r>
      <w:r>
        <w:rPr>
          <w:rStyle w:val="htmlcodes"/>
        </w:rPr>
        <w:t>&lt;/sub&gt;</w:t>
      </w:r>
      <w:r>
        <w:t xml:space="preserve">, </w:t>
      </w:r>
      <w:r>
        <w:rPr>
          <w:rStyle w:val="htmlcodes"/>
        </w:rPr>
        <w:t>&lt;a href=#b1033&gt;</w:t>
      </w:r>
      <w:r>
        <w:t>time</w:t>
      </w:r>
      <w:r>
        <w:noBreakHyphen/>
        <w:t>offset</w:t>
      </w:r>
      <w:r>
        <w:rPr>
          <w:rStyle w:val="htmlcodes"/>
        </w:rPr>
        <w:t>&lt;/a&gt;&lt;sub&gt;</w:t>
      </w:r>
      <w:r>
        <w:rPr>
          <w:rStyle w:val="subscript"/>
        </w:rPr>
        <w:t>1033</w:t>
      </w:r>
      <w:r>
        <w:rPr>
          <w:rStyle w:val="htmlcodes"/>
        </w:rPr>
        <w:t>&lt;/sub&gt;</w:t>
      </w:r>
      <w:r>
        <w:t xml:space="preserve">, </w:t>
      </w:r>
      <w:r>
        <w:rPr>
          <w:rStyle w:val="htmlcodes"/>
        </w:rPr>
        <w:t>&lt;a href=#b1030&gt;</w:t>
      </w:r>
      <w:r>
        <w:t>time</w:t>
      </w:r>
      <w:r>
        <w:rPr>
          <w:rStyle w:val="htmlcodes"/>
        </w:rPr>
        <w:t>&lt;/a&gt;&lt;sub&gt;</w:t>
      </w:r>
      <w:r>
        <w:rPr>
          <w:rStyle w:val="subscript"/>
        </w:rPr>
        <w:t>1030</w:t>
      </w:r>
      <w:r>
        <w:rPr>
          <w:rStyle w:val="htmlcodes"/>
        </w:rPr>
        <w:t>&lt;/sub&gt;</w:t>
      </w:r>
      <w:r>
        <w:t xml:space="preserve">, </w:t>
      </w:r>
      <w:r>
        <w:rPr>
          <w:rStyle w:val="htmlcodes"/>
        </w:rPr>
        <w:t>&lt;a href=#b415&gt;</w:t>
      </w:r>
      <w:r>
        <w:t>vocative</w:t>
      </w:r>
      <w:r>
        <w:rPr>
          <w:rStyle w:val="htmlcodes"/>
        </w:rPr>
        <w:t>&lt;/a&gt;&lt;sub&gt;</w:t>
      </w:r>
      <w:r>
        <w:rPr>
          <w:rStyle w:val="subscript"/>
        </w:rPr>
        <w:t>415</w:t>
      </w:r>
      <w:r>
        <w:rPr>
          <w:rStyle w:val="htmlcodes"/>
        </w:rPr>
        <w:t>&lt;/sub&gt;</w:t>
      </w:r>
    </w:p>
    <w:p w:rsidR="00B72047" w:rsidRDefault="00B72047">
      <w:pPr>
        <w:pStyle w:val="EBNFXREF"/>
      </w:pPr>
      <w:r>
        <w:rPr>
          <w:rStyle w:val="htmlcodes"/>
        </w:rPr>
        <w:t>&lt;dt&gt;</w:t>
      </w:r>
      <w:r>
        <w:t>NAhE</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r>
        <w:t xml:space="preserve">, </w:t>
      </w:r>
      <w:r>
        <w:rPr>
          <w:rStyle w:val="htmlcodes"/>
        </w:rPr>
        <w:t>&lt;a href=#b972&gt;</w:t>
      </w:r>
      <w:r>
        <w:t>simple</w:t>
      </w:r>
      <w:r>
        <w:noBreakHyphen/>
        <w:t>tense</w:t>
      </w:r>
      <w:r>
        <w:noBreakHyphen/>
        <w:t>modal</w:t>
      </w:r>
      <w:r>
        <w:rPr>
          <w:rStyle w:val="htmlcodes"/>
        </w:rPr>
        <w:t>&lt;/a&gt;&lt;sub&gt;</w:t>
      </w:r>
      <w:r>
        <w:rPr>
          <w:rStyle w:val="subscript"/>
        </w:rPr>
        <w:t>972</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NAhU</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p>
    <w:p w:rsidR="00B72047" w:rsidRDefault="00B72047">
      <w:pPr>
        <w:pStyle w:val="EBNFXREF"/>
      </w:pPr>
      <w:r>
        <w:rPr>
          <w:rStyle w:val="htmlcodes"/>
        </w:rPr>
        <w:t>&lt;dt&gt;</w:t>
      </w:r>
      <w:r>
        <w:t>NIhE</w:t>
      </w:r>
      <w:r>
        <w:tab/>
      </w:r>
      <w:r>
        <w:rPr>
          <w:rStyle w:val="htmlcodes"/>
        </w:rPr>
        <w:t>&lt;dd&gt;&lt;a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NIhO</w:t>
      </w:r>
      <w:r>
        <w:tab/>
      </w:r>
      <w:r>
        <w:rPr>
          <w:rStyle w:val="htmlcodes"/>
        </w:rPr>
        <w:t>&lt;dd&gt;&lt;a href=#b4&gt;</w:t>
      </w:r>
      <w:r>
        <w:t>paragraphs</w:t>
      </w:r>
      <w:r>
        <w:rPr>
          <w:rStyle w:val="htmlcodes"/>
        </w:rPr>
        <w:t>&lt;/a&gt;&lt;sub&gt;</w:t>
      </w:r>
      <w:r>
        <w:rPr>
          <w:rStyle w:val="subscript"/>
        </w:rPr>
        <w:t>4</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NOI</w:t>
      </w:r>
      <w:r>
        <w:tab/>
      </w:r>
      <w:r>
        <w:rPr>
          <w:rStyle w:val="htmlcodes"/>
        </w:rPr>
        <w:t>&lt;dd&gt;&lt;a href=#b122&gt;</w:t>
      </w:r>
      <w:r>
        <w:t>relative</w:t>
      </w:r>
      <w:r>
        <w:noBreakHyphen/>
        <w:t>clause</w:t>
      </w:r>
      <w:r>
        <w:rPr>
          <w:rStyle w:val="htmlcodes"/>
        </w:rPr>
        <w:t>&lt;/a&gt;&lt;sub&gt;</w:t>
      </w:r>
      <w:r>
        <w:rPr>
          <w:rStyle w:val="subscript"/>
        </w:rPr>
        <w:t>122</w:t>
      </w:r>
      <w:r>
        <w:rPr>
          <w:rStyle w:val="htmlcodes"/>
        </w:rPr>
        <w:t>&lt;/sub&gt;</w:t>
      </w:r>
    </w:p>
    <w:p w:rsidR="00B72047" w:rsidRDefault="00B72047">
      <w:pPr>
        <w:pStyle w:val="EBNFXREF"/>
      </w:pPr>
      <w:r>
        <w:rPr>
          <w:rStyle w:val="htmlcodes"/>
        </w:rPr>
        <w:t>&lt;dt&gt;</w:t>
      </w:r>
      <w:r>
        <w:t>NU</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NUhA</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NUhI</w:t>
      </w:r>
      <w:r>
        <w:tab/>
      </w:r>
      <w:r>
        <w:rPr>
          <w:rStyle w:val="htmlcodes"/>
        </w:rPr>
        <w:t>&lt;dd&gt;&lt;a href=#b85&gt;</w:t>
      </w:r>
      <w:r>
        <w:t>termset</w:t>
      </w:r>
      <w:r>
        <w:rPr>
          <w:rStyle w:val="htmlcodes"/>
        </w:rPr>
        <w:t>&lt;/a&gt;&lt;sub&gt;</w:t>
      </w:r>
      <w:r>
        <w:rPr>
          <w:rStyle w:val="subscript"/>
        </w:rPr>
        <w:t>85</w:t>
      </w:r>
      <w:r>
        <w:rPr>
          <w:rStyle w:val="htmlcodes"/>
        </w:rPr>
        <w:t>&lt;/sub&gt;</w:t>
      </w:r>
    </w:p>
    <w:p w:rsidR="00B72047" w:rsidRDefault="00B72047">
      <w:pPr>
        <w:pStyle w:val="EBNFXREF"/>
      </w:pPr>
      <w:r>
        <w:rPr>
          <w:rStyle w:val="htmlcodes"/>
        </w:rPr>
        <w:t>&lt;dt&gt;</w:t>
      </w:r>
      <w:r>
        <w:t>NUhU</w:t>
      </w:r>
      <w:r>
        <w:tab/>
      </w:r>
      <w:r>
        <w:rPr>
          <w:rStyle w:val="htmlcodes"/>
        </w:rPr>
        <w:t>&lt;dd&gt;&lt;a href=#b85&gt;</w:t>
      </w:r>
      <w:r>
        <w:t>termset</w:t>
      </w:r>
      <w:r>
        <w:rPr>
          <w:rStyle w:val="htmlcodes"/>
        </w:rPr>
        <w:t>&lt;/a&gt;&lt;sub&gt;</w:t>
      </w:r>
      <w:r>
        <w:rPr>
          <w:rStyle w:val="subscript"/>
        </w:rPr>
        <w:t>85</w:t>
      </w:r>
      <w:r>
        <w:rPr>
          <w:rStyle w:val="htmlcodes"/>
        </w:rPr>
        <w:t>&lt;/sub&gt;</w:t>
      </w:r>
    </w:p>
    <w:p w:rsidR="00B72047" w:rsidRDefault="00B72047">
      <w:pPr>
        <w:pStyle w:val="EBNFXREF"/>
      </w:pPr>
      <w:r>
        <w:rPr>
          <w:rStyle w:val="htmlcodes"/>
        </w:rPr>
        <w:t>&lt;dt&gt;</w:t>
      </w:r>
      <w:r>
        <w:t>PA</w:t>
      </w:r>
      <w:r>
        <w:tab/>
      </w:r>
      <w:r>
        <w:rPr>
          <w:rStyle w:val="htmlcodes"/>
        </w:rPr>
        <w:t>&lt;dd&gt;&lt;a href=#b817&gt;</w:t>
      </w:r>
      <w:r>
        <w:t>lerfu</w:t>
      </w:r>
      <w:r>
        <w:noBreakHyphen/>
        <w:t>string</w:t>
      </w:r>
      <w:r>
        <w:rPr>
          <w:rStyle w:val="htmlcodes"/>
        </w:rPr>
        <w:t>&lt;/a&gt;&lt;sub&gt;</w:t>
      </w:r>
      <w:r>
        <w:rPr>
          <w:rStyle w:val="subscript"/>
        </w:rPr>
        <w:t>817</w:t>
      </w:r>
      <w:r>
        <w:rPr>
          <w:rStyle w:val="htmlcodes"/>
        </w:rPr>
        <w:t>&lt;/sub&gt;</w:t>
      </w:r>
      <w:r>
        <w:t xml:space="preserve">, </w:t>
      </w:r>
      <w:r>
        <w:rPr>
          <w:rStyle w:val="htmlcodes"/>
        </w:rPr>
        <w:t>&lt;a href=#b812&gt;</w:t>
      </w:r>
      <w:r>
        <w:t>number</w:t>
      </w:r>
      <w:r>
        <w:rPr>
          <w:rStyle w:val="htmlcodes"/>
        </w:rPr>
        <w:t>&lt;/a&gt;&lt;sub&gt;</w:t>
      </w:r>
      <w:r>
        <w:rPr>
          <w:rStyle w:val="subscript"/>
        </w:rPr>
        <w:t>812</w:t>
      </w:r>
      <w:r>
        <w:rPr>
          <w:rStyle w:val="htmlcodes"/>
        </w:rPr>
        <w:t>&lt;/sub&gt;</w:t>
      </w:r>
    </w:p>
    <w:p w:rsidR="00B72047" w:rsidRDefault="00B72047">
      <w:pPr>
        <w:pStyle w:val="EBNFXREF"/>
      </w:pPr>
      <w:r>
        <w:rPr>
          <w:rStyle w:val="htmlcodes"/>
        </w:rPr>
        <w:t>&lt;dt&gt;</w:t>
      </w:r>
      <w:r>
        <w:t>PEhE</w:t>
      </w:r>
      <w:r>
        <w:tab/>
      </w:r>
      <w:r>
        <w:rPr>
          <w:rStyle w:val="htmlcodes"/>
        </w:rPr>
        <w:t>&lt;dd&gt;&lt;a href=#b81&gt;</w:t>
      </w:r>
      <w:r>
        <w:t>terms</w:t>
      </w:r>
      <w:r>
        <w:noBreakHyphen/>
        <w:t>1</w:t>
      </w:r>
      <w:r>
        <w:rPr>
          <w:rStyle w:val="htmlcodes"/>
        </w:rPr>
        <w:t>&lt;/a&gt;&lt;sub&gt;</w:t>
      </w:r>
      <w:r>
        <w:rPr>
          <w:rStyle w:val="subscript"/>
        </w:rPr>
        <w:t>81</w:t>
      </w:r>
      <w:r>
        <w:rPr>
          <w:rStyle w:val="htmlcodes"/>
        </w:rPr>
        <w:t>&lt;/sub&gt;</w:t>
      </w:r>
    </w:p>
    <w:p w:rsidR="00B72047" w:rsidRDefault="00B72047">
      <w:pPr>
        <w:pStyle w:val="EBNFXREF"/>
      </w:pPr>
      <w:r>
        <w:rPr>
          <w:rStyle w:val="htmlcodes"/>
        </w:rPr>
        <w:t>&lt;dt&gt;</w:t>
      </w:r>
      <w:r>
        <w:t>PEhO</w:t>
      </w:r>
      <w:r>
        <w:tab/>
      </w:r>
      <w:r>
        <w:rPr>
          <w:rStyle w:val="htmlcodes"/>
        </w:rPr>
        <w:t>&lt;dd&gt;&lt;a href=#b312&gt;</w:t>
      </w:r>
      <w:r>
        <w:t>mex</w:t>
      </w:r>
      <w:r>
        <w:noBreakHyphen/>
        <w:t>2</w:t>
      </w:r>
      <w:r>
        <w:rPr>
          <w:rStyle w:val="htmlcodes"/>
        </w:rPr>
        <w:t>&lt;/a&gt;&lt;sub&gt;</w:t>
      </w:r>
      <w:r>
        <w:rPr>
          <w:rStyle w:val="subscript"/>
        </w:rPr>
        <w:t>312</w:t>
      </w:r>
      <w:r>
        <w:rPr>
          <w:rStyle w:val="htmlcodes"/>
        </w:rPr>
        <w:t>&lt;/sub&gt;</w:t>
      </w:r>
    </w:p>
    <w:p w:rsidR="00B72047" w:rsidRDefault="00B72047">
      <w:pPr>
        <w:pStyle w:val="EBNFXREF"/>
      </w:pPr>
      <w:r>
        <w:rPr>
          <w:rStyle w:val="htmlcodes"/>
        </w:rPr>
        <w:t>&lt;dt&gt;</w:t>
      </w:r>
      <w:r>
        <w:t>PU</w:t>
      </w:r>
      <w:r>
        <w:tab/>
      </w:r>
      <w:r>
        <w:rPr>
          <w:rStyle w:val="htmlcodes"/>
        </w:rPr>
        <w:t>&lt;dd&gt;&lt;a href=#b1033&gt;</w:t>
      </w:r>
      <w:r>
        <w:t>time</w:t>
      </w:r>
      <w:r>
        <w:noBreakHyphen/>
        <w:t>offset</w:t>
      </w:r>
      <w:r>
        <w:rPr>
          <w:rStyle w:val="htmlcodes"/>
        </w:rPr>
        <w:t>&lt;/a&gt;&lt;sub&gt;</w:t>
      </w:r>
      <w:r>
        <w:rPr>
          <w:rStyle w:val="subscript"/>
        </w:rPr>
        <w:t>1033</w:t>
      </w:r>
      <w:r>
        <w:rPr>
          <w:rStyle w:val="htmlcodes"/>
        </w:rPr>
        <w:t>&lt;/sub&gt;</w:t>
      </w:r>
      <w:r>
        <w:t xml:space="preserve">, </w:t>
      </w:r>
      <w:r>
        <w:rPr>
          <w:rStyle w:val="htmlcodes"/>
        </w:rPr>
        <w:t>&lt;a href=#b1030&gt;</w:t>
      </w:r>
      <w:r>
        <w:t>time</w:t>
      </w:r>
      <w:r>
        <w:rPr>
          <w:rStyle w:val="htmlcodes"/>
        </w:rPr>
        <w:t>&lt;/a&gt;&lt;sub&gt;</w:t>
      </w:r>
      <w:r>
        <w:rPr>
          <w:rStyle w:val="subscript"/>
        </w:rPr>
        <w:t>1030</w:t>
      </w:r>
      <w:r>
        <w:rPr>
          <w:rStyle w:val="htmlcodes"/>
        </w:rPr>
        <w:t>&lt;/sub&gt;</w:t>
      </w:r>
    </w:p>
    <w:p w:rsidR="00B72047" w:rsidRDefault="00B72047">
      <w:pPr>
        <w:pStyle w:val="EBNFXREF"/>
      </w:pPr>
      <w:r>
        <w:rPr>
          <w:rStyle w:val="htmlcodes"/>
        </w:rPr>
        <w:t>&lt;dt&gt;</w:t>
      </w:r>
      <w:r>
        <w:t>RAhO</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ROI</w:t>
      </w:r>
      <w:r>
        <w:tab/>
      </w:r>
      <w:r>
        <w:rPr>
          <w:rStyle w:val="htmlcodes"/>
        </w:rPr>
        <w:t>&lt;dd&gt;&lt;a href=#b1051&gt;</w:t>
      </w:r>
      <w:r>
        <w:t>interval</w:t>
      </w:r>
      <w:r>
        <w:noBreakHyphen/>
        <w:t>property</w:t>
      </w:r>
      <w:r>
        <w:rPr>
          <w:rStyle w:val="htmlcodes"/>
        </w:rPr>
        <w:t>&lt;/a&gt;&lt;sub&gt;</w:t>
      </w:r>
      <w:r>
        <w:rPr>
          <w:rStyle w:val="subscript"/>
        </w:rPr>
        <w:t>1051</w:t>
      </w:r>
      <w:r>
        <w:rPr>
          <w:rStyle w:val="htmlcodes"/>
        </w:rPr>
        <w:t>&lt;/sub&gt;</w:t>
      </w:r>
    </w:p>
    <w:p w:rsidR="00B72047" w:rsidRDefault="00B72047">
      <w:pPr>
        <w:pStyle w:val="EBNFXREF"/>
      </w:pPr>
      <w:r>
        <w:rPr>
          <w:rStyle w:val="htmlcodes"/>
        </w:rPr>
        <w:t>&lt;dt&gt;</w:t>
      </w:r>
      <w:r>
        <w:t>SA</w:t>
      </w:r>
      <w:r>
        <w:tab/>
      </w:r>
      <w:r>
        <w:rPr>
          <w:rStyle w:val="htmlcodes"/>
        </w:rPr>
        <w:t>&lt;dd&gt;&lt;a href=#b1101&gt;</w:t>
      </w:r>
      <w:r>
        <w:t>null</w:t>
      </w:r>
      <w:r>
        <w:rPr>
          <w:rStyle w:val="htmlcodes"/>
        </w:rPr>
        <w:t>&lt;/a&gt;&lt;sub&gt;</w:t>
      </w:r>
      <w:r>
        <w:rPr>
          <w:rStyle w:val="subscript"/>
        </w:rPr>
        <w:t>1101</w:t>
      </w:r>
      <w:r>
        <w:rPr>
          <w:rStyle w:val="htmlcodes"/>
        </w:rPr>
        <w:t>&lt;/sub&gt;</w:t>
      </w:r>
    </w:p>
    <w:p w:rsidR="00B72047" w:rsidRDefault="00B72047">
      <w:pPr>
        <w:pStyle w:val="EBNFXREF"/>
      </w:pPr>
      <w:r>
        <w:rPr>
          <w:rStyle w:val="htmlcodes"/>
        </w:rPr>
        <w:t>&lt;dt&gt;</w:t>
      </w:r>
      <w:r>
        <w:t>SE</w:t>
      </w:r>
      <w:r>
        <w:tab/>
      </w:r>
      <w:r>
        <w:rPr>
          <w:rStyle w:val="htmlcodes"/>
        </w:rPr>
        <w:t>&lt;dd&gt;&lt;a href=#b802&gt;</w:t>
      </w:r>
      <w:r>
        <w:t>ek</w:t>
      </w:r>
      <w:r>
        <w:rPr>
          <w:rStyle w:val="htmlcodes"/>
        </w:rPr>
        <w:t>&lt;/a&gt;&lt;sub&gt;</w:t>
      </w:r>
      <w:r>
        <w:rPr>
          <w:rStyle w:val="subscript"/>
        </w:rPr>
        <w:t>802</w:t>
      </w:r>
      <w:r>
        <w:rPr>
          <w:rStyle w:val="htmlcodes"/>
        </w:rPr>
        <w:t>&lt;/sub&gt;</w:t>
      </w:r>
      <w:r>
        <w:t xml:space="preserve">, </w:t>
      </w:r>
      <w:r>
        <w:rPr>
          <w:rStyle w:val="htmlcodes"/>
        </w:rPr>
        <w:t>&lt;a href=#b807&gt;</w:t>
      </w:r>
      <w:r>
        <w:t>gek</w:t>
      </w:r>
      <w:r>
        <w:rPr>
          <w:rStyle w:val="htmlcodes"/>
        </w:rPr>
        <w:t>&lt;/a&gt;&lt;sub&gt;</w:t>
      </w:r>
      <w:r>
        <w:rPr>
          <w:rStyle w:val="subscript"/>
        </w:rPr>
        <w:t>807</w:t>
      </w:r>
      <w:r>
        <w:rPr>
          <w:rStyle w:val="htmlcodes"/>
        </w:rPr>
        <w:t>&lt;/sub&gt;</w:t>
      </w:r>
      <w:r>
        <w:t xml:space="preserve">, </w:t>
      </w:r>
      <w:r>
        <w:rPr>
          <w:rStyle w:val="htmlcodes"/>
        </w:rPr>
        <w:t>&lt;a href=#b818&gt;</w:t>
      </w:r>
      <w:r>
        <w:t>gihek</w:t>
      </w:r>
      <w:r>
        <w:rPr>
          <w:rStyle w:val="htmlcodes"/>
        </w:rPr>
        <w:t>&lt;/a&gt;&lt;sub&gt;</w:t>
      </w:r>
      <w:r>
        <w:rPr>
          <w:rStyle w:val="subscript"/>
        </w:rPr>
        <w:t>818</w:t>
      </w:r>
      <w:r>
        <w:rPr>
          <w:rStyle w:val="htmlcodes"/>
        </w:rPr>
        <w:t>&lt;/sub&gt;</w:t>
      </w:r>
      <w:r>
        <w:t xml:space="preserve">, </w:t>
      </w:r>
      <w:r>
        <w:rPr>
          <w:rStyle w:val="htmlcodes"/>
        </w:rPr>
        <w:t>&lt;a href=#b808&gt;</w:t>
      </w:r>
      <w:r>
        <w:t>guhek</w:t>
      </w:r>
      <w:r>
        <w:rPr>
          <w:rStyle w:val="htmlcodes"/>
        </w:rPr>
        <w:t>&lt;/a&gt;&lt;sub&gt;</w:t>
      </w:r>
      <w:r>
        <w:rPr>
          <w:rStyle w:val="subscript"/>
        </w:rPr>
        <w:t>808</w:t>
      </w:r>
      <w:r>
        <w:rPr>
          <w:rStyle w:val="htmlcodes"/>
        </w:rPr>
        <w:t>&lt;/sub&gt;</w:t>
      </w:r>
      <w:r>
        <w:t xml:space="preserve">, </w:t>
      </w:r>
      <w:r>
        <w:rPr>
          <w:rStyle w:val="htmlcodes"/>
        </w:rPr>
        <w:t>&lt;a href=#b932&gt;</w:t>
      </w:r>
      <w:r>
        <w:t>interval</w:t>
      </w:r>
      <w:r>
        <w:rPr>
          <w:rStyle w:val="htmlcodes"/>
        </w:rPr>
        <w:t>&lt;/a&gt;&lt;sub&gt;</w:t>
      </w:r>
      <w:r>
        <w:rPr>
          <w:rStyle w:val="subscript"/>
        </w:rPr>
        <w:t>932</w:t>
      </w:r>
      <w:r>
        <w:rPr>
          <w:rStyle w:val="htmlcodes"/>
        </w:rPr>
        <w:t>&lt;/sub&gt;</w:t>
      </w:r>
      <w:r>
        <w:t xml:space="preserve">, </w:t>
      </w:r>
      <w:r>
        <w:rPr>
          <w:rStyle w:val="htmlcodes"/>
        </w:rPr>
        <w:t>&lt;a href=#b805&gt;</w:t>
      </w:r>
      <w:r>
        <w:t>jek</w:t>
      </w:r>
      <w:r>
        <w:rPr>
          <w:rStyle w:val="htmlcodes"/>
        </w:rPr>
        <w:t>&lt;/a&gt;&lt;sub&gt;</w:t>
      </w:r>
      <w:r>
        <w:rPr>
          <w:rStyle w:val="subscript"/>
        </w:rPr>
        <w:t>805</w:t>
      </w:r>
      <w:r>
        <w:rPr>
          <w:rStyle w:val="htmlcodes"/>
        </w:rPr>
        <w:t>&lt;/sub&gt;</w:t>
      </w:r>
      <w:r>
        <w:t xml:space="preserve">, </w:t>
      </w:r>
      <w:r>
        <w:rPr>
          <w:rStyle w:val="htmlcodes"/>
        </w:rPr>
        <w:t>&lt;a href=#b806&gt;</w:t>
      </w:r>
      <w:r>
        <w:t>joik</w:t>
      </w:r>
      <w:r>
        <w:rPr>
          <w:rStyle w:val="htmlcodes"/>
        </w:rPr>
        <w:t>&lt;/a&gt;&lt;sub&gt;</w:t>
      </w:r>
      <w:r>
        <w:rPr>
          <w:rStyle w:val="subscript"/>
        </w:rPr>
        <w:t>806</w:t>
      </w:r>
      <w:r>
        <w:rPr>
          <w:rStyle w:val="htmlcodes"/>
        </w:rPr>
        <w:t>&lt;/sub&gt;</w:t>
      </w:r>
      <w:r>
        <w:t xml:space="preserve">, </w:t>
      </w:r>
      <w:r>
        <w:rPr>
          <w:rStyle w:val="htmlcodes"/>
        </w:rPr>
        <w: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href=#b972&gt;</w:t>
      </w:r>
      <w:r>
        <w:t>simple</w:t>
      </w:r>
      <w:r>
        <w:noBreakHyphen/>
        <w:t>tense</w:t>
      </w:r>
      <w:r>
        <w:noBreakHyphen/>
        <w:t>modal</w:t>
      </w:r>
      <w:r>
        <w:rPr>
          <w:rStyle w:val="htmlcodes"/>
        </w:rPr>
        <w:t>&lt;/a&gt;&lt;sub&gt;</w:t>
      </w:r>
      <w:r>
        <w:rPr>
          <w:rStyle w:val="subscript"/>
        </w:rPr>
        <w:t>972</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SEI</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SEhU</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SI</w:t>
      </w:r>
      <w:r>
        <w:tab/>
      </w:r>
      <w:r>
        <w:rPr>
          <w:rStyle w:val="htmlcodes"/>
        </w:rPr>
        <w:t>&lt;dd&gt;&lt;a href=#b1101&gt;</w:t>
      </w:r>
      <w:r>
        <w:t>null</w:t>
      </w:r>
      <w:r>
        <w:rPr>
          <w:rStyle w:val="htmlcodes"/>
        </w:rPr>
        <w:t>&lt;/a&gt;&lt;sub&gt;</w:t>
      </w:r>
      <w:r>
        <w:rPr>
          <w:rStyle w:val="subscript"/>
        </w:rPr>
        <w:t>1101</w:t>
      </w:r>
      <w:r>
        <w:rPr>
          <w:rStyle w:val="htmlcodes"/>
        </w:rPr>
        <w:t>&lt;/sub&gt;</w:t>
      </w:r>
    </w:p>
    <w:p w:rsidR="00B72047" w:rsidRDefault="00B72047">
      <w:pPr>
        <w:pStyle w:val="EBNFXREF"/>
      </w:pPr>
      <w:r>
        <w:rPr>
          <w:rStyle w:val="htmlcodes"/>
        </w:rPr>
        <w:t>&lt;dt&gt;</w:t>
      </w:r>
      <w:r>
        <w:t>SOI</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SU</w:t>
      </w:r>
      <w:r>
        <w:tab/>
      </w:r>
      <w:r>
        <w:rPr>
          <w:rStyle w:val="htmlcodes"/>
        </w:rPr>
        <w:t>&lt;dd&gt;&lt;a href=#b1101&gt;</w:t>
      </w:r>
      <w:r>
        <w:t>null</w:t>
      </w:r>
      <w:r>
        <w:rPr>
          <w:rStyle w:val="htmlcodes"/>
        </w:rPr>
        <w:t>&lt;/a&gt;&lt;sub&gt;</w:t>
      </w:r>
      <w:r>
        <w:rPr>
          <w:rStyle w:val="subscript"/>
        </w:rPr>
        <w:t>1101</w:t>
      </w:r>
      <w:r>
        <w:rPr>
          <w:rStyle w:val="htmlcodes"/>
        </w:rPr>
        <w:t>&lt;/sub&gt;</w:t>
      </w:r>
    </w:p>
    <w:p w:rsidR="00B72047" w:rsidRDefault="00B72047">
      <w:pPr>
        <w:pStyle w:val="EBNFXREF"/>
      </w:pPr>
      <w:r>
        <w:rPr>
          <w:rStyle w:val="htmlcodes"/>
        </w:rPr>
        <w:t>&lt;dt&gt;</w:t>
      </w:r>
      <w:r>
        <w:t>TAhE</w:t>
      </w:r>
      <w:r>
        <w:tab/>
      </w:r>
      <w:r>
        <w:rPr>
          <w:rStyle w:val="htmlcodes"/>
        </w:rPr>
        <w:t>&lt;dd&gt;&lt;a href=#b1051&gt;</w:t>
      </w:r>
      <w:r>
        <w:t>interval</w:t>
      </w:r>
      <w:r>
        <w:noBreakHyphen/>
        <w:t>property</w:t>
      </w:r>
      <w:r>
        <w:rPr>
          <w:rStyle w:val="htmlcodes"/>
        </w:rPr>
        <w:t>&lt;/a&gt;&lt;sub&gt;</w:t>
      </w:r>
      <w:r>
        <w:rPr>
          <w:rStyle w:val="subscript"/>
        </w:rPr>
        <w:t>1051</w:t>
      </w:r>
      <w:r>
        <w:rPr>
          <w:rStyle w:val="htmlcodes"/>
        </w:rPr>
        <w:t>&lt;/sub&gt;</w:t>
      </w:r>
    </w:p>
    <w:p w:rsidR="00B72047" w:rsidRDefault="00B72047">
      <w:pPr>
        <w:pStyle w:val="EBNFXREF"/>
      </w:pPr>
      <w:r>
        <w:rPr>
          <w:rStyle w:val="htmlcodes"/>
        </w:rPr>
        <w:t>&lt;dt&gt;</w:t>
      </w:r>
      <w:r>
        <w:t>TEI</w:t>
      </w:r>
      <w:r>
        <w:tab/>
      </w:r>
      <w:r>
        <w:rPr>
          <w:rStyle w:val="htmlcodes"/>
        </w:rPr>
        <w:t>&lt;dd&gt;&lt;a href=#b987&gt;</w:t>
      </w:r>
      <w:r>
        <w:t>lerfu</w:t>
      </w:r>
      <w:r>
        <w:noBreakHyphen/>
        <w:t>word</w:t>
      </w:r>
      <w:r>
        <w:rPr>
          <w:rStyle w:val="htmlcodes"/>
        </w:rPr>
        <w:t>&lt;/a&gt;&lt;sub&gt;</w:t>
      </w:r>
      <w:r>
        <w:rPr>
          <w:rStyle w:val="subscript"/>
        </w:rPr>
        <w:t>987</w:t>
      </w:r>
      <w:r>
        <w:rPr>
          <w:rStyle w:val="htmlcodes"/>
        </w:rPr>
        <w:t>&lt;/sub&gt;</w:t>
      </w:r>
    </w:p>
    <w:p w:rsidR="00B72047" w:rsidRDefault="00B72047">
      <w:pPr>
        <w:pStyle w:val="EBNFXREF"/>
      </w:pPr>
      <w:r>
        <w:rPr>
          <w:rStyle w:val="htmlcodes"/>
        </w:rPr>
        <w:t>&lt;dt&gt;</w:t>
      </w:r>
      <w:r>
        <w:t>TEhU</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TO</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TOI</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TUhE</w:t>
      </w:r>
      <w:r>
        <w:tab/>
      </w:r>
      <w:r>
        <w:rPr>
          <w:rStyle w:val="htmlcodes"/>
        </w:rPr>
        <w:t>&lt;dd&gt;&lt;a href=#b14&gt;</w:t>
      </w:r>
      <w:r>
        <w:t>statement</w:t>
      </w:r>
      <w:r>
        <w:noBreakHyphen/>
        <w:t>3</w:t>
      </w:r>
      <w:r>
        <w:rPr>
          <w:rStyle w:val="htmlcodes"/>
        </w:rPr>
        <w:t>&lt;/a&gt;&lt;sub&gt;</w:t>
      </w:r>
      <w:r>
        <w:rPr>
          <w:rStyle w:val="subscript"/>
        </w:rPr>
        <w:t>14</w:t>
      </w:r>
      <w:r>
        <w:rPr>
          <w:rStyle w:val="htmlcodes"/>
        </w:rPr>
        <w:t>&lt;/sub&gt;</w:t>
      </w:r>
    </w:p>
    <w:p w:rsidR="00B72047" w:rsidRDefault="00B72047">
      <w:pPr>
        <w:pStyle w:val="EBNFXREF"/>
      </w:pPr>
      <w:r>
        <w:rPr>
          <w:rStyle w:val="htmlcodes"/>
        </w:rPr>
        <w:t>&lt;dt&gt;</w:t>
      </w:r>
      <w:r>
        <w:t>TUhU</w:t>
      </w:r>
      <w:r>
        <w:tab/>
      </w:r>
      <w:r>
        <w:rPr>
          <w:rStyle w:val="htmlcodes"/>
        </w:rPr>
        <w:t>&lt;dd&gt;&lt;a href=#b14&gt;</w:t>
      </w:r>
      <w:r>
        <w:t>statement</w:t>
      </w:r>
      <w:r>
        <w:noBreakHyphen/>
        <w:t>3</w:t>
      </w:r>
      <w:r>
        <w:rPr>
          <w:rStyle w:val="htmlcodes"/>
        </w:rPr>
        <w:t>&lt;/a&gt;&lt;sub&gt;</w:t>
      </w:r>
      <w:r>
        <w:rPr>
          <w:rStyle w:val="subscript"/>
        </w:rPr>
        <w:t>14</w:t>
      </w:r>
      <w:r>
        <w:rPr>
          <w:rStyle w:val="htmlcodes"/>
        </w:rPr>
        <w:t>&lt;/sub&gt;</w:t>
      </w:r>
    </w:p>
    <w:p w:rsidR="00B72047" w:rsidRDefault="00B72047">
      <w:pPr>
        <w:pStyle w:val="EBNFXREF"/>
      </w:pPr>
      <w:r>
        <w:rPr>
          <w:rStyle w:val="htmlcodes"/>
        </w:rPr>
        <w:t>&lt;dt&gt;</w:t>
      </w:r>
      <w:r>
        <w:t>UI</w:t>
      </w:r>
      <w:r>
        <w:tab/>
      </w:r>
      <w:r>
        <w:rPr>
          <w:rStyle w:val="htmlcodes"/>
        </w:rPr>
        <w:t>&lt;dd&gt;&lt;a href=#b413&gt;</w:t>
      </w:r>
      <w:r>
        <w:t>indicator</w:t>
      </w:r>
      <w:r>
        <w:rPr>
          <w:rStyle w:val="htmlcodes"/>
        </w:rPr>
        <w:t>&lt;/a&gt;&lt;sub&gt;</w:t>
      </w:r>
      <w:r>
        <w:rPr>
          <w:rStyle w:val="subscript"/>
        </w:rPr>
        <w:t>413</w:t>
      </w:r>
      <w:r>
        <w:rPr>
          <w:rStyle w:val="htmlcodes"/>
        </w:rPr>
        <w:t>&lt;/sub&gt;</w:t>
      </w:r>
    </w:p>
    <w:p w:rsidR="00B72047" w:rsidRDefault="00B72047">
      <w:pPr>
        <w:pStyle w:val="EBNFXREF"/>
      </w:pPr>
      <w:r>
        <w:rPr>
          <w:rStyle w:val="htmlcodes"/>
        </w:rPr>
        <w:t>&lt;dt&gt;</w:t>
      </w:r>
      <w:r>
        <w:t>VA</w:t>
      </w:r>
      <w:r>
        <w:tab/>
      </w:r>
      <w:r>
        <w:rPr>
          <w:rStyle w:val="htmlcodes"/>
        </w:rPr>
        <w:t>&lt;dd&gt;&lt;a href=#b1045&gt;</w:t>
      </w:r>
      <w:r>
        <w:t>space</w:t>
      </w:r>
      <w:r>
        <w:noBreakHyphen/>
        <w:t>offset</w:t>
      </w:r>
      <w:r>
        <w:rPr>
          <w:rStyle w:val="htmlcodes"/>
        </w:rPr>
        <w:t>&lt;/a&gt;&lt;sub&gt;</w:t>
      </w:r>
      <w:r>
        <w:rPr>
          <w:rStyle w:val="subscript"/>
        </w:rPr>
        <w:t>1045</w:t>
      </w:r>
      <w:r>
        <w:rPr>
          <w:rStyle w:val="htmlcodes"/>
        </w:rPr>
        <w:t>&lt;/sub&gt;</w:t>
      </w:r>
      <w:r>
        <w:t xml:space="preserve">, </w:t>
      </w:r>
      <w:r>
        <w:rPr>
          <w:rStyle w:val="htmlcodes"/>
        </w:rPr>
        <w:t>&lt;a href=#b1040&gt;</w:t>
      </w:r>
      <w:r>
        <w:t>space</w:t>
      </w:r>
      <w:r>
        <w:rPr>
          <w:rStyle w:val="htmlcodes"/>
        </w:rPr>
        <w:t>&lt;/a&gt;&lt;sub&gt;</w:t>
      </w:r>
      <w:r>
        <w:rPr>
          <w:rStyle w:val="subscript"/>
        </w:rPr>
        <w:t>1040</w:t>
      </w:r>
      <w:r>
        <w:rPr>
          <w:rStyle w:val="htmlcodes"/>
        </w:rPr>
        <w:t>&lt;/sub&gt;</w:t>
      </w:r>
    </w:p>
    <w:p w:rsidR="00B72047" w:rsidRDefault="00B72047">
      <w:pPr>
        <w:pStyle w:val="EBNFXREF"/>
      </w:pPr>
      <w:r>
        <w:rPr>
          <w:rStyle w:val="htmlcodes"/>
        </w:rPr>
        <w:t>&lt;dt&gt;</w:t>
      </w:r>
      <w:r>
        <w:t>VAU</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href=#b71&gt;</w:t>
      </w:r>
      <w:r>
        <w:t>tail</w:t>
      </w:r>
      <w:r>
        <w:noBreakHyphen/>
        <w:t>terms</w:t>
      </w:r>
      <w:r>
        <w:rPr>
          <w:rStyle w:val="htmlcodes"/>
        </w:rPr>
        <w:t>&lt;/a&gt;&lt;sub&gt;</w:t>
      </w:r>
      <w:r>
        <w:rPr>
          <w:rStyle w:val="subscript"/>
        </w:rPr>
        <w:t>71</w:t>
      </w:r>
      <w:r>
        <w:rPr>
          <w:rStyle w:val="htmlcodes"/>
        </w:rPr>
        <w:t>&lt;/sub&gt;</w:t>
      </w:r>
    </w:p>
    <w:p w:rsidR="00B72047" w:rsidRDefault="00B72047">
      <w:pPr>
        <w:pStyle w:val="EBNFXREF"/>
      </w:pPr>
      <w:r>
        <w:rPr>
          <w:rStyle w:val="htmlcodes"/>
        </w:rPr>
        <w:t>&lt;dt&gt;</w:t>
      </w:r>
      <w:r>
        <w:t>VEI</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href=#b300&gt;</w:t>
      </w:r>
      <w:r>
        <w:t>quantifier</w:t>
      </w:r>
      <w:r>
        <w:rPr>
          <w:rStyle w:val="htmlcodes"/>
        </w:rPr>
        <w:t>&lt;/a&gt;&lt;sub&gt;</w:t>
      </w:r>
      <w:r>
        <w:rPr>
          <w:rStyle w:val="subscript"/>
        </w:rPr>
        <w:t>300</w:t>
      </w:r>
      <w:r>
        <w:rPr>
          <w:rStyle w:val="htmlcodes"/>
        </w:rPr>
        <w:t>&lt;/sub&gt;</w:t>
      </w:r>
    </w:p>
    <w:p w:rsidR="00B72047" w:rsidRDefault="00B72047">
      <w:pPr>
        <w:pStyle w:val="EBNFXREF"/>
      </w:pPr>
      <w:r>
        <w:rPr>
          <w:rStyle w:val="htmlcodes"/>
        </w:rPr>
        <w:t>&lt;dt&gt;</w:t>
      </w:r>
      <w:r>
        <w:t>VEhA</w:t>
      </w:r>
      <w:r>
        <w:tab/>
      </w:r>
      <w:r>
        <w:rPr>
          <w:rStyle w:val="htmlcodes"/>
        </w:rPr>
        <w:t>&lt;dd&gt;&lt;a href=#b1046&gt;</w:t>
      </w:r>
      <w:r>
        <w:t>space</w:t>
      </w:r>
      <w:r>
        <w:noBreakHyphen/>
        <w:t>interval</w:t>
      </w:r>
      <w:r>
        <w:rPr>
          <w:rStyle w:val="htmlcodes"/>
        </w:rPr>
        <w:t>&lt;/a&gt;&lt;sub&gt;</w:t>
      </w:r>
      <w:r>
        <w:rPr>
          <w:rStyle w:val="subscript"/>
        </w:rPr>
        <w:t>1046</w:t>
      </w:r>
      <w:r>
        <w:rPr>
          <w:rStyle w:val="htmlcodes"/>
        </w:rPr>
        <w:t>&lt;/sub&gt;</w:t>
      </w:r>
    </w:p>
    <w:p w:rsidR="00B72047" w:rsidRDefault="00B72047">
      <w:pPr>
        <w:pStyle w:val="EBNFXREF"/>
      </w:pPr>
      <w:r>
        <w:rPr>
          <w:rStyle w:val="htmlcodes"/>
        </w:rPr>
        <w:t>&lt;dt&gt;</w:t>
      </w:r>
      <w:r>
        <w:t>VEhO</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href=#b300&gt;</w:t>
      </w:r>
      <w:r>
        <w:t>quantifier</w:t>
      </w:r>
      <w:r>
        <w:rPr>
          <w:rStyle w:val="htmlcodes"/>
        </w:rPr>
        <w:t>&lt;/a&gt;&lt;sub&gt;</w:t>
      </w:r>
      <w:r>
        <w:rPr>
          <w:rStyle w:val="subscript"/>
        </w:rPr>
        <w:t>300</w:t>
      </w:r>
      <w:r>
        <w:rPr>
          <w:rStyle w:val="htmlcodes"/>
        </w:rPr>
        <w:t>&lt;/sub&gt;</w:t>
      </w:r>
    </w:p>
    <w:p w:rsidR="00B72047" w:rsidRDefault="00B72047">
      <w:pPr>
        <w:pStyle w:val="EBNFXREF"/>
      </w:pPr>
      <w:r>
        <w:rPr>
          <w:rStyle w:val="htmlcodes"/>
        </w:rPr>
        <w:t>&lt;dt&gt;</w:t>
      </w:r>
      <w:r>
        <w:t>VIhA</w:t>
      </w:r>
      <w:r>
        <w:tab/>
      </w:r>
      <w:r>
        <w:rPr>
          <w:rStyle w:val="htmlcodes"/>
        </w:rPr>
        <w:t>&lt;dd&gt;&lt;a href=#b1046&gt;</w:t>
      </w:r>
      <w:r>
        <w:t>space</w:t>
      </w:r>
      <w:r>
        <w:noBreakHyphen/>
        <w:t>interval</w:t>
      </w:r>
      <w:r>
        <w:rPr>
          <w:rStyle w:val="htmlcodes"/>
        </w:rPr>
        <w:t>&lt;/a&gt;&lt;sub&gt;</w:t>
      </w:r>
      <w:r>
        <w:rPr>
          <w:rStyle w:val="subscript"/>
        </w:rPr>
        <w:t>1046</w:t>
      </w:r>
      <w:r>
        <w:rPr>
          <w:rStyle w:val="htmlcodes"/>
        </w:rPr>
        <w:t>&lt;/sub&gt;</w:t>
      </w:r>
    </w:p>
    <w:p w:rsidR="00B72047" w:rsidRDefault="00B72047">
      <w:pPr>
        <w:pStyle w:val="EBNFXREF"/>
      </w:pPr>
      <w:r>
        <w:rPr>
          <w:rStyle w:val="htmlcodes"/>
        </w:rPr>
        <w:t>&lt;dt&gt;</w:t>
      </w:r>
      <w:r>
        <w:t>VUhO</w:t>
      </w:r>
      <w:r>
        <w:tab/>
      </w:r>
      <w:r>
        <w:rPr>
          <w:rStyle w:val="htmlcodes"/>
        </w:rPr>
        <w:t>&lt;dd&gt;&lt;a href=#b90&gt;</w:t>
      </w:r>
      <w:r>
        <w:t>sumti</w:t>
      </w:r>
      <w:r>
        <w:rPr>
          <w:rStyle w:val="htmlcodes"/>
        </w:rPr>
        <w:t>&lt;/a&gt;&lt;sub&gt;</w:t>
      </w:r>
      <w:r>
        <w:rPr>
          <w:rStyle w:val="subscript"/>
        </w:rPr>
        <w:t>90</w:t>
      </w:r>
      <w:r>
        <w:rPr>
          <w:rStyle w:val="htmlcodes"/>
        </w:rPr>
        <w:t>&lt;/sub&gt;</w:t>
      </w:r>
    </w:p>
    <w:p w:rsidR="00B72047" w:rsidRDefault="00B72047">
      <w:pPr>
        <w:pStyle w:val="EBNFXREF"/>
      </w:pPr>
      <w:r>
        <w:rPr>
          <w:rStyle w:val="htmlcodes"/>
        </w:rPr>
        <w:t>&lt;dt&gt;</w:t>
      </w:r>
      <w:r>
        <w:t>VUhU</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p>
    <w:p w:rsidR="00B72047" w:rsidRDefault="00B72047">
      <w:pPr>
        <w:pStyle w:val="EBNFXREF"/>
      </w:pPr>
      <w:r>
        <w:rPr>
          <w:rStyle w:val="htmlcodes"/>
        </w:rPr>
        <w:t>&lt;dt&gt;</w:t>
      </w:r>
      <w:r>
        <w:t>XI</w:t>
      </w:r>
      <w:r>
        <w:tab/>
      </w:r>
      <w:r>
        <w:rPr>
          <w:rStyle w:val="htmlcodes"/>
        </w:rPr>
        <w:t>&lt;dd&gt;&lt;a href=#b32&gt;</w:t>
      </w:r>
      <w:r>
        <w:t>free</w:t>
      </w:r>
      <w:r>
        <w:rPr>
          <w:rStyle w:val="htmlcodes"/>
        </w:rPr>
        <w:t>&lt;/a&gt;&lt;sub&gt;</w:t>
      </w:r>
      <w:r>
        <w:rPr>
          <w:rStyle w:val="subscript"/>
        </w:rPr>
        <w:t>32</w:t>
      </w:r>
      <w:r>
        <w:rPr>
          <w:rStyle w:val="htmlcodes"/>
        </w:rPr>
        <w:t>&lt;/sub&gt;</w:t>
      </w:r>
    </w:p>
    <w:p w:rsidR="00B72047" w:rsidRDefault="00B72047">
      <w:pPr>
        <w:pStyle w:val="EBNFXREF"/>
      </w:pPr>
      <w:r>
        <w:rPr>
          <w:rStyle w:val="htmlcodes"/>
        </w:rPr>
        <w:t>&lt;dt&gt;</w:t>
      </w:r>
      <w:r>
        <w:t>Y</w:t>
      </w:r>
      <w:r>
        <w:tab/>
      </w:r>
      <w:r>
        <w:rPr>
          <w:rStyle w:val="htmlcodes"/>
        </w:rPr>
        <w:t>&lt;dd&gt;&lt;a href=#b413&gt;</w:t>
      </w:r>
      <w:r>
        <w:t>indicator</w:t>
      </w:r>
      <w:r>
        <w:rPr>
          <w:rStyle w:val="htmlcodes"/>
        </w:rPr>
        <w:t>&lt;/a&gt;&lt;sub&gt;</w:t>
      </w:r>
      <w:r>
        <w:rPr>
          <w:rStyle w:val="subscript"/>
        </w:rPr>
        <w:t>413</w:t>
      </w:r>
      <w:r>
        <w:rPr>
          <w:rStyle w:val="htmlcodes"/>
        </w:rPr>
        <w:t>&lt;/sub&gt;</w:t>
      </w:r>
    </w:p>
    <w:p w:rsidR="00B72047" w:rsidRDefault="00B72047">
      <w:pPr>
        <w:pStyle w:val="EBNFXREF"/>
      </w:pPr>
      <w:r>
        <w:rPr>
          <w:rStyle w:val="htmlcodes"/>
        </w:rPr>
        <w:t>&lt;dt&gt;</w:t>
      </w:r>
      <w:r>
        <w:t>ZAhO</w:t>
      </w:r>
      <w:r>
        <w:tab/>
      </w:r>
      <w:r>
        <w:rPr>
          <w:rStyle w:val="htmlcodes"/>
        </w:rPr>
        <w:t>&lt;dd&gt;&lt;a href=#b1051&gt;</w:t>
      </w:r>
      <w:r>
        <w:t>interval</w:t>
      </w:r>
      <w:r>
        <w:noBreakHyphen/>
        <w:t>property</w:t>
      </w:r>
      <w:r>
        <w:rPr>
          <w:rStyle w:val="htmlcodes"/>
        </w:rPr>
        <w:t>&lt;/a&gt;&lt;sub&gt;</w:t>
      </w:r>
      <w:r>
        <w:rPr>
          <w:rStyle w:val="subscript"/>
        </w:rPr>
        <w:t>1051</w:t>
      </w:r>
      <w:r>
        <w:rPr>
          <w:rStyle w:val="htmlcodes"/>
        </w:rPr>
        <w:t>&lt;/sub&gt;</w:t>
      </w:r>
    </w:p>
    <w:p w:rsidR="00B72047" w:rsidRDefault="00B72047">
      <w:pPr>
        <w:pStyle w:val="EBNFXREF"/>
      </w:pPr>
      <w:r>
        <w:rPr>
          <w:rStyle w:val="htmlcodes"/>
        </w:rPr>
        <w:t>&lt;dt&gt;</w:t>
      </w:r>
      <w:r>
        <w:t>ZEI</w:t>
      </w:r>
      <w:r>
        <w:tab/>
      </w:r>
      <w:r>
        <w:rPr>
          <w:rStyle w:val="htmlcodes"/>
        </w:rPr>
        <w:t>&lt;dd&gt;&lt;a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ZEhA</w:t>
      </w:r>
      <w:r>
        <w:tab/>
      </w:r>
      <w:r>
        <w:rPr>
          <w:rStyle w:val="htmlcodes"/>
        </w:rPr>
        <w:t>&lt;dd&gt;&lt;a href=#b1030&gt;</w:t>
      </w:r>
      <w:r>
        <w:t>time</w:t>
      </w:r>
      <w:r>
        <w:rPr>
          <w:rStyle w:val="htmlcodes"/>
        </w:rPr>
        <w:t>&lt;/a&gt;&lt;sub&gt;</w:t>
      </w:r>
      <w:r>
        <w:rPr>
          <w:rStyle w:val="subscript"/>
        </w:rPr>
        <w:t>1030</w:t>
      </w:r>
      <w:r>
        <w:rPr>
          <w:rStyle w:val="htmlcodes"/>
        </w:rPr>
        <w:t>&lt;/sub&gt;</w:t>
      </w:r>
    </w:p>
    <w:p w:rsidR="00B72047" w:rsidRDefault="00B72047">
      <w:pPr>
        <w:pStyle w:val="EBNFXREF"/>
      </w:pPr>
      <w:r>
        <w:rPr>
          <w:rStyle w:val="htmlcodes"/>
        </w:rPr>
        <w:t>&lt;dt&gt;</w:t>
      </w:r>
      <w:r>
        <w:t>ZI</w:t>
      </w:r>
      <w:r>
        <w:tab/>
      </w:r>
      <w:r>
        <w:rPr>
          <w:rStyle w:val="htmlcodes"/>
        </w:rPr>
        <w:t>&lt;dd&gt;&lt;a href=#b1033&gt;</w:t>
      </w:r>
      <w:r>
        <w:t>time</w:t>
      </w:r>
      <w:r>
        <w:noBreakHyphen/>
        <w:t>offset</w:t>
      </w:r>
      <w:r>
        <w:rPr>
          <w:rStyle w:val="htmlcodes"/>
        </w:rPr>
        <w:t>&lt;/a&gt;&lt;sub&gt;</w:t>
      </w:r>
      <w:r>
        <w:rPr>
          <w:rStyle w:val="subscript"/>
        </w:rPr>
        <w:t>1033</w:t>
      </w:r>
      <w:r>
        <w:rPr>
          <w:rStyle w:val="htmlcodes"/>
        </w:rPr>
        <w:t>&lt;/sub&gt;</w:t>
      </w:r>
      <w:r>
        <w:t xml:space="preserve">, </w:t>
      </w:r>
      <w:r>
        <w:rPr>
          <w:rStyle w:val="htmlcodes"/>
        </w:rPr>
        <w:t>&lt;a href=#b1030&gt;</w:t>
      </w:r>
      <w:r>
        <w:t>time</w:t>
      </w:r>
      <w:r>
        <w:rPr>
          <w:rStyle w:val="htmlcodes"/>
        </w:rPr>
        <w:t>&lt;/a&gt;&lt;sub&gt;</w:t>
      </w:r>
      <w:r>
        <w:rPr>
          <w:rStyle w:val="subscript"/>
        </w:rPr>
        <w:t>1030</w:t>
      </w:r>
      <w:r>
        <w:rPr>
          <w:rStyle w:val="htmlcodes"/>
        </w:rPr>
        <w:t>&lt;/sub&gt;</w:t>
      </w:r>
    </w:p>
    <w:p w:rsidR="00B72047" w:rsidRDefault="00B72047">
      <w:pPr>
        <w:pStyle w:val="EBNFXREF"/>
      </w:pPr>
      <w:r>
        <w:rPr>
          <w:rStyle w:val="htmlcodes"/>
        </w:rPr>
        <w:t>&lt;dt&gt;</w:t>
      </w:r>
      <w:r>
        <w:t>ZIhE</w:t>
      </w:r>
      <w:r>
        <w:tab/>
      </w:r>
      <w:r>
        <w:rPr>
          <w:rStyle w:val="htmlcodes"/>
        </w:rPr>
        <w:t>&lt;dd&gt;&lt;a href=#b121&gt;</w:t>
      </w:r>
      <w:r>
        <w:t>relative</w:t>
      </w:r>
      <w:r>
        <w:noBreakHyphen/>
        <w:t>clauses</w:t>
      </w:r>
      <w:r>
        <w:rPr>
          <w:rStyle w:val="htmlcodes"/>
        </w:rPr>
        <w:t>&lt;/a&gt;&lt;sub&gt;</w:t>
      </w:r>
      <w:r>
        <w:rPr>
          <w:rStyle w:val="subscript"/>
        </w:rPr>
        <w:t>121</w:t>
      </w:r>
      <w:r>
        <w:rPr>
          <w:rStyle w:val="htmlcodes"/>
        </w:rPr>
        <w:t>&lt;/sub&gt;</w:t>
      </w:r>
    </w:p>
    <w:p w:rsidR="00B72047" w:rsidRDefault="00B72047">
      <w:pPr>
        <w:pStyle w:val="EBNFXREF"/>
      </w:pPr>
      <w:r>
        <w:rPr>
          <w:rStyle w:val="htmlcodes"/>
        </w:rPr>
        <w:t>&lt;dt&gt;</w:t>
      </w:r>
      <w:r>
        <w:t>ZO</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ZOI</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ZOhU</w:t>
      </w:r>
      <w:r>
        <w:tab/>
      </w:r>
      <w:r>
        <w:rPr>
          <w:rStyle w:val="htmlcodes"/>
        </w:rPr>
        <w:t>&lt;dd&gt;&lt;a href=#b30&gt;</w:t>
      </w:r>
      <w:r>
        <w:t>prenex</w:t>
      </w:r>
      <w:r>
        <w:rPr>
          <w:rStyle w:val="htmlcodes"/>
        </w:rPr>
        <w:t>&lt;/a&gt;&lt;sub&gt;</w:t>
      </w:r>
      <w:r>
        <w:rPr>
          <w:rStyle w:val="subscript"/>
        </w:rPr>
        <w:t>30</w:t>
      </w:r>
      <w:r>
        <w:rPr>
          <w:rStyle w:val="htmlcodes"/>
        </w:rPr>
        <w:t>&lt;/sub&gt;</w:t>
      </w:r>
    </w:p>
    <w:p w:rsidR="00B72047" w:rsidRDefault="00B72047">
      <w:pPr>
        <w:pStyle w:val="EBNFXREF"/>
      </w:pPr>
      <w:r>
        <w:rPr>
          <w:rStyle w:val="htmlcodes"/>
        </w:rPr>
        <w:t>&lt;dt&gt;</w:t>
      </w:r>
      <w:r>
        <w:t>any</w:t>
      </w:r>
      <w:r>
        <w:noBreakHyphen/>
        <w:t>word</w:t>
      </w:r>
      <w:r>
        <w:tab/>
      </w:r>
      <w:r>
        <w:rPr>
          <w:rStyle w:val="htmlcodes"/>
        </w:rPr>
        <w:t>&lt;dd&gt;&lt;a href=#b987&gt;</w:t>
      </w:r>
      <w:r>
        <w:t>lerfu</w:t>
      </w:r>
      <w:r>
        <w:noBreakHyphen/>
        <w:t>word</w:t>
      </w:r>
      <w:r>
        <w:rPr>
          <w:rStyle w:val="htmlcodes"/>
        </w:rPr>
        <w:t>&lt;/a&gt;&lt;sub&gt;</w:t>
      </w:r>
      <w:r>
        <w:rPr>
          <w:rStyle w:val="subscript"/>
        </w:rPr>
        <w:t>987</w:t>
      </w:r>
      <w:r>
        <w:rPr>
          <w:rStyle w:val="htmlcodes"/>
        </w:rPr>
        <w:t>&lt;/sub&gt;</w:t>
      </w:r>
      <w:r>
        <w:t xml:space="preserve">, </w:t>
      </w:r>
      <w:r>
        <w:rPr>
          <w:rStyle w:val="htmlcodes"/>
        </w:rPr>
        <w:t>&lt;a href=#b1101&gt;</w:t>
      </w:r>
      <w:r>
        <w:t>null</w:t>
      </w:r>
      <w:r>
        <w:rPr>
          <w:rStyle w:val="htmlcodes"/>
        </w:rPr>
        <w:t>&lt;/a&gt;&lt;sub&gt;</w:t>
      </w:r>
      <w:r>
        <w:rPr>
          <w:rStyle w:val="subscript"/>
        </w:rPr>
        <w:t>1101</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r>
        <w:t xml:space="preserve">, </w:t>
      </w:r>
      <w:r>
        <w:rPr>
          <w:rStyle w:val="htmlcodes"/>
        </w:rPr>
        <w:t>&lt;a href=#b1100&gt;</w:t>
      </w:r>
      <w:r>
        <w:t>word</w:t>
      </w:r>
      <w:r>
        <w:rPr>
          <w:rStyle w:val="htmlcodes"/>
        </w:rPr>
        <w:t>&lt;/a&gt;&lt;sub&gt;</w:t>
      </w:r>
      <w:r>
        <w:rPr>
          <w:rStyle w:val="subscript"/>
        </w:rPr>
        <w:t>1100</w:t>
      </w:r>
      <w:r>
        <w:rPr>
          <w:rStyle w:val="htmlcodes"/>
        </w:rPr>
        <w:t>&lt;/sub&gt;</w:t>
      </w:r>
    </w:p>
    <w:p w:rsidR="00B72047" w:rsidRDefault="00B72047">
      <w:pPr>
        <w:pStyle w:val="EBNFXREF"/>
      </w:pPr>
      <w:r>
        <w:rPr>
          <w:rStyle w:val="htmlcodes"/>
        </w:rPr>
        <w:t>&lt;dt&gt;</w:t>
      </w:r>
      <w:r>
        <w:t>anything</w:t>
      </w:r>
      <w:r>
        <w:tab/>
      </w:r>
      <w:r>
        <w:rPr>
          <w:rStyle w:val="htmlcodes"/>
        </w:rPr>
        <w:t>&lt;dd&gt;&lt;a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bridi</w:t>
      </w:r>
      <w:r>
        <w:noBreakHyphen/>
        <w:t>tail</w:t>
      </w:r>
      <w:r>
        <w:tab/>
      </w:r>
      <w:r>
        <w:rPr>
          <w:rStyle w:val="htmlcodes"/>
        </w:rPr>
        <w:t>&lt;dd&gt;&lt;a href=#b50&gt;</w:t>
      </w:r>
      <w:r>
        <w:t>bridi</w:t>
      </w:r>
      <w:r>
        <w:noBreakHyphen/>
        <w:t>tail</w:t>
      </w:r>
      <w:r>
        <w:rPr>
          <w:rStyle w:val="htmlcodes"/>
        </w:rPr>
        <w:t>&lt;/a&gt;&lt;sub&gt;</w:t>
      </w:r>
      <w:r>
        <w:rPr>
          <w:rStyle w:val="subscript"/>
        </w:rPr>
        <w:t>50</w:t>
      </w:r>
      <w:r>
        <w:rPr>
          <w:rStyle w:val="htmlcodes"/>
        </w:rPr>
        <w:t>&lt;/sub&gt;</w:t>
      </w:r>
      <w:r>
        <w:t xml:space="preserve">, </w:t>
      </w:r>
      <w:r>
        <w:rPr>
          <w:rStyle w:val="htmlcodes"/>
        </w:rPr>
        <w:t>&lt;a href=#b40&gt;</w:t>
      </w:r>
      <w:r>
        <w:t>sentence</w:t>
      </w:r>
      <w:r>
        <w:rPr>
          <w:rStyle w:val="htmlcodes"/>
        </w:rPr>
        <w:t>&lt;/a&gt;&lt;sub&gt;</w:t>
      </w:r>
      <w:r>
        <w:rPr>
          <w:rStyle w:val="subscript"/>
        </w:rPr>
        <w:t>40</w:t>
      </w:r>
      <w:r>
        <w:rPr>
          <w:rStyle w:val="htmlcodes"/>
        </w:rPr>
        <w:t>&lt;/sub&gt;</w:t>
      </w:r>
    </w:p>
    <w:p w:rsidR="00B72047" w:rsidRDefault="00B72047">
      <w:pPr>
        <w:pStyle w:val="EBNFXREF"/>
      </w:pPr>
      <w:r>
        <w:rPr>
          <w:rStyle w:val="htmlcodes"/>
        </w:rPr>
        <w:t>&lt;dt&gt;</w:t>
      </w:r>
      <w:r>
        <w:t>bridi</w:t>
      </w:r>
      <w:r>
        <w:noBreakHyphen/>
        <w:t>tail</w:t>
      </w:r>
      <w:r>
        <w:noBreakHyphen/>
        <w:t>1</w:t>
      </w:r>
      <w:r>
        <w:tab/>
      </w:r>
      <w:r>
        <w:rPr>
          <w:rStyle w:val="htmlcodes"/>
        </w:rPr>
        <w:t>&lt;dd&gt;&lt;a href=#b50&gt;</w:t>
      </w:r>
      <w:r>
        <w:t>bridi</w:t>
      </w:r>
      <w:r>
        <w:noBreakHyphen/>
        <w:t>tail</w:t>
      </w:r>
      <w:r>
        <w:rPr>
          <w:rStyle w:val="htmlcodes"/>
        </w:rPr>
        <w:t>&lt;/a&gt;&lt;sub&gt;</w:t>
      </w:r>
      <w:r>
        <w:rPr>
          <w:rStyle w:val="subscript"/>
        </w:rPr>
        <w:t>50</w:t>
      </w:r>
      <w:r>
        <w:rPr>
          <w:rStyle w:val="htmlcodes"/>
        </w:rPr>
        <w:t>&lt;/sub&gt;</w:t>
      </w:r>
    </w:p>
    <w:p w:rsidR="00B72047" w:rsidRDefault="00B72047">
      <w:pPr>
        <w:pStyle w:val="EBNFXREF"/>
      </w:pPr>
      <w:r>
        <w:rPr>
          <w:rStyle w:val="htmlcodes"/>
        </w:rPr>
        <w:t>&lt;dt&gt;</w:t>
      </w:r>
      <w:r>
        <w:t>bridi</w:t>
      </w:r>
      <w:r>
        <w:noBreakHyphen/>
        <w:t>tail</w:t>
      </w:r>
      <w:r>
        <w:noBreakHyphen/>
        <w:t>2</w:t>
      </w:r>
      <w:r>
        <w:tab/>
      </w:r>
      <w:r>
        <w:rPr>
          <w:rStyle w:val="htmlcodes"/>
        </w:rPr>
        <w:t>&lt;dd&gt;&lt;a href=#b51&gt;</w:t>
      </w:r>
      <w:r>
        <w:t>bridi</w:t>
      </w:r>
      <w:r>
        <w:noBreakHyphen/>
        <w:t>tail</w:t>
      </w:r>
      <w:r>
        <w:noBreakHyphen/>
        <w:t>1</w:t>
      </w:r>
      <w:r>
        <w:rPr>
          <w:rStyle w:val="htmlcodes"/>
        </w:rPr>
        <w:t>&lt;/a&gt;&lt;sub&gt;</w:t>
      </w:r>
      <w:r>
        <w:rPr>
          <w:rStyle w:val="subscript"/>
        </w:rPr>
        <w:t>51</w:t>
      </w:r>
      <w:r>
        <w:rPr>
          <w:rStyle w:val="htmlcodes"/>
        </w:rPr>
        <w:t>&lt;/sub&gt;</w:t>
      </w:r>
      <w:r>
        <w:t xml:space="preserve">, </w:t>
      </w:r>
      <w:r>
        <w:rPr>
          <w:rStyle w:val="htmlcodes"/>
        </w:rPr>
        <w:t>&lt;a href=#b52&gt;</w:t>
      </w:r>
      <w:r>
        <w:t>bridi</w:t>
      </w:r>
      <w:r>
        <w:noBreakHyphen/>
        <w:t>tail</w:t>
      </w:r>
      <w:r>
        <w:noBreakHyphen/>
        <w:t>2</w:t>
      </w:r>
      <w:r>
        <w:rPr>
          <w:rStyle w:val="htmlcodes"/>
        </w:rPr>
        <w:t>&lt;/a&gt;&lt;sub&gt;</w:t>
      </w:r>
      <w:r>
        <w:rPr>
          <w:rStyle w:val="subscript"/>
        </w:rPr>
        <w:t>52</w:t>
      </w:r>
      <w:r>
        <w:rPr>
          <w:rStyle w:val="htmlcodes"/>
        </w:rPr>
        <w:t>&lt;/sub&gt;</w:t>
      </w:r>
    </w:p>
    <w:p w:rsidR="00B72047" w:rsidRDefault="00B72047">
      <w:pPr>
        <w:pStyle w:val="EBNFXREF"/>
      </w:pPr>
      <w:r>
        <w:rPr>
          <w:rStyle w:val="htmlcodes"/>
        </w:rPr>
        <w:t>&lt;dt&gt;</w:t>
      </w:r>
      <w:r>
        <w:t>bridi</w:t>
      </w:r>
      <w:r>
        <w:noBreakHyphen/>
        <w:t>tail</w:t>
      </w:r>
      <w:r>
        <w:noBreakHyphen/>
        <w:t>3</w:t>
      </w:r>
      <w:r>
        <w:tab/>
      </w:r>
      <w:r>
        <w:rPr>
          <w:rStyle w:val="htmlcodes"/>
        </w:rPr>
        <w:t>&lt;dd&gt;&lt;a href=#b52&gt;</w:t>
      </w:r>
      <w:r>
        <w:t>bridi</w:t>
      </w:r>
      <w:r>
        <w:noBreakHyphen/>
        <w:t>tail</w:t>
      </w:r>
      <w:r>
        <w:noBreakHyphen/>
        <w:t>2</w:t>
      </w:r>
      <w:r>
        <w:rPr>
          <w:rStyle w:val="htmlcodes"/>
        </w:rPr>
        <w:t>&lt;/a&gt;&lt;sub&gt;</w:t>
      </w:r>
      <w:r>
        <w:rPr>
          <w:rStyle w:val="subscript"/>
        </w:rPr>
        <w:t>52</w:t>
      </w:r>
      <w:r>
        <w:rPr>
          <w:rStyle w:val="htmlcodes"/>
        </w:rPr>
        <w:t>&lt;/sub&gt;</w:t>
      </w:r>
    </w:p>
    <w:p w:rsidR="00B72047" w:rsidRDefault="00B72047">
      <w:pPr>
        <w:pStyle w:val="EBNFXREF"/>
      </w:pPr>
      <w:r>
        <w:rPr>
          <w:rStyle w:val="htmlcodes"/>
        </w:rPr>
        <w:t>&lt;dt&gt;</w:t>
      </w:r>
      <w:r>
        <w:t>ek</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href=#b421&gt;</w:t>
      </w:r>
      <w:r>
        <w:t>joik</w:t>
      </w:r>
      <w:r>
        <w:noBreakHyphen/>
        <w:t>ek</w:t>
      </w:r>
      <w:r>
        <w:rPr>
          <w:rStyle w:val="htmlcodes"/>
        </w:rPr>
        <w:t>&lt;/a&gt;&lt;sub&gt;</w:t>
      </w:r>
      <w:r>
        <w:rPr>
          <w:rStyle w:val="subscript"/>
        </w:rPr>
        <w:t>421</w:t>
      </w:r>
      <w:r>
        <w:rPr>
          <w:rStyle w:val="htmlcodes"/>
        </w:rPr>
        <w:t>&lt;/sub&gt;</w:t>
      </w:r>
      <w:r>
        <w:t xml:space="preserve">, </w:t>
      </w:r>
      <w:r>
        <w:rPr>
          <w:rStyle w:val="htmlcodes"/>
        </w:rPr>
        <w:t>&lt;a href=#b383&gt;</w:t>
      </w:r>
      <w:r>
        <w:t>operand</w:t>
      </w:r>
      <w:r>
        <w:noBreakHyphen/>
        <w:t>2</w:t>
      </w:r>
      <w:r>
        <w:rPr>
          <w:rStyle w:val="htmlcodes"/>
        </w:rPr>
        <w:t>&lt;/a&gt;&lt;sub&gt;</w:t>
      </w:r>
      <w:r>
        <w:rPr>
          <w:rStyle w:val="subscript"/>
        </w:rPr>
        <w:t>383</w:t>
      </w:r>
      <w:r>
        <w:rPr>
          <w:rStyle w:val="htmlcodes"/>
        </w:rPr>
        <w:t>&lt;/sub&gt;</w:t>
      </w:r>
      <w:r>
        <w:t xml:space="preserve">, </w:t>
      </w:r>
      <w:r>
        <w:rPr>
          <w:rStyle w:val="htmlcodes"/>
        </w:rPr>
        <w:t>&lt;a href=#b381&gt;</w:t>
      </w:r>
      <w:r>
        <w:t>operand</w:t>
      </w:r>
      <w:r>
        <w:rPr>
          <w:rStyle w:val="htmlcodes"/>
        </w:rPr>
        <w:t>&lt;/a&gt;&lt;sub&gt;</w:t>
      </w:r>
      <w:r>
        <w:rPr>
          <w:rStyle w:val="subscript"/>
        </w:rPr>
        <w:t>381</w:t>
      </w:r>
      <w:r>
        <w:rPr>
          <w:rStyle w:val="htmlcodes"/>
        </w:rPr>
        <w:t>&lt;/sub&gt;</w:t>
      </w:r>
      <w:r>
        <w:t xml:space="preserve">, </w:t>
      </w:r>
      <w:r>
        <w:rPr>
          <w:rStyle w:val="htmlcodes"/>
        </w:rPr>
        <w:t>&lt;a href=#b91&gt;</w:t>
      </w:r>
      <w:r>
        <w:t>sumti</w:t>
      </w:r>
      <w:r>
        <w:noBreakHyphen/>
        <w:t>1</w:t>
      </w:r>
      <w:r>
        <w:rPr>
          <w:rStyle w:val="htmlcodes"/>
        </w:rPr>
        <w:t>&lt;/a&gt;&lt;sub&gt;</w:t>
      </w:r>
      <w:r>
        <w:rPr>
          <w:rStyle w:val="subscript"/>
        </w:rPr>
        <w:t>91</w:t>
      </w:r>
      <w:r>
        <w:rPr>
          <w:rStyle w:val="htmlcodes"/>
        </w:rPr>
        <w:t>&lt;/sub&gt;</w:t>
      </w:r>
      <w:r>
        <w:t xml:space="preserve">, </w:t>
      </w:r>
      <w:r>
        <w:rPr>
          <w:rStyle w:val="htmlcodes"/>
        </w:rPr>
        <w:t>&lt;a href=#b93&gt;</w:t>
      </w:r>
      <w:r>
        <w:t>sumti</w:t>
      </w:r>
      <w:r>
        <w:noBreakHyphen/>
        <w:t>3</w:t>
      </w:r>
      <w:r>
        <w:rPr>
          <w:rStyle w:val="htmlcodes"/>
        </w:rPr>
        <w:t>&lt;/a&gt;&lt;sub&gt;</w:t>
      </w:r>
      <w:r>
        <w:rPr>
          <w:rStyle w:val="subscript"/>
        </w:rPr>
        <w:t>93</w:t>
      </w:r>
      <w:r>
        <w:rPr>
          <w:rStyle w:val="htmlcodes"/>
        </w:rPr>
        <w:t>&lt;/sub&gt;</w:t>
      </w:r>
    </w:p>
    <w:p w:rsidR="00B72047" w:rsidRDefault="00B72047">
      <w:pPr>
        <w:pStyle w:val="EBNFXREF"/>
      </w:pPr>
      <w:r>
        <w:rPr>
          <w:rStyle w:val="htmlcodes"/>
        </w:rPr>
        <w:t>&lt;dt&gt;</w:t>
      </w:r>
      <w:r>
        <w:t>fragment</w:t>
      </w:r>
      <w:r>
        <w:tab/>
      </w:r>
      <w:r>
        <w:rPr>
          <w:rStyle w:val="htmlcodes"/>
        </w:rPr>
        <w:t>&lt;dd&gt;&lt;a href=#b10&gt;</w:t>
      </w:r>
      <w:r>
        <w:t>paragraph</w:t>
      </w:r>
      <w:r>
        <w:rPr>
          <w:rStyle w:val="htmlcodes"/>
        </w:rPr>
        <w:t>&lt;/a&gt;&lt;sub&gt;</w:t>
      </w:r>
      <w:r>
        <w:rPr>
          <w:rStyle w:val="subscript"/>
        </w:rPr>
        <w:t>10</w:t>
      </w:r>
      <w:r>
        <w:rPr>
          <w:rStyle w:val="htmlcodes"/>
        </w:rPr>
        <w:t>&lt;/sub&gt;</w:t>
      </w:r>
    </w:p>
    <w:p w:rsidR="00B72047" w:rsidRDefault="00B72047">
      <w:pPr>
        <w:pStyle w:val="EBNFXREF"/>
      </w:pPr>
      <w:r>
        <w:rPr>
          <w:rStyle w:val="htmlcodes"/>
        </w:rPr>
        <w:t>&lt;dt&gt;</w:t>
      </w:r>
      <w:r>
        <w:t>free</w:t>
      </w:r>
      <w:r>
        <w:tab/>
      </w:r>
      <w:r>
        <w:rPr>
          <w:rStyle w:val="htmlcodes"/>
        </w:rPr>
        <w:t>&lt;dd&gt;&lt;a href=#b0&gt;</w:t>
      </w:r>
      <w:r>
        <w:t>text</w:t>
      </w:r>
      <w:r>
        <w:rPr>
          <w:rStyle w:val="htmlcodes"/>
        </w:rPr>
        <w:t>&lt;/a&gt;&lt;sub&gt;</w:t>
      </w:r>
      <w:r>
        <w:rPr>
          <w:rStyle w:val="subscript"/>
        </w:rPr>
        <w:t>0</w:t>
      </w:r>
      <w:r>
        <w:rPr>
          <w:rStyle w:val="htmlcodes"/>
        </w:rPr>
        <w:t>&lt;/sub&gt;</w:t>
      </w:r>
    </w:p>
    <w:p w:rsidR="00B72047" w:rsidRDefault="00B72047">
      <w:pPr>
        <w:pStyle w:val="EBNFXREF"/>
      </w:pPr>
      <w:r>
        <w:rPr>
          <w:rStyle w:val="htmlcodes"/>
        </w:rPr>
        <w:t>&lt;dt&gt;</w:t>
      </w:r>
      <w:r>
        <w:t>gek</w:t>
      </w:r>
      <w:r>
        <w:tab/>
      </w:r>
      <w:r>
        <w:rPr>
          <w:rStyle w:val="htmlcodes"/>
        </w:rPr>
        <w:t>&lt;dd&gt;&lt;a href=#b54&gt;</w:t>
      </w:r>
      <w:r>
        <w:t>gek</w:t>
      </w:r>
      <w:r>
        <w:noBreakHyphen/>
        <w:t>sentence</w:t>
      </w:r>
      <w:r>
        <w:rPr>
          <w:rStyle w:val="htmlcodes"/>
        </w:rPr>
        <w:t>&lt;/a&gt;&lt;sub&gt;</w:t>
      </w:r>
      <w:r>
        <w:rPr>
          <w:rStyle w:val="subscript"/>
        </w:rPr>
        <w:t>54</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href=#b94&gt;</w:t>
      </w:r>
      <w:r>
        <w:t>sumti</w:t>
      </w:r>
      <w:r>
        <w:noBreakHyphen/>
        <w:t>4</w:t>
      </w:r>
      <w:r>
        <w:rPr>
          <w:rStyle w:val="htmlcodes"/>
        </w:rPr>
        <w:t>&lt;/a&gt;&lt;sub&gt;</w:t>
      </w:r>
      <w:r>
        <w:rPr>
          <w:rStyle w:val="subscript"/>
        </w:rPr>
        <w:t>94</w:t>
      </w:r>
      <w:r>
        <w:rPr>
          <w:rStyle w:val="htmlcodes"/>
        </w:rPr>
        <w:t>&lt;/sub&gt;</w:t>
      </w:r>
      <w:r>
        <w:t xml:space="preserve">, </w:t>
      </w:r>
      <w:r>
        <w:rPr>
          <w:rStyle w:val="htmlcodes"/>
        </w:rPr>
        <w:t>&lt;a href=#b85&gt;</w:t>
      </w:r>
      <w:r>
        <w:t>termset</w:t>
      </w:r>
      <w:r>
        <w:rPr>
          <w:rStyle w:val="htmlcodes"/>
        </w:rPr>
        <w:t>&lt;/a&gt;&lt;sub&gt;</w:t>
      </w:r>
      <w:r>
        <w:rPr>
          <w:rStyle w:val="subscript"/>
        </w:rPr>
        <w:t>85</w:t>
      </w:r>
      <w:r>
        <w:rPr>
          <w:rStyle w:val="htmlcodes"/>
        </w:rPr>
        <w:t>&lt;/sub&gt;</w:t>
      </w:r>
    </w:p>
    <w:p w:rsidR="00B72047" w:rsidRDefault="00B72047">
      <w:pPr>
        <w:pStyle w:val="EBNFXREF"/>
      </w:pPr>
      <w:r>
        <w:rPr>
          <w:rStyle w:val="htmlcodes"/>
        </w:rPr>
        <w:t>&lt;dt&gt;</w:t>
      </w:r>
      <w:r>
        <w:t>gek</w:t>
      </w:r>
      <w:r>
        <w:noBreakHyphen/>
        <w:t>sentence</w:t>
      </w:r>
      <w:r>
        <w:tab/>
      </w:r>
      <w:r>
        <w:rPr>
          <w:rStyle w:val="htmlcodes"/>
        </w:rPr>
        <w:t>&lt;dd&gt;&lt;a href=#b53&gt;</w:t>
      </w:r>
      <w:r>
        <w:t>bridi</w:t>
      </w:r>
      <w:r>
        <w:noBreakHyphen/>
        <w:t>tail</w:t>
      </w:r>
      <w:r>
        <w:noBreakHyphen/>
        <w:t>3</w:t>
      </w:r>
      <w:r>
        <w:rPr>
          <w:rStyle w:val="htmlcodes"/>
        </w:rPr>
        <w:t>&lt;/a&gt;&lt;sub&gt;</w:t>
      </w:r>
      <w:r>
        <w:rPr>
          <w:rStyle w:val="subscript"/>
        </w:rPr>
        <w:t>53</w:t>
      </w:r>
      <w:r>
        <w:rPr>
          <w:rStyle w:val="htmlcodes"/>
        </w:rPr>
        <w:t>&lt;/sub&gt;</w:t>
      </w:r>
      <w:r>
        <w:t xml:space="preserve">, </w:t>
      </w:r>
      <w:r>
        <w:rPr>
          <w:rStyle w:val="htmlcodes"/>
        </w:rPr>
        <w:t>&lt;a href=#b54&gt;</w:t>
      </w:r>
      <w:r>
        <w:t>gek</w:t>
      </w:r>
      <w:r>
        <w:noBreakHyphen/>
        <w:t>sentence</w:t>
      </w:r>
      <w:r>
        <w:rPr>
          <w:rStyle w:val="htmlcodes"/>
        </w:rPr>
        <w:t>&lt;/a&gt;&lt;sub&gt;</w:t>
      </w:r>
      <w:r>
        <w:rPr>
          <w:rStyle w:val="subscript"/>
        </w:rPr>
        <w:t>54</w:t>
      </w:r>
      <w:r>
        <w:rPr>
          <w:rStyle w:val="htmlcodes"/>
        </w:rPr>
        <w:t>&lt;/sub&gt;</w:t>
      </w:r>
    </w:p>
    <w:p w:rsidR="00B72047" w:rsidRDefault="00B72047">
      <w:pPr>
        <w:pStyle w:val="EBNFXREF"/>
      </w:pPr>
      <w:r>
        <w:rPr>
          <w:rStyle w:val="htmlcodes"/>
        </w:rPr>
        <w:t>&lt;dt&gt;</w:t>
      </w:r>
      <w:r>
        <w:t>gihek</w:t>
      </w:r>
      <w:r>
        <w:tab/>
      </w:r>
      <w:r>
        <w:rPr>
          <w:rStyle w:val="htmlcodes"/>
        </w:rPr>
        <w:t>&lt;dd&gt;&lt;a href=#b51&gt;</w:t>
      </w:r>
      <w:r>
        <w:t>bridi</w:t>
      </w:r>
      <w:r>
        <w:noBreakHyphen/>
        <w:t>tail</w:t>
      </w:r>
      <w:r>
        <w:noBreakHyphen/>
        <w:t>1</w:t>
      </w:r>
      <w:r>
        <w:rPr>
          <w:rStyle w:val="htmlcodes"/>
        </w:rPr>
        <w:t>&lt;/a&gt;&lt;sub&gt;</w:t>
      </w:r>
      <w:r>
        <w:rPr>
          <w:rStyle w:val="subscript"/>
        </w:rPr>
        <w:t>51</w:t>
      </w:r>
      <w:r>
        <w:rPr>
          <w:rStyle w:val="htmlcodes"/>
        </w:rPr>
        <w:t>&lt;/sub&gt;</w:t>
      </w:r>
      <w:r>
        <w:t xml:space="preserve">, </w:t>
      </w:r>
      <w:r>
        <w:rPr>
          <w:rStyle w:val="htmlcodes"/>
        </w:rPr>
        <w:t>&lt;a href=#b52&gt;</w:t>
      </w:r>
      <w:r>
        <w:t>bridi</w:t>
      </w:r>
      <w:r>
        <w:noBreakHyphen/>
        <w:t>tail</w:t>
      </w:r>
      <w:r>
        <w:noBreakHyphen/>
        <w:t>2</w:t>
      </w:r>
      <w:r>
        <w:rPr>
          <w:rStyle w:val="htmlcodes"/>
        </w:rPr>
        <w:t>&lt;/a&gt;&lt;sub&gt;</w:t>
      </w:r>
      <w:r>
        <w:rPr>
          <w:rStyle w:val="subscript"/>
        </w:rPr>
        <w:t>52</w:t>
      </w:r>
      <w:r>
        <w:rPr>
          <w:rStyle w:val="htmlcodes"/>
        </w:rPr>
        <w:t>&lt;/sub&gt;</w:t>
      </w:r>
      <w:r>
        <w:t xml:space="preserve">, </w:t>
      </w:r>
      <w:r>
        <w:rPr>
          <w:rStyle w:val="htmlcodes"/>
        </w:rPr>
        <w:t>&lt;a href=#b50&gt;</w:t>
      </w:r>
      <w:r>
        <w:t>bridi</w:t>
      </w:r>
      <w:r>
        <w:noBreakHyphen/>
        <w:t>tail</w:t>
      </w:r>
      <w:r>
        <w:rPr>
          <w:rStyle w:val="htmlcodes"/>
        </w:rPr>
        <w:t>&lt;/a&gt;&lt;sub&gt;</w:t>
      </w:r>
      <w:r>
        <w:rPr>
          <w:rStyle w:val="subscript"/>
        </w:rPr>
        <w:t>50</w:t>
      </w:r>
      <w:r>
        <w:rPr>
          <w:rStyle w:val="htmlcodes"/>
        </w:rPr>
        <w:t>&lt;/sub&gt;</w:t>
      </w:r>
      <w:r>
        <w:t xml:space="preserve">, </w:t>
      </w:r>
      <w:r>
        <w:rPr>
          <w:rStyle w:val="htmlcodes"/>
        </w:rPr>
        <w:t>&lt;a href=#b20&gt;</w:t>
      </w:r>
      <w:r>
        <w:t>fragment</w:t>
      </w:r>
      <w:r>
        <w:rPr>
          <w:rStyle w:val="htmlcodes"/>
        </w:rPr>
        <w:t>&lt;/a&gt;&lt;sub&gt;</w:t>
      </w:r>
      <w:r>
        <w:rPr>
          <w:rStyle w:val="subscript"/>
        </w:rPr>
        <w:t>20</w:t>
      </w:r>
      <w:r>
        <w:rPr>
          <w:rStyle w:val="htmlcodes"/>
        </w:rPr>
        <w:t>&lt;/sub&gt;</w:t>
      </w:r>
    </w:p>
    <w:p w:rsidR="00B72047" w:rsidRDefault="00B72047">
      <w:pPr>
        <w:pStyle w:val="EBNFXREF"/>
      </w:pPr>
      <w:r>
        <w:rPr>
          <w:rStyle w:val="htmlcodes"/>
        </w:rPr>
        <w:t>&lt;dt&gt;</w:t>
      </w:r>
      <w:r>
        <w:t>gik</w:t>
      </w:r>
      <w:r>
        <w:tab/>
      </w:r>
      <w:r>
        <w:rPr>
          <w:rStyle w:val="htmlcodes"/>
        </w:rPr>
        <w:t>&lt;dd&gt;&lt;a href=#b54&gt;</w:t>
      </w:r>
      <w:r>
        <w:t>gek</w:t>
      </w:r>
      <w:r>
        <w:noBreakHyphen/>
        <w:t>sentence</w:t>
      </w:r>
      <w:r>
        <w:rPr>
          <w:rStyle w:val="htmlcodes"/>
        </w:rPr>
        <w:t>&lt;/a&gt;&lt;sub&gt;</w:t>
      </w:r>
      <w:r>
        <w:rPr>
          <w:rStyle w:val="subscript"/>
        </w:rPr>
        <w:t>54</w:t>
      </w:r>
      <w:r>
        <w:rPr>
          <w:rStyle w:val="htmlcodes"/>
        </w:rPr>
        <w:t>&lt;/sub&gt;</w:t>
      </w:r>
      <w:r>
        <w:t xml:space="preserve">, </w:t>
      </w:r>
      <w:r>
        <w:rPr>
          <w:rStyle w:val="htmlcodes"/>
        </w:rPr>
        <w:t>&lt;a href=#b807&gt;</w:t>
      </w:r>
      <w:r>
        <w:t>gek</w:t>
      </w:r>
      <w:r>
        <w:rPr>
          <w:rStyle w:val="htmlcodes"/>
        </w:rPr>
        <w:t>&lt;/a&gt;&lt;sub&gt;</w:t>
      </w:r>
      <w:r>
        <w:rPr>
          <w:rStyle w:val="subscript"/>
        </w:rPr>
        <w:t>807</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href=#b371&gt;</w:t>
      </w:r>
      <w:r>
        <w:t>operator</w:t>
      </w:r>
      <w:r>
        <w:noBreakHyphen/>
        <w:t>1</w:t>
      </w:r>
      <w:r>
        <w:rPr>
          <w:rStyle w:val="htmlcodes"/>
        </w:rPr>
        <w:t>&lt;/a&gt;&lt;sub&gt;</w:t>
      </w:r>
      <w:r>
        <w:rPr>
          <w:rStyle w:val="subscript"/>
        </w:rPr>
        <w:t>371</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r>
        <w:t xml:space="preserve">, </w:t>
      </w:r>
      <w:r>
        <w:rPr>
          <w:rStyle w:val="htmlcodes"/>
        </w:rPr>
        <w:t>&lt;a href=#b94&gt;</w:t>
      </w:r>
      <w:r>
        <w:t>sumti</w:t>
      </w:r>
      <w:r>
        <w:noBreakHyphen/>
        <w:t>4</w:t>
      </w:r>
      <w:r>
        <w:rPr>
          <w:rStyle w:val="htmlcodes"/>
        </w:rPr>
        <w:t>&lt;/a&gt;&lt;sub&gt;</w:t>
      </w:r>
      <w:r>
        <w:rPr>
          <w:rStyle w:val="subscript"/>
        </w:rPr>
        <w:t>94</w:t>
      </w:r>
      <w:r>
        <w:rPr>
          <w:rStyle w:val="htmlcodes"/>
        </w:rPr>
        <w:t>&lt;/sub&gt;</w:t>
      </w:r>
      <w:r>
        <w:t xml:space="preserve">, </w:t>
      </w:r>
      <w:r>
        <w:rPr>
          <w:rStyle w:val="htmlcodes"/>
        </w:rPr>
        <w:t>&lt;a href=#b85&gt;</w:t>
      </w:r>
      <w:r>
        <w:t>termset</w:t>
      </w:r>
      <w:r>
        <w:rPr>
          <w:rStyle w:val="htmlcodes"/>
        </w:rPr>
        <w:t>&lt;/a&gt;&lt;sub&gt;</w:t>
      </w:r>
      <w:r>
        <w:rPr>
          <w:rStyle w:val="subscript"/>
        </w:rPr>
        <w:t>85</w:t>
      </w:r>
      <w:r>
        <w:rPr>
          <w:rStyle w:val="htmlcodes"/>
        </w:rPr>
        <w:t>&lt;/sub&gt;</w:t>
      </w:r>
    </w:p>
    <w:p w:rsidR="00B72047" w:rsidRDefault="00B72047">
      <w:pPr>
        <w:pStyle w:val="EBNFXREF"/>
      </w:pPr>
      <w:r>
        <w:rPr>
          <w:rStyle w:val="htmlcodes"/>
        </w:rPr>
        <w:t>&lt;dt&gt;</w:t>
      </w:r>
      <w:r>
        <w:t>guhek</w:t>
      </w:r>
      <w:r>
        <w:tab/>
      </w:r>
      <w:r>
        <w:rPr>
          <w:rStyle w:val="htmlcodes"/>
        </w:rPr>
        <w:t>&lt;dd&gt;&lt;a href=#b371&gt;</w:t>
      </w:r>
      <w:r>
        <w:t>operator</w:t>
      </w:r>
      <w:r>
        <w:noBreakHyphen/>
        <w:t>1</w:t>
      </w:r>
      <w:r>
        <w:rPr>
          <w:rStyle w:val="htmlcodes"/>
        </w:rPr>
        <w:t>&lt;/a&gt;&lt;sub&gt;</w:t>
      </w:r>
      <w:r>
        <w:rPr>
          <w:rStyle w:val="subscript"/>
        </w:rPr>
        <w:t>371</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p>
    <w:p w:rsidR="00B72047" w:rsidRDefault="00B72047">
      <w:pPr>
        <w:pStyle w:val="EBNFXREF"/>
      </w:pPr>
      <w:r>
        <w:rPr>
          <w:rStyle w:val="htmlcodes"/>
        </w:rPr>
        <w:t>&lt;dt&gt;</w:t>
      </w:r>
      <w:r>
        <w:t>indicator</w:t>
      </w:r>
      <w:r>
        <w:tab/>
      </w:r>
      <w:r>
        <w:rPr>
          <w:rStyle w:val="htmlcodes"/>
        </w:rPr>
        <w:t>&lt;dd&gt;&lt;a href=#b411&gt;</w:t>
      </w:r>
      <w:r>
        <w:t>indicators</w:t>
      </w:r>
      <w:r>
        <w:rPr>
          <w:rStyle w:val="htmlcodes"/>
        </w:rPr>
        <w:t>&lt;/a&gt;&lt;sub&gt;</w:t>
      </w:r>
      <w:r>
        <w:rPr>
          <w:rStyle w:val="subscript"/>
        </w:rPr>
        <w:t>411</w:t>
      </w:r>
      <w:r>
        <w:rPr>
          <w:rStyle w:val="htmlcodes"/>
        </w:rPr>
        <w:t>&lt;/sub&gt;</w:t>
      </w:r>
    </w:p>
    <w:p w:rsidR="00B72047" w:rsidRDefault="00B72047">
      <w:pPr>
        <w:pStyle w:val="EBNFXREF"/>
      </w:pPr>
      <w:r>
        <w:rPr>
          <w:rStyle w:val="htmlcodes"/>
        </w:rPr>
        <w:t>&lt;dt&gt;</w:t>
      </w:r>
      <w:r>
        <w:t>indicators</w:t>
      </w:r>
      <w:r>
        <w:tab/>
      </w:r>
      <w:r>
        <w:rPr>
          <w:rStyle w:val="htmlcodes"/>
        </w:rPr>
        <w:t>&lt;dd&gt;&lt;a href=#b0&gt;</w:t>
      </w:r>
      <w:r>
        <w:t>text</w:t>
      </w:r>
      <w:r>
        <w:rPr>
          <w:rStyle w:val="htmlcodes"/>
        </w:rPr>
        <w:t>&lt;/a&gt;&lt;sub&gt;</w:t>
      </w:r>
      <w:r>
        <w:rPr>
          <w:rStyle w:val="subscript"/>
        </w:rPr>
        <w:t>0</w:t>
      </w:r>
      <w:r>
        <w:rPr>
          <w:rStyle w:val="htmlcodes"/>
        </w:rPr>
        <w:t>&lt;/sub&gt;</w:t>
      </w:r>
      <w:r>
        <w:t xml:space="preserve">, </w:t>
      </w:r>
      <w:r>
        <w:rPr>
          <w:rStyle w:val="htmlcodes"/>
        </w:rPr>
        <w:t>&lt;a href=#b1100&gt;</w:t>
      </w:r>
      <w:r>
        <w:t>word</w:t>
      </w:r>
      <w:r>
        <w:rPr>
          <w:rStyle w:val="htmlcodes"/>
        </w:rPr>
        <w:t>&lt;/a&gt;&lt;sub&gt;</w:t>
      </w:r>
      <w:r>
        <w:rPr>
          <w:rStyle w:val="subscript"/>
        </w:rPr>
        <w:t>1100</w:t>
      </w:r>
      <w:r>
        <w:rPr>
          <w:rStyle w:val="htmlcodes"/>
        </w:rPr>
        <w:t>&lt;/sub&gt;</w:t>
      </w:r>
    </w:p>
    <w:p w:rsidR="00B72047" w:rsidRDefault="00B72047">
      <w:pPr>
        <w:pStyle w:val="EBNFXREF"/>
      </w:pPr>
      <w:r>
        <w:rPr>
          <w:rStyle w:val="htmlcodes"/>
        </w:rPr>
        <w:t>&lt;dt&gt;</w:t>
      </w:r>
      <w:r>
        <w:t>interval</w:t>
      </w:r>
      <w:r>
        <w:tab/>
      </w:r>
      <w:r>
        <w:rPr>
          <w:rStyle w:val="htmlcodes"/>
        </w:rPr>
        <w:t>&lt;dd&gt;&lt;a href=#b806&gt;</w:t>
      </w:r>
      <w:r>
        <w:t>joik</w:t>
      </w:r>
      <w:r>
        <w:rPr>
          <w:rStyle w:val="htmlcodes"/>
        </w:rPr>
        <w:t>&lt;/a&gt;&lt;sub&gt;</w:t>
      </w:r>
      <w:r>
        <w:rPr>
          <w:rStyle w:val="subscript"/>
        </w:rPr>
        <w:t>806</w:t>
      </w:r>
      <w:r>
        <w:rPr>
          <w:rStyle w:val="htmlcodes"/>
        </w:rPr>
        <w:t>&lt;/sub&gt;</w:t>
      </w:r>
    </w:p>
    <w:p w:rsidR="00B72047" w:rsidRDefault="00B72047">
      <w:pPr>
        <w:pStyle w:val="EBNFXREF"/>
      </w:pPr>
      <w:r>
        <w:rPr>
          <w:rStyle w:val="htmlcodes"/>
        </w:rPr>
        <w:t>&lt;dt&gt;</w:t>
      </w:r>
      <w:r>
        <w:t>interval</w:t>
      </w:r>
      <w:r>
        <w:noBreakHyphen/>
        <w:t>property</w:t>
      </w:r>
      <w:r>
        <w:tab/>
      </w:r>
      <w:r>
        <w:rPr>
          <w:rStyle w:val="htmlcodes"/>
        </w:rPr>
        <w:t>&lt;dd&gt;&lt;a href=#b1049&gt;</w:t>
      </w:r>
      <w:r>
        <w:t>space</w:t>
      </w:r>
      <w:r>
        <w:noBreakHyphen/>
        <w:t>int</w:t>
      </w:r>
      <w:r>
        <w:noBreakHyphen/>
        <w:t>props</w:t>
      </w:r>
      <w:r>
        <w:rPr>
          <w:rStyle w:val="htmlcodes"/>
        </w:rPr>
        <w:t>&lt;/a&gt;&lt;sub&gt;</w:t>
      </w:r>
      <w:r>
        <w:rPr>
          <w:rStyle w:val="subscript"/>
        </w:rPr>
        <w:t>1049</w:t>
      </w:r>
      <w:r>
        <w:rPr>
          <w:rStyle w:val="htmlcodes"/>
        </w:rPr>
        <w:t>&lt;/sub&gt;</w:t>
      </w:r>
      <w:r>
        <w:t xml:space="preserve">, </w:t>
      </w:r>
      <w:r>
        <w:rPr>
          <w:rStyle w:val="htmlcodes"/>
        </w:rPr>
        <w:t>&lt;a href=#b1030&gt;</w:t>
      </w:r>
      <w:r>
        <w:t>time</w:t>
      </w:r>
      <w:r>
        <w:rPr>
          <w:rStyle w:val="htmlcodes"/>
        </w:rPr>
        <w:t>&lt;/a&gt;&lt;sub&gt;</w:t>
      </w:r>
      <w:r>
        <w:rPr>
          <w:rStyle w:val="subscript"/>
        </w:rPr>
        <w:t>1030</w:t>
      </w:r>
      <w:r>
        <w:rPr>
          <w:rStyle w:val="htmlcodes"/>
        </w:rPr>
        <w:t>&lt;/sub&gt;</w:t>
      </w:r>
    </w:p>
    <w:p w:rsidR="00B72047" w:rsidRDefault="00B72047">
      <w:pPr>
        <w:pStyle w:val="EBNFXREF"/>
      </w:pPr>
      <w:r>
        <w:rPr>
          <w:rStyle w:val="htmlcodes"/>
        </w:rPr>
        <w:t>&lt;dt&gt;</w:t>
      </w:r>
      <w:r>
        <w:t>jek</w:t>
      </w:r>
      <w:r>
        <w:tab/>
      </w:r>
      <w:r>
        <w:rPr>
          <w:rStyle w:val="htmlcodes"/>
        </w:rPr>
        <w:t>&lt;dd&gt;&lt;a href=#b422&gt;</w:t>
      </w:r>
      <w:r>
        <w:t>joik</w:t>
      </w:r>
      <w:r>
        <w:noBreakHyphen/>
        <w:t>jek</w:t>
      </w:r>
      <w:r>
        <w:rPr>
          <w:rStyle w:val="htmlcodes"/>
        </w:rPr>
        <w:t>&lt;/a&gt;&lt;sub&gt;</w:t>
      </w:r>
      <w:r>
        <w:rPr>
          <w:rStyle w:val="subscript"/>
        </w:rPr>
        <w:t>422</w:t>
      </w:r>
      <w:r>
        <w:rPr>
          <w:rStyle w:val="htmlcodes"/>
        </w:rPr>
        <w:t>&lt;/sub&gt;</w:t>
      </w:r>
      <w:r>
        <w:t xml:space="preserve">, </w:t>
      </w:r>
      <w:r>
        <w:rPr>
          <w:rStyle w:val="htmlcodes"/>
        </w:rPr>
        <w:t>&lt;a href=#b371&gt;</w:t>
      </w:r>
      <w:r>
        <w:t>operator</w:t>
      </w:r>
      <w:r>
        <w:noBreakHyphen/>
        <w:t>1</w:t>
      </w:r>
      <w:r>
        <w:rPr>
          <w:rStyle w:val="htmlcodes"/>
        </w:rPr>
        <w:t>&lt;/a&gt;&lt;sub&gt;</w:t>
      </w:r>
      <w:r>
        <w:rPr>
          <w:rStyle w:val="subscript"/>
        </w:rPr>
        <w:t>371</w:t>
      </w:r>
      <w:r>
        <w:rPr>
          <w:rStyle w:val="htmlcodes"/>
        </w:rPr>
        <w:t>&lt;/sub&gt;</w:t>
      </w:r>
      <w:r>
        <w:t xml:space="preserve">, </w:t>
      </w:r>
      <w:r>
        <w:rPr>
          <w:rStyle w:val="htmlcodes"/>
        </w:rPr>
        <w:t>&lt;a href=#b135&gt;</w:t>
      </w:r>
      <w:r>
        <w:t>selbri</w:t>
      </w:r>
      <w:r>
        <w:noBreakHyphen/>
        <w:t>5</w:t>
      </w:r>
      <w:r>
        <w:rPr>
          <w:rStyle w:val="htmlcodes"/>
        </w:rPr>
        <w:t>&lt;/a&gt;&lt;sub&gt;</w:t>
      </w:r>
      <w:r>
        <w:rPr>
          <w:rStyle w:val="subscript"/>
        </w:rPr>
        <w:t>135</w:t>
      </w:r>
      <w:r>
        <w:rPr>
          <w:rStyle w:val="htmlcodes"/>
        </w:rPr>
        <w:t>&lt;/sub&gt;</w:t>
      </w:r>
      <w:r>
        <w:t xml:space="preserve">, </w:t>
      </w:r>
      <w:r>
        <w:rPr>
          <w:rStyle w:val="htmlcodes"/>
        </w:rPr>
        <w:t>&lt;a href=#b971&gt;</w:t>
      </w:r>
      <w:r>
        <w:t>stag</w:t>
      </w:r>
      <w:r>
        <w:rPr>
          <w:rStyle w:val="htmlcodes"/>
        </w:rPr>
        <w:t>&lt;/a&gt;&lt;sub&gt;</w:t>
      </w:r>
      <w:r>
        <w:rPr>
          <w:rStyle w:val="subscript"/>
        </w:rPr>
        <w:t>971</w:t>
      </w:r>
      <w:r>
        <w:rPr>
          <w:rStyle w:val="htmlcodes"/>
        </w:rPr>
        <w:t>&lt;/sub&gt;</w:t>
      </w:r>
      <w:r>
        <w:t xml:space="preserve">, </w:t>
      </w:r>
      <w:r>
        <w:rPr>
          <w:rStyle w:val="htmlcodes"/>
        </w:rPr>
        <w:t>&lt;a href=#b13&gt;</w:t>
      </w:r>
      <w:r>
        <w:t>statement</w:t>
      </w:r>
      <w:r>
        <w:noBreakHyphen/>
        <w:t>2</w:t>
      </w:r>
      <w:r>
        <w:rPr>
          <w:rStyle w:val="htmlcodes"/>
        </w:rPr>
        <w:t>&lt;/a&gt;&lt;sub&gt;</w:t>
      </w:r>
      <w:r>
        <w:rPr>
          <w:rStyle w:val="subscript"/>
        </w:rPr>
        <w:t>13</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joik</w:t>
      </w:r>
      <w:r>
        <w:tab/>
      </w:r>
      <w:r>
        <w:rPr>
          <w:rStyle w:val="htmlcodes"/>
        </w:rPr>
        <w:t>&lt;dd&gt;&lt;a href=#b807&gt;</w:t>
      </w:r>
      <w:r>
        <w:t>gek</w:t>
      </w:r>
      <w:r>
        <w:rPr>
          <w:rStyle w:val="htmlcodes"/>
        </w:rPr>
        <w:t>&lt;/a&gt;&lt;sub&gt;</w:t>
      </w:r>
      <w:r>
        <w:rPr>
          <w:rStyle w:val="subscript"/>
        </w:rPr>
        <w:t>807</w:t>
      </w:r>
      <w:r>
        <w:rPr>
          <w:rStyle w:val="htmlcodes"/>
        </w:rPr>
        <w:t>&lt;/sub&gt;</w:t>
      </w:r>
      <w:r>
        <w:t xml:space="preserve">, </w:t>
      </w:r>
      <w:r>
        <w:rPr>
          <w:rStyle w:val="htmlcodes"/>
        </w:rPr>
        <w:t>&lt;a href=#b421&gt;</w:t>
      </w:r>
      <w:r>
        <w:t>joik</w:t>
      </w:r>
      <w:r>
        <w:noBreakHyphen/>
        <w:t>ek</w:t>
      </w:r>
      <w:r>
        <w:rPr>
          <w:rStyle w:val="htmlcodes"/>
        </w:rPr>
        <w:t>&lt;/a&gt;&lt;sub&gt;</w:t>
      </w:r>
      <w:r>
        <w:rPr>
          <w:rStyle w:val="subscript"/>
        </w:rPr>
        <w:t>421</w:t>
      </w:r>
      <w:r>
        <w:rPr>
          <w:rStyle w:val="htmlcodes"/>
        </w:rPr>
        <w:t>&lt;/sub&gt;</w:t>
      </w:r>
      <w:r>
        <w:t xml:space="preserve">, </w:t>
      </w:r>
      <w:r>
        <w:rPr>
          <w:rStyle w:val="htmlcodes"/>
        </w:rPr>
        <w:t>&lt;a href=#b422&gt;</w:t>
      </w:r>
      <w:r>
        <w:t>joik</w:t>
      </w:r>
      <w:r>
        <w:noBreakHyphen/>
        <w:t>jek</w:t>
      </w:r>
      <w:r>
        <w:rPr>
          <w:rStyle w:val="htmlcodes"/>
        </w:rPr>
        <w:t>&lt;/a&gt;&lt;sub&gt;</w:t>
      </w:r>
      <w:r>
        <w:rPr>
          <w:rStyle w:val="subscript"/>
        </w:rPr>
        <w:t>422</w:t>
      </w:r>
      <w:r>
        <w:rPr>
          <w:rStyle w:val="htmlcodes"/>
        </w:rPr>
        <w:t>&lt;/sub&gt;</w:t>
      </w:r>
      <w:r>
        <w:t xml:space="preserve">, </w:t>
      </w:r>
      <w:r>
        <w:rPr>
          <w:rStyle w:val="htmlcodes"/>
        </w:rPr>
        <w:t>&lt;a href=#b383&gt;</w:t>
      </w:r>
      <w:r>
        <w:t>operand</w:t>
      </w:r>
      <w:r>
        <w:noBreakHyphen/>
        <w:t>2</w:t>
      </w:r>
      <w:r>
        <w:rPr>
          <w:rStyle w:val="htmlcodes"/>
        </w:rPr>
        <w:t>&lt;/a&gt;&lt;sub&gt;</w:t>
      </w:r>
      <w:r>
        <w:rPr>
          <w:rStyle w:val="subscript"/>
        </w:rPr>
        <w:t>383</w:t>
      </w:r>
      <w:r>
        <w:rPr>
          <w:rStyle w:val="htmlcodes"/>
        </w:rPr>
        <w:t>&lt;/sub&gt;</w:t>
      </w:r>
      <w:r>
        <w:t xml:space="preserve">, </w:t>
      </w:r>
      <w:r>
        <w:rPr>
          <w:rStyle w:val="htmlcodes"/>
        </w:rPr>
        <w:t>&lt;a href=#b381&gt;</w:t>
      </w:r>
      <w:r>
        <w:t>operand</w:t>
      </w:r>
      <w:r>
        <w:rPr>
          <w:rStyle w:val="htmlcodes"/>
        </w:rPr>
        <w:t>&lt;/a&gt;&lt;sub&gt;</w:t>
      </w:r>
      <w:r>
        <w:rPr>
          <w:rStyle w:val="subscript"/>
        </w:rPr>
        <w:t>381</w:t>
      </w:r>
      <w:r>
        <w:rPr>
          <w:rStyle w:val="htmlcodes"/>
        </w:rPr>
        <w:t>&lt;/sub&gt;</w:t>
      </w:r>
      <w:r>
        <w:t xml:space="preserve">, </w:t>
      </w:r>
      <w:r>
        <w:rPr>
          <w:rStyle w:val="htmlcodes"/>
        </w:rPr>
        <w:t>&lt;a href=#b371&gt;</w:t>
      </w:r>
      <w:r>
        <w:t>oper</w:t>
      </w:r>
      <w:r>
        <w:t>a</w:t>
      </w:r>
      <w:r>
        <w:t>tor</w:t>
      </w:r>
      <w:r>
        <w:noBreakHyphen/>
        <w:t>1</w:t>
      </w:r>
      <w:r>
        <w:rPr>
          <w:rStyle w:val="htmlcodes"/>
        </w:rPr>
        <w:t>&lt;/a&gt;&lt;sub&gt;</w:t>
      </w:r>
      <w:r>
        <w:rPr>
          <w:rStyle w:val="subscript"/>
        </w:rPr>
        <w:t>371</w:t>
      </w:r>
      <w:r>
        <w:rPr>
          <w:rStyle w:val="htmlcodes"/>
        </w:rPr>
        <w:t>&lt;/sub&gt;</w:t>
      </w:r>
      <w:r>
        <w:t xml:space="preserve">, </w:t>
      </w:r>
      <w:r>
        <w:rPr>
          <w:rStyle w:val="htmlcodes"/>
        </w:rPr>
        <w:t>&lt;a href=#b370&gt;</w:t>
      </w:r>
      <w:r>
        <w:t>operator</w:t>
      </w:r>
      <w:r>
        <w:rPr>
          <w:rStyle w:val="htmlcodes"/>
        </w:rPr>
        <w:t>&lt;/a&gt;&lt;sub&gt;</w:t>
      </w:r>
      <w:r>
        <w:rPr>
          <w:rStyle w:val="subscript"/>
        </w:rPr>
        <w:t>370</w:t>
      </w:r>
      <w:r>
        <w:rPr>
          <w:rStyle w:val="htmlcodes"/>
        </w:rPr>
        <w:t>&lt;/sub&gt;</w:t>
      </w:r>
      <w:r>
        <w:t xml:space="preserve">, </w:t>
      </w:r>
      <w:r>
        <w:rPr>
          <w:rStyle w:val="htmlcodes"/>
        </w:rPr>
        <w: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href=#b135&gt;</w:t>
      </w:r>
      <w:r>
        <w:t>selbri</w:t>
      </w:r>
      <w:r>
        <w:noBreakHyphen/>
        <w:t>5</w:t>
      </w:r>
      <w:r>
        <w:rPr>
          <w:rStyle w:val="htmlcodes"/>
        </w:rPr>
        <w:t>&lt;/a&gt;&lt;sub&gt;</w:t>
      </w:r>
      <w:r>
        <w:rPr>
          <w:rStyle w:val="subscript"/>
        </w:rPr>
        <w:t>135</w:t>
      </w:r>
      <w:r>
        <w:rPr>
          <w:rStyle w:val="htmlcodes"/>
        </w:rPr>
        <w:t>&lt;/sub&gt;</w:t>
      </w:r>
      <w:r>
        <w:t xml:space="preserve">, </w:t>
      </w:r>
      <w:r>
        <w:rPr>
          <w:rStyle w:val="htmlcodes"/>
        </w:rPr>
        <w:t>&lt;a href=#b971&gt;</w:t>
      </w:r>
      <w:r>
        <w:t>stag</w:t>
      </w:r>
      <w:r>
        <w:rPr>
          <w:rStyle w:val="htmlcodes"/>
        </w:rPr>
        <w:t>&lt;/a&gt;&lt;sub&gt;</w:t>
      </w:r>
      <w:r>
        <w:rPr>
          <w:rStyle w:val="subscript"/>
        </w:rPr>
        <w:t>971</w:t>
      </w:r>
      <w:r>
        <w:rPr>
          <w:rStyle w:val="htmlcodes"/>
        </w:rPr>
        <w:t>&lt;/sub&gt;</w:t>
      </w:r>
      <w:r>
        <w:t xml:space="preserve">, </w:t>
      </w:r>
      <w:r>
        <w:rPr>
          <w:rStyle w:val="htmlcodes"/>
        </w:rPr>
        <w:t>&lt;a href=#b13&gt;</w:t>
      </w:r>
      <w:r>
        <w:t>stat</w:t>
      </w:r>
      <w:r>
        <w:t>e</w:t>
      </w:r>
      <w:r>
        <w:t>ment</w:t>
      </w:r>
      <w:r>
        <w:noBreakHyphen/>
        <w:t>2</w:t>
      </w:r>
      <w:r>
        <w:rPr>
          <w:rStyle w:val="htmlcodes"/>
        </w:rPr>
        <w:t>&lt;/a&gt;&lt;sub&gt;</w:t>
      </w:r>
      <w:r>
        <w:rPr>
          <w:rStyle w:val="subscript"/>
        </w:rPr>
        <w:t>13</w:t>
      </w:r>
      <w:r>
        <w:rPr>
          <w:rStyle w:val="htmlcodes"/>
        </w:rPr>
        <w:t>&lt;/sub&gt;</w:t>
      </w:r>
      <w:r>
        <w:t xml:space="preserve">, </w:t>
      </w:r>
      <w:r>
        <w:rPr>
          <w:rStyle w:val="htmlcodes"/>
        </w:rPr>
        <w:t>&lt;a href=#b91&gt;</w:t>
      </w:r>
      <w:r>
        <w:t>sumti</w:t>
      </w:r>
      <w:r>
        <w:noBreakHyphen/>
        <w:t>1</w:t>
      </w:r>
      <w:r>
        <w:rPr>
          <w:rStyle w:val="htmlcodes"/>
        </w:rPr>
        <w:t>&lt;/a&gt;&lt;sub&gt;</w:t>
      </w:r>
      <w:r>
        <w:rPr>
          <w:rStyle w:val="subscript"/>
        </w:rPr>
        <w:t>91</w:t>
      </w:r>
      <w:r>
        <w:rPr>
          <w:rStyle w:val="htmlcodes"/>
        </w:rPr>
        <w:t>&lt;/sub&gt;</w:t>
      </w:r>
      <w:r>
        <w:t xml:space="preserve">, </w:t>
      </w:r>
      <w:r>
        <w:rPr>
          <w:rStyle w:val="htmlcodes"/>
        </w:rPr>
        <w:t>&lt;a href=#b93&gt;</w:t>
      </w:r>
      <w:r>
        <w:t>sumti</w:t>
      </w:r>
      <w:r>
        <w:noBreakHyphen/>
        <w:t>3</w:t>
      </w:r>
      <w:r>
        <w:rPr>
          <w:rStyle w:val="htmlcodes"/>
        </w:rPr>
        <w:t>&lt;/a&gt;&lt;sub&gt;</w:t>
      </w:r>
      <w:r>
        <w:rPr>
          <w:rStyle w:val="subscript"/>
        </w:rPr>
        <w:t>93</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joik</w:t>
      </w:r>
      <w:r>
        <w:noBreakHyphen/>
        <w:t>ek</w:t>
      </w:r>
      <w:r>
        <w:tab/>
      </w:r>
      <w:r>
        <w:rPr>
          <w:rStyle w:val="htmlcodes"/>
        </w:rPr>
        <w:t>&lt;dd&gt;&lt;a href=#b382&gt;</w:t>
      </w:r>
      <w:r>
        <w:t>operand</w:t>
      </w:r>
      <w:r>
        <w:noBreakHyphen/>
        <w:t>1</w:t>
      </w:r>
      <w:r>
        <w:rPr>
          <w:rStyle w:val="htmlcodes"/>
        </w:rPr>
        <w:t>&lt;/a&gt;&lt;sub&gt;</w:t>
      </w:r>
      <w:r>
        <w:rPr>
          <w:rStyle w:val="subscript"/>
        </w:rPr>
        <w:t>382</w:t>
      </w:r>
      <w:r>
        <w:rPr>
          <w:rStyle w:val="htmlcodes"/>
        </w:rPr>
        <w:t>&lt;/sub&gt;</w:t>
      </w:r>
      <w:r>
        <w:t xml:space="preserve">, </w:t>
      </w:r>
      <w:r>
        <w:rPr>
          <w:rStyle w:val="htmlcodes"/>
        </w:rPr>
        <w:t>&lt;a href=#b92&gt;</w:t>
      </w:r>
      <w:r>
        <w:t>sumti</w:t>
      </w:r>
      <w:r>
        <w:noBreakHyphen/>
        <w:t>2</w:t>
      </w:r>
      <w:r>
        <w:rPr>
          <w:rStyle w:val="htmlcodes"/>
        </w:rPr>
        <w:t>&lt;/a&gt;&lt;sub&gt;</w:t>
      </w:r>
      <w:r>
        <w:rPr>
          <w:rStyle w:val="subscript"/>
        </w:rPr>
        <w:t>92</w:t>
      </w:r>
      <w:r>
        <w:rPr>
          <w:rStyle w:val="htmlcodes"/>
        </w:rPr>
        <w:t>&lt;/sub&gt;</w:t>
      </w:r>
    </w:p>
    <w:p w:rsidR="00B72047" w:rsidRDefault="00B72047">
      <w:pPr>
        <w:pStyle w:val="EBNFXREF"/>
      </w:pPr>
      <w:r>
        <w:rPr>
          <w:rStyle w:val="htmlcodes"/>
        </w:rPr>
        <w:t>&lt;dt&gt;</w:t>
      </w:r>
      <w:r>
        <w:t>joik</w:t>
      </w:r>
      <w:r>
        <w:noBreakHyphen/>
        <w:t>jek</w:t>
      </w:r>
      <w:r>
        <w:tab/>
      </w:r>
      <w:r>
        <w:rPr>
          <w:rStyle w:val="htmlcodes"/>
        </w:rPr>
        <w:t>&lt;dd&gt;&lt;a href=#b370&gt;</w:t>
      </w:r>
      <w:r>
        <w:t>operator</w:t>
      </w:r>
      <w:r>
        <w:rPr>
          <w:rStyle w:val="htmlcodes"/>
        </w:rPr>
        <w:t>&lt;/a&gt;&lt;sub&gt;</w:t>
      </w:r>
      <w:r>
        <w:rPr>
          <w:rStyle w:val="subscript"/>
        </w:rPr>
        <w:t>370</w:t>
      </w:r>
      <w:r>
        <w:rPr>
          <w:rStyle w:val="htmlcodes"/>
        </w:rPr>
        <w:t>&lt;/sub&gt;</w:t>
      </w:r>
      <w:r>
        <w:t xml:space="preserve">, </w:t>
      </w:r>
      <w:r>
        <w:rPr>
          <w:rStyle w:val="htmlcodes"/>
        </w:rPr>
        <w: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href=#b12&gt;</w:t>
      </w:r>
      <w:r>
        <w:t>statement</w:t>
      </w:r>
      <w:r>
        <w:noBreakHyphen/>
        <w:t>1</w:t>
      </w:r>
      <w:r>
        <w:rPr>
          <w:rStyle w:val="htmlcodes"/>
        </w:rPr>
        <w:t>&lt;/a&gt;&lt;sub&gt;</w:t>
      </w:r>
      <w:r>
        <w:rPr>
          <w:rStyle w:val="subscript"/>
        </w:rPr>
        <w:t>12</w:t>
      </w:r>
      <w:r>
        <w:rPr>
          <w:rStyle w:val="htmlcodes"/>
        </w:rPr>
        <w:t>&lt;/sub&gt;</w:t>
      </w:r>
      <w:r>
        <w:t xml:space="preserve">, </w:t>
      </w:r>
      <w:r>
        <w:rPr>
          <w:rStyle w:val="htmlcodes"/>
        </w:rPr>
        <w:t>&lt;a href=#b491&gt;</w:t>
      </w:r>
      <w:r>
        <w:t>tag</w:t>
      </w:r>
      <w:r>
        <w:rPr>
          <w:rStyle w:val="htmlcodes"/>
        </w:rPr>
        <w:t>&lt;/a&gt;&lt;sub&gt;</w:t>
      </w:r>
      <w:r>
        <w:rPr>
          <w:rStyle w:val="subscript"/>
        </w:rPr>
        <w:t>491</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r>
        <w:t xml:space="preserve">, </w:t>
      </w:r>
      <w:r>
        <w:rPr>
          <w:rStyle w:val="htmlcodes"/>
        </w:rPr>
        <w:t>&lt;a href=#b81&gt;</w:t>
      </w:r>
      <w:r>
        <w:t>terms</w:t>
      </w:r>
      <w:r>
        <w:noBreakHyphen/>
        <w:t>1</w:t>
      </w:r>
      <w:r>
        <w:rPr>
          <w:rStyle w:val="htmlcodes"/>
        </w:rPr>
        <w:t>&lt;/a&gt;&lt;sub&gt;</w:t>
      </w:r>
      <w:r>
        <w:rPr>
          <w:rStyle w:val="subscript"/>
        </w:rPr>
        <w:t>81</w:t>
      </w:r>
      <w:r>
        <w:rPr>
          <w:rStyle w:val="htmlcodes"/>
        </w:rPr>
        <w:t>&lt;/sub&gt;</w:t>
      </w:r>
      <w:r>
        <w:t xml:space="preserve">, </w:t>
      </w:r>
      <w:r>
        <w:rPr>
          <w:rStyle w:val="htmlcodes"/>
        </w:rPr>
        <w:t>&lt;a href=#b0&gt;</w:t>
      </w:r>
      <w:r>
        <w:t>text</w:t>
      </w:r>
      <w:r>
        <w:rPr>
          <w:rStyle w:val="htmlcodes"/>
        </w:rPr>
        <w:t>&lt;/a&gt;&lt;sub&gt;</w:t>
      </w:r>
      <w:r>
        <w:rPr>
          <w:rStyle w:val="subscript"/>
        </w:rPr>
        <w:t>0</w:t>
      </w:r>
      <w:r>
        <w:rPr>
          <w:rStyle w:val="htmlcodes"/>
        </w:rPr>
        <w:t>&lt;/sub&gt;</w:t>
      </w:r>
    </w:p>
    <w:p w:rsidR="00B72047" w:rsidRDefault="00B72047">
      <w:pPr>
        <w:pStyle w:val="EBNFXREF"/>
      </w:pPr>
      <w:r>
        <w:rPr>
          <w:rStyle w:val="htmlcodes"/>
        </w:rPr>
        <w:t>&lt;dt&gt;</w:t>
      </w:r>
      <w:r>
        <w:t>lerfu</w:t>
      </w:r>
      <w:r>
        <w:noBreakHyphen/>
        <w:t>string</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href=#b987&gt;</w:t>
      </w:r>
      <w:r>
        <w:t>lerfu</w:t>
      </w:r>
      <w:r>
        <w:noBreakHyphen/>
        <w:t>word</w:t>
      </w:r>
      <w:r>
        <w:rPr>
          <w:rStyle w:val="htmlcodes"/>
        </w:rPr>
        <w:t>&lt;/a&gt;&lt;sub&gt;</w:t>
      </w:r>
      <w:r>
        <w:rPr>
          <w:rStyle w:val="subscript"/>
        </w:rPr>
        <w:t>987</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lerfu</w:t>
      </w:r>
      <w:r>
        <w:noBreakHyphen/>
        <w:t>word</w:t>
      </w:r>
      <w:r>
        <w:tab/>
      </w:r>
      <w:r>
        <w:rPr>
          <w:rStyle w:val="htmlcodes"/>
        </w:rPr>
        <w:t>&lt;dd&gt;&lt;a href=#b817&gt;</w:t>
      </w:r>
      <w:r>
        <w:t>lerfu</w:t>
      </w:r>
      <w:r>
        <w:noBreakHyphen/>
        <w:t>string</w:t>
      </w:r>
      <w:r>
        <w:rPr>
          <w:rStyle w:val="htmlcodes"/>
        </w:rPr>
        <w:t>&lt;/a&gt;&lt;sub&gt;</w:t>
      </w:r>
      <w:r>
        <w:rPr>
          <w:rStyle w:val="subscript"/>
        </w:rPr>
        <w:t>817</w:t>
      </w:r>
      <w:r>
        <w:rPr>
          <w:rStyle w:val="htmlcodes"/>
        </w:rPr>
        <w:t>&lt;/sub&gt;</w:t>
      </w:r>
      <w:r>
        <w:t xml:space="preserve">, </w:t>
      </w:r>
      <w:r>
        <w:rPr>
          <w:rStyle w:val="htmlcodes"/>
        </w:rPr>
        <w:t>&lt;a href=#b987&gt;</w:t>
      </w:r>
      <w:r>
        <w:t>lerfu</w:t>
      </w:r>
      <w:r>
        <w:noBreakHyphen/>
        <w:t>word</w:t>
      </w:r>
      <w:r>
        <w:rPr>
          <w:rStyle w:val="htmlcodes"/>
        </w:rPr>
        <w:t>&lt;/a&gt;&lt;sub&gt;</w:t>
      </w:r>
      <w:r>
        <w:rPr>
          <w:rStyle w:val="subscript"/>
        </w:rPr>
        <w:t>987</w:t>
      </w:r>
      <w:r>
        <w:rPr>
          <w:rStyle w:val="htmlcodes"/>
        </w:rPr>
        <w:t>&lt;/sub&gt;</w:t>
      </w:r>
      <w:r>
        <w:t xml:space="preserve">, </w:t>
      </w:r>
      <w:r>
        <w:rPr>
          <w:rStyle w:val="htmlcodes"/>
        </w:rPr>
        <w:t>&lt;a href=#b812&gt;</w:t>
      </w:r>
      <w:r>
        <w:t>number</w:t>
      </w:r>
      <w:r>
        <w:rPr>
          <w:rStyle w:val="htmlcodes"/>
        </w:rPr>
        <w:t>&lt;/a&gt;&lt;sub&gt;</w:t>
      </w:r>
      <w:r>
        <w:rPr>
          <w:rStyle w:val="subscript"/>
        </w:rPr>
        <w:t>812</w:t>
      </w:r>
      <w:r>
        <w:rPr>
          <w:rStyle w:val="htmlcodes"/>
        </w:rPr>
        <w:t>&lt;/sub&gt;</w:t>
      </w:r>
    </w:p>
    <w:p w:rsidR="00B72047" w:rsidRDefault="00B72047">
      <w:pPr>
        <w:pStyle w:val="EBNFXREF"/>
      </w:pPr>
      <w:r>
        <w:rPr>
          <w:rStyle w:val="htmlcodes"/>
        </w:rPr>
        <w:t>&lt;dt&gt;</w:t>
      </w:r>
      <w:r>
        <w:t>linkargs</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href=#b151&gt;</w:t>
      </w:r>
      <w:r>
        <w:t>tanru</w:t>
      </w:r>
      <w:r>
        <w:noBreakHyphen/>
        <w:t>unit</w:t>
      </w:r>
      <w:r>
        <w:noBreakHyphen/>
        <w:t>1</w:t>
      </w:r>
      <w:r>
        <w:rPr>
          <w:rStyle w:val="htmlcodes"/>
        </w:rPr>
        <w:t>&lt;/a&gt;&lt;sub&gt;</w:t>
      </w:r>
      <w:r>
        <w:rPr>
          <w:rStyle w:val="subscript"/>
        </w:rPr>
        <w:t>151</w:t>
      </w:r>
      <w:r>
        <w:rPr>
          <w:rStyle w:val="htmlcodes"/>
        </w:rPr>
        <w:t>&lt;/sub&gt;</w:t>
      </w:r>
    </w:p>
    <w:p w:rsidR="00B72047" w:rsidRDefault="00B72047">
      <w:pPr>
        <w:pStyle w:val="EBNFXREF"/>
      </w:pPr>
      <w:r>
        <w:rPr>
          <w:rStyle w:val="htmlcodes"/>
        </w:rPr>
        <w:t>&lt;dt&gt;</w:t>
      </w:r>
      <w:r>
        <w:t>links</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href=#b160&gt;</w:t>
      </w:r>
      <w:r>
        <w:t>linkargs</w:t>
      </w:r>
      <w:r>
        <w:rPr>
          <w:rStyle w:val="htmlcodes"/>
        </w:rPr>
        <w:t>&lt;/a&gt;&lt;sub&gt;</w:t>
      </w:r>
      <w:r>
        <w:rPr>
          <w:rStyle w:val="subscript"/>
        </w:rPr>
        <w:t>160</w:t>
      </w:r>
      <w:r>
        <w:rPr>
          <w:rStyle w:val="htmlcodes"/>
        </w:rPr>
        <w:t>&lt;/sub&gt;</w:t>
      </w:r>
      <w:r>
        <w:t xml:space="preserve">, </w:t>
      </w:r>
      <w:r>
        <w:rPr>
          <w:rStyle w:val="htmlcodes"/>
        </w:rPr>
        <w:t>&lt;a href=#b161&gt;</w:t>
      </w:r>
      <w:r>
        <w:t>links</w:t>
      </w:r>
      <w:r>
        <w:rPr>
          <w:rStyle w:val="htmlcodes"/>
        </w:rPr>
        <w:t>&lt;/a&gt;&lt;sub&gt;</w:t>
      </w:r>
      <w:r>
        <w:rPr>
          <w:rStyle w:val="subscript"/>
        </w:rPr>
        <w:t>161</w:t>
      </w:r>
      <w:r>
        <w:rPr>
          <w:rStyle w:val="htmlcodes"/>
        </w:rPr>
        <w:t>&lt;/sub&gt;</w:t>
      </w:r>
    </w:p>
    <w:p w:rsidR="00B72047" w:rsidRDefault="00B72047">
      <w:pPr>
        <w:pStyle w:val="EBNFXREF"/>
      </w:pPr>
      <w:r>
        <w:rPr>
          <w:rStyle w:val="htmlcodes"/>
        </w:rPr>
        <w:t>&lt;dt&gt;</w:t>
      </w:r>
      <w:r>
        <w:t>mex</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href=#b300&gt;</w:t>
      </w:r>
      <w:r>
        <w:t>quantifier</w:t>
      </w:r>
      <w:r>
        <w:rPr>
          <w:rStyle w:val="htmlcodes"/>
        </w:rPr>
        <w:t>&lt;/a&gt;&lt;sub&gt;</w:t>
      </w:r>
      <w:r>
        <w:rPr>
          <w:rStyle w:val="subscript"/>
        </w:rPr>
        <w:t>300</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p>
    <w:p w:rsidR="00B72047" w:rsidRDefault="00B72047">
      <w:pPr>
        <w:pStyle w:val="EBNFXREF"/>
      </w:pPr>
      <w:r>
        <w:rPr>
          <w:rStyle w:val="htmlcodes"/>
        </w:rPr>
        <w:t>&lt;dt&gt;</w:t>
      </w:r>
      <w:r>
        <w:t>mex</w:t>
      </w:r>
      <w:r>
        <w:noBreakHyphen/>
        <w:t>1</w:t>
      </w:r>
      <w:r>
        <w:tab/>
      </w:r>
      <w:r>
        <w:rPr>
          <w:rStyle w:val="htmlcodes"/>
        </w:rPr>
        <w:t>&lt;dd&gt;&lt;a href=#b311&gt;</w:t>
      </w:r>
      <w:r>
        <w:t>mex</w:t>
      </w:r>
      <w:r>
        <w:noBreakHyphen/>
        <w:t>1</w:t>
      </w:r>
      <w:r>
        <w:rPr>
          <w:rStyle w:val="htmlcodes"/>
        </w:rPr>
        <w:t>&lt;/a&gt;&lt;sub&gt;</w:t>
      </w:r>
      <w:r>
        <w:rPr>
          <w:rStyle w:val="subscript"/>
        </w:rPr>
        <w:t>311</w:t>
      </w:r>
      <w:r>
        <w:rPr>
          <w:rStyle w:val="htmlcodes"/>
        </w:rPr>
        <w:t>&lt;/sub&gt;</w:t>
      </w:r>
      <w:r>
        <w:t xml:space="preserve">, </w:t>
      </w:r>
      <w:r>
        <w:rPr>
          <w:rStyle w:val="htmlcodes"/>
        </w:rPr>
        <w:t>&lt;a href=#b310&gt;</w:t>
      </w:r>
      <w:r>
        <w:t>mex</w:t>
      </w:r>
      <w:r>
        <w:rPr>
          <w:rStyle w:val="htmlcodes"/>
        </w:rPr>
        <w:t>&lt;/a&gt;&lt;sub&gt;</w:t>
      </w:r>
      <w:r>
        <w:rPr>
          <w:rStyle w:val="subscript"/>
        </w:rPr>
        <w:t>310</w:t>
      </w:r>
      <w:r>
        <w:rPr>
          <w:rStyle w:val="htmlcodes"/>
        </w:rPr>
        <w:t>&lt;/sub&gt;</w:t>
      </w:r>
    </w:p>
    <w:p w:rsidR="00B72047" w:rsidRDefault="00B72047">
      <w:pPr>
        <w:pStyle w:val="EBNFXREF"/>
      </w:pPr>
      <w:r>
        <w:rPr>
          <w:rStyle w:val="htmlcodes"/>
        </w:rPr>
        <w:t>&lt;dt&gt;</w:t>
      </w:r>
      <w:r>
        <w:t>mex</w:t>
      </w:r>
      <w:r>
        <w:noBreakHyphen/>
        <w:t>2</w:t>
      </w:r>
      <w:r>
        <w:tab/>
      </w:r>
      <w:r>
        <w:rPr>
          <w:rStyle w:val="htmlcodes"/>
        </w:rPr>
        <w:t>&lt;dd&gt;&lt;a href=#b311&gt;</w:t>
      </w:r>
      <w:r>
        <w:t>mex</w:t>
      </w:r>
      <w:r>
        <w:noBreakHyphen/>
        <w:t>1</w:t>
      </w:r>
      <w:r>
        <w:rPr>
          <w:rStyle w:val="htmlcodes"/>
        </w:rPr>
        <w:t>&lt;/a&gt;&lt;sub&gt;</w:t>
      </w:r>
      <w:r>
        <w:rPr>
          <w:rStyle w:val="subscript"/>
        </w:rPr>
        <w:t>311</w:t>
      </w:r>
      <w:r>
        <w:rPr>
          <w:rStyle w:val="htmlcodes"/>
        </w:rPr>
        <w:t>&lt;/sub&gt;</w:t>
      </w:r>
      <w:r>
        <w:t xml:space="preserve">, </w:t>
      </w:r>
      <w:r>
        <w:rPr>
          <w:rStyle w:val="htmlcodes"/>
        </w:rPr>
        <w:t>&lt;a href=#b312&gt;</w:t>
      </w:r>
      <w:r>
        <w:t>mex</w:t>
      </w:r>
      <w:r>
        <w:noBreakHyphen/>
        <w:t>2</w:t>
      </w:r>
      <w:r>
        <w:rPr>
          <w:rStyle w:val="htmlcodes"/>
        </w:rPr>
        <w:t>&lt;/a&gt;&lt;sub&gt;</w:t>
      </w:r>
      <w:r>
        <w:rPr>
          <w:rStyle w:val="subscript"/>
        </w:rPr>
        <w:t>312</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mex</w:t>
      </w:r>
      <w:r>
        <w:noBreakHyphen/>
        <w:t>operator</w:t>
      </w:r>
      <w:r>
        <w:tab/>
      </w:r>
      <w:r>
        <w:rPr>
          <w:rStyle w:val="htmlcodes"/>
        </w:rPr>
        <w:t>&lt;dd&gt;&lt;a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href=#b372&gt;</w:t>
      </w:r>
      <w:r>
        <w:t>operator</w:t>
      </w:r>
      <w:r>
        <w:noBreakHyphen/>
        <w:t>2</w:t>
      </w:r>
      <w:r>
        <w:rPr>
          <w:rStyle w:val="htmlcodes"/>
        </w:rPr>
        <w:t>&lt;/a&gt;&lt;sub&gt;</w:t>
      </w:r>
      <w:r>
        <w:rPr>
          <w:rStyle w:val="subscript"/>
        </w:rPr>
        <w:t>372</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number</w:t>
      </w:r>
      <w:r>
        <w:tab/>
      </w:r>
      <w:r>
        <w:rPr>
          <w:rStyle w:val="htmlcodes"/>
        </w:rPr>
        <w:t>&lt;dd&gt;&lt;a href=#b32&gt;</w:t>
      </w:r>
      <w:r>
        <w:t>free</w:t>
      </w:r>
      <w:r>
        <w:rPr>
          <w:rStyle w:val="htmlcodes"/>
        </w:rPr>
        <w:t>&lt;/a&gt;&lt;sub&gt;</w:t>
      </w:r>
      <w:r>
        <w:rPr>
          <w:rStyle w:val="subscript"/>
        </w:rPr>
        <w:t>32</w:t>
      </w:r>
      <w:r>
        <w:rPr>
          <w:rStyle w:val="htmlcodes"/>
        </w:rPr>
        <w:t>&lt;/sub&gt;</w:t>
      </w:r>
      <w:r>
        <w:t xml:space="preserve">, </w:t>
      </w:r>
      <w:r>
        <w:rPr>
          <w:rStyle w:val="htmlcodes"/>
        </w:rPr>
        <w:t>&lt;a href=#b1051&gt;</w:t>
      </w:r>
      <w:r>
        <w:t>interval</w:t>
      </w:r>
      <w:r>
        <w:noBreakHyphen/>
        <w:t>property</w:t>
      </w:r>
      <w:r>
        <w:rPr>
          <w:rStyle w:val="htmlcodes"/>
        </w:rPr>
        <w:t>&lt;/a&gt;&lt;sub&gt;</w:t>
      </w:r>
      <w:r>
        <w:rPr>
          <w:rStyle w:val="subscript"/>
        </w:rPr>
        <w:t>1051</w:t>
      </w:r>
      <w:r>
        <w:rPr>
          <w:rStyle w:val="htmlcodes"/>
        </w:rPr>
        <w:t>&lt;/sub&gt;</w:t>
      </w:r>
      <w:r>
        <w:t xml:space="preserve">, </w:t>
      </w:r>
      <w:r>
        <w:rPr>
          <w:rStyle w:val="htmlcodes"/>
        </w:rPr>
        <w:t>&lt;a href=#b300&gt;</w:t>
      </w:r>
      <w:r>
        <w:t>quantifier</w:t>
      </w:r>
      <w:r>
        <w:rPr>
          <w:rStyle w:val="htmlcodes"/>
        </w:rPr>
        <w:t>&lt;/a&gt;&lt;sub&gt;</w:t>
      </w:r>
      <w:r>
        <w:rPr>
          <w:rStyle w:val="subscript"/>
        </w:rPr>
        <w:t>300</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operand</w:t>
      </w:r>
      <w:r>
        <w:tab/>
      </w:r>
      <w:r>
        <w:rPr>
          <w:rStyle w:val="htmlcodes"/>
        </w:rPr>
        <w:t>&lt;dd&gt;&lt;a href=#b312&gt;</w:t>
      </w:r>
      <w:r>
        <w:t>mex</w:t>
      </w:r>
      <w:r>
        <w:noBreakHyphen/>
        <w:t>2</w:t>
      </w:r>
      <w:r>
        <w:rPr>
          <w:rStyle w:val="htmlcodes"/>
        </w:rPr>
        <w:t>&lt;/a&gt;&lt;sub&gt;</w:t>
      </w:r>
      <w:r>
        <w:rPr>
          <w:rStyle w:val="subscript"/>
        </w:rPr>
        <w:t>312</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href=#b381&gt;</w:t>
      </w:r>
      <w:r>
        <w:t>operand</w:t>
      </w:r>
      <w:r>
        <w:rPr>
          <w:rStyle w:val="htmlcodes"/>
        </w:rPr>
        <w:t>&lt;/a&gt;&lt;sub&gt;</w:t>
      </w:r>
      <w:r>
        <w:rPr>
          <w:rStyle w:val="subscript"/>
        </w:rPr>
        <w:t>381</w:t>
      </w:r>
      <w:r>
        <w:rPr>
          <w:rStyle w:val="htmlcodes"/>
        </w:rPr>
        <w:t>&lt;/sub&gt;</w:t>
      </w:r>
      <w:r>
        <w:t xml:space="preserve">, </w:t>
      </w:r>
      <w:r>
        <w:rPr>
          <w:rStyle w:val="htmlcodes"/>
        </w:rPr>
        <w:t>&lt;a href=#b332&gt;</w:t>
      </w:r>
      <w:r>
        <w:t>rp</w:t>
      </w:r>
      <w:r>
        <w:noBreakHyphen/>
        <w:t>operand</w:t>
      </w:r>
      <w:r>
        <w:rPr>
          <w:rStyle w:val="htmlcodes"/>
        </w:rPr>
        <w:t>&lt;/a&gt;&lt;sub&gt;</w:t>
      </w:r>
      <w:r>
        <w:rPr>
          <w:rStyle w:val="subscript"/>
        </w:rPr>
        <w:t>332</w:t>
      </w:r>
      <w:r>
        <w:rPr>
          <w:rStyle w:val="htmlcodes"/>
        </w:rPr>
        <w:t>&lt;/sub&gt;</w:t>
      </w:r>
    </w:p>
    <w:p w:rsidR="00B72047" w:rsidRDefault="00B72047">
      <w:pPr>
        <w:pStyle w:val="EBNFXREF"/>
      </w:pPr>
      <w:r>
        <w:rPr>
          <w:rStyle w:val="htmlcodes"/>
        </w:rPr>
        <w:t>&lt;dt&gt;</w:t>
      </w:r>
      <w:r>
        <w:t>operand</w:t>
      </w:r>
      <w:r>
        <w:noBreakHyphen/>
        <w:t>1</w:t>
      </w:r>
      <w:r>
        <w:tab/>
      </w:r>
      <w:r>
        <w:rPr>
          <w:rStyle w:val="htmlcodes"/>
        </w:rPr>
        <w:t>&lt;dd&gt;&lt;a href=#b381&gt;</w:t>
      </w:r>
      <w:r>
        <w:t>operand</w:t>
      </w:r>
      <w:r>
        <w:rPr>
          <w:rStyle w:val="htmlcodes"/>
        </w:rPr>
        <w:t>&lt;/a&gt;&lt;sub&gt;</w:t>
      </w:r>
      <w:r>
        <w:rPr>
          <w:rStyle w:val="subscript"/>
        </w:rPr>
        <w:t>381</w:t>
      </w:r>
      <w:r>
        <w:rPr>
          <w:rStyle w:val="htmlcodes"/>
        </w:rPr>
        <w:t>&lt;/sub&gt;</w:t>
      </w:r>
    </w:p>
    <w:p w:rsidR="00B72047" w:rsidRDefault="00B72047">
      <w:pPr>
        <w:pStyle w:val="EBNFXREF"/>
      </w:pPr>
      <w:r>
        <w:rPr>
          <w:rStyle w:val="htmlcodes"/>
        </w:rPr>
        <w:t>&lt;dt&gt;</w:t>
      </w:r>
      <w:r>
        <w:t>operand</w:t>
      </w:r>
      <w:r>
        <w:noBreakHyphen/>
        <w:t>2</w:t>
      </w:r>
      <w:r>
        <w:tab/>
      </w:r>
      <w:r>
        <w:rPr>
          <w:rStyle w:val="htmlcodes"/>
        </w:rPr>
        <w:t>&lt;dd&gt;&lt;a href=#b382&gt;</w:t>
      </w:r>
      <w:r>
        <w:t>operand</w:t>
      </w:r>
      <w:r>
        <w:noBreakHyphen/>
        <w:t>1</w:t>
      </w:r>
      <w:r>
        <w:rPr>
          <w:rStyle w:val="htmlcodes"/>
        </w:rPr>
        <w:t>&lt;/a&gt;&lt;sub&gt;</w:t>
      </w:r>
      <w:r>
        <w:rPr>
          <w:rStyle w:val="subscript"/>
        </w:rPr>
        <w:t>382</w:t>
      </w:r>
      <w:r>
        <w:rPr>
          <w:rStyle w:val="htmlcodes"/>
        </w:rPr>
        <w:t>&lt;/sub&gt;</w:t>
      </w:r>
      <w:r>
        <w:t xml:space="preserve">, </w:t>
      </w:r>
      <w:r>
        <w:rPr>
          <w:rStyle w:val="htmlcodes"/>
        </w:rPr>
        <w:t>&lt;a href=#b383&gt;</w:t>
      </w:r>
      <w:r>
        <w:t>operand</w:t>
      </w:r>
      <w:r>
        <w:noBreakHyphen/>
        <w:t>2</w:t>
      </w:r>
      <w:r>
        <w:rPr>
          <w:rStyle w:val="htmlcodes"/>
        </w:rPr>
        <w:t>&lt;/a&gt;&lt;sub&gt;</w:t>
      </w:r>
      <w:r>
        <w:rPr>
          <w:rStyle w:val="subscript"/>
        </w:rPr>
        <w:t>383</w:t>
      </w:r>
      <w:r>
        <w:rPr>
          <w:rStyle w:val="htmlcodes"/>
        </w:rPr>
        <w:t>&lt;/sub&gt;</w:t>
      </w:r>
    </w:p>
    <w:p w:rsidR="00B72047" w:rsidRDefault="00B72047">
      <w:pPr>
        <w:pStyle w:val="EBNFXREF"/>
      </w:pPr>
      <w:r>
        <w:rPr>
          <w:rStyle w:val="htmlcodes"/>
        </w:rPr>
        <w:t>&lt;dt&gt;</w:t>
      </w:r>
      <w:r>
        <w:t>operand</w:t>
      </w:r>
      <w:r>
        <w:noBreakHyphen/>
        <w:t>3</w:t>
      </w:r>
      <w:r>
        <w:tab/>
      </w:r>
      <w:r>
        <w:rPr>
          <w:rStyle w:val="htmlcodes"/>
        </w:rPr>
        <w:t>&lt;dd&gt;&lt;a href=#b383&gt;</w:t>
      </w:r>
      <w:r>
        <w:t>operand</w:t>
      </w:r>
      <w:r>
        <w:noBreakHyphen/>
        <w:t>2</w:t>
      </w:r>
      <w:r>
        <w:rPr>
          <w:rStyle w:val="htmlcodes"/>
        </w:rPr>
        <w:t>&lt;/a&gt;&lt;sub&gt;</w:t>
      </w:r>
      <w:r>
        <w:rPr>
          <w:rStyle w:val="subscript"/>
        </w:rPr>
        <w:t>383</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p>
    <w:p w:rsidR="00B72047" w:rsidRDefault="00B72047">
      <w:pPr>
        <w:pStyle w:val="EBNFXREF"/>
      </w:pPr>
      <w:r>
        <w:rPr>
          <w:rStyle w:val="htmlcodes"/>
        </w:rPr>
        <w:t>&lt;dt&gt;</w:t>
      </w:r>
      <w:r>
        <w:t>operator</w:t>
      </w:r>
      <w:r>
        <w:tab/>
      </w:r>
      <w:r>
        <w:rPr>
          <w:rStyle w:val="htmlcodes"/>
        </w:rPr>
        <w:t>&lt;dd&gt;&lt;a href=#b311&gt;</w:t>
      </w:r>
      <w:r>
        <w:t>mex</w:t>
      </w:r>
      <w:r>
        <w:noBreakHyphen/>
        <w:t>1</w:t>
      </w:r>
      <w:r>
        <w:rPr>
          <w:rStyle w:val="htmlcodes"/>
        </w:rPr>
        <w:t>&lt;/a&gt;&lt;sub&gt;</w:t>
      </w:r>
      <w:r>
        <w:rPr>
          <w:rStyle w:val="subscript"/>
        </w:rPr>
        <w:t>311</w:t>
      </w:r>
      <w:r>
        <w:rPr>
          <w:rStyle w:val="htmlcodes"/>
        </w:rPr>
        <w:t>&lt;/sub&gt;</w:t>
      </w:r>
      <w:r>
        <w:t xml:space="preserve">, </w:t>
      </w:r>
      <w:r>
        <w:rPr>
          <w:rStyle w:val="htmlcodes"/>
        </w:rPr>
        <w:t>&lt;a href=#b312&gt;</w:t>
      </w:r>
      <w:r>
        <w:t>mex</w:t>
      </w:r>
      <w:r>
        <w:noBreakHyphen/>
        <w:t>2</w:t>
      </w:r>
      <w:r>
        <w:rPr>
          <w:rStyle w:val="htmlcodes"/>
        </w:rPr>
        <w:t>&lt;/a&gt;&lt;sub&gt;</w:t>
      </w:r>
      <w:r>
        <w:rPr>
          <w:rStyle w:val="subscript"/>
        </w:rPr>
        <w:t>312</w:t>
      </w:r>
      <w:r>
        <w:rPr>
          <w:rStyle w:val="htmlcodes"/>
        </w:rPr>
        <w:t>&lt;/sub&gt;</w:t>
      </w:r>
      <w:r>
        <w:t xml:space="preserve">, </w:t>
      </w:r>
      <w:r>
        <w:rPr>
          <w:rStyle w:val="htmlcodes"/>
        </w:rPr>
        <w:t>&lt;a href=#b310&gt;</w:t>
      </w:r>
      <w:r>
        <w:t>mex</w:t>
      </w:r>
      <w:r>
        <w:rPr>
          <w:rStyle w:val="htmlcodes"/>
        </w:rPr>
        <w:t>&lt;/a&gt;&lt;sub&gt;</w:t>
      </w:r>
      <w:r>
        <w:rPr>
          <w:rStyle w:val="subscript"/>
        </w:rPr>
        <w:t>310</w:t>
      </w:r>
      <w:r>
        <w:rPr>
          <w:rStyle w:val="htmlcodes"/>
        </w:rPr>
        <w:t>&lt;/sub&gt;</w:t>
      </w:r>
      <w:r>
        <w:t xml:space="preserve">, </w:t>
      </w:r>
      <w:r>
        <w:rPr>
          <w:rStyle w:val="htmlcodes"/>
        </w:rPr>
        <w:t>&lt;a href=#b372&gt;</w:t>
      </w:r>
      <w:r>
        <w:t>operator</w:t>
      </w:r>
      <w:r>
        <w:noBreakHyphen/>
        <w:t>2</w:t>
      </w:r>
      <w:r>
        <w:rPr>
          <w:rStyle w:val="htmlcodes"/>
        </w:rPr>
        <w:t>&lt;/a&gt;&lt;sub&gt;</w:t>
      </w:r>
      <w:r>
        <w:rPr>
          <w:rStyle w:val="subscript"/>
        </w:rPr>
        <w:t>372</w:t>
      </w:r>
      <w:r>
        <w:rPr>
          <w:rStyle w:val="htmlcodes"/>
        </w:rPr>
        <w:t>&lt;/sub&gt;</w:t>
      </w:r>
      <w:r>
        <w:t xml:space="preserve">, </w:t>
      </w:r>
      <w:r>
        <w:rPr>
          <w:rStyle w:val="htmlcodes"/>
        </w:rPr>
        <w:t>&lt;a href=#b370&gt;</w:t>
      </w:r>
      <w:r>
        <w:t>operator</w:t>
      </w:r>
      <w:r>
        <w:rPr>
          <w:rStyle w:val="htmlcodes"/>
        </w:rPr>
        <w:t>&lt;/a&gt;&lt;sub&gt;</w:t>
      </w:r>
      <w:r>
        <w:rPr>
          <w:rStyle w:val="subscript"/>
        </w:rPr>
        <w:t>370</w:t>
      </w:r>
      <w:r>
        <w:rPr>
          <w:rStyle w:val="htmlcodes"/>
        </w:rPr>
        <w:t>&lt;/sub&gt;</w:t>
      </w:r>
      <w:r>
        <w:t xml:space="preserve">, </w:t>
      </w:r>
      <w:r>
        <w:rPr>
          <w:rStyle w:val="htmlcodes"/>
        </w:rPr>
        <w:t>&lt;a href=#b330&gt;</w:t>
      </w:r>
      <w:r>
        <w:t>rp</w:t>
      </w:r>
      <w:r>
        <w:noBreakHyphen/>
        <w:t>expression</w:t>
      </w:r>
      <w:r>
        <w:rPr>
          <w:rStyle w:val="htmlcodes"/>
        </w:rPr>
        <w:t>&lt;/a&gt;&lt;sub&gt;</w:t>
      </w:r>
      <w:r>
        <w:rPr>
          <w:rStyle w:val="subscript"/>
        </w:rPr>
        <w:t>330</w:t>
      </w:r>
      <w:r>
        <w:rPr>
          <w:rStyle w:val="htmlcodes"/>
        </w:rPr>
        <w:t>&lt;/sub&gt;</w:t>
      </w:r>
    </w:p>
    <w:p w:rsidR="00B72047" w:rsidRDefault="00B72047">
      <w:pPr>
        <w:pStyle w:val="EBNFXREF"/>
      </w:pPr>
      <w:r>
        <w:rPr>
          <w:rStyle w:val="htmlcodes"/>
        </w:rPr>
        <w:t>&lt;dt&gt;</w:t>
      </w:r>
      <w:r>
        <w:t>operator</w:t>
      </w:r>
      <w:r>
        <w:noBreakHyphen/>
        <w:t>1</w:t>
      </w:r>
      <w:r>
        <w:tab/>
      </w:r>
      <w:r>
        <w:rPr>
          <w:rStyle w:val="htmlcodes"/>
        </w:rPr>
        <w:t>&lt;dd&gt;&lt;a href=#b371&gt;</w:t>
      </w:r>
      <w:r>
        <w:t>operator</w:t>
      </w:r>
      <w:r>
        <w:noBreakHyphen/>
        <w:t>1</w:t>
      </w:r>
      <w:r>
        <w:rPr>
          <w:rStyle w:val="htmlcodes"/>
        </w:rPr>
        <w:t>&lt;/a&gt;&lt;sub&gt;</w:t>
      </w:r>
      <w:r>
        <w:rPr>
          <w:rStyle w:val="subscript"/>
        </w:rPr>
        <w:t>371</w:t>
      </w:r>
      <w:r>
        <w:rPr>
          <w:rStyle w:val="htmlcodes"/>
        </w:rPr>
        <w:t>&lt;/sub&gt;</w:t>
      </w:r>
      <w:r>
        <w:t xml:space="preserve">, </w:t>
      </w:r>
      <w:r>
        <w:rPr>
          <w:rStyle w:val="htmlcodes"/>
        </w:rPr>
        <w:t>&lt;a href=#b370&gt;</w:t>
      </w:r>
      <w:r>
        <w:t>operator</w:t>
      </w:r>
      <w:r>
        <w:rPr>
          <w:rStyle w:val="htmlcodes"/>
        </w:rPr>
        <w:t>&lt;/a&gt;&lt;sub&gt;</w:t>
      </w:r>
      <w:r>
        <w:rPr>
          <w:rStyle w:val="subscript"/>
        </w:rPr>
        <w:t>370</w:t>
      </w:r>
      <w:r>
        <w:rPr>
          <w:rStyle w:val="htmlcodes"/>
        </w:rPr>
        <w:t>&lt;/sub&gt;</w:t>
      </w:r>
    </w:p>
    <w:p w:rsidR="00B72047" w:rsidRDefault="00B72047">
      <w:pPr>
        <w:pStyle w:val="EBNFXREF"/>
      </w:pPr>
      <w:r>
        <w:rPr>
          <w:rStyle w:val="htmlcodes"/>
        </w:rPr>
        <w:t>&lt;dt&gt;</w:t>
      </w:r>
      <w:r>
        <w:t>operator</w:t>
      </w:r>
      <w:r>
        <w:noBreakHyphen/>
        <w:t>2</w:t>
      </w:r>
      <w:r>
        <w:tab/>
      </w:r>
      <w:r>
        <w:rPr>
          <w:rStyle w:val="htmlcodes"/>
        </w:rPr>
        <w:t>&lt;dd&gt;&lt;a href=#b371&gt;</w:t>
      </w:r>
      <w:r>
        <w:t>operator</w:t>
      </w:r>
      <w:r>
        <w:noBreakHyphen/>
        <w:t>1</w:t>
      </w:r>
      <w:r>
        <w:rPr>
          <w:rStyle w:val="htmlcodes"/>
        </w:rPr>
        <w:t>&lt;/a&gt;&lt;sub&gt;</w:t>
      </w:r>
      <w:r>
        <w:rPr>
          <w:rStyle w:val="subscript"/>
        </w:rPr>
        <w:t>371</w:t>
      </w:r>
      <w:r>
        <w:rPr>
          <w:rStyle w:val="htmlcodes"/>
        </w:rPr>
        <w:t>&lt;/sub&gt;</w:t>
      </w:r>
    </w:p>
    <w:p w:rsidR="00B72047" w:rsidRDefault="00B72047">
      <w:pPr>
        <w:pStyle w:val="EBNFXREF"/>
      </w:pPr>
      <w:r>
        <w:rPr>
          <w:rStyle w:val="htmlcodes"/>
        </w:rPr>
        <w:t>&lt;dt&gt;</w:t>
      </w:r>
      <w:r>
        <w:t>paragraph</w:t>
      </w:r>
      <w:r>
        <w:tab/>
      </w:r>
      <w:r>
        <w:rPr>
          <w:rStyle w:val="htmlcodes"/>
        </w:rPr>
        <w:t>&lt;dd&gt;&lt;a href=#b4&gt;</w:t>
      </w:r>
      <w:r>
        <w:t>paragraphs</w:t>
      </w:r>
      <w:r>
        <w:rPr>
          <w:rStyle w:val="htmlcodes"/>
        </w:rPr>
        <w:t>&lt;/a&gt;&lt;sub&gt;</w:t>
      </w:r>
      <w:r>
        <w:rPr>
          <w:rStyle w:val="subscript"/>
        </w:rPr>
        <w:t>4</w:t>
      </w:r>
      <w:r>
        <w:rPr>
          <w:rStyle w:val="htmlcodes"/>
        </w:rPr>
        <w:t>&lt;/sub&gt;</w:t>
      </w:r>
    </w:p>
    <w:p w:rsidR="00B72047" w:rsidRDefault="00B72047">
      <w:pPr>
        <w:pStyle w:val="EBNFXREF"/>
      </w:pPr>
      <w:r>
        <w:rPr>
          <w:rStyle w:val="htmlcodes"/>
        </w:rPr>
        <w:t>&lt;dt&gt;</w:t>
      </w:r>
      <w:r>
        <w:t>paragraphs</w:t>
      </w:r>
      <w:r>
        <w:tab/>
      </w:r>
      <w:r>
        <w:rPr>
          <w:rStyle w:val="htmlcodes"/>
        </w:rPr>
        <w:t>&lt;dd&gt;&lt;a href=#b4&gt;</w:t>
      </w:r>
      <w:r>
        <w:t>paragraphs</w:t>
      </w:r>
      <w:r>
        <w:rPr>
          <w:rStyle w:val="htmlcodes"/>
        </w:rPr>
        <w:t>&lt;/a&gt;&lt;sub&gt;</w:t>
      </w:r>
      <w:r>
        <w:rPr>
          <w:rStyle w:val="subscript"/>
        </w:rPr>
        <w:t>4</w:t>
      </w:r>
      <w:r>
        <w:rPr>
          <w:rStyle w:val="htmlcodes"/>
        </w:rPr>
        <w:t>&lt;/sub&gt;</w:t>
      </w:r>
      <w:r>
        <w:t xml:space="preserve">, </w:t>
      </w:r>
      <w:r>
        <w:rPr>
          <w:rStyle w:val="htmlcodes"/>
        </w:rPr>
        <w:t>&lt;a href=#b2&gt;</w:t>
      </w:r>
      <w:r>
        <w:t>text</w:t>
      </w:r>
      <w:r>
        <w:noBreakHyphen/>
        <w:t>1</w:t>
      </w:r>
      <w:r>
        <w:rPr>
          <w:rStyle w:val="htmlcodes"/>
        </w:rPr>
        <w:t>&lt;/a&gt;&lt;sub&gt;</w:t>
      </w:r>
      <w:r>
        <w:rPr>
          <w:rStyle w:val="subscript"/>
        </w:rPr>
        <w:t>2</w:t>
      </w:r>
      <w:r>
        <w:rPr>
          <w:rStyle w:val="htmlcodes"/>
        </w:rPr>
        <w:t>&lt;/sub&gt;</w:t>
      </w:r>
    </w:p>
    <w:p w:rsidR="00B72047" w:rsidRDefault="00B72047">
      <w:pPr>
        <w:pStyle w:val="EBNFXREF"/>
      </w:pPr>
      <w:r>
        <w:rPr>
          <w:rStyle w:val="htmlcodes"/>
        </w:rPr>
        <w:t>&lt;dt&gt;</w:t>
      </w:r>
      <w:r>
        <w:t>prenex</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href=#b11&gt;</w:t>
      </w:r>
      <w:r>
        <w:t>statement</w:t>
      </w:r>
      <w:r>
        <w:rPr>
          <w:rStyle w:val="htmlcodes"/>
        </w:rPr>
        <w:t>&lt;/a&gt;&lt;sub&gt;</w:t>
      </w:r>
      <w:r>
        <w:rPr>
          <w:rStyle w:val="subscript"/>
        </w:rPr>
        <w:t>11</w:t>
      </w:r>
      <w:r>
        <w:rPr>
          <w:rStyle w:val="htmlcodes"/>
        </w:rPr>
        <w:t>&lt;/sub&gt;</w:t>
      </w:r>
      <w:r>
        <w:t xml:space="preserve">, </w:t>
      </w:r>
      <w:r>
        <w:rPr>
          <w:rStyle w:val="htmlcodes"/>
        </w:rPr>
        <w:t>&lt;a href=#b41&gt;</w:t>
      </w:r>
      <w:r>
        <w:t>subsentence</w:t>
      </w:r>
      <w:r>
        <w:rPr>
          <w:rStyle w:val="htmlcodes"/>
        </w:rPr>
        <w:t>&lt;/a&gt;&lt;sub&gt;</w:t>
      </w:r>
      <w:r>
        <w:rPr>
          <w:rStyle w:val="subscript"/>
        </w:rPr>
        <w:t>41</w:t>
      </w:r>
      <w:r>
        <w:rPr>
          <w:rStyle w:val="htmlcodes"/>
        </w:rPr>
        <w:t>&lt;/sub&gt;</w:t>
      </w:r>
    </w:p>
    <w:p w:rsidR="00B72047" w:rsidRDefault="00B72047">
      <w:pPr>
        <w:pStyle w:val="EBNFXREF"/>
      </w:pPr>
      <w:r>
        <w:rPr>
          <w:rStyle w:val="htmlcodes"/>
        </w:rPr>
        <w:t>&lt;dt&gt;</w:t>
      </w:r>
      <w:r>
        <w:t>quantifier</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href=#b95&gt;</w:t>
      </w:r>
      <w:r>
        <w:t>sumti</w:t>
      </w:r>
      <w:r>
        <w:noBreakHyphen/>
        <w:t>5</w:t>
      </w:r>
      <w:r>
        <w:rPr>
          <w:rStyle w:val="htmlcodes"/>
        </w:rPr>
        <w:t>&lt;/a&gt;&lt;sub&gt;</w:t>
      </w:r>
      <w:r>
        <w:rPr>
          <w:rStyle w:val="subscript"/>
        </w:rPr>
        <w:t>95</w:t>
      </w:r>
      <w:r>
        <w:rPr>
          <w:rStyle w:val="htmlcodes"/>
        </w:rPr>
        <w:t>&lt;/sub&gt;</w:t>
      </w:r>
      <w:r>
        <w:t xml:space="preserve">, </w:t>
      </w:r>
      <w:r>
        <w:rPr>
          <w:rStyle w:val="htmlcodes"/>
        </w:rPr>
        <w:t>&lt;a href=#b112&gt;</w:t>
      </w:r>
      <w:r>
        <w:t>sumti</w:t>
      </w:r>
      <w:r>
        <w:noBreakHyphen/>
        <w:t>tail</w:t>
      </w:r>
      <w:r>
        <w:noBreakHyphen/>
        <w:t>1</w:t>
      </w:r>
      <w:r>
        <w:rPr>
          <w:rStyle w:val="htmlcodes"/>
        </w:rPr>
        <w:t>&lt;/a&gt;&lt;sub&gt;</w:t>
      </w:r>
      <w:r>
        <w:rPr>
          <w:rStyle w:val="subscript"/>
        </w:rPr>
        <w:t>112</w:t>
      </w:r>
      <w:r>
        <w:rPr>
          <w:rStyle w:val="htmlcodes"/>
        </w:rPr>
        <w:t>&lt;/sub&gt;</w:t>
      </w:r>
    </w:p>
    <w:p w:rsidR="00B72047" w:rsidRDefault="00B72047">
      <w:pPr>
        <w:pStyle w:val="EBNFXREF"/>
      </w:pPr>
      <w:r>
        <w:rPr>
          <w:rStyle w:val="htmlcodes"/>
        </w:rPr>
        <w:t>&lt;dt&gt;</w:t>
      </w:r>
      <w:r>
        <w:t>relative</w:t>
      </w:r>
      <w:r>
        <w:noBreakHyphen/>
        <w:t>clause</w:t>
      </w:r>
      <w:r>
        <w:tab/>
      </w:r>
      <w:r>
        <w:rPr>
          <w:rStyle w:val="htmlcodes"/>
        </w:rPr>
        <w:t>&lt;dd&gt;&lt;a href=#b121&gt;</w:t>
      </w:r>
      <w:r>
        <w:t>relative</w:t>
      </w:r>
      <w:r>
        <w:noBreakHyphen/>
        <w:t>clauses</w:t>
      </w:r>
      <w:r>
        <w:rPr>
          <w:rStyle w:val="htmlcodes"/>
        </w:rPr>
        <w:t>&lt;/a&gt;&lt;sub&gt;</w:t>
      </w:r>
      <w:r>
        <w:rPr>
          <w:rStyle w:val="subscript"/>
        </w:rPr>
        <w:t>121</w:t>
      </w:r>
      <w:r>
        <w:rPr>
          <w:rStyle w:val="htmlcodes"/>
        </w:rPr>
        <w:t>&lt;/sub&gt;</w:t>
      </w:r>
    </w:p>
    <w:p w:rsidR="00B72047" w:rsidRDefault="00B72047">
      <w:pPr>
        <w:pStyle w:val="EBNFXREF"/>
      </w:pPr>
      <w:r>
        <w:rPr>
          <w:rStyle w:val="htmlcodes"/>
        </w:rPr>
        <w:t>&lt;dt&gt;</w:t>
      </w:r>
      <w:r>
        <w:t>relative</w:t>
      </w:r>
      <w:r>
        <w:noBreakHyphen/>
        <w:t>clauses</w:t>
      </w:r>
      <w:r>
        <w:tab/>
      </w:r>
      <w:r>
        <w:rPr>
          <w:rStyle w:val="htmlcodes"/>
        </w:rPr>
        <w:t>&lt;dd&gt;&lt;a href=#b20&gt;</w:t>
      </w:r>
      <w:r>
        <w:t>fragment</w:t>
      </w:r>
      <w:r>
        <w:rPr>
          <w:rStyle w:val="htmlcodes"/>
        </w:rPr>
        <w:t>&lt;/a&gt;&lt;sub&gt;</w:t>
      </w:r>
      <w:r>
        <w:rPr>
          <w:rStyle w:val="subscript"/>
        </w:rPr>
        <w:t>20</w:t>
      </w:r>
      <w:r>
        <w:rPr>
          <w:rStyle w:val="htmlcodes"/>
        </w:rPr>
        <w:t>&lt;/sub&gt;</w:t>
      </w:r>
      <w:r>
        <w:t xml:space="preserve">, </w:t>
      </w:r>
      <w:r>
        <w:rPr>
          <w:rStyle w:val="htmlcodes"/>
        </w:rPr>
        <w:t>&lt;a href=#b32&gt;</w:t>
      </w:r>
      <w:r>
        <w:t>free</w:t>
      </w:r>
      <w:r>
        <w:rPr>
          <w:rStyle w:val="htmlcodes"/>
        </w:rPr>
        <w:t>&lt;/a&gt;&lt;sub&gt;</w:t>
      </w:r>
      <w:r>
        <w:rPr>
          <w:rStyle w:val="subscript"/>
        </w:rPr>
        <w:t>32</w:t>
      </w:r>
      <w:r>
        <w:rPr>
          <w:rStyle w:val="htmlcodes"/>
        </w:rPr>
        <w:t>&lt;/sub&gt;</w:t>
      </w:r>
      <w:r>
        <w:t xml:space="preserve">, </w:t>
      </w:r>
      <w:r>
        <w:rPr>
          <w:rStyle w:val="htmlcodes"/>
        </w:rPr>
        <w:t>&lt;a href=#b95&gt;</w:t>
      </w:r>
      <w:r>
        <w:t>sumti</w:t>
      </w:r>
      <w:r>
        <w:noBreakHyphen/>
        <w:t>5</w:t>
      </w:r>
      <w:r>
        <w:rPr>
          <w:rStyle w:val="htmlcodes"/>
        </w:rPr>
        <w:t>&lt;/a&gt;&lt;sub&gt;</w:t>
      </w:r>
      <w:r>
        <w:rPr>
          <w:rStyle w:val="subscript"/>
        </w:rPr>
        <w:t>95</w:t>
      </w:r>
      <w:r>
        <w:rPr>
          <w:rStyle w:val="htmlcodes"/>
        </w:rPr>
        <w:t>&lt;/sub&gt;</w:t>
      </w:r>
      <w:r>
        <w:t xml:space="preserve">, </w:t>
      </w:r>
      <w:r>
        <w:rPr>
          <w:rStyle w:val="htmlcodes"/>
        </w:rPr>
        <w:t>&lt;a href=#b97&gt;</w:t>
      </w:r>
      <w:r>
        <w:t>sumti</w:t>
      </w:r>
      <w:r>
        <w:noBreakHyphen/>
        <w:t>6</w:t>
      </w:r>
      <w:r>
        <w:rPr>
          <w:rStyle w:val="htmlcodes"/>
        </w:rPr>
        <w:t>&lt;/a&gt;&lt;sub&gt;</w:t>
      </w:r>
      <w:r>
        <w:rPr>
          <w:rStyle w:val="subscript"/>
        </w:rPr>
        <w:t>97</w:t>
      </w:r>
      <w:r>
        <w:rPr>
          <w:rStyle w:val="htmlcodes"/>
        </w:rPr>
        <w:t>&lt;/sub&gt;</w:t>
      </w:r>
      <w:r>
        <w:t xml:space="preserve">, </w:t>
      </w:r>
      <w:r>
        <w:rPr>
          <w:rStyle w:val="htmlcodes"/>
        </w:rPr>
        <w:t>&lt;a href=#b112&gt;</w:t>
      </w:r>
      <w:r>
        <w:t>sumti</w:t>
      </w:r>
      <w:r>
        <w:noBreakHyphen/>
        <w:t>tail</w:t>
      </w:r>
      <w:r>
        <w:noBreakHyphen/>
        <w:t>1</w:t>
      </w:r>
      <w:r>
        <w:rPr>
          <w:rStyle w:val="htmlcodes"/>
        </w:rPr>
        <w:t>&lt;/a&gt;&lt;sub&gt;</w:t>
      </w:r>
      <w:r>
        <w:rPr>
          <w:rStyle w:val="subscript"/>
        </w:rPr>
        <w:t>112</w:t>
      </w:r>
      <w:r>
        <w:rPr>
          <w:rStyle w:val="htmlcodes"/>
        </w:rPr>
        <w:t>&lt;/sub&gt;</w:t>
      </w:r>
      <w:r>
        <w:t xml:space="preserve">, </w:t>
      </w:r>
      <w:r>
        <w:rPr>
          <w:rStyle w:val="htmlcodes"/>
        </w:rPr>
        <w:t>&lt;a href=#b111&gt;</w:t>
      </w:r>
      <w:r>
        <w:t>sumti</w:t>
      </w:r>
      <w:r>
        <w:noBreakHyphen/>
        <w:t>tail</w:t>
      </w:r>
      <w:r>
        <w:rPr>
          <w:rStyle w:val="htmlcodes"/>
        </w:rPr>
        <w:t>&lt;/a&gt;&lt;sub&gt;</w:t>
      </w:r>
      <w:r>
        <w:rPr>
          <w:rStyle w:val="subscript"/>
        </w:rPr>
        <w:t>111</w:t>
      </w:r>
      <w:r>
        <w:rPr>
          <w:rStyle w:val="htmlcodes"/>
        </w:rPr>
        <w:t>&lt;/sub&gt;</w:t>
      </w:r>
      <w:r>
        <w:t xml:space="preserve">, </w:t>
      </w:r>
      <w:r>
        <w:rPr>
          <w:rStyle w:val="htmlcodes"/>
        </w:rPr>
        <w:t>&lt;a href=#b90&gt;</w:t>
      </w:r>
      <w:r>
        <w:t>sumti</w:t>
      </w:r>
      <w:r>
        <w:rPr>
          <w:rStyle w:val="htmlcodes"/>
        </w:rPr>
        <w:t>&lt;/a&gt;&lt;sub&gt;</w:t>
      </w:r>
      <w:r>
        <w:rPr>
          <w:rStyle w:val="subscript"/>
        </w:rPr>
        <w:t>90</w:t>
      </w:r>
      <w:r>
        <w:rPr>
          <w:rStyle w:val="htmlcodes"/>
        </w:rPr>
        <w:t>&lt;/sub&gt;</w:t>
      </w:r>
    </w:p>
    <w:p w:rsidR="00B72047" w:rsidRDefault="00B72047">
      <w:pPr>
        <w:pStyle w:val="EBNFXREF"/>
      </w:pPr>
      <w:r>
        <w:rPr>
          <w:rStyle w:val="htmlcodes"/>
        </w:rPr>
        <w:t>&lt;dt&gt;</w:t>
      </w:r>
      <w:r>
        <w:t>rp</w:t>
      </w:r>
      <w:r>
        <w:noBreakHyphen/>
        <w:t>expression</w:t>
      </w:r>
      <w:r>
        <w:tab/>
      </w:r>
      <w:r>
        <w:rPr>
          <w:rStyle w:val="htmlcodes"/>
        </w:rPr>
        <w:t>&lt;dd&gt;&lt;a href=#b310&gt;</w:t>
      </w:r>
      <w:r>
        <w:t>mex</w:t>
      </w:r>
      <w:r>
        <w:rPr>
          <w:rStyle w:val="htmlcodes"/>
        </w:rPr>
        <w:t>&lt;/a&gt;&lt;sub&gt;</w:t>
      </w:r>
      <w:r>
        <w:rPr>
          <w:rStyle w:val="subscript"/>
        </w:rPr>
        <w:t>310</w:t>
      </w:r>
      <w:r>
        <w:rPr>
          <w:rStyle w:val="htmlcodes"/>
        </w:rPr>
        <w:t>&lt;/sub&gt;</w:t>
      </w:r>
      <w:r>
        <w:t xml:space="preserve">, </w:t>
      </w:r>
      <w:r>
        <w:rPr>
          <w:rStyle w:val="htmlcodes"/>
        </w:rPr>
        <w:t>&lt;a href=#b332&gt;</w:t>
      </w:r>
      <w:r>
        <w:t>rp</w:t>
      </w:r>
      <w:r>
        <w:noBreakHyphen/>
        <w:t>operand</w:t>
      </w:r>
      <w:r>
        <w:rPr>
          <w:rStyle w:val="htmlcodes"/>
        </w:rPr>
        <w:t>&lt;/a&gt;&lt;sub&gt;</w:t>
      </w:r>
      <w:r>
        <w:rPr>
          <w:rStyle w:val="subscript"/>
        </w:rPr>
        <w:t>332</w:t>
      </w:r>
      <w:r>
        <w:rPr>
          <w:rStyle w:val="htmlcodes"/>
        </w:rPr>
        <w:t>&lt;/sub&gt;</w:t>
      </w:r>
    </w:p>
    <w:p w:rsidR="00B72047" w:rsidRDefault="00B72047">
      <w:pPr>
        <w:pStyle w:val="EBNFXREF"/>
      </w:pPr>
      <w:r>
        <w:rPr>
          <w:rStyle w:val="htmlcodes"/>
        </w:rPr>
        <w:t>&lt;dt&gt;</w:t>
      </w:r>
      <w:r>
        <w:t>rp</w:t>
      </w:r>
      <w:r>
        <w:noBreakHyphen/>
        <w:t>operand</w:t>
      </w:r>
      <w:r>
        <w:tab/>
      </w:r>
      <w:r>
        <w:rPr>
          <w:rStyle w:val="htmlcodes"/>
        </w:rPr>
        <w:t>&lt;dd&gt;&lt;a href=#b330&gt;</w:t>
      </w:r>
      <w:r>
        <w:t>rp</w:t>
      </w:r>
      <w:r>
        <w:noBreakHyphen/>
        <w:t>expression</w:t>
      </w:r>
      <w:r>
        <w:rPr>
          <w:rStyle w:val="htmlcodes"/>
        </w:rPr>
        <w:t>&lt;/a&gt;&lt;sub&gt;</w:t>
      </w:r>
      <w:r>
        <w:rPr>
          <w:rStyle w:val="subscript"/>
        </w:rPr>
        <w:t>330</w:t>
      </w:r>
      <w:r>
        <w:rPr>
          <w:rStyle w:val="htmlcodes"/>
        </w:rPr>
        <w:t>&lt;/sub&gt;</w:t>
      </w:r>
    </w:p>
    <w:p w:rsidR="00B72047" w:rsidRDefault="00B72047">
      <w:pPr>
        <w:pStyle w:val="EBNFXREF"/>
      </w:pPr>
      <w:r>
        <w:rPr>
          <w:rStyle w:val="htmlcodes"/>
        </w:rPr>
        <w:t>&lt;dt&gt;</w:t>
      </w:r>
      <w:r>
        <w:t>selbri</w:t>
      </w:r>
      <w:r>
        <w:tab/>
      </w:r>
      <w:r>
        <w:rPr>
          <w:rStyle w:val="htmlcodes"/>
        </w:rPr>
        <w:t>&lt;dd&gt;&lt;a href=#b53&gt;</w:t>
      </w:r>
      <w:r>
        <w:t>bridi</w:t>
      </w:r>
      <w:r>
        <w:noBreakHyphen/>
        <w:t>tail</w:t>
      </w:r>
      <w:r>
        <w:noBreakHyphen/>
        <w:t>3</w:t>
      </w:r>
      <w:r>
        <w:rPr>
          <w:rStyle w:val="htmlcodes"/>
        </w:rPr>
        <w:t>&lt;/a&gt;&lt;sub&gt;</w:t>
      </w:r>
      <w:r>
        <w:rPr>
          <w:rStyle w:val="subscript"/>
        </w:rPr>
        <w:t>53</w:t>
      </w:r>
      <w:r>
        <w:rPr>
          <w:rStyle w:val="htmlcodes"/>
        </w:rPr>
        <w:t>&lt;/sub&gt;</w:t>
      </w:r>
      <w:r>
        <w:t xml:space="preserve">, </w:t>
      </w:r>
      <w:r>
        <w:rPr>
          <w:rStyle w:val="htmlcodes"/>
        </w:rPr>
        <w:t>&lt;a href=#b32&gt;</w:t>
      </w:r>
      <w:r>
        <w:t>free</w:t>
      </w:r>
      <w:r>
        <w:rPr>
          <w:rStyle w:val="htmlcodes"/>
        </w:rPr>
        <w:t>&lt;/a&gt;&lt;sub&gt;</w:t>
      </w:r>
      <w:r>
        <w:rPr>
          <w:rStyle w:val="subscript"/>
        </w:rPr>
        <w:t>32</w:t>
      </w:r>
      <w:r>
        <w:rPr>
          <w:rStyle w:val="htmlcodes"/>
        </w:rPr>
        <w:t>&lt;/sub&gt;</w:t>
      </w:r>
      <w:r>
        <w:t xml:space="preserve">, </w:t>
      </w:r>
      <w:r>
        <w:rPr>
          <w:rStyle w:val="htmlcodes"/>
        </w:rPr>
        <w:t>&lt;a href=#b374&gt;</w:t>
      </w:r>
      <w:r>
        <w:t>mex</w:t>
      </w:r>
      <w:r>
        <w:noBreakHyphen/>
        <w:t>operator</w:t>
      </w:r>
      <w:r>
        <w:rPr>
          <w:rStyle w:val="htmlcodes"/>
        </w:rPr>
        <w:t>&lt;/a&gt;&lt;sub&gt;</w:t>
      </w:r>
      <w:r>
        <w:rPr>
          <w:rStyle w:val="subscript"/>
        </w:rPr>
        <w:t>374</w:t>
      </w:r>
      <w:r>
        <w:rPr>
          <w:rStyle w:val="htmlcodes"/>
        </w:rPr>
        <w:t>&lt;/sub&gt;</w:t>
      </w:r>
      <w:r>
        <w:t xml:space="preserve">, </w:t>
      </w:r>
      <w:r>
        <w:rPr>
          <w:rStyle w:val="htmlcodes"/>
        </w:rPr>
        <w:t>&lt;a href=#b385&gt;</w:t>
      </w:r>
      <w:r>
        <w:t>operand</w:t>
      </w:r>
      <w:r>
        <w:noBreakHyphen/>
        <w:t>3</w:t>
      </w:r>
      <w:r>
        <w:rPr>
          <w:rStyle w:val="htmlcodes"/>
        </w:rPr>
        <w:t>&lt;/a&gt;&lt;sub&gt;</w:t>
      </w:r>
      <w:r>
        <w:rPr>
          <w:rStyle w:val="subscript"/>
        </w:rPr>
        <w:t>385</w:t>
      </w:r>
      <w:r>
        <w:rPr>
          <w:rStyle w:val="htmlcodes"/>
        </w:rPr>
        <w:t>&lt;/sub&gt;</w:t>
      </w:r>
      <w:r>
        <w:t xml:space="preserve">, </w:t>
      </w:r>
      <w:r>
        <w:rPr>
          <w:rStyle w:val="htmlcodes"/>
        </w:rPr>
        <w:t>&lt;a href=#b131&gt;</w:t>
      </w:r>
      <w:r>
        <w:t>selbri</w:t>
      </w:r>
      <w:r>
        <w:noBreakHyphen/>
        <w:t>1</w:t>
      </w:r>
      <w:r>
        <w:rPr>
          <w:rStyle w:val="htmlcodes"/>
        </w:rPr>
        <w:t>&lt;/a&gt;&lt;sub&gt;</w:t>
      </w:r>
      <w:r>
        <w:rPr>
          <w:rStyle w:val="subscript"/>
        </w:rPr>
        <w:t>131</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r>
        <w:t xml:space="preserve">, </w:t>
      </w:r>
      <w:r>
        <w:rPr>
          <w:rStyle w:val="htmlcodes"/>
        </w:rPr>
        <w:t>&lt;a href=#b95&gt;</w:t>
      </w:r>
      <w:r>
        <w:t>sumti</w:t>
      </w:r>
      <w:r>
        <w:noBreakHyphen/>
        <w:t>5</w:t>
      </w:r>
      <w:r>
        <w:rPr>
          <w:rStyle w:val="htmlcodes"/>
        </w:rPr>
        <w:t>&lt;/a&gt;&lt;sub&gt;</w:t>
      </w:r>
      <w:r>
        <w:rPr>
          <w:rStyle w:val="subscript"/>
        </w:rPr>
        <w:t>95</w:t>
      </w:r>
      <w:r>
        <w:rPr>
          <w:rStyle w:val="htmlcodes"/>
        </w:rPr>
        <w:t>&lt;/sub&gt;</w:t>
      </w:r>
      <w:r>
        <w:t xml:space="preserve">, </w:t>
      </w:r>
      <w:r>
        <w:rPr>
          <w:rStyle w:val="htmlcodes"/>
        </w:rPr>
        <w:t>&lt;a href=#b112&gt;</w:t>
      </w:r>
      <w:r>
        <w:t>sumti</w:t>
      </w:r>
      <w:r>
        <w:noBreakHyphen/>
        <w:t>tail</w:t>
      </w:r>
      <w:r>
        <w:noBreakHyphen/>
        <w:t>1</w:t>
      </w:r>
      <w:r>
        <w:rPr>
          <w:rStyle w:val="htmlcodes"/>
        </w:rPr>
        <w:t>&lt;/a&gt;&lt;sub&gt;</w:t>
      </w:r>
      <w:r>
        <w:rPr>
          <w:rStyle w:val="subscript"/>
        </w:rPr>
        <w:t>112</w:t>
      </w:r>
      <w:r>
        <w:rPr>
          <w:rStyle w:val="htmlcodes"/>
        </w:rPr>
        <w:t>&lt;/sub&gt;</w:t>
      </w:r>
      <w:r>
        <w:t xml:space="preserve">, </w:t>
      </w:r>
      <w:r>
        <w:rPr>
          <w:rStyle w:val="htmlcodes"/>
        </w:rPr>
        <w:t>&lt;a href=#b815&gt;</w:t>
      </w:r>
      <w:r>
        <w:t>tense</w:t>
      </w:r>
      <w:r>
        <w:noBreakHyphen/>
        <w:t>modal</w:t>
      </w:r>
      <w:r>
        <w:rPr>
          <w:rStyle w:val="htmlcodes"/>
        </w:rPr>
        <w:t>&lt;/a&gt;&lt;sub&gt;</w:t>
      </w:r>
      <w:r>
        <w:rPr>
          <w:rStyle w:val="subscript"/>
        </w:rPr>
        <w:t>815</w:t>
      </w:r>
      <w:r>
        <w:rPr>
          <w:rStyle w:val="htmlcodes"/>
        </w:rPr>
        <w:t>&lt;/sub&gt;</w:t>
      </w:r>
    </w:p>
    <w:p w:rsidR="00B72047" w:rsidRDefault="00B72047">
      <w:pPr>
        <w:pStyle w:val="EBNFXREF"/>
      </w:pPr>
      <w:r>
        <w:rPr>
          <w:rStyle w:val="htmlcodes"/>
        </w:rPr>
        <w:t>&lt;dt&gt;</w:t>
      </w:r>
      <w:r>
        <w:t>selbri</w:t>
      </w:r>
      <w:r>
        <w:noBreakHyphen/>
        <w:t>1</w:t>
      </w:r>
      <w:r>
        <w:tab/>
      </w:r>
      <w:r>
        <w:rPr>
          <w:rStyle w:val="htmlcodes"/>
        </w:rPr>
        <w:t>&lt;dd&gt;&lt;a href=#b130&gt;</w:t>
      </w:r>
      <w:r>
        <w:t>selbri</w:t>
      </w:r>
      <w:r>
        <w:rPr>
          <w:rStyle w:val="htmlcodes"/>
        </w:rPr>
        <w:t>&lt;/a&gt;&lt;sub&gt;</w:t>
      </w:r>
      <w:r>
        <w:rPr>
          <w:rStyle w:val="subscript"/>
        </w:rPr>
        <w:t>130</w:t>
      </w:r>
      <w:r>
        <w:rPr>
          <w:rStyle w:val="htmlcodes"/>
        </w:rPr>
        <w:t>&lt;/sub&gt;</w:t>
      </w:r>
    </w:p>
    <w:p w:rsidR="00B72047" w:rsidRDefault="00B72047">
      <w:pPr>
        <w:pStyle w:val="EBNFXREF"/>
      </w:pPr>
      <w:r>
        <w:rPr>
          <w:rStyle w:val="htmlcodes"/>
        </w:rPr>
        <w:t>&lt;dt&gt;</w:t>
      </w:r>
      <w:r>
        <w:t>selbri</w:t>
      </w:r>
      <w:r>
        <w:noBreakHyphen/>
        <w:t>2</w:t>
      </w:r>
      <w:r>
        <w:tab/>
      </w:r>
      <w:r>
        <w:rPr>
          <w:rStyle w:val="htmlcodes"/>
        </w:rPr>
        <w:t>&lt;dd&gt;&lt;a href=#b131&gt;</w:t>
      </w:r>
      <w:r>
        <w:t>selbri</w:t>
      </w:r>
      <w:r>
        <w:noBreakHyphen/>
        <w:t>1</w:t>
      </w:r>
      <w:r>
        <w:rPr>
          <w:rStyle w:val="htmlcodes"/>
        </w:rPr>
        <w:t>&lt;/a&gt;&lt;sub&gt;</w:t>
      </w:r>
      <w:r>
        <w:rPr>
          <w:rStyle w:val="subscript"/>
        </w:rPr>
        <w:t>131</w:t>
      </w:r>
      <w:r>
        <w:rPr>
          <w:rStyle w:val="htmlcodes"/>
        </w:rPr>
        <w:t>&lt;/sub&gt;</w:t>
      </w:r>
      <w:r>
        <w:t xml:space="preserve">, </w:t>
      </w:r>
      <w:r>
        <w:rPr>
          <w:rStyle w:val="htmlcodes"/>
        </w:rPr>
        <w:t>&lt;a href=#b132&gt;</w:t>
      </w:r>
      <w:r>
        <w:t>selbri</w:t>
      </w:r>
      <w:r>
        <w:noBreakHyphen/>
        <w:t>2</w:t>
      </w:r>
      <w:r>
        <w:rPr>
          <w:rStyle w:val="htmlcodes"/>
        </w:rPr>
        <w:t>&lt;/a&gt;&lt;sub&gt;</w:t>
      </w:r>
      <w:r>
        <w:rPr>
          <w:rStyle w:val="subscript"/>
        </w:rPr>
        <w:t>132</w:t>
      </w:r>
      <w:r>
        <w:rPr>
          <w:rStyle w:val="htmlcodes"/>
        </w:rPr>
        <w:t>&lt;/sub&gt;</w:t>
      </w:r>
    </w:p>
    <w:p w:rsidR="00B72047" w:rsidRDefault="00B72047">
      <w:pPr>
        <w:pStyle w:val="EBNFXREF"/>
      </w:pPr>
      <w:r>
        <w:rPr>
          <w:rStyle w:val="htmlcodes"/>
        </w:rPr>
        <w:t>&lt;dt&gt;</w:t>
      </w:r>
      <w:r>
        <w:t>selbri</w:t>
      </w:r>
      <w:r>
        <w:noBreakHyphen/>
        <w:t>3</w:t>
      </w:r>
      <w:r>
        <w:tab/>
      </w:r>
      <w:r>
        <w:rPr>
          <w:rStyle w:val="htmlcodes"/>
        </w:rPr>
        <w:t>&lt;dd&gt;&lt;a href=#b132&gt;</w:t>
      </w:r>
      <w:r>
        <w:t>selbri</w:t>
      </w:r>
      <w:r>
        <w:noBreakHyphen/>
        <w:t>2</w:t>
      </w:r>
      <w:r>
        <w:rPr>
          <w:rStyle w:val="htmlcodes"/>
        </w:rPr>
        <w:t>&lt;/a&gt;&lt;sub&gt;</w:t>
      </w:r>
      <w:r>
        <w:rPr>
          <w:rStyle w:val="subscript"/>
        </w:rPr>
        <w:t>132</w:t>
      </w:r>
      <w:r>
        <w:rPr>
          <w:rStyle w:val="htmlcodes"/>
        </w:rPr>
        <w:t>&lt;/sub&gt;</w:t>
      </w:r>
      <w:r>
        <w:t xml:space="preserve">, </w:t>
      </w:r>
      <w:r>
        <w:rPr>
          <w:rStyle w:val="htmlcodes"/>
        </w:rPr>
        <w: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rPr>
        <w:t>152</w:t>
      </w:r>
      <w:r>
        <w:rPr>
          <w:rStyle w:val="htmlcodes"/>
        </w:rPr>
        <w:t>&lt;/sub&gt;</w:t>
      </w:r>
    </w:p>
    <w:p w:rsidR="00B72047" w:rsidRDefault="00B72047">
      <w:pPr>
        <w:pStyle w:val="EBNFXREF"/>
      </w:pPr>
      <w:r>
        <w:rPr>
          <w:rStyle w:val="htmlcodes"/>
        </w:rPr>
        <w:t>&lt;dt&gt;</w:t>
      </w:r>
      <w:r>
        <w:t>selbri</w:t>
      </w:r>
      <w:r>
        <w:noBreakHyphen/>
        <w:t>4</w:t>
      </w:r>
      <w:r>
        <w:tab/>
      </w:r>
      <w:r>
        <w:rPr>
          <w:rStyle w:val="htmlcodes"/>
        </w:rPr>
        <w:t>&lt;dd&gt;&lt;a href=#b133&gt;</w:t>
      </w:r>
      <w:r>
        <w:t>selbri</w:t>
      </w:r>
      <w:r>
        <w:noBreakHyphen/>
        <w:t>3</w:t>
      </w:r>
      <w:r>
        <w:rPr>
          <w:rStyle w:val="htmlcodes"/>
        </w:rPr>
        <w:t>&lt;/a&gt;&lt;sub&gt;</w:t>
      </w:r>
      <w:r>
        <w:rPr>
          <w:rStyle w:val="subscript"/>
        </w:rPr>
        <w:t>133</w:t>
      </w:r>
      <w:r>
        <w:rPr>
          <w:rStyle w:val="htmlcodes"/>
        </w:rPr>
        <w:t>&lt;/sub&gt;</w:t>
      </w:r>
    </w:p>
    <w:p w:rsidR="00B72047" w:rsidRDefault="00B72047">
      <w:pPr>
        <w:pStyle w:val="EBNFXREF"/>
      </w:pPr>
      <w:r>
        <w:rPr>
          <w:rStyle w:val="htmlcodes"/>
        </w:rPr>
        <w:t>&lt;dt&gt;</w:t>
      </w:r>
      <w:r>
        <w:t>selbri</w:t>
      </w:r>
      <w:r>
        <w:noBreakHyphen/>
        <w:t>5</w:t>
      </w:r>
      <w:r>
        <w:tab/>
      </w:r>
      <w:r>
        <w:rPr>
          <w:rStyle w:val="htmlcodes"/>
        </w:rPr>
        <w:t>&lt;dd&gt;&lt;a href=#b134&gt;</w:t>
      </w:r>
      <w:r>
        <w:t>selbri</w:t>
      </w:r>
      <w:r>
        <w:noBreakHyphen/>
        <w:t>4</w:t>
      </w:r>
      <w:r>
        <w:rPr>
          <w:rStyle w:val="htmlcodes"/>
        </w:rPr>
        <w:t>&lt;/a&gt;&lt;sub&gt;</w:t>
      </w:r>
      <w:r>
        <w:rPr>
          <w:rStyle w:val="subscript"/>
        </w:rPr>
        <w:t>134</w:t>
      </w:r>
      <w:r>
        <w:rPr>
          <w:rStyle w:val="htmlcodes"/>
        </w:rPr>
        <w:t>&lt;/sub&gt;</w:t>
      </w:r>
      <w:r>
        <w:t xml:space="preserve">, </w:t>
      </w:r>
      <w:r>
        <w:rPr>
          <w:rStyle w:val="htmlcodes"/>
        </w:rPr>
        <w:t>&lt;a href=#b135&gt;</w:t>
      </w:r>
      <w:r>
        <w:t>selbri</w:t>
      </w:r>
      <w:r>
        <w:noBreakHyphen/>
        <w:t>5</w:t>
      </w:r>
      <w:r>
        <w:rPr>
          <w:rStyle w:val="htmlcodes"/>
        </w:rPr>
        <w:t>&lt;/a&gt;&lt;sub&gt;</w:t>
      </w:r>
      <w:r>
        <w:rPr>
          <w:rStyle w:val="subscript"/>
        </w:rPr>
        <w:t>135</w:t>
      </w:r>
      <w:r>
        <w:rPr>
          <w:rStyle w:val="htmlcodes"/>
        </w:rPr>
        <w:t>&lt;/sub&gt;</w:t>
      </w:r>
    </w:p>
    <w:p w:rsidR="00B72047" w:rsidRDefault="00B72047">
      <w:pPr>
        <w:pStyle w:val="EBNFXREF"/>
      </w:pPr>
      <w:r>
        <w:rPr>
          <w:rStyle w:val="htmlcodes"/>
        </w:rPr>
        <w:t>&lt;dt&gt;</w:t>
      </w:r>
      <w:r>
        <w:t>selbri</w:t>
      </w:r>
      <w:r>
        <w:noBreakHyphen/>
        <w:t>6</w:t>
      </w:r>
      <w:r>
        <w:tab/>
      </w:r>
      <w:r>
        <w:rPr>
          <w:rStyle w:val="htmlcodes"/>
        </w:rPr>
        <w:t>&lt;dd&gt;&lt;a href=#b135&gt;</w:t>
      </w:r>
      <w:r>
        <w:t>selbri</w:t>
      </w:r>
      <w:r>
        <w:noBreakHyphen/>
        <w:t>5</w:t>
      </w:r>
      <w:r>
        <w:rPr>
          <w:rStyle w:val="htmlcodes"/>
        </w:rPr>
        <w:t>&lt;/a&gt;&lt;sub&gt;</w:t>
      </w:r>
      <w:r>
        <w:rPr>
          <w:rStyle w:val="subscript"/>
        </w:rPr>
        <w:t>135</w:t>
      </w:r>
      <w:r>
        <w:rPr>
          <w:rStyle w:val="htmlcodes"/>
        </w:rPr>
        <w:t>&lt;/sub&gt;</w:t>
      </w:r>
      <w:r>
        <w:t xml:space="preserve">, </w:t>
      </w:r>
      <w:r>
        <w:rPr>
          <w:rStyle w:val="htmlcodes"/>
        </w:rPr>
        <w:t>&lt;a href=#b136&gt;</w:t>
      </w:r>
      <w:r>
        <w:t>selbri</w:t>
      </w:r>
      <w:r>
        <w:noBreakHyphen/>
        <w:t>6</w:t>
      </w:r>
      <w:r>
        <w:rPr>
          <w:rStyle w:val="htmlcodes"/>
        </w:rPr>
        <w:t>&lt;/a&gt;&lt;sub&gt;</w:t>
      </w:r>
      <w:r>
        <w:rPr>
          <w:rStyle w:val="subscript"/>
        </w:rPr>
        <w:t>136</w:t>
      </w:r>
      <w:r>
        <w:rPr>
          <w:rStyle w:val="htmlcodes"/>
        </w:rPr>
        <w:t>&lt;/sub&gt;</w:t>
      </w:r>
    </w:p>
    <w:p w:rsidR="00B72047" w:rsidRDefault="00B72047">
      <w:pPr>
        <w:pStyle w:val="EBNFXREF"/>
      </w:pPr>
      <w:r>
        <w:rPr>
          <w:rStyle w:val="htmlcodes"/>
        </w:rPr>
        <w:t>&lt;dt&gt;</w:t>
      </w:r>
      <w:r>
        <w:t>sentence</w:t>
      </w:r>
      <w:r>
        <w:tab/>
      </w:r>
      <w:r>
        <w:rPr>
          <w:rStyle w:val="htmlcodes"/>
        </w:rPr>
        <w:t>&lt;dd&gt;&lt;a href=#b14&gt;</w:t>
      </w:r>
      <w:r>
        <w:t>statement</w:t>
      </w:r>
      <w:r>
        <w:noBreakHyphen/>
        <w:t>3</w:t>
      </w:r>
      <w:r>
        <w:rPr>
          <w:rStyle w:val="htmlcodes"/>
        </w:rPr>
        <w:t>&lt;/a&gt;&lt;sub&gt;</w:t>
      </w:r>
      <w:r>
        <w:rPr>
          <w:rStyle w:val="subscript"/>
          <w:position w:val="-4"/>
        </w:rPr>
        <w:t>14</w:t>
      </w:r>
      <w:r>
        <w:rPr>
          <w:rStyle w:val="htmlcodes"/>
        </w:rPr>
        <w:t>&lt;/sub&gt;</w:t>
      </w:r>
      <w:r>
        <w:t xml:space="preserve">, </w:t>
      </w:r>
      <w:r>
        <w:rPr>
          <w:rStyle w:val="htmlcodes"/>
        </w:rPr>
        <w:t>&lt;a href=#b41&gt;</w:t>
      </w:r>
      <w:r>
        <w:t>subsentence</w:t>
      </w:r>
      <w:r>
        <w:rPr>
          <w:rStyle w:val="htmlcodes"/>
        </w:rPr>
        <w:t>&lt;/a&gt;&lt;sub&gt;</w:t>
      </w:r>
      <w:r>
        <w:rPr>
          <w:rStyle w:val="subscript"/>
          <w:position w:val="-4"/>
        </w:rPr>
        <w:t>41</w:t>
      </w:r>
      <w:r>
        <w:rPr>
          <w:rStyle w:val="htmlcodes"/>
        </w:rPr>
        <w:t>&lt;/sub&gt;</w:t>
      </w:r>
    </w:p>
    <w:p w:rsidR="00B72047" w:rsidRDefault="00B72047">
      <w:pPr>
        <w:pStyle w:val="EBNFXREF"/>
      </w:pPr>
      <w:r>
        <w:rPr>
          <w:rStyle w:val="htmlcodes"/>
        </w:rPr>
        <w:t>&lt;dt&gt;</w:t>
      </w:r>
      <w:r>
        <w:t>simple</w:t>
      </w:r>
      <w:r>
        <w:noBreakHyphen/>
        <w:t>tense</w:t>
      </w:r>
      <w:r>
        <w:noBreakHyphen/>
        <w:t>modal</w:t>
      </w:r>
      <w:r>
        <w:tab/>
      </w:r>
      <w:r>
        <w:rPr>
          <w:rStyle w:val="htmlcodes"/>
        </w:rPr>
        <w:t>&lt;dd&gt;&lt;a href=#b971&gt;</w:t>
      </w:r>
      <w:r>
        <w:t>stag</w:t>
      </w:r>
      <w:r>
        <w:rPr>
          <w:rStyle w:val="htmlcodes"/>
        </w:rPr>
        <w:t>&lt;/a&gt;&lt;sub&gt;</w:t>
      </w:r>
      <w:r>
        <w:rPr>
          <w:rStyle w:val="subscript"/>
          <w:position w:val="-4"/>
        </w:rPr>
        <w:t>971</w:t>
      </w:r>
      <w:r>
        <w:rPr>
          <w:rStyle w:val="htmlcodes"/>
        </w:rPr>
        <w:t>&lt;/sub&gt;</w:t>
      </w:r>
      <w:r>
        <w:t xml:space="preserve">, </w:t>
      </w:r>
      <w:r>
        <w:rPr>
          <w:rStyle w:val="htmlcodes"/>
        </w:rPr>
        <w:t>&lt;a href=#b815&gt;</w:t>
      </w:r>
      <w:r>
        <w:t>tense</w:t>
      </w:r>
      <w:r>
        <w:noBreakHyphen/>
        <w:t>modal</w:t>
      </w:r>
      <w:r>
        <w:rPr>
          <w:rStyle w:val="htmlcodes"/>
        </w:rPr>
        <w:t>&lt;/a&gt;&lt;sub&gt;</w:t>
      </w:r>
      <w:r>
        <w:rPr>
          <w:rStyle w:val="subscript"/>
          <w:position w:val="-4"/>
        </w:rPr>
        <w:t>815</w:t>
      </w:r>
      <w:r>
        <w:rPr>
          <w:rStyle w:val="htmlcodes"/>
        </w:rPr>
        <w:t>&lt;/sub&gt;</w:t>
      </w:r>
    </w:p>
    <w:p w:rsidR="00B72047" w:rsidRDefault="00B72047">
      <w:pPr>
        <w:pStyle w:val="EBNFXREF"/>
      </w:pPr>
      <w:r>
        <w:rPr>
          <w:rStyle w:val="htmlcodes"/>
        </w:rPr>
        <w:t>&lt;dt&gt;</w:t>
      </w:r>
      <w:r>
        <w:t>space</w:t>
      </w:r>
      <w:r>
        <w:tab/>
      </w:r>
      <w:r>
        <w:rPr>
          <w:rStyle w:val="htmlcodes"/>
        </w:rPr>
        <w:t>&lt;dd&gt;&lt;a href=#b972&gt;</w:t>
      </w:r>
      <w:r>
        <w:t>simple</w:t>
      </w:r>
      <w:r>
        <w:noBreakHyphen/>
        <w:t>tense</w:t>
      </w:r>
      <w:r>
        <w:noBreakHyphen/>
        <w:t>modal</w:t>
      </w:r>
      <w:r>
        <w:rPr>
          <w:rStyle w:val="htmlcodes"/>
        </w:rPr>
        <w:t>&lt;/a&gt;&lt;sub&gt;</w:t>
      </w:r>
      <w:r>
        <w:rPr>
          <w:rStyle w:val="subscript"/>
          <w:position w:val="-4"/>
        </w:rPr>
        <w:t>972</w:t>
      </w:r>
      <w:r>
        <w:rPr>
          <w:rStyle w:val="htmlcodes"/>
        </w:rPr>
        <w:t>&lt;/sub&gt;</w:t>
      </w:r>
    </w:p>
    <w:p w:rsidR="00B72047" w:rsidRDefault="00B72047">
      <w:pPr>
        <w:pStyle w:val="EBNFXREF"/>
      </w:pPr>
      <w:r>
        <w:rPr>
          <w:rStyle w:val="htmlcodes"/>
        </w:rPr>
        <w:t>&lt;dt&gt;</w:t>
      </w:r>
      <w:r>
        <w:t>space</w:t>
      </w:r>
      <w:r>
        <w:noBreakHyphen/>
        <w:t>int</w:t>
      </w:r>
      <w:r>
        <w:noBreakHyphen/>
        <w:t>props</w:t>
      </w:r>
      <w:r>
        <w:tab/>
      </w:r>
      <w:r>
        <w:rPr>
          <w:rStyle w:val="htmlcodes"/>
        </w:rPr>
        <w:t>&lt;dd&gt;&lt;a href=#b1046&gt;</w:t>
      </w:r>
      <w:r>
        <w:t>space</w:t>
      </w:r>
      <w:r>
        <w:noBreakHyphen/>
        <w:t>interval</w:t>
      </w:r>
      <w:r>
        <w:rPr>
          <w:rStyle w:val="htmlcodes"/>
        </w:rPr>
        <w:t>&lt;/a&gt;&lt;sub&gt;</w:t>
      </w:r>
      <w:r>
        <w:rPr>
          <w:rStyle w:val="subscript"/>
          <w:position w:val="-4"/>
        </w:rPr>
        <w:t>1046</w:t>
      </w:r>
      <w:r>
        <w:rPr>
          <w:rStyle w:val="htmlcodes"/>
        </w:rPr>
        <w:t>&lt;/sub&gt;</w:t>
      </w:r>
    </w:p>
    <w:p w:rsidR="00B72047" w:rsidRDefault="00B72047">
      <w:pPr>
        <w:pStyle w:val="EBNFXREF"/>
      </w:pPr>
      <w:r>
        <w:rPr>
          <w:rStyle w:val="htmlcodes"/>
        </w:rPr>
        <w:t>&lt;dt&gt;</w:t>
      </w:r>
      <w:r>
        <w:t>space</w:t>
      </w:r>
      <w:r>
        <w:noBreakHyphen/>
        <w:t>interval</w:t>
      </w:r>
      <w:r>
        <w:tab/>
      </w:r>
      <w:r>
        <w:rPr>
          <w:rStyle w:val="htmlcodes"/>
        </w:rPr>
        <w:t>&lt;dd&gt;&lt;a href=#b1040&gt;</w:t>
      </w:r>
      <w:r>
        <w:t>space</w:t>
      </w:r>
      <w:r>
        <w:rPr>
          <w:rStyle w:val="htmlcodes"/>
        </w:rPr>
        <w:t>&lt;/a&gt;&lt;sub&gt;</w:t>
      </w:r>
      <w:r>
        <w:rPr>
          <w:rStyle w:val="subscript"/>
          <w:position w:val="-4"/>
        </w:rPr>
        <w:t>1040</w:t>
      </w:r>
      <w:r>
        <w:rPr>
          <w:rStyle w:val="htmlcodes"/>
        </w:rPr>
        <w:t>&lt;/sub&gt;</w:t>
      </w:r>
    </w:p>
    <w:p w:rsidR="00B72047" w:rsidRDefault="00B72047">
      <w:pPr>
        <w:pStyle w:val="EBNFXREF"/>
      </w:pPr>
      <w:r>
        <w:rPr>
          <w:rStyle w:val="htmlcodes"/>
        </w:rPr>
        <w:t>&lt;dt&gt;</w:t>
      </w:r>
      <w:r>
        <w:t>space</w:t>
      </w:r>
      <w:r>
        <w:noBreakHyphen/>
        <w:t>offset</w:t>
      </w:r>
      <w:r>
        <w:tab/>
      </w:r>
      <w:r>
        <w:rPr>
          <w:rStyle w:val="htmlcodes"/>
        </w:rPr>
        <w:t>&lt;dd&gt;&lt;a href=#b1040&gt;</w:t>
      </w:r>
      <w:r>
        <w:t>space</w:t>
      </w:r>
      <w:r>
        <w:rPr>
          <w:rStyle w:val="htmlcodes"/>
        </w:rPr>
        <w:t>&lt;/a&gt;&lt;sub&gt;</w:t>
      </w:r>
      <w:r>
        <w:rPr>
          <w:rStyle w:val="subscript"/>
          <w:position w:val="-4"/>
        </w:rPr>
        <w:t>1040</w:t>
      </w:r>
      <w:r>
        <w:rPr>
          <w:rStyle w:val="htmlcodes"/>
        </w:rPr>
        <w:t>&lt;/sub&gt;</w:t>
      </w:r>
    </w:p>
    <w:p w:rsidR="00B72047" w:rsidRDefault="00B72047">
      <w:pPr>
        <w:pStyle w:val="EBNFXREF"/>
      </w:pPr>
      <w:r>
        <w:rPr>
          <w:rStyle w:val="htmlcodes"/>
        </w:rPr>
        <w:t>&lt;dt&gt;</w:t>
      </w:r>
      <w:r>
        <w:t>stag</w:t>
      </w:r>
      <w:r>
        <w:tab/>
      </w:r>
      <w:r>
        <w:rPr>
          <w:rStyle w:val="htmlcodes"/>
        </w:rPr>
        <w:t>&lt;dd&gt;&lt;a href=#b52&gt;</w:t>
      </w:r>
      <w:r>
        <w:t>bridi</w:t>
      </w:r>
      <w:r>
        <w:noBreakHyphen/>
        <w:t>tail</w:t>
      </w:r>
      <w:r>
        <w:noBreakHyphen/>
        <w:t>2</w:t>
      </w:r>
      <w:r>
        <w:rPr>
          <w:rStyle w:val="htmlcodes"/>
        </w:rPr>
        <w:t>&lt;/a&gt;&lt;sub&gt;</w:t>
      </w:r>
      <w:r>
        <w:rPr>
          <w:rStyle w:val="subscript"/>
          <w:position w:val="-4"/>
        </w:rPr>
        <w:t>52</w:t>
      </w:r>
      <w:r>
        <w:rPr>
          <w:rStyle w:val="htmlcodes"/>
        </w:rPr>
        <w:t>&lt;/sub&gt;</w:t>
      </w:r>
      <w:r>
        <w:t xml:space="preserve">, </w:t>
      </w:r>
      <w:r>
        <w:rPr>
          <w:rStyle w:val="htmlcodes"/>
        </w:rPr>
        <w:t>&lt;a href=#b50&gt;</w:t>
      </w:r>
      <w:r>
        <w:t>bridi</w:t>
      </w:r>
      <w:r>
        <w:noBreakHyphen/>
        <w:t>tail</w:t>
      </w:r>
      <w:r>
        <w:rPr>
          <w:rStyle w:val="htmlcodes"/>
        </w:rPr>
        <w:t>&lt;/a&gt;&lt;sub&gt;</w:t>
      </w:r>
      <w:r>
        <w:rPr>
          <w:rStyle w:val="subscript"/>
          <w:position w:val="-4"/>
        </w:rPr>
        <w:t>50</w:t>
      </w:r>
      <w:r>
        <w:rPr>
          <w:rStyle w:val="htmlcodes"/>
        </w:rPr>
        <w:t>&lt;/sub&gt;</w:t>
      </w:r>
      <w:r>
        <w:t xml:space="preserve">, </w:t>
      </w:r>
      <w:r>
        <w:rPr>
          <w:rStyle w:val="htmlcodes"/>
        </w:rPr>
        <w:t>&lt;a href=#b807&gt;</w:t>
      </w:r>
      <w:r>
        <w:t>gek</w:t>
      </w:r>
      <w:r>
        <w:rPr>
          <w:rStyle w:val="htmlcodes"/>
        </w:rPr>
        <w:t>&lt;/a&gt;&lt;sub&gt;</w:t>
      </w:r>
      <w:r>
        <w:rPr>
          <w:rStyle w:val="subscript"/>
          <w:position w:val="-4"/>
        </w:rPr>
        <w:t>807</w:t>
      </w:r>
      <w:r>
        <w:rPr>
          <w:rStyle w:val="htmlcodes"/>
        </w:rPr>
        <w:t>&lt;/sub&gt;</w:t>
      </w:r>
      <w:r>
        <w:t xml:space="preserve">, </w:t>
      </w:r>
      <w:r>
        <w:rPr>
          <w:rStyle w:val="htmlcodes"/>
        </w:rPr>
        <w:t>&lt;a href=#b383&gt;</w:t>
      </w:r>
      <w:r>
        <w:t>operand</w:t>
      </w:r>
      <w:r>
        <w:noBreakHyphen/>
        <w:t>2</w:t>
      </w:r>
      <w:r>
        <w:rPr>
          <w:rStyle w:val="htmlcodes"/>
        </w:rPr>
        <w:t>&lt;/a&gt;&lt;sub&gt;</w:t>
      </w:r>
      <w:r>
        <w:rPr>
          <w:rStyle w:val="subscript"/>
          <w:position w:val="-4"/>
        </w:rPr>
        <w:t>383</w:t>
      </w:r>
      <w:r>
        <w:rPr>
          <w:rStyle w:val="htmlcodes"/>
        </w:rPr>
        <w:t>&lt;/sub&gt;</w:t>
      </w:r>
      <w:r>
        <w:t xml:space="preserve">, </w:t>
      </w:r>
      <w:r>
        <w:rPr>
          <w:rStyle w:val="htmlcodes"/>
        </w:rPr>
        <w:t>&lt;a href=#b381&gt;</w:t>
      </w:r>
      <w:r>
        <w:t>operand</w:t>
      </w:r>
      <w:r>
        <w:rPr>
          <w:rStyle w:val="htmlcodes"/>
        </w:rPr>
        <w:t>&lt;/a&gt;&lt;sub&gt;</w:t>
      </w:r>
      <w:r>
        <w:rPr>
          <w:rStyle w:val="subscript"/>
          <w:position w:val="-4"/>
        </w:rPr>
        <w:t>381</w:t>
      </w:r>
      <w:r>
        <w:rPr>
          <w:rStyle w:val="htmlcodes"/>
        </w:rPr>
        <w:t>&lt;/sub&gt;</w:t>
      </w:r>
      <w:r>
        <w:t xml:space="preserve">, </w:t>
      </w:r>
      <w:r>
        <w:rPr>
          <w:rStyle w:val="htmlcodes"/>
        </w:rPr>
        <w:t>&lt;a href=#b371&gt;</w:t>
      </w:r>
      <w:r>
        <w:t>oper</w:t>
      </w:r>
      <w:r>
        <w:t>a</w:t>
      </w:r>
      <w:r>
        <w:t>tor</w:t>
      </w:r>
      <w:r>
        <w:noBreakHyphen/>
        <w:t>1</w:t>
      </w:r>
      <w:r>
        <w:rPr>
          <w:rStyle w:val="htmlcodes"/>
        </w:rPr>
        <w:t>&lt;/a&gt;&lt;sub&gt;</w:t>
      </w:r>
      <w:r>
        <w:rPr>
          <w:rStyle w:val="subscript"/>
          <w:position w:val="-4"/>
        </w:rPr>
        <w:t>371</w:t>
      </w:r>
      <w:r>
        <w:rPr>
          <w:rStyle w:val="htmlcodes"/>
        </w:rPr>
        <w:t>&lt;/sub&gt;</w:t>
      </w:r>
      <w:r>
        <w:t xml:space="preserve">, </w:t>
      </w:r>
      <w:r>
        <w:rPr>
          <w:rStyle w:val="htmlcodes"/>
        </w:rPr>
        <w:t>&lt;a href=#b370&gt;</w:t>
      </w:r>
      <w:r>
        <w:t>operator</w:t>
      </w:r>
      <w:r>
        <w:rPr>
          <w:rStyle w:val="htmlcodes"/>
        </w:rPr>
        <w:t>&lt;/a&gt;&lt;sub&gt;</w:t>
      </w:r>
      <w:r>
        <w:rPr>
          <w:rStyle w:val="subscript"/>
          <w:position w:val="-4"/>
        </w:rPr>
        <w:t>370</w:t>
      </w:r>
      <w:r>
        <w:rPr>
          <w:rStyle w:val="htmlcodes"/>
        </w:rPr>
        <w:t>&lt;/sub&gt;</w:t>
      </w:r>
      <w:r>
        <w:t xml:space="preserve">, </w:t>
      </w:r>
      <w:r>
        <w:rPr>
          <w:rStyle w:val="htmlcodes"/>
        </w:rPr>
        <w:t>&lt;a href=#b134&gt;</w:t>
      </w:r>
      <w:r>
        <w:t>selbri</w:t>
      </w:r>
      <w:r>
        <w:noBreakHyphen/>
        <w:t>4</w:t>
      </w:r>
      <w:r>
        <w:rPr>
          <w:rStyle w:val="htmlcodes"/>
        </w:rPr>
        <w:t>&lt;/a&gt;&lt;sub&gt;</w:t>
      </w:r>
      <w:r>
        <w:rPr>
          <w:rStyle w:val="subscript"/>
          <w:position w:val="-4"/>
        </w:rPr>
        <w:t>134</w:t>
      </w:r>
      <w:r>
        <w:rPr>
          <w:rStyle w:val="htmlcodes"/>
        </w:rPr>
        <w:t>&lt;/sub&gt;</w:t>
      </w:r>
      <w:r>
        <w:t xml:space="preserve">, </w:t>
      </w:r>
      <w:r>
        <w:rPr>
          <w:rStyle w:val="htmlcodes"/>
        </w:rPr>
        <w:t>&lt;a href=#b135&gt;</w:t>
      </w:r>
      <w:r>
        <w:t>selbri</w:t>
      </w:r>
      <w:r>
        <w:noBreakHyphen/>
        <w:t>5</w:t>
      </w:r>
      <w:r>
        <w:rPr>
          <w:rStyle w:val="htmlcodes"/>
        </w:rPr>
        <w:t>&lt;/a&gt;&lt;sub&gt;</w:t>
      </w:r>
      <w:r>
        <w:rPr>
          <w:rStyle w:val="subscript"/>
          <w:position w:val="-4"/>
        </w:rPr>
        <w:t>135</w:t>
      </w:r>
      <w:r>
        <w:rPr>
          <w:rStyle w:val="htmlcodes"/>
        </w:rPr>
        <w:t>&lt;/sub&gt;</w:t>
      </w:r>
      <w:r>
        <w:t xml:space="preserve">, </w:t>
      </w:r>
      <w:r>
        <w:rPr>
          <w:rStyle w:val="htmlcodes"/>
        </w:rPr>
        <w:t>&lt;a href=#b13&gt;</w:t>
      </w:r>
      <w:r>
        <w:t>statement</w:t>
      </w:r>
      <w:r>
        <w:noBreakHyphen/>
        <w:t>2</w:t>
      </w:r>
      <w:r>
        <w:rPr>
          <w:rStyle w:val="htmlcodes"/>
        </w:rPr>
        <w:t>&lt;/a&gt;&lt;sub&gt;</w:t>
      </w:r>
      <w:r>
        <w:rPr>
          <w:rStyle w:val="subscript"/>
          <w:position w:val="-4"/>
        </w:rPr>
        <w:t>13</w:t>
      </w:r>
      <w:r>
        <w:rPr>
          <w:rStyle w:val="htmlcodes"/>
        </w:rPr>
        <w:t>&lt;/sub&gt;</w:t>
      </w:r>
      <w:r>
        <w:t xml:space="preserve">, </w:t>
      </w:r>
      <w:r>
        <w:rPr>
          <w:rStyle w:val="htmlcodes"/>
        </w:rPr>
        <w:t>&lt;a href=#b91&gt;</w:t>
      </w:r>
      <w:r>
        <w:t>sumti</w:t>
      </w:r>
      <w:r>
        <w:noBreakHyphen/>
        <w:t>1</w:t>
      </w:r>
      <w:r>
        <w:rPr>
          <w:rStyle w:val="htmlcodes"/>
        </w:rPr>
        <w:t>&lt;/a&gt;&lt;sub&gt;</w:t>
      </w:r>
      <w:r>
        <w:rPr>
          <w:rStyle w:val="subscript"/>
          <w:position w:val="-4"/>
        </w:rPr>
        <w:t>91</w:t>
      </w:r>
      <w:r>
        <w:rPr>
          <w:rStyle w:val="htmlcodes"/>
        </w:rPr>
        <w:t>&lt;/sub&gt;</w:t>
      </w:r>
      <w:r>
        <w:t xml:space="preserve">, </w:t>
      </w:r>
      <w:r>
        <w:rPr>
          <w:rStyle w:val="htmlcodes"/>
        </w:rPr>
        <w:t>&lt;a href=#b93&gt;</w:t>
      </w:r>
      <w:r>
        <w:t>sumti</w:t>
      </w:r>
      <w:r>
        <w:noBreakHyphen/>
        <w:t>3</w:t>
      </w:r>
      <w:r>
        <w:rPr>
          <w:rStyle w:val="htmlcodes"/>
        </w:rPr>
        <w:t>&lt;/a&gt;&lt;sub&gt;</w:t>
      </w:r>
      <w:r>
        <w:rPr>
          <w:rStyle w:val="subscript"/>
          <w:position w:val="-4"/>
        </w:rPr>
        <w:t>93</w:t>
      </w:r>
      <w:r>
        <w:rPr>
          <w:rStyle w:val="htmlcodes"/>
        </w:rPr>
        <w:t>&lt;/sub&gt;</w:t>
      </w:r>
      <w:r>
        <w:t xml:space="preserve">, </w:t>
      </w:r>
      <w:r>
        <w:rPr>
          <w:rStyle w:val="htmlcodes"/>
        </w:rPr>
        <w:t>&lt;a href=#b2&gt;</w:t>
      </w:r>
      <w:r>
        <w:t>text</w:t>
      </w:r>
      <w:r>
        <w:noBreakHyphen/>
        <w:t>1</w:t>
      </w:r>
      <w:r>
        <w:rPr>
          <w:rStyle w:val="htmlcodes"/>
        </w:rPr>
        <w:t>&lt;/a&gt;&lt;sub&gt;</w:t>
      </w:r>
      <w:r>
        <w:rPr>
          <w:rStyle w:val="subscript"/>
          <w:position w:val="-4"/>
        </w:rPr>
        <w:t>2</w:t>
      </w:r>
      <w:r>
        <w:rPr>
          <w:rStyle w:val="htmlcodes"/>
        </w:rPr>
        <w:t>&lt;/sub&gt;</w:t>
      </w:r>
    </w:p>
    <w:p w:rsidR="00B72047" w:rsidRDefault="00B72047">
      <w:pPr>
        <w:pStyle w:val="EBNFXREF"/>
      </w:pPr>
      <w:r>
        <w:rPr>
          <w:rStyle w:val="htmlcodes"/>
        </w:rPr>
        <w:t>&lt;dt&gt;</w:t>
      </w:r>
      <w:r>
        <w:t>statement</w:t>
      </w:r>
      <w:r>
        <w:tab/>
      </w:r>
      <w:r>
        <w:rPr>
          <w:rStyle w:val="htmlcodes"/>
        </w:rPr>
        <w:t>&lt;dd&gt;&lt;a href=#b10&gt;</w:t>
      </w:r>
      <w:r>
        <w:t>paragraph</w:t>
      </w:r>
      <w:r>
        <w:rPr>
          <w:rStyle w:val="htmlcodes"/>
        </w:rPr>
        <w:t>&lt;/a&gt;&lt;sub&gt;</w:t>
      </w:r>
      <w:r>
        <w:rPr>
          <w:rStyle w:val="subscript"/>
          <w:position w:val="-4"/>
        </w:rPr>
        <w:t>10</w:t>
      </w:r>
      <w:r>
        <w:rPr>
          <w:rStyle w:val="htmlcodes"/>
        </w:rPr>
        <w:t>&lt;/sub&gt;</w:t>
      </w:r>
      <w:r>
        <w:t xml:space="preserve">, </w:t>
      </w:r>
      <w:r>
        <w:rPr>
          <w:rStyle w:val="htmlcodes"/>
        </w:rPr>
        <w:t>&lt;a href=#b11&gt;</w:t>
      </w:r>
      <w:r>
        <w:t>statement</w:t>
      </w:r>
      <w:r>
        <w:rPr>
          <w:rStyle w:val="htmlcodes"/>
        </w:rPr>
        <w:t>&lt;/a&gt;&lt;sub&gt;</w:t>
      </w:r>
      <w:r>
        <w:rPr>
          <w:rStyle w:val="subscript"/>
          <w:position w:val="-4"/>
        </w:rPr>
        <w:t>11</w:t>
      </w:r>
      <w:r>
        <w:rPr>
          <w:rStyle w:val="htmlcodes"/>
        </w:rPr>
        <w:t>&lt;/sub&gt;</w:t>
      </w:r>
    </w:p>
    <w:p w:rsidR="00B72047" w:rsidRDefault="00B72047">
      <w:pPr>
        <w:pStyle w:val="EBNFXREF"/>
      </w:pPr>
      <w:r>
        <w:rPr>
          <w:rStyle w:val="htmlcodes"/>
        </w:rPr>
        <w:t>&lt;dt&gt;</w:t>
      </w:r>
      <w:r>
        <w:t>statement</w:t>
      </w:r>
      <w:r>
        <w:noBreakHyphen/>
        <w:t>1</w:t>
      </w:r>
      <w:r>
        <w:tab/>
      </w:r>
      <w:r>
        <w:rPr>
          <w:rStyle w:val="htmlcodes"/>
        </w:rPr>
        <w:t>&lt;dd&gt;&lt;a href=#b11&gt;</w:t>
      </w:r>
      <w:r>
        <w:t>statement</w:t>
      </w:r>
      <w:r>
        <w:rPr>
          <w:rStyle w:val="htmlcodes"/>
        </w:rPr>
        <w:t>&lt;/a&gt;&lt;sub&gt;</w:t>
      </w:r>
      <w:r>
        <w:rPr>
          <w:rStyle w:val="subscript"/>
          <w:position w:val="-4"/>
        </w:rPr>
        <w:t>11</w:t>
      </w:r>
      <w:r>
        <w:rPr>
          <w:rStyle w:val="htmlcodes"/>
        </w:rPr>
        <w:t>&lt;/sub&gt;</w:t>
      </w:r>
    </w:p>
    <w:p w:rsidR="00B72047" w:rsidRDefault="00B72047">
      <w:pPr>
        <w:pStyle w:val="EBNFXREF"/>
      </w:pPr>
      <w:r>
        <w:rPr>
          <w:rStyle w:val="htmlcodes"/>
        </w:rPr>
        <w:t>&lt;dt&gt;</w:t>
      </w:r>
      <w:r>
        <w:t>statement</w:t>
      </w:r>
      <w:r>
        <w:noBreakHyphen/>
        <w:t>2</w:t>
      </w:r>
      <w:r>
        <w:tab/>
      </w:r>
      <w:r>
        <w:rPr>
          <w:rStyle w:val="htmlcodes"/>
        </w:rPr>
        <w:t>&lt;dd&gt;&lt;a href=#b12&gt;</w:t>
      </w:r>
      <w:r>
        <w:t>statement</w:t>
      </w:r>
      <w:r>
        <w:noBreakHyphen/>
        <w:t>1</w:t>
      </w:r>
      <w:r>
        <w:rPr>
          <w:rStyle w:val="htmlcodes"/>
        </w:rPr>
        <w:t>&lt;/a&gt;&lt;sub&gt;</w:t>
      </w:r>
      <w:r>
        <w:rPr>
          <w:rStyle w:val="subscript"/>
          <w:position w:val="-4"/>
        </w:rPr>
        <w:t>12</w:t>
      </w:r>
      <w:r>
        <w:rPr>
          <w:rStyle w:val="htmlcodes"/>
        </w:rPr>
        <w:t>&lt;/sub&gt;</w:t>
      </w:r>
      <w:r>
        <w:t xml:space="preserve">, </w:t>
      </w:r>
      <w:r>
        <w:rPr>
          <w:rStyle w:val="htmlcodes"/>
        </w:rPr>
        <w:t>&lt;a href=#b13&gt;</w:t>
      </w:r>
      <w:r>
        <w:t>statement</w:t>
      </w:r>
      <w:r>
        <w:noBreakHyphen/>
        <w:t>2</w:t>
      </w:r>
      <w:r>
        <w:rPr>
          <w:rStyle w:val="htmlcodes"/>
        </w:rPr>
        <w:t>&lt;/a&gt;&lt;sub&gt;</w:t>
      </w:r>
      <w:r>
        <w:rPr>
          <w:rStyle w:val="subscript"/>
          <w:position w:val="-4"/>
        </w:rPr>
        <w:t>13</w:t>
      </w:r>
      <w:r>
        <w:rPr>
          <w:rStyle w:val="htmlcodes"/>
        </w:rPr>
        <w:t>&lt;/sub&gt;</w:t>
      </w:r>
    </w:p>
    <w:p w:rsidR="00B72047" w:rsidRDefault="00B72047">
      <w:pPr>
        <w:pStyle w:val="EBNFXREF"/>
      </w:pPr>
      <w:r>
        <w:rPr>
          <w:rStyle w:val="htmlcodes"/>
        </w:rPr>
        <w:t>&lt;dt&gt;</w:t>
      </w:r>
      <w:r>
        <w:t>statement</w:t>
      </w:r>
      <w:r>
        <w:noBreakHyphen/>
        <w:t>3</w:t>
      </w:r>
      <w:r>
        <w:tab/>
      </w:r>
      <w:r>
        <w:rPr>
          <w:rStyle w:val="htmlcodes"/>
        </w:rPr>
        <w:t>&lt;dd&gt;&lt;a href=#b13&gt;</w:t>
      </w:r>
      <w:r>
        <w:t>statement</w:t>
      </w:r>
      <w:r>
        <w:noBreakHyphen/>
        <w:t>2</w:t>
      </w:r>
      <w:r>
        <w:rPr>
          <w:rStyle w:val="htmlcodes"/>
        </w:rPr>
        <w:t>&lt;/a&gt;&lt;sub&gt;</w:t>
      </w:r>
      <w:r>
        <w:rPr>
          <w:rStyle w:val="subscript"/>
          <w:position w:val="-4"/>
        </w:rPr>
        <w:t>13</w:t>
      </w:r>
      <w:r>
        <w:rPr>
          <w:rStyle w:val="htmlcodes"/>
        </w:rPr>
        <w:t>&lt;/sub&gt;</w:t>
      </w:r>
    </w:p>
    <w:p w:rsidR="00B72047" w:rsidRDefault="00B72047">
      <w:pPr>
        <w:pStyle w:val="EBNFXREF"/>
      </w:pPr>
      <w:r>
        <w:rPr>
          <w:rStyle w:val="htmlcodes"/>
        </w:rPr>
        <w:t>&lt;dt&gt;</w:t>
      </w:r>
      <w:r>
        <w:t>subsentence</w:t>
      </w:r>
      <w:r>
        <w:tab/>
      </w:r>
      <w:r>
        <w:rPr>
          <w:rStyle w:val="htmlcodes"/>
        </w:rPr>
        <w:t>&lt;dd&gt;&lt;a href=#b54&gt;</w:t>
      </w:r>
      <w:r>
        <w:t>gek</w:t>
      </w:r>
      <w:r>
        <w:noBreakHyphen/>
        <w:t>sentence</w:t>
      </w:r>
      <w:r>
        <w:rPr>
          <w:rStyle w:val="htmlcodes"/>
        </w:rPr>
        <w:t>&lt;/a&gt;&lt;sub&gt;</w:t>
      </w:r>
      <w:r>
        <w:rPr>
          <w:rStyle w:val="subscript"/>
          <w:position w:val="-4"/>
        </w:rPr>
        <w:t>54</w:t>
      </w:r>
      <w:r>
        <w:rPr>
          <w:rStyle w:val="htmlcodes"/>
        </w:rPr>
        <w:t>&lt;/sub&gt;</w:t>
      </w:r>
      <w:r>
        <w:t xml:space="preserve">, </w:t>
      </w:r>
      <w:r>
        <w:rPr>
          <w:rStyle w:val="htmlcodes"/>
        </w:rPr>
        <w:t>&lt;a href=#b122&gt;</w:t>
      </w:r>
      <w:r>
        <w:t>relative</w:t>
      </w:r>
      <w:r>
        <w:noBreakHyphen/>
        <w:t>clause</w:t>
      </w:r>
      <w:r>
        <w:rPr>
          <w:rStyle w:val="htmlcodes"/>
        </w:rPr>
        <w:t>&lt;/a&gt;&lt;sub&gt;</w:t>
      </w:r>
      <w:r>
        <w:rPr>
          <w:rStyle w:val="subscript"/>
          <w:position w:val="-4"/>
        </w:rPr>
        <w:t>122</w:t>
      </w:r>
      <w:r>
        <w:rPr>
          <w:rStyle w:val="htmlcodes"/>
        </w:rPr>
        <w:t>&lt;/sub&gt;</w:t>
      </w:r>
      <w:r>
        <w:t xml:space="preserve">, </w:t>
      </w:r>
      <w:r>
        <w:rPr>
          <w:rStyle w:val="htmlcodes"/>
        </w:rPr>
        <w:t>&lt;a href=#b41&gt;</w:t>
      </w:r>
      <w:r>
        <w:t>subsentence</w:t>
      </w:r>
      <w:r>
        <w:rPr>
          <w:rStyle w:val="htmlcodes"/>
        </w:rPr>
        <w:t>&lt;/a&gt;&lt;sub&gt;</w:t>
      </w:r>
      <w:r>
        <w:rPr>
          <w:rStyle w:val="subscript"/>
          <w:position w:val="-4"/>
        </w:rPr>
        <w:t>41</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position w:val="-4"/>
        </w:rPr>
        <w:t>152</w:t>
      </w:r>
      <w:r>
        <w:rPr>
          <w:rStyle w:val="htmlcodes"/>
        </w:rPr>
        <w:t>&lt;/sub&gt;</w:t>
      </w:r>
    </w:p>
    <w:p w:rsidR="00B72047" w:rsidRDefault="00B72047">
      <w:pPr>
        <w:pStyle w:val="EBNFXREF"/>
      </w:pPr>
      <w:r>
        <w:rPr>
          <w:rStyle w:val="htmlcodes"/>
        </w:rPr>
        <w:t>&lt;dt&gt;</w:t>
      </w:r>
      <w:r>
        <w:t>sumti</w:t>
      </w:r>
      <w:r>
        <w:tab/>
      </w:r>
      <w:r>
        <w:rPr>
          <w:rStyle w:val="htmlcodes"/>
        </w:rPr>
        <w:t>&lt;dd&gt;&lt;a href=#b32&gt;</w:t>
      </w:r>
      <w:r>
        <w:t>free</w:t>
      </w:r>
      <w:r>
        <w:rPr>
          <w:rStyle w:val="htmlcodes"/>
        </w:rPr>
        <w:t>&lt;/a&gt;&lt;sub&gt;</w:t>
      </w:r>
      <w:r>
        <w:rPr>
          <w:rStyle w:val="subscript"/>
          <w:position w:val="-4"/>
        </w:rPr>
        <w:t>32</w:t>
      </w:r>
      <w:r>
        <w:rPr>
          <w:rStyle w:val="htmlcodes"/>
        </w:rPr>
        <w:t>&lt;/sub&gt;</w:t>
      </w:r>
      <w:r>
        <w:t xml:space="preserve">, </w:t>
      </w:r>
      <w:r>
        <w:rPr>
          <w:rStyle w:val="htmlcodes"/>
        </w:rPr>
        <w:t>&lt;a href=#b385&gt;</w:t>
      </w:r>
      <w:r>
        <w:t>operand</w:t>
      </w:r>
      <w:r>
        <w:noBreakHyphen/>
        <w:t>3</w:t>
      </w:r>
      <w:r>
        <w:rPr>
          <w:rStyle w:val="htmlcodes"/>
        </w:rPr>
        <w:t>&lt;/a&gt;&lt;sub&gt;</w:t>
      </w:r>
      <w:r>
        <w:rPr>
          <w:rStyle w:val="subscript"/>
          <w:position w:val="-4"/>
        </w:rPr>
        <w:t>385</w:t>
      </w:r>
      <w:r>
        <w:rPr>
          <w:rStyle w:val="htmlcodes"/>
        </w:rPr>
        <w:t>&lt;/sub&gt;</w:t>
      </w:r>
      <w:r>
        <w:t xml:space="preserve">, </w:t>
      </w:r>
      <w:r>
        <w:rPr>
          <w:rStyle w:val="htmlcodes"/>
        </w:rPr>
        <w:t>&lt;a href=#b91&gt;</w:t>
      </w:r>
      <w:r>
        <w:t>sumti</w:t>
      </w:r>
      <w:r>
        <w:noBreakHyphen/>
        <w:t>1</w:t>
      </w:r>
      <w:r>
        <w:rPr>
          <w:rStyle w:val="htmlcodes"/>
        </w:rPr>
        <w:t>&lt;/a&gt;&lt;sub&gt;</w:t>
      </w:r>
      <w:r>
        <w:rPr>
          <w:rStyle w:val="subscript"/>
          <w:position w:val="-4"/>
        </w:rPr>
        <w:t>91</w:t>
      </w:r>
      <w:r>
        <w:rPr>
          <w:rStyle w:val="htmlcodes"/>
        </w:rPr>
        <w:t>&lt;/sub&gt;</w:t>
      </w:r>
      <w:r>
        <w:t xml:space="preserve">, </w:t>
      </w:r>
      <w:r>
        <w:rPr>
          <w:rStyle w:val="htmlcodes"/>
        </w:rPr>
        <w:t>&lt;a href=#b94&gt;</w:t>
      </w:r>
      <w:r>
        <w:t>sumti</w:t>
      </w:r>
      <w:r>
        <w:noBreakHyphen/>
        <w:t>4</w:t>
      </w:r>
      <w:r>
        <w:rPr>
          <w:rStyle w:val="htmlcodes"/>
        </w:rPr>
        <w:t>&lt;/a&gt;&lt;sub&gt;</w:t>
      </w:r>
      <w:r>
        <w:rPr>
          <w:rStyle w:val="subscript"/>
          <w:position w:val="-4"/>
        </w:rPr>
        <w:t>94</w:t>
      </w:r>
      <w:r>
        <w:rPr>
          <w:rStyle w:val="htmlcodes"/>
        </w:rPr>
        <w:t>&lt;/sub&gt;</w:t>
      </w:r>
      <w:r>
        <w:t xml:space="preserve">, </w:t>
      </w:r>
      <w:r>
        <w:rPr>
          <w:rStyle w:val="htmlcodes"/>
        </w:rPr>
        <w:t>&lt;a href=#b97&gt;</w:t>
      </w:r>
      <w:r>
        <w:t>sumti</w:t>
      </w:r>
      <w:r>
        <w:noBreakHyphen/>
        <w:t>6</w:t>
      </w:r>
      <w:r>
        <w:rPr>
          <w:rStyle w:val="htmlcodes"/>
        </w:rPr>
        <w:t>&lt;/a&gt;&lt;sub&gt;</w:t>
      </w:r>
      <w:r>
        <w:rPr>
          <w:rStyle w:val="subscript"/>
          <w:position w:val="-4"/>
        </w:rPr>
        <w:t>97</w:t>
      </w:r>
      <w:r>
        <w:rPr>
          <w:rStyle w:val="htmlcodes"/>
        </w:rPr>
        <w:t>&lt;/sub&gt;</w:t>
      </w:r>
      <w:r>
        <w:t xml:space="preserve">, </w:t>
      </w:r>
      <w:r>
        <w:rPr>
          <w:rStyle w:val="htmlcodes"/>
        </w:rPr>
        <w:t>&lt;a href=#b112&gt;</w:t>
      </w:r>
      <w:r>
        <w:t>sumti</w:t>
      </w:r>
      <w:r>
        <w:noBreakHyphen/>
        <w:t>tail</w:t>
      </w:r>
      <w:r>
        <w:noBreakHyphen/>
        <w:t>1</w:t>
      </w:r>
      <w:r>
        <w:rPr>
          <w:rStyle w:val="htmlcodes"/>
        </w:rPr>
        <w:t>&lt;/a&gt;&lt;sub&gt;</w:t>
      </w:r>
      <w:r>
        <w:rPr>
          <w:rStyle w:val="subscript"/>
          <w:position w:val="-4"/>
        </w:rPr>
        <w:t>112</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position w:val="-4"/>
        </w:rPr>
        <w:t>152</w:t>
      </w:r>
      <w:r>
        <w:rPr>
          <w:rStyle w:val="htmlcodes"/>
        </w:rPr>
        <w:t>&lt;/sub&gt;</w:t>
      </w:r>
      <w:r>
        <w:t xml:space="preserve">, </w:t>
      </w:r>
      <w:r>
        <w:rPr>
          <w:rStyle w:val="htmlcodes"/>
        </w:rPr>
        <w:t>&lt;a href=#b83&gt;</w:t>
      </w:r>
      <w:r>
        <w:t>term</w:t>
      </w:r>
      <w:r>
        <w:rPr>
          <w:rStyle w:val="htmlcodes"/>
        </w:rPr>
        <w:t>&lt;/a&gt;&lt;sub&gt;</w:t>
      </w:r>
      <w:r>
        <w:rPr>
          <w:rStyle w:val="subscript"/>
          <w:position w:val="-4"/>
        </w:rPr>
        <w:t>83</w:t>
      </w:r>
      <w:r>
        <w:rPr>
          <w:rStyle w:val="htmlcodes"/>
        </w:rPr>
        <w:t>&lt;/sub&gt;</w:t>
      </w:r>
    </w:p>
    <w:p w:rsidR="00B72047" w:rsidRDefault="00B72047">
      <w:pPr>
        <w:pStyle w:val="EBNFXREF"/>
      </w:pPr>
      <w:r>
        <w:rPr>
          <w:rStyle w:val="htmlcodes"/>
        </w:rPr>
        <w:t>&lt;dt&gt;</w:t>
      </w:r>
      <w:r>
        <w:t>sumti</w:t>
      </w:r>
      <w:r>
        <w:noBreakHyphen/>
        <w:t>1</w:t>
      </w:r>
      <w:r>
        <w:tab/>
      </w:r>
      <w:r>
        <w:rPr>
          <w:rStyle w:val="htmlcodes"/>
        </w:rPr>
        <w:t>&lt;dd&gt;&lt;a href=#b90&gt;</w:t>
      </w:r>
      <w:r>
        <w:t>sumti</w:t>
      </w:r>
      <w:r>
        <w:rPr>
          <w:rStyle w:val="htmlcodes"/>
        </w:rPr>
        <w:t>&lt;/a&gt;&lt;sub&gt;</w:t>
      </w:r>
      <w:r>
        <w:rPr>
          <w:rStyle w:val="subscript"/>
          <w:position w:val="-4"/>
        </w:rPr>
        <w:t>90</w:t>
      </w:r>
      <w:r>
        <w:rPr>
          <w:rStyle w:val="htmlcodes"/>
        </w:rPr>
        <w:t>&lt;/sub&gt;</w:t>
      </w:r>
    </w:p>
    <w:p w:rsidR="00B72047" w:rsidRDefault="00B72047">
      <w:pPr>
        <w:pStyle w:val="EBNFXREF"/>
      </w:pPr>
      <w:r>
        <w:rPr>
          <w:rStyle w:val="htmlcodes"/>
        </w:rPr>
        <w:t>&lt;dt&gt;</w:t>
      </w:r>
      <w:r>
        <w:t>sumti</w:t>
      </w:r>
      <w:r>
        <w:noBreakHyphen/>
        <w:t>2</w:t>
      </w:r>
      <w:r>
        <w:tab/>
      </w:r>
      <w:r>
        <w:rPr>
          <w:rStyle w:val="htmlcodes"/>
        </w:rPr>
        <w:t>&lt;dd&gt;&lt;a href=#b91&gt;</w:t>
      </w:r>
      <w:r>
        <w:t>sumti</w:t>
      </w:r>
      <w:r>
        <w:noBreakHyphen/>
        <w:t>1</w:t>
      </w:r>
      <w:r>
        <w:rPr>
          <w:rStyle w:val="htmlcodes"/>
        </w:rPr>
        <w:t>&lt;/a&gt;&lt;sub&gt;</w:t>
      </w:r>
      <w:r>
        <w:rPr>
          <w:rStyle w:val="subscript"/>
          <w:position w:val="-4"/>
        </w:rPr>
        <w:t>91</w:t>
      </w:r>
      <w:r>
        <w:rPr>
          <w:rStyle w:val="htmlcodes"/>
        </w:rPr>
        <w:t>&lt;/sub&gt;</w:t>
      </w:r>
    </w:p>
    <w:p w:rsidR="00B72047" w:rsidRDefault="00B72047">
      <w:pPr>
        <w:pStyle w:val="EBNFXREF"/>
      </w:pPr>
      <w:r>
        <w:rPr>
          <w:rStyle w:val="htmlcodes"/>
        </w:rPr>
        <w:t>&lt;dt&gt;</w:t>
      </w:r>
      <w:r>
        <w:t>sumti</w:t>
      </w:r>
      <w:r>
        <w:noBreakHyphen/>
        <w:t>3</w:t>
      </w:r>
      <w:r>
        <w:tab/>
      </w:r>
      <w:r>
        <w:rPr>
          <w:rStyle w:val="htmlcodes"/>
        </w:rPr>
        <w:t>&lt;dd&gt;&lt;a href=#b92&gt;</w:t>
      </w:r>
      <w:r>
        <w:t>sumti</w:t>
      </w:r>
      <w:r>
        <w:noBreakHyphen/>
        <w:t>2</w:t>
      </w:r>
      <w:r>
        <w:rPr>
          <w:rStyle w:val="htmlcodes"/>
        </w:rPr>
        <w:t>&lt;/a&gt;&lt;sub&gt;</w:t>
      </w:r>
      <w:r>
        <w:rPr>
          <w:rStyle w:val="subscript"/>
          <w:position w:val="-4"/>
        </w:rPr>
        <w:t>92</w:t>
      </w:r>
      <w:r>
        <w:rPr>
          <w:rStyle w:val="htmlcodes"/>
        </w:rPr>
        <w:t>&lt;/sub&gt;</w:t>
      </w:r>
      <w:r>
        <w:t xml:space="preserve">, </w:t>
      </w:r>
      <w:r>
        <w:rPr>
          <w:rStyle w:val="htmlcodes"/>
        </w:rPr>
        <w:t>&lt;a href=#b93&gt;</w:t>
      </w:r>
      <w:r>
        <w:t>sumti</w:t>
      </w:r>
      <w:r>
        <w:noBreakHyphen/>
        <w:t>3</w:t>
      </w:r>
      <w:r>
        <w:rPr>
          <w:rStyle w:val="htmlcodes"/>
        </w:rPr>
        <w:t>&lt;/a&gt;&lt;sub&gt;</w:t>
      </w:r>
      <w:r>
        <w:rPr>
          <w:rStyle w:val="subscript"/>
          <w:position w:val="-4"/>
        </w:rPr>
        <w:t>93</w:t>
      </w:r>
      <w:r>
        <w:rPr>
          <w:rStyle w:val="htmlcodes"/>
        </w:rPr>
        <w:t>&lt;/sub&gt;</w:t>
      </w:r>
    </w:p>
    <w:p w:rsidR="00B72047" w:rsidRDefault="00B72047">
      <w:pPr>
        <w:pStyle w:val="EBNFXREF"/>
      </w:pPr>
      <w:r>
        <w:rPr>
          <w:rStyle w:val="htmlcodes"/>
        </w:rPr>
        <w:t>&lt;dt&gt;</w:t>
      </w:r>
      <w:r>
        <w:t>sumti</w:t>
      </w:r>
      <w:r>
        <w:noBreakHyphen/>
        <w:t>4</w:t>
      </w:r>
      <w:r>
        <w:tab/>
      </w:r>
      <w:r>
        <w:rPr>
          <w:rStyle w:val="htmlcodes"/>
        </w:rPr>
        <w:t>&lt;dd&gt;&lt;a href=#b93&gt;</w:t>
      </w:r>
      <w:r>
        <w:t>sumti</w:t>
      </w:r>
      <w:r>
        <w:noBreakHyphen/>
        <w:t>3</w:t>
      </w:r>
      <w:r>
        <w:rPr>
          <w:rStyle w:val="htmlcodes"/>
        </w:rPr>
        <w:t>&lt;/a&gt;&lt;sub&gt;</w:t>
      </w:r>
      <w:r>
        <w:rPr>
          <w:rStyle w:val="subscript"/>
          <w:position w:val="-4"/>
        </w:rPr>
        <w:t>93</w:t>
      </w:r>
      <w:r>
        <w:rPr>
          <w:rStyle w:val="htmlcodes"/>
        </w:rPr>
        <w:t>&lt;/sub&gt;</w:t>
      </w:r>
      <w:r>
        <w:t xml:space="preserve">, </w:t>
      </w:r>
      <w:r>
        <w:rPr>
          <w:rStyle w:val="htmlcodes"/>
        </w:rPr>
        <w:t>&lt;a href=#b94&gt;</w:t>
      </w:r>
      <w:r>
        <w:t>sumti</w:t>
      </w:r>
      <w:r>
        <w:noBreakHyphen/>
        <w:t>4</w:t>
      </w:r>
      <w:r>
        <w:rPr>
          <w:rStyle w:val="htmlcodes"/>
        </w:rPr>
        <w:t>&lt;/a&gt;&lt;sub&gt;</w:t>
      </w:r>
      <w:r>
        <w:rPr>
          <w:rStyle w:val="subscript"/>
          <w:position w:val="-4"/>
        </w:rPr>
        <w:t>94</w:t>
      </w:r>
      <w:r>
        <w:rPr>
          <w:rStyle w:val="htmlcodes"/>
        </w:rPr>
        <w:t>&lt;/sub&gt;</w:t>
      </w:r>
    </w:p>
    <w:p w:rsidR="00B72047" w:rsidRDefault="00B72047">
      <w:pPr>
        <w:pStyle w:val="EBNFXREF"/>
      </w:pPr>
      <w:r>
        <w:rPr>
          <w:rStyle w:val="htmlcodes"/>
        </w:rPr>
        <w:t>&lt;dt&gt;</w:t>
      </w:r>
      <w:r>
        <w:t>sumti</w:t>
      </w:r>
      <w:r>
        <w:noBreakHyphen/>
        <w:t>5</w:t>
      </w:r>
      <w:r>
        <w:tab/>
      </w:r>
      <w:r>
        <w:rPr>
          <w:rStyle w:val="htmlcodes"/>
        </w:rPr>
        <w:t>&lt;dd&gt;&lt;a href=#b94&gt;</w:t>
      </w:r>
      <w:r>
        <w:t>sumti</w:t>
      </w:r>
      <w:r>
        <w:noBreakHyphen/>
        <w:t>4</w:t>
      </w:r>
      <w:r>
        <w:rPr>
          <w:rStyle w:val="htmlcodes"/>
        </w:rPr>
        <w:t>&lt;/a&gt;&lt;sub&gt;</w:t>
      </w:r>
      <w:r>
        <w:rPr>
          <w:rStyle w:val="subscript"/>
          <w:position w:val="-4"/>
        </w:rPr>
        <w:t>94</w:t>
      </w:r>
      <w:r>
        <w:rPr>
          <w:rStyle w:val="htmlcodes"/>
        </w:rPr>
        <w:t>&lt;/sub&gt;</w:t>
      </w:r>
    </w:p>
    <w:p w:rsidR="00B72047" w:rsidRDefault="00B72047">
      <w:pPr>
        <w:pStyle w:val="EBNFXREF"/>
      </w:pPr>
      <w:r>
        <w:rPr>
          <w:rStyle w:val="htmlcodes"/>
        </w:rPr>
        <w:t>&lt;dt&gt;</w:t>
      </w:r>
      <w:r>
        <w:t>sumti</w:t>
      </w:r>
      <w:r>
        <w:noBreakHyphen/>
        <w:t>6</w:t>
      </w:r>
      <w:r>
        <w:tab/>
      </w:r>
      <w:r>
        <w:rPr>
          <w:rStyle w:val="htmlcodes"/>
        </w:rPr>
        <w:t>&lt;dd&gt;&lt;a href=#b95&gt;</w:t>
      </w:r>
      <w:r>
        <w:t>sumti</w:t>
      </w:r>
      <w:r>
        <w:noBreakHyphen/>
        <w:t>5</w:t>
      </w:r>
      <w:r>
        <w:rPr>
          <w:rStyle w:val="htmlcodes"/>
        </w:rPr>
        <w:t>&lt;/a&gt;&lt;sub&gt;</w:t>
      </w:r>
      <w:r>
        <w:rPr>
          <w:rStyle w:val="subscript"/>
          <w:position w:val="-4"/>
        </w:rPr>
        <w:t>95</w:t>
      </w:r>
      <w:r>
        <w:rPr>
          <w:rStyle w:val="htmlcodes"/>
        </w:rPr>
        <w:t>&lt;/sub&gt;</w:t>
      </w:r>
      <w:r>
        <w:t xml:space="preserve">, </w:t>
      </w:r>
      <w:r>
        <w:rPr>
          <w:rStyle w:val="htmlcodes"/>
        </w:rPr>
        <w:t>&lt;a href=#b111&gt;</w:t>
      </w:r>
      <w:r>
        <w:t>sumti</w:t>
      </w:r>
      <w:r>
        <w:noBreakHyphen/>
        <w:t>tail</w:t>
      </w:r>
      <w:r>
        <w:rPr>
          <w:rStyle w:val="htmlcodes"/>
        </w:rPr>
        <w:t>&lt;/a&gt;&lt;sub&gt;</w:t>
      </w:r>
      <w:r>
        <w:rPr>
          <w:rStyle w:val="subscript"/>
          <w:position w:val="-4"/>
        </w:rPr>
        <w:t>111</w:t>
      </w:r>
      <w:r>
        <w:rPr>
          <w:rStyle w:val="htmlcodes"/>
        </w:rPr>
        <w:t>&lt;/sub&gt;</w:t>
      </w:r>
    </w:p>
    <w:p w:rsidR="00B72047" w:rsidRDefault="00B72047">
      <w:pPr>
        <w:pStyle w:val="EBNFXREF"/>
      </w:pPr>
      <w:r>
        <w:rPr>
          <w:rStyle w:val="htmlcodes"/>
        </w:rPr>
        <w:t>&lt;dt&gt;</w:t>
      </w:r>
      <w:r>
        <w:t>sumti</w:t>
      </w:r>
      <w:r>
        <w:noBreakHyphen/>
        <w:t>tail</w:t>
      </w:r>
      <w:r>
        <w:tab/>
      </w:r>
      <w:r>
        <w:rPr>
          <w:rStyle w:val="htmlcodes"/>
        </w:rPr>
        <w:t>&lt;dd&gt;&lt;a href=#b97&gt;</w:t>
      </w:r>
      <w:r>
        <w:t>sumti</w:t>
      </w:r>
      <w:r>
        <w:noBreakHyphen/>
        <w:t>6</w:t>
      </w:r>
      <w:r>
        <w:rPr>
          <w:rStyle w:val="htmlcodes"/>
        </w:rPr>
        <w:t>&lt;/a&gt;&lt;sub&gt;</w:t>
      </w:r>
      <w:r>
        <w:rPr>
          <w:rStyle w:val="subscript"/>
          <w:position w:val="-4"/>
        </w:rPr>
        <w:t>97</w:t>
      </w:r>
      <w:r>
        <w:rPr>
          <w:rStyle w:val="htmlcodes"/>
        </w:rPr>
        <w:t>&lt;/sub&gt;</w:t>
      </w:r>
    </w:p>
    <w:p w:rsidR="00B72047" w:rsidRDefault="00B72047">
      <w:pPr>
        <w:pStyle w:val="EBNFXREF"/>
      </w:pPr>
      <w:r>
        <w:rPr>
          <w:rStyle w:val="htmlcodes"/>
        </w:rPr>
        <w:t>&lt;dt&gt;</w:t>
      </w:r>
      <w:r>
        <w:t>sumti</w:t>
      </w:r>
      <w:r>
        <w:noBreakHyphen/>
        <w:t>tail</w:t>
      </w:r>
      <w:r>
        <w:noBreakHyphen/>
        <w:t>1</w:t>
      </w:r>
      <w:r>
        <w:tab/>
      </w:r>
      <w:r>
        <w:rPr>
          <w:rStyle w:val="htmlcodes"/>
        </w:rPr>
        <w:t>&lt;dd&gt;&lt;a href=#b111&gt;</w:t>
      </w:r>
      <w:r>
        <w:t>sumti</w:t>
      </w:r>
      <w:r>
        <w:noBreakHyphen/>
        <w:t>tail</w:t>
      </w:r>
      <w:r>
        <w:rPr>
          <w:rStyle w:val="htmlcodes"/>
        </w:rPr>
        <w:t>&lt;/a&gt;&lt;sub&gt;</w:t>
      </w:r>
      <w:r>
        <w:rPr>
          <w:rStyle w:val="subscript"/>
          <w:position w:val="-4"/>
        </w:rPr>
        <w:t>111</w:t>
      </w:r>
      <w:r>
        <w:rPr>
          <w:rStyle w:val="htmlcodes"/>
        </w:rPr>
        <w:t>&lt;/sub&gt;</w:t>
      </w:r>
    </w:p>
    <w:p w:rsidR="00B72047" w:rsidRDefault="00B72047">
      <w:pPr>
        <w:pStyle w:val="EBNFXREF"/>
      </w:pPr>
      <w:r>
        <w:rPr>
          <w:rStyle w:val="htmlcodes"/>
        </w:rPr>
        <w:t>&lt;dt&gt;</w:t>
      </w:r>
      <w:r>
        <w:t>tag</w:t>
      </w:r>
      <w:r>
        <w:tab/>
      </w:r>
      <w:r>
        <w:rPr>
          <w:rStyle w:val="htmlcodes"/>
        </w:rPr>
        <w:t>&lt;dd&gt;&lt;a href=#b54&gt;</w:t>
      </w:r>
      <w:r>
        <w:t>gek</w:t>
      </w:r>
      <w:r>
        <w:noBreakHyphen/>
        <w:t>sentence</w:t>
      </w:r>
      <w:r>
        <w:rPr>
          <w:rStyle w:val="htmlcodes"/>
        </w:rPr>
        <w:t>&lt;/a&gt;&lt;sub&gt;</w:t>
      </w:r>
      <w:r>
        <w:rPr>
          <w:rStyle w:val="subscript"/>
          <w:position w:val="-4"/>
        </w:rPr>
        <w:t>54</w:t>
      </w:r>
      <w:r>
        <w:rPr>
          <w:rStyle w:val="htmlcodes"/>
        </w:rPr>
        <w:t>&lt;/sub&gt;</w:t>
      </w:r>
      <w:r>
        <w:t xml:space="preserve">, </w:t>
      </w:r>
      <w:r>
        <w:rPr>
          <w:rStyle w:val="htmlcodes"/>
        </w:rPr>
        <w:t>&lt;a href=#b130&gt;</w:t>
      </w:r>
      <w:r>
        <w:t>selbri</w:t>
      </w:r>
      <w:r>
        <w:rPr>
          <w:rStyle w:val="htmlcodes"/>
        </w:rPr>
        <w:t>&lt;/a&gt;&lt;sub&gt;</w:t>
      </w:r>
      <w:r>
        <w:rPr>
          <w:rStyle w:val="subscript"/>
          <w:position w:val="-4"/>
        </w:rPr>
        <w:t>130</w:t>
      </w:r>
      <w:r>
        <w:rPr>
          <w:rStyle w:val="htmlcodes"/>
        </w:rPr>
        <w:t>&lt;/sub&gt;</w:t>
      </w:r>
      <w:r>
        <w:t xml:space="preserve">, </w:t>
      </w:r>
      <w:r>
        <w:rPr>
          <w:rStyle w:val="htmlcodes"/>
        </w:rPr>
        <w:t>&lt;a href=#b14&gt;</w:t>
      </w:r>
      <w:r>
        <w:t>statement</w:t>
      </w:r>
      <w:r>
        <w:noBreakHyphen/>
        <w:t>3</w:t>
      </w:r>
      <w:r>
        <w:rPr>
          <w:rStyle w:val="htmlcodes"/>
        </w:rPr>
        <w:t>&lt;/a&gt;&lt;sub&gt;</w:t>
      </w:r>
      <w:r>
        <w:rPr>
          <w:rStyle w:val="subscript"/>
          <w:position w:val="-4"/>
        </w:rPr>
        <w:t>14</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position w:val="-4"/>
        </w:rPr>
        <w:t>152</w:t>
      </w:r>
      <w:r>
        <w:rPr>
          <w:rStyle w:val="htmlcodes"/>
        </w:rPr>
        <w:t>&lt;/sub&gt;</w:t>
      </w:r>
      <w:r>
        <w:t xml:space="preserve">, </w:t>
      </w:r>
      <w:r>
        <w:rPr>
          <w:rStyle w:val="htmlcodes"/>
        </w:rPr>
        <w:t>&lt;a href=#b83&gt;</w:t>
      </w:r>
      <w:r>
        <w:t>term</w:t>
      </w:r>
      <w:r>
        <w:rPr>
          <w:rStyle w:val="htmlcodes"/>
        </w:rPr>
        <w:t>&lt;/a&gt;&lt;sub&gt;</w:t>
      </w:r>
      <w:r>
        <w:rPr>
          <w:rStyle w:val="subscript"/>
          <w:position w:val="-4"/>
        </w:rPr>
        <w:t>83</w:t>
      </w:r>
      <w:r>
        <w:rPr>
          <w:rStyle w:val="htmlcodes"/>
        </w:rPr>
        <w:t>&lt;/sub&gt;</w:t>
      </w:r>
    </w:p>
    <w:p w:rsidR="00B72047" w:rsidRDefault="00B72047">
      <w:pPr>
        <w:pStyle w:val="EBNFXREF"/>
      </w:pPr>
      <w:r>
        <w:rPr>
          <w:rStyle w:val="htmlcodes"/>
        </w:rPr>
        <w:t>&lt;dt&gt;</w:t>
      </w:r>
      <w:r>
        <w:t>tail</w:t>
      </w:r>
      <w:r>
        <w:noBreakHyphen/>
        <w:t>terms</w:t>
      </w:r>
      <w:r>
        <w:tab/>
      </w:r>
      <w:r>
        <w:rPr>
          <w:rStyle w:val="htmlcodes"/>
        </w:rPr>
        <w:t>&lt;dd&gt;&lt;a href=#b51&gt;</w:t>
      </w:r>
      <w:r>
        <w:t>bridi</w:t>
      </w:r>
      <w:r>
        <w:noBreakHyphen/>
        <w:t>tail</w:t>
      </w:r>
      <w:r>
        <w:noBreakHyphen/>
        <w:t>1</w:t>
      </w:r>
      <w:r>
        <w:rPr>
          <w:rStyle w:val="htmlcodes"/>
        </w:rPr>
        <w:t>&lt;/a&gt;&lt;sub&gt;</w:t>
      </w:r>
      <w:r>
        <w:rPr>
          <w:rStyle w:val="subscript"/>
          <w:position w:val="-4"/>
        </w:rPr>
        <w:t>51</w:t>
      </w:r>
      <w:r>
        <w:rPr>
          <w:rStyle w:val="htmlcodes"/>
        </w:rPr>
        <w:t>&lt;/sub&gt;</w:t>
      </w:r>
      <w:r>
        <w:t xml:space="preserve">, </w:t>
      </w:r>
      <w:r>
        <w:rPr>
          <w:rStyle w:val="htmlcodes"/>
        </w:rPr>
        <w:t>&lt;a href=#b52&gt;</w:t>
      </w:r>
      <w:r>
        <w:t>bridi</w:t>
      </w:r>
      <w:r>
        <w:noBreakHyphen/>
        <w:t>tail</w:t>
      </w:r>
      <w:r>
        <w:noBreakHyphen/>
        <w:t>2</w:t>
      </w:r>
      <w:r>
        <w:rPr>
          <w:rStyle w:val="htmlcodes"/>
        </w:rPr>
        <w:t>&lt;/a&gt;&lt;sub&gt;</w:t>
      </w:r>
      <w:r>
        <w:rPr>
          <w:rStyle w:val="subscript"/>
          <w:position w:val="-4"/>
        </w:rPr>
        <w:t>52</w:t>
      </w:r>
      <w:r>
        <w:rPr>
          <w:rStyle w:val="htmlcodes"/>
        </w:rPr>
        <w:t>&lt;/sub&gt;</w:t>
      </w:r>
      <w:r>
        <w:t xml:space="preserve">, </w:t>
      </w:r>
      <w:r>
        <w:rPr>
          <w:rStyle w:val="htmlcodes"/>
        </w:rPr>
        <w:t>&lt;a href=#b53&gt;</w:t>
      </w:r>
      <w:r>
        <w:t>bridi</w:t>
      </w:r>
      <w:r>
        <w:noBreakHyphen/>
        <w:t>tail</w:t>
      </w:r>
      <w:r>
        <w:noBreakHyphen/>
        <w:t>3</w:t>
      </w:r>
      <w:r>
        <w:rPr>
          <w:rStyle w:val="htmlcodes"/>
        </w:rPr>
        <w:t>&lt;/a&gt;&lt;sub&gt;</w:t>
      </w:r>
      <w:r>
        <w:rPr>
          <w:rStyle w:val="subscript"/>
          <w:position w:val="-4"/>
        </w:rPr>
        <w:t>53</w:t>
      </w:r>
      <w:r>
        <w:rPr>
          <w:rStyle w:val="htmlcodes"/>
        </w:rPr>
        <w:t>&lt;/sub&gt;</w:t>
      </w:r>
      <w:r>
        <w:t xml:space="preserve">, </w:t>
      </w:r>
      <w:r>
        <w:rPr>
          <w:rStyle w:val="htmlcodes"/>
        </w:rPr>
        <w:t>&lt;a href=#b50&gt;</w:t>
      </w:r>
      <w:r>
        <w:t>bridi</w:t>
      </w:r>
      <w:r>
        <w:noBreakHyphen/>
        <w:t>tail</w:t>
      </w:r>
      <w:r>
        <w:rPr>
          <w:rStyle w:val="htmlcodes"/>
        </w:rPr>
        <w:t>&lt;/a&gt;&lt;sub&gt;</w:t>
      </w:r>
      <w:r>
        <w:rPr>
          <w:rStyle w:val="subscript"/>
          <w:position w:val="-4"/>
        </w:rPr>
        <w:t>50</w:t>
      </w:r>
      <w:r>
        <w:rPr>
          <w:rStyle w:val="htmlcodes"/>
        </w:rPr>
        <w:t>&lt;/sub&gt;</w:t>
      </w:r>
      <w:r>
        <w:t xml:space="preserve">, </w:t>
      </w:r>
      <w:r>
        <w:rPr>
          <w:rStyle w:val="htmlcodes"/>
        </w:rPr>
        <w:t>&lt;a href=#b54&gt;</w:t>
      </w:r>
      <w:r>
        <w:t>gek</w:t>
      </w:r>
      <w:r>
        <w:noBreakHyphen/>
        <w:t>sentence</w:t>
      </w:r>
      <w:r>
        <w:rPr>
          <w:rStyle w:val="htmlcodes"/>
        </w:rPr>
        <w:t>&lt;/a&gt;&lt;sub&gt;</w:t>
      </w:r>
      <w:r>
        <w:rPr>
          <w:rStyle w:val="subscript"/>
          <w:position w:val="-4"/>
        </w:rPr>
        <w:t>54</w:t>
      </w:r>
      <w:r>
        <w:rPr>
          <w:rStyle w:val="htmlcodes"/>
        </w:rPr>
        <w:t>&lt;/sub&gt;</w:t>
      </w:r>
    </w:p>
    <w:p w:rsidR="00B72047" w:rsidRDefault="00B72047">
      <w:pPr>
        <w:pStyle w:val="EBNFXREF"/>
      </w:pPr>
      <w:r>
        <w:rPr>
          <w:rStyle w:val="htmlcodes"/>
        </w:rPr>
        <w:t>&lt;dt&gt;</w:t>
      </w:r>
      <w:r>
        <w:t>tanru</w:t>
      </w:r>
      <w:r>
        <w:noBreakHyphen/>
        <w:t>unit</w:t>
      </w:r>
      <w:r>
        <w:tab/>
      </w:r>
      <w:r>
        <w:rPr>
          <w:rStyle w:val="htmlcodes"/>
        </w:rPr>
        <w:t>&lt;dd&gt;&lt;a href=#b136&gt;</w:t>
      </w:r>
      <w:r>
        <w:t>selbri</w:t>
      </w:r>
      <w:r>
        <w:noBreakHyphen/>
        <w:t>6</w:t>
      </w:r>
      <w:r>
        <w:rPr>
          <w:rStyle w:val="htmlcodes"/>
        </w:rPr>
        <w:t>&lt;/a&gt;&lt;sub&gt;</w:t>
      </w:r>
      <w:r>
        <w:rPr>
          <w:rStyle w:val="subscript"/>
          <w:position w:val="-4"/>
        </w:rPr>
        <w:t>136</w:t>
      </w:r>
      <w:r>
        <w:rPr>
          <w:rStyle w:val="htmlcodes"/>
        </w:rPr>
        <w:t>&lt;/sub&gt;</w:t>
      </w:r>
    </w:p>
    <w:p w:rsidR="00B72047" w:rsidRDefault="00B72047">
      <w:pPr>
        <w:pStyle w:val="EBNFXREF"/>
      </w:pPr>
      <w:r>
        <w:rPr>
          <w:rStyle w:val="htmlcodes"/>
        </w:rPr>
        <w:t>&lt;dt&gt;</w:t>
      </w:r>
      <w:r>
        <w:t>tanru</w:t>
      </w:r>
      <w:r>
        <w:noBreakHyphen/>
        <w:t>unit</w:t>
      </w:r>
      <w:r>
        <w:noBreakHyphen/>
        <w:t>1</w:t>
      </w:r>
      <w:r>
        <w:tab/>
      </w:r>
      <w:r>
        <w:rPr>
          <w:rStyle w:val="htmlcodes"/>
        </w:rPr>
        <w:t>&lt;dd&gt;&lt;a href=#b150&gt;</w:t>
      </w:r>
      <w:r>
        <w:t>tanru</w:t>
      </w:r>
      <w:r>
        <w:noBreakHyphen/>
        <w:t>unit</w:t>
      </w:r>
      <w:r>
        <w:rPr>
          <w:rStyle w:val="htmlcodes"/>
        </w:rPr>
        <w:t>&lt;/a&gt;&lt;sub&gt;</w:t>
      </w:r>
      <w:r>
        <w:rPr>
          <w:rStyle w:val="subscript"/>
          <w:position w:val="-4"/>
        </w:rPr>
        <w:t>150</w:t>
      </w:r>
      <w:r>
        <w:rPr>
          <w:rStyle w:val="htmlcodes"/>
        </w:rPr>
        <w:t>&lt;/sub&gt;</w:t>
      </w:r>
    </w:p>
    <w:p w:rsidR="00B72047" w:rsidRDefault="00B72047">
      <w:pPr>
        <w:pStyle w:val="EBNFXREF"/>
      </w:pPr>
      <w:r>
        <w:rPr>
          <w:rStyle w:val="htmlcodes"/>
        </w:rPr>
        <w:t>&lt;dt&gt;</w:t>
      </w:r>
      <w:r>
        <w:t>tanru</w:t>
      </w:r>
      <w:r>
        <w:noBreakHyphen/>
        <w:t>unit</w:t>
      </w:r>
      <w:r>
        <w:noBreakHyphen/>
        <w:t>2</w:t>
      </w:r>
      <w:r>
        <w:tab/>
      </w:r>
      <w:r>
        <w:rPr>
          <w:rStyle w:val="htmlcodes"/>
        </w:rPr>
        <w:t>&lt;dd&gt;&lt;a href=#b151&gt;</w:t>
      </w:r>
      <w:r>
        <w:t>tanru</w:t>
      </w:r>
      <w:r>
        <w:noBreakHyphen/>
        <w:t>unit</w:t>
      </w:r>
      <w:r>
        <w:noBreakHyphen/>
        <w:t>1</w:t>
      </w:r>
      <w:r>
        <w:rPr>
          <w:rStyle w:val="htmlcodes"/>
        </w:rPr>
        <w:t>&lt;/a&gt;&lt;sub&gt;</w:t>
      </w:r>
      <w:r>
        <w:rPr>
          <w:rStyle w:val="subscript"/>
          <w:position w:val="-4"/>
        </w:rPr>
        <w:t>151</w:t>
      </w:r>
      <w:r>
        <w:rPr>
          <w:rStyle w:val="htmlcodes"/>
        </w:rPr>
        <w:t>&lt;/sub&gt;</w:t>
      </w:r>
      <w:r>
        <w:t xml:space="preserve">, </w:t>
      </w:r>
      <w:r>
        <w:rPr>
          <w:rStyle w:val="htmlcodes"/>
        </w:rPr>
        <w:t>&lt;a href=#b152&gt;</w:t>
      </w:r>
      <w:r>
        <w:t>tanru</w:t>
      </w:r>
      <w:r>
        <w:noBreakHyphen/>
        <w:t>unit</w:t>
      </w:r>
      <w:r>
        <w:noBreakHyphen/>
        <w:t>2</w:t>
      </w:r>
      <w:r>
        <w:rPr>
          <w:rStyle w:val="htmlcodes"/>
        </w:rPr>
        <w:t>&lt;/a&gt;&lt;sub&gt;</w:t>
      </w:r>
      <w:r>
        <w:rPr>
          <w:rStyle w:val="subscript"/>
          <w:position w:val="-4"/>
        </w:rPr>
        <w:t>152</w:t>
      </w:r>
      <w:r>
        <w:rPr>
          <w:rStyle w:val="htmlcodes"/>
        </w:rPr>
        <w:t>&lt;/sub&gt;</w:t>
      </w:r>
    </w:p>
    <w:p w:rsidR="00B72047" w:rsidRDefault="00B72047">
      <w:pPr>
        <w:pStyle w:val="EBNFXREF"/>
      </w:pPr>
      <w:r>
        <w:rPr>
          <w:rStyle w:val="htmlcodes"/>
        </w:rPr>
        <w:t>&lt;dt&gt;</w:t>
      </w:r>
      <w:r>
        <w:t>tense</w:t>
      </w:r>
      <w:r>
        <w:noBreakHyphen/>
        <w:t>modal</w:t>
      </w:r>
      <w:r>
        <w:tab/>
      </w:r>
      <w:r>
        <w:rPr>
          <w:rStyle w:val="htmlcodes"/>
        </w:rPr>
        <w:t>&lt;dd&gt;&lt;a href=#b491&gt;</w:t>
      </w:r>
      <w:r>
        <w:t>tag</w:t>
      </w:r>
      <w:r>
        <w:rPr>
          <w:rStyle w:val="htmlcodes"/>
        </w:rPr>
        <w:t>&lt;/a&gt;&lt;sub&gt;</w:t>
      </w:r>
      <w:r>
        <w:rPr>
          <w:rStyle w:val="subscript"/>
          <w:position w:val="-4"/>
        </w:rPr>
        <w:t>491</w:t>
      </w:r>
      <w:r>
        <w:rPr>
          <w:rStyle w:val="htmlcodes"/>
        </w:rPr>
        <w:t>&lt;/sub&gt;</w:t>
      </w:r>
    </w:p>
    <w:p w:rsidR="00B72047" w:rsidRDefault="00B72047">
      <w:pPr>
        <w:pStyle w:val="EBNFXREF"/>
      </w:pPr>
      <w:r>
        <w:rPr>
          <w:rStyle w:val="htmlcodes"/>
        </w:rPr>
        <w:t>&lt;dt&gt;</w:t>
      </w:r>
      <w:r>
        <w:t>term</w:t>
      </w:r>
      <w:r>
        <w:tab/>
      </w:r>
      <w:r>
        <w:rPr>
          <w:rStyle w:val="htmlcodes"/>
        </w:rPr>
        <w:t>&lt;dd&gt;&lt;a href=#b160&gt;</w:t>
      </w:r>
      <w:r>
        <w:t>linkargs</w:t>
      </w:r>
      <w:r>
        <w:rPr>
          <w:rStyle w:val="htmlcodes"/>
        </w:rPr>
        <w:t>&lt;/a&gt;&lt;sub&gt;</w:t>
      </w:r>
      <w:r>
        <w:rPr>
          <w:rStyle w:val="subscript"/>
          <w:position w:val="-4"/>
        </w:rPr>
        <w:t>160</w:t>
      </w:r>
      <w:r>
        <w:rPr>
          <w:rStyle w:val="htmlcodes"/>
        </w:rPr>
        <w:t>&lt;/sub&gt;</w:t>
      </w:r>
      <w:r>
        <w:t xml:space="preserve">, </w:t>
      </w:r>
      <w:r>
        <w:rPr>
          <w:rStyle w:val="htmlcodes"/>
        </w:rPr>
        <w:t>&lt;a href=#b161&gt;</w:t>
      </w:r>
      <w:r>
        <w:t>links</w:t>
      </w:r>
      <w:r>
        <w:rPr>
          <w:rStyle w:val="htmlcodes"/>
        </w:rPr>
        <w:t>&lt;/a&gt;&lt;sub&gt;</w:t>
      </w:r>
      <w:r>
        <w:rPr>
          <w:rStyle w:val="subscript"/>
          <w:position w:val="-4"/>
        </w:rPr>
        <w:t>161</w:t>
      </w:r>
      <w:r>
        <w:rPr>
          <w:rStyle w:val="htmlcodes"/>
        </w:rPr>
        <w:t>&lt;/sub&gt;</w:t>
      </w:r>
      <w:r>
        <w:t xml:space="preserve">, </w:t>
      </w:r>
      <w:r>
        <w:rPr>
          <w:rStyle w:val="htmlcodes"/>
        </w:rPr>
        <w:t>&lt;a href=#b122&gt;</w:t>
      </w:r>
      <w:r>
        <w:t>relative</w:t>
      </w:r>
      <w:r>
        <w:noBreakHyphen/>
        <w:t>clause</w:t>
      </w:r>
      <w:r>
        <w:rPr>
          <w:rStyle w:val="htmlcodes"/>
        </w:rPr>
        <w:t>&lt;/a&gt;&lt;sub&gt;</w:t>
      </w:r>
      <w:r>
        <w:rPr>
          <w:rStyle w:val="subscript"/>
          <w:position w:val="-4"/>
        </w:rPr>
        <w:t>122</w:t>
      </w:r>
      <w:r>
        <w:rPr>
          <w:rStyle w:val="htmlcodes"/>
        </w:rPr>
        <w:t>&lt;/sub&gt;</w:t>
      </w:r>
      <w:r>
        <w:t xml:space="preserve">, </w:t>
      </w:r>
      <w:r>
        <w:rPr>
          <w:rStyle w:val="htmlcodes"/>
        </w:rPr>
        <w:t>&lt;a href=#b82&gt;</w:t>
      </w:r>
      <w:r>
        <w:t>terms</w:t>
      </w:r>
      <w:r>
        <w:noBreakHyphen/>
        <w:t>2</w:t>
      </w:r>
      <w:r>
        <w:rPr>
          <w:rStyle w:val="htmlcodes"/>
        </w:rPr>
        <w:t>&lt;/a&gt;&lt;sub&gt;</w:t>
      </w:r>
      <w:r>
        <w:rPr>
          <w:rStyle w:val="subscript"/>
          <w:position w:val="-4"/>
        </w:rPr>
        <w:t>82</w:t>
      </w:r>
      <w:r>
        <w:rPr>
          <w:rStyle w:val="htmlcodes"/>
        </w:rPr>
        <w:t>&lt;/sub&gt;</w:t>
      </w:r>
    </w:p>
    <w:p w:rsidR="00B72047" w:rsidRDefault="00B72047">
      <w:pPr>
        <w:pStyle w:val="EBNFXREF"/>
      </w:pPr>
      <w:r>
        <w:rPr>
          <w:rStyle w:val="htmlcodes"/>
        </w:rPr>
        <w:t>&lt;dt&gt;</w:t>
      </w:r>
      <w:r>
        <w:t>terms</w:t>
      </w:r>
      <w:r>
        <w:tab/>
      </w:r>
      <w:r>
        <w:rPr>
          <w:rStyle w:val="htmlcodes"/>
        </w:rPr>
        <w:t>&lt;dd&gt;&lt;a href=#b20&gt;</w:t>
      </w:r>
      <w:r>
        <w:t>fragment</w:t>
      </w:r>
      <w:r>
        <w:rPr>
          <w:rStyle w:val="htmlcodes"/>
        </w:rPr>
        <w:t>&lt;/a&gt;&lt;sub&gt;</w:t>
      </w:r>
      <w:r>
        <w:rPr>
          <w:rStyle w:val="subscript"/>
          <w:position w:val="-4"/>
        </w:rPr>
        <w:t>20</w:t>
      </w:r>
      <w:r>
        <w:rPr>
          <w:rStyle w:val="htmlcodes"/>
        </w:rPr>
        <w:t>&lt;/sub&gt;</w:t>
      </w:r>
      <w:r>
        <w:t xml:space="preserve">, </w:t>
      </w:r>
      <w:r>
        <w:rPr>
          <w:rStyle w:val="htmlcodes"/>
        </w:rPr>
        <w:t>&lt;a href=#b32&gt;</w:t>
      </w:r>
      <w:r>
        <w:t>free</w:t>
      </w:r>
      <w:r>
        <w:rPr>
          <w:rStyle w:val="htmlcodes"/>
        </w:rPr>
        <w:t>&lt;/a&gt;&lt;sub&gt;</w:t>
      </w:r>
      <w:r>
        <w:rPr>
          <w:rStyle w:val="subscript"/>
          <w:position w:val="-4"/>
        </w:rPr>
        <w:t>32</w:t>
      </w:r>
      <w:r>
        <w:rPr>
          <w:rStyle w:val="htmlcodes"/>
        </w:rPr>
        <w:t>&lt;/sub&gt;</w:t>
      </w:r>
      <w:r>
        <w:t xml:space="preserve">, </w:t>
      </w:r>
      <w:r>
        <w:rPr>
          <w:rStyle w:val="htmlcodes"/>
        </w:rPr>
        <w:t>&lt;a href=#b30&gt;</w:t>
      </w:r>
      <w:r>
        <w:t>prenex</w:t>
      </w:r>
      <w:r>
        <w:rPr>
          <w:rStyle w:val="htmlcodes"/>
        </w:rPr>
        <w:t>&lt;/a&gt;&lt;sub&gt;</w:t>
      </w:r>
      <w:r>
        <w:rPr>
          <w:rStyle w:val="subscript"/>
          <w:position w:val="-4"/>
        </w:rPr>
        <w:t>30</w:t>
      </w:r>
      <w:r>
        <w:rPr>
          <w:rStyle w:val="htmlcodes"/>
        </w:rPr>
        <w:t>&lt;/sub&gt;</w:t>
      </w:r>
      <w:r>
        <w:t xml:space="preserve">, </w:t>
      </w:r>
      <w:r>
        <w:rPr>
          <w:rStyle w:val="htmlcodes"/>
        </w:rPr>
        <w:t>&lt;a href=#b40&gt;</w:t>
      </w:r>
      <w:r>
        <w:t>sentence</w:t>
      </w:r>
      <w:r>
        <w:rPr>
          <w:rStyle w:val="htmlcodes"/>
        </w:rPr>
        <w:t>&lt;/a&gt;&lt;sub&gt;</w:t>
      </w:r>
      <w:r>
        <w:rPr>
          <w:rStyle w:val="subscript"/>
          <w:position w:val="-4"/>
        </w:rPr>
        <w:t>40</w:t>
      </w:r>
      <w:r>
        <w:rPr>
          <w:rStyle w:val="htmlcodes"/>
        </w:rPr>
        <w:t>&lt;/sub&gt;</w:t>
      </w:r>
      <w:r>
        <w:t xml:space="preserve">, </w:t>
      </w:r>
      <w:r>
        <w:rPr>
          <w:rStyle w:val="htmlcodes"/>
        </w:rPr>
        <w:t>&lt;a href=#b71&gt;</w:t>
      </w:r>
      <w:r>
        <w:t>tail</w:t>
      </w:r>
      <w:r>
        <w:noBreakHyphen/>
        <w:t>terms</w:t>
      </w:r>
      <w:r>
        <w:rPr>
          <w:rStyle w:val="htmlcodes"/>
        </w:rPr>
        <w:t>&lt;/a&gt;&lt;sub&gt;</w:t>
      </w:r>
      <w:r>
        <w:rPr>
          <w:rStyle w:val="subscript"/>
          <w:position w:val="-4"/>
        </w:rPr>
        <w:t>71</w:t>
      </w:r>
      <w:r>
        <w:rPr>
          <w:rStyle w:val="htmlcodes"/>
        </w:rPr>
        <w:t>&lt;/sub&gt;</w:t>
      </w:r>
      <w:r>
        <w:t xml:space="preserve">, </w:t>
      </w:r>
      <w:r>
        <w:rPr>
          <w:rStyle w:val="htmlcodes"/>
        </w:rPr>
        <w:t>&lt;a href=#b85&gt;</w:t>
      </w:r>
      <w:r>
        <w:t>termset</w:t>
      </w:r>
      <w:r>
        <w:rPr>
          <w:rStyle w:val="htmlcodes"/>
        </w:rPr>
        <w:t>&lt;/a&gt;&lt;sub&gt;</w:t>
      </w:r>
      <w:r>
        <w:rPr>
          <w:rStyle w:val="subscript"/>
          <w:position w:val="-4"/>
        </w:rPr>
        <w:t>85</w:t>
      </w:r>
      <w:r>
        <w:rPr>
          <w:rStyle w:val="htmlcodes"/>
        </w:rPr>
        <w:t>&lt;/sub&gt;</w:t>
      </w:r>
    </w:p>
    <w:p w:rsidR="00B72047" w:rsidRDefault="00B72047">
      <w:pPr>
        <w:pStyle w:val="EBNFXREF"/>
      </w:pPr>
      <w:r>
        <w:rPr>
          <w:rStyle w:val="htmlcodes"/>
        </w:rPr>
        <w:t>&lt;dt&gt;</w:t>
      </w:r>
      <w:r>
        <w:t>terms</w:t>
      </w:r>
      <w:r>
        <w:noBreakHyphen/>
        <w:t>1</w:t>
      </w:r>
      <w:r>
        <w:tab/>
      </w:r>
      <w:r>
        <w:rPr>
          <w:rStyle w:val="htmlcodes"/>
        </w:rPr>
        <w:t>&lt;dd&gt;&lt;a href=#b80&gt;</w:t>
      </w:r>
      <w:r>
        <w:t>terms</w:t>
      </w:r>
      <w:r>
        <w:rPr>
          <w:rStyle w:val="htmlcodes"/>
        </w:rPr>
        <w:t>&lt;/a&gt;&lt;sub&gt;</w:t>
      </w:r>
      <w:r>
        <w:rPr>
          <w:rStyle w:val="subscript"/>
          <w:position w:val="-4"/>
        </w:rPr>
        <w:t>80</w:t>
      </w:r>
      <w:r>
        <w:rPr>
          <w:rStyle w:val="htmlcodes"/>
        </w:rPr>
        <w:t>&lt;/sub&gt;</w:t>
      </w:r>
    </w:p>
    <w:p w:rsidR="00B72047" w:rsidRDefault="00B72047">
      <w:pPr>
        <w:pStyle w:val="EBNFXREF"/>
      </w:pPr>
      <w:r>
        <w:rPr>
          <w:rStyle w:val="htmlcodes"/>
        </w:rPr>
        <w:t>&lt;dt&gt;</w:t>
      </w:r>
      <w:r>
        <w:t>terms</w:t>
      </w:r>
      <w:r>
        <w:noBreakHyphen/>
        <w:t>2</w:t>
      </w:r>
      <w:r>
        <w:tab/>
      </w:r>
      <w:r>
        <w:rPr>
          <w:rStyle w:val="htmlcodes"/>
        </w:rPr>
        <w:t>&lt;dd&gt;&lt;a href=#b81&gt;</w:t>
      </w:r>
      <w:r>
        <w:t>terms</w:t>
      </w:r>
      <w:r>
        <w:noBreakHyphen/>
        <w:t>1</w:t>
      </w:r>
      <w:r>
        <w:rPr>
          <w:rStyle w:val="htmlcodes"/>
        </w:rPr>
        <w:t>&lt;/a&gt;&lt;sub&gt;</w:t>
      </w:r>
      <w:r>
        <w:rPr>
          <w:rStyle w:val="subscript"/>
          <w:position w:val="-4"/>
        </w:rPr>
        <w:t>81</w:t>
      </w:r>
      <w:r>
        <w:rPr>
          <w:rStyle w:val="htmlcodes"/>
        </w:rPr>
        <w:t>&lt;/sub&gt;</w:t>
      </w:r>
    </w:p>
    <w:p w:rsidR="00B72047" w:rsidRDefault="00B72047">
      <w:pPr>
        <w:pStyle w:val="EBNFXREF"/>
      </w:pPr>
      <w:r>
        <w:rPr>
          <w:rStyle w:val="htmlcodes"/>
        </w:rPr>
        <w:t>&lt;dt&gt;</w:t>
      </w:r>
      <w:r>
        <w:t>termset</w:t>
      </w:r>
      <w:r>
        <w:tab/>
      </w:r>
      <w:r>
        <w:rPr>
          <w:rStyle w:val="htmlcodes"/>
        </w:rPr>
        <w:t>&lt;dd&gt;&lt;a href=#b83&gt;</w:t>
      </w:r>
      <w:r>
        <w:t>term</w:t>
      </w:r>
      <w:r>
        <w:rPr>
          <w:rStyle w:val="htmlcodes"/>
        </w:rPr>
        <w:t>&lt;/a&gt;&lt;sub&gt;</w:t>
      </w:r>
      <w:r>
        <w:rPr>
          <w:rStyle w:val="subscript"/>
          <w:position w:val="-4"/>
        </w:rPr>
        <w:t>83</w:t>
      </w:r>
      <w:r>
        <w:rPr>
          <w:rStyle w:val="htmlcodes"/>
        </w:rPr>
        <w:t>&lt;/sub&gt;</w:t>
      </w:r>
    </w:p>
    <w:p w:rsidR="00B72047" w:rsidRDefault="00B72047">
      <w:pPr>
        <w:pStyle w:val="EBNFXREF"/>
      </w:pPr>
      <w:r>
        <w:rPr>
          <w:rStyle w:val="htmlcodes"/>
        </w:rPr>
        <w:t>&lt;dt&gt;</w:t>
      </w:r>
      <w:r>
        <w:t>text</w:t>
      </w:r>
      <w:r>
        <w:tab/>
      </w:r>
      <w:r>
        <w:rPr>
          <w:rStyle w:val="htmlcodes"/>
        </w:rPr>
        <w:t>&lt;dd&gt;&lt;a href=#b32&gt;</w:t>
      </w:r>
      <w:r>
        <w:t>free</w:t>
      </w:r>
      <w:r>
        <w:rPr>
          <w:rStyle w:val="htmlcodes"/>
        </w:rPr>
        <w:t>&lt;/a&gt;&lt;sub&gt;</w:t>
      </w:r>
      <w:r>
        <w:rPr>
          <w:rStyle w:val="subscript"/>
          <w:position w:val="-4"/>
        </w:rPr>
        <w:t>32</w:t>
      </w:r>
      <w:r>
        <w:rPr>
          <w:rStyle w:val="htmlcodes"/>
        </w:rPr>
        <w:t>&lt;/sub&gt;</w:t>
      </w:r>
      <w:r>
        <w:t xml:space="preserve">, </w:t>
      </w:r>
      <w:r>
        <w:rPr>
          <w:rStyle w:val="htmlcodes"/>
        </w:rPr>
        <w:t>&lt;a href=#b1101&gt;</w:t>
      </w:r>
      <w:r>
        <w:t>null</w:t>
      </w:r>
      <w:r>
        <w:rPr>
          <w:rStyle w:val="htmlcodes"/>
        </w:rPr>
        <w:t>&lt;/a&gt;&lt;sub&gt;</w:t>
      </w:r>
      <w:r>
        <w:rPr>
          <w:rStyle w:val="subscript"/>
          <w:position w:val="-4"/>
        </w:rPr>
        <w:t>1101</w:t>
      </w:r>
      <w:r>
        <w:rPr>
          <w:rStyle w:val="htmlcodes"/>
        </w:rPr>
        <w:t>&lt;/sub&gt;</w:t>
      </w:r>
      <w:r>
        <w:t xml:space="preserve">, </w:t>
      </w:r>
      <w:r>
        <w:rPr>
          <w:rStyle w:val="htmlcodes"/>
        </w:rPr>
        <w:t>&lt;a href=#b97&gt;</w:t>
      </w:r>
      <w:r>
        <w:t>sumti</w:t>
      </w:r>
      <w:r>
        <w:noBreakHyphen/>
        <w:t>6</w:t>
      </w:r>
      <w:r>
        <w:rPr>
          <w:rStyle w:val="htmlcodes"/>
        </w:rPr>
        <w:t>&lt;/a&gt;&lt;sub&gt;</w:t>
      </w:r>
      <w:r>
        <w:rPr>
          <w:rStyle w:val="subscript"/>
          <w:position w:val="-4"/>
        </w:rPr>
        <w:t>97</w:t>
      </w:r>
      <w:r>
        <w:rPr>
          <w:rStyle w:val="htmlcodes"/>
        </w:rPr>
        <w:t>&lt;/sub&gt;</w:t>
      </w:r>
    </w:p>
    <w:p w:rsidR="00B72047" w:rsidRDefault="00B72047">
      <w:pPr>
        <w:pStyle w:val="EBNFXREF"/>
      </w:pPr>
      <w:r>
        <w:rPr>
          <w:rStyle w:val="htmlcodes"/>
        </w:rPr>
        <w:t>&lt;dt&gt;</w:t>
      </w:r>
      <w:r>
        <w:t>text</w:t>
      </w:r>
      <w:r>
        <w:noBreakHyphen/>
        <w:t>1</w:t>
      </w:r>
      <w:r>
        <w:tab/>
      </w:r>
      <w:r>
        <w:rPr>
          <w:rStyle w:val="htmlcodes"/>
        </w:rPr>
        <w:t>&lt;dd&gt;&lt;a href=#b14&gt;</w:t>
      </w:r>
      <w:r>
        <w:t>statement</w:t>
      </w:r>
      <w:r>
        <w:noBreakHyphen/>
        <w:t>3</w:t>
      </w:r>
      <w:r>
        <w:rPr>
          <w:rStyle w:val="htmlcodes"/>
        </w:rPr>
        <w:t>&lt;/a&gt;&lt;sub&gt;</w:t>
      </w:r>
      <w:r>
        <w:rPr>
          <w:rStyle w:val="subscript"/>
          <w:position w:val="-4"/>
        </w:rPr>
        <w:t>14</w:t>
      </w:r>
      <w:r>
        <w:rPr>
          <w:rStyle w:val="htmlcodes"/>
        </w:rPr>
        <w:t>&lt;/sub&gt;</w:t>
      </w:r>
      <w:r>
        <w:t xml:space="preserve">, </w:t>
      </w:r>
      <w:r>
        <w:rPr>
          <w:rStyle w:val="htmlcodes"/>
        </w:rPr>
        <w:t>&lt;a href=#b0&gt;</w:t>
      </w:r>
      <w:r>
        <w:t>text</w:t>
      </w:r>
      <w:r>
        <w:rPr>
          <w:rStyle w:val="htmlcodes"/>
        </w:rPr>
        <w:t>&lt;/a&gt;&lt;sub&gt;</w:t>
      </w:r>
      <w:r>
        <w:rPr>
          <w:rStyle w:val="subscript"/>
          <w:position w:val="-4"/>
        </w:rPr>
        <w:t>0</w:t>
      </w:r>
      <w:r>
        <w:rPr>
          <w:rStyle w:val="htmlcodes"/>
        </w:rPr>
        <w:t>&lt;/sub&gt;</w:t>
      </w:r>
    </w:p>
    <w:p w:rsidR="00B72047" w:rsidRDefault="00B72047">
      <w:pPr>
        <w:pStyle w:val="EBNFXREF"/>
      </w:pPr>
      <w:r>
        <w:rPr>
          <w:rStyle w:val="htmlcodes"/>
        </w:rPr>
        <w:t>&lt;dt&gt;</w:t>
      </w:r>
      <w:r>
        <w:t>time</w:t>
      </w:r>
      <w:r>
        <w:tab/>
      </w:r>
      <w:r>
        <w:rPr>
          <w:rStyle w:val="htmlcodes"/>
        </w:rPr>
        <w:t>&lt;dd&gt;&lt;a href=#b972&gt;</w:t>
      </w:r>
      <w:r>
        <w:t>simple</w:t>
      </w:r>
      <w:r>
        <w:noBreakHyphen/>
        <w:t>tense</w:t>
      </w:r>
      <w:r>
        <w:noBreakHyphen/>
        <w:t>modal</w:t>
      </w:r>
      <w:r>
        <w:rPr>
          <w:rStyle w:val="htmlcodes"/>
        </w:rPr>
        <w:t>&lt;/a&gt;&lt;sub&gt;</w:t>
      </w:r>
      <w:r>
        <w:rPr>
          <w:rStyle w:val="subscript"/>
          <w:position w:val="-4"/>
        </w:rPr>
        <w:t>972</w:t>
      </w:r>
      <w:r>
        <w:rPr>
          <w:rStyle w:val="htmlcodes"/>
        </w:rPr>
        <w:t>&lt;/sub&gt;</w:t>
      </w:r>
    </w:p>
    <w:p w:rsidR="00B72047" w:rsidRDefault="00B72047">
      <w:pPr>
        <w:pStyle w:val="EBNFXREF"/>
      </w:pPr>
      <w:r>
        <w:rPr>
          <w:rStyle w:val="htmlcodes"/>
        </w:rPr>
        <w:t>&lt;dt&gt;</w:t>
      </w:r>
      <w:r>
        <w:t>time</w:t>
      </w:r>
      <w:r>
        <w:noBreakHyphen/>
        <w:t>offset</w:t>
      </w:r>
      <w:r>
        <w:tab/>
      </w:r>
      <w:r>
        <w:rPr>
          <w:rStyle w:val="htmlcodes"/>
        </w:rPr>
        <w:t>&lt;dd&gt;&lt;a href=#b1030&gt;</w:t>
      </w:r>
      <w:r>
        <w:t>time</w:t>
      </w:r>
      <w:r>
        <w:rPr>
          <w:rStyle w:val="htmlcodes"/>
        </w:rPr>
        <w:t>&lt;/a&gt;&lt;sub&gt;</w:t>
      </w:r>
      <w:r>
        <w:rPr>
          <w:rStyle w:val="subscript"/>
          <w:position w:val="-4"/>
        </w:rPr>
        <w:t>1030</w:t>
      </w:r>
      <w:r>
        <w:rPr>
          <w:rStyle w:val="htmlcodes"/>
        </w:rPr>
        <w:t>&lt;/sub&gt;</w:t>
      </w:r>
    </w:p>
    <w:p w:rsidR="00B72047" w:rsidRDefault="00B72047">
      <w:pPr>
        <w:pStyle w:val="EBNFXREF"/>
      </w:pPr>
      <w:r>
        <w:rPr>
          <w:rStyle w:val="htmlcodes"/>
        </w:rPr>
        <w:t>&lt;dt&gt;</w:t>
      </w:r>
      <w:r>
        <w:t>utterance</w:t>
      </w:r>
      <w:r>
        <w:tab/>
      </w:r>
      <w:r>
        <w:rPr>
          <w:rStyle w:val="htmlcodes"/>
        </w:rPr>
        <w:t>&lt;dd&gt;&lt;a href=#b1101&gt;</w:t>
      </w:r>
      <w:r>
        <w:t>null</w:t>
      </w:r>
      <w:r>
        <w:rPr>
          <w:rStyle w:val="htmlcodes"/>
        </w:rPr>
        <w:t>&lt;/a&gt;&lt;sub&gt;</w:t>
      </w:r>
      <w:r>
        <w:rPr>
          <w:rStyle w:val="subscript"/>
          <w:position w:val="-4"/>
        </w:rPr>
        <w:t>1101</w:t>
      </w:r>
      <w:r>
        <w:rPr>
          <w:rStyle w:val="htmlcodes"/>
        </w:rPr>
        <w:t>&lt;/sub&gt;</w:t>
      </w:r>
    </w:p>
    <w:p w:rsidR="00B72047" w:rsidRDefault="00B72047">
      <w:pPr>
        <w:pStyle w:val="EBNFXREF"/>
        <w:rPr>
          <w:rStyle w:val="htmlcodes"/>
          <w:vanish w:val="0"/>
        </w:rPr>
      </w:pPr>
      <w:r>
        <w:rPr>
          <w:rStyle w:val="htmlcodes"/>
        </w:rPr>
        <w:t>&lt;dt&gt;</w:t>
      </w:r>
      <w:r>
        <w:t>vocative</w:t>
      </w:r>
      <w:r>
        <w:tab/>
      </w:r>
      <w:r>
        <w:rPr>
          <w:rStyle w:val="htmlcodes"/>
        </w:rPr>
        <w:t>&lt;dd&gt;&lt;a href=#b32&gt;</w:t>
      </w:r>
      <w:r>
        <w:t>free</w:t>
      </w:r>
      <w:r>
        <w:rPr>
          <w:rStyle w:val="htmlcodes"/>
        </w:rPr>
        <w:t>&lt;/a&gt;&lt;sub&gt;</w:t>
      </w:r>
      <w:r>
        <w:rPr>
          <w:rStyle w:val="subscript"/>
          <w:position w:val="-4"/>
        </w:rPr>
        <w:t>32</w:t>
      </w:r>
      <w:r>
        <w:rPr>
          <w:rStyle w:val="htmlcodes"/>
        </w:rPr>
        <w:t>&lt;/sub&gt;</w:t>
      </w:r>
    </w:p>
    <w:p w:rsidR="00B72047" w:rsidRDefault="00B72047">
      <w:pPr>
        <w:pStyle w:val="EBNFXREF"/>
        <w:sectPr w:rsidR="00B72047">
          <w:headerReference w:type="even" r:id="rId48"/>
          <w:headerReference w:type="default" r:id="rId49"/>
          <w:footerReference w:type="even" r:id="rId50"/>
          <w:type w:val="oddPage"/>
          <w:pgSz w:w="9504" w:h="13824" w:code="1"/>
          <w:pgMar w:top="1296" w:right="1152" w:bottom="720" w:left="1008" w:header="480" w:footer="720" w:gutter="0"/>
          <w:paperSrc w:first="1706" w:other="1706"/>
          <w:cols w:space="720"/>
        </w:sectPr>
      </w:pPr>
    </w:p>
    <w:p w:rsidR="00B72047" w:rsidRDefault="00B72047">
      <w:pPr>
        <w:pStyle w:val="HeadingBase"/>
        <w:spacing w:before="0"/>
      </w:pPr>
      <w:bookmarkStart w:id="552" w:name="_Toc398970786"/>
      <w:r>
        <w:rPr>
          <w:rStyle w:val="Heading3Text"/>
        </w:rPr>
        <w:t>Index</w:t>
      </w:r>
      <w:bookmarkEnd w:id="552"/>
    </w:p>
    <w:p w:rsidR="00B72047" w:rsidRDefault="00B72047">
      <w:pPr>
        <w:pStyle w:val="EBNFXREF"/>
        <w:sectPr w:rsidR="00B72047">
          <w:headerReference w:type="first" r:id="rId51"/>
          <w:footerReference w:type="first" r:id="rId52"/>
          <w:type w:val="oddPage"/>
          <w:pgSz w:w="9504" w:h="13824" w:code="1"/>
          <w:pgMar w:top="1296" w:right="1152" w:bottom="720" w:left="1008" w:header="480" w:footer="720" w:gutter="0"/>
          <w:paperSrc w:first="1706" w:other="1706"/>
          <w:cols w:space="720"/>
          <w:titlePg/>
        </w:sectPr>
      </w:pPr>
    </w:p>
    <w:p w:rsidR="00B72047" w:rsidRDefault="00B72047">
      <w:pPr>
        <w:pStyle w:val="examplescaled"/>
        <w:rPr>
          <w:noProof/>
          <w:sz w:val="18"/>
          <w:szCs w:val="18"/>
        </w:rPr>
        <w:sectPr w:rsidR="00B72047">
          <w:headerReference w:type="even" r:id="rId53"/>
          <w:headerReference w:type="default" r:id="rId54"/>
          <w:type w:val="continuous"/>
          <w:pgSz w:w="9504" w:h="13824" w:code="1"/>
          <w:pgMar w:top="1296" w:right="1152" w:bottom="720" w:left="1008" w:header="480" w:footer="720" w:gutter="0"/>
          <w:paperSrc w:first="1706" w:other="1706"/>
          <w:cols w:space="720"/>
          <w:titlePg/>
        </w:sectPr>
      </w:pPr>
      <w:r>
        <w:rPr>
          <w:sz w:val="18"/>
          <w:szCs w:val="18"/>
        </w:rPr>
        <w:fldChar w:fldCharType="begin"/>
      </w:r>
      <w:r>
        <w:rPr>
          <w:sz w:val="18"/>
          <w:szCs w:val="18"/>
        </w:rPr>
        <w:instrText xml:space="preserve"> INDEX \e ", " \c "2"  \r </w:instrText>
      </w:r>
      <w:r>
        <w:rPr>
          <w:sz w:val="18"/>
          <w:szCs w:val="18"/>
        </w:rPr>
        <w:fldChar w:fldCharType="separate"/>
      </w:r>
    </w:p>
    <w:p w:rsidR="00B72047" w:rsidRDefault="00B72047">
      <w:pPr>
        <w:pStyle w:val="Index1"/>
        <w:rPr>
          <w:noProof/>
        </w:rPr>
      </w:pPr>
      <w:r>
        <w:rPr>
          <w:noProof/>
        </w:rPr>
        <w:t>' symbol: and consonant cluster determination in lujvo, 56; definition (see also apostrophe), 31</w:t>
      </w:r>
    </w:p>
    <w:p w:rsidR="00B72047" w:rsidRDefault="00B72047">
      <w:pPr>
        <w:pStyle w:val="Index1"/>
        <w:rPr>
          <w:noProof/>
        </w:rPr>
      </w:pPr>
      <w:r>
        <w:rPr>
          <w:noProof/>
        </w:rPr>
        <w:t>&amp;: word for, 416</w:t>
      </w:r>
    </w:p>
    <w:p w:rsidR="00B72047" w:rsidRDefault="00B72047">
      <w:pPr>
        <w:pStyle w:val="Index1"/>
        <w:rPr>
          <w:noProof/>
        </w:rPr>
      </w:pPr>
      <w:r>
        <w:rPr>
          <w:noProof/>
        </w:rPr>
        <w:t>(n + 1)(n + 1) = n^2 + 2n + 1: example, 437</w:t>
      </w:r>
    </w:p>
    <w:p w:rsidR="00B72047" w:rsidRDefault="00B72047">
      <w:pPr>
        <w:pStyle w:val="Index1"/>
        <w:rPr>
          <w:noProof/>
        </w:rPr>
      </w:pPr>
      <w:r>
        <w:rPr>
          <w:noProof/>
        </w:rPr>
        <w:t>(n+1)-th rat: example, 448</w:t>
      </w:r>
    </w:p>
    <w:p w:rsidR="00B72047" w:rsidRDefault="00B72047">
      <w:pPr>
        <w:pStyle w:val="Index1"/>
        <w:rPr>
          <w:noProof/>
        </w:rPr>
      </w:pPr>
      <w:r>
        <w:rPr>
          <w:noProof/>
        </w:rPr>
        <w:t>.: word for, 416</w:t>
      </w:r>
    </w:p>
    <w:p w:rsidR="00B72047" w:rsidRDefault="00B72047">
      <w:pPr>
        <w:pStyle w:val="Index1"/>
        <w:rPr>
          <w:noProof/>
        </w:rPr>
      </w:pPr>
      <w:r>
        <w:rPr>
          <w:noProof/>
        </w:rPr>
        <w:t xml:space="preserve">.1010_2 </w:t>
      </w:r>
      <w:r>
        <w:rPr>
          <w:rStyle w:val="xeentry"/>
          <w:noProof/>
        </w:rPr>
        <w:sym w:font="Symbol" w:char="F0B4"/>
      </w:r>
      <w:r>
        <w:rPr>
          <w:noProof/>
        </w:rPr>
        <w:t xml:space="preserve"> 2^{110_2}: example, 451</w:t>
      </w:r>
    </w:p>
    <w:p w:rsidR="00B72047" w:rsidRDefault="00B72047">
      <w:pPr>
        <w:pStyle w:val="Index1"/>
        <w:rPr>
          <w:noProof/>
        </w:rPr>
      </w:pPr>
      <w:r>
        <w:rPr>
          <w:noProof/>
        </w:rPr>
        <w:t>: , word for, 416</w:t>
      </w:r>
    </w:p>
    <w:p w:rsidR="00B72047" w:rsidRDefault="00B72047">
      <w:pPr>
        <w:pStyle w:val="Index1"/>
        <w:rPr>
          <w:noProof/>
        </w:rPr>
      </w:pPr>
      <w:r>
        <w:rPr>
          <w:noProof/>
        </w:rPr>
        <w:t>+1 + -1 = 0: example, 436</w:t>
      </w:r>
    </w:p>
    <w:p w:rsidR="00B72047" w:rsidRDefault="00B72047">
      <w:pPr>
        <w:pStyle w:val="Index1"/>
        <w:rPr>
          <w:noProof/>
        </w:rPr>
      </w:pPr>
      <w:r>
        <w:rPr>
          <w:noProof/>
        </w:rPr>
        <w:t>-1: example, 433</w:t>
      </w:r>
    </w:p>
    <w:p w:rsidR="00B72047" w:rsidRDefault="00B72047">
      <w:pPr>
        <w:pStyle w:val="Index1"/>
        <w:rPr>
          <w:noProof/>
        </w:rPr>
      </w:pPr>
      <w:r>
        <w:rPr>
          <w:noProof/>
        </w:rPr>
        <w:t>1 + 1 = 2: example, 435</w:t>
      </w:r>
    </w:p>
    <w:p w:rsidR="00B72047" w:rsidRDefault="00B72047">
      <w:pPr>
        <w:pStyle w:val="Index1"/>
        <w:rPr>
          <w:noProof/>
        </w:rPr>
      </w:pPr>
      <w:r>
        <w:rPr>
          <w:noProof/>
        </w:rPr>
        <w:t>10^20: example, 451</w:t>
      </w:r>
    </w:p>
    <w:p w:rsidR="00B72047" w:rsidRDefault="00B72047">
      <w:pPr>
        <w:pStyle w:val="Index1"/>
        <w:rPr>
          <w:noProof/>
        </w:rPr>
      </w:pPr>
      <w:r>
        <w:rPr>
          <w:noProof/>
        </w:rPr>
        <w:t>123: example, 432</w:t>
      </w:r>
    </w:p>
    <w:p w:rsidR="00B72047" w:rsidRDefault="00B72047">
      <w:pPr>
        <w:pStyle w:val="Index1"/>
        <w:rPr>
          <w:noProof/>
        </w:rPr>
      </w:pPr>
      <w:r>
        <w:rPr>
          <w:noProof/>
        </w:rPr>
        <w:t>12-point: example, 418</w:t>
      </w:r>
    </w:p>
    <w:p w:rsidR="00B72047" w:rsidRDefault="00B72047">
      <w:pPr>
        <w:pStyle w:val="Index1"/>
        <w:rPr>
          <w:noProof/>
        </w:rPr>
      </w:pPr>
      <w:r>
        <w:rPr>
          <w:noProof/>
        </w:rPr>
        <w:t>2 + 2: example, 262</w:t>
      </w:r>
    </w:p>
    <w:p w:rsidR="00B72047" w:rsidRDefault="00B72047">
      <w:pPr>
        <w:pStyle w:val="Index1"/>
        <w:rPr>
          <w:noProof/>
        </w:rPr>
      </w:pPr>
      <w:r>
        <w:rPr>
          <w:noProof/>
        </w:rPr>
        <w:t>2 rats + 2 rabbits = 4 animals: example, 456</w:t>
      </w:r>
    </w:p>
    <w:p w:rsidR="00B72047" w:rsidRDefault="00B72047">
      <w:pPr>
        <w:pStyle w:val="Index1"/>
        <w:rPr>
          <w:noProof/>
        </w:rPr>
      </w:pPr>
      <w:r>
        <w:rPr>
          <w:noProof/>
        </w:rPr>
        <w:t>2/7: example, 433</w:t>
      </w:r>
    </w:p>
    <w:p w:rsidR="00B72047" w:rsidRDefault="00B72047">
      <w:pPr>
        <w:pStyle w:val="Index1"/>
        <w:rPr>
          <w:noProof/>
        </w:rPr>
      </w:pPr>
      <w:r>
        <w:rPr>
          <w:noProof/>
        </w:rPr>
        <w:t xml:space="preserve">3 </w:t>
      </w:r>
      <w:r>
        <w:rPr>
          <w:rStyle w:val="xeentry"/>
          <w:noProof/>
        </w:rPr>
        <w:sym w:font="Symbol" w:char="F0B4"/>
      </w:r>
      <w:r>
        <w:rPr>
          <w:noProof/>
        </w:rPr>
        <w:t xml:space="preserve"> 10^8: example, 451</w:t>
      </w:r>
    </w:p>
    <w:p w:rsidR="00B72047" w:rsidRDefault="00B72047">
      <w:pPr>
        <w:pStyle w:val="Index1"/>
        <w:rPr>
          <w:noProof/>
        </w:rPr>
      </w:pPr>
      <w:r>
        <w:rPr>
          <w:noProof/>
        </w:rPr>
        <w:t>3 grams: example, 435</w:t>
      </w:r>
    </w:p>
    <w:p w:rsidR="00B72047" w:rsidRDefault="00B72047">
      <w:pPr>
        <w:pStyle w:val="Index1"/>
        <w:rPr>
          <w:noProof/>
        </w:rPr>
      </w:pPr>
      <w:r>
        <w:rPr>
          <w:noProof/>
        </w:rPr>
        <w:t>3.1415: example, 433</w:t>
      </w:r>
    </w:p>
    <w:p w:rsidR="00B72047" w:rsidRDefault="00B72047">
      <w:pPr>
        <w:pStyle w:val="Index1"/>
        <w:rPr>
          <w:noProof/>
        </w:rPr>
      </w:pPr>
      <w:r>
        <w:rPr>
          <w:noProof/>
        </w:rPr>
        <w:t>4-letter rafsi: definition, 57</w:t>
      </w:r>
    </w:p>
    <w:p w:rsidR="00B72047" w:rsidRDefault="00B72047">
      <w:pPr>
        <w:pStyle w:val="Index1"/>
        <w:rPr>
          <w:noProof/>
        </w:rPr>
      </w:pPr>
      <w:r>
        <w:rPr>
          <w:noProof/>
        </w:rPr>
        <w:t>5-letter rafsi: definition, 57</w:t>
      </w:r>
    </w:p>
    <w:p w:rsidR="00B72047" w:rsidRDefault="00B72047">
      <w:pPr>
        <w:pStyle w:val="Index1"/>
        <w:rPr>
          <w:noProof/>
        </w:rPr>
      </w:pPr>
      <w:r>
        <w:rPr>
          <w:noProof/>
        </w:rPr>
        <w:t>8 out of ten: example, 448</w:t>
      </w:r>
    </w:p>
    <w:p w:rsidR="00B72047" w:rsidRDefault="00B72047">
      <w:pPr>
        <w:pStyle w:val="Index1"/>
        <w:rPr>
          <w:noProof/>
        </w:rPr>
      </w:pPr>
      <w:r>
        <w:rPr>
          <w:noProof/>
        </w:rPr>
        <w:t>a: example, 322</w:t>
      </w:r>
    </w:p>
    <w:p w:rsidR="00B72047" w:rsidRDefault="00B72047">
      <w:pPr>
        <w:pStyle w:val="Index1"/>
        <w:rPr>
          <w:noProof/>
        </w:rPr>
      </w:pPr>
      <w:r>
        <w:rPr>
          <w:noProof/>
        </w:rPr>
        <w:t>A gives B to C: example, 421</w:t>
      </w:r>
    </w:p>
    <w:p w:rsidR="00B72047" w:rsidRDefault="00B72047">
      <w:pPr>
        <w:pStyle w:val="Index1"/>
        <w:rPr>
          <w:noProof/>
        </w:rPr>
      </w:pPr>
      <w:r>
        <w:rPr>
          <w:noProof/>
        </w:rPr>
        <w:t>A gives BC: example, 421</w:t>
      </w:r>
    </w:p>
    <w:p w:rsidR="00B72047" w:rsidRDefault="00B72047">
      <w:pPr>
        <w:pStyle w:val="Index1"/>
        <w:rPr>
          <w:noProof/>
        </w:rPr>
      </w:pPr>
      <w:r>
        <w:rPr>
          <w:noProof/>
        </w:rPr>
        <w:t>a is letteral: example, 422</w:t>
      </w:r>
    </w:p>
    <w:p w:rsidR="00B72047" w:rsidRDefault="00B72047">
      <w:pPr>
        <w:pStyle w:val="Index1"/>
        <w:rPr>
          <w:noProof/>
        </w:rPr>
      </w:pPr>
      <w:r>
        <w:rPr>
          <w:noProof/>
        </w:rPr>
        <w:t>A loves B: example, 421</w:t>
      </w:r>
    </w:p>
    <w:p w:rsidR="00B72047" w:rsidRDefault="00B72047">
      <w:pPr>
        <w:pStyle w:val="Index1"/>
        <w:rPr>
          <w:noProof/>
        </w:rPr>
      </w:pPr>
      <w:r>
        <w:rPr>
          <w:noProof/>
        </w:rPr>
        <w:t>A selma’o, 336, 340, 341, 352, 354, 361, 364, 453, 489</w:t>
      </w:r>
    </w:p>
    <w:p w:rsidR="00B72047" w:rsidRDefault="00B72047">
      <w:pPr>
        <w:pStyle w:val="Index1"/>
        <w:rPr>
          <w:noProof/>
        </w:rPr>
      </w:pPr>
      <w:r>
        <w:rPr>
          <w:noProof/>
        </w:rPr>
        <w:t>a/an: contrasted with the, 322</w:t>
      </w:r>
    </w:p>
    <w:p w:rsidR="00B72047" w:rsidRDefault="00B72047">
      <w:pPr>
        <w:pStyle w:val="Index1"/>
        <w:rPr>
          <w:noProof/>
        </w:rPr>
      </w:pPr>
      <w:r>
        <w:rPr>
          <w:noProof/>
        </w:rPr>
        <w:t>a'a, 302</w:t>
      </w:r>
    </w:p>
    <w:p w:rsidR="00B72047" w:rsidRDefault="00B72047">
      <w:pPr>
        <w:pStyle w:val="Index1"/>
        <w:rPr>
          <w:noProof/>
        </w:rPr>
      </w:pPr>
      <w:r>
        <w:rPr>
          <w:noProof/>
        </w:rPr>
        <w:t>abbreviated lujvo and plausibility, 284</w:t>
      </w:r>
    </w:p>
    <w:p w:rsidR="00B72047" w:rsidRDefault="00B72047">
      <w:pPr>
        <w:pStyle w:val="Index1"/>
        <w:rPr>
          <w:noProof/>
        </w:rPr>
      </w:pPr>
      <w:r>
        <w:rPr>
          <w:noProof/>
        </w:rPr>
        <w:t>ABC base 16: example, 444</w:t>
      </w:r>
    </w:p>
    <w:p w:rsidR="00B72047" w:rsidRDefault="00B72047">
      <w:pPr>
        <w:pStyle w:val="Index1"/>
        <w:rPr>
          <w:noProof/>
        </w:rPr>
      </w:pPr>
      <w:r>
        <w:rPr>
          <w:noProof/>
        </w:rPr>
        <w:t>abduction: example, 316</w:t>
      </w:r>
    </w:p>
    <w:p w:rsidR="00B72047" w:rsidRDefault="00B72047">
      <w:pPr>
        <w:pStyle w:val="Index1"/>
        <w:rPr>
          <w:noProof/>
        </w:rPr>
      </w:pPr>
      <w:r>
        <w:rPr>
          <w:noProof/>
        </w:rPr>
        <w:t>Abraham Lincoln: example, 353</w:t>
      </w:r>
    </w:p>
    <w:p w:rsidR="00B72047" w:rsidRDefault="00B72047">
      <w:pPr>
        <w:pStyle w:val="Index1"/>
        <w:rPr>
          <w:noProof/>
        </w:rPr>
      </w:pPr>
      <w:r>
        <w:rPr>
          <w:noProof/>
        </w:rPr>
        <w:t>absolute laws, 273</w:t>
      </w:r>
    </w:p>
    <w:p w:rsidR="00B72047" w:rsidRDefault="00B72047">
      <w:pPr>
        <w:pStyle w:val="Index1"/>
        <w:rPr>
          <w:noProof/>
        </w:rPr>
      </w:pPr>
      <w:r>
        <w:rPr>
          <w:noProof/>
        </w:rPr>
        <w:t>abstract description, 266</w:t>
      </w:r>
    </w:p>
    <w:p w:rsidR="00B72047" w:rsidRDefault="00B72047">
      <w:pPr>
        <w:pStyle w:val="Index1"/>
        <w:rPr>
          <w:noProof/>
        </w:rPr>
      </w:pPr>
      <w:r>
        <w:rPr>
          <w:noProof/>
        </w:rPr>
        <w:t>abstract lujvo, 286; contrasted with abstract bridi, 287</w:t>
      </w:r>
    </w:p>
    <w:p w:rsidR="00B72047" w:rsidRDefault="00B72047">
      <w:pPr>
        <w:pStyle w:val="Index1"/>
        <w:rPr>
          <w:noProof/>
        </w:rPr>
      </w:pPr>
      <w:r>
        <w:rPr>
          <w:noProof/>
        </w:rPr>
        <w:t>abstraction bridi: contrasted with component non-abstraction bridi in meaning, 98; effect on claim of bridi, 198</w:t>
      </w:r>
    </w:p>
    <w:p w:rsidR="00B72047" w:rsidRDefault="00B72047">
      <w:pPr>
        <w:pStyle w:val="Index1"/>
        <w:rPr>
          <w:noProof/>
        </w:rPr>
      </w:pPr>
      <w:r>
        <w:rPr>
          <w:noProof/>
        </w:rPr>
        <w:t>abstraction contours: compared with contour tenses, 268</w:t>
      </w:r>
    </w:p>
    <w:p w:rsidR="00B72047" w:rsidRDefault="00B72047">
      <w:pPr>
        <w:pStyle w:val="Index1"/>
        <w:rPr>
          <w:noProof/>
        </w:rPr>
      </w:pPr>
      <w:r>
        <w:rPr>
          <w:noProof/>
        </w:rPr>
        <w:t>abstraction conversion, 266</w:t>
      </w:r>
    </w:p>
    <w:p w:rsidR="00B72047" w:rsidRDefault="00B72047">
      <w:pPr>
        <w:pStyle w:val="Index1"/>
        <w:rPr>
          <w:noProof/>
        </w:rPr>
      </w:pPr>
      <w:r>
        <w:rPr>
          <w:noProof/>
        </w:rPr>
        <w:t>abstraction lujvo: asymmetric, 288</w:t>
      </w:r>
    </w:p>
    <w:p w:rsidR="00B72047" w:rsidRDefault="00B72047">
      <w:pPr>
        <w:pStyle w:val="Index1"/>
        <w:rPr>
          <w:noProof/>
        </w:rPr>
      </w:pPr>
      <w:r>
        <w:rPr>
          <w:noProof/>
        </w:rPr>
        <w:t>abstraction(s): achievement, 258; activity, 258; amount, 261; amount contrasted with property, 261; concept, 265; connection, 269; creating new types, 266; event, 256; experience, 265; forethought connection in, 365; grammatical uses, 255; grouping of connectives in, 365; idea, 265; implicit in sumti, 257; logical connection of, 365; making concrete, 267; mental activity, 262; place structure, 255; point-event, 258; predication/sentence, 262; process, 258; property, 259; sentence, contrasted with quotation, 263; simplification to sumti, 266; simplification to sumti with jai, 267; simplification to sumti with tu'a, 266; speaking, writing, etc., 263; state, 258; sumti ellipsis in, 256; syntax, 255; table, 269; truth-value, 262; truth-value  contrasted with amount, 262; truth-value and fuzzy logic, 262; types, 265; vague, 265; with knowing, believing, etc., 262; with wonder, doubt, etc., 264</w:t>
      </w:r>
    </w:p>
    <w:p w:rsidR="00B72047" w:rsidRDefault="00B72047">
      <w:pPr>
        <w:pStyle w:val="Index1"/>
        <w:rPr>
          <w:noProof/>
        </w:rPr>
      </w:pPr>
      <w:r>
        <w:rPr>
          <w:noProof/>
        </w:rPr>
        <w:t>abstractors, 502</w:t>
      </w:r>
    </w:p>
    <w:p w:rsidR="00B72047" w:rsidRDefault="00B72047">
      <w:pPr>
        <w:pStyle w:val="Index1"/>
        <w:rPr>
          <w:noProof/>
        </w:rPr>
      </w:pPr>
      <w:r>
        <w:rPr>
          <w:noProof/>
        </w:rPr>
        <w:t>accent mark: a diacritical mark, 418; example, 419</w:t>
      </w:r>
    </w:p>
    <w:p w:rsidR="00B72047" w:rsidRDefault="00B72047">
      <w:pPr>
        <w:pStyle w:val="Index1"/>
        <w:rPr>
          <w:noProof/>
        </w:rPr>
      </w:pPr>
      <w:r>
        <w:rPr>
          <w:noProof/>
        </w:rPr>
        <w:t>accent marks: proposed lerfu words for, 429</w:t>
      </w:r>
    </w:p>
    <w:p w:rsidR="00B72047" w:rsidRDefault="00B72047">
      <w:pPr>
        <w:pStyle w:val="Index1"/>
        <w:rPr>
          <w:noProof/>
        </w:rPr>
      </w:pPr>
      <w:r>
        <w:rPr>
          <w:noProof/>
        </w:rPr>
        <w:t>accented letters: considered as distinct from unaccented, 419</w:t>
      </w:r>
    </w:p>
    <w:p w:rsidR="00B72047" w:rsidRDefault="00B72047">
      <w:pPr>
        <w:pStyle w:val="Index1"/>
        <w:rPr>
          <w:noProof/>
        </w:rPr>
      </w:pPr>
      <w:r>
        <w:rPr>
          <w:noProof/>
        </w:rPr>
        <w:t>Acer: example, 63</w:t>
      </w:r>
    </w:p>
    <w:p w:rsidR="00B72047" w:rsidRDefault="00B72047">
      <w:pPr>
        <w:pStyle w:val="Index1"/>
        <w:rPr>
          <w:noProof/>
        </w:rPr>
      </w:pPr>
      <w:r>
        <w:rPr>
          <w:noProof/>
        </w:rPr>
        <w:t>achievative event contour, 228</w:t>
      </w:r>
    </w:p>
    <w:p w:rsidR="00B72047" w:rsidRDefault="00B72047">
      <w:pPr>
        <w:pStyle w:val="Index1"/>
        <w:rPr>
          <w:noProof/>
        </w:rPr>
      </w:pPr>
      <w:r>
        <w:rPr>
          <w:noProof/>
        </w:rPr>
        <w:t>achievement abstraction: place structure, 259</w:t>
      </w:r>
    </w:p>
    <w:p w:rsidR="00B72047" w:rsidRDefault="00B72047">
      <w:pPr>
        <w:pStyle w:val="Index1"/>
        <w:rPr>
          <w:noProof/>
        </w:rPr>
      </w:pPr>
      <w:r>
        <w:rPr>
          <w:noProof/>
        </w:rPr>
        <w:t>achievement abstraction(s): definition, 258; related tense contours, 269</w:t>
      </w:r>
    </w:p>
    <w:p w:rsidR="00B72047" w:rsidRDefault="00B72047">
      <w:pPr>
        <w:pStyle w:val="Index1"/>
        <w:rPr>
          <w:noProof/>
        </w:rPr>
      </w:pPr>
      <w:r>
        <w:rPr>
          <w:noProof/>
        </w:rPr>
        <w:t>achievement event: described, 258</w:t>
      </w:r>
    </w:p>
    <w:p w:rsidR="00B72047" w:rsidRDefault="00B72047">
      <w:pPr>
        <w:pStyle w:val="Index1"/>
        <w:rPr>
          <w:noProof/>
        </w:rPr>
      </w:pPr>
      <w:r>
        <w:rPr>
          <w:noProof/>
        </w:rPr>
        <w:t>acronym: definition, 423</w:t>
      </w:r>
    </w:p>
    <w:p w:rsidR="00B72047" w:rsidRDefault="00B72047">
      <w:pPr>
        <w:pStyle w:val="Index1"/>
        <w:rPr>
          <w:noProof/>
        </w:rPr>
      </w:pPr>
      <w:r>
        <w:rPr>
          <w:noProof/>
        </w:rPr>
        <w:t>acronym names from lerfu words: assigning final consonant, 424</w:t>
      </w:r>
    </w:p>
    <w:p w:rsidR="00B72047" w:rsidRDefault="00B72047">
      <w:pPr>
        <w:pStyle w:val="Index1"/>
        <w:rPr>
          <w:noProof/>
        </w:rPr>
      </w:pPr>
      <w:r>
        <w:rPr>
          <w:noProof/>
        </w:rPr>
        <w:t>acronyms: as lerfu strings using “me”, 424; using names based on lerfu words, 423</w:t>
      </w:r>
    </w:p>
    <w:p w:rsidR="00B72047" w:rsidRDefault="00B72047">
      <w:pPr>
        <w:pStyle w:val="Index1"/>
        <w:rPr>
          <w:noProof/>
        </w:rPr>
      </w:pPr>
      <w:r>
        <w:rPr>
          <w:noProof/>
        </w:rPr>
        <w:t>acronyms names based on lerfu words: omitting bu, 424; using “z” instead of “ ' ”in, 424</w:t>
      </w:r>
    </w:p>
    <w:p w:rsidR="00B72047" w:rsidRDefault="00B72047">
      <w:pPr>
        <w:pStyle w:val="Index1"/>
        <w:rPr>
          <w:noProof/>
        </w:rPr>
      </w:pPr>
      <w:r>
        <w:rPr>
          <w:noProof/>
        </w:rPr>
        <w:t>activity abstraction: place structure, 259</w:t>
      </w:r>
    </w:p>
    <w:p w:rsidR="00B72047" w:rsidRDefault="00B72047">
      <w:pPr>
        <w:pStyle w:val="Index1"/>
        <w:rPr>
          <w:noProof/>
        </w:rPr>
      </w:pPr>
      <w:r>
        <w:rPr>
          <w:noProof/>
        </w:rPr>
        <w:t>activity abstraction(s): definition, 258; related tense contours, 268</w:t>
      </w:r>
    </w:p>
    <w:p w:rsidR="00B72047" w:rsidRDefault="00B72047">
      <w:pPr>
        <w:pStyle w:val="Index1"/>
        <w:rPr>
          <w:noProof/>
        </w:rPr>
      </w:pPr>
      <w:r>
        <w:rPr>
          <w:noProof/>
        </w:rPr>
        <w:t>activity abstractor, 258</w:t>
      </w:r>
    </w:p>
    <w:p w:rsidR="00B72047" w:rsidRDefault="00B72047">
      <w:pPr>
        <w:pStyle w:val="Index1"/>
        <w:rPr>
          <w:noProof/>
        </w:rPr>
      </w:pPr>
      <w:r>
        <w:rPr>
          <w:noProof/>
        </w:rPr>
        <w:t>activity event: described, 258</w:t>
      </w:r>
    </w:p>
    <w:p w:rsidR="00B72047" w:rsidRDefault="00B72047">
      <w:pPr>
        <w:pStyle w:val="Index1"/>
        <w:rPr>
          <w:noProof/>
        </w:rPr>
      </w:pPr>
      <w:r>
        <w:rPr>
          <w:noProof/>
        </w:rPr>
        <w:t>actual events: explicitly expressing, 243</w:t>
      </w:r>
    </w:p>
    <w:p w:rsidR="00B72047" w:rsidRDefault="00B72047">
      <w:pPr>
        <w:pStyle w:val="Index1"/>
        <w:rPr>
          <w:noProof/>
        </w:rPr>
      </w:pPr>
      <w:r>
        <w:rPr>
          <w:noProof/>
        </w:rPr>
        <w:t>actual stop: contrasted with natural end, 229</w:t>
      </w:r>
    </w:p>
    <w:p w:rsidR="00B72047" w:rsidRDefault="00B72047">
      <w:pPr>
        <w:pStyle w:val="Index1"/>
        <w:rPr>
          <w:noProof/>
        </w:rPr>
      </w:pPr>
      <w:r>
        <w:rPr>
          <w:noProof/>
        </w:rPr>
        <w:t>actuality: expressing in past/future, 244; Lojban contrasted with English in implying, 243; marking, 491</w:t>
      </w:r>
    </w:p>
    <w:p w:rsidR="00B72047" w:rsidRDefault="00B72047">
      <w:pPr>
        <w:pStyle w:val="Index1"/>
        <w:rPr>
          <w:noProof/>
        </w:rPr>
      </w:pPr>
      <w:r>
        <w:rPr>
          <w:noProof/>
        </w:rPr>
        <w:t>addition: a mathematical operator, 436</w:t>
      </w:r>
    </w:p>
    <w:p w:rsidR="00B72047" w:rsidRDefault="00B72047">
      <w:pPr>
        <w:pStyle w:val="Index1"/>
        <w:rPr>
          <w:noProof/>
        </w:rPr>
      </w:pPr>
      <w:r>
        <w:rPr>
          <w:noProof/>
        </w:rPr>
        <w:t>addition operator: contrasted with positive sign, 436</w:t>
      </w:r>
    </w:p>
    <w:p w:rsidR="00B72047" w:rsidRDefault="00B72047">
      <w:pPr>
        <w:pStyle w:val="Index1"/>
        <w:rPr>
          <w:noProof/>
        </w:rPr>
      </w:pPr>
      <w:r>
        <w:rPr>
          <w:noProof/>
        </w:rPr>
        <w:t>addition problems: example, 98</w:t>
      </w:r>
    </w:p>
    <w:p w:rsidR="00B72047" w:rsidRDefault="00B72047">
      <w:pPr>
        <w:pStyle w:val="Index1"/>
        <w:rPr>
          <w:noProof/>
        </w:rPr>
      </w:pPr>
      <w:r>
        <w:rPr>
          <w:noProof/>
        </w:rPr>
        <w:t>adjective ordering, 89</w:t>
      </w:r>
    </w:p>
    <w:p w:rsidR="00B72047" w:rsidRDefault="00B72047">
      <w:pPr>
        <w:pStyle w:val="Index1"/>
        <w:rPr>
          <w:noProof/>
        </w:rPr>
      </w:pPr>
      <w:r>
        <w:rPr>
          <w:noProof/>
        </w:rPr>
        <w:t>adjective-noun combination: with tanru, 84</w:t>
      </w:r>
    </w:p>
    <w:p w:rsidR="00B72047" w:rsidRDefault="00B72047">
      <w:pPr>
        <w:pStyle w:val="Index1"/>
        <w:rPr>
          <w:noProof/>
        </w:rPr>
      </w:pPr>
      <w:r>
        <w:rPr>
          <w:noProof/>
        </w:rPr>
        <w:t>adjectives: brivla as Lojban equivalents, 52</w:t>
      </w:r>
    </w:p>
    <w:p w:rsidR="00B72047" w:rsidRDefault="00B72047">
      <w:pPr>
        <w:pStyle w:val="Index1"/>
        <w:rPr>
          <w:noProof/>
        </w:rPr>
      </w:pPr>
      <w:r>
        <w:rPr>
          <w:noProof/>
        </w:rPr>
        <w:t>adverbs: brivla as Lojban equivalents, 52</w:t>
      </w:r>
    </w:p>
    <w:p w:rsidR="00B72047" w:rsidRDefault="00B72047">
      <w:pPr>
        <w:pStyle w:val="Index1"/>
        <w:rPr>
          <w:noProof/>
        </w:rPr>
      </w:pPr>
      <w:r>
        <w:rPr>
          <w:noProof/>
        </w:rPr>
        <w:t>adverb-verb combination: with tanru, 84</w:t>
      </w:r>
    </w:p>
    <w:p w:rsidR="00B72047" w:rsidRDefault="00B72047">
      <w:pPr>
        <w:pStyle w:val="Index1"/>
        <w:rPr>
          <w:noProof/>
        </w:rPr>
      </w:pPr>
      <w:r>
        <w:rPr>
          <w:noProof/>
        </w:rPr>
        <w:t>a'enai, 302</w:t>
      </w:r>
    </w:p>
    <w:p w:rsidR="00B72047" w:rsidRDefault="00B72047">
      <w:pPr>
        <w:pStyle w:val="Index1"/>
        <w:rPr>
          <w:noProof/>
        </w:rPr>
      </w:pPr>
      <w:r>
        <w:rPr>
          <w:noProof/>
        </w:rPr>
        <w:t>affirmative answer: quick-tour version, 23</w:t>
      </w:r>
    </w:p>
    <w:p w:rsidR="00B72047" w:rsidRDefault="00B72047">
      <w:pPr>
        <w:pStyle w:val="Index1"/>
        <w:rPr>
          <w:noProof/>
        </w:rPr>
      </w:pPr>
      <w:r>
        <w:rPr>
          <w:noProof/>
        </w:rPr>
        <w:t>afraid of horse: example, 179</w:t>
      </w:r>
    </w:p>
    <w:p w:rsidR="00B72047" w:rsidRDefault="00B72047">
      <w:pPr>
        <w:pStyle w:val="Index1"/>
        <w:rPr>
          <w:noProof/>
        </w:rPr>
      </w:pPr>
      <w:r>
        <w:rPr>
          <w:noProof/>
        </w:rPr>
        <w:t>after sleep: example, 303</w:t>
      </w:r>
    </w:p>
    <w:p w:rsidR="00B72047" w:rsidRDefault="00B72047">
      <w:pPr>
        <w:pStyle w:val="Index1"/>
        <w:rPr>
          <w:noProof/>
        </w:rPr>
      </w:pPr>
      <w:r>
        <w:rPr>
          <w:noProof/>
        </w:rPr>
        <w:t>afterthought bridi connectives: contrasted with forethought bridi connectives, 338</w:t>
      </w:r>
    </w:p>
    <w:p w:rsidR="00B72047" w:rsidRDefault="00B72047">
      <w:pPr>
        <w:pStyle w:val="Index1"/>
        <w:rPr>
          <w:noProof/>
        </w:rPr>
      </w:pPr>
      <w:r>
        <w:rPr>
          <w:noProof/>
        </w:rPr>
        <w:t>afterthought connection: contrasted with forethought for grammatical utterances, 352; definition, 199; of operands, 453; of operators, 453</w:t>
      </w:r>
    </w:p>
    <w:p w:rsidR="00B72047" w:rsidRDefault="00B72047">
      <w:pPr>
        <w:pStyle w:val="Index1"/>
        <w:rPr>
          <w:noProof/>
        </w:rPr>
      </w:pPr>
      <w:r>
        <w:rPr>
          <w:noProof/>
        </w:rPr>
        <w:t>afterthought connective(s): as complete grammatical utterance, 352; contrasted with forethought connective, 338</w:t>
      </w:r>
    </w:p>
    <w:p w:rsidR="00B72047" w:rsidRDefault="00B72047">
      <w:pPr>
        <w:pStyle w:val="Index1"/>
        <w:rPr>
          <w:noProof/>
        </w:rPr>
      </w:pPr>
      <w:r>
        <w:rPr>
          <w:noProof/>
        </w:rPr>
        <w:t>afterthought sentence connection: modal contrasted with tense, 248</w:t>
      </w:r>
    </w:p>
    <w:p w:rsidR="00B72047" w:rsidRDefault="00B72047">
      <w:pPr>
        <w:pStyle w:val="Index1"/>
        <w:rPr>
          <w:noProof/>
        </w:rPr>
      </w:pPr>
      <w:r>
        <w:rPr>
          <w:noProof/>
        </w:rPr>
        <w:t>afterthought tense connection: contrasted with forethought in likeness to modal connection, 249</w:t>
      </w:r>
    </w:p>
    <w:p w:rsidR="00B72047" w:rsidRDefault="00B72047">
      <w:pPr>
        <w:pStyle w:val="Index1"/>
        <w:rPr>
          <w:noProof/>
        </w:rPr>
      </w:pPr>
      <w:r>
        <w:rPr>
          <w:noProof/>
        </w:rPr>
        <w:t>a'i, 302</w:t>
      </w:r>
    </w:p>
    <w:p w:rsidR="00B72047" w:rsidRDefault="00B72047">
      <w:pPr>
        <w:pStyle w:val="Index1"/>
        <w:rPr>
          <w:noProof/>
        </w:rPr>
      </w:pPr>
      <w:r>
        <w:rPr>
          <w:noProof/>
        </w:rPr>
        <w:t>ai, 302</w:t>
      </w:r>
    </w:p>
    <w:p w:rsidR="00B72047" w:rsidRDefault="00B72047">
      <w:pPr>
        <w:pStyle w:val="Index1"/>
        <w:rPr>
          <w:noProof/>
        </w:rPr>
      </w:pPr>
      <w:r>
        <w:rPr>
          <w:noProof/>
        </w:rPr>
        <w:t>ailment, 282</w:t>
      </w:r>
    </w:p>
    <w:p w:rsidR="00B72047" w:rsidRDefault="00B72047">
      <w:pPr>
        <w:pStyle w:val="Index1"/>
        <w:rPr>
          <w:noProof/>
        </w:rPr>
      </w:pPr>
      <w:r>
        <w:rPr>
          <w:noProof/>
        </w:rPr>
        <w:t>Albania: example, 480</w:t>
      </w:r>
    </w:p>
    <w:p w:rsidR="00B72047" w:rsidRDefault="00B72047">
      <w:pPr>
        <w:pStyle w:val="Index1"/>
        <w:rPr>
          <w:noProof/>
        </w:rPr>
      </w:pPr>
      <w:r>
        <w:rPr>
          <w:noProof/>
        </w:rPr>
        <w:t>aleph null: example, 434</w:t>
      </w:r>
    </w:p>
    <w:p w:rsidR="00B72047" w:rsidRDefault="00B72047">
      <w:pPr>
        <w:pStyle w:val="Index1"/>
        <w:rPr>
          <w:noProof/>
        </w:rPr>
      </w:pPr>
      <w:r>
        <w:rPr>
          <w:noProof/>
        </w:rPr>
        <w:t>Alexander Pavlovitch Kuznetsov: example, 421</w:t>
      </w:r>
    </w:p>
    <w:p w:rsidR="00B72047" w:rsidRDefault="00B72047">
      <w:pPr>
        <w:pStyle w:val="Index1"/>
        <w:rPr>
          <w:noProof/>
        </w:rPr>
      </w:pPr>
      <w:r>
        <w:rPr>
          <w:noProof/>
        </w:rPr>
        <w:t>algebra of functions: operator and operand distinction in, 460</w:t>
      </w:r>
    </w:p>
    <w:p w:rsidR="00B72047" w:rsidRDefault="00B72047">
      <w:pPr>
        <w:pStyle w:val="Index1"/>
        <w:rPr>
          <w:noProof/>
        </w:rPr>
      </w:pPr>
      <w:r>
        <w:rPr>
          <w:noProof/>
        </w:rPr>
        <w:t>alienable possession: definition, 173</w:t>
      </w:r>
    </w:p>
    <w:p w:rsidR="00B72047" w:rsidRDefault="00B72047">
      <w:pPr>
        <w:pStyle w:val="Index1"/>
        <w:rPr>
          <w:noProof/>
        </w:rPr>
      </w:pPr>
      <w:r>
        <w:rPr>
          <w:noProof/>
        </w:rPr>
        <w:t>aliens: communication with, 329</w:t>
      </w:r>
    </w:p>
    <w:p w:rsidR="00B72047" w:rsidRDefault="00B72047">
      <w:pPr>
        <w:pStyle w:val="Index1"/>
        <w:rPr>
          <w:noProof/>
        </w:rPr>
      </w:pPr>
      <w:r>
        <w:rPr>
          <w:noProof/>
        </w:rPr>
        <w:t>all persons: example, 398</w:t>
      </w:r>
    </w:p>
    <w:p w:rsidR="00B72047" w:rsidRDefault="00B72047">
      <w:pPr>
        <w:pStyle w:val="Index1"/>
        <w:rPr>
          <w:noProof/>
        </w:rPr>
      </w:pPr>
      <w:r>
        <w:rPr>
          <w:noProof/>
        </w:rPr>
        <w:t>allowable diphthongs: in fu'ivla contrasted with in gismu/lujvo, 63</w:t>
      </w:r>
    </w:p>
    <w:p w:rsidR="00B72047" w:rsidRDefault="00B72047">
      <w:pPr>
        <w:pStyle w:val="Index1"/>
        <w:rPr>
          <w:noProof/>
        </w:rPr>
      </w:pPr>
      <w:r>
        <w:rPr>
          <w:noProof/>
        </w:rPr>
        <w:t>all-th: example, 447</w:t>
      </w:r>
    </w:p>
    <w:p w:rsidR="00B72047" w:rsidRDefault="00B72047">
      <w:pPr>
        <w:pStyle w:val="Index1"/>
        <w:rPr>
          <w:noProof/>
        </w:rPr>
      </w:pPr>
      <w:r>
        <w:rPr>
          <w:noProof/>
        </w:rPr>
        <w:t>alpha: example, 416</w:t>
      </w:r>
    </w:p>
    <w:p w:rsidR="00B72047" w:rsidRDefault="00B72047">
      <w:pPr>
        <w:pStyle w:val="Index1"/>
        <w:rPr>
          <w:noProof/>
        </w:rPr>
      </w:pPr>
      <w:r>
        <w:rPr>
          <w:noProof/>
        </w:rPr>
        <w:t>alphabet: Latin used for Lojban, 413; Lojban, 29; words for letters in, rationale, 413; words for non-Lojban letters, rationale, 413</w:t>
      </w:r>
    </w:p>
    <w:p w:rsidR="00B72047" w:rsidRDefault="00B72047">
      <w:pPr>
        <w:pStyle w:val="Index1"/>
        <w:rPr>
          <w:noProof/>
        </w:rPr>
      </w:pPr>
      <w:r>
        <w:rPr>
          <w:noProof/>
        </w:rPr>
        <w:t>alphabetic order, 29</w:t>
      </w:r>
    </w:p>
    <w:p w:rsidR="00B72047" w:rsidRDefault="00B72047">
      <w:pPr>
        <w:pStyle w:val="Index1"/>
        <w:rPr>
          <w:noProof/>
        </w:rPr>
      </w:pPr>
      <w:r>
        <w:rPr>
          <w:noProof/>
        </w:rPr>
        <w:t>alternative guidelines, 273</w:t>
      </w:r>
    </w:p>
    <w:p w:rsidR="00B72047" w:rsidRDefault="00B72047">
      <w:pPr>
        <w:pStyle w:val="Index1"/>
        <w:rPr>
          <w:noProof/>
        </w:rPr>
      </w:pPr>
      <w:r>
        <w:rPr>
          <w:noProof/>
        </w:rPr>
        <w:t>always and everywhere: example, 231</w:t>
      </w:r>
    </w:p>
    <w:p w:rsidR="00B72047" w:rsidRDefault="00B72047">
      <w:pPr>
        <w:pStyle w:val="Index1"/>
        <w:rPr>
          <w:noProof/>
        </w:rPr>
      </w:pPr>
      <w:r>
        <w:rPr>
          <w:noProof/>
        </w:rPr>
        <w:t>ambiguity of tanru, 85</w:t>
      </w:r>
    </w:p>
    <w:p w:rsidR="00B72047" w:rsidRDefault="00B72047">
      <w:pPr>
        <w:pStyle w:val="Index1"/>
        <w:rPr>
          <w:noProof/>
        </w:rPr>
      </w:pPr>
      <w:r>
        <w:rPr>
          <w:noProof/>
        </w:rPr>
        <w:t>American dollars: example, 425</w:t>
      </w:r>
    </w:p>
    <w:p w:rsidR="00B72047" w:rsidRDefault="00B72047">
      <w:pPr>
        <w:pStyle w:val="Index1"/>
        <w:rPr>
          <w:noProof/>
        </w:rPr>
      </w:pPr>
      <w:r>
        <w:rPr>
          <w:noProof/>
        </w:rPr>
        <w:t>American Indian languages and evidentials, 315</w:t>
      </w:r>
    </w:p>
    <w:p w:rsidR="00B72047" w:rsidRDefault="00B72047">
      <w:pPr>
        <w:pStyle w:val="Index1"/>
        <w:rPr>
          <w:noProof/>
        </w:rPr>
      </w:pPr>
      <w:r>
        <w:rPr>
          <w:noProof/>
        </w:rPr>
        <w:t>Amharic writing, 420</w:t>
      </w:r>
    </w:p>
    <w:p w:rsidR="00B72047" w:rsidRDefault="00B72047">
      <w:pPr>
        <w:pStyle w:val="Index1"/>
        <w:rPr>
          <w:noProof/>
        </w:rPr>
      </w:pPr>
      <w:r>
        <w:rPr>
          <w:noProof/>
        </w:rPr>
        <w:t>amount abstraction, 261</w:t>
      </w:r>
    </w:p>
    <w:p w:rsidR="00B72047" w:rsidRDefault="00B72047">
      <w:pPr>
        <w:pStyle w:val="Index1"/>
        <w:rPr>
          <w:noProof/>
        </w:rPr>
      </w:pPr>
      <w:r>
        <w:rPr>
          <w:noProof/>
        </w:rPr>
        <w:t>amount abstraction and mathematics, 261</w:t>
      </w:r>
    </w:p>
    <w:p w:rsidR="00B72047" w:rsidRDefault="00B72047">
      <w:pPr>
        <w:pStyle w:val="Index1"/>
        <w:rPr>
          <w:noProof/>
        </w:rPr>
      </w:pPr>
      <w:r>
        <w:rPr>
          <w:noProof/>
        </w:rPr>
        <w:t>amount abstraction(s): place structure, 262; scale, 262; specifying determining place with ce'u, 261</w:t>
      </w:r>
    </w:p>
    <w:p w:rsidR="00B72047" w:rsidRDefault="00B72047">
      <w:pPr>
        <w:pStyle w:val="Index1"/>
        <w:rPr>
          <w:noProof/>
        </w:rPr>
      </w:pPr>
      <w:r>
        <w:rPr>
          <w:noProof/>
        </w:rPr>
        <w:t>ampersand: example, 416</w:t>
      </w:r>
    </w:p>
    <w:p w:rsidR="00B72047" w:rsidRDefault="00B72047">
      <w:pPr>
        <w:pStyle w:val="Index1"/>
        <w:rPr>
          <w:noProof/>
        </w:rPr>
      </w:pPr>
      <w:r>
        <w:rPr>
          <w:noProof/>
        </w:rPr>
        <w:t>ampersand character: word for, 416</w:t>
      </w:r>
    </w:p>
    <w:p w:rsidR="00B72047" w:rsidRDefault="00B72047">
      <w:pPr>
        <w:pStyle w:val="Index1"/>
        <w:rPr>
          <w:noProof/>
        </w:rPr>
      </w:pPr>
      <w:r>
        <w:rPr>
          <w:noProof/>
        </w:rPr>
        <w:t>Amsterdam: example, 38</w:t>
      </w:r>
    </w:p>
    <w:p w:rsidR="00B72047" w:rsidRDefault="00B72047">
      <w:pPr>
        <w:pStyle w:val="Index1"/>
        <w:rPr>
          <w:noProof/>
        </w:rPr>
      </w:pPr>
      <w:r>
        <w:rPr>
          <w:noProof/>
        </w:rPr>
        <w:t>an: example, 322</w:t>
      </w:r>
    </w:p>
    <w:p w:rsidR="00B72047" w:rsidRDefault="00B72047">
      <w:pPr>
        <w:pStyle w:val="Index1"/>
        <w:rPr>
          <w:noProof/>
        </w:rPr>
      </w:pPr>
      <w:r>
        <w:rPr>
          <w:noProof/>
        </w:rPr>
        <w:t>anaphora: definition, 152; pro-bridi go'i-series as, 152; pro-sumti ri-series as, 152; pro-sumti vo'a-series as, 158</w:t>
      </w:r>
    </w:p>
    <w:p w:rsidR="00B72047" w:rsidRDefault="00B72047">
      <w:pPr>
        <w:pStyle w:val="Index1"/>
        <w:rPr>
          <w:noProof/>
        </w:rPr>
      </w:pPr>
      <w:r>
        <w:rPr>
          <w:noProof/>
        </w:rPr>
        <w:t>anaphoric pro-bridi: stability of, 162</w:t>
      </w:r>
    </w:p>
    <w:p w:rsidR="00B72047" w:rsidRDefault="00B72047">
      <w:pPr>
        <w:pStyle w:val="Index1"/>
        <w:rPr>
          <w:noProof/>
        </w:rPr>
      </w:pPr>
      <w:r>
        <w:rPr>
          <w:noProof/>
        </w:rPr>
        <w:t>anaphoric pro-sumti: stability of, 162</w:t>
      </w:r>
    </w:p>
    <w:p w:rsidR="00B72047" w:rsidRDefault="00B72047">
      <w:pPr>
        <w:pStyle w:val="Index1"/>
        <w:rPr>
          <w:noProof/>
        </w:rPr>
      </w:pPr>
      <w:r>
        <w:rPr>
          <w:noProof/>
        </w:rPr>
        <w:t>and: as non-logical connective, 353; compared with but, 353; contrasted with cross-product, 357</w:t>
      </w:r>
    </w:p>
    <w:p w:rsidR="00B72047" w:rsidRDefault="00B72047">
      <w:pPr>
        <w:pStyle w:val="Index1"/>
        <w:rPr>
          <w:noProof/>
        </w:rPr>
      </w:pPr>
      <w:r>
        <w:rPr>
          <w:noProof/>
        </w:rPr>
        <w:t>and earlier: example, 364</w:t>
      </w:r>
    </w:p>
    <w:p w:rsidR="00B72047" w:rsidRDefault="00B72047">
      <w:pPr>
        <w:pStyle w:val="Index1"/>
        <w:rPr>
          <w:noProof/>
        </w:rPr>
      </w:pPr>
      <w:r>
        <w:rPr>
          <w:noProof/>
        </w:rPr>
        <w:t>and simultaneously: example, 364</w:t>
      </w:r>
    </w:p>
    <w:p w:rsidR="00B72047" w:rsidRDefault="00B72047">
      <w:pPr>
        <w:pStyle w:val="Index1"/>
        <w:rPr>
          <w:noProof/>
        </w:rPr>
      </w:pPr>
      <w:r>
        <w:rPr>
          <w:noProof/>
        </w:rPr>
        <w:t>and then: example, 240, 364</w:t>
      </w:r>
    </w:p>
    <w:p w:rsidR="00B72047" w:rsidRDefault="00B72047">
      <w:pPr>
        <w:pStyle w:val="Index1"/>
        <w:rPr>
          <w:noProof/>
        </w:rPr>
      </w:pPr>
      <w:r>
        <w:rPr>
          <w:noProof/>
        </w:rPr>
        <w:t>animal doctor: example, 282</w:t>
      </w:r>
    </w:p>
    <w:p w:rsidR="00B72047" w:rsidRDefault="00B72047">
      <w:pPr>
        <w:pStyle w:val="Index1"/>
        <w:rPr>
          <w:noProof/>
        </w:rPr>
      </w:pPr>
      <w:r>
        <w:rPr>
          <w:noProof/>
        </w:rPr>
        <w:t>animal patient, 282</w:t>
      </w:r>
    </w:p>
    <w:p w:rsidR="00B72047" w:rsidRDefault="00B72047">
      <w:pPr>
        <w:pStyle w:val="Index1"/>
        <w:rPr>
          <w:noProof/>
        </w:rPr>
      </w:pPr>
      <w:r>
        <w:rPr>
          <w:noProof/>
        </w:rPr>
        <w:t>animals: use of fu'ivla for specific, 61</w:t>
      </w:r>
    </w:p>
    <w:p w:rsidR="00B72047" w:rsidRDefault="00B72047">
      <w:pPr>
        <w:pStyle w:val="Index1"/>
        <w:rPr>
          <w:noProof/>
        </w:rPr>
      </w:pPr>
      <w:r>
        <w:rPr>
          <w:noProof/>
        </w:rPr>
        <w:t>anomalous ordering of lujvo places, 283</w:t>
      </w:r>
    </w:p>
    <w:p w:rsidR="00B72047" w:rsidRDefault="00B72047">
      <w:pPr>
        <w:pStyle w:val="Index1"/>
        <w:rPr>
          <w:noProof/>
        </w:rPr>
      </w:pPr>
      <w:r>
        <w:rPr>
          <w:noProof/>
        </w:rPr>
        <w:t>answers, 469; go'i for yes/no questions, 154; to operator questions, 457; to place structure questions, 191; to tense-or-modal questions, 250</w:t>
      </w:r>
    </w:p>
    <w:p w:rsidR="00B72047" w:rsidRDefault="00B72047">
      <w:pPr>
        <w:pStyle w:val="Index1"/>
        <w:rPr>
          <w:noProof/>
        </w:rPr>
      </w:pPr>
      <w:r>
        <w:rPr>
          <w:noProof/>
        </w:rPr>
        <w:t>antecedent: for pro-bridi, 151; for pro-bridi as full bridi, 151</w:t>
      </w:r>
    </w:p>
    <w:p w:rsidR="00B72047" w:rsidRDefault="00B72047">
      <w:pPr>
        <w:pStyle w:val="Index1"/>
        <w:rPr>
          <w:noProof/>
        </w:rPr>
      </w:pPr>
      <w:r>
        <w:rPr>
          <w:noProof/>
        </w:rPr>
        <w:t>antecedent of pro-bridi: definition, 145</w:t>
      </w:r>
    </w:p>
    <w:p w:rsidR="00B72047" w:rsidRDefault="00B72047">
      <w:pPr>
        <w:pStyle w:val="Index1"/>
        <w:rPr>
          <w:noProof/>
        </w:rPr>
      </w:pPr>
      <w:r>
        <w:rPr>
          <w:noProof/>
        </w:rPr>
        <w:t>antecedent of pro-sumti: definition, 145</w:t>
      </w:r>
    </w:p>
    <w:p w:rsidR="00B72047" w:rsidRDefault="00B72047">
      <w:pPr>
        <w:pStyle w:val="Index1"/>
        <w:rPr>
          <w:noProof/>
        </w:rPr>
      </w:pPr>
      <w:r>
        <w:rPr>
          <w:noProof/>
        </w:rPr>
        <w:t>anticipated: example, 316</w:t>
      </w:r>
    </w:p>
    <w:p w:rsidR="00B72047" w:rsidRDefault="00B72047">
      <w:pPr>
        <w:pStyle w:val="Index1"/>
        <w:rPr>
          <w:noProof/>
        </w:rPr>
      </w:pPr>
      <w:r>
        <w:rPr>
          <w:noProof/>
        </w:rPr>
        <w:t>any: as a restricted universal claim, 399; as a translation problem, 399; as a universal claim, later restricted, 400; as an existential claim, 400; expressing as existential by variable in subordinate bridi, 401</w:t>
      </w:r>
    </w:p>
    <w:p w:rsidR="00B72047" w:rsidRDefault="00B72047">
      <w:pPr>
        <w:pStyle w:val="Index1"/>
        <w:rPr>
          <w:noProof/>
        </w:rPr>
      </w:pPr>
      <w:r>
        <w:rPr>
          <w:noProof/>
        </w:rPr>
        <w:t>any box, 400</w:t>
      </w:r>
    </w:p>
    <w:p w:rsidR="00B72047" w:rsidRDefault="00B72047">
      <w:pPr>
        <w:pStyle w:val="Index1"/>
        <w:rPr>
          <w:noProof/>
        </w:rPr>
      </w:pPr>
      <w:r>
        <w:rPr>
          <w:noProof/>
        </w:rPr>
        <w:t>anyone: contrasted with everyone in assumption of existence, 399</w:t>
      </w:r>
    </w:p>
    <w:p w:rsidR="00B72047" w:rsidRDefault="00B72047">
      <w:pPr>
        <w:pStyle w:val="Index1"/>
        <w:rPr>
          <w:noProof/>
        </w:rPr>
      </w:pPr>
      <w:r>
        <w:rPr>
          <w:noProof/>
        </w:rPr>
        <w:t>anyone who goes: walks, example, 399</w:t>
      </w:r>
    </w:p>
    <w:p w:rsidR="00B72047" w:rsidRDefault="00B72047">
      <w:pPr>
        <w:pStyle w:val="Index1"/>
        <w:rPr>
          <w:noProof/>
        </w:rPr>
      </w:pPr>
      <w:r>
        <w:rPr>
          <w:noProof/>
        </w:rPr>
        <w:t>a'o, 297, 302</w:t>
      </w:r>
    </w:p>
    <w:p w:rsidR="00B72047" w:rsidRDefault="00B72047">
      <w:pPr>
        <w:pStyle w:val="Index1"/>
        <w:rPr>
          <w:noProof/>
        </w:rPr>
      </w:pPr>
      <w:r>
        <w:rPr>
          <w:noProof/>
        </w:rPr>
        <w:t>aorist: definition, 223</w:t>
      </w:r>
    </w:p>
    <w:p w:rsidR="00B72047" w:rsidRDefault="00B72047">
      <w:pPr>
        <w:pStyle w:val="Index1"/>
        <w:rPr>
          <w:noProof/>
        </w:rPr>
      </w:pPr>
      <w:r>
        <w:rPr>
          <w:noProof/>
        </w:rPr>
        <w:t>apostrophe: and consonant cluster determination in lujvo, 56; as not a consonant for morphological discussions, 49; as preferable over comma in names, 33; definition of, 31; example of, 33; purpose of, 31; quick-tour version, 12; type of letter in word-formation, 31; use in vowel pairs, 34; variant of, 31</w:t>
      </w:r>
    </w:p>
    <w:p w:rsidR="00B72047" w:rsidRDefault="00B72047">
      <w:pPr>
        <w:pStyle w:val="Index1"/>
        <w:rPr>
          <w:noProof/>
        </w:rPr>
      </w:pPr>
      <w:r>
        <w:rPr>
          <w:noProof/>
        </w:rPr>
        <w:t>Appassionata: example, 202</w:t>
      </w:r>
    </w:p>
    <w:p w:rsidR="00B72047" w:rsidRDefault="00B72047">
      <w:pPr>
        <w:pStyle w:val="Index1"/>
        <w:rPr>
          <w:noProof/>
        </w:rPr>
      </w:pPr>
      <w:r>
        <w:rPr>
          <w:noProof/>
        </w:rPr>
        <w:t>appropriate standard, 480</w:t>
      </w:r>
    </w:p>
    <w:p w:rsidR="00B72047" w:rsidRDefault="00B72047">
      <w:pPr>
        <w:pStyle w:val="Index1"/>
        <w:rPr>
          <w:noProof/>
        </w:rPr>
      </w:pPr>
      <w:r>
        <w:rPr>
          <w:noProof/>
        </w:rPr>
        <w:t>approximate numbers: expressing, 442; expressing some exactness of, 443</w:t>
      </w:r>
    </w:p>
    <w:p w:rsidR="00B72047" w:rsidRDefault="00B72047">
      <w:pPr>
        <w:pStyle w:val="Index1"/>
        <w:rPr>
          <w:noProof/>
        </w:rPr>
      </w:pPr>
      <w:r>
        <w:rPr>
          <w:noProof/>
        </w:rPr>
        <w:t>approximately 40: example, 443</w:t>
      </w:r>
    </w:p>
    <w:p w:rsidR="00B72047" w:rsidRDefault="00B72047">
      <w:pPr>
        <w:pStyle w:val="Index1"/>
        <w:rPr>
          <w:noProof/>
        </w:rPr>
      </w:pPr>
      <w:r>
        <w:rPr>
          <w:noProof/>
        </w:rPr>
        <w:t>Arabian Nights: as multi-level narrative, 467</w:t>
      </w:r>
    </w:p>
    <w:p w:rsidR="00B72047" w:rsidRDefault="00B72047">
      <w:pPr>
        <w:pStyle w:val="Index1"/>
        <w:rPr>
          <w:noProof/>
        </w:rPr>
      </w:pPr>
      <w:r>
        <w:rPr>
          <w:noProof/>
        </w:rPr>
        <w:t>Arabic alphabet: language shift word for, 417</w:t>
      </w:r>
    </w:p>
    <w:p w:rsidR="00B72047" w:rsidRDefault="00B72047">
      <w:pPr>
        <w:pStyle w:val="Index1"/>
        <w:rPr>
          <w:noProof/>
        </w:rPr>
      </w:pPr>
      <w:r>
        <w:rPr>
          <w:noProof/>
        </w:rPr>
        <w:t>argument tags: based on tenses (see also sumti tcita), 231</w:t>
      </w:r>
    </w:p>
    <w:p w:rsidR="00B72047" w:rsidRDefault="00B72047">
      <w:pPr>
        <w:pStyle w:val="Index1"/>
        <w:rPr>
          <w:noProof/>
        </w:rPr>
      </w:pPr>
      <w:r>
        <w:rPr>
          <w:noProof/>
        </w:rPr>
        <w:t>Armstrong: example, 40</w:t>
      </w:r>
    </w:p>
    <w:p w:rsidR="00B72047" w:rsidRDefault="00B72047">
      <w:pPr>
        <w:pStyle w:val="Index1"/>
        <w:rPr>
          <w:noProof/>
        </w:rPr>
      </w:pPr>
      <w:r>
        <w:rPr>
          <w:noProof/>
        </w:rPr>
        <w:t>Arnold: example, 65</w:t>
      </w:r>
    </w:p>
    <w:p w:rsidR="00B72047" w:rsidRDefault="00B72047">
      <w:pPr>
        <w:pStyle w:val="Index1"/>
        <w:rPr>
          <w:noProof/>
        </w:rPr>
      </w:pPr>
      <w:r>
        <w:rPr>
          <w:noProof/>
        </w:rPr>
        <w:t>arthropod, 280</w:t>
      </w:r>
    </w:p>
    <w:p w:rsidR="00B72047" w:rsidRDefault="00B72047">
      <w:pPr>
        <w:pStyle w:val="Index1"/>
        <w:rPr>
          <w:noProof/>
        </w:rPr>
      </w:pPr>
      <w:r>
        <w:rPr>
          <w:noProof/>
        </w:rPr>
        <w:t>article, 498; number, 435</w:t>
      </w:r>
    </w:p>
    <w:p w:rsidR="00B72047" w:rsidRDefault="00B72047">
      <w:pPr>
        <w:pStyle w:val="Index1"/>
        <w:rPr>
          <w:noProof/>
        </w:rPr>
      </w:pPr>
      <w:r>
        <w:rPr>
          <w:noProof/>
        </w:rPr>
        <w:t>articles: cmavo as Lojban equivalents, 50</w:t>
      </w:r>
    </w:p>
    <w:p w:rsidR="00B72047" w:rsidRDefault="00B72047">
      <w:pPr>
        <w:pStyle w:val="Index1"/>
        <w:rPr>
          <w:noProof/>
        </w:rPr>
      </w:pPr>
      <w:r>
        <w:rPr>
          <w:noProof/>
        </w:rPr>
        <w:t>Artur Rubenstein: example, 202</w:t>
      </w:r>
    </w:p>
    <w:p w:rsidR="00B72047" w:rsidRDefault="00B72047">
      <w:pPr>
        <w:pStyle w:val="Index1"/>
        <w:rPr>
          <w:noProof/>
        </w:rPr>
      </w:pPr>
      <w:r>
        <w:rPr>
          <w:noProof/>
        </w:rPr>
        <w:t>ASCII: application to lerfu words, 425</w:t>
      </w:r>
    </w:p>
    <w:p w:rsidR="00B72047" w:rsidRDefault="00B72047">
      <w:pPr>
        <w:pStyle w:val="Index1"/>
        <w:rPr>
          <w:noProof/>
        </w:rPr>
      </w:pPr>
      <w:r>
        <w:rPr>
          <w:noProof/>
        </w:rPr>
        <w:t>aspect: expressing, 228; natural languages compared with respect to, 228</w:t>
      </w:r>
    </w:p>
    <w:p w:rsidR="00B72047" w:rsidRDefault="00B72047">
      <w:pPr>
        <w:pStyle w:val="Index1"/>
        <w:rPr>
          <w:noProof/>
        </w:rPr>
      </w:pPr>
      <w:r>
        <w:rPr>
          <w:noProof/>
        </w:rPr>
        <w:t>assignable pro-sumti: explicit cancellation of by rebinding, 162; stability of, 162</w:t>
      </w:r>
    </w:p>
    <w:p w:rsidR="00B72047" w:rsidRDefault="00B72047">
      <w:pPr>
        <w:pStyle w:val="Index1"/>
        <w:rPr>
          <w:noProof/>
        </w:rPr>
      </w:pPr>
      <w:r>
        <w:rPr>
          <w:noProof/>
        </w:rPr>
        <w:t>assumption: example, 317</w:t>
      </w:r>
    </w:p>
    <w:p w:rsidR="00B72047" w:rsidRDefault="00B72047">
      <w:pPr>
        <w:pStyle w:val="Index1"/>
        <w:rPr>
          <w:noProof/>
        </w:rPr>
      </w:pPr>
      <w:r>
        <w:rPr>
          <w:noProof/>
        </w:rPr>
        <w:t>asymmetric lujvo, 287</w:t>
      </w:r>
    </w:p>
    <w:p w:rsidR="00B72047" w:rsidRDefault="00B72047">
      <w:pPr>
        <w:pStyle w:val="Index1"/>
        <w:rPr>
          <w:noProof/>
        </w:rPr>
      </w:pPr>
      <w:r>
        <w:rPr>
          <w:noProof/>
        </w:rPr>
        <w:t>asymmetrical tanru, 104; definition, 104</w:t>
      </w:r>
    </w:p>
    <w:p w:rsidR="00B72047" w:rsidRDefault="00B72047">
      <w:pPr>
        <w:pStyle w:val="Index1"/>
        <w:rPr>
          <w:noProof/>
        </w:rPr>
      </w:pPr>
      <w:r>
        <w:rPr>
          <w:noProof/>
        </w:rPr>
        <w:t>asymmetrical tanru types: activity + implement-used, 110; cause + effect, 107; characteristic/detail + object, 106; characteristic-time + event, 110; effect + causative agent, 107; elements-in-set + set, 105; energy-source + powered, 110; general-class + sub-class, 106; inhabitant + habitat, 106; locus-of-application + object, 110; miscellaneous, 111; object + component/detail, 106; object + place-sold, 110; object + usual-container, 110; object-giving-characteristic + other-object, 109; object-measured + standard-object, 108; object-of-action + action, 105; object-of-purpose-of-instrument + instrument, 107; overriding-property + object-with-implicit-properties, 108; possessor + object, 106; product + producer, 109; product + source, 108; purpose-of-instrument + instrument, 107; set + element-of-set, 105; similar-appearance-object + object, 109; source + product, 107; source-material + object, 108; typical-place + object, 109; undesired-object + protection-object, 110; whole + part, 109</w:t>
      </w:r>
    </w:p>
    <w:p w:rsidR="00B72047" w:rsidRDefault="00B72047">
      <w:pPr>
        <w:pStyle w:val="Index1"/>
        <w:rPr>
          <w:noProof/>
        </w:rPr>
      </w:pPr>
      <w:r>
        <w:rPr>
          <w:noProof/>
        </w:rPr>
        <w:t>at least: contrasted with more than, less than, at most, 443; example, 443</w:t>
      </w:r>
    </w:p>
    <w:p w:rsidR="00B72047" w:rsidRDefault="00B72047">
      <w:pPr>
        <w:pStyle w:val="Index1"/>
        <w:rPr>
          <w:noProof/>
        </w:rPr>
      </w:pPr>
      <w:r>
        <w:rPr>
          <w:noProof/>
        </w:rPr>
        <w:t>at most: contrasted with more than, at least, less than, 443; example, 443</w:t>
      </w:r>
    </w:p>
    <w:p w:rsidR="00B72047" w:rsidRDefault="00B72047">
      <w:pPr>
        <w:pStyle w:val="Index1"/>
        <w:rPr>
          <w:noProof/>
        </w:rPr>
      </w:pPr>
      <w:r>
        <w:rPr>
          <w:noProof/>
        </w:rPr>
        <w:t>Athens, 258</w:t>
      </w:r>
    </w:p>
    <w:p w:rsidR="00B72047" w:rsidRDefault="00B72047">
      <w:pPr>
        <w:pStyle w:val="Index1"/>
        <w:rPr>
          <w:noProof/>
        </w:rPr>
      </w:pPr>
      <w:r>
        <w:rPr>
          <w:noProof/>
        </w:rPr>
        <w:t>attend school: example, 226</w:t>
      </w:r>
    </w:p>
    <w:p w:rsidR="00B72047" w:rsidRDefault="00B72047">
      <w:pPr>
        <w:pStyle w:val="Index1"/>
        <w:rPr>
          <w:noProof/>
        </w:rPr>
      </w:pPr>
      <w:r>
        <w:rPr>
          <w:noProof/>
        </w:rPr>
        <w:t>attitude, 297; avoidance of expression, 322; scalar, 305</w:t>
      </w:r>
    </w:p>
    <w:p w:rsidR="00B72047" w:rsidRDefault="00B72047">
      <w:pPr>
        <w:pStyle w:val="Index1"/>
        <w:rPr>
          <w:noProof/>
        </w:rPr>
      </w:pPr>
      <w:r>
        <w:rPr>
          <w:noProof/>
        </w:rPr>
        <w:t>attitudes: beginning, 314; ceasing, 314; continuing, 314; empathy contrasted with sympathy, 314; expressing changes in, 314</w:t>
      </w:r>
    </w:p>
    <w:p w:rsidR="00B72047" w:rsidRDefault="00B72047">
      <w:pPr>
        <w:pStyle w:val="Index1"/>
        <w:rPr>
          <w:noProof/>
        </w:rPr>
      </w:pPr>
      <w:r>
        <w:rPr>
          <w:noProof/>
        </w:rPr>
        <w:t>attitudinal: example of scale effect, 305; scope, 474; signaling as non-propositional, 304</w:t>
      </w:r>
    </w:p>
    <w:p w:rsidR="00B72047" w:rsidRDefault="00B72047">
      <w:pPr>
        <w:pStyle w:val="Index1"/>
        <w:rPr>
          <w:noProof/>
        </w:rPr>
      </w:pPr>
      <w:r>
        <w:rPr>
          <w:noProof/>
        </w:rPr>
        <w:t>attitudinal answers: plausibility, 313</w:t>
      </w:r>
    </w:p>
    <w:p w:rsidR="00B72047" w:rsidRDefault="00B72047">
      <w:pPr>
        <w:pStyle w:val="Index1"/>
        <w:rPr>
          <w:noProof/>
        </w:rPr>
      </w:pPr>
      <w:r>
        <w:rPr>
          <w:noProof/>
        </w:rPr>
        <w:t>attitudinal categories, 306; example of effect, 307; mnemonic for, 307; rationale, 306</w:t>
      </w:r>
    </w:p>
    <w:p w:rsidR="00B72047" w:rsidRDefault="00B72047">
      <w:pPr>
        <w:pStyle w:val="Index1"/>
        <w:rPr>
          <w:noProof/>
        </w:rPr>
      </w:pPr>
      <w:r>
        <w:rPr>
          <w:noProof/>
        </w:rPr>
        <w:t>attitudinal indicator: unspecified, 311</w:t>
      </w:r>
    </w:p>
    <w:p w:rsidR="00B72047" w:rsidRDefault="00B72047">
      <w:pPr>
        <w:pStyle w:val="Index1"/>
        <w:rPr>
          <w:noProof/>
        </w:rPr>
      </w:pPr>
      <w:r>
        <w:rPr>
          <w:noProof/>
        </w:rPr>
        <w:t>attitudinal indicators, 297; conventions of interpretation, 311; placement of “nai” in, 311; placement of scale in, 311; quick-tour version, 24</w:t>
      </w:r>
    </w:p>
    <w:p w:rsidR="00B72047" w:rsidRDefault="00B72047">
      <w:pPr>
        <w:pStyle w:val="Index1"/>
        <w:rPr>
          <w:noProof/>
        </w:rPr>
      </w:pPr>
      <w:r>
        <w:rPr>
          <w:noProof/>
        </w:rPr>
        <w:t>attitudinal modifiers, 308</w:t>
      </w:r>
    </w:p>
    <w:p w:rsidR="00B72047" w:rsidRDefault="00B72047">
      <w:pPr>
        <w:pStyle w:val="Index1"/>
        <w:rPr>
          <w:noProof/>
        </w:rPr>
      </w:pPr>
      <w:r>
        <w:rPr>
          <w:noProof/>
        </w:rPr>
        <w:t>attitudinal phrase, 299</w:t>
      </w:r>
    </w:p>
    <w:p w:rsidR="00B72047" w:rsidRDefault="00B72047">
      <w:pPr>
        <w:pStyle w:val="Index1"/>
        <w:rPr>
          <w:noProof/>
        </w:rPr>
      </w:pPr>
      <w:r>
        <w:rPr>
          <w:noProof/>
        </w:rPr>
        <w:t>attitudinal questions, 313; asking about specific attitude, 313; asking intensity, 313</w:t>
      </w:r>
    </w:p>
    <w:p w:rsidR="00B72047" w:rsidRDefault="00B72047">
      <w:pPr>
        <w:pStyle w:val="Index1"/>
        <w:rPr>
          <w:noProof/>
        </w:rPr>
      </w:pPr>
      <w:r>
        <w:rPr>
          <w:noProof/>
        </w:rPr>
        <w:t>attitudinal scale: as axis in emotion-space, 306; neutral compared with positive + negative, 306; seven-position, 305; stand-alone usage, 305; usage, 305</w:t>
      </w:r>
    </w:p>
    <w:p w:rsidR="00B72047" w:rsidRDefault="00B72047">
      <w:pPr>
        <w:pStyle w:val="Index1"/>
        <w:rPr>
          <w:noProof/>
        </w:rPr>
      </w:pPr>
      <w:r>
        <w:rPr>
          <w:noProof/>
        </w:rPr>
        <w:t>attitudinal scales: rationale for assignment, 304</w:t>
      </w:r>
    </w:p>
    <w:p w:rsidR="00B72047" w:rsidRDefault="00B72047">
      <w:pPr>
        <w:pStyle w:val="Index1"/>
        <w:rPr>
          <w:noProof/>
        </w:rPr>
      </w:pPr>
      <w:r>
        <w:rPr>
          <w:noProof/>
        </w:rPr>
        <w:t>attitudinals: a- series, 301; affecting whole grammatical structures, 312; ambivalent emotion words, 300; and logic, 392; at beginning of text, 312; attributing emotion to others, 314; benefit in written expression, 312; categories with nai, 307; categories with scale markers, 307; comparison of meaning based on position, 301; complex emotion words, 300; complexity, 310; compound, 298; contours, 314; contrasted with bridi, 303, 306; contrasted with discursives, 317; contrasted with rationalizations of emotion, 306; design benefit, 306; difficult emotion words, 300; e- series, 301; effect of cu'i, 299; effect of nai, 299; emotional contrasted with propositional, 301; emotional/propositional caveat, 302; exceptions, 314; external grammar, 312; grammar of internal compounding, 311; grammar of placement in bridi, 312; i- series, 298, 301; internal grammar, complete, 311; logical language and, 302; negative, 304; neutral, 304; non-speaker attitudes, 314; o- series, 298; order of, 306; placement for prevailing attitude, 297; placement in sentences with “nai”, 311; positive, 304; prevailing attitude, 297; propositional contrasted with emotional, 301; propositional effect on claim, 301; propositional indicators, 301; propositional/emotional caveat, 302; pure emotion, 298; rationale for, 303; referent uncertainty, 312; scale of, 304; stand-alone categories, 307; u- series, 298; word-form for primary, 297</w:t>
      </w:r>
    </w:p>
    <w:p w:rsidR="00B72047" w:rsidRDefault="00B72047">
      <w:pPr>
        <w:pStyle w:val="Index1"/>
        <w:rPr>
          <w:noProof/>
        </w:rPr>
      </w:pPr>
      <w:r>
        <w:rPr>
          <w:noProof/>
        </w:rPr>
        <w:t>attitudinals and claims, 298</w:t>
      </w:r>
    </w:p>
    <w:p w:rsidR="00B72047" w:rsidRDefault="00B72047">
      <w:pPr>
        <w:pStyle w:val="Index1"/>
        <w:rPr>
          <w:noProof/>
        </w:rPr>
      </w:pPr>
      <w:r>
        <w:rPr>
          <w:noProof/>
        </w:rPr>
        <w:t>attitudinals and irony, 299</w:t>
      </w:r>
    </w:p>
    <w:p w:rsidR="00B72047" w:rsidRDefault="00B72047">
      <w:pPr>
        <w:pStyle w:val="Index1"/>
        <w:rPr>
          <w:noProof/>
        </w:rPr>
      </w:pPr>
      <w:r>
        <w:rPr>
          <w:noProof/>
        </w:rPr>
        <w:t>attitudinals and truth value, 298</w:t>
      </w:r>
    </w:p>
    <w:p w:rsidR="00B72047" w:rsidRDefault="00B72047">
      <w:pPr>
        <w:pStyle w:val="Index1"/>
        <w:rPr>
          <w:noProof/>
        </w:rPr>
      </w:pPr>
      <w:r>
        <w:rPr>
          <w:noProof/>
        </w:rPr>
        <w:t>attitudinals for emotional reaction, 299</w:t>
      </w:r>
    </w:p>
    <w:p w:rsidR="00B72047" w:rsidRDefault="00B72047">
      <w:pPr>
        <w:pStyle w:val="Index1"/>
        <w:rPr>
          <w:noProof/>
        </w:rPr>
      </w:pPr>
      <w:r>
        <w:rPr>
          <w:noProof/>
        </w:rPr>
        <w:t>a'ucu'i, 302</w:t>
      </w:r>
    </w:p>
    <w:p w:rsidR="00B72047" w:rsidRDefault="00B72047">
      <w:pPr>
        <w:pStyle w:val="Index1"/>
        <w:rPr>
          <w:noProof/>
        </w:rPr>
      </w:pPr>
      <w:r>
        <w:rPr>
          <w:noProof/>
        </w:rPr>
        <w:t>au, 302</w:t>
      </w:r>
    </w:p>
    <w:p w:rsidR="00B72047" w:rsidRDefault="00B72047">
      <w:pPr>
        <w:pStyle w:val="Index1"/>
        <w:rPr>
          <w:noProof/>
        </w:rPr>
      </w:pPr>
      <w:r>
        <w:rPr>
          <w:noProof/>
        </w:rPr>
        <w:t>audio-visual isomorphism, 29</w:t>
      </w:r>
    </w:p>
    <w:p w:rsidR="00B72047" w:rsidRDefault="00B72047">
      <w:pPr>
        <w:pStyle w:val="Index1"/>
        <w:rPr>
          <w:noProof/>
        </w:rPr>
      </w:pPr>
      <w:r>
        <w:rPr>
          <w:noProof/>
        </w:rPr>
        <w:t>audio-visually isomorphic, 465</w:t>
      </w:r>
    </w:p>
    <w:p w:rsidR="00B72047" w:rsidRDefault="00B72047">
      <w:pPr>
        <w:pStyle w:val="Index1"/>
        <w:rPr>
          <w:noProof/>
        </w:rPr>
      </w:pPr>
      <w:r>
        <w:rPr>
          <w:noProof/>
        </w:rPr>
        <w:t>auditoriums, 281</w:t>
      </w:r>
    </w:p>
    <w:p w:rsidR="00B72047" w:rsidRDefault="00B72047">
      <w:pPr>
        <w:pStyle w:val="Index1"/>
        <w:rPr>
          <w:noProof/>
        </w:rPr>
      </w:pPr>
      <w:r>
        <w:rPr>
          <w:noProof/>
        </w:rPr>
        <w:t>author of this book, 5</w:t>
      </w:r>
    </w:p>
    <w:p w:rsidR="00B72047" w:rsidRDefault="00B72047">
      <w:pPr>
        <w:pStyle w:val="Index1"/>
        <w:rPr>
          <w:noProof/>
        </w:rPr>
      </w:pPr>
      <w:r>
        <w:rPr>
          <w:noProof/>
        </w:rPr>
        <w:t>Avon: example, 196</w:t>
      </w:r>
    </w:p>
    <w:p w:rsidR="00B72047" w:rsidRDefault="00B72047">
      <w:pPr>
        <w:pStyle w:val="Index1"/>
        <w:rPr>
          <w:noProof/>
        </w:rPr>
      </w:pPr>
      <w:r>
        <w:rPr>
          <w:noProof/>
        </w:rPr>
        <w:t>ba, 219, 363</w:t>
      </w:r>
    </w:p>
    <w:p w:rsidR="00B72047" w:rsidRDefault="00B72047">
      <w:pPr>
        <w:pStyle w:val="Index1"/>
        <w:rPr>
          <w:noProof/>
        </w:rPr>
      </w:pPr>
      <w:r>
        <w:rPr>
          <w:noProof/>
        </w:rPr>
        <w:t>ba'a, 316</w:t>
      </w:r>
    </w:p>
    <w:p w:rsidR="00B72047" w:rsidRDefault="00B72047">
      <w:pPr>
        <w:pStyle w:val="Index1"/>
        <w:rPr>
          <w:noProof/>
        </w:rPr>
      </w:pPr>
      <w:r>
        <w:rPr>
          <w:noProof/>
        </w:rPr>
        <w:t>ba'acu'i, 316</w:t>
      </w:r>
    </w:p>
    <w:p w:rsidR="00B72047" w:rsidRDefault="00B72047">
      <w:pPr>
        <w:pStyle w:val="Index1"/>
        <w:rPr>
          <w:noProof/>
        </w:rPr>
      </w:pPr>
      <w:r>
        <w:rPr>
          <w:noProof/>
        </w:rPr>
        <w:t>ba'anai, 316</w:t>
      </w:r>
    </w:p>
    <w:p w:rsidR="00B72047" w:rsidRDefault="00B72047">
      <w:pPr>
        <w:pStyle w:val="Index1"/>
        <w:rPr>
          <w:noProof/>
        </w:rPr>
      </w:pPr>
      <w:r>
        <w:rPr>
          <w:noProof/>
        </w:rPr>
        <w:t>back-counting pro-sumti, 139</w:t>
      </w:r>
    </w:p>
    <w:p w:rsidR="00B72047" w:rsidRDefault="00B72047">
      <w:pPr>
        <w:pStyle w:val="Index1"/>
        <w:rPr>
          <w:noProof/>
        </w:rPr>
      </w:pPr>
      <w:r>
        <w:rPr>
          <w:noProof/>
        </w:rPr>
        <w:t>background noise, 278</w:t>
      </w:r>
    </w:p>
    <w:p w:rsidR="00B72047" w:rsidRDefault="00B72047">
      <w:pPr>
        <w:pStyle w:val="Index1"/>
        <w:rPr>
          <w:noProof/>
        </w:rPr>
      </w:pPr>
      <w:r>
        <w:rPr>
          <w:noProof/>
        </w:rPr>
        <w:t>ba'e, 416, 479; interaction with bu, 416</w:t>
      </w:r>
    </w:p>
    <w:p w:rsidR="00B72047" w:rsidRDefault="00B72047">
      <w:pPr>
        <w:pStyle w:val="Index1"/>
        <w:rPr>
          <w:noProof/>
        </w:rPr>
      </w:pPr>
      <w:r>
        <w:rPr>
          <w:noProof/>
        </w:rPr>
        <w:t>BAhE selma’o, 479, 480, 489</w:t>
      </w:r>
    </w:p>
    <w:p w:rsidR="00B72047" w:rsidRDefault="00B72047">
      <w:pPr>
        <w:pStyle w:val="Index1"/>
        <w:rPr>
          <w:noProof/>
        </w:rPr>
      </w:pPr>
      <w:r>
        <w:rPr>
          <w:noProof/>
        </w:rPr>
        <w:t>bai, 201</w:t>
      </w:r>
    </w:p>
    <w:p w:rsidR="00B72047" w:rsidRDefault="00B72047">
      <w:pPr>
        <w:pStyle w:val="Index1"/>
        <w:rPr>
          <w:noProof/>
        </w:rPr>
      </w:pPr>
      <w:r>
        <w:rPr>
          <w:noProof/>
        </w:rPr>
        <w:t>bai ke, 202</w:t>
      </w:r>
    </w:p>
    <w:p w:rsidR="00B72047" w:rsidRDefault="00B72047">
      <w:pPr>
        <w:pStyle w:val="Index1"/>
        <w:rPr>
          <w:noProof/>
        </w:rPr>
      </w:pPr>
      <w:r>
        <w:rPr>
          <w:noProof/>
        </w:rPr>
        <w:t>BAI modal tags: rationale for, 195</w:t>
      </w:r>
    </w:p>
    <w:p w:rsidR="00B72047" w:rsidRDefault="00B72047">
      <w:pPr>
        <w:pStyle w:val="Index1"/>
        <w:rPr>
          <w:noProof/>
        </w:rPr>
      </w:pPr>
      <w:r>
        <w:rPr>
          <w:noProof/>
        </w:rPr>
        <w:t>BAI selma’o, 195, 205, 224, 489; as short forms for fi'o constructs, 195; effect of conversion on, 196; form of cmavo in, 197; rationale for selection, 196</w:t>
      </w:r>
    </w:p>
    <w:p w:rsidR="00B72047" w:rsidRDefault="00B72047">
      <w:pPr>
        <w:pStyle w:val="Index1"/>
        <w:rPr>
          <w:noProof/>
        </w:rPr>
      </w:pPr>
      <w:r>
        <w:rPr>
          <w:noProof/>
        </w:rPr>
        <w:t>ba'o, 228; as futureward of event, 229; derivation of word, 228; explanation of derivation, 229</w:t>
      </w:r>
    </w:p>
    <w:p w:rsidR="00B72047" w:rsidRDefault="00B72047">
      <w:pPr>
        <w:pStyle w:val="Index1"/>
        <w:rPr>
          <w:noProof/>
        </w:rPr>
      </w:pPr>
      <w:r>
        <w:rPr>
          <w:noProof/>
        </w:rPr>
        <w:t>base: assumed, 444; changing permanently, 444; non-constant, 444; specifying, 444; vague, 445</w:t>
      </w:r>
    </w:p>
    <w:p w:rsidR="00B72047" w:rsidRDefault="00B72047">
      <w:pPr>
        <w:pStyle w:val="Index1"/>
        <w:rPr>
          <w:noProof/>
        </w:rPr>
      </w:pPr>
      <w:r>
        <w:rPr>
          <w:noProof/>
        </w:rPr>
        <w:t>base greater than 16: compound single-digits contrasted with two digits, 445; expressing numbers in, 445; two digits contrasted with compound single-digits, 445</w:t>
      </w:r>
    </w:p>
    <w:p w:rsidR="00B72047" w:rsidRDefault="00B72047">
      <w:pPr>
        <w:pStyle w:val="Index1"/>
        <w:rPr>
          <w:noProof/>
        </w:rPr>
      </w:pPr>
      <w:r>
        <w:rPr>
          <w:noProof/>
        </w:rPr>
        <w:t>base point: in bases other than 10, 444</w:t>
      </w:r>
    </w:p>
    <w:p w:rsidR="00B72047" w:rsidRDefault="00B72047">
      <w:pPr>
        <w:pStyle w:val="Index1"/>
        <w:rPr>
          <w:noProof/>
        </w:rPr>
      </w:pPr>
      <w:r>
        <w:rPr>
          <w:noProof/>
        </w:rPr>
        <w:t>base varying for each digit: separator for, 445</w:t>
      </w:r>
    </w:p>
    <w:p w:rsidR="00B72047" w:rsidRDefault="00B72047">
      <w:pPr>
        <w:pStyle w:val="Index1"/>
        <w:rPr>
          <w:noProof/>
        </w:rPr>
      </w:pPr>
      <w:r>
        <w:rPr>
          <w:noProof/>
        </w:rPr>
        <w:t>base-20 arithmetic: remnants of, 461</w:t>
      </w:r>
    </w:p>
    <w:p w:rsidR="00B72047" w:rsidRDefault="00B72047">
      <w:pPr>
        <w:pStyle w:val="Index1"/>
        <w:rPr>
          <w:noProof/>
        </w:rPr>
      </w:pPr>
      <w:r>
        <w:rPr>
          <w:noProof/>
        </w:rPr>
        <w:t>basis: example, 317</w:t>
      </w:r>
    </w:p>
    <w:p w:rsidR="00B72047" w:rsidRDefault="00B72047">
      <w:pPr>
        <w:pStyle w:val="Index1"/>
        <w:rPr>
          <w:noProof/>
        </w:rPr>
      </w:pPr>
      <w:r>
        <w:rPr>
          <w:noProof/>
        </w:rPr>
        <w:t>ba'u, 318</w:t>
      </w:r>
    </w:p>
    <w:p w:rsidR="00B72047" w:rsidRDefault="00B72047">
      <w:pPr>
        <w:pStyle w:val="Index1"/>
        <w:rPr>
          <w:noProof/>
        </w:rPr>
      </w:pPr>
      <w:r>
        <w:rPr>
          <w:noProof/>
        </w:rPr>
        <w:t>be, 93, 197, 262</w:t>
      </w:r>
    </w:p>
    <w:p w:rsidR="00B72047" w:rsidRDefault="00B72047">
      <w:pPr>
        <w:pStyle w:val="Index1"/>
        <w:rPr>
          <w:noProof/>
        </w:rPr>
      </w:pPr>
      <w:r>
        <w:rPr>
          <w:noProof/>
        </w:rPr>
        <w:t>BE selma’o, 93, 489; terminator for, 490</w:t>
      </w:r>
    </w:p>
    <w:p w:rsidR="00B72047" w:rsidRDefault="00B72047">
      <w:pPr>
        <w:pStyle w:val="Index1"/>
        <w:rPr>
          <w:noProof/>
        </w:rPr>
      </w:pPr>
      <w:r>
        <w:rPr>
          <w:noProof/>
        </w:rPr>
        <w:t>be'a, 231</w:t>
      </w:r>
    </w:p>
    <w:p w:rsidR="00B72047" w:rsidRDefault="00B72047">
      <w:pPr>
        <w:pStyle w:val="Index1"/>
        <w:rPr>
          <w:noProof/>
        </w:rPr>
      </w:pPr>
      <w:r>
        <w:rPr>
          <w:noProof/>
        </w:rPr>
        <w:t>beach: example, 259</w:t>
      </w:r>
    </w:p>
    <w:p w:rsidR="00B72047" w:rsidRDefault="00B72047">
      <w:pPr>
        <w:pStyle w:val="Index1"/>
        <w:rPr>
          <w:noProof/>
        </w:rPr>
      </w:pPr>
      <w:r>
        <w:rPr>
          <w:noProof/>
        </w:rPr>
        <w:t>beans: example, 176</w:t>
      </w:r>
    </w:p>
    <w:p w:rsidR="00B72047" w:rsidRDefault="00B72047">
      <w:pPr>
        <w:pStyle w:val="Index1"/>
        <w:rPr>
          <w:noProof/>
        </w:rPr>
      </w:pPr>
      <w:r>
        <w:rPr>
          <w:noProof/>
        </w:rPr>
        <w:t>bear wrote story: example, 121</w:t>
      </w:r>
    </w:p>
    <w:p w:rsidR="00B72047" w:rsidRDefault="00B72047">
      <w:pPr>
        <w:pStyle w:val="Index1"/>
        <w:rPr>
          <w:noProof/>
        </w:rPr>
      </w:pPr>
      <w:r>
        <w:rPr>
          <w:noProof/>
        </w:rPr>
        <w:t>Bears wrote book: example, 124</w:t>
      </w:r>
    </w:p>
    <w:p w:rsidR="00B72047" w:rsidRDefault="00B72047">
      <w:pPr>
        <w:pStyle w:val="Index1"/>
        <w:rPr>
          <w:noProof/>
        </w:rPr>
      </w:pPr>
      <w:r>
        <w:rPr>
          <w:noProof/>
        </w:rPr>
        <w:t>beautiful dog: example, 20</w:t>
      </w:r>
    </w:p>
    <w:p w:rsidR="00B72047" w:rsidRDefault="00B72047">
      <w:pPr>
        <w:pStyle w:val="Index1"/>
        <w:rPr>
          <w:noProof/>
        </w:rPr>
      </w:pPr>
      <w:r>
        <w:rPr>
          <w:noProof/>
        </w:rPr>
        <w:t>because: English word, four varieties of, 198</w:t>
      </w:r>
    </w:p>
    <w:p w:rsidR="00B72047" w:rsidRDefault="00B72047">
      <w:pPr>
        <w:pStyle w:val="Index1"/>
        <w:rPr>
          <w:noProof/>
        </w:rPr>
      </w:pPr>
      <w:r>
        <w:rPr>
          <w:noProof/>
        </w:rPr>
        <w:t>beckon: example, 291</w:t>
      </w:r>
    </w:p>
    <w:p w:rsidR="00B72047" w:rsidRDefault="00B72047">
      <w:pPr>
        <w:pStyle w:val="Index1"/>
        <w:rPr>
          <w:noProof/>
        </w:rPr>
      </w:pPr>
      <w:r>
        <w:rPr>
          <w:noProof/>
        </w:rPr>
        <w:t>be'e, 324</w:t>
      </w:r>
    </w:p>
    <w:p w:rsidR="00B72047" w:rsidRDefault="00B72047">
      <w:pPr>
        <w:pStyle w:val="Index1"/>
        <w:rPr>
          <w:noProof/>
        </w:rPr>
      </w:pPr>
      <w:r>
        <w:rPr>
          <w:noProof/>
        </w:rPr>
        <w:t>beefsteak, 285; example, 285</w:t>
      </w:r>
    </w:p>
    <w:p w:rsidR="00B72047" w:rsidRDefault="00B72047">
      <w:pPr>
        <w:pStyle w:val="Index1"/>
        <w:rPr>
          <w:noProof/>
        </w:rPr>
      </w:pPr>
      <w:r>
        <w:rPr>
          <w:noProof/>
        </w:rPr>
        <w:t>Beethoven: example, 202</w:t>
      </w:r>
    </w:p>
    <w:p w:rsidR="00B72047" w:rsidRDefault="00B72047">
      <w:pPr>
        <w:pStyle w:val="Index1"/>
        <w:rPr>
          <w:noProof/>
        </w:rPr>
      </w:pPr>
      <w:r>
        <w:rPr>
          <w:noProof/>
        </w:rPr>
        <w:t>beetle: example, 280</w:t>
      </w:r>
    </w:p>
    <w:p w:rsidR="00B72047" w:rsidRDefault="00B72047">
      <w:pPr>
        <w:pStyle w:val="Index1"/>
        <w:rPr>
          <w:noProof/>
        </w:rPr>
      </w:pPr>
      <w:r>
        <w:rPr>
          <w:noProof/>
        </w:rPr>
        <w:t>beetles, 280</w:t>
      </w:r>
    </w:p>
    <w:p w:rsidR="00B72047" w:rsidRDefault="00B72047">
      <w:pPr>
        <w:pStyle w:val="Index1"/>
        <w:rPr>
          <w:noProof/>
        </w:rPr>
      </w:pPr>
      <w:r>
        <w:rPr>
          <w:noProof/>
        </w:rPr>
        <w:t>begin: contrasted with resume, 229</w:t>
      </w:r>
    </w:p>
    <w:p w:rsidR="00B72047" w:rsidRDefault="00B72047">
      <w:pPr>
        <w:pStyle w:val="Index1"/>
        <w:rPr>
          <w:noProof/>
        </w:rPr>
      </w:pPr>
      <w:r>
        <w:rPr>
          <w:noProof/>
        </w:rPr>
        <w:t>beginning point: spatial, 231</w:t>
      </w:r>
    </w:p>
    <w:p w:rsidR="00B72047" w:rsidRDefault="00B72047">
      <w:pPr>
        <w:pStyle w:val="Index1"/>
        <w:rPr>
          <w:noProof/>
        </w:rPr>
      </w:pPr>
      <w:r>
        <w:rPr>
          <w:noProof/>
        </w:rPr>
        <w:t>BEhO selma’o, 93, 490</w:t>
      </w:r>
    </w:p>
    <w:p w:rsidR="00B72047" w:rsidRDefault="00B72047">
      <w:pPr>
        <w:pStyle w:val="Index1"/>
        <w:rPr>
          <w:noProof/>
        </w:rPr>
      </w:pPr>
      <w:r>
        <w:rPr>
          <w:noProof/>
        </w:rPr>
        <w:t>bei, 93</w:t>
      </w:r>
    </w:p>
    <w:p w:rsidR="00B72047" w:rsidRDefault="00B72047">
      <w:pPr>
        <w:pStyle w:val="Index1"/>
        <w:rPr>
          <w:noProof/>
        </w:rPr>
      </w:pPr>
      <w:r>
        <w:rPr>
          <w:noProof/>
        </w:rPr>
        <w:t>BEI selma’o, 93, 489</w:t>
      </w:r>
    </w:p>
    <w:p w:rsidR="00B72047" w:rsidRDefault="00B72047">
      <w:pPr>
        <w:pStyle w:val="Index1"/>
        <w:rPr>
          <w:noProof/>
        </w:rPr>
      </w:pPr>
      <w:r>
        <w:rPr>
          <w:noProof/>
        </w:rPr>
        <w:t>being alive: example, 258</w:t>
      </w:r>
    </w:p>
    <w:p w:rsidR="00B72047" w:rsidRDefault="00B72047">
      <w:pPr>
        <w:pStyle w:val="Index1"/>
        <w:rPr>
          <w:noProof/>
        </w:rPr>
      </w:pPr>
      <w:r>
        <w:rPr>
          <w:noProof/>
        </w:rPr>
        <w:t>be'o, 93; effect of ku on elidability of, 94; effect of relative clauses on elidability of, 94; elidability of, 94</w:t>
      </w:r>
    </w:p>
    <w:p w:rsidR="00B72047" w:rsidRDefault="00B72047">
      <w:pPr>
        <w:pStyle w:val="Index1"/>
        <w:rPr>
          <w:noProof/>
        </w:rPr>
      </w:pPr>
      <w:r>
        <w:rPr>
          <w:noProof/>
        </w:rPr>
        <w:t>better: example, 293</w:t>
      </w:r>
    </w:p>
    <w:p w:rsidR="00B72047" w:rsidRDefault="00B72047">
      <w:pPr>
        <w:pStyle w:val="Index1"/>
        <w:rPr>
          <w:noProof/>
        </w:rPr>
      </w:pPr>
      <w:r>
        <w:rPr>
          <w:noProof/>
        </w:rPr>
        <w:t>between Dresden and Frankfurt: example, 359, 360, 361</w:t>
      </w:r>
    </w:p>
    <w:p w:rsidR="00B72047" w:rsidRDefault="00B72047">
      <w:pPr>
        <w:pStyle w:val="Index1"/>
        <w:rPr>
          <w:noProof/>
        </w:rPr>
      </w:pPr>
      <w:r>
        <w:rPr>
          <w:noProof/>
        </w:rPr>
        <w:t>be'u, 310</w:t>
      </w:r>
    </w:p>
    <w:p w:rsidR="00B72047" w:rsidRDefault="00B72047">
      <w:pPr>
        <w:pStyle w:val="Index1"/>
        <w:rPr>
          <w:noProof/>
        </w:rPr>
      </w:pPr>
      <w:r>
        <w:rPr>
          <w:noProof/>
        </w:rPr>
        <w:t>beverage: example, 163</w:t>
      </w:r>
    </w:p>
    <w:p w:rsidR="00B72047" w:rsidRDefault="00B72047">
      <w:pPr>
        <w:pStyle w:val="Index1"/>
        <w:rPr>
          <w:noProof/>
        </w:rPr>
      </w:pPr>
      <w:r>
        <w:rPr>
          <w:noProof/>
        </w:rPr>
        <w:t>bibliography, 6</w:t>
      </w:r>
    </w:p>
    <w:p w:rsidR="00B72047" w:rsidRDefault="00B72047">
      <w:pPr>
        <w:pStyle w:val="Index1"/>
        <w:rPr>
          <w:noProof/>
        </w:rPr>
      </w:pPr>
      <w:r>
        <w:rPr>
          <w:noProof/>
        </w:rPr>
        <w:t>bicycle race: example, 266</w:t>
      </w:r>
    </w:p>
    <w:p w:rsidR="00B72047" w:rsidRDefault="00B72047">
      <w:pPr>
        <w:pStyle w:val="Index1"/>
        <w:rPr>
          <w:noProof/>
        </w:rPr>
      </w:pPr>
      <w:r>
        <w:rPr>
          <w:noProof/>
        </w:rPr>
        <w:t>bi'e, 437; effect on following operator, 437</w:t>
      </w:r>
    </w:p>
    <w:p w:rsidR="00B72047" w:rsidRDefault="00B72047">
      <w:pPr>
        <w:pStyle w:val="Index1"/>
        <w:rPr>
          <w:noProof/>
        </w:rPr>
      </w:pPr>
      <w:r>
        <w:rPr>
          <w:noProof/>
        </w:rPr>
        <w:t>big boat: example, 55</w:t>
      </w:r>
    </w:p>
    <w:p w:rsidR="00B72047" w:rsidRDefault="00B72047">
      <w:pPr>
        <w:pStyle w:val="Index1"/>
        <w:rPr>
          <w:noProof/>
        </w:rPr>
      </w:pPr>
      <w:r>
        <w:rPr>
          <w:noProof/>
        </w:rPr>
        <w:t>big nose: example, 169</w:t>
      </w:r>
    </w:p>
    <w:p w:rsidR="00B72047" w:rsidRDefault="00B72047">
      <w:pPr>
        <w:pStyle w:val="Index1"/>
        <w:rPr>
          <w:noProof/>
        </w:rPr>
      </w:pPr>
      <w:r>
        <w:rPr>
          <w:noProof/>
        </w:rPr>
        <w:t>big nose-pores: example, 170</w:t>
      </w:r>
    </w:p>
    <w:p w:rsidR="00B72047" w:rsidRDefault="00B72047">
      <w:pPr>
        <w:pStyle w:val="Index1"/>
        <w:rPr>
          <w:noProof/>
        </w:rPr>
      </w:pPr>
      <w:r>
        <w:rPr>
          <w:noProof/>
        </w:rPr>
        <w:t>big person: example, 169</w:t>
      </w:r>
    </w:p>
    <w:p w:rsidR="00B72047" w:rsidRDefault="00B72047">
      <w:pPr>
        <w:pStyle w:val="Index1"/>
        <w:rPr>
          <w:noProof/>
        </w:rPr>
      </w:pPr>
      <w:r>
        <w:rPr>
          <w:noProof/>
        </w:rPr>
        <w:t>big red dog: example, 89</w:t>
      </w:r>
    </w:p>
    <w:p w:rsidR="00B72047" w:rsidRDefault="00B72047">
      <w:pPr>
        <w:pStyle w:val="Index1"/>
        <w:rPr>
          <w:noProof/>
        </w:rPr>
      </w:pPr>
      <w:r>
        <w:rPr>
          <w:noProof/>
        </w:rPr>
        <w:t>BIhE selma’o, 437, 490</w:t>
      </w:r>
    </w:p>
    <w:p w:rsidR="00B72047" w:rsidRDefault="00B72047">
      <w:pPr>
        <w:pStyle w:val="Index1"/>
        <w:rPr>
          <w:noProof/>
        </w:rPr>
      </w:pPr>
      <w:r>
        <w:rPr>
          <w:noProof/>
        </w:rPr>
        <w:t>BIhI selma’o, 246, 359, 360, 361, 455, 490; grammar of, 360</w:t>
      </w:r>
    </w:p>
    <w:p w:rsidR="00B72047" w:rsidRDefault="00B72047">
      <w:pPr>
        <w:pStyle w:val="Index1"/>
        <w:rPr>
          <w:noProof/>
        </w:rPr>
      </w:pPr>
      <w:r>
        <w:rPr>
          <w:noProof/>
        </w:rPr>
        <w:t>bi'i, 359, 362</w:t>
      </w:r>
    </w:p>
    <w:p w:rsidR="00B72047" w:rsidRDefault="00B72047">
      <w:pPr>
        <w:pStyle w:val="Index1"/>
        <w:rPr>
          <w:noProof/>
        </w:rPr>
      </w:pPr>
      <w:r>
        <w:rPr>
          <w:noProof/>
        </w:rPr>
        <w:t>Bill Clinton: example, 275</w:t>
      </w:r>
    </w:p>
    <w:p w:rsidR="00B72047" w:rsidRDefault="00B72047">
      <w:pPr>
        <w:pStyle w:val="Index1"/>
        <w:rPr>
          <w:noProof/>
        </w:rPr>
      </w:pPr>
      <w:r>
        <w:rPr>
          <w:noProof/>
        </w:rPr>
        <w:t>binary system: specifying numbers in (see also base), 444</w:t>
      </w:r>
    </w:p>
    <w:p w:rsidR="00B72047" w:rsidRDefault="00B72047">
      <w:pPr>
        <w:pStyle w:val="Index1"/>
        <w:rPr>
          <w:noProof/>
        </w:rPr>
      </w:pPr>
      <w:r>
        <w:rPr>
          <w:noProof/>
        </w:rPr>
        <w:t>bi'o, 359</w:t>
      </w:r>
    </w:p>
    <w:p w:rsidR="00B72047" w:rsidRDefault="00B72047">
      <w:pPr>
        <w:pStyle w:val="Index1"/>
        <w:rPr>
          <w:noProof/>
        </w:rPr>
      </w:pPr>
      <w:r>
        <w:rPr>
          <w:noProof/>
        </w:rPr>
        <w:t>bi'u, 322</w:t>
      </w:r>
    </w:p>
    <w:p w:rsidR="00B72047" w:rsidRDefault="00B72047">
      <w:pPr>
        <w:pStyle w:val="Index1"/>
        <w:rPr>
          <w:noProof/>
        </w:rPr>
      </w:pPr>
      <w:r>
        <w:rPr>
          <w:noProof/>
        </w:rPr>
        <w:t>bi'unai, 322</w:t>
      </w:r>
    </w:p>
    <w:p w:rsidR="00B72047" w:rsidRDefault="00B72047">
      <w:pPr>
        <w:pStyle w:val="Index1"/>
        <w:rPr>
          <w:noProof/>
        </w:rPr>
      </w:pPr>
      <w:r>
        <w:rPr>
          <w:noProof/>
        </w:rPr>
        <w:t>black cat: example, 155</w:t>
      </w:r>
    </w:p>
    <w:p w:rsidR="00B72047" w:rsidRDefault="00B72047">
      <w:pPr>
        <w:pStyle w:val="Index1"/>
        <w:rPr>
          <w:noProof/>
        </w:rPr>
      </w:pPr>
      <w:r>
        <w:rPr>
          <w:noProof/>
        </w:rPr>
        <w:t>blue: as sad, example, 322</w:t>
      </w:r>
    </w:p>
    <w:p w:rsidR="00B72047" w:rsidRDefault="00B72047">
      <w:pPr>
        <w:pStyle w:val="Index1"/>
        <w:rPr>
          <w:noProof/>
        </w:rPr>
      </w:pPr>
      <w:r>
        <w:rPr>
          <w:noProof/>
        </w:rPr>
        <w:t>blue and red: example, 354</w:t>
      </w:r>
    </w:p>
    <w:p w:rsidR="00B72047" w:rsidRDefault="00B72047">
      <w:pPr>
        <w:pStyle w:val="Index1"/>
        <w:rPr>
          <w:noProof/>
        </w:rPr>
      </w:pPr>
      <w:r>
        <w:rPr>
          <w:noProof/>
        </w:rPr>
        <w:t>blue house: example, 193, 349</w:t>
      </w:r>
    </w:p>
    <w:p w:rsidR="00B72047" w:rsidRDefault="00B72047">
      <w:pPr>
        <w:pStyle w:val="Index1"/>
        <w:rPr>
          <w:noProof/>
        </w:rPr>
      </w:pPr>
      <w:r>
        <w:rPr>
          <w:noProof/>
        </w:rPr>
        <w:t>blue-eyed: example, 284</w:t>
      </w:r>
    </w:p>
    <w:p w:rsidR="00B72047" w:rsidRDefault="00B72047">
      <w:pPr>
        <w:pStyle w:val="Index1"/>
        <w:rPr>
          <w:noProof/>
        </w:rPr>
      </w:pPr>
      <w:r>
        <w:rPr>
          <w:noProof/>
        </w:rPr>
        <w:t>blueness: example, 261</w:t>
      </w:r>
    </w:p>
    <w:p w:rsidR="00B72047" w:rsidRDefault="00B72047">
      <w:pPr>
        <w:pStyle w:val="Index1"/>
        <w:rPr>
          <w:noProof/>
        </w:rPr>
      </w:pPr>
      <w:r>
        <w:rPr>
          <w:noProof/>
        </w:rPr>
        <w:t>blueness varying: example, 261</w:t>
      </w:r>
    </w:p>
    <w:p w:rsidR="00B72047" w:rsidRDefault="00B72047">
      <w:pPr>
        <w:pStyle w:val="Index1"/>
        <w:rPr>
          <w:noProof/>
        </w:rPr>
      </w:pPr>
      <w:r>
        <w:rPr>
          <w:noProof/>
        </w:rPr>
        <w:t>bo, 86, 198, 238, 240, 342, 343, 349, 361, 364, 459, 466; contrasted with ke for tensed logical connection, 364; contrasted with tu'e for tensed logical connection, 364; for right-grouping in tanru, 87; in jeks for operators, 361; in joiks for operators, 361; in logical connectives, 342; right-grouping, 343</w:t>
      </w:r>
    </w:p>
    <w:p w:rsidR="00B72047" w:rsidRDefault="00B72047">
      <w:pPr>
        <w:pStyle w:val="Index1"/>
        <w:rPr>
          <w:noProof/>
        </w:rPr>
      </w:pPr>
      <w:r>
        <w:rPr>
          <w:noProof/>
        </w:rPr>
        <w:t>bo and forethought connectives, 343</w:t>
      </w:r>
    </w:p>
    <w:p w:rsidR="00B72047" w:rsidRDefault="00B72047">
      <w:pPr>
        <w:pStyle w:val="Index1"/>
        <w:rPr>
          <w:noProof/>
        </w:rPr>
      </w:pPr>
      <w:r>
        <w:rPr>
          <w:noProof/>
        </w:rPr>
        <w:t>BO selma’o, 86, 133, 342, 343, 349, 361, 364, 454, 466, 490</w:t>
      </w:r>
    </w:p>
    <w:p w:rsidR="00B72047" w:rsidRDefault="00B72047">
      <w:pPr>
        <w:pStyle w:val="Index1"/>
        <w:rPr>
          <w:noProof/>
        </w:rPr>
      </w:pPr>
      <w:r>
        <w:rPr>
          <w:noProof/>
        </w:rPr>
        <w:t>boat class: example, 73</w:t>
      </w:r>
    </w:p>
    <w:p w:rsidR="00B72047" w:rsidRDefault="00B72047">
      <w:pPr>
        <w:pStyle w:val="Index1"/>
        <w:rPr>
          <w:noProof/>
        </w:rPr>
      </w:pPr>
      <w:r>
        <w:rPr>
          <w:noProof/>
        </w:rPr>
        <w:t>boat sailed: example, 233</w:t>
      </w:r>
    </w:p>
    <w:p w:rsidR="00B72047" w:rsidRDefault="00B72047">
      <w:pPr>
        <w:pStyle w:val="Index1"/>
        <w:rPr>
          <w:noProof/>
        </w:rPr>
      </w:pPr>
      <w:r>
        <w:rPr>
          <w:noProof/>
        </w:rPr>
        <w:t>boi, 362, 421, 438, 449, 450, 458; effect on elidability of me'u, 449; eliding from lerfu strings, 421; exception before MAI, 458; exception before MOI, 449; exception before ROI, 458; in Polish notation, 438; required between pro-sumti lerfu string and quantifier, 421</w:t>
      </w:r>
    </w:p>
    <w:p w:rsidR="00B72047" w:rsidRDefault="00B72047">
      <w:pPr>
        <w:pStyle w:val="Index1"/>
        <w:rPr>
          <w:noProof/>
        </w:rPr>
      </w:pPr>
      <w:r>
        <w:rPr>
          <w:noProof/>
        </w:rPr>
        <w:t>BOI selma’o, 421, 490</w:t>
      </w:r>
    </w:p>
    <w:p w:rsidR="00B72047" w:rsidRDefault="00B72047">
      <w:pPr>
        <w:pStyle w:val="Index1"/>
        <w:rPr>
          <w:noProof/>
        </w:rPr>
      </w:pPr>
      <w:r>
        <w:rPr>
          <w:noProof/>
        </w:rPr>
        <w:t>bold: example, 418</w:t>
      </w:r>
    </w:p>
    <w:p w:rsidR="00B72047" w:rsidRDefault="00B72047">
      <w:pPr>
        <w:pStyle w:val="Index1"/>
        <w:rPr>
          <w:noProof/>
        </w:rPr>
      </w:pPr>
      <w:r>
        <w:rPr>
          <w:noProof/>
        </w:rPr>
        <w:t>bomb destroyed fifty miles: example, 360</w:t>
      </w:r>
    </w:p>
    <w:p w:rsidR="00B72047" w:rsidRDefault="00B72047">
      <w:pPr>
        <w:pStyle w:val="Index1"/>
        <w:rPr>
          <w:noProof/>
        </w:rPr>
      </w:pPr>
      <w:r>
        <w:rPr>
          <w:noProof/>
        </w:rPr>
        <w:t>bone bread: example, 38</w:t>
      </w:r>
    </w:p>
    <w:p w:rsidR="00B72047" w:rsidRDefault="00B72047">
      <w:pPr>
        <w:pStyle w:val="Index1"/>
        <w:rPr>
          <w:noProof/>
        </w:rPr>
      </w:pPr>
      <w:r>
        <w:rPr>
          <w:noProof/>
        </w:rPr>
        <w:t>books about Lojban, 6</w:t>
      </w:r>
    </w:p>
    <w:p w:rsidR="00B72047" w:rsidRDefault="00B72047">
      <w:pPr>
        <w:pStyle w:val="Index1"/>
        <w:rPr>
          <w:noProof/>
        </w:rPr>
      </w:pPr>
      <w:r>
        <w:rPr>
          <w:noProof/>
        </w:rPr>
        <w:t>boring legalities, 8</w:t>
      </w:r>
    </w:p>
    <w:p w:rsidR="00B72047" w:rsidRDefault="00B72047">
      <w:pPr>
        <w:pStyle w:val="Index1"/>
        <w:rPr>
          <w:noProof/>
        </w:rPr>
      </w:pPr>
      <w:r>
        <w:rPr>
          <w:noProof/>
        </w:rPr>
        <w:t>borrowing: four stages of, 61</w:t>
      </w:r>
    </w:p>
    <w:p w:rsidR="00B72047" w:rsidRDefault="00B72047">
      <w:pPr>
        <w:pStyle w:val="Index1"/>
        <w:rPr>
          <w:noProof/>
        </w:rPr>
      </w:pPr>
      <w:r>
        <w:rPr>
          <w:noProof/>
        </w:rPr>
        <w:t>borrowing from other language: fu'ivla as, 53</w:t>
      </w:r>
    </w:p>
    <w:p w:rsidR="00B72047" w:rsidRDefault="00B72047">
      <w:pPr>
        <w:pStyle w:val="Index1"/>
        <w:rPr>
          <w:noProof/>
        </w:rPr>
      </w:pPr>
      <w:r>
        <w:rPr>
          <w:noProof/>
        </w:rPr>
        <w:t>borrowings: fu'ivla form with categorizing rafsi, 61; fu'ivla form without categorizing rafsi, 62; most common form for, 61; Stage 1, 61; Stage 2, 61; Stage 3, 61; Stage 3 contrasted with Stage 4 in ease of construction, 62; Stage 4, 62; using foreign-language name, 61; using lojbanized name, 61</w:t>
      </w:r>
    </w:p>
    <w:p w:rsidR="00B72047" w:rsidRDefault="00B72047">
      <w:pPr>
        <w:pStyle w:val="Index1"/>
        <w:rPr>
          <w:noProof/>
        </w:rPr>
      </w:pPr>
      <w:r>
        <w:rPr>
          <w:noProof/>
        </w:rPr>
        <w:t>Boston from Atlanta: example, 187</w:t>
      </w:r>
    </w:p>
    <w:p w:rsidR="00B72047" w:rsidRDefault="00B72047">
      <w:pPr>
        <w:pStyle w:val="Index1"/>
        <w:rPr>
          <w:noProof/>
        </w:rPr>
      </w:pPr>
      <w:r>
        <w:rPr>
          <w:noProof/>
        </w:rPr>
        <w:t>both dogs: example, 442</w:t>
      </w:r>
    </w:p>
    <w:p w:rsidR="00B72047" w:rsidRDefault="00B72047">
      <w:pPr>
        <w:pStyle w:val="Index1"/>
        <w:rPr>
          <w:noProof/>
        </w:rPr>
      </w:pPr>
      <w:r>
        <w:rPr>
          <w:noProof/>
        </w:rPr>
        <w:t>bound variable pro-sumti: stability of, 162</w:t>
      </w:r>
    </w:p>
    <w:p w:rsidR="00B72047" w:rsidRDefault="00B72047">
      <w:pPr>
        <w:pStyle w:val="Index1"/>
        <w:rPr>
          <w:noProof/>
        </w:rPr>
      </w:pPr>
      <w:r>
        <w:rPr>
          <w:noProof/>
        </w:rPr>
        <w:t>bovine: example, 285</w:t>
      </w:r>
    </w:p>
    <w:p w:rsidR="00B72047" w:rsidRDefault="00B72047">
      <w:pPr>
        <w:pStyle w:val="Index1"/>
        <w:rPr>
          <w:noProof/>
        </w:rPr>
      </w:pPr>
      <w:r>
        <w:rPr>
          <w:noProof/>
        </w:rPr>
        <w:t>bracketed remark, 481</w:t>
      </w:r>
    </w:p>
    <w:p w:rsidR="00B72047" w:rsidRDefault="00B72047">
      <w:pPr>
        <w:pStyle w:val="Index1"/>
        <w:rPr>
          <w:noProof/>
        </w:rPr>
      </w:pPr>
      <w:r>
        <w:rPr>
          <w:noProof/>
        </w:rPr>
        <w:t>brackets: use in IPA notation, 29</w:t>
      </w:r>
    </w:p>
    <w:p w:rsidR="00B72047" w:rsidRDefault="00B72047">
      <w:pPr>
        <w:pStyle w:val="Index1"/>
        <w:rPr>
          <w:noProof/>
        </w:rPr>
      </w:pPr>
      <w:r>
        <w:rPr>
          <w:noProof/>
        </w:rPr>
        <w:t>breathe: example, 363</w:t>
      </w:r>
    </w:p>
    <w:p w:rsidR="00B72047" w:rsidRDefault="00B72047">
      <w:pPr>
        <w:pStyle w:val="Index1"/>
        <w:rPr>
          <w:noProof/>
        </w:rPr>
      </w:pPr>
      <w:r>
        <w:rPr>
          <w:noProof/>
        </w:rPr>
        <w:t>bridi: building from selbri and sumti, 187; compared with predication, 11; concept of, 11; definition, 83, 187; definition, quick-tour version, 26; effect of alternate form on sumti order, 188; effect of using non-standard form, 188; exception to sumti place structure in, 188; leaving a sumti place unspecified in with zo'e, 189; leaving end sumti places unspecified in, 189; logical connection with negation, 337; logical connective for, 336; non-standard form, 188; omitting the first sumti place, 188; quick-tour version, 14; relation to selbri, 83; selbri-first as exceptional, 188; standard form of, 188</w:t>
      </w:r>
    </w:p>
    <w:p w:rsidR="00B72047" w:rsidRDefault="00B72047">
      <w:pPr>
        <w:pStyle w:val="Index1"/>
        <w:rPr>
          <w:noProof/>
        </w:rPr>
      </w:pPr>
      <w:r>
        <w:rPr>
          <w:noProof/>
        </w:rPr>
        <w:t>bridi connection: use of imperatives in, 353; use of truth questions in, 353</w:t>
      </w:r>
    </w:p>
    <w:p w:rsidR="00B72047" w:rsidRDefault="00B72047">
      <w:pPr>
        <w:pStyle w:val="Index1"/>
        <w:rPr>
          <w:noProof/>
        </w:rPr>
      </w:pPr>
      <w:r>
        <w:rPr>
          <w:noProof/>
        </w:rPr>
        <w:t>bridi logical connection: compared with sumti logical connections, 340</w:t>
      </w:r>
    </w:p>
    <w:p w:rsidR="00B72047" w:rsidRDefault="00B72047">
      <w:pPr>
        <w:pStyle w:val="Index1"/>
        <w:rPr>
          <w:noProof/>
        </w:rPr>
      </w:pPr>
      <w:r>
        <w:rPr>
          <w:noProof/>
        </w:rPr>
        <w:t>bridi negation: and DeMorgan's Law, 408; and negation boundary, 408; compared with negation between sentences, 404; multiple, 104; na before selbri compared to naku in prenex, 401; naku in prenex compared to na before selbri, 401; relative order with tense, 103; two forms of, 401</w:t>
      </w:r>
    </w:p>
    <w:p w:rsidR="00B72047" w:rsidRDefault="00B72047">
      <w:pPr>
        <w:pStyle w:val="Index1"/>
        <w:rPr>
          <w:noProof/>
        </w:rPr>
      </w:pPr>
      <w:r>
        <w:rPr>
          <w:noProof/>
        </w:rPr>
        <w:t>bridi negation and logical connectives, 403</w:t>
      </w:r>
    </w:p>
    <w:p w:rsidR="00B72047" w:rsidRDefault="00B72047">
      <w:pPr>
        <w:pStyle w:val="Index1"/>
        <w:rPr>
          <w:noProof/>
        </w:rPr>
      </w:pPr>
      <w:r>
        <w:rPr>
          <w:noProof/>
        </w:rPr>
        <w:t>bridi questions: quick-tour version, 23</w:t>
      </w:r>
    </w:p>
    <w:p w:rsidR="00B72047" w:rsidRDefault="00B72047">
      <w:pPr>
        <w:pStyle w:val="Index1"/>
        <w:rPr>
          <w:noProof/>
        </w:rPr>
      </w:pPr>
      <w:r>
        <w:rPr>
          <w:noProof/>
        </w:rPr>
        <w:t>bridi-based comparison: contrasted with comparison with relative phrase, in claims about parts, 204</w:t>
      </w:r>
    </w:p>
    <w:p w:rsidR="00B72047" w:rsidRDefault="00B72047">
      <w:pPr>
        <w:pStyle w:val="Index1"/>
        <w:rPr>
          <w:noProof/>
        </w:rPr>
      </w:pPr>
      <w:r>
        <w:rPr>
          <w:noProof/>
        </w:rPr>
        <w:t>bridi-tail: definition, 344, 495</w:t>
      </w:r>
    </w:p>
    <w:p w:rsidR="00B72047" w:rsidRDefault="00B72047">
      <w:pPr>
        <w:pStyle w:val="Index1"/>
        <w:rPr>
          <w:noProof/>
        </w:rPr>
      </w:pPr>
      <w:r>
        <w:rPr>
          <w:noProof/>
        </w:rPr>
        <w:t>bridi-tail logical connection: and DeMorgan's Law, 408</w:t>
      </w:r>
    </w:p>
    <w:p w:rsidR="00B72047" w:rsidRDefault="00B72047">
      <w:pPr>
        <w:pStyle w:val="Index1"/>
        <w:rPr>
          <w:noProof/>
        </w:rPr>
      </w:pPr>
      <w:r>
        <w:rPr>
          <w:noProof/>
        </w:rPr>
        <w:t>bridi-tail modal connection, 200</w:t>
      </w:r>
    </w:p>
    <w:p w:rsidR="00B72047" w:rsidRDefault="00B72047">
      <w:pPr>
        <w:pStyle w:val="Index1"/>
        <w:rPr>
          <w:noProof/>
        </w:rPr>
      </w:pPr>
      <w:r>
        <w:rPr>
          <w:noProof/>
        </w:rPr>
        <w:t>bridi-tails: eliding vau in, 345; forethought tense connection of, 240</w:t>
      </w:r>
    </w:p>
    <w:p w:rsidR="00B72047" w:rsidRDefault="00B72047">
      <w:pPr>
        <w:pStyle w:val="Index1"/>
        <w:rPr>
          <w:noProof/>
        </w:rPr>
      </w:pPr>
      <w:r>
        <w:rPr>
          <w:noProof/>
        </w:rPr>
        <w:t>brie: example, 63</w:t>
      </w:r>
    </w:p>
    <w:p w:rsidR="00B72047" w:rsidRDefault="00B72047">
      <w:pPr>
        <w:pStyle w:val="Index1"/>
        <w:rPr>
          <w:noProof/>
        </w:rPr>
      </w:pPr>
      <w:r>
        <w:rPr>
          <w:noProof/>
        </w:rPr>
        <w:t>brivla: as one of the 3 basic word classes, 50; consonant pairs in, 53; definition, 52; definition, quick-tour version, 27; from tanru, 55; properties of, 53; recognition of, 53; relation to bridi, 11; stress on, 40; subtypes of, 53; types, 83; types of, quick-tour version, 20</w:t>
      </w:r>
    </w:p>
    <w:p w:rsidR="00B72047" w:rsidRDefault="00B72047">
      <w:pPr>
        <w:pStyle w:val="Index1"/>
        <w:rPr>
          <w:noProof/>
        </w:rPr>
      </w:pPr>
      <w:r>
        <w:rPr>
          <w:noProof/>
        </w:rPr>
        <w:t>brivla as selbri, 83</w:t>
      </w:r>
    </w:p>
    <w:p w:rsidR="00B72047" w:rsidRDefault="00B72047">
      <w:pPr>
        <w:pStyle w:val="Index1"/>
        <w:rPr>
          <w:noProof/>
        </w:rPr>
      </w:pPr>
      <w:r>
        <w:rPr>
          <w:noProof/>
        </w:rPr>
        <w:t>brivla equivalents, 97</w:t>
      </w:r>
    </w:p>
    <w:p w:rsidR="00B72047" w:rsidRDefault="00B72047">
      <w:pPr>
        <w:pStyle w:val="Index1"/>
        <w:rPr>
          <w:noProof/>
        </w:rPr>
      </w:pPr>
      <w:r>
        <w:rPr>
          <w:noProof/>
        </w:rPr>
        <w:t>brivla form: contrasted with cmavo form, 53; contrasted with cmene form, 53</w:t>
      </w:r>
    </w:p>
    <w:p w:rsidR="00B72047" w:rsidRDefault="00B72047">
      <w:pPr>
        <w:pStyle w:val="Index1"/>
        <w:rPr>
          <w:noProof/>
        </w:rPr>
      </w:pPr>
      <w:r>
        <w:rPr>
          <w:noProof/>
        </w:rPr>
        <w:t>broda, 151</w:t>
      </w:r>
    </w:p>
    <w:p w:rsidR="00B72047" w:rsidRDefault="00B72047">
      <w:pPr>
        <w:pStyle w:val="Index1"/>
        <w:rPr>
          <w:noProof/>
        </w:rPr>
      </w:pPr>
      <w:r>
        <w:rPr>
          <w:noProof/>
        </w:rPr>
        <w:t>broda-series for pro-bridi: compared with ko'a-series for pro-sumti, 151</w:t>
      </w:r>
    </w:p>
    <w:p w:rsidR="00B72047" w:rsidRDefault="00B72047">
      <w:pPr>
        <w:pStyle w:val="Index1"/>
        <w:rPr>
          <w:noProof/>
        </w:rPr>
      </w:pPr>
      <w:r>
        <w:rPr>
          <w:noProof/>
        </w:rPr>
        <w:t>broda-series pro-bridi, 151; assigning with cei, 151; use as abstract pattern, 151; use as sample gismu, 151; with no assignment, 151; word-form rationale, 151</w:t>
      </w:r>
    </w:p>
    <w:p w:rsidR="00B72047" w:rsidRDefault="00B72047">
      <w:pPr>
        <w:pStyle w:val="Index1"/>
        <w:rPr>
          <w:noProof/>
        </w:rPr>
      </w:pPr>
      <w:r>
        <w:rPr>
          <w:noProof/>
        </w:rPr>
        <w:t>Brooklyn: example, 93</w:t>
      </w:r>
    </w:p>
    <w:p w:rsidR="00B72047" w:rsidRDefault="00B72047">
      <w:pPr>
        <w:pStyle w:val="Index1"/>
        <w:rPr>
          <w:noProof/>
        </w:rPr>
      </w:pPr>
      <w:r>
        <w:rPr>
          <w:noProof/>
        </w:rPr>
        <w:t>brothers: example, 355</w:t>
      </w:r>
    </w:p>
    <w:p w:rsidR="00B72047" w:rsidRDefault="00B72047">
      <w:pPr>
        <w:pStyle w:val="Index1"/>
        <w:rPr>
          <w:noProof/>
        </w:rPr>
      </w:pPr>
      <w:r>
        <w:rPr>
          <w:noProof/>
        </w:rPr>
        <w:t>Brown: James Cooke, 6; James Cooke, and “letteral”, 413</w:t>
      </w:r>
    </w:p>
    <w:p w:rsidR="00B72047" w:rsidRDefault="00B72047">
      <w:pPr>
        <w:pStyle w:val="Index1"/>
        <w:rPr>
          <w:noProof/>
        </w:rPr>
      </w:pPr>
      <w:r>
        <w:rPr>
          <w:noProof/>
        </w:rPr>
        <w:t>bu, 414; and compound cmavo, 416; effect of multiple, 416; effect on preceding word, 414; for extension of lerfu word set, 416; grammar of, 416; interactions, 416, 417; omitting in acronyms names based on lerfu words, 424</w:t>
      </w:r>
    </w:p>
    <w:p w:rsidR="00B72047" w:rsidRDefault="00B72047">
      <w:pPr>
        <w:pStyle w:val="Index1"/>
        <w:rPr>
          <w:noProof/>
        </w:rPr>
      </w:pPr>
      <w:r>
        <w:rPr>
          <w:noProof/>
        </w:rPr>
        <w:t>BU selma’o, 414, 490</w:t>
      </w:r>
    </w:p>
    <w:p w:rsidR="00B72047" w:rsidRDefault="00B72047">
      <w:pPr>
        <w:pStyle w:val="Index1"/>
        <w:rPr>
          <w:noProof/>
        </w:rPr>
      </w:pPr>
      <w:r>
        <w:rPr>
          <w:noProof/>
        </w:rPr>
        <w:t>bu'a, 164, 409</w:t>
      </w:r>
    </w:p>
    <w:p w:rsidR="00B72047" w:rsidRDefault="00B72047">
      <w:pPr>
        <w:pStyle w:val="Index1"/>
        <w:rPr>
          <w:noProof/>
        </w:rPr>
      </w:pPr>
      <w:r>
        <w:rPr>
          <w:noProof/>
        </w:rPr>
        <w:t>bu'a-series pro-sumti: for bound variables, 161</w:t>
      </w:r>
    </w:p>
    <w:p w:rsidR="00B72047" w:rsidRDefault="00B72047">
      <w:pPr>
        <w:pStyle w:val="Index1"/>
        <w:rPr>
          <w:noProof/>
        </w:rPr>
      </w:pPr>
      <w:r>
        <w:rPr>
          <w:noProof/>
        </w:rPr>
        <w:t>bubu, 416</w:t>
      </w:r>
    </w:p>
    <w:p w:rsidR="00B72047" w:rsidRDefault="00B72047">
      <w:pPr>
        <w:pStyle w:val="Index1"/>
        <w:rPr>
          <w:noProof/>
        </w:rPr>
      </w:pPr>
      <w:r>
        <w:rPr>
          <w:noProof/>
        </w:rPr>
        <w:t>bu'e, 409</w:t>
      </w:r>
    </w:p>
    <w:p w:rsidR="00B72047" w:rsidRDefault="00B72047">
      <w:pPr>
        <w:pStyle w:val="Index1"/>
        <w:rPr>
          <w:noProof/>
        </w:rPr>
      </w:pPr>
      <w:r>
        <w:rPr>
          <w:noProof/>
        </w:rPr>
        <w:t>buffer vowel, 38; and stress, 38; shortening of, 39</w:t>
      </w:r>
    </w:p>
    <w:p w:rsidR="00B72047" w:rsidRDefault="00B72047">
      <w:pPr>
        <w:pStyle w:val="Index1"/>
        <w:rPr>
          <w:noProof/>
        </w:rPr>
      </w:pPr>
      <w:r>
        <w:rPr>
          <w:noProof/>
        </w:rPr>
        <w:t>bu'i, 409</w:t>
      </w:r>
    </w:p>
    <w:p w:rsidR="00B72047" w:rsidRDefault="00B72047">
      <w:pPr>
        <w:pStyle w:val="Index1"/>
        <w:rPr>
          <w:noProof/>
        </w:rPr>
      </w:pPr>
      <w:r>
        <w:rPr>
          <w:noProof/>
        </w:rPr>
        <w:t>Bulgarian: example, 64</w:t>
      </w:r>
    </w:p>
    <w:p w:rsidR="00B72047" w:rsidRDefault="00B72047">
      <w:pPr>
        <w:pStyle w:val="Index1"/>
        <w:rPr>
          <w:noProof/>
        </w:rPr>
      </w:pPr>
      <w:r>
        <w:rPr>
          <w:noProof/>
        </w:rPr>
        <w:t>bu'o, 314</w:t>
      </w:r>
    </w:p>
    <w:p w:rsidR="00B72047" w:rsidRDefault="00B72047">
      <w:pPr>
        <w:pStyle w:val="Index1"/>
        <w:rPr>
          <w:noProof/>
        </w:rPr>
      </w:pPr>
      <w:r>
        <w:rPr>
          <w:noProof/>
        </w:rPr>
        <w:t>bu'onai, 314</w:t>
      </w:r>
    </w:p>
    <w:p w:rsidR="00B72047" w:rsidRDefault="00B72047">
      <w:pPr>
        <w:pStyle w:val="Index1"/>
        <w:rPr>
          <w:noProof/>
        </w:rPr>
      </w:pPr>
      <w:r>
        <w:rPr>
          <w:noProof/>
        </w:rPr>
        <w:t>but: compared with and, 353; example, 318</w:t>
      </w:r>
    </w:p>
    <w:p w:rsidR="00B72047" w:rsidRDefault="00B72047">
      <w:pPr>
        <w:pStyle w:val="Index1"/>
        <w:rPr>
          <w:noProof/>
        </w:rPr>
      </w:pPr>
      <w:r>
        <w:rPr>
          <w:noProof/>
        </w:rPr>
        <w:t>but/and equivalence, 25</w:t>
      </w:r>
    </w:p>
    <w:p w:rsidR="00B72047" w:rsidRDefault="00B72047">
      <w:pPr>
        <w:pStyle w:val="Index1"/>
        <w:rPr>
          <w:noProof/>
        </w:rPr>
      </w:pPr>
      <w:r>
        <w:rPr>
          <w:noProof/>
        </w:rPr>
        <w:t>butter is soft: example, 124</w:t>
      </w:r>
    </w:p>
    <w:p w:rsidR="00B72047" w:rsidRDefault="00B72047">
      <w:pPr>
        <w:pStyle w:val="Index1"/>
        <w:rPr>
          <w:noProof/>
        </w:rPr>
      </w:pPr>
      <w:r>
        <w:rPr>
          <w:noProof/>
        </w:rPr>
        <w:t>butterfly: social, example, 18</w:t>
      </w:r>
    </w:p>
    <w:p w:rsidR="00B72047" w:rsidRDefault="00B72047">
      <w:pPr>
        <w:pStyle w:val="Index1"/>
        <w:rPr>
          <w:noProof/>
        </w:rPr>
      </w:pPr>
      <w:r>
        <w:rPr>
          <w:noProof/>
        </w:rPr>
        <w:t>bu'u, 219; compared with ca, 219</w:t>
      </w:r>
    </w:p>
    <w:p w:rsidR="00B72047" w:rsidRDefault="00B72047">
      <w:pPr>
        <w:pStyle w:val="Index1"/>
        <w:rPr>
          <w:noProof/>
        </w:rPr>
      </w:pPr>
      <w:r>
        <w:rPr>
          <w:noProof/>
        </w:rPr>
        <w:t>BY selma’o, 414, 418, 425, 491; terminator for, 490</w:t>
      </w:r>
    </w:p>
    <w:p w:rsidR="00B72047" w:rsidRDefault="00B72047">
      <w:pPr>
        <w:pStyle w:val="Index1"/>
        <w:rPr>
          <w:noProof/>
        </w:rPr>
      </w:pPr>
      <w:r>
        <w:rPr>
          <w:noProof/>
        </w:rPr>
        <w:t>C string: as a symbol for a single consonant, 49</w:t>
      </w:r>
    </w:p>
    <w:p w:rsidR="00B72047" w:rsidRDefault="00B72047">
      <w:pPr>
        <w:pStyle w:val="Index1"/>
        <w:rPr>
          <w:noProof/>
        </w:rPr>
      </w:pPr>
      <w:r>
        <w:rPr>
          <w:noProof/>
        </w:rPr>
        <w:t>C/C string: as a symbol for a permissible consonant pair, 50</w:t>
      </w:r>
    </w:p>
    <w:p w:rsidR="00B72047" w:rsidRDefault="00B72047">
      <w:pPr>
        <w:pStyle w:val="Index1"/>
        <w:rPr>
          <w:noProof/>
        </w:rPr>
      </w:pPr>
      <w:r>
        <w:rPr>
          <w:noProof/>
        </w:rPr>
        <w:t>C/CC string: as a symbol for a consonant triple, 50</w:t>
      </w:r>
    </w:p>
    <w:p w:rsidR="00B72047" w:rsidRDefault="00B72047">
      <w:pPr>
        <w:pStyle w:val="Index1"/>
        <w:rPr>
          <w:noProof/>
        </w:rPr>
      </w:pPr>
      <w:r>
        <w:rPr>
          <w:noProof/>
        </w:rPr>
        <w:t>ca, 219, 232; compared with bu'u, 219; meaning as a sumti tcita, 232; meaning when following interval specification, 221; rational for, 219</w:t>
      </w:r>
    </w:p>
    <w:p w:rsidR="00B72047" w:rsidRDefault="00B72047">
      <w:pPr>
        <w:pStyle w:val="Index1"/>
        <w:rPr>
          <w:noProof/>
        </w:rPr>
      </w:pPr>
      <w:r>
        <w:rPr>
          <w:noProof/>
        </w:rPr>
        <w:t>ca'a, 243</w:t>
      </w:r>
    </w:p>
    <w:p w:rsidR="00B72047" w:rsidRDefault="00B72047">
      <w:pPr>
        <w:pStyle w:val="Index1"/>
        <w:rPr>
          <w:noProof/>
        </w:rPr>
      </w:pPr>
      <w:r>
        <w:rPr>
          <w:noProof/>
        </w:rPr>
        <w:t>ca'e, 316</w:t>
      </w:r>
    </w:p>
    <w:p w:rsidR="00B72047" w:rsidRDefault="00B72047">
      <w:pPr>
        <w:pStyle w:val="Index1"/>
        <w:rPr>
          <w:noProof/>
        </w:rPr>
      </w:pPr>
      <w:r>
        <w:rPr>
          <w:noProof/>
        </w:rPr>
        <w:t>CAhA selma’o, 243, 491; making sticky, 243; order in tense construct, 243</w:t>
      </w:r>
    </w:p>
    <w:p w:rsidR="00B72047" w:rsidRDefault="00B72047">
      <w:pPr>
        <w:pStyle w:val="Index1"/>
        <w:rPr>
          <w:noProof/>
        </w:rPr>
      </w:pPr>
      <w:r>
        <w:rPr>
          <w:noProof/>
        </w:rPr>
        <w:t>CAI selma’o, 305, 491</w:t>
      </w:r>
    </w:p>
    <w:p w:rsidR="00B72047" w:rsidRDefault="00B72047">
      <w:pPr>
        <w:pStyle w:val="Index1"/>
        <w:rPr>
          <w:noProof/>
        </w:rPr>
      </w:pPr>
      <w:r>
        <w:rPr>
          <w:noProof/>
        </w:rPr>
        <w:t>cancellation of indicators, 494</w:t>
      </w:r>
    </w:p>
    <w:p w:rsidR="00B72047" w:rsidRDefault="00B72047">
      <w:pPr>
        <w:pStyle w:val="Index1"/>
        <w:rPr>
          <w:noProof/>
        </w:rPr>
      </w:pPr>
      <w:r>
        <w:rPr>
          <w:noProof/>
        </w:rPr>
        <w:t>cancellation of pro-sumti/pro-bridi assignment: with da'o, 162</w:t>
      </w:r>
    </w:p>
    <w:p w:rsidR="00B72047" w:rsidRDefault="00B72047">
      <w:pPr>
        <w:pStyle w:val="Index1"/>
        <w:rPr>
          <w:noProof/>
        </w:rPr>
      </w:pPr>
      <w:r>
        <w:rPr>
          <w:noProof/>
        </w:rPr>
        <w:t>cancellation of sumti assignment, 492</w:t>
      </w:r>
    </w:p>
    <w:p w:rsidR="00B72047" w:rsidRDefault="00B72047">
      <w:pPr>
        <w:pStyle w:val="Index1"/>
        <w:rPr>
          <w:noProof/>
        </w:rPr>
      </w:pPr>
      <w:r>
        <w:rPr>
          <w:noProof/>
        </w:rPr>
        <w:t>ca'o, 228; derivation of word, 228</w:t>
      </w:r>
    </w:p>
    <w:p w:rsidR="00B72047" w:rsidRDefault="00B72047">
      <w:pPr>
        <w:pStyle w:val="Index1"/>
        <w:rPr>
          <w:noProof/>
        </w:rPr>
      </w:pPr>
      <w:r>
        <w:rPr>
          <w:noProof/>
        </w:rPr>
        <w:t>cai, 305</w:t>
      </w:r>
    </w:p>
    <w:p w:rsidR="00B72047" w:rsidRDefault="00B72047">
      <w:pPr>
        <w:pStyle w:val="Index1"/>
        <w:rPr>
          <w:noProof/>
        </w:rPr>
      </w:pPr>
      <w:r>
        <w:rPr>
          <w:noProof/>
        </w:rPr>
        <w:t>calculator mathematics: as default in Lojban, 436</w:t>
      </w:r>
    </w:p>
    <w:p w:rsidR="00B72047" w:rsidRDefault="00B72047">
      <w:pPr>
        <w:pStyle w:val="Index1"/>
        <w:rPr>
          <w:noProof/>
        </w:rPr>
      </w:pPr>
      <w:r>
        <w:rPr>
          <w:noProof/>
        </w:rPr>
        <w:t>can see: example, 244</w:t>
      </w:r>
    </w:p>
    <w:p w:rsidR="00B72047" w:rsidRDefault="00B72047">
      <w:pPr>
        <w:pStyle w:val="Index1"/>
        <w:rPr>
          <w:noProof/>
        </w:rPr>
      </w:pPr>
      <w:r>
        <w:rPr>
          <w:noProof/>
        </w:rPr>
        <w:t>canceling letter shifts, 418</w:t>
      </w:r>
    </w:p>
    <w:p w:rsidR="00B72047" w:rsidRDefault="00B72047">
      <w:pPr>
        <w:pStyle w:val="Index1"/>
        <w:rPr>
          <w:noProof/>
        </w:rPr>
      </w:pPr>
      <w:r>
        <w:rPr>
          <w:noProof/>
        </w:rPr>
        <w:t>capital letters: use in Lojban, 415; use of, 29</w:t>
      </w:r>
    </w:p>
    <w:p w:rsidR="00B72047" w:rsidRDefault="00B72047">
      <w:pPr>
        <w:pStyle w:val="Index1"/>
        <w:rPr>
          <w:noProof/>
        </w:rPr>
      </w:pPr>
      <w:r>
        <w:rPr>
          <w:noProof/>
        </w:rPr>
        <w:t>capitalization: for unusual stress in names, 66; use in names, 66; use of, 66</w:t>
      </w:r>
    </w:p>
    <w:p w:rsidR="00B72047" w:rsidRDefault="00B72047">
      <w:pPr>
        <w:pStyle w:val="Index1"/>
        <w:rPr>
          <w:noProof/>
        </w:rPr>
      </w:pPr>
      <w:r>
        <w:rPr>
          <w:noProof/>
        </w:rPr>
        <w:t>captions to pictures, 7</w:t>
      </w:r>
    </w:p>
    <w:p w:rsidR="00B72047" w:rsidRDefault="00B72047">
      <w:pPr>
        <w:pStyle w:val="Index1"/>
        <w:rPr>
          <w:noProof/>
        </w:rPr>
      </w:pPr>
      <w:r>
        <w:rPr>
          <w:noProof/>
        </w:rPr>
        <w:t>car goer: example, 279</w:t>
      </w:r>
    </w:p>
    <w:p w:rsidR="00B72047" w:rsidRDefault="00B72047">
      <w:pPr>
        <w:pStyle w:val="Index1"/>
        <w:rPr>
          <w:noProof/>
        </w:rPr>
      </w:pPr>
      <w:r>
        <w:rPr>
          <w:noProof/>
        </w:rPr>
        <w:t>cardinal selbri: definition, 446; place structure, 446; place structure effect from subjective numbers, 448</w:t>
      </w:r>
    </w:p>
    <w:p w:rsidR="00B72047" w:rsidRDefault="00B72047">
      <w:pPr>
        <w:pStyle w:val="Index1"/>
        <w:rPr>
          <w:noProof/>
        </w:rPr>
      </w:pPr>
      <w:r>
        <w:rPr>
          <w:noProof/>
        </w:rPr>
        <w:t>cardinality: definition, 125; property of sets, 125</w:t>
      </w:r>
    </w:p>
    <w:p w:rsidR="00B72047" w:rsidRDefault="00B72047">
      <w:pPr>
        <w:pStyle w:val="Index1"/>
        <w:rPr>
          <w:noProof/>
        </w:rPr>
      </w:pPr>
      <w:r>
        <w:rPr>
          <w:noProof/>
        </w:rPr>
        <w:t>carried piano: example, 353</w:t>
      </w:r>
    </w:p>
    <w:p w:rsidR="00B72047" w:rsidRDefault="00B72047">
      <w:pPr>
        <w:pStyle w:val="Index1"/>
        <w:rPr>
          <w:noProof/>
        </w:rPr>
      </w:pPr>
      <w:r>
        <w:rPr>
          <w:noProof/>
        </w:rPr>
        <w:t>carry sack: example, 205</w:t>
      </w:r>
    </w:p>
    <w:p w:rsidR="00B72047" w:rsidRDefault="00B72047">
      <w:pPr>
        <w:pStyle w:val="Index1"/>
        <w:rPr>
          <w:noProof/>
        </w:rPr>
      </w:pPr>
      <w:r>
        <w:rPr>
          <w:noProof/>
        </w:rPr>
        <w:t>carry sack and dog: example, 241</w:t>
      </w:r>
    </w:p>
    <w:p w:rsidR="00B72047" w:rsidRDefault="00B72047">
      <w:pPr>
        <w:pStyle w:val="Index1"/>
        <w:rPr>
          <w:noProof/>
        </w:rPr>
      </w:pPr>
      <w:r>
        <w:rPr>
          <w:noProof/>
        </w:rPr>
        <w:t>carry the piano: example, 361</w:t>
      </w:r>
    </w:p>
    <w:p w:rsidR="00B72047" w:rsidRDefault="00B72047">
      <w:pPr>
        <w:pStyle w:val="Index1"/>
        <w:rPr>
          <w:noProof/>
        </w:rPr>
      </w:pPr>
      <w:r>
        <w:rPr>
          <w:noProof/>
        </w:rPr>
        <w:t>Cartesian product: with tenses, 246</w:t>
      </w:r>
    </w:p>
    <w:p w:rsidR="00B72047" w:rsidRDefault="00B72047">
      <w:pPr>
        <w:pStyle w:val="Index1"/>
        <w:rPr>
          <w:noProof/>
        </w:rPr>
      </w:pPr>
      <w:r>
        <w:rPr>
          <w:noProof/>
        </w:rPr>
        <w:t>Carthage destroyed: example, 317</w:t>
      </w:r>
    </w:p>
    <w:p w:rsidR="00B72047" w:rsidRDefault="00B72047">
      <w:pPr>
        <w:pStyle w:val="Index1"/>
        <w:rPr>
          <w:noProof/>
        </w:rPr>
      </w:pPr>
      <w:r>
        <w:rPr>
          <w:noProof/>
        </w:rPr>
        <w:t>case: upper/lower specification, 415</w:t>
      </w:r>
    </w:p>
    <w:p w:rsidR="00B72047" w:rsidRDefault="00B72047">
      <w:pPr>
        <w:pStyle w:val="Index1"/>
        <w:rPr>
          <w:noProof/>
        </w:rPr>
      </w:pPr>
      <w:r>
        <w:rPr>
          <w:noProof/>
        </w:rPr>
        <w:t>cat of plastic: example, 160</w:t>
      </w:r>
    </w:p>
    <w:p w:rsidR="00B72047" w:rsidRDefault="00B72047">
      <w:pPr>
        <w:pStyle w:val="Index1"/>
        <w:rPr>
          <w:noProof/>
        </w:rPr>
      </w:pPr>
      <w:r>
        <w:rPr>
          <w:noProof/>
        </w:rPr>
        <w:t>Catherine: example, 65</w:t>
      </w:r>
    </w:p>
    <w:p w:rsidR="00B72047" w:rsidRDefault="00B72047">
      <w:pPr>
        <w:pStyle w:val="Index1"/>
        <w:rPr>
          <w:noProof/>
        </w:rPr>
      </w:pPr>
      <w:r>
        <w:rPr>
          <w:noProof/>
        </w:rPr>
        <w:t>Cathy: example, 65</w:t>
      </w:r>
    </w:p>
    <w:p w:rsidR="00B72047" w:rsidRDefault="00B72047">
      <w:pPr>
        <w:pStyle w:val="Index1"/>
        <w:rPr>
          <w:noProof/>
        </w:rPr>
      </w:pPr>
      <w:r>
        <w:rPr>
          <w:noProof/>
        </w:rPr>
        <w:t>causals: claiming the relation contrasted with claiming cause and/or effect and/or relation, 198; gismu, 197; modal, 197</w:t>
      </w:r>
    </w:p>
    <w:p w:rsidR="00B72047" w:rsidRDefault="00B72047">
      <w:pPr>
        <w:pStyle w:val="Index1"/>
        <w:rPr>
          <w:noProof/>
        </w:rPr>
      </w:pPr>
      <w:r>
        <w:rPr>
          <w:noProof/>
        </w:rPr>
        <w:t>cause death: example, 267, 287</w:t>
      </w:r>
    </w:p>
    <w:p w:rsidR="00B72047" w:rsidRDefault="00B72047">
      <w:pPr>
        <w:pStyle w:val="Index1"/>
        <w:rPr>
          <w:noProof/>
        </w:rPr>
      </w:pPr>
      <w:r>
        <w:rPr>
          <w:noProof/>
        </w:rPr>
        <w:t>cave: example, 236</w:t>
      </w:r>
    </w:p>
    <w:p w:rsidR="00B72047" w:rsidRDefault="00B72047">
      <w:pPr>
        <w:pStyle w:val="Index1"/>
        <w:rPr>
          <w:noProof/>
        </w:rPr>
      </w:pPr>
      <w:r>
        <w:rPr>
          <w:noProof/>
        </w:rPr>
        <w:t>CC string: as a symbol for a permissible initial consonant pair, 50</w:t>
      </w:r>
    </w:p>
    <w:p w:rsidR="00B72047" w:rsidRDefault="00B72047">
      <w:pPr>
        <w:pStyle w:val="Index1"/>
        <w:rPr>
          <w:noProof/>
        </w:rPr>
      </w:pPr>
      <w:r>
        <w:rPr>
          <w:noProof/>
        </w:rPr>
        <w:t>CCVVCV fu'ivla: and rafsi fu'ivla proposal, 80</w:t>
      </w:r>
    </w:p>
    <w:p w:rsidR="00B72047" w:rsidRDefault="00B72047">
      <w:pPr>
        <w:pStyle w:val="Index1"/>
        <w:rPr>
          <w:noProof/>
        </w:rPr>
      </w:pPr>
      <w:r>
        <w:rPr>
          <w:noProof/>
        </w:rPr>
        <w:t>ce, 354, 355</w:t>
      </w:r>
    </w:p>
    <w:p w:rsidR="00B72047" w:rsidRDefault="00B72047">
      <w:pPr>
        <w:pStyle w:val="Index1"/>
        <w:rPr>
          <w:noProof/>
        </w:rPr>
      </w:pPr>
      <w:r>
        <w:rPr>
          <w:noProof/>
        </w:rPr>
        <w:t>ce'a, 418</w:t>
      </w:r>
    </w:p>
    <w:p w:rsidR="00B72047" w:rsidRDefault="00B72047">
      <w:pPr>
        <w:pStyle w:val="Index1"/>
        <w:rPr>
          <w:noProof/>
        </w:rPr>
      </w:pPr>
      <w:r>
        <w:rPr>
          <w:noProof/>
        </w:rPr>
        <w:t>cedilla: a diacritical mark, 418; proposed lerfu word for, 429</w:t>
      </w:r>
    </w:p>
    <w:p w:rsidR="00B72047" w:rsidRDefault="00B72047">
      <w:pPr>
        <w:pStyle w:val="Index1"/>
        <w:rPr>
          <w:noProof/>
        </w:rPr>
      </w:pPr>
      <w:r>
        <w:rPr>
          <w:noProof/>
        </w:rPr>
        <w:t>ce'e, 208, 347, 399</w:t>
      </w:r>
    </w:p>
    <w:p w:rsidR="00B72047" w:rsidRDefault="00B72047">
      <w:pPr>
        <w:pStyle w:val="Index1"/>
        <w:rPr>
          <w:noProof/>
        </w:rPr>
      </w:pPr>
      <w:r>
        <w:rPr>
          <w:noProof/>
        </w:rPr>
        <w:t>CEhE selma’o, 347, 399, 491</w:t>
      </w:r>
    </w:p>
    <w:p w:rsidR="00B72047" w:rsidRDefault="00B72047">
      <w:pPr>
        <w:pStyle w:val="Index1"/>
        <w:rPr>
          <w:noProof/>
        </w:rPr>
      </w:pPr>
      <w:r>
        <w:rPr>
          <w:noProof/>
        </w:rPr>
        <w:t>ce'i, 433</w:t>
      </w:r>
    </w:p>
    <w:p w:rsidR="00B72047" w:rsidRDefault="00B72047">
      <w:pPr>
        <w:pStyle w:val="Index1"/>
        <w:rPr>
          <w:noProof/>
        </w:rPr>
      </w:pPr>
      <w:r>
        <w:rPr>
          <w:noProof/>
        </w:rPr>
        <w:t>cei for broda-series assignment: compared with goi for ko'a-series assignment, 151</w:t>
      </w:r>
    </w:p>
    <w:p w:rsidR="00B72047" w:rsidRDefault="00B72047">
      <w:pPr>
        <w:pStyle w:val="Index1"/>
        <w:rPr>
          <w:noProof/>
        </w:rPr>
      </w:pPr>
      <w:r>
        <w:rPr>
          <w:noProof/>
        </w:rPr>
        <w:t>CEI selma’o, 491</w:t>
      </w:r>
    </w:p>
    <w:p w:rsidR="00B72047" w:rsidRDefault="00B72047">
      <w:pPr>
        <w:pStyle w:val="Index1"/>
        <w:rPr>
          <w:noProof/>
        </w:rPr>
      </w:pPr>
      <w:r>
        <w:rPr>
          <w:noProof/>
        </w:rPr>
        <w:t>ce'o, 354, 362</w:t>
      </w:r>
    </w:p>
    <w:p w:rsidR="00B72047" w:rsidRDefault="00B72047">
      <w:pPr>
        <w:pStyle w:val="Index1"/>
        <w:rPr>
          <w:noProof/>
        </w:rPr>
      </w:pPr>
      <w:r>
        <w:rPr>
          <w:noProof/>
        </w:rPr>
        <w:t>ce'u, 161, 260, 261; use in specifying sumti place of property in abstraction, 161</w:t>
      </w:r>
    </w:p>
    <w:p w:rsidR="00B72047" w:rsidRDefault="00B72047">
      <w:pPr>
        <w:pStyle w:val="Index1"/>
        <w:rPr>
          <w:noProof/>
        </w:rPr>
      </w:pPr>
      <w:r>
        <w:rPr>
          <w:noProof/>
        </w:rPr>
        <w:t>cei, 151, 154, 162; for broda-series pro-bridi assignment, 151</w:t>
      </w:r>
    </w:p>
    <w:p w:rsidR="00B72047" w:rsidRDefault="00B72047">
      <w:pPr>
        <w:pStyle w:val="Index1"/>
        <w:rPr>
          <w:noProof/>
        </w:rPr>
      </w:pPr>
      <w:r>
        <w:rPr>
          <w:noProof/>
        </w:rPr>
        <w:t>cessitive event contour, 228</w:t>
      </w:r>
    </w:p>
    <w:p w:rsidR="00B72047" w:rsidRDefault="00B72047">
      <w:pPr>
        <w:pStyle w:val="Index1"/>
        <w:rPr>
          <w:noProof/>
        </w:rPr>
      </w:pPr>
      <w:r>
        <w:rPr>
          <w:noProof/>
        </w:rPr>
        <w:t>chapter numbering, 458</w:t>
      </w:r>
    </w:p>
    <w:p w:rsidR="00B72047" w:rsidRDefault="00B72047">
      <w:pPr>
        <w:pStyle w:val="Index1"/>
        <w:rPr>
          <w:noProof/>
        </w:rPr>
      </w:pPr>
      <w:r>
        <w:rPr>
          <w:noProof/>
        </w:rPr>
        <w:t>chapter titles: intent of, 4</w:t>
      </w:r>
    </w:p>
    <w:p w:rsidR="00B72047" w:rsidRDefault="00B72047">
      <w:pPr>
        <w:pStyle w:val="Index1"/>
        <w:rPr>
          <w:noProof/>
        </w:rPr>
      </w:pPr>
      <w:r>
        <w:rPr>
          <w:noProof/>
        </w:rPr>
        <w:t>character codes: definition, 425</w:t>
      </w:r>
    </w:p>
    <w:p w:rsidR="00B72047" w:rsidRDefault="00B72047">
      <w:pPr>
        <w:pStyle w:val="Index1"/>
        <w:rPr>
          <w:noProof/>
        </w:rPr>
      </w:pPr>
      <w:r>
        <w:rPr>
          <w:noProof/>
        </w:rPr>
        <w:t>character encoding schemes: application to lerfu words, 425</w:t>
      </w:r>
    </w:p>
    <w:p w:rsidR="00B72047" w:rsidRDefault="00B72047">
      <w:pPr>
        <w:pStyle w:val="Index1"/>
        <w:rPr>
          <w:noProof/>
        </w:rPr>
      </w:pPr>
      <w:r>
        <w:rPr>
          <w:noProof/>
        </w:rPr>
        <w:t>characters: definition, 425; special, 31</w:t>
      </w:r>
    </w:p>
    <w:p w:rsidR="00B72047" w:rsidRDefault="00B72047">
      <w:pPr>
        <w:pStyle w:val="Index1"/>
        <w:rPr>
          <w:noProof/>
        </w:rPr>
      </w:pPr>
      <w:r>
        <w:rPr>
          <w:noProof/>
        </w:rPr>
        <w:t>Chelsea Clinton, 275</w:t>
      </w:r>
    </w:p>
    <w:p w:rsidR="00B72047" w:rsidRDefault="00B72047">
      <w:pPr>
        <w:pStyle w:val="Index1"/>
        <w:rPr>
          <w:noProof/>
        </w:rPr>
      </w:pPr>
      <w:r>
        <w:rPr>
          <w:noProof/>
        </w:rPr>
        <w:t>chemical elements: use of single-letter shift for, 415</w:t>
      </w:r>
    </w:p>
    <w:p w:rsidR="00B72047" w:rsidRDefault="00B72047">
      <w:pPr>
        <w:pStyle w:val="Index1"/>
        <w:rPr>
          <w:noProof/>
        </w:rPr>
      </w:pPr>
      <w:r>
        <w:rPr>
          <w:noProof/>
        </w:rPr>
        <w:t>Chief: example, 66</w:t>
      </w:r>
    </w:p>
    <w:p w:rsidR="00B72047" w:rsidRDefault="00B72047">
      <w:pPr>
        <w:pStyle w:val="Index1"/>
        <w:rPr>
          <w:noProof/>
        </w:rPr>
      </w:pPr>
      <w:r>
        <w:rPr>
          <w:noProof/>
        </w:rPr>
        <w:t>child on ice: example, 221</w:t>
      </w:r>
    </w:p>
    <w:p w:rsidR="00B72047" w:rsidRDefault="00B72047">
      <w:pPr>
        <w:pStyle w:val="Index1"/>
        <w:rPr>
          <w:noProof/>
        </w:rPr>
      </w:pPr>
      <w:r>
        <w:rPr>
          <w:noProof/>
        </w:rPr>
        <w:t>Chilean desert: example, 80</w:t>
      </w:r>
    </w:p>
    <w:p w:rsidR="00B72047" w:rsidRDefault="00B72047">
      <w:pPr>
        <w:pStyle w:val="Index1"/>
        <w:rPr>
          <w:noProof/>
        </w:rPr>
      </w:pPr>
      <w:r>
        <w:rPr>
          <w:noProof/>
        </w:rPr>
        <w:t>Chinese characters: contrasted with alphabets and syllabaries, 420; representing based on pinyin spelling, 420; representing based on strokes, 420</w:t>
      </w:r>
    </w:p>
    <w:p w:rsidR="00B72047" w:rsidRDefault="00B72047">
      <w:pPr>
        <w:pStyle w:val="Index1"/>
        <w:rPr>
          <w:noProof/>
        </w:rPr>
      </w:pPr>
      <w:r>
        <w:rPr>
          <w:noProof/>
        </w:rPr>
        <w:t>choose from: example, 355</w:t>
      </w:r>
    </w:p>
    <w:p w:rsidR="00B72047" w:rsidRDefault="00B72047">
      <w:pPr>
        <w:pStyle w:val="Index1"/>
        <w:rPr>
          <w:noProof/>
        </w:rPr>
      </w:pPr>
      <w:r>
        <w:rPr>
          <w:noProof/>
        </w:rPr>
        <w:t>Chrysler: example, 99</w:t>
      </w:r>
    </w:p>
    <w:p w:rsidR="00B72047" w:rsidRDefault="00B72047">
      <w:pPr>
        <w:pStyle w:val="Index1"/>
        <w:rPr>
          <w:noProof/>
        </w:rPr>
      </w:pPr>
      <w:r>
        <w:rPr>
          <w:noProof/>
        </w:rPr>
        <w:t>ch-sound in English: representation in Lojban, 31</w:t>
      </w:r>
    </w:p>
    <w:p w:rsidR="00B72047" w:rsidRDefault="00B72047">
      <w:pPr>
        <w:pStyle w:val="Index1"/>
        <w:rPr>
          <w:noProof/>
        </w:rPr>
      </w:pPr>
      <w:r>
        <w:rPr>
          <w:noProof/>
        </w:rPr>
        <w:t>ci'i, 434</w:t>
      </w:r>
    </w:p>
    <w:p w:rsidR="00B72047" w:rsidRDefault="00B72047">
      <w:pPr>
        <w:pStyle w:val="Index1"/>
        <w:rPr>
          <w:noProof/>
        </w:rPr>
      </w:pPr>
      <w:r>
        <w:rPr>
          <w:noProof/>
        </w:rPr>
        <w:t>CIA: example, 424</w:t>
      </w:r>
    </w:p>
    <w:p w:rsidR="00B72047" w:rsidRDefault="00B72047">
      <w:pPr>
        <w:pStyle w:val="Index1"/>
        <w:rPr>
          <w:noProof/>
        </w:rPr>
      </w:pPr>
      <w:r>
        <w:rPr>
          <w:noProof/>
        </w:rPr>
        <w:t>circumflex: a diacritical mark, 418</w:t>
      </w:r>
    </w:p>
    <w:p w:rsidR="00B72047" w:rsidRDefault="00B72047">
      <w:pPr>
        <w:pStyle w:val="Index1"/>
        <w:rPr>
          <w:noProof/>
        </w:rPr>
      </w:pPr>
      <w:r>
        <w:rPr>
          <w:noProof/>
        </w:rPr>
        <w:t>ci'u, 204</w:t>
      </w:r>
    </w:p>
    <w:p w:rsidR="00B72047" w:rsidRDefault="00B72047">
      <w:pPr>
        <w:pStyle w:val="Index1"/>
        <w:rPr>
          <w:noProof/>
        </w:rPr>
      </w:pPr>
      <w:r>
        <w:rPr>
          <w:noProof/>
        </w:rPr>
        <w:t>claims: contrasted with expression of feelings, 298</w:t>
      </w:r>
    </w:p>
    <w:p w:rsidR="00B72047" w:rsidRDefault="00B72047">
      <w:pPr>
        <w:pStyle w:val="Index1"/>
        <w:rPr>
          <w:noProof/>
        </w:rPr>
      </w:pPr>
      <w:r>
        <w:rPr>
          <w:noProof/>
        </w:rPr>
        <w:t>clamshells, 286</w:t>
      </w:r>
    </w:p>
    <w:p w:rsidR="00B72047" w:rsidRDefault="00B72047">
      <w:pPr>
        <w:pStyle w:val="Index1"/>
        <w:rPr>
          <w:noProof/>
        </w:rPr>
      </w:pPr>
      <w:r>
        <w:rPr>
          <w:noProof/>
        </w:rPr>
        <w:t>clarity of sounds, 31</w:t>
      </w:r>
    </w:p>
    <w:p w:rsidR="00B72047" w:rsidRDefault="00B72047">
      <w:pPr>
        <w:pStyle w:val="Index1"/>
        <w:rPr>
          <w:noProof/>
        </w:rPr>
      </w:pPr>
      <w:r>
        <w:rPr>
          <w:noProof/>
        </w:rPr>
        <w:t>Classical Greek aorist tense: compared with Lojban tense, 223</w:t>
      </w:r>
    </w:p>
    <w:p w:rsidR="00B72047" w:rsidRDefault="00B72047">
      <w:pPr>
        <w:pStyle w:val="Index1"/>
        <w:rPr>
          <w:noProof/>
        </w:rPr>
      </w:pPr>
      <w:r>
        <w:rPr>
          <w:noProof/>
        </w:rPr>
        <w:t>clause: subordinate using abstraction, 255</w:t>
      </w:r>
    </w:p>
    <w:p w:rsidR="00B72047" w:rsidRDefault="00B72047">
      <w:pPr>
        <w:pStyle w:val="Index1"/>
        <w:rPr>
          <w:noProof/>
        </w:rPr>
      </w:pPr>
      <w:r>
        <w:rPr>
          <w:noProof/>
        </w:rPr>
        <w:t>close-binding, 490</w:t>
      </w:r>
    </w:p>
    <w:p w:rsidR="00B72047" w:rsidRDefault="00B72047">
      <w:pPr>
        <w:pStyle w:val="Index1"/>
        <w:rPr>
          <w:noProof/>
        </w:rPr>
      </w:pPr>
      <w:r>
        <w:rPr>
          <w:noProof/>
        </w:rPr>
        <w:t>closed interval, 360; expressed with mi'i, 455</w:t>
      </w:r>
    </w:p>
    <w:p w:rsidR="00B72047" w:rsidRDefault="00B72047">
      <w:pPr>
        <w:pStyle w:val="Index1"/>
        <w:rPr>
          <w:noProof/>
        </w:rPr>
      </w:pPr>
      <w:r>
        <w:rPr>
          <w:noProof/>
        </w:rPr>
        <w:t>closings: letter, 325</w:t>
      </w:r>
    </w:p>
    <w:p w:rsidR="00B72047" w:rsidRDefault="00B72047">
      <w:pPr>
        <w:pStyle w:val="Index1"/>
        <w:rPr>
          <w:noProof/>
        </w:rPr>
      </w:pPr>
      <w:r>
        <w:rPr>
          <w:noProof/>
        </w:rPr>
        <w:t>cmavo: as one of the 3 basic word classes, 50; compound, 51; contrasted with rafsi in usage, 61; contrasted with same-form rafsi in meaning, 56; definition, 50; definition, quick-tour version, 27; diphthongs in, 51; experimental, 51; for experimental use, 51; interaction list, 485; lack of relation of form to grammatical use, 51; rules for pause after Cy-form, 69; simple, 51; stress on, 40, 52; structure of, 51</w:t>
      </w:r>
    </w:p>
    <w:p w:rsidR="00B72047" w:rsidRDefault="00B72047">
      <w:pPr>
        <w:pStyle w:val="Index1"/>
        <w:rPr>
          <w:noProof/>
        </w:rPr>
      </w:pPr>
      <w:r>
        <w:rPr>
          <w:noProof/>
        </w:rPr>
        <w:t>cmavo and gismu: major, 53</w:t>
      </w:r>
    </w:p>
    <w:p w:rsidR="00B72047" w:rsidRDefault="00B72047">
      <w:pPr>
        <w:pStyle w:val="Index1"/>
        <w:rPr>
          <w:noProof/>
        </w:rPr>
      </w:pPr>
      <w:r>
        <w:rPr>
          <w:noProof/>
        </w:rPr>
        <w:t>cmavo as brivla, 495</w:t>
      </w:r>
    </w:p>
    <w:p w:rsidR="00B72047" w:rsidRDefault="00B72047">
      <w:pPr>
        <w:pStyle w:val="Index1"/>
        <w:rPr>
          <w:noProof/>
        </w:rPr>
      </w:pPr>
      <w:r>
        <w:rPr>
          <w:noProof/>
        </w:rPr>
        <w:t>cmavo as selbri: quick-tour version, 20</w:t>
      </w:r>
    </w:p>
    <w:p w:rsidR="00B72047" w:rsidRDefault="00B72047">
      <w:pPr>
        <w:pStyle w:val="Index1"/>
        <w:rPr>
          <w:noProof/>
        </w:rPr>
      </w:pPr>
      <w:r>
        <w:rPr>
          <w:noProof/>
        </w:rPr>
        <w:t>cmavo as sumti, 497</w:t>
      </w:r>
    </w:p>
    <w:p w:rsidR="00B72047" w:rsidRDefault="00B72047">
      <w:pPr>
        <w:pStyle w:val="Index1"/>
        <w:rPr>
          <w:noProof/>
        </w:rPr>
      </w:pPr>
      <w:r>
        <w:rPr>
          <w:noProof/>
        </w:rPr>
        <w:t>cmavo form: contrasted with brivla form, 53</w:t>
      </w:r>
    </w:p>
    <w:p w:rsidR="00B72047" w:rsidRDefault="00B72047">
      <w:pPr>
        <w:pStyle w:val="Index1"/>
        <w:rPr>
          <w:noProof/>
        </w:rPr>
      </w:pPr>
      <w:r>
        <w:rPr>
          <w:noProof/>
        </w:rPr>
        <w:t>cmavo without rafsi: method of including in lujvo, 60</w:t>
      </w:r>
    </w:p>
    <w:p w:rsidR="00B72047" w:rsidRDefault="00B72047">
      <w:pPr>
        <w:pStyle w:val="Index1"/>
        <w:rPr>
          <w:noProof/>
        </w:rPr>
      </w:pPr>
      <w:r>
        <w:rPr>
          <w:noProof/>
        </w:rPr>
        <w:t>cmene: algorithm for, 66; alternatives for restricted sequences in, 66; and analyzability of speech stream, 64; as one of the 3 basic word classes, 50; authority for, 65; avoiding impermissible consonant clusters in, 67; consonant clusters permitted in, 66; definition, 64; examples of, 64; final letter in, 66; from Lojban words, 66; method of including in lujvo, 60; proscribed syllables in, 67; purpose of, 64; rationale for lojbanizing, 64; requirement for pause after, 66; restrictions on form of, 65; rules for, 66; rules for formation, 65; rules for pause before, 68; stress in, 65, 66; unusual stress in, 65</w:t>
      </w:r>
    </w:p>
    <w:p w:rsidR="00B72047" w:rsidRDefault="00B72047">
      <w:pPr>
        <w:pStyle w:val="Index1"/>
        <w:rPr>
          <w:noProof/>
        </w:rPr>
      </w:pPr>
      <w:r>
        <w:rPr>
          <w:noProof/>
        </w:rPr>
        <w:t>cmene form: contrasted with brivla form, 53</w:t>
      </w:r>
    </w:p>
    <w:p w:rsidR="00B72047" w:rsidRDefault="00B72047">
      <w:pPr>
        <w:pStyle w:val="Index1"/>
        <w:rPr>
          <w:noProof/>
        </w:rPr>
      </w:pPr>
      <w:r>
        <w:rPr>
          <w:noProof/>
        </w:rPr>
        <w:t>co, 95</w:t>
      </w:r>
    </w:p>
    <w:p w:rsidR="00B72047" w:rsidRDefault="00B72047">
      <w:pPr>
        <w:pStyle w:val="Index1"/>
        <w:rPr>
          <w:noProof/>
        </w:rPr>
      </w:pPr>
      <w:r>
        <w:rPr>
          <w:noProof/>
        </w:rPr>
        <w:t>CO selma’o, 491</w:t>
      </w:r>
    </w:p>
    <w:p w:rsidR="00B72047" w:rsidRDefault="00B72047">
      <w:pPr>
        <w:pStyle w:val="Index1"/>
        <w:rPr>
          <w:noProof/>
        </w:rPr>
      </w:pPr>
      <w:r>
        <w:rPr>
          <w:noProof/>
        </w:rPr>
        <w:t>cobra: example, 63</w:t>
      </w:r>
    </w:p>
    <w:p w:rsidR="00B72047" w:rsidRDefault="00B72047">
      <w:pPr>
        <w:pStyle w:val="Index1"/>
        <w:rPr>
          <w:noProof/>
        </w:rPr>
      </w:pPr>
      <w:r>
        <w:rPr>
          <w:noProof/>
        </w:rPr>
        <w:t>co'e, 158, 164; as selbri place-holder, 158; rationale for word form, 158</w:t>
      </w:r>
    </w:p>
    <w:p w:rsidR="00B72047" w:rsidRDefault="00B72047">
      <w:pPr>
        <w:pStyle w:val="Index1"/>
        <w:rPr>
          <w:noProof/>
        </w:rPr>
      </w:pPr>
      <w:r>
        <w:rPr>
          <w:noProof/>
        </w:rPr>
        <w:t>co'e-series pro-bridi, 157</w:t>
      </w:r>
    </w:p>
    <w:p w:rsidR="00B72047" w:rsidRDefault="00B72047">
      <w:pPr>
        <w:pStyle w:val="Index1"/>
        <w:rPr>
          <w:noProof/>
        </w:rPr>
      </w:pPr>
      <w:r>
        <w:rPr>
          <w:noProof/>
        </w:rPr>
        <w:t>coffee mixed with tea: example, 359</w:t>
      </w:r>
    </w:p>
    <w:p w:rsidR="00B72047" w:rsidRDefault="00B72047">
      <w:pPr>
        <w:pStyle w:val="Index1"/>
        <w:rPr>
          <w:noProof/>
        </w:rPr>
      </w:pPr>
      <w:r>
        <w:rPr>
          <w:noProof/>
        </w:rPr>
        <w:t>coffee or tea: example, 352</w:t>
      </w:r>
    </w:p>
    <w:p w:rsidR="00B72047" w:rsidRDefault="00B72047">
      <w:pPr>
        <w:pStyle w:val="Index1"/>
        <w:rPr>
          <w:noProof/>
        </w:rPr>
      </w:pPr>
      <w:r>
        <w:rPr>
          <w:noProof/>
        </w:rPr>
        <w:t>co'i, 230</w:t>
      </w:r>
    </w:p>
    <w:p w:rsidR="00B72047" w:rsidRDefault="00B72047">
      <w:pPr>
        <w:pStyle w:val="Index1"/>
        <w:rPr>
          <w:noProof/>
        </w:rPr>
      </w:pPr>
      <w:r>
        <w:rPr>
          <w:noProof/>
        </w:rPr>
        <w:t>coi, 136, 324; quick-tour version, 21</w:t>
      </w:r>
    </w:p>
    <w:p w:rsidR="00B72047" w:rsidRDefault="00B72047">
      <w:pPr>
        <w:pStyle w:val="Index1"/>
        <w:rPr>
          <w:noProof/>
        </w:rPr>
      </w:pPr>
      <w:r>
        <w:rPr>
          <w:noProof/>
        </w:rPr>
        <w:t>COI selma’o, 136, 146, 183, 323, 492; effect on pause before name, 323; effect on referent of do, 146; effect on referent of mi, 146; ordering multiple with mi'e, 325; terminator for, 492</w:t>
      </w:r>
    </w:p>
    <w:p w:rsidR="00B72047" w:rsidRDefault="00B72047">
      <w:pPr>
        <w:pStyle w:val="Index1"/>
        <w:rPr>
          <w:noProof/>
        </w:rPr>
      </w:pPr>
      <w:r>
        <w:rPr>
          <w:noProof/>
        </w:rPr>
        <w:t>coin heads: example, 447</w:t>
      </w:r>
    </w:p>
    <w:p w:rsidR="00B72047" w:rsidRDefault="00B72047">
      <w:pPr>
        <w:pStyle w:val="Index1"/>
        <w:rPr>
          <w:noProof/>
        </w:rPr>
      </w:pPr>
      <w:r>
        <w:rPr>
          <w:noProof/>
        </w:rPr>
        <w:t>Coleoptera, 280</w:t>
      </w:r>
    </w:p>
    <w:p w:rsidR="00B72047" w:rsidRDefault="00B72047">
      <w:pPr>
        <w:pStyle w:val="Index1"/>
        <w:rPr>
          <w:noProof/>
        </w:rPr>
      </w:pPr>
      <w:r>
        <w:rPr>
          <w:noProof/>
        </w:rPr>
        <w:t>color standards, 295</w:t>
      </w:r>
    </w:p>
    <w:p w:rsidR="00B72047" w:rsidRDefault="00B72047">
      <w:pPr>
        <w:pStyle w:val="Index1"/>
        <w:rPr>
          <w:noProof/>
        </w:rPr>
      </w:pPr>
      <w:r>
        <w:rPr>
          <w:noProof/>
        </w:rPr>
        <w:t>colorimeter, 261</w:t>
      </w:r>
    </w:p>
    <w:p w:rsidR="00B72047" w:rsidRDefault="00B72047">
      <w:pPr>
        <w:pStyle w:val="Index1"/>
        <w:rPr>
          <w:noProof/>
        </w:rPr>
      </w:pPr>
      <w:r>
        <w:rPr>
          <w:noProof/>
        </w:rPr>
        <w:t>combining words into one, 507</w:t>
      </w:r>
    </w:p>
    <w:p w:rsidR="00B72047" w:rsidRDefault="00B72047">
      <w:pPr>
        <w:pStyle w:val="Index1"/>
        <w:rPr>
          <w:noProof/>
        </w:rPr>
      </w:pPr>
      <w:r>
        <w:rPr>
          <w:noProof/>
        </w:rPr>
        <w:t>comma: definition of, 32; effect on relative clause in English, 171; example of, 32; main use of, 32; optional, 32; quick-tour version, 12; variant of, 32</w:t>
      </w:r>
    </w:p>
    <w:p w:rsidR="00B72047" w:rsidRDefault="00B72047">
      <w:pPr>
        <w:pStyle w:val="Index1"/>
        <w:rPr>
          <w:noProof/>
        </w:rPr>
      </w:pPr>
      <w:r>
        <w:rPr>
          <w:noProof/>
        </w:rPr>
        <w:t>command: contrasted with observative form, 188</w:t>
      </w:r>
    </w:p>
    <w:p w:rsidR="00B72047" w:rsidRDefault="00B72047">
      <w:pPr>
        <w:pStyle w:val="Index1"/>
        <w:rPr>
          <w:noProof/>
        </w:rPr>
      </w:pPr>
      <w:r>
        <w:rPr>
          <w:noProof/>
        </w:rPr>
        <w:t>commands: quick-tour version, 22; with ko, 146</w:t>
      </w:r>
    </w:p>
    <w:p w:rsidR="00B72047" w:rsidRDefault="00B72047">
      <w:pPr>
        <w:pStyle w:val="Index1"/>
        <w:rPr>
          <w:noProof/>
        </w:rPr>
      </w:pPr>
      <w:r>
        <w:rPr>
          <w:noProof/>
        </w:rPr>
        <w:t>commas in numbers: as numerical punctuation, 433; effect of other notation conventions, 433; with elided digits, 433</w:t>
      </w:r>
    </w:p>
    <w:p w:rsidR="00B72047" w:rsidRDefault="00B72047">
      <w:pPr>
        <w:pStyle w:val="Index1"/>
        <w:rPr>
          <w:noProof/>
        </w:rPr>
      </w:pPr>
      <w:r>
        <w:rPr>
          <w:noProof/>
        </w:rPr>
        <w:t>common abstractor, 256</w:t>
      </w:r>
    </w:p>
    <w:p w:rsidR="00B72047" w:rsidRDefault="00B72047">
      <w:pPr>
        <w:pStyle w:val="Index1"/>
        <w:rPr>
          <w:noProof/>
        </w:rPr>
      </w:pPr>
      <w:r>
        <w:rPr>
          <w:noProof/>
        </w:rPr>
        <w:t>commutative truth functions, 335</w:t>
      </w:r>
    </w:p>
    <w:p w:rsidR="00B72047" w:rsidRDefault="00B72047">
      <w:pPr>
        <w:pStyle w:val="Index1"/>
        <w:rPr>
          <w:noProof/>
        </w:rPr>
      </w:pPr>
      <w:r>
        <w:rPr>
          <w:noProof/>
        </w:rPr>
        <w:t>comparative lujvo: against former state, 293; and seltau presupposition, 293; potential ambiguity in, 292; standardized meanings, 292</w:t>
      </w:r>
    </w:p>
    <w:p w:rsidR="00B72047" w:rsidRDefault="00B72047">
      <w:pPr>
        <w:pStyle w:val="Index1"/>
        <w:rPr>
          <w:noProof/>
        </w:rPr>
      </w:pPr>
      <w:r>
        <w:rPr>
          <w:noProof/>
        </w:rPr>
        <w:t>comparatives: use of zmadu in forming, 58</w:t>
      </w:r>
    </w:p>
    <w:p w:rsidR="00B72047" w:rsidRDefault="00B72047">
      <w:pPr>
        <w:pStyle w:val="Index1"/>
        <w:rPr>
          <w:noProof/>
        </w:rPr>
      </w:pPr>
      <w:r>
        <w:rPr>
          <w:noProof/>
        </w:rPr>
        <w:t>comparison: claims related to based on form, 204</w:t>
      </w:r>
    </w:p>
    <w:p w:rsidR="00B72047" w:rsidRDefault="00B72047">
      <w:pPr>
        <w:pStyle w:val="Index1"/>
        <w:rPr>
          <w:noProof/>
        </w:rPr>
      </w:pPr>
      <w:r>
        <w:rPr>
          <w:noProof/>
        </w:rPr>
        <w:t>comparison with relative phrase: contrasted with bridi-based comparison, in claims about parts, 204</w:t>
      </w:r>
    </w:p>
    <w:p w:rsidR="00B72047" w:rsidRDefault="00B72047">
      <w:pPr>
        <w:pStyle w:val="Index1"/>
        <w:rPr>
          <w:noProof/>
        </w:rPr>
      </w:pPr>
      <w:r>
        <w:rPr>
          <w:noProof/>
        </w:rPr>
        <w:t>completitive event contour, 228</w:t>
      </w:r>
    </w:p>
    <w:p w:rsidR="00B72047" w:rsidRDefault="00B72047">
      <w:pPr>
        <w:pStyle w:val="Index1"/>
        <w:rPr>
          <w:noProof/>
        </w:rPr>
      </w:pPr>
      <w:r>
        <w:rPr>
          <w:noProof/>
        </w:rPr>
        <w:t>complex logical connection: grouping strategies contrasted, 343</w:t>
      </w:r>
    </w:p>
    <w:p w:rsidR="00B72047" w:rsidRDefault="00B72047">
      <w:pPr>
        <w:pStyle w:val="Index1"/>
        <w:rPr>
          <w:noProof/>
        </w:rPr>
      </w:pPr>
      <w:r>
        <w:rPr>
          <w:noProof/>
        </w:rPr>
        <w:t>complex logical connectives: grouping with bo, 343; grouping with parenthesis, 343</w:t>
      </w:r>
    </w:p>
    <w:p w:rsidR="00B72047" w:rsidRDefault="00B72047">
      <w:pPr>
        <w:pStyle w:val="Index1"/>
        <w:rPr>
          <w:noProof/>
        </w:rPr>
      </w:pPr>
      <w:r>
        <w:rPr>
          <w:noProof/>
        </w:rPr>
        <w:t>complex movements: expressing, 225</w:t>
      </w:r>
    </w:p>
    <w:p w:rsidR="00B72047" w:rsidRDefault="00B72047">
      <w:pPr>
        <w:pStyle w:val="Index1"/>
        <w:rPr>
          <w:noProof/>
        </w:rPr>
      </w:pPr>
      <w:r>
        <w:rPr>
          <w:noProof/>
        </w:rPr>
        <w:t>complex negation: examples, 102</w:t>
      </w:r>
    </w:p>
    <w:p w:rsidR="00B72047" w:rsidRDefault="00B72047">
      <w:pPr>
        <w:pStyle w:val="Index1"/>
        <w:rPr>
          <w:noProof/>
        </w:rPr>
      </w:pPr>
      <w:r>
        <w:rPr>
          <w:noProof/>
        </w:rPr>
        <w:t>complex numbers: expressing, 434</w:t>
      </w:r>
    </w:p>
    <w:p w:rsidR="00B72047" w:rsidRDefault="00B72047">
      <w:pPr>
        <w:pStyle w:val="Index1"/>
        <w:rPr>
          <w:noProof/>
        </w:rPr>
      </w:pPr>
      <w:r>
        <w:rPr>
          <w:noProof/>
        </w:rPr>
        <w:t>components contrasted with mass: in properties of, 354</w:t>
      </w:r>
    </w:p>
    <w:p w:rsidR="00B72047" w:rsidRDefault="00B72047">
      <w:pPr>
        <w:pStyle w:val="Index1"/>
        <w:rPr>
          <w:noProof/>
        </w:rPr>
      </w:pPr>
      <w:r>
        <w:rPr>
          <w:noProof/>
        </w:rPr>
        <w:t>compound base: definition, 445; expressing digits in, 445; separator for, 445</w:t>
      </w:r>
    </w:p>
    <w:p w:rsidR="00B72047" w:rsidRDefault="00B72047">
      <w:pPr>
        <w:pStyle w:val="Index1"/>
        <w:rPr>
          <w:noProof/>
        </w:rPr>
      </w:pPr>
      <w:r>
        <w:rPr>
          <w:noProof/>
        </w:rPr>
        <w:t>compound bridi: definition, 344; logical connection of, 344; more than one sumti in common, 345; multiple with bo, 346; multiple with ke…ke'e, 346; one sumti in common, 344; separate tail-terms for bridi-tails, 346; separate tail-terms for forethought-connected bridi-tails, 347</w:t>
      </w:r>
    </w:p>
    <w:p w:rsidR="00B72047" w:rsidRDefault="00B72047">
      <w:pPr>
        <w:pStyle w:val="Index1"/>
        <w:rPr>
          <w:noProof/>
        </w:rPr>
      </w:pPr>
      <w:r>
        <w:rPr>
          <w:noProof/>
        </w:rPr>
        <w:t>compound bridi with more than one sumti in common: with common sumti first, 345; with vau, 345</w:t>
      </w:r>
    </w:p>
    <w:p w:rsidR="00B72047" w:rsidRDefault="00B72047">
      <w:pPr>
        <w:pStyle w:val="Index1"/>
        <w:rPr>
          <w:noProof/>
        </w:rPr>
      </w:pPr>
      <w:r>
        <w:rPr>
          <w:noProof/>
        </w:rPr>
        <w:t>compound cmavo: compared with sequence of simple cmavo, 51; definition, 51; recognition of, 51</w:t>
      </w:r>
    </w:p>
    <w:p w:rsidR="00B72047" w:rsidRDefault="00B72047">
      <w:pPr>
        <w:pStyle w:val="Index1"/>
        <w:rPr>
          <w:noProof/>
        </w:rPr>
      </w:pPr>
      <w:r>
        <w:rPr>
          <w:noProof/>
        </w:rPr>
        <w:t>compound emotions, 306</w:t>
      </w:r>
    </w:p>
    <w:p w:rsidR="00B72047" w:rsidRDefault="00B72047">
      <w:pPr>
        <w:pStyle w:val="Index1"/>
        <w:rPr>
          <w:noProof/>
        </w:rPr>
      </w:pPr>
      <w:r>
        <w:rPr>
          <w:noProof/>
        </w:rPr>
        <w:t>compound letter marker, 505</w:t>
      </w:r>
    </w:p>
    <w:p w:rsidR="00B72047" w:rsidRDefault="00B72047">
      <w:pPr>
        <w:pStyle w:val="Index1"/>
        <w:rPr>
          <w:noProof/>
        </w:rPr>
      </w:pPr>
      <w:r>
        <w:rPr>
          <w:noProof/>
        </w:rPr>
        <w:t>compound letters: native language, representing as distinct letters, 419</w:t>
      </w:r>
    </w:p>
    <w:p w:rsidR="00B72047" w:rsidRDefault="00B72047">
      <w:pPr>
        <w:pStyle w:val="Index1"/>
        <w:rPr>
          <w:noProof/>
        </w:rPr>
      </w:pPr>
      <w:r>
        <w:rPr>
          <w:noProof/>
        </w:rPr>
        <w:t>compound logical connectives: components, 336; naming convention, 336</w:t>
      </w:r>
    </w:p>
    <w:p w:rsidR="00B72047" w:rsidRDefault="00B72047">
      <w:pPr>
        <w:pStyle w:val="Index1"/>
        <w:rPr>
          <w:noProof/>
        </w:rPr>
      </w:pPr>
      <w:r>
        <w:rPr>
          <w:noProof/>
        </w:rPr>
        <w:t>compound of gismu: lujvo as, 53</w:t>
      </w:r>
    </w:p>
    <w:p w:rsidR="00B72047" w:rsidRDefault="00B72047">
      <w:pPr>
        <w:pStyle w:val="Index1"/>
        <w:rPr>
          <w:noProof/>
        </w:rPr>
      </w:pPr>
      <w:r>
        <w:rPr>
          <w:noProof/>
        </w:rPr>
        <w:t>compound spatial tense: as direction with-or-without distance, 218; beginning with distance only, 218; effect of different ordering, 218; explanation of, 218; with direction and distance, 218</w:t>
      </w:r>
    </w:p>
    <w:p w:rsidR="00B72047" w:rsidRDefault="00B72047">
      <w:pPr>
        <w:pStyle w:val="Index1"/>
        <w:rPr>
          <w:noProof/>
        </w:rPr>
      </w:pPr>
      <w:r>
        <w:rPr>
          <w:noProof/>
        </w:rPr>
        <w:t>compound subscript, 362, 455</w:t>
      </w:r>
    </w:p>
    <w:p w:rsidR="00B72047" w:rsidRDefault="00B72047">
      <w:pPr>
        <w:pStyle w:val="Index1"/>
        <w:rPr>
          <w:noProof/>
        </w:rPr>
      </w:pPr>
      <w:r>
        <w:rPr>
          <w:noProof/>
        </w:rPr>
        <w:t>compound temporal tense: beginning with distance only, 220</w:t>
      </w:r>
    </w:p>
    <w:p w:rsidR="00B72047" w:rsidRDefault="00B72047">
      <w:pPr>
        <w:pStyle w:val="Index1"/>
        <w:rPr>
          <w:noProof/>
        </w:rPr>
      </w:pPr>
      <w:r>
        <w:rPr>
          <w:noProof/>
        </w:rPr>
        <w:t>compound tense: compared with multiple tenses in sentence, 234; compared with tense in scope of sticky tense, 234; definition, 218; Lojban contrasted with English in order of specification, 218</w:t>
      </w:r>
    </w:p>
    <w:p w:rsidR="00B72047" w:rsidRDefault="00B72047">
      <w:pPr>
        <w:pStyle w:val="Index1"/>
        <w:rPr>
          <w:noProof/>
        </w:rPr>
      </w:pPr>
      <w:r>
        <w:rPr>
          <w:noProof/>
        </w:rPr>
        <w:t>compound tense ordering: Lojban contrasted with English, 218</w:t>
      </w:r>
    </w:p>
    <w:p w:rsidR="00B72047" w:rsidRDefault="00B72047">
      <w:pPr>
        <w:pStyle w:val="Index1"/>
        <w:rPr>
          <w:noProof/>
        </w:rPr>
      </w:pPr>
      <w:r>
        <w:rPr>
          <w:noProof/>
        </w:rPr>
        <w:t>compound words, 273</w:t>
      </w:r>
    </w:p>
    <w:p w:rsidR="00B72047" w:rsidRDefault="00B72047">
      <w:pPr>
        <w:pStyle w:val="Index1"/>
        <w:rPr>
          <w:noProof/>
        </w:rPr>
      </w:pPr>
      <w:r>
        <w:rPr>
          <w:noProof/>
        </w:rPr>
        <w:t>computer interaction, 484</w:t>
      </w:r>
    </w:p>
    <w:p w:rsidR="00B72047" w:rsidRDefault="00B72047">
      <w:pPr>
        <w:pStyle w:val="Index1"/>
        <w:rPr>
          <w:noProof/>
        </w:rPr>
      </w:pPr>
      <w:r>
        <w:rPr>
          <w:noProof/>
        </w:rPr>
        <w:t>concept abstraction, 265</w:t>
      </w:r>
    </w:p>
    <w:p w:rsidR="00B72047" w:rsidRDefault="00B72047">
      <w:pPr>
        <w:pStyle w:val="Index1"/>
        <w:rPr>
          <w:noProof/>
        </w:rPr>
      </w:pPr>
      <w:r>
        <w:rPr>
          <w:noProof/>
        </w:rPr>
        <w:t>concept abstraction(s): place structure, 265</w:t>
      </w:r>
    </w:p>
    <w:p w:rsidR="00B72047" w:rsidRDefault="00B72047">
      <w:pPr>
        <w:pStyle w:val="Index1"/>
        <w:rPr>
          <w:noProof/>
        </w:rPr>
      </w:pPr>
      <w:r>
        <w:rPr>
          <w:noProof/>
        </w:rPr>
        <w:t>concept abstractor, 265</w:t>
      </w:r>
    </w:p>
    <w:p w:rsidR="00B72047" w:rsidRDefault="00B72047">
      <w:pPr>
        <w:pStyle w:val="Index1"/>
        <w:rPr>
          <w:noProof/>
        </w:rPr>
      </w:pPr>
      <w:r>
        <w:rPr>
          <w:noProof/>
        </w:rPr>
        <w:t>concrete terms: use of fu'ivla for, 61</w:t>
      </w:r>
    </w:p>
    <w:p w:rsidR="00B72047" w:rsidRDefault="00B72047">
      <w:pPr>
        <w:pStyle w:val="Index1"/>
        <w:rPr>
          <w:noProof/>
        </w:rPr>
      </w:pPr>
      <w:r>
        <w:rPr>
          <w:noProof/>
        </w:rPr>
        <w:t>condescension: example, 308</w:t>
      </w:r>
    </w:p>
    <w:p w:rsidR="00B72047" w:rsidRDefault="00B72047">
      <w:pPr>
        <w:pStyle w:val="Index1"/>
        <w:rPr>
          <w:noProof/>
        </w:rPr>
      </w:pPr>
      <w:r>
        <w:rPr>
          <w:noProof/>
        </w:rPr>
        <w:t>confusion: metalinguistic, 321</w:t>
      </w:r>
    </w:p>
    <w:p w:rsidR="00B72047" w:rsidRDefault="00B72047">
      <w:pPr>
        <w:pStyle w:val="Index1"/>
        <w:rPr>
          <w:noProof/>
        </w:rPr>
      </w:pPr>
      <w:r>
        <w:rPr>
          <w:noProof/>
        </w:rPr>
        <w:t>confusion about what was said, 321</w:t>
      </w:r>
    </w:p>
    <w:p w:rsidR="00B72047" w:rsidRDefault="00B72047">
      <w:pPr>
        <w:pStyle w:val="Index1"/>
        <w:rPr>
          <w:noProof/>
        </w:rPr>
      </w:pPr>
      <w:r>
        <w:rPr>
          <w:noProof/>
        </w:rPr>
        <w:t>conjunctions: cmavo as Lojban equivalents, 50</w:t>
      </w:r>
    </w:p>
    <w:p w:rsidR="00B72047" w:rsidRDefault="00B72047">
      <w:pPr>
        <w:pStyle w:val="Index1"/>
        <w:rPr>
          <w:noProof/>
        </w:rPr>
      </w:pPr>
      <w:r>
        <w:rPr>
          <w:noProof/>
        </w:rPr>
        <w:t>connected tenses: negation of compared with negation in connective, 245</w:t>
      </w:r>
    </w:p>
    <w:p w:rsidR="00B72047" w:rsidRDefault="00B72047">
      <w:pPr>
        <w:pStyle w:val="Index1"/>
        <w:rPr>
          <w:noProof/>
        </w:rPr>
      </w:pPr>
      <w:r>
        <w:rPr>
          <w:noProof/>
        </w:rPr>
        <w:t>connecting operands: with bo in connective, 361; with ke in connective, 361</w:t>
      </w:r>
    </w:p>
    <w:p w:rsidR="00B72047" w:rsidRDefault="00B72047">
      <w:pPr>
        <w:pStyle w:val="Index1"/>
        <w:rPr>
          <w:noProof/>
        </w:rPr>
      </w:pPr>
      <w:r>
        <w:rPr>
          <w:noProof/>
        </w:rPr>
        <w:t>connecting operators: with bo in connective, 361; with ke in connective, 361</w:t>
      </w:r>
    </w:p>
    <w:p w:rsidR="00B72047" w:rsidRDefault="00B72047">
      <w:pPr>
        <w:pStyle w:val="Index1"/>
        <w:rPr>
          <w:noProof/>
        </w:rPr>
      </w:pPr>
      <w:r>
        <w:rPr>
          <w:noProof/>
        </w:rPr>
        <w:t>connection: forethought, 494; forethought separator, 495; non-distributed, 356; of bridi-tails, 495; of sumti, 489, 496; of tanru units, 495, 496; simultaneously modal and logical, 204</w:t>
      </w:r>
    </w:p>
    <w:p w:rsidR="00B72047" w:rsidRDefault="00B72047">
      <w:pPr>
        <w:pStyle w:val="Index1"/>
        <w:rPr>
          <w:noProof/>
        </w:rPr>
      </w:pPr>
      <w:r>
        <w:rPr>
          <w:noProof/>
        </w:rPr>
        <w:t>connection of operands: grouping, 454; precedence over operator, 455</w:t>
      </w:r>
    </w:p>
    <w:p w:rsidR="00B72047" w:rsidRDefault="00B72047">
      <w:pPr>
        <w:pStyle w:val="Index1"/>
        <w:rPr>
          <w:noProof/>
        </w:rPr>
      </w:pPr>
      <w:r>
        <w:rPr>
          <w:noProof/>
        </w:rPr>
        <w:t>connection of operators: grouping, 454</w:t>
      </w:r>
    </w:p>
    <w:p w:rsidR="00B72047" w:rsidRDefault="00B72047">
      <w:pPr>
        <w:pStyle w:val="Index1"/>
        <w:rPr>
          <w:noProof/>
        </w:rPr>
      </w:pPr>
      <w:r>
        <w:rPr>
          <w:noProof/>
        </w:rPr>
        <w:t>connective answers: non-logical, 359</w:t>
      </w:r>
    </w:p>
    <w:p w:rsidR="00B72047" w:rsidRDefault="00B72047">
      <w:pPr>
        <w:pStyle w:val="Index1"/>
        <w:rPr>
          <w:noProof/>
        </w:rPr>
      </w:pPr>
      <w:r>
        <w:rPr>
          <w:noProof/>
        </w:rPr>
        <w:t>connective question answers: contrasted with other languages, 353</w:t>
      </w:r>
    </w:p>
    <w:p w:rsidR="00B72047" w:rsidRDefault="00B72047">
      <w:pPr>
        <w:pStyle w:val="Index1"/>
        <w:rPr>
          <w:noProof/>
        </w:rPr>
      </w:pPr>
      <w:r>
        <w:rPr>
          <w:noProof/>
        </w:rPr>
        <w:t>connective question cmavo: departure from regularity of, 352</w:t>
      </w:r>
    </w:p>
    <w:p w:rsidR="00B72047" w:rsidRDefault="00B72047">
      <w:pPr>
        <w:pStyle w:val="Index1"/>
        <w:rPr>
          <w:noProof/>
        </w:rPr>
      </w:pPr>
      <w:r>
        <w:rPr>
          <w:noProof/>
        </w:rPr>
        <w:t>connective questions: answering, 352; compared with other languages, 353; non-logical, 359</w:t>
      </w:r>
    </w:p>
    <w:p w:rsidR="00B72047" w:rsidRDefault="00B72047">
      <w:pPr>
        <w:pStyle w:val="Index1"/>
        <w:rPr>
          <w:noProof/>
        </w:rPr>
      </w:pPr>
      <w:r>
        <w:rPr>
          <w:noProof/>
        </w:rPr>
        <w:t>connective(s): as complete grammatical utterance, 352; as ungrammatical utterance, 352</w:t>
      </w:r>
    </w:p>
    <w:p w:rsidR="00B72047" w:rsidRDefault="00B72047">
      <w:pPr>
        <w:pStyle w:val="Index1"/>
        <w:rPr>
          <w:noProof/>
        </w:rPr>
      </w:pPr>
      <w:r>
        <w:rPr>
          <w:noProof/>
        </w:rPr>
        <w:t>connectives: for abstractions, 269; table by constructs connected, 366</w:t>
      </w:r>
    </w:p>
    <w:p w:rsidR="00B72047" w:rsidRDefault="00B72047">
      <w:pPr>
        <w:pStyle w:val="Index1"/>
        <w:rPr>
          <w:noProof/>
        </w:rPr>
      </w:pPr>
      <w:r>
        <w:rPr>
          <w:noProof/>
        </w:rPr>
        <w:t>connector: for relative clauses, 508</w:t>
      </w:r>
    </w:p>
    <w:p w:rsidR="00B72047" w:rsidRDefault="00B72047">
      <w:pPr>
        <w:pStyle w:val="Index1"/>
        <w:rPr>
          <w:noProof/>
        </w:rPr>
      </w:pPr>
      <w:r>
        <w:rPr>
          <w:noProof/>
        </w:rPr>
        <w:t>consonant: definition, 35; effect on syllable count, 35</w:t>
      </w:r>
    </w:p>
    <w:p w:rsidR="00B72047" w:rsidRDefault="00B72047">
      <w:pPr>
        <w:pStyle w:val="Index1"/>
        <w:rPr>
          <w:noProof/>
        </w:rPr>
      </w:pPr>
      <w:r>
        <w:rPr>
          <w:noProof/>
        </w:rPr>
        <w:t>consonant clusters: buffering of, 38; contrasted with doubled consonants, 35; contrasted with single consonants, 35; definition of, 35; more than three consonants in, 37</w:t>
      </w:r>
    </w:p>
    <w:p w:rsidR="00B72047" w:rsidRDefault="00B72047">
      <w:pPr>
        <w:pStyle w:val="Index1"/>
        <w:rPr>
          <w:noProof/>
        </w:rPr>
      </w:pPr>
      <w:r>
        <w:rPr>
          <w:noProof/>
        </w:rPr>
        <w:t>consonant pairs: in brivla, 53; initial, 36; letter y within, 53; restrictions on, 36</w:t>
      </w:r>
    </w:p>
    <w:p w:rsidR="00B72047" w:rsidRDefault="00B72047">
      <w:pPr>
        <w:pStyle w:val="Index1"/>
        <w:rPr>
          <w:noProof/>
        </w:rPr>
      </w:pPr>
      <w:r>
        <w:rPr>
          <w:noProof/>
        </w:rPr>
        <w:t>consonant triples, 37; restrictions on, 37</w:t>
      </w:r>
    </w:p>
    <w:p w:rsidR="00B72047" w:rsidRDefault="00B72047">
      <w:pPr>
        <w:pStyle w:val="Index1"/>
        <w:rPr>
          <w:noProof/>
        </w:rPr>
      </w:pPr>
      <w:r>
        <w:rPr>
          <w:noProof/>
        </w:rPr>
        <w:t>consonant-final words: necessity for pause after, 68</w:t>
      </w:r>
    </w:p>
    <w:p w:rsidR="00B72047" w:rsidRDefault="00B72047">
      <w:pPr>
        <w:pStyle w:val="Index1"/>
        <w:rPr>
          <w:noProof/>
        </w:rPr>
      </w:pPr>
      <w:r>
        <w:rPr>
          <w:noProof/>
        </w:rPr>
        <w:t>consonants: contrasted with vowels, 33; final, 36; position of, 36; pronunciation of, quick-tour version, 12; restrictions on, 36; syllabic, 34; voiced/unvoiced equivalents, 35; voicing of, 35</w:t>
      </w:r>
    </w:p>
    <w:p w:rsidR="00B72047" w:rsidRDefault="00B72047">
      <w:pPr>
        <w:pStyle w:val="Index1"/>
        <w:rPr>
          <w:noProof/>
        </w:rPr>
      </w:pPr>
      <w:r>
        <w:rPr>
          <w:noProof/>
        </w:rPr>
        <w:t>continents: gismu for, 79</w:t>
      </w:r>
    </w:p>
    <w:p w:rsidR="00B72047" w:rsidRDefault="00B72047">
      <w:pPr>
        <w:pStyle w:val="Index1"/>
        <w:rPr>
          <w:noProof/>
        </w:rPr>
      </w:pPr>
      <w:r>
        <w:rPr>
          <w:noProof/>
        </w:rPr>
        <w:t>continues: example, 228</w:t>
      </w:r>
    </w:p>
    <w:p w:rsidR="00B72047" w:rsidRDefault="00B72047">
      <w:pPr>
        <w:pStyle w:val="Index1"/>
        <w:rPr>
          <w:noProof/>
        </w:rPr>
      </w:pPr>
      <w:r>
        <w:rPr>
          <w:noProof/>
        </w:rPr>
        <w:t>continuitive event contour, 228</w:t>
      </w:r>
    </w:p>
    <w:p w:rsidR="00B72047" w:rsidRDefault="00B72047">
      <w:pPr>
        <w:pStyle w:val="Index1"/>
        <w:rPr>
          <w:noProof/>
        </w:rPr>
      </w:pPr>
      <w:r>
        <w:rPr>
          <w:noProof/>
        </w:rPr>
        <w:t>continuous: of tense intervals, 225</w:t>
      </w:r>
    </w:p>
    <w:p w:rsidR="00B72047" w:rsidRDefault="00B72047">
      <w:pPr>
        <w:pStyle w:val="Index1"/>
        <w:rPr>
          <w:noProof/>
        </w:rPr>
      </w:pPr>
      <w:r>
        <w:rPr>
          <w:noProof/>
        </w:rPr>
        <w:t>contradictory negation: using naku before selbri, 405</w:t>
      </w:r>
    </w:p>
    <w:p w:rsidR="00B72047" w:rsidRDefault="00B72047">
      <w:pPr>
        <w:pStyle w:val="Index1"/>
        <w:rPr>
          <w:noProof/>
        </w:rPr>
      </w:pPr>
      <w:r>
        <w:rPr>
          <w:noProof/>
        </w:rPr>
        <w:t>contradictory negation of modals: explanation of meaning, 207</w:t>
      </w:r>
    </w:p>
    <w:p w:rsidR="00B72047" w:rsidRDefault="00B72047">
      <w:pPr>
        <w:pStyle w:val="Index1"/>
        <w:rPr>
          <w:noProof/>
        </w:rPr>
      </w:pPr>
      <w:r>
        <w:rPr>
          <w:noProof/>
        </w:rPr>
        <w:t>contradictory negation of tenses: selma'o allowed with, 242</w:t>
      </w:r>
    </w:p>
    <w:p w:rsidR="00B72047" w:rsidRDefault="00B72047">
      <w:pPr>
        <w:pStyle w:val="Index1"/>
        <w:rPr>
          <w:noProof/>
        </w:rPr>
      </w:pPr>
      <w:r>
        <w:rPr>
          <w:noProof/>
        </w:rPr>
        <w:t>contributors to this book, 5</w:t>
      </w:r>
    </w:p>
    <w:p w:rsidR="00B72047" w:rsidRDefault="00B72047">
      <w:pPr>
        <w:pStyle w:val="Index1"/>
        <w:rPr>
          <w:noProof/>
        </w:rPr>
      </w:pPr>
      <w:r>
        <w:rPr>
          <w:noProof/>
        </w:rPr>
        <w:t>conversion: accessing tense of bridi with jai, 247; definition, 100, 247; effect of multiple on a selbri, 194; effect on BAI, 196; extending scope of, 193; modal, 206, 496; of BAI, 195; of operator places, 459; of selbri, 504; scope of, 193; swapping non-first places, 194; swapping with modal place, 205; using jai, 101</w:t>
      </w:r>
    </w:p>
    <w:p w:rsidR="00B72047" w:rsidRDefault="00B72047">
      <w:pPr>
        <w:pStyle w:val="Index1"/>
        <w:rPr>
          <w:noProof/>
        </w:rPr>
      </w:pPr>
      <w:r>
        <w:rPr>
          <w:noProof/>
        </w:rPr>
        <w:t>conversion and tanru, 100</w:t>
      </w:r>
    </w:p>
    <w:p w:rsidR="00B72047" w:rsidRDefault="00B72047">
      <w:pPr>
        <w:pStyle w:val="Index1"/>
        <w:rPr>
          <w:noProof/>
        </w:rPr>
      </w:pPr>
      <w:r>
        <w:rPr>
          <w:noProof/>
        </w:rPr>
        <w:t>conversion into sumti from mekso, 436</w:t>
      </w:r>
    </w:p>
    <w:p w:rsidR="00B72047" w:rsidRDefault="00B72047">
      <w:pPr>
        <w:pStyle w:val="Index1"/>
        <w:rPr>
          <w:noProof/>
        </w:rPr>
      </w:pPr>
      <w:r>
        <w:rPr>
          <w:noProof/>
        </w:rPr>
        <w:t>conversion of mekso into sumti, 436</w:t>
      </w:r>
    </w:p>
    <w:p w:rsidR="00B72047" w:rsidRDefault="00B72047">
      <w:pPr>
        <w:pStyle w:val="Index1"/>
        <w:rPr>
          <w:noProof/>
        </w:rPr>
      </w:pPr>
      <w:r>
        <w:rPr>
          <w:noProof/>
        </w:rPr>
        <w:t>conversion of operand into operator, 460</w:t>
      </w:r>
    </w:p>
    <w:p w:rsidR="00B72047" w:rsidRDefault="00B72047">
      <w:pPr>
        <w:pStyle w:val="Index1"/>
        <w:rPr>
          <w:noProof/>
        </w:rPr>
      </w:pPr>
      <w:r>
        <w:rPr>
          <w:noProof/>
        </w:rPr>
        <w:t>conversion of operator into operand, 460</w:t>
      </w:r>
    </w:p>
    <w:p w:rsidR="00B72047" w:rsidRDefault="00B72047">
      <w:pPr>
        <w:pStyle w:val="Index1"/>
        <w:rPr>
          <w:noProof/>
        </w:rPr>
      </w:pPr>
      <w:r>
        <w:rPr>
          <w:noProof/>
        </w:rPr>
        <w:t>conversion of operator into selbri, 457</w:t>
      </w:r>
    </w:p>
    <w:p w:rsidR="00B72047" w:rsidRDefault="00B72047">
      <w:pPr>
        <w:pStyle w:val="Index1"/>
        <w:rPr>
          <w:noProof/>
        </w:rPr>
      </w:pPr>
      <w:r>
        <w:rPr>
          <w:noProof/>
        </w:rPr>
        <w:t>conversion of selbri into operand, 456</w:t>
      </w:r>
    </w:p>
    <w:p w:rsidR="00B72047" w:rsidRDefault="00B72047">
      <w:pPr>
        <w:pStyle w:val="Index1"/>
        <w:rPr>
          <w:noProof/>
        </w:rPr>
      </w:pPr>
      <w:r>
        <w:rPr>
          <w:noProof/>
        </w:rPr>
        <w:t>conversion of selbri into operator, 456</w:t>
      </w:r>
    </w:p>
    <w:p w:rsidR="00B72047" w:rsidRDefault="00B72047">
      <w:pPr>
        <w:pStyle w:val="Index1"/>
        <w:rPr>
          <w:noProof/>
        </w:rPr>
      </w:pPr>
      <w:r>
        <w:rPr>
          <w:noProof/>
        </w:rPr>
        <w:t>conversion of selbri to modal, 493</w:t>
      </w:r>
    </w:p>
    <w:p w:rsidR="00B72047" w:rsidRDefault="00B72047">
      <w:pPr>
        <w:pStyle w:val="Index1"/>
        <w:rPr>
          <w:noProof/>
        </w:rPr>
      </w:pPr>
      <w:r>
        <w:rPr>
          <w:noProof/>
        </w:rPr>
        <w:t>conversion of sentence with quantified variables: technique, 407</w:t>
      </w:r>
    </w:p>
    <w:p w:rsidR="00B72047" w:rsidRDefault="00B72047">
      <w:pPr>
        <w:pStyle w:val="Index1"/>
        <w:rPr>
          <w:noProof/>
        </w:rPr>
      </w:pPr>
      <w:r>
        <w:rPr>
          <w:noProof/>
        </w:rPr>
        <w:t>conversion of sumti into operand, 456</w:t>
      </w:r>
    </w:p>
    <w:p w:rsidR="00B72047" w:rsidRDefault="00B72047">
      <w:pPr>
        <w:pStyle w:val="Index1"/>
        <w:rPr>
          <w:noProof/>
        </w:rPr>
      </w:pPr>
      <w:r>
        <w:rPr>
          <w:noProof/>
        </w:rPr>
        <w:t>conversion of sumti into selbri, 98</w:t>
      </w:r>
    </w:p>
    <w:p w:rsidR="00B72047" w:rsidRDefault="00B72047">
      <w:pPr>
        <w:pStyle w:val="Index1"/>
        <w:rPr>
          <w:noProof/>
        </w:rPr>
      </w:pPr>
      <w:r>
        <w:rPr>
          <w:noProof/>
        </w:rPr>
        <w:t>conversion with `ke', 101</w:t>
      </w:r>
    </w:p>
    <w:p w:rsidR="00B72047" w:rsidRDefault="00B72047">
      <w:pPr>
        <w:pStyle w:val="Index1"/>
        <w:rPr>
          <w:noProof/>
        </w:rPr>
      </w:pPr>
      <w:r>
        <w:rPr>
          <w:noProof/>
        </w:rPr>
        <w:t>conversion with se: effect of naku negation boundary on, 406</w:t>
      </w:r>
    </w:p>
    <w:p w:rsidR="00B72047" w:rsidRDefault="00B72047">
      <w:pPr>
        <w:pStyle w:val="Index1"/>
        <w:rPr>
          <w:noProof/>
        </w:rPr>
      </w:pPr>
      <w:r>
        <w:rPr>
          <w:noProof/>
        </w:rPr>
        <w:t>converted selbri: as different selbri from unconverted, 192; as resetting standard order, 193; compared with selbri with FA in meaning, 193; contrasted with other similar selbri, 193; contrasted with selbri with FA in structure, 193; definition, 192; forming with SE, 192; in descriptions, 193; place structure of, 192; retention of basic meaning in, 193; to access non-first place in description, 193</w:t>
      </w:r>
    </w:p>
    <w:p w:rsidR="00B72047" w:rsidRDefault="00B72047">
      <w:pPr>
        <w:pStyle w:val="Index1"/>
        <w:rPr>
          <w:noProof/>
        </w:rPr>
      </w:pPr>
      <w:r>
        <w:rPr>
          <w:noProof/>
        </w:rPr>
        <w:t>converting: operand to operator, 500; operator to selbri, 502; quantifier to selbri, 500; selbri to operand, 501; selbri to operator, 501; sumti to operand, 500; sumti to tanru unit, 500</w:t>
      </w:r>
    </w:p>
    <w:p w:rsidR="00B72047" w:rsidRDefault="00B72047">
      <w:pPr>
        <w:pStyle w:val="Index1"/>
        <w:rPr>
          <w:noProof/>
        </w:rPr>
      </w:pPr>
      <w:r>
        <w:rPr>
          <w:noProof/>
        </w:rPr>
        <w:t>converting sumti to related meaning, 498</w:t>
      </w:r>
    </w:p>
    <w:p w:rsidR="00B72047" w:rsidRDefault="00B72047">
      <w:pPr>
        <w:pStyle w:val="Index1"/>
        <w:rPr>
          <w:noProof/>
        </w:rPr>
      </w:pPr>
      <w:r>
        <w:rPr>
          <w:noProof/>
        </w:rPr>
        <w:t>co'o, 324; quick-tour version, 21</w:t>
      </w:r>
    </w:p>
    <w:p w:rsidR="00B72047" w:rsidRDefault="00B72047">
      <w:pPr>
        <w:pStyle w:val="Index1"/>
        <w:rPr>
          <w:noProof/>
        </w:rPr>
      </w:pPr>
      <w:r>
        <w:rPr>
          <w:noProof/>
        </w:rPr>
        <w:t>creative understanding, 273</w:t>
      </w:r>
    </w:p>
    <w:p w:rsidR="00B72047" w:rsidRDefault="00B72047">
      <w:pPr>
        <w:pStyle w:val="Index1"/>
        <w:rPr>
          <w:noProof/>
        </w:rPr>
      </w:pPr>
      <w:r>
        <w:rPr>
          <w:noProof/>
        </w:rPr>
        <w:t>credits for pictures, 6</w:t>
      </w:r>
    </w:p>
    <w:p w:rsidR="00B72047" w:rsidRDefault="00B72047">
      <w:pPr>
        <w:pStyle w:val="Index1"/>
        <w:rPr>
          <w:noProof/>
        </w:rPr>
      </w:pPr>
      <w:r>
        <w:rPr>
          <w:noProof/>
        </w:rPr>
        <w:t>credits for this book, 6</w:t>
      </w:r>
    </w:p>
    <w:p w:rsidR="00B72047" w:rsidRDefault="00B72047">
      <w:pPr>
        <w:pStyle w:val="Index1"/>
        <w:rPr>
          <w:noProof/>
        </w:rPr>
      </w:pPr>
      <w:r>
        <w:rPr>
          <w:noProof/>
        </w:rPr>
        <w:t>cross product: with tenses, 246</w:t>
      </w:r>
    </w:p>
    <w:p w:rsidR="00B72047" w:rsidRDefault="00B72047">
      <w:pPr>
        <w:pStyle w:val="Index1"/>
        <w:rPr>
          <w:noProof/>
        </w:rPr>
      </w:pPr>
      <w:r>
        <w:rPr>
          <w:noProof/>
        </w:rPr>
        <w:t>cross-dependency, 280</w:t>
      </w:r>
    </w:p>
    <w:p w:rsidR="00B72047" w:rsidRDefault="00B72047">
      <w:pPr>
        <w:pStyle w:val="Index1"/>
        <w:rPr>
          <w:noProof/>
        </w:rPr>
      </w:pPr>
      <w:r>
        <w:rPr>
          <w:noProof/>
        </w:rPr>
        <w:t>cross-product: contrasted with and, 357; of sets, 356</w:t>
      </w:r>
    </w:p>
    <w:p w:rsidR="00B72047" w:rsidRDefault="00B72047">
      <w:pPr>
        <w:pStyle w:val="Index1"/>
        <w:rPr>
          <w:noProof/>
        </w:rPr>
      </w:pPr>
      <w:r>
        <w:rPr>
          <w:noProof/>
        </w:rPr>
        <w:t>cu, 188, 190, 216; as selbri separator, 188; effect of selbri-first bridi on, 190; effect of tense specification, 216; effect on elidability of ku, 122; effect on elidable terminators, 188; necessity of, 188; need for, quick-tour version, 19; omission of, quick-tour version, 14; quick-tour version, 14; use of, quick-tour version, 14; usefulness of, 188</w:t>
      </w:r>
    </w:p>
    <w:p w:rsidR="00B72047" w:rsidRDefault="00B72047">
      <w:pPr>
        <w:pStyle w:val="Index1"/>
        <w:rPr>
          <w:noProof/>
        </w:rPr>
      </w:pPr>
      <w:r>
        <w:rPr>
          <w:noProof/>
        </w:rPr>
        <w:t>CU selma’o, 188, 492</w:t>
      </w:r>
    </w:p>
    <w:p w:rsidR="00B72047" w:rsidRDefault="00B72047">
      <w:pPr>
        <w:pStyle w:val="Index1"/>
        <w:rPr>
          <w:noProof/>
        </w:rPr>
      </w:pPr>
      <w:r>
        <w:rPr>
          <w:noProof/>
        </w:rPr>
        <w:t>cu'e: combining with other tense cmavo, 250</w:t>
      </w:r>
    </w:p>
    <w:p w:rsidR="00B72047" w:rsidRDefault="00B72047">
      <w:pPr>
        <w:pStyle w:val="Index1"/>
        <w:rPr>
          <w:noProof/>
        </w:rPr>
      </w:pPr>
      <w:r>
        <w:rPr>
          <w:noProof/>
        </w:rPr>
        <w:t>CUhE selma’o, 238, 492</w:t>
      </w:r>
    </w:p>
    <w:p w:rsidR="00B72047" w:rsidRDefault="00B72047">
      <w:pPr>
        <w:pStyle w:val="Index1"/>
        <w:rPr>
          <w:noProof/>
        </w:rPr>
      </w:pPr>
      <w:r>
        <w:rPr>
          <w:noProof/>
        </w:rPr>
        <w:t>cu'i, 299, 305</w:t>
      </w:r>
    </w:p>
    <w:p w:rsidR="00B72047" w:rsidRDefault="00B72047">
      <w:pPr>
        <w:pStyle w:val="Index1"/>
        <w:rPr>
          <w:noProof/>
        </w:rPr>
      </w:pPr>
      <w:r>
        <w:rPr>
          <w:noProof/>
        </w:rPr>
        <w:t>cultural knowledge: example, 316</w:t>
      </w:r>
    </w:p>
    <w:p w:rsidR="00B72047" w:rsidRDefault="00B72047">
      <w:pPr>
        <w:pStyle w:val="Index1"/>
        <w:rPr>
          <w:noProof/>
        </w:rPr>
      </w:pPr>
      <w:r>
        <w:rPr>
          <w:noProof/>
        </w:rPr>
        <w:t>cultural words: rafsi fu'ivla proposal for, 80</w:t>
      </w:r>
    </w:p>
    <w:p w:rsidR="00B72047" w:rsidRDefault="00B72047">
      <w:pPr>
        <w:pStyle w:val="Index1"/>
        <w:rPr>
          <w:noProof/>
        </w:rPr>
      </w:pPr>
      <w:r>
        <w:rPr>
          <w:noProof/>
        </w:rPr>
        <w:t>culturally dependent lujvo, 322</w:t>
      </w:r>
    </w:p>
    <w:p w:rsidR="00B72047" w:rsidRDefault="00B72047">
      <w:pPr>
        <w:pStyle w:val="Index1"/>
        <w:rPr>
          <w:noProof/>
        </w:rPr>
      </w:pPr>
      <w:r>
        <w:rPr>
          <w:noProof/>
        </w:rPr>
        <w:t>cumbersome text, 479</w:t>
      </w:r>
    </w:p>
    <w:p w:rsidR="00B72047" w:rsidRDefault="00B72047">
      <w:pPr>
        <w:pStyle w:val="Index1"/>
        <w:rPr>
          <w:noProof/>
        </w:rPr>
      </w:pPr>
      <w:r>
        <w:rPr>
          <w:noProof/>
        </w:rPr>
        <w:t>cu'o, 447</w:t>
      </w:r>
    </w:p>
    <w:p w:rsidR="00B72047" w:rsidRDefault="00B72047">
      <w:pPr>
        <w:pStyle w:val="Index1"/>
        <w:rPr>
          <w:noProof/>
        </w:rPr>
      </w:pPr>
      <w:r>
        <w:rPr>
          <w:noProof/>
        </w:rPr>
        <w:t>cup's friend: example, 174</w:t>
      </w:r>
    </w:p>
    <w:p w:rsidR="00B72047" w:rsidRDefault="00B72047">
      <w:pPr>
        <w:pStyle w:val="Index1"/>
        <w:rPr>
          <w:noProof/>
        </w:rPr>
      </w:pPr>
      <w:r>
        <w:rPr>
          <w:noProof/>
        </w:rPr>
        <w:t>curious, 263; example, 263; example, 263</w:t>
      </w:r>
    </w:p>
    <w:p w:rsidR="00B72047" w:rsidRDefault="00B72047">
      <w:pPr>
        <w:pStyle w:val="Index1"/>
        <w:rPr>
          <w:noProof/>
        </w:rPr>
      </w:pPr>
      <w:r>
        <w:rPr>
          <w:noProof/>
        </w:rPr>
        <w:t>cu'u, 203</w:t>
      </w:r>
    </w:p>
    <w:p w:rsidR="00B72047" w:rsidRDefault="00B72047">
      <w:pPr>
        <w:pStyle w:val="Index1"/>
        <w:rPr>
          <w:noProof/>
        </w:rPr>
      </w:pPr>
      <w:r>
        <w:rPr>
          <w:noProof/>
        </w:rPr>
        <w:t>cycles, 230</w:t>
      </w:r>
    </w:p>
    <w:p w:rsidR="00B72047" w:rsidRDefault="00B72047">
      <w:pPr>
        <w:pStyle w:val="Index1"/>
        <w:rPr>
          <w:noProof/>
        </w:rPr>
      </w:pPr>
      <w:r>
        <w:rPr>
          <w:noProof/>
        </w:rPr>
        <w:t>Cy-form cmavo: rules for pause after, 69</w:t>
      </w:r>
    </w:p>
    <w:p w:rsidR="00B72047" w:rsidRDefault="00B72047">
      <w:pPr>
        <w:pStyle w:val="Index1"/>
        <w:rPr>
          <w:noProof/>
        </w:rPr>
      </w:pPr>
      <w:r>
        <w:rPr>
          <w:noProof/>
        </w:rPr>
        <w:t>Cyrillic alphabet: language shift word for, 417; proposed lerfu words for, 427</w:t>
      </w:r>
    </w:p>
    <w:p w:rsidR="00B72047" w:rsidRDefault="00B72047">
      <w:pPr>
        <w:pStyle w:val="Index1"/>
        <w:rPr>
          <w:noProof/>
        </w:rPr>
      </w:pPr>
      <w:r>
        <w:rPr>
          <w:noProof/>
        </w:rPr>
        <w:t>da, 162, 392, 473; as a translation for “something”, 392; contrasted with zo'e, 392</w:t>
      </w:r>
    </w:p>
    <w:p w:rsidR="00B72047" w:rsidRDefault="00B72047">
      <w:pPr>
        <w:pStyle w:val="Index1"/>
        <w:rPr>
          <w:noProof/>
        </w:rPr>
      </w:pPr>
      <w:r>
        <w:rPr>
          <w:noProof/>
        </w:rPr>
        <w:t>da poi, 394</w:t>
      </w:r>
    </w:p>
    <w:p w:rsidR="00B72047" w:rsidRDefault="00B72047">
      <w:pPr>
        <w:pStyle w:val="Index1"/>
        <w:rPr>
          <w:noProof/>
        </w:rPr>
      </w:pPr>
      <w:r>
        <w:rPr>
          <w:noProof/>
        </w:rPr>
        <w:t>da prami da: contrasted with da prami de, 393</w:t>
      </w:r>
    </w:p>
    <w:p w:rsidR="00B72047" w:rsidRDefault="00B72047">
      <w:pPr>
        <w:pStyle w:val="Index1"/>
        <w:rPr>
          <w:noProof/>
        </w:rPr>
      </w:pPr>
      <w:r>
        <w:rPr>
          <w:noProof/>
        </w:rPr>
        <w:t>da prami de: contrasted with da prami da, 393</w:t>
      </w:r>
    </w:p>
    <w:p w:rsidR="00B72047" w:rsidRDefault="00B72047">
      <w:pPr>
        <w:pStyle w:val="Index1"/>
        <w:rPr>
          <w:noProof/>
        </w:rPr>
      </w:pPr>
      <w:r>
        <w:rPr>
          <w:noProof/>
        </w:rPr>
        <w:t>DA selma’o, 473</w:t>
      </w:r>
    </w:p>
    <w:p w:rsidR="00B72047" w:rsidRDefault="00B72047">
      <w:pPr>
        <w:pStyle w:val="Index1"/>
        <w:rPr>
          <w:noProof/>
        </w:rPr>
      </w:pPr>
      <w:r>
        <w:rPr>
          <w:noProof/>
        </w:rPr>
        <w:t>da'a, 441; default number for, 441</w:t>
      </w:r>
    </w:p>
    <w:p w:rsidR="00B72047" w:rsidRDefault="00B72047">
      <w:pPr>
        <w:pStyle w:val="Index1"/>
        <w:rPr>
          <w:noProof/>
        </w:rPr>
      </w:pPr>
      <w:r>
        <w:rPr>
          <w:noProof/>
        </w:rPr>
        <w:t>da'e, 149</w:t>
      </w:r>
    </w:p>
    <w:p w:rsidR="00B72047" w:rsidRDefault="00B72047">
      <w:pPr>
        <w:pStyle w:val="Index1"/>
        <w:rPr>
          <w:noProof/>
        </w:rPr>
      </w:pPr>
      <w:r>
        <w:rPr>
          <w:noProof/>
        </w:rPr>
        <w:t>DAhO selma’o, 162, 466, 492</w:t>
      </w:r>
    </w:p>
    <w:p w:rsidR="00B72047" w:rsidRDefault="00B72047">
      <w:pPr>
        <w:pStyle w:val="Index1"/>
        <w:rPr>
          <w:noProof/>
        </w:rPr>
      </w:pPr>
      <w:r>
        <w:rPr>
          <w:noProof/>
        </w:rPr>
        <w:t>da'i, 319</w:t>
      </w:r>
    </w:p>
    <w:p w:rsidR="00B72047" w:rsidRDefault="00B72047">
      <w:pPr>
        <w:pStyle w:val="Index1"/>
        <w:rPr>
          <w:noProof/>
        </w:rPr>
      </w:pPr>
      <w:r>
        <w:rPr>
          <w:noProof/>
        </w:rPr>
        <w:t>da'o, 162, 466; for cancellation of pro-sumti/pro-bridi assignment, 162; syntax of, 162</w:t>
      </w:r>
    </w:p>
    <w:p w:rsidR="00B72047" w:rsidRDefault="00B72047">
      <w:pPr>
        <w:pStyle w:val="Index1"/>
        <w:rPr>
          <w:noProof/>
        </w:rPr>
      </w:pPr>
      <w:r>
        <w:rPr>
          <w:noProof/>
        </w:rPr>
        <w:t>da-series: after third, 472</w:t>
      </w:r>
    </w:p>
    <w:p w:rsidR="00B72047" w:rsidRDefault="00B72047">
      <w:pPr>
        <w:pStyle w:val="Index1"/>
        <w:rPr>
          <w:noProof/>
        </w:rPr>
      </w:pPr>
      <w:r>
        <w:rPr>
          <w:noProof/>
        </w:rPr>
        <w:t>da-series pro-sumti: for bound variables, 161</w:t>
      </w:r>
    </w:p>
    <w:p w:rsidR="00B72047" w:rsidRDefault="00B72047">
      <w:pPr>
        <w:pStyle w:val="Index1"/>
        <w:rPr>
          <w:noProof/>
        </w:rPr>
      </w:pPr>
      <w:r>
        <w:rPr>
          <w:noProof/>
        </w:rPr>
        <w:t>da'u, 148</w:t>
      </w:r>
    </w:p>
    <w:p w:rsidR="00B72047" w:rsidRDefault="00B72047">
      <w:pPr>
        <w:pStyle w:val="Index1"/>
        <w:rPr>
          <w:noProof/>
        </w:rPr>
      </w:pPr>
      <w:r>
        <w:rPr>
          <w:noProof/>
        </w:rPr>
        <w:t>dai, 314</w:t>
      </w:r>
    </w:p>
    <w:p w:rsidR="00B72047" w:rsidRDefault="00B72047">
      <w:pPr>
        <w:pStyle w:val="Index1"/>
        <w:rPr>
          <w:noProof/>
        </w:rPr>
      </w:pPr>
      <w:r>
        <w:rPr>
          <w:noProof/>
        </w:rPr>
        <w:t>De Gaulle: example, 68</w:t>
      </w:r>
    </w:p>
    <w:p w:rsidR="00B72047" w:rsidRDefault="00B72047">
      <w:pPr>
        <w:pStyle w:val="Index1"/>
        <w:rPr>
          <w:noProof/>
        </w:rPr>
      </w:pPr>
      <w:r>
        <w:rPr>
          <w:noProof/>
        </w:rPr>
        <w:t>de'a, 229</w:t>
      </w:r>
    </w:p>
    <w:p w:rsidR="00B72047" w:rsidRDefault="00B72047">
      <w:pPr>
        <w:pStyle w:val="Index1"/>
        <w:rPr>
          <w:noProof/>
        </w:rPr>
      </w:pPr>
      <w:r>
        <w:rPr>
          <w:noProof/>
        </w:rPr>
        <w:t>decimal point: as numerical punctuation, 433; effect of different notations, 433; in bases other than 10, 444</w:t>
      </w:r>
    </w:p>
    <w:p w:rsidR="00B72047" w:rsidRDefault="00B72047">
      <w:pPr>
        <w:pStyle w:val="Index1"/>
        <w:rPr>
          <w:noProof/>
        </w:rPr>
      </w:pPr>
      <w:r>
        <w:rPr>
          <w:noProof/>
        </w:rPr>
        <w:t>deduction: example, 316</w:t>
      </w:r>
    </w:p>
    <w:p w:rsidR="00B72047" w:rsidRDefault="00B72047">
      <w:pPr>
        <w:pStyle w:val="Index1"/>
        <w:rPr>
          <w:noProof/>
        </w:rPr>
      </w:pPr>
      <w:r>
        <w:rPr>
          <w:noProof/>
        </w:rPr>
        <w:t>de'e, 149</w:t>
      </w:r>
    </w:p>
    <w:p w:rsidR="00B72047" w:rsidRDefault="00B72047">
      <w:pPr>
        <w:pStyle w:val="Index1"/>
        <w:rPr>
          <w:noProof/>
        </w:rPr>
      </w:pPr>
      <w:r>
        <w:rPr>
          <w:noProof/>
        </w:rPr>
        <w:t>default operator precedence: contrasted with mekso goal, 436</w:t>
      </w:r>
    </w:p>
    <w:p w:rsidR="00B72047" w:rsidRDefault="00B72047">
      <w:pPr>
        <w:pStyle w:val="Index1"/>
        <w:rPr>
          <w:noProof/>
        </w:rPr>
      </w:pPr>
      <w:r>
        <w:rPr>
          <w:noProof/>
        </w:rPr>
        <w:t>deference: example, 308</w:t>
      </w:r>
    </w:p>
    <w:p w:rsidR="00B72047" w:rsidRDefault="00B72047">
      <w:pPr>
        <w:pStyle w:val="Index1"/>
        <w:rPr>
          <w:noProof/>
        </w:rPr>
      </w:pPr>
      <w:r>
        <w:rPr>
          <w:noProof/>
        </w:rPr>
        <w:t>definable pro-sumti, 139; sequences of lerfu words as, 140</w:t>
      </w:r>
    </w:p>
    <w:p w:rsidR="00B72047" w:rsidRDefault="00B72047">
      <w:pPr>
        <w:pStyle w:val="Index1"/>
        <w:rPr>
          <w:noProof/>
        </w:rPr>
      </w:pPr>
      <w:r>
        <w:rPr>
          <w:noProof/>
        </w:rPr>
        <w:t>definite numbers: combined with indefinite, 442</w:t>
      </w:r>
    </w:p>
    <w:p w:rsidR="00B72047" w:rsidRDefault="00B72047">
      <w:pPr>
        <w:pStyle w:val="Index1"/>
        <w:rPr>
          <w:noProof/>
        </w:rPr>
      </w:pPr>
      <w:r>
        <w:rPr>
          <w:noProof/>
        </w:rPr>
        <w:t>de'i, 204</w:t>
      </w:r>
    </w:p>
    <w:p w:rsidR="00B72047" w:rsidRDefault="00B72047">
      <w:pPr>
        <w:pStyle w:val="Index1"/>
        <w:rPr>
          <w:noProof/>
        </w:rPr>
      </w:pPr>
      <w:r>
        <w:rPr>
          <w:noProof/>
        </w:rPr>
        <w:t>dei, 149</w:t>
      </w:r>
    </w:p>
    <w:p w:rsidR="00B72047" w:rsidRDefault="00B72047">
      <w:pPr>
        <w:pStyle w:val="Index1"/>
        <w:rPr>
          <w:noProof/>
        </w:rPr>
      </w:pPr>
      <w:r>
        <w:rPr>
          <w:noProof/>
        </w:rPr>
        <w:t>demonstrated potential: expressing, 244</w:t>
      </w:r>
    </w:p>
    <w:p w:rsidR="00B72047" w:rsidRDefault="00B72047">
      <w:pPr>
        <w:pStyle w:val="Index1"/>
        <w:rPr>
          <w:noProof/>
        </w:rPr>
      </w:pPr>
      <w:r>
        <w:rPr>
          <w:noProof/>
        </w:rPr>
        <w:t>demonstrative pro-sumti, 140, 147; stability of, 162</w:t>
      </w:r>
    </w:p>
    <w:p w:rsidR="00B72047" w:rsidRDefault="00B72047">
      <w:pPr>
        <w:pStyle w:val="Index1"/>
        <w:rPr>
          <w:noProof/>
        </w:rPr>
      </w:pPr>
      <w:r>
        <w:rPr>
          <w:noProof/>
        </w:rPr>
        <w:t>DeMorgan's Law: and bridi-tail logical connection, 408; and distributing a negation, 407; and internal naku negations, 409; and logically connected sentences, 408; and moving a logical connective relative to “naku”, 407; sample applications, 408</w:t>
      </w:r>
    </w:p>
    <w:p w:rsidR="00B72047" w:rsidRDefault="00B72047">
      <w:pPr>
        <w:pStyle w:val="Index1"/>
        <w:rPr>
          <w:noProof/>
        </w:rPr>
      </w:pPr>
      <w:r>
        <w:rPr>
          <w:noProof/>
        </w:rPr>
        <w:t>dereferencing a pointer: with la'e, 134</w:t>
      </w:r>
    </w:p>
    <w:p w:rsidR="00B72047" w:rsidRDefault="00B72047">
      <w:pPr>
        <w:pStyle w:val="Index1"/>
        <w:rPr>
          <w:noProof/>
        </w:rPr>
      </w:pPr>
      <w:r>
        <w:rPr>
          <w:noProof/>
        </w:rPr>
        <w:t>derivational morphology: definition, 49</w:t>
      </w:r>
    </w:p>
    <w:p w:rsidR="00B72047" w:rsidRDefault="00B72047">
      <w:pPr>
        <w:pStyle w:val="Index1"/>
        <w:rPr>
          <w:noProof/>
        </w:rPr>
      </w:pPr>
      <w:r>
        <w:rPr>
          <w:noProof/>
        </w:rPr>
        <w:t>derogatory terms, 275</w:t>
      </w:r>
    </w:p>
    <w:p w:rsidR="00B72047" w:rsidRDefault="00B72047">
      <w:pPr>
        <w:pStyle w:val="Index1"/>
        <w:rPr>
          <w:noProof/>
        </w:rPr>
      </w:pPr>
      <w:r>
        <w:rPr>
          <w:noProof/>
        </w:rPr>
        <w:t>descriptions: and abstractions, 255; as based on first place of following selbri, 193; as possessive sumti, 180; based on go'i-series pro-bridi, 155; components of, 120; importance of selbri first place in, 120; non-specific, 121; quick-tour version, 19; specific, 121; types of, 120; use of SE in, 193</w:t>
      </w:r>
    </w:p>
    <w:p w:rsidR="00B72047" w:rsidRDefault="00B72047">
      <w:pPr>
        <w:pStyle w:val="Index1"/>
        <w:rPr>
          <w:noProof/>
        </w:rPr>
      </w:pPr>
      <w:r>
        <w:rPr>
          <w:noProof/>
        </w:rPr>
        <w:t>descriptions with lo: teddy bear contrasted with real bear, 122</w:t>
      </w:r>
    </w:p>
    <w:p w:rsidR="00B72047" w:rsidRDefault="00B72047">
      <w:pPr>
        <w:pStyle w:val="Index1"/>
        <w:rPr>
          <w:noProof/>
        </w:rPr>
      </w:pPr>
      <w:r>
        <w:rPr>
          <w:noProof/>
        </w:rPr>
        <w:t>descriptor, 498; as part of description, 120</w:t>
      </w:r>
    </w:p>
    <w:p w:rsidR="00B72047" w:rsidRDefault="00B72047">
      <w:pPr>
        <w:pStyle w:val="Index1"/>
        <w:rPr>
          <w:noProof/>
        </w:rPr>
      </w:pPr>
      <w:r>
        <w:rPr>
          <w:noProof/>
        </w:rPr>
        <w:t>descriptor for numbers, 499</w:t>
      </w:r>
    </w:p>
    <w:p w:rsidR="00B72047" w:rsidRDefault="00B72047">
      <w:pPr>
        <w:pStyle w:val="Index1"/>
        <w:rPr>
          <w:noProof/>
        </w:rPr>
      </w:pPr>
      <w:r>
        <w:rPr>
          <w:noProof/>
        </w:rPr>
        <w:t>descriptors: different implicit outer quantifiers among, 131; implicit quantifiers for, 129; omission of, 132; purpose of, 120</w:t>
      </w:r>
    </w:p>
    <w:p w:rsidR="00B72047" w:rsidRDefault="00B72047">
      <w:pPr>
        <w:pStyle w:val="Index1"/>
        <w:rPr>
          <w:noProof/>
        </w:rPr>
      </w:pPr>
      <w:r>
        <w:rPr>
          <w:noProof/>
        </w:rPr>
        <w:t>de'u, 148</w:t>
      </w:r>
    </w:p>
    <w:p w:rsidR="00B72047" w:rsidRDefault="00B72047">
      <w:pPr>
        <w:pStyle w:val="Index1"/>
        <w:rPr>
          <w:noProof/>
        </w:rPr>
      </w:pPr>
      <w:r>
        <w:rPr>
          <w:noProof/>
        </w:rPr>
        <w:t>Devanagari: example, 418</w:t>
      </w:r>
    </w:p>
    <w:p w:rsidR="00B72047" w:rsidRDefault="00B72047">
      <w:pPr>
        <w:pStyle w:val="Index1"/>
        <w:rPr>
          <w:noProof/>
        </w:rPr>
      </w:pPr>
      <w:r>
        <w:rPr>
          <w:noProof/>
        </w:rPr>
        <w:t>di'a, 229</w:t>
      </w:r>
    </w:p>
    <w:p w:rsidR="00B72047" w:rsidRDefault="00B72047">
      <w:pPr>
        <w:pStyle w:val="Index1"/>
        <w:rPr>
          <w:noProof/>
        </w:rPr>
      </w:pPr>
      <w:r>
        <w:rPr>
          <w:noProof/>
        </w:rPr>
        <w:t>diacritic marks: proposed lerfu words for, 429</w:t>
      </w:r>
    </w:p>
    <w:p w:rsidR="00B72047" w:rsidRDefault="00B72047">
      <w:pPr>
        <w:pStyle w:val="Index1"/>
        <w:rPr>
          <w:noProof/>
        </w:rPr>
      </w:pPr>
      <w:r>
        <w:rPr>
          <w:noProof/>
        </w:rPr>
        <w:t>diacritical marks: as lerfu, 418; considered as forming distinct letters, 419; order of specification within tei…foi, 419; problem of position, 418; problem with multiple on one lerfu, 419; specifying with tei…foi, 419</w:t>
      </w:r>
    </w:p>
    <w:p w:rsidR="00B72047" w:rsidRDefault="00B72047">
      <w:pPr>
        <w:pStyle w:val="Index1"/>
        <w:rPr>
          <w:noProof/>
        </w:rPr>
      </w:pPr>
      <w:r>
        <w:rPr>
          <w:noProof/>
        </w:rPr>
        <w:t>dictionary: superior authority of, 5</w:t>
      </w:r>
    </w:p>
    <w:p w:rsidR="00B72047" w:rsidRDefault="00B72047">
      <w:pPr>
        <w:pStyle w:val="Index1"/>
        <w:rPr>
          <w:noProof/>
        </w:rPr>
      </w:pPr>
      <w:r>
        <w:rPr>
          <w:noProof/>
        </w:rPr>
        <w:t>di'e, 149, 358; effect of tu'e/tu'u on, 358</w:t>
      </w:r>
    </w:p>
    <w:p w:rsidR="00B72047" w:rsidRDefault="00B72047">
      <w:pPr>
        <w:pStyle w:val="Index1"/>
        <w:rPr>
          <w:noProof/>
        </w:rPr>
      </w:pPr>
      <w:r>
        <w:rPr>
          <w:noProof/>
        </w:rPr>
        <w:t>die after living: example, 232</w:t>
      </w:r>
    </w:p>
    <w:p w:rsidR="00B72047" w:rsidRDefault="00B72047">
      <w:pPr>
        <w:pStyle w:val="Index1"/>
        <w:rPr>
          <w:noProof/>
        </w:rPr>
      </w:pPr>
      <w:r>
        <w:rPr>
          <w:noProof/>
        </w:rPr>
        <w:t>digit questions, 449</w:t>
      </w:r>
    </w:p>
    <w:p w:rsidR="00B72047" w:rsidRDefault="00B72047">
      <w:pPr>
        <w:pStyle w:val="Index1"/>
        <w:rPr>
          <w:noProof/>
        </w:rPr>
      </w:pPr>
      <w:r>
        <w:rPr>
          <w:noProof/>
        </w:rPr>
        <w:t>digit string: definition of, 458</w:t>
      </w:r>
    </w:p>
    <w:p w:rsidR="00B72047" w:rsidRDefault="00B72047">
      <w:pPr>
        <w:pStyle w:val="Index1"/>
        <w:rPr>
          <w:noProof/>
        </w:rPr>
      </w:pPr>
      <w:r>
        <w:rPr>
          <w:noProof/>
        </w:rPr>
        <w:t>digits, 502; cmavo for, 432; list of decimal, 462; list of hexadecimal, 462; names from, 459; rafsi for, 459; rationale for having 16, 444</w:t>
      </w:r>
    </w:p>
    <w:p w:rsidR="00B72047" w:rsidRDefault="00B72047">
      <w:pPr>
        <w:pStyle w:val="Index1"/>
        <w:rPr>
          <w:noProof/>
        </w:rPr>
      </w:pPr>
      <w:r>
        <w:rPr>
          <w:noProof/>
        </w:rPr>
        <w:t>digits beyond 9: word pattern, 444</w:t>
      </w:r>
    </w:p>
    <w:p w:rsidR="00B72047" w:rsidRDefault="00B72047">
      <w:pPr>
        <w:pStyle w:val="Index1"/>
        <w:rPr>
          <w:noProof/>
        </w:rPr>
      </w:pPr>
      <w:r>
        <w:rPr>
          <w:noProof/>
        </w:rPr>
        <w:t>di'i, 226</w:t>
      </w:r>
    </w:p>
    <w:p w:rsidR="00B72047" w:rsidRDefault="00B72047">
      <w:pPr>
        <w:pStyle w:val="Index1"/>
        <w:rPr>
          <w:noProof/>
        </w:rPr>
      </w:pPr>
      <w:r>
        <w:rPr>
          <w:noProof/>
        </w:rPr>
        <w:t>dimension: meaning as sumti tcita, 233</w:t>
      </w:r>
    </w:p>
    <w:p w:rsidR="00B72047" w:rsidRDefault="00B72047">
      <w:pPr>
        <w:pStyle w:val="Index1"/>
        <w:rPr>
          <w:noProof/>
        </w:rPr>
      </w:pPr>
      <w:r>
        <w:rPr>
          <w:noProof/>
        </w:rPr>
        <w:t>dimensionality: of walking, 224; order with size in spatial tense intervals, 224; spatial, 506</w:t>
      </w:r>
    </w:p>
    <w:p w:rsidR="00B72047" w:rsidRDefault="00B72047">
      <w:pPr>
        <w:pStyle w:val="Index1"/>
        <w:rPr>
          <w:noProof/>
        </w:rPr>
      </w:pPr>
      <w:r>
        <w:rPr>
          <w:noProof/>
        </w:rPr>
        <w:t>dimensionality of interval: as subjective, 224</w:t>
      </w:r>
    </w:p>
    <w:p w:rsidR="00B72047" w:rsidRDefault="00B72047">
      <w:pPr>
        <w:pStyle w:val="Index1"/>
        <w:rPr>
          <w:noProof/>
        </w:rPr>
      </w:pPr>
      <w:r>
        <w:rPr>
          <w:noProof/>
        </w:rPr>
        <w:t>dimensioned numbers: expressing, 456</w:t>
      </w:r>
    </w:p>
    <w:p w:rsidR="00B72047" w:rsidRDefault="00B72047">
      <w:pPr>
        <w:pStyle w:val="Index1"/>
        <w:rPr>
          <w:noProof/>
        </w:rPr>
      </w:pPr>
      <w:r>
        <w:rPr>
          <w:noProof/>
        </w:rPr>
        <w:t>diphthongs: classification of, 34; contrasted with vowel pairs, 34; definition of, 33; English analogues of, 45; in fu'ivla, 63; IPA for, 33; list of, 33; pronunciation of, quick-tour version, 12; specific to cmene, 66; specific to names, 66</w:t>
      </w:r>
    </w:p>
    <w:p w:rsidR="00B72047" w:rsidRDefault="00B72047">
      <w:pPr>
        <w:pStyle w:val="Index1"/>
        <w:rPr>
          <w:noProof/>
        </w:rPr>
      </w:pPr>
      <w:r>
        <w:rPr>
          <w:noProof/>
        </w:rPr>
        <w:t>direct address, 323</w:t>
      </w:r>
    </w:p>
    <w:p w:rsidR="00B72047" w:rsidRDefault="00B72047">
      <w:pPr>
        <w:pStyle w:val="Index1"/>
        <w:rPr>
          <w:noProof/>
        </w:rPr>
      </w:pPr>
      <w:r>
        <w:rPr>
          <w:noProof/>
        </w:rPr>
        <w:t>direction: following interval in tense construct, 221; interaction with movement specification in tenses, 224; order of relative to distance in spatial tenses, 217; reference frame for, 224; spatial, 493; specification with FAhA, 217; time, 503</w:t>
      </w:r>
    </w:p>
    <w:p w:rsidR="00B72047" w:rsidRDefault="00B72047">
      <w:pPr>
        <w:pStyle w:val="Index1"/>
        <w:rPr>
          <w:noProof/>
        </w:rPr>
      </w:pPr>
      <w:r>
        <w:rPr>
          <w:noProof/>
        </w:rPr>
        <w:t>directions: multiple with movement, 225</w:t>
      </w:r>
    </w:p>
    <w:p w:rsidR="00B72047" w:rsidRDefault="00B72047">
      <w:pPr>
        <w:pStyle w:val="Index1"/>
        <w:rPr>
          <w:noProof/>
        </w:rPr>
      </w:pPr>
      <w:r>
        <w:rPr>
          <w:noProof/>
        </w:rPr>
        <w:t>disambiguated instance, 276</w:t>
      </w:r>
    </w:p>
    <w:p w:rsidR="00B72047" w:rsidRDefault="00B72047">
      <w:pPr>
        <w:pStyle w:val="Index1"/>
        <w:rPr>
          <w:noProof/>
        </w:rPr>
      </w:pPr>
      <w:r>
        <w:rPr>
          <w:noProof/>
        </w:rPr>
        <w:t>disclaimers, 5</w:t>
      </w:r>
    </w:p>
    <w:p w:rsidR="00B72047" w:rsidRDefault="00B72047">
      <w:pPr>
        <w:pStyle w:val="Index1"/>
        <w:rPr>
          <w:noProof/>
        </w:rPr>
      </w:pPr>
      <w:r>
        <w:rPr>
          <w:noProof/>
        </w:rPr>
        <w:t>discourse: commentary on, 319; expressing utterance relation to, 317; gesture markers, 319; tone of voice markers, 319</w:t>
      </w:r>
    </w:p>
    <w:p w:rsidR="00B72047" w:rsidRDefault="00B72047">
      <w:pPr>
        <w:pStyle w:val="Index1"/>
        <w:rPr>
          <w:noProof/>
        </w:rPr>
      </w:pPr>
      <w:r>
        <w:rPr>
          <w:noProof/>
        </w:rPr>
        <w:t>discrete: of tense intervals, 225</w:t>
      </w:r>
    </w:p>
    <w:p w:rsidR="00B72047" w:rsidRDefault="00B72047">
      <w:pPr>
        <w:pStyle w:val="Index1"/>
        <w:rPr>
          <w:noProof/>
        </w:rPr>
      </w:pPr>
      <w:r>
        <w:rPr>
          <w:noProof/>
        </w:rPr>
        <w:t>discursive indicator, 466</w:t>
      </w:r>
    </w:p>
    <w:p w:rsidR="00B72047" w:rsidRDefault="00B72047">
      <w:pPr>
        <w:pStyle w:val="Index1"/>
        <w:rPr>
          <w:noProof/>
        </w:rPr>
      </w:pPr>
      <w:r>
        <w:rPr>
          <w:noProof/>
        </w:rPr>
        <w:t>discursives: as metalinguistic claims, 317; contrasted with attitudinals, 317; definition, 317; discourse commentary, 319; discourse management, 320; embedded, 481; expressing how things are said, 318; knowledge, 319; placement in sentence, 317; quick-tour version, 25; su'a, 316; word-level, 318</w:t>
      </w:r>
    </w:p>
    <w:p w:rsidR="00B72047" w:rsidRDefault="00B72047">
      <w:pPr>
        <w:pStyle w:val="Index1"/>
        <w:rPr>
          <w:noProof/>
        </w:rPr>
      </w:pPr>
      <w:r>
        <w:rPr>
          <w:noProof/>
        </w:rPr>
        <w:t>discursives for consecutive discourse, 317; contrasted, 318</w:t>
      </w:r>
    </w:p>
    <w:p w:rsidR="00B72047" w:rsidRDefault="00B72047">
      <w:pPr>
        <w:pStyle w:val="Index1"/>
        <w:rPr>
          <w:noProof/>
        </w:rPr>
      </w:pPr>
      <w:r>
        <w:rPr>
          <w:noProof/>
        </w:rPr>
        <w:t>discursives for managing discourse flow, 320</w:t>
      </w:r>
    </w:p>
    <w:p w:rsidR="00B72047" w:rsidRDefault="00B72047">
      <w:pPr>
        <w:pStyle w:val="Index1"/>
        <w:rPr>
          <w:noProof/>
        </w:rPr>
      </w:pPr>
      <w:r>
        <w:rPr>
          <w:noProof/>
        </w:rPr>
        <w:t>discuss in language: example, 357</w:t>
      </w:r>
    </w:p>
    <w:p w:rsidR="00B72047" w:rsidRDefault="00B72047">
      <w:pPr>
        <w:pStyle w:val="Index1"/>
        <w:rPr>
          <w:noProof/>
        </w:rPr>
      </w:pPr>
      <w:r>
        <w:rPr>
          <w:noProof/>
        </w:rPr>
        <w:t>distance: order of relative to direction in spatial tenses, 217; spatial, 506; specification with VA, 217; time, 507</w:t>
      </w:r>
    </w:p>
    <w:p w:rsidR="00B72047" w:rsidRDefault="00B72047">
      <w:pPr>
        <w:pStyle w:val="Index1"/>
        <w:rPr>
          <w:noProof/>
        </w:rPr>
      </w:pPr>
      <w:r>
        <w:rPr>
          <w:noProof/>
        </w:rPr>
        <w:t>distributing a negation, 407</w:t>
      </w:r>
    </w:p>
    <w:p w:rsidR="00B72047" w:rsidRDefault="00B72047">
      <w:pPr>
        <w:pStyle w:val="Index1"/>
        <w:rPr>
          <w:noProof/>
        </w:rPr>
      </w:pPr>
      <w:r>
        <w:rPr>
          <w:noProof/>
        </w:rPr>
        <w:t>distribution of quantified sumti, 398</w:t>
      </w:r>
    </w:p>
    <w:p w:rsidR="00B72047" w:rsidRDefault="00B72047">
      <w:pPr>
        <w:pStyle w:val="Index1"/>
        <w:rPr>
          <w:noProof/>
        </w:rPr>
      </w:pPr>
      <w:r>
        <w:rPr>
          <w:noProof/>
        </w:rPr>
        <w:t>ditto: example, 318</w:t>
      </w:r>
    </w:p>
    <w:p w:rsidR="00B72047" w:rsidRDefault="00B72047">
      <w:pPr>
        <w:pStyle w:val="Index1"/>
        <w:rPr>
          <w:noProof/>
        </w:rPr>
      </w:pPr>
      <w:r>
        <w:rPr>
          <w:noProof/>
        </w:rPr>
        <w:t>di'u, 148; contrasted with la'edi'u, 149; contrasted with ta, 148; quick-tour version, 21</w:t>
      </w:r>
    </w:p>
    <w:p w:rsidR="00B72047" w:rsidRDefault="00B72047">
      <w:pPr>
        <w:pStyle w:val="Index1"/>
        <w:rPr>
          <w:noProof/>
        </w:rPr>
      </w:pPr>
      <w:r>
        <w:rPr>
          <w:noProof/>
        </w:rPr>
        <w:t>di'u-series pro-sumti /r dihuseries, 148</w:t>
      </w:r>
    </w:p>
    <w:p w:rsidR="00B72047" w:rsidRDefault="00B72047">
      <w:pPr>
        <w:pStyle w:val="Index1"/>
        <w:rPr>
          <w:noProof/>
        </w:rPr>
      </w:pPr>
      <w:r>
        <w:rPr>
          <w:noProof/>
        </w:rPr>
        <w:t>diversified species, 295</w:t>
      </w:r>
    </w:p>
    <w:p w:rsidR="00B72047" w:rsidRDefault="00B72047">
      <w:pPr>
        <w:pStyle w:val="Index1"/>
        <w:rPr>
          <w:noProof/>
        </w:rPr>
      </w:pPr>
      <w:r>
        <w:rPr>
          <w:noProof/>
        </w:rPr>
        <w:t>DNA: example, 424</w:t>
      </w:r>
    </w:p>
    <w:p w:rsidR="00B72047" w:rsidRDefault="00B72047">
      <w:pPr>
        <w:pStyle w:val="Index1"/>
        <w:rPr>
          <w:noProof/>
        </w:rPr>
      </w:pPr>
      <w:r>
        <w:rPr>
          <w:noProof/>
        </w:rPr>
        <w:t>do, 146</w:t>
      </w:r>
    </w:p>
    <w:p w:rsidR="00B72047" w:rsidRDefault="00B72047">
      <w:pPr>
        <w:pStyle w:val="Index1"/>
        <w:rPr>
          <w:noProof/>
        </w:rPr>
      </w:pPr>
      <w:r>
        <w:rPr>
          <w:noProof/>
        </w:rPr>
        <w:t>do'a, 318</w:t>
      </w:r>
    </w:p>
    <w:p w:rsidR="00B72047" w:rsidRDefault="00B72047">
      <w:pPr>
        <w:pStyle w:val="Index1"/>
        <w:rPr>
          <w:noProof/>
        </w:rPr>
      </w:pPr>
      <w:r>
        <w:rPr>
          <w:noProof/>
        </w:rPr>
        <w:t>doctor and then rich: example, 364</w:t>
      </w:r>
    </w:p>
    <w:p w:rsidR="00B72047" w:rsidRDefault="00B72047">
      <w:pPr>
        <w:pStyle w:val="Index1"/>
        <w:rPr>
          <w:noProof/>
        </w:rPr>
      </w:pPr>
      <w:r>
        <w:rPr>
          <w:noProof/>
        </w:rPr>
        <w:t>do'e, 197; compared with English of, 197</w:t>
      </w:r>
    </w:p>
    <w:p w:rsidR="00B72047" w:rsidRDefault="00B72047">
      <w:pPr>
        <w:pStyle w:val="Index1"/>
        <w:rPr>
          <w:noProof/>
        </w:rPr>
      </w:pPr>
      <w:r>
        <w:rPr>
          <w:noProof/>
        </w:rPr>
        <w:t>dog breathes, 395</w:t>
      </w:r>
    </w:p>
    <w:p w:rsidR="00B72047" w:rsidRDefault="00B72047">
      <w:pPr>
        <w:pStyle w:val="Index1"/>
        <w:rPr>
          <w:noProof/>
        </w:rPr>
      </w:pPr>
      <w:r>
        <w:rPr>
          <w:noProof/>
        </w:rPr>
        <w:t>dog house: example, 274</w:t>
      </w:r>
    </w:p>
    <w:p w:rsidR="00B72047" w:rsidRDefault="00B72047">
      <w:pPr>
        <w:pStyle w:val="Index1"/>
        <w:rPr>
          <w:noProof/>
        </w:rPr>
      </w:pPr>
      <w:r>
        <w:rPr>
          <w:noProof/>
        </w:rPr>
        <w:t>dog or cat: example, 351</w:t>
      </w:r>
    </w:p>
    <w:p w:rsidR="00B72047" w:rsidRDefault="00B72047">
      <w:pPr>
        <w:pStyle w:val="Index1"/>
        <w:rPr>
          <w:noProof/>
        </w:rPr>
      </w:pPr>
      <w:r>
        <w:rPr>
          <w:noProof/>
        </w:rPr>
        <w:t>doghouse: example, 72, 277</w:t>
      </w:r>
    </w:p>
    <w:p w:rsidR="00B72047" w:rsidRDefault="00B72047">
      <w:pPr>
        <w:pStyle w:val="Index1"/>
        <w:rPr>
          <w:noProof/>
        </w:rPr>
      </w:pPr>
      <w:r>
        <w:rPr>
          <w:noProof/>
        </w:rPr>
        <w:t>DOhU selma’o, 137, 323, 492</w:t>
      </w:r>
    </w:p>
    <w:p w:rsidR="00B72047" w:rsidRDefault="00B72047">
      <w:pPr>
        <w:pStyle w:val="Index1"/>
        <w:rPr>
          <w:noProof/>
        </w:rPr>
      </w:pPr>
      <w:r>
        <w:rPr>
          <w:noProof/>
        </w:rPr>
        <w:t>do'i, 149; compared with zo'e-series as indefinite pro-sumti, 158</w:t>
      </w:r>
    </w:p>
    <w:p w:rsidR="00B72047" w:rsidRDefault="00B72047">
      <w:pPr>
        <w:pStyle w:val="Index1"/>
        <w:rPr>
          <w:noProof/>
        </w:rPr>
      </w:pPr>
      <w:r>
        <w:rPr>
          <w:noProof/>
        </w:rPr>
        <w:t>Don Quixote: example, 68</w:t>
      </w:r>
    </w:p>
    <w:p w:rsidR="00B72047" w:rsidRDefault="00B72047">
      <w:pPr>
        <w:pStyle w:val="Index1"/>
        <w:rPr>
          <w:noProof/>
        </w:rPr>
      </w:pPr>
      <w:r>
        <w:rPr>
          <w:noProof/>
        </w:rPr>
        <w:t>Dong: example, 281</w:t>
      </w:r>
    </w:p>
    <w:p w:rsidR="00B72047" w:rsidRDefault="00B72047">
      <w:pPr>
        <w:pStyle w:val="Index1"/>
        <w:rPr>
          <w:noProof/>
        </w:rPr>
      </w:pPr>
      <w:r>
        <w:rPr>
          <w:noProof/>
        </w:rPr>
        <w:t>do'o, 146</w:t>
      </w:r>
    </w:p>
    <w:p w:rsidR="00B72047" w:rsidRDefault="00B72047">
      <w:pPr>
        <w:pStyle w:val="Index1"/>
        <w:rPr>
          <w:noProof/>
        </w:rPr>
      </w:pPr>
      <w:r>
        <w:rPr>
          <w:noProof/>
        </w:rPr>
        <w:t>do'u, 137, 323</w:t>
      </w:r>
    </w:p>
    <w:p w:rsidR="00B72047" w:rsidRDefault="00B72047">
      <w:pPr>
        <w:pStyle w:val="Index1"/>
        <w:rPr>
          <w:noProof/>
        </w:rPr>
      </w:pPr>
      <w:r>
        <w:rPr>
          <w:noProof/>
        </w:rPr>
        <w:t>doi, 136, 138, 323; effect on necessity for pause before name-word, 138; effect on pause before name, 323; quick-tour version, 21</w:t>
      </w:r>
    </w:p>
    <w:p w:rsidR="00B72047" w:rsidRDefault="00B72047">
      <w:pPr>
        <w:pStyle w:val="Index1"/>
        <w:rPr>
          <w:noProof/>
        </w:rPr>
      </w:pPr>
      <w:r>
        <w:rPr>
          <w:noProof/>
        </w:rPr>
        <w:t>DOI selma’o, 136, 183, 323, 492; quick-tour version, 21; terminator for, 492</w:t>
      </w:r>
    </w:p>
    <w:p w:rsidR="00B72047" w:rsidRDefault="00B72047">
      <w:pPr>
        <w:pStyle w:val="Index1"/>
        <w:rPr>
          <w:noProof/>
        </w:rPr>
      </w:pPr>
      <w:r>
        <w:rPr>
          <w:noProof/>
        </w:rPr>
        <w:t>double negation: and naku, 407</w:t>
      </w:r>
    </w:p>
    <w:p w:rsidR="00B72047" w:rsidRDefault="00B72047">
      <w:pPr>
        <w:pStyle w:val="Index1"/>
        <w:rPr>
          <w:noProof/>
        </w:rPr>
      </w:pPr>
      <w:r>
        <w:rPr>
          <w:noProof/>
        </w:rPr>
        <w:t>double negatives: effect of interactions between quantifiers and negation on, 403</w:t>
      </w:r>
    </w:p>
    <w:p w:rsidR="00B72047" w:rsidRDefault="00B72047">
      <w:pPr>
        <w:pStyle w:val="Index1"/>
        <w:rPr>
          <w:noProof/>
        </w:rPr>
      </w:pPr>
      <w:r>
        <w:rPr>
          <w:noProof/>
        </w:rPr>
        <w:t>doubled consonants: contrasted with consonant clusters, 35; contrasted with single consonants, 35</w:t>
      </w:r>
    </w:p>
    <w:p w:rsidR="00B72047" w:rsidRDefault="00B72047">
      <w:pPr>
        <w:pStyle w:val="Index1"/>
        <w:rPr>
          <w:noProof/>
        </w:rPr>
      </w:pPr>
      <w:r>
        <w:rPr>
          <w:noProof/>
        </w:rPr>
        <w:t>Doyle: example, 138</w:t>
      </w:r>
    </w:p>
    <w:p w:rsidR="00B72047" w:rsidRDefault="00B72047">
      <w:pPr>
        <w:pStyle w:val="Index1"/>
        <w:rPr>
          <w:noProof/>
        </w:rPr>
      </w:pPr>
      <w:r>
        <w:rPr>
          <w:noProof/>
        </w:rPr>
        <w:t>dream: example, 316</w:t>
      </w:r>
    </w:p>
    <w:p w:rsidR="00B72047" w:rsidRDefault="00B72047">
      <w:pPr>
        <w:pStyle w:val="Index1"/>
        <w:rPr>
          <w:noProof/>
        </w:rPr>
      </w:pPr>
      <w:r>
        <w:rPr>
          <w:noProof/>
        </w:rPr>
        <w:t>du, 162, 164; as an exception within GOhA selma’o, 97; compared with me in effect, 99; contrasted with dunli, 163, 439; contrasted with mintu, 163; derivation of, 163; grammar of, 435; meaning of, 163; rationale for selection of selma'o for, 162; with complex mekso on both sides, 436</w:t>
      </w:r>
    </w:p>
    <w:p w:rsidR="00B72047" w:rsidRDefault="00B72047">
      <w:pPr>
        <w:pStyle w:val="Index1"/>
        <w:rPr>
          <w:noProof/>
        </w:rPr>
      </w:pPr>
      <w:r>
        <w:rPr>
          <w:noProof/>
        </w:rPr>
        <w:t>ducks swim: example, 243</w:t>
      </w:r>
    </w:p>
    <w:p w:rsidR="00B72047" w:rsidRDefault="00B72047">
      <w:pPr>
        <w:pStyle w:val="Index1"/>
        <w:rPr>
          <w:noProof/>
        </w:rPr>
      </w:pPr>
      <w:r>
        <w:rPr>
          <w:noProof/>
        </w:rPr>
        <w:t>du'e, 442, 448</w:t>
      </w:r>
    </w:p>
    <w:p w:rsidR="00B72047" w:rsidRDefault="00B72047">
      <w:pPr>
        <w:pStyle w:val="Index1"/>
        <w:rPr>
          <w:noProof/>
        </w:rPr>
      </w:pPr>
      <w:r>
        <w:rPr>
          <w:noProof/>
        </w:rPr>
        <w:t>du'i, 204</w:t>
      </w:r>
    </w:p>
    <w:p w:rsidR="00B72047" w:rsidRDefault="00B72047">
      <w:pPr>
        <w:pStyle w:val="Index1"/>
        <w:rPr>
          <w:noProof/>
        </w:rPr>
      </w:pPr>
      <w:r>
        <w:rPr>
          <w:noProof/>
        </w:rPr>
        <w:t>dunli: contrasted with du, 163, 439</w:t>
      </w:r>
    </w:p>
    <w:p w:rsidR="00B72047" w:rsidRDefault="00B72047">
      <w:pPr>
        <w:pStyle w:val="Index1"/>
        <w:rPr>
          <w:noProof/>
        </w:rPr>
      </w:pPr>
      <w:r>
        <w:rPr>
          <w:noProof/>
        </w:rPr>
        <w:t>Dutch ij: proposed lerfu word for, 429</w:t>
      </w:r>
    </w:p>
    <w:p w:rsidR="00B72047" w:rsidRDefault="00B72047">
      <w:pPr>
        <w:pStyle w:val="Index1"/>
        <w:rPr>
          <w:noProof/>
        </w:rPr>
      </w:pPr>
      <w:r>
        <w:rPr>
          <w:noProof/>
        </w:rPr>
        <w:t>du'u, 263, 264</w:t>
      </w:r>
    </w:p>
    <w:p w:rsidR="00B72047" w:rsidRDefault="00B72047">
      <w:pPr>
        <w:pStyle w:val="Index1"/>
        <w:rPr>
          <w:noProof/>
        </w:rPr>
      </w:pPr>
      <w:r>
        <w:rPr>
          <w:noProof/>
        </w:rPr>
        <w:t>e, 340; contrasted with fa'u, 356; contrasted with pi'u, 357</w:t>
      </w:r>
    </w:p>
    <w:p w:rsidR="00B72047" w:rsidRDefault="00B72047">
      <w:pPr>
        <w:pStyle w:val="Index1"/>
        <w:rPr>
          <w:noProof/>
        </w:rPr>
      </w:pPr>
      <w:r>
        <w:rPr>
          <w:noProof/>
        </w:rPr>
        <w:t>e'a, 303</w:t>
      </w:r>
    </w:p>
    <w:p w:rsidR="00B72047" w:rsidRDefault="00B72047">
      <w:pPr>
        <w:pStyle w:val="Index1"/>
        <w:rPr>
          <w:noProof/>
        </w:rPr>
      </w:pPr>
      <w:r>
        <w:rPr>
          <w:noProof/>
        </w:rPr>
        <w:t>Earl: example, 34</w:t>
      </w:r>
    </w:p>
    <w:p w:rsidR="00B72047" w:rsidRDefault="00B72047">
      <w:pPr>
        <w:pStyle w:val="Index1"/>
        <w:rPr>
          <w:noProof/>
        </w:rPr>
      </w:pPr>
      <w:r>
        <w:rPr>
          <w:noProof/>
        </w:rPr>
        <w:t>eat bread: example, 441</w:t>
      </w:r>
    </w:p>
    <w:p w:rsidR="00B72047" w:rsidRDefault="00B72047">
      <w:pPr>
        <w:pStyle w:val="Index1"/>
        <w:rPr>
          <w:noProof/>
        </w:rPr>
      </w:pPr>
      <w:r>
        <w:rPr>
          <w:noProof/>
        </w:rPr>
        <w:t>eat in airplane: example, 225</w:t>
      </w:r>
    </w:p>
    <w:p w:rsidR="00B72047" w:rsidRDefault="00B72047">
      <w:pPr>
        <w:pStyle w:val="Index1"/>
        <w:rPr>
          <w:noProof/>
        </w:rPr>
      </w:pPr>
      <w:r>
        <w:rPr>
          <w:noProof/>
        </w:rPr>
        <w:t>eat themselves: example, 442</w:t>
      </w:r>
    </w:p>
    <w:p w:rsidR="00B72047" w:rsidRDefault="00B72047">
      <w:pPr>
        <w:pStyle w:val="Index1"/>
        <w:rPr>
          <w:noProof/>
        </w:rPr>
      </w:pPr>
      <w:r>
        <w:rPr>
          <w:noProof/>
        </w:rPr>
        <w:t>EBNF grammar, 552</w:t>
      </w:r>
    </w:p>
    <w:p w:rsidR="00B72047" w:rsidRDefault="00B72047">
      <w:pPr>
        <w:pStyle w:val="Index1"/>
        <w:rPr>
          <w:noProof/>
        </w:rPr>
      </w:pPr>
      <w:r>
        <w:rPr>
          <w:noProof/>
        </w:rPr>
        <w:t>editorial commentary, 480</w:t>
      </w:r>
    </w:p>
    <w:p w:rsidR="00B72047" w:rsidRDefault="00B72047">
      <w:pPr>
        <w:pStyle w:val="Index1"/>
        <w:rPr>
          <w:noProof/>
        </w:rPr>
      </w:pPr>
      <w:r>
        <w:rPr>
          <w:noProof/>
        </w:rPr>
        <w:t>editorial insertion, 481; of text already containing sa'a, 321; with sa'a, 321</w:t>
      </w:r>
    </w:p>
    <w:p w:rsidR="00B72047" w:rsidRDefault="00B72047">
      <w:pPr>
        <w:pStyle w:val="Index1"/>
        <w:rPr>
          <w:noProof/>
        </w:rPr>
      </w:pPr>
      <w:r>
        <w:rPr>
          <w:noProof/>
        </w:rPr>
        <w:t>e'e, 303</w:t>
      </w:r>
    </w:p>
    <w:p w:rsidR="00B72047" w:rsidRDefault="00B72047">
      <w:pPr>
        <w:pStyle w:val="Index1"/>
        <w:rPr>
          <w:noProof/>
        </w:rPr>
      </w:pPr>
      <w:r>
        <w:rPr>
          <w:noProof/>
        </w:rPr>
        <w:t>Eek!: example, 301</w:t>
      </w:r>
    </w:p>
    <w:p w:rsidR="00B72047" w:rsidRDefault="00B72047">
      <w:pPr>
        <w:pStyle w:val="Index1"/>
        <w:rPr>
          <w:noProof/>
        </w:rPr>
      </w:pPr>
      <w:r>
        <w:rPr>
          <w:noProof/>
        </w:rPr>
        <w:t>ei, 303, 305</w:t>
      </w:r>
    </w:p>
    <w:p w:rsidR="00B72047" w:rsidRDefault="00B72047">
      <w:pPr>
        <w:pStyle w:val="Index1"/>
        <w:rPr>
          <w:noProof/>
        </w:rPr>
      </w:pPr>
      <w:r>
        <w:rPr>
          <w:noProof/>
        </w:rPr>
        <w:t>eicai, 305</w:t>
      </w:r>
    </w:p>
    <w:p w:rsidR="00B72047" w:rsidRDefault="00B72047">
      <w:pPr>
        <w:pStyle w:val="Index1"/>
        <w:rPr>
          <w:noProof/>
        </w:rPr>
      </w:pPr>
      <w:r>
        <w:rPr>
          <w:noProof/>
        </w:rPr>
        <w:t>eicu'i, 305</w:t>
      </w:r>
    </w:p>
    <w:p w:rsidR="00B72047" w:rsidRDefault="00B72047">
      <w:pPr>
        <w:pStyle w:val="Index1"/>
        <w:rPr>
          <w:noProof/>
        </w:rPr>
      </w:pPr>
      <w:r>
        <w:rPr>
          <w:noProof/>
        </w:rPr>
        <w:t>einai, 305</w:t>
      </w:r>
    </w:p>
    <w:p w:rsidR="00B72047" w:rsidRDefault="00B72047">
      <w:pPr>
        <w:pStyle w:val="Index1"/>
        <w:rPr>
          <w:noProof/>
        </w:rPr>
      </w:pPr>
      <w:r>
        <w:rPr>
          <w:noProof/>
        </w:rPr>
        <w:t>Einstein: example, 294</w:t>
      </w:r>
    </w:p>
    <w:p w:rsidR="00B72047" w:rsidRDefault="00B72047">
      <w:pPr>
        <w:pStyle w:val="Index1"/>
        <w:rPr>
          <w:noProof/>
        </w:rPr>
      </w:pPr>
      <w:r>
        <w:rPr>
          <w:noProof/>
        </w:rPr>
        <w:t>Einsteinian: space-time intervals with 4 dimensions, 224</w:t>
      </w:r>
    </w:p>
    <w:p w:rsidR="00B72047" w:rsidRDefault="00B72047">
      <w:pPr>
        <w:pStyle w:val="Index1"/>
        <w:rPr>
          <w:noProof/>
        </w:rPr>
      </w:pPr>
      <w:r>
        <w:rPr>
          <w:noProof/>
        </w:rPr>
        <w:t>eiro'u, 307</w:t>
      </w:r>
    </w:p>
    <w:p w:rsidR="00B72047" w:rsidRDefault="00B72047">
      <w:pPr>
        <w:pStyle w:val="Index1"/>
        <w:rPr>
          <w:noProof/>
        </w:rPr>
      </w:pPr>
      <w:r>
        <w:rPr>
          <w:noProof/>
        </w:rPr>
        <w:t>eiru'e, 305</w:t>
      </w:r>
    </w:p>
    <w:p w:rsidR="00B72047" w:rsidRDefault="00B72047">
      <w:pPr>
        <w:pStyle w:val="Index1"/>
        <w:rPr>
          <w:noProof/>
        </w:rPr>
      </w:pPr>
      <w:r>
        <w:rPr>
          <w:noProof/>
        </w:rPr>
        <w:t>eisai, 305</w:t>
      </w:r>
    </w:p>
    <w:p w:rsidR="00B72047" w:rsidRDefault="00B72047">
      <w:pPr>
        <w:pStyle w:val="Index1"/>
        <w:rPr>
          <w:noProof/>
        </w:rPr>
      </w:pPr>
      <w:r>
        <w:rPr>
          <w:noProof/>
        </w:rPr>
        <w:t>-ek: in name for logical connectives, 336</w:t>
      </w:r>
    </w:p>
    <w:p w:rsidR="00B72047" w:rsidRDefault="00B72047">
      <w:pPr>
        <w:pStyle w:val="Index1"/>
        <w:rPr>
          <w:noProof/>
        </w:rPr>
      </w:pPr>
      <w:r>
        <w:rPr>
          <w:noProof/>
        </w:rPr>
        <w:t>ek: definition, 336</w:t>
      </w:r>
    </w:p>
    <w:p w:rsidR="00B72047" w:rsidRDefault="00B72047">
      <w:pPr>
        <w:pStyle w:val="Index1"/>
        <w:rPr>
          <w:noProof/>
        </w:rPr>
      </w:pPr>
      <w:r>
        <w:rPr>
          <w:noProof/>
        </w:rPr>
        <w:t>eks: connecting operands, 361; in sumti forethought logical connection, 340</w:t>
      </w:r>
    </w:p>
    <w:p w:rsidR="00B72047" w:rsidRDefault="00B72047">
      <w:pPr>
        <w:pStyle w:val="Index1"/>
        <w:rPr>
          <w:noProof/>
        </w:rPr>
      </w:pPr>
      <w:r>
        <w:rPr>
          <w:noProof/>
        </w:rPr>
        <w:t>elementary schools, 281</w:t>
      </w:r>
    </w:p>
    <w:p w:rsidR="00B72047" w:rsidRDefault="00B72047">
      <w:pPr>
        <w:pStyle w:val="Index1"/>
        <w:rPr>
          <w:noProof/>
        </w:rPr>
      </w:pPr>
      <w:r>
        <w:rPr>
          <w:noProof/>
        </w:rPr>
        <w:t>Elgin: Suzette Haden and evidentials, 315</w:t>
      </w:r>
    </w:p>
    <w:p w:rsidR="00B72047" w:rsidRDefault="00B72047">
      <w:pPr>
        <w:pStyle w:val="Index1"/>
        <w:rPr>
          <w:noProof/>
        </w:rPr>
      </w:pPr>
      <w:r>
        <w:rPr>
          <w:noProof/>
        </w:rPr>
        <w:t>elidability of be'o, 94</w:t>
      </w:r>
    </w:p>
    <w:p w:rsidR="00B72047" w:rsidRDefault="00B72047">
      <w:pPr>
        <w:pStyle w:val="Index1"/>
        <w:rPr>
          <w:noProof/>
        </w:rPr>
      </w:pPr>
      <w:r>
        <w:rPr>
          <w:noProof/>
        </w:rPr>
        <w:t>elidability of me'u, 99</w:t>
      </w:r>
    </w:p>
    <w:p w:rsidR="00B72047" w:rsidRDefault="00B72047">
      <w:pPr>
        <w:pStyle w:val="Index1"/>
        <w:rPr>
          <w:noProof/>
        </w:rPr>
      </w:pPr>
      <w:r>
        <w:rPr>
          <w:noProof/>
        </w:rPr>
        <w:t>elidable terminators: list, 486</w:t>
      </w:r>
    </w:p>
    <w:p w:rsidR="00B72047" w:rsidRDefault="00B72047">
      <w:pPr>
        <w:pStyle w:val="Index1"/>
        <w:rPr>
          <w:noProof/>
        </w:rPr>
      </w:pPr>
      <w:r>
        <w:rPr>
          <w:noProof/>
        </w:rPr>
        <w:t>elided tense: meaning of, 215</w:t>
      </w:r>
    </w:p>
    <w:p w:rsidR="00B72047" w:rsidRDefault="00B72047">
      <w:pPr>
        <w:pStyle w:val="Index1"/>
        <w:rPr>
          <w:noProof/>
        </w:rPr>
      </w:pPr>
      <w:r>
        <w:rPr>
          <w:noProof/>
        </w:rPr>
        <w:t>elimination process, 282</w:t>
      </w:r>
    </w:p>
    <w:p w:rsidR="00B72047" w:rsidRDefault="00B72047">
      <w:pPr>
        <w:pStyle w:val="Index1"/>
        <w:rPr>
          <w:noProof/>
        </w:rPr>
      </w:pPr>
      <w:r>
        <w:rPr>
          <w:noProof/>
        </w:rPr>
        <w:t>ellipsis: quick-tour version, 14</w:t>
      </w:r>
    </w:p>
    <w:p w:rsidR="00B72047" w:rsidRDefault="00B72047">
      <w:pPr>
        <w:pStyle w:val="Index1"/>
        <w:rPr>
          <w:noProof/>
        </w:rPr>
      </w:pPr>
      <w:r>
        <w:rPr>
          <w:noProof/>
        </w:rPr>
        <w:t>elliptical pro-bridi, 157</w:t>
      </w:r>
    </w:p>
    <w:p w:rsidR="00B72047" w:rsidRDefault="00B72047">
      <w:pPr>
        <w:pStyle w:val="Index1"/>
        <w:rPr>
          <w:noProof/>
        </w:rPr>
      </w:pPr>
      <w:r>
        <w:rPr>
          <w:noProof/>
        </w:rPr>
        <w:t>elliptical pro-sumti, 157</w:t>
      </w:r>
    </w:p>
    <w:p w:rsidR="00B72047" w:rsidRDefault="00B72047">
      <w:pPr>
        <w:pStyle w:val="Index1"/>
        <w:rPr>
          <w:noProof/>
        </w:rPr>
      </w:pPr>
      <w:r>
        <w:rPr>
          <w:noProof/>
        </w:rPr>
        <w:t>elliptical sumti, 157</w:t>
      </w:r>
    </w:p>
    <w:p w:rsidR="00B72047" w:rsidRDefault="00B72047">
      <w:pPr>
        <w:pStyle w:val="Index1"/>
        <w:rPr>
          <w:noProof/>
        </w:rPr>
      </w:pPr>
      <w:r>
        <w:rPr>
          <w:noProof/>
        </w:rPr>
        <w:t>elliptical value: contrasted with typical value for sumti, 157</w:t>
      </w:r>
    </w:p>
    <w:p w:rsidR="00B72047" w:rsidRDefault="00B72047">
      <w:pPr>
        <w:pStyle w:val="Index1"/>
        <w:rPr>
          <w:noProof/>
        </w:rPr>
      </w:pPr>
      <w:r>
        <w:rPr>
          <w:noProof/>
        </w:rPr>
        <w:t>embarrassment: example, 307</w:t>
      </w:r>
    </w:p>
    <w:p w:rsidR="00B72047" w:rsidRDefault="00B72047">
      <w:pPr>
        <w:pStyle w:val="Index1"/>
        <w:rPr>
          <w:noProof/>
        </w:rPr>
      </w:pPr>
      <w:r>
        <w:rPr>
          <w:noProof/>
        </w:rPr>
        <w:t>embedded bridi tenses: effect of main bridi tense on, 235</w:t>
      </w:r>
    </w:p>
    <w:p w:rsidR="00B72047" w:rsidRDefault="00B72047">
      <w:pPr>
        <w:pStyle w:val="Index1"/>
        <w:rPr>
          <w:noProof/>
        </w:rPr>
      </w:pPr>
      <w:r>
        <w:rPr>
          <w:noProof/>
        </w:rPr>
        <w:t>embedded discursive, 481</w:t>
      </w:r>
    </w:p>
    <w:p w:rsidR="00B72047" w:rsidRDefault="00B72047">
      <w:pPr>
        <w:pStyle w:val="Index1"/>
        <w:rPr>
          <w:noProof/>
        </w:rPr>
      </w:pPr>
      <w:r>
        <w:rPr>
          <w:noProof/>
        </w:rPr>
        <w:t>embedded quotation, 476</w:t>
      </w:r>
    </w:p>
    <w:p w:rsidR="00B72047" w:rsidRDefault="00B72047">
      <w:pPr>
        <w:pStyle w:val="Index1"/>
        <w:rPr>
          <w:noProof/>
        </w:rPr>
      </w:pPr>
      <w:r>
        <w:rPr>
          <w:noProof/>
        </w:rPr>
        <w:t>emotion, 297</w:t>
      </w:r>
    </w:p>
    <w:p w:rsidR="00B72047" w:rsidRDefault="00B72047">
      <w:pPr>
        <w:pStyle w:val="Index1"/>
        <w:rPr>
          <w:noProof/>
        </w:rPr>
      </w:pPr>
      <w:r>
        <w:rPr>
          <w:noProof/>
        </w:rPr>
        <w:t>emotional categories, 306</w:t>
      </w:r>
    </w:p>
    <w:p w:rsidR="00B72047" w:rsidRDefault="00B72047">
      <w:pPr>
        <w:pStyle w:val="Index1"/>
        <w:rPr>
          <w:noProof/>
        </w:rPr>
      </w:pPr>
      <w:r>
        <w:rPr>
          <w:noProof/>
        </w:rPr>
        <w:t>emotional indicators: noticeable effects of, 330</w:t>
      </w:r>
    </w:p>
    <w:p w:rsidR="00B72047" w:rsidRDefault="00B72047">
      <w:pPr>
        <w:pStyle w:val="Index1"/>
        <w:rPr>
          <w:noProof/>
        </w:rPr>
      </w:pPr>
      <w:r>
        <w:rPr>
          <w:noProof/>
        </w:rPr>
        <w:t>emotional scale, 305</w:t>
      </w:r>
    </w:p>
    <w:p w:rsidR="00B72047" w:rsidRDefault="00B72047">
      <w:pPr>
        <w:pStyle w:val="Index1"/>
        <w:rPr>
          <w:noProof/>
        </w:rPr>
      </w:pPr>
      <w:r>
        <w:rPr>
          <w:noProof/>
        </w:rPr>
        <w:t>emotions: compound, 306; cultural bias of expression, 329; insights, 306; marking, 505; marking intensity of, 491; recording using indicators, 329; research using indicators, 329; when expressed, 306</w:t>
      </w:r>
    </w:p>
    <w:p w:rsidR="00B72047" w:rsidRDefault="00B72047">
      <w:pPr>
        <w:pStyle w:val="Index1"/>
        <w:rPr>
          <w:noProof/>
        </w:rPr>
      </w:pPr>
      <w:r>
        <w:rPr>
          <w:noProof/>
        </w:rPr>
        <w:t>empathy: example, 314</w:t>
      </w:r>
    </w:p>
    <w:p w:rsidR="00B72047" w:rsidRDefault="00B72047">
      <w:pPr>
        <w:pStyle w:val="Index1"/>
        <w:rPr>
          <w:noProof/>
        </w:rPr>
      </w:pPr>
      <w:r>
        <w:rPr>
          <w:noProof/>
        </w:rPr>
        <w:t>emphasis, 479; changing by using non-standard form of bridi, 188; marking, 489</w:t>
      </w:r>
    </w:p>
    <w:p w:rsidR="00B72047" w:rsidRDefault="00B72047">
      <w:pPr>
        <w:pStyle w:val="Index1"/>
        <w:rPr>
          <w:noProof/>
        </w:rPr>
      </w:pPr>
      <w:r>
        <w:rPr>
          <w:noProof/>
        </w:rPr>
        <w:t>emphasis marking, 479</w:t>
      </w:r>
    </w:p>
    <w:p w:rsidR="00B72047" w:rsidRDefault="00B72047">
      <w:pPr>
        <w:pStyle w:val="Index1"/>
        <w:rPr>
          <w:noProof/>
        </w:rPr>
      </w:pPr>
      <w:r>
        <w:rPr>
          <w:noProof/>
        </w:rPr>
        <w:t>end of file, 484</w:t>
      </w:r>
    </w:p>
    <w:p w:rsidR="00B72047" w:rsidRDefault="00B72047">
      <w:pPr>
        <w:pStyle w:val="Index1"/>
        <w:rPr>
          <w:noProof/>
        </w:rPr>
      </w:pPr>
      <w:r>
        <w:rPr>
          <w:noProof/>
        </w:rPr>
        <w:t>end of text indicator, 493</w:t>
      </w:r>
    </w:p>
    <w:p w:rsidR="00B72047" w:rsidRDefault="00B72047">
      <w:pPr>
        <w:pStyle w:val="Index1"/>
        <w:rPr>
          <w:noProof/>
        </w:rPr>
      </w:pPr>
      <w:r>
        <w:rPr>
          <w:noProof/>
        </w:rPr>
        <w:t>endpoints: inclusion in interval, 360</w:t>
      </w:r>
    </w:p>
    <w:p w:rsidR="00B72047" w:rsidRDefault="00B72047">
      <w:pPr>
        <w:pStyle w:val="Index1"/>
        <w:rPr>
          <w:noProof/>
        </w:rPr>
      </w:pPr>
      <w:r>
        <w:rPr>
          <w:noProof/>
        </w:rPr>
        <w:t>engineering: example, 14</w:t>
      </w:r>
    </w:p>
    <w:p w:rsidR="00B72047" w:rsidRDefault="00B72047">
      <w:pPr>
        <w:pStyle w:val="Index1"/>
        <w:rPr>
          <w:noProof/>
        </w:rPr>
      </w:pPr>
      <w:r>
        <w:rPr>
          <w:noProof/>
        </w:rPr>
        <w:t>English prepositions: contrasted with modal tags in preciseness, 196</w:t>
      </w:r>
    </w:p>
    <w:p w:rsidR="00B72047" w:rsidRDefault="00B72047">
      <w:pPr>
        <w:pStyle w:val="Index1"/>
        <w:rPr>
          <w:noProof/>
        </w:rPr>
      </w:pPr>
      <w:r>
        <w:rPr>
          <w:noProof/>
        </w:rPr>
        <w:t>English we: contrasted with Lojban pro-sumti for we, 146</w:t>
      </w:r>
    </w:p>
    <w:p w:rsidR="00B72047" w:rsidRDefault="00B72047">
      <w:pPr>
        <w:pStyle w:val="Index1"/>
        <w:rPr>
          <w:noProof/>
        </w:rPr>
      </w:pPr>
      <w:r>
        <w:rPr>
          <w:noProof/>
        </w:rPr>
        <w:t>Englishman in Africa: example, 124</w:t>
      </w:r>
    </w:p>
    <w:p w:rsidR="00B72047" w:rsidRDefault="00B72047">
      <w:pPr>
        <w:pStyle w:val="Index1"/>
        <w:rPr>
          <w:noProof/>
        </w:rPr>
      </w:pPr>
      <w:r>
        <w:rPr>
          <w:noProof/>
        </w:rPr>
        <w:t>enough currency: example, 442</w:t>
      </w:r>
    </w:p>
    <w:p w:rsidR="00B72047" w:rsidRDefault="00B72047">
      <w:pPr>
        <w:pStyle w:val="Index1"/>
        <w:rPr>
          <w:noProof/>
        </w:rPr>
      </w:pPr>
      <w:r>
        <w:rPr>
          <w:noProof/>
        </w:rPr>
        <w:t>enough-th: example, 447</w:t>
      </w:r>
    </w:p>
    <w:p w:rsidR="00B72047" w:rsidRDefault="00B72047">
      <w:pPr>
        <w:pStyle w:val="Index1"/>
        <w:rPr>
          <w:noProof/>
        </w:rPr>
      </w:pPr>
      <w:r>
        <w:rPr>
          <w:noProof/>
        </w:rPr>
        <w:t>e'o, 303; contrasted with pe'u, 324</w:t>
      </w:r>
    </w:p>
    <w:p w:rsidR="00B72047" w:rsidRDefault="00B72047">
      <w:pPr>
        <w:pStyle w:val="Index1"/>
        <w:rPr>
          <w:noProof/>
        </w:rPr>
      </w:pPr>
      <w:r>
        <w:rPr>
          <w:noProof/>
        </w:rPr>
        <w:t>equivalents to brivla, 97</w:t>
      </w:r>
    </w:p>
    <w:p w:rsidR="00B72047" w:rsidRDefault="00B72047">
      <w:pPr>
        <w:pStyle w:val="Index1"/>
        <w:rPr>
          <w:noProof/>
        </w:rPr>
      </w:pPr>
      <w:r>
        <w:rPr>
          <w:noProof/>
        </w:rPr>
        <w:t>erasure, 482; discourse, 504; multiple word, 483; names, 482; phrase, 503; quotes, 483; sentence, 503; total, 484; word, 482, 504; zo, 482</w:t>
      </w:r>
    </w:p>
    <w:p w:rsidR="00B72047" w:rsidRDefault="00B72047">
      <w:pPr>
        <w:pStyle w:val="Index1"/>
        <w:rPr>
          <w:noProof/>
        </w:rPr>
      </w:pPr>
      <w:r>
        <w:rPr>
          <w:noProof/>
        </w:rPr>
        <w:t>error marking: metalinguistic, 321</w:t>
      </w:r>
    </w:p>
    <w:p w:rsidR="00B72047" w:rsidRDefault="00B72047">
      <w:pPr>
        <w:pStyle w:val="Index1"/>
        <w:rPr>
          <w:noProof/>
        </w:rPr>
      </w:pPr>
      <w:r>
        <w:rPr>
          <w:noProof/>
        </w:rPr>
        <w:t>e'u, 303, 317; compared with ru'a, 317</w:t>
      </w:r>
    </w:p>
    <w:p w:rsidR="00B72047" w:rsidRDefault="00B72047">
      <w:pPr>
        <w:pStyle w:val="Index1"/>
        <w:rPr>
          <w:noProof/>
        </w:rPr>
      </w:pPr>
      <w:r>
        <w:rPr>
          <w:noProof/>
        </w:rPr>
        <w:t>-er: use of zmadu in forming, 58</w:t>
      </w:r>
    </w:p>
    <w:p w:rsidR="00B72047" w:rsidRDefault="00B72047">
      <w:pPr>
        <w:pStyle w:val="Index1"/>
        <w:rPr>
          <w:noProof/>
        </w:rPr>
      </w:pPr>
      <w:r>
        <w:rPr>
          <w:noProof/>
        </w:rPr>
        <w:t>été: example, 419</w:t>
      </w:r>
    </w:p>
    <w:p w:rsidR="00B72047" w:rsidRDefault="00B72047">
      <w:pPr>
        <w:pStyle w:val="Index1"/>
        <w:rPr>
          <w:noProof/>
        </w:rPr>
      </w:pPr>
      <w:r>
        <w:rPr>
          <w:noProof/>
        </w:rPr>
        <w:t>Eureka!: example, 299</w:t>
      </w:r>
    </w:p>
    <w:p w:rsidR="00B72047" w:rsidRDefault="00B72047">
      <w:pPr>
        <w:pStyle w:val="Index1"/>
        <w:rPr>
          <w:noProof/>
        </w:rPr>
      </w:pPr>
      <w:r>
        <w:rPr>
          <w:noProof/>
        </w:rPr>
        <w:t>event abstraction(s): types, 257</w:t>
      </w:r>
    </w:p>
    <w:p w:rsidR="00B72047" w:rsidRDefault="00B72047">
      <w:pPr>
        <w:pStyle w:val="Index1"/>
        <w:rPr>
          <w:noProof/>
        </w:rPr>
      </w:pPr>
      <w:r>
        <w:rPr>
          <w:noProof/>
        </w:rPr>
        <w:t>event abstractions, 256</w:t>
      </w:r>
    </w:p>
    <w:p w:rsidR="00B72047" w:rsidRDefault="00B72047">
      <w:pPr>
        <w:pStyle w:val="Index1"/>
        <w:rPr>
          <w:noProof/>
        </w:rPr>
      </w:pPr>
      <w:r>
        <w:rPr>
          <w:noProof/>
        </w:rPr>
        <w:t>event contours: achievative, 230; as characteristic portions of events, 228; as sumti tcita, 232; as timeless in perspective, 228; cessative, 229; completitive, 229; continuitive, 228; contrasted with tense direction in implication of extent, 229; definition, 228; division of the event into, 229; implications on scope of event, 229; inchoative, 228; initiative, 229; interruption, 229; order with respect to TAhE and ROI, 228; pausative, 229; perfective, 229; points associated with, 229; resumption, 229; resumptive, 229; strings of, 246; superfective, 230; syntax of, 228; temporal contrasted with spatial, 231</w:t>
      </w:r>
    </w:p>
    <w:p w:rsidR="00B72047" w:rsidRDefault="00B72047">
      <w:pPr>
        <w:pStyle w:val="Index1"/>
        <w:rPr>
          <w:noProof/>
        </w:rPr>
      </w:pPr>
      <w:r>
        <w:rPr>
          <w:noProof/>
        </w:rPr>
        <w:t>event contours as sumti tcita: contrasted with direction and distance, 232</w:t>
      </w:r>
    </w:p>
    <w:p w:rsidR="00B72047" w:rsidRDefault="00B72047">
      <w:pPr>
        <w:pStyle w:val="Index1"/>
        <w:rPr>
          <w:noProof/>
        </w:rPr>
      </w:pPr>
      <w:r>
        <w:rPr>
          <w:noProof/>
        </w:rPr>
        <w:t>event types: described, 258</w:t>
      </w:r>
    </w:p>
    <w:p w:rsidR="00B72047" w:rsidRDefault="00B72047">
      <w:pPr>
        <w:pStyle w:val="Index1"/>
        <w:rPr>
          <w:noProof/>
        </w:rPr>
      </w:pPr>
      <w:r>
        <w:rPr>
          <w:noProof/>
        </w:rPr>
        <w:t>event-relative viewpoint: contrasted with speaker-relative viewpoint, 228</w:t>
      </w:r>
    </w:p>
    <w:p w:rsidR="00B72047" w:rsidRDefault="00B72047">
      <w:pPr>
        <w:pStyle w:val="Index1"/>
        <w:rPr>
          <w:noProof/>
        </w:rPr>
      </w:pPr>
      <w:r>
        <w:rPr>
          <w:noProof/>
        </w:rPr>
        <w:t>events: considered as a process, 228; duration, 256; place structure, 257</w:t>
      </w:r>
    </w:p>
    <w:p w:rsidR="00B72047" w:rsidRDefault="00B72047">
      <w:pPr>
        <w:pStyle w:val="Index1"/>
        <w:rPr>
          <w:noProof/>
        </w:rPr>
      </w:pPr>
      <w:r>
        <w:rPr>
          <w:noProof/>
        </w:rPr>
        <w:t>everybody loves something: example, 401</w:t>
      </w:r>
    </w:p>
    <w:p w:rsidR="00B72047" w:rsidRDefault="00B72047">
      <w:pPr>
        <w:pStyle w:val="Index1"/>
        <w:rPr>
          <w:noProof/>
        </w:rPr>
      </w:pPr>
      <w:r>
        <w:rPr>
          <w:noProof/>
        </w:rPr>
        <w:t>everyone: contrasted with anyone in assumption of existence, 399</w:t>
      </w:r>
    </w:p>
    <w:p w:rsidR="00B72047" w:rsidRDefault="00B72047">
      <w:pPr>
        <w:pStyle w:val="Index1"/>
        <w:rPr>
          <w:noProof/>
        </w:rPr>
      </w:pPr>
      <w:r>
        <w:rPr>
          <w:noProof/>
        </w:rPr>
        <w:t>everyone bitten by dog, 396</w:t>
      </w:r>
    </w:p>
    <w:p w:rsidR="00B72047" w:rsidRDefault="00B72047">
      <w:pPr>
        <w:pStyle w:val="Index1"/>
        <w:rPr>
          <w:noProof/>
        </w:rPr>
      </w:pPr>
      <w:r>
        <w:rPr>
          <w:noProof/>
        </w:rPr>
        <w:t>everything: expressing with “ro da”, 394</w:t>
      </w:r>
    </w:p>
    <w:p w:rsidR="00B72047" w:rsidRDefault="00B72047">
      <w:pPr>
        <w:pStyle w:val="Index1"/>
        <w:rPr>
          <w:noProof/>
        </w:rPr>
      </w:pPr>
      <w:r>
        <w:rPr>
          <w:noProof/>
        </w:rPr>
        <w:t>everything breathes: example, 395</w:t>
      </w:r>
    </w:p>
    <w:p w:rsidR="00B72047" w:rsidRDefault="00B72047">
      <w:pPr>
        <w:pStyle w:val="Index1"/>
        <w:rPr>
          <w:noProof/>
        </w:rPr>
      </w:pPr>
      <w:r>
        <w:rPr>
          <w:noProof/>
        </w:rPr>
        <w:t>everything loves everything: example, 394</w:t>
      </w:r>
    </w:p>
    <w:p w:rsidR="00B72047" w:rsidRDefault="00B72047">
      <w:pPr>
        <w:pStyle w:val="Index1"/>
        <w:rPr>
          <w:noProof/>
        </w:rPr>
      </w:pPr>
      <w:r>
        <w:rPr>
          <w:noProof/>
        </w:rPr>
        <w:t>everything sees me: example, 394</w:t>
      </w:r>
    </w:p>
    <w:p w:rsidR="00B72047" w:rsidRDefault="00B72047">
      <w:pPr>
        <w:pStyle w:val="Index1"/>
        <w:rPr>
          <w:noProof/>
        </w:rPr>
      </w:pPr>
      <w:r>
        <w:rPr>
          <w:noProof/>
        </w:rPr>
        <w:t>everything sees something: example, 394</w:t>
      </w:r>
    </w:p>
    <w:p w:rsidR="00B72047" w:rsidRDefault="00B72047">
      <w:pPr>
        <w:pStyle w:val="Index1"/>
        <w:rPr>
          <w:noProof/>
        </w:rPr>
      </w:pPr>
      <w:r>
        <w:rPr>
          <w:noProof/>
        </w:rPr>
        <w:t>evidentials: ba'a scale, 316; definition, 315; grammar, 315; in English, 315; indisputable bridi, 315; inspiration for, 315; ja'o contrasted with su'a, 316; ka'u contrasted with se'o, 316; placement in bridi, 315; quick-tour version, 25; rhetorical flavor, 315; scales, 315; se'o contrasted with ka'u, 316; su'a contrasted with ja'o, 316</w:t>
      </w:r>
    </w:p>
    <w:p w:rsidR="00B72047" w:rsidRDefault="00B72047">
      <w:pPr>
        <w:pStyle w:val="Index1"/>
        <w:rPr>
          <w:noProof/>
        </w:rPr>
      </w:pPr>
      <w:r>
        <w:rPr>
          <w:noProof/>
        </w:rPr>
        <w:t>exact number: expressing, 443</w:t>
      </w:r>
    </w:p>
    <w:p w:rsidR="00B72047" w:rsidRDefault="00B72047">
      <w:pPr>
        <w:pStyle w:val="Index1"/>
        <w:rPr>
          <w:noProof/>
        </w:rPr>
      </w:pPr>
      <w:r>
        <w:rPr>
          <w:noProof/>
        </w:rPr>
        <w:t>exactly two: example, 443</w:t>
      </w:r>
    </w:p>
    <w:p w:rsidR="00B72047" w:rsidRDefault="00B72047">
      <w:pPr>
        <w:pStyle w:val="Index1"/>
        <w:rPr>
          <w:noProof/>
        </w:rPr>
      </w:pPr>
      <w:r>
        <w:rPr>
          <w:noProof/>
        </w:rPr>
        <w:t>example of examples, 5</w:t>
      </w:r>
    </w:p>
    <w:p w:rsidR="00B72047" w:rsidRDefault="00B72047">
      <w:pPr>
        <w:pStyle w:val="Index1"/>
        <w:rPr>
          <w:noProof/>
        </w:rPr>
      </w:pPr>
      <w:r>
        <w:rPr>
          <w:noProof/>
        </w:rPr>
        <w:t>examples: structure of, 5</w:t>
      </w:r>
    </w:p>
    <w:p w:rsidR="00B72047" w:rsidRDefault="00B72047">
      <w:pPr>
        <w:pStyle w:val="Index1"/>
        <w:rPr>
          <w:noProof/>
        </w:rPr>
      </w:pPr>
      <w:r>
        <w:rPr>
          <w:noProof/>
        </w:rPr>
        <w:t>examples in this book, 4</w:t>
      </w:r>
    </w:p>
    <w:p w:rsidR="00B72047" w:rsidRDefault="00B72047">
      <w:pPr>
        <w:pStyle w:val="Index1"/>
        <w:rPr>
          <w:noProof/>
        </w:rPr>
      </w:pPr>
      <w:r>
        <w:rPr>
          <w:noProof/>
        </w:rPr>
        <w:t>except from 10 to 12: example, 360</w:t>
      </w:r>
    </w:p>
    <w:p w:rsidR="00B72047" w:rsidRDefault="00B72047">
      <w:pPr>
        <w:pStyle w:val="Index1"/>
        <w:rPr>
          <w:noProof/>
        </w:rPr>
      </w:pPr>
      <w:r>
        <w:rPr>
          <w:noProof/>
        </w:rPr>
        <w:t>existential: mixed claim with universal, 394</w:t>
      </w:r>
    </w:p>
    <w:p w:rsidR="00B72047" w:rsidRDefault="00B72047">
      <w:pPr>
        <w:pStyle w:val="Index1"/>
        <w:rPr>
          <w:noProof/>
        </w:rPr>
      </w:pPr>
      <w:r>
        <w:rPr>
          <w:noProof/>
        </w:rPr>
        <w:t>existential claims: definition, 392; restricting, 394</w:t>
      </w:r>
    </w:p>
    <w:p w:rsidR="00B72047" w:rsidRDefault="00B72047">
      <w:pPr>
        <w:pStyle w:val="Index1"/>
        <w:rPr>
          <w:noProof/>
        </w:rPr>
      </w:pPr>
      <w:r>
        <w:rPr>
          <w:noProof/>
        </w:rPr>
        <w:t>existential variable: in abstraction contrasted with in main bridi, 400; in main bridi contrasted with in abstraction, 400</w:t>
      </w:r>
    </w:p>
    <w:p w:rsidR="00B72047" w:rsidRDefault="00B72047">
      <w:pPr>
        <w:pStyle w:val="Index1"/>
        <w:rPr>
          <w:noProof/>
        </w:rPr>
      </w:pPr>
      <w:r>
        <w:rPr>
          <w:noProof/>
        </w:rPr>
        <w:t>expanding “no” quantifier, 403</w:t>
      </w:r>
    </w:p>
    <w:p w:rsidR="00B72047" w:rsidRDefault="00B72047">
      <w:pPr>
        <w:pStyle w:val="Index1"/>
        <w:rPr>
          <w:noProof/>
        </w:rPr>
      </w:pPr>
      <w:r>
        <w:rPr>
          <w:noProof/>
        </w:rPr>
        <w:t>experience abstraction, 265</w:t>
      </w:r>
    </w:p>
    <w:p w:rsidR="00B72047" w:rsidRDefault="00B72047">
      <w:pPr>
        <w:pStyle w:val="Index1"/>
        <w:rPr>
          <w:noProof/>
        </w:rPr>
      </w:pPr>
      <w:r>
        <w:rPr>
          <w:noProof/>
        </w:rPr>
        <w:t>experience abstraction(s): place structure, 265</w:t>
      </w:r>
    </w:p>
    <w:p w:rsidR="00B72047" w:rsidRDefault="00B72047">
      <w:pPr>
        <w:pStyle w:val="Index1"/>
        <w:rPr>
          <w:noProof/>
        </w:rPr>
      </w:pPr>
      <w:r>
        <w:rPr>
          <w:noProof/>
        </w:rPr>
        <w:t>experience abstractor, 265</w:t>
      </w:r>
    </w:p>
    <w:p w:rsidR="00B72047" w:rsidRDefault="00B72047">
      <w:pPr>
        <w:pStyle w:val="Index1"/>
        <w:rPr>
          <w:noProof/>
        </w:rPr>
      </w:pPr>
      <w:r>
        <w:rPr>
          <w:noProof/>
        </w:rPr>
        <w:t>experienced: example, 316</w:t>
      </w:r>
    </w:p>
    <w:p w:rsidR="00B72047" w:rsidRDefault="00B72047">
      <w:pPr>
        <w:pStyle w:val="Index1"/>
        <w:rPr>
          <w:noProof/>
        </w:rPr>
      </w:pPr>
      <w:r>
        <w:rPr>
          <w:noProof/>
        </w:rPr>
        <w:t>experimental cmavo: definition, 51; forms for, 51</w:t>
      </w:r>
    </w:p>
    <w:p w:rsidR="00B72047" w:rsidRDefault="00B72047">
      <w:pPr>
        <w:pStyle w:val="Index1"/>
        <w:rPr>
          <w:noProof/>
        </w:rPr>
      </w:pPr>
      <w:r>
        <w:rPr>
          <w:noProof/>
        </w:rPr>
        <w:t>explicit magnitude, 250</w:t>
      </w:r>
    </w:p>
    <w:p w:rsidR="00B72047" w:rsidRDefault="00B72047">
      <w:pPr>
        <w:pStyle w:val="Index1"/>
        <w:rPr>
          <w:noProof/>
        </w:rPr>
      </w:pPr>
      <w:r>
        <w:rPr>
          <w:noProof/>
        </w:rPr>
        <w:t>exponential notation: with base other than 10, 451; with gei, 450</w:t>
      </w:r>
    </w:p>
    <w:p w:rsidR="00B72047" w:rsidRDefault="00B72047">
      <w:pPr>
        <w:pStyle w:val="Index1"/>
        <w:rPr>
          <w:noProof/>
        </w:rPr>
      </w:pPr>
      <w:r>
        <w:rPr>
          <w:noProof/>
        </w:rPr>
        <w:t>exporting negation to prenex: “naku” contrasted with internal bridi negation, 406; internal bridi negation contrasted with “naku”, 406</w:t>
      </w:r>
    </w:p>
    <w:p w:rsidR="00B72047" w:rsidRDefault="00B72047">
      <w:pPr>
        <w:pStyle w:val="Index1"/>
        <w:rPr>
          <w:noProof/>
        </w:rPr>
      </w:pPr>
      <w:r>
        <w:rPr>
          <w:noProof/>
        </w:rPr>
        <w:t>expressive power, 290</w:t>
      </w:r>
    </w:p>
    <w:p w:rsidR="00B72047" w:rsidRDefault="00B72047">
      <w:pPr>
        <w:pStyle w:val="Index1"/>
        <w:rPr>
          <w:noProof/>
        </w:rPr>
      </w:pPr>
      <w:r>
        <w:rPr>
          <w:noProof/>
        </w:rPr>
        <w:t>external bridi negation: compared to internal bridi negation, 401; definition, 401</w:t>
      </w:r>
    </w:p>
    <w:p w:rsidR="00B72047" w:rsidRDefault="00B72047">
      <w:pPr>
        <w:pStyle w:val="Index1"/>
        <w:rPr>
          <w:noProof/>
        </w:rPr>
      </w:pPr>
      <w:r>
        <w:rPr>
          <w:noProof/>
        </w:rPr>
        <w:t>extrinsic possession: definition, 173</w:t>
      </w:r>
    </w:p>
    <w:p w:rsidR="00B72047" w:rsidRDefault="00B72047">
      <w:pPr>
        <w:pStyle w:val="Index1"/>
        <w:rPr>
          <w:noProof/>
        </w:rPr>
      </w:pPr>
      <w:r>
        <w:rPr>
          <w:noProof/>
        </w:rPr>
        <w:t>F.8 base 16: example, 444</w:t>
      </w:r>
    </w:p>
    <w:p w:rsidR="00B72047" w:rsidRDefault="00B72047">
      <w:pPr>
        <w:pStyle w:val="Index1"/>
        <w:rPr>
          <w:noProof/>
        </w:rPr>
      </w:pPr>
      <w:r>
        <w:rPr>
          <w:noProof/>
        </w:rPr>
        <w:t>fa, 189</w:t>
      </w:r>
    </w:p>
    <w:p w:rsidR="00B72047" w:rsidRDefault="00B72047">
      <w:pPr>
        <w:pStyle w:val="Index1"/>
        <w:rPr>
          <w:noProof/>
        </w:rPr>
      </w:pPr>
      <w:r>
        <w:rPr>
          <w:noProof/>
        </w:rPr>
        <w:t>FA in selbri: compared with converted selbri in meaning, 193; contrasted converted selbri with in structure, 193</w:t>
      </w:r>
    </w:p>
    <w:p w:rsidR="00B72047" w:rsidRDefault="00B72047">
      <w:pPr>
        <w:pStyle w:val="Index1"/>
        <w:rPr>
          <w:noProof/>
        </w:rPr>
      </w:pPr>
      <w:r>
        <w:rPr>
          <w:noProof/>
        </w:rPr>
        <w:t>FA selma’o, 93, 189, 206, 247, 493; after 5th place, 472; as a reminder of place in place structure, 190; avoidance of complex usage of, 191; compared with zo'e for omitting places, 190; effect on place structure, 190; effect on place structure order, 190; effect on subsequent non-tagged places, 191; for accessing a selbri place explicitly by relative number, 190; for putting more than one sumti in a single place, 191; syntax of, 189</w:t>
      </w:r>
    </w:p>
    <w:p w:rsidR="00B72047" w:rsidRDefault="00B72047">
      <w:pPr>
        <w:pStyle w:val="Index1"/>
        <w:rPr>
          <w:noProof/>
        </w:rPr>
      </w:pPr>
      <w:r>
        <w:rPr>
          <w:noProof/>
        </w:rPr>
        <w:t>FA tags and linked sumti, 93</w:t>
      </w:r>
    </w:p>
    <w:p w:rsidR="00B72047" w:rsidRDefault="00B72047">
      <w:pPr>
        <w:pStyle w:val="Index1"/>
        <w:rPr>
          <w:noProof/>
        </w:rPr>
      </w:pPr>
      <w:r>
        <w:rPr>
          <w:noProof/>
        </w:rPr>
        <w:t>fa'a: special note on direction orientation, 253</w:t>
      </w:r>
    </w:p>
    <w:p w:rsidR="00B72047" w:rsidRDefault="00B72047">
      <w:pPr>
        <w:pStyle w:val="Index1"/>
        <w:rPr>
          <w:noProof/>
        </w:rPr>
      </w:pPr>
      <w:r>
        <w:rPr>
          <w:noProof/>
        </w:rPr>
        <w:t>face: specifying for letters, 418</w:t>
      </w:r>
    </w:p>
    <w:p w:rsidR="00B72047" w:rsidRDefault="00B72047">
      <w:pPr>
        <w:pStyle w:val="Index1"/>
        <w:rPr>
          <w:noProof/>
        </w:rPr>
      </w:pPr>
      <w:r>
        <w:rPr>
          <w:noProof/>
        </w:rPr>
        <w:t>FAhA selma’o, 217, 242, 493; and direction, 217; contradictory negation of, 241; use in specifying space/time mapping direction, 231</w:t>
      </w:r>
    </w:p>
    <w:p w:rsidR="00B72047" w:rsidRDefault="00B72047">
      <w:pPr>
        <w:pStyle w:val="Index1"/>
        <w:rPr>
          <w:noProof/>
        </w:rPr>
      </w:pPr>
      <w:r>
        <w:rPr>
          <w:noProof/>
        </w:rPr>
        <w:t>FAhO selma’o, 484, 493</w:t>
      </w:r>
    </w:p>
    <w:p w:rsidR="00B72047" w:rsidRDefault="00B72047">
      <w:pPr>
        <w:pStyle w:val="Index1"/>
        <w:rPr>
          <w:noProof/>
        </w:rPr>
      </w:pPr>
      <w:r>
        <w:rPr>
          <w:noProof/>
        </w:rPr>
        <w:t>false statement: implications of, 337</w:t>
      </w:r>
    </w:p>
    <w:p w:rsidR="00B72047" w:rsidRDefault="00B72047">
      <w:pPr>
        <w:pStyle w:val="Index1"/>
        <w:rPr>
          <w:noProof/>
        </w:rPr>
      </w:pPr>
      <w:r>
        <w:rPr>
          <w:noProof/>
        </w:rPr>
        <w:t>fancy E: notation convention, 335</w:t>
      </w:r>
    </w:p>
    <w:p w:rsidR="00B72047" w:rsidRDefault="00B72047">
      <w:pPr>
        <w:pStyle w:val="Index1"/>
        <w:rPr>
          <w:noProof/>
        </w:rPr>
      </w:pPr>
      <w:r>
        <w:rPr>
          <w:noProof/>
        </w:rPr>
        <w:t>fancy O: notation convention, 335</w:t>
      </w:r>
    </w:p>
    <w:p w:rsidR="00B72047" w:rsidRDefault="00B72047">
      <w:pPr>
        <w:pStyle w:val="Index1"/>
        <w:rPr>
          <w:noProof/>
        </w:rPr>
      </w:pPr>
      <w:r>
        <w:rPr>
          <w:noProof/>
        </w:rPr>
        <w:t>fa'o, 416, 484; contrasted with fe'o, 325; interaction with bu, 416</w:t>
      </w:r>
    </w:p>
    <w:p w:rsidR="00B72047" w:rsidRDefault="00B72047">
      <w:pPr>
        <w:pStyle w:val="Index1"/>
        <w:rPr>
          <w:noProof/>
        </w:rPr>
      </w:pPr>
      <w:r>
        <w:rPr>
          <w:noProof/>
        </w:rPr>
        <w:t>fai, 206, 247, 287; as allowing access to original first place in modal conversion, 206; effect on numbering of place structure places, 206</w:t>
      </w:r>
    </w:p>
    <w:p w:rsidR="00B72047" w:rsidRDefault="00B72047">
      <w:pPr>
        <w:pStyle w:val="Index1"/>
        <w:rPr>
          <w:noProof/>
        </w:rPr>
      </w:pPr>
      <w:r>
        <w:rPr>
          <w:noProof/>
        </w:rPr>
        <w:t>falsity of mathematical relation: expressing, 440</w:t>
      </w:r>
    </w:p>
    <w:p w:rsidR="00B72047" w:rsidRDefault="00B72047">
      <w:pPr>
        <w:pStyle w:val="Index1"/>
        <w:rPr>
          <w:noProof/>
        </w:rPr>
      </w:pPr>
      <w:r>
        <w:rPr>
          <w:noProof/>
        </w:rPr>
        <w:t>fancy A: notation convention, 335</w:t>
      </w:r>
    </w:p>
    <w:p w:rsidR="00B72047" w:rsidRDefault="00B72047">
      <w:pPr>
        <w:pStyle w:val="Index1"/>
        <w:rPr>
          <w:noProof/>
        </w:rPr>
      </w:pPr>
      <w:r>
        <w:rPr>
          <w:noProof/>
        </w:rPr>
        <w:t>fancy U: notation convention, 335</w:t>
      </w:r>
    </w:p>
    <w:p w:rsidR="00B72047" w:rsidRDefault="00B72047">
      <w:pPr>
        <w:pStyle w:val="Index1"/>
        <w:rPr>
          <w:noProof/>
        </w:rPr>
      </w:pPr>
      <w:r>
        <w:rPr>
          <w:noProof/>
        </w:rPr>
        <w:t>fast talker: example, 17</w:t>
      </w:r>
    </w:p>
    <w:p w:rsidR="00B72047" w:rsidRDefault="00B72047">
      <w:pPr>
        <w:pStyle w:val="Index1"/>
        <w:rPr>
          <w:noProof/>
        </w:rPr>
      </w:pPr>
      <w:r>
        <w:rPr>
          <w:noProof/>
        </w:rPr>
        <w:t>fast-talker shoe: example, 17</w:t>
      </w:r>
    </w:p>
    <w:p w:rsidR="00B72047" w:rsidRDefault="00B72047">
      <w:pPr>
        <w:pStyle w:val="Index1"/>
        <w:rPr>
          <w:noProof/>
        </w:rPr>
      </w:pPr>
      <w:r>
        <w:rPr>
          <w:noProof/>
        </w:rPr>
        <w:t>father: example, 11</w:t>
      </w:r>
    </w:p>
    <w:p w:rsidR="00B72047" w:rsidRDefault="00B72047">
      <w:pPr>
        <w:pStyle w:val="Index1"/>
        <w:rPr>
          <w:noProof/>
        </w:rPr>
      </w:pPr>
      <w:r>
        <w:rPr>
          <w:noProof/>
        </w:rPr>
        <w:t>father mother: example, 55</w:t>
      </w:r>
    </w:p>
    <w:p w:rsidR="00B72047" w:rsidRDefault="00B72047">
      <w:pPr>
        <w:pStyle w:val="Index1"/>
        <w:rPr>
          <w:noProof/>
        </w:rPr>
      </w:pPr>
      <w:r>
        <w:rPr>
          <w:noProof/>
        </w:rPr>
        <w:t>fa'u, 354, 356, 470; compared to termsets, 356; contrasted with .e, 356</w:t>
      </w:r>
    </w:p>
    <w:p w:rsidR="00B72047" w:rsidRDefault="00B72047">
      <w:pPr>
        <w:pStyle w:val="Index1"/>
        <w:rPr>
          <w:noProof/>
        </w:rPr>
      </w:pPr>
      <w:r>
        <w:rPr>
          <w:noProof/>
        </w:rPr>
        <w:t>fe, 189</w:t>
      </w:r>
    </w:p>
    <w:p w:rsidR="00B72047" w:rsidRDefault="00B72047">
      <w:pPr>
        <w:pStyle w:val="Index1"/>
        <w:rPr>
          <w:noProof/>
        </w:rPr>
      </w:pPr>
      <w:r>
        <w:rPr>
          <w:noProof/>
        </w:rPr>
        <w:t>fe’omi'e, 325</w:t>
      </w:r>
    </w:p>
    <w:p w:rsidR="00B72047" w:rsidRDefault="00B72047">
      <w:pPr>
        <w:pStyle w:val="Index1"/>
        <w:rPr>
          <w:noProof/>
        </w:rPr>
      </w:pPr>
      <w:r>
        <w:rPr>
          <w:noProof/>
        </w:rPr>
        <w:t>fe'e, 230, 231, 232; effect of TAhE/ROI with ZAhO on, 231</w:t>
      </w:r>
    </w:p>
    <w:p w:rsidR="00B72047" w:rsidRDefault="00B72047">
      <w:pPr>
        <w:pStyle w:val="Index1"/>
        <w:rPr>
          <w:noProof/>
        </w:rPr>
      </w:pPr>
      <w:r>
        <w:rPr>
          <w:noProof/>
        </w:rPr>
        <w:t>feed: example, 288</w:t>
      </w:r>
    </w:p>
    <w:p w:rsidR="00B72047" w:rsidRDefault="00B72047">
      <w:pPr>
        <w:pStyle w:val="Index1"/>
        <w:rPr>
          <w:noProof/>
        </w:rPr>
      </w:pPr>
      <w:r>
        <w:rPr>
          <w:noProof/>
        </w:rPr>
        <w:t>feeling, 297</w:t>
      </w:r>
    </w:p>
    <w:p w:rsidR="00B72047" w:rsidRDefault="00B72047">
      <w:pPr>
        <w:pStyle w:val="Index1"/>
        <w:rPr>
          <w:noProof/>
        </w:rPr>
      </w:pPr>
      <w:r>
        <w:rPr>
          <w:noProof/>
        </w:rPr>
        <w:t>feelings: expression of contrasted with talking about, 298</w:t>
      </w:r>
    </w:p>
    <w:p w:rsidR="00B72047" w:rsidRDefault="00B72047">
      <w:pPr>
        <w:pStyle w:val="Index1"/>
        <w:rPr>
          <w:noProof/>
        </w:rPr>
      </w:pPr>
      <w:r>
        <w:rPr>
          <w:noProof/>
        </w:rPr>
        <w:t>FEhE selma’o, 230, 493</w:t>
      </w:r>
    </w:p>
    <w:p w:rsidR="00B72047" w:rsidRDefault="00B72047">
      <w:pPr>
        <w:pStyle w:val="Index1"/>
        <w:rPr>
          <w:noProof/>
        </w:rPr>
      </w:pPr>
      <w:r>
        <w:rPr>
          <w:noProof/>
        </w:rPr>
        <w:t>FEhU selma’o, 194, 493</w:t>
      </w:r>
    </w:p>
    <w:p w:rsidR="00B72047" w:rsidRDefault="00B72047">
      <w:pPr>
        <w:pStyle w:val="Index1"/>
        <w:rPr>
          <w:noProof/>
        </w:rPr>
      </w:pPr>
      <w:r>
        <w:rPr>
          <w:noProof/>
        </w:rPr>
        <w:t>fe'o, 325; contrasted with fa'o, 325</w:t>
      </w:r>
    </w:p>
    <w:p w:rsidR="00B72047" w:rsidRDefault="00B72047">
      <w:pPr>
        <w:pStyle w:val="Index1"/>
        <w:rPr>
          <w:noProof/>
        </w:rPr>
      </w:pPr>
      <w:r>
        <w:rPr>
          <w:noProof/>
        </w:rPr>
        <w:t>fe'u, 194</w:t>
      </w:r>
    </w:p>
    <w:p w:rsidR="00B72047" w:rsidRDefault="00B72047">
      <w:pPr>
        <w:pStyle w:val="Index1"/>
        <w:rPr>
          <w:noProof/>
        </w:rPr>
      </w:pPr>
      <w:r>
        <w:rPr>
          <w:noProof/>
        </w:rPr>
        <w:t>fewsome: example, 446</w:t>
      </w:r>
    </w:p>
    <w:p w:rsidR="00B72047" w:rsidRDefault="00B72047">
      <w:pPr>
        <w:pStyle w:val="Index1"/>
        <w:rPr>
          <w:noProof/>
        </w:rPr>
      </w:pPr>
      <w:r>
        <w:rPr>
          <w:noProof/>
        </w:rPr>
        <w:t>fi, 189</w:t>
      </w:r>
    </w:p>
    <w:p w:rsidR="00B72047" w:rsidRDefault="00B72047">
      <w:pPr>
        <w:pStyle w:val="Index1"/>
        <w:rPr>
          <w:noProof/>
        </w:rPr>
      </w:pPr>
      <w:r>
        <w:rPr>
          <w:noProof/>
        </w:rPr>
        <w:t>fi'a, 191; effect on subsequent untagged sumti, 192</w:t>
      </w:r>
    </w:p>
    <w:p w:rsidR="00B72047" w:rsidRDefault="00B72047">
      <w:pPr>
        <w:pStyle w:val="Index1"/>
        <w:rPr>
          <w:noProof/>
        </w:rPr>
      </w:pPr>
      <w:r>
        <w:rPr>
          <w:noProof/>
        </w:rPr>
        <w:t>Fido: example, 396</w:t>
      </w:r>
    </w:p>
    <w:p w:rsidR="00B72047" w:rsidRDefault="00B72047">
      <w:pPr>
        <w:pStyle w:val="Index1"/>
        <w:rPr>
          <w:noProof/>
        </w:rPr>
      </w:pPr>
      <w:r>
        <w:rPr>
          <w:noProof/>
        </w:rPr>
        <w:t>fi'e, 203</w:t>
      </w:r>
    </w:p>
    <w:p w:rsidR="00B72047" w:rsidRDefault="00B72047">
      <w:pPr>
        <w:pStyle w:val="Index1"/>
        <w:rPr>
          <w:noProof/>
        </w:rPr>
      </w:pPr>
      <w:r>
        <w:rPr>
          <w:noProof/>
        </w:rPr>
        <w:t>field rations: example, 56</w:t>
      </w:r>
    </w:p>
    <w:p w:rsidR="00B72047" w:rsidRDefault="00B72047">
      <w:pPr>
        <w:pStyle w:val="Index1"/>
        <w:rPr>
          <w:noProof/>
        </w:rPr>
      </w:pPr>
      <w:r>
        <w:rPr>
          <w:noProof/>
        </w:rPr>
        <w:t>figurative lujvo, 322; place structure, 322</w:t>
      </w:r>
    </w:p>
    <w:p w:rsidR="00B72047" w:rsidRDefault="00B72047">
      <w:pPr>
        <w:pStyle w:val="Index1"/>
        <w:rPr>
          <w:noProof/>
        </w:rPr>
      </w:pPr>
      <w:r>
        <w:rPr>
          <w:noProof/>
        </w:rPr>
        <w:t>figurative speech, 322</w:t>
      </w:r>
    </w:p>
    <w:p w:rsidR="00B72047" w:rsidRDefault="00B72047">
      <w:pPr>
        <w:pStyle w:val="Index1"/>
        <w:rPr>
          <w:noProof/>
        </w:rPr>
      </w:pPr>
      <w:r>
        <w:rPr>
          <w:noProof/>
        </w:rPr>
        <w:t>FIhO selma’o, 194, 493; terminator for, 493</w:t>
      </w:r>
    </w:p>
    <w:p w:rsidR="00B72047" w:rsidRDefault="00B72047">
      <w:pPr>
        <w:pStyle w:val="Index1"/>
        <w:rPr>
          <w:noProof/>
        </w:rPr>
      </w:pPr>
      <w:r>
        <w:rPr>
          <w:noProof/>
        </w:rPr>
        <w:t>fi'i, 324</w:t>
      </w:r>
    </w:p>
    <w:p w:rsidR="00B72047" w:rsidRDefault="00B72047">
      <w:pPr>
        <w:pStyle w:val="Index1"/>
        <w:rPr>
          <w:noProof/>
        </w:rPr>
      </w:pPr>
      <w:r>
        <w:rPr>
          <w:noProof/>
        </w:rPr>
        <w:t>final syllable stress: rules for pause after, 69</w:t>
      </w:r>
    </w:p>
    <w:p w:rsidR="00B72047" w:rsidRDefault="00B72047">
      <w:pPr>
        <w:pStyle w:val="Index1"/>
        <w:rPr>
          <w:noProof/>
        </w:rPr>
      </w:pPr>
      <w:r>
        <w:rPr>
          <w:noProof/>
        </w:rPr>
        <w:t>finish: contrasted with stop, 229</w:t>
      </w:r>
    </w:p>
    <w:p w:rsidR="00B72047" w:rsidRDefault="00B72047">
      <w:pPr>
        <w:pStyle w:val="Index1"/>
        <w:rPr>
          <w:noProof/>
        </w:rPr>
      </w:pPr>
      <w:r>
        <w:rPr>
          <w:noProof/>
        </w:rPr>
        <w:t>finished: example, 229</w:t>
      </w:r>
    </w:p>
    <w:p w:rsidR="00B72047" w:rsidRDefault="00B72047">
      <w:pPr>
        <w:pStyle w:val="Index1"/>
        <w:rPr>
          <w:noProof/>
        </w:rPr>
      </w:pPr>
      <w:r>
        <w:rPr>
          <w:noProof/>
        </w:rPr>
        <w:t>fi'o, 194; and modal conversion, 206; as modal tag, 194; effect on following selbri, 194; mixed modal connection with, 205; proscribed for sticky modals, 208; restriction on use, 201; use in adding places to place structure, 194</w:t>
      </w:r>
    </w:p>
    <w:p w:rsidR="00B72047" w:rsidRDefault="00B72047">
      <w:pPr>
        <w:pStyle w:val="Index1"/>
        <w:rPr>
          <w:noProof/>
        </w:rPr>
      </w:pPr>
      <w:r>
        <w:rPr>
          <w:noProof/>
        </w:rPr>
        <w:t>fi'o constructs: short forms as BAI, 195</w:t>
      </w:r>
    </w:p>
    <w:p w:rsidR="00B72047" w:rsidRDefault="00B72047">
      <w:pPr>
        <w:pStyle w:val="Index1"/>
        <w:rPr>
          <w:noProof/>
        </w:rPr>
      </w:pPr>
      <w:r>
        <w:rPr>
          <w:noProof/>
        </w:rPr>
        <w:t>fi'o modal followed by selbri: effect on eliding fe'u, 202</w:t>
      </w:r>
    </w:p>
    <w:p w:rsidR="00B72047" w:rsidRDefault="00B72047">
      <w:pPr>
        <w:pStyle w:val="Index1"/>
        <w:rPr>
          <w:noProof/>
        </w:rPr>
      </w:pPr>
      <w:r>
        <w:rPr>
          <w:noProof/>
        </w:rPr>
        <w:t>fi'o modals: negation of by negating selbri, 207; usage in relative phrases, 204</w:t>
      </w:r>
    </w:p>
    <w:p w:rsidR="00B72047" w:rsidRDefault="00B72047">
      <w:pPr>
        <w:pStyle w:val="Index1"/>
        <w:rPr>
          <w:noProof/>
        </w:rPr>
      </w:pPr>
      <w:r>
        <w:rPr>
          <w:noProof/>
        </w:rPr>
        <w:t>fi'o tag: relation of modal sumti following to selbri, 195</w:t>
      </w:r>
    </w:p>
    <w:p w:rsidR="00B72047" w:rsidRDefault="00B72047">
      <w:pPr>
        <w:pStyle w:val="Index1"/>
        <w:rPr>
          <w:noProof/>
        </w:rPr>
      </w:pPr>
      <w:r>
        <w:rPr>
          <w:noProof/>
        </w:rPr>
        <w:t>fi'o with selbri: meaning of, 194</w:t>
      </w:r>
    </w:p>
    <w:p w:rsidR="00B72047" w:rsidRDefault="00B72047">
      <w:pPr>
        <w:pStyle w:val="Index1"/>
        <w:rPr>
          <w:noProof/>
        </w:rPr>
      </w:pPr>
      <w:r>
        <w:rPr>
          <w:noProof/>
        </w:rPr>
        <w:t>first rat: example, 447</w:t>
      </w:r>
    </w:p>
    <w:p w:rsidR="00B72047" w:rsidRDefault="00B72047">
      <w:pPr>
        <w:pStyle w:val="Index1"/>
        <w:rPr>
          <w:noProof/>
        </w:rPr>
      </w:pPr>
      <w:r>
        <w:rPr>
          <w:noProof/>
        </w:rPr>
        <w:t>firstly: example, 458</w:t>
      </w:r>
    </w:p>
    <w:p w:rsidR="00B72047" w:rsidRDefault="00B72047">
      <w:pPr>
        <w:pStyle w:val="Index1"/>
        <w:rPr>
          <w:noProof/>
        </w:rPr>
      </w:pPr>
      <w:r>
        <w:rPr>
          <w:noProof/>
        </w:rPr>
        <w:t>fish eat: example, 468</w:t>
      </w:r>
    </w:p>
    <w:p w:rsidR="00B72047" w:rsidRDefault="00B72047">
      <w:pPr>
        <w:pStyle w:val="Index1"/>
        <w:rPr>
          <w:noProof/>
        </w:rPr>
      </w:pPr>
      <w:r>
        <w:rPr>
          <w:noProof/>
        </w:rPr>
        <w:t>fish on right: example, 222</w:t>
      </w:r>
    </w:p>
    <w:p w:rsidR="00B72047" w:rsidRDefault="00B72047">
      <w:pPr>
        <w:pStyle w:val="Index1"/>
        <w:rPr>
          <w:noProof/>
        </w:rPr>
      </w:pPr>
      <w:r>
        <w:rPr>
          <w:noProof/>
        </w:rPr>
        <w:t>fi'u, 433</w:t>
      </w:r>
    </w:p>
    <w:p w:rsidR="00B72047" w:rsidRDefault="00B72047">
      <w:pPr>
        <w:pStyle w:val="Index1"/>
        <w:rPr>
          <w:noProof/>
        </w:rPr>
      </w:pPr>
      <w:r>
        <w:rPr>
          <w:noProof/>
        </w:rPr>
        <w:t>five people: example, 178</w:t>
      </w:r>
    </w:p>
    <w:p w:rsidR="00B72047" w:rsidRDefault="00B72047">
      <w:pPr>
        <w:pStyle w:val="Index1"/>
        <w:rPr>
          <w:noProof/>
        </w:rPr>
      </w:pPr>
      <w:r>
        <w:rPr>
          <w:noProof/>
        </w:rPr>
        <w:t>five women: example, 178</w:t>
      </w:r>
    </w:p>
    <w:p w:rsidR="00B72047" w:rsidRDefault="00B72047">
      <w:pPr>
        <w:pStyle w:val="Index1"/>
        <w:rPr>
          <w:noProof/>
        </w:rPr>
      </w:pPr>
      <w:r>
        <w:rPr>
          <w:noProof/>
        </w:rPr>
        <w:t>flashbacks in story time: example, 237</w:t>
      </w:r>
    </w:p>
    <w:p w:rsidR="00B72047" w:rsidRDefault="00B72047">
      <w:pPr>
        <w:pStyle w:val="Index1"/>
        <w:rPr>
          <w:noProof/>
        </w:rPr>
      </w:pPr>
      <w:r>
        <w:rPr>
          <w:noProof/>
        </w:rPr>
        <w:t>fleas, 274</w:t>
      </w:r>
    </w:p>
    <w:p w:rsidR="00B72047" w:rsidRDefault="00B72047">
      <w:pPr>
        <w:pStyle w:val="Index1"/>
        <w:rPr>
          <w:noProof/>
        </w:rPr>
      </w:pPr>
      <w:r>
        <w:rPr>
          <w:noProof/>
        </w:rPr>
        <w:t>flexible vocabulary, 53</w:t>
      </w:r>
    </w:p>
    <w:p w:rsidR="00B72047" w:rsidRDefault="00B72047">
      <w:pPr>
        <w:pStyle w:val="Index1"/>
        <w:rPr>
          <w:noProof/>
        </w:rPr>
      </w:pPr>
      <w:r>
        <w:rPr>
          <w:noProof/>
        </w:rPr>
        <w:t>floating point numbers: expressing, 451</w:t>
      </w:r>
    </w:p>
    <w:p w:rsidR="00B72047" w:rsidRDefault="00B72047">
      <w:pPr>
        <w:pStyle w:val="Index1"/>
        <w:rPr>
          <w:noProof/>
        </w:rPr>
      </w:pPr>
      <w:r>
        <w:rPr>
          <w:noProof/>
        </w:rPr>
        <w:t>flow of discourse: managing with discursives, 320</w:t>
      </w:r>
    </w:p>
    <w:p w:rsidR="00B72047" w:rsidRDefault="00B72047">
      <w:pPr>
        <w:pStyle w:val="Index1"/>
        <w:rPr>
          <w:noProof/>
        </w:rPr>
      </w:pPr>
      <w:r>
        <w:rPr>
          <w:noProof/>
        </w:rPr>
        <w:t>fo, 189</w:t>
      </w:r>
    </w:p>
    <w:p w:rsidR="00B72047" w:rsidRDefault="00B72047">
      <w:pPr>
        <w:pStyle w:val="Index1"/>
        <w:rPr>
          <w:noProof/>
        </w:rPr>
      </w:pPr>
      <w:r>
        <w:rPr>
          <w:noProof/>
        </w:rPr>
        <w:t>fo'a, 163</w:t>
      </w:r>
    </w:p>
    <w:p w:rsidR="00B72047" w:rsidRDefault="00B72047">
      <w:pPr>
        <w:pStyle w:val="Index1"/>
        <w:rPr>
          <w:noProof/>
        </w:rPr>
      </w:pPr>
      <w:r>
        <w:rPr>
          <w:noProof/>
        </w:rPr>
        <w:t>foi, 419</w:t>
      </w:r>
    </w:p>
    <w:p w:rsidR="00B72047" w:rsidRDefault="00B72047">
      <w:pPr>
        <w:pStyle w:val="Index1"/>
        <w:rPr>
          <w:noProof/>
        </w:rPr>
      </w:pPr>
      <w:r>
        <w:rPr>
          <w:noProof/>
        </w:rPr>
        <w:t>FOI selma’o, 419, 494</w:t>
      </w:r>
    </w:p>
    <w:p w:rsidR="00B72047" w:rsidRDefault="00B72047">
      <w:pPr>
        <w:pStyle w:val="Index1"/>
        <w:rPr>
          <w:noProof/>
        </w:rPr>
      </w:pPr>
      <w:r>
        <w:rPr>
          <w:noProof/>
        </w:rPr>
        <w:t>folk quantifiers: expressing, 456</w:t>
      </w:r>
    </w:p>
    <w:p w:rsidR="00B72047" w:rsidRDefault="00B72047">
      <w:pPr>
        <w:pStyle w:val="Index1"/>
        <w:rPr>
          <w:noProof/>
        </w:rPr>
      </w:pPr>
      <w:r>
        <w:rPr>
          <w:noProof/>
        </w:rPr>
        <w:t>font: example, 418; specifying for letters, 418</w:t>
      </w:r>
    </w:p>
    <w:p w:rsidR="00B72047" w:rsidRDefault="00B72047">
      <w:pPr>
        <w:pStyle w:val="Index1"/>
        <w:rPr>
          <w:noProof/>
        </w:rPr>
      </w:pPr>
      <w:r>
        <w:rPr>
          <w:noProof/>
        </w:rPr>
        <w:t>food: use of fu'ivla for specific, 61</w:t>
      </w:r>
    </w:p>
    <w:p w:rsidR="00B72047" w:rsidRDefault="00B72047">
      <w:pPr>
        <w:pStyle w:val="Index1"/>
        <w:rPr>
          <w:noProof/>
        </w:rPr>
      </w:pPr>
      <w:r>
        <w:rPr>
          <w:noProof/>
        </w:rPr>
        <w:t>foreman of a jury: example, 146</w:t>
      </w:r>
    </w:p>
    <w:p w:rsidR="00B72047" w:rsidRDefault="00B72047">
      <w:pPr>
        <w:pStyle w:val="Index1"/>
        <w:rPr>
          <w:noProof/>
        </w:rPr>
      </w:pPr>
      <w:r>
        <w:rPr>
          <w:noProof/>
        </w:rPr>
        <w:t>forethought bridi connection: as grammatically one sentence, 339</w:t>
      </w:r>
    </w:p>
    <w:p w:rsidR="00B72047" w:rsidRDefault="00B72047">
      <w:pPr>
        <w:pStyle w:val="Index1"/>
        <w:rPr>
          <w:noProof/>
        </w:rPr>
      </w:pPr>
      <w:r>
        <w:rPr>
          <w:noProof/>
        </w:rPr>
        <w:t>forethought bridi connectives: contrasted with afterthought bridi connectives, 338</w:t>
      </w:r>
    </w:p>
    <w:p w:rsidR="00B72047" w:rsidRDefault="00B72047">
      <w:pPr>
        <w:pStyle w:val="Index1"/>
        <w:rPr>
          <w:noProof/>
        </w:rPr>
      </w:pPr>
      <w:r>
        <w:rPr>
          <w:noProof/>
        </w:rPr>
        <w:t>forethought bridi-tail connection: special rule for tense, 365</w:t>
      </w:r>
    </w:p>
    <w:p w:rsidR="00B72047" w:rsidRDefault="00B72047">
      <w:pPr>
        <w:pStyle w:val="Index1"/>
        <w:rPr>
          <w:noProof/>
        </w:rPr>
      </w:pPr>
      <w:r>
        <w:rPr>
          <w:noProof/>
        </w:rPr>
        <w:t>forethought connection: contrasted with afterthought for grammatical utterances, 352; definition, 199; in abstractions, 365; in tenses, 363; observatives, 347; of operands, 453; of operators, 453</w:t>
      </w:r>
    </w:p>
    <w:p w:rsidR="00B72047" w:rsidRDefault="00B72047">
      <w:pPr>
        <w:pStyle w:val="Index1"/>
        <w:rPr>
          <w:noProof/>
        </w:rPr>
      </w:pPr>
      <w:r>
        <w:rPr>
          <w:noProof/>
        </w:rPr>
        <w:t>forethought connections: modal compared with tense in semantics, 249</w:t>
      </w:r>
    </w:p>
    <w:p w:rsidR="00B72047" w:rsidRDefault="00B72047">
      <w:pPr>
        <w:pStyle w:val="Index1"/>
        <w:rPr>
          <w:noProof/>
        </w:rPr>
      </w:pPr>
      <w:r>
        <w:rPr>
          <w:noProof/>
        </w:rPr>
        <w:t>forethought connective(s): as ungrammatical utterance, 352; contrasted with afterthought connective, 338</w:t>
      </w:r>
    </w:p>
    <w:p w:rsidR="00B72047" w:rsidRDefault="00B72047">
      <w:pPr>
        <w:pStyle w:val="Index1"/>
        <w:rPr>
          <w:noProof/>
        </w:rPr>
      </w:pPr>
      <w:r>
        <w:rPr>
          <w:noProof/>
        </w:rPr>
        <w:t>forethought connectives: with tense, 364</w:t>
      </w:r>
    </w:p>
    <w:p w:rsidR="00B72047" w:rsidRDefault="00B72047">
      <w:pPr>
        <w:pStyle w:val="Index1"/>
        <w:rPr>
          <w:noProof/>
        </w:rPr>
      </w:pPr>
      <w:r>
        <w:rPr>
          <w:noProof/>
        </w:rPr>
        <w:t>forethought connectives and bo, 343</w:t>
      </w:r>
    </w:p>
    <w:p w:rsidR="00B72047" w:rsidRDefault="00B72047">
      <w:pPr>
        <w:pStyle w:val="Index1"/>
        <w:rPr>
          <w:noProof/>
        </w:rPr>
      </w:pPr>
      <w:r>
        <w:rPr>
          <w:noProof/>
        </w:rPr>
        <w:t>forethought interval: GAhO position, 361</w:t>
      </w:r>
    </w:p>
    <w:p w:rsidR="00B72047" w:rsidRDefault="00B72047">
      <w:pPr>
        <w:pStyle w:val="Index1"/>
        <w:rPr>
          <w:noProof/>
        </w:rPr>
      </w:pPr>
      <w:r>
        <w:rPr>
          <w:noProof/>
        </w:rPr>
        <w:t>forethought logical connectives: within tanru, 92</w:t>
      </w:r>
    </w:p>
    <w:p w:rsidR="00B72047" w:rsidRDefault="00B72047">
      <w:pPr>
        <w:pStyle w:val="Index1"/>
        <w:rPr>
          <w:noProof/>
        </w:rPr>
      </w:pPr>
      <w:r>
        <w:rPr>
          <w:noProof/>
        </w:rPr>
        <w:t>forethought logical connectives in tanru: effect on tanru grouping, 92</w:t>
      </w:r>
    </w:p>
    <w:p w:rsidR="00B72047" w:rsidRDefault="00B72047">
      <w:pPr>
        <w:pStyle w:val="Index1"/>
        <w:rPr>
          <w:noProof/>
        </w:rPr>
      </w:pPr>
      <w:r>
        <w:rPr>
          <w:noProof/>
        </w:rPr>
        <w:t>forethought mathematical notation (see also Polish), 438</w:t>
      </w:r>
    </w:p>
    <w:p w:rsidR="00B72047" w:rsidRDefault="00B72047">
      <w:pPr>
        <w:pStyle w:val="Index1"/>
        <w:rPr>
          <w:noProof/>
        </w:rPr>
      </w:pPr>
      <w:r>
        <w:rPr>
          <w:noProof/>
        </w:rPr>
        <w:t>forethought modal sentence connection, 199; relation to modal of first bridi in, 199; relation to modal of second bridi in, 199</w:t>
      </w:r>
    </w:p>
    <w:p w:rsidR="00B72047" w:rsidRDefault="00B72047">
      <w:pPr>
        <w:pStyle w:val="Index1"/>
        <w:rPr>
          <w:noProof/>
        </w:rPr>
      </w:pPr>
      <w:r>
        <w:rPr>
          <w:noProof/>
        </w:rPr>
        <w:t>forethought modal sentence connection for causals: order of cause and effect, 199</w:t>
      </w:r>
    </w:p>
    <w:p w:rsidR="00B72047" w:rsidRDefault="00B72047">
      <w:pPr>
        <w:pStyle w:val="Index1"/>
        <w:rPr>
          <w:noProof/>
        </w:rPr>
      </w:pPr>
      <w:r>
        <w:rPr>
          <w:noProof/>
        </w:rPr>
        <w:t>forethought tanru connection, 350</w:t>
      </w:r>
    </w:p>
    <w:p w:rsidR="00B72047" w:rsidRDefault="00B72047">
      <w:pPr>
        <w:pStyle w:val="Index1"/>
        <w:rPr>
          <w:noProof/>
        </w:rPr>
      </w:pPr>
      <w:r>
        <w:rPr>
          <w:noProof/>
        </w:rPr>
        <w:t>forethought tense connection: contrasted with afterthought in likeness to modal connection, 249</w:t>
      </w:r>
    </w:p>
    <w:p w:rsidR="00B72047" w:rsidRDefault="00B72047">
      <w:pPr>
        <w:pStyle w:val="Index1"/>
        <w:rPr>
          <w:noProof/>
        </w:rPr>
      </w:pPr>
      <w:r>
        <w:rPr>
          <w:noProof/>
        </w:rPr>
        <w:t>forethought tense connection of bridi-tails: order of, 240</w:t>
      </w:r>
    </w:p>
    <w:p w:rsidR="00B72047" w:rsidRDefault="00B72047">
      <w:pPr>
        <w:pStyle w:val="Index1"/>
        <w:rPr>
          <w:noProof/>
        </w:rPr>
      </w:pPr>
      <w:r>
        <w:rPr>
          <w:noProof/>
        </w:rPr>
        <w:t>forethought tense connection of sentences: order of, 239</w:t>
      </w:r>
    </w:p>
    <w:p w:rsidR="00B72047" w:rsidRDefault="00B72047">
      <w:pPr>
        <w:pStyle w:val="Index1"/>
        <w:rPr>
          <w:noProof/>
        </w:rPr>
      </w:pPr>
      <w:r>
        <w:rPr>
          <w:noProof/>
        </w:rPr>
        <w:t>forethought tense connection of sumti: order of, 239</w:t>
      </w:r>
    </w:p>
    <w:p w:rsidR="00B72047" w:rsidRDefault="00B72047">
      <w:pPr>
        <w:pStyle w:val="Index1"/>
        <w:rPr>
          <w:noProof/>
        </w:rPr>
      </w:pPr>
      <w:r>
        <w:rPr>
          <w:noProof/>
        </w:rPr>
        <w:t>forethought termsets: logical connection of, 348</w:t>
      </w:r>
    </w:p>
    <w:p w:rsidR="00B72047" w:rsidRDefault="00B72047">
      <w:pPr>
        <w:pStyle w:val="Index1"/>
        <w:rPr>
          <w:noProof/>
        </w:rPr>
      </w:pPr>
      <w:r>
        <w:rPr>
          <w:noProof/>
        </w:rPr>
        <w:t>formal grammar, 511</w:t>
      </w:r>
    </w:p>
    <w:p w:rsidR="00B72047" w:rsidRDefault="00B72047">
      <w:pPr>
        <w:pStyle w:val="Index1"/>
        <w:rPr>
          <w:noProof/>
        </w:rPr>
      </w:pPr>
      <w:r>
        <w:rPr>
          <w:noProof/>
        </w:rPr>
        <w:t>formal requirement: example, 305</w:t>
      </w:r>
    </w:p>
    <w:p w:rsidR="00B72047" w:rsidRDefault="00B72047">
      <w:pPr>
        <w:pStyle w:val="Index1"/>
        <w:rPr>
          <w:noProof/>
        </w:rPr>
      </w:pPr>
      <w:r>
        <w:rPr>
          <w:noProof/>
        </w:rPr>
        <w:t>former market: example, 235</w:t>
      </w:r>
    </w:p>
    <w:p w:rsidR="00B72047" w:rsidRDefault="00B72047">
      <w:pPr>
        <w:pStyle w:val="Index1"/>
        <w:rPr>
          <w:noProof/>
        </w:rPr>
      </w:pPr>
      <w:r>
        <w:rPr>
          <w:noProof/>
        </w:rPr>
        <w:t>former state, 293</w:t>
      </w:r>
    </w:p>
    <w:p w:rsidR="00B72047" w:rsidRDefault="00B72047">
      <w:pPr>
        <w:pStyle w:val="Index1"/>
        <w:rPr>
          <w:noProof/>
        </w:rPr>
      </w:pPr>
      <w:r>
        <w:rPr>
          <w:noProof/>
        </w:rPr>
        <w:t>formulae: expressing based on pure dimensions, 456</w:t>
      </w:r>
    </w:p>
    <w:p w:rsidR="00B72047" w:rsidRDefault="00B72047">
      <w:pPr>
        <w:pStyle w:val="Index1"/>
        <w:rPr>
          <w:noProof/>
        </w:rPr>
      </w:pPr>
      <w:r>
        <w:rPr>
          <w:noProof/>
        </w:rPr>
        <w:t>four “e”s: example, 422</w:t>
      </w:r>
    </w:p>
    <w:p w:rsidR="00B72047" w:rsidRDefault="00B72047">
      <w:pPr>
        <w:pStyle w:val="Index1"/>
        <w:rPr>
          <w:noProof/>
        </w:rPr>
      </w:pPr>
      <w:r>
        <w:rPr>
          <w:noProof/>
        </w:rPr>
        <w:t>Four score and seven: example, 460</w:t>
      </w:r>
    </w:p>
    <w:p w:rsidR="00B72047" w:rsidRDefault="00B72047">
      <w:pPr>
        <w:pStyle w:val="Index1"/>
        <w:rPr>
          <w:noProof/>
        </w:rPr>
      </w:pPr>
      <w:r>
        <w:rPr>
          <w:noProof/>
        </w:rPr>
        <w:t>fourteen “e”s: example, 413</w:t>
      </w:r>
    </w:p>
    <w:p w:rsidR="00B72047" w:rsidRDefault="00B72047">
      <w:pPr>
        <w:pStyle w:val="Index1"/>
        <w:rPr>
          <w:noProof/>
        </w:rPr>
      </w:pPr>
      <w:r>
        <w:rPr>
          <w:noProof/>
        </w:rPr>
        <w:t>fractions: expressing with numerical punctuation, 433; numerator default, 433</w:t>
      </w:r>
    </w:p>
    <w:p w:rsidR="00B72047" w:rsidRDefault="00B72047">
      <w:pPr>
        <w:pStyle w:val="Index1"/>
        <w:rPr>
          <w:noProof/>
        </w:rPr>
      </w:pPr>
      <w:r>
        <w:rPr>
          <w:noProof/>
        </w:rPr>
        <w:t>fragmentary text, 321</w:t>
      </w:r>
    </w:p>
    <w:p w:rsidR="00B72047" w:rsidRDefault="00B72047">
      <w:pPr>
        <w:pStyle w:val="Index1"/>
        <w:rPr>
          <w:noProof/>
        </w:rPr>
      </w:pPr>
      <w:r>
        <w:rPr>
          <w:noProof/>
        </w:rPr>
        <w:t>Frank is a fool: example, 263</w:t>
      </w:r>
    </w:p>
    <w:p w:rsidR="00B72047" w:rsidRDefault="00B72047">
      <w:pPr>
        <w:pStyle w:val="Index1"/>
        <w:rPr>
          <w:noProof/>
        </w:rPr>
      </w:pPr>
      <w:r>
        <w:rPr>
          <w:noProof/>
        </w:rPr>
        <w:t>free modifiers: effects on elidability of terminators, 450</w:t>
      </w:r>
    </w:p>
    <w:p w:rsidR="00B72047" w:rsidRDefault="00B72047">
      <w:pPr>
        <w:pStyle w:val="Index1"/>
        <w:rPr>
          <w:noProof/>
        </w:rPr>
      </w:pPr>
      <w:r>
        <w:rPr>
          <w:noProof/>
        </w:rPr>
        <w:t>frequency within interval: specifying, 504</w:t>
      </w:r>
    </w:p>
    <w:p w:rsidR="00B72047" w:rsidRDefault="00B72047">
      <w:pPr>
        <w:pStyle w:val="Index1"/>
        <w:rPr>
          <w:noProof/>
        </w:rPr>
      </w:pPr>
      <w:r>
        <w:rPr>
          <w:noProof/>
        </w:rPr>
        <w:t>friend's cup: example, 174</w:t>
      </w:r>
    </w:p>
    <w:p w:rsidR="00B72047" w:rsidRDefault="00B72047">
      <w:pPr>
        <w:pStyle w:val="Index1"/>
        <w:rPr>
          <w:noProof/>
        </w:rPr>
      </w:pPr>
      <w:r>
        <w:rPr>
          <w:noProof/>
        </w:rPr>
        <w:t>from one to two o'clock: example, 359</w:t>
      </w:r>
    </w:p>
    <w:p w:rsidR="00B72047" w:rsidRDefault="00B72047">
      <w:pPr>
        <w:pStyle w:val="Index1"/>
        <w:rPr>
          <w:noProof/>
        </w:rPr>
      </w:pPr>
      <w:r>
        <w:rPr>
          <w:noProof/>
        </w:rPr>
        <w:t>fu, 189</w:t>
      </w:r>
    </w:p>
    <w:p w:rsidR="00B72047" w:rsidRDefault="00B72047">
      <w:pPr>
        <w:pStyle w:val="Index1"/>
        <w:rPr>
          <w:noProof/>
        </w:rPr>
      </w:pPr>
      <w:r>
        <w:rPr>
          <w:noProof/>
        </w:rPr>
        <w:t>fu'a, 452</w:t>
      </w:r>
    </w:p>
    <w:p w:rsidR="00B72047" w:rsidRDefault="00B72047">
      <w:pPr>
        <w:pStyle w:val="Index1"/>
        <w:rPr>
          <w:noProof/>
        </w:rPr>
      </w:pPr>
      <w:r>
        <w:rPr>
          <w:noProof/>
        </w:rPr>
        <w:t>fu'e, 475</w:t>
      </w:r>
    </w:p>
    <w:p w:rsidR="00B72047" w:rsidRDefault="00B72047">
      <w:pPr>
        <w:pStyle w:val="Index1"/>
        <w:rPr>
          <w:noProof/>
        </w:rPr>
      </w:pPr>
      <w:r>
        <w:rPr>
          <w:noProof/>
        </w:rPr>
        <w:t>FUhA selma’o, 494</w:t>
      </w:r>
    </w:p>
    <w:p w:rsidR="00B72047" w:rsidRDefault="00B72047">
      <w:pPr>
        <w:pStyle w:val="Index1"/>
        <w:rPr>
          <w:noProof/>
        </w:rPr>
      </w:pPr>
      <w:r>
        <w:rPr>
          <w:noProof/>
        </w:rPr>
        <w:t>FUhE selma’o, 475, 494</w:t>
      </w:r>
    </w:p>
    <w:p w:rsidR="00B72047" w:rsidRDefault="00B72047">
      <w:pPr>
        <w:pStyle w:val="Index1"/>
        <w:rPr>
          <w:noProof/>
        </w:rPr>
      </w:pPr>
      <w:r>
        <w:rPr>
          <w:noProof/>
        </w:rPr>
        <w:t>FUhO selma’o, 475, 494</w:t>
      </w:r>
    </w:p>
    <w:p w:rsidR="00B72047" w:rsidRDefault="00B72047">
      <w:pPr>
        <w:pStyle w:val="Index1"/>
        <w:rPr>
          <w:noProof/>
        </w:rPr>
      </w:pPr>
      <w:r>
        <w:rPr>
          <w:noProof/>
        </w:rPr>
        <w:t>fu'i, 309</w:t>
      </w:r>
    </w:p>
    <w:p w:rsidR="00B72047" w:rsidRDefault="00B72047">
      <w:pPr>
        <w:pStyle w:val="Index1"/>
        <w:rPr>
          <w:noProof/>
        </w:rPr>
      </w:pPr>
      <w:r>
        <w:rPr>
          <w:noProof/>
        </w:rPr>
        <w:t>fu'ivla: algorithm for constructing, 62; as a subtype of brivla, 53; as Stage 3 borrowings, 61; as Stage 4 borrowings, 62; categorized contrasted with uncategorized in ease of construction, 62; considerations for choosing basis word, 64; consonant clusters in, 62; construction of, 62; definition, quick-tour version, 27; diphthongs in, 63; disambiguation of, 64; form for rafsi fu'ivla proposal, 80; form of, 62; initial consonant cluster in, 62; method of including in lujvo, 60; quick-tour version, 20; rules for formation of, 62; stress in, 62; uniqueness of meaning in, 61; use of, 61; with invalid diphthongs, 64</w:t>
      </w:r>
    </w:p>
    <w:p w:rsidR="00B72047" w:rsidRDefault="00B72047">
      <w:pPr>
        <w:pStyle w:val="Index1"/>
        <w:rPr>
          <w:noProof/>
        </w:rPr>
      </w:pPr>
      <w:r>
        <w:rPr>
          <w:noProof/>
        </w:rPr>
        <w:t>fu'ivla categorizer, 61; for distinguishing fu'ivla form, 64; for distinguishing specialized meanings, 64; selection consideration for, 62</w:t>
      </w:r>
    </w:p>
    <w:p w:rsidR="00B72047" w:rsidRDefault="00B72047">
      <w:pPr>
        <w:pStyle w:val="Index1"/>
        <w:rPr>
          <w:noProof/>
        </w:rPr>
      </w:pPr>
      <w:r>
        <w:rPr>
          <w:noProof/>
        </w:rPr>
        <w:t>Fujiko: example, 68</w:t>
      </w:r>
    </w:p>
    <w:p w:rsidR="00B72047" w:rsidRDefault="00B72047">
      <w:pPr>
        <w:pStyle w:val="Index1"/>
        <w:rPr>
          <w:noProof/>
        </w:rPr>
      </w:pPr>
      <w:r>
        <w:rPr>
          <w:noProof/>
        </w:rPr>
        <w:t>fully reduced lujvo: definition, 59</w:t>
      </w:r>
    </w:p>
    <w:p w:rsidR="00B72047" w:rsidRDefault="00B72047">
      <w:pPr>
        <w:pStyle w:val="Index1"/>
        <w:rPr>
          <w:noProof/>
        </w:rPr>
      </w:pPr>
      <w:r>
        <w:rPr>
          <w:noProof/>
        </w:rPr>
        <w:t>function f of x: example, 423</w:t>
      </w:r>
    </w:p>
    <w:p w:rsidR="00B72047" w:rsidRDefault="00B72047">
      <w:pPr>
        <w:pStyle w:val="Index1"/>
        <w:rPr>
          <w:noProof/>
        </w:rPr>
      </w:pPr>
      <w:r>
        <w:rPr>
          <w:noProof/>
        </w:rPr>
        <w:t>function name: lerfu string as, 423</w:t>
      </w:r>
    </w:p>
    <w:p w:rsidR="00B72047" w:rsidRDefault="00B72047">
      <w:pPr>
        <w:pStyle w:val="Index1"/>
        <w:rPr>
          <w:noProof/>
        </w:rPr>
      </w:pPr>
      <w:r>
        <w:rPr>
          <w:noProof/>
        </w:rPr>
        <w:t>functional notation: standard, 438</w:t>
      </w:r>
    </w:p>
    <w:p w:rsidR="00B72047" w:rsidRDefault="00B72047">
      <w:pPr>
        <w:pStyle w:val="Index1"/>
        <w:rPr>
          <w:noProof/>
        </w:rPr>
      </w:pPr>
      <w:r>
        <w:rPr>
          <w:noProof/>
        </w:rPr>
        <w:t>fu'o, 475</w:t>
      </w:r>
    </w:p>
    <w:p w:rsidR="00B72047" w:rsidRDefault="00B72047">
      <w:pPr>
        <w:pStyle w:val="Index1"/>
        <w:rPr>
          <w:noProof/>
        </w:rPr>
      </w:pPr>
      <w:r>
        <w:rPr>
          <w:noProof/>
        </w:rPr>
        <w:t>future event: possible extension into present, 223</w:t>
      </w:r>
    </w:p>
    <w:p w:rsidR="00B72047" w:rsidRDefault="00B72047">
      <w:pPr>
        <w:pStyle w:val="Index1"/>
        <w:rPr>
          <w:noProof/>
        </w:rPr>
      </w:pPr>
      <w:r>
        <w:rPr>
          <w:noProof/>
        </w:rPr>
        <w:t>futureward: as a spatial tense, 224</w:t>
      </w:r>
    </w:p>
    <w:p w:rsidR="00B72047" w:rsidRDefault="00B72047">
      <w:pPr>
        <w:pStyle w:val="Index1"/>
        <w:rPr>
          <w:noProof/>
        </w:rPr>
      </w:pPr>
      <w:r>
        <w:rPr>
          <w:noProof/>
        </w:rPr>
        <w:t>fuzzy logic and truth-value abstraction, 262</w:t>
      </w:r>
    </w:p>
    <w:p w:rsidR="00B72047" w:rsidRDefault="00B72047">
      <w:pPr>
        <w:pStyle w:val="Index1"/>
        <w:rPr>
          <w:noProof/>
        </w:rPr>
      </w:pPr>
      <w:r>
        <w:rPr>
          <w:noProof/>
        </w:rPr>
        <w:t>ga, 408</w:t>
      </w:r>
    </w:p>
    <w:p w:rsidR="00B72047" w:rsidRDefault="00B72047">
      <w:pPr>
        <w:pStyle w:val="Index1"/>
        <w:rPr>
          <w:noProof/>
        </w:rPr>
      </w:pPr>
      <w:r>
        <w:rPr>
          <w:noProof/>
        </w:rPr>
        <w:t>GA selma’o, 336, 338, 339, 340, 341, 352, 361, 453, 494</w:t>
      </w:r>
    </w:p>
    <w:p w:rsidR="00B72047" w:rsidRDefault="00B72047">
      <w:pPr>
        <w:pStyle w:val="Index1"/>
        <w:rPr>
          <w:noProof/>
        </w:rPr>
      </w:pPr>
      <w:r>
        <w:rPr>
          <w:noProof/>
        </w:rPr>
        <w:t>gadri: definition, 119</w:t>
      </w:r>
    </w:p>
    <w:p w:rsidR="00B72047" w:rsidRDefault="00B72047">
      <w:pPr>
        <w:pStyle w:val="Index1"/>
        <w:rPr>
          <w:noProof/>
        </w:rPr>
      </w:pPr>
      <w:r>
        <w:rPr>
          <w:noProof/>
        </w:rPr>
        <w:t>ga'e, 415</w:t>
      </w:r>
    </w:p>
    <w:p w:rsidR="00B72047" w:rsidRDefault="00B72047">
      <w:pPr>
        <w:pStyle w:val="Index1"/>
        <w:rPr>
          <w:noProof/>
        </w:rPr>
      </w:pPr>
      <w:r>
        <w:rPr>
          <w:noProof/>
        </w:rPr>
        <w:t>GAhO position in forethought intervals, 361</w:t>
      </w:r>
    </w:p>
    <w:p w:rsidR="00B72047" w:rsidRDefault="00B72047">
      <w:pPr>
        <w:pStyle w:val="Index1"/>
        <w:rPr>
          <w:noProof/>
        </w:rPr>
      </w:pPr>
      <w:r>
        <w:rPr>
          <w:noProof/>
        </w:rPr>
        <w:t>GAhO selma’o, 246, 360, 361, 494; grammar of, 360</w:t>
      </w:r>
    </w:p>
    <w:p w:rsidR="00B72047" w:rsidRDefault="00B72047">
      <w:pPr>
        <w:pStyle w:val="Index1"/>
        <w:rPr>
          <w:noProof/>
        </w:rPr>
      </w:pPr>
      <w:r>
        <w:rPr>
          <w:noProof/>
        </w:rPr>
        <w:t>ga'i, 308</w:t>
      </w:r>
    </w:p>
    <w:p w:rsidR="00B72047" w:rsidRDefault="00B72047">
      <w:pPr>
        <w:pStyle w:val="Index1"/>
        <w:rPr>
          <w:noProof/>
        </w:rPr>
      </w:pPr>
      <w:r>
        <w:rPr>
          <w:noProof/>
        </w:rPr>
        <w:t>ga'icai, 309</w:t>
      </w:r>
    </w:p>
    <w:p w:rsidR="00B72047" w:rsidRDefault="00B72047">
      <w:pPr>
        <w:pStyle w:val="Index1"/>
        <w:rPr>
          <w:noProof/>
        </w:rPr>
      </w:pPr>
      <w:r>
        <w:rPr>
          <w:noProof/>
        </w:rPr>
        <w:t>ga'inai, 308</w:t>
      </w:r>
    </w:p>
    <w:p w:rsidR="00B72047" w:rsidRDefault="00B72047">
      <w:pPr>
        <w:pStyle w:val="Index1"/>
        <w:rPr>
          <w:noProof/>
        </w:rPr>
      </w:pPr>
      <w:r>
        <w:rPr>
          <w:noProof/>
        </w:rPr>
        <w:t>ganai, 339, 340</w:t>
      </w:r>
    </w:p>
    <w:p w:rsidR="00B72047" w:rsidRDefault="00B72047">
      <w:pPr>
        <w:pStyle w:val="Index1"/>
        <w:rPr>
          <w:noProof/>
        </w:rPr>
      </w:pPr>
      <w:r>
        <w:rPr>
          <w:noProof/>
        </w:rPr>
        <w:t>ga'o, 360, 362; etymology of, 360</w:t>
      </w:r>
    </w:p>
    <w:p w:rsidR="00B72047" w:rsidRDefault="00B72047">
      <w:pPr>
        <w:pStyle w:val="Index1"/>
        <w:rPr>
          <w:noProof/>
        </w:rPr>
      </w:pPr>
      <w:r>
        <w:rPr>
          <w:noProof/>
        </w:rPr>
        <w:t>ge, 408</w:t>
      </w:r>
    </w:p>
    <w:p w:rsidR="00B72047" w:rsidRDefault="00B72047">
      <w:pPr>
        <w:pStyle w:val="Index1"/>
        <w:rPr>
          <w:noProof/>
        </w:rPr>
      </w:pPr>
      <w:r>
        <w:rPr>
          <w:noProof/>
        </w:rPr>
        <w:t>ge'a, 450, 452, 453; for infix operations with too many operands, 451</w:t>
      </w:r>
    </w:p>
    <w:p w:rsidR="00B72047" w:rsidRDefault="00B72047">
      <w:pPr>
        <w:pStyle w:val="Index1"/>
        <w:rPr>
          <w:noProof/>
        </w:rPr>
      </w:pPr>
      <w:r>
        <w:rPr>
          <w:noProof/>
        </w:rPr>
        <w:t>ge'a gei, 453</w:t>
      </w:r>
    </w:p>
    <w:p w:rsidR="00B72047" w:rsidRDefault="00B72047">
      <w:pPr>
        <w:pStyle w:val="Index1"/>
        <w:rPr>
          <w:noProof/>
        </w:rPr>
      </w:pPr>
      <w:r>
        <w:rPr>
          <w:noProof/>
        </w:rPr>
        <w:t>ge'e, 311, 322</w:t>
      </w:r>
    </w:p>
    <w:p w:rsidR="00B72047" w:rsidRDefault="00B72047">
      <w:pPr>
        <w:pStyle w:val="Index1"/>
        <w:rPr>
          <w:noProof/>
        </w:rPr>
      </w:pPr>
      <w:r>
        <w:rPr>
          <w:noProof/>
        </w:rPr>
        <w:t>GEhU selma’o, 175, 495</w:t>
      </w:r>
    </w:p>
    <w:p w:rsidR="00B72047" w:rsidRDefault="00B72047">
      <w:pPr>
        <w:pStyle w:val="Index1"/>
        <w:rPr>
          <w:noProof/>
        </w:rPr>
      </w:pPr>
      <w:r>
        <w:rPr>
          <w:noProof/>
        </w:rPr>
        <w:t>ge'i, 352</w:t>
      </w:r>
    </w:p>
    <w:p w:rsidR="00B72047" w:rsidRDefault="00B72047">
      <w:pPr>
        <w:pStyle w:val="Index1"/>
        <w:rPr>
          <w:noProof/>
        </w:rPr>
      </w:pPr>
      <w:r>
        <w:rPr>
          <w:noProof/>
        </w:rPr>
        <w:t>gei, 450; as a binary operator, 450; as a ternary operator, 451; rationale for order of places, 451</w:t>
      </w:r>
    </w:p>
    <w:p w:rsidR="00B72047" w:rsidRDefault="00B72047">
      <w:pPr>
        <w:pStyle w:val="Index1"/>
        <w:rPr>
          <w:noProof/>
        </w:rPr>
      </w:pPr>
      <w:r>
        <w:rPr>
          <w:noProof/>
        </w:rPr>
        <w:t>gek: definition, 338</w:t>
      </w:r>
    </w:p>
    <w:p w:rsidR="00B72047" w:rsidRDefault="00B72047">
      <w:pPr>
        <w:pStyle w:val="Index1"/>
        <w:rPr>
          <w:noProof/>
        </w:rPr>
      </w:pPr>
      <w:r>
        <w:rPr>
          <w:noProof/>
        </w:rPr>
        <w:t>gek bridi connectives: contrasted with ijeks, 338</w:t>
      </w:r>
    </w:p>
    <w:p w:rsidR="00B72047" w:rsidRDefault="00B72047">
      <w:pPr>
        <w:pStyle w:val="Index1"/>
        <w:rPr>
          <w:noProof/>
        </w:rPr>
      </w:pPr>
      <w:r>
        <w:rPr>
          <w:noProof/>
        </w:rPr>
        <w:t>geks: connecting operands, 361; in forethought sumti connection, 341; syntax of, 340</w:t>
      </w:r>
    </w:p>
    <w:p w:rsidR="00B72047" w:rsidRDefault="00B72047">
      <w:pPr>
        <w:pStyle w:val="Index1"/>
        <w:rPr>
          <w:noProof/>
        </w:rPr>
      </w:pPr>
      <w:r>
        <w:rPr>
          <w:noProof/>
        </w:rPr>
        <w:t>General American, 42</w:t>
      </w:r>
    </w:p>
    <w:p w:rsidR="00B72047" w:rsidRDefault="00B72047">
      <w:pPr>
        <w:pStyle w:val="Index1"/>
        <w:rPr>
          <w:noProof/>
        </w:rPr>
      </w:pPr>
      <w:r>
        <w:rPr>
          <w:noProof/>
        </w:rPr>
        <w:t>general sumti: contrasted with operands, 436</w:t>
      </w:r>
    </w:p>
    <w:p w:rsidR="00B72047" w:rsidRDefault="00B72047">
      <w:pPr>
        <w:pStyle w:val="Index1"/>
        <w:rPr>
          <w:noProof/>
        </w:rPr>
      </w:pPr>
      <w:r>
        <w:rPr>
          <w:noProof/>
        </w:rPr>
        <w:t>general terms, 295</w:t>
      </w:r>
    </w:p>
    <w:p w:rsidR="00B72047" w:rsidRDefault="00B72047">
      <w:pPr>
        <w:pStyle w:val="Index1"/>
        <w:rPr>
          <w:noProof/>
        </w:rPr>
      </w:pPr>
      <w:r>
        <w:rPr>
          <w:noProof/>
        </w:rPr>
        <w:t>German rich man: example, 344</w:t>
      </w:r>
    </w:p>
    <w:p w:rsidR="00B72047" w:rsidRDefault="00B72047">
      <w:pPr>
        <w:pStyle w:val="Index1"/>
        <w:rPr>
          <w:noProof/>
        </w:rPr>
      </w:pPr>
      <w:r>
        <w:rPr>
          <w:noProof/>
        </w:rPr>
        <w:t>gerund: using abstraction, 255</w:t>
      </w:r>
    </w:p>
    <w:p w:rsidR="00B72047" w:rsidRDefault="00B72047">
      <w:pPr>
        <w:pStyle w:val="Index1"/>
        <w:rPr>
          <w:noProof/>
        </w:rPr>
      </w:pPr>
      <w:r>
        <w:rPr>
          <w:noProof/>
        </w:rPr>
        <w:t>Gettysburg Address: example, 460</w:t>
      </w:r>
    </w:p>
    <w:p w:rsidR="00B72047" w:rsidRDefault="00B72047">
      <w:pPr>
        <w:pStyle w:val="Index1"/>
        <w:rPr>
          <w:noProof/>
        </w:rPr>
      </w:pPr>
      <w:r>
        <w:rPr>
          <w:noProof/>
        </w:rPr>
        <w:t>ge'u, 151, 175, 318; effect of following logical connective on elidability, 175; elidability of from relative phrases, 175</w:t>
      </w:r>
    </w:p>
    <w:p w:rsidR="00B72047" w:rsidRDefault="00B72047">
      <w:pPr>
        <w:pStyle w:val="Index1"/>
        <w:rPr>
          <w:noProof/>
        </w:rPr>
      </w:pPr>
      <w:r>
        <w:rPr>
          <w:noProof/>
        </w:rPr>
        <w:t>gi, 92, 199, 239, 240, 340, 361, 408</w:t>
      </w:r>
    </w:p>
    <w:p w:rsidR="00B72047" w:rsidRDefault="00B72047">
      <w:pPr>
        <w:pStyle w:val="Index1"/>
        <w:rPr>
          <w:noProof/>
        </w:rPr>
      </w:pPr>
      <w:r>
        <w:rPr>
          <w:noProof/>
        </w:rPr>
        <w:t>GI selma’o, 336, 339, 340, 361, 495</w:t>
      </w:r>
    </w:p>
    <w:p w:rsidR="00B72047" w:rsidRDefault="00B72047">
      <w:pPr>
        <w:pStyle w:val="Index1"/>
        <w:rPr>
          <w:noProof/>
        </w:rPr>
      </w:pPr>
      <w:r>
        <w:rPr>
          <w:noProof/>
        </w:rPr>
        <w:t>gi'e, 344</w:t>
      </w:r>
    </w:p>
    <w:p w:rsidR="00B72047" w:rsidRDefault="00B72047">
      <w:pPr>
        <w:pStyle w:val="Index1"/>
        <w:rPr>
          <w:noProof/>
        </w:rPr>
      </w:pPr>
      <w:r>
        <w:rPr>
          <w:noProof/>
        </w:rPr>
        <w:t>GIhA selma’o, 336, 344, 346, 352, 364, 495; terminator for, 506</w:t>
      </w:r>
    </w:p>
    <w:p w:rsidR="00B72047" w:rsidRDefault="00B72047">
      <w:pPr>
        <w:pStyle w:val="Index1"/>
        <w:rPr>
          <w:noProof/>
        </w:rPr>
      </w:pPr>
      <w:r>
        <w:rPr>
          <w:noProof/>
        </w:rPr>
        <w:t>gihek: definition, 344</w:t>
      </w:r>
    </w:p>
    <w:p w:rsidR="00B72047" w:rsidRDefault="00B72047">
      <w:pPr>
        <w:pStyle w:val="Index1"/>
        <w:rPr>
          <w:noProof/>
        </w:rPr>
      </w:pPr>
      <w:r>
        <w:rPr>
          <w:noProof/>
        </w:rPr>
        <w:t>giheks: syntax of, 346</w:t>
      </w:r>
    </w:p>
    <w:p w:rsidR="00B72047" w:rsidRDefault="00B72047">
      <w:pPr>
        <w:pStyle w:val="Index1"/>
        <w:rPr>
          <w:noProof/>
        </w:rPr>
      </w:pPr>
      <w:r>
        <w:rPr>
          <w:noProof/>
        </w:rPr>
        <w:t>gi'i, 352</w:t>
      </w:r>
    </w:p>
    <w:p w:rsidR="00B72047" w:rsidRDefault="00B72047">
      <w:pPr>
        <w:pStyle w:val="Index1"/>
        <w:rPr>
          <w:noProof/>
        </w:rPr>
      </w:pPr>
      <w:r>
        <w:rPr>
          <w:noProof/>
        </w:rPr>
        <w:t>gik: as name for compound cmavo, 336; definition, 340</w:t>
      </w:r>
    </w:p>
    <w:p w:rsidR="00B72047" w:rsidRDefault="00B72047">
      <w:pPr>
        <w:pStyle w:val="Index1"/>
        <w:rPr>
          <w:noProof/>
        </w:rPr>
      </w:pPr>
      <w:r>
        <w:rPr>
          <w:noProof/>
        </w:rPr>
        <w:t>giks: syntax of, 340</w:t>
      </w:r>
    </w:p>
    <w:p w:rsidR="00B72047" w:rsidRDefault="00B72047">
      <w:pPr>
        <w:pStyle w:val="Index1"/>
        <w:rPr>
          <w:noProof/>
        </w:rPr>
      </w:pPr>
      <w:r>
        <w:rPr>
          <w:noProof/>
        </w:rPr>
        <w:t>ginai, 340</w:t>
      </w:r>
    </w:p>
    <w:p w:rsidR="00B72047" w:rsidRDefault="00B72047">
      <w:pPr>
        <w:pStyle w:val="Index1"/>
        <w:rPr>
          <w:noProof/>
        </w:rPr>
      </w:pPr>
      <w:r>
        <w:rPr>
          <w:noProof/>
        </w:rPr>
        <w:t>girls' school: little, example, 85</w:t>
      </w:r>
    </w:p>
    <w:p w:rsidR="00B72047" w:rsidRDefault="00B72047">
      <w:pPr>
        <w:pStyle w:val="Index1"/>
        <w:rPr>
          <w:noProof/>
        </w:rPr>
      </w:pPr>
      <w:r>
        <w:rPr>
          <w:noProof/>
        </w:rPr>
        <w:t>gismu: algorithm for, 75; and cmavo, major, 53; as a subtype of brivla, 53; as partitioning semantic space, 53; basic rafsi for, 57; coined, 77; conflicts between, 54; creation, and transcription blunders, 76; creation, considerations for selection after scoring, 75; creation, proscribed gismu pairs, 76; creation, scoring rules, 75; cultural, 78; definition, 53; definition, quick-tour version, 27; ethnic, 79; examples of, 54; exceptions to gismu creation by algorithm, 77; for countries, 79; for languages, 78; for Lojban source languages, 78; geographical, 79; length of, 54; level of uniqueness of rafsi relating to, 57; Lojban-specific, 77; place order, rationale, 295; place structures, 294; place structures, rationale, 294; quick-tour version, 20; rationale for, 273; rationale for choice of, 53; religious, 80; rules for, 54; scientific-mathematical, 77; selection of, 53; source of, 54; source-language weights for, 76; special, 54; too-similar, 76</w:t>
      </w:r>
    </w:p>
    <w:p w:rsidR="00B72047" w:rsidRDefault="00B72047">
      <w:pPr>
        <w:pStyle w:val="Index1"/>
        <w:rPr>
          <w:noProof/>
        </w:rPr>
      </w:pPr>
      <w:r>
        <w:rPr>
          <w:noProof/>
        </w:rPr>
        <w:t>give: example, 11</w:t>
      </w:r>
    </w:p>
    <w:p w:rsidR="00B72047" w:rsidRDefault="00B72047">
      <w:pPr>
        <w:pStyle w:val="Index1"/>
        <w:rPr>
          <w:noProof/>
        </w:rPr>
      </w:pPr>
      <w:r>
        <w:rPr>
          <w:noProof/>
        </w:rPr>
        <w:t>give or receive?: example, 191</w:t>
      </w:r>
    </w:p>
    <w:p w:rsidR="00B72047" w:rsidRDefault="00B72047">
      <w:pPr>
        <w:pStyle w:val="Index1"/>
        <w:rPr>
          <w:noProof/>
        </w:rPr>
      </w:pPr>
      <w:r>
        <w:rPr>
          <w:noProof/>
        </w:rPr>
        <w:t>giving the horse: example, 260</w:t>
      </w:r>
    </w:p>
    <w:p w:rsidR="00B72047" w:rsidRDefault="00B72047">
      <w:pPr>
        <w:pStyle w:val="Index1"/>
        <w:rPr>
          <w:noProof/>
        </w:rPr>
      </w:pPr>
      <w:r>
        <w:rPr>
          <w:noProof/>
        </w:rPr>
        <w:t>global attitudinals, 475</w:t>
      </w:r>
    </w:p>
    <w:p w:rsidR="00B72047" w:rsidRDefault="00B72047">
      <w:pPr>
        <w:pStyle w:val="Index1"/>
        <w:rPr>
          <w:noProof/>
        </w:rPr>
      </w:pPr>
      <w:r>
        <w:rPr>
          <w:noProof/>
        </w:rPr>
        <w:t>glottal stop: as pause in Lojban, 31</w:t>
      </w:r>
    </w:p>
    <w:p w:rsidR="00B72047" w:rsidRDefault="00B72047">
      <w:pPr>
        <w:pStyle w:val="Index1"/>
        <w:rPr>
          <w:noProof/>
        </w:rPr>
      </w:pPr>
      <w:r>
        <w:rPr>
          <w:noProof/>
        </w:rPr>
        <w:t>glue in lujvo: n-hyphen as, 56; r-hyphen as, 56; y-hyphen as, 56</w:t>
      </w:r>
    </w:p>
    <w:p w:rsidR="00B72047" w:rsidRDefault="00B72047">
      <w:pPr>
        <w:pStyle w:val="Index1"/>
        <w:rPr>
          <w:noProof/>
        </w:rPr>
      </w:pPr>
      <w:r>
        <w:rPr>
          <w:noProof/>
        </w:rPr>
        <w:t>go: example, 187</w:t>
      </w:r>
    </w:p>
    <w:p w:rsidR="00B72047" w:rsidRDefault="00B72047">
      <w:pPr>
        <w:pStyle w:val="Index1"/>
        <w:rPr>
          <w:noProof/>
        </w:rPr>
      </w:pPr>
      <w:r>
        <w:rPr>
          <w:noProof/>
        </w:rPr>
        <w:t>go to Boston from Atlanta: example, 187</w:t>
      </w:r>
    </w:p>
    <w:p w:rsidR="00B72047" w:rsidRDefault="00B72047">
      <w:pPr>
        <w:pStyle w:val="Index1"/>
        <w:rPr>
          <w:noProof/>
        </w:rPr>
      </w:pPr>
      <w:r>
        <w:rPr>
          <w:noProof/>
        </w:rPr>
        <w:t>go to market: example, 215</w:t>
      </w:r>
    </w:p>
    <w:p w:rsidR="00B72047" w:rsidRDefault="00B72047">
      <w:pPr>
        <w:pStyle w:val="Index1"/>
        <w:rPr>
          <w:noProof/>
        </w:rPr>
      </w:pPr>
      <w:r>
        <w:rPr>
          <w:noProof/>
        </w:rPr>
        <w:t>go to Paris or Rome: example, 408</w:t>
      </w:r>
    </w:p>
    <w:p w:rsidR="00B72047" w:rsidRDefault="00B72047">
      <w:pPr>
        <w:pStyle w:val="Index1"/>
        <w:rPr>
          <w:noProof/>
        </w:rPr>
      </w:pPr>
      <w:r>
        <w:rPr>
          <w:noProof/>
        </w:rPr>
        <w:t>go to the store: example, 4</w:t>
      </w:r>
    </w:p>
    <w:p w:rsidR="00B72047" w:rsidRDefault="00B72047">
      <w:pPr>
        <w:pStyle w:val="Index1"/>
        <w:rPr>
          <w:noProof/>
        </w:rPr>
      </w:pPr>
      <w:r>
        <w:rPr>
          <w:noProof/>
        </w:rPr>
        <w:t>go’i-series pro-bridi: assigning for permanent reference, 154; in narrative about quotation, 156; in quotation series, 156; in quotations, 156</w:t>
      </w:r>
    </w:p>
    <w:p w:rsidR="00B72047" w:rsidRDefault="00B72047">
      <w:pPr>
        <w:pStyle w:val="Index1"/>
        <w:rPr>
          <w:noProof/>
        </w:rPr>
      </w:pPr>
      <w:r>
        <w:rPr>
          <w:noProof/>
        </w:rPr>
        <w:t>go'a, 154</w:t>
      </w:r>
    </w:p>
    <w:p w:rsidR="00B72047" w:rsidRDefault="00B72047">
      <w:pPr>
        <w:pStyle w:val="Index1"/>
        <w:rPr>
          <w:noProof/>
        </w:rPr>
      </w:pPr>
      <w:r>
        <w:rPr>
          <w:noProof/>
        </w:rPr>
        <w:t>goal of this book, 3</w:t>
      </w:r>
    </w:p>
    <w:p w:rsidR="00B72047" w:rsidRDefault="00B72047">
      <w:pPr>
        <w:pStyle w:val="Index1"/>
        <w:rPr>
          <w:noProof/>
        </w:rPr>
      </w:pPr>
      <w:r>
        <w:rPr>
          <w:noProof/>
        </w:rPr>
        <w:t>go'e, 154</w:t>
      </w:r>
    </w:p>
    <w:p w:rsidR="00B72047" w:rsidRDefault="00B72047">
      <w:pPr>
        <w:pStyle w:val="Index1"/>
        <w:rPr>
          <w:noProof/>
        </w:rPr>
      </w:pPr>
      <w:r>
        <w:rPr>
          <w:noProof/>
        </w:rPr>
        <w:t>goer table: example, 85</w:t>
      </w:r>
    </w:p>
    <w:p w:rsidR="00B72047" w:rsidRDefault="00B72047">
      <w:pPr>
        <w:pStyle w:val="Index1"/>
        <w:rPr>
          <w:noProof/>
        </w:rPr>
      </w:pPr>
      <w:r>
        <w:rPr>
          <w:noProof/>
        </w:rPr>
        <w:t>goer-house: example, 274</w:t>
      </w:r>
    </w:p>
    <w:p w:rsidR="00B72047" w:rsidRDefault="00B72047">
      <w:pPr>
        <w:pStyle w:val="Index1"/>
        <w:rPr>
          <w:noProof/>
        </w:rPr>
      </w:pPr>
      <w:r>
        <w:rPr>
          <w:noProof/>
        </w:rPr>
        <w:t>Goethe, 479</w:t>
      </w:r>
    </w:p>
    <w:p w:rsidR="00B72047" w:rsidRDefault="00B72047">
      <w:pPr>
        <w:pStyle w:val="Index1"/>
        <w:rPr>
          <w:noProof/>
        </w:rPr>
      </w:pPr>
      <w:r>
        <w:rPr>
          <w:noProof/>
        </w:rPr>
        <w:t>GOhA selma’o, 97, 145, 409, 470, 495; as component in tanru, 97; as selbri, 97</w:t>
      </w:r>
    </w:p>
    <w:p w:rsidR="00B72047" w:rsidRDefault="00B72047">
      <w:pPr>
        <w:pStyle w:val="Index1"/>
        <w:rPr>
          <w:noProof/>
        </w:rPr>
      </w:pPr>
      <w:r>
        <w:rPr>
          <w:noProof/>
        </w:rPr>
        <w:t>go'i, 97, 154, 318; as affirmative answer to yes/no question, 154; compared with mo in overriding of arguments, 160; contrasted with go'i ra'o, 156; contrasted with mi'u, 318</w:t>
      </w:r>
    </w:p>
    <w:p w:rsidR="00B72047" w:rsidRDefault="00B72047">
      <w:pPr>
        <w:pStyle w:val="Index1"/>
        <w:rPr>
          <w:noProof/>
        </w:rPr>
      </w:pPr>
      <w:r>
        <w:rPr>
          <w:noProof/>
        </w:rPr>
        <w:t>goi assignment of ko'a-series pro-sumti: use in speech contrasted with writing, 151</w:t>
      </w:r>
    </w:p>
    <w:p w:rsidR="00B72047" w:rsidRDefault="00B72047">
      <w:pPr>
        <w:pStyle w:val="Index1"/>
        <w:rPr>
          <w:noProof/>
        </w:rPr>
      </w:pPr>
      <w:r>
        <w:rPr>
          <w:noProof/>
        </w:rPr>
        <w:t>goi for ko'a-series assignment: compared with cei for broda-series assignment, 151</w:t>
      </w:r>
    </w:p>
    <w:p w:rsidR="00B72047" w:rsidRDefault="00B72047">
      <w:pPr>
        <w:pStyle w:val="Index1"/>
        <w:rPr>
          <w:noProof/>
        </w:rPr>
      </w:pPr>
      <w:r>
        <w:rPr>
          <w:noProof/>
        </w:rPr>
        <w:t>go'i ra'o: contrasted with go'i, 156</w:t>
      </w:r>
    </w:p>
    <w:p w:rsidR="00B72047" w:rsidRDefault="00B72047">
      <w:pPr>
        <w:pStyle w:val="Index1"/>
        <w:rPr>
          <w:noProof/>
        </w:rPr>
      </w:pPr>
      <w:r>
        <w:rPr>
          <w:noProof/>
        </w:rPr>
        <w:t>GOI selma’o, 172, 495; terminator for, 495</w:t>
      </w:r>
    </w:p>
    <w:p w:rsidR="00B72047" w:rsidRDefault="00B72047">
      <w:pPr>
        <w:pStyle w:val="Index1"/>
        <w:rPr>
          <w:noProof/>
        </w:rPr>
      </w:pPr>
      <w:r>
        <w:rPr>
          <w:noProof/>
        </w:rPr>
        <w:t>go'i with xu: quick-tour version, 23</w:t>
      </w:r>
    </w:p>
    <w:p w:rsidR="00B72047" w:rsidRDefault="00B72047">
      <w:pPr>
        <w:pStyle w:val="Index1"/>
        <w:rPr>
          <w:noProof/>
        </w:rPr>
      </w:pPr>
      <w:r>
        <w:rPr>
          <w:noProof/>
        </w:rPr>
        <w:t>go'i-series pro-bridi, 152; as basis for description, 155; as main-bridi anaphora only, 154; as main-bridi anaphora only, exception, 155; as repeating referent concept, 155; compared with ri-series in word formation, 152; compared with ri-series pro-sumti in rules of reference, 154; effect of sub-clauses on, 154; effect of sumti of referent bridi on, 154; no'a as exception to only main-bridi anaphora, 155; referent of, 154; reinterpreting sumti references with ra'o, 156</w:t>
      </w:r>
    </w:p>
    <w:p w:rsidR="00B72047" w:rsidRDefault="00B72047">
      <w:pPr>
        <w:pStyle w:val="Index1"/>
        <w:rPr>
          <w:noProof/>
        </w:rPr>
      </w:pPr>
      <w:r>
        <w:rPr>
          <w:noProof/>
        </w:rPr>
        <w:t>go'ixire, 154</w:t>
      </w:r>
    </w:p>
    <w:p w:rsidR="00B72047" w:rsidRDefault="00B72047">
      <w:pPr>
        <w:pStyle w:val="Index1"/>
        <w:rPr>
          <w:noProof/>
        </w:rPr>
      </w:pPr>
      <w:r>
        <w:rPr>
          <w:noProof/>
        </w:rPr>
        <w:t>go'o, 155</w:t>
      </w:r>
    </w:p>
    <w:p w:rsidR="00B72047" w:rsidRDefault="00B72047">
      <w:pPr>
        <w:pStyle w:val="Index1"/>
        <w:rPr>
          <w:noProof/>
        </w:rPr>
      </w:pPr>
      <w:r>
        <w:rPr>
          <w:noProof/>
        </w:rPr>
        <w:t>go'u, 154</w:t>
      </w:r>
    </w:p>
    <w:p w:rsidR="00B72047" w:rsidRDefault="00B72047">
      <w:pPr>
        <w:pStyle w:val="Index1"/>
        <w:rPr>
          <w:noProof/>
        </w:rPr>
      </w:pPr>
      <w:r>
        <w:rPr>
          <w:noProof/>
        </w:rPr>
        <w:t>goi, 150, 154, 162, 421; rationale for non-inclusion in relative clause chapter, 175; use in assigning lerfu as pro-sumti, 152; use in assigning name, 152</w:t>
      </w:r>
    </w:p>
    <w:p w:rsidR="00B72047" w:rsidRDefault="00B72047">
      <w:pPr>
        <w:pStyle w:val="Index1"/>
        <w:rPr>
          <w:noProof/>
        </w:rPr>
      </w:pPr>
      <w:r>
        <w:rPr>
          <w:noProof/>
        </w:rPr>
        <w:t>good house: example, 92</w:t>
      </w:r>
    </w:p>
    <w:p w:rsidR="00B72047" w:rsidRDefault="00B72047">
      <w:pPr>
        <w:pStyle w:val="Index1"/>
        <w:rPr>
          <w:noProof/>
        </w:rPr>
      </w:pPr>
      <w:r>
        <w:rPr>
          <w:noProof/>
        </w:rPr>
        <w:t>grammatical categories: use of upper case for, 5</w:t>
      </w:r>
    </w:p>
    <w:p w:rsidR="00B72047" w:rsidRDefault="00B72047">
      <w:pPr>
        <w:pStyle w:val="Index1"/>
        <w:rPr>
          <w:noProof/>
        </w:rPr>
      </w:pPr>
      <w:r>
        <w:rPr>
          <w:noProof/>
        </w:rPr>
        <w:t>grammatical terms: quick-tour version, 26</w:t>
      </w:r>
    </w:p>
    <w:p w:rsidR="00B72047" w:rsidRDefault="00B72047">
      <w:pPr>
        <w:pStyle w:val="Index1"/>
        <w:rPr>
          <w:noProof/>
        </w:rPr>
      </w:pPr>
      <w:r>
        <w:rPr>
          <w:noProof/>
        </w:rPr>
        <w:t>grasp water: example, 199</w:t>
      </w:r>
    </w:p>
    <w:p w:rsidR="00B72047" w:rsidRDefault="00B72047">
      <w:pPr>
        <w:pStyle w:val="Index1"/>
        <w:rPr>
          <w:noProof/>
        </w:rPr>
      </w:pPr>
      <w:r>
        <w:rPr>
          <w:noProof/>
        </w:rPr>
        <w:t>great soldier: example, 278, 282</w:t>
      </w:r>
    </w:p>
    <w:p w:rsidR="00B72047" w:rsidRDefault="00B72047">
      <w:pPr>
        <w:pStyle w:val="Index1"/>
        <w:rPr>
          <w:noProof/>
        </w:rPr>
      </w:pPr>
      <w:r>
        <w:rPr>
          <w:noProof/>
        </w:rPr>
        <w:t>Greek alphabet: language shift word for, 417; proposed lerfu words for, 426</w:t>
      </w:r>
    </w:p>
    <w:p w:rsidR="00B72047" w:rsidRDefault="00B72047">
      <w:pPr>
        <w:pStyle w:val="Index1"/>
        <w:rPr>
          <w:noProof/>
        </w:rPr>
      </w:pPr>
      <w:r>
        <w:rPr>
          <w:noProof/>
        </w:rPr>
        <w:t>Greek-Americans own restaurants, 126</w:t>
      </w:r>
    </w:p>
    <w:p w:rsidR="00B72047" w:rsidRDefault="00B72047">
      <w:pPr>
        <w:pStyle w:val="Index1"/>
        <w:rPr>
          <w:noProof/>
        </w:rPr>
      </w:pPr>
      <w:r>
        <w:rPr>
          <w:noProof/>
        </w:rPr>
        <w:t>grouping: indicator for, 496; of connection in abstractions, 365; of connection in tenses, 363</w:t>
      </w:r>
    </w:p>
    <w:p w:rsidR="00B72047" w:rsidRDefault="00B72047">
      <w:pPr>
        <w:pStyle w:val="Index1"/>
        <w:rPr>
          <w:noProof/>
        </w:rPr>
      </w:pPr>
      <w:r>
        <w:rPr>
          <w:noProof/>
        </w:rPr>
        <w:t>grouping parentheses, 88</w:t>
      </w:r>
    </w:p>
    <w:p w:rsidR="00B72047" w:rsidRDefault="00B72047">
      <w:pPr>
        <w:pStyle w:val="Index1"/>
        <w:rPr>
          <w:noProof/>
        </w:rPr>
      </w:pPr>
      <w:r>
        <w:rPr>
          <w:noProof/>
        </w:rPr>
        <w:t>gu, 339</w:t>
      </w:r>
    </w:p>
    <w:p w:rsidR="00B72047" w:rsidRDefault="00B72047">
      <w:pPr>
        <w:pStyle w:val="Index1"/>
        <w:rPr>
          <w:noProof/>
        </w:rPr>
      </w:pPr>
      <w:r>
        <w:rPr>
          <w:noProof/>
        </w:rPr>
        <w:t>GU selma’o, 339</w:t>
      </w:r>
    </w:p>
    <w:p w:rsidR="00B72047" w:rsidRDefault="00B72047">
      <w:pPr>
        <w:pStyle w:val="Index1"/>
        <w:rPr>
          <w:noProof/>
        </w:rPr>
      </w:pPr>
      <w:r>
        <w:rPr>
          <w:noProof/>
        </w:rPr>
        <w:t>gu'e, 92</w:t>
      </w:r>
    </w:p>
    <w:p w:rsidR="00B72047" w:rsidRDefault="00B72047">
      <w:pPr>
        <w:pStyle w:val="Index1"/>
        <w:rPr>
          <w:noProof/>
        </w:rPr>
      </w:pPr>
      <w:r>
        <w:rPr>
          <w:noProof/>
        </w:rPr>
        <w:t>GUhA selma’o, 350, 352, 361, 495</w:t>
      </w:r>
    </w:p>
    <w:p w:rsidR="00B72047" w:rsidRDefault="00B72047">
      <w:pPr>
        <w:pStyle w:val="Index1"/>
        <w:rPr>
          <w:noProof/>
        </w:rPr>
      </w:pPr>
      <w:r>
        <w:rPr>
          <w:noProof/>
        </w:rPr>
        <w:t>guhek: definition, 350</w:t>
      </w:r>
    </w:p>
    <w:p w:rsidR="00B72047" w:rsidRDefault="00B72047">
      <w:pPr>
        <w:pStyle w:val="Index1"/>
        <w:rPr>
          <w:noProof/>
        </w:rPr>
      </w:pPr>
      <w:r>
        <w:rPr>
          <w:noProof/>
        </w:rPr>
        <w:t>guheks: connecting operators, 361; syntax of, 350</w:t>
      </w:r>
    </w:p>
    <w:p w:rsidR="00B72047" w:rsidRDefault="00B72047">
      <w:pPr>
        <w:pStyle w:val="Index1"/>
        <w:rPr>
          <w:noProof/>
        </w:rPr>
      </w:pPr>
      <w:r>
        <w:rPr>
          <w:noProof/>
        </w:rPr>
        <w:t>guheks for tanru connection: rationale, 350</w:t>
      </w:r>
    </w:p>
    <w:p w:rsidR="00B72047" w:rsidRDefault="00B72047">
      <w:pPr>
        <w:pStyle w:val="Index1"/>
        <w:rPr>
          <w:noProof/>
        </w:rPr>
      </w:pPr>
      <w:r>
        <w:rPr>
          <w:noProof/>
        </w:rPr>
        <w:t>gu'i, 352</w:t>
      </w:r>
    </w:p>
    <w:p w:rsidR="00B72047" w:rsidRDefault="00B72047">
      <w:pPr>
        <w:pStyle w:val="Index1"/>
        <w:rPr>
          <w:noProof/>
        </w:rPr>
      </w:pPr>
      <w:r>
        <w:rPr>
          <w:noProof/>
        </w:rPr>
        <w:t>had earlier: example, 234</w:t>
      </w:r>
    </w:p>
    <w:p w:rsidR="00B72047" w:rsidRDefault="00B72047">
      <w:pPr>
        <w:pStyle w:val="Index1"/>
        <w:rPr>
          <w:noProof/>
        </w:rPr>
      </w:pPr>
      <w:r>
        <w:rPr>
          <w:noProof/>
        </w:rPr>
        <w:t>han</w:t>
      </w:r>
      <w:r>
        <w:rPr>
          <w:noProof/>
          <w:vertAlign w:val="superscript"/>
        </w:rPr>
        <w:t>4</w:t>
      </w:r>
      <w:r>
        <w:rPr>
          <w:noProof/>
        </w:rPr>
        <w:t>zi</w:t>
      </w:r>
      <w:r>
        <w:rPr>
          <w:noProof/>
          <w:vertAlign w:val="superscript"/>
        </w:rPr>
        <w:t>4</w:t>
      </w:r>
      <w:r>
        <w:rPr>
          <w:noProof/>
        </w:rPr>
        <w:t>: example, 420</w:t>
      </w:r>
    </w:p>
    <w:p w:rsidR="00B72047" w:rsidRDefault="00B72047">
      <w:pPr>
        <w:pStyle w:val="Index1"/>
        <w:rPr>
          <w:noProof/>
        </w:rPr>
      </w:pPr>
      <w:r>
        <w:rPr>
          <w:noProof/>
        </w:rPr>
        <w:t>hands in pockets: example, 175</w:t>
      </w:r>
    </w:p>
    <w:p w:rsidR="00B72047" w:rsidRDefault="00B72047">
      <w:pPr>
        <w:pStyle w:val="Index1"/>
        <w:rPr>
          <w:noProof/>
        </w:rPr>
      </w:pPr>
      <w:r>
        <w:rPr>
          <w:noProof/>
        </w:rPr>
        <w:t>handwriting: example, 418</w:t>
      </w:r>
    </w:p>
    <w:p w:rsidR="00B72047" w:rsidRDefault="00B72047">
      <w:pPr>
        <w:pStyle w:val="Index1"/>
        <w:rPr>
          <w:noProof/>
        </w:rPr>
      </w:pPr>
      <w:r>
        <w:rPr>
          <w:noProof/>
        </w:rPr>
        <w:t>happiness: example, 161</w:t>
      </w:r>
    </w:p>
    <w:p w:rsidR="00B72047" w:rsidRDefault="00B72047">
      <w:pPr>
        <w:pStyle w:val="Index1"/>
        <w:rPr>
          <w:noProof/>
        </w:rPr>
      </w:pPr>
      <w:r>
        <w:rPr>
          <w:noProof/>
        </w:rPr>
        <w:t>happy face: example, 416</w:t>
      </w:r>
    </w:p>
    <w:p w:rsidR="00B72047" w:rsidRDefault="00B72047">
      <w:pPr>
        <w:pStyle w:val="Index1"/>
        <w:rPr>
          <w:noProof/>
        </w:rPr>
      </w:pPr>
      <w:r>
        <w:rPr>
          <w:noProof/>
        </w:rPr>
        <w:t>has a heart: example, 259</w:t>
      </w:r>
    </w:p>
    <w:p w:rsidR="00B72047" w:rsidRDefault="00B72047">
      <w:pPr>
        <w:pStyle w:val="Index1"/>
        <w:rPr>
          <w:noProof/>
        </w:rPr>
      </w:pPr>
      <w:r>
        <w:rPr>
          <w:noProof/>
        </w:rPr>
        <w:t>have never: example, 227</w:t>
      </w:r>
    </w:p>
    <w:p w:rsidR="00B72047" w:rsidRDefault="00B72047">
      <w:pPr>
        <w:pStyle w:val="Index1"/>
        <w:rPr>
          <w:noProof/>
        </w:rPr>
      </w:pPr>
      <w:r>
        <w:rPr>
          <w:noProof/>
        </w:rPr>
        <w:t>having: of properties, 259</w:t>
      </w:r>
    </w:p>
    <w:p w:rsidR="00B72047" w:rsidRDefault="00B72047">
      <w:pPr>
        <w:pStyle w:val="Index1"/>
        <w:rPr>
          <w:noProof/>
        </w:rPr>
      </w:pPr>
      <w:r>
        <w:rPr>
          <w:noProof/>
        </w:rPr>
        <w:t>healthy: example, 24</w:t>
      </w:r>
    </w:p>
    <w:p w:rsidR="00B72047" w:rsidRDefault="00B72047">
      <w:pPr>
        <w:pStyle w:val="Index1"/>
        <w:rPr>
          <w:noProof/>
        </w:rPr>
      </w:pPr>
      <w:r>
        <w:rPr>
          <w:noProof/>
        </w:rPr>
        <w:t>hearsay: example, 316</w:t>
      </w:r>
    </w:p>
    <w:p w:rsidR="00B72047" w:rsidRDefault="00B72047">
      <w:pPr>
        <w:pStyle w:val="Index1"/>
        <w:rPr>
          <w:noProof/>
        </w:rPr>
      </w:pPr>
      <w:r>
        <w:rPr>
          <w:noProof/>
        </w:rPr>
        <w:t>heartburn: example, 322</w:t>
      </w:r>
    </w:p>
    <w:p w:rsidR="00B72047" w:rsidRDefault="00B72047">
      <w:pPr>
        <w:pStyle w:val="Index1"/>
        <w:rPr>
          <w:noProof/>
        </w:rPr>
      </w:pPr>
      <w:r>
        <w:rPr>
          <w:noProof/>
        </w:rPr>
        <w:t>Hebrew alphabet: language shift word for, 417; proposed lerfu words for, 428</w:t>
      </w:r>
    </w:p>
    <w:p w:rsidR="00B72047" w:rsidRDefault="00B72047">
      <w:pPr>
        <w:pStyle w:val="Index1"/>
        <w:rPr>
          <w:noProof/>
        </w:rPr>
      </w:pPr>
      <w:r>
        <w:rPr>
          <w:noProof/>
        </w:rPr>
        <w:t>Helvetica font: example, 418</w:t>
      </w:r>
    </w:p>
    <w:p w:rsidR="00B72047" w:rsidRDefault="00B72047">
      <w:pPr>
        <w:pStyle w:val="Index1"/>
        <w:rPr>
          <w:noProof/>
        </w:rPr>
      </w:pPr>
      <w:r>
        <w:rPr>
          <w:noProof/>
        </w:rPr>
        <w:t>hepatitis: example, 60</w:t>
      </w:r>
    </w:p>
    <w:p w:rsidR="00B72047" w:rsidRDefault="00B72047">
      <w:pPr>
        <w:pStyle w:val="Index1"/>
        <w:rPr>
          <w:noProof/>
        </w:rPr>
      </w:pPr>
      <w:r>
        <w:rPr>
          <w:noProof/>
        </w:rPr>
        <w:t>hereafter known as: example, 151</w:t>
      </w:r>
    </w:p>
    <w:p w:rsidR="00B72047" w:rsidRDefault="00B72047">
      <w:pPr>
        <w:pStyle w:val="Index1"/>
        <w:rPr>
          <w:noProof/>
        </w:rPr>
      </w:pPr>
      <w:r>
        <w:rPr>
          <w:noProof/>
        </w:rPr>
        <w:t>hesitation, 484, 507</w:t>
      </w:r>
    </w:p>
    <w:p w:rsidR="00B72047" w:rsidRDefault="00B72047">
      <w:pPr>
        <w:pStyle w:val="Index1"/>
        <w:rPr>
          <w:noProof/>
        </w:rPr>
      </w:pPr>
      <w:r>
        <w:rPr>
          <w:noProof/>
        </w:rPr>
        <w:t>hesitation sound, 484</w:t>
      </w:r>
    </w:p>
    <w:p w:rsidR="00B72047" w:rsidRDefault="00B72047">
      <w:pPr>
        <w:pStyle w:val="Index1"/>
        <w:rPr>
          <w:noProof/>
        </w:rPr>
      </w:pPr>
      <w:r>
        <w:rPr>
          <w:noProof/>
        </w:rPr>
        <w:t>hexadecimal system: specifying numbers in (see also base), 444</w:t>
      </w:r>
    </w:p>
    <w:p w:rsidR="00B72047" w:rsidRDefault="00B72047">
      <w:pPr>
        <w:pStyle w:val="Index1"/>
        <w:rPr>
          <w:noProof/>
        </w:rPr>
      </w:pPr>
      <w:r>
        <w:rPr>
          <w:noProof/>
        </w:rPr>
        <w:t>hierarchy of priorities for selecting lujvo form, 72</w:t>
      </w:r>
    </w:p>
    <w:p w:rsidR="00B72047" w:rsidRDefault="00B72047">
      <w:pPr>
        <w:pStyle w:val="Index1"/>
        <w:rPr>
          <w:noProof/>
        </w:rPr>
      </w:pPr>
      <w:r>
        <w:rPr>
          <w:noProof/>
        </w:rPr>
        <w:t>hiragana: contrasted with kanji, 420; example, 418</w:t>
      </w:r>
    </w:p>
    <w:p w:rsidR="00B72047" w:rsidRDefault="00B72047">
      <w:pPr>
        <w:pStyle w:val="Index1"/>
        <w:rPr>
          <w:noProof/>
        </w:rPr>
      </w:pPr>
      <w:r>
        <w:rPr>
          <w:noProof/>
        </w:rPr>
        <w:t>hit cousin: example, 318</w:t>
      </w:r>
    </w:p>
    <w:p w:rsidR="00B72047" w:rsidRDefault="00B72047">
      <w:pPr>
        <w:pStyle w:val="Index1"/>
        <w:rPr>
          <w:noProof/>
        </w:rPr>
      </w:pPr>
      <w:r>
        <w:rPr>
          <w:noProof/>
        </w:rPr>
        <w:t>hit nose: example, 318</w:t>
      </w:r>
    </w:p>
    <w:p w:rsidR="00B72047" w:rsidRDefault="00B72047">
      <w:pPr>
        <w:pStyle w:val="Index1"/>
        <w:rPr>
          <w:noProof/>
        </w:rPr>
      </w:pPr>
      <w:r>
        <w:rPr>
          <w:noProof/>
        </w:rPr>
        <w:t>hits: example, 11</w:t>
      </w:r>
    </w:p>
    <w:p w:rsidR="00B72047" w:rsidRDefault="00B72047">
      <w:pPr>
        <w:pStyle w:val="Index1"/>
        <w:rPr>
          <w:noProof/>
        </w:rPr>
      </w:pPr>
      <w:r>
        <w:rPr>
          <w:noProof/>
        </w:rPr>
        <w:t>Hollywood: example, 127</w:t>
      </w:r>
    </w:p>
    <w:p w:rsidR="00B72047" w:rsidRDefault="00B72047">
      <w:pPr>
        <w:pStyle w:val="Index1"/>
        <w:rPr>
          <w:noProof/>
        </w:rPr>
      </w:pPr>
      <w:r>
        <w:rPr>
          <w:noProof/>
        </w:rPr>
        <w:t>Hooray!: example, 299</w:t>
      </w:r>
    </w:p>
    <w:p w:rsidR="00B72047" w:rsidRDefault="00B72047">
      <w:pPr>
        <w:pStyle w:val="Index1"/>
        <w:rPr>
          <w:noProof/>
        </w:rPr>
      </w:pPr>
      <w:r>
        <w:rPr>
          <w:noProof/>
        </w:rPr>
        <w:t>hospitality: example, 324</w:t>
      </w:r>
    </w:p>
    <w:p w:rsidR="00B72047" w:rsidRDefault="00B72047">
      <w:pPr>
        <w:pStyle w:val="Index1"/>
        <w:rPr>
          <w:noProof/>
        </w:rPr>
      </w:pPr>
      <w:r>
        <w:rPr>
          <w:noProof/>
        </w:rPr>
        <w:t>hours:minutes:seconds: example, 445</w:t>
      </w:r>
    </w:p>
    <w:p w:rsidR="00B72047" w:rsidRDefault="00B72047">
      <w:pPr>
        <w:pStyle w:val="Index1"/>
        <w:rPr>
          <w:noProof/>
        </w:rPr>
      </w:pPr>
      <w:r>
        <w:rPr>
          <w:noProof/>
        </w:rPr>
        <w:t>huh?: example, 321</w:t>
      </w:r>
    </w:p>
    <w:p w:rsidR="00B72047" w:rsidRDefault="00B72047">
      <w:pPr>
        <w:pStyle w:val="Index1"/>
        <w:rPr>
          <w:noProof/>
        </w:rPr>
      </w:pPr>
      <w:r>
        <w:rPr>
          <w:noProof/>
        </w:rPr>
        <w:t>hundred: expressing as number, 432</w:t>
      </w:r>
    </w:p>
    <w:p w:rsidR="00B72047" w:rsidRDefault="00B72047">
      <w:pPr>
        <w:pStyle w:val="Index1"/>
        <w:rPr>
          <w:noProof/>
        </w:rPr>
      </w:pPr>
      <w:r>
        <w:rPr>
          <w:noProof/>
        </w:rPr>
        <w:t>husband and wife: example, 316</w:t>
      </w:r>
    </w:p>
    <w:p w:rsidR="00B72047" w:rsidRDefault="00B72047">
      <w:pPr>
        <w:pStyle w:val="Index1"/>
        <w:rPr>
          <w:noProof/>
        </w:rPr>
      </w:pPr>
      <w:r>
        <w:rPr>
          <w:noProof/>
        </w:rPr>
        <w:t>hyphen letter: definition, 59</w:t>
      </w:r>
    </w:p>
    <w:p w:rsidR="00B72047" w:rsidRDefault="00B72047">
      <w:pPr>
        <w:pStyle w:val="Index1"/>
        <w:rPr>
          <w:noProof/>
        </w:rPr>
      </w:pPr>
      <w:r>
        <w:rPr>
          <w:noProof/>
        </w:rPr>
        <w:t>hyphens: use of, 59</w:t>
      </w:r>
    </w:p>
    <w:p w:rsidR="00B72047" w:rsidRDefault="00B72047">
      <w:pPr>
        <w:pStyle w:val="Index1"/>
        <w:rPr>
          <w:noProof/>
        </w:rPr>
      </w:pPr>
      <w:r>
        <w:rPr>
          <w:noProof/>
        </w:rPr>
        <w:t>hyphens in lujvo: proscribed where not required, 70</w:t>
      </w:r>
    </w:p>
    <w:p w:rsidR="00B72047" w:rsidRDefault="00B72047">
      <w:pPr>
        <w:pStyle w:val="Index1"/>
        <w:rPr>
          <w:noProof/>
        </w:rPr>
      </w:pPr>
      <w:r>
        <w:rPr>
          <w:noProof/>
        </w:rPr>
        <w:t>hypothetical world, 301; contrasted with real world, example, 320</w:t>
      </w:r>
    </w:p>
    <w:p w:rsidR="00B72047" w:rsidRDefault="00B72047">
      <w:pPr>
        <w:pStyle w:val="Index1"/>
        <w:rPr>
          <w:noProof/>
        </w:rPr>
      </w:pPr>
      <w:r>
        <w:rPr>
          <w:noProof/>
        </w:rPr>
        <w:t>hypothetical world point of view, 320</w:t>
      </w:r>
    </w:p>
    <w:p w:rsidR="00B72047" w:rsidRDefault="00B72047">
      <w:pPr>
        <w:pStyle w:val="Index1"/>
        <w:rPr>
          <w:noProof/>
        </w:rPr>
      </w:pPr>
      <w:r>
        <w:rPr>
          <w:noProof/>
        </w:rPr>
        <w:t>i, 198, 238, 465; quick-tour version, 16; regarding forethought bridi connection, 339</w:t>
      </w:r>
    </w:p>
    <w:p w:rsidR="00B72047" w:rsidRDefault="00B72047">
      <w:pPr>
        <w:pStyle w:val="Index1"/>
        <w:rPr>
          <w:noProof/>
        </w:rPr>
      </w:pPr>
      <w:r>
        <w:rPr>
          <w:noProof/>
        </w:rPr>
        <w:t>I selma’o, 336, 337, 338, 339, 358, 364, 465, 495</w:t>
      </w:r>
    </w:p>
    <w:p w:rsidR="00B72047" w:rsidRDefault="00B72047">
      <w:pPr>
        <w:pStyle w:val="Index1"/>
        <w:rPr>
          <w:noProof/>
        </w:rPr>
      </w:pPr>
      <w:r>
        <w:rPr>
          <w:noProof/>
        </w:rPr>
        <w:t>i'anai, 304</w:t>
      </w:r>
    </w:p>
    <w:p w:rsidR="00B72047" w:rsidRDefault="00B72047">
      <w:pPr>
        <w:pStyle w:val="Index1"/>
        <w:rPr>
          <w:noProof/>
        </w:rPr>
      </w:pPr>
      <w:r>
        <w:rPr>
          <w:noProof/>
        </w:rPr>
        <w:t>ianai, 297, 303, 319</w:t>
      </w:r>
    </w:p>
    <w:p w:rsidR="00B72047" w:rsidRDefault="00B72047">
      <w:pPr>
        <w:pStyle w:val="Index1"/>
        <w:rPr>
          <w:noProof/>
        </w:rPr>
      </w:pPr>
      <w:r>
        <w:rPr>
          <w:noProof/>
        </w:rPr>
        <w:t>IBM: example, 424</w:t>
      </w:r>
    </w:p>
    <w:p w:rsidR="00B72047" w:rsidRDefault="00B72047">
      <w:pPr>
        <w:pStyle w:val="Index1"/>
        <w:rPr>
          <w:noProof/>
        </w:rPr>
      </w:pPr>
      <w:r>
        <w:rPr>
          <w:noProof/>
        </w:rPr>
        <w:t>ICAO Phonetic Alphabet: proposed lerfu words for, 429</w:t>
      </w:r>
    </w:p>
    <w:p w:rsidR="00B72047" w:rsidRDefault="00B72047">
      <w:pPr>
        <w:pStyle w:val="Index1"/>
        <w:rPr>
          <w:noProof/>
        </w:rPr>
      </w:pPr>
      <w:r>
        <w:rPr>
          <w:noProof/>
        </w:rPr>
        <w:t>ice'o: contrasted with .ibabo, 358</w:t>
      </w:r>
    </w:p>
    <w:p w:rsidR="00B72047" w:rsidRDefault="00B72047">
      <w:pPr>
        <w:pStyle w:val="Index1"/>
        <w:rPr>
          <w:noProof/>
        </w:rPr>
      </w:pPr>
      <w:r>
        <w:rPr>
          <w:noProof/>
        </w:rPr>
        <w:t>idea abstraction, 265</w:t>
      </w:r>
    </w:p>
    <w:p w:rsidR="00B72047" w:rsidRDefault="00B72047">
      <w:pPr>
        <w:pStyle w:val="Index1"/>
        <w:rPr>
          <w:noProof/>
        </w:rPr>
      </w:pPr>
      <w:r>
        <w:rPr>
          <w:noProof/>
        </w:rPr>
        <w:t>idea abstraction(s): place structure, 265</w:t>
      </w:r>
    </w:p>
    <w:p w:rsidR="00B72047" w:rsidRDefault="00B72047">
      <w:pPr>
        <w:pStyle w:val="Index1"/>
        <w:rPr>
          <w:noProof/>
        </w:rPr>
      </w:pPr>
      <w:r>
        <w:rPr>
          <w:noProof/>
        </w:rPr>
        <w:t>identity: expressing with po'u, 174</w:t>
      </w:r>
    </w:p>
    <w:p w:rsidR="00B72047" w:rsidRDefault="00B72047">
      <w:pPr>
        <w:pStyle w:val="Index1"/>
        <w:rPr>
          <w:noProof/>
        </w:rPr>
      </w:pPr>
      <w:r>
        <w:rPr>
          <w:noProof/>
        </w:rPr>
        <w:t>identity predicate, 162</w:t>
      </w:r>
    </w:p>
    <w:p w:rsidR="00B72047" w:rsidRDefault="00B72047">
      <w:pPr>
        <w:pStyle w:val="Index1"/>
        <w:rPr>
          <w:noProof/>
        </w:rPr>
      </w:pPr>
      <w:r>
        <w:rPr>
          <w:noProof/>
        </w:rPr>
        <w:t>i'e, 304</w:t>
      </w:r>
    </w:p>
    <w:p w:rsidR="00B72047" w:rsidRDefault="00B72047">
      <w:pPr>
        <w:pStyle w:val="Index1"/>
        <w:rPr>
          <w:noProof/>
        </w:rPr>
      </w:pPr>
      <w:r>
        <w:rPr>
          <w:noProof/>
        </w:rPr>
        <w:t>i'enai, 304</w:t>
      </w:r>
    </w:p>
    <w:p w:rsidR="00B72047" w:rsidRDefault="00B72047">
      <w:pPr>
        <w:pStyle w:val="Index1"/>
        <w:rPr>
          <w:noProof/>
        </w:rPr>
      </w:pPr>
      <w:r>
        <w:rPr>
          <w:noProof/>
        </w:rPr>
        <w:t>ie, 304</w:t>
      </w:r>
    </w:p>
    <w:p w:rsidR="00B72047" w:rsidRDefault="00B72047">
      <w:pPr>
        <w:pStyle w:val="Index1"/>
        <w:rPr>
          <w:noProof/>
        </w:rPr>
      </w:pPr>
      <w:r>
        <w:rPr>
          <w:noProof/>
        </w:rPr>
        <w:t>if: English usage contrasted with Lojban logical connective, 337; expressing real world, 320; meaning in logical connections, 337</w:t>
      </w:r>
    </w:p>
    <w:p w:rsidR="00B72047" w:rsidRDefault="00B72047">
      <w:pPr>
        <w:pStyle w:val="Index1"/>
        <w:rPr>
          <w:noProof/>
        </w:rPr>
      </w:pPr>
      <w:r>
        <w:rPr>
          <w:noProof/>
        </w:rPr>
        <w:t>if … then: compared with only if, 338; logical connectives contrasted with other translations, 339</w:t>
      </w:r>
    </w:p>
    <w:p w:rsidR="00B72047" w:rsidRDefault="00B72047">
      <w:pPr>
        <w:pStyle w:val="Index1"/>
        <w:rPr>
          <w:noProof/>
        </w:rPr>
      </w:pPr>
      <w:r>
        <w:rPr>
          <w:noProof/>
        </w:rPr>
        <w:t>if coffee: bring tea, example, 353</w:t>
      </w:r>
    </w:p>
    <w:p w:rsidR="00B72047" w:rsidRDefault="00B72047">
      <w:pPr>
        <w:pStyle w:val="Index1"/>
        <w:rPr>
          <w:noProof/>
        </w:rPr>
      </w:pPr>
      <w:r>
        <w:rPr>
          <w:noProof/>
        </w:rPr>
        <w:t>if, expressing hypothetical world, 320</w:t>
      </w:r>
    </w:p>
    <w:p w:rsidR="00B72047" w:rsidRDefault="00B72047">
      <w:pPr>
        <w:pStyle w:val="Index1"/>
        <w:rPr>
          <w:noProof/>
        </w:rPr>
      </w:pPr>
      <w:r>
        <w:rPr>
          <w:noProof/>
        </w:rPr>
        <w:t>ii, 301</w:t>
      </w:r>
    </w:p>
    <w:p w:rsidR="00B72047" w:rsidRDefault="00B72047">
      <w:pPr>
        <w:pStyle w:val="Index1"/>
        <w:rPr>
          <w:noProof/>
        </w:rPr>
      </w:pPr>
      <w:r>
        <w:rPr>
          <w:noProof/>
        </w:rPr>
        <w:t>ijebabo, 363</w:t>
      </w:r>
    </w:p>
    <w:p w:rsidR="00B72047" w:rsidRDefault="00B72047">
      <w:pPr>
        <w:pStyle w:val="Index1"/>
        <w:rPr>
          <w:noProof/>
        </w:rPr>
      </w:pPr>
      <w:r>
        <w:rPr>
          <w:noProof/>
        </w:rPr>
        <w:t>ijek: definition, 336</w:t>
      </w:r>
    </w:p>
    <w:p w:rsidR="00B72047" w:rsidRDefault="00B72047">
      <w:pPr>
        <w:pStyle w:val="Index1"/>
        <w:rPr>
          <w:noProof/>
        </w:rPr>
      </w:pPr>
      <w:r>
        <w:rPr>
          <w:noProof/>
        </w:rPr>
        <w:t>ijek bridi connectives: contrasted with geks, 338</w:t>
      </w:r>
    </w:p>
    <w:p w:rsidR="00B72047" w:rsidRDefault="00B72047">
      <w:pPr>
        <w:pStyle w:val="Index1"/>
        <w:rPr>
          <w:noProof/>
        </w:rPr>
      </w:pPr>
      <w:r>
        <w:rPr>
          <w:noProof/>
        </w:rPr>
        <w:t>ijek logical connective(s): connecting bridi, 336</w:t>
      </w:r>
    </w:p>
    <w:p w:rsidR="00B72047" w:rsidRDefault="00B72047">
      <w:pPr>
        <w:pStyle w:val="Index1"/>
        <w:rPr>
          <w:noProof/>
        </w:rPr>
      </w:pPr>
      <w:r>
        <w:rPr>
          <w:noProof/>
        </w:rPr>
        <w:t>ijeks: syntax of, 338</w:t>
      </w:r>
    </w:p>
    <w:p w:rsidR="00B72047" w:rsidRDefault="00B72047">
      <w:pPr>
        <w:pStyle w:val="Index1"/>
        <w:rPr>
          <w:noProof/>
        </w:rPr>
      </w:pPr>
      <w:r>
        <w:rPr>
          <w:noProof/>
        </w:rPr>
        <w:t>ijoik: as name for compound cmavo, 336; definition, 358</w:t>
      </w:r>
    </w:p>
    <w:p w:rsidR="00B72047" w:rsidRDefault="00B72047">
      <w:pPr>
        <w:pStyle w:val="Index1"/>
        <w:rPr>
          <w:noProof/>
        </w:rPr>
      </w:pPr>
      <w:r>
        <w:rPr>
          <w:noProof/>
        </w:rPr>
        <w:t>imaginary journey: and spatial tense, 217; ending point, 217; origin in tense forethought bridi-tail connection, 240; origin in tense forethought sentence connection, 239; origin in tense forethought sumti connection, 239; origin of in tense-connected sentences, 239; stages of in compound tenses, 218; starting at a different point, 232; starting point, 217, 232; with interval direction, 222</w:t>
      </w:r>
    </w:p>
    <w:p w:rsidR="00B72047" w:rsidRDefault="00B72047">
      <w:pPr>
        <w:pStyle w:val="Index1"/>
        <w:rPr>
          <w:noProof/>
        </w:rPr>
      </w:pPr>
      <w:r>
        <w:rPr>
          <w:noProof/>
        </w:rPr>
        <w:t>imaginary journey origin: with sticky tenses, 234</w:t>
      </w:r>
    </w:p>
    <w:p w:rsidR="00B72047" w:rsidRDefault="00B72047">
      <w:pPr>
        <w:pStyle w:val="Index1"/>
        <w:rPr>
          <w:noProof/>
        </w:rPr>
      </w:pPr>
      <w:r>
        <w:rPr>
          <w:noProof/>
        </w:rPr>
        <w:t>imperatives: and truth, 353; attitude, 308; English contrasted with Lojban in presence of subject of command, 147; quick-tour version, 22; with ko, 146</w:t>
      </w:r>
    </w:p>
    <w:p w:rsidR="00B72047" w:rsidRDefault="00B72047">
      <w:pPr>
        <w:pStyle w:val="Index1"/>
        <w:rPr>
          <w:noProof/>
        </w:rPr>
      </w:pPr>
      <w:r>
        <w:rPr>
          <w:noProof/>
        </w:rPr>
        <w:t>implausible, 284</w:t>
      </w:r>
    </w:p>
    <w:p w:rsidR="00B72047" w:rsidRDefault="00B72047">
      <w:pPr>
        <w:pStyle w:val="Index1"/>
        <w:rPr>
          <w:noProof/>
        </w:rPr>
      </w:pPr>
      <w:r>
        <w:rPr>
          <w:noProof/>
        </w:rPr>
        <w:t>implicit quantifier: definition, 128; for quotations, 128; on personal pro-sumti, 128; on quotations, discussion of, 128</w:t>
      </w:r>
    </w:p>
    <w:p w:rsidR="00B72047" w:rsidRDefault="00B72047">
      <w:pPr>
        <w:pStyle w:val="Index1"/>
        <w:rPr>
          <w:noProof/>
        </w:rPr>
      </w:pPr>
      <w:r>
        <w:rPr>
          <w:noProof/>
        </w:rPr>
        <w:t>implicit-abstraction lujvo: definition, 289</w:t>
      </w:r>
    </w:p>
    <w:p w:rsidR="00B72047" w:rsidRDefault="00B72047">
      <w:pPr>
        <w:pStyle w:val="Index1"/>
        <w:rPr>
          <w:noProof/>
        </w:rPr>
      </w:pPr>
      <w:r>
        <w:rPr>
          <w:noProof/>
        </w:rPr>
        <w:t>importance of point: scale with ra'u, 320</w:t>
      </w:r>
    </w:p>
    <w:p w:rsidR="00B72047" w:rsidRDefault="00B72047">
      <w:pPr>
        <w:pStyle w:val="Index1"/>
        <w:rPr>
          <w:noProof/>
        </w:rPr>
      </w:pPr>
      <w:r>
        <w:rPr>
          <w:noProof/>
        </w:rPr>
        <w:t>in the aftermath: example, 232</w:t>
      </w:r>
    </w:p>
    <w:p w:rsidR="00B72047" w:rsidRDefault="00B72047">
      <w:pPr>
        <w:pStyle w:val="Index1"/>
        <w:rPr>
          <w:noProof/>
        </w:rPr>
      </w:pPr>
      <w:r>
        <w:rPr>
          <w:noProof/>
        </w:rPr>
        <w:t>inalienable: distinguishing from alienable, 173</w:t>
      </w:r>
    </w:p>
    <w:p w:rsidR="00B72047" w:rsidRDefault="00B72047">
      <w:pPr>
        <w:pStyle w:val="Index1"/>
        <w:rPr>
          <w:noProof/>
        </w:rPr>
      </w:pPr>
      <w:r>
        <w:rPr>
          <w:noProof/>
        </w:rPr>
        <w:t>inalienable possession: definition, 173; expressing with po'e, 173</w:t>
      </w:r>
    </w:p>
    <w:p w:rsidR="00B72047" w:rsidRDefault="00B72047">
      <w:pPr>
        <w:pStyle w:val="Index1"/>
        <w:rPr>
          <w:noProof/>
        </w:rPr>
      </w:pPr>
      <w:r>
        <w:rPr>
          <w:noProof/>
        </w:rPr>
        <w:t>inchoative event contour, 228</w:t>
      </w:r>
    </w:p>
    <w:p w:rsidR="00B72047" w:rsidRDefault="00B72047">
      <w:pPr>
        <w:pStyle w:val="Index1"/>
        <w:rPr>
          <w:noProof/>
        </w:rPr>
      </w:pPr>
      <w:r>
        <w:rPr>
          <w:noProof/>
        </w:rPr>
        <w:t>incidental association: expressing with ne, 174</w:t>
      </w:r>
    </w:p>
    <w:p w:rsidR="00B72047" w:rsidRDefault="00B72047">
      <w:pPr>
        <w:pStyle w:val="Index1"/>
        <w:rPr>
          <w:noProof/>
        </w:rPr>
      </w:pPr>
      <w:r>
        <w:rPr>
          <w:noProof/>
        </w:rPr>
        <w:t>incidental identification: expressing with no'u, 174</w:t>
      </w:r>
    </w:p>
    <w:p w:rsidR="00B72047" w:rsidRDefault="00B72047">
      <w:pPr>
        <w:pStyle w:val="Index1"/>
        <w:rPr>
          <w:noProof/>
        </w:rPr>
      </w:pPr>
      <w:r>
        <w:rPr>
          <w:noProof/>
        </w:rPr>
        <w:t>incidental relative clause: as a parenthetical device, 171; definition, 171</w:t>
      </w:r>
    </w:p>
    <w:p w:rsidR="00B72047" w:rsidRDefault="00B72047">
      <w:pPr>
        <w:pStyle w:val="Index1"/>
        <w:rPr>
          <w:noProof/>
        </w:rPr>
      </w:pPr>
      <w:r>
        <w:rPr>
          <w:noProof/>
        </w:rPr>
        <w:t>inclusion: property of sets, 125</w:t>
      </w:r>
    </w:p>
    <w:p w:rsidR="00B72047" w:rsidRDefault="00B72047">
      <w:pPr>
        <w:pStyle w:val="Index1"/>
        <w:rPr>
          <w:noProof/>
        </w:rPr>
      </w:pPr>
      <w:r>
        <w:rPr>
          <w:noProof/>
        </w:rPr>
        <w:t>indefinite description: as needing explicit outer quantifier, 132; as prohibiting explicit inner quantifier, 132; compared with restricted variable, 398; definition, 132, 398</w:t>
      </w:r>
    </w:p>
    <w:p w:rsidR="00B72047" w:rsidRDefault="00B72047">
      <w:pPr>
        <w:pStyle w:val="Index1"/>
        <w:rPr>
          <w:noProof/>
        </w:rPr>
      </w:pPr>
      <w:r>
        <w:rPr>
          <w:noProof/>
        </w:rPr>
        <w:t>indefinite numbers, 440; combined with definite, 442; effect of pi on, 441</w:t>
      </w:r>
    </w:p>
    <w:p w:rsidR="00B72047" w:rsidRDefault="00B72047">
      <w:pPr>
        <w:pStyle w:val="Index1"/>
        <w:rPr>
          <w:noProof/>
        </w:rPr>
      </w:pPr>
      <w:r>
        <w:rPr>
          <w:noProof/>
        </w:rPr>
        <w:t>indefinite portions: subjective, 442</w:t>
      </w:r>
    </w:p>
    <w:p w:rsidR="00B72047" w:rsidRDefault="00B72047">
      <w:pPr>
        <w:pStyle w:val="Index1"/>
        <w:rPr>
          <w:noProof/>
        </w:rPr>
      </w:pPr>
      <w:r>
        <w:rPr>
          <w:noProof/>
        </w:rPr>
        <w:t>indefinite pro-bridi, 157; stability of, 162</w:t>
      </w:r>
    </w:p>
    <w:p w:rsidR="00B72047" w:rsidRDefault="00B72047">
      <w:pPr>
        <w:pStyle w:val="Index1"/>
        <w:rPr>
          <w:noProof/>
        </w:rPr>
      </w:pPr>
      <w:r>
        <w:rPr>
          <w:noProof/>
        </w:rPr>
        <w:t>indefinite pro-sumti, 140, 157; implicit quantifier for, 140; stability of, 162</w:t>
      </w:r>
    </w:p>
    <w:p w:rsidR="00B72047" w:rsidRDefault="00B72047">
      <w:pPr>
        <w:pStyle w:val="Index1"/>
        <w:rPr>
          <w:noProof/>
        </w:rPr>
      </w:pPr>
      <w:r>
        <w:rPr>
          <w:noProof/>
        </w:rPr>
        <w:t>indefinite sumti: as implicit quantification, 406; compared to sumti with lo, 399; meaning when multiple in sentence, 398; multiple in sentence, 398</w:t>
      </w:r>
    </w:p>
    <w:p w:rsidR="00B72047" w:rsidRDefault="00B72047">
      <w:pPr>
        <w:pStyle w:val="Index1"/>
        <w:rPr>
          <w:noProof/>
        </w:rPr>
      </w:pPr>
      <w:r>
        <w:rPr>
          <w:noProof/>
        </w:rPr>
        <w:t>indefinite values: subjective, 442</w:t>
      </w:r>
    </w:p>
    <w:p w:rsidR="00B72047" w:rsidRDefault="00B72047">
      <w:pPr>
        <w:pStyle w:val="Index1"/>
        <w:rPr>
          <w:noProof/>
        </w:rPr>
      </w:pPr>
      <w:r>
        <w:rPr>
          <w:noProof/>
        </w:rPr>
        <w:t>index numbering, 500</w:t>
      </w:r>
    </w:p>
    <w:p w:rsidR="00B72047" w:rsidRDefault="00B72047">
      <w:pPr>
        <w:pStyle w:val="Index1"/>
        <w:rPr>
          <w:noProof/>
        </w:rPr>
      </w:pPr>
      <w:r>
        <w:rPr>
          <w:noProof/>
        </w:rPr>
        <w:t>indicator scope, 466</w:t>
      </w:r>
    </w:p>
    <w:p w:rsidR="00B72047" w:rsidRDefault="00B72047">
      <w:pPr>
        <w:pStyle w:val="Index1"/>
        <w:rPr>
          <w:noProof/>
        </w:rPr>
      </w:pPr>
      <w:r>
        <w:rPr>
          <w:noProof/>
        </w:rPr>
        <w:t>indicator tables: format convention, 298</w:t>
      </w:r>
    </w:p>
    <w:p w:rsidR="00B72047" w:rsidRDefault="00B72047">
      <w:pPr>
        <w:pStyle w:val="Index1"/>
        <w:rPr>
          <w:noProof/>
        </w:rPr>
      </w:pPr>
      <w:r>
        <w:rPr>
          <w:noProof/>
        </w:rPr>
        <w:t>indicators, 298; cancellation of, 494; derived from gismu, 298; evolutionary development of, 329; grammar for compounding, 310; meaning when compounded, 310; placement of, 298; quick-tour version, 24; ramifications, 329; rationale for selection, 329; scope effect of new paragraph, 466; types of, 298</w:t>
      </w:r>
    </w:p>
    <w:p w:rsidR="00B72047" w:rsidRDefault="00B72047">
      <w:pPr>
        <w:pStyle w:val="Index1"/>
        <w:rPr>
          <w:noProof/>
        </w:rPr>
      </w:pPr>
      <w:r>
        <w:rPr>
          <w:noProof/>
        </w:rPr>
        <w:t>indicators derived from gismu: notation convention, 298</w:t>
      </w:r>
    </w:p>
    <w:p w:rsidR="00B72047" w:rsidRDefault="00B72047">
      <w:pPr>
        <w:pStyle w:val="Index1"/>
        <w:rPr>
          <w:noProof/>
        </w:rPr>
      </w:pPr>
      <w:r>
        <w:rPr>
          <w:noProof/>
        </w:rPr>
        <w:t>indirect question, 323</w:t>
      </w:r>
    </w:p>
    <w:p w:rsidR="00B72047" w:rsidRDefault="00B72047">
      <w:pPr>
        <w:pStyle w:val="Index1"/>
        <w:rPr>
          <w:noProof/>
        </w:rPr>
      </w:pPr>
      <w:r>
        <w:rPr>
          <w:noProof/>
        </w:rPr>
        <w:t>indirect question involving sumti, 265</w:t>
      </w:r>
    </w:p>
    <w:p w:rsidR="00B72047" w:rsidRDefault="00B72047">
      <w:pPr>
        <w:pStyle w:val="Index1"/>
        <w:rPr>
          <w:noProof/>
        </w:rPr>
      </w:pPr>
      <w:r>
        <w:rPr>
          <w:noProof/>
        </w:rPr>
        <w:t>indirect questions, 264; “ma kau” contrasted with “la djan. kau”, 264</w:t>
      </w:r>
    </w:p>
    <w:p w:rsidR="00B72047" w:rsidRDefault="00B72047">
      <w:pPr>
        <w:pStyle w:val="Index1"/>
        <w:rPr>
          <w:noProof/>
        </w:rPr>
      </w:pPr>
      <w:r>
        <w:rPr>
          <w:noProof/>
        </w:rPr>
        <w:t>indirect questions without “kau”, 265</w:t>
      </w:r>
    </w:p>
    <w:p w:rsidR="00B72047" w:rsidRDefault="00B72047">
      <w:pPr>
        <w:pStyle w:val="Index1"/>
        <w:rPr>
          <w:noProof/>
        </w:rPr>
      </w:pPr>
      <w:r>
        <w:rPr>
          <w:noProof/>
        </w:rPr>
        <w:t>indisputable bridi, 315</w:t>
      </w:r>
    </w:p>
    <w:p w:rsidR="00B72047" w:rsidRDefault="00B72047">
      <w:pPr>
        <w:pStyle w:val="Index1"/>
        <w:rPr>
          <w:noProof/>
        </w:rPr>
      </w:pPr>
      <w:r>
        <w:rPr>
          <w:noProof/>
        </w:rPr>
        <w:t>individual: example, 446</w:t>
      </w:r>
    </w:p>
    <w:p w:rsidR="00B72047" w:rsidRDefault="00B72047">
      <w:pPr>
        <w:pStyle w:val="Index1"/>
        <w:rPr>
          <w:noProof/>
        </w:rPr>
      </w:pPr>
      <w:r>
        <w:rPr>
          <w:noProof/>
        </w:rPr>
        <w:t>individual objects: multiple, 123</w:t>
      </w:r>
    </w:p>
    <w:p w:rsidR="00B72047" w:rsidRDefault="00B72047">
      <w:pPr>
        <w:pStyle w:val="Index1"/>
        <w:rPr>
          <w:noProof/>
        </w:rPr>
      </w:pPr>
      <w:r>
        <w:rPr>
          <w:noProof/>
        </w:rPr>
        <w:t>individuals: expressing relation with mass formed, 446; expressing relation with set formed, 446</w:t>
      </w:r>
    </w:p>
    <w:p w:rsidR="00B72047" w:rsidRDefault="00B72047">
      <w:pPr>
        <w:pStyle w:val="Index1"/>
        <w:rPr>
          <w:noProof/>
        </w:rPr>
      </w:pPr>
      <w:r>
        <w:rPr>
          <w:noProof/>
        </w:rPr>
        <w:t>individuals into mass: by non-logical connection, 355</w:t>
      </w:r>
    </w:p>
    <w:p w:rsidR="00B72047" w:rsidRDefault="00B72047">
      <w:pPr>
        <w:pStyle w:val="Index1"/>
        <w:rPr>
          <w:noProof/>
        </w:rPr>
      </w:pPr>
      <w:r>
        <w:rPr>
          <w:noProof/>
        </w:rPr>
        <w:t>individuals into set: by non-logical connection, 355</w:t>
      </w:r>
    </w:p>
    <w:p w:rsidR="00B72047" w:rsidRDefault="00B72047">
      <w:pPr>
        <w:pStyle w:val="Index1"/>
        <w:rPr>
          <w:noProof/>
        </w:rPr>
      </w:pPr>
      <w:r>
        <w:rPr>
          <w:noProof/>
        </w:rPr>
        <w:t>individuals of set: expressing measurement standard for indefinites, 446</w:t>
      </w:r>
    </w:p>
    <w:p w:rsidR="00B72047" w:rsidRDefault="00B72047">
      <w:pPr>
        <w:pStyle w:val="Index1"/>
        <w:rPr>
          <w:noProof/>
        </w:rPr>
      </w:pPr>
      <w:r>
        <w:rPr>
          <w:noProof/>
        </w:rPr>
        <w:t>indivisible, 258</w:t>
      </w:r>
    </w:p>
    <w:p w:rsidR="00B72047" w:rsidRDefault="00B72047">
      <w:pPr>
        <w:pStyle w:val="Index1"/>
        <w:rPr>
          <w:noProof/>
        </w:rPr>
      </w:pPr>
      <w:r>
        <w:rPr>
          <w:noProof/>
        </w:rPr>
        <w:t>induction: example, 316</w:t>
      </w:r>
    </w:p>
    <w:p w:rsidR="00B72047" w:rsidRDefault="00B72047">
      <w:pPr>
        <w:pStyle w:val="Index1"/>
        <w:rPr>
          <w:noProof/>
        </w:rPr>
      </w:pPr>
      <w:r>
        <w:rPr>
          <w:noProof/>
        </w:rPr>
        <w:t>inexact numbers with bounds, 443</w:t>
      </w:r>
    </w:p>
    <w:p w:rsidR="00B72047" w:rsidRDefault="00B72047">
      <w:pPr>
        <w:pStyle w:val="Index1"/>
        <w:rPr>
          <w:noProof/>
        </w:rPr>
      </w:pPr>
      <w:r>
        <w:rPr>
          <w:noProof/>
        </w:rPr>
        <w:t>inexact portions with bounds, 444</w:t>
      </w:r>
    </w:p>
    <w:p w:rsidR="00B72047" w:rsidRDefault="00B72047">
      <w:pPr>
        <w:pStyle w:val="Index1"/>
        <w:rPr>
          <w:noProof/>
        </w:rPr>
      </w:pPr>
      <w:r>
        <w:rPr>
          <w:noProof/>
        </w:rPr>
        <w:t>infant ducks: example, 244</w:t>
      </w:r>
    </w:p>
    <w:p w:rsidR="00B72047" w:rsidRDefault="00B72047">
      <w:pPr>
        <w:pStyle w:val="Index1"/>
        <w:rPr>
          <w:noProof/>
        </w:rPr>
      </w:pPr>
      <w:r>
        <w:rPr>
          <w:noProof/>
        </w:rPr>
        <w:t>inferior: example, 308</w:t>
      </w:r>
    </w:p>
    <w:p w:rsidR="00B72047" w:rsidRDefault="00B72047">
      <w:pPr>
        <w:pStyle w:val="Index1"/>
        <w:rPr>
          <w:noProof/>
        </w:rPr>
      </w:pPr>
      <w:r>
        <w:rPr>
          <w:noProof/>
        </w:rPr>
        <w:t>infinity: example, 434</w:t>
      </w:r>
    </w:p>
    <w:p w:rsidR="00B72047" w:rsidRDefault="00B72047">
      <w:pPr>
        <w:pStyle w:val="Index1"/>
        <w:rPr>
          <w:noProof/>
        </w:rPr>
      </w:pPr>
      <w:r>
        <w:rPr>
          <w:noProof/>
        </w:rPr>
        <w:t>infix expressions: in operands being used in Polish notation, 439</w:t>
      </w:r>
    </w:p>
    <w:p w:rsidR="00B72047" w:rsidRDefault="00B72047">
      <w:pPr>
        <w:pStyle w:val="Index1"/>
        <w:rPr>
          <w:noProof/>
        </w:rPr>
      </w:pPr>
      <w:r>
        <w:rPr>
          <w:noProof/>
        </w:rPr>
        <w:t>infix mathematical notation: shortcomings of, 438</w:t>
      </w:r>
    </w:p>
    <w:p w:rsidR="00B72047" w:rsidRDefault="00B72047">
      <w:pPr>
        <w:pStyle w:val="Index1"/>
        <w:rPr>
          <w:noProof/>
        </w:rPr>
      </w:pPr>
      <w:r>
        <w:rPr>
          <w:noProof/>
        </w:rPr>
        <w:t>infix notation mixed with Polish, 455; example, 455</w:t>
      </w:r>
    </w:p>
    <w:p w:rsidR="00B72047" w:rsidRDefault="00B72047">
      <w:pPr>
        <w:pStyle w:val="Index1"/>
        <w:rPr>
          <w:noProof/>
        </w:rPr>
      </w:pPr>
      <w:r>
        <w:rPr>
          <w:noProof/>
        </w:rPr>
        <w:t>inflammable: example, 245</w:t>
      </w:r>
    </w:p>
    <w:p w:rsidR="00B72047" w:rsidRDefault="00B72047">
      <w:pPr>
        <w:pStyle w:val="Index1"/>
        <w:rPr>
          <w:noProof/>
        </w:rPr>
      </w:pPr>
      <w:r>
        <w:rPr>
          <w:noProof/>
        </w:rPr>
        <w:t>initial consonant pairs: list of, 37</w:t>
      </w:r>
    </w:p>
    <w:p w:rsidR="00B72047" w:rsidRDefault="00B72047">
      <w:pPr>
        <w:pStyle w:val="Index1"/>
        <w:rPr>
          <w:noProof/>
        </w:rPr>
      </w:pPr>
      <w:r>
        <w:rPr>
          <w:noProof/>
        </w:rPr>
        <w:t>initiative event contour, 228</w:t>
      </w:r>
    </w:p>
    <w:p w:rsidR="00B72047" w:rsidRDefault="00B72047">
      <w:pPr>
        <w:pStyle w:val="Index1"/>
        <w:rPr>
          <w:noProof/>
        </w:rPr>
      </w:pPr>
      <w:r>
        <w:rPr>
          <w:noProof/>
        </w:rPr>
        <w:t>innate capability: expressing explicitly, 243; expressing implicitly, 243</w:t>
      </w:r>
    </w:p>
    <w:p w:rsidR="00B72047" w:rsidRDefault="00B72047">
      <w:pPr>
        <w:pStyle w:val="Index1"/>
        <w:rPr>
          <w:noProof/>
        </w:rPr>
      </w:pPr>
      <w:r>
        <w:rPr>
          <w:noProof/>
        </w:rPr>
        <w:t>innate property: extension of from mass to individuals, 243; extension to individuals not actually capable, 244</w:t>
      </w:r>
    </w:p>
    <w:p w:rsidR="00B72047" w:rsidRDefault="00B72047">
      <w:pPr>
        <w:pStyle w:val="Index1"/>
        <w:rPr>
          <w:noProof/>
        </w:rPr>
      </w:pPr>
      <w:r>
        <w:rPr>
          <w:noProof/>
        </w:rPr>
        <w:t>inner product, 452</w:t>
      </w:r>
    </w:p>
    <w:p w:rsidR="00B72047" w:rsidRDefault="00B72047">
      <w:pPr>
        <w:pStyle w:val="Index1"/>
        <w:rPr>
          <w:noProof/>
        </w:rPr>
      </w:pPr>
      <w:r>
        <w:rPr>
          <w:noProof/>
        </w:rPr>
        <w:t>inner quantifier: contrasted with outer quantifier, 129; definition, 129; effect of on meaning, 129; explicit, 129; implicit on descriptors, 129; in indefinite description, 132</w:t>
      </w:r>
    </w:p>
    <w:p w:rsidR="00B72047" w:rsidRDefault="00B72047">
      <w:pPr>
        <w:pStyle w:val="Index1"/>
        <w:rPr>
          <w:noProof/>
        </w:rPr>
      </w:pPr>
      <w:r>
        <w:rPr>
          <w:noProof/>
        </w:rPr>
        <w:t>inner quantifier of sumti: meaning of, 178</w:t>
      </w:r>
    </w:p>
    <w:p w:rsidR="00B72047" w:rsidRDefault="00B72047">
      <w:pPr>
        <w:pStyle w:val="Index1"/>
        <w:rPr>
          <w:noProof/>
        </w:rPr>
      </w:pPr>
      <w:r>
        <w:rPr>
          <w:noProof/>
        </w:rPr>
        <w:t>inner sumti: referring to from within relative clause within relative clause, 184</w:t>
      </w:r>
    </w:p>
    <w:p w:rsidR="00B72047" w:rsidRDefault="00B72047">
      <w:pPr>
        <w:pStyle w:val="Index1"/>
        <w:rPr>
          <w:noProof/>
        </w:rPr>
      </w:pPr>
      <w:r>
        <w:rPr>
          <w:noProof/>
        </w:rPr>
        <w:t>integral: architectural concept, example, 64; mathematical concept, example, 64</w:t>
      </w:r>
    </w:p>
    <w:p w:rsidR="00B72047" w:rsidRDefault="00B72047">
      <w:pPr>
        <w:pStyle w:val="Index1"/>
        <w:rPr>
          <w:noProof/>
        </w:rPr>
      </w:pPr>
      <w:r>
        <w:rPr>
          <w:noProof/>
        </w:rPr>
        <w:t>interaction list: cmavo, 485</w:t>
      </w:r>
    </w:p>
    <w:p w:rsidR="00B72047" w:rsidRDefault="00B72047">
      <w:pPr>
        <w:pStyle w:val="Index1"/>
        <w:rPr>
          <w:noProof/>
        </w:rPr>
      </w:pPr>
      <w:r>
        <w:rPr>
          <w:noProof/>
        </w:rPr>
        <w:t>interactions between quantifiers and negation: effect, 403</w:t>
      </w:r>
    </w:p>
    <w:p w:rsidR="00B72047" w:rsidRDefault="00B72047">
      <w:pPr>
        <w:pStyle w:val="Index1"/>
        <w:rPr>
          <w:noProof/>
        </w:rPr>
      </w:pPr>
      <w:r>
        <w:rPr>
          <w:noProof/>
        </w:rPr>
        <w:t>interjections: quick-tour version, 24</w:t>
      </w:r>
    </w:p>
    <w:p w:rsidR="00B72047" w:rsidRDefault="00B72047">
      <w:pPr>
        <w:pStyle w:val="Index1"/>
        <w:rPr>
          <w:noProof/>
        </w:rPr>
      </w:pPr>
      <w:r>
        <w:rPr>
          <w:noProof/>
        </w:rPr>
        <w:t>intermediate abstraction, 267</w:t>
      </w:r>
    </w:p>
    <w:p w:rsidR="00B72047" w:rsidRDefault="00B72047">
      <w:pPr>
        <w:pStyle w:val="Index1"/>
        <w:rPr>
          <w:noProof/>
        </w:rPr>
      </w:pPr>
      <w:r>
        <w:rPr>
          <w:noProof/>
        </w:rPr>
        <w:t>intermittently: example, 226</w:t>
      </w:r>
    </w:p>
    <w:p w:rsidR="00B72047" w:rsidRDefault="00B72047">
      <w:pPr>
        <w:pStyle w:val="Index1"/>
        <w:rPr>
          <w:noProof/>
        </w:rPr>
      </w:pPr>
      <w:r>
        <w:rPr>
          <w:noProof/>
        </w:rPr>
        <w:t>internal bridi negation: compared to external bridi negation, 401; definition, 401</w:t>
      </w:r>
    </w:p>
    <w:p w:rsidR="00B72047" w:rsidRDefault="00B72047">
      <w:pPr>
        <w:pStyle w:val="Index1"/>
        <w:rPr>
          <w:noProof/>
        </w:rPr>
      </w:pPr>
      <w:r>
        <w:rPr>
          <w:noProof/>
        </w:rPr>
        <w:t>internal naku negations: and DeMorgan's Law, 409</w:t>
      </w:r>
    </w:p>
    <w:p w:rsidR="00B72047" w:rsidRDefault="00B72047">
      <w:pPr>
        <w:pStyle w:val="Index1"/>
        <w:rPr>
          <w:noProof/>
        </w:rPr>
      </w:pPr>
      <w:r>
        <w:rPr>
          <w:noProof/>
        </w:rPr>
        <w:t>internal world, 301</w:t>
      </w:r>
    </w:p>
    <w:p w:rsidR="00B72047" w:rsidRDefault="00B72047">
      <w:pPr>
        <w:pStyle w:val="Index1"/>
        <w:rPr>
          <w:noProof/>
        </w:rPr>
      </w:pPr>
      <w:r>
        <w:rPr>
          <w:noProof/>
        </w:rPr>
        <w:t>International Phonetic Alphabet (see also IPA), 29</w:t>
      </w:r>
    </w:p>
    <w:p w:rsidR="00B72047" w:rsidRDefault="00B72047">
      <w:pPr>
        <w:pStyle w:val="Index1"/>
        <w:rPr>
          <w:noProof/>
        </w:rPr>
      </w:pPr>
      <w:r>
        <w:rPr>
          <w:noProof/>
        </w:rPr>
        <w:t>intersect, 266</w:t>
      </w:r>
    </w:p>
    <w:p w:rsidR="00B72047" w:rsidRDefault="00B72047">
      <w:pPr>
        <w:pStyle w:val="Index1"/>
        <w:rPr>
          <w:noProof/>
        </w:rPr>
      </w:pPr>
      <w:r>
        <w:rPr>
          <w:noProof/>
        </w:rPr>
        <w:t>intersection: of sets, 356</w:t>
      </w:r>
    </w:p>
    <w:p w:rsidR="00B72047" w:rsidRDefault="00B72047">
      <w:pPr>
        <w:pStyle w:val="Index1"/>
        <w:rPr>
          <w:noProof/>
        </w:rPr>
      </w:pPr>
      <w:r>
        <w:rPr>
          <w:noProof/>
        </w:rPr>
        <w:t>intersection of sets: compared with and, 357</w:t>
      </w:r>
    </w:p>
    <w:p w:rsidR="00B72047" w:rsidRDefault="00B72047">
      <w:pPr>
        <w:pStyle w:val="Index1"/>
        <w:rPr>
          <w:noProof/>
        </w:rPr>
      </w:pPr>
      <w:r>
        <w:rPr>
          <w:noProof/>
        </w:rPr>
        <w:t>interval: closed, 360; effect of nai on, 360; expressed as center and distance, 359; expressed as endpoints, 359; expressing by endpoints with bi'o, 246; followed by direction in tense construct, 221; forethought, 361; forming, 490; inclusion of endpoints, 360; open, 360; open/closed specification, 494; relation to point specified by direction and distance, 221; relative order with direction and distance in tense, 221; specifying relation to point specified by direction and distance, 221; spread of actions over, 225</w:t>
      </w:r>
    </w:p>
    <w:p w:rsidR="00B72047" w:rsidRDefault="00B72047">
      <w:pPr>
        <w:pStyle w:val="Index1"/>
        <w:rPr>
          <w:noProof/>
        </w:rPr>
      </w:pPr>
      <w:r>
        <w:rPr>
          <w:noProof/>
        </w:rPr>
        <w:t>interval continuousness: meaning as sumti tcita, 233</w:t>
      </w:r>
    </w:p>
    <w:p w:rsidR="00B72047" w:rsidRDefault="00B72047">
      <w:pPr>
        <w:pStyle w:val="Index1"/>
        <w:rPr>
          <w:noProof/>
        </w:rPr>
      </w:pPr>
      <w:r>
        <w:rPr>
          <w:noProof/>
        </w:rPr>
        <w:t>interval direction: specifying, 221</w:t>
      </w:r>
    </w:p>
    <w:p w:rsidR="00B72047" w:rsidRDefault="00B72047">
      <w:pPr>
        <w:pStyle w:val="Index1"/>
        <w:rPr>
          <w:noProof/>
        </w:rPr>
      </w:pPr>
      <w:r>
        <w:rPr>
          <w:noProof/>
        </w:rPr>
        <w:t>interval properties: meaning as sumti tcita, 233; strings of, 246</w:t>
      </w:r>
    </w:p>
    <w:p w:rsidR="00B72047" w:rsidRDefault="00B72047">
      <w:pPr>
        <w:pStyle w:val="Index1"/>
        <w:rPr>
          <w:noProof/>
        </w:rPr>
      </w:pPr>
      <w:r>
        <w:rPr>
          <w:noProof/>
        </w:rPr>
        <w:t>interval size: as context-dependent, 222; meaning as sumti tcita, 233; spatial, 506; time, 507; unspecified, 223; vague, 223</w:t>
      </w:r>
    </w:p>
    <w:p w:rsidR="00B72047" w:rsidRDefault="00B72047">
      <w:pPr>
        <w:pStyle w:val="Index1"/>
        <w:rPr>
          <w:noProof/>
        </w:rPr>
      </w:pPr>
      <w:r>
        <w:rPr>
          <w:noProof/>
        </w:rPr>
        <w:t>interval spread: expressing English intermittently, 226; mutually contrasted, 226; negation with nai, 226; with unspecified interval, 226</w:t>
      </w:r>
    </w:p>
    <w:p w:rsidR="00B72047" w:rsidRDefault="00B72047">
      <w:pPr>
        <w:pStyle w:val="Index1"/>
        <w:rPr>
          <w:noProof/>
        </w:rPr>
      </w:pPr>
      <w:r>
        <w:rPr>
          <w:noProof/>
        </w:rPr>
        <w:t>intrinsic possession: definition, 173; expressing by using place in some selbri, 173; expressing with po'e, 173</w:t>
      </w:r>
    </w:p>
    <w:p w:rsidR="00B72047" w:rsidRDefault="00B72047">
      <w:pPr>
        <w:pStyle w:val="Index1"/>
        <w:rPr>
          <w:noProof/>
        </w:rPr>
      </w:pPr>
      <w:r>
        <w:rPr>
          <w:noProof/>
        </w:rPr>
        <w:t>introduce oneself, 325</w:t>
      </w:r>
    </w:p>
    <w:p w:rsidR="00B72047" w:rsidRDefault="00B72047">
      <w:pPr>
        <w:pStyle w:val="Index1"/>
        <w:rPr>
          <w:noProof/>
        </w:rPr>
      </w:pPr>
      <w:r>
        <w:rPr>
          <w:noProof/>
        </w:rPr>
        <w:t>invalid diphthongs: in fu'ivla, 64</w:t>
      </w:r>
    </w:p>
    <w:p w:rsidR="00B72047" w:rsidRDefault="00B72047">
      <w:pPr>
        <w:pStyle w:val="Index1"/>
        <w:rPr>
          <w:noProof/>
        </w:rPr>
      </w:pPr>
      <w:r>
        <w:rPr>
          <w:noProof/>
        </w:rPr>
        <w:t>invalid speech: marking as error with na'i, 321</w:t>
      </w:r>
    </w:p>
    <w:p w:rsidR="00B72047" w:rsidRDefault="00B72047">
      <w:pPr>
        <w:pStyle w:val="Index1"/>
        <w:rPr>
          <w:noProof/>
        </w:rPr>
      </w:pPr>
      <w:r>
        <w:rPr>
          <w:noProof/>
        </w:rPr>
        <w:t>inversion of quantifiers: definition, 402; in moving negation boundary, 402</w:t>
      </w:r>
    </w:p>
    <w:p w:rsidR="00B72047" w:rsidRDefault="00B72047">
      <w:pPr>
        <w:pStyle w:val="Index1"/>
        <w:rPr>
          <w:noProof/>
        </w:rPr>
      </w:pPr>
      <w:r>
        <w:rPr>
          <w:noProof/>
        </w:rPr>
        <w:t>inversion of quantifiers on passing negation boundary: rationale for, 402</w:t>
      </w:r>
    </w:p>
    <w:p w:rsidR="00B72047" w:rsidRDefault="00B72047">
      <w:pPr>
        <w:pStyle w:val="Index1"/>
        <w:rPr>
          <w:noProof/>
        </w:rPr>
      </w:pPr>
      <w:r>
        <w:rPr>
          <w:noProof/>
        </w:rPr>
        <w:t>invertebrate, 285</w:t>
      </w:r>
    </w:p>
    <w:p w:rsidR="00B72047" w:rsidRDefault="00B72047">
      <w:pPr>
        <w:pStyle w:val="Index1"/>
        <w:rPr>
          <w:noProof/>
        </w:rPr>
      </w:pPr>
      <w:r>
        <w:rPr>
          <w:noProof/>
        </w:rPr>
        <w:t>inverted tanru: effect on sumti after the selbri, 95; effect on sumti before the selbri, 95</w:t>
      </w:r>
    </w:p>
    <w:p w:rsidR="00B72047" w:rsidRDefault="00B72047">
      <w:pPr>
        <w:pStyle w:val="Index1"/>
        <w:rPr>
          <w:noProof/>
        </w:rPr>
      </w:pPr>
      <w:r>
        <w:rPr>
          <w:noProof/>
        </w:rPr>
        <w:t>inverting a tanru, 491</w:t>
      </w:r>
    </w:p>
    <w:p w:rsidR="00B72047" w:rsidRDefault="00B72047">
      <w:pPr>
        <w:pStyle w:val="Index1"/>
        <w:rPr>
          <w:noProof/>
        </w:rPr>
      </w:pPr>
      <w:r>
        <w:rPr>
          <w:noProof/>
        </w:rPr>
        <w:t>inverting quantifiers: with movement relative to fixed negation, 406; with movement relative to naku, 405</w:t>
      </w:r>
    </w:p>
    <w:p w:rsidR="00B72047" w:rsidRDefault="00B72047">
      <w:pPr>
        <w:pStyle w:val="Index1"/>
        <w:rPr>
          <w:noProof/>
        </w:rPr>
      </w:pPr>
      <w:r>
        <w:rPr>
          <w:noProof/>
        </w:rPr>
        <w:t>ionai, 301</w:t>
      </w:r>
    </w:p>
    <w:p w:rsidR="00B72047" w:rsidRDefault="00B72047">
      <w:pPr>
        <w:pStyle w:val="Index1"/>
        <w:rPr>
          <w:noProof/>
        </w:rPr>
      </w:pPr>
      <w:r>
        <w:rPr>
          <w:noProof/>
        </w:rPr>
        <w:t>IPA, 29</w:t>
      </w:r>
    </w:p>
    <w:p w:rsidR="00B72047" w:rsidRDefault="00B72047">
      <w:pPr>
        <w:pStyle w:val="Index1"/>
        <w:rPr>
          <w:noProof/>
        </w:rPr>
      </w:pPr>
      <w:r>
        <w:rPr>
          <w:noProof/>
        </w:rPr>
        <w:t>IPA pronunciation: description, 42</w:t>
      </w:r>
    </w:p>
    <w:p w:rsidR="00B72047" w:rsidRDefault="00B72047">
      <w:pPr>
        <w:pStyle w:val="Index1"/>
        <w:rPr>
          <w:noProof/>
        </w:rPr>
      </w:pPr>
      <w:r>
        <w:rPr>
          <w:noProof/>
        </w:rPr>
        <w:t>iri'abo, 198</w:t>
      </w:r>
    </w:p>
    <w:p w:rsidR="00B72047" w:rsidRDefault="00B72047">
      <w:pPr>
        <w:pStyle w:val="Index1"/>
        <w:rPr>
          <w:noProof/>
        </w:rPr>
      </w:pPr>
      <w:r>
        <w:rPr>
          <w:noProof/>
        </w:rPr>
        <w:t>irony: example, 319; expressing, 319</w:t>
      </w:r>
    </w:p>
    <w:p w:rsidR="00B72047" w:rsidRDefault="00B72047">
      <w:pPr>
        <w:pStyle w:val="Index1"/>
        <w:rPr>
          <w:noProof/>
        </w:rPr>
      </w:pPr>
      <w:r>
        <w:rPr>
          <w:noProof/>
        </w:rPr>
        <w:t>irrational number: example, 181</w:t>
      </w:r>
    </w:p>
    <w:p w:rsidR="00B72047" w:rsidRDefault="00B72047">
      <w:pPr>
        <w:pStyle w:val="Index1"/>
        <w:rPr>
          <w:noProof/>
        </w:rPr>
      </w:pPr>
      <w:r>
        <w:rPr>
          <w:noProof/>
        </w:rPr>
        <w:t>irrelevant: specifying of sumti place, 157</w:t>
      </w:r>
    </w:p>
    <w:p w:rsidR="00B72047" w:rsidRDefault="00B72047">
      <w:pPr>
        <w:pStyle w:val="Index1"/>
        <w:rPr>
          <w:noProof/>
        </w:rPr>
      </w:pPr>
      <w:r>
        <w:rPr>
          <w:noProof/>
        </w:rPr>
        <w:t>isomorphism: audio-visual, 29</w:t>
      </w:r>
    </w:p>
    <w:p w:rsidR="00B72047" w:rsidRDefault="00B72047">
      <w:pPr>
        <w:pStyle w:val="Index1"/>
        <w:rPr>
          <w:noProof/>
        </w:rPr>
      </w:pPr>
      <w:r>
        <w:rPr>
          <w:noProof/>
        </w:rPr>
        <w:t>IT: as notation convention in relative clause chapter, 170</w:t>
      </w:r>
    </w:p>
    <w:p w:rsidR="00B72047" w:rsidRDefault="00B72047">
      <w:pPr>
        <w:pStyle w:val="Index1"/>
        <w:rPr>
          <w:noProof/>
        </w:rPr>
      </w:pPr>
      <w:r>
        <w:rPr>
          <w:noProof/>
        </w:rPr>
        <w:t>italic: example, 418</w:t>
      </w:r>
    </w:p>
    <w:p w:rsidR="00B72047" w:rsidRDefault="00B72047">
      <w:pPr>
        <w:pStyle w:val="Index1"/>
        <w:rPr>
          <w:noProof/>
        </w:rPr>
      </w:pPr>
      <w:r>
        <w:rPr>
          <w:noProof/>
        </w:rPr>
        <w:t>-ity, 259</w:t>
      </w:r>
    </w:p>
    <w:p w:rsidR="00B72047" w:rsidRDefault="00B72047">
      <w:pPr>
        <w:pStyle w:val="Index1"/>
        <w:rPr>
          <w:noProof/>
        </w:rPr>
      </w:pPr>
      <w:r>
        <w:rPr>
          <w:noProof/>
        </w:rPr>
        <w:t>iu, 301</w:t>
      </w:r>
    </w:p>
    <w:p w:rsidR="00B72047" w:rsidRDefault="00B72047">
      <w:pPr>
        <w:pStyle w:val="Index1"/>
        <w:rPr>
          <w:noProof/>
        </w:rPr>
      </w:pPr>
      <w:r>
        <w:rPr>
          <w:noProof/>
        </w:rPr>
        <w:t>iy diphthong: in cmene, 66</w:t>
      </w:r>
    </w:p>
    <w:p w:rsidR="00B72047" w:rsidRDefault="00B72047">
      <w:pPr>
        <w:pStyle w:val="Index1"/>
        <w:rPr>
          <w:noProof/>
        </w:rPr>
      </w:pPr>
      <w:r>
        <w:rPr>
          <w:noProof/>
        </w:rPr>
        <w:t>JA selma’o, 90, 245, 336, 337, 338, 350, 352, 354, 361, 364, 365, 496</w:t>
      </w:r>
    </w:p>
    <w:p w:rsidR="00B72047" w:rsidRDefault="00B72047">
      <w:pPr>
        <w:pStyle w:val="Index1"/>
        <w:rPr>
          <w:noProof/>
        </w:rPr>
      </w:pPr>
      <w:r>
        <w:rPr>
          <w:noProof/>
        </w:rPr>
        <w:t>jabo, 91</w:t>
      </w:r>
    </w:p>
    <w:p w:rsidR="00B72047" w:rsidRDefault="00B72047">
      <w:pPr>
        <w:pStyle w:val="Index1"/>
        <w:rPr>
          <w:noProof/>
        </w:rPr>
      </w:pPr>
      <w:r>
        <w:rPr>
          <w:noProof/>
        </w:rPr>
        <w:t>jai, 206, 247, 267, 287; conversion using, 101</w:t>
      </w:r>
    </w:p>
    <w:p w:rsidR="00B72047" w:rsidRDefault="00B72047">
      <w:pPr>
        <w:pStyle w:val="Index1"/>
        <w:rPr>
          <w:noProof/>
        </w:rPr>
      </w:pPr>
      <w:r>
        <w:rPr>
          <w:noProof/>
        </w:rPr>
        <w:t>JAI selma’o, 206, 267, 496</w:t>
      </w:r>
    </w:p>
    <w:p w:rsidR="00B72047" w:rsidRDefault="00B72047">
      <w:pPr>
        <w:pStyle w:val="Index1"/>
        <w:rPr>
          <w:noProof/>
        </w:rPr>
      </w:pPr>
      <w:r>
        <w:rPr>
          <w:noProof/>
        </w:rPr>
        <w:t>jai with tense: as equivalent of SE in grammar, 247</w:t>
      </w:r>
    </w:p>
    <w:p w:rsidR="00B72047" w:rsidRDefault="00B72047">
      <w:pPr>
        <w:pStyle w:val="Index1"/>
        <w:rPr>
          <w:noProof/>
        </w:rPr>
      </w:pPr>
      <w:r>
        <w:rPr>
          <w:noProof/>
        </w:rPr>
        <w:t>jai without modal: meaning, 206</w:t>
      </w:r>
    </w:p>
    <w:p w:rsidR="00B72047" w:rsidRDefault="00B72047">
      <w:pPr>
        <w:pStyle w:val="Index1"/>
        <w:rPr>
          <w:noProof/>
        </w:rPr>
      </w:pPr>
      <w:r>
        <w:rPr>
          <w:noProof/>
        </w:rPr>
        <w:t>James: example, 36</w:t>
      </w:r>
    </w:p>
    <w:p w:rsidR="00B72047" w:rsidRDefault="00B72047">
      <w:pPr>
        <w:pStyle w:val="Index1"/>
        <w:rPr>
          <w:noProof/>
        </w:rPr>
      </w:pPr>
      <w:r>
        <w:rPr>
          <w:noProof/>
        </w:rPr>
        <w:t>Jane: example, 65</w:t>
      </w:r>
    </w:p>
    <w:p w:rsidR="00B72047" w:rsidRDefault="00B72047">
      <w:pPr>
        <w:pStyle w:val="Index1"/>
        <w:rPr>
          <w:noProof/>
        </w:rPr>
      </w:pPr>
      <w:r>
        <w:rPr>
          <w:noProof/>
        </w:rPr>
        <w:t>ja'o, 316</w:t>
      </w:r>
    </w:p>
    <w:p w:rsidR="00B72047" w:rsidRDefault="00B72047">
      <w:pPr>
        <w:pStyle w:val="Index1"/>
        <w:rPr>
          <w:noProof/>
        </w:rPr>
      </w:pPr>
      <w:r>
        <w:rPr>
          <w:noProof/>
        </w:rPr>
        <w:t>Japanese hiragana: example, 418</w:t>
      </w:r>
    </w:p>
    <w:p w:rsidR="00B72047" w:rsidRDefault="00B72047">
      <w:pPr>
        <w:pStyle w:val="Index1"/>
        <w:rPr>
          <w:noProof/>
        </w:rPr>
      </w:pPr>
      <w:r>
        <w:rPr>
          <w:noProof/>
        </w:rPr>
        <w:t>Japanese katakana: example, 418</w:t>
      </w:r>
    </w:p>
    <w:p w:rsidR="00B72047" w:rsidRDefault="00B72047">
      <w:pPr>
        <w:pStyle w:val="Index1"/>
        <w:rPr>
          <w:noProof/>
        </w:rPr>
      </w:pPr>
      <w:r>
        <w:rPr>
          <w:noProof/>
        </w:rPr>
        <w:t>jargon: use of fu'ivla for, 61</w:t>
      </w:r>
    </w:p>
    <w:p w:rsidR="00B72047" w:rsidRDefault="00B72047">
      <w:pPr>
        <w:pStyle w:val="Index1"/>
        <w:rPr>
          <w:noProof/>
        </w:rPr>
      </w:pPr>
      <w:r>
        <w:rPr>
          <w:noProof/>
        </w:rPr>
        <w:t>je, 89, 208</w:t>
      </w:r>
    </w:p>
    <w:p w:rsidR="00B72047" w:rsidRDefault="00B72047">
      <w:pPr>
        <w:pStyle w:val="Index1"/>
        <w:rPr>
          <w:noProof/>
        </w:rPr>
      </w:pPr>
      <w:r>
        <w:rPr>
          <w:noProof/>
        </w:rPr>
        <w:t>je'e, 324, 325; contrasted with vi'o, 325</w:t>
      </w:r>
    </w:p>
    <w:p w:rsidR="00B72047" w:rsidRDefault="00B72047">
      <w:pPr>
        <w:pStyle w:val="Index1"/>
        <w:rPr>
          <w:noProof/>
        </w:rPr>
      </w:pPr>
      <w:r>
        <w:rPr>
          <w:noProof/>
        </w:rPr>
        <w:t>je'i, 352</w:t>
      </w:r>
    </w:p>
    <w:p w:rsidR="00B72047" w:rsidRDefault="00B72047">
      <w:pPr>
        <w:pStyle w:val="Index1"/>
        <w:rPr>
          <w:noProof/>
        </w:rPr>
      </w:pPr>
      <w:r>
        <w:rPr>
          <w:noProof/>
        </w:rPr>
        <w:t>jei, 262; place structure, 262</w:t>
      </w:r>
    </w:p>
    <w:p w:rsidR="00B72047" w:rsidRDefault="00B72047">
      <w:pPr>
        <w:pStyle w:val="Index1"/>
        <w:rPr>
          <w:noProof/>
        </w:rPr>
      </w:pPr>
      <w:r>
        <w:rPr>
          <w:noProof/>
        </w:rPr>
        <w:t>jek: definition, 336</w:t>
      </w:r>
    </w:p>
    <w:p w:rsidR="00B72047" w:rsidRDefault="00B72047">
      <w:pPr>
        <w:pStyle w:val="Index1"/>
        <w:rPr>
          <w:noProof/>
        </w:rPr>
      </w:pPr>
      <w:r>
        <w:rPr>
          <w:noProof/>
        </w:rPr>
        <w:t>jeks: connecting abstractors, 365; connecting operators, 361; syntax of, 350</w:t>
      </w:r>
    </w:p>
    <w:p w:rsidR="00B72047" w:rsidRDefault="00B72047">
      <w:pPr>
        <w:pStyle w:val="Index1"/>
        <w:rPr>
          <w:noProof/>
        </w:rPr>
      </w:pPr>
      <w:r>
        <w:rPr>
          <w:noProof/>
        </w:rPr>
        <w:t>Jesus, 266; example, 266</w:t>
      </w:r>
    </w:p>
    <w:p w:rsidR="00B72047" w:rsidRDefault="00B72047">
      <w:pPr>
        <w:pStyle w:val="Index1"/>
        <w:rPr>
          <w:noProof/>
        </w:rPr>
      </w:pPr>
      <w:r>
        <w:rPr>
          <w:noProof/>
        </w:rPr>
        <w:t>ji, 352</w:t>
      </w:r>
    </w:p>
    <w:p w:rsidR="00B72047" w:rsidRDefault="00B72047">
      <w:pPr>
        <w:pStyle w:val="Index1"/>
        <w:rPr>
          <w:noProof/>
        </w:rPr>
      </w:pPr>
      <w:r>
        <w:rPr>
          <w:noProof/>
        </w:rPr>
        <w:t>ji'a, 317</w:t>
      </w:r>
    </w:p>
    <w:p w:rsidR="00B72047" w:rsidRDefault="00B72047">
      <w:pPr>
        <w:pStyle w:val="Index1"/>
        <w:rPr>
          <w:noProof/>
        </w:rPr>
      </w:pPr>
      <w:r>
        <w:rPr>
          <w:noProof/>
        </w:rPr>
        <w:t>ji'i, 442; effect of placement, 442; with elided number, 443</w:t>
      </w:r>
    </w:p>
    <w:p w:rsidR="00B72047" w:rsidRDefault="00B72047">
      <w:pPr>
        <w:pStyle w:val="Index1"/>
        <w:rPr>
          <w:noProof/>
        </w:rPr>
      </w:pPr>
      <w:r>
        <w:rPr>
          <w:noProof/>
        </w:rPr>
        <w:t>Jim: example, 65</w:t>
      </w:r>
    </w:p>
    <w:p w:rsidR="00B72047" w:rsidRDefault="00B72047">
      <w:pPr>
        <w:pStyle w:val="Index1"/>
        <w:rPr>
          <w:noProof/>
        </w:rPr>
      </w:pPr>
      <w:r>
        <w:rPr>
          <w:noProof/>
        </w:rPr>
        <w:t>jo'a, 321</w:t>
      </w:r>
    </w:p>
    <w:p w:rsidR="00B72047" w:rsidRDefault="00B72047">
      <w:pPr>
        <w:pStyle w:val="Index1"/>
        <w:rPr>
          <w:noProof/>
        </w:rPr>
      </w:pPr>
      <w:r>
        <w:rPr>
          <w:noProof/>
        </w:rPr>
        <w:t>jo'e, 354, 356</w:t>
      </w:r>
    </w:p>
    <w:p w:rsidR="00B72047" w:rsidRDefault="00B72047">
      <w:pPr>
        <w:pStyle w:val="Index1"/>
        <w:rPr>
          <w:noProof/>
        </w:rPr>
      </w:pPr>
      <w:r>
        <w:rPr>
          <w:noProof/>
        </w:rPr>
        <w:t>JOhI selma’o, 451, 496; terminator for, 505</w:t>
      </w:r>
    </w:p>
    <w:p w:rsidR="00B72047" w:rsidRDefault="00B72047">
      <w:pPr>
        <w:pStyle w:val="Index1"/>
        <w:rPr>
          <w:noProof/>
        </w:rPr>
      </w:pPr>
      <w:r>
        <w:rPr>
          <w:noProof/>
        </w:rPr>
        <w:t>John and Sam: example, 11</w:t>
      </w:r>
    </w:p>
    <w:p w:rsidR="00B72047" w:rsidRDefault="00B72047">
      <w:pPr>
        <w:pStyle w:val="Index1"/>
        <w:rPr>
          <w:noProof/>
        </w:rPr>
      </w:pPr>
      <w:r>
        <w:rPr>
          <w:noProof/>
        </w:rPr>
        <w:t>John is coming: example, 297</w:t>
      </w:r>
    </w:p>
    <w:p w:rsidR="00B72047" w:rsidRDefault="00B72047">
      <w:pPr>
        <w:pStyle w:val="Index1"/>
        <w:rPr>
          <w:noProof/>
        </w:rPr>
      </w:pPr>
      <w:r>
        <w:rPr>
          <w:noProof/>
        </w:rPr>
        <w:t>John Jones: example, 65</w:t>
      </w:r>
    </w:p>
    <w:p w:rsidR="00B72047" w:rsidRDefault="00B72047">
      <w:pPr>
        <w:pStyle w:val="Index1"/>
        <w:rPr>
          <w:noProof/>
        </w:rPr>
      </w:pPr>
      <w:r>
        <w:rPr>
          <w:noProof/>
        </w:rPr>
        <w:t>John Paul Jones: example, 138</w:t>
      </w:r>
    </w:p>
    <w:p w:rsidR="00B72047" w:rsidRDefault="00B72047">
      <w:pPr>
        <w:pStyle w:val="Index1"/>
        <w:rPr>
          <w:noProof/>
        </w:rPr>
      </w:pPr>
      <w:r>
        <w:rPr>
          <w:noProof/>
        </w:rPr>
        <w:t>John says that George goes to market: example, 238</w:t>
      </w:r>
    </w:p>
    <w:p w:rsidR="00B72047" w:rsidRDefault="00B72047">
      <w:pPr>
        <w:pStyle w:val="Index1"/>
        <w:rPr>
          <w:noProof/>
        </w:rPr>
      </w:pPr>
      <w:r>
        <w:rPr>
          <w:noProof/>
        </w:rPr>
        <w:t>Johnson: example, 68</w:t>
      </w:r>
    </w:p>
    <w:p w:rsidR="00B72047" w:rsidRDefault="00B72047">
      <w:pPr>
        <w:pStyle w:val="Index1"/>
        <w:rPr>
          <w:noProof/>
        </w:rPr>
      </w:pPr>
      <w:r>
        <w:rPr>
          <w:noProof/>
        </w:rPr>
        <w:t>jo'i, 451; precedence of, 451</w:t>
      </w:r>
    </w:p>
    <w:p w:rsidR="00B72047" w:rsidRDefault="00B72047">
      <w:pPr>
        <w:pStyle w:val="Index1"/>
        <w:rPr>
          <w:noProof/>
        </w:rPr>
      </w:pPr>
      <w:r>
        <w:rPr>
          <w:noProof/>
        </w:rPr>
        <w:t>joi, 353, 354, 355</w:t>
      </w:r>
    </w:p>
    <w:p w:rsidR="00B72047" w:rsidRDefault="00B72047">
      <w:pPr>
        <w:pStyle w:val="Index1"/>
        <w:rPr>
          <w:noProof/>
        </w:rPr>
      </w:pPr>
      <w:r>
        <w:rPr>
          <w:noProof/>
        </w:rPr>
        <w:t>joi grammar: contrasted with eks, 354; contrasted with jeks, 354</w:t>
      </w:r>
    </w:p>
    <w:p w:rsidR="00B72047" w:rsidRDefault="00B72047">
      <w:pPr>
        <w:pStyle w:val="Index1"/>
        <w:rPr>
          <w:noProof/>
        </w:rPr>
      </w:pPr>
      <w:r>
        <w:rPr>
          <w:noProof/>
        </w:rPr>
        <w:t>JOI selma’o, 246, 336, 353, 354, 355, 357, 358, 360, 361, 364, 455, 470, 496</w:t>
      </w:r>
    </w:p>
    <w:p w:rsidR="00B72047" w:rsidRDefault="00B72047">
      <w:pPr>
        <w:pStyle w:val="Index1"/>
        <w:rPr>
          <w:noProof/>
        </w:rPr>
      </w:pPr>
      <w:r>
        <w:rPr>
          <w:noProof/>
        </w:rPr>
        <w:t>joigik: as name for compound cmavo, 336; definition, 361</w:t>
      </w:r>
    </w:p>
    <w:p w:rsidR="00B72047" w:rsidRDefault="00B72047">
      <w:pPr>
        <w:pStyle w:val="Index1"/>
        <w:rPr>
          <w:noProof/>
        </w:rPr>
      </w:pPr>
      <w:r>
        <w:rPr>
          <w:noProof/>
        </w:rPr>
        <w:t>joigiks: connection types, 361; syntax of, 361</w:t>
      </w:r>
    </w:p>
    <w:p w:rsidR="00B72047" w:rsidRDefault="00B72047">
      <w:pPr>
        <w:pStyle w:val="Index1"/>
        <w:rPr>
          <w:noProof/>
        </w:rPr>
      </w:pPr>
      <w:r>
        <w:rPr>
          <w:noProof/>
        </w:rPr>
        <w:t>joik: as name for compound cmavo, 336; definition, 354</w:t>
      </w:r>
    </w:p>
    <w:p w:rsidR="00B72047" w:rsidRDefault="00B72047">
      <w:pPr>
        <w:pStyle w:val="Index1"/>
        <w:rPr>
          <w:noProof/>
        </w:rPr>
      </w:pPr>
      <w:r>
        <w:rPr>
          <w:noProof/>
        </w:rPr>
        <w:t>joiks: effect of nai on, 358; grouping, 357; syntax of, 360; use of “se” in, 355</w:t>
      </w:r>
    </w:p>
    <w:p w:rsidR="00B72047" w:rsidRDefault="00B72047">
      <w:pPr>
        <w:pStyle w:val="Index1"/>
        <w:rPr>
          <w:noProof/>
        </w:rPr>
      </w:pPr>
      <w:r>
        <w:rPr>
          <w:noProof/>
        </w:rPr>
        <w:t>jokes, 4</w:t>
      </w:r>
    </w:p>
    <w:p w:rsidR="00B72047" w:rsidRDefault="00B72047">
      <w:pPr>
        <w:pStyle w:val="Index1"/>
        <w:rPr>
          <w:noProof/>
        </w:rPr>
      </w:pPr>
      <w:r>
        <w:rPr>
          <w:noProof/>
        </w:rPr>
        <w:t>Jones: John, example, 65</w:t>
      </w:r>
    </w:p>
    <w:p w:rsidR="00B72047" w:rsidRDefault="00B72047">
      <w:pPr>
        <w:pStyle w:val="Index1"/>
        <w:rPr>
          <w:noProof/>
        </w:rPr>
      </w:pPr>
      <w:r>
        <w:rPr>
          <w:noProof/>
        </w:rPr>
        <w:t>jo'u, 354, 355; contrasted with ce, 355; contrasted with ce'o, 355; contrasted with joi, 355; result of connection with, 355</w:t>
      </w:r>
    </w:p>
    <w:p w:rsidR="00B72047" w:rsidRDefault="00B72047">
      <w:pPr>
        <w:pStyle w:val="Index1"/>
        <w:rPr>
          <w:noProof/>
        </w:rPr>
      </w:pPr>
      <w:r>
        <w:rPr>
          <w:noProof/>
        </w:rPr>
        <w:t>j-sound in English: representation in Lojban, 31</w:t>
      </w:r>
    </w:p>
    <w:p w:rsidR="00B72047" w:rsidRDefault="00B72047">
      <w:pPr>
        <w:pStyle w:val="Index1"/>
        <w:rPr>
          <w:noProof/>
        </w:rPr>
      </w:pPr>
      <w:r>
        <w:rPr>
          <w:noProof/>
        </w:rPr>
        <w:t>ju'a, 317</w:t>
      </w:r>
    </w:p>
    <w:p w:rsidR="00B72047" w:rsidRDefault="00B72047">
      <w:pPr>
        <w:pStyle w:val="Index1"/>
        <w:rPr>
          <w:noProof/>
        </w:rPr>
      </w:pPr>
      <w:r>
        <w:rPr>
          <w:noProof/>
        </w:rPr>
        <w:t>ju'apei, 317</w:t>
      </w:r>
    </w:p>
    <w:p w:rsidR="00B72047" w:rsidRDefault="00B72047">
      <w:pPr>
        <w:pStyle w:val="Index1"/>
        <w:rPr>
          <w:noProof/>
        </w:rPr>
      </w:pPr>
      <w:r>
        <w:rPr>
          <w:noProof/>
        </w:rPr>
        <w:t>Judy: example, 294</w:t>
      </w:r>
    </w:p>
    <w:p w:rsidR="00B72047" w:rsidRDefault="00B72047">
      <w:pPr>
        <w:pStyle w:val="Index1"/>
        <w:rPr>
          <w:noProof/>
        </w:rPr>
      </w:pPr>
      <w:r>
        <w:rPr>
          <w:noProof/>
        </w:rPr>
        <w:t>ju'i, 324</w:t>
      </w:r>
    </w:p>
    <w:p w:rsidR="00B72047" w:rsidRDefault="00B72047">
      <w:pPr>
        <w:pStyle w:val="Index1"/>
        <w:rPr>
          <w:noProof/>
        </w:rPr>
      </w:pPr>
      <w:r>
        <w:rPr>
          <w:noProof/>
        </w:rPr>
        <w:t>ju'o, 319</w:t>
      </w:r>
    </w:p>
    <w:p w:rsidR="00B72047" w:rsidRDefault="00B72047">
      <w:pPr>
        <w:pStyle w:val="Index1"/>
        <w:rPr>
          <w:noProof/>
        </w:rPr>
      </w:pPr>
      <w:r>
        <w:rPr>
          <w:noProof/>
        </w:rPr>
        <w:t>Jupiter life: example, 365</w:t>
      </w:r>
    </w:p>
    <w:p w:rsidR="00B72047" w:rsidRDefault="00B72047">
      <w:pPr>
        <w:pStyle w:val="Index1"/>
        <w:rPr>
          <w:noProof/>
        </w:rPr>
      </w:pPr>
      <w:r>
        <w:rPr>
          <w:noProof/>
        </w:rPr>
        <w:t>juror 5: example, 181</w:t>
      </w:r>
    </w:p>
    <w:p w:rsidR="00B72047" w:rsidRDefault="00B72047">
      <w:pPr>
        <w:pStyle w:val="Index1"/>
        <w:rPr>
          <w:noProof/>
        </w:rPr>
      </w:pPr>
      <w:r>
        <w:rPr>
          <w:noProof/>
        </w:rPr>
        <w:t>ju'u: grammar of, 444</w:t>
      </w:r>
    </w:p>
    <w:p w:rsidR="00B72047" w:rsidRDefault="00B72047">
      <w:pPr>
        <w:pStyle w:val="Index1"/>
        <w:rPr>
          <w:noProof/>
        </w:rPr>
      </w:pPr>
      <w:r>
        <w:rPr>
          <w:noProof/>
        </w:rPr>
        <w:t>ka, 259</w:t>
      </w:r>
    </w:p>
    <w:p w:rsidR="00B72047" w:rsidRDefault="00B72047">
      <w:pPr>
        <w:pStyle w:val="Index1"/>
        <w:rPr>
          <w:noProof/>
        </w:rPr>
      </w:pPr>
      <w:r>
        <w:rPr>
          <w:noProof/>
        </w:rPr>
        <w:t>ka'a, 196</w:t>
      </w:r>
    </w:p>
    <w:p w:rsidR="00B72047" w:rsidRDefault="00B72047">
      <w:pPr>
        <w:pStyle w:val="Index1"/>
        <w:rPr>
          <w:noProof/>
        </w:rPr>
      </w:pPr>
      <w:r>
        <w:rPr>
          <w:noProof/>
        </w:rPr>
        <w:t>ka'e, 243</w:t>
      </w:r>
    </w:p>
    <w:p w:rsidR="00B72047" w:rsidRDefault="00B72047">
      <w:pPr>
        <w:pStyle w:val="Index1"/>
        <w:rPr>
          <w:noProof/>
        </w:rPr>
      </w:pPr>
      <w:r>
        <w:rPr>
          <w:noProof/>
        </w:rPr>
        <w:t>kanji: contrasted with alphabets and syllabaries, 420; representing based on romaji spelling, 420; representing based on strokes, 420</w:t>
      </w:r>
    </w:p>
    <w:p w:rsidR="00B72047" w:rsidRDefault="00B72047">
      <w:pPr>
        <w:pStyle w:val="Index1"/>
        <w:rPr>
          <w:noProof/>
        </w:rPr>
      </w:pPr>
      <w:r>
        <w:rPr>
          <w:noProof/>
        </w:rPr>
        <w:t>ka'o, 434; as special number compared with as numerical punctuation, 434</w:t>
      </w:r>
    </w:p>
    <w:p w:rsidR="00B72047" w:rsidRDefault="00B72047">
      <w:pPr>
        <w:pStyle w:val="Index1"/>
        <w:rPr>
          <w:noProof/>
        </w:rPr>
      </w:pPr>
      <w:r>
        <w:rPr>
          <w:noProof/>
        </w:rPr>
        <w:t>katakana: example, 418</w:t>
      </w:r>
    </w:p>
    <w:p w:rsidR="00B72047" w:rsidRDefault="00B72047">
      <w:pPr>
        <w:pStyle w:val="Index1"/>
        <w:rPr>
          <w:noProof/>
        </w:rPr>
      </w:pPr>
      <w:r>
        <w:rPr>
          <w:noProof/>
        </w:rPr>
        <w:t>Kate: example, 65</w:t>
      </w:r>
    </w:p>
    <w:p w:rsidR="00B72047" w:rsidRDefault="00B72047">
      <w:pPr>
        <w:pStyle w:val="Index1"/>
        <w:rPr>
          <w:noProof/>
        </w:rPr>
      </w:pPr>
      <w:r>
        <w:rPr>
          <w:noProof/>
        </w:rPr>
        <w:t>Katrina: example, 65</w:t>
      </w:r>
    </w:p>
    <w:p w:rsidR="00B72047" w:rsidRDefault="00B72047">
      <w:pPr>
        <w:pStyle w:val="Index1"/>
        <w:rPr>
          <w:noProof/>
        </w:rPr>
      </w:pPr>
      <w:r>
        <w:rPr>
          <w:noProof/>
        </w:rPr>
        <w:t>ka'u, 316</w:t>
      </w:r>
    </w:p>
    <w:p w:rsidR="00B72047" w:rsidRDefault="00B72047">
      <w:pPr>
        <w:pStyle w:val="Index1"/>
        <w:rPr>
          <w:noProof/>
        </w:rPr>
      </w:pPr>
      <w:r>
        <w:rPr>
          <w:noProof/>
        </w:rPr>
        <w:t>kau, 264, 323; ma kau, contrasted with la djan. kau, 264</w:t>
      </w:r>
    </w:p>
    <w:p w:rsidR="00B72047" w:rsidRDefault="00B72047">
      <w:pPr>
        <w:pStyle w:val="Index1"/>
        <w:rPr>
          <w:noProof/>
        </w:rPr>
      </w:pPr>
      <w:r>
        <w:rPr>
          <w:noProof/>
        </w:rPr>
        <w:t>ke, 88, 193, 205, 343, 344, 346, 350, 361, 364; contrasted with bo for tensed logical connection, 364; for conversion of tanru, 101; for expanding scope of scalar negation, 101</w:t>
      </w:r>
    </w:p>
    <w:p w:rsidR="00B72047" w:rsidRDefault="00B72047">
      <w:pPr>
        <w:pStyle w:val="Index1"/>
        <w:rPr>
          <w:noProof/>
        </w:rPr>
      </w:pPr>
      <w:r>
        <w:rPr>
          <w:noProof/>
        </w:rPr>
        <w:t>ke in sumti grouping: where allowed, 344</w:t>
      </w:r>
    </w:p>
    <w:p w:rsidR="00B72047" w:rsidRDefault="00B72047">
      <w:pPr>
        <w:pStyle w:val="Index1"/>
        <w:rPr>
          <w:noProof/>
        </w:rPr>
      </w:pPr>
      <w:r>
        <w:rPr>
          <w:noProof/>
        </w:rPr>
        <w:t>KE selma’o, 88, 343, 344, 350, 361, 364, 454, 496; terminator for, 497</w:t>
      </w:r>
    </w:p>
    <w:p w:rsidR="00B72047" w:rsidRDefault="00B72047">
      <w:pPr>
        <w:pStyle w:val="Index1"/>
        <w:rPr>
          <w:noProof/>
        </w:rPr>
      </w:pPr>
      <w:r>
        <w:rPr>
          <w:noProof/>
        </w:rPr>
        <w:t>ke'a, 160, 169; ambiguity when omitted, 161; and abstract descriptions, 161; as referent for relativized sumti, 169; contrasted with ri in relative clauses, 161; effect of omission of, 170; for relativized sumti in relative clauses, 160; meaning in relative clause inside relative clause, 184; non-initial place use in relative clause, 170; stability of, 162; subscripting for nested relative clauses, 161</w:t>
      </w:r>
    </w:p>
    <w:p w:rsidR="00B72047" w:rsidRDefault="00B72047">
      <w:pPr>
        <w:pStyle w:val="Index1"/>
        <w:rPr>
          <w:noProof/>
        </w:rPr>
      </w:pPr>
      <w:r>
        <w:rPr>
          <w:noProof/>
        </w:rPr>
        <w:t>ke'a with subscript: use for outer sumti reference, 184</w:t>
      </w:r>
    </w:p>
    <w:p w:rsidR="00B72047" w:rsidRDefault="00B72047">
      <w:pPr>
        <w:pStyle w:val="Index1"/>
        <w:rPr>
          <w:noProof/>
        </w:rPr>
      </w:pPr>
      <w:r>
        <w:rPr>
          <w:noProof/>
        </w:rPr>
        <w:t>ke'axipa, 184</w:t>
      </w:r>
    </w:p>
    <w:p w:rsidR="00B72047" w:rsidRDefault="00B72047">
      <w:pPr>
        <w:pStyle w:val="Index1"/>
        <w:rPr>
          <w:noProof/>
        </w:rPr>
      </w:pPr>
      <w:r>
        <w:rPr>
          <w:noProof/>
        </w:rPr>
        <w:t>ke'e, 88, 193, 205, 343, 361</w:t>
      </w:r>
    </w:p>
    <w:p w:rsidR="00B72047" w:rsidRDefault="00B72047">
      <w:pPr>
        <w:pStyle w:val="Index1"/>
        <w:rPr>
          <w:noProof/>
        </w:rPr>
      </w:pPr>
      <w:r>
        <w:rPr>
          <w:noProof/>
        </w:rPr>
        <w:t>KEhE selma’o, 88, 343, 346, 497</w:t>
      </w:r>
    </w:p>
    <w:p w:rsidR="00B72047" w:rsidRDefault="00B72047">
      <w:pPr>
        <w:pStyle w:val="Index1"/>
        <w:rPr>
          <w:noProof/>
        </w:rPr>
      </w:pPr>
      <w:r>
        <w:rPr>
          <w:noProof/>
        </w:rPr>
        <w:t>ke'i, 360, 362; etymology of, 360</w:t>
      </w:r>
    </w:p>
    <w:p w:rsidR="00B72047" w:rsidRDefault="00B72047">
      <w:pPr>
        <w:pStyle w:val="Index1"/>
        <w:rPr>
          <w:noProof/>
        </w:rPr>
      </w:pPr>
      <w:r>
        <w:rPr>
          <w:noProof/>
        </w:rPr>
        <w:t>KEI selma’o, 98, 255, 497; eliding, 255</w:t>
      </w:r>
    </w:p>
    <w:p w:rsidR="00B72047" w:rsidRDefault="00B72047">
      <w:pPr>
        <w:pStyle w:val="Index1"/>
        <w:rPr>
          <w:noProof/>
        </w:rPr>
      </w:pPr>
      <w:r>
        <w:rPr>
          <w:noProof/>
        </w:rPr>
        <w:t>ke'o, 325; compared to ki'a, 325</w:t>
      </w:r>
    </w:p>
    <w:p w:rsidR="00B72047" w:rsidRDefault="00B72047">
      <w:pPr>
        <w:pStyle w:val="Index1"/>
        <w:rPr>
          <w:noProof/>
        </w:rPr>
      </w:pPr>
      <w:r>
        <w:rPr>
          <w:noProof/>
        </w:rPr>
        <w:t>kei, 255, 262</w:t>
      </w:r>
    </w:p>
    <w:p w:rsidR="00B72047" w:rsidRDefault="00B72047">
      <w:pPr>
        <w:pStyle w:val="Index1"/>
        <w:rPr>
          <w:noProof/>
        </w:rPr>
      </w:pPr>
      <w:r>
        <w:rPr>
          <w:noProof/>
        </w:rPr>
        <w:t>kept on too long: example, 230</w:t>
      </w:r>
    </w:p>
    <w:p w:rsidR="00B72047" w:rsidRDefault="00B72047">
      <w:pPr>
        <w:pStyle w:val="Index1"/>
        <w:rPr>
          <w:noProof/>
        </w:rPr>
      </w:pPr>
      <w:r>
        <w:rPr>
          <w:noProof/>
        </w:rPr>
        <w:t>ke'u, 319; contrasted with va'i, 320</w:t>
      </w:r>
    </w:p>
    <w:p w:rsidR="00B72047" w:rsidRDefault="00B72047">
      <w:pPr>
        <w:pStyle w:val="Index1"/>
        <w:rPr>
          <w:noProof/>
        </w:rPr>
      </w:pPr>
      <w:r>
        <w:rPr>
          <w:noProof/>
        </w:rPr>
        <w:t>ke'unai, 320</w:t>
      </w:r>
    </w:p>
    <w:p w:rsidR="00B72047" w:rsidRDefault="00B72047">
      <w:pPr>
        <w:pStyle w:val="Index1"/>
        <w:rPr>
          <w:noProof/>
        </w:rPr>
      </w:pPr>
      <w:r>
        <w:rPr>
          <w:noProof/>
        </w:rPr>
        <w:t>Khrushchev: example, 68</w:t>
      </w:r>
    </w:p>
    <w:p w:rsidR="00B72047" w:rsidRDefault="00B72047">
      <w:pPr>
        <w:pStyle w:val="Index1"/>
        <w:rPr>
          <w:noProof/>
        </w:rPr>
      </w:pPr>
      <w:r>
        <w:rPr>
          <w:noProof/>
        </w:rPr>
        <w:t>ki, 207, 234, 243; with no tense, 235</w:t>
      </w:r>
    </w:p>
    <w:p w:rsidR="00B72047" w:rsidRDefault="00B72047">
      <w:pPr>
        <w:pStyle w:val="Index1"/>
        <w:rPr>
          <w:noProof/>
        </w:rPr>
      </w:pPr>
      <w:r>
        <w:rPr>
          <w:noProof/>
        </w:rPr>
        <w:t>KI selma’o, 234, 497</w:t>
      </w:r>
    </w:p>
    <w:p w:rsidR="00B72047" w:rsidRDefault="00B72047">
      <w:pPr>
        <w:pStyle w:val="Index1"/>
        <w:rPr>
          <w:noProof/>
        </w:rPr>
      </w:pPr>
      <w:r>
        <w:rPr>
          <w:noProof/>
        </w:rPr>
        <w:t>ki'a, 321; compared to ke’o, 325</w:t>
      </w:r>
    </w:p>
    <w:p w:rsidR="00B72047" w:rsidRDefault="00B72047">
      <w:pPr>
        <w:pStyle w:val="Index1"/>
        <w:rPr>
          <w:noProof/>
        </w:rPr>
      </w:pPr>
      <w:r>
        <w:rPr>
          <w:noProof/>
        </w:rPr>
        <w:t>ki'e, 324</w:t>
      </w:r>
    </w:p>
    <w:p w:rsidR="00B72047" w:rsidRDefault="00B72047">
      <w:pPr>
        <w:pStyle w:val="Index1"/>
        <w:rPr>
          <w:noProof/>
        </w:rPr>
      </w:pPr>
      <w:r>
        <w:rPr>
          <w:noProof/>
        </w:rPr>
        <w:t>killing Jim, 258; example, 258</w:t>
      </w:r>
    </w:p>
    <w:p w:rsidR="00B72047" w:rsidRDefault="00B72047">
      <w:pPr>
        <w:pStyle w:val="Index1"/>
        <w:rPr>
          <w:noProof/>
        </w:rPr>
      </w:pPr>
      <w:r>
        <w:rPr>
          <w:noProof/>
        </w:rPr>
        <w:t>ki'o, 433</w:t>
      </w:r>
    </w:p>
    <w:p w:rsidR="00B72047" w:rsidRDefault="00B72047">
      <w:pPr>
        <w:pStyle w:val="Index1"/>
        <w:rPr>
          <w:noProof/>
        </w:rPr>
      </w:pPr>
      <w:r>
        <w:rPr>
          <w:noProof/>
        </w:rPr>
        <w:t>kissing Jane, example, 256</w:t>
      </w:r>
    </w:p>
    <w:p w:rsidR="00B72047" w:rsidRDefault="00B72047">
      <w:pPr>
        <w:pStyle w:val="Index1"/>
        <w:rPr>
          <w:noProof/>
        </w:rPr>
      </w:pPr>
      <w:r>
        <w:rPr>
          <w:noProof/>
        </w:rPr>
        <w:t>ki'u, 197</w:t>
      </w:r>
    </w:p>
    <w:p w:rsidR="00B72047" w:rsidRDefault="00B72047">
      <w:pPr>
        <w:pStyle w:val="Index1"/>
        <w:rPr>
          <w:noProof/>
        </w:rPr>
      </w:pPr>
      <w:r>
        <w:rPr>
          <w:noProof/>
        </w:rPr>
        <w:t>klama, 187; place structure of, 187</w:t>
      </w:r>
    </w:p>
    <w:p w:rsidR="00B72047" w:rsidRDefault="00B72047">
      <w:pPr>
        <w:pStyle w:val="Index1"/>
        <w:rPr>
          <w:noProof/>
        </w:rPr>
      </w:pPr>
      <w:r>
        <w:rPr>
          <w:noProof/>
        </w:rPr>
        <w:t>know: example, 263</w:t>
      </w:r>
    </w:p>
    <w:p w:rsidR="00B72047" w:rsidRDefault="00B72047">
      <w:pPr>
        <w:pStyle w:val="Index1"/>
        <w:rPr>
          <w:noProof/>
        </w:rPr>
      </w:pPr>
      <w:r>
        <w:rPr>
          <w:noProof/>
        </w:rPr>
        <w:t>know who: contrasted with know that, 264; example, 264</w:t>
      </w:r>
    </w:p>
    <w:p w:rsidR="00B72047" w:rsidRDefault="00B72047">
      <w:pPr>
        <w:pStyle w:val="Index1"/>
        <w:rPr>
          <w:noProof/>
        </w:rPr>
      </w:pPr>
      <w:r>
        <w:rPr>
          <w:noProof/>
        </w:rPr>
        <w:t>knowledge discursives, 319; compared with propositional attitudes, 319</w:t>
      </w:r>
    </w:p>
    <w:p w:rsidR="00B72047" w:rsidRDefault="00B72047">
      <w:pPr>
        <w:pStyle w:val="Index1"/>
        <w:rPr>
          <w:noProof/>
        </w:rPr>
      </w:pPr>
      <w:r>
        <w:rPr>
          <w:noProof/>
        </w:rPr>
        <w:t>ko, 119, 146; in later selbri place in imperative, 147; in sub-clause of main bridi, 147; quick-tour version, 22; use for commands, 146; use for imperatives, 146</w:t>
      </w:r>
    </w:p>
    <w:p w:rsidR="00B72047" w:rsidRDefault="00B72047">
      <w:pPr>
        <w:pStyle w:val="Index1"/>
        <w:rPr>
          <w:noProof/>
        </w:rPr>
      </w:pPr>
      <w:r>
        <w:rPr>
          <w:noProof/>
        </w:rPr>
        <w:t>ko'a, 150</w:t>
      </w:r>
    </w:p>
    <w:p w:rsidR="00B72047" w:rsidRDefault="00B72047">
      <w:pPr>
        <w:pStyle w:val="Index1"/>
        <w:rPr>
          <w:noProof/>
        </w:rPr>
      </w:pPr>
      <w:r>
        <w:rPr>
          <w:noProof/>
        </w:rPr>
        <w:t>ko'a-series: after tenth, 472</w:t>
      </w:r>
    </w:p>
    <w:p w:rsidR="00B72047" w:rsidRDefault="00B72047">
      <w:pPr>
        <w:pStyle w:val="Index1"/>
        <w:rPr>
          <w:noProof/>
        </w:rPr>
      </w:pPr>
      <w:r>
        <w:rPr>
          <w:noProof/>
        </w:rPr>
        <w:t>ko'a-series for pro-sumti: compared with broda-series for pro-bridi, 151</w:t>
      </w:r>
    </w:p>
    <w:p w:rsidR="00B72047" w:rsidRDefault="00B72047">
      <w:pPr>
        <w:pStyle w:val="Index1"/>
        <w:rPr>
          <w:noProof/>
        </w:rPr>
      </w:pPr>
      <w:r>
        <w:rPr>
          <w:noProof/>
        </w:rPr>
        <w:t>ko'a-series pro-sumti, 150; as assignable, 150; assigning with goi, 150; assignment with goi as symmetrical, 150; contrasted with lerfu as pro-sumti in explicit assignment of, 152; effect on ri-series pro-sumti, 153</w:t>
      </w:r>
    </w:p>
    <w:p w:rsidR="00B72047" w:rsidRDefault="00B72047">
      <w:pPr>
        <w:pStyle w:val="Index1"/>
        <w:rPr>
          <w:noProof/>
        </w:rPr>
      </w:pPr>
      <w:r>
        <w:rPr>
          <w:noProof/>
        </w:rPr>
        <w:t>KOhA selma’o, 145, 260, 469, 497</w:t>
      </w:r>
    </w:p>
    <w:p w:rsidR="00B72047" w:rsidRDefault="00B72047">
      <w:pPr>
        <w:pStyle w:val="Index1"/>
        <w:rPr>
          <w:noProof/>
        </w:rPr>
      </w:pPr>
      <w:r>
        <w:rPr>
          <w:noProof/>
        </w:rPr>
        <w:t>Korean: example, 64</w:t>
      </w:r>
    </w:p>
    <w:p w:rsidR="00B72047" w:rsidRDefault="00B72047">
      <w:pPr>
        <w:pStyle w:val="Index1"/>
        <w:rPr>
          <w:noProof/>
        </w:rPr>
      </w:pPr>
      <w:r>
        <w:rPr>
          <w:noProof/>
        </w:rPr>
        <w:t>Krishna: example, 68</w:t>
      </w:r>
    </w:p>
    <w:p w:rsidR="00B72047" w:rsidRDefault="00B72047">
      <w:pPr>
        <w:pStyle w:val="Index1"/>
        <w:rPr>
          <w:noProof/>
        </w:rPr>
      </w:pPr>
      <w:r>
        <w:rPr>
          <w:noProof/>
        </w:rPr>
        <w:t>ku, 122, 177, 201, 216, 354; as elidable terminator for descriptions, 122; effect of following selbri on elidability of, 122; effect of possessive sumti on elidability of, 181; effect on of omitting descriptor, 132; quick-tour version, 19; uses of, 122; with tense, 216</w:t>
      </w:r>
    </w:p>
    <w:p w:rsidR="00B72047" w:rsidRDefault="00B72047">
      <w:pPr>
        <w:pStyle w:val="Index1"/>
        <w:rPr>
          <w:noProof/>
        </w:rPr>
      </w:pPr>
      <w:r>
        <w:rPr>
          <w:noProof/>
        </w:rPr>
        <w:t>KU selma’o, 354, 497; quick-tour version, 19</w:t>
      </w:r>
    </w:p>
    <w:p w:rsidR="00B72047" w:rsidRDefault="00B72047">
      <w:pPr>
        <w:pStyle w:val="Index1"/>
        <w:rPr>
          <w:noProof/>
        </w:rPr>
      </w:pPr>
      <w:r>
        <w:rPr>
          <w:noProof/>
        </w:rPr>
        <w:t>ku'a, 354, 356</w:t>
      </w:r>
    </w:p>
    <w:p w:rsidR="00B72047" w:rsidRDefault="00B72047">
      <w:pPr>
        <w:pStyle w:val="Index1"/>
        <w:rPr>
          <w:noProof/>
        </w:rPr>
      </w:pPr>
      <w:r>
        <w:rPr>
          <w:noProof/>
        </w:rPr>
        <w:t>ku'e, 438</w:t>
      </w:r>
    </w:p>
    <w:p w:rsidR="00B72047" w:rsidRDefault="00B72047">
      <w:pPr>
        <w:pStyle w:val="Index1"/>
        <w:rPr>
          <w:noProof/>
        </w:rPr>
      </w:pPr>
      <w:r>
        <w:rPr>
          <w:noProof/>
        </w:rPr>
        <w:t>KUhE selma’o, 497</w:t>
      </w:r>
    </w:p>
    <w:p w:rsidR="00B72047" w:rsidRDefault="00B72047">
      <w:pPr>
        <w:pStyle w:val="Index1"/>
        <w:rPr>
          <w:noProof/>
        </w:rPr>
      </w:pPr>
      <w:r>
        <w:rPr>
          <w:noProof/>
        </w:rPr>
        <w:t>KUhO selma’o, 169, 498</w:t>
      </w:r>
    </w:p>
    <w:p w:rsidR="00B72047" w:rsidRDefault="00B72047">
      <w:pPr>
        <w:pStyle w:val="Index1"/>
        <w:rPr>
          <w:noProof/>
        </w:rPr>
      </w:pPr>
      <w:r>
        <w:rPr>
          <w:noProof/>
        </w:rPr>
        <w:t>ku'i, 317, 353</w:t>
      </w:r>
    </w:p>
    <w:p w:rsidR="00B72047" w:rsidRDefault="00B72047">
      <w:pPr>
        <w:pStyle w:val="Index1"/>
        <w:rPr>
          <w:noProof/>
        </w:rPr>
      </w:pPr>
      <w:r>
        <w:rPr>
          <w:noProof/>
        </w:rPr>
        <w:t>ku'o, 169, 178, 394; effect of relative clause after descriptor on elidability, 178; effect of vau on elidability, 181; elidability for relative clauses, 170</w:t>
      </w:r>
    </w:p>
    <w:p w:rsidR="00B72047" w:rsidRDefault="00B72047">
      <w:pPr>
        <w:pStyle w:val="Index1"/>
        <w:rPr>
          <w:noProof/>
        </w:rPr>
      </w:pPr>
      <w:r>
        <w:rPr>
          <w:noProof/>
        </w:rPr>
        <w:t>Kzinti: communication with, 329</w:t>
      </w:r>
    </w:p>
    <w:p w:rsidR="00B72047" w:rsidRDefault="00B72047">
      <w:pPr>
        <w:pStyle w:val="Index1"/>
        <w:rPr>
          <w:noProof/>
        </w:rPr>
      </w:pPr>
      <w:r>
        <w:rPr>
          <w:noProof/>
        </w:rPr>
        <w:t>la, 119, 121, 129, 137, 138; compared with le in specificity, 121; contrasted with lai in implications, 124; contrasted with le in implications, 122; contrasted with lo in implications, 122; contrasted with vocatives, 323; contrasted with zo, 478; implications of, 121; use with descriptions contrasted with use before Lojbanized names, 121</w:t>
      </w:r>
    </w:p>
    <w:p w:rsidR="00B72047" w:rsidRDefault="00B72047">
      <w:pPr>
        <w:pStyle w:val="Index1"/>
        <w:rPr>
          <w:noProof/>
        </w:rPr>
      </w:pPr>
      <w:r>
        <w:rPr>
          <w:noProof/>
        </w:rPr>
        <w:t>LA selma’o, 120, 138, 193, 498; contrasted with LE in use of name-words, 138; effect on necessity for pause before name-word, 138; terminator for, 497</w:t>
      </w:r>
    </w:p>
    <w:p w:rsidR="00B72047" w:rsidRDefault="00B72047">
      <w:pPr>
        <w:pStyle w:val="Index1"/>
        <w:rPr>
          <w:noProof/>
        </w:rPr>
      </w:pPr>
      <w:r>
        <w:rPr>
          <w:noProof/>
        </w:rPr>
        <w:t>la'a, 319</w:t>
      </w:r>
    </w:p>
    <w:p w:rsidR="00B72047" w:rsidRDefault="00B72047">
      <w:pPr>
        <w:pStyle w:val="Index1"/>
        <w:rPr>
          <w:noProof/>
        </w:rPr>
      </w:pPr>
      <w:r>
        <w:rPr>
          <w:noProof/>
        </w:rPr>
        <w:t>Lady: example, 66</w:t>
      </w:r>
    </w:p>
    <w:p w:rsidR="00B72047" w:rsidRDefault="00B72047">
      <w:pPr>
        <w:pStyle w:val="Index1"/>
        <w:rPr>
          <w:noProof/>
        </w:rPr>
      </w:pPr>
      <w:r>
        <w:rPr>
          <w:noProof/>
        </w:rPr>
        <w:t>la'e, 134, 149, 182, 422, 459, 478; as short for “le selsinxa be”, 134; effect of on meaning, 134</w:t>
      </w:r>
    </w:p>
    <w:p w:rsidR="00B72047" w:rsidRDefault="00B72047">
      <w:pPr>
        <w:pStyle w:val="Index1"/>
        <w:rPr>
          <w:noProof/>
        </w:rPr>
      </w:pPr>
      <w:r>
        <w:rPr>
          <w:noProof/>
        </w:rPr>
        <w:t>la'e lu: compared with me'o, 422</w:t>
      </w:r>
    </w:p>
    <w:p w:rsidR="00B72047" w:rsidRDefault="00B72047">
      <w:pPr>
        <w:pStyle w:val="Index1"/>
        <w:rPr>
          <w:noProof/>
        </w:rPr>
      </w:pPr>
      <w:r>
        <w:rPr>
          <w:noProof/>
        </w:rPr>
        <w:t>la'edi'u, 149; contrasted with di'u, 149; quick-tour version, 21</w:t>
      </w:r>
    </w:p>
    <w:p w:rsidR="00B72047" w:rsidRDefault="00B72047">
      <w:pPr>
        <w:pStyle w:val="Index1"/>
        <w:rPr>
          <w:noProof/>
        </w:rPr>
      </w:pPr>
      <w:r>
        <w:rPr>
          <w:noProof/>
        </w:rPr>
        <w:t>LAhE selma’o, 133, 149, 182, 266, 478, 498; effect of relative clause placement with, 182; terminator for, 499</w:t>
      </w:r>
    </w:p>
    <w:p w:rsidR="00B72047" w:rsidRDefault="00B72047">
      <w:pPr>
        <w:pStyle w:val="Index1"/>
        <w:rPr>
          <w:noProof/>
        </w:rPr>
      </w:pPr>
      <w:r>
        <w:rPr>
          <w:noProof/>
        </w:rPr>
        <w:t>la'i, 125, 130, 138; as set counterpart of lai, 125</w:t>
      </w:r>
    </w:p>
    <w:p w:rsidR="00B72047" w:rsidRDefault="00B72047">
      <w:pPr>
        <w:pStyle w:val="Index1"/>
        <w:rPr>
          <w:noProof/>
        </w:rPr>
      </w:pPr>
      <w:r>
        <w:rPr>
          <w:noProof/>
        </w:rPr>
        <w:t>lai, 123, 130, 137, 138; as mass counterpart of lai, 123; contrasted with la in implications, 124</w:t>
      </w:r>
    </w:p>
    <w:p w:rsidR="00B72047" w:rsidRDefault="00B72047">
      <w:pPr>
        <w:pStyle w:val="Index1"/>
        <w:rPr>
          <w:noProof/>
        </w:rPr>
      </w:pPr>
      <w:r>
        <w:rPr>
          <w:noProof/>
        </w:rPr>
        <w:t>lambda calculus: operator and operand distinction in, 460</w:t>
      </w:r>
    </w:p>
    <w:p w:rsidR="00B72047" w:rsidRDefault="00B72047">
      <w:pPr>
        <w:pStyle w:val="Index1"/>
        <w:rPr>
          <w:noProof/>
        </w:rPr>
      </w:pPr>
      <w:r>
        <w:rPr>
          <w:noProof/>
        </w:rPr>
        <w:t>language shift: based on name + bu, 418; choice of Lojban-lerfu-word counterpart, 417; compound, 418; effect on following words, 417; formation of shift alphabet name, 418; interaction with bu, 417; rationale for, 417; standardization of, 418</w:t>
      </w:r>
    </w:p>
    <w:p w:rsidR="00B72047" w:rsidRDefault="00B72047">
      <w:pPr>
        <w:pStyle w:val="Index1"/>
        <w:rPr>
          <w:noProof/>
        </w:rPr>
      </w:pPr>
      <w:r>
        <w:rPr>
          <w:noProof/>
        </w:rPr>
        <w:t>languages: abbreviations for, 104</w:t>
      </w:r>
    </w:p>
    <w:p w:rsidR="00B72047" w:rsidRDefault="00B72047">
      <w:pPr>
        <w:pStyle w:val="Index1"/>
        <w:rPr>
          <w:noProof/>
        </w:rPr>
      </w:pPr>
      <w:r>
        <w:rPr>
          <w:noProof/>
        </w:rPr>
        <w:t>la'o, 61, 416, 479; interaction with bu, 416</w:t>
      </w:r>
    </w:p>
    <w:p w:rsidR="00B72047" w:rsidRDefault="00B72047">
      <w:pPr>
        <w:pStyle w:val="Index1"/>
        <w:rPr>
          <w:noProof/>
        </w:rPr>
      </w:pPr>
      <w:r>
        <w:rPr>
          <w:noProof/>
        </w:rPr>
        <w:t>Laplace: example, 65</w:t>
      </w:r>
    </w:p>
    <w:p w:rsidR="00B72047" w:rsidRDefault="00B72047">
      <w:pPr>
        <w:pStyle w:val="Index1"/>
        <w:rPr>
          <w:noProof/>
        </w:rPr>
      </w:pPr>
      <w:r>
        <w:rPr>
          <w:noProof/>
        </w:rPr>
        <w:t>large meal: example, 310</w:t>
      </w:r>
    </w:p>
    <w:p w:rsidR="00B72047" w:rsidRDefault="00B72047">
      <w:pPr>
        <w:pStyle w:val="Index1"/>
        <w:rPr>
          <w:noProof/>
        </w:rPr>
      </w:pPr>
      <w:r>
        <w:rPr>
          <w:noProof/>
        </w:rPr>
        <w:t>large-base decimal fraction: expressing, 445</w:t>
      </w:r>
    </w:p>
    <w:p w:rsidR="00B72047" w:rsidRDefault="00B72047">
      <w:pPr>
        <w:pStyle w:val="Index1"/>
        <w:rPr>
          <w:noProof/>
        </w:rPr>
      </w:pPr>
      <w:r>
        <w:rPr>
          <w:noProof/>
        </w:rPr>
        <w:t>la-series descriptors: compared with le-series in implicit quantification, 130</w:t>
      </w:r>
    </w:p>
    <w:p w:rsidR="00B72047" w:rsidRDefault="00B72047">
      <w:pPr>
        <w:pStyle w:val="Index1"/>
        <w:rPr>
          <w:noProof/>
        </w:rPr>
      </w:pPr>
      <w:r>
        <w:rPr>
          <w:noProof/>
        </w:rPr>
        <w:t>latent component, 291</w:t>
      </w:r>
    </w:p>
    <w:p w:rsidR="00B72047" w:rsidRDefault="00B72047">
      <w:pPr>
        <w:pStyle w:val="Index1"/>
        <w:rPr>
          <w:noProof/>
        </w:rPr>
      </w:pPr>
      <w:r>
        <w:rPr>
          <w:noProof/>
        </w:rPr>
        <w:t>Latin: alphabet of Lojban, 413</w:t>
      </w:r>
    </w:p>
    <w:p w:rsidR="00B72047" w:rsidRDefault="00B72047">
      <w:pPr>
        <w:pStyle w:val="Index1"/>
        <w:rPr>
          <w:noProof/>
        </w:rPr>
      </w:pPr>
      <w:r>
        <w:rPr>
          <w:noProof/>
        </w:rPr>
        <w:t>Latin alphabet, 29; language shift word for, 417</w:t>
      </w:r>
    </w:p>
    <w:p w:rsidR="00B72047" w:rsidRDefault="00B72047">
      <w:pPr>
        <w:pStyle w:val="Index1"/>
        <w:rPr>
          <w:noProof/>
        </w:rPr>
      </w:pPr>
      <w:r>
        <w:rPr>
          <w:noProof/>
        </w:rPr>
        <w:t>lau, 419; effect on following lerfu word, 419</w:t>
      </w:r>
    </w:p>
    <w:p w:rsidR="00B72047" w:rsidRDefault="00B72047">
      <w:pPr>
        <w:pStyle w:val="Index1"/>
        <w:rPr>
          <w:noProof/>
        </w:rPr>
      </w:pPr>
      <w:r>
        <w:rPr>
          <w:noProof/>
        </w:rPr>
        <w:t>LAU selma’o, 415, 418, 419, 498; grammar of following BY, 426</w:t>
      </w:r>
    </w:p>
    <w:p w:rsidR="00B72047" w:rsidRDefault="00B72047">
      <w:pPr>
        <w:pStyle w:val="Index1"/>
        <w:rPr>
          <w:noProof/>
        </w:rPr>
      </w:pPr>
      <w:r>
        <w:rPr>
          <w:noProof/>
        </w:rPr>
        <w:t>le, 119, 129, 177, 354; and specificity, 120; and truth of selbri, 120; compared with English ”the”, 120; compared with la in specificity, 121; contrasted with lo in implications, 122; contrasted with lo in implicit quantification, 131; contrasted with lo in specificity, 121; contrasted with lo in truth requirement, 121; implications of, 120; implicit outer quantifier for, 131; in false-to-fact descriptions, 120; meaning of in the plural, 123</w:t>
      </w:r>
    </w:p>
    <w:p w:rsidR="00B72047" w:rsidRDefault="00B72047">
      <w:pPr>
        <w:pStyle w:val="Index1"/>
        <w:rPr>
          <w:noProof/>
        </w:rPr>
      </w:pPr>
      <w:r>
        <w:rPr>
          <w:noProof/>
        </w:rPr>
        <w:t>le contrasted with lo: for relative clause placement considerations, 179</w:t>
      </w:r>
    </w:p>
    <w:p w:rsidR="00B72047" w:rsidRDefault="00B72047">
      <w:pPr>
        <w:pStyle w:val="Index1"/>
        <w:rPr>
          <w:noProof/>
        </w:rPr>
      </w:pPr>
      <w:r>
        <w:rPr>
          <w:noProof/>
        </w:rPr>
        <w:t>le nu: definition, 256</w:t>
      </w:r>
    </w:p>
    <w:p w:rsidR="00B72047" w:rsidRDefault="00B72047">
      <w:pPr>
        <w:pStyle w:val="Index1"/>
        <w:rPr>
          <w:noProof/>
        </w:rPr>
      </w:pPr>
      <w:r>
        <w:rPr>
          <w:noProof/>
        </w:rPr>
        <w:t>LE selma’o, 120, 193, 247, 354, 498; contrasted with LA in use of name-words, 138; terminator for, 497</w:t>
      </w:r>
    </w:p>
    <w:p w:rsidR="00B72047" w:rsidRDefault="00B72047">
      <w:pPr>
        <w:pStyle w:val="Index1"/>
        <w:rPr>
          <w:noProof/>
        </w:rPr>
      </w:pPr>
      <w:r>
        <w:rPr>
          <w:noProof/>
        </w:rPr>
        <w:t>learning Lojban: magnitude of task, 53</w:t>
      </w:r>
    </w:p>
    <w:p w:rsidR="00B72047" w:rsidRDefault="00B72047">
      <w:pPr>
        <w:pStyle w:val="Index1"/>
        <w:rPr>
          <w:noProof/>
        </w:rPr>
      </w:pPr>
      <w:r>
        <w:rPr>
          <w:noProof/>
        </w:rPr>
        <w:t>Lech Walesa: example, 68</w:t>
      </w:r>
    </w:p>
    <w:p w:rsidR="00B72047" w:rsidRDefault="00B72047">
      <w:pPr>
        <w:pStyle w:val="Index1"/>
        <w:rPr>
          <w:noProof/>
        </w:rPr>
      </w:pPr>
      <w:r>
        <w:rPr>
          <w:noProof/>
        </w:rPr>
        <w:t>le'e, 126, 130; relationship to le'i, 126</w:t>
      </w:r>
    </w:p>
    <w:p w:rsidR="00B72047" w:rsidRDefault="00B72047">
      <w:pPr>
        <w:pStyle w:val="Index1"/>
        <w:rPr>
          <w:noProof/>
        </w:rPr>
      </w:pPr>
      <w:r>
        <w:rPr>
          <w:noProof/>
        </w:rPr>
        <w:t>left-grouping rule: definition of, 86</w:t>
      </w:r>
    </w:p>
    <w:p w:rsidR="00B72047" w:rsidRDefault="00B72047">
      <w:pPr>
        <w:pStyle w:val="Index1"/>
        <w:rPr>
          <w:noProof/>
        </w:rPr>
      </w:pPr>
      <w:r>
        <w:rPr>
          <w:noProof/>
        </w:rPr>
        <w:t>legal jargon: example, 151</w:t>
      </w:r>
    </w:p>
    <w:p w:rsidR="00B72047" w:rsidRDefault="00B72047">
      <w:pPr>
        <w:pStyle w:val="Index1"/>
        <w:rPr>
          <w:noProof/>
        </w:rPr>
      </w:pPr>
      <w:r>
        <w:rPr>
          <w:noProof/>
        </w:rPr>
        <w:t>legal system, 262</w:t>
      </w:r>
    </w:p>
    <w:p w:rsidR="00B72047" w:rsidRDefault="00B72047">
      <w:pPr>
        <w:pStyle w:val="Index1"/>
        <w:rPr>
          <w:noProof/>
        </w:rPr>
      </w:pPr>
      <w:r>
        <w:rPr>
          <w:noProof/>
        </w:rPr>
        <w:t>legalities: boring, 8</w:t>
      </w:r>
    </w:p>
    <w:p w:rsidR="00B72047" w:rsidRDefault="00B72047">
      <w:pPr>
        <w:pStyle w:val="Index1"/>
        <w:rPr>
          <w:noProof/>
        </w:rPr>
      </w:pPr>
      <w:r>
        <w:rPr>
          <w:noProof/>
        </w:rPr>
        <w:t>LEhU selma’o, 476, 498</w:t>
      </w:r>
    </w:p>
    <w:p w:rsidR="00B72047" w:rsidRDefault="00B72047">
      <w:pPr>
        <w:pStyle w:val="Index1"/>
        <w:rPr>
          <w:noProof/>
        </w:rPr>
      </w:pPr>
      <w:r>
        <w:rPr>
          <w:noProof/>
        </w:rPr>
        <w:t>le'i, 125, 130; as set counterpart of lei, 125; relationship to le'e, 126</w:t>
      </w:r>
    </w:p>
    <w:p w:rsidR="00B72047" w:rsidRDefault="00B72047">
      <w:pPr>
        <w:pStyle w:val="Index1"/>
        <w:rPr>
          <w:noProof/>
        </w:rPr>
      </w:pPr>
      <w:r>
        <w:rPr>
          <w:noProof/>
        </w:rPr>
        <w:t>lei, 123, 130; contrasted with loi in specificity, 124</w:t>
      </w:r>
    </w:p>
    <w:p w:rsidR="00B72047" w:rsidRDefault="00B72047">
      <w:pPr>
        <w:pStyle w:val="Index1"/>
        <w:rPr>
          <w:noProof/>
        </w:rPr>
      </w:pPr>
      <w:r>
        <w:rPr>
          <w:noProof/>
        </w:rPr>
        <w:t>lemon tree: example, 84</w:t>
      </w:r>
    </w:p>
    <w:p w:rsidR="00B72047" w:rsidRDefault="00B72047">
      <w:pPr>
        <w:pStyle w:val="Index1"/>
        <w:rPr>
          <w:noProof/>
        </w:rPr>
      </w:pPr>
      <w:r>
        <w:rPr>
          <w:noProof/>
        </w:rPr>
        <w:t xml:space="preserve">Length </w:t>
      </w:r>
      <w:r>
        <w:rPr>
          <w:rStyle w:val="xeentry"/>
          <w:noProof/>
        </w:rPr>
        <w:sym w:font="Symbol" w:char="F0B4"/>
      </w:r>
      <w:r>
        <w:rPr>
          <w:noProof/>
        </w:rPr>
        <w:t xml:space="preserve"> Width </w:t>
      </w:r>
      <w:r>
        <w:rPr>
          <w:rStyle w:val="xeentry"/>
          <w:noProof/>
        </w:rPr>
        <w:sym w:font="Symbol" w:char="F0B4"/>
      </w:r>
      <w:r>
        <w:rPr>
          <w:noProof/>
        </w:rPr>
        <w:t xml:space="preserve"> Depth = Volume: example, 456</w:t>
      </w:r>
    </w:p>
    <w:p w:rsidR="00B72047" w:rsidRDefault="00B72047">
      <w:pPr>
        <w:pStyle w:val="Index1"/>
        <w:rPr>
          <w:noProof/>
        </w:rPr>
      </w:pPr>
      <w:r>
        <w:rPr>
          <w:noProof/>
        </w:rPr>
        <w:t>le'o, 309</w:t>
      </w:r>
    </w:p>
    <w:p w:rsidR="00B72047" w:rsidRDefault="00B72047">
      <w:pPr>
        <w:pStyle w:val="Index1"/>
        <w:rPr>
          <w:noProof/>
        </w:rPr>
      </w:pPr>
      <w:r>
        <w:rPr>
          <w:noProof/>
        </w:rPr>
        <w:t>Lepidoptera: example, 18</w:t>
      </w:r>
    </w:p>
    <w:p w:rsidR="00B72047" w:rsidRDefault="00B72047">
      <w:pPr>
        <w:pStyle w:val="Index1"/>
        <w:rPr>
          <w:noProof/>
        </w:rPr>
      </w:pPr>
      <w:r>
        <w:rPr>
          <w:noProof/>
        </w:rPr>
        <w:t>lerfu: as assignable pro-sumti, 152; contrasted with lerfu word, 413; definition, 413; reference to, 422; referring to with me'o, 422</w:t>
      </w:r>
    </w:p>
    <w:p w:rsidR="00B72047" w:rsidRDefault="00B72047">
      <w:pPr>
        <w:pStyle w:val="Index1"/>
        <w:rPr>
          <w:noProof/>
        </w:rPr>
      </w:pPr>
      <w:r>
        <w:rPr>
          <w:noProof/>
        </w:rPr>
        <w:t>lerfu as pro-sumti: contrasted with ko'a-series in explicit assignment of, 152; explicit assignment of antecedent, 152; implicit assignment of antecedent, 152</w:t>
      </w:r>
    </w:p>
    <w:p w:rsidR="00B72047" w:rsidRDefault="00B72047">
      <w:pPr>
        <w:pStyle w:val="Index1"/>
        <w:rPr>
          <w:noProof/>
        </w:rPr>
      </w:pPr>
      <w:r>
        <w:rPr>
          <w:noProof/>
        </w:rPr>
        <w:t>lerfu juxtaposition interpretation: contrasted with mathematical interpretation, 423</w:t>
      </w:r>
    </w:p>
    <w:p w:rsidR="00B72047" w:rsidRDefault="00B72047">
      <w:pPr>
        <w:pStyle w:val="Index1"/>
        <w:rPr>
          <w:noProof/>
        </w:rPr>
      </w:pPr>
      <w:r>
        <w:rPr>
          <w:noProof/>
        </w:rPr>
        <w:t>lerfu pro-sumti: effect on ri-series pro-sumti, 153</w:t>
      </w:r>
    </w:p>
    <w:p w:rsidR="00B72047" w:rsidRDefault="00B72047">
      <w:pPr>
        <w:pStyle w:val="Index1"/>
        <w:rPr>
          <w:noProof/>
        </w:rPr>
      </w:pPr>
      <w:r>
        <w:rPr>
          <w:noProof/>
        </w:rPr>
        <w:t>lerfu shift scope: exception for mathematical texts, 423</w:t>
      </w:r>
    </w:p>
    <w:p w:rsidR="00B72047" w:rsidRDefault="00B72047">
      <w:pPr>
        <w:pStyle w:val="Index1"/>
        <w:rPr>
          <w:noProof/>
        </w:rPr>
      </w:pPr>
      <w:r>
        <w:rPr>
          <w:noProof/>
        </w:rPr>
        <w:t>lerfu string: as acronym using “me”, 424; as function name, 423; as function, in mathematics, 438; as mathematical variable, 422; as pro-sumti, 421; as pro-sumti assigned by goi, 421; as pro-sumti, assumption of reference, 421; as pro-sumti, for multiple sumti separated by boi, 421; as quantifier, 423; as quantifier, avoiding interaction with sumti quantifier, 423; as selbri, 423; as subscript, 423; as utterance ordinal, 423; as variable, in mathematics, 438; definition, 420; in mathematical expressions, 437; interpretation of contrasted with normal mathematical interpretation, 437; interpretation, contrasted with mathematical interpretation, 423; use in mathematics, 422; with numerical selbri, 448</w:t>
      </w:r>
    </w:p>
    <w:p w:rsidR="00B72047" w:rsidRDefault="00B72047">
      <w:pPr>
        <w:pStyle w:val="Index1"/>
        <w:rPr>
          <w:noProof/>
        </w:rPr>
      </w:pPr>
      <w:r>
        <w:rPr>
          <w:noProof/>
        </w:rPr>
        <w:t>lerfu word: contrasted with lerfu, 413; for “ ' ”, 414</w:t>
      </w:r>
    </w:p>
    <w:p w:rsidR="00B72047" w:rsidRDefault="00B72047">
      <w:pPr>
        <w:pStyle w:val="Index1"/>
        <w:rPr>
          <w:noProof/>
        </w:rPr>
      </w:pPr>
      <w:r>
        <w:rPr>
          <w:noProof/>
        </w:rPr>
        <w:t>lerfu word cmavo: list of auxiliary, 425</w:t>
      </w:r>
    </w:p>
    <w:p w:rsidR="00B72047" w:rsidRDefault="00B72047">
      <w:pPr>
        <w:pStyle w:val="Index1"/>
        <w:rPr>
          <w:noProof/>
        </w:rPr>
      </w:pPr>
      <w:r>
        <w:rPr>
          <w:noProof/>
        </w:rPr>
        <w:t>lerfu word set extension: with bu, 416</w:t>
      </w:r>
    </w:p>
    <w:p w:rsidR="00B72047" w:rsidRDefault="00B72047">
      <w:pPr>
        <w:pStyle w:val="Index1"/>
        <w:rPr>
          <w:noProof/>
        </w:rPr>
      </w:pPr>
      <w:r>
        <w:rPr>
          <w:noProof/>
        </w:rPr>
        <w:t>lerfu words: as a basis for acronym names, 423; composed of compound cmavo, 414; composed of single cmavo, 414; consonant words contrasted with vowel words, 414; effect of systematic formulation, 414; for consonants, 414; for vowels, 414; formation rules, 414; forming new for non-Lojban letters using bu, 419; list of proposed, notation convention, 426; Lojban coverage requirement, 413; proposed for accent marks, 429; proposed for Cyrillic alphabet, 427; proposed for diacritic marks, 429; proposed for Greek alphabet, 426; proposed for Hebrew alphabet, 428; proposed for multiple letters, 429; proposed for noisy environments, 429; proposed for radio communication, 429; table of Lojban, 414; using computer encoding schemes with se'e, 425; vowel words contrasted with consonant words, 414</w:t>
      </w:r>
    </w:p>
    <w:p w:rsidR="00B72047" w:rsidRDefault="00B72047">
      <w:pPr>
        <w:pStyle w:val="Index1"/>
        <w:rPr>
          <w:noProof/>
        </w:rPr>
      </w:pPr>
      <w:r>
        <w:rPr>
          <w:noProof/>
        </w:rPr>
        <w:t>lerfu words ending with “y”: pause after, rationale, 414</w:t>
      </w:r>
    </w:p>
    <w:p w:rsidR="00B72047" w:rsidRDefault="00B72047">
      <w:pPr>
        <w:pStyle w:val="Index1"/>
        <w:rPr>
          <w:noProof/>
        </w:rPr>
      </w:pPr>
      <w:r>
        <w:rPr>
          <w:noProof/>
        </w:rPr>
        <w:t>lerfu words for vowels: pause requirement before, 414</w:t>
      </w:r>
    </w:p>
    <w:p w:rsidR="00B72047" w:rsidRDefault="00B72047">
      <w:pPr>
        <w:pStyle w:val="Index1"/>
        <w:rPr>
          <w:noProof/>
        </w:rPr>
      </w:pPr>
      <w:r>
        <w:rPr>
          <w:noProof/>
        </w:rPr>
        <w:t>lerfu words with numeric digits: grammar considerations, 420</w:t>
      </w:r>
    </w:p>
    <w:p w:rsidR="00B72047" w:rsidRDefault="00B72047">
      <w:pPr>
        <w:pStyle w:val="Index1"/>
        <w:rPr>
          <w:noProof/>
        </w:rPr>
      </w:pPr>
      <w:r>
        <w:rPr>
          <w:noProof/>
        </w:rPr>
        <w:t>le-series cmavo: as encompassing le-series and la-series descriptors for quantification discussion, 130; definition, 130; rationale for implicit inner quantifier, 130; rule for implicit inner quantifier, 130</w:t>
      </w:r>
    </w:p>
    <w:p w:rsidR="00B72047" w:rsidRDefault="00B72047">
      <w:pPr>
        <w:pStyle w:val="Index1"/>
        <w:rPr>
          <w:noProof/>
        </w:rPr>
      </w:pPr>
      <w:r>
        <w:rPr>
          <w:noProof/>
        </w:rPr>
        <w:t>le-series descriptors: compared with la-series in implicit quantification, 130</w:t>
      </w:r>
    </w:p>
    <w:p w:rsidR="00B72047" w:rsidRDefault="00B72047">
      <w:pPr>
        <w:pStyle w:val="Index1"/>
        <w:rPr>
          <w:noProof/>
        </w:rPr>
      </w:pPr>
      <w:r>
        <w:rPr>
          <w:noProof/>
        </w:rPr>
        <w:t>less: English word, expressing with relative phrases, 203; English word, importance of relative phrase to, 204</w:t>
      </w:r>
    </w:p>
    <w:p w:rsidR="00B72047" w:rsidRDefault="00B72047">
      <w:pPr>
        <w:pStyle w:val="Index1"/>
        <w:rPr>
          <w:noProof/>
        </w:rPr>
      </w:pPr>
      <w:r>
        <w:rPr>
          <w:noProof/>
        </w:rPr>
        <w:t>less than: contrasted with more than, at least, at most, 443; example, 443</w:t>
      </w:r>
    </w:p>
    <w:p w:rsidR="00B72047" w:rsidRDefault="00B72047">
      <w:pPr>
        <w:pStyle w:val="Index1"/>
        <w:rPr>
          <w:noProof/>
        </w:rPr>
      </w:pPr>
      <w:r>
        <w:rPr>
          <w:noProof/>
        </w:rPr>
        <w:t>letter: alphabet, 413; contrasted with word for the letter, 413; making a word into, 490</w:t>
      </w:r>
    </w:p>
    <w:p w:rsidR="00B72047" w:rsidRDefault="00B72047">
      <w:pPr>
        <w:pStyle w:val="Index1"/>
        <w:rPr>
          <w:noProof/>
        </w:rPr>
      </w:pPr>
      <w:r>
        <w:rPr>
          <w:noProof/>
        </w:rPr>
        <w:t>letter encoding schemes: application to lerfu words, 425</w:t>
      </w:r>
    </w:p>
    <w:p w:rsidR="00B72047" w:rsidRDefault="00B72047">
      <w:pPr>
        <w:pStyle w:val="Index1"/>
        <w:rPr>
          <w:noProof/>
        </w:rPr>
      </w:pPr>
      <w:r>
        <w:rPr>
          <w:noProof/>
        </w:rPr>
        <w:t>letter shift, 498</w:t>
      </w:r>
    </w:p>
    <w:p w:rsidR="00B72047" w:rsidRDefault="00B72047">
      <w:pPr>
        <w:pStyle w:val="Index1"/>
        <w:rPr>
          <w:noProof/>
        </w:rPr>
      </w:pPr>
      <w:r>
        <w:rPr>
          <w:noProof/>
        </w:rPr>
        <w:t>letteral: definition, 413</w:t>
      </w:r>
    </w:p>
    <w:p w:rsidR="00B72047" w:rsidRDefault="00B72047">
      <w:pPr>
        <w:pStyle w:val="Index1"/>
        <w:rPr>
          <w:noProof/>
        </w:rPr>
      </w:pPr>
      <w:r>
        <w:rPr>
          <w:noProof/>
        </w:rPr>
        <w:t>letters, 491; non-Lojban, representation of diacritical marks on, 418; non-Lojban, representation with consonant-word + bu, 417; non-Lojban, representation with consonant-word + bu, drawback, 417; non-Lojban, representation with language-shift, 417; non-Lojban, representation with names, 416; sound contrasted with symbol for spelling, 417; symbol contrasted with sound for spelling, 417</w:t>
      </w:r>
    </w:p>
    <w:p w:rsidR="00B72047" w:rsidRDefault="00B72047">
      <w:pPr>
        <w:pStyle w:val="Index1"/>
        <w:rPr>
          <w:noProof/>
        </w:rPr>
      </w:pPr>
      <w:r>
        <w:rPr>
          <w:noProof/>
        </w:rPr>
        <w:t>le'u, 119, 141, 476; interaction with zoi, 478</w:t>
      </w:r>
    </w:p>
    <w:p w:rsidR="00B72047" w:rsidRDefault="00B72047">
      <w:pPr>
        <w:pStyle w:val="Index1"/>
        <w:rPr>
          <w:noProof/>
        </w:rPr>
      </w:pPr>
      <w:r>
        <w:rPr>
          <w:noProof/>
        </w:rPr>
        <w:t>l-hyphen: use of, 62</w:t>
      </w:r>
    </w:p>
    <w:p w:rsidR="00B72047" w:rsidRDefault="00B72047">
      <w:pPr>
        <w:pStyle w:val="Index1"/>
        <w:rPr>
          <w:noProof/>
        </w:rPr>
      </w:pPr>
      <w:r>
        <w:rPr>
          <w:noProof/>
        </w:rPr>
        <w:t>li, 119, 141, 435; as converter of mekso into sumti, 436; contrasted with me'o, 457; relation to me'o compared with la/zo relation, 457; terminator for, 454</w:t>
      </w:r>
    </w:p>
    <w:p w:rsidR="00B72047" w:rsidRDefault="00B72047">
      <w:pPr>
        <w:pStyle w:val="Index1"/>
        <w:rPr>
          <w:noProof/>
        </w:rPr>
      </w:pPr>
      <w:r>
        <w:rPr>
          <w:noProof/>
        </w:rPr>
        <w:t>LI selma’o, 142, 422, 499; terminator for, 499</w:t>
      </w:r>
    </w:p>
    <w:p w:rsidR="00B72047" w:rsidRDefault="00B72047">
      <w:pPr>
        <w:pStyle w:val="Index1"/>
        <w:rPr>
          <w:noProof/>
        </w:rPr>
      </w:pPr>
      <w:r>
        <w:rPr>
          <w:noProof/>
        </w:rPr>
        <w:t>li'a, 318</w:t>
      </w:r>
    </w:p>
    <w:p w:rsidR="00B72047" w:rsidRDefault="00B72047">
      <w:pPr>
        <w:pStyle w:val="Index1"/>
        <w:rPr>
          <w:noProof/>
        </w:rPr>
      </w:pPr>
      <w:r>
        <w:rPr>
          <w:noProof/>
        </w:rPr>
        <w:t>ligatured fi: proposed lerfu word for, 429</w:t>
      </w:r>
    </w:p>
    <w:p w:rsidR="00B72047" w:rsidRDefault="00B72047">
      <w:pPr>
        <w:pStyle w:val="Index1"/>
        <w:rPr>
          <w:noProof/>
        </w:rPr>
      </w:pPr>
      <w:r>
        <w:rPr>
          <w:noProof/>
        </w:rPr>
        <w:t>LIhU selma’o, 476, 499</w:t>
      </w:r>
    </w:p>
    <w:p w:rsidR="00B72047" w:rsidRDefault="00B72047">
      <w:pPr>
        <w:pStyle w:val="Index1"/>
        <w:rPr>
          <w:noProof/>
        </w:rPr>
      </w:pPr>
      <w:r>
        <w:rPr>
          <w:noProof/>
        </w:rPr>
        <w:t>li'i, 265</w:t>
      </w:r>
    </w:p>
    <w:p w:rsidR="00B72047" w:rsidRDefault="00B72047">
      <w:pPr>
        <w:pStyle w:val="Index1"/>
        <w:rPr>
          <w:noProof/>
        </w:rPr>
      </w:pPr>
      <w:r>
        <w:rPr>
          <w:noProof/>
        </w:rPr>
        <w:t>likes more than: example, 203</w:t>
      </w:r>
    </w:p>
    <w:p w:rsidR="00B72047" w:rsidRDefault="00B72047">
      <w:pPr>
        <w:pStyle w:val="Index1"/>
        <w:rPr>
          <w:noProof/>
        </w:rPr>
      </w:pPr>
      <w:r>
        <w:rPr>
          <w:noProof/>
        </w:rPr>
        <w:t>lined up, 283</w:t>
      </w:r>
    </w:p>
    <w:p w:rsidR="00B72047" w:rsidRDefault="00B72047">
      <w:pPr>
        <w:pStyle w:val="Index1"/>
        <w:rPr>
          <w:noProof/>
        </w:rPr>
      </w:pPr>
      <w:r>
        <w:rPr>
          <w:noProof/>
        </w:rPr>
        <w:t>linguistic behavior, 263</w:t>
      </w:r>
    </w:p>
    <w:p w:rsidR="00B72047" w:rsidRDefault="00B72047">
      <w:pPr>
        <w:pStyle w:val="Index1"/>
        <w:rPr>
          <w:noProof/>
        </w:rPr>
      </w:pPr>
      <w:r>
        <w:rPr>
          <w:noProof/>
        </w:rPr>
        <w:t>linguistic drift, 4</w:t>
      </w:r>
    </w:p>
    <w:p w:rsidR="00B72047" w:rsidRDefault="00B72047">
      <w:pPr>
        <w:pStyle w:val="Index1"/>
        <w:rPr>
          <w:noProof/>
        </w:rPr>
      </w:pPr>
      <w:r>
        <w:rPr>
          <w:noProof/>
        </w:rPr>
        <w:t>linguistic drift in Lojban: possible source of, 69</w:t>
      </w:r>
    </w:p>
    <w:p w:rsidR="00B72047" w:rsidRDefault="00B72047">
      <w:pPr>
        <w:pStyle w:val="Index1"/>
        <w:rPr>
          <w:noProof/>
        </w:rPr>
      </w:pPr>
      <w:r>
        <w:rPr>
          <w:noProof/>
        </w:rPr>
        <w:t>linked arguments, 471</w:t>
      </w:r>
    </w:p>
    <w:p w:rsidR="00B72047" w:rsidRDefault="00B72047">
      <w:pPr>
        <w:pStyle w:val="Index1"/>
        <w:rPr>
          <w:noProof/>
        </w:rPr>
      </w:pPr>
      <w:r>
        <w:rPr>
          <w:noProof/>
        </w:rPr>
        <w:t>linked sumti: definition, 93; in tanru, 93</w:t>
      </w:r>
    </w:p>
    <w:p w:rsidR="00B72047" w:rsidRDefault="00B72047">
      <w:pPr>
        <w:pStyle w:val="Index1"/>
        <w:rPr>
          <w:noProof/>
        </w:rPr>
      </w:pPr>
      <w:r>
        <w:rPr>
          <w:noProof/>
        </w:rPr>
        <w:t>linked sumti and FA tags, 93</w:t>
      </w:r>
    </w:p>
    <w:p w:rsidR="00B72047" w:rsidRDefault="00B72047">
      <w:pPr>
        <w:pStyle w:val="Index1"/>
        <w:rPr>
          <w:noProof/>
        </w:rPr>
      </w:pPr>
      <w:r>
        <w:rPr>
          <w:noProof/>
        </w:rPr>
        <w:t>linked sumti and sumti tcita, 94</w:t>
      </w:r>
    </w:p>
    <w:p w:rsidR="00B72047" w:rsidRDefault="00B72047">
      <w:pPr>
        <w:pStyle w:val="Index1"/>
        <w:rPr>
          <w:noProof/>
        </w:rPr>
      </w:pPr>
      <w:r>
        <w:rPr>
          <w:noProof/>
        </w:rPr>
        <w:t>Linnaean, 479</w:t>
      </w:r>
    </w:p>
    <w:p w:rsidR="00B72047" w:rsidRDefault="00B72047">
      <w:pPr>
        <w:pStyle w:val="Index1"/>
        <w:rPr>
          <w:noProof/>
        </w:rPr>
      </w:pPr>
      <w:r>
        <w:rPr>
          <w:noProof/>
        </w:rPr>
        <w:t>Linnaean binomials, 479</w:t>
      </w:r>
    </w:p>
    <w:p w:rsidR="00B72047" w:rsidRDefault="00B72047">
      <w:pPr>
        <w:pStyle w:val="Index1"/>
        <w:rPr>
          <w:noProof/>
        </w:rPr>
      </w:pPr>
      <w:r>
        <w:rPr>
          <w:noProof/>
        </w:rPr>
        <w:t>Linnaean names: rules for, 67</w:t>
      </w:r>
    </w:p>
    <w:p w:rsidR="00B72047" w:rsidRDefault="00B72047">
      <w:pPr>
        <w:pStyle w:val="Index1"/>
        <w:rPr>
          <w:noProof/>
        </w:rPr>
      </w:pPr>
      <w:r>
        <w:rPr>
          <w:noProof/>
        </w:rPr>
        <w:t>li'o, 321</w:t>
      </w:r>
    </w:p>
    <w:p w:rsidR="00B72047" w:rsidRDefault="00B72047">
      <w:pPr>
        <w:pStyle w:val="Index1"/>
        <w:rPr>
          <w:noProof/>
        </w:rPr>
      </w:pPr>
      <w:r>
        <w:rPr>
          <w:noProof/>
        </w:rPr>
        <w:t>lion in Africa: example, 126</w:t>
      </w:r>
    </w:p>
    <w:p w:rsidR="00B72047" w:rsidRDefault="00B72047">
      <w:pPr>
        <w:pStyle w:val="Index1"/>
        <w:rPr>
          <w:noProof/>
        </w:rPr>
      </w:pPr>
      <w:r>
        <w:rPr>
          <w:noProof/>
        </w:rPr>
        <w:t>lions in Africa: example, 124</w:t>
      </w:r>
    </w:p>
    <w:p w:rsidR="00B72047" w:rsidRDefault="00B72047">
      <w:pPr>
        <w:pStyle w:val="Index1"/>
        <w:rPr>
          <w:noProof/>
        </w:rPr>
      </w:pPr>
      <w:r>
        <w:rPr>
          <w:noProof/>
        </w:rPr>
        <w:t>liquefy: example, 289</w:t>
      </w:r>
    </w:p>
    <w:p w:rsidR="00B72047" w:rsidRDefault="00B72047">
      <w:pPr>
        <w:pStyle w:val="Index1"/>
        <w:rPr>
          <w:noProof/>
        </w:rPr>
      </w:pPr>
      <w:r>
        <w:rPr>
          <w:noProof/>
        </w:rPr>
        <w:t>list: as a physical object, 355; contrasted with sequence, 355; example, 355</w:t>
      </w:r>
    </w:p>
    <w:p w:rsidR="00B72047" w:rsidRDefault="00B72047">
      <w:pPr>
        <w:pStyle w:val="Index1"/>
        <w:rPr>
          <w:noProof/>
        </w:rPr>
      </w:pPr>
      <w:r>
        <w:rPr>
          <w:noProof/>
        </w:rPr>
        <w:t>list of things to do: example, 358</w:t>
      </w:r>
    </w:p>
    <w:p w:rsidR="00B72047" w:rsidRDefault="00B72047">
      <w:pPr>
        <w:pStyle w:val="Index1"/>
        <w:rPr>
          <w:noProof/>
        </w:rPr>
      </w:pPr>
      <w:r>
        <w:rPr>
          <w:noProof/>
        </w:rPr>
        <w:t>listen attentively: example, 278</w:t>
      </w:r>
    </w:p>
    <w:p w:rsidR="00B72047" w:rsidRDefault="00B72047">
      <w:pPr>
        <w:pStyle w:val="Index1"/>
        <w:rPr>
          <w:noProof/>
        </w:rPr>
      </w:pPr>
      <w:r>
        <w:rPr>
          <w:noProof/>
        </w:rPr>
        <w:t>lists: use of tu'e/tu'u in, 358</w:t>
      </w:r>
    </w:p>
    <w:p w:rsidR="00B72047" w:rsidRDefault="00B72047">
      <w:pPr>
        <w:pStyle w:val="Index1"/>
        <w:rPr>
          <w:noProof/>
        </w:rPr>
      </w:pPr>
      <w:r>
        <w:rPr>
          <w:noProof/>
        </w:rPr>
        <w:t>literally, 322</w:t>
      </w:r>
    </w:p>
    <w:p w:rsidR="00B72047" w:rsidRDefault="00B72047">
      <w:pPr>
        <w:pStyle w:val="Index1"/>
        <w:rPr>
          <w:noProof/>
        </w:rPr>
      </w:pPr>
      <w:r>
        <w:rPr>
          <w:noProof/>
        </w:rPr>
        <w:t>li'u, 119, 141, 476</w:t>
      </w:r>
    </w:p>
    <w:p w:rsidR="00B72047" w:rsidRDefault="00B72047">
      <w:pPr>
        <w:pStyle w:val="Index1"/>
        <w:rPr>
          <w:noProof/>
        </w:rPr>
      </w:pPr>
      <w:r>
        <w:rPr>
          <w:noProof/>
        </w:rPr>
        <w:t>living things: example, 157</w:t>
      </w:r>
    </w:p>
    <w:p w:rsidR="00B72047" w:rsidRDefault="00B72047">
      <w:pPr>
        <w:pStyle w:val="Index1"/>
        <w:rPr>
          <w:noProof/>
        </w:rPr>
      </w:pPr>
      <w:r>
        <w:rPr>
          <w:noProof/>
        </w:rPr>
        <w:t>Livingston: example, 317</w:t>
      </w:r>
    </w:p>
    <w:p w:rsidR="00B72047" w:rsidRDefault="00B72047">
      <w:pPr>
        <w:pStyle w:val="Index1"/>
        <w:rPr>
          <w:noProof/>
        </w:rPr>
      </w:pPr>
      <w:r>
        <w:rPr>
          <w:noProof/>
        </w:rPr>
        <w:t>LLG, 5</w:t>
      </w:r>
    </w:p>
    <w:p w:rsidR="00B72047" w:rsidRDefault="00B72047">
      <w:pPr>
        <w:pStyle w:val="Index1"/>
        <w:rPr>
          <w:noProof/>
        </w:rPr>
      </w:pPr>
      <w:r>
        <w:rPr>
          <w:noProof/>
        </w:rPr>
        <w:t>lo, 121, 129; and truth of selbri, 121; contrasted with le in implications, 122; contrasted with le in implicit quantification, 131; contrasted with le in specificity, 121; contrasted with le in truth requirement, 121; contrasted with loi and lo'i, 125; implications of, 121; implicit outer quantifier for, 131; omission of, 132</w:t>
      </w:r>
    </w:p>
    <w:p w:rsidR="00B72047" w:rsidRDefault="00B72047">
      <w:pPr>
        <w:pStyle w:val="Index1"/>
        <w:rPr>
          <w:noProof/>
        </w:rPr>
      </w:pPr>
      <w:r>
        <w:rPr>
          <w:noProof/>
        </w:rPr>
        <w:t>lo contrasted with le: for relative clause placement considerations, 179</w:t>
      </w:r>
    </w:p>
    <w:p w:rsidR="00B72047" w:rsidRDefault="00B72047">
      <w:pPr>
        <w:pStyle w:val="Index1"/>
        <w:rPr>
          <w:noProof/>
        </w:rPr>
      </w:pPr>
      <w:r>
        <w:rPr>
          <w:noProof/>
        </w:rPr>
        <w:t>lo'a: contrasted with na'a, 418</w:t>
      </w:r>
    </w:p>
    <w:p w:rsidR="00B72047" w:rsidRDefault="00B72047">
      <w:pPr>
        <w:pStyle w:val="Index1"/>
        <w:rPr>
          <w:noProof/>
        </w:rPr>
      </w:pPr>
      <w:r>
        <w:rPr>
          <w:noProof/>
        </w:rPr>
        <w:t>lo'e, 126, 130; relationship to lo'i, 126</w:t>
      </w:r>
    </w:p>
    <w:p w:rsidR="00B72047" w:rsidRDefault="00B72047">
      <w:pPr>
        <w:pStyle w:val="Index1"/>
        <w:rPr>
          <w:noProof/>
        </w:rPr>
      </w:pPr>
      <w:r>
        <w:rPr>
          <w:noProof/>
        </w:rPr>
        <w:t>logic: and attitudinals, 392; limits of, 392; resolving ambiguities of “nobody”, 391</w:t>
      </w:r>
    </w:p>
    <w:p w:rsidR="00B72047" w:rsidRDefault="00B72047">
      <w:pPr>
        <w:pStyle w:val="Index1"/>
        <w:rPr>
          <w:noProof/>
        </w:rPr>
      </w:pPr>
      <w:r>
        <w:rPr>
          <w:noProof/>
        </w:rPr>
        <w:t>logic and Lojban: more aspects, 411</w:t>
      </w:r>
    </w:p>
    <w:p w:rsidR="00B72047" w:rsidRDefault="00B72047">
      <w:pPr>
        <w:pStyle w:val="Index1"/>
        <w:rPr>
          <w:noProof/>
        </w:rPr>
      </w:pPr>
      <w:r>
        <w:rPr>
          <w:noProof/>
        </w:rPr>
        <w:t>logical connection: effect on elidability of lo'o, 454; grouping strategies for complex cases contrasted, 343; in abstraction(s), inner bridi contrasted with outer bridi, 365; in mathematical expressions, 361; in tanru, contrasted with unconnected version, 349; in tanru, expandability of, 349; in tanru, grouping with bo, 349; in tanru, grouping with ke, 350; inside an abstraction(s), contrasted with outside, 365; interaction with tenses, 363; negation in connecting more than 2 sentences, 342; of bridi-tail as opposed to tanru, 350; of bridi-tails, forethought, 347; of bridi-tails, restriction on ke, 346; of forethought termsets, 348; of modals, 208; of more than 2 sentences, all or none, 342; of more than 2 sentences, forethought, 342; of more than 2 sentences, mixed “and” and “or”, 342; of more than 2 sentences, things to avoid, 342; of observatives, relation of first places, 345; of selbri, 344; of sumti, grouping with parenthesis, 344; of sumti, restriction on ke, 344; of tanru as opposed to bridi-tail, 350; of tanru, caveat, 350; termsets, 347; transformation between forms, 340; with bo, precedence, 342</w:t>
      </w:r>
    </w:p>
    <w:p w:rsidR="00B72047" w:rsidRDefault="00B72047">
      <w:pPr>
        <w:pStyle w:val="Index1"/>
        <w:rPr>
          <w:noProof/>
        </w:rPr>
      </w:pPr>
      <w:r>
        <w:rPr>
          <w:noProof/>
        </w:rPr>
        <w:t>logical connectives, 333; associative, 341; bridi-tail connection, 345; cmavo, format for each selma'o, 336; effect on elidability of ge'u from preceding relative phrase, 175; grouping with bo, 342; in tanru, 89; more than 2 sentences, 341; negated first sentence as a potential problem for understanding, 339; observative sentence connection, 345; pairing from left, 342; rationale for multiple sets in grammar, 335; recipes, simplified for logic chapter discussion, 403; relation to truth functions, 334; relative precedence with me'u, 99; right-grouping with bo, 343; selma'o, enumerated, 336; syntax rules summary, 366; table by truth function value, 366; tensed, 240</w:t>
      </w:r>
    </w:p>
    <w:p w:rsidR="00B72047" w:rsidRDefault="00B72047">
      <w:pPr>
        <w:pStyle w:val="Index1"/>
        <w:rPr>
          <w:noProof/>
        </w:rPr>
      </w:pPr>
      <w:r>
        <w:rPr>
          <w:noProof/>
        </w:rPr>
        <w:t>logical connectives and bridi negation, 403</w:t>
      </w:r>
    </w:p>
    <w:p w:rsidR="00B72047" w:rsidRDefault="00B72047">
      <w:pPr>
        <w:pStyle w:val="Index1"/>
        <w:rPr>
          <w:noProof/>
        </w:rPr>
      </w:pPr>
      <w:r>
        <w:rPr>
          <w:noProof/>
        </w:rPr>
        <w:t>logical connectives and negation: caveat for logic chapter discussions, 403</w:t>
      </w:r>
    </w:p>
    <w:p w:rsidR="00B72047" w:rsidRDefault="00B72047">
      <w:pPr>
        <w:pStyle w:val="Index1"/>
        <w:rPr>
          <w:noProof/>
        </w:rPr>
      </w:pPr>
      <w:r>
        <w:rPr>
          <w:noProof/>
        </w:rPr>
        <w:t>logical connectives in tanru, 349; ambiguity of, 90; effect on formal logical manipulations, 90; effect on tanru grouping, 89; usefulness of, 90</w:t>
      </w:r>
    </w:p>
    <w:p w:rsidR="00B72047" w:rsidRDefault="00B72047">
      <w:pPr>
        <w:pStyle w:val="Index1"/>
        <w:rPr>
          <w:noProof/>
        </w:rPr>
      </w:pPr>
      <w:r>
        <w:rPr>
          <w:noProof/>
        </w:rPr>
        <w:t>logical connectives within negation: effects of expansion on, 407</w:t>
      </w:r>
    </w:p>
    <w:p w:rsidR="00B72047" w:rsidRDefault="00B72047">
      <w:pPr>
        <w:pStyle w:val="Index1"/>
        <w:rPr>
          <w:noProof/>
        </w:rPr>
      </w:pPr>
      <w:r>
        <w:rPr>
          <w:noProof/>
        </w:rPr>
        <w:t>logical language: truth functions, 333</w:t>
      </w:r>
    </w:p>
    <w:p w:rsidR="00B72047" w:rsidRDefault="00B72047">
      <w:pPr>
        <w:pStyle w:val="Index1"/>
        <w:rPr>
          <w:noProof/>
        </w:rPr>
      </w:pPr>
      <w:r>
        <w:rPr>
          <w:noProof/>
        </w:rPr>
        <w:t>Logical Language Group: example, 74; relation to Lojban, 3</w:t>
      </w:r>
    </w:p>
    <w:p w:rsidR="00B72047" w:rsidRDefault="00B72047">
      <w:pPr>
        <w:pStyle w:val="Index1"/>
        <w:rPr>
          <w:noProof/>
        </w:rPr>
      </w:pPr>
      <w:r>
        <w:rPr>
          <w:noProof/>
        </w:rPr>
        <w:t>logical variables: creating more by subscripting, 410; effect of global substitution, 393; effect of order in prenex, 394; effect of using multiple different, 393; explicitly placing in outer prenex, 400; for selbri, 409; implicit placement in smallest enclosing bridi prenex, 400; notation convention, 392; when not in main bridi, 393; with multiple appearances in bridi, 393; with poi, in multiple appearances, 396; with ro, in multiple appearances, 396</w:t>
      </w:r>
    </w:p>
    <w:p w:rsidR="00B72047" w:rsidRDefault="00B72047">
      <w:pPr>
        <w:pStyle w:val="Index1"/>
        <w:rPr>
          <w:noProof/>
        </w:rPr>
      </w:pPr>
      <w:r>
        <w:rPr>
          <w:noProof/>
        </w:rPr>
        <w:t>logically connected sentences: and DeMorgan's Law, 408</w:t>
      </w:r>
    </w:p>
    <w:p w:rsidR="00B72047" w:rsidRDefault="00B72047">
      <w:pPr>
        <w:pStyle w:val="Index1"/>
        <w:rPr>
          <w:noProof/>
        </w:rPr>
      </w:pPr>
      <w:r>
        <w:rPr>
          <w:noProof/>
        </w:rPr>
        <w:t>logically connected tenses: definition, 363; expansion to sentences, 245; with JA, 245</w:t>
      </w:r>
    </w:p>
    <w:p w:rsidR="00B72047" w:rsidRDefault="00B72047">
      <w:pPr>
        <w:pStyle w:val="Index1"/>
        <w:rPr>
          <w:noProof/>
        </w:rPr>
      </w:pPr>
      <w:r>
        <w:rPr>
          <w:noProof/>
        </w:rPr>
        <w:t>Loglan, 6</w:t>
      </w:r>
    </w:p>
    <w:p w:rsidR="00B72047" w:rsidRDefault="00B72047">
      <w:pPr>
        <w:pStyle w:val="Index1"/>
        <w:rPr>
          <w:noProof/>
        </w:rPr>
      </w:pPr>
      <w:r>
        <w:rPr>
          <w:noProof/>
        </w:rPr>
        <w:t>logograms: words for, 416</w:t>
      </w:r>
    </w:p>
    <w:p w:rsidR="00B72047" w:rsidRDefault="00B72047">
      <w:pPr>
        <w:pStyle w:val="Index1"/>
        <w:rPr>
          <w:noProof/>
        </w:rPr>
      </w:pPr>
      <w:r>
        <w:rPr>
          <w:noProof/>
        </w:rPr>
        <w:t>LOhO selma’o, 499</w:t>
      </w:r>
    </w:p>
    <w:p w:rsidR="00B72047" w:rsidRDefault="00B72047">
      <w:pPr>
        <w:pStyle w:val="Index1"/>
        <w:rPr>
          <w:noProof/>
        </w:rPr>
      </w:pPr>
      <w:r>
        <w:rPr>
          <w:noProof/>
        </w:rPr>
        <w:t>LOhU selma’o, 476, 499; terminator for, 498</w:t>
      </w:r>
    </w:p>
    <w:p w:rsidR="00B72047" w:rsidRDefault="00B72047">
      <w:pPr>
        <w:pStyle w:val="Index1"/>
        <w:rPr>
          <w:noProof/>
        </w:rPr>
      </w:pPr>
      <w:r>
        <w:rPr>
          <w:noProof/>
        </w:rPr>
        <w:t>lo'i, 125, 130, 447; as set counterpart of loi, 125; contrasted with lo and loi, 125; relationship to lo'e, 126; with elided quantifiers, 447</w:t>
      </w:r>
    </w:p>
    <w:p w:rsidR="00B72047" w:rsidRDefault="00B72047">
      <w:pPr>
        <w:pStyle w:val="Index1"/>
        <w:rPr>
          <w:noProof/>
        </w:rPr>
      </w:pPr>
      <w:r>
        <w:rPr>
          <w:noProof/>
        </w:rPr>
        <w:t>loi, 123, 130; as mass counterpart of lo, 123; contrasted with lei in specificity, 124; contrasted with lo and lo'i, 125</w:t>
      </w:r>
    </w:p>
    <w:p w:rsidR="00B72047" w:rsidRDefault="00B72047">
      <w:pPr>
        <w:pStyle w:val="Index1"/>
        <w:rPr>
          <w:noProof/>
        </w:rPr>
      </w:pPr>
      <w:r>
        <w:rPr>
          <w:noProof/>
        </w:rPr>
        <w:t>Lojban: features of, 3; history of, 3; stability of, 4</w:t>
      </w:r>
    </w:p>
    <w:p w:rsidR="00B72047" w:rsidRDefault="00B72047">
      <w:pPr>
        <w:pStyle w:val="Index1"/>
        <w:rPr>
          <w:noProof/>
        </w:rPr>
      </w:pPr>
      <w:r>
        <w:rPr>
          <w:noProof/>
        </w:rPr>
        <w:t>Lojban alphabet, 29</w:t>
      </w:r>
    </w:p>
    <w:p w:rsidR="00B72047" w:rsidRDefault="00B72047">
      <w:pPr>
        <w:pStyle w:val="Index1"/>
        <w:rPr>
          <w:noProof/>
        </w:rPr>
      </w:pPr>
      <w:r>
        <w:rPr>
          <w:noProof/>
        </w:rPr>
        <w:t>Lojban letters: IPA for pronouncing, 30; list with IPA pronunciation, 30</w:t>
      </w:r>
    </w:p>
    <w:p w:rsidR="00B72047" w:rsidRDefault="00B72047">
      <w:pPr>
        <w:pStyle w:val="Index1"/>
        <w:rPr>
          <w:noProof/>
        </w:rPr>
      </w:pPr>
      <w:r>
        <w:rPr>
          <w:noProof/>
        </w:rPr>
        <w:t>Lojbanistan, 4</w:t>
      </w:r>
    </w:p>
    <w:p w:rsidR="00B72047" w:rsidRDefault="00B72047">
      <w:pPr>
        <w:pStyle w:val="Index1"/>
        <w:rPr>
          <w:noProof/>
        </w:rPr>
      </w:pPr>
      <w:r>
        <w:rPr>
          <w:noProof/>
        </w:rPr>
        <w:t>long ago and far away: example, 220</w:t>
      </w:r>
    </w:p>
    <w:p w:rsidR="00B72047" w:rsidRDefault="00B72047">
      <w:pPr>
        <w:pStyle w:val="Index1"/>
        <w:rPr>
          <w:noProof/>
        </w:rPr>
      </w:pPr>
      <w:r>
        <w:rPr>
          <w:noProof/>
        </w:rPr>
        <w:t>long rafsi: definition, 57</w:t>
      </w:r>
    </w:p>
    <w:p w:rsidR="00B72047" w:rsidRDefault="00B72047">
      <w:pPr>
        <w:pStyle w:val="Index1"/>
        <w:rPr>
          <w:noProof/>
        </w:rPr>
      </w:pPr>
      <w:r>
        <w:rPr>
          <w:noProof/>
        </w:rPr>
        <w:t>long rafsi form: compared with short form in effect on lujvo meaning, 56</w:t>
      </w:r>
    </w:p>
    <w:p w:rsidR="00B72047" w:rsidRDefault="00B72047">
      <w:pPr>
        <w:pStyle w:val="Index1"/>
        <w:rPr>
          <w:noProof/>
        </w:rPr>
      </w:pPr>
      <w:r>
        <w:rPr>
          <w:noProof/>
        </w:rPr>
        <w:t>long-sword: example, 283</w:t>
      </w:r>
    </w:p>
    <w:p w:rsidR="00B72047" w:rsidRDefault="00B72047">
      <w:pPr>
        <w:pStyle w:val="Index1"/>
        <w:rPr>
          <w:noProof/>
        </w:rPr>
      </w:pPr>
      <w:r>
        <w:rPr>
          <w:noProof/>
        </w:rPr>
        <w:t>lo'o, 454; effect of logical connective on elidability of, 454</w:t>
      </w:r>
    </w:p>
    <w:p w:rsidR="00B72047" w:rsidRDefault="00B72047">
      <w:pPr>
        <w:pStyle w:val="Index1"/>
        <w:rPr>
          <w:noProof/>
        </w:rPr>
      </w:pPr>
      <w:r>
        <w:rPr>
          <w:noProof/>
        </w:rPr>
        <w:t>loose association: expressing with pe, 172</w:t>
      </w:r>
    </w:p>
    <w:p w:rsidR="00B72047" w:rsidRDefault="00B72047">
      <w:pPr>
        <w:pStyle w:val="Index1"/>
        <w:rPr>
          <w:noProof/>
        </w:rPr>
      </w:pPr>
      <w:r>
        <w:rPr>
          <w:noProof/>
        </w:rPr>
        <w:t>Lord: example, 66</w:t>
      </w:r>
    </w:p>
    <w:p w:rsidR="00B72047" w:rsidRDefault="00B72047">
      <w:pPr>
        <w:pStyle w:val="Index1"/>
        <w:rPr>
          <w:noProof/>
        </w:rPr>
      </w:pPr>
      <w:r>
        <w:rPr>
          <w:noProof/>
        </w:rPr>
        <w:t>lo-series cmavo: rationale for implicit inner quantifier, 130; rule for implicit inner quantifier, 130</w:t>
      </w:r>
    </w:p>
    <w:p w:rsidR="00B72047" w:rsidRDefault="00B72047">
      <w:pPr>
        <w:pStyle w:val="Index1"/>
        <w:rPr>
          <w:noProof/>
        </w:rPr>
      </w:pPr>
      <w:r>
        <w:rPr>
          <w:noProof/>
        </w:rPr>
        <w:t>lo-series description: caution on exact numbers as inner quantifiers on, 131</w:t>
      </w:r>
    </w:p>
    <w:p w:rsidR="00B72047" w:rsidRDefault="00B72047">
      <w:pPr>
        <w:pStyle w:val="Index1"/>
        <w:rPr>
          <w:noProof/>
        </w:rPr>
      </w:pPr>
      <w:r>
        <w:rPr>
          <w:noProof/>
        </w:rPr>
        <w:t>Lottie: example, 138</w:t>
      </w:r>
    </w:p>
    <w:p w:rsidR="00B72047" w:rsidRDefault="00B72047">
      <w:pPr>
        <w:pStyle w:val="Index1"/>
        <w:rPr>
          <w:noProof/>
        </w:rPr>
      </w:pPr>
      <w:r>
        <w:rPr>
          <w:noProof/>
        </w:rPr>
        <w:t>lo'u, 141, 416, 476; interaction with bu, 416; interaction with zoi, 478</w:t>
      </w:r>
    </w:p>
    <w:p w:rsidR="00B72047" w:rsidRDefault="00B72047">
      <w:pPr>
        <w:pStyle w:val="Index1"/>
        <w:rPr>
          <w:noProof/>
        </w:rPr>
      </w:pPr>
      <w:r>
        <w:rPr>
          <w:noProof/>
        </w:rPr>
        <w:t>love more: example, 260</w:t>
      </w:r>
    </w:p>
    <w:p w:rsidR="00B72047" w:rsidRDefault="00B72047">
      <w:pPr>
        <w:pStyle w:val="Index1"/>
        <w:rPr>
          <w:noProof/>
        </w:rPr>
      </w:pPr>
      <w:r>
        <w:rPr>
          <w:noProof/>
        </w:rPr>
        <w:t>lower case letters: use in Lojban, 415</w:t>
      </w:r>
    </w:p>
    <w:p w:rsidR="00B72047" w:rsidRDefault="00B72047">
      <w:pPr>
        <w:pStyle w:val="Index1"/>
        <w:rPr>
          <w:noProof/>
        </w:rPr>
      </w:pPr>
      <w:r>
        <w:rPr>
          <w:noProof/>
        </w:rPr>
        <w:t>lower-case: lerfu word for, 415</w:t>
      </w:r>
    </w:p>
    <w:p w:rsidR="00B72047" w:rsidRDefault="00B72047">
      <w:pPr>
        <w:pStyle w:val="Index1"/>
        <w:rPr>
          <w:noProof/>
        </w:rPr>
      </w:pPr>
      <w:r>
        <w:rPr>
          <w:noProof/>
        </w:rPr>
        <w:t>lower-case letters: English usage contrasted with Lojban, 415; Lojban usage contrasted with English, 415</w:t>
      </w:r>
    </w:p>
    <w:p w:rsidR="00B72047" w:rsidRDefault="00B72047">
      <w:pPr>
        <w:pStyle w:val="Index1"/>
        <w:rPr>
          <w:noProof/>
        </w:rPr>
      </w:pPr>
      <w:r>
        <w:rPr>
          <w:noProof/>
        </w:rPr>
        <w:t>lower-case word: effect on following lerfu words, 415</w:t>
      </w:r>
    </w:p>
    <w:p w:rsidR="00B72047" w:rsidRDefault="00B72047">
      <w:pPr>
        <w:pStyle w:val="Index1"/>
        <w:rPr>
          <w:noProof/>
        </w:rPr>
      </w:pPr>
      <w:r>
        <w:rPr>
          <w:noProof/>
        </w:rPr>
        <w:t>lu, 119, 141, 422, 476; contrasted with me'o for representing lerfu, 422</w:t>
      </w:r>
    </w:p>
    <w:p w:rsidR="00B72047" w:rsidRDefault="00B72047">
      <w:pPr>
        <w:pStyle w:val="Index1"/>
        <w:rPr>
          <w:noProof/>
        </w:rPr>
      </w:pPr>
      <w:r>
        <w:rPr>
          <w:noProof/>
        </w:rPr>
        <w:t>LU selma’o, 476, 499; terminator for, 499</w:t>
      </w:r>
    </w:p>
    <w:p w:rsidR="00B72047" w:rsidRDefault="00B72047">
      <w:pPr>
        <w:pStyle w:val="Index1"/>
        <w:rPr>
          <w:noProof/>
        </w:rPr>
      </w:pPr>
      <w:r>
        <w:rPr>
          <w:noProof/>
        </w:rPr>
        <w:t>lu'a, 134; effect of on meaning, 134</w:t>
      </w:r>
    </w:p>
    <w:p w:rsidR="00B72047" w:rsidRDefault="00B72047">
      <w:pPr>
        <w:pStyle w:val="Index1"/>
        <w:rPr>
          <w:noProof/>
        </w:rPr>
      </w:pPr>
      <w:r>
        <w:rPr>
          <w:noProof/>
        </w:rPr>
        <w:t>lu'e, 134, 264, 459, 478; as short for “le sinxa be”, 134; effect of on meaning, 134</w:t>
      </w:r>
    </w:p>
    <w:p w:rsidR="00B72047" w:rsidRDefault="00B72047">
      <w:pPr>
        <w:pStyle w:val="Index1"/>
        <w:rPr>
          <w:noProof/>
        </w:rPr>
      </w:pPr>
      <w:r>
        <w:rPr>
          <w:noProof/>
        </w:rPr>
        <w:t>LUhU selma’o, 267, 499</w:t>
      </w:r>
    </w:p>
    <w:p w:rsidR="00B72047" w:rsidRDefault="00B72047">
      <w:pPr>
        <w:pStyle w:val="Index1"/>
        <w:rPr>
          <w:noProof/>
        </w:rPr>
      </w:pPr>
      <w:r>
        <w:rPr>
          <w:noProof/>
        </w:rPr>
        <w:t>lu'i, 134; effect of on meaning, 134</w:t>
      </w:r>
    </w:p>
    <w:p w:rsidR="00B72047" w:rsidRDefault="00B72047">
      <w:pPr>
        <w:pStyle w:val="Index1"/>
        <w:rPr>
          <w:noProof/>
        </w:rPr>
      </w:pPr>
      <w:r>
        <w:rPr>
          <w:noProof/>
        </w:rPr>
        <w:t>lujvo: abbreviated, 284; abstract, 286; algorithm for, 70; and consonant pairs, 59; and plausibility, 70; and seltau/tertau relationship, 276; and the listener, 70; anomalous, 290; as a subtype of brivla, 53; as suppliers of agent place, 295; asymmetric abstraction, 288; asymmetrical, 278; based on multiple tanru, 70; cmavo incorporation, 274; comparatives, 292; compared with tanru, 273; consideration in choosing meaning for, 69; considerations for retaining elements of, 70; construction of, 56; definition, quick-tour version, 27; design consideration for relationship, 276; dropping elements of, 69; dropping NU in implicit abstractions, 288; dropping NU rafsi, 288; dropping SE rafsi, 283; examples of making, 72; from cmavo with no rafsi, 60; from tanru, 55; fully reduced, 59; grammar of, 273; guidelines for place structure, 273; implicit-abstraction, 288; interpreting, 276; invention of, 57; meaning drift of, 69; meaning of, 56; multiple forms of, 56; NU-dropping contrasted with SE-dropping, 288; place structure of, 273; place structure of figurative lujvo, 322; pro-sumti rafsi effect on place structure of, 163; quick-tour version, 20; rationale for, 273; recognizing, 59; rules for formation of, 56; scope abstraction in underlying veljvo, 287; scored examples of, 72; scoring of, 71; selection of best form of, 71; shorter for more general concepts, 70; summary of form characteristics, 59; superlatives, 292; symmetrical, 278; ultimate guideline for choice of meaning/place-structure, 69; unambiguity of, 69; unambiguous decomposition of, 56; unreduced, 57; unsuitability of for concrete/specific terms and jargon, 61; with “jai”, 287; with zei, 60; zi'o rafsi effect on place structure of, 163</w:t>
      </w:r>
    </w:p>
    <w:p w:rsidR="00B72047" w:rsidRDefault="00B72047">
      <w:pPr>
        <w:pStyle w:val="Index1"/>
        <w:rPr>
          <w:noProof/>
        </w:rPr>
      </w:pPr>
      <w:r>
        <w:rPr>
          <w:noProof/>
        </w:rPr>
        <w:t>lujvo creation: interaction of KE with NAhE, 286; interaction of KE with SE, 286; use of multiple SE in, 286</w:t>
      </w:r>
    </w:p>
    <w:p w:rsidR="00B72047" w:rsidRDefault="00B72047">
      <w:pPr>
        <w:pStyle w:val="Index1"/>
        <w:rPr>
          <w:noProof/>
        </w:rPr>
      </w:pPr>
      <w:r>
        <w:rPr>
          <w:noProof/>
        </w:rPr>
        <w:t>lujvo form: consonant cluster requirement in, 59; final letter of, 59; hierarchy of priorities for selection of, 72; number of letters in, 59; requirements for hyphen insertion in, 59; requirements for n-hyphen insertion in, 60; requirements for r-hyphen insertion in, 60; requirements for y-hyphen insertion in, 59</w:t>
      </w:r>
    </w:p>
    <w:p w:rsidR="00B72047" w:rsidRDefault="00B72047">
      <w:pPr>
        <w:pStyle w:val="Index1"/>
        <w:rPr>
          <w:noProof/>
        </w:rPr>
      </w:pPr>
      <w:r>
        <w:rPr>
          <w:noProof/>
        </w:rPr>
        <w:t>lujvo meaning, 274</w:t>
      </w:r>
    </w:p>
    <w:p w:rsidR="00B72047" w:rsidRDefault="00B72047">
      <w:pPr>
        <w:pStyle w:val="Index1"/>
        <w:rPr>
          <w:noProof/>
        </w:rPr>
      </w:pPr>
      <w:r>
        <w:rPr>
          <w:noProof/>
        </w:rPr>
        <w:t>lujvo place order, 281; asymmetrical lujvo, 282; based on 3-or-more part veljvo, 282; comparatives, 292; complex relation, 290; elliptical lujvo, 291; multi-part with NU, 287; non-overlapping place structures, 290; rationale for standardization, 281; redundant non-first places, 290; superlatives, 294; superlatives as exceptions, 294; symmetrical lujvo, 282</w:t>
      </w:r>
    </w:p>
    <w:p w:rsidR="00B72047" w:rsidRDefault="00B72047">
      <w:pPr>
        <w:pStyle w:val="Index1"/>
        <w:rPr>
          <w:noProof/>
        </w:rPr>
      </w:pPr>
      <w:r>
        <w:rPr>
          <w:noProof/>
        </w:rPr>
        <w:t>lujvo place structure: “ni” lujvo, 287; “nu” lujvo, 286; basis of, 277; comparative lujvo, 292; cross-dependent places, 280; dependent places, 279; dropping cross-dependent places, 280; dropping dependent places, caveat, 281; dropping dependent seltau places, 279; dropping dependent tertau places, 280; dropping first place of NU, 288; dropping KE, 285; dropping KEhE, 285; dropping redundant places, 276; effect of SE, 278; effect of SE-dropping in tertau, 284; explicated walk-through, 276; guidelines, 273; multi-place abstraction lujvo, 287; notation conventions, 276; rationale for standardization, 277; selecting tertau, 281; superlatives, 294; when first place redundant with non-first, 278; when first places redundant, 278; when first places redundant plus others, 278; with “jai” lujvo, 287</w:t>
      </w:r>
    </w:p>
    <w:p w:rsidR="00B72047" w:rsidRDefault="00B72047">
      <w:pPr>
        <w:pStyle w:val="Index1"/>
        <w:rPr>
          <w:noProof/>
        </w:rPr>
      </w:pPr>
      <w:r>
        <w:rPr>
          <w:noProof/>
        </w:rPr>
        <w:t>lukewarm food: example, 135</w:t>
      </w:r>
    </w:p>
    <w:p w:rsidR="00B72047" w:rsidRDefault="00B72047">
      <w:pPr>
        <w:pStyle w:val="Index1"/>
        <w:rPr>
          <w:noProof/>
        </w:rPr>
      </w:pPr>
      <w:r>
        <w:rPr>
          <w:noProof/>
        </w:rPr>
        <w:t>lu'o, 134; effect of on meaning, 134</w:t>
      </w:r>
    </w:p>
    <w:p w:rsidR="00B72047" w:rsidRDefault="00B72047">
      <w:pPr>
        <w:pStyle w:val="Index1"/>
        <w:rPr>
          <w:noProof/>
        </w:rPr>
      </w:pPr>
      <w:r>
        <w:rPr>
          <w:noProof/>
        </w:rPr>
        <w:t>lu'u, 133, 267; as elidable terminator for qualified sumti, 133</w:t>
      </w:r>
    </w:p>
    <w:p w:rsidR="00B72047" w:rsidRDefault="00B72047">
      <w:pPr>
        <w:pStyle w:val="Index1"/>
        <w:rPr>
          <w:noProof/>
        </w:rPr>
      </w:pPr>
      <w:r>
        <w:rPr>
          <w:noProof/>
        </w:rPr>
        <w:t>Lyra: example, 138</w:t>
      </w:r>
    </w:p>
    <w:p w:rsidR="00B72047" w:rsidRDefault="00B72047">
      <w:pPr>
        <w:pStyle w:val="Index1"/>
        <w:rPr>
          <w:noProof/>
        </w:rPr>
      </w:pPr>
      <w:r>
        <w:rPr>
          <w:noProof/>
        </w:rPr>
        <w:t>ma, 159, 249, 469; as sumti question, 159; for tense questions, 249; quick-tour version, 22</w:t>
      </w:r>
    </w:p>
    <w:p w:rsidR="00B72047" w:rsidRDefault="00B72047">
      <w:pPr>
        <w:pStyle w:val="Index1"/>
        <w:rPr>
          <w:noProof/>
        </w:rPr>
      </w:pPr>
      <w:r>
        <w:rPr>
          <w:noProof/>
        </w:rPr>
        <w:t>ma'a, 146</w:t>
      </w:r>
    </w:p>
    <w:p w:rsidR="00B72047" w:rsidRDefault="00B72047">
      <w:pPr>
        <w:pStyle w:val="Index1"/>
        <w:rPr>
          <w:noProof/>
        </w:rPr>
      </w:pPr>
      <w:r>
        <w:rPr>
          <w:noProof/>
        </w:rPr>
        <w:t>machine grammar, 511</w:t>
      </w:r>
    </w:p>
    <w:p w:rsidR="00B72047" w:rsidRDefault="00B72047">
      <w:pPr>
        <w:pStyle w:val="Index1"/>
        <w:rPr>
          <w:noProof/>
        </w:rPr>
      </w:pPr>
      <w:r>
        <w:rPr>
          <w:noProof/>
        </w:rPr>
        <w:t>macron: proposed lerfu word for, 429</w:t>
      </w:r>
    </w:p>
    <w:p w:rsidR="00B72047" w:rsidRDefault="00B72047">
      <w:pPr>
        <w:pStyle w:val="Index1"/>
        <w:rPr>
          <w:noProof/>
        </w:rPr>
      </w:pPr>
      <w:r>
        <w:rPr>
          <w:noProof/>
        </w:rPr>
        <w:t>magic square: example, 452</w:t>
      </w:r>
    </w:p>
    <w:p w:rsidR="00B72047" w:rsidRDefault="00B72047">
      <w:pPr>
        <w:pStyle w:val="Index1"/>
        <w:rPr>
          <w:noProof/>
        </w:rPr>
      </w:pPr>
      <w:r>
        <w:rPr>
          <w:noProof/>
        </w:rPr>
        <w:t>magnitude: tense, 250</w:t>
      </w:r>
    </w:p>
    <w:p w:rsidR="00B72047" w:rsidRDefault="00B72047">
      <w:pPr>
        <w:pStyle w:val="Index1"/>
        <w:rPr>
          <w:noProof/>
        </w:rPr>
      </w:pPr>
      <w:r>
        <w:rPr>
          <w:noProof/>
        </w:rPr>
        <w:t>MAhO selma’o, 500; terminator for, 505</w:t>
      </w:r>
    </w:p>
    <w:p w:rsidR="00B72047" w:rsidRDefault="00B72047">
      <w:pPr>
        <w:pStyle w:val="Index1"/>
        <w:rPr>
          <w:noProof/>
        </w:rPr>
      </w:pPr>
      <w:r>
        <w:rPr>
          <w:noProof/>
        </w:rPr>
        <w:t>ma'i, 224</w:t>
      </w:r>
    </w:p>
    <w:p w:rsidR="00B72047" w:rsidRDefault="00B72047">
      <w:pPr>
        <w:pStyle w:val="Index1"/>
        <w:rPr>
          <w:noProof/>
        </w:rPr>
      </w:pPr>
      <w:r>
        <w:rPr>
          <w:noProof/>
        </w:rPr>
        <w:t>MAI selma’o, 458, 474, 500; exception on use of boi before, 458</w:t>
      </w:r>
    </w:p>
    <w:p w:rsidR="00B72047" w:rsidRDefault="00B72047">
      <w:pPr>
        <w:pStyle w:val="Index1"/>
        <w:rPr>
          <w:noProof/>
        </w:rPr>
      </w:pPr>
      <w:r>
        <w:rPr>
          <w:noProof/>
        </w:rPr>
        <w:t>male sexual teacher: example, 74</w:t>
      </w:r>
    </w:p>
    <w:p w:rsidR="00B72047" w:rsidRDefault="00B72047">
      <w:pPr>
        <w:pStyle w:val="Index1"/>
        <w:rPr>
          <w:noProof/>
        </w:rPr>
      </w:pPr>
      <w:r>
        <w:rPr>
          <w:noProof/>
        </w:rPr>
        <w:t>man biting dog, 217</w:t>
      </w:r>
    </w:p>
    <w:p w:rsidR="00B72047" w:rsidRDefault="00B72047">
      <w:pPr>
        <w:pStyle w:val="Index1"/>
        <w:rPr>
          <w:noProof/>
        </w:rPr>
      </w:pPr>
      <w:r>
        <w:rPr>
          <w:noProof/>
        </w:rPr>
        <w:t>man or woman: example, 333</w:t>
      </w:r>
    </w:p>
    <w:p w:rsidR="00B72047" w:rsidRDefault="00B72047">
      <w:pPr>
        <w:pStyle w:val="Index1"/>
        <w:rPr>
          <w:noProof/>
        </w:rPr>
      </w:pPr>
      <w:r>
        <w:rPr>
          <w:noProof/>
        </w:rPr>
        <w:t>manhole: example, 218</w:t>
      </w:r>
    </w:p>
    <w:p w:rsidR="00B72047" w:rsidRDefault="00B72047">
      <w:pPr>
        <w:pStyle w:val="Index1"/>
        <w:rPr>
          <w:noProof/>
        </w:rPr>
      </w:pPr>
      <w:r>
        <w:rPr>
          <w:noProof/>
        </w:rPr>
        <w:t>manysome: example, 447</w:t>
      </w:r>
    </w:p>
    <w:p w:rsidR="00B72047" w:rsidRDefault="00B72047">
      <w:pPr>
        <w:pStyle w:val="Index1"/>
        <w:rPr>
          <w:noProof/>
        </w:rPr>
      </w:pPr>
      <w:r>
        <w:rPr>
          <w:noProof/>
        </w:rPr>
        <w:t>ma'o, 438, 460; potential ambiguity caveat, 460</w:t>
      </w:r>
    </w:p>
    <w:p w:rsidR="00B72047" w:rsidRDefault="00B72047">
      <w:pPr>
        <w:pStyle w:val="Index1"/>
        <w:rPr>
          <w:noProof/>
        </w:rPr>
      </w:pPr>
      <w:r>
        <w:rPr>
          <w:noProof/>
        </w:rPr>
        <w:t>mai, 458, 474; contrasted with mo'o, 458</w:t>
      </w:r>
    </w:p>
    <w:p w:rsidR="00B72047" w:rsidRDefault="00B72047">
      <w:pPr>
        <w:pStyle w:val="Index1"/>
        <w:rPr>
          <w:noProof/>
        </w:rPr>
      </w:pPr>
      <w:r>
        <w:rPr>
          <w:noProof/>
        </w:rPr>
        <w:t>man is woman: example, 177</w:t>
      </w:r>
    </w:p>
    <w:p w:rsidR="00B72047" w:rsidRDefault="00B72047">
      <w:pPr>
        <w:pStyle w:val="Index1"/>
        <w:rPr>
          <w:noProof/>
        </w:rPr>
      </w:pPr>
      <w:r>
        <w:rPr>
          <w:noProof/>
        </w:rPr>
        <w:t>man-woman: example, 350</w:t>
      </w:r>
    </w:p>
    <w:p w:rsidR="00B72047" w:rsidRDefault="00B72047">
      <w:pPr>
        <w:pStyle w:val="Index1"/>
        <w:rPr>
          <w:noProof/>
        </w:rPr>
      </w:pPr>
      <w:r>
        <w:rPr>
          <w:noProof/>
        </w:rPr>
        <w:t>Mao Zedong: example, 68</w:t>
      </w:r>
    </w:p>
    <w:p w:rsidR="00B72047" w:rsidRDefault="00B72047">
      <w:pPr>
        <w:pStyle w:val="Index1"/>
        <w:rPr>
          <w:noProof/>
        </w:rPr>
      </w:pPr>
      <w:r>
        <w:rPr>
          <w:noProof/>
        </w:rPr>
        <w:t>maple sugar: example, 63</w:t>
      </w:r>
    </w:p>
    <w:p w:rsidR="00B72047" w:rsidRDefault="00B72047">
      <w:pPr>
        <w:pStyle w:val="Index1"/>
        <w:rPr>
          <w:noProof/>
        </w:rPr>
      </w:pPr>
      <w:r>
        <w:rPr>
          <w:noProof/>
        </w:rPr>
        <w:t>maple trees: example, 63</w:t>
      </w:r>
    </w:p>
    <w:p w:rsidR="00B72047" w:rsidRDefault="00B72047">
      <w:pPr>
        <w:pStyle w:val="Index1"/>
        <w:rPr>
          <w:noProof/>
        </w:rPr>
      </w:pPr>
      <w:r>
        <w:rPr>
          <w:noProof/>
        </w:rPr>
        <w:t>marathon, 258</w:t>
      </w:r>
    </w:p>
    <w:p w:rsidR="00B72047" w:rsidRDefault="00B72047">
      <w:pPr>
        <w:pStyle w:val="Index1"/>
        <w:rPr>
          <w:noProof/>
        </w:rPr>
      </w:pPr>
      <w:r>
        <w:rPr>
          <w:noProof/>
        </w:rPr>
        <w:t>Mars road: example, 193</w:t>
      </w:r>
    </w:p>
    <w:p w:rsidR="00B72047" w:rsidRDefault="00B72047">
      <w:pPr>
        <w:pStyle w:val="Index1"/>
        <w:rPr>
          <w:noProof/>
        </w:rPr>
      </w:pPr>
      <w:r>
        <w:rPr>
          <w:noProof/>
        </w:rPr>
        <w:t>Marsha: example, 470</w:t>
      </w:r>
    </w:p>
    <w:p w:rsidR="00B72047" w:rsidRDefault="00B72047">
      <w:pPr>
        <w:pStyle w:val="Index1"/>
        <w:rPr>
          <w:noProof/>
        </w:rPr>
      </w:pPr>
      <w:r>
        <w:rPr>
          <w:noProof/>
        </w:rPr>
        <w:t>mass: compared with set as abstract of multiple individuals, 125; contrasted with ordered sequence, 355; contrasted with set in attribution of component properties, 125; contrasted with set in distribution of properties, 355; expressing measurement standard for indefinites, 446; expressing portions of, 441; expressing relation with individuals forming, 446; expressing relation with set forming, 446; joining elements into a, 353; rule for implicit outer quantifier, 130</w:t>
      </w:r>
    </w:p>
    <w:p w:rsidR="00B72047" w:rsidRDefault="00B72047">
      <w:pPr>
        <w:pStyle w:val="Index1"/>
        <w:rPr>
          <w:noProof/>
        </w:rPr>
      </w:pPr>
      <w:r>
        <w:rPr>
          <w:noProof/>
        </w:rPr>
        <w:t>mass contrasted with components: in properties of, 354</w:t>
      </w:r>
    </w:p>
    <w:p w:rsidR="00B72047" w:rsidRDefault="00B72047">
      <w:pPr>
        <w:pStyle w:val="Index1"/>
        <w:rPr>
          <w:noProof/>
        </w:rPr>
      </w:pPr>
      <w:r>
        <w:rPr>
          <w:noProof/>
        </w:rPr>
        <w:t>mass name: use of, 124</w:t>
      </w:r>
    </w:p>
    <w:p w:rsidR="00B72047" w:rsidRDefault="00B72047">
      <w:pPr>
        <w:pStyle w:val="Index1"/>
        <w:rPr>
          <w:noProof/>
        </w:rPr>
      </w:pPr>
      <w:r>
        <w:rPr>
          <w:noProof/>
        </w:rPr>
        <w:t>mass object: and logical reasoning, 123; as dependent on intention, 124; contrasted with multiple individual objects, 123; properties of, 123</w:t>
      </w:r>
    </w:p>
    <w:p w:rsidR="00B72047" w:rsidRDefault="00B72047">
      <w:pPr>
        <w:pStyle w:val="Index1"/>
        <w:rPr>
          <w:noProof/>
        </w:rPr>
      </w:pPr>
      <w:r>
        <w:rPr>
          <w:noProof/>
        </w:rPr>
        <w:t>mass objects: peculiarities of English translation of, 124</w:t>
      </w:r>
    </w:p>
    <w:p w:rsidR="00B72047" w:rsidRDefault="00B72047">
      <w:pPr>
        <w:pStyle w:val="Index1"/>
        <w:rPr>
          <w:noProof/>
        </w:rPr>
      </w:pPr>
      <w:r>
        <w:rPr>
          <w:noProof/>
        </w:rPr>
        <w:t>mathematical equality: expressing, 435</w:t>
      </w:r>
    </w:p>
    <w:p w:rsidR="00B72047" w:rsidRDefault="00B72047">
      <w:pPr>
        <w:pStyle w:val="Index1"/>
        <w:rPr>
          <w:noProof/>
        </w:rPr>
      </w:pPr>
      <w:r>
        <w:rPr>
          <w:noProof/>
        </w:rPr>
        <w:t>mathematical expression: abbreviation notation, 431; definition (see also “mekso”), 431; referring to, 457</w:t>
      </w:r>
    </w:p>
    <w:p w:rsidR="00B72047" w:rsidRDefault="00B72047">
      <w:pPr>
        <w:pStyle w:val="Index1"/>
        <w:rPr>
          <w:noProof/>
        </w:rPr>
      </w:pPr>
      <w:r>
        <w:rPr>
          <w:noProof/>
        </w:rPr>
        <w:t>mathematical expressions: connectives in, 361; implicit quantifier for, 142; tensed connection in, 364</w:t>
      </w:r>
    </w:p>
    <w:p w:rsidR="00B72047" w:rsidRDefault="00B72047">
      <w:pPr>
        <w:pStyle w:val="Index1"/>
        <w:rPr>
          <w:noProof/>
        </w:rPr>
      </w:pPr>
      <w:r>
        <w:rPr>
          <w:noProof/>
        </w:rPr>
        <w:t>mathematical expressions in tanru, 97</w:t>
      </w:r>
    </w:p>
    <w:p w:rsidR="00B72047" w:rsidRDefault="00B72047">
      <w:pPr>
        <w:pStyle w:val="Index1"/>
        <w:rPr>
          <w:noProof/>
        </w:rPr>
      </w:pPr>
      <w:r>
        <w:rPr>
          <w:noProof/>
        </w:rPr>
        <w:t>mathematical inequalities: expressing, 439</w:t>
      </w:r>
    </w:p>
    <w:p w:rsidR="00B72047" w:rsidRDefault="00B72047">
      <w:pPr>
        <w:pStyle w:val="Index1"/>
        <w:rPr>
          <w:noProof/>
        </w:rPr>
      </w:pPr>
      <w:r>
        <w:rPr>
          <w:noProof/>
        </w:rPr>
        <w:t>mathematical intervals, 362</w:t>
      </w:r>
    </w:p>
    <w:p w:rsidR="00B72047" w:rsidRDefault="00B72047">
      <w:pPr>
        <w:pStyle w:val="Index1"/>
        <w:rPr>
          <w:noProof/>
        </w:rPr>
      </w:pPr>
      <w:r>
        <w:rPr>
          <w:noProof/>
        </w:rPr>
        <w:t>mathematical notation: and omitted operators, 431; and operator precedence, 436; forethought (see also Polish), 438; infix, 435; infix shortcomings, 438; international uniqueness of, 431</w:t>
      </w:r>
    </w:p>
    <w:p w:rsidR="00B72047" w:rsidRDefault="00B72047">
      <w:pPr>
        <w:pStyle w:val="Index1"/>
        <w:rPr>
          <w:noProof/>
        </w:rPr>
      </w:pPr>
      <w:r>
        <w:rPr>
          <w:noProof/>
        </w:rPr>
        <w:t>mathematical operators, 436</w:t>
      </w:r>
    </w:p>
    <w:p w:rsidR="00B72047" w:rsidRDefault="00B72047">
      <w:pPr>
        <w:pStyle w:val="Index1"/>
        <w:rPr>
          <w:noProof/>
        </w:rPr>
      </w:pPr>
      <w:r>
        <w:rPr>
          <w:noProof/>
        </w:rPr>
        <w:t>mathematical parenthesis: left, 506</w:t>
      </w:r>
    </w:p>
    <w:p w:rsidR="00B72047" w:rsidRDefault="00B72047">
      <w:pPr>
        <w:pStyle w:val="Index1"/>
        <w:rPr>
          <w:noProof/>
        </w:rPr>
      </w:pPr>
      <w:r>
        <w:rPr>
          <w:noProof/>
        </w:rPr>
        <w:t>mathematical texts: effect on lerfu shift scope, 423</w:t>
      </w:r>
    </w:p>
    <w:p w:rsidR="00B72047" w:rsidRDefault="00B72047">
      <w:pPr>
        <w:pStyle w:val="Index1"/>
        <w:rPr>
          <w:noProof/>
        </w:rPr>
      </w:pPr>
      <w:r>
        <w:rPr>
          <w:noProof/>
        </w:rPr>
        <w:t>mathematical variables: lerfu strings as, 422</w:t>
      </w:r>
    </w:p>
    <w:p w:rsidR="00B72047" w:rsidRDefault="00B72047">
      <w:pPr>
        <w:pStyle w:val="Index1"/>
        <w:rPr>
          <w:noProof/>
        </w:rPr>
      </w:pPr>
      <w:r>
        <w:rPr>
          <w:noProof/>
        </w:rPr>
        <w:t>mathematics: use of lerfu strings in, 422</w:t>
      </w:r>
    </w:p>
    <w:p w:rsidR="00B72047" w:rsidRDefault="00B72047">
      <w:pPr>
        <w:pStyle w:val="Index1"/>
        <w:rPr>
          <w:noProof/>
        </w:rPr>
      </w:pPr>
      <w:r>
        <w:rPr>
          <w:noProof/>
        </w:rPr>
        <w:t>matne, 124</w:t>
      </w:r>
    </w:p>
    <w:p w:rsidR="00B72047" w:rsidRDefault="00B72047">
      <w:pPr>
        <w:pStyle w:val="Index1"/>
        <w:rPr>
          <w:noProof/>
        </w:rPr>
      </w:pPr>
      <w:r>
        <w:rPr>
          <w:noProof/>
        </w:rPr>
        <w:t>matrix: as combination of vectors, 452; definition, 451; use as operand, 452; use of parentheses with, 452; with ge'a for more than 2 rows/columns, 452; with more than 2 dimensions, 452</w:t>
      </w:r>
    </w:p>
    <w:p w:rsidR="00B72047" w:rsidRDefault="00B72047">
      <w:pPr>
        <w:pStyle w:val="Index1"/>
        <w:rPr>
          <w:noProof/>
        </w:rPr>
      </w:pPr>
      <w:r>
        <w:rPr>
          <w:noProof/>
        </w:rPr>
        <w:t>matrix column operator, 452</w:t>
      </w:r>
    </w:p>
    <w:p w:rsidR="00B72047" w:rsidRDefault="00B72047">
      <w:pPr>
        <w:pStyle w:val="Index1"/>
        <w:rPr>
          <w:noProof/>
        </w:rPr>
      </w:pPr>
      <w:r>
        <w:rPr>
          <w:noProof/>
        </w:rPr>
        <w:t>matrix row operator, 452</w:t>
      </w:r>
    </w:p>
    <w:p w:rsidR="00B72047" w:rsidRDefault="00B72047">
      <w:pPr>
        <w:pStyle w:val="Index1"/>
        <w:rPr>
          <w:noProof/>
        </w:rPr>
      </w:pPr>
      <w:r>
        <w:rPr>
          <w:noProof/>
        </w:rPr>
        <w:t>ma'u, 442; with elided number, 442</w:t>
      </w:r>
    </w:p>
    <w:p w:rsidR="00B72047" w:rsidRDefault="00B72047">
      <w:pPr>
        <w:pStyle w:val="Index1"/>
        <w:rPr>
          <w:noProof/>
        </w:rPr>
      </w:pPr>
      <w:r>
        <w:rPr>
          <w:noProof/>
        </w:rPr>
        <w:t>mau, 203, 432; avoiding in favor of seme'a, 203</w:t>
      </w:r>
    </w:p>
    <w:p w:rsidR="00B72047" w:rsidRDefault="00B72047">
      <w:pPr>
        <w:pStyle w:val="Index1"/>
        <w:rPr>
          <w:noProof/>
        </w:rPr>
      </w:pPr>
      <w:r>
        <w:rPr>
          <w:noProof/>
        </w:rPr>
        <w:t>Mayan mathematics: as a system with base larger than 16, 445</w:t>
      </w:r>
    </w:p>
    <w:p w:rsidR="00B72047" w:rsidRDefault="00B72047">
      <w:pPr>
        <w:pStyle w:val="Index1"/>
        <w:rPr>
          <w:noProof/>
        </w:rPr>
      </w:pPr>
      <w:r>
        <w:rPr>
          <w:noProof/>
        </w:rPr>
        <w:t>me, 98, 424, 448; compared with du in effect, 99; effect of MOI on, 448; explicitly specifying, 325; place structure of, 98; used with names, 99</w:t>
      </w:r>
    </w:p>
    <w:p w:rsidR="00B72047" w:rsidRDefault="00B72047">
      <w:pPr>
        <w:pStyle w:val="Index1"/>
        <w:rPr>
          <w:noProof/>
        </w:rPr>
      </w:pPr>
      <w:r>
        <w:rPr>
          <w:noProof/>
        </w:rPr>
        <w:t>ME selma’o, 98, 448, 500; terminator for, 500</w:t>
      </w:r>
    </w:p>
    <w:p w:rsidR="00B72047" w:rsidRDefault="00B72047">
      <w:pPr>
        <w:pStyle w:val="Index1"/>
        <w:rPr>
          <w:noProof/>
        </w:rPr>
      </w:pPr>
      <w:r>
        <w:rPr>
          <w:noProof/>
        </w:rPr>
        <w:t>me/du equivalence, 99</w:t>
      </w:r>
    </w:p>
    <w:p w:rsidR="00B72047" w:rsidRDefault="00B72047">
      <w:pPr>
        <w:pStyle w:val="Index1"/>
        <w:rPr>
          <w:noProof/>
        </w:rPr>
      </w:pPr>
      <w:r>
        <w:rPr>
          <w:noProof/>
        </w:rPr>
        <w:t>me'a, 203; avoiding in favor of semau, 203</w:t>
      </w:r>
    </w:p>
    <w:p w:rsidR="00B72047" w:rsidRDefault="00B72047">
      <w:pPr>
        <w:pStyle w:val="Index1"/>
        <w:rPr>
          <w:noProof/>
        </w:rPr>
      </w:pPr>
      <w:r>
        <w:rPr>
          <w:noProof/>
        </w:rPr>
        <w:t>measurement scale, 261</w:t>
      </w:r>
    </w:p>
    <w:p w:rsidR="00B72047" w:rsidRDefault="00B72047">
      <w:pPr>
        <w:pStyle w:val="Index1"/>
        <w:rPr>
          <w:noProof/>
        </w:rPr>
      </w:pPr>
      <w:r>
        <w:rPr>
          <w:noProof/>
        </w:rPr>
        <w:t>measurements: expressing, 435</w:t>
      </w:r>
    </w:p>
    <w:p w:rsidR="00B72047" w:rsidRDefault="00B72047">
      <w:pPr>
        <w:pStyle w:val="Index1"/>
        <w:rPr>
          <w:noProof/>
        </w:rPr>
      </w:pPr>
      <w:r>
        <w:rPr>
          <w:noProof/>
        </w:rPr>
        <w:t>meat slice: example, 285</w:t>
      </w:r>
    </w:p>
    <w:p w:rsidR="00B72047" w:rsidRDefault="00B72047">
      <w:pPr>
        <w:pStyle w:val="Index1"/>
        <w:rPr>
          <w:noProof/>
        </w:rPr>
      </w:pPr>
      <w:r>
        <w:rPr>
          <w:noProof/>
        </w:rPr>
        <w:t>medieval weapon, 283</w:t>
      </w:r>
    </w:p>
    <w:p w:rsidR="00B72047" w:rsidRDefault="00B72047">
      <w:pPr>
        <w:pStyle w:val="Index1"/>
        <w:rPr>
          <w:noProof/>
        </w:rPr>
      </w:pPr>
      <w:r>
        <w:rPr>
          <w:noProof/>
        </w:rPr>
        <w:t>MEhU selma’o, 98, 500</w:t>
      </w:r>
    </w:p>
    <w:p w:rsidR="00B72047" w:rsidRDefault="00B72047">
      <w:pPr>
        <w:pStyle w:val="Index1"/>
        <w:rPr>
          <w:noProof/>
        </w:rPr>
      </w:pPr>
      <w:r>
        <w:rPr>
          <w:noProof/>
        </w:rPr>
        <w:t>me'i, 443; with elided number, 443</w:t>
      </w:r>
    </w:p>
    <w:p w:rsidR="00B72047" w:rsidRDefault="00B72047">
      <w:pPr>
        <w:pStyle w:val="Index1"/>
        <w:rPr>
          <w:noProof/>
        </w:rPr>
      </w:pPr>
      <w:r>
        <w:rPr>
          <w:noProof/>
        </w:rPr>
        <w:t>mei, 446; place structure formed for objective indefinites, 446</w:t>
      </w:r>
    </w:p>
    <w:p w:rsidR="00B72047" w:rsidRDefault="00B72047">
      <w:pPr>
        <w:pStyle w:val="Index1"/>
        <w:rPr>
          <w:noProof/>
        </w:rPr>
      </w:pPr>
      <w:r>
        <w:rPr>
          <w:noProof/>
        </w:rPr>
        <w:t>mekso: and literary translation, 460; complex used as quantifier, 454; definition, 431; design goals, 431; list of selma'o for, 461</w:t>
      </w:r>
    </w:p>
    <w:p w:rsidR="00B72047" w:rsidRDefault="00B72047">
      <w:pPr>
        <w:pStyle w:val="Index1"/>
        <w:rPr>
          <w:noProof/>
        </w:rPr>
      </w:pPr>
      <w:r>
        <w:rPr>
          <w:noProof/>
        </w:rPr>
        <w:t>mekso chapter: completeness, 431; table notation convention, 431</w:t>
      </w:r>
    </w:p>
    <w:p w:rsidR="00B72047" w:rsidRDefault="00B72047">
      <w:pPr>
        <w:pStyle w:val="Index1"/>
        <w:rPr>
          <w:noProof/>
        </w:rPr>
      </w:pPr>
      <w:r>
        <w:rPr>
          <w:noProof/>
        </w:rPr>
        <w:t>mekso goal: coverage, 431; expandable, 431; for common use, 431; for mathematical writing, 431; precision, 431; unambiguous, 431</w:t>
      </w:r>
    </w:p>
    <w:p w:rsidR="00B72047" w:rsidRDefault="00B72047">
      <w:pPr>
        <w:pStyle w:val="Index1"/>
        <w:rPr>
          <w:noProof/>
        </w:rPr>
      </w:pPr>
      <w:r>
        <w:rPr>
          <w:noProof/>
        </w:rPr>
        <w:t>mekso goals: and ambiguity, 431; and non-mathematical expression, 431; mathematical notation form, 431</w:t>
      </w:r>
    </w:p>
    <w:p w:rsidR="00B72047" w:rsidRDefault="00B72047">
      <w:pPr>
        <w:pStyle w:val="Index1"/>
        <w:rPr>
          <w:noProof/>
        </w:rPr>
      </w:pPr>
      <w:r>
        <w:rPr>
          <w:noProof/>
        </w:rPr>
        <w:t>melting, 295</w:t>
      </w:r>
    </w:p>
    <w:p w:rsidR="00B72047" w:rsidRDefault="00B72047">
      <w:pPr>
        <w:pStyle w:val="Index1"/>
        <w:rPr>
          <w:noProof/>
        </w:rPr>
      </w:pPr>
      <w:r>
        <w:rPr>
          <w:noProof/>
        </w:rPr>
        <w:t>membership: property of sets, 125</w:t>
      </w:r>
    </w:p>
    <w:p w:rsidR="00B72047" w:rsidRDefault="00B72047">
      <w:pPr>
        <w:pStyle w:val="Index1"/>
        <w:rPr>
          <w:noProof/>
        </w:rPr>
      </w:pPr>
      <w:r>
        <w:rPr>
          <w:noProof/>
        </w:rPr>
        <w:t>mental activity, 263</w:t>
      </w:r>
    </w:p>
    <w:p w:rsidR="00B72047" w:rsidRDefault="00B72047">
      <w:pPr>
        <w:pStyle w:val="Index1"/>
        <w:rPr>
          <w:noProof/>
        </w:rPr>
      </w:pPr>
      <w:r>
        <w:rPr>
          <w:noProof/>
        </w:rPr>
        <w:t>mental discomfort: example, 307</w:t>
      </w:r>
    </w:p>
    <w:p w:rsidR="00B72047" w:rsidRDefault="00B72047">
      <w:pPr>
        <w:pStyle w:val="Index1"/>
        <w:rPr>
          <w:noProof/>
        </w:rPr>
      </w:pPr>
      <w:r>
        <w:rPr>
          <w:noProof/>
        </w:rPr>
        <w:t>me'o, 142, 422, 457; compared with la'e lu, 422; contrasted with li, 457; contrasted with lu…li'u for representing lerfu, 422; contrasted with quotation for representing lerfu, 422; relation to li compared with la/zo relation, 457</w:t>
      </w:r>
    </w:p>
    <w:p w:rsidR="00B72047" w:rsidRDefault="00B72047">
      <w:pPr>
        <w:pStyle w:val="Index1"/>
        <w:rPr>
          <w:noProof/>
        </w:rPr>
      </w:pPr>
      <w:r>
        <w:rPr>
          <w:noProof/>
        </w:rPr>
        <w:t>metalinguistic comment: with embedded discursive, 481</w:t>
      </w:r>
    </w:p>
    <w:p w:rsidR="00B72047" w:rsidRDefault="00B72047">
      <w:pPr>
        <w:pStyle w:val="Index1"/>
        <w:rPr>
          <w:noProof/>
        </w:rPr>
      </w:pPr>
      <w:r>
        <w:rPr>
          <w:noProof/>
        </w:rPr>
        <w:t>metalinguistic commentary, 480</w:t>
      </w:r>
    </w:p>
    <w:p w:rsidR="00B72047" w:rsidRDefault="00B72047">
      <w:pPr>
        <w:pStyle w:val="Index1"/>
        <w:rPr>
          <w:noProof/>
        </w:rPr>
      </w:pPr>
      <w:r>
        <w:rPr>
          <w:noProof/>
        </w:rPr>
        <w:t>metalinguistic erasers: within ungrammatical-Lojban quotation, 477</w:t>
      </w:r>
    </w:p>
    <w:p w:rsidR="00B72047" w:rsidRDefault="00B72047">
      <w:pPr>
        <w:pStyle w:val="Index1"/>
        <w:rPr>
          <w:noProof/>
        </w:rPr>
      </w:pPr>
      <w:r>
        <w:rPr>
          <w:noProof/>
        </w:rPr>
        <w:t>metalinguistic insertions: marker for, 504</w:t>
      </w:r>
    </w:p>
    <w:p w:rsidR="00B72047" w:rsidRDefault="00B72047">
      <w:pPr>
        <w:pStyle w:val="Index1"/>
        <w:rPr>
          <w:noProof/>
        </w:rPr>
      </w:pPr>
      <w:r>
        <w:rPr>
          <w:noProof/>
        </w:rPr>
        <w:t>metalinguistic levels, 481</w:t>
      </w:r>
    </w:p>
    <w:p w:rsidR="00B72047" w:rsidRDefault="00B72047">
      <w:pPr>
        <w:pStyle w:val="Index1"/>
        <w:rPr>
          <w:noProof/>
        </w:rPr>
      </w:pPr>
      <w:r>
        <w:rPr>
          <w:noProof/>
        </w:rPr>
        <w:t>metalinguistic levels or reference, 481</w:t>
      </w:r>
    </w:p>
    <w:p w:rsidR="00B72047" w:rsidRDefault="00B72047">
      <w:pPr>
        <w:pStyle w:val="Index1"/>
        <w:rPr>
          <w:noProof/>
        </w:rPr>
      </w:pPr>
      <w:r>
        <w:rPr>
          <w:noProof/>
        </w:rPr>
        <w:t>metalinguistic pro-sumti, 140; implicit quantifier for, 140</w:t>
      </w:r>
    </w:p>
    <w:p w:rsidR="00B72047" w:rsidRDefault="00B72047">
      <w:pPr>
        <w:pStyle w:val="Index1"/>
        <w:rPr>
          <w:noProof/>
        </w:rPr>
      </w:pPr>
      <w:r>
        <w:rPr>
          <w:noProof/>
        </w:rPr>
        <w:t>metalinguistic words: quick-tour version, 25</w:t>
      </w:r>
    </w:p>
    <w:p w:rsidR="00B72047" w:rsidRDefault="00B72047">
      <w:pPr>
        <w:pStyle w:val="Index1"/>
        <w:rPr>
          <w:noProof/>
        </w:rPr>
      </w:pPr>
      <w:r>
        <w:rPr>
          <w:noProof/>
        </w:rPr>
        <w:t>me'u, 98, 448, 449; relative precedence with logical connectives, 99</w:t>
      </w:r>
    </w:p>
    <w:p w:rsidR="00B72047" w:rsidRDefault="00B72047">
      <w:pPr>
        <w:pStyle w:val="Index1"/>
        <w:rPr>
          <w:noProof/>
        </w:rPr>
      </w:pPr>
      <w:r>
        <w:rPr>
          <w:noProof/>
        </w:rPr>
        <w:t>mi, 119, 146</w:t>
      </w:r>
    </w:p>
    <w:p w:rsidR="00B72047" w:rsidRDefault="00B72047">
      <w:pPr>
        <w:pStyle w:val="Index1"/>
        <w:rPr>
          <w:noProof/>
        </w:rPr>
      </w:pPr>
      <w:r>
        <w:rPr>
          <w:noProof/>
        </w:rPr>
        <w:t>mi'a, 146</w:t>
      </w:r>
    </w:p>
    <w:p w:rsidR="00B72047" w:rsidRDefault="00B72047">
      <w:pPr>
        <w:pStyle w:val="Index1"/>
        <w:rPr>
          <w:noProof/>
        </w:rPr>
      </w:pPr>
      <w:r>
        <w:rPr>
          <w:noProof/>
        </w:rPr>
        <w:t>mice: example, 265</w:t>
      </w:r>
    </w:p>
    <w:p w:rsidR="00B72047" w:rsidRDefault="00B72047">
      <w:pPr>
        <w:pStyle w:val="Index1"/>
        <w:rPr>
          <w:noProof/>
        </w:rPr>
      </w:pPr>
      <w:r>
        <w:rPr>
          <w:noProof/>
        </w:rPr>
        <w:t>mi'e, 146, 325; contrasted with other members of COI, 325; effect of ordering multiple COI, 325</w:t>
      </w:r>
    </w:p>
    <w:p w:rsidR="00B72047" w:rsidRDefault="00B72047">
      <w:pPr>
        <w:pStyle w:val="Index1"/>
        <w:rPr>
          <w:noProof/>
        </w:rPr>
      </w:pPr>
      <w:r>
        <w:rPr>
          <w:noProof/>
        </w:rPr>
        <w:t>mi'enai, 326</w:t>
      </w:r>
    </w:p>
    <w:p w:rsidR="00B72047" w:rsidRDefault="00B72047">
      <w:pPr>
        <w:pStyle w:val="Index1"/>
        <w:rPr>
          <w:noProof/>
        </w:rPr>
      </w:pPr>
      <w:r>
        <w:rPr>
          <w:noProof/>
        </w:rPr>
        <w:t>mi'i, 359, 455</w:t>
      </w:r>
    </w:p>
    <w:p w:rsidR="00B72047" w:rsidRDefault="00B72047">
      <w:pPr>
        <w:pStyle w:val="Index1"/>
        <w:rPr>
          <w:noProof/>
        </w:rPr>
      </w:pPr>
      <w:r>
        <w:rPr>
          <w:noProof/>
        </w:rPr>
        <w:t>minimal list, 273</w:t>
      </w:r>
    </w:p>
    <w:p w:rsidR="00B72047" w:rsidRDefault="00B72047">
      <w:pPr>
        <w:pStyle w:val="Index1"/>
        <w:rPr>
          <w:noProof/>
        </w:rPr>
      </w:pPr>
      <w:r>
        <w:rPr>
          <w:noProof/>
        </w:rPr>
        <w:t>mintu: contrasted with du, 163</w:t>
      </w:r>
    </w:p>
    <w:p w:rsidR="00B72047" w:rsidRDefault="00B72047">
      <w:pPr>
        <w:pStyle w:val="Index1"/>
        <w:rPr>
          <w:noProof/>
        </w:rPr>
      </w:pPr>
      <w:r>
        <w:rPr>
          <w:noProof/>
        </w:rPr>
        <w:t>mi'o, 146</w:t>
      </w:r>
    </w:p>
    <w:p w:rsidR="00B72047" w:rsidRDefault="00B72047">
      <w:pPr>
        <w:pStyle w:val="Index1"/>
        <w:rPr>
          <w:noProof/>
        </w:rPr>
      </w:pPr>
      <w:r>
        <w:rPr>
          <w:noProof/>
        </w:rPr>
        <w:t>mi-series: of pro-sumti, 146</w:t>
      </w:r>
    </w:p>
    <w:p w:rsidR="00B72047" w:rsidRDefault="00B72047">
      <w:pPr>
        <w:pStyle w:val="Index1"/>
        <w:rPr>
          <w:noProof/>
        </w:rPr>
      </w:pPr>
      <w:r>
        <w:rPr>
          <w:noProof/>
        </w:rPr>
        <w:t>mi-series pro-sumti: lack of pro-bridi equivalent, 147</w:t>
      </w:r>
    </w:p>
    <w:p w:rsidR="00B72047" w:rsidRDefault="00B72047">
      <w:pPr>
        <w:pStyle w:val="Index1"/>
        <w:rPr>
          <w:noProof/>
        </w:rPr>
      </w:pPr>
      <w:r>
        <w:rPr>
          <w:noProof/>
        </w:rPr>
        <w:t>misinterpretation, 286</w:t>
      </w:r>
    </w:p>
    <w:p w:rsidR="00B72047" w:rsidRDefault="00B72047">
      <w:pPr>
        <w:pStyle w:val="Index1"/>
        <w:rPr>
          <w:noProof/>
        </w:rPr>
      </w:pPr>
      <w:r>
        <w:rPr>
          <w:noProof/>
        </w:rPr>
        <w:t>Mitsubishi: example, 420</w:t>
      </w:r>
    </w:p>
    <w:p w:rsidR="00B72047" w:rsidRDefault="00B72047">
      <w:pPr>
        <w:pStyle w:val="Index1"/>
        <w:rPr>
          <w:noProof/>
        </w:rPr>
      </w:pPr>
      <w:r>
        <w:rPr>
          <w:noProof/>
        </w:rPr>
        <w:t>mi'u, 317; contrasted with go'i, 318</w:t>
      </w:r>
    </w:p>
    <w:p w:rsidR="00B72047" w:rsidRDefault="00B72047">
      <w:pPr>
        <w:pStyle w:val="Index1"/>
        <w:rPr>
          <w:noProof/>
        </w:rPr>
      </w:pPr>
      <w:r>
        <w:rPr>
          <w:noProof/>
        </w:rPr>
        <w:t>mixed claim: definition, 394</w:t>
      </w:r>
    </w:p>
    <w:p w:rsidR="00B72047" w:rsidRDefault="00B72047">
      <w:pPr>
        <w:pStyle w:val="Index1"/>
        <w:rPr>
          <w:noProof/>
        </w:rPr>
      </w:pPr>
      <w:r>
        <w:rPr>
          <w:noProof/>
        </w:rPr>
        <w:t>mixed modal connection: afterthought, 205; as proscribed in forethought, 205; definition, 204; of bridi-tails, 205; of sentences, 204; of sumti, 205</w:t>
      </w:r>
    </w:p>
    <w:p w:rsidR="00B72047" w:rsidRDefault="00B72047">
      <w:pPr>
        <w:pStyle w:val="Index1"/>
        <w:rPr>
          <w:noProof/>
        </w:rPr>
      </w:pPr>
      <w:r>
        <w:rPr>
          <w:noProof/>
        </w:rPr>
        <w:t>mixed with: example, 354</w:t>
      </w:r>
    </w:p>
    <w:p w:rsidR="00B72047" w:rsidRDefault="00B72047">
      <w:pPr>
        <w:pStyle w:val="Index1"/>
        <w:rPr>
          <w:noProof/>
        </w:rPr>
      </w:pPr>
      <w:r>
        <w:rPr>
          <w:noProof/>
        </w:rPr>
        <w:t>mo, 160, 470; as selbri question, 160; compared with go'i in overriding of arguments, 160; quick-tour version, 23</w:t>
      </w:r>
    </w:p>
    <w:p w:rsidR="00B72047" w:rsidRDefault="00B72047">
      <w:pPr>
        <w:pStyle w:val="Index1"/>
        <w:rPr>
          <w:noProof/>
        </w:rPr>
      </w:pPr>
      <w:r>
        <w:rPr>
          <w:noProof/>
        </w:rPr>
        <w:t>mo'a, 442, 448</w:t>
      </w:r>
    </w:p>
    <w:p w:rsidR="00B72047" w:rsidRDefault="00B72047">
      <w:pPr>
        <w:pStyle w:val="Index1"/>
        <w:rPr>
          <w:noProof/>
        </w:rPr>
      </w:pPr>
      <w:r>
        <w:rPr>
          <w:noProof/>
        </w:rPr>
        <w:t>modal bridi-tail connection, 200</w:t>
      </w:r>
    </w:p>
    <w:p w:rsidR="00B72047" w:rsidRDefault="00B72047">
      <w:pPr>
        <w:pStyle w:val="Index1"/>
        <w:rPr>
          <w:noProof/>
        </w:rPr>
      </w:pPr>
      <w:r>
        <w:rPr>
          <w:noProof/>
        </w:rPr>
        <w:t>modal causals: implication differences, 197</w:t>
      </w:r>
    </w:p>
    <w:p w:rsidR="00B72047" w:rsidRDefault="00B72047">
      <w:pPr>
        <w:pStyle w:val="Index1"/>
        <w:rPr>
          <w:noProof/>
        </w:rPr>
      </w:pPr>
      <w:r>
        <w:rPr>
          <w:noProof/>
        </w:rPr>
        <w:t>modal cmavo: basis in gismu place structure, 210; list of irregular derivation, 209; position relative to selbri, 104; regular form for derivation, 208; table with English equivalents, 210</w:t>
      </w:r>
    </w:p>
    <w:p w:rsidR="00B72047" w:rsidRDefault="00B72047">
      <w:pPr>
        <w:pStyle w:val="Index1"/>
        <w:rPr>
          <w:noProof/>
        </w:rPr>
      </w:pPr>
      <w:r>
        <w:rPr>
          <w:noProof/>
        </w:rPr>
        <w:t>modal cmavo table: format of, 210</w:t>
      </w:r>
    </w:p>
    <w:p w:rsidR="00B72047" w:rsidRDefault="00B72047">
      <w:pPr>
        <w:pStyle w:val="Index1"/>
        <w:rPr>
          <w:noProof/>
        </w:rPr>
      </w:pPr>
      <w:r>
        <w:rPr>
          <w:noProof/>
        </w:rPr>
        <w:t>modal connection: simultaneous with logical, 204</w:t>
      </w:r>
    </w:p>
    <w:p w:rsidR="00B72047" w:rsidRDefault="00B72047">
      <w:pPr>
        <w:pStyle w:val="Index1"/>
        <w:rPr>
          <w:noProof/>
        </w:rPr>
      </w:pPr>
      <w:r>
        <w:rPr>
          <w:noProof/>
        </w:rPr>
        <w:t>modal connection of selbri: using bridi-tail modal connection, 200</w:t>
      </w:r>
    </w:p>
    <w:p w:rsidR="00B72047" w:rsidRDefault="00B72047">
      <w:pPr>
        <w:pStyle w:val="Index1"/>
        <w:rPr>
          <w:noProof/>
        </w:rPr>
      </w:pPr>
      <w:r>
        <w:rPr>
          <w:noProof/>
        </w:rPr>
        <w:t>modal connectives: fi'o prohibited in, 201</w:t>
      </w:r>
    </w:p>
    <w:p w:rsidR="00B72047" w:rsidRDefault="00B72047">
      <w:pPr>
        <w:pStyle w:val="Index1"/>
        <w:rPr>
          <w:noProof/>
        </w:rPr>
      </w:pPr>
      <w:r>
        <w:rPr>
          <w:noProof/>
        </w:rPr>
        <w:t>modal conversion: access to original first place with fai, 206; grammar of, 206; place structure of, 206; with no modal specified, 206</w:t>
      </w:r>
    </w:p>
    <w:p w:rsidR="00B72047" w:rsidRDefault="00B72047">
      <w:pPr>
        <w:pStyle w:val="Index1"/>
        <w:rPr>
          <w:noProof/>
        </w:rPr>
      </w:pPr>
      <w:r>
        <w:rPr>
          <w:noProof/>
        </w:rPr>
        <w:t>modal conversion with fi'o, 206</w:t>
      </w:r>
    </w:p>
    <w:p w:rsidR="00B72047" w:rsidRDefault="00B72047">
      <w:pPr>
        <w:pStyle w:val="Index1"/>
        <w:rPr>
          <w:noProof/>
        </w:rPr>
      </w:pPr>
      <w:r>
        <w:rPr>
          <w:noProof/>
        </w:rPr>
        <w:t>modal conversion without modal: as vague, 206</w:t>
      </w:r>
    </w:p>
    <w:p w:rsidR="00B72047" w:rsidRDefault="00B72047">
      <w:pPr>
        <w:pStyle w:val="Index1"/>
        <w:rPr>
          <w:noProof/>
        </w:rPr>
      </w:pPr>
      <w:r>
        <w:rPr>
          <w:noProof/>
        </w:rPr>
        <w:t>modal conversions: in descriptions, 206</w:t>
      </w:r>
    </w:p>
    <w:p w:rsidR="00B72047" w:rsidRDefault="00B72047">
      <w:pPr>
        <w:pStyle w:val="Index1"/>
        <w:rPr>
          <w:noProof/>
        </w:rPr>
      </w:pPr>
      <w:r>
        <w:rPr>
          <w:noProof/>
        </w:rPr>
        <w:t>modal followed by selbri: compared with tanru modification in meaning, 202; contrasted with tanru modification in grammar, 202; effect on eliding cu, 201</w:t>
      </w:r>
    </w:p>
    <w:p w:rsidR="00B72047" w:rsidRDefault="00B72047">
      <w:pPr>
        <w:pStyle w:val="Index1"/>
        <w:rPr>
          <w:noProof/>
        </w:rPr>
      </w:pPr>
      <w:r>
        <w:rPr>
          <w:noProof/>
        </w:rPr>
        <w:t>modal operand connection, 201</w:t>
      </w:r>
    </w:p>
    <w:p w:rsidR="00B72047" w:rsidRDefault="00B72047">
      <w:pPr>
        <w:pStyle w:val="Index1"/>
        <w:rPr>
          <w:noProof/>
        </w:rPr>
      </w:pPr>
      <w:r>
        <w:rPr>
          <w:noProof/>
        </w:rPr>
        <w:t>modal place: definition, 195; on description selbri, 197; rationale for term name, 195; relation of to selbri, 195</w:t>
      </w:r>
    </w:p>
    <w:p w:rsidR="00B72047" w:rsidRDefault="00B72047">
      <w:pPr>
        <w:pStyle w:val="Index1"/>
        <w:rPr>
          <w:noProof/>
        </w:rPr>
      </w:pPr>
      <w:r>
        <w:rPr>
          <w:noProof/>
        </w:rPr>
        <w:t>modal place relation: importance of first place in, 195</w:t>
      </w:r>
    </w:p>
    <w:p w:rsidR="00B72047" w:rsidRDefault="00B72047">
      <w:pPr>
        <w:pStyle w:val="Index1"/>
        <w:rPr>
          <w:noProof/>
        </w:rPr>
      </w:pPr>
      <w:r>
        <w:rPr>
          <w:noProof/>
        </w:rPr>
        <w:t>modal sentence connection, 198; condensing, 200; effect on modal, 199; forethought, 199; relation to modal of first sentence in, 199; relation to modal of second sentence in, 199; table of equivalent schemata, 249; with other than causals, 199</w:t>
      </w:r>
    </w:p>
    <w:p w:rsidR="00B72047" w:rsidRDefault="00B72047">
      <w:pPr>
        <w:pStyle w:val="Index1"/>
        <w:rPr>
          <w:noProof/>
        </w:rPr>
      </w:pPr>
      <w:r>
        <w:rPr>
          <w:noProof/>
        </w:rPr>
        <w:t>modal sumti: and FA marking, 195; as first place of modal tag selbri, 195; definition (see also seltcita sumti), 195; effect on place structure, 195; leaving vague, 201; position in bridi, 195; unspecified, 201</w:t>
      </w:r>
    </w:p>
    <w:p w:rsidR="00B72047" w:rsidRDefault="00B72047">
      <w:pPr>
        <w:pStyle w:val="Index1"/>
        <w:rPr>
          <w:noProof/>
        </w:rPr>
      </w:pPr>
      <w:r>
        <w:rPr>
          <w:noProof/>
        </w:rPr>
        <w:t>modal sumti connection, 200</w:t>
      </w:r>
    </w:p>
    <w:p w:rsidR="00B72047" w:rsidRDefault="00B72047">
      <w:pPr>
        <w:pStyle w:val="Index1"/>
        <w:rPr>
          <w:noProof/>
        </w:rPr>
      </w:pPr>
      <w:r>
        <w:rPr>
          <w:noProof/>
        </w:rPr>
        <w:t>modal tag: and sumti tcita, 94; contrasted with English preposition in preciseness, 196; definition (see also sumti tcita), 195; fi'o with selbri as, 194; for vague relationship, 197; short form as BAI, 195</w:t>
      </w:r>
    </w:p>
    <w:p w:rsidR="00B72047" w:rsidRDefault="00B72047">
      <w:pPr>
        <w:pStyle w:val="Index1"/>
        <w:rPr>
          <w:noProof/>
        </w:rPr>
      </w:pPr>
      <w:r>
        <w:rPr>
          <w:noProof/>
        </w:rPr>
        <w:t>modal with no sumti: indicator for, 497</w:t>
      </w:r>
    </w:p>
    <w:p w:rsidR="00B72047" w:rsidRDefault="00B72047">
      <w:pPr>
        <w:pStyle w:val="Index1"/>
        <w:rPr>
          <w:noProof/>
        </w:rPr>
      </w:pPr>
      <w:r>
        <w:rPr>
          <w:noProof/>
        </w:rPr>
        <w:t>modal-or-tense question: with cu'e, 250</w:t>
      </w:r>
    </w:p>
    <w:p w:rsidR="00B72047" w:rsidRDefault="00B72047">
      <w:pPr>
        <w:pStyle w:val="Index1"/>
        <w:rPr>
          <w:noProof/>
        </w:rPr>
      </w:pPr>
      <w:r>
        <w:rPr>
          <w:noProof/>
        </w:rPr>
        <w:t>modals: compared with tenses in syntax, 248; contradictory negation of, 206; contrasted with tenses in semantics, 248; expanding scope over inner modal connection, 202; expanding scope over logical connection with ke…ke'e, 202; expanding scope over multiple sentences with tu'e…tu'u, 202; expanding scope over non-logical connection, 202; for causal gismu, 197; importance of 1st sumti place for sumti tcita use, 248; improving relative phrase preciseness with, 203; making long-scope, 207; making sticky, 207; negation of, 206; scalar negation of, 207; termset connection, 200</w:t>
      </w:r>
    </w:p>
    <w:p w:rsidR="00B72047" w:rsidRDefault="00B72047">
      <w:pPr>
        <w:pStyle w:val="Index1"/>
        <w:rPr>
          <w:noProof/>
        </w:rPr>
      </w:pPr>
      <w:r>
        <w:rPr>
          <w:noProof/>
        </w:rPr>
        <w:t>modals often attached with relative phrases: list, 204</w:t>
      </w:r>
    </w:p>
    <w:p w:rsidR="00B72047" w:rsidRDefault="00B72047">
      <w:pPr>
        <w:pStyle w:val="Index1"/>
        <w:rPr>
          <w:noProof/>
        </w:rPr>
      </w:pPr>
      <w:r>
        <w:rPr>
          <w:noProof/>
        </w:rPr>
        <w:t>modified: of a tanru, 274</w:t>
      </w:r>
    </w:p>
    <w:p w:rsidR="00B72047" w:rsidRDefault="00B72047">
      <w:pPr>
        <w:pStyle w:val="Index1"/>
        <w:rPr>
          <w:noProof/>
        </w:rPr>
      </w:pPr>
      <w:r>
        <w:rPr>
          <w:noProof/>
        </w:rPr>
        <w:t>modifier: of a tanru, 274; seltau as, 84</w:t>
      </w:r>
    </w:p>
    <w:p w:rsidR="00B72047" w:rsidRDefault="00B72047">
      <w:pPr>
        <w:pStyle w:val="Index1"/>
        <w:rPr>
          <w:noProof/>
        </w:rPr>
      </w:pPr>
      <w:r>
        <w:rPr>
          <w:noProof/>
        </w:rPr>
        <w:t>modifying brivla (see also seltau), 55</w:t>
      </w:r>
    </w:p>
    <w:p w:rsidR="00B72047" w:rsidRDefault="00B72047">
      <w:pPr>
        <w:pStyle w:val="Index1"/>
        <w:rPr>
          <w:noProof/>
        </w:rPr>
      </w:pPr>
      <w:r>
        <w:rPr>
          <w:noProof/>
        </w:rPr>
        <w:t>mo'e, 456; terminator for, 456</w:t>
      </w:r>
    </w:p>
    <w:p w:rsidR="00B72047" w:rsidRDefault="00B72047">
      <w:pPr>
        <w:pStyle w:val="Index1"/>
        <w:rPr>
          <w:noProof/>
        </w:rPr>
      </w:pPr>
      <w:r>
        <w:rPr>
          <w:noProof/>
        </w:rPr>
        <w:t>MOhE selma’o, 500; terminator for, 505</w:t>
      </w:r>
    </w:p>
    <w:p w:rsidR="00B72047" w:rsidRDefault="00B72047">
      <w:pPr>
        <w:pStyle w:val="Index1"/>
        <w:rPr>
          <w:noProof/>
        </w:rPr>
      </w:pPr>
      <w:r>
        <w:rPr>
          <w:noProof/>
        </w:rPr>
        <w:t>MOhI selma’o, 224, 501</w:t>
      </w:r>
    </w:p>
    <w:p w:rsidR="00B72047" w:rsidRDefault="00B72047">
      <w:pPr>
        <w:pStyle w:val="Index1"/>
        <w:rPr>
          <w:noProof/>
        </w:rPr>
      </w:pPr>
      <w:r>
        <w:rPr>
          <w:noProof/>
        </w:rPr>
        <w:t>mo'i, 224</w:t>
      </w:r>
    </w:p>
    <w:p w:rsidR="00B72047" w:rsidRDefault="00B72047">
      <w:pPr>
        <w:pStyle w:val="Index1"/>
        <w:rPr>
          <w:noProof/>
        </w:rPr>
      </w:pPr>
      <w:r>
        <w:rPr>
          <w:noProof/>
        </w:rPr>
        <w:t>Mon Repos: example, 280</w:t>
      </w:r>
    </w:p>
    <w:p w:rsidR="00B72047" w:rsidRDefault="00B72047">
      <w:pPr>
        <w:pStyle w:val="Index1"/>
        <w:rPr>
          <w:noProof/>
        </w:rPr>
      </w:pPr>
      <w:r>
        <w:rPr>
          <w:noProof/>
        </w:rPr>
        <w:t>mo'o, 458, 474; contrasted with mai, 458</w:t>
      </w:r>
    </w:p>
    <w:p w:rsidR="00B72047" w:rsidRDefault="00B72047">
      <w:pPr>
        <w:pStyle w:val="Index1"/>
        <w:rPr>
          <w:noProof/>
        </w:rPr>
      </w:pPr>
      <w:r>
        <w:rPr>
          <w:noProof/>
        </w:rPr>
        <w:t>moi, 447</w:t>
      </w:r>
    </w:p>
    <w:p w:rsidR="00B72047" w:rsidRDefault="00B72047">
      <w:pPr>
        <w:pStyle w:val="Index1"/>
        <w:rPr>
          <w:noProof/>
        </w:rPr>
      </w:pPr>
      <w:r>
        <w:rPr>
          <w:noProof/>
        </w:rPr>
        <w:t>MOI selma’o, 98, 446, 449, 463, 500; list of cmavo in, 463; use of boi before, 449</w:t>
      </w:r>
    </w:p>
    <w:p w:rsidR="00B72047" w:rsidRDefault="00B72047">
      <w:pPr>
        <w:pStyle w:val="Index1"/>
        <w:rPr>
          <w:noProof/>
        </w:rPr>
      </w:pPr>
      <w:r>
        <w:rPr>
          <w:noProof/>
        </w:rPr>
        <w:t>more: English word, expressing with relative phrases, 203; English word, importance of relative phrase to, 204</w:t>
      </w:r>
    </w:p>
    <w:p w:rsidR="00B72047" w:rsidRDefault="00B72047">
      <w:pPr>
        <w:pStyle w:val="Index1"/>
        <w:rPr>
          <w:noProof/>
        </w:rPr>
      </w:pPr>
      <w:r>
        <w:rPr>
          <w:noProof/>
        </w:rPr>
        <w:t>more than: contrasted with less than, at least, at most, 443; example, 443</w:t>
      </w:r>
    </w:p>
    <w:p w:rsidR="00B72047" w:rsidRDefault="00B72047">
      <w:pPr>
        <w:pStyle w:val="Index1"/>
        <w:rPr>
          <w:noProof/>
        </w:rPr>
      </w:pPr>
      <w:r>
        <w:rPr>
          <w:noProof/>
        </w:rPr>
        <w:t>morphological glue, 507</w:t>
      </w:r>
    </w:p>
    <w:p w:rsidR="00B72047" w:rsidRDefault="00B72047">
      <w:pPr>
        <w:pStyle w:val="Index1"/>
        <w:rPr>
          <w:noProof/>
        </w:rPr>
      </w:pPr>
      <w:r>
        <w:rPr>
          <w:noProof/>
        </w:rPr>
        <w:t>morphology: conventions for, 49; definition, 49; derivational, 49; simplicity of, 49; symbolic conventions for discussing, 49</w:t>
      </w:r>
    </w:p>
    <w:p w:rsidR="00B72047" w:rsidRDefault="00B72047">
      <w:pPr>
        <w:pStyle w:val="Index1"/>
        <w:rPr>
          <w:noProof/>
        </w:rPr>
      </w:pPr>
      <w:r>
        <w:rPr>
          <w:noProof/>
        </w:rPr>
        <w:t>mother father: example, 55</w:t>
      </w:r>
    </w:p>
    <w:p w:rsidR="00B72047" w:rsidRDefault="00B72047">
      <w:pPr>
        <w:pStyle w:val="Index1"/>
        <w:rPr>
          <w:noProof/>
        </w:rPr>
      </w:pPr>
      <w:r>
        <w:rPr>
          <w:noProof/>
        </w:rPr>
        <w:t>movement: order in tense constructs, 225; time, 225; with multiple directions, 225</w:t>
      </w:r>
    </w:p>
    <w:p w:rsidR="00B72047" w:rsidRDefault="00B72047">
      <w:pPr>
        <w:pStyle w:val="Index1"/>
        <w:rPr>
          <w:noProof/>
        </w:rPr>
      </w:pPr>
      <w:r>
        <w:rPr>
          <w:noProof/>
        </w:rPr>
        <w:t>movement specification: interaction with direction in tenses, 224</w:t>
      </w:r>
    </w:p>
    <w:p w:rsidR="00B72047" w:rsidRDefault="00B72047">
      <w:pPr>
        <w:pStyle w:val="Index1"/>
        <w:rPr>
          <w:noProof/>
        </w:rPr>
      </w:pPr>
      <w:r>
        <w:rPr>
          <w:noProof/>
        </w:rPr>
        <w:t>mu'a, 319</w:t>
      </w:r>
    </w:p>
    <w:p w:rsidR="00B72047" w:rsidRDefault="00B72047">
      <w:pPr>
        <w:pStyle w:val="Index1"/>
        <w:rPr>
          <w:noProof/>
        </w:rPr>
      </w:pPr>
      <w:r>
        <w:rPr>
          <w:noProof/>
        </w:rPr>
        <w:t>mu'e, 257, 258; place structure, 259</w:t>
      </w:r>
    </w:p>
    <w:p w:rsidR="00B72047" w:rsidRDefault="00B72047">
      <w:pPr>
        <w:pStyle w:val="Index1"/>
        <w:rPr>
          <w:noProof/>
        </w:rPr>
      </w:pPr>
      <w:r>
        <w:rPr>
          <w:noProof/>
        </w:rPr>
        <w:t>mu'i, 197</w:t>
      </w:r>
    </w:p>
    <w:p w:rsidR="00B72047" w:rsidRDefault="00B72047">
      <w:pPr>
        <w:pStyle w:val="Index1"/>
        <w:rPr>
          <w:noProof/>
        </w:rPr>
      </w:pPr>
      <w:r>
        <w:rPr>
          <w:noProof/>
        </w:rPr>
        <w:t>multiple compound bridi: restriction on ke, 346</w:t>
      </w:r>
    </w:p>
    <w:p w:rsidR="00B72047" w:rsidRDefault="00B72047">
      <w:pPr>
        <w:pStyle w:val="Index1"/>
        <w:rPr>
          <w:noProof/>
        </w:rPr>
      </w:pPr>
      <w:r>
        <w:rPr>
          <w:noProof/>
        </w:rPr>
        <w:t>multiple conversion: avoiding, 194; effect of ordering, 194</w:t>
      </w:r>
    </w:p>
    <w:p w:rsidR="00B72047" w:rsidRDefault="00B72047">
      <w:pPr>
        <w:pStyle w:val="Index1"/>
        <w:rPr>
          <w:noProof/>
        </w:rPr>
      </w:pPr>
      <w:r>
        <w:rPr>
          <w:noProof/>
        </w:rPr>
        <w:t>multiple indefinite sumti: effect of re-ordering in sentence, 399; expressing with equal scope, 399; meaning, 398</w:t>
      </w:r>
    </w:p>
    <w:p w:rsidR="00B72047" w:rsidRDefault="00B72047">
      <w:pPr>
        <w:pStyle w:val="Index1"/>
        <w:rPr>
          <w:noProof/>
        </w:rPr>
      </w:pPr>
      <w:r>
        <w:rPr>
          <w:noProof/>
        </w:rPr>
        <w:t>multiple indefinite sumti scope: in termset, 399</w:t>
      </w:r>
    </w:p>
    <w:p w:rsidR="00B72047" w:rsidRDefault="00B72047">
      <w:pPr>
        <w:pStyle w:val="Index1"/>
        <w:rPr>
          <w:noProof/>
        </w:rPr>
      </w:pPr>
      <w:r>
        <w:rPr>
          <w:noProof/>
        </w:rPr>
        <w:t>multiple indicators, 312</w:t>
      </w:r>
    </w:p>
    <w:p w:rsidR="00B72047" w:rsidRDefault="00B72047">
      <w:pPr>
        <w:pStyle w:val="Index1"/>
        <w:rPr>
          <w:noProof/>
        </w:rPr>
      </w:pPr>
      <w:r>
        <w:rPr>
          <w:noProof/>
        </w:rPr>
        <w:t>multiple individual objects: contrasted with mass object, 123; meaning of, 123</w:t>
      </w:r>
    </w:p>
    <w:p w:rsidR="00B72047" w:rsidRDefault="00B72047">
      <w:pPr>
        <w:pStyle w:val="Index1"/>
        <w:rPr>
          <w:noProof/>
        </w:rPr>
      </w:pPr>
      <w:r>
        <w:rPr>
          <w:noProof/>
        </w:rPr>
        <w:t>multiple letters: proposed lerfu words for, 429</w:t>
      </w:r>
    </w:p>
    <w:p w:rsidR="00B72047" w:rsidRDefault="00B72047">
      <w:pPr>
        <w:pStyle w:val="Index1"/>
        <w:rPr>
          <w:noProof/>
        </w:rPr>
      </w:pPr>
      <w:r>
        <w:rPr>
          <w:noProof/>
        </w:rPr>
        <w:t>multiple logical connectives: within tanru, 91</w:t>
      </w:r>
    </w:p>
    <w:p w:rsidR="00B72047" w:rsidRDefault="00B72047">
      <w:pPr>
        <w:pStyle w:val="Index1"/>
        <w:rPr>
          <w:noProof/>
        </w:rPr>
      </w:pPr>
      <w:r>
        <w:rPr>
          <w:noProof/>
        </w:rPr>
        <w:t>multiple ma: as multiple questions, 160</w:t>
      </w:r>
    </w:p>
    <w:p w:rsidR="00B72047" w:rsidRDefault="00B72047">
      <w:pPr>
        <w:pStyle w:val="Index1"/>
        <w:rPr>
          <w:noProof/>
        </w:rPr>
      </w:pPr>
      <w:r>
        <w:rPr>
          <w:noProof/>
        </w:rPr>
        <w:t>multiple mo: as multiple questions, 160</w:t>
      </w:r>
    </w:p>
    <w:p w:rsidR="00B72047" w:rsidRDefault="00B72047">
      <w:pPr>
        <w:pStyle w:val="Index1"/>
        <w:rPr>
          <w:noProof/>
        </w:rPr>
      </w:pPr>
      <w:r>
        <w:rPr>
          <w:noProof/>
        </w:rPr>
        <w:t>multiple quantification: effect on selbri placement among sumti, 407</w:t>
      </w:r>
    </w:p>
    <w:p w:rsidR="00B72047" w:rsidRDefault="00B72047">
      <w:pPr>
        <w:pStyle w:val="Index1"/>
        <w:rPr>
          <w:noProof/>
        </w:rPr>
      </w:pPr>
      <w:r>
        <w:rPr>
          <w:noProof/>
        </w:rPr>
        <w:t>multiple questions in one bridi: expressing, 160</w:t>
      </w:r>
    </w:p>
    <w:p w:rsidR="00B72047" w:rsidRDefault="00B72047">
      <w:pPr>
        <w:pStyle w:val="Index1"/>
        <w:rPr>
          <w:noProof/>
        </w:rPr>
      </w:pPr>
      <w:r>
        <w:rPr>
          <w:noProof/>
        </w:rPr>
        <w:t>multiple relative clauses: attaching with zi'e, 175; connecting different kinds with zi'e, 176</w:t>
      </w:r>
    </w:p>
    <w:p w:rsidR="00B72047" w:rsidRDefault="00B72047">
      <w:pPr>
        <w:pStyle w:val="Index1"/>
        <w:rPr>
          <w:noProof/>
        </w:rPr>
      </w:pPr>
      <w:r>
        <w:rPr>
          <w:noProof/>
        </w:rPr>
        <w:t>multiple SE: effect of ordering, 194</w:t>
      </w:r>
    </w:p>
    <w:p w:rsidR="00B72047" w:rsidRDefault="00B72047">
      <w:pPr>
        <w:pStyle w:val="Index1"/>
        <w:rPr>
          <w:noProof/>
        </w:rPr>
      </w:pPr>
      <w:r>
        <w:rPr>
          <w:noProof/>
        </w:rPr>
        <w:t>multiple speakers, 484</w:t>
      </w:r>
    </w:p>
    <w:p w:rsidR="00B72047" w:rsidRDefault="00B72047">
      <w:pPr>
        <w:pStyle w:val="Index1"/>
        <w:rPr>
          <w:noProof/>
        </w:rPr>
      </w:pPr>
      <w:r>
        <w:rPr>
          <w:noProof/>
        </w:rPr>
        <w:t>multiple sumti in one place: avoiding, 191; meaning, 191</w:t>
      </w:r>
    </w:p>
    <w:p w:rsidR="00B72047" w:rsidRDefault="00B72047">
      <w:pPr>
        <w:pStyle w:val="Index1"/>
        <w:rPr>
          <w:noProof/>
        </w:rPr>
      </w:pPr>
      <w:r>
        <w:rPr>
          <w:noProof/>
        </w:rPr>
        <w:t>multiple tanru inversion: effect on grouping, 96</w:t>
      </w:r>
    </w:p>
    <w:p w:rsidR="00B72047" w:rsidRDefault="00B72047">
      <w:pPr>
        <w:pStyle w:val="Index1"/>
        <w:rPr>
          <w:noProof/>
        </w:rPr>
      </w:pPr>
      <w:r>
        <w:rPr>
          <w:noProof/>
        </w:rPr>
        <w:t>multiple tenses: effect of order in sentence, 235</w:t>
      </w:r>
    </w:p>
    <w:p w:rsidR="00B72047" w:rsidRDefault="00B72047">
      <w:pPr>
        <w:pStyle w:val="Index1"/>
        <w:rPr>
          <w:noProof/>
        </w:rPr>
      </w:pPr>
      <w:r>
        <w:rPr>
          <w:noProof/>
        </w:rPr>
        <w:t>multiplication: explicit expression of, 437; implicit expression of, 437</w:t>
      </w:r>
    </w:p>
    <w:p w:rsidR="00B72047" w:rsidRDefault="00B72047">
      <w:pPr>
        <w:pStyle w:val="Index1"/>
        <w:rPr>
          <w:noProof/>
        </w:rPr>
      </w:pPr>
      <w:r>
        <w:rPr>
          <w:noProof/>
        </w:rPr>
        <w:t>mu'o, 325</w:t>
      </w:r>
    </w:p>
    <w:p w:rsidR="00B72047" w:rsidRDefault="00B72047">
      <w:pPr>
        <w:pStyle w:val="Index1"/>
        <w:rPr>
          <w:noProof/>
        </w:rPr>
      </w:pPr>
      <w:r>
        <w:rPr>
          <w:noProof/>
        </w:rPr>
        <w:t>my: example, 180</w:t>
      </w:r>
    </w:p>
    <w:p w:rsidR="00B72047" w:rsidRDefault="00B72047">
      <w:pPr>
        <w:pStyle w:val="Index1"/>
        <w:rPr>
          <w:noProof/>
        </w:rPr>
      </w:pPr>
      <w:r>
        <w:rPr>
          <w:noProof/>
        </w:rPr>
        <w:t>my chair: example, 176</w:t>
      </w:r>
    </w:p>
    <w:p w:rsidR="00B72047" w:rsidRDefault="00B72047">
      <w:pPr>
        <w:pStyle w:val="Index1"/>
        <w:rPr>
          <w:noProof/>
        </w:rPr>
      </w:pPr>
      <w:r>
        <w:rPr>
          <w:noProof/>
        </w:rPr>
        <w:t>myth: example, 316</w:t>
      </w:r>
    </w:p>
    <w:p w:rsidR="00B72047" w:rsidRDefault="00B72047">
      <w:pPr>
        <w:pStyle w:val="Index1"/>
        <w:rPr>
          <w:noProof/>
        </w:rPr>
      </w:pPr>
      <w:r>
        <w:rPr>
          <w:noProof/>
        </w:rPr>
        <w:t>n people: example, 423</w:t>
      </w:r>
    </w:p>
    <w:p w:rsidR="00B72047" w:rsidRDefault="00B72047">
      <w:pPr>
        <w:pStyle w:val="Index1"/>
        <w:rPr>
          <w:noProof/>
        </w:rPr>
      </w:pPr>
      <w:r>
        <w:rPr>
          <w:noProof/>
        </w:rPr>
        <w:t>na, 104, 338, 346, 350, 401, 408; and negation boundary, 408; order in logical connectives with se, 338</w:t>
      </w:r>
    </w:p>
    <w:p w:rsidR="00B72047" w:rsidRDefault="00B72047">
      <w:pPr>
        <w:pStyle w:val="Index1"/>
        <w:rPr>
          <w:noProof/>
        </w:rPr>
      </w:pPr>
      <w:r>
        <w:rPr>
          <w:noProof/>
        </w:rPr>
        <w:t>na and tense: multiple, 104</w:t>
      </w:r>
    </w:p>
    <w:p w:rsidR="00B72047" w:rsidRDefault="00B72047">
      <w:pPr>
        <w:pStyle w:val="Index1"/>
        <w:rPr>
          <w:noProof/>
        </w:rPr>
      </w:pPr>
      <w:r>
        <w:rPr>
          <w:noProof/>
        </w:rPr>
        <w:t>NA selma’o, 501</w:t>
      </w:r>
    </w:p>
    <w:p w:rsidR="00B72047" w:rsidRDefault="00B72047">
      <w:pPr>
        <w:pStyle w:val="Index1"/>
        <w:rPr>
          <w:noProof/>
        </w:rPr>
      </w:pPr>
      <w:r>
        <w:rPr>
          <w:noProof/>
        </w:rPr>
        <w:t>na writing convention: in eks, 341</w:t>
      </w:r>
    </w:p>
    <w:p w:rsidR="00B72047" w:rsidRDefault="00B72047">
      <w:pPr>
        <w:pStyle w:val="Index1"/>
        <w:rPr>
          <w:noProof/>
        </w:rPr>
      </w:pPr>
      <w:r>
        <w:rPr>
          <w:noProof/>
        </w:rPr>
        <w:t>na.a, 341</w:t>
      </w:r>
    </w:p>
    <w:p w:rsidR="00B72047" w:rsidRDefault="00B72047">
      <w:pPr>
        <w:pStyle w:val="Index1"/>
        <w:rPr>
          <w:noProof/>
        </w:rPr>
      </w:pPr>
      <w:r>
        <w:rPr>
          <w:noProof/>
        </w:rPr>
        <w:t>na'a, 418; contrasted with lo'a, 418</w:t>
      </w:r>
    </w:p>
    <w:p w:rsidR="00B72047" w:rsidRDefault="00B72047">
      <w:pPr>
        <w:pStyle w:val="Index1"/>
        <w:rPr>
          <w:noProof/>
        </w:rPr>
      </w:pPr>
      <w:r>
        <w:rPr>
          <w:noProof/>
        </w:rPr>
        <w:t>na'e, 207; before gu'e, 103; contrasted with na'e ke, 102</w:t>
      </w:r>
    </w:p>
    <w:p w:rsidR="00B72047" w:rsidRDefault="00B72047">
      <w:pPr>
        <w:pStyle w:val="Index1"/>
        <w:rPr>
          <w:noProof/>
        </w:rPr>
      </w:pPr>
      <w:r>
        <w:rPr>
          <w:noProof/>
        </w:rPr>
        <w:t>na'ebo, 135</w:t>
      </w:r>
    </w:p>
    <w:p w:rsidR="00B72047" w:rsidRDefault="00B72047">
      <w:pPr>
        <w:pStyle w:val="Index1"/>
        <w:rPr>
          <w:noProof/>
        </w:rPr>
      </w:pPr>
      <w:r>
        <w:rPr>
          <w:noProof/>
        </w:rPr>
        <w:t>nago'i: quick-tour version, 24</w:t>
      </w:r>
    </w:p>
    <w:p w:rsidR="00B72047" w:rsidRDefault="00B72047">
      <w:pPr>
        <w:pStyle w:val="Index1"/>
        <w:rPr>
          <w:noProof/>
        </w:rPr>
      </w:pPr>
      <w:r>
        <w:rPr>
          <w:noProof/>
        </w:rPr>
        <w:t>NAhE selma’o, 101, 133, 182, 242, 459, 501; effect of relative clause placement with, 182</w:t>
      </w:r>
    </w:p>
    <w:p w:rsidR="00B72047" w:rsidRDefault="00B72047">
      <w:pPr>
        <w:pStyle w:val="Index1"/>
        <w:rPr>
          <w:noProof/>
        </w:rPr>
      </w:pPr>
      <w:r>
        <w:rPr>
          <w:noProof/>
        </w:rPr>
        <w:t>NAhE+BO: terminator for, 499</w:t>
      </w:r>
    </w:p>
    <w:p w:rsidR="00B72047" w:rsidRDefault="00B72047">
      <w:pPr>
        <w:pStyle w:val="Index1"/>
        <w:rPr>
          <w:noProof/>
        </w:rPr>
      </w:pPr>
      <w:r>
        <w:rPr>
          <w:noProof/>
        </w:rPr>
        <w:t>NAhU selma’o, 501; terminator for, 505</w:t>
      </w:r>
    </w:p>
    <w:p w:rsidR="00B72047" w:rsidRDefault="00B72047">
      <w:pPr>
        <w:pStyle w:val="Index1"/>
        <w:rPr>
          <w:noProof/>
        </w:rPr>
      </w:pPr>
      <w:r>
        <w:rPr>
          <w:noProof/>
        </w:rPr>
        <w:t>na'i, 321</w:t>
      </w:r>
    </w:p>
    <w:p w:rsidR="00B72047" w:rsidRDefault="00B72047">
      <w:pPr>
        <w:pStyle w:val="Index1"/>
        <w:rPr>
          <w:noProof/>
        </w:rPr>
      </w:pPr>
      <w:r>
        <w:rPr>
          <w:noProof/>
        </w:rPr>
        <w:t>NAI selma’o, 501</w:t>
      </w:r>
    </w:p>
    <w:p w:rsidR="00B72047" w:rsidRDefault="00B72047">
      <w:pPr>
        <w:pStyle w:val="Index1"/>
        <w:rPr>
          <w:noProof/>
        </w:rPr>
      </w:pPr>
      <w:r>
        <w:rPr>
          <w:noProof/>
        </w:rPr>
        <w:t>naicai, 305</w:t>
      </w:r>
    </w:p>
    <w:p w:rsidR="00B72047" w:rsidRDefault="00B72047">
      <w:pPr>
        <w:pStyle w:val="Index1"/>
        <w:rPr>
          <w:noProof/>
        </w:rPr>
      </w:pPr>
      <w:r>
        <w:rPr>
          <w:noProof/>
        </w:rPr>
        <w:t>nairu'e, 305</w:t>
      </w:r>
    </w:p>
    <w:p w:rsidR="00B72047" w:rsidRDefault="00B72047">
      <w:pPr>
        <w:pStyle w:val="Index1"/>
        <w:rPr>
          <w:noProof/>
        </w:rPr>
      </w:pPr>
      <w:r>
        <w:rPr>
          <w:noProof/>
        </w:rPr>
        <w:t>naisai, 305</w:t>
      </w:r>
    </w:p>
    <w:p w:rsidR="00B72047" w:rsidRDefault="00B72047">
      <w:pPr>
        <w:pStyle w:val="Index1"/>
        <w:rPr>
          <w:noProof/>
        </w:rPr>
      </w:pPr>
      <w:r>
        <w:rPr>
          <w:noProof/>
        </w:rPr>
        <w:t>naku, 401; as creating a negation boundary, 405; compared with sumti in grammar, 405; effect on moving quantifiers, 405; in linked sumti places, 407; multiple in sentence, 407; outside of prenex, 405</w:t>
      </w:r>
    </w:p>
    <w:p w:rsidR="00B72047" w:rsidRDefault="00B72047">
      <w:pPr>
        <w:pStyle w:val="Index1"/>
        <w:rPr>
          <w:noProof/>
        </w:rPr>
      </w:pPr>
      <w:r>
        <w:rPr>
          <w:noProof/>
        </w:rPr>
        <w:t>naku negation: rationale for considering an advanced technique, 406</w:t>
      </w:r>
    </w:p>
    <w:p w:rsidR="00B72047" w:rsidRDefault="00B72047">
      <w:pPr>
        <w:pStyle w:val="Index1"/>
        <w:rPr>
          <w:noProof/>
        </w:rPr>
      </w:pPr>
      <w:r>
        <w:rPr>
          <w:noProof/>
        </w:rPr>
        <w:t>naku negation boundary: effect on conversion with se, 406</w:t>
      </w:r>
    </w:p>
    <w:p w:rsidR="00B72047" w:rsidRDefault="00B72047">
      <w:pPr>
        <w:pStyle w:val="Index1"/>
        <w:rPr>
          <w:noProof/>
        </w:rPr>
      </w:pPr>
      <w:r>
        <w:rPr>
          <w:noProof/>
        </w:rPr>
        <w:t>naku su'oda: as expansion of noda, 403</w:t>
      </w:r>
    </w:p>
    <w:p w:rsidR="00B72047" w:rsidRDefault="00B72047">
      <w:pPr>
        <w:pStyle w:val="Index1"/>
        <w:rPr>
          <w:noProof/>
        </w:rPr>
      </w:pPr>
      <w:r>
        <w:rPr>
          <w:noProof/>
        </w:rPr>
        <w:t>naku zo'u, 408; and negation boundary, 408</w:t>
      </w:r>
    </w:p>
    <w:p w:rsidR="00B72047" w:rsidRDefault="00B72047">
      <w:pPr>
        <w:pStyle w:val="Index1"/>
        <w:rPr>
          <w:noProof/>
        </w:rPr>
      </w:pPr>
      <w:r>
        <w:rPr>
          <w:noProof/>
        </w:rPr>
        <w:t>name equivalent for “typical”: rationale for lack of, 127</w:t>
      </w:r>
    </w:p>
    <w:p w:rsidR="00B72047" w:rsidRDefault="00B72047">
      <w:pPr>
        <w:pStyle w:val="Index1"/>
        <w:rPr>
          <w:noProof/>
        </w:rPr>
      </w:pPr>
      <w:r>
        <w:rPr>
          <w:noProof/>
        </w:rPr>
        <w:t>name words: recognition of, 137</w:t>
      </w:r>
    </w:p>
    <w:p w:rsidR="00B72047" w:rsidRDefault="00B72047">
      <w:pPr>
        <w:pStyle w:val="Index1"/>
        <w:rPr>
          <w:noProof/>
        </w:rPr>
      </w:pPr>
      <w:r>
        <w:rPr>
          <w:noProof/>
        </w:rPr>
        <w:t>names: algorithm for, 66; alternatives for restricted sequences in, 66; as possessive sumti, 180; assigning with goi, 152; authority for, 65; borrowing from other languages, 138; examples of, 64; from Lojban words, 66; in vocative phrase, 137; multiple, 138; non-Lojban, 479; pause requirement in lerfu words, 416; purpose of, 64; quick-tour version, 13; rationale for lojbanizing, 64; requirement for pause after, 66; restrictions on form of, 65; rules for, 66; rules for formation, 65; stress in, 65, 66; stress on, 40; two kinds of, 137; unusual stress in, 65; uses of, 137; using rafsi, 138; with LA descriptor, 137; with zo versus la, 478</w:t>
      </w:r>
    </w:p>
    <w:p w:rsidR="00B72047" w:rsidRDefault="00B72047">
      <w:pPr>
        <w:pStyle w:val="Index1"/>
        <w:rPr>
          <w:noProof/>
        </w:rPr>
      </w:pPr>
      <w:r>
        <w:rPr>
          <w:noProof/>
        </w:rPr>
        <w:t>names from vowel-final base: commonly used consonant endings, 138</w:t>
      </w:r>
    </w:p>
    <w:p w:rsidR="00B72047" w:rsidRDefault="00B72047">
      <w:pPr>
        <w:pStyle w:val="Index1"/>
        <w:rPr>
          <w:noProof/>
        </w:rPr>
      </w:pPr>
      <w:r>
        <w:rPr>
          <w:noProof/>
        </w:rPr>
        <w:t>names in Lojban (see also cmene), 64</w:t>
      </w:r>
    </w:p>
    <w:p w:rsidR="00B72047" w:rsidRDefault="00B72047">
      <w:pPr>
        <w:pStyle w:val="Index1"/>
        <w:rPr>
          <w:noProof/>
        </w:rPr>
      </w:pPr>
      <w:r>
        <w:rPr>
          <w:noProof/>
        </w:rPr>
        <w:t>names with la: implicit quantifier for, 139</w:t>
      </w:r>
    </w:p>
    <w:p w:rsidR="00B72047" w:rsidRDefault="00B72047">
      <w:pPr>
        <w:pStyle w:val="Index1"/>
        <w:rPr>
          <w:noProof/>
        </w:rPr>
      </w:pPr>
      <w:r>
        <w:rPr>
          <w:noProof/>
        </w:rPr>
        <w:t>name-words: limitations on, 138; pause requirements before, 138; permissible consonant combinations, 138</w:t>
      </w:r>
    </w:p>
    <w:p w:rsidR="00B72047" w:rsidRDefault="00B72047">
      <w:pPr>
        <w:pStyle w:val="Index1"/>
        <w:rPr>
          <w:noProof/>
        </w:rPr>
      </w:pPr>
      <w:r>
        <w:rPr>
          <w:noProof/>
        </w:rPr>
        <w:t>naming predicate, 121</w:t>
      </w:r>
    </w:p>
    <w:p w:rsidR="00B72047" w:rsidRDefault="00B72047">
      <w:pPr>
        <w:pStyle w:val="Index1"/>
        <w:rPr>
          <w:noProof/>
        </w:rPr>
      </w:pPr>
      <w:r>
        <w:rPr>
          <w:noProof/>
        </w:rPr>
        <w:t>na'o, 226</w:t>
      </w:r>
    </w:p>
    <w:p w:rsidR="00B72047" w:rsidRDefault="00B72047">
      <w:pPr>
        <w:pStyle w:val="Index1"/>
        <w:rPr>
          <w:noProof/>
        </w:rPr>
      </w:pPr>
      <w:r>
        <w:rPr>
          <w:noProof/>
        </w:rPr>
        <w:t>natural end: continuing beyond, 230; contrasted with actual stop, 229</w:t>
      </w:r>
    </w:p>
    <w:p w:rsidR="00B72047" w:rsidRDefault="00B72047">
      <w:pPr>
        <w:pStyle w:val="Index1"/>
        <w:rPr>
          <w:noProof/>
        </w:rPr>
      </w:pPr>
      <w:r>
        <w:rPr>
          <w:noProof/>
        </w:rPr>
        <w:t>na'u, 456; terminator for, 456; use in asking operator questions, 457</w:t>
      </w:r>
    </w:p>
    <w:p w:rsidR="00B72047" w:rsidRDefault="00B72047">
      <w:pPr>
        <w:pStyle w:val="Index1"/>
        <w:rPr>
          <w:noProof/>
        </w:rPr>
      </w:pPr>
      <w:r>
        <w:rPr>
          <w:noProof/>
        </w:rPr>
        <w:t>nai, 206, 226, 241, 299, 338, 340, 346, 350, 358, 360, 361, 408; effect on intervals, 360; effect on joiks, 358; placement in afterthought bridi connection contrasted with forethought, 339; placement in forethought bridi connection contrasted with afterthought, 339</w:t>
      </w:r>
    </w:p>
    <w:p w:rsidR="00B72047" w:rsidRDefault="00B72047">
      <w:pPr>
        <w:pStyle w:val="Index1"/>
        <w:rPr>
          <w:noProof/>
        </w:rPr>
      </w:pPr>
      <w:r>
        <w:rPr>
          <w:noProof/>
        </w:rPr>
        <w:t>name descriptor, 498</w:t>
      </w:r>
    </w:p>
    <w:p w:rsidR="00B72047" w:rsidRDefault="00B72047">
      <w:pPr>
        <w:pStyle w:val="Index1"/>
        <w:rPr>
          <w:noProof/>
        </w:rPr>
      </w:pPr>
      <w:r>
        <w:rPr>
          <w:noProof/>
        </w:rPr>
        <w:t>NATO: example, 424</w:t>
      </w:r>
    </w:p>
    <w:p w:rsidR="00B72047" w:rsidRDefault="00B72047">
      <w:pPr>
        <w:pStyle w:val="Index1"/>
        <w:rPr>
          <w:noProof/>
        </w:rPr>
      </w:pPr>
      <w:r>
        <w:rPr>
          <w:noProof/>
        </w:rPr>
        <w:t>nau, 238; effect on sticky tenses, 238; syntax, 238</w:t>
      </w:r>
    </w:p>
    <w:p w:rsidR="00B72047" w:rsidRDefault="00B72047">
      <w:pPr>
        <w:pStyle w:val="Index1"/>
        <w:rPr>
          <w:noProof/>
        </w:rPr>
      </w:pPr>
      <w:r>
        <w:rPr>
          <w:noProof/>
        </w:rPr>
        <w:t>Navajo: example, 64</w:t>
      </w:r>
    </w:p>
    <w:p w:rsidR="00B72047" w:rsidRDefault="00B72047">
      <w:pPr>
        <w:pStyle w:val="Index1"/>
        <w:rPr>
          <w:noProof/>
        </w:rPr>
      </w:pPr>
      <w:r>
        <w:rPr>
          <w:noProof/>
        </w:rPr>
        <w:t>ne, 174, 203; compared with pe, 174</w:t>
      </w:r>
    </w:p>
    <w:p w:rsidR="00B72047" w:rsidRDefault="00B72047">
      <w:pPr>
        <w:pStyle w:val="Index1"/>
        <w:rPr>
          <w:noProof/>
        </w:rPr>
      </w:pPr>
      <w:r>
        <w:rPr>
          <w:noProof/>
        </w:rPr>
        <w:t>near the park: example, 232</w:t>
      </w:r>
    </w:p>
    <w:p w:rsidR="00B72047" w:rsidRDefault="00B72047">
      <w:pPr>
        <w:pStyle w:val="Index1"/>
        <w:rPr>
          <w:noProof/>
        </w:rPr>
      </w:pPr>
      <w:r>
        <w:rPr>
          <w:noProof/>
        </w:rPr>
        <w:t>nearby in time: example, 220</w:t>
      </w:r>
    </w:p>
    <w:p w:rsidR="00B72047" w:rsidRDefault="00B72047">
      <w:pPr>
        <w:pStyle w:val="Index1"/>
        <w:rPr>
          <w:noProof/>
        </w:rPr>
      </w:pPr>
      <w:r>
        <w:rPr>
          <w:noProof/>
        </w:rPr>
        <w:t>necessary detour, 274</w:t>
      </w:r>
    </w:p>
    <w:p w:rsidR="00B72047" w:rsidRDefault="00B72047">
      <w:pPr>
        <w:pStyle w:val="Index1"/>
        <w:rPr>
          <w:noProof/>
        </w:rPr>
      </w:pPr>
      <w:r>
        <w:rPr>
          <w:noProof/>
        </w:rPr>
        <w:t>Nederlands: example, 65</w:t>
      </w:r>
    </w:p>
    <w:p w:rsidR="00B72047" w:rsidRDefault="00B72047">
      <w:pPr>
        <w:pStyle w:val="Index1"/>
        <w:rPr>
          <w:noProof/>
        </w:rPr>
      </w:pPr>
      <w:r>
        <w:rPr>
          <w:noProof/>
        </w:rPr>
        <w:t>need any box, 400</w:t>
      </w:r>
    </w:p>
    <w:p w:rsidR="00B72047" w:rsidRDefault="00B72047">
      <w:pPr>
        <w:pStyle w:val="Index1"/>
        <w:rPr>
          <w:noProof/>
        </w:rPr>
      </w:pPr>
      <w:r>
        <w:rPr>
          <w:noProof/>
        </w:rPr>
        <w:t>negated interval: meaning of, 360</w:t>
      </w:r>
    </w:p>
    <w:p w:rsidR="00B72047" w:rsidRDefault="00B72047">
      <w:pPr>
        <w:pStyle w:val="Index1"/>
        <w:rPr>
          <w:noProof/>
        </w:rPr>
      </w:pPr>
      <w:r>
        <w:rPr>
          <w:noProof/>
        </w:rPr>
        <w:t>negating a forethought-connected bridi-tail pair, 347</w:t>
      </w:r>
    </w:p>
    <w:p w:rsidR="00B72047" w:rsidRDefault="00B72047">
      <w:pPr>
        <w:pStyle w:val="Index1"/>
        <w:rPr>
          <w:noProof/>
        </w:rPr>
      </w:pPr>
      <w:r>
        <w:rPr>
          <w:noProof/>
        </w:rPr>
        <w:t>negating a forethought-connected sentence pair, 347</w:t>
      </w:r>
    </w:p>
    <w:p w:rsidR="00B72047" w:rsidRDefault="00B72047">
      <w:pPr>
        <w:pStyle w:val="Index1"/>
        <w:rPr>
          <w:noProof/>
        </w:rPr>
      </w:pPr>
      <w:r>
        <w:rPr>
          <w:noProof/>
        </w:rPr>
        <w:t>negating a sentence: and truth value, 333</w:t>
      </w:r>
    </w:p>
    <w:p w:rsidR="00B72047" w:rsidRDefault="00B72047">
      <w:pPr>
        <w:pStyle w:val="Index1"/>
        <w:rPr>
          <w:noProof/>
        </w:rPr>
      </w:pPr>
      <w:r>
        <w:rPr>
          <w:noProof/>
        </w:rPr>
        <w:t>negation: complex examples, 102; form for emulating natural language negation, 405; of operand, 459; of operator, 459; of tenses, 241</w:t>
      </w:r>
    </w:p>
    <w:p w:rsidR="00B72047" w:rsidRDefault="00B72047">
      <w:pPr>
        <w:pStyle w:val="Index1"/>
        <w:rPr>
          <w:noProof/>
        </w:rPr>
      </w:pPr>
      <w:r>
        <w:rPr>
          <w:noProof/>
        </w:rPr>
        <w:t>negation and logical connectives: caveat for logic chapter discussions, 403</w:t>
      </w:r>
    </w:p>
    <w:p w:rsidR="00B72047" w:rsidRDefault="00B72047">
      <w:pPr>
        <w:pStyle w:val="Index1"/>
        <w:rPr>
          <w:noProof/>
        </w:rPr>
      </w:pPr>
      <w:r>
        <w:rPr>
          <w:noProof/>
        </w:rPr>
        <w:t>negation between sentences: compared with bridi negation, 404; meaning of, 404</w:t>
      </w:r>
    </w:p>
    <w:p w:rsidR="00B72047" w:rsidRDefault="00B72047">
      <w:pPr>
        <w:pStyle w:val="Index1"/>
        <w:rPr>
          <w:noProof/>
        </w:rPr>
      </w:pPr>
      <w:r>
        <w:rPr>
          <w:noProof/>
        </w:rPr>
        <w:t>negation boundary: and zero, 402; effect of moving, 402; forming, 497</w:t>
      </w:r>
    </w:p>
    <w:p w:rsidR="00B72047" w:rsidRDefault="00B72047">
      <w:pPr>
        <w:pStyle w:val="Index1"/>
        <w:rPr>
          <w:noProof/>
        </w:rPr>
      </w:pPr>
      <w:r>
        <w:rPr>
          <w:noProof/>
        </w:rPr>
        <w:t>negation cmavo: position relative to selbri, 104</w:t>
      </w:r>
    </w:p>
    <w:p w:rsidR="00B72047" w:rsidRDefault="00B72047">
      <w:pPr>
        <w:pStyle w:val="Index1"/>
        <w:rPr>
          <w:noProof/>
        </w:rPr>
      </w:pPr>
      <w:r>
        <w:rPr>
          <w:noProof/>
        </w:rPr>
        <w:t>negation in prenex: effects of position, 401</w:t>
      </w:r>
    </w:p>
    <w:p w:rsidR="00B72047" w:rsidRDefault="00B72047">
      <w:pPr>
        <w:pStyle w:val="Index1"/>
        <w:rPr>
          <w:noProof/>
        </w:rPr>
      </w:pPr>
      <w:r>
        <w:rPr>
          <w:noProof/>
        </w:rPr>
        <w:t>negation manipulation: “na” contrasted with “naku” in difficulty of, 407; “naku” contrasted with “na” in difficulty of, 407</w:t>
      </w:r>
    </w:p>
    <w:p w:rsidR="00B72047" w:rsidRDefault="00B72047">
      <w:pPr>
        <w:pStyle w:val="Index1"/>
        <w:rPr>
          <w:noProof/>
        </w:rPr>
      </w:pPr>
      <w:r>
        <w:rPr>
          <w:noProof/>
        </w:rPr>
        <w:t>negation of fi'o modals: by negating selbri, 207</w:t>
      </w:r>
    </w:p>
    <w:p w:rsidR="00B72047" w:rsidRDefault="00B72047">
      <w:pPr>
        <w:pStyle w:val="Index1"/>
        <w:rPr>
          <w:noProof/>
        </w:rPr>
      </w:pPr>
      <w:r>
        <w:rPr>
          <w:noProof/>
        </w:rPr>
        <w:t>negation of modals, 206; contradictory, 206; scalar, 207</w:t>
      </w:r>
    </w:p>
    <w:p w:rsidR="00B72047" w:rsidRDefault="00B72047">
      <w:pPr>
        <w:pStyle w:val="Index1"/>
        <w:rPr>
          <w:noProof/>
        </w:rPr>
      </w:pPr>
      <w:r>
        <w:rPr>
          <w:noProof/>
        </w:rPr>
        <w:t>negation of tenses: meaning of, 241</w:t>
      </w:r>
    </w:p>
    <w:p w:rsidR="00B72047" w:rsidRDefault="00B72047">
      <w:pPr>
        <w:pStyle w:val="Index1"/>
        <w:rPr>
          <w:noProof/>
        </w:rPr>
      </w:pPr>
      <w:r>
        <w:rPr>
          <w:noProof/>
        </w:rPr>
        <w:t>negation operator: contrasted with negative sign, 438; contrasted with subtraction operator, 438</w:t>
      </w:r>
    </w:p>
    <w:p w:rsidR="00B72047" w:rsidRDefault="00B72047">
      <w:pPr>
        <w:pStyle w:val="Index1"/>
        <w:rPr>
          <w:noProof/>
        </w:rPr>
      </w:pPr>
      <w:r>
        <w:rPr>
          <w:noProof/>
        </w:rPr>
        <w:t>negation sumti qualifiers: meanings of, 135</w:t>
      </w:r>
    </w:p>
    <w:p w:rsidR="00B72047" w:rsidRDefault="00B72047">
      <w:pPr>
        <w:pStyle w:val="Index1"/>
        <w:rPr>
          <w:noProof/>
        </w:rPr>
      </w:pPr>
      <w:r>
        <w:rPr>
          <w:noProof/>
        </w:rPr>
        <w:t>negations with logical connectives: effects on expansion of sentence, 407</w:t>
      </w:r>
    </w:p>
    <w:p w:rsidR="00B72047" w:rsidRDefault="00B72047">
      <w:pPr>
        <w:pStyle w:val="Index1"/>
        <w:rPr>
          <w:noProof/>
        </w:rPr>
      </w:pPr>
      <w:r>
        <w:rPr>
          <w:noProof/>
        </w:rPr>
        <w:t>negative answer: quick-tour version, 24</w:t>
      </w:r>
    </w:p>
    <w:p w:rsidR="00B72047" w:rsidRDefault="00B72047">
      <w:pPr>
        <w:pStyle w:val="Index1"/>
        <w:rPr>
          <w:noProof/>
        </w:rPr>
      </w:pPr>
      <w:r>
        <w:rPr>
          <w:noProof/>
        </w:rPr>
        <w:t>negative numbers: expressing, 432</w:t>
      </w:r>
    </w:p>
    <w:p w:rsidR="00B72047" w:rsidRDefault="00B72047">
      <w:pPr>
        <w:pStyle w:val="Index1"/>
        <w:rPr>
          <w:noProof/>
        </w:rPr>
      </w:pPr>
      <w:r>
        <w:rPr>
          <w:noProof/>
        </w:rPr>
        <w:t>negative sign: contrasted with negation operator, 438; contrasted with subtraction operator, 434</w:t>
      </w:r>
    </w:p>
    <w:p w:rsidR="00B72047" w:rsidRDefault="00B72047">
      <w:pPr>
        <w:pStyle w:val="Index1"/>
        <w:rPr>
          <w:noProof/>
        </w:rPr>
      </w:pPr>
      <w:r>
        <w:rPr>
          <w:noProof/>
        </w:rPr>
        <w:t>negator: contradictory, 501; movement from bridi to sumti, 408; scalar, 501; single-word, 501</w:t>
      </w:r>
    </w:p>
    <w:p w:rsidR="00B72047" w:rsidRDefault="00B72047">
      <w:pPr>
        <w:pStyle w:val="Index1"/>
        <w:rPr>
          <w:noProof/>
        </w:rPr>
      </w:pPr>
      <w:r>
        <w:rPr>
          <w:noProof/>
        </w:rPr>
        <w:t>nei, 155</w:t>
      </w:r>
    </w:p>
    <w:p w:rsidR="00B72047" w:rsidRDefault="00B72047">
      <w:pPr>
        <w:pStyle w:val="Index1"/>
        <w:rPr>
          <w:noProof/>
        </w:rPr>
      </w:pPr>
      <w:r>
        <w:rPr>
          <w:noProof/>
        </w:rPr>
        <w:t>-ness, 259</w:t>
      </w:r>
    </w:p>
    <w:p w:rsidR="00B72047" w:rsidRDefault="00B72047">
      <w:pPr>
        <w:pStyle w:val="Index1"/>
        <w:rPr>
          <w:noProof/>
        </w:rPr>
      </w:pPr>
      <w:r>
        <w:rPr>
          <w:noProof/>
        </w:rPr>
        <w:t>new notation, 276</w:t>
      </w:r>
    </w:p>
    <w:p w:rsidR="00B72047" w:rsidRDefault="00B72047">
      <w:pPr>
        <w:pStyle w:val="Index1"/>
        <w:rPr>
          <w:noProof/>
        </w:rPr>
      </w:pPr>
      <w:r>
        <w:rPr>
          <w:noProof/>
        </w:rPr>
        <w:t>New York city: example, 174</w:t>
      </w:r>
    </w:p>
    <w:p w:rsidR="00B72047" w:rsidRDefault="00B72047">
      <w:pPr>
        <w:pStyle w:val="Index1"/>
        <w:rPr>
          <w:noProof/>
        </w:rPr>
      </w:pPr>
      <w:r>
        <w:rPr>
          <w:noProof/>
        </w:rPr>
        <w:t>New York state: example, 174</w:t>
      </w:r>
    </w:p>
    <w:p w:rsidR="00B72047" w:rsidRDefault="00B72047">
      <w:pPr>
        <w:pStyle w:val="Index1"/>
        <w:rPr>
          <w:noProof/>
        </w:rPr>
      </w:pPr>
      <w:r>
        <w:rPr>
          <w:noProof/>
        </w:rPr>
        <w:t>Newport News: example, 138</w:t>
      </w:r>
    </w:p>
    <w:p w:rsidR="00B72047" w:rsidRDefault="00B72047">
      <w:pPr>
        <w:pStyle w:val="Index1"/>
        <w:rPr>
          <w:noProof/>
        </w:rPr>
      </w:pPr>
      <w:r>
        <w:rPr>
          <w:noProof/>
        </w:rPr>
        <w:t>news: example, 467</w:t>
      </w:r>
    </w:p>
    <w:p w:rsidR="00B72047" w:rsidRDefault="00B72047">
      <w:pPr>
        <w:pStyle w:val="Index1"/>
        <w:rPr>
          <w:noProof/>
        </w:rPr>
      </w:pPr>
      <w:r>
        <w:rPr>
          <w:noProof/>
        </w:rPr>
        <w:t>-ng: Lojban contrasted with English, 41</w:t>
      </w:r>
    </w:p>
    <w:p w:rsidR="00B72047" w:rsidRDefault="00B72047">
      <w:pPr>
        <w:pStyle w:val="Index1"/>
        <w:rPr>
          <w:noProof/>
        </w:rPr>
      </w:pPr>
      <w:r>
        <w:rPr>
          <w:noProof/>
        </w:rPr>
        <w:t>n-hyphen: contrasted with r-hyphen in requirements for use, 60; use of, 56, 60</w:t>
      </w:r>
    </w:p>
    <w:p w:rsidR="00B72047" w:rsidRDefault="00B72047">
      <w:pPr>
        <w:pStyle w:val="Index1"/>
        <w:rPr>
          <w:noProof/>
        </w:rPr>
      </w:pPr>
      <w:r>
        <w:rPr>
          <w:noProof/>
        </w:rPr>
        <w:t>ni, 261, 262</w:t>
      </w:r>
    </w:p>
    <w:p w:rsidR="00B72047" w:rsidRDefault="00B72047">
      <w:pPr>
        <w:pStyle w:val="Index1"/>
        <w:rPr>
          <w:noProof/>
        </w:rPr>
      </w:pPr>
      <w:r>
        <w:rPr>
          <w:noProof/>
        </w:rPr>
        <w:t>ni'e, 456; terminator for, 456</w:t>
      </w:r>
    </w:p>
    <w:p w:rsidR="00B72047" w:rsidRDefault="00B72047">
      <w:pPr>
        <w:pStyle w:val="Index1"/>
        <w:rPr>
          <w:noProof/>
        </w:rPr>
      </w:pPr>
      <w:r>
        <w:rPr>
          <w:noProof/>
        </w:rPr>
        <w:t>ni'enu'a, 460</w:t>
      </w:r>
    </w:p>
    <w:p w:rsidR="00B72047" w:rsidRDefault="00B72047">
      <w:pPr>
        <w:pStyle w:val="Index1"/>
        <w:rPr>
          <w:noProof/>
        </w:rPr>
      </w:pPr>
      <w:r>
        <w:rPr>
          <w:noProof/>
        </w:rPr>
        <w:t>NIhE selma’o, 501; terminator for, 505</w:t>
      </w:r>
    </w:p>
    <w:p w:rsidR="00B72047" w:rsidRDefault="00B72047">
      <w:pPr>
        <w:pStyle w:val="Index1"/>
        <w:rPr>
          <w:noProof/>
        </w:rPr>
      </w:pPr>
      <w:r>
        <w:rPr>
          <w:noProof/>
        </w:rPr>
        <w:t>NIhO selma’o, 466, 467, 502; quick-tour version, 16</w:t>
      </w:r>
    </w:p>
    <w:p w:rsidR="00B72047" w:rsidRDefault="00B72047">
      <w:pPr>
        <w:pStyle w:val="Index1"/>
        <w:rPr>
          <w:noProof/>
        </w:rPr>
      </w:pPr>
      <w:r>
        <w:rPr>
          <w:noProof/>
        </w:rPr>
        <w:t>ni'i, 197</w:t>
      </w:r>
    </w:p>
    <w:p w:rsidR="00B72047" w:rsidRDefault="00B72047">
      <w:pPr>
        <w:pStyle w:val="Index1"/>
        <w:rPr>
          <w:noProof/>
        </w:rPr>
      </w:pPr>
      <w:r>
        <w:rPr>
          <w:noProof/>
        </w:rPr>
        <w:t>ni'o, 466; effect on pro-sumti/pro-bridi assignments, 162; quick-tour version, 16</w:t>
      </w:r>
    </w:p>
    <w:p w:rsidR="00B72047" w:rsidRDefault="00B72047">
      <w:pPr>
        <w:pStyle w:val="Index1"/>
        <w:rPr>
          <w:noProof/>
        </w:rPr>
      </w:pPr>
      <w:r>
        <w:rPr>
          <w:noProof/>
        </w:rPr>
        <w:t>ni'u, 432, 438, 442; contrasted with va'a and vu'u, 438; with elided number, 442</w:t>
      </w:r>
    </w:p>
    <w:p w:rsidR="00B72047" w:rsidRDefault="00B72047">
      <w:pPr>
        <w:pStyle w:val="Index1"/>
        <w:rPr>
          <w:noProof/>
        </w:rPr>
      </w:pPr>
      <w:r>
        <w:rPr>
          <w:noProof/>
        </w:rPr>
        <w:t>no quantifier: expanding, 403</w:t>
      </w:r>
    </w:p>
    <w:p w:rsidR="00B72047" w:rsidRDefault="00B72047">
      <w:pPr>
        <w:pStyle w:val="Index1"/>
        <w:rPr>
          <w:noProof/>
        </w:rPr>
      </w:pPr>
      <w:r>
        <w:rPr>
          <w:noProof/>
        </w:rPr>
        <w:t>no'a, 155; contrasted with other members of go'i-series in possible referents, 155</w:t>
      </w:r>
    </w:p>
    <w:p w:rsidR="00B72047" w:rsidRDefault="00B72047">
      <w:pPr>
        <w:pStyle w:val="Index1"/>
        <w:rPr>
          <w:noProof/>
        </w:rPr>
      </w:pPr>
      <w:r>
        <w:rPr>
          <w:noProof/>
        </w:rPr>
        <w:t>nobody: ambiguous interpretations of, 391; interpretation of, 391; Lojban contrasted with English, 391</w:t>
      </w:r>
    </w:p>
    <w:p w:rsidR="00B72047" w:rsidRDefault="00B72047">
      <w:pPr>
        <w:pStyle w:val="Index1"/>
        <w:rPr>
          <w:noProof/>
        </w:rPr>
      </w:pPr>
      <w:r>
        <w:rPr>
          <w:noProof/>
        </w:rPr>
        <w:t>noda: expanding to naku su'oda, 403</w:t>
      </w:r>
    </w:p>
    <w:p w:rsidR="00B72047" w:rsidRDefault="00B72047">
      <w:pPr>
        <w:pStyle w:val="Index1"/>
        <w:rPr>
          <w:noProof/>
        </w:rPr>
      </w:pPr>
      <w:r>
        <w:rPr>
          <w:noProof/>
        </w:rPr>
        <w:t>no'i, 467; effect on pro-sumti/pro-bridi assignments, 162</w:t>
      </w:r>
    </w:p>
    <w:p w:rsidR="00B72047" w:rsidRDefault="00B72047">
      <w:pPr>
        <w:pStyle w:val="Index1"/>
        <w:rPr>
          <w:noProof/>
        </w:rPr>
      </w:pPr>
      <w:r>
        <w:rPr>
          <w:noProof/>
        </w:rPr>
        <w:t>noi, 171, 203</w:t>
      </w:r>
    </w:p>
    <w:p w:rsidR="00B72047" w:rsidRDefault="00B72047">
      <w:pPr>
        <w:pStyle w:val="Index1"/>
        <w:rPr>
          <w:noProof/>
        </w:rPr>
      </w:pPr>
      <w:r>
        <w:rPr>
          <w:noProof/>
        </w:rPr>
        <w:t>NOI selma’o, 169, 502; terminator for, 498</w:t>
      </w:r>
    </w:p>
    <w:p w:rsidR="00B72047" w:rsidRDefault="00B72047">
      <w:pPr>
        <w:pStyle w:val="Index1"/>
        <w:rPr>
          <w:noProof/>
        </w:rPr>
      </w:pPr>
      <w:r>
        <w:rPr>
          <w:noProof/>
        </w:rPr>
        <w:t>noisy environments: proposed lerfu words for, 429</w:t>
      </w:r>
    </w:p>
    <w:p w:rsidR="00B72047" w:rsidRDefault="00B72047">
      <w:pPr>
        <w:pStyle w:val="Index1"/>
        <w:rPr>
          <w:noProof/>
        </w:rPr>
      </w:pPr>
      <w:r>
        <w:rPr>
          <w:noProof/>
        </w:rPr>
        <w:t>nonagenarian, 293</w:t>
      </w:r>
    </w:p>
    <w:p w:rsidR="00B72047" w:rsidRDefault="00B72047">
      <w:pPr>
        <w:pStyle w:val="Index1"/>
        <w:rPr>
          <w:noProof/>
        </w:rPr>
      </w:pPr>
      <w:r>
        <w:rPr>
          <w:noProof/>
        </w:rPr>
        <w:t>nonce word: marking, 489</w:t>
      </w:r>
    </w:p>
    <w:p w:rsidR="00B72047" w:rsidRDefault="00B72047">
      <w:pPr>
        <w:pStyle w:val="Index1"/>
        <w:rPr>
          <w:noProof/>
        </w:rPr>
      </w:pPr>
      <w:r>
        <w:rPr>
          <w:noProof/>
        </w:rPr>
        <w:t>non-logical connection: and elidability of terminators, 354; in mathematical expressions, 361; in tanru, distinguishing from connection of sumti, 354; of individuals into mass, 355; of individuals into set, 355; of modals, 208; of operands, 455; of operators, 455; of sumti, distinguishing from connection in tanru, 354; of termsets, 357</w:t>
      </w:r>
    </w:p>
    <w:p w:rsidR="00B72047" w:rsidRDefault="00B72047">
      <w:pPr>
        <w:pStyle w:val="Index1"/>
        <w:rPr>
          <w:noProof/>
        </w:rPr>
      </w:pPr>
      <w:r>
        <w:rPr>
          <w:noProof/>
        </w:rPr>
        <w:t>non-logical connectives: effect of nai on, 358; grouping, 357; including tense, 364; intervals, 359; ordered intervals, 359; sentence, 358; syntax rules summary, 366; un-ordered intervals, 359; within tanru, 91</w:t>
      </w:r>
    </w:p>
    <w:p w:rsidR="00B72047" w:rsidRDefault="00B72047">
      <w:pPr>
        <w:pStyle w:val="Index1"/>
        <w:rPr>
          <w:noProof/>
        </w:rPr>
      </w:pPr>
      <w:r>
        <w:rPr>
          <w:noProof/>
        </w:rPr>
        <w:t>non-logical forethought termsets: connecting tagged sumti, 358</w:t>
      </w:r>
    </w:p>
    <w:p w:rsidR="00B72047" w:rsidRDefault="00B72047">
      <w:pPr>
        <w:pStyle w:val="Index1"/>
        <w:rPr>
          <w:noProof/>
        </w:rPr>
      </w:pPr>
      <w:r>
        <w:rPr>
          <w:noProof/>
        </w:rPr>
        <w:t>non-logically connected tenses, 363</w:t>
      </w:r>
    </w:p>
    <w:p w:rsidR="00B72047" w:rsidRDefault="00B72047">
      <w:pPr>
        <w:pStyle w:val="Index1"/>
        <w:rPr>
          <w:noProof/>
        </w:rPr>
      </w:pPr>
      <w:r>
        <w:rPr>
          <w:noProof/>
        </w:rPr>
        <w:t>non-Lojban quotation, 141</w:t>
      </w:r>
    </w:p>
    <w:p w:rsidR="00B72047" w:rsidRDefault="00B72047">
      <w:pPr>
        <w:pStyle w:val="Index1"/>
        <w:rPr>
          <w:noProof/>
        </w:rPr>
      </w:pPr>
      <w:r>
        <w:rPr>
          <w:noProof/>
        </w:rPr>
        <w:t>non-Lojban text: rules for pause with, 69</w:t>
      </w:r>
    </w:p>
    <w:p w:rsidR="00B72047" w:rsidRDefault="00B72047">
      <w:pPr>
        <w:pStyle w:val="Index1"/>
        <w:rPr>
          <w:noProof/>
        </w:rPr>
      </w:pPr>
      <w:r>
        <w:rPr>
          <w:noProof/>
        </w:rPr>
        <w:t>non-restrictive relative clause: definition (see also incidental relative clause), 171</w:t>
      </w:r>
    </w:p>
    <w:p w:rsidR="00B72047" w:rsidRDefault="00B72047">
      <w:pPr>
        <w:pStyle w:val="Index1"/>
        <w:rPr>
          <w:noProof/>
        </w:rPr>
      </w:pPr>
      <w:r>
        <w:rPr>
          <w:noProof/>
        </w:rPr>
        <w:t>non-specific descriptions, 121</w:t>
      </w:r>
    </w:p>
    <w:p w:rsidR="00B72047" w:rsidRDefault="00B72047">
      <w:pPr>
        <w:pStyle w:val="Index1"/>
        <w:rPr>
          <w:noProof/>
        </w:rPr>
      </w:pPr>
      <w:r>
        <w:rPr>
          <w:noProof/>
        </w:rPr>
        <w:t>non-standard orthographies: caveat, 46; Cyrillic, 46; Tengwar, 46</w:t>
      </w:r>
    </w:p>
    <w:p w:rsidR="00B72047" w:rsidRDefault="00B72047">
      <w:pPr>
        <w:pStyle w:val="Index1"/>
        <w:rPr>
          <w:noProof/>
        </w:rPr>
      </w:pPr>
      <w:r>
        <w:rPr>
          <w:noProof/>
        </w:rPr>
        <w:t>non-standard words: marking, 480</w:t>
      </w:r>
    </w:p>
    <w:p w:rsidR="00B72047" w:rsidRDefault="00B72047">
      <w:pPr>
        <w:pStyle w:val="Index1"/>
        <w:rPr>
          <w:noProof/>
        </w:rPr>
      </w:pPr>
      <w:r>
        <w:rPr>
          <w:noProof/>
        </w:rPr>
        <w:t>no'o, 441</w:t>
      </w:r>
    </w:p>
    <w:p w:rsidR="00B72047" w:rsidRDefault="00B72047">
      <w:pPr>
        <w:pStyle w:val="Index1"/>
        <w:rPr>
          <w:noProof/>
        </w:rPr>
      </w:pPr>
      <w:r>
        <w:rPr>
          <w:noProof/>
        </w:rPr>
        <w:t>normal circumstances, 256</w:t>
      </w:r>
    </w:p>
    <w:p w:rsidR="00B72047" w:rsidRDefault="00B72047">
      <w:pPr>
        <w:pStyle w:val="Index1"/>
        <w:rPr>
          <w:noProof/>
        </w:rPr>
      </w:pPr>
      <w:r>
        <w:rPr>
          <w:noProof/>
        </w:rPr>
        <w:t>notation conventions: for Quick Tour chapter, 12</w:t>
      </w:r>
    </w:p>
    <w:p w:rsidR="00B72047" w:rsidRDefault="00B72047">
      <w:pPr>
        <w:pStyle w:val="Index1"/>
        <w:rPr>
          <w:noProof/>
        </w:rPr>
      </w:pPr>
      <w:r>
        <w:rPr>
          <w:noProof/>
        </w:rPr>
        <w:t>nothing sits: example, 401</w:t>
      </w:r>
    </w:p>
    <w:p w:rsidR="00B72047" w:rsidRDefault="00B72047">
      <w:pPr>
        <w:pStyle w:val="Index1"/>
        <w:rPr>
          <w:noProof/>
        </w:rPr>
      </w:pPr>
      <w:r>
        <w:rPr>
          <w:noProof/>
        </w:rPr>
        <w:t>no'u, 174; compared with po'u, 174; contrasted with po'u, 175</w:t>
      </w:r>
    </w:p>
    <w:p w:rsidR="00B72047" w:rsidRDefault="00B72047">
      <w:pPr>
        <w:pStyle w:val="Index1"/>
        <w:rPr>
          <w:noProof/>
        </w:rPr>
      </w:pPr>
      <w:r>
        <w:rPr>
          <w:noProof/>
        </w:rPr>
        <w:t>nouns: brivla as Lojban equivalents, 52</w:t>
      </w:r>
    </w:p>
    <w:p w:rsidR="00B72047" w:rsidRDefault="00B72047">
      <w:pPr>
        <w:pStyle w:val="Index1"/>
        <w:rPr>
          <w:noProof/>
        </w:rPr>
      </w:pPr>
      <w:r>
        <w:rPr>
          <w:noProof/>
        </w:rPr>
        <w:t>Nth rat: example, 423, 448</w:t>
      </w:r>
    </w:p>
    <w:p w:rsidR="00B72047" w:rsidRDefault="00B72047">
      <w:pPr>
        <w:pStyle w:val="Index1"/>
        <w:rPr>
          <w:noProof/>
        </w:rPr>
      </w:pPr>
      <w:r>
        <w:rPr>
          <w:noProof/>
        </w:rPr>
        <w:t>Nthly: example, 423</w:t>
      </w:r>
    </w:p>
    <w:p w:rsidR="00B72047" w:rsidRDefault="00B72047">
      <w:pPr>
        <w:pStyle w:val="Index1"/>
        <w:rPr>
          <w:noProof/>
        </w:rPr>
      </w:pPr>
      <w:r>
        <w:rPr>
          <w:noProof/>
        </w:rPr>
        <w:t>nu, 256, 259, 261; definition, 256; place structure, 257</w:t>
      </w:r>
    </w:p>
    <w:p w:rsidR="00B72047" w:rsidRDefault="00B72047">
      <w:pPr>
        <w:pStyle w:val="Index1"/>
        <w:rPr>
          <w:noProof/>
        </w:rPr>
      </w:pPr>
      <w:r>
        <w:rPr>
          <w:noProof/>
        </w:rPr>
        <w:t>NU compared with ZAhO, 268</w:t>
      </w:r>
    </w:p>
    <w:p w:rsidR="00B72047" w:rsidRDefault="00B72047">
      <w:pPr>
        <w:pStyle w:val="Index1"/>
        <w:rPr>
          <w:noProof/>
        </w:rPr>
      </w:pPr>
      <w:r>
        <w:rPr>
          <w:noProof/>
        </w:rPr>
        <w:t>NU selma’o, 98, 255, 256, 257, 262, 263, 268, 365, 502; syntax, 255; terminator for, 497</w:t>
      </w:r>
    </w:p>
    <w:p w:rsidR="00B72047" w:rsidRDefault="00B72047">
      <w:pPr>
        <w:pStyle w:val="Index1"/>
        <w:rPr>
          <w:noProof/>
        </w:rPr>
      </w:pPr>
      <w:r>
        <w:rPr>
          <w:noProof/>
        </w:rPr>
        <w:t>nu'a, 97, 457; use in answering operator questions, 457</w:t>
      </w:r>
    </w:p>
    <w:p w:rsidR="00B72047" w:rsidRDefault="00B72047">
      <w:pPr>
        <w:pStyle w:val="Index1"/>
        <w:rPr>
          <w:noProof/>
        </w:rPr>
      </w:pPr>
      <w:r>
        <w:rPr>
          <w:noProof/>
        </w:rPr>
        <w:t>nu'e, 324</w:t>
      </w:r>
    </w:p>
    <w:p w:rsidR="00B72047" w:rsidRDefault="00B72047">
      <w:pPr>
        <w:pStyle w:val="Index1"/>
        <w:rPr>
          <w:noProof/>
        </w:rPr>
      </w:pPr>
      <w:r>
        <w:rPr>
          <w:noProof/>
        </w:rPr>
        <w:t>NUhA selma’o, 502</w:t>
      </w:r>
    </w:p>
    <w:p w:rsidR="00B72047" w:rsidRDefault="00B72047">
      <w:pPr>
        <w:pStyle w:val="Index1"/>
        <w:rPr>
          <w:noProof/>
        </w:rPr>
      </w:pPr>
      <w:r>
        <w:rPr>
          <w:noProof/>
        </w:rPr>
        <w:t>NUhI selma’o, 348, 399, 502</w:t>
      </w:r>
    </w:p>
    <w:p w:rsidR="00B72047" w:rsidRDefault="00B72047">
      <w:pPr>
        <w:pStyle w:val="Index1"/>
        <w:rPr>
          <w:noProof/>
        </w:rPr>
      </w:pPr>
      <w:r>
        <w:rPr>
          <w:noProof/>
        </w:rPr>
        <w:t>NUhU selma’o, 348, 399, 502; terminator for, 502</w:t>
      </w:r>
    </w:p>
    <w:p w:rsidR="00B72047" w:rsidRDefault="00B72047">
      <w:pPr>
        <w:pStyle w:val="Index1"/>
        <w:rPr>
          <w:noProof/>
        </w:rPr>
      </w:pPr>
      <w:r>
        <w:rPr>
          <w:noProof/>
        </w:rPr>
        <w:t>nu'i, 200, 348, 399</w:t>
      </w:r>
    </w:p>
    <w:p w:rsidR="00B72047" w:rsidRDefault="00B72047">
      <w:pPr>
        <w:pStyle w:val="Index1"/>
        <w:rPr>
          <w:noProof/>
        </w:rPr>
      </w:pPr>
      <w:r>
        <w:rPr>
          <w:noProof/>
        </w:rPr>
        <w:t>null operand: for infix operations with too few operands, 450</w:t>
      </w:r>
    </w:p>
    <w:p w:rsidR="00B72047" w:rsidRDefault="00B72047">
      <w:pPr>
        <w:pStyle w:val="Index1"/>
        <w:rPr>
          <w:noProof/>
        </w:rPr>
      </w:pPr>
      <w:r>
        <w:rPr>
          <w:noProof/>
        </w:rPr>
        <w:t>null operator: for infix operations with too many operands, 451</w:t>
      </w:r>
    </w:p>
    <w:p w:rsidR="00B72047" w:rsidRDefault="00B72047">
      <w:pPr>
        <w:pStyle w:val="Index1"/>
        <w:rPr>
          <w:noProof/>
        </w:rPr>
      </w:pPr>
      <w:r>
        <w:rPr>
          <w:noProof/>
        </w:rPr>
        <w:t>number article: explanation of use, 435</w:t>
      </w:r>
    </w:p>
    <w:p w:rsidR="00B72047" w:rsidRDefault="00B72047">
      <w:pPr>
        <w:pStyle w:val="Index1"/>
        <w:rPr>
          <w:noProof/>
        </w:rPr>
      </w:pPr>
      <w:r>
        <w:rPr>
          <w:noProof/>
        </w:rPr>
        <w:t>number questions, 449; answers to, 449</w:t>
      </w:r>
    </w:p>
    <w:p w:rsidR="00B72047" w:rsidRDefault="00B72047">
      <w:pPr>
        <w:pStyle w:val="Index1"/>
        <w:rPr>
          <w:noProof/>
        </w:rPr>
      </w:pPr>
      <w:r>
        <w:rPr>
          <w:noProof/>
        </w:rPr>
        <w:t>number sumti: syntax of, 141; with li, 141; with li contrasted with me'o, 142; with me'o, 142; with me'o contrasted with li, 142</w:t>
      </w:r>
    </w:p>
    <w:p w:rsidR="00B72047" w:rsidRDefault="00B72047">
      <w:pPr>
        <w:pStyle w:val="Index1"/>
        <w:rPr>
          <w:noProof/>
        </w:rPr>
      </w:pPr>
      <w:r>
        <w:rPr>
          <w:noProof/>
        </w:rPr>
        <w:t>number words: pattern in, 432</w:t>
      </w:r>
    </w:p>
    <w:p w:rsidR="00B72047" w:rsidRDefault="00B72047">
      <w:pPr>
        <w:pStyle w:val="Index1"/>
        <w:rPr>
          <w:noProof/>
        </w:rPr>
      </w:pPr>
      <w:r>
        <w:rPr>
          <w:noProof/>
        </w:rPr>
        <w:t>numbers: as compound cmavo, 432; as grammatically complete utterances, 449; as possessive sumti, 180; cmavo as Lojban equivalents, 50; descriptor for, 499; English contrasted with Lojban on exactness, 397; expressing simple, 432; greater than 9, 432; implicit quantifier for, 142; indefinite, 440; list of indefinite, 463; list of special, 462; Lojban contrasted with English on exactness, 397; meaning when used as quantifiers, 127; on logical variables, 397; rafsi for, 59; special, 434; talking about contrasted with using for quantification, 435; using for quantification contrasted with talking about, 435</w:t>
      </w:r>
    </w:p>
    <w:p w:rsidR="00B72047" w:rsidRDefault="00B72047">
      <w:pPr>
        <w:pStyle w:val="Index1"/>
        <w:rPr>
          <w:noProof/>
        </w:rPr>
      </w:pPr>
      <w:r>
        <w:rPr>
          <w:noProof/>
        </w:rPr>
        <w:t>numeric digits in lerfu words: grammar considerations, 420</w:t>
      </w:r>
    </w:p>
    <w:p w:rsidR="00B72047" w:rsidRDefault="00B72047">
      <w:pPr>
        <w:pStyle w:val="Index1"/>
        <w:rPr>
          <w:noProof/>
        </w:rPr>
      </w:pPr>
      <w:r>
        <w:rPr>
          <w:noProof/>
        </w:rPr>
        <w:t>numerical punctuation, 433; undefined, 434</w:t>
      </w:r>
    </w:p>
    <w:p w:rsidR="00B72047" w:rsidRDefault="00B72047">
      <w:pPr>
        <w:pStyle w:val="Index1"/>
        <w:rPr>
          <w:noProof/>
        </w:rPr>
      </w:pPr>
      <w:r>
        <w:rPr>
          <w:noProof/>
        </w:rPr>
        <w:t>numerical selbri: alternative to compensate for restriction on numbers, 448; based on non-numerical sumti, 448; complex, 448; grammar, 448; restriction on numbers used for, 448; special, 446; special, with lerfu strings, 448; use of “me” with, 448</w:t>
      </w:r>
    </w:p>
    <w:p w:rsidR="00B72047" w:rsidRDefault="00B72047">
      <w:pPr>
        <w:pStyle w:val="Index1"/>
        <w:rPr>
          <w:noProof/>
        </w:rPr>
      </w:pPr>
      <w:r>
        <w:rPr>
          <w:noProof/>
        </w:rPr>
        <w:t>numerical tenses: effect on use of boi, 458</w:t>
      </w:r>
    </w:p>
    <w:p w:rsidR="00B72047" w:rsidRDefault="00B72047">
      <w:pPr>
        <w:pStyle w:val="Index1"/>
        <w:rPr>
          <w:noProof/>
        </w:rPr>
      </w:pPr>
      <w:r>
        <w:rPr>
          <w:noProof/>
        </w:rPr>
        <w:t>nu'o, 244</w:t>
      </w:r>
    </w:p>
    <w:p w:rsidR="00B72047" w:rsidRDefault="00B72047">
      <w:pPr>
        <w:pStyle w:val="Index1"/>
        <w:rPr>
          <w:noProof/>
        </w:rPr>
      </w:pPr>
      <w:r>
        <w:rPr>
          <w:noProof/>
        </w:rPr>
        <w:t>nu'u, 200, 348, 399</w:t>
      </w:r>
    </w:p>
    <w:p w:rsidR="00B72047" w:rsidRDefault="00B72047">
      <w:pPr>
        <w:pStyle w:val="Index1"/>
        <w:rPr>
          <w:noProof/>
        </w:rPr>
      </w:pPr>
      <w:r>
        <w:rPr>
          <w:noProof/>
        </w:rPr>
        <w:t>ny, 437</w:t>
      </w:r>
    </w:p>
    <w:p w:rsidR="00B72047" w:rsidRDefault="00B72047">
      <w:pPr>
        <w:pStyle w:val="Index1"/>
        <w:rPr>
          <w:noProof/>
        </w:rPr>
      </w:pPr>
      <w:r>
        <w:rPr>
          <w:noProof/>
        </w:rPr>
        <w:t>NYC: example, 424</w:t>
      </w:r>
    </w:p>
    <w:p w:rsidR="00B72047" w:rsidRDefault="00B72047">
      <w:pPr>
        <w:pStyle w:val="Index1"/>
        <w:rPr>
          <w:noProof/>
        </w:rPr>
      </w:pPr>
      <w:r>
        <w:rPr>
          <w:noProof/>
        </w:rPr>
        <w:t>observation: example, 316</w:t>
      </w:r>
    </w:p>
    <w:p w:rsidR="00B72047" w:rsidRDefault="00B72047">
      <w:pPr>
        <w:pStyle w:val="Index1"/>
        <w:rPr>
          <w:noProof/>
        </w:rPr>
      </w:pPr>
      <w:r>
        <w:rPr>
          <w:noProof/>
        </w:rPr>
        <w:t>observation evidential: contrasted with observative, 316</w:t>
      </w:r>
    </w:p>
    <w:p w:rsidR="00B72047" w:rsidRDefault="00B72047">
      <w:pPr>
        <w:pStyle w:val="Index1"/>
        <w:rPr>
          <w:noProof/>
        </w:rPr>
      </w:pPr>
      <w:r>
        <w:rPr>
          <w:noProof/>
        </w:rPr>
        <w:t>observative: contrasted with observation evidential, 316; definition, 188</w:t>
      </w:r>
    </w:p>
    <w:p w:rsidR="00B72047" w:rsidRDefault="00B72047">
      <w:pPr>
        <w:pStyle w:val="Index1"/>
        <w:rPr>
          <w:noProof/>
        </w:rPr>
      </w:pPr>
      <w:r>
        <w:rPr>
          <w:noProof/>
        </w:rPr>
        <w:t>observative form: contrasted with command, 188</w:t>
      </w:r>
    </w:p>
    <w:p w:rsidR="00B72047" w:rsidRDefault="00B72047">
      <w:pPr>
        <w:pStyle w:val="Index1"/>
        <w:rPr>
          <w:noProof/>
        </w:rPr>
      </w:pPr>
      <w:r>
        <w:rPr>
          <w:noProof/>
        </w:rPr>
        <w:t>observative with elided CAhA: convention, 245</w:t>
      </w:r>
    </w:p>
    <w:p w:rsidR="00B72047" w:rsidRDefault="00B72047">
      <w:pPr>
        <w:pStyle w:val="Index1"/>
        <w:rPr>
          <w:noProof/>
        </w:rPr>
      </w:pPr>
      <w:r>
        <w:rPr>
          <w:noProof/>
        </w:rPr>
        <w:t>observatives: and abstractions, 255; quick-tour version, 15</w:t>
      </w:r>
    </w:p>
    <w:p w:rsidR="00B72047" w:rsidRDefault="00B72047">
      <w:pPr>
        <w:pStyle w:val="Index1"/>
        <w:rPr>
          <w:noProof/>
        </w:rPr>
      </w:pPr>
      <w:r>
        <w:rPr>
          <w:noProof/>
        </w:rPr>
        <w:t>ocean shell: example, 286</w:t>
      </w:r>
    </w:p>
    <w:p w:rsidR="00B72047" w:rsidRDefault="00B72047">
      <w:pPr>
        <w:pStyle w:val="Index1"/>
        <w:rPr>
          <w:noProof/>
        </w:rPr>
      </w:pPr>
      <w:r>
        <w:rPr>
          <w:noProof/>
        </w:rPr>
        <w:t>octal system: specifying numbers in (see also base), 444</w:t>
      </w:r>
    </w:p>
    <w:p w:rsidR="00B72047" w:rsidRDefault="00B72047">
      <w:pPr>
        <w:pStyle w:val="Index1"/>
        <w:rPr>
          <w:noProof/>
        </w:rPr>
      </w:pPr>
      <w:r>
        <w:rPr>
          <w:noProof/>
        </w:rPr>
        <w:t>octogenarian, 293</w:t>
      </w:r>
    </w:p>
    <w:p w:rsidR="00B72047" w:rsidRDefault="00B72047">
      <w:pPr>
        <w:pStyle w:val="Index1"/>
        <w:rPr>
          <w:noProof/>
        </w:rPr>
      </w:pPr>
      <w:r>
        <w:rPr>
          <w:noProof/>
        </w:rPr>
        <w:t>o'ecu'i: example, 300</w:t>
      </w:r>
    </w:p>
    <w:p w:rsidR="00B72047" w:rsidRDefault="00B72047">
      <w:pPr>
        <w:pStyle w:val="Index1"/>
        <w:rPr>
          <w:noProof/>
        </w:rPr>
      </w:pPr>
      <w:r>
        <w:rPr>
          <w:noProof/>
        </w:rPr>
        <w:t>office or ice-dance: example, 347</w:t>
      </w:r>
    </w:p>
    <w:p w:rsidR="00B72047" w:rsidRDefault="00B72047">
      <w:pPr>
        <w:pStyle w:val="Index1"/>
        <w:rPr>
          <w:noProof/>
        </w:rPr>
      </w:pPr>
      <w:r>
        <w:rPr>
          <w:noProof/>
        </w:rPr>
        <w:t>o'i: example, 300</w:t>
      </w:r>
    </w:p>
    <w:p w:rsidR="00B72047" w:rsidRDefault="00B72047">
      <w:pPr>
        <w:pStyle w:val="Index1"/>
        <w:rPr>
          <w:noProof/>
        </w:rPr>
      </w:pPr>
      <w:r>
        <w:rPr>
          <w:noProof/>
        </w:rPr>
        <w:t>Old McDonald: example, 32</w:t>
      </w:r>
    </w:p>
    <w:p w:rsidR="00B72047" w:rsidRDefault="00B72047">
      <w:pPr>
        <w:pStyle w:val="Index1"/>
        <w:rPr>
          <w:noProof/>
        </w:rPr>
      </w:pPr>
      <w:r>
        <w:rPr>
          <w:noProof/>
        </w:rPr>
        <w:t>old topic, 466</w:t>
      </w:r>
    </w:p>
    <w:p w:rsidR="00B72047" w:rsidRDefault="00B72047">
      <w:pPr>
        <w:pStyle w:val="Index1"/>
        <w:rPr>
          <w:noProof/>
        </w:rPr>
      </w:pPr>
      <w:r>
        <w:rPr>
          <w:noProof/>
        </w:rPr>
        <w:t>omitting terminators: perils of, 102</w:t>
      </w:r>
    </w:p>
    <w:p w:rsidR="00B72047" w:rsidRDefault="00B72047">
      <w:pPr>
        <w:pStyle w:val="Index1"/>
        <w:rPr>
          <w:noProof/>
        </w:rPr>
      </w:pPr>
      <w:r>
        <w:rPr>
          <w:noProof/>
        </w:rPr>
        <w:t>on right: contrasted with toward right, 224</w:t>
      </w:r>
    </w:p>
    <w:p w:rsidR="00B72047" w:rsidRDefault="00B72047">
      <w:pPr>
        <w:pStyle w:val="Index1"/>
        <w:rPr>
          <w:noProof/>
        </w:rPr>
      </w:pPr>
      <w:r>
        <w:rPr>
          <w:noProof/>
        </w:rPr>
        <w:t>on two occasions: example, 246</w:t>
      </w:r>
    </w:p>
    <w:p w:rsidR="00B72047" w:rsidRDefault="00B72047">
      <w:pPr>
        <w:pStyle w:val="Index1"/>
        <w:rPr>
          <w:noProof/>
        </w:rPr>
      </w:pPr>
      <w:r>
        <w:rPr>
          <w:noProof/>
        </w:rPr>
        <w:t>on verge: example, 228</w:t>
      </w:r>
    </w:p>
    <w:p w:rsidR="00B72047" w:rsidRDefault="00B72047">
      <w:pPr>
        <w:pStyle w:val="Index1"/>
        <w:rPr>
          <w:noProof/>
        </w:rPr>
      </w:pPr>
      <w:r>
        <w:rPr>
          <w:noProof/>
        </w:rPr>
        <w:t>once: example, 226, 458</w:t>
      </w:r>
    </w:p>
    <w:p w:rsidR="00B72047" w:rsidRDefault="00B72047">
      <w:pPr>
        <w:pStyle w:val="Index1"/>
        <w:rPr>
          <w:noProof/>
        </w:rPr>
      </w:pPr>
      <w:r>
        <w:rPr>
          <w:noProof/>
        </w:rPr>
        <w:t>one-third of food, 447</w:t>
      </w:r>
    </w:p>
    <w:p w:rsidR="00B72047" w:rsidRDefault="00B72047">
      <w:pPr>
        <w:pStyle w:val="Index1"/>
        <w:rPr>
          <w:noProof/>
        </w:rPr>
      </w:pPr>
      <w:r>
        <w:rPr>
          <w:noProof/>
        </w:rPr>
        <w:t>only if: compared with if … then, 338</w:t>
      </w:r>
    </w:p>
    <w:p w:rsidR="00B72047" w:rsidRDefault="00B72047">
      <w:pPr>
        <w:pStyle w:val="Index1"/>
        <w:rPr>
          <w:noProof/>
        </w:rPr>
      </w:pPr>
      <w:r>
        <w:rPr>
          <w:noProof/>
        </w:rPr>
        <w:t>o'onai: example, 300</w:t>
      </w:r>
    </w:p>
    <w:p w:rsidR="00B72047" w:rsidRDefault="00B72047">
      <w:pPr>
        <w:pStyle w:val="Index1"/>
        <w:rPr>
          <w:noProof/>
        </w:rPr>
      </w:pPr>
      <w:r>
        <w:rPr>
          <w:noProof/>
        </w:rPr>
        <w:t>of: in English, compared with do'e, 197</w:t>
      </w:r>
    </w:p>
    <w:p w:rsidR="00B72047" w:rsidRDefault="00B72047">
      <w:pPr>
        <w:pStyle w:val="Index1"/>
        <w:rPr>
          <w:noProof/>
        </w:rPr>
      </w:pPr>
      <w:r>
        <w:rPr>
          <w:noProof/>
        </w:rPr>
        <w:t>oi: example, 300</w:t>
      </w:r>
    </w:p>
    <w:p w:rsidR="00B72047" w:rsidRDefault="00B72047">
      <w:pPr>
        <w:pStyle w:val="Index1"/>
        <w:rPr>
          <w:noProof/>
        </w:rPr>
      </w:pPr>
      <w:r>
        <w:rPr>
          <w:noProof/>
        </w:rPr>
        <w:t>omission of descriptor: effect on ku, 132</w:t>
      </w:r>
    </w:p>
    <w:p w:rsidR="00B72047" w:rsidRDefault="00B72047">
      <w:pPr>
        <w:pStyle w:val="Index1"/>
        <w:rPr>
          <w:noProof/>
        </w:rPr>
      </w:pPr>
      <w:r>
        <w:rPr>
          <w:noProof/>
        </w:rPr>
        <w:t>once and future king: example, 363</w:t>
      </w:r>
    </w:p>
    <w:p w:rsidR="00B72047" w:rsidRDefault="00B72047">
      <w:pPr>
        <w:pStyle w:val="Index1"/>
        <w:rPr>
          <w:noProof/>
        </w:rPr>
      </w:pPr>
      <w:r>
        <w:rPr>
          <w:noProof/>
        </w:rPr>
        <w:t>One: the, example, 66</w:t>
      </w:r>
    </w:p>
    <w:p w:rsidR="00B72047" w:rsidRDefault="00B72047">
      <w:pPr>
        <w:pStyle w:val="Index1"/>
        <w:rPr>
          <w:noProof/>
        </w:rPr>
      </w:pPr>
      <w:r>
        <w:rPr>
          <w:noProof/>
        </w:rPr>
        <w:t>only: example, 318</w:t>
      </w:r>
    </w:p>
    <w:p w:rsidR="00B72047" w:rsidRDefault="00B72047">
      <w:pPr>
        <w:pStyle w:val="Index1"/>
        <w:rPr>
          <w:noProof/>
        </w:rPr>
      </w:pPr>
      <w:r>
        <w:rPr>
          <w:noProof/>
        </w:rPr>
        <w:t>only once: example, 227</w:t>
      </w:r>
    </w:p>
    <w:p w:rsidR="00B72047" w:rsidRDefault="00B72047">
      <w:pPr>
        <w:pStyle w:val="Index1"/>
        <w:rPr>
          <w:noProof/>
        </w:rPr>
      </w:pPr>
      <w:r>
        <w:rPr>
          <w:noProof/>
        </w:rPr>
        <w:t>open interval, 360; expressed with mi'i, 455</w:t>
      </w:r>
    </w:p>
    <w:p w:rsidR="00B72047" w:rsidRDefault="00B72047">
      <w:pPr>
        <w:pStyle w:val="Index1"/>
        <w:rPr>
          <w:noProof/>
        </w:rPr>
      </w:pPr>
      <w:r>
        <w:rPr>
          <w:noProof/>
        </w:rPr>
        <w:t>opening quotation, 476</w:t>
      </w:r>
    </w:p>
    <w:p w:rsidR="00B72047" w:rsidRDefault="00B72047">
      <w:pPr>
        <w:pStyle w:val="Index1"/>
        <w:rPr>
          <w:noProof/>
        </w:rPr>
      </w:pPr>
      <w:r>
        <w:rPr>
          <w:noProof/>
        </w:rPr>
        <w:t>operand: converting from operator, 460; converting into operator, 460; converting selbri into, 456; converting sumti into, 456</w:t>
      </w:r>
    </w:p>
    <w:p w:rsidR="00B72047" w:rsidRDefault="00B72047">
      <w:pPr>
        <w:pStyle w:val="Index1"/>
        <w:rPr>
          <w:noProof/>
        </w:rPr>
      </w:pPr>
      <w:r>
        <w:rPr>
          <w:noProof/>
        </w:rPr>
        <w:t>operand connection: afterthought, 453; forethought, 453</w:t>
      </w:r>
    </w:p>
    <w:p w:rsidR="00B72047" w:rsidRDefault="00B72047">
      <w:pPr>
        <w:pStyle w:val="Index1"/>
        <w:rPr>
          <w:noProof/>
        </w:rPr>
      </w:pPr>
      <w:r>
        <w:rPr>
          <w:noProof/>
        </w:rPr>
        <w:t>operand modal connection, 201</w:t>
      </w:r>
    </w:p>
    <w:p w:rsidR="00B72047" w:rsidRDefault="00B72047">
      <w:pPr>
        <w:pStyle w:val="Index1"/>
        <w:rPr>
          <w:noProof/>
        </w:rPr>
      </w:pPr>
      <w:r>
        <w:rPr>
          <w:noProof/>
        </w:rPr>
        <w:t>operands: connecting, 361; contrasted with general sumti, 436; too few for infix operation, 450; too many for infix operation, 451</w:t>
      </w:r>
    </w:p>
    <w:p w:rsidR="00B72047" w:rsidRDefault="00B72047">
      <w:pPr>
        <w:pStyle w:val="Index1"/>
        <w:rPr>
          <w:noProof/>
        </w:rPr>
      </w:pPr>
      <w:r>
        <w:rPr>
          <w:noProof/>
        </w:rPr>
        <w:t>operator: converting from operand, 460; converting into operand, 460; converting into selbri, 457; converting selbri into, 456; forethought marker, 503</w:t>
      </w:r>
    </w:p>
    <w:p w:rsidR="00B72047" w:rsidRDefault="00B72047">
      <w:pPr>
        <w:pStyle w:val="Index1"/>
        <w:rPr>
          <w:noProof/>
        </w:rPr>
      </w:pPr>
      <w:r>
        <w:rPr>
          <w:noProof/>
        </w:rPr>
        <w:t>operator …ku'e in Polish notation: contrasted with vei …ve'o, 438</w:t>
      </w:r>
    </w:p>
    <w:p w:rsidR="00B72047" w:rsidRDefault="00B72047">
      <w:pPr>
        <w:pStyle w:val="Index1"/>
        <w:rPr>
          <w:noProof/>
        </w:rPr>
      </w:pPr>
      <w:r>
        <w:rPr>
          <w:noProof/>
        </w:rPr>
        <w:t>operator connection: afterthought, 453; forethought, 453</w:t>
      </w:r>
    </w:p>
    <w:p w:rsidR="00B72047" w:rsidRDefault="00B72047">
      <w:pPr>
        <w:pStyle w:val="Index1"/>
        <w:rPr>
          <w:noProof/>
        </w:rPr>
      </w:pPr>
      <w:r>
        <w:rPr>
          <w:noProof/>
        </w:rPr>
        <w:t>operator derived from selbri: effect of selbri place structure on, 456</w:t>
      </w:r>
    </w:p>
    <w:p w:rsidR="00B72047" w:rsidRDefault="00B72047">
      <w:pPr>
        <w:pStyle w:val="Index1"/>
        <w:rPr>
          <w:noProof/>
        </w:rPr>
      </w:pPr>
      <w:r>
        <w:rPr>
          <w:noProof/>
        </w:rPr>
        <w:t>operator left-right grouping: as Lojban default, 436</w:t>
      </w:r>
    </w:p>
    <w:p w:rsidR="00B72047" w:rsidRDefault="00B72047">
      <w:pPr>
        <w:pStyle w:val="Index1"/>
        <w:rPr>
          <w:noProof/>
        </w:rPr>
      </w:pPr>
      <w:r>
        <w:rPr>
          <w:noProof/>
        </w:rPr>
        <w:t>operator precedence: and mathematical notation, 436; effect of pragmatic convention, 436; generalized explicit specification, 437; in Lojban default, 436; plans for future, 458; rationale for default left-grouping, 436; scope modification with bi'e, 437; specifying by parenthesis, 437</w:t>
      </w:r>
    </w:p>
    <w:p w:rsidR="00B72047" w:rsidRDefault="00B72047">
      <w:pPr>
        <w:pStyle w:val="Index1"/>
        <w:rPr>
          <w:noProof/>
        </w:rPr>
      </w:pPr>
      <w:r>
        <w:rPr>
          <w:noProof/>
        </w:rPr>
        <w:t>operator precedence in other languages, 436</w:t>
      </w:r>
    </w:p>
    <w:p w:rsidR="00B72047" w:rsidRDefault="00B72047">
      <w:pPr>
        <w:pStyle w:val="Index1"/>
        <w:rPr>
          <w:noProof/>
        </w:rPr>
      </w:pPr>
      <w:r>
        <w:rPr>
          <w:noProof/>
        </w:rPr>
        <w:t>operator priority, 490</w:t>
      </w:r>
    </w:p>
    <w:p w:rsidR="00B72047" w:rsidRDefault="00B72047">
      <w:pPr>
        <w:pStyle w:val="Index1"/>
        <w:rPr>
          <w:noProof/>
        </w:rPr>
      </w:pPr>
      <w:r>
        <w:rPr>
          <w:noProof/>
        </w:rPr>
        <w:t>operators: analogue of tanru in, 361; connecting, 361; list of simple, 461; mathematical, 507</w:t>
      </w:r>
    </w:p>
    <w:p w:rsidR="00B72047" w:rsidRDefault="00B72047">
      <w:pPr>
        <w:pStyle w:val="Index1"/>
        <w:rPr>
          <w:noProof/>
        </w:rPr>
      </w:pPr>
      <w:r>
        <w:rPr>
          <w:noProof/>
        </w:rPr>
        <w:t>operators of VUhU: grammar of operands, 436</w:t>
      </w:r>
    </w:p>
    <w:p w:rsidR="00B72047" w:rsidRDefault="00B72047">
      <w:pPr>
        <w:pStyle w:val="Index1"/>
        <w:rPr>
          <w:noProof/>
        </w:rPr>
      </w:pPr>
      <w:r>
        <w:rPr>
          <w:noProof/>
        </w:rPr>
        <w:t>opinion: example, 317</w:t>
      </w:r>
    </w:p>
    <w:p w:rsidR="00B72047" w:rsidRDefault="00B72047">
      <w:pPr>
        <w:pStyle w:val="Index1"/>
        <w:rPr>
          <w:noProof/>
        </w:rPr>
      </w:pPr>
      <w:r>
        <w:rPr>
          <w:noProof/>
        </w:rPr>
        <w:t>opposite-of-minus: example, 459</w:t>
      </w:r>
    </w:p>
    <w:p w:rsidR="00B72047" w:rsidRDefault="00B72047">
      <w:pPr>
        <w:pStyle w:val="Index1"/>
        <w:rPr>
          <w:noProof/>
        </w:rPr>
      </w:pPr>
      <w:r>
        <w:rPr>
          <w:noProof/>
        </w:rPr>
        <w:t>or”: “and/or” contrasted with “either … or … but not both, 334</w:t>
      </w:r>
    </w:p>
    <w:p w:rsidR="00B72047" w:rsidRDefault="00B72047">
      <w:pPr>
        <w:pStyle w:val="Index1"/>
        <w:rPr>
          <w:noProof/>
        </w:rPr>
      </w:pPr>
      <w:r>
        <w:rPr>
          <w:noProof/>
        </w:rPr>
        <w:t>order of variables: in moving to prenex, 398</w:t>
      </w:r>
    </w:p>
    <w:p w:rsidR="00B72047" w:rsidRDefault="00B72047">
      <w:pPr>
        <w:pStyle w:val="Index1"/>
        <w:rPr>
          <w:noProof/>
        </w:rPr>
      </w:pPr>
      <w:r>
        <w:rPr>
          <w:noProof/>
        </w:rPr>
        <w:t>ordered sequence: by listing members, 355; contrasted with mass, 355; contrasted with set, 355</w:t>
      </w:r>
    </w:p>
    <w:p w:rsidR="00B72047" w:rsidRDefault="00B72047">
      <w:pPr>
        <w:pStyle w:val="Index1"/>
        <w:rPr>
          <w:noProof/>
        </w:rPr>
      </w:pPr>
      <w:r>
        <w:rPr>
          <w:noProof/>
        </w:rPr>
        <w:t>ordinal selbri: definition, 447; place structure, 447; place structure effect from subjective numbers, 448</w:t>
      </w:r>
    </w:p>
    <w:p w:rsidR="00B72047" w:rsidRDefault="00B72047">
      <w:pPr>
        <w:pStyle w:val="Index1"/>
        <w:rPr>
          <w:noProof/>
        </w:rPr>
      </w:pPr>
      <w:r>
        <w:rPr>
          <w:noProof/>
        </w:rPr>
        <w:t>ordinal tense, 230</w:t>
      </w:r>
    </w:p>
    <w:p w:rsidR="00B72047" w:rsidRDefault="00B72047">
      <w:pPr>
        <w:pStyle w:val="Index1"/>
        <w:rPr>
          <w:noProof/>
        </w:rPr>
      </w:pPr>
      <w:r>
        <w:rPr>
          <w:noProof/>
        </w:rPr>
        <w:t>ordinals: utterance, 474</w:t>
      </w:r>
    </w:p>
    <w:p w:rsidR="00B72047" w:rsidRDefault="00B72047">
      <w:pPr>
        <w:pStyle w:val="Index1"/>
        <w:rPr>
          <w:noProof/>
        </w:rPr>
      </w:pPr>
      <w:r>
        <w:rPr>
          <w:noProof/>
        </w:rPr>
        <w:t>orthography: non-standard, 45; relation to pronunciation, 29</w:t>
      </w:r>
    </w:p>
    <w:p w:rsidR="00B72047" w:rsidRDefault="00B72047">
      <w:pPr>
        <w:pStyle w:val="Index1"/>
        <w:rPr>
          <w:noProof/>
        </w:rPr>
      </w:pPr>
      <w:r>
        <w:rPr>
          <w:noProof/>
        </w:rPr>
        <w:t>o'u: example, 300</w:t>
      </w:r>
    </w:p>
    <w:p w:rsidR="00B72047" w:rsidRDefault="00B72047">
      <w:pPr>
        <w:pStyle w:val="Index1"/>
        <w:rPr>
          <w:noProof/>
        </w:rPr>
      </w:pPr>
      <w:r>
        <w:rPr>
          <w:noProof/>
        </w:rPr>
        <w:t>outer product, 452</w:t>
      </w:r>
    </w:p>
    <w:p w:rsidR="00B72047" w:rsidRDefault="00B72047">
      <w:pPr>
        <w:pStyle w:val="Index1"/>
        <w:rPr>
          <w:noProof/>
        </w:rPr>
      </w:pPr>
      <w:r>
        <w:rPr>
          <w:noProof/>
        </w:rPr>
        <w:t>outer quantifier: contrasted with inner quantifier, 129; definition, 129; effect of on meaning, 129; for expressing subset, 131; implicit on descriptors, 129; in indefinite description, 132; rationale for differences in implicit quantifier on descriptors, 131</w:t>
      </w:r>
    </w:p>
    <w:p w:rsidR="00B72047" w:rsidRDefault="00B72047">
      <w:pPr>
        <w:pStyle w:val="Index1"/>
        <w:rPr>
          <w:noProof/>
        </w:rPr>
      </w:pPr>
      <w:r>
        <w:rPr>
          <w:noProof/>
        </w:rPr>
        <w:t>outer quantifier of sumti: meaning of, 178</w:t>
      </w:r>
    </w:p>
    <w:p w:rsidR="00B72047" w:rsidRDefault="00B72047">
      <w:pPr>
        <w:pStyle w:val="Index1"/>
        <w:rPr>
          <w:noProof/>
        </w:rPr>
      </w:pPr>
      <w:r>
        <w:rPr>
          <w:noProof/>
        </w:rPr>
        <w:t>outer sumti: prenex for referring to from within relative clause within relative clause, 185; referring to from within relative clause within relative clause, 184</w:t>
      </w:r>
    </w:p>
    <w:p w:rsidR="00B72047" w:rsidRDefault="00B72047">
      <w:pPr>
        <w:pStyle w:val="Index1"/>
        <w:rPr>
          <w:noProof/>
        </w:rPr>
      </w:pPr>
      <w:r>
        <w:rPr>
          <w:noProof/>
        </w:rPr>
        <w:t>over-dot: proposed lerfu word for, 429</w:t>
      </w:r>
    </w:p>
    <w:p w:rsidR="00B72047" w:rsidRDefault="00B72047">
      <w:pPr>
        <w:pStyle w:val="Index1"/>
        <w:rPr>
          <w:noProof/>
        </w:rPr>
      </w:pPr>
      <w:r>
        <w:rPr>
          <w:noProof/>
        </w:rPr>
        <w:t>over-ring: proposed lerfu word for, 429</w:t>
      </w:r>
    </w:p>
    <w:p w:rsidR="00B72047" w:rsidRDefault="00B72047">
      <w:pPr>
        <w:pStyle w:val="Index1"/>
        <w:rPr>
          <w:noProof/>
        </w:rPr>
      </w:pPr>
      <w:r>
        <w:rPr>
          <w:noProof/>
        </w:rPr>
        <w:t>owe money: example, 346</w:t>
      </w:r>
    </w:p>
    <w:p w:rsidR="00B72047" w:rsidRDefault="00B72047">
      <w:pPr>
        <w:pStyle w:val="Index1"/>
        <w:rPr>
          <w:noProof/>
        </w:rPr>
      </w:pPr>
      <w:r>
        <w:rPr>
          <w:noProof/>
        </w:rPr>
        <w:t>p = x = z: example, 439</w:t>
      </w:r>
    </w:p>
    <w:p w:rsidR="00B72047" w:rsidRDefault="00B72047">
      <w:pPr>
        <w:pStyle w:val="Index1"/>
        <w:rPr>
          <w:noProof/>
        </w:rPr>
      </w:pPr>
      <w:r>
        <w:rPr>
          <w:noProof/>
        </w:rPr>
        <w:t>pa, 433</w:t>
      </w:r>
    </w:p>
    <w:p w:rsidR="00B72047" w:rsidRDefault="00B72047">
      <w:pPr>
        <w:pStyle w:val="Index1"/>
        <w:rPr>
          <w:noProof/>
        </w:rPr>
      </w:pPr>
      <w:r>
        <w:rPr>
          <w:noProof/>
        </w:rPr>
        <w:t>PA selma’o, 397, 432, 440, 449, 502; exception on use of boi with MOI, 449; members with rafsi, 460; terminator for, 490</w:t>
      </w:r>
    </w:p>
    <w:p w:rsidR="00B72047" w:rsidRDefault="00B72047">
      <w:pPr>
        <w:pStyle w:val="Index1"/>
        <w:rPr>
          <w:noProof/>
        </w:rPr>
      </w:pPr>
      <w:r>
        <w:rPr>
          <w:noProof/>
        </w:rPr>
        <w:t>pa'e, 318, 319</w:t>
      </w:r>
    </w:p>
    <w:p w:rsidR="00B72047" w:rsidRDefault="00B72047">
      <w:pPr>
        <w:pStyle w:val="Index1"/>
        <w:rPr>
          <w:noProof/>
        </w:rPr>
      </w:pPr>
      <w:r>
        <w:rPr>
          <w:noProof/>
        </w:rPr>
        <w:t>pa'enai, 319</w:t>
      </w:r>
    </w:p>
    <w:p w:rsidR="00B72047" w:rsidRDefault="00B72047">
      <w:pPr>
        <w:pStyle w:val="Index1"/>
        <w:rPr>
          <w:noProof/>
        </w:rPr>
      </w:pPr>
      <w:r>
        <w:rPr>
          <w:noProof/>
        </w:rPr>
        <w:t>paragraph marker, 502</w:t>
      </w:r>
    </w:p>
    <w:p w:rsidR="00B72047" w:rsidRDefault="00B72047">
      <w:pPr>
        <w:pStyle w:val="Index1"/>
        <w:rPr>
          <w:noProof/>
        </w:rPr>
      </w:pPr>
      <w:r>
        <w:rPr>
          <w:noProof/>
        </w:rPr>
        <w:t>paragraph separation: spoken text, 467; written text, 466</w:t>
      </w:r>
    </w:p>
    <w:p w:rsidR="00B72047" w:rsidRDefault="00B72047">
      <w:pPr>
        <w:pStyle w:val="Index1"/>
        <w:rPr>
          <w:noProof/>
        </w:rPr>
      </w:pPr>
      <w:r>
        <w:rPr>
          <w:noProof/>
        </w:rPr>
        <w:t>paragraphs: effects on scope, 466; separating, 466; separator, 466</w:t>
      </w:r>
    </w:p>
    <w:p w:rsidR="00B72047" w:rsidRDefault="00B72047">
      <w:pPr>
        <w:pStyle w:val="Index1"/>
        <w:rPr>
          <w:noProof/>
        </w:rPr>
      </w:pPr>
      <w:r>
        <w:rPr>
          <w:noProof/>
        </w:rPr>
        <w:t>parasitic worms: example, 286</w:t>
      </w:r>
    </w:p>
    <w:p w:rsidR="00B72047" w:rsidRDefault="00B72047">
      <w:pPr>
        <w:pStyle w:val="Index1"/>
        <w:rPr>
          <w:noProof/>
        </w:rPr>
      </w:pPr>
      <w:r>
        <w:rPr>
          <w:noProof/>
        </w:rPr>
        <w:t>parentheses: for complex mekso used as quantifier, 454</w:t>
      </w:r>
    </w:p>
    <w:p w:rsidR="00B72047" w:rsidRDefault="00B72047">
      <w:pPr>
        <w:pStyle w:val="Index1"/>
        <w:rPr>
          <w:noProof/>
        </w:rPr>
      </w:pPr>
      <w:r>
        <w:rPr>
          <w:noProof/>
        </w:rPr>
        <w:t>parenthesis: discourse, 505; mathematical, 437; textual, 480</w:t>
      </w:r>
    </w:p>
    <w:p w:rsidR="00B72047" w:rsidRDefault="00B72047">
      <w:pPr>
        <w:pStyle w:val="Index1"/>
        <w:rPr>
          <w:noProof/>
        </w:rPr>
      </w:pPr>
      <w:r>
        <w:rPr>
          <w:noProof/>
        </w:rPr>
        <w:t>partial quotation, 321</w:t>
      </w:r>
    </w:p>
    <w:p w:rsidR="00B72047" w:rsidRDefault="00B72047">
      <w:pPr>
        <w:pStyle w:val="Index1"/>
        <w:rPr>
          <w:noProof/>
        </w:rPr>
      </w:pPr>
      <w:r>
        <w:rPr>
          <w:noProof/>
        </w:rPr>
        <w:t>parts of speech, 50</w:t>
      </w:r>
    </w:p>
    <w:p w:rsidR="00B72047" w:rsidRDefault="00B72047">
      <w:pPr>
        <w:pStyle w:val="Index1"/>
        <w:rPr>
          <w:noProof/>
        </w:rPr>
      </w:pPr>
      <w:r>
        <w:rPr>
          <w:noProof/>
        </w:rPr>
        <w:t>passive voice, 16</w:t>
      </w:r>
    </w:p>
    <w:p w:rsidR="00B72047" w:rsidRDefault="00B72047">
      <w:pPr>
        <w:pStyle w:val="Index1"/>
        <w:rPr>
          <w:noProof/>
        </w:rPr>
      </w:pPr>
      <w:r>
        <w:rPr>
          <w:noProof/>
        </w:rPr>
        <w:t>past event: possible extension into present, 223</w:t>
      </w:r>
    </w:p>
    <w:p w:rsidR="00B72047" w:rsidRDefault="00B72047">
      <w:pPr>
        <w:pStyle w:val="Index1"/>
        <w:rPr>
          <w:noProof/>
        </w:rPr>
      </w:pPr>
      <w:r>
        <w:rPr>
          <w:noProof/>
        </w:rPr>
        <w:t>pastward: as a spatial tense, 224</w:t>
      </w:r>
    </w:p>
    <w:p w:rsidR="00B72047" w:rsidRDefault="00B72047">
      <w:pPr>
        <w:pStyle w:val="Index1"/>
        <w:rPr>
          <w:noProof/>
        </w:rPr>
      </w:pPr>
      <w:r>
        <w:rPr>
          <w:noProof/>
        </w:rPr>
        <w:t>paternal grandmother: example, 55</w:t>
      </w:r>
    </w:p>
    <w:p w:rsidR="00B72047" w:rsidRDefault="00B72047">
      <w:pPr>
        <w:pStyle w:val="Index1"/>
        <w:rPr>
          <w:noProof/>
        </w:rPr>
      </w:pPr>
      <w:r>
        <w:rPr>
          <w:noProof/>
        </w:rPr>
        <w:t>pau, 322; placement in sentence, 322</w:t>
      </w:r>
    </w:p>
    <w:p w:rsidR="00B72047" w:rsidRDefault="00B72047">
      <w:pPr>
        <w:pStyle w:val="Index1"/>
        <w:rPr>
          <w:noProof/>
        </w:rPr>
      </w:pPr>
      <w:r>
        <w:rPr>
          <w:noProof/>
        </w:rPr>
        <w:t>paunai, 322</w:t>
      </w:r>
    </w:p>
    <w:p w:rsidR="00B72047" w:rsidRDefault="00B72047">
      <w:pPr>
        <w:pStyle w:val="Index1"/>
        <w:rPr>
          <w:noProof/>
        </w:rPr>
      </w:pPr>
      <w:r>
        <w:rPr>
          <w:noProof/>
        </w:rPr>
        <w:t>pausative event contour, 228</w:t>
      </w:r>
    </w:p>
    <w:p w:rsidR="00B72047" w:rsidRDefault="00B72047">
      <w:pPr>
        <w:pStyle w:val="Index1"/>
        <w:rPr>
          <w:noProof/>
        </w:rPr>
      </w:pPr>
      <w:r>
        <w:rPr>
          <w:noProof/>
        </w:rPr>
        <w:t>pause: and cmene, 68; and consonant-final words, 68; and Cy-form cmavo, 69; and final-syllable stress, 69; and non-Lojban text, 69; and vowel-initial words, 68; between words, 68; contrasted with stop, 229; contrasted with syllable break, 32; proscribed within words, 68; representation of in Lojban, 31; requirement between stressed syllables, 52; symbol for, 416; word for, 416</w:t>
      </w:r>
    </w:p>
    <w:p w:rsidR="00B72047" w:rsidRDefault="00B72047">
      <w:pPr>
        <w:pStyle w:val="Index1"/>
        <w:rPr>
          <w:noProof/>
        </w:rPr>
      </w:pPr>
      <w:r>
        <w:rPr>
          <w:noProof/>
        </w:rPr>
        <w:t>pause before name: effect of doi, 323; effect of vocatives of COI, 323</w:t>
      </w:r>
    </w:p>
    <w:p w:rsidR="00B72047" w:rsidRDefault="00B72047">
      <w:pPr>
        <w:pStyle w:val="Index1"/>
        <w:rPr>
          <w:noProof/>
        </w:rPr>
      </w:pPr>
      <w:r>
        <w:rPr>
          <w:noProof/>
        </w:rPr>
        <w:t>pauses: before vowels, 52; rules for, 68</w:t>
      </w:r>
    </w:p>
    <w:p w:rsidR="00B72047" w:rsidRDefault="00B72047">
      <w:pPr>
        <w:pStyle w:val="Index1"/>
        <w:rPr>
          <w:noProof/>
        </w:rPr>
      </w:pPr>
      <w:r>
        <w:rPr>
          <w:noProof/>
        </w:rPr>
        <w:t>pe, 172, 180, 203; as loose association, 172; compared with ne, 174; compared with poi ke'a srana, 172; contrasted with po, 173</w:t>
      </w:r>
    </w:p>
    <w:p w:rsidR="00B72047" w:rsidRDefault="00B72047">
      <w:pPr>
        <w:pStyle w:val="Index1"/>
        <w:rPr>
          <w:noProof/>
        </w:rPr>
      </w:pPr>
      <w:r>
        <w:rPr>
          <w:noProof/>
        </w:rPr>
        <w:t>pe'a, 322</w:t>
      </w:r>
    </w:p>
    <w:p w:rsidR="00B72047" w:rsidRDefault="00B72047">
      <w:pPr>
        <w:pStyle w:val="Index1"/>
        <w:rPr>
          <w:noProof/>
        </w:rPr>
      </w:pPr>
      <w:r>
        <w:rPr>
          <w:noProof/>
        </w:rPr>
        <w:t>peace symbol, 425</w:t>
      </w:r>
    </w:p>
    <w:p w:rsidR="00B72047" w:rsidRDefault="00B72047">
      <w:pPr>
        <w:pStyle w:val="Index1"/>
        <w:rPr>
          <w:noProof/>
        </w:rPr>
      </w:pPr>
      <w:r>
        <w:rPr>
          <w:noProof/>
        </w:rPr>
        <w:t>pe'anai, 322</w:t>
      </w:r>
    </w:p>
    <w:p w:rsidR="00B72047" w:rsidRDefault="00B72047">
      <w:pPr>
        <w:pStyle w:val="Index1"/>
        <w:rPr>
          <w:noProof/>
        </w:rPr>
      </w:pPr>
      <w:r>
        <w:rPr>
          <w:noProof/>
        </w:rPr>
        <w:t>pe'e, 347</w:t>
      </w:r>
    </w:p>
    <w:p w:rsidR="00B72047" w:rsidRDefault="00B72047">
      <w:pPr>
        <w:pStyle w:val="Index1"/>
        <w:rPr>
          <w:noProof/>
        </w:rPr>
      </w:pPr>
      <w:r>
        <w:rPr>
          <w:noProof/>
        </w:rPr>
        <w:t>PEhE selma’o, 347, 503</w:t>
      </w:r>
    </w:p>
    <w:p w:rsidR="00B72047" w:rsidRDefault="00B72047">
      <w:pPr>
        <w:pStyle w:val="Index1"/>
        <w:rPr>
          <w:noProof/>
        </w:rPr>
      </w:pPr>
      <w:r>
        <w:rPr>
          <w:noProof/>
        </w:rPr>
        <w:t>PEhO selma’o, 503; terminator for, 497</w:t>
      </w:r>
    </w:p>
    <w:p w:rsidR="00B72047" w:rsidRDefault="00B72047">
      <w:pPr>
        <w:pStyle w:val="Index1"/>
        <w:rPr>
          <w:noProof/>
        </w:rPr>
      </w:pPr>
      <w:r>
        <w:rPr>
          <w:noProof/>
        </w:rPr>
        <w:t>pe'i, 317</w:t>
      </w:r>
    </w:p>
    <w:p w:rsidR="00B72047" w:rsidRDefault="00B72047">
      <w:pPr>
        <w:pStyle w:val="Index1"/>
        <w:rPr>
          <w:noProof/>
        </w:rPr>
      </w:pPr>
      <w:r>
        <w:rPr>
          <w:noProof/>
        </w:rPr>
        <w:t>pe'ipei, 317</w:t>
      </w:r>
    </w:p>
    <w:p w:rsidR="00B72047" w:rsidRDefault="00B72047">
      <w:pPr>
        <w:pStyle w:val="Index1"/>
        <w:rPr>
          <w:noProof/>
        </w:rPr>
      </w:pPr>
      <w:r>
        <w:rPr>
          <w:noProof/>
        </w:rPr>
        <w:t>pe'o, 439</w:t>
      </w:r>
    </w:p>
    <w:p w:rsidR="00B72047" w:rsidRDefault="00B72047">
      <w:pPr>
        <w:pStyle w:val="Index1"/>
        <w:rPr>
          <w:noProof/>
        </w:rPr>
      </w:pPr>
      <w:r>
        <w:rPr>
          <w:noProof/>
        </w:rPr>
        <w:t>pei, 313</w:t>
      </w:r>
    </w:p>
    <w:p w:rsidR="00B72047" w:rsidRDefault="00B72047">
      <w:pPr>
        <w:pStyle w:val="Index1"/>
        <w:rPr>
          <w:noProof/>
        </w:rPr>
      </w:pPr>
      <w:r>
        <w:rPr>
          <w:noProof/>
        </w:rPr>
        <w:t>percent: as numerical punctuation, 433</w:t>
      </w:r>
    </w:p>
    <w:p w:rsidR="00B72047" w:rsidRDefault="00B72047">
      <w:pPr>
        <w:pStyle w:val="Index1"/>
        <w:rPr>
          <w:noProof/>
        </w:rPr>
      </w:pPr>
      <w:r>
        <w:rPr>
          <w:noProof/>
        </w:rPr>
        <w:t>perfective event contour, 228</w:t>
      </w:r>
    </w:p>
    <w:p w:rsidR="00B72047" w:rsidRDefault="00B72047">
      <w:pPr>
        <w:pStyle w:val="Index1"/>
        <w:rPr>
          <w:noProof/>
        </w:rPr>
      </w:pPr>
      <w:r>
        <w:rPr>
          <w:noProof/>
        </w:rPr>
        <w:t>perils of omitting terminators, 102</w:t>
      </w:r>
    </w:p>
    <w:p w:rsidR="00B72047" w:rsidRDefault="00B72047">
      <w:pPr>
        <w:pStyle w:val="Index1"/>
        <w:rPr>
          <w:noProof/>
        </w:rPr>
      </w:pPr>
      <w:r>
        <w:rPr>
          <w:noProof/>
        </w:rPr>
        <w:t>period: definition of, 31; example of, 32; optional, 32; quick-tour version, 12; within a word, 32</w:t>
      </w:r>
    </w:p>
    <w:p w:rsidR="00B72047" w:rsidRDefault="00B72047">
      <w:pPr>
        <w:pStyle w:val="Index1"/>
        <w:rPr>
          <w:noProof/>
        </w:rPr>
      </w:pPr>
      <w:r>
        <w:rPr>
          <w:noProof/>
        </w:rPr>
        <w:t>permissions notice, 8</w:t>
      </w:r>
    </w:p>
    <w:p w:rsidR="00B72047" w:rsidRDefault="00B72047">
      <w:pPr>
        <w:pStyle w:val="Index1"/>
        <w:rPr>
          <w:noProof/>
        </w:rPr>
      </w:pPr>
      <w:r>
        <w:rPr>
          <w:noProof/>
        </w:rPr>
        <w:t>Persian rug: example, 60</w:t>
      </w:r>
    </w:p>
    <w:p w:rsidR="00B72047" w:rsidRDefault="00B72047">
      <w:pPr>
        <w:pStyle w:val="Index1"/>
        <w:rPr>
          <w:noProof/>
        </w:rPr>
      </w:pPr>
      <w:r>
        <w:rPr>
          <w:noProof/>
        </w:rPr>
        <w:t>personal pronouns: with ko'a-series for he/she/it/they, 150; with mi-series for I/you, 146</w:t>
      </w:r>
    </w:p>
    <w:p w:rsidR="00B72047" w:rsidRDefault="00B72047">
      <w:pPr>
        <w:pStyle w:val="Index1"/>
        <w:rPr>
          <w:noProof/>
        </w:rPr>
      </w:pPr>
      <w:r>
        <w:rPr>
          <w:noProof/>
        </w:rPr>
        <w:t>personal pronouns for he/she/it/they: English contrasted with Lojban in organization, 150</w:t>
      </w:r>
    </w:p>
    <w:p w:rsidR="00B72047" w:rsidRDefault="00B72047">
      <w:pPr>
        <w:pStyle w:val="Index1"/>
        <w:rPr>
          <w:noProof/>
        </w:rPr>
      </w:pPr>
      <w:r>
        <w:rPr>
          <w:noProof/>
        </w:rPr>
        <w:t>personal pro-sumti, 139; implicit cancellation of by change of speaker/listener, 162; implicit quantifier for, 128, 139; stability of, 162</w:t>
      </w:r>
    </w:p>
    <w:p w:rsidR="00B72047" w:rsidRDefault="00B72047">
      <w:pPr>
        <w:pStyle w:val="Index1"/>
        <w:rPr>
          <w:noProof/>
        </w:rPr>
      </w:pPr>
      <w:r>
        <w:rPr>
          <w:noProof/>
        </w:rPr>
        <w:t>person's arm: example, 173</w:t>
      </w:r>
    </w:p>
    <w:p w:rsidR="00B72047" w:rsidRDefault="00B72047">
      <w:pPr>
        <w:pStyle w:val="Index1"/>
        <w:rPr>
          <w:noProof/>
        </w:rPr>
      </w:pPr>
      <w:r>
        <w:rPr>
          <w:noProof/>
        </w:rPr>
        <w:t>Pete: example, 65</w:t>
      </w:r>
    </w:p>
    <w:p w:rsidR="00B72047" w:rsidRDefault="00B72047">
      <w:pPr>
        <w:pStyle w:val="Index1"/>
        <w:rPr>
          <w:noProof/>
        </w:rPr>
      </w:pPr>
      <w:r>
        <w:rPr>
          <w:noProof/>
        </w:rPr>
        <w:t>pe'u, 324; contrasted with e'o, 324</w:t>
      </w:r>
    </w:p>
    <w:p w:rsidR="00B72047" w:rsidRDefault="00B72047">
      <w:pPr>
        <w:pStyle w:val="Index1"/>
        <w:rPr>
          <w:noProof/>
        </w:rPr>
      </w:pPr>
      <w:r>
        <w:rPr>
          <w:noProof/>
        </w:rPr>
        <w:t>Pheidippides, 258</w:t>
      </w:r>
    </w:p>
    <w:p w:rsidR="00B72047" w:rsidRDefault="00B72047">
      <w:pPr>
        <w:pStyle w:val="Index1"/>
        <w:rPr>
          <w:noProof/>
        </w:rPr>
      </w:pPr>
      <w:r>
        <w:rPr>
          <w:noProof/>
        </w:rPr>
        <w:t>phoneme stream, 477</w:t>
      </w:r>
    </w:p>
    <w:p w:rsidR="00B72047" w:rsidRDefault="00B72047">
      <w:pPr>
        <w:pStyle w:val="Index1"/>
        <w:rPr>
          <w:noProof/>
        </w:rPr>
      </w:pPr>
      <w:r>
        <w:rPr>
          <w:noProof/>
        </w:rPr>
        <w:t>phonetic alphabet, 29; proposed lerfu words for, 429</w:t>
      </w:r>
    </w:p>
    <w:p w:rsidR="00B72047" w:rsidRDefault="00B72047">
      <w:pPr>
        <w:pStyle w:val="Index1"/>
        <w:rPr>
          <w:noProof/>
        </w:rPr>
      </w:pPr>
      <w:r>
        <w:rPr>
          <w:noProof/>
        </w:rPr>
        <w:t>physical distress: example, 307</w:t>
      </w:r>
    </w:p>
    <w:p w:rsidR="00B72047" w:rsidRDefault="00B72047">
      <w:pPr>
        <w:pStyle w:val="Index1"/>
        <w:rPr>
          <w:noProof/>
        </w:rPr>
      </w:pPr>
      <w:r>
        <w:rPr>
          <w:noProof/>
        </w:rPr>
        <w:t>pi, 130, 433, 441, 442, 444; effect on indefinite numbers, 441</w:t>
      </w:r>
    </w:p>
    <w:p w:rsidR="00B72047" w:rsidRDefault="00B72047">
      <w:pPr>
        <w:pStyle w:val="Index1"/>
        <w:rPr>
          <w:noProof/>
        </w:rPr>
      </w:pPr>
      <w:r>
        <w:rPr>
          <w:noProof/>
        </w:rPr>
        <w:t>pi'a, 452</w:t>
      </w:r>
    </w:p>
    <w:p w:rsidR="00B72047" w:rsidRDefault="00B72047">
      <w:pPr>
        <w:pStyle w:val="Index1"/>
        <w:rPr>
          <w:noProof/>
        </w:rPr>
      </w:pPr>
      <w:r>
        <w:rPr>
          <w:noProof/>
        </w:rPr>
        <w:t>piano-moving: example, 123</w:t>
      </w:r>
    </w:p>
    <w:p w:rsidR="00B72047" w:rsidRDefault="00B72047">
      <w:pPr>
        <w:pStyle w:val="Index1"/>
        <w:rPr>
          <w:noProof/>
        </w:rPr>
      </w:pPr>
      <w:r>
        <w:rPr>
          <w:noProof/>
        </w:rPr>
        <w:t>pictures: captions to, 7; credits for, 6</w:t>
      </w:r>
    </w:p>
    <w:p w:rsidR="00B72047" w:rsidRDefault="00B72047">
      <w:pPr>
        <w:pStyle w:val="Index1"/>
        <w:rPr>
          <w:noProof/>
        </w:rPr>
      </w:pPr>
      <w:r>
        <w:rPr>
          <w:noProof/>
        </w:rPr>
        <w:t>pi'e, 445</w:t>
      </w:r>
    </w:p>
    <w:p w:rsidR="00B72047" w:rsidRDefault="00B72047">
      <w:pPr>
        <w:pStyle w:val="Index1"/>
        <w:rPr>
          <w:noProof/>
        </w:rPr>
      </w:pPr>
      <w:r>
        <w:rPr>
          <w:noProof/>
        </w:rPr>
        <w:t>pi'i, 436</w:t>
      </w:r>
    </w:p>
    <w:p w:rsidR="00B72047" w:rsidRDefault="00B72047">
      <w:pPr>
        <w:pStyle w:val="Index1"/>
        <w:rPr>
          <w:noProof/>
        </w:rPr>
      </w:pPr>
      <w:r>
        <w:rPr>
          <w:noProof/>
        </w:rPr>
        <w:t>pinyin: as a basis for Chinese characters in Lojban lerfu words, 420</w:t>
      </w:r>
    </w:p>
    <w:p w:rsidR="00B72047" w:rsidRDefault="00B72047">
      <w:pPr>
        <w:pStyle w:val="Index1"/>
        <w:rPr>
          <w:noProof/>
        </w:rPr>
      </w:pPr>
      <w:r>
        <w:rPr>
          <w:noProof/>
        </w:rPr>
        <w:t>pi'o, 195</w:t>
      </w:r>
    </w:p>
    <w:p w:rsidR="00B72047" w:rsidRDefault="00B72047">
      <w:pPr>
        <w:pStyle w:val="Index1"/>
        <w:rPr>
          <w:noProof/>
        </w:rPr>
      </w:pPr>
      <w:r>
        <w:rPr>
          <w:noProof/>
        </w:rPr>
        <w:t>piro, 130; explanation of meaning, 130</w:t>
      </w:r>
    </w:p>
    <w:p w:rsidR="00B72047" w:rsidRDefault="00B72047">
      <w:pPr>
        <w:pStyle w:val="Index1"/>
        <w:rPr>
          <w:noProof/>
        </w:rPr>
      </w:pPr>
      <w:r>
        <w:rPr>
          <w:noProof/>
        </w:rPr>
        <w:t>pisu'o: explanation of meaning, 130</w:t>
      </w:r>
    </w:p>
    <w:p w:rsidR="00B72047" w:rsidRDefault="00B72047">
      <w:pPr>
        <w:pStyle w:val="Index1"/>
        <w:rPr>
          <w:noProof/>
        </w:rPr>
      </w:pPr>
      <w:r>
        <w:rPr>
          <w:noProof/>
        </w:rPr>
        <w:t>pi'u, 246, 354, 356; contrasted with .e, 357; use in connecting tenses, 246</w:t>
      </w:r>
    </w:p>
    <w:p w:rsidR="00B72047" w:rsidRDefault="00B72047">
      <w:pPr>
        <w:pStyle w:val="Index1"/>
        <w:rPr>
          <w:noProof/>
        </w:rPr>
      </w:pPr>
      <w:r>
        <w:rPr>
          <w:noProof/>
        </w:rPr>
        <w:t>place number: specifying, 493</w:t>
      </w:r>
    </w:p>
    <w:p w:rsidR="00B72047" w:rsidRDefault="00B72047">
      <w:pPr>
        <w:pStyle w:val="Index1"/>
        <w:rPr>
          <w:noProof/>
        </w:rPr>
      </w:pPr>
      <w:r>
        <w:rPr>
          <w:noProof/>
        </w:rPr>
        <w:t>place of eating: example, 247</w:t>
      </w:r>
    </w:p>
    <w:p w:rsidR="00B72047" w:rsidRDefault="00B72047">
      <w:pPr>
        <w:pStyle w:val="Index1"/>
        <w:rPr>
          <w:noProof/>
        </w:rPr>
      </w:pPr>
      <w:r>
        <w:rPr>
          <w:noProof/>
        </w:rPr>
        <w:t>place structure: adding new places to with modal sumti, 194; definition, 12, 187; effect of FA on, 190; effect of modal conversion on, 206; empty slots in, 187; explicitly mapping sumti to place with FA, 190; gismu, 294; instability of, 187; leaving a sumti place unspecified in with zo'e, 189; notation conventions, 187; omitting places with FA, 190; omitting places with zo'e, 189; re-ordering by conversion, 100</w:t>
      </w:r>
    </w:p>
    <w:p w:rsidR="00B72047" w:rsidRDefault="00B72047">
      <w:pPr>
        <w:pStyle w:val="Index1"/>
        <w:rPr>
          <w:noProof/>
        </w:rPr>
      </w:pPr>
      <w:r>
        <w:rPr>
          <w:noProof/>
        </w:rPr>
        <w:t>place structure and tanru inversion, 95</w:t>
      </w:r>
    </w:p>
    <w:p w:rsidR="00B72047" w:rsidRDefault="00B72047">
      <w:pPr>
        <w:pStyle w:val="Index1"/>
        <w:rPr>
          <w:noProof/>
        </w:rPr>
      </w:pPr>
      <w:r>
        <w:rPr>
          <w:noProof/>
        </w:rPr>
        <w:t>place structure of selbri: determining, 187</w:t>
      </w:r>
    </w:p>
    <w:p w:rsidR="00B72047" w:rsidRDefault="00B72047">
      <w:pPr>
        <w:pStyle w:val="Index1"/>
        <w:rPr>
          <w:noProof/>
        </w:rPr>
      </w:pPr>
      <w:r>
        <w:rPr>
          <w:noProof/>
        </w:rPr>
        <w:t>place structure order: effect of FA on, 190</w:t>
      </w:r>
    </w:p>
    <w:p w:rsidR="00B72047" w:rsidRDefault="00B72047">
      <w:pPr>
        <w:pStyle w:val="Index1"/>
        <w:rPr>
          <w:noProof/>
        </w:rPr>
      </w:pPr>
      <w:r>
        <w:rPr>
          <w:noProof/>
        </w:rPr>
        <w:t>place structure questions, 191</w:t>
      </w:r>
    </w:p>
    <w:p w:rsidR="00B72047" w:rsidRDefault="00B72047">
      <w:pPr>
        <w:pStyle w:val="Index1"/>
        <w:rPr>
          <w:noProof/>
        </w:rPr>
      </w:pPr>
      <w:r>
        <w:rPr>
          <w:noProof/>
        </w:rPr>
        <w:t>plant grows: example, 197, 207</w:t>
      </w:r>
    </w:p>
    <w:p w:rsidR="00B72047" w:rsidRDefault="00B72047">
      <w:pPr>
        <w:pStyle w:val="Index1"/>
        <w:rPr>
          <w:noProof/>
        </w:rPr>
      </w:pPr>
      <w:r>
        <w:rPr>
          <w:noProof/>
        </w:rPr>
        <w:t>plants: use of fu'ivla for specific, 61</w:t>
      </w:r>
    </w:p>
    <w:p w:rsidR="00B72047" w:rsidRDefault="00B72047">
      <w:pPr>
        <w:pStyle w:val="Index1"/>
        <w:rPr>
          <w:noProof/>
        </w:rPr>
      </w:pPr>
      <w:r>
        <w:rPr>
          <w:noProof/>
        </w:rPr>
        <w:t>plausibility: in abbreviated lujvo, 284</w:t>
      </w:r>
    </w:p>
    <w:p w:rsidR="00B72047" w:rsidRDefault="00B72047">
      <w:pPr>
        <w:pStyle w:val="Index1"/>
        <w:rPr>
          <w:noProof/>
        </w:rPr>
      </w:pPr>
      <w:r>
        <w:rPr>
          <w:noProof/>
        </w:rPr>
        <w:t>playgrounds, 281</w:t>
      </w:r>
    </w:p>
    <w:p w:rsidR="00B72047" w:rsidRDefault="00B72047">
      <w:pPr>
        <w:pStyle w:val="Index1"/>
        <w:rPr>
          <w:noProof/>
        </w:rPr>
      </w:pPr>
      <w:r>
        <w:rPr>
          <w:noProof/>
        </w:rPr>
        <w:t>pleases, 20</w:t>
      </w:r>
    </w:p>
    <w:p w:rsidR="00B72047" w:rsidRDefault="00B72047">
      <w:pPr>
        <w:pStyle w:val="Index1"/>
        <w:rPr>
          <w:noProof/>
        </w:rPr>
      </w:pPr>
      <w:r>
        <w:rPr>
          <w:noProof/>
        </w:rPr>
        <w:t>plural: Lojban contrasted with English in necessity of marking, 120; Lojban equivalent of, 443; meaning of le with, 123</w:t>
      </w:r>
    </w:p>
    <w:p w:rsidR="00B72047" w:rsidRDefault="00B72047">
      <w:pPr>
        <w:pStyle w:val="Index1"/>
        <w:rPr>
          <w:noProof/>
        </w:rPr>
      </w:pPr>
      <w:r>
        <w:rPr>
          <w:noProof/>
        </w:rPr>
        <w:t>plural masses: possible use for, 130</w:t>
      </w:r>
    </w:p>
    <w:p w:rsidR="00B72047" w:rsidRDefault="00B72047">
      <w:pPr>
        <w:pStyle w:val="Index1"/>
        <w:rPr>
          <w:noProof/>
        </w:rPr>
      </w:pPr>
      <w:r>
        <w:rPr>
          <w:noProof/>
        </w:rPr>
        <w:t>plus negative of: example, 438</w:t>
      </w:r>
    </w:p>
    <w:p w:rsidR="00B72047" w:rsidRDefault="00B72047">
      <w:pPr>
        <w:pStyle w:val="Index1"/>
        <w:rPr>
          <w:noProof/>
        </w:rPr>
      </w:pPr>
      <w:r>
        <w:rPr>
          <w:noProof/>
        </w:rPr>
        <w:t>pluta, 193; contrasted with ve klama, 193</w:t>
      </w:r>
    </w:p>
    <w:p w:rsidR="00B72047" w:rsidRDefault="00B72047">
      <w:pPr>
        <w:pStyle w:val="Index1"/>
        <w:rPr>
          <w:noProof/>
        </w:rPr>
      </w:pPr>
      <w:r>
        <w:rPr>
          <w:noProof/>
        </w:rPr>
        <w:t>po, 173; as restrictive possession, 173; compared with poi ke'a se steci srana, 173; contrasted with English possession, 173; contrasted with pe, 173; contrasted with po'e, 173</w:t>
      </w:r>
    </w:p>
    <w:p w:rsidR="00B72047" w:rsidRDefault="00B72047">
      <w:pPr>
        <w:pStyle w:val="Index1"/>
        <w:rPr>
          <w:noProof/>
        </w:rPr>
      </w:pPr>
      <w:r>
        <w:rPr>
          <w:noProof/>
        </w:rPr>
        <w:t>po'e, 173; as intrinsic possession, 173; compared with poi ke'a jinzi ke se steci srana, 173; contrasted with po, 173</w:t>
      </w:r>
    </w:p>
    <w:p w:rsidR="00B72047" w:rsidRDefault="00B72047">
      <w:pPr>
        <w:pStyle w:val="Index1"/>
        <w:rPr>
          <w:noProof/>
        </w:rPr>
      </w:pPr>
      <w:r>
        <w:rPr>
          <w:noProof/>
        </w:rPr>
        <w:t>point: event considered as, 230</w:t>
      </w:r>
    </w:p>
    <w:p w:rsidR="00B72047" w:rsidRDefault="00B72047">
      <w:pPr>
        <w:pStyle w:val="Index1"/>
        <w:rPr>
          <w:noProof/>
        </w:rPr>
      </w:pPr>
      <w:r>
        <w:rPr>
          <w:noProof/>
        </w:rPr>
        <w:t>point-event abstraction: place structure, 259</w:t>
      </w:r>
    </w:p>
    <w:p w:rsidR="00B72047" w:rsidRDefault="00B72047">
      <w:pPr>
        <w:pStyle w:val="Index1"/>
        <w:rPr>
          <w:noProof/>
        </w:rPr>
      </w:pPr>
      <w:r>
        <w:rPr>
          <w:noProof/>
        </w:rPr>
        <w:t>point-event abstraction(s): definition, 258; related tense contours, 269</w:t>
      </w:r>
    </w:p>
    <w:p w:rsidR="00B72047" w:rsidRDefault="00B72047">
      <w:pPr>
        <w:pStyle w:val="Index1"/>
        <w:rPr>
          <w:noProof/>
        </w:rPr>
      </w:pPr>
      <w:r>
        <w:rPr>
          <w:noProof/>
        </w:rPr>
        <w:t>point-event abstractor, 258</w:t>
      </w:r>
    </w:p>
    <w:p w:rsidR="00B72047" w:rsidRDefault="00B72047">
      <w:pPr>
        <w:pStyle w:val="Index1"/>
        <w:rPr>
          <w:noProof/>
        </w:rPr>
      </w:pPr>
      <w:r>
        <w:rPr>
          <w:noProof/>
        </w:rPr>
        <w:t>pointing cmavo: quick-tour version, 13</w:t>
      </w:r>
    </w:p>
    <w:p w:rsidR="00B72047" w:rsidRDefault="00B72047">
      <w:pPr>
        <w:pStyle w:val="Index1"/>
        <w:rPr>
          <w:noProof/>
        </w:rPr>
      </w:pPr>
      <w:r>
        <w:rPr>
          <w:noProof/>
        </w:rPr>
        <w:t>police lineup, 449</w:t>
      </w:r>
    </w:p>
    <w:p w:rsidR="00B72047" w:rsidRDefault="00B72047">
      <w:pPr>
        <w:pStyle w:val="Index1"/>
        <w:rPr>
          <w:noProof/>
        </w:rPr>
      </w:pPr>
      <w:r>
        <w:rPr>
          <w:noProof/>
        </w:rPr>
        <w:t>Polish notation: and mekso goals, 431; and use of boi, 438; definition, 438; end-of-operands indicator, 438; explicitly marking as, 439; operands with infix expressions, 439; operator …ku'e compared with parenthesization, 438; separating operands in, 438; vei …ve'o contrasted with operator …ku'e, 438</w:t>
      </w:r>
    </w:p>
    <w:p w:rsidR="00B72047" w:rsidRDefault="00B72047">
      <w:pPr>
        <w:pStyle w:val="Index1"/>
        <w:rPr>
          <w:noProof/>
        </w:rPr>
      </w:pPr>
      <w:r>
        <w:rPr>
          <w:noProof/>
        </w:rPr>
        <w:t>Polish notation mixed with infix, 455; example, 455</w:t>
      </w:r>
    </w:p>
    <w:p w:rsidR="00B72047" w:rsidRDefault="00B72047">
      <w:pPr>
        <w:pStyle w:val="Index1"/>
        <w:rPr>
          <w:noProof/>
        </w:rPr>
      </w:pPr>
      <w:r>
        <w:rPr>
          <w:noProof/>
        </w:rPr>
        <w:t>politeness: thank you and you're welcome, 324; you're welcome, 324, 325</w:t>
      </w:r>
    </w:p>
    <w:p w:rsidR="00B72047" w:rsidRDefault="00B72047">
      <w:pPr>
        <w:pStyle w:val="Index1"/>
        <w:rPr>
          <w:noProof/>
        </w:rPr>
      </w:pPr>
      <w:r>
        <w:rPr>
          <w:noProof/>
        </w:rPr>
        <w:t>po'o, 317; placement in sentence, 318</w:t>
      </w:r>
    </w:p>
    <w:p w:rsidR="00B72047" w:rsidRDefault="00B72047">
      <w:pPr>
        <w:pStyle w:val="Index1"/>
        <w:rPr>
          <w:noProof/>
        </w:rPr>
      </w:pPr>
      <w:r>
        <w:rPr>
          <w:noProof/>
        </w:rPr>
        <w:t>poi, 169, 203, 394, 396; contrasted with voi in veridicality, 177; discussion of translation, 170; dropping from multiple appearances on logical variables, 396; syntax of, 169</w:t>
      </w:r>
    </w:p>
    <w:p w:rsidR="00B72047" w:rsidRDefault="00B72047">
      <w:pPr>
        <w:pStyle w:val="Index1"/>
        <w:rPr>
          <w:noProof/>
        </w:rPr>
      </w:pPr>
      <w:r>
        <w:rPr>
          <w:noProof/>
        </w:rPr>
        <w:t>pointing: reference by, 147</w:t>
      </w:r>
    </w:p>
    <w:p w:rsidR="00B72047" w:rsidRDefault="00B72047">
      <w:pPr>
        <w:pStyle w:val="Index1"/>
        <w:rPr>
          <w:noProof/>
        </w:rPr>
      </w:pPr>
      <w:r>
        <w:rPr>
          <w:noProof/>
        </w:rPr>
        <w:t>portion: on set contrasted with on individual, 131</w:t>
      </w:r>
    </w:p>
    <w:p w:rsidR="00B72047" w:rsidRDefault="00B72047">
      <w:pPr>
        <w:pStyle w:val="Index1"/>
        <w:rPr>
          <w:noProof/>
        </w:rPr>
      </w:pPr>
      <w:r>
        <w:rPr>
          <w:noProof/>
        </w:rPr>
        <w:t>portion of whole: expressing, 441</w:t>
      </w:r>
    </w:p>
    <w:p w:rsidR="00B72047" w:rsidRDefault="00B72047">
      <w:pPr>
        <w:pStyle w:val="Index1"/>
        <w:rPr>
          <w:noProof/>
        </w:rPr>
      </w:pPr>
      <w:r>
        <w:rPr>
          <w:noProof/>
        </w:rPr>
        <w:t>portion selbri: definition, 447; place structure, 447; place structure effect from subjective numbers, 448</w:t>
      </w:r>
    </w:p>
    <w:p w:rsidR="00B72047" w:rsidRDefault="00B72047">
      <w:pPr>
        <w:pStyle w:val="Index1"/>
        <w:rPr>
          <w:noProof/>
        </w:rPr>
      </w:pPr>
      <w:r>
        <w:rPr>
          <w:noProof/>
        </w:rPr>
        <w:t>positive numbers: explicit expression, 432</w:t>
      </w:r>
    </w:p>
    <w:p w:rsidR="00B72047" w:rsidRDefault="00B72047">
      <w:pPr>
        <w:pStyle w:val="Index1"/>
        <w:rPr>
          <w:noProof/>
        </w:rPr>
      </w:pPr>
      <w:r>
        <w:rPr>
          <w:noProof/>
        </w:rPr>
        <w:t>positive sign: contrasted with addition operator, 436</w:t>
      </w:r>
    </w:p>
    <w:p w:rsidR="00B72047" w:rsidRDefault="00B72047">
      <w:pPr>
        <w:pStyle w:val="Index1"/>
        <w:rPr>
          <w:noProof/>
        </w:rPr>
      </w:pPr>
      <w:r>
        <w:rPr>
          <w:noProof/>
        </w:rPr>
        <w:t>possessed in relative phrases: compared with possessor, 174</w:t>
      </w:r>
    </w:p>
    <w:p w:rsidR="00B72047" w:rsidRDefault="00B72047">
      <w:pPr>
        <w:pStyle w:val="Index1"/>
        <w:rPr>
          <w:noProof/>
        </w:rPr>
      </w:pPr>
      <w:r>
        <w:rPr>
          <w:noProof/>
        </w:rPr>
        <w:t>possession: expressing with po, 173; intrinsic, expressing with po'e, 173; Lojban usage compared with French and German in omission/inclusion, 175; Lojban usage contrasted with English in omission/inclusion, 175; quick-tour version, 21</w:t>
      </w:r>
    </w:p>
    <w:p w:rsidR="00B72047" w:rsidRDefault="00B72047">
      <w:pPr>
        <w:pStyle w:val="Index1"/>
        <w:rPr>
          <w:noProof/>
        </w:rPr>
      </w:pPr>
      <w:r>
        <w:rPr>
          <w:noProof/>
        </w:rPr>
        <w:t>possession not ownership: quick-tour version, 21</w:t>
      </w:r>
    </w:p>
    <w:p w:rsidR="00B72047" w:rsidRDefault="00B72047">
      <w:pPr>
        <w:pStyle w:val="Index1"/>
        <w:rPr>
          <w:noProof/>
        </w:rPr>
      </w:pPr>
      <w:r>
        <w:rPr>
          <w:noProof/>
        </w:rPr>
        <w:t>possessive sumti: compared with relative phrase, 180; contrasted with relative phrases in complexity allowed, 180; definition, 180; effect on elidability of ku, 181; relative clauses on, 181; syntax allowed, 180; with relative clauses on possessive sumti, 181</w:t>
      </w:r>
    </w:p>
    <w:p w:rsidR="00B72047" w:rsidRDefault="00B72047">
      <w:pPr>
        <w:pStyle w:val="Index1"/>
        <w:rPr>
          <w:noProof/>
        </w:rPr>
      </w:pPr>
      <w:r>
        <w:rPr>
          <w:noProof/>
        </w:rPr>
        <w:t>possessive sumti and relative clauses: development history, 180</w:t>
      </w:r>
    </w:p>
    <w:p w:rsidR="00B72047" w:rsidRDefault="00B72047">
      <w:pPr>
        <w:pStyle w:val="Index1"/>
        <w:rPr>
          <w:noProof/>
        </w:rPr>
      </w:pPr>
      <w:r>
        <w:rPr>
          <w:noProof/>
        </w:rPr>
        <w:t>possessive sumti with relative clauses: effect of placement, 181</w:t>
      </w:r>
    </w:p>
    <w:p w:rsidR="00B72047" w:rsidRDefault="00B72047">
      <w:pPr>
        <w:pStyle w:val="Index1"/>
        <w:rPr>
          <w:noProof/>
        </w:rPr>
      </w:pPr>
      <w:r>
        <w:rPr>
          <w:noProof/>
        </w:rPr>
        <w:t>possessor in relative phrases: compared with possessed, 174</w:t>
      </w:r>
    </w:p>
    <w:p w:rsidR="00B72047" w:rsidRDefault="00B72047">
      <w:pPr>
        <w:pStyle w:val="Index1"/>
        <w:rPr>
          <w:noProof/>
        </w:rPr>
      </w:pPr>
      <w:r>
        <w:rPr>
          <w:noProof/>
        </w:rPr>
        <w:t>potential: expressing in past/future, 244</w:t>
      </w:r>
    </w:p>
    <w:p w:rsidR="00B72047" w:rsidRDefault="00B72047">
      <w:pPr>
        <w:pStyle w:val="Index1"/>
        <w:rPr>
          <w:noProof/>
        </w:rPr>
      </w:pPr>
      <w:r>
        <w:rPr>
          <w:noProof/>
        </w:rPr>
        <w:t>potential events: expressing implicitly, 243</w:t>
      </w:r>
    </w:p>
    <w:p w:rsidR="00B72047" w:rsidRDefault="00B72047">
      <w:pPr>
        <w:pStyle w:val="Index1"/>
        <w:rPr>
          <w:noProof/>
        </w:rPr>
      </w:pPr>
      <w:r>
        <w:rPr>
          <w:noProof/>
        </w:rPr>
        <w:t>po'u, 174; as identity, 174; compared with no'u, 174; compared with poi ke'a du, 174; contrasted with no'u, 175; relative phrase of contrasted with relativized sumti of, 174</w:t>
      </w:r>
    </w:p>
    <w:p w:rsidR="00B72047" w:rsidRDefault="00B72047">
      <w:pPr>
        <w:pStyle w:val="Index1"/>
        <w:rPr>
          <w:noProof/>
        </w:rPr>
      </w:pPr>
      <w:r>
        <w:rPr>
          <w:noProof/>
        </w:rPr>
        <w:t>prayer: example, 281, 290</w:t>
      </w:r>
    </w:p>
    <w:p w:rsidR="00B72047" w:rsidRDefault="00B72047">
      <w:pPr>
        <w:pStyle w:val="Index1"/>
        <w:rPr>
          <w:noProof/>
        </w:rPr>
      </w:pPr>
      <w:r>
        <w:rPr>
          <w:noProof/>
        </w:rPr>
        <w:t>precedence: mathematical default, 436</w:t>
      </w:r>
    </w:p>
    <w:p w:rsidR="00B72047" w:rsidRDefault="00B72047">
      <w:pPr>
        <w:pStyle w:val="Index1"/>
        <w:rPr>
          <w:noProof/>
        </w:rPr>
      </w:pPr>
      <w:r>
        <w:rPr>
          <w:noProof/>
        </w:rPr>
        <w:t>precise erasures, 483</w:t>
      </w:r>
    </w:p>
    <w:p w:rsidR="00B72047" w:rsidRDefault="00B72047">
      <w:pPr>
        <w:pStyle w:val="Index1"/>
        <w:rPr>
          <w:noProof/>
        </w:rPr>
      </w:pPr>
      <w:r>
        <w:rPr>
          <w:noProof/>
        </w:rPr>
        <w:t>predicate answers, 470</w:t>
      </w:r>
    </w:p>
    <w:p w:rsidR="00B72047" w:rsidRDefault="00B72047">
      <w:pPr>
        <w:pStyle w:val="Index1"/>
        <w:rPr>
          <w:noProof/>
        </w:rPr>
      </w:pPr>
      <w:r>
        <w:rPr>
          <w:noProof/>
        </w:rPr>
        <w:t>predication: as a relationship, 11; compared with bridi, 11</w:t>
      </w:r>
    </w:p>
    <w:p w:rsidR="00B72047" w:rsidRDefault="00B72047">
      <w:pPr>
        <w:pStyle w:val="Index1"/>
        <w:rPr>
          <w:noProof/>
        </w:rPr>
      </w:pPr>
      <w:r>
        <w:rPr>
          <w:noProof/>
        </w:rPr>
        <w:t>predication abstraction, 262</w:t>
      </w:r>
    </w:p>
    <w:p w:rsidR="00B72047" w:rsidRDefault="00B72047">
      <w:pPr>
        <w:pStyle w:val="Index1"/>
        <w:rPr>
          <w:noProof/>
        </w:rPr>
      </w:pPr>
      <w:r>
        <w:rPr>
          <w:noProof/>
        </w:rPr>
        <w:t>Preem Palver: example, 98</w:t>
      </w:r>
    </w:p>
    <w:p w:rsidR="00B72047" w:rsidRDefault="00B72047">
      <w:pPr>
        <w:pStyle w:val="Index1"/>
        <w:rPr>
          <w:noProof/>
        </w:rPr>
      </w:pPr>
      <w:r>
        <w:rPr>
          <w:noProof/>
        </w:rPr>
        <w:t>pregnant sister: example, 320</w:t>
      </w:r>
    </w:p>
    <w:p w:rsidR="00B72047" w:rsidRDefault="00B72047">
      <w:pPr>
        <w:pStyle w:val="Index1"/>
        <w:rPr>
          <w:noProof/>
        </w:rPr>
      </w:pPr>
      <w:r>
        <w:rPr>
          <w:noProof/>
        </w:rPr>
        <w:t>prenex: considerations for dropping, 395; dropping for terseness, 397; effect of order of variables in, 396; explanation, 392; internal to a bridi, 400; purpose of, 396; removing when numeric quantifiers present, 397; syntax of, 392; use for outer sumti reference, 185</w:t>
      </w:r>
    </w:p>
    <w:p w:rsidR="00B72047" w:rsidRDefault="00B72047">
      <w:pPr>
        <w:pStyle w:val="Index1"/>
        <w:rPr>
          <w:noProof/>
        </w:rPr>
      </w:pPr>
      <w:r>
        <w:rPr>
          <w:noProof/>
        </w:rPr>
        <w:t>prenex manipulation: exporting na from left of prenex, 405; importing na from selbri, 405; moving naku past bound variable, 405; rules, 405</w:t>
      </w:r>
    </w:p>
    <w:p w:rsidR="00B72047" w:rsidRDefault="00B72047">
      <w:pPr>
        <w:pStyle w:val="Index1"/>
        <w:rPr>
          <w:noProof/>
        </w:rPr>
      </w:pPr>
      <w:r>
        <w:rPr>
          <w:noProof/>
        </w:rPr>
        <w:t>prenex marker, 508</w:t>
      </w:r>
    </w:p>
    <w:p w:rsidR="00B72047" w:rsidRDefault="00B72047">
      <w:pPr>
        <w:pStyle w:val="Index1"/>
        <w:rPr>
          <w:noProof/>
        </w:rPr>
      </w:pPr>
      <w:r>
        <w:rPr>
          <w:noProof/>
        </w:rPr>
        <w:t>prenex scope: for sentences joined by .i, 410; for sentences joined by ijeks, 410; in abstractions, 410; in embedded bridi, 410; in relative clauses, 410; informal, 410</w:t>
      </w:r>
    </w:p>
    <w:p w:rsidR="00B72047" w:rsidRDefault="00B72047">
      <w:pPr>
        <w:pStyle w:val="Index1"/>
        <w:rPr>
          <w:noProof/>
        </w:rPr>
      </w:pPr>
      <w:r>
        <w:rPr>
          <w:noProof/>
        </w:rPr>
        <w:t>prepositions: cmavo as Lojban equivalents, 50</w:t>
      </w:r>
    </w:p>
    <w:p w:rsidR="00B72047" w:rsidRDefault="00B72047">
      <w:pPr>
        <w:pStyle w:val="Index1"/>
        <w:rPr>
          <w:noProof/>
        </w:rPr>
      </w:pPr>
      <w:r>
        <w:rPr>
          <w:noProof/>
        </w:rPr>
        <w:t>pretty: English ambiguity of, 87</w:t>
      </w:r>
    </w:p>
    <w:p w:rsidR="00B72047" w:rsidRDefault="00B72047">
      <w:pPr>
        <w:pStyle w:val="Index1"/>
        <w:rPr>
          <w:noProof/>
        </w:rPr>
      </w:pPr>
      <w:r>
        <w:rPr>
          <w:noProof/>
        </w:rPr>
        <w:t>pretty little girls' school: forty ways, examples, 112</w:t>
      </w:r>
    </w:p>
    <w:p w:rsidR="00B72047" w:rsidRDefault="00B72047">
      <w:pPr>
        <w:pStyle w:val="Index1"/>
        <w:rPr>
          <w:noProof/>
        </w:rPr>
      </w:pPr>
      <w:r>
        <w:rPr>
          <w:noProof/>
        </w:rPr>
        <w:t>previous topic, 467</w:t>
      </w:r>
    </w:p>
    <w:p w:rsidR="00B72047" w:rsidRDefault="00B72047">
      <w:pPr>
        <w:pStyle w:val="Index1"/>
        <w:rPr>
          <w:noProof/>
        </w:rPr>
      </w:pPr>
      <w:r>
        <w:rPr>
          <w:noProof/>
        </w:rPr>
        <w:t>pride of lions: example, 456</w:t>
      </w:r>
    </w:p>
    <w:p w:rsidR="00B72047" w:rsidRDefault="00B72047">
      <w:pPr>
        <w:pStyle w:val="Index1"/>
        <w:rPr>
          <w:noProof/>
        </w:rPr>
      </w:pPr>
      <w:r>
        <w:rPr>
          <w:noProof/>
        </w:rPr>
        <w:t>primitive roots: gismu as, 53</w:t>
      </w:r>
    </w:p>
    <w:p w:rsidR="00B72047" w:rsidRDefault="00B72047">
      <w:pPr>
        <w:pStyle w:val="Index1"/>
        <w:rPr>
          <w:noProof/>
        </w:rPr>
      </w:pPr>
      <w:r>
        <w:rPr>
          <w:noProof/>
        </w:rPr>
        <w:t>principle of consistency: of logical-if statements, 337</w:t>
      </w:r>
    </w:p>
    <w:p w:rsidR="00B72047" w:rsidRDefault="00B72047">
      <w:pPr>
        <w:pStyle w:val="Index1"/>
        <w:rPr>
          <w:noProof/>
        </w:rPr>
      </w:pPr>
      <w:r>
        <w:rPr>
          <w:noProof/>
        </w:rPr>
        <w:t>probability .5: example, 447</w:t>
      </w:r>
    </w:p>
    <w:p w:rsidR="00B72047" w:rsidRDefault="00B72047">
      <w:pPr>
        <w:pStyle w:val="Index1"/>
        <w:rPr>
          <w:noProof/>
        </w:rPr>
      </w:pPr>
      <w:r>
        <w:rPr>
          <w:noProof/>
        </w:rPr>
        <w:t>probability selbri: definition, 447; place structure, 447; place structure effect from subjective numbers, 448; values, 447</w:t>
      </w:r>
    </w:p>
    <w:p w:rsidR="00B72047" w:rsidRDefault="00B72047">
      <w:pPr>
        <w:pStyle w:val="Index1"/>
        <w:rPr>
          <w:noProof/>
        </w:rPr>
      </w:pPr>
      <w:r>
        <w:rPr>
          <w:noProof/>
        </w:rPr>
        <w:t>pro-bridi: as abbreviation for bridi, 151; broda-series, 151; broda-series list, 165; bu'a-series list, 165; compared to pro-sumti as means of abbreviation, 145; definition, 145; go'i-series list, 165; list by series, 165; list of miscellaneous cmavo used with, 166; miscellaneous list, 165; overriding sumti of antecedent bridi for, 151; quotation of, 476; scope effect of new paragraph, 466</w:t>
      </w:r>
    </w:p>
    <w:p w:rsidR="00B72047" w:rsidRDefault="00B72047">
      <w:pPr>
        <w:pStyle w:val="Index1"/>
        <w:rPr>
          <w:noProof/>
        </w:rPr>
      </w:pPr>
      <w:r>
        <w:rPr>
          <w:noProof/>
        </w:rPr>
        <w:t>pro-bridi assignment: explicit cancellation of with da'o, 162; no'i effect on, 162; stability of, 162</w:t>
      </w:r>
    </w:p>
    <w:p w:rsidR="00B72047" w:rsidRDefault="00B72047">
      <w:pPr>
        <w:pStyle w:val="Index1"/>
        <w:rPr>
          <w:noProof/>
        </w:rPr>
      </w:pPr>
      <w:r>
        <w:rPr>
          <w:noProof/>
        </w:rPr>
        <w:t>pro-bridi rafsi: as producing context-dependent meanings, 164</w:t>
      </w:r>
    </w:p>
    <w:p w:rsidR="00B72047" w:rsidRDefault="00B72047">
      <w:pPr>
        <w:pStyle w:val="Index1"/>
        <w:rPr>
          <w:noProof/>
        </w:rPr>
      </w:pPr>
      <w:r>
        <w:rPr>
          <w:noProof/>
        </w:rPr>
        <w:t>pro-bridi update: flag for, 503</w:t>
      </w:r>
    </w:p>
    <w:p w:rsidR="00B72047" w:rsidRDefault="00B72047">
      <w:pPr>
        <w:pStyle w:val="Index1"/>
        <w:rPr>
          <w:noProof/>
        </w:rPr>
      </w:pPr>
      <w:r>
        <w:rPr>
          <w:noProof/>
        </w:rPr>
        <w:t>process abstraction: place structure, 259</w:t>
      </w:r>
    </w:p>
    <w:p w:rsidR="00B72047" w:rsidRDefault="00B72047">
      <w:pPr>
        <w:pStyle w:val="Index1"/>
        <w:rPr>
          <w:noProof/>
        </w:rPr>
      </w:pPr>
      <w:r>
        <w:rPr>
          <w:noProof/>
        </w:rPr>
        <w:t>process abstraction(s): definition, 258; related tense contours, 268</w:t>
      </w:r>
    </w:p>
    <w:p w:rsidR="00B72047" w:rsidRDefault="00B72047">
      <w:pPr>
        <w:pStyle w:val="Index1"/>
        <w:rPr>
          <w:noProof/>
        </w:rPr>
      </w:pPr>
      <w:r>
        <w:rPr>
          <w:noProof/>
        </w:rPr>
        <w:t>process abstractor, 258</w:t>
      </w:r>
    </w:p>
    <w:p w:rsidR="00B72047" w:rsidRDefault="00B72047">
      <w:pPr>
        <w:pStyle w:val="Index1"/>
        <w:rPr>
          <w:noProof/>
        </w:rPr>
      </w:pPr>
      <w:r>
        <w:rPr>
          <w:noProof/>
        </w:rPr>
        <w:t>process event: described, 258</w:t>
      </w:r>
    </w:p>
    <w:p w:rsidR="00B72047" w:rsidRDefault="00B72047">
      <w:pPr>
        <w:pStyle w:val="Index1"/>
        <w:rPr>
          <w:noProof/>
        </w:rPr>
      </w:pPr>
      <w:r>
        <w:rPr>
          <w:noProof/>
        </w:rPr>
        <w:t>pronouncement: example, 316</w:t>
      </w:r>
    </w:p>
    <w:p w:rsidR="00B72047" w:rsidRDefault="00B72047">
      <w:pPr>
        <w:pStyle w:val="Index1"/>
        <w:rPr>
          <w:noProof/>
        </w:rPr>
      </w:pPr>
      <w:r>
        <w:rPr>
          <w:noProof/>
        </w:rPr>
        <w:t>pronouns: as anaphora, 152; compared to pro-sumti in usage as abbreviations, 145</w:t>
      </w:r>
    </w:p>
    <w:p w:rsidR="00B72047" w:rsidRDefault="00B72047">
      <w:pPr>
        <w:pStyle w:val="Index1"/>
        <w:rPr>
          <w:noProof/>
        </w:rPr>
      </w:pPr>
      <w:r>
        <w:rPr>
          <w:noProof/>
        </w:rPr>
        <w:t>pronouns in English: as independent of abbreviations, 145; as noun abbreviations, 145</w:t>
      </w:r>
    </w:p>
    <w:p w:rsidR="00B72047" w:rsidRDefault="00B72047">
      <w:pPr>
        <w:pStyle w:val="Index1"/>
        <w:rPr>
          <w:noProof/>
        </w:rPr>
      </w:pPr>
      <w:r>
        <w:rPr>
          <w:noProof/>
        </w:rPr>
        <w:t>pronunciation: IPA for Lojban, 30; quick-tour version, 12; relation to orthography, 29; standard, 29</w:t>
      </w:r>
    </w:p>
    <w:p w:rsidR="00B72047" w:rsidRDefault="00B72047">
      <w:pPr>
        <w:pStyle w:val="Index1"/>
        <w:rPr>
          <w:noProof/>
        </w:rPr>
      </w:pPr>
      <w:r>
        <w:rPr>
          <w:noProof/>
        </w:rPr>
        <w:t>properties: place structure, 261</w:t>
      </w:r>
    </w:p>
    <w:p w:rsidR="00B72047" w:rsidRDefault="00B72047">
      <w:pPr>
        <w:pStyle w:val="Index1"/>
        <w:rPr>
          <w:noProof/>
        </w:rPr>
      </w:pPr>
      <w:r>
        <w:rPr>
          <w:noProof/>
        </w:rPr>
        <w:t>property abstraction, 259; use of multiple ce’u for relationship abstraction, 260</w:t>
      </w:r>
    </w:p>
    <w:p w:rsidR="00B72047" w:rsidRDefault="00B72047">
      <w:pPr>
        <w:pStyle w:val="Index1"/>
        <w:rPr>
          <w:noProof/>
        </w:rPr>
      </w:pPr>
      <w:r>
        <w:rPr>
          <w:noProof/>
        </w:rPr>
        <w:t>property abstraction(s): contrasted with amount abstraction, 261; specifying determining place by sumti ellipsis, 259; specifying determining place with ce'u, 260; specifying sumti place of property with ce'u, 161; sumti ellipsis in, 259</w:t>
      </w:r>
    </w:p>
    <w:p w:rsidR="00B72047" w:rsidRDefault="00B72047">
      <w:pPr>
        <w:pStyle w:val="Index1"/>
        <w:rPr>
          <w:noProof/>
        </w:rPr>
      </w:pPr>
      <w:r>
        <w:rPr>
          <w:noProof/>
        </w:rPr>
        <w:t>property abstractor, 259</w:t>
      </w:r>
    </w:p>
    <w:p w:rsidR="00B72047" w:rsidRDefault="00B72047">
      <w:pPr>
        <w:pStyle w:val="Index1"/>
        <w:rPr>
          <w:noProof/>
        </w:rPr>
      </w:pPr>
      <w:r>
        <w:rPr>
          <w:noProof/>
        </w:rPr>
        <w:t>property description, 259</w:t>
      </w:r>
    </w:p>
    <w:p w:rsidR="00B72047" w:rsidRDefault="00B72047">
      <w:pPr>
        <w:pStyle w:val="Index1"/>
        <w:rPr>
          <w:noProof/>
        </w:rPr>
      </w:pPr>
      <w:r>
        <w:rPr>
          <w:noProof/>
        </w:rPr>
        <w:t>property of loving: example, 260</w:t>
      </w:r>
    </w:p>
    <w:p w:rsidR="00B72047" w:rsidRDefault="00B72047">
      <w:pPr>
        <w:pStyle w:val="Index1"/>
        <w:rPr>
          <w:noProof/>
        </w:rPr>
      </w:pPr>
      <w:r>
        <w:rPr>
          <w:noProof/>
        </w:rPr>
        <w:t>proposed law, 283</w:t>
      </w:r>
    </w:p>
    <w:p w:rsidR="00B72047" w:rsidRDefault="00B72047">
      <w:pPr>
        <w:pStyle w:val="Index1"/>
        <w:rPr>
          <w:noProof/>
        </w:rPr>
      </w:pPr>
      <w:r>
        <w:rPr>
          <w:noProof/>
        </w:rPr>
        <w:t>proposed lerfu words: as working basis, 426</w:t>
      </w:r>
    </w:p>
    <w:p w:rsidR="00B72047" w:rsidRDefault="00B72047">
      <w:pPr>
        <w:pStyle w:val="Index1"/>
        <w:rPr>
          <w:noProof/>
        </w:rPr>
      </w:pPr>
      <w:r>
        <w:rPr>
          <w:noProof/>
        </w:rPr>
        <w:t>propositional: of attitudinals, 301</w:t>
      </w:r>
    </w:p>
    <w:p w:rsidR="00B72047" w:rsidRDefault="00B72047">
      <w:pPr>
        <w:pStyle w:val="Index1"/>
        <w:rPr>
          <w:noProof/>
        </w:rPr>
      </w:pPr>
      <w:r>
        <w:rPr>
          <w:noProof/>
        </w:rPr>
        <w:t>propositional attitudes, 262; compared with knowledge discursives, 319</w:t>
      </w:r>
    </w:p>
    <w:p w:rsidR="00B72047" w:rsidRDefault="00B72047">
      <w:pPr>
        <w:pStyle w:val="Index1"/>
        <w:rPr>
          <w:noProof/>
        </w:rPr>
      </w:pPr>
      <w:r>
        <w:rPr>
          <w:noProof/>
        </w:rPr>
        <w:t>pro-sumti: and discursive utterances, 481; as possessive sumti, 180; classes of, 139; compared to pro-bridi as means of abbreviation, 145; compared to pronouns in usage as abbreviations, 145; contrasted with description, 119; da-series list, 165; definition, 145; di'u-series, 148; di'u-series list, 164; for listener(s), 146; for listeners and/or speakers and/or others, 146; for relativized sumti in relative clauses, 160; for speaker(s), 146; implicit quantifier for, 139; ko'a-series, 150; ko'a-series list, 164; lerfu as, 152; lerfu string, effect on reference to lerfu itself, 422; lerfu string, interaction with quantifier and boi, 421; list by series, 164; list of miscellaneous cmavo used with, 166; miscellaneous list, 165; mi-series, 146; mi-series list, 164; quick-tour version, 13; quotation of, 476; rafsi for, 163; referring to place of different bridi with go'i-series, 159; referring to place of same bridi with vo'a-series, 158; ri-series list, 164; scope effect of new paragraph, 466; series, 145; ti-series, 147; ti-series list, 164; typical, 157; unspecified, 157; vo'a-series, 158; vo'a-series list, 165; zo'e-series list, 164</w:t>
      </w:r>
    </w:p>
    <w:p w:rsidR="00B72047" w:rsidRDefault="00B72047">
      <w:pPr>
        <w:pStyle w:val="Index1"/>
        <w:rPr>
          <w:noProof/>
        </w:rPr>
      </w:pPr>
      <w:r>
        <w:rPr>
          <w:noProof/>
        </w:rPr>
        <w:t>pro-sumti assignment: explicit cancellation of with da'o, 162; no'i effect on, 162; stability of, 162</w:t>
      </w:r>
    </w:p>
    <w:p w:rsidR="00B72047" w:rsidRDefault="00B72047">
      <w:pPr>
        <w:pStyle w:val="Index1"/>
        <w:rPr>
          <w:noProof/>
        </w:rPr>
      </w:pPr>
      <w:r>
        <w:rPr>
          <w:noProof/>
        </w:rPr>
        <w:t>pro-sumti for speaker/listener/others: as masses, 146; relation to joi, 146</w:t>
      </w:r>
    </w:p>
    <w:p w:rsidR="00B72047" w:rsidRDefault="00B72047">
      <w:pPr>
        <w:pStyle w:val="Index1"/>
        <w:rPr>
          <w:noProof/>
        </w:rPr>
      </w:pPr>
      <w:r>
        <w:rPr>
          <w:noProof/>
        </w:rPr>
        <w:t>pro-sumti for utterances, 148</w:t>
      </w:r>
    </w:p>
    <w:p w:rsidR="00B72047" w:rsidRDefault="00B72047">
      <w:pPr>
        <w:pStyle w:val="Index1"/>
        <w:rPr>
          <w:noProof/>
        </w:rPr>
      </w:pPr>
      <w:r>
        <w:rPr>
          <w:noProof/>
        </w:rPr>
        <w:t>pro-sumti for we: contrasted with English we, 146</w:t>
      </w:r>
    </w:p>
    <w:p w:rsidR="00B72047" w:rsidRDefault="00B72047">
      <w:pPr>
        <w:pStyle w:val="Index1"/>
        <w:rPr>
          <w:noProof/>
        </w:rPr>
      </w:pPr>
      <w:r>
        <w:rPr>
          <w:noProof/>
        </w:rPr>
        <w:t>pro-sumti rafsi: anticipated use of for abbreviating inconvenient forms, 163; effect of on place structure of lujvo, 163</w:t>
      </w:r>
    </w:p>
    <w:p w:rsidR="00B72047" w:rsidRDefault="00B72047">
      <w:pPr>
        <w:pStyle w:val="Index1"/>
        <w:rPr>
          <w:noProof/>
        </w:rPr>
      </w:pPr>
      <w:r>
        <w:rPr>
          <w:noProof/>
        </w:rPr>
        <w:t>protocol: computer communications using COI, 326; parliamentary using COI, 326; using vocatives, 326</w:t>
      </w:r>
    </w:p>
    <w:p w:rsidR="00B72047" w:rsidRDefault="00B72047">
      <w:pPr>
        <w:pStyle w:val="Index1"/>
        <w:rPr>
          <w:noProof/>
        </w:rPr>
      </w:pPr>
      <w:r>
        <w:rPr>
          <w:noProof/>
        </w:rPr>
        <w:t>pu, 219, 232; meaning as a sumti tcita, 232; meaning when following interval specification, 222</w:t>
      </w:r>
    </w:p>
    <w:p w:rsidR="00B72047" w:rsidRDefault="00B72047">
      <w:pPr>
        <w:pStyle w:val="Index1"/>
        <w:rPr>
          <w:noProof/>
        </w:rPr>
      </w:pPr>
      <w:r>
        <w:rPr>
          <w:noProof/>
        </w:rPr>
        <w:t>pu ge, 365</w:t>
      </w:r>
    </w:p>
    <w:p w:rsidR="00B72047" w:rsidRDefault="00B72047">
      <w:pPr>
        <w:pStyle w:val="Index1"/>
        <w:rPr>
          <w:noProof/>
        </w:rPr>
      </w:pPr>
      <w:r>
        <w:rPr>
          <w:noProof/>
        </w:rPr>
        <w:t>PU selma’o, 219, 227, 242, 362, 503; compared with FAhA, 219; contradictory negation of, 241</w:t>
      </w:r>
    </w:p>
    <w:p w:rsidR="00B72047" w:rsidRDefault="00B72047">
      <w:pPr>
        <w:pStyle w:val="Index1"/>
        <w:rPr>
          <w:noProof/>
        </w:rPr>
      </w:pPr>
      <w:r>
        <w:rPr>
          <w:noProof/>
        </w:rPr>
        <w:t>PU tenses: contrasted with ZAhO tenses in viewpoint, 228</w:t>
      </w:r>
    </w:p>
    <w:p w:rsidR="00B72047" w:rsidRDefault="00B72047">
      <w:pPr>
        <w:pStyle w:val="Index1"/>
        <w:rPr>
          <w:noProof/>
        </w:rPr>
      </w:pPr>
      <w:r>
        <w:rPr>
          <w:noProof/>
        </w:rPr>
        <w:t>pu'i, 244</w:t>
      </w:r>
    </w:p>
    <w:p w:rsidR="00B72047" w:rsidRDefault="00B72047">
      <w:pPr>
        <w:pStyle w:val="Index1"/>
        <w:rPr>
          <w:noProof/>
        </w:rPr>
      </w:pPr>
      <w:r>
        <w:rPr>
          <w:noProof/>
        </w:rPr>
        <w:t>punctuation, 297; in numbers, 433; list of numerical, 462</w:t>
      </w:r>
    </w:p>
    <w:p w:rsidR="00B72047" w:rsidRDefault="00B72047">
      <w:pPr>
        <w:pStyle w:val="Index1"/>
        <w:rPr>
          <w:noProof/>
        </w:rPr>
      </w:pPr>
      <w:r>
        <w:rPr>
          <w:noProof/>
        </w:rPr>
        <w:t>punctuation lerfu words: interaction with different alphabet systems, 420; mechanism for creating, 419; rationale for lau, 419</w:t>
      </w:r>
    </w:p>
    <w:p w:rsidR="00B72047" w:rsidRDefault="00B72047">
      <w:pPr>
        <w:pStyle w:val="Index1"/>
        <w:rPr>
          <w:noProof/>
        </w:rPr>
      </w:pPr>
      <w:r>
        <w:rPr>
          <w:noProof/>
        </w:rPr>
        <w:t>punctuation marks: cmavo as Lojban equivalents, 50</w:t>
      </w:r>
    </w:p>
    <w:p w:rsidR="00B72047" w:rsidRDefault="00B72047">
      <w:pPr>
        <w:pStyle w:val="Index1"/>
        <w:rPr>
          <w:noProof/>
        </w:rPr>
      </w:pPr>
      <w:r>
        <w:rPr>
          <w:noProof/>
        </w:rPr>
        <w:t>pu'o, 228; as pastward of event, 229; derivation of word, 228; explanation of derivation, 229</w:t>
      </w:r>
    </w:p>
    <w:p w:rsidR="00B72047" w:rsidRDefault="00B72047">
      <w:pPr>
        <w:pStyle w:val="Index1"/>
        <w:rPr>
          <w:noProof/>
        </w:rPr>
      </w:pPr>
      <w:r>
        <w:rPr>
          <w:noProof/>
        </w:rPr>
        <w:t>pu'u, 257, 258, 268; place structure, 259</w:t>
      </w:r>
    </w:p>
    <w:p w:rsidR="00B72047" w:rsidRDefault="00B72047">
      <w:pPr>
        <w:pStyle w:val="Index1"/>
        <w:rPr>
          <w:noProof/>
        </w:rPr>
      </w:pPr>
      <w:r>
        <w:rPr>
          <w:noProof/>
        </w:rPr>
        <w:t>quack: example, 417</w:t>
      </w:r>
    </w:p>
    <w:p w:rsidR="00B72047" w:rsidRDefault="00B72047">
      <w:pPr>
        <w:pStyle w:val="Index1"/>
        <w:rPr>
          <w:noProof/>
        </w:rPr>
      </w:pPr>
      <w:r>
        <w:rPr>
          <w:noProof/>
        </w:rPr>
        <w:t>quadratic formula: example, 455</w:t>
      </w:r>
    </w:p>
    <w:p w:rsidR="00B72047" w:rsidRDefault="00B72047">
      <w:pPr>
        <w:pStyle w:val="Index1"/>
        <w:rPr>
          <w:noProof/>
        </w:rPr>
      </w:pPr>
      <w:r>
        <w:rPr>
          <w:noProof/>
        </w:rPr>
        <w:t>qualified sumti: contrasted with unqualified sumti, 133</w:t>
      </w:r>
    </w:p>
    <w:p w:rsidR="00B72047" w:rsidRDefault="00B72047">
      <w:pPr>
        <w:pStyle w:val="Index1"/>
        <w:rPr>
          <w:noProof/>
        </w:rPr>
      </w:pPr>
      <w:r>
        <w:rPr>
          <w:noProof/>
        </w:rPr>
        <w:t>quality and quantity: example, 365</w:t>
      </w:r>
    </w:p>
    <w:p w:rsidR="00B72047" w:rsidRDefault="00B72047">
      <w:pPr>
        <w:pStyle w:val="Index1"/>
        <w:rPr>
          <w:noProof/>
        </w:rPr>
      </w:pPr>
      <w:r>
        <w:rPr>
          <w:noProof/>
        </w:rPr>
        <w:t>quantification: before description sumti compared with before non-description sumti, 129</w:t>
      </w:r>
    </w:p>
    <w:p w:rsidR="00B72047" w:rsidRDefault="00B72047">
      <w:pPr>
        <w:pStyle w:val="Index1"/>
        <w:rPr>
          <w:noProof/>
        </w:rPr>
      </w:pPr>
      <w:r>
        <w:rPr>
          <w:noProof/>
        </w:rPr>
        <w:t>quantificational pro-sumti, 139; implicit quantification rules, 139</w:t>
      </w:r>
    </w:p>
    <w:p w:rsidR="00B72047" w:rsidRDefault="00B72047">
      <w:pPr>
        <w:pStyle w:val="Index1"/>
        <w:rPr>
          <w:noProof/>
        </w:rPr>
      </w:pPr>
      <w:r>
        <w:rPr>
          <w:noProof/>
        </w:rPr>
        <w:t>quantified space, 228</w:t>
      </w:r>
    </w:p>
    <w:p w:rsidR="00B72047" w:rsidRDefault="00B72047">
      <w:pPr>
        <w:pStyle w:val="Index1"/>
        <w:rPr>
          <w:noProof/>
        </w:rPr>
      </w:pPr>
      <w:r>
        <w:rPr>
          <w:noProof/>
        </w:rPr>
        <w:t>quantified sumti: different types contrasted for scope for distribution, 399; relative clause scope with, 178</w:t>
      </w:r>
    </w:p>
    <w:p w:rsidR="00B72047" w:rsidRDefault="00B72047">
      <w:pPr>
        <w:pStyle w:val="Index1"/>
        <w:rPr>
          <w:noProof/>
        </w:rPr>
      </w:pPr>
      <w:r>
        <w:rPr>
          <w:noProof/>
        </w:rPr>
        <w:t>quantified temporal tense: definition, 226; negating with nai, 227</w:t>
      </w:r>
    </w:p>
    <w:p w:rsidR="00B72047" w:rsidRDefault="00B72047">
      <w:pPr>
        <w:pStyle w:val="Index1"/>
        <w:rPr>
          <w:noProof/>
        </w:rPr>
      </w:pPr>
      <w:r>
        <w:rPr>
          <w:noProof/>
        </w:rPr>
        <w:t>quantified temporal tense with direction: Lojban contrasted with English in implications, 227</w:t>
      </w:r>
    </w:p>
    <w:p w:rsidR="00B72047" w:rsidRDefault="00B72047">
      <w:pPr>
        <w:pStyle w:val="Index1"/>
        <w:rPr>
          <w:noProof/>
        </w:rPr>
      </w:pPr>
      <w:r>
        <w:rPr>
          <w:noProof/>
        </w:rPr>
        <w:t>quantified temporal tenses: “once” contrasted with “only once”, 227; caveat on implication of, 227</w:t>
      </w:r>
    </w:p>
    <w:p w:rsidR="00B72047" w:rsidRDefault="00B72047">
      <w:pPr>
        <w:pStyle w:val="Index1"/>
        <w:rPr>
          <w:noProof/>
        </w:rPr>
      </w:pPr>
      <w:r>
        <w:rPr>
          <w:noProof/>
        </w:rPr>
        <w:t>quantified tenses: as sumti tcita, 233</w:t>
      </w:r>
    </w:p>
    <w:p w:rsidR="00B72047" w:rsidRDefault="00B72047">
      <w:pPr>
        <w:pStyle w:val="Index1"/>
        <w:rPr>
          <w:noProof/>
        </w:rPr>
      </w:pPr>
      <w:r>
        <w:rPr>
          <w:noProof/>
        </w:rPr>
        <w:t>quantifier, 502; effect of moving naku, 405; explicit on sumti, 127; lerfu string as, 423; on previously quantified variable, 410; on sumti, effect on relative clause, 178; on sumti, expressing inexact amount with, 127; on sumti, indicating exact number, 127; with logical variables, 397; with sumti, 127</w:t>
      </w:r>
    </w:p>
    <w:p w:rsidR="00B72047" w:rsidRDefault="00B72047">
      <w:pPr>
        <w:pStyle w:val="Index1"/>
        <w:rPr>
          <w:noProof/>
        </w:rPr>
      </w:pPr>
      <w:r>
        <w:rPr>
          <w:noProof/>
        </w:rPr>
        <w:t>quantifier scope: in multiple connected sentences, 404</w:t>
      </w:r>
    </w:p>
    <w:p w:rsidR="00B72047" w:rsidRDefault="00B72047">
      <w:pPr>
        <w:pStyle w:val="Index1"/>
        <w:rPr>
          <w:noProof/>
        </w:rPr>
      </w:pPr>
      <w:r>
        <w:rPr>
          <w:noProof/>
        </w:rPr>
        <w:t>quark: example, 63</w:t>
      </w:r>
    </w:p>
    <w:p w:rsidR="00B72047" w:rsidRDefault="00B72047">
      <w:pPr>
        <w:pStyle w:val="Index1"/>
        <w:rPr>
          <w:noProof/>
        </w:rPr>
      </w:pPr>
      <w:r>
        <w:rPr>
          <w:noProof/>
        </w:rPr>
        <w:t>question pro-sumti, 140; implicit quantifier for, 140</w:t>
      </w:r>
    </w:p>
    <w:p w:rsidR="00B72047" w:rsidRDefault="00B72047">
      <w:pPr>
        <w:pStyle w:val="Index1"/>
        <w:rPr>
          <w:noProof/>
        </w:rPr>
      </w:pPr>
      <w:r>
        <w:rPr>
          <w:noProof/>
        </w:rPr>
        <w:t>questions, 469; answering with go'i, 154; connection, 351; digit, 449; fill-in-the-blank, 469; indirect, 264; marking in advance, 322; modal, 492; multiple, 470; number, 449, 470; operator, 457; place structure position, 191; quick-tour version, 22; rhetorical, 322; selbri, 160, 470; sumti, 159, 469; truth, 469; with "xu, 321</w:t>
      </w:r>
    </w:p>
    <w:p w:rsidR="00B72047" w:rsidRDefault="00B72047">
      <w:pPr>
        <w:pStyle w:val="Index1"/>
        <w:rPr>
          <w:noProof/>
        </w:rPr>
      </w:pPr>
      <w:r>
        <w:rPr>
          <w:noProof/>
        </w:rPr>
        <w:t>quick runner: example, 84</w:t>
      </w:r>
    </w:p>
    <w:p w:rsidR="00B72047" w:rsidRDefault="00B72047">
      <w:pPr>
        <w:pStyle w:val="Index1"/>
        <w:rPr>
          <w:noProof/>
        </w:rPr>
      </w:pPr>
      <w:r>
        <w:rPr>
          <w:noProof/>
        </w:rPr>
        <w:t>quotation, 475; any text, 508; as possessive sumti, 180; contrasted with me'o for representing lerfu, 422; contrasted with sentence abstraction, 263; delimited, 508; four kinds, 141; grammatical, 499; implicit quantifier for, 128, 141; of grammatical Lojban text, 476; of Lojban words, 499; of non-Lojban, 477; of parseable Lojban text, 476; of rafsi, 478; of single word, 477; of ungrammatical Lojban text, 476; referent versus symbol, 478; single-word, 508; ungrammatical Lojban containing le'u, 477; ungrammatical Lojban containing lo'u, 477</w:t>
      </w:r>
    </w:p>
    <w:p w:rsidR="00B72047" w:rsidRDefault="00B72047">
      <w:pPr>
        <w:pStyle w:val="Index1"/>
        <w:rPr>
          <w:noProof/>
        </w:rPr>
      </w:pPr>
      <w:r>
        <w:rPr>
          <w:noProof/>
        </w:rPr>
        <w:t>ra, 153; practical referent conventions, 153</w:t>
      </w:r>
    </w:p>
    <w:p w:rsidR="00B72047" w:rsidRDefault="00B72047">
      <w:pPr>
        <w:pStyle w:val="Index1"/>
        <w:rPr>
          <w:noProof/>
        </w:rPr>
      </w:pPr>
      <w:r>
        <w:rPr>
          <w:noProof/>
        </w:rPr>
        <w:t>radio communication: proposed lerfu words for, 429</w:t>
      </w:r>
    </w:p>
    <w:p w:rsidR="00B72047" w:rsidRDefault="00B72047">
      <w:pPr>
        <w:pStyle w:val="Index1"/>
        <w:rPr>
          <w:noProof/>
        </w:rPr>
      </w:pPr>
      <w:r>
        <w:rPr>
          <w:noProof/>
        </w:rPr>
        <w:t>radix: decimal (see also base), 444</w:t>
      </w:r>
    </w:p>
    <w:p w:rsidR="00B72047" w:rsidRDefault="00B72047">
      <w:pPr>
        <w:pStyle w:val="Index1"/>
        <w:rPr>
          <w:noProof/>
        </w:rPr>
      </w:pPr>
      <w:r>
        <w:rPr>
          <w:noProof/>
        </w:rPr>
        <w:t>ra'e, 433</w:t>
      </w:r>
    </w:p>
    <w:p w:rsidR="00B72047" w:rsidRDefault="00B72047">
      <w:pPr>
        <w:pStyle w:val="Index1"/>
        <w:rPr>
          <w:noProof/>
        </w:rPr>
      </w:pPr>
      <w:r>
        <w:rPr>
          <w:noProof/>
        </w:rPr>
        <w:t>rafsi: as fu'ivla categorizer, 61; based on pro-sumti, 163; considerations restricting construction of, 58; contrasted with cmavo in usage, 61; contrasted with same-form cmavo in meaning, 56; contrasted with words, 61; conventional meaning for cu'o, 460; conventional meaning for frinu, 460; definition, 56; definition, quick-tour version, 27; forms of, 57; four-letter, requirement for y-hyphen, 60; lack of, effect on forming lujvo, 60; level of uniqueness of relation to gismu, 57; long, 57; multiple for each gismu, 69; multiplicity of for single gismu, 57; possible forms for construction of, 58; quotation of, 478; rationale for assignments of, 58; rules for combining to form lujvo, 56; selection considerations in making lujvo, 57; short, 57; uniqueness in gismu referent of, 57; use of, 57</w:t>
      </w:r>
    </w:p>
    <w:p w:rsidR="00B72047" w:rsidRDefault="00B72047">
      <w:pPr>
        <w:pStyle w:val="Index1"/>
        <w:rPr>
          <w:noProof/>
        </w:rPr>
      </w:pPr>
      <w:r>
        <w:rPr>
          <w:noProof/>
        </w:rPr>
        <w:t>rafsi assignments: non-reassignability of, 58</w:t>
      </w:r>
    </w:p>
    <w:p w:rsidR="00B72047" w:rsidRDefault="00B72047">
      <w:pPr>
        <w:pStyle w:val="Index1"/>
        <w:rPr>
          <w:noProof/>
        </w:rPr>
      </w:pPr>
      <w:r>
        <w:rPr>
          <w:noProof/>
        </w:rPr>
        <w:t>rafsi for numbers, 59</w:t>
      </w:r>
    </w:p>
    <w:p w:rsidR="00B72047" w:rsidRDefault="00B72047">
      <w:pPr>
        <w:pStyle w:val="Index1"/>
        <w:rPr>
          <w:noProof/>
        </w:rPr>
      </w:pPr>
      <w:r>
        <w:rPr>
          <w:noProof/>
        </w:rPr>
        <w:t>rafsi form: effect of choice on meaning of lujvo, 56</w:t>
      </w:r>
    </w:p>
    <w:p w:rsidR="00B72047" w:rsidRDefault="00B72047">
      <w:pPr>
        <w:pStyle w:val="Index1"/>
        <w:rPr>
          <w:noProof/>
        </w:rPr>
      </w:pPr>
      <w:r>
        <w:rPr>
          <w:noProof/>
        </w:rPr>
        <w:t>rafsi fu'ivla proposal, 80</w:t>
      </w:r>
    </w:p>
    <w:p w:rsidR="00B72047" w:rsidRDefault="00B72047">
      <w:pPr>
        <w:pStyle w:val="Index1"/>
        <w:rPr>
          <w:noProof/>
        </w:rPr>
      </w:pPr>
      <w:r>
        <w:rPr>
          <w:noProof/>
        </w:rPr>
        <w:t>rafsi space, 58</w:t>
      </w:r>
    </w:p>
    <w:p w:rsidR="00B72047" w:rsidRDefault="00B72047">
      <w:pPr>
        <w:pStyle w:val="Index1"/>
        <w:rPr>
          <w:noProof/>
        </w:rPr>
      </w:pPr>
      <w:r>
        <w:rPr>
          <w:noProof/>
        </w:rPr>
        <w:t>RAhO selma’o, 503</w:t>
      </w:r>
    </w:p>
    <w:p w:rsidR="00B72047" w:rsidRDefault="00B72047">
      <w:pPr>
        <w:pStyle w:val="Index1"/>
        <w:rPr>
          <w:noProof/>
        </w:rPr>
      </w:pPr>
      <w:r>
        <w:rPr>
          <w:noProof/>
        </w:rPr>
        <w:t>Ralph: example, 393</w:t>
      </w:r>
    </w:p>
    <w:p w:rsidR="00B72047" w:rsidRDefault="00B72047">
      <w:pPr>
        <w:pStyle w:val="Index1"/>
        <w:rPr>
          <w:noProof/>
        </w:rPr>
      </w:pPr>
      <w:r>
        <w:rPr>
          <w:noProof/>
        </w:rPr>
        <w:t>ra'o, 156; for reinterpreting go'i-series pro-bridi sumti references, 156</w:t>
      </w:r>
    </w:p>
    <w:p w:rsidR="00B72047" w:rsidRDefault="00B72047">
      <w:pPr>
        <w:pStyle w:val="Index1"/>
        <w:rPr>
          <w:noProof/>
        </w:rPr>
      </w:pPr>
      <w:r>
        <w:rPr>
          <w:noProof/>
        </w:rPr>
        <w:t>rat eats cheese: example, 227, 232</w:t>
      </w:r>
    </w:p>
    <w:p w:rsidR="00B72047" w:rsidRDefault="00B72047">
      <w:pPr>
        <w:pStyle w:val="Index1"/>
        <w:rPr>
          <w:noProof/>
        </w:rPr>
      </w:pPr>
      <w:r>
        <w:rPr>
          <w:noProof/>
        </w:rPr>
        <w:t>rat eats cheese in park: example, 247</w:t>
      </w:r>
    </w:p>
    <w:p w:rsidR="00B72047" w:rsidRDefault="00B72047">
      <w:pPr>
        <w:pStyle w:val="Index1"/>
        <w:rPr>
          <w:noProof/>
        </w:rPr>
      </w:pPr>
      <w:r>
        <w:rPr>
          <w:noProof/>
        </w:rPr>
        <w:t>rats are brown: example, 125</w:t>
      </w:r>
    </w:p>
    <w:p w:rsidR="00B72047" w:rsidRDefault="00B72047">
      <w:pPr>
        <w:pStyle w:val="Index1"/>
        <w:rPr>
          <w:noProof/>
        </w:rPr>
      </w:pPr>
      <w:r>
        <w:rPr>
          <w:noProof/>
        </w:rPr>
        <w:t>rats in park: example, 446</w:t>
      </w:r>
    </w:p>
    <w:p w:rsidR="00B72047" w:rsidRDefault="00B72047">
      <w:pPr>
        <w:pStyle w:val="Index1"/>
        <w:rPr>
          <w:noProof/>
        </w:rPr>
      </w:pPr>
      <w:r>
        <w:rPr>
          <w:noProof/>
        </w:rPr>
        <w:t>ra'u, 319; scale of importance, 320</w:t>
      </w:r>
    </w:p>
    <w:p w:rsidR="00B72047" w:rsidRDefault="00B72047">
      <w:pPr>
        <w:pStyle w:val="Index1"/>
        <w:rPr>
          <w:noProof/>
        </w:rPr>
      </w:pPr>
      <w:r>
        <w:rPr>
          <w:noProof/>
        </w:rPr>
        <w:t>rau, 442, 448</w:t>
      </w:r>
    </w:p>
    <w:p w:rsidR="00B72047" w:rsidRDefault="00B72047">
      <w:pPr>
        <w:pStyle w:val="Index1"/>
        <w:rPr>
          <w:noProof/>
        </w:rPr>
      </w:pPr>
      <w:r>
        <w:rPr>
          <w:noProof/>
        </w:rPr>
        <w:t>real world: contrasted with hypothetical world, example, 320</w:t>
      </w:r>
    </w:p>
    <w:p w:rsidR="00B72047" w:rsidRDefault="00B72047">
      <w:pPr>
        <w:pStyle w:val="Index1"/>
        <w:rPr>
          <w:noProof/>
        </w:rPr>
      </w:pPr>
      <w:r>
        <w:rPr>
          <w:noProof/>
        </w:rPr>
        <w:t>real world point of view, 320</w:t>
      </w:r>
    </w:p>
    <w:p w:rsidR="00B72047" w:rsidRDefault="00B72047">
      <w:pPr>
        <w:pStyle w:val="Index1"/>
        <w:rPr>
          <w:noProof/>
        </w:rPr>
      </w:pPr>
      <w:r>
        <w:rPr>
          <w:noProof/>
        </w:rPr>
        <w:t>Received Pronunciation, 42</w:t>
      </w:r>
    </w:p>
    <w:p w:rsidR="00B72047" w:rsidRDefault="00B72047">
      <w:pPr>
        <w:pStyle w:val="Index1"/>
        <w:rPr>
          <w:noProof/>
        </w:rPr>
      </w:pPr>
      <w:r>
        <w:rPr>
          <w:noProof/>
        </w:rPr>
        <w:t>reciprocal: expression of mathematical, 433</w:t>
      </w:r>
    </w:p>
    <w:p w:rsidR="00B72047" w:rsidRDefault="00B72047">
      <w:pPr>
        <w:pStyle w:val="Index1"/>
        <w:rPr>
          <w:noProof/>
        </w:rPr>
      </w:pPr>
      <w:r>
        <w:rPr>
          <w:noProof/>
        </w:rPr>
        <w:t>reciprocal pro-sumti, 158</w:t>
      </w:r>
    </w:p>
    <w:p w:rsidR="00B72047" w:rsidRDefault="00B72047">
      <w:pPr>
        <w:pStyle w:val="Index1"/>
        <w:rPr>
          <w:noProof/>
        </w:rPr>
      </w:pPr>
      <w:r>
        <w:rPr>
          <w:noProof/>
        </w:rPr>
        <w:t>reciprocity: expressing with soi, 159; expressing with vo'a-series pro-sumti and soi, 159; marking, 504</w:t>
      </w:r>
    </w:p>
    <w:p w:rsidR="00B72047" w:rsidRDefault="00B72047">
      <w:pPr>
        <w:pStyle w:val="Index1"/>
        <w:rPr>
          <w:noProof/>
        </w:rPr>
      </w:pPr>
      <w:r>
        <w:rPr>
          <w:noProof/>
        </w:rPr>
        <w:t>recital rooms, 281</w:t>
      </w:r>
    </w:p>
    <w:p w:rsidR="00B72047" w:rsidRDefault="00B72047">
      <w:pPr>
        <w:pStyle w:val="Index1"/>
        <w:rPr>
          <w:noProof/>
        </w:rPr>
      </w:pPr>
      <w:r>
        <w:rPr>
          <w:noProof/>
        </w:rPr>
        <w:t>Red Pony: example, 133, 182</w:t>
      </w:r>
    </w:p>
    <w:p w:rsidR="00B72047" w:rsidRDefault="00B72047">
      <w:pPr>
        <w:pStyle w:val="Index1"/>
        <w:rPr>
          <w:noProof/>
        </w:rPr>
      </w:pPr>
      <w:r>
        <w:rPr>
          <w:noProof/>
        </w:rPr>
        <w:t>redundancy: effect on vocative design, 323</w:t>
      </w:r>
    </w:p>
    <w:p w:rsidR="00B72047" w:rsidRDefault="00B72047">
      <w:pPr>
        <w:pStyle w:val="Index1"/>
        <w:rPr>
          <w:noProof/>
        </w:rPr>
      </w:pPr>
      <w:r>
        <w:rPr>
          <w:noProof/>
        </w:rPr>
        <w:t>re'e, 307</w:t>
      </w:r>
    </w:p>
    <w:p w:rsidR="00B72047" w:rsidRDefault="00B72047">
      <w:pPr>
        <w:pStyle w:val="Index1"/>
        <w:rPr>
          <w:noProof/>
        </w:rPr>
      </w:pPr>
      <w:r>
        <w:rPr>
          <w:noProof/>
        </w:rPr>
        <w:t>re-evaluation of referents: flag for, 503</w:t>
      </w:r>
    </w:p>
    <w:p w:rsidR="00B72047" w:rsidRDefault="00B72047">
      <w:pPr>
        <w:pStyle w:val="Index1"/>
        <w:rPr>
          <w:noProof/>
        </w:rPr>
      </w:pPr>
      <w:r>
        <w:rPr>
          <w:noProof/>
        </w:rPr>
        <w:t>reference: ambiguity of ti/ta/tu, 169; and discursive utterances, 481; quick-tour version, 20; to relativized sumti with ke'a, 169; use of relative clause for, 169</w:t>
      </w:r>
    </w:p>
    <w:p w:rsidR="00B72047" w:rsidRDefault="00B72047">
      <w:pPr>
        <w:pStyle w:val="Index1"/>
        <w:rPr>
          <w:noProof/>
        </w:rPr>
      </w:pPr>
      <w:r>
        <w:rPr>
          <w:noProof/>
        </w:rPr>
        <w:t>reference frame: specifying for direction tenses, 224</w:t>
      </w:r>
    </w:p>
    <w:p w:rsidR="00B72047" w:rsidRDefault="00B72047">
      <w:pPr>
        <w:pStyle w:val="Index1"/>
        <w:rPr>
          <w:noProof/>
        </w:rPr>
      </w:pPr>
      <w:r>
        <w:rPr>
          <w:noProof/>
        </w:rPr>
        <w:t>reference frame for directions in tenses, 224</w:t>
      </w:r>
    </w:p>
    <w:p w:rsidR="00B72047" w:rsidRDefault="00B72047">
      <w:pPr>
        <w:pStyle w:val="Index1"/>
        <w:rPr>
          <w:noProof/>
        </w:rPr>
      </w:pPr>
      <w:r>
        <w:rPr>
          <w:noProof/>
        </w:rPr>
        <w:t>reference grammar, 3</w:t>
      </w:r>
    </w:p>
    <w:p w:rsidR="00B72047" w:rsidRDefault="00B72047">
      <w:pPr>
        <w:pStyle w:val="Index1"/>
        <w:rPr>
          <w:noProof/>
        </w:rPr>
      </w:pPr>
      <w:r>
        <w:rPr>
          <w:noProof/>
        </w:rPr>
        <w:t>referent: contrasted with symbol, 478; of operand, 459; referring to with la'e, 134</w:t>
      </w:r>
    </w:p>
    <w:p w:rsidR="00B72047" w:rsidRDefault="00B72047">
      <w:pPr>
        <w:pStyle w:val="Index1"/>
        <w:rPr>
          <w:noProof/>
        </w:rPr>
      </w:pPr>
      <w:r>
        <w:rPr>
          <w:noProof/>
        </w:rPr>
        <w:t>referent of pro-bridi: definition, 145</w:t>
      </w:r>
    </w:p>
    <w:p w:rsidR="00B72047" w:rsidRDefault="00B72047">
      <w:pPr>
        <w:pStyle w:val="Index1"/>
        <w:rPr>
          <w:noProof/>
        </w:rPr>
      </w:pPr>
      <w:r>
        <w:rPr>
          <w:noProof/>
        </w:rPr>
        <w:t>referent of pro-sumti: definition, 145</w:t>
      </w:r>
    </w:p>
    <w:p w:rsidR="00B72047" w:rsidRDefault="00B72047">
      <w:pPr>
        <w:pStyle w:val="Index1"/>
        <w:rPr>
          <w:noProof/>
        </w:rPr>
      </w:pPr>
      <w:r>
        <w:rPr>
          <w:noProof/>
        </w:rPr>
        <w:t>reflexive pro-sumti, 139, 158; stability of, 162</w:t>
      </w:r>
    </w:p>
    <w:p w:rsidR="00B72047" w:rsidRDefault="00B72047">
      <w:pPr>
        <w:pStyle w:val="Index1"/>
        <w:rPr>
          <w:noProof/>
        </w:rPr>
      </w:pPr>
      <w:r>
        <w:rPr>
          <w:noProof/>
        </w:rPr>
        <w:t>regularly: example, 226</w:t>
      </w:r>
    </w:p>
    <w:p w:rsidR="00B72047" w:rsidRDefault="00B72047">
      <w:pPr>
        <w:pStyle w:val="Index1"/>
        <w:rPr>
          <w:noProof/>
        </w:rPr>
      </w:pPr>
      <w:r>
        <w:rPr>
          <w:noProof/>
        </w:rPr>
        <w:t>re'i, 325</w:t>
      </w:r>
    </w:p>
    <w:p w:rsidR="00B72047" w:rsidRDefault="00B72047">
      <w:pPr>
        <w:pStyle w:val="Index1"/>
        <w:rPr>
          <w:noProof/>
        </w:rPr>
      </w:pPr>
      <w:r>
        <w:rPr>
          <w:noProof/>
        </w:rPr>
        <w:t>re'imi'e, 325</w:t>
      </w:r>
    </w:p>
    <w:p w:rsidR="00B72047" w:rsidRDefault="00B72047">
      <w:pPr>
        <w:pStyle w:val="Index1"/>
        <w:rPr>
          <w:noProof/>
        </w:rPr>
      </w:pPr>
      <w:r>
        <w:rPr>
          <w:noProof/>
        </w:rPr>
        <w:t>relation of first places in logical connection of observatives: rationale, 345</w:t>
      </w:r>
    </w:p>
    <w:p w:rsidR="00B72047" w:rsidRDefault="00B72047">
      <w:pPr>
        <w:pStyle w:val="Index1"/>
        <w:rPr>
          <w:noProof/>
        </w:rPr>
      </w:pPr>
      <w:r>
        <w:rPr>
          <w:noProof/>
        </w:rPr>
        <w:t>relationship: active/static/attributive compared, 11; as basis of sentence, 187; objects of, 187</w:t>
      </w:r>
    </w:p>
    <w:p w:rsidR="00B72047" w:rsidRDefault="00B72047">
      <w:pPr>
        <w:pStyle w:val="Index1"/>
        <w:rPr>
          <w:noProof/>
        </w:rPr>
      </w:pPr>
      <w:r>
        <w:rPr>
          <w:noProof/>
        </w:rPr>
        <w:t>relationship abstraction, 260</w:t>
      </w:r>
    </w:p>
    <w:p w:rsidR="00B72047" w:rsidRDefault="00B72047">
      <w:pPr>
        <w:pStyle w:val="Index1"/>
        <w:rPr>
          <w:noProof/>
        </w:rPr>
      </w:pPr>
      <w:r>
        <w:rPr>
          <w:noProof/>
        </w:rPr>
        <w:t>relative clause: as part of name, 179; compared with tanru, 172; connecting to relative phrase with zi'e, 176; connecting to whole sumti, 506; contrasted with tanru, 172; effect of commas in English, 171; effect of elided ku of relativized sumti, 177; effect of omission of ke'a on, 170; effect of relativized sumti quantifiers on, 178; effect on elidability of be'o, 94; impact of indefinite sumti on placement, 180; impact of la on placement, 179; impact of LAhE on placement, 182; impact of le on placement, 179; impact of lo on placement, 179; impact of NAhE on placement, 182; kinds of, 171; list of cmavo for, 185; on connected sumti, 182; on names, 179; on number, 181; on possessive sumti, 181; on quotation, 182; on vocative phrases, 184; placement in sentence, 177; placement with vocative phrases, 184; relative clauses within, 184; restricted contrasted with incidental, 171; restricted contrasted with incidental in English expression, 171; restrictive (see also restrictive relative clause), 171; syntax with indefinite sumti, 180; use for reference, 169; use in restricting existential claims, 394; use in restricting universal claims, 395; use of ke'a for referral to relativized sumti in, 160</w:t>
      </w:r>
    </w:p>
    <w:p w:rsidR="00B72047" w:rsidRDefault="00B72047">
      <w:pPr>
        <w:pStyle w:val="Index1"/>
        <w:rPr>
          <w:noProof/>
        </w:rPr>
      </w:pPr>
      <w:r>
        <w:rPr>
          <w:noProof/>
        </w:rPr>
        <w:t>relative clause after descriptor: effect on elidability of ku'o, 178</w:t>
      </w:r>
    </w:p>
    <w:p w:rsidR="00B72047" w:rsidRDefault="00B72047">
      <w:pPr>
        <w:pStyle w:val="Index1"/>
        <w:rPr>
          <w:noProof/>
        </w:rPr>
      </w:pPr>
      <w:r>
        <w:rPr>
          <w:noProof/>
        </w:rPr>
        <w:t>relative clause after relativized sumti ku: meaning, 178</w:t>
      </w:r>
    </w:p>
    <w:p w:rsidR="00B72047" w:rsidRDefault="00B72047">
      <w:pPr>
        <w:pStyle w:val="Index1"/>
        <w:rPr>
          <w:noProof/>
        </w:rPr>
      </w:pPr>
      <w:r>
        <w:rPr>
          <w:noProof/>
        </w:rPr>
        <w:t>relative clause after sumti: as common placement in sentence, 177</w:t>
      </w:r>
    </w:p>
    <w:p w:rsidR="00B72047" w:rsidRDefault="00B72047">
      <w:pPr>
        <w:pStyle w:val="Index1"/>
        <w:rPr>
          <w:noProof/>
        </w:rPr>
      </w:pPr>
      <w:r>
        <w:rPr>
          <w:noProof/>
        </w:rPr>
        <w:t>relative clause and indefinite sumti: placement considerations, 180</w:t>
      </w:r>
    </w:p>
    <w:p w:rsidR="00B72047" w:rsidRDefault="00B72047">
      <w:pPr>
        <w:pStyle w:val="Index1"/>
        <w:rPr>
          <w:noProof/>
        </w:rPr>
      </w:pPr>
      <w:r>
        <w:rPr>
          <w:noProof/>
        </w:rPr>
        <w:t>relative clause and LAhE: placement considerations, 182</w:t>
      </w:r>
    </w:p>
    <w:p w:rsidR="00B72047" w:rsidRDefault="00B72047">
      <w:pPr>
        <w:pStyle w:val="Index1"/>
        <w:rPr>
          <w:noProof/>
        </w:rPr>
      </w:pPr>
      <w:r>
        <w:rPr>
          <w:noProof/>
        </w:rPr>
        <w:t>relative clause and le-sumti: placement considerations, 179</w:t>
      </w:r>
    </w:p>
    <w:p w:rsidR="00B72047" w:rsidRDefault="00B72047">
      <w:pPr>
        <w:pStyle w:val="Index1"/>
        <w:rPr>
          <w:noProof/>
        </w:rPr>
      </w:pPr>
      <w:r>
        <w:rPr>
          <w:noProof/>
        </w:rPr>
        <w:t>relative clause and lo-sumti: placement considerations, 179</w:t>
      </w:r>
    </w:p>
    <w:p w:rsidR="00B72047" w:rsidRDefault="00B72047">
      <w:pPr>
        <w:pStyle w:val="Index1"/>
        <w:rPr>
          <w:noProof/>
        </w:rPr>
      </w:pPr>
      <w:r>
        <w:rPr>
          <w:noProof/>
        </w:rPr>
        <w:t>relative clause and NAhE: placement considerations, 182</w:t>
      </w:r>
    </w:p>
    <w:p w:rsidR="00B72047" w:rsidRDefault="00B72047">
      <w:pPr>
        <w:pStyle w:val="Index1"/>
        <w:rPr>
          <w:noProof/>
        </w:rPr>
      </w:pPr>
      <w:r>
        <w:rPr>
          <w:noProof/>
        </w:rPr>
        <w:t>relative clause and names: placement considerations, 179</w:t>
      </w:r>
    </w:p>
    <w:p w:rsidR="00B72047" w:rsidRDefault="00B72047">
      <w:pPr>
        <w:pStyle w:val="Index1"/>
        <w:rPr>
          <w:noProof/>
        </w:rPr>
      </w:pPr>
      <w:r>
        <w:rPr>
          <w:noProof/>
        </w:rPr>
        <w:t>relative clause and possessive sumti: development history, 180</w:t>
      </w:r>
    </w:p>
    <w:p w:rsidR="00B72047" w:rsidRDefault="00B72047">
      <w:pPr>
        <w:pStyle w:val="Index1"/>
        <w:rPr>
          <w:noProof/>
        </w:rPr>
      </w:pPr>
      <w:r>
        <w:rPr>
          <w:noProof/>
        </w:rPr>
        <w:t>relative clause and quantified sumti: placement considerations, 178</w:t>
      </w:r>
    </w:p>
    <w:p w:rsidR="00B72047" w:rsidRDefault="00B72047">
      <w:pPr>
        <w:pStyle w:val="Index1"/>
        <w:rPr>
          <w:noProof/>
        </w:rPr>
      </w:pPr>
      <w:r>
        <w:rPr>
          <w:noProof/>
        </w:rPr>
        <w:t>relative clause before inner quantifier: meaning, 178</w:t>
      </w:r>
    </w:p>
    <w:p w:rsidR="00B72047" w:rsidRDefault="00B72047">
      <w:pPr>
        <w:pStyle w:val="Index1"/>
        <w:rPr>
          <w:noProof/>
        </w:rPr>
      </w:pPr>
      <w:r>
        <w:rPr>
          <w:noProof/>
        </w:rPr>
        <w:t>relative clause before relativized sumti ku: meaning, 178</w:t>
      </w:r>
    </w:p>
    <w:p w:rsidR="00B72047" w:rsidRDefault="00B72047">
      <w:pPr>
        <w:pStyle w:val="Index1"/>
        <w:rPr>
          <w:noProof/>
        </w:rPr>
      </w:pPr>
      <w:r>
        <w:rPr>
          <w:noProof/>
        </w:rPr>
        <w:t>relative clause marker, 502</w:t>
      </w:r>
    </w:p>
    <w:p w:rsidR="00B72047" w:rsidRDefault="00B72047">
      <w:pPr>
        <w:pStyle w:val="Index1"/>
        <w:rPr>
          <w:noProof/>
        </w:rPr>
      </w:pPr>
      <w:r>
        <w:rPr>
          <w:noProof/>
        </w:rPr>
        <w:t>relative clause on complex sumti: Lojban contrasted with English, 183</w:t>
      </w:r>
    </w:p>
    <w:p w:rsidR="00B72047" w:rsidRDefault="00B72047">
      <w:pPr>
        <w:pStyle w:val="Index1"/>
        <w:rPr>
          <w:noProof/>
        </w:rPr>
      </w:pPr>
      <w:r>
        <w:rPr>
          <w:noProof/>
        </w:rPr>
        <w:t>relative clause on indefinite sumti: syntax considerations, 180</w:t>
      </w:r>
    </w:p>
    <w:p w:rsidR="00B72047" w:rsidRDefault="00B72047">
      <w:pPr>
        <w:pStyle w:val="Index1"/>
        <w:rPr>
          <w:noProof/>
        </w:rPr>
      </w:pPr>
      <w:r>
        <w:rPr>
          <w:noProof/>
        </w:rPr>
        <w:t>relative clause on lo: syntax suggestion, 179</w:t>
      </w:r>
    </w:p>
    <w:p w:rsidR="00B72047" w:rsidRDefault="00B72047">
      <w:pPr>
        <w:pStyle w:val="Index1"/>
        <w:rPr>
          <w:noProof/>
        </w:rPr>
      </w:pPr>
      <w:r>
        <w:rPr>
          <w:noProof/>
        </w:rPr>
        <w:t>relative clause placement: considerations for lo-sumti contrasted with le-sumti, 179; considerations for simple descriptors contrasted with for quantified sumti, 179; effect on scope, 178; English contrasted with Chinese and Finnish, 178; on sumti with simple descriptor, 178</w:t>
      </w:r>
    </w:p>
    <w:p w:rsidR="00B72047" w:rsidRDefault="00B72047">
      <w:pPr>
        <w:pStyle w:val="Index1"/>
        <w:rPr>
          <w:noProof/>
        </w:rPr>
      </w:pPr>
      <w:r>
        <w:rPr>
          <w:noProof/>
        </w:rPr>
        <w:t>relative clause scope: extending to preceding sumti with vu'o, 182; with quantified relativized sumti, 178</w:t>
      </w:r>
    </w:p>
    <w:p w:rsidR="00B72047" w:rsidRDefault="00B72047">
      <w:pPr>
        <w:pStyle w:val="Index1"/>
        <w:rPr>
          <w:noProof/>
        </w:rPr>
      </w:pPr>
      <w:r>
        <w:rPr>
          <w:noProof/>
        </w:rPr>
        <w:t>relative clause with possessive sumti: effect of placement, 181</w:t>
      </w:r>
    </w:p>
    <w:p w:rsidR="00B72047" w:rsidRDefault="00B72047">
      <w:pPr>
        <w:pStyle w:val="Index1"/>
        <w:rPr>
          <w:noProof/>
        </w:rPr>
      </w:pPr>
      <w:r>
        <w:rPr>
          <w:noProof/>
        </w:rPr>
        <w:t>relative phrase: as an abbreviation of a common relative clause, 172; compared with possessive sumti, 180; connecting to relative clause with zi'e, 176; contrasted with possessive sumti in complexity allowed, 180; contrasted with relative clause in preciseness, 203; improving preciseness with modals, 203; rationale for, 172; syntax of, 172</w:t>
      </w:r>
    </w:p>
    <w:p w:rsidR="00B72047" w:rsidRDefault="00B72047">
      <w:pPr>
        <w:pStyle w:val="Index1"/>
        <w:rPr>
          <w:noProof/>
        </w:rPr>
      </w:pPr>
      <w:r>
        <w:rPr>
          <w:noProof/>
        </w:rPr>
        <w:t>relative phrase marker, 495</w:t>
      </w:r>
    </w:p>
    <w:p w:rsidR="00B72047" w:rsidRDefault="00B72047">
      <w:pPr>
        <w:pStyle w:val="Index1"/>
        <w:rPr>
          <w:noProof/>
        </w:rPr>
      </w:pPr>
      <w:r>
        <w:rPr>
          <w:noProof/>
        </w:rPr>
        <w:t>relative phrases with modals: compared to relative clauses in preciseness, 203</w:t>
      </w:r>
    </w:p>
    <w:p w:rsidR="00B72047" w:rsidRDefault="00B72047">
      <w:pPr>
        <w:pStyle w:val="Index1"/>
        <w:rPr>
          <w:noProof/>
        </w:rPr>
      </w:pPr>
      <w:r>
        <w:rPr>
          <w:noProof/>
        </w:rPr>
        <w:t>relative pro-sumti, 140</w:t>
      </w:r>
    </w:p>
    <w:p w:rsidR="00B72047" w:rsidRDefault="00B72047">
      <w:pPr>
        <w:pStyle w:val="Index1"/>
        <w:rPr>
          <w:noProof/>
        </w:rPr>
      </w:pPr>
      <w:r>
        <w:rPr>
          <w:noProof/>
        </w:rPr>
        <w:t>relativity theory: relation to Lojban tense system, 220</w:t>
      </w:r>
    </w:p>
    <w:p w:rsidR="00B72047" w:rsidRDefault="00B72047">
      <w:pPr>
        <w:pStyle w:val="Index1"/>
        <w:rPr>
          <w:noProof/>
        </w:rPr>
      </w:pPr>
      <w:r>
        <w:rPr>
          <w:noProof/>
        </w:rPr>
        <w:t>relativized sumti: definition, 169; in relative clauses within relative clauses, 184</w:t>
      </w:r>
    </w:p>
    <w:p w:rsidR="00B72047" w:rsidRDefault="00B72047">
      <w:pPr>
        <w:pStyle w:val="Index1"/>
        <w:rPr>
          <w:noProof/>
        </w:rPr>
      </w:pPr>
      <w:r>
        <w:rPr>
          <w:noProof/>
        </w:rPr>
        <w:t>remembered: example, 316</w:t>
      </w:r>
    </w:p>
    <w:p w:rsidR="00B72047" w:rsidRDefault="00B72047">
      <w:pPr>
        <w:pStyle w:val="Index1"/>
        <w:rPr>
          <w:noProof/>
        </w:rPr>
      </w:pPr>
      <w:r>
        <w:rPr>
          <w:noProof/>
        </w:rPr>
        <w:t>re-ordering logical variables with se, 396</w:t>
      </w:r>
    </w:p>
    <w:p w:rsidR="00B72047" w:rsidRDefault="00B72047">
      <w:pPr>
        <w:pStyle w:val="Index1"/>
        <w:rPr>
          <w:noProof/>
        </w:rPr>
      </w:pPr>
      <w:r>
        <w:rPr>
          <w:noProof/>
        </w:rPr>
        <w:t>repeating decimals: expressing with numerical punctuation, 433; marking start of repeating portion, 433</w:t>
      </w:r>
    </w:p>
    <w:p w:rsidR="00B72047" w:rsidRDefault="00B72047">
      <w:pPr>
        <w:pStyle w:val="Index1"/>
        <w:rPr>
          <w:noProof/>
        </w:rPr>
      </w:pPr>
      <w:r>
        <w:rPr>
          <w:noProof/>
        </w:rPr>
        <w:t>replace: example, 289</w:t>
      </w:r>
    </w:p>
    <w:p w:rsidR="00B72047" w:rsidRDefault="00B72047">
      <w:pPr>
        <w:pStyle w:val="Index1"/>
        <w:rPr>
          <w:noProof/>
        </w:rPr>
      </w:pPr>
      <w:r>
        <w:rPr>
          <w:noProof/>
        </w:rPr>
        <w:t>representing lerfu: lu contrasted with me'o, 422</w:t>
      </w:r>
    </w:p>
    <w:p w:rsidR="00B72047" w:rsidRDefault="00B72047">
      <w:pPr>
        <w:pStyle w:val="Index1"/>
        <w:rPr>
          <w:noProof/>
        </w:rPr>
      </w:pPr>
      <w:r>
        <w:rPr>
          <w:noProof/>
        </w:rPr>
        <w:t>respectively: example, 356; specifying with fa'u, 356; with different relationships, 358</w:t>
      </w:r>
    </w:p>
    <w:p w:rsidR="00B72047" w:rsidRDefault="00B72047">
      <w:pPr>
        <w:pStyle w:val="Index1"/>
        <w:rPr>
          <w:noProof/>
        </w:rPr>
      </w:pPr>
      <w:r>
        <w:rPr>
          <w:noProof/>
        </w:rPr>
        <w:t>restricted claims: definition, 394</w:t>
      </w:r>
    </w:p>
    <w:p w:rsidR="00B72047" w:rsidRDefault="00B72047">
      <w:pPr>
        <w:pStyle w:val="Index1"/>
        <w:rPr>
          <w:noProof/>
        </w:rPr>
      </w:pPr>
      <w:r>
        <w:rPr>
          <w:noProof/>
        </w:rPr>
        <w:t>restricted variable: compared with indefinite description, 398</w:t>
      </w:r>
    </w:p>
    <w:p w:rsidR="00B72047" w:rsidRDefault="00B72047">
      <w:pPr>
        <w:pStyle w:val="Index1"/>
        <w:rPr>
          <w:noProof/>
        </w:rPr>
      </w:pPr>
      <w:r>
        <w:rPr>
          <w:noProof/>
        </w:rPr>
        <w:t>restrictive relative clause: definition, 171</w:t>
      </w:r>
    </w:p>
    <w:p w:rsidR="00B72047" w:rsidRDefault="00B72047">
      <w:pPr>
        <w:pStyle w:val="Index1"/>
        <w:rPr>
          <w:noProof/>
        </w:rPr>
      </w:pPr>
      <w:r>
        <w:rPr>
          <w:noProof/>
        </w:rPr>
        <w:t>restrictive relative clauses: non-veridical using voi, 177; veridical using poi, 177</w:t>
      </w:r>
    </w:p>
    <w:p w:rsidR="00B72047" w:rsidRDefault="00B72047">
      <w:pPr>
        <w:pStyle w:val="Index1"/>
        <w:rPr>
          <w:noProof/>
        </w:rPr>
      </w:pPr>
      <w:r>
        <w:rPr>
          <w:noProof/>
        </w:rPr>
        <w:t>resume: contrasted with begin, 229</w:t>
      </w:r>
    </w:p>
    <w:p w:rsidR="00B72047" w:rsidRDefault="00B72047">
      <w:pPr>
        <w:pStyle w:val="Index1"/>
        <w:rPr>
          <w:noProof/>
        </w:rPr>
      </w:pPr>
      <w:r>
        <w:rPr>
          <w:noProof/>
        </w:rPr>
        <w:t>resumptive event contour, 228</w:t>
      </w:r>
    </w:p>
    <w:p w:rsidR="00B72047" w:rsidRDefault="00B72047">
      <w:pPr>
        <w:pStyle w:val="Index1"/>
        <w:rPr>
          <w:noProof/>
        </w:rPr>
      </w:pPr>
      <w:r>
        <w:rPr>
          <w:noProof/>
        </w:rPr>
        <w:t>re'u, 230</w:t>
      </w:r>
    </w:p>
    <w:p w:rsidR="00B72047" w:rsidRDefault="00B72047">
      <w:pPr>
        <w:pStyle w:val="Index1"/>
        <w:rPr>
          <w:noProof/>
        </w:rPr>
      </w:pPr>
      <w:r>
        <w:rPr>
          <w:noProof/>
        </w:rPr>
        <w:t>revelation: example, 316</w:t>
      </w:r>
    </w:p>
    <w:p w:rsidR="00B72047" w:rsidRDefault="00B72047">
      <w:pPr>
        <w:pStyle w:val="Index1"/>
        <w:rPr>
          <w:noProof/>
        </w:rPr>
      </w:pPr>
      <w:r>
        <w:rPr>
          <w:noProof/>
        </w:rPr>
        <w:t>reverse Polish notation: and mekso goals, 431; definition, 452; indicator, 494; marker, 452; number of operands, 453; operands of, 453; parentheses in operands of, 453; terminator, 452; use of parentheses in, 452; with too few operands, 453; with too many operands, 453</w:t>
      </w:r>
    </w:p>
    <w:p w:rsidR="00B72047" w:rsidRDefault="00B72047">
      <w:pPr>
        <w:pStyle w:val="Index1"/>
        <w:rPr>
          <w:noProof/>
        </w:rPr>
      </w:pPr>
      <w:r>
        <w:rPr>
          <w:noProof/>
        </w:rPr>
        <w:t>reviewers of this book, 6</w:t>
      </w:r>
    </w:p>
    <w:p w:rsidR="00B72047" w:rsidRDefault="00B72047">
      <w:pPr>
        <w:pStyle w:val="Index1"/>
        <w:rPr>
          <w:noProof/>
        </w:rPr>
      </w:pPr>
      <w:r>
        <w:rPr>
          <w:noProof/>
        </w:rPr>
        <w:t>rhetorical question, 322</w:t>
      </w:r>
    </w:p>
    <w:p w:rsidR="00B72047" w:rsidRDefault="00B72047">
      <w:pPr>
        <w:pStyle w:val="Index1"/>
        <w:rPr>
          <w:noProof/>
        </w:rPr>
      </w:pPr>
      <w:r>
        <w:rPr>
          <w:noProof/>
        </w:rPr>
        <w:t>r-hyphen: contrasted with n-hyphen in requirements for use, 60; use of, 56, 60</w:t>
      </w:r>
    </w:p>
    <w:p w:rsidR="00B72047" w:rsidRDefault="00B72047">
      <w:pPr>
        <w:pStyle w:val="Index1"/>
        <w:rPr>
          <w:noProof/>
        </w:rPr>
      </w:pPr>
      <w:r>
        <w:rPr>
          <w:noProof/>
        </w:rPr>
        <w:t>ri, 152; contrasted with ke'a in relative clauses, 161; non-self-reference of, 153; referent of, 152; subscripting for referring further back, 153</w:t>
      </w:r>
    </w:p>
    <w:p w:rsidR="00B72047" w:rsidRDefault="00B72047">
      <w:pPr>
        <w:pStyle w:val="Index1"/>
        <w:rPr>
          <w:noProof/>
        </w:rPr>
      </w:pPr>
      <w:r>
        <w:rPr>
          <w:noProof/>
        </w:rPr>
        <w:t>ri'a, 197</w:t>
      </w:r>
    </w:p>
    <w:p w:rsidR="00B72047" w:rsidRDefault="00B72047">
      <w:pPr>
        <w:pStyle w:val="Index1"/>
        <w:rPr>
          <w:noProof/>
        </w:rPr>
      </w:pPr>
      <w:r>
        <w:rPr>
          <w:noProof/>
        </w:rPr>
        <w:t>rich and German: example, 356</w:t>
      </w:r>
    </w:p>
    <w:p w:rsidR="00B72047" w:rsidRDefault="00B72047">
      <w:pPr>
        <w:pStyle w:val="Index1"/>
        <w:rPr>
          <w:noProof/>
        </w:rPr>
      </w:pPr>
      <w:r>
        <w:rPr>
          <w:noProof/>
        </w:rPr>
        <w:t>ri'e, 309</w:t>
      </w:r>
    </w:p>
    <w:p w:rsidR="00B72047" w:rsidRDefault="00B72047">
      <w:pPr>
        <w:pStyle w:val="Index1"/>
        <w:rPr>
          <w:noProof/>
        </w:rPr>
      </w:pPr>
      <w:r>
        <w:rPr>
          <w:noProof/>
        </w:rPr>
        <w:t>righteous indignation: example, 309</w:t>
      </w:r>
    </w:p>
    <w:p w:rsidR="00B72047" w:rsidRDefault="00B72047">
      <w:pPr>
        <w:pStyle w:val="Index1"/>
        <w:rPr>
          <w:noProof/>
        </w:rPr>
      </w:pPr>
      <w:r>
        <w:rPr>
          <w:noProof/>
        </w:rPr>
        <w:t>right-grouping in tanru: with bo, 87</w:t>
      </w:r>
    </w:p>
    <w:p w:rsidR="00B72047" w:rsidRDefault="00B72047">
      <w:pPr>
        <w:pStyle w:val="Index1"/>
        <w:rPr>
          <w:noProof/>
        </w:rPr>
      </w:pPr>
      <w:r>
        <w:rPr>
          <w:noProof/>
        </w:rPr>
        <w:t>right-grouping rule: definition of, 87</w:t>
      </w:r>
    </w:p>
    <w:p w:rsidR="00B72047" w:rsidRDefault="00B72047">
      <w:pPr>
        <w:pStyle w:val="Index1"/>
        <w:rPr>
          <w:noProof/>
        </w:rPr>
      </w:pPr>
      <w:r>
        <w:rPr>
          <w:noProof/>
        </w:rPr>
        <w:t>ri-series pro-sumti, 152; and order of possible referents, 153; assigning for permanent reference, 154; compared with ti-series in word formation, 152; effect of ko'a-series pro-sumti on, 153; effect of lerfu pro-sumti on, 153; effect of other ri-series pro-sumti on, 153; effect of ti-series pro-sumti on, 153; effect of use on meaning, 153; effect on other ri-series pro-sumti, 153; in narrative about quotation, 156; in quotation series, 156; in quotations, 156; non-allowable referents of, 153; possible referents of, 153</w:t>
      </w:r>
    </w:p>
    <w:p w:rsidR="00B72047" w:rsidRDefault="00B72047">
      <w:pPr>
        <w:pStyle w:val="Index1"/>
        <w:rPr>
          <w:noProof/>
        </w:rPr>
      </w:pPr>
      <w:r>
        <w:rPr>
          <w:noProof/>
        </w:rPr>
        <w:t>ro, 128, 129, 139, 394, 396, 440; as implicit quantifier on personal pro-sumti, 128; compared with pa, 440; dropping from multiple appearances on logical variables, 396; effect of order when multiple in sentence, 399</w:t>
      </w:r>
    </w:p>
    <w:p w:rsidR="00B72047" w:rsidRDefault="00B72047">
      <w:pPr>
        <w:pStyle w:val="Index1"/>
        <w:rPr>
          <w:noProof/>
        </w:rPr>
      </w:pPr>
      <w:r>
        <w:rPr>
          <w:noProof/>
        </w:rPr>
        <w:t>ro da, 394</w:t>
      </w:r>
    </w:p>
    <w:p w:rsidR="00B72047" w:rsidRDefault="00B72047">
      <w:pPr>
        <w:pStyle w:val="Index1"/>
        <w:rPr>
          <w:noProof/>
        </w:rPr>
      </w:pPr>
      <w:r>
        <w:rPr>
          <w:noProof/>
        </w:rPr>
        <w:t>ro prenu, 398</w:t>
      </w:r>
    </w:p>
    <w:p w:rsidR="00B72047" w:rsidRDefault="00B72047">
      <w:pPr>
        <w:pStyle w:val="Index1"/>
        <w:rPr>
          <w:noProof/>
        </w:rPr>
      </w:pPr>
      <w:r>
        <w:rPr>
          <w:noProof/>
        </w:rPr>
        <w:t>ro'a, 307</w:t>
      </w:r>
    </w:p>
    <w:p w:rsidR="00B72047" w:rsidRDefault="00B72047">
      <w:pPr>
        <w:pStyle w:val="Index1"/>
        <w:rPr>
          <w:noProof/>
        </w:rPr>
      </w:pPr>
      <w:r>
        <w:rPr>
          <w:noProof/>
        </w:rPr>
        <w:t>ro'anai: example, 307</w:t>
      </w:r>
    </w:p>
    <w:p w:rsidR="00B72047" w:rsidRDefault="00B72047">
      <w:pPr>
        <w:pStyle w:val="Index1"/>
        <w:rPr>
          <w:noProof/>
        </w:rPr>
      </w:pPr>
      <w:r>
        <w:rPr>
          <w:noProof/>
        </w:rPr>
        <w:t>rock face: example, 231</w:t>
      </w:r>
    </w:p>
    <w:p w:rsidR="00B72047" w:rsidRDefault="00B72047">
      <w:pPr>
        <w:pStyle w:val="Index1"/>
        <w:rPr>
          <w:noProof/>
        </w:rPr>
      </w:pPr>
      <w:r>
        <w:rPr>
          <w:noProof/>
        </w:rPr>
        <w:t>ro'e, 307</w:t>
      </w:r>
    </w:p>
    <w:p w:rsidR="00B72047" w:rsidRDefault="00B72047">
      <w:pPr>
        <w:pStyle w:val="Index1"/>
        <w:rPr>
          <w:noProof/>
        </w:rPr>
      </w:pPr>
      <w:r>
        <w:rPr>
          <w:noProof/>
        </w:rPr>
        <w:t>roger: example, 325</w:t>
      </w:r>
    </w:p>
    <w:p w:rsidR="00B72047" w:rsidRDefault="00B72047">
      <w:pPr>
        <w:pStyle w:val="Index1"/>
        <w:rPr>
          <w:noProof/>
        </w:rPr>
      </w:pPr>
      <w:r>
        <w:rPr>
          <w:noProof/>
        </w:rPr>
        <w:t>ro'i, 307</w:t>
      </w:r>
    </w:p>
    <w:p w:rsidR="00B72047" w:rsidRDefault="00B72047">
      <w:pPr>
        <w:pStyle w:val="Index1"/>
        <w:rPr>
          <w:noProof/>
        </w:rPr>
      </w:pPr>
      <w:r>
        <w:rPr>
          <w:noProof/>
        </w:rPr>
        <w:t>ROI selma’o, 226, 230, 503; effect of ZAhO on fe'e flag, 231; exception on use of boi before, 458; scalar negation of, 242</w:t>
      </w:r>
    </w:p>
    <w:p w:rsidR="00B72047" w:rsidRDefault="00B72047">
      <w:pPr>
        <w:pStyle w:val="Index1"/>
        <w:rPr>
          <w:noProof/>
        </w:rPr>
      </w:pPr>
      <w:r>
        <w:rPr>
          <w:noProof/>
        </w:rPr>
        <w:t>romaji: as a basis for kanji characters in Lojban lerfu words, 420</w:t>
      </w:r>
    </w:p>
    <w:p w:rsidR="00B72047" w:rsidRDefault="00B72047">
      <w:pPr>
        <w:pStyle w:val="Index1"/>
        <w:rPr>
          <w:noProof/>
        </w:rPr>
      </w:pPr>
      <w:r>
        <w:rPr>
          <w:noProof/>
        </w:rPr>
        <w:t>Roman Empire, 258; example, 258</w:t>
      </w:r>
    </w:p>
    <w:p w:rsidR="00B72047" w:rsidRDefault="00B72047">
      <w:pPr>
        <w:pStyle w:val="Index1"/>
        <w:rPr>
          <w:noProof/>
        </w:rPr>
      </w:pPr>
      <w:r>
        <w:rPr>
          <w:noProof/>
        </w:rPr>
        <w:t>ro'o, 307</w:t>
      </w:r>
    </w:p>
    <w:p w:rsidR="00B72047" w:rsidRDefault="00B72047">
      <w:pPr>
        <w:pStyle w:val="Index1"/>
        <w:rPr>
          <w:noProof/>
        </w:rPr>
      </w:pPr>
      <w:r>
        <w:rPr>
          <w:noProof/>
        </w:rPr>
        <w:t>roi, 226, 458</w:t>
      </w:r>
    </w:p>
    <w:p w:rsidR="00B72047" w:rsidRDefault="00B72047">
      <w:pPr>
        <w:pStyle w:val="Index1"/>
        <w:rPr>
          <w:noProof/>
        </w:rPr>
      </w:pPr>
      <w:r>
        <w:rPr>
          <w:noProof/>
        </w:rPr>
        <w:t>room which he built: example, 184</w:t>
      </w:r>
    </w:p>
    <w:p w:rsidR="00B72047" w:rsidRDefault="00B72047">
      <w:pPr>
        <w:pStyle w:val="Index1"/>
        <w:rPr>
          <w:noProof/>
        </w:rPr>
      </w:pPr>
      <w:r>
        <w:rPr>
          <w:noProof/>
        </w:rPr>
        <w:t>ro'u, 307</w:t>
      </w:r>
    </w:p>
    <w:p w:rsidR="00B72047" w:rsidRDefault="00B72047">
      <w:pPr>
        <w:pStyle w:val="Index1"/>
        <w:rPr>
          <w:noProof/>
        </w:rPr>
      </w:pPr>
      <w:r>
        <w:rPr>
          <w:noProof/>
        </w:rPr>
        <w:t>rounded down: example, 443</w:t>
      </w:r>
    </w:p>
    <w:p w:rsidR="00B72047" w:rsidRDefault="00B72047">
      <w:pPr>
        <w:pStyle w:val="Index1"/>
        <w:rPr>
          <w:noProof/>
        </w:rPr>
      </w:pPr>
      <w:r>
        <w:rPr>
          <w:noProof/>
        </w:rPr>
        <w:t>rounded numbers: expressing, 443</w:t>
      </w:r>
    </w:p>
    <w:p w:rsidR="00B72047" w:rsidRDefault="00B72047">
      <w:pPr>
        <w:pStyle w:val="Index1"/>
        <w:rPr>
          <w:noProof/>
        </w:rPr>
      </w:pPr>
      <w:r>
        <w:rPr>
          <w:noProof/>
        </w:rPr>
        <w:t>rounded up: example, 443</w:t>
      </w:r>
    </w:p>
    <w:p w:rsidR="00B72047" w:rsidRDefault="00B72047">
      <w:pPr>
        <w:pStyle w:val="Index1"/>
        <w:rPr>
          <w:noProof/>
        </w:rPr>
      </w:pPr>
      <w:r>
        <w:rPr>
          <w:noProof/>
        </w:rPr>
        <w:t>rounded/unrounded vowels, 31</w:t>
      </w:r>
    </w:p>
    <w:p w:rsidR="00B72047" w:rsidRDefault="00B72047">
      <w:pPr>
        <w:pStyle w:val="Index1"/>
        <w:rPr>
          <w:noProof/>
        </w:rPr>
      </w:pPr>
      <w:r>
        <w:rPr>
          <w:noProof/>
        </w:rPr>
        <w:t>RP (see reverse Polish notation), 452</w:t>
      </w:r>
    </w:p>
    <w:p w:rsidR="00B72047" w:rsidRDefault="00B72047">
      <w:pPr>
        <w:pStyle w:val="Index1"/>
        <w:rPr>
          <w:noProof/>
        </w:rPr>
      </w:pPr>
      <w:r>
        <w:rPr>
          <w:noProof/>
        </w:rPr>
        <w:t>ru, 153; practical referent conventions, 153</w:t>
      </w:r>
    </w:p>
    <w:p w:rsidR="00B72047" w:rsidRDefault="00B72047">
      <w:pPr>
        <w:pStyle w:val="Index1"/>
        <w:rPr>
          <w:noProof/>
        </w:rPr>
      </w:pPr>
      <w:r>
        <w:rPr>
          <w:noProof/>
        </w:rPr>
        <w:t>ru'a, 317; compared with e'u, 317</w:t>
      </w:r>
    </w:p>
    <w:p w:rsidR="00B72047" w:rsidRDefault="00B72047">
      <w:pPr>
        <w:pStyle w:val="Index1"/>
        <w:rPr>
          <w:noProof/>
        </w:rPr>
      </w:pPr>
      <w:r>
        <w:rPr>
          <w:noProof/>
        </w:rPr>
        <w:t>ru'e, 305</w:t>
      </w:r>
    </w:p>
    <w:p w:rsidR="00B72047" w:rsidRDefault="00B72047">
      <w:pPr>
        <w:pStyle w:val="Index1"/>
        <w:rPr>
          <w:noProof/>
        </w:rPr>
      </w:pPr>
      <w:r>
        <w:rPr>
          <w:noProof/>
        </w:rPr>
        <w:t>ru'i, 226</w:t>
      </w:r>
    </w:p>
    <w:p w:rsidR="00B72047" w:rsidRDefault="00B72047">
      <w:pPr>
        <w:pStyle w:val="Index1"/>
        <w:rPr>
          <w:noProof/>
        </w:rPr>
      </w:pPr>
      <w:r>
        <w:rPr>
          <w:noProof/>
        </w:rPr>
        <w:t>rug: Persian, example, 60</w:t>
      </w:r>
    </w:p>
    <w:p w:rsidR="00B72047" w:rsidRDefault="00B72047">
      <w:pPr>
        <w:pStyle w:val="Index1"/>
        <w:rPr>
          <w:noProof/>
        </w:rPr>
      </w:pPr>
      <w:r>
        <w:rPr>
          <w:noProof/>
        </w:rPr>
        <w:t>runner shoe: example, 17</w:t>
      </w:r>
    </w:p>
    <w:p w:rsidR="00B72047" w:rsidRDefault="00B72047">
      <w:pPr>
        <w:pStyle w:val="Index1"/>
        <w:rPr>
          <w:noProof/>
        </w:rPr>
      </w:pPr>
      <w:r>
        <w:rPr>
          <w:noProof/>
        </w:rPr>
        <w:t>sa, 312, 416, 477, 483; interaction with bu, 416</w:t>
      </w:r>
    </w:p>
    <w:p w:rsidR="00B72047" w:rsidRDefault="00B72047">
      <w:pPr>
        <w:pStyle w:val="Index1"/>
        <w:rPr>
          <w:noProof/>
        </w:rPr>
      </w:pPr>
      <w:r>
        <w:rPr>
          <w:noProof/>
        </w:rPr>
        <w:t>SA selma’o, 483, 503</w:t>
      </w:r>
    </w:p>
    <w:p w:rsidR="00B72047" w:rsidRDefault="00B72047">
      <w:pPr>
        <w:pStyle w:val="Index1"/>
        <w:rPr>
          <w:noProof/>
        </w:rPr>
      </w:pPr>
      <w:r>
        <w:rPr>
          <w:noProof/>
        </w:rPr>
        <w:t>sa'a, 321, 481; editorial insertion of text already containing sa'a, 321; interaction with li'o, 321; interaction with sei, 321; interaction with to'i, 321</w:t>
      </w:r>
    </w:p>
    <w:p w:rsidR="00B72047" w:rsidRDefault="00B72047">
      <w:pPr>
        <w:pStyle w:val="Index1"/>
        <w:rPr>
          <w:noProof/>
        </w:rPr>
      </w:pPr>
      <w:r>
        <w:rPr>
          <w:noProof/>
        </w:rPr>
        <w:t>sa'e, 318</w:t>
      </w:r>
    </w:p>
    <w:p w:rsidR="00B72047" w:rsidRDefault="00B72047">
      <w:pPr>
        <w:pStyle w:val="Index1"/>
        <w:rPr>
          <w:noProof/>
        </w:rPr>
      </w:pPr>
      <w:r>
        <w:rPr>
          <w:noProof/>
        </w:rPr>
        <w:t>sa'enai, 319</w:t>
      </w:r>
    </w:p>
    <w:p w:rsidR="00B72047" w:rsidRDefault="00B72047">
      <w:pPr>
        <w:pStyle w:val="Index1"/>
        <w:rPr>
          <w:noProof/>
        </w:rPr>
      </w:pPr>
      <w:r>
        <w:rPr>
          <w:noProof/>
        </w:rPr>
        <w:t>sa'i, 452</w:t>
      </w:r>
    </w:p>
    <w:p w:rsidR="00B72047" w:rsidRDefault="00B72047">
      <w:pPr>
        <w:pStyle w:val="Index1"/>
        <w:rPr>
          <w:noProof/>
        </w:rPr>
      </w:pPr>
      <w:r>
        <w:rPr>
          <w:noProof/>
        </w:rPr>
        <w:t>said John: example, 481</w:t>
      </w:r>
    </w:p>
    <w:p w:rsidR="00B72047" w:rsidRDefault="00B72047">
      <w:pPr>
        <w:pStyle w:val="Index1"/>
        <w:rPr>
          <w:noProof/>
        </w:rPr>
      </w:pPr>
      <w:r>
        <w:rPr>
          <w:noProof/>
        </w:rPr>
        <w:t>salad ingredients: example, 231</w:t>
      </w:r>
    </w:p>
    <w:p w:rsidR="00B72047" w:rsidRDefault="00B72047">
      <w:pPr>
        <w:pStyle w:val="Index1"/>
        <w:rPr>
          <w:noProof/>
        </w:rPr>
      </w:pPr>
      <w:r>
        <w:rPr>
          <w:noProof/>
        </w:rPr>
        <w:t>sarcasm: example, 319; expressing, 319</w:t>
      </w:r>
    </w:p>
    <w:p w:rsidR="00B72047" w:rsidRDefault="00B72047">
      <w:pPr>
        <w:pStyle w:val="Index1"/>
        <w:rPr>
          <w:noProof/>
        </w:rPr>
      </w:pPr>
      <w:r>
        <w:rPr>
          <w:noProof/>
        </w:rPr>
        <w:t>sa'u, 318</w:t>
      </w:r>
    </w:p>
    <w:p w:rsidR="00B72047" w:rsidRDefault="00B72047">
      <w:pPr>
        <w:pStyle w:val="Index1"/>
        <w:rPr>
          <w:noProof/>
        </w:rPr>
      </w:pPr>
      <w:r>
        <w:rPr>
          <w:noProof/>
        </w:rPr>
        <w:t>sai, 305</w:t>
      </w:r>
    </w:p>
    <w:p w:rsidR="00B72047" w:rsidRDefault="00B72047">
      <w:pPr>
        <w:pStyle w:val="Index1"/>
        <w:rPr>
          <w:noProof/>
        </w:rPr>
      </w:pPr>
      <w:r>
        <w:rPr>
          <w:noProof/>
        </w:rPr>
        <w:t>Sapir-Whorf effects: and emotional indicators, 329</w:t>
      </w:r>
    </w:p>
    <w:p w:rsidR="00B72047" w:rsidRDefault="00B72047">
      <w:pPr>
        <w:pStyle w:val="Index1"/>
        <w:rPr>
          <w:noProof/>
        </w:rPr>
      </w:pPr>
      <w:r>
        <w:rPr>
          <w:noProof/>
        </w:rPr>
        <w:t>scalar attitude, 305</w:t>
      </w:r>
    </w:p>
    <w:p w:rsidR="00B72047" w:rsidRDefault="00B72047">
      <w:pPr>
        <w:pStyle w:val="Index1"/>
        <w:rPr>
          <w:noProof/>
        </w:rPr>
      </w:pPr>
      <w:r>
        <w:rPr>
          <w:noProof/>
        </w:rPr>
        <w:t>scalar negation: effect on selbri, 101</w:t>
      </w:r>
    </w:p>
    <w:p w:rsidR="00B72047" w:rsidRDefault="00B72047">
      <w:pPr>
        <w:pStyle w:val="Index1"/>
        <w:rPr>
          <w:noProof/>
        </w:rPr>
      </w:pPr>
      <w:r>
        <w:rPr>
          <w:noProof/>
        </w:rPr>
        <w:t>scalar negation of modals: explanation of meaning, 207</w:t>
      </w:r>
    </w:p>
    <w:p w:rsidR="00B72047" w:rsidRDefault="00B72047">
      <w:pPr>
        <w:pStyle w:val="Index1"/>
        <w:rPr>
          <w:noProof/>
        </w:rPr>
      </w:pPr>
      <w:r>
        <w:rPr>
          <w:noProof/>
        </w:rPr>
        <w:t>scalar negation of non-logical connective, 358</w:t>
      </w:r>
    </w:p>
    <w:p w:rsidR="00B72047" w:rsidRDefault="00B72047">
      <w:pPr>
        <w:pStyle w:val="Index1"/>
        <w:rPr>
          <w:noProof/>
        </w:rPr>
      </w:pPr>
      <w:r>
        <w:rPr>
          <w:noProof/>
        </w:rPr>
        <w:t>scalar negation of tenses: selma'o allowed with, 242</w:t>
      </w:r>
    </w:p>
    <w:p w:rsidR="00B72047" w:rsidRDefault="00B72047">
      <w:pPr>
        <w:pStyle w:val="Index1"/>
        <w:rPr>
          <w:noProof/>
        </w:rPr>
      </w:pPr>
      <w:r>
        <w:rPr>
          <w:noProof/>
        </w:rPr>
        <w:t>scale: granular contrasted with continuous, 448</w:t>
      </w:r>
    </w:p>
    <w:p w:rsidR="00B72047" w:rsidRDefault="00B72047">
      <w:pPr>
        <w:pStyle w:val="Index1"/>
        <w:rPr>
          <w:noProof/>
        </w:rPr>
      </w:pPr>
      <w:r>
        <w:rPr>
          <w:noProof/>
        </w:rPr>
        <w:t>scale of redness: example, 448</w:t>
      </w:r>
    </w:p>
    <w:p w:rsidR="00B72047" w:rsidRDefault="00B72047">
      <w:pPr>
        <w:pStyle w:val="Index1"/>
        <w:rPr>
          <w:noProof/>
        </w:rPr>
      </w:pPr>
      <w:r>
        <w:rPr>
          <w:noProof/>
        </w:rPr>
        <w:t>scale selbri: definition, 447; place structure, 447; place structure effect from subjective numbers, 448</w:t>
      </w:r>
    </w:p>
    <w:p w:rsidR="00B72047" w:rsidRDefault="00B72047">
      <w:pPr>
        <w:pStyle w:val="Index1"/>
        <w:rPr>
          <w:noProof/>
        </w:rPr>
      </w:pPr>
      <w:r>
        <w:rPr>
          <w:noProof/>
        </w:rPr>
        <w:t>school building: example, 281</w:t>
      </w:r>
    </w:p>
    <w:p w:rsidR="00B72047" w:rsidRDefault="00B72047">
      <w:pPr>
        <w:pStyle w:val="Index1"/>
        <w:rPr>
          <w:noProof/>
        </w:rPr>
      </w:pPr>
      <w:r>
        <w:rPr>
          <w:noProof/>
        </w:rPr>
        <w:t>schooner: example, 83</w:t>
      </w:r>
    </w:p>
    <w:p w:rsidR="00B72047" w:rsidRDefault="00B72047">
      <w:pPr>
        <w:pStyle w:val="Index1"/>
        <w:rPr>
          <w:noProof/>
        </w:rPr>
      </w:pPr>
      <w:r>
        <w:rPr>
          <w:noProof/>
        </w:rPr>
        <w:t>scientific names: rules for, 67</w:t>
      </w:r>
    </w:p>
    <w:p w:rsidR="00B72047" w:rsidRDefault="00B72047">
      <w:pPr>
        <w:pStyle w:val="Index1"/>
        <w:rPr>
          <w:noProof/>
        </w:rPr>
      </w:pPr>
      <w:r>
        <w:rPr>
          <w:noProof/>
        </w:rPr>
        <w:t>scientific notation: rationale for order of places, 451; with gei, 450</w:t>
      </w:r>
    </w:p>
    <w:p w:rsidR="00B72047" w:rsidRDefault="00B72047">
      <w:pPr>
        <w:pStyle w:val="Index1"/>
        <w:rPr>
          <w:noProof/>
        </w:rPr>
      </w:pPr>
      <w:r>
        <w:rPr>
          <w:noProof/>
        </w:rPr>
        <w:t>score: as 20-year span, 460; as alternate base for years, 461</w:t>
      </w:r>
    </w:p>
    <w:p w:rsidR="00B72047" w:rsidRDefault="00B72047">
      <w:pPr>
        <w:pStyle w:val="Index1"/>
        <w:rPr>
          <w:noProof/>
        </w:rPr>
      </w:pPr>
      <w:r>
        <w:rPr>
          <w:noProof/>
        </w:rPr>
        <w:t>se, 100, 192, 338, 340, 346, 350, 354, 360, 361, 396, 459, 472; as grammatical in JOI compounds, 355; in logical connective to exchange sentences, 338; order in logical connectives with na, 338; quick-tour version, 16; use with operators, 459; using to re-order logical variables, 396</w:t>
      </w:r>
    </w:p>
    <w:p w:rsidR="00B72047" w:rsidRDefault="00B72047">
      <w:pPr>
        <w:pStyle w:val="Index1"/>
        <w:rPr>
          <w:noProof/>
        </w:rPr>
      </w:pPr>
      <w:r>
        <w:rPr>
          <w:noProof/>
        </w:rPr>
        <w:t>se du'u, 263</w:t>
      </w:r>
    </w:p>
    <w:p w:rsidR="00B72047" w:rsidRDefault="00B72047">
      <w:pPr>
        <w:pStyle w:val="Index1"/>
        <w:rPr>
          <w:noProof/>
        </w:rPr>
      </w:pPr>
      <w:r>
        <w:rPr>
          <w:noProof/>
        </w:rPr>
        <w:t>se klama: place structure of, 192</w:t>
      </w:r>
    </w:p>
    <w:p w:rsidR="00B72047" w:rsidRDefault="00B72047">
      <w:pPr>
        <w:pStyle w:val="Index1"/>
        <w:rPr>
          <w:noProof/>
        </w:rPr>
      </w:pPr>
      <w:r>
        <w:rPr>
          <w:noProof/>
        </w:rPr>
        <w:t>SE selma’o, 100, 192, 195, 205, 247, 396, 459, 472, 504; after 5th place, 472; effect of multiple on a selbri, 194; effect on place structure numbering, 192; effect on selbri place structure, 192; extending scope of, 193; for converting place structure, 192; quick-tour version, 16; rationale for no 1st place conversion, 192; scope of, 193; word formation of cmavo in, 192</w:t>
      </w:r>
    </w:p>
    <w:p w:rsidR="00B72047" w:rsidRDefault="00B72047">
      <w:pPr>
        <w:pStyle w:val="Index1"/>
        <w:rPr>
          <w:noProof/>
        </w:rPr>
      </w:pPr>
      <w:r>
        <w:rPr>
          <w:noProof/>
        </w:rPr>
        <w:t>se te, 194</w:t>
      </w:r>
    </w:p>
    <w:p w:rsidR="00B72047" w:rsidRDefault="00B72047">
      <w:pPr>
        <w:pStyle w:val="Index1"/>
        <w:rPr>
          <w:noProof/>
        </w:rPr>
      </w:pPr>
      <w:r>
        <w:rPr>
          <w:noProof/>
        </w:rPr>
        <w:t>se writing convention: in eks, 341</w:t>
      </w:r>
    </w:p>
    <w:p w:rsidR="00B72047" w:rsidRDefault="00B72047">
      <w:pPr>
        <w:pStyle w:val="Index1"/>
        <w:rPr>
          <w:noProof/>
        </w:rPr>
      </w:pPr>
      <w:r>
        <w:rPr>
          <w:noProof/>
        </w:rPr>
        <w:t>se'a, 310</w:t>
      </w:r>
    </w:p>
    <w:p w:rsidR="00B72047" w:rsidRDefault="00B72047">
      <w:pPr>
        <w:pStyle w:val="Index1"/>
        <w:rPr>
          <w:noProof/>
        </w:rPr>
      </w:pPr>
      <w:r>
        <w:rPr>
          <w:noProof/>
        </w:rPr>
        <w:t>seba'i, 204</w:t>
      </w:r>
    </w:p>
    <w:p w:rsidR="00B72047" w:rsidRDefault="00B72047">
      <w:pPr>
        <w:pStyle w:val="Index1"/>
        <w:rPr>
          <w:noProof/>
        </w:rPr>
      </w:pPr>
      <w:r>
        <w:rPr>
          <w:noProof/>
        </w:rPr>
        <w:t>sebi'o, 359</w:t>
      </w:r>
    </w:p>
    <w:p w:rsidR="00B72047" w:rsidRDefault="00B72047">
      <w:pPr>
        <w:pStyle w:val="Index1"/>
        <w:rPr>
          <w:noProof/>
        </w:rPr>
      </w:pPr>
      <w:r>
        <w:rPr>
          <w:noProof/>
        </w:rPr>
        <w:t>sece'o, 354</w:t>
      </w:r>
    </w:p>
    <w:p w:rsidR="00B72047" w:rsidRDefault="00B72047">
      <w:pPr>
        <w:pStyle w:val="Index1"/>
        <w:rPr>
          <w:noProof/>
        </w:rPr>
      </w:pPr>
      <w:r>
        <w:rPr>
          <w:noProof/>
        </w:rPr>
        <w:t>section numbering, 458</w:t>
      </w:r>
    </w:p>
    <w:p w:rsidR="00B72047" w:rsidRDefault="00B72047">
      <w:pPr>
        <w:pStyle w:val="Index1"/>
        <w:rPr>
          <w:noProof/>
        </w:rPr>
      </w:pPr>
      <w:r>
        <w:rPr>
          <w:noProof/>
        </w:rPr>
        <w:t>sections of this book, 4</w:t>
      </w:r>
    </w:p>
    <w:p w:rsidR="00B72047" w:rsidRDefault="00B72047">
      <w:pPr>
        <w:pStyle w:val="Index1"/>
        <w:rPr>
          <w:noProof/>
        </w:rPr>
      </w:pPr>
      <w:r>
        <w:rPr>
          <w:noProof/>
        </w:rPr>
        <w:t>se'e, 425; and number base convention, 425</w:t>
      </w:r>
    </w:p>
    <w:p w:rsidR="00B72047" w:rsidRDefault="00B72047">
      <w:pPr>
        <w:pStyle w:val="Index1"/>
        <w:rPr>
          <w:noProof/>
        </w:rPr>
      </w:pPr>
      <w:r>
        <w:rPr>
          <w:noProof/>
        </w:rPr>
        <w:t>see with eye: example, 202</w:t>
      </w:r>
    </w:p>
    <w:p w:rsidR="00B72047" w:rsidRDefault="00B72047">
      <w:pPr>
        <w:pStyle w:val="Index1"/>
        <w:rPr>
          <w:noProof/>
        </w:rPr>
      </w:pPr>
      <w:r>
        <w:rPr>
          <w:noProof/>
        </w:rPr>
        <w:t>see with left eye: example, 194</w:t>
      </w:r>
    </w:p>
    <w:p w:rsidR="00B72047" w:rsidRDefault="00B72047">
      <w:pPr>
        <w:pStyle w:val="Index1"/>
        <w:rPr>
          <w:noProof/>
        </w:rPr>
      </w:pPr>
      <w:r>
        <w:rPr>
          <w:noProof/>
        </w:rPr>
        <w:t>sefa'u, 354</w:t>
      </w:r>
    </w:p>
    <w:p w:rsidR="00B72047" w:rsidRDefault="00B72047">
      <w:pPr>
        <w:pStyle w:val="Index1"/>
        <w:rPr>
          <w:noProof/>
        </w:rPr>
      </w:pPr>
      <w:r>
        <w:rPr>
          <w:noProof/>
        </w:rPr>
        <w:t>SEhU selma’o, 159, 482, 504</w:t>
      </w:r>
    </w:p>
    <w:p w:rsidR="00B72047" w:rsidRDefault="00B72047">
      <w:pPr>
        <w:pStyle w:val="Index1"/>
        <w:rPr>
          <w:noProof/>
        </w:rPr>
      </w:pPr>
      <w:r>
        <w:rPr>
          <w:noProof/>
        </w:rPr>
        <w:t>se'i, 309</w:t>
      </w:r>
    </w:p>
    <w:p w:rsidR="00B72047" w:rsidRDefault="00B72047">
      <w:pPr>
        <w:pStyle w:val="Index1"/>
        <w:rPr>
          <w:noProof/>
        </w:rPr>
      </w:pPr>
      <w:r>
        <w:rPr>
          <w:noProof/>
        </w:rPr>
        <w:t>sei, 321, 481</w:t>
      </w:r>
    </w:p>
    <w:p w:rsidR="00B72047" w:rsidRDefault="00B72047">
      <w:pPr>
        <w:pStyle w:val="Index1"/>
        <w:rPr>
          <w:noProof/>
        </w:rPr>
      </w:pPr>
      <w:r>
        <w:rPr>
          <w:noProof/>
        </w:rPr>
        <w:t>SEI selma’o, 458, 481, 504; terminator for, 504</w:t>
      </w:r>
    </w:p>
    <w:p w:rsidR="00B72047" w:rsidRDefault="00B72047">
      <w:pPr>
        <w:pStyle w:val="Index1"/>
        <w:rPr>
          <w:noProof/>
        </w:rPr>
      </w:pPr>
      <w:r>
        <w:rPr>
          <w:noProof/>
        </w:rPr>
        <w:t>selbri: as part of description, 120; brivla as, 83; converting into an operand, 456; converting into an operator, 456; converting operator into, 457; definition, 83, 187; definition, quick-tour version, 27; lerfu string as, 423; omitting with co'e, 158; place structure of, 187; place structure of converted operator, 457; relation to bridi, 83; scalar negation of, 101; with GOhA, 97</w:t>
      </w:r>
    </w:p>
    <w:p w:rsidR="00B72047" w:rsidRDefault="00B72047">
      <w:pPr>
        <w:pStyle w:val="Index1"/>
        <w:rPr>
          <w:noProof/>
        </w:rPr>
      </w:pPr>
      <w:r>
        <w:rPr>
          <w:noProof/>
        </w:rPr>
        <w:t>selbri assignment, 491</w:t>
      </w:r>
    </w:p>
    <w:p w:rsidR="00B72047" w:rsidRDefault="00B72047">
      <w:pPr>
        <w:pStyle w:val="Index1"/>
        <w:rPr>
          <w:noProof/>
        </w:rPr>
      </w:pPr>
      <w:r>
        <w:rPr>
          <w:noProof/>
        </w:rPr>
        <w:t>selbri from sumti, 98</w:t>
      </w:r>
    </w:p>
    <w:p w:rsidR="00B72047" w:rsidRDefault="00B72047">
      <w:pPr>
        <w:pStyle w:val="Index1"/>
        <w:rPr>
          <w:noProof/>
        </w:rPr>
      </w:pPr>
      <w:r>
        <w:rPr>
          <w:noProof/>
        </w:rPr>
        <w:t>selbri list for quick tour, 13</w:t>
      </w:r>
    </w:p>
    <w:p w:rsidR="00B72047" w:rsidRDefault="00B72047">
      <w:pPr>
        <w:pStyle w:val="Index1"/>
        <w:rPr>
          <w:noProof/>
        </w:rPr>
      </w:pPr>
      <w:r>
        <w:rPr>
          <w:noProof/>
        </w:rPr>
        <w:t>selbri logical variables, 409</w:t>
      </w:r>
    </w:p>
    <w:p w:rsidR="00B72047" w:rsidRDefault="00B72047">
      <w:pPr>
        <w:pStyle w:val="Index1"/>
        <w:rPr>
          <w:noProof/>
        </w:rPr>
      </w:pPr>
      <w:r>
        <w:rPr>
          <w:noProof/>
        </w:rPr>
        <w:t>selbri place structure: effect on operator formed by, 456; re-ordering, 504</w:t>
      </w:r>
    </w:p>
    <w:p w:rsidR="00B72047" w:rsidRDefault="00B72047">
      <w:pPr>
        <w:pStyle w:val="Index1"/>
        <w:rPr>
          <w:noProof/>
        </w:rPr>
      </w:pPr>
      <w:r>
        <w:rPr>
          <w:noProof/>
        </w:rPr>
        <w:t>selbri placement among sumti: effect of multiple quantification on, 407</w:t>
      </w:r>
    </w:p>
    <w:p w:rsidR="00B72047" w:rsidRDefault="00B72047">
      <w:pPr>
        <w:pStyle w:val="Index1"/>
        <w:rPr>
          <w:noProof/>
        </w:rPr>
      </w:pPr>
      <w:r>
        <w:rPr>
          <w:noProof/>
        </w:rPr>
        <w:t>selbri questions: quick-tour version, 23</w:t>
      </w:r>
    </w:p>
    <w:p w:rsidR="00B72047" w:rsidRDefault="00B72047">
      <w:pPr>
        <w:pStyle w:val="Index1"/>
        <w:rPr>
          <w:noProof/>
        </w:rPr>
      </w:pPr>
      <w:r>
        <w:rPr>
          <w:noProof/>
        </w:rPr>
        <w:t>selbri separator, 492</w:t>
      </w:r>
    </w:p>
    <w:p w:rsidR="00B72047" w:rsidRDefault="00B72047">
      <w:pPr>
        <w:pStyle w:val="Index1"/>
        <w:rPr>
          <w:noProof/>
        </w:rPr>
      </w:pPr>
      <w:r>
        <w:rPr>
          <w:noProof/>
        </w:rPr>
        <w:t>selbri to modal converter, 493</w:t>
      </w:r>
    </w:p>
    <w:p w:rsidR="00B72047" w:rsidRDefault="00B72047">
      <w:pPr>
        <w:pStyle w:val="Index1"/>
        <w:rPr>
          <w:noProof/>
        </w:rPr>
      </w:pPr>
      <w:r>
        <w:rPr>
          <w:noProof/>
        </w:rPr>
        <w:t>selbri variables: form when not in prenex, 410; prenex form as indefinite description, 409; quantified, 410</w:t>
      </w:r>
    </w:p>
    <w:p w:rsidR="00B72047" w:rsidRDefault="00B72047">
      <w:pPr>
        <w:pStyle w:val="Index1"/>
        <w:rPr>
          <w:noProof/>
        </w:rPr>
      </w:pPr>
      <w:r>
        <w:rPr>
          <w:noProof/>
        </w:rPr>
        <w:t>selbri-first bridi: effect on sumti places, 188; effect on use of cu, 190; specifying first sumti place in with fa, 190</w:t>
      </w:r>
    </w:p>
    <w:p w:rsidR="00B72047" w:rsidRDefault="00B72047">
      <w:pPr>
        <w:pStyle w:val="Index1"/>
        <w:rPr>
          <w:noProof/>
        </w:rPr>
      </w:pPr>
      <w:r>
        <w:rPr>
          <w:noProof/>
        </w:rPr>
        <w:t>self-orientation: example, 308</w:t>
      </w:r>
    </w:p>
    <w:p w:rsidR="00B72047" w:rsidRDefault="00B72047">
      <w:pPr>
        <w:pStyle w:val="Index1"/>
        <w:rPr>
          <w:noProof/>
        </w:rPr>
      </w:pPr>
      <w:r>
        <w:rPr>
          <w:noProof/>
        </w:rPr>
        <w:t>selma’o, 12, 396, 398</w:t>
      </w:r>
    </w:p>
    <w:p w:rsidR="00B72047" w:rsidRDefault="00B72047">
      <w:pPr>
        <w:pStyle w:val="Index1"/>
        <w:rPr>
          <w:noProof/>
        </w:rPr>
      </w:pPr>
      <w:r>
        <w:rPr>
          <w:noProof/>
        </w:rPr>
        <w:t>selma'o: cross-reference list of, 489; definition, 50; definition, quick-tour version, 27</w:t>
      </w:r>
    </w:p>
    <w:p w:rsidR="00B72047" w:rsidRDefault="00B72047">
      <w:pPr>
        <w:pStyle w:val="Index1"/>
        <w:rPr>
          <w:noProof/>
        </w:rPr>
      </w:pPr>
      <w:r>
        <w:rPr>
          <w:noProof/>
        </w:rPr>
        <w:t>seltau: compared with English adjective, 55; compared with English adverb, 55; definition, 95, 274; definition of, 84; effect on meaning of tanru, 84; filling sumti places in, 93</w:t>
      </w:r>
    </w:p>
    <w:p w:rsidR="00B72047" w:rsidRDefault="00B72047">
      <w:pPr>
        <w:pStyle w:val="Index1"/>
        <w:rPr>
          <w:noProof/>
        </w:rPr>
      </w:pPr>
      <w:r>
        <w:rPr>
          <w:noProof/>
        </w:rPr>
        <w:t>seltcita sumti: definition (see also modal sumti), 195</w:t>
      </w:r>
    </w:p>
    <w:p w:rsidR="00B72047" w:rsidRDefault="00B72047">
      <w:pPr>
        <w:pStyle w:val="Index1"/>
        <w:rPr>
          <w:noProof/>
        </w:rPr>
      </w:pPr>
      <w:r>
        <w:rPr>
          <w:noProof/>
        </w:rPr>
        <w:t>semantic primitives, 273</w:t>
      </w:r>
    </w:p>
    <w:p w:rsidR="00B72047" w:rsidRDefault="00B72047">
      <w:pPr>
        <w:pStyle w:val="Index1"/>
        <w:rPr>
          <w:noProof/>
        </w:rPr>
      </w:pPr>
      <w:r>
        <w:rPr>
          <w:noProof/>
        </w:rPr>
        <w:t>semau, 204</w:t>
      </w:r>
    </w:p>
    <w:p w:rsidR="00B72047" w:rsidRDefault="00B72047">
      <w:pPr>
        <w:pStyle w:val="Index1"/>
        <w:rPr>
          <w:noProof/>
        </w:rPr>
      </w:pPr>
      <w:r>
        <w:rPr>
          <w:noProof/>
        </w:rPr>
        <w:t>seme'a, 204</w:t>
      </w:r>
    </w:p>
    <w:p w:rsidR="00B72047" w:rsidRDefault="00B72047">
      <w:pPr>
        <w:pStyle w:val="Index1"/>
        <w:rPr>
          <w:noProof/>
        </w:rPr>
      </w:pPr>
      <w:r>
        <w:rPr>
          <w:noProof/>
        </w:rPr>
        <w:t>sentence: basic Lojban, 187</w:t>
      </w:r>
    </w:p>
    <w:p w:rsidR="00B72047" w:rsidRDefault="00B72047">
      <w:pPr>
        <w:pStyle w:val="Index1"/>
        <w:rPr>
          <w:noProof/>
        </w:rPr>
      </w:pPr>
      <w:r>
        <w:rPr>
          <w:noProof/>
        </w:rPr>
        <w:t>sentence 10.11: example, 445</w:t>
      </w:r>
    </w:p>
    <w:p w:rsidR="00B72047" w:rsidRDefault="00B72047">
      <w:pPr>
        <w:pStyle w:val="Index1"/>
        <w:rPr>
          <w:noProof/>
        </w:rPr>
      </w:pPr>
      <w:r>
        <w:rPr>
          <w:noProof/>
        </w:rPr>
        <w:t>sentence abstraction, 262</w:t>
      </w:r>
    </w:p>
    <w:p w:rsidR="00B72047" w:rsidRDefault="00B72047">
      <w:pPr>
        <w:pStyle w:val="Index1"/>
        <w:rPr>
          <w:noProof/>
        </w:rPr>
      </w:pPr>
      <w:r>
        <w:rPr>
          <w:noProof/>
        </w:rPr>
        <w:t>sentence grouping, 505</w:t>
      </w:r>
    </w:p>
    <w:p w:rsidR="00B72047" w:rsidRDefault="00B72047">
      <w:pPr>
        <w:pStyle w:val="Index1"/>
        <w:rPr>
          <w:noProof/>
        </w:rPr>
      </w:pPr>
      <w:r>
        <w:rPr>
          <w:noProof/>
        </w:rPr>
        <w:t>sentence separator, 495</w:t>
      </w:r>
    </w:p>
    <w:p w:rsidR="00B72047" w:rsidRDefault="00B72047">
      <w:pPr>
        <w:pStyle w:val="Index1"/>
        <w:rPr>
          <w:noProof/>
        </w:rPr>
      </w:pPr>
      <w:r>
        <w:rPr>
          <w:noProof/>
        </w:rPr>
        <w:t>sentences: close grouping, 466; connecting non-logically, 358; connecting with tense, 238; forethought tense connection of, 239; joining, 465; separator for joining, 465; tenseless, quick-tour version, 25</w:t>
      </w:r>
    </w:p>
    <w:p w:rsidR="00B72047" w:rsidRDefault="00B72047">
      <w:pPr>
        <w:pStyle w:val="Index1"/>
        <w:rPr>
          <w:noProof/>
        </w:rPr>
      </w:pPr>
      <w:r>
        <w:rPr>
          <w:noProof/>
        </w:rPr>
        <w:t>se'o, 316</w:t>
      </w:r>
    </w:p>
    <w:p w:rsidR="00B72047" w:rsidRDefault="00B72047">
      <w:pPr>
        <w:pStyle w:val="Index1"/>
        <w:rPr>
          <w:noProof/>
        </w:rPr>
      </w:pPr>
      <w:r>
        <w:rPr>
          <w:noProof/>
        </w:rPr>
        <w:t>separate questions: quick-tour version, 23</w:t>
      </w:r>
    </w:p>
    <w:p w:rsidR="00B72047" w:rsidRDefault="00B72047">
      <w:pPr>
        <w:pStyle w:val="Index1"/>
        <w:rPr>
          <w:noProof/>
        </w:rPr>
      </w:pPr>
      <w:r>
        <w:rPr>
          <w:noProof/>
        </w:rPr>
        <w:t>separately tensed sentences: contrasted with tense connected sentences, 239</w:t>
      </w:r>
    </w:p>
    <w:p w:rsidR="00B72047" w:rsidRDefault="00B72047">
      <w:pPr>
        <w:pStyle w:val="Index1"/>
        <w:rPr>
          <w:noProof/>
        </w:rPr>
      </w:pPr>
      <w:r>
        <w:rPr>
          <w:noProof/>
        </w:rPr>
        <w:t>sepi'o, 195</w:t>
      </w:r>
    </w:p>
    <w:p w:rsidR="00B72047" w:rsidRDefault="00B72047">
      <w:pPr>
        <w:pStyle w:val="Index1"/>
        <w:rPr>
          <w:noProof/>
        </w:rPr>
      </w:pPr>
      <w:r>
        <w:rPr>
          <w:noProof/>
        </w:rPr>
        <w:t>sepi'u, 354</w:t>
      </w:r>
    </w:p>
    <w:p w:rsidR="00B72047" w:rsidRDefault="00B72047">
      <w:pPr>
        <w:pStyle w:val="Index1"/>
        <w:rPr>
          <w:noProof/>
        </w:rPr>
      </w:pPr>
      <w:r>
        <w:rPr>
          <w:noProof/>
        </w:rPr>
        <w:t>sequence: as an abstract list, 355; contrasted with list, 355; contrasted with set, 134</w:t>
      </w:r>
    </w:p>
    <w:p w:rsidR="00B72047" w:rsidRDefault="00B72047">
      <w:pPr>
        <w:pStyle w:val="Index1"/>
        <w:rPr>
          <w:noProof/>
        </w:rPr>
      </w:pPr>
      <w:r>
        <w:rPr>
          <w:noProof/>
        </w:rPr>
        <w:t>sequence of events: expressing non-time-related sequences, 358</w:t>
      </w:r>
    </w:p>
    <w:p w:rsidR="00B72047" w:rsidRDefault="00B72047">
      <w:pPr>
        <w:pStyle w:val="Index1"/>
        <w:rPr>
          <w:noProof/>
        </w:rPr>
      </w:pPr>
      <w:r>
        <w:rPr>
          <w:noProof/>
        </w:rPr>
        <w:t>sequence of tense rules: Lojban contrasted with English, 238</w:t>
      </w:r>
    </w:p>
    <w:p w:rsidR="00B72047" w:rsidRDefault="00B72047">
      <w:pPr>
        <w:pStyle w:val="Index1"/>
        <w:rPr>
          <w:noProof/>
        </w:rPr>
      </w:pPr>
      <w:r>
        <w:rPr>
          <w:noProof/>
        </w:rPr>
        <w:t>set: as specified by members, 355; by listing members with ce, 355; compared with mass as abstract of multiple individuals, 125; contrasted with mass in attribution of component properties, 125; contrasted with mass in distribution of properties, 355; contrasted with ordered sequence, 355; expressing measurement standard for indefinites, 446; expressing relation with individuals forming set, 446; expressing relation with mass formed from set, 446</w:t>
      </w:r>
    </w:p>
    <w:p w:rsidR="00B72047" w:rsidRDefault="00B72047">
      <w:pPr>
        <w:pStyle w:val="Index1"/>
        <w:rPr>
          <w:noProof/>
        </w:rPr>
      </w:pPr>
      <w:r>
        <w:rPr>
          <w:noProof/>
        </w:rPr>
        <w:t>set of all rats: example, 447</w:t>
      </w:r>
    </w:p>
    <w:p w:rsidR="00B72047" w:rsidRDefault="00B72047">
      <w:pPr>
        <w:pStyle w:val="Index1"/>
        <w:rPr>
          <w:noProof/>
        </w:rPr>
      </w:pPr>
      <w:r>
        <w:rPr>
          <w:noProof/>
        </w:rPr>
        <w:t>set of rats: example, 135</w:t>
      </w:r>
    </w:p>
    <w:p w:rsidR="00B72047" w:rsidRDefault="00B72047">
      <w:pPr>
        <w:pStyle w:val="Index1"/>
        <w:rPr>
          <w:noProof/>
        </w:rPr>
      </w:pPr>
      <w:r>
        <w:rPr>
          <w:noProof/>
        </w:rPr>
        <w:t>set operations, 356</w:t>
      </w:r>
    </w:p>
    <w:p w:rsidR="00B72047" w:rsidRDefault="00B72047">
      <w:pPr>
        <w:pStyle w:val="Index1"/>
        <w:rPr>
          <w:noProof/>
        </w:rPr>
      </w:pPr>
      <w:r>
        <w:rPr>
          <w:noProof/>
        </w:rPr>
        <w:t>setese, 194</w:t>
      </w:r>
    </w:p>
    <w:p w:rsidR="00B72047" w:rsidRDefault="00B72047">
      <w:pPr>
        <w:pStyle w:val="Index1"/>
        <w:rPr>
          <w:noProof/>
        </w:rPr>
      </w:pPr>
      <w:r>
        <w:rPr>
          <w:noProof/>
        </w:rPr>
        <w:t>sets: properties of, 125; rule for implicit outer quantifier, 130; use in Lojban place structure, 125</w:t>
      </w:r>
    </w:p>
    <w:p w:rsidR="00B72047" w:rsidRDefault="00B72047">
      <w:pPr>
        <w:pStyle w:val="Index1"/>
        <w:rPr>
          <w:noProof/>
        </w:rPr>
      </w:pPr>
      <w:r>
        <w:rPr>
          <w:noProof/>
        </w:rPr>
        <w:t>se'u, 159, 482; as elidable terminator for soi, 159; elidability considerations, 159</w:t>
      </w:r>
    </w:p>
    <w:p w:rsidR="00B72047" w:rsidRDefault="00B72047">
      <w:pPr>
        <w:pStyle w:val="Index1"/>
        <w:rPr>
          <w:noProof/>
        </w:rPr>
      </w:pPr>
      <w:r>
        <w:rPr>
          <w:noProof/>
        </w:rPr>
        <w:t>sexual discomfort: example, 307</w:t>
      </w:r>
    </w:p>
    <w:p w:rsidR="00B72047" w:rsidRDefault="00B72047">
      <w:pPr>
        <w:pStyle w:val="Index1"/>
        <w:rPr>
          <w:noProof/>
        </w:rPr>
      </w:pPr>
      <w:r>
        <w:rPr>
          <w:noProof/>
        </w:rPr>
        <w:t>sexual teacher: male, example, 74</w:t>
      </w:r>
    </w:p>
    <w:p w:rsidR="00B72047" w:rsidRDefault="00B72047">
      <w:pPr>
        <w:pStyle w:val="Index1"/>
        <w:rPr>
          <w:noProof/>
        </w:rPr>
      </w:pPr>
      <w:r>
        <w:rPr>
          <w:noProof/>
        </w:rPr>
        <w:t>shared bridi-tail sumti: avoiding, 200</w:t>
      </w:r>
    </w:p>
    <w:p w:rsidR="00B72047" w:rsidRDefault="00B72047">
      <w:pPr>
        <w:pStyle w:val="Index1"/>
        <w:rPr>
          <w:noProof/>
        </w:rPr>
      </w:pPr>
      <w:r>
        <w:rPr>
          <w:noProof/>
        </w:rPr>
        <w:t>sheep breed, 290</w:t>
      </w:r>
    </w:p>
    <w:p w:rsidR="00B72047" w:rsidRDefault="00B72047">
      <w:pPr>
        <w:pStyle w:val="Index1"/>
        <w:rPr>
          <w:noProof/>
        </w:rPr>
      </w:pPr>
      <w:r>
        <w:rPr>
          <w:noProof/>
        </w:rPr>
        <w:t>sheep flock: example, 291</w:t>
      </w:r>
    </w:p>
    <w:p w:rsidR="00B72047" w:rsidRDefault="00B72047">
      <w:pPr>
        <w:pStyle w:val="Index1"/>
        <w:rPr>
          <w:noProof/>
        </w:rPr>
      </w:pPr>
      <w:r>
        <w:rPr>
          <w:noProof/>
        </w:rPr>
        <w:t>sheepdog, 290; example, 290</w:t>
      </w:r>
    </w:p>
    <w:p w:rsidR="00B72047" w:rsidRDefault="00B72047">
      <w:pPr>
        <w:pStyle w:val="Index1"/>
        <w:rPr>
          <w:noProof/>
        </w:rPr>
      </w:pPr>
      <w:r>
        <w:rPr>
          <w:noProof/>
        </w:rPr>
        <w:t>shell worm: example, 285</w:t>
      </w:r>
    </w:p>
    <w:p w:rsidR="00B72047" w:rsidRDefault="00B72047">
      <w:pPr>
        <w:pStyle w:val="Index1"/>
        <w:rPr>
          <w:noProof/>
        </w:rPr>
      </w:pPr>
      <w:r>
        <w:rPr>
          <w:noProof/>
        </w:rPr>
        <w:t>shellfish, 285; example, 285</w:t>
      </w:r>
    </w:p>
    <w:p w:rsidR="00B72047" w:rsidRDefault="00B72047">
      <w:pPr>
        <w:pStyle w:val="Index1"/>
        <w:rPr>
          <w:noProof/>
        </w:rPr>
      </w:pPr>
      <w:r>
        <w:rPr>
          <w:noProof/>
        </w:rPr>
        <w:t>Sherman tank: example, 60</w:t>
      </w:r>
    </w:p>
    <w:p w:rsidR="00B72047" w:rsidRDefault="00B72047">
      <w:pPr>
        <w:pStyle w:val="Index1"/>
        <w:rPr>
          <w:noProof/>
        </w:rPr>
      </w:pPr>
      <w:r>
        <w:rPr>
          <w:noProof/>
        </w:rPr>
        <w:t>shift: single-letter, grammar of, 415</w:t>
      </w:r>
    </w:p>
    <w:p w:rsidR="00B72047" w:rsidRDefault="00B72047">
      <w:pPr>
        <w:pStyle w:val="Index1"/>
        <w:rPr>
          <w:noProof/>
        </w:rPr>
      </w:pPr>
      <w:r>
        <w:rPr>
          <w:noProof/>
        </w:rPr>
        <w:t>shift word: canceling effect, 418; for face, 418; for font, 418; for single letter, 415; scope, 415</w:t>
      </w:r>
    </w:p>
    <w:p w:rsidR="00B72047" w:rsidRDefault="00B72047">
      <w:pPr>
        <w:pStyle w:val="Index1"/>
        <w:rPr>
          <w:noProof/>
        </w:rPr>
      </w:pPr>
      <w:r>
        <w:rPr>
          <w:noProof/>
        </w:rPr>
        <w:t>ship sank: example, 314</w:t>
      </w:r>
    </w:p>
    <w:p w:rsidR="00B72047" w:rsidRDefault="00B72047">
      <w:pPr>
        <w:pStyle w:val="Index1"/>
        <w:rPr>
          <w:noProof/>
        </w:rPr>
      </w:pPr>
      <w:r>
        <w:rPr>
          <w:noProof/>
        </w:rPr>
        <w:t>shoehorn, 281</w:t>
      </w:r>
    </w:p>
    <w:p w:rsidR="00B72047" w:rsidRDefault="00B72047">
      <w:pPr>
        <w:pStyle w:val="Index1"/>
        <w:rPr>
          <w:noProof/>
        </w:rPr>
      </w:pPr>
      <w:r>
        <w:rPr>
          <w:noProof/>
        </w:rPr>
        <w:t>shook stick: example, 145, 162</w:t>
      </w:r>
    </w:p>
    <w:p w:rsidR="00B72047" w:rsidRDefault="00B72047">
      <w:pPr>
        <w:pStyle w:val="Index1"/>
        <w:rPr>
          <w:noProof/>
        </w:rPr>
      </w:pPr>
      <w:r>
        <w:rPr>
          <w:noProof/>
        </w:rPr>
        <w:t>short rafsi, 57</w:t>
      </w:r>
    </w:p>
    <w:p w:rsidR="00B72047" w:rsidRDefault="00B72047">
      <w:pPr>
        <w:pStyle w:val="Index1"/>
        <w:rPr>
          <w:noProof/>
        </w:rPr>
      </w:pPr>
      <w:r>
        <w:rPr>
          <w:noProof/>
        </w:rPr>
        <w:t>short rafsi form: compared with long form in effect on lujvo meaning, 56</w:t>
      </w:r>
    </w:p>
    <w:p w:rsidR="00B72047" w:rsidRDefault="00B72047">
      <w:pPr>
        <w:pStyle w:val="Index1"/>
        <w:rPr>
          <w:noProof/>
        </w:rPr>
      </w:pPr>
      <w:r>
        <w:rPr>
          <w:noProof/>
        </w:rPr>
        <w:t>si, 312, 416, 477, 482; interaction with bu, 416</w:t>
      </w:r>
    </w:p>
    <w:p w:rsidR="00B72047" w:rsidRDefault="00B72047">
      <w:pPr>
        <w:pStyle w:val="Index1"/>
        <w:rPr>
          <w:noProof/>
        </w:rPr>
      </w:pPr>
      <w:r>
        <w:rPr>
          <w:noProof/>
        </w:rPr>
        <w:t>SI selma’o, 482, 504</w:t>
      </w:r>
    </w:p>
    <w:p w:rsidR="00B72047" w:rsidRDefault="00B72047">
      <w:pPr>
        <w:pStyle w:val="Index1"/>
        <w:rPr>
          <w:noProof/>
        </w:rPr>
      </w:pPr>
      <w:r>
        <w:rPr>
          <w:noProof/>
        </w:rPr>
        <w:t>si'a, 317</w:t>
      </w:r>
    </w:p>
    <w:p w:rsidR="00B72047" w:rsidRDefault="00B72047">
      <w:pPr>
        <w:pStyle w:val="Index1"/>
        <w:rPr>
          <w:noProof/>
        </w:rPr>
      </w:pPr>
      <w:r>
        <w:rPr>
          <w:noProof/>
        </w:rPr>
        <w:t>si'e, 447</w:t>
      </w:r>
    </w:p>
    <w:p w:rsidR="00B72047" w:rsidRDefault="00B72047">
      <w:pPr>
        <w:pStyle w:val="Index1"/>
        <w:rPr>
          <w:noProof/>
        </w:rPr>
      </w:pPr>
      <w:r>
        <w:rPr>
          <w:noProof/>
        </w:rPr>
        <w:t>signed numbers: expressing, 432</w:t>
      </w:r>
    </w:p>
    <w:p w:rsidR="00B72047" w:rsidRDefault="00B72047">
      <w:pPr>
        <w:pStyle w:val="Index1"/>
        <w:rPr>
          <w:noProof/>
        </w:rPr>
      </w:pPr>
      <w:r>
        <w:rPr>
          <w:noProof/>
        </w:rPr>
        <w:t>signs on numbers: grammar, 433</w:t>
      </w:r>
    </w:p>
    <w:p w:rsidR="00B72047" w:rsidRDefault="00B72047">
      <w:pPr>
        <w:pStyle w:val="Index1"/>
        <w:rPr>
          <w:noProof/>
        </w:rPr>
      </w:pPr>
      <w:r>
        <w:rPr>
          <w:noProof/>
        </w:rPr>
        <w:t>Simon says: example, 149</w:t>
      </w:r>
    </w:p>
    <w:p w:rsidR="00B72047" w:rsidRDefault="00B72047">
      <w:pPr>
        <w:pStyle w:val="Index1"/>
        <w:rPr>
          <w:noProof/>
        </w:rPr>
      </w:pPr>
      <w:r>
        <w:rPr>
          <w:noProof/>
        </w:rPr>
        <w:t>simple bridi: terminator for, 506</w:t>
      </w:r>
    </w:p>
    <w:p w:rsidR="00B72047" w:rsidRDefault="00B72047">
      <w:pPr>
        <w:pStyle w:val="Index1"/>
        <w:rPr>
          <w:noProof/>
        </w:rPr>
      </w:pPr>
      <w:r>
        <w:rPr>
          <w:noProof/>
        </w:rPr>
        <w:t>simple sumti, 119</w:t>
      </w:r>
    </w:p>
    <w:p w:rsidR="00B72047" w:rsidRDefault="00B72047">
      <w:pPr>
        <w:pStyle w:val="Index1"/>
        <w:rPr>
          <w:noProof/>
        </w:rPr>
      </w:pPr>
      <w:r>
        <w:rPr>
          <w:noProof/>
        </w:rPr>
        <w:t>simultaneously: example, 364</w:t>
      </w:r>
    </w:p>
    <w:p w:rsidR="00B72047" w:rsidRDefault="00B72047">
      <w:pPr>
        <w:pStyle w:val="Index1"/>
        <w:rPr>
          <w:noProof/>
        </w:rPr>
      </w:pPr>
      <w:r>
        <w:rPr>
          <w:noProof/>
        </w:rPr>
        <w:t>sinful: example, 309</w:t>
      </w:r>
    </w:p>
    <w:p w:rsidR="00B72047" w:rsidRDefault="00B72047">
      <w:pPr>
        <w:pStyle w:val="Index1"/>
        <w:rPr>
          <w:noProof/>
        </w:rPr>
      </w:pPr>
      <w:r>
        <w:rPr>
          <w:noProof/>
        </w:rPr>
        <w:t>single consonants: contrasted with consonant clusters, 35; contrasted with doubled consonants, 35</w:t>
      </w:r>
    </w:p>
    <w:p w:rsidR="00B72047" w:rsidRDefault="00B72047">
      <w:pPr>
        <w:pStyle w:val="Index1"/>
        <w:rPr>
          <w:noProof/>
        </w:rPr>
      </w:pPr>
      <w:r>
        <w:rPr>
          <w:noProof/>
        </w:rPr>
        <w:t>single-letter shift: as toggle, 415</w:t>
      </w:r>
    </w:p>
    <w:p w:rsidR="00B72047" w:rsidRDefault="00B72047">
      <w:pPr>
        <w:pStyle w:val="Index1"/>
        <w:rPr>
          <w:noProof/>
        </w:rPr>
      </w:pPr>
      <w:r>
        <w:rPr>
          <w:noProof/>
        </w:rPr>
        <w:t>single-word quotation, 141</w:t>
      </w:r>
    </w:p>
    <w:p w:rsidR="00B72047" w:rsidRDefault="00B72047">
      <w:pPr>
        <w:pStyle w:val="Index1"/>
        <w:rPr>
          <w:noProof/>
        </w:rPr>
      </w:pPr>
      <w:r>
        <w:rPr>
          <w:noProof/>
        </w:rPr>
        <w:t>singular me: example, 446</w:t>
      </w:r>
    </w:p>
    <w:p w:rsidR="00B72047" w:rsidRDefault="00B72047">
      <w:pPr>
        <w:pStyle w:val="Index1"/>
        <w:rPr>
          <w:noProof/>
        </w:rPr>
      </w:pPr>
      <w:r>
        <w:rPr>
          <w:noProof/>
        </w:rPr>
        <w:t>si'o, 265</w:t>
      </w:r>
    </w:p>
    <w:p w:rsidR="00B72047" w:rsidRDefault="00B72047">
      <w:pPr>
        <w:pStyle w:val="Index1"/>
        <w:rPr>
          <w:noProof/>
        </w:rPr>
      </w:pPr>
      <w:r>
        <w:rPr>
          <w:noProof/>
        </w:rPr>
        <w:t>sister pregnant: example, 320</w:t>
      </w:r>
    </w:p>
    <w:p w:rsidR="00B72047" w:rsidRDefault="00B72047">
      <w:pPr>
        <w:pStyle w:val="Index1"/>
        <w:rPr>
          <w:noProof/>
        </w:rPr>
      </w:pPr>
      <w:r>
        <w:rPr>
          <w:noProof/>
        </w:rPr>
        <w:t>six-shooter: example, 246</w:t>
      </w:r>
    </w:p>
    <w:p w:rsidR="00B72047" w:rsidRDefault="00B72047">
      <w:pPr>
        <w:pStyle w:val="Index1"/>
        <w:rPr>
          <w:noProof/>
        </w:rPr>
      </w:pPr>
      <w:r>
        <w:rPr>
          <w:noProof/>
        </w:rPr>
        <w:t>size: order with dimensionality in spatial tense intervals, 224</w:t>
      </w:r>
    </w:p>
    <w:p w:rsidR="00B72047" w:rsidRDefault="00B72047">
      <w:pPr>
        <w:pStyle w:val="Index1"/>
        <w:rPr>
          <w:noProof/>
        </w:rPr>
      </w:pPr>
      <w:r>
        <w:rPr>
          <w:noProof/>
        </w:rPr>
        <w:t>slinku'i test: definition, 62</w:t>
      </w:r>
    </w:p>
    <w:p w:rsidR="00B72047" w:rsidRDefault="00B72047">
      <w:pPr>
        <w:pStyle w:val="Index1"/>
        <w:rPr>
          <w:noProof/>
        </w:rPr>
      </w:pPr>
      <w:r>
        <w:rPr>
          <w:noProof/>
        </w:rPr>
        <w:t>slowdown, 258</w:t>
      </w:r>
    </w:p>
    <w:p w:rsidR="00B72047" w:rsidRDefault="00B72047">
      <w:pPr>
        <w:pStyle w:val="Index1"/>
        <w:rPr>
          <w:noProof/>
        </w:rPr>
      </w:pPr>
      <w:r>
        <w:rPr>
          <w:noProof/>
        </w:rPr>
        <w:t>smiley face: example, 416; word for, 416</w:t>
      </w:r>
    </w:p>
    <w:p w:rsidR="00B72047" w:rsidRDefault="00B72047">
      <w:pPr>
        <w:pStyle w:val="Index1"/>
        <w:rPr>
          <w:noProof/>
        </w:rPr>
      </w:pPr>
      <w:r>
        <w:rPr>
          <w:noProof/>
        </w:rPr>
        <w:t>sneak in: example, 285</w:t>
      </w:r>
    </w:p>
    <w:p w:rsidR="00B72047" w:rsidRDefault="00B72047">
      <w:pPr>
        <w:pStyle w:val="Index1"/>
        <w:rPr>
          <w:noProof/>
        </w:rPr>
      </w:pPr>
      <w:r>
        <w:rPr>
          <w:noProof/>
        </w:rPr>
        <w:t>snow falls: example, 233</w:t>
      </w:r>
    </w:p>
    <w:p w:rsidR="00B72047" w:rsidRDefault="00B72047">
      <w:pPr>
        <w:pStyle w:val="Index1"/>
        <w:rPr>
          <w:noProof/>
        </w:rPr>
      </w:pPr>
      <w:r>
        <w:rPr>
          <w:noProof/>
        </w:rPr>
        <w:t>snowball's chance: example, 448</w:t>
      </w:r>
    </w:p>
    <w:p w:rsidR="00B72047" w:rsidRDefault="00B72047">
      <w:pPr>
        <w:pStyle w:val="Index1"/>
        <w:rPr>
          <w:noProof/>
        </w:rPr>
      </w:pPr>
      <w:r>
        <w:rPr>
          <w:noProof/>
        </w:rPr>
        <w:t>so'a, 440</w:t>
      </w:r>
    </w:p>
    <w:p w:rsidR="00B72047" w:rsidRDefault="00B72047">
      <w:pPr>
        <w:pStyle w:val="Index1"/>
        <w:rPr>
          <w:noProof/>
        </w:rPr>
      </w:pPr>
      <w:r>
        <w:rPr>
          <w:noProof/>
        </w:rPr>
        <w:t>social butterfly: example, 18</w:t>
      </w:r>
    </w:p>
    <w:p w:rsidR="00B72047" w:rsidRDefault="00B72047">
      <w:pPr>
        <w:pStyle w:val="Index1"/>
        <w:rPr>
          <w:noProof/>
        </w:rPr>
      </w:pPr>
      <w:r>
        <w:rPr>
          <w:noProof/>
        </w:rPr>
        <w:t>Socrates: example, 198</w:t>
      </w:r>
    </w:p>
    <w:p w:rsidR="00B72047" w:rsidRDefault="00B72047">
      <w:pPr>
        <w:pStyle w:val="Index1"/>
        <w:rPr>
          <w:noProof/>
        </w:rPr>
      </w:pPr>
      <w:r>
        <w:rPr>
          <w:noProof/>
        </w:rPr>
        <w:t>so'e, 440; meaning of, 441</w:t>
      </w:r>
    </w:p>
    <w:p w:rsidR="00B72047" w:rsidRDefault="00B72047">
      <w:pPr>
        <w:pStyle w:val="Index1"/>
        <w:rPr>
          <w:noProof/>
        </w:rPr>
      </w:pPr>
      <w:r>
        <w:rPr>
          <w:noProof/>
        </w:rPr>
        <w:t>so'i, 440</w:t>
      </w:r>
    </w:p>
    <w:p w:rsidR="00B72047" w:rsidRDefault="00B72047">
      <w:pPr>
        <w:pStyle w:val="Index1"/>
        <w:rPr>
          <w:noProof/>
        </w:rPr>
      </w:pPr>
      <w:r>
        <w:rPr>
          <w:noProof/>
        </w:rPr>
        <w:t>soi, 159; use in expressing reciprocity, 159; use in expressing reciprocity with vo'a-series pro-sumti, 159</w:t>
      </w:r>
    </w:p>
    <w:p w:rsidR="00B72047" w:rsidRDefault="00B72047">
      <w:pPr>
        <w:pStyle w:val="Index1"/>
        <w:rPr>
          <w:noProof/>
        </w:rPr>
      </w:pPr>
      <w:r>
        <w:rPr>
          <w:noProof/>
        </w:rPr>
        <w:t>SOI selma’o, 159, 504; terminator for, 504</w:t>
      </w:r>
    </w:p>
    <w:p w:rsidR="00B72047" w:rsidRDefault="00B72047">
      <w:pPr>
        <w:pStyle w:val="Index1"/>
        <w:rPr>
          <w:noProof/>
        </w:rPr>
      </w:pPr>
      <w:r>
        <w:rPr>
          <w:noProof/>
        </w:rPr>
        <w:t>soi with one following sumti: convention, 159</w:t>
      </w:r>
    </w:p>
    <w:p w:rsidR="00B72047" w:rsidRDefault="00B72047">
      <w:pPr>
        <w:pStyle w:val="Index1"/>
        <w:rPr>
          <w:noProof/>
        </w:rPr>
      </w:pPr>
      <w:r>
        <w:rPr>
          <w:noProof/>
        </w:rPr>
        <w:t>some do not go to school: example, 405</w:t>
      </w:r>
    </w:p>
    <w:p w:rsidR="00B72047" w:rsidRDefault="00B72047">
      <w:pPr>
        <w:pStyle w:val="Index1"/>
        <w:rPr>
          <w:noProof/>
        </w:rPr>
      </w:pPr>
      <w:r>
        <w:rPr>
          <w:noProof/>
        </w:rPr>
        <w:t>some relationship: example, 409</w:t>
      </w:r>
    </w:p>
    <w:p w:rsidR="00B72047" w:rsidRDefault="00B72047">
      <w:pPr>
        <w:pStyle w:val="Index1"/>
        <w:rPr>
          <w:noProof/>
        </w:rPr>
      </w:pPr>
      <w:r>
        <w:rPr>
          <w:noProof/>
        </w:rPr>
        <w:t>somebody: contrasted with somebody else, 393</w:t>
      </w:r>
    </w:p>
    <w:p w:rsidR="00B72047" w:rsidRDefault="00B72047">
      <w:pPr>
        <w:pStyle w:val="Index1"/>
        <w:rPr>
          <w:noProof/>
        </w:rPr>
      </w:pPr>
      <w:r>
        <w:rPr>
          <w:noProof/>
        </w:rPr>
        <w:t>somebody loves self: example, 393</w:t>
      </w:r>
    </w:p>
    <w:p w:rsidR="00B72047" w:rsidRDefault="00B72047">
      <w:pPr>
        <w:pStyle w:val="Index1"/>
        <w:rPr>
          <w:noProof/>
        </w:rPr>
      </w:pPr>
      <w:r>
        <w:rPr>
          <w:noProof/>
        </w:rPr>
        <w:t>somebody loves somebody: example, 393</w:t>
      </w:r>
    </w:p>
    <w:p w:rsidR="00B72047" w:rsidRDefault="00B72047">
      <w:pPr>
        <w:pStyle w:val="Index1"/>
        <w:rPr>
          <w:noProof/>
        </w:rPr>
      </w:pPr>
      <w:r>
        <w:rPr>
          <w:noProof/>
        </w:rPr>
        <w:t>somebody's dog: example, 393</w:t>
      </w:r>
    </w:p>
    <w:p w:rsidR="00B72047" w:rsidRDefault="00B72047">
      <w:pPr>
        <w:pStyle w:val="Index1"/>
        <w:rPr>
          <w:noProof/>
        </w:rPr>
      </w:pPr>
      <w:r>
        <w:rPr>
          <w:noProof/>
        </w:rPr>
        <w:t>something: contrasted with someone, 395; expressing using “su'o”, 397; unspecified definite with “zo'e”, 392</w:t>
      </w:r>
    </w:p>
    <w:p w:rsidR="00B72047" w:rsidRDefault="00B72047">
      <w:pPr>
        <w:pStyle w:val="Index1"/>
        <w:rPr>
          <w:noProof/>
        </w:rPr>
      </w:pPr>
      <w:r>
        <w:rPr>
          <w:noProof/>
        </w:rPr>
        <w:t>something is loved by everybody: example, 402</w:t>
      </w:r>
    </w:p>
    <w:p w:rsidR="00B72047" w:rsidRDefault="00B72047">
      <w:pPr>
        <w:pStyle w:val="Index1"/>
        <w:rPr>
          <w:noProof/>
        </w:rPr>
      </w:pPr>
      <w:r>
        <w:rPr>
          <w:noProof/>
        </w:rPr>
        <w:t>something sees everything: example, 394</w:t>
      </w:r>
    </w:p>
    <w:p w:rsidR="00B72047" w:rsidRDefault="00B72047">
      <w:pPr>
        <w:pStyle w:val="Index1"/>
        <w:rPr>
          <w:noProof/>
        </w:rPr>
      </w:pPr>
      <w:r>
        <w:rPr>
          <w:noProof/>
        </w:rPr>
        <w:t>something sees me: example, 392, 397</w:t>
      </w:r>
    </w:p>
    <w:p w:rsidR="00B72047" w:rsidRDefault="00B72047">
      <w:pPr>
        <w:pStyle w:val="Index1"/>
        <w:rPr>
          <w:noProof/>
        </w:rPr>
      </w:pPr>
      <w:r>
        <w:rPr>
          <w:noProof/>
        </w:rPr>
        <w:t>so'o, 440</w:t>
      </w:r>
    </w:p>
    <w:p w:rsidR="00B72047" w:rsidRDefault="00B72047">
      <w:pPr>
        <w:pStyle w:val="Index1"/>
        <w:rPr>
          <w:noProof/>
        </w:rPr>
      </w:pPr>
      <w:r>
        <w:rPr>
          <w:noProof/>
        </w:rPr>
        <w:t>so'u, 440</w:t>
      </w:r>
    </w:p>
    <w:p w:rsidR="00B72047" w:rsidRDefault="00B72047">
      <w:pPr>
        <w:pStyle w:val="Index1"/>
        <w:rPr>
          <w:noProof/>
        </w:rPr>
      </w:pPr>
      <w:r>
        <w:rPr>
          <w:noProof/>
        </w:rPr>
        <w:t>sounds: clarity of, 31; complex, 31; difficult, 31</w:t>
      </w:r>
    </w:p>
    <w:p w:rsidR="00B72047" w:rsidRDefault="00B72047">
      <w:pPr>
        <w:pStyle w:val="Index1"/>
        <w:rPr>
          <w:noProof/>
        </w:rPr>
      </w:pPr>
      <w:r>
        <w:rPr>
          <w:noProof/>
        </w:rPr>
        <w:t>sounds for letters: Lojban contrasted with English, 31</w:t>
      </w:r>
    </w:p>
    <w:p w:rsidR="00B72047" w:rsidRDefault="00B72047">
      <w:pPr>
        <w:pStyle w:val="Index1"/>
        <w:rPr>
          <w:noProof/>
        </w:rPr>
      </w:pPr>
      <w:r>
        <w:rPr>
          <w:noProof/>
        </w:rPr>
        <w:t>source languages: use in creating gismu, 75</w:t>
      </w:r>
    </w:p>
    <w:p w:rsidR="00B72047" w:rsidRDefault="00B72047">
      <w:pPr>
        <w:pStyle w:val="Index1"/>
        <w:rPr>
          <w:noProof/>
        </w:rPr>
      </w:pPr>
      <w:r>
        <w:rPr>
          <w:noProof/>
        </w:rPr>
        <w:t>south face: example, 231</w:t>
      </w:r>
    </w:p>
    <w:p w:rsidR="00B72047" w:rsidRDefault="00B72047">
      <w:pPr>
        <w:pStyle w:val="Index1"/>
        <w:rPr>
          <w:noProof/>
        </w:rPr>
      </w:pPr>
      <w:r>
        <w:rPr>
          <w:noProof/>
        </w:rPr>
        <w:t>sow grain: example, 231</w:t>
      </w:r>
    </w:p>
    <w:p w:rsidR="00B72047" w:rsidRDefault="00B72047">
      <w:pPr>
        <w:pStyle w:val="Index1"/>
        <w:rPr>
          <w:noProof/>
        </w:rPr>
      </w:pPr>
      <w:r>
        <w:rPr>
          <w:noProof/>
        </w:rPr>
        <w:t>sowed grain: example, 250</w:t>
      </w:r>
    </w:p>
    <w:p w:rsidR="00B72047" w:rsidRDefault="00B72047">
      <w:pPr>
        <w:pStyle w:val="Index1"/>
        <w:rPr>
          <w:noProof/>
        </w:rPr>
      </w:pPr>
      <w:r>
        <w:rPr>
          <w:noProof/>
        </w:rPr>
        <w:t>space: as time-based metaphor, 231; contrasted with time in number of directions, 219</w:t>
      </w:r>
    </w:p>
    <w:p w:rsidR="00B72047" w:rsidRDefault="00B72047">
      <w:pPr>
        <w:pStyle w:val="Index1"/>
        <w:rPr>
          <w:noProof/>
        </w:rPr>
      </w:pPr>
      <w:r>
        <w:rPr>
          <w:noProof/>
        </w:rPr>
        <w:t>space indicator for interval modifiers, 493</w:t>
      </w:r>
    </w:p>
    <w:p w:rsidR="00B72047" w:rsidRDefault="00B72047">
      <w:pPr>
        <w:pStyle w:val="Index1"/>
        <w:rPr>
          <w:noProof/>
        </w:rPr>
      </w:pPr>
      <w:r>
        <w:rPr>
          <w:noProof/>
        </w:rPr>
        <w:t>space interval: compared with time intervals in continuity, 230</w:t>
      </w:r>
    </w:p>
    <w:p w:rsidR="00B72047" w:rsidRDefault="00B72047">
      <w:pPr>
        <w:pStyle w:val="Index1"/>
        <w:rPr>
          <w:noProof/>
        </w:rPr>
      </w:pPr>
      <w:r>
        <w:rPr>
          <w:noProof/>
        </w:rPr>
        <w:t>space location: as part of tense system (see also tense, spatial tense), 215</w:t>
      </w:r>
    </w:p>
    <w:p w:rsidR="00B72047" w:rsidRDefault="00B72047">
      <w:pPr>
        <w:pStyle w:val="Index1"/>
        <w:rPr>
          <w:noProof/>
        </w:rPr>
      </w:pPr>
      <w:r>
        <w:rPr>
          <w:noProof/>
        </w:rPr>
        <w:t>space movement indicator, 501</w:t>
      </w:r>
    </w:p>
    <w:p w:rsidR="00B72047" w:rsidRDefault="00B72047">
      <w:pPr>
        <w:pStyle w:val="Index1"/>
        <w:rPr>
          <w:noProof/>
        </w:rPr>
      </w:pPr>
      <w:r>
        <w:rPr>
          <w:noProof/>
        </w:rPr>
        <w:t>space tenses: quick-tour version, 26</w:t>
      </w:r>
    </w:p>
    <w:p w:rsidR="00B72047" w:rsidRDefault="00B72047">
      <w:pPr>
        <w:pStyle w:val="Index1"/>
        <w:rPr>
          <w:noProof/>
        </w:rPr>
      </w:pPr>
      <w:r>
        <w:rPr>
          <w:noProof/>
        </w:rPr>
        <w:t>space/time metaphor: expressing direction mapping for, 231</w:t>
      </w:r>
    </w:p>
    <w:p w:rsidR="00B72047" w:rsidRDefault="00B72047">
      <w:pPr>
        <w:pStyle w:val="Index1"/>
        <w:rPr>
          <w:noProof/>
        </w:rPr>
      </w:pPr>
      <w:r>
        <w:rPr>
          <w:noProof/>
        </w:rPr>
        <w:t>spaghetti, 61; example, 63</w:t>
      </w:r>
    </w:p>
    <w:p w:rsidR="00B72047" w:rsidRDefault="00B72047">
      <w:pPr>
        <w:pStyle w:val="Index1"/>
        <w:rPr>
          <w:noProof/>
        </w:rPr>
      </w:pPr>
      <w:r>
        <w:rPr>
          <w:noProof/>
        </w:rPr>
        <w:t>Spanish ch: example, 419</w:t>
      </w:r>
    </w:p>
    <w:p w:rsidR="00B72047" w:rsidRDefault="00B72047">
      <w:pPr>
        <w:pStyle w:val="Index1"/>
        <w:rPr>
          <w:noProof/>
        </w:rPr>
      </w:pPr>
      <w:r>
        <w:rPr>
          <w:noProof/>
        </w:rPr>
        <w:t>Spanish ll: example, 419</w:t>
      </w:r>
    </w:p>
    <w:p w:rsidR="00B72047" w:rsidRDefault="00B72047">
      <w:pPr>
        <w:pStyle w:val="Index1"/>
        <w:rPr>
          <w:noProof/>
        </w:rPr>
      </w:pPr>
      <w:r>
        <w:rPr>
          <w:noProof/>
        </w:rPr>
        <w:t>spatial contours: as sumti tcita, 232; contrasted with temporal event contours, 231; expressing, 231</w:t>
      </w:r>
    </w:p>
    <w:p w:rsidR="00B72047" w:rsidRDefault="00B72047">
      <w:pPr>
        <w:pStyle w:val="Index1"/>
        <w:rPr>
          <w:noProof/>
        </w:rPr>
      </w:pPr>
      <w:r>
        <w:rPr>
          <w:noProof/>
        </w:rPr>
        <w:t>spatial directions: list of, 253</w:t>
      </w:r>
    </w:p>
    <w:p w:rsidR="00B72047" w:rsidRDefault="00B72047">
      <w:pPr>
        <w:pStyle w:val="Index1"/>
        <w:rPr>
          <w:noProof/>
        </w:rPr>
      </w:pPr>
      <w:r>
        <w:rPr>
          <w:noProof/>
        </w:rPr>
        <w:t>spatial information: adding to a sentence with tense sumti tcita, 231</w:t>
      </w:r>
    </w:p>
    <w:p w:rsidR="00B72047" w:rsidRDefault="00B72047">
      <w:pPr>
        <w:pStyle w:val="Index1"/>
        <w:rPr>
          <w:noProof/>
        </w:rPr>
      </w:pPr>
      <w:r>
        <w:rPr>
          <w:noProof/>
        </w:rPr>
        <w:t>spatial interval: expressing degree of continuity over, 230</w:t>
      </w:r>
    </w:p>
    <w:p w:rsidR="00B72047" w:rsidRDefault="00B72047">
      <w:pPr>
        <w:pStyle w:val="Index1"/>
        <w:rPr>
          <w:noProof/>
        </w:rPr>
      </w:pPr>
      <w:r>
        <w:rPr>
          <w:noProof/>
        </w:rPr>
        <w:t>spatial interval modifiers: order in tense, 230</w:t>
      </w:r>
    </w:p>
    <w:p w:rsidR="00B72047" w:rsidRDefault="00B72047">
      <w:pPr>
        <w:pStyle w:val="Index1"/>
        <w:rPr>
          <w:noProof/>
        </w:rPr>
      </w:pPr>
      <w:r>
        <w:rPr>
          <w:noProof/>
        </w:rPr>
        <w:t>spatial tense: 4-dimensional interaction with temporal tense, 224; as an imaginary journey, 217; as optional in English, 217; as sumti tcita, 232; compared with temporal tense in elidability, 217; contrasted with temporal in dimensionality, 223; definition, 217; direction, 217; distance, 217; four-dimensional, 224; linear, 223; one-dimensional, 223; order of direction and distance specification, 217; order relative to temporal, 219; planar, 223; reference frame, 217; referent of, 217; three-dimensional, 223; two-dimensional, 223</w:t>
      </w:r>
    </w:p>
    <w:p w:rsidR="00B72047" w:rsidRDefault="00B72047">
      <w:pPr>
        <w:pStyle w:val="Index1"/>
        <w:rPr>
          <w:noProof/>
        </w:rPr>
      </w:pPr>
      <w:r>
        <w:rPr>
          <w:noProof/>
        </w:rPr>
        <w:t>spatial tense interval: order of size and dimensionality in, 224; order of VEhA and VIhA in, 224</w:t>
      </w:r>
    </w:p>
    <w:p w:rsidR="00B72047" w:rsidRDefault="00B72047">
      <w:pPr>
        <w:pStyle w:val="Index1"/>
        <w:rPr>
          <w:noProof/>
        </w:rPr>
      </w:pPr>
      <w:r>
        <w:rPr>
          <w:noProof/>
        </w:rPr>
        <w:t>speaker-listener cooperation, 23</w:t>
      </w:r>
    </w:p>
    <w:p w:rsidR="00B72047" w:rsidRDefault="00B72047">
      <w:pPr>
        <w:pStyle w:val="Index1"/>
        <w:rPr>
          <w:noProof/>
        </w:rPr>
      </w:pPr>
      <w:r>
        <w:rPr>
          <w:noProof/>
        </w:rPr>
        <w:t>speaker-relative viewpoint: contrasted with event-relative viewpoint, 228</w:t>
      </w:r>
    </w:p>
    <w:p w:rsidR="00B72047" w:rsidRDefault="00B72047">
      <w:pPr>
        <w:pStyle w:val="Index1"/>
        <w:rPr>
          <w:noProof/>
        </w:rPr>
      </w:pPr>
      <w:r>
        <w:rPr>
          <w:noProof/>
        </w:rPr>
        <w:t>speaker's state of knowledge, 319</w:t>
      </w:r>
    </w:p>
    <w:p w:rsidR="00B72047" w:rsidRDefault="00B72047">
      <w:pPr>
        <w:pStyle w:val="Index1"/>
        <w:rPr>
          <w:noProof/>
        </w:rPr>
      </w:pPr>
      <w:r>
        <w:rPr>
          <w:noProof/>
        </w:rPr>
        <w:t>specific descriptions, 121</w:t>
      </w:r>
    </w:p>
    <w:p w:rsidR="00B72047" w:rsidRDefault="00B72047">
      <w:pPr>
        <w:pStyle w:val="Index1"/>
        <w:rPr>
          <w:noProof/>
        </w:rPr>
      </w:pPr>
      <w:r>
        <w:rPr>
          <w:noProof/>
        </w:rPr>
        <w:t>specific terms: use of fu'ivla for, 61</w:t>
      </w:r>
    </w:p>
    <w:p w:rsidR="00B72047" w:rsidRDefault="00B72047">
      <w:pPr>
        <w:pStyle w:val="Index1"/>
        <w:rPr>
          <w:noProof/>
        </w:rPr>
      </w:pPr>
      <w:r>
        <w:rPr>
          <w:noProof/>
        </w:rPr>
        <w:t>specificity: expressing with po, 173</w:t>
      </w:r>
    </w:p>
    <w:p w:rsidR="00B72047" w:rsidRDefault="00B72047">
      <w:pPr>
        <w:pStyle w:val="Index1"/>
        <w:rPr>
          <w:noProof/>
        </w:rPr>
      </w:pPr>
      <w:r>
        <w:rPr>
          <w:noProof/>
        </w:rPr>
        <w:t>speech rhythm: for grouping in English, 85</w:t>
      </w:r>
    </w:p>
    <w:p w:rsidR="00B72047" w:rsidRDefault="00B72047">
      <w:pPr>
        <w:pStyle w:val="Index1"/>
        <w:rPr>
          <w:noProof/>
        </w:rPr>
      </w:pPr>
      <w:r>
        <w:rPr>
          <w:noProof/>
        </w:rPr>
        <w:t>spelling out words: Lojban contrasted with English, 414</w:t>
      </w:r>
    </w:p>
    <w:p w:rsidR="00B72047" w:rsidRDefault="00B72047">
      <w:pPr>
        <w:pStyle w:val="Index1"/>
        <w:rPr>
          <w:noProof/>
        </w:rPr>
      </w:pPr>
      <w:r>
        <w:rPr>
          <w:noProof/>
        </w:rPr>
        <w:t>spiritual discomfort: example, 307</w:t>
      </w:r>
    </w:p>
    <w:p w:rsidR="00B72047" w:rsidRDefault="00B72047">
      <w:pPr>
        <w:pStyle w:val="Index1"/>
        <w:rPr>
          <w:noProof/>
        </w:rPr>
      </w:pPr>
      <w:r>
        <w:rPr>
          <w:noProof/>
        </w:rPr>
        <w:t>SQL: example, 424</w:t>
      </w:r>
    </w:p>
    <w:p w:rsidR="00B72047" w:rsidRDefault="00B72047">
      <w:pPr>
        <w:pStyle w:val="Index1"/>
        <w:rPr>
          <w:noProof/>
        </w:rPr>
      </w:pPr>
      <w:r>
        <w:rPr>
          <w:noProof/>
        </w:rPr>
        <w:t>square brackets: use of in notation, 5</w:t>
      </w:r>
    </w:p>
    <w:p w:rsidR="00B72047" w:rsidRDefault="00B72047">
      <w:pPr>
        <w:pStyle w:val="Index1"/>
        <w:rPr>
          <w:noProof/>
        </w:rPr>
      </w:pPr>
      <w:r>
        <w:rPr>
          <w:noProof/>
        </w:rPr>
        <w:t>standard bridi form: definition, 188</w:t>
      </w:r>
    </w:p>
    <w:p w:rsidR="00B72047" w:rsidRDefault="00B72047">
      <w:pPr>
        <w:pStyle w:val="Index1"/>
        <w:rPr>
          <w:noProof/>
        </w:rPr>
      </w:pPr>
      <w:r>
        <w:rPr>
          <w:noProof/>
        </w:rPr>
        <w:t>standard for subjective numbers: specifying, 448</w:t>
      </w:r>
    </w:p>
    <w:p w:rsidR="00B72047" w:rsidRDefault="00B72047">
      <w:pPr>
        <w:pStyle w:val="Index1"/>
        <w:rPr>
          <w:noProof/>
        </w:rPr>
      </w:pPr>
      <w:r>
        <w:rPr>
          <w:noProof/>
        </w:rPr>
        <w:t>standard pronunciation, 29</w:t>
      </w:r>
    </w:p>
    <w:p w:rsidR="00B72047" w:rsidRDefault="00B72047">
      <w:pPr>
        <w:pStyle w:val="Index1"/>
        <w:rPr>
          <w:noProof/>
        </w:rPr>
      </w:pPr>
      <w:r>
        <w:rPr>
          <w:noProof/>
        </w:rPr>
        <w:t>starting marker, 483</w:t>
      </w:r>
    </w:p>
    <w:p w:rsidR="00B72047" w:rsidRDefault="00B72047">
      <w:pPr>
        <w:pStyle w:val="Index1"/>
        <w:rPr>
          <w:noProof/>
        </w:rPr>
      </w:pPr>
      <w:r>
        <w:rPr>
          <w:noProof/>
        </w:rPr>
        <w:t>state abstraction: place structure, 259</w:t>
      </w:r>
    </w:p>
    <w:p w:rsidR="00B72047" w:rsidRDefault="00B72047">
      <w:pPr>
        <w:pStyle w:val="Index1"/>
        <w:rPr>
          <w:noProof/>
        </w:rPr>
      </w:pPr>
      <w:r>
        <w:rPr>
          <w:noProof/>
        </w:rPr>
        <w:t>state abstraction(s): definition, 258; related tense contours, 268</w:t>
      </w:r>
    </w:p>
    <w:p w:rsidR="00B72047" w:rsidRDefault="00B72047">
      <w:pPr>
        <w:pStyle w:val="Index1"/>
        <w:rPr>
          <w:noProof/>
        </w:rPr>
      </w:pPr>
      <w:r>
        <w:rPr>
          <w:noProof/>
        </w:rPr>
        <w:t>state abstractor, 258</w:t>
      </w:r>
    </w:p>
    <w:p w:rsidR="00B72047" w:rsidRDefault="00B72047">
      <w:pPr>
        <w:pStyle w:val="Index1"/>
        <w:rPr>
          <w:noProof/>
        </w:rPr>
      </w:pPr>
      <w:r>
        <w:rPr>
          <w:noProof/>
        </w:rPr>
        <w:t>state event: described, 258</w:t>
      </w:r>
    </w:p>
    <w:p w:rsidR="00B72047" w:rsidRDefault="00B72047">
      <w:pPr>
        <w:pStyle w:val="Index1"/>
        <w:rPr>
          <w:noProof/>
        </w:rPr>
      </w:pPr>
      <w:r>
        <w:rPr>
          <w:noProof/>
        </w:rPr>
        <w:t>steady speed, 258</w:t>
      </w:r>
    </w:p>
    <w:p w:rsidR="00B72047" w:rsidRDefault="00B72047">
      <w:pPr>
        <w:pStyle w:val="Index1"/>
        <w:rPr>
          <w:noProof/>
        </w:rPr>
      </w:pPr>
      <w:r>
        <w:rPr>
          <w:noProof/>
        </w:rPr>
        <w:t>stereotypical: as not derogatory in Lojban, 126; compared with typical, 126</w:t>
      </w:r>
    </w:p>
    <w:p w:rsidR="00B72047" w:rsidRDefault="00B72047">
      <w:pPr>
        <w:pStyle w:val="Index1"/>
        <w:rPr>
          <w:noProof/>
        </w:rPr>
      </w:pPr>
      <w:r>
        <w:rPr>
          <w:noProof/>
        </w:rPr>
        <w:t>stereotypical objects, 126</w:t>
      </w:r>
    </w:p>
    <w:p w:rsidR="00B72047" w:rsidRDefault="00B72047">
      <w:pPr>
        <w:pStyle w:val="Index1"/>
        <w:rPr>
          <w:noProof/>
        </w:rPr>
      </w:pPr>
      <w:r>
        <w:rPr>
          <w:noProof/>
        </w:rPr>
        <w:t>Steven Mark Jones: example, 421</w:t>
      </w:r>
    </w:p>
    <w:p w:rsidR="00B72047" w:rsidRDefault="00B72047">
      <w:pPr>
        <w:pStyle w:val="Index1"/>
        <w:rPr>
          <w:noProof/>
        </w:rPr>
      </w:pPr>
      <w:r>
        <w:rPr>
          <w:noProof/>
        </w:rPr>
        <w:t>sticky modals: canceling, 208; definition, 207; fi'o proscribed from, 208</w:t>
      </w:r>
    </w:p>
    <w:p w:rsidR="00B72047" w:rsidRDefault="00B72047">
      <w:pPr>
        <w:pStyle w:val="Index1"/>
        <w:rPr>
          <w:noProof/>
        </w:rPr>
      </w:pPr>
      <w:r>
        <w:rPr>
          <w:noProof/>
        </w:rPr>
        <w:t>sticky tenses: and CAhA, 243; canceling, 235; definition, 234; effect of nau on, 238; effect on future tense meaning, 234; from part of a multiple tense, 235</w:t>
      </w:r>
    </w:p>
    <w:p w:rsidR="00B72047" w:rsidRDefault="00B72047">
      <w:pPr>
        <w:pStyle w:val="Index1"/>
        <w:rPr>
          <w:noProof/>
        </w:rPr>
      </w:pPr>
      <w:r>
        <w:rPr>
          <w:noProof/>
        </w:rPr>
        <w:t>stoke cat then rabbit: example, 240</w:t>
      </w:r>
    </w:p>
    <w:p w:rsidR="00B72047" w:rsidRDefault="00B72047">
      <w:pPr>
        <w:pStyle w:val="Index1"/>
        <w:rPr>
          <w:noProof/>
        </w:rPr>
      </w:pPr>
      <w:r>
        <w:rPr>
          <w:noProof/>
        </w:rPr>
        <w:t>stop: contrasted with finish, 229; contrasted with pause, 229</w:t>
      </w:r>
    </w:p>
    <w:p w:rsidR="00B72047" w:rsidRDefault="00B72047">
      <w:pPr>
        <w:pStyle w:val="Index1"/>
        <w:rPr>
          <w:noProof/>
        </w:rPr>
      </w:pPr>
      <w:r>
        <w:rPr>
          <w:noProof/>
        </w:rPr>
        <w:t>stories: flow of time in, 236</w:t>
      </w:r>
    </w:p>
    <w:p w:rsidR="00B72047" w:rsidRDefault="00B72047">
      <w:pPr>
        <w:pStyle w:val="Index1"/>
        <w:rPr>
          <w:noProof/>
        </w:rPr>
      </w:pPr>
      <w:r>
        <w:rPr>
          <w:noProof/>
        </w:rPr>
        <w:t>story tense: Lojban convention contrasted with English convention, 236</w:t>
      </w:r>
    </w:p>
    <w:p w:rsidR="00B72047" w:rsidRDefault="00B72047">
      <w:pPr>
        <w:pStyle w:val="Index1"/>
        <w:rPr>
          <w:noProof/>
        </w:rPr>
      </w:pPr>
      <w:r>
        <w:rPr>
          <w:noProof/>
        </w:rPr>
        <w:t>story time: as a convention for inferring tense, 236; definition, 236; rationale for, 236; tenseless sentences in, 236; with no initial sticky time, 237</w:t>
      </w:r>
    </w:p>
    <w:p w:rsidR="00B72047" w:rsidRDefault="00B72047">
      <w:pPr>
        <w:pStyle w:val="Index1"/>
        <w:rPr>
          <w:noProof/>
        </w:rPr>
      </w:pPr>
      <w:r>
        <w:rPr>
          <w:noProof/>
        </w:rPr>
        <w:t>stress: definition of, 40; effect of buffer vowel on, 38; effect of syllabic consonants on, 34; example, 307; final syllable, rules for pause after, 69; irregular marked with upper-case, 415; levels of, 40; on cmavo, 52; primary, 40; quick-tour version, 12; rules for, 40; secondary, 40; showing non-standard, 29</w:t>
      </w:r>
    </w:p>
    <w:p w:rsidR="00B72047" w:rsidRDefault="00B72047">
      <w:pPr>
        <w:pStyle w:val="Index1"/>
        <w:rPr>
          <w:noProof/>
        </w:rPr>
      </w:pPr>
      <w:r>
        <w:rPr>
          <w:noProof/>
        </w:rPr>
        <w:t>stressed syllable: compared with stressed vowel, 40</w:t>
      </w:r>
    </w:p>
    <w:p w:rsidR="00B72047" w:rsidRDefault="00B72047">
      <w:pPr>
        <w:pStyle w:val="Index1"/>
        <w:rPr>
          <w:noProof/>
        </w:rPr>
      </w:pPr>
      <w:r>
        <w:rPr>
          <w:noProof/>
        </w:rPr>
        <w:t>stressed vowel: compared with stressed syllable, 40</w:t>
      </w:r>
    </w:p>
    <w:p w:rsidR="00B72047" w:rsidRDefault="00B72047">
      <w:pPr>
        <w:pStyle w:val="Index1"/>
        <w:rPr>
          <w:noProof/>
        </w:rPr>
      </w:pPr>
      <w:r>
        <w:rPr>
          <w:noProof/>
        </w:rPr>
        <w:t>strong quotation, 477</w:t>
      </w:r>
    </w:p>
    <w:p w:rsidR="00B72047" w:rsidRDefault="00B72047">
      <w:pPr>
        <w:pStyle w:val="Index1"/>
        <w:rPr>
          <w:noProof/>
        </w:rPr>
      </w:pPr>
      <w:r>
        <w:rPr>
          <w:noProof/>
        </w:rPr>
        <w:t>structure of examples, 5</w:t>
      </w:r>
    </w:p>
    <w:p w:rsidR="00B72047" w:rsidRDefault="00B72047">
      <w:pPr>
        <w:pStyle w:val="Index1"/>
        <w:rPr>
          <w:noProof/>
        </w:rPr>
      </w:pPr>
      <w:r>
        <w:rPr>
          <w:noProof/>
        </w:rPr>
        <w:t>structure of this book, 4</w:t>
      </w:r>
    </w:p>
    <w:p w:rsidR="00B72047" w:rsidRDefault="00B72047">
      <w:pPr>
        <w:pStyle w:val="Index1"/>
        <w:rPr>
          <w:noProof/>
        </w:rPr>
      </w:pPr>
      <w:r>
        <w:rPr>
          <w:noProof/>
        </w:rPr>
        <w:t>structure words, 50</w:t>
      </w:r>
    </w:p>
    <w:p w:rsidR="00B72047" w:rsidRDefault="00B72047">
      <w:pPr>
        <w:pStyle w:val="Index1"/>
        <w:rPr>
          <w:noProof/>
        </w:rPr>
      </w:pPr>
      <w:r>
        <w:rPr>
          <w:noProof/>
        </w:rPr>
        <w:t>su, 312, 416, 477, 484; interaction with bu, 416</w:t>
      </w:r>
    </w:p>
    <w:p w:rsidR="00B72047" w:rsidRDefault="00B72047">
      <w:pPr>
        <w:pStyle w:val="Index1"/>
        <w:rPr>
          <w:noProof/>
        </w:rPr>
      </w:pPr>
      <w:r>
        <w:rPr>
          <w:noProof/>
        </w:rPr>
        <w:t>SU selma’o, 484, 504</w:t>
      </w:r>
    </w:p>
    <w:p w:rsidR="00B72047" w:rsidRDefault="00B72047">
      <w:pPr>
        <w:pStyle w:val="Index1"/>
        <w:rPr>
          <w:noProof/>
        </w:rPr>
      </w:pPr>
      <w:r>
        <w:rPr>
          <w:noProof/>
        </w:rPr>
        <w:t>su'a, 316, 319</w:t>
      </w:r>
    </w:p>
    <w:p w:rsidR="00B72047" w:rsidRDefault="00B72047">
      <w:pPr>
        <w:pStyle w:val="Index1"/>
        <w:rPr>
          <w:noProof/>
        </w:rPr>
      </w:pPr>
      <w:r>
        <w:rPr>
          <w:noProof/>
        </w:rPr>
        <w:t>su'anai, 316</w:t>
      </w:r>
    </w:p>
    <w:p w:rsidR="00B72047" w:rsidRDefault="00B72047">
      <w:pPr>
        <w:pStyle w:val="Index1"/>
        <w:rPr>
          <w:noProof/>
        </w:rPr>
      </w:pPr>
      <w:r>
        <w:rPr>
          <w:noProof/>
        </w:rPr>
        <w:t>subjective amounts: expressing, 442</w:t>
      </w:r>
    </w:p>
    <w:p w:rsidR="00B72047" w:rsidRDefault="00B72047">
      <w:pPr>
        <w:pStyle w:val="Index1"/>
        <w:rPr>
          <w:noProof/>
        </w:rPr>
      </w:pPr>
      <w:r>
        <w:rPr>
          <w:noProof/>
        </w:rPr>
        <w:t>subjective numbers: effect on place structure for cardinal selbri, 448; effect on place structure for ordinal selbri, 448; effect on place structure for portion selbri, 448; effect on place structure for probability selbri, 448; effect on place structure for scale selbri, 448; rationale for effect on place structure, 448; specifying standard for, 448</w:t>
      </w:r>
    </w:p>
    <w:p w:rsidR="00B72047" w:rsidRDefault="00B72047">
      <w:pPr>
        <w:pStyle w:val="Index1"/>
        <w:rPr>
          <w:noProof/>
        </w:rPr>
      </w:pPr>
      <w:r>
        <w:rPr>
          <w:noProof/>
        </w:rPr>
        <w:t>subjective portions: expressing, 442</w:t>
      </w:r>
    </w:p>
    <w:p w:rsidR="00B72047" w:rsidRDefault="00B72047">
      <w:pPr>
        <w:pStyle w:val="Index1"/>
        <w:rPr>
          <w:noProof/>
        </w:rPr>
      </w:pPr>
      <w:r>
        <w:rPr>
          <w:noProof/>
        </w:rPr>
        <w:t>subordinate clause tense: effect of main bridi tense on, 238; Lojban compared with Esperanto, 238; Lojban compared with Russian, 238; Lojban contrasted with English, 238</w:t>
      </w:r>
    </w:p>
    <w:p w:rsidR="00B72047" w:rsidRDefault="00B72047">
      <w:pPr>
        <w:pStyle w:val="Index1"/>
        <w:rPr>
          <w:noProof/>
        </w:rPr>
      </w:pPr>
      <w:r>
        <w:rPr>
          <w:noProof/>
        </w:rPr>
        <w:t>subordinate clauses: tense usage rules in English, 237</w:t>
      </w:r>
    </w:p>
    <w:p w:rsidR="00B72047" w:rsidRDefault="00B72047">
      <w:pPr>
        <w:pStyle w:val="Index1"/>
        <w:rPr>
          <w:noProof/>
        </w:rPr>
      </w:pPr>
      <w:r>
        <w:rPr>
          <w:noProof/>
        </w:rPr>
        <w:t>subscripted topics, 467</w:t>
      </w:r>
    </w:p>
    <w:p w:rsidR="00B72047" w:rsidRDefault="00B72047">
      <w:pPr>
        <w:pStyle w:val="Index1"/>
        <w:rPr>
          <w:noProof/>
        </w:rPr>
      </w:pPr>
      <w:r>
        <w:rPr>
          <w:noProof/>
        </w:rPr>
        <w:t>subscripts, 471; and fuzzy truths, 473; and names, 473; and paragraph separators, 474; and pro-sumti, 472; and sumti re-ordering, 472; and tense, 473; before main expression, 450; effects on elidability of terminators, 450; external grammar of, 449; for sticky tense, 236; internal grammar of, 449; lerfu string as, 423; marker, 471, 507; mathematical, 473; multiple as sub-subscript, 450; multiple for same base word, 455; on ke'a for nested relative clauses, 161; on ri, 153; terminator for, 450; to form matrices of more than 2 dimensions, 452; use with ke'a for outer sumti reference, 184; use with logical variables, 410</w:t>
      </w:r>
    </w:p>
    <w:p w:rsidR="00B72047" w:rsidRDefault="00B72047">
      <w:pPr>
        <w:pStyle w:val="Index1"/>
        <w:rPr>
          <w:noProof/>
        </w:rPr>
      </w:pPr>
      <w:r>
        <w:rPr>
          <w:noProof/>
        </w:rPr>
        <w:t>subscripts on lerfu words: effect on elidability of boi, 450</w:t>
      </w:r>
    </w:p>
    <w:p w:rsidR="00B72047" w:rsidRDefault="00B72047">
      <w:pPr>
        <w:pStyle w:val="Index1"/>
        <w:rPr>
          <w:noProof/>
        </w:rPr>
      </w:pPr>
      <w:r>
        <w:rPr>
          <w:noProof/>
        </w:rPr>
        <w:t>subsets: expressing with outer quantifiers, 131</w:t>
      </w:r>
    </w:p>
    <w:p w:rsidR="00B72047" w:rsidRDefault="00B72047">
      <w:pPr>
        <w:pStyle w:val="Index1"/>
        <w:rPr>
          <w:noProof/>
        </w:rPr>
      </w:pPr>
      <w:r>
        <w:rPr>
          <w:noProof/>
        </w:rPr>
        <w:t>sub-subscripts, 450</w:t>
      </w:r>
    </w:p>
    <w:p w:rsidR="00B72047" w:rsidRDefault="00B72047">
      <w:pPr>
        <w:pStyle w:val="Index1"/>
        <w:rPr>
          <w:noProof/>
        </w:rPr>
      </w:pPr>
      <w:r>
        <w:rPr>
          <w:noProof/>
        </w:rPr>
        <w:t>subtraction operator: contrasted with negation operator, 438; contrasted with negative sign, 434</w:t>
      </w:r>
    </w:p>
    <w:p w:rsidR="00B72047" w:rsidRDefault="00B72047">
      <w:pPr>
        <w:pStyle w:val="Index1"/>
        <w:rPr>
          <w:noProof/>
        </w:rPr>
      </w:pPr>
      <w:r>
        <w:rPr>
          <w:noProof/>
        </w:rPr>
        <w:t>subtypes of words, 52</w:t>
      </w:r>
    </w:p>
    <w:p w:rsidR="00B72047" w:rsidRDefault="00B72047">
      <w:pPr>
        <w:pStyle w:val="Index1"/>
        <w:rPr>
          <w:noProof/>
        </w:rPr>
      </w:pPr>
      <w:r>
        <w:rPr>
          <w:noProof/>
        </w:rPr>
        <w:t>su'e, 443; with elided number, 443</w:t>
      </w:r>
    </w:p>
    <w:p w:rsidR="00B72047" w:rsidRDefault="00B72047">
      <w:pPr>
        <w:pStyle w:val="Index1"/>
        <w:rPr>
          <w:noProof/>
        </w:rPr>
      </w:pPr>
      <w:r>
        <w:rPr>
          <w:noProof/>
        </w:rPr>
        <w:t>su'i, 97, 435, 436</w:t>
      </w:r>
    </w:p>
    <w:p w:rsidR="00B72047" w:rsidRDefault="00B72047">
      <w:pPr>
        <w:pStyle w:val="Index1"/>
        <w:rPr>
          <w:noProof/>
        </w:rPr>
      </w:pPr>
      <w:r>
        <w:rPr>
          <w:noProof/>
        </w:rPr>
        <w:t>sum of 1: 2, 3, example, 438</w:t>
      </w:r>
    </w:p>
    <w:p w:rsidR="00B72047" w:rsidRDefault="00B72047">
      <w:pPr>
        <w:pStyle w:val="Index1"/>
        <w:rPr>
          <w:noProof/>
        </w:rPr>
      </w:pPr>
      <w:r>
        <w:rPr>
          <w:noProof/>
        </w:rPr>
        <w:t>sumti: as having implicit quantifiers, 127; as objects in place structure slots, 187; beginning with "ke, 344; between descriptor and description selbri, 180; classified by types of objects referred to, 123; converting into an operand, 456; definition, 119, 187; definition, quick-tour version, 27; descriptions as, 119; dropping trailing unspecified, 189; explicitly mapping into place structure with FA, 190; for individual objects, 123; for mass objects, 123; for set objects, 123; forethought tense connection of, 239; irrelevant to relationship, 157; kinds of, 119; multiple in one place with FA, 191; names as, 119; numbers as, 119; omitted first place in selbri-first bridi, 188; order in selbri, 188; order in selbri-first bridi, 188; pro-sumti as, 119; quotations as, 119; relation with bridi, 11; re-ordering with FA, 190; with explicit quantifiers, 127</w:t>
      </w:r>
    </w:p>
    <w:p w:rsidR="00B72047" w:rsidRDefault="00B72047">
      <w:pPr>
        <w:pStyle w:val="Index1"/>
        <w:rPr>
          <w:noProof/>
        </w:rPr>
      </w:pPr>
      <w:r>
        <w:rPr>
          <w:noProof/>
        </w:rPr>
        <w:t>sumti assignment: cancellation of, 492</w:t>
      </w:r>
    </w:p>
    <w:p w:rsidR="00B72047" w:rsidRDefault="00B72047">
      <w:pPr>
        <w:pStyle w:val="Index1"/>
        <w:rPr>
          <w:noProof/>
        </w:rPr>
      </w:pPr>
      <w:r>
        <w:rPr>
          <w:noProof/>
        </w:rPr>
        <w:t>sumti connection: afterthought, 340; forethought, 341</w:t>
      </w:r>
    </w:p>
    <w:p w:rsidR="00B72047" w:rsidRDefault="00B72047">
      <w:pPr>
        <w:pStyle w:val="Index1"/>
        <w:rPr>
          <w:noProof/>
        </w:rPr>
      </w:pPr>
      <w:r>
        <w:rPr>
          <w:noProof/>
        </w:rPr>
        <w:t>sumti into selbri, 98</w:t>
      </w:r>
    </w:p>
    <w:p w:rsidR="00B72047" w:rsidRDefault="00B72047">
      <w:pPr>
        <w:pStyle w:val="Index1"/>
        <w:rPr>
          <w:noProof/>
        </w:rPr>
      </w:pPr>
      <w:r>
        <w:rPr>
          <w:noProof/>
        </w:rPr>
        <w:t>sumti logical connection, 340; compared with bridi logical connections, 340; contrasted with tanru logical connection, 350; rationale for, 340</w:t>
      </w:r>
    </w:p>
    <w:p w:rsidR="00B72047" w:rsidRDefault="00B72047">
      <w:pPr>
        <w:pStyle w:val="Index1"/>
        <w:rPr>
          <w:noProof/>
        </w:rPr>
      </w:pPr>
      <w:r>
        <w:rPr>
          <w:noProof/>
        </w:rPr>
        <w:t>sumti modal connection, 200</w:t>
      </w:r>
    </w:p>
    <w:p w:rsidR="00B72047" w:rsidRDefault="00B72047">
      <w:pPr>
        <w:pStyle w:val="Index1"/>
        <w:rPr>
          <w:noProof/>
        </w:rPr>
      </w:pPr>
      <w:r>
        <w:rPr>
          <w:noProof/>
        </w:rPr>
        <w:t>sumti place: additional, 489</w:t>
      </w:r>
    </w:p>
    <w:p w:rsidR="00B72047" w:rsidRDefault="00B72047">
      <w:pPr>
        <w:pStyle w:val="Index1"/>
        <w:rPr>
          <w:noProof/>
        </w:rPr>
      </w:pPr>
      <w:r>
        <w:rPr>
          <w:noProof/>
        </w:rPr>
        <w:t>sumti placement: variant, quick-tour version, 15</w:t>
      </w:r>
    </w:p>
    <w:p w:rsidR="00B72047" w:rsidRDefault="00B72047">
      <w:pPr>
        <w:pStyle w:val="Index1"/>
        <w:rPr>
          <w:noProof/>
        </w:rPr>
      </w:pPr>
      <w:r>
        <w:rPr>
          <w:noProof/>
        </w:rPr>
        <w:t>sumti qualifiers: as short forms for common special cases, 133; elidable terminator for qualified sumti, 133; external syntax of, 133; for negation, 135; internal syntax of, 133; list of, 133</w:t>
      </w:r>
    </w:p>
    <w:p w:rsidR="00B72047" w:rsidRDefault="00B72047">
      <w:pPr>
        <w:pStyle w:val="Index1"/>
        <w:rPr>
          <w:noProof/>
        </w:rPr>
      </w:pPr>
      <w:r>
        <w:rPr>
          <w:noProof/>
        </w:rPr>
        <w:t>sumti questions: quick-tour version, 22</w:t>
      </w:r>
    </w:p>
    <w:p w:rsidR="00B72047" w:rsidRDefault="00B72047">
      <w:pPr>
        <w:pStyle w:val="Index1"/>
        <w:rPr>
          <w:noProof/>
        </w:rPr>
      </w:pPr>
      <w:r>
        <w:rPr>
          <w:noProof/>
        </w:rPr>
        <w:t>sumti raising, 266</w:t>
      </w:r>
    </w:p>
    <w:p w:rsidR="00B72047" w:rsidRDefault="00B72047">
      <w:pPr>
        <w:pStyle w:val="Index1"/>
        <w:rPr>
          <w:noProof/>
        </w:rPr>
      </w:pPr>
      <w:r>
        <w:rPr>
          <w:noProof/>
        </w:rPr>
        <w:t>sumti reordering: quick-tour version, 16</w:t>
      </w:r>
    </w:p>
    <w:p w:rsidR="00B72047" w:rsidRDefault="00B72047">
      <w:pPr>
        <w:pStyle w:val="Index1"/>
        <w:rPr>
          <w:noProof/>
        </w:rPr>
      </w:pPr>
      <w:r>
        <w:rPr>
          <w:noProof/>
        </w:rPr>
        <w:t>sumti tcita: based on event contours, 232; based on spatial contours, 232; based on tense direction, 232; based on tense distance, 232; based on tenses, 231; definition (see also modal tag), 195; event contours contrasted with direction/distance as basis for, 232</w:t>
      </w:r>
    </w:p>
    <w:p w:rsidR="00B72047" w:rsidRDefault="00B72047">
      <w:pPr>
        <w:pStyle w:val="Index1"/>
        <w:rPr>
          <w:noProof/>
        </w:rPr>
      </w:pPr>
      <w:r>
        <w:rPr>
          <w:noProof/>
        </w:rPr>
        <w:t>sumti tcita and linked sumti, 94</w:t>
      </w:r>
    </w:p>
    <w:p w:rsidR="00B72047" w:rsidRDefault="00B72047">
      <w:pPr>
        <w:pStyle w:val="Index1"/>
        <w:rPr>
          <w:noProof/>
        </w:rPr>
      </w:pPr>
      <w:r>
        <w:rPr>
          <w:noProof/>
        </w:rPr>
        <w:t>sumti tcita and modal tags, 94</w:t>
      </w:r>
    </w:p>
    <w:p w:rsidR="00B72047" w:rsidRDefault="00B72047">
      <w:pPr>
        <w:pStyle w:val="Index1"/>
        <w:rPr>
          <w:noProof/>
        </w:rPr>
      </w:pPr>
      <w:r>
        <w:rPr>
          <w:noProof/>
        </w:rPr>
        <w:t>sumti tcita and tense tags, 94</w:t>
      </w:r>
    </w:p>
    <w:p w:rsidR="00B72047" w:rsidRDefault="00B72047">
      <w:pPr>
        <w:pStyle w:val="Index1"/>
        <w:rPr>
          <w:noProof/>
        </w:rPr>
      </w:pPr>
      <w:r>
        <w:rPr>
          <w:noProof/>
        </w:rPr>
        <w:t>sumti tcita based on dimension, 233</w:t>
      </w:r>
    </w:p>
    <w:p w:rsidR="00B72047" w:rsidRDefault="00B72047">
      <w:pPr>
        <w:pStyle w:val="Index1"/>
        <w:rPr>
          <w:noProof/>
        </w:rPr>
      </w:pPr>
      <w:r>
        <w:rPr>
          <w:noProof/>
        </w:rPr>
        <w:t>sumti tcita based on event contours: relation of main bridi to sumti process in, 232</w:t>
      </w:r>
    </w:p>
    <w:p w:rsidR="00B72047" w:rsidRDefault="00B72047">
      <w:pPr>
        <w:pStyle w:val="Index1"/>
        <w:rPr>
          <w:noProof/>
        </w:rPr>
      </w:pPr>
      <w:r>
        <w:rPr>
          <w:noProof/>
        </w:rPr>
        <w:t>sumti tcita based on interval continuousness, 233</w:t>
      </w:r>
    </w:p>
    <w:p w:rsidR="00B72047" w:rsidRDefault="00B72047">
      <w:pPr>
        <w:pStyle w:val="Index1"/>
        <w:rPr>
          <w:noProof/>
        </w:rPr>
      </w:pPr>
      <w:r>
        <w:rPr>
          <w:noProof/>
        </w:rPr>
        <w:t>sumti tcita based on interval properties, 233</w:t>
      </w:r>
    </w:p>
    <w:p w:rsidR="00B72047" w:rsidRDefault="00B72047">
      <w:pPr>
        <w:pStyle w:val="Index1"/>
        <w:rPr>
          <w:noProof/>
        </w:rPr>
      </w:pPr>
      <w:r>
        <w:rPr>
          <w:noProof/>
        </w:rPr>
        <w:t>sumti tcita based on interval size, 233</w:t>
      </w:r>
    </w:p>
    <w:p w:rsidR="00B72047" w:rsidRDefault="00B72047">
      <w:pPr>
        <w:pStyle w:val="Index1"/>
        <w:rPr>
          <w:noProof/>
        </w:rPr>
      </w:pPr>
      <w:r>
        <w:rPr>
          <w:noProof/>
        </w:rPr>
        <w:t>sumti tcita based on quantified tenses, 233</w:t>
      </w:r>
    </w:p>
    <w:p w:rsidR="00B72047" w:rsidRDefault="00B72047">
      <w:pPr>
        <w:pStyle w:val="Index1"/>
        <w:rPr>
          <w:noProof/>
        </w:rPr>
      </w:pPr>
      <w:r>
        <w:rPr>
          <w:noProof/>
        </w:rPr>
        <w:t>sumti with explicit quantifier: contrasted with sumti without explicit quantifier, 127</w:t>
      </w:r>
    </w:p>
    <w:p w:rsidR="00B72047" w:rsidRDefault="00B72047">
      <w:pPr>
        <w:pStyle w:val="Index1"/>
        <w:rPr>
          <w:noProof/>
        </w:rPr>
      </w:pPr>
      <w:r>
        <w:rPr>
          <w:noProof/>
        </w:rPr>
        <w:t>sumti with lo: compared to indefinite sumti, 399</w:t>
      </w:r>
    </w:p>
    <w:p w:rsidR="00B72047" w:rsidRDefault="00B72047">
      <w:pPr>
        <w:pStyle w:val="Index1"/>
        <w:rPr>
          <w:noProof/>
        </w:rPr>
      </w:pPr>
      <w:r>
        <w:rPr>
          <w:noProof/>
        </w:rPr>
        <w:t>sumti with tense: effect of main bridi tense on, 235</w:t>
      </w:r>
    </w:p>
    <w:p w:rsidR="00B72047" w:rsidRDefault="00B72047">
      <w:pPr>
        <w:pStyle w:val="Index1"/>
        <w:rPr>
          <w:noProof/>
        </w:rPr>
      </w:pPr>
      <w:r>
        <w:rPr>
          <w:noProof/>
        </w:rPr>
        <w:t>sumti with tenses: quick-tour version, 26</w:t>
      </w:r>
    </w:p>
    <w:p w:rsidR="00B72047" w:rsidRDefault="00B72047">
      <w:pPr>
        <w:pStyle w:val="Index1"/>
        <w:rPr>
          <w:noProof/>
        </w:rPr>
      </w:pPr>
      <w:r>
        <w:rPr>
          <w:noProof/>
        </w:rPr>
        <w:t>sumti-based description: definition, 132; inner quantifier on, 132; outer quantifier on, 132</w:t>
      </w:r>
    </w:p>
    <w:p w:rsidR="00B72047" w:rsidRDefault="00B72047">
      <w:pPr>
        <w:pStyle w:val="Index1"/>
        <w:rPr>
          <w:noProof/>
        </w:rPr>
      </w:pPr>
      <w:r>
        <w:rPr>
          <w:noProof/>
        </w:rPr>
        <w:t>sumti-based descriptions with le: as increasing restricting to in-mind, 133</w:t>
      </w:r>
    </w:p>
    <w:p w:rsidR="00B72047" w:rsidRDefault="00B72047">
      <w:pPr>
        <w:pStyle w:val="Index1"/>
        <w:rPr>
          <w:noProof/>
        </w:rPr>
      </w:pPr>
      <w:r>
        <w:rPr>
          <w:noProof/>
        </w:rPr>
        <w:t>sun liquefies: example, 289</w:t>
      </w:r>
    </w:p>
    <w:p w:rsidR="00B72047" w:rsidRDefault="00B72047">
      <w:pPr>
        <w:pStyle w:val="Index1"/>
        <w:rPr>
          <w:noProof/>
        </w:rPr>
      </w:pPr>
      <w:r>
        <w:rPr>
          <w:noProof/>
        </w:rPr>
        <w:t>sunburn: example, 259</w:t>
      </w:r>
    </w:p>
    <w:p w:rsidR="00B72047" w:rsidRDefault="00B72047">
      <w:pPr>
        <w:pStyle w:val="Index1"/>
        <w:rPr>
          <w:noProof/>
        </w:rPr>
      </w:pPr>
      <w:r>
        <w:rPr>
          <w:noProof/>
        </w:rPr>
        <w:t>su'o, 128, 129, 397, 443; as implicit quantifier for quotations, 128; with elided number, 443</w:t>
      </w:r>
    </w:p>
    <w:p w:rsidR="00B72047" w:rsidRDefault="00B72047">
      <w:pPr>
        <w:pStyle w:val="Index1"/>
        <w:rPr>
          <w:noProof/>
        </w:rPr>
      </w:pPr>
      <w:r>
        <w:rPr>
          <w:noProof/>
        </w:rPr>
        <w:t>superfective event contour, 228</w:t>
      </w:r>
    </w:p>
    <w:p w:rsidR="00B72047" w:rsidRDefault="00B72047">
      <w:pPr>
        <w:pStyle w:val="Index1"/>
        <w:rPr>
          <w:noProof/>
        </w:rPr>
      </w:pPr>
      <w:r>
        <w:rPr>
          <w:noProof/>
        </w:rPr>
        <w:t>superscripts, 450</w:t>
      </w:r>
    </w:p>
    <w:p w:rsidR="00B72047" w:rsidRDefault="00B72047">
      <w:pPr>
        <w:pStyle w:val="Index1"/>
        <w:rPr>
          <w:noProof/>
        </w:rPr>
      </w:pPr>
      <w:r>
        <w:rPr>
          <w:noProof/>
        </w:rPr>
        <w:t>supervising: as a contribution to mass action, 354</w:t>
      </w:r>
    </w:p>
    <w:p w:rsidR="00B72047" w:rsidRDefault="00B72047">
      <w:pPr>
        <w:pStyle w:val="Index1"/>
        <w:rPr>
          <w:noProof/>
        </w:rPr>
      </w:pPr>
      <w:r>
        <w:rPr>
          <w:noProof/>
        </w:rPr>
        <w:t>supper: example, 57</w:t>
      </w:r>
    </w:p>
    <w:p w:rsidR="00B72047" w:rsidRDefault="00B72047">
      <w:pPr>
        <w:pStyle w:val="Index1"/>
        <w:rPr>
          <w:noProof/>
        </w:rPr>
      </w:pPr>
      <w:r>
        <w:rPr>
          <w:noProof/>
        </w:rPr>
        <w:t>supplementary information, 280</w:t>
      </w:r>
    </w:p>
    <w:p w:rsidR="00B72047" w:rsidRDefault="00B72047">
      <w:pPr>
        <w:pStyle w:val="Index1"/>
        <w:rPr>
          <w:noProof/>
        </w:rPr>
      </w:pPr>
      <w:r>
        <w:rPr>
          <w:noProof/>
        </w:rPr>
        <w:t>Susan: example, 481</w:t>
      </w:r>
    </w:p>
    <w:p w:rsidR="00B72047" w:rsidRDefault="00B72047">
      <w:pPr>
        <w:pStyle w:val="Index1"/>
        <w:rPr>
          <w:noProof/>
        </w:rPr>
      </w:pPr>
      <w:r>
        <w:rPr>
          <w:noProof/>
        </w:rPr>
        <w:t>su'u, 265</w:t>
      </w:r>
    </w:p>
    <w:p w:rsidR="00B72047" w:rsidRDefault="00B72047">
      <w:pPr>
        <w:pStyle w:val="Index1"/>
        <w:rPr>
          <w:noProof/>
        </w:rPr>
      </w:pPr>
      <w:r>
        <w:rPr>
          <w:noProof/>
        </w:rPr>
        <w:t>Sun: the, example, 66</w:t>
      </w:r>
    </w:p>
    <w:p w:rsidR="00B72047" w:rsidRDefault="00B72047">
      <w:pPr>
        <w:pStyle w:val="Index1"/>
        <w:rPr>
          <w:noProof/>
        </w:rPr>
      </w:pPr>
      <w:r>
        <w:rPr>
          <w:noProof/>
        </w:rPr>
        <w:t>Svetlana: example, 68</w:t>
      </w:r>
    </w:p>
    <w:p w:rsidR="00B72047" w:rsidRDefault="00B72047">
      <w:pPr>
        <w:pStyle w:val="Index1"/>
        <w:rPr>
          <w:noProof/>
        </w:rPr>
      </w:pPr>
      <w:r>
        <w:rPr>
          <w:noProof/>
        </w:rPr>
        <w:t>sword blade, 283</w:t>
      </w:r>
    </w:p>
    <w:p w:rsidR="00B72047" w:rsidRDefault="00B72047">
      <w:pPr>
        <w:pStyle w:val="Index1"/>
        <w:rPr>
          <w:noProof/>
        </w:rPr>
      </w:pPr>
      <w:r>
        <w:rPr>
          <w:noProof/>
        </w:rPr>
        <w:t>syllabaries: lerfu word representation, 420</w:t>
      </w:r>
    </w:p>
    <w:p w:rsidR="00B72047" w:rsidRDefault="00B72047">
      <w:pPr>
        <w:pStyle w:val="Index1"/>
        <w:rPr>
          <w:noProof/>
        </w:rPr>
      </w:pPr>
      <w:r>
        <w:rPr>
          <w:noProof/>
        </w:rPr>
        <w:t>syllabic consonant: effect on stress, 65</w:t>
      </w:r>
    </w:p>
    <w:p w:rsidR="00B72047" w:rsidRDefault="00B72047">
      <w:pPr>
        <w:pStyle w:val="Index1"/>
        <w:rPr>
          <w:noProof/>
        </w:rPr>
      </w:pPr>
      <w:r>
        <w:rPr>
          <w:noProof/>
        </w:rPr>
        <w:t>syllabic consonants, 34; effect on stress, 34; final in word, 34</w:t>
      </w:r>
    </w:p>
    <w:p w:rsidR="00B72047" w:rsidRDefault="00B72047">
      <w:pPr>
        <w:pStyle w:val="Index1"/>
        <w:rPr>
          <w:noProof/>
        </w:rPr>
      </w:pPr>
      <w:r>
        <w:rPr>
          <w:noProof/>
        </w:rPr>
        <w:t>syllabic l: considered as a consonant for morphological discussions, 49</w:t>
      </w:r>
    </w:p>
    <w:p w:rsidR="00B72047" w:rsidRDefault="00B72047">
      <w:pPr>
        <w:pStyle w:val="Index1"/>
        <w:rPr>
          <w:noProof/>
        </w:rPr>
      </w:pPr>
      <w:r>
        <w:rPr>
          <w:noProof/>
        </w:rPr>
        <w:t>syllabic m: as a consonant for morphological discussions, 49</w:t>
      </w:r>
    </w:p>
    <w:p w:rsidR="00B72047" w:rsidRDefault="00B72047">
      <w:pPr>
        <w:pStyle w:val="Index1"/>
        <w:rPr>
          <w:noProof/>
        </w:rPr>
      </w:pPr>
      <w:r>
        <w:rPr>
          <w:noProof/>
        </w:rPr>
        <w:t>syllabic n: as a consonant for morphological discussions, 49</w:t>
      </w:r>
    </w:p>
    <w:p w:rsidR="00B72047" w:rsidRDefault="00B72047">
      <w:pPr>
        <w:pStyle w:val="Index1"/>
        <w:rPr>
          <w:noProof/>
        </w:rPr>
      </w:pPr>
      <w:r>
        <w:rPr>
          <w:noProof/>
        </w:rPr>
        <w:t>syllabic pronunciations of consonants: in fu'ivla, 62; in fu'ivla category attachment, 63</w:t>
      </w:r>
    </w:p>
    <w:p w:rsidR="00B72047" w:rsidRDefault="00B72047">
      <w:pPr>
        <w:pStyle w:val="Index1"/>
        <w:rPr>
          <w:noProof/>
        </w:rPr>
      </w:pPr>
      <w:r>
        <w:rPr>
          <w:noProof/>
        </w:rPr>
        <w:t>syllabic r: as a consonant for morphological discussions, 49</w:t>
      </w:r>
    </w:p>
    <w:p w:rsidR="00B72047" w:rsidRDefault="00B72047">
      <w:pPr>
        <w:pStyle w:val="Index1"/>
        <w:rPr>
          <w:noProof/>
        </w:rPr>
      </w:pPr>
      <w:r>
        <w:rPr>
          <w:noProof/>
        </w:rPr>
        <w:t>syllabication: and names, 39; definition of, 39; examples of, 39; rules for, 39; variants of, 41</w:t>
      </w:r>
    </w:p>
    <w:p w:rsidR="00B72047" w:rsidRDefault="00B72047">
      <w:pPr>
        <w:pStyle w:val="Index1"/>
        <w:rPr>
          <w:noProof/>
        </w:rPr>
      </w:pPr>
      <w:r>
        <w:rPr>
          <w:noProof/>
        </w:rPr>
        <w:t>syllable break: contrasted with pause, 32; representation in Lojban, 32; symbol for, 416; word for, 416</w:t>
      </w:r>
    </w:p>
    <w:p w:rsidR="00B72047" w:rsidRDefault="00B72047">
      <w:pPr>
        <w:pStyle w:val="Index1"/>
        <w:rPr>
          <w:noProof/>
        </w:rPr>
      </w:pPr>
      <w:r>
        <w:rPr>
          <w:noProof/>
        </w:rPr>
        <w:t>symbol: contrasted with referent, 478; for operand, 459; referring to with lu'e, 134</w:t>
      </w:r>
    </w:p>
    <w:p w:rsidR="00B72047" w:rsidRDefault="00B72047">
      <w:pPr>
        <w:pStyle w:val="Index1"/>
        <w:rPr>
          <w:noProof/>
        </w:rPr>
      </w:pPr>
      <w:r>
        <w:rPr>
          <w:noProof/>
        </w:rPr>
        <w:t>symmetrical tanru, 111</w:t>
      </w:r>
    </w:p>
    <w:p w:rsidR="00B72047" w:rsidRDefault="00B72047">
      <w:pPr>
        <w:pStyle w:val="Index1"/>
        <w:rPr>
          <w:noProof/>
        </w:rPr>
      </w:pPr>
      <w:r>
        <w:rPr>
          <w:noProof/>
        </w:rPr>
        <w:t>symmetrical tanru types: both separately true, 111; one or other true, 112; using crucial/typical parts, 112; using more inclusive class, 112</w:t>
      </w:r>
    </w:p>
    <w:p w:rsidR="00B72047" w:rsidRDefault="00B72047">
      <w:pPr>
        <w:pStyle w:val="Index1"/>
        <w:rPr>
          <w:noProof/>
        </w:rPr>
      </w:pPr>
      <w:r>
        <w:rPr>
          <w:noProof/>
        </w:rPr>
        <w:t>symmetrical veljvo, 278</w:t>
      </w:r>
    </w:p>
    <w:p w:rsidR="00B72047" w:rsidRDefault="00B72047">
      <w:pPr>
        <w:pStyle w:val="Index1"/>
        <w:rPr>
          <w:noProof/>
        </w:rPr>
      </w:pPr>
      <w:r>
        <w:rPr>
          <w:noProof/>
        </w:rPr>
        <w:t>sympathy: example, 299, 314</w:t>
      </w:r>
    </w:p>
    <w:p w:rsidR="00B72047" w:rsidRDefault="00B72047">
      <w:pPr>
        <w:pStyle w:val="Index1"/>
        <w:rPr>
          <w:noProof/>
        </w:rPr>
      </w:pPr>
      <w:r>
        <w:rPr>
          <w:noProof/>
        </w:rPr>
        <w:t>ta, 147, 169; contrasted with di'u, 148</w:t>
      </w:r>
    </w:p>
    <w:p w:rsidR="00B72047" w:rsidRDefault="00B72047">
      <w:pPr>
        <w:pStyle w:val="Index1"/>
        <w:rPr>
          <w:noProof/>
        </w:rPr>
      </w:pPr>
      <w:r>
        <w:rPr>
          <w:noProof/>
        </w:rPr>
        <w:t>ta'apei, 326</w:t>
      </w:r>
    </w:p>
    <w:p w:rsidR="00B72047" w:rsidRDefault="00B72047">
      <w:pPr>
        <w:pStyle w:val="Index1"/>
        <w:rPr>
          <w:noProof/>
        </w:rPr>
      </w:pPr>
      <w:r>
        <w:rPr>
          <w:noProof/>
        </w:rPr>
        <w:t>tables: format of, 5</w:t>
      </w:r>
    </w:p>
    <w:p w:rsidR="00B72047" w:rsidRDefault="00B72047">
      <w:pPr>
        <w:pStyle w:val="Index1"/>
        <w:rPr>
          <w:noProof/>
        </w:rPr>
      </w:pPr>
      <w:r>
        <w:rPr>
          <w:noProof/>
        </w:rPr>
        <w:t>ta'e, 226, 324</w:t>
      </w:r>
    </w:p>
    <w:p w:rsidR="00B72047" w:rsidRDefault="00B72047">
      <w:pPr>
        <w:pStyle w:val="Index1"/>
        <w:rPr>
          <w:noProof/>
        </w:rPr>
      </w:pPr>
      <w:r>
        <w:rPr>
          <w:noProof/>
        </w:rPr>
        <w:t>tagged sumti termsets: connecting with non-logical forethought connectives, 358</w:t>
      </w:r>
    </w:p>
    <w:p w:rsidR="00B72047" w:rsidRDefault="00B72047">
      <w:pPr>
        <w:pStyle w:val="Index1"/>
        <w:rPr>
          <w:noProof/>
        </w:rPr>
      </w:pPr>
      <w:r>
        <w:rPr>
          <w:noProof/>
        </w:rPr>
        <w:t>TAhE selma’o, 225, 504; effect of ZAhO on fe'e flag, 231; scalar negation of, 242</w:t>
      </w:r>
    </w:p>
    <w:p w:rsidR="00B72047" w:rsidRDefault="00B72047">
      <w:pPr>
        <w:pStyle w:val="Index1"/>
        <w:rPr>
          <w:noProof/>
        </w:rPr>
      </w:pPr>
      <w:r>
        <w:rPr>
          <w:noProof/>
        </w:rPr>
        <w:t>tail-terms: definition, 345</w:t>
      </w:r>
    </w:p>
    <w:p w:rsidR="00B72047" w:rsidRDefault="00B72047">
      <w:pPr>
        <w:pStyle w:val="Index1"/>
        <w:rPr>
          <w:noProof/>
        </w:rPr>
      </w:pPr>
      <w:r>
        <w:rPr>
          <w:noProof/>
        </w:rPr>
        <w:t>Take care!: example, 22</w:t>
      </w:r>
    </w:p>
    <w:p w:rsidR="00B72047" w:rsidRDefault="00B72047">
      <w:pPr>
        <w:pStyle w:val="Index1"/>
        <w:rPr>
          <w:noProof/>
        </w:rPr>
      </w:pPr>
      <w:r>
        <w:rPr>
          <w:noProof/>
        </w:rPr>
        <w:t>Talk!: example, 22</w:t>
      </w:r>
    </w:p>
    <w:p w:rsidR="00B72047" w:rsidRDefault="00B72047">
      <w:pPr>
        <w:pStyle w:val="Index1"/>
        <w:rPr>
          <w:noProof/>
        </w:rPr>
      </w:pPr>
      <w:r>
        <w:rPr>
          <w:noProof/>
        </w:rPr>
        <w:t>talker: example, 19</w:t>
      </w:r>
    </w:p>
    <w:p w:rsidR="00B72047" w:rsidRDefault="00B72047">
      <w:pPr>
        <w:pStyle w:val="Index1"/>
        <w:rPr>
          <w:noProof/>
        </w:rPr>
      </w:pPr>
      <w:r>
        <w:rPr>
          <w:noProof/>
        </w:rPr>
        <w:t>taller: example, 11</w:t>
      </w:r>
    </w:p>
    <w:p w:rsidR="00B72047" w:rsidRDefault="00B72047">
      <w:pPr>
        <w:pStyle w:val="Index1"/>
        <w:rPr>
          <w:noProof/>
        </w:rPr>
      </w:pPr>
      <w:r>
        <w:rPr>
          <w:noProof/>
        </w:rPr>
        <w:t>tan(pi/2) = infinity: example, 456</w:t>
      </w:r>
    </w:p>
    <w:p w:rsidR="00B72047" w:rsidRDefault="00B72047">
      <w:pPr>
        <w:pStyle w:val="Index1"/>
        <w:rPr>
          <w:noProof/>
        </w:rPr>
      </w:pPr>
      <w:r>
        <w:rPr>
          <w:noProof/>
        </w:rPr>
        <w:t>tank: Sherman, example, 60</w:t>
      </w:r>
    </w:p>
    <w:p w:rsidR="00B72047" w:rsidRDefault="00B72047">
      <w:pPr>
        <w:pStyle w:val="Index1"/>
        <w:rPr>
          <w:noProof/>
        </w:rPr>
      </w:pPr>
      <w:r>
        <w:rPr>
          <w:noProof/>
        </w:rPr>
        <w:t>tanru: ambiguity in, 55; ambiguity of, 55, 85; and abstractions, 255; and conversion, quick-tour version, 18; and creativity, 55; as ambiguous, 85; asymmetrical, 104; combination of, 55; containing mathematical expressions, 97; default left-grouping of, 86; definition, 83; definition, quick-tour version, 27; expanding, 318; explanation of, 55; explicating, 318; explicitly defining, 318; expression of, 55; meaning of, 85; place structure of, 274; place structure of, quick-tour version, 18; place structures of, 92, 93; possible meanings of, 274; primary meaning of, 84; purpose, 274; quick-tour version, 17; reducing logically connected sumti to, caveat, 350; simple, 83; to lujvo, 55; with GOhA, 97</w:t>
      </w:r>
    </w:p>
    <w:p w:rsidR="00B72047" w:rsidRDefault="00B72047">
      <w:pPr>
        <w:pStyle w:val="Index1"/>
        <w:rPr>
          <w:noProof/>
        </w:rPr>
      </w:pPr>
      <w:r>
        <w:rPr>
          <w:noProof/>
        </w:rPr>
        <w:t>tanru and conversion, 100</w:t>
      </w:r>
    </w:p>
    <w:p w:rsidR="00B72047" w:rsidRDefault="00B72047">
      <w:pPr>
        <w:pStyle w:val="Index1"/>
        <w:rPr>
          <w:noProof/>
        </w:rPr>
      </w:pPr>
      <w:r>
        <w:rPr>
          <w:noProof/>
        </w:rPr>
        <w:t>tanru connection: connotation of non-logical, 354</w:t>
      </w:r>
    </w:p>
    <w:p w:rsidR="00B72047" w:rsidRDefault="00B72047">
      <w:pPr>
        <w:pStyle w:val="Index1"/>
        <w:rPr>
          <w:noProof/>
        </w:rPr>
      </w:pPr>
      <w:r>
        <w:rPr>
          <w:noProof/>
        </w:rPr>
        <w:t>tanru connection grouping: guheks unmarked tanru, 350</w:t>
      </w:r>
    </w:p>
    <w:p w:rsidR="00B72047" w:rsidRDefault="00B72047">
      <w:pPr>
        <w:pStyle w:val="Index1"/>
        <w:rPr>
          <w:noProof/>
        </w:rPr>
      </w:pPr>
      <w:r>
        <w:rPr>
          <w:noProof/>
        </w:rPr>
        <w:t>tanru conversion: effect on place structure, quick-tour version, 18</w:t>
      </w:r>
    </w:p>
    <w:p w:rsidR="00B72047" w:rsidRDefault="00B72047">
      <w:pPr>
        <w:pStyle w:val="Index1"/>
        <w:rPr>
          <w:noProof/>
        </w:rPr>
      </w:pPr>
      <w:r>
        <w:rPr>
          <w:noProof/>
        </w:rPr>
        <w:t>tanru default grouping: quick-tour version, 17</w:t>
      </w:r>
    </w:p>
    <w:p w:rsidR="00B72047" w:rsidRDefault="00B72047">
      <w:pPr>
        <w:pStyle w:val="Index1"/>
        <w:rPr>
          <w:noProof/>
        </w:rPr>
      </w:pPr>
      <w:r>
        <w:rPr>
          <w:noProof/>
        </w:rPr>
        <w:t>tanru grouping: complex, 87; effect of tanru inversion on, 96; guheks compared with jeks, 350; three-part, 85; with bo, 87; with ke, 88; with ke and bo, 88</w:t>
      </w:r>
    </w:p>
    <w:p w:rsidR="00B72047" w:rsidRDefault="00B72047">
      <w:pPr>
        <w:pStyle w:val="Index1"/>
        <w:rPr>
          <w:noProof/>
        </w:rPr>
      </w:pPr>
      <w:r>
        <w:rPr>
          <w:noProof/>
        </w:rPr>
        <w:t>tanru grouping with JA+BO: effect on tanru grouping, 91</w:t>
      </w:r>
    </w:p>
    <w:p w:rsidR="00B72047" w:rsidRDefault="00B72047">
      <w:pPr>
        <w:pStyle w:val="Index1"/>
        <w:rPr>
          <w:noProof/>
        </w:rPr>
      </w:pPr>
      <w:r>
        <w:rPr>
          <w:noProof/>
        </w:rPr>
        <w:t>tanru inversion, 95; definition, 95; effect on tanru grouping, 96; in complex tanru, 96; multiple, 96; rule for removing, 96; where allowed, 96</w:t>
      </w:r>
    </w:p>
    <w:p w:rsidR="00B72047" w:rsidRDefault="00B72047">
      <w:pPr>
        <w:pStyle w:val="Index1"/>
        <w:rPr>
          <w:noProof/>
        </w:rPr>
      </w:pPr>
      <w:r>
        <w:rPr>
          <w:noProof/>
        </w:rPr>
        <w:t>tanru inversion and place structure, 95</w:t>
      </w:r>
    </w:p>
    <w:p w:rsidR="00B72047" w:rsidRDefault="00B72047">
      <w:pPr>
        <w:pStyle w:val="Index1"/>
        <w:rPr>
          <w:noProof/>
        </w:rPr>
      </w:pPr>
      <w:r>
        <w:rPr>
          <w:noProof/>
        </w:rPr>
        <w:t>tanru logical connection: contrasted with sumti logical connection, 350</w:t>
      </w:r>
    </w:p>
    <w:p w:rsidR="00B72047" w:rsidRDefault="00B72047">
      <w:pPr>
        <w:pStyle w:val="Index1"/>
        <w:rPr>
          <w:noProof/>
        </w:rPr>
      </w:pPr>
      <w:r>
        <w:rPr>
          <w:noProof/>
        </w:rPr>
        <w:t>tanru nested within tanru, 86</w:t>
      </w:r>
    </w:p>
    <w:p w:rsidR="00B72047" w:rsidRDefault="00B72047">
      <w:pPr>
        <w:pStyle w:val="Index1"/>
        <w:rPr>
          <w:noProof/>
        </w:rPr>
      </w:pPr>
      <w:r>
        <w:rPr>
          <w:noProof/>
        </w:rPr>
        <w:t>tanru unit: filling in places of, 489</w:t>
      </w:r>
    </w:p>
    <w:p w:rsidR="00B72047" w:rsidRDefault="00B72047">
      <w:pPr>
        <w:pStyle w:val="Index1"/>
        <w:rPr>
          <w:noProof/>
        </w:rPr>
      </w:pPr>
      <w:r>
        <w:rPr>
          <w:noProof/>
        </w:rPr>
        <w:t>ta'o, 319</w:t>
      </w:r>
    </w:p>
    <w:p w:rsidR="00B72047" w:rsidRDefault="00B72047">
      <w:pPr>
        <w:pStyle w:val="Index1"/>
        <w:rPr>
          <w:noProof/>
        </w:rPr>
      </w:pPr>
      <w:r>
        <w:rPr>
          <w:noProof/>
        </w:rPr>
        <w:t>ta'onao, 320</w:t>
      </w:r>
    </w:p>
    <w:p w:rsidR="00B72047" w:rsidRDefault="00B72047">
      <w:pPr>
        <w:pStyle w:val="Index1"/>
        <w:rPr>
          <w:noProof/>
        </w:rPr>
      </w:pPr>
      <w:r>
        <w:rPr>
          <w:noProof/>
        </w:rPr>
        <w:t>ta'u, 318</w:t>
      </w:r>
    </w:p>
    <w:p w:rsidR="00B72047" w:rsidRDefault="00B72047">
      <w:pPr>
        <w:pStyle w:val="Index1"/>
        <w:rPr>
          <w:noProof/>
        </w:rPr>
      </w:pPr>
      <w:r>
        <w:rPr>
          <w:noProof/>
        </w:rPr>
        <w:t>ta'unai, 318</w:t>
      </w:r>
    </w:p>
    <w:p w:rsidR="00B72047" w:rsidRDefault="00B72047">
      <w:pPr>
        <w:pStyle w:val="Index1"/>
        <w:rPr>
          <w:noProof/>
        </w:rPr>
      </w:pPr>
      <w:r>
        <w:rPr>
          <w:noProof/>
        </w:rPr>
        <w:t>tavla, 14</w:t>
      </w:r>
    </w:p>
    <w:p w:rsidR="00B72047" w:rsidRDefault="00B72047">
      <w:pPr>
        <w:pStyle w:val="Index1"/>
        <w:rPr>
          <w:noProof/>
        </w:rPr>
      </w:pPr>
      <w:r>
        <w:rPr>
          <w:noProof/>
        </w:rPr>
        <w:t>te, 100, 192; quick-tour version, 16</w:t>
      </w:r>
    </w:p>
    <w:p w:rsidR="00B72047" w:rsidRDefault="00B72047">
      <w:pPr>
        <w:pStyle w:val="Index1"/>
        <w:rPr>
          <w:noProof/>
        </w:rPr>
      </w:pPr>
      <w:r>
        <w:rPr>
          <w:noProof/>
        </w:rPr>
        <w:t>te'a, 437</w:t>
      </w:r>
    </w:p>
    <w:p w:rsidR="00B72047" w:rsidRDefault="00B72047">
      <w:pPr>
        <w:pStyle w:val="Index1"/>
        <w:rPr>
          <w:noProof/>
        </w:rPr>
      </w:pPr>
      <w:r>
        <w:rPr>
          <w:noProof/>
        </w:rPr>
        <w:t>technical terms, 5</w:t>
      </w:r>
    </w:p>
    <w:p w:rsidR="00B72047" w:rsidRDefault="00B72047">
      <w:pPr>
        <w:pStyle w:val="Index1"/>
        <w:rPr>
          <w:noProof/>
        </w:rPr>
      </w:pPr>
      <w:r>
        <w:rPr>
          <w:noProof/>
        </w:rPr>
        <w:t>TEhU selma’o, 505</w:t>
      </w:r>
    </w:p>
    <w:p w:rsidR="00B72047" w:rsidRDefault="00B72047">
      <w:pPr>
        <w:pStyle w:val="Index1"/>
        <w:rPr>
          <w:noProof/>
        </w:rPr>
      </w:pPr>
      <w:r>
        <w:rPr>
          <w:noProof/>
        </w:rPr>
        <w:t>tei, 419</w:t>
      </w:r>
    </w:p>
    <w:p w:rsidR="00B72047" w:rsidRDefault="00B72047">
      <w:pPr>
        <w:pStyle w:val="Index1"/>
        <w:rPr>
          <w:noProof/>
        </w:rPr>
      </w:pPr>
      <w:r>
        <w:rPr>
          <w:noProof/>
        </w:rPr>
        <w:t>TEI selma’o, 419, 505; terminator for, 494</w:t>
      </w:r>
    </w:p>
    <w:p w:rsidR="00B72047" w:rsidRDefault="00B72047">
      <w:pPr>
        <w:pStyle w:val="Index1"/>
        <w:rPr>
          <w:noProof/>
        </w:rPr>
      </w:pPr>
      <w:r>
        <w:rPr>
          <w:noProof/>
        </w:rPr>
        <w:t>telephone conversation: hello, 324</w:t>
      </w:r>
    </w:p>
    <w:p w:rsidR="00B72047" w:rsidRDefault="00B72047">
      <w:pPr>
        <w:pStyle w:val="Index1"/>
        <w:rPr>
          <w:noProof/>
        </w:rPr>
      </w:pPr>
      <w:r>
        <w:rPr>
          <w:noProof/>
        </w:rPr>
        <w:t>television, 42</w:t>
      </w:r>
    </w:p>
    <w:p w:rsidR="00B72047" w:rsidRDefault="00B72047">
      <w:pPr>
        <w:pStyle w:val="Index1"/>
        <w:rPr>
          <w:noProof/>
        </w:rPr>
      </w:pPr>
      <w:r>
        <w:rPr>
          <w:noProof/>
        </w:rPr>
        <w:t>template, 266</w:t>
      </w:r>
    </w:p>
    <w:p w:rsidR="00B72047" w:rsidRDefault="00B72047">
      <w:pPr>
        <w:pStyle w:val="Index1"/>
        <w:rPr>
          <w:noProof/>
        </w:rPr>
      </w:pPr>
      <w:r>
        <w:rPr>
          <w:noProof/>
        </w:rPr>
        <w:t>temporal direction: exception in meaning when following ze'e, 227</w:t>
      </w:r>
    </w:p>
    <w:p w:rsidR="00B72047" w:rsidRDefault="00B72047">
      <w:pPr>
        <w:pStyle w:val="Index1"/>
        <w:rPr>
          <w:noProof/>
        </w:rPr>
      </w:pPr>
      <w:r>
        <w:rPr>
          <w:noProof/>
        </w:rPr>
        <w:t>temporal information: adding to a sentence with tense sumti tcita, 231</w:t>
      </w:r>
    </w:p>
    <w:p w:rsidR="00B72047" w:rsidRDefault="00B72047">
      <w:pPr>
        <w:pStyle w:val="Index1"/>
        <w:rPr>
          <w:noProof/>
        </w:rPr>
      </w:pPr>
      <w:r>
        <w:rPr>
          <w:noProof/>
        </w:rPr>
        <w:t>temporal tense: as mandatory in English, 215; compared with spatial tense in elidability, 217; historical definition, 215; interaction with 4-dimensional spatial tense, 224; Lojban contrasted with English in necessity, 215; order relative to spatial, 219; quantified with direction, 227; real relationship to time in English, 215</w:t>
      </w:r>
    </w:p>
    <w:p w:rsidR="00B72047" w:rsidRDefault="00B72047">
      <w:pPr>
        <w:pStyle w:val="Index1"/>
        <w:rPr>
          <w:noProof/>
        </w:rPr>
      </w:pPr>
      <w:r>
        <w:rPr>
          <w:noProof/>
        </w:rPr>
        <w:t>temporal tense elision: compared with spatial tense elision in meaning, 217</w:t>
      </w:r>
    </w:p>
    <w:p w:rsidR="00B72047" w:rsidRDefault="00B72047">
      <w:pPr>
        <w:pStyle w:val="Index1"/>
        <w:rPr>
          <w:noProof/>
        </w:rPr>
      </w:pPr>
      <w:r>
        <w:rPr>
          <w:noProof/>
        </w:rPr>
        <w:t>temporal tenses: compared with spatial tenses, 219</w:t>
      </w:r>
    </w:p>
    <w:p w:rsidR="00B72047" w:rsidRDefault="00B72047">
      <w:pPr>
        <w:pStyle w:val="Index1"/>
        <w:rPr>
          <w:noProof/>
        </w:rPr>
      </w:pPr>
      <w:r>
        <w:rPr>
          <w:noProof/>
        </w:rPr>
        <w:t>ten: expressing as number, 432</w:t>
      </w:r>
    </w:p>
    <w:p w:rsidR="00B72047" w:rsidRDefault="00B72047">
      <w:pPr>
        <w:pStyle w:val="Index1"/>
        <w:rPr>
          <w:noProof/>
        </w:rPr>
      </w:pPr>
      <w:r>
        <w:rPr>
          <w:noProof/>
        </w:rPr>
        <w:t>tense: aorist, 223; as observer-based, 220; as subjective perception, 219; compared with modals in syntax, 248; connected, with negation, 245; connecting sentences in with, 238; contradictory negation contrasted with scalar negation of, 242; contradictory negation of with nai, 241; contrasted with modals in semantics, 248; effect of different position in sentence, 216; effect of sticky tense on, 234; emphasizing by position in sentence, 216; explanation of presentation method, 215; expressing movement in, 224; extensional, 503; forethought connection in, 363; forethought logical connections, 246; grouping of connectives in, 363; handling multiple episodes, 236; importance of 2nd sumti place for sumti tcita use, 248; in forethought bridi-tail connection, special rule, 365; interval contrasted with point, 221; logically connected with JA, 245; Lojban contrasted with English in implications of completeness, 223; Lojban contrasted with English in implying actuality, 243; Lojban contrasted with native languages, 215; making sticky, 497; multiple in sentence, 234; multiple in sentence compared with compound tense, 234; negating, 241; non-logical connection of, 246; non-logical connection of for sub-events, 246; numerical, 458; on embedded bridi, 235; order of direction specification in, 217; order of direction, distance and interval in, 221; order of distance specification in, 217; order of movement specification in, 225; order of spatial interval modifiers in, 230; order of temporal and spatial in, 219; overriding to speaker's current, 238; point contrasted with interval, 221; position in sentence alternative, 216; position of in sentence, 216; possible groupings of, 246; quantified, 226; quick-tour version, 25; rationale for relative order of temporal and spatial in, 219; relation of interval to point specified by direction and distance, 221; relation of point specified by direction and distance to interval, 221; relative order with bridi negation, 103; scalar negation contrasted with contradictory negation of, 242; scalar negation of with NAhE, 242; scope effect of new paragraph, 466; scope of, 234; selbri types applicable to, 215; space-time dimension for intervals, 224; speaker's current, 238; specifying relation of interval to point specified by direction and distance, 221; static contrasted with moving, 224; subscripting, 236; sumti tcita form contrasted with connected sentences, 239; use as sumti tcita, 231; viewpoint of PU contrasted with viewpoint of ZAhO, 228; with both temporal and spatial, 220; with ku, 216</w:t>
      </w:r>
    </w:p>
    <w:p w:rsidR="00B72047" w:rsidRDefault="00B72047">
      <w:pPr>
        <w:pStyle w:val="Index1"/>
        <w:rPr>
          <w:noProof/>
        </w:rPr>
      </w:pPr>
      <w:r>
        <w:rPr>
          <w:noProof/>
        </w:rPr>
        <w:t>tense afterthought connection forms: selma'o allowed, 240</w:t>
      </w:r>
    </w:p>
    <w:p w:rsidR="00B72047" w:rsidRDefault="00B72047">
      <w:pPr>
        <w:pStyle w:val="Index1"/>
        <w:rPr>
          <w:noProof/>
        </w:rPr>
      </w:pPr>
      <w:r>
        <w:rPr>
          <w:noProof/>
        </w:rPr>
        <w:t>tense and na: multiple, 104</w:t>
      </w:r>
    </w:p>
    <w:p w:rsidR="00B72047" w:rsidRDefault="00B72047">
      <w:pPr>
        <w:pStyle w:val="Index1"/>
        <w:rPr>
          <w:noProof/>
        </w:rPr>
      </w:pPr>
      <w:r>
        <w:rPr>
          <w:noProof/>
        </w:rPr>
        <w:t>tense as sumti tcita: contrasted with tense inside sumti, 233</w:t>
      </w:r>
    </w:p>
    <w:p w:rsidR="00B72047" w:rsidRDefault="00B72047">
      <w:pPr>
        <w:pStyle w:val="Index1"/>
        <w:rPr>
          <w:noProof/>
        </w:rPr>
      </w:pPr>
      <w:r>
        <w:rPr>
          <w:noProof/>
        </w:rPr>
        <w:t>tense aspect, 507</w:t>
      </w:r>
    </w:p>
    <w:p w:rsidR="00B72047" w:rsidRDefault="00B72047">
      <w:pPr>
        <w:pStyle w:val="Index1"/>
        <w:rPr>
          <w:noProof/>
        </w:rPr>
      </w:pPr>
      <w:r>
        <w:rPr>
          <w:noProof/>
        </w:rPr>
        <w:t>tense cmavo: position relative to selbri, 104</w:t>
      </w:r>
    </w:p>
    <w:p w:rsidR="00B72047" w:rsidRDefault="00B72047">
      <w:pPr>
        <w:pStyle w:val="Index1"/>
        <w:rPr>
          <w:noProof/>
        </w:rPr>
      </w:pPr>
      <w:r>
        <w:rPr>
          <w:noProof/>
        </w:rPr>
        <w:t>tense connected sentences: contrasted with separately tensed sentences, 239; forethought mode, 239; importance of “bo” in, 239</w:t>
      </w:r>
    </w:p>
    <w:p w:rsidR="00B72047" w:rsidRDefault="00B72047">
      <w:pPr>
        <w:pStyle w:val="Index1"/>
        <w:rPr>
          <w:noProof/>
        </w:rPr>
      </w:pPr>
      <w:r>
        <w:rPr>
          <w:noProof/>
        </w:rPr>
        <w:t>tense connection: equivalent meanings, 240; expansions of, 240</w:t>
      </w:r>
    </w:p>
    <w:p w:rsidR="00B72047" w:rsidRDefault="00B72047">
      <w:pPr>
        <w:pStyle w:val="Index1"/>
        <w:rPr>
          <w:noProof/>
        </w:rPr>
      </w:pPr>
      <w:r>
        <w:rPr>
          <w:noProof/>
        </w:rPr>
        <w:t>tense connection of bridi-tails: meaning of, 240</w:t>
      </w:r>
    </w:p>
    <w:p w:rsidR="00B72047" w:rsidRDefault="00B72047">
      <w:pPr>
        <w:pStyle w:val="Index1"/>
        <w:rPr>
          <w:noProof/>
        </w:rPr>
      </w:pPr>
      <w:r>
        <w:rPr>
          <w:noProof/>
        </w:rPr>
        <w:t>tense connection of sentences: contrasted with sumti tcita form, 239; order of, 239</w:t>
      </w:r>
    </w:p>
    <w:p w:rsidR="00B72047" w:rsidRDefault="00B72047">
      <w:pPr>
        <w:pStyle w:val="Index1"/>
        <w:rPr>
          <w:noProof/>
        </w:rPr>
      </w:pPr>
      <w:r>
        <w:rPr>
          <w:noProof/>
        </w:rPr>
        <w:t>tense connection of sumti: meaning of, 240</w:t>
      </w:r>
    </w:p>
    <w:p w:rsidR="00B72047" w:rsidRDefault="00B72047">
      <w:pPr>
        <w:pStyle w:val="Index1"/>
        <w:rPr>
          <w:noProof/>
        </w:rPr>
      </w:pPr>
      <w:r>
        <w:rPr>
          <w:noProof/>
        </w:rPr>
        <w:t>tense contours: compared with event abstraction contours, 268</w:t>
      </w:r>
    </w:p>
    <w:p w:rsidR="00B72047" w:rsidRDefault="00B72047">
      <w:pPr>
        <w:pStyle w:val="Index1"/>
        <w:rPr>
          <w:noProof/>
        </w:rPr>
      </w:pPr>
      <w:r>
        <w:rPr>
          <w:noProof/>
        </w:rPr>
        <w:t>tense conversion: accessing original first place with fai, 247; accessing tense of bridi with jai, 247; of temporal tenses, 248; use in sumti descriptions, 247</w:t>
      </w:r>
    </w:p>
    <w:p w:rsidR="00B72047" w:rsidRDefault="00B72047">
      <w:pPr>
        <w:pStyle w:val="Index1"/>
        <w:rPr>
          <w:noProof/>
        </w:rPr>
      </w:pPr>
      <w:r>
        <w:rPr>
          <w:noProof/>
        </w:rPr>
        <w:t>tense direction: as sumti tcita, 232; contrasted with event contours in implication of extent, 229; implications on scope of event, 223</w:t>
      </w:r>
    </w:p>
    <w:p w:rsidR="00B72047" w:rsidRDefault="00B72047">
      <w:pPr>
        <w:pStyle w:val="Index1"/>
        <w:rPr>
          <w:noProof/>
        </w:rPr>
      </w:pPr>
      <w:r>
        <w:rPr>
          <w:noProof/>
        </w:rPr>
        <w:t>tense direction/distance as sumti tcita: contrasted with event contours, 232</w:t>
      </w:r>
    </w:p>
    <w:p w:rsidR="00B72047" w:rsidRDefault="00B72047">
      <w:pPr>
        <w:pStyle w:val="Index1"/>
        <w:rPr>
          <w:noProof/>
        </w:rPr>
      </w:pPr>
      <w:r>
        <w:rPr>
          <w:noProof/>
        </w:rPr>
        <w:t>tense distance: as sumti tcita, 232</w:t>
      </w:r>
    </w:p>
    <w:p w:rsidR="00B72047" w:rsidRDefault="00B72047">
      <w:pPr>
        <w:pStyle w:val="Index1"/>
        <w:rPr>
          <w:noProof/>
        </w:rPr>
      </w:pPr>
      <w:r>
        <w:rPr>
          <w:noProof/>
        </w:rPr>
        <w:t>tense forethought connection forms: selma'o allowed, 240</w:t>
      </w:r>
    </w:p>
    <w:p w:rsidR="00B72047" w:rsidRDefault="00B72047">
      <w:pPr>
        <w:pStyle w:val="Index1"/>
        <w:rPr>
          <w:noProof/>
        </w:rPr>
      </w:pPr>
      <w:r>
        <w:rPr>
          <w:noProof/>
        </w:rPr>
        <w:t>tense in scope of sticky tense: compared with compound tense, 234</w:t>
      </w:r>
    </w:p>
    <w:p w:rsidR="00B72047" w:rsidRDefault="00B72047">
      <w:pPr>
        <w:pStyle w:val="Index1"/>
        <w:rPr>
          <w:noProof/>
        </w:rPr>
      </w:pPr>
      <w:r>
        <w:rPr>
          <w:noProof/>
        </w:rPr>
        <w:t>tense inside sumti: contrasted with tense as sumti tcita, 233</w:t>
      </w:r>
    </w:p>
    <w:p w:rsidR="00B72047" w:rsidRDefault="00B72047">
      <w:pPr>
        <w:pStyle w:val="Index1"/>
        <w:rPr>
          <w:noProof/>
        </w:rPr>
      </w:pPr>
      <w:r>
        <w:rPr>
          <w:noProof/>
        </w:rPr>
        <w:t>tense magnitude, 250</w:t>
      </w:r>
    </w:p>
    <w:p w:rsidR="00B72047" w:rsidRDefault="00B72047">
      <w:pPr>
        <w:pStyle w:val="Index1"/>
        <w:rPr>
          <w:noProof/>
        </w:rPr>
      </w:pPr>
      <w:r>
        <w:rPr>
          <w:noProof/>
        </w:rPr>
        <w:t>tense on main bridi: effect on embedded bridi tenses, 235; effect on embedded sumti with tenses, 235</w:t>
      </w:r>
    </w:p>
    <w:p w:rsidR="00B72047" w:rsidRDefault="00B72047">
      <w:pPr>
        <w:pStyle w:val="Index1"/>
        <w:rPr>
          <w:noProof/>
        </w:rPr>
      </w:pPr>
      <w:r>
        <w:rPr>
          <w:noProof/>
        </w:rPr>
        <w:t>tense questions: by using logical connective question, 250; methods of asking, 249</w:t>
      </w:r>
    </w:p>
    <w:p w:rsidR="00B72047" w:rsidRDefault="00B72047">
      <w:pPr>
        <w:pStyle w:val="Index1"/>
        <w:rPr>
          <w:noProof/>
        </w:rPr>
      </w:pPr>
      <w:r>
        <w:rPr>
          <w:noProof/>
        </w:rPr>
        <w:t>tense questions with ma, 249</w:t>
      </w:r>
    </w:p>
    <w:p w:rsidR="00B72047" w:rsidRDefault="00B72047">
      <w:pPr>
        <w:pStyle w:val="Index1"/>
        <w:rPr>
          <w:noProof/>
        </w:rPr>
      </w:pPr>
      <w:r>
        <w:rPr>
          <w:noProof/>
        </w:rPr>
        <w:t>tense selma'o: summary of, 252</w:t>
      </w:r>
    </w:p>
    <w:p w:rsidR="00B72047" w:rsidRDefault="00B72047">
      <w:pPr>
        <w:pStyle w:val="Index1"/>
        <w:rPr>
          <w:noProof/>
        </w:rPr>
      </w:pPr>
      <w:r>
        <w:rPr>
          <w:noProof/>
        </w:rPr>
        <w:t>tense sentence connection: table of equivalent schemata, 249</w:t>
      </w:r>
    </w:p>
    <w:p w:rsidR="00B72047" w:rsidRDefault="00B72047">
      <w:pPr>
        <w:pStyle w:val="Index1"/>
        <w:rPr>
          <w:noProof/>
        </w:rPr>
      </w:pPr>
      <w:r>
        <w:rPr>
          <w:noProof/>
        </w:rPr>
        <w:t>tense specification: effect on cu, 216; effect on elidability of terminators, 216</w:t>
      </w:r>
    </w:p>
    <w:p w:rsidR="00B72047" w:rsidRDefault="00B72047">
      <w:pPr>
        <w:pStyle w:val="Index1"/>
        <w:rPr>
          <w:noProof/>
        </w:rPr>
      </w:pPr>
      <w:r>
        <w:rPr>
          <w:noProof/>
        </w:rPr>
        <w:t>tense system: and space location, 215</w:t>
      </w:r>
    </w:p>
    <w:p w:rsidR="00B72047" w:rsidRDefault="00B72047">
      <w:pPr>
        <w:pStyle w:val="Index1"/>
        <w:rPr>
          <w:noProof/>
        </w:rPr>
      </w:pPr>
      <w:r>
        <w:rPr>
          <w:noProof/>
        </w:rPr>
        <w:t>tense tags and sumti tcita, 94</w:t>
      </w:r>
    </w:p>
    <w:p w:rsidR="00B72047" w:rsidRDefault="00B72047">
      <w:pPr>
        <w:pStyle w:val="Index1"/>
        <w:rPr>
          <w:noProof/>
        </w:rPr>
      </w:pPr>
      <w:r>
        <w:rPr>
          <w:noProof/>
        </w:rPr>
        <w:t>tense with elided CAhA: meaning, 244</w:t>
      </w:r>
    </w:p>
    <w:p w:rsidR="00B72047" w:rsidRDefault="00B72047">
      <w:pPr>
        <w:pStyle w:val="Index1"/>
        <w:rPr>
          <w:noProof/>
        </w:rPr>
      </w:pPr>
      <w:r>
        <w:rPr>
          <w:noProof/>
        </w:rPr>
        <w:t>tense with no sumti: indicator for, 497</w:t>
      </w:r>
    </w:p>
    <w:p w:rsidR="00B72047" w:rsidRDefault="00B72047">
      <w:pPr>
        <w:pStyle w:val="Index1"/>
        <w:rPr>
          <w:noProof/>
        </w:rPr>
      </w:pPr>
      <w:r>
        <w:rPr>
          <w:noProof/>
        </w:rPr>
        <w:t>tense with sumti tcita: asymmetry of, 238</w:t>
      </w:r>
    </w:p>
    <w:p w:rsidR="00B72047" w:rsidRDefault="00B72047">
      <w:pPr>
        <w:pStyle w:val="Index1"/>
        <w:rPr>
          <w:noProof/>
        </w:rPr>
      </w:pPr>
      <w:r>
        <w:rPr>
          <w:noProof/>
        </w:rPr>
        <w:t>tensed connectives: in mathematical expressions, 364</w:t>
      </w:r>
    </w:p>
    <w:p w:rsidR="00B72047" w:rsidRDefault="00B72047">
      <w:pPr>
        <w:pStyle w:val="Index1"/>
        <w:rPr>
          <w:noProof/>
        </w:rPr>
      </w:pPr>
      <w:r>
        <w:rPr>
          <w:noProof/>
        </w:rPr>
        <w:t>tensed logical connection, 363</w:t>
      </w:r>
    </w:p>
    <w:p w:rsidR="00B72047" w:rsidRDefault="00B72047">
      <w:pPr>
        <w:pStyle w:val="Index1"/>
        <w:rPr>
          <w:noProof/>
        </w:rPr>
      </w:pPr>
      <w:r>
        <w:rPr>
          <w:noProof/>
        </w:rPr>
        <w:t>tensed logical connective, 240; forethought, 364; with ke…ke'e, 241; with tu'e…tu'u, 241</w:t>
      </w:r>
    </w:p>
    <w:p w:rsidR="00B72047" w:rsidRDefault="00B72047">
      <w:pPr>
        <w:pStyle w:val="Index1"/>
        <w:rPr>
          <w:noProof/>
        </w:rPr>
      </w:pPr>
      <w:r>
        <w:rPr>
          <w:noProof/>
        </w:rPr>
        <w:t>tensed logical connective(s): in ek…bo, 364; in ek…ke, 364; in gihek…bo, 364; in gihek…ke, 364; in ijek…bo, 364; in ijek…tu'e, 364; in ijoik…bo, 364; in ijoik…tu'e, 364; in jek…bo, 364; in joik…bo, 364; in joik…ke, 364</w:t>
      </w:r>
    </w:p>
    <w:p w:rsidR="00B72047" w:rsidRDefault="00B72047">
      <w:pPr>
        <w:pStyle w:val="Index1"/>
        <w:rPr>
          <w:noProof/>
        </w:rPr>
      </w:pPr>
      <w:r>
        <w:rPr>
          <w:noProof/>
        </w:rPr>
        <w:t>tensed logically connected bridi-tails, 240; with grouping, 241</w:t>
      </w:r>
    </w:p>
    <w:p w:rsidR="00B72047" w:rsidRDefault="00B72047">
      <w:pPr>
        <w:pStyle w:val="Index1"/>
        <w:rPr>
          <w:noProof/>
        </w:rPr>
      </w:pPr>
      <w:r>
        <w:rPr>
          <w:noProof/>
        </w:rPr>
        <w:t>tensed logically connected sentences, 240; with grouping, 241</w:t>
      </w:r>
    </w:p>
    <w:p w:rsidR="00B72047" w:rsidRDefault="00B72047">
      <w:pPr>
        <w:pStyle w:val="Index1"/>
        <w:rPr>
          <w:noProof/>
        </w:rPr>
      </w:pPr>
      <w:r>
        <w:rPr>
          <w:noProof/>
        </w:rPr>
        <w:t>tensed logically connected sumti, 240; with grouping, 241</w:t>
      </w:r>
    </w:p>
    <w:p w:rsidR="00B72047" w:rsidRDefault="00B72047">
      <w:pPr>
        <w:pStyle w:val="Index1"/>
        <w:rPr>
          <w:noProof/>
        </w:rPr>
      </w:pPr>
      <w:r>
        <w:rPr>
          <w:noProof/>
        </w:rPr>
        <w:t>tensed non-logical connectives, 364; forethought, 364</w:t>
      </w:r>
    </w:p>
    <w:p w:rsidR="00B72047" w:rsidRDefault="00B72047">
      <w:pPr>
        <w:pStyle w:val="Index1"/>
        <w:rPr>
          <w:noProof/>
        </w:rPr>
      </w:pPr>
      <w:r>
        <w:rPr>
          <w:noProof/>
        </w:rPr>
        <w:t>tenseless sentences in story time, 236</w:t>
      </w:r>
    </w:p>
    <w:p w:rsidR="00B72047" w:rsidRDefault="00B72047">
      <w:pPr>
        <w:pStyle w:val="Index1"/>
        <w:rPr>
          <w:noProof/>
        </w:rPr>
      </w:pPr>
      <w:r>
        <w:rPr>
          <w:noProof/>
        </w:rPr>
        <w:t>tense-or-modal questions: with cu'e, 250</w:t>
      </w:r>
    </w:p>
    <w:p w:rsidR="00B72047" w:rsidRDefault="00B72047">
      <w:pPr>
        <w:pStyle w:val="Index1"/>
        <w:rPr>
          <w:noProof/>
        </w:rPr>
      </w:pPr>
      <w:r>
        <w:rPr>
          <w:noProof/>
        </w:rPr>
        <w:t>term: definition, 347</w:t>
      </w:r>
    </w:p>
    <w:p w:rsidR="00B72047" w:rsidRDefault="00B72047">
      <w:pPr>
        <w:pStyle w:val="Index1"/>
        <w:rPr>
          <w:noProof/>
        </w:rPr>
      </w:pPr>
      <w:r>
        <w:rPr>
          <w:noProof/>
        </w:rPr>
        <w:t>terminators: eliding ku in non-logical connections, 354</w:t>
      </w:r>
    </w:p>
    <w:p w:rsidR="00B72047" w:rsidRDefault="00B72047">
      <w:pPr>
        <w:pStyle w:val="Index1"/>
        <w:rPr>
          <w:noProof/>
        </w:rPr>
      </w:pPr>
      <w:r>
        <w:rPr>
          <w:noProof/>
        </w:rPr>
        <w:t>termset: effect on scope of multiple indefinite sumti, 399; formation, 347</w:t>
      </w:r>
    </w:p>
    <w:p w:rsidR="00B72047" w:rsidRDefault="00B72047">
      <w:pPr>
        <w:pStyle w:val="Index1"/>
        <w:rPr>
          <w:noProof/>
        </w:rPr>
      </w:pPr>
      <w:r>
        <w:rPr>
          <w:noProof/>
        </w:rPr>
        <w:t>termset connectives, 503</w:t>
      </w:r>
    </w:p>
    <w:p w:rsidR="00B72047" w:rsidRDefault="00B72047">
      <w:pPr>
        <w:pStyle w:val="Index1"/>
        <w:rPr>
          <w:noProof/>
        </w:rPr>
      </w:pPr>
      <w:r>
        <w:rPr>
          <w:noProof/>
        </w:rPr>
        <w:t>termset logical connection: contrasted with bridi connection, 347; contrasted with bridi-tail connection, 347; contrasted with sumti connection, 347; unequal length, 348; when used, 347</w:t>
      </w:r>
    </w:p>
    <w:p w:rsidR="00B72047" w:rsidRDefault="00B72047">
      <w:pPr>
        <w:pStyle w:val="Index1"/>
        <w:rPr>
          <w:noProof/>
        </w:rPr>
      </w:pPr>
      <w:r>
        <w:rPr>
          <w:noProof/>
        </w:rPr>
        <w:t>termset marker, 502</w:t>
      </w:r>
    </w:p>
    <w:p w:rsidR="00B72047" w:rsidRDefault="00B72047">
      <w:pPr>
        <w:pStyle w:val="Index1"/>
        <w:rPr>
          <w:noProof/>
        </w:rPr>
      </w:pPr>
      <w:r>
        <w:rPr>
          <w:noProof/>
        </w:rPr>
        <w:t>termset modal connection, 200</w:t>
      </w:r>
    </w:p>
    <w:p w:rsidR="00B72047" w:rsidRDefault="00B72047">
      <w:pPr>
        <w:pStyle w:val="Index1"/>
        <w:rPr>
          <w:noProof/>
        </w:rPr>
      </w:pPr>
      <w:r>
        <w:rPr>
          <w:noProof/>
        </w:rPr>
        <w:t>termsets, 491; compared to fa'u, 356; non-logical connection of, 357</w:t>
      </w:r>
    </w:p>
    <w:p w:rsidR="00B72047" w:rsidRDefault="00B72047">
      <w:pPr>
        <w:pStyle w:val="Index1"/>
        <w:rPr>
          <w:noProof/>
        </w:rPr>
      </w:pPr>
      <w:r>
        <w:rPr>
          <w:noProof/>
        </w:rPr>
        <w:t>tertau: definition, 95, 274; definition of, 84; effect on meaning of tanru, 84</w:t>
      </w:r>
    </w:p>
    <w:p w:rsidR="00B72047" w:rsidRDefault="00B72047">
      <w:pPr>
        <w:pStyle w:val="Index1"/>
        <w:rPr>
          <w:noProof/>
        </w:rPr>
      </w:pPr>
      <w:r>
        <w:rPr>
          <w:noProof/>
        </w:rPr>
        <w:t>te'u, 451, 456, 460</w:t>
      </w:r>
    </w:p>
    <w:p w:rsidR="00B72047" w:rsidRDefault="00B72047">
      <w:pPr>
        <w:pStyle w:val="Index1"/>
        <w:rPr>
          <w:noProof/>
        </w:rPr>
      </w:pPr>
      <w:r>
        <w:rPr>
          <w:noProof/>
        </w:rPr>
        <w:t>text: division numbering with -mai, 458; end-marker, 484; structure of, 465; sub-division numbering with -mai, 458</w:t>
      </w:r>
    </w:p>
    <w:p w:rsidR="00B72047" w:rsidRDefault="00B72047">
      <w:pPr>
        <w:pStyle w:val="Index1"/>
        <w:rPr>
          <w:noProof/>
        </w:rPr>
      </w:pPr>
      <w:r>
        <w:rPr>
          <w:noProof/>
        </w:rPr>
        <w:t>text quotation: as internally grammatical, 141; syntax of, 141</w:t>
      </w:r>
    </w:p>
    <w:p w:rsidR="00B72047" w:rsidRDefault="00B72047">
      <w:pPr>
        <w:pStyle w:val="Index1"/>
        <w:rPr>
          <w:noProof/>
        </w:rPr>
      </w:pPr>
      <w:r>
        <w:rPr>
          <w:noProof/>
        </w:rPr>
        <w:t>thank you: example, 324</w:t>
      </w:r>
    </w:p>
    <w:p w:rsidR="00B72047" w:rsidRDefault="00B72047">
      <w:pPr>
        <w:pStyle w:val="Index1"/>
        <w:rPr>
          <w:noProof/>
        </w:rPr>
      </w:pPr>
      <w:r>
        <w:rPr>
          <w:noProof/>
        </w:rPr>
        <w:t>the: contrasted with a/an, 322; example, 322; for talking about numbers themselves, 435</w:t>
      </w:r>
    </w:p>
    <w:p w:rsidR="00B72047" w:rsidRDefault="00B72047">
      <w:pPr>
        <w:pStyle w:val="Index1"/>
        <w:rPr>
          <w:noProof/>
        </w:rPr>
      </w:pPr>
      <w:r>
        <w:rPr>
          <w:noProof/>
        </w:rPr>
        <w:t>the destination: example, 193</w:t>
      </w:r>
    </w:p>
    <w:p w:rsidR="00B72047" w:rsidRDefault="00B72047">
      <w:pPr>
        <w:pStyle w:val="Index1"/>
        <w:rPr>
          <w:noProof/>
        </w:rPr>
      </w:pPr>
      <w:r>
        <w:rPr>
          <w:noProof/>
        </w:rPr>
        <w:t>the go-er: example, 193</w:t>
      </w:r>
    </w:p>
    <w:p w:rsidR="00B72047" w:rsidRDefault="00B72047">
      <w:pPr>
        <w:pStyle w:val="Index1"/>
        <w:rPr>
          <w:noProof/>
        </w:rPr>
      </w:pPr>
      <w:r>
        <w:rPr>
          <w:noProof/>
        </w:rPr>
        <w:t>The men are women: example, 120</w:t>
      </w:r>
    </w:p>
    <w:p w:rsidR="00B72047" w:rsidRDefault="00B72047">
      <w:pPr>
        <w:pStyle w:val="Index1"/>
        <w:rPr>
          <w:noProof/>
        </w:rPr>
      </w:pPr>
      <w:r>
        <w:rPr>
          <w:noProof/>
        </w:rPr>
        <w:t>the two of you: example, 132</w:t>
      </w:r>
    </w:p>
    <w:p w:rsidR="00B72047" w:rsidRDefault="00B72047">
      <w:pPr>
        <w:pStyle w:val="Index1"/>
        <w:rPr>
          <w:noProof/>
        </w:rPr>
      </w:pPr>
      <w:r>
        <w:rPr>
          <w:noProof/>
        </w:rPr>
        <w:t>there is a Y: expression, notation convention, 401</w:t>
      </w:r>
    </w:p>
    <w:p w:rsidR="00B72047" w:rsidRDefault="00B72047">
      <w:pPr>
        <w:pStyle w:val="Index1"/>
        <w:rPr>
          <w:noProof/>
        </w:rPr>
      </w:pPr>
      <w:r>
        <w:rPr>
          <w:noProof/>
        </w:rPr>
        <w:t>thingy: example, 151</w:t>
      </w:r>
    </w:p>
    <w:p w:rsidR="00B72047" w:rsidRDefault="00B72047">
      <w:pPr>
        <w:pStyle w:val="Index1"/>
        <w:rPr>
          <w:noProof/>
        </w:rPr>
      </w:pPr>
      <w:r>
        <w:rPr>
          <w:noProof/>
        </w:rPr>
        <w:t>this: adjective expression with ti noi, 148; adjective usage contrasted with pronoun usage, 148; as utterance reference in English, 148; English, adjective expression with vi, 148; English, pronoun expression with ti, 148; pronoun usage contrasted with adjective usage, 148</w:t>
      </w:r>
    </w:p>
    <w:p w:rsidR="00B72047" w:rsidRDefault="00B72047">
      <w:pPr>
        <w:pStyle w:val="Index1"/>
        <w:rPr>
          <w:noProof/>
        </w:rPr>
      </w:pPr>
      <w:r>
        <w:rPr>
          <w:noProof/>
        </w:rPr>
        <w:t>this boat: example, 148</w:t>
      </w:r>
    </w:p>
    <w:p w:rsidR="00B72047" w:rsidRDefault="00B72047">
      <w:pPr>
        <w:pStyle w:val="Index1"/>
        <w:rPr>
          <w:noProof/>
        </w:rPr>
      </w:pPr>
      <w:r>
        <w:rPr>
          <w:noProof/>
        </w:rPr>
        <w:t>this book: author of, 5; contributors to, 5; credits for, 6; examples of, 4; goal of, 3; reviewers of, 6; sections of, 4; structure of, 4</w:t>
      </w:r>
    </w:p>
    <w:p w:rsidR="00B72047" w:rsidRDefault="00B72047">
      <w:pPr>
        <w:pStyle w:val="Index1"/>
        <w:rPr>
          <w:noProof/>
        </w:rPr>
      </w:pPr>
      <w:r>
        <w:rPr>
          <w:noProof/>
        </w:rPr>
        <w:t>this/that in English: compared with ti-series pro-sumti, 147</w:t>
      </w:r>
    </w:p>
    <w:p w:rsidR="00B72047" w:rsidRDefault="00B72047">
      <w:pPr>
        <w:pStyle w:val="Index1"/>
        <w:rPr>
          <w:noProof/>
        </w:rPr>
      </w:pPr>
      <w:r>
        <w:rPr>
          <w:noProof/>
        </w:rPr>
        <w:t>three bears: example, 133</w:t>
      </w:r>
    </w:p>
    <w:p w:rsidR="00B72047" w:rsidRDefault="00B72047">
      <w:pPr>
        <w:pStyle w:val="Index1"/>
        <w:rPr>
          <w:noProof/>
        </w:rPr>
      </w:pPr>
      <w:r>
        <w:rPr>
          <w:noProof/>
        </w:rPr>
        <w:t>three cats white: and two big, example, 410</w:t>
      </w:r>
    </w:p>
    <w:p w:rsidR="00B72047" w:rsidRDefault="00B72047">
      <w:pPr>
        <w:pStyle w:val="Index1"/>
        <w:rPr>
          <w:noProof/>
        </w:rPr>
      </w:pPr>
      <w:r>
        <w:rPr>
          <w:noProof/>
        </w:rPr>
        <w:t>three dogs bite two men: example, 398</w:t>
      </w:r>
    </w:p>
    <w:p w:rsidR="00B72047" w:rsidRDefault="00B72047">
      <w:pPr>
        <w:pStyle w:val="Index1"/>
        <w:rPr>
          <w:noProof/>
        </w:rPr>
      </w:pPr>
      <w:r>
        <w:rPr>
          <w:noProof/>
        </w:rPr>
        <w:t>Three Kings: example, 99</w:t>
      </w:r>
    </w:p>
    <w:p w:rsidR="00B72047" w:rsidRDefault="00B72047">
      <w:pPr>
        <w:pStyle w:val="Index1"/>
        <w:rPr>
          <w:noProof/>
        </w:rPr>
      </w:pPr>
      <w:r>
        <w:rPr>
          <w:noProof/>
        </w:rPr>
        <w:t>three of four people: example, 361</w:t>
      </w:r>
    </w:p>
    <w:p w:rsidR="00B72047" w:rsidRDefault="00B72047">
      <w:pPr>
        <w:pStyle w:val="Index1"/>
        <w:rPr>
          <w:noProof/>
        </w:rPr>
      </w:pPr>
      <w:r>
        <w:rPr>
          <w:noProof/>
        </w:rPr>
        <w:t>three or four people: example, 454</w:t>
      </w:r>
    </w:p>
    <w:p w:rsidR="00B72047" w:rsidRDefault="00B72047">
      <w:pPr>
        <w:pStyle w:val="Index1"/>
        <w:rPr>
          <w:noProof/>
        </w:rPr>
      </w:pPr>
      <w:r>
        <w:rPr>
          <w:noProof/>
        </w:rPr>
        <w:t>three rats: example, 446</w:t>
      </w:r>
    </w:p>
    <w:p w:rsidR="00B72047" w:rsidRDefault="00B72047">
      <w:pPr>
        <w:pStyle w:val="Index1"/>
        <w:rPr>
          <w:noProof/>
        </w:rPr>
      </w:pPr>
      <w:r>
        <w:rPr>
          <w:noProof/>
        </w:rPr>
        <w:t>thus: example, 316</w:t>
      </w:r>
    </w:p>
    <w:p w:rsidR="00B72047" w:rsidRDefault="00B72047">
      <w:pPr>
        <w:pStyle w:val="Index1"/>
        <w:rPr>
          <w:noProof/>
        </w:rPr>
      </w:pPr>
      <w:r>
        <w:rPr>
          <w:noProof/>
        </w:rPr>
        <w:t>ti, 119, 147, 169; as pronoun expression for English this, 148</w:t>
      </w:r>
    </w:p>
    <w:p w:rsidR="00B72047" w:rsidRDefault="00B72047">
      <w:pPr>
        <w:pStyle w:val="Index1"/>
        <w:rPr>
          <w:noProof/>
        </w:rPr>
      </w:pPr>
      <w:r>
        <w:rPr>
          <w:noProof/>
        </w:rPr>
        <w:t>ti noi: as adjective expression for this, 148</w:t>
      </w:r>
    </w:p>
    <w:p w:rsidR="00B72047" w:rsidRDefault="00B72047">
      <w:pPr>
        <w:pStyle w:val="Index1"/>
        <w:rPr>
          <w:noProof/>
        </w:rPr>
      </w:pPr>
      <w:r>
        <w:rPr>
          <w:noProof/>
        </w:rPr>
        <w:t>ti'e, 316</w:t>
      </w:r>
    </w:p>
    <w:p w:rsidR="00B72047" w:rsidRDefault="00B72047">
      <w:pPr>
        <w:pStyle w:val="Index1"/>
        <w:rPr>
          <w:noProof/>
        </w:rPr>
      </w:pPr>
      <w:r>
        <w:rPr>
          <w:noProof/>
        </w:rPr>
        <w:t>tilde: a diacritical mark, 418; proposed lerfu word for, 429</w:t>
      </w:r>
    </w:p>
    <w:p w:rsidR="00B72047" w:rsidRDefault="00B72047">
      <w:pPr>
        <w:pStyle w:val="Index1"/>
        <w:rPr>
          <w:noProof/>
        </w:rPr>
      </w:pPr>
      <w:r>
        <w:rPr>
          <w:noProof/>
        </w:rPr>
        <w:t>time: as part of tense system (see also tense, temporal tense), 215; as space-based metaphor, 231; contrasted with space in number of directions, 219</w:t>
      </w:r>
    </w:p>
    <w:p w:rsidR="00B72047" w:rsidRDefault="00B72047">
      <w:pPr>
        <w:pStyle w:val="Index1"/>
        <w:rPr>
          <w:noProof/>
        </w:rPr>
      </w:pPr>
      <w:r>
        <w:rPr>
          <w:noProof/>
        </w:rPr>
        <w:t>time of death: example, 248</w:t>
      </w:r>
    </w:p>
    <w:p w:rsidR="00B72047" w:rsidRDefault="00B72047">
      <w:pPr>
        <w:pStyle w:val="Index1"/>
        <w:rPr>
          <w:noProof/>
        </w:rPr>
      </w:pPr>
      <w:r>
        <w:rPr>
          <w:noProof/>
        </w:rPr>
        <w:t>time tenses: quick-tour version, 25</w:t>
      </w:r>
    </w:p>
    <w:p w:rsidR="00B72047" w:rsidRDefault="00B72047">
      <w:pPr>
        <w:pStyle w:val="Index1"/>
        <w:rPr>
          <w:noProof/>
        </w:rPr>
      </w:pPr>
      <w:r>
        <w:rPr>
          <w:noProof/>
        </w:rPr>
        <w:t>time travel, 225</w:t>
      </w:r>
    </w:p>
    <w:p w:rsidR="00B72047" w:rsidRDefault="00B72047">
      <w:pPr>
        <w:pStyle w:val="Index1"/>
        <w:rPr>
          <w:noProof/>
        </w:rPr>
      </w:pPr>
      <w:r>
        <w:rPr>
          <w:noProof/>
        </w:rPr>
        <w:t>times: explicit expression of, 437; implicit expression of, 437</w:t>
      </w:r>
    </w:p>
    <w:p w:rsidR="00B72047" w:rsidRDefault="00B72047">
      <w:pPr>
        <w:pStyle w:val="Index1"/>
        <w:rPr>
          <w:noProof/>
        </w:rPr>
      </w:pPr>
      <w:r>
        <w:rPr>
          <w:noProof/>
        </w:rPr>
        <w:t>ti'o, 458</w:t>
      </w:r>
    </w:p>
    <w:p w:rsidR="00B72047" w:rsidRDefault="00B72047">
      <w:pPr>
        <w:pStyle w:val="Index1"/>
        <w:rPr>
          <w:noProof/>
        </w:rPr>
      </w:pPr>
      <w:r>
        <w:rPr>
          <w:noProof/>
        </w:rPr>
        <w:t>ti-series pro-sumti: 3 degrees of distance with, 147; as pointing referents only, 147; compared with English this/that, 147; contrasted with di'u-series pro-sumti, 148; conversational convention for, 147; effect on ri-series pro-sumti, 153; lack of pro-bridi equivalent, 148; problems in written text, 147</w:t>
      </w:r>
    </w:p>
    <w:p w:rsidR="00B72047" w:rsidRDefault="00B72047">
      <w:pPr>
        <w:pStyle w:val="Index1"/>
        <w:rPr>
          <w:noProof/>
        </w:rPr>
      </w:pPr>
      <w:r>
        <w:rPr>
          <w:noProof/>
        </w:rPr>
        <w:t>title: specifying with tu'e…tu'u, 466</w:t>
      </w:r>
    </w:p>
    <w:p w:rsidR="00B72047" w:rsidRDefault="00B72047">
      <w:pPr>
        <w:pStyle w:val="Index1"/>
        <w:rPr>
          <w:noProof/>
        </w:rPr>
      </w:pPr>
      <w:r>
        <w:rPr>
          <w:noProof/>
        </w:rPr>
        <w:t>title of book: example, 134</w:t>
      </w:r>
    </w:p>
    <w:p w:rsidR="00B72047" w:rsidRDefault="00B72047">
      <w:pPr>
        <w:pStyle w:val="Index1"/>
        <w:rPr>
          <w:noProof/>
        </w:rPr>
      </w:pPr>
      <w:r>
        <w:rPr>
          <w:noProof/>
        </w:rPr>
        <w:t>to, 480</w:t>
      </w:r>
    </w:p>
    <w:p w:rsidR="00B72047" w:rsidRDefault="00B72047">
      <w:pPr>
        <w:pStyle w:val="Index1"/>
        <w:rPr>
          <w:noProof/>
        </w:rPr>
      </w:pPr>
      <w:r>
        <w:rPr>
          <w:noProof/>
        </w:rPr>
        <w:t>to movie: house, office, example, 191</w:t>
      </w:r>
    </w:p>
    <w:p w:rsidR="00B72047" w:rsidRDefault="00B72047">
      <w:pPr>
        <w:pStyle w:val="Index1"/>
        <w:rPr>
          <w:noProof/>
        </w:rPr>
      </w:pPr>
      <w:r>
        <w:rPr>
          <w:noProof/>
        </w:rPr>
        <w:t>TO selma’o, 480, 505; terminator for, 505</w:t>
      </w:r>
    </w:p>
    <w:p w:rsidR="00B72047" w:rsidRDefault="00B72047">
      <w:pPr>
        <w:pStyle w:val="Index1"/>
        <w:rPr>
          <w:noProof/>
        </w:rPr>
      </w:pPr>
      <w:r>
        <w:rPr>
          <w:noProof/>
        </w:rPr>
        <w:t>to the market from the office, 348</w:t>
      </w:r>
    </w:p>
    <w:p w:rsidR="00B72047" w:rsidRDefault="00B72047">
      <w:pPr>
        <w:pStyle w:val="Index1"/>
        <w:rPr>
          <w:noProof/>
        </w:rPr>
      </w:pPr>
      <w:r>
        <w:rPr>
          <w:noProof/>
        </w:rPr>
        <w:t>to'a, 415</w:t>
      </w:r>
    </w:p>
    <w:p w:rsidR="00B72047" w:rsidRDefault="00B72047">
      <w:pPr>
        <w:pStyle w:val="Index1"/>
        <w:rPr>
          <w:noProof/>
        </w:rPr>
      </w:pPr>
      <w:r>
        <w:rPr>
          <w:noProof/>
        </w:rPr>
        <w:t>to-do list: example, 358</w:t>
      </w:r>
    </w:p>
    <w:p w:rsidR="00B72047" w:rsidRDefault="00B72047">
      <w:pPr>
        <w:pStyle w:val="Index1"/>
        <w:rPr>
          <w:noProof/>
        </w:rPr>
      </w:pPr>
      <w:r>
        <w:rPr>
          <w:noProof/>
        </w:rPr>
        <w:t>to'i, 321, 480</w:t>
      </w:r>
    </w:p>
    <w:p w:rsidR="00B72047" w:rsidRDefault="00B72047">
      <w:pPr>
        <w:pStyle w:val="Index1"/>
        <w:rPr>
          <w:noProof/>
        </w:rPr>
      </w:pPr>
      <w:r>
        <w:rPr>
          <w:noProof/>
        </w:rPr>
        <w:t>toi, 480</w:t>
      </w:r>
    </w:p>
    <w:p w:rsidR="00B72047" w:rsidRDefault="00B72047">
      <w:pPr>
        <w:pStyle w:val="Index1"/>
        <w:rPr>
          <w:noProof/>
        </w:rPr>
      </w:pPr>
      <w:r>
        <w:rPr>
          <w:noProof/>
        </w:rPr>
        <w:t>TOI selma’o, 480, 505</w:t>
      </w:r>
    </w:p>
    <w:p w:rsidR="00B72047" w:rsidRDefault="00B72047">
      <w:pPr>
        <w:pStyle w:val="Index1"/>
        <w:rPr>
          <w:noProof/>
        </w:rPr>
      </w:pPr>
      <w:r>
        <w:rPr>
          <w:noProof/>
        </w:rPr>
        <w:t>Tolkien: and non-standard Lojban orthography, 46</w:t>
      </w:r>
    </w:p>
    <w:p w:rsidR="00B72047" w:rsidRDefault="00B72047">
      <w:pPr>
        <w:pStyle w:val="Index1"/>
        <w:rPr>
          <w:noProof/>
        </w:rPr>
      </w:pPr>
      <w:r>
        <w:rPr>
          <w:noProof/>
        </w:rPr>
        <w:t>tomorrow: example, 282</w:t>
      </w:r>
    </w:p>
    <w:p w:rsidR="00B72047" w:rsidRDefault="00B72047">
      <w:pPr>
        <w:pStyle w:val="Index1"/>
        <w:rPr>
          <w:noProof/>
        </w:rPr>
      </w:pPr>
      <w:r>
        <w:rPr>
          <w:noProof/>
        </w:rPr>
        <w:t>tone of voice, 297</w:t>
      </w:r>
    </w:p>
    <w:p w:rsidR="00B72047" w:rsidRDefault="00B72047">
      <w:pPr>
        <w:pStyle w:val="Index1"/>
        <w:rPr>
          <w:noProof/>
        </w:rPr>
      </w:pPr>
      <w:r>
        <w:rPr>
          <w:noProof/>
        </w:rPr>
        <w:t>to'o: special note on direction orientation, 253</w:t>
      </w:r>
    </w:p>
    <w:p w:rsidR="00B72047" w:rsidRDefault="00B72047">
      <w:pPr>
        <w:pStyle w:val="Index1"/>
        <w:rPr>
          <w:noProof/>
        </w:rPr>
      </w:pPr>
      <w:r>
        <w:rPr>
          <w:noProof/>
        </w:rPr>
        <w:t>too: example, 318</w:t>
      </w:r>
    </w:p>
    <w:p w:rsidR="00B72047" w:rsidRDefault="00B72047">
      <w:pPr>
        <w:pStyle w:val="Index1"/>
        <w:rPr>
          <w:noProof/>
        </w:rPr>
      </w:pPr>
      <w:r>
        <w:rPr>
          <w:noProof/>
        </w:rPr>
        <w:t>too long: example, 233; Example, 230</w:t>
      </w:r>
    </w:p>
    <w:p w:rsidR="00B72047" w:rsidRDefault="00B72047">
      <w:pPr>
        <w:pStyle w:val="Index1"/>
        <w:rPr>
          <w:noProof/>
        </w:rPr>
      </w:pPr>
      <w:r>
        <w:rPr>
          <w:noProof/>
        </w:rPr>
        <w:t>too many rats: example, 448</w:t>
      </w:r>
    </w:p>
    <w:p w:rsidR="00B72047" w:rsidRDefault="00B72047">
      <w:pPr>
        <w:pStyle w:val="Index1"/>
        <w:rPr>
          <w:noProof/>
        </w:rPr>
      </w:pPr>
      <w:r>
        <w:rPr>
          <w:noProof/>
        </w:rPr>
        <w:t>topic/comment: multiple sentence, 468</w:t>
      </w:r>
    </w:p>
    <w:p w:rsidR="00B72047" w:rsidRDefault="00B72047">
      <w:pPr>
        <w:pStyle w:val="Index1"/>
        <w:rPr>
          <w:noProof/>
        </w:rPr>
      </w:pPr>
      <w:r>
        <w:rPr>
          <w:noProof/>
        </w:rPr>
        <w:t>topic-comment: description, 467</w:t>
      </w:r>
    </w:p>
    <w:p w:rsidR="00B72047" w:rsidRDefault="00B72047">
      <w:pPr>
        <w:pStyle w:val="Index1"/>
        <w:rPr>
          <w:noProof/>
        </w:rPr>
      </w:pPr>
      <w:r>
        <w:rPr>
          <w:noProof/>
        </w:rPr>
        <w:t>topic-comment sentences, 467</w:t>
      </w:r>
    </w:p>
    <w:p w:rsidR="00B72047" w:rsidRDefault="00B72047">
      <w:pPr>
        <w:pStyle w:val="Index1"/>
        <w:rPr>
          <w:noProof/>
        </w:rPr>
      </w:pPr>
      <w:r>
        <w:rPr>
          <w:noProof/>
        </w:rPr>
        <w:t>tosmabru test, 71</w:t>
      </w:r>
    </w:p>
    <w:p w:rsidR="00B72047" w:rsidRDefault="00B72047">
      <w:pPr>
        <w:pStyle w:val="Index1"/>
        <w:rPr>
          <w:noProof/>
        </w:rPr>
      </w:pPr>
      <w:r>
        <w:rPr>
          <w:noProof/>
        </w:rPr>
        <w:t>to'u, 318</w:t>
      </w:r>
    </w:p>
    <w:p w:rsidR="00B72047" w:rsidRDefault="00B72047">
      <w:pPr>
        <w:pStyle w:val="Index1"/>
        <w:rPr>
          <w:noProof/>
        </w:rPr>
      </w:pPr>
      <w:r>
        <w:rPr>
          <w:noProof/>
        </w:rPr>
        <w:t>toward her right: example, 225</w:t>
      </w:r>
    </w:p>
    <w:p w:rsidR="00B72047" w:rsidRDefault="00B72047">
      <w:pPr>
        <w:pStyle w:val="Index1"/>
        <w:rPr>
          <w:noProof/>
        </w:rPr>
      </w:pPr>
      <w:r>
        <w:rPr>
          <w:noProof/>
        </w:rPr>
        <w:t>toward my right: example, 224</w:t>
      </w:r>
    </w:p>
    <w:p w:rsidR="00B72047" w:rsidRDefault="00B72047">
      <w:pPr>
        <w:pStyle w:val="Index1"/>
        <w:rPr>
          <w:noProof/>
        </w:rPr>
      </w:pPr>
      <w:r>
        <w:rPr>
          <w:noProof/>
        </w:rPr>
        <w:t>toward right: contrasted with on right, 224</w:t>
      </w:r>
    </w:p>
    <w:p w:rsidR="00B72047" w:rsidRDefault="00B72047">
      <w:pPr>
        <w:pStyle w:val="Index1"/>
        <w:rPr>
          <w:noProof/>
        </w:rPr>
      </w:pPr>
      <w:r>
        <w:rPr>
          <w:noProof/>
        </w:rPr>
        <w:t>transfinite cardinal: example, 434</w:t>
      </w:r>
    </w:p>
    <w:p w:rsidR="00B72047" w:rsidRDefault="00B72047">
      <w:pPr>
        <w:pStyle w:val="Index1"/>
        <w:rPr>
          <w:noProof/>
        </w:rPr>
      </w:pPr>
      <w:r>
        <w:rPr>
          <w:noProof/>
        </w:rPr>
        <w:t>transformations with logical connectives: steps, 408</w:t>
      </w:r>
    </w:p>
    <w:p w:rsidR="00B72047" w:rsidRDefault="00B72047">
      <w:pPr>
        <w:pStyle w:val="Index1"/>
        <w:rPr>
          <w:noProof/>
        </w:rPr>
      </w:pPr>
      <w:r>
        <w:rPr>
          <w:noProof/>
        </w:rPr>
        <w:t>traveling salesperson: example, 196</w:t>
      </w:r>
    </w:p>
    <w:p w:rsidR="00B72047" w:rsidRDefault="00B72047">
      <w:pPr>
        <w:pStyle w:val="Index1"/>
        <w:rPr>
          <w:noProof/>
        </w:rPr>
      </w:pPr>
      <w:r>
        <w:rPr>
          <w:noProof/>
        </w:rPr>
        <w:t>triumph, 258</w:t>
      </w:r>
    </w:p>
    <w:p w:rsidR="00B72047" w:rsidRDefault="00B72047">
      <w:pPr>
        <w:pStyle w:val="Index1"/>
        <w:rPr>
          <w:noProof/>
        </w:rPr>
      </w:pPr>
      <w:r>
        <w:rPr>
          <w:noProof/>
        </w:rPr>
        <w:t>truncation of number: expressing, 443</w:t>
      </w:r>
    </w:p>
    <w:p w:rsidR="00B72047" w:rsidRDefault="00B72047">
      <w:pPr>
        <w:pStyle w:val="Index1"/>
        <w:rPr>
          <w:noProof/>
        </w:rPr>
      </w:pPr>
      <w:r>
        <w:rPr>
          <w:noProof/>
        </w:rPr>
        <w:t>truth: in imperative sentences, 353</w:t>
      </w:r>
    </w:p>
    <w:p w:rsidR="00B72047" w:rsidRDefault="00B72047">
      <w:pPr>
        <w:pStyle w:val="Index1"/>
        <w:rPr>
          <w:noProof/>
        </w:rPr>
      </w:pPr>
      <w:r>
        <w:rPr>
          <w:noProof/>
        </w:rPr>
        <w:t>truth functions, 333; 16 possible, 333; commutative, 335; creating all 16 with Lojban's basic set, 335; fundamental 4 in Lojban, 334; relation to logical connectives, 334; table of logical connectives, 366</w:t>
      </w:r>
    </w:p>
    <w:p w:rsidR="00B72047" w:rsidRDefault="00B72047">
      <w:pPr>
        <w:pStyle w:val="Index1"/>
        <w:rPr>
          <w:noProof/>
        </w:rPr>
      </w:pPr>
      <w:r>
        <w:rPr>
          <w:noProof/>
        </w:rPr>
        <w:t>truth questions, 321; answering “no”, 351; answering “yes”, 351; as yes-or-no questions, 351; contrasted with connection questions, 351; simple, 351</w:t>
      </w:r>
    </w:p>
    <w:p w:rsidR="00B72047" w:rsidRDefault="00B72047">
      <w:pPr>
        <w:pStyle w:val="Index1"/>
        <w:rPr>
          <w:noProof/>
        </w:rPr>
      </w:pPr>
      <w:r>
        <w:rPr>
          <w:noProof/>
        </w:rPr>
        <w:t>truth table: explanation, 333</w:t>
      </w:r>
    </w:p>
    <w:p w:rsidR="00B72047" w:rsidRDefault="00B72047">
      <w:pPr>
        <w:pStyle w:val="Index1"/>
        <w:rPr>
          <w:noProof/>
        </w:rPr>
      </w:pPr>
      <w:r>
        <w:rPr>
          <w:noProof/>
        </w:rPr>
        <w:t>truth tables: abbreviated format, 334; for 4 fundamental Lojban truth functions, 335; list of 16 in abbreviated form, 334; notation convention, 334</w:t>
      </w:r>
    </w:p>
    <w:p w:rsidR="00B72047" w:rsidRDefault="00B72047">
      <w:pPr>
        <w:pStyle w:val="Index1"/>
        <w:rPr>
          <w:noProof/>
        </w:rPr>
      </w:pPr>
      <w:r>
        <w:rPr>
          <w:noProof/>
        </w:rPr>
        <w:t>truth-value abstraction, 262</w:t>
      </w:r>
    </w:p>
    <w:p w:rsidR="00B72047" w:rsidRDefault="00B72047">
      <w:pPr>
        <w:pStyle w:val="Index1"/>
        <w:rPr>
          <w:noProof/>
        </w:rPr>
      </w:pPr>
      <w:r>
        <w:rPr>
          <w:noProof/>
        </w:rPr>
        <w:t>truth-value abstraction(s): place structure, 262, 263</w:t>
      </w:r>
    </w:p>
    <w:p w:rsidR="00B72047" w:rsidRDefault="00B72047">
      <w:pPr>
        <w:pStyle w:val="Index1"/>
        <w:rPr>
          <w:noProof/>
        </w:rPr>
      </w:pPr>
      <w:r>
        <w:rPr>
          <w:noProof/>
        </w:rPr>
        <w:t>try the door: example, 266</w:t>
      </w:r>
    </w:p>
    <w:p w:rsidR="00B72047" w:rsidRDefault="00B72047">
      <w:pPr>
        <w:pStyle w:val="Index1"/>
        <w:rPr>
          <w:noProof/>
        </w:rPr>
      </w:pPr>
      <w:r>
        <w:rPr>
          <w:noProof/>
        </w:rPr>
        <w:t>try to go: example, 95</w:t>
      </w:r>
    </w:p>
    <w:p w:rsidR="00B72047" w:rsidRDefault="00B72047">
      <w:pPr>
        <w:pStyle w:val="Index1"/>
        <w:rPr>
          <w:noProof/>
        </w:rPr>
      </w:pPr>
      <w:r>
        <w:rPr>
          <w:noProof/>
        </w:rPr>
        <w:t>ts-sound in Russian: representation in Lojban, 31</w:t>
      </w:r>
    </w:p>
    <w:p w:rsidR="00B72047" w:rsidRDefault="00B72047">
      <w:pPr>
        <w:pStyle w:val="Index1"/>
        <w:rPr>
          <w:noProof/>
        </w:rPr>
      </w:pPr>
      <w:r>
        <w:rPr>
          <w:noProof/>
        </w:rPr>
        <w:t>tu, 147, 169; archaic English yon as equivalent of, 147</w:t>
      </w:r>
    </w:p>
    <w:p w:rsidR="00B72047" w:rsidRDefault="00B72047">
      <w:pPr>
        <w:pStyle w:val="Index1"/>
        <w:rPr>
          <w:noProof/>
        </w:rPr>
      </w:pPr>
      <w:r>
        <w:rPr>
          <w:noProof/>
        </w:rPr>
        <w:t>tu'a, 134, 266; as being deliberately vague, 134; effect of on meaning, 134; use for forming abstractions, 134</w:t>
      </w:r>
    </w:p>
    <w:p w:rsidR="00B72047" w:rsidRDefault="00B72047">
      <w:pPr>
        <w:pStyle w:val="Index1"/>
        <w:rPr>
          <w:noProof/>
        </w:rPr>
      </w:pPr>
      <w:r>
        <w:rPr>
          <w:noProof/>
        </w:rPr>
        <w:t>tu'e, 202, 205, 343, 358, 364, 466; contrasted with bo for tensed logical connection, 364; effect on di'e, 358; use in lists, 358</w:t>
      </w:r>
    </w:p>
    <w:p w:rsidR="00B72047" w:rsidRDefault="00B72047">
      <w:pPr>
        <w:pStyle w:val="Index1"/>
        <w:rPr>
          <w:noProof/>
        </w:rPr>
      </w:pPr>
      <w:r>
        <w:rPr>
          <w:noProof/>
        </w:rPr>
        <w:t>TUhE selma’o, 343, 358, 364, 466, 505; terminator for, 505</w:t>
      </w:r>
    </w:p>
    <w:p w:rsidR="00B72047" w:rsidRDefault="00B72047">
      <w:pPr>
        <w:pStyle w:val="Index1"/>
        <w:rPr>
          <w:noProof/>
        </w:rPr>
      </w:pPr>
      <w:r>
        <w:rPr>
          <w:noProof/>
        </w:rPr>
        <w:t>TUhU selma’o, 343, 358, 466, 505</w:t>
      </w:r>
    </w:p>
    <w:p w:rsidR="00B72047" w:rsidRDefault="00B72047">
      <w:pPr>
        <w:pStyle w:val="Index1"/>
        <w:rPr>
          <w:noProof/>
        </w:rPr>
      </w:pPr>
      <w:r>
        <w:rPr>
          <w:noProof/>
        </w:rPr>
        <w:t>tu'o, 450, 453; for infix operations with too few operands, 450</w:t>
      </w:r>
    </w:p>
    <w:p w:rsidR="00B72047" w:rsidRDefault="00B72047">
      <w:pPr>
        <w:pStyle w:val="Index1"/>
        <w:rPr>
          <w:noProof/>
        </w:rPr>
      </w:pPr>
      <w:r>
        <w:rPr>
          <w:noProof/>
        </w:rPr>
        <w:t>tu'o va'a, 453</w:t>
      </w:r>
    </w:p>
    <w:p w:rsidR="00B72047" w:rsidRDefault="00B72047">
      <w:pPr>
        <w:pStyle w:val="Index1"/>
        <w:rPr>
          <w:noProof/>
        </w:rPr>
      </w:pPr>
      <w:r>
        <w:rPr>
          <w:noProof/>
        </w:rPr>
        <w:t>tu'u, 202, 205, 343, 358, 466</w:t>
      </w:r>
    </w:p>
    <w:p w:rsidR="00B72047" w:rsidRDefault="00B72047">
      <w:pPr>
        <w:pStyle w:val="Index1"/>
        <w:rPr>
          <w:noProof/>
        </w:rPr>
      </w:pPr>
      <w:r>
        <w:rPr>
          <w:noProof/>
        </w:rPr>
        <w:t>twice today: example, 233</w:t>
      </w:r>
    </w:p>
    <w:p w:rsidR="00B72047" w:rsidRDefault="00B72047">
      <w:pPr>
        <w:pStyle w:val="Index1"/>
        <w:rPr>
          <w:noProof/>
        </w:rPr>
      </w:pPr>
      <w:r>
        <w:rPr>
          <w:noProof/>
        </w:rPr>
        <w:t>two brothers: example, 98</w:t>
      </w:r>
    </w:p>
    <w:p w:rsidR="00B72047" w:rsidRDefault="00B72047">
      <w:pPr>
        <w:pStyle w:val="Index1"/>
        <w:rPr>
          <w:noProof/>
        </w:rPr>
      </w:pPr>
      <w:r>
        <w:rPr>
          <w:noProof/>
        </w:rPr>
        <w:t>two dogs are white: example, 129</w:t>
      </w:r>
    </w:p>
    <w:p w:rsidR="00B72047" w:rsidRDefault="00B72047">
      <w:pPr>
        <w:pStyle w:val="Index1"/>
        <w:rPr>
          <w:noProof/>
        </w:rPr>
      </w:pPr>
      <w:r>
        <w:rPr>
          <w:noProof/>
        </w:rPr>
        <w:t>types and subtypes of words, 52</w:t>
      </w:r>
    </w:p>
    <w:p w:rsidR="00B72047" w:rsidRDefault="00B72047">
      <w:pPr>
        <w:pStyle w:val="Index1"/>
        <w:rPr>
          <w:noProof/>
        </w:rPr>
      </w:pPr>
      <w:r>
        <w:rPr>
          <w:noProof/>
        </w:rPr>
        <w:t>typical: compared with stereotypical, 126</w:t>
      </w:r>
    </w:p>
    <w:p w:rsidR="00B72047" w:rsidRDefault="00B72047">
      <w:pPr>
        <w:pStyle w:val="Index1"/>
        <w:rPr>
          <w:noProof/>
        </w:rPr>
      </w:pPr>
      <w:r>
        <w:rPr>
          <w:noProof/>
        </w:rPr>
        <w:t>typical Englishman: example, 126</w:t>
      </w:r>
    </w:p>
    <w:p w:rsidR="00B72047" w:rsidRDefault="00B72047">
      <w:pPr>
        <w:pStyle w:val="Index1"/>
        <w:rPr>
          <w:noProof/>
        </w:rPr>
      </w:pPr>
      <w:r>
        <w:rPr>
          <w:noProof/>
        </w:rPr>
        <w:t>typical Lojban user: example, 125</w:t>
      </w:r>
    </w:p>
    <w:p w:rsidR="00B72047" w:rsidRDefault="00B72047">
      <w:pPr>
        <w:pStyle w:val="Index1"/>
        <w:rPr>
          <w:noProof/>
        </w:rPr>
      </w:pPr>
      <w:r>
        <w:rPr>
          <w:noProof/>
        </w:rPr>
        <w:t>typical objects: and instantiation, 126; determining characteristics of, 126</w:t>
      </w:r>
    </w:p>
    <w:p w:rsidR="00B72047" w:rsidRDefault="00B72047">
      <w:pPr>
        <w:pStyle w:val="Index1"/>
        <w:rPr>
          <w:noProof/>
        </w:rPr>
      </w:pPr>
      <w:r>
        <w:rPr>
          <w:noProof/>
        </w:rPr>
        <w:t>typical Smith: example, 127</w:t>
      </w:r>
    </w:p>
    <w:p w:rsidR="00B72047" w:rsidRDefault="00B72047">
      <w:pPr>
        <w:pStyle w:val="Index1"/>
        <w:rPr>
          <w:noProof/>
        </w:rPr>
      </w:pPr>
      <w:r>
        <w:rPr>
          <w:noProof/>
        </w:rPr>
        <w:t>typical sumti, 157</w:t>
      </w:r>
    </w:p>
    <w:p w:rsidR="00B72047" w:rsidRDefault="00B72047">
      <w:pPr>
        <w:pStyle w:val="Index1"/>
        <w:rPr>
          <w:noProof/>
        </w:rPr>
      </w:pPr>
      <w:r>
        <w:rPr>
          <w:noProof/>
        </w:rPr>
        <w:t>typical value: contrasted with elliptical value for sumti, 157; contrasted with mathematical average, 441</w:t>
      </w:r>
    </w:p>
    <w:p w:rsidR="00B72047" w:rsidRDefault="00B72047">
      <w:pPr>
        <w:pStyle w:val="Index1"/>
        <w:rPr>
          <w:noProof/>
        </w:rPr>
      </w:pPr>
      <w:r>
        <w:rPr>
          <w:noProof/>
        </w:rPr>
        <w:t>typographical conventions, 4</w:t>
      </w:r>
    </w:p>
    <w:p w:rsidR="00B72047" w:rsidRDefault="00B72047">
      <w:pPr>
        <w:pStyle w:val="Index1"/>
        <w:rPr>
          <w:noProof/>
        </w:rPr>
      </w:pPr>
      <w:r>
        <w:rPr>
          <w:noProof/>
        </w:rPr>
        <w:t>ue, 297</w:t>
      </w:r>
    </w:p>
    <w:p w:rsidR="00B72047" w:rsidRDefault="00B72047">
      <w:pPr>
        <w:pStyle w:val="Index1"/>
        <w:rPr>
          <w:noProof/>
        </w:rPr>
      </w:pPr>
      <w:r>
        <w:rPr>
          <w:noProof/>
        </w:rPr>
        <w:t>ugh: example, 359</w:t>
      </w:r>
    </w:p>
    <w:p w:rsidR="00B72047" w:rsidRDefault="00B72047">
      <w:pPr>
        <w:pStyle w:val="Index1"/>
        <w:rPr>
          <w:noProof/>
        </w:rPr>
      </w:pPr>
      <w:r>
        <w:rPr>
          <w:noProof/>
        </w:rPr>
        <w:t>ui, 297</w:t>
      </w:r>
    </w:p>
    <w:p w:rsidR="00B72047" w:rsidRDefault="00B72047">
      <w:pPr>
        <w:pStyle w:val="Index1"/>
        <w:rPr>
          <w:noProof/>
        </w:rPr>
      </w:pPr>
      <w:r>
        <w:rPr>
          <w:noProof/>
        </w:rPr>
        <w:t>UI selma’o, 264, 297, 351, 353, 469, 474, 481, 505; extending the scope of, 494; quick-tour version, 24</w:t>
      </w:r>
    </w:p>
    <w:p w:rsidR="00B72047" w:rsidRDefault="00B72047">
      <w:pPr>
        <w:pStyle w:val="Index1"/>
        <w:rPr>
          <w:noProof/>
        </w:rPr>
      </w:pPr>
      <w:r>
        <w:rPr>
          <w:noProof/>
        </w:rPr>
        <w:t>umlaut: a diacritical mark, 418; proposed lerfu word for, 429</w:t>
      </w:r>
    </w:p>
    <w:p w:rsidR="00B72047" w:rsidRDefault="00B72047">
      <w:pPr>
        <w:pStyle w:val="Index1"/>
        <w:rPr>
          <w:noProof/>
        </w:rPr>
      </w:pPr>
      <w:r>
        <w:rPr>
          <w:noProof/>
        </w:rPr>
        <w:t>unabridged dictionary, 480</w:t>
      </w:r>
    </w:p>
    <w:p w:rsidR="00B72047" w:rsidRDefault="00B72047">
      <w:pPr>
        <w:pStyle w:val="Index1"/>
        <w:rPr>
          <w:noProof/>
        </w:rPr>
      </w:pPr>
      <w:r>
        <w:rPr>
          <w:noProof/>
        </w:rPr>
        <w:t>unconditional signal, 484</w:t>
      </w:r>
    </w:p>
    <w:p w:rsidR="00B72047" w:rsidRDefault="00B72047">
      <w:pPr>
        <w:pStyle w:val="Index1"/>
        <w:rPr>
          <w:noProof/>
        </w:rPr>
      </w:pPr>
      <w:r>
        <w:rPr>
          <w:noProof/>
        </w:rPr>
        <w:t>unconnected tanru: contrasted with logically connected version, 349</w:t>
      </w:r>
    </w:p>
    <w:p w:rsidR="00B72047" w:rsidRDefault="00B72047">
      <w:pPr>
        <w:pStyle w:val="Index1"/>
        <w:rPr>
          <w:noProof/>
        </w:rPr>
      </w:pPr>
      <w:r>
        <w:rPr>
          <w:noProof/>
        </w:rPr>
        <w:t>undemonstrated potential: expressing, 244</w:t>
      </w:r>
    </w:p>
    <w:p w:rsidR="00B72047" w:rsidRDefault="00B72047">
      <w:pPr>
        <w:pStyle w:val="Index1"/>
        <w:rPr>
          <w:noProof/>
        </w:rPr>
      </w:pPr>
      <w:r>
        <w:rPr>
          <w:noProof/>
        </w:rPr>
        <w:t>under compulsion: example, 201</w:t>
      </w:r>
    </w:p>
    <w:p w:rsidR="00B72047" w:rsidRDefault="00B72047">
      <w:pPr>
        <w:pStyle w:val="Index1"/>
        <w:rPr>
          <w:noProof/>
        </w:rPr>
      </w:pPr>
      <w:r>
        <w:rPr>
          <w:noProof/>
        </w:rPr>
        <w:t>under conditions: example, 257</w:t>
      </w:r>
    </w:p>
    <w:p w:rsidR="00B72047" w:rsidRDefault="00B72047">
      <w:pPr>
        <w:pStyle w:val="Index1"/>
        <w:rPr>
          <w:noProof/>
        </w:rPr>
      </w:pPr>
      <w:r>
        <w:rPr>
          <w:noProof/>
        </w:rPr>
        <w:t>underlines: example, 12</w:t>
      </w:r>
    </w:p>
    <w:p w:rsidR="00B72047" w:rsidRDefault="00B72047">
      <w:pPr>
        <w:pStyle w:val="Index1"/>
        <w:rPr>
          <w:noProof/>
        </w:rPr>
      </w:pPr>
      <w:r>
        <w:rPr>
          <w:noProof/>
        </w:rPr>
        <w:t>unequal termset connection: compared with compound bridi connection with unequal separate bridi-tails, 348</w:t>
      </w:r>
    </w:p>
    <w:p w:rsidR="00B72047" w:rsidRDefault="00B72047">
      <w:pPr>
        <w:pStyle w:val="Index1"/>
        <w:rPr>
          <w:noProof/>
        </w:rPr>
      </w:pPr>
      <w:r>
        <w:rPr>
          <w:noProof/>
        </w:rPr>
        <w:t>unfilled places of inverted tanru, 95</w:t>
      </w:r>
    </w:p>
    <w:p w:rsidR="00B72047" w:rsidRDefault="00B72047">
      <w:pPr>
        <w:pStyle w:val="Index1"/>
        <w:rPr>
          <w:noProof/>
        </w:rPr>
      </w:pPr>
      <w:r>
        <w:rPr>
          <w:noProof/>
        </w:rPr>
        <w:t>Unicode, 425</w:t>
      </w:r>
    </w:p>
    <w:p w:rsidR="00B72047" w:rsidRDefault="00B72047">
      <w:pPr>
        <w:pStyle w:val="Index1"/>
        <w:rPr>
          <w:noProof/>
        </w:rPr>
      </w:pPr>
      <w:r>
        <w:rPr>
          <w:noProof/>
        </w:rPr>
        <w:t>uninterpreted sequence, 477</w:t>
      </w:r>
    </w:p>
    <w:p w:rsidR="00B72047" w:rsidRDefault="00B72047">
      <w:pPr>
        <w:pStyle w:val="Index1"/>
        <w:rPr>
          <w:noProof/>
        </w:rPr>
      </w:pPr>
      <w:r>
        <w:rPr>
          <w:noProof/>
        </w:rPr>
        <w:t>union: of sets, 356</w:t>
      </w:r>
    </w:p>
    <w:p w:rsidR="00B72047" w:rsidRDefault="00B72047">
      <w:pPr>
        <w:pStyle w:val="Index1"/>
        <w:rPr>
          <w:noProof/>
        </w:rPr>
      </w:pPr>
      <w:r>
        <w:rPr>
          <w:noProof/>
        </w:rPr>
        <w:t>union of sets: compared with or, 357</w:t>
      </w:r>
    </w:p>
    <w:p w:rsidR="00B72047" w:rsidRDefault="00B72047">
      <w:pPr>
        <w:pStyle w:val="Index1"/>
        <w:rPr>
          <w:noProof/>
        </w:rPr>
      </w:pPr>
      <w:r>
        <w:rPr>
          <w:noProof/>
        </w:rPr>
        <w:t>units of measurement: expressing, 435</w:t>
      </w:r>
    </w:p>
    <w:p w:rsidR="00B72047" w:rsidRDefault="00B72047">
      <w:pPr>
        <w:pStyle w:val="Index1"/>
        <w:rPr>
          <w:noProof/>
        </w:rPr>
      </w:pPr>
      <w:r>
        <w:rPr>
          <w:noProof/>
        </w:rPr>
        <w:t>universal: mixed claim with existential, 394</w:t>
      </w:r>
    </w:p>
    <w:p w:rsidR="00B72047" w:rsidRDefault="00B72047">
      <w:pPr>
        <w:pStyle w:val="Index1"/>
        <w:rPr>
          <w:noProof/>
        </w:rPr>
      </w:pPr>
      <w:r>
        <w:rPr>
          <w:noProof/>
        </w:rPr>
        <w:t>universal claims: dangers of using, 396; explanation, 393; restricting, 394, 395</w:t>
      </w:r>
    </w:p>
    <w:p w:rsidR="00B72047" w:rsidRDefault="00B72047">
      <w:pPr>
        <w:pStyle w:val="Index1"/>
        <w:rPr>
          <w:noProof/>
        </w:rPr>
      </w:pPr>
      <w:r>
        <w:rPr>
          <w:noProof/>
        </w:rPr>
        <w:t>unqualified sumti: contrasted with qualified sumti, 133</w:t>
      </w:r>
    </w:p>
    <w:p w:rsidR="00B72047" w:rsidRDefault="00B72047">
      <w:pPr>
        <w:pStyle w:val="Index1"/>
        <w:rPr>
          <w:noProof/>
        </w:rPr>
      </w:pPr>
      <w:r>
        <w:rPr>
          <w:noProof/>
        </w:rPr>
        <w:t>unreduced fractions: use in granular scales, 448</w:t>
      </w:r>
    </w:p>
    <w:p w:rsidR="00B72047" w:rsidRDefault="00B72047">
      <w:pPr>
        <w:pStyle w:val="Index1"/>
        <w:rPr>
          <w:noProof/>
        </w:rPr>
      </w:pPr>
      <w:r>
        <w:rPr>
          <w:noProof/>
        </w:rPr>
        <w:t>unreduced lujvo: definition, 57</w:t>
      </w:r>
    </w:p>
    <w:p w:rsidR="00B72047" w:rsidRDefault="00B72047">
      <w:pPr>
        <w:pStyle w:val="Index1"/>
        <w:rPr>
          <w:noProof/>
        </w:rPr>
      </w:pPr>
      <w:r>
        <w:rPr>
          <w:noProof/>
        </w:rPr>
        <w:t>unspecified breed: example, 280</w:t>
      </w:r>
    </w:p>
    <w:p w:rsidR="00B72047" w:rsidRDefault="00B72047">
      <w:pPr>
        <w:pStyle w:val="Index1"/>
        <w:rPr>
          <w:noProof/>
        </w:rPr>
      </w:pPr>
      <w:r>
        <w:rPr>
          <w:noProof/>
        </w:rPr>
        <w:t>unspecified direction: temporal contrasted with in spatial, 220</w:t>
      </w:r>
    </w:p>
    <w:p w:rsidR="00B72047" w:rsidRDefault="00B72047">
      <w:pPr>
        <w:pStyle w:val="Index1"/>
        <w:rPr>
          <w:noProof/>
        </w:rPr>
      </w:pPr>
      <w:r>
        <w:rPr>
          <w:noProof/>
        </w:rPr>
        <w:t>unspecified emotion, 311</w:t>
      </w:r>
    </w:p>
    <w:p w:rsidR="00B72047" w:rsidRDefault="00B72047">
      <w:pPr>
        <w:pStyle w:val="Index1"/>
        <w:rPr>
          <w:noProof/>
        </w:rPr>
      </w:pPr>
      <w:r>
        <w:rPr>
          <w:noProof/>
        </w:rPr>
        <w:t>unspecified level of emotion, 311</w:t>
      </w:r>
    </w:p>
    <w:p w:rsidR="00B72047" w:rsidRDefault="00B72047">
      <w:pPr>
        <w:pStyle w:val="Index1"/>
        <w:rPr>
          <w:noProof/>
        </w:rPr>
      </w:pPr>
      <w:r>
        <w:rPr>
          <w:noProof/>
        </w:rPr>
        <w:t>unspecified route: example, 189</w:t>
      </w:r>
    </w:p>
    <w:p w:rsidR="00B72047" w:rsidRDefault="00B72047">
      <w:pPr>
        <w:pStyle w:val="Index1"/>
        <w:rPr>
          <w:noProof/>
        </w:rPr>
      </w:pPr>
      <w:r>
        <w:rPr>
          <w:noProof/>
        </w:rPr>
        <w:t>unspecified sumti: non-trailing, 189; using zo'e as place-holder for, 189</w:t>
      </w:r>
    </w:p>
    <w:p w:rsidR="00B72047" w:rsidRDefault="00B72047">
      <w:pPr>
        <w:pStyle w:val="Index1"/>
        <w:rPr>
          <w:noProof/>
        </w:rPr>
      </w:pPr>
      <w:r>
        <w:rPr>
          <w:noProof/>
        </w:rPr>
        <w:t>unspecified trailing sumti: dropping, 189</w:t>
      </w:r>
    </w:p>
    <w:p w:rsidR="00B72047" w:rsidRDefault="00B72047">
      <w:pPr>
        <w:pStyle w:val="Index1"/>
        <w:rPr>
          <w:noProof/>
        </w:rPr>
      </w:pPr>
      <w:r>
        <w:rPr>
          <w:noProof/>
        </w:rPr>
        <w:t>unstated emotion, 311</w:t>
      </w:r>
    </w:p>
    <w:p w:rsidR="00B72047" w:rsidRDefault="00B72047">
      <w:pPr>
        <w:pStyle w:val="Index1"/>
        <w:rPr>
          <w:noProof/>
        </w:rPr>
      </w:pPr>
      <w:r>
        <w:rPr>
          <w:noProof/>
        </w:rPr>
        <w:t>unusual characters: words for, 416</w:t>
      </w:r>
    </w:p>
    <w:p w:rsidR="00B72047" w:rsidRDefault="00B72047">
      <w:pPr>
        <w:pStyle w:val="Index1"/>
        <w:rPr>
          <w:noProof/>
        </w:rPr>
      </w:pPr>
      <w:r>
        <w:rPr>
          <w:noProof/>
        </w:rPr>
        <w:t>unusual position, 290</w:t>
      </w:r>
    </w:p>
    <w:p w:rsidR="00B72047" w:rsidRDefault="00B72047">
      <w:pPr>
        <w:pStyle w:val="Index1"/>
        <w:rPr>
          <w:noProof/>
        </w:rPr>
      </w:pPr>
      <w:r>
        <w:rPr>
          <w:noProof/>
        </w:rPr>
        <w:t>unvoiced consonants: contrasted with voiced in allowable consonant pairs, 37</w:t>
      </w:r>
    </w:p>
    <w:p w:rsidR="00B72047" w:rsidRDefault="00B72047">
      <w:pPr>
        <w:pStyle w:val="Index1"/>
        <w:rPr>
          <w:noProof/>
        </w:rPr>
      </w:pPr>
      <w:r>
        <w:rPr>
          <w:noProof/>
        </w:rPr>
        <w:t>unvoiced vowel glide: apostrophe as, 31</w:t>
      </w:r>
    </w:p>
    <w:p w:rsidR="00B72047" w:rsidRDefault="00B72047">
      <w:pPr>
        <w:pStyle w:val="Index1"/>
        <w:rPr>
          <w:noProof/>
        </w:rPr>
      </w:pPr>
      <w:r>
        <w:rPr>
          <w:noProof/>
        </w:rPr>
        <w:t>upper-case: lerfu word for, 415</w:t>
      </w:r>
    </w:p>
    <w:p w:rsidR="00B72047" w:rsidRDefault="00B72047">
      <w:pPr>
        <w:pStyle w:val="Index1"/>
        <w:rPr>
          <w:noProof/>
        </w:rPr>
      </w:pPr>
      <w:r>
        <w:rPr>
          <w:noProof/>
        </w:rPr>
        <w:t>upper-case letters: English usage contrasted with Lojban, 415; Lojban usage contrasted with English, 415</w:t>
      </w:r>
    </w:p>
    <w:p w:rsidR="00B72047" w:rsidRDefault="00B72047">
      <w:pPr>
        <w:pStyle w:val="Index1"/>
        <w:rPr>
          <w:noProof/>
        </w:rPr>
      </w:pPr>
      <w:r>
        <w:rPr>
          <w:noProof/>
        </w:rPr>
        <w:t>utterance: expressing relation to discourse, 317</w:t>
      </w:r>
    </w:p>
    <w:p w:rsidR="00B72047" w:rsidRDefault="00B72047">
      <w:pPr>
        <w:pStyle w:val="Index1"/>
        <w:rPr>
          <w:noProof/>
        </w:rPr>
      </w:pPr>
      <w:r>
        <w:rPr>
          <w:noProof/>
        </w:rPr>
        <w:t>utterance ordinal: lerfu string as, 423</w:t>
      </w:r>
    </w:p>
    <w:p w:rsidR="00B72047" w:rsidRDefault="00B72047">
      <w:pPr>
        <w:pStyle w:val="Index1"/>
        <w:rPr>
          <w:noProof/>
        </w:rPr>
      </w:pPr>
      <w:r>
        <w:rPr>
          <w:noProof/>
        </w:rPr>
        <w:t>utterance pro-sumti: stability of, 162</w:t>
      </w:r>
    </w:p>
    <w:p w:rsidR="00B72047" w:rsidRDefault="00B72047">
      <w:pPr>
        <w:pStyle w:val="Index1"/>
        <w:rPr>
          <w:noProof/>
        </w:rPr>
      </w:pPr>
      <w:r>
        <w:rPr>
          <w:noProof/>
        </w:rPr>
        <w:t>utterance pro-sumti (see also di'u-series pro-sumti), 148</w:t>
      </w:r>
    </w:p>
    <w:p w:rsidR="00B72047" w:rsidRDefault="00B72047">
      <w:pPr>
        <w:pStyle w:val="Index1"/>
        <w:rPr>
          <w:noProof/>
        </w:rPr>
      </w:pPr>
      <w:r>
        <w:rPr>
          <w:noProof/>
        </w:rPr>
        <w:t>utterances: non-bridi, 471</w:t>
      </w:r>
    </w:p>
    <w:p w:rsidR="00B72047" w:rsidRDefault="00B72047">
      <w:pPr>
        <w:pStyle w:val="Index1"/>
        <w:rPr>
          <w:noProof/>
        </w:rPr>
      </w:pPr>
      <w:r>
        <w:rPr>
          <w:noProof/>
        </w:rPr>
        <w:t>u'u, 299; contrasted with uu, 299</w:t>
      </w:r>
    </w:p>
    <w:p w:rsidR="00B72047" w:rsidRDefault="00B72047">
      <w:pPr>
        <w:pStyle w:val="Index1"/>
        <w:rPr>
          <w:noProof/>
        </w:rPr>
      </w:pPr>
      <w:r>
        <w:rPr>
          <w:noProof/>
        </w:rPr>
        <w:t>uu, 297, 299; contrasted with u'u, 299</w:t>
      </w:r>
    </w:p>
    <w:p w:rsidR="00B72047" w:rsidRDefault="00B72047">
      <w:pPr>
        <w:pStyle w:val="Index1"/>
        <w:rPr>
          <w:noProof/>
        </w:rPr>
      </w:pPr>
      <w:r>
        <w:rPr>
          <w:noProof/>
        </w:rPr>
        <w:t>uuse'inai, 314</w:t>
      </w:r>
    </w:p>
    <w:p w:rsidR="00B72047" w:rsidRDefault="00B72047">
      <w:pPr>
        <w:pStyle w:val="Index1"/>
        <w:rPr>
          <w:noProof/>
        </w:rPr>
      </w:pPr>
      <w:r>
        <w:rPr>
          <w:noProof/>
        </w:rPr>
        <w:t>uy diphthong: in cmene, 66</w:t>
      </w:r>
    </w:p>
    <w:p w:rsidR="00B72047" w:rsidRDefault="00B72047">
      <w:pPr>
        <w:pStyle w:val="Index1"/>
        <w:rPr>
          <w:noProof/>
        </w:rPr>
      </w:pPr>
      <w:r>
        <w:rPr>
          <w:noProof/>
        </w:rPr>
        <w:t>V: as a symbol for a single vowel, 49</w:t>
      </w:r>
    </w:p>
    <w:p w:rsidR="00B72047" w:rsidRDefault="00B72047">
      <w:pPr>
        <w:pStyle w:val="Index1"/>
        <w:rPr>
          <w:noProof/>
        </w:rPr>
      </w:pPr>
      <w:r>
        <w:rPr>
          <w:noProof/>
        </w:rPr>
        <w:t>va, 217</w:t>
      </w:r>
    </w:p>
    <w:p w:rsidR="00B72047" w:rsidRDefault="00B72047">
      <w:pPr>
        <w:pStyle w:val="Index1"/>
        <w:rPr>
          <w:noProof/>
        </w:rPr>
      </w:pPr>
      <w:r>
        <w:rPr>
          <w:noProof/>
        </w:rPr>
        <w:t>VA selma’o, 217, 506; and distance, 217; relation of words to ti, ta, tu, 217</w:t>
      </w:r>
    </w:p>
    <w:p w:rsidR="00B72047" w:rsidRDefault="00B72047">
      <w:pPr>
        <w:pStyle w:val="Index1"/>
        <w:rPr>
          <w:noProof/>
        </w:rPr>
      </w:pPr>
      <w:r>
        <w:rPr>
          <w:noProof/>
        </w:rPr>
        <w:t>va'a, 438; contrasted with vu'u and ni'u, 438</w:t>
      </w:r>
    </w:p>
    <w:p w:rsidR="00B72047" w:rsidRDefault="00B72047">
      <w:pPr>
        <w:pStyle w:val="Index1"/>
        <w:rPr>
          <w:noProof/>
        </w:rPr>
      </w:pPr>
      <w:r>
        <w:rPr>
          <w:noProof/>
        </w:rPr>
        <w:t>va'e, 447</w:t>
      </w:r>
    </w:p>
    <w:p w:rsidR="00B72047" w:rsidRDefault="00B72047">
      <w:pPr>
        <w:pStyle w:val="Index1"/>
        <w:rPr>
          <w:noProof/>
        </w:rPr>
      </w:pPr>
      <w:r>
        <w:rPr>
          <w:noProof/>
        </w:rPr>
        <w:t>vague abstraction, 265</w:t>
      </w:r>
    </w:p>
    <w:p w:rsidR="00B72047" w:rsidRDefault="00B72047">
      <w:pPr>
        <w:pStyle w:val="Index1"/>
        <w:rPr>
          <w:noProof/>
        </w:rPr>
      </w:pPr>
      <w:r>
        <w:rPr>
          <w:noProof/>
        </w:rPr>
        <w:t>vague abstraction(s): place structure, 266</w:t>
      </w:r>
    </w:p>
    <w:p w:rsidR="00B72047" w:rsidRDefault="00B72047">
      <w:pPr>
        <w:pStyle w:val="Index1"/>
        <w:rPr>
          <w:noProof/>
        </w:rPr>
      </w:pPr>
      <w:r>
        <w:rPr>
          <w:noProof/>
        </w:rPr>
        <w:t>vague abstractor, 265</w:t>
      </w:r>
    </w:p>
    <w:p w:rsidR="00B72047" w:rsidRDefault="00B72047">
      <w:pPr>
        <w:pStyle w:val="Index1"/>
        <w:rPr>
          <w:noProof/>
        </w:rPr>
      </w:pPr>
      <w:r>
        <w:rPr>
          <w:noProof/>
        </w:rPr>
        <w:t>vague numbers, 128</w:t>
      </w:r>
    </w:p>
    <w:p w:rsidR="00B72047" w:rsidRDefault="00B72047">
      <w:pPr>
        <w:pStyle w:val="Index1"/>
        <w:rPr>
          <w:noProof/>
        </w:rPr>
      </w:pPr>
      <w:r>
        <w:rPr>
          <w:noProof/>
        </w:rPr>
        <w:t>vague relationship: modal tag for, 197</w:t>
      </w:r>
    </w:p>
    <w:p w:rsidR="00B72047" w:rsidRDefault="00B72047">
      <w:pPr>
        <w:pStyle w:val="Index1"/>
        <w:rPr>
          <w:noProof/>
        </w:rPr>
      </w:pPr>
      <w:r>
        <w:rPr>
          <w:noProof/>
        </w:rPr>
        <w:t>va'i, 318, 320; contrasted with ke'u, 320</w:t>
      </w:r>
    </w:p>
    <w:p w:rsidR="00B72047" w:rsidRDefault="00B72047">
      <w:pPr>
        <w:pStyle w:val="Index1"/>
        <w:rPr>
          <w:noProof/>
        </w:rPr>
      </w:pPr>
      <w:r>
        <w:rPr>
          <w:noProof/>
        </w:rPr>
        <w:t>va'inai, 320</w:t>
      </w:r>
    </w:p>
    <w:p w:rsidR="00B72047" w:rsidRDefault="00B72047">
      <w:pPr>
        <w:pStyle w:val="Index1"/>
        <w:rPr>
          <w:noProof/>
        </w:rPr>
      </w:pPr>
      <w:r>
        <w:rPr>
          <w:noProof/>
        </w:rPr>
        <w:t>valid speech: marking as error with jo'a, 321</w:t>
      </w:r>
    </w:p>
    <w:p w:rsidR="00B72047" w:rsidRDefault="00B72047">
      <w:pPr>
        <w:pStyle w:val="Index1"/>
        <w:rPr>
          <w:noProof/>
        </w:rPr>
      </w:pPr>
      <w:r>
        <w:rPr>
          <w:noProof/>
        </w:rPr>
        <w:t>value abstraction, 262</w:t>
      </w:r>
    </w:p>
    <w:p w:rsidR="00B72047" w:rsidRDefault="00B72047">
      <w:pPr>
        <w:pStyle w:val="Index1"/>
        <w:rPr>
          <w:noProof/>
        </w:rPr>
      </w:pPr>
      <w:r>
        <w:rPr>
          <w:noProof/>
        </w:rPr>
        <w:t>variables: logical, 392</w:t>
      </w:r>
    </w:p>
    <w:p w:rsidR="00B72047" w:rsidRDefault="00B72047">
      <w:pPr>
        <w:pStyle w:val="Index1"/>
        <w:rPr>
          <w:noProof/>
        </w:rPr>
      </w:pPr>
      <w:r>
        <w:rPr>
          <w:noProof/>
        </w:rPr>
        <w:t>vau, 178, 200, 345, 394; effect on elidability ku'o, 181</w:t>
      </w:r>
    </w:p>
    <w:p w:rsidR="00B72047" w:rsidRDefault="00B72047">
      <w:pPr>
        <w:pStyle w:val="Index1"/>
        <w:rPr>
          <w:noProof/>
        </w:rPr>
      </w:pPr>
      <w:r>
        <w:rPr>
          <w:noProof/>
        </w:rPr>
        <w:t>vau for shared bridi-tail sumti: avoiding, 200</w:t>
      </w:r>
    </w:p>
    <w:p w:rsidR="00B72047" w:rsidRDefault="00B72047">
      <w:pPr>
        <w:pStyle w:val="Index1"/>
        <w:rPr>
          <w:noProof/>
        </w:rPr>
      </w:pPr>
      <w:r>
        <w:rPr>
          <w:noProof/>
        </w:rPr>
        <w:t>VAU selma’o, 345, 506</w:t>
      </w:r>
    </w:p>
    <w:p w:rsidR="00B72047" w:rsidRDefault="00B72047">
      <w:pPr>
        <w:pStyle w:val="Index1"/>
        <w:rPr>
          <w:noProof/>
        </w:rPr>
      </w:pPr>
      <w:r>
        <w:rPr>
          <w:noProof/>
        </w:rPr>
        <w:t>ve, 100, 192; quick-tour version, 16</w:t>
      </w:r>
    </w:p>
    <w:p w:rsidR="00B72047" w:rsidRDefault="00B72047">
      <w:pPr>
        <w:pStyle w:val="Index1"/>
        <w:rPr>
          <w:noProof/>
        </w:rPr>
      </w:pPr>
      <w:r>
        <w:rPr>
          <w:noProof/>
        </w:rPr>
        <w:t>ve klama, 193; contrasted with pluta, 193</w:t>
      </w:r>
    </w:p>
    <w:p w:rsidR="00B72047" w:rsidRDefault="00B72047">
      <w:pPr>
        <w:pStyle w:val="Index1"/>
        <w:rPr>
          <w:noProof/>
        </w:rPr>
      </w:pPr>
      <w:r>
        <w:rPr>
          <w:noProof/>
        </w:rPr>
        <w:t>vector: components of, 451; definition, 451; forming, 496; use as operand, 452; use of parentheses with, 452</w:t>
      </w:r>
    </w:p>
    <w:p w:rsidR="00B72047" w:rsidRDefault="00B72047">
      <w:pPr>
        <w:pStyle w:val="Index1"/>
        <w:rPr>
          <w:noProof/>
        </w:rPr>
      </w:pPr>
      <w:r>
        <w:rPr>
          <w:noProof/>
        </w:rPr>
        <w:t>vector indicator, 451; terminator for, 451</w:t>
      </w:r>
    </w:p>
    <w:p w:rsidR="00B72047" w:rsidRDefault="00B72047">
      <w:pPr>
        <w:pStyle w:val="Index1"/>
        <w:rPr>
          <w:noProof/>
        </w:rPr>
      </w:pPr>
      <w:r>
        <w:rPr>
          <w:noProof/>
        </w:rPr>
        <w:t>ve'e, 228</w:t>
      </w:r>
    </w:p>
    <w:p w:rsidR="00B72047" w:rsidRDefault="00B72047">
      <w:pPr>
        <w:pStyle w:val="Index1"/>
        <w:rPr>
          <w:noProof/>
        </w:rPr>
      </w:pPr>
      <w:r>
        <w:rPr>
          <w:noProof/>
        </w:rPr>
        <w:t>VEhA selma’o, 221, 506</w:t>
      </w:r>
    </w:p>
    <w:p w:rsidR="00B72047" w:rsidRDefault="00B72047">
      <w:pPr>
        <w:pStyle w:val="Index1"/>
        <w:rPr>
          <w:noProof/>
        </w:rPr>
      </w:pPr>
      <w:r>
        <w:rPr>
          <w:noProof/>
        </w:rPr>
        <w:t>VEhO selma’o, 506</w:t>
      </w:r>
    </w:p>
    <w:p w:rsidR="00B72047" w:rsidRDefault="00B72047">
      <w:pPr>
        <w:pStyle w:val="Index1"/>
        <w:rPr>
          <w:noProof/>
        </w:rPr>
      </w:pPr>
      <w:r>
        <w:rPr>
          <w:noProof/>
        </w:rPr>
        <w:t>vei, 201, 423, 437</w:t>
      </w:r>
    </w:p>
    <w:p w:rsidR="00B72047" w:rsidRDefault="00B72047">
      <w:pPr>
        <w:pStyle w:val="Index1"/>
        <w:rPr>
          <w:noProof/>
        </w:rPr>
      </w:pPr>
      <w:r>
        <w:rPr>
          <w:noProof/>
        </w:rPr>
        <w:t>vei …ve'o: contrasted with operator …ku'e in Polish notation, 438</w:t>
      </w:r>
    </w:p>
    <w:p w:rsidR="00B72047" w:rsidRDefault="00B72047">
      <w:pPr>
        <w:pStyle w:val="Index1"/>
        <w:rPr>
          <w:noProof/>
        </w:rPr>
      </w:pPr>
      <w:r>
        <w:rPr>
          <w:noProof/>
        </w:rPr>
        <w:t>VEI selma’o, 506; terminator for, 506</w:t>
      </w:r>
    </w:p>
    <w:p w:rsidR="00B72047" w:rsidRDefault="00B72047">
      <w:pPr>
        <w:pStyle w:val="Index1"/>
        <w:rPr>
          <w:noProof/>
        </w:rPr>
      </w:pPr>
      <w:r>
        <w:rPr>
          <w:noProof/>
        </w:rPr>
        <w:t>veljvo: definition, 274; symmetrical, 278</w:t>
      </w:r>
    </w:p>
    <w:p w:rsidR="00B72047" w:rsidRDefault="00B72047">
      <w:pPr>
        <w:pStyle w:val="Index1"/>
        <w:rPr>
          <w:noProof/>
        </w:rPr>
      </w:pPr>
      <w:r>
        <w:rPr>
          <w:noProof/>
        </w:rPr>
        <w:t>ve'o, 201, 362, 437</w:t>
      </w:r>
    </w:p>
    <w:p w:rsidR="00B72047" w:rsidRDefault="00B72047">
      <w:pPr>
        <w:pStyle w:val="Index1"/>
        <w:rPr>
          <w:noProof/>
        </w:rPr>
      </w:pPr>
      <w:r>
        <w:rPr>
          <w:noProof/>
        </w:rPr>
        <w:t>verbs: brivla as Lojban equivalents, 52</w:t>
      </w:r>
    </w:p>
    <w:p w:rsidR="00B72047" w:rsidRDefault="00B72047">
      <w:pPr>
        <w:pStyle w:val="Index1"/>
        <w:rPr>
          <w:noProof/>
        </w:rPr>
      </w:pPr>
      <w:r>
        <w:rPr>
          <w:noProof/>
        </w:rPr>
        <w:t>veterinarian: example, 282</w:t>
      </w:r>
    </w:p>
    <w:p w:rsidR="00B72047" w:rsidRDefault="00B72047">
      <w:pPr>
        <w:pStyle w:val="Index1"/>
        <w:rPr>
          <w:noProof/>
        </w:rPr>
      </w:pPr>
      <w:r>
        <w:rPr>
          <w:noProof/>
        </w:rPr>
        <w:t>vi, 217; as adjective expression for English this, 148</w:t>
      </w:r>
    </w:p>
    <w:p w:rsidR="00B72047" w:rsidRDefault="00B72047">
      <w:pPr>
        <w:pStyle w:val="Index1"/>
        <w:rPr>
          <w:noProof/>
        </w:rPr>
      </w:pPr>
      <w:r>
        <w:rPr>
          <w:noProof/>
        </w:rPr>
        <w:t>vi'a, 224</w:t>
      </w:r>
    </w:p>
    <w:p w:rsidR="00B72047" w:rsidRDefault="00B72047">
      <w:pPr>
        <w:pStyle w:val="Index1"/>
        <w:rPr>
          <w:noProof/>
        </w:rPr>
      </w:pPr>
      <w:r>
        <w:rPr>
          <w:noProof/>
        </w:rPr>
        <w:t>vice versa: English, expressing with vo'a-series pro-sumti and soi, 159; example, 159</w:t>
      </w:r>
    </w:p>
    <w:p w:rsidR="00B72047" w:rsidRDefault="00B72047">
      <w:pPr>
        <w:pStyle w:val="Index1"/>
        <w:rPr>
          <w:noProof/>
        </w:rPr>
      </w:pPr>
      <w:r>
        <w:rPr>
          <w:noProof/>
        </w:rPr>
        <w:t>vi'e, 224</w:t>
      </w:r>
    </w:p>
    <w:p w:rsidR="00B72047" w:rsidRDefault="00B72047">
      <w:pPr>
        <w:pStyle w:val="Index1"/>
        <w:rPr>
          <w:noProof/>
        </w:rPr>
      </w:pPr>
      <w:r>
        <w:rPr>
          <w:noProof/>
        </w:rPr>
        <w:t>VIhA selma’o, 223, 506</w:t>
      </w:r>
    </w:p>
    <w:p w:rsidR="00B72047" w:rsidRDefault="00B72047">
      <w:pPr>
        <w:pStyle w:val="Index1"/>
        <w:rPr>
          <w:noProof/>
        </w:rPr>
      </w:pPr>
      <w:r>
        <w:rPr>
          <w:noProof/>
        </w:rPr>
        <w:t>vi'o, 325; contrasted with je'e, 325</w:t>
      </w:r>
    </w:p>
    <w:p w:rsidR="00B72047" w:rsidRDefault="00B72047">
      <w:pPr>
        <w:pStyle w:val="Index1"/>
        <w:rPr>
          <w:noProof/>
        </w:rPr>
      </w:pPr>
      <w:r>
        <w:rPr>
          <w:noProof/>
        </w:rPr>
        <w:t>virtue: example, 309</w:t>
      </w:r>
    </w:p>
    <w:p w:rsidR="00B72047" w:rsidRDefault="00B72047">
      <w:pPr>
        <w:pStyle w:val="Index1"/>
        <w:rPr>
          <w:noProof/>
        </w:rPr>
      </w:pPr>
      <w:r>
        <w:rPr>
          <w:noProof/>
        </w:rPr>
        <w:t>viska, 194</w:t>
      </w:r>
    </w:p>
    <w:p w:rsidR="00B72047" w:rsidRDefault="00B72047">
      <w:pPr>
        <w:pStyle w:val="Index1"/>
        <w:rPr>
          <w:noProof/>
        </w:rPr>
      </w:pPr>
      <w:r>
        <w:rPr>
          <w:noProof/>
        </w:rPr>
        <w:t>vo'a, 158</w:t>
      </w:r>
    </w:p>
    <w:p w:rsidR="00B72047" w:rsidRDefault="00B72047">
      <w:pPr>
        <w:pStyle w:val="Index1"/>
        <w:rPr>
          <w:noProof/>
        </w:rPr>
      </w:pPr>
      <w:r>
        <w:rPr>
          <w:noProof/>
        </w:rPr>
        <w:t>vo'a-series pro-sumti: use in expressing reciprocity with soi, 159</w:t>
      </w:r>
    </w:p>
    <w:p w:rsidR="00B72047" w:rsidRDefault="00B72047">
      <w:pPr>
        <w:pStyle w:val="Index1"/>
        <w:rPr>
          <w:noProof/>
        </w:rPr>
      </w:pPr>
      <w:r>
        <w:rPr>
          <w:noProof/>
        </w:rPr>
        <w:t>vocative, 492</w:t>
      </w:r>
    </w:p>
    <w:p w:rsidR="00B72047" w:rsidRDefault="00B72047">
      <w:pPr>
        <w:pStyle w:val="Index1"/>
        <w:rPr>
          <w:noProof/>
        </w:rPr>
      </w:pPr>
      <w:r>
        <w:rPr>
          <w:noProof/>
        </w:rPr>
        <w:t>vocative indicator, 492</w:t>
      </w:r>
    </w:p>
    <w:p w:rsidR="00B72047" w:rsidRDefault="00B72047">
      <w:pPr>
        <w:pStyle w:val="Index1"/>
        <w:rPr>
          <w:noProof/>
        </w:rPr>
      </w:pPr>
      <w:r>
        <w:rPr>
          <w:noProof/>
        </w:rPr>
        <w:t>vocative phrase: as a free modifier, 135; effect of position on meaning, 137; elidable terminator for, 137; explicit quantifiers prohibited on, 136; forms of, 136; implicit descriptor on, 136; implicit quantifiers on, 136; purpose of, 136; relative clauses on, 184; with complete sumti, 136; with sumti without descriptor, 136</w:t>
      </w:r>
    </w:p>
    <w:p w:rsidR="00B72047" w:rsidRDefault="00B72047">
      <w:pPr>
        <w:pStyle w:val="Index1"/>
        <w:rPr>
          <w:noProof/>
        </w:rPr>
      </w:pPr>
      <w:r>
        <w:rPr>
          <w:noProof/>
        </w:rPr>
        <w:t>vocative phrase terminator: elidability of, 137</w:t>
      </w:r>
    </w:p>
    <w:p w:rsidR="00B72047" w:rsidRDefault="00B72047">
      <w:pPr>
        <w:pStyle w:val="Index1"/>
        <w:rPr>
          <w:noProof/>
        </w:rPr>
      </w:pPr>
      <w:r>
        <w:rPr>
          <w:noProof/>
        </w:rPr>
        <w:t>vocative phrase with name: placement of relative clause on, 184</w:t>
      </w:r>
    </w:p>
    <w:p w:rsidR="00B72047" w:rsidRDefault="00B72047">
      <w:pPr>
        <w:pStyle w:val="Index1"/>
        <w:rPr>
          <w:noProof/>
        </w:rPr>
      </w:pPr>
      <w:r>
        <w:rPr>
          <w:noProof/>
        </w:rPr>
        <w:t>vocative phrase with selbri: placement of relative clause on, 184</w:t>
      </w:r>
    </w:p>
    <w:p w:rsidR="00B72047" w:rsidRDefault="00B72047">
      <w:pPr>
        <w:pStyle w:val="Index1"/>
        <w:rPr>
          <w:noProof/>
        </w:rPr>
      </w:pPr>
      <w:r>
        <w:rPr>
          <w:noProof/>
        </w:rPr>
        <w:t>vocatives: and definition of “you”, 323; contrasted with “la”, 323; definition, 323; grammar overview, 323; notation convention symbol “X”, 323; quick-tour version, 21; rationale for redundancy, 323</w:t>
      </w:r>
    </w:p>
    <w:p w:rsidR="00B72047" w:rsidRDefault="00B72047">
      <w:pPr>
        <w:pStyle w:val="Index1"/>
        <w:rPr>
          <w:noProof/>
        </w:rPr>
      </w:pPr>
      <w:r>
        <w:rPr>
          <w:noProof/>
        </w:rPr>
        <w:t>vo'e, 158</w:t>
      </w:r>
    </w:p>
    <w:p w:rsidR="00B72047" w:rsidRDefault="00B72047">
      <w:pPr>
        <w:pStyle w:val="Index1"/>
        <w:rPr>
          <w:noProof/>
        </w:rPr>
      </w:pPr>
      <w:r>
        <w:rPr>
          <w:noProof/>
        </w:rPr>
        <w:t>voi, 177; contrasted with poi in veridicality, 177</w:t>
      </w:r>
    </w:p>
    <w:p w:rsidR="00B72047" w:rsidRDefault="00B72047">
      <w:pPr>
        <w:pStyle w:val="Index1"/>
        <w:rPr>
          <w:noProof/>
        </w:rPr>
      </w:pPr>
      <w:r>
        <w:rPr>
          <w:noProof/>
        </w:rPr>
        <w:t>voiced consonants: contrasted with unvoiced in allowable consonant pairs, 37</w:t>
      </w:r>
    </w:p>
    <w:p w:rsidR="00B72047" w:rsidRDefault="00B72047">
      <w:pPr>
        <w:pStyle w:val="Index1"/>
        <w:rPr>
          <w:noProof/>
        </w:rPr>
      </w:pPr>
      <w:r>
        <w:rPr>
          <w:noProof/>
        </w:rPr>
        <w:t>voiced/unvoiced consonants: restrictions on, 36</w:t>
      </w:r>
    </w:p>
    <w:p w:rsidR="00B72047" w:rsidRDefault="00B72047">
      <w:pPr>
        <w:pStyle w:val="Index1"/>
        <w:rPr>
          <w:noProof/>
        </w:rPr>
      </w:pPr>
      <w:r>
        <w:rPr>
          <w:noProof/>
        </w:rPr>
        <w:t>vowel: buffer, 38</w:t>
      </w:r>
    </w:p>
    <w:p w:rsidR="00B72047" w:rsidRDefault="00B72047">
      <w:pPr>
        <w:pStyle w:val="Index1"/>
        <w:rPr>
          <w:noProof/>
        </w:rPr>
      </w:pPr>
      <w:r>
        <w:rPr>
          <w:noProof/>
        </w:rPr>
        <w:t>vowel buffer: contrasted with y sound, 38</w:t>
      </w:r>
    </w:p>
    <w:p w:rsidR="00B72047" w:rsidRDefault="00B72047">
      <w:pPr>
        <w:pStyle w:val="Index1"/>
        <w:rPr>
          <w:noProof/>
        </w:rPr>
      </w:pPr>
      <w:r>
        <w:rPr>
          <w:noProof/>
        </w:rPr>
        <w:t>vowel pairs: contrasted with diphthongs, 34; definition of, 34; grouping of, 35; involving y, 35; list of, 35; use of apostrophe in, 34</w:t>
      </w:r>
    </w:p>
    <w:p w:rsidR="00B72047" w:rsidRDefault="00B72047">
      <w:pPr>
        <w:pStyle w:val="Index1"/>
        <w:rPr>
          <w:noProof/>
        </w:rPr>
      </w:pPr>
      <w:r>
        <w:rPr>
          <w:noProof/>
        </w:rPr>
        <w:t>vowel-initial words: necessity for pause before, 68</w:t>
      </w:r>
    </w:p>
    <w:p w:rsidR="00B72047" w:rsidRDefault="00B72047">
      <w:pPr>
        <w:pStyle w:val="Index1"/>
        <w:rPr>
          <w:noProof/>
        </w:rPr>
      </w:pPr>
      <w:r>
        <w:rPr>
          <w:noProof/>
        </w:rPr>
        <w:t>vowels: contrasted with consonants, 33; definition of, 33; length of, 39; pronunciation of, quick-tour version, 12</w:t>
      </w:r>
    </w:p>
    <w:p w:rsidR="00B72047" w:rsidRDefault="00B72047">
      <w:pPr>
        <w:pStyle w:val="Index1"/>
        <w:rPr>
          <w:noProof/>
        </w:rPr>
      </w:pPr>
      <w:r>
        <w:rPr>
          <w:noProof/>
        </w:rPr>
        <w:t>vu, 217</w:t>
      </w:r>
    </w:p>
    <w:p w:rsidR="00B72047" w:rsidRDefault="00B72047">
      <w:pPr>
        <w:pStyle w:val="Index1"/>
        <w:rPr>
          <w:noProof/>
        </w:rPr>
      </w:pPr>
      <w:r>
        <w:rPr>
          <w:noProof/>
        </w:rPr>
        <w:t>vu'e, 309</w:t>
      </w:r>
    </w:p>
    <w:p w:rsidR="00B72047" w:rsidRDefault="00B72047">
      <w:pPr>
        <w:pStyle w:val="Index1"/>
        <w:rPr>
          <w:noProof/>
        </w:rPr>
      </w:pPr>
      <w:r>
        <w:rPr>
          <w:noProof/>
        </w:rPr>
        <w:t>VUhO selma’o, 182, 506</w:t>
      </w:r>
    </w:p>
    <w:p w:rsidR="00B72047" w:rsidRDefault="00B72047">
      <w:pPr>
        <w:pStyle w:val="Index1"/>
        <w:rPr>
          <w:noProof/>
        </w:rPr>
      </w:pPr>
      <w:r>
        <w:rPr>
          <w:noProof/>
        </w:rPr>
        <w:t>VUhU operands, 436</w:t>
      </w:r>
    </w:p>
    <w:p w:rsidR="00B72047" w:rsidRDefault="00B72047">
      <w:pPr>
        <w:pStyle w:val="Index1"/>
        <w:rPr>
          <w:noProof/>
        </w:rPr>
      </w:pPr>
      <w:r>
        <w:rPr>
          <w:noProof/>
        </w:rPr>
        <w:t>VUhU selma’o, 435, 436, 444, 507</w:t>
      </w:r>
    </w:p>
    <w:p w:rsidR="00B72047" w:rsidRDefault="00B72047">
      <w:pPr>
        <w:pStyle w:val="Index1"/>
        <w:rPr>
          <w:noProof/>
        </w:rPr>
      </w:pPr>
      <w:r>
        <w:rPr>
          <w:noProof/>
        </w:rPr>
        <w:t>vu'i, 134; effect of on meaning, 134; use for creating sequence, 134</w:t>
      </w:r>
    </w:p>
    <w:p w:rsidR="00B72047" w:rsidRDefault="00B72047">
      <w:pPr>
        <w:pStyle w:val="Index1"/>
        <w:rPr>
          <w:noProof/>
        </w:rPr>
      </w:pPr>
      <w:r>
        <w:rPr>
          <w:noProof/>
        </w:rPr>
        <w:t>vu'o, 182</w:t>
      </w:r>
    </w:p>
    <w:p w:rsidR="00B72047" w:rsidRDefault="00B72047">
      <w:pPr>
        <w:pStyle w:val="Index1"/>
        <w:rPr>
          <w:noProof/>
        </w:rPr>
      </w:pPr>
      <w:r>
        <w:rPr>
          <w:noProof/>
        </w:rPr>
        <w:t>vu'u, 438; contrasted with va'a and ni'u, 438</w:t>
      </w:r>
    </w:p>
    <w:p w:rsidR="00B72047" w:rsidRDefault="00B72047">
      <w:pPr>
        <w:pStyle w:val="Index1"/>
        <w:rPr>
          <w:noProof/>
        </w:rPr>
      </w:pPr>
      <w:r>
        <w:rPr>
          <w:noProof/>
        </w:rPr>
        <w:t>VV string: as a symbol for a double vowel, 49</w:t>
      </w:r>
    </w:p>
    <w:p w:rsidR="00B72047" w:rsidRDefault="00B72047">
      <w:pPr>
        <w:pStyle w:val="Index1"/>
        <w:rPr>
          <w:noProof/>
        </w:rPr>
      </w:pPr>
      <w:r>
        <w:rPr>
          <w:noProof/>
        </w:rPr>
        <w:t>walk to market: example, 100</w:t>
      </w:r>
    </w:p>
    <w:p w:rsidR="00B72047" w:rsidRDefault="00B72047">
      <w:pPr>
        <w:pStyle w:val="Index1"/>
        <w:rPr>
          <w:noProof/>
        </w:rPr>
      </w:pPr>
      <w:r>
        <w:rPr>
          <w:noProof/>
        </w:rPr>
        <w:t>want to be a soldier: example, 255</w:t>
      </w:r>
    </w:p>
    <w:p w:rsidR="00B72047" w:rsidRDefault="00B72047">
      <w:pPr>
        <w:pStyle w:val="Index1"/>
        <w:rPr>
          <w:noProof/>
        </w:rPr>
      </w:pPr>
      <w:r>
        <w:rPr>
          <w:noProof/>
        </w:rPr>
        <w:t>wash self: example, 158</w:t>
      </w:r>
    </w:p>
    <w:p w:rsidR="00B72047" w:rsidRDefault="00B72047">
      <w:pPr>
        <w:pStyle w:val="Index1"/>
        <w:rPr>
          <w:noProof/>
        </w:rPr>
      </w:pPr>
      <w:r>
        <w:rPr>
          <w:noProof/>
        </w:rPr>
        <w:t>weapon against self: example, 397</w:t>
      </w:r>
    </w:p>
    <w:p w:rsidR="00B72047" w:rsidRDefault="00B72047">
      <w:pPr>
        <w:pStyle w:val="Index1"/>
        <w:rPr>
          <w:noProof/>
        </w:rPr>
      </w:pPr>
      <w:r>
        <w:rPr>
          <w:noProof/>
        </w:rPr>
        <w:t>went and bought: example, 363, 365</w:t>
      </w:r>
    </w:p>
    <w:p w:rsidR="00B72047" w:rsidRDefault="00B72047">
      <w:pPr>
        <w:pStyle w:val="Index1"/>
        <w:rPr>
          <w:noProof/>
        </w:rPr>
      </w:pPr>
      <w:r>
        <w:rPr>
          <w:noProof/>
        </w:rPr>
        <w:t>what is your name: example, 160</w:t>
      </w:r>
    </w:p>
    <w:p w:rsidR="00B72047" w:rsidRDefault="00B72047">
      <w:pPr>
        <w:pStyle w:val="Index1"/>
        <w:rPr>
          <w:noProof/>
        </w:rPr>
      </w:pPr>
      <w:r>
        <w:rPr>
          <w:noProof/>
        </w:rPr>
        <w:t>when: example, 249</w:t>
      </w:r>
    </w:p>
    <w:p w:rsidR="00B72047" w:rsidRDefault="00B72047">
      <w:pPr>
        <w:pStyle w:val="Index1"/>
        <w:rPr>
          <w:noProof/>
        </w:rPr>
      </w:pPr>
      <w:r>
        <w:rPr>
          <w:noProof/>
        </w:rPr>
        <w:t>when else: example, 250</w:t>
      </w:r>
    </w:p>
    <w:p w:rsidR="00B72047" w:rsidRDefault="00B72047">
      <w:pPr>
        <w:pStyle w:val="Index1"/>
        <w:rPr>
          <w:noProof/>
        </w:rPr>
      </w:pPr>
      <w:r>
        <w:rPr>
          <w:noProof/>
        </w:rPr>
        <w:t>when/where/how: example, 250</w:t>
      </w:r>
    </w:p>
    <w:p w:rsidR="00B72047" w:rsidRDefault="00B72047">
      <w:pPr>
        <w:pStyle w:val="Index1"/>
        <w:rPr>
          <w:noProof/>
        </w:rPr>
      </w:pPr>
      <w:r>
        <w:rPr>
          <w:noProof/>
        </w:rPr>
        <w:t>where: example, 249</w:t>
      </w:r>
    </w:p>
    <w:p w:rsidR="00B72047" w:rsidRDefault="00B72047">
      <w:pPr>
        <w:pStyle w:val="Index1"/>
        <w:rPr>
          <w:noProof/>
        </w:rPr>
      </w:pPr>
      <w:r>
        <w:rPr>
          <w:noProof/>
        </w:rPr>
        <w:t>whether criminal: example, 262</w:t>
      </w:r>
    </w:p>
    <w:p w:rsidR="00B72047" w:rsidRDefault="00B72047">
      <w:pPr>
        <w:pStyle w:val="Index1"/>
        <w:rPr>
          <w:noProof/>
        </w:rPr>
      </w:pPr>
      <w:r>
        <w:rPr>
          <w:noProof/>
        </w:rPr>
        <w:t>who knows what: example, 160</w:t>
      </w:r>
    </w:p>
    <w:p w:rsidR="00B72047" w:rsidRDefault="00B72047">
      <w:pPr>
        <w:pStyle w:val="Index1"/>
        <w:rPr>
          <w:noProof/>
        </w:rPr>
      </w:pPr>
      <w:r>
        <w:rPr>
          <w:noProof/>
        </w:rPr>
        <w:t>whole of: example, 441</w:t>
      </w:r>
    </w:p>
    <w:p w:rsidR="00B72047" w:rsidRDefault="00B72047">
      <w:pPr>
        <w:pStyle w:val="Index1"/>
        <w:rPr>
          <w:noProof/>
        </w:rPr>
      </w:pPr>
      <w:r>
        <w:rPr>
          <w:noProof/>
        </w:rPr>
        <w:t>whole time interval: expressing, 227</w:t>
      </w:r>
    </w:p>
    <w:p w:rsidR="00B72047" w:rsidRDefault="00B72047">
      <w:pPr>
        <w:pStyle w:val="Index1"/>
        <w:rPr>
          <w:noProof/>
        </w:rPr>
      </w:pPr>
      <w:r>
        <w:rPr>
          <w:noProof/>
        </w:rPr>
        <w:t>William: example, 68</w:t>
      </w:r>
    </w:p>
    <w:p w:rsidR="00B72047" w:rsidRDefault="00B72047">
      <w:pPr>
        <w:pStyle w:val="Index1"/>
        <w:rPr>
          <w:noProof/>
        </w:rPr>
      </w:pPr>
      <w:r>
        <w:rPr>
          <w:noProof/>
        </w:rPr>
        <w:t>window: example, 336</w:t>
      </w:r>
    </w:p>
    <w:p w:rsidR="00B72047" w:rsidRDefault="00B72047">
      <w:pPr>
        <w:pStyle w:val="Index1"/>
        <w:rPr>
          <w:noProof/>
        </w:rPr>
      </w:pPr>
      <w:r>
        <w:rPr>
          <w:noProof/>
        </w:rPr>
        <w:t>wine-dark sea, 274</w:t>
      </w:r>
    </w:p>
    <w:p w:rsidR="00B72047" w:rsidRDefault="00B72047">
      <w:pPr>
        <w:pStyle w:val="Index1"/>
        <w:rPr>
          <w:noProof/>
        </w:rPr>
      </w:pPr>
      <w:r>
        <w:rPr>
          <w:noProof/>
        </w:rPr>
        <w:t>word “abu”: example, 422</w:t>
      </w:r>
    </w:p>
    <w:p w:rsidR="00B72047" w:rsidRDefault="00B72047">
      <w:pPr>
        <w:pStyle w:val="Index1"/>
        <w:rPr>
          <w:noProof/>
        </w:rPr>
      </w:pPr>
      <w:r>
        <w:rPr>
          <w:noProof/>
        </w:rPr>
        <w:t>word “bu”: example, 416</w:t>
      </w:r>
    </w:p>
    <w:p w:rsidR="00B72047" w:rsidRDefault="00B72047">
      <w:pPr>
        <w:pStyle w:val="Index1"/>
        <w:rPr>
          <w:noProof/>
        </w:rPr>
      </w:pPr>
      <w:r>
        <w:rPr>
          <w:noProof/>
        </w:rPr>
        <w:t>word classes, 50</w:t>
      </w:r>
    </w:p>
    <w:p w:rsidR="00B72047" w:rsidRDefault="00B72047">
      <w:pPr>
        <w:pStyle w:val="Index1"/>
        <w:rPr>
          <w:noProof/>
        </w:rPr>
      </w:pPr>
      <w:r>
        <w:rPr>
          <w:noProof/>
        </w:rPr>
        <w:t>word forms: as related to grammatical uses, 49; in Lojban (see also morphology), 49</w:t>
      </w:r>
    </w:p>
    <w:p w:rsidR="00B72047" w:rsidRDefault="00B72047">
      <w:pPr>
        <w:pStyle w:val="Index1"/>
        <w:rPr>
          <w:noProof/>
        </w:rPr>
      </w:pPr>
      <w:r>
        <w:rPr>
          <w:noProof/>
        </w:rPr>
        <w:t>word lists, 273</w:t>
      </w:r>
    </w:p>
    <w:p w:rsidR="00B72047" w:rsidRDefault="00B72047">
      <w:pPr>
        <w:pStyle w:val="Index1"/>
        <w:rPr>
          <w:noProof/>
        </w:rPr>
      </w:pPr>
      <w:r>
        <w:rPr>
          <w:noProof/>
        </w:rPr>
        <w:t>word quotation: as morphologically valid, 141; internal grammar of, 141</w:t>
      </w:r>
    </w:p>
    <w:p w:rsidR="00B72047" w:rsidRDefault="00B72047">
      <w:pPr>
        <w:pStyle w:val="Index1"/>
        <w:rPr>
          <w:noProof/>
        </w:rPr>
      </w:pPr>
      <w:r>
        <w:rPr>
          <w:noProof/>
        </w:rPr>
        <w:t>words: marking non-standard, 480</w:t>
      </w:r>
    </w:p>
    <w:p w:rsidR="00B72047" w:rsidRDefault="00B72047">
      <w:pPr>
        <w:pStyle w:val="Index1"/>
        <w:rPr>
          <w:noProof/>
        </w:rPr>
      </w:pPr>
      <w:r>
        <w:rPr>
          <w:noProof/>
        </w:rPr>
        <w:t>words not in the dictionary, 13</w:t>
      </w:r>
    </w:p>
    <w:p w:rsidR="00B72047" w:rsidRDefault="00B72047">
      <w:pPr>
        <w:pStyle w:val="Index1"/>
        <w:rPr>
          <w:noProof/>
        </w:rPr>
      </w:pPr>
      <w:r>
        <w:rPr>
          <w:noProof/>
        </w:rPr>
        <w:t>world's languages, 273</w:t>
      </w:r>
    </w:p>
    <w:p w:rsidR="00B72047" w:rsidRDefault="00B72047">
      <w:pPr>
        <w:pStyle w:val="Index1"/>
        <w:rPr>
          <w:noProof/>
        </w:rPr>
      </w:pPr>
      <w:r>
        <w:rPr>
          <w:noProof/>
        </w:rPr>
        <w:t>wrong concept, 281</w:t>
      </w:r>
    </w:p>
    <w:p w:rsidR="00B72047" w:rsidRDefault="00B72047">
      <w:pPr>
        <w:pStyle w:val="Index1"/>
        <w:rPr>
          <w:noProof/>
        </w:rPr>
      </w:pPr>
      <w:r>
        <w:rPr>
          <w:noProof/>
        </w:rPr>
        <w:t>x &lt; 5: example, 439</w:t>
      </w:r>
    </w:p>
    <w:p w:rsidR="00B72047" w:rsidRDefault="00B72047">
      <w:pPr>
        <w:pStyle w:val="Index1"/>
        <w:rPr>
          <w:noProof/>
        </w:rPr>
      </w:pPr>
      <w:r>
        <w:rPr>
          <w:noProof/>
        </w:rPr>
        <w:t>x{b: d}, example, 362, 455</w:t>
      </w:r>
    </w:p>
    <w:p w:rsidR="00B72047" w:rsidRDefault="00B72047">
      <w:pPr>
        <w:pStyle w:val="Index1"/>
        <w:rPr>
          <w:noProof/>
        </w:rPr>
      </w:pPr>
      <w:r>
        <w:rPr>
          <w:noProof/>
        </w:rPr>
        <w:t>x{k}: x sub k, example, 423</w:t>
      </w:r>
    </w:p>
    <w:p w:rsidR="00B72047" w:rsidRDefault="00B72047">
      <w:pPr>
        <w:pStyle w:val="Index1"/>
        <w:rPr>
          <w:noProof/>
        </w:rPr>
      </w:pPr>
      <w:r>
        <w:rPr>
          <w:noProof/>
        </w:rPr>
        <w:t>x1: in place structure notation, 187; notation convention, quick-tour version, 13</w:t>
      </w:r>
    </w:p>
    <w:p w:rsidR="00B72047" w:rsidRDefault="00B72047">
      <w:pPr>
        <w:pStyle w:val="Index1"/>
        <w:rPr>
          <w:noProof/>
        </w:rPr>
      </w:pPr>
      <w:r>
        <w:rPr>
          <w:noProof/>
        </w:rPr>
        <w:t>xe, 100, 192; quick-tour version, 16</w:t>
      </w:r>
    </w:p>
    <w:p w:rsidR="00B72047" w:rsidRDefault="00B72047">
      <w:pPr>
        <w:pStyle w:val="Index1"/>
        <w:rPr>
          <w:noProof/>
        </w:rPr>
      </w:pPr>
      <w:r>
        <w:rPr>
          <w:noProof/>
        </w:rPr>
        <w:t>xi, 449, 452, 471</w:t>
      </w:r>
    </w:p>
    <w:p w:rsidR="00B72047" w:rsidRDefault="00B72047">
      <w:pPr>
        <w:pStyle w:val="Index1"/>
        <w:rPr>
          <w:noProof/>
        </w:rPr>
      </w:pPr>
      <w:r>
        <w:rPr>
          <w:noProof/>
        </w:rPr>
        <w:t>XI selma’o, 449, 471, 507</w:t>
      </w:r>
    </w:p>
    <w:p w:rsidR="00B72047" w:rsidRDefault="00B72047">
      <w:pPr>
        <w:pStyle w:val="Index1"/>
        <w:rPr>
          <w:noProof/>
        </w:rPr>
      </w:pPr>
      <w:r>
        <w:rPr>
          <w:noProof/>
        </w:rPr>
        <w:t>xo, 449</w:t>
      </w:r>
    </w:p>
    <w:p w:rsidR="00B72047" w:rsidRDefault="00B72047">
      <w:pPr>
        <w:pStyle w:val="Index1"/>
        <w:rPr>
          <w:noProof/>
        </w:rPr>
      </w:pPr>
      <w:r>
        <w:rPr>
          <w:noProof/>
        </w:rPr>
        <w:t>X-ray: example, 60</w:t>
      </w:r>
    </w:p>
    <w:p w:rsidR="00B72047" w:rsidRDefault="00B72047">
      <w:pPr>
        <w:pStyle w:val="Index1"/>
        <w:rPr>
          <w:noProof/>
        </w:rPr>
      </w:pPr>
      <w:r>
        <w:rPr>
          <w:noProof/>
        </w:rPr>
        <w:t>x-sub-3, 449</w:t>
      </w:r>
    </w:p>
    <w:p w:rsidR="00B72047" w:rsidRDefault="00B72047">
      <w:pPr>
        <w:pStyle w:val="Index1"/>
        <w:rPr>
          <w:noProof/>
        </w:rPr>
      </w:pPr>
      <w:r>
        <w:rPr>
          <w:noProof/>
        </w:rPr>
        <w:t>xu, 321, 351, 469; quick-tour version, 23</w:t>
      </w:r>
    </w:p>
    <w:p w:rsidR="00B72047" w:rsidRDefault="00B72047">
      <w:pPr>
        <w:pStyle w:val="Index1"/>
        <w:rPr>
          <w:noProof/>
        </w:rPr>
      </w:pPr>
      <w:r>
        <w:rPr>
          <w:noProof/>
        </w:rPr>
        <w:t>y, 484; considered not to be a vowel for morphological discussions, 49; letter; between letters of consonant pair, 53; letter, prohibition from fu'ivla, 62; use in avoiding forbidden consonant pairs, 36</w:t>
      </w:r>
    </w:p>
    <w:p w:rsidR="00B72047" w:rsidRDefault="00B72047">
      <w:pPr>
        <w:pStyle w:val="Index1"/>
        <w:rPr>
          <w:noProof/>
        </w:rPr>
      </w:pPr>
      <w:r>
        <w:rPr>
          <w:noProof/>
        </w:rPr>
        <w:t>Y selma’o, 484, 507</w:t>
      </w:r>
    </w:p>
    <w:p w:rsidR="00B72047" w:rsidRDefault="00B72047">
      <w:pPr>
        <w:pStyle w:val="Index1"/>
        <w:rPr>
          <w:noProof/>
        </w:rPr>
      </w:pPr>
      <w:r>
        <w:rPr>
          <w:noProof/>
        </w:rPr>
        <w:t>y sound: contrasted with vowel buffer, 38</w:t>
      </w:r>
    </w:p>
    <w:p w:rsidR="00B72047" w:rsidRDefault="00B72047">
      <w:pPr>
        <w:pStyle w:val="Index1"/>
        <w:rPr>
          <w:noProof/>
        </w:rPr>
      </w:pPr>
      <w:r>
        <w:rPr>
          <w:noProof/>
        </w:rPr>
        <w:t>YACC grammar, 511</w:t>
      </w:r>
    </w:p>
    <w:p w:rsidR="00B72047" w:rsidRDefault="00B72047">
      <w:pPr>
        <w:pStyle w:val="Index1"/>
        <w:rPr>
          <w:noProof/>
        </w:rPr>
      </w:pPr>
      <w:r>
        <w:rPr>
          <w:noProof/>
        </w:rPr>
        <w:t>Yay!: example, 299</w:t>
      </w:r>
    </w:p>
    <w:p w:rsidR="00B72047" w:rsidRDefault="00B72047">
      <w:pPr>
        <w:pStyle w:val="Index1"/>
        <w:rPr>
          <w:noProof/>
        </w:rPr>
      </w:pPr>
      <w:r>
        <w:rPr>
          <w:noProof/>
        </w:rPr>
        <w:t>yes/no questions, 321; quick-tour version, 23</w:t>
      </w:r>
    </w:p>
    <w:p w:rsidR="00B72047" w:rsidRDefault="00B72047">
      <w:pPr>
        <w:pStyle w:val="Index1"/>
        <w:rPr>
          <w:noProof/>
        </w:rPr>
      </w:pPr>
      <w:r>
        <w:rPr>
          <w:noProof/>
        </w:rPr>
        <w:t>y-hyphen: and consonant cluster determination, 56; and stress determination, 56; use of, 56</w:t>
      </w:r>
    </w:p>
    <w:p w:rsidR="00B72047" w:rsidRDefault="00B72047">
      <w:pPr>
        <w:pStyle w:val="Index1"/>
        <w:rPr>
          <w:noProof/>
        </w:rPr>
      </w:pPr>
      <w:r>
        <w:rPr>
          <w:noProof/>
        </w:rPr>
        <w:t>yielding the floor, 484</w:t>
      </w:r>
    </w:p>
    <w:p w:rsidR="00B72047" w:rsidRDefault="00B72047">
      <w:pPr>
        <w:pStyle w:val="Index1"/>
        <w:rPr>
          <w:noProof/>
        </w:rPr>
      </w:pPr>
      <w:r>
        <w:rPr>
          <w:noProof/>
        </w:rPr>
        <w:t>yon: as archaic English equivalent of tu, 147</w:t>
      </w:r>
    </w:p>
    <w:p w:rsidR="00B72047" w:rsidRDefault="00B72047">
      <w:pPr>
        <w:pStyle w:val="Index1"/>
        <w:rPr>
          <w:noProof/>
        </w:rPr>
      </w:pPr>
      <w:r>
        <w:rPr>
          <w:noProof/>
        </w:rPr>
        <w:t>you: defining, 323</w:t>
      </w:r>
    </w:p>
    <w:p w:rsidR="00B72047" w:rsidRDefault="00B72047">
      <w:pPr>
        <w:pStyle w:val="Index1"/>
        <w:rPr>
          <w:noProof/>
        </w:rPr>
      </w:pPr>
      <w:r>
        <w:rPr>
          <w:noProof/>
        </w:rPr>
        <w:t>you-cmavo: example, 163</w:t>
      </w:r>
    </w:p>
    <w:p w:rsidR="00B72047" w:rsidRDefault="00B72047">
      <w:pPr>
        <w:pStyle w:val="Index1"/>
        <w:rPr>
          <w:noProof/>
        </w:rPr>
      </w:pPr>
      <w:r>
        <w:rPr>
          <w:noProof/>
        </w:rPr>
        <w:t>younger: example, 292</w:t>
      </w:r>
    </w:p>
    <w:p w:rsidR="00B72047" w:rsidRDefault="00B72047">
      <w:pPr>
        <w:pStyle w:val="Index1"/>
        <w:rPr>
          <w:noProof/>
        </w:rPr>
      </w:pPr>
      <w:r>
        <w:rPr>
          <w:noProof/>
        </w:rPr>
        <w:t>you're welcome: fi'i contrasted with je'e, 324; je'e contrasted with fi'i, 324</w:t>
      </w:r>
    </w:p>
    <w:p w:rsidR="00B72047" w:rsidRDefault="00B72047">
      <w:pPr>
        <w:pStyle w:val="Index1"/>
        <w:rPr>
          <w:noProof/>
        </w:rPr>
      </w:pPr>
      <w:r>
        <w:rPr>
          <w:noProof/>
        </w:rPr>
        <w:t>you-talk: example, 163</w:t>
      </w:r>
    </w:p>
    <w:p w:rsidR="00B72047" w:rsidRDefault="00B72047">
      <w:pPr>
        <w:pStyle w:val="Index1"/>
        <w:rPr>
          <w:noProof/>
        </w:rPr>
      </w:pPr>
      <w:r>
        <w:rPr>
          <w:noProof/>
        </w:rPr>
        <w:t>z = f(x): example, 438</w:t>
      </w:r>
    </w:p>
    <w:p w:rsidR="00B72047" w:rsidRDefault="00B72047">
      <w:pPr>
        <w:pStyle w:val="Index1"/>
        <w:rPr>
          <w:noProof/>
        </w:rPr>
      </w:pPr>
      <w:r>
        <w:rPr>
          <w:noProof/>
        </w:rPr>
        <w:t>z instead of ': in acronymic names based on lerfu words, 424</w:t>
      </w:r>
    </w:p>
    <w:p w:rsidR="00B72047" w:rsidRDefault="00B72047">
      <w:pPr>
        <w:pStyle w:val="Index1"/>
        <w:rPr>
          <w:noProof/>
        </w:rPr>
      </w:pPr>
      <w:r>
        <w:rPr>
          <w:noProof/>
        </w:rPr>
        <w:t>za'a, 316</w:t>
      </w:r>
    </w:p>
    <w:p w:rsidR="00B72047" w:rsidRDefault="00B72047">
      <w:pPr>
        <w:pStyle w:val="Index1"/>
        <w:rPr>
          <w:noProof/>
        </w:rPr>
      </w:pPr>
      <w:r>
        <w:rPr>
          <w:noProof/>
        </w:rPr>
        <w:t>za'e, 69, 416, 480; interaction with bu, 416; use to avoid lujvo misunderstandings, 69</w:t>
      </w:r>
    </w:p>
    <w:p w:rsidR="00B72047" w:rsidRDefault="00B72047">
      <w:pPr>
        <w:pStyle w:val="Index1"/>
        <w:rPr>
          <w:noProof/>
        </w:rPr>
      </w:pPr>
      <w:r>
        <w:rPr>
          <w:noProof/>
        </w:rPr>
        <w:t>ZAhO compared with NU, 268</w:t>
      </w:r>
    </w:p>
    <w:p w:rsidR="00B72047" w:rsidRDefault="00B72047">
      <w:pPr>
        <w:pStyle w:val="Index1"/>
        <w:rPr>
          <w:noProof/>
        </w:rPr>
      </w:pPr>
      <w:r>
        <w:rPr>
          <w:noProof/>
        </w:rPr>
        <w:t>ZAhO selma’o, 228, 231, 232, 268, 507; contradictory negation of, 241; effect on fe'e flag for TAhE and ROI, 231</w:t>
      </w:r>
    </w:p>
    <w:p w:rsidR="00B72047" w:rsidRDefault="00B72047">
      <w:pPr>
        <w:pStyle w:val="Index1"/>
        <w:rPr>
          <w:noProof/>
        </w:rPr>
      </w:pPr>
      <w:r>
        <w:rPr>
          <w:noProof/>
        </w:rPr>
        <w:t>za'i, 257, 258, 268; place structure, 259</w:t>
      </w:r>
    </w:p>
    <w:p w:rsidR="00B72047" w:rsidRDefault="00B72047">
      <w:pPr>
        <w:pStyle w:val="Index1"/>
        <w:rPr>
          <w:noProof/>
        </w:rPr>
      </w:pPr>
      <w:r>
        <w:rPr>
          <w:noProof/>
        </w:rPr>
        <w:t>za'o, 230</w:t>
      </w:r>
    </w:p>
    <w:p w:rsidR="00B72047" w:rsidRDefault="00B72047">
      <w:pPr>
        <w:pStyle w:val="Index1"/>
        <w:rPr>
          <w:noProof/>
        </w:rPr>
      </w:pPr>
      <w:r>
        <w:rPr>
          <w:noProof/>
        </w:rPr>
        <w:t>za'u, 443; with elided number, 443</w:t>
      </w:r>
    </w:p>
    <w:p w:rsidR="00B72047" w:rsidRDefault="00B72047">
      <w:pPr>
        <w:pStyle w:val="Index1"/>
        <w:rPr>
          <w:noProof/>
        </w:rPr>
      </w:pPr>
      <w:r>
        <w:rPr>
          <w:noProof/>
        </w:rPr>
        <w:t>zai, 418</w:t>
      </w:r>
    </w:p>
    <w:p w:rsidR="00B72047" w:rsidRDefault="00B72047">
      <w:pPr>
        <w:pStyle w:val="Index1"/>
        <w:rPr>
          <w:noProof/>
        </w:rPr>
      </w:pPr>
      <w:r>
        <w:rPr>
          <w:noProof/>
        </w:rPr>
        <w:t>ze'e, 227; effect on following PU direction, 227</w:t>
      </w:r>
    </w:p>
    <w:p w:rsidR="00B72047" w:rsidRDefault="00B72047">
      <w:pPr>
        <w:pStyle w:val="Index1"/>
        <w:rPr>
          <w:noProof/>
        </w:rPr>
      </w:pPr>
      <w:r>
        <w:rPr>
          <w:noProof/>
        </w:rPr>
        <w:t>ze'eba, 227; meaning of, 227</w:t>
      </w:r>
    </w:p>
    <w:p w:rsidR="00B72047" w:rsidRDefault="00B72047">
      <w:pPr>
        <w:pStyle w:val="Index1"/>
        <w:rPr>
          <w:noProof/>
        </w:rPr>
      </w:pPr>
      <w:r>
        <w:rPr>
          <w:noProof/>
        </w:rPr>
        <w:t>ze'eca, 227; meaning of, 227</w:t>
      </w:r>
    </w:p>
    <w:p w:rsidR="00B72047" w:rsidRDefault="00B72047">
      <w:pPr>
        <w:pStyle w:val="Index1"/>
        <w:rPr>
          <w:noProof/>
        </w:rPr>
      </w:pPr>
      <w:r>
        <w:rPr>
          <w:noProof/>
        </w:rPr>
        <w:t>ze'epu, 227; meaning of, 227</w:t>
      </w:r>
    </w:p>
    <w:p w:rsidR="00B72047" w:rsidRDefault="00B72047">
      <w:pPr>
        <w:pStyle w:val="Index1"/>
        <w:rPr>
          <w:noProof/>
        </w:rPr>
      </w:pPr>
      <w:r>
        <w:rPr>
          <w:noProof/>
        </w:rPr>
        <w:t>ZEhA selma’o, 221, 507</w:t>
      </w:r>
    </w:p>
    <w:p w:rsidR="00B72047" w:rsidRDefault="00B72047">
      <w:pPr>
        <w:pStyle w:val="Index1"/>
        <w:rPr>
          <w:noProof/>
        </w:rPr>
      </w:pPr>
      <w:r>
        <w:rPr>
          <w:noProof/>
        </w:rPr>
        <w:t>ze'o: special note on direction orientation, 253</w:t>
      </w:r>
    </w:p>
    <w:p w:rsidR="00B72047" w:rsidRDefault="00B72047">
      <w:pPr>
        <w:pStyle w:val="Index1"/>
        <w:rPr>
          <w:noProof/>
        </w:rPr>
      </w:pPr>
      <w:r>
        <w:rPr>
          <w:noProof/>
        </w:rPr>
        <w:t>zei, 60, 416; interaction with bu, 416</w:t>
      </w:r>
    </w:p>
    <w:p w:rsidR="00B72047" w:rsidRDefault="00B72047">
      <w:pPr>
        <w:pStyle w:val="Index1"/>
        <w:rPr>
          <w:noProof/>
        </w:rPr>
      </w:pPr>
      <w:r>
        <w:rPr>
          <w:noProof/>
        </w:rPr>
        <w:t>ZEI selma’o, 60, 507</w:t>
      </w:r>
    </w:p>
    <w:p w:rsidR="00B72047" w:rsidRDefault="00B72047">
      <w:pPr>
        <w:pStyle w:val="Index1"/>
        <w:rPr>
          <w:noProof/>
        </w:rPr>
      </w:pPr>
      <w:r>
        <w:rPr>
          <w:noProof/>
        </w:rPr>
        <w:t>zero: relation to negation boundary, 402</w:t>
      </w:r>
    </w:p>
    <w:p w:rsidR="00B72047" w:rsidRDefault="00B72047">
      <w:pPr>
        <w:pStyle w:val="Index1"/>
        <w:rPr>
          <w:noProof/>
        </w:rPr>
      </w:pPr>
      <w:r>
        <w:rPr>
          <w:noProof/>
        </w:rPr>
        <w:t>zero to one: example, 362</w:t>
      </w:r>
    </w:p>
    <w:p w:rsidR="00B72047" w:rsidRDefault="00B72047">
      <w:pPr>
        <w:pStyle w:val="Index1"/>
        <w:rPr>
          <w:noProof/>
        </w:rPr>
      </w:pPr>
      <w:r>
        <w:rPr>
          <w:noProof/>
        </w:rPr>
        <w:t>ZI selma’o, 219, 507; compared with VA, 219</w:t>
      </w:r>
    </w:p>
    <w:p w:rsidR="00B72047" w:rsidRDefault="00B72047">
      <w:pPr>
        <w:pStyle w:val="Index1"/>
        <w:rPr>
          <w:noProof/>
        </w:rPr>
      </w:pPr>
      <w:r>
        <w:rPr>
          <w:noProof/>
        </w:rPr>
        <w:t>zi'e, 175; compared with English and, 176; contrasted with logical connectives, 176; use in connecting relative phrase/clause to relative phrase/clause, 176</w:t>
      </w:r>
    </w:p>
    <w:p w:rsidR="00B72047" w:rsidRDefault="00B72047">
      <w:pPr>
        <w:pStyle w:val="Index1"/>
        <w:rPr>
          <w:noProof/>
        </w:rPr>
      </w:pPr>
      <w:r>
        <w:rPr>
          <w:noProof/>
        </w:rPr>
        <w:t>ZIhE selma’o, 175, 508</w:t>
      </w:r>
    </w:p>
    <w:p w:rsidR="00B72047" w:rsidRDefault="00B72047">
      <w:pPr>
        <w:pStyle w:val="Index1"/>
        <w:rPr>
          <w:noProof/>
        </w:rPr>
      </w:pPr>
      <w:r>
        <w:rPr>
          <w:noProof/>
        </w:rPr>
        <w:t>zi'o, 157, 163; as creating new selbri, 157</w:t>
      </w:r>
    </w:p>
    <w:p w:rsidR="00B72047" w:rsidRDefault="00B72047">
      <w:pPr>
        <w:pStyle w:val="Index1"/>
        <w:rPr>
          <w:noProof/>
        </w:rPr>
      </w:pPr>
      <w:r>
        <w:rPr>
          <w:noProof/>
        </w:rPr>
        <w:t>zi'o rafsi: effect of on place structure of lujvo, 163</w:t>
      </w:r>
    </w:p>
    <w:p w:rsidR="00B72047" w:rsidRDefault="00B72047">
      <w:pPr>
        <w:pStyle w:val="Index1"/>
        <w:rPr>
          <w:noProof/>
        </w:rPr>
      </w:pPr>
      <w:r>
        <w:rPr>
          <w:noProof/>
        </w:rPr>
        <w:t>Zipf's Law, 69</w:t>
      </w:r>
    </w:p>
    <w:p w:rsidR="00B72047" w:rsidRDefault="00B72047">
      <w:pPr>
        <w:pStyle w:val="Index1"/>
        <w:rPr>
          <w:noProof/>
        </w:rPr>
      </w:pPr>
      <w:r>
        <w:rPr>
          <w:noProof/>
        </w:rPr>
        <w:t>zo, 119, 312, 416, 477; contrasted with la for names, 478; interaction with bu, 416</w:t>
      </w:r>
    </w:p>
    <w:p w:rsidR="00B72047" w:rsidRDefault="00B72047">
      <w:pPr>
        <w:pStyle w:val="Index1"/>
        <w:rPr>
          <w:noProof/>
        </w:rPr>
      </w:pPr>
      <w:r>
        <w:rPr>
          <w:noProof/>
        </w:rPr>
        <w:t>ZO selma’o, 477, 508</w:t>
      </w:r>
    </w:p>
    <w:p w:rsidR="00B72047" w:rsidRDefault="00B72047">
      <w:pPr>
        <w:pStyle w:val="Index1"/>
        <w:rPr>
          <w:noProof/>
        </w:rPr>
      </w:pPr>
      <w:r>
        <w:rPr>
          <w:noProof/>
        </w:rPr>
        <w:t>zo'e, 157, 189, 392; as a translation for “something”, 392; as place-holder for sumti, 157; as place-holder for unspecified sumti, 189; compared with FA for omitting places, 190; contrasted with da, 392; quick-tour version, 14</w:t>
      </w:r>
    </w:p>
    <w:p w:rsidR="00B72047" w:rsidRDefault="00B72047">
      <w:pPr>
        <w:pStyle w:val="Index1"/>
        <w:rPr>
          <w:noProof/>
        </w:rPr>
      </w:pPr>
      <w:r>
        <w:rPr>
          <w:noProof/>
        </w:rPr>
        <w:t>zo'e-series: compared with do'i as indefinite pro-sumti, 158</w:t>
      </w:r>
    </w:p>
    <w:p w:rsidR="00B72047" w:rsidRDefault="00B72047">
      <w:pPr>
        <w:pStyle w:val="Index1"/>
        <w:rPr>
          <w:noProof/>
        </w:rPr>
      </w:pPr>
      <w:r>
        <w:rPr>
          <w:noProof/>
        </w:rPr>
        <w:t>zo'e-series pro-sumti, 157</w:t>
      </w:r>
    </w:p>
    <w:p w:rsidR="00B72047" w:rsidRDefault="00B72047">
      <w:pPr>
        <w:pStyle w:val="Index1"/>
        <w:rPr>
          <w:noProof/>
        </w:rPr>
      </w:pPr>
      <w:r>
        <w:rPr>
          <w:noProof/>
        </w:rPr>
        <w:t>ZOhU selma’o, 392, 467, 508</w:t>
      </w:r>
    </w:p>
    <w:p w:rsidR="00B72047" w:rsidRDefault="00B72047">
      <w:pPr>
        <w:pStyle w:val="Index1"/>
        <w:rPr>
          <w:noProof/>
        </w:rPr>
      </w:pPr>
      <w:r>
        <w:rPr>
          <w:noProof/>
        </w:rPr>
        <w:t>zo'i: special note on direction orientation, 253</w:t>
      </w:r>
    </w:p>
    <w:p w:rsidR="00B72047" w:rsidRDefault="00B72047">
      <w:pPr>
        <w:pStyle w:val="Index1"/>
        <w:rPr>
          <w:noProof/>
        </w:rPr>
      </w:pPr>
      <w:r>
        <w:rPr>
          <w:noProof/>
        </w:rPr>
        <w:t>zo'o, 318, 319</w:t>
      </w:r>
    </w:p>
    <w:p w:rsidR="00B72047" w:rsidRDefault="00B72047">
      <w:pPr>
        <w:pStyle w:val="Index1"/>
        <w:rPr>
          <w:noProof/>
        </w:rPr>
      </w:pPr>
      <w:r>
        <w:rPr>
          <w:noProof/>
        </w:rPr>
        <w:t>zo'u, 392, 467</w:t>
      </w:r>
    </w:p>
    <w:p w:rsidR="00B72047" w:rsidRDefault="00B72047">
      <w:pPr>
        <w:pStyle w:val="Index1"/>
        <w:rPr>
          <w:noProof/>
        </w:rPr>
      </w:pPr>
      <w:r>
        <w:rPr>
          <w:noProof/>
        </w:rPr>
        <w:t>zoi, 119, 416, 477; interaction with bu, 416; interaction with lo'u/le'u, 478</w:t>
      </w:r>
    </w:p>
    <w:p w:rsidR="00B72047" w:rsidRDefault="00B72047">
      <w:pPr>
        <w:pStyle w:val="Index1"/>
        <w:rPr>
          <w:noProof/>
        </w:rPr>
      </w:pPr>
      <w:r>
        <w:rPr>
          <w:noProof/>
        </w:rPr>
        <w:t>ZOI selma’o, 477, 479, 508</w:t>
      </w:r>
    </w:p>
    <w:p w:rsidR="00B72047" w:rsidRDefault="00B72047">
      <w:pPr>
        <w:pStyle w:val="Index1"/>
        <w:rPr>
          <w:noProof/>
        </w:rPr>
      </w:pPr>
      <w:r>
        <w:rPr>
          <w:noProof/>
        </w:rPr>
        <w:t>zu'a, 217; derivation of word, 217</w:t>
      </w:r>
    </w:p>
    <w:p w:rsidR="00B72047" w:rsidRDefault="00B72047">
      <w:pPr>
        <w:pStyle w:val="Index1"/>
        <w:rPr>
          <w:noProof/>
        </w:rPr>
      </w:pPr>
      <w:r>
        <w:rPr>
          <w:noProof/>
        </w:rPr>
        <w:t>zu'i, 157</w:t>
      </w:r>
    </w:p>
    <w:p w:rsidR="00B72047" w:rsidRDefault="00B72047">
      <w:pPr>
        <w:pStyle w:val="Index1"/>
        <w:rPr>
          <w:noProof/>
        </w:rPr>
      </w:pPr>
      <w:r>
        <w:rPr>
          <w:noProof/>
        </w:rPr>
        <w:t>zu'o, 257, 258, 268; place structure, 259</w:t>
      </w:r>
    </w:p>
    <w:p w:rsidR="00B72047" w:rsidRDefault="00B72047">
      <w:pPr>
        <w:pStyle w:val="Index1"/>
        <w:rPr>
          <w:noProof/>
        </w:rPr>
      </w:pPr>
      <w:r>
        <w:rPr>
          <w:noProof/>
        </w:rPr>
        <w:t>zu'u, 319</w:t>
      </w:r>
    </w:p>
    <w:p w:rsidR="00B72047" w:rsidRDefault="00B72047">
      <w:pPr>
        <w:pStyle w:val="examplescaled"/>
        <w:rPr>
          <w:noProof/>
          <w:sz w:val="18"/>
          <w:szCs w:val="18"/>
        </w:rPr>
        <w:sectPr w:rsidR="00B72047">
          <w:type w:val="continuous"/>
          <w:pgSz w:w="9504" w:h="13824" w:code="1"/>
          <w:pgMar w:top="1296" w:right="1152" w:bottom="720" w:left="1008" w:header="480" w:footer="720" w:gutter="0"/>
          <w:paperSrc w:first="1706" w:other="1706"/>
          <w:cols w:num="2" w:space="230"/>
          <w:titlePg/>
        </w:sectPr>
      </w:pPr>
    </w:p>
    <w:p w:rsidR="00B72047" w:rsidRDefault="00B72047">
      <w:pPr>
        <w:pStyle w:val="examplescaled"/>
      </w:pPr>
      <w:r>
        <w:rPr>
          <w:sz w:val="18"/>
          <w:szCs w:val="18"/>
        </w:rPr>
        <w:fldChar w:fldCharType="end"/>
      </w:r>
    </w:p>
    <w:sectPr w:rsidR="00B72047" w:rsidSect="00B72047">
      <w:type w:val="continuous"/>
      <w:pgSz w:w="9504" w:h="13824" w:code="1"/>
      <w:pgMar w:top="1296" w:right="1152" w:bottom="720" w:left="1008" w:header="480" w:footer="720" w:gutter="0"/>
      <w:paperSrc w:first="1706" w:other="1706"/>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047" w:rsidRDefault="00B72047" w:rsidP="00B72047">
      <w:r>
        <w:separator/>
      </w:r>
    </w:p>
  </w:endnote>
  <w:endnote w:type="continuationSeparator" w:id="0">
    <w:p w:rsidR="00B72047" w:rsidRDefault="00B72047" w:rsidP="00B720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ITC Officina Sans Book">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SILDoulosIPA">
    <w:panose1 w:val="00000000000000000000"/>
    <w:charset w:val="02"/>
    <w:family w:val="auto"/>
    <w:notTrueType/>
    <w:pitch w:val="variable"/>
    <w:sig w:usb0="00000000" w:usb1="00000000" w:usb2="00000000" w:usb3="00000000" w:csb0="00000000" w:csb1="00000000"/>
  </w:font>
  <w:font w:name="Brush Script MT">
    <w:panose1 w:val="00000000000000000000"/>
    <w:charset w:val="00"/>
    <w:family w:val="script"/>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cademy Italic">
    <w:panose1 w:val="00000000000000000000"/>
    <w:charset w:val="00"/>
    <w:family w:val="auto"/>
    <w:notTrueType/>
    <w:pitch w:val="variable"/>
    <w:sig w:usb0="00000003" w:usb1="00000000" w:usb2="00000000" w:usb3="00000000" w:csb0="00000001" w:csb1="00000000"/>
  </w:font>
  <w:font w:name="Academy">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047" w:rsidRDefault="00B72047" w:rsidP="00B72047">
      <w:r>
        <w:separator/>
      </w:r>
    </w:p>
  </w:footnote>
  <w:footnote w:type="continuationSeparator" w:id="0">
    <w:p w:rsidR="00B72047" w:rsidRDefault="00B72047" w:rsidP="00B720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p>
  <w:p w:rsidR="00B72047" w:rsidRDefault="00B72047">
    <w:pPr>
      <w:pStyle w:val="HeaderFirs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541</w:t>
    </w:r>
    <w:r>
      <w:rPr>
        <w:rStyle w:val="PageNumber"/>
        <w:smallCaps w:val="0"/>
      </w:rPr>
      <w:fldChar w:fldCharType="end"/>
    </w:r>
  </w:p>
  <w:p w:rsidR="00B72047" w:rsidRDefault="00B72047">
    <w:pPr>
      <w:pStyle w:val="HeaderFirst"/>
    </w:pPr>
  </w:p>
  <w:p w:rsidR="00B72047" w:rsidRDefault="00B72047">
    <w:pPr>
      <w:pStyle w:val="HeaderFirst"/>
    </w:pPr>
    <w:fldSimple w:instr=" STYLEREF &quot;Heading 4&quot; \* MERGEFORMAT ">
      <w:r>
        <w:rPr>
          <w:noProof/>
        </w:rPr>
        <w:t>selma'o A (Chapter 14)</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555</w:t>
    </w:r>
    <w:r>
      <w:rPr>
        <w:rStyle w:val="PageNumber"/>
        <w:smallCaps w:val="0"/>
      </w:rPr>
      <w:fldChar w:fldCharType="end"/>
    </w:r>
  </w:p>
  <w:p w:rsidR="00B72047" w:rsidRDefault="00B72047">
    <w:pPr>
      <w:pStyle w:val="HeaderFirst"/>
    </w:pPr>
  </w:p>
  <w:p w:rsidR="00B72047" w:rsidRDefault="00B72047">
    <w:pPr>
      <w:pStyle w:val="HeaderFirst"/>
    </w:pPr>
    <w:fldSimple w:instr=" STYLEREF &quot;Heading 3&quot; \* MERGEFORMAT ">
      <w:r>
        <w:rPr>
          <w:noProof/>
        </w:rPr>
        <w:t>What is Lojban?</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562</w:t>
    </w:r>
    <w:r>
      <w:rPr>
        <w:rStyle w:val="PageNumber"/>
        <w:smallCaps w:val="0"/>
      </w:rPr>
      <w:fldChar w:fldCharType="end"/>
    </w:r>
  </w:p>
  <w:p w:rsidR="00B72047" w:rsidRDefault="00B72047">
    <w:pPr>
      <w:pStyle w:val="Header"/>
    </w:pPr>
  </w:p>
  <w:p w:rsidR="00B72047" w:rsidRDefault="00B72047">
    <w:pPr>
      <w:pStyle w:val="Header"/>
    </w:pPr>
    <w:fldSimple w:instr=" STYLEREF &quot;Heading 2&quot; \* MERGEFORMAT ">
      <w:r>
        <w:rPr>
          <w:noProof/>
        </w:rPr>
        <w:t>Chapter 1</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561</w:t>
    </w:r>
    <w:r>
      <w:rPr>
        <w:rStyle w:val="PageNumber"/>
        <w:smallCaps w:val="0"/>
      </w:rPr>
      <w:fldChar w:fldCharType="end"/>
    </w:r>
  </w:p>
  <w:p w:rsidR="00B72047" w:rsidRDefault="00B72047">
    <w:pPr>
      <w:pStyle w:val="HeaderFirst"/>
    </w:pPr>
  </w:p>
  <w:p w:rsidR="00B72047" w:rsidRDefault="00B72047">
    <w:pPr>
      <w:pStyle w:val="HeaderFirst"/>
    </w:pPr>
    <w:fldSimple w:instr=" STYLEREF &quot;Heading 3&quot; \* MERGEFORMAT ">
      <w:r>
        <w:rPr>
          <w:noProof/>
        </w:rPr>
        <w:t>What is Lojban?</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608</w:t>
    </w:r>
    <w:r>
      <w:rPr>
        <w:rStyle w:val="PageNumber"/>
        <w:smallCaps w:val="0"/>
      </w:rPr>
      <w:fldChar w:fldCharType="end"/>
    </w:r>
  </w:p>
  <w:p w:rsidR="00B72047" w:rsidRDefault="00B72047">
    <w:pPr>
      <w:pStyle w:val="Header"/>
    </w:pPr>
  </w:p>
  <w:p w:rsidR="00B72047" w:rsidRDefault="00B72047">
    <w:pPr>
      <w:pStyle w:val="Header"/>
    </w:pPr>
    <w:r>
      <w:t>Index</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607</w:t>
    </w:r>
    <w:r>
      <w:rPr>
        <w:rStyle w:val="PageNumber"/>
        <w:smallCaps w:val="0"/>
      </w:rPr>
      <w:fldChar w:fldCharType="end"/>
    </w:r>
  </w:p>
  <w:p w:rsidR="00B72047" w:rsidRDefault="00B72047">
    <w:pPr>
      <w:pStyle w:val="HeaderFir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viii</w:t>
    </w:r>
    <w:r>
      <w:rPr>
        <w:rStyle w:val="PageNumber"/>
        <w:smallCaps w:val="0"/>
      </w:rPr>
      <w:fldChar w:fldCharType="end"/>
    </w:r>
  </w:p>
  <w:p w:rsidR="00B72047" w:rsidRDefault="00B720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ix</w:t>
    </w:r>
    <w:r>
      <w:rPr>
        <w:rStyle w:val="PageNumber"/>
        <w:smallCaps w:val="0"/>
      </w:rPr>
      <w:fldChar w:fldCharType="end"/>
    </w:r>
  </w:p>
  <w:p w:rsidR="00B72047" w:rsidRDefault="00B72047">
    <w:pPr>
      <w:pStyle w:val="HeaderFir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426</w:t>
    </w:r>
    <w:r>
      <w:rPr>
        <w:rStyle w:val="PageNumber"/>
        <w:smallCaps w:val="0"/>
      </w:rPr>
      <w:fldChar w:fldCharType="end"/>
    </w:r>
  </w:p>
  <w:p w:rsidR="00B72047" w:rsidRDefault="00B72047">
    <w:pPr>
      <w:pStyle w:val="HeaderFirst"/>
    </w:pPr>
  </w:p>
  <w:p w:rsidR="00B72047" w:rsidRDefault="00B72047">
    <w:pPr>
      <w:pStyle w:val="Header"/>
    </w:pPr>
    <w:fldSimple w:instr=" STYLEREF &quot;Heading 2&quot; \* MERGEFORMAT ">
      <w:r>
        <w:rPr>
          <w:noProof/>
        </w:rPr>
        <w:t>As Easy As A-B-C? The Lojban Letteral System And Its Uses</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427</w:t>
    </w:r>
    <w:r>
      <w:rPr>
        <w:rStyle w:val="PageNumber"/>
        <w:smallCaps w:val="0"/>
      </w:rPr>
      <w:fldChar w:fldCharType="end"/>
    </w:r>
  </w:p>
  <w:p w:rsidR="00B72047" w:rsidRDefault="00B72047">
    <w:pPr>
      <w:pStyle w:val="HeaderFirst"/>
    </w:pPr>
  </w:p>
  <w:p w:rsidR="00B72047" w:rsidRDefault="00B72047">
    <w:pPr>
      <w:pStyle w:val="Header"/>
    </w:pPr>
    <w:fldSimple w:instr=" STYLEREF &quot;Heading 3&quot; \* MERGEFORMAT ">
      <w:r>
        <w:rPr>
          <w:noProof/>
        </w:rPr>
        <w:t>Proposed lerfu words for the Cyrillic alphabet</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47" w:rsidRDefault="00B72047">
    <w:pPr>
      <w:pStyle w:val="Header"/>
      <w:framePr w:wrap="around" w:vAnchor="text" w:hAnchor="margin" w:xAlign="center" w:y="1"/>
      <w:rPr>
        <w:rStyle w:val="PageNumber"/>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507</w:t>
    </w:r>
    <w:r>
      <w:rPr>
        <w:rStyle w:val="PageNumber"/>
        <w:smallCaps w:val="0"/>
      </w:rPr>
      <w:fldChar w:fldCharType="end"/>
    </w:r>
  </w:p>
  <w:p w:rsidR="00B72047" w:rsidRDefault="00B72047">
    <w:pPr>
      <w:pStyle w:val="HeaderFirst"/>
    </w:pPr>
  </w:p>
  <w:p w:rsidR="00B72047" w:rsidRDefault="00B72047">
    <w:pPr>
      <w:pStyle w:val="HeaderFirst"/>
    </w:pPr>
    <w:fldSimple w:instr=" STYLEREF &quot;Heading 4&quot; \* MERGEFORMAT ">
      <w:r>
        <w:rPr>
          <w:smallCaps/>
          <w:noProof/>
        </w:rPr>
        <w:t>selma'o A (Chapter 14)</w:t>
      </w:r>
    </w:fldSimple>
    <w:fldSimple w:instr=" STYLEREF &quot;Heading 3 Text&quot; \* MERGEFORMAT ">
      <w:r>
        <w:rPr>
          <w:smallCaps/>
          <w:noProof/>
        </w:rPr>
        <w:t>What is Lojban?</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E10F178"/>
    <w:lvl w:ilvl="0">
      <w:start w:val="1"/>
      <w:numFmt w:val="decimal"/>
      <w:pStyle w:val="Heading1"/>
      <w:lvlText w:val="Chapter %1 "/>
      <w:legacy w:legacy="1" w:legacySpace="0" w:legacyIndent="0"/>
      <w:lvlJc w:val="left"/>
    </w:lvl>
    <w:lvl w:ilvl="1">
      <w:start w:val="1"/>
      <w:numFmt w:val="none"/>
      <w:pStyle w:val="Heading2"/>
      <w:suff w:val="nothing"/>
      <w:lvlText w:val=""/>
      <w:lvlJc w:val="left"/>
    </w:lvl>
    <w:lvl w:ilvl="2">
      <w:numFmt w:val="decimal"/>
      <w:pStyle w:val="Heading3"/>
      <w:lvlText w:val="%3.  "/>
      <w:legacy w:legacy="1" w:legacySpace="0" w:legacyIndent="0"/>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2370D80C"/>
    <w:lvl w:ilvl="0">
      <w:numFmt w:val="bullet"/>
      <w:lvlText w:val="*"/>
      <w:lvlJc w:val="left"/>
    </w:lvl>
  </w:abstractNum>
  <w:num w:numId="1">
    <w:abstractNumId w:val="0"/>
  </w:num>
  <w:num w:numId="2">
    <w:abstractNumId w:val="1"/>
    <w:lvlOverride w:ilvl="0">
      <w:lvl w:ilvl="0">
        <w:start w:val="1"/>
        <w:numFmt w:val="bullet"/>
        <w:lvlText w:val=""/>
        <w:legacy w:legacy="1" w:legacySpace="0" w:legacyIndent="360"/>
        <w:lvlJc w:val="left"/>
        <w:pPr>
          <w:ind w:left="720" w:hanging="360"/>
        </w:pPr>
        <w:rPr>
          <w:rFonts w:ascii="Symbol" w:hAnsi="Symbol" w:cs="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stylePaneFormatFilter w:val="3F01"/>
  <w:defaultTabStop w:val="720"/>
  <w:evenAndOddHeaders/>
  <w:drawingGridHorizontalSpacing w:val="120"/>
  <w:drawingGridVerticalSpacing w:val="12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67C1"/>
    <w:rsid w:val="007E67C1"/>
    <w:rsid w:val="00B720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Times Roman" w:hAnsi="Times Roman" w:cs="Times Roman"/>
      <w:sz w:val="20"/>
      <w:szCs w:val="20"/>
    </w:rPr>
  </w:style>
  <w:style w:type="paragraph" w:styleId="Heading1">
    <w:name w:val="heading 1"/>
    <w:basedOn w:val="Normal"/>
    <w:next w:val="Normal"/>
    <w:link w:val="Heading1Char"/>
    <w:uiPriority w:val="99"/>
    <w:qFormat/>
    <w:pPr>
      <w:keepNext/>
      <w:keepLines/>
      <w:numPr>
        <w:numId w:val="1"/>
      </w:numPr>
      <w:spacing w:before="240" w:after="120"/>
      <w:outlineLvl w:val="0"/>
    </w:pPr>
    <w:rPr>
      <w:rFonts w:ascii="ITC Officina Sans Book" w:hAnsi="ITC Officina Sans Book" w:cs="ITC Officina Sans Book"/>
      <w:b/>
      <w:bCs/>
      <w:kern w:val="28"/>
      <w:sz w:val="36"/>
      <w:szCs w:val="36"/>
    </w:rPr>
  </w:style>
  <w:style w:type="paragraph" w:styleId="Heading2">
    <w:name w:val="heading 2"/>
    <w:basedOn w:val="Normal"/>
    <w:next w:val="Normal"/>
    <w:link w:val="Heading2Char"/>
    <w:uiPriority w:val="99"/>
    <w:qFormat/>
    <w:pPr>
      <w:keepNext/>
      <w:keepLines/>
      <w:numPr>
        <w:ilvl w:val="1"/>
        <w:numId w:val="1"/>
      </w:numPr>
      <w:spacing w:before="60" w:after="120"/>
      <w:jc w:val="center"/>
      <w:outlineLvl w:val="1"/>
    </w:pPr>
    <w:rPr>
      <w:rFonts w:ascii="ITC Officina Sans Book" w:hAnsi="ITC Officina Sans Book" w:cs="ITC Officina Sans Book"/>
      <w:b/>
      <w:bCs/>
      <w:i/>
      <w:iCs/>
      <w:kern w:val="28"/>
      <w:sz w:val="28"/>
      <w:szCs w:val="28"/>
    </w:rPr>
  </w:style>
  <w:style w:type="paragraph" w:styleId="Heading3">
    <w:name w:val="heading 3"/>
    <w:basedOn w:val="Normal"/>
    <w:next w:val="Normal"/>
    <w:link w:val="Heading3Char"/>
    <w:uiPriority w:val="99"/>
    <w:qFormat/>
    <w:pPr>
      <w:keepNext/>
      <w:keepLines/>
      <w:numPr>
        <w:ilvl w:val="2"/>
        <w:numId w:val="1"/>
      </w:numPr>
      <w:spacing w:before="240" w:after="80"/>
      <w:outlineLvl w:val="2"/>
    </w:pPr>
    <w:rPr>
      <w:b/>
      <w:bCs/>
      <w:kern w:val="28"/>
      <w:sz w:val="24"/>
      <w:szCs w:val="24"/>
    </w:rPr>
  </w:style>
  <w:style w:type="paragraph" w:styleId="Heading4">
    <w:name w:val="heading 4"/>
    <w:basedOn w:val="Normal"/>
    <w:next w:val="Normal"/>
    <w:link w:val="Heading4Char"/>
    <w:uiPriority w:val="99"/>
    <w:qFormat/>
    <w:pPr>
      <w:keepNext/>
      <w:keepLines/>
      <w:numPr>
        <w:ilvl w:val="3"/>
        <w:numId w:val="1"/>
      </w:numPr>
      <w:spacing w:before="200"/>
      <w:outlineLvl w:val="3"/>
    </w:pPr>
    <w:rPr>
      <w:b/>
      <w:bCs/>
      <w:i/>
      <w:iCs/>
      <w:kern w:val="28"/>
      <w:sz w:val="22"/>
      <w:szCs w:val="22"/>
    </w:rPr>
  </w:style>
  <w:style w:type="paragraph" w:styleId="Heading5">
    <w:name w:val="heading 5"/>
    <w:basedOn w:val="Normal"/>
    <w:next w:val="Normal"/>
    <w:link w:val="Heading5Char"/>
    <w:uiPriority w:val="99"/>
    <w:qFormat/>
    <w:pPr>
      <w:keepNext/>
      <w:keepLines/>
      <w:numPr>
        <w:ilvl w:val="4"/>
        <w:numId w:val="1"/>
      </w:numPr>
      <w:spacing w:before="120" w:after="80"/>
      <w:outlineLvl w:val="4"/>
    </w:pPr>
    <w:rPr>
      <w:rFonts w:ascii="ITC Officina Sans Book" w:hAnsi="ITC Officina Sans Book" w:cs="ITC Officina Sans Book"/>
      <w:b/>
      <w:bCs/>
      <w:kern w:val="28"/>
    </w:rPr>
  </w:style>
  <w:style w:type="paragraph" w:styleId="Heading6">
    <w:name w:val="heading 6"/>
    <w:basedOn w:val="Normal"/>
    <w:next w:val="Normal"/>
    <w:link w:val="Heading6Char"/>
    <w:uiPriority w:val="99"/>
    <w:qFormat/>
    <w:pPr>
      <w:keepNext/>
      <w:keepLines/>
      <w:numPr>
        <w:ilvl w:val="5"/>
        <w:numId w:val="1"/>
      </w:numPr>
      <w:spacing w:before="40" w:after="80"/>
      <w:jc w:val="center"/>
      <w:outlineLvl w:val="5"/>
    </w:pPr>
    <w:rPr>
      <w:rFonts w:ascii="ITC Officina Sans Book" w:hAnsi="ITC Officina Sans Book" w:cs="ITC Officina Sans Book"/>
      <w:b/>
      <w:bCs/>
      <w:i/>
      <w:iCs/>
      <w:kern w:val="28"/>
      <w:sz w:val="12"/>
      <w:szCs w:val="12"/>
    </w:rPr>
  </w:style>
  <w:style w:type="paragraph" w:styleId="Heading7">
    <w:name w:val="heading 7"/>
    <w:basedOn w:val="Normal"/>
    <w:next w:val="Normal"/>
    <w:link w:val="Heading7Char"/>
    <w:uiPriority w:val="99"/>
    <w:qFormat/>
    <w:pPr>
      <w:keepNext/>
      <w:keepLines/>
      <w:numPr>
        <w:ilvl w:val="6"/>
        <w:numId w:val="1"/>
      </w:numPr>
      <w:spacing w:before="80" w:after="60"/>
      <w:outlineLvl w:val="6"/>
    </w:pPr>
    <w:rPr>
      <w:b/>
      <w:bCs/>
      <w:kern w:val="28"/>
    </w:rPr>
  </w:style>
  <w:style w:type="paragraph" w:styleId="Heading8">
    <w:name w:val="heading 8"/>
    <w:basedOn w:val="Normal"/>
    <w:next w:val="Normal"/>
    <w:link w:val="Heading8Char"/>
    <w:uiPriority w:val="99"/>
    <w:qFormat/>
    <w:pPr>
      <w:keepNext/>
      <w:keepLines/>
      <w:numPr>
        <w:ilvl w:val="7"/>
        <w:numId w:val="1"/>
      </w:numPr>
      <w:spacing w:before="80" w:after="60"/>
      <w:outlineLvl w:val="7"/>
    </w:pPr>
    <w:rPr>
      <w:b/>
      <w:bCs/>
      <w:i/>
      <w:iCs/>
      <w:kern w:val="28"/>
    </w:rPr>
  </w:style>
  <w:style w:type="paragraph" w:styleId="Heading9">
    <w:name w:val="heading 9"/>
    <w:basedOn w:val="Normal"/>
    <w:next w:val="Normal"/>
    <w:link w:val="Heading9Char"/>
    <w:uiPriority w:val="99"/>
    <w:qFormat/>
    <w:pPr>
      <w:keepNext/>
      <w:keepLines/>
      <w:numPr>
        <w:ilvl w:val="8"/>
        <w:numId w:val="1"/>
      </w:numPr>
      <w:spacing w:before="80" w:after="60"/>
      <w:outlineLvl w:val="8"/>
    </w:pPr>
    <w:rPr>
      <w:b/>
      <w:bCs/>
      <w:i/>
      <w:iCs/>
      <w:kern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DA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42DA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42DA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42DA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42DA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42DA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D42DAD"/>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D42DA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D42DAD"/>
    <w:rPr>
      <w:rFonts w:asciiTheme="majorHAnsi" w:eastAsiaTheme="majorEastAsia" w:hAnsiTheme="majorHAnsi" w:cstheme="majorBidi"/>
    </w:rPr>
  </w:style>
  <w:style w:type="paragraph" w:customStyle="1" w:styleId="resumedafterexample">
    <w:name w:val="resumed after example"/>
    <w:basedOn w:val="normalparagraph"/>
    <w:uiPriority w:val="99"/>
    <w:pPr>
      <w:spacing w:before="80"/>
      <w:ind w:firstLine="0"/>
    </w:pPr>
  </w:style>
  <w:style w:type="paragraph" w:customStyle="1" w:styleId="normalparagraph">
    <w:name w:val="normal paragraph"/>
    <w:uiPriority w:val="99"/>
    <w:pPr>
      <w:overflowPunct w:val="0"/>
      <w:autoSpaceDE w:val="0"/>
      <w:autoSpaceDN w:val="0"/>
      <w:adjustRightInd w:val="0"/>
      <w:spacing w:before="20"/>
      <w:ind w:firstLine="360"/>
      <w:jc w:val="both"/>
      <w:textAlignment w:val="baseline"/>
    </w:pPr>
    <w:rPr>
      <w:rFonts w:ascii="Times Roman" w:hAnsi="Times Roman" w:cs="Times Roman"/>
      <w:sz w:val="20"/>
      <w:szCs w:val="20"/>
    </w:rPr>
  </w:style>
  <w:style w:type="paragraph" w:customStyle="1" w:styleId="examplescaled">
    <w:name w:val="example scaled"/>
    <w:next w:val="resumedafterexample"/>
    <w:uiPriority w:val="99"/>
    <w:pPr>
      <w:overflowPunct w:val="0"/>
      <w:autoSpaceDE w:val="0"/>
      <w:autoSpaceDN w:val="0"/>
      <w:adjustRightInd w:val="0"/>
      <w:ind w:left="864" w:hanging="720"/>
      <w:textAlignment w:val="baseline"/>
    </w:pPr>
    <w:rPr>
      <w:rFonts w:ascii="ITC Officina Sans Book" w:hAnsi="ITC Officina Sans Book" w:cs="ITC Officina Sans Book"/>
      <w:sz w:val="20"/>
      <w:szCs w:val="20"/>
    </w:rPr>
  </w:style>
  <w:style w:type="paragraph" w:styleId="Header">
    <w:name w:val="header"/>
    <w:basedOn w:val="Normal"/>
    <w:link w:val="HeaderChar"/>
    <w:uiPriority w:val="99"/>
    <w:pPr>
      <w:tabs>
        <w:tab w:val="center" w:pos="4320"/>
        <w:tab w:val="right" w:pos="8640"/>
      </w:tabs>
      <w:jc w:val="center"/>
    </w:pPr>
    <w:rPr>
      <w:smallCaps/>
      <w:sz w:val="18"/>
      <w:szCs w:val="18"/>
    </w:rPr>
  </w:style>
  <w:style w:type="character" w:customStyle="1" w:styleId="HeaderChar">
    <w:name w:val="Header Char"/>
    <w:basedOn w:val="DefaultParagraphFont"/>
    <w:link w:val="Header"/>
    <w:uiPriority w:val="99"/>
    <w:semiHidden/>
    <w:rsid w:val="00D42DAD"/>
    <w:rPr>
      <w:rFonts w:ascii="Times Roman" w:hAnsi="Times Roman" w:cs="Times Roman"/>
      <w:sz w:val="20"/>
      <w:szCs w:val="20"/>
    </w:rPr>
  </w:style>
  <w:style w:type="character" w:customStyle="1" w:styleId="cite">
    <w:name w:val="cite"/>
    <w:basedOn w:val="DefaultParagraphFont"/>
    <w:uiPriority w:val="99"/>
    <w:rPr>
      <w:i/>
      <w:iCs/>
      <w:u w:val="none"/>
    </w:rPr>
  </w:style>
  <w:style w:type="paragraph" w:customStyle="1" w:styleId="ChapterLabel">
    <w:name w:val="Chapter Label"/>
    <w:basedOn w:val="Normal"/>
    <w:next w:val="Normal"/>
    <w:uiPriority w:val="99"/>
    <w:pPr>
      <w:keepNext/>
      <w:keepLines/>
      <w:spacing w:before="360"/>
      <w:jc w:val="center"/>
    </w:pPr>
    <w:rPr>
      <w:rFonts w:ascii="Arial" w:hAnsi="Arial" w:cs="Arial"/>
      <w:b/>
      <w:bCs/>
      <w:kern w:val="28"/>
      <w:sz w:val="24"/>
      <w:szCs w:val="24"/>
      <w:u w:val="single"/>
    </w:rPr>
  </w:style>
  <w:style w:type="paragraph" w:customStyle="1" w:styleId="ChapterSubtitle">
    <w:name w:val="Chapter Subtitle"/>
    <w:basedOn w:val="Normal"/>
    <w:next w:val="Normal"/>
    <w:uiPriority w:val="99"/>
    <w:pPr>
      <w:keepNext/>
      <w:keepLines/>
      <w:spacing w:before="360" w:after="360"/>
      <w:jc w:val="center"/>
    </w:pPr>
    <w:rPr>
      <w:rFonts w:ascii="Arial" w:hAnsi="Arial" w:cs="Arial"/>
      <w:i/>
      <w:iCs/>
      <w:kern w:val="28"/>
      <w:sz w:val="28"/>
      <w:szCs w:val="28"/>
    </w:rPr>
  </w:style>
  <w:style w:type="paragraph" w:customStyle="1" w:styleId="ChapterTitle">
    <w:name w:val="Chapter Title"/>
    <w:basedOn w:val="Normal"/>
    <w:next w:val="ChapterSubtitle"/>
    <w:uiPriority w:val="99"/>
    <w:pPr>
      <w:keepNext/>
      <w:keepLines/>
      <w:spacing w:before="600"/>
      <w:jc w:val="center"/>
    </w:pPr>
    <w:rPr>
      <w:rFonts w:ascii="Arial" w:hAnsi="Arial" w:cs="Arial"/>
      <w:b/>
      <w:bCs/>
      <w:kern w:val="28"/>
      <w:sz w:val="32"/>
      <w:szCs w:val="32"/>
    </w:rPr>
  </w:style>
  <w:style w:type="paragraph" w:customStyle="1" w:styleId="examplefixed">
    <w:name w:val="example fixed"/>
    <w:basedOn w:val="examplescaled"/>
    <w:uiPriority w:val="99"/>
    <w:rPr>
      <w:rFonts w:ascii="Courier" w:hAnsi="Courier" w:cs="Courier"/>
      <w:sz w:val="16"/>
      <w:szCs w:val="16"/>
    </w:rPr>
  </w:style>
  <w:style w:type="paragraph" w:customStyle="1" w:styleId="examplefixedpre">
    <w:name w:val="example fixed pre"/>
    <w:basedOn w:val="examplefixed"/>
    <w:uiPriority w:val="99"/>
    <w:pPr>
      <w:spacing w:before="100"/>
    </w:pPr>
  </w:style>
  <w:style w:type="paragraph" w:customStyle="1" w:styleId="examplescaledpre">
    <w:name w:val="example scaled pre"/>
    <w:basedOn w:val="examplescaled"/>
    <w:uiPriority w:val="99"/>
    <w:pPr>
      <w:spacing w:before="100"/>
    </w:pPr>
  </w:style>
  <w:style w:type="paragraph" w:customStyle="1" w:styleId="FootnoteBase">
    <w:name w:val="Footnote Base"/>
    <w:basedOn w:val="Normal"/>
    <w:uiPriority w:val="99"/>
    <w:pPr>
      <w:tabs>
        <w:tab w:val="left" w:pos="187"/>
      </w:tabs>
      <w:spacing w:line="220" w:lineRule="exact"/>
      <w:ind w:left="187" w:hanging="187"/>
    </w:pPr>
    <w:rPr>
      <w:sz w:val="18"/>
      <w:szCs w:val="18"/>
    </w:rPr>
  </w:style>
  <w:style w:type="character" w:styleId="FootnoteReference">
    <w:name w:val="footnote reference"/>
    <w:basedOn w:val="DefaultParagraphFont"/>
    <w:uiPriority w:val="99"/>
    <w:semiHidden/>
    <w:rPr>
      <w:vertAlign w:val="superscript"/>
    </w:rPr>
  </w:style>
  <w:style w:type="paragraph" w:styleId="FootnoteText">
    <w:name w:val="footnote text"/>
    <w:basedOn w:val="FootnoteBase"/>
    <w:link w:val="FootnoteTextChar"/>
    <w:uiPriority w:val="99"/>
    <w:semiHidden/>
    <w:pPr>
      <w:spacing w:after="120"/>
    </w:pPr>
  </w:style>
  <w:style w:type="character" w:customStyle="1" w:styleId="FootnoteTextChar">
    <w:name w:val="Footnote Text Char"/>
    <w:basedOn w:val="DefaultParagraphFont"/>
    <w:link w:val="FootnoteText"/>
    <w:uiPriority w:val="99"/>
    <w:semiHidden/>
    <w:rsid w:val="00D42DAD"/>
    <w:rPr>
      <w:rFonts w:ascii="Times Roman" w:hAnsi="Times Roman" w:cs="Times Roman"/>
      <w:sz w:val="20"/>
      <w:szCs w:val="20"/>
    </w:rPr>
  </w:style>
  <w:style w:type="paragraph" w:customStyle="1" w:styleId="HeaderBase">
    <w:name w:val="Header Base"/>
    <w:basedOn w:val="Normal"/>
    <w:uiPriority w:val="99"/>
    <w:pPr>
      <w:keepLines/>
      <w:tabs>
        <w:tab w:val="center" w:pos="4320"/>
        <w:tab w:val="right" w:pos="8640"/>
      </w:tabs>
    </w:pPr>
  </w:style>
  <w:style w:type="paragraph" w:customStyle="1" w:styleId="HeaderEven">
    <w:name w:val="Header Even"/>
    <w:basedOn w:val="Header"/>
    <w:uiPriority w:val="99"/>
  </w:style>
  <w:style w:type="paragraph" w:customStyle="1" w:styleId="HeaderFirst">
    <w:name w:val="Header First"/>
    <w:basedOn w:val="Header"/>
    <w:uiPriority w:val="99"/>
    <w:pPr>
      <w:tabs>
        <w:tab w:val="clear" w:pos="8640"/>
      </w:tabs>
      <w:spacing w:after="60"/>
    </w:pPr>
    <w:rPr>
      <w:smallCaps w:val="0"/>
    </w:rPr>
  </w:style>
  <w:style w:type="paragraph" w:customStyle="1" w:styleId="HeaderOdd">
    <w:name w:val="Header Odd"/>
    <w:basedOn w:val="Header"/>
    <w:uiPriority w:val="99"/>
    <w:pPr>
      <w:tabs>
        <w:tab w:val="right" w:pos="0"/>
      </w:tabs>
      <w:jc w:val="right"/>
    </w:pPr>
  </w:style>
  <w:style w:type="paragraph" w:customStyle="1" w:styleId="HeadingBase">
    <w:name w:val="Heading Base"/>
    <w:basedOn w:val="Normal"/>
    <w:next w:val="Normal"/>
    <w:uiPriority w:val="99"/>
    <w:pPr>
      <w:keepNext/>
      <w:keepLines/>
      <w:spacing w:before="240" w:after="120"/>
    </w:pPr>
    <w:rPr>
      <w:b/>
      <w:bCs/>
      <w:kern w:val="28"/>
      <w:sz w:val="36"/>
      <w:szCs w:val="36"/>
    </w:rPr>
  </w:style>
  <w:style w:type="character" w:customStyle="1" w:styleId="htmlcodes">
    <w:name w:val="html codes"/>
    <w:basedOn w:val="DefaultParagraphFont"/>
    <w:uiPriority w:val="99"/>
    <w:rPr>
      <w:rFonts w:ascii="ITC Officina Sans Book" w:hAnsi="ITC Officina Sans Book" w:cs="ITC Officina Sans Book"/>
      <w:vanish/>
      <w:sz w:val="16"/>
      <w:szCs w:val="16"/>
    </w:rPr>
  </w:style>
  <w:style w:type="character" w:customStyle="1" w:styleId="indexentry">
    <w:name w:val="index entry"/>
    <w:basedOn w:val="DefaultParagraphFont"/>
    <w:uiPriority w:val="99"/>
    <w:rPr>
      <w:rFonts w:ascii="Times Roman" w:hAnsi="Times Roman" w:cs="Times Roman"/>
      <w:vanish/>
      <w:sz w:val="16"/>
      <w:szCs w:val="16"/>
    </w:rPr>
  </w:style>
  <w:style w:type="paragraph" w:styleId="List">
    <w:name w:val="List"/>
    <w:basedOn w:val="resumedafterexample"/>
    <w:uiPriority w:val="99"/>
    <w:pPr>
      <w:tabs>
        <w:tab w:val="left" w:pos="432"/>
      </w:tabs>
      <w:ind w:left="1152" w:hanging="792"/>
    </w:pPr>
    <w:rPr>
      <w:rFonts w:ascii="ITC Officina Sans Book" w:hAnsi="ITC Officina Sans Book" w:cs="ITC Officina Sans Book"/>
    </w:rPr>
  </w:style>
  <w:style w:type="paragraph" w:styleId="ListContinue">
    <w:name w:val="List Continue"/>
    <w:basedOn w:val="List"/>
    <w:uiPriority w:val="99"/>
    <w:pPr>
      <w:spacing w:after="160"/>
    </w:pPr>
  </w:style>
  <w:style w:type="paragraph" w:customStyle="1" w:styleId="ListFirst">
    <w:name w:val="List First"/>
    <w:basedOn w:val="List"/>
    <w:next w:val="List"/>
    <w:uiPriority w:val="99"/>
  </w:style>
  <w:style w:type="paragraph" w:customStyle="1" w:styleId="ListLast">
    <w:name w:val="List Last"/>
    <w:basedOn w:val="List"/>
    <w:next w:val="Normal"/>
    <w:uiPriority w:val="99"/>
    <w:pPr>
      <w:spacing w:after="240"/>
    </w:pPr>
  </w:style>
  <w:style w:type="paragraph" w:customStyle="1" w:styleId="normalafterexample">
    <w:name w:val="normal after example"/>
    <w:basedOn w:val="normalparagraph"/>
    <w:uiPriority w:val="99"/>
    <w:pPr>
      <w:spacing w:before="160"/>
    </w:pPr>
  </w:style>
  <w:style w:type="character" w:customStyle="1" w:styleId="Superscript">
    <w:name w:val="Superscript"/>
    <w:uiPriority w:val="99"/>
    <w:rPr>
      <w:position w:val="6"/>
      <w:sz w:val="14"/>
      <w:szCs w:val="14"/>
      <w:vertAlign w:val="baseline"/>
    </w:rPr>
  </w:style>
  <w:style w:type="paragraph" w:customStyle="1" w:styleId="TitleCover">
    <w:name w:val="Title Cover"/>
    <w:basedOn w:val="HeadingBase"/>
    <w:next w:val="Normal"/>
    <w:uiPriority w:val="99"/>
    <w:pPr>
      <w:spacing w:before="720" w:after="160"/>
      <w:jc w:val="center"/>
    </w:pPr>
    <w:rPr>
      <w:sz w:val="48"/>
      <w:szCs w:val="4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D42DAD"/>
    <w:rPr>
      <w:rFonts w:ascii="Times Roman" w:hAnsi="Times Roman" w:cs="Times Roman"/>
      <w:sz w:val="20"/>
      <w:szCs w:val="20"/>
    </w:rPr>
  </w:style>
  <w:style w:type="character" w:customStyle="1" w:styleId="htmlparacode">
    <w:name w:val="html para code"/>
    <w:basedOn w:val="DefaultParagraphFont"/>
    <w:uiPriority w:val="99"/>
    <w:rPr>
      <w:vanish/>
    </w:rPr>
  </w:style>
  <w:style w:type="character" w:customStyle="1" w:styleId="deletedparamark">
    <w:name w:val="deleted para mark"/>
    <w:basedOn w:val="DefaultParagraphFont"/>
    <w:uiPriority w:val="99"/>
  </w:style>
  <w:style w:type="paragraph" w:customStyle="1" w:styleId="Listjustified">
    <w:name w:val="List justified"/>
    <w:basedOn w:val="List"/>
    <w:uiPriority w:val="99"/>
    <w:pPr>
      <w:tabs>
        <w:tab w:val="left" w:pos="1872"/>
      </w:tabs>
      <w:ind w:left="792" w:right="288" w:hanging="432"/>
    </w:pPr>
  </w:style>
  <w:style w:type="character" w:styleId="PageNumber">
    <w:name w:val="page number"/>
    <w:basedOn w:val="DefaultParagraphFont"/>
    <w:uiPriority w:val="99"/>
    <w:rPr>
      <w:sz w:val="18"/>
      <w:szCs w:val="18"/>
    </w:rPr>
  </w:style>
  <w:style w:type="paragraph" w:styleId="TOC1">
    <w:name w:val="toc 1"/>
    <w:basedOn w:val="Normal"/>
    <w:next w:val="Normal"/>
    <w:uiPriority w:val="99"/>
    <w:semiHidden/>
    <w:pPr>
      <w:tabs>
        <w:tab w:val="right" w:leader="dot" w:pos="7200"/>
      </w:tabs>
      <w:spacing w:before="120"/>
      <w:ind w:left="360" w:hanging="360"/>
    </w:pPr>
    <w:rPr>
      <w:b/>
      <w:bCs/>
      <w:i/>
      <w:iCs/>
    </w:rPr>
  </w:style>
  <w:style w:type="paragraph" w:customStyle="1" w:styleId="exscdouble">
    <w:name w:val="ex sc double"/>
    <w:basedOn w:val="examplescaled"/>
    <w:uiPriority w:val="99"/>
    <w:pPr>
      <w:ind w:left="1728" w:hanging="1440"/>
    </w:pPr>
  </w:style>
  <w:style w:type="paragraph" w:customStyle="1" w:styleId="exscdoubpre">
    <w:name w:val="ex sc doub pre"/>
    <w:basedOn w:val="examplescaledpre"/>
    <w:uiPriority w:val="99"/>
    <w:pPr>
      <w:ind w:left="1728" w:hanging="1440"/>
    </w:pPr>
  </w:style>
  <w:style w:type="character" w:customStyle="1" w:styleId="IPA">
    <w:name w:val="IPA"/>
    <w:basedOn w:val="DefaultParagraphFont"/>
    <w:uiPriority w:val="99"/>
    <w:rPr>
      <w:rFonts w:ascii="SILDoulosIPA" w:hAnsi="SILDoulosIPA" w:cs="SILDoulosIPA"/>
    </w:rPr>
  </w:style>
  <w:style w:type="paragraph" w:customStyle="1" w:styleId="exampwidetabs">
    <w:name w:val="examp widetabs"/>
    <w:basedOn w:val="examplescaled"/>
    <w:uiPriority w:val="99"/>
    <w:pPr>
      <w:tabs>
        <w:tab w:val="left" w:pos="576"/>
        <w:tab w:val="left" w:pos="1872"/>
        <w:tab w:val="left" w:pos="3312"/>
        <w:tab w:val="left" w:pos="4752"/>
      </w:tabs>
      <w:ind w:left="144" w:firstLine="0"/>
    </w:pPr>
  </w:style>
  <w:style w:type="paragraph" w:customStyle="1" w:styleId="examplewtabspre">
    <w:name w:val="example wtabs pre"/>
    <w:basedOn w:val="exampwidetabs"/>
    <w:uiPriority w:val="99"/>
    <w:pPr>
      <w:spacing w:before="100"/>
    </w:pPr>
  </w:style>
  <w:style w:type="paragraph" w:customStyle="1" w:styleId="Listnobullets">
    <w:name w:val="List no bullets"/>
    <w:basedOn w:val="List"/>
    <w:uiPriority w:val="99"/>
    <w:pPr>
      <w:tabs>
        <w:tab w:val="left" w:pos="864"/>
      </w:tabs>
      <w:ind w:left="864" w:hanging="504"/>
    </w:pPr>
  </w:style>
  <w:style w:type="paragraph" w:customStyle="1" w:styleId="examplegrouptabs">
    <w:name w:val="example grouptabs"/>
    <w:basedOn w:val="exampwidetabs"/>
    <w:uiPriority w:val="99"/>
    <w:pPr>
      <w:tabs>
        <w:tab w:val="left" w:pos="1152"/>
        <w:tab w:val="left" w:pos="3888"/>
      </w:tabs>
    </w:pPr>
  </w:style>
  <w:style w:type="paragraph" w:customStyle="1" w:styleId="examplegtabspre">
    <w:name w:val="example gtabs pre"/>
    <w:basedOn w:val="examplegrouptabs"/>
    <w:next w:val="examplegrouptabs"/>
    <w:uiPriority w:val="99"/>
    <w:pPr>
      <w:spacing w:before="100"/>
    </w:pPr>
  </w:style>
  <w:style w:type="paragraph" w:customStyle="1" w:styleId="Listnobullcontinued">
    <w:name w:val="List no bull continued"/>
    <w:basedOn w:val="Listnobullets"/>
    <w:uiPriority w:val="99"/>
    <w:pPr>
      <w:spacing w:before="0"/>
    </w:pPr>
  </w:style>
  <w:style w:type="paragraph" w:customStyle="1" w:styleId="examplecomptabs">
    <w:name w:val="example comp tabs"/>
    <w:basedOn w:val="examplescaled"/>
    <w:uiPriority w:val="99"/>
    <w:pPr>
      <w:tabs>
        <w:tab w:val="left" w:pos="576"/>
        <w:tab w:val="left" w:pos="1296"/>
        <w:tab w:val="left" w:pos="2376"/>
      </w:tabs>
    </w:pPr>
  </w:style>
  <w:style w:type="paragraph" w:customStyle="1" w:styleId="examplecomptabspre">
    <w:name w:val="example comp tabs pre"/>
    <w:basedOn w:val="examplecomptabs"/>
    <w:next w:val="examplecomptabs"/>
    <w:uiPriority w:val="99"/>
    <w:pPr>
      <w:spacing w:before="100"/>
    </w:pPr>
  </w:style>
  <w:style w:type="paragraph" w:customStyle="1" w:styleId="tensetable">
    <w:name w:val="tense table"/>
    <w:basedOn w:val="examplescaled"/>
    <w:uiPriority w:val="99"/>
    <w:pPr>
      <w:tabs>
        <w:tab w:val="left" w:pos="1152"/>
        <w:tab w:val="left" w:pos="1872"/>
        <w:tab w:val="left" w:pos="3600"/>
      </w:tabs>
      <w:ind w:left="432" w:firstLine="0"/>
    </w:pPr>
  </w:style>
  <w:style w:type="paragraph" w:customStyle="1" w:styleId="tensetablepre">
    <w:name w:val="tense table pre"/>
    <w:basedOn w:val="tensetable"/>
    <w:uiPriority w:val="99"/>
    <w:pPr>
      <w:spacing w:before="100"/>
    </w:pPr>
  </w:style>
  <w:style w:type="character" w:customStyle="1" w:styleId="math">
    <w:name w:val="math"/>
    <w:uiPriority w:val="99"/>
  </w:style>
  <w:style w:type="character" w:customStyle="1" w:styleId="subscript">
    <w:name w:val="subscript"/>
    <w:uiPriority w:val="99"/>
    <w:rPr>
      <w:position w:val="-6"/>
      <w:sz w:val="14"/>
      <w:szCs w:val="14"/>
      <w:vertAlign w:val="baseline"/>
    </w:rPr>
  </w:style>
  <w:style w:type="character" w:customStyle="1" w:styleId="brushstroke">
    <w:name w:val="brush stroke"/>
    <w:uiPriority w:val="99"/>
    <w:rPr>
      <w:rFonts w:ascii="Brush Script MT" w:hAnsi="Brush Script MT" w:cs="Brush Script MT"/>
    </w:rPr>
  </w:style>
  <w:style w:type="paragraph" w:customStyle="1" w:styleId="examp5col">
    <w:name w:val="examp 5col"/>
    <w:basedOn w:val="exampwidetabs"/>
    <w:uiPriority w:val="99"/>
    <w:pPr>
      <w:tabs>
        <w:tab w:val="clear" w:pos="576"/>
        <w:tab w:val="clear" w:pos="1872"/>
        <w:tab w:val="clear" w:pos="3312"/>
        <w:tab w:val="clear" w:pos="4752"/>
        <w:tab w:val="left" w:pos="720"/>
        <w:tab w:val="left" w:pos="1800"/>
        <w:tab w:val="left" w:pos="2880"/>
        <w:tab w:val="left" w:pos="3960"/>
        <w:tab w:val="left" w:pos="5040"/>
        <w:tab w:val="left" w:pos="6120"/>
      </w:tabs>
    </w:pPr>
  </w:style>
  <w:style w:type="paragraph" w:customStyle="1" w:styleId="examp5colpre">
    <w:name w:val="examp 5 col pre"/>
    <w:basedOn w:val="examp5col"/>
    <w:uiPriority w:val="99"/>
    <w:pPr>
      <w:spacing w:before="100"/>
    </w:pPr>
  </w:style>
  <w:style w:type="paragraph" w:customStyle="1" w:styleId="listjustcont">
    <w:name w:val="list just cont"/>
    <w:basedOn w:val="Listjustified"/>
    <w:uiPriority w:val="99"/>
    <w:pPr>
      <w:spacing w:before="0"/>
    </w:pPr>
  </w:style>
  <w:style w:type="paragraph" w:customStyle="1" w:styleId="YACC">
    <w:name w:val="YACC"/>
    <w:basedOn w:val="normalparagraph"/>
    <w:uiPriority w:val="99"/>
    <w:pPr>
      <w:tabs>
        <w:tab w:val="left" w:pos="2304"/>
        <w:tab w:val="left" w:pos="2592"/>
      </w:tabs>
      <w:spacing w:before="0"/>
      <w:ind w:left="2736" w:hanging="2736"/>
      <w:jc w:val="left"/>
    </w:pPr>
    <w:rPr>
      <w:sz w:val="18"/>
      <w:szCs w:val="18"/>
    </w:rPr>
  </w:style>
  <w:style w:type="paragraph" w:customStyle="1" w:styleId="YACCCenter">
    <w:name w:val="YACC Center"/>
    <w:basedOn w:val="resumedafterexample"/>
    <w:uiPriority w:val="99"/>
    <w:pPr>
      <w:jc w:val="center"/>
    </w:pPr>
    <w:rPr>
      <w:sz w:val="22"/>
      <w:szCs w:val="22"/>
    </w:rPr>
  </w:style>
  <w:style w:type="paragraph" w:customStyle="1" w:styleId="YACCcomment">
    <w:name w:val="YACC comment"/>
    <w:basedOn w:val="YACC"/>
    <w:uiPriority w:val="99"/>
    <w:pPr>
      <w:spacing w:before="100"/>
      <w:ind w:left="720" w:right="720" w:firstLine="0"/>
      <w:jc w:val="both"/>
    </w:pPr>
  </w:style>
  <w:style w:type="paragraph" w:customStyle="1" w:styleId="YACCInline">
    <w:name w:val="YACC Inline"/>
    <w:basedOn w:val="YACC"/>
    <w:uiPriority w:val="99"/>
    <w:pPr>
      <w:spacing w:before="60"/>
      <w:ind w:left="2880" w:hanging="2880"/>
    </w:pPr>
  </w:style>
  <w:style w:type="paragraph" w:customStyle="1" w:styleId="YACCtoken">
    <w:name w:val="YACC token"/>
    <w:basedOn w:val="YACC"/>
    <w:uiPriority w:val="99"/>
    <w:pPr>
      <w:spacing w:before="100"/>
    </w:pPr>
  </w:style>
  <w:style w:type="paragraph" w:customStyle="1" w:styleId="EBNF">
    <w:name w:val="EBNF"/>
    <w:basedOn w:val="YACCtoken"/>
    <w:uiPriority w:val="99"/>
    <w:pPr>
      <w:tabs>
        <w:tab w:val="left" w:pos="2160"/>
      </w:tabs>
      <w:spacing w:before="80"/>
      <w:ind w:left="2592" w:hanging="2592"/>
    </w:pPr>
    <w:rPr>
      <w:rFonts w:ascii="Times" w:hAnsi="Times" w:cs="Times"/>
      <w:sz w:val="20"/>
      <w:szCs w:val="20"/>
    </w:rPr>
  </w:style>
  <w:style w:type="paragraph" w:customStyle="1" w:styleId="EBNFXREF">
    <w:name w:val="EBNF XREF"/>
    <w:basedOn w:val="YACC"/>
    <w:uiPriority w:val="99"/>
    <w:pPr>
      <w:tabs>
        <w:tab w:val="left" w:pos="2016"/>
      </w:tabs>
      <w:ind w:left="2448" w:hanging="2448"/>
    </w:pPr>
    <w:rPr>
      <w:rFonts w:ascii="Times" w:hAnsi="Times" w:cs="Times"/>
      <w:sz w:val="20"/>
      <w:szCs w:val="20"/>
    </w:rPr>
  </w:style>
  <w:style w:type="paragraph" w:customStyle="1" w:styleId="YACCcommentcont">
    <w:name w:val="YACC comment cont"/>
    <w:basedOn w:val="YACCcomment"/>
    <w:uiPriority w:val="99"/>
    <w:pPr>
      <w:spacing w:before="0"/>
    </w:pPr>
  </w:style>
  <w:style w:type="character" w:customStyle="1" w:styleId="Heading3Text">
    <w:name w:val="Heading 3 Text"/>
    <w:basedOn w:val="DefaultParagraphFont"/>
    <w:uiPriority w:val="99"/>
  </w:style>
  <w:style w:type="character" w:customStyle="1" w:styleId="Heading3Num">
    <w:name w:val="Heading 3 Num"/>
    <w:basedOn w:val="DefaultParagraphFont"/>
    <w:uiPriority w:val="99"/>
  </w:style>
  <w:style w:type="paragraph" w:styleId="TOC2">
    <w:name w:val="toc 2"/>
    <w:basedOn w:val="Normal"/>
    <w:next w:val="Normal"/>
    <w:uiPriority w:val="99"/>
    <w:semiHidden/>
    <w:pPr>
      <w:tabs>
        <w:tab w:val="right" w:leader="dot" w:pos="7200"/>
      </w:tabs>
      <w:spacing w:before="40"/>
      <w:ind w:left="202"/>
    </w:pPr>
  </w:style>
  <w:style w:type="paragraph" w:styleId="TOC3">
    <w:name w:val="toc 3"/>
    <w:basedOn w:val="Normal"/>
    <w:next w:val="Normal"/>
    <w:uiPriority w:val="99"/>
    <w:semiHidden/>
    <w:pPr>
      <w:tabs>
        <w:tab w:val="right" w:leader="dot" w:pos="7200"/>
      </w:tabs>
      <w:ind w:left="400"/>
    </w:pPr>
    <w:rPr>
      <w:rFonts w:ascii="Times New Roman" w:hAnsi="Times New Roman" w:cs="Times New Roman"/>
    </w:rPr>
  </w:style>
  <w:style w:type="paragraph" w:styleId="TOC4">
    <w:name w:val="toc 4"/>
    <w:basedOn w:val="Normal"/>
    <w:next w:val="Normal"/>
    <w:uiPriority w:val="99"/>
    <w:semiHidden/>
    <w:pPr>
      <w:tabs>
        <w:tab w:val="right" w:leader="dot" w:pos="7200"/>
      </w:tabs>
      <w:ind w:left="600"/>
    </w:pPr>
    <w:rPr>
      <w:rFonts w:ascii="Times New Roman" w:hAnsi="Times New Roman" w:cs="Times New Roman"/>
    </w:rPr>
  </w:style>
  <w:style w:type="paragraph" w:styleId="TOC5">
    <w:name w:val="toc 5"/>
    <w:basedOn w:val="Normal"/>
    <w:next w:val="Normal"/>
    <w:uiPriority w:val="99"/>
    <w:semiHidden/>
    <w:pPr>
      <w:tabs>
        <w:tab w:val="right" w:leader="dot" w:pos="7200"/>
      </w:tabs>
      <w:ind w:left="800"/>
    </w:pPr>
    <w:rPr>
      <w:rFonts w:ascii="Times New Roman" w:hAnsi="Times New Roman" w:cs="Times New Roman"/>
    </w:rPr>
  </w:style>
  <w:style w:type="paragraph" w:styleId="TOC6">
    <w:name w:val="toc 6"/>
    <w:basedOn w:val="Normal"/>
    <w:next w:val="Normal"/>
    <w:uiPriority w:val="99"/>
    <w:semiHidden/>
    <w:pPr>
      <w:tabs>
        <w:tab w:val="right" w:leader="dot" w:pos="7200"/>
      </w:tabs>
      <w:ind w:left="1000"/>
    </w:pPr>
    <w:rPr>
      <w:rFonts w:ascii="Times New Roman" w:hAnsi="Times New Roman" w:cs="Times New Roman"/>
    </w:rPr>
  </w:style>
  <w:style w:type="paragraph" w:styleId="TOC7">
    <w:name w:val="toc 7"/>
    <w:basedOn w:val="Normal"/>
    <w:next w:val="Normal"/>
    <w:uiPriority w:val="99"/>
    <w:semiHidden/>
    <w:pPr>
      <w:tabs>
        <w:tab w:val="right" w:leader="dot" w:pos="7200"/>
      </w:tabs>
      <w:ind w:left="1200"/>
    </w:pPr>
    <w:rPr>
      <w:rFonts w:ascii="Times New Roman" w:hAnsi="Times New Roman" w:cs="Times New Roman"/>
    </w:rPr>
  </w:style>
  <w:style w:type="paragraph" w:styleId="TOC8">
    <w:name w:val="toc 8"/>
    <w:basedOn w:val="Normal"/>
    <w:next w:val="Normal"/>
    <w:uiPriority w:val="99"/>
    <w:semiHidden/>
    <w:pPr>
      <w:tabs>
        <w:tab w:val="right" w:leader="dot" w:pos="7200"/>
      </w:tabs>
      <w:ind w:left="1400"/>
    </w:pPr>
    <w:rPr>
      <w:rFonts w:ascii="Times New Roman" w:hAnsi="Times New Roman" w:cs="Times New Roman"/>
    </w:rPr>
  </w:style>
  <w:style w:type="paragraph" w:styleId="TOC9">
    <w:name w:val="toc 9"/>
    <w:basedOn w:val="Normal"/>
    <w:next w:val="Normal"/>
    <w:uiPriority w:val="99"/>
    <w:semiHidden/>
    <w:pPr>
      <w:tabs>
        <w:tab w:val="right" w:leader="dot" w:pos="7200"/>
      </w:tabs>
      <w:ind w:left="1600"/>
    </w:pPr>
    <w:rPr>
      <w:rFonts w:ascii="Times New Roman" w:hAnsi="Times New Roman" w:cs="Times New Roman"/>
    </w:rPr>
  </w:style>
  <w:style w:type="paragraph" w:styleId="Index1">
    <w:name w:val="index 1"/>
    <w:basedOn w:val="Normal"/>
    <w:next w:val="Normal"/>
    <w:uiPriority w:val="99"/>
    <w:semiHidden/>
    <w:pPr>
      <w:widowControl/>
      <w:tabs>
        <w:tab w:val="right" w:pos="3312"/>
      </w:tabs>
      <w:ind w:left="202" w:hanging="202"/>
    </w:pPr>
    <w:rPr>
      <w:sz w:val="18"/>
      <w:szCs w:val="18"/>
    </w:rPr>
  </w:style>
  <w:style w:type="paragraph" w:customStyle="1" w:styleId="placestructure">
    <w:name w:val="place structure"/>
    <w:basedOn w:val="Listnobullets"/>
    <w:uiPriority w:val="99"/>
    <w:pPr>
      <w:ind w:left="504"/>
      <w:jc w:val="center"/>
    </w:pPr>
  </w:style>
  <w:style w:type="paragraph" w:customStyle="1" w:styleId="placestructcont">
    <w:name w:val="place struct cont"/>
    <w:basedOn w:val="Listnobullcontinued"/>
    <w:uiPriority w:val="99"/>
    <w:pPr>
      <w:ind w:left="504"/>
      <w:jc w:val="center"/>
    </w:pPr>
  </w:style>
  <w:style w:type="paragraph" w:styleId="Index2">
    <w:name w:val="index 2"/>
    <w:basedOn w:val="Index1"/>
    <w:next w:val="Index1"/>
    <w:uiPriority w:val="99"/>
    <w:semiHidden/>
    <w:pPr>
      <w:ind w:left="400" w:hanging="200"/>
    </w:pPr>
  </w:style>
  <w:style w:type="paragraph" w:styleId="Index3">
    <w:name w:val="index 3"/>
    <w:basedOn w:val="Normal"/>
    <w:next w:val="Normal"/>
    <w:uiPriority w:val="99"/>
    <w:semiHidden/>
    <w:pPr>
      <w:tabs>
        <w:tab w:val="right" w:pos="3312"/>
      </w:tabs>
      <w:ind w:left="600" w:hanging="200"/>
    </w:pPr>
    <w:rPr>
      <w:rFonts w:ascii="Times New Roman" w:hAnsi="Times New Roman" w:cs="Times New Roman"/>
      <w:sz w:val="18"/>
      <w:szCs w:val="18"/>
    </w:rPr>
  </w:style>
  <w:style w:type="paragraph" w:styleId="Index4">
    <w:name w:val="index 4"/>
    <w:basedOn w:val="Normal"/>
    <w:next w:val="Normal"/>
    <w:uiPriority w:val="99"/>
    <w:semiHidden/>
    <w:pPr>
      <w:tabs>
        <w:tab w:val="right" w:pos="3312"/>
      </w:tabs>
      <w:ind w:left="800" w:hanging="200"/>
    </w:pPr>
    <w:rPr>
      <w:rFonts w:ascii="Times New Roman" w:hAnsi="Times New Roman" w:cs="Times New Roman"/>
      <w:sz w:val="18"/>
      <w:szCs w:val="18"/>
    </w:rPr>
  </w:style>
  <w:style w:type="paragraph" w:styleId="Index5">
    <w:name w:val="index 5"/>
    <w:basedOn w:val="Normal"/>
    <w:next w:val="Normal"/>
    <w:uiPriority w:val="99"/>
    <w:semiHidden/>
    <w:pPr>
      <w:tabs>
        <w:tab w:val="right" w:pos="3312"/>
      </w:tabs>
      <w:ind w:left="1000" w:hanging="200"/>
    </w:pPr>
    <w:rPr>
      <w:rFonts w:ascii="Times New Roman" w:hAnsi="Times New Roman" w:cs="Times New Roman"/>
      <w:sz w:val="18"/>
      <w:szCs w:val="18"/>
    </w:rPr>
  </w:style>
  <w:style w:type="paragraph" w:styleId="Index6">
    <w:name w:val="index 6"/>
    <w:basedOn w:val="Normal"/>
    <w:next w:val="Normal"/>
    <w:uiPriority w:val="99"/>
    <w:semiHidden/>
    <w:pPr>
      <w:tabs>
        <w:tab w:val="right" w:pos="3312"/>
      </w:tabs>
      <w:ind w:left="1200" w:hanging="200"/>
    </w:pPr>
    <w:rPr>
      <w:rFonts w:ascii="Times New Roman" w:hAnsi="Times New Roman" w:cs="Times New Roman"/>
      <w:sz w:val="18"/>
      <w:szCs w:val="18"/>
    </w:rPr>
  </w:style>
  <w:style w:type="paragraph" w:styleId="Index7">
    <w:name w:val="index 7"/>
    <w:basedOn w:val="Normal"/>
    <w:next w:val="Normal"/>
    <w:uiPriority w:val="99"/>
    <w:semiHidden/>
    <w:pPr>
      <w:tabs>
        <w:tab w:val="right" w:pos="3312"/>
      </w:tabs>
      <w:ind w:left="1400" w:hanging="200"/>
    </w:pPr>
    <w:rPr>
      <w:rFonts w:ascii="Times New Roman" w:hAnsi="Times New Roman" w:cs="Times New Roman"/>
      <w:sz w:val="18"/>
      <w:szCs w:val="18"/>
    </w:rPr>
  </w:style>
  <w:style w:type="paragraph" w:styleId="Index8">
    <w:name w:val="index 8"/>
    <w:basedOn w:val="Normal"/>
    <w:next w:val="Normal"/>
    <w:uiPriority w:val="99"/>
    <w:semiHidden/>
    <w:pPr>
      <w:tabs>
        <w:tab w:val="right" w:pos="3312"/>
      </w:tabs>
      <w:ind w:left="1600" w:hanging="200"/>
    </w:pPr>
    <w:rPr>
      <w:rFonts w:ascii="Times New Roman" w:hAnsi="Times New Roman" w:cs="Times New Roman"/>
      <w:sz w:val="18"/>
      <w:szCs w:val="18"/>
    </w:rPr>
  </w:style>
  <w:style w:type="paragraph" w:styleId="Index9">
    <w:name w:val="index 9"/>
    <w:basedOn w:val="Normal"/>
    <w:next w:val="Normal"/>
    <w:uiPriority w:val="99"/>
    <w:semiHidden/>
    <w:pPr>
      <w:tabs>
        <w:tab w:val="right" w:pos="3312"/>
      </w:tabs>
      <w:ind w:left="1800" w:hanging="200"/>
    </w:pPr>
    <w:rPr>
      <w:rFonts w:ascii="Times New Roman" w:hAnsi="Times New Roman" w:cs="Times New Roman"/>
      <w:sz w:val="18"/>
      <w:szCs w:val="18"/>
    </w:rPr>
  </w:style>
  <w:style w:type="paragraph" w:styleId="IndexHeading">
    <w:name w:val="index heading"/>
    <w:basedOn w:val="Normal"/>
    <w:next w:val="Index1"/>
    <w:uiPriority w:val="99"/>
    <w:semiHidden/>
    <w:pPr>
      <w:spacing w:before="240" w:after="120"/>
      <w:jc w:val="center"/>
    </w:pPr>
    <w:rPr>
      <w:rFonts w:ascii="Times New Roman" w:hAnsi="Times New Roman" w:cs="Times New Roman"/>
      <w:b/>
      <w:bCs/>
      <w:sz w:val="26"/>
      <w:szCs w:val="26"/>
    </w:rPr>
  </w:style>
  <w:style w:type="character" w:customStyle="1" w:styleId="xeentry">
    <w:name w:val="xe entry"/>
    <w:basedOn w:val="DefaultParagraphFont"/>
    <w:uiPriority w:val="99"/>
  </w:style>
  <w:style w:type="paragraph" w:customStyle="1" w:styleId="IndexA">
    <w:name w:val="IndexA"/>
    <w:basedOn w:val="Index1"/>
    <w:uiPriority w:val="99"/>
    <w:pPr>
      <w:ind w:left="0" w:firstLine="0"/>
    </w:pPr>
    <w:rPr>
      <w:noProof/>
    </w:rPr>
  </w:style>
  <w:style w:type="paragraph" w:customStyle="1" w:styleId="YACCXREF">
    <w:name w:val="YACC XREF"/>
    <w:basedOn w:val="EBNFXREF"/>
    <w:uiPriority w:val="99"/>
    <w:pPr>
      <w:ind w:left="2304" w:hanging="2304"/>
    </w:pPr>
    <w:rPr>
      <w:rFonts w:ascii="Times Roman" w:hAnsi="Times Roman" w:cs="Times Roman"/>
      <w:sz w:val="18"/>
      <w:szCs w:val="18"/>
    </w:rPr>
  </w:style>
  <w:style w:type="paragraph" w:customStyle="1" w:styleId="placestructureleft">
    <w:name w:val="place structure left"/>
    <w:basedOn w:val="placestructure"/>
    <w:uiPriority w:val="99"/>
    <w:pPr>
      <w:ind w:left="1224"/>
      <w:jc w:val="left"/>
    </w:pPr>
  </w:style>
  <w:style w:type="paragraph" w:customStyle="1" w:styleId="placestructcontleft">
    <w:name w:val="place struct cont left"/>
    <w:basedOn w:val="placestructcont"/>
    <w:uiPriority w:val="99"/>
    <w:pPr>
      <w:ind w:left="1224"/>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8.xml"/><Relationship Id="rId26" Type="http://schemas.openxmlformats.org/officeDocument/2006/relationships/image" Target="media/image8.png"/><Relationship Id="rId39" Type="http://schemas.openxmlformats.org/officeDocument/2006/relationships/image" Target="media/image19.wmf"/><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eader" Target="header12.xml"/><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wmf"/><Relationship Id="rId41" Type="http://schemas.openxmlformats.org/officeDocument/2006/relationships/image" Target="media/image20.png"/><Relationship Id="rId54"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7.png"/><Relationship Id="rId40" Type="http://schemas.openxmlformats.org/officeDocument/2006/relationships/oleObject" Target="embeddings/oleObject3.bin"/><Relationship Id="rId45" Type="http://schemas.openxmlformats.org/officeDocument/2006/relationships/header" Target="header10.xml"/><Relationship Id="rId53"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eader" Target="header14.xml"/><Relationship Id="rId10" Type="http://schemas.openxmlformats.org/officeDocument/2006/relationships/header" Target="header4.xml"/><Relationship Id="rId19" Type="http://schemas.openxmlformats.org/officeDocument/2006/relationships/footer" Target="footer4.xml"/><Relationship Id="rId31" Type="http://schemas.openxmlformats.org/officeDocument/2006/relationships/image" Target="media/image12.wmf"/><Relationship Id="rId44" Type="http://schemas.openxmlformats.org/officeDocument/2006/relationships/image" Target="media/image22.pn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oleObject" Target="embeddings/oleObject1.bin"/><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15.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440</Pages>
  <Words>-32766</Words>
  <Characters>-32766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&lt;html&gt;&lt;head&gt;&lt;title&gt;Lojban Reference Grammar: Chapter 1&lt;/title&gt;&lt;/head&gt;</dc:title>
  <dc:subject/>
  <dc:creator>Bob LeChevalier</dc:creator>
  <cp:keywords/>
  <dc:description/>
  <cp:lastModifiedBy>Robert LeChevalier</cp:lastModifiedBy>
  <cp:revision>2</cp:revision>
  <cp:lastPrinted>1997-09-20T04:12:00Z</cp:lastPrinted>
  <dcterms:created xsi:type="dcterms:W3CDTF">2009-10-05T23:30:00Z</dcterms:created>
  <dcterms:modified xsi:type="dcterms:W3CDTF">2009-10-05T23:30:00Z</dcterms:modified>
</cp:coreProperties>
</file>